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2BE5D" w14:textId="044B5FC1" w:rsidR="00DE3458" w:rsidRPr="00FF3F48" w:rsidRDefault="00E453CD" w:rsidP="00D35625">
      <w:pPr>
        <w:pStyle w:val="Heading9"/>
      </w:pPr>
      <w:r w:rsidRPr="00AD2B60">
        <w:rPr>
          <w:b/>
          <w:noProof/>
        </w:rPr>
        <mc:AlternateContent>
          <mc:Choice Requires="wps">
            <w:drawing>
              <wp:anchor distT="0" distB="0" distL="114300" distR="114300" simplePos="0" relativeHeight="251658252" behindDoc="0" locked="0" layoutInCell="1" allowOverlap="1" wp14:anchorId="0190335D" wp14:editId="140F1F8D">
                <wp:simplePos x="0" y="0"/>
                <wp:positionH relativeFrom="margin">
                  <wp:align>left</wp:align>
                </wp:positionH>
                <wp:positionV relativeFrom="paragraph">
                  <wp:posOffset>248533</wp:posOffset>
                </wp:positionV>
                <wp:extent cx="577215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5D41282D" w14:textId="77777777" w:rsidR="00851ABB" w:rsidRPr="00851ABB" w:rsidRDefault="00E453CD" w:rsidP="00851ABB">
                            <w:pPr>
                              <w:rPr>
                                <w:sz w:val="22"/>
                                <w:szCs w:val="22"/>
                              </w:rPr>
                            </w:pPr>
                            <w:r w:rsidRPr="00851ABB">
                              <w:rPr>
                                <w:sz w:val="22"/>
                                <w:szCs w:val="22"/>
                              </w:rPr>
                              <w:t>Dette dokumentet er den godkjente produktinformasjonen for Humira. Endringer siden forrige prosedyre som påvirker produktinformasjonen (EMA/N/0000249136) er uthevet.</w:t>
                            </w:r>
                          </w:p>
                          <w:p w14:paraId="27AF3AB7" w14:textId="77777777" w:rsidR="00851ABB" w:rsidRPr="00851ABB" w:rsidRDefault="00851ABB" w:rsidP="00851ABB">
                            <w:pPr>
                              <w:rPr>
                                <w:sz w:val="22"/>
                                <w:szCs w:val="22"/>
                              </w:rPr>
                            </w:pPr>
                          </w:p>
                          <w:p w14:paraId="086C3555" w14:textId="77777777" w:rsidR="00851ABB" w:rsidRPr="00851ABB" w:rsidRDefault="00E453CD" w:rsidP="00851ABB">
                            <w:pPr>
                              <w:rPr>
                                <w:sz w:val="22"/>
                                <w:szCs w:val="22"/>
                              </w:rPr>
                            </w:pPr>
                            <w:r w:rsidRPr="00851ABB">
                              <w:rPr>
                                <w:sz w:val="22"/>
                                <w:szCs w:val="22"/>
                              </w:rPr>
                              <w:t xml:space="preserve">Mer informasjon finnes på nettstedet til Det europeiske legemiddelkontoret: </w:t>
                            </w:r>
                            <w:hyperlink r:id="rId11" w:history="1">
                              <w:r w:rsidR="00851ABB" w:rsidRPr="00851ABB">
                                <w:rPr>
                                  <w:rStyle w:val="Hyperlink"/>
                                  <w:sz w:val="22"/>
                                  <w:szCs w:val="22"/>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0190335D" id="_x0000_t202" coordsize="21600,21600" o:spt="202" path="m,l,21600r21600,l21600,xe">
                <v:stroke joinstyle="miter"/>
                <v:path gradientshapeok="t" o:connecttype="rect"/>
              </v:shapetype>
              <v:shape id="Text Box 2" o:spid="_x0000_s1026" type="#_x0000_t202" style="position:absolute;margin-left:0;margin-top:19.55pt;width:454.5pt;height:110.6pt;z-index:2516582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">
                <v:textbox style="mso-fit-shape-to-text:t">
                  <w:txbxContent>
                    <w:p w14:paraId="5D41282D" w14:textId="77777777" w:rsidR="00851ABB" w:rsidRPr="00851ABB" w:rsidRDefault="00E453CD" w:rsidP="00851ABB">
                      <w:pPr>
                        <w:rPr>
                          <w:sz w:val="22"/>
                          <w:szCs w:val="22"/>
                        </w:rPr>
                      </w:pPr>
                      <w:r w:rsidRPr="00851ABB">
                        <w:rPr>
                          <w:sz w:val="22"/>
                          <w:szCs w:val="22"/>
                        </w:rPr>
                        <w:t>Dette dokumentet er den godkjente produktinformasjonen for Humira. Endringer siden forrige prosedyre som påvirker produktinformasjonen (EMA/N/0000249136) er uthevet.</w:t>
                      </w:r>
                    </w:p>
                    <w:p w14:paraId="27AF3AB7" w14:textId="77777777" w:rsidR="00851ABB" w:rsidRPr="00851ABB" w:rsidRDefault="00851ABB" w:rsidP="00851ABB">
                      <w:pPr>
                        <w:rPr>
                          <w:sz w:val="22"/>
                          <w:szCs w:val="22"/>
                        </w:rPr>
                      </w:pPr>
                    </w:p>
                    <w:p w14:paraId="086C3555" w14:textId="77777777" w:rsidR="00851ABB" w:rsidRPr="00851ABB" w:rsidRDefault="00E453CD" w:rsidP="00851ABB">
                      <w:pPr>
                        <w:rPr>
                          <w:sz w:val="22"/>
                          <w:szCs w:val="22"/>
                        </w:rPr>
                      </w:pPr>
                      <w:r w:rsidRPr="00851ABB">
                        <w:rPr>
                          <w:sz w:val="22"/>
                          <w:szCs w:val="22"/>
                        </w:rPr>
                        <w:t xml:space="preserve">Mer informasjon finnes på nettstedet til Det europeiske legemiddelkontoret: </w:t>
                      </w:r>
                      <w:hyperlink r:id="rId12" w:history="1">
                        <w:r w:rsidR="00851ABB" w:rsidRPr="00851ABB">
                          <w:rPr>
                            <w:rStyle w:val="Hyperlink"/>
                            <w:sz w:val="22"/>
                            <w:szCs w:val="22"/>
                          </w:rPr>
                          <w:t>https://www.ema.europa.eu/en/medicines/human/EPAR/Humira</w:t>
                        </w:r>
                      </w:hyperlink>
                    </w:p>
                  </w:txbxContent>
                </v:textbox>
                <w10:wrap type="square" anchorx="margin"/>
              </v:shape>
            </w:pict>
          </mc:Fallback>
        </mc:AlternateContent>
      </w:r>
    </w:p>
    <w:p w14:paraId="3D6DD6BE" w14:textId="77777777" w:rsidR="00DE3458" w:rsidRPr="007F67EE" w:rsidRDefault="00DE3458" w:rsidP="007F67EE">
      <w:pPr>
        <w:suppressAutoHyphens/>
        <w:rPr>
          <w:sz w:val="22"/>
          <w:szCs w:val="22"/>
        </w:rPr>
      </w:pPr>
    </w:p>
    <w:p w14:paraId="39D41283" w14:textId="77777777" w:rsidR="00DE3458" w:rsidRPr="007F67EE" w:rsidRDefault="00DE3458" w:rsidP="007F67EE">
      <w:pPr>
        <w:suppressAutoHyphens/>
        <w:rPr>
          <w:sz w:val="22"/>
          <w:szCs w:val="22"/>
        </w:rPr>
      </w:pPr>
    </w:p>
    <w:p w14:paraId="17D6FD1D" w14:textId="77777777" w:rsidR="00DE3458" w:rsidRPr="007F67EE" w:rsidRDefault="00DE3458" w:rsidP="007F67EE">
      <w:pPr>
        <w:suppressAutoHyphens/>
        <w:rPr>
          <w:sz w:val="22"/>
          <w:szCs w:val="22"/>
        </w:rPr>
      </w:pPr>
    </w:p>
    <w:p w14:paraId="2DB90CFD" w14:textId="77777777" w:rsidR="00DE3458" w:rsidRPr="007F67EE" w:rsidRDefault="00DE3458" w:rsidP="007F67EE">
      <w:pPr>
        <w:suppressAutoHyphens/>
        <w:rPr>
          <w:sz w:val="22"/>
          <w:szCs w:val="22"/>
        </w:rPr>
      </w:pPr>
    </w:p>
    <w:p w14:paraId="2F341C61" w14:textId="77777777" w:rsidR="00DE3458" w:rsidRPr="007F67EE" w:rsidRDefault="00DE3458" w:rsidP="007F67EE">
      <w:pPr>
        <w:pStyle w:val="EndnoteText"/>
        <w:widowControl/>
        <w:tabs>
          <w:tab w:val="clear" w:pos="567"/>
        </w:tabs>
        <w:suppressAutoHyphens/>
        <w:rPr>
          <w:szCs w:val="22"/>
          <w:lang w:val="nb-NO"/>
        </w:rPr>
      </w:pPr>
    </w:p>
    <w:p w14:paraId="7D31803D" w14:textId="77777777" w:rsidR="00DE3458" w:rsidRPr="007F67EE" w:rsidRDefault="00DE3458" w:rsidP="007F67EE">
      <w:pPr>
        <w:suppressAutoHyphens/>
        <w:rPr>
          <w:sz w:val="22"/>
          <w:szCs w:val="22"/>
        </w:rPr>
      </w:pPr>
    </w:p>
    <w:p w14:paraId="6F119D8B" w14:textId="77777777" w:rsidR="00DE3458" w:rsidRPr="007F67EE" w:rsidRDefault="00DE3458" w:rsidP="007F67EE">
      <w:pPr>
        <w:suppressAutoHyphens/>
        <w:rPr>
          <w:sz w:val="22"/>
          <w:szCs w:val="22"/>
        </w:rPr>
      </w:pPr>
    </w:p>
    <w:p w14:paraId="11D5C13B" w14:textId="77777777" w:rsidR="00DE3458" w:rsidRPr="007F67EE" w:rsidRDefault="00DE3458" w:rsidP="007F67EE">
      <w:pPr>
        <w:suppressAutoHyphens/>
        <w:rPr>
          <w:sz w:val="22"/>
          <w:szCs w:val="22"/>
        </w:rPr>
      </w:pPr>
    </w:p>
    <w:p w14:paraId="50629EEB" w14:textId="77777777" w:rsidR="00DE3458" w:rsidRPr="007F67EE" w:rsidRDefault="00DE3458" w:rsidP="007F67EE">
      <w:pPr>
        <w:suppressAutoHyphens/>
        <w:rPr>
          <w:sz w:val="22"/>
          <w:szCs w:val="22"/>
        </w:rPr>
      </w:pPr>
    </w:p>
    <w:p w14:paraId="727776D5" w14:textId="77777777" w:rsidR="00DE3458" w:rsidRPr="007F67EE" w:rsidRDefault="00DE3458" w:rsidP="007F67EE">
      <w:pPr>
        <w:suppressAutoHyphens/>
        <w:rPr>
          <w:sz w:val="22"/>
          <w:szCs w:val="22"/>
        </w:rPr>
      </w:pPr>
    </w:p>
    <w:p w14:paraId="6C16C4EF" w14:textId="77777777" w:rsidR="00DE3458" w:rsidRPr="007F67EE" w:rsidRDefault="00DE3458" w:rsidP="007F67EE">
      <w:pPr>
        <w:suppressAutoHyphens/>
        <w:rPr>
          <w:sz w:val="22"/>
          <w:szCs w:val="22"/>
        </w:rPr>
      </w:pPr>
    </w:p>
    <w:p w14:paraId="408DF2E5" w14:textId="77777777" w:rsidR="00DE3458" w:rsidRPr="007F67EE" w:rsidRDefault="00DE3458" w:rsidP="007F67EE">
      <w:pPr>
        <w:suppressAutoHyphens/>
        <w:rPr>
          <w:sz w:val="22"/>
          <w:szCs w:val="22"/>
        </w:rPr>
      </w:pPr>
    </w:p>
    <w:p w14:paraId="20AC0E97" w14:textId="77777777" w:rsidR="00DE3458" w:rsidRPr="007F67EE" w:rsidRDefault="00DE3458" w:rsidP="007F67EE">
      <w:pPr>
        <w:suppressAutoHyphens/>
        <w:rPr>
          <w:sz w:val="22"/>
          <w:szCs w:val="22"/>
        </w:rPr>
      </w:pPr>
    </w:p>
    <w:p w14:paraId="03B870B4" w14:textId="77777777" w:rsidR="00DE3458" w:rsidRPr="007F67EE" w:rsidRDefault="00DE3458" w:rsidP="007F67EE">
      <w:pPr>
        <w:rPr>
          <w:sz w:val="22"/>
          <w:szCs w:val="22"/>
        </w:rPr>
      </w:pPr>
    </w:p>
    <w:p w14:paraId="55C8658F" w14:textId="77777777" w:rsidR="00DE3458" w:rsidRPr="007F67EE" w:rsidRDefault="00DE3458" w:rsidP="007F67EE">
      <w:pPr>
        <w:suppressAutoHyphens/>
        <w:rPr>
          <w:sz w:val="22"/>
          <w:szCs w:val="22"/>
        </w:rPr>
      </w:pPr>
    </w:p>
    <w:p w14:paraId="03ECF353" w14:textId="77777777" w:rsidR="00DE3458" w:rsidRPr="007F67EE" w:rsidRDefault="00DE3458" w:rsidP="007F67EE">
      <w:pPr>
        <w:suppressAutoHyphens/>
        <w:rPr>
          <w:sz w:val="22"/>
          <w:szCs w:val="22"/>
        </w:rPr>
      </w:pPr>
    </w:p>
    <w:p w14:paraId="343F587F" w14:textId="77777777" w:rsidR="00DE3458" w:rsidRPr="007F67EE" w:rsidRDefault="00DE3458" w:rsidP="007F67EE">
      <w:pPr>
        <w:suppressAutoHyphens/>
        <w:rPr>
          <w:sz w:val="22"/>
          <w:szCs w:val="22"/>
        </w:rPr>
      </w:pPr>
    </w:p>
    <w:p w14:paraId="7D32D374" w14:textId="77777777" w:rsidR="00DE3458" w:rsidRPr="007F67EE" w:rsidRDefault="00DE3458" w:rsidP="007F67EE">
      <w:pPr>
        <w:suppressAutoHyphens/>
        <w:rPr>
          <w:sz w:val="22"/>
          <w:szCs w:val="22"/>
        </w:rPr>
      </w:pPr>
    </w:p>
    <w:p w14:paraId="21E708BF" w14:textId="77777777" w:rsidR="00DE3458" w:rsidRPr="007F67EE" w:rsidRDefault="00DE3458" w:rsidP="007F67EE">
      <w:pPr>
        <w:suppressAutoHyphens/>
        <w:rPr>
          <w:sz w:val="22"/>
          <w:szCs w:val="22"/>
        </w:rPr>
      </w:pPr>
    </w:p>
    <w:p w14:paraId="374747C0" w14:textId="77777777" w:rsidR="00DE3458" w:rsidRPr="007F67EE" w:rsidRDefault="00DE3458" w:rsidP="007F67EE">
      <w:pPr>
        <w:rPr>
          <w:sz w:val="22"/>
          <w:szCs w:val="22"/>
        </w:rPr>
      </w:pPr>
    </w:p>
    <w:p w14:paraId="44986BB7" w14:textId="77777777" w:rsidR="00DE3458" w:rsidRPr="007F67EE" w:rsidRDefault="00DE3458" w:rsidP="007F67EE">
      <w:pPr>
        <w:suppressAutoHyphens/>
        <w:rPr>
          <w:sz w:val="22"/>
          <w:szCs w:val="22"/>
        </w:rPr>
      </w:pPr>
    </w:p>
    <w:p w14:paraId="26691297" w14:textId="77777777" w:rsidR="00DE3458" w:rsidRPr="007F67EE" w:rsidRDefault="00DE3458" w:rsidP="007F67EE">
      <w:pPr>
        <w:jc w:val="center"/>
        <w:rPr>
          <w:b/>
          <w:sz w:val="22"/>
          <w:szCs w:val="22"/>
        </w:rPr>
      </w:pPr>
    </w:p>
    <w:p w14:paraId="27FAECCB" w14:textId="77777777" w:rsidR="00DE3458" w:rsidRPr="007F67EE" w:rsidRDefault="00E453CD" w:rsidP="007F67EE">
      <w:pPr>
        <w:jc w:val="center"/>
        <w:rPr>
          <w:b/>
          <w:sz w:val="22"/>
          <w:szCs w:val="22"/>
        </w:rPr>
      </w:pPr>
      <w:r w:rsidRPr="007F67EE">
        <w:rPr>
          <w:b/>
          <w:sz w:val="22"/>
          <w:szCs w:val="22"/>
        </w:rPr>
        <w:t>VEDLEGG I</w:t>
      </w:r>
    </w:p>
    <w:p w14:paraId="605AFB97" w14:textId="77777777" w:rsidR="00DE3458" w:rsidRPr="007F67EE" w:rsidRDefault="00DE3458" w:rsidP="007F67EE">
      <w:pPr>
        <w:suppressAutoHyphens/>
        <w:jc w:val="center"/>
        <w:rPr>
          <w:b/>
          <w:sz w:val="22"/>
          <w:szCs w:val="22"/>
        </w:rPr>
      </w:pPr>
    </w:p>
    <w:p w14:paraId="1D72B383" w14:textId="77777777" w:rsidR="000C508F" w:rsidRDefault="00E453CD" w:rsidP="007F67EE">
      <w:pPr>
        <w:pStyle w:val="BMCENTRED"/>
        <w:rPr>
          <w:szCs w:val="22"/>
        </w:rPr>
      </w:pPr>
      <w:bookmarkStart w:id="0" w:name="Preparatomtale"/>
      <w:r w:rsidRPr="007F67EE">
        <w:rPr>
          <w:szCs w:val="22"/>
        </w:rPr>
        <w:t>PREPARATOMTALE</w:t>
      </w:r>
      <w:bookmarkEnd w:id="0"/>
    </w:p>
    <w:p w14:paraId="545D7265" w14:textId="77777777" w:rsidR="000C508F" w:rsidRDefault="00E453CD">
      <w:pPr>
        <w:rPr>
          <w:b/>
          <w:sz w:val="22"/>
          <w:szCs w:val="22"/>
        </w:rPr>
      </w:pPr>
      <w:r>
        <w:rPr>
          <w:szCs w:val="22"/>
        </w:rPr>
        <w:br w:type="page"/>
      </w:r>
    </w:p>
    <w:p w14:paraId="1FFA6350" w14:textId="77777777" w:rsidR="000C508F" w:rsidRPr="007F67EE" w:rsidRDefault="00E453CD" w:rsidP="000C508F">
      <w:pPr>
        <w:tabs>
          <w:tab w:val="left" w:pos="-720"/>
        </w:tabs>
        <w:suppressAutoHyphens/>
        <w:ind w:left="567" w:hanging="567"/>
        <w:rPr>
          <w:sz w:val="22"/>
          <w:szCs w:val="22"/>
        </w:rPr>
      </w:pPr>
      <w:r w:rsidRPr="007F67EE">
        <w:rPr>
          <w:b/>
          <w:sz w:val="22"/>
          <w:szCs w:val="22"/>
        </w:rPr>
        <w:lastRenderedPageBreak/>
        <w:t>1.</w:t>
      </w:r>
      <w:r w:rsidRPr="007F67EE">
        <w:rPr>
          <w:b/>
          <w:sz w:val="22"/>
          <w:szCs w:val="22"/>
        </w:rPr>
        <w:tab/>
        <w:t>LEGEMIDLETS NAVN</w:t>
      </w:r>
    </w:p>
    <w:p w14:paraId="63C0A6A3" w14:textId="77777777" w:rsidR="000C508F" w:rsidRPr="007F67EE" w:rsidRDefault="000C508F" w:rsidP="000C508F">
      <w:pPr>
        <w:suppressAutoHyphens/>
        <w:rPr>
          <w:sz w:val="22"/>
          <w:szCs w:val="22"/>
        </w:rPr>
      </w:pPr>
    </w:p>
    <w:p w14:paraId="70C5AC5B" w14:textId="77777777" w:rsidR="000C508F" w:rsidRPr="007F67EE" w:rsidRDefault="00E453CD" w:rsidP="000C508F">
      <w:pPr>
        <w:suppressAutoHyphens/>
        <w:rPr>
          <w:sz w:val="22"/>
          <w:szCs w:val="22"/>
        </w:rPr>
      </w:pPr>
      <w:r>
        <w:rPr>
          <w:sz w:val="22"/>
          <w:szCs w:val="22"/>
        </w:rPr>
        <w:t>Humira 20</w:t>
      </w:r>
      <w:r w:rsidR="0034278E">
        <w:rPr>
          <w:sz w:val="22"/>
          <w:szCs w:val="22"/>
        </w:rPr>
        <w:t> </w:t>
      </w:r>
      <w:r w:rsidRPr="000C508F">
        <w:rPr>
          <w:sz w:val="22"/>
          <w:szCs w:val="22"/>
        </w:rPr>
        <w:t>mg injeksjonsvæske, oppløsning i ferdigfylt sprøyte</w:t>
      </w:r>
    </w:p>
    <w:p w14:paraId="6A720389" w14:textId="77777777" w:rsidR="000C508F" w:rsidRDefault="000C508F" w:rsidP="000C508F">
      <w:pPr>
        <w:tabs>
          <w:tab w:val="left" w:pos="-720"/>
        </w:tabs>
        <w:suppressAutoHyphens/>
        <w:rPr>
          <w:sz w:val="22"/>
          <w:szCs w:val="22"/>
        </w:rPr>
      </w:pPr>
    </w:p>
    <w:p w14:paraId="32FE8EF0" w14:textId="77777777" w:rsidR="0034278E" w:rsidRPr="007F67EE" w:rsidRDefault="0034278E" w:rsidP="000C508F">
      <w:pPr>
        <w:tabs>
          <w:tab w:val="left" w:pos="-720"/>
        </w:tabs>
        <w:suppressAutoHyphens/>
        <w:rPr>
          <w:sz w:val="22"/>
          <w:szCs w:val="22"/>
        </w:rPr>
      </w:pPr>
    </w:p>
    <w:p w14:paraId="6ABE63CD" w14:textId="77777777" w:rsidR="000C508F" w:rsidRPr="007F67EE" w:rsidRDefault="00E453CD" w:rsidP="000C508F">
      <w:pPr>
        <w:suppressAutoHyphens/>
        <w:ind w:left="567" w:hanging="567"/>
        <w:rPr>
          <w:sz w:val="22"/>
          <w:szCs w:val="22"/>
        </w:rPr>
      </w:pPr>
      <w:r w:rsidRPr="007F67EE">
        <w:rPr>
          <w:b/>
          <w:sz w:val="22"/>
          <w:szCs w:val="22"/>
        </w:rPr>
        <w:t>2.</w:t>
      </w:r>
      <w:r w:rsidRPr="007F67EE">
        <w:rPr>
          <w:b/>
          <w:sz w:val="22"/>
          <w:szCs w:val="22"/>
        </w:rPr>
        <w:tab/>
        <w:t>KVALITATIV OG KVANTITATIV SAMMENSETNING</w:t>
      </w:r>
    </w:p>
    <w:p w14:paraId="2507AEC7" w14:textId="77777777" w:rsidR="000C508F" w:rsidRPr="007F67EE" w:rsidRDefault="000C508F" w:rsidP="000C508F">
      <w:pPr>
        <w:rPr>
          <w:sz w:val="22"/>
          <w:szCs w:val="22"/>
        </w:rPr>
      </w:pPr>
    </w:p>
    <w:p w14:paraId="32C8D313" w14:textId="77777777" w:rsidR="000C508F" w:rsidRDefault="00E453CD" w:rsidP="000C508F">
      <w:pPr>
        <w:pStyle w:val="EndnoteText"/>
        <w:widowControl/>
        <w:tabs>
          <w:tab w:val="clear" w:pos="567"/>
        </w:tabs>
        <w:rPr>
          <w:szCs w:val="22"/>
          <w:lang w:val="nb-NO"/>
        </w:rPr>
      </w:pPr>
      <w:r>
        <w:rPr>
          <w:szCs w:val="22"/>
          <w:lang w:val="nb-NO"/>
        </w:rPr>
        <w:t>Hver 0,2</w:t>
      </w:r>
      <w:r w:rsidR="0034278E">
        <w:rPr>
          <w:szCs w:val="22"/>
          <w:lang w:val="nb-NO"/>
        </w:rPr>
        <w:t> </w:t>
      </w:r>
      <w:r w:rsidRPr="000C508F">
        <w:rPr>
          <w:szCs w:val="22"/>
          <w:lang w:val="nb-NO"/>
        </w:rPr>
        <w:t>ml endose</w:t>
      </w:r>
      <w:r>
        <w:rPr>
          <w:szCs w:val="22"/>
          <w:lang w:val="nb-NO"/>
        </w:rPr>
        <w:t xml:space="preserve"> ferdigfylt sprøyte inneholder 2</w:t>
      </w:r>
      <w:r w:rsidRPr="000C508F">
        <w:rPr>
          <w:szCs w:val="22"/>
          <w:lang w:val="nb-NO"/>
        </w:rPr>
        <w:t>0</w:t>
      </w:r>
      <w:r w:rsidR="0034278E">
        <w:rPr>
          <w:szCs w:val="22"/>
          <w:lang w:val="nb-NO"/>
        </w:rPr>
        <w:t> </w:t>
      </w:r>
      <w:r w:rsidRPr="000C508F">
        <w:rPr>
          <w:szCs w:val="22"/>
          <w:lang w:val="nb-NO"/>
        </w:rPr>
        <w:t>mg adalimumab.</w:t>
      </w:r>
    </w:p>
    <w:p w14:paraId="5D563E04" w14:textId="77777777" w:rsidR="000C508F" w:rsidRPr="007F67EE" w:rsidRDefault="000C508F" w:rsidP="000C508F">
      <w:pPr>
        <w:pStyle w:val="EndnoteText"/>
        <w:widowControl/>
        <w:tabs>
          <w:tab w:val="clear" w:pos="567"/>
        </w:tabs>
        <w:rPr>
          <w:szCs w:val="22"/>
          <w:lang w:val="nb-NO"/>
        </w:rPr>
      </w:pPr>
    </w:p>
    <w:p w14:paraId="50960F8C" w14:textId="77777777" w:rsidR="000C508F" w:rsidRDefault="00E453CD" w:rsidP="000C508F">
      <w:pPr>
        <w:rPr>
          <w:ins w:id="1" w:author="AbbVie02no" w:date="2025-05-15T12:01:00Z"/>
          <w:sz w:val="22"/>
          <w:szCs w:val="22"/>
        </w:rPr>
      </w:pPr>
      <w:r w:rsidRPr="007F67EE">
        <w:rPr>
          <w:sz w:val="22"/>
          <w:szCs w:val="22"/>
        </w:rPr>
        <w:t xml:space="preserve">Adalimumab er et rekombinant humant monoklonalt antistoff </w:t>
      </w:r>
      <w:r w:rsidR="00963DDF">
        <w:rPr>
          <w:sz w:val="22"/>
          <w:szCs w:val="22"/>
        </w:rPr>
        <w:t xml:space="preserve">produsert </w:t>
      </w:r>
      <w:r w:rsidRPr="007F67EE">
        <w:rPr>
          <w:sz w:val="22"/>
          <w:szCs w:val="22"/>
        </w:rPr>
        <w:t>i ovarieceller fra kinesisk hamster.</w:t>
      </w:r>
    </w:p>
    <w:p w14:paraId="1C784D7D" w14:textId="77777777" w:rsidR="003979AA" w:rsidRDefault="003979AA" w:rsidP="000C508F">
      <w:pPr>
        <w:rPr>
          <w:ins w:id="2" w:author="AbbVie02no" w:date="2025-05-15T12:01:00Z"/>
          <w:sz w:val="22"/>
          <w:szCs w:val="22"/>
        </w:rPr>
      </w:pPr>
    </w:p>
    <w:p w14:paraId="13539FAE" w14:textId="0EB4F682" w:rsidR="003979AA" w:rsidRPr="003979AA" w:rsidRDefault="00E453CD" w:rsidP="000C508F">
      <w:pPr>
        <w:rPr>
          <w:ins w:id="3" w:author="AbbVie02no" w:date="2025-05-15T12:02:00Z"/>
          <w:sz w:val="22"/>
          <w:szCs w:val="22"/>
          <w:u w:val="single"/>
          <w:rPrChange w:id="4" w:author="AbbVie02no" w:date="2025-05-15T12:05:00Z">
            <w:rPr>
              <w:ins w:id="5" w:author="AbbVie02no" w:date="2025-05-15T12:02:00Z"/>
              <w:sz w:val="22"/>
              <w:szCs w:val="22"/>
            </w:rPr>
          </w:rPrChange>
        </w:rPr>
      </w:pPr>
      <w:ins w:id="6" w:author="AbbVie02no" w:date="2025-05-15T12:01:00Z">
        <w:r w:rsidRPr="003979AA">
          <w:rPr>
            <w:sz w:val="22"/>
            <w:szCs w:val="22"/>
            <w:u w:val="single"/>
            <w:rPrChange w:id="7" w:author="AbbVie02no" w:date="2025-05-15T12:05:00Z">
              <w:rPr>
                <w:sz w:val="22"/>
                <w:szCs w:val="22"/>
              </w:rPr>
            </w:rPrChange>
          </w:rPr>
          <w:t>Hjelpestoffer me</w:t>
        </w:r>
      </w:ins>
      <w:ins w:id="8" w:author="AbbVie02no" w:date="2025-05-15T12:02:00Z">
        <w:r w:rsidRPr="003979AA">
          <w:rPr>
            <w:sz w:val="22"/>
            <w:szCs w:val="22"/>
            <w:u w:val="single"/>
            <w:rPrChange w:id="9" w:author="AbbVie02no" w:date="2025-05-15T12:05:00Z">
              <w:rPr>
                <w:sz w:val="22"/>
                <w:szCs w:val="22"/>
              </w:rPr>
            </w:rPrChange>
          </w:rPr>
          <w:t>d kjent effekt</w:t>
        </w:r>
      </w:ins>
    </w:p>
    <w:p w14:paraId="028FF0AF" w14:textId="77777777" w:rsidR="003979AA" w:rsidRDefault="003979AA" w:rsidP="000C508F">
      <w:pPr>
        <w:rPr>
          <w:ins w:id="10" w:author="AbbVie02no" w:date="2025-05-15T12:02:00Z"/>
          <w:sz w:val="22"/>
          <w:szCs w:val="22"/>
        </w:rPr>
      </w:pPr>
    </w:p>
    <w:p w14:paraId="6D1E95CB" w14:textId="6B314C5E" w:rsidR="003979AA" w:rsidRPr="007F67EE" w:rsidRDefault="00E453CD" w:rsidP="000C508F">
      <w:pPr>
        <w:rPr>
          <w:sz w:val="22"/>
          <w:szCs w:val="22"/>
        </w:rPr>
      </w:pPr>
      <w:ins w:id="11" w:author="AbbVie02no" w:date="2025-05-15T12:02:00Z">
        <w:r>
          <w:rPr>
            <w:sz w:val="22"/>
            <w:szCs w:val="22"/>
          </w:rPr>
          <w:t>Dette legemidlet inneholder 0,2 mg polysorbat 80 i hver 20 mg</w:t>
        </w:r>
      </w:ins>
      <w:ins w:id="12" w:author="AbbVie02no" w:date="2025-05-15T12:03:00Z">
        <w:r>
          <w:rPr>
            <w:sz w:val="22"/>
            <w:szCs w:val="22"/>
          </w:rPr>
          <w:t xml:space="preserve"> dose.</w:t>
        </w:r>
      </w:ins>
    </w:p>
    <w:p w14:paraId="27DF3D83" w14:textId="77777777" w:rsidR="000C508F" w:rsidRPr="007F67EE" w:rsidRDefault="000C508F" w:rsidP="000C508F">
      <w:pPr>
        <w:rPr>
          <w:sz w:val="22"/>
          <w:szCs w:val="22"/>
        </w:rPr>
      </w:pPr>
    </w:p>
    <w:p w14:paraId="3A47814A" w14:textId="77777777" w:rsidR="000C508F" w:rsidRPr="007F67EE" w:rsidRDefault="00E453CD" w:rsidP="000C508F">
      <w:pPr>
        <w:rPr>
          <w:sz w:val="22"/>
          <w:szCs w:val="22"/>
        </w:rPr>
      </w:pPr>
      <w:r w:rsidRPr="007F67EE">
        <w:rPr>
          <w:sz w:val="22"/>
          <w:szCs w:val="22"/>
        </w:rPr>
        <w:t>For fullstendig liste over hjelpestoffer, se pkt.</w:t>
      </w:r>
      <w:r w:rsidR="00592501">
        <w:rPr>
          <w:sz w:val="22"/>
          <w:szCs w:val="22"/>
        </w:rPr>
        <w:t> </w:t>
      </w:r>
      <w:r w:rsidRPr="007F67EE">
        <w:rPr>
          <w:sz w:val="22"/>
          <w:szCs w:val="22"/>
        </w:rPr>
        <w:t>6.1.</w:t>
      </w:r>
    </w:p>
    <w:p w14:paraId="6437BE49" w14:textId="77777777" w:rsidR="000C508F" w:rsidRDefault="000C508F" w:rsidP="000C508F">
      <w:pPr>
        <w:suppressAutoHyphens/>
        <w:rPr>
          <w:sz w:val="22"/>
          <w:szCs w:val="22"/>
        </w:rPr>
      </w:pPr>
    </w:p>
    <w:p w14:paraId="498BDE85" w14:textId="77777777" w:rsidR="0034278E" w:rsidRPr="007F67EE" w:rsidRDefault="0034278E" w:rsidP="00AB7697">
      <w:pPr>
        <w:tabs>
          <w:tab w:val="left" w:pos="6340"/>
        </w:tabs>
        <w:suppressAutoHyphens/>
        <w:rPr>
          <w:sz w:val="22"/>
          <w:szCs w:val="22"/>
        </w:rPr>
      </w:pPr>
    </w:p>
    <w:p w14:paraId="15E472A7" w14:textId="77777777" w:rsidR="000C508F" w:rsidRDefault="00E453CD" w:rsidP="000C508F">
      <w:pPr>
        <w:suppressAutoHyphens/>
        <w:ind w:left="567" w:hanging="567"/>
        <w:rPr>
          <w:b/>
          <w:sz w:val="22"/>
          <w:szCs w:val="22"/>
        </w:rPr>
      </w:pPr>
      <w:r w:rsidRPr="007F67EE">
        <w:rPr>
          <w:b/>
          <w:sz w:val="22"/>
          <w:szCs w:val="22"/>
        </w:rPr>
        <w:t>3.</w:t>
      </w:r>
      <w:r w:rsidRPr="007F67EE">
        <w:rPr>
          <w:b/>
          <w:sz w:val="22"/>
          <w:szCs w:val="22"/>
        </w:rPr>
        <w:tab/>
        <w:t>LEGEMIDDELFORM</w:t>
      </w:r>
    </w:p>
    <w:p w14:paraId="780F3E71" w14:textId="77777777" w:rsidR="000C508F" w:rsidRPr="007F67EE" w:rsidRDefault="000C508F" w:rsidP="000C508F">
      <w:pPr>
        <w:suppressAutoHyphens/>
        <w:rPr>
          <w:sz w:val="22"/>
          <w:szCs w:val="22"/>
        </w:rPr>
      </w:pPr>
    </w:p>
    <w:p w14:paraId="7BDB63B7" w14:textId="77777777" w:rsidR="000C508F" w:rsidRPr="007F67EE" w:rsidRDefault="00E453CD" w:rsidP="0091786F">
      <w:pPr>
        <w:tabs>
          <w:tab w:val="left" w:pos="3828"/>
        </w:tabs>
        <w:suppressAutoHyphens/>
        <w:rPr>
          <w:sz w:val="22"/>
          <w:szCs w:val="22"/>
        </w:rPr>
      </w:pPr>
      <w:r w:rsidRPr="007F67EE">
        <w:rPr>
          <w:sz w:val="22"/>
          <w:szCs w:val="22"/>
        </w:rPr>
        <w:t>Injeksjonsvæske, oppløsning</w:t>
      </w:r>
      <w:r w:rsidR="00575254">
        <w:rPr>
          <w:sz w:val="22"/>
          <w:szCs w:val="22"/>
        </w:rPr>
        <w:t xml:space="preserve"> (injeksjon</w:t>
      </w:r>
      <w:r w:rsidR="0091786F">
        <w:rPr>
          <w:sz w:val="22"/>
          <w:szCs w:val="22"/>
        </w:rPr>
        <w:t>svæske</w:t>
      </w:r>
      <w:r w:rsidR="00575254">
        <w:rPr>
          <w:sz w:val="22"/>
          <w:szCs w:val="22"/>
        </w:rPr>
        <w:t>)</w:t>
      </w:r>
    </w:p>
    <w:p w14:paraId="2A8D6EA0" w14:textId="77777777" w:rsidR="000C508F" w:rsidRPr="00193D76" w:rsidRDefault="000C508F" w:rsidP="000C508F">
      <w:pPr>
        <w:suppressAutoHyphens/>
        <w:rPr>
          <w:sz w:val="22"/>
          <w:szCs w:val="22"/>
        </w:rPr>
      </w:pPr>
    </w:p>
    <w:p w14:paraId="0ED9AF71" w14:textId="77777777" w:rsidR="000C508F" w:rsidRPr="002D0790" w:rsidRDefault="00E453CD" w:rsidP="000C508F">
      <w:pPr>
        <w:suppressAutoHyphens/>
        <w:rPr>
          <w:sz w:val="22"/>
          <w:szCs w:val="22"/>
        </w:rPr>
      </w:pPr>
      <w:r w:rsidRPr="002D0790">
        <w:rPr>
          <w:sz w:val="22"/>
          <w:szCs w:val="22"/>
        </w:rPr>
        <w:t>Klar</w:t>
      </w:r>
      <w:r w:rsidR="00960295">
        <w:rPr>
          <w:sz w:val="22"/>
          <w:szCs w:val="22"/>
        </w:rPr>
        <w:t>,</w:t>
      </w:r>
      <w:r w:rsidRPr="002D0790">
        <w:rPr>
          <w:sz w:val="22"/>
          <w:szCs w:val="22"/>
        </w:rPr>
        <w:t xml:space="preserve"> fargeløs oppløsning.</w:t>
      </w:r>
    </w:p>
    <w:p w14:paraId="502C482F" w14:textId="77777777" w:rsidR="000C508F" w:rsidRDefault="000C508F" w:rsidP="000C508F">
      <w:pPr>
        <w:suppressAutoHyphens/>
        <w:rPr>
          <w:sz w:val="22"/>
          <w:szCs w:val="22"/>
        </w:rPr>
      </w:pPr>
    </w:p>
    <w:p w14:paraId="4DDA0D83" w14:textId="77777777" w:rsidR="000C508F" w:rsidRDefault="000C508F" w:rsidP="000C508F">
      <w:pPr>
        <w:suppressAutoHyphens/>
        <w:rPr>
          <w:sz w:val="22"/>
          <w:szCs w:val="22"/>
        </w:rPr>
      </w:pPr>
    </w:p>
    <w:p w14:paraId="41453DA5" w14:textId="77777777" w:rsidR="000C508F" w:rsidRPr="009C5EFD" w:rsidRDefault="00E453CD" w:rsidP="000C508F">
      <w:pPr>
        <w:suppressAutoHyphens/>
        <w:ind w:left="540" w:hanging="540"/>
        <w:rPr>
          <w:sz w:val="22"/>
          <w:szCs w:val="22"/>
        </w:rPr>
      </w:pPr>
      <w:r w:rsidRPr="009C5EFD">
        <w:rPr>
          <w:b/>
          <w:sz w:val="22"/>
          <w:szCs w:val="22"/>
        </w:rPr>
        <w:t>4.</w:t>
      </w:r>
      <w:r w:rsidRPr="009C5EFD">
        <w:rPr>
          <w:b/>
          <w:sz w:val="22"/>
          <w:szCs w:val="22"/>
        </w:rPr>
        <w:tab/>
        <w:t>KLINISKE OPPLYSNINGER</w:t>
      </w:r>
    </w:p>
    <w:p w14:paraId="185AC1BA" w14:textId="77777777" w:rsidR="000C508F" w:rsidRPr="009C5EFD" w:rsidRDefault="000C508F" w:rsidP="000C508F">
      <w:pPr>
        <w:suppressAutoHyphens/>
        <w:rPr>
          <w:sz w:val="22"/>
          <w:szCs w:val="22"/>
        </w:rPr>
      </w:pPr>
    </w:p>
    <w:p w14:paraId="6CC6CDCA" w14:textId="77777777" w:rsidR="000C508F" w:rsidRPr="009C5EFD" w:rsidRDefault="00E453CD" w:rsidP="00602A37">
      <w:pPr>
        <w:suppressAutoHyphens/>
        <w:ind w:left="576" w:hanging="576"/>
        <w:rPr>
          <w:sz w:val="22"/>
          <w:szCs w:val="22"/>
        </w:rPr>
      </w:pPr>
      <w:r w:rsidRPr="009C5EFD">
        <w:rPr>
          <w:b/>
          <w:sz w:val="22"/>
          <w:szCs w:val="22"/>
        </w:rPr>
        <w:t>4.1</w:t>
      </w:r>
      <w:r w:rsidRPr="009C5EFD">
        <w:rPr>
          <w:b/>
          <w:sz w:val="22"/>
          <w:szCs w:val="22"/>
        </w:rPr>
        <w:tab/>
        <w:t>Indikasjoner</w:t>
      </w:r>
    </w:p>
    <w:p w14:paraId="21D1BAB1" w14:textId="77777777" w:rsidR="000C508F" w:rsidRPr="007F67EE" w:rsidRDefault="000C508F" w:rsidP="000C508F">
      <w:pPr>
        <w:suppressAutoHyphens/>
        <w:rPr>
          <w:sz w:val="22"/>
          <w:szCs w:val="22"/>
        </w:rPr>
      </w:pPr>
    </w:p>
    <w:p w14:paraId="05F3D8F8" w14:textId="77777777" w:rsidR="000C508F" w:rsidRPr="009C5EFD" w:rsidRDefault="00E453CD" w:rsidP="000C508F">
      <w:pPr>
        <w:pStyle w:val="EMEANormal"/>
        <w:rPr>
          <w:szCs w:val="22"/>
          <w:u w:val="single"/>
          <w:lang w:val="nb-NO"/>
        </w:rPr>
      </w:pPr>
      <w:r w:rsidRPr="009C5EFD">
        <w:rPr>
          <w:szCs w:val="22"/>
          <w:u w:val="single"/>
          <w:lang w:val="nb-NO"/>
        </w:rPr>
        <w:t>Juvenil idiopatisk artritt</w:t>
      </w:r>
    </w:p>
    <w:p w14:paraId="76D74C33" w14:textId="77777777" w:rsidR="000C508F" w:rsidRPr="009C5EFD" w:rsidRDefault="000C508F" w:rsidP="000C508F">
      <w:pPr>
        <w:pStyle w:val="EMEANormal"/>
        <w:rPr>
          <w:szCs w:val="22"/>
          <w:u w:val="single"/>
          <w:lang w:val="nb-NO"/>
        </w:rPr>
      </w:pPr>
    </w:p>
    <w:p w14:paraId="3C9343E1" w14:textId="77777777" w:rsidR="000C508F" w:rsidRPr="001F5D4B" w:rsidRDefault="00E453CD" w:rsidP="000C508F">
      <w:pPr>
        <w:pStyle w:val="EMEANormal"/>
        <w:rPr>
          <w:i/>
          <w:szCs w:val="22"/>
          <w:lang w:val="nb-NO"/>
        </w:rPr>
      </w:pPr>
      <w:r w:rsidRPr="001F5D4B">
        <w:rPr>
          <w:i/>
          <w:szCs w:val="22"/>
          <w:lang w:val="nb-NO"/>
        </w:rPr>
        <w:t>Polyartikulær juvenil idiopatisk artritt</w:t>
      </w:r>
    </w:p>
    <w:p w14:paraId="789FD23F" w14:textId="77777777" w:rsidR="000C508F" w:rsidRPr="007F67EE" w:rsidRDefault="000C508F" w:rsidP="000C508F">
      <w:pPr>
        <w:rPr>
          <w:sz w:val="22"/>
          <w:szCs w:val="22"/>
        </w:rPr>
      </w:pPr>
    </w:p>
    <w:p w14:paraId="2651ADFA" w14:textId="77777777" w:rsidR="000C508F" w:rsidRPr="009C5EFD" w:rsidRDefault="00E453CD" w:rsidP="000C508F">
      <w:pPr>
        <w:pStyle w:val="EMEAFigureTitle"/>
        <w:tabs>
          <w:tab w:val="clear" w:pos="562"/>
        </w:tabs>
        <w:suppressAutoHyphens w:val="0"/>
        <w:rPr>
          <w:szCs w:val="22"/>
          <w:lang w:val="nb-NO"/>
        </w:rPr>
      </w:pPr>
      <w:r w:rsidRPr="00193D76">
        <w:rPr>
          <w:szCs w:val="22"/>
          <w:lang w:val="nb-NO"/>
        </w:rPr>
        <w:t xml:space="preserve">Humira i kombinasjon med metotreksat er indisert til behandling av aktiv polyartikulær juvenil idiopatisk artritt </w:t>
      </w:r>
      <w:r w:rsidRPr="002D0790">
        <w:rPr>
          <w:szCs w:val="22"/>
          <w:lang w:val="nb-NO"/>
        </w:rPr>
        <w:t xml:space="preserve">hos pasienter </w:t>
      </w:r>
      <w:r w:rsidR="00960295">
        <w:rPr>
          <w:szCs w:val="22"/>
          <w:lang w:val="nb-NO"/>
        </w:rPr>
        <w:t xml:space="preserve">over </w:t>
      </w:r>
      <w:r w:rsidRPr="002D0790">
        <w:rPr>
          <w:szCs w:val="22"/>
          <w:lang w:val="nb-NO"/>
        </w:rPr>
        <w:t>2</w:t>
      </w:r>
      <w:r w:rsidR="00F73105">
        <w:rPr>
          <w:szCs w:val="22"/>
          <w:lang w:val="nb-NO"/>
        </w:rPr>
        <w:t> </w:t>
      </w:r>
      <w:r w:rsidRPr="002D0790">
        <w:rPr>
          <w:szCs w:val="22"/>
          <w:lang w:val="nb-NO"/>
        </w:rPr>
        <w:t>år, som har respondert utilstrekkelig på et eller flere sykdomsmodifiserende antirevmatiske legemidler (DMARDs). Humira kan gis som monoterapi i tilfelle intoleranse mot metotreksat,</w:t>
      </w:r>
      <w:r w:rsidRPr="00E14E58">
        <w:rPr>
          <w:szCs w:val="22"/>
          <w:lang w:val="nb-NO"/>
        </w:rPr>
        <w:t xml:space="preserve"> eller når fortsettelse av behandling med meto</w:t>
      </w:r>
      <w:r w:rsidRPr="009C5EFD">
        <w:rPr>
          <w:szCs w:val="22"/>
          <w:lang w:val="nb-NO"/>
        </w:rPr>
        <w:t>treksat ikke er hensiktsmessig (for effekt ved monoterapi, se pkt.</w:t>
      </w:r>
      <w:r w:rsidR="00F73105">
        <w:rPr>
          <w:szCs w:val="22"/>
          <w:lang w:val="nb-NO"/>
        </w:rPr>
        <w:t> </w:t>
      </w:r>
      <w:r w:rsidRPr="009C5EFD">
        <w:rPr>
          <w:szCs w:val="22"/>
          <w:lang w:val="nb-NO"/>
        </w:rPr>
        <w:t xml:space="preserve">5.1). Humira er ikke studert hos pasienter </w:t>
      </w:r>
      <w:r w:rsidR="00960295">
        <w:rPr>
          <w:szCs w:val="22"/>
          <w:lang w:val="nb-NO"/>
        </w:rPr>
        <w:t>under</w:t>
      </w:r>
      <w:r w:rsidRPr="009C5EFD">
        <w:rPr>
          <w:szCs w:val="22"/>
          <w:lang w:val="nb-NO"/>
        </w:rPr>
        <w:t xml:space="preserve"> 2</w:t>
      </w:r>
      <w:r w:rsidR="00F73105">
        <w:rPr>
          <w:szCs w:val="22"/>
          <w:lang w:val="nb-NO"/>
        </w:rPr>
        <w:t> </w:t>
      </w:r>
      <w:r w:rsidRPr="009C5EFD">
        <w:rPr>
          <w:szCs w:val="22"/>
          <w:lang w:val="nb-NO"/>
        </w:rPr>
        <w:t>år.</w:t>
      </w:r>
    </w:p>
    <w:p w14:paraId="268C29A9" w14:textId="77777777" w:rsidR="000C508F" w:rsidRPr="009C5EFD" w:rsidRDefault="000C508F" w:rsidP="000C508F">
      <w:pPr>
        <w:pStyle w:val="EMEANormal"/>
        <w:rPr>
          <w:lang w:val="nb-NO"/>
        </w:rPr>
      </w:pPr>
    </w:p>
    <w:p w14:paraId="6A270A10" w14:textId="77777777" w:rsidR="000C508F" w:rsidRPr="007F67EE" w:rsidRDefault="00E453CD" w:rsidP="000C508F">
      <w:pPr>
        <w:pStyle w:val="EMEANormal"/>
        <w:rPr>
          <w:u w:val="single"/>
          <w:lang w:val="nb-NO"/>
        </w:rPr>
      </w:pPr>
      <w:r w:rsidRPr="001F5D4B">
        <w:rPr>
          <w:i/>
          <w:lang w:val="nb-NO"/>
        </w:rPr>
        <w:t>Entesittrelatert artritt</w:t>
      </w:r>
    </w:p>
    <w:p w14:paraId="76BA0790" w14:textId="77777777" w:rsidR="000C508F" w:rsidRPr="002D0790" w:rsidRDefault="000C508F" w:rsidP="000C508F">
      <w:pPr>
        <w:pStyle w:val="EMEANormal"/>
        <w:rPr>
          <w:lang w:val="nb-NO"/>
        </w:rPr>
      </w:pPr>
    </w:p>
    <w:p w14:paraId="59C113E6" w14:textId="77777777" w:rsidR="000C508F" w:rsidRPr="009C5EFD" w:rsidRDefault="00E453CD" w:rsidP="000C508F">
      <w:pPr>
        <w:pStyle w:val="EMEANormal"/>
        <w:rPr>
          <w:lang w:val="nb-NO"/>
        </w:rPr>
      </w:pPr>
      <w:r w:rsidRPr="002D0790">
        <w:rPr>
          <w:lang w:val="nb-NO"/>
        </w:rPr>
        <w:t>Humira er indisert til behandling av aktiv e</w:t>
      </w:r>
      <w:r w:rsidRPr="00E14E58">
        <w:rPr>
          <w:lang w:val="nb-NO"/>
        </w:rPr>
        <w:t>ntesitt</w:t>
      </w:r>
      <w:r w:rsidRPr="009C5EFD">
        <w:rPr>
          <w:lang w:val="nb-NO"/>
        </w:rPr>
        <w:t xml:space="preserve">relatert artritt hos pasienter </w:t>
      </w:r>
      <w:r w:rsidR="00960295">
        <w:rPr>
          <w:lang w:val="nb-NO"/>
        </w:rPr>
        <w:t>over</w:t>
      </w:r>
      <w:r w:rsidRPr="009C5EFD">
        <w:rPr>
          <w:lang w:val="nb-NO"/>
        </w:rPr>
        <w:t xml:space="preserve"> 6</w:t>
      </w:r>
      <w:r w:rsidR="00F73105">
        <w:rPr>
          <w:lang w:val="nb-NO"/>
        </w:rPr>
        <w:t> </w:t>
      </w:r>
      <w:r w:rsidRPr="009C5EFD">
        <w:rPr>
          <w:lang w:val="nb-NO"/>
        </w:rPr>
        <w:t xml:space="preserve">år, som har respondert utilstrekkelig på eller som er intolerante overfor konvensjonell </w:t>
      </w:r>
      <w:r w:rsidR="007A1E0A">
        <w:rPr>
          <w:lang w:val="nb-NO"/>
        </w:rPr>
        <w:t>behandling</w:t>
      </w:r>
      <w:r w:rsidRPr="009C5EFD">
        <w:rPr>
          <w:lang w:val="nb-NO"/>
        </w:rPr>
        <w:t xml:space="preserve"> (se </w:t>
      </w:r>
      <w:r w:rsidRPr="009C5EFD">
        <w:rPr>
          <w:szCs w:val="22"/>
          <w:lang w:val="nb-NO"/>
        </w:rPr>
        <w:t>pkt.</w:t>
      </w:r>
      <w:r w:rsidR="00F73105">
        <w:rPr>
          <w:szCs w:val="22"/>
          <w:lang w:val="nb-NO"/>
        </w:rPr>
        <w:t> </w:t>
      </w:r>
      <w:r w:rsidRPr="009C5EFD">
        <w:rPr>
          <w:szCs w:val="22"/>
          <w:lang w:val="nb-NO"/>
        </w:rPr>
        <w:t>5.1).</w:t>
      </w:r>
    </w:p>
    <w:p w14:paraId="5F2550AB" w14:textId="77777777" w:rsidR="000C508F" w:rsidRPr="009C5EFD" w:rsidRDefault="000C508F" w:rsidP="000C508F">
      <w:pPr>
        <w:rPr>
          <w:sz w:val="22"/>
          <w:szCs w:val="22"/>
          <w:u w:val="single"/>
        </w:rPr>
      </w:pPr>
    </w:p>
    <w:p w14:paraId="3594A276" w14:textId="77777777" w:rsidR="000C508F" w:rsidRPr="009C5EFD" w:rsidRDefault="00E453CD" w:rsidP="00776A84">
      <w:pPr>
        <w:keepNext/>
        <w:rPr>
          <w:sz w:val="22"/>
          <w:szCs w:val="22"/>
          <w:u w:val="single"/>
        </w:rPr>
      </w:pPr>
      <w:r w:rsidRPr="009C5EFD">
        <w:rPr>
          <w:sz w:val="22"/>
          <w:szCs w:val="22"/>
          <w:u w:val="single"/>
        </w:rPr>
        <w:t>Pediatrisk plakkpsoriasis</w:t>
      </w:r>
    </w:p>
    <w:p w14:paraId="222969C0" w14:textId="77777777" w:rsidR="000C508F" w:rsidRPr="009C5EFD" w:rsidRDefault="000C508F" w:rsidP="00776A84">
      <w:pPr>
        <w:keepNext/>
        <w:rPr>
          <w:sz w:val="22"/>
          <w:szCs w:val="22"/>
        </w:rPr>
      </w:pPr>
    </w:p>
    <w:p w14:paraId="29CABF45" w14:textId="77777777" w:rsidR="000C508F" w:rsidRPr="009C5EFD" w:rsidRDefault="00E453CD" w:rsidP="000C508F">
      <w:pPr>
        <w:rPr>
          <w:sz w:val="22"/>
          <w:szCs w:val="22"/>
        </w:rPr>
      </w:pPr>
      <w:r w:rsidRPr="009C5EFD">
        <w:rPr>
          <w:sz w:val="22"/>
          <w:szCs w:val="22"/>
        </w:rPr>
        <w:t xml:space="preserve">Humira er indisert til behandling av alvorlig kronisk plakkpsoriasis hos barn og ungdom </w:t>
      </w:r>
      <w:r w:rsidR="00960295">
        <w:rPr>
          <w:sz w:val="22"/>
          <w:szCs w:val="22"/>
        </w:rPr>
        <w:t xml:space="preserve">over </w:t>
      </w:r>
      <w:r w:rsidRPr="009C5EFD">
        <w:rPr>
          <w:sz w:val="22"/>
          <w:szCs w:val="22"/>
        </w:rPr>
        <w:t>4</w:t>
      </w:r>
      <w:r w:rsidR="00F73105">
        <w:rPr>
          <w:sz w:val="22"/>
          <w:szCs w:val="22"/>
        </w:rPr>
        <w:t> </w:t>
      </w:r>
      <w:r w:rsidRPr="009C5EFD">
        <w:rPr>
          <w:sz w:val="22"/>
          <w:szCs w:val="22"/>
        </w:rPr>
        <w:t xml:space="preserve">år, som har respondert utilstrekkelig på eller som er uegnede kandidater for topikal behandling og </w:t>
      </w:r>
      <w:r>
        <w:rPr>
          <w:sz w:val="22"/>
          <w:szCs w:val="22"/>
        </w:rPr>
        <w:t>lysbehandling</w:t>
      </w:r>
      <w:r w:rsidRPr="009C5EFD">
        <w:rPr>
          <w:sz w:val="22"/>
          <w:szCs w:val="22"/>
        </w:rPr>
        <w:t xml:space="preserve">. </w:t>
      </w:r>
    </w:p>
    <w:p w14:paraId="62188FB5" w14:textId="77777777" w:rsidR="000C508F" w:rsidRPr="009C5EFD" w:rsidRDefault="000C508F" w:rsidP="000C508F">
      <w:pPr>
        <w:pStyle w:val="EMEANormal"/>
        <w:rPr>
          <w:lang w:val="nb-NO"/>
        </w:rPr>
      </w:pPr>
    </w:p>
    <w:p w14:paraId="634E0432" w14:textId="77777777" w:rsidR="000C508F" w:rsidRPr="009C5EFD" w:rsidRDefault="00E453CD" w:rsidP="00776A84">
      <w:pPr>
        <w:pStyle w:val="EMEANormal"/>
        <w:keepNext/>
        <w:rPr>
          <w:u w:val="single"/>
          <w:lang w:val="nb-NO"/>
        </w:rPr>
      </w:pPr>
      <w:r w:rsidRPr="009C5EFD">
        <w:rPr>
          <w:u w:val="single"/>
          <w:lang w:val="nb-NO"/>
        </w:rPr>
        <w:t>Pediatrisk Crohns sykdom</w:t>
      </w:r>
    </w:p>
    <w:p w14:paraId="4303CC27" w14:textId="77777777" w:rsidR="000C508F" w:rsidRPr="009C5EFD" w:rsidRDefault="000C508F" w:rsidP="00776A84">
      <w:pPr>
        <w:pStyle w:val="EMEANormal"/>
        <w:keepNext/>
        <w:rPr>
          <w:u w:val="single"/>
          <w:lang w:val="nb-NO"/>
        </w:rPr>
      </w:pPr>
    </w:p>
    <w:p w14:paraId="03BBD3C8" w14:textId="77777777" w:rsidR="000C508F" w:rsidRDefault="00E453CD" w:rsidP="00AB7697">
      <w:pPr>
        <w:pStyle w:val="EMEANormal"/>
        <w:rPr>
          <w:szCs w:val="22"/>
          <w:lang w:val="nb-NO"/>
        </w:rPr>
      </w:pPr>
      <w:r w:rsidRPr="009C5EFD">
        <w:rPr>
          <w:lang w:val="nb-NO"/>
        </w:rPr>
        <w:t xml:space="preserve">Humira er indisert til behandling av </w:t>
      </w:r>
      <w:r>
        <w:rPr>
          <w:lang w:val="nb-NO"/>
        </w:rPr>
        <w:t xml:space="preserve">moderat til </w:t>
      </w:r>
      <w:r w:rsidRPr="009C5EFD">
        <w:rPr>
          <w:lang w:val="nb-NO"/>
        </w:rPr>
        <w:t>alvorlig aktiv Crohns sykdom hos pediatriske pasienter (</w:t>
      </w:r>
      <w:r w:rsidR="00960295">
        <w:rPr>
          <w:lang w:val="nb-NO"/>
        </w:rPr>
        <w:t>over</w:t>
      </w:r>
      <w:r w:rsidRPr="009C5EFD">
        <w:rPr>
          <w:lang w:val="nb-NO"/>
        </w:rPr>
        <w:t xml:space="preserve"> 6</w:t>
      </w:r>
      <w:r w:rsidR="00F73105">
        <w:rPr>
          <w:lang w:val="nb-NO"/>
        </w:rPr>
        <w:t> </w:t>
      </w:r>
      <w:r w:rsidRPr="009C5EFD">
        <w:rPr>
          <w:lang w:val="nb-NO"/>
        </w:rPr>
        <w:t xml:space="preserve">år), som har respondert utilstrekkelig på konvensjonell </w:t>
      </w:r>
      <w:r w:rsidR="007A1E0A">
        <w:rPr>
          <w:lang w:val="nb-NO"/>
        </w:rPr>
        <w:t>behandling</w:t>
      </w:r>
      <w:r w:rsidR="007A1E0A" w:rsidRPr="009C5EFD">
        <w:rPr>
          <w:lang w:val="nb-NO"/>
        </w:rPr>
        <w:t xml:space="preserve"> </w:t>
      </w:r>
      <w:r w:rsidRPr="009C5EFD">
        <w:rPr>
          <w:lang w:val="nb-NO"/>
        </w:rPr>
        <w:t xml:space="preserve">inkludert primær </w:t>
      </w:r>
      <w:r w:rsidRPr="009C5EFD">
        <w:rPr>
          <w:lang w:val="nb-NO"/>
        </w:rPr>
        <w:lastRenderedPageBreak/>
        <w:t xml:space="preserve">ernæringsterapi </w:t>
      </w:r>
      <w:r>
        <w:rPr>
          <w:lang w:val="nb-NO"/>
        </w:rPr>
        <w:t xml:space="preserve">og </w:t>
      </w:r>
      <w:r w:rsidRPr="009C5EFD">
        <w:rPr>
          <w:lang w:val="nb-NO"/>
        </w:rPr>
        <w:t>et kortikosteroid og</w:t>
      </w:r>
      <w:r>
        <w:rPr>
          <w:lang w:val="nb-NO"/>
        </w:rPr>
        <w:t>/eller</w:t>
      </w:r>
      <w:r w:rsidRPr="009C5EFD">
        <w:rPr>
          <w:lang w:val="nb-NO"/>
        </w:rPr>
        <w:t xml:space="preserve"> et immunmodulerende middel, </w:t>
      </w:r>
      <w:r w:rsidRPr="009C5EFD">
        <w:rPr>
          <w:szCs w:val="22"/>
          <w:lang w:val="nb-NO"/>
        </w:rPr>
        <w:t>eller som ikke tolererer eller har kontraindikasjoner mot slike behandlinger.</w:t>
      </w:r>
    </w:p>
    <w:p w14:paraId="57B84A70" w14:textId="77777777" w:rsidR="007D372A" w:rsidRPr="00AB7697" w:rsidRDefault="007D372A" w:rsidP="00AB7697">
      <w:pPr>
        <w:pStyle w:val="EMEANormal"/>
        <w:rPr>
          <w:szCs w:val="22"/>
          <w:lang w:val="nb-NO"/>
        </w:rPr>
      </w:pPr>
    </w:p>
    <w:p w14:paraId="540CA006" w14:textId="77777777" w:rsidR="000C508F" w:rsidRPr="00AB7697" w:rsidRDefault="00E453CD" w:rsidP="007D372A">
      <w:pPr>
        <w:pStyle w:val="EMEANormal"/>
        <w:keepNext/>
        <w:rPr>
          <w:szCs w:val="22"/>
          <w:lang w:val="nb-NO"/>
        </w:rPr>
      </w:pPr>
      <w:r>
        <w:rPr>
          <w:szCs w:val="22"/>
          <w:u w:val="single"/>
          <w:lang w:val="nb-NO"/>
        </w:rPr>
        <w:t>Pediatrisk uveitt</w:t>
      </w:r>
    </w:p>
    <w:p w14:paraId="0363F142" w14:textId="77777777" w:rsidR="000C508F" w:rsidRDefault="000C508F" w:rsidP="000C508F">
      <w:pPr>
        <w:pStyle w:val="EMEANormal"/>
        <w:keepNext/>
        <w:rPr>
          <w:u w:val="single"/>
          <w:lang w:val="nb-NO"/>
        </w:rPr>
      </w:pPr>
    </w:p>
    <w:p w14:paraId="2C2B13BF" w14:textId="77777777" w:rsidR="000C508F" w:rsidRDefault="00E453CD" w:rsidP="00776A84">
      <w:pPr>
        <w:pStyle w:val="EMEANormal"/>
        <w:rPr>
          <w:lang w:val="nb-NO"/>
        </w:rPr>
      </w:pPr>
      <w:r>
        <w:rPr>
          <w:lang w:val="nb-NO"/>
        </w:rPr>
        <w:t xml:space="preserve">Humira er indisert til behandling av pediatrisk kronisk ikke-infeksiøs fremre uveitt hos pasienter </w:t>
      </w:r>
      <w:r w:rsidR="00960295">
        <w:rPr>
          <w:lang w:val="nb-NO"/>
        </w:rPr>
        <w:t>over</w:t>
      </w:r>
      <w:r>
        <w:rPr>
          <w:lang w:val="nb-NO"/>
        </w:rPr>
        <w:t xml:space="preserve"> 2 år, som har respondert utilstrekkelig på eller er intolerante overfor konvensjonell behandling, eller der konvensjonell behandling ikke er hensiktsmessig.</w:t>
      </w:r>
    </w:p>
    <w:p w14:paraId="0BA144A8" w14:textId="77777777" w:rsidR="00D40F9C" w:rsidRPr="009C5EFD" w:rsidRDefault="00D40F9C" w:rsidP="00D40F9C">
      <w:pPr>
        <w:rPr>
          <w:sz w:val="22"/>
          <w:szCs w:val="22"/>
        </w:rPr>
      </w:pPr>
    </w:p>
    <w:p w14:paraId="44D39256" w14:textId="77777777" w:rsidR="00D40F9C" w:rsidRPr="009C5EFD" w:rsidRDefault="00E453CD" w:rsidP="00602A37">
      <w:pPr>
        <w:keepNext/>
        <w:numPr>
          <w:ilvl w:val="1"/>
          <w:numId w:val="2"/>
        </w:numPr>
        <w:tabs>
          <w:tab w:val="clear" w:pos="570"/>
          <w:tab w:val="num" w:pos="678"/>
        </w:tabs>
        <w:ind w:left="576" w:hanging="576"/>
        <w:rPr>
          <w:b/>
          <w:sz w:val="22"/>
          <w:szCs w:val="22"/>
        </w:rPr>
      </w:pPr>
      <w:r w:rsidRPr="009C5EFD">
        <w:rPr>
          <w:b/>
          <w:sz w:val="22"/>
          <w:szCs w:val="22"/>
        </w:rPr>
        <w:t>Dosering og administrasjonsmåte</w:t>
      </w:r>
    </w:p>
    <w:p w14:paraId="03A1B4A7" w14:textId="77777777" w:rsidR="00D40F9C" w:rsidRDefault="00D40F9C" w:rsidP="00776A84">
      <w:pPr>
        <w:keepNext/>
      </w:pPr>
    </w:p>
    <w:p w14:paraId="6D9C221D" w14:textId="77777777" w:rsidR="009215F5" w:rsidRPr="009C5EFD" w:rsidRDefault="00E453CD" w:rsidP="009215F5">
      <w:pPr>
        <w:pStyle w:val="EndnoteText"/>
        <w:tabs>
          <w:tab w:val="clear" w:pos="567"/>
        </w:tabs>
        <w:rPr>
          <w:szCs w:val="22"/>
          <w:lang w:val="nb-NO"/>
        </w:rPr>
      </w:pPr>
      <w:r w:rsidRPr="009C5EFD">
        <w:rPr>
          <w:szCs w:val="22"/>
          <w:lang w:val="nb-NO"/>
        </w:rPr>
        <w:t xml:space="preserve">Behandling med Humira bør startes opp og overvåkes av spesialistlege med erfaring i diagnostikk og behandling av sykdom som Humira er indisert til. </w:t>
      </w:r>
      <w:r>
        <w:rPr>
          <w:szCs w:val="22"/>
          <w:lang w:val="nb-NO"/>
        </w:rPr>
        <w:t xml:space="preserve">Oftalmologer rådes til å konsultere en passende spesialist før oppstart av behandling med Humira (se pkt. 4.4). </w:t>
      </w:r>
      <w:r w:rsidRPr="009C5EFD">
        <w:rPr>
          <w:szCs w:val="22"/>
          <w:lang w:val="nb-NO"/>
        </w:rPr>
        <w:t>Pasienter som behandles med Humira bør gis et pasientkort med sikkerhetsinformasjon.</w:t>
      </w:r>
    </w:p>
    <w:p w14:paraId="19D59C43" w14:textId="77777777" w:rsidR="009215F5" w:rsidRPr="009C5EFD" w:rsidRDefault="009215F5" w:rsidP="009215F5">
      <w:pPr>
        <w:pStyle w:val="EndnoteText"/>
        <w:tabs>
          <w:tab w:val="clear" w:pos="567"/>
        </w:tabs>
        <w:rPr>
          <w:szCs w:val="22"/>
          <w:lang w:val="nb-NO"/>
        </w:rPr>
      </w:pPr>
    </w:p>
    <w:p w14:paraId="32D87535" w14:textId="77777777" w:rsidR="009215F5" w:rsidRPr="009C5EFD" w:rsidRDefault="00E453CD" w:rsidP="009215F5">
      <w:pPr>
        <w:rPr>
          <w:sz w:val="22"/>
          <w:szCs w:val="22"/>
        </w:rPr>
      </w:pPr>
      <w:r w:rsidRPr="009C5EFD">
        <w:rPr>
          <w:sz w:val="22"/>
          <w:szCs w:val="22"/>
        </w:rPr>
        <w:t>Etter opplæring i injeksjonsteknikk kan pasientene selv injisere Humira dersom legen mener det er forsvarlig, og med nødvendig medisinsk oppfølging.</w:t>
      </w:r>
    </w:p>
    <w:p w14:paraId="351534F1" w14:textId="77777777" w:rsidR="00941A3B" w:rsidRDefault="00941A3B"/>
    <w:p w14:paraId="099CCE5B" w14:textId="77777777" w:rsidR="00941A3B" w:rsidRPr="009C5EFD" w:rsidRDefault="00E453CD" w:rsidP="00941A3B">
      <w:pPr>
        <w:rPr>
          <w:sz w:val="22"/>
          <w:szCs w:val="22"/>
        </w:rPr>
      </w:pPr>
      <w:r w:rsidRPr="009C5EFD">
        <w:rPr>
          <w:sz w:val="22"/>
          <w:szCs w:val="22"/>
        </w:rPr>
        <w:t>Under behandling med Humira bør annen samtidig terapi (f.eks. kortikosteroider og/eller immunmodulerende midler) være optimalisert.</w:t>
      </w:r>
    </w:p>
    <w:p w14:paraId="5FA53380" w14:textId="77777777" w:rsidR="00941A3B" w:rsidRDefault="00941A3B"/>
    <w:p w14:paraId="5FB5A96A" w14:textId="77777777" w:rsidR="00941A3B" w:rsidRPr="009C5EFD" w:rsidRDefault="00E453CD" w:rsidP="00776A84">
      <w:pPr>
        <w:keepNext/>
        <w:rPr>
          <w:sz w:val="22"/>
          <w:szCs w:val="22"/>
          <w:u w:val="single"/>
        </w:rPr>
      </w:pPr>
      <w:r w:rsidRPr="009C5EFD">
        <w:rPr>
          <w:sz w:val="22"/>
          <w:szCs w:val="22"/>
          <w:u w:val="single"/>
        </w:rPr>
        <w:t>Dosering</w:t>
      </w:r>
    </w:p>
    <w:p w14:paraId="57312145" w14:textId="77777777" w:rsidR="00941A3B" w:rsidRPr="009C5EFD" w:rsidRDefault="00941A3B" w:rsidP="00776A84">
      <w:pPr>
        <w:keepNext/>
        <w:rPr>
          <w:sz w:val="22"/>
          <w:szCs w:val="22"/>
          <w:u w:val="single"/>
        </w:rPr>
      </w:pPr>
    </w:p>
    <w:p w14:paraId="12D64523" w14:textId="77777777" w:rsidR="00941A3B" w:rsidRPr="009C5EFD" w:rsidRDefault="00E453CD" w:rsidP="00776A84">
      <w:pPr>
        <w:keepNext/>
        <w:rPr>
          <w:sz w:val="22"/>
          <w:szCs w:val="22"/>
          <w:u w:val="single"/>
        </w:rPr>
      </w:pPr>
      <w:r w:rsidRPr="009C5EFD">
        <w:rPr>
          <w:sz w:val="22"/>
          <w:szCs w:val="22"/>
          <w:u w:val="single"/>
        </w:rPr>
        <w:t xml:space="preserve">Pediatrisk populasjon </w:t>
      </w:r>
    </w:p>
    <w:p w14:paraId="412706DD" w14:textId="77777777" w:rsidR="00941A3B" w:rsidRPr="009C5EFD" w:rsidRDefault="00941A3B" w:rsidP="00776A84">
      <w:pPr>
        <w:keepNext/>
        <w:rPr>
          <w:sz w:val="22"/>
          <w:szCs w:val="22"/>
          <w:u w:val="single"/>
        </w:rPr>
      </w:pPr>
    </w:p>
    <w:p w14:paraId="113F1A24" w14:textId="77777777" w:rsidR="00941A3B" w:rsidRPr="007F67EE" w:rsidRDefault="00E453CD" w:rsidP="00776A84">
      <w:pPr>
        <w:pStyle w:val="EMEANormal"/>
        <w:keepNext/>
        <w:rPr>
          <w:szCs w:val="22"/>
          <w:u w:val="single"/>
          <w:lang w:val="nb-NO"/>
        </w:rPr>
      </w:pPr>
      <w:r w:rsidRPr="001F5D4B">
        <w:rPr>
          <w:i/>
          <w:szCs w:val="22"/>
          <w:lang w:val="nb-NO"/>
        </w:rPr>
        <w:t>Juvenil idiopatisk artritt</w:t>
      </w:r>
    </w:p>
    <w:p w14:paraId="3CDA7FFD" w14:textId="77777777" w:rsidR="00941A3B" w:rsidRPr="00193D76" w:rsidRDefault="00941A3B" w:rsidP="00776A84">
      <w:pPr>
        <w:pStyle w:val="EMEANormal"/>
        <w:keepNext/>
        <w:rPr>
          <w:szCs w:val="22"/>
          <w:u w:val="single"/>
          <w:lang w:val="nb-NO"/>
        </w:rPr>
      </w:pPr>
    </w:p>
    <w:p w14:paraId="256CED7F" w14:textId="77777777" w:rsidR="00801A38" w:rsidRDefault="00E453CD" w:rsidP="00776A84">
      <w:pPr>
        <w:keepNext/>
        <w:rPr>
          <w:i/>
          <w:sz w:val="22"/>
          <w:szCs w:val="22"/>
          <w:u w:val="single"/>
        </w:rPr>
      </w:pPr>
      <w:r w:rsidRPr="001F5D4B">
        <w:rPr>
          <w:i/>
          <w:sz w:val="22"/>
          <w:szCs w:val="22"/>
          <w:u w:val="single"/>
        </w:rPr>
        <w:t xml:space="preserve">Polyartikulær juvenil idiopatisk artritt </w:t>
      </w:r>
      <w:r w:rsidR="00871213">
        <w:rPr>
          <w:i/>
          <w:sz w:val="22"/>
          <w:szCs w:val="22"/>
          <w:u w:val="single"/>
        </w:rPr>
        <w:t>fra 2</w:t>
      </w:r>
      <w:r w:rsidR="00E14886">
        <w:rPr>
          <w:i/>
          <w:sz w:val="22"/>
          <w:szCs w:val="22"/>
          <w:u w:val="single"/>
        </w:rPr>
        <w:t> </w:t>
      </w:r>
      <w:r w:rsidR="00871213">
        <w:rPr>
          <w:i/>
          <w:sz w:val="22"/>
          <w:szCs w:val="22"/>
          <w:u w:val="single"/>
        </w:rPr>
        <w:t>år</w:t>
      </w:r>
      <w:r w:rsidR="00865FB1">
        <w:rPr>
          <w:i/>
          <w:sz w:val="22"/>
          <w:szCs w:val="22"/>
          <w:u w:val="single"/>
        </w:rPr>
        <w:t>s alder</w:t>
      </w:r>
    </w:p>
    <w:p w14:paraId="5EDFD9C8" w14:textId="77777777" w:rsidR="00871213" w:rsidRDefault="00871213" w:rsidP="00776A84">
      <w:pPr>
        <w:keepNext/>
        <w:rPr>
          <w:sz w:val="22"/>
          <w:szCs w:val="22"/>
          <w:u w:val="single"/>
        </w:rPr>
      </w:pPr>
    </w:p>
    <w:p w14:paraId="4CB2B3C8" w14:textId="77777777" w:rsidR="00A91258" w:rsidRPr="001F5D4B" w:rsidRDefault="00E453CD" w:rsidP="00801A38">
      <w:pPr>
        <w:rPr>
          <w:sz w:val="22"/>
          <w:szCs w:val="22"/>
          <w:u w:val="single"/>
        </w:rPr>
      </w:pPr>
      <w:r w:rsidRPr="002D0790">
        <w:rPr>
          <w:sz w:val="22"/>
          <w:szCs w:val="22"/>
        </w:rPr>
        <w:t>Anbefalt dose av Humira til pasienter</w:t>
      </w:r>
      <w:r w:rsidR="00D26E99">
        <w:rPr>
          <w:sz w:val="22"/>
          <w:szCs w:val="22"/>
        </w:rPr>
        <w:t xml:space="preserve"> over 2</w:t>
      </w:r>
      <w:r w:rsidR="00837298">
        <w:rPr>
          <w:sz w:val="22"/>
          <w:szCs w:val="22"/>
        </w:rPr>
        <w:t> </w:t>
      </w:r>
      <w:r w:rsidR="00D26E99">
        <w:rPr>
          <w:sz w:val="22"/>
          <w:szCs w:val="22"/>
        </w:rPr>
        <w:t>år</w:t>
      </w:r>
      <w:r w:rsidRPr="002D0790">
        <w:rPr>
          <w:sz w:val="22"/>
          <w:szCs w:val="22"/>
        </w:rPr>
        <w:t xml:space="preserve"> med polyarti</w:t>
      </w:r>
      <w:r>
        <w:rPr>
          <w:sz w:val="22"/>
          <w:szCs w:val="22"/>
        </w:rPr>
        <w:t>kulær juvenil idiopatisk artritt er basert på kroppsvekt (</w:t>
      </w:r>
      <w:r w:rsidR="006B55F0">
        <w:rPr>
          <w:sz w:val="22"/>
          <w:szCs w:val="22"/>
        </w:rPr>
        <w:t>t</w:t>
      </w:r>
      <w:r>
        <w:rPr>
          <w:sz w:val="22"/>
          <w:szCs w:val="22"/>
        </w:rPr>
        <w:t>abell</w:t>
      </w:r>
      <w:r w:rsidR="00E14886">
        <w:rPr>
          <w:sz w:val="22"/>
          <w:szCs w:val="22"/>
        </w:rPr>
        <w:t> </w:t>
      </w:r>
      <w:r>
        <w:rPr>
          <w:sz w:val="22"/>
          <w:szCs w:val="22"/>
        </w:rPr>
        <w:t>1). Humira a</w:t>
      </w:r>
      <w:r w:rsidR="00A7401C">
        <w:rPr>
          <w:sz w:val="22"/>
          <w:szCs w:val="22"/>
        </w:rPr>
        <w:t xml:space="preserve">dministreres </w:t>
      </w:r>
      <w:r w:rsidR="00DC7F42">
        <w:rPr>
          <w:sz w:val="22"/>
          <w:szCs w:val="22"/>
        </w:rPr>
        <w:t xml:space="preserve">som </w:t>
      </w:r>
      <w:r w:rsidR="00A7401C">
        <w:rPr>
          <w:sz w:val="22"/>
          <w:szCs w:val="22"/>
        </w:rPr>
        <w:t>subkutan</w:t>
      </w:r>
      <w:r w:rsidR="00DC7F42">
        <w:rPr>
          <w:sz w:val="22"/>
          <w:szCs w:val="22"/>
        </w:rPr>
        <w:t xml:space="preserve"> injeksjon</w:t>
      </w:r>
      <w:r w:rsidR="00A7401C">
        <w:rPr>
          <w:sz w:val="22"/>
          <w:szCs w:val="22"/>
        </w:rPr>
        <w:t xml:space="preserve"> annenhver uke.</w:t>
      </w:r>
    </w:p>
    <w:p w14:paraId="7EA7EF98" w14:textId="77777777" w:rsidR="00801A38" w:rsidRDefault="00801A38"/>
    <w:p w14:paraId="0B9FA8A9" w14:textId="77777777" w:rsidR="00A7401C" w:rsidRPr="000624CD" w:rsidRDefault="00E453CD" w:rsidP="00776A84">
      <w:pPr>
        <w:keepNext/>
        <w:jc w:val="center"/>
        <w:rPr>
          <w:sz w:val="22"/>
          <w:szCs w:val="22"/>
        </w:rPr>
      </w:pPr>
      <w:r w:rsidRPr="00AB7697">
        <w:rPr>
          <w:b/>
          <w:sz w:val="22"/>
          <w:szCs w:val="22"/>
        </w:rPr>
        <w:t>Tabell</w:t>
      </w:r>
      <w:r w:rsidR="00E14886" w:rsidRPr="00AB7697">
        <w:rPr>
          <w:b/>
          <w:sz w:val="22"/>
          <w:szCs w:val="22"/>
        </w:rPr>
        <w:t> </w:t>
      </w:r>
      <w:r w:rsidRPr="00AB7697">
        <w:rPr>
          <w:b/>
          <w:sz w:val="22"/>
          <w:szCs w:val="22"/>
        </w:rPr>
        <w:t xml:space="preserve">1. Humiradosering for pasienter med polyartikulær juvenil idiopatisk artritt </w:t>
      </w:r>
    </w:p>
    <w:p w14:paraId="07161A6A" w14:textId="77777777" w:rsidR="00A7401C" w:rsidRPr="00AB7697" w:rsidRDefault="00A7401C" w:rsidP="00776A84">
      <w:pPr>
        <w:keepNext/>
        <w:rPr>
          <w:szCs w:val="22"/>
        </w:rPr>
      </w:pPr>
    </w:p>
    <w:tbl>
      <w:tblPr>
        <w:tblW w:w="6795" w:type="dxa"/>
        <w:jc w:val="center"/>
        <w:tblLayout w:type="fixed"/>
        <w:tblLook w:val="04A0" w:firstRow="1" w:lastRow="0" w:firstColumn="1" w:lastColumn="0" w:noHBand="0" w:noVBand="1"/>
      </w:tblPr>
      <w:tblGrid>
        <w:gridCol w:w="3401"/>
        <w:gridCol w:w="3394"/>
      </w:tblGrid>
      <w:tr w:rsidR="004644D4" w14:paraId="66EEFD41" w14:textId="77777777" w:rsidTr="00A7401C">
        <w:trPr>
          <w:tblHeader/>
          <w:jc w:val="center"/>
        </w:trPr>
        <w:tc>
          <w:tcPr>
            <w:tcW w:w="3401" w:type="dxa"/>
            <w:tcBorders>
              <w:top w:val="single" w:sz="4" w:space="0" w:color="auto"/>
              <w:left w:val="nil"/>
              <w:bottom w:val="single" w:sz="4" w:space="0" w:color="auto"/>
              <w:right w:val="nil"/>
            </w:tcBorders>
            <w:hideMark/>
          </w:tcPr>
          <w:p w14:paraId="75FFFEC4" w14:textId="77777777" w:rsidR="00A7401C" w:rsidRDefault="00E453CD">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78DD901F" w14:textId="77777777" w:rsidR="00A7401C" w:rsidRDefault="00E453CD">
            <w:pPr>
              <w:pStyle w:val="TableLeft"/>
              <w:jc w:val="center"/>
              <w:rPr>
                <w:b/>
                <w:sz w:val="22"/>
                <w:szCs w:val="22"/>
              </w:rPr>
            </w:pPr>
            <w:r>
              <w:rPr>
                <w:b/>
                <w:sz w:val="22"/>
                <w:szCs w:val="22"/>
              </w:rPr>
              <w:t>Dosering</w:t>
            </w:r>
          </w:p>
        </w:tc>
      </w:tr>
      <w:tr w:rsidR="004644D4" w14:paraId="32F8FE0E" w14:textId="77777777" w:rsidTr="00A7401C">
        <w:trPr>
          <w:tblHeader/>
          <w:jc w:val="center"/>
        </w:trPr>
        <w:tc>
          <w:tcPr>
            <w:tcW w:w="3401" w:type="dxa"/>
            <w:tcBorders>
              <w:top w:val="single" w:sz="4" w:space="0" w:color="auto"/>
              <w:left w:val="nil"/>
              <w:bottom w:val="single" w:sz="4" w:space="0" w:color="auto"/>
              <w:right w:val="nil"/>
            </w:tcBorders>
            <w:hideMark/>
          </w:tcPr>
          <w:p w14:paraId="79769A86" w14:textId="77777777" w:rsidR="00A7401C" w:rsidRDefault="00E453CD">
            <w:pPr>
              <w:pStyle w:val="TableLeft"/>
              <w:jc w:val="center"/>
              <w:rPr>
                <w:b/>
                <w:sz w:val="22"/>
                <w:szCs w:val="22"/>
              </w:rPr>
            </w:pPr>
            <w:r>
              <w:rPr>
                <w:sz w:val="22"/>
                <w:szCs w:val="22"/>
              </w:rPr>
              <w:t>10</w:t>
            </w:r>
            <w:r w:rsidR="00E14886">
              <w:rPr>
                <w:sz w:val="22"/>
                <w:szCs w:val="22"/>
              </w:rPr>
              <w:t> </w:t>
            </w:r>
            <w:r>
              <w:rPr>
                <w:sz w:val="22"/>
                <w:szCs w:val="22"/>
              </w:rPr>
              <w:t>kg til &lt; 30</w:t>
            </w:r>
            <w:r w:rsidR="00E14886">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561306CE" w14:textId="77777777" w:rsidR="00A7401C" w:rsidRDefault="00E453CD">
            <w:pPr>
              <w:pStyle w:val="TableLeft"/>
              <w:jc w:val="center"/>
              <w:rPr>
                <w:b/>
                <w:sz w:val="22"/>
                <w:szCs w:val="22"/>
              </w:rPr>
            </w:pPr>
            <w:r>
              <w:rPr>
                <w:sz w:val="22"/>
                <w:szCs w:val="22"/>
              </w:rPr>
              <w:t>20</w:t>
            </w:r>
            <w:r w:rsidR="00E14886">
              <w:rPr>
                <w:sz w:val="22"/>
                <w:szCs w:val="22"/>
              </w:rPr>
              <w:t> </w:t>
            </w:r>
            <w:r>
              <w:rPr>
                <w:sz w:val="22"/>
                <w:szCs w:val="22"/>
              </w:rPr>
              <w:t>mg annenhver uke</w:t>
            </w:r>
          </w:p>
        </w:tc>
      </w:tr>
      <w:tr w:rsidR="004644D4" w14:paraId="0AD9A43F" w14:textId="77777777" w:rsidTr="00A7401C">
        <w:trPr>
          <w:tblHeader/>
          <w:jc w:val="center"/>
        </w:trPr>
        <w:tc>
          <w:tcPr>
            <w:tcW w:w="3401" w:type="dxa"/>
            <w:tcBorders>
              <w:top w:val="single" w:sz="4" w:space="0" w:color="auto"/>
              <w:left w:val="nil"/>
              <w:bottom w:val="single" w:sz="4" w:space="0" w:color="auto"/>
              <w:right w:val="nil"/>
            </w:tcBorders>
            <w:hideMark/>
          </w:tcPr>
          <w:p w14:paraId="1537242C" w14:textId="77777777" w:rsidR="00A7401C" w:rsidRDefault="00E453CD">
            <w:pPr>
              <w:pStyle w:val="TableLeft"/>
              <w:jc w:val="center"/>
              <w:rPr>
                <w:b/>
                <w:sz w:val="22"/>
                <w:szCs w:val="22"/>
              </w:rPr>
            </w:pPr>
            <w:r>
              <w:rPr>
                <w:sz w:val="22"/>
                <w:szCs w:val="22"/>
              </w:rPr>
              <w:t>≥ 30</w:t>
            </w:r>
            <w:r w:rsidR="00E14886">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7F737197" w14:textId="77777777" w:rsidR="00A7401C" w:rsidRDefault="00E453CD">
            <w:pPr>
              <w:pStyle w:val="TableLeft"/>
              <w:jc w:val="center"/>
              <w:rPr>
                <w:b/>
                <w:sz w:val="22"/>
                <w:szCs w:val="22"/>
              </w:rPr>
            </w:pPr>
            <w:r>
              <w:rPr>
                <w:sz w:val="22"/>
                <w:szCs w:val="22"/>
              </w:rPr>
              <w:t>40</w:t>
            </w:r>
            <w:r w:rsidR="00E14886">
              <w:rPr>
                <w:sz w:val="22"/>
                <w:szCs w:val="22"/>
              </w:rPr>
              <w:t> </w:t>
            </w:r>
            <w:r>
              <w:rPr>
                <w:sz w:val="22"/>
                <w:szCs w:val="22"/>
              </w:rPr>
              <w:t>mg an</w:t>
            </w:r>
            <w:r w:rsidR="00473144">
              <w:rPr>
                <w:sz w:val="22"/>
                <w:szCs w:val="22"/>
              </w:rPr>
              <w:t>n</w:t>
            </w:r>
            <w:r>
              <w:rPr>
                <w:sz w:val="22"/>
                <w:szCs w:val="22"/>
              </w:rPr>
              <w:t>enhver uke</w:t>
            </w:r>
          </w:p>
        </w:tc>
      </w:tr>
    </w:tbl>
    <w:p w14:paraId="5A7EB810" w14:textId="77777777" w:rsidR="00A7401C" w:rsidRDefault="00A7401C"/>
    <w:p w14:paraId="4A6819F9" w14:textId="77777777" w:rsidR="00C977E5" w:rsidRPr="009C5EFD" w:rsidRDefault="00E453CD" w:rsidP="00C977E5">
      <w:pPr>
        <w:rPr>
          <w:sz w:val="22"/>
          <w:szCs w:val="22"/>
        </w:rPr>
      </w:pPr>
      <w:r w:rsidRPr="009C5EFD">
        <w:rPr>
          <w:sz w:val="22"/>
          <w:szCs w:val="22"/>
        </w:rPr>
        <w:t xml:space="preserve">Tilgjengelig data </w:t>
      </w:r>
      <w:r w:rsidR="000725B0">
        <w:rPr>
          <w:sz w:val="22"/>
          <w:szCs w:val="22"/>
        </w:rPr>
        <w:t>antyder</w:t>
      </w:r>
      <w:r w:rsidRPr="009C5EFD">
        <w:rPr>
          <w:sz w:val="22"/>
          <w:szCs w:val="22"/>
        </w:rPr>
        <w:t xml:space="preserve"> at klinisk respons oppnås vanligvis innen 12 uker. Fortsettelse av behandlingen hos pasienter som ikke responderer innen denne perioden, bør vurderes nøye.</w:t>
      </w:r>
    </w:p>
    <w:p w14:paraId="16B94F55" w14:textId="77777777" w:rsidR="00A7401C" w:rsidRDefault="00A7401C">
      <w:pPr>
        <w:rPr>
          <w:sz w:val="22"/>
        </w:rPr>
      </w:pPr>
    </w:p>
    <w:p w14:paraId="5E253C9B" w14:textId="77777777" w:rsidR="00A7401C" w:rsidRDefault="00E453CD">
      <w:pPr>
        <w:rPr>
          <w:sz w:val="22"/>
        </w:rPr>
      </w:pPr>
      <w:r>
        <w:rPr>
          <w:sz w:val="22"/>
        </w:rPr>
        <w:t xml:space="preserve">Bruk av Humira </w:t>
      </w:r>
      <w:r w:rsidR="00D26E99">
        <w:rPr>
          <w:sz w:val="22"/>
        </w:rPr>
        <w:t>hos</w:t>
      </w:r>
      <w:r>
        <w:rPr>
          <w:sz w:val="22"/>
        </w:rPr>
        <w:t xml:space="preserve"> pasienter </w:t>
      </w:r>
      <w:r w:rsidR="00D26E99">
        <w:rPr>
          <w:sz w:val="22"/>
        </w:rPr>
        <w:t>under</w:t>
      </w:r>
      <w:r>
        <w:rPr>
          <w:sz w:val="22"/>
        </w:rPr>
        <w:t xml:space="preserve"> 2</w:t>
      </w:r>
      <w:r w:rsidR="00E14886">
        <w:rPr>
          <w:sz w:val="22"/>
        </w:rPr>
        <w:t> </w:t>
      </w:r>
      <w:r>
        <w:rPr>
          <w:sz w:val="22"/>
        </w:rPr>
        <w:t>år er ikke</w:t>
      </w:r>
      <w:r w:rsidR="00133031">
        <w:rPr>
          <w:sz w:val="22"/>
        </w:rPr>
        <w:t xml:space="preserve"> </w:t>
      </w:r>
      <w:r>
        <w:rPr>
          <w:sz w:val="22"/>
        </w:rPr>
        <w:t>relevant for denne indikasjonen.</w:t>
      </w:r>
    </w:p>
    <w:p w14:paraId="5592E026" w14:textId="77777777" w:rsidR="00972FC0" w:rsidRDefault="00972FC0">
      <w:pPr>
        <w:rPr>
          <w:sz w:val="22"/>
        </w:rPr>
      </w:pPr>
    </w:p>
    <w:p w14:paraId="7EADE379" w14:textId="77777777" w:rsidR="00972FC0" w:rsidRDefault="00E453CD">
      <w:pPr>
        <w:rPr>
          <w:sz w:val="22"/>
        </w:rPr>
      </w:pPr>
      <w:r>
        <w:rPr>
          <w:sz w:val="22"/>
          <w:szCs w:val="22"/>
        </w:rPr>
        <w:t>Humira kan være tilgjengelig i andre styrker og/eller formuleringer avhengig av individuelle behandlingsbehov.</w:t>
      </w:r>
    </w:p>
    <w:p w14:paraId="6FFC98B5" w14:textId="77777777" w:rsidR="00A7401C" w:rsidRDefault="00A7401C">
      <w:pPr>
        <w:rPr>
          <w:sz w:val="22"/>
        </w:rPr>
      </w:pPr>
    </w:p>
    <w:p w14:paraId="487B4C6B" w14:textId="77777777" w:rsidR="00F064C6" w:rsidRPr="007F67EE" w:rsidRDefault="00E453CD" w:rsidP="00F064C6">
      <w:pPr>
        <w:keepNext/>
        <w:rPr>
          <w:sz w:val="22"/>
          <w:szCs w:val="22"/>
          <w:u w:val="single"/>
        </w:rPr>
      </w:pPr>
      <w:r w:rsidRPr="001F5D4B">
        <w:rPr>
          <w:i/>
          <w:sz w:val="22"/>
          <w:szCs w:val="22"/>
          <w:u w:val="single"/>
        </w:rPr>
        <w:t>Entesittrelatert artritt</w:t>
      </w:r>
    </w:p>
    <w:p w14:paraId="3D2F77AB" w14:textId="77777777" w:rsidR="00F064C6" w:rsidRPr="002D0790" w:rsidRDefault="00F064C6" w:rsidP="00F064C6">
      <w:pPr>
        <w:keepNext/>
        <w:rPr>
          <w:sz w:val="22"/>
          <w:szCs w:val="22"/>
        </w:rPr>
      </w:pPr>
    </w:p>
    <w:p w14:paraId="610EA9F2" w14:textId="77777777" w:rsidR="00A7401C" w:rsidRPr="00AB7697" w:rsidRDefault="00E453CD" w:rsidP="00F064C6">
      <w:pPr>
        <w:rPr>
          <w:sz w:val="22"/>
        </w:rPr>
      </w:pPr>
      <w:r w:rsidRPr="002D0790">
        <w:rPr>
          <w:sz w:val="22"/>
          <w:szCs w:val="22"/>
        </w:rPr>
        <w:t xml:space="preserve">Anbefalt dose av Humira </w:t>
      </w:r>
      <w:r w:rsidRPr="00E14E58">
        <w:rPr>
          <w:sz w:val="22"/>
          <w:szCs w:val="22"/>
        </w:rPr>
        <w:t>til</w:t>
      </w:r>
      <w:r w:rsidRPr="009C5EFD">
        <w:rPr>
          <w:sz w:val="22"/>
          <w:szCs w:val="22"/>
        </w:rPr>
        <w:t xml:space="preserve"> pasienter med entesittrelatert artritt </w:t>
      </w:r>
      <w:r w:rsidR="00D26E99">
        <w:rPr>
          <w:sz w:val="22"/>
          <w:szCs w:val="22"/>
        </w:rPr>
        <w:t>over</w:t>
      </w:r>
      <w:r w:rsidRPr="009C5EFD">
        <w:rPr>
          <w:sz w:val="22"/>
          <w:szCs w:val="22"/>
        </w:rPr>
        <w:t xml:space="preserve"> 6</w:t>
      </w:r>
      <w:r w:rsidR="00E14886">
        <w:rPr>
          <w:sz w:val="22"/>
          <w:szCs w:val="22"/>
        </w:rPr>
        <w:t> </w:t>
      </w:r>
      <w:r w:rsidRPr="009C5EFD">
        <w:rPr>
          <w:sz w:val="22"/>
          <w:szCs w:val="22"/>
        </w:rPr>
        <w:t>år er</w:t>
      </w:r>
      <w:r w:rsidR="00D75490">
        <w:rPr>
          <w:sz w:val="22"/>
          <w:szCs w:val="22"/>
        </w:rPr>
        <w:t xml:space="preserve"> baser</w:t>
      </w:r>
      <w:r w:rsidR="00133031">
        <w:rPr>
          <w:sz w:val="22"/>
          <w:szCs w:val="22"/>
        </w:rPr>
        <w:t>t</w:t>
      </w:r>
      <w:r w:rsidR="00D75490">
        <w:rPr>
          <w:sz w:val="22"/>
          <w:szCs w:val="22"/>
        </w:rPr>
        <w:t xml:space="preserve"> på kroppsvekt (</w:t>
      </w:r>
      <w:r w:rsidR="006B55F0">
        <w:rPr>
          <w:sz w:val="22"/>
          <w:szCs w:val="22"/>
        </w:rPr>
        <w:t>t</w:t>
      </w:r>
      <w:r w:rsidR="00D75490">
        <w:rPr>
          <w:sz w:val="22"/>
          <w:szCs w:val="22"/>
        </w:rPr>
        <w:t>abell</w:t>
      </w:r>
      <w:r w:rsidR="00E14886">
        <w:rPr>
          <w:sz w:val="22"/>
          <w:szCs w:val="22"/>
        </w:rPr>
        <w:t> </w:t>
      </w:r>
      <w:r w:rsidR="00D75490">
        <w:rPr>
          <w:sz w:val="22"/>
          <w:szCs w:val="22"/>
        </w:rPr>
        <w:t xml:space="preserve">2). Humira administreres </w:t>
      </w:r>
      <w:r w:rsidR="00DC7F42">
        <w:rPr>
          <w:sz w:val="22"/>
          <w:szCs w:val="22"/>
        </w:rPr>
        <w:t xml:space="preserve">som </w:t>
      </w:r>
      <w:r w:rsidR="00D75490">
        <w:rPr>
          <w:sz w:val="22"/>
          <w:szCs w:val="22"/>
        </w:rPr>
        <w:t xml:space="preserve">subkutan </w:t>
      </w:r>
      <w:r w:rsidR="00DC7F42">
        <w:rPr>
          <w:sz w:val="22"/>
          <w:szCs w:val="22"/>
        </w:rPr>
        <w:t xml:space="preserve">injeksjon </w:t>
      </w:r>
      <w:r w:rsidR="00D75490">
        <w:rPr>
          <w:sz w:val="22"/>
          <w:szCs w:val="22"/>
        </w:rPr>
        <w:t>annenhver uke.</w:t>
      </w:r>
    </w:p>
    <w:p w14:paraId="0A9A860E" w14:textId="77777777" w:rsidR="00A7401C" w:rsidRDefault="00A7401C"/>
    <w:p w14:paraId="65157218" w14:textId="77777777" w:rsidR="001E11F3" w:rsidRPr="000624CD" w:rsidRDefault="00E453CD" w:rsidP="00AF70AD">
      <w:pPr>
        <w:keepNext/>
        <w:jc w:val="center"/>
        <w:rPr>
          <w:sz w:val="22"/>
          <w:szCs w:val="22"/>
        </w:rPr>
      </w:pPr>
      <w:r w:rsidRPr="00AB7697">
        <w:rPr>
          <w:b/>
          <w:sz w:val="22"/>
          <w:szCs w:val="22"/>
        </w:rPr>
        <w:lastRenderedPageBreak/>
        <w:t>Tab</w:t>
      </w:r>
      <w:r w:rsidR="00BE07CA">
        <w:rPr>
          <w:b/>
          <w:sz w:val="22"/>
          <w:szCs w:val="22"/>
        </w:rPr>
        <w:t>el</w:t>
      </w:r>
      <w:r w:rsidRPr="00AB7697">
        <w:rPr>
          <w:b/>
          <w:sz w:val="22"/>
          <w:szCs w:val="22"/>
        </w:rPr>
        <w:t>l</w:t>
      </w:r>
      <w:r w:rsidR="00E14886" w:rsidRPr="00AB7697">
        <w:rPr>
          <w:b/>
          <w:sz w:val="22"/>
          <w:szCs w:val="22"/>
        </w:rPr>
        <w:t> </w:t>
      </w:r>
      <w:r w:rsidRPr="00AB7697">
        <w:rPr>
          <w:b/>
          <w:sz w:val="22"/>
          <w:szCs w:val="22"/>
        </w:rPr>
        <w:t>2. Humiradosering for pasienter med entesittrelatert artritt</w:t>
      </w:r>
    </w:p>
    <w:p w14:paraId="02C6E69A" w14:textId="77777777" w:rsidR="001E11F3" w:rsidRPr="00AB7697" w:rsidRDefault="001E11F3" w:rsidP="00AF70AD">
      <w:pPr>
        <w:keepNext/>
        <w:rPr>
          <w:szCs w:val="22"/>
        </w:rPr>
      </w:pPr>
    </w:p>
    <w:tbl>
      <w:tblPr>
        <w:tblW w:w="6795" w:type="dxa"/>
        <w:jc w:val="center"/>
        <w:tblLayout w:type="fixed"/>
        <w:tblLook w:val="04A0" w:firstRow="1" w:lastRow="0" w:firstColumn="1" w:lastColumn="0" w:noHBand="0" w:noVBand="1"/>
      </w:tblPr>
      <w:tblGrid>
        <w:gridCol w:w="3401"/>
        <w:gridCol w:w="3394"/>
      </w:tblGrid>
      <w:tr w:rsidR="004644D4" w14:paraId="782E5490" w14:textId="77777777" w:rsidTr="008B396C">
        <w:trPr>
          <w:tblHeader/>
          <w:jc w:val="center"/>
        </w:trPr>
        <w:tc>
          <w:tcPr>
            <w:tcW w:w="3401" w:type="dxa"/>
            <w:tcBorders>
              <w:top w:val="single" w:sz="4" w:space="0" w:color="auto"/>
              <w:left w:val="nil"/>
              <w:bottom w:val="single" w:sz="4" w:space="0" w:color="auto"/>
              <w:right w:val="nil"/>
            </w:tcBorders>
            <w:hideMark/>
          </w:tcPr>
          <w:p w14:paraId="23895A4B" w14:textId="77777777" w:rsidR="001E11F3" w:rsidRDefault="00E453CD" w:rsidP="008B396C">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6759B980" w14:textId="77777777" w:rsidR="001E11F3" w:rsidRDefault="00E453CD" w:rsidP="008B396C">
            <w:pPr>
              <w:pStyle w:val="TableLeft"/>
              <w:jc w:val="center"/>
              <w:rPr>
                <w:b/>
                <w:sz w:val="22"/>
                <w:szCs w:val="22"/>
              </w:rPr>
            </w:pPr>
            <w:r>
              <w:rPr>
                <w:b/>
                <w:sz w:val="22"/>
                <w:szCs w:val="22"/>
              </w:rPr>
              <w:t>Dosering</w:t>
            </w:r>
          </w:p>
        </w:tc>
      </w:tr>
      <w:tr w:rsidR="004644D4" w14:paraId="701E8528" w14:textId="77777777" w:rsidTr="008B396C">
        <w:trPr>
          <w:tblHeader/>
          <w:jc w:val="center"/>
        </w:trPr>
        <w:tc>
          <w:tcPr>
            <w:tcW w:w="3401" w:type="dxa"/>
            <w:tcBorders>
              <w:top w:val="single" w:sz="4" w:space="0" w:color="auto"/>
              <w:left w:val="nil"/>
              <w:bottom w:val="single" w:sz="4" w:space="0" w:color="auto"/>
              <w:right w:val="nil"/>
            </w:tcBorders>
            <w:hideMark/>
          </w:tcPr>
          <w:p w14:paraId="246F1C30" w14:textId="77777777" w:rsidR="001E11F3" w:rsidRDefault="00E453CD" w:rsidP="008B396C">
            <w:pPr>
              <w:pStyle w:val="TableLeft"/>
              <w:jc w:val="center"/>
              <w:rPr>
                <w:b/>
                <w:sz w:val="22"/>
                <w:szCs w:val="22"/>
              </w:rPr>
            </w:pPr>
            <w:r>
              <w:rPr>
                <w:sz w:val="22"/>
                <w:szCs w:val="22"/>
              </w:rPr>
              <w:t>15</w:t>
            </w:r>
            <w:r w:rsidR="00E14886">
              <w:rPr>
                <w:sz w:val="22"/>
                <w:szCs w:val="22"/>
              </w:rPr>
              <w:t> </w:t>
            </w:r>
            <w:r>
              <w:rPr>
                <w:sz w:val="22"/>
                <w:szCs w:val="22"/>
              </w:rPr>
              <w:t>kg til &lt; 30</w:t>
            </w:r>
            <w:r w:rsidR="00E14886">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55992B49" w14:textId="77777777" w:rsidR="001E11F3" w:rsidRDefault="00E453CD" w:rsidP="008B396C">
            <w:pPr>
              <w:pStyle w:val="TableLeft"/>
              <w:jc w:val="center"/>
              <w:rPr>
                <w:b/>
                <w:sz w:val="22"/>
                <w:szCs w:val="22"/>
              </w:rPr>
            </w:pPr>
            <w:r>
              <w:rPr>
                <w:sz w:val="22"/>
                <w:szCs w:val="22"/>
              </w:rPr>
              <w:t>20</w:t>
            </w:r>
            <w:r w:rsidR="00E14886">
              <w:rPr>
                <w:sz w:val="22"/>
                <w:szCs w:val="22"/>
              </w:rPr>
              <w:t> </w:t>
            </w:r>
            <w:r>
              <w:rPr>
                <w:sz w:val="22"/>
                <w:szCs w:val="22"/>
              </w:rPr>
              <w:t>mg annenhver uke</w:t>
            </w:r>
          </w:p>
        </w:tc>
      </w:tr>
      <w:tr w:rsidR="004644D4" w14:paraId="3784457F" w14:textId="77777777" w:rsidTr="008B396C">
        <w:trPr>
          <w:tblHeader/>
          <w:jc w:val="center"/>
        </w:trPr>
        <w:tc>
          <w:tcPr>
            <w:tcW w:w="3401" w:type="dxa"/>
            <w:tcBorders>
              <w:top w:val="single" w:sz="4" w:space="0" w:color="auto"/>
              <w:left w:val="nil"/>
              <w:bottom w:val="single" w:sz="4" w:space="0" w:color="auto"/>
              <w:right w:val="nil"/>
            </w:tcBorders>
            <w:hideMark/>
          </w:tcPr>
          <w:p w14:paraId="5DE7301D" w14:textId="77777777" w:rsidR="001E11F3" w:rsidRDefault="00E453CD" w:rsidP="008B396C">
            <w:pPr>
              <w:pStyle w:val="TableLeft"/>
              <w:jc w:val="center"/>
              <w:rPr>
                <w:b/>
                <w:sz w:val="22"/>
                <w:szCs w:val="22"/>
              </w:rPr>
            </w:pPr>
            <w:r>
              <w:rPr>
                <w:sz w:val="22"/>
                <w:szCs w:val="22"/>
              </w:rPr>
              <w:t>≥ 30</w:t>
            </w:r>
            <w:r w:rsidR="00E14886">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092DA79F" w14:textId="77777777" w:rsidR="001E11F3" w:rsidRDefault="00E453CD" w:rsidP="008B396C">
            <w:pPr>
              <w:pStyle w:val="TableLeft"/>
              <w:jc w:val="center"/>
              <w:rPr>
                <w:b/>
                <w:sz w:val="22"/>
                <w:szCs w:val="22"/>
              </w:rPr>
            </w:pPr>
            <w:r>
              <w:rPr>
                <w:sz w:val="22"/>
                <w:szCs w:val="22"/>
              </w:rPr>
              <w:t>40</w:t>
            </w:r>
            <w:r w:rsidR="00E14886">
              <w:rPr>
                <w:sz w:val="22"/>
                <w:szCs w:val="22"/>
              </w:rPr>
              <w:t> </w:t>
            </w:r>
            <w:r>
              <w:rPr>
                <w:sz w:val="22"/>
                <w:szCs w:val="22"/>
              </w:rPr>
              <w:t>mg an</w:t>
            </w:r>
            <w:r w:rsidR="00473144">
              <w:rPr>
                <w:sz w:val="22"/>
                <w:szCs w:val="22"/>
              </w:rPr>
              <w:t>n</w:t>
            </w:r>
            <w:r>
              <w:rPr>
                <w:sz w:val="22"/>
                <w:szCs w:val="22"/>
              </w:rPr>
              <w:t>enhver uke</w:t>
            </w:r>
          </w:p>
        </w:tc>
      </w:tr>
    </w:tbl>
    <w:p w14:paraId="686ADE98" w14:textId="77777777" w:rsidR="00133031" w:rsidRDefault="00133031"/>
    <w:p w14:paraId="66EA55AB" w14:textId="77777777" w:rsidR="00133031" w:rsidRDefault="00E453CD">
      <w:pPr>
        <w:rPr>
          <w:sz w:val="22"/>
        </w:rPr>
      </w:pPr>
      <w:r w:rsidRPr="009C5EFD">
        <w:rPr>
          <w:sz w:val="22"/>
          <w:szCs w:val="22"/>
        </w:rPr>
        <w:t xml:space="preserve">Humira er ikke </w:t>
      </w:r>
      <w:r>
        <w:rPr>
          <w:sz w:val="22"/>
          <w:szCs w:val="22"/>
        </w:rPr>
        <w:t>undersøkt</w:t>
      </w:r>
      <w:r w:rsidRPr="009C5EFD">
        <w:rPr>
          <w:sz w:val="22"/>
          <w:szCs w:val="22"/>
        </w:rPr>
        <w:t xml:space="preserve"> hos pasienter</w:t>
      </w:r>
      <w:r w:rsidR="002304F9">
        <w:rPr>
          <w:sz w:val="22"/>
          <w:szCs w:val="22"/>
        </w:rPr>
        <w:t xml:space="preserve"> under 6 år med</w:t>
      </w:r>
      <w:r>
        <w:rPr>
          <w:sz w:val="22"/>
        </w:rPr>
        <w:t xml:space="preserve"> </w:t>
      </w:r>
      <w:r w:rsidRPr="00133031">
        <w:rPr>
          <w:sz w:val="22"/>
        </w:rPr>
        <w:t>entesittrelatert artritt</w:t>
      </w:r>
      <w:r w:rsidR="002304F9">
        <w:rPr>
          <w:sz w:val="22"/>
        </w:rPr>
        <w:t>.</w:t>
      </w:r>
      <w:r>
        <w:rPr>
          <w:sz w:val="22"/>
        </w:rPr>
        <w:t xml:space="preserve"> </w:t>
      </w:r>
    </w:p>
    <w:p w14:paraId="46E562E7" w14:textId="77777777" w:rsidR="00972FC0" w:rsidRDefault="00972FC0">
      <w:pPr>
        <w:rPr>
          <w:sz w:val="22"/>
        </w:rPr>
      </w:pPr>
    </w:p>
    <w:p w14:paraId="69101354" w14:textId="77777777" w:rsidR="00972FC0" w:rsidRDefault="00E453CD">
      <w:pPr>
        <w:rPr>
          <w:sz w:val="22"/>
        </w:rPr>
      </w:pPr>
      <w:r>
        <w:rPr>
          <w:sz w:val="22"/>
          <w:szCs w:val="22"/>
        </w:rPr>
        <w:t>Humira kan være tilgjengelig i andre styrker og/eller formuleringer avhengig av individuelle behandlingsbehov.</w:t>
      </w:r>
    </w:p>
    <w:p w14:paraId="28C26E6F" w14:textId="77777777" w:rsidR="00133031" w:rsidRDefault="00133031">
      <w:pPr>
        <w:rPr>
          <w:sz w:val="22"/>
        </w:rPr>
      </w:pPr>
    </w:p>
    <w:p w14:paraId="461367E6" w14:textId="77777777" w:rsidR="00133031" w:rsidRDefault="00E453CD" w:rsidP="00AF70AD">
      <w:pPr>
        <w:keepNext/>
        <w:rPr>
          <w:i/>
          <w:sz w:val="22"/>
        </w:rPr>
      </w:pPr>
      <w:r w:rsidRPr="00AB7697">
        <w:rPr>
          <w:i/>
          <w:sz w:val="22"/>
        </w:rPr>
        <w:t>Pediatrisk plakkpsoriasis</w:t>
      </w:r>
    </w:p>
    <w:p w14:paraId="7185B8A5" w14:textId="77777777" w:rsidR="00133031" w:rsidRDefault="00133031" w:rsidP="00AF70AD">
      <w:pPr>
        <w:keepNext/>
        <w:rPr>
          <w:i/>
          <w:sz w:val="22"/>
        </w:rPr>
      </w:pPr>
    </w:p>
    <w:p w14:paraId="320986D5" w14:textId="77777777" w:rsidR="00133031" w:rsidRDefault="00E453CD">
      <w:pPr>
        <w:rPr>
          <w:sz w:val="22"/>
          <w:szCs w:val="22"/>
        </w:rPr>
      </w:pPr>
      <w:r>
        <w:rPr>
          <w:sz w:val="22"/>
        </w:rPr>
        <w:t>Den anbefalte Humiradoseringen for pasienter fra 4 til 17</w:t>
      </w:r>
      <w:r w:rsidR="00E14886">
        <w:rPr>
          <w:sz w:val="22"/>
        </w:rPr>
        <w:t> </w:t>
      </w:r>
      <w:r>
        <w:rPr>
          <w:sz w:val="22"/>
        </w:rPr>
        <w:t>år med plakkpsoriasis er basert på kroppsvekt (</w:t>
      </w:r>
      <w:r w:rsidR="006B55F0">
        <w:rPr>
          <w:sz w:val="22"/>
        </w:rPr>
        <w:t>t</w:t>
      </w:r>
      <w:r>
        <w:rPr>
          <w:sz w:val="22"/>
        </w:rPr>
        <w:t>abell</w:t>
      </w:r>
      <w:r w:rsidR="00E14886">
        <w:t> </w:t>
      </w:r>
      <w:r>
        <w:rPr>
          <w:sz w:val="22"/>
        </w:rPr>
        <w:t xml:space="preserve">3). </w:t>
      </w:r>
      <w:r>
        <w:rPr>
          <w:sz w:val="22"/>
          <w:szCs w:val="22"/>
        </w:rPr>
        <w:t xml:space="preserve">Humira administreres </w:t>
      </w:r>
      <w:r w:rsidR="00DC7F42">
        <w:rPr>
          <w:sz w:val="22"/>
          <w:szCs w:val="22"/>
        </w:rPr>
        <w:t xml:space="preserve">som </w:t>
      </w:r>
      <w:r>
        <w:rPr>
          <w:sz w:val="22"/>
          <w:szCs w:val="22"/>
        </w:rPr>
        <w:t>subkutan</w:t>
      </w:r>
      <w:r w:rsidR="00DC7F42">
        <w:rPr>
          <w:sz w:val="22"/>
          <w:szCs w:val="22"/>
        </w:rPr>
        <w:t xml:space="preserve"> injeksjon</w:t>
      </w:r>
      <w:r w:rsidR="000624CD">
        <w:rPr>
          <w:sz w:val="22"/>
          <w:szCs w:val="22"/>
        </w:rPr>
        <w:t>.</w:t>
      </w:r>
    </w:p>
    <w:p w14:paraId="32865AA5" w14:textId="77777777" w:rsidR="00133031" w:rsidRPr="000624CD" w:rsidRDefault="00133031" w:rsidP="00133031">
      <w:pPr>
        <w:jc w:val="center"/>
        <w:rPr>
          <w:szCs w:val="22"/>
        </w:rPr>
      </w:pPr>
    </w:p>
    <w:p w14:paraId="6750276F" w14:textId="77777777" w:rsidR="00133031" w:rsidRPr="000624CD" w:rsidRDefault="00E453CD" w:rsidP="00133031">
      <w:pPr>
        <w:jc w:val="center"/>
        <w:rPr>
          <w:sz w:val="22"/>
          <w:szCs w:val="22"/>
        </w:rPr>
      </w:pPr>
      <w:r w:rsidRPr="00AB7697">
        <w:rPr>
          <w:b/>
          <w:sz w:val="22"/>
          <w:szCs w:val="22"/>
        </w:rPr>
        <w:t>Tab</w:t>
      </w:r>
      <w:r w:rsidR="00BE07CA" w:rsidRPr="00AB7697">
        <w:rPr>
          <w:b/>
          <w:sz w:val="22"/>
          <w:szCs w:val="22"/>
        </w:rPr>
        <w:t>el</w:t>
      </w:r>
      <w:r w:rsidRPr="00AB7697">
        <w:rPr>
          <w:b/>
          <w:sz w:val="22"/>
          <w:szCs w:val="22"/>
        </w:rPr>
        <w:t>l</w:t>
      </w:r>
      <w:r w:rsidR="00E14886" w:rsidRPr="00AB7697">
        <w:rPr>
          <w:b/>
          <w:sz w:val="22"/>
          <w:szCs w:val="22"/>
        </w:rPr>
        <w:t> </w:t>
      </w:r>
      <w:r w:rsidRPr="00AB7697">
        <w:rPr>
          <w:b/>
          <w:sz w:val="22"/>
          <w:szCs w:val="22"/>
        </w:rPr>
        <w:t>3. Humiradosering for pediatriske pasienter med plakkpsoriasis</w:t>
      </w:r>
    </w:p>
    <w:p w14:paraId="0905AFB5" w14:textId="77777777" w:rsidR="00133031" w:rsidRPr="00536B95" w:rsidRDefault="00133031" w:rsidP="00133031">
      <w:pPr>
        <w:rPr>
          <w:szCs w:val="22"/>
        </w:rPr>
      </w:pPr>
    </w:p>
    <w:tbl>
      <w:tblPr>
        <w:tblW w:w="6795" w:type="dxa"/>
        <w:jc w:val="center"/>
        <w:tblLayout w:type="fixed"/>
        <w:tblLook w:val="04A0" w:firstRow="1" w:lastRow="0" w:firstColumn="1" w:lastColumn="0" w:noHBand="0" w:noVBand="1"/>
      </w:tblPr>
      <w:tblGrid>
        <w:gridCol w:w="3401"/>
        <w:gridCol w:w="3394"/>
      </w:tblGrid>
      <w:tr w:rsidR="004644D4" w14:paraId="257C068A" w14:textId="77777777" w:rsidTr="008B396C">
        <w:trPr>
          <w:tblHeader/>
          <w:jc w:val="center"/>
        </w:trPr>
        <w:tc>
          <w:tcPr>
            <w:tcW w:w="3401" w:type="dxa"/>
            <w:tcBorders>
              <w:top w:val="single" w:sz="4" w:space="0" w:color="auto"/>
              <w:left w:val="nil"/>
              <w:bottom w:val="single" w:sz="4" w:space="0" w:color="auto"/>
              <w:right w:val="nil"/>
            </w:tcBorders>
            <w:hideMark/>
          </w:tcPr>
          <w:p w14:paraId="3A327930" w14:textId="77777777" w:rsidR="00133031" w:rsidRDefault="00E453CD" w:rsidP="008B396C">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3D5FF663" w14:textId="77777777" w:rsidR="00133031" w:rsidRDefault="00E453CD" w:rsidP="008B396C">
            <w:pPr>
              <w:pStyle w:val="TableLeft"/>
              <w:jc w:val="center"/>
              <w:rPr>
                <w:b/>
                <w:sz w:val="22"/>
                <w:szCs w:val="22"/>
              </w:rPr>
            </w:pPr>
            <w:r>
              <w:rPr>
                <w:b/>
                <w:sz w:val="22"/>
                <w:szCs w:val="22"/>
              </w:rPr>
              <w:t>Dosering</w:t>
            </w:r>
          </w:p>
        </w:tc>
      </w:tr>
      <w:tr w:rsidR="004644D4" w14:paraId="45420CF5" w14:textId="77777777" w:rsidTr="008B396C">
        <w:trPr>
          <w:tblHeader/>
          <w:jc w:val="center"/>
        </w:trPr>
        <w:tc>
          <w:tcPr>
            <w:tcW w:w="3401" w:type="dxa"/>
            <w:tcBorders>
              <w:top w:val="single" w:sz="4" w:space="0" w:color="auto"/>
              <w:left w:val="nil"/>
              <w:bottom w:val="single" w:sz="4" w:space="0" w:color="auto"/>
              <w:right w:val="nil"/>
            </w:tcBorders>
            <w:hideMark/>
          </w:tcPr>
          <w:p w14:paraId="2213960E" w14:textId="77777777" w:rsidR="00133031" w:rsidRDefault="00E453CD" w:rsidP="008B396C">
            <w:pPr>
              <w:pStyle w:val="TableLeft"/>
              <w:jc w:val="center"/>
              <w:rPr>
                <w:b/>
                <w:sz w:val="22"/>
                <w:szCs w:val="22"/>
              </w:rPr>
            </w:pPr>
            <w:r>
              <w:rPr>
                <w:sz w:val="22"/>
                <w:szCs w:val="22"/>
              </w:rPr>
              <w:t>15</w:t>
            </w:r>
            <w:r w:rsidR="00E14886">
              <w:rPr>
                <w:sz w:val="22"/>
                <w:szCs w:val="22"/>
              </w:rPr>
              <w:t> </w:t>
            </w:r>
            <w:r>
              <w:rPr>
                <w:sz w:val="22"/>
                <w:szCs w:val="22"/>
              </w:rPr>
              <w:t>kg til &lt; 30</w:t>
            </w:r>
            <w:r w:rsidR="00E14886">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64705A38" w14:textId="77777777" w:rsidR="00133031" w:rsidRPr="00AB7697" w:rsidRDefault="00E453CD" w:rsidP="008B396C">
            <w:pPr>
              <w:pStyle w:val="TableLeft"/>
              <w:jc w:val="center"/>
              <w:rPr>
                <w:b/>
                <w:sz w:val="22"/>
                <w:szCs w:val="22"/>
                <w:lang w:val="nb-NO"/>
              </w:rPr>
            </w:pPr>
            <w:r w:rsidRPr="00AB7697">
              <w:rPr>
                <w:sz w:val="22"/>
                <w:szCs w:val="22"/>
                <w:lang w:val="nb-NO"/>
              </w:rPr>
              <w:t>Startdose på 20</w:t>
            </w:r>
            <w:r w:rsidR="00E14886">
              <w:rPr>
                <w:sz w:val="22"/>
                <w:szCs w:val="22"/>
                <w:lang w:val="nb-NO"/>
              </w:rPr>
              <w:t> </w:t>
            </w:r>
            <w:r w:rsidRPr="00AB7697">
              <w:rPr>
                <w:sz w:val="22"/>
                <w:szCs w:val="22"/>
                <w:lang w:val="nb-NO"/>
              </w:rPr>
              <w:t>mg, etterfulgt av 20</w:t>
            </w:r>
            <w:r w:rsidR="00E14886">
              <w:rPr>
                <w:sz w:val="22"/>
                <w:szCs w:val="22"/>
                <w:lang w:val="nb-NO"/>
              </w:rPr>
              <w:t> </w:t>
            </w:r>
            <w:r w:rsidRPr="00AB7697">
              <w:rPr>
                <w:sz w:val="22"/>
                <w:szCs w:val="22"/>
                <w:lang w:val="nb-NO"/>
              </w:rPr>
              <w:t>mg gitt annenhver uke</w:t>
            </w:r>
            <w:r>
              <w:rPr>
                <w:sz w:val="22"/>
                <w:szCs w:val="22"/>
                <w:lang w:val="nb-NO"/>
              </w:rPr>
              <w:t xml:space="preserve"> fra én uke etter startdosen</w:t>
            </w:r>
          </w:p>
        </w:tc>
      </w:tr>
      <w:tr w:rsidR="004644D4" w14:paraId="5150F261" w14:textId="77777777" w:rsidTr="008B396C">
        <w:trPr>
          <w:tblHeader/>
          <w:jc w:val="center"/>
        </w:trPr>
        <w:tc>
          <w:tcPr>
            <w:tcW w:w="3401" w:type="dxa"/>
            <w:tcBorders>
              <w:top w:val="single" w:sz="4" w:space="0" w:color="auto"/>
              <w:left w:val="nil"/>
              <w:bottom w:val="single" w:sz="4" w:space="0" w:color="auto"/>
              <w:right w:val="nil"/>
            </w:tcBorders>
            <w:hideMark/>
          </w:tcPr>
          <w:p w14:paraId="11F7DB17" w14:textId="77777777" w:rsidR="00133031" w:rsidRPr="00AB7697" w:rsidRDefault="00E453CD" w:rsidP="008B396C">
            <w:pPr>
              <w:pStyle w:val="TableLeft"/>
              <w:jc w:val="center"/>
              <w:rPr>
                <w:b/>
                <w:sz w:val="22"/>
                <w:szCs w:val="22"/>
                <w:lang w:val="nb-NO"/>
              </w:rPr>
            </w:pPr>
            <w:r w:rsidRPr="00AB7697">
              <w:rPr>
                <w:sz w:val="22"/>
                <w:szCs w:val="22"/>
                <w:lang w:val="nb-NO"/>
              </w:rPr>
              <w:t>≥ 30</w:t>
            </w:r>
            <w:r w:rsidR="00E14886">
              <w:rPr>
                <w:sz w:val="22"/>
                <w:szCs w:val="22"/>
                <w:lang w:val="nb-NO"/>
              </w:rPr>
              <w:t> </w:t>
            </w:r>
            <w:r w:rsidRPr="00AB7697">
              <w:rPr>
                <w:sz w:val="22"/>
                <w:szCs w:val="22"/>
                <w:lang w:val="nb-NO"/>
              </w:rPr>
              <w:t>kg</w:t>
            </w:r>
          </w:p>
        </w:tc>
        <w:tc>
          <w:tcPr>
            <w:tcW w:w="3394" w:type="dxa"/>
            <w:tcBorders>
              <w:top w:val="single" w:sz="4" w:space="0" w:color="auto"/>
              <w:left w:val="nil"/>
              <w:bottom w:val="single" w:sz="4" w:space="0" w:color="auto"/>
              <w:right w:val="nil"/>
            </w:tcBorders>
            <w:hideMark/>
          </w:tcPr>
          <w:p w14:paraId="6C9CAACA" w14:textId="77777777" w:rsidR="00133031" w:rsidRPr="00AB7697" w:rsidRDefault="00E453CD" w:rsidP="008B396C">
            <w:pPr>
              <w:pStyle w:val="TableLeft"/>
              <w:jc w:val="center"/>
              <w:rPr>
                <w:b/>
                <w:sz w:val="22"/>
                <w:szCs w:val="22"/>
                <w:lang w:val="nb-NO"/>
              </w:rPr>
            </w:pPr>
            <w:r w:rsidRPr="00536B95">
              <w:rPr>
                <w:sz w:val="22"/>
                <w:szCs w:val="22"/>
                <w:lang w:val="nb-NO"/>
              </w:rPr>
              <w:t>S</w:t>
            </w:r>
            <w:r>
              <w:rPr>
                <w:sz w:val="22"/>
                <w:szCs w:val="22"/>
                <w:lang w:val="nb-NO"/>
              </w:rPr>
              <w:t>tartdose på 40</w:t>
            </w:r>
            <w:r w:rsidR="00E14886">
              <w:rPr>
                <w:sz w:val="22"/>
                <w:szCs w:val="22"/>
                <w:lang w:val="nb-NO"/>
              </w:rPr>
              <w:t> </w:t>
            </w:r>
            <w:r>
              <w:rPr>
                <w:sz w:val="22"/>
                <w:szCs w:val="22"/>
                <w:lang w:val="nb-NO"/>
              </w:rPr>
              <w:t>mg, etterfulgt av 4</w:t>
            </w:r>
            <w:r w:rsidRPr="00536B95">
              <w:rPr>
                <w:sz w:val="22"/>
                <w:szCs w:val="22"/>
                <w:lang w:val="nb-NO"/>
              </w:rPr>
              <w:t>0</w:t>
            </w:r>
            <w:r w:rsidR="00E14886">
              <w:rPr>
                <w:sz w:val="22"/>
                <w:szCs w:val="22"/>
                <w:lang w:val="nb-NO"/>
              </w:rPr>
              <w:t> </w:t>
            </w:r>
            <w:r w:rsidRPr="00536B95">
              <w:rPr>
                <w:sz w:val="22"/>
                <w:szCs w:val="22"/>
                <w:lang w:val="nb-NO"/>
              </w:rPr>
              <w:t xml:space="preserve">mg gitt annenhver uke fra </w:t>
            </w:r>
            <w:r>
              <w:rPr>
                <w:sz w:val="22"/>
                <w:szCs w:val="22"/>
                <w:lang w:val="nb-NO"/>
              </w:rPr>
              <w:t>én uke etter startdosen</w:t>
            </w:r>
          </w:p>
        </w:tc>
      </w:tr>
    </w:tbl>
    <w:p w14:paraId="296F5BC4" w14:textId="77777777" w:rsidR="00133031" w:rsidRDefault="00133031">
      <w:pPr>
        <w:rPr>
          <w:sz w:val="22"/>
          <w:szCs w:val="22"/>
        </w:rPr>
      </w:pPr>
    </w:p>
    <w:p w14:paraId="30203097" w14:textId="77777777" w:rsidR="00B155FE" w:rsidRDefault="00E453CD">
      <w:pPr>
        <w:rPr>
          <w:sz w:val="22"/>
          <w:szCs w:val="22"/>
        </w:rPr>
      </w:pPr>
      <w:r>
        <w:rPr>
          <w:sz w:val="22"/>
          <w:szCs w:val="22"/>
        </w:rPr>
        <w:t xml:space="preserve">Fortsatt behandling utover 16 uker bør vurderes nøye hos en pasient som ikke responderer innen denne tidsperioden. </w:t>
      </w:r>
    </w:p>
    <w:p w14:paraId="5DF4E825" w14:textId="77777777" w:rsidR="00B155FE" w:rsidRDefault="00B155FE">
      <w:pPr>
        <w:rPr>
          <w:sz w:val="22"/>
          <w:szCs w:val="22"/>
        </w:rPr>
      </w:pPr>
    </w:p>
    <w:p w14:paraId="177AC4BC" w14:textId="77777777" w:rsidR="00B155FE" w:rsidRDefault="00E453CD">
      <w:pPr>
        <w:rPr>
          <w:sz w:val="22"/>
          <w:szCs w:val="22"/>
        </w:rPr>
      </w:pPr>
      <w:r>
        <w:rPr>
          <w:sz w:val="22"/>
          <w:szCs w:val="22"/>
        </w:rPr>
        <w:t>Dersom ny behandling med Humira er indi</w:t>
      </w:r>
      <w:r w:rsidR="00D26E99">
        <w:rPr>
          <w:sz w:val="22"/>
          <w:szCs w:val="22"/>
        </w:rPr>
        <w:t>s</w:t>
      </w:r>
      <w:r>
        <w:rPr>
          <w:sz w:val="22"/>
          <w:szCs w:val="22"/>
        </w:rPr>
        <w:t>ert bør behandling- og doseringsretningslinj</w:t>
      </w:r>
      <w:r w:rsidR="007A1E0A">
        <w:rPr>
          <w:sz w:val="22"/>
          <w:szCs w:val="22"/>
        </w:rPr>
        <w:t>e</w:t>
      </w:r>
      <w:r>
        <w:rPr>
          <w:sz w:val="22"/>
          <w:szCs w:val="22"/>
        </w:rPr>
        <w:t>ne ovenfor følges.</w:t>
      </w:r>
    </w:p>
    <w:p w14:paraId="5BDA2C59" w14:textId="77777777" w:rsidR="00B155FE" w:rsidRDefault="00B155FE">
      <w:pPr>
        <w:rPr>
          <w:sz w:val="22"/>
          <w:szCs w:val="22"/>
        </w:rPr>
      </w:pPr>
    </w:p>
    <w:p w14:paraId="5BE43A2E" w14:textId="77777777" w:rsidR="00B155FE" w:rsidRDefault="00E453CD">
      <w:pPr>
        <w:rPr>
          <w:sz w:val="22"/>
          <w:szCs w:val="22"/>
        </w:rPr>
      </w:pPr>
      <w:r>
        <w:rPr>
          <w:sz w:val="22"/>
          <w:szCs w:val="22"/>
        </w:rPr>
        <w:t>Sikkerheten til Humira ved bruk hos pediatriske pasienter med plakkpsoriasis har blitt vurdert med et gjennomsnitt på 13</w:t>
      </w:r>
      <w:r w:rsidR="00837298">
        <w:rPr>
          <w:sz w:val="22"/>
          <w:szCs w:val="22"/>
        </w:rPr>
        <w:t> </w:t>
      </w:r>
      <w:r>
        <w:rPr>
          <w:sz w:val="22"/>
          <w:szCs w:val="22"/>
        </w:rPr>
        <w:t>måneder.</w:t>
      </w:r>
    </w:p>
    <w:p w14:paraId="5D98ED79" w14:textId="77777777" w:rsidR="00B155FE" w:rsidRDefault="00B155FE">
      <w:pPr>
        <w:rPr>
          <w:sz w:val="22"/>
          <w:szCs w:val="22"/>
        </w:rPr>
      </w:pPr>
    </w:p>
    <w:p w14:paraId="4EDB10F9" w14:textId="77777777" w:rsidR="00B155FE" w:rsidRDefault="00E453CD" w:rsidP="00B155FE">
      <w:pPr>
        <w:rPr>
          <w:sz w:val="22"/>
        </w:rPr>
      </w:pPr>
      <w:r>
        <w:rPr>
          <w:sz w:val="22"/>
        </w:rPr>
        <w:t xml:space="preserve">Bruk av Humira </w:t>
      </w:r>
      <w:r w:rsidR="00D26E99">
        <w:rPr>
          <w:sz w:val="22"/>
        </w:rPr>
        <w:t>hos</w:t>
      </w:r>
      <w:r>
        <w:rPr>
          <w:sz w:val="22"/>
        </w:rPr>
        <w:t xml:space="preserve"> pasienter </w:t>
      </w:r>
      <w:r w:rsidR="00D26E99">
        <w:rPr>
          <w:sz w:val="22"/>
        </w:rPr>
        <w:t xml:space="preserve">under </w:t>
      </w:r>
      <w:r>
        <w:rPr>
          <w:sz w:val="22"/>
        </w:rPr>
        <w:t>4</w:t>
      </w:r>
      <w:r w:rsidR="00837298">
        <w:rPr>
          <w:sz w:val="22"/>
        </w:rPr>
        <w:t> </w:t>
      </w:r>
      <w:r>
        <w:rPr>
          <w:sz w:val="22"/>
        </w:rPr>
        <w:t>år er ikke relevant for denne indikasjonen.</w:t>
      </w:r>
    </w:p>
    <w:p w14:paraId="45270E60" w14:textId="77777777" w:rsidR="00972FC0" w:rsidRDefault="00972FC0" w:rsidP="00B155FE">
      <w:pPr>
        <w:rPr>
          <w:sz w:val="22"/>
        </w:rPr>
      </w:pPr>
    </w:p>
    <w:p w14:paraId="065F64A0" w14:textId="77777777" w:rsidR="00972FC0" w:rsidRDefault="00E453CD" w:rsidP="00B155FE">
      <w:pPr>
        <w:rPr>
          <w:sz w:val="22"/>
        </w:rPr>
      </w:pPr>
      <w:r>
        <w:rPr>
          <w:sz w:val="22"/>
          <w:szCs w:val="22"/>
        </w:rPr>
        <w:t>Humira kan være tilgjengelig i andre styrker og/eller formuleringer avhengig av individuelle behandlingsbehov.</w:t>
      </w:r>
    </w:p>
    <w:p w14:paraId="14A4093F" w14:textId="77777777" w:rsidR="00B155FE" w:rsidRDefault="00B155FE">
      <w:pPr>
        <w:rPr>
          <w:sz w:val="22"/>
          <w:szCs w:val="22"/>
        </w:rPr>
      </w:pPr>
    </w:p>
    <w:p w14:paraId="7403756C" w14:textId="77777777" w:rsidR="00B155FE" w:rsidRDefault="00E453CD" w:rsidP="00AF70AD">
      <w:pPr>
        <w:keepNext/>
        <w:rPr>
          <w:i/>
          <w:sz w:val="22"/>
        </w:rPr>
      </w:pPr>
      <w:r w:rsidRPr="00AB7697">
        <w:rPr>
          <w:i/>
          <w:sz w:val="22"/>
        </w:rPr>
        <w:t>Pediatrisk Crohns sykdom</w:t>
      </w:r>
    </w:p>
    <w:p w14:paraId="43BCB1A3" w14:textId="77777777" w:rsidR="00B155FE" w:rsidRPr="00AB7697" w:rsidRDefault="00B155FE" w:rsidP="00AF70AD">
      <w:pPr>
        <w:keepNext/>
        <w:rPr>
          <w:sz w:val="20"/>
          <w:szCs w:val="22"/>
        </w:rPr>
      </w:pPr>
    </w:p>
    <w:p w14:paraId="38F7885E" w14:textId="77777777" w:rsidR="006C3916" w:rsidRDefault="00E453CD">
      <w:pPr>
        <w:rPr>
          <w:sz w:val="22"/>
        </w:rPr>
      </w:pPr>
      <w:r>
        <w:rPr>
          <w:sz w:val="22"/>
          <w:szCs w:val="22"/>
        </w:rPr>
        <w:t>Anbefalt dose av Humira</w:t>
      </w:r>
      <w:r w:rsidRPr="00AB7697">
        <w:rPr>
          <w:sz w:val="22"/>
          <w:szCs w:val="22"/>
        </w:rPr>
        <w:t xml:space="preserve"> </w:t>
      </w:r>
      <w:r w:rsidR="00B155FE">
        <w:rPr>
          <w:sz w:val="22"/>
        </w:rPr>
        <w:t>for pasienter fra 6</w:t>
      </w:r>
      <w:r w:rsidR="00B155FE" w:rsidRPr="00AB7697">
        <w:rPr>
          <w:sz w:val="22"/>
        </w:rPr>
        <w:t xml:space="preserve"> til 17</w:t>
      </w:r>
      <w:r w:rsidR="00837298">
        <w:rPr>
          <w:sz w:val="22"/>
        </w:rPr>
        <w:t> </w:t>
      </w:r>
      <w:r w:rsidR="00B155FE" w:rsidRPr="00AB7697">
        <w:rPr>
          <w:sz w:val="22"/>
        </w:rPr>
        <w:t xml:space="preserve">år med </w:t>
      </w:r>
      <w:r w:rsidR="006B55F0">
        <w:rPr>
          <w:sz w:val="22"/>
        </w:rPr>
        <w:t>Crohns</w:t>
      </w:r>
      <w:r w:rsidR="00B155FE">
        <w:rPr>
          <w:sz w:val="22"/>
        </w:rPr>
        <w:t xml:space="preserve"> sykdom</w:t>
      </w:r>
      <w:r w:rsidR="00B155FE" w:rsidRPr="00AB7697">
        <w:rPr>
          <w:sz w:val="22"/>
        </w:rPr>
        <w:t xml:space="preserve"> er basert på kroppsvekt (</w:t>
      </w:r>
      <w:r w:rsidR="006B55F0">
        <w:rPr>
          <w:sz w:val="22"/>
        </w:rPr>
        <w:t>t</w:t>
      </w:r>
      <w:r w:rsidR="00B155FE" w:rsidRPr="00AB7697">
        <w:rPr>
          <w:sz w:val="22"/>
        </w:rPr>
        <w:t>ab</w:t>
      </w:r>
      <w:r w:rsidR="00B155FE">
        <w:rPr>
          <w:sz w:val="22"/>
        </w:rPr>
        <w:t>ell 4</w:t>
      </w:r>
      <w:r w:rsidR="00B155FE" w:rsidRPr="00AB7697">
        <w:rPr>
          <w:sz w:val="22"/>
        </w:rPr>
        <w:t>).</w:t>
      </w:r>
      <w:r w:rsidR="00B155FE">
        <w:rPr>
          <w:sz w:val="22"/>
        </w:rPr>
        <w:t xml:space="preserve"> </w:t>
      </w:r>
      <w:r w:rsidR="00B155FE" w:rsidRPr="00B155FE">
        <w:rPr>
          <w:sz w:val="22"/>
        </w:rPr>
        <w:t xml:space="preserve">Humira administreres </w:t>
      </w:r>
      <w:r w:rsidR="0047212E">
        <w:rPr>
          <w:sz w:val="22"/>
        </w:rPr>
        <w:t xml:space="preserve">som </w:t>
      </w:r>
      <w:r w:rsidR="00B155FE" w:rsidRPr="00B155FE">
        <w:rPr>
          <w:sz w:val="22"/>
        </w:rPr>
        <w:t>subkutan</w:t>
      </w:r>
      <w:r w:rsidR="0047212E">
        <w:rPr>
          <w:sz w:val="22"/>
        </w:rPr>
        <w:t xml:space="preserve"> injeksjon</w:t>
      </w:r>
      <w:r w:rsidR="00B155FE" w:rsidRPr="00B155FE">
        <w:rPr>
          <w:sz w:val="22"/>
        </w:rPr>
        <w:t>.</w:t>
      </w:r>
    </w:p>
    <w:p w14:paraId="0B3742F0" w14:textId="77777777" w:rsidR="00586C0C" w:rsidRDefault="00586C0C">
      <w:pPr>
        <w:rPr>
          <w:sz w:val="22"/>
        </w:rPr>
      </w:pPr>
    </w:p>
    <w:p w14:paraId="620F9AEC" w14:textId="77777777" w:rsidR="006C3916" w:rsidRPr="000624CD" w:rsidRDefault="00E453CD" w:rsidP="006C3916">
      <w:pPr>
        <w:keepNext/>
        <w:jc w:val="center"/>
        <w:rPr>
          <w:sz w:val="22"/>
          <w:szCs w:val="22"/>
        </w:rPr>
      </w:pPr>
      <w:r w:rsidRPr="00AB7697">
        <w:rPr>
          <w:b/>
          <w:sz w:val="22"/>
          <w:szCs w:val="22"/>
        </w:rPr>
        <w:lastRenderedPageBreak/>
        <w:t>Tabell</w:t>
      </w:r>
      <w:r w:rsidR="00473A65" w:rsidRPr="00AB7697">
        <w:rPr>
          <w:b/>
          <w:sz w:val="22"/>
          <w:szCs w:val="22"/>
        </w:rPr>
        <w:t> </w:t>
      </w:r>
      <w:r w:rsidRPr="00AB7697">
        <w:rPr>
          <w:b/>
          <w:sz w:val="22"/>
          <w:szCs w:val="22"/>
        </w:rPr>
        <w:t xml:space="preserve">4. Humiradosering for pediatriske pasienter </w:t>
      </w:r>
      <w:r w:rsidR="00AF33BE">
        <w:rPr>
          <w:b/>
          <w:sz w:val="22"/>
          <w:szCs w:val="22"/>
        </w:rPr>
        <w:t>med</w:t>
      </w:r>
      <w:r w:rsidR="00AF33BE" w:rsidRPr="00AB7697">
        <w:rPr>
          <w:b/>
          <w:sz w:val="22"/>
          <w:szCs w:val="22"/>
        </w:rPr>
        <w:t xml:space="preserve"> </w:t>
      </w:r>
      <w:r w:rsidRPr="00AB7697">
        <w:rPr>
          <w:b/>
          <w:sz w:val="22"/>
          <w:szCs w:val="22"/>
        </w:rPr>
        <w:t>Crohns sykdom</w:t>
      </w:r>
    </w:p>
    <w:p w14:paraId="0BB7303F" w14:textId="77777777" w:rsidR="006C3916" w:rsidRPr="00AB7697" w:rsidRDefault="006C3916" w:rsidP="006C3916">
      <w:pPr>
        <w:keepNext/>
        <w:rPr>
          <w:sz w:val="22"/>
          <w:szCs w:val="22"/>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43"/>
        <w:gridCol w:w="6142"/>
        <w:gridCol w:w="1764"/>
      </w:tblGrid>
      <w:tr w:rsidR="004644D4" w14:paraId="7462449F" w14:textId="77777777" w:rsidTr="006C3916">
        <w:trPr>
          <w:tblHead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DC29291" w14:textId="77777777" w:rsidR="006C3916" w:rsidRPr="00BE07CA" w:rsidRDefault="00E453CD">
            <w:pPr>
              <w:keepNext/>
              <w:tabs>
                <w:tab w:val="left" w:pos="562"/>
              </w:tabs>
              <w:suppressAutoHyphens/>
              <w:spacing w:line="276" w:lineRule="auto"/>
              <w:jc w:val="center"/>
              <w:rPr>
                <w:sz w:val="22"/>
                <w:szCs w:val="22"/>
              </w:rPr>
            </w:pPr>
            <w:r w:rsidRPr="00AB7697">
              <w:rPr>
                <w:b/>
                <w:sz w:val="22"/>
                <w:szCs w:val="22"/>
              </w:rPr>
              <w:t>Kroppsvekt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C7D888F" w14:textId="77777777" w:rsidR="006C3916" w:rsidRPr="00BE07CA" w:rsidRDefault="00E453CD">
            <w:pPr>
              <w:keepNext/>
              <w:tabs>
                <w:tab w:val="left" w:pos="562"/>
              </w:tabs>
              <w:suppressAutoHyphens/>
              <w:spacing w:line="276" w:lineRule="auto"/>
              <w:jc w:val="center"/>
              <w:rPr>
                <w:sz w:val="22"/>
                <w:szCs w:val="22"/>
              </w:rPr>
            </w:pPr>
            <w:r w:rsidRPr="00AB7697">
              <w:rPr>
                <w:b/>
                <w:sz w:val="22"/>
                <w:szCs w:val="22"/>
              </w:rPr>
              <w:t>Startdose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6ECC584" w14:textId="77777777" w:rsidR="006C3916" w:rsidRPr="00AB7697" w:rsidRDefault="00E453CD">
            <w:pPr>
              <w:keepNext/>
              <w:tabs>
                <w:tab w:val="left" w:pos="562"/>
              </w:tabs>
              <w:suppressAutoHyphens/>
              <w:spacing w:line="276" w:lineRule="auto"/>
              <w:jc w:val="center"/>
              <w:rPr>
                <w:sz w:val="22"/>
                <w:szCs w:val="22"/>
                <w:lang w:val="en-US"/>
              </w:rPr>
            </w:pPr>
            <w:r w:rsidRPr="00AB7697">
              <w:rPr>
                <w:b/>
                <w:sz w:val="22"/>
                <w:szCs w:val="22"/>
                <w:lang w:val="en-US"/>
              </w:rPr>
              <w:t>Vedlikeholdsdose</w:t>
            </w:r>
            <w:r w:rsidRPr="00AB7697">
              <w:rPr>
                <w:b/>
                <w:sz w:val="22"/>
                <w:szCs w:val="22"/>
                <w:lang w:val="en-US"/>
              </w:rPr>
              <w:br/>
              <w:t>Fra uke 4</w:t>
            </w:r>
          </w:p>
        </w:tc>
      </w:tr>
      <w:tr w:rsidR="004644D4" w14:paraId="2ED99B30" w14:textId="77777777" w:rsidTr="006C39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8EF88B6" w14:textId="77777777" w:rsidR="006C3916" w:rsidRPr="00BE07CA" w:rsidRDefault="00E453CD">
            <w:pPr>
              <w:keepNext/>
              <w:tabs>
                <w:tab w:val="left" w:pos="562"/>
              </w:tabs>
              <w:suppressAutoHyphens/>
              <w:spacing w:line="276" w:lineRule="auto"/>
              <w:jc w:val="center"/>
              <w:rPr>
                <w:sz w:val="22"/>
                <w:szCs w:val="22"/>
              </w:rPr>
            </w:pPr>
            <w:r w:rsidRPr="00AB7697">
              <w:rPr>
                <w:sz w:val="22"/>
                <w:szCs w:val="22"/>
              </w:rPr>
              <w:t>&lt; 40</w:t>
            </w:r>
            <w:r w:rsidR="00473A65" w:rsidRPr="00AB7697">
              <w:rPr>
                <w:sz w:val="22"/>
                <w:szCs w:val="22"/>
              </w:rPr>
              <w:t> </w:t>
            </w:r>
            <w:r w:rsidRPr="00AB7697">
              <w:rPr>
                <w:sz w:val="22"/>
                <w:szCs w:val="22"/>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5C9F30" w14:textId="77777777" w:rsidR="006C3916" w:rsidRPr="00AB7697" w:rsidRDefault="00E453CD" w:rsidP="006C3916">
            <w:pPr>
              <w:keepNext/>
              <w:numPr>
                <w:ilvl w:val="0"/>
                <w:numId w:val="134"/>
              </w:numPr>
              <w:tabs>
                <w:tab w:val="left" w:pos="720"/>
              </w:tabs>
              <w:spacing w:line="276" w:lineRule="auto"/>
              <w:ind w:left="307" w:hanging="180"/>
              <w:rPr>
                <w:sz w:val="22"/>
                <w:szCs w:val="22"/>
              </w:rPr>
            </w:pPr>
            <w:r w:rsidRPr="00AB7697">
              <w:rPr>
                <w:sz w:val="22"/>
                <w:szCs w:val="22"/>
              </w:rPr>
              <w:t>40</w:t>
            </w:r>
            <w:r w:rsidR="00473A65" w:rsidRPr="00AB7697">
              <w:rPr>
                <w:sz w:val="22"/>
                <w:szCs w:val="22"/>
              </w:rPr>
              <w:t> </w:t>
            </w:r>
            <w:r w:rsidRPr="00AB7697">
              <w:rPr>
                <w:sz w:val="22"/>
                <w:szCs w:val="22"/>
              </w:rPr>
              <w:t>mg ved uke 0 og 20</w:t>
            </w:r>
            <w:r w:rsidR="00473A65" w:rsidRPr="00AB7697">
              <w:rPr>
                <w:sz w:val="22"/>
                <w:szCs w:val="22"/>
              </w:rPr>
              <w:t> </w:t>
            </w:r>
            <w:r w:rsidRPr="00AB7697">
              <w:rPr>
                <w:sz w:val="22"/>
                <w:szCs w:val="22"/>
              </w:rPr>
              <w:t>mg ved uke 2</w:t>
            </w:r>
          </w:p>
          <w:p w14:paraId="3453ABA9" w14:textId="77777777" w:rsidR="006C3916" w:rsidRPr="00AB7697" w:rsidRDefault="006C3916">
            <w:pPr>
              <w:keepNext/>
              <w:tabs>
                <w:tab w:val="left" w:pos="720"/>
              </w:tabs>
              <w:spacing w:line="276" w:lineRule="auto"/>
              <w:ind w:left="337"/>
              <w:rPr>
                <w:sz w:val="22"/>
                <w:szCs w:val="22"/>
              </w:rPr>
            </w:pPr>
          </w:p>
          <w:p w14:paraId="08ED4738" w14:textId="77777777" w:rsidR="006C3916" w:rsidRPr="00AB7697" w:rsidRDefault="00E453CD">
            <w:pPr>
              <w:keepNext/>
              <w:tabs>
                <w:tab w:val="left" w:pos="720"/>
              </w:tabs>
              <w:spacing w:line="276" w:lineRule="auto"/>
              <w:ind w:left="150"/>
              <w:rPr>
                <w:sz w:val="22"/>
                <w:szCs w:val="22"/>
              </w:rPr>
            </w:pPr>
            <w:r w:rsidRPr="00AB7697">
              <w:rPr>
                <w:sz w:val="22"/>
                <w:szCs w:val="22"/>
              </w:rPr>
              <w:t xml:space="preserve">Dersom det er behov for raskere respons på </w:t>
            </w:r>
            <w:r w:rsidR="004C6A14">
              <w:rPr>
                <w:sz w:val="22"/>
                <w:szCs w:val="22"/>
              </w:rPr>
              <w:t>behandli</w:t>
            </w:r>
            <w:r w:rsidR="007250BA">
              <w:rPr>
                <w:sz w:val="22"/>
                <w:szCs w:val="22"/>
              </w:rPr>
              <w:t>n</w:t>
            </w:r>
            <w:r w:rsidR="004C6A14">
              <w:rPr>
                <w:sz w:val="22"/>
                <w:szCs w:val="22"/>
              </w:rPr>
              <w:t>g</w:t>
            </w:r>
            <w:r w:rsidRPr="00AB7697">
              <w:rPr>
                <w:sz w:val="22"/>
                <w:szCs w:val="22"/>
              </w:rPr>
              <w:t>en og med viten om at bivirkningsrisiko kan være høyere ved bruk av høyere startdose, kan følgende dosering benyttes:</w:t>
            </w:r>
          </w:p>
          <w:p w14:paraId="11D1D423" w14:textId="77777777" w:rsidR="006C3916" w:rsidRPr="00BE07CA" w:rsidRDefault="00E453CD" w:rsidP="00AB7697">
            <w:pPr>
              <w:pStyle w:val="ListParagraph"/>
              <w:keepNext/>
              <w:numPr>
                <w:ilvl w:val="0"/>
                <w:numId w:val="139"/>
              </w:numPr>
              <w:tabs>
                <w:tab w:val="left" w:pos="720"/>
              </w:tabs>
              <w:spacing w:line="276" w:lineRule="auto"/>
              <w:ind w:left="317" w:hanging="187"/>
              <w:rPr>
                <w:sz w:val="22"/>
                <w:szCs w:val="22"/>
              </w:rPr>
            </w:pPr>
            <w:r w:rsidRPr="00AB7697">
              <w:rPr>
                <w:sz w:val="22"/>
                <w:szCs w:val="22"/>
              </w:rPr>
              <w:t>80</w:t>
            </w:r>
            <w:r w:rsidR="00540218">
              <w:rPr>
                <w:sz w:val="22"/>
                <w:szCs w:val="22"/>
              </w:rPr>
              <w:t> </w:t>
            </w:r>
            <w:r w:rsidRPr="00AB7697">
              <w:rPr>
                <w:sz w:val="22"/>
                <w:szCs w:val="22"/>
              </w:rPr>
              <w:t>mg ved uke</w:t>
            </w:r>
            <w:r w:rsidR="006A21C7" w:rsidRPr="00AB7697">
              <w:rPr>
                <w:sz w:val="22"/>
                <w:szCs w:val="22"/>
              </w:rPr>
              <w:t xml:space="preserve"> 0 og</w:t>
            </w:r>
            <w:r w:rsidRPr="00AB7697">
              <w:rPr>
                <w:sz w:val="22"/>
                <w:szCs w:val="22"/>
              </w:rPr>
              <w:t xml:space="preserve"> 40</w:t>
            </w:r>
            <w:r w:rsidR="00540218">
              <w:rPr>
                <w:sz w:val="22"/>
                <w:szCs w:val="22"/>
              </w:rPr>
              <w:t> </w:t>
            </w:r>
            <w:r w:rsidRPr="00AB7697">
              <w:rPr>
                <w:sz w:val="22"/>
                <w:szCs w:val="22"/>
              </w:rPr>
              <w:t>mg ved uke 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9C3FD4F" w14:textId="77777777" w:rsidR="006C3916" w:rsidRPr="00BE07CA" w:rsidRDefault="00E453CD">
            <w:pPr>
              <w:keepNext/>
              <w:tabs>
                <w:tab w:val="left" w:pos="720"/>
              </w:tabs>
              <w:spacing w:line="276" w:lineRule="auto"/>
              <w:ind w:left="27"/>
              <w:jc w:val="center"/>
              <w:rPr>
                <w:sz w:val="22"/>
                <w:szCs w:val="22"/>
              </w:rPr>
            </w:pPr>
            <w:r w:rsidRPr="00AB7697">
              <w:rPr>
                <w:sz w:val="22"/>
                <w:szCs w:val="22"/>
              </w:rPr>
              <w:t>20</w:t>
            </w:r>
            <w:r w:rsidR="00540218">
              <w:rPr>
                <w:sz w:val="22"/>
                <w:szCs w:val="22"/>
              </w:rPr>
              <w:t> </w:t>
            </w:r>
            <w:r w:rsidRPr="00AB7697">
              <w:rPr>
                <w:sz w:val="22"/>
                <w:szCs w:val="22"/>
              </w:rPr>
              <w:t>mg annenhver uke</w:t>
            </w:r>
          </w:p>
        </w:tc>
      </w:tr>
      <w:tr w:rsidR="004644D4" w14:paraId="34715F9B" w14:textId="77777777" w:rsidTr="006C39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2351F5" w14:textId="77777777" w:rsidR="006C3916" w:rsidRPr="00BE07CA" w:rsidRDefault="00E453CD">
            <w:pPr>
              <w:keepNext/>
              <w:tabs>
                <w:tab w:val="left" w:pos="562"/>
              </w:tabs>
              <w:suppressAutoHyphens/>
              <w:spacing w:line="276" w:lineRule="auto"/>
              <w:jc w:val="center"/>
              <w:rPr>
                <w:sz w:val="22"/>
                <w:szCs w:val="22"/>
              </w:rPr>
            </w:pPr>
            <w:r w:rsidRPr="00AB7697">
              <w:rPr>
                <w:sz w:val="22"/>
                <w:szCs w:val="22"/>
              </w:rPr>
              <w:t>≥ 40</w:t>
            </w:r>
            <w:r w:rsidR="00540218">
              <w:rPr>
                <w:sz w:val="22"/>
                <w:szCs w:val="22"/>
              </w:rPr>
              <w:t> </w:t>
            </w:r>
            <w:r w:rsidRPr="00AB7697">
              <w:rPr>
                <w:sz w:val="22"/>
                <w:szCs w:val="22"/>
              </w:rPr>
              <w:t>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F0C15D1" w14:textId="77777777" w:rsidR="009100B0" w:rsidRPr="00AB7697" w:rsidRDefault="00E453CD" w:rsidP="00AB7697">
            <w:pPr>
              <w:keepNext/>
              <w:numPr>
                <w:ilvl w:val="0"/>
                <w:numId w:val="137"/>
              </w:numPr>
              <w:tabs>
                <w:tab w:val="left" w:pos="720"/>
              </w:tabs>
              <w:spacing w:line="276" w:lineRule="auto"/>
              <w:ind w:left="317" w:hanging="187"/>
              <w:rPr>
                <w:sz w:val="22"/>
                <w:szCs w:val="22"/>
              </w:rPr>
            </w:pPr>
            <w:r w:rsidRPr="00AB7697">
              <w:rPr>
                <w:sz w:val="22"/>
                <w:szCs w:val="22"/>
              </w:rPr>
              <w:t>80</w:t>
            </w:r>
            <w:r w:rsidR="00540218">
              <w:rPr>
                <w:sz w:val="22"/>
                <w:szCs w:val="22"/>
              </w:rPr>
              <w:t> </w:t>
            </w:r>
            <w:r w:rsidRPr="00AB7697">
              <w:rPr>
                <w:sz w:val="22"/>
                <w:szCs w:val="22"/>
              </w:rPr>
              <w:t>mg ved uke 0 og 40</w:t>
            </w:r>
            <w:r w:rsidR="00540218">
              <w:rPr>
                <w:sz w:val="22"/>
                <w:szCs w:val="22"/>
              </w:rPr>
              <w:t> </w:t>
            </w:r>
            <w:r w:rsidRPr="00AB7697">
              <w:rPr>
                <w:sz w:val="22"/>
                <w:szCs w:val="22"/>
              </w:rPr>
              <w:t>mg ved uke 2</w:t>
            </w:r>
          </w:p>
          <w:p w14:paraId="0DADEFD6" w14:textId="77777777" w:rsidR="009100B0" w:rsidRPr="00AB7697" w:rsidRDefault="009100B0" w:rsidP="009100B0">
            <w:pPr>
              <w:keepNext/>
              <w:tabs>
                <w:tab w:val="left" w:pos="720"/>
              </w:tabs>
              <w:spacing w:line="276" w:lineRule="auto"/>
              <w:ind w:left="337"/>
              <w:rPr>
                <w:sz w:val="22"/>
                <w:szCs w:val="22"/>
              </w:rPr>
            </w:pPr>
          </w:p>
          <w:p w14:paraId="64D6906C" w14:textId="77777777" w:rsidR="009100B0" w:rsidRPr="00AB7697" w:rsidRDefault="00E453CD" w:rsidP="009100B0">
            <w:pPr>
              <w:keepNext/>
              <w:tabs>
                <w:tab w:val="left" w:pos="720"/>
              </w:tabs>
              <w:spacing w:line="276" w:lineRule="auto"/>
              <w:ind w:left="150"/>
              <w:rPr>
                <w:sz w:val="22"/>
                <w:szCs w:val="22"/>
              </w:rPr>
            </w:pPr>
            <w:r w:rsidRPr="00AB7697">
              <w:rPr>
                <w:sz w:val="22"/>
                <w:szCs w:val="22"/>
              </w:rPr>
              <w:t xml:space="preserve">Dersom det er behov for raskere respons på </w:t>
            </w:r>
            <w:r w:rsidR="004C6A14">
              <w:rPr>
                <w:sz w:val="22"/>
                <w:szCs w:val="22"/>
              </w:rPr>
              <w:t>behandling</w:t>
            </w:r>
            <w:r w:rsidRPr="00AB7697">
              <w:rPr>
                <w:sz w:val="22"/>
                <w:szCs w:val="22"/>
              </w:rPr>
              <w:t>en og med viten om at bivirkningsrisiko kan være høyere ved bruk av høyere startdose, kan følgende dosering benyttes:</w:t>
            </w:r>
          </w:p>
          <w:p w14:paraId="166F7B78" w14:textId="77777777" w:rsidR="006C3916" w:rsidRPr="00BE07CA" w:rsidRDefault="00E453CD" w:rsidP="00AB7697">
            <w:pPr>
              <w:keepNext/>
              <w:numPr>
                <w:ilvl w:val="0"/>
                <w:numId w:val="137"/>
              </w:numPr>
              <w:tabs>
                <w:tab w:val="left" w:pos="720"/>
              </w:tabs>
              <w:spacing w:line="276" w:lineRule="auto"/>
              <w:ind w:left="317" w:hanging="187"/>
              <w:rPr>
                <w:sz w:val="22"/>
                <w:szCs w:val="22"/>
              </w:rPr>
            </w:pPr>
            <w:r w:rsidRPr="00AB7697">
              <w:rPr>
                <w:sz w:val="22"/>
                <w:szCs w:val="22"/>
              </w:rPr>
              <w:t>160</w:t>
            </w:r>
            <w:r w:rsidR="00540218">
              <w:rPr>
                <w:sz w:val="22"/>
                <w:szCs w:val="22"/>
              </w:rPr>
              <w:t> </w:t>
            </w:r>
            <w:r w:rsidRPr="00AB7697">
              <w:rPr>
                <w:sz w:val="22"/>
                <w:szCs w:val="22"/>
              </w:rPr>
              <w:t>mg ved uke 0 og 80</w:t>
            </w:r>
            <w:r w:rsidR="00540218">
              <w:rPr>
                <w:sz w:val="22"/>
                <w:szCs w:val="22"/>
              </w:rPr>
              <w:t> </w:t>
            </w:r>
            <w:r w:rsidR="009100B0" w:rsidRPr="00AB7697">
              <w:rPr>
                <w:sz w:val="22"/>
                <w:szCs w:val="22"/>
              </w:rPr>
              <w:t>mg ved uke 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DE06437" w14:textId="77777777" w:rsidR="006C3916" w:rsidRPr="00BE07CA" w:rsidRDefault="00E453CD" w:rsidP="00844FD5">
            <w:pPr>
              <w:keepNext/>
              <w:tabs>
                <w:tab w:val="left" w:pos="720"/>
              </w:tabs>
              <w:spacing w:line="276" w:lineRule="auto"/>
              <w:ind w:left="36"/>
              <w:jc w:val="center"/>
              <w:rPr>
                <w:sz w:val="22"/>
                <w:szCs w:val="22"/>
              </w:rPr>
            </w:pPr>
            <w:r w:rsidRPr="00AB7697">
              <w:rPr>
                <w:sz w:val="22"/>
                <w:szCs w:val="22"/>
              </w:rPr>
              <w:t>40</w:t>
            </w:r>
            <w:r w:rsidR="00540218">
              <w:rPr>
                <w:sz w:val="22"/>
                <w:szCs w:val="22"/>
              </w:rPr>
              <w:t> </w:t>
            </w:r>
            <w:r w:rsidRPr="00AB7697">
              <w:rPr>
                <w:sz w:val="22"/>
                <w:szCs w:val="22"/>
              </w:rPr>
              <w:t xml:space="preserve">mg </w:t>
            </w:r>
            <w:r w:rsidR="006A21C7" w:rsidRPr="00AB7697">
              <w:rPr>
                <w:sz w:val="22"/>
                <w:szCs w:val="22"/>
              </w:rPr>
              <w:t>annenhver</w:t>
            </w:r>
            <w:r w:rsidR="00984FAB" w:rsidRPr="00AB7697">
              <w:rPr>
                <w:sz w:val="22"/>
                <w:szCs w:val="22"/>
              </w:rPr>
              <w:t xml:space="preserve"> uke</w:t>
            </w:r>
          </w:p>
        </w:tc>
      </w:tr>
    </w:tbl>
    <w:p w14:paraId="7C6D9E0A" w14:textId="77777777" w:rsidR="00237292" w:rsidRDefault="00237292">
      <w:pPr>
        <w:rPr>
          <w:sz w:val="22"/>
        </w:rPr>
      </w:pPr>
    </w:p>
    <w:p w14:paraId="1454D295" w14:textId="77777777" w:rsidR="00237292" w:rsidRPr="00844FD5" w:rsidRDefault="00E453CD" w:rsidP="00AB7697">
      <w:pPr>
        <w:keepNext/>
        <w:rPr>
          <w:sz w:val="22"/>
          <w:szCs w:val="22"/>
        </w:rPr>
      </w:pPr>
      <w:r w:rsidRPr="00844FD5">
        <w:rPr>
          <w:sz w:val="22"/>
          <w:szCs w:val="22"/>
        </w:rPr>
        <w:t>Pasienter som opplever utilstrekkelig respons kan ha nytte av en økning i dosering:</w:t>
      </w:r>
    </w:p>
    <w:p w14:paraId="151F55CE" w14:textId="77777777" w:rsidR="00237292" w:rsidRPr="00AB7697" w:rsidRDefault="00E453CD" w:rsidP="00237292">
      <w:pPr>
        <w:keepNext/>
        <w:numPr>
          <w:ilvl w:val="0"/>
          <w:numId w:val="140"/>
        </w:numPr>
        <w:tabs>
          <w:tab w:val="left" w:pos="562"/>
        </w:tabs>
        <w:suppressAutoHyphens/>
        <w:ind w:left="540" w:hanging="540"/>
        <w:rPr>
          <w:sz w:val="22"/>
          <w:szCs w:val="22"/>
          <w:lang w:val="en-GB"/>
        </w:rPr>
      </w:pPr>
      <w:r w:rsidRPr="00AB7697">
        <w:rPr>
          <w:sz w:val="22"/>
          <w:szCs w:val="22"/>
          <w:lang w:val="en-GB"/>
        </w:rPr>
        <w:t>&lt; 40 kg: 20 mg hver uke</w:t>
      </w:r>
    </w:p>
    <w:p w14:paraId="6E2B71BC" w14:textId="77777777" w:rsidR="00237292" w:rsidRPr="00AF70AD" w:rsidRDefault="00E453CD" w:rsidP="00AB7697">
      <w:pPr>
        <w:keepNext/>
        <w:numPr>
          <w:ilvl w:val="0"/>
          <w:numId w:val="140"/>
        </w:numPr>
        <w:tabs>
          <w:tab w:val="left" w:pos="562"/>
        </w:tabs>
        <w:suppressAutoHyphens/>
        <w:ind w:left="540" w:hanging="540"/>
        <w:rPr>
          <w:sz w:val="22"/>
          <w:szCs w:val="22"/>
        </w:rPr>
      </w:pPr>
      <w:r w:rsidRPr="00AF70AD">
        <w:rPr>
          <w:sz w:val="22"/>
          <w:szCs w:val="22"/>
        </w:rPr>
        <w:t>≥ 40 kg: 40 mg hver uke</w:t>
      </w:r>
      <w:r w:rsidR="00D73D0D" w:rsidRPr="00AF70AD">
        <w:rPr>
          <w:sz w:val="22"/>
          <w:szCs w:val="22"/>
        </w:rPr>
        <w:t xml:space="preserve"> eller 80</w:t>
      </w:r>
      <w:r w:rsidR="004F1D48">
        <w:rPr>
          <w:sz w:val="22"/>
          <w:szCs w:val="22"/>
        </w:rPr>
        <w:t> </w:t>
      </w:r>
      <w:r w:rsidR="00D73D0D" w:rsidRPr="00AF70AD">
        <w:rPr>
          <w:sz w:val="22"/>
          <w:szCs w:val="22"/>
        </w:rPr>
        <w:t>mg annenhver uke</w:t>
      </w:r>
    </w:p>
    <w:p w14:paraId="13B73874" w14:textId="77777777" w:rsidR="00237292" w:rsidRPr="00AF70AD" w:rsidRDefault="00237292" w:rsidP="00AB7697">
      <w:pPr>
        <w:keepNext/>
        <w:tabs>
          <w:tab w:val="left" w:pos="562"/>
        </w:tabs>
        <w:suppressAutoHyphens/>
        <w:ind w:left="540"/>
      </w:pPr>
    </w:p>
    <w:p w14:paraId="76FD770E" w14:textId="77777777" w:rsidR="00AB5098" w:rsidRPr="009C5EFD" w:rsidRDefault="00E453CD" w:rsidP="00AB5098">
      <w:pPr>
        <w:rPr>
          <w:sz w:val="22"/>
          <w:szCs w:val="22"/>
        </w:rPr>
      </w:pPr>
      <w:r w:rsidRPr="009C5EFD">
        <w:rPr>
          <w:sz w:val="22"/>
          <w:szCs w:val="22"/>
        </w:rPr>
        <w:t>Fortsettelse av behandlingen hos pasienter som ikke responderer innen uke</w:t>
      </w:r>
      <w:r w:rsidR="004F1D48">
        <w:rPr>
          <w:sz w:val="22"/>
          <w:szCs w:val="22"/>
        </w:rPr>
        <w:t> </w:t>
      </w:r>
      <w:r w:rsidRPr="009C5EFD">
        <w:rPr>
          <w:sz w:val="22"/>
          <w:szCs w:val="22"/>
        </w:rPr>
        <w:t>12, bør vurderes nøye.</w:t>
      </w:r>
    </w:p>
    <w:p w14:paraId="74CD47C6" w14:textId="77777777" w:rsidR="00AB5098" w:rsidRPr="009C5EFD" w:rsidRDefault="00AB5098" w:rsidP="00AB5098">
      <w:pPr>
        <w:rPr>
          <w:sz w:val="22"/>
          <w:szCs w:val="22"/>
        </w:rPr>
      </w:pPr>
    </w:p>
    <w:p w14:paraId="02476228" w14:textId="77777777" w:rsidR="00AB5098" w:rsidRDefault="00E453CD" w:rsidP="00AB5098">
      <w:pPr>
        <w:rPr>
          <w:sz w:val="22"/>
          <w:szCs w:val="22"/>
        </w:rPr>
      </w:pPr>
      <w:r w:rsidRPr="009C5EFD">
        <w:rPr>
          <w:sz w:val="22"/>
          <w:szCs w:val="22"/>
        </w:rPr>
        <w:t>Det er ikke relevant å bruke Humira hos barn under 6</w:t>
      </w:r>
      <w:r w:rsidR="004F1D48">
        <w:rPr>
          <w:sz w:val="22"/>
          <w:szCs w:val="22"/>
        </w:rPr>
        <w:t> </w:t>
      </w:r>
      <w:r w:rsidRPr="009C5EFD">
        <w:rPr>
          <w:sz w:val="22"/>
          <w:szCs w:val="22"/>
        </w:rPr>
        <w:t>år ved denne indikasjonen.</w:t>
      </w:r>
    </w:p>
    <w:p w14:paraId="078D4950" w14:textId="77777777" w:rsidR="00D73D0D" w:rsidRDefault="00D73D0D" w:rsidP="00AB5098">
      <w:pPr>
        <w:rPr>
          <w:sz w:val="22"/>
          <w:szCs w:val="22"/>
        </w:rPr>
      </w:pPr>
    </w:p>
    <w:p w14:paraId="52423F0E" w14:textId="77777777" w:rsidR="00D73D0D" w:rsidRPr="009C5EFD" w:rsidRDefault="00E453CD" w:rsidP="00AB5098">
      <w:pPr>
        <w:rPr>
          <w:sz w:val="22"/>
          <w:szCs w:val="22"/>
        </w:rPr>
      </w:pPr>
      <w:r w:rsidRPr="00B155FE">
        <w:rPr>
          <w:sz w:val="22"/>
        </w:rPr>
        <w:t>Humira kan være tilgjengelig i andre styrker og/eller formuleringer avhengig av individuelle behandlingsbehov.</w:t>
      </w:r>
    </w:p>
    <w:p w14:paraId="5279E760" w14:textId="77777777" w:rsidR="00AB5098" w:rsidRDefault="00AB5098">
      <w:pPr>
        <w:rPr>
          <w:sz w:val="22"/>
        </w:rPr>
      </w:pPr>
    </w:p>
    <w:p w14:paraId="29AE1CA0" w14:textId="77777777" w:rsidR="00AB5098" w:rsidRPr="00B3311E" w:rsidRDefault="00E453CD" w:rsidP="00AB5098">
      <w:pPr>
        <w:keepNext/>
        <w:tabs>
          <w:tab w:val="left" w:pos="705"/>
        </w:tabs>
        <w:suppressAutoHyphens/>
        <w:rPr>
          <w:i/>
          <w:sz w:val="22"/>
          <w:szCs w:val="22"/>
        </w:rPr>
      </w:pPr>
      <w:r w:rsidRPr="00B3311E">
        <w:rPr>
          <w:i/>
          <w:sz w:val="22"/>
          <w:szCs w:val="22"/>
        </w:rPr>
        <w:t>Pediatrisk uveitt</w:t>
      </w:r>
    </w:p>
    <w:p w14:paraId="178CFC4C" w14:textId="77777777" w:rsidR="00AB5098" w:rsidRDefault="00AB5098" w:rsidP="00AF70AD">
      <w:pPr>
        <w:keepNext/>
        <w:rPr>
          <w:sz w:val="22"/>
        </w:rPr>
      </w:pPr>
    </w:p>
    <w:p w14:paraId="16B79EBE" w14:textId="77777777" w:rsidR="00122FAE" w:rsidRDefault="00E453CD">
      <w:pPr>
        <w:rPr>
          <w:sz w:val="22"/>
          <w:szCs w:val="22"/>
        </w:rPr>
      </w:pPr>
      <w:r>
        <w:rPr>
          <w:sz w:val="22"/>
        </w:rPr>
        <w:t>Anbefalt dose av Humira for pedi</w:t>
      </w:r>
      <w:r w:rsidR="00470717">
        <w:rPr>
          <w:sz w:val="22"/>
        </w:rPr>
        <w:t>a</w:t>
      </w:r>
      <w:r>
        <w:rPr>
          <w:sz w:val="22"/>
        </w:rPr>
        <w:t xml:space="preserve">triske pasienter med uveitt </w:t>
      </w:r>
      <w:r w:rsidR="00777B40">
        <w:rPr>
          <w:sz w:val="22"/>
        </w:rPr>
        <w:t>over</w:t>
      </w:r>
      <w:r>
        <w:rPr>
          <w:sz w:val="22"/>
        </w:rPr>
        <w:t xml:space="preserve"> 2</w:t>
      </w:r>
      <w:r w:rsidR="004F1D48">
        <w:rPr>
          <w:sz w:val="22"/>
        </w:rPr>
        <w:t> </w:t>
      </w:r>
      <w:r>
        <w:rPr>
          <w:sz w:val="22"/>
        </w:rPr>
        <w:t>år</w:t>
      </w:r>
      <w:r w:rsidR="004F1D48">
        <w:rPr>
          <w:sz w:val="22"/>
        </w:rPr>
        <w:t xml:space="preserve"> </w:t>
      </w:r>
      <w:r w:rsidR="00470717">
        <w:rPr>
          <w:sz w:val="22"/>
        </w:rPr>
        <w:t>er</w:t>
      </w:r>
      <w:r>
        <w:rPr>
          <w:sz w:val="22"/>
        </w:rPr>
        <w:t xml:space="preserve"> basert på kroppsvekt (</w:t>
      </w:r>
      <w:r w:rsidR="006B55F0">
        <w:rPr>
          <w:sz w:val="22"/>
        </w:rPr>
        <w:t>t</w:t>
      </w:r>
      <w:r>
        <w:rPr>
          <w:sz w:val="22"/>
        </w:rPr>
        <w:t>abell</w:t>
      </w:r>
      <w:r w:rsidR="004F1D48">
        <w:rPr>
          <w:sz w:val="22"/>
        </w:rPr>
        <w:t> </w:t>
      </w:r>
      <w:r>
        <w:rPr>
          <w:sz w:val="22"/>
        </w:rPr>
        <w:t>5). Humira administreres som subkutan injeksjon.</w:t>
      </w:r>
    </w:p>
    <w:p w14:paraId="1D519C2B" w14:textId="77777777" w:rsidR="00122FAE" w:rsidRDefault="00122FAE">
      <w:pPr>
        <w:rPr>
          <w:sz w:val="22"/>
          <w:szCs w:val="22"/>
        </w:rPr>
      </w:pPr>
    </w:p>
    <w:p w14:paraId="5EE0D97D" w14:textId="77777777" w:rsidR="00122FAE" w:rsidRDefault="00E453CD" w:rsidP="00122FAE">
      <w:pPr>
        <w:tabs>
          <w:tab w:val="left" w:pos="705"/>
        </w:tabs>
        <w:suppressAutoHyphens/>
        <w:rPr>
          <w:sz w:val="22"/>
          <w:szCs w:val="22"/>
        </w:rPr>
      </w:pPr>
      <w:r>
        <w:rPr>
          <w:sz w:val="22"/>
          <w:szCs w:val="22"/>
        </w:rPr>
        <w:t>Det foreligger ikke erfaring med behandling av pediatrisk uveitt med Humira uten samtidig behandling med metotreksat.</w:t>
      </w:r>
    </w:p>
    <w:p w14:paraId="73046F44" w14:textId="77777777" w:rsidR="00122FAE" w:rsidRDefault="00122FAE" w:rsidP="00122FAE">
      <w:pPr>
        <w:tabs>
          <w:tab w:val="left" w:pos="705"/>
        </w:tabs>
        <w:suppressAutoHyphens/>
        <w:rPr>
          <w:sz w:val="22"/>
          <w:szCs w:val="22"/>
        </w:rPr>
      </w:pPr>
    </w:p>
    <w:p w14:paraId="0C2D8243" w14:textId="77777777" w:rsidR="00122FAE" w:rsidRPr="00AB7697" w:rsidRDefault="00E453CD" w:rsidP="00776A84">
      <w:pPr>
        <w:keepNext/>
        <w:jc w:val="center"/>
        <w:rPr>
          <w:b/>
          <w:sz w:val="22"/>
          <w:szCs w:val="22"/>
        </w:rPr>
      </w:pPr>
      <w:r w:rsidRPr="00AB7697">
        <w:rPr>
          <w:b/>
          <w:sz w:val="22"/>
          <w:szCs w:val="22"/>
        </w:rPr>
        <w:t>Tabell 5. Humiradosering for pediatriske pasienter med uveitt</w:t>
      </w:r>
    </w:p>
    <w:p w14:paraId="48EAEFDF" w14:textId="77777777" w:rsidR="00122FAE" w:rsidRPr="00844FD5" w:rsidRDefault="00122FAE" w:rsidP="00776A84">
      <w:pPr>
        <w:keepNext/>
        <w:jc w:val="center"/>
      </w:pPr>
    </w:p>
    <w:tbl>
      <w:tblPr>
        <w:tblW w:w="6795" w:type="dxa"/>
        <w:jc w:val="center"/>
        <w:tblLayout w:type="fixed"/>
        <w:tblLook w:val="04A0" w:firstRow="1" w:lastRow="0" w:firstColumn="1" w:lastColumn="0" w:noHBand="0" w:noVBand="1"/>
      </w:tblPr>
      <w:tblGrid>
        <w:gridCol w:w="3401"/>
        <w:gridCol w:w="3394"/>
      </w:tblGrid>
      <w:tr w:rsidR="004644D4" w14:paraId="04092545" w14:textId="77777777" w:rsidTr="00122FAE">
        <w:trPr>
          <w:tblHeader/>
          <w:jc w:val="center"/>
        </w:trPr>
        <w:tc>
          <w:tcPr>
            <w:tcW w:w="3401" w:type="dxa"/>
            <w:tcBorders>
              <w:top w:val="single" w:sz="4" w:space="0" w:color="auto"/>
              <w:left w:val="nil"/>
              <w:bottom w:val="single" w:sz="4" w:space="0" w:color="auto"/>
              <w:right w:val="nil"/>
            </w:tcBorders>
            <w:hideMark/>
          </w:tcPr>
          <w:p w14:paraId="78012C4E" w14:textId="77777777" w:rsidR="00122FAE" w:rsidRDefault="00E453CD">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600D948F" w14:textId="77777777" w:rsidR="00122FAE" w:rsidRDefault="00E453CD">
            <w:pPr>
              <w:pStyle w:val="TableLeft"/>
              <w:jc w:val="center"/>
              <w:rPr>
                <w:b/>
                <w:sz w:val="22"/>
                <w:szCs w:val="22"/>
              </w:rPr>
            </w:pPr>
            <w:r>
              <w:rPr>
                <w:b/>
                <w:sz w:val="22"/>
                <w:szCs w:val="22"/>
              </w:rPr>
              <w:t>Dosering</w:t>
            </w:r>
          </w:p>
        </w:tc>
      </w:tr>
      <w:tr w:rsidR="004644D4" w14:paraId="0C68CB90" w14:textId="77777777" w:rsidTr="00122FAE">
        <w:trPr>
          <w:tblHeader/>
          <w:jc w:val="center"/>
        </w:trPr>
        <w:tc>
          <w:tcPr>
            <w:tcW w:w="3401" w:type="dxa"/>
            <w:tcBorders>
              <w:top w:val="single" w:sz="4" w:space="0" w:color="auto"/>
              <w:left w:val="nil"/>
              <w:bottom w:val="single" w:sz="4" w:space="0" w:color="auto"/>
              <w:right w:val="nil"/>
            </w:tcBorders>
            <w:hideMark/>
          </w:tcPr>
          <w:p w14:paraId="6DE76A15" w14:textId="77777777" w:rsidR="00122FAE" w:rsidRDefault="00E453CD">
            <w:pPr>
              <w:pStyle w:val="TableLeft"/>
              <w:jc w:val="center"/>
              <w:rPr>
                <w:b/>
                <w:sz w:val="22"/>
                <w:szCs w:val="22"/>
              </w:rPr>
            </w:pPr>
            <w:r>
              <w:rPr>
                <w:sz w:val="22"/>
                <w:szCs w:val="22"/>
              </w:rPr>
              <w:t>&lt; 30</w:t>
            </w:r>
            <w:r w:rsidR="00540218">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61DD934D" w14:textId="77777777" w:rsidR="00122FAE" w:rsidRPr="00AB7697" w:rsidRDefault="00E453CD" w:rsidP="00543C0D">
            <w:pPr>
              <w:pStyle w:val="TableLeft"/>
              <w:jc w:val="center"/>
              <w:rPr>
                <w:b/>
                <w:sz w:val="22"/>
                <w:szCs w:val="22"/>
                <w:lang w:val="nb-NO"/>
              </w:rPr>
            </w:pPr>
            <w:r w:rsidRPr="00AB7697">
              <w:rPr>
                <w:sz w:val="22"/>
                <w:szCs w:val="22"/>
                <w:lang w:val="nb-NO"/>
              </w:rPr>
              <w:t>20</w:t>
            </w:r>
            <w:r w:rsidR="00540218">
              <w:rPr>
                <w:sz w:val="22"/>
                <w:szCs w:val="22"/>
                <w:lang w:val="nb-NO"/>
              </w:rPr>
              <w:t> </w:t>
            </w:r>
            <w:r w:rsidRPr="00AB7697">
              <w:rPr>
                <w:sz w:val="22"/>
                <w:szCs w:val="22"/>
                <w:lang w:val="nb-NO"/>
              </w:rPr>
              <w:t>mg annenhver uke i kombinasjon med metotreksat</w:t>
            </w:r>
            <w:r>
              <w:rPr>
                <w:sz w:val="22"/>
                <w:szCs w:val="22"/>
                <w:lang w:val="nb-NO"/>
              </w:rPr>
              <w:t xml:space="preserve"> </w:t>
            </w:r>
            <w:r w:rsidRPr="00AB7697">
              <w:rPr>
                <w:sz w:val="22"/>
                <w:szCs w:val="22"/>
                <w:lang w:val="nb-NO"/>
              </w:rPr>
              <w:t xml:space="preserve"> </w:t>
            </w:r>
          </w:p>
        </w:tc>
      </w:tr>
      <w:tr w:rsidR="004644D4" w14:paraId="7D16D3B0" w14:textId="77777777" w:rsidTr="00122FAE">
        <w:trPr>
          <w:tblHeader/>
          <w:jc w:val="center"/>
        </w:trPr>
        <w:tc>
          <w:tcPr>
            <w:tcW w:w="3401" w:type="dxa"/>
            <w:tcBorders>
              <w:top w:val="single" w:sz="4" w:space="0" w:color="auto"/>
              <w:left w:val="nil"/>
              <w:bottom w:val="single" w:sz="4" w:space="0" w:color="auto"/>
              <w:right w:val="nil"/>
            </w:tcBorders>
            <w:hideMark/>
          </w:tcPr>
          <w:p w14:paraId="2B561DF1" w14:textId="77777777" w:rsidR="00122FAE" w:rsidRDefault="00E453CD">
            <w:pPr>
              <w:pStyle w:val="TableLeft"/>
              <w:jc w:val="center"/>
              <w:rPr>
                <w:b/>
                <w:sz w:val="22"/>
                <w:szCs w:val="22"/>
              </w:rPr>
            </w:pPr>
            <w:r>
              <w:rPr>
                <w:sz w:val="22"/>
                <w:szCs w:val="22"/>
              </w:rPr>
              <w:t>≥ 30</w:t>
            </w:r>
            <w:r w:rsidR="00540218">
              <w:rPr>
                <w:sz w:val="22"/>
                <w:szCs w:val="22"/>
              </w:rPr>
              <w:t> </w:t>
            </w:r>
            <w:r>
              <w:rPr>
                <w:sz w:val="22"/>
                <w:szCs w:val="22"/>
              </w:rPr>
              <w:t>kg</w:t>
            </w:r>
          </w:p>
        </w:tc>
        <w:tc>
          <w:tcPr>
            <w:tcW w:w="3394" w:type="dxa"/>
            <w:tcBorders>
              <w:top w:val="single" w:sz="4" w:space="0" w:color="auto"/>
              <w:left w:val="nil"/>
              <w:bottom w:val="single" w:sz="4" w:space="0" w:color="auto"/>
              <w:right w:val="nil"/>
            </w:tcBorders>
            <w:hideMark/>
          </w:tcPr>
          <w:p w14:paraId="21C77D18" w14:textId="77777777" w:rsidR="00122FAE" w:rsidRPr="00AB7697" w:rsidRDefault="00E453CD">
            <w:pPr>
              <w:pStyle w:val="TableLeft"/>
              <w:jc w:val="center"/>
              <w:rPr>
                <w:b/>
                <w:sz w:val="22"/>
                <w:szCs w:val="22"/>
                <w:lang w:val="nb-NO"/>
              </w:rPr>
            </w:pPr>
            <w:r>
              <w:rPr>
                <w:sz w:val="22"/>
                <w:szCs w:val="22"/>
                <w:lang w:val="nb-NO"/>
              </w:rPr>
              <w:t>4</w:t>
            </w:r>
            <w:r w:rsidRPr="00BA33D6">
              <w:rPr>
                <w:sz w:val="22"/>
                <w:szCs w:val="22"/>
                <w:lang w:val="nb-NO"/>
              </w:rPr>
              <w:t>0</w:t>
            </w:r>
            <w:r w:rsidR="00540218">
              <w:rPr>
                <w:sz w:val="22"/>
                <w:szCs w:val="22"/>
                <w:lang w:val="nb-NO"/>
              </w:rPr>
              <w:t> </w:t>
            </w:r>
            <w:r w:rsidRPr="00BA33D6">
              <w:rPr>
                <w:sz w:val="22"/>
                <w:szCs w:val="22"/>
                <w:lang w:val="nb-NO"/>
              </w:rPr>
              <w:t>mg annenhver uke i kombinasjon med metotreksat</w:t>
            </w:r>
          </w:p>
        </w:tc>
      </w:tr>
    </w:tbl>
    <w:p w14:paraId="6FC3FC33" w14:textId="77777777" w:rsidR="00122FAE" w:rsidRDefault="00122FAE">
      <w:pPr>
        <w:rPr>
          <w:sz w:val="22"/>
        </w:rPr>
      </w:pPr>
    </w:p>
    <w:p w14:paraId="4CAF14B5" w14:textId="77777777" w:rsidR="00122FAE" w:rsidRDefault="00E453CD" w:rsidP="00122FAE">
      <w:pPr>
        <w:tabs>
          <w:tab w:val="left" w:pos="705"/>
        </w:tabs>
        <w:suppressAutoHyphens/>
        <w:rPr>
          <w:sz w:val="22"/>
          <w:szCs w:val="22"/>
        </w:rPr>
      </w:pPr>
      <w:r>
        <w:rPr>
          <w:sz w:val="22"/>
          <w:szCs w:val="22"/>
        </w:rPr>
        <w:t xml:space="preserve">Når behandling med Humira startes opp, kan en </w:t>
      </w:r>
      <w:r w:rsidR="005207CC" w:rsidRPr="005207CC">
        <w:rPr>
          <w:sz w:val="22"/>
          <w:szCs w:val="22"/>
        </w:rPr>
        <w:t>induksjonsdose</w:t>
      </w:r>
      <w:r>
        <w:rPr>
          <w:sz w:val="22"/>
          <w:szCs w:val="22"/>
        </w:rPr>
        <w:t xml:space="preserve"> på 40 mg for pasienter &lt; 30</w:t>
      </w:r>
      <w:r w:rsidR="00540218">
        <w:rPr>
          <w:sz w:val="22"/>
          <w:szCs w:val="22"/>
        </w:rPr>
        <w:t> </w:t>
      </w:r>
      <w:r>
        <w:rPr>
          <w:sz w:val="22"/>
          <w:szCs w:val="22"/>
        </w:rPr>
        <w:t>kg eller 80</w:t>
      </w:r>
      <w:r w:rsidR="00540218">
        <w:rPr>
          <w:sz w:val="22"/>
          <w:szCs w:val="22"/>
        </w:rPr>
        <w:t> </w:t>
      </w:r>
      <w:r>
        <w:rPr>
          <w:sz w:val="22"/>
          <w:szCs w:val="22"/>
        </w:rPr>
        <w:t>mg for pasienter ≥ 30</w:t>
      </w:r>
      <w:r w:rsidR="00540218">
        <w:rPr>
          <w:sz w:val="22"/>
          <w:szCs w:val="22"/>
        </w:rPr>
        <w:t> </w:t>
      </w:r>
      <w:r>
        <w:rPr>
          <w:sz w:val="22"/>
          <w:szCs w:val="22"/>
        </w:rPr>
        <w:t xml:space="preserve">kg administreres én uke før oppstart av vedlikeholdsbehandling. Det foreligger ingen kliniske data vedrørende bruk av en </w:t>
      </w:r>
      <w:r w:rsidR="005207CC" w:rsidRPr="005207CC">
        <w:rPr>
          <w:sz w:val="22"/>
          <w:szCs w:val="22"/>
        </w:rPr>
        <w:t>induksjonsdose</w:t>
      </w:r>
      <w:r>
        <w:rPr>
          <w:sz w:val="22"/>
          <w:szCs w:val="22"/>
        </w:rPr>
        <w:t xml:space="preserve"> av Humira hos barn &lt; 6 år (se pkt. 5.2).</w:t>
      </w:r>
    </w:p>
    <w:p w14:paraId="73BA380C" w14:textId="77777777" w:rsidR="00DA6DA3" w:rsidRDefault="00DA6DA3">
      <w:pPr>
        <w:rPr>
          <w:sz w:val="22"/>
        </w:rPr>
      </w:pPr>
    </w:p>
    <w:p w14:paraId="4A050B76" w14:textId="77777777" w:rsidR="00DA6DA3" w:rsidRDefault="00E453CD" w:rsidP="00DA6DA3">
      <w:pPr>
        <w:tabs>
          <w:tab w:val="left" w:pos="705"/>
        </w:tabs>
        <w:suppressAutoHyphens/>
        <w:rPr>
          <w:bCs/>
          <w:iCs/>
          <w:sz w:val="22"/>
        </w:rPr>
      </w:pPr>
      <w:r>
        <w:rPr>
          <w:bCs/>
          <w:iCs/>
          <w:sz w:val="22"/>
        </w:rPr>
        <w:t>Det er ikke relevant å bruke Humira hos barn under 2 år ved denne indikasjonen.</w:t>
      </w:r>
    </w:p>
    <w:p w14:paraId="3E95854F" w14:textId="77777777" w:rsidR="00DA6DA3" w:rsidRDefault="00DA6DA3" w:rsidP="00DA6DA3">
      <w:pPr>
        <w:tabs>
          <w:tab w:val="left" w:pos="705"/>
        </w:tabs>
        <w:suppressAutoHyphens/>
        <w:rPr>
          <w:bCs/>
          <w:iCs/>
          <w:sz w:val="22"/>
        </w:rPr>
      </w:pPr>
    </w:p>
    <w:p w14:paraId="09280091" w14:textId="77777777" w:rsidR="00DA6DA3" w:rsidRDefault="00E453CD" w:rsidP="00DA6DA3">
      <w:pPr>
        <w:tabs>
          <w:tab w:val="left" w:pos="705"/>
        </w:tabs>
        <w:suppressAutoHyphens/>
        <w:rPr>
          <w:bCs/>
          <w:iCs/>
          <w:sz w:val="22"/>
        </w:rPr>
      </w:pPr>
      <w:r>
        <w:rPr>
          <w:bCs/>
          <w:iCs/>
          <w:sz w:val="22"/>
        </w:rPr>
        <w:t xml:space="preserve">Det anbefales at nytte og risiko ved </w:t>
      </w:r>
      <w:r w:rsidR="00785B16">
        <w:rPr>
          <w:bCs/>
          <w:iCs/>
          <w:sz w:val="22"/>
        </w:rPr>
        <w:t>fortsettelse av</w:t>
      </w:r>
      <w:r>
        <w:rPr>
          <w:bCs/>
          <w:iCs/>
          <w:sz w:val="22"/>
        </w:rPr>
        <w:t xml:space="preserve"> langtidsbehandling vurderes årlig (se pkt. 5.1).</w:t>
      </w:r>
    </w:p>
    <w:p w14:paraId="5EAA7E7C" w14:textId="77777777" w:rsidR="00D73D0D" w:rsidRDefault="00D73D0D" w:rsidP="00DA6DA3">
      <w:pPr>
        <w:tabs>
          <w:tab w:val="left" w:pos="705"/>
        </w:tabs>
        <w:suppressAutoHyphens/>
        <w:rPr>
          <w:bCs/>
          <w:iCs/>
          <w:sz w:val="22"/>
        </w:rPr>
      </w:pPr>
    </w:p>
    <w:p w14:paraId="4DC343A5" w14:textId="77777777" w:rsidR="00D73D0D" w:rsidRPr="00C95067" w:rsidRDefault="00E453CD" w:rsidP="00DA6DA3">
      <w:pPr>
        <w:tabs>
          <w:tab w:val="left" w:pos="705"/>
        </w:tabs>
        <w:suppressAutoHyphens/>
        <w:rPr>
          <w:sz w:val="22"/>
          <w:szCs w:val="22"/>
        </w:rPr>
      </w:pPr>
      <w:r>
        <w:rPr>
          <w:sz w:val="22"/>
          <w:szCs w:val="22"/>
        </w:rPr>
        <w:lastRenderedPageBreak/>
        <w:t>Humira kan være tilgjengelig i andre styrker og/eller formuleringer avhengig av individuelle behandlingsbehov.</w:t>
      </w:r>
    </w:p>
    <w:p w14:paraId="570700A9" w14:textId="77777777" w:rsidR="00DA6DA3" w:rsidRPr="009C5EFD" w:rsidRDefault="00DA6DA3" w:rsidP="00DA6DA3">
      <w:pPr>
        <w:tabs>
          <w:tab w:val="left" w:pos="705"/>
        </w:tabs>
        <w:suppressAutoHyphens/>
        <w:rPr>
          <w:sz w:val="22"/>
          <w:szCs w:val="22"/>
        </w:rPr>
      </w:pPr>
    </w:p>
    <w:p w14:paraId="42B12691" w14:textId="77777777" w:rsidR="00DA6DA3" w:rsidRPr="009C5EFD" w:rsidRDefault="00E453CD" w:rsidP="00DA6DA3">
      <w:pPr>
        <w:pStyle w:val="Heading8"/>
        <w:rPr>
          <w:szCs w:val="22"/>
        </w:rPr>
      </w:pPr>
      <w:r w:rsidRPr="009C5EFD">
        <w:rPr>
          <w:szCs w:val="22"/>
        </w:rPr>
        <w:t>Nedsatt nyre- og/eller leverfunksjon</w:t>
      </w:r>
    </w:p>
    <w:p w14:paraId="212153FB" w14:textId="77777777" w:rsidR="00DA6DA3" w:rsidRPr="001F5D4B" w:rsidRDefault="00DA6DA3" w:rsidP="00DA6DA3">
      <w:pPr>
        <w:keepNext/>
        <w:rPr>
          <w:bCs/>
          <w:iCs/>
          <w:sz w:val="22"/>
          <w:szCs w:val="22"/>
        </w:rPr>
      </w:pPr>
    </w:p>
    <w:p w14:paraId="169F8CB8" w14:textId="77777777" w:rsidR="00DA6DA3" w:rsidRPr="009C5EFD" w:rsidRDefault="00E453CD" w:rsidP="00DA6DA3">
      <w:pPr>
        <w:suppressAutoHyphens/>
        <w:rPr>
          <w:sz w:val="22"/>
          <w:szCs w:val="22"/>
        </w:rPr>
      </w:pPr>
      <w:r w:rsidRPr="002D0790">
        <w:rPr>
          <w:sz w:val="22"/>
          <w:szCs w:val="22"/>
        </w:rPr>
        <w:t xml:space="preserve">Humira er ikke </w:t>
      </w:r>
      <w:r>
        <w:rPr>
          <w:sz w:val="22"/>
          <w:szCs w:val="22"/>
        </w:rPr>
        <w:t>undersøkt</w:t>
      </w:r>
      <w:r w:rsidRPr="002D0790">
        <w:rPr>
          <w:sz w:val="22"/>
          <w:szCs w:val="22"/>
        </w:rPr>
        <w:t xml:space="preserve"> </w:t>
      </w:r>
      <w:r>
        <w:rPr>
          <w:sz w:val="22"/>
          <w:szCs w:val="22"/>
        </w:rPr>
        <w:t xml:space="preserve">hos </w:t>
      </w:r>
      <w:r w:rsidRPr="002D0790">
        <w:rPr>
          <w:sz w:val="22"/>
          <w:szCs w:val="22"/>
        </w:rPr>
        <w:t>disse pasientpopulasjonene</w:t>
      </w:r>
      <w:r w:rsidRPr="002D0790">
        <w:rPr>
          <w:b/>
          <w:bCs/>
          <w:i/>
          <w:iCs/>
          <w:sz w:val="22"/>
          <w:szCs w:val="22"/>
        </w:rPr>
        <w:t>.</w:t>
      </w:r>
      <w:r w:rsidRPr="00E14E58">
        <w:rPr>
          <w:i/>
          <w:iCs/>
          <w:sz w:val="22"/>
          <w:szCs w:val="22"/>
        </w:rPr>
        <w:t xml:space="preserve"> </w:t>
      </w:r>
      <w:r w:rsidRPr="009C5EFD">
        <w:rPr>
          <w:sz w:val="22"/>
          <w:szCs w:val="22"/>
        </w:rPr>
        <w:t>Ingen doseanbefaling kan gis.</w:t>
      </w:r>
    </w:p>
    <w:p w14:paraId="01E61BBB" w14:textId="77777777" w:rsidR="00DA6DA3" w:rsidRPr="009C5EFD" w:rsidRDefault="00DA6DA3" w:rsidP="00DA6DA3">
      <w:pPr>
        <w:suppressAutoHyphens/>
        <w:rPr>
          <w:sz w:val="22"/>
          <w:szCs w:val="22"/>
        </w:rPr>
      </w:pPr>
    </w:p>
    <w:p w14:paraId="73C280D7" w14:textId="77777777" w:rsidR="00DA6DA3" w:rsidRPr="009C5EFD" w:rsidRDefault="00E453CD" w:rsidP="00776A84">
      <w:pPr>
        <w:keepNext/>
        <w:suppressAutoHyphens/>
        <w:rPr>
          <w:sz w:val="22"/>
          <w:szCs w:val="22"/>
        </w:rPr>
      </w:pPr>
      <w:r w:rsidRPr="009C5EFD">
        <w:rPr>
          <w:sz w:val="22"/>
          <w:szCs w:val="22"/>
          <w:u w:val="single"/>
        </w:rPr>
        <w:t>Administrasjonsmåte</w:t>
      </w:r>
    </w:p>
    <w:p w14:paraId="07D5A2E2" w14:textId="77777777" w:rsidR="00DA6DA3" w:rsidRPr="009C5EFD" w:rsidRDefault="00DA6DA3" w:rsidP="00776A84">
      <w:pPr>
        <w:keepNext/>
        <w:suppressAutoHyphens/>
        <w:rPr>
          <w:sz w:val="22"/>
          <w:szCs w:val="22"/>
        </w:rPr>
      </w:pPr>
    </w:p>
    <w:p w14:paraId="29D67C5D" w14:textId="77777777" w:rsidR="00DA6DA3" w:rsidRPr="009C5EFD" w:rsidRDefault="00E453CD" w:rsidP="00DA6DA3">
      <w:pPr>
        <w:suppressAutoHyphens/>
        <w:rPr>
          <w:sz w:val="22"/>
          <w:szCs w:val="22"/>
        </w:rPr>
      </w:pPr>
      <w:r w:rsidRPr="009C5EFD">
        <w:rPr>
          <w:sz w:val="22"/>
          <w:szCs w:val="22"/>
        </w:rPr>
        <w:t xml:space="preserve">Humira administreres ved subkutan injeksjon. Fullstendig </w:t>
      </w:r>
      <w:r w:rsidR="00067DE7">
        <w:rPr>
          <w:sz w:val="22"/>
          <w:szCs w:val="22"/>
        </w:rPr>
        <w:t>bruksanvisning</w:t>
      </w:r>
      <w:r w:rsidRPr="009C5EFD">
        <w:rPr>
          <w:sz w:val="22"/>
          <w:szCs w:val="22"/>
        </w:rPr>
        <w:t xml:space="preserve"> for riktig bruk finnes i pakningsvedlegget.</w:t>
      </w:r>
    </w:p>
    <w:p w14:paraId="246DC178" w14:textId="77777777" w:rsidR="00DA6DA3" w:rsidRDefault="00DA6DA3">
      <w:pPr>
        <w:rPr>
          <w:sz w:val="22"/>
        </w:rPr>
      </w:pPr>
    </w:p>
    <w:p w14:paraId="21A3EF96" w14:textId="77777777" w:rsidR="0033642C" w:rsidRDefault="00E453CD">
      <w:pPr>
        <w:rPr>
          <w:sz w:val="22"/>
        </w:rPr>
      </w:pPr>
      <w:r>
        <w:rPr>
          <w:sz w:val="22"/>
        </w:rPr>
        <w:t>Humira er tilgjengelig i andre styrker og formuleringer.</w:t>
      </w:r>
    </w:p>
    <w:p w14:paraId="292B22EA" w14:textId="77777777" w:rsidR="0033642C" w:rsidRDefault="0033642C">
      <w:pPr>
        <w:rPr>
          <w:sz w:val="22"/>
        </w:rPr>
      </w:pPr>
    </w:p>
    <w:p w14:paraId="76E7212E" w14:textId="77777777" w:rsidR="0033642C" w:rsidRPr="009C5EFD" w:rsidRDefault="00E453CD" w:rsidP="00776A84">
      <w:pPr>
        <w:keepNext/>
        <w:suppressAutoHyphens/>
        <w:ind w:left="570" w:hanging="570"/>
        <w:rPr>
          <w:sz w:val="22"/>
          <w:szCs w:val="22"/>
        </w:rPr>
      </w:pPr>
      <w:r w:rsidRPr="009C5EFD">
        <w:rPr>
          <w:b/>
          <w:sz w:val="22"/>
          <w:szCs w:val="22"/>
        </w:rPr>
        <w:t>4.3</w:t>
      </w:r>
      <w:r w:rsidRPr="009C5EFD">
        <w:rPr>
          <w:b/>
          <w:sz w:val="22"/>
          <w:szCs w:val="22"/>
        </w:rPr>
        <w:tab/>
        <w:t>Kontraindikasjoner</w:t>
      </w:r>
    </w:p>
    <w:p w14:paraId="1BF0C811" w14:textId="77777777" w:rsidR="0033642C" w:rsidRPr="009C5EFD" w:rsidRDefault="0033642C" w:rsidP="00776A84">
      <w:pPr>
        <w:keepNext/>
        <w:rPr>
          <w:sz w:val="22"/>
          <w:szCs w:val="22"/>
        </w:rPr>
      </w:pPr>
    </w:p>
    <w:p w14:paraId="7F37EC72" w14:textId="77777777" w:rsidR="0033642C" w:rsidRPr="009C5EFD" w:rsidRDefault="00E453CD" w:rsidP="0033642C">
      <w:pPr>
        <w:rPr>
          <w:sz w:val="22"/>
          <w:szCs w:val="22"/>
        </w:rPr>
      </w:pPr>
      <w:r w:rsidRPr="009C5EFD">
        <w:rPr>
          <w:sz w:val="22"/>
          <w:szCs w:val="22"/>
        </w:rPr>
        <w:t xml:space="preserve">Overfølsomhet overfor virkestoffet eller overfor </w:t>
      </w:r>
      <w:r w:rsidRPr="009C5EFD">
        <w:rPr>
          <w:sz w:val="22"/>
        </w:rPr>
        <w:t xml:space="preserve">noen </w:t>
      </w:r>
      <w:r w:rsidRPr="009C5EFD">
        <w:rPr>
          <w:sz w:val="22"/>
          <w:szCs w:val="22"/>
        </w:rPr>
        <w:t>av hjelpestoffene listet opp i pkt. 6.1.</w:t>
      </w:r>
    </w:p>
    <w:p w14:paraId="1F76BB11" w14:textId="77777777" w:rsidR="0033642C" w:rsidRPr="009C5EFD" w:rsidRDefault="0033642C" w:rsidP="0033642C">
      <w:pPr>
        <w:rPr>
          <w:sz w:val="22"/>
          <w:szCs w:val="22"/>
        </w:rPr>
      </w:pPr>
    </w:p>
    <w:p w14:paraId="28F33326" w14:textId="77777777" w:rsidR="0033642C" w:rsidRPr="009C5EFD" w:rsidRDefault="00E453CD" w:rsidP="0033642C">
      <w:pPr>
        <w:rPr>
          <w:sz w:val="22"/>
          <w:szCs w:val="22"/>
        </w:rPr>
      </w:pPr>
      <w:r w:rsidRPr="009C5EFD">
        <w:rPr>
          <w:sz w:val="22"/>
          <w:szCs w:val="22"/>
        </w:rPr>
        <w:t xml:space="preserve">Aktiv tuberkulose eller annen </w:t>
      </w:r>
      <w:r w:rsidR="00021903">
        <w:rPr>
          <w:sz w:val="22"/>
          <w:szCs w:val="22"/>
        </w:rPr>
        <w:t>alvorlig</w:t>
      </w:r>
      <w:r w:rsidRPr="009C5EFD">
        <w:rPr>
          <w:sz w:val="22"/>
          <w:szCs w:val="22"/>
        </w:rPr>
        <w:t xml:space="preserve"> infeksjon som sepsis</w:t>
      </w:r>
      <w:r>
        <w:rPr>
          <w:sz w:val="22"/>
          <w:szCs w:val="22"/>
        </w:rPr>
        <w:t>,</w:t>
      </w:r>
      <w:r w:rsidRPr="009C5EFD">
        <w:rPr>
          <w:sz w:val="22"/>
          <w:szCs w:val="22"/>
        </w:rPr>
        <w:t xml:space="preserve"> og opportunistiske infeksjoner (se pkt. 4.4).</w:t>
      </w:r>
    </w:p>
    <w:p w14:paraId="14FE0695" w14:textId="77777777" w:rsidR="0033642C" w:rsidRPr="009C5EFD" w:rsidRDefault="0033642C" w:rsidP="0033642C">
      <w:pPr>
        <w:rPr>
          <w:sz w:val="22"/>
          <w:szCs w:val="22"/>
        </w:rPr>
      </w:pPr>
    </w:p>
    <w:p w14:paraId="704F4A6F" w14:textId="77777777" w:rsidR="0033642C" w:rsidRPr="009C5EFD" w:rsidRDefault="00E453CD" w:rsidP="0033642C">
      <w:pPr>
        <w:rPr>
          <w:sz w:val="22"/>
          <w:szCs w:val="22"/>
        </w:rPr>
      </w:pPr>
      <w:r w:rsidRPr="009C5EFD">
        <w:rPr>
          <w:sz w:val="22"/>
          <w:szCs w:val="22"/>
        </w:rPr>
        <w:t>Moderat til alvorlig hjertesvikt (NYHA klasse III/IV) (se pkt. 4.4).</w:t>
      </w:r>
    </w:p>
    <w:p w14:paraId="2CE76908" w14:textId="77777777" w:rsidR="0033642C" w:rsidRPr="009C5EFD" w:rsidRDefault="0033642C" w:rsidP="0033642C">
      <w:pPr>
        <w:rPr>
          <w:sz w:val="22"/>
          <w:szCs w:val="22"/>
        </w:rPr>
      </w:pPr>
    </w:p>
    <w:p w14:paraId="44B5102D" w14:textId="77777777" w:rsidR="0033642C" w:rsidRPr="009C5EFD" w:rsidRDefault="00E453CD" w:rsidP="00602A37">
      <w:pPr>
        <w:keepNext/>
        <w:suppressAutoHyphens/>
        <w:ind w:left="576" w:hanging="576"/>
        <w:rPr>
          <w:sz w:val="22"/>
          <w:szCs w:val="22"/>
        </w:rPr>
      </w:pPr>
      <w:r w:rsidRPr="009C5EFD">
        <w:rPr>
          <w:b/>
          <w:sz w:val="22"/>
          <w:szCs w:val="22"/>
        </w:rPr>
        <w:t>4.4</w:t>
      </w:r>
      <w:r w:rsidRPr="009C5EFD">
        <w:rPr>
          <w:b/>
          <w:sz w:val="22"/>
          <w:szCs w:val="22"/>
        </w:rPr>
        <w:tab/>
        <w:t>Advarsler og forsiktighetsregler</w:t>
      </w:r>
    </w:p>
    <w:p w14:paraId="713A77FE" w14:textId="77777777" w:rsidR="0033642C" w:rsidRDefault="0033642C" w:rsidP="00AB7697">
      <w:pPr>
        <w:keepNext/>
        <w:rPr>
          <w:sz w:val="22"/>
        </w:rPr>
      </w:pPr>
    </w:p>
    <w:p w14:paraId="6B1A4FD2" w14:textId="77777777" w:rsidR="0033642C" w:rsidRPr="00AB7697" w:rsidRDefault="00E453CD" w:rsidP="00AB7697">
      <w:pPr>
        <w:keepNext/>
        <w:rPr>
          <w:sz w:val="22"/>
          <w:u w:val="single"/>
        </w:rPr>
      </w:pPr>
      <w:r w:rsidRPr="00AB7697">
        <w:rPr>
          <w:sz w:val="22"/>
          <w:u w:val="single"/>
        </w:rPr>
        <w:t>Sporbarhet</w:t>
      </w:r>
    </w:p>
    <w:p w14:paraId="6B751190" w14:textId="77777777" w:rsidR="0033642C" w:rsidRDefault="0033642C">
      <w:pPr>
        <w:rPr>
          <w:sz w:val="22"/>
        </w:rPr>
      </w:pPr>
    </w:p>
    <w:p w14:paraId="052FBF45" w14:textId="77777777" w:rsidR="0033642C" w:rsidRPr="009C5EFD" w:rsidRDefault="00E453CD" w:rsidP="00776A84">
      <w:pPr>
        <w:pStyle w:val="Heading8"/>
        <w:keepNext w:val="0"/>
        <w:rPr>
          <w:szCs w:val="22"/>
          <w:u w:val="none"/>
        </w:rPr>
      </w:pPr>
      <w:r w:rsidRPr="009C5EFD">
        <w:rPr>
          <w:szCs w:val="22"/>
          <w:u w:val="none"/>
        </w:rPr>
        <w:t xml:space="preserve">For å bedre sporbarheten av biologiske legemidler, skal </w:t>
      </w:r>
      <w:r w:rsidR="003353C2">
        <w:rPr>
          <w:szCs w:val="22"/>
          <w:u w:val="none"/>
        </w:rPr>
        <w:t xml:space="preserve">navnet </w:t>
      </w:r>
      <w:r w:rsidRPr="009C5EFD">
        <w:rPr>
          <w:szCs w:val="22"/>
          <w:u w:val="none"/>
        </w:rPr>
        <w:t>og batchnummeret for det administrerte legemidlet registreres tydelig.</w:t>
      </w:r>
    </w:p>
    <w:p w14:paraId="13C97A95" w14:textId="77777777" w:rsidR="0033642C" w:rsidRPr="009C5EFD" w:rsidRDefault="0033642C" w:rsidP="0033642C"/>
    <w:p w14:paraId="337068AB" w14:textId="77777777" w:rsidR="0033642C" w:rsidRPr="009C5EFD" w:rsidRDefault="00E453CD" w:rsidP="00776A84">
      <w:pPr>
        <w:pStyle w:val="Heading8"/>
        <w:rPr>
          <w:szCs w:val="22"/>
        </w:rPr>
      </w:pPr>
      <w:r w:rsidRPr="009C5EFD">
        <w:rPr>
          <w:szCs w:val="22"/>
        </w:rPr>
        <w:t>Infeksjoner</w:t>
      </w:r>
    </w:p>
    <w:p w14:paraId="7A6C26FC" w14:textId="77777777" w:rsidR="0033642C" w:rsidRPr="009C5EFD" w:rsidRDefault="0033642C" w:rsidP="00776A84">
      <w:pPr>
        <w:keepNext/>
        <w:rPr>
          <w:sz w:val="22"/>
          <w:szCs w:val="22"/>
        </w:rPr>
      </w:pPr>
    </w:p>
    <w:p w14:paraId="22207A99" w14:textId="77777777" w:rsidR="0033642C" w:rsidRPr="009C5EFD" w:rsidRDefault="00E453CD" w:rsidP="0033642C">
      <w:pPr>
        <w:rPr>
          <w:sz w:val="22"/>
          <w:szCs w:val="22"/>
        </w:rPr>
      </w:pPr>
      <w:r w:rsidRPr="009C5EFD">
        <w:rPr>
          <w:sz w:val="22"/>
          <w:szCs w:val="22"/>
        </w:rPr>
        <w:t>Pasienter som behandles med TNF-antagonister er mer mottagelige for alvorlige infeksjoner. Nedsatt lungefunksjon kan øke risikoen for å utvikle infeksjoner. Derfor må pasienter overvåkes nøye med henblikk på mulige infeksjoner - deriblant tuberkulose - før, under og etter behandling med Humira. Da eliminasjon av adalimumab kan ta opptil fire måneder, bør overvåking fortsette ut denne perioden.</w:t>
      </w:r>
    </w:p>
    <w:p w14:paraId="530C0C88" w14:textId="77777777" w:rsidR="0033642C" w:rsidRPr="009C5EFD" w:rsidRDefault="0033642C" w:rsidP="0033642C">
      <w:pPr>
        <w:rPr>
          <w:sz w:val="22"/>
          <w:szCs w:val="22"/>
        </w:rPr>
      </w:pPr>
    </w:p>
    <w:p w14:paraId="1049AC27" w14:textId="77777777" w:rsidR="0033642C" w:rsidRPr="009C5EFD" w:rsidRDefault="00E453CD" w:rsidP="0033642C">
      <w:pPr>
        <w:rPr>
          <w:sz w:val="22"/>
          <w:szCs w:val="22"/>
        </w:rPr>
      </w:pPr>
      <w:r w:rsidRPr="009C5EFD">
        <w:rPr>
          <w:sz w:val="22"/>
          <w:szCs w:val="22"/>
        </w:rPr>
        <w:t xml:space="preserve">Behandling med Humira bør ikke startes opp hos pasienter med aktive infeksjoner, inkludert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Humira avveies før start av behandlingen (se </w:t>
      </w:r>
      <w:r w:rsidRPr="009C5EFD">
        <w:rPr>
          <w:i/>
          <w:iCs/>
          <w:sz w:val="22"/>
          <w:szCs w:val="22"/>
        </w:rPr>
        <w:t>Andre o</w:t>
      </w:r>
      <w:r w:rsidRPr="009C5EFD">
        <w:rPr>
          <w:i/>
          <w:sz w:val="22"/>
          <w:szCs w:val="22"/>
        </w:rPr>
        <w:t>pportunistiske infeksjoner</w:t>
      </w:r>
      <w:r w:rsidRPr="009C5EFD">
        <w:rPr>
          <w:sz w:val="22"/>
          <w:szCs w:val="22"/>
        </w:rPr>
        <w:t>).</w:t>
      </w:r>
    </w:p>
    <w:p w14:paraId="755E1979" w14:textId="77777777" w:rsidR="0033642C" w:rsidRPr="009C5EFD" w:rsidRDefault="0033642C" w:rsidP="0033642C">
      <w:pPr>
        <w:rPr>
          <w:sz w:val="22"/>
          <w:szCs w:val="22"/>
        </w:rPr>
      </w:pPr>
    </w:p>
    <w:p w14:paraId="360437D6" w14:textId="77777777" w:rsidR="0033642C" w:rsidRPr="009C5EFD" w:rsidRDefault="00E453CD" w:rsidP="0033642C">
      <w:pPr>
        <w:rPr>
          <w:sz w:val="22"/>
          <w:szCs w:val="22"/>
        </w:rPr>
      </w:pPr>
      <w:r w:rsidRPr="009C5EFD">
        <w:rPr>
          <w:sz w:val="22"/>
          <w:szCs w:val="22"/>
        </w:rPr>
        <w:t xml:space="preserve">Pasienter som utvikler en ny infeksjon i løpet av behandling med Humira bør overvåkes nøye og gjennomgå en fullstendig diagnostisering. Dersom pasienten utvikler en ny alvorlig infeksjon eller sepsis, bør behandling med Humira seponeres og passende behandling med antimikrobielle eller antimykotiske legemidler bør startes inntil infeksjonen er under kontroll. Legen bør utvise varsomhet </w:t>
      </w:r>
      <w:r w:rsidR="00FB2118">
        <w:rPr>
          <w:sz w:val="22"/>
          <w:szCs w:val="22"/>
        </w:rPr>
        <w:t>når det vurderes å bruke</w:t>
      </w:r>
      <w:r w:rsidRPr="009C5EFD">
        <w:rPr>
          <w:sz w:val="22"/>
          <w:szCs w:val="22"/>
        </w:rPr>
        <w:t xml:space="preserve"> Humira </w:t>
      </w:r>
      <w:r w:rsidR="00FB2118">
        <w:rPr>
          <w:sz w:val="22"/>
          <w:szCs w:val="22"/>
        </w:rPr>
        <w:t>hos</w:t>
      </w:r>
      <w:r w:rsidRPr="009C5EFD">
        <w:rPr>
          <w:sz w:val="22"/>
          <w:szCs w:val="22"/>
        </w:rPr>
        <w:t xml:space="preserve"> pasienter som har hatt gjentatte infeksjoner eller som har underliggende lidelser som predisponerer for infeksjoner, inkludert samtidig bruk av immunsuppressive legemidler.</w:t>
      </w:r>
    </w:p>
    <w:p w14:paraId="5ADED067" w14:textId="77777777" w:rsidR="0033642C" w:rsidRPr="009C5EFD" w:rsidRDefault="0033642C" w:rsidP="0033642C">
      <w:pPr>
        <w:rPr>
          <w:sz w:val="22"/>
          <w:szCs w:val="22"/>
        </w:rPr>
      </w:pPr>
    </w:p>
    <w:p w14:paraId="30EDDA15" w14:textId="77777777" w:rsidR="0033642C" w:rsidRPr="009C5EFD" w:rsidRDefault="00E453CD" w:rsidP="0033642C">
      <w:pPr>
        <w:keepNext/>
        <w:rPr>
          <w:i/>
          <w:iCs/>
          <w:sz w:val="22"/>
          <w:szCs w:val="22"/>
        </w:rPr>
      </w:pPr>
      <w:r w:rsidRPr="009C5EFD">
        <w:rPr>
          <w:i/>
          <w:iCs/>
          <w:sz w:val="22"/>
          <w:szCs w:val="22"/>
        </w:rPr>
        <w:t>Alvorlige infeksjoner</w:t>
      </w:r>
    </w:p>
    <w:p w14:paraId="2FD4293A" w14:textId="77777777" w:rsidR="0033642C" w:rsidRPr="009C5EFD" w:rsidRDefault="0033642C" w:rsidP="0033642C">
      <w:pPr>
        <w:keepNext/>
        <w:rPr>
          <w:sz w:val="22"/>
          <w:szCs w:val="22"/>
        </w:rPr>
      </w:pPr>
    </w:p>
    <w:p w14:paraId="793E687D" w14:textId="77777777" w:rsidR="0033642C" w:rsidRPr="009C5EFD" w:rsidRDefault="00E453CD" w:rsidP="00776A84">
      <w:pPr>
        <w:rPr>
          <w:sz w:val="22"/>
          <w:szCs w:val="22"/>
        </w:rPr>
      </w:pPr>
      <w:r w:rsidRPr="009C5EFD">
        <w:rPr>
          <w:sz w:val="22"/>
          <w:szCs w:val="22"/>
        </w:rPr>
        <w:t>Alvorlige infeksjoner, inkludert sepsis, pga</w:t>
      </w:r>
      <w:r>
        <w:rPr>
          <w:sz w:val="22"/>
          <w:szCs w:val="22"/>
        </w:rPr>
        <w:t>.</w:t>
      </w:r>
      <w:r w:rsidRPr="009C5EFD">
        <w:rPr>
          <w:sz w:val="22"/>
          <w:szCs w:val="22"/>
        </w:rPr>
        <w:t xml:space="preserve"> bakterielle, mykobakterielle, invasive sopp-, parasitt-, virus- og andre opportunistiske infeksjoner som listeriose, legionellose og pneumocystose, er rapportert hos pasienter som behandles med Humira.</w:t>
      </w:r>
    </w:p>
    <w:p w14:paraId="6A3B7C1E" w14:textId="77777777" w:rsidR="0033642C" w:rsidRPr="009C5EFD" w:rsidRDefault="0033642C" w:rsidP="0033642C">
      <w:pPr>
        <w:rPr>
          <w:sz w:val="22"/>
          <w:szCs w:val="22"/>
        </w:rPr>
      </w:pPr>
    </w:p>
    <w:p w14:paraId="07157CB8" w14:textId="77777777" w:rsidR="0033642C" w:rsidRPr="009C5EFD" w:rsidRDefault="00E453CD" w:rsidP="0033642C">
      <w:pPr>
        <w:rPr>
          <w:sz w:val="22"/>
          <w:szCs w:val="22"/>
        </w:rPr>
      </w:pPr>
      <w:r w:rsidRPr="009C5EFD">
        <w:rPr>
          <w:sz w:val="22"/>
          <w:szCs w:val="22"/>
        </w:rPr>
        <w:lastRenderedPageBreak/>
        <w:t xml:space="preserve">Andre alvorlige infeksjoner inklusive pneumoni, pyelonefritt, septisk artritt og septikemi er sett i kliniske studier. Sykehusinnleggelse eller fatale følger assosiert med infeksjoner er rapportert. </w:t>
      </w:r>
    </w:p>
    <w:p w14:paraId="5E5E4EF2" w14:textId="77777777" w:rsidR="0033642C" w:rsidRPr="009C5EFD" w:rsidRDefault="0033642C" w:rsidP="0033642C">
      <w:pPr>
        <w:rPr>
          <w:sz w:val="22"/>
          <w:szCs w:val="22"/>
        </w:rPr>
      </w:pPr>
    </w:p>
    <w:p w14:paraId="63078B47" w14:textId="77777777" w:rsidR="0033642C" w:rsidRPr="009C5EFD" w:rsidRDefault="00E453CD" w:rsidP="0033642C">
      <w:pPr>
        <w:keepNext/>
        <w:rPr>
          <w:sz w:val="22"/>
          <w:szCs w:val="22"/>
        </w:rPr>
      </w:pPr>
      <w:r w:rsidRPr="009C5EFD">
        <w:rPr>
          <w:i/>
          <w:iCs/>
          <w:sz w:val="22"/>
          <w:szCs w:val="22"/>
        </w:rPr>
        <w:t>Tuberkulose</w:t>
      </w:r>
    </w:p>
    <w:p w14:paraId="33771C2E" w14:textId="77777777" w:rsidR="0033642C" w:rsidRPr="009C5EFD" w:rsidRDefault="0033642C" w:rsidP="0033642C">
      <w:pPr>
        <w:keepNext/>
        <w:rPr>
          <w:sz w:val="22"/>
          <w:szCs w:val="22"/>
        </w:rPr>
      </w:pPr>
    </w:p>
    <w:p w14:paraId="7B80CE13" w14:textId="77777777" w:rsidR="0033642C" w:rsidRPr="009C5EFD" w:rsidRDefault="00E453CD" w:rsidP="00776A84">
      <w:pPr>
        <w:rPr>
          <w:sz w:val="22"/>
          <w:szCs w:val="22"/>
        </w:rPr>
      </w:pPr>
      <w:r w:rsidRPr="009C5EFD">
        <w:rPr>
          <w:sz w:val="22"/>
          <w:szCs w:val="22"/>
        </w:rPr>
        <w:t xml:space="preserve">Det er rapportert tilfeller av tuberkulose, inkludert reaktivering og nyoppstått tuberkulose, hos pasienter som behandles med Humira. Rapporter inkluderte tilfeller av pulmonær og ekstrapulmonær (dvs. disseminert) tuberkulose. </w:t>
      </w:r>
    </w:p>
    <w:p w14:paraId="176EA60B" w14:textId="77777777" w:rsidR="0033642C" w:rsidRPr="009C5EFD" w:rsidRDefault="0033642C" w:rsidP="0033642C">
      <w:pPr>
        <w:rPr>
          <w:sz w:val="22"/>
          <w:szCs w:val="22"/>
        </w:rPr>
      </w:pPr>
    </w:p>
    <w:p w14:paraId="0AE4A048" w14:textId="77777777" w:rsidR="0033642C" w:rsidRPr="009C5EFD" w:rsidRDefault="00E453CD" w:rsidP="0033642C">
      <w:pPr>
        <w:rPr>
          <w:sz w:val="22"/>
          <w:szCs w:val="22"/>
        </w:rPr>
      </w:pPr>
      <w:r w:rsidRPr="009C5EFD">
        <w:rPr>
          <w:sz w:val="22"/>
          <w:szCs w:val="22"/>
        </w:rPr>
        <w:t xml:space="preserve">Alle pasienter må vurderes med henblikk på både aktiv eller inaktiv (’latent’) tuberkuløs infeksjon før behandling med Humira startes opp. Evalueringen bør omfatte en detaljert medisinsk vurdering av 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 </w:t>
      </w:r>
    </w:p>
    <w:p w14:paraId="7FE5AB0A" w14:textId="77777777" w:rsidR="0033642C" w:rsidRPr="009C5EFD" w:rsidRDefault="0033642C" w:rsidP="0033642C">
      <w:pPr>
        <w:rPr>
          <w:sz w:val="22"/>
          <w:szCs w:val="22"/>
        </w:rPr>
      </w:pPr>
    </w:p>
    <w:p w14:paraId="28DFAA60" w14:textId="77777777" w:rsidR="0033642C" w:rsidRPr="009C5EFD" w:rsidRDefault="00E453CD" w:rsidP="0033642C">
      <w:pPr>
        <w:rPr>
          <w:sz w:val="22"/>
          <w:szCs w:val="22"/>
        </w:rPr>
      </w:pPr>
      <w:r w:rsidRPr="009C5EFD">
        <w:rPr>
          <w:sz w:val="22"/>
          <w:szCs w:val="22"/>
        </w:rPr>
        <w:t>Behandling med Humira skal ikke startes opp dersom det diagnostiseres aktiv tuberkulose (se pkt.</w:t>
      </w:r>
      <w:r w:rsidR="00273E2D">
        <w:rPr>
          <w:sz w:val="22"/>
          <w:szCs w:val="22"/>
        </w:rPr>
        <w:t> </w:t>
      </w:r>
      <w:r w:rsidRPr="009C5EFD">
        <w:rPr>
          <w:sz w:val="22"/>
          <w:szCs w:val="22"/>
        </w:rPr>
        <w:t>4.3).</w:t>
      </w:r>
    </w:p>
    <w:p w14:paraId="2797F593" w14:textId="77777777" w:rsidR="0033642C" w:rsidRPr="009C5EFD" w:rsidRDefault="0033642C" w:rsidP="0033642C">
      <w:pPr>
        <w:rPr>
          <w:sz w:val="22"/>
          <w:szCs w:val="22"/>
        </w:rPr>
      </w:pPr>
    </w:p>
    <w:p w14:paraId="0BB4D3EF" w14:textId="77777777" w:rsidR="0033642C" w:rsidRPr="009C5EFD" w:rsidRDefault="00E453CD" w:rsidP="0033642C">
      <w:pPr>
        <w:rPr>
          <w:sz w:val="22"/>
          <w:szCs w:val="22"/>
        </w:rPr>
      </w:pPr>
      <w:r w:rsidRPr="009C5EFD">
        <w:rPr>
          <w:sz w:val="22"/>
          <w:szCs w:val="22"/>
        </w:rPr>
        <w:t>I alle situasjoner som er beskrevet under, bør behandlingens nytte</w:t>
      </w:r>
      <w:r w:rsidR="005C28AA">
        <w:rPr>
          <w:sz w:val="22"/>
          <w:szCs w:val="22"/>
        </w:rPr>
        <w:t>-</w:t>
      </w:r>
      <w:r w:rsidRPr="009C5EFD">
        <w:rPr>
          <w:sz w:val="22"/>
          <w:szCs w:val="22"/>
        </w:rPr>
        <w:t>/risikoforhold vurderes nøye.</w:t>
      </w:r>
    </w:p>
    <w:p w14:paraId="33332EE6" w14:textId="77777777" w:rsidR="0033642C" w:rsidRPr="009C5EFD" w:rsidRDefault="0033642C" w:rsidP="0033642C">
      <w:pPr>
        <w:rPr>
          <w:sz w:val="22"/>
          <w:szCs w:val="22"/>
        </w:rPr>
      </w:pPr>
    </w:p>
    <w:p w14:paraId="4D9AF470" w14:textId="77777777" w:rsidR="0033642C" w:rsidRPr="009C5EFD" w:rsidRDefault="00E453CD" w:rsidP="0033642C">
      <w:pPr>
        <w:rPr>
          <w:sz w:val="22"/>
          <w:szCs w:val="22"/>
        </w:rPr>
      </w:pPr>
      <w:r w:rsidRPr="009C5EFD">
        <w:rPr>
          <w:sz w:val="22"/>
          <w:szCs w:val="22"/>
        </w:rPr>
        <w:t xml:space="preserve">Hvis latent tuberkulose mistenkes, bør lege </w:t>
      </w:r>
      <w:r w:rsidRPr="009C5EFD">
        <w:rPr>
          <w:color w:val="000000"/>
          <w:sz w:val="22"/>
          <w:szCs w:val="22"/>
        </w:rPr>
        <w:t xml:space="preserve">som er </w:t>
      </w:r>
      <w:r w:rsidRPr="009C5EFD">
        <w:rPr>
          <w:sz w:val="22"/>
          <w:szCs w:val="22"/>
        </w:rPr>
        <w:t xml:space="preserve">ekspert på tuberkulose konsulteres. </w:t>
      </w:r>
    </w:p>
    <w:p w14:paraId="4CA04015" w14:textId="77777777" w:rsidR="0033642C" w:rsidRPr="009C5EFD" w:rsidRDefault="0033642C" w:rsidP="0033642C">
      <w:pPr>
        <w:rPr>
          <w:sz w:val="22"/>
          <w:szCs w:val="22"/>
        </w:rPr>
      </w:pPr>
    </w:p>
    <w:p w14:paraId="3AC745D6" w14:textId="77777777" w:rsidR="0033642C" w:rsidRPr="009C5EFD" w:rsidRDefault="00E453CD" w:rsidP="0033642C">
      <w:pPr>
        <w:rPr>
          <w:sz w:val="22"/>
          <w:szCs w:val="22"/>
        </w:rPr>
      </w:pPr>
      <w:r w:rsidRPr="009C5EFD">
        <w:rPr>
          <w:sz w:val="22"/>
          <w:szCs w:val="22"/>
        </w:rPr>
        <w:t>Hvis latent tuberkulose er diagnostisert må passende anti</w:t>
      </w:r>
      <w:r>
        <w:rPr>
          <w:sz w:val="22"/>
          <w:szCs w:val="22"/>
        </w:rPr>
        <w:t>-</w:t>
      </w:r>
      <w:r w:rsidRPr="009C5EFD">
        <w:rPr>
          <w:sz w:val="22"/>
          <w:szCs w:val="22"/>
        </w:rPr>
        <w:t xml:space="preserve">tuberkulose profylaksebehandling startes før behandling med Humira begynner, og i samsvar med lokale retningslinjer. </w:t>
      </w:r>
    </w:p>
    <w:p w14:paraId="09CF0547" w14:textId="77777777" w:rsidR="0033642C" w:rsidRPr="009C5EFD" w:rsidRDefault="0033642C" w:rsidP="0033642C">
      <w:pPr>
        <w:rPr>
          <w:sz w:val="22"/>
          <w:szCs w:val="22"/>
        </w:rPr>
      </w:pPr>
    </w:p>
    <w:p w14:paraId="660A22CC" w14:textId="77777777" w:rsidR="0033642C" w:rsidRPr="009C5EFD" w:rsidRDefault="00E453CD" w:rsidP="0033642C">
      <w:pPr>
        <w:rPr>
          <w:sz w:val="22"/>
          <w:szCs w:val="22"/>
        </w:rPr>
      </w:pPr>
      <w:r w:rsidRPr="009C5EFD">
        <w:rPr>
          <w:sz w:val="22"/>
          <w:szCs w:val="22"/>
        </w:rPr>
        <w:t>Bruk av anti</w:t>
      </w:r>
      <w:r>
        <w:rPr>
          <w:sz w:val="22"/>
          <w:szCs w:val="22"/>
        </w:rPr>
        <w:t>-</w:t>
      </w:r>
      <w:r w:rsidRPr="009C5EFD">
        <w:rPr>
          <w:sz w:val="22"/>
          <w:szCs w:val="22"/>
        </w:rPr>
        <w:t xml:space="preserve">tuberkulose profylaksebehandling bør også vurderes før start av behandling med Humira hos pasienter med flere eller signifikante risikofaktorer for tuberkulose til tross for en negativ tuberkulosetest, og hos pasienter med en tidligere historie med latent eller aktiv tuberkulose hvor tilstrekkelig behandling ikke kan bekreftes. </w:t>
      </w:r>
    </w:p>
    <w:p w14:paraId="2DE5DA2E" w14:textId="77777777" w:rsidR="0033642C" w:rsidRPr="009C5EFD" w:rsidRDefault="0033642C" w:rsidP="0033642C">
      <w:pPr>
        <w:rPr>
          <w:sz w:val="22"/>
          <w:szCs w:val="22"/>
        </w:rPr>
      </w:pPr>
    </w:p>
    <w:p w14:paraId="65EFEA07" w14:textId="77777777" w:rsidR="0033642C" w:rsidRPr="009C5EFD" w:rsidRDefault="00E453CD" w:rsidP="0033642C">
      <w:pPr>
        <w:rPr>
          <w:sz w:val="22"/>
          <w:szCs w:val="22"/>
        </w:rPr>
      </w:pPr>
      <w:r w:rsidRPr="009C5EFD">
        <w:rPr>
          <w:sz w:val="22"/>
          <w:szCs w:val="22"/>
        </w:rPr>
        <w:t xml:space="preserve">Tilfeller av reaktivert tuberkulose har </w:t>
      </w:r>
      <w:r>
        <w:rPr>
          <w:sz w:val="22"/>
          <w:szCs w:val="22"/>
        </w:rPr>
        <w:t>forekommet</w:t>
      </w:r>
      <w:r w:rsidRPr="009C5EFD">
        <w:rPr>
          <w:sz w:val="22"/>
          <w:szCs w:val="22"/>
        </w:rPr>
        <w:t xml:space="preserve"> hos pasienter behandlet med Humira til tross for tuberkulose profylaksebehandling. Noen pasienter med vellykket behandling for aktiv tuberkulose, har  igjen utviklet tuberkulose under behandling med Humira.</w:t>
      </w:r>
    </w:p>
    <w:p w14:paraId="3FF20E25" w14:textId="77777777" w:rsidR="0033642C" w:rsidRPr="009C5EFD" w:rsidRDefault="0033642C" w:rsidP="0033642C">
      <w:pPr>
        <w:rPr>
          <w:sz w:val="22"/>
          <w:szCs w:val="22"/>
        </w:rPr>
      </w:pPr>
    </w:p>
    <w:p w14:paraId="44158818" w14:textId="77777777" w:rsidR="0033642C" w:rsidRPr="009C5EFD" w:rsidRDefault="00E453CD" w:rsidP="0033642C">
      <w:pPr>
        <w:rPr>
          <w:sz w:val="22"/>
          <w:szCs w:val="22"/>
        </w:rPr>
      </w:pPr>
      <w:r w:rsidRPr="009C5EFD">
        <w:rPr>
          <w:sz w:val="22"/>
          <w:szCs w:val="22"/>
        </w:rPr>
        <w:t>Pasienter bør instrueres til å oppsøke medisinsk hjelp dersom det oppstår tegn/symptomer som tyder på tuberkuløs infeksjon (f.eks. vedvarende hoste, vekttap, lavgradig feber, slapphet) under eller etter behandling med Humira.</w:t>
      </w:r>
    </w:p>
    <w:p w14:paraId="0912D4B8" w14:textId="77777777" w:rsidR="0033642C" w:rsidRPr="009C5EFD" w:rsidRDefault="0033642C" w:rsidP="0033642C">
      <w:pPr>
        <w:rPr>
          <w:sz w:val="22"/>
          <w:szCs w:val="22"/>
        </w:rPr>
      </w:pPr>
    </w:p>
    <w:p w14:paraId="32773BB6" w14:textId="77777777" w:rsidR="0033642C" w:rsidRPr="009C5EFD" w:rsidRDefault="00E453CD" w:rsidP="0033642C">
      <w:pPr>
        <w:pStyle w:val="Heading6"/>
        <w:rPr>
          <w:szCs w:val="22"/>
        </w:rPr>
      </w:pPr>
      <w:r w:rsidRPr="009C5EFD">
        <w:rPr>
          <w:szCs w:val="22"/>
        </w:rPr>
        <w:t>Andre opportunistiske infeksjoner</w:t>
      </w:r>
    </w:p>
    <w:p w14:paraId="233A76AE" w14:textId="77777777" w:rsidR="0033642C" w:rsidRPr="009C5EFD" w:rsidRDefault="0033642C" w:rsidP="0033642C">
      <w:pPr>
        <w:keepNext/>
        <w:rPr>
          <w:sz w:val="22"/>
          <w:szCs w:val="22"/>
        </w:rPr>
      </w:pPr>
    </w:p>
    <w:p w14:paraId="14E7C895" w14:textId="77777777" w:rsidR="0033642C" w:rsidRPr="009C5EFD" w:rsidRDefault="00E453CD" w:rsidP="00776A84">
      <w:pPr>
        <w:rPr>
          <w:sz w:val="22"/>
          <w:szCs w:val="22"/>
        </w:rPr>
      </w:pPr>
      <w:r w:rsidRPr="009C5EFD">
        <w:rPr>
          <w:sz w:val="22"/>
          <w:szCs w:val="22"/>
        </w:rPr>
        <w:t>Opportunistiske infeksjoner, inkludert invasive soppinfeksjoner er observert hos pasienter som behandles med Humira. Disse infeksjonene har ikke konsekvent blitt gjenkjent hos pasienter som tar TNF-antagonister, noe som har ført til forsinkelser av hensiktsmessig behandling, noen ganger med fatale følger.</w:t>
      </w:r>
    </w:p>
    <w:p w14:paraId="1B06A7AA" w14:textId="77777777" w:rsidR="0033642C" w:rsidRPr="009C5EFD" w:rsidRDefault="0033642C" w:rsidP="0033642C">
      <w:pPr>
        <w:rPr>
          <w:sz w:val="22"/>
          <w:szCs w:val="22"/>
        </w:rPr>
      </w:pPr>
    </w:p>
    <w:p w14:paraId="695AECB0" w14:textId="77777777" w:rsidR="0033642C" w:rsidRPr="009C5EFD" w:rsidRDefault="00E453CD" w:rsidP="0033642C">
      <w:pPr>
        <w:rPr>
          <w:sz w:val="22"/>
          <w:szCs w:val="22"/>
        </w:rPr>
      </w:pPr>
      <w:r w:rsidRPr="009C5EFD">
        <w:rPr>
          <w:sz w:val="22"/>
          <w:szCs w:val="22"/>
        </w:rPr>
        <w:t>Hos pasienter som utvikler symptomer som feber, malaise, vekttap, svette, hoste, dyspné og/eller lungeinfiltrat eller andre alvorlige systemiske sykdommer med eller uten samtidig sjokk bør en invasiv soppinfeksjon mistenkes og behandling med Humira avbrytes omgående. Diagnostisering og håndtering av empirisk behandling med antimykotika hos disse pasientene, bør skje i samråd med en lege som har erfaring med å behandle pasienter med invasive soppinfeksjoner.</w:t>
      </w:r>
    </w:p>
    <w:p w14:paraId="60370429" w14:textId="77777777" w:rsidR="0033642C" w:rsidRPr="009C5EFD" w:rsidRDefault="0033642C" w:rsidP="0033642C">
      <w:pPr>
        <w:rPr>
          <w:sz w:val="22"/>
          <w:szCs w:val="22"/>
        </w:rPr>
      </w:pPr>
    </w:p>
    <w:p w14:paraId="39A78C23" w14:textId="77777777" w:rsidR="0033642C" w:rsidRPr="009C5EFD" w:rsidRDefault="00E453CD" w:rsidP="00AF70AD">
      <w:pPr>
        <w:pStyle w:val="Heading1"/>
        <w:rPr>
          <w:color w:val="auto"/>
          <w:sz w:val="22"/>
          <w:szCs w:val="22"/>
        </w:rPr>
      </w:pPr>
      <w:r w:rsidRPr="009C5EFD">
        <w:rPr>
          <w:color w:val="auto"/>
          <w:sz w:val="22"/>
          <w:szCs w:val="22"/>
        </w:rPr>
        <w:lastRenderedPageBreak/>
        <w:t>Reaktivering av hepatitt B</w:t>
      </w:r>
    </w:p>
    <w:p w14:paraId="6BB7DC20" w14:textId="77777777" w:rsidR="0033642C" w:rsidRPr="009C5EFD" w:rsidRDefault="0033642C" w:rsidP="00AF70AD">
      <w:pPr>
        <w:keepNext/>
      </w:pPr>
    </w:p>
    <w:p w14:paraId="0784A76C" w14:textId="77777777" w:rsidR="0033642C" w:rsidRPr="009C5EFD" w:rsidRDefault="00E453CD" w:rsidP="0033642C">
      <w:pPr>
        <w:pStyle w:val="BodyText2"/>
        <w:spacing w:line="240" w:lineRule="atLeast"/>
        <w:rPr>
          <w:color w:val="auto"/>
          <w:szCs w:val="22"/>
        </w:rPr>
      </w:pPr>
      <w:r w:rsidRPr="009C5EFD">
        <w:rPr>
          <w:color w:val="auto"/>
          <w:szCs w:val="22"/>
        </w:rPr>
        <w:t>Reaktivering av hepatitt B har forekommet hos pasienter som behandles med TNF-antagonister inklusive Humira, og som er kroniske bærere av viruset (dvs. overflateantigen-positive). Noen tilfeller var fatale. Pasienter bør testes for HBV-infeksjon før oppstart av Humira-behandling. For pasienter som testes positiv for hepatitt B-infeksjon, anbefales det å konsultere en lege med ekspertise på behandling av hepatitt B.</w:t>
      </w:r>
    </w:p>
    <w:p w14:paraId="07178E03" w14:textId="77777777" w:rsidR="0033642C" w:rsidRPr="009C5EFD" w:rsidRDefault="0033642C" w:rsidP="0033642C">
      <w:pPr>
        <w:pStyle w:val="BodyText2"/>
        <w:spacing w:line="240" w:lineRule="atLeast"/>
        <w:rPr>
          <w:color w:val="auto"/>
          <w:szCs w:val="22"/>
        </w:rPr>
      </w:pPr>
    </w:p>
    <w:p w14:paraId="2DAFD046" w14:textId="77777777" w:rsidR="0033642C" w:rsidRPr="009C5EFD" w:rsidRDefault="00E453CD" w:rsidP="0033642C">
      <w:pPr>
        <w:pStyle w:val="BodyText2"/>
        <w:spacing w:line="240" w:lineRule="atLeast"/>
        <w:rPr>
          <w:color w:val="auto"/>
          <w:szCs w:val="22"/>
        </w:rPr>
      </w:pPr>
      <w:r w:rsidRPr="009C5EFD">
        <w:rPr>
          <w:color w:val="auto"/>
          <w:szCs w:val="22"/>
        </w:rPr>
        <w:t xml:space="preserve">HBV-bærere som krever behandling med Humira bør overvåkes nøye med hensyn på sykdomstegn og symptomer på aktiv HBV-infeksjon under behandlingen og flere måneder etter avsluttet behandling. Tilstrekkelig data om behandling av pasienter som er HBV-bærere med antiviralterapi for å forebygge HBV-reaktivering, samtidig med TNF-antagonistterapi, er ikke tilgjengelig. Humira bør seponeres hos pasienter som utvikler HBV-reaktivering og effektiv antiviralterapi med passende støttebehandling bør startes.  </w:t>
      </w:r>
    </w:p>
    <w:p w14:paraId="4CD5D656" w14:textId="77777777" w:rsidR="0033642C" w:rsidRPr="009C5EFD" w:rsidRDefault="0033642C" w:rsidP="0033642C">
      <w:pPr>
        <w:rPr>
          <w:sz w:val="22"/>
          <w:szCs w:val="22"/>
        </w:rPr>
      </w:pPr>
    </w:p>
    <w:p w14:paraId="428C70F7" w14:textId="77777777" w:rsidR="0033642C" w:rsidRPr="009C5EFD" w:rsidRDefault="00E453CD" w:rsidP="00776A84">
      <w:pPr>
        <w:pStyle w:val="Heading8"/>
        <w:rPr>
          <w:szCs w:val="22"/>
        </w:rPr>
      </w:pPr>
      <w:r w:rsidRPr="009C5EFD">
        <w:rPr>
          <w:szCs w:val="22"/>
        </w:rPr>
        <w:t>Nevrologiske hendelser</w:t>
      </w:r>
    </w:p>
    <w:p w14:paraId="20D697C3" w14:textId="77777777" w:rsidR="0033642C" w:rsidRPr="009C5EFD" w:rsidRDefault="0033642C" w:rsidP="00776A84">
      <w:pPr>
        <w:keepNext/>
        <w:rPr>
          <w:sz w:val="22"/>
          <w:szCs w:val="22"/>
        </w:rPr>
      </w:pPr>
    </w:p>
    <w:p w14:paraId="6388DA1F" w14:textId="77777777" w:rsidR="0033642C" w:rsidRPr="009C5EFD" w:rsidRDefault="00E453CD" w:rsidP="0033642C">
      <w:pPr>
        <w:rPr>
          <w:sz w:val="22"/>
          <w:szCs w:val="22"/>
        </w:rPr>
      </w:pPr>
      <w:r w:rsidRPr="009C5EFD">
        <w:rPr>
          <w:sz w:val="22"/>
          <w:szCs w:val="22"/>
        </w:rPr>
        <w:t xml:space="preserve">TNF-antagonister, også Humira, er i sjeldne tilfeller satt i sammenheng med oppblussing eller forverring av kliniske symptomer og/eller radiografisk indikasjon på demyeliniserende sykdom i sentralnervesystemet, </w:t>
      </w:r>
      <w:r w:rsidRPr="009C5EFD">
        <w:rPr>
          <w:color w:val="000000"/>
          <w:sz w:val="22"/>
          <w:szCs w:val="22"/>
        </w:rPr>
        <w:t>inkludert</w:t>
      </w:r>
      <w:r w:rsidRPr="009C5EFD">
        <w:rPr>
          <w:sz w:val="22"/>
          <w:szCs w:val="22"/>
        </w:rPr>
        <w:t xml:space="preserve"> multippel sklerose og optikusneuritt, og perifer demyeliniserende sykdom, inkludert Guillain-Barré syndrom. Forskrivende lege bør utvise varsomhet når Humira vurderes til pasienter med tidligere eksisterende eller nylig oppståtte demyeliniserende sykdommer i det sentrale- eller perifere nervesystemet.</w:t>
      </w:r>
      <w:r>
        <w:rPr>
          <w:sz w:val="22"/>
          <w:szCs w:val="22"/>
        </w:rPr>
        <w:t xml:space="preserve"> Seponering av Humira bør vurderes dersom noen av disse sykdommene utvikles. Det er en kjent sammenheng mellom intermediær uveitt og demyeliniserende sykdom i sentralnervesystemet. Nevrologisk undersøkelse bør gjennomføres hos pasienter med ikke-infeksiøs intermediær uveitt før oppstart av behandling med Humira og regelmessig under behandlingen, for å sjekke for pre-eksisterende eller utviklende </w:t>
      </w:r>
      <w:r w:rsidRPr="005C6A76">
        <w:rPr>
          <w:sz w:val="22"/>
          <w:szCs w:val="22"/>
        </w:rPr>
        <w:t>demyeliniserende sykdom</w:t>
      </w:r>
      <w:r>
        <w:rPr>
          <w:sz w:val="22"/>
          <w:szCs w:val="22"/>
        </w:rPr>
        <w:t xml:space="preserve"> i sentralnervesystemet.</w:t>
      </w:r>
    </w:p>
    <w:p w14:paraId="1424BFA4" w14:textId="77777777" w:rsidR="0033642C" w:rsidRPr="009C5EFD" w:rsidRDefault="0033642C" w:rsidP="0033642C">
      <w:pPr>
        <w:rPr>
          <w:sz w:val="22"/>
          <w:szCs w:val="22"/>
        </w:rPr>
      </w:pPr>
    </w:p>
    <w:p w14:paraId="60D8AB07" w14:textId="77777777" w:rsidR="0033642C" w:rsidRPr="009C5EFD" w:rsidRDefault="00E453CD" w:rsidP="00776A84">
      <w:pPr>
        <w:pStyle w:val="Heading8"/>
        <w:rPr>
          <w:szCs w:val="22"/>
        </w:rPr>
      </w:pPr>
      <w:r w:rsidRPr="009C5EFD">
        <w:rPr>
          <w:szCs w:val="22"/>
        </w:rPr>
        <w:t>Allergiske reaksjoner</w:t>
      </w:r>
    </w:p>
    <w:p w14:paraId="73260B13" w14:textId="77777777" w:rsidR="0033642C" w:rsidRPr="009C5EFD" w:rsidRDefault="0033642C" w:rsidP="00776A84">
      <w:pPr>
        <w:keepNext/>
        <w:rPr>
          <w:sz w:val="22"/>
          <w:szCs w:val="22"/>
        </w:rPr>
      </w:pPr>
    </w:p>
    <w:p w14:paraId="1583C873" w14:textId="77777777" w:rsidR="0033642C" w:rsidRPr="009C5EFD" w:rsidRDefault="00E453CD" w:rsidP="0033642C">
      <w:pPr>
        <w:rPr>
          <w:sz w:val="22"/>
          <w:szCs w:val="22"/>
        </w:rPr>
      </w:pPr>
      <w:r w:rsidRPr="009C5EFD">
        <w:rPr>
          <w:sz w:val="22"/>
          <w:szCs w:val="22"/>
        </w:rPr>
        <w:t xml:space="preserve">Alvorlige allergiske reaksjoner forbundet med  Humira var sjelden i kliniske studier. Ikke-alvorlige allergiske reaksjoner forbundet med Humira var mindre vanlige i kliniske studier. Rapporter på alvorlige allergiske reaksjoner, inklusive anafylaksi, har blitt mottatt etter administrasjon av Humira. Hvis det oppstår anafylaktiske reaksjoner eller annen alvorlig allergisk reaksjon, må </w:t>
      </w:r>
      <w:r w:rsidR="00B8124C">
        <w:rPr>
          <w:sz w:val="22"/>
          <w:szCs w:val="22"/>
        </w:rPr>
        <w:t>administrasjon</w:t>
      </w:r>
      <w:r w:rsidR="00797AFC" w:rsidRPr="00797AFC">
        <w:rPr>
          <w:sz w:val="22"/>
          <w:szCs w:val="22"/>
        </w:rPr>
        <w:t>en</w:t>
      </w:r>
      <w:r w:rsidRPr="009C5EFD">
        <w:rPr>
          <w:sz w:val="22"/>
          <w:szCs w:val="22"/>
        </w:rPr>
        <w:t xml:space="preserve"> av Humira seponeres umiddelbart og nødvendig behandling initieres.</w:t>
      </w:r>
    </w:p>
    <w:p w14:paraId="7BAD90A8" w14:textId="77777777" w:rsidR="0033642C" w:rsidRPr="009C5EFD" w:rsidRDefault="0033642C" w:rsidP="0033642C">
      <w:pPr>
        <w:rPr>
          <w:sz w:val="22"/>
          <w:szCs w:val="22"/>
        </w:rPr>
      </w:pPr>
    </w:p>
    <w:p w14:paraId="4C9375AA" w14:textId="77777777" w:rsidR="0033642C" w:rsidRPr="009C5EFD" w:rsidRDefault="00E453CD" w:rsidP="00776A84">
      <w:pPr>
        <w:pStyle w:val="Heading8"/>
        <w:rPr>
          <w:szCs w:val="22"/>
        </w:rPr>
      </w:pPr>
      <w:r w:rsidRPr="009C5EFD">
        <w:rPr>
          <w:szCs w:val="22"/>
        </w:rPr>
        <w:t>Immunsuppresjon</w:t>
      </w:r>
    </w:p>
    <w:p w14:paraId="5015E5AE" w14:textId="77777777" w:rsidR="0033642C" w:rsidRPr="009C5EFD" w:rsidRDefault="0033642C" w:rsidP="00776A84">
      <w:pPr>
        <w:keepNext/>
        <w:rPr>
          <w:sz w:val="22"/>
          <w:szCs w:val="22"/>
        </w:rPr>
      </w:pPr>
    </w:p>
    <w:p w14:paraId="731925C4" w14:textId="77777777" w:rsidR="0033642C" w:rsidRPr="009C5EFD" w:rsidRDefault="00E453CD" w:rsidP="0033642C">
      <w:pPr>
        <w:rPr>
          <w:sz w:val="22"/>
          <w:szCs w:val="22"/>
        </w:rPr>
      </w:pPr>
      <w:r w:rsidRPr="009C5EFD">
        <w:rPr>
          <w:sz w:val="22"/>
          <w:szCs w:val="22"/>
        </w:rPr>
        <w:t>I en studie med 64</w:t>
      </w:r>
      <w:r w:rsidR="0059421A">
        <w:rPr>
          <w:sz w:val="22"/>
          <w:szCs w:val="22"/>
        </w:rPr>
        <w:t> </w:t>
      </w:r>
      <w:r w:rsidRPr="009C5EFD">
        <w:rPr>
          <w:sz w:val="22"/>
          <w:szCs w:val="22"/>
        </w:rPr>
        <w:t xml:space="preserve">pasienter med revmatoid artritt som ble behandlet med Humira, ble det ikke funnet bevis for nedsettelse av forsinket hypersensitivitet, nedsettelse av immunglobulinnivåer eller forandring av </w:t>
      </w:r>
      <w:r w:rsidR="00BE6FF2">
        <w:rPr>
          <w:sz w:val="22"/>
          <w:szCs w:val="22"/>
        </w:rPr>
        <w:t>telte</w:t>
      </w:r>
      <w:r w:rsidRPr="009C5EFD">
        <w:rPr>
          <w:sz w:val="22"/>
          <w:szCs w:val="22"/>
        </w:rPr>
        <w:t xml:space="preserve"> effektor T-, B-, NK-celler, monocytter/makrofager og nøytrofile. </w:t>
      </w:r>
    </w:p>
    <w:p w14:paraId="26CABD13" w14:textId="77777777" w:rsidR="0033642C" w:rsidRPr="009C5EFD" w:rsidRDefault="0033642C" w:rsidP="0033642C">
      <w:pPr>
        <w:rPr>
          <w:sz w:val="22"/>
          <w:szCs w:val="22"/>
        </w:rPr>
      </w:pPr>
    </w:p>
    <w:p w14:paraId="4AC458E5" w14:textId="77777777" w:rsidR="0033642C" w:rsidRPr="009C5EFD" w:rsidRDefault="00E453CD" w:rsidP="00776A84">
      <w:pPr>
        <w:keepNext/>
        <w:rPr>
          <w:sz w:val="22"/>
          <w:szCs w:val="22"/>
          <w:u w:val="single"/>
        </w:rPr>
      </w:pPr>
      <w:r w:rsidRPr="009C5EFD">
        <w:rPr>
          <w:sz w:val="22"/>
          <w:szCs w:val="22"/>
          <w:u w:val="single"/>
        </w:rPr>
        <w:t>Maligniteter og lymfoproliferative sykdommer</w:t>
      </w:r>
    </w:p>
    <w:p w14:paraId="69931E9C" w14:textId="77777777" w:rsidR="0033642C" w:rsidRPr="009C5EFD" w:rsidRDefault="0033642C" w:rsidP="00776A84">
      <w:pPr>
        <w:keepNext/>
        <w:rPr>
          <w:sz w:val="22"/>
          <w:szCs w:val="22"/>
        </w:rPr>
      </w:pPr>
    </w:p>
    <w:p w14:paraId="4C0A2335" w14:textId="77777777" w:rsidR="0033642C" w:rsidRPr="009C5EFD" w:rsidRDefault="00E453CD" w:rsidP="0033642C">
      <w:pPr>
        <w:rPr>
          <w:sz w:val="22"/>
          <w:szCs w:val="22"/>
        </w:rPr>
      </w:pPr>
      <w:r w:rsidRPr="009C5EFD">
        <w:rPr>
          <w:sz w:val="22"/>
          <w:szCs w:val="22"/>
        </w:rPr>
        <w:t xml:space="preserve">I kontrollerte kliniske studier med TNF-antagonister ble det observert flere tilfeller med maligniteter inkludert lymfom hos pasienter behandlet med TNF-antagonister sammenlignet med pasienter i kontrollgruppen. Forekomsten var likevel lav. Etter markedsføring er tilfeller med leukemi hos pasienter som ble behandlet med en TNF-antagonist, rapportert. Pasienter med revmatoid artritt med langvarig, svært aktiv, inflammatorisk sykdom har økt risiko for lymfomer og leukemi. Dette kompliserer estimering av risiko. Med nåværende kunnskap kan det ikke utelukkes at pasienter som behandles med TNF-antagonister har en mulig risiko for utvikling av lymfomer, leukemi og andre maligniteter. </w:t>
      </w:r>
    </w:p>
    <w:p w14:paraId="3BF58E9B" w14:textId="77777777" w:rsidR="0033642C" w:rsidRPr="009C5EFD" w:rsidRDefault="0033642C" w:rsidP="0033642C">
      <w:pPr>
        <w:rPr>
          <w:sz w:val="22"/>
          <w:szCs w:val="22"/>
        </w:rPr>
      </w:pPr>
    </w:p>
    <w:p w14:paraId="566CAECB" w14:textId="77777777" w:rsidR="0033642C" w:rsidRPr="009C5EFD" w:rsidRDefault="00E453CD" w:rsidP="0033642C">
      <w:pPr>
        <w:rPr>
          <w:sz w:val="22"/>
          <w:szCs w:val="22"/>
        </w:rPr>
      </w:pPr>
      <w:r w:rsidRPr="009C5EFD">
        <w:rPr>
          <w:sz w:val="22"/>
          <w:szCs w:val="22"/>
        </w:rPr>
        <w:t>Etter markedsføring</w:t>
      </w:r>
      <w:r>
        <w:rPr>
          <w:sz w:val="22"/>
          <w:szCs w:val="22"/>
        </w:rPr>
        <w:t xml:space="preserve"> har det blitt rapportert om</w:t>
      </w:r>
      <w:r w:rsidRPr="009C5EFD">
        <w:rPr>
          <w:sz w:val="22"/>
          <w:szCs w:val="22"/>
        </w:rPr>
        <w:t xml:space="preserve"> maligniteter, noen fatale, hos barn</w:t>
      </w:r>
      <w:r>
        <w:rPr>
          <w:sz w:val="22"/>
          <w:szCs w:val="22"/>
        </w:rPr>
        <w:t xml:space="preserve">, </w:t>
      </w:r>
      <w:r w:rsidRPr="009C5EFD">
        <w:rPr>
          <w:sz w:val="22"/>
          <w:szCs w:val="22"/>
        </w:rPr>
        <w:t xml:space="preserve">ungdom og </w:t>
      </w:r>
      <w:r>
        <w:rPr>
          <w:sz w:val="22"/>
          <w:szCs w:val="22"/>
        </w:rPr>
        <w:t>unge voksne</w:t>
      </w:r>
      <w:r w:rsidRPr="009C5EFD">
        <w:rPr>
          <w:sz w:val="22"/>
          <w:szCs w:val="22"/>
        </w:rPr>
        <w:t xml:space="preserve"> (opptil 22</w:t>
      </w:r>
      <w:r w:rsidR="005B586A">
        <w:rPr>
          <w:sz w:val="22"/>
          <w:szCs w:val="22"/>
        </w:rPr>
        <w:t> </w:t>
      </w:r>
      <w:r w:rsidRPr="009C5EFD">
        <w:rPr>
          <w:sz w:val="22"/>
          <w:szCs w:val="22"/>
        </w:rPr>
        <w:t>år) som ble behandlet med TNF-antagonister, inkludert adalimumab (start av behandling ≤ 18</w:t>
      </w:r>
      <w:r w:rsidR="005B586A">
        <w:rPr>
          <w:sz w:val="22"/>
          <w:szCs w:val="22"/>
        </w:rPr>
        <w:t> </w:t>
      </w:r>
      <w:r w:rsidRPr="009C5EFD">
        <w:rPr>
          <w:sz w:val="22"/>
          <w:szCs w:val="22"/>
        </w:rPr>
        <w:t xml:space="preserve">år). </w:t>
      </w:r>
      <w:r>
        <w:rPr>
          <w:sz w:val="22"/>
          <w:szCs w:val="22"/>
        </w:rPr>
        <w:t>Omtrent</w:t>
      </w:r>
      <w:r w:rsidRPr="009C5EFD">
        <w:rPr>
          <w:sz w:val="22"/>
          <w:szCs w:val="22"/>
        </w:rPr>
        <w:t xml:space="preserve"> halvparten av tilfellene var lymfomer. Andre tilfeller representerte </w:t>
      </w:r>
      <w:r w:rsidRPr="009C5EFD">
        <w:rPr>
          <w:sz w:val="22"/>
          <w:szCs w:val="22"/>
        </w:rPr>
        <w:lastRenderedPageBreak/>
        <w:t>forskjellige maligniteter og inkluderte sjeldne maligniteter som vanligvis er assosiert med immunsuppresjon. Risiko for utvikling av maligniteter hos barn og ungdom som er behandlet med TNF-antagonister, kan ikke utelukkes.</w:t>
      </w:r>
    </w:p>
    <w:p w14:paraId="227A7D76" w14:textId="77777777" w:rsidR="0033642C" w:rsidRPr="009C5EFD" w:rsidRDefault="0033642C" w:rsidP="0033642C">
      <w:pPr>
        <w:rPr>
          <w:sz w:val="22"/>
          <w:szCs w:val="22"/>
        </w:rPr>
      </w:pPr>
    </w:p>
    <w:p w14:paraId="502BD7EE" w14:textId="77777777" w:rsidR="0033642C" w:rsidRPr="009C5EFD" w:rsidRDefault="00E453CD" w:rsidP="0033642C">
      <w:pPr>
        <w:rPr>
          <w:sz w:val="22"/>
          <w:szCs w:val="22"/>
        </w:rPr>
      </w:pPr>
      <w:r w:rsidRPr="009C5EFD">
        <w:rPr>
          <w:sz w:val="22"/>
          <w:szCs w:val="22"/>
        </w:rPr>
        <w:t xml:space="preserve">Sjeldne tilfeller av hepatosplenisk T-cellelymfom hos pasienter behandlet med adalimumab er sett etter markedsføring. Denne sjeldne typen T-cellelymfom har en meget aggressiv sykdomsprogresjon og er vanligvis fatal. Noen av tilfellene med hepatosplenisk T-cellelymfom med Humira har skjedd hos unge voksne som samtidig ble behandlet med azatioprin eller 6-merkaptopurin for inflammatorisk tarmsykdom. </w:t>
      </w:r>
      <w:r w:rsidRPr="009C5EFD">
        <w:rPr>
          <w:sz w:val="22"/>
        </w:rPr>
        <w:t xml:space="preserve">Den potensielle risikoen ved samtidig bruk av azatioprin eller 6-merkaptopurin og Humira bør vurderes nøye. </w:t>
      </w:r>
      <w:r w:rsidRPr="009C5EFD">
        <w:rPr>
          <w:sz w:val="22"/>
          <w:szCs w:val="22"/>
        </w:rPr>
        <w:t>Man kan ikke utelukke en risiko for å utvikle hepatosplenisk T-cellelymfom hos pasienter som behandles med Humira (se pkt.</w:t>
      </w:r>
      <w:r w:rsidR="005B586A">
        <w:rPr>
          <w:sz w:val="22"/>
          <w:szCs w:val="22"/>
        </w:rPr>
        <w:t> </w:t>
      </w:r>
      <w:r w:rsidRPr="009C5EFD">
        <w:rPr>
          <w:sz w:val="22"/>
          <w:szCs w:val="22"/>
        </w:rPr>
        <w:t>4.8).</w:t>
      </w:r>
    </w:p>
    <w:p w14:paraId="3D07AAEA" w14:textId="77777777" w:rsidR="0033642C" w:rsidRPr="009C5EFD" w:rsidRDefault="0033642C" w:rsidP="0033642C">
      <w:pPr>
        <w:rPr>
          <w:sz w:val="22"/>
          <w:szCs w:val="22"/>
        </w:rPr>
      </w:pPr>
    </w:p>
    <w:p w14:paraId="6A34AA99" w14:textId="77777777" w:rsidR="0033642C" w:rsidRPr="009C5EFD" w:rsidRDefault="00E453CD" w:rsidP="0033642C">
      <w:pPr>
        <w:rPr>
          <w:sz w:val="22"/>
          <w:szCs w:val="22"/>
        </w:rPr>
      </w:pPr>
      <w:r w:rsidRPr="009C5EFD">
        <w:rPr>
          <w:sz w:val="22"/>
          <w:szCs w:val="22"/>
        </w:rPr>
        <w:t>Det er ikke utført studier som inkluderer pasienter med tidligere malignitet eller hos pasienter som fortsetter med behandling av Humira etter utvikling av malignitet. Ekstra varsomhet bør derfor utvises når behandling med Humira vurderes hos disse pasientene (se pkt.</w:t>
      </w:r>
      <w:r w:rsidR="00540218">
        <w:rPr>
          <w:sz w:val="22"/>
          <w:szCs w:val="22"/>
        </w:rPr>
        <w:t> </w:t>
      </w:r>
      <w:r w:rsidRPr="009C5EFD">
        <w:rPr>
          <w:sz w:val="22"/>
          <w:szCs w:val="22"/>
        </w:rPr>
        <w:t>4.8).</w:t>
      </w:r>
    </w:p>
    <w:p w14:paraId="01819663" w14:textId="77777777" w:rsidR="0033642C" w:rsidRPr="009C5EFD" w:rsidRDefault="0033642C" w:rsidP="0033642C">
      <w:pPr>
        <w:rPr>
          <w:sz w:val="22"/>
          <w:szCs w:val="22"/>
        </w:rPr>
      </w:pPr>
    </w:p>
    <w:p w14:paraId="63730F88" w14:textId="77777777" w:rsidR="0033642C" w:rsidRPr="009C5EFD" w:rsidRDefault="00E453CD" w:rsidP="0033642C">
      <w:pPr>
        <w:pStyle w:val="EMEAFigureTitle"/>
        <w:tabs>
          <w:tab w:val="clear" w:pos="562"/>
        </w:tabs>
        <w:suppressAutoHyphens w:val="0"/>
        <w:rPr>
          <w:szCs w:val="22"/>
          <w:lang w:val="nb-NO"/>
        </w:rPr>
      </w:pPr>
      <w:r w:rsidRPr="009C5EFD">
        <w:rPr>
          <w:szCs w:val="22"/>
          <w:lang w:val="nb-NO"/>
        </w:rPr>
        <w:t xml:space="preserve">Alle pasienter, særlig de med en tidligere omfattende </w:t>
      </w:r>
      <w:r w:rsidR="007527E2">
        <w:rPr>
          <w:szCs w:val="22"/>
          <w:lang w:val="nb-NO"/>
        </w:rPr>
        <w:t>immunsuppressiv behandling</w:t>
      </w:r>
      <w:r w:rsidRPr="009C5EFD">
        <w:rPr>
          <w:szCs w:val="22"/>
          <w:lang w:val="nb-NO"/>
        </w:rPr>
        <w:t xml:space="preserve"> eller psoriasispasienter med en tidligere PUVA-behandling bør undersøkes for </w:t>
      </w:r>
      <w:r>
        <w:rPr>
          <w:szCs w:val="22"/>
          <w:lang w:val="nb-NO"/>
        </w:rPr>
        <w:t>tilstedeværelse</w:t>
      </w:r>
      <w:r w:rsidRPr="009C5EFD">
        <w:rPr>
          <w:szCs w:val="22"/>
          <w:lang w:val="nb-NO"/>
        </w:rPr>
        <w:t xml:space="preserve"> av ikke-melanom hudkreft før og under behandling med Humira. Melanom og merkelcellekarsinom har også blitt rapportert hos pasienter behandlet med TNF-antagonister, inkludert adalimumab (se pkt.</w:t>
      </w:r>
      <w:r w:rsidR="005B586A">
        <w:rPr>
          <w:szCs w:val="22"/>
          <w:lang w:val="nb-NO"/>
        </w:rPr>
        <w:t> </w:t>
      </w:r>
      <w:r w:rsidRPr="009C5EFD">
        <w:rPr>
          <w:szCs w:val="22"/>
          <w:lang w:val="nb-NO"/>
        </w:rPr>
        <w:t>4.8).</w:t>
      </w:r>
    </w:p>
    <w:p w14:paraId="5027BDC2" w14:textId="77777777" w:rsidR="0033642C" w:rsidRPr="009C5EFD" w:rsidRDefault="0033642C" w:rsidP="0033642C">
      <w:pPr>
        <w:rPr>
          <w:sz w:val="22"/>
          <w:szCs w:val="22"/>
        </w:rPr>
      </w:pPr>
    </w:p>
    <w:p w14:paraId="1FA78941" w14:textId="77777777" w:rsidR="0033642C" w:rsidRPr="009C5EFD" w:rsidRDefault="00E453CD" w:rsidP="0033642C">
      <w:pPr>
        <w:rPr>
          <w:sz w:val="22"/>
          <w:szCs w:val="22"/>
        </w:rPr>
      </w:pPr>
      <w:r w:rsidRPr="009C5EFD">
        <w:rPr>
          <w:sz w:val="22"/>
          <w:szCs w:val="22"/>
        </w:rPr>
        <w:t xml:space="preserve">I en klinisk studie som undersøkte bruken av en annen TNF-antagonist, </w:t>
      </w:r>
      <w:r w:rsidR="007527E2">
        <w:rPr>
          <w:sz w:val="22"/>
          <w:szCs w:val="22"/>
        </w:rPr>
        <w:t>infliksimab</w:t>
      </w:r>
      <w:r w:rsidRPr="009C5EFD">
        <w:rPr>
          <w:sz w:val="22"/>
          <w:szCs w:val="22"/>
        </w:rPr>
        <w:t xml:space="preserve">, hos pasienter med moderat til alvorlig kronisk obstruktiv lungesykdom (KOLS), ble flere maligniteter, mest i lungene eller hode og nakke, rapportert hos pasienter som fikk infliksimab sammenlignet med kontrollgruppen. Alle pasientene var tidligere storrøykere. Derfor skal forsiktighet utvises når en TNF-antagonist brukes hos KOLS-pasienter, </w:t>
      </w:r>
      <w:r w:rsidR="00C13550">
        <w:rPr>
          <w:sz w:val="22"/>
          <w:szCs w:val="22"/>
        </w:rPr>
        <w:t>og</w:t>
      </w:r>
      <w:r w:rsidRPr="009C5EFD">
        <w:rPr>
          <w:sz w:val="22"/>
          <w:szCs w:val="22"/>
        </w:rPr>
        <w:t xml:space="preserve"> hos pasienter som pga. storrøyking har økt risiko for malignitet.</w:t>
      </w:r>
    </w:p>
    <w:p w14:paraId="79494AEA" w14:textId="77777777" w:rsidR="0033642C" w:rsidRPr="009C5EFD" w:rsidRDefault="0033642C" w:rsidP="0033642C">
      <w:pPr>
        <w:rPr>
          <w:sz w:val="22"/>
          <w:szCs w:val="22"/>
        </w:rPr>
      </w:pPr>
    </w:p>
    <w:p w14:paraId="0BCBFE14" w14:textId="77777777" w:rsidR="0033642C" w:rsidRPr="009C5EFD" w:rsidRDefault="00E453CD" w:rsidP="0033642C">
      <w:pPr>
        <w:textAlignment w:val="top"/>
        <w:rPr>
          <w:sz w:val="22"/>
          <w:szCs w:val="22"/>
        </w:rPr>
      </w:pPr>
      <w:r>
        <w:rPr>
          <w:sz w:val="22"/>
          <w:szCs w:val="22"/>
        </w:rPr>
        <w:t>Basert på</w:t>
      </w:r>
      <w:r w:rsidRPr="009C5EFD">
        <w:rPr>
          <w:sz w:val="22"/>
          <w:szCs w:val="22"/>
        </w:rPr>
        <w:t xml:space="preserve"> nåværende </w:t>
      </w:r>
      <w:r w:rsidRPr="009C5EFD">
        <w:rPr>
          <w:rStyle w:val="hps"/>
          <w:sz w:val="22"/>
          <w:szCs w:val="22"/>
        </w:rPr>
        <w:t>data</w:t>
      </w:r>
      <w:r w:rsidRPr="009C5EFD">
        <w:rPr>
          <w:sz w:val="22"/>
          <w:szCs w:val="22"/>
        </w:rPr>
        <w:t xml:space="preserve"> </w:t>
      </w:r>
      <w:r w:rsidRPr="009C5EFD">
        <w:rPr>
          <w:rStyle w:val="hps"/>
          <w:sz w:val="22"/>
          <w:szCs w:val="22"/>
        </w:rPr>
        <w:t>er det ikke</w:t>
      </w:r>
      <w:r w:rsidRPr="009C5EFD">
        <w:rPr>
          <w:sz w:val="22"/>
          <w:szCs w:val="22"/>
        </w:rPr>
        <w:t xml:space="preserve"> </w:t>
      </w:r>
      <w:r w:rsidRPr="009C5EFD">
        <w:rPr>
          <w:rStyle w:val="hps"/>
          <w:sz w:val="22"/>
          <w:szCs w:val="22"/>
        </w:rPr>
        <w:t>kjent om</w:t>
      </w:r>
      <w:r w:rsidRPr="009C5EFD">
        <w:rPr>
          <w:sz w:val="22"/>
          <w:szCs w:val="22"/>
        </w:rPr>
        <w:t xml:space="preserve"> </w:t>
      </w:r>
      <w:r w:rsidRPr="009C5EFD">
        <w:rPr>
          <w:rStyle w:val="hps"/>
          <w:sz w:val="22"/>
          <w:szCs w:val="22"/>
        </w:rPr>
        <w:t>adalimumabbehandling</w:t>
      </w:r>
      <w:r w:rsidRPr="009C5EFD">
        <w:rPr>
          <w:sz w:val="22"/>
          <w:szCs w:val="22"/>
        </w:rPr>
        <w:t xml:space="preserve"> </w:t>
      </w:r>
      <w:r w:rsidRPr="009C5EFD">
        <w:rPr>
          <w:rStyle w:val="hps"/>
          <w:sz w:val="22"/>
          <w:szCs w:val="22"/>
        </w:rPr>
        <w:t>påvirker</w:t>
      </w:r>
      <w:r w:rsidRPr="009C5EFD">
        <w:rPr>
          <w:sz w:val="22"/>
          <w:szCs w:val="22"/>
        </w:rPr>
        <w:t xml:space="preserve"> </w:t>
      </w:r>
      <w:r w:rsidRPr="009C5EFD">
        <w:rPr>
          <w:rStyle w:val="hps"/>
          <w:sz w:val="22"/>
          <w:szCs w:val="22"/>
        </w:rPr>
        <w:t>risikoen</w:t>
      </w:r>
      <w:r w:rsidRPr="009C5EFD">
        <w:rPr>
          <w:sz w:val="22"/>
          <w:szCs w:val="22"/>
        </w:rPr>
        <w:t xml:space="preserve"> </w:t>
      </w:r>
      <w:r w:rsidRPr="009C5EFD">
        <w:rPr>
          <w:rStyle w:val="hps"/>
          <w:sz w:val="22"/>
          <w:szCs w:val="22"/>
        </w:rPr>
        <w:t>for å utvikle</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 tykktarmskreft</w:t>
      </w:r>
      <w:r w:rsidRPr="009C5EFD">
        <w:rPr>
          <w:sz w:val="22"/>
          <w:szCs w:val="22"/>
        </w:rPr>
        <w:t xml:space="preserve">. </w:t>
      </w:r>
      <w:r w:rsidRPr="009C5EFD">
        <w:rPr>
          <w:rStyle w:val="hps"/>
          <w:sz w:val="22"/>
          <w:szCs w:val="22"/>
        </w:rPr>
        <w:t>Alle pasienter med</w:t>
      </w:r>
      <w:r w:rsidRPr="009C5EFD">
        <w:rPr>
          <w:sz w:val="22"/>
          <w:szCs w:val="22"/>
        </w:rPr>
        <w:t xml:space="preserve"> </w:t>
      </w:r>
      <w:r w:rsidRPr="009C5EFD">
        <w:rPr>
          <w:rStyle w:val="hps"/>
          <w:sz w:val="22"/>
          <w:szCs w:val="22"/>
        </w:rPr>
        <w:t>ulcerøs</w:t>
      </w:r>
      <w:r w:rsidRPr="009C5EFD">
        <w:rPr>
          <w:sz w:val="22"/>
          <w:szCs w:val="22"/>
        </w:rPr>
        <w:t xml:space="preserve"> </w:t>
      </w:r>
      <w:r w:rsidRPr="009C5EFD">
        <w:rPr>
          <w:rStyle w:val="hps"/>
          <w:sz w:val="22"/>
          <w:szCs w:val="22"/>
        </w:rPr>
        <w:t>kolitt</w:t>
      </w:r>
      <w:r w:rsidRPr="009C5EFD">
        <w:rPr>
          <w:sz w:val="22"/>
          <w:szCs w:val="22"/>
        </w:rPr>
        <w:t xml:space="preserve"> </w:t>
      </w:r>
      <w:r w:rsidRPr="009C5EFD">
        <w:rPr>
          <w:rStyle w:val="hps"/>
          <w:sz w:val="22"/>
          <w:szCs w:val="22"/>
        </w:rPr>
        <w:t>som</w:t>
      </w:r>
      <w:r w:rsidRPr="009C5EFD">
        <w:rPr>
          <w:sz w:val="22"/>
          <w:szCs w:val="22"/>
        </w:rPr>
        <w:t xml:space="preserve"> </w:t>
      </w:r>
      <w:r w:rsidRPr="009C5EFD">
        <w:rPr>
          <w:rStyle w:val="hps"/>
          <w:sz w:val="22"/>
          <w:szCs w:val="22"/>
        </w:rPr>
        <w:t>har økt risiko</w:t>
      </w:r>
      <w:r w:rsidRPr="009C5EFD">
        <w:rPr>
          <w:sz w:val="22"/>
          <w:szCs w:val="22"/>
        </w:rPr>
        <w:t xml:space="preserve"> </w:t>
      </w:r>
      <w:r w:rsidRPr="009C5EFD">
        <w:rPr>
          <w:rStyle w:val="hps"/>
          <w:sz w:val="22"/>
          <w:szCs w:val="22"/>
        </w:rPr>
        <w:t>for</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w:t>
      </w:r>
      <w:r w:rsidRPr="009C5EFD">
        <w:rPr>
          <w:sz w:val="22"/>
          <w:szCs w:val="22"/>
        </w:rPr>
        <w:t xml:space="preserve"> </w:t>
      </w:r>
      <w:r w:rsidRPr="009C5EFD">
        <w:rPr>
          <w:rStyle w:val="hps"/>
          <w:sz w:val="22"/>
          <w:szCs w:val="22"/>
        </w:rPr>
        <w:t>kolonkarsinom</w:t>
      </w:r>
      <w:r w:rsidRPr="009C5EFD">
        <w:rPr>
          <w:sz w:val="22"/>
          <w:szCs w:val="22"/>
        </w:rPr>
        <w:t xml:space="preserve"> </w:t>
      </w:r>
      <w:r w:rsidRPr="009C5EFD">
        <w:rPr>
          <w:rStyle w:val="hpsatn"/>
          <w:sz w:val="22"/>
          <w:szCs w:val="22"/>
        </w:rPr>
        <w:t>(</w:t>
      </w:r>
      <w:r w:rsidRPr="009C5EFD">
        <w:rPr>
          <w:sz w:val="22"/>
          <w:szCs w:val="22"/>
        </w:rPr>
        <w:t xml:space="preserve">for </w:t>
      </w:r>
      <w:r w:rsidRPr="009C5EFD">
        <w:rPr>
          <w:rStyle w:val="hps"/>
          <w:sz w:val="22"/>
          <w:szCs w:val="22"/>
        </w:rPr>
        <w:t>eksempel</w:t>
      </w:r>
      <w:r w:rsidRPr="009C5EFD">
        <w:rPr>
          <w:sz w:val="22"/>
          <w:szCs w:val="22"/>
        </w:rPr>
        <w:t xml:space="preserve"> </w:t>
      </w:r>
      <w:r w:rsidRPr="009C5EFD">
        <w:rPr>
          <w:rStyle w:val="hps"/>
          <w:sz w:val="22"/>
          <w:szCs w:val="22"/>
        </w:rPr>
        <w:t>pasienter med</w:t>
      </w:r>
      <w:r w:rsidRPr="009C5EFD">
        <w:rPr>
          <w:sz w:val="22"/>
          <w:szCs w:val="22"/>
        </w:rPr>
        <w:t xml:space="preserve"> </w:t>
      </w:r>
      <w:r w:rsidRPr="009C5EFD">
        <w:rPr>
          <w:rStyle w:val="hps"/>
          <w:sz w:val="22"/>
          <w:szCs w:val="22"/>
        </w:rPr>
        <w:t>langvarig</w:t>
      </w:r>
      <w:r w:rsidRPr="009C5EFD">
        <w:rPr>
          <w:sz w:val="22"/>
          <w:szCs w:val="22"/>
        </w:rPr>
        <w:t xml:space="preserve"> </w:t>
      </w:r>
      <w:r w:rsidRPr="009C5EFD">
        <w:rPr>
          <w:rStyle w:val="hps"/>
          <w:sz w:val="22"/>
          <w:szCs w:val="22"/>
        </w:rPr>
        <w:t>ulcerøs</w:t>
      </w:r>
      <w:r w:rsidRPr="009C5EFD">
        <w:rPr>
          <w:sz w:val="22"/>
          <w:szCs w:val="22"/>
        </w:rPr>
        <w:t xml:space="preserve"> </w:t>
      </w:r>
      <w:r w:rsidRPr="009C5EFD">
        <w:rPr>
          <w:rStyle w:val="hps"/>
          <w:sz w:val="22"/>
          <w:szCs w:val="22"/>
        </w:rPr>
        <w:t>kolitt eller</w:t>
      </w:r>
      <w:r w:rsidRPr="009C5EFD">
        <w:rPr>
          <w:sz w:val="22"/>
          <w:szCs w:val="22"/>
        </w:rPr>
        <w:t xml:space="preserve"> </w:t>
      </w:r>
      <w:r w:rsidRPr="009C5EFD">
        <w:rPr>
          <w:rStyle w:val="hps"/>
          <w:sz w:val="22"/>
          <w:szCs w:val="22"/>
        </w:rPr>
        <w:t>primær</w:t>
      </w:r>
      <w:r w:rsidRPr="009C5EFD">
        <w:rPr>
          <w:sz w:val="22"/>
          <w:szCs w:val="22"/>
        </w:rPr>
        <w:t xml:space="preserve"> </w:t>
      </w:r>
      <w:r w:rsidRPr="009C5EFD">
        <w:rPr>
          <w:rStyle w:val="hps"/>
          <w:sz w:val="22"/>
          <w:szCs w:val="22"/>
        </w:rPr>
        <w:t>skleroserende</w:t>
      </w:r>
      <w:r w:rsidRPr="009C5EFD">
        <w:rPr>
          <w:sz w:val="22"/>
          <w:szCs w:val="22"/>
        </w:rPr>
        <w:t xml:space="preserve"> </w:t>
      </w:r>
      <w:r w:rsidRPr="009C5EFD">
        <w:rPr>
          <w:rStyle w:val="hps"/>
          <w:sz w:val="22"/>
          <w:szCs w:val="22"/>
        </w:rPr>
        <w:t>kolangitt</w:t>
      </w:r>
      <w:r w:rsidRPr="009C5EFD">
        <w:rPr>
          <w:sz w:val="22"/>
          <w:szCs w:val="22"/>
        </w:rPr>
        <w:t xml:space="preserve">), </w:t>
      </w:r>
      <w:r w:rsidRPr="009C5EFD">
        <w:rPr>
          <w:rStyle w:val="hps"/>
          <w:sz w:val="22"/>
          <w:szCs w:val="22"/>
        </w:rPr>
        <w:t>eller som har</w:t>
      </w:r>
      <w:r w:rsidRPr="009C5EFD">
        <w:rPr>
          <w:sz w:val="22"/>
          <w:szCs w:val="22"/>
        </w:rPr>
        <w:t xml:space="preserve"> </w:t>
      </w:r>
      <w:r w:rsidRPr="009C5EFD">
        <w:rPr>
          <w:rStyle w:val="hps"/>
          <w:sz w:val="22"/>
          <w:szCs w:val="22"/>
        </w:rPr>
        <w:t>en forhistorie med</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w:t>
      </w:r>
      <w:r w:rsidRPr="009C5EFD">
        <w:rPr>
          <w:sz w:val="22"/>
          <w:szCs w:val="22"/>
        </w:rPr>
        <w:t xml:space="preserve"> </w:t>
      </w:r>
      <w:r w:rsidRPr="009C5EFD">
        <w:rPr>
          <w:rStyle w:val="hps"/>
          <w:sz w:val="22"/>
          <w:szCs w:val="22"/>
        </w:rPr>
        <w:t>kolonkarsinom,</w:t>
      </w:r>
      <w:r w:rsidRPr="009C5EFD">
        <w:rPr>
          <w:sz w:val="22"/>
          <w:szCs w:val="22"/>
        </w:rPr>
        <w:t xml:space="preserve"> </w:t>
      </w:r>
      <w:r w:rsidRPr="009C5EFD">
        <w:rPr>
          <w:rStyle w:val="hps"/>
          <w:sz w:val="22"/>
          <w:szCs w:val="22"/>
        </w:rPr>
        <w:t>bør regelmessig screenes</w:t>
      </w:r>
      <w:r w:rsidRPr="009C5EFD">
        <w:rPr>
          <w:sz w:val="22"/>
          <w:szCs w:val="22"/>
        </w:rPr>
        <w:t xml:space="preserve"> </w:t>
      </w:r>
      <w:r w:rsidRPr="009C5EFD">
        <w:rPr>
          <w:rStyle w:val="hps"/>
          <w:sz w:val="22"/>
          <w:szCs w:val="22"/>
        </w:rPr>
        <w:t>for</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før</w:t>
      </w:r>
      <w:r w:rsidRPr="009C5EFD">
        <w:rPr>
          <w:sz w:val="22"/>
          <w:szCs w:val="22"/>
        </w:rPr>
        <w:t xml:space="preserve"> </w:t>
      </w:r>
      <w:r w:rsidRPr="009C5EFD">
        <w:rPr>
          <w:rStyle w:val="hps"/>
          <w:sz w:val="22"/>
          <w:szCs w:val="22"/>
        </w:rPr>
        <w:t>terapi initieres og</w:t>
      </w:r>
      <w:r w:rsidRPr="009C5EFD">
        <w:rPr>
          <w:sz w:val="22"/>
          <w:szCs w:val="22"/>
        </w:rPr>
        <w:t xml:space="preserve"> </w:t>
      </w:r>
      <w:r w:rsidRPr="009C5EFD">
        <w:rPr>
          <w:rStyle w:val="hps"/>
          <w:sz w:val="22"/>
          <w:szCs w:val="22"/>
        </w:rPr>
        <w:t>gjennom hele</w:t>
      </w:r>
      <w:r w:rsidRPr="009C5EFD">
        <w:rPr>
          <w:sz w:val="22"/>
          <w:szCs w:val="22"/>
        </w:rPr>
        <w:t xml:space="preserve"> </w:t>
      </w:r>
      <w:r w:rsidRPr="009C5EFD">
        <w:rPr>
          <w:rStyle w:val="hps"/>
          <w:sz w:val="22"/>
          <w:szCs w:val="22"/>
        </w:rPr>
        <w:t>sykdomsforløpet.</w:t>
      </w:r>
      <w:r w:rsidRPr="009C5EFD">
        <w:rPr>
          <w:sz w:val="22"/>
          <w:szCs w:val="22"/>
        </w:rPr>
        <w:t xml:space="preserve"> </w:t>
      </w:r>
      <w:r w:rsidRPr="009C5EFD">
        <w:rPr>
          <w:rStyle w:val="hps"/>
          <w:sz w:val="22"/>
          <w:szCs w:val="22"/>
        </w:rPr>
        <w:t xml:space="preserve">Denne </w:t>
      </w:r>
      <w:r w:rsidR="00BF02E7">
        <w:rPr>
          <w:rStyle w:val="hps"/>
          <w:sz w:val="22"/>
          <w:szCs w:val="22"/>
        </w:rPr>
        <w:t>vurdering</w:t>
      </w:r>
      <w:r w:rsidRPr="009C5EFD">
        <w:rPr>
          <w:rStyle w:val="hps"/>
          <w:sz w:val="22"/>
          <w:szCs w:val="22"/>
        </w:rPr>
        <w:t>en</w:t>
      </w:r>
      <w:r w:rsidRPr="009C5EFD">
        <w:rPr>
          <w:sz w:val="22"/>
          <w:szCs w:val="22"/>
        </w:rPr>
        <w:t xml:space="preserve"> </w:t>
      </w:r>
      <w:r w:rsidRPr="009C5EFD">
        <w:rPr>
          <w:rStyle w:val="hps"/>
          <w:sz w:val="22"/>
          <w:szCs w:val="22"/>
        </w:rPr>
        <w:t>skal</w:t>
      </w:r>
      <w:r w:rsidRPr="009C5EFD">
        <w:rPr>
          <w:sz w:val="22"/>
          <w:szCs w:val="22"/>
        </w:rPr>
        <w:t xml:space="preserve"> </w:t>
      </w:r>
      <w:r w:rsidRPr="009C5EFD">
        <w:rPr>
          <w:rStyle w:val="hps"/>
          <w:sz w:val="22"/>
          <w:szCs w:val="22"/>
        </w:rPr>
        <w:t>omfatte</w:t>
      </w:r>
      <w:r w:rsidRPr="009C5EFD">
        <w:rPr>
          <w:sz w:val="22"/>
          <w:szCs w:val="22"/>
        </w:rPr>
        <w:t xml:space="preserve"> </w:t>
      </w:r>
      <w:r w:rsidRPr="009C5EFD">
        <w:rPr>
          <w:rStyle w:val="hps"/>
          <w:sz w:val="22"/>
          <w:szCs w:val="22"/>
        </w:rPr>
        <w:t>koloskopi</w:t>
      </w:r>
      <w:r w:rsidRPr="009C5EFD">
        <w:rPr>
          <w:sz w:val="22"/>
          <w:szCs w:val="22"/>
        </w:rPr>
        <w:t xml:space="preserve"> </w:t>
      </w:r>
      <w:r w:rsidRPr="009C5EFD">
        <w:rPr>
          <w:rStyle w:val="hps"/>
          <w:sz w:val="22"/>
          <w:szCs w:val="22"/>
        </w:rPr>
        <w:t>og</w:t>
      </w:r>
      <w:r w:rsidRPr="009C5EFD">
        <w:rPr>
          <w:sz w:val="22"/>
          <w:szCs w:val="22"/>
        </w:rPr>
        <w:t xml:space="preserve"> </w:t>
      </w:r>
      <w:r w:rsidRPr="009C5EFD">
        <w:rPr>
          <w:rStyle w:val="hps"/>
          <w:sz w:val="22"/>
          <w:szCs w:val="22"/>
        </w:rPr>
        <w:t>biopsi</w:t>
      </w:r>
      <w:r w:rsidRPr="009C5EFD">
        <w:rPr>
          <w:sz w:val="22"/>
          <w:szCs w:val="22"/>
        </w:rPr>
        <w:t xml:space="preserve"> </w:t>
      </w:r>
      <w:r w:rsidRPr="009C5EFD">
        <w:rPr>
          <w:rStyle w:val="hps"/>
          <w:sz w:val="22"/>
          <w:szCs w:val="22"/>
        </w:rPr>
        <w:t>etter</w:t>
      </w:r>
      <w:r w:rsidRPr="009C5EFD">
        <w:rPr>
          <w:sz w:val="22"/>
          <w:szCs w:val="22"/>
        </w:rPr>
        <w:t xml:space="preserve"> </w:t>
      </w:r>
      <w:r w:rsidRPr="009C5EFD">
        <w:rPr>
          <w:rStyle w:val="hps"/>
          <w:sz w:val="22"/>
          <w:szCs w:val="22"/>
        </w:rPr>
        <w:t>lokale anbefalinger.</w:t>
      </w:r>
    </w:p>
    <w:p w14:paraId="2BDEFD8A" w14:textId="77777777" w:rsidR="0033642C" w:rsidRPr="009C5EFD" w:rsidRDefault="0033642C" w:rsidP="0033642C">
      <w:pPr>
        <w:rPr>
          <w:sz w:val="22"/>
          <w:szCs w:val="22"/>
        </w:rPr>
      </w:pPr>
    </w:p>
    <w:p w14:paraId="24B15A6C" w14:textId="77777777" w:rsidR="0033642C" w:rsidRPr="009C5EFD" w:rsidRDefault="00E453CD" w:rsidP="00776A84">
      <w:pPr>
        <w:keepNext/>
        <w:rPr>
          <w:sz w:val="22"/>
          <w:szCs w:val="22"/>
          <w:u w:val="single"/>
        </w:rPr>
      </w:pPr>
      <w:r w:rsidRPr="009C5EFD">
        <w:rPr>
          <w:sz w:val="22"/>
          <w:szCs w:val="22"/>
          <w:u w:val="single"/>
        </w:rPr>
        <w:t>Hematologiske reaksjoner</w:t>
      </w:r>
    </w:p>
    <w:p w14:paraId="42E6990E" w14:textId="77777777" w:rsidR="0033642C" w:rsidRPr="009C5EFD" w:rsidRDefault="0033642C" w:rsidP="00776A84">
      <w:pPr>
        <w:keepNext/>
        <w:rPr>
          <w:sz w:val="22"/>
          <w:szCs w:val="22"/>
        </w:rPr>
      </w:pPr>
    </w:p>
    <w:p w14:paraId="238A944A" w14:textId="77777777" w:rsidR="0033642C" w:rsidRPr="009C5EFD" w:rsidRDefault="00E453CD" w:rsidP="0033642C">
      <w:pPr>
        <w:rPr>
          <w:sz w:val="22"/>
          <w:szCs w:val="22"/>
        </w:rPr>
      </w:pPr>
      <w:r w:rsidRPr="009C5EFD">
        <w:rPr>
          <w:sz w:val="22"/>
          <w:szCs w:val="22"/>
        </w:rPr>
        <w:t xml:space="preserve">Sjeldne tilfeller av pancytopeni inkludert aplastisk anemi er rapportert med TNF-antagonister. Bivirkninger i form av hematologiske reaksjoner, inkludert klinisk signifikant cytopeni (f. eks. trombocytopeni, leukopeni) er rapportert ved bruk av Humira. Alle pasienter bør rådes til øyeblikkelig å søke medisinsk hjelp hvis de utvikler tegn og symptomer på bloddyskrasier (f. eks. vedvarende feber, bloduttredelser, blødninger, blekhet) under behandling med Humira. Seponering av behandling med Humira bør vurderes hos pasienter med bekreftet signifikante hematologiske abnormaliteter. </w:t>
      </w:r>
    </w:p>
    <w:p w14:paraId="1667AB6F" w14:textId="77777777" w:rsidR="0033642C" w:rsidRPr="009C5EFD" w:rsidRDefault="0033642C" w:rsidP="0033642C">
      <w:pPr>
        <w:rPr>
          <w:sz w:val="22"/>
          <w:szCs w:val="22"/>
        </w:rPr>
      </w:pPr>
    </w:p>
    <w:p w14:paraId="22287EEB" w14:textId="77777777" w:rsidR="0033642C" w:rsidRPr="009C5EFD" w:rsidRDefault="00E453CD" w:rsidP="0033642C">
      <w:pPr>
        <w:keepNext/>
        <w:rPr>
          <w:sz w:val="22"/>
          <w:szCs w:val="22"/>
          <w:u w:val="single"/>
        </w:rPr>
      </w:pPr>
      <w:r w:rsidRPr="009C5EFD">
        <w:rPr>
          <w:sz w:val="22"/>
          <w:szCs w:val="22"/>
          <w:u w:val="single"/>
        </w:rPr>
        <w:t>Vaksinasjoner</w:t>
      </w:r>
    </w:p>
    <w:p w14:paraId="0699BCB0" w14:textId="77777777" w:rsidR="0033642C" w:rsidRPr="009C5EFD" w:rsidRDefault="0033642C" w:rsidP="0033642C">
      <w:pPr>
        <w:keepNext/>
        <w:rPr>
          <w:sz w:val="22"/>
          <w:szCs w:val="22"/>
        </w:rPr>
      </w:pPr>
    </w:p>
    <w:p w14:paraId="52E87212" w14:textId="77777777" w:rsidR="0033642C" w:rsidRPr="009C5EFD" w:rsidRDefault="00E453CD" w:rsidP="0033642C">
      <w:pPr>
        <w:pStyle w:val="Heading8"/>
        <w:rPr>
          <w:szCs w:val="22"/>
          <w:u w:val="none"/>
        </w:rPr>
      </w:pPr>
      <w:r w:rsidRPr="009C5EFD">
        <w:rPr>
          <w:szCs w:val="22"/>
          <w:u w:val="none"/>
        </w:rPr>
        <w:t>Like antistoffresponser på standard 23-valent pneumokokkvaksinasjon og influensatrivalent-virusvaksinasjon ble observert i en studie med 226</w:t>
      </w:r>
      <w:r w:rsidR="005B586A">
        <w:rPr>
          <w:szCs w:val="22"/>
          <w:u w:val="none"/>
        </w:rPr>
        <w:t> </w:t>
      </w:r>
      <w:r w:rsidRPr="009C5EFD">
        <w:rPr>
          <w:szCs w:val="22"/>
          <w:u w:val="none"/>
        </w:rPr>
        <w:t xml:space="preserve">voksne pasienter med revmatoid artritt som ble behandlet med adalimumab eller placebo. Ingen data om sekundær overføring av infeksjon med levende vaksiner hos pasienter som får Humira er tilgjengelig. </w:t>
      </w:r>
    </w:p>
    <w:p w14:paraId="3A6CF6FA" w14:textId="77777777" w:rsidR="0033642C" w:rsidRPr="009C5EFD" w:rsidRDefault="0033642C" w:rsidP="0033642C">
      <w:pPr>
        <w:rPr>
          <w:sz w:val="22"/>
          <w:szCs w:val="22"/>
        </w:rPr>
      </w:pPr>
    </w:p>
    <w:p w14:paraId="014BB7E1" w14:textId="77777777" w:rsidR="0033642C" w:rsidRPr="009C5EFD" w:rsidRDefault="00E453CD" w:rsidP="0033642C">
      <w:pPr>
        <w:pStyle w:val="Heading8"/>
        <w:keepNext w:val="0"/>
        <w:rPr>
          <w:szCs w:val="22"/>
          <w:u w:val="none"/>
        </w:rPr>
      </w:pPr>
      <w:r w:rsidRPr="009C5EFD">
        <w:rPr>
          <w:szCs w:val="22"/>
          <w:u w:val="none"/>
        </w:rPr>
        <w:t>Det anbefales, hvis mulig, at pediatriske pasienter vaksineres i tråd med gjeldende vaksinasjonsveiledninger før behandling med Humira startes.</w:t>
      </w:r>
    </w:p>
    <w:p w14:paraId="50D9EB29" w14:textId="77777777" w:rsidR="0033642C" w:rsidRPr="009C5EFD" w:rsidRDefault="0033642C" w:rsidP="0033642C">
      <w:pPr>
        <w:rPr>
          <w:sz w:val="22"/>
          <w:szCs w:val="22"/>
        </w:rPr>
      </w:pPr>
    </w:p>
    <w:p w14:paraId="531F551E" w14:textId="77777777" w:rsidR="0033642C" w:rsidRPr="009C5EFD" w:rsidRDefault="00E453CD" w:rsidP="0033642C">
      <w:pPr>
        <w:pStyle w:val="Heading8"/>
        <w:keepNext w:val="0"/>
        <w:rPr>
          <w:u w:val="none"/>
        </w:rPr>
      </w:pPr>
      <w:r w:rsidRPr="009C5EFD">
        <w:rPr>
          <w:szCs w:val="22"/>
          <w:u w:val="none"/>
        </w:rPr>
        <w:t xml:space="preserve">Pasienter som behandles med Humira kan få kombinerte vaksinasjoner, med unntak av levende vaksiner. </w:t>
      </w:r>
      <w:r w:rsidRPr="009C5EFD">
        <w:rPr>
          <w:u w:val="none"/>
        </w:rPr>
        <w:t xml:space="preserve">Administrasjon av levende vaksiner </w:t>
      </w:r>
      <w:r w:rsidR="00D70AAD">
        <w:rPr>
          <w:szCs w:val="22"/>
          <w:u w:val="none"/>
        </w:rPr>
        <w:t xml:space="preserve">(f.eks. BCG vaksine) </w:t>
      </w:r>
      <w:r w:rsidRPr="009C5EFD">
        <w:rPr>
          <w:u w:val="none"/>
        </w:rPr>
        <w:t>på spedbarn eksponert for adalimumab intrauterint anbefales ikke før 5</w:t>
      </w:r>
      <w:r w:rsidR="005B586A">
        <w:rPr>
          <w:u w:val="none"/>
        </w:rPr>
        <w:t> </w:t>
      </w:r>
      <w:r w:rsidRPr="009C5EFD">
        <w:rPr>
          <w:u w:val="none"/>
        </w:rPr>
        <w:t>måneder etter morens siste injeksjon med adalimumab under graviditeten.</w:t>
      </w:r>
    </w:p>
    <w:p w14:paraId="7411414D" w14:textId="77777777" w:rsidR="0033642C" w:rsidRPr="009C5EFD" w:rsidRDefault="0033642C" w:rsidP="0033642C">
      <w:pPr>
        <w:pStyle w:val="Heading8"/>
        <w:keepNext w:val="0"/>
      </w:pPr>
    </w:p>
    <w:p w14:paraId="55032C45" w14:textId="77777777" w:rsidR="0033642C" w:rsidRPr="009C5EFD" w:rsidRDefault="00E453CD" w:rsidP="0033642C">
      <w:pPr>
        <w:pStyle w:val="Heading8"/>
        <w:rPr>
          <w:szCs w:val="22"/>
        </w:rPr>
      </w:pPr>
      <w:r w:rsidRPr="009C5EFD">
        <w:rPr>
          <w:szCs w:val="22"/>
        </w:rPr>
        <w:t>Kongestiv hjertesvikt</w:t>
      </w:r>
    </w:p>
    <w:p w14:paraId="75C6324C" w14:textId="77777777" w:rsidR="0033642C" w:rsidRPr="009C5EFD" w:rsidRDefault="0033642C" w:rsidP="0033642C">
      <w:pPr>
        <w:keepNext/>
        <w:rPr>
          <w:sz w:val="22"/>
          <w:szCs w:val="22"/>
        </w:rPr>
      </w:pPr>
    </w:p>
    <w:p w14:paraId="4F8488A4" w14:textId="77777777" w:rsidR="0033642C" w:rsidRPr="009C5EFD" w:rsidRDefault="00E453CD" w:rsidP="00776A84">
      <w:pPr>
        <w:rPr>
          <w:sz w:val="22"/>
          <w:szCs w:val="22"/>
        </w:rPr>
      </w:pPr>
      <w:r w:rsidRPr="009C5EFD">
        <w:rPr>
          <w:sz w:val="22"/>
          <w:szCs w:val="22"/>
        </w:rPr>
        <w:t>I en klinisk studie med en annen TNF-antagonist er det observert forverret kongestiv hjertesvikt og økt mortalitet på grunn av kongestiv hjertesvikt. Tilfeller med forverret kongestiv hjertesvikt er også rapportert hos pasienter som fikk Humira. Det bør utvises varsomhet ved bruk av Humira hos pasienter med lett hjertesvikt (NYHA klasse I/II). Humira er kontraindisert ved moderat eller alvorlig hjertesvikt (se pkt.</w:t>
      </w:r>
      <w:r w:rsidR="005B586A">
        <w:rPr>
          <w:sz w:val="22"/>
          <w:szCs w:val="22"/>
        </w:rPr>
        <w:t> </w:t>
      </w:r>
      <w:r w:rsidRPr="009C5EFD">
        <w:rPr>
          <w:sz w:val="22"/>
          <w:szCs w:val="22"/>
        </w:rPr>
        <w:t>4.3). Behandling med Humira skal seponeres hos pasienter som utvikler nye eller forverrede symptomer på kongestiv hjertesvikt.</w:t>
      </w:r>
    </w:p>
    <w:p w14:paraId="2A7ADF4F" w14:textId="77777777" w:rsidR="0033642C" w:rsidRPr="009C5EFD" w:rsidRDefault="0033642C" w:rsidP="0033642C">
      <w:pPr>
        <w:pStyle w:val="Heading8"/>
        <w:keepNext w:val="0"/>
        <w:rPr>
          <w:szCs w:val="22"/>
        </w:rPr>
      </w:pPr>
    </w:p>
    <w:p w14:paraId="46D5AA79" w14:textId="77777777" w:rsidR="0033642C" w:rsidRPr="009C5EFD" w:rsidRDefault="00E453CD" w:rsidP="0033642C">
      <w:pPr>
        <w:pStyle w:val="Heading8"/>
        <w:rPr>
          <w:szCs w:val="22"/>
        </w:rPr>
      </w:pPr>
      <w:r w:rsidRPr="009C5EFD">
        <w:rPr>
          <w:szCs w:val="22"/>
        </w:rPr>
        <w:t>Autoimmun aktivitet</w:t>
      </w:r>
    </w:p>
    <w:p w14:paraId="0DF9B675" w14:textId="77777777" w:rsidR="0033642C" w:rsidRPr="009C5EFD" w:rsidRDefault="0033642C" w:rsidP="0033642C">
      <w:pPr>
        <w:keepNext/>
        <w:rPr>
          <w:sz w:val="22"/>
          <w:szCs w:val="22"/>
        </w:rPr>
      </w:pPr>
    </w:p>
    <w:p w14:paraId="3FD95975" w14:textId="77777777" w:rsidR="0033642C" w:rsidRPr="009C5EFD" w:rsidRDefault="00E453CD" w:rsidP="00776A84">
      <w:pPr>
        <w:rPr>
          <w:sz w:val="22"/>
          <w:szCs w:val="22"/>
        </w:rPr>
      </w:pPr>
      <w:r w:rsidRPr="009C5EFD">
        <w:rPr>
          <w:sz w:val="22"/>
          <w:szCs w:val="22"/>
        </w:rPr>
        <w:t>Behandling med Humira kan forårsake dannelse av autoimmune antistoffer. Effekten av langtidsbehandling med Humira med hensyn til utvikling av autoimmune sykdommer er ukjent. Dersom en pasient etter behandling med Humira utvikler symptomer på lupuslignende syndrom og er positiv for antistoffer mot dobbelkjedet DNA, skal videre behandling med Humira stoppes (se pkt.</w:t>
      </w:r>
      <w:r w:rsidR="005B586A">
        <w:rPr>
          <w:sz w:val="22"/>
          <w:szCs w:val="22"/>
        </w:rPr>
        <w:t> </w:t>
      </w:r>
      <w:r w:rsidRPr="009C5EFD">
        <w:rPr>
          <w:sz w:val="22"/>
          <w:szCs w:val="22"/>
        </w:rPr>
        <w:t>4.8).</w:t>
      </w:r>
    </w:p>
    <w:p w14:paraId="1049A4C4" w14:textId="77777777" w:rsidR="0033642C" w:rsidRPr="009C5EFD" w:rsidRDefault="0033642C" w:rsidP="0033642C">
      <w:pPr>
        <w:rPr>
          <w:sz w:val="22"/>
          <w:szCs w:val="22"/>
          <w:u w:val="single"/>
        </w:rPr>
      </w:pPr>
    </w:p>
    <w:p w14:paraId="74429CB6" w14:textId="77777777" w:rsidR="0033642C" w:rsidRPr="009C5EFD" w:rsidRDefault="00E453CD" w:rsidP="0033642C">
      <w:pPr>
        <w:keepNext/>
        <w:rPr>
          <w:sz w:val="22"/>
          <w:szCs w:val="22"/>
          <w:u w:val="single"/>
        </w:rPr>
      </w:pPr>
      <w:r w:rsidRPr="009C5EFD">
        <w:rPr>
          <w:sz w:val="22"/>
          <w:szCs w:val="22"/>
          <w:u w:val="single"/>
        </w:rPr>
        <w:t xml:space="preserve">Samtidig </w:t>
      </w:r>
      <w:r>
        <w:rPr>
          <w:sz w:val="22"/>
          <w:szCs w:val="22"/>
          <w:u w:val="single"/>
        </w:rPr>
        <w:t>bruk</w:t>
      </w:r>
      <w:r w:rsidRPr="009C5EFD">
        <w:rPr>
          <w:sz w:val="22"/>
          <w:szCs w:val="22"/>
          <w:u w:val="single"/>
        </w:rPr>
        <w:t xml:space="preserve"> av biologisk</w:t>
      </w:r>
      <w:r w:rsidR="00C40CB6">
        <w:rPr>
          <w:sz w:val="22"/>
          <w:szCs w:val="22"/>
          <w:u w:val="single"/>
        </w:rPr>
        <w:t>e</w:t>
      </w:r>
      <w:r w:rsidRPr="009C5EFD">
        <w:rPr>
          <w:sz w:val="22"/>
          <w:szCs w:val="22"/>
          <w:u w:val="single"/>
        </w:rPr>
        <w:t xml:space="preserve"> DMARD</w:t>
      </w:r>
      <w:r w:rsidR="000C7077">
        <w:rPr>
          <w:sz w:val="22"/>
          <w:szCs w:val="22"/>
          <w:u w:val="single"/>
        </w:rPr>
        <w:t>s</w:t>
      </w:r>
      <w:r w:rsidRPr="009C5EFD">
        <w:rPr>
          <w:sz w:val="22"/>
          <w:szCs w:val="22"/>
          <w:u w:val="single"/>
        </w:rPr>
        <w:t xml:space="preserve"> eller TNF-antagonister</w:t>
      </w:r>
    </w:p>
    <w:p w14:paraId="3A82E415" w14:textId="77777777" w:rsidR="0033642C" w:rsidRPr="009C5EFD" w:rsidRDefault="0033642C" w:rsidP="0033642C">
      <w:pPr>
        <w:keepNext/>
        <w:rPr>
          <w:sz w:val="22"/>
          <w:szCs w:val="22"/>
        </w:rPr>
      </w:pPr>
    </w:p>
    <w:p w14:paraId="4A74DE1C" w14:textId="77777777" w:rsidR="0033642C" w:rsidRPr="009C5EFD" w:rsidRDefault="00E453CD" w:rsidP="00776A84">
      <w:pPr>
        <w:rPr>
          <w:sz w:val="22"/>
          <w:szCs w:val="22"/>
        </w:rPr>
      </w:pPr>
      <w:r w:rsidRPr="009C5EFD">
        <w:rPr>
          <w:sz w:val="22"/>
          <w:szCs w:val="22"/>
        </w:rPr>
        <w:t xml:space="preserve">Alvorlige infeksjoner ble observert i kliniske studier med samtidig bruk av anakinra og en annen TNF-antagonist, etanercept, uten å gi </w:t>
      </w:r>
      <w:r w:rsidR="00C40CB6">
        <w:rPr>
          <w:sz w:val="22"/>
          <w:szCs w:val="22"/>
        </w:rPr>
        <w:t>tillegg av klinisk effekt</w:t>
      </w:r>
      <w:r w:rsidRPr="009C5EFD">
        <w:rPr>
          <w:sz w:val="22"/>
          <w:szCs w:val="22"/>
        </w:rPr>
        <w:t xml:space="preserve"> sammenlignet med etanercept alene. På grunn av egenskapene til de bivirkningene som er sett med kombinasjonsbehandling med etanercept og anakinra, kan kombinasjonen med anakinra og andre TNF-antagonister også resultere i </w:t>
      </w:r>
      <w:r w:rsidR="00C40CB6">
        <w:rPr>
          <w:sz w:val="22"/>
          <w:szCs w:val="22"/>
        </w:rPr>
        <w:t>lignende toksisitet</w:t>
      </w:r>
      <w:r w:rsidRPr="009C5EFD">
        <w:rPr>
          <w:sz w:val="22"/>
          <w:szCs w:val="22"/>
        </w:rPr>
        <w:t>. Kombinasjonen av adalimumab og anakinra anbefales derfor ikke (se pkt.</w:t>
      </w:r>
      <w:r w:rsidR="005B586A">
        <w:rPr>
          <w:sz w:val="22"/>
          <w:szCs w:val="22"/>
        </w:rPr>
        <w:t> </w:t>
      </w:r>
      <w:r w:rsidRPr="009C5EFD">
        <w:rPr>
          <w:sz w:val="22"/>
          <w:szCs w:val="22"/>
        </w:rPr>
        <w:t xml:space="preserve">4.5). </w:t>
      </w:r>
    </w:p>
    <w:p w14:paraId="0079A1E8" w14:textId="77777777" w:rsidR="0033642C" w:rsidRPr="009C5EFD" w:rsidRDefault="0033642C" w:rsidP="0033642C">
      <w:pPr>
        <w:pStyle w:val="EMEANormal"/>
        <w:rPr>
          <w:szCs w:val="22"/>
          <w:lang w:val="nb-NO"/>
        </w:rPr>
      </w:pPr>
    </w:p>
    <w:p w14:paraId="5544EA91" w14:textId="77777777" w:rsidR="0033642C" w:rsidRPr="009C5EFD" w:rsidRDefault="00E453CD" w:rsidP="0033642C">
      <w:pPr>
        <w:rPr>
          <w:sz w:val="22"/>
          <w:szCs w:val="22"/>
        </w:rPr>
      </w:pPr>
      <w:r w:rsidRPr="009C5EFD">
        <w:rPr>
          <w:sz w:val="22"/>
          <w:szCs w:val="22"/>
        </w:rPr>
        <w:t xml:space="preserve">Samtidig </w:t>
      </w:r>
      <w:r>
        <w:rPr>
          <w:sz w:val="22"/>
          <w:szCs w:val="22"/>
        </w:rPr>
        <w:t>bruk</w:t>
      </w:r>
      <w:r w:rsidRPr="009C5EFD">
        <w:rPr>
          <w:sz w:val="22"/>
          <w:szCs w:val="22"/>
        </w:rPr>
        <w:t xml:space="preserve"> av adalimumab med andre biologiske DMARD</w:t>
      </w:r>
      <w:r w:rsidR="000C7077">
        <w:rPr>
          <w:sz w:val="22"/>
          <w:szCs w:val="22"/>
        </w:rPr>
        <w:t>s</w:t>
      </w:r>
      <w:r w:rsidRPr="009C5EFD">
        <w:rPr>
          <w:sz w:val="22"/>
          <w:szCs w:val="22"/>
        </w:rPr>
        <w:t xml:space="preserve"> (f.eks. anakinra og abatacept) eller andre TNF-antagonister anbefales ikke basert på mulig økt risiko for infeksjoner, inkludert alvorlige infeksjoner og andre potensielle farmakologiske interaksjoner (se pkt.</w:t>
      </w:r>
      <w:r w:rsidR="005B586A">
        <w:rPr>
          <w:sz w:val="22"/>
          <w:szCs w:val="22"/>
        </w:rPr>
        <w:t> </w:t>
      </w:r>
      <w:r w:rsidRPr="009C5EFD">
        <w:rPr>
          <w:sz w:val="22"/>
          <w:szCs w:val="22"/>
        </w:rPr>
        <w:t>4.5).</w:t>
      </w:r>
    </w:p>
    <w:p w14:paraId="4FE799BD" w14:textId="77777777" w:rsidR="0033642C" w:rsidRPr="009C5EFD" w:rsidRDefault="0033642C" w:rsidP="0033642C">
      <w:pPr>
        <w:rPr>
          <w:sz w:val="22"/>
          <w:szCs w:val="22"/>
          <w:u w:val="single"/>
        </w:rPr>
      </w:pPr>
    </w:p>
    <w:p w14:paraId="0301BD88" w14:textId="77777777" w:rsidR="0033642C" w:rsidRPr="009C5EFD" w:rsidRDefault="00E453CD" w:rsidP="0033642C">
      <w:pPr>
        <w:keepNext/>
        <w:rPr>
          <w:sz w:val="22"/>
          <w:szCs w:val="22"/>
          <w:u w:val="single"/>
        </w:rPr>
      </w:pPr>
      <w:r w:rsidRPr="009C5EFD">
        <w:rPr>
          <w:sz w:val="22"/>
          <w:szCs w:val="22"/>
          <w:u w:val="single"/>
        </w:rPr>
        <w:t>Kirurgi</w:t>
      </w:r>
    </w:p>
    <w:p w14:paraId="74D0C406" w14:textId="77777777" w:rsidR="0033642C" w:rsidRPr="009C5EFD" w:rsidRDefault="0033642C" w:rsidP="0033642C">
      <w:pPr>
        <w:keepNext/>
        <w:rPr>
          <w:sz w:val="22"/>
          <w:szCs w:val="22"/>
        </w:rPr>
      </w:pPr>
    </w:p>
    <w:p w14:paraId="07FD0E2D" w14:textId="77777777" w:rsidR="0033642C" w:rsidRPr="009C5EFD" w:rsidRDefault="00E453CD" w:rsidP="00776A84">
      <w:pPr>
        <w:rPr>
          <w:sz w:val="22"/>
          <w:szCs w:val="22"/>
        </w:rPr>
      </w:pPr>
      <w:r w:rsidRPr="009C5EFD">
        <w:rPr>
          <w:sz w:val="22"/>
          <w:szCs w:val="22"/>
        </w:rPr>
        <w:t xml:space="preserve">Det er begrenset erfaring med hensyn til sikkerhet ved kirurgiske inngrep hos pasienter behandlet med Humira. Den lange halveringstiden for adalimumab bør tas med i vurderingen når det planlegges kirurgiske inngrep. En pasient som må opereres </w:t>
      </w:r>
      <w:r w:rsidRPr="009C5EFD">
        <w:rPr>
          <w:color w:val="000000"/>
          <w:sz w:val="22"/>
          <w:szCs w:val="22"/>
        </w:rPr>
        <w:t xml:space="preserve">under behandling med </w:t>
      </w:r>
      <w:r w:rsidRPr="009C5EFD">
        <w:rPr>
          <w:sz w:val="22"/>
          <w:szCs w:val="22"/>
        </w:rPr>
        <w:t>Humira skal følges nøye opp med tanke på infeksjoner, og nødvendige tiltak må iverksettes. Det er begrenset erfaring med hensyn til sikkerhet hos pasienter som får artroplastikk mens de behandles med Humira.</w:t>
      </w:r>
    </w:p>
    <w:p w14:paraId="12157F6F" w14:textId="77777777" w:rsidR="0033642C" w:rsidRPr="009C5EFD" w:rsidRDefault="0033642C" w:rsidP="0033642C">
      <w:pPr>
        <w:rPr>
          <w:sz w:val="22"/>
          <w:szCs w:val="22"/>
          <w:u w:val="single"/>
        </w:rPr>
      </w:pPr>
    </w:p>
    <w:p w14:paraId="5DC689CF" w14:textId="77777777" w:rsidR="0033642C" w:rsidRPr="009C5EFD" w:rsidRDefault="00E453CD" w:rsidP="0033642C">
      <w:pPr>
        <w:keepNext/>
        <w:rPr>
          <w:sz w:val="22"/>
          <w:szCs w:val="22"/>
        </w:rPr>
      </w:pPr>
      <w:r w:rsidRPr="009C5EFD">
        <w:rPr>
          <w:sz w:val="22"/>
          <w:szCs w:val="22"/>
          <w:u w:val="single"/>
        </w:rPr>
        <w:t>Tynntarmobstruksjon</w:t>
      </w:r>
    </w:p>
    <w:p w14:paraId="24A1A4CA" w14:textId="77777777" w:rsidR="0033642C" w:rsidRPr="009C5EFD" w:rsidRDefault="0033642C" w:rsidP="0033642C">
      <w:pPr>
        <w:keepNext/>
        <w:rPr>
          <w:sz w:val="22"/>
          <w:szCs w:val="22"/>
        </w:rPr>
      </w:pPr>
    </w:p>
    <w:p w14:paraId="683BA402" w14:textId="77777777" w:rsidR="0033642C" w:rsidRPr="009C5EFD" w:rsidRDefault="00E453CD" w:rsidP="00776A84">
      <w:pPr>
        <w:pStyle w:val="BodyText2"/>
        <w:autoSpaceDE/>
        <w:autoSpaceDN/>
        <w:adjustRightInd/>
        <w:rPr>
          <w:color w:val="auto"/>
          <w:szCs w:val="22"/>
        </w:rPr>
      </w:pPr>
      <w:r w:rsidRPr="009C5EFD">
        <w:rPr>
          <w:color w:val="auto"/>
          <w:szCs w:val="22"/>
        </w:rPr>
        <w:t>Manglende respons på behandling av Crohns sykdom kan indikere forekomst av fibrotisk striktur som kan kreve kirurgisk behandling. Tilgjengelig data antyder at Humira ikke forverrer eller forårsaker strikturer.</w:t>
      </w:r>
    </w:p>
    <w:p w14:paraId="530FDDA2" w14:textId="77777777" w:rsidR="0033642C" w:rsidRPr="009C5EFD" w:rsidRDefault="0033642C" w:rsidP="0033642C">
      <w:pPr>
        <w:rPr>
          <w:sz w:val="22"/>
          <w:szCs w:val="22"/>
        </w:rPr>
      </w:pPr>
    </w:p>
    <w:p w14:paraId="22B661D3" w14:textId="77777777" w:rsidR="0033642C" w:rsidRPr="009C5EFD" w:rsidRDefault="00E453CD" w:rsidP="0033642C">
      <w:pPr>
        <w:keepNext/>
        <w:rPr>
          <w:sz w:val="22"/>
          <w:szCs w:val="22"/>
        </w:rPr>
      </w:pPr>
      <w:r w:rsidRPr="009C5EFD">
        <w:rPr>
          <w:sz w:val="22"/>
          <w:szCs w:val="22"/>
          <w:u w:val="single"/>
        </w:rPr>
        <w:t>Eldre</w:t>
      </w:r>
    </w:p>
    <w:p w14:paraId="49D3AA8D" w14:textId="77777777" w:rsidR="0033642C" w:rsidRPr="009C5EFD" w:rsidRDefault="0033642C" w:rsidP="0033642C">
      <w:pPr>
        <w:keepNext/>
        <w:rPr>
          <w:sz w:val="22"/>
          <w:szCs w:val="22"/>
        </w:rPr>
      </w:pPr>
    </w:p>
    <w:p w14:paraId="5842C753" w14:textId="77777777" w:rsidR="0033642C" w:rsidRPr="009C5EFD" w:rsidRDefault="00E453CD" w:rsidP="00776A84">
      <w:pPr>
        <w:rPr>
          <w:sz w:val="22"/>
          <w:szCs w:val="22"/>
        </w:rPr>
      </w:pPr>
      <w:r w:rsidRPr="009C5EFD">
        <w:rPr>
          <w:sz w:val="22"/>
          <w:szCs w:val="22"/>
        </w:rPr>
        <w:t>Forekomsten av alvorlige infeksjoner hos pasienter over 65</w:t>
      </w:r>
      <w:r w:rsidR="005B586A">
        <w:rPr>
          <w:sz w:val="22"/>
          <w:szCs w:val="22"/>
        </w:rPr>
        <w:t> </w:t>
      </w:r>
      <w:r w:rsidRPr="009C5EFD">
        <w:rPr>
          <w:sz w:val="22"/>
          <w:szCs w:val="22"/>
        </w:rPr>
        <w:t>år (3,</w:t>
      </w:r>
      <w:r>
        <w:rPr>
          <w:sz w:val="22"/>
          <w:szCs w:val="22"/>
        </w:rPr>
        <w:t>7</w:t>
      </w:r>
      <w:r w:rsidR="00DB3BD6">
        <w:rPr>
          <w:sz w:val="22"/>
          <w:szCs w:val="22"/>
        </w:rPr>
        <w:t> </w:t>
      </w:r>
      <w:r w:rsidRPr="009C5EFD">
        <w:rPr>
          <w:sz w:val="22"/>
          <w:szCs w:val="22"/>
        </w:rPr>
        <w:t>%) som ble behandlet med Humira var høyere enn hos pasienter under 65</w:t>
      </w:r>
      <w:r w:rsidR="00DB3BD6">
        <w:rPr>
          <w:sz w:val="22"/>
          <w:szCs w:val="22"/>
        </w:rPr>
        <w:t> </w:t>
      </w:r>
      <w:r w:rsidRPr="009C5EFD">
        <w:rPr>
          <w:sz w:val="22"/>
          <w:szCs w:val="22"/>
        </w:rPr>
        <w:t>år (1,</w:t>
      </w:r>
      <w:r>
        <w:rPr>
          <w:sz w:val="22"/>
          <w:szCs w:val="22"/>
        </w:rPr>
        <w:t>5</w:t>
      </w:r>
      <w:r w:rsidR="00DB3BD6">
        <w:rPr>
          <w:sz w:val="22"/>
          <w:szCs w:val="22"/>
        </w:rPr>
        <w:t> </w:t>
      </w:r>
      <w:r w:rsidRPr="009C5EFD">
        <w:rPr>
          <w:sz w:val="22"/>
          <w:szCs w:val="22"/>
        </w:rPr>
        <w:t>%). Noen av disse hadde dødelig utgang. Man skal være særlig oppmerksom på risiko for infeksjoner når eldre pasienter behandles.</w:t>
      </w:r>
    </w:p>
    <w:p w14:paraId="14E5AEC5" w14:textId="77777777" w:rsidR="0033642C" w:rsidRPr="009C5EFD" w:rsidRDefault="0033642C" w:rsidP="0033642C">
      <w:pPr>
        <w:rPr>
          <w:sz w:val="22"/>
          <w:szCs w:val="22"/>
        </w:rPr>
      </w:pPr>
    </w:p>
    <w:p w14:paraId="4A6E7975" w14:textId="77777777" w:rsidR="0033642C" w:rsidRPr="009C5EFD" w:rsidRDefault="00E453CD" w:rsidP="00776A84">
      <w:pPr>
        <w:keepNext/>
        <w:rPr>
          <w:sz w:val="22"/>
          <w:szCs w:val="22"/>
          <w:u w:val="single"/>
        </w:rPr>
      </w:pPr>
      <w:r w:rsidRPr="009C5EFD">
        <w:rPr>
          <w:sz w:val="22"/>
          <w:szCs w:val="22"/>
          <w:u w:val="single"/>
        </w:rPr>
        <w:t>Pediatrisk populasjon</w:t>
      </w:r>
    </w:p>
    <w:p w14:paraId="0B3658B2" w14:textId="77777777" w:rsidR="0033642C" w:rsidRPr="009C5EFD" w:rsidRDefault="0033642C" w:rsidP="00776A84">
      <w:pPr>
        <w:keepNext/>
        <w:rPr>
          <w:sz w:val="22"/>
          <w:szCs w:val="22"/>
          <w:u w:val="single"/>
        </w:rPr>
      </w:pPr>
    </w:p>
    <w:p w14:paraId="3EF55A50" w14:textId="77777777" w:rsidR="0033642C" w:rsidRDefault="00E453CD" w:rsidP="0033642C">
      <w:pPr>
        <w:rPr>
          <w:ins w:id="13" w:author="AbbVie02no" w:date="2025-05-15T12:29:00Z"/>
          <w:sz w:val="22"/>
          <w:szCs w:val="22"/>
        </w:rPr>
      </w:pPr>
      <w:r w:rsidRPr="009C5EFD">
        <w:rPr>
          <w:sz w:val="22"/>
          <w:szCs w:val="22"/>
        </w:rPr>
        <w:t>Se Vaksinasjoner over.</w:t>
      </w:r>
    </w:p>
    <w:p w14:paraId="064CCD9B" w14:textId="77777777" w:rsidR="00AB7A5D" w:rsidRDefault="00AB7A5D" w:rsidP="0033642C">
      <w:pPr>
        <w:rPr>
          <w:ins w:id="14" w:author="AbbVie02no" w:date="2025-05-15T12:29:00Z"/>
          <w:sz w:val="22"/>
          <w:szCs w:val="22"/>
        </w:rPr>
      </w:pPr>
    </w:p>
    <w:p w14:paraId="4C597B2B" w14:textId="4796D3E0" w:rsidR="00AB7A5D" w:rsidRDefault="00E453CD" w:rsidP="0033642C">
      <w:pPr>
        <w:rPr>
          <w:ins w:id="15" w:author="AbbVie02no" w:date="2025-05-15T12:30:00Z"/>
          <w:sz w:val="22"/>
          <w:szCs w:val="22"/>
          <w:u w:val="single"/>
        </w:rPr>
      </w:pPr>
      <w:ins w:id="16" w:author="AbbVie02no" w:date="2025-05-15T12:29:00Z">
        <w:r w:rsidRPr="00AB7A5D">
          <w:rPr>
            <w:sz w:val="22"/>
            <w:szCs w:val="22"/>
            <w:u w:val="single"/>
            <w:rPrChange w:id="17" w:author="AbbVie02no" w:date="2025-05-15T12:29:00Z">
              <w:rPr>
                <w:sz w:val="22"/>
                <w:szCs w:val="22"/>
              </w:rPr>
            </w:rPrChange>
          </w:rPr>
          <w:t>Hjelpestoffer med kjent effekt</w:t>
        </w:r>
      </w:ins>
    </w:p>
    <w:p w14:paraId="1CBE2F52" w14:textId="77777777" w:rsidR="00AB7A5D" w:rsidRDefault="00AB7A5D" w:rsidP="0033642C">
      <w:pPr>
        <w:rPr>
          <w:ins w:id="18" w:author="AbbVie02no" w:date="2025-05-15T12:30:00Z"/>
          <w:sz w:val="22"/>
          <w:szCs w:val="22"/>
          <w:u w:val="single"/>
        </w:rPr>
      </w:pPr>
    </w:p>
    <w:p w14:paraId="695480F6" w14:textId="035C681F" w:rsidR="00AB7A5D" w:rsidRDefault="00E453CD" w:rsidP="0033642C">
      <w:pPr>
        <w:rPr>
          <w:ins w:id="19" w:author="AbbVie02no" w:date="2025-05-15T12:32:00Z"/>
          <w:sz w:val="22"/>
          <w:szCs w:val="22"/>
        </w:rPr>
      </w:pPr>
      <w:ins w:id="20" w:author="AbbVie02no" w:date="2025-05-15T12:30:00Z">
        <w:r>
          <w:rPr>
            <w:sz w:val="22"/>
            <w:szCs w:val="22"/>
          </w:rPr>
          <w:lastRenderedPageBreak/>
          <w:t>Dette legemidlet inneholder 0,2 mg polysorbat 80 i hver 20 mg dose.</w:t>
        </w:r>
      </w:ins>
      <w:ins w:id="21" w:author="AbbVie02no" w:date="2025-09-08T10:00:00Z">
        <w:r w:rsidR="00D575A6">
          <w:rPr>
            <w:sz w:val="22"/>
            <w:szCs w:val="22"/>
          </w:rPr>
          <w:t xml:space="preserve"> P</w:t>
        </w:r>
      </w:ins>
      <w:ins w:id="22" w:author="AbbVie02no" w:date="2025-09-08T10:01:00Z">
        <w:r w:rsidR="00D575A6">
          <w:rPr>
            <w:sz w:val="22"/>
            <w:szCs w:val="22"/>
          </w:rPr>
          <w:t>o</w:t>
        </w:r>
      </w:ins>
      <w:ins w:id="23" w:author="AbbVie02no" w:date="2025-09-08T10:00:00Z">
        <w:r w:rsidR="00D575A6">
          <w:rPr>
            <w:sz w:val="22"/>
            <w:szCs w:val="22"/>
          </w:rPr>
          <w:t xml:space="preserve">lysorbater kan </w:t>
        </w:r>
      </w:ins>
      <w:ins w:id="24" w:author="AbbVie02no" w:date="2025-09-08T10:01:00Z">
        <w:r w:rsidR="00D575A6">
          <w:rPr>
            <w:sz w:val="22"/>
            <w:szCs w:val="22"/>
          </w:rPr>
          <w:t>forårsake allergiske reaksjoner.</w:t>
        </w:r>
      </w:ins>
    </w:p>
    <w:p w14:paraId="5F7BD94F" w14:textId="77777777" w:rsidR="00AB7A5D" w:rsidRPr="00AB7A5D" w:rsidRDefault="00AB7A5D" w:rsidP="0033642C">
      <w:pPr>
        <w:rPr>
          <w:sz w:val="22"/>
          <w:szCs w:val="22"/>
        </w:rPr>
      </w:pPr>
    </w:p>
    <w:p w14:paraId="65968AFF" w14:textId="77777777" w:rsidR="0033642C" w:rsidRPr="009C5EFD" w:rsidRDefault="0033642C" w:rsidP="0033642C">
      <w:pPr>
        <w:rPr>
          <w:sz w:val="22"/>
          <w:szCs w:val="22"/>
        </w:rPr>
      </w:pPr>
    </w:p>
    <w:p w14:paraId="5B5F53F8" w14:textId="77777777" w:rsidR="0033642C" w:rsidRPr="009C5EFD" w:rsidRDefault="00E453CD" w:rsidP="00B07EA9">
      <w:pPr>
        <w:keepNext/>
        <w:suppressAutoHyphens/>
        <w:ind w:left="576" w:hanging="576"/>
        <w:rPr>
          <w:sz w:val="22"/>
          <w:szCs w:val="22"/>
        </w:rPr>
      </w:pPr>
      <w:r w:rsidRPr="009C5EFD">
        <w:rPr>
          <w:b/>
          <w:sz w:val="22"/>
          <w:szCs w:val="22"/>
        </w:rPr>
        <w:t>4.5</w:t>
      </w:r>
      <w:r w:rsidRPr="009C5EFD">
        <w:rPr>
          <w:b/>
          <w:sz w:val="22"/>
          <w:szCs w:val="22"/>
        </w:rPr>
        <w:tab/>
        <w:t>Interaksjon med andre legemidler og andre former for interaksjon</w:t>
      </w:r>
    </w:p>
    <w:p w14:paraId="73252A2E" w14:textId="77777777" w:rsidR="0033642C" w:rsidRPr="009C5EFD" w:rsidRDefault="0033642C" w:rsidP="00B07EA9">
      <w:pPr>
        <w:keepNext/>
        <w:rPr>
          <w:sz w:val="22"/>
          <w:szCs w:val="22"/>
        </w:rPr>
      </w:pPr>
    </w:p>
    <w:p w14:paraId="73D025C9" w14:textId="77777777" w:rsidR="0033642C" w:rsidRPr="009C5EFD" w:rsidRDefault="00E453CD" w:rsidP="0033642C">
      <w:pPr>
        <w:rPr>
          <w:sz w:val="22"/>
          <w:szCs w:val="22"/>
        </w:rPr>
      </w:pPr>
      <w:r w:rsidRPr="009C5EFD">
        <w:rPr>
          <w:sz w:val="22"/>
          <w:szCs w:val="22"/>
        </w:rPr>
        <w:t>Humira har vært undersøkt hos pasienter med revmatoid artritt, polyartikulær juvenil idiopatisk artritt og psoriasisartritt som får Humira som monoterapi og hos de som samtidig får metotreksat. Antistoffdannelsen var lavere når Humira ble gitt sammen med metotreksat sammenlignet med bruk som monoterapi. Administrasjon av Humira uten metotreksat ga økt dannelse av antistoffer, økt clearance og redusert effekt av adalimumab (se pkt.</w:t>
      </w:r>
      <w:r w:rsidR="00DB3BD6">
        <w:rPr>
          <w:sz w:val="22"/>
          <w:szCs w:val="22"/>
        </w:rPr>
        <w:t> </w:t>
      </w:r>
      <w:r w:rsidRPr="009C5EFD">
        <w:rPr>
          <w:sz w:val="22"/>
          <w:szCs w:val="22"/>
        </w:rPr>
        <w:t>5.1).</w:t>
      </w:r>
    </w:p>
    <w:p w14:paraId="1346929F" w14:textId="77777777" w:rsidR="0033642C" w:rsidRPr="009C5EFD" w:rsidRDefault="0033642C" w:rsidP="0033642C">
      <w:pPr>
        <w:pStyle w:val="EndnoteText"/>
        <w:widowControl/>
        <w:tabs>
          <w:tab w:val="clear" w:pos="567"/>
        </w:tabs>
        <w:autoSpaceDE w:val="0"/>
        <w:autoSpaceDN w:val="0"/>
        <w:adjustRightInd w:val="0"/>
        <w:rPr>
          <w:szCs w:val="22"/>
          <w:lang w:val="nb-NO"/>
        </w:rPr>
      </w:pPr>
    </w:p>
    <w:p w14:paraId="1573A851" w14:textId="77777777" w:rsidR="0033642C" w:rsidRPr="009C5EFD" w:rsidRDefault="00E453CD" w:rsidP="0033642C">
      <w:pPr>
        <w:autoSpaceDE w:val="0"/>
        <w:autoSpaceDN w:val="0"/>
        <w:adjustRightInd w:val="0"/>
        <w:rPr>
          <w:sz w:val="22"/>
          <w:szCs w:val="22"/>
        </w:rPr>
      </w:pPr>
      <w:r w:rsidRPr="009C5EFD">
        <w:rPr>
          <w:sz w:val="22"/>
          <w:szCs w:val="22"/>
        </w:rPr>
        <w:t>Kombinasjonen av Humira og anakinra er ikke anbefalt (se pkt.</w:t>
      </w:r>
      <w:r w:rsidR="00DB3BD6">
        <w:rPr>
          <w:sz w:val="22"/>
          <w:szCs w:val="22"/>
        </w:rPr>
        <w:t> </w:t>
      </w:r>
      <w:r w:rsidRPr="009C5EFD">
        <w:rPr>
          <w:sz w:val="22"/>
          <w:szCs w:val="22"/>
        </w:rPr>
        <w:t xml:space="preserve">4.4 </w:t>
      </w:r>
      <w:r w:rsidR="00837298">
        <w:rPr>
          <w:rFonts w:ascii="Calibri" w:hAnsi="Calibri" w:cs="Calibri"/>
          <w:sz w:val="22"/>
          <w:szCs w:val="22"/>
        </w:rPr>
        <w:t>«</w:t>
      </w:r>
      <w:r w:rsidRPr="009C5EFD">
        <w:rPr>
          <w:sz w:val="22"/>
          <w:szCs w:val="22"/>
        </w:rPr>
        <w:t xml:space="preserve">Samtidig </w:t>
      </w:r>
      <w:r>
        <w:rPr>
          <w:sz w:val="22"/>
          <w:szCs w:val="22"/>
        </w:rPr>
        <w:t>bruk</w:t>
      </w:r>
      <w:r w:rsidRPr="009C5EFD">
        <w:rPr>
          <w:sz w:val="22"/>
          <w:szCs w:val="22"/>
        </w:rPr>
        <w:t xml:space="preserve"> av biologisk</w:t>
      </w:r>
      <w:r w:rsidR="00C40CB6">
        <w:rPr>
          <w:sz w:val="22"/>
          <w:szCs w:val="22"/>
        </w:rPr>
        <w:t>e</w:t>
      </w:r>
      <w:r w:rsidRPr="009C5EFD">
        <w:rPr>
          <w:sz w:val="22"/>
          <w:szCs w:val="22"/>
        </w:rPr>
        <w:t xml:space="preserve"> DMARD</w:t>
      </w:r>
      <w:r w:rsidR="000C7077">
        <w:rPr>
          <w:sz w:val="22"/>
          <w:szCs w:val="22"/>
        </w:rPr>
        <w:t>s</w:t>
      </w:r>
      <w:r w:rsidRPr="009C5EFD">
        <w:rPr>
          <w:sz w:val="22"/>
          <w:szCs w:val="22"/>
        </w:rPr>
        <w:t xml:space="preserve"> eller TNF-antagonister</w:t>
      </w:r>
      <w:r w:rsidR="00837298">
        <w:rPr>
          <w:sz w:val="22"/>
          <w:szCs w:val="22"/>
        </w:rPr>
        <w:t>»</w:t>
      </w:r>
      <w:r w:rsidRPr="009C5EFD">
        <w:rPr>
          <w:sz w:val="22"/>
          <w:szCs w:val="22"/>
        </w:rPr>
        <w:t>).</w:t>
      </w:r>
    </w:p>
    <w:p w14:paraId="110CFB01" w14:textId="77777777" w:rsidR="0033642C" w:rsidRPr="009C5EFD" w:rsidRDefault="0033642C" w:rsidP="0033642C">
      <w:pPr>
        <w:autoSpaceDE w:val="0"/>
        <w:autoSpaceDN w:val="0"/>
        <w:adjustRightInd w:val="0"/>
        <w:rPr>
          <w:sz w:val="22"/>
          <w:szCs w:val="22"/>
        </w:rPr>
      </w:pPr>
    </w:p>
    <w:p w14:paraId="3A060518" w14:textId="77777777" w:rsidR="0033642C" w:rsidRPr="009C5EFD" w:rsidRDefault="00E453CD" w:rsidP="0033642C">
      <w:pPr>
        <w:autoSpaceDE w:val="0"/>
        <w:autoSpaceDN w:val="0"/>
        <w:adjustRightInd w:val="0"/>
        <w:rPr>
          <w:sz w:val="22"/>
          <w:szCs w:val="22"/>
        </w:rPr>
      </w:pPr>
      <w:r w:rsidRPr="009C5EFD">
        <w:rPr>
          <w:sz w:val="22"/>
          <w:szCs w:val="22"/>
        </w:rPr>
        <w:t>Kombinasjonen av Humira og abatacept er ikke anbefalt (se pkt.</w:t>
      </w:r>
      <w:r w:rsidR="00DB3BD6">
        <w:rPr>
          <w:sz w:val="22"/>
          <w:szCs w:val="22"/>
        </w:rPr>
        <w:t> </w:t>
      </w:r>
      <w:r w:rsidRPr="009C5EFD">
        <w:rPr>
          <w:sz w:val="22"/>
          <w:szCs w:val="22"/>
        </w:rPr>
        <w:t xml:space="preserve">4.4 </w:t>
      </w:r>
      <w:r w:rsidR="00837298">
        <w:rPr>
          <w:rFonts w:ascii="Calibri" w:hAnsi="Calibri" w:cs="Calibri"/>
          <w:sz w:val="22"/>
          <w:szCs w:val="22"/>
        </w:rPr>
        <w:t>«</w:t>
      </w:r>
      <w:r w:rsidRPr="009C5EFD">
        <w:rPr>
          <w:sz w:val="22"/>
          <w:szCs w:val="22"/>
        </w:rPr>
        <w:t xml:space="preserve">Samtidig </w:t>
      </w:r>
      <w:r>
        <w:rPr>
          <w:sz w:val="22"/>
          <w:szCs w:val="22"/>
        </w:rPr>
        <w:t>bruk</w:t>
      </w:r>
      <w:r w:rsidRPr="009C5EFD">
        <w:rPr>
          <w:sz w:val="22"/>
          <w:szCs w:val="22"/>
        </w:rPr>
        <w:t xml:space="preserve"> av biologisk</w:t>
      </w:r>
      <w:r w:rsidR="00C40CB6">
        <w:rPr>
          <w:sz w:val="22"/>
          <w:szCs w:val="22"/>
        </w:rPr>
        <w:t>e</w:t>
      </w:r>
      <w:r w:rsidRPr="009C5EFD">
        <w:rPr>
          <w:sz w:val="22"/>
          <w:szCs w:val="22"/>
        </w:rPr>
        <w:t xml:space="preserve"> DMARD</w:t>
      </w:r>
      <w:r w:rsidR="000C7077">
        <w:rPr>
          <w:sz w:val="22"/>
          <w:szCs w:val="22"/>
        </w:rPr>
        <w:t>s</w:t>
      </w:r>
      <w:r w:rsidRPr="009C5EFD">
        <w:rPr>
          <w:sz w:val="22"/>
          <w:szCs w:val="22"/>
        </w:rPr>
        <w:t xml:space="preserve"> eller TNF-antagonister</w:t>
      </w:r>
      <w:r w:rsidR="00837298">
        <w:rPr>
          <w:sz w:val="22"/>
          <w:szCs w:val="22"/>
        </w:rPr>
        <w:t>»</w:t>
      </w:r>
      <w:r w:rsidRPr="009C5EFD">
        <w:rPr>
          <w:sz w:val="22"/>
          <w:szCs w:val="22"/>
        </w:rPr>
        <w:t>).</w:t>
      </w:r>
    </w:p>
    <w:p w14:paraId="13FE383F" w14:textId="77777777" w:rsidR="0033642C" w:rsidRPr="009C5EFD" w:rsidRDefault="0033642C" w:rsidP="0033642C">
      <w:pPr>
        <w:rPr>
          <w:sz w:val="22"/>
          <w:szCs w:val="22"/>
        </w:rPr>
      </w:pPr>
    </w:p>
    <w:p w14:paraId="1AC08A27" w14:textId="77777777" w:rsidR="0033642C" w:rsidRPr="009C5EFD" w:rsidRDefault="00E453CD" w:rsidP="00776A84">
      <w:pPr>
        <w:keepNext/>
        <w:suppressAutoHyphens/>
        <w:ind w:left="576" w:hanging="576"/>
        <w:rPr>
          <w:sz w:val="22"/>
          <w:szCs w:val="22"/>
        </w:rPr>
      </w:pPr>
      <w:r w:rsidRPr="009C5EFD">
        <w:rPr>
          <w:b/>
          <w:sz w:val="22"/>
          <w:szCs w:val="22"/>
        </w:rPr>
        <w:t>4.6</w:t>
      </w:r>
      <w:r w:rsidRPr="009C5EFD">
        <w:rPr>
          <w:b/>
          <w:sz w:val="22"/>
          <w:szCs w:val="22"/>
        </w:rPr>
        <w:tab/>
        <w:t>Fertilitet, graviditet og amming</w:t>
      </w:r>
    </w:p>
    <w:p w14:paraId="6780B5A9" w14:textId="77777777" w:rsidR="0033642C" w:rsidRPr="009C5EFD" w:rsidRDefault="0033642C" w:rsidP="00776A84">
      <w:pPr>
        <w:keepNext/>
        <w:rPr>
          <w:sz w:val="22"/>
          <w:szCs w:val="22"/>
        </w:rPr>
      </w:pPr>
    </w:p>
    <w:p w14:paraId="4FC5F6C6" w14:textId="77777777" w:rsidR="0033642C" w:rsidRPr="009C5EFD" w:rsidRDefault="00E453CD" w:rsidP="00776A84">
      <w:pPr>
        <w:keepNext/>
        <w:rPr>
          <w:sz w:val="22"/>
          <w:szCs w:val="22"/>
          <w:u w:val="single"/>
        </w:rPr>
      </w:pPr>
      <w:r w:rsidRPr="009C5EFD">
        <w:rPr>
          <w:sz w:val="22"/>
          <w:szCs w:val="22"/>
          <w:u w:val="single"/>
        </w:rPr>
        <w:t>Kvinner i fertil alder</w:t>
      </w:r>
    </w:p>
    <w:p w14:paraId="7898F6B9" w14:textId="77777777" w:rsidR="0033642C" w:rsidRPr="009C5EFD" w:rsidRDefault="0033642C" w:rsidP="00776A84">
      <w:pPr>
        <w:keepNext/>
        <w:rPr>
          <w:sz w:val="22"/>
          <w:szCs w:val="22"/>
        </w:rPr>
      </w:pPr>
    </w:p>
    <w:p w14:paraId="1F3E0D85" w14:textId="77777777" w:rsidR="0033642C" w:rsidRPr="001F5D4B" w:rsidRDefault="00E453CD" w:rsidP="0033642C">
      <w:pPr>
        <w:rPr>
          <w:sz w:val="22"/>
          <w:szCs w:val="22"/>
          <w:u w:val="single"/>
        </w:rPr>
      </w:pPr>
      <w:r w:rsidRPr="009C5EFD">
        <w:rPr>
          <w:sz w:val="22"/>
          <w:szCs w:val="22"/>
        </w:rPr>
        <w:t xml:space="preserve">Kvinner i fertil alder </w:t>
      </w:r>
      <w:r w:rsidR="00066134">
        <w:rPr>
          <w:sz w:val="22"/>
          <w:szCs w:val="22"/>
        </w:rPr>
        <w:t>bør vurdere</w:t>
      </w:r>
      <w:r w:rsidRPr="009C5EFD">
        <w:rPr>
          <w:sz w:val="22"/>
          <w:szCs w:val="22"/>
        </w:rPr>
        <w:t xml:space="preserve"> å benytte sikker prevensjon for å forhindre graviditet og fortsette å bruke det i minst fem måneder etter siste Humira-behandling.</w:t>
      </w:r>
    </w:p>
    <w:p w14:paraId="2A9979F7" w14:textId="77777777" w:rsidR="0033642C" w:rsidRPr="007F67EE" w:rsidRDefault="0033642C" w:rsidP="0033642C">
      <w:pPr>
        <w:rPr>
          <w:sz w:val="22"/>
          <w:szCs w:val="22"/>
        </w:rPr>
      </w:pPr>
    </w:p>
    <w:p w14:paraId="5CE8B99E" w14:textId="77777777" w:rsidR="0033642C" w:rsidRDefault="00E453CD" w:rsidP="00776A84">
      <w:pPr>
        <w:keepNext/>
        <w:rPr>
          <w:sz w:val="22"/>
          <w:u w:val="single"/>
        </w:rPr>
      </w:pPr>
      <w:r w:rsidRPr="00193D76">
        <w:rPr>
          <w:sz w:val="22"/>
          <w:u w:val="single"/>
        </w:rPr>
        <w:t>Graviditet</w:t>
      </w:r>
    </w:p>
    <w:p w14:paraId="6725C7C6" w14:textId="77777777" w:rsidR="00D70AAD" w:rsidRPr="00193D76" w:rsidRDefault="00D70AAD" w:rsidP="00776A84">
      <w:pPr>
        <w:keepNext/>
        <w:rPr>
          <w:sz w:val="22"/>
          <w:u w:val="single"/>
        </w:rPr>
      </w:pPr>
    </w:p>
    <w:p w14:paraId="2F6DEDEB" w14:textId="77777777" w:rsidR="0033642C" w:rsidRPr="009C5EFD" w:rsidRDefault="00E453CD" w:rsidP="0033642C">
      <w:pPr>
        <w:rPr>
          <w:sz w:val="22"/>
          <w:szCs w:val="22"/>
        </w:rPr>
      </w:pPr>
      <w:r>
        <w:rPr>
          <w:sz w:val="22"/>
          <w:szCs w:val="22"/>
        </w:rPr>
        <w:t>Et stort antall</w:t>
      </w:r>
      <w:r w:rsidR="002A6F8E">
        <w:rPr>
          <w:sz w:val="22"/>
          <w:szCs w:val="22"/>
        </w:rPr>
        <w:t xml:space="preserve"> (omtrent 2100)</w:t>
      </w:r>
      <w:r>
        <w:rPr>
          <w:sz w:val="22"/>
          <w:szCs w:val="22"/>
        </w:rPr>
        <w:t xml:space="preserve"> </w:t>
      </w:r>
      <w:r w:rsidR="00EF5695">
        <w:rPr>
          <w:sz w:val="22"/>
          <w:szCs w:val="22"/>
        </w:rPr>
        <w:t xml:space="preserve">av </w:t>
      </w:r>
      <w:r w:rsidR="002A6F8E">
        <w:rPr>
          <w:sz w:val="22"/>
          <w:szCs w:val="22"/>
        </w:rPr>
        <w:t xml:space="preserve">prospektivt innsamlede </w:t>
      </w:r>
      <w:r>
        <w:rPr>
          <w:sz w:val="22"/>
          <w:szCs w:val="22"/>
        </w:rPr>
        <w:t xml:space="preserve">graviditeter eksponert for adalimumab </w:t>
      </w:r>
      <w:r w:rsidR="008371BD">
        <w:rPr>
          <w:sz w:val="22"/>
          <w:szCs w:val="22"/>
        </w:rPr>
        <w:t xml:space="preserve">som </w:t>
      </w:r>
      <w:r w:rsidR="002A6F8E">
        <w:rPr>
          <w:sz w:val="22"/>
          <w:szCs w:val="22"/>
        </w:rPr>
        <w:t>r</w:t>
      </w:r>
      <w:r>
        <w:rPr>
          <w:sz w:val="22"/>
          <w:szCs w:val="22"/>
        </w:rPr>
        <w:t>esulterte i levende fødsel med kjent utfall, inkludert mer enn 1500 e</w:t>
      </w:r>
      <w:r w:rsidR="00D64D06">
        <w:rPr>
          <w:sz w:val="22"/>
          <w:szCs w:val="22"/>
        </w:rPr>
        <w:t xml:space="preserve">ksponert i </w:t>
      </w:r>
      <w:r w:rsidR="002A6F8E">
        <w:rPr>
          <w:sz w:val="22"/>
          <w:szCs w:val="22"/>
        </w:rPr>
        <w:t xml:space="preserve">første trimester, indikerer ikke en økning i forekomsten av </w:t>
      </w:r>
      <w:r w:rsidR="00EF5695">
        <w:rPr>
          <w:sz w:val="22"/>
          <w:szCs w:val="22"/>
        </w:rPr>
        <w:t>misdannelser</w:t>
      </w:r>
      <w:r w:rsidR="002A6F8E">
        <w:rPr>
          <w:sz w:val="22"/>
          <w:szCs w:val="22"/>
        </w:rPr>
        <w:t xml:space="preserve"> hos nyfødte.</w:t>
      </w:r>
    </w:p>
    <w:p w14:paraId="274D14EF" w14:textId="77777777" w:rsidR="0033642C" w:rsidRDefault="0033642C" w:rsidP="0033642C">
      <w:pPr>
        <w:rPr>
          <w:sz w:val="22"/>
          <w:szCs w:val="22"/>
        </w:rPr>
      </w:pPr>
    </w:p>
    <w:p w14:paraId="5328D004" w14:textId="77777777" w:rsidR="002A6F8E" w:rsidRDefault="00E453CD" w:rsidP="0033642C">
      <w:pPr>
        <w:rPr>
          <w:sz w:val="22"/>
          <w:szCs w:val="22"/>
        </w:rPr>
      </w:pPr>
      <w:r>
        <w:rPr>
          <w:sz w:val="22"/>
          <w:szCs w:val="22"/>
        </w:rPr>
        <w:t xml:space="preserve">I en prospektiv </w:t>
      </w:r>
      <w:r w:rsidR="001644FD">
        <w:rPr>
          <w:sz w:val="22"/>
          <w:szCs w:val="22"/>
        </w:rPr>
        <w:t>kohort</w:t>
      </w:r>
      <w:r w:rsidR="00AC2681">
        <w:rPr>
          <w:sz w:val="22"/>
          <w:szCs w:val="22"/>
        </w:rPr>
        <w:t xml:space="preserve"> registerstudie</w:t>
      </w:r>
      <w:r>
        <w:rPr>
          <w:sz w:val="22"/>
          <w:szCs w:val="22"/>
        </w:rPr>
        <w:t xml:space="preserve">, ble </w:t>
      </w:r>
      <w:r w:rsidR="00D64D06">
        <w:rPr>
          <w:sz w:val="22"/>
          <w:szCs w:val="22"/>
        </w:rPr>
        <w:t xml:space="preserve">det inkludert </w:t>
      </w:r>
      <w:r>
        <w:rPr>
          <w:sz w:val="22"/>
          <w:szCs w:val="22"/>
        </w:rPr>
        <w:t>257 kvinner med re</w:t>
      </w:r>
      <w:r w:rsidR="007F64D5">
        <w:rPr>
          <w:sz w:val="22"/>
          <w:szCs w:val="22"/>
        </w:rPr>
        <w:t>v</w:t>
      </w:r>
      <w:r>
        <w:rPr>
          <w:sz w:val="22"/>
          <w:szCs w:val="22"/>
        </w:rPr>
        <w:t xml:space="preserve">matoid artritt (RA) eller </w:t>
      </w:r>
      <w:r w:rsidR="008371BD">
        <w:rPr>
          <w:sz w:val="22"/>
          <w:szCs w:val="22"/>
        </w:rPr>
        <w:t>Crohns</w:t>
      </w:r>
      <w:r>
        <w:rPr>
          <w:sz w:val="22"/>
          <w:szCs w:val="22"/>
        </w:rPr>
        <w:t xml:space="preserve"> sykdom (CD) beh</w:t>
      </w:r>
      <w:r w:rsidR="001644FD">
        <w:rPr>
          <w:sz w:val="22"/>
          <w:szCs w:val="22"/>
        </w:rPr>
        <w:t>andlet med adalimumab</w:t>
      </w:r>
      <w:r>
        <w:rPr>
          <w:sz w:val="22"/>
          <w:szCs w:val="22"/>
        </w:rPr>
        <w:t xml:space="preserve"> </w:t>
      </w:r>
      <w:r w:rsidR="00FD164B">
        <w:rPr>
          <w:sz w:val="22"/>
          <w:szCs w:val="22"/>
        </w:rPr>
        <w:t>i minimum</w:t>
      </w:r>
      <w:r>
        <w:rPr>
          <w:sz w:val="22"/>
          <w:szCs w:val="22"/>
        </w:rPr>
        <w:t xml:space="preserve"> første trimester</w:t>
      </w:r>
      <w:r w:rsidR="007F64D5">
        <w:rPr>
          <w:sz w:val="22"/>
          <w:szCs w:val="22"/>
        </w:rPr>
        <w:t xml:space="preserve"> </w:t>
      </w:r>
      <w:r>
        <w:rPr>
          <w:sz w:val="22"/>
          <w:szCs w:val="22"/>
        </w:rPr>
        <w:t>og 120 kvinner med RA eller CD som ikke var behandle</w:t>
      </w:r>
      <w:r w:rsidR="00D64D06">
        <w:rPr>
          <w:sz w:val="22"/>
          <w:szCs w:val="22"/>
        </w:rPr>
        <w:t>t med adalimumab</w:t>
      </w:r>
      <w:r>
        <w:rPr>
          <w:sz w:val="22"/>
          <w:szCs w:val="22"/>
        </w:rPr>
        <w:t xml:space="preserve">. Det primære endepunktet var prevalensen av </w:t>
      </w:r>
      <w:r w:rsidR="00AA01C5">
        <w:rPr>
          <w:sz w:val="22"/>
          <w:szCs w:val="22"/>
        </w:rPr>
        <w:t>alvorlig</w:t>
      </w:r>
      <w:r>
        <w:rPr>
          <w:sz w:val="22"/>
          <w:szCs w:val="22"/>
        </w:rPr>
        <w:t xml:space="preserve"> fø</w:t>
      </w:r>
      <w:r w:rsidR="00AA01C5">
        <w:rPr>
          <w:sz w:val="22"/>
          <w:szCs w:val="22"/>
        </w:rPr>
        <w:t>dselsdefekt</w:t>
      </w:r>
      <w:r>
        <w:rPr>
          <w:sz w:val="22"/>
          <w:szCs w:val="22"/>
        </w:rPr>
        <w:t>. For</w:t>
      </w:r>
      <w:r w:rsidR="00D64D06">
        <w:rPr>
          <w:sz w:val="22"/>
          <w:szCs w:val="22"/>
        </w:rPr>
        <w:t xml:space="preserve">ekomsten av graviditeter med minst en levende nyfødt med alvorlig fødselsdefekt var 6/69 (8,7 %) hos kvinner </w:t>
      </w:r>
      <w:r w:rsidR="00130D4F">
        <w:rPr>
          <w:sz w:val="22"/>
          <w:szCs w:val="22"/>
        </w:rPr>
        <w:t xml:space="preserve">med RA </w:t>
      </w:r>
      <w:r w:rsidR="00D64D06">
        <w:rPr>
          <w:sz w:val="22"/>
          <w:szCs w:val="22"/>
        </w:rPr>
        <w:t>behandlet med adalimumab</w:t>
      </w:r>
      <w:r w:rsidR="001644FD">
        <w:rPr>
          <w:sz w:val="22"/>
          <w:szCs w:val="22"/>
        </w:rPr>
        <w:t xml:space="preserve"> og 5/74 (6,8 %) hos ubehandlede kvinner</w:t>
      </w:r>
      <w:r w:rsidR="00D64D06">
        <w:rPr>
          <w:sz w:val="22"/>
          <w:szCs w:val="22"/>
        </w:rPr>
        <w:t xml:space="preserve"> med RA (ikke</w:t>
      </w:r>
      <w:r w:rsidR="00D64D06">
        <w:rPr>
          <w:sz w:val="22"/>
          <w:szCs w:val="22"/>
        </w:rPr>
        <w:noBreakHyphen/>
        <w:t>justert OR 1,</w:t>
      </w:r>
      <w:r w:rsidR="00D64D06" w:rsidRPr="00B2265A">
        <w:rPr>
          <w:sz w:val="22"/>
          <w:szCs w:val="22"/>
        </w:rPr>
        <w:t>31, 95</w:t>
      </w:r>
      <w:r w:rsidR="00D64D06">
        <w:rPr>
          <w:sz w:val="22"/>
          <w:szCs w:val="22"/>
        </w:rPr>
        <w:t> % KI 0,38</w:t>
      </w:r>
      <w:r w:rsidR="00D64D06">
        <w:rPr>
          <w:sz w:val="22"/>
          <w:szCs w:val="22"/>
        </w:rPr>
        <w:noBreakHyphen/>
        <w:t>4,</w:t>
      </w:r>
      <w:r w:rsidR="00D64D06" w:rsidRPr="00B2265A">
        <w:rPr>
          <w:sz w:val="22"/>
          <w:szCs w:val="22"/>
        </w:rPr>
        <w:t>52)</w:t>
      </w:r>
      <w:r w:rsidR="00D64D06">
        <w:rPr>
          <w:sz w:val="22"/>
          <w:szCs w:val="22"/>
        </w:rPr>
        <w:t xml:space="preserve"> og</w:t>
      </w:r>
      <w:r w:rsidR="00D64D06" w:rsidRPr="00B2265A">
        <w:rPr>
          <w:sz w:val="22"/>
          <w:szCs w:val="22"/>
        </w:rPr>
        <w:t xml:space="preserve"> </w:t>
      </w:r>
      <w:r w:rsidR="00D64D06">
        <w:rPr>
          <w:sz w:val="22"/>
          <w:szCs w:val="22"/>
        </w:rPr>
        <w:t xml:space="preserve">16/152 (10,5 %) hos kvinner </w:t>
      </w:r>
      <w:r w:rsidR="00130D4F">
        <w:rPr>
          <w:sz w:val="22"/>
          <w:szCs w:val="22"/>
        </w:rPr>
        <w:t xml:space="preserve">med CD </w:t>
      </w:r>
      <w:r w:rsidR="00D64D06">
        <w:rPr>
          <w:sz w:val="22"/>
          <w:szCs w:val="22"/>
        </w:rPr>
        <w:t xml:space="preserve">behandlet med adalimumab og 3/32 (9,4 %) hos </w:t>
      </w:r>
      <w:r w:rsidR="00AA01C5">
        <w:rPr>
          <w:sz w:val="22"/>
          <w:szCs w:val="22"/>
        </w:rPr>
        <w:t xml:space="preserve">ubehandlede </w:t>
      </w:r>
      <w:r w:rsidR="00D64D06">
        <w:rPr>
          <w:sz w:val="22"/>
          <w:szCs w:val="22"/>
        </w:rPr>
        <w:t>kvinner med CD (ikke</w:t>
      </w:r>
      <w:r w:rsidR="00D64D06">
        <w:rPr>
          <w:sz w:val="22"/>
          <w:szCs w:val="22"/>
        </w:rPr>
        <w:noBreakHyphen/>
        <w:t>justert OR</w:t>
      </w:r>
      <w:r w:rsidR="00D64D06" w:rsidRPr="00B2265A">
        <w:rPr>
          <w:sz w:val="22"/>
          <w:szCs w:val="22"/>
        </w:rPr>
        <w:t xml:space="preserve"> 1</w:t>
      </w:r>
      <w:r w:rsidR="00A63CE3">
        <w:rPr>
          <w:sz w:val="22"/>
          <w:szCs w:val="22"/>
        </w:rPr>
        <w:t>,</w:t>
      </w:r>
      <w:r w:rsidR="00D64D06" w:rsidRPr="00B2265A">
        <w:rPr>
          <w:sz w:val="22"/>
          <w:szCs w:val="22"/>
        </w:rPr>
        <w:t>14, 95</w:t>
      </w:r>
      <w:r w:rsidR="00A63CE3">
        <w:rPr>
          <w:sz w:val="22"/>
          <w:szCs w:val="22"/>
        </w:rPr>
        <w:t> </w:t>
      </w:r>
      <w:r w:rsidR="00D64D06" w:rsidRPr="00B2265A">
        <w:rPr>
          <w:sz w:val="22"/>
          <w:szCs w:val="22"/>
        </w:rPr>
        <w:t xml:space="preserve">% </w:t>
      </w:r>
      <w:r w:rsidR="00A63CE3">
        <w:rPr>
          <w:sz w:val="22"/>
          <w:szCs w:val="22"/>
        </w:rPr>
        <w:t>K</w:t>
      </w:r>
      <w:r w:rsidR="00D64D06" w:rsidRPr="00B2265A">
        <w:rPr>
          <w:sz w:val="22"/>
          <w:szCs w:val="22"/>
        </w:rPr>
        <w:t>I 0</w:t>
      </w:r>
      <w:r w:rsidR="00A63CE3">
        <w:rPr>
          <w:sz w:val="22"/>
          <w:szCs w:val="22"/>
        </w:rPr>
        <w:t>,</w:t>
      </w:r>
      <w:r w:rsidR="00D64D06" w:rsidRPr="00B2265A">
        <w:rPr>
          <w:sz w:val="22"/>
          <w:szCs w:val="22"/>
        </w:rPr>
        <w:t>31</w:t>
      </w:r>
      <w:r w:rsidR="00A63CE3">
        <w:rPr>
          <w:sz w:val="22"/>
          <w:szCs w:val="22"/>
        </w:rPr>
        <w:noBreakHyphen/>
      </w:r>
      <w:r w:rsidR="00D64D06" w:rsidRPr="00B2265A">
        <w:rPr>
          <w:sz w:val="22"/>
          <w:szCs w:val="22"/>
        </w:rPr>
        <w:t>4</w:t>
      </w:r>
      <w:r w:rsidR="00A63CE3">
        <w:rPr>
          <w:sz w:val="22"/>
          <w:szCs w:val="22"/>
        </w:rPr>
        <w:t>,</w:t>
      </w:r>
      <w:r w:rsidR="00D64D06" w:rsidRPr="00B2265A">
        <w:rPr>
          <w:sz w:val="22"/>
          <w:szCs w:val="22"/>
        </w:rPr>
        <w:t>16).</w:t>
      </w:r>
      <w:r w:rsidR="00A63CE3">
        <w:rPr>
          <w:sz w:val="22"/>
          <w:szCs w:val="22"/>
        </w:rPr>
        <w:t xml:space="preserve"> Den justerte OR (</w:t>
      </w:r>
      <w:r w:rsidR="00AA01C5">
        <w:rPr>
          <w:sz w:val="22"/>
          <w:szCs w:val="22"/>
        </w:rPr>
        <w:t xml:space="preserve">tatt hensyn til </w:t>
      </w:r>
      <w:r w:rsidR="00A63CE3">
        <w:rPr>
          <w:sz w:val="22"/>
          <w:szCs w:val="22"/>
        </w:rPr>
        <w:t>forskjelle</w:t>
      </w:r>
      <w:r w:rsidR="00AA01C5">
        <w:rPr>
          <w:sz w:val="22"/>
          <w:szCs w:val="22"/>
        </w:rPr>
        <w:t>r</w:t>
      </w:r>
      <w:r w:rsidR="00A63CE3">
        <w:rPr>
          <w:sz w:val="22"/>
          <w:szCs w:val="22"/>
        </w:rPr>
        <w:t xml:space="preserve"> </w:t>
      </w:r>
      <w:r w:rsidR="00542096">
        <w:rPr>
          <w:sz w:val="22"/>
          <w:szCs w:val="22"/>
        </w:rPr>
        <w:t>ved</w:t>
      </w:r>
      <w:r w:rsidR="00A63CE3">
        <w:rPr>
          <w:sz w:val="22"/>
          <w:szCs w:val="22"/>
        </w:rPr>
        <w:t xml:space="preserve"> baseline) var </w:t>
      </w:r>
      <w:r w:rsidR="00A63CE3" w:rsidRPr="00A63CE3">
        <w:rPr>
          <w:sz w:val="22"/>
          <w:szCs w:val="22"/>
        </w:rPr>
        <w:t>1</w:t>
      </w:r>
      <w:r w:rsidR="00A63CE3">
        <w:rPr>
          <w:sz w:val="22"/>
          <w:szCs w:val="22"/>
        </w:rPr>
        <w:t>,</w:t>
      </w:r>
      <w:r w:rsidR="00A63CE3" w:rsidRPr="00A63CE3">
        <w:rPr>
          <w:sz w:val="22"/>
          <w:szCs w:val="22"/>
        </w:rPr>
        <w:t>10 (95</w:t>
      </w:r>
      <w:r w:rsidR="00A63CE3">
        <w:rPr>
          <w:sz w:val="22"/>
          <w:szCs w:val="22"/>
        </w:rPr>
        <w:t> </w:t>
      </w:r>
      <w:r w:rsidR="00A63CE3" w:rsidRPr="00A63CE3">
        <w:rPr>
          <w:sz w:val="22"/>
          <w:szCs w:val="22"/>
        </w:rPr>
        <w:t xml:space="preserve">% </w:t>
      </w:r>
      <w:r w:rsidR="00A63CE3">
        <w:rPr>
          <w:sz w:val="22"/>
          <w:szCs w:val="22"/>
        </w:rPr>
        <w:t>KI 0,45</w:t>
      </w:r>
      <w:r w:rsidR="00A63CE3">
        <w:rPr>
          <w:sz w:val="22"/>
          <w:szCs w:val="22"/>
        </w:rPr>
        <w:noBreakHyphen/>
      </w:r>
      <w:r w:rsidR="00A63CE3" w:rsidRPr="00A63CE3">
        <w:rPr>
          <w:sz w:val="22"/>
          <w:szCs w:val="22"/>
        </w:rPr>
        <w:t>2</w:t>
      </w:r>
      <w:r w:rsidR="00A63CE3">
        <w:rPr>
          <w:sz w:val="22"/>
          <w:szCs w:val="22"/>
        </w:rPr>
        <w:t>,</w:t>
      </w:r>
      <w:r w:rsidR="00A63CE3" w:rsidRPr="00A63CE3">
        <w:rPr>
          <w:sz w:val="22"/>
          <w:szCs w:val="22"/>
        </w:rPr>
        <w:t>73)</w:t>
      </w:r>
      <w:r w:rsidR="00AA01C5">
        <w:rPr>
          <w:sz w:val="22"/>
          <w:szCs w:val="22"/>
        </w:rPr>
        <w:t xml:space="preserve"> ved kombinasjon av</w:t>
      </w:r>
      <w:r w:rsidR="00A63CE3">
        <w:rPr>
          <w:sz w:val="22"/>
          <w:szCs w:val="22"/>
        </w:rPr>
        <w:t xml:space="preserve"> RA og CD. Det var ingen distinkte forskjeller mellom adalimumab</w:t>
      </w:r>
      <w:r w:rsidR="00542096">
        <w:rPr>
          <w:sz w:val="22"/>
          <w:szCs w:val="22"/>
        </w:rPr>
        <w:t>-</w:t>
      </w:r>
      <w:r w:rsidR="00A63CE3">
        <w:rPr>
          <w:sz w:val="22"/>
          <w:szCs w:val="22"/>
        </w:rPr>
        <w:t>behandlede og ubehandlede kvinner for de</w:t>
      </w:r>
      <w:r w:rsidR="00AA01C5">
        <w:rPr>
          <w:sz w:val="22"/>
          <w:szCs w:val="22"/>
        </w:rPr>
        <w:t xml:space="preserve"> sekundære endepunktene spontanabort</w:t>
      </w:r>
      <w:r w:rsidR="00A63CE3">
        <w:rPr>
          <w:sz w:val="22"/>
          <w:szCs w:val="22"/>
        </w:rPr>
        <w:t>, mindre fødselsdefekter, prematur fødsel, størrelse ved fødsel, og alvorlige eller opportunistiske infeksjoner</w:t>
      </w:r>
      <w:r w:rsidR="00FD164B">
        <w:rPr>
          <w:sz w:val="22"/>
          <w:szCs w:val="22"/>
        </w:rPr>
        <w:t>,</w:t>
      </w:r>
      <w:r w:rsidR="00A63CE3">
        <w:rPr>
          <w:sz w:val="22"/>
          <w:szCs w:val="22"/>
        </w:rPr>
        <w:t xml:space="preserve"> og ingen dødføds</w:t>
      </w:r>
      <w:r w:rsidR="00EF5695">
        <w:rPr>
          <w:sz w:val="22"/>
          <w:szCs w:val="22"/>
        </w:rPr>
        <w:t>ler</w:t>
      </w:r>
      <w:r w:rsidR="00A63CE3">
        <w:rPr>
          <w:sz w:val="22"/>
          <w:szCs w:val="22"/>
        </w:rPr>
        <w:t xml:space="preserve"> eller maligniteter ble rapportert. Tolkningen av data kan være påvirket av metodebegrensninger i studien, inkludert </w:t>
      </w:r>
      <w:r w:rsidR="007F64D5">
        <w:rPr>
          <w:sz w:val="22"/>
          <w:szCs w:val="22"/>
        </w:rPr>
        <w:t xml:space="preserve">begrenset </w:t>
      </w:r>
      <w:r w:rsidR="006B7F2D">
        <w:rPr>
          <w:sz w:val="22"/>
          <w:szCs w:val="22"/>
        </w:rPr>
        <w:t>utvalgsstørrelse</w:t>
      </w:r>
      <w:r w:rsidR="00A63CE3">
        <w:rPr>
          <w:sz w:val="22"/>
          <w:szCs w:val="22"/>
        </w:rPr>
        <w:t xml:space="preserve"> og ikke-randomisert design. </w:t>
      </w:r>
    </w:p>
    <w:p w14:paraId="5FC11653" w14:textId="77777777" w:rsidR="00A63CE3" w:rsidRPr="00A63CE3" w:rsidRDefault="00A63CE3" w:rsidP="0033642C">
      <w:pPr>
        <w:rPr>
          <w:sz w:val="22"/>
          <w:szCs w:val="22"/>
        </w:rPr>
      </w:pPr>
    </w:p>
    <w:p w14:paraId="0D824513" w14:textId="77777777" w:rsidR="0033642C" w:rsidRPr="009C5EFD" w:rsidRDefault="00E453CD" w:rsidP="0033642C">
      <w:pPr>
        <w:rPr>
          <w:sz w:val="22"/>
          <w:szCs w:val="22"/>
        </w:rPr>
      </w:pPr>
      <w:r w:rsidRPr="009C5EFD">
        <w:rPr>
          <w:sz w:val="22"/>
          <w:szCs w:val="22"/>
        </w:rPr>
        <w:t>I en toksisitetsstudie av fosterutvikling hos aper var det ingen indikasjon på maternell toksisitet, embryotoksisitet eller teratogenisitet. Prekliniske data vedrørende postnatal toksisitet på grunn av adalimumab er ikke tilgjengelige (se pkt.</w:t>
      </w:r>
      <w:r w:rsidR="00DB3BD6">
        <w:rPr>
          <w:sz w:val="22"/>
          <w:szCs w:val="22"/>
        </w:rPr>
        <w:t> </w:t>
      </w:r>
      <w:r w:rsidRPr="009C5EFD">
        <w:rPr>
          <w:sz w:val="22"/>
          <w:szCs w:val="22"/>
        </w:rPr>
        <w:t>5.3).</w:t>
      </w:r>
    </w:p>
    <w:p w14:paraId="59A091FD" w14:textId="77777777" w:rsidR="0033642C" w:rsidRPr="009C5EFD" w:rsidRDefault="0033642C" w:rsidP="0033642C">
      <w:pPr>
        <w:rPr>
          <w:b/>
          <w:sz w:val="22"/>
          <w:szCs w:val="22"/>
        </w:rPr>
      </w:pPr>
    </w:p>
    <w:p w14:paraId="000D7792" w14:textId="77777777" w:rsidR="0033642C" w:rsidRPr="009C5EFD" w:rsidRDefault="00E453CD" w:rsidP="0033642C">
      <w:pPr>
        <w:rPr>
          <w:sz w:val="22"/>
          <w:szCs w:val="22"/>
        </w:rPr>
      </w:pPr>
      <w:r w:rsidRPr="009C5EFD">
        <w:rPr>
          <w:sz w:val="22"/>
          <w:szCs w:val="22"/>
        </w:rPr>
        <w:t xml:space="preserve">På grunn av hemming av TNFα kan adalimumab som gis i løpet av graviditeten påvirke den normale immunresponsen hos nyfødte. </w:t>
      </w:r>
      <w:r w:rsidR="00A63CE3">
        <w:rPr>
          <w:sz w:val="22"/>
          <w:szCs w:val="22"/>
        </w:rPr>
        <w:t xml:space="preserve">Adalimumab skal </w:t>
      </w:r>
      <w:r w:rsidR="00EF5695">
        <w:rPr>
          <w:sz w:val="22"/>
          <w:szCs w:val="22"/>
        </w:rPr>
        <w:t>kun</w:t>
      </w:r>
      <w:r w:rsidR="00A63CE3">
        <w:rPr>
          <w:sz w:val="22"/>
          <w:szCs w:val="22"/>
        </w:rPr>
        <w:t xml:space="preserve"> brukes under graviditet dersom det er helt nødvendig.</w:t>
      </w:r>
    </w:p>
    <w:p w14:paraId="1FB0DBA8" w14:textId="77777777" w:rsidR="0033642C" w:rsidRPr="009C5EFD" w:rsidRDefault="0033642C" w:rsidP="0033642C">
      <w:pPr>
        <w:rPr>
          <w:sz w:val="22"/>
          <w:szCs w:val="22"/>
        </w:rPr>
      </w:pPr>
    </w:p>
    <w:p w14:paraId="5EE777AD" w14:textId="77777777" w:rsidR="0033642C" w:rsidRPr="009C5EFD" w:rsidRDefault="00E453CD" w:rsidP="0033642C">
      <w:pPr>
        <w:rPr>
          <w:sz w:val="22"/>
        </w:rPr>
      </w:pPr>
      <w:r w:rsidRPr="009C5EFD">
        <w:rPr>
          <w:sz w:val="22"/>
        </w:rPr>
        <w:t xml:space="preserve">Adalimumab kan </w:t>
      </w:r>
      <w:r>
        <w:rPr>
          <w:sz w:val="22"/>
        </w:rPr>
        <w:t>passere</w:t>
      </w:r>
      <w:r w:rsidRPr="009C5EFD">
        <w:rPr>
          <w:sz w:val="22"/>
        </w:rPr>
        <w:t xml:space="preserve"> placenta og </w:t>
      </w:r>
      <w:r>
        <w:rPr>
          <w:sz w:val="22"/>
        </w:rPr>
        <w:t>over</w:t>
      </w:r>
      <w:r w:rsidRPr="009C5EFD">
        <w:rPr>
          <w:sz w:val="22"/>
        </w:rPr>
        <w:t xml:space="preserve"> i serumet hos spedbarn født av kvinner behandlet med adalimumab under graviditet. Som konsekvens kan slike spedbarn ha høyere risiko for infeksjon. Administrasjon av levende vaksiner </w:t>
      </w:r>
      <w:r w:rsidR="00A63CE3" w:rsidRPr="00D35625">
        <w:rPr>
          <w:sz w:val="22"/>
          <w:szCs w:val="22"/>
        </w:rPr>
        <w:t>(f.eks. BCG vaksine)</w:t>
      </w:r>
      <w:r w:rsidR="00A63CE3" w:rsidRPr="009C5EFD">
        <w:rPr>
          <w:szCs w:val="22"/>
        </w:rPr>
        <w:t xml:space="preserve"> </w:t>
      </w:r>
      <w:r w:rsidRPr="009C5EFD">
        <w:rPr>
          <w:sz w:val="22"/>
        </w:rPr>
        <w:t xml:space="preserve">på spedbarn eksponert for adalimumab </w:t>
      </w:r>
      <w:r w:rsidRPr="009C5EFD">
        <w:rPr>
          <w:sz w:val="22"/>
        </w:rPr>
        <w:lastRenderedPageBreak/>
        <w:t>intrauterint anbefales ikke før 5</w:t>
      </w:r>
      <w:r w:rsidR="00DB3BD6">
        <w:rPr>
          <w:sz w:val="22"/>
        </w:rPr>
        <w:t> </w:t>
      </w:r>
      <w:r w:rsidRPr="009C5EFD">
        <w:rPr>
          <w:sz w:val="22"/>
        </w:rPr>
        <w:t>måneder etter morens siste injeksjon med adalimumab under graviditeten.</w:t>
      </w:r>
    </w:p>
    <w:p w14:paraId="70E6FF70" w14:textId="77777777" w:rsidR="0033642C" w:rsidRPr="009C5EFD" w:rsidRDefault="0033642C" w:rsidP="0033642C">
      <w:pPr>
        <w:rPr>
          <w:sz w:val="22"/>
        </w:rPr>
      </w:pPr>
    </w:p>
    <w:p w14:paraId="68E2527D" w14:textId="77777777" w:rsidR="00073012" w:rsidRDefault="00E453CD" w:rsidP="0033642C">
      <w:pPr>
        <w:keepNext/>
        <w:rPr>
          <w:sz w:val="22"/>
          <w:u w:val="single"/>
        </w:rPr>
      </w:pPr>
      <w:r w:rsidRPr="009C5EFD">
        <w:rPr>
          <w:sz w:val="22"/>
          <w:u w:val="single"/>
        </w:rPr>
        <w:t>Amming</w:t>
      </w:r>
    </w:p>
    <w:p w14:paraId="4D836757" w14:textId="77777777" w:rsidR="00073012" w:rsidRPr="009C5EFD" w:rsidRDefault="00073012" w:rsidP="0033642C">
      <w:pPr>
        <w:keepNext/>
        <w:rPr>
          <w:sz w:val="22"/>
          <w:u w:val="single"/>
        </w:rPr>
      </w:pPr>
    </w:p>
    <w:p w14:paraId="45205DF4" w14:textId="77777777" w:rsidR="0033642C" w:rsidRPr="009C5EFD" w:rsidRDefault="00E453CD" w:rsidP="00776A84">
      <w:pPr>
        <w:rPr>
          <w:sz w:val="22"/>
          <w:szCs w:val="22"/>
        </w:rPr>
      </w:pPr>
      <w:r>
        <w:rPr>
          <w:sz w:val="22"/>
          <w:szCs w:val="22"/>
        </w:rPr>
        <w:t xml:space="preserve">Begrenset informasjon fra publisert litteratur indikerer at adalimumab skilles ut i morsmelk ved svært lave konsentrasjoner med tilstedeværelse av adalimumab i morsmelk ved konsentrasjoner på 0,1 % til </w:t>
      </w:r>
      <w:r w:rsidR="00922A98">
        <w:rPr>
          <w:sz w:val="22"/>
          <w:szCs w:val="22"/>
        </w:rPr>
        <w:t>1 % av serumnivåene hos</w:t>
      </w:r>
      <w:r>
        <w:rPr>
          <w:sz w:val="22"/>
          <w:szCs w:val="22"/>
        </w:rPr>
        <w:t xml:space="preserve"> mor. Immunoglobulin G proteiner gitt oralt gjennomgår proteolyse i tarmen og har dårlig biotilgjengelighet. Det forventes ingen effekter på den nyfødte</w:t>
      </w:r>
      <w:r w:rsidR="00922A98">
        <w:rPr>
          <w:sz w:val="22"/>
          <w:szCs w:val="22"/>
        </w:rPr>
        <w:t>/spedbarn</w:t>
      </w:r>
      <w:r>
        <w:rPr>
          <w:sz w:val="22"/>
          <w:szCs w:val="22"/>
        </w:rPr>
        <w:t xml:space="preserve"> som ammes. Humira kan derfor benyttes ved amming. </w:t>
      </w:r>
    </w:p>
    <w:p w14:paraId="05C14252" w14:textId="77777777" w:rsidR="0033642C" w:rsidRPr="009C5EFD" w:rsidRDefault="0033642C" w:rsidP="0033642C">
      <w:pPr>
        <w:rPr>
          <w:sz w:val="22"/>
          <w:szCs w:val="22"/>
        </w:rPr>
      </w:pPr>
    </w:p>
    <w:p w14:paraId="6219EDBF" w14:textId="77777777" w:rsidR="0033642C" w:rsidRPr="009C5EFD" w:rsidRDefault="00E453CD" w:rsidP="00776A84">
      <w:pPr>
        <w:keepNext/>
        <w:rPr>
          <w:sz w:val="22"/>
          <w:szCs w:val="22"/>
        </w:rPr>
      </w:pPr>
      <w:r w:rsidRPr="009C5EFD">
        <w:rPr>
          <w:sz w:val="22"/>
          <w:szCs w:val="22"/>
          <w:u w:val="single"/>
        </w:rPr>
        <w:t>Fertilitet</w:t>
      </w:r>
    </w:p>
    <w:p w14:paraId="17C2ADCD" w14:textId="77777777" w:rsidR="0033642C" w:rsidRPr="009C5EFD" w:rsidRDefault="0033642C" w:rsidP="00776A84">
      <w:pPr>
        <w:keepNext/>
        <w:rPr>
          <w:sz w:val="22"/>
          <w:szCs w:val="22"/>
        </w:rPr>
      </w:pPr>
    </w:p>
    <w:p w14:paraId="22925D27" w14:textId="77777777" w:rsidR="0033642C" w:rsidRPr="009C5EFD" w:rsidRDefault="00E453CD" w:rsidP="0033642C">
      <w:pPr>
        <w:rPr>
          <w:sz w:val="22"/>
          <w:szCs w:val="22"/>
        </w:rPr>
      </w:pPr>
      <w:r w:rsidRPr="009C5EFD">
        <w:rPr>
          <w:sz w:val="22"/>
          <w:szCs w:val="22"/>
        </w:rPr>
        <w:t>Prekliniske data vedrørende påvirkning på fertilitet av adalimumab er ikke tilgjengelig.</w:t>
      </w:r>
    </w:p>
    <w:p w14:paraId="640C662D" w14:textId="77777777" w:rsidR="0033642C" w:rsidRPr="009C5EFD" w:rsidRDefault="0033642C" w:rsidP="0033642C">
      <w:pPr>
        <w:rPr>
          <w:sz w:val="22"/>
          <w:szCs w:val="22"/>
        </w:rPr>
      </w:pPr>
    </w:p>
    <w:p w14:paraId="4AB8B15A" w14:textId="77777777" w:rsidR="0033642C" w:rsidRPr="009C5EFD" w:rsidRDefault="00E453CD" w:rsidP="0033642C">
      <w:pPr>
        <w:keepNext/>
        <w:suppressAutoHyphens/>
        <w:ind w:left="570" w:hanging="570"/>
        <w:rPr>
          <w:sz w:val="22"/>
          <w:szCs w:val="22"/>
        </w:rPr>
      </w:pPr>
      <w:r w:rsidRPr="009C5EFD">
        <w:rPr>
          <w:b/>
          <w:sz w:val="22"/>
          <w:szCs w:val="22"/>
        </w:rPr>
        <w:t>4.7</w:t>
      </w:r>
      <w:r w:rsidRPr="009C5EFD">
        <w:rPr>
          <w:b/>
          <w:sz w:val="22"/>
          <w:szCs w:val="22"/>
        </w:rPr>
        <w:tab/>
        <w:t>Påvirkning av evnen til å kjøre bil og bruke maskiner</w:t>
      </w:r>
    </w:p>
    <w:p w14:paraId="2A789DD7" w14:textId="77777777" w:rsidR="0033642C" w:rsidRPr="009C5EFD" w:rsidRDefault="0033642C" w:rsidP="0033642C">
      <w:pPr>
        <w:keepNext/>
        <w:rPr>
          <w:sz w:val="22"/>
          <w:szCs w:val="22"/>
        </w:rPr>
      </w:pPr>
    </w:p>
    <w:p w14:paraId="704C1A44" w14:textId="77777777" w:rsidR="0033642C" w:rsidRPr="009C5EFD" w:rsidRDefault="00E453CD" w:rsidP="00776A84">
      <w:pPr>
        <w:rPr>
          <w:sz w:val="22"/>
          <w:szCs w:val="22"/>
        </w:rPr>
      </w:pPr>
      <w:r w:rsidRPr="009C5EFD">
        <w:rPr>
          <w:sz w:val="22"/>
          <w:szCs w:val="22"/>
        </w:rPr>
        <w:t xml:space="preserve">Humira kan ha </w:t>
      </w:r>
      <w:r>
        <w:rPr>
          <w:sz w:val="22"/>
          <w:szCs w:val="22"/>
        </w:rPr>
        <w:t>en liten</w:t>
      </w:r>
      <w:r w:rsidRPr="009C5EFD">
        <w:rPr>
          <w:sz w:val="22"/>
          <w:szCs w:val="22"/>
        </w:rPr>
        <w:t xml:space="preserve"> påvirkning på evnen til å kjøre bil og bruke maskiner. Vertigo og svekket syn kan oppstå etter </w:t>
      </w:r>
      <w:r w:rsidR="00B8124C">
        <w:rPr>
          <w:sz w:val="22"/>
          <w:szCs w:val="22"/>
        </w:rPr>
        <w:t>administrasjon</w:t>
      </w:r>
      <w:r w:rsidRPr="009C5EFD">
        <w:rPr>
          <w:sz w:val="22"/>
          <w:szCs w:val="22"/>
        </w:rPr>
        <w:t xml:space="preserve"> av Humira, se pkt.</w:t>
      </w:r>
      <w:r w:rsidR="00DB3BD6">
        <w:rPr>
          <w:sz w:val="22"/>
          <w:szCs w:val="22"/>
        </w:rPr>
        <w:t> </w:t>
      </w:r>
      <w:r w:rsidRPr="009C5EFD">
        <w:rPr>
          <w:sz w:val="22"/>
          <w:szCs w:val="22"/>
        </w:rPr>
        <w:t>4.8.</w:t>
      </w:r>
    </w:p>
    <w:p w14:paraId="3298A8C0" w14:textId="77777777" w:rsidR="009113DB" w:rsidRPr="009C5EFD" w:rsidRDefault="009113DB" w:rsidP="009113DB">
      <w:pPr>
        <w:rPr>
          <w:sz w:val="22"/>
          <w:szCs w:val="22"/>
        </w:rPr>
      </w:pPr>
    </w:p>
    <w:p w14:paraId="258EA5F1" w14:textId="77777777" w:rsidR="009113DB" w:rsidRPr="009C5EFD" w:rsidRDefault="00E453CD" w:rsidP="00602A37">
      <w:pPr>
        <w:keepNext/>
        <w:suppressAutoHyphens/>
        <w:ind w:left="576" w:hanging="576"/>
        <w:rPr>
          <w:sz w:val="22"/>
          <w:szCs w:val="22"/>
        </w:rPr>
      </w:pPr>
      <w:r w:rsidRPr="009C5EFD">
        <w:rPr>
          <w:b/>
          <w:sz w:val="22"/>
          <w:szCs w:val="22"/>
        </w:rPr>
        <w:t>4.8</w:t>
      </w:r>
      <w:r w:rsidRPr="009C5EFD">
        <w:rPr>
          <w:b/>
          <w:sz w:val="22"/>
          <w:szCs w:val="22"/>
        </w:rPr>
        <w:tab/>
        <w:t>Bivirkninger</w:t>
      </w:r>
    </w:p>
    <w:p w14:paraId="6C80E05F" w14:textId="77777777" w:rsidR="009113DB" w:rsidRPr="009C5EFD" w:rsidRDefault="009113DB" w:rsidP="009113DB">
      <w:pPr>
        <w:keepNext/>
        <w:rPr>
          <w:sz w:val="22"/>
          <w:szCs w:val="22"/>
        </w:rPr>
      </w:pPr>
    </w:p>
    <w:p w14:paraId="272C83D7" w14:textId="77777777" w:rsidR="009113DB" w:rsidRPr="001F5D4B" w:rsidRDefault="00E453CD" w:rsidP="00776A84">
      <w:pPr>
        <w:keepNext/>
        <w:rPr>
          <w:sz w:val="22"/>
          <w:szCs w:val="22"/>
          <w:u w:val="single"/>
        </w:rPr>
      </w:pPr>
      <w:r w:rsidRPr="001F5D4B">
        <w:rPr>
          <w:sz w:val="22"/>
          <w:szCs w:val="22"/>
          <w:u w:val="single"/>
        </w:rPr>
        <w:t xml:space="preserve">Oppsummering av </w:t>
      </w:r>
      <w:r w:rsidRPr="007F67EE">
        <w:rPr>
          <w:sz w:val="22"/>
          <w:szCs w:val="22"/>
          <w:u w:val="single"/>
        </w:rPr>
        <w:t>sikkerhet</w:t>
      </w:r>
      <w:r w:rsidRPr="001F5D4B">
        <w:rPr>
          <w:sz w:val="22"/>
          <w:szCs w:val="22"/>
          <w:u w:val="single"/>
        </w:rPr>
        <w:t>sprofilen</w:t>
      </w:r>
    </w:p>
    <w:p w14:paraId="71CA9529" w14:textId="77777777" w:rsidR="009113DB" w:rsidRPr="007F67EE" w:rsidRDefault="009113DB" w:rsidP="00776A84">
      <w:pPr>
        <w:keepNext/>
        <w:rPr>
          <w:sz w:val="22"/>
          <w:szCs w:val="22"/>
        </w:rPr>
      </w:pPr>
    </w:p>
    <w:p w14:paraId="03C93FBB" w14:textId="77777777" w:rsidR="009113DB" w:rsidRPr="009C5EFD" w:rsidRDefault="00E453CD" w:rsidP="009113DB">
      <w:pPr>
        <w:rPr>
          <w:sz w:val="22"/>
          <w:szCs w:val="22"/>
        </w:rPr>
      </w:pPr>
      <w:r w:rsidRPr="00193D76">
        <w:rPr>
          <w:sz w:val="22"/>
          <w:szCs w:val="22"/>
        </w:rPr>
        <w:t xml:space="preserve">Humira er undersøkt hos </w:t>
      </w:r>
      <w:r>
        <w:rPr>
          <w:sz w:val="22"/>
          <w:szCs w:val="22"/>
        </w:rPr>
        <w:t>9506</w:t>
      </w:r>
      <w:r w:rsidR="00DB3BD6">
        <w:rPr>
          <w:sz w:val="22"/>
          <w:szCs w:val="22"/>
        </w:rPr>
        <w:t> </w:t>
      </w:r>
      <w:r w:rsidRPr="009C5EFD">
        <w:rPr>
          <w:sz w:val="22"/>
          <w:szCs w:val="22"/>
        </w:rPr>
        <w:t>pasienter i pivotale kontrollerte og åpne studier i opptil 60</w:t>
      </w:r>
      <w:r w:rsidR="00DB3BD6">
        <w:rPr>
          <w:sz w:val="22"/>
          <w:szCs w:val="22"/>
        </w:rPr>
        <w:t> </w:t>
      </w:r>
      <w:r w:rsidRPr="009C5EFD">
        <w:rPr>
          <w:sz w:val="22"/>
          <w:szCs w:val="22"/>
        </w:rPr>
        <w:t>måneder eller mer. Disse studiene inkluderte pasienter med nydiagnostisert og langvarig revmatoid artritt, juvenil idiopatisk artritt (polyartikulær juvenil idiopatisk artritt og entesittrelatert artritt) og pasienter med aksial spondylartritt (Bekhterevs sykdom/ankyloserende spondylitt og aksial spondylartritt uten radiografisk bekreftelse på ankyloserende spondylitt), psoriasisartritt, Crohns sykdom, ulcerøs kolitt,</w:t>
      </w:r>
      <w:r>
        <w:rPr>
          <w:sz w:val="22"/>
          <w:szCs w:val="22"/>
        </w:rPr>
        <w:t xml:space="preserve"> </w:t>
      </w:r>
      <w:r w:rsidRPr="009C5EFD">
        <w:rPr>
          <w:sz w:val="22"/>
          <w:szCs w:val="22"/>
        </w:rPr>
        <w:t>psoriasis</w:t>
      </w:r>
      <w:r>
        <w:rPr>
          <w:sz w:val="22"/>
          <w:szCs w:val="22"/>
        </w:rPr>
        <w:t>,</w:t>
      </w:r>
      <w:r w:rsidRPr="009C5EFD">
        <w:rPr>
          <w:sz w:val="22"/>
          <w:szCs w:val="22"/>
        </w:rPr>
        <w:t xml:space="preserve"> hidrosadenitt</w:t>
      </w:r>
      <w:r>
        <w:rPr>
          <w:sz w:val="22"/>
          <w:szCs w:val="22"/>
        </w:rPr>
        <w:t xml:space="preserve"> og uveitt</w:t>
      </w:r>
      <w:r w:rsidRPr="009C5EFD">
        <w:rPr>
          <w:sz w:val="22"/>
          <w:szCs w:val="22"/>
        </w:rPr>
        <w:t xml:space="preserve">. De pivotale kontrollerte studiene som inkluderer </w:t>
      </w:r>
      <w:r>
        <w:rPr>
          <w:sz w:val="22"/>
          <w:szCs w:val="22"/>
        </w:rPr>
        <w:t>6089</w:t>
      </w:r>
      <w:r w:rsidR="00DB3BD6">
        <w:rPr>
          <w:sz w:val="22"/>
          <w:szCs w:val="22"/>
        </w:rPr>
        <w:t> </w:t>
      </w:r>
      <w:r w:rsidRPr="009C5EFD">
        <w:rPr>
          <w:sz w:val="22"/>
          <w:szCs w:val="22"/>
        </w:rPr>
        <w:t xml:space="preserve">pasienter som ble behandlet med Humira og </w:t>
      </w:r>
      <w:r>
        <w:rPr>
          <w:sz w:val="22"/>
          <w:szCs w:val="22"/>
        </w:rPr>
        <w:t>3801</w:t>
      </w:r>
      <w:r w:rsidR="00DB3BD6">
        <w:rPr>
          <w:sz w:val="22"/>
          <w:szCs w:val="22"/>
        </w:rPr>
        <w:t> </w:t>
      </w:r>
      <w:r w:rsidRPr="009C5EFD">
        <w:rPr>
          <w:sz w:val="22"/>
          <w:szCs w:val="22"/>
        </w:rPr>
        <w:t xml:space="preserve">pasienter som fikk placebo eller aktiv kontroll i løpet av kontrollperioden. </w:t>
      </w:r>
    </w:p>
    <w:p w14:paraId="5A9EA9E5" w14:textId="77777777" w:rsidR="009113DB" w:rsidRPr="009C5EFD" w:rsidRDefault="009113DB" w:rsidP="009113DB">
      <w:pPr>
        <w:rPr>
          <w:sz w:val="22"/>
          <w:szCs w:val="22"/>
        </w:rPr>
      </w:pPr>
    </w:p>
    <w:p w14:paraId="13E8A28A" w14:textId="77777777" w:rsidR="009113DB" w:rsidRPr="009C5EFD" w:rsidRDefault="00E453CD" w:rsidP="009113DB">
      <w:pPr>
        <w:rPr>
          <w:sz w:val="22"/>
          <w:szCs w:val="22"/>
        </w:rPr>
      </w:pPr>
      <w:r w:rsidRPr="009C5EFD">
        <w:rPr>
          <w:sz w:val="22"/>
          <w:szCs w:val="22"/>
        </w:rPr>
        <w:t>Andelen pasienter som fikk seponert behandlingen på grunn av bivirkninger under den dobbeltblinde, kontrollerte delen av pivotale studier, var 5,</w:t>
      </w:r>
      <w:r>
        <w:rPr>
          <w:sz w:val="22"/>
          <w:szCs w:val="22"/>
        </w:rPr>
        <w:t>9</w:t>
      </w:r>
      <w:r w:rsidR="00DB3BD6">
        <w:rPr>
          <w:sz w:val="22"/>
          <w:szCs w:val="22"/>
        </w:rPr>
        <w:t> </w:t>
      </w:r>
      <w:r w:rsidRPr="009C5EFD">
        <w:rPr>
          <w:sz w:val="22"/>
          <w:szCs w:val="22"/>
        </w:rPr>
        <w:t>% for pasienter som fikk Humira og 5,4</w:t>
      </w:r>
      <w:r w:rsidR="00DB3BD6">
        <w:rPr>
          <w:sz w:val="22"/>
          <w:szCs w:val="22"/>
        </w:rPr>
        <w:t> </w:t>
      </w:r>
      <w:r w:rsidRPr="009C5EFD">
        <w:rPr>
          <w:sz w:val="22"/>
          <w:szCs w:val="22"/>
        </w:rPr>
        <w:t>% for pasienter i kontrollgrupper.</w:t>
      </w:r>
    </w:p>
    <w:p w14:paraId="5EB054A2" w14:textId="77777777" w:rsidR="009113DB" w:rsidRPr="009C5EFD" w:rsidRDefault="009113DB" w:rsidP="009113DB">
      <w:pPr>
        <w:rPr>
          <w:sz w:val="22"/>
          <w:szCs w:val="22"/>
        </w:rPr>
      </w:pPr>
    </w:p>
    <w:p w14:paraId="2DABB626" w14:textId="77777777" w:rsidR="009113DB" w:rsidRPr="009C5EFD" w:rsidRDefault="00E453CD" w:rsidP="009113DB">
      <w:pPr>
        <w:tabs>
          <w:tab w:val="left" w:pos="5529"/>
        </w:tabs>
        <w:rPr>
          <w:sz w:val="22"/>
          <w:szCs w:val="22"/>
        </w:rPr>
      </w:pPr>
      <w:r w:rsidRPr="009C5EFD">
        <w:rPr>
          <w:sz w:val="22"/>
          <w:szCs w:val="22"/>
        </w:rPr>
        <w:t>De mest vanlig rapporterte bivirkninger er infeksjoner (som nasofaryngitt, øvre luftveisinfeksjon og sinusitt), reaksjoner på injeksjonssted (erytem, kløe, blødning, smerte</w:t>
      </w:r>
      <w:r>
        <w:rPr>
          <w:sz w:val="22"/>
          <w:szCs w:val="22"/>
        </w:rPr>
        <w:t>r</w:t>
      </w:r>
      <w:r w:rsidRPr="009C5EFD">
        <w:rPr>
          <w:sz w:val="22"/>
          <w:szCs w:val="22"/>
        </w:rPr>
        <w:t xml:space="preserve"> eller hevelse), hodepine og smerter i skjelett og muskulatur. </w:t>
      </w:r>
    </w:p>
    <w:p w14:paraId="2F77ADD7" w14:textId="77777777" w:rsidR="009113DB" w:rsidRPr="009C5EFD" w:rsidRDefault="009113DB" w:rsidP="009113DB">
      <w:pPr>
        <w:rPr>
          <w:sz w:val="22"/>
          <w:szCs w:val="22"/>
        </w:rPr>
      </w:pPr>
    </w:p>
    <w:p w14:paraId="1D54E960" w14:textId="77777777" w:rsidR="009113DB" w:rsidRPr="009C5EFD" w:rsidRDefault="00E453CD" w:rsidP="009113DB">
      <w:pPr>
        <w:rPr>
          <w:sz w:val="22"/>
          <w:szCs w:val="22"/>
        </w:rPr>
      </w:pPr>
      <w:r w:rsidRPr="009C5EFD">
        <w:rPr>
          <w:sz w:val="22"/>
          <w:szCs w:val="22"/>
        </w:rPr>
        <w:t xml:space="preserve">Alvorlige bivirkninger er rapportert for Humira. TNF-antagonister som Humira påvirker immunsystemet og bruk av dem kan påvirke kroppens forsvar mot infeksjon og kreft. </w:t>
      </w:r>
    </w:p>
    <w:p w14:paraId="5D89BA4D" w14:textId="77777777" w:rsidR="009113DB" w:rsidRPr="009C5EFD" w:rsidRDefault="00E453CD" w:rsidP="009113DB">
      <w:pPr>
        <w:rPr>
          <w:sz w:val="22"/>
          <w:szCs w:val="22"/>
        </w:rPr>
      </w:pPr>
      <w:r w:rsidRPr="009C5EFD">
        <w:rPr>
          <w:sz w:val="22"/>
          <w:szCs w:val="22"/>
        </w:rPr>
        <w:t xml:space="preserve">Fatale og livstruende </w:t>
      </w:r>
      <w:r w:rsidR="00C40CB6">
        <w:rPr>
          <w:sz w:val="22"/>
          <w:szCs w:val="22"/>
        </w:rPr>
        <w:t>infeksjone</w:t>
      </w:r>
      <w:r w:rsidR="00C40CB6" w:rsidRPr="009C5EFD">
        <w:rPr>
          <w:sz w:val="22"/>
          <w:szCs w:val="22"/>
        </w:rPr>
        <w:t xml:space="preserve">r </w:t>
      </w:r>
      <w:r w:rsidRPr="009C5EFD">
        <w:rPr>
          <w:sz w:val="22"/>
          <w:szCs w:val="22"/>
        </w:rPr>
        <w:t>(inklusive sepsis, opportunistiske infeksjoner og TB), HBV-reaktivering og forskjellige maligniteter (inklusive leukemi, lymfom og HSTCL) er også rapportert ved bruk av Humira.</w:t>
      </w:r>
    </w:p>
    <w:p w14:paraId="07BCFF2E" w14:textId="77777777" w:rsidR="009113DB" w:rsidRPr="009C5EFD" w:rsidRDefault="009113DB" w:rsidP="009113DB">
      <w:pPr>
        <w:rPr>
          <w:sz w:val="22"/>
          <w:szCs w:val="22"/>
        </w:rPr>
      </w:pPr>
    </w:p>
    <w:p w14:paraId="78964E11" w14:textId="77777777" w:rsidR="009113DB" w:rsidRPr="009C5EFD" w:rsidRDefault="00E453CD" w:rsidP="009113DB">
      <w:pPr>
        <w:rPr>
          <w:sz w:val="22"/>
          <w:szCs w:val="22"/>
        </w:rPr>
      </w:pPr>
      <w:r w:rsidRPr="009C5EFD">
        <w:rPr>
          <w:sz w:val="22"/>
          <w:szCs w:val="22"/>
        </w:rPr>
        <w:t>Alvorlige hematologiske, nevrologiske og autoimmune reaksjoner er også rapportert. Disse inkluderer sjeldne tilfeller av pancytopeni, aplastisk anemi, sentrale og perifere demyeliniseringsforstyrrelser og tilfeller av lupus, lupusrelaterte tilstander og Stevens-Johnson syndrom.</w:t>
      </w:r>
    </w:p>
    <w:p w14:paraId="393DD185" w14:textId="77777777" w:rsidR="009113DB" w:rsidRPr="009C5EFD" w:rsidRDefault="009113DB" w:rsidP="009113DB">
      <w:pPr>
        <w:rPr>
          <w:sz w:val="22"/>
          <w:szCs w:val="22"/>
        </w:rPr>
      </w:pPr>
    </w:p>
    <w:p w14:paraId="139BB229" w14:textId="77777777" w:rsidR="009113DB" w:rsidRPr="00AB7697" w:rsidRDefault="00E453CD" w:rsidP="009113DB">
      <w:pPr>
        <w:keepNext/>
        <w:rPr>
          <w:sz w:val="22"/>
          <w:szCs w:val="22"/>
          <w:u w:val="single"/>
        </w:rPr>
      </w:pPr>
      <w:r w:rsidRPr="009C5EFD">
        <w:rPr>
          <w:sz w:val="22"/>
          <w:szCs w:val="22"/>
          <w:u w:val="single"/>
        </w:rPr>
        <w:t>Pediatrisk populasjon</w:t>
      </w:r>
    </w:p>
    <w:p w14:paraId="570E9660" w14:textId="77777777" w:rsidR="009113DB" w:rsidRPr="009C5EFD" w:rsidRDefault="009113DB" w:rsidP="009113DB">
      <w:pPr>
        <w:keepNext/>
        <w:rPr>
          <w:sz w:val="22"/>
          <w:szCs w:val="22"/>
        </w:rPr>
      </w:pPr>
    </w:p>
    <w:p w14:paraId="65ABC5A7" w14:textId="77777777" w:rsidR="009113DB" w:rsidRPr="009C5EFD" w:rsidRDefault="00E453CD" w:rsidP="00776A84">
      <w:pPr>
        <w:rPr>
          <w:sz w:val="22"/>
          <w:szCs w:val="22"/>
        </w:rPr>
      </w:pPr>
      <w:r w:rsidRPr="009C5EFD">
        <w:rPr>
          <w:sz w:val="22"/>
          <w:szCs w:val="22"/>
        </w:rPr>
        <w:t>Generelt hadde bivirkninger hos barn samme frekvens og type som hos voksne pasienter.</w:t>
      </w:r>
    </w:p>
    <w:p w14:paraId="09CA7D46" w14:textId="77777777" w:rsidR="009113DB" w:rsidRPr="009C5EFD" w:rsidRDefault="009113DB" w:rsidP="009113DB">
      <w:pPr>
        <w:rPr>
          <w:sz w:val="22"/>
          <w:szCs w:val="22"/>
        </w:rPr>
      </w:pPr>
    </w:p>
    <w:p w14:paraId="3834A598" w14:textId="77777777" w:rsidR="009113DB" w:rsidRPr="009C5EFD" w:rsidRDefault="00E453CD" w:rsidP="009113DB">
      <w:pPr>
        <w:keepNext/>
        <w:rPr>
          <w:sz w:val="22"/>
          <w:szCs w:val="22"/>
          <w:u w:val="single"/>
        </w:rPr>
      </w:pPr>
      <w:r>
        <w:rPr>
          <w:sz w:val="22"/>
          <w:szCs w:val="22"/>
          <w:u w:val="single"/>
        </w:rPr>
        <w:lastRenderedPageBreak/>
        <w:t>Bivirkningstabell</w:t>
      </w:r>
    </w:p>
    <w:p w14:paraId="56C196C7" w14:textId="77777777" w:rsidR="009113DB" w:rsidRPr="009C5EFD" w:rsidRDefault="009113DB" w:rsidP="009113DB">
      <w:pPr>
        <w:keepNext/>
        <w:rPr>
          <w:sz w:val="22"/>
          <w:szCs w:val="22"/>
        </w:rPr>
      </w:pPr>
    </w:p>
    <w:p w14:paraId="5BC232F9" w14:textId="77777777" w:rsidR="009113DB" w:rsidRPr="009C5EFD" w:rsidRDefault="00E453CD" w:rsidP="00776A84">
      <w:pPr>
        <w:rPr>
          <w:sz w:val="22"/>
          <w:szCs w:val="22"/>
        </w:rPr>
      </w:pPr>
      <w:r w:rsidRPr="009C5EFD">
        <w:rPr>
          <w:sz w:val="22"/>
          <w:szCs w:val="22"/>
        </w:rPr>
        <w:t>Følgende liste av bivirkninger er basert på erfaring fra kliniske studier og erfaring etter markedsføring og er vist i henhold til organklassesystem og forekomst i tabell</w:t>
      </w:r>
      <w:r w:rsidR="00DB3BD6">
        <w:rPr>
          <w:sz w:val="22"/>
          <w:szCs w:val="22"/>
        </w:rPr>
        <w:t> </w:t>
      </w:r>
      <w:r>
        <w:rPr>
          <w:sz w:val="22"/>
          <w:szCs w:val="22"/>
        </w:rPr>
        <w:t>6</w:t>
      </w:r>
      <w:r w:rsidRPr="009C5EFD">
        <w:rPr>
          <w:sz w:val="22"/>
          <w:szCs w:val="22"/>
        </w:rPr>
        <w:t xml:space="preserve"> nedenfor: Svært vanlige (</w:t>
      </w:r>
      <w:r w:rsidRPr="007F67EE">
        <w:rPr>
          <w:rFonts w:ascii="Symbol" w:hAnsi="Symbol"/>
          <w:sz w:val="22"/>
          <w:szCs w:val="22"/>
        </w:rPr>
        <w:sym w:font="Symbol" w:char="F0B3"/>
      </w:r>
      <w:r w:rsidRPr="007F67EE">
        <w:rPr>
          <w:sz w:val="22"/>
          <w:szCs w:val="22"/>
        </w:rPr>
        <w:t xml:space="preserve"> 1/10); vanlige (</w:t>
      </w:r>
      <w:r w:rsidRPr="007F67EE">
        <w:rPr>
          <w:rFonts w:ascii="Symbol" w:hAnsi="Symbol"/>
          <w:sz w:val="22"/>
          <w:szCs w:val="22"/>
        </w:rPr>
        <w:sym w:font="Symbol" w:char="F0B3"/>
      </w:r>
      <w:r w:rsidRPr="007F67EE">
        <w:rPr>
          <w:sz w:val="22"/>
          <w:szCs w:val="22"/>
        </w:rPr>
        <w:t xml:space="preserve"> 1/100 til &lt; 1/10); mindre vanlige (</w:t>
      </w:r>
      <w:r w:rsidRPr="007F67EE">
        <w:rPr>
          <w:rFonts w:ascii="Symbol" w:hAnsi="Symbol"/>
          <w:sz w:val="22"/>
          <w:szCs w:val="22"/>
        </w:rPr>
        <w:sym w:font="Symbol" w:char="F0B3"/>
      </w:r>
      <w:r w:rsidRPr="007F67EE">
        <w:rPr>
          <w:sz w:val="22"/>
          <w:szCs w:val="22"/>
        </w:rPr>
        <w:t xml:space="preserve"> 1/1000 til &lt; 1/100); sjeldne (</w:t>
      </w:r>
      <w:r w:rsidRPr="007F67EE">
        <w:rPr>
          <w:rFonts w:ascii="Symbol" w:hAnsi="Symbol"/>
          <w:sz w:val="22"/>
          <w:szCs w:val="22"/>
        </w:rPr>
        <w:sym w:font="Symbol" w:char="F0B3"/>
      </w:r>
      <w:r w:rsidRPr="007F67EE">
        <w:rPr>
          <w:sz w:val="22"/>
          <w:szCs w:val="22"/>
        </w:rPr>
        <w:t xml:space="preserve"> 1/10 000 til &lt; 1/1000) og </w:t>
      </w:r>
      <w:r w:rsidRPr="00193D76">
        <w:rPr>
          <w:sz w:val="22"/>
          <w:szCs w:val="22"/>
        </w:rPr>
        <w:t xml:space="preserve">ikke kjent </w:t>
      </w:r>
      <w:r w:rsidRPr="002D0790">
        <w:rPr>
          <w:sz w:val="22"/>
          <w:szCs w:val="22"/>
        </w:rPr>
        <w:t>(</w:t>
      </w:r>
      <w:r w:rsidRPr="00E14E58">
        <w:rPr>
          <w:sz w:val="22"/>
          <w:szCs w:val="22"/>
        </w:rPr>
        <w:t xml:space="preserve">kan ikke anslås ut </w:t>
      </w:r>
      <w:r w:rsidRPr="009C5EFD">
        <w:rPr>
          <w:sz w:val="22"/>
          <w:szCs w:val="22"/>
        </w:rPr>
        <w:t xml:space="preserve">ifra tilgjengelig data). Innenfor hver frekvensgruppering er bivirkninger presentert etter synkende alvorlighetsgrad. Den høyeste frekvens som er sett blant de forskjellige indikasjonene er inkludert. Dersom det finnes ytterligere informasjon et annet sted i </w:t>
      </w:r>
      <w:r w:rsidR="00ED6DD4">
        <w:rPr>
          <w:sz w:val="22"/>
          <w:szCs w:val="22"/>
        </w:rPr>
        <w:t>pkt.</w:t>
      </w:r>
      <w:r w:rsidR="00ED6DD4" w:rsidRPr="009C5EFD">
        <w:rPr>
          <w:sz w:val="22"/>
          <w:szCs w:val="22"/>
        </w:rPr>
        <w:t xml:space="preserve"> </w:t>
      </w:r>
      <w:r w:rsidRPr="009C5EFD">
        <w:rPr>
          <w:sz w:val="22"/>
          <w:szCs w:val="22"/>
        </w:rPr>
        <w:t xml:space="preserve">4.3, 4.4. og 4.8 vil denne bli merket med stjerne </w:t>
      </w:r>
      <w:r>
        <w:rPr>
          <w:sz w:val="22"/>
          <w:szCs w:val="22"/>
        </w:rPr>
        <w:t>(*)</w:t>
      </w:r>
      <w:r w:rsidRPr="009C5EFD">
        <w:rPr>
          <w:sz w:val="22"/>
          <w:szCs w:val="22"/>
        </w:rPr>
        <w:t xml:space="preserve"> i organ</w:t>
      </w:r>
      <w:r w:rsidR="00257EC7">
        <w:rPr>
          <w:sz w:val="22"/>
          <w:szCs w:val="22"/>
        </w:rPr>
        <w:t>klasse</w:t>
      </w:r>
      <w:r w:rsidRPr="009C5EFD">
        <w:rPr>
          <w:sz w:val="22"/>
          <w:szCs w:val="22"/>
        </w:rPr>
        <w:t>system kolonnen.</w:t>
      </w:r>
    </w:p>
    <w:p w14:paraId="442A5CC3" w14:textId="77777777" w:rsidR="00586C0C" w:rsidRDefault="00586C0C">
      <w:pPr>
        <w:rPr>
          <w:sz w:val="22"/>
        </w:rPr>
      </w:pPr>
    </w:p>
    <w:p w14:paraId="28358AAB" w14:textId="77777777" w:rsidR="00586C0C" w:rsidRPr="009C5EFD" w:rsidRDefault="00E453CD" w:rsidP="00776A84">
      <w:pPr>
        <w:keepNext/>
        <w:jc w:val="center"/>
        <w:rPr>
          <w:b/>
          <w:sz w:val="22"/>
          <w:szCs w:val="22"/>
        </w:rPr>
      </w:pPr>
      <w:r w:rsidRPr="009C5EFD">
        <w:rPr>
          <w:b/>
          <w:sz w:val="22"/>
          <w:szCs w:val="22"/>
        </w:rPr>
        <w:t>Tabell</w:t>
      </w:r>
      <w:r w:rsidR="00DB3BD6">
        <w:rPr>
          <w:b/>
          <w:sz w:val="22"/>
          <w:szCs w:val="22"/>
        </w:rPr>
        <w:t> </w:t>
      </w:r>
      <w:r>
        <w:rPr>
          <w:b/>
          <w:sz w:val="22"/>
          <w:szCs w:val="22"/>
        </w:rPr>
        <w:t>6</w:t>
      </w:r>
    </w:p>
    <w:p w14:paraId="29159631" w14:textId="77777777" w:rsidR="00586C0C" w:rsidRPr="009C5EFD" w:rsidRDefault="00E453CD" w:rsidP="00776A84">
      <w:pPr>
        <w:keepNext/>
        <w:jc w:val="center"/>
        <w:rPr>
          <w:b/>
          <w:sz w:val="22"/>
          <w:szCs w:val="22"/>
        </w:rPr>
      </w:pPr>
      <w:r w:rsidRPr="009C5EFD">
        <w:rPr>
          <w:b/>
          <w:sz w:val="22"/>
          <w:szCs w:val="22"/>
        </w:rPr>
        <w:t xml:space="preserve">Bivirkninger </w:t>
      </w:r>
    </w:p>
    <w:p w14:paraId="3C2FA7FF" w14:textId="77777777" w:rsidR="00586C0C" w:rsidRPr="009C5EFD" w:rsidRDefault="00586C0C" w:rsidP="00776A84">
      <w:pPr>
        <w:keepNext/>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9"/>
        <w:gridCol w:w="1682"/>
        <w:gridCol w:w="4294"/>
      </w:tblGrid>
      <w:tr w:rsidR="004644D4" w14:paraId="7557DFF3" w14:textId="77777777" w:rsidTr="00032240">
        <w:tc>
          <w:tcPr>
            <w:tcW w:w="3079" w:type="dxa"/>
          </w:tcPr>
          <w:p w14:paraId="0B4CC572" w14:textId="77777777" w:rsidR="00586C0C" w:rsidRPr="001F5D4B" w:rsidRDefault="00E453CD" w:rsidP="008B396C">
            <w:pPr>
              <w:widowControl w:val="0"/>
              <w:tabs>
                <w:tab w:val="left" w:pos="562"/>
              </w:tabs>
              <w:suppressAutoHyphens/>
              <w:spacing w:before="120" w:after="120"/>
              <w:jc w:val="center"/>
              <w:rPr>
                <w:b/>
                <w:bCs/>
                <w:lang w:val="en-GB"/>
              </w:rPr>
            </w:pPr>
            <w:r w:rsidRPr="001F5D4B">
              <w:rPr>
                <w:b/>
                <w:bCs/>
                <w:sz w:val="22"/>
                <w:lang w:val="en-GB"/>
              </w:rPr>
              <w:t>Organklassesystem</w:t>
            </w:r>
          </w:p>
        </w:tc>
        <w:tc>
          <w:tcPr>
            <w:tcW w:w="1682" w:type="dxa"/>
            <w:tcBorders>
              <w:bottom w:val="single" w:sz="4" w:space="0" w:color="auto"/>
            </w:tcBorders>
          </w:tcPr>
          <w:p w14:paraId="1B3F57CB" w14:textId="77777777" w:rsidR="00586C0C" w:rsidRPr="001F5D4B" w:rsidRDefault="00E453CD" w:rsidP="008B396C">
            <w:pPr>
              <w:widowControl w:val="0"/>
              <w:tabs>
                <w:tab w:val="left" w:pos="562"/>
              </w:tabs>
              <w:suppressAutoHyphens/>
              <w:spacing w:before="120" w:after="120"/>
              <w:jc w:val="center"/>
              <w:rPr>
                <w:b/>
                <w:bCs/>
                <w:lang w:val="en-GB"/>
              </w:rPr>
            </w:pPr>
            <w:r w:rsidRPr="001F5D4B">
              <w:rPr>
                <w:b/>
                <w:bCs/>
                <w:sz w:val="22"/>
                <w:lang w:val="en-GB"/>
              </w:rPr>
              <w:t>Frekvens</w:t>
            </w:r>
          </w:p>
        </w:tc>
        <w:tc>
          <w:tcPr>
            <w:tcW w:w="4294" w:type="dxa"/>
            <w:tcBorders>
              <w:bottom w:val="single" w:sz="4" w:space="0" w:color="auto"/>
            </w:tcBorders>
          </w:tcPr>
          <w:p w14:paraId="6817D51E" w14:textId="77777777" w:rsidR="00586C0C" w:rsidRPr="001F5D4B" w:rsidRDefault="00E453CD" w:rsidP="008B396C">
            <w:pPr>
              <w:widowControl w:val="0"/>
              <w:tabs>
                <w:tab w:val="left" w:pos="562"/>
              </w:tabs>
              <w:suppressAutoHyphens/>
              <w:spacing w:before="120" w:after="120"/>
              <w:jc w:val="center"/>
              <w:rPr>
                <w:b/>
                <w:bCs/>
                <w:lang w:val="en-GB"/>
              </w:rPr>
            </w:pPr>
            <w:r w:rsidRPr="001F5D4B">
              <w:rPr>
                <w:b/>
                <w:bCs/>
                <w:sz w:val="22"/>
                <w:lang w:val="en-GB"/>
              </w:rPr>
              <w:t>Bivirkninger</w:t>
            </w:r>
          </w:p>
        </w:tc>
      </w:tr>
      <w:tr w:rsidR="004644D4" w14:paraId="36D58A7A" w14:textId="77777777" w:rsidTr="00032240">
        <w:trPr>
          <w:trHeight w:val="1061"/>
        </w:trPr>
        <w:tc>
          <w:tcPr>
            <w:tcW w:w="3079" w:type="dxa"/>
            <w:vMerge w:val="restart"/>
          </w:tcPr>
          <w:p w14:paraId="47375760" w14:textId="77777777" w:rsidR="00586C0C" w:rsidRPr="007F67EE" w:rsidRDefault="00E453CD" w:rsidP="008B396C">
            <w:pPr>
              <w:pStyle w:val="EndnoteText"/>
              <w:tabs>
                <w:tab w:val="clear" w:pos="567"/>
              </w:tabs>
              <w:rPr>
                <w:szCs w:val="22"/>
                <w:lang w:val="nb-NO"/>
              </w:rPr>
            </w:pPr>
            <w:r w:rsidRPr="007F67EE">
              <w:rPr>
                <w:szCs w:val="22"/>
                <w:lang w:val="nb-NO"/>
              </w:rPr>
              <w:t>Infeksiøse og parasittære sykdommer*</w:t>
            </w:r>
          </w:p>
        </w:tc>
        <w:tc>
          <w:tcPr>
            <w:tcW w:w="1682" w:type="dxa"/>
            <w:tcBorders>
              <w:bottom w:val="single" w:sz="4" w:space="0" w:color="auto"/>
            </w:tcBorders>
          </w:tcPr>
          <w:p w14:paraId="311FDF82" w14:textId="77777777" w:rsidR="00586C0C" w:rsidRPr="007F67EE" w:rsidRDefault="00E453CD" w:rsidP="008B396C">
            <w:pPr>
              <w:pStyle w:val="EndnoteText"/>
              <w:tabs>
                <w:tab w:val="clear" w:pos="567"/>
              </w:tabs>
              <w:rPr>
                <w:szCs w:val="22"/>
                <w:lang w:val="nb-NO"/>
              </w:rPr>
            </w:pPr>
            <w:r w:rsidRPr="007F67EE">
              <w:rPr>
                <w:szCs w:val="22"/>
                <w:lang w:val="nb-NO"/>
              </w:rPr>
              <w:t>Svært vanlige</w:t>
            </w:r>
          </w:p>
          <w:p w14:paraId="2ECE4BB4" w14:textId="77777777" w:rsidR="00586C0C" w:rsidRPr="00193D76" w:rsidRDefault="00586C0C" w:rsidP="008B396C">
            <w:pPr>
              <w:pStyle w:val="EndnoteText"/>
              <w:tabs>
                <w:tab w:val="clear" w:pos="567"/>
              </w:tabs>
              <w:rPr>
                <w:szCs w:val="22"/>
                <w:lang w:val="nb-NO"/>
              </w:rPr>
            </w:pPr>
          </w:p>
        </w:tc>
        <w:tc>
          <w:tcPr>
            <w:tcW w:w="4294" w:type="dxa"/>
            <w:tcBorders>
              <w:bottom w:val="single" w:sz="4" w:space="0" w:color="auto"/>
            </w:tcBorders>
          </w:tcPr>
          <w:p w14:paraId="3B3B0B30" w14:textId="77777777" w:rsidR="00586C0C" w:rsidRPr="002D0790" w:rsidRDefault="00E453CD" w:rsidP="008B396C">
            <w:pPr>
              <w:pStyle w:val="EMEAFigureTitle"/>
              <w:tabs>
                <w:tab w:val="clear" w:pos="562"/>
              </w:tabs>
              <w:suppressAutoHyphens w:val="0"/>
              <w:rPr>
                <w:szCs w:val="22"/>
                <w:lang w:val="nb-NO"/>
              </w:rPr>
            </w:pPr>
            <w:r w:rsidRPr="002D0790">
              <w:rPr>
                <w:szCs w:val="22"/>
                <w:lang w:val="nb-NO"/>
              </w:rPr>
              <w:t xml:space="preserve">Luftveisinfeksjon (inkludert nedre og øvre luftveisinfeksjon, </w:t>
            </w:r>
            <w:r w:rsidR="007360CD">
              <w:rPr>
                <w:szCs w:val="22"/>
                <w:lang w:val="nb-NO"/>
              </w:rPr>
              <w:t>pneumoni</w:t>
            </w:r>
            <w:r w:rsidRPr="002D0790">
              <w:rPr>
                <w:szCs w:val="22"/>
                <w:lang w:val="nb-NO"/>
              </w:rPr>
              <w:t>, sinusitt, faryngitt, nasofaryngitt og herpesvirus pneumoni)</w:t>
            </w:r>
          </w:p>
          <w:p w14:paraId="6328FF43" w14:textId="77777777" w:rsidR="00586C0C" w:rsidRPr="002D0790" w:rsidRDefault="00586C0C" w:rsidP="008B396C">
            <w:pPr>
              <w:pStyle w:val="EMEAFigureTitle"/>
              <w:tabs>
                <w:tab w:val="clear" w:pos="562"/>
              </w:tabs>
              <w:suppressAutoHyphens w:val="0"/>
              <w:rPr>
                <w:szCs w:val="22"/>
                <w:lang w:val="nb-NO"/>
              </w:rPr>
            </w:pPr>
          </w:p>
        </w:tc>
      </w:tr>
      <w:tr w:rsidR="004644D4" w14:paraId="0EF9A28A" w14:textId="77777777" w:rsidTr="00032240">
        <w:trPr>
          <w:trHeight w:val="3116"/>
        </w:trPr>
        <w:tc>
          <w:tcPr>
            <w:tcW w:w="3079" w:type="dxa"/>
            <w:vMerge/>
          </w:tcPr>
          <w:p w14:paraId="392E3BB1" w14:textId="77777777" w:rsidR="00586C0C" w:rsidRPr="009C5EFD" w:rsidRDefault="00586C0C" w:rsidP="008B396C">
            <w:pPr>
              <w:pStyle w:val="EndnoteText"/>
              <w:tabs>
                <w:tab w:val="clear" w:pos="567"/>
              </w:tabs>
              <w:rPr>
                <w:szCs w:val="22"/>
                <w:lang w:val="nb-NO"/>
              </w:rPr>
            </w:pPr>
          </w:p>
        </w:tc>
        <w:tc>
          <w:tcPr>
            <w:tcW w:w="1682" w:type="dxa"/>
            <w:tcBorders>
              <w:top w:val="single" w:sz="4" w:space="0" w:color="auto"/>
              <w:bottom w:val="single" w:sz="4" w:space="0" w:color="auto"/>
            </w:tcBorders>
          </w:tcPr>
          <w:p w14:paraId="3DB4D92E" w14:textId="77777777" w:rsidR="00586C0C" w:rsidRPr="009C5EFD" w:rsidRDefault="00E453CD" w:rsidP="008B396C">
            <w:pPr>
              <w:pStyle w:val="EndnoteText"/>
              <w:tabs>
                <w:tab w:val="clear" w:pos="567"/>
              </w:tabs>
              <w:rPr>
                <w:szCs w:val="22"/>
                <w:lang w:val="nb-NO"/>
              </w:rPr>
            </w:pPr>
            <w:r w:rsidRPr="009C5EFD">
              <w:rPr>
                <w:szCs w:val="22"/>
                <w:lang w:val="nb-NO"/>
              </w:rPr>
              <w:t>Vanlige</w:t>
            </w:r>
          </w:p>
          <w:p w14:paraId="5DFC986B" w14:textId="77777777" w:rsidR="00586C0C" w:rsidRPr="009C5EFD" w:rsidRDefault="00586C0C" w:rsidP="008B396C">
            <w:pPr>
              <w:pStyle w:val="EndnoteText"/>
              <w:tabs>
                <w:tab w:val="clear" w:pos="567"/>
              </w:tabs>
              <w:rPr>
                <w:szCs w:val="22"/>
                <w:lang w:val="nb-NO"/>
              </w:rPr>
            </w:pPr>
          </w:p>
        </w:tc>
        <w:tc>
          <w:tcPr>
            <w:tcW w:w="4294" w:type="dxa"/>
            <w:tcBorders>
              <w:top w:val="single" w:sz="4" w:space="0" w:color="auto"/>
              <w:bottom w:val="single" w:sz="4" w:space="0" w:color="auto"/>
            </w:tcBorders>
          </w:tcPr>
          <w:p w14:paraId="3E70317D" w14:textId="77777777" w:rsidR="00586C0C" w:rsidRPr="009C5EFD" w:rsidRDefault="00E453CD" w:rsidP="008B396C">
            <w:pPr>
              <w:widowControl w:val="0"/>
              <w:rPr>
                <w:sz w:val="22"/>
                <w:szCs w:val="22"/>
              </w:rPr>
            </w:pPr>
            <w:r w:rsidRPr="009C5EFD">
              <w:rPr>
                <w:sz w:val="22"/>
                <w:szCs w:val="22"/>
              </w:rPr>
              <w:t xml:space="preserve">Systemiske infeksjoner (inkludert </w:t>
            </w:r>
            <w:r w:rsidR="007360CD">
              <w:rPr>
                <w:sz w:val="22"/>
                <w:szCs w:val="22"/>
              </w:rPr>
              <w:t>sepsis</w:t>
            </w:r>
            <w:r w:rsidRPr="009C5EFD">
              <w:rPr>
                <w:sz w:val="22"/>
                <w:szCs w:val="22"/>
              </w:rPr>
              <w:t xml:space="preserve">, candidiasis og influensa), intestinale infeksjoner (inkludert viral gastroenteritt), hud- og bløtvevsinfeksjoner (inkludert paronyki, cellulitt, impetigo, nekrotiserende fasciitt og herpes zoster), øreinfeksjoner, orale infeksjoner (inkludert herpes simplex, oral herpes, tanninfeksjoner), infeksjoner i reproduksjonsorgan (inkludert vulvovaginal soppinfeksjon), urinveisinfeksjoner (inkludert pyelonefritt), soppinfeksjoner, </w:t>
            </w:r>
            <w:r w:rsidRPr="009C5EFD">
              <w:rPr>
                <w:szCs w:val="22"/>
              </w:rPr>
              <w:t>leddinfeksjoner</w:t>
            </w:r>
          </w:p>
          <w:p w14:paraId="71276279" w14:textId="77777777" w:rsidR="00586C0C" w:rsidRPr="009C5EFD" w:rsidRDefault="00586C0C" w:rsidP="008B396C">
            <w:pPr>
              <w:pStyle w:val="EndnoteText"/>
              <w:tabs>
                <w:tab w:val="clear" w:pos="567"/>
              </w:tabs>
              <w:rPr>
                <w:szCs w:val="22"/>
                <w:lang w:val="nb-NO"/>
              </w:rPr>
            </w:pPr>
          </w:p>
        </w:tc>
      </w:tr>
      <w:tr w:rsidR="004644D4" w14:paraId="3B9EB854" w14:textId="77777777" w:rsidTr="00032240">
        <w:trPr>
          <w:trHeight w:val="1594"/>
        </w:trPr>
        <w:tc>
          <w:tcPr>
            <w:tcW w:w="3079" w:type="dxa"/>
            <w:vMerge/>
          </w:tcPr>
          <w:p w14:paraId="19DD2EE0" w14:textId="77777777" w:rsidR="00586C0C" w:rsidRPr="009C5EFD" w:rsidRDefault="00586C0C" w:rsidP="008B396C">
            <w:pPr>
              <w:pStyle w:val="EndnoteText"/>
              <w:tabs>
                <w:tab w:val="clear" w:pos="567"/>
              </w:tabs>
              <w:rPr>
                <w:szCs w:val="22"/>
                <w:lang w:val="nb-NO"/>
              </w:rPr>
            </w:pPr>
          </w:p>
        </w:tc>
        <w:tc>
          <w:tcPr>
            <w:tcW w:w="1682" w:type="dxa"/>
            <w:tcBorders>
              <w:top w:val="single" w:sz="4" w:space="0" w:color="auto"/>
              <w:bottom w:val="single" w:sz="4" w:space="0" w:color="auto"/>
            </w:tcBorders>
          </w:tcPr>
          <w:p w14:paraId="555BF754" w14:textId="77777777" w:rsidR="00586C0C" w:rsidRPr="009C5EFD" w:rsidRDefault="00E453CD" w:rsidP="008B396C">
            <w:pPr>
              <w:pStyle w:val="EndnoteText"/>
              <w:tabs>
                <w:tab w:val="clear" w:pos="567"/>
              </w:tabs>
              <w:rPr>
                <w:szCs w:val="22"/>
                <w:lang w:val="nb-NO"/>
              </w:rPr>
            </w:pPr>
            <w:r w:rsidRPr="009C5EFD">
              <w:rPr>
                <w:szCs w:val="22"/>
                <w:lang w:val="nb-NO"/>
              </w:rPr>
              <w:t>Mindre vanlige</w:t>
            </w:r>
          </w:p>
        </w:tc>
        <w:tc>
          <w:tcPr>
            <w:tcW w:w="4294" w:type="dxa"/>
            <w:tcBorders>
              <w:top w:val="single" w:sz="4" w:space="0" w:color="auto"/>
              <w:bottom w:val="single" w:sz="4" w:space="0" w:color="auto"/>
            </w:tcBorders>
          </w:tcPr>
          <w:p w14:paraId="442C34F2" w14:textId="77777777" w:rsidR="00586C0C" w:rsidRPr="009C5EFD" w:rsidRDefault="00E453CD" w:rsidP="008B396C">
            <w:pPr>
              <w:pStyle w:val="EMEANormal"/>
              <w:widowControl w:val="0"/>
              <w:rPr>
                <w:szCs w:val="22"/>
                <w:vertAlign w:val="superscript"/>
                <w:lang w:val="nb-NO"/>
              </w:rPr>
            </w:pPr>
            <w:r w:rsidRPr="009C5EFD">
              <w:rPr>
                <w:szCs w:val="22"/>
                <w:lang w:val="nb-NO"/>
              </w:rPr>
              <w:t>Nevrologiske infeksjoner (inkludert viral meningitt), opportunistiske infeksjoner og tuberkulose (inkludert koksidioidomykose, histoplamose og mycobactrium avium kompleks-infeksjon), bakterieinfeksjoner, øyeinfeksjoner, divertikulitt</w:t>
            </w:r>
            <w:r w:rsidRPr="009C5EFD">
              <w:rPr>
                <w:szCs w:val="22"/>
                <w:vertAlign w:val="superscript"/>
                <w:lang w:val="nb-NO"/>
              </w:rPr>
              <w:t>1)</w:t>
            </w:r>
          </w:p>
          <w:p w14:paraId="6EF8032D" w14:textId="77777777" w:rsidR="00586C0C" w:rsidRPr="009C5EFD" w:rsidRDefault="00586C0C" w:rsidP="008B396C">
            <w:pPr>
              <w:pStyle w:val="EMEANormal"/>
              <w:widowControl w:val="0"/>
              <w:rPr>
                <w:szCs w:val="22"/>
                <w:vertAlign w:val="superscript"/>
                <w:lang w:val="nb-NO"/>
              </w:rPr>
            </w:pPr>
          </w:p>
        </w:tc>
      </w:tr>
      <w:tr w:rsidR="004644D4" w14:paraId="41DDD552" w14:textId="77777777" w:rsidTr="00032240">
        <w:tc>
          <w:tcPr>
            <w:tcW w:w="3079" w:type="dxa"/>
            <w:vMerge w:val="restart"/>
            <w:tcBorders>
              <w:bottom w:val="single" w:sz="4" w:space="0" w:color="auto"/>
            </w:tcBorders>
          </w:tcPr>
          <w:p w14:paraId="53124668" w14:textId="77777777" w:rsidR="00586C0C" w:rsidRPr="009C5EFD" w:rsidRDefault="00E453CD" w:rsidP="008B396C">
            <w:pPr>
              <w:rPr>
                <w:sz w:val="22"/>
                <w:szCs w:val="22"/>
              </w:rPr>
            </w:pPr>
            <w:r w:rsidRPr="009C5EFD">
              <w:rPr>
                <w:sz w:val="22"/>
                <w:szCs w:val="22"/>
              </w:rPr>
              <w:t>Godartede, ondartede og uspesifiserte svulster (inkludert cyster og polypper)*</w:t>
            </w:r>
          </w:p>
        </w:tc>
        <w:tc>
          <w:tcPr>
            <w:tcW w:w="1682" w:type="dxa"/>
            <w:tcBorders>
              <w:top w:val="single" w:sz="4" w:space="0" w:color="auto"/>
              <w:bottom w:val="single" w:sz="4" w:space="0" w:color="auto"/>
            </w:tcBorders>
          </w:tcPr>
          <w:p w14:paraId="7F23E017" w14:textId="77777777" w:rsidR="00586C0C" w:rsidRPr="009C5EFD" w:rsidRDefault="00E453CD" w:rsidP="008B396C">
            <w:pPr>
              <w:rPr>
                <w:sz w:val="22"/>
                <w:szCs w:val="22"/>
              </w:rPr>
            </w:pPr>
            <w:r w:rsidRPr="009C5EFD">
              <w:rPr>
                <w:sz w:val="22"/>
                <w:szCs w:val="22"/>
              </w:rPr>
              <w:t>Vanlige</w:t>
            </w:r>
          </w:p>
          <w:p w14:paraId="1E58CA2B" w14:textId="77777777" w:rsidR="00586C0C" w:rsidRPr="009C5EFD" w:rsidRDefault="00586C0C" w:rsidP="008B396C">
            <w:pPr>
              <w:rPr>
                <w:sz w:val="22"/>
                <w:szCs w:val="22"/>
              </w:rPr>
            </w:pPr>
          </w:p>
          <w:p w14:paraId="4F50982E"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1EAFE44" w14:textId="77777777" w:rsidR="00586C0C" w:rsidRPr="009C5EFD" w:rsidRDefault="00E453CD" w:rsidP="008B396C">
            <w:pPr>
              <w:rPr>
                <w:sz w:val="22"/>
                <w:szCs w:val="22"/>
              </w:rPr>
            </w:pPr>
            <w:r w:rsidRPr="009C5EFD">
              <w:rPr>
                <w:sz w:val="22"/>
                <w:szCs w:val="22"/>
              </w:rPr>
              <w:t xml:space="preserve">Hudkreft unntatt melanom (inkludert basalcellekarsinom og </w:t>
            </w:r>
            <w:r w:rsidRPr="009C5EFD">
              <w:rPr>
                <w:rStyle w:val="equivalent"/>
                <w:sz w:val="22"/>
                <w:szCs w:val="22"/>
              </w:rPr>
              <w:t>plateepitelkarsinom</w:t>
            </w:r>
            <w:r w:rsidRPr="009C5EFD">
              <w:rPr>
                <w:sz w:val="22"/>
                <w:szCs w:val="22"/>
              </w:rPr>
              <w:t xml:space="preserve">), godartet svulst </w:t>
            </w:r>
          </w:p>
          <w:p w14:paraId="0F296394" w14:textId="77777777" w:rsidR="00586C0C" w:rsidRPr="009C5EFD" w:rsidRDefault="00586C0C" w:rsidP="008B396C">
            <w:pPr>
              <w:rPr>
                <w:sz w:val="22"/>
                <w:szCs w:val="22"/>
              </w:rPr>
            </w:pPr>
          </w:p>
        </w:tc>
      </w:tr>
      <w:tr w:rsidR="004644D4" w14:paraId="60D4E0AE" w14:textId="77777777" w:rsidTr="00032240">
        <w:tc>
          <w:tcPr>
            <w:tcW w:w="3079" w:type="dxa"/>
            <w:vMerge/>
            <w:tcBorders>
              <w:bottom w:val="nil"/>
            </w:tcBorders>
          </w:tcPr>
          <w:p w14:paraId="764D793C"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530F9D2" w14:textId="77777777" w:rsidR="00586C0C" w:rsidRPr="009C5EFD" w:rsidRDefault="00E453CD" w:rsidP="008B396C">
            <w:pPr>
              <w:rPr>
                <w:sz w:val="22"/>
                <w:szCs w:val="22"/>
              </w:rPr>
            </w:pPr>
            <w:r w:rsidRPr="009C5EFD">
              <w:rPr>
                <w:sz w:val="22"/>
                <w:szCs w:val="22"/>
              </w:rPr>
              <w:t>Mindre vanlige</w:t>
            </w:r>
          </w:p>
          <w:p w14:paraId="12ECAD0E"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1CB7BBAB" w14:textId="77777777" w:rsidR="00586C0C" w:rsidRPr="009C5EFD" w:rsidRDefault="00E453CD" w:rsidP="008B396C">
            <w:pPr>
              <w:rPr>
                <w:bCs/>
                <w:sz w:val="22"/>
                <w:szCs w:val="22"/>
              </w:rPr>
            </w:pPr>
            <w:r w:rsidRPr="009C5EFD">
              <w:rPr>
                <w:bCs/>
                <w:sz w:val="22"/>
                <w:szCs w:val="22"/>
              </w:rPr>
              <w:t>Lymfom**, solid organneoplasme (inkludert brystkreft, svulst i lunge, svulst i skjoldbruskkjertel), melanom**</w:t>
            </w:r>
          </w:p>
          <w:p w14:paraId="4FA750D5" w14:textId="77777777" w:rsidR="00586C0C" w:rsidRPr="009C5EFD" w:rsidRDefault="00586C0C" w:rsidP="008B396C">
            <w:pPr>
              <w:rPr>
                <w:sz w:val="22"/>
                <w:szCs w:val="22"/>
              </w:rPr>
            </w:pPr>
          </w:p>
        </w:tc>
      </w:tr>
      <w:tr w:rsidR="004644D4" w14:paraId="0358325A" w14:textId="77777777" w:rsidTr="00032240">
        <w:tc>
          <w:tcPr>
            <w:tcW w:w="3079" w:type="dxa"/>
            <w:vMerge/>
            <w:tcBorders>
              <w:top w:val="nil"/>
            </w:tcBorders>
          </w:tcPr>
          <w:p w14:paraId="61BC633A"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337971E" w14:textId="77777777" w:rsidR="00586C0C" w:rsidRPr="009C5EFD" w:rsidRDefault="00E453CD" w:rsidP="008B396C">
            <w:pPr>
              <w:rPr>
                <w:sz w:val="22"/>
                <w:szCs w:val="22"/>
              </w:rPr>
            </w:pPr>
            <w:r w:rsidRPr="009C5EFD">
              <w:rPr>
                <w:sz w:val="22"/>
                <w:szCs w:val="22"/>
              </w:rPr>
              <w:t>Sjeldne</w:t>
            </w:r>
          </w:p>
          <w:p w14:paraId="56AD14B7"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4900A0DF" w14:textId="77777777" w:rsidR="00586C0C" w:rsidRPr="009C5EFD" w:rsidRDefault="00E453CD" w:rsidP="008B396C">
            <w:pPr>
              <w:rPr>
                <w:sz w:val="22"/>
                <w:szCs w:val="22"/>
                <w:vertAlign w:val="superscript"/>
              </w:rPr>
            </w:pPr>
            <w:r w:rsidRPr="009C5EFD">
              <w:rPr>
                <w:sz w:val="22"/>
                <w:szCs w:val="22"/>
              </w:rPr>
              <w:t>Leukemi</w:t>
            </w:r>
            <w:r w:rsidRPr="009C5EFD">
              <w:rPr>
                <w:sz w:val="22"/>
                <w:szCs w:val="22"/>
                <w:vertAlign w:val="superscript"/>
              </w:rPr>
              <w:t>1)</w:t>
            </w:r>
          </w:p>
          <w:p w14:paraId="38287689" w14:textId="77777777" w:rsidR="00586C0C" w:rsidRPr="009C5EFD" w:rsidRDefault="00586C0C" w:rsidP="008B396C">
            <w:pPr>
              <w:rPr>
                <w:sz w:val="22"/>
                <w:szCs w:val="22"/>
              </w:rPr>
            </w:pPr>
          </w:p>
        </w:tc>
      </w:tr>
      <w:tr w:rsidR="004644D4" w14:paraId="75D32323" w14:textId="77777777" w:rsidTr="00032240">
        <w:tc>
          <w:tcPr>
            <w:tcW w:w="3079" w:type="dxa"/>
            <w:vMerge/>
          </w:tcPr>
          <w:p w14:paraId="69904C3B"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5FC973B6" w14:textId="77777777" w:rsidR="00586C0C" w:rsidRPr="009C5EFD" w:rsidRDefault="00E453CD" w:rsidP="008B396C">
            <w:pPr>
              <w:rPr>
                <w:sz w:val="22"/>
                <w:szCs w:val="22"/>
              </w:rPr>
            </w:pPr>
            <w:r w:rsidRPr="009C5EFD">
              <w:rPr>
                <w:sz w:val="22"/>
                <w:szCs w:val="22"/>
              </w:rPr>
              <w:t>Ikke kjent</w:t>
            </w:r>
          </w:p>
        </w:tc>
        <w:tc>
          <w:tcPr>
            <w:tcW w:w="4294" w:type="dxa"/>
            <w:tcBorders>
              <w:top w:val="single" w:sz="4" w:space="0" w:color="auto"/>
              <w:bottom w:val="single" w:sz="4" w:space="0" w:color="auto"/>
            </w:tcBorders>
          </w:tcPr>
          <w:p w14:paraId="4E68E5C2" w14:textId="77777777" w:rsidR="00586C0C" w:rsidRDefault="00E453CD" w:rsidP="008B396C">
            <w:pPr>
              <w:rPr>
                <w:sz w:val="22"/>
                <w:szCs w:val="22"/>
                <w:lang w:val="sv-SE"/>
              </w:rPr>
            </w:pPr>
            <w:r w:rsidRPr="009C5EFD">
              <w:rPr>
                <w:sz w:val="22"/>
                <w:szCs w:val="22"/>
                <w:lang w:val="sv-SE"/>
              </w:rPr>
              <w:t>Hepatosplenisk T-cellelymfom</w:t>
            </w:r>
            <w:r w:rsidRPr="009C5EFD">
              <w:rPr>
                <w:sz w:val="22"/>
                <w:szCs w:val="22"/>
                <w:vertAlign w:val="superscript"/>
                <w:lang w:val="sv-SE"/>
              </w:rPr>
              <w:t>1)</w:t>
            </w:r>
            <w:r w:rsidRPr="009C5EFD">
              <w:rPr>
                <w:sz w:val="22"/>
                <w:szCs w:val="22"/>
                <w:lang w:val="sv-SE"/>
              </w:rPr>
              <w:t>, merkelcellekarsinom (neuroendokrin karsinom av huden</w:t>
            </w:r>
            <w:r w:rsidRPr="009C5EFD">
              <w:rPr>
                <w:sz w:val="22"/>
                <w:szCs w:val="22"/>
                <w:vertAlign w:val="superscript"/>
                <w:lang w:val="sv-SE"/>
              </w:rPr>
              <w:t>1)</w:t>
            </w:r>
            <w:r w:rsidR="00C448C3">
              <w:rPr>
                <w:sz w:val="22"/>
                <w:szCs w:val="22"/>
                <w:lang w:val="sv-SE"/>
              </w:rPr>
              <w:t>,</w:t>
            </w:r>
          </w:p>
          <w:p w14:paraId="294318BF" w14:textId="77777777" w:rsidR="00C448C3" w:rsidRPr="00C448C3" w:rsidRDefault="00E453CD" w:rsidP="008B396C">
            <w:pPr>
              <w:rPr>
                <w:sz w:val="22"/>
                <w:szCs w:val="22"/>
                <w:lang w:val="sv-SE"/>
              </w:rPr>
            </w:pPr>
            <w:r>
              <w:rPr>
                <w:sz w:val="22"/>
                <w:szCs w:val="22"/>
                <w:lang w:val="sv-SE"/>
              </w:rPr>
              <w:t>Kaposis sarkom</w:t>
            </w:r>
          </w:p>
          <w:p w14:paraId="0E1925FD" w14:textId="77777777" w:rsidR="00586C0C" w:rsidRPr="009C5EFD" w:rsidRDefault="00586C0C" w:rsidP="008B396C">
            <w:pPr>
              <w:rPr>
                <w:sz w:val="22"/>
                <w:szCs w:val="22"/>
                <w:vertAlign w:val="superscript"/>
                <w:lang w:val="sv-SE"/>
              </w:rPr>
            </w:pPr>
          </w:p>
        </w:tc>
      </w:tr>
      <w:tr w:rsidR="004644D4" w14:paraId="3AA3A211" w14:textId="77777777" w:rsidTr="00032240">
        <w:tc>
          <w:tcPr>
            <w:tcW w:w="3079" w:type="dxa"/>
            <w:vMerge w:val="restart"/>
          </w:tcPr>
          <w:p w14:paraId="3FF7F9D0" w14:textId="77777777" w:rsidR="00586C0C" w:rsidRPr="007F67EE" w:rsidRDefault="00E453CD" w:rsidP="008B396C">
            <w:pPr>
              <w:pStyle w:val="EndnoteText"/>
              <w:rPr>
                <w:szCs w:val="22"/>
                <w:lang w:val="nb-NO"/>
              </w:rPr>
            </w:pPr>
            <w:r w:rsidRPr="007F67EE">
              <w:rPr>
                <w:szCs w:val="22"/>
                <w:lang w:val="nb-NO"/>
              </w:rPr>
              <w:t>Sykdommer i blod og lymfatiske organer</w:t>
            </w:r>
          </w:p>
        </w:tc>
        <w:tc>
          <w:tcPr>
            <w:tcW w:w="1682" w:type="dxa"/>
            <w:tcBorders>
              <w:bottom w:val="single" w:sz="4" w:space="0" w:color="auto"/>
            </w:tcBorders>
          </w:tcPr>
          <w:p w14:paraId="27378365" w14:textId="77777777" w:rsidR="00586C0C" w:rsidRPr="007F67EE" w:rsidRDefault="00E453CD" w:rsidP="008B396C">
            <w:pPr>
              <w:rPr>
                <w:sz w:val="22"/>
                <w:szCs w:val="22"/>
              </w:rPr>
            </w:pPr>
            <w:r w:rsidRPr="007F67EE">
              <w:rPr>
                <w:sz w:val="22"/>
                <w:szCs w:val="22"/>
              </w:rPr>
              <w:t>Svært vanlige</w:t>
            </w:r>
          </w:p>
          <w:p w14:paraId="17B88393" w14:textId="77777777" w:rsidR="00586C0C" w:rsidRPr="00193D76" w:rsidRDefault="00586C0C" w:rsidP="008B396C">
            <w:pPr>
              <w:rPr>
                <w:sz w:val="22"/>
                <w:szCs w:val="22"/>
              </w:rPr>
            </w:pPr>
          </w:p>
        </w:tc>
        <w:tc>
          <w:tcPr>
            <w:tcW w:w="4294" w:type="dxa"/>
            <w:tcBorders>
              <w:bottom w:val="single" w:sz="4" w:space="0" w:color="auto"/>
            </w:tcBorders>
          </w:tcPr>
          <w:p w14:paraId="1C9C55A1" w14:textId="77777777" w:rsidR="00586C0C" w:rsidRPr="00E14E58" w:rsidRDefault="00E453CD" w:rsidP="008B396C">
            <w:pPr>
              <w:rPr>
                <w:sz w:val="22"/>
                <w:szCs w:val="22"/>
              </w:rPr>
            </w:pPr>
            <w:r w:rsidRPr="002D0790">
              <w:rPr>
                <w:sz w:val="22"/>
                <w:szCs w:val="22"/>
              </w:rPr>
              <w:t>Leu</w:t>
            </w:r>
            <w:r w:rsidRPr="00E14E58">
              <w:rPr>
                <w:sz w:val="22"/>
                <w:szCs w:val="22"/>
              </w:rPr>
              <w:t>kopeni (inkludert nøytropeni og agranulocytose), anemi</w:t>
            </w:r>
          </w:p>
          <w:p w14:paraId="348DAFF2" w14:textId="77777777" w:rsidR="00586C0C" w:rsidRPr="009C5EFD" w:rsidRDefault="00586C0C" w:rsidP="008B396C">
            <w:pPr>
              <w:rPr>
                <w:sz w:val="22"/>
                <w:szCs w:val="22"/>
              </w:rPr>
            </w:pPr>
          </w:p>
        </w:tc>
      </w:tr>
      <w:tr w:rsidR="004644D4" w14:paraId="12971A05" w14:textId="77777777" w:rsidTr="00032240">
        <w:tc>
          <w:tcPr>
            <w:tcW w:w="3079" w:type="dxa"/>
            <w:vMerge/>
          </w:tcPr>
          <w:p w14:paraId="328D4722" w14:textId="77777777" w:rsidR="00586C0C" w:rsidRPr="009C5EFD" w:rsidRDefault="00586C0C" w:rsidP="008B396C">
            <w:pPr>
              <w:pStyle w:val="EndnoteText"/>
              <w:rPr>
                <w:szCs w:val="22"/>
                <w:lang w:val="nb-NO"/>
              </w:rPr>
            </w:pPr>
          </w:p>
        </w:tc>
        <w:tc>
          <w:tcPr>
            <w:tcW w:w="1682" w:type="dxa"/>
            <w:tcBorders>
              <w:top w:val="single" w:sz="4" w:space="0" w:color="auto"/>
              <w:bottom w:val="single" w:sz="4" w:space="0" w:color="auto"/>
            </w:tcBorders>
          </w:tcPr>
          <w:p w14:paraId="70EEBED6" w14:textId="77777777" w:rsidR="00586C0C" w:rsidRPr="009C5EFD" w:rsidRDefault="00E453CD" w:rsidP="008B396C">
            <w:pPr>
              <w:rPr>
                <w:sz w:val="22"/>
                <w:szCs w:val="22"/>
              </w:rPr>
            </w:pPr>
            <w:r w:rsidRPr="009C5EFD">
              <w:rPr>
                <w:sz w:val="22"/>
                <w:szCs w:val="22"/>
              </w:rPr>
              <w:t>Vanlige</w:t>
            </w:r>
          </w:p>
          <w:p w14:paraId="121C0FA1"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59905EF1" w14:textId="77777777" w:rsidR="00586C0C" w:rsidRPr="009C5EFD" w:rsidRDefault="00E453CD" w:rsidP="008B396C">
            <w:pPr>
              <w:rPr>
                <w:sz w:val="22"/>
                <w:szCs w:val="22"/>
              </w:rPr>
            </w:pPr>
            <w:r w:rsidRPr="009C5EFD">
              <w:rPr>
                <w:sz w:val="22"/>
                <w:szCs w:val="22"/>
              </w:rPr>
              <w:t>Leukocytose, trombocytopeni</w:t>
            </w:r>
          </w:p>
        </w:tc>
      </w:tr>
      <w:tr w:rsidR="004644D4" w14:paraId="30D8B7AA" w14:textId="77777777" w:rsidTr="00032240">
        <w:tc>
          <w:tcPr>
            <w:tcW w:w="3079" w:type="dxa"/>
            <w:vMerge/>
          </w:tcPr>
          <w:p w14:paraId="49CDFCD2" w14:textId="77777777" w:rsidR="00586C0C" w:rsidRPr="009C5EFD" w:rsidRDefault="00586C0C" w:rsidP="008B396C">
            <w:pPr>
              <w:pStyle w:val="EndnoteText"/>
              <w:rPr>
                <w:szCs w:val="22"/>
                <w:lang w:val="nb-NO"/>
              </w:rPr>
            </w:pPr>
          </w:p>
        </w:tc>
        <w:tc>
          <w:tcPr>
            <w:tcW w:w="1682" w:type="dxa"/>
            <w:tcBorders>
              <w:top w:val="single" w:sz="4" w:space="0" w:color="auto"/>
              <w:bottom w:val="single" w:sz="4" w:space="0" w:color="auto"/>
            </w:tcBorders>
          </w:tcPr>
          <w:p w14:paraId="7E68D74E" w14:textId="77777777" w:rsidR="00586C0C" w:rsidRPr="009C5EFD" w:rsidRDefault="00E453CD" w:rsidP="008B396C">
            <w:pPr>
              <w:rPr>
                <w:sz w:val="22"/>
                <w:szCs w:val="22"/>
              </w:rPr>
            </w:pPr>
            <w:r w:rsidRPr="009C5EFD">
              <w:rPr>
                <w:sz w:val="22"/>
                <w:szCs w:val="22"/>
              </w:rPr>
              <w:t>Mindre vanlige</w:t>
            </w:r>
          </w:p>
          <w:p w14:paraId="1718D56E"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2EC0ADCF" w14:textId="77777777" w:rsidR="00586C0C" w:rsidRPr="009C5EFD" w:rsidRDefault="00E453CD" w:rsidP="008B396C">
            <w:pPr>
              <w:rPr>
                <w:sz w:val="22"/>
                <w:szCs w:val="22"/>
              </w:rPr>
            </w:pPr>
            <w:r w:rsidRPr="009C5EFD">
              <w:rPr>
                <w:sz w:val="22"/>
                <w:szCs w:val="22"/>
              </w:rPr>
              <w:t>Idiopatisk trombocytopenisk purpura</w:t>
            </w:r>
          </w:p>
        </w:tc>
      </w:tr>
      <w:tr w:rsidR="004644D4" w14:paraId="73F25FBA" w14:textId="77777777" w:rsidTr="00032240">
        <w:tc>
          <w:tcPr>
            <w:tcW w:w="3079" w:type="dxa"/>
            <w:vMerge/>
            <w:tcBorders>
              <w:bottom w:val="single" w:sz="4" w:space="0" w:color="auto"/>
            </w:tcBorders>
          </w:tcPr>
          <w:p w14:paraId="050AC9F5" w14:textId="77777777" w:rsidR="00586C0C" w:rsidRPr="009C5EFD" w:rsidRDefault="00586C0C" w:rsidP="008B396C">
            <w:pPr>
              <w:pStyle w:val="EndnoteText"/>
              <w:tabs>
                <w:tab w:val="clear" w:pos="567"/>
              </w:tabs>
              <w:rPr>
                <w:szCs w:val="22"/>
                <w:lang w:val="nb-NO"/>
              </w:rPr>
            </w:pPr>
          </w:p>
        </w:tc>
        <w:tc>
          <w:tcPr>
            <w:tcW w:w="1682" w:type="dxa"/>
            <w:tcBorders>
              <w:top w:val="single" w:sz="4" w:space="0" w:color="auto"/>
              <w:bottom w:val="single" w:sz="4" w:space="0" w:color="auto"/>
            </w:tcBorders>
          </w:tcPr>
          <w:p w14:paraId="09F25D47" w14:textId="77777777" w:rsidR="00586C0C" w:rsidRPr="009C5EFD" w:rsidRDefault="00E453CD" w:rsidP="008B396C">
            <w:pPr>
              <w:rPr>
                <w:sz w:val="22"/>
                <w:szCs w:val="22"/>
              </w:rPr>
            </w:pPr>
            <w:r w:rsidRPr="009C5EFD">
              <w:rPr>
                <w:sz w:val="22"/>
                <w:szCs w:val="22"/>
              </w:rPr>
              <w:t>Sjeldne</w:t>
            </w:r>
          </w:p>
        </w:tc>
        <w:tc>
          <w:tcPr>
            <w:tcW w:w="4294" w:type="dxa"/>
            <w:tcBorders>
              <w:top w:val="single" w:sz="4" w:space="0" w:color="auto"/>
              <w:bottom w:val="single" w:sz="4" w:space="0" w:color="auto"/>
            </w:tcBorders>
          </w:tcPr>
          <w:p w14:paraId="31F112C8" w14:textId="77777777" w:rsidR="00586C0C" w:rsidRPr="009C5EFD" w:rsidRDefault="00E453CD" w:rsidP="008B396C">
            <w:pPr>
              <w:rPr>
                <w:sz w:val="22"/>
                <w:szCs w:val="22"/>
              </w:rPr>
            </w:pPr>
            <w:r w:rsidRPr="009C5EFD">
              <w:rPr>
                <w:sz w:val="22"/>
                <w:szCs w:val="22"/>
              </w:rPr>
              <w:t>Pancytopeni</w:t>
            </w:r>
          </w:p>
          <w:p w14:paraId="086A6005" w14:textId="77777777" w:rsidR="00586C0C" w:rsidRPr="009C5EFD" w:rsidRDefault="00586C0C" w:rsidP="008B396C">
            <w:pPr>
              <w:rPr>
                <w:sz w:val="22"/>
                <w:szCs w:val="22"/>
              </w:rPr>
            </w:pPr>
          </w:p>
        </w:tc>
      </w:tr>
      <w:tr w:rsidR="004644D4" w14:paraId="442787E8" w14:textId="77777777" w:rsidTr="00032240">
        <w:tc>
          <w:tcPr>
            <w:tcW w:w="3079" w:type="dxa"/>
            <w:vMerge w:val="restart"/>
            <w:tcBorders>
              <w:bottom w:val="single" w:sz="4" w:space="0" w:color="auto"/>
            </w:tcBorders>
          </w:tcPr>
          <w:p w14:paraId="344F6073" w14:textId="77777777" w:rsidR="00586C0C" w:rsidRPr="007F67EE" w:rsidRDefault="00E453CD" w:rsidP="008B396C">
            <w:pPr>
              <w:pStyle w:val="EndnoteText"/>
              <w:tabs>
                <w:tab w:val="clear" w:pos="567"/>
              </w:tabs>
              <w:rPr>
                <w:szCs w:val="22"/>
                <w:lang w:val="nb-NO"/>
              </w:rPr>
            </w:pPr>
            <w:r w:rsidRPr="007F67EE">
              <w:rPr>
                <w:szCs w:val="22"/>
                <w:lang w:val="nb-NO"/>
              </w:rPr>
              <w:t>Forstyrrelser i immunsystemet*</w:t>
            </w:r>
          </w:p>
        </w:tc>
        <w:tc>
          <w:tcPr>
            <w:tcW w:w="1682" w:type="dxa"/>
            <w:tcBorders>
              <w:bottom w:val="single" w:sz="4" w:space="0" w:color="auto"/>
            </w:tcBorders>
          </w:tcPr>
          <w:p w14:paraId="6433FB9C" w14:textId="77777777" w:rsidR="00586C0C" w:rsidRPr="007F67EE" w:rsidRDefault="00E453CD" w:rsidP="008B396C">
            <w:pPr>
              <w:rPr>
                <w:sz w:val="22"/>
                <w:szCs w:val="22"/>
              </w:rPr>
            </w:pPr>
            <w:r w:rsidRPr="007F67EE">
              <w:rPr>
                <w:sz w:val="22"/>
                <w:szCs w:val="22"/>
              </w:rPr>
              <w:t>Vanlige</w:t>
            </w:r>
          </w:p>
        </w:tc>
        <w:tc>
          <w:tcPr>
            <w:tcW w:w="4294" w:type="dxa"/>
            <w:tcBorders>
              <w:bottom w:val="single" w:sz="4" w:space="0" w:color="auto"/>
            </w:tcBorders>
          </w:tcPr>
          <w:p w14:paraId="394875BA" w14:textId="77777777" w:rsidR="00586C0C" w:rsidRPr="002D0790" w:rsidRDefault="00E453CD" w:rsidP="008B396C">
            <w:pPr>
              <w:rPr>
                <w:sz w:val="22"/>
                <w:szCs w:val="22"/>
              </w:rPr>
            </w:pPr>
            <w:r w:rsidRPr="00193D76">
              <w:rPr>
                <w:sz w:val="22"/>
                <w:szCs w:val="22"/>
              </w:rPr>
              <w:t>Hypersensitivitet, allergier (inkludert sesongbetinget allergi)</w:t>
            </w:r>
          </w:p>
          <w:p w14:paraId="2BD9232F" w14:textId="77777777" w:rsidR="00586C0C" w:rsidRPr="002D0790" w:rsidRDefault="00586C0C" w:rsidP="008B396C">
            <w:pPr>
              <w:rPr>
                <w:sz w:val="22"/>
                <w:szCs w:val="22"/>
                <w:vertAlign w:val="superscript"/>
              </w:rPr>
            </w:pPr>
          </w:p>
        </w:tc>
      </w:tr>
      <w:tr w:rsidR="004644D4" w14:paraId="0A9362C0" w14:textId="77777777" w:rsidTr="00032240">
        <w:tc>
          <w:tcPr>
            <w:tcW w:w="3079" w:type="dxa"/>
            <w:vMerge/>
            <w:tcBorders>
              <w:top w:val="single" w:sz="4" w:space="0" w:color="auto"/>
              <w:bottom w:val="single" w:sz="4" w:space="0" w:color="auto"/>
            </w:tcBorders>
          </w:tcPr>
          <w:p w14:paraId="3B95B436" w14:textId="77777777" w:rsidR="00586C0C" w:rsidRPr="009C5EFD" w:rsidRDefault="00586C0C" w:rsidP="008B396C">
            <w:pPr>
              <w:pStyle w:val="EndnoteText"/>
              <w:tabs>
                <w:tab w:val="clear" w:pos="567"/>
              </w:tabs>
              <w:rPr>
                <w:szCs w:val="22"/>
                <w:lang w:val="nb-NO"/>
              </w:rPr>
            </w:pPr>
          </w:p>
        </w:tc>
        <w:tc>
          <w:tcPr>
            <w:tcW w:w="1682" w:type="dxa"/>
            <w:tcBorders>
              <w:top w:val="single" w:sz="4" w:space="0" w:color="auto"/>
              <w:bottom w:val="single" w:sz="4" w:space="0" w:color="auto"/>
            </w:tcBorders>
          </w:tcPr>
          <w:p w14:paraId="792F48CA" w14:textId="77777777" w:rsidR="00586C0C" w:rsidRPr="009C5EFD" w:rsidRDefault="00E453CD" w:rsidP="008B396C">
            <w:pPr>
              <w:rPr>
                <w:sz w:val="22"/>
                <w:szCs w:val="22"/>
              </w:rPr>
            </w:pPr>
            <w:r w:rsidRPr="009C5EFD">
              <w:rPr>
                <w:sz w:val="22"/>
                <w:szCs w:val="22"/>
              </w:rPr>
              <w:t>Mindre vanlige</w:t>
            </w:r>
          </w:p>
          <w:p w14:paraId="26087109"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2CE51F4B" w14:textId="77777777" w:rsidR="00586C0C" w:rsidRPr="009C5EFD" w:rsidRDefault="00E453CD" w:rsidP="008B396C">
            <w:pPr>
              <w:rPr>
                <w:sz w:val="22"/>
                <w:szCs w:val="22"/>
              </w:rPr>
            </w:pPr>
            <w:r w:rsidRPr="009C5EFD">
              <w:rPr>
                <w:sz w:val="22"/>
                <w:szCs w:val="22"/>
              </w:rPr>
              <w:t>Sarkoidose</w:t>
            </w:r>
            <w:r w:rsidRPr="009C5EFD">
              <w:rPr>
                <w:sz w:val="22"/>
                <w:szCs w:val="22"/>
                <w:vertAlign w:val="superscript"/>
              </w:rPr>
              <w:t>1)</w:t>
            </w:r>
            <w:r w:rsidRPr="009C5EFD">
              <w:rPr>
                <w:sz w:val="22"/>
                <w:szCs w:val="22"/>
              </w:rPr>
              <w:t>, vaskulitt</w:t>
            </w:r>
          </w:p>
          <w:p w14:paraId="6CEE3C7C" w14:textId="77777777" w:rsidR="00586C0C" w:rsidRPr="009C5EFD" w:rsidRDefault="00586C0C" w:rsidP="008B396C">
            <w:pPr>
              <w:rPr>
                <w:sz w:val="22"/>
                <w:szCs w:val="22"/>
              </w:rPr>
            </w:pPr>
          </w:p>
        </w:tc>
      </w:tr>
      <w:tr w:rsidR="004644D4" w14:paraId="6B560EC0" w14:textId="77777777" w:rsidTr="00032240">
        <w:tc>
          <w:tcPr>
            <w:tcW w:w="3079" w:type="dxa"/>
            <w:vMerge/>
            <w:tcBorders>
              <w:top w:val="single" w:sz="4" w:space="0" w:color="auto"/>
            </w:tcBorders>
          </w:tcPr>
          <w:p w14:paraId="53402369" w14:textId="77777777" w:rsidR="00586C0C" w:rsidRPr="009C5EFD" w:rsidRDefault="00586C0C" w:rsidP="008B396C">
            <w:pPr>
              <w:pStyle w:val="EndnoteText"/>
              <w:tabs>
                <w:tab w:val="clear" w:pos="567"/>
              </w:tabs>
              <w:rPr>
                <w:szCs w:val="22"/>
                <w:lang w:val="nb-NO"/>
              </w:rPr>
            </w:pPr>
          </w:p>
        </w:tc>
        <w:tc>
          <w:tcPr>
            <w:tcW w:w="1682" w:type="dxa"/>
            <w:tcBorders>
              <w:top w:val="single" w:sz="4" w:space="0" w:color="auto"/>
              <w:bottom w:val="single" w:sz="4" w:space="0" w:color="auto"/>
            </w:tcBorders>
          </w:tcPr>
          <w:p w14:paraId="5E9B4DCE" w14:textId="77777777" w:rsidR="00586C0C" w:rsidRPr="009C5EFD" w:rsidRDefault="00E453CD" w:rsidP="008B396C">
            <w:pPr>
              <w:rPr>
                <w:sz w:val="22"/>
                <w:szCs w:val="22"/>
              </w:rPr>
            </w:pPr>
            <w:r w:rsidRPr="009C5EFD">
              <w:rPr>
                <w:sz w:val="22"/>
                <w:szCs w:val="22"/>
              </w:rPr>
              <w:t>Sjeldne</w:t>
            </w:r>
          </w:p>
          <w:p w14:paraId="0704CFCD"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5EA49787" w14:textId="77777777" w:rsidR="00586C0C" w:rsidRPr="009C5EFD" w:rsidRDefault="00E453CD" w:rsidP="008B396C">
            <w:pPr>
              <w:rPr>
                <w:sz w:val="22"/>
                <w:szCs w:val="22"/>
              </w:rPr>
            </w:pPr>
            <w:r w:rsidRPr="009C5EFD">
              <w:rPr>
                <w:sz w:val="22"/>
                <w:szCs w:val="22"/>
              </w:rPr>
              <w:t>Anafylaksi</w:t>
            </w:r>
            <w:r w:rsidRPr="009C5EFD">
              <w:rPr>
                <w:sz w:val="22"/>
                <w:szCs w:val="22"/>
                <w:vertAlign w:val="superscript"/>
              </w:rPr>
              <w:t>1)</w:t>
            </w:r>
          </w:p>
        </w:tc>
      </w:tr>
      <w:tr w:rsidR="004644D4" w14:paraId="31BCD79F" w14:textId="77777777" w:rsidTr="00032240">
        <w:tc>
          <w:tcPr>
            <w:tcW w:w="3079" w:type="dxa"/>
            <w:vMerge w:val="restart"/>
          </w:tcPr>
          <w:p w14:paraId="5F80CD7D" w14:textId="77777777" w:rsidR="00586C0C" w:rsidRPr="007F67EE" w:rsidRDefault="00E453CD" w:rsidP="008B396C">
            <w:pPr>
              <w:pStyle w:val="EndnoteText"/>
              <w:rPr>
                <w:szCs w:val="22"/>
                <w:lang w:val="nb-NO"/>
              </w:rPr>
            </w:pPr>
            <w:r w:rsidRPr="007F67EE">
              <w:rPr>
                <w:szCs w:val="22"/>
                <w:lang w:val="nb-NO"/>
              </w:rPr>
              <w:t>Stoffskifte- og ernæringsbetingede sykdommer</w:t>
            </w:r>
          </w:p>
        </w:tc>
        <w:tc>
          <w:tcPr>
            <w:tcW w:w="1682" w:type="dxa"/>
            <w:tcBorders>
              <w:bottom w:val="single" w:sz="4" w:space="0" w:color="auto"/>
            </w:tcBorders>
          </w:tcPr>
          <w:p w14:paraId="6B582A6B" w14:textId="77777777" w:rsidR="00586C0C" w:rsidRPr="007F67EE" w:rsidRDefault="00E453CD" w:rsidP="008B396C">
            <w:pPr>
              <w:rPr>
                <w:sz w:val="22"/>
                <w:szCs w:val="22"/>
              </w:rPr>
            </w:pPr>
            <w:r w:rsidRPr="007F67EE">
              <w:rPr>
                <w:sz w:val="22"/>
                <w:szCs w:val="22"/>
              </w:rPr>
              <w:t>Svært vanlige</w:t>
            </w:r>
          </w:p>
          <w:p w14:paraId="30604E4C" w14:textId="77777777" w:rsidR="00586C0C" w:rsidRPr="00193D76" w:rsidRDefault="00586C0C" w:rsidP="008B396C">
            <w:pPr>
              <w:rPr>
                <w:sz w:val="22"/>
                <w:szCs w:val="22"/>
              </w:rPr>
            </w:pPr>
          </w:p>
        </w:tc>
        <w:tc>
          <w:tcPr>
            <w:tcW w:w="4294" w:type="dxa"/>
            <w:tcBorders>
              <w:bottom w:val="single" w:sz="4" w:space="0" w:color="auto"/>
            </w:tcBorders>
          </w:tcPr>
          <w:p w14:paraId="79A88429" w14:textId="77777777" w:rsidR="00586C0C" w:rsidRPr="002D0790" w:rsidRDefault="00E453CD" w:rsidP="008B396C">
            <w:pPr>
              <w:rPr>
                <w:sz w:val="22"/>
                <w:szCs w:val="22"/>
              </w:rPr>
            </w:pPr>
            <w:r w:rsidRPr="002D0790">
              <w:rPr>
                <w:sz w:val="22"/>
                <w:szCs w:val="22"/>
              </w:rPr>
              <w:t>Lipidøkning</w:t>
            </w:r>
          </w:p>
          <w:p w14:paraId="50E30ED5" w14:textId="77777777" w:rsidR="00586C0C" w:rsidRPr="002D0790" w:rsidRDefault="00586C0C" w:rsidP="008B396C">
            <w:pPr>
              <w:rPr>
                <w:sz w:val="22"/>
                <w:szCs w:val="22"/>
              </w:rPr>
            </w:pPr>
          </w:p>
        </w:tc>
      </w:tr>
      <w:tr w:rsidR="004644D4" w14:paraId="372404B1" w14:textId="77777777" w:rsidTr="00032240">
        <w:tc>
          <w:tcPr>
            <w:tcW w:w="3079" w:type="dxa"/>
            <w:vMerge/>
          </w:tcPr>
          <w:p w14:paraId="34A8CB39" w14:textId="77777777" w:rsidR="00586C0C" w:rsidRPr="009C5EFD" w:rsidRDefault="00586C0C" w:rsidP="008B396C">
            <w:pPr>
              <w:pStyle w:val="EndnoteText"/>
              <w:tabs>
                <w:tab w:val="clear" w:pos="567"/>
              </w:tabs>
              <w:rPr>
                <w:szCs w:val="22"/>
                <w:lang w:val="nb-NO"/>
              </w:rPr>
            </w:pPr>
          </w:p>
        </w:tc>
        <w:tc>
          <w:tcPr>
            <w:tcW w:w="1682" w:type="dxa"/>
            <w:tcBorders>
              <w:top w:val="single" w:sz="4" w:space="0" w:color="auto"/>
              <w:bottom w:val="nil"/>
            </w:tcBorders>
          </w:tcPr>
          <w:p w14:paraId="4A892917" w14:textId="77777777" w:rsidR="00586C0C" w:rsidRPr="009C5EFD" w:rsidRDefault="00E453CD" w:rsidP="008B396C">
            <w:pPr>
              <w:rPr>
                <w:sz w:val="22"/>
                <w:szCs w:val="22"/>
              </w:rPr>
            </w:pPr>
            <w:r w:rsidRPr="009C5EFD">
              <w:rPr>
                <w:sz w:val="22"/>
                <w:szCs w:val="22"/>
              </w:rPr>
              <w:t>Vanlige</w:t>
            </w:r>
          </w:p>
          <w:p w14:paraId="0AFA39F7" w14:textId="77777777" w:rsidR="00586C0C" w:rsidRPr="009C5EFD" w:rsidRDefault="00586C0C" w:rsidP="008B396C">
            <w:pPr>
              <w:rPr>
                <w:sz w:val="22"/>
                <w:szCs w:val="22"/>
              </w:rPr>
            </w:pPr>
          </w:p>
          <w:p w14:paraId="3C8E6DB5" w14:textId="77777777" w:rsidR="00586C0C" w:rsidRPr="009C5EFD" w:rsidRDefault="00586C0C" w:rsidP="008B396C">
            <w:pPr>
              <w:rPr>
                <w:sz w:val="22"/>
                <w:szCs w:val="22"/>
              </w:rPr>
            </w:pPr>
          </w:p>
          <w:p w14:paraId="3F137C57" w14:textId="77777777" w:rsidR="00586C0C" w:rsidRPr="009C5EFD" w:rsidRDefault="00586C0C" w:rsidP="008B396C">
            <w:pPr>
              <w:rPr>
                <w:sz w:val="22"/>
                <w:szCs w:val="22"/>
              </w:rPr>
            </w:pPr>
          </w:p>
        </w:tc>
        <w:tc>
          <w:tcPr>
            <w:tcW w:w="4294" w:type="dxa"/>
            <w:tcBorders>
              <w:top w:val="single" w:sz="4" w:space="0" w:color="auto"/>
              <w:bottom w:val="nil"/>
            </w:tcBorders>
          </w:tcPr>
          <w:p w14:paraId="6995E94C" w14:textId="77777777" w:rsidR="00586C0C" w:rsidRPr="009C5EFD" w:rsidRDefault="00E453CD" w:rsidP="008B396C">
            <w:pPr>
              <w:rPr>
                <w:sz w:val="22"/>
                <w:szCs w:val="22"/>
              </w:rPr>
            </w:pPr>
            <w:r w:rsidRPr="009C5EFD">
              <w:rPr>
                <w:sz w:val="22"/>
                <w:szCs w:val="22"/>
              </w:rPr>
              <w:t>Hypokalemi, forhøyet urinsyre, unormale natriumverdier i blod, hypokalsemi, hyperglykemi, hypofosfatemi, dehydrering</w:t>
            </w:r>
          </w:p>
        </w:tc>
      </w:tr>
      <w:tr w:rsidR="004644D4" w14:paraId="7C25517E" w14:textId="77777777" w:rsidTr="00032240">
        <w:tc>
          <w:tcPr>
            <w:tcW w:w="3079" w:type="dxa"/>
            <w:tcBorders>
              <w:bottom w:val="single" w:sz="4" w:space="0" w:color="auto"/>
            </w:tcBorders>
          </w:tcPr>
          <w:p w14:paraId="7BD4CC58" w14:textId="77777777" w:rsidR="00586C0C" w:rsidRPr="007F67EE" w:rsidRDefault="00E453CD" w:rsidP="008B396C">
            <w:pPr>
              <w:pStyle w:val="EndnoteText"/>
              <w:tabs>
                <w:tab w:val="clear" w:pos="567"/>
              </w:tabs>
              <w:rPr>
                <w:szCs w:val="22"/>
                <w:lang w:val="nb-NO"/>
              </w:rPr>
            </w:pPr>
            <w:r w:rsidRPr="007F67EE">
              <w:rPr>
                <w:szCs w:val="22"/>
                <w:lang w:val="nb-NO"/>
              </w:rPr>
              <w:t>Psykiatriske lidelser</w:t>
            </w:r>
          </w:p>
        </w:tc>
        <w:tc>
          <w:tcPr>
            <w:tcW w:w="1682" w:type="dxa"/>
            <w:tcBorders>
              <w:bottom w:val="single" w:sz="4" w:space="0" w:color="auto"/>
            </w:tcBorders>
          </w:tcPr>
          <w:p w14:paraId="2DB04834" w14:textId="77777777" w:rsidR="00586C0C" w:rsidRPr="007F67EE" w:rsidRDefault="00E453CD" w:rsidP="008B396C">
            <w:pPr>
              <w:rPr>
                <w:sz w:val="22"/>
                <w:szCs w:val="22"/>
              </w:rPr>
            </w:pPr>
            <w:r w:rsidRPr="007F67EE">
              <w:rPr>
                <w:sz w:val="22"/>
                <w:szCs w:val="22"/>
              </w:rPr>
              <w:t>Vanlige</w:t>
            </w:r>
          </w:p>
        </w:tc>
        <w:tc>
          <w:tcPr>
            <w:tcW w:w="4294" w:type="dxa"/>
            <w:tcBorders>
              <w:bottom w:val="single" w:sz="4" w:space="0" w:color="auto"/>
            </w:tcBorders>
          </w:tcPr>
          <w:p w14:paraId="5ECEACA9" w14:textId="77777777" w:rsidR="00586C0C" w:rsidRPr="00193D76" w:rsidRDefault="00E453CD" w:rsidP="008B396C">
            <w:pPr>
              <w:pStyle w:val="EMEAFigureTitle"/>
              <w:tabs>
                <w:tab w:val="clear" w:pos="562"/>
              </w:tabs>
              <w:suppressAutoHyphens w:val="0"/>
              <w:rPr>
                <w:szCs w:val="22"/>
                <w:lang w:val="nb-NO"/>
              </w:rPr>
            </w:pPr>
            <w:r w:rsidRPr="00193D76">
              <w:rPr>
                <w:szCs w:val="22"/>
                <w:lang w:val="nb-NO"/>
              </w:rPr>
              <w:t>Humørforandringer (inkludert depresjon), angst, søvnløshet</w:t>
            </w:r>
          </w:p>
          <w:p w14:paraId="39C2AAF5" w14:textId="77777777" w:rsidR="00586C0C" w:rsidRPr="002D0790" w:rsidRDefault="00586C0C" w:rsidP="008B396C">
            <w:pPr>
              <w:rPr>
                <w:sz w:val="22"/>
                <w:szCs w:val="22"/>
              </w:rPr>
            </w:pPr>
          </w:p>
        </w:tc>
      </w:tr>
      <w:tr w:rsidR="004644D4" w14:paraId="445F92A8" w14:textId="77777777" w:rsidTr="00032240">
        <w:tc>
          <w:tcPr>
            <w:tcW w:w="3079" w:type="dxa"/>
            <w:vMerge w:val="restart"/>
            <w:tcBorders>
              <w:bottom w:val="single" w:sz="4" w:space="0" w:color="auto"/>
            </w:tcBorders>
          </w:tcPr>
          <w:p w14:paraId="3EB43C78" w14:textId="77777777" w:rsidR="00586C0C" w:rsidRPr="009C5EFD" w:rsidRDefault="00E453CD" w:rsidP="008B396C">
            <w:pPr>
              <w:rPr>
                <w:sz w:val="22"/>
                <w:szCs w:val="22"/>
              </w:rPr>
            </w:pPr>
            <w:r w:rsidRPr="009C5EFD">
              <w:rPr>
                <w:sz w:val="22"/>
                <w:szCs w:val="22"/>
              </w:rPr>
              <w:t xml:space="preserve">Nevrologiske sykdommer* </w:t>
            </w:r>
          </w:p>
        </w:tc>
        <w:tc>
          <w:tcPr>
            <w:tcW w:w="1682" w:type="dxa"/>
            <w:tcBorders>
              <w:bottom w:val="single" w:sz="4" w:space="0" w:color="auto"/>
            </w:tcBorders>
          </w:tcPr>
          <w:p w14:paraId="23809E70" w14:textId="77777777" w:rsidR="00586C0C" w:rsidRPr="009C5EFD" w:rsidRDefault="00E453CD" w:rsidP="008B396C">
            <w:pPr>
              <w:rPr>
                <w:sz w:val="22"/>
                <w:szCs w:val="22"/>
              </w:rPr>
            </w:pPr>
            <w:r w:rsidRPr="009C5EFD">
              <w:rPr>
                <w:sz w:val="22"/>
                <w:szCs w:val="22"/>
              </w:rPr>
              <w:t>Svært vanlige</w:t>
            </w:r>
          </w:p>
          <w:p w14:paraId="184AF62C" w14:textId="77777777" w:rsidR="00586C0C" w:rsidRPr="009C5EFD" w:rsidRDefault="00586C0C" w:rsidP="008B396C">
            <w:pPr>
              <w:rPr>
                <w:sz w:val="22"/>
                <w:szCs w:val="22"/>
              </w:rPr>
            </w:pPr>
          </w:p>
        </w:tc>
        <w:tc>
          <w:tcPr>
            <w:tcW w:w="4294" w:type="dxa"/>
            <w:tcBorders>
              <w:bottom w:val="single" w:sz="4" w:space="0" w:color="auto"/>
            </w:tcBorders>
          </w:tcPr>
          <w:p w14:paraId="0ED2B467" w14:textId="77777777" w:rsidR="00586C0C" w:rsidRPr="009C5EFD" w:rsidRDefault="00E453CD" w:rsidP="008B396C">
            <w:pPr>
              <w:rPr>
                <w:sz w:val="22"/>
                <w:szCs w:val="22"/>
              </w:rPr>
            </w:pPr>
            <w:r w:rsidRPr="009C5EFD">
              <w:rPr>
                <w:sz w:val="22"/>
                <w:szCs w:val="22"/>
              </w:rPr>
              <w:t>Hodepine</w:t>
            </w:r>
          </w:p>
        </w:tc>
      </w:tr>
      <w:tr w:rsidR="004644D4" w14:paraId="03741CDD" w14:textId="77777777" w:rsidTr="00032240">
        <w:tc>
          <w:tcPr>
            <w:tcW w:w="3079" w:type="dxa"/>
            <w:vMerge/>
            <w:tcBorders>
              <w:top w:val="single" w:sz="4" w:space="0" w:color="auto"/>
              <w:bottom w:val="single" w:sz="4" w:space="0" w:color="auto"/>
            </w:tcBorders>
          </w:tcPr>
          <w:p w14:paraId="218A1C90"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4A767882" w14:textId="77777777" w:rsidR="00586C0C" w:rsidRPr="009C5EFD" w:rsidRDefault="00E453CD" w:rsidP="008B396C">
            <w:pPr>
              <w:rPr>
                <w:sz w:val="22"/>
                <w:szCs w:val="22"/>
              </w:rPr>
            </w:pPr>
            <w:r w:rsidRPr="009C5EFD">
              <w:rPr>
                <w:sz w:val="22"/>
                <w:szCs w:val="22"/>
              </w:rPr>
              <w:t>Vanlige</w:t>
            </w:r>
          </w:p>
          <w:p w14:paraId="3DF9F5E8"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395BA797" w14:textId="77777777" w:rsidR="00586C0C" w:rsidRPr="009C5EFD" w:rsidRDefault="00E453CD" w:rsidP="008B396C">
            <w:pPr>
              <w:rPr>
                <w:sz w:val="22"/>
                <w:szCs w:val="22"/>
              </w:rPr>
            </w:pPr>
            <w:r w:rsidRPr="009C5EFD">
              <w:rPr>
                <w:sz w:val="22"/>
                <w:szCs w:val="22"/>
              </w:rPr>
              <w:t>Parestesier (inkludert hypoestesi), migrene, kompresjon av nerverot</w:t>
            </w:r>
          </w:p>
          <w:p w14:paraId="0C390B53" w14:textId="77777777" w:rsidR="00586C0C" w:rsidRPr="009C5EFD" w:rsidRDefault="00586C0C" w:rsidP="008B396C">
            <w:pPr>
              <w:rPr>
                <w:sz w:val="22"/>
                <w:szCs w:val="22"/>
              </w:rPr>
            </w:pPr>
          </w:p>
        </w:tc>
      </w:tr>
      <w:tr w:rsidR="004644D4" w14:paraId="22B46E14" w14:textId="77777777" w:rsidTr="00032240">
        <w:tc>
          <w:tcPr>
            <w:tcW w:w="3079" w:type="dxa"/>
            <w:vMerge/>
            <w:tcBorders>
              <w:top w:val="single" w:sz="4" w:space="0" w:color="auto"/>
            </w:tcBorders>
          </w:tcPr>
          <w:p w14:paraId="1883F61F"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985C0B5" w14:textId="77777777" w:rsidR="00586C0C" w:rsidRPr="009C5EFD" w:rsidRDefault="00E453CD" w:rsidP="008B396C">
            <w:pPr>
              <w:rPr>
                <w:sz w:val="22"/>
                <w:szCs w:val="22"/>
              </w:rPr>
            </w:pPr>
            <w:r w:rsidRPr="009C5EFD">
              <w:rPr>
                <w:sz w:val="22"/>
                <w:szCs w:val="22"/>
              </w:rPr>
              <w:t>Mindre vanlige</w:t>
            </w:r>
          </w:p>
          <w:p w14:paraId="3B3E9122"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A5293B9" w14:textId="77777777" w:rsidR="00586C0C" w:rsidRPr="009C5EFD" w:rsidRDefault="00E453CD" w:rsidP="008B396C">
            <w:pPr>
              <w:pStyle w:val="Heading9"/>
              <w:spacing w:before="0" w:after="0"/>
              <w:rPr>
                <w:rFonts w:ascii="Times New Roman" w:hAnsi="Times New Roman" w:cs="Times New Roman"/>
              </w:rPr>
            </w:pPr>
            <w:r w:rsidRPr="009C5EFD">
              <w:rPr>
                <w:rFonts w:ascii="Times New Roman" w:hAnsi="Times New Roman" w:cs="Times New Roman"/>
              </w:rPr>
              <w:t>Cerebrovaskulær sykdom</w:t>
            </w:r>
            <w:r w:rsidRPr="009C5EFD">
              <w:rPr>
                <w:rFonts w:ascii="Times New Roman" w:hAnsi="Times New Roman" w:cs="Times New Roman"/>
                <w:vertAlign w:val="superscript"/>
              </w:rPr>
              <w:t>1)</w:t>
            </w:r>
            <w:r w:rsidRPr="009C5EFD">
              <w:rPr>
                <w:rFonts w:ascii="Times New Roman" w:hAnsi="Times New Roman" w:cs="Times New Roman"/>
              </w:rPr>
              <w:t>, tremor, neuropati</w:t>
            </w:r>
          </w:p>
          <w:p w14:paraId="7CFA2042" w14:textId="77777777" w:rsidR="00586C0C" w:rsidRPr="009C5EFD" w:rsidRDefault="00586C0C" w:rsidP="008B396C">
            <w:pPr>
              <w:rPr>
                <w:sz w:val="22"/>
                <w:szCs w:val="22"/>
              </w:rPr>
            </w:pPr>
          </w:p>
        </w:tc>
      </w:tr>
      <w:tr w:rsidR="004644D4" w14:paraId="406E8394" w14:textId="77777777" w:rsidTr="00032240">
        <w:trPr>
          <w:trHeight w:val="1022"/>
        </w:trPr>
        <w:tc>
          <w:tcPr>
            <w:tcW w:w="3079" w:type="dxa"/>
            <w:vMerge/>
          </w:tcPr>
          <w:p w14:paraId="7EEFB088"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4C54453F" w14:textId="77777777" w:rsidR="00586C0C" w:rsidRPr="009C5EFD" w:rsidRDefault="00E453CD" w:rsidP="008B396C">
            <w:pPr>
              <w:rPr>
                <w:sz w:val="22"/>
                <w:szCs w:val="22"/>
              </w:rPr>
            </w:pPr>
            <w:r w:rsidRPr="009C5EFD">
              <w:rPr>
                <w:sz w:val="22"/>
                <w:szCs w:val="22"/>
              </w:rPr>
              <w:t>Sjeldne</w:t>
            </w:r>
          </w:p>
          <w:p w14:paraId="57F154D5"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0504C23" w14:textId="77777777" w:rsidR="00586C0C" w:rsidRDefault="00E453CD" w:rsidP="008B396C">
            <w:pPr>
              <w:rPr>
                <w:sz w:val="22"/>
                <w:szCs w:val="22"/>
              </w:rPr>
            </w:pPr>
            <w:r w:rsidRPr="009C5EFD">
              <w:rPr>
                <w:sz w:val="22"/>
                <w:szCs w:val="22"/>
              </w:rPr>
              <w:t>Multippel sklerose</w:t>
            </w:r>
          </w:p>
          <w:p w14:paraId="0385D5FA" w14:textId="77777777" w:rsidR="00586C0C" w:rsidRPr="009C5EFD" w:rsidRDefault="00E453CD" w:rsidP="008B396C">
            <w:pPr>
              <w:rPr>
                <w:sz w:val="22"/>
                <w:szCs w:val="22"/>
              </w:rPr>
            </w:pPr>
            <w:r w:rsidRPr="00586C0C">
              <w:rPr>
                <w:sz w:val="22"/>
                <w:szCs w:val="22"/>
              </w:rPr>
              <w:t>Demyeliniseringsforstyrrelser (f. eks. optisk nevritt, Guillain-Barré syndrom)</w:t>
            </w:r>
            <w:r w:rsidRPr="00AB7697">
              <w:rPr>
                <w:sz w:val="22"/>
                <w:szCs w:val="22"/>
                <w:vertAlign w:val="superscript"/>
              </w:rPr>
              <w:t>1)</w:t>
            </w:r>
          </w:p>
        </w:tc>
      </w:tr>
      <w:tr w:rsidR="004644D4" w14:paraId="0A81CF01" w14:textId="77777777" w:rsidTr="00032240">
        <w:tc>
          <w:tcPr>
            <w:tcW w:w="3079" w:type="dxa"/>
            <w:vMerge w:val="restart"/>
          </w:tcPr>
          <w:p w14:paraId="6ABAA199" w14:textId="77777777" w:rsidR="00586C0C" w:rsidRPr="009C5EFD" w:rsidRDefault="00E453CD" w:rsidP="008B396C">
            <w:pPr>
              <w:rPr>
                <w:sz w:val="22"/>
                <w:szCs w:val="22"/>
              </w:rPr>
            </w:pPr>
            <w:r w:rsidRPr="009C5EFD">
              <w:rPr>
                <w:sz w:val="22"/>
                <w:szCs w:val="22"/>
              </w:rPr>
              <w:t>Øyesykdommer</w:t>
            </w:r>
          </w:p>
        </w:tc>
        <w:tc>
          <w:tcPr>
            <w:tcW w:w="1682" w:type="dxa"/>
            <w:tcBorders>
              <w:bottom w:val="single" w:sz="4" w:space="0" w:color="auto"/>
            </w:tcBorders>
          </w:tcPr>
          <w:p w14:paraId="14D66CCF" w14:textId="77777777" w:rsidR="00586C0C" w:rsidRPr="009C5EFD" w:rsidRDefault="00E453CD" w:rsidP="008B396C">
            <w:pPr>
              <w:pStyle w:val="EndnoteText"/>
              <w:tabs>
                <w:tab w:val="clear" w:pos="567"/>
              </w:tabs>
              <w:rPr>
                <w:szCs w:val="22"/>
                <w:lang w:val="nb-NO"/>
              </w:rPr>
            </w:pPr>
            <w:r w:rsidRPr="009C5EFD">
              <w:rPr>
                <w:szCs w:val="22"/>
                <w:lang w:val="nb-NO"/>
              </w:rPr>
              <w:t>Vanlige</w:t>
            </w:r>
          </w:p>
          <w:p w14:paraId="01190F34" w14:textId="77777777" w:rsidR="00586C0C" w:rsidRPr="009C5EFD" w:rsidRDefault="00586C0C" w:rsidP="008B396C">
            <w:pPr>
              <w:pStyle w:val="EndnoteText"/>
              <w:tabs>
                <w:tab w:val="clear" w:pos="567"/>
              </w:tabs>
              <w:rPr>
                <w:szCs w:val="22"/>
                <w:lang w:val="nb-NO"/>
              </w:rPr>
            </w:pPr>
          </w:p>
        </w:tc>
        <w:tc>
          <w:tcPr>
            <w:tcW w:w="4294" w:type="dxa"/>
            <w:tcBorders>
              <w:bottom w:val="single" w:sz="4" w:space="0" w:color="auto"/>
            </w:tcBorders>
          </w:tcPr>
          <w:p w14:paraId="3968F4BD" w14:textId="77777777" w:rsidR="00586C0C" w:rsidRPr="009C5EFD" w:rsidRDefault="00E453CD" w:rsidP="008B396C">
            <w:pPr>
              <w:rPr>
                <w:sz w:val="22"/>
                <w:szCs w:val="22"/>
              </w:rPr>
            </w:pPr>
            <w:r w:rsidRPr="009C5EFD">
              <w:rPr>
                <w:sz w:val="22"/>
                <w:szCs w:val="22"/>
              </w:rPr>
              <w:t>Synsforstyrrelser, konjunktivitt, blefaritt, hevelse i øye</w:t>
            </w:r>
          </w:p>
        </w:tc>
      </w:tr>
      <w:tr w:rsidR="004644D4" w14:paraId="71CB78D4" w14:textId="77777777" w:rsidTr="00032240">
        <w:tc>
          <w:tcPr>
            <w:tcW w:w="3079" w:type="dxa"/>
            <w:vMerge/>
          </w:tcPr>
          <w:p w14:paraId="30EF1E39"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606747C6" w14:textId="77777777" w:rsidR="00586C0C" w:rsidRPr="009C5EFD" w:rsidRDefault="00E453CD" w:rsidP="008B396C">
            <w:pPr>
              <w:pStyle w:val="EndnoteText"/>
              <w:tabs>
                <w:tab w:val="clear" w:pos="567"/>
              </w:tabs>
              <w:rPr>
                <w:szCs w:val="22"/>
                <w:lang w:val="nb-NO"/>
              </w:rPr>
            </w:pPr>
            <w:r w:rsidRPr="009C5EFD">
              <w:rPr>
                <w:szCs w:val="22"/>
                <w:lang w:val="nb-NO"/>
              </w:rPr>
              <w:t>Mindre vanlige</w:t>
            </w:r>
          </w:p>
        </w:tc>
        <w:tc>
          <w:tcPr>
            <w:tcW w:w="4294" w:type="dxa"/>
            <w:tcBorders>
              <w:top w:val="single" w:sz="4" w:space="0" w:color="auto"/>
              <w:bottom w:val="single" w:sz="4" w:space="0" w:color="auto"/>
            </w:tcBorders>
          </w:tcPr>
          <w:p w14:paraId="75395350" w14:textId="77777777" w:rsidR="00586C0C" w:rsidRPr="009C5EFD" w:rsidRDefault="00E453CD" w:rsidP="008B396C">
            <w:pPr>
              <w:rPr>
                <w:sz w:val="22"/>
                <w:szCs w:val="22"/>
              </w:rPr>
            </w:pPr>
            <w:r w:rsidRPr="009C5EFD">
              <w:rPr>
                <w:sz w:val="22"/>
                <w:szCs w:val="22"/>
              </w:rPr>
              <w:t xml:space="preserve">Diplopi </w:t>
            </w:r>
          </w:p>
          <w:p w14:paraId="333E22D8" w14:textId="77777777" w:rsidR="00586C0C" w:rsidRPr="009C5EFD" w:rsidRDefault="00586C0C" w:rsidP="008B396C">
            <w:pPr>
              <w:rPr>
                <w:sz w:val="22"/>
                <w:szCs w:val="22"/>
              </w:rPr>
            </w:pPr>
          </w:p>
        </w:tc>
      </w:tr>
      <w:tr w:rsidR="004644D4" w14:paraId="3C521330" w14:textId="77777777" w:rsidTr="00032240">
        <w:tc>
          <w:tcPr>
            <w:tcW w:w="3079" w:type="dxa"/>
            <w:vMerge w:val="restart"/>
          </w:tcPr>
          <w:p w14:paraId="25E75E58" w14:textId="77777777" w:rsidR="00586C0C" w:rsidRPr="009C5EFD" w:rsidRDefault="00E453CD" w:rsidP="008B396C">
            <w:pPr>
              <w:rPr>
                <w:sz w:val="22"/>
                <w:szCs w:val="22"/>
              </w:rPr>
            </w:pPr>
            <w:r w:rsidRPr="009C5EFD">
              <w:rPr>
                <w:sz w:val="22"/>
                <w:szCs w:val="22"/>
              </w:rPr>
              <w:t>Sykdommer i øre og labyrint</w:t>
            </w:r>
          </w:p>
        </w:tc>
        <w:tc>
          <w:tcPr>
            <w:tcW w:w="1682" w:type="dxa"/>
            <w:tcBorders>
              <w:bottom w:val="single" w:sz="4" w:space="0" w:color="auto"/>
            </w:tcBorders>
          </w:tcPr>
          <w:p w14:paraId="381B1D3A" w14:textId="77777777" w:rsidR="00586C0C" w:rsidRPr="009C5EFD" w:rsidRDefault="00E453CD" w:rsidP="008B396C">
            <w:pPr>
              <w:pStyle w:val="EndnoteText"/>
              <w:tabs>
                <w:tab w:val="clear" w:pos="567"/>
              </w:tabs>
              <w:rPr>
                <w:szCs w:val="22"/>
                <w:lang w:val="nb-NO"/>
              </w:rPr>
            </w:pPr>
            <w:r w:rsidRPr="009C5EFD">
              <w:rPr>
                <w:szCs w:val="22"/>
                <w:lang w:val="nb-NO"/>
              </w:rPr>
              <w:t>Vanlige</w:t>
            </w:r>
          </w:p>
          <w:p w14:paraId="033D09F3" w14:textId="77777777" w:rsidR="00586C0C" w:rsidRPr="009C5EFD" w:rsidRDefault="00586C0C" w:rsidP="008B396C">
            <w:pPr>
              <w:pStyle w:val="EndnoteText"/>
              <w:tabs>
                <w:tab w:val="clear" w:pos="567"/>
              </w:tabs>
              <w:rPr>
                <w:szCs w:val="22"/>
                <w:lang w:val="nb-NO"/>
              </w:rPr>
            </w:pPr>
          </w:p>
        </w:tc>
        <w:tc>
          <w:tcPr>
            <w:tcW w:w="4294" w:type="dxa"/>
            <w:tcBorders>
              <w:bottom w:val="single" w:sz="4" w:space="0" w:color="auto"/>
            </w:tcBorders>
          </w:tcPr>
          <w:p w14:paraId="57B35484" w14:textId="77777777" w:rsidR="00586C0C" w:rsidRPr="009C5EFD" w:rsidRDefault="00E453CD" w:rsidP="008B396C">
            <w:pPr>
              <w:rPr>
                <w:sz w:val="22"/>
                <w:szCs w:val="22"/>
              </w:rPr>
            </w:pPr>
            <w:r w:rsidRPr="009C5EFD">
              <w:rPr>
                <w:sz w:val="22"/>
                <w:szCs w:val="22"/>
              </w:rPr>
              <w:t>Svimmelhet</w:t>
            </w:r>
          </w:p>
          <w:p w14:paraId="15BE305D" w14:textId="77777777" w:rsidR="00586C0C" w:rsidRPr="009C5EFD" w:rsidRDefault="00586C0C" w:rsidP="008B396C">
            <w:pPr>
              <w:rPr>
                <w:sz w:val="22"/>
                <w:szCs w:val="22"/>
              </w:rPr>
            </w:pPr>
          </w:p>
        </w:tc>
      </w:tr>
      <w:tr w:rsidR="004644D4" w14:paraId="4DA0BB20" w14:textId="77777777" w:rsidTr="00032240">
        <w:tc>
          <w:tcPr>
            <w:tcW w:w="3079" w:type="dxa"/>
            <w:vMerge/>
          </w:tcPr>
          <w:p w14:paraId="33B6E324"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0A34B998" w14:textId="77777777" w:rsidR="00586C0C" w:rsidRPr="009C5EFD" w:rsidRDefault="00E453CD" w:rsidP="008B396C">
            <w:pPr>
              <w:pStyle w:val="EndnoteText"/>
              <w:tabs>
                <w:tab w:val="clear" w:pos="567"/>
              </w:tabs>
              <w:rPr>
                <w:szCs w:val="22"/>
                <w:lang w:val="nb-NO"/>
              </w:rPr>
            </w:pPr>
            <w:r w:rsidRPr="009C5EFD">
              <w:rPr>
                <w:szCs w:val="22"/>
                <w:lang w:val="nb-NO"/>
              </w:rPr>
              <w:t>Mindre vanlige</w:t>
            </w:r>
          </w:p>
        </w:tc>
        <w:tc>
          <w:tcPr>
            <w:tcW w:w="4294" w:type="dxa"/>
            <w:tcBorders>
              <w:top w:val="single" w:sz="4" w:space="0" w:color="auto"/>
              <w:bottom w:val="single" w:sz="4" w:space="0" w:color="auto"/>
            </w:tcBorders>
          </w:tcPr>
          <w:p w14:paraId="23C0A3B5" w14:textId="77777777" w:rsidR="00586C0C" w:rsidRPr="009C5EFD" w:rsidRDefault="00E453CD" w:rsidP="008B396C">
            <w:pPr>
              <w:rPr>
                <w:sz w:val="22"/>
                <w:szCs w:val="22"/>
              </w:rPr>
            </w:pPr>
            <w:r w:rsidRPr="009C5EFD">
              <w:rPr>
                <w:sz w:val="22"/>
                <w:szCs w:val="22"/>
              </w:rPr>
              <w:t>Døvhet, øresus</w:t>
            </w:r>
          </w:p>
          <w:p w14:paraId="30552608" w14:textId="77777777" w:rsidR="00586C0C" w:rsidRPr="009C5EFD" w:rsidRDefault="00586C0C" w:rsidP="008B396C">
            <w:pPr>
              <w:rPr>
                <w:sz w:val="22"/>
                <w:szCs w:val="22"/>
              </w:rPr>
            </w:pPr>
          </w:p>
        </w:tc>
      </w:tr>
      <w:tr w:rsidR="004644D4" w14:paraId="302A7150" w14:textId="77777777" w:rsidTr="00032240">
        <w:tc>
          <w:tcPr>
            <w:tcW w:w="3079" w:type="dxa"/>
            <w:vMerge w:val="restart"/>
          </w:tcPr>
          <w:p w14:paraId="2A3799A3" w14:textId="77777777" w:rsidR="00586C0C" w:rsidRPr="009C5EFD" w:rsidRDefault="00E453CD" w:rsidP="008B396C">
            <w:pPr>
              <w:rPr>
                <w:sz w:val="22"/>
                <w:szCs w:val="22"/>
              </w:rPr>
            </w:pPr>
            <w:r w:rsidRPr="009C5EFD">
              <w:rPr>
                <w:sz w:val="22"/>
                <w:szCs w:val="22"/>
              </w:rPr>
              <w:t>Hjertesykdommer*</w:t>
            </w:r>
          </w:p>
        </w:tc>
        <w:tc>
          <w:tcPr>
            <w:tcW w:w="1682" w:type="dxa"/>
            <w:tcBorders>
              <w:bottom w:val="single" w:sz="4" w:space="0" w:color="auto"/>
            </w:tcBorders>
          </w:tcPr>
          <w:p w14:paraId="320DC1FB" w14:textId="77777777" w:rsidR="00586C0C" w:rsidRPr="009C5EFD" w:rsidRDefault="00E453CD" w:rsidP="008B396C">
            <w:pPr>
              <w:rPr>
                <w:sz w:val="22"/>
                <w:szCs w:val="22"/>
              </w:rPr>
            </w:pPr>
            <w:r w:rsidRPr="009C5EFD">
              <w:rPr>
                <w:sz w:val="22"/>
                <w:szCs w:val="22"/>
              </w:rPr>
              <w:t>Vanlige</w:t>
            </w:r>
          </w:p>
          <w:p w14:paraId="54D783C3" w14:textId="77777777" w:rsidR="00586C0C" w:rsidRPr="009C5EFD" w:rsidRDefault="00586C0C" w:rsidP="008B396C">
            <w:pPr>
              <w:rPr>
                <w:sz w:val="22"/>
                <w:szCs w:val="22"/>
              </w:rPr>
            </w:pPr>
          </w:p>
        </w:tc>
        <w:tc>
          <w:tcPr>
            <w:tcW w:w="4294" w:type="dxa"/>
            <w:tcBorders>
              <w:bottom w:val="single" w:sz="4" w:space="0" w:color="auto"/>
            </w:tcBorders>
          </w:tcPr>
          <w:p w14:paraId="6AE6B7EA" w14:textId="77777777" w:rsidR="00586C0C" w:rsidRPr="009C5EFD" w:rsidRDefault="00E453CD" w:rsidP="008B396C">
            <w:pPr>
              <w:rPr>
                <w:sz w:val="22"/>
                <w:szCs w:val="22"/>
              </w:rPr>
            </w:pPr>
            <w:r w:rsidRPr="009C5EFD">
              <w:rPr>
                <w:sz w:val="22"/>
                <w:szCs w:val="22"/>
              </w:rPr>
              <w:t>Takykardi</w:t>
            </w:r>
          </w:p>
        </w:tc>
      </w:tr>
      <w:tr w:rsidR="004644D4" w14:paraId="37DB2225" w14:textId="77777777" w:rsidTr="00032240">
        <w:tc>
          <w:tcPr>
            <w:tcW w:w="3079" w:type="dxa"/>
            <w:vMerge/>
          </w:tcPr>
          <w:p w14:paraId="6749D3B7"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64C0287" w14:textId="77777777" w:rsidR="00586C0C" w:rsidRPr="009C5EFD" w:rsidRDefault="00E453CD" w:rsidP="008B396C">
            <w:pPr>
              <w:rPr>
                <w:sz w:val="22"/>
                <w:szCs w:val="22"/>
              </w:rPr>
            </w:pPr>
            <w:r w:rsidRPr="009C5EFD">
              <w:rPr>
                <w:sz w:val="22"/>
                <w:szCs w:val="22"/>
              </w:rPr>
              <w:t>Mindre vanlige</w:t>
            </w:r>
          </w:p>
          <w:p w14:paraId="7D09AFDC"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77AC7B50" w14:textId="77777777" w:rsidR="00586C0C" w:rsidRPr="009C5EFD" w:rsidRDefault="00E453CD" w:rsidP="008B396C">
            <w:pPr>
              <w:rPr>
                <w:sz w:val="22"/>
                <w:szCs w:val="22"/>
              </w:rPr>
            </w:pPr>
            <w:r w:rsidRPr="009C5EFD">
              <w:rPr>
                <w:sz w:val="22"/>
                <w:szCs w:val="22"/>
              </w:rPr>
              <w:t>Hjerteinfarkt</w:t>
            </w:r>
            <w:r w:rsidRPr="009C5EFD">
              <w:rPr>
                <w:sz w:val="22"/>
                <w:szCs w:val="22"/>
                <w:vertAlign w:val="superscript"/>
              </w:rPr>
              <w:t>1)</w:t>
            </w:r>
            <w:r w:rsidRPr="009C5EFD">
              <w:rPr>
                <w:sz w:val="22"/>
                <w:szCs w:val="22"/>
              </w:rPr>
              <w:t>, arytmi, kongestiv hjertesvikt</w:t>
            </w:r>
          </w:p>
          <w:p w14:paraId="2F039796" w14:textId="77777777" w:rsidR="00586C0C" w:rsidRPr="009C5EFD" w:rsidRDefault="00586C0C" w:rsidP="008B396C">
            <w:pPr>
              <w:rPr>
                <w:sz w:val="22"/>
                <w:szCs w:val="22"/>
              </w:rPr>
            </w:pPr>
          </w:p>
        </w:tc>
      </w:tr>
      <w:tr w:rsidR="004644D4" w14:paraId="72C79D0D" w14:textId="77777777" w:rsidTr="00032240">
        <w:tc>
          <w:tcPr>
            <w:tcW w:w="3079" w:type="dxa"/>
            <w:vMerge/>
          </w:tcPr>
          <w:p w14:paraId="6CB9B84F"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2BE0AADB" w14:textId="77777777" w:rsidR="00586C0C" w:rsidRPr="009C5EFD" w:rsidRDefault="00E453CD" w:rsidP="008B396C">
            <w:pPr>
              <w:rPr>
                <w:sz w:val="22"/>
                <w:szCs w:val="22"/>
              </w:rPr>
            </w:pPr>
            <w:r w:rsidRPr="009C5EFD">
              <w:rPr>
                <w:sz w:val="22"/>
                <w:szCs w:val="22"/>
              </w:rPr>
              <w:t>Sjeldne</w:t>
            </w:r>
          </w:p>
          <w:p w14:paraId="65076CA5"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8DFF505" w14:textId="77777777" w:rsidR="00586C0C" w:rsidRPr="009C5EFD" w:rsidRDefault="00E453CD" w:rsidP="008B396C">
            <w:pPr>
              <w:rPr>
                <w:sz w:val="22"/>
                <w:szCs w:val="22"/>
              </w:rPr>
            </w:pPr>
            <w:r w:rsidRPr="009C5EFD">
              <w:rPr>
                <w:sz w:val="22"/>
                <w:szCs w:val="22"/>
              </w:rPr>
              <w:t>Hjertestans</w:t>
            </w:r>
          </w:p>
        </w:tc>
      </w:tr>
      <w:tr w:rsidR="004644D4" w14:paraId="7D90E9D6" w14:textId="77777777" w:rsidTr="00032240">
        <w:tc>
          <w:tcPr>
            <w:tcW w:w="3079" w:type="dxa"/>
            <w:vMerge w:val="restart"/>
          </w:tcPr>
          <w:p w14:paraId="6EE0EC90" w14:textId="77777777" w:rsidR="00586C0C" w:rsidRPr="009C5EFD" w:rsidRDefault="00E453CD" w:rsidP="008B396C">
            <w:pPr>
              <w:rPr>
                <w:sz w:val="22"/>
                <w:szCs w:val="22"/>
              </w:rPr>
            </w:pPr>
            <w:r w:rsidRPr="009C5EFD">
              <w:rPr>
                <w:sz w:val="22"/>
                <w:szCs w:val="22"/>
              </w:rPr>
              <w:t>Karsykdommer</w:t>
            </w:r>
          </w:p>
        </w:tc>
        <w:tc>
          <w:tcPr>
            <w:tcW w:w="1682" w:type="dxa"/>
            <w:tcBorders>
              <w:bottom w:val="single" w:sz="4" w:space="0" w:color="auto"/>
            </w:tcBorders>
          </w:tcPr>
          <w:p w14:paraId="45E03F6E" w14:textId="77777777" w:rsidR="00586C0C" w:rsidRPr="009C5EFD" w:rsidRDefault="00E453CD" w:rsidP="008B396C">
            <w:pPr>
              <w:pStyle w:val="EndnoteText"/>
              <w:tabs>
                <w:tab w:val="clear" w:pos="567"/>
              </w:tabs>
              <w:jc w:val="both"/>
              <w:rPr>
                <w:szCs w:val="22"/>
                <w:lang w:val="nb-NO"/>
              </w:rPr>
            </w:pPr>
            <w:r w:rsidRPr="009C5EFD">
              <w:rPr>
                <w:szCs w:val="22"/>
                <w:lang w:val="nb-NO"/>
              </w:rPr>
              <w:t>Vanlige</w:t>
            </w:r>
          </w:p>
          <w:p w14:paraId="46EE4730" w14:textId="77777777" w:rsidR="00586C0C" w:rsidRPr="009C5EFD" w:rsidRDefault="00586C0C" w:rsidP="008B396C">
            <w:pPr>
              <w:rPr>
                <w:sz w:val="22"/>
                <w:szCs w:val="22"/>
              </w:rPr>
            </w:pPr>
          </w:p>
        </w:tc>
        <w:tc>
          <w:tcPr>
            <w:tcW w:w="4294" w:type="dxa"/>
            <w:tcBorders>
              <w:bottom w:val="single" w:sz="4" w:space="0" w:color="auto"/>
            </w:tcBorders>
          </w:tcPr>
          <w:p w14:paraId="3E2DC950" w14:textId="77777777" w:rsidR="00586C0C" w:rsidRPr="009C5EFD" w:rsidRDefault="00E453CD" w:rsidP="008B396C">
            <w:pPr>
              <w:rPr>
                <w:sz w:val="22"/>
                <w:szCs w:val="22"/>
              </w:rPr>
            </w:pPr>
            <w:r w:rsidRPr="009C5EFD">
              <w:rPr>
                <w:sz w:val="22"/>
                <w:szCs w:val="22"/>
              </w:rPr>
              <w:t>Hypertensjon, flushing, hematom</w:t>
            </w:r>
          </w:p>
        </w:tc>
      </w:tr>
      <w:tr w:rsidR="004644D4" w14:paraId="3643CA89" w14:textId="77777777" w:rsidTr="00032240">
        <w:tc>
          <w:tcPr>
            <w:tcW w:w="3079" w:type="dxa"/>
            <w:vMerge/>
          </w:tcPr>
          <w:p w14:paraId="3B67A689"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26CAFE9" w14:textId="77777777" w:rsidR="00586C0C" w:rsidRPr="009C5EFD" w:rsidRDefault="00E453CD" w:rsidP="008B396C">
            <w:pPr>
              <w:pStyle w:val="EndnoteText"/>
              <w:tabs>
                <w:tab w:val="clear" w:pos="567"/>
              </w:tabs>
              <w:jc w:val="both"/>
              <w:rPr>
                <w:szCs w:val="22"/>
                <w:lang w:val="nb-NO"/>
              </w:rPr>
            </w:pPr>
            <w:r w:rsidRPr="009C5EFD">
              <w:rPr>
                <w:szCs w:val="22"/>
                <w:lang w:val="nb-NO"/>
              </w:rPr>
              <w:t>Mindre vanlige</w:t>
            </w:r>
          </w:p>
        </w:tc>
        <w:tc>
          <w:tcPr>
            <w:tcW w:w="4294" w:type="dxa"/>
            <w:tcBorders>
              <w:top w:val="single" w:sz="4" w:space="0" w:color="auto"/>
              <w:bottom w:val="single" w:sz="4" w:space="0" w:color="auto"/>
            </w:tcBorders>
          </w:tcPr>
          <w:p w14:paraId="6EA544D3" w14:textId="77777777" w:rsidR="00586C0C" w:rsidRPr="009C5EFD" w:rsidRDefault="00E453CD" w:rsidP="008B396C">
            <w:pPr>
              <w:rPr>
                <w:sz w:val="22"/>
                <w:szCs w:val="22"/>
              </w:rPr>
            </w:pPr>
            <w:r w:rsidRPr="009C5EFD">
              <w:rPr>
                <w:sz w:val="22"/>
                <w:szCs w:val="22"/>
              </w:rPr>
              <w:t>Aortaaneurisme, vaskulær arteriell okklusjon, tromboflebitt</w:t>
            </w:r>
          </w:p>
          <w:p w14:paraId="554E41EB" w14:textId="77777777" w:rsidR="00586C0C" w:rsidRPr="009C5EFD" w:rsidRDefault="00586C0C" w:rsidP="008B396C">
            <w:pPr>
              <w:rPr>
                <w:sz w:val="22"/>
                <w:szCs w:val="22"/>
              </w:rPr>
            </w:pPr>
          </w:p>
        </w:tc>
      </w:tr>
      <w:tr w:rsidR="004644D4" w14:paraId="53A6AFA1" w14:textId="77777777" w:rsidTr="00032240">
        <w:tc>
          <w:tcPr>
            <w:tcW w:w="3079" w:type="dxa"/>
            <w:vMerge w:val="restart"/>
          </w:tcPr>
          <w:p w14:paraId="61BDAE67" w14:textId="77777777" w:rsidR="00586C0C" w:rsidRPr="009C5EFD" w:rsidRDefault="00E453CD" w:rsidP="008B396C">
            <w:pPr>
              <w:rPr>
                <w:sz w:val="22"/>
                <w:szCs w:val="22"/>
              </w:rPr>
            </w:pPr>
            <w:r w:rsidRPr="009C5EFD">
              <w:rPr>
                <w:sz w:val="22"/>
                <w:szCs w:val="22"/>
              </w:rPr>
              <w:t>Sykdommer i respirasjonsorganer, thorax og mediastinum*</w:t>
            </w:r>
          </w:p>
        </w:tc>
        <w:tc>
          <w:tcPr>
            <w:tcW w:w="1682" w:type="dxa"/>
            <w:tcBorders>
              <w:bottom w:val="single" w:sz="4" w:space="0" w:color="auto"/>
            </w:tcBorders>
          </w:tcPr>
          <w:p w14:paraId="44D88DF1" w14:textId="77777777" w:rsidR="00586C0C" w:rsidRPr="009C5EFD" w:rsidRDefault="00E453CD" w:rsidP="008B396C">
            <w:pPr>
              <w:rPr>
                <w:sz w:val="22"/>
                <w:szCs w:val="22"/>
              </w:rPr>
            </w:pPr>
            <w:r w:rsidRPr="009C5EFD">
              <w:rPr>
                <w:sz w:val="22"/>
                <w:szCs w:val="22"/>
              </w:rPr>
              <w:t>Vanlige</w:t>
            </w:r>
          </w:p>
          <w:p w14:paraId="42CA3F4D" w14:textId="77777777" w:rsidR="00586C0C" w:rsidRPr="009C5EFD" w:rsidRDefault="00586C0C" w:rsidP="008B396C">
            <w:pPr>
              <w:pStyle w:val="EndnoteText"/>
              <w:tabs>
                <w:tab w:val="clear" w:pos="567"/>
              </w:tabs>
              <w:jc w:val="both"/>
              <w:rPr>
                <w:szCs w:val="22"/>
                <w:lang w:val="nb-NO"/>
              </w:rPr>
            </w:pPr>
          </w:p>
        </w:tc>
        <w:tc>
          <w:tcPr>
            <w:tcW w:w="4294" w:type="dxa"/>
            <w:tcBorders>
              <w:bottom w:val="single" w:sz="4" w:space="0" w:color="auto"/>
            </w:tcBorders>
          </w:tcPr>
          <w:p w14:paraId="63EB4443" w14:textId="77777777" w:rsidR="00586C0C" w:rsidRPr="009C5EFD" w:rsidRDefault="00E453CD" w:rsidP="008B396C">
            <w:pPr>
              <w:autoSpaceDE w:val="0"/>
              <w:autoSpaceDN w:val="0"/>
              <w:adjustRightInd w:val="0"/>
              <w:rPr>
                <w:sz w:val="22"/>
                <w:szCs w:val="22"/>
              </w:rPr>
            </w:pPr>
            <w:r w:rsidRPr="009C5EFD">
              <w:rPr>
                <w:sz w:val="22"/>
                <w:szCs w:val="22"/>
              </w:rPr>
              <w:t>Astma, dyspné, hoste</w:t>
            </w:r>
          </w:p>
        </w:tc>
      </w:tr>
      <w:tr w:rsidR="004644D4" w14:paraId="5ABE27FB" w14:textId="77777777" w:rsidTr="00032240">
        <w:tc>
          <w:tcPr>
            <w:tcW w:w="3079" w:type="dxa"/>
            <w:vMerge/>
          </w:tcPr>
          <w:p w14:paraId="3CACA5E8"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466576C5" w14:textId="77777777" w:rsidR="00586C0C" w:rsidRPr="009C5EFD" w:rsidRDefault="00E453CD" w:rsidP="008B396C">
            <w:pPr>
              <w:pStyle w:val="EndnoteText"/>
              <w:tabs>
                <w:tab w:val="clear" w:pos="567"/>
              </w:tabs>
              <w:jc w:val="both"/>
              <w:rPr>
                <w:szCs w:val="22"/>
                <w:lang w:val="nb-NO"/>
              </w:rPr>
            </w:pPr>
            <w:r w:rsidRPr="009C5EFD">
              <w:rPr>
                <w:szCs w:val="22"/>
                <w:lang w:val="nb-NO"/>
              </w:rPr>
              <w:t>Mindre vanlige</w:t>
            </w:r>
          </w:p>
          <w:p w14:paraId="3D8A33F7"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79F860BF" w14:textId="77777777" w:rsidR="00586C0C" w:rsidRPr="009C5EFD" w:rsidRDefault="00E453CD" w:rsidP="008B396C">
            <w:pPr>
              <w:rPr>
                <w:sz w:val="22"/>
                <w:szCs w:val="22"/>
              </w:rPr>
            </w:pPr>
            <w:r w:rsidRPr="009C5EFD">
              <w:rPr>
                <w:sz w:val="22"/>
                <w:szCs w:val="22"/>
              </w:rPr>
              <w:t>Lungeemboli</w:t>
            </w:r>
            <w:r w:rsidRPr="009C5EFD">
              <w:rPr>
                <w:sz w:val="22"/>
                <w:szCs w:val="22"/>
                <w:vertAlign w:val="superscript"/>
              </w:rPr>
              <w:t>1)</w:t>
            </w:r>
            <w:r w:rsidRPr="009C5EFD">
              <w:rPr>
                <w:sz w:val="22"/>
                <w:szCs w:val="22"/>
              </w:rPr>
              <w:t xml:space="preserve">, interstitiell lungesykdom, kronisk obstruktiv lungesykdom, pneumonitt, </w:t>
            </w:r>
          </w:p>
          <w:p w14:paraId="48A46D4E" w14:textId="77777777" w:rsidR="00586C0C" w:rsidRPr="009C5EFD" w:rsidRDefault="00E453CD" w:rsidP="008B396C">
            <w:pPr>
              <w:rPr>
                <w:sz w:val="22"/>
                <w:szCs w:val="22"/>
              </w:rPr>
            </w:pPr>
            <w:r>
              <w:rPr>
                <w:sz w:val="22"/>
                <w:szCs w:val="22"/>
              </w:rPr>
              <w:t>hydrothorax</w:t>
            </w:r>
            <w:r w:rsidRPr="009C5EFD">
              <w:rPr>
                <w:sz w:val="22"/>
                <w:szCs w:val="22"/>
                <w:vertAlign w:val="superscript"/>
              </w:rPr>
              <w:t>1)</w:t>
            </w:r>
            <w:r w:rsidRPr="009C5EFD">
              <w:rPr>
                <w:sz w:val="22"/>
                <w:szCs w:val="22"/>
              </w:rPr>
              <w:t xml:space="preserve"> </w:t>
            </w:r>
          </w:p>
          <w:p w14:paraId="67023528" w14:textId="77777777" w:rsidR="00586C0C" w:rsidRPr="009C5EFD" w:rsidRDefault="00586C0C" w:rsidP="008B396C">
            <w:pPr>
              <w:autoSpaceDE w:val="0"/>
              <w:autoSpaceDN w:val="0"/>
              <w:adjustRightInd w:val="0"/>
              <w:rPr>
                <w:sz w:val="22"/>
                <w:szCs w:val="22"/>
              </w:rPr>
            </w:pPr>
          </w:p>
        </w:tc>
      </w:tr>
      <w:tr w:rsidR="004644D4" w14:paraId="7D722CB5" w14:textId="77777777" w:rsidTr="00032240">
        <w:tc>
          <w:tcPr>
            <w:tcW w:w="3079" w:type="dxa"/>
            <w:vMerge/>
          </w:tcPr>
          <w:p w14:paraId="4C10A9F7"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36554425" w14:textId="77777777" w:rsidR="00586C0C" w:rsidRPr="009C5EFD" w:rsidRDefault="00E453CD" w:rsidP="008B396C">
            <w:pPr>
              <w:pStyle w:val="EndnoteText"/>
              <w:tabs>
                <w:tab w:val="clear" w:pos="567"/>
              </w:tabs>
              <w:jc w:val="both"/>
              <w:rPr>
                <w:szCs w:val="22"/>
                <w:lang w:val="nb-NO"/>
              </w:rPr>
            </w:pPr>
            <w:r w:rsidRPr="009C5EFD">
              <w:rPr>
                <w:szCs w:val="22"/>
                <w:lang w:val="nb-NO"/>
              </w:rPr>
              <w:t>Sjeldne</w:t>
            </w:r>
          </w:p>
          <w:p w14:paraId="00240A00"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01A04B37" w14:textId="77777777" w:rsidR="00586C0C" w:rsidRPr="009C5EFD" w:rsidRDefault="00E453CD" w:rsidP="008B396C">
            <w:pPr>
              <w:autoSpaceDE w:val="0"/>
              <w:autoSpaceDN w:val="0"/>
              <w:adjustRightInd w:val="0"/>
              <w:rPr>
                <w:sz w:val="22"/>
                <w:szCs w:val="22"/>
              </w:rPr>
            </w:pPr>
            <w:r w:rsidRPr="009C5EFD">
              <w:rPr>
                <w:sz w:val="22"/>
                <w:szCs w:val="22"/>
              </w:rPr>
              <w:t>Lungefibrose</w:t>
            </w:r>
            <w:r w:rsidRPr="009C5EFD">
              <w:rPr>
                <w:sz w:val="22"/>
                <w:szCs w:val="22"/>
                <w:vertAlign w:val="superscript"/>
              </w:rPr>
              <w:t>1)</w:t>
            </w:r>
          </w:p>
        </w:tc>
      </w:tr>
      <w:tr w:rsidR="004644D4" w14:paraId="377C11DC" w14:textId="77777777" w:rsidTr="00032240">
        <w:tc>
          <w:tcPr>
            <w:tcW w:w="3079" w:type="dxa"/>
            <w:vMerge w:val="restart"/>
          </w:tcPr>
          <w:p w14:paraId="202A1F05" w14:textId="77777777" w:rsidR="00586C0C" w:rsidRPr="009C5EFD" w:rsidRDefault="00E453CD" w:rsidP="008B396C">
            <w:pPr>
              <w:rPr>
                <w:sz w:val="22"/>
                <w:szCs w:val="22"/>
              </w:rPr>
            </w:pPr>
            <w:r w:rsidRPr="009C5EFD">
              <w:rPr>
                <w:sz w:val="22"/>
                <w:szCs w:val="22"/>
              </w:rPr>
              <w:t>Gastrointestinale sykdommer</w:t>
            </w:r>
          </w:p>
        </w:tc>
        <w:tc>
          <w:tcPr>
            <w:tcW w:w="1682" w:type="dxa"/>
            <w:tcBorders>
              <w:bottom w:val="single" w:sz="4" w:space="0" w:color="auto"/>
            </w:tcBorders>
          </w:tcPr>
          <w:p w14:paraId="0AF4B40C" w14:textId="77777777" w:rsidR="00586C0C" w:rsidRPr="009C5EFD" w:rsidRDefault="00E453CD" w:rsidP="008B396C">
            <w:pPr>
              <w:rPr>
                <w:sz w:val="22"/>
                <w:szCs w:val="22"/>
              </w:rPr>
            </w:pPr>
            <w:r w:rsidRPr="009C5EFD">
              <w:rPr>
                <w:sz w:val="22"/>
                <w:szCs w:val="22"/>
              </w:rPr>
              <w:t>Svært vanlige</w:t>
            </w:r>
          </w:p>
          <w:p w14:paraId="68ABF0CC" w14:textId="77777777" w:rsidR="00586C0C" w:rsidRPr="009C5EFD" w:rsidRDefault="00586C0C" w:rsidP="008B396C">
            <w:pPr>
              <w:rPr>
                <w:sz w:val="22"/>
                <w:szCs w:val="22"/>
              </w:rPr>
            </w:pPr>
          </w:p>
        </w:tc>
        <w:tc>
          <w:tcPr>
            <w:tcW w:w="4294" w:type="dxa"/>
            <w:tcBorders>
              <w:bottom w:val="single" w:sz="4" w:space="0" w:color="auto"/>
            </w:tcBorders>
          </w:tcPr>
          <w:p w14:paraId="2741A40B" w14:textId="77777777" w:rsidR="00586C0C" w:rsidRPr="009C5EFD" w:rsidRDefault="00E453CD" w:rsidP="008B396C">
            <w:pPr>
              <w:rPr>
                <w:sz w:val="22"/>
                <w:szCs w:val="22"/>
              </w:rPr>
            </w:pPr>
            <w:r w:rsidRPr="009C5EFD">
              <w:rPr>
                <w:sz w:val="22"/>
                <w:szCs w:val="22"/>
              </w:rPr>
              <w:t>Abdominal</w:t>
            </w:r>
            <w:r>
              <w:rPr>
                <w:sz w:val="22"/>
                <w:szCs w:val="22"/>
              </w:rPr>
              <w:t>e</w:t>
            </w:r>
            <w:r w:rsidRPr="009C5EFD">
              <w:rPr>
                <w:sz w:val="22"/>
                <w:szCs w:val="22"/>
              </w:rPr>
              <w:t xml:space="preserve"> smerte</w:t>
            </w:r>
            <w:r>
              <w:rPr>
                <w:sz w:val="22"/>
                <w:szCs w:val="22"/>
              </w:rPr>
              <w:t>r</w:t>
            </w:r>
            <w:r w:rsidRPr="009C5EFD">
              <w:rPr>
                <w:sz w:val="22"/>
                <w:szCs w:val="22"/>
              </w:rPr>
              <w:t>, kvalme og oppkast</w:t>
            </w:r>
          </w:p>
          <w:p w14:paraId="1C3EFCFC" w14:textId="77777777" w:rsidR="00586C0C" w:rsidRPr="009C5EFD" w:rsidRDefault="00586C0C" w:rsidP="008B396C">
            <w:pPr>
              <w:rPr>
                <w:sz w:val="22"/>
                <w:szCs w:val="22"/>
                <w:vertAlign w:val="superscript"/>
              </w:rPr>
            </w:pPr>
          </w:p>
        </w:tc>
      </w:tr>
      <w:tr w:rsidR="004644D4" w14:paraId="658ED269" w14:textId="77777777" w:rsidTr="00032240">
        <w:tc>
          <w:tcPr>
            <w:tcW w:w="3079" w:type="dxa"/>
            <w:vMerge/>
          </w:tcPr>
          <w:p w14:paraId="2DC5F53F"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E5E40F0" w14:textId="77777777" w:rsidR="00586C0C" w:rsidRPr="009C5EFD" w:rsidRDefault="00E453CD" w:rsidP="008B396C">
            <w:pPr>
              <w:rPr>
                <w:sz w:val="22"/>
                <w:szCs w:val="22"/>
              </w:rPr>
            </w:pPr>
            <w:r w:rsidRPr="009C5EFD">
              <w:rPr>
                <w:sz w:val="22"/>
                <w:szCs w:val="22"/>
              </w:rPr>
              <w:t>Vanlige</w:t>
            </w:r>
          </w:p>
          <w:p w14:paraId="20EE02DE"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5F0C3A8" w14:textId="77777777" w:rsidR="00586C0C" w:rsidRPr="009C5EFD" w:rsidRDefault="00E453CD" w:rsidP="008B396C">
            <w:pPr>
              <w:autoSpaceDE w:val="0"/>
              <w:autoSpaceDN w:val="0"/>
              <w:adjustRightInd w:val="0"/>
              <w:rPr>
                <w:sz w:val="22"/>
                <w:szCs w:val="22"/>
              </w:rPr>
            </w:pPr>
            <w:r w:rsidRPr="009C5EFD">
              <w:rPr>
                <w:sz w:val="22"/>
                <w:szCs w:val="22"/>
              </w:rPr>
              <w:t xml:space="preserve">Gastrointestinal blødning, dyspepsi, refluksøsofagitt (GERD), Sjøgrens syndrom </w:t>
            </w:r>
          </w:p>
          <w:p w14:paraId="608EE908" w14:textId="77777777" w:rsidR="00586C0C" w:rsidRPr="009C5EFD" w:rsidRDefault="00586C0C" w:rsidP="008B396C">
            <w:pPr>
              <w:rPr>
                <w:sz w:val="22"/>
                <w:szCs w:val="22"/>
              </w:rPr>
            </w:pPr>
          </w:p>
        </w:tc>
      </w:tr>
      <w:tr w:rsidR="004644D4" w14:paraId="32BFD73E" w14:textId="77777777" w:rsidTr="00032240">
        <w:tc>
          <w:tcPr>
            <w:tcW w:w="3079" w:type="dxa"/>
            <w:vMerge/>
          </w:tcPr>
          <w:p w14:paraId="332B05AC"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485772C" w14:textId="77777777" w:rsidR="00586C0C" w:rsidRPr="009C5EFD" w:rsidRDefault="00E453CD" w:rsidP="008B396C">
            <w:pPr>
              <w:rPr>
                <w:sz w:val="22"/>
                <w:szCs w:val="22"/>
              </w:rPr>
            </w:pPr>
            <w:r w:rsidRPr="009C5EFD">
              <w:rPr>
                <w:sz w:val="22"/>
                <w:szCs w:val="22"/>
              </w:rPr>
              <w:t>Mindre vanlige</w:t>
            </w:r>
          </w:p>
          <w:p w14:paraId="5F3984BC"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3CA61184" w14:textId="77777777" w:rsidR="00586C0C" w:rsidRPr="009C5EFD" w:rsidRDefault="00E453CD" w:rsidP="008B396C">
            <w:pPr>
              <w:rPr>
                <w:sz w:val="22"/>
                <w:szCs w:val="22"/>
              </w:rPr>
            </w:pPr>
            <w:r w:rsidRPr="009C5EFD">
              <w:rPr>
                <w:sz w:val="22"/>
                <w:szCs w:val="22"/>
              </w:rPr>
              <w:t xml:space="preserve">Pankreatitt, dysfagi, ansiktsødem </w:t>
            </w:r>
          </w:p>
          <w:p w14:paraId="49FABA09" w14:textId="77777777" w:rsidR="00586C0C" w:rsidRPr="009C5EFD" w:rsidRDefault="00586C0C" w:rsidP="008B396C">
            <w:pPr>
              <w:rPr>
                <w:sz w:val="22"/>
                <w:szCs w:val="22"/>
              </w:rPr>
            </w:pPr>
          </w:p>
        </w:tc>
      </w:tr>
      <w:tr w:rsidR="004644D4" w14:paraId="33593F49" w14:textId="77777777" w:rsidTr="00032240">
        <w:tc>
          <w:tcPr>
            <w:tcW w:w="3079" w:type="dxa"/>
            <w:vMerge/>
          </w:tcPr>
          <w:p w14:paraId="04B1358D"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1D601567" w14:textId="77777777" w:rsidR="00586C0C" w:rsidRPr="009C5EFD" w:rsidRDefault="00E453CD" w:rsidP="008B396C">
            <w:pPr>
              <w:rPr>
                <w:sz w:val="22"/>
                <w:szCs w:val="22"/>
              </w:rPr>
            </w:pPr>
            <w:r w:rsidRPr="009C5EFD">
              <w:rPr>
                <w:sz w:val="22"/>
                <w:szCs w:val="22"/>
              </w:rPr>
              <w:t>Sjeldne</w:t>
            </w:r>
          </w:p>
          <w:p w14:paraId="0A21C638"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4CBE15DB" w14:textId="77777777" w:rsidR="00586C0C" w:rsidRPr="009C5EFD" w:rsidRDefault="00E453CD" w:rsidP="008B396C">
            <w:pPr>
              <w:rPr>
                <w:sz w:val="22"/>
                <w:szCs w:val="22"/>
              </w:rPr>
            </w:pPr>
            <w:r w:rsidRPr="009C5EFD">
              <w:rPr>
                <w:sz w:val="22"/>
                <w:szCs w:val="22"/>
              </w:rPr>
              <w:t>Intestinal perforasjon</w:t>
            </w:r>
            <w:r w:rsidRPr="009C5EFD">
              <w:rPr>
                <w:sz w:val="22"/>
                <w:szCs w:val="22"/>
                <w:vertAlign w:val="superscript"/>
              </w:rPr>
              <w:t>1)</w:t>
            </w:r>
          </w:p>
        </w:tc>
      </w:tr>
      <w:tr w:rsidR="004644D4" w14:paraId="5401531A" w14:textId="77777777" w:rsidTr="00032240">
        <w:tc>
          <w:tcPr>
            <w:tcW w:w="3079" w:type="dxa"/>
            <w:vMerge w:val="restart"/>
          </w:tcPr>
          <w:p w14:paraId="01DDAD5D" w14:textId="77777777" w:rsidR="00586C0C" w:rsidRPr="009C5EFD" w:rsidRDefault="00E453CD" w:rsidP="008B396C">
            <w:pPr>
              <w:rPr>
                <w:sz w:val="22"/>
                <w:szCs w:val="22"/>
              </w:rPr>
            </w:pPr>
            <w:r w:rsidRPr="009C5EFD">
              <w:rPr>
                <w:sz w:val="22"/>
                <w:szCs w:val="22"/>
              </w:rPr>
              <w:t>Sykdommer i lever og galleveier*</w:t>
            </w:r>
          </w:p>
        </w:tc>
        <w:tc>
          <w:tcPr>
            <w:tcW w:w="1682" w:type="dxa"/>
            <w:tcBorders>
              <w:bottom w:val="single" w:sz="4" w:space="0" w:color="auto"/>
            </w:tcBorders>
          </w:tcPr>
          <w:p w14:paraId="30507418" w14:textId="77777777" w:rsidR="00586C0C" w:rsidRPr="009C5EFD" w:rsidRDefault="00E453CD" w:rsidP="008B396C">
            <w:pPr>
              <w:rPr>
                <w:sz w:val="22"/>
                <w:szCs w:val="22"/>
              </w:rPr>
            </w:pPr>
            <w:r w:rsidRPr="009C5EFD">
              <w:rPr>
                <w:sz w:val="22"/>
                <w:szCs w:val="22"/>
              </w:rPr>
              <w:t>Svært vanlige</w:t>
            </w:r>
          </w:p>
          <w:p w14:paraId="1982961D" w14:textId="77777777" w:rsidR="00586C0C" w:rsidRPr="009C5EFD" w:rsidRDefault="00586C0C" w:rsidP="008B396C">
            <w:pPr>
              <w:rPr>
                <w:sz w:val="22"/>
                <w:szCs w:val="22"/>
              </w:rPr>
            </w:pPr>
          </w:p>
        </w:tc>
        <w:tc>
          <w:tcPr>
            <w:tcW w:w="4294" w:type="dxa"/>
            <w:tcBorders>
              <w:bottom w:val="single" w:sz="4" w:space="0" w:color="auto"/>
            </w:tcBorders>
          </w:tcPr>
          <w:p w14:paraId="41C59566" w14:textId="77777777" w:rsidR="00586C0C" w:rsidRPr="009C5EFD" w:rsidRDefault="00E453CD" w:rsidP="008B396C">
            <w:pPr>
              <w:rPr>
                <w:sz w:val="22"/>
                <w:szCs w:val="22"/>
              </w:rPr>
            </w:pPr>
            <w:r w:rsidRPr="009C5EFD">
              <w:rPr>
                <w:sz w:val="22"/>
                <w:szCs w:val="22"/>
              </w:rPr>
              <w:t>Stigning i leverenzymer</w:t>
            </w:r>
          </w:p>
        </w:tc>
      </w:tr>
      <w:tr w:rsidR="004644D4" w14:paraId="46EC8995" w14:textId="77777777" w:rsidTr="00032240">
        <w:tc>
          <w:tcPr>
            <w:tcW w:w="3079" w:type="dxa"/>
            <w:vMerge/>
          </w:tcPr>
          <w:p w14:paraId="51DDFF9C"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4CA3E47B" w14:textId="77777777" w:rsidR="00586C0C" w:rsidRPr="009C5EFD" w:rsidRDefault="00E453CD" w:rsidP="008B396C">
            <w:pPr>
              <w:rPr>
                <w:sz w:val="22"/>
                <w:szCs w:val="22"/>
              </w:rPr>
            </w:pPr>
            <w:r w:rsidRPr="009C5EFD">
              <w:rPr>
                <w:sz w:val="22"/>
                <w:szCs w:val="22"/>
              </w:rPr>
              <w:t xml:space="preserve">Mindre vanlige </w:t>
            </w:r>
          </w:p>
          <w:p w14:paraId="4681103C"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058A78F" w14:textId="77777777" w:rsidR="00586C0C" w:rsidRPr="009C5EFD" w:rsidRDefault="00E453CD" w:rsidP="008B396C">
            <w:pPr>
              <w:pStyle w:val="EMEAFigureTitle"/>
              <w:tabs>
                <w:tab w:val="clear" w:pos="562"/>
              </w:tabs>
              <w:suppressAutoHyphens w:val="0"/>
              <w:rPr>
                <w:szCs w:val="22"/>
                <w:lang w:val="nb-NO"/>
              </w:rPr>
            </w:pPr>
            <w:r w:rsidRPr="009C5EFD">
              <w:rPr>
                <w:szCs w:val="22"/>
                <w:lang w:val="nb-NO"/>
              </w:rPr>
              <w:t>Kolecystitt og kolelitiasis, hepatisk steatose</w:t>
            </w:r>
          </w:p>
          <w:p w14:paraId="44210A04" w14:textId="77777777" w:rsidR="00586C0C" w:rsidRPr="009C5EFD" w:rsidRDefault="00E453CD" w:rsidP="008B396C">
            <w:pPr>
              <w:pStyle w:val="EMEAFigureTitle"/>
              <w:tabs>
                <w:tab w:val="clear" w:pos="562"/>
              </w:tabs>
              <w:suppressAutoHyphens w:val="0"/>
              <w:rPr>
                <w:szCs w:val="22"/>
                <w:lang w:val="nb-NO"/>
              </w:rPr>
            </w:pPr>
            <w:r w:rsidRPr="009C5EFD">
              <w:rPr>
                <w:szCs w:val="22"/>
                <w:lang w:val="nb-NO"/>
              </w:rPr>
              <w:t>forhøyet bilirubin i blod</w:t>
            </w:r>
          </w:p>
          <w:p w14:paraId="428A18F7" w14:textId="77777777" w:rsidR="00586C0C" w:rsidRPr="009C5EFD" w:rsidRDefault="00586C0C" w:rsidP="008B396C">
            <w:pPr>
              <w:rPr>
                <w:sz w:val="22"/>
                <w:szCs w:val="22"/>
              </w:rPr>
            </w:pPr>
          </w:p>
        </w:tc>
      </w:tr>
      <w:tr w:rsidR="004644D4" w14:paraId="2DD23E08" w14:textId="77777777" w:rsidTr="00032240">
        <w:tc>
          <w:tcPr>
            <w:tcW w:w="3079" w:type="dxa"/>
            <w:vMerge/>
          </w:tcPr>
          <w:p w14:paraId="7B66E866"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35EE9800" w14:textId="77777777" w:rsidR="00586C0C" w:rsidRPr="009C5EFD" w:rsidRDefault="00E453CD" w:rsidP="008B396C">
            <w:pPr>
              <w:rPr>
                <w:sz w:val="22"/>
                <w:szCs w:val="22"/>
              </w:rPr>
            </w:pPr>
            <w:r w:rsidRPr="009C5EFD">
              <w:rPr>
                <w:sz w:val="22"/>
                <w:szCs w:val="22"/>
              </w:rPr>
              <w:t>Sjeldne</w:t>
            </w:r>
          </w:p>
          <w:p w14:paraId="1D4A1716"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3E646DBA" w14:textId="77777777" w:rsidR="00586C0C" w:rsidRPr="006E77CA" w:rsidRDefault="00E453CD" w:rsidP="00AB7697">
            <w:pPr>
              <w:rPr>
                <w:szCs w:val="22"/>
              </w:rPr>
            </w:pPr>
            <w:r w:rsidRPr="009C5EFD">
              <w:rPr>
                <w:sz w:val="22"/>
                <w:szCs w:val="22"/>
              </w:rPr>
              <w:t>Hepatitt, reaktivering av Hepatitt B</w:t>
            </w:r>
            <w:r w:rsidRPr="009C5EFD">
              <w:rPr>
                <w:sz w:val="22"/>
                <w:szCs w:val="22"/>
                <w:vertAlign w:val="superscript"/>
              </w:rPr>
              <w:t>1)</w:t>
            </w:r>
            <w:r w:rsidRPr="009C5EFD">
              <w:rPr>
                <w:sz w:val="22"/>
                <w:szCs w:val="22"/>
              </w:rPr>
              <w:t>, autoimmun hepatitt</w:t>
            </w:r>
            <w:r w:rsidRPr="009C5EFD">
              <w:rPr>
                <w:sz w:val="22"/>
                <w:szCs w:val="22"/>
                <w:vertAlign w:val="superscript"/>
              </w:rPr>
              <w:t>1)</w:t>
            </w:r>
          </w:p>
        </w:tc>
      </w:tr>
      <w:tr w:rsidR="004644D4" w14:paraId="6B978F6B" w14:textId="77777777" w:rsidTr="00032240">
        <w:tc>
          <w:tcPr>
            <w:tcW w:w="3079" w:type="dxa"/>
            <w:vMerge/>
          </w:tcPr>
          <w:p w14:paraId="75A27AFD"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7555440D" w14:textId="77777777" w:rsidR="00586C0C" w:rsidRPr="009C5EFD" w:rsidRDefault="00E453CD" w:rsidP="008B396C">
            <w:pPr>
              <w:rPr>
                <w:sz w:val="22"/>
                <w:szCs w:val="22"/>
              </w:rPr>
            </w:pPr>
            <w:r w:rsidRPr="009C5EFD">
              <w:rPr>
                <w:sz w:val="22"/>
                <w:szCs w:val="22"/>
              </w:rPr>
              <w:t>Ikke kjent</w:t>
            </w:r>
          </w:p>
          <w:p w14:paraId="6320A892"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76EFE0FF" w14:textId="77777777" w:rsidR="00586C0C" w:rsidRPr="009C5EFD" w:rsidRDefault="00E453CD" w:rsidP="008B396C">
            <w:pPr>
              <w:rPr>
                <w:sz w:val="22"/>
                <w:szCs w:val="22"/>
              </w:rPr>
            </w:pPr>
            <w:r w:rsidRPr="009C5EFD">
              <w:rPr>
                <w:sz w:val="22"/>
                <w:szCs w:val="22"/>
              </w:rPr>
              <w:t>Leversvikt</w:t>
            </w:r>
            <w:r w:rsidRPr="009C5EFD">
              <w:rPr>
                <w:sz w:val="22"/>
                <w:szCs w:val="22"/>
                <w:vertAlign w:val="superscript"/>
              </w:rPr>
              <w:t>1)</w:t>
            </w:r>
          </w:p>
        </w:tc>
      </w:tr>
      <w:tr w:rsidR="004644D4" w14:paraId="777FDB30" w14:textId="77777777" w:rsidTr="00032240">
        <w:tc>
          <w:tcPr>
            <w:tcW w:w="3079" w:type="dxa"/>
            <w:vMerge w:val="restart"/>
          </w:tcPr>
          <w:p w14:paraId="3065F495" w14:textId="77777777" w:rsidR="00586C0C" w:rsidRPr="009C5EFD" w:rsidRDefault="00E453CD" w:rsidP="008B396C">
            <w:pPr>
              <w:rPr>
                <w:sz w:val="22"/>
                <w:szCs w:val="22"/>
              </w:rPr>
            </w:pPr>
            <w:r w:rsidRPr="009C5EFD">
              <w:rPr>
                <w:sz w:val="22"/>
                <w:szCs w:val="22"/>
              </w:rPr>
              <w:t>Hud- og underhudssykdommer</w:t>
            </w:r>
          </w:p>
        </w:tc>
        <w:tc>
          <w:tcPr>
            <w:tcW w:w="1682" w:type="dxa"/>
            <w:tcBorders>
              <w:bottom w:val="single" w:sz="4" w:space="0" w:color="auto"/>
            </w:tcBorders>
          </w:tcPr>
          <w:p w14:paraId="5264C395" w14:textId="77777777" w:rsidR="00586C0C" w:rsidRPr="009C5EFD" w:rsidRDefault="00E453CD" w:rsidP="008B396C">
            <w:pPr>
              <w:rPr>
                <w:sz w:val="22"/>
                <w:szCs w:val="22"/>
              </w:rPr>
            </w:pPr>
            <w:r w:rsidRPr="009C5EFD">
              <w:rPr>
                <w:sz w:val="22"/>
                <w:szCs w:val="22"/>
              </w:rPr>
              <w:t>Svært vanlige</w:t>
            </w:r>
          </w:p>
          <w:p w14:paraId="7EB00198" w14:textId="77777777" w:rsidR="00586C0C" w:rsidRPr="009C5EFD" w:rsidRDefault="00586C0C" w:rsidP="00AB7697">
            <w:pPr>
              <w:jc w:val="center"/>
              <w:rPr>
                <w:sz w:val="22"/>
                <w:szCs w:val="22"/>
              </w:rPr>
            </w:pPr>
          </w:p>
        </w:tc>
        <w:tc>
          <w:tcPr>
            <w:tcW w:w="4294" w:type="dxa"/>
            <w:tcBorders>
              <w:bottom w:val="single" w:sz="4" w:space="0" w:color="auto"/>
            </w:tcBorders>
          </w:tcPr>
          <w:p w14:paraId="413A1596" w14:textId="77777777" w:rsidR="00586C0C" w:rsidRPr="009C5EFD" w:rsidRDefault="00E453CD" w:rsidP="008B396C">
            <w:pPr>
              <w:rPr>
                <w:sz w:val="22"/>
                <w:szCs w:val="22"/>
              </w:rPr>
            </w:pPr>
            <w:r w:rsidRPr="009C5EFD">
              <w:rPr>
                <w:sz w:val="22"/>
                <w:szCs w:val="22"/>
              </w:rPr>
              <w:t>Utslett (inkludert eksfoliativt utslett)</w:t>
            </w:r>
          </w:p>
          <w:p w14:paraId="6C5AEE96" w14:textId="77777777" w:rsidR="00586C0C" w:rsidRPr="009C5EFD" w:rsidRDefault="00586C0C" w:rsidP="008B396C">
            <w:pPr>
              <w:rPr>
                <w:sz w:val="22"/>
                <w:szCs w:val="22"/>
              </w:rPr>
            </w:pPr>
          </w:p>
        </w:tc>
      </w:tr>
      <w:tr w:rsidR="004644D4" w14:paraId="3D05E4DF" w14:textId="77777777" w:rsidTr="00032240">
        <w:tc>
          <w:tcPr>
            <w:tcW w:w="3079" w:type="dxa"/>
            <w:vMerge/>
          </w:tcPr>
          <w:p w14:paraId="7F08B373"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0BD93C17" w14:textId="77777777" w:rsidR="00586C0C" w:rsidRPr="009C5EFD" w:rsidRDefault="00E453CD" w:rsidP="008B396C">
            <w:pPr>
              <w:rPr>
                <w:sz w:val="22"/>
                <w:szCs w:val="22"/>
              </w:rPr>
            </w:pPr>
            <w:r w:rsidRPr="009C5EFD">
              <w:rPr>
                <w:sz w:val="22"/>
                <w:szCs w:val="22"/>
              </w:rPr>
              <w:t>Vanlige</w:t>
            </w:r>
          </w:p>
          <w:p w14:paraId="27E2F4D5"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48D744E1" w14:textId="77777777" w:rsidR="00586C0C" w:rsidRPr="009C5EFD" w:rsidRDefault="00E453CD" w:rsidP="008B396C">
            <w:pPr>
              <w:rPr>
                <w:sz w:val="22"/>
                <w:szCs w:val="22"/>
              </w:rPr>
            </w:pPr>
            <w:r w:rsidRPr="009C5EFD">
              <w:rPr>
                <w:sz w:val="22"/>
                <w:szCs w:val="22"/>
              </w:rPr>
              <w:t>Forverring eller nytt tilfelle av psoriasis (inkludert palmoplantar pustul</w:t>
            </w:r>
            <w:r w:rsidR="00C268D7">
              <w:rPr>
                <w:sz w:val="22"/>
                <w:szCs w:val="22"/>
              </w:rPr>
              <w:t>øs</w:t>
            </w:r>
            <w:r w:rsidRPr="009C5EFD">
              <w:rPr>
                <w:sz w:val="22"/>
                <w:szCs w:val="22"/>
              </w:rPr>
              <w:t xml:space="preserve"> psoriasis)</w:t>
            </w:r>
            <w:r w:rsidRPr="009C5EFD">
              <w:rPr>
                <w:sz w:val="22"/>
                <w:szCs w:val="22"/>
                <w:vertAlign w:val="superscript"/>
              </w:rPr>
              <w:t>1)</w:t>
            </w:r>
            <w:r w:rsidRPr="009C5EFD">
              <w:rPr>
                <w:sz w:val="22"/>
                <w:szCs w:val="22"/>
              </w:rPr>
              <w:t>, urtikaria, blåmerker (inkludert purpura), dermatitt (inkludert eksem), onychoclasis, hyperhidrose, alopeci</w:t>
            </w:r>
            <w:r w:rsidRPr="009C5EFD">
              <w:rPr>
                <w:sz w:val="22"/>
                <w:szCs w:val="22"/>
                <w:vertAlign w:val="superscript"/>
              </w:rPr>
              <w:t>1)</w:t>
            </w:r>
            <w:r w:rsidRPr="009C5EFD">
              <w:rPr>
                <w:sz w:val="22"/>
                <w:szCs w:val="22"/>
              </w:rPr>
              <w:t>, pruritus</w:t>
            </w:r>
          </w:p>
          <w:p w14:paraId="057A39BE" w14:textId="77777777" w:rsidR="00586C0C" w:rsidRPr="009C5EFD" w:rsidRDefault="00586C0C" w:rsidP="008B396C">
            <w:pPr>
              <w:rPr>
                <w:sz w:val="22"/>
                <w:szCs w:val="22"/>
              </w:rPr>
            </w:pPr>
          </w:p>
        </w:tc>
      </w:tr>
      <w:tr w:rsidR="004644D4" w14:paraId="32C3D4B2" w14:textId="77777777" w:rsidTr="00032240">
        <w:tc>
          <w:tcPr>
            <w:tcW w:w="3079" w:type="dxa"/>
            <w:vMerge/>
          </w:tcPr>
          <w:p w14:paraId="262A175B"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37CEB774" w14:textId="77777777" w:rsidR="00586C0C" w:rsidRPr="009C5EFD" w:rsidRDefault="00E453CD" w:rsidP="008B396C">
            <w:pPr>
              <w:rPr>
                <w:sz w:val="22"/>
                <w:szCs w:val="22"/>
              </w:rPr>
            </w:pPr>
            <w:r w:rsidRPr="009C5EFD">
              <w:rPr>
                <w:sz w:val="22"/>
                <w:szCs w:val="22"/>
              </w:rPr>
              <w:t>Mindre vanlige</w:t>
            </w:r>
          </w:p>
          <w:p w14:paraId="1060BC3A"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6A21C3CD" w14:textId="77777777" w:rsidR="00586C0C" w:rsidRPr="009C5EFD" w:rsidRDefault="00E453CD" w:rsidP="008B396C">
            <w:pPr>
              <w:rPr>
                <w:sz w:val="22"/>
                <w:szCs w:val="22"/>
              </w:rPr>
            </w:pPr>
            <w:r w:rsidRPr="009C5EFD">
              <w:rPr>
                <w:sz w:val="22"/>
                <w:szCs w:val="22"/>
              </w:rPr>
              <w:t xml:space="preserve">Nattesvette, arrdannelse </w:t>
            </w:r>
          </w:p>
          <w:p w14:paraId="2C617B4C" w14:textId="77777777" w:rsidR="00586C0C" w:rsidRPr="009C5EFD" w:rsidRDefault="00586C0C" w:rsidP="008B396C">
            <w:pPr>
              <w:rPr>
                <w:sz w:val="22"/>
                <w:szCs w:val="22"/>
              </w:rPr>
            </w:pPr>
          </w:p>
        </w:tc>
      </w:tr>
      <w:tr w:rsidR="004644D4" w14:paraId="52660867" w14:textId="77777777" w:rsidTr="00032240">
        <w:tc>
          <w:tcPr>
            <w:tcW w:w="3079" w:type="dxa"/>
            <w:vMerge/>
          </w:tcPr>
          <w:p w14:paraId="1DC39273"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72D5FAD3" w14:textId="77777777" w:rsidR="00586C0C" w:rsidRPr="009C5EFD" w:rsidRDefault="00E453CD" w:rsidP="008B396C">
            <w:pPr>
              <w:rPr>
                <w:sz w:val="22"/>
                <w:szCs w:val="22"/>
              </w:rPr>
            </w:pPr>
            <w:r w:rsidRPr="009C5EFD">
              <w:rPr>
                <w:sz w:val="22"/>
                <w:szCs w:val="22"/>
              </w:rPr>
              <w:t>Sjeldne</w:t>
            </w:r>
          </w:p>
          <w:p w14:paraId="16046192"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411FEDB0" w14:textId="77777777" w:rsidR="00586C0C" w:rsidRPr="006936CB" w:rsidRDefault="00E453CD" w:rsidP="001424DB">
            <w:pPr>
              <w:spacing w:after="120"/>
              <w:rPr>
                <w:sz w:val="22"/>
                <w:szCs w:val="22"/>
              </w:rPr>
            </w:pPr>
            <w:r w:rsidRPr="009C5EFD">
              <w:rPr>
                <w:sz w:val="22"/>
                <w:szCs w:val="22"/>
              </w:rPr>
              <w:t>Erythema multiforme</w:t>
            </w:r>
            <w:r w:rsidRPr="009C5EFD">
              <w:rPr>
                <w:sz w:val="22"/>
                <w:szCs w:val="22"/>
                <w:vertAlign w:val="superscript"/>
              </w:rPr>
              <w:t>1)</w:t>
            </w:r>
            <w:r w:rsidRPr="009C5EFD">
              <w:rPr>
                <w:sz w:val="22"/>
                <w:szCs w:val="22"/>
              </w:rPr>
              <w:t>, Stevens-Johnson syndrom</w:t>
            </w:r>
            <w:r w:rsidRPr="009C5EFD">
              <w:rPr>
                <w:sz w:val="22"/>
                <w:szCs w:val="22"/>
                <w:vertAlign w:val="superscript"/>
              </w:rPr>
              <w:t>1)</w:t>
            </w:r>
            <w:r w:rsidRPr="009C5EFD">
              <w:rPr>
                <w:sz w:val="22"/>
                <w:szCs w:val="22"/>
              </w:rPr>
              <w:t>, angioødem</w:t>
            </w:r>
            <w:r w:rsidRPr="009C5EFD">
              <w:rPr>
                <w:sz w:val="22"/>
                <w:szCs w:val="22"/>
                <w:vertAlign w:val="superscript"/>
              </w:rPr>
              <w:t>1)</w:t>
            </w:r>
            <w:r w:rsidRPr="009C5EFD">
              <w:rPr>
                <w:sz w:val="22"/>
                <w:szCs w:val="22"/>
              </w:rPr>
              <w:t>, kutan vaskulitt</w:t>
            </w:r>
            <w:r w:rsidRPr="009C5EFD">
              <w:rPr>
                <w:sz w:val="22"/>
                <w:szCs w:val="22"/>
                <w:vertAlign w:val="superscript"/>
              </w:rPr>
              <w:t>1)</w:t>
            </w:r>
            <w:r w:rsidR="00486C52">
              <w:rPr>
                <w:sz w:val="22"/>
                <w:szCs w:val="22"/>
              </w:rPr>
              <w:t>, lichenoid</w:t>
            </w:r>
            <w:r w:rsidR="00E60B3F">
              <w:rPr>
                <w:sz w:val="22"/>
                <w:szCs w:val="22"/>
              </w:rPr>
              <w:t xml:space="preserve"> hudreaksjon</w:t>
            </w:r>
            <w:r w:rsidR="00E60B3F" w:rsidRPr="009C5EFD">
              <w:rPr>
                <w:sz w:val="22"/>
                <w:szCs w:val="22"/>
                <w:vertAlign w:val="superscript"/>
              </w:rPr>
              <w:t>1)</w:t>
            </w:r>
          </w:p>
          <w:p w14:paraId="00EE5601" w14:textId="77777777" w:rsidR="00586C0C" w:rsidRPr="009C5EFD" w:rsidRDefault="00586C0C" w:rsidP="008B396C">
            <w:pPr>
              <w:rPr>
                <w:sz w:val="22"/>
                <w:szCs w:val="22"/>
              </w:rPr>
            </w:pPr>
          </w:p>
        </w:tc>
      </w:tr>
      <w:tr w:rsidR="004644D4" w14:paraId="20D60359" w14:textId="77777777" w:rsidTr="00032240">
        <w:tc>
          <w:tcPr>
            <w:tcW w:w="3079" w:type="dxa"/>
            <w:vMerge/>
          </w:tcPr>
          <w:p w14:paraId="2F5D3F6C"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2756D5AC" w14:textId="77777777" w:rsidR="00586C0C" w:rsidRPr="009C5EFD" w:rsidRDefault="00E453CD" w:rsidP="008B396C">
            <w:pPr>
              <w:rPr>
                <w:sz w:val="22"/>
                <w:szCs w:val="22"/>
              </w:rPr>
            </w:pPr>
            <w:r w:rsidRPr="009C5EFD">
              <w:rPr>
                <w:sz w:val="22"/>
                <w:szCs w:val="22"/>
              </w:rPr>
              <w:t>Ikke kjent</w:t>
            </w:r>
          </w:p>
        </w:tc>
        <w:tc>
          <w:tcPr>
            <w:tcW w:w="4294" w:type="dxa"/>
            <w:tcBorders>
              <w:top w:val="single" w:sz="4" w:space="0" w:color="auto"/>
              <w:bottom w:val="single" w:sz="4" w:space="0" w:color="auto"/>
            </w:tcBorders>
          </w:tcPr>
          <w:p w14:paraId="494FED3E" w14:textId="77777777" w:rsidR="00586C0C" w:rsidRPr="009C5EFD" w:rsidRDefault="00E453CD" w:rsidP="008B396C">
            <w:pPr>
              <w:rPr>
                <w:sz w:val="22"/>
                <w:szCs w:val="22"/>
              </w:rPr>
            </w:pPr>
            <w:r w:rsidRPr="009C5EFD">
              <w:rPr>
                <w:sz w:val="22"/>
                <w:szCs w:val="22"/>
              </w:rPr>
              <w:t>Forverring av dermatomyositt symptomer</w:t>
            </w:r>
            <w:r w:rsidRPr="009C5EFD">
              <w:rPr>
                <w:sz w:val="22"/>
                <w:szCs w:val="22"/>
                <w:vertAlign w:val="superscript"/>
              </w:rPr>
              <w:t>1)</w:t>
            </w:r>
          </w:p>
          <w:p w14:paraId="1A4D417C" w14:textId="77777777" w:rsidR="00586C0C" w:rsidRPr="009C5EFD" w:rsidRDefault="00586C0C" w:rsidP="008B396C">
            <w:pPr>
              <w:rPr>
                <w:sz w:val="22"/>
                <w:szCs w:val="22"/>
              </w:rPr>
            </w:pPr>
          </w:p>
        </w:tc>
      </w:tr>
      <w:tr w:rsidR="004644D4" w14:paraId="6DFFDED2" w14:textId="77777777" w:rsidTr="00032240">
        <w:tc>
          <w:tcPr>
            <w:tcW w:w="3079" w:type="dxa"/>
            <w:vMerge w:val="restart"/>
          </w:tcPr>
          <w:p w14:paraId="4D4B23E1" w14:textId="77777777" w:rsidR="00586C0C" w:rsidRPr="007F67EE" w:rsidRDefault="00E453CD" w:rsidP="008B396C">
            <w:pPr>
              <w:pStyle w:val="EndnoteText"/>
              <w:widowControl/>
              <w:tabs>
                <w:tab w:val="clear" w:pos="567"/>
              </w:tabs>
              <w:rPr>
                <w:szCs w:val="22"/>
                <w:lang w:val="nb-NO"/>
              </w:rPr>
            </w:pPr>
            <w:r w:rsidRPr="007F67EE">
              <w:rPr>
                <w:szCs w:val="22"/>
                <w:lang w:val="nb-NO"/>
              </w:rPr>
              <w:t>Sykdommer i muskler og bindevev</w:t>
            </w:r>
          </w:p>
        </w:tc>
        <w:tc>
          <w:tcPr>
            <w:tcW w:w="1682" w:type="dxa"/>
            <w:tcBorders>
              <w:bottom w:val="single" w:sz="4" w:space="0" w:color="auto"/>
            </w:tcBorders>
          </w:tcPr>
          <w:p w14:paraId="56AC5191" w14:textId="77777777" w:rsidR="00586C0C" w:rsidRPr="007F67EE" w:rsidRDefault="00E453CD" w:rsidP="008B396C">
            <w:pPr>
              <w:rPr>
                <w:sz w:val="22"/>
                <w:szCs w:val="22"/>
              </w:rPr>
            </w:pPr>
            <w:r w:rsidRPr="007F67EE">
              <w:rPr>
                <w:sz w:val="22"/>
                <w:szCs w:val="22"/>
              </w:rPr>
              <w:t>Svært vanlige</w:t>
            </w:r>
          </w:p>
          <w:p w14:paraId="2BC217EB" w14:textId="77777777" w:rsidR="00586C0C" w:rsidRPr="00193D76" w:rsidRDefault="00586C0C" w:rsidP="008B396C">
            <w:pPr>
              <w:rPr>
                <w:sz w:val="22"/>
                <w:szCs w:val="22"/>
              </w:rPr>
            </w:pPr>
          </w:p>
        </w:tc>
        <w:tc>
          <w:tcPr>
            <w:tcW w:w="4294" w:type="dxa"/>
            <w:tcBorders>
              <w:bottom w:val="single" w:sz="4" w:space="0" w:color="auto"/>
            </w:tcBorders>
          </w:tcPr>
          <w:p w14:paraId="501C6FF5" w14:textId="77777777" w:rsidR="00586C0C" w:rsidRPr="002D0790" w:rsidRDefault="00E453CD" w:rsidP="008B396C">
            <w:pPr>
              <w:rPr>
                <w:sz w:val="22"/>
                <w:szCs w:val="22"/>
              </w:rPr>
            </w:pPr>
            <w:r w:rsidRPr="002D0790">
              <w:rPr>
                <w:sz w:val="22"/>
                <w:szCs w:val="22"/>
              </w:rPr>
              <w:t>Smerter i skjelett og muskulatur</w:t>
            </w:r>
          </w:p>
        </w:tc>
      </w:tr>
      <w:tr w:rsidR="004644D4" w14:paraId="7EEA0902" w14:textId="77777777" w:rsidTr="00032240">
        <w:tc>
          <w:tcPr>
            <w:tcW w:w="3079" w:type="dxa"/>
            <w:vMerge/>
          </w:tcPr>
          <w:p w14:paraId="0C140FCF" w14:textId="77777777" w:rsidR="00586C0C" w:rsidRPr="009C5EFD" w:rsidRDefault="00586C0C" w:rsidP="008B396C">
            <w:pPr>
              <w:pStyle w:val="EndnoteText"/>
              <w:widowControl/>
              <w:tabs>
                <w:tab w:val="clear" w:pos="567"/>
              </w:tabs>
              <w:rPr>
                <w:szCs w:val="22"/>
                <w:lang w:val="nb-NO"/>
              </w:rPr>
            </w:pPr>
          </w:p>
        </w:tc>
        <w:tc>
          <w:tcPr>
            <w:tcW w:w="1682" w:type="dxa"/>
            <w:tcBorders>
              <w:top w:val="single" w:sz="4" w:space="0" w:color="auto"/>
              <w:bottom w:val="single" w:sz="4" w:space="0" w:color="auto"/>
            </w:tcBorders>
          </w:tcPr>
          <w:p w14:paraId="78AF32DD" w14:textId="77777777" w:rsidR="00586C0C" w:rsidRPr="009C5EFD" w:rsidRDefault="00E453CD" w:rsidP="008B396C">
            <w:pPr>
              <w:rPr>
                <w:sz w:val="22"/>
                <w:szCs w:val="22"/>
              </w:rPr>
            </w:pPr>
            <w:r w:rsidRPr="009C5EFD">
              <w:rPr>
                <w:sz w:val="22"/>
                <w:szCs w:val="22"/>
              </w:rPr>
              <w:t>Vanlige</w:t>
            </w:r>
          </w:p>
          <w:p w14:paraId="743F511A"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3C17465C" w14:textId="77777777" w:rsidR="00586C0C" w:rsidRPr="009C5EFD" w:rsidRDefault="00E453CD" w:rsidP="008B396C">
            <w:pPr>
              <w:rPr>
                <w:sz w:val="22"/>
                <w:szCs w:val="22"/>
              </w:rPr>
            </w:pPr>
            <w:r w:rsidRPr="009C5EFD">
              <w:rPr>
                <w:sz w:val="22"/>
                <w:szCs w:val="22"/>
              </w:rPr>
              <w:t xml:space="preserve">Muskelspasmer (inkludert forhøyet kreatinfosfokinase i blod) </w:t>
            </w:r>
          </w:p>
          <w:p w14:paraId="63F31142" w14:textId="77777777" w:rsidR="00586C0C" w:rsidRPr="009C5EFD" w:rsidRDefault="00586C0C" w:rsidP="008B396C">
            <w:pPr>
              <w:rPr>
                <w:sz w:val="22"/>
                <w:szCs w:val="22"/>
              </w:rPr>
            </w:pPr>
          </w:p>
        </w:tc>
      </w:tr>
      <w:tr w:rsidR="004644D4" w14:paraId="75A16C79" w14:textId="77777777" w:rsidTr="00032240">
        <w:tc>
          <w:tcPr>
            <w:tcW w:w="3079" w:type="dxa"/>
            <w:vMerge/>
          </w:tcPr>
          <w:p w14:paraId="7368917A" w14:textId="77777777" w:rsidR="00586C0C" w:rsidRPr="009C5EFD" w:rsidRDefault="00586C0C" w:rsidP="008B396C">
            <w:pPr>
              <w:pStyle w:val="EndnoteText"/>
              <w:widowControl/>
              <w:tabs>
                <w:tab w:val="clear" w:pos="567"/>
              </w:tabs>
              <w:rPr>
                <w:szCs w:val="22"/>
                <w:lang w:val="nb-NO"/>
              </w:rPr>
            </w:pPr>
          </w:p>
        </w:tc>
        <w:tc>
          <w:tcPr>
            <w:tcW w:w="1682" w:type="dxa"/>
            <w:tcBorders>
              <w:top w:val="single" w:sz="4" w:space="0" w:color="auto"/>
              <w:bottom w:val="single" w:sz="4" w:space="0" w:color="auto"/>
            </w:tcBorders>
          </w:tcPr>
          <w:p w14:paraId="0DA1E9FD" w14:textId="77777777" w:rsidR="00586C0C" w:rsidRPr="009C5EFD" w:rsidRDefault="00E453CD" w:rsidP="008B396C">
            <w:pPr>
              <w:rPr>
                <w:sz w:val="22"/>
                <w:szCs w:val="22"/>
              </w:rPr>
            </w:pPr>
            <w:r w:rsidRPr="009C5EFD">
              <w:rPr>
                <w:sz w:val="22"/>
                <w:szCs w:val="22"/>
              </w:rPr>
              <w:t>Mindre vanlige</w:t>
            </w:r>
          </w:p>
          <w:p w14:paraId="179A3B58"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12E36DCC" w14:textId="77777777" w:rsidR="00586C0C" w:rsidRPr="009C5EFD" w:rsidRDefault="00E453CD" w:rsidP="008B396C">
            <w:pPr>
              <w:rPr>
                <w:sz w:val="22"/>
                <w:szCs w:val="22"/>
              </w:rPr>
            </w:pPr>
            <w:r w:rsidRPr="009C5EFD">
              <w:rPr>
                <w:sz w:val="22"/>
                <w:szCs w:val="22"/>
              </w:rPr>
              <w:t>Rabdomyolyse, systemisk lupus erythematosus</w:t>
            </w:r>
          </w:p>
          <w:p w14:paraId="39F7E1E2" w14:textId="77777777" w:rsidR="00586C0C" w:rsidRPr="009C5EFD" w:rsidRDefault="00586C0C" w:rsidP="008B396C">
            <w:pPr>
              <w:rPr>
                <w:sz w:val="22"/>
                <w:szCs w:val="22"/>
              </w:rPr>
            </w:pPr>
          </w:p>
        </w:tc>
      </w:tr>
      <w:tr w:rsidR="004644D4" w14:paraId="10ACFBF9" w14:textId="77777777" w:rsidTr="00032240">
        <w:tc>
          <w:tcPr>
            <w:tcW w:w="3079" w:type="dxa"/>
            <w:vMerge/>
          </w:tcPr>
          <w:p w14:paraId="4CCB41D6" w14:textId="77777777" w:rsidR="00586C0C" w:rsidRPr="009C5EFD" w:rsidRDefault="00586C0C" w:rsidP="008B396C">
            <w:pPr>
              <w:pStyle w:val="EndnoteText"/>
              <w:widowControl/>
              <w:tabs>
                <w:tab w:val="clear" w:pos="567"/>
              </w:tabs>
              <w:rPr>
                <w:szCs w:val="22"/>
                <w:lang w:val="nb-NO"/>
              </w:rPr>
            </w:pPr>
          </w:p>
        </w:tc>
        <w:tc>
          <w:tcPr>
            <w:tcW w:w="1682" w:type="dxa"/>
            <w:tcBorders>
              <w:top w:val="single" w:sz="4" w:space="0" w:color="auto"/>
              <w:bottom w:val="single" w:sz="4" w:space="0" w:color="auto"/>
            </w:tcBorders>
          </w:tcPr>
          <w:p w14:paraId="2CA98D87" w14:textId="77777777" w:rsidR="00586C0C" w:rsidRPr="009C5EFD" w:rsidRDefault="00E453CD" w:rsidP="008B396C">
            <w:pPr>
              <w:rPr>
                <w:sz w:val="22"/>
                <w:szCs w:val="22"/>
              </w:rPr>
            </w:pPr>
            <w:r w:rsidRPr="009C5EFD">
              <w:rPr>
                <w:sz w:val="22"/>
                <w:szCs w:val="22"/>
              </w:rPr>
              <w:t>Sjeldne</w:t>
            </w:r>
          </w:p>
        </w:tc>
        <w:tc>
          <w:tcPr>
            <w:tcW w:w="4294" w:type="dxa"/>
            <w:tcBorders>
              <w:top w:val="single" w:sz="4" w:space="0" w:color="auto"/>
              <w:bottom w:val="single" w:sz="4" w:space="0" w:color="auto"/>
            </w:tcBorders>
          </w:tcPr>
          <w:p w14:paraId="7FA74543" w14:textId="77777777" w:rsidR="00586C0C" w:rsidRPr="009C5EFD" w:rsidRDefault="00E453CD" w:rsidP="008B396C">
            <w:pPr>
              <w:rPr>
                <w:sz w:val="22"/>
                <w:szCs w:val="22"/>
                <w:vertAlign w:val="superscript"/>
              </w:rPr>
            </w:pPr>
            <w:r w:rsidRPr="009C5EFD">
              <w:rPr>
                <w:sz w:val="22"/>
                <w:szCs w:val="22"/>
              </w:rPr>
              <w:t>Lupus-lignende syndrom</w:t>
            </w:r>
            <w:r w:rsidRPr="009C5EFD">
              <w:rPr>
                <w:sz w:val="22"/>
                <w:szCs w:val="22"/>
                <w:vertAlign w:val="superscript"/>
              </w:rPr>
              <w:t>1)</w:t>
            </w:r>
          </w:p>
          <w:p w14:paraId="4F1917A5" w14:textId="77777777" w:rsidR="00586C0C" w:rsidRPr="009C5EFD" w:rsidRDefault="00586C0C" w:rsidP="008B396C">
            <w:pPr>
              <w:rPr>
                <w:sz w:val="22"/>
                <w:szCs w:val="22"/>
              </w:rPr>
            </w:pPr>
          </w:p>
        </w:tc>
      </w:tr>
      <w:tr w:rsidR="004644D4" w14:paraId="270DE3B2" w14:textId="77777777" w:rsidTr="00032240">
        <w:tc>
          <w:tcPr>
            <w:tcW w:w="3079" w:type="dxa"/>
            <w:vMerge w:val="restart"/>
          </w:tcPr>
          <w:p w14:paraId="574B2991" w14:textId="77777777" w:rsidR="00586C0C" w:rsidRPr="009C5EFD" w:rsidRDefault="00E453CD" w:rsidP="008B396C">
            <w:pPr>
              <w:rPr>
                <w:sz w:val="22"/>
                <w:szCs w:val="22"/>
              </w:rPr>
            </w:pPr>
            <w:r w:rsidRPr="009C5EFD">
              <w:rPr>
                <w:sz w:val="22"/>
                <w:szCs w:val="22"/>
              </w:rPr>
              <w:t>Sykdommer i nyre og urinveier</w:t>
            </w:r>
          </w:p>
        </w:tc>
        <w:tc>
          <w:tcPr>
            <w:tcW w:w="1682" w:type="dxa"/>
            <w:tcBorders>
              <w:bottom w:val="single" w:sz="4" w:space="0" w:color="auto"/>
            </w:tcBorders>
          </w:tcPr>
          <w:p w14:paraId="79867CA9" w14:textId="77777777" w:rsidR="00586C0C" w:rsidRPr="009C5EFD" w:rsidRDefault="00E453CD" w:rsidP="008B396C">
            <w:pPr>
              <w:rPr>
                <w:sz w:val="22"/>
                <w:szCs w:val="22"/>
              </w:rPr>
            </w:pPr>
            <w:r w:rsidRPr="009C5EFD">
              <w:rPr>
                <w:sz w:val="22"/>
                <w:szCs w:val="22"/>
              </w:rPr>
              <w:t>Vanlige</w:t>
            </w:r>
          </w:p>
          <w:p w14:paraId="37694932" w14:textId="77777777" w:rsidR="00586C0C" w:rsidRPr="009C5EFD" w:rsidRDefault="00586C0C" w:rsidP="008B396C">
            <w:pPr>
              <w:rPr>
                <w:sz w:val="22"/>
                <w:szCs w:val="22"/>
              </w:rPr>
            </w:pPr>
          </w:p>
        </w:tc>
        <w:tc>
          <w:tcPr>
            <w:tcW w:w="4294" w:type="dxa"/>
            <w:tcBorders>
              <w:bottom w:val="single" w:sz="4" w:space="0" w:color="auto"/>
            </w:tcBorders>
          </w:tcPr>
          <w:p w14:paraId="5D29C8EC" w14:textId="77777777" w:rsidR="00586C0C" w:rsidRPr="009C5EFD" w:rsidRDefault="00E453CD" w:rsidP="008B396C">
            <w:pPr>
              <w:rPr>
                <w:sz w:val="22"/>
                <w:szCs w:val="22"/>
              </w:rPr>
            </w:pPr>
            <w:r w:rsidRPr="009C5EFD">
              <w:rPr>
                <w:sz w:val="22"/>
                <w:szCs w:val="22"/>
              </w:rPr>
              <w:t>Nedsatt nyrefunksjon, hematuri</w:t>
            </w:r>
          </w:p>
        </w:tc>
      </w:tr>
      <w:tr w:rsidR="004644D4" w14:paraId="0C4643F4" w14:textId="77777777" w:rsidTr="00032240">
        <w:tc>
          <w:tcPr>
            <w:tcW w:w="3079" w:type="dxa"/>
            <w:vMerge/>
          </w:tcPr>
          <w:p w14:paraId="5AE4F4F6" w14:textId="77777777" w:rsidR="00586C0C" w:rsidRPr="009C5EFD" w:rsidRDefault="00586C0C" w:rsidP="008B396C">
            <w:pPr>
              <w:rPr>
                <w:sz w:val="22"/>
                <w:szCs w:val="22"/>
              </w:rPr>
            </w:pPr>
          </w:p>
        </w:tc>
        <w:tc>
          <w:tcPr>
            <w:tcW w:w="1682" w:type="dxa"/>
            <w:tcBorders>
              <w:top w:val="single" w:sz="4" w:space="0" w:color="auto"/>
            </w:tcBorders>
          </w:tcPr>
          <w:p w14:paraId="1C965E48" w14:textId="77777777" w:rsidR="00586C0C" w:rsidRPr="009C5EFD" w:rsidRDefault="00E453CD" w:rsidP="008B396C">
            <w:pPr>
              <w:rPr>
                <w:sz w:val="22"/>
                <w:szCs w:val="22"/>
              </w:rPr>
            </w:pPr>
            <w:r w:rsidRPr="009C5EFD">
              <w:rPr>
                <w:sz w:val="22"/>
                <w:szCs w:val="22"/>
              </w:rPr>
              <w:t>Mindre vanlige</w:t>
            </w:r>
          </w:p>
        </w:tc>
        <w:tc>
          <w:tcPr>
            <w:tcW w:w="4294" w:type="dxa"/>
            <w:tcBorders>
              <w:top w:val="single" w:sz="4" w:space="0" w:color="auto"/>
            </w:tcBorders>
          </w:tcPr>
          <w:p w14:paraId="4FABAC9F" w14:textId="77777777" w:rsidR="00586C0C" w:rsidRPr="009C5EFD" w:rsidRDefault="00E453CD" w:rsidP="008B396C">
            <w:pPr>
              <w:rPr>
                <w:sz w:val="22"/>
                <w:szCs w:val="22"/>
              </w:rPr>
            </w:pPr>
            <w:r w:rsidRPr="009C5EFD">
              <w:rPr>
                <w:sz w:val="22"/>
                <w:szCs w:val="22"/>
              </w:rPr>
              <w:t>Nokturi</w:t>
            </w:r>
          </w:p>
          <w:p w14:paraId="080A4002" w14:textId="77777777" w:rsidR="00586C0C" w:rsidRPr="009C5EFD" w:rsidRDefault="00586C0C" w:rsidP="008B396C">
            <w:pPr>
              <w:rPr>
                <w:sz w:val="22"/>
                <w:szCs w:val="22"/>
              </w:rPr>
            </w:pPr>
          </w:p>
        </w:tc>
      </w:tr>
      <w:tr w:rsidR="004644D4" w14:paraId="3B231082" w14:textId="77777777" w:rsidTr="00032240">
        <w:tc>
          <w:tcPr>
            <w:tcW w:w="3079" w:type="dxa"/>
          </w:tcPr>
          <w:p w14:paraId="7EA99618" w14:textId="77777777" w:rsidR="00586C0C" w:rsidRPr="009C5EFD" w:rsidRDefault="00E453CD" w:rsidP="008B396C">
            <w:pPr>
              <w:rPr>
                <w:sz w:val="22"/>
                <w:szCs w:val="22"/>
              </w:rPr>
            </w:pPr>
            <w:r w:rsidRPr="009C5EFD">
              <w:rPr>
                <w:sz w:val="22"/>
                <w:szCs w:val="22"/>
              </w:rPr>
              <w:t>Lidelser i kjønnsorganer og brystsykdommer</w:t>
            </w:r>
          </w:p>
          <w:p w14:paraId="4AF0083C" w14:textId="77777777" w:rsidR="00586C0C" w:rsidRPr="009C5EFD" w:rsidRDefault="00586C0C" w:rsidP="008B396C">
            <w:pPr>
              <w:rPr>
                <w:sz w:val="22"/>
                <w:szCs w:val="22"/>
              </w:rPr>
            </w:pPr>
          </w:p>
        </w:tc>
        <w:tc>
          <w:tcPr>
            <w:tcW w:w="1682" w:type="dxa"/>
            <w:tcBorders>
              <w:bottom w:val="single" w:sz="4" w:space="0" w:color="auto"/>
            </w:tcBorders>
          </w:tcPr>
          <w:p w14:paraId="7578C6D3" w14:textId="77777777" w:rsidR="00586C0C" w:rsidRPr="009C5EFD" w:rsidRDefault="00E453CD" w:rsidP="008B396C">
            <w:pPr>
              <w:rPr>
                <w:sz w:val="22"/>
                <w:szCs w:val="22"/>
              </w:rPr>
            </w:pPr>
            <w:r w:rsidRPr="009C5EFD">
              <w:rPr>
                <w:sz w:val="22"/>
                <w:szCs w:val="22"/>
              </w:rPr>
              <w:lastRenderedPageBreak/>
              <w:t>Mindre vanlige</w:t>
            </w:r>
          </w:p>
        </w:tc>
        <w:tc>
          <w:tcPr>
            <w:tcW w:w="4294" w:type="dxa"/>
            <w:tcBorders>
              <w:bottom w:val="single" w:sz="4" w:space="0" w:color="auto"/>
            </w:tcBorders>
          </w:tcPr>
          <w:p w14:paraId="35709579" w14:textId="77777777" w:rsidR="00586C0C" w:rsidRPr="009C5EFD" w:rsidRDefault="00E453CD" w:rsidP="008B396C">
            <w:pPr>
              <w:rPr>
                <w:sz w:val="22"/>
                <w:szCs w:val="22"/>
              </w:rPr>
            </w:pPr>
            <w:r w:rsidRPr="009C5EFD">
              <w:rPr>
                <w:sz w:val="22"/>
                <w:szCs w:val="22"/>
              </w:rPr>
              <w:t>Erektil dysfunksjon</w:t>
            </w:r>
          </w:p>
        </w:tc>
      </w:tr>
      <w:tr w:rsidR="004644D4" w14:paraId="5AD4C9E0" w14:textId="77777777" w:rsidTr="00032240">
        <w:tc>
          <w:tcPr>
            <w:tcW w:w="3079" w:type="dxa"/>
            <w:vMerge w:val="restart"/>
          </w:tcPr>
          <w:p w14:paraId="4B3D24FE" w14:textId="77777777" w:rsidR="00586C0C" w:rsidRPr="009C5EFD" w:rsidRDefault="00E453CD" w:rsidP="008B396C">
            <w:pPr>
              <w:rPr>
                <w:sz w:val="22"/>
                <w:szCs w:val="22"/>
              </w:rPr>
            </w:pPr>
            <w:r w:rsidRPr="009C5EFD">
              <w:rPr>
                <w:sz w:val="22"/>
                <w:szCs w:val="22"/>
              </w:rPr>
              <w:t>Generelle lidelser og reaksjoner på administrasjonsstedet*</w:t>
            </w:r>
          </w:p>
          <w:p w14:paraId="03C0EEFB" w14:textId="77777777" w:rsidR="00586C0C" w:rsidRPr="009C5EFD" w:rsidRDefault="00586C0C" w:rsidP="008B396C">
            <w:pPr>
              <w:rPr>
                <w:sz w:val="22"/>
                <w:szCs w:val="22"/>
              </w:rPr>
            </w:pPr>
          </w:p>
        </w:tc>
        <w:tc>
          <w:tcPr>
            <w:tcW w:w="1682" w:type="dxa"/>
            <w:tcBorders>
              <w:bottom w:val="single" w:sz="4" w:space="0" w:color="auto"/>
            </w:tcBorders>
          </w:tcPr>
          <w:p w14:paraId="1B9CCA55" w14:textId="77777777" w:rsidR="00586C0C" w:rsidRPr="009C5EFD" w:rsidRDefault="00E453CD" w:rsidP="008B396C">
            <w:pPr>
              <w:rPr>
                <w:sz w:val="22"/>
                <w:szCs w:val="22"/>
              </w:rPr>
            </w:pPr>
            <w:r w:rsidRPr="009C5EFD">
              <w:rPr>
                <w:sz w:val="22"/>
                <w:szCs w:val="22"/>
              </w:rPr>
              <w:t>Svært vanlige</w:t>
            </w:r>
          </w:p>
          <w:p w14:paraId="690AECBA" w14:textId="77777777" w:rsidR="00586C0C" w:rsidRPr="009C5EFD" w:rsidRDefault="00586C0C" w:rsidP="008B396C">
            <w:pPr>
              <w:rPr>
                <w:sz w:val="22"/>
                <w:szCs w:val="22"/>
              </w:rPr>
            </w:pPr>
          </w:p>
          <w:p w14:paraId="63289135" w14:textId="77777777" w:rsidR="00586C0C" w:rsidRPr="009C5EFD" w:rsidRDefault="00586C0C" w:rsidP="008B396C">
            <w:pPr>
              <w:rPr>
                <w:sz w:val="22"/>
                <w:szCs w:val="22"/>
              </w:rPr>
            </w:pPr>
          </w:p>
        </w:tc>
        <w:tc>
          <w:tcPr>
            <w:tcW w:w="4294" w:type="dxa"/>
            <w:tcBorders>
              <w:bottom w:val="single" w:sz="4" w:space="0" w:color="auto"/>
            </w:tcBorders>
          </w:tcPr>
          <w:p w14:paraId="26577ED7" w14:textId="77777777" w:rsidR="00586C0C" w:rsidRPr="009C5EFD" w:rsidRDefault="00E453CD" w:rsidP="008B396C">
            <w:pPr>
              <w:autoSpaceDE w:val="0"/>
              <w:autoSpaceDN w:val="0"/>
              <w:adjustRightInd w:val="0"/>
              <w:rPr>
                <w:sz w:val="22"/>
                <w:szCs w:val="22"/>
              </w:rPr>
            </w:pPr>
            <w:r w:rsidRPr="009C5EFD">
              <w:rPr>
                <w:sz w:val="22"/>
                <w:szCs w:val="22"/>
              </w:rPr>
              <w:t>Reaksjoner på injeksjonsstedet (inkludert erytem på injeksjonsstedet)</w:t>
            </w:r>
          </w:p>
          <w:p w14:paraId="05A9B6C1" w14:textId="77777777" w:rsidR="00586C0C" w:rsidRPr="001F5D4B" w:rsidRDefault="00586C0C" w:rsidP="008B396C">
            <w:pPr>
              <w:pStyle w:val="Heading9"/>
              <w:spacing w:before="0" w:after="0"/>
              <w:rPr>
                <w:rFonts w:ascii="Times New Roman" w:hAnsi="Times New Roman" w:cs="Times New Roman"/>
              </w:rPr>
            </w:pPr>
          </w:p>
        </w:tc>
      </w:tr>
      <w:tr w:rsidR="004644D4" w14:paraId="11625553" w14:textId="77777777" w:rsidTr="00032240">
        <w:tc>
          <w:tcPr>
            <w:tcW w:w="3079" w:type="dxa"/>
            <w:vMerge/>
          </w:tcPr>
          <w:p w14:paraId="30518652" w14:textId="77777777" w:rsidR="00586C0C" w:rsidRPr="009C5EFD" w:rsidRDefault="00586C0C" w:rsidP="008B396C">
            <w:pPr>
              <w:rPr>
                <w:sz w:val="22"/>
                <w:szCs w:val="22"/>
              </w:rPr>
            </w:pPr>
          </w:p>
        </w:tc>
        <w:tc>
          <w:tcPr>
            <w:tcW w:w="1682" w:type="dxa"/>
            <w:tcBorders>
              <w:top w:val="single" w:sz="4" w:space="0" w:color="auto"/>
              <w:bottom w:val="single" w:sz="4" w:space="0" w:color="auto"/>
            </w:tcBorders>
          </w:tcPr>
          <w:p w14:paraId="429AB980" w14:textId="77777777" w:rsidR="00586C0C" w:rsidRPr="009C5EFD" w:rsidRDefault="00E453CD" w:rsidP="008B396C">
            <w:pPr>
              <w:rPr>
                <w:sz w:val="22"/>
                <w:szCs w:val="22"/>
              </w:rPr>
            </w:pPr>
            <w:r w:rsidRPr="009C5EFD">
              <w:rPr>
                <w:sz w:val="22"/>
                <w:szCs w:val="22"/>
              </w:rPr>
              <w:t>Vanlige</w:t>
            </w:r>
          </w:p>
          <w:p w14:paraId="44CB48CE" w14:textId="77777777" w:rsidR="00586C0C" w:rsidRPr="009C5EFD" w:rsidRDefault="00586C0C" w:rsidP="008B396C">
            <w:pPr>
              <w:rPr>
                <w:sz w:val="22"/>
                <w:szCs w:val="22"/>
              </w:rPr>
            </w:pPr>
          </w:p>
        </w:tc>
        <w:tc>
          <w:tcPr>
            <w:tcW w:w="4294" w:type="dxa"/>
            <w:tcBorders>
              <w:top w:val="single" w:sz="4" w:space="0" w:color="auto"/>
              <w:bottom w:val="single" w:sz="4" w:space="0" w:color="auto"/>
            </w:tcBorders>
          </w:tcPr>
          <w:p w14:paraId="45B4D07E" w14:textId="77777777" w:rsidR="00586C0C" w:rsidRPr="009C5EFD" w:rsidRDefault="00E453CD" w:rsidP="008B396C">
            <w:pPr>
              <w:autoSpaceDE w:val="0"/>
              <w:autoSpaceDN w:val="0"/>
              <w:adjustRightInd w:val="0"/>
              <w:rPr>
                <w:sz w:val="22"/>
                <w:szCs w:val="22"/>
              </w:rPr>
            </w:pPr>
            <w:r w:rsidRPr="009C5EFD">
              <w:rPr>
                <w:sz w:val="22"/>
                <w:szCs w:val="22"/>
              </w:rPr>
              <w:t>Brystsmerter, ødem, pyreksi</w:t>
            </w:r>
            <w:r w:rsidRPr="009C5EFD">
              <w:rPr>
                <w:sz w:val="22"/>
                <w:szCs w:val="22"/>
                <w:vertAlign w:val="superscript"/>
              </w:rPr>
              <w:t>1)</w:t>
            </w:r>
          </w:p>
          <w:p w14:paraId="44AF3A74" w14:textId="77777777" w:rsidR="00586C0C" w:rsidRPr="009C5EFD" w:rsidRDefault="00586C0C" w:rsidP="008B396C">
            <w:pPr>
              <w:autoSpaceDE w:val="0"/>
              <w:autoSpaceDN w:val="0"/>
              <w:adjustRightInd w:val="0"/>
              <w:rPr>
                <w:sz w:val="22"/>
                <w:szCs w:val="22"/>
              </w:rPr>
            </w:pPr>
          </w:p>
        </w:tc>
      </w:tr>
      <w:tr w:rsidR="004644D4" w14:paraId="19621736" w14:textId="77777777" w:rsidTr="00032240">
        <w:tc>
          <w:tcPr>
            <w:tcW w:w="3079" w:type="dxa"/>
            <w:vMerge/>
          </w:tcPr>
          <w:p w14:paraId="04701B2F" w14:textId="77777777" w:rsidR="00586C0C" w:rsidRPr="009C5EFD" w:rsidRDefault="00586C0C" w:rsidP="008B396C">
            <w:pPr>
              <w:rPr>
                <w:sz w:val="22"/>
                <w:szCs w:val="22"/>
              </w:rPr>
            </w:pPr>
          </w:p>
        </w:tc>
        <w:tc>
          <w:tcPr>
            <w:tcW w:w="1682" w:type="dxa"/>
            <w:tcBorders>
              <w:top w:val="single" w:sz="4" w:space="0" w:color="auto"/>
            </w:tcBorders>
          </w:tcPr>
          <w:p w14:paraId="5BCF9F3B" w14:textId="77777777" w:rsidR="00586C0C" w:rsidRPr="009C5EFD" w:rsidRDefault="00E453CD" w:rsidP="008B396C">
            <w:pPr>
              <w:rPr>
                <w:sz w:val="22"/>
                <w:szCs w:val="22"/>
              </w:rPr>
            </w:pPr>
            <w:r w:rsidRPr="009C5EFD">
              <w:rPr>
                <w:sz w:val="22"/>
                <w:szCs w:val="22"/>
              </w:rPr>
              <w:t>Mindre vanlige</w:t>
            </w:r>
          </w:p>
        </w:tc>
        <w:tc>
          <w:tcPr>
            <w:tcW w:w="4294" w:type="dxa"/>
            <w:tcBorders>
              <w:top w:val="single" w:sz="4" w:space="0" w:color="auto"/>
            </w:tcBorders>
          </w:tcPr>
          <w:p w14:paraId="471C8D60" w14:textId="77777777" w:rsidR="00586C0C" w:rsidRPr="009C5EFD" w:rsidRDefault="00E453CD" w:rsidP="008B396C">
            <w:pPr>
              <w:pStyle w:val="Heading9"/>
              <w:spacing w:before="0" w:after="0"/>
              <w:rPr>
                <w:rFonts w:ascii="Times New Roman" w:hAnsi="Times New Roman" w:cs="Times New Roman"/>
              </w:rPr>
            </w:pPr>
            <w:r w:rsidRPr="009C5EFD">
              <w:rPr>
                <w:rFonts w:ascii="Times New Roman" w:hAnsi="Times New Roman" w:cs="Times New Roman"/>
              </w:rPr>
              <w:t xml:space="preserve">Inflammasjon </w:t>
            </w:r>
          </w:p>
          <w:p w14:paraId="2D6867C7" w14:textId="77777777" w:rsidR="00586C0C" w:rsidRPr="009C5EFD" w:rsidRDefault="00586C0C" w:rsidP="008B396C">
            <w:pPr>
              <w:autoSpaceDE w:val="0"/>
              <w:autoSpaceDN w:val="0"/>
              <w:adjustRightInd w:val="0"/>
              <w:rPr>
                <w:sz w:val="22"/>
                <w:szCs w:val="22"/>
              </w:rPr>
            </w:pPr>
          </w:p>
        </w:tc>
      </w:tr>
      <w:tr w:rsidR="004644D4" w14:paraId="70F1AACB" w14:textId="77777777" w:rsidTr="00032240">
        <w:tc>
          <w:tcPr>
            <w:tcW w:w="3079" w:type="dxa"/>
            <w:vMerge w:val="restart"/>
          </w:tcPr>
          <w:p w14:paraId="632124E4" w14:textId="77777777" w:rsidR="00B64797" w:rsidRPr="009C5EFD" w:rsidRDefault="00E453CD" w:rsidP="008B396C">
            <w:pPr>
              <w:rPr>
                <w:sz w:val="22"/>
                <w:szCs w:val="22"/>
              </w:rPr>
            </w:pPr>
            <w:r w:rsidRPr="009C5EFD">
              <w:rPr>
                <w:sz w:val="22"/>
                <w:szCs w:val="22"/>
              </w:rPr>
              <w:t>Undersøkelser*</w:t>
            </w:r>
          </w:p>
        </w:tc>
        <w:tc>
          <w:tcPr>
            <w:tcW w:w="1682" w:type="dxa"/>
            <w:tcBorders>
              <w:bottom w:val="single" w:sz="4" w:space="0" w:color="auto"/>
            </w:tcBorders>
          </w:tcPr>
          <w:p w14:paraId="09913A77" w14:textId="77777777" w:rsidR="00B64797" w:rsidRPr="009C5EFD" w:rsidRDefault="00E453CD" w:rsidP="008B396C">
            <w:pPr>
              <w:pStyle w:val="EndnoteText"/>
              <w:tabs>
                <w:tab w:val="clear" w:pos="567"/>
              </w:tabs>
              <w:rPr>
                <w:szCs w:val="22"/>
                <w:lang w:val="nb-NO"/>
              </w:rPr>
            </w:pPr>
            <w:r w:rsidRPr="009C5EFD">
              <w:rPr>
                <w:szCs w:val="22"/>
                <w:lang w:val="nb-NO"/>
              </w:rPr>
              <w:t>Vanlige</w:t>
            </w:r>
          </w:p>
          <w:p w14:paraId="237C8F78" w14:textId="77777777" w:rsidR="00B64797" w:rsidRPr="009C5EFD" w:rsidRDefault="00B64797" w:rsidP="008B396C">
            <w:pPr>
              <w:rPr>
                <w:sz w:val="22"/>
                <w:szCs w:val="22"/>
              </w:rPr>
            </w:pPr>
          </w:p>
        </w:tc>
        <w:tc>
          <w:tcPr>
            <w:tcW w:w="4294" w:type="dxa"/>
            <w:tcBorders>
              <w:bottom w:val="single" w:sz="4" w:space="0" w:color="auto"/>
            </w:tcBorders>
          </w:tcPr>
          <w:p w14:paraId="7C98B6D2" w14:textId="77777777" w:rsidR="00B64797" w:rsidRPr="009C5EFD" w:rsidRDefault="00E453CD" w:rsidP="008B396C">
            <w:pPr>
              <w:autoSpaceDE w:val="0"/>
              <w:autoSpaceDN w:val="0"/>
              <w:adjustRightInd w:val="0"/>
              <w:rPr>
                <w:sz w:val="22"/>
                <w:szCs w:val="22"/>
              </w:rPr>
            </w:pPr>
            <w:r w:rsidRPr="009C5EFD">
              <w:rPr>
                <w:sz w:val="22"/>
                <w:szCs w:val="22"/>
              </w:rPr>
              <w:t>Koagulasjons- og blødningsforstyrrelser (inkludert forlenget aktivert partiell tromboplastintid), positiv test på autoantistoff (inkludert dobbel</w:t>
            </w:r>
            <w:r>
              <w:rPr>
                <w:sz w:val="22"/>
                <w:szCs w:val="22"/>
              </w:rPr>
              <w:t>t</w:t>
            </w:r>
            <w:r w:rsidRPr="009C5EFD">
              <w:rPr>
                <w:sz w:val="22"/>
                <w:szCs w:val="22"/>
              </w:rPr>
              <w:t>kjedet DNA</w:t>
            </w:r>
            <w:r>
              <w:rPr>
                <w:sz w:val="22"/>
                <w:szCs w:val="22"/>
              </w:rPr>
              <w:t xml:space="preserve"> antistoff</w:t>
            </w:r>
            <w:r w:rsidRPr="009C5EFD">
              <w:rPr>
                <w:sz w:val="22"/>
                <w:szCs w:val="22"/>
              </w:rPr>
              <w:t xml:space="preserve">), forhøyet laktatdehydrogenase i blod </w:t>
            </w:r>
          </w:p>
          <w:p w14:paraId="09AA9A64" w14:textId="77777777" w:rsidR="00B64797" w:rsidRPr="009C5EFD" w:rsidRDefault="00B64797" w:rsidP="008B396C">
            <w:pPr>
              <w:pStyle w:val="EndnoteText"/>
              <w:tabs>
                <w:tab w:val="clear" w:pos="567"/>
              </w:tabs>
              <w:rPr>
                <w:szCs w:val="22"/>
                <w:lang w:val="nb-NO"/>
              </w:rPr>
            </w:pPr>
          </w:p>
        </w:tc>
      </w:tr>
      <w:tr w:rsidR="004644D4" w14:paraId="766528F0" w14:textId="77777777" w:rsidTr="00B64797">
        <w:tc>
          <w:tcPr>
            <w:tcW w:w="3079" w:type="dxa"/>
            <w:vMerge/>
          </w:tcPr>
          <w:p w14:paraId="02321DFE" w14:textId="77777777" w:rsidR="00B64797" w:rsidRPr="009C5EFD" w:rsidRDefault="00B64797" w:rsidP="008B396C">
            <w:pPr>
              <w:rPr>
                <w:sz w:val="22"/>
                <w:szCs w:val="22"/>
              </w:rPr>
            </w:pPr>
          </w:p>
        </w:tc>
        <w:tc>
          <w:tcPr>
            <w:tcW w:w="1682" w:type="dxa"/>
            <w:tcBorders>
              <w:bottom w:val="single" w:sz="4" w:space="0" w:color="auto"/>
            </w:tcBorders>
          </w:tcPr>
          <w:p w14:paraId="57B550A5" w14:textId="77777777" w:rsidR="00B64797" w:rsidRPr="009C5EFD" w:rsidRDefault="00E453CD" w:rsidP="008B396C">
            <w:pPr>
              <w:pStyle w:val="EndnoteText"/>
              <w:tabs>
                <w:tab w:val="clear" w:pos="567"/>
              </w:tabs>
              <w:rPr>
                <w:szCs w:val="22"/>
                <w:lang w:val="nb-NO"/>
              </w:rPr>
            </w:pPr>
            <w:r>
              <w:rPr>
                <w:szCs w:val="22"/>
                <w:lang w:val="nb-NO"/>
              </w:rPr>
              <w:t>Ikke kjent</w:t>
            </w:r>
          </w:p>
        </w:tc>
        <w:tc>
          <w:tcPr>
            <w:tcW w:w="4294" w:type="dxa"/>
            <w:tcBorders>
              <w:bottom w:val="single" w:sz="4" w:space="0" w:color="auto"/>
            </w:tcBorders>
          </w:tcPr>
          <w:p w14:paraId="61E3ACB3" w14:textId="77777777" w:rsidR="00B64797" w:rsidRPr="009C5EFD" w:rsidRDefault="00E453CD" w:rsidP="008B396C">
            <w:pPr>
              <w:autoSpaceDE w:val="0"/>
              <w:autoSpaceDN w:val="0"/>
              <w:adjustRightInd w:val="0"/>
              <w:rPr>
                <w:sz w:val="22"/>
                <w:szCs w:val="22"/>
              </w:rPr>
            </w:pPr>
            <w:r>
              <w:rPr>
                <w:sz w:val="22"/>
                <w:szCs w:val="22"/>
              </w:rPr>
              <w:t>Økt vekt</w:t>
            </w:r>
            <w:r w:rsidRPr="00E57788">
              <w:rPr>
                <w:sz w:val="22"/>
                <w:szCs w:val="22"/>
                <w:vertAlign w:val="superscript"/>
              </w:rPr>
              <w:t>2)</w:t>
            </w:r>
          </w:p>
        </w:tc>
      </w:tr>
      <w:tr w:rsidR="004644D4" w14:paraId="339C65A3" w14:textId="77777777" w:rsidTr="00032240">
        <w:tc>
          <w:tcPr>
            <w:tcW w:w="3079" w:type="dxa"/>
          </w:tcPr>
          <w:p w14:paraId="21E07E31" w14:textId="77777777" w:rsidR="00586C0C" w:rsidRPr="009C5EFD" w:rsidRDefault="00E453CD" w:rsidP="008B396C">
            <w:pPr>
              <w:rPr>
                <w:sz w:val="22"/>
                <w:szCs w:val="22"/>
              </w:rPr>
            </w:pPr>
            <w:r w:rsidRPr="009C5EFD">
              <w:rPr>
                <w:sz w:val="22"/>
                <w:szCs w:val="22"/>
              </w:rPr>
              <w:t xml:space="preserve">Skader, forgiftninger og </w:t>
            </w:r>
            <w:r w:rsidR="001A6CA6">
              <w:rPr>
                <w:sz w:val="22"/>
                <w:szCs w:val="22"/>
              </w:rPr>
              <w:t xml:space="preserve">komplikasjoner ved medisinske prosedyrer </w:t>
            </w:r>
          </w:p>
        </w:tc>
        <w:tc>
          <w:tcPr>
            <w:tcW w:w="1682" w:type="dxa"/>
            <w:tcBorders>
              <w:top w:val="single" w:sz="4" w:space="0" w:color="auto"/>
            </w:tcBorders>
          </w:tcPr>
          <w:p w14:paraId="3C55F325" w14:textId="77777777" w:rsidR="00586C0C" w:rsidRPr="009C5EFD" w:rsidRDefault="00E453CD" w:rsidP="008B396C">
            <w:pPr>
              <w:rPr>
                <w:sz w:val="22"/>
                <w:szCs w:val="22"/>
              </w:rPr>
            </w:pPr>
            <w:r w:rsidRPr="009C5EFD">
              <w:rPr>
                <w:sz w:val="22"/>
                <w:szCs w:val="22"/>
              </w:rPr>
              <w:t>Vanlige</w:t>
            </w:r>
          </w:p>
        </w:tc>
        <w:tc>
          <w:tcPr>
            <w:tcW w:w="4294" w:type="dxa"/>
            <w:tcBorders>
              <w:top w:val="single" w:sz="4" w:space="0" w:color="auto"/>
            </w:tcBorders>
          </w:tcPr>
          <w:p w14:paraId="485DA802" w14:textId="77777777" w:rsidR="00586C0C" w:rsidRPr="009C5EFD" w:rsidRDefault="00E453CD" w:rsidP="008B396C">
            <w:pPr>
              <w:autoSpaceDE w:val="0"/>
              <w:autoSpaceDN w:val="0"/>
              <w:adjustRightInd w:val="0"/>
              <w:rPr>
                <w:sz w:val="22"/>
                <w:szCs w:val="22"/>
              </w:rPr>
            </w:pPr>
            <w:r>
              <w:rPr>
                <w:sz w:val="22"/>
                <w:szCs w:val="22"/>
              </w:rPr>
              <w:t>Nedsatt</w:t>
            </w:r>
            <w:r w:rsidRPr="009C5EFD">
              <w:rPr>
                <w:sz w:val="22"/>
                <w:szCs w:val="22"/>
              </w:rPr>
              <w:t xml:space="preserve"> tilhelning </w:t>
            </w:r>
          </w:p>
          <w:p w14:paraId="4C033F33" w14:textId="77777777" w:rsidR="00586C0C" w:rsidRPr="009C5EFD" w:rsidRDefault="00586C0C" w:rsidP="008B396C">
            <w:pPr>
              <w:rPr>
                <w:sz w:val="22"/>
                <w:szCs w:val="22"/>
              </w:rPr>
            </w:pPr>
          </w:p>
        </w:tc>
      </w:tr>
    </w:tbl>
    <w:p w14:paraId="11F3FD74" w14:textId="77777777" w:rsidR="00586C0C" w:rsidRPr="009C5EFD" w:rsidRDefault="00E453CD" w:rsidP="00586C0C">
      <w:pPr>
        <w:rPr>
          <w:sz w:val="22"/>
          <w:szCs w:val="22"/>
        </w:rPr>
      </w:pPr>
      <w:r w:rsidRPr="009C5EFD">
        <w:rPr>
          <w:sz w:val="22"/>
          <w:szCs w:val="22"/>
        </w:rPr>
        <w:t xml:space="preserve">* ytterligere informasjon finnes i </w:t>
      </w:r>
      <w:r w:rsidR="00ED6DD4">
        <w:rPr>
          <w:sz w:val="22"/>
          <w:szCs w:val="22"/>
        </w:rPr>
        <w:t>pkt.</w:t>
      </w:r>
      <w:r w:rsidR="006E1A8A">
        <w:rPr>
          <w:sz w:val="22"/>
          <w:szCs w:val="22"/>
        </w:rPr>
        <w:t> </w:t>
      </w:r>
      <w:r w:rsidRPr="009C5EFD">
        <w:rPr>
          <w:sz w:val="22"/>
          <w:szCs w:val="22"/>
        </w:rPr>
        <w:t>4.3, 4.4. og 4.8</w:t>
      </w:r>
    </w:p>
    <w:p w14:paraId="584EF972" w14:textId="77777777" w:rsidR="00586C0C" w:rsidRPr="009C5EFD" w:rsidRDefault="00E453CD" w:rsidP="00586C0C">
      <w:pPr>
        <w:rPr>
          <w:sz w:val="22"/>
          <w:szCs w:val="22"/>
        </w:rPr>
      </w:pPr>
      <w:r w:rsidRPr="009C5EFD">
        <w:rPr>
          <w:sz w:val="22"/>
          <w:szCs w:val="22"/>
        </w:rPr>
        <w:t xml:space="preserve">** inkludert </w:t>
      </w:r>
      <w:r w:rsidR="00ED6DD4">
        <w:rPr>
          <w:sz w:val="22"/>
          <w:szCs w:val="22"/>
        </w:rPr>
        <w:t>åpne forlengelsesstudier</w:t>
      </w:r>
    </w:p>
    <w:p w14:paraId="68C46DFE" w14:textId="77777777" w:rsidR="00543C0D" w:rsidRDefault="00E453CD">
      <w:pPr>
        <w:rPr>
          <w:sz w:val="22"/>
          <w:szCs w:val="22"/>
        </w:rPr>
      </w:pPr>
      <w:r w:rsidRPr="00AB7697">
        <w:rPr>
          <w:sz w:val="22"/>
          <w:szCs w:val="22"/>
          <w:vertAlign w:val="superscript"/>
        </w:rPr>
        <w:t>1)</w:t>
      </w:r>
      <w:r>
        <w:rPr>
          <w:sz w:val="22"/>
          <w:szCs w:val="22"/>
        </w:rPr>
        <w:t xml:space="preserve"> </w:t>
      </w:r>
      <w:r w:rsidR="00586C0C" w:rsidRPr="00AB7697">
        <w:rPr>
          <w:sz w:val="22"/>
          <w:szCs w:val="22"/>
        </w:rPr>
        <w:t>inkluderer data fra spontanrapportering</w:t>
      </w:r>
    </w:p>
    <w:p w14:paraId="52BC9279" w14:textId="77777777" w:rsidR="00B64797" w:rsidRPr="00B64797" w:rsidRDefault="00E453CD">
      <w:pPr>
        <w:rPr>
          <w:sz w:val="22"/>
          <w:szCs w:val="22"/>
        </w:rPr>
      </w:pPr>
      <w:r w:rsidRPr="00E57788">
        <w:rPr>
          <w:sz w:val="22"/>
          <w:szCs w:val="22"/>
          <w:vertAlign w:val="superscript"/>
        </w:rPr>
        <w:t>2)</w:t>
      </w:r>
      <w:r w:rsidRPr="00E57788">
        <w:rPr>
          <w:sz w:val="22"/>
          <w:szCs w:val="22"/>
        </w:rPr>
        <w:t xml:space="preserve"> I løpet av en behandlingsperiode på 4-6 uker lå den gjennomsnittlige vektendringen fra utgangspunktet på mellom 0,3 kg og 1,0 kg for adalimumab sammenlignet med mellom -0,4 kg og 0,4 kg for placebo ved indikasjoner til voksne. En vektøkning på 5-6 kg er også observert i langtids utvidelsesstudier med gjennomsnittlig eksponeringstid på omtrent 1-2 år uten kontrollgruppe, spesielt hos pasienter med Crohns sykdom og ulcerøs kolitt. Mekanismen bak denne effekten er uklar, men kan ha sammenheng med adalimumabs antiinflammatoriske virkning.</w:t>
      </w:r>
    </w:p>
    <w:p w14:paraId="274C06B2" w14:textId="77777777" w:rsidR="00D77AF2" w:rsidRDefault="00D77AF2">
      <w:pPr>
        <w:rPr>
          <w:sz w:val="22"/>
          <w:szCs w:val="22"/>
        </w:rPr>
      </w:pPr>
    </w:p>
    <w:p w14:paraId="2AA9B33B" w14:textId="77777777" w:rsidR="005D4512" w:rsidRDefault="00E453CD" w:rsidP="00AB7697">
      <w:pPr>
        <w:keepNext/>
        <w:rPr>
          <w:sz w:val="22"/>
          <w:szCs w:val="22"/>
          <w:u w:val="single"/>
        </w:rPr>
      </w:pPr>
      <w:r w:rsidRPr="00AB7697">
        <w:rPr>
          <w:sz w:val="22"/>
          <w:szCs w:val="22"/>
          <w:u w:val="single"/>
        </w:rPr>
        <w:t>Uveitt</w:t>
      </w:r>
    </w:p>
    <w:p w14:paraId="4B4DACBC" w14:textId="77777777" w:rsidR="005D4512" w:rsidRDefault="005D4512" w:rsidP="00AB7697">
      <w:pPr>
        <w:keepNext/>
        <w:rPr>
          <w:sz w:val="22"/>
          <w:szCs w:val="22"/>
          <w:u w:val="single"/>
        </w:rPr>
      </w:pPr>
    </w:p>
    <w:p w14:paraId="7DE87B04" w14:textId="77777777" w:rsidR="005D4512" w:rsidRDefault="00E453CD">
      <w:pPr>
        <w:rPr>
          <w:sz w:val="22"/>
          <w:szCs w:val="22"/>
        </w:rPr>
      </w:pPr>
      <w:r>
        <w:rPr>
          <w:sz w:val="22"/>
          <w:szCs w:val="22"/>
        </w:rPr>
        <w:t>Sikkerhetsprofilen for pasienter med uveitt behandlet med Humira annenhver uke</w:t>
      </w:r>
      <w:r w:rsidR="007D35A9">
        <w:rPr>
          <w:sz w:val="22"/>
          <w:szCs w:val="22"/>
        </w:rPr>
        <w:t xml:space="preserve"> </w:t>
      </w:r>
      <w:r w:rsidR="003836A8">
        <w:rPr>
          <w:sz w:val="22"/>
          <w:szCs w:val="22"/>
        </w:rPr>
        <w:t>er i overensstemmelse</w:t>
      </w:r>
      <w:r w:rsidR="007D35A9">
        <w:rPr>
          <w:sz w:val="22"/>
          <w:szCs w:val="22"/>
        </w:rPr>
        <w:t xml:space="preserve"> med </w:t>
      </w:r>
      <w:r w:rsidR="003836A8">
        <w:rPr>
          <w:sz w:val="22"/>
          <w:szCs w:val="22"/>
        </w:rPr>
        <w:t xml:space="preserve">den </w:t>
      </w:r>
      <w:r w:rsidR="007D35A9">
        <w:rPr>
          <w:sz w:val="22"/>
          <w:szCs w:val="22"/>
        </w:rPr>
        <w:t>kjent</w:t>
      </w:r>
      <w:r w:rsidR="003836A8">
        <w:rPr>
          <w:sz w:val="22"/>
          <w:szCs w:val="22"/>
        </w:rPr>
        <w:t>e</w:t>
      </w:r>
      <w:r w:rsidR="007D35A9">
        <w:rPr>
          <w:sz w:val="22"/>
          <w:szCs w:val="22"/>
        </w:rPr>
        <w:t xml:space="preserve"> sikkerhetsprofil</w:t>
      </w:r>
      <w:r w:rsidR="003836A8">
        <w:rPr>
          <w:sz w:val="22"/>
          <w:szCs w:val="22"/>
        </w:rPr>
        <w:t xml:space="preserve">en til </w:t>
      </w:r>
      <w:r w:rsidR="007D35A9">
        <w:rPr>
          <w:sz w:val="22"/>
          <w:szCs w:val="22"/>
        </w:rPr>
        <w:t>Humira.</w:t>
      </w:r>
    </w:p>
    <w:p w14:paraId="5AC436AC" w14:textId="77777777" w:rsidR="007D35A9" w:rsidRPr="00AB7697" w:rsidRDefault="007D35A9">
      <w:pPr>
        <w:rPr>
          <w:sz w:val="22"/>
          <w:szCs w:val="22"/>
        </w:rPr>
      </w:pPr>
    </w:p>
    <w:p w14:paraId="347245D1" w14:textId="77777777" w:rsidR="00543C0D" w:rsidRPr="009C5EFD" w:rsidRDefault="00E453CD" w:rsidP="00543C0D">
      <w:pPr>
        <w:pStyle w:val="Heading8"/>
        <w:rPr>
          <w:szCs w:val="22"/>
        </w:rPr>
      </w:pPr>
      <w:r w:rsidRPr="009C5EFD">
        <w:rPr>
          <w:szCs w:val="22"/>
        </w:rPr>
        <w:t>Beskrivelse av utvalgte bivirkninger</w:t>
      </w:r>
    </w:p>
    <w:p w14:paraId="1EED3AE5" w14:textId="77777777" w:rsidR="00543C0D" w:rsidRPr="009C5EFD" w:rsidRDefault="00543C0D" w:rsidP="00543C0D">
      <w:pPr>
        <w:pStyle w:val="Heading8"/>
        <w:rPr>
          <w:szCs w:val="22"/>
        </w:rPr>
      </w:pPr>
    </w:p>
    <w:p w14:paraId="0DF9201D" w14:textId="77777777" w:rsidR="00543C0D" w:rsidRPr="007F67EE" w:rsidRDefault="00E453CD" w:rsidP="00543C0D">
      <w:pPr>
        <w:pStyle w:val="Heading8"/>
        <w:rPr>
          <w:szCs w:val="22"/>
        </w:rPr>
      </w:pPr>
      <w:r w:rsidRPr="001F5D4B">
        <w:rPr>
          <w:i/>
          <w:szCs w:val="22"/>
          <w:u w:val="none"/>
        </w:rPr>
        <w:t>Reaksjoner på injeksjonsstedet</w:t>
      </w:r>
    </w:p>
    <w:p w14:paraId="29519F80" w14:textId="77777777" w:rsidR="00543C0D" w:rsidRPr="00193D76" w:rsidRDefault="00543C0D" w:rsidP="00543C0D">
      <w:pPr>
        <w:keepNext/>
        <w:rPr>
          <w:sz w:val="22"/>
          <w:szCs w:val="22"/>
        </w:rPr>
      </w:pPr>
    </w:p>
    <w:p w14:paraId="3B60B65C" w14:textId="77777777" w:rsidR="00543C0D" w:rsidRPr="009C5EFD" w:rsidRDefault="00E453CD" w:rsidP="00776A84">
      <w:pPr>
        <w:rPr>
          <w:sz w:val="22"/>
          <w:szCs w:val="22"/>
        </w:rPr>
      </w:pPr>
      <w:r w:rsidRPr="002D0790">
        <w:rPr>
          <w:sz w:val="22"/>
          <w:szCs w:val="22"/>
        </w:rPr>
        <w:t xml:space="preserve">I de pivotale kontrollerte studiene hos voksne og barn </w:t>
      </w:r>
      <w:r w:rsidRPr="00E14E58">
        <w:rPr>
          <w:sz w:val="22"/>
          <w:szCs w:val="22"/>
        </w:rPr>
        <w:t xml:space="preserve">fikk </w:t>
      </w:r>
      <w:r w:rsidRPr="009C5EFD">
        <w:rPr>
          <w:sz w:val="22"/>
          <w:szCs w:val="22"/>
        </w:rPr>
        <w:t>12,9</w:t>
      </w:r>
      <w:r w:rsidR="00EF3ADD">
        <w:rPr>
          <w:sz w:val="22"/>
          <w:szCs w:val="22"/>
        </w:rPr>
        <w:t> </w:t>
      </w:r>
      <w:r w:rsidRPr="009C5EFD">
        <w:rPr>
          <w:sz w:val="22"/>
          <w:szCs w:val="22"/>
        </w:rPr>
        <w:t>% av pasientene som ble behandlet med Humira reaksjoner på injeksjonsstedet (erytem og/eller kløe, blødning, smerte</w:t>
      </w:r>
      <w:r>
        <w:rPr>
          <w:sz w:val="22"/>
          <w:szCs w:val="22"/>
        </w:rPr>
        <w:t>r</w:t>
      </w:r>
      <w:r w:rsidRPr="009C5EFD">
        <w:rPr>
          <w:sz w:val="22"/>
          <w:szCs w:val="22"/>
        </w:rPr>
        <w:t xml:space="preserve"> eller hevelse), sammenlignet med 7,</w:t>
      </w:r>
      <w:r>
        <w:rPr>
          <w:sz w:val="22"/>
          <w:szCs w:val="22"/>
        </w:rPr>
        <w:t>2</w:t>
      </w:r>
      <w:r w:rsidR="00EF3ADD">
        <w:rPr>
          <w:sz w:val="22"/>
          <w:szCs w:val="22"/>
        </w:rPr>
        <w:t> </w:t>
      </w:r>
      <w:r w:rsidRPr="009C5EFD">
        <w:rPr>
          <w:sz w:val="22"/>
          <w:szCs w:val="22"/>
        </w:rPr>
        <w:t xml:space="preserve">% av pasientene som fikk placebo eller aktiv kontroll. Det var oftest ikke nødvendig å seponere </w:t>
      </w:r>
      <w:r w:rsidRPr="009C5EFD">
        <w:rPr>
          <w:color w:val="000000"/>
          <w:sz w:val="22"/>
          <w:szCs w:val="22"/>
        </w:rPr>
        <w:t>legemidlet</w:t>
      </w:r>
      <w:r w:rsidRPr="009C5EFD">
        <w:rPr>
          <w:sz w:val="22"/>
          <w:szCs w:val="22"/>
        </w:rPr>
        <w:t xml:space="preserve"> på grunn av reaksjonen på injeksjonsstedet.</w:t>
      </w:r>
    </w:p>
    <w:p w14:paraId="0840BE7E" w14:textId="77777777" w:rsidR="00543C0D" w:rsidRPr="009C5EFD" w:rsidRDefault="00543C0D" w:rsidP="00543C0D">
      <w:pPr>
        <w:rPr>
          <w:sz w:val="22"/>
          <w:szCs w:val="22"/>
        </w:rPr>
      </w:pPr>
    </w:p>
    <w:p w14:paraId="36D89DCC" w14:textId="77777777" w:rsidR="00543C0D" w:rsidRPr="00193D76" w:rsidRDefault="00E453CD" w:rsidP="00543C0D">
      <w:pPr>
        <w:pStyle w:val="Heading8"/>
        <w:rPr>
          <w:szCs w:val="22"/>
        </w:rPr>
      </w:pPr>
      <w:r w:rsidRPr="001F5D4B">
        <w:rPr>
          <w:i/>
          <w:szCs w:val="22"/>
          <w:u w:val="none"/>
        </w:rPr>
        <w:t>Infeksjoner</w:t>
      </w:r>
    </w:p>
    <w:p w14:paraId="2F2A7387" w14:textId="77777777" w:rsidR="00543C0D" w:rsidRPr="002D0790" w:rsidRDefault="00543C0D" w:rsidP="00543C0D">
      <w:pPr>
        <w:keepNext/>
        <w:rPr>
          <w:sz w:val="22"/>
          <w:szCs w:val="22"/>
        </w:rPr>
      </w:pPr>
    </w:p>
    <w:p w14:paraId="0A9EC269" w14:textId="77777777" w:rsidR="00543C0D" w:rsidRPr="009C5EFD" w:rsidRDefault="00E453CD" w:rsidP="00776A84">
      <w:pPr>
        <w:rPr>
          <w:sz w:val="22"/>
          <w:szCs w:val="22"/>
        </w:rPr>
      </w:pPr>
      <w:r w:rsidRPr="002D0790">
        <w:rPr>
          <w:sz w:val="22"/>
          <w:szCs w:val="22"/>
        </w:rPr>
        <w:t xml:space="preserve">I de pivotale kontrollerte studiene </w:t>
      </w:r>
      <w:r w:rsidRPr="00E14E58">
        <w:rPr>
          <w:sz w:val="22"/>
          <w:szCs w:val="22"/>
        </w:rPr>
        <w:t xml:space="preserve">hos voksne og barn </w:t>
      </w:r>
      <w:r w:rsidRPr="009C5EFD">
        <w:rPr>
          <w:sz w:val="22"/>
          <w:szCs w:val="22"/>
        </w:rPr>
        <w:t xml:space="preserve">var </w:t>
      </w:r>
      <w:r w:rsidRPr="009C5EFD">
        <w:rPr>
          <w:color w:val="000000"/>
          <w:sz w:val="22"/>
          <w:szCs w:val="22"/>
        </w:rPr>
        <w:t>infeksjonsfrekvensen</w:t>
      </w:r>
      <w:r w:rsidRPr="009C5EFD">
        <w:rPr>
          <w:sz w:val="22"/>
          <w:szCs w:val="22"/>
        </w:rPr>
        <w:t xml:space="preserve"> 1,51 </w:t>
      </w:r>
      <w:r w:rsidR="003721B0">
        <w:rPr>
          <w:sz w:val="22"/>
          <w:szCs w:val="22"/>
        </w:rPr>
        <w:t xml:space="preserve"> per</w:t>
      </w:r>
      <w:r w:rsidRPr="009C5EFD">
        <w:rPr>
          <w:sz w:val="22"/>
          <w:szCs w:val="22"/>
        </w:rPr>
        <w:t xml:space="preserve"> pasientår blant pasienter behandlet med Humira og 1,46 </w:t>
      </w:r>
      <w:r w:rsidR="003721B0">
        <w:rPr>
          <w:sz w:val="22"/>
          <w:szCs w:val="22"/>
        </w:rPr>
        <w:t>per</w:t>
      </w:r>
      <w:r w:rsidRPr="009C5EFD">
        <w:rPr>
          <w:sz w:val="22"/>
          <w:szCs w:val="22"/>
        </w:rPr>
        <w:t xml:space="preserve"> pasientår for </w:t>
      </w:r>
      <w:r w:rsidR="003B49EC">
        <w:rPr>
          <w:sz w:val="22"/>
          <w:szCs w:val="22"/>
        </w:rPr>
        <w:t>pasienter som fikk</w:t>
      </w:r>
      <w:r w:rsidRPr="009C5EFD">
        <w:rPr>
          <w:sz w:val="22"/>
          <w:szCs w:val="22"/>
        </w:rPr>
        <w:t xml:space="preserve"> placebo eller aktiv kontroll. Infeksjonene var primært nasofaryngitt, øvre luftveisinfeksjoner og sinusitt. De fleste pasientene fortsatte behandling med Humira etter at infeksjonen var over. </w:t>
      </w:r>
    </w:p>
    <w:p w14:paraId="0794EABF" w14:textId="77777777" w:rsidR="00543C0D" w:rsidRPr="009C5EFD" w:rsidRDefault="00543C0D" w:rsidP="00543C0D">
      <w:pPr>
        <w:rPr>
          <w:sz w:val="22"/>
          <w:szCs w:val="22"/>
        </w:rPr>
      </w:pPr>
    </w:p>
    <w:p w14:paraId="76FE687E" w14:textId="77777777" w:rsidR="00543C0D" w:rsidRPr="009C5EFD" w:rsidRDefault="00E453CD" w:rsidP="00543C0D">
      <w:pPr>
        <w:rPr>
          <w:sz w:val="22"/>
          <w:szCs w:val="22"/>
        </w:rPr>
      </w:pPr>
      <w:r w:rsidRPr="009C5EFD">
        <w:rPr>
          <w:sz w:val="22"/>
          <w:szCs w:val="22"/>
        </w:rPr>
        <w:t xml:space="preserve">Forekomsten av alvorlige infeksjoner var 0,04 </w:t>
      </w:r>
      <w:r w:rsidR="003721B0">
        <w:rPr>
          <w:sz w:val="22"/>
          <w:szCs w:val="22"/>
        </w:rPr>
        <w:t>per</w:t>
      </w:r>
      <w:r w:rsidRPr="009C5EFD">
        <w:rPr>
          <w:sz w:val="22"/>
          <w:szCs w:val="22"/>
        </w:rPr>
        <w:t xml:space="preserve"> pasientår blant Humira-behandlede pasienter og 0,03 </w:t>
      </w:r>
      <w:r w:rsidR="003721B0">
        <w:rPr>
          <w:sz w:val="22"/>
          <w:szCs w:val="22"/>
        </w:rPr>
        <w:t>per</w:t>
      </w:r>
      <w:r w:rsidRPr="009C5EFD">
        <w:rPr>
          <w:sz w:val="22"/>
          <w:szCs w:val="22"/>
        </w:rPr>
        <w:t xml:space="preserve"> pasientår blant </w:t>
      </w:r>
      <w:r w:rsidR="003B49EC">
        <w:rPr>
          <w:sz w:val="22"/>
          <w:szCs w:val="22"/>
        </w:rPr>
        <w:t>pasienter som fikk</w:t>
      </w:r>
      <w:r w:rsidRPr="009C5EFD">
        <w:rPr>
          <w:sz w:val="22"/>
          <w:szCs w:val="22"/>
        </w:rPr>
        <w:t xml:space="preserve"> placebo eller aktiv kontroll. </w:t>
      </w:r>
    </w:p>
    <w:p w14:paraId="18FB9214" w14:textId="77777777" w:rsidR="00543C0D" w:rsidRPr="009C5EFD" w:rsidRDefault="00543C0D" w:rsidP="00543C0D">
      <w:pPr>
        <w:rPr>
          <w:sz w:val="22"/>
          <w:szCs w:val="22"/>
        </w:rPr>
      </w:pPr>
    </w:p>
    <w:p w14:paraId="061FB6C0" w14:textId="77777777" w:rsidR="00543C0D" w:rsidRPr="009C5EFD" w:rsidRDefault="00E453CD" w:rsidP="00543C0D">
      <w:pPr>
        <w:rPr>
          <w:sz w:val="22"/>
          <w:szCs w:val="22"/>
        </w:rPr>
      </w:pPr>
      <w:r w:rsidRPr="009C5EFD">
        <w:rPr>
          <w:sz w:val="22"/>
          <w:szCs w:val="22"/>
        </w:rPr>
        <w:t>I kontrollerte og åpne</w:t>
      </w:r>
      <w:r>
        <w:rPr>
          <w:sz w:val="22"/>
          <w:szCs w:val="22"/>
        </w:rPr>
        <w:t xml:space="preserve"> studier hos</w:t>
      </w:r>
      <w:r w:rsidRPr="009C5EFD">
        <w:rPr>
          <w:sz w:val="22"/>
          <w:szCs w:val="22"/>
        </w:rPr>
        <w:t xml:space="preserve"> voksne og pediatriske studier med Humira er det rapportert alvorlige infeksjoner (inkludert fatale reaksjoner, hvilket forekom sjeldent); tuberkulose (inkludert miliær og ekstrapulmonær lokalisasjon) og invasive opportunistiske infeksjoner (f. eks. disseminert eller ekstrapulmonal histoplasmose, blastomykose, koksidioidomykose, pneumocystose, candidiasis, </w:t>
      </w:r>
      <w:r w:rsidRPr="009C5EFD">
        <w:rPr>
          <w:sz w:val="22"/>
          <w:szCs w:val="22"/>
        </w:rPr>
        <w:lastRenderedPageBreak/>
        <w:t>aspergillose og listeriose). De fleste tilfellene av tuberkulose oppsto i løpet av de første åtte månedene etter behandlingsstart og kan reflektere gjenoppblussing av latent sykdom.</w:t>
      </w:r>
    </w:p>
    <w:p w14:paraId="09B2A10C" w14:textId="77777777" w:rsidR="00543C0D" w:rsidRPr="009C5EFD" w:rsidRDefault="00543C0D" w:rsidP="00543C0D">
      <w:pPr>
        <w:pStyle w:val="Heading8"/>
        <w:keepNext w:val="0"/>
        <w:rPr>
          <w:szCs w:val="22"/>
        </w:rPr>
      </w:pPr>
    </w:p>
    <w:p w14:paraId="24D8ECCD" w14:textId="77777777" w:rsidR="00543C0D" w:rsidRPr="00193D76" w:rsidRDefault="00E453CD" w:rsidP="00776A84">
      <w:pPr>
        <w:pStyle w:val="Heading8"/>
        <w:rPr>
          <w:szCs w:val="22"/>
        </w:rPr>
      </w:pPr>
      <w:r w:rsidRPr="001F5D4B">
        <w:rPr>
          <w:i/>
          <w:szCs w:val="22"/>
          <w:u w:val="none"/>
        </w:rPr>
        <w:t>Maligniteter og lymfoproliferative sykdommer</w:t>
      </w:r>
    </w:p>
    <w:p w14:paraId="31014B17" w14:textId="77777777" w:rsidR="00543C0D" w:rsidRPr="002D0790" w:rsidRDefault="00543C0D" w:rsidP="00776A84">
      <w:pPr>
        <w:keepNext/>
        <w:rPr>
          <w:sz w:val="22"/>
          <w:szCs w:val="22"/>
        </w:rPr>
      </w:pPr>
    </w:p>
    <w:p w14:paraId="19AA8A4C" w14:textId="77777777" w:rsidR="00543C0D" w:rsidRPr="009C5EFD" w:rsidRDefault="00E453CD" w:rsidP="00543C0D">
      <w:pPr>
        <w:rPr>
          <w:sz w:val="22"/>
          <w:szCs w:val="22"/>
        </w:rPr>
      </w:pPr>
      <w:r w:rsidRPr="002D0790">
        <w:rPr>
          <w:sz w:val="22"/>
          <w:szCs w:val="22"/>
        </w:rPr>
        <w:t xml:space="preserve">Ingen maligniteter </w:t>
      </w:r>
      <w:r w:rsidRPr="00E14E58">
        <w:rPr>
          <w:sz w:val="22"/>
          <w:szCs w:val="22"/>
        </w:rPr>
        <w:t>ble</w:t>
      </w:r>
      <w:r w:rsidRPr="009C5EFD">
        <w:rPr>
          <w:sz w:val="22"/>
          <w:szCs w:val="22"/>
        </w:rPr>
        <w:t xml:space="preserve"> sett hos 249</w:t>
      </w:r>
      <w:r w:rsidR="006E1A8A">
        <w:rPr>
          <w:sz w:val="22"/>
          <w:szCs w:val="22"/>
        </w:rPr>
        <w:t> </w:t>
      </w:r>
      <w:r w:rsidRPr="009C5EFD">
        <w:rPr>
          <w:sz w:val="22"/>
          <w:szCs w:val="22"/>
        </w:rPr>
        <w:t>pediatriske pasienter med en eksponering på 655,6</w:t>
      </w:r>
      <w:r w:rsidR="006E1A8A">
        <w:rPr>
          <w:sz w:val="22"/>
          <w:szCs w:val="22"/>
        </w:rPr>
        <w:t> </w:t>
      </w:r>
      <w:r w:rsidRPr="009C5EFD">
        <w:rPr>
          <w:sz w:val="22"/>
          <w:szCs w:val="22"/>
        </w:rPr>
        <w:t>pasientår under kliniske studier med Humira hos pasienter med juvenil idiopatisk artritt (polyartikulær juvenil idiopatisk artritt og entesittrelatert artritt). I tillegg ble ingen maligniteter sett hos 192</w:t>
      </w:r>
      <w:r w:rsidR="006E1A8A">
        <w:rPr>
          <w:sz w:val="22"/>
          <w:szCs w:val="22"/>
        </w:rPr>
        <w:t> </w:t>
      </w:r>
      <w:r w:rsidRPr="009C5EFD">
        <w:rPr>
          <w:sz w:val="22"/>
          <w:szCs w:val="22"/>
        </w:rPr>
        <w:t xml:space="preserve">pediatriske pasienter med en eksponering på </w:t>
      </w:r>
      <w:r>
        <w:rPr>
          <w:sz w:val="22"/>
          <w:szCs w:val="22"/>
        </w:rPr>
        <w:t>498,1</w:t>
      </w:r>
      <w:r w:rsidR="006E1A8A">
        <w:rPr>
          <w:sz w:val="22"/>
          <w:szCs w:val="22"/>
        </w:rPr>
        <w:t> </w:t>
      </w:r>
      <w:r w:rsidRPr="009C5EFD">
        <w:rPr>
          <w:sz w:val="22"/>
          <w:szCs w:val="22"/>
        </w:rPr>
        <w:t>pasientår under klinisk</w:t>
      </w:r>
      <w:r>
        <w:rPr>
          <w:sz w:val="22"/>
          <w:szCs w:val="22"/>
        </w:rPr>
        <w:t>e</w:t>
      </w:r>
      <w:r w:rsidRPr="009C5EFD">
        <w:rPr>
          <w:sz w:val="22"/>
          <w:szCs w:val="22"/>
        </w:rPr>
        <w:t xml:space="preserve"> studie</w:t>
      </w:r>
      <w:r>
        <w:rPr>
          <w:sz w:val="22"/>
          <w:szCs w:val="22"/>
        </w:rPr>
        <w:t>r</w:t>
      </w:r>
      <w:r w:rsidRPr="009C5EFD">
        <w:rPr>
          <w:sz w:val="22"/>
          <w:szCs w:val="22"/>
        </w:rPr>
        <w:t xml:space="preserve"> med Humira hos pediatriske pasienter med Crohns sykdom. Ingen maligniteter ble sett hos 77</w:t>
      </w:r>
      <w:r w:rsidR="006E1A8A">
        <w:rPr>
          <w:sz w:val="22"/>
          <w:szCs w:val="22"/>
        </w:rPr>
        <w:t> </w:t>
      </w:r>
      <w:r w:rsidRPr="009C5EFD">
        <w:rPr>
          <w:sz w:val="22"/>
          <w:szCs w:val="22"/>
        </w:rPr>
        <w:t>pediatriske pasienter med en eksponering på 80,0</w:t>
      </w:r>
      <w:r w:rsidR="006E1A8A">
        <w:rPr>
          <w:sz w:val="22"/>
          <w:szCs w:val="22"/>
        </w:rPr>
        <w:t> </w:t>
      </w:r>
      <w:r w:rsidRPr="009C5EFD">
        <w:rPr>
          <w:sz w:val="22"/>
          <w:szCs w:val="22"/>
        </w:rPr>
        <w:t>pasientår, under kliniske studier med Humira hos pediatriske pasienter med kronisk plakkpsoriasis.</w:t>
      </w:r>
      <w:r>
        <w:rPr>
          <w:sz w:val="22"/>
          <w:szCs w:val="22"/>
        </w:rPr>
        <w:t xml:space="preserve"> Det ble ikke observert maligniteter hos 60 pediatriske pasienter med en eksponering på 58,4</w:t>
      </w:r>
      <w:r w:rsidR="006E1A8A">
        <w:rPr>
          <w:sz w:val="22"/>
          <w:szCs w:val="22"/>
        </w:rPr>
        <w:t> </w:t>
      </w:r>
      <w:r>
        <w:rPr>
          <w:sz w:val="22"/>
          <w:szCs w:val="22"/>
        </w:rPr>
        <w:t>pasientår under en Humira-studie hos pediatriske pasienter med uveitt.</w:t>
      </w:r>
    </w:p>
    <w:p w14:paraId="3E885063" w14:textId="77777777" w:rsidR="00543C0D" w:rsidRPr="009C5EFD" w:rsidRDefault="00543C0D" w:rsidP="00543C0D">
      <w:pPr>
        <w:rPr>
          <w:sz w:val="22"/>
          <w:szCs w:val="22"/>
        </w:rPr>
      </w:pPr>
    </w:p>
    <w:p w14:paraId="0E80CA72" w14:textId="77777777" w:rsidR="00543C0D" w:rsidRPr="009C5EFD" w:rsidRDefault="00E453CD" w:rsidP="00543C0D">
      <w:pPr>
        <w:rPr>
          <w:sz w:val="22"/>
          <w:szCs w:val="22"/>
        </w:rPr>
      </w:pPr>
      <w:r w:rsidRPr="009C5EFD">
        <w:rPr>
          <w:sz w:val="22"/>
          <w:szCs w:val="22"/>
        </w:rPr>
        <w:t xml:space="preserve">Under de kontrollerte delene av pivotale kliniske studier </w:t>
      </w:r>
      <w:r w:rsidRPr="009C5EFD">
        <w:rPr>
          <w:color w:val="000000"/>
          <w:sz w:val="22"/>
          <w:szCs w:val="22"/>
        </w:rPr>
        <w:t xml:space="preserve">med Humira hos voksne, </w:t>
      </w:r>
      <w:r w:rsidRPr="009C5EFD">
        <w:rPr>
          <w:sz w:val="22"/>
          <w:szCs w:val="22"/>
        </w:rPr>
        <w:t xml:space="preserve">som varte </w:t>
      </w:r>
      <w:r>
        <w:rPr>
          <w:sz w:val="22"/>
          <w:szCs w:val="22"/>
        </w:rPr>
        <w:t>i</w:t>
      </w:r>
      <w:r w:rsidRPr="009C5EFD">
        <w:rPr>
          <w:sz w:val="22"/>
          <w:szCs w:val="22"/>
        </w:rPr>
        <w:t xml:space="preserve"> minimum 12</w:t>
      </w:r>
      <w:r w:rsidR="006E1A8A">
        <w:rPr>
          <w:sz w:val="22"/>
          <w:szCs w:val="22"/>
        </w:rPr>
        <w:t> </w:t>
      </w:r>
      <w:r w:rsidRPr="009C5EFD">
        <w:rPr>
          <w:sz w:val="22"/>
          <w:szCs w:val="22"/>
        </w:rPr>
        <w:t>uker hos pasienter med moderat til alvorlig aktiv revmatoid artritt, ankyloserende spondylitt, aksial spondylartritt uten radiografisk bekreftelse på ankyloserende spondylitt, psoriasisartritt, psoriasis, hidrosadenitt, Crohns sykdom</w:t>
      </w:r>
      <w:r>
        <w:rPr>
          <w:sz w:val="22"/>
          <w:szCs w:val="22"/>
        </w:rPr>
        <w:t>,</w:t>
      </w:r>
      <w:r w:rsidRPr="009C5EFD">
        <w:rPr>
          <w:sz w:val="22"/>
          <w:szCs w:val="22"/>
        </w:rPr>
        <w:t xml:space="preserve"> ulcerøs kolitt</w:t>
      </w:r>
      <w:r>
        <w:rPr>
          <w:sz w:val="22"/>
          <w:szCs w:val="22"/>
        </w:rPr>
        <w:t xml:space="preserve"> og uveitt</w:t>
      </w:r>
      <w:r w:rsidRPr="009C5EFD">
        <w:rPr>
          <w:sz w:val="22"/>
          <w:szCs w:val="22"/>
        </w:rPr>
        <w:t>, var forekomsten (95</w:t>
      </w:r>
      <w:r w:rsidR="006E1A8A">
        <w:rPr>
          <w:sz w:val="22"/>
          <w:szCs w:val="22"/>
        </w:rPr>
        <w:t> </w:t>
      </w:r>
      <w:r w:rsidRPr="009C5EFD">
        <w:rPr>
          <w:sz w:val="22"/>
          <w:szCs w:val="22"/>
        </w:rPr>
        <w:t xml:space="preserve">% konfidensintervall) av de observerte maligniteter, andre enn lymfomer og ikke-melanom hudkreft, </w:t>
      </w:r>
      <w:r>
        <w:rPr>
          <w:sz w:val="22"/>
          <w:szCs w:val="22"/>
        </w:rPr>
        <w:t>6,8 (4,4, 10,</w:t>
      </w:r>
      <w:r w:rsidRPr="002838F8">
        <w:rPr>
          <w:sz w:val="22"/>
          <w:szCs w:val="22"/>
        </w:rPr>
        <w:t>5)</w:t>
      </w:r>
      <w:r w:rsidRPr="009C5EFD">
        <w:rPr>
          <w:sz w:val="22"/>
          <w:szCs w:val="22"/>
        </w:rPr>
        <w:t xml:space="preserve"> per 1000</w:t>
      </w:r>
      <w:r w:rsidR="006E1A8A">
        <w:rPr>
          <w:sz w:val="22"/>
          <w:szCs w:val="22"/>
        </w:rPr>
        <w:t> </w:t>
      </w:r>
      <w:r w:rsidRPr="009C5EFD">
        <w:rPr>
          <w:sz w:val="22"/>
          <w:szCs w:val="22"/>
        </w:rPr>
        <w:t xml:space="preserve">pasientår blant </w:t>
      </w:r>
      <w:r>
        <w:rPr>
          <w:sz w:val="22"/>
          <w:szCs w:val="22"/>
        </w:rPr>
        <w:t>5291</w:t>
      </w:r>
      <w:r w:rsidR="006E1A8A">
        <w:rPr>
          <w:sz w:val="22"/>
          <w:szCs w:val="22"/>
        </w:rPr>
        <w:t> </w:t>
      </w:r>
      <w:r w:rsidRPr="009C5EFD">
        <w:rPr>
          <w:sz w:val="22"/>
          <w:szCs w:val="22"/>
        </w:rPr>
        <w:t xml:space="preserve">pasienter som ble behandlet med Humira </w:t>
      </w:r>
      <w:r w:rsidRPr="009C5EFD">
        <w:rPr>
          <w:i/>
          <w:sz w:val="22"/>
          <w:szCs w:val="22"/>
        </w:rPr>
        <w:t>versus</w:t>
      </w:r>
      <w:r w:rsidRPr="009C5EFD">
        <w:rPr>
          <w:sz w:val="22"/>
          <w:szCs w:val="22"/>
        </w:rPr>
        <w:t xml:space="preserve"> </w:t>
      </w:r>
      <w:r>
        <w:rPr>
          <w:sz w:val="22"/>
          <w:szCs w:val="22"/>
        </w:rPr>
        <w:t>6,</w:t>
      </w:r>
      <w:r w:rsidRPr="002838F8">
        <w:rPr>
          <w:sz w:val="22"/>
          <w:szCs w:val="22"/>
        </w:rPr>
        <w:t>3 (3</w:t>
      </w:r>
      <w:r>
        <w:rPr>
          <w:sz w:val="22"/>
          <w:szCs w:val="22"/>
        </w:rPr>
        <w:t>,4, 11,</w:t>
      </w:r>
      <w:r w:rsidRPr="002838F8">
        <w:rPr>
          <w:sz w:val="22"/>
          <w:szCs w:val="22"/>
        </w:rPr>
        <w:t>8)</w:t>
      </w:r>
      <w:r w:rsidRPr="009C5EFD">
        <w:rPr>
          <w:sz w:val="22"/>
          <w:szCs w:val="22"/>
        </w:rPr>
        <w:t xml:space="preserve"> per 1000</w:t>
      </w:r>
      <w:r w:rsidR="006E1A8A">
        <w:rPr>
          <w:sz w:val="22"/>
          <w:szCs w:val="22"/>
        </w:rPr>
        <w:t> </w:t>
      </w:r>
      <w:r w:rsidRPr="009C5EFD">
        <w:rPr>
          <w:sz w:val="22"/>
          <w:szCs w:val="22"/>
        </w:rPr>
        <w:t xml:space="preserve">pasientår blant </w:t>
      </w:r>
      <w:r>
        <w:rPr>
          <w:sz w:val="22"/>
          <w:szCs w:val="22"/>
        </w:rPr>
        <w:t>3444</w:t>
      </w:r>
      <w:r w:rsidR="006E1A8A">
        <w:rPr>
          <w:sz w:val="22"/>
          <w:szCs w:val="22"/>
        </w:rPr>
        <w:t> </w:t>
      </w:r>
      <w:r w:rsidRPr="009C5EFD">
        <w:rPr>
          <w:sz w:val="22"/>
          <w:szCs w:val="22"/>
        </w:rPr>
        <w:t>pasienter i kontrollgruppen (gjennomsnittsvarighet for behandlingen var 4,0</w:t>
      </w:r>
      <w:r w:rsidR="006E1A8A">
        <w:rPr>
          <w:sz w:val="22"/>
          <w:szCs w:val="22"/>
        </w:rPr>
        <w:t> </w:t>
      </w:r>
      <w:r w:rsidRPr="009C5EFD">
        <w:rPr>
          <w:sz w:val="22"/>
          <w:szCs w:val="22"/>
        </w:rPr>
        <w:t>måneder for Humira og 3,</w:t>
      </w:r>
      <w:r>
        <w:rPr>
          <w:sz w:val="22"/>
          <w:szCs w:val="22"/>
        </w:rPr>
        <w:t>8</w:t>
      </w:r>
      <w:r w:rsidR="006E1A8A">
        <w:rPr>
          <w:sz w:val="22"/>
          <w:szCs w:val="22"/>
        </w:rPr>
        <w:t> </w:t>
      </w:r>
      <w:r w:rsidRPr="009C5EFD">
        <w:rPr>
          <w:sz w:val="22"/>
          <w:szCs w:val="22"/>
        </w:rPr>
        <w:t>måneder for pasienter i kontrollgruppen). Forekomsten (95</w:t>
      </w:r>
      <w:r w:rsidR="006E1A8A">
        <w:rPr>
          <w:sz w:val="22"/>
          <w:szCs w:val="22"/>
        </w:rPr>
        <w:t> </w:t>
      </w:r>
      <w:r w:rsidRPr="009C5EFD">
        <w:rPr>
          <w:sz w:val="22"/>
          <w:szCs w:val="22"/>
        </w:rPr>
        <w:t xml:space="preserve">% konfidensintervall) for ikke-melanom hudkreft var </w:t>
      </w:r>
      <w:r>
        <w:rPr>
          <w:sz w:val="22"/>
          <w:szCs w:val="22"/>
        </w:rPr>
        <w:t>8,8 (6,0, 13,</w:t>
      </w:r>
      <w:r w:rsidRPr="002838F8">
        <w:rPr>
          <w:sz w:val="22"/>
          <w:szCs w:val="22"/>
        </w:rPr>
        <w:t>0)</w:t>
      </w:r>
      <w:r w:rsidRPr="009C5EFD">
        <w:rPr>
          <w:sz w:val="22"/>
          <w:szCs w:val="22"/>
        </w:rPr>
        <w:t xml:space="preserve"> per 1000</w:t>
      </w:r>
      <w:r w:rsidR="006E1A8A">
        <w:rPr>
          <w:sz w:val="22"/>
          <w:szCs w:val="22"/>
        </w:rPr>
        <w:t> </w:t>
      </w:r>
      <w:r w:rsidRPr="009C5EFD">
        <w:rPr>
          <w:sz w:val="22"/>
          <w:szCs w:val="22"/>
        </w:rPr>
        <w:t xml:space="preserve">pasientår blant pasienter som fikk Humira og </w:t>
      </w:r>
      <w:r>
        <w:rPr>
          <w:sz w:val="22"/>
          <w:szCs w:val="22"/>
        </w:rPr>
        <w:t>3,2 (1,3, 7,</w:t>
      </w:r>
      <w:r w:rsidRPr="00B700AF">
        <w:rPr>
          <w:sz w:val="22"/>
          <w:szCs w:val="22"/>
        </w:rPr>
        <w:t>6)</w:t>
      </w:r>
      <w:r w:rsidRPr="009C5EFD">
        <w:rPr>
          <w:sz w:val="22"/>
          <w:szCs w:val="22"/>
        </w:rPr>
        <w:t xml:space="preserve"> per 1000</w:t>
      </w:r>
      <w:r w:rsidR="006E1A8A">
        <w:rPr>
          <w:sz w:val="22"/>
          <w:szCs w:val="22"/>
        </w:rPr>
        <w:t> </w:t>
      </w:r>
      <w:r w:rsidRPr="009C5EFD">
        <w:rPr>
          <w:sz w:val="22"/>
          <w:szCs w:val="22"/>
        </w:rPr>
        <w:t>pasientår blant pasienter i kontrollgruppen. Av disse hudkrefttypene forekom (95</w:t>
      </w:r>
      <w:r w:rsidR="006E1A8A">
        <w:rPr>
          <w:sz w:val="22"/>
          <w:szCs w:val="22"/>
        </w:rPr>
        <w:t> </w:t>
      </w:r>
      <w:r w:rsidRPr="009C5EFD">
        <w:rPr>
          <w:sz w:val="22"/>
          <w:szCs w:val="22"/>
        </w:rPr>
        <w:t xml:space="preserve">% konfidensintervall) plateepitelkarsinom med frekvensen </w:t>
      </w:r>
      <w:r>
        <w:rPr>
          <w:sz w:val="22"/>
          <w:szCs w:val="22"/>
        </w:rPr>
        <w:t>2,</w:t>
      </w:r>
      <w:r w:rsidRPr="00B700AF">
        <w:rPr>
          <w:sz w:val="22"/>
          <w:szCs w:val="22"/>
        </w:rPr>
        <w:t>7 (1</w:t>
      </w:r>
      <w:r>
        <w:rPr>
          <w:sz w:val="22"/>
          <w:szCs w:val="22"/>
        </w:rPr>
        <w:t>,</w:t>
      </w:r>
      <w:r w:rsidRPr="00B700AF">
        <w:rPr>
          <w:sz w:val="22"/>
          <w:szCs w:val="22"/>
        </w:rPr>
        <w:t>4, 5</w:t>
      </w:r>
      <w:r>
        <w:rPr>
          <w:sz w:val="22"/>
          <w:szCs w:val="22"/>
        </w:rPr>
        <w:t>,</w:t>
      </w:r>
      <w:r w:rsidRPr="00B700AF">
        <w:rPr>
          <w:sz w:val="22"/>
          <w:szCs w:val="22"/>
        </w:rPr>
        <w:t>4)</w:t>
      </w:r>
      <w:r w:rsidRPr="009C5EFD">
        <w:rPr>
          <w:sz w:val="22"/>
          <w:szCs w:val="22"/>
        </w:rPr>
        <w:t xml:space="preserve"> per 1000</w:t>
      </w:r>
      <w:r w:rsidR="006E1A8A">
        <w:rPr>
          <w:sz w:val="22"/>
          <w:szCs w:val="22"/>
        </w:rPr>
        <w:t> </w:t>
      </w:r>
      <w:r w:rsidRPr="009C5EFD">
        <w:rPr>
          <w:sz w:val="22"/>
          <w:szCs w:val="22"/>
        </w:rPr>
        <w:t xml:space="preserve">pasientår blant pasienter som fikk Humira og </w:t>
      </w:r>
      <w:r>
        <w:rPr>
          <w:sz w:val="22"/>
          <w:szCs w:val="22"/>
        </w:rPr>
        <w:t>0,</w:t>
      </w:r>
      <w:r w:rsidRPr="00B700AF">
        <w:rPr>
          <w:sz w:val="22"/>
          <w:szCs w:val="22"/>
        </w:rPr>
        <w:t>6 (0</w:t>
      </w:r>
      <w:r>
        <w:rPr>
          <w:sz w:val="22"/>
          <w:szCs w:val="22"/>
        </w:rPr>
        <w:t>,</w:t>
      </w:r>
      <w:r w:rsidRPr="00B700AF">
        <w:rPr>
          <w:sz w:val="22"/>
          <w:szCs w:val="22"/>
        </w:rPr>
        <w:t>1, 4</w:t>
      </w:r>
      <w:r>
        <w:rPr>
          <w:sz w:val="22"/>
          <w:szCs w:val="22"/>
        </w:rPr>
        <w:t>,</w:t>
      </w:r>
      <w:r w:rsidRPr="00B700AF">
        <w:rPr>
          <w:sz w:val="22"/>
          <w:szCs w:val="22"/>
        </w:rPr>
        <w:t>5)</w:t>
      </w:r>
      <w:r w:rsidRPr="009C5EFD">
        <w:rPr>
          <w:sz w:val="22"/>
          <w:szCs w:val="22"/>
        </w:rPr>
        <w:t xml:space="preserve"> per 1000</w:t>
      </w:r>
      <w:r w:rsidR="006E1A8A">
        <w:rPr>
          <w:sz w:val="22"/>
          <w:szCs w:val="22"/>
        </w:rPr>
        <w:t> </w:t>
      </w:r>
      <w:r w:rsidRPr="009C5EFD">
        <w:rPr>
          <w:sz w:val="22"/>
          <w:szCs w:val="22"/>
        </w:rPr>
        <w:t>pasientår blant pasienter i kontrollgruppen. Forekomsten (95</w:t>
      </w:r>
      <w:r w:rsidR="006E1A8A">
        <w:rPr>
          <w:sz w:val="22"/>
          <w:szCs w:val="22"/>
        </w:rPr>
        <w:t> </w:t>
      </w:r>
      <w:r w:rsidRPr="009C5EFD">
        <w:rPr>
          <w:sz w:val="22"/>
          <w:szCs w:val="22"/>
        </w:rPr>
        <w:t>% konfidensintervall) for lymfomer var 0,7 (</w:t>
      </w:r>
      <w:r>
        <w:rPr>
          <w:sz w:val="22"/>
          <w:szCs w:val="22"/>
        </w:rPr>
        <w:t>0,</w:t>
      </w:r>
      <w:r w:rsidRPr="00B700AF">
        <w:rPr>
          <w:sz w:val="22"/>
          <w:szCs w:val="22"/>
        </w:rPr>
        <w:t>2, 2</w:t>
      </w:r>
      <w:r>
        <w:rPr>
          <w:sz w:val="22"/>
          <w:szCs w:val="22"/>
        </w:rPr>
        <w:t>,</w:t>
      </w:r>
      <w:r w:rsidRPr="00B700AF">
        <w:rPr>
          <w:sz w:val="22"/>
          <w:szCs w:val="22"/>
        </w:rPr>
        <w:t>7</w:t>
      </w:r>
      <w:r w:rsidRPr="009C5EFD">
        <w:rPr>
          <w:sz w:val="22"/>
          <w:szCs w:val="22"/>
        </w:rPr>
        <w:t>) per 1000</w:t>
      </w:r>
      <w:r w:rsidR="006E1A8A">
        <w:rPr>
          <w:sz w:val="22"/>
          <w:szCs w:val="22"/>
        </w:rPr>
        <w:t> </w:t>
      </w:r>
      <w:r w:rsidRPr="009C5EFD">
        <w:rPr>
          <w:sz w:val="22"/>
          <w:szCs w:val="22"/>
        </w:rPr>
        <w:t xml:space="preserve">pasientår blant pasienter som ble behandlet med Humira og </w:t>
      </w:r>
      <w:r>
        <w:rPr>
          <w:sz w:val="22"/>
          <w:szCs w:val="22"/>
        </w:rPr>
        <w:t>0,6 (0,1, 4,</w:t>
      </w:r>
      <w:r w:rsidRPr="00061CCF">
        <w:rPr>
          <w:sz w:val="22"/>
          <w:szCs w:val="22"/>
        </w:rPr>
        <w:t>5)</w:t>
      </w:r>
      <w:r w:rsidRPr="009C5EFD">
        <w:rPr>
          <w:sz w:val="22"/>
          <w:szCs w:val="22"/>
        </w:rPr>
        <w:t xml:space="preserve"> per 1000</w:t>
      </w:r>
      <w:r w:rsidR="006E1A8A">
        <w:rPr>
          <w:sz w:val="22"/>
          <w:szCs w:val="22"/>
        </w:rPr>
        <w:t> </w:t>
      </w:r>
      <w:r w:rsidRPr="009C5EFD">
        <w:rPr>
          <w:sz w:val="22"/>
          <w:szCs w:val="22"/>
        </w:rPr>
        <w:t>pasientår blant pasienter i kontrollgruppen.</w:t>
      </w:r>
    </w:p>
    <w:p w14:paraId="7DE34124" w14:textId="77777777" w:rsidR="00543C0D" w:rsidRPr="009C5EFD" w:rsidRDefault="00543C0D" w:rsidP="00543C0D">
      <w:pPr>
        <w:rPr>
          <w:sz w:val="22"/>
          <w:szCs w:val="22"/>
        </w:rPr>
      </w:pPr>
    </w:p>
    <w:p w14:paraId="1246F818" w14:textId="77777777" w:rsidR="00543C0D" w:rsidRPr="009C5EFD" w:rsidRDefault="00E453CD" w:rsidP="00543C0D">
      <w:pPr>
        <w:rPr>
          <w:sz w:val="22"/>
          <w:szCs w:val="22"/>
        </w:rPr>
      </w:pPr>
      <w:r w:rsidRPr="009C5EFD">
        <w:rPr>
          <w:sz w:val="22"/>
          <w:szCs w:val="22"/>
        </w:rPr>
        <w:t>Når man kombinerer de kontrollerte delene til disse studiene og pågående og avsluttede åpne studier, med en gjennomsnittsvarighet på ca. 3,</w:t>
      </w:r>
      <w:r>
        <w:rPr>
          <w:sz w:val="22"/>
          <w:szCs w:val="22"/>
        </w:rPr>
        <w:t>3</w:t>
      </w:r>
      <w:r w:rsidR="006E1A8A">
        <w:rPr>
          <w:sz w:val="22"/>
          <w:szCs w:val="22"/>
        </w:rPr>
        <w:t> </w:t>
      </w:r>
      <w:r w:rsidRPr="009C5EFD">
        <w:rPr>
          <w:sz w:val="22"/>
          <w:szCs w:val="22"/>
        </w:rPr>
        <w:t xml:space="preserve">år, inkludert </w:t>
      </w:r>
      <w:r>
        <w:rPr>
          <w:sz w:val="22"/>
          <w:szCs w:val="22"/>
        </w:rPr>
        <w:t>6427</w:t>
      </w:r>
      <w:r w:rsidR="006E1A8A">
        <w:rPr>
          <w:sz w:val="22"/>
          <w:szCs w:val="22"/>
        </w:rPr>
        <w:t> </w:t>
      </w:r>
      <w:r w:rsidRPr="009C5EFD">
        <w:rPr>
          <w:sz w:val="22"/>
          <w:szCs w:val="22"/>
        </w:rPr>
        <w:t xml:space="preserve">pasienter og mer enn </w:t>
      </w:r>
      <w:r>
        <w:rPr>
          <w:sz w:val="22"/>
          <w:szCs w:val="22"/>
        </w:rPr>
        <w:t>26 439</w:t>
      </w:r>
      <w:r w:rsidR="006E1A8A">
        <w:rPr>
          <w:sz w:val="22"/>
          <w:szCs w:val="22"/>
        </w:rPr>
        <w:t> </w:t>
      </w:r>
      <w:r w:rsidRPr="009C5EFD">
        <w:rPr>
          <w:sz w:val="22"/>
          <w:szCs w:val="22"/>
        </w:rPr>
        <w:t xml:space="preserve">pasientår, </w:t>
      </w:r>
      <w:r w:rsidRPr="009C5EFD">
        <w:rPr>
          <w:color w:val="000000"/>
          <w:sz w:val="22"/>
          <w:szCs w:val="22"/>
        </w:rPr>
        <w:t xml:space="preserve">er den observerte </w:t>
      </w:r>
      <w:r w:rsidRPr="009C5EFD">
        <w:rPr>
          <w:sz w:val="22"/>
          <w:szCs w:val="22"/>
        </w:rPr>
        <w:t>forekomsten av maligniteter, foruten lymfomer og ikke-melanom hudkreft, ca.</w:t>
      </w:r>
      <w:r w:rsidR="006E1A8A">
        <w:rPr>
          <w:sz w:val="22"/>
          <w:szCs w:val="22"/>
        </w:rPr>
        <w:t> </w:t>
      </w:r>
      <w:r w:rsidRPr="009C5EFD">
        <w:rPr>
          <w:sz w:val="22"/>
          <w:szCs w:val="22"/>
        </w:rPr>
        <w:t>8,5</w:t>
      </w:r>
      <w:r w:rsidR="006E1A8A">
        <w:rPr>
          <w:sz w:val="22"/>
          <w:szCs w:val="22"/>
        </w:rPr>
        <w:t xml:space="preserve"> </w:t>
      </w:r>
      <w:r w:rsidRPr="009C5EFD">
        <w:rPr>
          <w:sz w:val="22"/>
          <w:szCs w:val="22"/>
        </w:rPr>
        <w:t>per 1000</w:t>
      </w:r>
      <w:r w:rsidR="006E1A8A">
        <w:rPr>
          <w:sz w:val="22"/>
          <w:szCs w:val="22"/>
        </w:rPr>
        <w:t> </w:t>
      </w:r>
      <w:r w:rsidRPr="009C5EFD">
        <w:rPr>
          <w:sz w:val="22"/>
          <w:szCs w:val="22"/>
        </w:rPr>
        <w:t>pasientår. Den observerte forekomsten for ikke-melanom hudkreft er på ca.</w:t>
      </w:r>
      <w:r w:rsidR="006E1A8A">
        <w:rPr>
          <w:sz w:val="22"/>
          <w:szCs w:val="22"/>
        </w:rPr>
        <w:t> </w:t>
      </w:r>
      <w:r w:rsidRPr="009C5EFD">
        <w:rPr>
          <w:sz w:val="22"/>
          <w:szCs w:val="22"/>
        </w:rPr>
        <w:t>9,</w:t>
      </w:r>
      <w:r>
        <w:rPr>
          <w:sz w:val="22"/>
          <w:szCs w:val="22"/>
        </w:rPr>
        <w:t>6</w:t>
      </w:r>
      <w:r w:rsidRPr="009C5EFD">
        <w:rPr>
          <w:sz w:val="22"/>
          <w:szCs w:val="22"/>
        </w:rPr>
        <w:t xml:space="preserve"> per 1000</w:t>
      </w:r>
      <w:r w:rsidR="006E1A8A">
        <w:rPr>
          <w:sz w:val="22"/>
          <w:szCs w:val="22"/>
        </w:rPr>
        <w:t> </w:t>
      </w:r>
      <w:r w:rsidRPr="009C5EFD">
        <w:rPr>
          <w:sz w:val="22"/>
          <w:szCs w:val="22"/>
        </w:rPr>
        <w:t>pasientår, og den observerte forekomsten for lymfomer er ca. 1,3 per 1000 pasientår.</w:t>
      </w:r>
    </w:p>
    <w:p w14:paraId="47A8677E" w14:textId="77777777" w:rsidR="00543C0D" w:rsidRPr="009C5EFD" w:rsidRDefault="00543C0D" w:rsidP="00543C0D">
      <w:pPr>
        <w:rPr>
          <w:sz w:val="22"/>
          <w:szCs w:val="22"/>
        </w:rPr>
      </w:pPr>
    </w:p>
    <w:p w14:paraId="22971E26" w14:textId="507B94E4" w:rsidR="00543C0D" w:rsidRPr="009C5EFD" w:rsidRDefault="00E453CD" w:rsidP="00543C0D">
      <w:pPr>
        <w:rPr>
          <w:sz w:val="22"/>
          <w:szCs w:val="22"/>
        </w:rPr>
      </w:pPr>
      <w:r w:rsidRPr="009C5EFD">
        <w:rPr>
          <w:sz w:val="22"/>
          <w:szCs w:val="22"/>
        </w:rPr>
        <w:t xml:space="preserve">I perioden etter markedsføring fra januar 2003 til desember 2010, hovedsakelig hos pasienter med revmatoid artritt, er den </w:t>
      </w:r>
      <w:r>
        <w:rPr>
          <w:sz w:val="22"/>
          <w:szCs w:val="22"/>
        </w:rPr>
        <w:t>spontant rapporterte</w:t>
      </w:r>
      <w:r w:rsidRPr="009C5EFD">
        <w:rPr>
          <w:sz w:val="22"/>
          <w:szCs w:val="22"/>
        </w:rPr>
        <w:t xml:space="preserve"> forekomsten for maligniteter ca. 2,7 per 1000</w:t>
      </w:r>
      <w:r w:rsidR="006E1A8A">
        <w:rPr>
          <w:sz w:val="22"/>
          <w:szCs w:val="22"/>
        </w:rPr>
        <w:t> </w:t>
      </w:r>
      <w:r w:rsidRPr="009C5EFD">
        <w:rPr>
          <w:sz w:val="22"/>
          <w:szCs w:val="22"/>
        </w:rPr>
        <w:t xml:space="preserve">pasientår. De </w:t>
      </w:r>
      <w:r>
        <w:rPr>
          <w:sz w:val="22"/>
          <w:szCs w:val="22"/>
        </w:rPr>
        <w:t>spontant rapporterte</w:t>
      </w:r>
      <w:r w:rsidRPr="009C5EFD">
        <w:rPr>
          <w:sz w:val="22"/>
          <w:szCs w:val="22"/>
        </w:rPr>
        <w:t xml:space="preserve"> forekomstene for ikke-melanom hudkreft og lymfomer er henholdsvis ca. 0,2 og 0,3</w:t>
      </w:r>
      <w:r w:rsidR="006E1A8A">
        <w:rPr>
          <w:sz w:val="22"/>
          <w:szCs w:val="22"/>
        </w:rPr>
        <w:t> </w:t>
      </w:r>
      <w:r w:rsidRPr="009C5EFD">
        <w:rPr>
          <w:sz w:val="22"/>
          <w:szCs w:val="22"/>
        </w:rPr>
        <w:t>per 1000 pasientår (se pkt.</w:t>
      </w:r>
      <w:r w:rsidR="006E1A8A">
        <w:rPr>
          <w:sz w:val="22"/>
          <w:szCs w:val="22"/>
        </w:rPr>
        <w:t> </w:t>
      </w:r>
      <w:r w:rsidRPr="009C5EFD">
        <w:rPr>
          <w:sz w:val="22"/>
          <w:szCs w:val="22"/>
        </w:rPr>
        <w:t>4.4).</w:t>
      </w:r>
    </w:p>
    <w:p w14:paraId="1A6C5553" w14:textId="77777777" w:rsidR="00543C0D" w:rsidRPr="009C5EFD" w:rsidRDefault="00543C0D" w:rsidP="00543C0D">
      <w:pPr>
        <w:rPr>
          <w:sz w:val="22"/>
          <w:szCs w:val="22"/>
        </w:rPr>
      </w:pPr>
    </w:p>
    <w:p w14:paraId="49120980" w14:textId="77777777" w:rsidR="00543C0D" w:rsidRPr="009C5EFD" w:rsidRDefault="00E453CD" w:rsidP="00543C0D">
      <w:pPr>
        <w:rPr>
          <w:sz w:val="22"/>
          <w:szCs w:val="22"/>
        </w:rPr>
      </w:pPr>
      <w:r w:rsidRPr="009C5EFD">
        <w:rPr>
          <w:sz w:val="22"/>
          <w:szCs w:val="22"/>
        </w:rPr>
        <w:t>Sjeldne tilfeller av hepatosplenisk T-cellelymfom hos pasienter behandlet med adalimumab er rapportert etter markedsføring (se pkt.</w:t>
      </w:r>
      <w:r w:rsidR="006E1A8A">
        <w:rPr>
          <w:sz w:val="22"/>
          <w:szCs w:val="22"/>
        </w:rPr>
        <w:t> </w:t>
      </w:r>
      <w:r w:rsidRPr="009C5EFD">
        <w:rPr>
          <w:sz w:val="22"/>
          <w:szCs w:val="22"/>
        </w:rPr>
        <w:t>4.4).</w:t>
      </w:r>
    </w:p>
    <w:p w14:paraId="54033DC1" w14:textId="77777777" w:rsidR="00543C0D" w:rsidRPr="009C5EFD" w:rsidRDefault="00543C0D" w:rsidP="00543C0D">
      <w:pPr>
        <w:pStyle w:val="Heading8"/>
        <w:keepNext w:val="0"/>
        <w:rPr>
          <w:szCs w:val="22"/>
        </w:rPr>
      </w:pPr>
    </w:p>
    <w:p w14:paraId="1B64EF2E" w14:textId="77777777" w:rsidR="00543C0D" w:rsidRPr="007F67EE" w:rsidRDefault="00E453CD" w:rsidP="00543C0D">
      <w:pPr>
        <w:pStyle w:val="Heading8"/>
        <w:rPr>
          <w:szCs w:val="22"/>
        </w:rPr>
      </w:pPr>
      <w:r w:rsidRPr="001F5D4B">
        <w:rPr>
          <w:i/>
          <w:szCs w:val="22"/>
          <w:u w:val="none"/>
        </w:rPr>
        <w:t>Autoantistoffer</w:t>
      </w:r>
    </w:p>
    <w:p w14:paraId="0A3877EE" w14:textId="77777777" w:rsidR="00543C0D" w:rsidRPr="00193D76" w:rsidRDefault="00543C0D" w:rsidP="00543C0D">
      <w:pPr>
        <w:keepNext/>
        <w:rPr>
          <w:sz w:val="22"/>
          <w:szCs w:val="22"/>
        </w:rPr>
      </w:pPr>
    </w:p>
    <w:p w14:paraId="335D8C20" w14:textId="77777777" w:rsidR="00543C0D" w:rsidRPr="009C5EFD" w:rsidRDefault="00E453CD" w:rsidP="00C27926">
      <w:pPr>
        <w:keepNext/>
        <w:rPr>
          <w:sz w:val="22"/>
          <w:szCs w:val="22"/>
        </w:rPr>
      </w:pPr>
      <w:r w:rsidRPr="002D0790">
        <w:rPr>
          <w:sz w:val="22"/>
          <w:szCs w:val="22"/>
        </w:rPr>
        <w:t xml:space="preserve">Serumprøver fra pasienter ble analysert for autoantistoffer på flere tidspunkter i studiene I – V ved revmatoid artritt. Blant pasienter med negative </w:t>
      </w:r>
      <w:r w:rsidRPr="002D0790">
        <w:rPr>
          <w:color w:val="000000"/>
          <w:sz w:val="22"/>
          <w:szCs w:val="22"/>
        </w:rPr>
        <w:t xml:space="preserve">verdier </w:t>
      </w:r>
      <w:r w:rsidR="001646EE">
        <w:rPr>
          <w:sz w:val="22"/>
          <w:szCs w:val="22"/>
        </w:rPr>
        <w:t>ved baseline</w:t>
      </w:r>
      <w:r w:rsidR="00A34BBF">
        <w:rPr>
          <w:sz w:val="22"/>
          <w:szCs w:val="22"/>
        </w:rPr>
        <w:t xml:space="preserve"> </w:t>
      </w:r>
      <w:r w:rsidRPr="00E14E58">
        <w:rPr>
          <w:sz w:val="22"/>
          <w:szCs w:val="22"/>
        </w:rPr>
        <w:t>for antinukleære antistoff i disse studiene ble 11,9</w:t>
      </w:r>
      <w:r w:rsidR="006E1A8A">
        <w:rPr>
          <w:sz w:val="22"/>
          <w:szCs w:val="22"/>
        </w:rPr>
        <w:t> </w:t>
      </w:r>
      <w:r w:rsidRPr="00E14E58">
        <w:rPr>
          <w:sz w:val="22"/>
          <w:szCs w:val="22"/>
        </w:rPr>
        <w:t>% av pasientene som ble beh</w:t>
      </w:r>
      <w:r w:rsidRPr="009C5EFD">
        <w:rPr>
          <w:sz w:val="22"/>
          <w:szCs w:val="22"/>
        </w:rPr>
        <w:t>andlet med Humira og 8,1</w:t>
      </w:r>
      <w:r w:rsidR="006E1A8A">
        <w:rPr>
          <w:sz w:val="22"/>
          <w:szCs w:val="22"/>
        </w:rPr>
        <w:t> </w:t>
      </w:r>
      <w:r w:rsidRPr="009C5EFD">
        <w:rPr>
          <w:sz w:val="22"/>
          <w:szCs w:val="22"/>
        </w:rPr>
        <w:t>% av pasientene i kontrollgruppene angitt å ha positive verdier ved uke</w:t>
      </w:r>
      <w:r w:rsidR="006E1A8A">
        <w:rPr>
          <w:sz w:val="22"/>
          <w:szCs w:val="22"/>
        </w:rPr>
        <w:t> </w:t>
      </w:r>
      <w:r w:rsidRPr="009C5EFD">
        <w:rPr>
          <w:sz w:val="22"/>
          <w:szCs w:val="22"/>
        </w:rPr>
        <w:t>24. To pasienter av de 3441 som ble behandlet med Humira i alle studiene av revmatoid artritt og psoriasisartritt utviklet kliniske tegn på nyutviklet lupuslignende syndrom. Pasientene ble bedre etter at behandlingen ble avbrutt. Ingen pasienter utviklet lupusnefritt eller symptomer i sentralnervesystemet.</w:t>
      </w:r>
    </w:p>
    <w:p w14:paraId="26D576FA" w14:textId="77777777" w:rsidR="00543C0D" w:rsidRPr="009C5EFD" w:rsidRDefault="00543C0D" w:rsidP="00543C0D">
      <w:pPr>
        <w:rPr>
          <w:sz w:val="22"/>
          <w:szCs w:val="22"/>
        </w:rPr>
      </w:pPr>
    </w:p>
    <w:p w14:paraId="66421602" w14:textId="77777777" w:rsidR="00543C0D" w:rsidRPr="00193D76" w:rsidRDefault="00E453CD" w:rsidP="00776A84">
      <w:pPr>
        <w:pStyle w:val="Heading2"/>
        <w:ind w:left="0"/>
        <w:rPr>
          <w:szCs w:val="22"/>
        </w:rPr>
      </w:pPr>
      <w:r w:rsidRPr="001F5D4B">
        <w:rPr>
          <w:i/>
          <w:szCs w:val="22"/>
          <w:u w:val="none"/>
        </w:rPr>
        <w:lastRenderedPageBreak/>
        <w:t>Bivirkninger i lever og galleveier</w:t>
      </w:r>
    </w:p>
    <w:p w14:paraId="1053259E" w14:textId="77777777" w:rsidR="00543C0D" w:rsidRPr="002D0790" w:rsidRDefault="00543C0D" w:rsidP="00776A84">
      <w:pPr>
        <w:keepNext/>
        <w:rPr>
          <w:sz w:val="22"/>
          <w:szCs w:val="22"/>
        </w:rPr>
      </w:pPr>
    </w:p>
    <w:p w14:paraId="60D6DE89" w14:textId="77777777" w:rsidR="00543C0D" w:rsidRPr="009C5EFD" w:rsidRDefault="00E453CD" w:rsidP="00543C0D">
      <w:pPr>
        <w:rPr>
          <w:sz w:val="22"/>
          <w:szCs w:val="22"/>
        </w:rPr>
      </w:pPr>
      <w:r w:rsidRPr="002D0790">
        <w:rPr>
          <w:sz w:val="22"/>
          <w:szCs w:val="22"/>
        </w:rPr>
        <w:t xml:space="preserve">I kontrollerte </w:t>
      </w:r>
      <w:r w:rsidRPr="00E14E58">
        <w:rPr>
          <w:sz w:val="22"/>
          <w:szCs w:val="22"/>
        </w:rPr>
        <w:t xml:space="preserve">fase 3 </w:t>
      </w:r>
      <w:r w:rsidRPr="009C5EFD">
        <w:rPr>
          <w:sz w:val="22"/>
          <w:szCs w:val="22"/>
        </w:rPr>
        <w:t>studier med Humira hos pasienter med revmatoid artritt og psoriasisartritt med en varighet på kontrollperioden varierende fra 4 til 104</w:t>
      </w:r>
      <w:r w:rsidR="006E1A8A">
        <w:rPr>
          <w:sz w:val="22"/>
          <w:szCs w:val="22"/>
        </w:rPr>
        <w:t> </w:t>
      </w:r>
      <w:r w:rsidRPr="009C5EFD">
        <w:rPr>
          <w:sz w:val="22"/>
          <w:szCs w:val="22"/>
        </w:rPr>
        <w:t>uker, oppstod stigninger i ALAT ≥</w:t>
      </w:r>
      <w:r w:rsidR="006E1A8A">
        <w:rPr>
          <w:sz w:val="22"/>
          <w:szCs w:val="22"/>
        </w:rPr>
        <w:t> </w:t>
      </w:r>
      <w:r w:rsidRPr="009C5EFD">
        <w:rPr>
          <w:sz w:val="22"/>
          <w:szCs w:val="22"/>
        </w:rPr>
        <w:t>3</w:t>
      </w:r>
      <w:r w:rsidR="006E1A8A">
        <w:rPr>
          <w:sz w:val="22"/>
          <w:szCs w:val="22"/>
        </w:rPr>
        <w:t> </w:t>
      </w:r>
      <w:r w:rsidRPr="009C5EFD">
        <w:rPr>
          <w:sz w:val="22"/>
          <w:szCs w:val="22"/>
        </w:rPr>
        <w:t>x</w:t>
      </w:r>
      <w:r w:rsidR="006E1A8A">
        <w:rPr>
          <w:sz w:val="22"/>
          <w:szCs w:val="22"/>
        </w:rPr>
        <w:t> </w:t>
      </w:r>
      <w:r w:rsidRPr="009C5EFD">
        <w:rPr>
          <w:sz w:val="22"/>
          <w:szCs w:val="22"/>
        </w:rPr>
        <w:t>ULN hos 3,7</w:t>
      </w:r>
      <w:r w:rsidR="006E1A8A">
        <w:rPr>
          <w:sz w:val="22"/>
          <w:szCs w:val="22"/>
        </w:rPr>
        <w:t> </w:t>
      </w:r>
      <w:r w:rsidRPr="009C5EFD">
        <w:rPr>
          <w:sz w:val="22"/>
          <w:szCs w:val="22"/>
        </w:rPr>
        <w:t>% av pasientene behandlet med Humira og hos 1,6</w:t>
      </w:r>
      <w:r w:rsidR="006E1A8A">
        <w:rPr>
          <w:sz w:val="22"/>
          <w:szCs w:val="22"/>
        </w:rPr>
        <w:t> </w:t>
      </w:r>
      <w:r w:rsidRPr="009C5EFD">
        <w:rPr>
          <w:sz w:val="22"/>
          <w:szCs w:val="22"/>
        </w:rPr>
        <w:t xml:space="preserve">% av pasientene i kontrollgruppen.  </w:t>
      </w:r>
    </w:p>
    <w:p w14:paraId="2E241A31" w14:textId="77777777" w:rsidR="00543C0D" w:rsidRPr="009C5EFD" w:rsidRDefault="00543C0D" w:rsidP="00543C0D">
      <w:pPr>
        <w:rPr>
          <w:sz w:val="22"/>
          <w:szCs w:val="22"/>
        </w:rPr>
      </w:pPr>
    </w:p>
    <w:p w14:paraId="3A0D9D46" w14:textId="77777777" w:rsidR="00543C0D" w:rsidRPr="009C5EFD" w:rsidRDefault="00E453CD" w:rsidP="00543C0D">
      <w:pPr>
        <w:rPr>
          <w:sz w:val="22"/>
          <w:szCs w:val="22"/>
        </w:rPr>
      </w:pPr>
      <w:r w:rsidRPr="009C5EFD">
        <w:rPr>
          <w:sz w:val="22"/>
          <w:szCs w:val="22"/>
        </w:rPr>
        <w:t>I kontrollerte fase</w:t>
      </w:r>
      <w:r w:rsidR="006E1A8A">
        <w:rPr>
          <w:sz w:val="22"/>
          <w:szCs w:val="22"/>
        </w:rPr>
        <w:t> </w:t>
      </w:r>
      <w:r w:rsidRPr="009C5EFD">
        <w:rPr>
          <w:sz w:val="22"/>
          <w:szCs w:val="22"/>
        </w:rPr>
        <w:t>3</w:t>
      </w:r>
      <w:r w:rsidR="006E1A8A">
        <w:rPr>
          <w:sz w:val="22"/>
          <w:szCs w:val="22"/>
        </w:rPr>
        <w:t> </w:t>
      </w:r>
      <w:r w:rsidRPr="009C5EFD">
        <w:rPr>
          <w:sz w:val="22"/>
          <w:szCs w:val="22"/>
        </w:rPr>
        <w:t>studier med Humira hos pasienter med polyartikulær juvenil idiopatisk artritt i alderen 4 til 17</w:t>
      </w:r>
      <w:r w:rsidR="006E1A8A">
        <w:rPr>
          <w:sz w:val="22"/>
          <w:szCs w:val="22"/>
        </w:rPr>
        <w:t> </w:t>
      </w:r>
      <w:r w:rsidRPr="009C5EFD">
        <w:rPr>
          <w:sz w:val="22"/>
          <w:szCs w:val="22"/>
        </w:rPr>
        <w:t>år og entesittrelatert artritt i alderen 6 til 17 år, oppstod stigninger i ALAT ≥</w:t>
      </w:r>
      <w:r w:rsidR="006E1A8A">
        <w:rPr>
          <w:sz w:val="22"/>
          <w:szCs w:val="22"/>
        </w:rPr>
        <w:t> </w:t>
      </w:r>
      <w:r w:rsidRPr="009C5EFD">
        <w:rPr>
          <w:sz w:val="22"/>
          <w:szCs w:val="22"/>
        </w:rPr>
        <w:t>3</w:t>
      </w:r>
      <w:r w:rsidR="006E1A8A">
        <w:rPr>
          <w:sz w:val="22"/>
          <w:szCs w:val="22"/>
        </w:rPr>
        <w:t> </w:t>
      </w:r>
      <w:r w:rsidRPr="009C5EFD">
        <w:rPr>
          <w:sz w:val="22"/>
          <w:szCs w:val="22"/>
        </w:rPr>
        <w:t>x</w:t>
      </w:r>
      <w:r w:rsidR="006E1A8A">
        <w:rPr>
          <w:sz w:val="22"/>
          <w:szCs w:val="22"/>
        </w:rPr>
        <w:t> </w:t>
      </w:r>
      <w:r w:rsidRPr="009C5EFD">
        <w:rPr>
          <w:sz w:val="22"/>
          <w:szCs w:val="22"/>
        </w:rPr>
        <w:t>ULN hos 6,1</w:t>
      </w:r>
      <w:r w:rsidR="006E1A8A">
        <w:rPr>
          <w:sz w:val="22"/>
          <w:szCs w:val="22"/>
        </w:rPr>
        <w:t> </w:t>
      </w:r>
      <w:r w:rsidRPr="009C5EFD">
        <w:rPr>
          <w:sz w:val="22"/>
          <w:szCs w:val="22"/>
        </w:rPr>
        <w:t>% av pasientene behandlet med Humira og hos 1,3</w:t>
      </w:r>
      <w:r w:rsidR="006E1A8A">
        <w:rPr>
          <w:sz w:val="22"/>
          <w:szCs w:val="22"/>
        </w:rPr>
        <w:t> </w:t>
      </w:r>
      <w:r w:rsidRPr="009C5EFD">
        <w:rPr>
          <w:sz w:val="22"/>
          <w:szCs w:val="22"/>
        </w:rPr>
        <w:t>% av pasientene i kontrollgruppen. De fleste stigninger i ALAT oppstod ved samtidig bruk av metotreksat. Det var ingen stigninger i ALAT ≥</w:t>
      </w:r>
      <w:r w:rsidR="006E1A8A">
        <w:rPr>
          <w:sz w:val="22"/>
          <w:szCs w:val="22"/>
        </w:rPr>
        <w:t> </w:t>
      </w:r>
      <w:r w:rsidRPr="009C5EFD">
        <w:rPr>
          <w:sz w:val="22"/>
          <w:szCs w:val="22"/>
        </w:rPr>
        <w:t>3</w:t>
      </w:r>
      <w:r w:rsidR="00EF3ADD">
        <w:rPr>
          <w:sz w:val="22"/>
          <w:szCs w:val="22"/>
        </w:rPr>
        <w:t> </w:t>
      </w:r>
      <w:r w:rsidRPr="009C5EFD">
        <w:rPr>
          <w:sz w:val="22"/>
          <w:szCs w:val="22"/>
        </w:rPr>
        <w:t>x</w:t>
      </w:r>
      <w:r w:rsidR="00EF3ADD">
        <w:rPr>
          <w:sz w:val="22"/>
          <w:szCs w:val="22"/>
        </w:rPr>
        <w:t> </w:t>
      </w:r>
      <w:r w:rsidRPr="009C5EFD">
        <w:rPr>
          <w:sz w:val="22"/>
          <w:szCs w:val="22"/>
        </w:rPr>
        <w:t>ULN i fase</w:t>
      </w:r>
      <w:r w:rsidR="006E1A8A">
        <w:rPr>
          <w:sz w:val="22"/>
          <w:szCs w:val="22"/>
        </w:rPr>
        <w:t> </w:t>
      </w:r>
      <w:r w:rsidRPr="009C5EFD">
        <w:rPr>
          <w:sz w:val="22"/>
          <w:szCs w:val="22"/>
        </w:rPr>
        <w:t>3</w:t>
      </w:r>
      <w:r w:rsidR="006E1A8A">
        <w:rPr>
          <w:sz w:val="22"/>
          <w:szCs w:val="22"/>
        </w:rPr>
        <w:t> </w:t>
      </w:r>
      <w:r w:rsidRPr="009C5EFD">
        <w:rPr>
          <w:sz w:val="22"/>
          <w:szCs w:val="22"/>
        </w:rPr>
        <w:t>studien med Humira hos pasienter med polyartikulær juvenil idiopatisk artritt i alderen 2 til &lt;</w:t>
      </w:r>
      <w:r w:rsidR="006E1A8A">
        <w:rPr>
          <w:sz w:val="22"/>
          <w:szCs w:val="22"/>
        </w:rPr>
        <w:t> </w:t>
      </w:r>
      <w:r w:rsidRPr="009C5EFD">
        <w:rPr>
          <w:sz w:val="22"/>
          <w:szCs w:val="22"/>
        </w:rPr>
        <w:t>4</w:t>
      </w:r>
      <w:r w:rsidR="006E1A8A">
        <w:rPr>
          <w:sz w:val="22"/>
          <w:szCs w:val="22"/>
        </w:rPr>
        <w:t> </w:t>
      </w:r>
      <w:r w:rsidRPr="009C5EFD">
        <w:rPr>
          <w:sz w:val="22"/>
          <w:szCs w:val="22"/>
        </w:rPr>
        <w:t>år.</w:t>
      </w:r>
    </w:p>
    <w:p w14:paraId="3757473E" w14:textId="77777777" w:rsidR="00543C0D" w:rsidRPr="009C5EFD" w:rsidRDefault="00543C0D" w:rsidP="00543C0D">
      <w:pPr>
        <w:rPr>
          <w:i/>
          <w:sz w:val="22"/>
          <w:szCs w:val="22"/>
        </w:rPr>
      </w:pPr>
    </w:p>
    <w:p w14:paraId="2A54F3EF" w14:textId="77777777" w:rsidR="00543C0D" w:rsidRPr="009C5EFD" w:rsidRDefault="00E453CD" w:rsidP="00543C0D">
      <w:pPr>
        <w:rPr>
          <w:sz w:val="22"/>
          <w:szCs w:val="22"/>
        </w:rPr>
      </w:pPr>
      <w:r w:rsidRPr="009C5EFD">
        <w:rPr>
          <w:sz w:val="22"/>
          <w:szCs w:val="22"/>
        </w:rPr>
        <w:t>I kontrollerte fase</w:t>
      </w:r>
      <w:r w:rsidR="006E1A8A">
        <w:rPr>
          <w:sz w:val="22"/>
          <w:szCs w:val="22"/>
        </w:rPr>
        <w:t> </w:t>
      </w:r>
      <w:r w:rsidRPr="009C5EFD">
        <w:rPr>
          <w:sz w:val="22"/>
          <w:szCs w:val="22"/>
        </w:rPr>
        <w:t>3</w:t>
      </w:r>
      <w:r w:rsidR="006E1A8A">
        <w:rPr>
          <w:sz w:val="22"/>
          <w:szCs w:val="22"/>
        </w:rPr>
        <w:t> </w:t>
      </w:r>
      <w:r w:rsidRPr="009C5EFD">
        <w:rPr>
          <w:sz w:val="22"/>
          <w:szCs w:val="22"/>
        </w:rPr>
        <w:t>studier med Humira hos pasienter med Crohns sykdom og ulcerøs kolitt med en varighet på kontrollperioden varierende fra 4 til 52</w:t>
      </w:r>
      <w:r w:rsidR="006E1A8A">
        <w:rPr>
          <w:sz w:val="22"/>
          <w:szCs w:val="22"/>
        </w:rPr>
        <w:t> </w:t>
      </w:r>
      <w:r w:rsidRPr="009C5EFD">
        <w:rPr>
          <w:sz w:val="22"/>
          <w:szCs w:val="22"/>
        </w:rPr>
        <w:t>uker, oppstod stigninger i ALAT ≥</w:t>
      </w:r>
      <w:r w:rsidR="00EF3ADD">
        <w:rPr>
          <w:sz w:val="22"/>
          <w:szCs w:val="22"/>
        </w:rPr>
        <w:t> </w:t>
      </w:r>
      <w:r w:rsidRPr="009C5EFD">
        <w:rPr>
          <w:sz w:val="22"/>
          <w:szCs w:val="22"/>
        </w:rPr>
        <w:t>3</w:t>
      </w:r>
      <w:r w:rsidR="00EF3ADD">
        <w:rPr>
          <w:sz w:val="22"/>
          <w:szCs w:val="22"/>
        </w:rPr>
        <w:t> </w:t>
      </w:r>
      <w:r w:rsidRPr="009C5EFD">
        <w:rPr>
          <w:sz w:val="22"/>
          <w:szCs w:val="22"/>
        </w:rPr>
        <w:t>x</w:t>
      </w:r>
      <w:r w:rsidR="00EF3ADD">
        <w:rPr>
          <w:sz w:val="22"/>
          <w:szCs w:val="22"/>
        </w:rPr>
        <w:t> </w:t>
      </w:r>
      <w:r w:rsidRPr="009C5EFD">
        <w:rPr>
          <w:sz w:val="22"/>
          <w:szCs w:val="22"/>
        </w:rPr>
        <w:t>ULN hos 0,9</w:t>
      </w:r>
      <w:r w:rsidR="006E1A8A">
        <w:rPr>
          <w:sz w:val="22"/>
          <w:szCs w:val="22"/>
        </w:rPr>
        <w:t> </w:t>
      </w:r>
      <w:r w:rsidRPr="009C5EFD">
        <w:rPr>
          <w:sz w:val="22"/>
          <w:szCs w:val="22"/>
        </w:rPr>
        <w:t>% av pasientene behandlet med Humira og hos 0,9</w:t>
      </w:r>
      <w:r w:rsidR="006E1A8A">
        <w:rPr>
          <w:sz w:val="22"/>
          <w:szCs w:val="22"/>
        </w:rPr>
        <w:t> </w:t>
      </w:r>
      <w:r w:rsidRPr="009C5EFD">
        <w:rPr>
          <w:sz w:val="22"/>
          <w:szCs w:val="22"/>
        </w:rPr>
        <w:t>% av pasientene i kontrollgruppen.</w:t>
      </w:r>
    </w:p>
    <w:p w14:paraId="181EEC92" w14:textId="77777777" w:rsidR="00543C0D" w:rsidRPr="009C5EFD" w:rsidRDefault="00543C0D" w:rsidP="00543C0D">
      <w:pPr>
        <w:rPr>
          <w:sz w:val="22"/>
          <w:szCs w:val="22"/>
        </w:rPr>
      </w:pPr>
    </w:p>
    <w:p w14:paraId="75666139" w14:textId="77777777" w:rsidR="00543C0D" w:rsidRPr="009C5EFD" w:rsidRDefault="00E453CD" w:rsidP="00543C0D">
      <w:pPr>
        <w:rPr>
          <w:sz w:val="22"/>
          <w:szCs w:val="22"/>
        </w:rPr>
      </w:pPr>
      <w:r w:rsidRPr="009C5EFD">
        <w:rPr>
          <w:sz w:val="22"/>
          <w:szCs w:val="22"/>
        </w:rPr>
        <w:t>I fase</w:t>
      </w:r>
      <w:r w:rsidR="006E1A8A">
        <w:rPr>
          <w:sz w:val="22"/>
          <w:szCs w:val="22"/>
        </w:rPr>
        <w:t> </w:t>
      </w:r>
      <w:r w:rsidRPr="009C5EFD">
        <w:rPr>
          <w:sz w:val="22"/>
          <w:szCs w:val="22"/>
        </w:rPr>
        <w:t>3</w:t>
      </w:r>
      <w:r w:rsidR="006E1A8A">
        <w:rPr>
          <w:sz w:val="22"/>
          <w:szCs w:val="22"/>
        </w:rPr>
        <w:t> </w:t>
      </w:r>
      <w:r w:rsidRPr="009C5EFD">
        <w:rPr>
          <w:sz w:val="22"/>
          <w:szCs w:val="22"/>
        </w:rPr>
        <w:t xml:space="preserve">studien med Humira hos pasienter med pediatrisk Crohns sykdom som </w:t>
      </w:r>
      <w:r w:rsidR="006B250F">
        <w:rPr>
          <w:sz w:val="22"/>
          <w:szCs w:val="22"/>
        </w:rPr>
        <w:t>vurderte</w:t>
      </w:r>
      <w:r w:rsidRPr="009C5EFD">
        <w:rPr>
          <w:sz w:val="22"/>
          <w:szCs w:val="22"/>
        </w:rPr>
        <w:t xml:space="preserve"> effekt og sikkerhet av to kroppsvektjusterte vedlikeholdsdoseregimer etter kroppsvektjustert </w:t>
      </w:r>
      <w:r w:rsidR="005C4746">
        <w:rPr>
          <w:sz w:val="22"/>
          <w:szCs w:val="22"/>
        </w:rPr>
        <w:t>induksjonsbehandling</w:t>
      </w:r>
      <w:r w:rsidRPr="009C5EFD">
        <w:rPr>
          <w:sz w:val="22"/>
          <w:szCs w:val="22"/>
        </w:rPr>
        <w:t xml:space="preserve"> opptil 52</w:t>
      </w:r>
      <w:r w:rsidR="006E1A8A">
        <w:rPr>
          <w:sz w:val="22"/>
          <w:szCs w:val="22"/>
        </w:rPr>
        <w:t> </w:t>
      </w:r>
      <w:r w:rsidRPr="009C5EFD">
        <w:rPr>
          <w:sz w:val="22"/>
          <w:szCs w:val="22"/>
        </w:rPr>
        <w:t>ukers behandling,</w:t>
      </w:r>
      <w:r w:rsidR="00BA7F2F">
        <w:rPr>
          <w:sz w:val="22"/>
          <w:szCs w:val="22"/>
        </w:rPr>
        <w:t xml:space="preserve"> </w:t>
      </w:r>
      <w:r w:rsidRPr="009C5EFD">
        <w:rPr>
          <w:sz w:val="22"/>
          <w:szCs w:val="22"/>
        </w:rPr>
        <w:t>oppstod stigninger i ALAT ≥</w:t>
      </w:r>
      <w:r w:rsidR="00EF3ADD">
        <w:rPr>
          <w:sz w:val="22"/>
          <w:szCs w:val="22"/>
        </w:rPr>
        <w:t> </w:t>
      </w:r>
      <w:r w:rsidRPr="009C5EFD">
        <w:rPr>
          <w:sz w:val="22"/>
          <w:szCs w:val="22"/>
        </w:rPr>
        <w:t>3</w:t>
      </w:r>
      <w:r w:rsidR="00EF3ADD">
        <w:rPr>
          <w:sz w:val="22"/>
          <w:szCs w:val="22"/>
        </w:rPr>
        <w:t> </w:t>
      </w:r>
      <w:r w:rsidRPr="009C5EFD">
        <w:rPr>
          <w:sz w:val="22"/>
          <w:szCs w:val="22"/>
        </w:rPr>
        <w:t>x</w:t>
      </w:r>
      <w:r w:rsidR="00EF3ADD">
        <w:rPr>
          <w:sz w:val="22"/>
          <w:szCs w:val="22"/>
        </w:rPr>
        <w:t> </w:t>
      </w:r>
      <w:r w:rsidRPr="009C5EFD">
        <w:rPr>
          <w:sz w:val="22"/>
          <w:szCs w:val="22"/>
        </w:rPr>
        <w:t>ULN hos 2,6</w:t>
      </w:r>
      <w:r w:rsidR="006E1A8A">
        <w:rPr>
          <w:sz w:val="22"/>
          <w:szCs w:val="22"/>
        </w:rPr>
        <w:t> </w:t>
      </w:r>
      <w:r w:rsidRPr="009C5EFD">
        <w:rPr>
          <w:sz w:val="22"/>
          <w:szCs w:val="22"/>
        </w:rPr>
        <w:t>% (5/192) av pasientene hvor 4 av de fikk  samtidig immundempende behandling ved baseline.</w:t>
      </w:r>
    </w:p>
    <w:p w14:paraId="73ACACC8" w14:textId="77777777" w:rsidR="00543C0D" w:rsidRPr="009C5EFD" w:rsidRDefault="00543C0D" w:rsidP="00543C0D">
      <w:pPr>
        <w:rPr>
          <w:sz w:val="22"/>
          <w:szCs w:val="22"/>
        </w:rPr>
      </w:pPr>
    </w:p>
    <w:p w14:paraId="426D7635" w14:textId="77777777" w:rsidR="00543C0D" w:rsidRPr="009C5EFD" w:rsidRDefault="00E453CD" w:rsidP="00543C0D">
      <w:pPr>
        <w:rPr>
          <w:sz w:val="22"/>
          <w:szCs w:val="22"/>
        </w:rPr>
      </w:pPr>
      <w:r w:rsidRPr="009C5EFD">
        <w:rPr>
          <w:sz w:val="22"/>
          <w:szCs w:val="22"/>
        </w:rPr>
        <w:t>I kontrollerte fase</w:t>
      </w:r>
      <w:r w:rsidR="006E1A8A">
        <w:rPr>
          <w:sz w:val="22"/>
          <w:szCs w:val="22"/>
        </w:rPr>
        <w:t> </w:t>
      </w:r>
      <w:r w:rsidRPr="009C5EFD">
        <w:rPr>
          <w:sz w:val="22"/>
          <w:szCs w:val="22"/>
        </w:rPr>
        <w:t>3</w:t>
      </w:r>
      <w:r w:rsidR="006E1A8A">
        <w:rPr>
          <w:sz w:val="22"/>
          <w:szCs w:val="22"/>
        </w:rPr>
        <w:t> </w:t>
      </w:r>
      <w:r w:rsidRPr="009C5EFD">
        <w:rPr>
          <w:sz w:val="22"/>
          <w:szCs w:val="22"/>
        </w:rPr>
        <w:t>studier med Humira hos pasienter med plakkpsoriasis med en kontrollperiode varierende fra 12 til 24</w:t>
      </w:r>
      <w:r w:rsidR="006E1A8A">
        <w:rPr>
          <w:sz w:val="22"/>
          <w:szCs w:val="22"/>
        </w:rPr>
        <w:t> </w:t>
      </w:r>
      <w:r w:rsidRPr="009C5EFD">
        <w:rPr>
          <w:sz w:val="22"/>
          <w:szCs w:val="22"/>
        </w:rPr>
        <w:t>uker, oppstod stigninger i ALAT ≥</w:t>
      </w:r>
      <w:r w:rsidR="00EF3ADD">
        <w:rPr>
          <w:sz w:val="22"/>
          <w:szCs w:val="22"/>
        </w:rPr>
        <w:t> </w:t>
      </w:r>
      <w:r w:rsidRPr="009C5EFD">
        <w:rPr>
          <w:sz w:val="22"/>
          <w:szCs w:val="22"/>
        </w:rPr>
        <w:t>3</w:t>
      </w:r>
      <w:r w:rsidR="00EF3ADD">
        <w:rPr>
          <w:sz w:val="22"/>
          <w:szCs w:val="22"/>
        </w:rPr>
        <w:t> </w:t>
      </w:r>
      <w:r w:rsidRPr="009C5EFD">
        <w:rPr>
          <w:sz w:val="22"/>
          <w:szCs w:val="22"/>
        </w:rPr>
        <w:t>x</w:t>
      </w:r>
      <w:r w:rsidR="00EF3ADD">
        <w:rPr>
          <w:sz w:val="22"/>
          <w:szCs w:val="22"/>
        </w:rPr>
        <w:t> </w:t>
      </w:r>
      <w:r w:rsidRPr="009C5EFD">
        <w:rPr>
          <w:sz w:val="22"/>
          <w:szCs w:val="22"/>
        </w:rPr>
        <w:t>ULN hos 1,8</w:t>
      </w:r>
      <w:r w:rsidR="006E1A8A">
        <w:rPr>
          <w:sz w:val="22"/>
          <w:szCs w:val="22"/>
        </w:rPr>
        <w:t> </w:t>
      </w:r>
      <w:r w:rsidRPr="009C5EFD">
        <w:rPr>
          <w:sz w:val="22"/>
          <w:szCs w:val="22"/>
        </w:rPr>
        <w:t>% av pasientene behandlet med Humira og hos 1,8</w:t>
      </w:r>
      <w:r w:rsidR="006E1A8A">
        <w:rPr>
          <w:sz w:val="22"/>
          <w:szCs w:val="22"/>
        </w:rPr>
        <w:t> </w:t>
      </w:r>
      <w:r w:rsidRPr="009C5EFD">
        <w:rPr>
          <w:sz w:val="22"/>
          <w:szCs w:val="22"/>
        </w:rPr>
        <w:t>% av pasientene i kontrollgruppen.</w:t>
      </w:r>
    </w:p>
    <w:p w14:paraId="7C5CAB56" w14:textId="77777777" w:rsidR="00543C0D" w:rsidRPr="009C5EFD" w:rsidRDefault="00543C0D" w:rsidP="00543C0D">
      <w:pPr>
        <w:rPr>
          <w:sz w:val="22"/>
          <w:szCs w:val="22"/>
        </w:rPr>
      </w:pPr>
    </w:p>
    <w:p w14:paraId="0A260B84" w14:textId="77777777" w:rsidR="00543C0D" w:rsidRPr="009C5EFD" w:rsidRDefault="00E453CD" w:rsidP="00543C0D">
      <w:pPr>
        <w:rPr>
          <w:sz w:val="22"/>
          <w:szCs w:val="22"/>
        </w:rPr>
      </w:pPr>
      <w:r w:rsidRPr="009C5EFD">
        <w:rPr>
          <w:sz w:val="22"/>
          <w:szCs w:val="22"/>
        </w:rPr>
        <w:t>Ingen stigninger i ALAT ≥</w:t>
      </w:r>
      <w:r w:rsidR="00EF3ADD">
        <w:rPr>
          <w:sz w:val="22"/>
          <w:szCs w:val="22"/>
        </w:rPr>
        <w:t> </w:t>
      </w:r>
      <w:r w:rsidRPr="009C5EFD">
        <w:rPr>
          <w:sz w:val="22"/>
          <w:szCs w:val="22"/>
        </w:rPr>
        <w:t>3</w:t>
      </w:r>
      <w:r w:rsidR="00EF3ADD">
        <w:rPr>
          <w:sz w:val="22"/>
          <w:szCs w:val="22"/>
        </w:rPr>
        <w:t> </w:t>
      </w:r>
      <w:r w:rsidRPr="009C5EFD">
        <w:rPr>
          <w:sz w:val="22"/>
          <w:szCs w:val="22"/>
        </w:rPr>
        <w:t>x</w:t>
      </w:r>
      <w:r w:rsidR="00EF3ADD">
        <w:rPr>
          <w:sz w:val="22"/>
          <w:szCs w:val="22"/>
        </w:rPr>
        <w:t> </w:t>
      </w:r>
      <w:r w:rsidRPr="009C5EFD">
        <w:rPr>
          <w:sz w:val="22"/>
          <w:szCs w:val="22"/>
        </w:rPr>
        <w:t>ULN ble sett i fase</w:t>
      </w:r>
      <w:r w:rsidR="006E1A8A">
        <w:rPr>
          <w:sz w:val="22"/>
          <w:szCs w:val="22"/>
        </w:rPr>
        <w:t> </w:t>
      </w:r>
      <w:r w:rsidRPr="009C5EFD">
        <w:rPr>
          <w:sz w:val="22"/>
          <w:szCs w:val="22"/>
        </w:rPr>
        <w:t>3</w:t>
      </w:r>
      <w:r w:rsidR="006E1A8A">
        <w:rPr>
          <w:sz w:val="22"/>
          <w:szCs w:val="22"/>
        </w:rPr>
        <w:t> </w:t>
      </w:r>
      <w:r w:rsidRPr="009C5EFD">
        <w:rPr>
          <w:sz w:val="22"/>
          <w:szCs w:val="22"/>
        </w:rPr>
        <w:t>studier med Humira hos pediatriske pasienter med plakkpsoriasis.</w:t>
      </w:r>
    </w:p>
    <w:p w14:paraId="7094716F" w14:textId="77777777" w:rsidR="00543C0D" w:rsidRPr="009C5EFD" w:rsidRDefault="00543C0D" w:rsidP="00543C0D">
      <w:pPr>
        <w:rPr>
          <w:sz w:val="22"/>
          <w:szCs w:val="22"/>
        </w:rPr>
      </w:pPr>
    </w:p>
    <w:p w14:paraId="09D0AF28" w14:textId="77777777" w:rsidR="00543C0D" w:rsidRPr="009C5EFD" w:rsidRDefault="00E453CD" w:rsidP="00543C0D">
      <w:pPr>
        <w:rPr>
          <w:rFonts w:eastAsia="TimesNewRoman"/>
          <w:sz w:val="22"/>
          <w:szCs w:val="22"/>
        </w:rPr>
      </w:pPr>
      <w:r w:rsidRPr="009C5EFD">
        <w:rPr>
          <w:rFonts w:eastAsia="TimesNewRoman"/>
          <w:sz w:val="22"/>
          <w:szCs w:val="22"/>
        </w:rPr>
        <w:t xml:space="preserve">I kontrollerte studier med Humira (startdoser på </w:t>
      </w:r>
      <w:r w:rsidR="0074234C">
        <w:rPr>
          <w:rFonts w:eastAsia="TimesNewRoman"/>
          <w:sz w:val="22"/>
          <w:szCs w:val="22"/>
        </w:rPr>
        <w:t>80</w:t>
      </w:r>
      <w:r w:rsidR="006E1A8A">
        <w:rPr>
          <w:rFonts w:eastAsia="TimesNewRoman"/>
          <w:sz w:val="22"/>
          <w:szCs w:val="22"/>
        </w:rPr>
        <w:t> </w:t>
      </w:r>
      <w:r w:rsidRPr="009C5EFD">
        <w:rPr>
          <w:rFonts w:eastAsia="TimesNewRoman"/>
          <w:sz w:val="22"/>
          <w:szCs w:val="22"/>
        </w:rPr>
        <w:t>mg ved uke 0 etterfulgt av 40</w:t>
      </w:r>
      <w:r w:rsidR="006E1A8A">
        <w:rPr>
          <w:rFonts w:eastAsia="TimesNewRoman"/>
          <w:sz w:val="22"/>
          <w:szCs w:val="22"/>
        </w:rPr>
        <w:t> </w:t>
      </w:r>
      <w:r w:rsidRPr="009C5EFD">
        <w:rPr>
          <w:rFonts w:eastAsia="TimesNewRoman"/>
          <w:sz w:val="22"/>
          <w:szCs w:val="22"/>
        </w:rPr>
        <w:t xml:space="preserve">mg </w:t>
      </w:r>
      <w:r w:rsidR="0074234C">
        <w:rPr>
          <w:rFonts w:eastAsia="TimesNewRoman"/>
          <w:sz w:val="22"/>
          <w:szCs w:val="22"/>
        </w:rPr>
        <w:t>annenhver uke fra uke</w:t>
      </w:r>
      <w:r w:rsidR="006E1A8A">
        <w:rPr>
          <w:rFonts w:eastAsia="TimesNewRoman"/>
          <w:sz w:val="22"/>
          <w:szCs w:val="22"/>
        </w:rPr>
        <w:t> </w:t>
      </w:r>
      <w:r w:rsidR="0074234C">
        <w:rPr>
          <w:rFonts w:eastAsia="TimesNewRoman"/>
          <w:sz w:val="22"/>
          <w:szCs w:val="22"/>
        </w:rPr>
        <w:t>1</w:t>
      </w:r>
      <w:r w:rsidRPr="009C5EFD">
        <w:rPr>
          <w:rFonts w:eastAsia="TimesNewRoman"/>
          <w:sz w:val="22"/>
          <w:szCs w:val="22"/>
        </w:rPr>
        <w:t>) hos</w:t>
      </w:r>
      <w:r w:rsidR="0074234C">
        <w:rPr>
          <w:rFonts w:eastAsia="TimesNewRoman"/>
          <w:sz w:val="22"/>
          <w:szCs w:val="22"/>
        </w:rPr>
        <w:t xml:space="preserve"> voksne</w:t>
      </w:r>
      <w:r w:rsidRPr="009C5EFD">
        <w:rPr>
          <w:rFonts w:eastAsia="TimesNewRoman"/>
          <w:sz w:val="22"/>
          <w:szCs w:val="22"/>
        </w:rPr>
        <w:t xml:space="preserve"> pasienter med </w:t>
      </w:r>
      <w:r w:rsidR="0074234C">
        <w:rPr>
          <w:rFonts w:eastAsia="TimesNewRoman"/>
          <w:sz w:val="22"/>
          <w:szCs w:val="22"/>
        </w:rPr>
        <w:t>uveitt</w:t>
      </w:r>
      <w:r w:rsidRPr="009C5EFD">
        <w:rPr>
          <w:rFonts w:eastAsia="TimesNewRoman"/>
          <w:sz w:val="22"/>
          <w:szCs w:val="22"/>
        </w:rPr>
        <w:t xml:space="preserve"> </w:t>
      </w:r>
      <w:r w:rsidR="0074234C">
        <w:rPr>
          <w:rFonts w:eastAsia="TimesNewRoman"/>
          <w:sz w:val="22"/>
          <w:szCs w:val="22"/>
        </w:rPr>
        <w:t>opp</w:t>
      </w:r>
      <w:r w:rsidRPr="009C5EFD">
        <w:rPr>
          <w:rFonts w:eastAsia="TimesNewRoman"/>
          <w:sz w:val="22"/>
          <w:szCs w:val="22"/>
        </w:rPr>
        <w:t xml:space="preserve">til </w:t>
      </w:r>
      <w:r w:rsidR="0074234C">
        <w:rPr>
          <w:rFonts w:eastAsia="TimesNewRoman"/>
          <w:sz w:val="22"/>
          <w:szCs w:val="22"/>
        </w:rPr>
        <w:t>80</w:t>
      </w:r>
      <w:r w:rsidR="006E1A8A">
        <w:rPr>
          <w:rFonts w:eastAsia="TimesNewRoman"/>
          <w:sz w:val="22"/>
          <w:szCs w:val="22"/>
        </w:rPr>
        <w:t> </w:t>
      </w:r>
      <w:r w:rsidRPr="009C5EFD">
        <w:rPr>
          <w:rFonts w:eastAsia="TimesNewRoman"/>
          <w:sz w:val="22"/>
          <w:szCs w:val="22"/>
        </w:rPr>
        <w:t>uker</w:t>
      </w:r>
      <w:r w:rsidR="0074234C">
        <w:rPr>
          <w:rFonts w:eastAsia="TimesNewRoman"/>
          <w:sz w:val="22"/>
          <w:szCs w:val="22"/>
        </w:rPr>
        <w:t xml:space="preserve"> med </w:t>
      </w:r>
      <w:r w:rsidR="00637139">
        <w:rPr>
          <w:rFonts w:eastAsia="TimesNewRoman"/>
          <w:sz w:val="22"/>
          <w:szCs w:val="22"/>
        </w:rPr>
        <w:t xml:space="preserve">median </w:t>
      </w:r>
      <w:r w:rsidR="0074234C">
        <w:rPr>
          <w:rFonts w:eastAsia="TimesNewRoman"/>
          <w:sz w:val="22"/>
          <w:szCs w:val="22"/>
        </w:rPr>
        <w:t>eksponering på 166,5</w:t>
      </w:r>
      <w:r w:rsidR="006E1A8A">
        <w:rPr>
          <w:rFonts w:eastAsia="TimesNewRoman"/>
          <w:sz w:val="22"/>
          <w:szCs w:val="22"/>
        </w:rPr>
        <w:t> </w:t>
      </w:r>
      <w:r w:rsidR="0074234C">
        <w:rPr>
          <w:rFonts w:eastAsia="TimesNewRoman"/>
          <w:sz w:val="22"/>
          <w:szCs w:val="22"/>
        </w:rPr>
        <w:t>dager hos de Humirabehandlede og 105,0</w:t>
      </w:r>
      <w:r w:rsidR="006E1A8A">
        <w:rPr>
          <w:rFonts w:eastAsia="TimesNewRoman"/>
          <w:sz w:val="22"/>
          <w:szCs w:val="22"/>
        </w:rPr>
        <w:t> </w:t>
      </w:r>
      <w:r w:rsidR="0074234C">
        <w:rPr>
          <w:rFonts w:eastAsia="TimesNewRoman"/>
          <w:sz w:val="22"/>
          <w:szCs w:val="22"/>
        </w:rPr>
        <w:t>dager hos kontrollpasientene</w:t>
      </w:r>
      <w:r w:rsidRPr="009C5EFD">
        <w:rPr>
          <w:rFonts w:eastAsia="TimesNewRoman"/>
          <w:sz w:val="22"/>
          <w:szCs w:val="22"/>
        </w:rPr>
        <w:t>, oppstod stigninger i ALAT ≥</w:t>
      </w:r>
      <w:r w:rsidR="00EF3ADD">
        <w:rPr>
          <w:rFonts w:eastAsia="TimesNewRoman"/>
          <w:sz w:val="22"/>
          <w:szCs w:val="22"/>
        </w:rPr>
        <w:t> </w:t>
      </w:r>
      <w:r w:rsidRPr="009C5EFD">
        <w:rPr>
          <w:rFonts w:eastAsia="TimesNewRoman"/>
          <w:sz w:val="22"/>
          <w:szCs w:val="22"/>
        </w:rPr>
        <w:t>3</w:t>
      </w:r>
      <w:r w:rsidR="00EF3ADD">
        <w:rPr>
          <w:rFonts w:eastAsia="TimesNewRoman"/>
          <w:sz w:val="22"/>
          <w:szCs w:val="22"/>
        </w:rPr>
        <w:t> </w:t>
      </w:r>
      <w:r w:rsidRPr="009C5EFD">
        <w:rPr>
          <w:rFonts w:eastAsia="TimesNewRoman"/>
          <w:sz w:val="22"/>
          <w:szCs w:val="22"/>
        </w:rPr>
        <w:t>x</w:t>
      </w:r>
      <w:r w:rsidR="00EF3ADD">
        <w:rPr>
          <w:rFonts w:eastAsia="TimesNewRoman"/>
          <w:sz w:val="22"/>
          <w:szCs w:val="22"/>
        </w:rPr>
        <w:t> </w:t>
      </w:r>
      <w:r w:rsidRPr="009C5EFD">
        <w:rPr>
          <w:rFonts w:eastAsia="TimesNewRoman"/>
          <w:sz w:val="22"/>
          <w:szCs w:val="22"/>
        </w:rPr>
        <w:t xml:space="preserve">ULN hos </w:t>
      </w:r>
      <w:r w:rsidR="0074234C">
        <w:rPr>
          <w:rFonts w:eastAsia="TimesNewRoman"/>
          <w:sz w:val="22"/>
          <w:szCs w:val="22"/>
        </w:rPr>
        <w:t>2,4</w:t>
      </w:r>
      <w:r w:rsidR="006E1A8A">
        <w:rPr>
          <w:rFonts w:eastAsia="TimesNewRoman"/>
          <w:sz w:val="22"/>
          <w:szCs w:val="22"/>
        </w:rPr>
        <w:t> </w:t>
      </w:r>
      <w:r w:rsidRPr="009C5EFD">
        <w:rPr>
          <w:rFonts w:eastAsia="TimesNewRoman"/>
          <w:sz w:val="22"/>
          <w:szCs w:val="22"/>
        </w:rPr>
        <w:t xml:space="preserve">% av pasientene behandlet med Humira og hos </w:t>
      </w:r>
      <w:r w:rsidR="0074234C">
        <w:rPr>
          <w:rFonts w:eastAsia="TimesNewRoman"/>
          <w:sz w:val="22"/>
          <w:szCs w:val="22"/>
        </w:rPr>
        <w:t>2,4</w:t>
      </w:r>
      <w:r w:rsidR="006E1A8A">
        <w:rPr>
          <w:rFonts w:eastAsia="TimesNewRoman"/>
          <w:sz w:val="22"/>
          <w:szCs w:val="22"/>
        </w:rPr>
        <w:t> </w:t>
      </w:r>
      <w:r w:rsidRPr="009C5EFD">
        <w:rPr>
          <w:rFonts w:eastAsia="TimesNewRoman"/>
          <w:sz w:val="22"/>
          <w:szCs w:val="22"/>
        </w:rPr>
        <w:t>% av pasientene i kontrollgruppen.</w:t>
      </w:r>
    </w:p>
    <w:p w14:paraId="25DC4083" w14:textId="77777777" w:rsidR="00DD6B6D" w:rsidRDefault="00DD6B6D">
      <w:pPr>
        <w:rPr>
          <w:sz w:val="22"/>
        </w:rPr>
      </w:pPr>
    </w:p>
    <w:p w14:paraId="0DA3B729" w14:textId="77777777" w:rsidR="00DD6B6D" w:rsidRPr="009C5EFD" w:rsidRDefault="00E453CD" w:rsidP="00DD6B6D">
      <w:pPr>
        <w:rPr>
          <w:sz w:val="22"/>
          <w:szCs w:val="22"/>
        </w:rPr>
      </w:pPr>
      <w:r w:rsidRPr="009C5EFD">
        <w:rPr>
          <w:sz w:val="22"/>
          <w:szCs w:val="22"/>
        </w:rPr>
        <w:t>På tvers av alle indikasjoner i kliniske studier var pasienter med stigning i ALAT asymptomatiske, og i de fleste tilfeller var stigningene forbigående ved fortsatt behandling. Imidlertid har det også etter markedsføring vært rapportert leversvikt samt mindre alvorlige leversykdommer som kan oppstå før leversvikt, for eksempel hepatitt inkludert autoimmun hepatitt hos pasienter som får adalimumab.</w:t>
      </w:r>
    </w:p>
    <w:p w14:paraId="5CB66401" w14:textId="77777777" w:rsidR="00DD6B6D" w:rsidRPr="009C5EFD" w:rsidRDefault="00DD6B6D" w:rsidP="00DD6B6D">
      <w:pPr>
        <w:rPr>
          <w:sz w:val="22"/>
          <w:szCs w:val="22"/>
        </w:rPr>
      </w:pPr>
    </w:p>
    <w:p w14:paraId="5C275879" w14:textId="77777777" w:rsidR="00DD6B6D" w:rsidRPr="009C5EFD" w:rsidRDefault="00E453CD" w:rsidP="00DD6B6D">
      <w:pPr>
        <w:keepNext/>
        <w:rPr>
          <w:sz w:val="22"/>
          <w:szCs w:val="22"/>
          <w:u w:val="single"/>
        </w:rPr>
      </w:pPr>
      <w:r w:rsidRPr="009C5EFD">
        <w:rPr>
          <w:sz w:val="22"/>
          <w:szCs w:val="22"/>
          <w:u w:val="single"/>
        </w:rPr>
        <w:t>Samtidig behandling med azatioprin/6-merkaptopurin</w:t>
      </w:r>
    </w:p>
    <w:p w14:paraId="6C79F930" w14:textId="77777777" w:rsidR="00DD6B6D" w:rsidRPr="009C5EFD" w:rsidRDefault="00DD6B6D" w:rsidP="00DD6B6D">
      <w:pPr>
        <w:keepNext/>
        <w:rPr>
          <w:sz w:val="22"/>
          <w:szCs w:val="22"/>
        </w:rPr>
      </w:pPr>
    </w:p>
    <w:p w14:paraId="1E59A179" w14:textId="77777777" w:rsidR="00DD6B6D" w:rsidRPr="009C5EFD" w:rsidRDefault="00E453CD" w:rsidP="00DD6B6D">
      <w:pPr>
        <w:keepNext/>
        <w:rPr>
          <w:sz w:val="22"/>
          <w:szCs w:val="22"/>
        </w:rPr>
      </w:pPr>
      <w:r w:rsidRPr="009C5EFD">
        <w:rPr>
          <w:sz w:val="22"/>
          <w:szCs w:val="22"/>
        </w:rPr>
        <w:t>I studier med Crohns sykdom hos voksne var forekomsten av maligne og alvorlige infeksjonsrelaterte bivirkninger høyere ved kombinasjon av Humira og azatioprin/6-merkaptopurin, sammenlignet med Humira alene.</w:t>
      </w:r>
    </w:p>
    <w:p w14:paraId="6F945C52" w14:textId="77777777" w:rsidR="00DD6B6D" w:rsidRPr="009C5EFD" w:rsidRDefault="00DD6B6D" w:rsidP="00DD6B6D">
      <w:pPr>
        <w:rPr>
          <w:sz w:val="22"/>
          <w:szCs w:val="22"/>
          <w:u w:val="single"/>
        </w:rPr>
      </w:pPr>
    </w:p>
    <w:p w14:paraId="29A6ACED" w14:textId="77777777" w:rsidR="00DD6B6D" w:rsidRDefault="00E453CD" w:rsidP="00DD6B6D">
      <w:pPr>
        <w:keepNext/>
        <w:rPr>
          <w:sz w:val="22"/>
          <w:u w:val="single"/>
        </w:rPr>
      </w:pPr>
      <w:r w:rsidRPr="00EE4677">
        <w:rPr>
          <w:sz w:val="22"/>
          <w:u w:val="single"/>
        </w:rPr>
        <w:t>Melding av mistenkte bivirkninger</w:t>
      </w:r>
    </w:p>
    <w:p w14:paraId="7A44D2BE" w14:textId="77777777" w:rsidR="00DD6B6D" w:rsidRPr="00460BE1" w:rsidRDefault="00DD6B6D" w:rsidP="00DD6B6D">
      <w:pPr>
        <w:keepNext/>
        <w:rPr>
          <w:sz w:val="22"/>
          <w:szCs w:val="22"/>
          <w:u w:val="single"/>
        </w:rPr>
      </w:pPr>
    </w:p>
    <w:p w14:paraId="3D55AA46" w14:textId="77777777" w:rsidR="00DD6B6D" w:rsidRPr="007F67EE" w:rsidRDefault="00E453CD" w:rsidP="00DD6B6D">
      <w:pPr>
        <w:keepNext/>
        <w:rPr>
          <w:sz w:val="22"/>
          <w:szCs w:val="22"/>
        </w:rPr>
      </w:pPr>
      <w:r w:rsidRPr="009C5EFD">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53198B">
        <w:rPr>
          <w:noProof/>
          <w:sz w:val="22"/>
          <w:szCs w:val="22"/>
          <w:highlight w:val="lightGray"/>
        </w:rPr>
        <w:t>det nasjonale meldesystemet som beskrevet i</w:t>
      </w:r>
      <w:r w:rsidRPr="0053198B">
        <w:rPr>
          <w:sz w:val="22"/>
          <w:szCs w:val="22"/>
          <w:highlight w:val="lightGray"/>
        </w:rPr>
        <w:t xml:space="preserve"> </w:t>
      </w:r>
      <w:hyperlink r:id="rId13" w:history="1">
        <w:r w:rsidR="00DD6B6D" w:rsidRPr="0053198B">
          <w:rPr>
            <w:color w:val="0000FF"/>
            <w:sz w:val="22"/>
            <w:szCs w:val="22"/>
            <w:highlight w:val="lightGray"/>
            <w:u w:val="single"/>
          </w:rPr>
          <w:t>Appendix V</w:t>
        </w:r>
      </w:hyperlink>
      <w:r w:rsidRPr="0053198B">
        <w:rPr>
          <w:sz w:val="22"/>
          <w:szCs w:val="22"/>
          <w:highlight w:val="lightGray"/>
        </w:rPr>
        <w:t>.</w:t>
      </w:r>
    </w:p>
    <w:p w14:paraId="1A7224F6" w14:textId="77777777" w:rsidR="00DD6B6D" w:rsidRPr="001F5D4B" w:rsidRDefault="00DD6B6D" w:rsidP="00DD6B6D">
      <w:pPr>
        <w:suppressAutoHyphens/>
        <w:rPr>
          <w:sz w:val="22"/>
          <w:szCs w:val="22"/>
        </w:rPr>
      </w:pPr>
    </w:p>
    <w:p w14:paraId="2800A991" w14:textId="77777777" w:rsidR="00DD6B6D" w:rsidRPr="002D0790" w:rsidRDefault="00E453CD" w:rsidP="00776A84">
      <w:pPr>
        <w:keepNext/>
        <w:suppressAutoHyphens/>
        <w:ind w:left="576" w:hanging="576"/>
        <w:rPr>
          <w:sz w:val="22"/>
          <w:szCs w:val="22"/>
        </w:rPr>
      </w:pPr>
      <w:r w:rsidRPr="00193D76">
        <w:rPr>
          <w:b/>
          <w:sz w:val="22"/>
          <w:szCs w:val="22"/>
        </w:rPr>
        <w:t>4.9</w:t>
      </w:r>
      <w:r w:rsidRPr="00193D76">
        <w:rPr>
          <w:b/>
          <w:sz w:val="22"/>
          <w:szCs w:val="22"/>
        </w:rPr>
        <w:tab/>
        <w:t>Overdosering</w:t>
      </w:r>
    </w:p>
    <w:p w14:paraId="3C75DBFE" w14:textId="77777777" w:rsidR="00DD6B6D" w:rsidRPr="002D0790" w:rsidRDefault="00DD6B6D" w:rsidP="00776A84">
      <w:pPr>
        <w:keepNext/>
        <w:rPr>
          <w:sz w:val="22"/>
          <w:szCs w:val="22"/>
        </w:rPr>
      </w:pPr>
    </w:p>
    <w:p w14:paraId="10858195" w14:textId="77777777" w:rsidR="00DD6B6D" w:rsidRPr="009C5EFD" w:rsidRDefault="00E453CD" w:rsidP="00DD6B6D">
      <w:pPr>
        <w:rPr>
          <w:sz w:val="22"/>
          <w:szCs w:val="22"/>
        </w:rPr>
      </w:pPr>
      <w:r w:rsidRPr="00E14E58">
        <w:rPr>
          <w:sz w:val="22"/>
          <w:szCs w:val="22"/>
        </w:rPr>
        <w:t>Det ble ikke observert dosebegrens</w:t>
      </w:r>
      <w:r w:rsidRPr="009C5EFD">
        <w:rPr>
          <w:sz w:val="22"/>
          <w:szCs w:val="22"/>
        </w:rPr>
        <w:t>ende toksisitet under kliniske utprøvninger. Høyeste doseringsnivå som har vært undersøkt er multiple intravenøse doser på 10</w:t>
      </w:r>
      <w:r w:rsidR="006E1A8A">
        <w:rPr>
          <w:sz w:val="22"/>
          <w:szCs w:val="22"/>
        </w:rPr>
        <w:t> </w:t>
      </w:r>
      <w:r w:rsidRPr="009C5EFD">
        <w:rPr>
          <w:sz w:val="22"/>
          <w:szCs w:val="22"/>
        </w:rPr>
        <w:t>mg/kg som er ca. 15</w:t>
      </w:r>
      <w:r w:rsidR="006E1A8A">
        <w:rPr>
          <w:sz w:val="22"/>
          <w:szCs w:val="22"/>
        </w:rPr>
        <w:t> </w:t>
      </w:r>
      <w:r w:rsidRPr="009C5EFD">
        <w:rPr>
          <w:sz w:val="22"/>
          <w:szCs w:val="22"/>
        </w:rPr>
        <w:t>ganger større enn anbefalt dose.</w:t>
      </w:r>
    </w:p>
    <w:p w14:paraId="6CC8F097" w14:textId="77777777" w:rsidR="00DD6B6D" w:rsidRPr="009C5EFD" w:rsidRDefault="00DD6B6D" w:rsidP="00DD6B6D">
      <w:pPr>
        <w:rPr>
          <w:sz w:val="22"/>
          <w:szCs w:val="22"/>
        </w:rPr>
      </w:pPr>
    </w:p>
    <w:p w14:paraId="73C2CB49" w14:textId="77777777" w:rsidR="00DD6B6D" w:rsidRPr="009C5EFD" w:rsidRDefault="00DD6B6D" w:rsidP="00DD6B6D">
      <w:pPr>
        <w:rPr>
          <w:sz w:val="22"/>
          <w:szCs w:val="22"/>
        </w:rPr>
      </w:pPr>
    </w:p>
    <w:p w14:paraId="12FDA83B" w14:textId="77777777" w:rsidR="00DD6B6D" w:rsidRPr="009C5EFD" w:rsidRDefault="00E453CD" w:rsidP="00776A84">
      <w:pPr>
        <w:keepNext/>
        <w:suppressAutoHyphens/>
        <w:ind w:left="562" w:hanging="562"/>
        <w:rPr>
          <w:sz w:val="22"/>
          <w:szCs w:val="22"/>
        </w:rPr>
      </w:pPr>
      <w:r w:rsidRPr="009C5EFD">
        <w:rPr>
          <w:b/>
          <w:sz w:val="22"/>
          <w:szCs w:val="22"/>
        </w:rPr>
        <w:t>5.</w:t>
      </w:r>
      <w:r w:rsidRPr="009C5EFD">
        <w:rPr>
          <w:b/>
          <w:sz w:val="22"/>
          <w:szCs w:val="22"/>
        </w:rPr>
        <w:tab/>
        <w:t>FARMAKOLOGISKE EGENSKAPER</w:t>
      </w:r>
    </w:p>
    <w:p w14:paraId="282BAAE3" w14:textId="77777777" w:rsidR="00DD6B6D" w:rsidRPr="009C5EFD" w:rsidRDefault="00DD6B6D" w:rsidP="00776A84">
      <w:pPr>
        <w:keepNext/>
        <w:rPr>
          <w:sz w:val="22"/>
          <w:szCs w:val="22"/>
        </w:rPr>
      </w:pPr>
    </w:p>
    <w:p w14:paraId="2E479CEF" w14:textId="77777777" w:rsidR="00DD6B6D" w:rsidRPr="009C5EFD" w:rsidRDefault="00E453CD" w:rsidP="00776A84">
      <w:pPr>
        <w:keepNext/>
        <w:suppressAutoHyphens/>
        <w:ind w:left="576" w:hanging="576"/>
        <w:rPr>
          <w:sz w:val="22"/>
          <w:szCs w:val="22"/>
        </w:rPr>
      </w:pPr>
      <w:r w:rsidRPr="009C5EFD">
        <w:rPr>
          <w:b/>
          <w:sz w:val="22"/>
          <w:szCs w:val="22"/>
        </w:rPr>
        <w:t>5.1</w:t>
      </w:r>
      <w:r w:rsidRPr="009C5EFD">
        <w:rPr>
          <w:b/>
          <w:sz w:val="22"/>
          <w:szCs w:val="22"/>
        </w:rPr>
        <w:tab/>
        <w:t>Farmakodynamiske egenskaper</w:t>
      </w:r>
    </w:p>
    <w:p w14:paraId="0C5C47D5" w14:textId="77777777" w:rsidR="00DD6B6D" w:rsidRPr="009C5EFD" w:rsidRDefault="00DD6B6D" w:rsidP="00776A84">
      <w:pPr>
        <w:keepNext/>
        <w:rPr>
          <w:sz w:val="22"/>
          <w:szCs w:val="22"/>
        </w:rPr>
      </w:pPr>
    </w:p>
    <w:p w14:paraId="4B3C6309" w14:textId="77777777" w:rsidR="00DD6B6D" w:rsidRPr="009C5EFD" w:rsidRDefault="00E453CD" w:rsidP="00DD6B6D">
      <w:pPr>
        <w:suppressAutoHyphens/>
        <w:rPr>
          <w:sz w:val="22"/>
          <w:szCs w:val="22"/>
        </w:rPr>
      </w:pPr>
      <w:r w:rsidRPr="009C5EFD">
        <w:rPr>
          <w:sz w:val="22"/>
          <w:szCs w:val="22"/>
        </w:rPr>
        <w:t>Farmakoterapeutisk gruppe: Immunsuppressiv</w:t>
      </w:r>
      <w:r>
        <w:rPr>
          <w:sz w:val="22"/>
          <w:szCs w:val="22"/>
        </w:rPr>
        <w:t>a</w:t>
      </w:r>
      <w:r w:rsidRPr="009C5EFD">
        <w:rPr>
          <w:sz w:val="22"/>
          <w:szCs w:val="22"/>
        </w:rPr>
        <w:t>, tumornekrosefaktor alfa (TNF-</w:t>
      </w:r>
      <w:r w:rsidRPr="009C5EFD">
        <w:rPr>
          <w:sz w:val="22"/>
          <w:szCs w:val="22"/>
          <w:lang w:val="en-GB"/>
        </w:rPr>
        <w:t>α</w:t>
      </w:r>
      <w:r w:rsidRPr="009C5EFD">
        <w:rPr>
          <w:sz w:val="22"/>
          <w:szCs w:val="22"/>
        </w:rPr>
        <w:t xml:space="preserve">)-hemmere. </w:t>
      </w:r>
    </w:p>
    <w:p w14:paraId="66B033FF" w14:textId="77777777" w:rsidR="00DD6B6D" w:rsidRPr="009C5EFD" w:rsidRDefault="00E453CD" w:rsidP="00DD6B6D">
      <w:pPr>
        <w:suppressAutoHyphens/>
        <w:rPr>
          <w:sz w:val="22"/>
          <w:szCs w:val="22"/>
        </w:rPr>
      </w:pPr>
      <w:r w:rsidRPr="009C5EFD">
        <w:rPr>
          <w:sz w:val="22"/>
          <w:szCs w:val="22"/>
        </w:rPr>
        <w:t>ATC-kode: L04A B04</w:t>
      </w:r>
    </w:p>
    <w:p w14:paraId="10C7B4C7" w14:textId="77777777" w:rsidR="00DD6B6D" w:rsidRPr="009C5EFD" w:rsidRDefault="00DD6B6D" w:rsidP="00DD6B6D">
      <w:pPr>
        <w:suppressAutoHyphens/>
        <w:rPr>
          <w:sz w:val="22"/>
          <w:szCs w:val="22"/>
        </w:rPr>
      </w:pPr>
    </w:p>
    <w:p w14:paraId="586EE26D" w14:textId="77777777" w:rsidR="00DD6B6D" w:rsidRPr="009C5EFD" w:rsidRDefault="00E453CD" w:rsidP="00DD6B6D">
      <w:pPr>
        <w:keepNext/>
        <w:suppressAutoHyphens/>
        <w:rPr>
          <w:sz w:val="22"/>
          <w:szCs w:val="22"/>
          <w:u w:val="single"/>
        </w:rPr>
      </w:pPr>
      <w:r w:rsidRPr="009C5EFD">
        <w:rPr>
          <w:sz w:val="22"/>
          <w:szCs w:val="22"/>
          <w:u w:val="single"/>
        </w:rPr>
        <w:t>Virkningsmekanisme</w:t>
      </w:r>
    </w:p>
    <w:p w14:paraId="30F148EA" w14:textId="77777777" w:rsidR="00DD6B6D" w:rsidRPr="009C5EFD" w:rsidRDefault="00DD6B6D" w:rsidP="00DD6B6D">
      <w:pPr>
        <w:keepNext/>
        <w:suppressAutoHyphens/>
        <w:rPr>
          <w:sz w:val="22"/>
          <w:szCs w:val="22"/>
        </w:rPr>
      </w:pPr>
    </w:p>
    <w:p w14:paraId="33870044" w14:textId="77777777" w:rsidR="00DD6B6D" w:rsidRPr="009C5EFD" w:rsidRDefault="00E453CD" w:rsidP="00776A84">
      <w:pPr>
        <w:suppressAutoHyphens/>
        <w:rPr>
          <w:sz w:val="22"/>
          <w:szCs w:val="22"/>
        </w:rPr>
      </w:pPr>
      <w:r w:rsidRPr="009C5EFD">
        <w:rPr>
          <w:sz w:val="22"/>
          <w:szCs w:val="22"/>
        </w:rPr>
        <w:t>Adalimumab binder seg spesifikt til TNF og nøytraliserer TNFs biologiske funksjon ved å blokkere interaksjonen med TNF-reseptorene p55 og p75 på celleoverflaten.</w:t>
      </w:r>
    </w:p>
    <w:p w14:paraId="5D220093" w14:textId="77777777" w:rsidR="00DD6B6D" w:rsidRPr="009C5EFD" w:rsidRDefault="00DD6B6D" w:rsidP="00DD6B6D">
      <w:pPr>
        <w:suppressAutoHyphens/>
        <w:rPr>
          <w:sz w:val="22"/>
          <w:szCs w:val="22"/>
        </w:rPr>
      </w:pPr>
    </w:p>
    <w:p w14:paraId="7C7CF95D" w14:textId="77777777" w:rsidR="00DD6B6D" w:rsidRPr="009C5EFD" w:rsidRDefault="00E453CD" w:rsidP="00DD6B6D">
      <w:pPr>
        <w:suppressAutoHyphens/>
        <w:rPr>
          <w:sz w:val="22"/>
          <w:szCs w:val="22"/>
        </w:rPr>
      </w:pPr>
      <w:r w:rsidRPr="009C5EFD">
        <w:rPr>
          <w:sz w:val="22"/>
          <w:szCs w:val="22"/>
        </w:rPr>
        <w:t>Adalimumab modulerer også biologiske responser som induseres eller reguleres av TNF, deriblant endringer i mengden av adhesjonsmolekyler som er ansvarlig for leukocyttmigrasjonen (ELAM-1, VCAM-1 og ICAM-1 med en IC</w:t>
      </w:r>
      <w:r w:rsidRPr="009C5EFD">
        <w:rPr>
          <w:sz w:val="22"/>
          <w:szCs w:val="22"/>
          <w:vertAlign w:val="subscript"/>
        </w:rPr>
        <w:t>50</w:t>
      </w:r>
      <w:r w:rsidRPr="009C5EFD">
        <w:rPr>
          <w:sz w:val="22"/>
          <w:szCs w:val="22"/>
        </w:rPr>
        <w:t xml:space="preserve"> på 0,1-0,2</w:t>
      </w:r>
      <w:r w:rsidR="006E1A8A">
        <w:rPr>
          <w:sz w:val="22"/>
          <w:szCs w:val="22"/>
        </w:rPr>
        <w:t> </w:t>
      </w:r>
      <w:r w:rsidRPr="009C5EFD">
        <w:rPr>
          <w:sz w:val="22"/>
          <w:szCs w:val="22"/>
        </w:rPr>
        <w:t>nM).</w:t>
      </w:r>
    </w:p>
    <w:p w14:paraId="61776F8D" w14:textId="77777777" w:rsidR="00DD6B6D" w:rsidRPr="009C5EFD" w:rsidRDefault="00DD6B6D" w:rsidP="00DD6B6D">
      <w:pPr>
        <w:pStyle w:val="Heading8"/>
        <w:keepNext w:val="0"/>
        <w:suppressAutoHyphens/>
        <w:rPr>
          <w:szCs w:val="22"/>
        </w:rPr>
      </w:pPr>
    </w:p>
    <w:p w14:paraId="3DFF5D59" w14:textId="77777777" w:rsidR="00DD6B6D" w:rsidRPr="009C5EFD" w:rsidRDefault="00E453CD" w:rsidP="00776A84">
      <w:pPr>
        <w:pStyle w:val="Heading8"/>
        <w:suppressAutoHyphens/>
        <w:rPr>
          <w:szCs w:val="22"/>
        </w:rPr>
      </w:pPr>
      <w:r w:rsidRPr="009C5EFD">
        <w:rPr>
          <w:szCs w:val="22"/>
        </w:rPr>
        <w:t>Farmakodynamiske effekter</w:t>
      </w:r>
    </w:p>
    <w:p w14:paraId="08ACF31B" w14:textId="77777777" w:rsidR="00DD6B6D" w:rsidRPr="009C5EFD" w:rsidRDefault="00DD6B6D" w:rsidP="00776A84">
      <w:pPr>
        <w:keepNext/>
        <w:suppressAutoHyphens/>
        <w:rPr>
          <w:sz w:val="22"/>
          <w:szCs w:val="22"/>
        </w:rPr>
      </w:pPr>
    </w:p>
    <w:p w14:paraId="6DF70921" w14:textId="77777777" w:rsidR="00DD6B6D" w:rsidRPr="009C5EFD" w:rsidRDefault="00E453CD" w:rsidP="00DD6B6D">
      <w:pPr>
        <w:suppressAutoHyphens/>
        <w:rPr>
          <w:sz w:val="22"/>
          <w:szCs w:val="22"/>
        </w:rPr>
      </w:pPr>
      <w:r w:rsidRPr="009C5EFD">
        <w:rPr>
          <w:sz w:val="22"/>
          <w:szCs w:val="22"/>
        </w:rPr>
        <w:t>Etter behandling med Humira, ble det hos pasienter med revmatoid artritt observert hurtig reduksjon i nivåene på akuttfase-reaktantene (C-reaktivt protein (CRP) og senkningsreaksjonen (SR)) og serumcytokinene (IL-6) sammenlignet med verdier ved oppstart. Serumnivåene til matri</w:t>
      </w:r>
      <w:r w:rsidR="00E21116">
        <w:rPr>
          <w:sz w:val="22"/>
          <w:szCs w:val="22"/>
        </w:rPr>
        <w:t>k</w:t>
      </w:r>
      <w:r w:rsidRPr="009C5EFD">
        <w:rPr>
          <w:sz w:val="22"/>
          <w:szCs w:val="22"/>
        </w:rPr>
        <w:t xml:space="preserve">s metalloproteinaser (MMP-1 og MMP-3) som </w:t>
      </w:r>
      <w:r w:rsidRPr="009C5EFD">
        <w:rPr>
          <w:sz w:val="22"/>
        </w:rPr>
        <w:t>forårsaker vevsremodelleringen</w:t>
      </w:r>
      <w:r w:rsidRPr="009C5EFD">
        <w:rPr>
          <w:sz w:val="22"/>
          <w:szCs w:val="22"/>
        </w:rPr>
        <w:t xml:space="preserve"> ansvarlig for bruskødeleggelse avtok også etter administrasjon av Humira. Pasienter behandlet med Humira opplevde vanligvis en bedring av disse hematologiske tegnene på kronisk inflammasjon.</w:t>
      </w:r>
    </w:p>
    <w:p w14:paraId="39262B47" w14:textId="77777777" w:rsidR="00DD6B6D" w:rsidRPr="009C5EFD" w:rsidRDefault="00DD6B6D" w:rsidP="00DD6B6D">
      <w:pPr>
        <w:rPr>
          <w:sz w:val="22"/>
          <w:szCs w:val="22"/>
        </w:rPr>
      </w:pPr>
    </w:p>
    <w:p w14:paraId="0857190A" w14:textId="77777777" w:rsidR="00DD6B6D" w:rsidRPr="009C5EFD" w:rsidRDefault="00E453CD" w:rsidP="00DD6B6D">
      <w:pPr>
        <w:pStyle w:val="EndnoteText"/>
        <w:widowControl/>
        <w:tabs>
          <w:tab w:val="clear" w:pos="567"/>
        </w:tabs>
        <w:suppressAutoHyphens/>
        <w:rPr>
          <w:lang w:val="nb-NO"/>
        </w:rPr>
      </w:pPr>
      <w:r w:rsidRPr="009C5EFD">
        <w:rPr>
          <w:lang w:val="nb-NO"/>
        </w:rPr>
        <w:t>En rask reduksjon i CRP-nivå ble også observert hos pasienter med polyartikulær juvenil idiopatisk artritt, Crohns sykdom, ulcerøs kolitt og hidrosadenitt etter behandling med Humira. Hos pasienter med Crohns sykdom ble en reduksjon i antall celler som uttrykker inflammasjonsmarkører i tykktarmen, inkludert en signifikant reduksjon i TNF</w:t>
      </w:r>
      <w:r w:rsidRPr="009C5EFD">
        <w:t>α</w:t>
      </w:r>
      <w:r w:rsidRPr="009C5EFD">
        <w:rPr>
          <w:lang w:val="nb-NO"/>
        </w:rPr>
        <w:t xml:space="preserve">, observert. Endoskopiske studier i intestinal mukosa har vist slimhinnetilheling hos pasienter som ble behandlet med adalimumab. </w:t>
      </w:r>
    </w:p>
    <w:p w14:paraId="10684ABC" w14:textId="77777777" w:rsidR="00DD6B6D" w:rsidRPr="009C5EFD" w:rsidRDefault="00DD6B6D" w:rsidP="00DD6B6D">
      <w:pPr>
        <w:pStyle w:val="EndnoteText"/>
        <w:widowControl/>
        <w:tabs>
          <w:tab w:val="clear" w:pos="567"/>
        </w:tabs>
        <w:suppressAutoHyphens/>
        <w:rPr>
          <w:u w:val="single"/>
          <w:lang w:val="nb-NO"/>
        </w:rPr>
      </w:pPr>
    </w:p>
    <w:p w14:paraId="0C07C752" w14:textId="77777777" w:rsidR="00DD6B6D" w:rsidRPr="009C5EFD" w:rsidRDefault="00E453CD" w:rsidP="00DD6B6D">
      <w:pPr>
        <w:pStyle w:val="EndnoteText"/>
        <w:keepNext/>
        <w:widowControl/>
        <w:tabs>
          <w:tab w:val="clear" w:pos="567"/>
        </w:tabs>
        <w:suppressAutoHyphens/>
        <w:rPr>
          <w:szCs w:val="22"/>
          <w:u w:val="single"/>
          <w:lang w:val="nb-NO"/>
        </w:rPr>
      </w:pPr>
      <w:r w:rsidRPr="009C5EFD">
        <w:rPr>
          <w:szCs w:val="22"/>
          <w:u w:val="single"/>
          <w:lang w:val="nb-NO"/>
        </w:rPr>
        <w:t>Klinisk effekt og sikkerhet</w:t>
      </w:r>
    </w:p>
    <w:p w14:paraId="21765109" w14:textId="77777777" w:rsidR="00DD6B6D" w:rsidRPr="009C5EFD" w:rsidRDefault="00DD6B6D" w:rsidP="00DD6B6D">
      <w:pPr>
        <w:pStyle w:val="EndnoteText"/>
        <w:keepNext/>
        <w:widowControl/>
        <w:tabs>
          <w:tab w:val="clear" w:pos="567"/>
        </w:tabs>
        <w:suppressAutoHyphens/>
        <w:rPr>
          <w:szCs w:val="22"/>
          <w:lang w:val="nb-NO"/>
        </w:rPr>
      </w:pPr>
    </w:p>
    <w:p w14:paraId="530F7B3E" w14:textId="77777777" w:rsidR="00DD6B6D" w:rsidRPr="00193D76" w:rsidRDefault="00E453CD" w:rsidP="00776A84">
      <w:pPr>
        <w:pStyle w:val="EndnoteText"/>
        <w:keepNext/>
        <w:widowControl/>
        <w:tabs>
          <w:tab w:val="clear" w:pos="567"/>
        </w:tabs>
        <w:suppressAutoHyphens/>
        <w:rPr>
          <w:szCs w:val="22"/>
          <w:u w:val="single"/>
          <w:lang w:val="nb-NO"/>
        </w:rPr>
      </w:pPr>
      <w:r w:rsidRPr="001F5D4B">
        <w:rPr>
          <w:i/>
          <w:szCs w:val="22"/>
        </w:rPr>
        <w:t>Voksne med revmatoid artritt</w:t>
      </w:r>
    </w:p>
    <w:p w14:paraId="13F7E37A" w14:textId="77777777" w:rsidR="00DD6B6D" w:rsidRPr="002D0790" w:rsidRDefault="00DD6B6D" w:rsidP="00776A84">
      <w:pPr>
        <w:pStyle w:val="EndnoteText"/>
        <w:keepNext/>
        <w:widowControl/>
        <w:tabs>
          <w:tab w:val="clear" w:pos="567"/>
        </w:tabs>
        <w:suppressAutoHyphens/>
        <w:rPr>
          <w:szCs w:val="22"/>
          <w:u w:val="single"/>
          <w:lang w:val="nb-NO"/>
        </w:rPr>
      </w:pPr>
    </w:p>
    <w:p w14:paraId="27DE6CA7" w14:textId="77777777" w:rsidR="00DD6B6D" w:rsidRPr="009C5EFD" w:rsidRDefault="00E453CD" w:rsidP="00DD6B6D">
      <w:pPr>
        <w:pStyle w:val="EndnoteText"/>
        <w:widowControl/>
        <w:tabs>
          <w:tab w:val="clear" w:pos="567"/>
        </w:tabs>
        <w:suppressAutoHyphens/>
        <w:rPr>
          <w:szCs w:val="22"/>
          <w:lang w:val="nb-NO"/>
        </w:rPr>
      </w:pPr>
      <w:r w:rsidRPr="002D0790">
        <w:rPr>
          <w:szCs w:val="22"/>
          <w:lang w:val="nb-NO"/>
        </w:rPr>
        <w:t xml:space="preserve">Humira </w:t>
      </w:r>
      <w:r w:rsidRPr="00E14E58">
        <w:rPr>
          <w:szCs w:val="22"/>
          <w:lang w:val="nb-NO"/>
        </w:rPr>
        <w:t>ble</w:t>
      </w:r>
      <w:r w:rsidRPr="009C5EFD">
        <w:rPr>
          <w:szCs w:val="22"/>
          <w:lang w:val="nb-NO"/>
        </w:rPr>
        <w:t xml:space="preserve"> </w:t>
      </w:r>
      <w:r w:rsidR="003D3CAB">
        <w:rPr>
          <w:szCs w:val="22"/>
        </w:rPr>
        <w:t>vurdert</w:t>
      </w:r>
      <w:r w:rsidRPr="009C5EFD">
        <w:rPr>
          <w:szCs w:val="22"/>
          <w:lang w:val="nb-NO"/>
        </w:rPr>
        <w:t xml:space="preserve"> </w:t>
      </w:r>
      <w:r w:rsidR="00173377">
        <w:rPr>
          <w:szCs w:val="22"/>
          <w:lang w:val="nb-NO"/>
        </w:rPr>
        <w:t>hos</w:t>
      </w:r>
      <w:r w:rsidRPr="009C5EFD">
        <w:rPr>
          <w:szCs w:val="22"/>
          <w:lang w:val="nb-NO"/>
        </w:rPr>
        <w:t xml:space="preserve"> mer enn 3000</w:t>
      </w:r>
      <w:r w:rsidR="00673757">
        <w:rPr>
          <w:szCs w:val="22"/>
          <w:lang w:val="nb-NO"/>
        </w:rPr>
        <w:t> </w:t>
      </w:r>
      <w:r w:rsidRPr="009C5EFD">
        <w:rPr>
          <w:szCs w:val="22"/>
          <w:lang w:val="nb-NO"/>
        </w:rPr>
        <w:t xml:space="preserve">pasienter </w:t>
      </w:r>
      <w:r w:rsidR="00173377">
        <w:rPr>
          <w:szCs w:val="22"/>
          <w:lang w:val="nb-NO"/>
        </w:rPr>
        <w:t>i alle kliniske studier på</w:t>
      </w:r>
      <w:r w:rsidRPr="009C5EFD">
        <w:rPr>
          <w:szCs w:val="22"/>
          <w:lang w:val="nb-NO"/>
        </w:rPr>
        <w:t xml:space="preserve"> revmatoid artritt. Effekt og sikkerhet av Humira ble utredet i fem randomiserte, dobbeltblinde og velkontrollerte studier. Enkelte pasienter fikk behandling som varte i inntil 120</w:t>
      </w:r>
      <w:r w:rsidR="00673757">
        <w:rPr>
          <w:szCs w:val="22"/>
          <w:lang w:val="nb-NO"/>
        </w:rPr>
        <w:t> </w:t>
      </w:r>
      <w:r w:rsidRPr="009C5EFD">
        <w:rPr>
          <w:szCs w:val="22"/>
          <w:lang w:val="nb-NO"/>
        </w:rPr>
        <w:t xml:space="preserve">måneder. </w:t>
      </w:r>
    </w:p>
    <w:p w14:paraId="1AFB1863" w14:textId="77777777" w:rsidR="00DD6B6D" w:rsidRPr="009C5EFD" w:rsidRDefault="00DD6B6D" w:rsidP="00DD6B6D">
      <w:pPr>
        <w:pStyle w:val="EndnoteText"/>
        <w:widowControl/>
        <w:tabs>
          <w:tab w:val="clear" w:pos="567"/>
        </w:tabs>
        <w:suppressAutoHyphens/>
        <w:rPr>
          <w:szCs w:val="22"/>
          <w:lang w:val="nb-NO"/>
        </w:rPr>
      </w:pPr>
    </w:p>
    <w:p w14:paraId="2DE36003" w14:textId="77777777" w:rsidR="00DD6B6D" w:rsidRPr="009C5EFD" w:rsidRDefault="00E453CD" w:rsidP="00DD6B6D">
      <w:pPr>
        <w:pStyle w:val="EndnoteText"/>
        <w:widowControl/>
        <w:tabs>
          <w:tab w:val="clear" w:pos="567"/>
        </w:tabs>
        <w:suppressAutoHyphens/>
        <w:rPr>
          <w:szCs w:val="22"/>
          <w:lang w:val="nb-NO"/>
        </w:rPr>
      </w:pPr>
      <w:r w:rsidRPr="009C5EFD">
        <w:rPr>
          <w:szCs w:val="22"/>
          <w:lang w:val="nb-NO"/>
        </w:rPr>
        <w:t xml:space="preserve">RA-studie I </w:t>
      </w:r>
      <w:r w:rsidR="00744283">
        <w:rPr>
          <w:szCs w:val="22"/>
        </w:rPr>
        <w:t>vurderte</w:t>
      </w:r>
      <w:r w:rsidRPr="009C5EFD">
        <w:rPr>
          <w:szCs w:val="22"/>
          <w:lang w:val="nb-NO"/>
        </w:rPr>
        <w:t xml:space="preserve"> 271</w:t>
      </w:r>
      <w:r w:rsidR="00673757">
        <w:rPr>
          <w:szCs w:val="22"/>
          <w:lang w:val="nb-NO"/>
        </w:rPr>
        <w:t> </w:t>
      </w:r>
      <w:r w:rsidRPr="009C5EFD">
        <w:rPr>
          <w:szCs w:val="22"/>
          <w:lang w:val="nb-NO"/>
        </w:rPr>
        <w:t xml:space="preserve">pasienter med moderat til </w:t>
      </w:r>
      <w:r w:rsidR="00021903">
        <w:rPr>
          <w:szCs w:val="22"/>
          <w:lang w:val="nb-NO"/>
        </w:rPr>
        <w:t>alvorlig</w:t>
      </w:r>
      <w:r w:rsidRPr="009C5EFD">
        <w:rPr>
          <w:szCs w:val="22"/>
          <w:lang w:val="nb-NO"/>
        </w:rPr>
        <w:t xml:space="preserve"> aktiv revmatoid artritt som var ≥ 18</w:t>
      </w:r>
      <w:r w:rsidR="00673757">
        <w:rPr>
          <w:szCs w:val="22"/>
          <w:lang w:val="nb-NO"/>
        </w:rPr>
        <w:t> </w:t>
      </w:r>
      <w:r w:rsidRPr="009C5EFD">
        <w:rPr>
          <w:szCs w:val="22"/>
          <w:lang w:val="nb-NO"/>
        </w:rPr>
        <w:t>år, hvor behandlingen hadde mislyktes med minst ett sykdomsmodifiserende antirevmatisk legemiddel, hvor metotreksatdoser på 12,5 til 25</w:t>
      </w:r>
      <w:r w:rsidR="00673757">
        <w:rPr>
          <w:szCs w:val="22"/>
          <w:lang w:val="nb-NO"/>
        </w:rPr>
        <w:t> </w:t>
      </w:r>
      <w:r w:rsidRPr="009C5EFD">
        <w:rPr>
          <w:szCs w:val="22"/>
          <w:lang w:val="nb-NO"/>
        </w:rPr>
        <w:t>mg (10</w:t>
      </w:r>
      <w:r w:rsidR="00673757">
        <w:rPr>
          <w:szCs w:val="22"/>
          <w:lang w:val="nb-NO"/>
        </w:rPr>
        <w:t> </w:t>
      </w:r>
      <w:r w:rsidRPr="009C5EFD">
        <w:rPr>
          <w:szCs w:val="22"/>
          <w:lang w:val="nb-NO"/>
        </w:rPr>
        <w:t>mg ved metotreksatintoleranse) i uken ikke hadde hatt tilstrekkelig effekt, og hvor metotreksatdosen ble holdt konstant på 10 til 25</w:t>
      </w:r>
      <w:r w:rsidR="00673757">
        <w:rPr>
          <w:szCs w:val="22"/>
          <w:lang w:val="nb-NO"/>
        </w:rPr>
        <w:t> </w:t>
      </w:r>
      <w:r w:rsidRPr="009C5EFD">
        <w:rPr>
          <w:szCs w:val="22"/>
          <w:lang w:val="nb-NO"/>
        </w:rPr>
        <w:t>mg i uken. Doser på 20, 40 eller 80</w:t>
      </w:r>
      <w:r w:rsidR="00673757">
        <w:rPr>
          <w:szCs w:val="22"/>
          <w:lang w:val="nb-NO"/>
        </w:rPr>
        <w:t> </w:t>
      </w:r>
      <w:r w:rsidRPr="009C5EFD">
        <w:rPr>
          <w:szCs w:val="22"/>
          <w:lang w:val="nb-NO"/>
        </w:rPr>
        <w:t>mg Humira eller placebo ble gitt annenhver uke i 24</w:t>
      </w:r>
      <w:r w:rsidR="00673757">
        <w:rPr>
          <w:szCs w:val="22"/>
          <w:lang w:val="nb-NO"/>
        </w:rPr>
        <w:t> </w:t>
      </w:r>
      <w:r w:rsidRPr="009C5EFD">
        <w:rPr>
          <w:szCs w:val="22"/>
          <w:lang w:val="nb-NO"/>
        </w:rPr>
        <w:t>uker.</w:t>
      </w:r>
    </w:p>
    <w:p w14:paraId="06E728F6" w14:textId="77777777" w:rsidR="00DD6B6D" w:rsidRPr="009C5EFD" w:rsidRDefault="00DD6B6D" w:rsidP="00DD6B6D">
      <w:pPr>
        <w:pStyle w:val="EndnoteText"/>
        <w:widowControl/>
        <w:tabs>
          <w:tab w:val="clear" w:pos="567"/>
        </w:tabs>
        <w:suppressAutoHyphens/>
        <w:rPr>
          <w:szCs w:val="22"/>
          <w:lang w:val="nb-NO"/>
        </w:rPr>
      </w:pPr>
    </w:p>
    <w:p w14:paraId="6D1B1EFC" w14:textId="77777777" w:rsidR="00DD6B6D" w:rsidRPr="009C5EFD" w:rsidRDefault="00E453CD" w:rsidP="00DD6B6D">
      <w:pPr>
        <w:pStyle w:val="EndnoteText"/>
        <w:widowControl/>
        <w:tabs>
          <w:tab w:val="clear" w:pos="567"/>
        </w:tabs>
        <w:suppressAutoHyphens/>
        <w:rPr>
          <w:szCs w:val="22"/>
          <w:lang w:val="nb-NO"/>
        </w:rPr>
      </w:pPr>
      <w:r w:rsidRPr="009C5EFD">
        <w:rPr>
          <w:szCs w:val="22"/>
          <w:lang w:val="nb-NO"/>
        </w:rPr>
        <w:t xml:space="preserve">RA-studie II </w:t>
      </w:r>
      <w:r w:rsidR="00744283">
        <w:rPr>
          <w:szCs w:val="22"/>
        </w:rPr>
        <w:t>vurderte</w:t>
      </w:r>
      <w:r w:rsidRPr="009C5EFD">
        <w:rPr>
          <w:szCs w:val="22"/>
          <w:lang w:val="nb-NO"/>
        </w:rPr>
        <w:t xml:space="preserve"> 544</w:t>
      </w:r>
      <w:r w:rsidR="00673757">
        <w:rPr>
          <w:szCs w:val="22"/>
          <w:lang w:val="nb-NO"/>
        </w:rPr>
        <w:t> </w:t>
      </w:r>
      <w:r w:rsidRPr="009C5EFD">
        <w:rPr>
          <w:szCs w:val="22"/>
          <w:lang w:val="nb-NO"/>
        </w:rPr>
        <w:t xml:space="preserve">pasienter med moderat til </w:t>
      </w:r>
      <w:r w:rsidR="00021903">
        <w:rPr>
          <w:szCs w:val="22"/>
          <w:lang w:val="nb-NO"/>
        </w:rPr>
        <w:t>alvorlig</w:t>
      </w:r>
      <w:r w:rsidRPr="009C5EFD">
        <w:rPr>
          <w:szCs w:val="22"/>
          <w:lang w:val="nb-NO"/>
        </w:rPr>
        <w:t xml:space="preserve"> aktiv revmatoid artritt som var ≥ 18</w:t>
      </w:r>
      <w:r w:rsidR="00673757">
        <w:rPr>
          <w:szCs w:val="22"/>
          <w:lang w:val="nb-NO"/>
        </w:rPr>
        <w:t> </w:t>
      </w:r>
      <w:r w:rsidRPr="009C5EFD">
        <w:rPr>
          <w:szCs w:val="22"/>
          <w:lang w:val="nb-NO"/>
        </w:rPr>
        <w:t>år, hvor behandlingen hadde mislyktes med minst ett sykdomsmodifiserende antirevmatisk legemiddel. Doser på 20 og 40</w:t>
      </w:r>
      <w:r w:rsidR="00673757">
        <w:rPr>
          <w:szCs w:val="22"/>
          <w:lang w:val="nb-NO"/>
        </w:rPr>
        <w:t> </w:t>
      </w:r>
      <w:r w:rsidRPr="009C5EFD">
        <w:rPr>
          <w:szCs w:val="22"/>
          <w:lang w:val="nb-NO"/>
        </w:rPr>
        <w:t>mg Humira ble gitt subkutant annen</w:t>
      </w:r>
      <w:r w:rsidR="004C100E">
        <w:rPr>
          <w:szCs w:val="22"/>
          <w:lang w:val="nb-NO"/>
        </w:rPr>
        <w:t>hver</w:t>
      </w:r>
      <w:r w:rsidRPr="009C5EFD">
        <w:rPr>
          <w:szCs w:val="22"/>
          <w:lang w:val="nb-NO"/>
        </w:rPr>
        <w:t xml:space="preserve"> uke med placebo i de mellomliggende ukene, eller hver uke i 26</w:t>
      </w:r>
      <w:r w:rsidR="00673757">
        <w:rPr>
          <w:szCs w:val="22"/>
          <w:lang w:val="nb-NO"/>
        </w:rPr>
        <w:t> </w:t>
      </w:r>
      <w:r w:rsidRPr="009C5EFD">
        <w:rPr>
          <w:szCs w:val="22"/>
          <w:lang w:val="nb-NO"/>
        </w:rPr>
        <w:t>uker; placebo ble gitt hver uke av samme varighet. Ingen andre sykdomsmodifiserende antirevmatiske legemidler var tillatt.</w:t>
      </w:r>
    </w:p>
    <w:p w14:paraId="44809D89" w14:textId="77777777" w:rsidR="00DD6B6D" w:rsidRPr="009C5EFD" w:rsidRDefault="00DD6B6D" w:rsidP="00DD6B6D">
      <w:pPr>
        <w:pStyle w:val="EndnoteText"/>
        <w:widowControl/>
        <w:tabs>
          <w:tab w:val="clear" w:pos="567"/>
        </w:tabs>
        <w:suppressAutoHyphens/>
        <w:rPr>
          <w:szCs w:val="22"/>
          <w:lang w:val="nb-NO"/>
        </w:rPr>
      </w:pPr>
    </w:p>
    <w:p w14:paraId="15287181" w14:textId="77777777" w:rsidR="00DD6B6D" w:rsidRPr="009C5EFD" w:rsidRDefault="00E453CD" w:rsidP="00DD6B6D">
      <w:pPr>
        <w:pStyle w:val="EndnoteText"/>
        <w:widowControl/>
        <w:tabs>
          <w:tab w:val="clear" w:pos="567"/>
        </w:tabs>
        <w:suppressAutoHyphens/>
        <w:rPr>
          <w:szCs w:val="22"/>
          <w:lang w:val="nb-NO"/>
        </w:rPr>
      </w:pPr>
      <w:r w:rsidRPr="009C5EFD">
        <w:rPr>
          <w:szCs w:val="22"/>
          <w:lang w:val="nb-NO"/>
        </w:rPr>
        <w:t xml:space="preserve">RA-studie III </w:t>
      </w:r>
      <w:r w:rsidR="00744283">
        <w:rPr>
          <w:szCs w:val="22"/>
        </w:rPr>
        <w:t>vurderte</w:t>
      </w:r>
      <w:r w:rsidRPr="009C5EFD">
        <w:rPr>
          <w:szCs w:val="22"/>
          <w:lang w:val="nb-NO"/>
        </w:rPr>
        <w:t xml:space="preserve"> 619</w:t>
      </w:r>
      <w:r w:rsidR="00673757">
        <w:rPr>
          <w:szCs w:val="22"/>
          <w:lang w:val="nb-NO"/>
        </w:rPr>
        <w:t> </w:t>
      </w:r>
      <w:r w:rsidRPr="009C5EFD">
        <w:rPr>
          <w:szCs w:val="22"/>
          <w:lang w:val="nb-NO"/>
        </w:rPr>
        <w:t xml:space="preserve">pasienter med moderat til </w:t>
      </w:r>
      <w:r w:rsidR="00021903">
        <w:rPr>
          <w:szCs w:val="22"/>
          <w:lang w:val="nb-NO"/>
        </w:rPr>
        <w:t>alvorlig</w:t>
      </w:r>
      <w:r w:rsidRPr="009C5EFD">
        <w:rPr>
          <w:szCs w:val="22"/>
          <w:lang w:val="nb-NO"/>
        </w:rPr>
        <w:t xml:space="preserve"> aktiv revmatoid artritt som var ≥ 18</w:t>
      </w:r>
      <w:r w:rsidR="00673757">
        <w:rPr>
          <w:szCs w:val="22"/>
          <w:lang w:val="nb-NO"/>
        </w:rPr>
        <w:t> </w:t>
      </w:r>
      <w:r w:rsidRPr="009C5EFD">
        <w:rPr>
          <w:szCs w:val="22"/>
          <w:lang w:val="nb-NO"/>
        </w:rPr>
        <w:t>år og som hadde en ineffektiv respons på metotreksat ved doser mellom 12,5 til 25</w:t>
      </w:r>
      <w:r w:rsidR="00673757">
        <w:rPr>
          <w:szCs w:val="22"/>
          <w:lang w:val="nb-NO"/>
        </w:rPr>
        <w:t> </w:t>
      </w:r>
      <w:r w:rsidRPr="009C5EFD">
        <w:rPr>
          <w:szCs w:val="22"/>
          <w:lang w:val="nb-NO"/>
        </w:rPr>
        <w:t>mg eller var intolerante overfor 10</w:t>
      </w:r>
      <w:r w:rsidR="00673757">
        <w:rPr>
          <w:szCs w:val="22"/>
          <w:lang w:val="nb-NO"/>
        </w:rPr>
        <w:t> </w:t>
      </w:r>
      <w:r w:rsidRPr="009C5EFD">
        <w:rPr>
          <w:szCs w:val="22"/>
          <w:lang w:val="nb-NO"/>
        </w:rPr>
        <w:t>mg metotreksat hver uke. I denne studien var det tre grupper. Den første fikk placebo-injeksjoner hver uke i 52</w:t>
      </w:r>
      <w:r w:rsidR="00673757">
        <w:rPr>
          <w:szCs w:val="22"/>
          <w:lang w:val="nb-NO"/>
        </w:rPr>
        <w:t> </w:t>
      </w:r>
      <w:r w:rsidRPr="009C5EFD">
        <w:rPr>
          <w:szCs w:val="22"/>
          <w:lang w:val="nb-NO"/>
        </w:rPr>
        <w:t>uker. Den andre fikk 20</w:t>
      </w:r>
      <w:r w:rsidR="00673757">
        <w:rPr>
          <w:szCs w:val="22"/>
          <w:lang w:val="nb-NO"/>
        </w:rPr>
        <w:t> </w:t>
      </w:r>
      <w:r w:rsidRPr="009C5EFD">
        <w:rPr>
          <w:szCs w:val="22"/>
          <w:lang w:val="nb-NO"/>
        </w:rPr>
        <w:t>mg Humira hver uke i 52</w:t>
      </w:r>
      <w:r w:rsidR="00673757">
        <w:rPr>
          <w:szCs w:val="22"/>
          <w:lang w:val="nb-NO"/>
        </w:rPr>
        <w:t> </w:t>
      </w:r>
      <w:r w:rsidRPr="009C5EFD">
        <w:rPr>
          <w:szCs w:val="22"/>
          <w:lang w:val="nb-NO"/>
        </w:rPr>
        <w:t xml:space="preserve">uker. Den tredje </w:t>
      </w:r>
      <w:r w:rsidRPr="009C5EFD">
        <w:rPr>
          <w:szCs w:val="22"/>
          <w:lang w:val="nb-NO"/>
        </w:rPr>
        <w:lastRenderedPageBreak/>
        <w:t>gruppen fikk 40</w:t>
      </w:r>
      <w:r w:rsidR="00673757">
        <w:rPr>
          <w:szCs w:val="22"/>
          <w:lang w:val="nb-NO"/>
        </w:rPr>
        <w:t> </w:t>
      </w:r>
      <w:r w:rsidRPr="009C5EFD">
        <w:rPr>
          <w:szCs w:val="22"/>
          <w:lang w:val="nb-NO"/>
        </w:rPr>
        <w:t>mg Humira annenhver uke med placebo-injeksjoner i de mellomliggende ukene. Etter avslutning av de første 52</w:t>
      </w:r>
      <w:r w:rsidR="00673757">
        <w:rPr>
          <w:szCs w:val="22"/>
          <w:lang w:val="nb-NO"/>
        </w:rPr>
        <w:t> </w:t>
      </w:r>
      <w:r w:rsidRPr="009C5EFD">
        <w:rPr>
          <w:szCs w:val="22"/>
          <w:lang w:val="nb-NO"/>
        </w:rPr>
        <w:t>uker ble 457</w:t>
      </w:r>
      <w:r w:rsidR="00673757">
        <w:rPr>
          <w:szCs w:val="22"/>
          <w:lang w:val="nb-NO"/>
        </w:rPr>
        <w:t> </w:t>
      </w:r>
      <w:r w:rsidRPr="009C5EFD">
        <w:rPr>
          <w:szCs w:val="22"/>
          <w:lang w:val="nb-NO"/>
        </w:rPr>
        <w:t>pasienter inkludert i en åpen oppfølgingsstudie hvor det ble gitt 40</w:t>
      </w:r>
      <w:r w:rsidR="00673757">
        <w:rPr>
          <w:szCs w:val="22"/>
          <w:lang w:val="nb-NO"/>
        </w:rPr>
        <w:t> </w:t>
      </w:r>
      <w:r w:rsidRPr="009C5EFD">
        <w:rPr>
          <w:szCs w:val="22"/>
          <w:lang w:val="nb-NO"/>
        </w:rPr>
        <w:t>mg Humira/MTX annenhver uke i inntil 10</w:t>
      </w:r>
      <w:r w:rsidR="00673757">
        <w:rPr>
          <w:szCs w:val="22"/>
          <w:lang w:val="nb-NO"/>
        </w:rPr>
        <w:t> </w:t>
      </w:r>
      <w:r w:rsidRPr="009C5EFD">
        <w:rPr>
          <w:szCs w:val="22"/>
          <w:lang w:val="nb-NO"/>
        </w:rPr>
        <w:t>år.</w:t>
      </w:r>
    </w:p>
    <w:p w14:paraId="4B972872" w14:textId="77777777" w:rsidR="00DD6B6D" w:rsidRPr="009C5EFD" w:rsidRDefault="00DD6B6D" w:rsidP="00DD6B6D">
      <w:pPr>
        <w:rPr>
          <w:sz w:val="22"/>
          <w:szCs w:val="22"/>
        </w:rPr>
      </w:pPr>
    </w:p>
    <w:p w14:paraId="00F77B4E" w14:textId="77777777" w:rsidR="00DD6B6D" w:rsidRPr="009C5EFD" w:rsidRDefault="00E453CD" w:rsidP="00DD6B6D">
      <w:pPr>
        <w:rPr>
          <w:sz w:val="22"/>
          <w:szCs w:val="22"/>
        </w:rPr>
      </w:pPr>
      <w:r w:rsidRPr="009C5EFD">
        <w:rPr>
          <w:sz w:val="22"/>
          <w:szCs w:val="22"/>
        </w:rPr>
        <w:t>RA-studie IV utredet først og fremst sikkerhet hos 636</w:t>
      </w:r>
      <w:r w:rsidR="00673757">
        <w:rPr>
          <w:sz w:val="22"/>
          <w:szCs w:val="22"/>
        </w:rPr>
        <w:t> </w:t>
      </w:r>
      <w:r w:rsidRPr="009C5EFD">
        <w:rPr>
          <w:sz w:val="22"/>
          <w:szCs w:val="22"/>
        </w:rPr>
        <w:t xml:space="preserve">pasienter med moderat til </w:t>
      </w:r>
      <w:r w:rsidR="00021903">
        <w:rPr>
          <w:sz w:val="22"/>
          <w:szCs w:val="22"/>
        </w:rPr>
        <w:t>alvorlig</w:t>
      </w:r>
      <w:r w:rsidRPr="009C5EFD">
        <w:rPr>
          <w:sz w:val="22"/>
          <w:szCs w:val="22"/>
        </w:rPr>
        <w:t xml:space="preserve"> aktiv revmatoid artritt og som var ≥ 18</w:t>
      </w:r>
      <w:r w:rsidR="00673757">
        <w:rPr>
          <w:sz w:val="22"/>
          <w:szCs w:val="22"/>
        </w:rPr>
        <w:t> </w:t>
      </w:r>
      <w:r w:rsidRPr="009C5EFD">
        <w:rPr>
          <w:sz w:val="22"/>
          <w:szCs w:val="22"/>
        </w:rPr>
        <w:t xml:space="preserve">år. Pasientene hadde enten aldri brukt sykdomsmodifiserende, antirevmatiske midler eller de </w:t>
      </w:r>
      <w:r w:rsidRPr="009C5EFD">
        <w:rPr>
          <w:sz w:val="22"/>
        </w:rPr>
        <w:t xml:space="preserve">fortsatte </w:t>
      </w:r>
      <w:r w:rsidRPr="009C5EFD">
        <w:rPr>
          <w:sz w:val="22"/>
          <w:szCs w:val="22"/>
        </w:rPr>
        <w:t>med den revmatologiske behandling som allerede var innledet, forutsatt at behandlingen hadde vært stabil i minst 28</w:t>
      </w:r>
      <w:r w:rsidR="00673757">
        <w:rPr>
          <w:sz w:val="22"/>
          <w:szCs w:val="22"/>
        </w:rPr>
        <w:t> </w:t>
      </w:r>
      <w:r w:rsidRPr="009C5EFD">
        <w:rPr>
          <w:sz w:val="22"/>
          <w:szCs w:val="22"/>
        </w:rPr>
        <w:t>dager. Disse legemidlene inkluderer metotreksat, leflunomid, hydroksyklorokin, sulfasalazin og/eller gullsalter. Pasientene ble randomisert til behandling med enten 40</w:t>
      </w:r>
      <w:r w:rsidR="00673757">
        <w:rPr>
          <w:sz w:val="22"/>
          <w:szCs w:val="22"/>
        </w:rPr>
        <w:t> </w:t>
      </w:r>
      <w:r w:rsidRPr="009C5EFD">
        <w:rPr>
          <w:sz w:val="22"/>
          <w:szCs w:val="22"/>
        </w:rPr>
        <w:t>mg Humira eller placebo annenhver uke i 24</w:t>
      </w:r>
      <w:r w:rsidR="00673757">
        <w:rPr>
          <w:sz w:val="22"/>
          <w:szCs w:val="22"/>
        </w:rPr>
        <w:t> </w:t>
      </w:r>
      <w:r w:rsidRPr="009C5EFD">
        <w:rPr>
          <w:sz w:val="22"/>
          <w:szCs w:val="22"/>
        </w:rPr>
        <w:t>uker.</w:t>
      </w:r>
    </w:p>
    <w:p w14:paraId="3142034E" w14:textId="77777777" w:rsidR="00DD6B6D" w:rsidRPr="009C5EFD" w:rsidRDefault="00DD6B6D" w:rsidP="00DD6B6D">
      <w:pPr>
        <w:rPr>
          <w:sz w:val="22"/>
          <w:szCs w:val="22"/>
        </w:rPr>
      </w:pPr>
    </w:p>
    <w:p w14:paraId="4C858201" w14:textId="77777777" w:rsidR="00DD6B6D" w:rsidRPr="009C5EFD" w:rsidRDefault="00E453CD" w:rsidP="00DD6B6D">
      <w:pPr>
        <w:rPr>
          <w:sz w:val="22"/>
          <w:szCs w:val="22"/>
        </w:rPr>
      </w:pPr>
      <w:r w:rsidRPr="009C5EFD">
        <w:rPr>
          <w:sz w:val="22"/>
          <w:szCs w:val="22"/>
        </w:rPr>
        <w:t xml:space="preserve">RA-studie V </w:t>
      </w:r>
      <w:r w:rsidR="00744283">
        <w:rPr>
          <w:sz w:val="22"/>
          <w:szCs w:val="22"/>
        </w:rPr>
        <w:t>vurderte</w:t>
      </w:r>
      <w:r w:rsidRPr="009C5EFD">
        <w:rPr>
          <w:sz w:val="22"/>
          <w:szCs w:val="22"/>
        </w:rPr>
        <w:t xml:space="preserve"> 799</w:t>
      </w:r>
      <w:r w:rsidR="00673757">
        <w:rPr>
          <w:sz w:val="22"/>
          <w:szCs w:val="22"/>
        </w:rPr>
        <w:t> </w:t>
      </w:r>
      <w:r w:rsidRPr="009C5EFD">
        <w:rPr>
          <w:sz w:val="22"/>
          <w:szCs w:val="22"/>
        </w:rPr>
        <w:t>voksne pasienter med moderat til alvorlig aktiv tidlig revmatoid artritt, som ikke hadde fått metotreksat tidligere (gjennomsnittlig sykdomsvarighet mindre enn 9</w:t>
      </w:r>
      <w:r w:rsidR="00673757">
        <w:rPr>
          <w:sz w:val="22"/>
          <w:szCs w:val="22"/>
        </w:rPr>
        <w:t> </w:t>
      </w:r>
      <w:r w:rsidRPr="009C5EFD">
        <w:rPr>
          <w:sz w:val="22"/>
          <w:szCs w:val="22"/>
        </w:rPr>
        <w:t xml:space="preserve">måneder). Denne studien </w:t>
      </w:r>
      <w:bookmarkStart w:id="25" w:name="_Hlk55307573"/>
      <w:r w:rsidR="006B250F">
        <w:rPr>
          <w:sz w:val="22"/>
          <w:szCs w:val="22"/>
        </w:rPr>
        <w:t>vurderte</w:t>
      </w:r>
      <w:bookmarkEnd w:id="25"/>
      <w:r w:rsidRPr="009C5EFD">
        <w:rPr>
          <w:sz w:val="22"/>
          <w:szCs w:val="22"/>
        </w:rPr>
        <w:t xml:space="preserve"> effekten av kombinasjonsbehandling Humira 40</w:t>
      </w:r>
      <w:r w:rsidR="00673757">
        <w:rPr>
          <w:sz w:val="22"/>
          <w:szCs w:val="22"/>
        </w:rPr>
        <w:t> </w:t>
      </w:r>
      <w:r w:rsidRPr="009C5EFD">
        <w:rPr>
          <w:sz w:val="22"/>
          <w:szCs w:val="22"/>
        </w:rPr>
        <w:t>mg annen</w:t>
      </w:r>
      <w:r w:rsidR="00FE1DDF">
        <w:rPr>
          <w:sz w:val="22"/>
          <w:szCs w:val="22"/>
        </w:rPr>
        <w:t>hver</w:t>
      </w:r>
      <w:r w:rsidRPr="009C5EFD">
        <w:rPr>
          <w:sz w:val="22"/>
          <w:szCs w:val="22"/>
        </w:rPr>
        <w:t xml:space="preserve"> uke/metotreksat, Humira 40</w:t>
      </w:r>
      <w:r w:rsidR="00673757">
        <w:rPr>
          <w:sz w:val="22"/>
          <w:szCs w:val="22"/>
        </w:rPr>
        <w:t> </w:t>
      </w:r>
      <w:r w:rsidRPr="009C5EFD">
        <w:rPr>
          <w:sz w:val="22"/>
          <w:szCs w:val="22"/>
        </w:rPr>
        <w:t>mg annen</w:t>
      </w:r>
      <w:r w:rsidR="00FE1DDF">
        <w:rPr>
          <w:sz w:val="22"/>
          <w:szCs w:val="22"/>
        </w:rPr>
        <w:t>hver</w:t>
      </w:r>
      <w:r w:rsidRPr="009C5EFD">
        <w:rPr>
          <w:sz w:val="22"/>
          <w:szCs w:val="22"/>
        </w:rPr>
        <w:t xml:space="preserve"> uke i monoterapi og metotreksat monoterapi, på reduksjon av tegn og symptomer og grad av progresjon i leddskade ved revmatoid artritt i 104</w:t>
      </w:r>
      <w:r w:rsidR="00673757">
        <w:rPr>
          <w:sz w:val="22"/>
          <w:szCs w:val="22"/>
        </w:rPr>
        <w:t> </w:t>
      </w:r>
      <w:r w:rsidRPr="009C5EFD">
        <w:rPr>
          <w:sz w:val="22"/>
          <w:szCs w:val="22"/>
        </w:rPr>
        <w:t xml:space="preserve">uker. </w:t>
      </w:r>
      <w:r>
        <w:rPr>
          <w:sz w:val="22"/>
          <w:szCs w:val="22"/>
        </w:rPr>
        <w:t>Etter avslutning av de første 104</w:t>
      </w:r>
      <w:r w:rsidR="00673757">
        <w:rPr>
          <w:sz w:val="22"/>
          <w:szCs w:val="22"/>
        </w:rPr>
        <w:t> </w:t>
      </w:r>
      <w:r>
        <w:rPr>
          <w:sz w:val="22"/>
          <w:szCs w:val="22"/>
        </w:rPr>
        <w:t>ukene, ble 497</w:t>
      </w:r>
      <w:r w:rsidR="00673757">
        <w:rPr>
          <w:sz w:val="22"/>
          <w:szCs w:val="22"/>
        </w:rPr>
        <w:t> </w:t>
      </w:r>
      <w:r>
        <w:rPr>
          <w:sz w:val="22"/>
          <w:szCs w:val="22"/>
        </w:rPr>
        <w:t>pasienter inkludert i en åpen forlengelsesfase hvor Humira 40</w:t>
      </w:r>
      <w:r w:rsidR="00673757">
        <w:rPr>
          <w:sz w:val="22"/>
          <w:szCs w:val="22"/>
        </w:rPr>
        <w:t> </w:t>
      </w:r>
      <w:r>
        <w:rPr>
          <w:sz w:val="22"/>
          <w:szCs w:val="22"/>
        </w:rPr>
        <w:t>mg ble gitt annenhver uke i opptil 10</w:t>
      </w:r>
      <w:r w:rsidR="00673757">
        <w:rPr>
          <w:sz w:val="22"/>
          <w:szCs w:val="22"/>
        </w:rPr>
        <w:t> </w:t>
      </w:r>
      <w:r>
        <w:rPr>
          <w:sz w:val="22"/>
          <w:szCs w:val="22"/>
        </w:rPr>
        <w:t>år.</w:t>
      </w:r>
    </w:p>
    <w:p w14:paraId="38D94E52" w14:textId="77777777" w:rsidR="00DD6B6D" w:rsidRPr="009C5EFD" w:rsidRDefault="00DD6B6D" w:rsidP="00DD6B6D">
      <w:pPr>
        <w:rPr>
          <w:sz w:val="22"/>
          <w:szCs w:val="22"/>
        </w:rPr>
      </w:pPr>
    </w:p>
    <w:p w14:paraId="039E7BCE" w14:textId="77777777" w:rsidR="00DD6B6D" w:rsidRPr="009C5EFD" w:rsidRDefault="00E453CD" w:rsidP="00DD6B6D">
      <w:pPr>
        <w:rPr>
          <w:sz w:val="22"/>
          <w:szCs w:val="22"/>
        </w:rPr>
      </w:pPr>
      <w:r w:rsidRPr="009C5EFD">
        <w:rPr>
          <w:sz w:val="22"/>
          <w:szCs w:val="22"/>
        </w:rPr>
        <w:t>Det primære endepunkt i RA-studiene I, II og III og det sekundære endepunkt i RA-studie IV var prosentandelen av pasientene som oppnådde en ACR (American College of Rheumatology) 20-respons ved uke</w:t>
      </w:r>
      <w:r w:rsidR="00673757">
        <w:rPr>
          <w:sz w:val="22"/>
          <w:szCs w:val="22"/>
        </w:rPr>
        <w:t> </w:t>
      </w:r>
      <w:r w:rsidRPr="009C5EFD">
        <w:rPr>
          <w:sz w:val="22"/>
          <w:szCs w:val="22"/>
        </w:rPr>
        <w:t>24 eller 26. Primært endepunkt i RA-studie V var andel pasienter som oppnådde ACR-</w:t>
      </w:r>
      <w:r w:rsidR="00EC5A19">
        <w:rPr>
          <w:sz w:val="22"/>
          <w:szCs w:val="22"/>
        </w:rPr>
        <w:t>50-respons</w:t>
      </w:r>
      <w:r w:rsidRPr="009C5EFD">
        <w:rPr>
          <w:sz w:val="22"/>
          <w:szCs w:val="22"/>
        </w:rPr>
        <w:t xml:space="preserve"> ved uke</w:t>
      </w:r>
      <w:r w:rsidR="00673757">
        <w:rPr>
          <w:sz w:val="22"/>
          <w:szCs w:val="22"/>
        </w:rPr>
        <w:t> </w:t>
      </w:r>
      <w:r w:rsidRPr="009C5EFD">
        <w:rPr>
          <w:sz w:val="22"/>
          <w:szCs w:val="22"/>
        </w:rPr>
        <w:t>52. RA-studiene III og V hadde i tillegg et primært endepunkt ved uke</w:t>
      </w:r>
      <w:r w:rsidR="00673757">
        <w:rPr>
          <w:sz w:val="22"/>
          <w:szCs w:val="22"/>
        </w:rPr>
        <w:t> </w:t>
      </w:r>
      <w:r w:rsidRPr="009C5EFD">
        <w:rPr>
          <w:sz w:val="22"/>
          <w:szCs w:val="22"/>
        </w:rPr>
        <w:t>52 som gjaldt forsinkelse av sykdomsprogresjon (vurdert på grunnlag av røntgenundersøkelse). RA-studie III hadde også forandringer i livskvalitet som et primært endepunkt.</w:t>
      </w:r>
    </w:p>
    <w:p w14:paraId="72004368" w14:textId="77777777" w:rsidR="00DD6B6D" w:rsidRPr="009C5EFD" w:rsidRDefault="00DD6B6D" w:rsidP="00DD6B6D">
      <w:pPr>
        <w:rPr>
          <w:sz w:val="22"/>
          <w:szCs w:val="22"/>
        </w:rPr>
      </w:pPr>
    </w:p>
    <w:p w14:paraId="0F26E81E" w14:textId="77777777" w:rsidR="00DD6B6D" w:rsidRPr="00193D76" w:rsidRDefault="00E453CD" w:rsidP="00B07EA9">
      <w:pPr>
        <w:pStyle w:val="Heading8"/>
        <w:rPr>
          <w:szCs w:val="22"/>
        </w:rPr>
      </w:pPr>
      <w:r w:rsidRPr="001F5D4B">
        <w:rPr>
          <w:i/>
          <w:szCs w:val="22"/>
        </w:rPr>
        <w:t>ACR-respons</w:t>
      </w:r>
    </w:p>
    <w:p w14:paraId="62A379C6" w14:textId="77777777" w:rsidR="00DD6B6D" w:rsidRPr="002D0790" w:rsidRDefault="00DD6B6D" w:rsidP="00B07EA9">
      <w:pPr>
        <w:keepNext/>
        <w:rPr>
          <w:sz w:val="22"/>
          <w:szCs w:val="22"/>
        </w:rPr>
      </w:pPr>
    </w:p>
    <w:p w14:paraId="34838795" w14:textId="77777777" w:rsidR="00DD6B6D" w:rsidRPr="009C5EFD" w:rsidRDefault="00E453CD" w:rsidP="00DD6B6D">
      <w:pPr>
        <w:rPr>
          <w:sz w:val="22"/>
          <w:szCs w:val="22"/>
        </w:rPr>
      </w:pPr>
      <w:r w:rsidRPr="002D0790">
        <w:rPr>
          <w:sz w:val="22"/>
          <w:szCs w:val="22"/>
        </w:rPr>
        <w:t>Prosentandelen av pasiente</w:t>
      </w:r>
      <w:r w:rsidRPr="00E14E58">
        <w:rPr>
          <w:sz w:val="22"/>
          <w:szCs w:val="22"/>
        </w:rPr>
        <w:t>r</w:t>
      </w:r>
      <w:r w:rsidRPr="009C5EFD">
        <w:rPr>
          <w:sz w:val="22"/>
          <w:szCs w:val="22"/>
        </w:rPr>
        <w:t xml:space="preserve"> behandlet med Humira som oppnådde respons på ACR 20, 50 eller 70 i RA-studiene I, II og III var samsvarende. Resultatene for doseringen på 40</w:t>
      </w:r>
      <w:r w:rsidR="00673757">
        <w:rPr>
          <w:sz w:val="22"/>
          <w:szCs w:val="22"/>
        </w:rPr>
        <w:t> </w:t>
      </w:r>
      <w:r w:rsidRPr="009C5EFD">
        <w:rPr>
          <w:sz w:val="22"/>
          <w:szCs w:val="22"/>
        </w:rPr>
        <w:t>mg annenhver uke er oppsummert i tabell</w:t>
      </w:r>
      <w:r w:rsidR="00673757">
        <w:rPr>
          <w:sz w:val="22"/>
          <w:szCs w:val="22"/>
        </w:rPr>
        <w:t> </w:t>
      </w:r>
      <w:r w:rsidR="00A457B0">
        <w:rPr>
          <w:sz w:val="22"/>
          <w:szCs w:val="22"/>
        </w:rPr>
        <w:t>7</w:t>
      </w:r>
      <w:r w:rsidRPr="009C5EFD">
        <w:rPr>
          <w:sz w:val="22"/>
          <w:szCs w:val="22"/>
        </w:rPr>
        <w:t>.</w:t>
      </w:r>
    </w:p>
    <w:p w14:paraId="34F53320" w14:textId="77777777" w:rsidR="00DD6B6D" w:rsidRPr="009C5EFD" w:rsidRDefault="00DD6B6D" w:rsidP="00DD6B6D"/>
    <w:tbl>
      <w:tblPr>
        <w:tblW w:w="0" w:type="auto"/>
        <w:tblInd w:w="98" w:type="dxa"/>
        <w:tblCellMar>
          <w:left w:w="0" w:type="dxa"/>
          <w:right w:w="0" w:type="dxa"/>
        </w:tblCellMar>
        <w:tblLook w:val="0000" w:firstRow="0" w:lastRow="0" w:firstColumn="0" w:lastColumn="0" w:noHBand="0" w:noVBand="0"/>
      </w:tblPr>
      <w:tblGrid>
        <w:gridCol w:w="1153"/>
        <w:gridCol w:w="875"/>
        <w:gridCol w:w="1723"/>
        <w:gridCol w:w="1051"/>
        <w:gridCol w:w="1552"/>
        <w:gridCol w:w="890"/>
        <w:gridCol w:w="1723"/>
      </w:tblGrid>
      <w:tr w:rsidR="004644D4" w14:paraId="5C71FA62" w14:textId="77777777" w:rsidTr="008B396C">
        <w:tc>
          <w:tcPr>
            <w:tcW w:w="8967" w:type="dxa"/>
            <w:gridSpan w:val="7"/>
            <w:tcBorders>
              <w:bottom w:val="single" w:sz="6" w:space="0" w:color="auto"/>
            </w:tcBorders>
          </w:tcPr>
          <w:p w14:paraId="3DB71DDA" w14:textId="77777777" w:rsidR="00DD6B6D" w:rsidRPr="009C5EFD" w:rsidRDefault="00E453CD" w:rsidP="00776A84">
            <w:pPr>
              <w:pStyle w:val="Brdtekst10"/>
              <w:keepNext/>
              <w:tabs>
                <w:tab w:val="clear" w:pos="1152"/>
                <w:tab w:val="clear" w:pos="1872"/>
              </w:tabs>
              <w:spacing w:after="0" w:line="240" w:lineRule="auto"/>
              <w:ind w:left="0"/>
              <w:jc w:val="center"/>
              <w:rPr>
                <w:b/>
                <w:sz w:val="22"/>
                <w:szCs w:val="22"/>
                <w:lang w:val="nb-NO"/>
              </w:rPr>
            </w:pPr>
            <w:r w:rsidRPr="009C5EFD">
              <w:rPr>
                <w:b/>
                <w:sz w:val="22"/>
                <w:szCs w:val="22"/>
                <w:lang w:val="nb-NO"/>
              </w:rPr>
              <w:t xml:space="preserve">Tabell </w:t>
            </w:r>
            <w:r w:rsidR="00A457B0">
              <w:rPr>
                <w:b/>
                <w:sz w:val="22"/>
                <w:szCs w:val="22"/>
                <w:lang w:val="nb-NO"/>
              </w:rPr>
              <w:t>7</w:t>
            </w:r>
          </w:p>
          <w:p w14:paraId="35011C1F" w14:textId="77777777" w:rsidR="00DD6B6D" w:rsidRPr="009C5EFD" w:rsidRDefault="00E453CD" w:rsidP="00776A84">
            <w:pPr>
              <w:pStyle w:val="Brdtekst10"/>
              <w:keepNext/>
              <w:tabs>
                <w:tab w:val="clear" w:pos="1152"/>
                <w:tab w:val="clear" w:pos="1872"/>
              </w:tabs>
              <w:spacing w:after="0" w:line="240" w:lineRule="auto"/>
              <w:ind w:left="0"/>
              <w:jc w:val="center"/>
              <w:rPr>
                <w:b/>
                <w:sz w:val="22"/>
                <w:szCs w:val="22"/>
                <w:lang w:val="nb-NO"/>
              </w:rPr>
            </w:pPr>
            <w:r w:rsidRPr="009C5EFD">
              <w:rPr>
                <w:b/>
                <w:sz w:val="22"/>
                <w:szCs w:val="22"/>
                <w:lang w:val="nb-NO"/>
              </w:rPr>
              <w:t xml:space="preserve">ACR-respons i placebokontrollerte studier </w:t>
            </w:r>
          </w:p>
          <w:p w14:paraId="06A0A8A2" w14:textId="77777777" w:rsidR="00DD6B6D" w:rsidRPr="009C5EFD" w:rsidRDefault="00E453CD" w:rsidP="00776A84">
            <w:pPr>
              <w:pStyle w:val="Brdtekst10"/>
              <w:keepNext/>
              <w:tabs>
                <w:tab w:val="clear" w:pos="1152"/>
                <w:tab w:val="clear" w:pos="1872"/>
              </w:tabs>
              <w:spacing w:after="0" w:line="240" w:lineRule="auto"/>
              <w:ind w:left="0"/>
              <w:jc w:val="center"/>
              <w:rPr>
                <w:b/>
                <w:sz w:val="22"/>
                <w:szCs w:val="22"/>
                <w:lang w:val="nb-NO"/>
              </w:rPr>
            </w:pPr>
            <w:r w:rsidRPr="009C5EFD">
              <w:rPr>
                <w:b/>
                <w:sz w:val="22"/>
                <w:szCs w:val="22"/>
                <w:lang w:val="nb-NO"/>
              </w:rPr>
              <w:t>(prosentandel av pasientene)</w:t>
            </w:r>
          </w:p>
        </w:tc>
      </w:tr>
      <w:tr w:rsidR="004644D4" w14:paraId="03E5F215" w14:textId="77777777" w:rsidTr="00776A84">
        <w:trPr>
          <w:cantSplit/>
        </w:trPr>
        <w:tc>
          <w:tcPr>
            <w:tcW w:w="1153" w:type="dxa"/>
            <w:vMerge w:val="restart"/>
            <w:tcBorders>
              <w:top w:val="single" w:sz="6" w:space="0" w:color="auto"/>
              <w:right w:val="single" w:sz="6" w:space="0" w:color="auto"/>
            </w:tcBorders>
          </w:tcPr>
          <w:p w14:paraId="1B9F6FE6" w14:textId="77777777" w:rsidR="00DD6B6D" w:rsidRPr="007F67EE" w:rsidRDefault="00E453CD" w:rsidP="008B396C">
            <w:pPr>
              <w:pStyle w:val="In-texttable"/>
              <w:keepNext w:val="0"/>
              <w:spacing w:line="240" w:lineRule="auto"/>
              <w:rPr>
                <w:rFonts w:ascii="Times New Roman" w:hAnsi="Times New Roman"/>
                <w:sz w:val="22"/>
                <w:szCs w:val="22"/>
                <w:lang w:val="nb-NO"/>
              </w:rPr>
            </w:pPr>
            <w:r w:rsidRPr="007F67EE">
              <w:rPr>
                <w:rFonts w:ascii="Times New Roman" w:hAnsi="Times New Roman"/>
                <w:sz w:val="22"/>
                <w:szCs w:val="22"/>
                <w:lang w:val="nb-NO"/>
              </w:rPr>
              <w:t>Respons</w:t>
            </w:r>
          </w:p>
        </w:tc>
        <w:tc>
          <w:tcPr>
            <w:tcW w:w="2598" w:type="dxa"/>
            <w:gridSpan w:val="2"/>
            <w:tcBorders>
              <w:top w:val="single" w:sz="6" w:space="0" w:color="auto"/>
              <w:left w:val="single" w:sz="6" w:space="0" w:color="auto"/>
              <w:bottom w:val="single" w:sz="6" w:space="0" w:color="auto"/>
              <w:right w:val="single" w:sz="6" w:space="0" w:color="auto"/>
            </w:tcBorders>
          </w:tcPr>
          <w:p w14:paraId="4E948C6B"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RA-studie I</w:t>
            </w:r>
            <w:r w:rsidRPr="007F67EE">
              <w:rPr>
                <w:rFonts w:ascii="Times New Roman" w:hAnsi="Times New Roman"/>
                <w:sz w:val="22"/>
                <w:szCs w:val="22"/>
                <w:vertAlign w:val="superscript"/>
                <w:lang w:val="nb-NO"/>
              </w:rPr>
              <w:t>a</w:t>
            </w:r>
            <w:r w:rsidRPr="007F67EE">
              <w:rPr>
                <w:rFonts w:ascii="Times New Roman" w:hAnsi="Times New Roman"/>
                <w:sz w:val="22"/>
                <w:szCs w:val="22"/>
                <w:lang w:val="nb-NO"/>
              </w:rPr>
              <w:t>**</w:t>
            </w:r>
          </w:p>
        </w:tc>
        <w:tc>
          <w:tcPr>
            <w:tcW w:w="2603" w:type="dxa"/>
            <w:gridSpan w:val="2"/>
            <w:tcBorders>
              <w:top w:val="single" w:sz="6" w:space="0" w:color="auto"/>
              <w:left w:val="single" w:sz="6" w:space="0" w:color="auto"/>
              <w:bottom w:val="single" w:sz="6" w:space="0" w:color="auto"/>
              <w:right w:val="single" w:sz="6" w:space="0" w:color="auto"/>
            </w:tcBorders>
          </w:tcPr>
          <w:p w14:paraId="33DBB1C0"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RA-studie II</w:t>
            </w:r>
            <w:r w:rsidRPr="002D0790">
              <w:rPr>
                <w:rFonts w:ascii="Times New Roman" w:hAnsi="Times New Roman"/>
                <w:sz w:val="22"/>
                <w:szCs w:val="22"/>
                <w:vertAlign w:val="superscript"/>
                <w:lang w:val="nb-NO"/>
              </w:rPr>
              <w:t>a</w:t>
            </w:r>
            <w:r w:rsidRPr="002D0790">
              <w:rPr>
                <w:rFonts w:ascii="Times New Roman" w:hAnsi="Times New Roman"/>
                <w:sz w:val="22"/>
                <w:szCs w:val="22"/>
                <w:lang w:val="nb-NO"/>
              </w:rPr>
              <w:t>**</w:t>
            </w:r>
          </w:p>
        </w:tc>
        <w:tc>
          <w:tcPr>
            <w:tcW w:w="2613" w:type="dxa"/>
            <w:gridSpan w:val="2"/>
            <w:tcBorders>
              <w:top w:val="single" w:sz="6" w:space="0" w:color="auto"/>
              <w:left w:val="single" w:sz="6" w:space="0" w:color="auto"/>
              <w:bottom w:val="single" w:sz="6" w:space="0" w:color="auto"/>
            </w:tcBorders>
          </w:tcPr>
          <w:p w14:paraId="0E3ED42A"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E14E58">
              <w:rPr>
                <w:rFonts w:ascii="Times New Roman" w:hAnsi="Times New Roman"/>
                <w:sz w:val="22"/>
                <w:szCs w:val="22"/>
                <w:lang w:val="nb-NO"/>
              </w:rPr>
              <w:t>RA-studie III</w:t>
            </w:r>
            <w:r w:rsidRPr="009C5EFD">
              <w:rPr>
                <w:rFonts w:ascii="Times New Roman" w:hAnsi="Times New Roman"/>
                <w:sz w:val="22"/>
                <w:szCs w:val="22"/>
                <w:vertAlign w:val="superscript"/>
                <w:lang w:val="nb-NO"/>
              </w:rPr>
              <w:t>a</w:t>
            </w:r>
            <w:r w:rsidRPr="009C5EFD">
              <w:rPr>
                <w:rFonts w:ascii="Times New Roman" w:hAnsi="Times New Roman"/>
                <w:sz w:val="22"/>
                <w:szCs w:val="22"/>
                <w:lang w:val="nb-NO"/>
              </w:rPr>
              <w:t>**</w:t>
            </w:r>
          </w:p>
          <w:p w14:paraId="1B5E18B1" w14:textId="77777777" w:rsidR="00DD6B6D" w:rsidRPr="009C5EFD" w:rsidRDefault="00DD6B6D" w:rsidP="008B396C">
            <w:pPr>
              <w:pStyle w:val="In-texttable"/>
              <w:keepNext w:val="0"/>
              <w:spacing w:line="240" w:lineRule="auto"/>
              <w:jc w:val="center"/>
              <w:rPr>
                <w:rFonts w:ascii="Times New Roman" w:hAnsi="Times New Roman"/>
                <w:sz w:val="22"/>
                <w:szCs w:val="22"/>
                <w:lang w:val="nb-NO"/>
              </w:rPr>
            </w:pPr>
          </w:p>
        </w:tc>
      </w:tr>
      <w:tr w:rsidR="004644D4" w14:paraId="102DA095" w14:textId="77777777" w:rsidTr="00776A84">
        <w:trPr>
          <w:cantSplit/>
        </w:trPr>
        <w:tc>
          <w:tcPr>
            <w:tcW w:w="1153" w:type="dxa"/>
            <w:vMerge/>
            <w:tcBorders>
              <w:bottom w:val="single" w:sz="6" w:space="0" w:color="auto"/>
              <w:right w:val="single" w:sz="6" w:space="0" w:color="auto"/>
            </w:tcBorders>
          </w:tcPr>
          <w:p w14:paraId="2784B073" w14:textId="77777777" w:rsidR="00DD6B6D" w:rsidRPr="009C5EFD" w:rsidRDefault="00DD6B6D" w:rsidP="008B396C">
            <w:pPr>
              <w:pStyle w:val="In-texttable"/>
              <w:keepNext w:val="0"/>
              <w:spacing w:line="240" w:lineRule="auto"/>
              <w:jc w:val="center"/>
              <w:rPr>
                <w:rFonts w:ascii="Times New Roman" w:hAnsi="Times New Roman"/>
                <w:sz w:val="22"/>
                <w:szCs w:val="22"/>
                <w:lang w:val="nb-NO"/>
              </w:rPr>
            </w:pPr>
          </w:p>
        </w:tc>
        <w:tc>
          <w:tcPr>
            <w:tcW w:w="875" w:type="dxa"/>
            <w:tcBorders>
              <w:top w:val="single" w:sz="6" w:space="0" w:color="auto"/>
              <w:left w:val="single" w:sz="6" w:space="0" w:color="auto"/>
              <w:bottom w:val="single" w:sz="6" w:space="0" w:color="auto"/>
            </w:tcBorders>
          </w:tcPr>
          <w:p w14:paraId="2871F4AF"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 MTX</w:t>
            </w:r>
            <w:r w:rsidRPr="009C5EFD">
              <w:rPr>
                <w:rFonts w:ascii="Times New Roman" w:hAnsi="Times New Roman"/>
                <w:sz w:val="22"/>
                <w:szCs w:val="22"/>
                <w:vertAlign w:val="superscript"/>
                <w:lang w:val="nb-NO"/>
              </w:rPr>
              <w:t>c</w:t>
            </w:r>
          </w:p>
          <w:p w14:paraId="36C4AD4C"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n=60</w:t>
            </w:r>
          </w:p>
        </w:tc>
        <w:tc>
          <w:tcPr>
            <w:tcW w:w="1723" w:type="dxa"/>
            <w:tcBorders>
              <w:top w:val="single" w:sz="6" w:space="0" w:color="auto"/>
              <w:left w:val="nil"/>
              <w:bottom w:val="single" w:sz="6" w:space="0" w:color="auto"/>
              <w:right w:val="single" w:sz="6" w:space="0" w:color="auto"/>
            </w:tcBorders>
          </w:tcPr>
          <w:p w14:paraId="323920A4"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r w:rsidRPr="009C5EFD">
              <w:rPr>
                <w:rFonts w:ascii="Times New Roman" w:hAnsi="Times New Roman"/>
                <w:sz w:val="22"/>
                <w:szCs w:val="22"/>
                <w:lang w:val="nb-NO"/>
              </w:rPr>
              <w:t>/ MTX</w:t>
            </w:r>
            <w:r w:rsidRPr="009C5EFD">
              <w:rPr>
                <w:rFonts w:ascii="Times New Roman" w:hAnsi="Times New Roman"/>
                <w:sz w:val="22"/>
                <w:szCs w:val="22"/>
                <w:vertAlign w:val="superscript"/>
                <w:lang w:val="nb-NO"/>
              </w:rPr>
              <w:t>c</w:t>
            </w:r>
          </w:p>
          <w:p w14:paraId="54A5F9DC"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n=63</w:t>
            </w:r>
          </w:p>
        </w:tc>
        <w:tc>
          <w:tcPr>
            <w:tcW w:w="1051" w:type="dxa"/>
            <w:tcBorders>
              <w:top w:val="single" w:sz="6" w:space="0" w:color="auto"/>
              <w:left w:val="single" w:sz="6" w:space="0" w:color="auto"/>
              <w:bottom w:val="single" w:sz="6" w:space="0" w:color="auto"/>
            </w:tcBorders>
          </w:tcPr>
          <w:p w14:paraId="7E6F554B"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w:t>
            </w:r>
          </w:p>
          <w:p w14:paraId="10281F6D"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n=110</w:t>
            </w:r>
          </w:p>
        </w:tc>
        <w:tc>
          <w:tcPr>
            <w:tcW w:w="1552" w:type="dxa"/>
            <w:tcBorders>
              <w:top w:val="single" w:sz="6" w:space="0" w:color="auto"/>
              <w:left w:val="nil"/>
              <w:bottom w:val="single" w:sz="6" w:space="0" w:color="auto"/>
              <w:right w:val="single" w:sz="6" w:space="0" w:color="auto"/>
            </w:tcBorders>
          </w:tcPr>
          <w:p w14:paraId="6E4A51C4"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p>
          <w:p w14:paraId="342FBCBF"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n=113</w:t>
            </w:r>
          </w:p>
        </w:tc>
        <w:tc>
          <w:tcPr>
            <w:tcW w:w="890" w:type="dxa"/>
            <w:tcBorders>
              <w:top w:val="single" w:sz="6" w:space="0" w:color="auto"/>
              <w:left w:val="single" w:sz="6" w:space="0" w:color="auto"/>
              <w:bottom w:val="single" w:sz="6" w:space="0" w:color="auto"/>
            </w:tcBorders>
          </w:tcPr>
          <w:p w14:paraId="2668BEA2"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 MTX</w:t>
            </w:r>
            <w:r w:rsidRPr="009C5EFD">
              <w:rPr>
                <w:rFonts w:ascii="Times New Roman" w:hAnsi="Times New Roman"/>
                <w:sz w:val="22"/>
                <w:szCs w:val="22"/>
                <w:vertAlign w:val="superscript"/>
                <w:lang w:val="nb-NO"/>
              </w:rPr>
              <w:t>c</w:t>
            </w:r>
          </w:p>
          <w:p w14:paraId="1B661F20"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n=200</w:t>
            </w:r>
          </w:p>
        </w:tc>
        <w:tc>
          <w:tcPr>
            <w:tcW w:w="1723" w:type="dxa"/>
            <w:tcBorders>
              <w:top w:val="single" w:sz="6" w:space="0" w:color="auto"/>
              <w:left w:val="nil"/>
              <w:bottom w:val="single" w:sz="6" w:space="0" w:color="auto"/>
            </w:tcBorders>
          </w:tcPr>
          <w:p w14:paraId="37C4D309"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r w:rsidRPr="009C5EFD">
              <w:rPr>
                <w:rFonts w:ascii="Times New Roman" w:hAnsi="Times New Roman"/>
                <w:sz w:val="22"/>
                <w:szCs w:val="22"/>
                <w:lang w:val="nb-NO"/>
              </w:rPr>
              <w:t>/ MTX</w:t>
            </w:r>
            <w:r w:rsidRPr="009C5EFD">
              <w:rPr>
                <w:rFonts w:ascii="Times New Roman" w:hAnsi="Times New Roman"/>
                <w:sz w:val="22"/>
                <w:szCs w:val="22"/>
                <w:vertAlign w:val="superscript"/>
                <w:lang w:val="nb-NO"/>
              </w:rPr>
              <w:t>c</w:t>
            </w:r>
          </w:p>
          <w:p w14:paraId="14E0D3E4"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n=207</w:t>
            </w:r>
          </w:p>
        </w:tc>
      </w:tr>
      <w:tr w:rsidR="004644D4" w14:paraId="74A67917" w14:textId="77777777" w:rsidTr="00776A84">
        <w:trPr>
          <w:cantSplit/>
        </w:trPr>
        <w:tc>
          <w:tcPr>
            <w:tcW w:w="1153" w:type="dxa"/>
            <w:tcBorders>
              <w:top w:val="single" w:sz="6" w:space="0" w:color="auto"/>
              <w:right w:val="single" w:sz="6" w:space="0" w:color="auto"/>
            </w:tcBorders>
          </w:tcPr>
          <w:p w14:paraId="417623EF"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ACR 20</w:t>
            </w:r>
          </w:p>
        </w:tc>
        <w:tc>
          <w:tcPr>
            <w:tcW w:w="875" w:type="dxa"/>
            <w:tcBorders>
              <w:top w:val="single" w:sz="6" w:space="0" w:color="auto"/>
              <w:left w:val="single" w:sz="6" w:space="0" w:color="auto"/>
            </w:tcBorders>
          </w:tcPr>
          <w:p w14:paraId="6C4D5D51" w14:textId="77777777" w:rsidR="00DD6B6D" w:rsidRPr="007F67EE" w:rsidRDefault="00DD6B6D" w:rsidP="008B396C">
            <w:pPr>
              <w:pStyle w:val="In-texttable"/>
              <w:keepNext w:val="0"/>
              <w:spacing w:line="240" w:lineRule="auto"/>
              <w:jc w:val="both"/>
              <w:rPr>
                <w:rFonts w:ascii="Times New Roman" w:hAnsi="Times New Roman"/>
                <w:sz w:val="22"/>
                <w:szCs w:val="22"/>
                <w:lang w:val="nb-NO"/>
              </w:rPr>
            </w:pPr>
          </w:p>
        </w:tc>
        <w:tc>
          <w:tcPr>
            <w:tcW w:w="1723" w:type="dxa"/>
            <w:tcBorders>
              <w:top w:val="single" w:sz="6" w:space="0" w:color="auto"/>
              <w:left w:val="nil"/>
              <w:right w:val="single" w:sz="6" w:space="0" w:color="auto"/>
            </w:tcBorders>
          </w:tcPr>
          <w:p w14:paraId="6F01CFEE" w14:textId="77777777" w:rsidR="00DD6B6D" w:rsidRPr="00193D76" w:rsidRDefault="00DD6B6D" w:rsidP="008B396C">
            <w:pPr>
              <w:pStyle w:val="In-texttable"/>
              <w:keepNext w:val="0"/>
              <w:spacing w:line="240" w:lineRule="auto"/>
              <w:jc w:val="both"/>
              <w:rPr>
                <w:rFonts w:ascii="Times New Roman" w:hAnsi="Times New Roman"/>
                <w:sz w:val="22"/>
                <w:szCs w:val="22"/>
                <w:lang w:val="nb-NO"/>
              </w:rPr>
            </w:pPr>
          </w:p>
        </w:tc>
        <w:tc>
          <w:tcPr>
            <w:tcW w:w="1051" w:type="dxa"/>
            <w:tcBorders>
              <w:top w:val="single" w:sz="6" w:space="0" w:color="auto"/>
              <w:left w:val="single" w:sz="6" w:space="0" w:color="auto"/>
            </w:tcBorders>
          </w:tcPr>
          <w:p w14:paraId="3392BFB1" w14:textId="77777777" w:rsidR="00DD6B6D" w:rsidRPr="002D0790" w:rsidRDefault="00DD6B6D" w:rsidP="008B396C">
            <w:pPr>
              <w:pStyle w:val="In-texttable"/>
              <w:keepNext w:val="0"/>
              <w:spacing w:line="240" w:lineRule="auto"/>
              <w:jc w:val="both"/>
              <w:rPr>
                <w:rFonts w:ascii="Times New Roman" w:hAnsi="Times New Roman"/>
                <w:sz w:val="22"/>
                <w:szCs w:val="22"/>
                <w:lang w:val="nb-NO"/>
              </w:rPr>
            </w:pPr>
          </w:p>
        </w:tc>
        <w:tc>
          <w:tcPr>
            <w:tcW w:w="1552" w:type="dxa"/>
            <w:tcBorders>
              <w:top w:val="single" w:sz="6" w:space="0" w:color="auto"/>
              <w:left w:val="nil"/>
              <w:right w:val="single" w:sz="6" w:space="0" w:color="auto"/>
            </w:tcBorders>
          </w:tcPr>
          <w:p w14:paraId="1FD0C83D" w14:textId="77777777" w:rsidR="00DD6B6D" w:rsidRPr="002D0790" w:rsidRDefault="00DD6B6D" w:rsidP="008B396C">
            <w:pPr>
              <w:pStyle w:val="In-texttable"/>
              <w:keepNext w:val="0"/>
              <w:spacing w:line="240" w:lineRule="auto"/>
              <w:jc w:val="both"/>
              <w:rPr>
                <w:rFonts w:ascii="Times New Roman" w:hAnsi="Times New Roman"/>
                <w:sz w:val="22"/>
                <w:szCs w:val="22"/>
                <w:lang w:val="nb-NO"/>
              </w:rPr>
            </w:pPr>
          </w:p>
        </w:tc>
        <w:tc>
          <w:tcPr>
            <w:tcW w:w="890" w:type="dxa"/>
            <w:tcBorders>
              <w:top w:val="single" w:sz="6" w:space="0" w:color="auto"/>
              <w:left w:val="single" w:sz="6" w:space="0" w:color="auto"/>
            </w:tcBorders>
          </w:tcPr>
          <w:p w14:paraId="279E84F5" w14:textId="77777777" w:rsidR="00DD6B6D" w:rsidRPr="00E14E58" w:rsidRDefault="00DD6B6D" w:rsidP="008B396C">
            <w:pPr>
              <w:pStyle w:val="In-texttable"/>
              <w:keepNext w:val="0"/>
              <w:spacing w:line="240" w:lineRule="auto"/>
              <w:jc w:val="both"/>
              <w:rPr>
                <w:rFonts w:ascii="Times New Roman" w:hAnsi="Times New Roman"/>
                <w:sz w:val="22"/>
                <w:szCs w:val="22"/>
                <w:lang w:val="nb-NO"/>
              </w:rPr>
            </w:pPr>
          </w:p>
        </w:tc>
        <w:tc>
          <w:tcPr>
            <w:tcW w:w="1723" w:type="dxa"/>
            <w:tcBorders>
              <w:top w:val="single" w:sz="6" w:space="0" w:color="auto"/>
              <w:left w:val="nil"/>
            </w:tcBorders>
          </w:tcPr>
          <w:p w14:paraId="075F78B5" w14:textId="77777777" w:rsidR="00DD6B6D" w:rsidRPr="009C5EFD" w:rsidRDefault="00DD6B6D" w:rsidP="008B396C">
            <w:pPr>
              <w:pStyle w:val="In-texttable"/>
              <w:keepNext w:val="0"/>
              <w:spacing w:line="240" w:lineRule="auto"/>
              <w:jc w:val="both"/>
              <w:rPr>
                <w:rFonts w:ascii="Times New Roman" w:hAnsi="Times New Roman"/>
                <w:sz w:val="22"/>
                <w:szCs w:val="22"/>
                <w:lang w:val="nb-NO"/>
              </w:rPr>
            </w:pPr>
          </w:p>
        </w:tc>
      </w:tr>
      <w:tr w:rsidR="004644D4" w14:paraId="37E7CD6F" w14:textId="77777777" w:rsidTr="00776A84">
        <w:trPr>
          <w:cantSplit/>
        </w:trPr>
        <w:tc>
          <w:tcPr>
            <w:tcW w:w="1153" w:type="dxa"/>
            <w:tcBorders>
              <w:right w:val="single" w:sz="6" w:space="0" w:color="auto"/>
            </w:tcBorders>
          </w:tcPr>
          <w:p w14:paraId="3180502E"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6 måneder</w:t>
            </w:r>
          </w:p>
        </w:tc>
        <w:tc>
          <w:tcPr>
            <w:tcW w:w="875" w:type="dxa"/>
            <w:tcBorders>
              <w:left w:val="single" w:sz="6" w:space="0" w:color="auto"/>
            </w:tcBorders>
          </w:tcPr>
          <w:p w14:paraId="2290D30C"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13,3 %</w:t>
            </w:r>
          </w:p>
        </w:tc>
        <w:tc>
          <w:tcPr>
            <w:tcW w:w="1723" w:type="dxa"/>
            <w:tcBorders>
              <w:left w:val="nil"/>
              <w:right w:val="single" w:sz="6" w:space="0" w:color="auto"/>
            </w:tcBorders>
          </w:tcPr>
          <w:p w14:paraId="28FD4123"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65,1</w:t>
            </w:r>
            <w:r w:rsidRPr="009C5EFD">
              <w:rPr>
                <w:rFonts w:ascii="Times New Roman" w:hAnsi="Times New Roman"/>
                <w:sz w:val="22"/>
                <w:szCs w:val="22"/>
                <w:lang w:val="nb-NO"/>
              </w:rPr>
              <w:t xml:space="preserve"> %</w:t>
            </w:r>
          </w:p>
        </w:tc>
        <w:tc>
          <w:tcPr>
            <w:tcW w:w="1051" w:type="dxa"/>
            <w:tcBorders>
              <w:left w:val="single" w:sz="6" w:space="0" w:color="auto"/>
            </w:tcBorders>
          </w:tcPr>
          <w:p w14:paraId="16B8A406"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19,1 %</w:t>
            </w:r>
          </w:p>
        </w:tc>
        <w:tc>
          <w:tcPr>
            <w:tcW w:w="1552" w:type="dxa"/>
            <w:tcBorders>
              <w:left w:val="nil"/>
              <w:right w:val="single" w:sz="6" w:space="0" w:color="auto"/>
            </w:tcBorders>
          </w:tcPr>
          <w:p w14:paraId="44793885"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46,0 %</w:t>
            </w:r>
          </w:p>
        </w:tc>
        <w:tc>
          <w:tcPr>
            <w:tcW w:w="890" w:type="dxa"/>
            <w:tcBorders>
              <w:left w:val="single" w:sz="6" w:space="0" w:color="auto"/>
            </w:tcBorders>
          </w:tcPr>
          <w:p w14:paraId="797A24F3"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29,5 %</w:t>
            </w:r>
          </w:p>
        </w:tc>
        <w:tc>
          <w:tcPr>
            <w:tcW w:w="1723" w:type="dxa"/>
            <w:tcBorders>
              <w:left w:val="nil"/>
            </w:tcBorders>
          </w:tcPr>
          <w:p w14:paraId="5DE867ED"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63,3 %</w:t>
            </w:r>
          </w:p>
        </w:tc>
      </w:tr>
      <w:tr w:rsidR="004644D4" w14:paraId="49907F3B" w14:textId="77777777" w:rsidTr="00776A84">
        <w:trPr>
          <w:cantSplit/>
        </w:trPr>
        <w:tc>
          <w:tcPr>
            <w:tcW w:w="1153" w:type="dxa"/>
            <w:tcBorders>
              <w:right w:val="single" w:sz="6" w:space="0" w:color="auto"/>
            </w:tcBorders>
          </w:tcPr>
          <w:p w14:paraId="52C0E919"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12 måneder</w:t>
            </w:r>
          </w:p>
        </w:tc>
        <w:tc>
          <w:tcPr>
            <w:tcW w:w="875" w:type="dxa"/>
            <w:tcBorders>
              <w:left w:val="single" w:sz="6" w:space="0" w:color="auto"/>
            </w:tcBorders>
          </w:tcPr>
          <w:p w14:paraId="4DBB52C0"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NA</w:t>
            </w:r>
          </w:p>
        </w:tc>
        <w:tc>
          <w:tcPr>
            <w:tcW w:w="1723" w:type="dxa"/>
            <w:tcBorders>
              <w:left w:val="nil"/>
              <w:right w:val="single" w:sz="6" w:space="0" w:color="auto"/>
            </w:tcBorders>
          </w:tcPr>
          <w:p w14:paraId="26627475" w14:textId="77777777" w:rsidR="00DD6B6D" w:rsidRPr="00193D76"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NA</w:t>
            </w:r>
          </w:p>
        </w:tc>
        <w:tc>
          <w:tcPr>
            <w:tcW w:w="1051" w:type="dxa"/>
            <w:tcBorders>
              <w:left w:val="single" w:sz="6" w:space="0" w:color="auto"/>
            </w:tcBorders>
          </w:tcPr>
          <w:p w14:paraId="2A1A64C7"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2D0790">
              <w:rPr>
                <w:rFonts w:ascii="Times New Roman" w:hAnsi="Times New Roman"/>
                <w:sz w:val="22"/>
                <w:szCs w:val="22"/>
                <w:lang w:val="nb-NO"/>
              </w:rPr>
              <w:t>NA</w:t>
            </w:r>
          </w:p>
        </w:tc>
        <w:tc>
          <w:tcPr>
            <w:tcW w:w="1552" w:type="dxa"/>
            <w:tcBorders>
              <w:left w:val="nil"/>
              <w:right w:val="single" w:sz="6" w:space="0" w:color="auto"/>
            </w:tcBorders>
          </w:tcPr>
          <w:p w14:paraId="5198E994"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2D0790">
              <w:rPr>
                <w:rFonts w:ascii="Times New Roman" w:hAnsi="Times New Roman"/>
                <w:sz w:val="22"/>
                <w:szCs w:val="22"/>
                <w:lang w:val="nb-NO"/>
              </w:rPr>
              <w:t>NA</w:t>
            </w:r>
          </w:p>
        </w:tc>
        <w:tc>
          <w:tcPr>
            <w:tcW w:w="890" w:type="dxa"/>
            <w:tcBorders>
              <w:left w:val="single" w:sz="6" w:space="0" w:color="auto"/>
            </w:tcBorders>
          </w:tcPr>
          <w:p w14:paraId="7245B0F3"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E14E58">
              <w:rPr>
                <w:rFonts w:ascii="Times New Roman" w:hAnsi="Times New Roman"/>
                <w:sz w:val="22"/>
                <w:szCs w:val="22"/>
                <w:lang w:val="nb-NO"/>
              </w:rPr>
              <w:t>24,0</w:t>
            </w:r>
            <w:r w:rsidRPr="009C5EFD">
              <w:rPr>
                <w:rFonts w:ascii="Times New Roman" w:hAnsi="Times New Roman"/>
                <w:sz w:val="22"/>
                <w:szCs w:val="22"/>
                <w:lang w:val="nb-NO"/>
              </w:rPr>
              <w:t xml:space="preserve"> %</w:t>
            </w:r>
          </w:p>
        </w:tc>
        <w:tc>
          <w:tcPr>
            <w:tcW w:w="1723" w:type="dxa"/>
            <w:tcBorders>
              <w:left w:val="nil"/>
            </w:tcBorders>
          </w:tcPr>
          <w:p w14:paraId="76A2407A"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58,9 %</w:t>
            </w:r>
          </w:p>
        </w:tc>
      </w:tr>
      <w:tr w:rsidR="004644D4" w14:paraId="53C80EB0" w14:textId="77777777" w:rsidTr="00776A84">
        <w:trPr>
          <w:cantSplit/>
        </w:trPr>
        <w:tc>
          <w:tcPr>
            <w:tcW w:w="1153" w:type="dxa"/>
            <w:tcBorders>
              <w:right w:val="single" w:sz="6" w:space="0" w:color="auto"/>
            </w:tcBorders>
          </w:tcPr>
          <w:p w14:paraId="476DDE76"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ACR 50</w:t>
            </w:r>
          </w:p>
        </w:tc>
        <w:tc>
          <w:tcPr>
            <w:tcW w:w="875" w:type="dxa"/>
            <w:tcBorders>
              <w:left w:val="single" w:sz="6" w:space="0" w:color="auto"/>
            </w:tcBorders>
          </w:tcPr>
          <w:p w14:paraId="5CFC4183" w14:textId="77777777" w:rsidR="00DD6B6D" w:rsidRPr="007F67EE" w:rsidRDefault="00DD6B6D" w:rsidP="008B396C">
            <w:pPr>
              <w:pStyle w:val="In-texttable"/>
              <w:keepNext w:val="0"/>
              <w:spacing w:line="240" w:lineRule="auto"/>
              <w:jc w:val="center"/>
              <w:rPr>
                <w:rFonts w:ascii="Times New Roman" w:hAnsi="Times New Roman"/>
                <w:sz w:val="22"/>
                <w:szCs w:val="22"/>
                <w:lang w:val="nb-NO"/>
              </w:rPr>
            </w:pPr>
          </w:p>
        </w:tc>
        <w:tc>
          <w:tcPr>
            <w:tcW w:w="1723" w:type="dxa"/>
            <w:tcBorders>
              <w:left w:val="nil"/>
              <w:right w:val="single" w:sz="6" w:space="0" w:color="auto"/>
            </w:tcBorders>
          </w:tcPr>
          <w:p w14:paraId="546A26F7" w14:textId="77777777" w:rsidR="00DD6B6D" w:rsidRPr="00193D76" w:rsidRDefault="00DD6B6D" w:rsidP="008B396C">
            <w:pPr>
              <w:pStyle w:val="In-texttable"/>
              <w:keepNext w:val="0"/>
              <w:spacing w:line="240" w:lineRule="auto"/>
              <w:jc w:val="center"/>
              <w:rPr>
                <w:rFonts w:ascii="Times New Roman" w:hAnsi="Times New Roman"/>
                <w:sz w:val="22"/>
                <w:szCs w:val="22"/>
                <w:lang w:val="nb-NO"/>
              </w:rPr>
            </w:pPr>
          </w:p>
        </w:tc>
        <w:tc>
          <w:tcPr>
            <w:tcW w:w="1051" w:type="dxa"/>
            <w:tcBorders>
              <w:left w:val="single" w:sz="6" w:space="0" w:color="auto"/>
            </w:tcBorders>
          </w:tcPr>
          <w:p w14:paraId="0765AC8C" w14:textId="77777777" w:rsidR="00DD6B6D" w:rsidRPr="002D0790" w:rsidRDefault="00DD6B6D" w:rsidP="008B396C">
            <w:pPr>
              <w:pStyle w:val="In-texttable"/>
              <w:keepNext w:val="0"/>
              <w:spacing w:line="240" w:lineRule="auto"/>
              <w:jc w:val="center"/>
              <w:rPr>
                <w:rFonts w:ascii="Times New Roman" w:hAnsi="Times New Roman"/>
                <w:sz w:val="22"/>
                <w:szCs w:val="22"/>
                <w:lang w:val="nb-NO"/>
              </w:rPr>
            </w:pPr>
          </w:p>
        </w:tc>
        <w:tc>
          <w:tcPr>
            <w:tcW w:w="1552" w:type="dxa"/>
            <w:tcBorders>
              <w:left w:val="nil"/>
              <w:right w:val="single" w:sz="6" w:space="0" w:color="auto"/>
            </w:tcBorders>
          </w:tcPr>
          <w:p w14:paraId="62993007" w14:textId="77777777" w:rsidR="00DD6B6D" w:rsidRPr="002D0790" w:rsidRDefault="00DD6B6D" w:rsidP="008B396C">
            <w:pPr>
              <w:pStyle w:val="In-texttable"/>
              <w:keepNext w:val="0"/>
              <w:spacing w:line="240" w:lineRule="auto"/>
              <w:jc w:val="center"/>
              <w:rPr>
                <w:rFonts w:ascii="Times New Roman" w:hAnsi="Times New Roman"/>
                <w:sz w:val="22"/>
                <w:szCs w:val="22"/>
                <w:lang w:val="nb-NO"/>
              </w:rPr>
            </w:pPr>
          </w:p>
        </w:tc>
        <w:tc>
          <w:tcPr>
            <w:tcW w:w="890" w:type="dxa"/>
            <w:tcBorders>
              <w:left w:val="single" w:sz="6" w:space="0" w:color="auto"/>
            </w:tcBorders>
          </w:tcPr>
          <w:p w14:paraId="29D46D16" w14:textId="77777777" w:rsidR="00DD6B6D" w:rsidRPr="00E14E58" w:rsidRDefault="00DD6B6D" w:rsidP="008B396C">
            <w:pPr>
              <w:pStyle w:val="In-texttable"/>
              <w:keepNext w:val="0"/>
              <w:spacing w:line="240" w:lineRule="auto"/>
              <w:jc w:val="center"/>
              <w:rPr>
                <w:rFonts w:ascii="Times New Roman" w:hAnsi="Times New Roman"/>
                <w:sz w:val="22"/>
                <w:szCs w:val="22"/>
                <w:lang w:val="nb-NO"/>
              </w:rPr>
            </w:pPr>
          </w:p>
        </w:tc>
        <w:tc>
          <w:tcPr>
            <w:tcW w:w="1723" w:type="dxa"/>
            <w:tcBorders>
              <w:left w:val="nil"/>
            </w:tcBorders>
          </w:tcPr>
          <w:p w14:paraId="5569B816" w14:textId="77777777" w:rsidR="00DD6B6D" w:rsidRPr="009C5EFD" w:rsidRDefault="00DD6B6D" w:rsidP="008B396C">
            <w:pPr>
              <w:pStyle w:val="In-texttable"/>
              <w:keepNext w:val="0"/>
              <w:spacing w:line="240" w:lineRule="auto"/>
              <w:jc w:val="center"/>
              <w:rPr>
                <w:rFonts w:ascii="Times New Roman" w:hAnsi="Times New Roman"/>
                <w:sz w:val="22"/>
                <w:szCs w:val="22"/>
                <w:lang w:val="nb-NO"/>
              </w:rPr>
            </w:pPr>
          </w:p>
        </w:tc>
      </w:tr>
      <w:tr w:rsidR="004644D4" w14:paraId="3EF681C9" w14:textId="77777777" w:rsidTr="00776A84">
        <w:trPr>
          <w:cantSplit/>
        </w:trPr>
        <w:tc>
          <w:tcPr>
            <w:tcW w:w="1153" w:type="dxa"/>
            <w:tcBorders>
              <w:right w:val="single" w:sz="6" w:space="0" w:color="auto"/>
            </w:tcBorders>
          </w:tcPr>
          <w:p w14:paraId="3CE868F4"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6 måneder</w:t>
            </w:r>
          </w:p>
        </w:tc>
        <w:tc>
          <w:tcPr>
            <w:tcW w:w="875" w:type="dxa"/>
            <w:tcBorders>
              <w:left w:val="single" w:sz="6" w:space="0" w:color="auto"/>
            </w:tcBorders>
          </w:tcPr>
          <w:p w14:paraId="3B0F2B83"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6,7 %</w:t>
            </w:r>
          </w:p>
        </w:tc>
        <w:tc>
          <w:tcPr>
            <w:tcW w:w="1723" w:type="dxa"/>
            <w:tcBorders>
              <w:left w:val="nil"/>
              <w:right w:val="single" w:sz="6" w:space="0" w:color="auto"/>
            </w:tcBorders>
          </w:tcPr>
          <w:p w14:paraId="50051662"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52,4</w:t>
            </w:r>
            <w:r w:rsidRPr="009C5EFD">
              <w:rPr>
                <w:rFonts w:ascii="Times New Roman" w:hAnsi="Times New Roman"/>
                <w:sz w:val="22"/>
                <w:szCs w:val="22"/>
                <w:lang w:val="nb-NO"/>
              </w:rPr>
              <w:t xml:space="preserve"> %</w:t>
            </w:r>
          </w:p>
        </w:tc>
        <w:tc>
          <w:tcPr>
            <w:tcW w:w="1051" w:type="dxa"/>
            <w:tcBorders>
              <w:left w:val="single" w:sz="6" w:space="0" w:color="auto"/>
            </w:tcBorders>
          </w:tcPr>
          <w:p w14:paraId="6E38869D"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8,2 %</w:t>
            </w:r>
          </w:p>
        </w:tc>
        <w:tc>
          <w:tcPr>
            <w:tcW w:w="1552" w:type="dxa"/>
            <w:tcBorders>
              <w:left w:val="nil"/>
              <w:right w:val="single" w:sz="6" w:space="0" w:color="auto"/>
            </w:tcBorders>
          </w:tcPr>
          <w:p w14:paraId="09912D26"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22,1 %</w:t>
            </w:r>
          </w:p>
        </w:tc>
        <w:tc>
          <w:tcPr>
            <w:tcW w:w="890" w:type="dxa"/>
            <w:tcBorders>
              <w:left w:val="single" w:sz="6" w:space="0" w:color="auto"/>
            </w:tcBorders>
          </w:tcPr>
          <w:p w14:paraId="217DC4E0"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9,5 %</w:t>
            </w:r>
          </w:p>
        </w:tc>
        <w:tc>
          <w:tcPr>
            <w:tcW w:w="1723" w:type="dxa"/>
            <w:tcBorders>
              <w:left w:val="nil"/>
            </w:tcBorders>
          </w:tcPr>
          <w:p w14:paraId="70F69672"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39,1 %</w:t>
            </w:r>
          </w:p>
        </w:tc>
      </w:tr>
      <w:tr w:rsidR="004644D4" w14:paraId="2C4AF3D5" w14:textId="77777777" w:rsidTr="00776A84">
        <w:trPr>
          <w:cantSplit/>
        </w:trPr>
        <w:tc>
          <w:tcPr>
            <w:tcW w:w="1153" w:type="dxa"/>
            <w:tcBorders>
              <w:right w:val="single" w:sz="6" w:space="0" w:color="auto"/>
            </w:tcBorders>
          </w:tcPr>
          <w:p w14:paraId="11DDC4EE"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12 måneder</w:t>
            </w:r>
          </w:p>
        </w:tc>
        <w:tc>
          <w:tcPr>
            <w:tcW w:w="875" w:type="dxa"/>
            <w:tcBorders>
              <w:left w:val="single" w:sz="6" w:space="0" w:color="auto"/>
            </w:tcBorders>
          </w:tcPr>
          <w:p w14:paraId="03D887D3"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NA</w:t>
            </w:r>
          </w:p>
        </w:tc>
        <w:tc>
          <w:tcPr>
            <w:tcW w:w="1723" w:type="dxa"/>
            <w:tcBorders>
              <w:left w:val="nil"/>
              <w:right w:val="single" w:sz="6" w:space="0" w:color="auto"/>
            </w:tcBorders>
          </w:tcPr>
          <w:p w14:paraId="24DF6752" w14:textId="77777777" w:rsidR="00DD6B6D" w:rsidRPr="00193D76"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NA</w:t>
            </w:r>
          </w:p>
        </w:tc>
        <w:tc>
          <w:tcPr>
            <w:tcW w:w="1051" w:type="dxa"/>
            <w:tcBorders>
              <w:left w:val="single" w:sz="6" w:space="0" w:color="auto"/>
            </w:tcBorders>
          </w:tcPr>
          <w:p w14:paraId="298B7B13"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2D0790">
              <w:rPr>
                <w:rFonts w:ascii="Times New Roman" w:hAnsi="Times New Roman"/>
                <w:sz w:val="22"/>
                <w:szCs w:val="22"/>
                <w:lang w:val="nb-NO"/>
              </w:rPr>
              <w:t>NA</w:t>
            </w:r>
          </w:p>
        </w:tc>
        <w:tc>
          <w:tcPr>
            <w:tcW w:w="1552" w:type="dxa"/>
            <w:tcBorders>
              <w:left w:val="nil"/>
              <w:right w:val="single" w:sz="6" w:space="0" w:color="auto"/>
            </w:tcBorders>
          </w:tcPr>
          <w:p w14:paraId="66FD49EA"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2D0790">
              <w:rPr>
                <w:rFonts w:ascii="Times New Roman" w:hAnsi="Times New Roman"/>
                <w:sz w:val="22"/>
                <w:szCs w:val="22"/>
                <w:lang w:val="nb-NO"/>
              </w:rPr>
              <w:t>NA</w:t>
            </w:r>
          </w:p>
        </w:tc>
        <w:tc>
          <w:tcPr>
            <w:tcW w:w="890" w:type="dxa"/>
            <w:tcBorders>
              <w:left w:val="single" w:sz="6" w:space="0" w:color="auto"/>
            </w:tcBorders>
          </w:tcPr>
          <w:p w14:paraId="1E0970D3"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E14E58">
              <w:rPr>
                <w:rFonts w:ascii="Times New Roman" w:hAnsi="Times New Roman"/>
                <w:sz w:val="22"/>
                <w:szCs w:val="22"/>
                <w:lang w:val="nb-NO"/>
              </w:rPr>
              <w:t>9,5</w:t>
            </w:r>
            <w:r w:rsidRPr="009C5EFD">
              <w:rPr>
                <w:rFonts w:ascii="Times New Roman" w:hAnsi="Times New Roman"/>
                <w:sz w:val="22"/>
                <w:szCs w:val="22"/>
                <w:lang w:val="nb-NO"/>
              </w:rPr>
              <w:t xml:space="preserve"> %</w:t>
            </w:r>
          </w:p>
        </w:tc>
        <w:tc>
          <w:tcPr>
            <w:tcW w:w="1723" w:type="dxa"/>
            <w:tcBorders>
              <w:left w:val="nil"/>
            </w:tcBorders>
          </w:tcPr>
          <w:p w14:paraId="6B3A07D2"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41,5 %</w:t>
            </w:r>
          </w:p>
        </w:tc>
      </w:tr>
      <w:tr w:rsidR="004644D4" w14:paraId="3F4004C4" w14:textId="77777777" w:rsidTr="00776A84">
        <w:trPr>
          <w:cantSplit/>
        </w:trPr>
        <w:tc>
          <w:tcPr>
            <w:tcW w:w="1153" w:type="dxa"/>
            <w:tcBorders>
              <w:right w:val="single" w:sz="6" w:space="0" w:color="auto"/>
            </w:tcBorders>
          </w:tcPr>
          <w:p w14:paraId="527905A0"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Pr>
                <w:rFonts w:ascii="Times New Roman" w:hAnsi="Times New Roman"/>
                <w:noProof/>
                <w:sz w:val="22"/>
                <w:szCs w:val="22"/>
                <w:lang w:val="en-GB" w:eastAsia="en-GB"/>
              </w:rPr>
              <mc:AlternateContent>
                <mc:Choice Requires="wps">
                  <w:drawing>
                    <wp:anchor distT="0" distB="0" distL="114300" distR="114300" simplePos="0" relativeHeight="251658247" behindDoc="0" locked="0" layoutInCell="0" allowOverlap="1" wp14:anchorId="233A1082" wp14:editId="0598179F">
                      <wp:simplePos x="0" y="0"/>
                      <wp:positionH relativeFrom="column">
                        <wp:posOffset>-4972050</wp:posOffset>
                      </wp:positionH>
                      <wp:positionV relativeFrom="paragraph">
                        <wp:posOffset>38735</wp:posOffset>
                      </wp:positionV>
                      <wp:extent cx="3543300" cy="34290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5E39D" w14:textId="77777777" w:rsidR="001F4B85" w:rsidRDefault="001F4B85" w:rsidP="00DD6B6D">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33A1082" id="_x0000_s1027" type="#_x0000_t202" style="position:absolute;margin-left:-391.5pt;margin-top:3.05pt;width:279pt;height:2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" o:allowincell="f" stroked="f">
                      <v:textbox>
                        <w:txbxContent>
                          <w:p w14:paraId="01B5E39D" w14:textId="77777777" w:rsidR="001F4B85" w:rsidRDefault="001F4B85" w:rsidP="00DD6B6D">
                            <w:pPr>
                              <w:rPr>
                                <w:sz w:val="20"/>
                              </w:rPr>
                            </w:pPr>
                          </w:p>
                        </w:txbxContent>
                      </v:textbox>
                    </v:shape>
                  </w:pict>
                </mc:Fallback>
              </mc:AlternateContent>
            </w:r>
            <w:r w:rsidRPr="007F67EE">
              <w:rPr>
                <w:rFonts w:ascii="Times New Roman" w:hAnsi="Times New Roman"/>
                <w:sz w:val="22"/>
                <w:szCs w:val="22"/>
                <w:lang w:val="nb-NO"/>
              </w:rPr>
              <w:t>ACR 70</w:t>
            </w:r>
          </w:p>
        </w:tc>
        <w:tc>
          <w:tcPr>
            <w:tcW w:w="875" w:type="dxa"/>
            <w:tcBorders>
              <w:left w:val="single" w:sz="6" w:space="0" w:color="auto"/>
            </w:tcBorders>
          </w:tcPr>
          <w:p w14:paraId="07D99D66" w14:textId="77777777" w:rsidR="00DD6B6D" w:rsidRPr="007F67EE" w:rsidRDefault="00DD6B6D" w:rsidP="008B396C">
            <w:pPr>
              <w:pStyle w:val="In-texttable"/>
              <w:keepNext w:val="0"/>
              <w:spacing w:line="240" w:lineRule="auto"/>
              <w:jc w:val="center"/>
              <w:rPr>
                <w:rFonts w:ascii="Times New Roman" w:hAnsi="Times New Roman"/>
                <w:sz w:val="22"/>
                <w:szCs w:val="22"/>
                <w:lang w:val="nb-NO"/>
              </w:rPr>
            </w:pPr>
          </w:p>
        </w:tc>
        <w:tc>
          <w:tcPr>
            <w:tcW w:w="1723" w:type="dxa"/>
            <w:tcBorders>
              <w:left w:val="nil"/>
              <w:right w:val="single" w:sz="6" w:space="0" w:color="auto"/>
            </w:tcBorders>
          </w:tcPr>
          <w:p w14:paraId="42781677" w14:textId="77777777" w:rsidR="00DD6B6D" w:rsidRPr="00193D76" w:rsidRDefault="00DD6B6D" w:rsidP="008B396C">
            <w:pPr>
              <w:pStyle w:val="In-texttable"/>
              <w:keepNext w:val="0"/>
              <w:spacing w:line="240" w:lineRule="auto"/>
              <w:jc w:val="center"/>
              <w:rPr>
                <w:rFonts w:ascii="Times New Roman" w:hAnsi="Times New Roman"/>
                <w:sz w:val="22"/>
                <w:szCs w:val="22"/>
                <w:lang w:val="nb-NO"/>
              </w:rPr>
            </w:pPr>
          </w:p>
        </w:tc>
        <w:tc>
          <w:tcPr>
            <w:tcW w:w="1051" w:type="dxa"/>
            <w:tcBorders>
              <w:left w:val="single" w:sz="6" w:space="0" w:color="auto"/>
            </w:tcBorders>
          </w:tcPr>
          <w:p w14:paraId="1402A6DA" w14:textId="77777777" w:rsidR="00DD6B6D" w:rsidRPr="002D0790" w:rsidRDefault="00DD6B6D" w:rsidP="008B396C">
            <w:pPr>
              <w:pStyle w:val="In-texttable"/>
              <w:keepNext w:val="0"/>
              <w:spacing w:line="240" w:lineRule="auto"/>
              <w:jc w:val="center"/>
              <w:rPr>
                <w:rFonts w:ascii="Times New Roman" w:hAnsi="Times New Roman"/>
                <w:sz w:val="22"/>
                <w:szCs w:val="22"/>
                <w:lang w:val="nb-NO"/>
              </w:rPr>
            </w:pPr>
          </w:p>
        </w:tc>
        <w:tc>
          <w:tcPr>
            <w:tcW w:w="1552" w:type="dxa"/>
            <w:tcBorders>
              <w:left w:val="nil"/>
              <w:right w:val="single" w:sz="6" w:space="0" w:color="auto"/>
            </w:tcBorders>
          </w:tcPr>
          <w:p w14:paraId="44C7C7F2" w14:textId="77777777" w:rsidR="00DD6B6D" w:rsidRPr="002D0790" w:rsidRDefault="00DD6B6D" w:rsidP="008B396C">
            <w:pPr>
              <w:pStyle w:val="In-texttable"/>
              <w:keepNext w:val="0"/>
              <w:spacing w:line="240" w:lineRule="auto"/>
              <w:jc w:val="center"/>
              <w:rPr>
                <w:rFonts w:ascii="Times New Roman" w:hAnsi="Times New Roman"/>
                <w:sz w:val="22"/>
                <w:szCs w:val="22"/>
                <w:lang w:val="nb-NO"/>
              </w:rPr>
            </w:pPr>
          </w:p>
        </w:tc>
        <w:tc>
          <w:tcPr>
            <w:tcW w:w="890" w:type="dxa"/>
            <w:tcBorders>
              <w:left w:val="single" w:sz="6" w:space="0" w:color="auto"/>
            </w:tcBorders>
          </w:tcPr>
          <w:p w14:paraId="3F4E6515" w14:textId="77777777" w:rsidR="00DD6B6D" w:rsidRPr="00E14E58" w:rsidRDefault="00DD6B6D" w:rsidP="008B396C">
            <w:pPr>
              <w:pStyle w:val="In-texttable"/>
              <w:keepNext w:val="0"/>
              <w:spacing w:line="240" w:lineRule="auto"/>
              <w:jc w:val="center"/>
              <w:rPr>
                <w:rFonts w:ascii="Times New Roman" w:hAnsi="Times New Roman"/>
                <w:sz w:val="22"/>
                <w:szCs w:val="22"/>
                <w:lang w:val="nb-NO"/>
              </w:rPr>
            </w:pPr>
          </w:p>
        </w:tc>
        <w:tc>
          <w:tcPr>
            <w:tcW w:w="1723" w:type="dxa"/>
            <w:tcBorders>
              <w:left w:val="nil"/>
            </w:tcBorders>
          </w:tcPr>
          <w:p w14:paraId="3D88AC1F" w14:textId="77777777" w:rsidR="00DD6B6D" w:rsidRPr="009C5EFD" w:rsidRDefault="00DD6B6D" w:rsidP="008B396C">
            <w:pPr>
              <w:pStyle w:val="In-texttable"/>
              <w:keepNext w:val="0"/>
              <w:spacing w:line="240" w:lineRule="auto"/>
              <w:jc w:val="center"/>
              <w:rPr>
                <w:rFonts w:ascii="Times New Roman" w:hAnsi="Times New Roman"/>
                <w:sz w:val="22"/>
                <w:szCs w:val="22"/>
                <w:lang w:val="nb-NO"/>
              </w:rPr>
            </w:pPr>
          </w:p>
        </w:tc>
      </w:tr>
      <w:tr w:rsidR="004644D4" w14:paraId="69FF6BB2" w14:textId="77777777" w:rsidTr="00776A84">
        <w:trPr>
          <w:cantSplit/>
        </w:trPr>
        <w:tc>
          <w:tcPr>
            <w:tcW w:w="1153" w:type="dxa"/>
            <w:tcBorders>
              <w:right w:val="single" w:sz="6" w:space="0" w:color="auto"/>
            </w:tcBorders>
          </w:tcPr>
          <w:p w14:paraId="1603B570"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6 måneder</w:t>
            </w:r>
          </w:p>
        </w:tc>
        <w:tc>
          <w:tcPr>
            <w:tcW w:w="875" w:type="dxa"/>
            <w:tcBorders>
              <w:left w:val="single" w:sz="6" w:space="0" w:color="auto"/>
            </w:tcBorders>
          </w:tcPr>
          <w:p w14:paraId="2754422F"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3,3 %</w:t>
            </w:r>
          </w:p>
        </w:tc>
        <w:tc>
          <w:tcPr>
            <w:tcW w:w="1723" w:type="dxa"/>
            <w:tcBorders>
              <w:left w:val="nil"/>
              <w:right w:val="single" w:sz="6" w:space="0" w:color="auto"/>
            </w:tcBorders>
          </w:tcPr>
          <w:p w14:paraId="667BDD43"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23,8</w:t>
            </w:r>
            <w:r w:rsidRPr="009C5EFD">
              <w:rPr>
                <w:rFonts w:ascii="Times New Roman" w:hAnsi="Times New Roman"/>
                <w:sz w:val="22"/>
                <w:szCs w:val="22"/>
                <w:lang w:val="nb-NO"/>
              </w:rPr>
              <w:t xml:space="preserve"> %</w:t>
            </w:r>
          </w:p>
        </w:tc>
        <w:tc>
          <w:tcPr>
            <w:tcW w:w="1051" w:type="dxa"/>
            <w:tcBorders>
              <w:left w:val="single" w:sz="6" w:space="0" w:color="auto"/>
            </w:tcBorders>
          </w:tcPr>
          <w:p w14:paraId="38E44B87"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1,8 %</w:t>
            </w:r>
          </w:p>
        </w:tc>
        <w:tc>
          <w:tcPr>
            <w:tcW w:w="1552" w:type="dxa"/>
            <w:tcBorders>
              <w:left w:val="nil"/>
              <w:right w:val="single" w:sz="6" w:space="0" w:color="auto"/>
            </w:tcBorders>
          </w:tcPr>
          <w:p w14:paraId="29323B02"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12,4 %</w:t>
            </w:r>
          </w:p>
        </w:tc>
        <w:tc>
          <w:tcPr>
            <w:tcW w:w="890" w:type="dxa"/>
            <w:tcBorders>
              <w:left w:val="single" w:sz="6" w:space="0" w:color="auto"/>
            </w:tcBorders>
          </w:tcPr>
          <w:p w14:paraId="070E81B7"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2,5 %</w:t>
            </w:r>
          </w:p>
        </w:tc>
        <w:tc>
          <w:tcPr>
            <w:tcW w:w="1723" w:type="dxa"/>
            <w:tcBorders>
              <w:left w:val="nil"/>
            </w:tcBorders>
          </w:tcPr>
          <w:p w14:paraId="5292EF9E"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20,8 %</w:t>
            </w:r>
          </w:p>
        </w:tc>
      </w:tr>
      <w:tr w:rsidR="004644D4" w14:paraId="0128FB34" w14:textId="77777777" w:rsidTr="00776A84">
        <w:trPr>
          <w:cantSplit/>
        </w:trPr>
        <w:tc>
          <w:tcPr>
            <w:tcW w:w="1153" w:type="dxa"/>
            <w:tcBorders>
              <w:bottom w:val="single" w:sz="6" w:space="0" w:color="auto"/>
              <w:right w:val="single" w:sz="6" w:space="0" w:color="auto"/>
            </w:tcBorders>
          </w:tcPr>
          <w:p w14:paraId="06D369B4" w14:textId="77777777" w:rsidR="00DD6B6D" w:rsidRPr="007F67EE" w:rsidRDefault="00E453CD" w:rsidP="008B396C">
            <w:pPr>
              <w:pStyle w:val="In-texttable"/>
              <w:keepNext w:val="0"/>
              <w:tabs>
                <w:tab w:val="left" w:pos="144"/>
              </w:tabs>
              <w:spacing w:line="240" w:lineRule="auto"/>
              <w:rPr>
                <w:rFonts w:ascii="Times New Roman" w:hAnsi="Times New Roman"/>
                <w:sz w:val="22"/>
                <w:szCs w:val="22"/>
                <w:lang w:val="nb-NO"/>
              </w:rPr>
            </w:pPr>
            <w:r w:rsidRPr="007F67EE">
              <w:rPr>
                <w:rFonts w:ascii="Times New Roman" w:hAnsi="Times New Roman"/>
                <w:sz w:val="22"/>
                <w:szCs w:val="22"/>
                <w:lang w:val="nb-NO"/>
              </w:rPr>
              <w:t>12 måneder</w:t>
            </w:r>
          </w:p>
        </w:tc>
        <w:tc>
          <w:tcPr>
            <w:tcW w:w="875" w:type="dxa"/>
            <w:tcBorders>
              <w:left w:val="single" w:sz="6" w:space="0" w:color="auto"/>
              <w:bottom w:val="single" w:sz="6" w:space="0" w:color="auto"/>
            </w:tcBorders>
          </w:tcPr>
          <w:p w14:paraId="778AD04A" w14:textId="77777777" w:rsidR="00DD6B6D" w:rsidRPr="007F67EE" w:rsidRDefault="00E453CD" w:rsidP="008B396C">
            <w:pPr>
              <w:pStyle w:val="In-texttable"/>
              <w:keepNext w:val="0"/>
              <w:spacing w:line="240" w:lineRule="auto"/>
              <w:jc w:val="center"/>
              <w:rPr>
                <w:rFonts w:ascii="Times New Roman" w:hAnsi="Times New Roman"/>
                <w:sz w:val="22"/>
                <w:szCs w:val="22"/>
                <w:lang w:val="nb-NO"/>
              </w:rPr>
            </w:pPr>
            <w:r w:rsidRPr="007F67EE">
              <w:rPr>
                <w:rFonts w:ascii="Times New Roman" w:hAnsi="Times New Roman"/>
                <w:sz w:val="22"/>
                <w:szCs w:val="22"/>
                <w:lang w:val="nb-NO"/>
              </w:rPr>
              <w:t>NA</w:t>
            </w:r>
          </w:p>
        </w:tc>
        <w:tc>
          <w:tcPr>
            <w:tcW w:w="1723" w:type="dxa"/>
            <w:tcBorders>
              <w:left w:val="nil"/>
              <w:bottom w:val="single" w:sz="6" w:space="0" w:color="auto"/>
              <w:right w:val="single" w:sz="6" w:space="0" w:color="auto"/>
            </w:tcBorders>
          </w:tcPr>
          <w:p w14:paraId="2365A60A" w14:textId="77777777" w:rsidR="00DD6B6D" w:rsidRPr="00193D76" w:rsidRDefault="00E453CD" w:rsidP="008B396C">
            <w:pPr>
              <w:pStyle w:val="In-texttable"/>
              <w:keepNext w:val="0"/>
              <w:spacing w:line="240" w:lineRule="auto"/>
              <w:jc w:val="center"/>
              <w:rPr>
                <w:rFonts w:ascii="Times New Roman" w:hAnsi="Times New Roman"/>
                <w:sz w:val="22"/>
                <w:szCs w:val="22"/>
                <w:lang w:val="nb-NO"/>
              </w:rPr>
            </w:pPr>
            <w:r w:rsidRPr="00193D76">
              <w:rPr>
                <w:rFonts w:ascii="Times New Roman" w:hAnsi="Times New Roman"/>
                <w:sz w:val="22"/>
                <w:szCs w:val="22"/>
                <w:lang w:val="nb-NO"/>
              </w:rPr>
              <w:t>NA</w:t>
            </w:r>
          </w:p>
        </w:tc>
        <w:tc>
          <w:tcPr>
            <w:tcW w:w="1051" w:type="dxa"/>
            <w:tcBorders>
              <w:left w:val="single" w:sz="6" w:space="0" w:color="auto"/>
              <w:bottom w:val="single" w:sz="6" w:space="0" w:color="auto"/>
            </w:tcBorders>
          </w:tcPr>
          <w:p w14:paraId="0D9F8A8E"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2D0790">
              <w:rPr>
                <w:rFonts w:ascii="Times New Roman" w:hAnsi="Times New Roman"/>
                <w:sz w:val="22"/>
                <w:szCs w:val="22"/>
                <w:lang w:val="nb-NO"/>
              </w:rPr>
              <w:t>NA</w:t>
            </w:r>
          </w:p>
        </w:tc>
        <w:tc>
          <w:tcPr>
            <w:tcW w:w="1552" w:type="dxa"/>
            <w:tcBorders>
              <w:left w:val="nil"/>
              <w:bottom w:val="single" w:sz="6" w:space="0" w:color="auto"/>
              <w:right w:val="single" w:sz="6" w:space="0" w:color="auto"/>
            </w:tcBorders>
          </w:tcPr>
          <w:p w14:paraId="3C93108D" w14:textId="77777777" w:rsidR="00DD6B6D" w:rsidRPr="002D0790" w:rsidRDefault="00E453CD" w:rsidP="008B396C">
            <w:pPr>
              <w:pStyle w:val="In-texttable"/>
              <w:keepNext w:val="0"/>
              <w:spacing w:line="240" w:lineRule="auto"/>
              <w:jc w:val="center"/>
              <w:rPr>
                <w:rFonts w:ascii="Times New Roman" w:hAnsi="Times New Roman"/>
                <w:sz w:val="22"/>
                <w:szCs w:val="22"/>
                <w:lang w:val="nb-NO"/>
              </w:rPr>
            </w:pPr>
            <w:r w:rsidRPr="002D0790">
              <w:rPr>
                <w:rFonts w:ascii="Times New Roman" w:hAnsi="Times New Roman"/>
                <w:sz w:val="22"/>
                <w:szCs w:val="22"/>
                <w:lang w:val="nb-NO"/>
              </w:rPr>
              <w:t>NA</w:t>
            </w:r>
          </w:p>
        </w:tc>
        <w:tc>
          <w:tcPr>
            <w:tcW w:w="890" w:type="dxa"/>
            <w:tcBorders>
              <w:left w:val="single" w:sz="6" w:space="0" w:color="auto"/>
              <w:bottom w:val="single" w:sz="6" w:space="0" w:color="auto"/>
            </w:tcBorders>
          </w:tcPr>
          <w:p w14:paraId="70EEB614"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E14E58">
              <w:rPr>
                <w:rFonts w:ascii="Times New Roman" w:hAnsi="Times New Roman"/>
                <w:sz w:val="22"/>
                <w:szCs w:val="22"/>
                <w:lang w:val="nb-NO"/>
              </w:rPr>
              <w:t>4,5</w:t>
            </w:r>
            <w:r w:rsidRPr="009C5EFD">
              <w:rPr>
                <w:rFonts w:ascii="Times New Roman" w:hAnsi="Times New Roman"/>
                <w:sz w:val="22"/>
                <w:szCs w:val="22"/>
                <w:lang w:val="nb-NO"/>
              </w:rPr>
              <w:t xml:space="preserve"> %</w:t>
            </w:r>
          </w:p>
        </w:tc>
        <w:tc>
          <w:tcPr>
            <w:tcW w:w="1723" w:type="dxa"/>
            <w:tcBorders>
              <w:left w:val="nil"/>
              <w:bottom w:val="single" w:sz="6" w:space="0" w:color="auto"/>
            </w:tcBorders>
          </w:tcPr>
          <w:p w14:paraId="10CC1AB3" w14:textId="77777777" w:rsidR="00DD6B6D" w:rsidRPr="009C5EFD" w:rsidRDefault="00E453CD" w:rsidP="008B396C">
            <w:pPr>
              <w:pStyle w:val="In-texttable"/>
              <w:keepNext w:val="0"/>
              <w:spacing w:line="240" w:lineRule="auto"/>
              <w:jc w:val="center"/>
              <w:rPr>
                <w:rFonts w:ascii="Times New Roman" w:hAnsi="Times New Roman"/>
                <w:sz w:val="22"/>
                <w:szCs w:val="22"/>
                <w:lang w:val="nb-NO"/>
              </w:rPr>
            </w:pPr>
            <w:r w:rsidRPr="009C5EFD">
              <w:rPr>
                <w:rFonts w:ascii="Times New Roman" w:hAnsi="Times New Roman"/>
                <w:sz w:val="22"/>
                <w:szCs w:val="22"/>
                <w:lang w:val="nb-NO"/>
              </w:rPr>
              <w:t>23,2 %</w:t>
            </w:r>
          </w:p>
        </w:tc>
      </w:tr>
      <w:tr w:rsidR="004644D4" w14:paraId="7D121736" w14:textId="77777777" w:rsidTr="008B396C">
        <w:trPr>
          <w:cantSplit/>
        </w:trPr>
        <w:tc>
          <w:tcPr>
            <w:tcW w:w="8967" w:type="dxa"/>
            <w:gridSpan w:val="7"/>
          </w:tcPr>
          <w:p w14:paraId="1C39B9E2" w14:textId="77777777" w:rsidR="00DD6B6D" w:rsidRPr="007F67EE" w:rsidRDefault="00E453CD" w:rsidP="008B396C">
            <w:pPr>
              <w:pStyle w:val="In-textfootnote"/>
              <w:keepNext w:val="0"/>
              <w:spacing w:before="0" w:line="240" w:lineRule="auto"/>
              <w:ind w:left="144" w:hanging="144"/>
              <w:rPr>
                <w:rFonts w:ascii="Times New Roman" w:hAnsi="Times New Roman"/>
                <w:sz w:val="22"/>
                <w:szCs w:val="22"/>
                <w:lang w:val="nb-NO"/>
              </w:rPr>
            </w:pPr>
            <w:r w:rsidRPr="007F67EE">
              <w:rPr>
                <w:rFonts w:ascii="Times New Roman" w:hAnsi="Times New Roman"/>
                <w:sz w:val="22"/>
                <w:szCs w:val="22"/>
                <w:vertAlign w:val="superscript"/>
                <w:lang w:val="nb-NO"/>
              </w:rPr>
              <w:t>a</w:t>
            </w:r>
            <w:r w:rsidRPr="007F67EE">
              <w:rPr>
                <w:rFonts w:ascii="Times New Roman" w:hAnsi="Times New Roman"/>
                <w:sz w:val="22"/>
                <w:szCs w:val="22"/>
                <w:lang w:val="nb-NO"/>
              </w:rPr>
              <w:tab/>
              <w:t>RA-studie I ved 24 uker, RA-studie II ved 26 uker og RA-studie III ved 24 og 52 uker</w:t>
            </w:r>
          </w:p>
          <w:p w14:paraId="6D9CCB39" w14:textId="77777777" w:rsidR="00DD6B6D" w:rsidRPr="007F67EE" w:rsidRDefault="00E453CD" w:rsidP="008B396C">
            <w:pPr>
              <w:pStyle w:val="In-textfootnote"/>
              <w:keepNext w:val="0"/>
              <w:spacing w:before="0" w:line="240" w:lineRule="auto"/>
              <w:ind w:left="144" w:hanging="144"/>
              <w:rPr>
                <w:rFonts w:ascii="Times New Roman" w:hAnsi="Times New Roman"/>
                <w:sz w:val="22"/>
                <w:szCs w:val="22"/>
                <w:lang w:val="nb-NO"/>
              </w:rPr>
            </w:pPr>
            <w:r w:rsidRPr="007F67EE">
              <w:rPr>
                <w:rFonts w:ascii="Times New Roman" w:hAnsi="Times New Roman"/>
                <w:sz w:val="22"/>
                <w:szCs w:val="22"/>
                <w:vertAlign w:val="superscript"/>
                <w:lang w:val="nb-NO"/>
              </w:rPr>
              <w:t>b</w:t>
            </w:r>
            <w:r w:rsidRPr="007F67EE">
              <w:rPr>
                <w:rFonts w:ascii="Times New Roman" w:hAnsi="Times New Roman"/>
                <w:sz w:val="22"/>
                <w:szCs w:val="22"/>
                <w:lang w:val="nb-NO"/>
              </w:rPr>
              <w:tab/>
              <w:t>40 mg Humira administrert annenhver uke</w:t>
            </w:r>
          </w:p>
          <w:p w14:paraId="332D30EC" w14:textId="77777777" w:rsidR="00DD6B6D" w:rsidRPr="001F5D4B" w:rsidRDefault="00E453CD" w:rsidP="008B396C">
            <w:pPr>
              <w:pStyle w:val="In-textfootnote"/>
              <w:keepNext w:val="0"/>
              <w:spacing w:before="0" w:line="240" w:lineRule="auto"/>
              <w:ind w:left="144" w:hanging="144"/>
              <w:rPr>
                <w:rFonts w:ascii="Times New Roman" w:hAnsi="Times New Roman"/>
                <w:sz w:val="22"/>
                <w:szCs w:val="22"/>
                <w:lang w:val="sv-SE"/>
              </w:rPr>
            </w:pPr>
            <w:r w:rsidRPr="001F5D4B">
              <w:rPr>
                <w:rFonts w:ascii="Times New Roman" w:hAnsi="Times New Roman"/>
                <w:sz w:val="22"/>
                <w:szCs w:val="22"/>
                <w:vertAlign w:val="superscript"/>
                <w:lang w:val="sv-SE"/>
              </w:rPr>
              <w:t>c</w:t>
            </w:r>
            <w:r w:rsidRPr="001F5D4B">
              <w:rPr>
                <w:rFonts w:ascii="Times New Roman" w:hAnsi="Times New Roman"/>
                <w:sz w:val="22"/>
                <w:szCs w:val="22"/>
                <w:lang w:val="sv-SE"/>
              </w:rPr>
              <w:t xml:space="preserve"> MTX = metotreksat</w:t>
            </w:r>
          </w:p>
          <w:p w14:paraId="67BA9C7B" w14:textId="77777777" w:rsidR="00DD6B6D" w:rsidRPr="001F5D4B" w:rsidRDefault="00E453CD" w:rsidP="008B396C">
            <w:pPr>
              <w:pStyle w:val="In-textfootnote"/>
              <w:keepNext w:val="0"/>
              <w:spacing w:before="0" w:line="240" w:lineRule="auto"/>
              <w:ind w:left="144" w:hanging="144"/>
              <w:rPr>
                <w:rFonts w:ascii="Times New Roman" w:hAnsi="Times New Roman"/>
                <w:sz w:val="22"/>
                <w:szCs w:val="22"/>
                <w:lang w:val="sv-SE"/>
              </w:rPr>
            </w:pPr>
            <w:r w:rsidRPr="001F5D4B">
              <w:rPr>
                <w:rFonts w:ascii="Times New Roman" w:hAnsi="Times New Roman"/>
                <w:sz w:val="22"/>
                <w:szCs w:val="22"/>
                <w:lang w:val="sv-SE"/>
              </w:rPr>
              <w:t xml:space="preserve">**p &lt; 0,01, Humira </w:t>
            </w:r>
            <w:r w:rsidRPr="001F5D4B">
              <w:rPr>
                <w:rFonts w:ascii="Times New Roman" w:hAnsi="Times New Roman"/>
                <w:i/>
                <w:sz w:val="22"/>
                <w:szCs w:val="22"/>
                <w:lang w:val="sv-SE"/>
              </w:rPr>
              <w:t>versus</w:t>
            </w:r>
            <w:r w:rsidRPr="001F5D4B">
              <w:rPr>
                <w:rFonts w:ascii="Times New Roman" w:hAnsi="Times New Roman"/>
                <w:sz w:val="22"/>
                <w:szCs w:val="22"/>
                <w:lang w:val="sv-SE"/>
              </w:rPr>
              <w:t xml:space="preserve"> placebo</w:t>
            </w:r>
          </w:p>
        </w:tc>
      </w:tr>
    </w:tbl>
    <w:p w14:paraId="3A116E79" w14:textId="77777777" w:rsidR="00DD6B6D" w:rsidRPr="001F5D4B" w:rsidRDefault="00DD6B6D" w:rsidP="00DD6B6D">
      <w:pPr>
        <w:rPr>
          <w:sz w:val="22"/>
          <w:szCs w:val="22"/>
          <w:lang w:val="sv-SE"/>
        </w:rPr>
      </w:pPr>
    </w:p>
    <w:p w14:paraId="49C7FB89" w14:textId="77777777" w:rsidR="00DD6B6D" w:rsidRPr="009C5EFD" w:rsidRDefault="00E453CD" w:rsidP="00DD6B6D">
      <w:pPr>
        <w:rPr>
          <w:sz w:val="22"/>
          <w:szCs w:val="22"/>
        </w:rPr>
      </w:pPr>
      <w:r w:rsidRPr="002D0790">
        <w:rPr>
          <w:sz w:val="22"/>
          <w:szCs w:val="22"/>
        </w:rPr>
        <w:t>I RA-studiene I-IV var det be</w:t>
      </w:r>
      <w:r w:rsidRPr="00E14E58">
        <w:rPr>
          <w:sz w:val="22"/>
          <w:szCs w:val="22"/>
        </w:rPr>
        <w:t>dring etter 24 og 26</w:t>
      </w:r>
      <w:r w:rsidR="00673757">
        <w:rPr>
          <w:sz w:val="22"/>
          <w:szCs w:val="22"/>
        </w:rPr>
        <w:t> </w:t>
      </w:r>
      <w:r w:rsidRPr="00E14E58">
        <w:rPr>
          <w:sz w:val="22"/>
          <w:szCs w:val="22"/>
        </w:rPr>
        <w:t xml:space="preserve">uker sammenlignet med placebo av alle individuelle komponenter for ACR-responskriteriene (antall ømme og hovne ledd, legens og pasientens vurdering </w:t>
      </w:r>
      <w:r w:rsidRPr="00E14E58">
        <w:rPr>
          <w:sz w:val="22"/>
          <w:szCs w:val="22"/>
        </w:rPr>
        <w:lastRenderedPageBreak/>
        <w:t>av sykdomsaktivitet og smerte, uførhetsindeks (HAQ) og CRP-verdier (mg/dl)). I RA-studi</w:t>
      </w:r>
      <w:r w:rsidRPr="009C5EFD">
        <w:rPr>
          <w:sz w:val="22"/>
          <w:szCs w:val="22"/>
        </w:rPr>
        <w:t>e III vedvarte disse forbedringene frem til uke</w:t>
      </w:r>
      <w:r w:rsidR="00673757">
        <w:rPr>
          <w:sz w:val="22"/>
          <w:szCs w:val="22"/>
        </w:rPr>
        <w:t> </w:t>
      </w:r>
      <w:r w:rsidRPr="009C5EFD">
        <w:rPr>
          <w:sz w:val="22"/>
          <w:szCs w:val="22"/>
        </w:rPr>
        <w:t xml:space="preserve">52. </w:t>
      </w:r>
    </w:p>
    <w:p w14:paraId="18099FF9" w14:textId="77777777" w:rsidR="00DD6B6D" w:rsidRPr="009C5EFD" w:rsidRDefault="00DD6B6D" w:rsidP="00DD6B6D">
      <w:pPr>
        <w:rPr>
          <w:sz w:val="22"/>
          <w:szCs w:val="22"/>
        </w:rPr>
      </w:pPr>
    </w:p>
    <w:p w14:paraId="444AC7D5" w14:textId="77777777" w:rsidR="00DD6B6D" w:rsidRPr="009C5EFD" w:rsidRDefault="00E453CD" w:rsidP="00DD6B6D">
      <w:pPr>
        <w:rPr>
          <w:sz w:val="22"/>
          <w:szCs w:val="22"/>
        </w:rPr>
      </w:pPr>
      <w:r w:rsidRPr="009C5EFD">
        <w:rPr>
          <w:sz w:val="22"/>
          <w:szCs w:val="22"/>
        </w:rPr>
        <w:t>I den åpne forlengelsen av RA-studie III, vedlikeholdt de fleste pasientene som var ACR respondere sin respons ved oppfølging i opptil 10</w:t>
      </w:r>
      <w:r w:rsidR="00673757">
        <w:rPr>
          <w:sz w:val="22"/>
          <w:szCs w:val="22"/>
        </w:rPr>
        <w:t> </w:t>
      </w:r>
      <w:r w:rsidRPr="009C5EFD">
        <w:rPr>
          <w:sz w:val="22"/>
          <w:szCs w:val="22"/>
        </w:rPr>
        <w:t>år. Av 207</w:t>
      </w:r>
      <w:r w:rsidR="00673757">
        <w:rPr>
          <w:sz w:val="22"/>
          <w:szCs w:val="22"/>
        </w:rPr>
        <w:t> </w:t>
      </w:r>
      <w:r w:rsidRPr="009C5EFD">
        <w:rPr>
          <w:sz w:val="22"/>
          <w:szCs w:val="22"/>
        </w:rPr>
        <w:t>pasienter som ble randomisert til 40</w:t>
      </w:r>
      <w:r w:rsidR="00673757">
        <w:rPr>
          <w:sz w:val="22"/>
          <w:szCs w:val="22"/>
        </w:rPr>
        <w:t> </w:t>
      </w:r>
      <w:r w:rsidRPr="009C5EFD">
        <w:rPr>
          <w:sz w:val="22"/>
          <w:szCs w:val="22"/>
        </w:rPr>
        <w:t>mg Humira annenhver uke, fortsatte 114</w:t>
      </w:r>
      <w:r w:rsidR="00673757">
        <w:rPr>
          <w:sz w:val="22"/>
          <w:szCs w:val="22"/>
        </w:rPr>
        <w:t> </w:t>
      </w:r>
      <w:r w:rsidRPr="009C5EFD">
        <w:rPr>
          <w:sz w:val="22"/>
          <w:szCs w:val="22"/>
        </w:rPr>
        <w:t>pasienter behandling med 40</w:t>
      </w:r>
      <w:r w:rsidR="00673757">
        <w:rPr>
          <w:sz w:val="22"/>
          <w:szCs w:val="22"/>
        </w:rPr>
        <w:t> </w:t>
      </w:r>
      <w:r w:rsidRPr="009C5EFD">
        <w:rPr>
          <w:sz w:val="22"/>
          <w:szCs w:val="22"/>
        </w:rPr>
        <w:t>mg Humira annenhver uke i 5</w:t>
      </w:r>
      <w:r w:rsidR="00673757">
        <w:rPr>
          <w:sz w:val="22"/>
          <w:szCs w:val="22"/>
        </w:rPr>
        <w:t> </w:t>
      </w:r>
      <w:r w:rsidRPr="009C5EFD">
        <w:rPr>
          <w:sz w:val="22"/>
          <w:szCs w:val="22"/>
        </w:rPr>
        <w:t>år. Blant disse hadde 86</w:t>
      </w:r>
      <w:r w:rsidR="00673757">
        <w:rPr>
          <w:sz w:val="22"/>
          <w:szCs w:val="22"/>
        </w:rPr>
        <w:t> </w:t>
      </w:r>
      <w:r w:rsidRPr="009C5EFD">
        <w:rPr>
          <w:sz w:val="22"/>
          <w:szCs w:val="22"/>
        </w:rPr>
        <w:t>pasienter (75,4</w:t>
      </w:r>
      <w:r w:rsidR="00673757">
        <w:rPr>
          <w:sz w:val="22"/>
          <w:szCs w:val="22"/>
        </w:rPr>
        <w:t> </w:t>
      </w:r>
      <w:r w:rsidRPr="009C5EFD">
        <w:rPr>
          <w:sz w:val="22"/>
          <w:szCs w:val="22"/>
        </w:rPr>
        <w:t>%) ACR</w:t>
      </w:r>
      <w:r w:rsidR="00673757">
        <w:rPr>
          <w:sz w:val="22"/>
          <w:szCs w:val="22"/>
        </w:rPr>
        <w:t> </w:t>
      </w:r>
      <w:r w:rsidRPr="009C5EFD">
        <w:rPr>
          <w:sz w:val="22"/>
          <w:szCs w:val="22"/>
        </w:rPr>
        <w:t>20</w:t>
      </w:r>
      <w:r w:rsidR="00673757">
        <w:rPr>
          <w:sz w:val="22"/>
          <w:szCs w:val="22"/>
        </w:rPr>
        <w:t> </w:t>
      </w:r>
      <w:r w:rsidRPr="009C5EFD">
        <w:rPr>
          <w:sz w:val="22"/>
          <w:szCs w:val="22"/>
        </w:rPr>
        <w:t>respons, 72</w:t>
      </w:r>
      <w:r w:rsidR="00673757">
        <w:rPr>
          <w:sz w:val="22"/>
          <w:szCs w:val="22"/>
        </w:rPr>
        <w:t> </w:t>
      </w:r>
      <w:r w:rsidRPr="009C5EFD">
        <w:rPr>
          <w:sz w:val="22"/>
          <w:szCs w:val="22"/>
        </w:rPr>
        <w:t>pasienter (63,2</w:t>
      </w:r>
      <w:r w:rsidR="00673757">
        <w:rPr>
          <w:sz w:val="22"/>
          <w:szCs w:val="22"/>
        </w:rPr>
        <w:t> </w:t>
      </w:r>
      <w:r w:rsidRPr="009C5EFD">
        <w:rPr>
          <w:sz w:val="22"/>
          <w:szCs w:val="22"/>
        </w:rPr>
        <w:t>%) hadde ACR</w:t>
      </w:r>
      <w:r w:rsidR="00673757">
        <w:rPr>
          <w:sz w:val="22"/>
          <w:szCs w:val="22"/>
        </w:rPr>
        <w:t> </w:t>
      </w:r>
      <w:r w:rsidRPr="009C5EFD">
        <w:rPr>
          <w:sz w:val="22"/>
          <w:szCs w:val="22"/>
        </w:rPr>
        <w:t>50</w:t>
      </w:r>
      <w:r w:rsidR="00673757">
        <w:rPr>
          <w:sz w:val="22"/>
          <w:szCs w:val="22"/>
        </w:rPr>
        <w:t> </w:t>
      </w:r>
      <w:r w:rsidRPr="009C5EFD">
        <w:rPr>
          <w:sz w:val="22"/>
          <w:szCs w:val="22"/>
        </w:rPr>
        <w:t>respons og 41</w:t>
      </w:r>
      <w:r w:rsidR="00673757">
        <w:rPr>
          <w:sz w:val="22"/>
          <w:szCs w:val="22"/>
        </w:rPr>
        <w:t> </w:t>
      </w:r>
      <w:r w:rsidRPr="009C5EFD">
        <w:rPr>
          <w:sz w:val="22"/>
          <w:szCs w:val="22"/>
        </w:rPr>
        <w:t>pasienter (36,0</w:t>
      </w:r>
      <w:r w:rsidR="00673757">
        <w:rPr>
          <w:sz w:val="22"/>
          <w:szCs w:val="22"/>
        </w:rPr>
        <w:t> </w:t>
      </w:r>
      <w:r w:rsidRPr="009C5EFD">
        <w:rPr>
          <w:sz w:val="22"/>
          <w:szCs w:val="22"/>
        </w:rPr>
        <w:t>%) hadde ACR</w:t>
      </w:r>
      <w:r w:rsidR="00673757">
        <w:rPr>
          <w:sz w:val="22"/>
          <w:szCs w:val="22"/>
        </w:rPr>
        <w:t> </w:t>
      </w:r>
      <w:r w:rsidRPr="009C5EFD">
        <w:rPr>
          <w:sz w:val="22"/>
          <w:szCs w:val="22"/>
        </w:rPr>
        <w:t>70</w:t>
      </w:r>
      <w:r w:rsidR="00673757">
        <w:rPr>
          <w:sz w:val="22"/>
          <w:szCs w:val="22"/>
        </w:rPr>
        <w:t> </w:t>
      </w:r>
      <w:r w:rsidRPr="009C5EFD">
        <w:rPr>
          <w:sz w:val="22"/>
          <w:szCs w:val="22"/>
        </w:rPr>
        <w:t>respons. Av 207</w:t>
      </w:r>
      <w:r w:rsidR="00673757">
        <w:rPr>
          <w:sz w:val="22"/>
          <w:szCs w:val="22"/>
        </w:rPr>
        <w:t> </w:t>
      </w:r>
      <w:r w:rsidRPr="009C5EFD">
        <w:rPr>
          <w:sz w:val="22"/>
          <w:szCs w:val="22"/>
        </w:rPr>
        <w:t>pasienter fortsatte 81</w:t>
      </w:r>
      <w:r w:rsidR="00673757">
        <w:rPr>
          <w:sz w:val="22"/>
          <w:szCs w:val="22"/>
        </w:rPr>
        <w:t> </w:t>
      </w:r>
      <w:r w:rsidR="003B49EC">
        <w:rPr>
          <w:sz w:val="22"/>
          <w:szCs w:val="22"/>
        </w:rPr>
        <w:t xml:space="preserve">pasienter </w:t>
      </w:r>
      <w:r w:rsidR="00F173C4">
        <w:rPr>
          <w:sz w:val="22"/>
          <w:szCs w:val="22"/>
        </w:rPr>
        <w:t>med</w:t>
      </w:r>
      <w:r w:rsidRPr="009C5EFD">
        <w:rPr>
          <w:sz w:val="22"/>
          <w:szCs w:val="22"/>
        </w:rPr>
        <w:t xml:space="preserve"> 40</w:t>
      </w:r>
      <w:r w:rsidR="00673757">
        <w:rPr>
          <w:sz w:val="22"/>
          <w:szCs w:val="22"/>
        </w:rPr>
        <w:t> </w:t>
      </w:r>
      <w:r w:rsidRPr="009C5EFD">
        <w:rPr>
          <w:sz w:val="22"/>
          <w:szCs w:val="22"/>
        </w:rPr>
        <w:t>mg Humira annenhver uke i 10</w:t>
      </w:r>
      <w:r w:rsidR="00673757">
        <w:rPr>
          <w:sz w:val="22"/>
          <w:szCs w:val="22"/>
        </w:rPr>
        <w:t> </w:t>
      </w:r>
      <w:r w:rsidRPr="009C5EFD">
        <w:rPr>
          <w:sz w:val="22"/>
          <w:szCs w:val="22"/>
        </w:rPr>
        <w:t>år. Blant disse hadde 64</w:t>
      </w:r>
      <w:r w:rsidR="00673757">
        <w:rPr>
          <w:sz w:val="22"/>
          <w:szCs w:val="22"/>
        </w:rPr>
        <w:t> </w:t>
      </w:r>
      <w:r w:rsidRPr="009C5EFD">
        <w:rPr>
          <w:sz w:val="22"/>
          <w:szCs w:val="22"/>
        </w:rPr>
        <w:t>pasienter (79,0</w:t>
      </w:r>
      <w:r w:rsidR="00673757">
        <w:rPr>
          <w:sz w:val="22"/>
          <w:szCs w:val="22"/>
        </w:rPr>
        <w:t> </w:t>
      </w:r>
      <w:r w:rsidRPr="009C5EFD">
        <w:rPr>
          <w:sz w:val="22"/>
          <w:szCs w:val="22"/>
        </w:rPr>
        <w:t>%) ACR</w:t>
      </w:r>
      <w:r w:rsidR="00673757">
        <w:rPr>
          <w:sz w:val="22"/>
          <w:szCs w:val="22"/>
        </w:rPr>
        <w:t> </w:t>
      </w:r>
      <w:r w:rsidRPr="009C5EFD">
        <w:rPr>
          <w:sz w:val="22"/>
          <w:szCs w:val="22"/>
        </w:rPr>
        <w:t>20</w:t>
      </w:r>
      <w:r w:rsidR="00673757">
        <w:rPr>
          <w:sz w:val="22"/>
          <w:szCs w:val="22"/>
        </w:rPr>
        <w:t> </w:t>
      </w:r>
      <w:r w:rsidRPr="009C5EFD">
        <w:rPr>
          <w:sz w:val="22"/>
          <w:szCs w:val="22"/>
        </w:rPr>
        <w:t>respons, 56</w:t>
      </w:r>
      <w:r w:rsidR="00673757">
        <w:rPr>
          <w:sz w:val="22"/>
          <w:szCs w:val="22"/>
        </w:rPr>
        <w:t> </w:t>
      </w:r>
      <w:r w:rsidRPr="009C5EFD">
        <w:rPr>
          <w:sz w:val="22"/>
          <w:szCs w:val="22"/>
        </w:rPr>
        <w:t>pasienter (69,1</w:t>
      </w:r>
      <w:r w:rsidR="00673757">
        <w:rPr>
          <w:sz w:val="22"/>
          <w:szCs w:val="22"/>
        </w:rPr>
        <w:t> </w:t>
      </w:r>
      <w:r w:rsidRPr="009C5EFD">
        <w:rPr>
          <w:sz w:val="22"/>
          <w:szCs w:val="22"/>
        </w:rPr>
        <w:t>%) hadde ACR</w:t>
      </w:r>
      <w:r w:rsidR="00673757">
        <w:rPr>
          <w:sz w:val="22"/>
          <w:szCs w:val="22"/>
        </w:rPr>
        <w:t> </w:t>
      </w:r>
      <w:r w:rsidRPr="009C5EFD">
        <w:rPr>
          <w:sz w:val="22"/>
          <w:szCs w:val="22"/>
        </w:rPr>
        <w:t>50</w:t>
      </w:r>
      <w:r w:rsidR="00673757">
        <w:rPr>
          <w:sz w:val="22"/>
          <w:szCs w:val="22"/>
        </w:rPr>
        <w:t> </w:t>
      </w:r>
      <w:r w:rsidRPr="009C5EFD">
        <w:rPr>
          <w:sz w:val="22"/>
          <w:szCs w:val="22"/>
        </w:rPr>
        <w:t>respons og 43</w:t>
      </w:r>
      <w:r w:rsidR="00673757">
        <w:rPr>
          <w:sz w:val="22"/>
          <w:szCs w:val="22"/>
        </w:rPr>
        <w:t> </w:t>
      </w:r>
      <w:r w:rsidRPr="009C5EFD">
        <w:rPr>
          <w:sz w:val="22"/>
          <w:szCs w:val="22"/>
        </w:rPr>
        <w:t>pasienter (53,1</w:t>
      </w:r>
      <w:r w:rsidR="00673757">
        <w:rPr>
          <w:sz w:val="22"/>
          <w:szCs w:val="22"/>
        </w:rPr>
        <w:t> </w:t>
      </w:r>
      <w:r w:rsidRPr="009C5EFD">
        <w:rPr>
          <w:sz w:val="22"/>
          <w:szCs w:val="22"/>
        </w:rPr>
        <w:t>%) hadde ACR</w:t>
      </w:r>
      <w:r w:rsidR="00673757">
        <w:rPr>
          <w:sz w:val="22"/>
          <w:szCs w:val="22"/>
        </w:rPr>
        <w:t> </w:t>
      </w:r>
      <w:r w:rsidRPr="009C5EFD">
        <w:rPr>
          <w:sz w:val="22"/>
          <w:szCs w:val="22"/>
        </w:rPr>
        <w:t>70</w:t>
      </w:r>
      <w:r w:rsidR="00673757">
        <w:rPr>
          <w:sz w:val="22"/>
          <w:szCs w:val="22"/>
        </w:rPr>
        <w:t> </w:t>
      </w:r>
      <w:r w:rsidRPr="009C5EFD">
        <w:rPr>
          <w:sz w:val="22"/>
          <w:szCs w:val="22"/>
        </w:rPr>
        <w:t xml:space="preserve">respons. </w:t>
      </w:r>
    </w:p>
    <w:p w14:paraId="03E10EF3" w14:textId="77777777" w:rsidR="00DD6B6D" w:rsidRPr="009C5EFD" w:rsidRDefault="00DD6B6D" w:rsidP="00DD6B6D">
      <w:pPr>
        <w:rPr>
          <w:sz w:val="22"/>
          <w:szCs w:val="22"/>
        </w:rPr>
      </w:pPr>
    </w:p>
    <w:p w14:paraId="6C072836" w14:textId="77777777" w:rsidR="00DD6B6D" w:rsidRPr="009C5EFD" w:rsidRDefault="00E453CD" w:rsidP="00DD6B6D">
      <w:pPr>
        <w:rPr>
          <w:sz w:val="22"/>
          <w:szCs w:val="22"/>
        </w:rPr>
      </w:pPr>
      <w:r w:rsidRPr="009C5EFD">
        <w:rPr>
          <w:sz w:val="22"/>
          <w:szCs w:val="22"/>
        </w:rPr>
        <w:t>I RA-studie IV var ACR</w:t>
      </w:r>
      <w:r w:rsidR="00673757">
        <w:rPr>
          <w:sz w:val="22"/>
          <w:szCs w:val="22"/>
        </w:rPr>
        <w:t> </w:t>
      </w:r>
      <w:r w:rsidRPr="009C5EFD">
        <w:rPr>
          <w:sz w:val="22"/>
          <w:szCs w:val="22"/>
        </w:rPr>
        <w:t>20-respons hos pasienter som fikk Humira samt standardomsorg statistisk signifikant bedre enn hos pasienter som fikk placebo samt standardomsorg (p</w:t>
      </w:r>
      <w:r w:rsidR="00836BD4">
        <w:rPr>
          <w:sz w:val="22"/>
          <w:szCs w:val="22"/>
        </w:rPr>
        <w:t> </w:t>
      </w:r>
      <w:r w:rsidRPr="009C5EFD">
        <w:rPr>
          <w:sz w:val="22"/>
          <w:szCs w:val="22"/>
        </w:rPr>
        <w:t xml:space="preserve"> &lt;</w:t>
      </w:r>
      <w:r w:rsidR="00836BD4">
        <w:rPr>
          <w:sz w:val="22"/>
          <w:szCs w:val="22"/>
        </w:rPr>
        <w:t> </w:t>
      </w:r>
      <w:r w:rsidRPr="009C5EFD">
        <w:rPr>
          <w:sz w:val="22"/>
          <w:szCs w:val="22"/>
        </w:rPr>
        <w:t xml:space="preserve">0,001). </w:t>
      </w:r>
    </w:p>
    <w:p w14:paraId="699E98B3" w14:textId="77777777" w:rsidR="00DD6B6D" w:rsidRPr="009C5EFD" w:rsidRDefault="00DD6B6D" w:rsidP="00DD6B6D">
      <w:pPr>
        <w:rPr>
          <w:sz w:val="22"/>
          <w:szCs w:val="22"/>
        </w:rPr>
      </w:pPr>
    </w:p>
    <w:p w14:paraId="0454F940" w14:textId="77777777" w:rsidR="00DD6B6D" w:rsidRPr="009C5EFD" w:rsidRDefault="00E453CD" w:rsidP="00DD6B6D">
      <w:pPr>
        <w:rPr>
          <w:sz w:val="22"/>
          <w:szCs w:val="22"/>
        </w:rPr>
      </w:pPr>
      <w:r w:rsidRPr="009C5EFD">
        <w:rPr>
          <w:sz w:val="22"/>
          <w:szCs w:val="22"/>
        </w:rPr>
        <w:t>I RA-studiene I-IV oppnådde Humira-behandlede pasienter statistisk signifikant ACR</w:t>
      </w:r>
      <w:r w:rsidR="00673757">
        <w:rPr>
          <w:sz w:val="22"/>
          <w:szCs w:val="22"/>
        </w:rPr>
        <w:t> </w:t>
      </w:r>
      <w:r w:rsidRPr="009C5EFD">
        <w:rPr>
          <w:sz w:val="22"/>
          <w:szCs w:val="22"/>
        </w:rPr>
        <w:t xml:space="preserve">20- og 50-respons sammenlignet med placebo så tidlig som en til to uker etter at behandlingen var initiert. </w:t>
      </w:r>
    </w:p>
    <w:p w14:paraId="4AEAC725" w14:textId="77777777" w:rsidR="00DD6B6D" w:rsidRPr="009C5EFD" w:rsidRDefault="00DD6B6D" w:rsidP="00DD6B6D">
      <w:pPr>
        <w:rPr>
          <w:sz w:val="22"/>
          <w:szCs w:val="22"/>
        </w:rPr>
      </w:pPr>
    </w:p>
    <w:p w14:paraId="2BE6A771" w14:textId="77777777" w:rsidR="00DD6B6D" w:rsidRPr="009C5EFD" w:rsidRDefault="00E453CD" w:rsidP="00DD6B6D">
      <w:pPr>
        <w:rPr>
          <w:sz w:val="22"/>
          <w:szCs w:val="22"/>
        </w:rPr>
      </w:pPr>
      <w:r w:rsidRPr="009C5EFD">
        <w:rPr>
          <w:sz w:val="22"/>
          <w:szCs w:val="22"/>
        </w:rPr>
        <w:t xml:space="preserve">I RA-studie V med pasienter med tidlig revmatoid artritt og som ikke tidligere var behandlet med metotreksat, førte kombinasjonsbehandlingen med Humira og metotreksat til raskere og signifikant større ACR-responser enn metotreksat monoterapi </w:t>
      </w:r>
      <w:r w:rsidR="00CB4543">
        <w:rPr>
          <w:sz w:val="22"/>
          <w:szCs w:val="22"/>
        </w:rPr>
        <w:t xml:space="preserve">og Humira monoterapi </w:t>
      </w:r>
      <w:r w:rsidRPr="009C5EFD">
        <w:rPr>
          <w:sz w:val="22"/>
          <w:szCs w:val="22"/>
        </w:rPr>
        <w:t>ved uke</w:t>
      </w:r>
      <w:r w:rsidR="00836BD4">
        <w:rPr>
          <w:sz w:val="22"/>
          <w:szCs w:val="22"/>
        </w:rPr>
        <w:t> </w:t>
      </w:r>
      <w:r w:rsidRPr="009C5EFD">
        <w:rPr>
          <w:sz w:val="22"/>
          <w:szCs w:val="22"/>
        </w:rPr>
        <w:t>52, og responsene vedvarte ved uke</w:t>
      </w:r>
      <w:r w:rsidR="00836BD4">
        <w:rPr>
          <w:sz w:val="22"/>
          <w:szCs w:val="22"/>
        </w:rPr>
        <w:t> </w:t>
      </w:r>
      <w:r w:rsidRPr="009C5EFD">
        <w:rPr>
          <w:sz w:val="22"/>
          <w:szCs w:val="22"/>
        </w:rPr>
        <w:t>104 (se tabell</w:t>
      </w:r>
      <w:r w:rsidR="00836BD4">
        <w:rPr>
          <w:sz w:val="22"/>
          <w:szCs w:val="22"/>
        </w:rPr>
        <w:t> </w:t>
      </w:r>
      <w:r w:rsidR="00A457B0">
        <w:rPr>
          <w:sz w:val="22"/>
          <w:szCs w:val="22"/>
        </w:rPr>
        <w:t>8</w:t>
      </w:r>
      <w:r w:rsidRPr="009C5EFD">
        <w:rPr>
          <w:sz w:val="22"/>
          <w:szCs w:val="22"/>
        </w:rPr>
        <w:t>).</w:t>
      </w:r>
    </w:p>
    <w:p w14:paraId="4AB25B17" w14:textId="77777777" w:rsidR="00DD6B6D" w:rsidRPr="009C5EFD" w:rsidRDefault="00DD6B6D" w:rsidP="00D35625">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1664"/>
        <w:gridCol w:w="1281"/>
        <w:gridCol w:w="1294"/>
        <w:gridCol w:w="1573"/>
        <w:gridCol w:w="1076"/>
        <w:gridCol w:w="1144"/>
        <w:gridCol w:w="1018"/>
        <w:gridCol w:w="9"/>
      </w:tblGrid>
      <w:tr w:rsidR="004644D4" w14:paraId="1E6C2D0E" w14:textId="77777777" w:rsidTr="008B396C">
        <w:trPr>
          <w:gridBefore w:val="1"/>
          <w:wBefore w:w="6" w:type="dxa"/>
          <w:cantSplit/>
          <w:jc w:val="center"/>
        </w:trPr>
        <w:tc>
          <w:tcPr>
            <w:tcW w:w="9254" w:type="dxa"/>
            <w:gridSpan w:val="8"/>
            <w:tcBorders>
              <w:top w:val="nil"/>
              <w:left w:val="nil"/>
              <w:bottom w:val="nil"/>
              <w:right w:val="nil"/>
            </w:tcBorders>
          </w:tcPr>
          <w:p w14:paraId="375D4E4F" w14:textId="77777777" w:rsidR="00DD6B6D" w:rsidRPr="009C5EFD" w:rsidRDefault="00E453CD" w:rsidP="00D35625">
            <w:pPr>
              <w:pStyle w:val="BodyText"/>
              <w:keepNext/>
              <w:tabs>
                <w:tab w:val="left" w:pos="3600"/>
                <w:tab w:val="center" w:pos="5760"/>
              </w:tabs>
              <w:jc w:val="center"/>
              <w:rPr>
                <w:noProof w:val="0"/>
                <w:szCs w:val="22"/>
              </w:rPr>
            </w:pPr>
            <w:r w:rsidRPr="009C5EFD">
              <w:rPr>
                <w:noProof w:val="0"/>
                <w:szCs w:val="22"/>
              </w:rPr>
              <w:t xml:space="preserve">Tabell </w:t>
            </w:r>
            <w:r w:rsidR="00A457B0">
              <w:rPr>
                <w:noProof w:val="0"/>
                <w:szCs w:val="22"/>
              </w:rPr>
              <w:t>8</w:t>
            </w:r>
          </w:p>
          <w:p w14:paraId="1191F515" w14:textId="77777777" w:rsidR="00DD6B6D" w:rsidRPr="009C5EFD" w:rsidRDefault="00E453CD" w:rsidP="00D35625">
            <w:pPr>
              <w:pStyle w:val="BodyText"/>
              <w:keepNext/>
              <w:tabs>
                <w:tab w:val="left" w:pos="3600"/>
                <w:tab w:val="center" w:pos="5760"/>
              </w:tabs>
              <w:jc w:val="center"/>
              <w:rPr>
                <w:noProof w:val="0"/>
                <w:szCs w:val="22"/>
              </w:rPr>
            </w:pPr>
            <w:r w:rsidRPr="009C5EFD">
              <w:rPr>
                <w:noProof w:val="0"/>
                <w:szCs w:val="22"/>
              </w:rPr>
              <w:t>ACR-responser i RA-studie V</w:t>
            </w:r>
          </w:p>
          <w:p w14:paraId="2773EBF0" w14:textId="77777777" w:rsidR="00DD6B6D" w:rsidRPr="009C5EFD" w:rsidRDefault="00E453CD" w:rsidP="00D35625">
            <w:pPr>
              <w:pStyle w:val="BodyText"/>
              <w:keepNext/>
              <w:tabs>
                <w:tab w:val="left" w:pos="3600"/>
                <w:tab w:val="center" w:pos="5760"/>
              </w:tabs>
              <w:jc w:val="center"/>
              <w:rPr>
                <w:i/>
                <w:caps/>
                <w:noProof w:val="0"/>
                <w:szCs w:val="22"/>
              </w:rPr>
            </w:pPr>
            <w:r w:rsidRPr="009C5EFD">
              <w:rPr>
                <w:noProof w:val="0"/>
                <w:szCs w:val="22"/>
              </w:rPr>
              <w:t>(prosent av pasientene</w:t>
            </w:r>
            <w:r w:rsidRPr="009C5EFD">
              <w:rPr>
                <w:caps/>
                <w:noProof w:val="0"/>
                <w:szCs w:val="22"/>
              </w:rPr>
              <w:t>)</w:t>
            </w:r>
          </w:p>
          <w:p w14:paraId="252F30B4" w14:textId="77777777" w:rsidR="00DD6B6D" w:rsidRPr="009C5EFD" w:rsidRDefault="00DD6B6D" w:rsidP="00D35625">
            <w:pPr>
              <w:pStyle w:val="BodyText"/>
              <w:keepNext/>
              <w:tabs>
                <w:tab w:val="left" w:pos="3600"/>
                <w:tab w:val="center" w:pos="5760"/>
              </w:tabs>
              <w:jc w:val="center"/>
              <w:rPr>
                <w:i/>
                <w:noProof w:val="0"/>
                <w:szCs w:val="22"/>
              </w:rPr>
            </w:pPr>
          </w:p>
        </w:tc>
      </w:tr>
      <w:tr w:rsidR="004644D4" w14:paraId="11610D57" w14:textId="77777777" w:rsidTr="008B396C">
        <w:trPr>
          <w:gridAfter w:val="1"/>
          <w:wAfter w:w="9" w:type="dxa"/>
          <w:cantSplit/>
          <w:jc w:val="center"/>
        </w:trPr>
        <w:tc>
          <w:tcPr>
            <w:tcW w:w="1724" w:type="dxa"/>
            <w:gridSpan w:val="2"/>
          </w:tcPr>
          <w:p w14:paraId="37092663" w14:textId="77777777" w:rsidR="00DD6B6D" w:rsidRPr="001F5D4B" w:rsidRDefault="00E453CD" w:rsidP="008B396C">
            <w:pPr>
              <w:rPr>
                <w:b/>
                <w:sz w:val="22"/>
                <w:szCs w:val="22"/>
              </w:rPr>
            </w:pPr>
            <w:r w:rsidRPr="001F5D4B">
              <w:rPr>
                <w:b/>
                <w:sz w:val="22"/>
                <w:szCs w:val="22"/>
              </w:rPr>
              <w:t>Respons</w:t>
            </w:r>
          </w:p>
        </w:tc>
        <w:tc>
          <w:tcPr>
            <w:tcW w:w="1320" w:type="dxa"/>
            <w:tcBorders>
              <w:bottom w:val="single" w:sz="4" w:space="0" w:color="auto"/>
            </w:tcBorders>
          </w:tcPr>
          <w:p w14:paraId="7512758F" w14:textId="77777777" w:rsidR="00DD6B6D" w:rsidRPr="001F5D4B" w:rsidRDefault="00E453CD" w:rsidP="008B396C">
            <w:pPr>
              <w:jc w:val="center"/>
              <w:rPr>
                <w:b/>
                <w:sz w:val="22"/>
                <w:szCs w:val="22"/>
              </w:rPr>
            </w:pPr>
            <w:r w:rsidRPr="001F5D4B">
              <w:rPr>
                <w:b/>
                <w:sz w:val="22"/>
                <w:szCs w:val="22"/>
              </w:rPr>
              <w:t>MTX</w:t>
            </w:r>
          </w:p>
          <w:p w14:paraId="6034E7BB" w14:textId="77777777" w:rsidR="00DD6B6D" w:rsidRPr="001F5D4B" w:rsidRDefault="00E453CD" w:rsidP="008B396C">
            <w:pPr>
              <w:pStyle w:val="EndnoteText"/>
              <w:jc w:val="center"/>
              <w:rPr>
                <w:b/>
                <w:szCs w:val="22"/>
                <w:lang w:val="nb-NO"/>
              </w:rPr>
            </w:pPr>
            <w:r w:rsidRPr="001F5D4B">
              <w:rPr>
                <w:b/>
                <w:szCs w:val="22"/>
                <w:lang w:val="nb-NO"/>
              </w:rPr>
              <w:t>n=257</w:t>
            </w:r>
          </w:p>
        </w:tc>
        <w:tc>
          <w:tcPr>
            <w:tcW w:w="1320" w:type="dxa"/>
            <w:tcBorders>
              <w:bottom w:val="single" w:sz="4" w:space="0" w:color="auto"/>
            </w:tcBorders>
          </w:tcPr>
          <w:p w14:paraId="68AAE9A4" w14:textId="77777777" w:rsidR="00DD6B6D" w:rsidRPr="001F5D4B" w:rsidRDefault="00E453CD" w:rsidP="008B396C">
            <w:pPr>
              <w:jc w:val="center"/>
              <w:rPr>
                <w:b/>
                <w:sz w:val="22"/>
                <w:szCs w:val="22"/>
              </w:rPr>
            </w:pPr>
            <w:r w:rsidRPr="001F5D4B">
              <w:rPr>
                <w:b/>
                <w:sz w:val="22"/>
                <w:szCs w:val="22"/>
              </w:rPr>
              <w:t>Humira</w:t>
            </w:r>
          </w:p>
          <w:p w14:paraId="7FD22A51" w14:textId="77777777" w:rsidR="00DD6B6D" w:rsidRPr="001F5D4B" w:rsidRDefault="00E453CD" w:rsidP="008B396C">
            <w:pPr>
              <w:jc w:val="center"/>
              <w:rPr>
                <w:b/>
                <w:sz w:val="22"/>
                <w:szCs w:val="22"/>
              </w:rPr>
            </w:pPr>
            <w:r w:rsidRPr="001F5D4B">
              <w:rPr>
                <w:b/>
                <w:sz w:val="22"/>
                <w:szCs w:val="22"/>
              </w:rPr>
              <w:t>n=274</w:t>
            </w:r>
          </w:p>
        </w:tc>
        <w:tc>
          <w:tcPr>
            <w:tcW w:w="1576" w:type="dxa"/>
            <w:tcBorders>
              <w:bottom w:val="single" w:sz="4" w:space="0" w:color="auto"/>
            </w:tcBorders>
          </w:tcPr>
          <w:p w14:paraId="3CAE5B4A" w14:textId="77777777" w:rsidR="00DD6B6D" w:rsidRPr="001F5D4B" w:rsidRDefault="00E453CD" w:rsidP="008B396C">
            <w:pPr>
              <w:jc w:val="center"/>
              <w:rPr>
                <w:b/>
                <w:sz w:val="22"/>
                <w:szCs w:val="22"/>
              </w:rPr>
            </w:pPr>
            <w:r w:rsidRPr="001F5D4B">
              <w:rPr>
                <w:b/>
                <w:sz w:val="22"/>
                <w:szCs w:val="22"/>
              </w:rPr>
              <w:t>Humira/MTX</w:t>
            </w:r>
          </w:p>
          <w:p w14:paraId="07F0F516" w14:textId="77777777" w:rsidR="00DD6B6D" w:rsidRPr="001F5D4B" w:rsidRDefault="00E453CD" w:rsidP="008B396C">
            <w:pPr>
              <w:jc w:val="center"/>
              <w:rPr>
                <w:b/>
                <w:sz w:val="22"/>
                <w:szCs w:val="22"/>
              </w:rPr>
            </w:pPr>
            <w:r w:rsidRPr="001F5D4B">
              <w:rPr>
                <w:b/>
                <w:sz w:val="22"/>
                <w:szCs w:val="22"/>
              </w:rPr>
              <w:t>n=268</w:t>
            </w:r>
          </w:p>
        </w:tc>
        <w:tc>
          <w:tcPr>
            <w:tcW w:w="1100" w:type="dxa"/>
            <w:tcBorders>
              <w:bottom w:val="single" w:sz="4" w:space="0" w:color="auto"/>
            </w:tcBorders>
          </w:tcPr>
          <w:p w14:paraId="41F7003E" w14:textId="77777777" w:rsidR="00DD6B6D" w:rsidRPr="001F5D4B" w:rsidRDefault="00E453CD" w:rsidP="008B396C">
            <w:pPr>
              <w:pStyle w:val="EndnoteText"/>
              <w:jc w:val="center"/>
              <w:rPr>
                <w:b/>
                <w:szCs w:val="22"/>
                <w:lang w:val="nb-NO"/>
              </w:rPr>
            </w:pPr>
            <w:r w:rsidRPr="001F5D4B">
              <w:rPr>
                <w:b/>
                <w:szCs w:val="22"/>
                <w:lang w:val="nb-NO"/>
              </w:rPr>
              <w:t>p-verdi</w:t>
            </w:r>
            <w:r w:rsidRPr="001F5D4B">
              <w:rPr>
                <w:b/>
                <w:szCs w:val="22"/>
                <w:vertAlign w:val="superscript"/>
                <w:lang w:val="nb-NO"/>
              </w:rPr>
              <w:t>a</w:t>
            </w:r>
          </w:p>
        </w:tc>
        <w:tc>
          <w:tcPr>
            <w:tcW w:w="1173" w:type="dxa"/>
            <w:tcBorders>
              <w:bottom w:val="single" w:sz="4" w:space="0" w:color="auto"/>
            </w:tcBorders>
          </w:tcPr>
          <w:p w14:paraId="3BD12DA7" w14:textId="77777777" w:rsidR="00DD6B6D" w:rsidRPr="001F5D4B" w:rsidRDefault="00E453CD" w:rsidP="008B396C">
            <w:pPr>
              <w:jc w:val="center"/>
              <w:rPr>
                <w:b/>
                <w:sz w:val="22"/>
                <w:szCs w:val="22"/>
              </w:rPr>
            </w:pPr>
            <w:r w:rsidRPr="001F5D4B">
              <w:rPr>
                <w:b/>
                <w:sz w:val="22"/>
                <w:szCs w:val="22"/>
              </w:rPr>
              <w:t>p-verdi</w:t>
            </w:r>
            <w:r w:rsidRPr="001F5D4B">
              <w:rPr>
                <w:b/>
                <w:sz w:val="22"/>
                <w:szCs w:val="22"/>
                <w:vertAlign w:val="superscript"/>
              </w:rPr>
              <w:t>b</w:t>
            </w:r>
          </w:p>
        </w:tc>
        <w:tc>
          <w:tcPr>
            <w:tcW w:w="1038" w:type="dxa"/>
          </w:tcPr>
          <w:p w14:paraId="62D1456B" w14:textId="77777777" w:rsidR="00DD6B6D" w:rsidRPr="001F5D4B" w:rsidRDefault="00E453CD" w:rsidP="008B396C">
            <w:pPr>
              <w:jc w:val="center"/>
              <w:rPr>
                <w:b/>
                <w:sz w:val="22"/>
                <w:szCs w:val="22"/>
              </w:rPr>
            </w:pPr>
            <w:r w:rsidRPr="001F5D4B">
              <w:rPr>
                <w:b/>
                <w:sz w:val="22"/>
                <w:szCs w:val="22"/>
              </w:rPr>
              <w:t>p-verdi</w:t>
            </w:r>
            <w:r w:rsidRPr="001F5D4B">
              <w:rPr>
                <w:b/>
                <w:sz w:val="22"/>
                <w:szCs w:val="22"/>
                <w:vertAlign w:val="superscript"/>
              </w:rPr>
              <w:t>c</w:t>
            </w:r>
          </w:p>
        </w:tc>
      </w:tr>
      <w:tr w:rsidR="004644D4" w14:paraId="7A0698BD" w14:textId="77777777" w:rsidTr="008B396C">
        <w:trPr>
          <w:gridAfter w:val="1"/>
          <w:wAfter w:w="9" w:type="dxa"/>
          <w:cantSplit/>
          <w:jc w:val="center"/>
        </w:trPr>
        <w:tc>
          <w:tcPr>
            <w:tcW w:w="1724" w:type="dxa"/>
            <w:gridSpan w:val="2"/>
            <w:tcBorders>
              <w:right w:val="single" w:sz="4" w:space="0" w:color="auto"/>
            </w:tcBorders>
          </w:tcPr>
          <w:p w14:paraId="5349728F" w14:textId="77777777" w:rsidR="00DD6B6D" w:rsidRPr="007F67EE" w:rsidRDefault="00E453CD" w:rsidP="008B396C">
            <w:pPr>
              <w:rPr>
                <w:sz w:val="22"/>
                <w:szCs w:val="22"/>
              </w:rPr>
            </w:pPr>
            <w:r w:rsidRPr="007F67EE">
              <w:rPr>
                <w:sz w:val="22"/>
                <w:szCs w:val="22"/>
              </w:rPr>
              <w:t>ACR 20</w:t>
            </w:r>
          </w:p>
        </w:tc>
        <w:tc>
          <w:tcPr>
            <w:tcW w:w="1320" w:type="dxa"/>
            <w:tcBorders>
              <w:left w:val="single" w:sz="4" w:space="0" w:color="auto"/>
              <w:right w:val="single" w:sz="4" w:space="0" w:color="auto"/>
            </w:tcBorders>
          </w:tcPr>
          <w:p w14:paraId="43BCBB61" w14:textId="77777777" w:rsidR="00DD6B6D" w:rsidRPr="007F67EE" w:rsidRDefault="00DD6B6D" w:rsidP="008B396C">
            <w:pPr>
              <w:jc w:val="center"/>
              <w:rPr>
                <w:sz w:val="22"/>
                <w:szCs w:val="22"/>
              </w:rPr>
            </w:pPr>
          </w:p>
        </w:tc>
        <w:tc>
          <w:tcPr>
            <w:tcW w:w="1320" w:type="dxa"/>
            <w:tcBorders>
              <w:left w:val="single" w:sz="4" w:space="0" w:color="auto"/>
              <w:right w:val="single" w:sz="4" w:space="0" w:color="auto"/>
            </w:tcBorders>
          </w:tcPr>
          <w:p w14:paraId="3A6D5380" w14:textId="77777777" w:rsidR="00DD6B6D" w:rsidRPr="00193D76" w:rsidRDefault="00DD6B6D" w:rsidP="008B396C">
            <w:pPr>
              <w:jc w:val="center"/>
              <w:rPr>
                <w:sz w:val="22"/>
                <w:szCs w:val="22"/>
              </w:rPr>
            </w:pPr>
          </w:p>
        </w:tc>
        <w:tc>
          <w:tcPr>
            <w:tcW w:w="1576" w:type="dxa"/>
            <w:tcBorders>
              <w:left w:val="single" w:sz="4" w:space="0" w:color="auto"/>
              <w:right w:val="single" w:sz="4" w:space="0" w:color="auto"/>
            </w:tcBorders>
          </w:tcPr>
          <w:p w14:paraId="0F29387C" w14:textId="77777777" w:rsidR="00DD6B6D" w:rsidRPr="002D0790" w:rsidRDefault="00DD6B6D" w:rsidP="008B396C">
            <w:pPr>
              <w:jc w:val="center"/>
              <w:rPr>
                <w:sz w:val="22"/>
                <w:szCs w:val="22"/>
              </w:rPr>
            </w:pPr>
          </w:p>
        </w:tc>
        <w:tc>
          <w:tcPr>
            <w:tcW w:w="1100" w:type="dxa"/>
            <w:tcBorders>
              <w:left w:val="single" w:sz="4" w:space="0" w:color="auto"/>
              <w:right w:val="single" w:sz="4" w:space="0" w:color="auto"/>
            </w:tcBorders>
          </w:tcPr>
          <w:p w14:paraId="3B689E80" w14:textId="77777777" w:rsidR="00DD6B6D" w:rsidRPr="002D0790" w:rsidRDefault="00DD6B6D" w:rsidP="008B396C">
            <w:pPr>
              <w:jc w:val="center"/>
              <w:rPr>
                <w:sz w:val="22"/>
                <w:szCs w:val="22"/>
              </w:rPr>
            </w:pPr>
          </w:p>
        </w:tc>
        <w:tc>
          <w:tcPr>
            <w:tcW w:w="1173" w:type="dxa"/>
            <w:tcBorders>
              <w:left w:val="single" w:sz="4" w:space="0" w:color="auto"/>
              <w:right w:val="single" w:sz="4" w:space="0" w:color="auto"/>
            </w:tcBorders>
          </w:tcPr>
          <w:p w14:paraId="379569D8" w14:textId="77777777" w:rsidR="00DD6B6D" w:rsidRPr="00E14E58" w:rsidRDefault="00DD6B6D" w:rsidP="008B396C">
            <w:pPr>
              <w:jc w:val="center"/>
              <w:rPr>
                <w:sz w:val="22"/>
                <w:szCs w:val="22"/>
              </w:rPr>
            </w:pPr>
          </w:p>
        </w:tc>
        <w:tc>
          <w:tcPr>
            <w:tcW w:w="1038" w:type="dxa"/>
            <w:tcBorders>
              <w:left w:val="single" w:sz="4" w:space="0" w:color="auto"/>
            </w:tcBorders>
          </w:tcPr>
          <w:p w14:paraId="7A0A5909" w14:textId="77777777" w:rsidR="00DD6B6D" w:rsidRPr="009C5EFD" w:rsidRDefault="00DD6B6D" w:rsidP="008B396C">
            <w:pPr>
              <w:jc w:val="center"/>
              <w:rPr>
                <w:sz w:val="22"/>
                <w:szCs w:val="22"/>
              </w:rPr>
            </w:pPr>
          </w:p>
        </w:tc>
      </w:tr>
      <w:tr w:rsidR="004644D4" w14:paraId="4B6DB23B" w14:textId="77777777" w:rsidTr="008B396C">
        <w:trPr>
          <w:gridAfter w:val="1"/>
          <w:wAfter w:w="9" w:type="dxa"/>
          <w:cantSplit/>
          <w:jc w:val="center"/>
        </w:trPr>
        <w:tc>
          <w:tcPr>
            <w:tcW w:w="1724" w:type="dxa"/>
            <w:gridSpan w:val="2"/>
            <w:tcBorders>
              <w:right w:val="single" w:sz="4" w:space="0" w:color="auto"/>
            </w:tcBorders>
          </w:tcPr>
          <w:p w14:paraId="6A1E8F35" w14:textId="77777777" w:rsidR="00DD6B6D" w:rsidRPr="009C5EFD" w:rsidRDefault="00E453CD" w:rsidP="008B396C">
            <w:pPr>
              <w:rPr>
                <w:sz w:val="22"/>
                <w:szCs w:val="22"/>
              </w:rPr>
            </w:pPr>
            <w:r w:rsidRPr="009C5EFD">
              <w:rPr>
                <w:sz w:val="22"/>
                <w:szCs w:val="22"/>
              </w:rPr>
              <w:t>Uke 52</w:t>
            </w:r>
          </w:p>
        </w:tc>
        <w:tc>
          <w:tcPr>
            <w:tcW w:w="1320" w:type="dxa"/>
            <w:tcBorders>
              <w:left w:val="single" w:sz="4" w:space="0" w:color="auto"/>
              <w:right w:val="single" w:sz="4" w:space="0" w:color="auto"/>
            </w:tcBorders>
          </w:tcPr>
          <w:p w14:paraId="3168CA88" w14:textId="77777777" w:rsidR="00DD6B6D" w:rsidRPr="009C5EFD" w:rsidRDefault="00E453CD" w:rsidP="008B396C">
            <w:pPr>
              <w:jc w:val="center"/>
              <w:rPr>
                <w:sz w:val="22"/>
                <w:szCs w:val="22"/>
              </w:rPr>
            </w:pPr>
            <w:r w:rsidRPr="009C5EFD">
              <w:rPr>
                <w:sz w:val="22"/>
                <w:szCs w:val="22"/>
              </w:rPr>
              <w:t>62,6 %</w:t>
            </w:r>
          </w:p>
        </w:tc>
        <w:tc>
          <w:tcPr>
            <w:tcW w:w="1320" w:type="dxa"/>
            <w:tcBorders>
              <w:left w:val="single" w:sz="4" w:space="0" w:color="auto"/>
              <w:right w:val="single" w:sz="4" w:space="0" w:color="auto"/>
            </w:tcBorders>
          </w:tcPr>
          <w:p w14:paraId="1C2E9AED" w14:textId="77777777" w:rsidR="00DD6B6D" w:rsidRPr="009C5EFD" w:rsidRDefault="00E453CD" w:rsidP="008B396C">
            <w:pPr>
              <w:jc w:val="center"/>
              <w:rPr>
                <w:sz w:val="22"/>
                <w:szCs w:val="22"/>
              </w:rPr>
            </w:pPr>
            <w:r w:rsidRPr="009C5EFD">
              <w:rPr>
                <w:sz w:val="22"/>
                <w:szCs w:val="22"/>
              </w:rPr>
              <w:t>54,4 %</w:t>
            </w:r>
          </w:p>
        </w:tc>
        <w:tc>
          <w:tcPr>
            <w:tcW w:w="1576" w:type="dxa"/>
            <w:tcBorders>
              <w:left w:val="single" w:sz="4" w:space="0" w:color="auto"/>
              <w:right w:val="single" w:sz="4" w:space="0" w:color="auto"/>
            </w:tcBorders>
          </w:tcPr>
          <w:p w14:paraId="42FA2F91" w14:textId="77777777" w:rsidR="00DD6B6D" w:rsidRPr="009C5EFD" w:rsidRDefault="00E453CD" w:rsidP="008B396C">
            <w:pPr>
              <w:jc w:val="center"/>
              <w:rPr>
                <w:sz w:val="22"/>
                <w:szCs w:val="22"/>
              </w:rPr>
            </w:pPr>
            <w:r w:rsidRPr="009C5EFD">
              <w:rPr>
                <w:sz w:val="22"/>
                <w:szCs w:val="22"/>
              </w:rPr>
              <w:t>72,8 %</w:t>
            </w:r>
          </w:p>
        </w:tc>
        <w:tc>
          <w:tcPr>
            <w:tcW w:w="1100" w:type="dxa"/>
            <w:tcBorders>
              <w:left w:val="single" w:sz="4" w:space="0" w:color="auto"/>
              <w:right w:val="single" w:sz="4" w:space="0" w:color="auto"/>
            </w:tcBorders>
          </w:tcPr>
          <w:p w14:paraId="12FFB3BB" w14:textId="77777777" w:rsidR="00DD6B6D" w:rsidRPr="009C5EFD" w:rsidRDefault="00E453CD" w:rsidP="008B396C">
            <w:pPr>
              <w:jc w:val="center"/>
              <w:rPr>
                <w:sz w:val="22"/>
                <w:szCs w:val="22"/>
              </w:rPr>
            </w:pPr>
            <w:r w:rsidRPr="009C5EFD">
              <w:rPr>
                <w:sz w:val="22"/>
                <w:szCs w:val="22"/>
              </w:rPr>
              <w:t>0,013</w:t>
            </w:r>
          </w:p>
        </w:tc>
        <w:tc>
          <w:tcPr>
            <w:tcW w:w="1173" w:type="dxa"/>
            <w:tcBorders>
              <w:left w:val="single" w:sz="4" w:space="0" w:color="auto"/>
              <w:right w:val="single" w:sz="4" w:space="0" w:color="auto"/>
            </w:tcBorders>
          </w:tcPr>
          <w:p w14:paraId="769ECF8B" w14:textId="77777777" w:rsidR="00DD6B6D" w:rsidRPr="009C5EFD" w:rsidRDefault="00E453CD" w:rsidP="008B396C">
            <w:pPr>
              <w:jc w:val="center"/>
              <w:rPr>
                <w:sz w:val="22"/>
                <w:szCs w:val="22"/>
              </w:rPr>
            </w:pPr>
            <w:r w:rsidRPr="009C5EFD">
              <w:rPr>
                <w:sz w:val="22"/>
                <w:szCs w:val="22"/>
              </w:rPr>
              <w:t>&lt; 0,001</w:t>
            </w:r>
          </w:p>
        </w:tc>
        <w:tc>
          <w:tcPr>
            <w:tcW w:w="1038" w:type="dxa"/>
            <w:tcBorders>
              <w:left w:val="single" w:sz="4" w:space="0" w:color="auto"/>
            </w:tcBorders>
          </w:tcPr>
          <w:p w14:paraId="458CF3B1" w14:textId="77777777" w:rsidR="00DD6B6D" w:rsidRPr="009C5EFD" w:rsidRDefault="00E453CD" w:rsidP="008B396C">
            <w:pPr>
              <w:jc w:val="center"/>
              <w:rPr>
                <w:sz w:val="22"/>
                <w:szCs w:val="22"/>
              </w:rPr>
            </w:pPr>
            <w:r w:rsidRPr="009C5EFD">
              <w:rPr>
                <w:sz w:val="22"/>
                <w:szCs w:val="22"/>
              </w:rPr>
              <w:t>0,043</w:t>
            </w:r>
          </w:p>
        </w:tc>
      </w:tr>
      <w:tr w:rsidR="004644D4" w14:paraId="4CCCEFED" w14:textId="77777777" w:rsidTr="008B396C">
        <w:trPr>
          <w:gridAfter w:val="1"/>
          <w:wAfter w:w="9" w:type="dxa"/>
          <w:cantSplit/>
          <w:jc w:val="center"/>
        </w:trPr>
        <w:tc>
          <w:tcPr>
            <w:tcW w:w="1724" w:type="dxa"/>
            <w:gridSpan w:val="2"/>
            <w:tcBorders>
              <w:right w:val="single" w:sz="4" w:space="0" w:color="auto"/>
            </w:tcBorders>
          </w:tcPr>
          <w:p w14:paraId="4A5B4E9C" w14:textId="77777777" w:rsidR="00DD6B6D" w:rsidRPr="009C5EFD" w:rsidRDefault="00E453CD" w:rsidP="008B396C">
            <w:pPr>
              <w:rPr>
                <w:sz w:val="22"/>
                <w:szCs w:val="22"/>
              </w:rPr>
            </w:pPr>
            <w:r w:rsidRPr="009C5EFD">
              <w:rPr>
                <w:sz w:val="22"/>
                <w:szCs w:val="22"/>
              </w:rPr>
              <w:t>Uke 104</w:t>
            </w:r>
          </w:p>
        </w:tc>
        <w:tc>
          <w:tcPr>
            <w:tcW w:w="1320" w:type="dxa"/>
            <w:tcBorders>
              <w:left w:val="single" w:sz="4" w:space="0" w:color="auto"/>
              <w:right w:val="single" w:sz="4" w:space="0" w:color="auto"/>
            </w:tcBorders>
          </w:tcPr>
          <w:p w14:paraId="2BE393F6" w14:textId="77777777" w:rsidR="00DD6B6D" w:rsidRPr="009C5EFD" w:rsidRDefault="00E453CD" w:rsidP="008B396C">
            <w:pPr>
              <w:jc w:val="center"/>
              <w:rPr>
                <w:sz w:val="22"/>
                <w:szCs w:val="22"/>
              </w:rPr>
            </w:pPr>
            <w:r w:rsidRPr="009C5EFD">
              <w:rPr>
                <w:sz w:val="22"/>
                <w:szCs w:val="22"/>
              </w:rPr>
              <w:t>56,0 %</w:t>
            </w:r>
          </w:p>
        </w:tc>
        <w:tc>
          <w:tcPr>
            <w:tcW w:w="1320" w:type="dxa"/>
            <w:tcBorders>
              <w:left w:val="single" w:sz="4" w:space="0" w:color="auto"/>
              <w:right w:val="single" w:sz="4" w:space="0" w:color="auto"/>
            </w:tcBorders>
          </w:tcPr>
          <w:p w14:paraId="54AFFD50" w14:textId="77777777" w:rsidR="00DD6B6D" w:rsidRPr="009C5EFD" w:rsidRDefault="00E453CD" w:rsidP="008B396C">
            <w:pPr>
              <w:jc w:val="center"/>
              <w:rPr>
                <w:sz w:val="22"/>
                <w:szCs w:val="22"/>
              </w:rPr>
            </w:pPr>
            <w:r w:rsidRPr="009C5EFD">
              <w:rPr>
                <w:sz w:val="22"/>
                <w:szCs w:val="22"/>
              </w:rPr>
              <w:t>49,3 %</w:t>
            </w:r>
          </w:p>
        </w:tc>
        <w:tc>
          <w:tcPr>
            <w:tcW w:w="1576" w:type="dxa"/>
            <w:tcBorders>
              <w:left w:val="single" w:sz="4" w:space="0" w:color="auto"/>
              <w:right w:val="single" w:sz="4" w:space="0" w:color="auto"/>
            </w:tcBorders>
          </w:tcPr>
          <w:p w14:paraId="7E95C1B2" w14:textId="77777777" w:rsidR="00DD6B6D" w:rsidRPr="009C5EFD" w:rsidRDefault="00E453CD" w:rsidP="008B396C">
            <w:pPr>
              <w:jc w:val="center"/>
              <w:rPr>
                <w:sz w:val="22"/>
                <w:szCs w:val="22"/>
              </w:rPr>
            </w:pPr>
            <w:r w:rsidRPr="009C5EFD">
              <w:rPr>
                <w:sz w:val="22"/>
                <w:szCs w:val="22"/>
              </w:rPr>
              <w:t>69,4 %</w:t>
            </w:r>
          </w:p>
        </w:tc>
        <w:tc>
          <w:tcPr>
            <w:tcW w:w="1100" w:type="dxa"/>
            <w:tcBorders>
              <w:left w:val="single" w:sz="4" w:space="0" w:color="auto"/>
              <w:right w:val="single" w:sz="4" w:space="0" w:color="auto"/>
            </w:tcBorders>
          </w:tcPr>
          <w:p w14:paraId="5234CF7C" w14:textId="77777777" w:rsidR="00DD6B6D" w:rsidRPr="009C5EFD" w:rsidRDefault="00E453CD" w:rsidP="008B396C">
            <w:pPr>
              <w:jc w:val="center"/>
              <w:rPr>
                <w:sz w:val="22"/>
                <w:szCs w:val="22"/>
              </w:rPr>
            </w:pPr>
            <w:r w:rsidRPr="009C5EFD">
              <w:rPr>
                <w:sz w:val="22"/>
                <w:szCs w:val="22"/>
              </w:rPr>
              <w:t>0,002</w:t>
            </w:r>
          </w:p>
        </w:tc>
        <w:tc>
          <w:tcPr>
            <w:tcW w:w="1173" w:type="dxa"/>
            <w:tcBorders>
              <w:left w:val="single" w:sz="4" w:space="0" w:color="auto"/>
              <w:right w:val="single" w:sz="4" w:space="0" w:color="auto"/>
            </w:tcBorders>
          </w:tcPr>
          <w:p w14:paraId="4F08B1C5" w14:textId="77777777" w:rsidR="00DD6B6D" w:rsidRPr="009C5EFD" w:rsidRDefault="00E453CD" w:rsidP="008B396C">
            <w:pPr>
              <w:jc w:val="center"/>
              <w:rPr>
                <w:sz w:val="22"/>
                <w:szCs w:val="22"/>
              </w:rPr>
            </w:pPr>
            <w:r w:rsidRPr="009C5EFD">
              <w:rPr>
                <w:sz w:val="22"/>
                <w:szCs w:val="22"/>
              </w:rPr>
              <w:t>&lt; 0,001</w:t>
            </w:r>
          </w:p>
        </w:tc>
        <w:tc>
          <w:tcPr>
            <w:tcW w:w="1038" w:type="dxa"/>
            <w:tcBorders>
              <w:left w:val="single" w:sz="4" w:space="0" w:color="auto"/>
            </w:tcBorders>
          </w:tcPr>
          <w:p w14:paraId="1B98B7B9" w14:textId="77777777" w:rsidR="00DD6B6D" w:rsidRPr="009C5EFD" w:rsidRDefault="00E453CD" w:rsidP="008B396C">
            <w:pPr>
              <w:jc w:val="center"/>
              <w:rPr>
                <w:sz w:val="22"/>
                <w:szCs w:val="22"/>
              </w:rPr>
            </w:pPr>
            <w:r w:rsidRPr="009C5EFD">
              <w:rPr>
                <w:sz w:val="22"/>
                <w:szCs w:val="22"/>
              </w:rPr>
              <w:t>0,140</w:t>
            </w:r>
          </w:p>
        </w:tc>
      </w:tr>
      <w:tr w:rsidR="004644D4" w14:paraId="2224C28F" w14:textId="77777777" w:rsidTr="008B396C">
        <w:trPr>
          <w:gridAfter w:val="1"/>
          <w:wAfter w:w="9" w:type="dxa"/>
          <w:cantSplit/>
          <w:jc w:val="center"/>
        </w:trPr>
        <w:tc>
          <w:tcPr>
            <w:tcW w:w="1724" w:type="dxa"/>
            <w:gridSpan w:val="2"/>
            <w:tcBorders>
              <w:right w:val="single" w:sz="4" w:space="0" w:color="auto"/>
            </w:tcBorders>
          </w:tcPr>
          <w:p w14:paraId="6D1D2805" w14:textId="77777777" w:rsidR="00DD6B6D" w:rsidRPr="009C5EFD" w:rsidRDefault="00E453CD" w:rsidP="008B396C">
            <w:pPr>
              <w:rPr>
                <w:sz w:val="22"/>
                <w:szCs w:val="22"/>
              </w:rPr>
            </w:pPr>
            <w:r w:rsidRPr="009C5EFD">
              <w:rPr>
                <w:sz w:val="22"/>
                <w:szCs w:val="22"/>
              </w:rPr>
              <w:t>ACR 50</w:t>
            </w:r>
          </w:p>
        </w:tc>
        <w:tc>
          <w:tcPr>
            <w:tcW w:w="1320" w:type="dxa"/>
            <w:tcBorders>
              <w:left w:val="single" w:sz="4" w:space="0" w:color="auto"/>
              <w:right w:val="single" w:sz="4" w:space="0" w:color="auto"/>
            </w:tcBorders>
          </w:tcPr>
          <w:p w14:paraId="12952841" w14:textId="77777777" w:rsidR="00DD6B6D" w:rsidRPr="009C5EFD" w:rsidRDefault="00DD6B6D" w:rsidP="008B396C">
            <w:pPr>
              <w:jc w:val="center"/>
              <w:rPr>
                <w:sz w:val="22"/>
                <w:szCs w:val="22"/>
              </w:rPr>
            </w:pPr>
          </w:p>
        </w:tc>
        <w:tc>
          <w:tcPr>
            <w:tcW w:w="1320" w:type="dxa"/>
            <w:tcBorders>
              <w:left w:val="single" w:sz="4" w:space="0" w:color="auto"/>
              <w:right w:val="single" w:sz="4" w:space="0" w:color="auto"/>
            </w:tcBorders>
          </w:tcPr>
          <w:p w14:paraId="7F35F065" w14:textId="77777777" w:rsidR="00DD6B6D" w:rsidRPr="009C5EFD" w:rsidRDefault="00DD6B6D" w:rsidP="008B396C">
            <w:pPr>
              <w:jc w:val="center"/>
              <w:rPr>
                <w:sz w:val="22"/>
                <w:szCs w:val="22"/>
              </w:rPr>
            </w:pPr>
          </w:p>
        </w:tc>
        <w:tc>
          <w:tcPr>
            <w:tcW w:w="1576" w:type="dxa"/>
            <w:tcBorders>
              <w:left w:val="single" w:sz="4" w:space="0" w:color="auto"/>
              <w:right w:val="single" w:sz="4" w:space="0" w:color="auto"/>
            </w:tcBorders>
          </w:tcPr>
          <w:p w14:paraId="53544807" w14:textId="77777777" w:rsidR="00DD6B6D" w:rsidRPr="009C5EFD" w:rsidRDefault="00DD6B6D" w:rsidP="008B396C">
            <w:pPr>
              <w:jc w:val="center"/>
              <w:rPr>
                <w:sz w:val="22"/>
                <w:szCs w:val="22"/>
              </w:rPr>
            </w:pPr>
          </w:p>
        </w:tc>
        <w:tc>
          <w:tcPr>
            <w:tcW w:w="1100" w:type="dxa"/>
            <w:tcBorders>
              <w:left w:val="single" w:sz="4" w:space="0" w:color="auto"/>
              <w:right w:val="single" w:sz="4" w:space="0" w:color="auto"/>
            </w:tcBorders>
          </w:tcPr>
          <w:p w14:paraId="635C1FC3" w14:textId="77777777" w:rsidR="00DD6B6D" w:rsidRPr="009C5EFD" w:rsidRDefault="00DD6B6D" w:rsidP="008B396C">
            <w:pPr>
              <w:jc w:val="center"/>
              <w:rPr>
                <w:sz w:val="22"/>
                <w:szCs w:val="22"/>
              </w:rPr>
            </w:pPr>
          </w:p>
        </w:tc>
        <w:tc>
          <w:tcPr>
            <w:tcW w:w="1173" w:type="dxa"/>
            <w:tcBorders>
              <w:left w:val="single" w:sz="4" w:space="0" w:color="auto"/>
              <w:right w:val="single" w:sz="4" w:space="0" w:color="auto"/>
            </w:tcBorders>
          </w:tcPr>
          <w:p w14:paraId="603B7945" w14:textId="77777777" w:rsidR="00DD6B6D" w:rsidRPr="009C5EFD" w:rsidRDefault="00DD6B6D" w:rsidP="008B396C">
            <w:pPr>
              <w:jc w:val="center"/>
              <w:rPr>
                <w:sz w:val="22"/>
                <w:szCs w:val="22"/>
              </w:rPr>
            </w:pPr>
          </w:p>
        </w:tc>
        <w:tc>
          <w:tcPr>
            <w:tcW w:w="1038" w:type="dxa"/>
            <w:tcBorders>
              <w:left w:val="single" w:sz="4" w:space="0" w:color="auto"/>
            </w:tcBorders>
          </w:tcPr>
          <w:p w14:paraId="64A82873" w14:textId="77777777" w:rsidR="00DD6B6D" w:rsidRPr="009C5EFD" w:rsidRDefault="00DD6B6D" w:rsidP="008B396C">
            <w:pPr>
              <w:jc w:val="center"/>
              <w:rPr>
                <w:sz w:val="22"/>
                <w:szCs w:val="22"/>
              </w:rPr>
            </w:pPr>
          </w:p>
        </w:tc>
      </w:tr>
      <w:tr w:rsidR="004644D4" w14:paraId="35B044EF" w14:textId="77777777" w:rsidTr="008B396C">
        <w:trPr>
          <w:gridAfter w:val="1"/>
          <w:wAfter w:w="9" w:type="dxa"/>
          <w:cantSplit/>
          <w:jc w:val="center"/>
        </w:trPr>
        <w:tc>
          <w:tcPr>
            <w:tcW w:w="1724" w:type="dxa"/>
            <w:gridSpan w:val="2"/>
          </w:tcPr>
          <w:p w14:paraId="7748A84F" w14:textId="77777777" w:rsidR="00DD6B6D" w:rsidRPr="009C5EFD" w:rsidRDefault="00E453CD" w:rsidP="008B396C">
            <w:pPr>
              <w:rPr>
                <w:sz w:val="22"/>
                <w:szCs w:val="22"/>
              </w:rPr>
            </w:pPr>
            <w:r w:rsidRPr="009C5EFD">
              <w:rPr>
                <w:sz w:val="22"/>
                <w:szCs w:val="22"/>
              </w:rPr>
              <w:t>Uke 52</w:t>
            </w:r>
          </w:p>
        </w:tc>
        <w:tc>
          <w:tcPr>
            <w:tcW w:w="1320" w:type="dxa"/>
          </w:tcPr>
          <w:p w14:paraId="396DE007" w14:textId="77777777" w:rsidR="00DD6B6D" w:rsidRPr="009C5EFD" w:rsidRDefault="00E453CD" w:rsidP="008B396C">
            <w:pPr>
              <w:jc w:val="center"/>
              <w:rPr>
                <w:sz w:val="22"/>
                <w:szCs w:val="22"/>
              </w:rPr>
            </w:pPr>
            <w:r w:rsidRPr="009C5EFD">
              <w:rPr>
                <w:sz w:val="22"/>
                <w:szCs w:val="22"/>
              </w:rPr>
              <w:t>45,9 %</w:t>
            </w:r>
          </w:p>
        </w:tc>
        <w:tc>
          <w:tcPr>
            <w:tcW w:w="1320" w:type="dxa"/>
          </w:tcPr>
          <w:p w14:paraId="473833CD" w14:textId="77777777" w:rsidR="00DD6B6D" w:rsidRPr="009C5EFD" w:rsidRDefault="00E453CD" w:rsidP="008B396C">
            <w:pPr>
              <w:jc w:val="center"/>
              <w:rPr>
                <w:sz w:val="22"/>
                <w:szCs w:val="22"/>
              </w:rPr>
            </w:pPr>
            <w:r w:rsidRPr="009C5EFD">
              <w:rPr>
                <w:sz w:val="22"/>
                <w:szCs w:val="22"/>
              </w:rPr>
              <w:t>41,2 %</w:t>
            </w:r>
          </w:p>
        </w:tc>
        <w:tc>
          <w:tcPr>
            <w:tcW w:w="1576" w:type="dxa"/>
          </w:tcPr>
          <w:p w14:paraId="52280F58" w14:textId="77777777" w:rsidR="00DD6B6D" w:rsidRPr="009C5EFD" w:rsidRDefault="00E453CD" w:rsidP="008B396C">
            <w:pPr>
              <w:jc w:val="center"/>
              <w:rPr>
                <w:sz w:val="22"/>
                <w:szCs w:val="22"/>
              </w:rPr>
            </w:pPr>
            <w:r w:rsidRPr="009C5EFD">
              <w:rPr>
                <w:sz w:val="22"/>
                <w:szCs w:val="22"/>
              </w:rPr>
              <w:t>61,6 %</w:t>
            </w:r>
          </w:p>
        </w:tc>
        <w:tc>
          <w:tcPr>
            <w:tcW w:w="1100" w:type="dxa"/>
          </w:tcPr>
          <w:p w14:paraId="65E194EF" w14:textId="77777777" w:rsidR="00DD6B6D" w:rsidRPr="009C5EFD" w:rsidRDefault="00E453CD" w:rsidP="008B396C">
            <w:pPr>
              <w:jc w:val="center"/>
              <w:rPr>
                <w:sz w:val="22"/>
                <w:szCs w:val="22"/>
              </w:rPr>
            </w:pPr>
            <w:r w:rsidRPr="009C5EFD">
              <w:rPr>
                <w:sz w:val="22"/>
                <w:szCs w:val="22"/>
              </w:rPr>
              <w:t>&lt; 0,001</w:t>
            </w:r>
          </w:p>
        </w:tc>
        <w:tc>
          <w:tcPr>
            <w:tcW w:w="1173" w:type="dxa"/>
          </w:tcPr>
          <w:p w14:paraId="1A1B793B" w14:textId="77777777" w:rsidR="00DD6B6D" w:rsidRPr="009C5EFD" w:rsidRDefault="00E453CD" w:rsidP="008B396C">
            <w:pPr>
              <w:jc w:val="center"/>
              <w:rPr>
                <w:sz w:val="22"/>
                <w:szCs w:val="22"/>
              </w:rPr>
            </w:pPr>
            <w:r w:rsidRPr="009C5EFD">
              <w:rPr>
                <w:sz w:val="22"/>
                <w:szCs w:val="22"/>
              </w:rPr>
              <w:t>&lt; 0,001</w:t>
            </w:r>
          </w:p>
        </w:tc>
        <w:tc>
          <w:tcPr>
            <w:tcW w:w="1038" w:type="dxa"/>
          </w:tcPr>
          <w:p w14:paraId="2B068F32" w14:textId="77777777" w:rsidR="00DD6B6D" w:rsidRPr="009C5EFD" w:rsidRDefault="00E453CD" w:rsidP="008B396C">
            <w:pPr>
              <w:jc w:val="center"/>
              <w:rPr>
                <w:sz w:val="22"/>
                <w:szCs w:val="22"/>
              </w:rPr>
            </w:pPr>
            <w:r w:rsidRPr="009C5EFD">
              <w:rPr>
                <w:sz w:val="22"/>
                <w:szCs w:val="22"/>
              </w:rPr>
              <w:t>0,317</w:t>
            </w:r>
          </w:p>
        </w:tc>
      </w:tr>
      <w:tr w:rsidR="004644D4" w14:paraId="74BFB2E8" w14:textId="77777777" w:rsidTr="008B396C">
        <w:trPr>
          <w:gridAfter w:val="1"/>
          <w:wAfter w:w="9" w:type="dxa"/>
          <w:cantSplit/>
          <w:jc w:val="center"/>
        </w:trPr>
        <w:tc>
          <w:tcPr>
            <w:tcW w:w="1724" w:type="dxa"/>
            <w:gridSpan w:val="2"/>
          </w:tcPr>
          <w:p w14:paraId="46516183" w14:textId="77777777" w:rsidR="00DD6B6D" w:rsidRPr="009C5EFD" w:rsidRDefault="00E453CD" w:rsidP="008B396C">
            <w:pPr>
              <w:rPr>
                <w:sz w:val="22"/>
                <w:szCs w:val="22"/>
              </w:rPr>
            </w:pPr>
            <w:r w:rsidRPr="009C5EFD">
              <w:rPr>
                <w:sz w:val="22"/>
                <w:szCs w:val="22"/>
              </w:rPr>
              <w:t>Uke 104</w:t>
            </w:r>
          </w:p>
        </w:tc>
        <w:tc>
          <w:tcPr>
            <w:tcW w:w="1320" w:type="dxa"/>
            <w:tcBorders>
              <w:bottom w:val="single" w:sz="4" w:space="0" w:color="auto"/>
            </w:tcBorders>
          </w:tcPr>
          <w:p w14:paraId="3B16AC84" w14:textId="77777777" w:rsidR="00DD6B6D" w:rsidRPr="009C5EFD" w:rsidRDefault="00E453CD" w:rsidP="008B396C">
            <w:pPr>
              <w:jc w:val="center"/>
              <w:rPr>
                <w:sz w:val="22"/>
                <w:szCs w:val="22"/>
              </w:rPr>
            </w:pPr>
            <w:r w:rsidRPr="009C5EFD">
              <w:rPr>
                <w:sz w:val="22"/>
                <w:szCs w:val="22"/>
              </w:rPr>
              <w:t>42,8 %</w:t>
            </w:r>
          </w:p>
        </w:tc>
        <w:tc>
          <w:tcPr>
            <w:tcW w:w="1320" w:type="dxa"/>
            <w:tcBorders>
              <w:bottom w:val="single" w:sz="4" w:space="0" w:color="auto"/>
            </w:tcBorders>
          </w:tcPr>
          <w:p w14:paraId="6FE51A31" w14:textId="77777777" w:rsidR="00DD6B6D" w:rsidRPr="009C5EFD" w:rsidRDefault="00E453CD" w:rsidP="008B396C">
            <w:pPr>
              <w:jc w:val="center"/>
              <w:rPr>
                <w:sz w:val="22"/>
                <w:szCs w:val="22"/>
              </w:rPr>
            </w:pPr>
            <w:r w:rsidRPr="009C5EFD">
              <w:rPr>
                <w:sz w:val="22"/>
                <w:szCs w:val="22"/>
              </w:rPr>
              <w:t>36,9 %</w:t>
            </w:r>
          </w:p>
        </w:tc>
        <w:tc>
          <w:tcPr>
            <w:tcW w:w="1576" w:type="dxa"/>
            <w:tcBorders>
              <w:bottom w:val="single" w:sz="4" w:space="0" w:color="auto"/>
            </w:tcBorders>
          </w:tcPr>
          <w:p w14:paraId="432ACCA0" w14:textId="77777777" w:rsidR="00DD6B6D" w:rsidRPr="009C5EFD" w:rsidRDefault="00E453CD" w:rsidP="008B396C">
            <w:pPr>
              <w:jc w:val="center"/>
              <w:rPr>
                <w:sz w:val="22"/>
                <w:szCs w:val="22"/>
              </w:rPr>
            </w:pPr>
            <w:r w:rsidRPr="009C5EFD">
              <w:rPr>
                <w:sz w:val="22"/>
                <w:szCs w:val="22"/>
              </w:rPr>
              <w:t>59,0 %</w:t>
            </w:r>
          </w:p>
        </w:tc>
        <w:tc>
          <w:tcPr>
            <w:tcW w:w="1100" w:type="dxa"/>
            <w:tcBorders>
              <w:bottom w:val="single" w:sz="4" w:space="0" w:color="auto"/>
            </w:tcBorders>
          </w:tcPr>
          <w:p w14:paraId="5BF8F5A8" w14:textId="77777777" w:rsidR="00DD6B6D" w:rsidRPr="009C5EFD" w:rsidRDefault="00E453CD" w:rsidP="008B396C">
            <w:pPr>
              <w:jc w:val="center"/>
              <w:rPr>
                <w:sz w:val="22"/>
                <w:szCs w:val="22"/>
              </w:rPr>
            </w:pPr>
            <w:r w:rsidRPr="009C5EFD">
              <w:rPr>
                <w:sz w:val="22"/>
                <w:szCs w:val="22"/>
              </w:rPr>
              <w:t>&lt; 0,001</w:t>
            </w:r>
          </w:p>
        </w:tc>
        <w:tc>
          <w:tcPr>
            <w:tcW w:w="1173" w:type="dxa"/>
            <w:tcBorders>
              <w:bottom w:val="single" w:sz="4" w:space="0" w:color="auto"/>
            </w:tcBorders>
          </w:tcPr>
          <w:p w14:paraId="78F51E92" w14:textId="77777777" w:rsidR="00DD6B6D" w:rsidRPr="009C5EFD" w:rsidRDefault="00E453CD" w:rsidP="008B396C">
            <w:pPr>
              <w:jc w:val="center"/>
              <w:rPr>
                <w:sz w:val="22"/>
                <w:szCs w:val="22"/>
              </w:rPr>
            </w:pPr>
            <w:r w:rsidRPr="009C5EFD">
              <w:rPr>
                <w:sz w:val="22"/>
                <w:szCs w:val="22"/>
              </w:rPr>
              <w:t>&lt; 0,001</w:t>
            </w:r>
          </w:p>
        </w:tc>
        <w:tc>
          <w:tcPr>
            <w:tcW w:w="1038" w:type="dxa"/>
          </w:tcPr>
          <w:p w14:paraId="6EA2C07F" w14:textId="77777777" w:rsidR="00DD6B6D" w:rsidRPr="009C5EFD" w:rsidRDefault="00E453CD" w:rsidP="008B396C">
            <w:pPr>
              <w:jc w:val="center"/>
              <w:rPr>
                <w:sz w:val="22"/>
                <w:szCs w:val="22"/>
              </w:rPr>
            </w:pPr>
            <w:r w:rsidRPr="009C5EFD">
              <w:rPr>
                <w:sz w:val="22"/>
                <w:szCs w:val="22"/>
              </w:rPr>
              <w:t>0,162</w:t>
            </w:r>
          </w:p>
        </w:tc>
      </w:tr>
      <w:tr w:rsidR="004644D4" w14:paraId="3524993E" w14:textId="77777777" w:rsidTr="008B396C">
        <w:trPr>
          <w:gridAfter w:val="1"/>
          <w:wAfter w:w="9" w:type="dxa"/>
          <w:cantSplit/>
          <w:jc w:val="center"/>
        </w:trPr>
        <w:tc>
          <w:tcPr>
            <w:tcW w:w="1724" w:type="dxa"/>
            <w:gridSpan w:val="2"/>
            <w:tcBorders>
              <w:right w:val="single" w:sz="4" w:space="0" w:color="auto"/>
            </w:tcBorders>
          </w:tcPr>
          <w:p w14:paraId="793F6856" w14:textId="77777777" w:rsidR="00DD6B6D" w:rsidRPr="009C5EFD" w:rsidRDefault="00E453CD" w:rsidP="008B396C">
            <w:pPr>
              <w:rPr>
                <w:sz w:val="22"/>
                <w:szCs w:val="22"/>
              </w:rPr>
            </w:pPr>
            <w:r w:rsidRPr="009C5EFD">
              <w:rPr>
                <w:sz w:val="22"/>
                <w:szCs w:val="22"/>
              </w:rPr>
              <w:t>ACR 70</w:t>
            </w:r>
          </w:p>
        </w:tc>
        <w:tc>
          <w:tcPr>
            <w:tcW w:w="1320" w:type="dxa"/>
            <w:tcBorders>
              <w:left w:val="single" w:sz="4" w:space="0" w:color="auto"/>
              <w:right w:val="single" w:sz="4" w:space="0" w:color="auto"/>
            </w:tcBorders>
          </w:tcPr>
          <w:p w14:paraId="1092A767" w14:textId="77777777" w:rsidR="00DD6B6D" w:rsidRPr="009C5EFD" w:rsidRDefault="00DD6B6D" w:rsidP="008B396C">
            <w:pPr>
              <w:jc w:val="center"/>
              <w:rPr>
                <w:sz w:val="22"/>
                <w:szCs w:val="22"/>
              </w:rPr>
            </w:pPr>
          </w:p>
        </w:tc>
        <w:tc>
          <w:tcPr>
            <w:tcW w:w="1320" w:type="dxa"/>
            <w:tcBorders>
              <w:left w:val="single" w:sz="4" w:space="0" w:color="auto"/>
              <w:right w:val="single" w:sz="4" w:space="0" w:color="auto"/>
            </w:tcBorders>
          </w:tcPr>
          <w:p w14:paraId="652CCD24" w14:textId="77777777" w:rsidR="00DD6B6D" w:rsidRPr="009C5EFD" w:rsidRDefault="00DD6B6D" w:rsidP="008B396C">
            <w:pPr>
              <w:jc w:val="center"/>
              <w:rPr>
                <w:sz w:val="22"/>
                <w:szCs w:val="22"/>
              </w:rPr>
            </w:pPr>
          </w:p>
        </w:tc>
        <w:tc>
          <w:tcPr>
            <w:tcW w:w="1576" w:type="dxa"/>
            <w:tcBorders>
              <w:left w:val="single" w:sz="4" w:space="0" w:color="auto"/>
              <w:right w:val="single" w:sz="4" w:space="0" w:color="auto"/>
            </w:tcBorders>
          </w:tcPr>
          <w:p w14:paraId="02C6DD29" w14:textId="77777777" w:rsidR="00DD6B6D" w:rsidRPr="009C5EFD" w:rsidRDefault="00DD6B6D" w:rsidP="008B396C">
            <w:pPr>
              <w:jc w:val="center"/>
              <w:rPr>
                <w:sz w:val="22"/>
                <w:szCs w:val="22"/>
              </w:rPr>
            </w:pPr>
          </w:p>
        </w:tc>
        <w:tc>
          <w:tcPr>
            <w:tcW w:w="1100" w:type="dxa"/>
            <w:tcBorders>
              <w:left w:val="single" w:sz="4" w:space="0" w:color="auto"/>
              <w:right w:val="single" w:sz="4" w:space="0" w:color="auto"/>
            </w:tcBorders>
          </w:tcPr>
          <w:p w14:paraId="221F23C5" w14:textId="77777777" w:rsidR="00DD6B6D" w:rsidRPr="009C5EFD" w:rsidRDefault="00E453CD" w:rsidP="008B396C">
            <w:pPr>
              <w:jc w:val="center"/>
              <w:rPr>
                <w:sz w:val="22"/>
                <w:szCs w:val="22"/>
              </w:rPr>
            </w:pPr>
            <w:r w:rsidRPr="009C5EFD">
              <w:rPr>
                <w:sz w:val="22"/>
                <w:szCs w:val="22"/>
              </w:rPr>
              <w:t xml:space="preserve"> </w:t>
            </w:r>
          </w:p>
        </w:tc>
        <w:tc>
          <w:tcPr>
            <w:tcW w:w="1173" w:type="dxa"/>
            <w:tcBorders>
              <w:left w:val="single" w:sz="4" w:space="0" w:color="auto"/>
              <w:right w:val="single" w:sz="4" w:space="0" w:color="auto"/>
            </w:tcBorders>
          </w:tcPr>
          <w:p w14:paraId="1FAC070D" w14:textId="77777777" w:rsidR="00DD6B6D" w:rsidRPr="009C5EFD" w:rsidRDefault="00DD6B6D" w:rsidP="008B396C">
            <w:pPr>
              <w:jc w:val="center"/>
              <w:rPr>
                <w:sz w:val="22"/>
                <w:szCs w:val="22"/>
              </w:rPr>
            </w:pPr>
          </w:p>
        </w:tc>
        <w:tc>
          <w:tcPr>
            <w:tcW w:w="1038" w:type="dxa"/>
            <w:tcBorders>
              <w:left w:val="single" w:sz="4" w:space="0" w:color="auto"/>
            </w:tcBorders>
          </w:tcPr>
          <w:p w14:paraId="259736F8" w14:textId="77777777" w:rsidR="00DD6B6D" w:rsidRPr="009C5EFD" w:rsidRDefault="00DD6B6D" w:rsidP="008B396C">
            <w:pPr>
              <w:jc w:val="center"/>
              <w:rPr>
                <w:sz w:val="22"/>
                <w:szCs w:val="22"/>
              </w:rPr>
            </w:pPr>
          </w:p>
        </w:tc>
      </w:tr>
      <w:tr w:rsidR="004644D4" w14:paraId="75B5232F" w14:textId="77777777" w:rsidTr="008B396C">
        <w:trPr>
          <w:gridAfter w:val="1"/>
          <w:wAfter w:w="9" w:type="dxa"/>
          <w:cantSplit/>
          <w:trHeight w:val="70"/>
          <w:jc w:val="center"/>
        </w:trPr>
        <w:tc>
          <w:tcPr>
            <w:tcW w:w="1724" w:type="dxa"/>
            <w:gridSpan w:val="2"/>
          </w:tcPr>
          <w:p w14:paraId="5817AE7F" w14:textId="77777777" w:rsidR="00DD6B6D" w:rsidRPr="009C5EFD" w:rsidRDefault="00E453CD" w:rsidP="008B396C">
            <w:pPr>
              <w:rPr>
                <w:sz w:val="22"/>
                <w:szCs w:val="22"/>
              </w:rPr>
            </w:pPr>
            <w:r w:rsidRPr="009C5EFD">
              <w:rPr>
                <w:sz w:val="22"/>
                <w:szCs w:val="22"/>
              </w:rPr>
              <w:t>Uke 52</w:t>
            </w:r>
          </w:p>
        </w:tc>
        <w:tc>
          <w:tcPr>
            <w:tcW w:w="1320" w:type="dxa"/>
          </w:tcPr>
          <w:p w14:paraId="1F8E2936" w14:textId="77777777" w:rsidR="00DD6B6D" w:rsidRPr="009C5EFD" w:rsidRDefault="00E453CD" w:rsidP="008B396C">
            <w:pPr>
              <w:jc w:val="center"/>
              <w:rPr>
                <w:sz w:val="22"/>
                <w:szCs w:val="22"/>
              </w:rPr>
            </w:pPr>
            <w:r w:rsidRPr="009C5EFD">
              <w:rPr>
                <w:sz w:val="22"/>
                <w:szCs w:val="22"/>
              </w:rPr>
              <w:t>27,2 %</w:t>
            </w:r>
          </w:p>
        </w:tc>
        <w:tc>
          <w:tcPr>
            <w:tcW w:w="1320" w:type="dxa"/>
          </w:tcPr>
          <w:p w14:paraId="2BCFC5C0" w14:textId="77777777" w:rsidR="00DD6B6D" w:rsidRPr="009C5EFD" w:rsidRDefault="00E453CD" w:rsidP="008B396C">
            <w:pPr>
              <w:jc w:val="center"/>
              <w:rPr>
                <w:sz w:val="22"/>
                <w:szCs w:val="22"/>
              </w:rPr>
            </w:pPr>
            <w:r w:rsidRPr="009C5EFD">
              <w:rPr>
                <w:sz w:val="22"/>
                <w:szCs w:val="22"/>
              </w:rPr>
              <w:t>25,9 %</w:t>
            </w:r>
          </w:p>
        </w:tc>
        <w:tc>
          <w:tcPr>
            <w:tcW w:w="1576" w:type="dxa"/>
          </w:tcPr>
          <w:p w14:paraId="5CE21504" w14:textId="77777777" w:rsidR="00DD6B6D" w:rsidRPr="009C5EFD" w:rsidRDefault="00E453CD" w:rsidP="008B396C">
            <w:pPr>
              <w:jc w:val="center"/>
              <w:rPr>
                <w:sz w:val="22"/>
                <w:szCs w:val="22"/>
              </w:rPr>
            </w:pPr>
            <w:r w:rsidRPr="009C5EFD">
              <w:rPr>
                <w:sz w:val="22"/>
                <w:szCs w:val="22"/>
              </w:rPr>
              <w:t>45,5 %</w:t>
            </w:r>
          </w:p>
        </w:tc>
        <w:tc>
          <w:tcPr>
            <w:tcW w:w="1100" w:type="dxa"/>
          </w:tcPr>
          <w:p w14:paraId="684D121E" w14:textId="77777777" w:rsidR="00DD6B6D" w:rsidRPr="009C5EFD" w:rsidRDefault="00E453CD" w:rsidP="008B396C">
            <w:pPr>
              <w:jc w:val="center"/>
              <w:rPr>
                <w:sz w:val="22"/>
                <w:szCs w:val="22"/>
              </w:rPr>
            </w:pPr>
            <w:r w:rsidRPr="009C5EFD">
              <w:rPr>
                <w:sz w:val="22"/>
                <w:szCs w:val="22"/>
              </w:rPr>
              <w:t>&lt; 0,001</w:t>
            </w:r>
          </w:p>
        </w:tc>
        <w:tc>
          <w:tcPr>
            <w:tcW w:w="1173" w:type="dxa"/>
          </w:tcPr>
          <w:p w14:paraId="6FBCF6AA" w14:textId="77777777" w:rsidR="00DD6B6D" w:rsidRPr="009C5EFD" w:rsidRDefault="00E453CD" w:rsidP="008B396C">
            <w:pPr>
              <w:jc w:val="center"/>
              <w:rPr>
                <w:sz w:val="22"/>
                <w:szCs w:val="22"/>
              </w:rPr>
            </w:pPr>
            <w:r w:rsidRPr="009C5EFD">
              <w:rPr>
                <w:sz w:val="22"/>
                <w:szCs w:val="22"/>
              </w:rPr>
              <w:t>&lt; 0,001</w:t>
            </w:r>
          </w:p>
        </w:tc>
        <w:tc>
          <w:tcPr>
            <w:tcW w:w="1038" w:type="dxa"/>
          </w:tcPr>
          <w:p w14:paraId="3F4FDBEF" w14:textId="77777777" w:rsidR="00DD6B6D" w:rsidRPr="009C5EFD" w:rsidRDefault="00E453CD" w:rsidP="008B396C">
            <w:pPr>
              <w:jc w:val="center"/>
              <w:rPr>
                <w:sz w:val="22"/>
                <w:szCs w:val="22"/>
              </w:rPr>
            </w:pPr>
            <w:r w:rsidRPr="009C5EFD">
              <w:rPr>
                <w:sz w:val="22"/>
                <w:szCs w:val="22"/>
              </w:rPr>
              <w:t>0,656</w:t>
            </w:r>
          </w:p>
        </w:tc>
      </w:tr>
      <w:tr w:rsidR="004644D4" w14:paraId="69148D2B" w14:textId="77777777" w:rsidTr="008B396C">
        <w:trPr>
          <w:gridAfter w:val="1"/>
          <w:wAfter w:w="9" w:type="dxa"/>
          <w:cantSplit/>
          <w:jc w:val="center"/>
        </w:trPr>
        <w:tc>
          <w:tcPr>
            <w:tcW w:w="1724" w:type="dxa"/>
            <w:gridSpan w:val="2"/>
          </w:tcPr>
          <w:p w14:paraId="4113A73A" w14:textId="77777777" w:rsidR="00DD6B6D" w:rsidRPr="009C5EFD" w:rsidRDefault="00E453CD" w:rsidP="008B396C">
            <w:pPr>
              <w:rPr>
                <w:sz w:val="22"/>
                <w:szCs w:val="22"/>
              </w:rPr>
            </w:pPr>
            <w:r w:rsidRPr="009C5EFD">
              <w:rPr>
                <w:sz w:val="22"/>
                <w:szCs w:val="22"/>
              </w:rPr>
              <w:t>Uke 104</w:t>
            </w:r>
          </w:p>
        </w:tc>
        <w:tc>
          <w:tcPr>
            <w:tcW w:w="1320" w:type="dxa"/>
          </w:tcPr>
          <w:p w14:paraId="2A033E4E" w14:textId="77777777" w:rsidR="00DD6B6D" w:rsidRPr="009C5EFD" w:rsidRDefault="00E453CD" w:rsidP="008B396C">
            <w:pPr>
              <w:jc w:val="center"/>
              <w:rPr>
                <w:sz w:val="22"/>
                <w:szCs w:val="22"/>
              </w:rPr>
            </w:pPr>
            <w:r w:rsidRPr="009C5EFD">
              <w:rPr>
                <w:sz w:val="22"/>
                <w:szCs w:val="22"/>
              </w:rPr>
              <w:t>28,4 %</w:t>
            </w:r>
          </w:p>
        </w:tc>
        <w:tc>
          <w:tcPr>
            <w:tcW w:w="1320" w:type="dxa"/>
          </w:tcPr>
          <w:p w14:paraId="5979EED5" w14:textId="77777777" w:rsidR="00DD6B6D" w:rsidRPr="009C5EFD" w:rsidRDefault="00E453CD" w:rsidP="008B396C">
            <w:pPr>
              <w:jc w:val="center"/>
              <w:rPr>
                <w:sz w:val="22"/>
                <w:szCs w:val="22"/>
              </w:rPr>
            </w:pPr>
            <w:r w:rsidRPr="009C5EFD">
              <w:rPr>
                <w:sz w:val="22"/>
                <w:szCs w:val="22"/>
              </w:rPr>
              <w:t>28,1 %</w:t>
            </w:r>
          </w:p>
        </w:tc>
        <w:tc>
          <w:tcPr>
            <w:tcW w:w="1576" w:type="dxa"/>
          </w:tcPr>
          <w:p w14:paraId="35CC3992" w14:textId="77777777" w:rsidR="00DD6B6D" w:rsidRPr="009C5EFD" w:rsidRDefault="00E453CD" w:rsidP="008B396C">
            <w:pPr>
              <w:jc w:val="center"/>
              <w:rPr>
                <w:sz w:val="22"/>
                <w:szCs w:val="22"/>
              </w:rPr>
            </w:pPr>
            <w:r w:rsidRPr="009C5EFD">
              <w:rPr>
                <w:sz w:val="22"/>
                <w:szCs w:val="22"/>
              </w:rPr>
              <w:t>46,6 %</w:t>
            </w:r>
          </w:p>
        </w:tc>
        <w:tc>
          <w:tcPr>
            <w:tcW w:w="1100" w:type="dxa"/>
          </w:tcPr>
          <w:p w14:paraId="76C967DC" w14:textId="77777777" w:rsidR="00DD6B6D" w:rsidRPr="009C5EFD" w:rsidRDefault="00E453CD" w:rsidP="008B396C">
            <w:pPr>
              <w:jc w:val="center"/>
              <w:rPr>
                <w:sz w:val="22"/>
                <w:szCs w:val="22"/>
              </w:rPr>
            </w:pPr>
            <w:r w:rsidRPr="009C5EFD">
              <w:rPr>
                <w:sz w:val="22"/>
                <w:szCs w:val="22"/>
              </w:rPr>
              <w:t>&lt; 0,001</w:t>
            </w:r>
          </w:p>
        </w:tc>
        <w:tc>
          <w:tcPr>
            <w:tcW w:w="1173" w:type="dxa"/>
          </w:tcPr>
          <w:p w14:paraId="27A24A40" w14:textId="77777777" w:rsidR="00DD6B6D" w:rsidRPr="009C5EFD" w:rsidRDefault="00E453CD" w:rsidP="008B396C">
            <w:pPr>
              <w:jc w:val="center"/>
              <w:rPr>
                <w:sz w:val="22"/>
                <w:szCs w:val="22"/>
              </w:rPr>
            </w:pPr>
            <w:r w:rsidRPr="009C5EFD">
              <w:rPr>
                <w:sz w:val="22"/>
                <w:szCs w:val="22"/>
              </w:rPr>
              <w:t>&lt; 0,001</w:t>
            </w:r>
          </w:p>
        </w:tc>
        <w:tc>
          <w:tcPr>
            <w:tcW w:w="1038" w:type="dxa"/>
          </w:tcPr>
          <w:p w14:paraId="18073F50" w14:textId="77777777" w:rsidR="00DD6B6D" w:rsidRPr="009C5EFD" w:rsidRDefault="00E453CD" w:rsidP="008B396C">
            <w:pPr>
              <w:jc w:val="center"/>
              <w:rPr>
                <w:sz w:val="22"/>
                <w:szCs w:val="22"/>
              </w:rPr>
            </w:pPr>
            <w:r w:rsidRPr="009C5EFD">
              <w:rPr>
                <w:sz w:val="22"/>
                <w:szCs w:val="22"/>
              </w:rPr>
              <w:t>0,864</w:t>
            </w:r>
          </w:p>
        </w:tc>
      </w:tr>
      <w:tr w:rsidR="004644D4" w14:paraId="2455C600" w14:textId="77777777" w:rsidTr="008B396C">
        <w:trPr>
          <w:gridBefore w:val="1"/>
          <w:wBefore w:w="6" w:type="dxa"/>
          <w:cantSplit/>
          <w:jc w:val="center"/>
        </w:trPr>
        <w:tc>
          <w:tcPr>
            <w:tcW w:w="9254" w:type="dxa"/>
            <w:gridSpan w:val="8"/>
          </w:tcPr>
          <w:p w14:paraId="547891CC" w14:textId="77777777" w:rsidR="00DD6B6D" w:rsidRPr="007F67EE" w:rsidRDefault="00E453CD" w:rsidP="008B396C">
            <w:pPr>
              <w:pStyle w:val="BodyTextIndent2"/>
              <w:tabs>
                <w:tab w:val="left" w:pos="330"/>
              </w:tabs>
              <w:ind w:left="330" w:hanging="330"/>
              <w:rPr>
                <w:szCs w:val="22"/>
              </w:rPr>
            </w:pPr>
            <w:r w:rsidRPr="007F67EE">
              <w:rPr>
                <w:szCs w:val="22"/>
              </w:rPr>
              <w:t>a.</w:t>
            </w:r>
            <w:r w:rsidRPr="007F67EE">
              <w:rPr>
                <w:szCs w:val="22"/>
              </w:rPr>
              <w:tab/>
              <w:t>p-verdien er fra den parvise sammenligningen av metotreksat monoterapi og Humira/metotreksat kombinasjonsbehandling med Mann-Whitney U testen.</w:t>
            </w:r>
          </w:p>
          <w:p w14:paraId="307E1D85" w14:textId="77777777" w:rsidR="00DD6B6D" w:rsidRPr="007F67EE" w:rsidRDefault="00E453CD" w:rsidP="008B396C">
            <w:pPr>
              <w:pStyle w:val="BodyTextIndent2"/>
              <w:tabs>
                <w:tab w:val="left" w:pos="330"/>
              </w:tabs>
              <w:ind w:left="330" w:hanging="330"/>
              <w:rPr>
                <w:szCs w:val="22"/>
              </w:rPr>
            </w:pPr>
            <w:r w:rsidRPr="007F67EE">
              <w:rPr>
                <w:szCs w:val="22"/>
              </w:rPr>
              <w:t>b.</w:t>
            </w:r>
            <w:r w:rsidRPr="007F67EE">
              <w:rPr>
                <w:szCs w:val="22"/>
              </w:rPr>
              <w:tab/>
              <w:t>p-verdien er fra den parvise sammenligningen av Humira monoterapi og Humira/metotreksat kombinasjonsbehandling med Mann-Whitney U testen.</w:t>
            </w:r>
          </w:p>
          <w:p w14:paraId="713F4C0F" w14:textId="77777777" w:rsidR="00DD6B6D" w:rsidRPr="002D0790" w:rsidRDefault="00E453CD" w:rsidP="008B396C">
            <w:pPr>
              <w:pStyle w:val="BodyTextIndent"/>
              <w:ind w:left="330" w:hanging="330"/>
              <w:rPr>
                <w:b/>
                <w:sz w:val="22"/>
                <w:szCs w:val="22"/>
              </w:rPr>
            </w:pPr>
            <w:r w:rsidRPr="00193D76">
              <w:rPr>
                <w:sz w:val="22"/>
                <w:szCs w:val="22"/>
              </w:rPr>
              <w:t>c.   p-verdien er fra den parvise sammenligningen av Humira monoterapi og metotreksat monoterapi med Mann-Whitney U testen.</w:t>
            </w:r>
          </w:p>
        </w:tc>
      </w:tr>
    </w:tbl>
    <w:p w14:paraId="0999ACDE" w14:textId="77777777" w:rsidR="00DD6B6D" w:rsidRPr="009C5EFD" w:rsidRDefault="00DD6B6D" w:rsidP="00DD6B6D">
      <w:pPr>
        <w:rPr>
          <w:sz w:val="22"/>
          <w:szCs w:val="22"/>
        </w:rPr>
      </w:pPr>
    </w:p>
    <w:p w14:paraId="67898355" w14:textId="77777777" w:rsidR="00DD6B6D" w:rsidRDefault="00E453CD" w:rsidP="00DD6B6D">
      <w:pPr>
        <w:rPr>
          <w:sz w:val="22"/>
          <w:szCs w:val="22"/>
        </w:rPr>
      </w:pPr>
      <w:r>
        <w:rPr>
          <w:sz w:val="22"/>
          <w:szCs w:val="22"/>
        </w:rPr>
        <w:t>I den åpne forlengelsesfasen for RA studie V, ble ACR-responsrater vedlikeholdt i opptil 10</w:t>
      </w:r>
      <w:r w:rsidR="00673757">
        <w:rPr>
          <w:sz w:val="22"/>
          <w:szCs w:val="22"/>
        </w:rPr>
        <w:t> </w:t>
      </w:r>
      <w:r>
        <w:rPr>
          <w:sz w:val="22"/>
          <w:szCs w:val="22"/>
        </w:rPr>
        <w:t>år. Av 542</w:t>
      </w:r>
      <w:r w:rsidR="00673757">
        <w:rPr>
          <w:sz w:val="22"/>
          <w:szCs w:val="22"/>
        </w:rPr>
        <w:t> </w:t>
      </w:r>
      <w:r>
        <w:rPr>
          <w:sz w:val="22"/>
          <w:szCs w:val="22"/>
        </w:rPr>
        <w:t>pasienter randomisert til Humira 40</w:t>
      </w:r>
      <w:r w:rsidR="00673757">
        <w:rPr>
          <w:sz w:val="22"/>
          <w:szCs w:val="22"/>
        </w:rPr>
        <w:t> </w:t>
      </w:r>
      <w:r>
        <w:rPr>
          <w:sz w:val="22"/>
          <w:szCs w:val="22"/>
        </w:rPr>
        <w:t>mg annenhver uke, fortsatte 170</w:t>
      </w:r>
      <w:r w:rsidR="00673757">
        <w:rPr>
          <w:sz w:val="22"/>
          <w:szCs w:val="22"/>
        </w:rPr>
        <w:t> </w:t>
      </w:r>
      <w:r w:rsidR="003B49EC">
        <w:rPr>
          <w:sz w:val="22"/>
          <w:szCs w:val="22"/>
        </w:rPr>
        <w:t xml:space="preserve">pasienter </w:t>
      </w:r>
      <w:r w:rsidR="00240398">
        <w:rPr>
          <w:sz w:val="22"/>
          <w:szCs w:val="22"/>
        </w:rPr>
        <w:t>med</w:t>
      </w:r>
      <w:r>
        <w:rPr>
          <w:sz w:val="22"/>
          <w:szCs w:val="22"/>
        </w:rPr>
        <w:t xml:space="preserve"> Humira 40</w:t>
      </w:r>
      <w:r w:rsidR="00673757">
        <w:rPr>
          <w:sz w:val="22"/>
          <w:szCs w:val="22"/>
        </w:rPr>
        <w:t> </w:t>
      </w:r>
      <w:r>
        <w:rPr>
          <w:sz w:val="22"/>
          <w:szCs w:val="22"/>
        </w:rPr>
        <w:t>mg annenhver uke i 10</w:t>
      </w:r>
      <w:r w:rsidR="00673757">
        <w:rPr>
          <w:sz w:val="22"/>
          <w:szCs w:val="22"/>
        </w:rPr>
        <w:t> </w:t>
      </w:r>
      <w:r>
        <w:rPr>
          <w:sz w:val="22"/>
          <w:szCs w:val="22"/>
        </w:rPr>
        <w:t>år. Av disse hadde 154</w:t>
      </w:r>
      <w:r w:rsidR="00673757">
        <w:rPr>
          <w:sz w:val="22"/>
          <w:szCs w:val="22"/>
        </w:rPr>
        <w:t> </w:t>
      </w:r>
      <w:r>
        <w:rPr>
          <w:sz w:val="22"/>
          <w:szCs w:val="22"/>
        </w:rPr>
        <w:t>pasienter (90,6</w:t>
      </w:r>
      <w:r w:rsidR="00673757">
        <w:rPr>
          <w:sz w:val="22"/>
          <w:szCs w:val="22"/>
        </w:rPr>
        <w:t> </w:t>
      </w:r>
      <w:r>
        <w:rPr>
          <w:sz w:val="22"/>
          <w:szCs w:val="22"/>
        </w:rPr>
        <w:t>%) ACR</w:t>
      </w:r>
      <w:r w:rsidR="00673757">
        <w:rPr>
          <w:sz w:val="22"/>
          <w:szCs w:val="22"/>
        </w:rPr>
        <w:t> </w:t>
      </w:r>
      <w:r>
        <w:rPr>
          <w:sz w:val="22"/>
          <w:szCs w:val="22"/>
        </w:rPr>
        <w:t>20</w:t>
      </w:r>
      <w:r w:rsidR="00673757">
        <w:rPr>
          <w:sz w:val="22"/>
          <w:szCs w:val="22"/>
        </w:rPr>
        <w:t> </w:t>
      </w:r>
      <w:r>
        <w:rPr>
          <w:sz w:val="22"/>
          <w:szCs w:val="22"/>
        </w:rPr>
        <w:t>responser, 127</w:t>
      </w:r>
      <w:r w:rsidR="00673757">
        <w:rPr>
          <w:sz w:val="22"/>
          <w:szCs w:val="22"/>
        </w:rPr>
        <w:t> </w:t>
      </w:r>
      <w:r>
        <w:rPr>
          <w:sz w:val="22"/>
          <w:szCs w:val="22"/>
        </w:rPr>
        <w:t>pasienter (74,7</w:t>
      </w:r>
      <w:r w:rsidR="00673757">
        <w:rPr>
          <w:sz w:val="22"/>
          <w:szCs w:val="22"/>
        </w:rPr>
        <w:t> </w:t>
      </w:r>
      <w:r>
        <w:rPr>
          <w:sz w:val="22"/>
          <w:szCs w:val="22"/>
        </w:rPr>
        <w:t>%) hadde ACR</w:t>
      </w:r>
      <w:r w:rsidR="00673757">
        <w:rPr>
          <w:sz w:val="22"/>
          <w:szCs w:val="22"/>
        </w:rPr>
        <w:t> </w:t>
      </w:r>
      <w:r>
        <w:rPr>
          <w:sz w:val="22"/>
          <w:szCs w:val="22"/>
        </w:rPr>
        <w:t>50</w:t>
      </w:r>
      <w:r w:rsidR="00673757">
        <w:rPr>
          <w:sz w:val="22"/>
          <w:szCs w:val="22"/>
        </w:rPr>
        <w:t> </w:t>
      </w:r>
      <w:r>
        <w:rPr>
          <w:sz w:val="22"/>
          <w:szCs w:val="22"/>
        </w:rPr>
        <w:t>responser og 102</w:t>
      </w:r>
      <w:r w:rsidR="00673757">
        <w:rPr>
          <w:sz w:val="22"/>
          <w:szCs w:val="22"/>
        </w:rPr>
        <w:t> </w:t>
      </w:r>
      <w:r>
        <w:rPr>
          <w:sz w:val="22"/>
          <w:szCs w:val="22"/>
        </w:rPr>
        <w:t>pasienter (60,0</w:t>
      </w:r>
      <w:r w:rsidR="00673757">
        <w:rPr>
          <w:sz w:val="22"/>
          <w:szCs w:val="22"/>
        </w:rPr>
        <w:t> </w:t>
      </w:r>
      <w:r>
        <w:rPr>
          <w:sz w:val="22"/>
          <w:szCs w:val="22"/>
        </w:rPr>
        <w:t>%) hadde ACR</w:t>
      </w:r>
      <w:r w:rsidR="00673757">
        <w:rPr>
          <w:sz w:val="22"/>
          <w:szCs w:val="22"/>
        </w:rPr>
        <w:t> </w:t>
      </w:r>
      <w:r>
        <w:rPr>
          <w:sz w:val="22"/>
          <w:szCs w:val="22"/>
        </w:rPr>
        <w:t>70</w:t>
      </w:r>
      <w:r w:rsidR="00673757">
        <w:rPr>
          <w:sz w:val="22"/>
          <w:szCs w:val="22"/>
        </w:rPr>
        <w:t> </w:t>
      </w:r>
      <w:r>
        <w:rPr>
          <w:sz w:val="22"/>
          <w:szCs w:val="22"/>
        </w:rPr>
        <w:t>responser.</w:t>
      </w:r>
    </w:p>
    <w:p w14:paraId="2180470C" w14:textId="77777777" w:rsidR="00DD6B6D" w:rsidRDefault="00DD6B6D" w:rsidP="00DD6B6D">
      <w:pPr>
        <w:rPr>
          <w:sz w:val="22"/>
          <w:szCs w:val="22"/>
        </w:rPr>
      </w:pPr>
    </w:p>
    <w:p w14:paraId="513251CD" w14:textId="77777777" w:rsidR="00DD6B6D" w:rsidRPr="009C5EFD" w:rsidRDefault="00E453CD" w:rsidP="00DD6B6D">
      <w:pPr>
        <w:rPr>
          <w:sz w:val="22"/>
          <w:szCs w:val="22"/>
        </w:rPr>
      </w:pPr>
      <w:r w:rsidRPr="009C5EFD">
        <w:rPr>
          <w:sz w:val="22"/>
          <w:szCs w:val="22"/>
        </w:rPr>
        <w:t>Ved uke</w:t>
      </w:r>
      <w:r w:rsidR="00673757">
        <w:rPr>
          <w:sz w:val="22"/>
          <w:szCs w:val="22"/>
        </w:rPr>
        <w:t> </w:t>
      </w:r>
      <w:r w:rsidRPr="009C5EFD">
        <w:rPr>
          <w:sz w:val="22"/>
          <w:szCs w:val="22"/>
        </w:rPr>
        <w:t>52 oppnådde 42,9</w:t>
      </w:r>
      <w:r w:rsidR="00673757">
        <w:rPr>
          <w:sz w:val="22"/>
          <w:szCs w:val="22"/>
        </w:rPr>
        <w:t> </w:t>
      </w:r>
      <w:r w:rsidRPr="009C5EFD">
        <w:rPr>
          <w:sz w:val="22"/>
          <w:szCs w:val="22"/>
        </w:rPr>
        <w:t xml:space="preserve">% av pasientene som fikk kombinasjonsbehandling med Humira/metotreksat klinisk remisjon (DAS28 </w:t>
      </w:r>
      <w:r>
        <w:rPr>
          <w:sz w:val="22"/>
          <w:szCs w:val="22"/>
        </w:rPr>
        <w:t xml:space="preserve">(CRP) </w:t>
      </w:r>
      <w:r w:rsidRPr="009C5EFD">
        <w:rPr>
          <w:sz w:val="22"/>
          <w:szCs w:val="22"/>
        </w:rPr>
        <w:t>&lt;</w:t>
      </w:r>
      <w:r w:rsidR="00673757">
        <w:rPr>
          <w:sz w:val="22"/>
          <w:szCs w:val="22"/>
        </w:rPr>
        <w:t> </w:t>
      </w:r>
      <w:r w:rsidRPr="009C5EFD">
        <w:rPr>
          <w:sz w:val="22"/>
          <w:szCs w:val="22"/>
        </w:rPr>
        <w:t>2,6) sammenlignet med 20,6</w:t>
      </w:r>
      <w:r w:rsidR="00673757">
        <w:rPr>
          <w:sz w:val="22"/>
          <w:szCs w:val="22"/>
        </w:rPr>
        <w:t> </w:t>
      </w:r>
      <w:r w:rsidRPr="009C5EFD">
        <w:rPr>
          <w:sz w:val="22"/>
          <w:szCs w:val="22"/>
        </w:rPr>
        <w:t>% av pasientene som fikk metotreksat monoterapi og 23,4</w:t>
      </w:r>
      <w:r w:rsidR="00673757">
        <w:rPr>
          <w:sz w:val="22"/>
          <w:szCs w:val="22"/>
        </w:rPr>
        <w:t> </w:t>
      </w:r>
      <w:r w:rsidRPr="009C5EFD">
        <w:rPr>
          <w:sz w:val="22"/>
          <w:szCs w:val="22"/>
        </w:rPr>
        <w:t>% av pasientene som fikk Humira monoterapi. Kombinasjonsbehandling med Humira/metotreksat var klinisk og statistisk bedre enn metotreksat (p &lt;</w:t>
      </w:r>
      <w:r w:rsidR="00673757">
        <w:rPr>
          <w:sz w:val="22"/>
          <w:szCs w:val="22"/>
        </w:rPr>
        <w:t> </w:t>
      </w:r>
      <w:r w:rsidRPr="009C5EFD">
        <w:rPr>
          <w:sz w:val="22"/>
          <w:szCs w:val="22"/>
        </w:rPr>
        <w:t>0,001) og Humira monoterapi (p &lt;</w:t>
      </w:r>
      <w:r w:rsidR="00673757">
        <w:rPr>
          <w:sz w:val="22"/>
          <w:szCs w:val="22"/>
        </w:rPr>
        <w:t> </w:t>
      </w:r>
      <w:r w:rsidRPr="009C5EFD">
        <w:rPr>
          <w:sz w:val="22"/>
          <w:szCs w:val="22"/>
        </w:rPr>
        <w:t>0,001), i å oppnå en lettere sykdomstilstand, for pasienter som nylig var diagnostisert med moderat til alvorlig revmatoid artritt. Responsen for de to monoterapiarmene var lik (p = 0,447).</w:t>
      </w:r>
      <w:r>
        <w:rPr>
          <w:sz w:val="22"/>
          <w:szCs w:val="22"/>
        </w:rPr>
        <w:t xml:space="preserve"> Av 342</w:t>
      </w:r>
      <w:r w:rsidR="00673757">
        <w:rPr>
          <w:sz w:val="22"/>
          <w:szCs w:val="22"/>
        </w:rPr>
        <w:t> </w:t>
      </w:r>
      <w:r>
        <w:rPr>
          <w:sz w:val="22"/>
          <w:szCs w:val="22"/>
        </w:rPr>
        <w:t xml:space="preserve">pasienter </w:t>
      </w:r>
      <w:r w:rsidR="002F547B">
        <w:rPr>
          <w:sz w:val="22"/>
          <w:szCs w:val="22"/>
        </w:rPr>
        <w:t xml:space="preserve">opprinnelig </w:t>
      </w:r>
      <w:r>
        <w:rPr>
          <w:sz w:val="22"/>
          <w:szCs w:val="22"/>
        </w:rPr>
        <w:t xml:space="preserve">randomisert til Humira monoterapi eller Humira/metotreksat kombinasjonsbehandling, som ble inkludert i den åpne </w:t>
      </w:r>
      <w:r>
        <w:rPr>
          <w:sz w:val="22"/>
          <w:szCs w:val="22"/>
        </w:rPr>
        <w:lastRenderedPageBreak/>
        <w:t>forlengelsesfasen, fullførte 171</w:t>
      </w:r>
      <w:r w:rsidR="00673757">
        <w:rPr>
          <w:sz w:val="22"/>
          <w:szCs w:val="22"/>
        </w:rPr>
        <w:t> </w:t>
      </w:r>
      <w:r>
        <w:rPr>
          <w:sz w:val="22"/>
          <w:szCs w:val="22"/>
        </w:rPr>
        <w:t>pasienter 10</w:t>
      </w:r>
      <w:r w:rsidR="00673757">
        <w:rPr>
          <w:sz w:val="22"/>
          <w:szCs w:val="22"/>
        </w:rPr>
        <w:t> </w:t>
      </w:r>
      <w:r>
        <w:rPr>
          <w:sz w:val="22"/>
          <w:szCs w:val="22"/>
        </w:rPr>
        <w:t>år med Humira-behandling. Blant disse ble 109</w:t>
      </w:r>
      <w:r w:rsidR="00673757">
        <w:rPr>
          <w:sz w:val="22"/>
          <w:szCs w:val="22"/>
        </w:rPr>
        <w:t> </w:t>
      </w:r>
      <w:r>
        <w:rPr>
          <w:sz w:val="22"/>
          <w:szCs w:val="22"/>
        </w:rPr>
        <w:t>pasienter (63,7</w:t>
      </w:r>
      <w:r w:rsidR="00673757">
        <w:rPr>
          <w:sz w:val="22"/>
          <w:szCs w:val="22"/>
        </w:rPr>
        <w:t> </w:t>
      </w:r>
      <w:r>
        <w:rPr>
          <w:sz w:val="22"/>
          <w:szCs w:val="22"/>
        </w:rPr>
        <w:t>%) rapportert til å være i remisjon etter 10</w:t>
      </w:r>
      <w:r w:rsidR="00673757">
        <w:rPr>
          <w:sz w:val="22"/>
          <w:szCs w:val="22"/>
        </w:rPr>
        <w:t> </w:t>
      </w:r>
      <w:r>
        <w:rPr>
          <w:sz w:val="22"/>
          <w:szCs w:val="22"/>
        </w:rPr>
        <w:t>år.</w:t>
      </w:r>
    </w:p>
    <w:p w14:paraId="12791964" w14:textId="77777777" w:rsidR="00DD6B6D" w:rsidRPr="009C5EFD" w:rsidRDefault="00DD6B6D" w:rsidP="00DD6B6D">
      <w:pPr>
        <w:pStyle w:val="Heading7"/>
        <w:keepNext w:val="0"/>
        <w:rPr>
          <w:i w:val="0"/>
          <w:szCs w:val="22"/>
          <w:u w:val="single"/>
        </w:rPr>
      </w:pPr>
    </w:p>
    <w:p w14:paraId="4ACFC4BB" w14:textId="77777777" w:rsidR="00DD6B6D" w:rsidRPr="00193D76" w:rsidRDefault="00E453CD" w:rsidP="00776A84">
      <w:pPr>
        <w:pStyle w:val="Heading7"/>
        <w:rPr>
          <w:i w:val="0"/>
          <w:szCs w:val="22"/>
          <w:u w:val="single"/>
        </w:rPr>
      </w:pPr>
      <w:r>
        <w:rPr>
          <w:noProof/>
          <w:szCs w:val="22"/>
          <w:u w:val="single"/>
          <w:lang w:val="en-GB" w:eastAsia="en-GB"/>
        </w:rPr>
        <mc:AlternateContent>
          <mc:Choice Requires="wps">
            <w:drawing>
              <wp:anchor distT="0" distB="0" distL="114300" distR="114300" simplePos="0" relativeHeight="251658243" behindDoc="0" locked="0" layoutInCell="0" allowOverlap="1" wp14:anchorId="36CED610" wp14:editId="37F6F4D9">
                <wp:simplePos x="0" y="0"/>
                <wp:positionH relativeFrom="column">
                  <wp:posOffset>-1943100</wp:posOffset>
                </wp:positionH>
                <wp:positionV relativeFrom="paragraph">
                  <wp:posOffset>67310</wp:posOffset>
                </wp:positionV>
                <wp:extent cx="571500" cy="335280"/>
                <wp:effectExtent l="0" t="0" r="0" b="0"/>
                <wp:wrapNone/>
                <wp:docPr id="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E6369" w14:textId="77777777" w:rsidR="001F4B85" w:rsidRDefault="001F4B85" w:rsidP="00DD6B6D">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6CED610" id="Text Box 14" o:spid="_x0000_s1028" type="#_x0000_t202" style="position:absolute;left:0;text-align:left;margin-left:-153pt;margin-top:5.3pt;width:45pt;height:26.4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" o:allowincell="f" stroked="f">
                <v:textbox>
                  <w:txbxContent>
                    <w:p w14:paraId="55BE6369" w14:textId="77777777" w:rsidR="001F4B85" w:rsidRDefault="001F4B85" w:rsidP="00DD6B6D">
                      <w:pPr>
                        <w:rPr>
                          <w:sz w:val="20"/>
                        </w:rPr>
                      </w:pPr>
                    </w:p>
                  </w:txbxContent>
                </v:textbox>
              </v:shape>
            </w:pict>
          </mc:Fallback>
        </mc:AlternateContent>
      </w:r>
      <w:r>
        <w:rPr>
          <w:noProof/>
          <w:szCs w:val="22"/>
          <w:u w:val="single"/>
          <w:lang w:val="en-GB" w:eastAsia="en-GB"/>
        </w:rPr>
        <mc:AlternateContent>
          <mc:Choice Requires="wps">
            <w:drawing>
              <wp:anchor distT="0" distB="0" distL="114300" distR="114300" simplePos="0" relativeHeight="251658245" behindDoc="0" locked="0" layoutInCell="0" allowOverlap="1" wp14:anchorId="181C0080" wp14:editId="054BF5E9">
                <wp:simplePos x="0" y="0"/>
                <wp:positionH relativeFrom="column">
                  <wp:posOffset>-1943100</wp:posOffset>
                </wp:positionH>
                <wp:positionV relativeFrom="paragraph">
                  <wp:posOffset>67310</wp:posOffset>
                </wp:positionV>
                <wp:extent cx="571500" cy="335280"/>
                <wp:effectExtent l="0" t="0" r="0" b="0"/>
                <wp:wrapNone/>
                <wp:docPr id="9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4A44A" w14:textId="77777777" w:rsidR="001F4B85" w:rsidRDefault="001F4B85" w:rsidP="00DD6B6D">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81C0080" id="Text Box 60" o:spid="_x0000_s1029" type="#_x0000_t202" style="position:absolute;left:0;text-align:left;margin-left:-153pt;margin-top:5.3pt;width:45pt;height:26.4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" o:allowincell="f" stroked="f">
                <v:textbox>
                  <w:txbxContent>
                    <w:p w14:paraId="1D84A44A" w14:textId="77777777" w:rsidR="001F4B85" w:rsidRDefault="001F4B85" w:rsidP="00DD6B6D">
                      <w:pPr>
                        <w:rPr>
                          <w:sz w:val="20"/>
                        </w:rPr>
                      </w:pPr>
                    </w:p>
                  </w:txbxContent>
                </v:textbox>
              </v:shape>
            </w:pict>
          </mc:Fallback>
        </mc:AlternateContent>
      </w:r>
      <w:r w:rsidRPr="009608CE">
        <w:rPr>
          <w:szCs w:val="22"/>
          <w:u w:val="single"/>
        </w:rPr>
        <w:t>Radiografisk respons</w:t>
      </w:r>
    </w:p>
    <w:p w14:paraId="1FBB04A4" w14:textId="77777777" w:rsidR="00DD6B6D" w:rsidRPr="001F5D4B" w:rsidRDefault="00DD6B6D" w:rsidP="00776A84">
      <w:pPr>
        <w:keepNext/>
        <w:rPr>
          <w:sz w:val="22"/>
          <w:szCs w:val="22"/>
        </w:rPr>
      </w:pPr>
    </w:p>
    <w:p w14:paraId="64ADBEB9" w14:textId="77777777" w:rsidR="00DD6B6D" w:rsidRPr="009C5EFD" w:rsidRDefault="00E453CD" w:rsidP="00DD6B6D">
      <w:pPr>
        <w:rPr>
          <w:sz w:val="22"/>
          <w:szCs w:val="22"/>
        </w:rPr>
      </w:pPr>
      <w:r w:rsidRPr="007F67EE">
        <w:rPr>
          <w:sz w:val="22"/>
          <w:szCs w:val="22"/>
        </w:rPr>
        <w:t>I RA-studie III, der pasienter behandlet med Humira hadde hatt revmatoid artritt i gjennomsnittlig 11</w:t>
      </w:r>
      <w:r w:rsidR="008538BD">
        <w:rPr>
          <w:sz w:val="22"/>
          <w:szCs w:val="22"/>
        </w:rPr>
        <w:t> </w:t>
      </w:r>
      <w:r w:rsidRPr="007F67EE">
        <w:rPr>
          <w:sz w:val="22"/>
          <w:szCs w:val="22"/>
        </w:rPr>
        <w:t>år, ble den strukturelle leddskaden vurdert radiografisk o</w:t>
      </w:r>
      <w:r w:rsidRPr="00193D76">
        <w:rPr>
          <w:sz w:val="22"/>
          <w:szCs w:val="22"/>
        </w:rPr>
        <w:t>g uttrykt som endringer i den modifiserte Total Sharp Score (TSS) og dens delkomponenter, erosjonsscoren og leddspaltescoren. Humira/</w:t>
      </w:r>
      <w:r w:rsidRPr="002D0790">
        <w:rPr>
          <w:sz w:val="22"/>
          <w:szCs w:val="22"/>
        </w:rPr>
        <w:t>metotreksat pasienter viste signifikant mindre radiografisk progresjon enn pasienter som kun fikk metotreksat ved 6 og 12</w:t>
      </w:r>
      <w:r w:rsidR="008538BD">
        <w:rPr>
          <w:sz w:val="22"/>
          <w:szCs w:val="22"/>
        </w:rPr>
        <w:t> </w:t>
      </w:r>
      <w:r w:rsidRPr="002D0790">
        <w:rPr>
          <w:sz w:val="22"/>
          <w:szCs w:val="22"/>
        </w:rPr>
        <w:t>m</w:t>
      </w:r>
      <w:r w:rsidRPr="00E14E58">
        <w:rPr>
          <w:sz w:val="22"/>
          <w:szCs w:val="22"/>
        </w:rPr>
        <w:t>åneder (se tabell</w:t>
      </w:r>
      <w:r w:rsidR="008538BD">
        <w:rPr>
          <w:sz w:val="22"/>
          <w:szCs w:val="22"/>
        </w:rPr>
        <w:t> </w:t>
      </w:r>
      <w:r w:rsidR="00A457B0">
        <w:rPr>
          <w:sz w:val="22"/>
          <w:szCs w:val="22"/>
        </w:rPr>
        <w:t>9</w:t>
      </w:r>
      <w:r w:rsidRPr="009C5EFD">
        <w:rPr>
          <w:sz w:val="22"/>
          <w:szCs w:val="22"/>
        </w:rPr>
        <w:t>).</w:t>
      </w:r>
    </w:p>
    <w:p w14:paraId="787AB36B" w14:textId="77777777" w:rsidR="00DD6B6D" w:rsidRPr="009C5EFD" w:rsidRDefault="00DD6B6D" w:rsidP="00DD6B6D">
      <w:pPr>
        <w:rPr>
          <w:sz w:val="22"/>
          <w:szCs w:val="22"/>
        </w:rPr>
      </w:pPr>
    </w:p>
    <w:p w14:paraId="16420583" w14:textId="77777777" w:rsidR="00DD6B6D" w:rsidRPr="009C5EFD" w:rsidRDefault="00E453CD" w:rsidP="00DD6B6D">
      <w:pPr>
        <w:rPr>
          <w:sz w:val="22"/>
          <w:szCs w:val="22"/>
        </w:rPr>
      </w:pPr>
      <w:r w:rsidRPr="009C5EFD">
        <w:rPr>
          <w:sz w:val="22"/>
          <w:szCs w:val="22"/>
        </w:rPr>
        <w:t>I den åpne oppfølgingsstudien av RA-studie III</w:t>
      </w:r>
      <w:r w:rsidR="00836BD4">
        <w:rPr>
          <w:sz w:val="22"/>
          <w:szCs w:val="22"/>
        </w:rPr>
        <w:t xml:space="preserve"> </w:t>
      </w:r>
      <w:r w:rsidRPr="009C5EFD">
        <w:rPr>
          <w:sz w:val="22"/>
          <w:szCs w:val="22"/>
        </w:rPr>
        <w:t>opprettholdes reduksjonen i progresjonshastighet på strukturell skade hos en gruppe av pasienter i 8 og 10</w:t>
      </w:r>
      <w:r w:rsidR="008538BD">
        <w:rPr>
          <w:sz w:val="22"/>
          <w:szCs w:val="22"/>
        </w:rPr>
        <w:t> </w:t>
      </w:r>
      <w:r w:rsidRPr="009C5EFD">
        <w:rPr>
          <w:sz w:val="22"/>
          <w:szCs w:val="22"/>
        </w:rPr>
        <w:t>år. 81 av 207</w:t>
      </w:r>
      <w:r w:rsidR="008538BD">
        <w:rPr>
          <w:sz w:val="22"/>
          <w:szCs w:val="22"/>
        </w:rPr>
        <w:t> </w:t>
      </w:r>
      <w:r w:rsidRPr="009C5EFD">
        <w:rPr>
          <w:sz w:val="22"/>
          <w:szCs w:val="22"/>
        </w:rPr>
        <w:t>pasienter opprinnelig behandlet med 40</w:t>
      </w:r>
      <w:r w:rsidR="008538BD">
        <w:rPr>
          <w:sz w:val="22"/>
          <w:szCs w:val="22"/>
        </w:rPr>
        <w:t> </w:t>
      </w:r>
      <w:r w:rsidRPr="009C5EFD">
        <w:rPr>
          <w:sz w:val="22"/>
          <w:szCs w:val="22"/>
        </w:rPr>
        <w:t>mg Humira annenhver uke ble radiografisk undersøkt etter 8</w:t>
      </w:r>
      <w:r w:rsidR="008538BD">
        <w:rPr>
          <w:sz w:val="22"/>
          <w:szCs w:val="22"/>
        </w:rPr>
        <w:t> </w:t>
      </w:r>
      <w:r w:rsidRPr="009C5EFD">
        <w:rPr>
          <w:sz w:val="22"/>
          <w:szCs w:val="22"/>
        </w:rPr>
        <w:t>år. Blant disse viste 48</w:t>
      </w:r>
      <w:r w:rsidR="008538BD">
        <w:rPr>
          <w:sz w:val="22"/>
          <w:szCs w:val="22"/>
        </w:rPr>
        <w:t> </w:t>
      </w:r>
      <w:r w:rsidRPr="009C5EFD">
        <w:rPr>
          <w:sz w:val="22"/>
          <w:szCs w:val="22"/>
        </w:rPr>
        <w:t>pasienter ingen progresjon på strukturell skade, definert ved forandring fra baseline i mTSS på 0,5eller lavere. 79 av 207</w:t>
      </w:r>
      <w:r w:rsidR="008538BD">
        <w:rPr>
          <w:sz w:val="22"/>
          <w:szCs w:val="22"/>
        </w:rPr>
        <w:t> </w:t>
      </w:r>
      <w:r w:rsidRPr="009C5EFD">
        <w:rPr>
          <w:sz w:val="22"/>
          <w:szCs w:val="22"/>
        </w:rPr>
        <w:t>pasienter opprinnelig behandlet med 40</w:t>
      </w:r>
      <w:r w:rsidR="008538BD">
        <w:t> </w:t>
      </w:r>
      <w:r w:rsidRPr="009C5EFD">
        <w:rPr>
          <w:sz w:val="22"/>
          <w:szCs w:val="22"/>
        </w:rPr>
        <w:t>mg Humira annenhver uke ble radiografisk undersøkt etter 10</w:t>
      </w:r>
      <w:r w:rsidR="008538BD">
        <w:rPr>
          <w:sz w:val="22"/>
          <w:szCs w:val="22"/>
        </w:rPr>
        <w:t> </w:t>
      </w:r>
      <w:r w:rsidRPr="009C5EFD">
        <w:rPr>
          <w:sz w:val="22"/>
          <w:szCs w:val="22"/>
        </w:rPr>
        <w:t>år. Blant disse viste 40</w:t>
      </w:r>
      <w:r w:rsidR="008538BD">
        <w:rPr>
          <w:sz w:val="22"/>
          <w:szCs w:val="22"/>
        </w:rPr>
        <w:t> </w:t>
      </w:r>
      <w:r w:rsidRPr="009C5EFD">
        <w:rPr>
          <w:sz w:val="22"/>
          <w:szCs w:val="22"/>
        </w:rPr>
        <w:t>pasienter ingen progresjon på strukturell skade, definert ved forandring fra baseline i mTSS på 0,5 eller lavere.</w:t>
      </w:r>
    </w:p>
    <w:p w14:paraId="7DDA2CF5" w14:textId="77777777" w:rsidR="00DD6B6D" w:rsidRPr="009C5EFD" w:rsidRDefault="00DD6B6D" w:rsidP="00DD6B6D">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430"/>
        <w:gridCol w:w="1790"/>
        <w:gridCol w:w="2000"/>
        <w:gridCol w:w="1548"/>
      </w:tblGrid>
      <w:tr w:rsidR="004644D4" w14:paraId="45B8734E" w14:textId="77777777" w:rsidTr="008B396C">
        <w:trPr>
          <w:cantSplit/>
        </w:trPr>
        <w:tc>
          <w:tcPr>
            <w:tcW w:w="8748" w:type="dxa"/>
            <w:gridSpan w:val="5"/>
            <w:tcBorders>
              <w:top w:val="nil"/>
              <w:left w:val="nil"/>
              <w:bottom w:val="single" w:sz="4" w:space="0" w:color="auto"/>
              <w:right w:val="nil"/>
            </w:tcBorders>
          </w:tcPr>
          <w:p w14:paraId="35FB9FF3" w14:textId="77777777" w:rsidR="00DD6B6D" w:rsidRDefault="00E453CD" w:rsidP="008B396C">
            <w:pPr>
              <w:pStyle w:val="Heading9"/>
              <w:keepNext/>
              <w:spacing w:before="0" w:after="0"/>
              <w:jc w:val="center"/>
              <w:rPr>
                <w:rFonts w:ascii="Times New Roman" w:hAnsi="Times New Roman" w:cs="Times New Roman"/>
                <w:b/>
                <w:bCs/>
              </w:rPr>
            </w:pPr>
            <w:r w:rsidRPr="009C5EFD">
              <w:rPr>
                <w:rFonts w:ascii="Times New Roman" w:hAnsi="Times New Roman" w:cs="Times New Roman"/>
                <w:b/>
                <w:bCs/>
              </w:rPr>
              <w:t xml:space="preserve">Tabell </w:t>
            </w:r>
            <w:r w:rsidR="00A457B0">
              <w:rPr>
                <w:rFonts w:ascii="Times New Roman" w:hAnsi="Times New Roman" w:cs="Times New Roman"/>
                <w:b/>
                <w:bCs/>
              </w:rPr>
              <w:t>9</w:t>
            </w:r>
            <w:r w:rsidR="00A457B0" w:rsidRPr="009C5EFD">
              <w:rPr>
                <w:rFonts w:ascii="Times New Roman" w:hAnsi="Times New Roman" w:cs="Times New Roman"/>
                <w:b/>
                <w:bCs/>
              </w:rPr>
              <w:t xml:space="preserve"> </w:t>
            </w:r>
          </w:p>
          <w:p w14:paraId="11340B51" w14:textId="77777777" w:rsidR="00DD6B6D" w:rsidRPr="009C5EFD" w:rsidRDefault="00E453CD" w:rsidP="008B396C">
            <w:pPr>
              <w:pStyle w:val="Heading9"/>
              <w:keepNext/>
              <w:spacing w:before="0" w:after="0"/>
              <w:jc w:val="center"/>
              <w:rPr>
                <w:rFonts w:ascii="Times New Roman" w:hAnsi="Times New Roman" w:cs="Times New Roman"/>
                <w:b/>
                <w:bCs/>
              </w:rPr>
            </w:pPr>
            <w:r w:rsidRPr="009C5EFD">
              <w:rPr>
                <w:rFonts w:ascii="Times New Roman" w:hAnsi="Times New Roman" w:cs="Times New Roman"/>
                <w:b/>
                <w:bCs/>
              </w:rPr>
              <w:t>Radiografisk gjennomsnittlig endring over 12 måneder i RA-studie III</w:t>
            </w:r>
          </w:p>
          <w:p w14:paraId="14A2D455" w14:textId="77777777" w:rsidR="00DD6B6D" w:rsidRPr="009C5EFD" w:rsidRDefault="00DD6B6D" w:rsidP="008B396C">
            <w:pPr>
              <w:keepNext/>
            </w:pPr>
          </w:p>
        </w:tc>
      </w:tr>
      <w:tr w:rsidR="004644D4" w14:paraId="0CC7287D" w14:textId="77777777" w:rsidTr="008B396C">
        <w:tc>
          <w:tcPr>
            <w:tcW w:w="1980" w:type="dxa"/>
            <w:tcBorders>
              <w:top w:val="single" w:sz="4" w:space="0" w:color="auto"/>
            </w:tcBorders>
          </w:tcPr>
          <w:p w14:paraId="502C5A8A" w14:textId="77777777" w:rsidR="00DD6B6D" w:rsidRPr="009C5EFD" w:rsidRDefault="00DD6B6D" w:rsidP="008B396C">
            <w:pPr>
              <w:keepNext/>
              <w:jc w:val="center"/>
              <w:rPr>
                <w:sz w:val="22"/>
                <w:szCs w:val="22"/>
              </w:rPr>
            </w:pPr>
          </w:p>
        </w:tc>
        <w:tc>
          <w:tcPr>
            <w:tcW w:w="1430" w:type="dxa"/>
            <w:tcBorders>
              <w:top w:val="single" w:sz="4" w:space="0" w:color="auto"/>
            </w:tcBorders>
          </w:tcPr>
          <w:p w14:paraId="509A4CDA" w14:textId="77777777" w:rsidR="00DD6B6D" w:rsidRPr="009C5EFD" w:rsidRDefault="00E453CD" w:rsidP="008B396C">
            <w:pPr>
              <w:keepNext/>
              <w:rPr>
                <w:sz w:val="22"/>
                <w:szCs w:val="22"/>
              </w:rPr>
            </w:pPr>
            <w:r w:rsidRPr="009C5EFD">
              <w:rPr>
                <w:sz w:val="22"/>
                <w:szCs w:val="22"/>
              </w:rPr>
              <w:t>Placebo/</w:t>
            </w:r>
          </w:p>
          <w:p w14:paraId="4A83368A" w14:textId="77777777" w:rsidR="00DD6B6D" w:rsidRPr="009C5EFD" w:rsidRDefault="00E453CD" w:rsidP="008B396C">
            <w:pPr>
              <w:keepNext/>
              <w:rPr>
                <w:sz w:val="22"/>
                <w:szCs w:val="22"/>
                <w:vertAlign w:val="superscript"/>
              </w:rPr>
            </w:pPr>
            <w:r w:rsidRPr="009C5EFD">
              <w:rPr>
                <w:sz w:val="22"/>
                <w:szCs w:val="22"/>
              </w:rPr>
              <w:t>MTX</w:t>
            </w:r>
            <w:r w:rsidRPr="009C5EFD">
              <w:rPr>
                <w:sz w:val="22"/>
                <w:szCs w:val="22"/>
                <w:vertAlign w:val="superscript"/>
              </w:rPr>
              <w:t>a</w:t>
            </w:r>
          </w:p>
        </w:tc>
        <w:tc>
          <w:tcPr>
            <w:tcW w:w="1790" w:type="dxa"/>
            <w:tcBorders>
              <w:top w:val="single" w:sz="4" w:space="0" w:color="auto"/>
            </w:tcBorders>
          </w:tcPr>
          <w:p w14:paraId="26D022D4" w14:textId="77777777" w:rsidR="00DD6B6D" w:rsidRPr="009C5EFD" w:rsidRDefault="00E453CD" w:rsidP="008B396C">
            <w:pPr>
              <w:keepNext/>
              <w:jc w:val="center"/>
              <w:rPr>
                <w:sz w:val="22"/>
                <w:szCs w:val="22"/>
              </w:rPr>
            </w:pPr>
            <w:r w:rsidRPr="009C5EFD">
              <w:rPr>
                <w:sz w:val="22"/>
                <w:szCs w:val="22"/>
              </w:rPr>
              <w:t>Humira/MTX</w:t>
            </w:r>
          </w:p>
          <w:p w14:paraId="19D4D890" w14:textId="77777777" w:rsidR="00DD6B6D" w:rsidRPr="009C5EFD" w:rsidRDefault="00E453CD">
            <w:pPr>
              <w:keepNext/>
              <w:jc w:val="center"/>
              <w:rPr>
                <w:sz w:val="22"/>
                <w:szCs w:val="22"/>
              </w:rPr>
            </w:pPr>
            <w:r w:rsidRPr="009C5EFD">
              <w:rPr>
                <w:sz w:val="22"/>
                <w:szCs w:val="22"/>
              </w:rPr>
              <w:t>40 mg annen</w:t>
            </w:r>
            <w:r w:rsidR="005D10BA">
              <w:rPr>
                <w:sz w:val="22"/>
                <w:szCs w:val="22"/>
              </w:rPr>
              <w:t>hver</w:t>
            </w:r>
            <w:r w:rsidRPr="009C5EFD">
              <w:rPr>
                <w:sz w:val="22"/>
                <w:szCs w:val="22"/>
              </w:rPr>
              <w:t xml:space="preserve"> uke </w:t>
            </w:r>
          </w:p>
        </w:tc>
        <w:tc>
          <w:tcPr>
            <w:tcW w:w="2000" w:type="dxa"/>
            <w:tcBorders>
              <w:top w:val="single" w:sz="4" w:space="0" w:color="auto"/>
            </w:tcBorders>
          </w:tcPr>
          <w:p w14:paraId="1584D2F9" w14:textId="77777777" w:rsidR="00DD6B6D" w:rsidRPr="009C5EFD" w:rsidRDefault="00E453CD" w:rsidP="008B396C">
            <w:pPr>
              <w:keepNext/>
              <w:jc w:val="center"/>
              <w:rPr>
                <w:sz w:val="22"/>
                <w:szCs w:val="22"/>
                <w:lang w:val="sv-SE"/>
              </w:rPr>
            </w:pPr>
            <w:r w:rsidRPr="009C5EFD">
              <w:rPr>
                <w:sz w:val="22"/>
                <w:szCs w:val="22"/>
                <w:lang w:val="sv-SE"/>
              </w:rPr>
              <w:t>Placebo/MTX-Humira/MTX (95 % konfidens intervall</w:t>
            </w:r>
            <w:r w:rsidRPr="009C5EFD">
              <w:rPr>
                <w:sz w:val="22"/>
                <w:szCs w:val="22"/>
                <w:vertAlign w:val="superscript"/>
                <w:lang w:val="sv-SE"/>
              </w:rPr>
              <w:t>b</w:t>
            </w:r>
            <w:r w:rsidRPr="009C5EFD">
              <w:rPr>
                <w:sz w:val="22"/>
                <w:szCs w:val="22"/>
                <w:lang w:val="sv-SE"/>
              </w:rPr>
              <w:t>)</w:t>
            </w:r>
          </w:p>
        </w:tc>
        <w:tc>
          <w:tcPr>
            <w:tcW w:w="1548" w:type="dxa"/>
            <w:tcBorders>
              <w:top w:val="single" w:sz="4" w:space="0" w:color="auto"/>
            </w:tcBorders>
          </w:tcPr>
          <w:p w14:paraId="239E58F3" w14:textId="77777777" w:rsidR="00DD6B6D" w:rsidRPr="009C5EFD" w:rsidRDefault="00E453CD" w:rsidP="008B396C">
            <w:pPr>
              <w:keepNext/>
              <w:jc w:val="center"/>
              <w:rPr>
                <w:sz w:val="22"/>
                <w:szCs w:val="22"/>
              </w:rPr>
            </w:pPr>
            <w:r w:rsidRPr="009C5EFD">
              <w:rPr>
                <w:sz w:val="22"/>
                <w:szCs w:val="22"/>
              </w:rPr>
              <w:t>p-verdi</w:t>
            </w:r>
          </w:p>
        </w:tc>
      </w:tr>
      <w:tr w:rsidR="004644D4" w14:paraId="78799EB4" w14:textId="77777777" w:rsidTr="008B396C">
        <w:tc>
          <w:tcPr>
            <w:tcW w:w="1980" w:type="dxa"/>
          </w:tcPr>
          <w:p w14:paraId="4F68FE74" w14:textId="77777777" w:rsidR="00DD6B6D" w:rsidRPr="009C5EFD" w:rsidRDefault="00E453CD" w:rsidP="008B396C">
            <w:pPr>
              <w:jc w:val="center"/>
              <w:rPr>
                <w:sz w:val="22"/>
                <w:szCs w:val="22"/>
              </w:rPr>
            </w:pPr>
            <w:r w:rsidRPr="009C5EFD">
              <w:rPr>
                <w:sz w:val="22"/>
                <w:szCs w:val="22"/>
              </w:rPr>
              <w:t>Total Sharp Score</w:t>
            </w:r>
          </w:p>
        </w:tc>
        <w:tc>
          <w:tcPr>
            <w:tcW w:w="1430" w:type="dxa"/>
          </w:tcPr>
          <w:p w14:paraId="09F68714" w14:textId="77777777" w:rsidR="00DD6B6D" w:rsidRPr="009C5EFD" w:rsidRDefault="00E453CD" w:rsidP="008B396C">
            <w:pPr>
              <w:jc w:val="center"/>
              <w:rPr>
                <w:sz w:val="22"/>
                <w:szCs w:val="22"/>
              </w:rPr>
            </w:pPr>
            <w:r w:rsidRPr="009C5EFD">
              <w:rPr>
                <w:sz w:val="22"/>
                <w:szCs w:val="22"/>
              </w:rPr>
              <w:t>2,7</w:t>
            </w:r>
          </w:p>
        </w:tc>
        <w:tc>
          <w:tcPr>
            <w:tcW w:w="1790" w:type="dxa"/>
          </w:tcPr>
          <w:p w14:paraId="51A8C30F" w14:textId="77777777" w:rsidR="00DD6B6D" w:rsidRPr="009C5EFD" w:rsidRDefault="00E453CD" w:rsidP="008B396C">
            <w:pPr>
              <w:jc w:val="center"/>
              <w:rPr>
                <w:sz w:val="22"/>
                <w:szCs w:val="22"/>
              </w:rPr>
            </w:pPr>
            <w:r w:rsidRPr="009C5EFD">
              <w:rPr>
                <w:sz w:val="22"/>
                <w:szCs w:val="22"/>
              </w:rPr>
              <w:t>0,1</w:t>
            </w:r>
          </w:p>
        </w:tc>
        <w:tc>
          <w:tcPr>
            <w:tcW w:w="2000" w:type="dxa"/>
          </w:tcPr>
          <w:p w14:paraId="52500A83" w14:textId="77777777" w:rsidR="00DD6B6D" w:rsidRPr="009C5EFD" w:rsidRDefault="00E453CD" w:rsidP="008B396C">
            <w:pPr>
              <w:jc w:val="center"/>
              <w:rPr>
                <w:sz w:val="22"/>
                <w:szCs w:val="22"/>
              </w:rPr>
            </w:pPr>
            <w:r w:rsidRPr="009C5EFD">
              <w:rPr>
                <w:sz w:val="22"/>
                <w:szCs w:val="22"/>
              </w:rPr>
              <w:t xml:space="preserve">2,6 (1,4, 3,8) </w:t>
            </w:r>
          </w:p>
        </w:tc>
        <w:tc>
          <w:tcPr>
            <w:tcW w:w="1548" w:type="dxa"/>
          </w:tcPr>
          <w:p w14:paraId="63B02B4A" w14:textId="77777777" w:rsidR="00DD6B6D" w:rsidRPr="009C5EFD" w:rsidRDefault="00E453CD" w:rsidP="008B396C">
            <w:pPr>
              <w:jc w:val="center"/>
              <w:rPr>
                <w:sz w:val="22"/>
                <w:szCs w:val="22"/>
                <w:vertAlign w:val="superscript"/>
              </w:rPr>
            </w:pPr>
            <w:r w:rsidRPr="009C5EFD">
              <w:rPr>
                <w:sz w:val="22"/>
                <w:szCs w:val="22"/>
              </w:rPr>
              <w:t>&lt; 0,001</w:t>
            </w:r>
            <w:r w:rsidRPr="009C5EFD">
              <w:rPr>
                <w:sz w:val="22"/>
                <w:szCs w:val="22"/>
                <w:vertAlign w:val="superscript"/>
              </w:rPr>
              <w:t>c</w:t>
            </w:r>
          </w:p>
        </w:tc>
      </w:tr>
      <w:tr w:rsidR="004644D4" w14:paraId="04597F26" w14:textId="77777777" w:rsidTr="008B396C">
        <w:tc>
          <w:tcPr>
            <w:tcW w:w="1980" w:type="dxa"/>
          </w:tcPr>
          <w:p w14:paraId="6CCA6403" w14:textId="77777777" w:rsidR="00DD6B6D" w:rsidRPr="009C5EFD" w:rsidRDefault="00E453CD" w:rsidP="008B396C">
            <w:pPr>
              <w:jc w:val="center"/>
              <w:rPr>
                <w:sz w:val="22"/>
                <w:szCs w:val="22"/>
              </w:rPr>
            </w:pPr>
            <w:r w:rsidRPr="009C5EFD">
              <w:rPr>
                <w:sz w:val="22"/>
                <w:szCs w:val="22"/>
              </w:rPr>
              <w:t>Erosjonsscore</w:t>
            </w:r>
          </w:p>
        </w:tc>
        <w:tc>
          <w:tcPr>
            <w:tcW w:w="1430" w:type="dxa"/>
          </w:tcPr>
          <w:p w14:paraId="2B6BB469" w14:textId="77777777" w:rsidR="00DD6B6D" w:rsidRPr="009C5EFD" w:rsidRDefault="00E453CD" w:rsidP="008B396C">
            <w:pPr>
              <w:jc w:val="center"/>
              <w:rPr>
                <w:sz w:val="22"/>
                <w:szCs w:val="22"/>
              </w:rPr>
            </w:pPr>
            <w:r w:rsidRPr="009C5EFD">
              <w:rPr>
                <w:sz w:val="22"/>
                <w:szCs w:val="22"/>
              </w:rPr>
              <w:t>1,6</w:t>
            </w:r>
          </w:p>
        </w:tc>
        <w:tc>
          <w:tcPr>
            <w:tcW w:w="1790" w:type="dxa"/>
          </w:tcPr>
          <w:p w14:paraId="5DF4FA95" w14:textId="77777777" w:rsidR="00DD6B6D" w:rsidRPr="009C5EFD" w:rsidRDefault="00E453CD" w:rsidP="008B396C">
            <w:pPr>
              <w:jc w:val="center"/>
              <w:rPr>
                <w:sz w:val="22"/>
                <w:szCs w:val="22"/>
              </w:rPr>
            </w:pPr>
            <w:r w:rsidRPr="009C5EFD">
              <w:rPr>
                <w:sz w:val="22"/>
                <w:szCs w:val="22"/>
              </w:rPr>
              <w:t>0,0</w:t>
            </w:r>
          </w:p>
        </w:tc>
        <w:tc>
          <w:tcPr>
            <w:tcW w:w="2000" w:type="dxa"/>
          </w:tcPr>
          <w:p w14:paraId="1A3E0930" w14:textId="77777777" w:rsidR="00DD6B6D" w:rsidRPr="009C5EFD" w:rsidRDefault="00E453CD" w:rsidP="008B396C">
            <w:pPr>
              <w:jc w:val="center"/>
              <w:rPr>
                <w:sz w:val="22"/>
                <w:szCs w:val="22"/>
              </w:rPr>
            </w:pPr>
            <w:r w:rsidRPr="009C5EFD">
              <w:rPr>
                <w:sz w:val="22"/>
                <w:szCs w:val="22"/>
              </w:rPr>
              <w:t>1,6 (0,9, 2,2)</w:t>
            </w:r>
          </w:p>
        </w:tc>
        <w:tc>
          <w:tcPr>
            <w:tcW w:w="1548" w:type="dxa"/>
          </w:tcPr>
          <w:p w14:paraId="58F32EDB" w14:textId="77777777" w:rsidR="00DD6B6D" w:rsidRPr="009C5EFD" w:rsidRDefault="00E453CD" w:rsidP="008B396C">
            <w:pPr>
              <w:jc w:val="center"/>
              <w:rPr>
                <w:sz w:val="22"/>
                <w:szCs w:val="22"/>
              </w:rPr>
            </w:pPr>
            <w:r w:rsidRPr="009C5EFD">
              <w:rPr>
                <w:sz w:val="22"/>
                <w:szCs w:val="22"/>
              </w:rPr>
              <w:t>&lt; 0,001</w:t>
            </w:r>
          </w:p>
        </w:tc>
      </w:tr>
      <w:tr w:rsidR="004644D4" w14:paraId="7F7AC8AB" w14:textId="77777777" w:rsidTr="008B396C">
        <w:tc>
          <w:tcPr>
            <w:tcW w:w="1980" w:type="dxa"/>
          </w:tcPr>
          <w:p w14:paraId="786F8462" w14:textId="77777777" w:rsidR="00DD6B6D" w:rsidRPr="009C5EFD" w:rsidRDefault="00E453CD" w:rsidP="008B396C">
            <w:pPr>
              <w:jc w:val="center"/>
              <w:rPr>
                <w:sz w:val="22"/>
                <w:szCs w:val="22"/>
              </w:rPr>
            </w:pPr>
            <w:r w:rsidRPr="009C5EFD">
              <w:rPr>
                <w:sz w:val="22"/>
                <w:szCs w:val="22"/>
              </w:rPr>
              <w:t>JSN</w:t>
            </w:r>
            <w:r w:rsidRPr="009C5EFD">
              <w:rPr>
                <w:sz w:val="22"/>
                <w:szCs w:val="22"/>
                <w:vertAlign w:val="superscript"/>
              </w:rPr>
              <w:t>d</w:t>
            </w:r>
            <w:r w:rsidRPr="009C5EFD">
              <w:rPr>
                <w:sz w:val="22"/>
                <w:szCs w:val="22"/>
              </w:rPr>
              <w:t xml:space="preserve"> score</w:t>
            </w:r>
          </w:p>
        </w:tc>
        <w:tc>
          <w:tcPr>
            <w:tcW w:w="1430" w:type="dxa"/>
          </w:tcPr>
          <w:p w14:paraId="69368A8D" w14:textId="77777777" w:rsidR="00DD6B6D" w:rsidRPr="009C5EFD" w:rsidRDefault="00E453CD" w:rsidP="008B396C">
            <w:pPr>
              <w:jc w:val="center"/>
              <w:rPr>
                <w:sz w:val="22"/>
                <w:szCs w:val="22"/>
              </w:rPr>
            </w:pPr>
            <w:r w:rsidRPr="009C5EFD">
              <w:rPr>
                <w:sz w:val="22"/>
                <w:szCs w:val="22"/>
              </w:rPr>
              <w:t>1,0</w:t>
            </w:r>
          </w:p>
        </w:tc>
        <w:tc>
          <w:tcPr>
            <w:tcW w:w="1790" w:type="dxa"/>
          </w:tcPr>
          <w:p w14:paraId="6C6E333D" w14:textId="77777777" w:rsidR="00DD6B6D" w:rsidRPr="009C5EFD" w:rsidRDefault="00E453CD" w:rsidP="008B396C">
            <w:pPr>
              <w:jc w:val="center"/>
              <w:rPr>
                <w:sz w:val="22"/>
                <w:szCs w:val="22"/>
              </w:rPr>
            </w:pPr>
            <w:r w:rsidRPr="009C5EFD">
              <w:rPr>
                <w:sz w:val="22"/>
                <w:szCs w:val="22"/>
              </w:rPr>
              <w:t>0,1</w:t>
            </w:r>
          </w:p>
        </w:tc>
        <w:tc>
          <w:tcPr>
            <w:tcW w:w="2000" w:type="dxa"/>
          </w:tcPr>
          <w:p w14:paraId="5AB09A34" w14:textId="77777777" w:rsidR="00DD6B6D" w:rsidRPr="009C5EFD" w:rsidRDefault="00E453CD" w:rsidP="008B396C">
            <w:pPr>
              <w:jc w:val="center"/>
              <w:rPr>
                <w:sz w:val="22"/>
                <w:szCs w:val="22"/>
              </w:rPr>
            </w:pPr>
            <w:r w:rsidRPr="009C5EFD">
              <w:rPr>
                <w:sz w:val="22"/>
                <w:szCs w:val="22"/>
              </w:rPr>
              <w:t>0,9 (0,3, 1,4)</w:t>
            </w:r>
          </w:p>
        </w:tc>
        <w:tc>
          <w:tcPr>
            <w:tcW w:w="1548" w:type="dxa"/>
          </w:tcPr>
          <w:p w14:paraId="44189E39" w14:textId="77777777" w:rsidR="00DD6B6D" w:rsidRPr="009C5EFD" w:rsidRDefault="00E453CD" w:rsidP="008B396C">
            <w:pPr>
              <w:jc w:val="center"/>
              <w:rPr>
                <w:sz w:val="22"/>
                <w:szCs w:val="22"/>
              </w:rPr>
            </w:pPr>
            <w:r w:rsidRPr="009C5EFD">
              <w:rPr>
                <w:sz w:val="22"/>
                <w:szCs w:val="22"/>
              </w:rPr>
              <w:t xml:space="preserve">  0,002</w:t>
            </w:r>
          </w:p>
        </w:tc>
      </w:tr>
    </w:tbl>
    <w:p w14:paraId="247151C4" w14:textId="77777777" w:rsidR="00DD6B6D" w:rsidRPr="007F67EE" w:rsidRDefault="00E453CD" w:rsidP="0015674E">
      <w:pPr>
        <w:pStyle w:val="In-textfootnote"/>
        <w:keepNext w:val="0"/>
        <w:spacing w:before="0"/>
        <w:ind w:left="284"/>
        <w:rPr>
          <w:rFonts w:ascii="Times New Roman" w:hAnsi="Times New Roman"/>
          <w:sz w:val="22"/>
          <w:szCs w:val="22"/>
          <w:lang w:val="nb-NO"/>
        </w:rPr>
      </w:pPr>
      <w:r w:rsidRPr="007F67EE">
        <w:rPr>
          <w:rFonts w:ascii="Times New Roman" w:hAnsi="Times New Roman"/>
          <w:sz w:val="22"/>
          <w:szCs w:val="22"/>
          <w:vertAlign w:val="superscript"/>
          <w:lang w:val="nb-NO"/>
        </w:rPr>
        <w:t>a</w:t>
      </w:r>
      <w:r w:rsidRPr="007F67EE">
        <w:rPr>
          <w:rFonts w:ascii="Times New Roman" w:hAnsi="Times New Roman"/>
          <w:sz w:val="22"/>
          <w:szCs w:val="22"/>
          <w:lang w:val="nb-NO"/>
        </w:rPr>
        <w:t xml:space="preserve"> metotreksat</w:t>
      </w:r>
    </w:p>
    <w:p w14:paraId="2A5A999B" w14:textId="77777777" w:rsidR="00DD6B6D" w:rsidRPr="002D0790" w:rsidRDefault="00E453CD" w:rsidP="0015674E">
      <w:pPr>
        <w:pStyle w:val="In-textfootnote"/>
        <w:keepNext w:val="0"/>
        <w:spacing w:before="0"/>
        <w:ind w:left="284"/>
        <w:rPr>
          <w:rFonts w:ascii="Times New Roman" w:hAnsi="Times New Roman"/>
          <w:sz w:val="22"/>
          <w:szCs w:val="22"/>
          <w:lang w:val="nb-NO"/>
        </w:rPr>
      </w:pPr>
      <w:r w:rsidRPr="00193D76">
        <w:rPr>
          <w:rFonts w:ascii="Times New Roman" w:hAnsi="Times New Roman"/>
          <w:sz w:val="22"/>
          <w:szCs w:val="22"/>
          <w:vertAlign w:val="superscript"/>
          <w:lang w:val="nb-NO"/>
        </w:rPr>
        <w:t xml:space="preserve">b </w:t>
      </w:r>
      <w:r w:rsidRPr="00193D76">
        <w:rPr>
          <w:rFonts w:ascii="Times New Roman" w:hAnsi="Times New Roman"/>
          <w:sz w:val="22"/>
          <w:szCs w:val="22"/>
          <w:lang w:val="nb-NO"/>
        </w:rPr>
        <w:t>95</w:t>
      </w:r>
      <w:r w:rsidRPr="002D0790">
        <w:rPr>
          <w:rFonts w:ascii="Times New Roman" w:hAnsi="Times New Roman"/>
          <w:sz w:val="22"/>
          <w:szCs w:val="22"/>
          <w:lang w:val="nb-NO"/>
        </w:rPr>
        <w:t xml:space="preserve"> % konfidensintervall for forskjellen i score mellom metotreksat og Humira. </w:t>
      </w:r>
    </w:p>
    <w:p w14:paraId="70C39B22" w14:textId="77777777" w:rsidR="00DD6B6D" w:rsidRPr="009C5EFD" w:rsidRDefault="00E453CD" w:rsidP="0015674E">
      <w:pPr>
        <w:pStyle w:val="In-textfootnote"/>
        <w:keepNext w:val="0"/>
        <w:spacing w:before="0"/>
        <w:ind w:left="284"/>
        <w:rPr>
          <w:rFonts w:ascii="Times New Roman" w:hAnsi="Times New Roman"/>
          <w:sz w:val="22"/>
          <w:szCs w:val="22"/>
          <w:lang w:val="nb-NO"/>
        </w:rPr>
      </w:pPr>
      <w:r w:rsidRPr="00E14E58">
        <w:rPr>
          <w:rFonts w:ascii="Times New Roman" w:hAnsi="Times New Roman"/>
          <w:sz w:val="22"/>
          <w:szCs w:val="22"/>
          <w:vertAlign w:val="superscript"/>
          <w:lang w:val="nb-NO"/>
        </w:rPr>
        <w:t xml:space="preserve">c </w:t>
      </w:r>
      <w:r w:rsidRPr="009C5EFD">
        <w:rPr>
          <w:rFonts w:ascii="Times New Roman" w:hAnsi="Times New Roman"/>
          <w:sz w:val="22"/>
          <w:szCs w:val="22"/>
          <w:lang w:val="nb-NO"/>
        </w:rPr>
        <w:t>Basert på rankanalyse</w:t>
      </w:r>
    </w:p>
    <w:p w14:paraId="1B2360AA" w14:textId="77777777" w:rsidR="00DD6B6D" w:rsidRPr="009C5EFD" w:rsidRDefault="00E453CD" w:rsidP="0015674E">
      <w:pPr>
        <w:ind w:left="142"/>
        <w:rPr>
          <w:sz w:val="22"/>
          <w:szCs w:val="22"/>
          <w:u w:val="single"/>
        </w:rPr>
      </w:pPr>
      <w:r w:rsidRPr="009C5EFD">
        <w:rPr>
          <w:sz w:val="22"/>
          <w:szCs w:val="22"/>
          <w:vertAlign w:val="superscript"/>
        </w:rPr>
        <w:t xml:space="preserve">d </w:t>
      </w:r>
      <w:r w:rsidRPr="009C5EFD">
        <w:rPr>
          <w:sz w:val="22"/>
          <w:szCs w:val="22"/>
        </w:rPr>
        <w:t>Joint Space Narrowing</w:t>
      </w:r>
    </w:p>
    <w:p w14:paraId="3740103B" w14:textId="77777777" w:rsidR="00DD6B6D" w:rsidRPr="009C5EFD" w:rsidRDefault="00DD6B6D" w:rsidP="00DD6B6D">
      <w:pPr>
        <w:rPr>
          <w:sz w:val="22"/>
          <w:szCs w:val="22"/>
          <w:u w:val="single"/>
        </w:rPr>
      </w:pPr>
    </w:p>
    <w:p w14:paraId="2FBB834C" w14:textId="77777777" w:rsidR="00DD6B6D" w:rsidRPr="009C5EFD" w:rsidRDefault="00E453CD" w:rsidP="00DD6B6D">
      <w:pPr>
        <w:rPr>
          <w:sz w:val="22"/>
          <w:szCs w:val="22"/>
        </w:rPr>
      </w:pPr>
      <w:r w:rsidRPr="009C5EFD">
        <w:rPr>
          <w:sz w:val="22"/>
          <w:szCs w:val="22"/>
        </w:rPr>
        <w:t>I RA-studie V ble strukturell leddskade vurderte radiografisk og uttrykt som en endring i modifisert Total Sharp Score (se tabell</w:t>
      </w:r>
      <w:r w:rsidR="00121831">
        <w:rPr>
          <w:sz w:val="22"/>
          <w:szCs w:val="22"/>
        </w:rPr>
        <w:t> 1</w:t>
      </w:r>
      <w:r w:rsidR="002C3646">
        <w:rPr>
          <w:sz w:val="22"/>
          <w:szCs w:val="22"/>
        </w:rPr>
        <w:t>0</w:t>
      </w:r>
      <w:r w:rsidRPr="009C5EFD">
        <w:rPr>
          <w:sz w:val="22"/>
          <w:szCs w:val="22"/>
        </w:rPr>
        <w:t>).</w:t>
      </w:r>
    </w:p>
    <w:p w14:paraId="47A8C89C" w14:textId="77777777" w:rsidR="00DD6B6D" w:rsidRDefault="00DD6B6D" w:rsidP="00DD6B6D">
      <w:pPr>
        <w:rPr>
          <w:sz w:val="22"/>
          <w:szCs w:val="22"/>
        </w:rPr>
      </w:pPr>
    </w:p>
    <w:p w14:paraId="3124E5E2" w14:textId="77777777" w:rsidR="00DD6B6D" w:rsidRDefault="00E453CD" w:rsidP="000624CD">
      <w:pPr>
        <w:pStyle w:val="CommentText"/>
        <w:keepNext/>
        <w:tabs>
          <w:tab w:val="left" w:pos="330"/>
        </w:tabs>
        <w:suppressAutoHyphens/>
        <w:ind w:left="330" w:hanging="330"/>
        <w:jc w:val="center"/>
        <w:rPr>
          <w:b/>
          <w:sz w:val="22"/>
          <w:szCs w:val="22"/>
        </w:rPr>
      </w:pPr>
      <w:r w:rsidRPr="009C5EFD">
        <w:rPr>
          <w:b/>
          <w:sz w:val="22"/>
          <w:szCs w:val="22"/>
        </w:rPr>
        <w:t xml:space="preserve">Tabell </w:t>
      </w:r>
      <w:r w:rsidR="00A457B0">
        <w:rPr>
          <w:b/>
          <w:sz w:val="22"/>
          <w:szCs w:val="22"/>
        </w:rPr>
        <w:t xml:space="preserve">10 </w:t>
      </w:r>
    </w:p>
    <w:p w14:paraId="6F93E770" w14:textId="77777777" w:rsidR="00DD6B6D" w:rsidRDefault="00E453CD" w:rsidP="000624CD">
      <w:pPr>
        <w:pStyle w:val="CommentText"/>
        <w:keepNext/>
        <w:tabs>
          <w:tab w:val="left" w:pos="330"/>
        </w:tabs>
        <w:suppressAutoHyphens/>
        <w:ind w:left="330" w:hanging="330"/>
        <w:jc w:val="center"/>
        <w:rPr>
          <w:b/>
          <w:sz w:val="22"/>
          <w:szCs w:val="22"/>
        </w:rPr>
      </w:pPr>
      <w:r w:rsidRPr="009C5EFD">
        <w:rPr>
          <w:b/>
          <w:sz w:val="22"/>
          <w:szCs w:val="22"/>
        </w:rPr>
        <w:t>Radiografisk gjennomsnittlig endring ved uke 52 i RA-studie V</w:t>
      </w:r>
    </w:p>
    <w:p w14:paraId="1822B9D0" w14:textId="77777777" w:rsidR="00DD6B6D" w:rsidRPr="00EE4677" w:rsidRDefault="00DD6B6D" w:rsidP="000624CD">
      <w:pPr>
        <w:pStyle w:val="CommentText"/>
        <w:keepNext/>
        <w:tabs>
          <w:tab w:val="left" w:pos="330"/>
        </w:tabs>
        <w:suppressAutoHyphens/>
        <w:ind w:left="330" w:hanging="330"/>
        <w:jc w:val="center"/>
        <w:rPr>
          <w:b/>
          <w:sz w:val="22"/>
          <w:szCs w:val="22"/>
        </w:rPr>
      </w:pPr>
    </w:p>
    <w:tbl>
      <w:tblPr>
        <w:tblW w:w="9024" w:type="dxa"/>
        <w:tblInd w:w="64" w:type="dxa"/>
        <w:tblLook w:val="0000" w:firstRow="0" w:lastRow="0" w:firstColumn="0" w:lastColumn="0" w:noHBand="0" w:noVBand="0"/>
      </w:tblPr>
      <w:tblGrid>
        <w:gridCol w:w="1353"/>
        <w:gridCol w:w="1590"/>
        <w:gridCol w:w="1586"/>
        <w:gridCol w:w="1588"/>
        <w:gridCol w:w="970"/>
        <w:gridCol w:w="967"/>
        <w:gridCol w:w="970"/>
      </w:tblGrid>
      <w:tr w:rsidR="004644D4" w14:paraId="7AD9E6F0" w14:textId="77777777" w:rsidTr="008B396C">
        <w:tc>
          <w:tcPr>
            <w:tcW w:w="1353" w:type="dxa"/>
            <w:tcBorders>
              <w:top w:val="single" w:sz="4" w:space="0" w:color="auto"/>
              <w:left w:val="single" w:sz="4" w:space="0" w:color="auto"/>
              <w:bottom w:val="single" w:sz="4" w:space="0" w:color="auto"/>
              <w:right w:val="single" w:sz="4" w:space="0" w:color="auto"/>
            </w:tcBorders>
          </w:tcPr>
          <w:p w14:paraId="073F1970" w14:textId="77777777" w:rsidR="00DD6B6D" w:rsidRPr="009C5EFD" w:rsidRDefault="00DD6B6D" w:rsidP="000624CD">
            <w:pPr>
              <w:keepNext/>
              <w:rPr>
                <w:sz w:val="22"/>
                <w:szCs w:val="22"/>
              </w:rPr>
            </w:pPr>
          </w:p>
        </w:tc>
        <w:tc>
          <w:tcPr>
            <w:tcW w:w="1590" w:type="dxa"/>
            <w:tcBorders>
              <w:top w:val="single" w:sz="4" w:space="0" w:color="auto"/>
              <w:left w:val="single" w:sz="4" w:space="0" w:color="auto"/>
              <w:bottom w:val="single" w:sz="4" w:space="0" w:color="auto"/>
              <w:right w:val="single" w:sz="4" w:space="0" w:color="auto"/>
            </w:tcBorders>
          </w:tcPr>
          <w:p w14:paraId="1ABF8BFF" w14:textId="77777777" w:rsidR="00DD6B6D" w:rsidRPr="009C5EFD" w:rsidRDefault="00E453CD" w:rsidP="000624CD">
            <w:pPr>
              <w:keepNext/>
              <w:jc w:val="center"/>
              <w:rPr>
                <w:sz w:val="22"/>
                <w:szCs w:val="22"/>
              </w:rPr>
            </w:pPr>
            <w:r w:rsidRPr="009C5EFD">
              <w:rPr>
                <w:sz w:val="22"/>
                <w:szCs w:val="22"/>
              </w:rPr>
              <w:t>MTX</w:t>
            </w:r>
          </w:p>
          <w:p w14:paraId="416A72DA" w14:textId="77777777" w:rsidR="00DD6B6D" w:rsidRPr="009C5EFD" w:rsidRDefault="00E453CD" w:rsidP="000624CD">
            <w:pPr>
              <w:keepNext/>
              <w:jc w:val="center"/>
              <w:rPr>
                <w:sz w:val="22"/>
                <w:szCs w:val="22"/>
              </w:rPr>
            </w:pPr>
            <w:r w:rsidRPr="009C5EFD">
              <w:rPr>
                <w:sz w:val="22"/>
                <w:szCs w:val="22"/>
              </w:rPr>
              <w:t>n=257</w:t>
            </w:r>
          </w:p>
          <w:p w14:paraId="2BC4FE65" w14:textId="77777777" w:rsidR="00DD6B6D" w:rsidRPr="009C5EFD" w:rsidRDefault="00E453CD" w:rsidP="000624CD">
            <w:pPr>
              <w:keepNext/>
              <w:jc w:val="center"/>
              <w:rPr>
                <w:sz w:val="22"/>
                <w:szCs w:val="22"/>
              </w:rPr>
            </w:pPr>
            <w:r w:rsidRPr="009C5EFD">
              <w:rPr>
                <w:sz w:val="22"/>
                <w:szCs w:val="22"/>
              </w:rPr>
              <w:t>(95 % KI</w:t>
            </w:r>
          </w:p>
        </w:tc>
        <w:tc>
          <w:tcPr>
            <w:tcW w:w="1586" w:type="dxa"/>
            <w:tcBorders>
              <w:top w:val="single" w:sz="4" w:space="0" w:color="auto"/>
              <w:left w:val="single" w:sz="4" w:space="0" w:color="auto"/>
              <w:bottom w:val="single" w:sz="4" w:space="0" w:color="auto"/>
              <w:right w:val="single" w:sz="4" w:space="0" w:color="auto"/>
            </w:tcBorders>
          </w:tcPr>
          <w:p w14:paraId="3F60436E" w14:textId="77777777" w:rsidR="00DD6B6D" w:rsidRPr="009C5EFD" w:rsidRDefault="00E453CD" w:rsidP="000624CD">
            <w:pPr>
              <w:keepNext/>
              <w:jc w:val="center"/>
              <w:rPr>
                <w:sz w:val="22"/>
                <w:szCs w:val="22"/>
              </w:rPr>
            </w:pPr>
            <w:r w:rsidRPr="009C5EFD">
              <w:rPr>
                <w:sz w:val="22"/>
                <w:szCs w:val="22"/>
              </w:rPr>
              <w:t>Humira</w:t>
            </w:r>
          </w:p>
          <w:p w14:paraId="6B07AB86" w14:textId="77777777" w:rsidR="00DD6B6D" w:rsidRPr="009C5EFD" w:rsidRDefault="00E453CD" w:rsidP="000624CD">
            <w:pPr>
              <w:pStyle w:val="EMEAFigureTitle"/>
              <w:keepNext/>
              <w:jc w:val="center"/>
              <w:rPr>
                <w:szCs w:val="22"/>
                <w:lang w:val="nb-NO"/>
              </w:rPr>
            </w:pPr>
            <w:r w:rsidRPr="009C5EFD">
              <w:rPr>
                <w:szCs w:val="22"/>
                <w:lang w:val="nb-NO"/>
              </w:rPr>
              <w:t>n=274</w:t>
            </w:r>
          </w:p>
          <w:p w14:paraId="204C2858" w14:textId="77777777" w:rsidR="00DD6B6D" w:rsidRPr="009C5EFD" w:rsidRDefault="00E453CD" w:rsidP="000624CD">
            <w:pPr>
              <w:keepNext/>
              <w:jc w:val="center"/>
              <w:rPr>
                <w:sz w:val="22"/>
                <w:szCs w:val="22"/>
              </w:rPr>
            </w:pPr>
            <w:r w:rsidRPr="009C5EFD">
              <w:rPr>
                <w:sz w:val="22"/>
                <w:szCs w:val="22"/>
              </w:rPr>
              <w:t>(95 % KI)</w:t>
            </w:r>
          </w:p>
        </w:tc>
        <w:tc>
          <w:tcPr>
            <w:tcW w:w="1588" w:type="dxa"/>
            <w:tcBorders>
              <w:top w:val="single" w:sz="4" w:space="0" w:color="auto"/>
              <w:left w:val="single" w:sz="4" w:space="0" w:color="auto"/>
              <w:bottom w:val="single" w:sz="4" w:space="0" w:color="auto"/>
              <w:right w:val="single" w:sz="4" w:space="0" w:color="auto"/>
            </w:tcBorders>
          </w:tcPr>
          <w:p w14:paraId="24B48AC4" w14:textId="77777777" w:rsidR="00DD6B6D" w:rsidRPr="009C5EFD" w:rsidRDefault="00E453CD" w:rsidP="000624CD">
            <w:pPr>
              <w:keepNext/>
              <w:jc w:val="center"/>
              <w:rPr>
                <w:sz w:val="22"/>
                <w:szCs w:val="22"/>
              </w:rPr>
            </w:pPr>
            <w:r w:rsidRPr="009C5EFD">
              <w:rPr>
                <w:sz w:val="22"/>
                <w:szCs w:val="22"/>
              </w:rPr>
              <w:t>Humira/MTX</w:t>
            </w:r>
          </w:p>
          <w:p w14:paraId="3D3C5007" w14:textId="77777777" w:rsidR="00DD6B6D" w:rsidRPr="009C5EFD" w:rsidRDefault="00E453CD" w:rsidP="000624CD">
            <w:pPr>
              <w:pStyle w:val="EMEAFigureTitle"/>
              <w:keepNext/>
              <w:jc w:val="center"/>
              <w:rPr>
                <w:szCs w:val="22"/>
                <w:lang w:val="nb-NO"/>
              </w:rPr>
            </w:pPr>
            <w:r w:rsidRPr="009C5EFD">
              <w:rPr>
                <w:szCs w:val="22"/>
                <w:lang w:val="nb-NO"/>
              </w:rPr>
              <w:t>n=268</w:t>
            </w:r>
          </w:p>
          <w:p w14:paraId="4DD6F9AE" w14:textId="77777777" w:rsidR="00DD6B6D" w:rsidRPr="009C5EFD" w:rsidRDefault="00E453CD" w:rsidP="000624CD">
            <w:pPr>
              <w:pStyle w:val="EMEANormal"/>
              <w:keepNext/>
              <w:jc w:val="center"/>
              <w:rPr>
                <w:szCs w:val="22"/>
                <w:lang w:val="nb-NO"/>
              </w:rPr>
            </w:pPr>
            <w:r w:rsidRPr="009C5EFD">
              <w:rPr>
                <w:szCs w:val="22"/>
                <w:lang w:val="nb-NO"/>
              </w:rPr>
              <w:t>(95 % KI)</w:t>
            </w:r>
          </w:p>
        </w:tc>
        <w:tc>
          <w:tcPr>
            <w:tcW w:w="970" w:type="dxa"/>
            <w:tcBorders>
              <w:top w:val="single" w:sz="4" w:space="0" w:color="auto"/>
              <w:left w:val="single" w:sz="4" w:space="0" w:color="auto"/>
              <w:bottom w:val="single" w:sz="4" w:space="0" w:color="auto"/>
              <w:right w:val="single" w:sz="4" w:space="0" w:color="auto"/>
            </w:tcBorders>
          </w:tcPr>
          <w:p w14:paraId="4B355995" w14:textId="77777777" w:rsidR="00DD6B6D" w:rsidRPr="009C5EFD" w:rsidRDefault="00E453CD" w:rsidP="000624CD">
            <w:pPr>
              <w:pStyle w:val="EMEANormal"/>
              <w:keepNext/>
              <w:jc w:val="center"/>
              <w:rPr>
                <w:szCs w:val="22"/>
                <w:lang w:val="nb-NO"/>
              </w:rPr>
            </w:pPr>
            <w:r w:rsidRPr="009C5EFD">
              <w:rPr>
                <w:szCs w:val="22"/>
                <w:lang w:val="nb-NO"/>
              </w:rPr>
              <w:t>p-verdi</w:t>
            </w:r>
            <w:r w:rsidRPr="009C5EFD">
              <w:rPr>
                <w:szCs w:val="22"/>
                <w:vertAlign w:val="superscript"/>
                <w:lang w:val="nb-NO"/>
              </w:rPr>
              <w:t>a</w:t>
            </w:r>
          </w:p>
        </w:tc>
        <w:tc>
          <w:tcPr>
            <w:tcW w:w="967" w:type="dxa"/>
            <w:tcBorders>
              <w:top w:val="single" w:sz="4" w:space="0" w:color="auto"/>
              <w:left w:val="single" w:sz="4" w:space="0" w:color="auto"/>
              <w:bottom w:val="single" w:sz="4" w:space="0" w:color="auto"/>
              <w:right w:val="single" w:sz="4" w:space="0" w:color="auto"/>
            </w:tcBorders>
          </w:tcPr>
          <w:p w14:paraId="58BA8D02" w14:textId="77777777" w:rsidR="00DD6B6D" w:rsidRPr="009C5EFD" w:rsidRDefault="00E453CD" w:rsidP="000624CD">
            <w:pPr>
              <w:keepNext/>
              <w:jc w:val="center"/>
              <w:rPr>
                <w:sz w:val="22"/>
                <w:szCs w:val="22"/>
              </w:rPr>
            </w:pPr>
            <w:r w:rsidRPr="009C5EFD">
              <w:rPr>
                <w:sz w:val="22"/>
                <w:szCs w:val="22"/>
              </w:rPr>
              <w:t>p-verdi</w:t>
            </w:r>
            <w:r w:rsidRPr="009C5EFD">
              <w:rPr>
                <w:sz w:val="22"/>
                <w:szCs w:val="22"/>
                <w:vertAlign w:val="superscript"/>
              </w:rPr>
              <w:t>b</w:t>
            </w:r>
          </w:p>
        </w:tc>
        <w:tc>
          <w:tcPr>
            <w:tcW w:w="970" w:type="dxa"/>
            <w:tcBorders>
              <w:top w:val="single" w:sz="4" w:space="0" w:color="auto"/>
              <w:left w:val="single" w:sz="4" w:space="0" w:color="auto"/>
              <w:bottom w:val="single" w:sz="4" w:space="0" w:color="auto"/>
              <w:right w:val="single" w:sz="4" w:space="0" w:color="auto"/>
            </w:tcBorders>
          </w:tcPr>
          <w:p w14:paraId="07C06471" w14:textId="77777777" w:rsidR="00DD6B6D" w:rsidRPr="009C5EFD" w:rsidRDefault="00E453CD" w:rsidP="000624CD">
            <w:pPr>
              <w:keepNext/>
              <w:jc w:val="center"/>
              <w:rPr>
                <w:sz w:val="22"/>
                <w:szCs w:val="22"/>
              </w:rPr>
            </w:pPr>
            <w:r w:rsidRPr="009C5EFD">
              <w:rPr>
                <w:sz w:val="22"/>
                <w:szCs w:val="22"/>
              </w:rPr>
              <w:t>p-verdi</w:t>
            </w:r>
            <w:r w:rsidRPr="009C5EFD">
              <w:rPr>
                <w:sz w:val="22"/>
                <w:szCs w:val="22"/>
                <w:vertAlign w:val="superscript"/>
              </w:rPr>
              <w:t>c</w:t>
            </w:r>
          </w:p>
        </w:tc>
      </w:tr>
      <w:tr w:rsidR="004644D4" w14:paraId="51BE81D6" w14:textId="77777777" w:rsidTr="008B396C">
        <w:tc>
          <w:tcPr>
            <w:tcW w:w="1353" w:type="dxa"/>
            <w:tcBorders>
              <w:top w:val="single" w:sz="4" w:space="0" w:color="auto"/>
              <w:left w:val="single" w:sz="4" w:space="0" w:color="auto"/>
              <w:bottom w:val="single" w:sz="4" w:space="0" w:color="auto"/>
              <w:right w:val="single" w:sz="4" w:space="0" w:color="auto"/>
            </w:tcBorders>
          </w:tcPr>
          <w:p w14:paraId="147D859E" w14:textId="77777777" w:rsidR="00DD6B6D" w:rsidRPr="007F67EE" w:rsidRDefault="00E453CD" w:rsidP="000624CD">
            <w:pPr>
              <w:pStyle w:val="EMEAFigureTitle"/>
              <w:keepNext/>
              <w:jc w:val="center"/>
              <w:rPr>
                <w:szCs w:val="22"/>
                <w:lang w:val="nb-NO"/>
              </w:rPr>
            </w:pPr>
            <w:r w:rsidRPr="007F67EE">
              <w:rPr>
                <w:szCs w:val="22"/>
                <w:lang w:val="nb-NO"/>
              </w:rPr>
              <w:t>Total Sharp Score</w:t>
            </w:r>
          </w:p>
        </w:tc>
        <w:tc>
          <w:tcPr>
            <w:tcW w:w="1590" w:type="dxa"/>
            <w:tcBorders>
              <w:top w:val="single" w:sz="4" w:space="0" w:color="auto"/>
              <w:left w:val="single" w:sz="4" w:space="0" w:color="auto"/>
              <w:bottom w:val="single" w:sz="4" w:space="0" w:color="auto"/>
              <w:right w:val="single" w:sz="4" w:space="0" w:color="auto"/>
            </w:tcBorders>
          </w:tcPr>
          <w:p w14:paraId="2E7BBEC3" w14:textId="77777777" w:rsidR="00DD6B6D" w:rsidRPr="007F67EE" w:rsidRDefault="00E453CD" w:rsidP="000624CD">
            <w:pPr>
              <w:keepNext/>
              <w:jc w:val="center"/>
              <w:rPr>
                <w:sz w:val="22"/>
                <w:szCs w:val="22"/>
              </w:rPr>
            </w:pPr>
            <w:r w:rsidRPr="007F67EE">
              <w:rPr>
                <w:sz w:val="22"/>
                <w:szCs w:val="22"/>
              </w:rPr>
              <w:t>5,7 (4,2-7,3)</w:t>
            </w:r>
          </w:p>
        </w:tc>
        <w:tc>
          <w:tcPr>
            <w:tcW w:w="1586" w:type="dxa"/>
            <w:tcBorders>
              <w:top w:val="single" w:sz="4" w:space="0" w:color="auto"/>
              <w:left w:val="single" w:sz="4" w:space="0" w:color="auto"/>
              <w:bottom w:val="single" w:sz="4" w:space="0" w:color="auto"/>
              <w:right w:val="single" w:sz="4" w:space="0" w:color="auto"/>
            </w:tcBorders>
          </w:tcPr>
          <w:p w14:paraId="5C5219CD" w14:textId="77777777" w:rsidR="00DD6B6D" w:rsidRPr="00193D76" w:rsidRDefault="00E453CD" w:rsidP="000624CD">
            <w:pPr>
              <w:pStyle w:val="EndnoteText"/>
              <w:keepNext/>
              <w:jc w:val="center"/>
              <w:rPr>
                <w:szCs w:val="22"/>
                <w:lang w:val="nb-NO"/>
              </w:rPr>
            </w:pPr>
            <w:r w:rsidRPr="00193D76">
              <w:rPr>
                <w:szCs w:val="22"/>
                <w:lang w:val="nb-NO"/>
              </w:rPr>
              <w:t>3,0 (1,7-4,3)</w:t>
            </w:r>
          </w:p>
        </w:tc>
        <w:tc>
          <w:tcPr>
            <w:tcW w:w="1588" w:type="dxa"/>
            <w:tcBorders>
              <w:top w:val="single" w:sz="4" w:space="0" w:color="auto"/>
              <w:left w:val="single" w:sz="4" w:space="0" w:color="auto"/>
              <w:bottom w:val="single" w:sz="4" w:space="0" w:color="auto"/>
              <w:right w:val="single" w:sz="4" w:space="0" w:color="auto"/>
            </w:tcBorders>
          </w:tcPr>
          <w:p w14:paraId="54B4BAF1" w14:textId="77777777" w:rsidR="00DD6B6D" w:rsidRPr="002D0790" w:rsidRDefault="00E453CD" w:rsidP="000624CD">
            <w:pPr>
              <w:pStyle w:val="EndnoteText"/>
              <w:keepNext/>
              <w:jc w:val="center"/>
              <w:rPr>
                <w:szCs w:val="22"/>
                <w:lang w:val="nb-NO"/>
              </w:rPr>
            </w:pPr>
            <w:r w:rsidRPr="002D0790">
              <w:rPr>
                <w:szCs w:val="22"/>
                <w:lang w:val="nb-NO"/>
              </w:rPr>
              <w:t>1,3 (0,5-2,1)</w:t>
            </w:r>
          </w:p>
        </w:tc>
        <w:tc>
          <w:tcPr>
            <w:tcW w:w="970" w:type="dxa"/>
            <w:tcBorders>
              <w:top w:val="single" w:sz="4" w:space="0" w:color="auto"/>
              <w:left w:val="single" w:sz="4" w:space="0" w:color="auto"/>
              <w:bottom w:val="single" w:sz="4" w:space="0" w:color="auto"/>
              <w:right w:val="single" w:sz="4" w:space="0" w:color="auto"/>
            </w:tcBorders>
          </w:tcPr>
          <w:p w14:paraId="347497DA" w14:textId="77777777" w:rsidR="00DD6B6D" w:rsidRPr="002D0790" w:rsidRDefault="00E453CD" w:rsidP="000624CD">
            <w:pPr>
              <w:pStyle w:val="EndnoteText"/>
              <w:keepNext/>
              <w:jc w:val="center"/>
              <w:rPr>
                <w:szCs w:val="22"/>
                <w:lang w:val="nb-NO"/>
              </w:rPr>
            </w:pPr>
            <w:r w:rsidRPr="002D0790">
              <w:rPr>
                <w:szCs w:val="22"/>
                <w:lang w:val="nb-NO"/>
              </w:rPr>
              <w:t>&lt; 0,001</w:t>
            </w:r>
          </w:p>
        </w:tc>
        <w:tc>
          <w:tcPr>
            <w:tcW w:w="967" w:type="dxa"/>
            <w:tcBorders>
              <w:top w:val="single" w:sz="4" w:space="0" w:color="auto"/>
              <w:left w:val="single" w:sz="4" w:space="0" w:color="auto"/>
              <w:bottom w:val="single" w:sz="4" w:space="0" w:color="auto"/>
              <w:right w:val="single" w:sz="4" w:space="0" w:color="auto"/>
            </w:tcBorders>
          </w:tcPr>
          <w:p w14:paraId="77F25A09" w14:textId="77777777" w:rsidR="00DD6B6D" w:rsidRPr="00E14E58" w:rsidRDefault="00E453CD" w:rsidP="000624CD">
            <w:pPr>
              <w:keepNext/>
              <w:jc w:val="center"/>
              <w:rPr>
                <w:sz w:val="22"/>
                <w:szCs w:val="22"/>
              </w:rPr>
            </w:pPr>
            <w:r w:rsidRPr="00E14E58">
              <w:rPr>
                <w:sz w:val="22"/>
                <w:szCs w:val="22"/>
              </w:rPr>
              <w:t>0,0020</w:t>
            </w:r>
          </w:p>
        </w:tc>
        <w:tc>
          <w:tcPr>
            <w:tcW w:w="970" w:type="dxa"/>
            <w:tcBorders>
              <w:top w:val="single" w:sz="4" w:space="0" w:color="auto"/>
              <w:left w:val="single" w:sz="4" w:space="0" w:color="auto"/>
              <w:bottom w:val="single" w:sz="4" w:space="0" w:color="auto"/>
              <w:right w:val="single" w:sz="4" w:space="0" w:color="auto"/>
            </w:tcBorders>
          </w:tcPr>
          <w:p w14:paraId="2775154A" w14:textId="77777777" w:rsidR="00DD6B6D" w:rsidRPr="009C5EFD" w:rsidRDefault="00E453CD" w:rsidP="000624CD">
            <w:pPr>
              <w:keepNext/>
              <w:jc w:val="center"/>
              <w:rPr>
                <w:sz w:val="22"/>
                <w:szCs w:val="22"/>
              </w:rPr>
            </w:pPr>
            <w:r w:rsidRPr="009C5EFD">
              <w:rPr>
                <w:sz w:val="22"/>
                <w:szCs w:val="22"/>
              </w:rPr>
              <w:t>&lt; 0,001</w:t>
            </w:r>
          </w:p>
        </w:tc>
      </w:tr>
      <w:tr w:rsidR="004644D4" w14:paraId="61C80869" w14:textId="77777777" w:rsidTr="008B396C">
        <w:tc>
          <w:tcPr>
            <w:tcW w:w="1353" w:type="dxa"/>
            <w:tcBorders>
              <w:top w:val="single" w:sz="4" w:space="0" w:color="auto"/>
              <w:left w:val="single" w:sz="4" w:space="0" w:color="auto"/>
              <w:bottom w:val="single" w:sz="4" w:space="0" w:color="auto"/>
              <w:right w:val="single" w:sz="4" w:space="0" w:color="auto"/>
            </w:tcBorders>
          </w:tcPr>
          <w:p w14:paraId="1487D34D" w14:textId="77777777" w:rsidR="00DD6B6D" w:rsidRPr="009C5EFD" w:rsidRDefault="00E453CD" w:rsidP="000624CD">
            <w:pPr>
              <w:keepNext/>
              <w:jc w:val="center"/>
              <w:rPr>
                <w:sz w:val="22"/>
                <w:szCs w:val="22"/>
              </w:rPr>
            </w:pPr>
            <w:r w:rsidRPr="009C5EFD">
              <w:rPr>
                <w:sz w:val="22"/>
                <w:szCs w:val="22"/>
              </w:rPr>
              <w:t>Erosjons score</w:t>
            </w:r>
          </w:p>
        </w:tc>
        <w:tc>
          <w:tcPr>
            <w:tcW w:w="1590" w:type="dxa"/>
            <w:tcBorders>
              <w:top w:val="single" w:sz="4" w:space="0" w:color="auto"/>
              <w:left w:val="single" w:sz="4" w:space="0" w:color="auto"/>
              <w:bottom w:val="single" w:sz="4" w:space="0" w:color="auto"/>
              <w:right w:val="single" w:sz="4" w:space="0" w:color="auto"/>
            </w:tcBorders>
          </w:tcPr>
          <w:p w14:paraId="39C1DB4F" w14:textId="77777777" w:rsidR="00DD6B6D" w:rsidRPr="009C5EFD" w:rsidRDefault="00E453CD" w:rsidP="000624CD">
            <w:pPr>
              <w:keepNext/>
              <w:jc w:val="center"/>
              <w:rPr>
                <w:sz w:val="22"/>
                <w:szCs w:val="22"/>
              </w:rPr>
            </w:pPr>
            <w:r w:rsidRPr="009C5EFD">
              <w:rPr>
                <w:sz w:val="22"/>
                <w:szCs w:val="22"/>
              </w:rPr>
              <w:t>3,7 (2,7-4,7)</w:t>
            </w:r>
          </w:p>
        </w:tc>
        <w:tc>
          <w:tcPr>
            <w:tcW w:w="1586" w:type="dxa"/>
            <w:tcBorders>
              <w:top w:val="single" w:sz="4" w:space="0" w:color="auto"/>
              <w:left w:val="single" w:sz="4" w:space="0" w:color="auto"/>
              <w:bottom w:val="single" w:sz="4" w:space="0" w:color="auto"/>
              <w:right w:val="single" w:sz="4" w:space="0" w:color="auto"/>
            </w:tcBorders>
          </w:tcPr>
          <w:p w14:paraId="5D07313A" w14:textId="77777777" w:rsidR="00DD6B6D" w:rsidRPr="009C5EFD" w:rsidRDefault="00E453CD" w:rsidP="000624CD">
            <w:pPr>
              <w:keepNext/>
              <w:jc w:val="center"/>
              <w:rPr>
                <w:sz w:val="22"/>
                <w:szCs w:val="22"/>
              </w:rPr>
            </w:pPr>
            <w:r w:rsidRPr="009C5EFD">
              <w:rPr>
                <w:sz w:val="22"/>
                <w:szCs w:val="22"/>
              </w:rPr>
              <w:t>1,7 (1,0-2,4)</w:t>
            </w:r>
          </w:p>
        </w:tc>
        <w:tc>
          <w:tcPr>
            <w:tcW w:w="1588" w:type="dxa"/>
            <w:tcBorders>
              <w:top w:val="single" w:sz="4" w:space="0" w:color="auto"/>
              <w:left w:val="single" w:sz="4" w:space="0" w:color="auto"/>
              <w:bottom w:val="single" w:sz="4" w:space="0" w:color="auto"/>
              <w:right w:val="single" w:sz="4" w:space="0" w:color="auto"/>
            </w:tcBorders>
          </w:tcPr>
          <w:p w14:paraId="77F85B81" w14:textId="77777777" w:rsidR="00DD6B6D" w:rsidRPr="009C5EFD" w:rsidRDefault="00E453CD" w:rsidP="000624CD">
            <w:pPr>
              <w:keepNext/>
              <w:jc w:val="center"/>
              <w:rPr>
                <w:sz w:val="22"/>
                <w:szCs w:val="22"/>
              </w:rPr>
            </w:pPr>
            <w:r w:rsidRPr="009C5EFD">
              <w:rPr>
                <w:sz w:val="22"/>
                <w:szCs w:val="22"/>
              </w:rPr>
              <w:t>0,8 (0,4-1,2)</w:t>
            </w:r>
          </w:p>
        </w:tc>
        <w:tc>
          <w:tcPr>
            <w:tcW w:w="970" w:type="dxa"/>
            <w:tcBorders>
              <w:top w:val="single" w:sz="4" w:space="0" w:color="auto"/>
              <w:left w:val="single" w:sz="4" w:space="0" w:color="auto"/>
              <w:bottom w:val="single" w:sz="4" w:space="0" w:color="auto"/>
              <w:right w:val="single" w:sz="4" w:space="0" w:color="auto"/>
            </w:tcBorders>
          </w:tcPr>
          <w:p w14:paraId="0DDB511D" w14:textId="77777777" w:rsidR="00DD6B6D" w:rsidRPr="009C5EFD" w:rsidRDefault="00E453CD" w:rsidP="000624CD">
            <w:pPr>
              <w:keepNext/>
              <w:jc w:val="center"/>
              <w:rPr>
                <w:sz w:val="22"/>
                <w:szCs w:val="22"/>
              </w:rPr>
            </w:pPr>
            <w:r w:rsidRPr="009C5EFD">
              <w:rPr>
                <w:sz w:val="22"/>
                <w:szCs w:val="22"/>
              </w:rPr>
              <w:t>&lt; 0,001</w:t>
            </w:r>
          </w:p>
        </w:tc>
        <w:tc>
          <w:tcPr>
            <w:tcW w:w="967" w:type="dxa"/>
            <w:tcBorders>
              <w:top w:val="single" w:sz="4" w:space="0" w:color="auto"/>
              <w:left w:val="single" w:sz="4" w:space="0" w:color="auto"/>
              <w:bottom w:val="single" w:sz="4" w:space="0" w:color="auto"/>
              <w:right w:val="single" w:sz="4" w:space="0" w:color="auto"/>
            </w:tcBorders>
          </w:tcPr>
          <w:p w14:paraId="31C372B8" w14:textId="77777777" w:rsidR="00DD6B6D" w:rsidRPr="009C5EFD" w:rsidRDefault="00E453CD" w:rsidP="000624CD">
            <w:pPr>
              <w:keepNext/>
              <w:jc w:val="center"/>
              <w:rPr>
                <w:sz w:val="22"/>
                <w:szCs w:val="22"/>
              </w:rPr>
            </w:pPr>
            <w:r w:rsidRPr="009C5EFD">
              <w:rPr>
                <w:sz w:val="22"/>
                <w:szCs w:val="22"/>
              </w:rPr>
              <w:t>0,0082</w:t>
            </w:r>
          </w:p>
        </w:tc>
        <w:tc>
          <w:tcPr>
            <w:tcW w:w="970" w:type="dxa"/>
            <w:tcBorders>
              <w:top w:val="single" w:sz="4" w:space="0" w:color="auto"/>
              <w:left w:val="single" w:sz="4" w:space="0" w:color="auto"/>
              <w:bottom w:val="single" w:sz="4" w:space="0" w:color="auto"/>
              <w:right w:val="single" w:sz="4" w:space="0" w:color="auto"/>
            </w:tcBorders>
          </w:tcPr>
          <w:p w14:paraId="3214C4A0" w14:textId="77777777" w:rsidR="00DD6B6D" w:rsidRPr="009C5EFD" w:rsidRDefault="00E453CD" w:rsidP="000624CD">
            <w:pPr>
              <w:keepNext/>
              <w:jc w:val="center"/>
              <w:rPr>
                <w:sz w:val="22"/>
                <w:szCs w:val="22"/>
              </w:rPr>
            </w:pPr>
            <w:r w:rsidRPr="009C5EFD">
              <w:rPr>
                <w:sz w:val="22"/>
                <w:szCs w:val="22"/>
              </w:rPr>
              <w:t>&lt; 0,001</w:t>
            </w:r>
          </w:p>
        </w:tc>
      </w:tr>
      <w:tr w:rsidR="004644D4" w14:paraId="739C918C" w14:textId="77777777" w:rsidTr="00AF70AD">
        <w:tc>
          <w:tcPr>
            <w:tcW w:w="1353" w:type="dxa"/>
            <w:tcBorders>
              <w:top w:val="single" w:sz="4" w:space="0" w:color="auto"/>
              <w:left w:val="single" w:sz="4" w:space="0" w:color="auto"/>
              <w:bottom w:val="single" w:sz="4" w:space="0" w:color="auto"/>
              <w:right w:val="single" w:sz="4" w:space="0" w:color="auto"/>
            </w:tcBorders>
          </w:tcPr>
          <w:p w14:paraId="51F79FA0" w14:textId="77777777" w:rsidR="00DD6B6D" w:rsidRPr="009C5EFD" w:rsidRDefault="00E453CD" w:rsidP="000624CD">
            <w:pPr>
              <w:keepNext/>
              <w:jc w:val="center"/>
              <w:rPr>
                <w:sz w:val="22"/>
                <w:szCs w:val="22"/>
              </w:rPr>
            </w:pPr>
            <w:r w:rsidRPr="009C5EFD">
              <w:rPr>
                <w:sz w:val="22"/>
                <w:szCs w:val="22"/>
              </w:rPr>
              <w:t>JSN score</w:t>
            </w:r>
          </w:p>
        </w:tc>
        <w:tc>
          <w:tcPr>
            <w:tcW w:w="1590" w:type="dxa"/>
            <w:tcBorders>
              <w:top w:val="single" w:sz="4" w:space="0" w:color="auto"/>
              <w:left w:val="single" w:sz="4" w:space="0" w:color="auto"/>
              <w:bottom w:val="single" w:sz="4" w:space="0" w:color="auto"/>
              <w:right w:val="single" w:sz="4" w:space="0" w:color="auto"/>
            </w:tcBorders>
          </w:tcPr>
          <w:p w14:paraId="23B3A427" w14:textId="77777777" w:rsidR="00DD6B6D" w:rsidRPr="009C5EFD" w:rsidRDefault="00E453CD" w:rsidP="000624CD">
            <w:pPr>
              <w:keepNext/>
              <w:jc w:val="center"/>
              <w:rPr>
                <w:sz w:val="22"/>
                <w:szCs w:val="22"/>
              </w:rPr>
            </w:pPr>
            <w:r w:rsidRPr="009C5EFD">
              <w:rPr>
                <w:sz w:val="22"/>
                <w:szCs w:val="22"/>
              </w:rPr>
              <w:t>2,0 (1,2-2,8)</w:t>
            </w:r>
          </w:p>
        </w:tc>
        <w:tc>
          <w:tcPr>
            <w:tcW w:w="1586" w:type="dxa"/>
            <w:tcBorders>
              <w:top w:val="single" w:sz="4" w:space="0" w:color="auto"/>
              <w:left w:val="single" w:sz="4" w:space="0" w:color="auto"/>
              <w:bottom w:val="single" w:sz="4" w:space="0" w:color="auto"/>
              <w:right w:val="single" w:sz="4" w:space="0" w:color="auto"/>
            </w:tcBorders>
          </w:tcPr>
          <w:p w14:paraId="3DAD3CA4" w14:textId="77777777" w:rsidR="00DD6B6D" w:rsidRPr="009C5EFD" w:rsidRDefault="00E453CD" w:rsidP="000624CD">
            <w:pPr>
              <w:keepNext/>
              <w:jc w:val="center"/>
              <w:rPr>
                <w:sz w:val="22"/>
                <w:szCs w:val="22"/>
              </w:rPr>
            </w:pPr>
            <w:r w:rsidRPr="009C5EFD">
              <w:rPr>
                <w:sz w:val="22"/>
                <w:szCs w:val="22"/>
              </w:rPr>
              <w:t>1,3 (0,5-2,1)</w:t>
            </w:r>
          </w:p>
        </w:tc>
        <w:tc>
          <w:tcPr>
            <w:tcW w:w="1588" w:type="dxa"/>
            <w:tcBorders>
              <w:top w:val="single" w:sz="4" w:space="0" w:color="auto"/>
              <w:left w:val="single" w:sz="4" w:space="0" w:color="auto"/>
              <w:bottom w:val="single" w:sz="4" w:space="0" w:color="auto"/>
              <w:right w:val="single" w:sz="4" w:space="0" w:color="auto"/>
            </w:tcBorders>
          </w:tcPr>
          <w:p w14:paraId="39FC3C91" w14:textId="77777777" w:rsidR="00DD6B6D" w:rsidRPr="009C5EFD" w:rsidRDefault="00E453CD" w:rsidP="000624CD">
            <w:pPr>
              <w:keepNext/>
              <w:jc w:val="center"/>
              <w:rPr>
                <w:sz w:val="22"/>
                <w:szCs w:val="22"/>
              </w:rPr>
            </w:pPr>
            <w:r w:rsidRPr="009C5EFD">
              <w:rPr>
                <w:sz w:val="22"/>
                <w:szCs w:val="22"/>
              </w:rPr>
              <w:t>0,5 (0-1,0)</w:t>
            </w:r>
          </w:p>
        </w:tc>
        <w:tc>
          <w:tcPr>
            <w:tcW w:w="970" w:type="dxa"/>
            <w:tcBorders>
              <w:top w:val="single" w:sz="4" w:space="0" w:color="auto"/>
              <w:left w:val="single" w:sz="4" w:space="0" w:color="auto"/>
              <w:bottom w:val="single" w:sz="4" w:space="0" w:color="auto"/>
              <w:right w:val="single" w:sz="4" w:space="0" w:color="auto"/>
            </w:tcBorders>
          </w:tcPr>
          <w:p w14:paraId="1CAC4A1D" w14:textId="77777777" w:rsidR="00DD6B6D" w:rsidRPr="009C5EFD" w:rsidRDefault="00E453CD" w:rsidP="000624CD">
            <w:pPr>
              <w:keepNext/>
              <w:jc w:val="center"/>
              <w:rPr>
                <w:sz w:val="22"/>
                <w:szCs w:val="22"/>
              </w:rPr>
            </w:pPr>
            <w:r w:rsidRPr="009C5EFD">
              <w:rPr>
                <w:sz w:val="22"/>
                <w:szCs w:val="22"/>
              </w:rPr>
              <w:t>&lt; 0,001</w:t>
            </w:r>
          </w:p>
        </w:tc>
        <w:tc>
          <w:tcPr>
            <w:tcW w:w="967" w:type="dxa"/>
            <w:tcBorders>
              <w:top w:val="single" w:sz="4" w:space="0" w:color="auto"/>
              <w:left w:val="single" w:sz="4" w:space="0" w:color="auto"/>
              <w:bottom w:val="single" w:sz="4" w:space="0" w:color="auto"/>
              <w:right w:val="single" w:sz="4" w:space="0" w:color="auto"/>
            </w:tcBorders>
          </w:tcPr>
          <w:p w14:paraId="18A4004C" w14:textId="77777777" w:rsidR="00DD6B6D" w:rsidRPr="009C5EFD" w:rsidRDefault="00E453CD" w:rsidP="000624CD">
            <w:pPr>
              <w:keepNext/>
              <w:jc w:val="center"/>
              <w:rPr>
                <w:sz w:val="22"/>
                <w:szCs w:val="22"/>
              </w:rPr>
            </w:pPr>
            <w:r w:rsidRPr="009C5EFD">
              <w:rPr>
                <w:sz w:val="22"/>
                <w:szCs w:val="22"/>
              </w:rPr>
              <w:t>0,0037</w:t>
            </w:r>
          </w:p>
        </w:tc>
        <w:tc>
          <w:tcPr>
            <w:tcW w:w="970" w:type="dxa"/>
            <w:tcBorders>
              <w:top w:val="single" w:sz="4" w:space="0" w:color="auto"/>
              <w:left w:val="single" w:sz="4" w:space="0" w:color="auto"/>
              <w:bottom w:val="single" w:sz="4" w:space="0" w:color="auto"/>
              <w:right w:val="single" w:sz="4" w:space="0" w:color="auto"/>
            </w:tcBorders>
          </w:tcPr>
          <w:p w14:paraId="66AC1B34" w14:textId="77777777" w:rsidR="00DD6B6D" w:rsidRPr="009C5EFD" w:rsidRDefault="00E453CD" w:rsidP="000624CD">
            <w:pPr>
              <w:keepNext/>
              <w:jc w:val="center"/>
              <w:rPr>
                <w:sz w:val="22"/>
                <w:szCs w:val="22"/>
              </w:rPr>
            </w:pPr>
            <w:r w:rsidRPr="009C5EFD">
              <w:rPr>
                <w:sz w:val="22"/>
                <w:szCs w:val="22"/>
              </w:rPr>
              <w:t>0,151</w:t>
            </w:r>
          </w:p>
        </w:tc>
      </w:tr>
      <w:tr w:rsidR="004644D4" w14:paraId="208DDC3A" w14:textId="77777777" w:rsidTr="00AF70AD">
        <w:trPr>
          <w:cantSplit/>
        </w:trPr>
        <w:tc>
          <w:tcPr>
            <w:tcW w:w="9024" w:type="dxa"/>
            <w:gridSpan w:val="7"/>
            <w:tcBorders>
              <w:top w:val="single" w:sz="4" w:space="0" w:color="auto"/>
            </w:tcBorders>
          </w:tcPr>
          <w:p w14:paraId="5888AB22" w14:textId="77777777" w:rsidR="00DD6B6D" w:rsidRPr="00193D76" w:rsidRDefault="00E453CD" w:rsidP="000624CD">
            <w:pPr>
              <w:pStyle w:val="BodyTextIndent2"/>
              <w:keepNext/>
              <w:tabs>
                <w:tab w:val="left" w:pos="330"/>
              </w:tabs>
              <w:ind w:left="330" w:hanging="330"/>
              <w:rPr>
                <w:szCs w:val="22"/>
              </w:rPr>
            </w:pPr>
            <w:r w:rsidRPr="0015674E">
              <w:rPr>
                <w:szCs w:val="22"/>
                <w:vertAlign w:val="superscript"/>
              </w:rPr>
              <w:t>a</w:t>
            </w:r>
            <w:r w:rsidR="00C852E8">
              <w:rPr>
                <w:szCs w:val="22"/>
                <w:vertAlign w:val="superscript"/>
              </w:rPr>
              <w:t xml:space="preserve"> </w:t>
            </w:r>
            <w:r w:rsidRPr="007F67EE">
              <w:rPr>
                <w:szCs w:val="22"/>
              </w:rPr>
              <w:t>p-verdien er fra den parvise sammenligningen av metotreksat monoterapi og Humira/metotreksat komb</w:t>
            </w:r>
            <w:r w:rsidRPr="00193D76">
              <w:rPr>
                <w:szCs w:val="22"/>
              </w:rPr>
              <w:t>inasjonsbehandling med Mann-Whitney U testen.</w:t>
            </w:r>
          </w:p>
          <w:p w14:paraId="0E1A1A2F" w14:textId="77777777" w:rsidR="00DD6B6D" w:rsidRPr="002D0790" w:rsidRDefault="00E453CD" w:rsidP="000624CD">
            <w:pPr>
              <w:pStyle w:val="BodyTextIndent2"/>
              <w:keepNext/>
              <w:tabs>
                <w:tab w:val="left" w:pos="330"/>
              </w:tabs>
              <w:ind w:left="330" w:hanging="330"/>
              <w:rPr>
                <w:szCs w:val="22"/>
              </w:rPr>
            </w:pPr>
            <w:r w:rsidRPr="0015674E">
              <w:rPr>
                <w:szCs w:val="22"/>
                <w:vertAlign w:val="superscript"/>
              </w:rPr>
              <w:t>b</w:t>
            </w:r>
            <w:r w:rsidR="00C852E8">
              <w:rPr>
                <w:szCs w:val="22"/>
                <w:vertAlign w:val="superscript"/>
              </w:rPr>
              <w:t xml:space="preserve"> </w:t>
            </w:r>
            <w:r w:rsidRPr="002D0790">
              <w:rPr>
                <w:szCs w:val="22"/>
              </w:rPr>
              <w:t>p-verdien er fra den parvise sammenligningen av Humira monoterapi og Humira/metotreksat kombinasjonsbehandling med Mann-Whitney U testen.</w:t>
            </w:r>
          </w:p>
          <w:p w14:paraId="1A6B46F5" w14:textId="77777777" w:rsidR="00DD6B6D" w:rsidRPr="00E14E58" w:rsidRDefault="00E453CD" w:rsidP="000624CD">
            <w:pPr>
              <w:keepNext/>
              <w:tabs>
                <w:tab w:val="left" w:pos="330"/>
              </w:tabs>
              <w:ind w:left="360" w:hanging="360"/>
              <w:rPr>
                <w:sz w:val="22"/>
                <w:szCs w:val="22"/>
              </w:rPr>
            </w:pPr>
            <w:r w:rsidRPr="0015674E">
              <w:rPr>
                <w:sz w:val="22"/>
                <w:szCs w:val="22"/>
                <w:vertAlign w:val="superscript"/>
              </w:rPr>
              <w:t>c</w:t>
            </w:r>
            <w:r w:rsidR="00C852E8">
              <w:rPr>
                <w:sz w:val="22"/>
                <w:szCs w:val="22"/>
                <w:vertAlign w:val="superscript"/>
              </w:rPr>
              <w:t xml:space="preserve"> </w:t>
            </w:r>
            <w:r w:rsidRPr="002D0790">
              <w:rPr>
                <w:sz w:val="22"/>
                <w:szCs w:val="22"/>
              </w:rPr>
              <w:t>p-verdien er fra den parvise sammenligningen av Humira monoterap</w:t>
            </w:r>
            <w:r w:rsidRPr="00E14E58">
              <w:rPr>
                <w:sz w:val="22"/>
                <w:szCs w:val="22"/>
              </w:rPr>
              <w:t>i og metotreksat monoterapi med Mann-Whitney U testen.</w:t>
            </w:r>
          </w:p>
        </w:tc>
      </w:tr>
    </w:tbl>
    <w:p w14:paraId="7D4671E3" w14:textId="77777777" w:rsidR="00DD6B6D" w:rsidRPr="009C5EFD" w:rsidRDefault="00DD6B6D" w:rsidP="00DD6B6D">
      <w:pPr>
        <w:rPr>
          <w:sz w:val="22"/>
          <w:szCs w:val="22"/>
        </w:rPr>
      </w:pPr>
    </w:p>
    <w:p w14:paraId="128C02FC" w14:textId="77777777" w:rsidR="00DD6B6D" w:rsidRDefault="00E453CD" w:rsidP="00DD6B6D">
      <w:pPr>
        <w:pStyle w:val="EMEANormal"/>
        <w:rPr>
          <w:szCs w:val="22"/>
          <w:lang w:val="nb-NO"/>
        </w:rPr>
      </w:pPr>
      <w:r w:rsidRPr="009C5EFD">
        <w:rPr>
          <w:szCs w:val="22"/>
          <w:lang w:val="nb-NO"/>
        </w:rPr>
        <w:lastRenderedPageBreak/>
        <w:t>Etter behandling i 52</w:t>
      </w:r>
      <w:r w:rsidR="008538BD">
        <w:rPr>
          <w:szCs w:val="22"/>
          <w:lang w:val="nb-NO"/>
        </w:rPr>
        <w:t> </w:t>
      </w:r>
      <w:r w:rsidRPr="009C5EFD">
        <w:rPr>
          <w:szCs w:val="22"/>
          <w:lang w:val="nb-NO"/>
        </w:rPr>
        <w:t>uker og 104</w:t>
      </w:r>
      <w:r w:rsidR="008538BD">
        <w:rPr>
          <w:szCs w:val="22"/>
          <w:lang w:val="nb-NO"/>
        </w:rPr>
        <w:t> </w:t>
      </w:r>
      <w:r w:rsidRPr="009C5EFD">
        <w:rPr>
          <w:szCs w:val="22"/>
          <w:lang w:val="nb-NO"/>
        </w:rPr>
        <w:t xml:space="preserve">uker var andelen pasienter uten progresjon (forandring i den modifiserte totale Sharp score </w:t>
      </w:r>
      <w:r w:rsidRPr="007F67EE">
        <w:rPr>
          <w:rFonts w:ascii="Symbol" w:hAnsi="Symbol"/>
          <w:szCs w:val="22"/>
          <w:lang w:val="nb-NO"/>
        </w:rPr>
        <w:sym w:font="Symbol" w:char="F0A3"/>
      </w:r>
      <w:r w:rsidRPr="007F67EE">
        <w:rPr>
          <w:szCs w:val="22"/>
          <w:lang w:val="nb-NO"/>
        </w:rPr>
        <w:t> 0,5 siden oppstart) signifikant høyere med kombinasjonsbehandling med H</w:t>
      </w:r>
      <w:r w:rsidRPr="00193D76">
        <w:rPr>
          <w:szCs w:val="22"/>
          <w:lang w:val="nb-NO"/>
        </w:rPr>
        <w:t>umira/metotreksat (henholdsvis 63,8</w:t>
      </w:r>
      <w:r w:rsidR="008538BD">
        <w:rPr>
          <w:szCs w:val="22"/>
          <w:lang w:val="nb-NO"/>
        </w:rPr>
        <w:t> </w:t>
      </w:r>
      <w:r w:rsidRPr="00193D76">
        <w:rPr>
          <w:szCs w:val="22"/>
          <w:lang w:val="nb-NO"/>
        </w:rPr>
        <w:t>% og 61,2</w:t>
      </w:r>
      <w:r w:rsidR="008538BD">
        <w:rPr>
          <w:szCs w:val="22"/>
          <w:lang w:val="nb-NO"/>
        </w:rPr>
        <w:t> </w:t>
      </w:r>
      <w:r w:rsidRPr="00193D76">
        <w:rPr>
          <w:szCs w:val="22"/>
          <w:lang w:val="nb-NO"/>
        </w:rPr>
        <w:t>%) sammenlignet med metotreksat monoterapi (henholdsvis 37,4</w:t>
      </w:r>
      <w:r w:rsidR="008538BD">
        <w:rPr>
          <w:szCs w:val="22"/>
          <w:lang w:val="nb-NO"/>
        </w:rPr>
        <w:t> </w:t>
      </w:r>
      <w:r w:rsidRPr="00193D76">
        <w:rPr>
          <w:szCs w:val="22"/>
          <w:lang w:val="nb-NO"/>
        </w:rPr>
        <w:t>% og 33,5</w:t>
      </w:r>
      <w:r w:rsidR="008538BD">
        <w:rPr>
          <w:szCs w:val="22"/>
          <w:lang w:val="nb-NO"/>
        </w:rPr>
        <w:t> </w:t>
      </w:r>
      <w:r w:rsidRPr="00193D76">
        <w:rPr>
          <w:szCs w:val="22"/>
          <w:lang w:val="nb-NO"/>
        </w:rPr>
        <w:t>%, p &lt;</w:t>
      </w:r>
      <w:r w:rsidR="008538BD">
        <w:rPr>
          <w:szCs w:val="22"/>
          <w:lang w:val="nb-NO"/>
        </w:rPr>
        <w:t> </w:t>
      </w:r>
      <w:r w:rsidRPr="00193D76">
        <w:rPr>
          <w:szCs w:val="22"/>
          <w:lang w:val="nb-NO"/>
        </w:rPr>
        <w:t>0,001) og Humira monoterapi (henholdsvis 50,7</w:t>
      </w:r>
      <w:r w:rsidR="008538BD">
        <w:rPr>
          <w:szCs w:val="22"/>
          <w:lang w:val="nb-NO"/>
        </w:rPr>
        <w:t> </w:t>
      </w:r>
      <w:r w:rsidRPr="00193D76">
        <w:rPr>
          <w:szCs w:val="22"/>
          <w:lang w:val="nb-NO"/>
        </w:rPr>
        <w:t>%, p &lt;</w:t>
      </w:r>
      <w:r w:rsidR="008538BD">
        <w:rPr>
          <w:szCs w:val="22"/>
          <w:lang w:val="nb-NO"/>
        </w:rPr>
        <w:t> </w:t>
      </w:r>
      <w:r w:rsidRPr="00193D76">
        <w:rPr>
          <w:szCs w:val="22"/>
          <w:lang w:val="nb-NO"/>
        </w:rPr>
        <w:t>0,002 og 44,5</w:t>
      </w:r>
      <w:r w:rsidR="008538BD">
        <w:rPr>
          <w:szCs w:val="22"/>
          <w:lang w:val="nb-NO"/>
        </w:rPr>
        <w:t> </w:t>
      </w:r>
      <w:r w:rsidRPr="00193D76">
        <w:rPr>
          <w:szCs w:val="22"/>
          <w:lang w:val="nb-NO"/>
        </w:rPr>
        <w:t>%, p &lt;</w:t>
      </w:r>
      <w:r w:rsidR="008538BD">
        <w:rPr>
          <w:szCs w:val="22"/>
          <w:lang w:val="nb-NO"/>
        </w:rPr>
        <w:t> </w:t>
      </w:r>
      <w:r w:rsidRPr="00193D76">
        <w:rPr>
          <w:szCs w:val="22"/>
          <w:lang w:val="nb-NO"/>
        </w:rPr>
        <w:t>0,001).</w:t>
      </w:r>
    </w:p>
    <w:p w14:paraId="205B3838" w14:textId="77777777" w:rsidR="00DD6B6D" w:rsidRDefault="00DD6B6D" w:rsidP="00DD6B6D">
      <w:pPr>
        <w:pStyle w:val="EMEANormal"/>
        <w:rPr>
          <w:szCs w:val="22"/>
          <w:lang w:val="nb-NO"/>
        </w:rPr>
      </w:pPr>
    </w:p>
    <w:p w14:paraId="6688786F" w14:textId="77777777" w:rsidR="00DD6B6D" w:rsidRPr="00193D76" w:rsidRDefault="00E453CD" w:rsidP="00DD6B6D">
      <w:pPr>
        <w:pStyle w:val="EMEANormal"/>
        <w:rPr>
          <w:szCs w:val="22"/>
          <w:lang w:val="nb-NO"/>
        </w:rPr>
      </w:pPr>
      <w:r>
        <w:rPr>
          <w:szCs w:val="22"/>
          <w:lang w:val="nb-NO"/>
        </w:rPr>
        <w:t>I den åpne forlengelsesfasen av</w:t>
      </w:r>
      <w:r w:rsidRPr="00635DEA">
        <w:rPr>
          <w:szCs w:val="22"/>
          <w:lang w:val="nb-NO"/>
        </w:rPr>
        <w:t xml:space="preserve"> RA studie V, </w:t>
      </w:r>
      <w:r>
        <w:rPr>
          <w:szCs w:val="22"/>
          <w:lang w:val="nb-NO"/>
        </w:rPr>
        <w:t>var gjennomsnittlig endring fra baseline ved år</w:t>
      </w:r>
      <w:r w:rsidR="008538BD">
        <w:rPr>
          <w:szCs w:val="22"/>
          <w:lang w:val="nb-NO"/>
        </w:rPr>
        <w:t> </w:t>
      </w:r>
      <w:r>
        <w:rPr>
          <w:szCs w:val="22"/>
          <w:lang w:val="nb-NO"/>
        </w:rPr>
        <w:t xml:space="preserve">10 i den  </w:t>
      </w:r>
      <w:r w:rsidRPr="00635DEA">
        <w:rPr>
          <w:szCs w:val="22"/>
          <w:lang w:val="nb-NO"/>
        </w:rPr>
        <w:t>modifiserte totale Sharp score</w:t>
      </w:r>
      <w:r>
        <w:rPr>
          <w:szCs w:val="22"/>
          <w:lang w:val="nb-NO"/>
        </w:rPr>
        <w:t xml:space="preserve"> 10,8, 9,2 og 3,9 hos pasienter henholdsvis opprinnelig randomisert til metotreksat monoterapi, Humira monoterapi og </w:t>
      </w:r>
      <w:r w:rsidRPr="00453752">
        <w:rPr>
          <w:szCs w:val="22"/>
          <w:lang w:val="nb-NO"/>
        </w:rPr>
        <w:t>Humira/metotreksat kombinasjonsbehandling</w:t>
      </w:r>
      <w:r>
        <w:rPr>
          <w:szCs w:val="22"/>
          <w:lang w:val="nb-NO"/>
        </w:rPr>
        <w:t>. De tilsvarende andeler pasienter uten radiografisk progresjon var henholdsvis 31,3</w:t>
      </w:r>
      <w:r w:rsidR="008538BD">
        <w:rPr>
          <w:szCs w:val="22"/>
          <w:lang w:val="nb-NO"/>
        </w:rPr>
        <w:t> </w:t>
      </w:r>
      <w:r>
        <w:rPr>
          <w:szCs w:val="22"/>
          <w:lang w:val="nb-NO"/>
        </w:rPr>
        <w:t>%, 23,7</w:t>
      </w:r>
      <w:r w:rsidR="008538BD">
        <w:rPr>
          <w:szCs w:val="22"/>
          <w:lang w:val="nb-NO"/>
        </w:rPr>
        <w:t> </w:t>
      </w:r>
      <w:r>
        <w:rPr>
          <w:szCs w:val="22"/>
          <w:lang w:val="nb-NO"/>
        </w:rPr>
        <w:t>% og 36,7</w:t>
      </w:r>
      <w:r w:rsidR="008538BD">
        <w:rPr>
          <w:szCs w:val="22"/>
          <w:lang w:val="nb-NO"/>
        </w:rPr>
        <w:t> </w:t>
      </w:r>
      <w:r>
        <w:rPr>
          <w:szCs w:val="22"/>
          <w:lang w:val="nb-NO"/>
        </w:rPr>
        <w:t>%.</w:t>
      </w:r>
    </w:p>
    <w:p w14:paraId="1C812E17" w14:textId="77777777" w:rsidR="00DD6B6D" w:rsidRPr="00193D76" w:rsidRDefault="00DD6B6D" w:rsidP="00DD6B6D">
      <w:pPr>
        <w:pStyle w:val="EMEANormal"/>
        <w:rPr>
          <w:szCs w:val="22"/>
          <w:lang w:val="nb-NO"/>
        </w:rPr>
      </w:pPr>
    </w:p>
    <w:p w14:paraId="22D1F42F" w14:textId="77777777" w:rsidR="00DD6B6D" w:rsidRPr="007F67EE" w:rsidRDefault="00E453CD" w:rsidP="00776A84">
      <w:pPr>
        <w:keepNext/>
        <w:rPr>
          <w:sz w:val="22"/>
          <w:szCs w:val="22"/>
          <w:u w:val="single"/>
        </w:rPr>
      </w:pPr>
      <w:r w:rsidRPr="001F5D4B">
        <w:rPr>
          <w:i/>
          <w:sz w:val="22"/>
          <w:szCs w:val="22"/>
          <w:u w:val="single"/>
        </w:rPr>
        <w:t>Livskvalitet og fysisk funksjon</w:t>
      </w:r>
    </w:p>
    <w:p w14:paraId="6B918204" w14:textId="77777777" w:rsidR="00DD6B6D" w:rsidRPr="002D0790" w:rsidRDefault="00DD6B6D" w:rsidP="00776A84">
      <w:pPr>
        <w:keepNext/>
        <w:rPr>
          <w:sz w:val="22"/>
          <w:szCs w:val="22"/>
        </w:rPr>
      </w:pPr>
    </w:p>
    <w:p w14:paraId="4835D694" w14:textId="77777777" w:rsidR="00DD6B6D" w:rsidRPr="009C5EFD" w:rsidRDefault="00E453CD" w:rsidP="00DD6B6D">
      <w:pPr>
        <w:rPr>
          <w:sz w:val="22"/>
          <w:szCs w:val="22"/>
        </w:rPr>
      </w:pPr>
      <w:r w:rsidRPr="002D0790">
        <w:rPr>
          <w:sz w:val="22"/>
          <w:szCs w:val="22"/>
        </w:rPr>
        <w:t>Helserelatert livskvalitet og fysisk funksjon ble vurdert ved hjelp av uførhetsindeksen i spørreskjemaet for helseutredning (Health Assessment Questionnaire HAQ) i de fire opprinnelige, veldefinerte og kontrollerte studiene, som var et for</w:t>
      </w:r>
      <w:r w:rsidRPr="00E14E58">
        <w:rPr>
          <w:sz w:val="22"/>
          <w:szCs w:val="22"/>
        </w:rPr>
        <w:t>h</w:t>
      </w:r>
      <w:r w:rsidRPr="009C5EFD">
        <w:rPr>
          <w:sz w:val="22"/>
          <w:szCs w:val="22"/>
        </w:rPr>
        <w:t>åndsspesifisert primærendepunkt ved uke</w:t>
      </w:r>
      <w:r w:rsidR="008538BD">
        <w:rPr>
          <w:sz w:val="22"/>
          <w:szCs w:val="22"/>
        </w:rPr>
        <w:t> </w:t>
      </w:r>
      <w:r w:rsidRPr="009C5EFD">
        <w:rPr>
          <w:sz w:val="22"/>
          <w:szCs w:val="22"/>
        </w:rPr>
        <w:t>52 i RA-studie III. Alle doseringer/regimer for Humira i alle fire studie</w:t>
      </w:r>
      <w:r w:rsidR="008B5519">
        <w:rPr>
          <w:sz w:val="22"/>
          <w:szCs w:val="22"/>
        </w:rPr>
        <w:t>r</w:t>
      </w:r>
      <w:r w:rsidRPr="009C5EFD">
        <w:rPr>
          <w:sz w:val="22"/>
          <w:szCs w:val="22"/>
        </w:rPr>
        <w:t xml:space="preserve"> viste statistisk signifikant større forbedring i uførhetsindeksen til HAQ fra oppstart til 6.</w:t>
      </w:r>
      <w:r w:rsidR="008538BD">
        <w:rPr>
          <w:sz w:val="22"/>
          <w:szCs w:val="22"/>
        </w:rPr>
        <w:t> </w:t>
      </w:r>
      <w:r w:rsidRPr="009C5EFD">
        <w:rPr>
          <w:sz w:val="22"/>
          <w:szCs w:val="22"/>
        </w:rPr>
        <w:t>måned sammenlignet med placebo og i RA-studie III ble det samme observert ved uke</w:t>
      </w:r>
      <w:r w:rsidR="008538BD">
        <w:rPr>
          <w:sz w:val="22"/>
          <w:szCs w:val="22"/>
        </w:rPr>
        <w:t> </w:t>
      </w:r>
      <w:r w:rsidRPr="009C5EFD">
        <w:rPr>
          <w:sz w:val="22"/>
          <w:szCs w:val="22"/>
        </w:rPr>
        <w:t xml:space="preserve">52. Resultater fra </w:t>
      </w:r>
      <w:r w:rsidR="009A7166">
        <w:rPr>
          <w:sz w:val="22"/>
          <w:szCs w:val="22"/>
        </w:rPr>
        <w:t>«</w:t>
      </w:r>
      <w:r w:rsidRPr="009C5EFD">
        <w:rPr>
          <w:sz w:val="22"/>
          <w:szCs w:val="22"/>
        </w:rPr>
        <w:t>Short Form Health Survey</w:t>
      </w:r>
      <w:r w:rsidR="00D57009">
        <w:rPr>
          <w:sz w:val="22"/>
          <w:szCs w:val="22"/>
        </w:rPr>
        <w:t>»</w:t>
      </w:r>
      <w:r w:rsidRPr="009C5EFD">
        <w:rPr>
          <w:sz w:val="22"/>
          <w:szCs w:val="22"/>
        </w:rPr>
        <w:t xml:space="preserve"> (SF36) ved alle doseringer/regimer av Humira i alle de fire studiene støtter disse funnene, med statistisk signifikante poengverdier for </w:t>
      </w:r>
      <w:r w:rsidR="009A7166">
        <w:rPr>
          <w:sz w:val="22"/>
          <w:szCs w:val="22"/>
        </w:rPr>
        <w:t>«</w:t>
      </w:r>
      <w:r w:rsidRPr="009C5EFD">
        <w:rPr>
          <w:sz w:val="22"/>
          <w:szCs w:val="22"/>
        </w:rPr>
        <w:t>Physical Component Summary</w:t>
      </w:r>
      <w:r w:rsidR="00D57009">
        <w:rPr>
          <w:sz w:val="22"/>
          <w:szCs w:val="22"/>
        </w:rPr>
        <w:t>»</w:t>
      </w:r>
      <w:r w:rsidRPr="009C5EFD">
        <w:rPr>
          <w:sz w:val="22"/>
          <w:szCs w:val="22"/>
        </w:rPr>
        <w:t xml:space="preserve"> (PCS), og dessuten statistisk signifikante poengverdier for smerte- og vitalitetsområdet ved 40</w:t>
      </w:r>
      <w:r w:rsidR="008538BD">
        <w:rPr>
          <w:sz w:val="22"/>
          <w:szCs w:val="22"/>
        </w:rPr>
        <w:t> </w:t>
      </w:r>
      <w:r w:rsidRPr="009C5EFD">
        <w:rPr>
          <w:sz w:val="22"/>
          <w:szCs w:val="22"/>
        </w:rPr>
        <w:t>mg dosert annenhver uke. Statistisk signifikant reduksjon i tretthet (fatigue) målt med poengverdier for funksjonell vurdering av behandling av kronisk sykdom (Functional assessment of chronic illness therapy – FACIT) ble observert i alle tre studier hvor det ble vurdert (RA-studiene I, III, IV).</w:t>
      </w:r>
    </w:p>
    <w:p w14:paraId="5475C0CF" w14:textId="77777777" w:rsidR="00DD6B6D" w:rsidRPr="009C5EFD" w:rsidRDefault="00DD6B6D" w:rsidP="00DD6B6D">
      <w:pPr>
        <w:rPr>
          <w:sz w:val="22"/>
          <w:szCs w:val="22"/>
        </w:rPr>
      </w:pPr>
    </w:p>
    <w:p w14:paraId="4472A542" w14:textId="77777777" w:rsidR="00DD6B6D" w:rsidRPr="009C5EFD" w:rsidRDefault="00E453CD" w:rsidP="00DD6B6D">
      <w:pPr>
        <w:rPr>
          <w:sz w:val="22"/>
          <w:szCs w:val="22"/>
        </w:rPr>
      </w:pPr>
      <w:r w:rsidRPr="009C5EFD">
        <w:rPr>
          <w:sz w:val="22"/>
          <w:szCs w:val="22"/>
        </w:rPr>
        <w:t>I RA-studie III, vedvarte forbedringene i fysisk funksjon gjennom 520</w:t>
      </w:r>
      <w:r w:rsidR="008538BD">
        <w:rPr>
          <w:sz w:val="22"/>
          <w:szCs w:val="22"/>
        </w:rPr>
        <w:t> </w:t>
      </w:r>
      <w:r w:rsidRPr="009C5EFD">
        <w:rPr>
          <w:sz w:val="22"/>
          <w:szCs w:val="22"/>
        </w:rPr>
        <w:t>uker (120</w:t>
      </w:r>
      <w:r w:rsidR="008538BD">
        <w:rPr>
          <w:sz w:val="22"/>
          <w:szCs w:val="22"/>
        </w:rPr>
        <w:t> </w:t>
      </w:r>
      <w:r w:rsidRPr="009C5EFD">
        <w:rPr>
          <w:sz w:val="22"/>
          <w:szCs w:val="22"/>
        </w:rPr>
        <w:t>måneder) med åpen behandling hos de fleste pasienter som oppnådde forbedring i fysisk funksjon og fortsatte behandlingen. Forbedring i livskvalitet ble målt opptil 156</w:t>
      </w:r>
      <w:r w:rsidR="008538BD">
        <w:rPr>
          <w:sz w:val="22"/>
          <w:szCs w:val="22"/>
        </w:rPr>
        <w:t> </w:t>
      </w:r>
      <w:r w:rsidRPr="009C5EFD">
        <w:rPr>
          <w:sz w:val="22"/>
          <w:szCs w:val="22"/>
        </w:rPr>
        <w:t>uker (36</w:t>
      </w:r>
      <w:r w:rsidR="008538BD">
        <w:rPr>
          <w:sz w:val="22"/>
          <w:szCs w:val="22"/>
        </w:rPr>
        <w:t> </w:t>
      </w:r>
      <w:r w:rsidRPr="009C5EFD">
        <w:rPr>
          <w:sz w:val="22"/>
          <w:szCs w:val="22"/>
        </w:rPr>
        <w:t>måneder) og forbedringen vedvarte gjennom denne perioden.</w:t>
      </w:r>
    </w:p>
    <w:p w14:paraId="7D3AA991" w14:textId="77777777" w:rsidR="00DD6B6D" w:rsidRPr="009C5EFD" w:rsidRDefault="00DD6B6D" w:rsidP="00DD6B6D">
      <w:pPr>
        <w:rPr>
          <w:sz w:val="22"/>
          <w:szCs w:val="22"/>
        </w:rPr>
      </w:pPr>
    </w:p>
    <w:p w14:paraId="4E8822A6" w14:textId="77777777" w:rsidR="00DD6B6D" w:rsidRPr="009C5EFD" w:rsidRDefault="00E453CD" w:rsidP="00DD6B6D">
      <w:pPr>
        <w:rPr>
          <w:sz w:val="22"/>
          <w:szCs w:val="22"/>
        </w:rPr>
      </w:pPr>
      <w:r w:rsidRPr="009C5EFD">
        <w:rPr>
          <w:sz w:val="22"/>
          <w:szCs w:val="22"/>
        </w:rPr>
        <w:t>I R</w:t>
      </w:r>
      <w:r>
        <w:rPr>
          <w:sz w:val="22"/>
          <w:szCs w:val="22"/>
        </w:rPr>
        <w:t>A</w:t>
      </w:r>
      <w:r w:rsidRPr="009C5EFD">
        <w:rPr>
          <w:sz w:val="22"/>
          <w:szCs w:val="22"/>
        </w:rPr>
        <w:t>-studie V viste forbedring i uførhetsindeksen til HAQ og den fysiske delen av SF</w:t>
      </w:r>
      <w:r w:rsidR="008538BD">
        <w:rPr>
          <w:sz w:val="22"/>
          <w:szCs w:val="22"/>
        </w:rPr>
        <w:t> </w:t>
      </w:r>
      <w:r w:rsidRPr="009C5EFD">
        <w:rPr>
          <w:sz w:val="22"/>
          <w:szCs w:val="22"/>
        </w:rPr>
        <w:t>36, større forbedring (p &lt;</w:t>
      </w:r>
      <w:r w:rsidR="008538BD">
        <w:rPr>
          <w:sz w:val="22"/>
          <w:szCs w:val="22"/>
        </w:rPr>
        <w:t> </w:t>
      </w:r>
      <w:r w:rsidRPr="009C5EFD">
        <w:rPr>
          <w:sz w:val="22"/>
          <w:szCs w:val="22"/>
        </w:rPr>
        <w:t xml:space="preserve">0,001) for kombinasjonsbehandling med Humira/metotreksat i forhold til metotreksat monoterapi </w:t>
      </w:r>
      <w:r w:rsidR="007847BE">
        <w:rPr>
          <w:sz w:val="22"/>
          <w:szCs w:val="22"/>
        </w:rPr>
        <w:t xml:space="preserve">og Humira monoterapi </w:t>
      </w:r>
      <w:r w:rsidRPr="009C5EFD">
        <w:rPr>
          <w:sz w:val="22"/>
          <w:szCs w:val="22"/>
        </w:rPr>
        <w:t>ved uke</w:t>
      </w:r>
      <w:r w:rsidR="008538BD">
        <w:rPr>
          <w:sz w:val="22"/>
          <w:szCs w:val="22"/>
        </w:rPr>
        <w:t> </w:t>
      </w:r>
      <w:r w:rsidRPr="009C5EFD">
        <w:rPr>
          <w:sz w:val="22"/>
          <w:szCs w:val="22"/>
        </w:rPr>
        <w:t>52, noe som ble vedlikeholdt gjennom uke</w:t>
      </w:r>
      <w:r w:rsidR="008538BD">
        <w:rPr>
          <w:sz w:val="22"/>
          <w:szCs w:val="22"/>
        </w:rPr>
        <w:t> </w:t>
      </w:r>
      <w:r w:rsidRPr="009C5EFD">
        <w:rPr>
          <w:sz w:val="22"/>
          <w:szCs w:val="22"/>
        </w:rPr>
        <w:t>104.</w:t>
      </w:r>
      <w:r>
        <w:rPr>
          <w:sz w:val="22"/>
          <w:szCs w:val="22"/>
        </w:rPr>
        <w:t xml:space="preserve"> Blant de 250</w:t>
      </w:r>
      <w:r w:rsidR="008538BD">
        <w:rPr>
          <w:sz w:val="22"/>
          <w:szCs w:val="22"/>
        </w:rPr>
        <w:t> </w:t>
      </w:r>
      <w:r>
        <w:rPr>
          <w:sz w:val="22"/>
          <w:szCs w:val="22"/>
        </w:rPr>
        <w:t>pasientene som fullførte den åpne forlengelsesstudien, ble forbedringer i fysisk funksjon opprettholdt gjennom 10</w:t>
      </w:r>
      <w:r w:rsidR="008538BD">
        <w:rPr>
          <w:sz w:val="22"/>
          <w:szCs w:val="22"/>
        </w:rPr>
        <w:t> </w:t>
      </w:r>
      <w:r>
        <w:rPr>
          <w:sz w:val="22"/>
          <w:szCs w:val="22"/>
        </w:rPr>
        <w:t>år med behandling.</w:t>
      </w:r>
    </w:p>
    <w:p w14:paraId="57A627A0" w14:textId="77777777" w:rsidR="00DD6B6D" w:rsidRPr="009C5EFD" w:rsidRDefault="00DD6B6D" w:rsidP="00DD6B6D">
      <w:pPr>
        <w:rPr>
          <w:sz w:val="22"/>
          <w:szCs w:val="22"/>
          <w:u w:val="single"/>
        </w:rPr>
      </w:pPr>
    </w:p>
    <w:p w14:paraId="1C4AFF7E" w14:textId="77777777" w:rsidR="00DD6B6D" w:rsidRPr="00193D76" w:rsidRDefault="00E453CD" w:rsidP="00DD6B6D">
      <w:pPr>
        <w:keepNext/>
        <w:rPr>
          <w:sz w:val="22"/>
          <w:szCs w:val="22"/>
          <w:u w:val="single"/>
        </w:rPr>
      </w:pPr>
      <w:r w:rsidRPr="001F5D4B">
        <w:rPr>
          <w:i/>
          <w:sz w:val="22"/>
          <w:szCs w:val="22"/>
        </w:rPr>
        <w:t>Voksne med plakkpsoriasis</w:t>
      </w:r>
    </w:p>
    <w:p w14:paraId="04383A80" w14:textId="77777777" w:rsidR="00DD6B6D" w:rsidRPr="002D0790" w:rsidRDefault="00DD6B6D" w:rsidP="00DD6B6D">
      <w:pPr>
        <w:keepNext/>
        <w:rPr>
          <w:sz w:val="22"/>
          <w:szCs w:val="22"/>
        </w:rPr>
      </w:pPr>
    </w:p>
    <w:p w14:paraId="7C28FD0A" w14:textId="77777777" w:rsidR="00DD6B6D" w:rsidRPr="009C5EFD" w:rsidRDefault="00E453CD" w:rsidP="00776A84">
      <w:pPr>
        <w:rPr>
          <w:sz w:val="22"/>
          <w:szCs w:val="22"/>
        </w:rPr>
      </w:pPr>
      <w:r w:rsidRPr="002D0790">
        <w:rPr>
          <w:sz w:val="22"/>
          <w:szCs w:val="22"/>
        </w:rPr>
        <w:t>Sikkerhet og effekt av Humira har vært undersøkt hos voksne pasienter med kronisk plakkpsoriasis (</w:t>
      </w:r>
      <w:r w:rsidRPr="007F67EE">
        <w:rPr>
          <w:rFonts w:ascii="Symbol" w:hAnsi="Symbol"/>
          <w:sz w:val="22"/>
          <w:szCs w:val="22"/>
        </w:rPr>
        <w:sym w:font="Symbol" w:char="F0B3"/>
      </w:r>
      <w:r w:rsidR="008538BD">
        <w:rPr>
          <w:sz w:val="22"/>
          <w:szCs w:val="22"/>
        </w:rPr>
        <w:t> </w:t>
      </w:r>
      <w:r w:rsidRPr="007F67EE">
        <w:rPr>
          <w:sz w:val="22"/>
          <w:szCs w:val="22"/>
        </w:rPr>
        <w:t>10</w:t>
      </w:r>
      <w:r w:rsidR="008538BD">
        <w:rPr>
          <w:sz w:val="22"/>
          <w:szCs w:val="22"/>
        </w:rPr>
        <w:t> </w:t>
      </w:r>
      <w:r w:rsidRPr="007F67EE">
        <w:rPr>
          <w:sz w:val="22"/>
          <w:szCs w:val="22"/>
        </w:rPr>
        <w:t>% BSA og PA</w:t>
      </w:r>
      <w:r w:rsidRPr="00193D76">
        <w:rPr>
          <w:sz w:val="22"/>
          <w:szCs w:val="22"/>
        </w:rPr>
        <w:t>SI</w:t>
      </w:r>
      <w:r w:rsidR="008538BD">
        <w:rPr>
          <w:sz w:val="22"/>
          <w:szCs w:val="22"/>
        </w:rPr>
        <w:t> </w:t>
      </w:r>
      <w:r w:rsidRPr="007F67EE">
        <w:rPr>
          <w:rFonts w:ascii="Symbol" w:hAnsi="Symbol"/>
          <w:sz w:val="22"/>
          <w:szCs w:val="22"/>
        </w:rPr>
        <w:sym w:font="Symbol" w:char="F0B3"/>
      </w:r>
      <w:r w:rsidR="008538BD">
        <w:rPr>
          <w:sz w:val="22"/>
          <w:szCs w:val="22"/>
        </w:rPr>
        <w:t> </w:t>
      </w:r>
      <w:r w:rsidRPr="007F67EE">
        <w:rPr>
          <w:sz w:val="22"/>
          <w:szCs w:val="22"/>
        </w:rPr>
        <w:t xml:space="preserve">12 eller </w:t>
      </w:r>
      <w:r w:rsidRPr="007F67EE">
        <w:rPr>
          <w:rFonts w:ascii="Symbol" w:hAnsi="Symbol"/>
          <w:sz w:val="22"/>
          <w:szCs w:val="22"/>
        </w:rPr>
        <w:sym w:font="Symbol" w:char="F0B3"/>
      </w:r>
      <w:r w:rsidR="008538BD">
        <w:rPr>
          <w:sz w:val="22"/>
          <w:szCs w:val="22"/>
        </w:rPr>
        <w:t> </w:t>
      </w:r>
      <w:r w:rsidRPr="007F67EE">
        <w:rPr>
          <w:sz w:val="22"/>
          <w:szCs w:val="22"/>
        </w:rPr>
        <w:t xml:space="preserve">10), som var kandidater </w:t>
      </w:r>
      <w:r w:rsidRPr="00193D76">
        <w:rPr>
          <w:sz w:val="22"/>
          <w:szCs w:val="22"/>
        </w:rPr>
        <w:t>for</w:t>
      </w:r>
      <w:r w:rsidRPr="002D0790">
        <w:rPr>
          <w:sz w:val="22"/>
          <w:szCs w:val="22"/>
        </w:rPr>
        <w:t xml:space="preserve"> systemisk behandling eller </w:t>
      </w:r>
      <w:r>
        <w:rPr>
          <w:sz w:val="22"/>
          <w:szCs w:val="22"/>
        </w:rPr>
        <w:t>lysbehandling</w:t>
      </w:r>
      <w:r w:rsidRPr="002D0790">
        <w:rPr>
          <w:sz w:val="22"/>
          <w:szCs w:val="22"/>
        </w:rPr>
        <w:t xml:space="preserve"> i randomiserte, dobbeltblinde studier. </w:t>
      </w:r>
      <w:r>
        <w:rPr>
          <w:sz w:val="22"/>
          <w:szCs w:val="22"/>
        </w:rPr>
        <w:t>I</w:t>
      </w:r>
      <w:r w:rsidRPr="002D0790">
        <w:rPr>
          <w:sz w:val="22"/>
          <w:szCs w:val="22"/>
        </w:rPr>
        <w:t xml:space="preserve"> psoriasisstudiene I og II var 73</w:t>
      </w:r>
      <w:r w:rsidR="008538BD">
        <w:rPr>
          <w:sz w:val="22"/>
          <w:szCs w:val="22"/>
        </w:rPr>
        <w:t> </w:t>
      </w:r>
      <w:r w:rsidRPr="002D0790">
        <w:rPr>
          <w:sz w:val="22"/>
          <w:szCs w:val="22"/>
        </w:rPr>
        <w:t xml:space="preserve">% av pasientene tidligere behandlet med systemisk behandling eller </w:t>
      </w:r>
      <w:r>
        <w:rPr>
          <w:sz w:val="22"/>
          <w:szCs w:val="22"/>
        </w:rPr>
        <w:t>lysbehandling</w:t>
      </w:r>
      <w:r w:rsidRPr="002D0790">
        <w:rPr>
          <w:sz w:val="22"/>
          <w:szCs w:val="22"/>
        </w:rPr>
        <w:t>. Sikkerhet og effekt av Humira ble også undersøkt hos voksne pasienter med moderat til alvorlig kronisk plakkpsoriasis med samtidig hånd og/eller fot psoriasis, som var kandidater for systemisk behandling i en randomisert</w:t>
      </w:r>
      <w:r w:rsidRPr="00E14E58">
        <w:rPr>
          <w:sz w:val="22"/>
          <w:szCs w:val="22"/>
        </w:rPr>
        <w:t>,</w:t>
      </w:r>
      <w:r w:rsidRPr="009C5EFD">
        <w:rPr>
          <w:sz w:val="22"/>
          <w:szCs w:val="22"/>
        </w:rPr>
        <w:t xml:space="preserve"> dobbeltblindet studie (Psoriasisstudie</w:t>
      </w:r>
      <w:r w:rsidR="008538BD">
        <w:rPr>
          <w:sz w:val="22"/>
          <w:szCs w:val="22"/>
        </w:rPr>
        <w:t> </w:t>
      </w:r>
      <w:r w:rsidRPr="009C5EFD">
        <w:rPr>
          <w:sz w:val="22"/>
          <w:szCs w:val="22"/>
        </w:rPr>
        <w:t>III).</w:t>
      </w:r>
    </w:p>
    <w:p w14:paraId="4B805FD8" w14:textId="77777777" w:rsidR="00DD6B6D" w:rsidRPr="009C5EFD" w:rsidRDefault="00DD6B6D" w:rsidP="00DD6B6D">
      <w:pPr>
        <w:rPr>
          <w:sz w:val="22"/>
          <w:szCs w:val="22"/>
        </w:rPr>
      </w:pPr>
    </w:p>
    <w:p w14:paraId="16E9BB03" w14:textId="77777777" w:rsidR="00DD6B6D" w:rsidRPr="009C5EFD" w:rsidRDefault="00E453CD" w:rsidP="00DD6B6D">
      <w:pPr>
        <w:rPr>
          <w:sz w:val="22"/>
          <w:szCs w:val="22"/>
        </w:rPr>
      </w:pPr>
      <w:r w:rsidRPr="009C5EFD">
        <w:rPr>
          <w:sz w:val="22"/>
          <w:szCs w:val="22"/>
        </w:rPr>
        <w:t>Psoriasisstudie I (REVEAL) undersøkte 1212</w:t>
      </w:r>
      <w:r w:rsidR="008538BD">
        <w:rPr>
          <w:sz w:val="22"/>
          <w:szCs w:val="22"/>
        </w:rPr>
        <w:t> </w:t>
      </w:r>
      <w:r w:rsidRPr="009C5EFD">
        <w:rPr>
          <w:sz w:val="22"/>
          <w:szCs w:val="22"/>
        </w:rPr>
        <w:t>pasienter innenfor tre behandlingsperioder. I periode A fikk pasientene placebo og Humira med en startdose på 80</w:t>
      </w:r>
      <w:r w:rsidR="008538BD">
        <w:rPr>
          <w:sz w:val="22"/>
          <w:szCs w:val="22"/>
        </w:rPr>
        <w:t> </w:t>
      </w:r>
      <w:r w:rsidRPr="009C5EFD">
        <w:rPr>
          <w:sz w:val="22"/>
          <w:szCs w:val="22"/>
        </w:rPr>
        <w:t>mg, etterfulgt av 40</w:t>
      </w:r>
      <w:r w:rsidR="008538BD">
        <w:rPr>
          <w:sz w:val="22"/>
          <w:szCs w:val="22"/>
        </w:rPr>
        <w:t> </w:t>
      </w:r>
      <w:r w:rsidRPr="009C5EFD">
        <w:rPr>
          <w:sz w:val="22"/>
          <w:szCs w:val="22"/>
        </w:rPr>
        <w:t>mg annenhver uke én uke etter den første dosen. Etter 16</w:t>
      </w:r>
      <w:r w:rsidR="008538BD">
        <w:rPr>
          <w:sz w:val="22"/>
          <w:szCs w:val="22"/>
        </w:rPr>
        <w:t> </w:t>
      </w:r>
      <w:r w:rsidRPr="009C5EFD">
        <w:rPr>
          <w:sz w:val="22"/>
          <w:szCs w:val="22"/>
        </w:rPr>
        <w:t>uker med behandling gikk pasienter som oppnådde minst en PASI-respons på 75 (PASI</w:t>
      </w:r>
      <w:r w:rsidR="008538BD">
        <w:rPr>
          <w:sz w:val="22"/>
          <w:szCs w:val="22"/>
        </w:rPr>
        <w:t> </w:t>
      </w:r>
      <w:r w:rsidRPr="009C5EFD">
        <w:rPr>
          <w:sz w:val="22"/>
          <w:szCs w:val="22"/>
        </w:rPr>
        <w:t>score forbedring minst 75</w:t>
      </w:r>
      <w:r w:rsidR="008538BD">
        <w:rPr>
          <w:sz w:val="22"/>
          <w:szCs w:val="22"/>
        </w:rPr>
        <w:t> </w:t>
      </w:r>
      <w:r w:rsidRPr="009C5EFD">
        <w:rPr>
          <w:sz w:val="22"/>
          <w:szCs w:val="22"/>
        </w:rPr>
        <w:t xml:space="preserve">% i forhold til behandlingsstart), videre til periode B og fikk </w:t>
      </w:r>
      <w:r w:rsidR="00D57009">
        <w:rPr>
          <w:sz w:val="22"/>
          <w:szCs w:val="22"/>
        </w:rPr>
        <w:t>«</w:t>
      </w:r>
      <w:r w:rsidRPr="009C5EFD">
        <w:rPr>
          <w:sz w:val="22"/>
          <w:szCs w:val="22"/>
        </w:rPr>
        <w:t>open-label</w:t>
      </w:r>
      <w:r w:rsidR="00D57009">
        <w:rPr>
          <w:sz w:val="22"/>
          <w:szCs w:val="22"/>
        </w:rPr>
        <w:t>»</w:t>
      </w:r>
      <w:r w:rsidRPr="009C5EFD">
        <w:rPr>
          <w:sz w:val="22"/>
          <w:szCs w:val="22"/>
        </w:rPr>
        <w:t xml:space="preserve"> 40</w:t>
      </w:r>
      <w:r w:rsidR="008538BD">
        <w:rPr>
          <w:sz w:val="22"/>
          <w:szCs w:val="22"/>
        </w:rPr>
        <w:t> </w:t>
      </w:r>
      <w:r w:rsidRPr="009C5EFD">
        <w:rPr>
          <w:sz w:val="22"/>
          <w:szCs w:val="22"/>
        </w:rPr>
        <w:t xml:space="preserve">mg Humira annenhver uke. Pasienter som opprettholdt </w:t>
      </w:r>
      <w:r w:rsidRPr="007F67EE">
        <w:rPr>
          <w:rFonts w:ascii="Symbol" w:hAnsi="Symbol"/>
          <w:sz w:val="22"/>
          <w:szCs w:val="22"/>
        </w:rPr>
        <w:sym w:font="Symbol" w:char="F0B3"/>
      </w:r>
      <w:r w:rsidR="008538BD">
        <w:rPr>
          <w:sz w:val="22"/>
          <w:szCs w:val="22"/>
        </w:rPr>
        <w:t> </w:t>
      </w:r>
      <w:r w:rsidRPr="007F67EE">
        <w:rPr>
          <w:sz w:val="22"/>
          <w:szCs w:val="22"/>
        </w:rPr>
        <w:t>PASI</w:t>
      </w:r>
      <w:r w:rsidR="008538BD">
        <w:rPr>
          <w:sz w:val="22"/>
          <w:szCs w:val="22"/>
        </w:rPr>
        <w:t> </w:t>
      </w:r>
      <w:r w:rsidRPr="007F67EE">
        <w:rPr>
          <w:sz w:val="22"/>
          <w:szCs w:val="22"/>
        </w:rPr>
        <w:t>75-respons ved uke</w:t>
      </w:r>
      <w:r w:rsidR="008538BD">
        <w:rPr>
          <w:sz w:val="22"/>
          <w:szCs w:val="22"/>
        </w:rPr>
        <w:t> </w:t>
      </w:r>
      <w:r w:rsidRPr="007F67EE">
        <w:rPr>
          <w:sz w:val="22"/>
          <w:szCs w:val="22"/>
        </w:rPr>
        <w:t xml:space="preserve">33 og </w:t>
      </w:r>
      <w:r w:rsidRPr="00193D76">
        <w:rPr>
          <w:sz w:val="22"/>
          <w:szCs w:val="22"/>
        </w:rPr>
        <w:t xml:space="preserve">som </w:t>
      </w:r>
      <w:r w:rsidRPr="002D0790">
        <w:rPr>
          <w:sz w:val="22"/>
          <w:szCs w:val="22"/>
        </w:rPr>
        <w:t>var opprinnelig randomiserte til aktiv behandling i periode</w:t>
      </w:r>
      <w:r w:rsidR="008538BD">
        <w:rPr>
          <w:sz w:val="22"/>
          <w:szCs w:val="22"/>
        </w:rPr>
        <w:t> </w:t>
      </w:r>
      <w:r w:rsidRPr="002D0790">
        <w:rPr>
          <w:sz w:val="22"/>
          <w:szCs w:val="22"/>
        </w:rPr>
        <w:t xml:space="preserve">A, ble randomisert på nytt i periode C til å få </w:t>
      </w:r>
      <w:r w:rsidRPr="00E14E58">
        <w:rPr>
          <w:sz w:val="22"/>
          <w:szCs w:val="22"/>
        </w:rPr>
        <w:t>40</w:t>
      </w:r>
      <w:r w:rsidR="008538BD">
        <w:rPr>
          <w:sz w:val="22"/>
          <w:szCs w:val="22"/>
        </w:rPr>
        <w:t> </w:t>
      </w:r>
      <w:r w:rsidRPr="00E14E58">
        <w:rPr>
          <w:sz w:val="22"/>
          <w:szCs w:val="22"/>
        </w:rPr>
        <w:t xml:space="preserve">mg </w:t>
      </w:r>
      <w:r w:rsidRPr="009C5EFD">
        <w:rPr>
          <w:sz w:val="22"/>
          <w:szCs w:val="22"/>
        </w:rPr>
        <w:t>Humira annenhver uke eller placebo i ytterligere 19</w:t>
      </w:r>
      <w:r w:rsidR="008538BD">
        <w:rPr>
          <w:sz w:val="22"/>
          <w:szCs w:val="22"/>
        </w:rPr>
        <w:t> </w:t>
      </w:r>
      <w:r w:rsidRPr="009C5EFD">
        <w:rPr>
          <w:sz w:val="22"/>
          <w:szCs w:val="22"/>
        </w:rPr>
        <w:t xml:space="preserve">uker. På tvers av alle behandlingsgrupper var den gjennomsnittlige PASI score 18,9 ved behandlingsstart, og PGA score var klassifisert fra </w:t>
      </w:r>
      <w:r w:rsidR="00D57009">
        <w:rPr>
          <w:sz w:val="22"/>
          <w:szCs w:val="22"/>
        </w:rPr>
        <w:t>«</w:t>
      </w:r>
      <w:r w:rsidRPr="009C5EFD">
        <w:rPr>
          <w:sz w:val="22"/>
          <w:szCs w:val="22"/>
        </w:rPr>
        <w:t>moderat</w:t>
      </w:r>
      <w:r w:rsidR="00D57009">
        <w:rPr>
          <w:sz w:val="22"/>
          <w:szCs w:val="22"/>
        </w:rPr>
        <w:t>»</w:t>
      </w:r>
      <w:r w:rsidRPr="009C5EFD">
        <w:rPr>
          <w:sz w:val="22"/>
          <w:szCs w:val="22"/>
        </w:rPr>
        <w:t xml:space="preserve"> (53</w:t>
      </w:r>
      <w:r w:rsidR="008538BD">
        <w:rPr>
          <w:sz w:val="22"/>
          <w:szCs w:val="22"/>
        </w:rPr>
        <w:t> </w:t>
      </w:r>
      <w:r w:rsidRPr="009C5EFD">
        <w:rPr>
          <w:sz w:val="22"/>
          <w:szCs w:val="22"/>
        </w:rPr>
        <w:t xml:space="preserve">% av de inkluderte pasientene) til </w:t>
      </w:r>
      <w:r w:rsidR="00D57009">
        <w:rPr>
          <w:sz w:val="22"/>
          <w:szCs w:val="22"/>
        </w:rPr>
        <w:t>«</w:t>
      </w:r>
      <w:r w:rsidRPr="009C5EFD">
        <w:rPr>
          <w:sz w:val="22"/>
          <w:szCs w:val="22"/>
        </w:rPr>
        <w:t>alvorlig</w:t>
      </w:r>
      <w:r w:rsidR="00D57009">
        <w:rPr>
          <w:sz w:val="22"/>
          <w:szCs w:val="22"/>
        </w:rPr>
        <w:t>»</w:t>
      </w:r>
      <w:r w:rsidRPr="009C5EFD">
        <w:rPr>
          <w:sz w:val="22"/>
          <w:szCs w:val="22"/>
        </w:rPr>
        <w:t xml:space="preserve"> (41</w:t>
      </w:r>
      <w:r w:rsidR="008538BD">
        <w:rPr>
          <w:sz w:val="22"/>
          <w:szCs w:val="22"/>
        </w:rPr>
        <w:t> </w:t>
      </w:r>
      <w:r w:rsidRPr="009C5EFD">
        <w:rPr>
          <w:sz w:val="22"/>
          <w:szCs w:val="22"/>
        </w:rPr>
        <w:t xml:space="preserve">%) eller </w:t>
      </w:r>
      <w:r w:rsidR="00D57009">
        <w:rPr>
          <w:sz w:val="22"/>
          <w:szCs w:val="22"/>
        </w:rPr>
        <w:t>«</w:t>
      </w:r>
      <w:r w:rsidRPr="009C5EFD">
        <w:rPr>
          <w:sz w:val="22"/>
          <w:szCs w:val="22"/>
        </w:rPr>
        <w:t>svært alvorlig</w:t>
      </w:r>
      <w:r w:rsidR="00D57009">
        <w:rPr>
          <w:sz w:val="22"/>
          <w:szCs w:val="22"/>
        </w:rPr>
        <w:t>»</w:t>
      </w:r>
      <w:r w:rsidRPr="009C5EFD">
        <w:rPr>
          <w:sz w:val="22"/>
          <w:szCs w:val="22"/>
        </w:rPr>
        <w:t xml:space="preserve"> (6</w:t>
      </w:r>
      <w:r w:rsidR="008538BD">
        <w:rPr>
          <w:sz w:val="22"/>
          <w:szCs w:val="22"/>
        </w:rPr>
        <w:t> </w:t>
      </w:r>
      <w:r w:rsidRPr="009C5EFD">
        <w:rPr>
          <w:sz w:val="22"/>
          <w:szCs w:val="22"/>
        </w:rPr>
        <w:t>%).</w:t>
      </w:r>
    </w:p>
    <w:p w14:paraId="1FB817E4" w14:textId="77777777" w:rsidR="00DD6B6D" w:rsidRPr="009C5EFD" w:rsidRDefault="00DD6B6D" w:rsidP="00DD6B6D">
      <w:pPr>
        <w:rPr>
          <w:sz w:val="22"/>
          <w:szCs w:val="22"/>
        </w:rPr>
      </w:pPr>
    </w:p>
    <w:p w14:paraId="74794956" w14:textId="77777777" w:rsidR="00DD6B6D" w:rsidRPr="009C5EFD" w:rsidRDefault="00E453CD" w:rsidP="00DD6B6D">
      <w:pPr>
        <w:rPr>
          <w:sz w:val="22"/>
          <w:szCs w:val="22"/>
        </w:rPr>
      </w:pPr>
      <w:r w:rsidRPr="009C5EFD">
        <w:rPr>
          <w:sz w:val="22"/>
          <w:szCs w:val="22"/>
        </w:rPr>
        <w:t xml:space="preserve">Psoriasisstudie II (CHAMPION) sammenlignet effekt og sikkerhet av Humira </w:t>
      </w:r>
      <w:r w:rsidRPr="009C5EFD">
        <w:rPr>
          <w:i/>
          <w:sz w:val="22"/>
          <w:szCs w:val="22"/>
        </w:rPr>
        <w:t>versus</w:t>
      </w:r>
      <w:r w:rsidRPr="009C5EFD">
        <w:rPr>
          <w:sz w:val="22"/>
          <w:szCs w:val="22"/>
        </w:rPr>
        <w:t xml:space="preserve"> metotreksat og placebo hos 271</w:t>
      </w:r>
      <w:r w:rsidR="008538BD">
        <w:rPr>
          <w:sz w:val="22"/>
          <w:szCs w:val="22"/>
        </w:rPr>
        <w:t> </w:t>
      </w:r>
      <w:r w:rsidRPr="009C5EFD">
        <w:rPr>
          <w:sz w:val="22"/>
          <w:szCs w:val="22"/>
        </w:rPr>
        <w:t>pasienter. Pasientene fikk enten placebo, en startdose på 7,5</w:t>
      </w:r>
      <w:r w:rsidR="008538BD">
        <w:rPr>
          <w:sz w:val="22"/>
          <w:szCs w:val="22"/>
        </w:rPr>
        <w:t> </w:t>
      </w:r>
      <w:r w:rsidRPr="009C5EFD">
        <w:rPr>
          <w:sz w:val="22"/>
          <w:szCs w:val="22"/>
        </w:rPr>
        <w:t>mg metotreksat og deretter opptrapping av dosen frem til uke</w:t>
      </w:r>
      <w:r w:rsidR="008538BD">
        <w:rPr>
          <w:sz w:val="22"/>
          <w:szCs w:val="22"/>
        </w:rPr>
        <w:t> </w:t>
      </w:r>
      <w:r w:rsidRPr="009C5EFD">
        <w:rPr>
          <w:sz w:val="22"/>
          <w:szCs w:val="22"/>
        </w:rPr>
        <w:t>12 med en maksimumsdose på 25</w:t>
      </w:r>
      <w:r w:rsidR="008538BD">
        <w:rPr>
          <w:sz w:val="22"/>
          <w:szCs w:val="22"/>
        </w:rPr>
        <w:t> </w:t>
      </w:r>
      <w:r w:rsidRPr="009C5EFD">
        <w:rPr>
          <w:sz w:val="22"/>
          <w:szCs w:val="22"/>
        </w:rPr>
        <w:t>mg, eller en startdose på 80</w:t>
      </w:r>
      <w:r w:rsidR="008538BD">
        <w:rPr>
          <w:sz w:val="22"/>
          <w:szCs w:val="22"/>
        </w:rPr>
        <w:t> </w:t>
      </w:r>
      <w:r w:rsidRPr="009C5EFD">
        <w:rPr>
          <w:sz w:val="22"/>
          <w:szCs w:val="22"/>
        </w:rPr>
        <w:t>mg Humira etterfulgt av 40</w:t>
      </w:r>
      <w:r w:rsidR="008538BD">
        <w:rPr>
          <w:sz w:val="22"/>
          <w:szCs w:val="22"/>
        </w:rPr>
        <w:t> </w:t>
      </w:r>
      <w:r w:rsidRPr="009C5EFD">
        <w:rPr>
          <w:sz w:val="22"/>
          <w:szCs w:val="22"/>
        </w:rPr>
        <w:t>mg annenhver uke (starter en uke etter den første dosen) i 16</w:t>
      </w:r>
      <w:r w:rsidR="008538BD">
        <w:rPr>
          <w:sz w:val="22"/>
          <w:szCs w:val="22"/>
        </w:rPr>
        <w:t> </w:t>
      </w:r>
      <w:r w:rsidRPr="009C5EFD">
        <w:rPr>
          <w:sz w:val="22"/>
          <w:szCs w:val="22"/>
        </w:rPr>
        <w:t>uker. Det finnes ingen data som sammenligner Humira og metotreksat utover 16</w:t>
      </w:r>
      <w:r w:rsidR="008538BD">
        <w:rPr>
          <w:sz w:val="22"/>
          <w:szCs w:val="22"/>
        </w:rPr>
        <w:t> </w:t>
      </w:r>
      <w:r w:rsidRPr="009C5EFD">
        <w:rPr>
          <w:sz w:val="22"/>
          <w:szCs w:val="22"/>
        </w:rPr>
        <w:t xml:space="preserve">uker. Pasienter som fikk metotreksat og som oppnådde </w:t>
      </w:r>
      <w:r w:rsidRPr="007F67EE">
        <w:rPr>
          <w:rFonts w:ascii="Symbol" w:hAnsi="Symbol"/>
          <w:sz w:val="22"/>
          <w:szCs w:val="22"/>
        </w:rPr>
        <w:sym w:font="Symbol" w:char="F0B3"/>
      </w:r>
      <w:r w:rsidR="008538BD">
        <w:rPr>
          <w:sz w:val="22"/>
          <w:szCs w:val="22"/>
        </w:rPr>
        <w:t> </w:t>
      </w:r>
      <w:r w:rsidRPr="007F67EE">
        <w:rPr>
          <w:sz w:val="22"/>
          <w:szCs w:val="22"/>
        </w:rPr>
        <w:t>PASI</w:t>
      </w:r>
      <w:r w:rsidR="008538BD">
        <w:rPr>
          <w:sz w:val="22"/>
          <w:szCs w:val="22"/>
        </w:rPr>
        <w:t> </w:t>
      </w:r>
      <w:r w:rsidRPr="007F67EE">
        <w:rPr>
          <w:sz w:val="22"/>
          <w:szCs w:val="22"/>
        </w:rPr>
        <w:t>50-respons ved uke</w:t>
      </w:r>
      <w:r w:rsidR="008538BD">
        <w:rPr>
          <w:sz w:val="22"/>
          <w:szCs w:val="22"/>
        </w:rPr>
        <w:t> </w:t>
      </w:r>
      <w:r w:rsidRPr="007F67EE">
        <w:rPr>
          <w:sz w:val="22"/>
          <w:szCs w:val="22"/>
        </w:rPr>
        <w:t>8 og/eller 12, fikk</w:t>
      </w:r>
      <w:r w:rsidRPr="00193D76">
        <w:rPr>
          <w:sz w:val="22"/>
          <w:szCs w:val="22"/>
        </w:rPr>
        <w:t xml:space="preserve"> ingen ytterligere doseøkning. </w:t>
      </w:r>
      <w:r w:rsidRPr="002D0790">
        <w:rPr>
          <w:sz w:val="22"/>
          <w:szCs w:val="22"/>
        </w:rPr>
        <w:t>På tvers av alle behandl</w:t>
      </w:r>
      <w:r w:rsidRPr="00E14E58">
        <w:rPr>
          <w:sz w:val="22"/>
          <w:szCs w:val="22"/>
        </w:rPr>
        <w:t>ings</w:t>
      </w:r>
      <w:r w:rsidRPr="009C5EFD">
        <w:rPr>
          <w:sz w:val="22"/>
          <w:szCs w:val="22"/>
        </w:rPr>
        <w:t xml:space="preserve">grupper var den gjennomsnittlige PASI score 19,7 ved behandlingsstart, og PGA score var klassifisert fra </w:t>
      </w:r>
      <w:r w:rsidR="00D57009">
        <w:rPr>
          <w:sz w:val="22"/>
          <w:szCs w:val="22"/>
        </w:rPr>
        <w:t>«</w:t>
      </w:r>
      <w:r w:rsidRPr="009C5EFD">
        <w:rPr>
          <w:sz w:val="22"/>
          <w:szCs w:val="22"/>
        </w:rPr>
        <w:t>mild</w:t>
      </w:r>
      <w:r w:rsidR="00D57009">
        <w:rPr>
          <w:sz w:val="22"/>
          <w:szCs w:val="22"/>
        </w:rPr>
        <w:t>»</w:t>
      </w:r>
      <w:r w:rsidRPr="009C5EFD">
        <w:rPr>
          <w:sz w:val="22"/>
          <w:szCs w:val="22"/>
        </w:rPr>
        <w:t xml:space="preserve"> (&lt;</w:t>
      </w:r>
      <w:r w:rsidR="008538BD">
        <w:rPr>
          <w:sz w:val="22"/>
          <w:szCs w:val="22"/>
        </w:rPr>
        <w:t> </w:t>
      </w:r>
      <w:r w:rsidRPr="009C5EFD">
        <w:rPr>
          <w:sz w:val="22"/>
          <w:szCs w:val="22"/>
        </w:rPr>
        <w:t>1</w:t>
      </w:r>
      <w:r w:rsidR="008538BD">
        <w:rPr>
          <w:sz w:val="22"/>
          <w:szCs w:val="22"/>
        </w:rPr>
        <w:t> </w:t>
      </w:r>
      <w:r w:rsidRPr="009C5EFD">
        <w:rPr>
          <w:sz w:val="22"/>
          <w:szCs w:val="22"/>
        </w:rPr>
        <w:t xml:space="preserve">%) til </w:t>
      </w:r>
      <w:r w:rsidR="00D57009">
        <w:rPr>
          <w:sz w:val="22"/>
          <w:szCs w:val="22"/>
        </w:rPr>
        <w:t>«</w:t>
      </w:r>
      <w:r w:rsidRPr="009C5EFD">
        <w:rPr>
          <w:sz w:val="22"/>
          <w:szCs w:val="22"/>
        </w:rPr>
        <w:t>moderat</w:t>
      </w:r>
      <w:r w:rsidR="00D57009">
        <w:rPr>
          <w:sz w:val="22"/>
          <w:szCs w:val="22"/>
        </w:rPr>
        <w:t>»</w:t>
      </w:r>
      <w:r w:rsidRPr="009C5EFD">
        <w:rPr>
          <w:sz w:val="22"/>
          <w:szCs w:val="22"/>
        </w:rPr>
        <w:t xml:space="preserve"> (48</w:t>
      </w:r>
      <w:r w:rsidR="008538BD">
        <w:rPr>
          <w:sz w:val="22"/>
          <w:szCs w:val="22"/>
        </w:rPr>
        <w:t> </w:t>
      </w:r>
      <w:r w:rsidRPr="009C5EFD">
        <w:rPr>
          <w:sz w:val="22"/>
          <w:szCs w:val="22"/>
        </w:rPr>
        <w:t xml:space="preserve">%) til </w:t>
      </w:r>
      <w:r w:rsidR="00D57009">
        <w:rPr>
          <w:sz w:val="22"/>
          <w:szCs w:val="22"/>
        </w:rPr>
        <w:t>«</w:t>
      </w:r>
      <w:r w:rsidRPr="009C5EFD">
        <w:rPr>
          <w:sz w:val="22"/>
          <w:szCs w:val="22"/>
        </w:rPr>
        <w:t>alvorlig</w:t>
      </w:r>
      <w:r w:rsidR="00D57009">
        <w:rPr>
          <w:sz w:val="22"/>
          <w:szCs w:val="22"/>
        </w:rPr>
        <w:t>»</w:t>
      </w:r>
      <w:r w:rsidRPr="009C5EFD">
        <w:rPr>
          <w:sz w:val="22"/>
          <w:szCs w:val="22"/>
        </w:rPr>
        <w:t xml:space="preserve"> (46</w:t>
      </w:r>
      <w:r w:rsidR="008538BD">
        <w:rPr>
          <w:sz w:val="22"/>
          <w:szCs w:val="22"/>
        </w:rPr>
        <w:t> </w:t>
      </w:r>
      <w:r w:rsidRPr="009C5EFD">
        <w:rPr>
          <w:sz w:val="22"/>
          <w:szCs w:val="22"/>
        </w:rPr>
        <w:t xml:space="preserve">%) eller </w:t>
      </w:r>
      <w:r w:rsidR="00D57009">
        <w:rPr>
          <w:sz w:val="22"/>
          <w:szCs w:val="22"/>
        </w:rPr>
        <w:t>«</w:t>
      </w:r>
      <w:r w:rsidRPr="009C5EFD">
        <w:rPr>
          <w:sz w:val="22"/>
          <w:szCs w:val="22"/>
        </w:rPr>
        <w:t>svært alvorlig</w:t>
      </w:r>
      <w:r w:rsidR="00D57009">
        <w:rPr>
          <w:sz w:val="22"/>
          <w:szCs w:val="22"/>
        </w:rPr>
        <w:t>»</w:t>
      </w:r>
      <w:r w:rsidRPr="009C5EFD">
        <w:rPr>
          <w:sz w:val="22"/>
          <w:szCs w:val="22"/>
        </w:rPr>
        <w:t xml:space="preserve"> (6</w:t>
      </w:r>
      <w:r w:rsidR="008538BD">
        <w:rPr>
          <w:sz w:val="22"/>
          <w:szCs w:val="22"/>
        </w:rPr>
        <w:t> </w:t>
      </w:r>
      <w:r w:rsidRPr="009C5EFD">
        <w:rPr>
          <w:sz w:val="22"/>
          <w:szCs w:val="22"/>
        </w:rPr>
        <w:t>%).</w:t>
      </w:r>
    </w:p>
    <w:p w14:paraId="6BFF5B54" w14:textId="77777777" w:rsidR="00DD6B6D" w:rsidRPr="009C5EFD" w:rsidRDefault="00DD6B6D" w:rsidP="00DD6B6D">
      <w:pPr>
        <w:rPr>
          <w:sz w:val="22"/>
          <w:szCs w:val="22"/>
        </w:rPr>
      </w:pPr>
    </w:p>
    <w:p w14:paraId="3E5FA5B8" w14:textId="77777777" w:rsidR="00DD6B6D" w:rsidRPr="009C5EFD" w:rsidRDefault="00E453CD" w:rsidP="00DD6B6D">
      <w:pPr>
        <w:rPr>
          <w:sz w:val="22"/>
          <w:szCs w:val="22"/>
        </w:rPr>
      </w:pPr>
      <w:r w:rsidRPr="009C5EFD">
        <w:rPr>
          <w:sz w:val="22"/>
          <w:szCs w:val="22"/>
        </w:rPr>
        <w:t>Pasientene som deltok i alle fase</w:t>
      </w:r>
      <w:r w:rsidR="008538BD">
        <w:rPr>
          <w:sz w:val="22"/>
          <w:szCs w:val="22"/>
        </w:rPr>
        <w:t> </w:t>
      </w:r>
      <w:r w:rsidRPr="009C5EFD">
        <w:rPr>
          <w:sz w:val="22"/>
          <w:szCs w:val="22"/>
        </w:rPr>
        <w:t>2 og fase</w:t>
      </w:r>
      <w:r w:rsidR="008538BD">
        <w:rPr>
          <w:sz w:val="22"/>
          <w:szCs w:val="22"/>
        </w:rPr>
        <w:t> </w:t>
      </w:r>
      <w:r w:rsidRPr="009C5EFD">
        <w:rPr>
          <w:sz w:val="22"/>
          <w:szCs w:val="22"/>
        </w:rPr>
        <w:t>3 psoriasisstudier var kvalifiserte til å delta i en åpen forlengelsesstudie, hvor Humira ble gitt i en tilleggsperiode på minst 108</w:t>
      </w:r>
      <w:r w:rsidR="008538BD">
        <w:rPr>
          <w:sz w:val="22"/>
          <w:szCs w:val="22"/>
        </w:rPr>
        <w:t> </w:t>
      </w:r>
      <w:r w:rsidRPr="009C5EFD">
        <w:rPr>
          <w:sz w:val="22"/>
          <w:szCs w:val="22"/>
        </w:rPr>
        <w:t>uker.</w:t>
      </w:r>
    </w:p>
    <w:p w14:paraId="76655596" w14:textId="77777777" w:rsidR="00DD6B6D" w:rsidRPr="009C5EFD" w:rsidRDefault="00DD6B6D" w:rsidP="00DD6B6D">
      <w:pPr>
        <w:rPr>
          <w:sz w:val="22"/>
          <w:szCs w:val="22"/>
        </w:rPr>
      </w:pPr>
    </w:p>
    <w:p w14:paraId="28916237" w14:textId="77777777" w:rsidR="00DD6B6D" w:rsidRPr="009C5EFD" w:rsidRDefault="00E453CD" w:rsidP="00DD6B6D">
      <w:pPr>
        <w:rPr>
          <w:color w:val="222222"/>
          <w:sz w:val="22"/>
          <w:szCs w:val="22"/>
        </w:rPr>
      </w:pPr>
      <w:r w:rsidRPr="009C5EFD">
        <w:rPr>
          <w:sz w:val="22"/>
          <w:szCs w:val="22"/>
        </w:rPr>
        <w:t>I psoriasisstudiene I og II var et primærendepunkt andel pasienter som oppnådde PASI</w:t>
      </w:r>
      <w:r w:rsidR="008538BD">
        <w:rPr>
          <w:sz w:val="22"/>
          <w:szCs w:val="22"/>
        </w:rPr>
        <w:t> </w:t>
      </w:r>
      <w:r w:rsidRPr="009C5EFD">
        <w:rPr>
          <w:sz w:val="22"/>
          <w:szCs w:val="22"/>
        </w:rPr>
        <w:t>75-respons fra behandlingsstart til uke</w:t>
      </w:r>
      <w:r w:rsidR="008538BD">
        <w:rPr>
          <w:sz w:val="22"/>
          <w:szCs w:val="22"/>
        </w:rPr>
        <w:t> </w:t>
      </w:r>
      <w:r w:rsidRPr="009C5EFD">
        <w:rPr>
          <w:sz w:val="22"/>
          <w:szCs w:val="22"/>
        </w:rPr>
        <w:t>16 (se tabellene</w:t>
      </w:r>
      <w:r w:rsidR="008538BD">
        <w:rPr>
          <w:sz w:val="22"/>
          <w:szCs w:val="22"/>
        </w:rPr>
        <w:t> </w:t>
      </w:r>
      <w:r w:rsidR="00A457B0" w:rsidRPr="009C5EFD">
        <w:rPr>
          <w:sz w:val="22"/>
          <w:szCs w:val="22"/>
        </w:rPr>
        <w:t>1</w:t>
      </w:r>
      <w:r w:rsidR="00A457B0">
        <w:rPr>
          <w:sz w:val="22"/>
          <w:szCs w:val="22"/>
        </w:rPr>
        <w:t>1</w:t>
      </w:r>
      <w:r w:rsidR="00A457B0" w:rsidRPr="009C5EFD">
        <w:rPr>
          <w:sz w:val="22"/>
          <w:szCs w:val="22"/>
        </w:rPr>
        <w:t xml:space="preserve"> </w:t>
      </w:r>
      <w:r w:rsidRPr="009C5EFD">
        <w:rPr>
          <w:sz w:val="22"/>
          <w:szCs w:val="22"/>
        </w:rPr>
        <w:t xml:space="preserve">og </w:t>
      </w:r>
      <w:r w:rsidR="00A457B0" w:rsidRPr="009C5EFD">
        <w:rPr>
          <w:sz w:val="22"/>
          <w:szCs w:val="22"/>
        </w:rPr>
        <w:t>1</w:t>
      </w:r>
      <w:r w:rsidR="00A457B0">
        <w:rPr>
          <w:sz w:val="22"/>
          <w:szCs w:val="22"/>
        </w:rPr>
        <w:t>2</w:t>
      </w:r>
      <w:r w:rsidRPr="009C5EFD">
        <w:rPr>
          <w:sz w:val="22"/>
          <w:szCs w:val="22"/>
        </w:rPr>
        <w:t>).</w:t>
      </w:r>
    </w:p>
    <w:p w14:paraId="6C71A23B" w14:textId="77777777" w:rsidR="00DD6B6D" w:rsidRPr="009C5EFD" w:rsidRDefault="00DD6B6D" w:rsidP="00DD6B6D">
      <w:pPr>
        <w:rPr>
          <w:color w:val="222222"/>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4644D4" w14:paraId="016C5A46" w14:textId="77777777" w:rsidTr="008B396C">
        <w:trPr>
          <w:cantSplit/>
          <w:jc w:val="center"/>
        </w:trPr>
        <w:tc>
          <w:tcPr>
            <w:tcW w:w="6949" w:type="dxa"/>
            <w:gridSpan w:val="3"/>
            <w:tcBorders>
              <w:top w:val="nil"/>
              <w:left w:val="nil"/>
              <w:right w:val="nil"/>
            </w:tcBorders>
          </w:tcPr>
          <w:p w14:paraId="5E69B1DC" w14:textId="77777777" w:rsidR="00DD6B6D" w:rsidRPr="009C5EFD" w:rsidRDefault="00E453CD" w:rsidP="00776A84">
            <w:pPr>
              <w:pStyle w:val="DefaultText"/>
              <w:keepNext/>
              <w:jc w:val="center"/>
              <w:rPr>
                <w:rFonts w:ascii="Times New Roman" w:hAnsi="Times New Roman"/>
                <w:b/>
                <w:bCs w:val="0"/>
                <w:lang w:val="nb-NO"/>
              </w:rPr>
            </w:pPr>
            <w:r w:rsidRPr="009C5EFD">
              <w:rPr>
                <w:rFonts w:ascii="Times New Roman" w:hAnsi="Times New Roman"/>
                <w:b/>
                <w:bCs w:val="0"/>
                <w:lang w:val="nb-NO"/>
              </w:rPr>
              <w:t xml:space="preserve">Tabell </w:t>
            </w:r>
            <w:r w:rsidR="00A457B0">
              <w:rPr>
                <w:rFonts w:ascii="Times New Roman" w:hAnsi="Times New Roman"/>
                <w:b/>
                <w:bCs w:val="0"/>
                <w:lang w:val="nb-NO"/>
              </w:rPr>
              <w:t>11</w:t>
            </w:r>
          </w:p>
          <w:p w14:paraId="17D92BA7" w14:textId="77777777" w:rsidR="00DD6B6D" w:rsidRPr="009C5EFD" w:rsidRDefault="00E453CD" w:rsidP="00776A84">
            <w:pPr>
              <w:pStyle w:val="DefaultText"/>
              <w:keepNext/>
              <w:jc w:val="center"/>
              <w:rPr>
                <w:rFonts w:ascii="Times New Roman" w:hAnsi="Times New Roman"/>
                <w:b/>
                <w:bCs w:val="0"/>
                <w:lang w:val="nb-NO"/>
              </w:rPr>
            </w:pPr>
            <w:r w:rsidRPr="009C5EFD">
              <w:rPr>
                <w:rFonts w:ascii="Times New Roman" w:hAnsi="Times New Roman"/>
                <w:b/>
                <w:bCs w:val="0"/>
                <w:lang w:val="nb-NO"/>
              </w:rPr>
              <w:t xml:space="preserve">Psoriasis studie I (REVEAL) - </w:t>
            </w:r>
            <w:r w:rsidR="00F33557">
              <w:rPr>
                <w:rFonts w:ascii="Times New Roman" w:hAnsi="Times New Roman"/>
                <w:b/>
                <w:bCs w:val="0"/>
                <w:lang w:val="nb-NO"/>
              </w:rPr>
              <w:t>effektresultater</w:t>
            </w:r>
            <w:r w:rsidRPr="009C5EFD">
              <w:rPr>
                <w:rFonts w:ascii="Times New Roman" w:hAnsi="Times New Roman"/>
                <w:b/>
                <w:bCs w:val="0"/>
                <w:lang w:val="nb-NO"/>
              </w:rPr>
              <w:t xml:space="preserve"> ved 16 uker</w:t>
            </w:r>
          </w:p>
        </w:tc>
      </w:tr>
      <w:tr w:rsidR="004644D4" w14:paraId="28EC4D7B" w14:textId="77777777" w:rsidTr="008B396C">
        <w:trPr>
          <w:cantSplit/>
          <w:jc w:val="center"/>
        </w:trPr>
        <w:tc>
          <w:tcPr>
            <w:tcW w:w="2977" w:type="dxa"/>
            <w:vAlign w:val="center"/>
          </w:tcPr>
          <w:p w14:paraId="34CFD02D" w14:textId="77777777" w:rsidR="00DD6B6D" w:rsidRPr="007F67EE" w:rsidRDefault="00DD6B6D" w:rsidP="008B396C">
            <w:pPr>
              <w:pStyle w:val="DefaultText"/>
              <w:rPr>
                <w:rFonts w:ascii="Times New Roman" w:hAnsi="Times New Roman"/>
                <w:b/>
                <w:bCs w:val="0"/>
                <w:lang w:val="nb-NO"/>
              </w:rPr>
            </w:pPr>
          </w:p>
        </w:tc>
        <w:tc>
          <w:tcPr>
            <w:tcW w:w="1620" w:type="dxa"/>
            <w:vAlign w:val="center"/>
          </w:tcPr>
          <w:p w14:paraId="2372104A" w14:textId="77777777" w:rsidR="00DD6B6D" w:rsidRPr="007F67EE" w:rsidRDefault="00E453CD" w:rsidP="008B396C">
            <w:pPr>
              <w:pStyle w:val="DefaultText"/>
              <w:jc w:val="center"/>
              <w:rPr>
                <w:rFonts w:ascii="Times New Roman" w:hAnsi="Times New Roman"/>
                <w:b/>
                <w:bCs w:val="0"/>
                <w:lang w:val="fr-FR"/>
              </w:rPr>
            </w:pPr>
            <w:r w:rsidRPr="007F67EE">
              <w:rPr>
                <w:rFonts w:ascii="Times New Roman" w:hAnsi="Times New Roman"/>
                <w:b/>
                <w:bCs w:val="0"/>
                <w:lang w:val="fr-FR"/>
              </w:rPr>
              <w:t>Placebo</w:t>
            </w:r>
          </w:p>
          <w:p w14:paraId="69E79FDD" w14:textId="77777777" w:rsidR="00DD6B6D" w:rsidRPr="00193D76" w:rsidRDefault="00E453CD" w:rsidP="008B396C">
            <w:pPr>
              <w:pStyle w:val="DefaultText"/>
              <w:jc w:val="center"/>
              <w:rPr>
                <w:rFonts w:ascii="Times New Roman" w:hAnsi="Times New Roman"/>
                <w:b/>
                <w:bCs w:val="0"/>
                <w:lang w:val="fr-FR"/>
              </w:rPr>
            </w:pPr>
            <w:r w:rsidRPr="00193D76">
              <w:rPr>
                <w:rFonts w:ascii="Times New Roman" w:hAnsi="Times New Roman"/>
                <w:b/>
                <w:bCs w:val="0"/>
                <w:lang w:val="fr-FR"/>
              </w:rPr>
              <w:t>N=398</w:t>
            </w:r>
          </w:p>
          <w:p w14:paraId="75ECD396" w14:textId="77777777" w:rsidR="00DD6B6D" w:rsidRPr="002D0790" w:rsidRDefault="00E453CD" w:rsidP="008B396C">
            <w:pPr>
              <w:pStyle w:val="DefaultText"/>
              <w:jc w:val="center"/>
              <w:rPr>
                <w:rFonts w:ascii="Times New Roman" w:hAnsi="Times New Roman"/>
                <w:b/>
                <w:bCs w:val="0"/>
                <w:lang w:val="fr-FR"/>
              </w:rPr>
            </w:pPr>
            <w:r w:rsidRPr="002D0790">
              <w:rPr>
                <w:rFonts w:ascii="Times New Roman" w:hAnsi="Times New Roman"/>
                <w:b/>
                <w:bCs w:val="0"/>
                <w:lang w:val="fr-FR"/>
              </w:rPr>
              <w:t>n (%)</w:t>
            </w:r>
          </w:p>
        </w:tc>
        <w:tc>
          <w:tcPr>
            <w:tcW w:w="2352" w:type="dxa"/>
            <w:vAlign w:val="center"/>
          </w:tcPr>
          <w:p w14:paraId="197E120A" w14:textId="77777777" w:rsidR="00DD6B6D" w:rsidRPr="00E04B2A" w:rsidRDefault="00E453CD" w:rsidP="008B396C">
            <w:pPr>
              <w:pStyle w:val="DefaultText"/>
              <w:jc w:val="center"/>
              <w:rPr>
                <w:rFonts w:ascii="Times New Roman" w:hAnsi="Times New Roman"/>
                <w:b/>
                <w:bCs w:val="0"/>
                <w:lang w:val="pt-PT"/>
              </w:rPr>
            </w:pPr>
            <w:r w:rsidRPr="00E04B2A">
              <w:rPr>
                <w:rFonts w:ascii="Times New Roman" w:hAnsi="Times New Roman"/>
                <w:b/>
                <w:bCs w:val="0"/>
                <w:lang w:val="pt-PT"/>
              </w:rPr>
              <w:t>Humira 40 mg annenhver uke</w:t>
            </w:r>
          </w:p>
          <w:p w14:paraId="1486B685" w14:textId="77777777" w:rsidR="00DD6B6D" w:rsidRPr="00E14E58" w:rsidRDefault="00E453CD" w:rsidP="008B396C">
            <w:pPr>
              <w:pStyle w:val="DefaultText"/>
              <w:jc w:val="center"/>
              <w:rPr>
                <w:rFonts w:ascii="Times New Roman" w:hAnsi="Times New Roman"/>
                <w:b/>
                <w:bCs w:val="0"/>
                <w:lang w:val="it-IT"/>
              </w:rPr>
            </w:pPr>
            <w:r w:rsidRPr="00E14E58">
              <w:rPr>
                <w:rFonts w:ascii="Times New Roman" w:hAnsi="Times New Roman"/>
                <w:b/>
                <w:bCs w:val="0"/>
                <w:lang w:val="it-IT"/>
              </w:rPr>
              <w:t>N=814</w:t>
            </w:r>
          </w:p>
          <w:p w14:paraId="0F14B83A" w14:textId="77777777" w:rsidR="00DD6B6D" w:rsidRPr="009C5EFD" w:rsidRDefault="00E453CD" w:rsidP="008B396C">
            <w:pPr>
              <w:pStyle w:val="DefaultText"/>
              <w:jc w:val="center"/>
              <w:rPr>
                <w:rFonts w:ascii="Times New Roman" w:hAnsi="Times New Roman"/>
                <w:b/>
                <w:bCs w:val="0"/>
                <w:lang w:val="it-IT"/>
              </w:rPr>
            </w:pPr>
            <w:r w:rsidRPr="009C5EFD">
              <w:rPr>
                <w:rFonts w:ascii="Times New Roman" w:hAnsi="Times New Roman"/>
                <w:b/>
                <w:bCs w:val="0"/>
                <w:lang w:val="it-IT"/>
              </w:rPr>
              <w:t>n (%)</w:t>
            </w:r>
          </w:p>
        </w:tc>
      </w:tr>
      <w:tr w:rsidR="004644D4" w14:paraId="670C3263" w14:textId="77777777" w:rsidTr="008B396C">
        <w:trPr>
          <w:cantSplit/>
          <w:jc w:val="center"/>
        </w:trPr>
        <w:tc>
          <w:tcPr>
            <w:tcW w:w="2977" w:type="dxa"/>
          </w:tcPr>
          <w:p w14:paraId="0C653B4F" w14:textId="77777777" w:rsidR="00DD6B6D" w:rsidRPr="00193D76" w:rsidRDefault="00E453CD" w:rsidP="008B396C">
            <w:pPr>
              <w:pStyle w:val="DefaultText"/>
              <w:rPr>
                <w:rFonts w:ascii="Times New Roman" w:hAnsi="Times New Roman"/>
                <w:b/>
                <w:bCs w:val="0"/>
                <w:lang w:val="it-IT"/>
              </w:rPr>
            </w:pPr>
            <w:r w:rsidRPr="007F67EE">
              <w:rPr>
                <w:rFonts w:ascii="Times New Roman" w:hAnsi="Times New Roman"/>
                <w:b/>
                <w:bCs w:val="0"/>
                <w:lang w:val="it-IT"/>
              </w:rPr>
              <w:t xml:space="preserve">    </w:t>
            </w:r>
            <w:r w:rsidRPr="007F67EE">
              <w:rPr>
                <w:rFonts w:ascii="Symbol" w:hAnsi="Symbol"/>
                <w:b/>
                <w:bCs w:val="0"/>
                <w:szCs w:val="22"/>
              </w:rPr>
              <w:sym w:font="Symbol" w:char="F0B3"/>
            </w:r>
            <w:r w:rsidRPr="007F67EE">
              <w:rPr>
                <w:rFonts w:ascii="Times New Roman" w:hAnsi="Times New Roman"/>
                <w:b/>
                <w:bCs w:val="0"/>
                <w:szCs w:val="22"/>
              </w:rPr>
              <w:t> </w:t>
            </w:r>
            <w:r w:rsidRPr="007F67EE">
              <w:rPr>
                <w:rFonts w:ascii="Times New Roman" w:hAnsi="Times New Roman"/>
                <w:b/>
                <w:bCs w:val="0"/>
                <w:lang w:val="it-IT"/>
              </w:rPr>
              <w:t>PASI 75</w:t>
            </w:r>
            <w:r w:rsidRPr="007F67EE">
              <w:rPr>
                <w:rFonts w:ascii="Times New Roman" w:hAnsi="Times New Roman"/>
                <w:b/>
                <w:bCs w:val="0"/>
                <w:vertAlign w:val="superscript"/>
                <w:lang w:val="it-IT"/>
              </w:rPr>
              <w:t>a</w:t>
            </w:r>
          </w:p>
        </w:tc>
        <w:tc>
          <w:tcPr>
            <w:tcW w:w="1620" w:type="dxa"/>
          </w:tcPr>
          <w:p w14:paraId="22A0EE16" w14:textId="77777777" w:rsidR="00DD6B6D" w:rsidRPr="009C5EFD" w:rsidRDefault="00E453CD" w:rsidP="008B396C">
            <w:pPr>
              <w:pStyle w:val="DefaultText"/>
              <w:jc w:val="center"/>
              <w:rPr>
                <w:rFonts w:ascii="Times New Roman" w:hAnsi="Times New Roman"/>
                <w:lang w:val="it-IT"/>
              </w:rPr>
            </w:pPr>
            <w:r w:rsidRPr="009C5EFD">
              <w:rPr>
                <w:rFonts w:ascii="Times New Roman" w:hAnsi="Times New Roman"/>
                <w:lang w:val="it-IT"/>
              </w:rPr>
              <w:t>26 (6,5)</w:t>
            </w:r>
          </w:p>
        </w:tc>
        <w:tc>
          <w:tcPr>
            <w:tcW w:w="2352" w:type="dxa"/>
          </w:tcPr>
          <w:p w14:paraId="12DA982A" w14:textId="77777777" w:rsidR="00DD6B6D" w:rsidRPr="009C5EFD" w:rsidRDefault="00E453CD" w:rsidP="008B396C">
            <w:pPr>
              <w:pStyle w:val="DefaultText"/>
              <w:jc w:val="center"/>
              <w:rPr>
                <w:rFonts w:ascii="Times New Roman" w:hAnsi="Times New Roman"/>
                <w:lang w:val="it-IT"/>
              </w:rPr>
            </w:pPr>
            <w:r w:rsidRPr="009C5EFD">
              <w:rPr>
                <w:rFonts w:ascii="Times New Roman" w:hAnsi="Times New Roman"/>
                <w:lang w:val="it-IT"/>
              </w:rPr>
              <w:t>578 (70,9)</w:t>
            </w:r>
            <w:r w:rsidRPr="009C5EFD">
              <w:rPr>
                <w:rFonts w:ascii="Times New Roman" w:hAnsi="Times New Roman"/>
                <w:vertAlign w:val="superscript"/>
                <w:lang w:val="it-IT"/>
              </w:rPr>
              <w:t>b</w:t>
            </w:r>
          </w:p>
        </w:tc>
      </w:tr>
      <w:tr w:rsidR="004644D4" w14:paraId="0061D6C9" w14:textId="77777777" w:rsidTr="008B396C">
        <w:trPr>
          <w:cantSplit/>
          <w:trHeight w:val="70"/>
          <w:jc w:val="center"/>
        </w:trPr>
        <w:tc>
          <w:tcPr>
            <w:tcW w:w="2977" w:type="dxa"/>
          </w:tcPr>
          <w:p w14:paraId="59F5E378" w14:textId="77777777" w:rsidR="00DD6B6D" w:rsidRPr="007F67EE" w:rsidRDefault="00E453CD" w:rsidP="008B396C">
            <w:pPr>
              <w:pStyle w:val="DefaultText"/>
              <w:rPr>
                <w:rFonts w:ascii="Times New Roman" w:hAnsi="Times New Roman"/>
                <w:b/>
                <w:bCs w:val="0"/>
                <w:lang w:val="it-IT"/>
              </w:rPr>
            </w:pPr>
            <w:r w:rsidRPr="007F67EE">
              <w:rPr>
                <w:rFonts w:ascii="Times New Roman" w:hAnsi="Times New Roman"/>
                <w:b/>
                <w:bCs w:val="0"/>
                <w:lang w:val="it-IT"/>
              </w:rPr>
              <w:t xml:space="preserve">    PASI 100</w:t>
            </w:r>
          </w:p>
        </w:tc>
        <w:tc>
          <w:tcPr>
            <w:tcW w:w="1620" w:type="dxa"/>
          </w:tcPr>
          <w:p w14:paraId="492454D3" w14:textId="77777777" w:rsidR="00DD6B6D" w:rsidRPr="007F67EE" w:rsidRDefault="00E453CD" w:rsidP="008B396C">
            <w:pPr>
              <w:pStyle w:val="DefaultText"/>
              <w:jc w:val="center"/>
              <w:rPr>
                <w:rFonts w:ascii="Times New Roman" w:hAnsi="Times New Roman"/>
                <w:lang w:val="it-IT"/>
              </w:rPr>
            </w:pPr>
            <w:r w:rsidRPr="007F67EE">
              <w:rPr>
                <w:rFonts w:ascii="Times New Roman" w:hAnsi="Times New Roman"/>
                <w:lang w:val="it-IT"/>
              </w:rPr>
              <w:t>3 (0,8)</w:t>
            </w:r>
          </w:p>
        </w:tc>
        <w:tc>
          <w:tcPr>
            <w:tcW w:w="2352" w:type="dxa"/>
          </w:tcPr>
          <w:p w14:paraId="11D70184" w14:textId="77777777" w:rsidR="00DD6B6D" w:rsidRPr="00E14E58" w:rsidRDefault="00E453CD" w:rsidP="008B396C">
            <w:pPr>
              <w:pStyle w:val="DefaultText"/>
              <w:jc w:val="center"/>
              <w:rPr>
                <w:rFonts w:ascii="Times New Roman" w:hAnsi="Times New Roman"/>
                <w:lang w:val="it-IT"/>
              </w:rPr>
            </w:pPr>
            <w:r w:rsidRPr="00193D76">
              <w:rPr>
                <w:rFonts w:ascii="Times New Roman" w:hAnsi="Times New Roman"/>
                <w:lang w:val="it-IT"/>
              </w:rPr>
              <w:t>163 (20,</w:t>
            </w:r>
            <w:r w:rsidRPr="002D0790">
              <w:rPr>
                <w:rFonts w:ascii="Times New Roman" w:hAnsi="Times New Roman"/>
                <w:lang w:val="it-IT"/>
              </w:rPr>
              <w:t>0)</w:t>
            </w:r>
            <w:r w:rsidRPr="002D0790">
              <w:rPr>
                <w:rFonts w:ascii="Times New Roman" w:hAnsi="Times New Roman"/>
                <w:vertAlign w:val="superscript"/>
                <w:lang w:val="it-IT"/>
              </w:rPr>
              <w:t>b</w:t>
            </w:r>
          </w:p>
        </w:tc>
      </w:tr>
      <w:tr w:rsidR="004644D4" w14:paraId="535FA78E" w14:textId="77777777" w:rsidTr="008B396C">
        <w:trPr>
          <w:cantSplit/>
          <w:jc w:val="center"/>
        </w:trPr>
        <w:tc>
          <w:tcPr>
            <w:tcW w:w="2977" w:type="dxa"/>
          </w:tcPr>
          <w:p w14:paraId="4479887A" w14:textId="77777777" w:rsidR="00DD6B6D" w:rsidRPr="009C5EFD" w:rsidRDefault="00E453CD" w:rsidP="008B396C">
            <w:pPr>
              <w:pStyle w:val="DefaultText"/>
              <w:rPr>
                <w:rFonts w:ascii="Times New Roman" w:hAnsi="Times New Roman"/>
                <w:b/>
                <w:bCs w:val="0"/>
              </w:rPr>
            </w:pPr>
            <w:r w:rsidRPr="007F67EE">
              <w:rPr>
                <w:rFonts w:ascii="Times New Roman" w:hAnsi="Times New Roman"/>
                <w:b/>
                <w:bCs w:val="0"/>
                <w:lang w:val="it-IT"/>
              </w:rPr>
              <w:t xml:space="preserve">    </w:t>
            </w:r>
            <w:r w:rsidRPr="007F67EE">
              <w:rPr>
                <w:rFonts w:ascii="Times New Roman" w:hAnsi="Times New Roman"/>
                <w:b/>
                <w:bCs w:val="0"/>
              </w:rPr>
              <w:t xml:space="preserve">PGA: </w:t>
            </w:r>
            <w:r w:rsidR="00D406F1">
              <w:rPr>
                <w:rFonts w:ascii="Times New Roman" w:hAnsi="Times New Roman"/>
                <w:b/>
                <w:bCs w:val="0"/>
              </w:rPr>
              <w:t>«</w:t>
            </w:r>
            <w:r w:rsidRPr="002D0790">
              <w:rPr>
                <w:rFonts w:ascii="Times New Roman" w:hAnsi="Times New Roman"/>
                <w:b/>
                <w:bCs w:val="0"/>
              </w:rPr>
              <w:t>Klar</w:t>
            </w:r>
            <w:r w:rsidR="00D406F1">
              <w:rPr>
                <w:rFonts w:ascii="Times New Roman" w:hAnsi="Times New Roman"/>
                <w:b/>
                <w:bCs w:val="0"/>
                <w:szCs w:val="22"/>
                <w:lang w:val="nb-NO"/>
              </w:rPr>
              <w:t>»</w:t>
            </w:r>
            <w:r w:rsidRPr="00E14E58">
              <w:rPr>
                <w:rFonts w:ascii="Times New Roman" w:hAnsi="Times New Roman"/>
                <w:b/>
                <w:bCs w:val="0"/>
              </w:rPr>
              <w:t>/minim</w:t>
            </w:r>
            <w:r w:rsidRPr="009C5EFD">
              <w:rPr>
                <w:rFonts w:ascii="Times New Roman" w:hAnsi="Times New Roman"/>
                <w:b/>
                <w:bCs w:val="0"/>
              </w:rPr>
              <w:t>al</w:t>
            </w:r>
          </w:p>
        </w:tc>
        <w:tc>
          <w:tcPr>
            <w:tcW w:w="1620" w:type="dxa"/>
          </w:tcPr>
          <w:p w14:paraId="057597A7" w14:textId="77777777" w:rsidR="00DD6B6D" w:rsidRPr="009C5EFD" w:rsidRDefault="00E453CD" w:rsidP="008B396C">
            <w:pPr>
              <w:pStyle w:val="DefaultText"/>
              <w:jc w:val="center"/>
              <w:rPr>
                <w:rFonts w:ascii="Times New Roman" w:hAnsi="Times New Roman"/>
              </w:rPr>
            </w:pPr>
            <w:r w:rsidRPr="009C5EFD">
              <w:rPr>
                <w:rFonts w:ascii="Times New Roman" w:hAnsi="Times New Roman"/>
              </w:rPr>
              <w:t>17 (4,3)</w:t>
            </w:r>
          </w:p>
        </w:tc>
        <w:tc>
          <w:tcPr>
            <w:tcW w:w="2352" w:type="dxa"/>
          </w:tcPr>
          <w:p w14:paraId="0B478FAD" w14:textId="77777777" w:rsidR="00DD6B6D" w:rsidRPr="009C5EFD" w:rsidRDefault="00E453CD" w:rsidP="008B396C">
            <w:pPr>
              <w:pStyle w:val="DefaultText"/>
              <w:jc w:val="center"/>
              <w:rPr>
                <w:rFonts w:ascii="Times New Roman" w:hAnsi="Times New Roman"/>
              </w:rPr>
            </w:pPr>
            <w:r w:rsidRPr="009C5EFD">
              <w:rPr>
                <w:rFonts w:ascii="Times New Roman" w:hAnsi="Times New Roman"/>
              </w:rPr>
              <w:t>506 (62,2)</w:t>
            </w:r>
            <w:r w:rsidRPr="009C5EFD">
              <w:rPr>
                <w:rFonts w:ascii="Times New Roman" w:hAnsi="Times New Roman"/>
                <w:vertAlign w:val="superscript"/>
              </w:rPr>
              <w:t>b</w:t>
            </w:r>
          </w:p>
        </w:tc>
      </w:tr>
      <w:tr w:rsidR="004644D4" w:rsidRPr="009C2AB2" w14:paraId="6E098AF7" w14:textId="77777777" w:rsidTr="008B396C">
        <w:trPr>
          <w:cantSplit/>
          <w:jc w:val="center"/>
        </w:trPr>
        <w:tc>
          <w:tcPr>
            <w:tcW w:w="6949" w:type="dxa"/>
            <w:gridSpan w:val="3"/>
          </w:tcPr>
          <w:p w14:paraId="17ABC5E9" w14:textId="77777777" w:rsidR="00DD6B6D" w:rsidRPr="002D0790" w:rsidRDefault="00E453CD" w:rsidP="008B396C">
            <w:pPr>
              <w:pStyle w:val="DefaultText"/>
              <w:rPr>
                <w:rFonts w:ascii="Times New Roman" w:hAnsi="Times New Roman"/>
                <w:lang w:val="nb-NO"/>
              </w:rPr>
            </w:pPr>
            <w:r w:rsidRPr="007F67EE">
              <w:rPr>
                <w:rFonts w:ascii="Times New Roman" w:hAnsi="Times New Roman"/>
                <w:vertAlign w:val="superscript"/>
                <w:lang w:val="nb-NO"/>
              </w:rPr>
              <w:t>a</w:t>
            </w:r>
            <w:r w:rsidRPr="007F67EE">
              <w:rPr>
                <w:rFonts w:ascii="Times New Roman" w:hAnsi="Times New Roman"/>
                <w:lang w:val="nb-NO"/>
              </w:rPr>
              <w:t xml:space="preserve"> Prosent av pasienter som har oppnådd PASI 75-</w:t>
            </w:r>
            <w:r w:rsidRPr="00193D76">
              <w:rPr>
                <w:rFonts w:ascii="Times New Roman" w:hAnsi="Times New Roman"/>
                <w:lang w:val="nb-NO"/>
              </w:rPr>
              <w:t xml:space="preserve">respons ble </w:t>
            </w:r>
            <w:r w:rsidRPr="002D0790">
              <w:rPr>
                <w:rFonts w:ascii="Times New Roman" w:hAnsi="Times New Roman"/>
                <w:lang w:val="nb-NO"/>
              </w:rPr>
              <w:t>beregnet som senterjustert rate</w:t>
            </w:r>
          </w:p>
          <w:p w14:paraId="33D42E86" w14:textId="77777777" w:rsidR="00DD6B6D" w:rsidRPr="0015674E" w:rsidRDefault="00E453CD" w:rsidP="008B396C">
            <w:pPr>
              <w:pStyle w:val="DefaultText"/>
              <w:rPr>
                <w:rFonts w:ascii="Times New Roman" w:hAnsi="Times New Roman"/>
                <w:lang w:val="pt-PT"/>
              </w:rPr>
            </w:pPr>
            <w:r w:rsidRPr="0015674E">
              <w:rPr>
                <w:rFonts w:ascii="Times New Roman" w:hAnsi="Times New Roman"/>
                <w:vertAlign w:val="superscript"/>
                <w:lang w:val="pt-PT"/>
              </w:rPr>
              <w:t>b</w:t>
            </w:r>
            <w:r w:rsidRPr="0015674E">
              <w:rPr>
                <w:rFonts w:ascii="Times New Roman" w:hAnsi="Times New Roman"/>
                <w:lang w:val="pt-PT"/>
              </w:rPr>
              <w:t xml:space="preserve"> p &lt; 0,001, Humira vs. </w:t>
            </w:r>
            <w:r w:rsidR="00264E46" w:rsidRPr="0015674E">
              <w:rPr>
                <w:rFonts w:ascii="Times New Roman" w:hAnsi="Times New Roman"/>
                <w:lang w:val="pt-PT"/>
              </w:rPr>
              <w:t>P</w:t>
            </w:r>
            <w:r w:rsidRPr="0015674E">
              <w:rPr>
                <w:rFonts w:ascii="Times New Roman" w:hAnsi="Times New Roman"/>
                <w:lang w:val="pt-PT"/>
              </w:rPr>
              <w:t>lacebo</w:t>
            </w:r>
          </w:p>
        </w:tc>
      </w:tr>
    </w:tbl>
    <w:p w14:paraId="7F252016" w14:textId="77777777" w:rsidR="00DD6B6D" w:rsidRPr="009C5EFD" w:rsidRDefault="00DD6B6D" w:rsidP="00DD6B6D">
      <w:pPr>
        <w:rPr>
          <w:lang w:val="sv-SE"/>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1"/>
        <w:gridCol w:w="1108"/>
        <w:gridCol w:w="1243"/>
        <w:gridCol w:w="2104"/>
      </w:tblGrid>
      <w:tr w:rsidR="004644D4" w14:paraId="3C8F8B37" w14:textId="77777777" w:rsidTr="008B396C">
        <w:trPr>
          <w:cantSplit/>
          <w:jc w:val="center"/>
        </w:trPr>
        <w:tc>
          <w:tcPr>
            <w:tcW w:w="7046" w:type="dxa"/>
            <w:gridSpan w:val="4"/>
            <w:tcBorders>
              <w:top w:val="nil"/>
              <w:left w:val="nil"/>
              <w:right w:val="nil"/>
            </w:tcBorders>
          </w:tcPr>
          <w:p w14:paraId="4E4CDDA8" w14:textId="77777777" w:rsidR="00DD6B6D" w:rsidRPr="009C5EFD" w:rsidRDefault="00E453CD" w:rsidP="008B396C">
            <w:pPr>
              <w:pStyle w:val="DefaultText"/>
              <w:keepNext/>
              <w:jc w:val="center"/>
              <w:rPr>
                <w:rFonts w:ascii="Times New Roman" w:hAnsi="Times New Roman"/>
                <w:b/>
                <w:bCs w:val="0"/>
                <w:lang w:val="nb-NO"/>
              </w:rPr>
            </w:pPr>
            <w:r w:rsidRPr="009C5EFD">
              <w:rPr>
                <w:rFonts w:ascii="Times New Roman" w:hAnsi="Times New Roman"/>
                <w:b/>
                <w:bCs w:val="0"/>
                <w:lang w:val="nb-NO"/>
              </w:rPr>
              <w:t xml:space="preserve">Tabell </w:t>
            </w:r>
            <w:r w:rsidR="00A457B0" w:rsidRPr="009C5EFD">
              <w:rPr>
                <w:rFonts w:ascii="Times New Roman" w:hAnsi="Times New Roman"/>
                <w:b/>
                <w:bCs w:val="0"/>
                <w:lang w:val="nb-NO"/>
              </w:rPr>
              <w:t>1</w:t>
            </w:r>
            <w:r w:rsidR="00A457B0">
              <w:rPr>
                <w:rFonts w:ascii="Times New Roman" w:hAnsi="Times New Roman"/>
                <w:b/>
                <w:bCs w:val="0"/>
                <w:lang w:val="nb-NO"/>
              </w:rPr>
              <w:t>2</w:t>
            </w:r>
          </w:p>
          <w:p w14:paraId="75E064FF" w14:textId="77777777" w:rsidR="00DD6B6D" w:rsidRPr="009C5EFD" w:rsidRDefault="00E453CD" w:rsidP="008B396C">
            <w:pPr>
              <w:pStyle w:val="DefaultText"/>
              <w:keepNext/>
              <w:jc w:val="center"/>
              <w:rPr>
                <w:rFonts w:ascii="Times New Roman" w:hAnsi="Times New Roman"/>
                <w:b/>
                <w:bCs w:val="0"/>
                <w:lang w:val="nb-NO"/>
              </w:rPr>
            </w:pPr>
            <w:r w:rsidRPr="009C5EFD">
              <w:rPr>
                <w:rFonts w:ascii="Times New Roman" w:hAnsi="Times New Roman"/>
                <w:b/>
                <w:bCs w:val="0"/>
                <w:lang w:val="nb-NO"/>
              </w:rPr>
              <w:t xml:space="preserve">Psoriasis studie II (CHAMPION) – </w:t>
            </w:r>
            <w:r w:rsidR="00F33557">
              <w:rPr>
                <w:rFonts w:ascii="Times New Roman" w:hAnsi="Times New Roman"/>
                <w:b/>
                <w:bCs w:val="0"/>
                <w:lang w:val="nb-NO"/>
              </w:rPr>
              <w:t>effektresultater</w:t>
            </w:r>
            <w:r w:rsidRPr="009C5EFD">
              <w:rPr>
                <w:rFonts w:ascii="Times New Roman" w:hAnsi="Times New Roman"/>
                <w:b/>
                <w:bCs w:val="0"/>
                <w:lang w:val="nb-NO"/>
              </w:rPr>
              <w:t xml:space="preserve"> ved 16 uker</w:t>
            </w:r>
          </w:p>
        </w:tc>
      </w:tr>
      <w:tr w:rsidR="004644D4" w14:paraId="72AC4002" w14:textId="77777777" w:rsidTr="008B396C">
        <w:trPr>
          <w:cantSplit/>
          <w:jc w:val="center"/>
        </w:trPr>
        <w:tc>
          <w:tcPr>
            <w:tcW w:w="2591" w:type="dxa"/>
          </w:tcPr>
          <w:p w14:paraId="69DC8B21" w14:textId="77777777" w:rsidR="00DD6B6D" w:rsidRPr="007F67EE" w:rsidRDefault="00DD6B6D" w:rsidP="008B396C">
            <w:pPr>
              <w:pStyle w:val="DefaultText"/>
              <w:keepNext/>
              <w:jc w:val="center"/>
              <w:rPr>
                <w:rFonts w:ascii="Times New Roman" w:hAnsi="Times New Roman"/>
                <w:b/>
                <w:bCs w:val="0"/>
                <w:lang w:val="nb-NO"/>
              </w:rPr>
            </w:pPr>
          </w:p>
        </w:tc>
        <w:tc>
          <w:tcPr>
            <w:tcW w:w="1108" w:type="dxa"/>
            <w:vAlign w:val="center"/>
          </w:tcPr>
          <w:p w14:paraId="4CD25C23" w14:textId="77777777" w:rsidR="00DD6B6D" w:rsidRPr="00193D76" w:rsidRDefault="00E453CD" w:rsidP="008B396C">
            <w:pPr>
              <w:pStyle w:val="DefaultText"/>
              <w:keepNext/>
              <w:jc w:val="center"/>
              <w:rPr>
                <w:rFonts w:ascii="Times New Roman" w:hAnsi="Times New Roman"/>
                <w:b/>
                <w:bCs w:val="0"/>
              </w:rPr>
            </w:pPr>
            <w:r w:rsidRPr="00193D76">
              <w:rPr>
                <w:rFonts w:ascii="Times New Roman" w:hAnsi="Times New Roman"/>
                <w:b/>
                <w:bCs w:val="0"/>
              </w:rPr>
              <w:t>Placebo</w:t>
            </w:r>
          </w:p>
          <w:p w14:paraId="3D257AD0" w14:textId="77777777" w:rsidR="00DD6B6D" w:rsidRPr="002D0790" w:rsidRDefault="00E453CD" w:rsidP="008B396C">
            <w:pPr>
              <w:pStyle w:val="DefaultText"/>
              <w:keepNext/>
              <w:jc w:val="center"/>
              <w:rPr>
                <w:rFonts w:ascii="Times New Roman" w:hAnsi="Times New Roman"/>
                <w:b/>
                <w:bCs w:val="0"/>
              </w:rPr>
            </w:pPr>
            <w:r w:rsidRPr="002D0790">
              <w:rPr>
                <w:rFonts w:ascii="Times New Roman" w:hAnsi="Times New Roman"/>
                <w:b/>
                <w:bCs w:val="0"/>
              </w:rPr>
              <w:t>N=53</w:t>
            </w:r>
          </w:p>
          <w:p w14:paraId="61E55E12" w14:textId="77777777" w:rsidR="00DD6B6D" w:rsidRPr="00E14E58" w:rsidRDefault="00E453CD" w:rsidP="008B396C">
            <w:pPr>
              <w:pStyle w:val="DefaultText"/>
              <w:keepNext/>
              <w:jc w:val="center"/>
              <w:rPr>
                <w:rFonts w:ascii="Times New Roman" w:hAnsi="Times New Roman"/>
                <w:b/>
                <w:bCs w:val="0"/>
              </w:rPr>
            </w:pPr>
            <w:r w:rsidRPr="002D0790">
              <w:rPr>
                <w:rFonts w:ascii="Times New Roman" w:hAnsi="Times New Roman"/>
                <w:b/>
                <w:bCs w:val="0"/>
              </w:rPr>
              <w:t>n</w:t>
            </w:r>
            <w:r w:rsidRPr="00E14E58">
              <w:rPr>
                <w:rFonts w:ascii="Times New Roman" w:hAnsi="Times New Roman"/>
                <w:b/>
                <w:bCs w:val="0"/>
              </w:rPr>
              <w:t xml:space="preserve"> (%)</w:t>
            </w:r>
          </w:p>
        </w:tc>
        <w:tc>
          <w:tcPr>
            <w:tcW w:w="1243" w:type="dxa"/>
            <w:vAlign w:val="center"/>
          </w:tcPr>
          <w:p w14:paraId="3756B095" w14:textId="77777777" w:rsidR="00DD6B6D" w:rsidRPr="009C5EFD" w:rsidRDefault="00E453CD" w:rsidP="008B396C">
            <w:pPr>
              <w:pStyle w:val="DefaultText"/>
              <w:jc w:val="center"/>
              <w:rPr>
                <w:rFonts w:ascii="Times New Roman" w:hAnsi="Times New Roman"/>
                <w:b/>
                <w:bCs w:val="0"/>
              </w:rPr>
            </w:pPr>
            <w:r w:rsidRPr="009C5EFD">
              <w:rPr>
                <w:rFonts w:ascii="Times New Roman" w:hAnsi="Times New Roman"/>
                <w:b/>
                <w:bCs w:val="0"/>
              </w:rPr>
              <w:t>MTX</w:t>
            </w:r>
          </w:p>
          <w:p w14:paraId="13C10804" w14:textId="77777777" w:rsidR="00DD6B6D" w:rsidRPr="009C5EFD" w:rsidRDefault="00E453CD" w:rsidP="008B396C">
            <w:pPr>
              <w:pStyle w:val="DefaultText"/>
              <w:jc w:val="center"/>
              <w:rPr>
                <w:rFonts w:ascii="Times New Roman" w:hAnsi="Times New Roman"/>
                <w:b/>
                <w:bCs w:val="0"/>
              </w:rPr>
            </w:pPr>
            <w:r w:rsidRPr="009C5EFD">
              <w:rPr>
                <w:rFonts w:ascii="Times New Roman" w:hAnsi="Times New Roman"/>
                <w:b/>
                <w:bCs w:val="0"/>
              </w:rPr>
              <w:t>N=110</w:t>
            </w:r>
          </w:p>
          <w:p w14:paraId="6F5D4AA8" w14:textId="77777777" w:rsidR="00DD6B6D" w:rsidRPr="009C5EFD" w:rsidRDefault="00E453CD" w:rsidP="008B396C">
            <w:pPr>
              <w:pStyle w:val="DefaultText"/>
              <w:jc w:val="center"/>
              <w:rPr>
                <w:rFonts w:ascii="Times New Roman" w:hAnsi="Times New Roman"/>
                <w:b/>
                <w:bCs w:val="0"/>
              </w:rPr>
            </w:pPr>
            <w:r w:rsidRPr="009C5EFD">
              <w:rPr>
                <w:rFonts w:ascii="Times New Roman" w:hAnsi="Times New Roman"/>
                <w:b/>
                <w:bCs w:val="0"/>
              </w:rPr>
              <w:t>n (%)</w:t>
            </w:r>
          </w:p>
        </w:tc>
        <w:tc>
          <w:tcPr>
            <w:tcW w:w="2104" w:type="dxa"/>
            <w:vAlign w:val="center"/>
          </w:tcPr>
          <w:p w14:paraId="6905FAA0" w14:textId="77777777" w:rsidR="00DD6B6D" w:rsidRPr="009C5EFD" w:rsidRDefault="00E453CD" w:rsidP="008B396C">
            <w:pPr>
              <w:pStyle w:val="DefaultText"/>
              <w:jc w:val="center"/>
              <w:rPr>
                <w:rFonts w:ascii="Times New Roman" w:hAnsi="Times New Roman"/>
                <w:b/>
                <w:bCs w:val="0"/>
                <w:lang w:val="it-IT"/>
              </w:rPr>
            </w:pPr>
            <w:r w:rsidRPr="009C5EFD">
              <w:rPr>
                <w:rFonts w:ascii="Times New Roman" w:hAnsi="Times New Roman"/>
                <w:b/>
                <w:bCs w:val="0"/>
                <w:lang w:val="it-IT"/>
              </w:rPr>
              <w:t>Humira 40 mg annenhver uke</w:t>
            </w:r>
          </w:p>
          <w:p w14:paraId="256CC609" w14:textId="77777777" w:rsidR="00DD6B6D" w:rsidRPr="009C5EFD" w:rsidRDefault="00E453CD" w:rsidP="008B396C">
            <w:pPr>
              <w:pStyle w:val="DefaultText"/>
              <w:jc w:val="center"/>
              <w:rPr>
                <w:rFonts w:ascii="Times New Roman" w:hAnsi="Times New Roman"/>
                <w:b/>
                <w:bCs w:val="0"/>
                <w:lang w:val="it-IT"/>
              </w:rPr>
            </w:pPr>
            <w:r w:rsidRPr="009C5EFD">
              <w:rPr>
                <w:rFonts w:ascii="Times New Roman" w:hAnsi="Times New Roman"/>
                <w:b/>
                <w:bCs w:val="0"/>
                <w:lang w:val="it-IT"/>
              </w:rPr>
              <w:t>N=108</w:t>
            </w:r>
          </w:p>
          <w:p w14:paraId="58F60F0D" w14:textId="77777777" w:rsidR="00DD6B6D" w:rsidRPr="009C5EFD" w:rsidRDefault="00E453CD" w:rsidP="008B396C">
            <w:pPr>
              <w:pStyle w:val="DefaultText"/>
              <w:jc w:val="center"/>
              <w:rPr>
                <w:rFonts w:ascii="Times New Roman" w:hAnsi="Times New Roman"/>
                <w:b/>
                <w:bCs w:val="0"/>
                <w:lang w:val="it-IT"/>
              </w:rPr>
            </w:pPr>
            <w:r w:rsidRPr="009C5EFD">
              <w:rPr>
                <w:rFonts w:ascii="Times New Roman" w:hAnsi="Times New Roman"/>
                <w:b/>
                <w:bCs w:val="0"/>
                <w:lang w:val="it-IT"/>
              </w:rPr>
              <w:t>n (%)</w:t>
            </w:r>
          </w:p>
        </w:tc>
      </w:tr>
      <w:tr w:rsidR="004644D4" w14:paraId="7BC61EC1" w14:textId="77777777" w:rsidTr="008B396C">
        <w:trPr>
          <w:cantSplit/>
          <w:jc w:val="center"/>
        </w:trPr>
        <w:tc>
          <w:tcPr>
            <w:tcW w:w="2591" w:type="dxa"/>
          </w:tcPr>
          <w:p w14:paraId="55208835" w14:textId="77777777" w:rsidR="00DD6B6D" w:rsidRPr="007F67EE" w:rsidRDefault="00E453CD" w:rsidP="008B396C">
            <w:pPr>
              <w:pStyle w:val="DefaultText"/>
              <w:keepNext/>
              <w:rPr>
                <w:rFonts w:ascii="Times New Roman" w:hAnsi="Times New Roman"/>
                <w:b/>
                <w:bCs w:val="0"/>
                <w:lang w:val="it-IT"/>
              </w:rPr>
            </w:pPr>
            <w:r w:rsidRPr="007F67EE">
              <w:rPr>
                <w:rFonts w:ascii="Times New Roman" w:hAnsi="Times New Roman"/>
                <w:b/>
                <w:bCs w:val="0"/>
                <w:lang w:val="it-IT"/>
              </w:rPr>
              <w:t xml:space="preserve">    </w:t>
            </w:r>
            <w:r w:rsidRPr="007F67EE">
              <w:rPr>
                <w:rFonts w:ascii="Symbol" w:hAnsi="Symbol"/>
                <w:b/>
                <w:bCs w:val="0"/>
                <w:szCs w:val="22"/>
              </w:rPr>
              <w:sym w:font="Symbol" w:char="F0B3"/>
            </w:r>
            <w:r w:rsidRPr="007F67EE">
              <w:rPr>
                <w:rFonts w:ascii="Times New Roman" w:hAnsi="Times New Roman"/>
                <w:b/>
                <w:bCs w:val="0"/>
                <w:szCs w:val="22"/>
              </w:rPr>
              <w:t> </w:t>
            </w:r>
            <w:r w:rsidRPr="007F67EE">
              <w:rPr>
                <w:rFonts w:ascii="Times New Roman" w:hAnsi="Times New Roman"/>
                <w:b/>
                <w:bCs w:val="0"/>
                <w:lang w:val="it-IT"/>
              </w:rPr>
              <w:t>PASI 75</w:t>
            </w:r>
          </w:p>
        </w:tc>
        <w:tc>
          <w:tcPr>
            <w:tcW w:w="1108" w:type="dxa"/>
          </w:tcPr>
          <w:p w14:paraId="5C164047" w14:textId="77777777" w:rsidR="00DD6B6D" w:rsidRPr="002D0790" w:rsidRDefault="00E453CD" w:rsidP="008B396C">
            <w:pPr>
              <w:pStyle w:val="DefaultText"/>
              <w:keepNext/>
              <w:jc w:val="center"/>
              <w:rPr>
                <w:rFonts w:ascii="Times New Roman" w:hAnsi="Times New Roman"/>
                <w:lang w:val="it-IT"/>
              </w:rPr>
            </w:pPr>
            <w:r w:rsidRPr="00193D76">
              <w:rPr>
                <w:rFonts w:ascii="Times New Roman" w:hAnsi="Times New Roman"/>
                <w:lang w:val="it-IT"/>
              </w:rPr>
              <w:t>10 (18,</w:t>
            </w:r>
            <w:r w:rsidRPr="002D0790">
              <w:rPr>
                <w:rFonts w:ascii="Times New Roman" w:hAnsi="Times New Roman"/>
                <w:lang w:val="it-IT"/>
              </w:rPr>
              <w:t>9)</w:t>
            </w:r>
          </w:p>
        </w:tc>
        <w:tc>
          <w:tcPr>
            <w:tcW w:w="1243" w:type="dxa"/>
          </w:tcPr>
          <w:p w14:paraId="5CACDAA1" w14:textId="77777777" w:rsidR="00DD6B6D" w:rsidRPr="002D0790" w:rsidRDefault="00E453CD" w:rsidP="008B396C">
            <w:pPr>
              <w:pStyle w:val="DefaultText"/>
              <w:jc w:val="center"/>
              <w:rPr>
                <w:rFonts w:ascii="Times New Roman" w:hAnsi="Times New Roman"/>
                <w:lang w:val="it-IT"/>
              </w:rPr>
            </w:pPr>
            <w:r w:rsidRPr="002D0790">
              <w:rPr>
                <w:rFonts w:ascii="Times New Roman" w:hAnsi="Times New Roman"/>
                <w:lang w:val="it-IT"/>
              </w:rPr>
              <w:t>39 (35,5)</w:t>
            </w:r>
          </w:p>
        </w:tc>
        <w:tc>
          <w:tcPr>
            <w:tcW w:w="2104" w:type="dxa"/>
          </w:tcPr>
          <w:p w14:paraId="6E4C2F79" w14:textId="77777777" w:rsidR="00DD6B6D" w:rsidRPr="009C5EFD" w:rsidRDefault="00E453CD" w:rsidP="008B396C">
            <w:pPr>
              <w:pStyle w:val="DefaultText"/>
              <w:jc w:val="center"/>
              <w:rPr>
                <w:rFonts w:ascii="Times New Roman" w:hAnsi="Times New Roman"/>
                <w:lang w:val="it-IT"/>
              </w:rPr>
            </w:pPr>
            <w:r w:rsidRPr="00E14E58">
              <w:rPr>
                <w:rFonts w:ascii="Times New Roman" w:hAnsi="Times New Roman"/>
                <w:lang w:val="it-IT"/>
              </w:rPr>
              <w:t>86 (79,6)</w:t>
            </w:r>
            <w:r w:rsidRPr="009C5EFD">
              <w:rPr>
                <w:rFonts w:ascii="Times New Roman" w:hAnsi="Times New Roman"/>
                <w:vertAlign w:val="superscript"/>
                <w:lang w:val="it-IT"/>
              </w:rPr>
              <w:t xml:space="preserve"> a, b</w:t>
            </w:r>
          </w:p>
        </w:tc>
      </w:tr>
      <w:tr w:rsidR="004644D4" w14:paraId="6FE5DD2D" w14:textId="77777777" w:rsidTr="008B396C">
        <w:trPr>
          <w:cantSplit/>
          <w:jc w:val="center"/>
        </w:trPr>
        <w:tc>
          <w:tcPr>
            <w:tcW w:w="2591" w:type="dxa"/>
          </w:tcPr>
          <w:p w14:paraId="7A96BE3B" w14:textId="77777777" w:rsidR="00DD6B6D" w:rsidRPr="007F67EE" w:rsidRDefault="00E453CD" w:rsidP="008B396C">
            <w:pPr>
              <w:pStyle w:val="DefaultText"/>
              <w:keepNext/>
              <w:rPr>
                <w:rFonts w:ascii="Times New Roman" w:hAnsi="Times New Roman"/>
                <w:b/>
                <w:bCs w:val="0"/>
                <w:lang w:val="it-IT"/>
              </w:rPr>
            </w:pPr>
            <w:r w:rsidRPr="007F67EE">
              <w:rPr>
                <w:rFonts w:ascii="Times New Roman" w:hAnsi="Times New Roman"/>
                <w:b/>
                <w:bCs w:val="0"/>
                <w:lang w:val="it-IT"/>
              </w:rPr>
              <w:t xml:space="preserve">    PASI 100</w:t>
            </w:r>
          </w:p>
        </w:tc>
        <w:tc>
          <w:tcPr>
            <w:tcW w:w="1108" w:type="dxa"/>
          </w:tcPr>
          <w:p w14:paraId="040CE1D6" w14:textId="77777777" w:rsidR="00DD6B6D" w:rsidRPr="002D0790" w:rsidRDefault="00E453CD" w:rsidP="008B396C">
            <w:pPr>
              <w:pStyle w:val="DefaultText"/>
              <w:keepNext/>
              <w:jc w:val="center"/>
              <w:rPr>
                <w:rFonts w:ascii="Times New Roman" w:hAnsi="Times New Roman"/>
                <w:lang w:val="en-GB"/>
              </w:rPr>
            </w:pPr>
            <w:r w:rsidRPr="00193D76">
              <w:rPr>
                <w:rFonts w:ascii="Times New Roman" w:hAnsi="Times New Roman"/>
                <w:lang w:val="en-GB"/>
              </w:rPr>
              <w:t>1 (1,</w:t>
            </w:r>
            <w:r w:rsidRPr="002D0790">
              <w:rPr>
                <w:rFonts w:ascii="Times New Roman" w:hAnsi="Times New Roman"/>
                <w:lang w:val="en-GB"/>
              </w:rPr>
              <w:t>9)</w:t>
            </w:r>
          </w:p>
        </w:tc>
        <w:tc>
          <w:tcPr>
            <w:tcW w:w="1243" w:type="dxa"/>
          </w:tcPr>
          <w:p w14:paraId="7D4080B7" w14:textId="77777777" w:rsidR="00DD6B6D" w:rsidRPr="002D0790" w:rsidRDefault="00E453CD" w:rsidP="008B396C">
            <w:pPr>
              <w:pStyle w:val="DefaultText"/>
              <w:jc w:val="center"/>
              <w:rPr>
                <w:rFonts w:ascii="Times New Roman" w:hAnsi="Times New Roman"/>
                <w:lang w:val="en-GB"/>
              </w:rPr>
            </w:pPr>
            <w:r w:rsidRPr="002D0790">
              <w:rPr>
                <w:rFonts w:ascii="Times New Roman" w:hAnsi="Times New Roman"/>
                <w:lang w:val="en-GB"/>
              </w:rPr>
              <w:t>8 (7,3)</w:t>
            </w:r>
          </w:p>
        </w:tc>
        <w:tc>
          <w:tcPr>
            <w:tcW w:w="2104" w:type="dxa"/>
          </w:tcPr>
          <w:p w14:paraId="2E96F29A" w14:textId="77777777" w:rsidR="00DD6B6D" w:rsidRPr="009C5EFD" w:rsidRDefault="00E453CD" w:rsidP="008B396C">
            <w:pPr>
              <w:pStyle w:val="DefaultText"/>
              <w:jc w:val="center"/>
              <w:rPr>
                <w:rFonts w:ascii="Times New Roman" w:hAnsi="Times New Roman"/>
                <w:lang w:val="en-GB"/>
              </w:rPr>
            </w:pPr>
            <w:r w:rsidRPr="00E14E58">
              <w:rPr>
                <w:rFonts w:ascii="Times New Roman" w:hAnsi="Times New Roman"/>
                <w:lang w:val="en-GB"/>
              </w:rPr>
              <w:t>18 (16,7)</w:t>
            </w:r>
            <w:r w:rsidRPr="009C5EFD">
              <w:rPr>
                <w:rFonts w:ascii="Times New Roman" w:hAnsi="Times New Roman"/>
                <w:vertAlign w:val="superscript"/>
                <w:lang w:val="en-GB"/>
              </w:rPr>
              <w:t xml:space="preserve"> c, d</w:t>
            </w:r>
          </w:p>
        </w:tc>
      </w:tr>
      <w:tr w:rsidR="004644D4" w14:paraId="5695C7C1" w14:textId="77777777" w:rsidTr="008B396C">
        <w:trPr>
          <w:cantSplit/>
          <w:jc w:val="center"/>
        </w:trPr>
        <w:tc>
          <w:tcPr>
            <w:tcW w:w="2591" w:type="dxa"/>
          </w:tcPr>
          <w:p w14:paraId="60630261" w14:textId="77777777" w:rsidR="00DD6B6D" w:rsidRPr="009C5EFD" w:rsidRDefault="00E453CD" w:rsidP="008B396C">
            <w:pPr>
              <w:pStyle w:val="DefaultText"/>
              <w:keepNext/>
              <w:rPr>
                <w:rFonts w:ascii="Times New Roman" w:hAnsi="Times New Roman"/>
                <w:b/>
                <w:bCs w:val="0"/>
              </w:rPr>
            </w:pPr>
            <w:r w:rsidRPr="007F67EE">
              <w:rPr>
                <w:rFonts w:ascii="Times New Roman" w:hAnsi="Times New Roman"/>
                <w:b/>
                <w:bCs w:val="0"/>
                <w:lang w:val="en-GB"/>
              </w:rPr>
              <w:t xml:space="preserve">    </w:t>
            </w:r>
            <w:r w:rsidRPr="007F67EE">
              <w:rPr>
                <w:rFonts w:ascii="Times New Roman" w:hAnsi="Times New Roman"/>
                <w:b/>
                <w:bCs w:val="0"/>
              </w:rPr>
              <w:t xml:space="preserve">PGA: </w:t>
            </w:r>
            <w:r w:rsidR="00D57009">
              <w:rPr>
                <w:rFonts w:ascii="Times New Roman" w:hAnsi="Times New Roman"/>
                <w:b/>
                <w:bCs w:val="0"/>
              </w:rPr>
              <w:t>«</w:t>
            </w:r>
            <w:r w:rsidRPr="00193D76">
              <w:rPr>
                <w:rFonts w:ascii="Times New Roman" w:hAnsi="Times New Roman"/>
                <w:b/>
                <w:bCs w:val="0"/>
              </w:rPr>
              <w:t>Kl</w:t>
            </w:r>
            <w:r w:rsidRPr="002D0790">
              <w:rPr>
                <w:rFonts w:ascii="Times New Roman" w:hAnsi="Times New Roman"/>
                <w:b/>
                <w:bCs w:val="0"/>
              </w:rPr>
              <w:t>ar</w:t>
            </w:r>
            <w:r w:rsidR="00D406F1">
              <w:rPr>
                <w:rFonts w:ascii="Times New Roman" w:hAnsi="Times New Roman"/>
                <w:b/>
                <w:bCs w:val="0"/>
                <w:szCs w:val="22"/>
                <w:lang w:val="nb-NO"/>
              </w:rPr>
              <w:t>»</w:t>
            </w:r>
            <w:r w:rsidRPr="00E14E58">
              <w:rPr>
                <w:rFonts w:ascii="Times New Roman" w:hAnsi="Times New Roman"/>
                <w:b/>
                <w:bCs w:val="0"/>
              </w:rPr>
              <w:t>/minim</w:t>
            </w:r>
            <w:r w:rsidRPr="009C5EFD">
              <w:rPr>
                <w:rFonts w:ascii="Times New Roman" w:hAnsi="Times New Roman"/>
                <w:b/>
                <w:bCs w:val="0"/>
              </w:rPr>
              <w:t>al</w:t>
            </w:r>
          </w:p>
        </w:tc>
        <w:tc>
          <w:tcPr>
            <w:tcW w:w="1108" w:type="dxa"/>
          </w:tcPr>
          <w:p w14:paraId="515F26F8" w14:textId="77777777" w:rsidR="00DD6B6D" w:rsidRPr="009C5EFD" w:rsidRDefault="00E453CD" w:rsidP="008B396C">
            <w:pPr>
              <w:pStyle w:val="DefaultText"/>
              <w:keepNext/>
              <w:jc w:val="center"/>
              <w:rPr>
                <w:rFonts w:ascii="Times New Roman" w:hAnsi="Times New Roman"/>
              </w:rPr>
            </w:pPr>
            <w:r w:rsidRPr="009C5EFD">
              <w:rPr>
                <w:rFonts w:ascii="Times New Roman" w:hAnsi="Times New Roman"/>
              </w:rPr>
              <w:t>6 (11,3)</w:t>
            </w:r>
          </w:p>
        </w:tc>
        <w:tc>
          <w:tcPr>
            <w:tcW w:w="1243" w:type="dxa"/>
          </w:tcPr>
          <w:p w14:paraId="4A66C8DE" w14:textId="77777777" w:rsidR="00DD6B6D" w:rsidRPr="009C5EFD" w:rsidRDefault="00E453CD" w:rsidP="008B396C">
            <w:pPr>
              <w:pStyle w:val="DefaultText"/>
              <w:jc w:val="center"/>
              <w:rPr>
                <w:rFonts w:ascii="Times New Roman" w:hAnsi="Times New Roman"/>
              </w:rPr>
            </w:pPr>
            <w:r w:rsidRPr="009C5EFD">
              <w:rPr>
                <w:rFonts w:ascii="Times New Roman" w:hAnsi="Times New Roman"/>
              </w:rPr>
              <w:t>33 (30,0)</w:t>
            </w:r>
          </w:p>
        </w:tc>
        <w:tc>
          <w:tcPr>
            <w:tcW w:w="2104" w:type="dxa"/>
          </w:tcPr>
          <w:p w14:paraId="6434BF25" w14:textId="77777777" w:rsidR="00DD6B6D" w:rsidRPr="009C5EFD" w:rsidRDefault="00E453CD" w:rsidP="008B396C">
            <w:pPr>
              <w:pStyle w:val="DefaultText"/>
              <w:jc w:val="center"/>
              <w:rPr>
                <w:rFonts w:ascii="Times New Roman" w:hAnsi="Times New Roman"/>
              </w:rPr>
            </w:pPr>
            <w:r w:rsidRPr="009C5EFD">
              <w:rPr>
                <w:rFonts w:ascii="Times New Roman" w:hAnsi="Times New Roman"/>
              </w:rPr>
              <w:t>79 (73,1)</w:t>
            </w:r>
            <w:r w:rsidRPr="009C5EFD">
              <w:rPr>
                <w:rFonts w:ascii="Times New Roman" w:hAnsi="Times New Roman"/>
                <w:vertAlign w:val="superscript"/>
              </w:rPr>
              <w:t xml:space="preserve"> a, b</w:t>
            </w:r>
          </w:p>
        </w:tc>
      </w:tr>
      <w:tr w:rsidR="004644D4" w14:paraId="733F6B50" w14:textId="77777777" w:rsidTr="008B396C">
        <w:trPr>
          <w:cantSplit/>
          <w:jc w:val="center"/>
        </w:trPr>
        <w:tc>
          <w:tcPr>
            <w:tcW w:w="7046" w:type="dxa"/>
            <w:gridSpan w:val="4"/>
          </w:tcPr>
          <w:p w14:paraId="4B1D24BC" w14:textId="77777777" w:rsidR="00DD6B6D" w:rsidRPr="002D0790" w:rsidRDefault="00E453CD" w:rsidP="008B396C">
            <w:pPr>
              <w:pStyle w:val="DefaultText"/>
              <w:keepNext/>
              <w:rPr>
                <w:rFonts w:ascii="Times New Roman" w:hAnsi="Times New Roman"/>
                <w:lang w:val="nb-NO"/>
              </w:rPr>
            </w:pPr>
            <w:r w:rsidRPr="007F67EE">
              <w:rPr>
                <w:rFonts w:ascii="Times New Roman" w:hAnsi="Times New Roman"/>
                <w:vertAlign w:val="superscript"/>
                <w:lang w:val="nb-NO"/>
              </w:rPr>
              <w:t>a</w:t>
            </w:r>
            <w:r w:rsidRPr="007F67EE">
              <w:rPr>
                <w:rFonts w:ascii="Times New Roman" w:hAnsi="Times New Roman"/>
                <w:lang w:val="nb-NO"/>
              </w:rPr>
              <w:t xml:space="preserve"> p </w:t>
            </w:r>
            <w:r w:rsidRPr="00193D76">
              <w:rPr>
                <w:rFonts w:ascii="Times New Roman" w:hAnsi="Times New Roman"/>
                <w:lang w:val="nb-NO"/>
              </w:rPr>
              <w:t>&lt;</w:t>
            </w:r>
            <w:r w:rsidRPr="002D0790">
              <w:rPr>
                <w:rFonts w:ascii="Times New Roman" w:hAnsi="Times New Roman"/>
                <w:lang w:val="nb-NO"/>
              </w:rPr>
              <w:t> 0,001 Humira vs. placebo</w:t>
            </w:r>
          </w:p>
          <w:p w14:paraId="3817102C" w14:textId="77777777" w:rsidR="00DD6B6D" w:rsidRPr="009C5EFD" w:rsidRDefault="00E453CD" w:rsidP="008B396C">
            <w:pPr>
              <w:pStyle w:val="DefaultText"/>
              <w:keepNext/>
              <w:rPr>
                <w:rFonts w:ascii="Times New Roman" w:hAnsi="Times New Roman"/>
                <w:lang w:val="nb-NO"/>
              </w:rPr>
            </w:pPr>
            <w:r w:rsidRPr="00E14E58">
              <w:rPr>
                <w:rFonts w:ascii="Times New Roman" w:hAnsi="Times New Roman"/>
                <w:vertAlign w:val="superscript"/>
                <w:lang w:val="nb-NO"/>
              </w:rPr>
              <w:t>b</w:t>
            </w:r>
            <w:r w:rsidRPr="009C5EFD">
              <w:rPr>
                <w:rFonts w:ascii="Times New Roman" w:hAnsi="Times New Roman"/>
                <w:lang w:val="nb-NO"/>
              </w:rPr>
              <w:t xml:space="preserve"> p &lt; 0,001 Humira vs. metotreksat</w:t>
            </w:r>
          </w:p>
          <w:p w14:paraId="67D43396" w14:textId="77777777" w:rsidR="00DD6B6D" w:rsidRPr="001F5D4B" w:rsidRDefault="00E453CD" w:rsidP="008B396C">
            <w:pPr>
              <w:pStyle w:val="DefaultText"/>
              <w:keepNext/>
              <w:rPr>
                <w:rFonts w:ascii="Times New Roman" w:hAnsi="Times New Roman"/>
                <w:lang w:val="sv-SE"/>
              </w:rPr>
            </w:pPr>
            <w:r w:rsidRPr="001F5D4B">
              <w:rPr>
                <w:rFonts w:ascii="Times New Roman" w:hAnsi="Times New Roman"/>
                <w:vertAlign w:val="superscript"/>
                <w:lang w:val="sv-SE"/>
              </w:rPr>
              <w:t>c</w:t>
            </w:r>
            <w:r w:rsidRPr="001F5D4B">
              <w:rPr>
                <w:rFonts w:ascii="Times New Roman" w:hAnsi="Times New Roman"/>
                <w:lang w:val="sv-SE"/>
              </w:rPr>
              <w:t xml:space="preserve"> p &lt; 0,01 Humira vs. placebo</w:t>
            </w:r>
          </w:p>
          <w:p w14:paraId="52CBE5E5" w14:textId="77777777" w:rsidR="00DD6B6D" w:rsidRPr="00E04B2A" w:rsidRDefault="00E453CD" w:rsidP="008B396C">
            <w:pPr>
              <w:pStyle w:val="DefaultText"/>
              <w:keepNext/>
              <w:rPr>
                <w:rFonts w:ascii="Times New Roman" w:hAnsi="Times New Roman"/>
                <w:lang w:val="pt-PT"/>
              </w:rPr>
            </w:pPr>
            <w:r w:rsidRPr="00E04B2A">
              <w:rPr>
                <w:rFonts w:ascii="Times New Roman" w:hAnsi="Times New Roman"/>
                <w:vertAlign w:val="superscript"/>
                <w:lang w:val="pt-PT"/>
              </w:rPr>
              <w:t>d</w:t>
            </w:r>
            <w:r w:rsidRPr="00E04B2A">
              <w:rPr>
                <w:rFonts w:ascii="Times New Roman" w:hAnsi="Times New Roman"/>
                <w:lang w:val="pt-PT"/>
              </w:rPr>
              <w:t xml:space="preserve"> p &lt; 0,05 Humira vs. metotreksat</w:t>
            </w:r>
          </w:p>
        </w:tc>
      </w:tr>
    </w:tbl>
    <w:p w14:paraId="6304D632" w14:textId="77777777" w:rsidR="00DD6B6D" w:rsidRPr="001F5D4B" w:rsidRDefault="00DD6B6D" w:rsidP="00DD6B6D">
      <w:pPr>
        <w:rPr>
          <w:sz w:val="22"/>
          <w:szCs w:val="22"/>
          <w:lang w:val="sv-SE"/>
        </w:rPr>
      </w:pPr>
    </w:p>
    <w:p w14:paraId="4B9A1900" w14:textId="77777777" w:rsidR="00DD6B6D" w:rsidRPr="009C5EFD" w:rsidRDefault="00E453CD" w:rsidP="00DD6B6D">
      <w:pPr>
        <w:rPr>
          <w:sz w:val="22"/>
          <w:szCs w:val="22"/>
        </w:rPr>
      </w:pPr>
      <w:r w:rsidRPr="002D0790">
        <w:rPr>
          <w:sz w:val="22"/>
          <w:szCs w:val="22"/>
        </w:rPr>
        <w:t>I psoriasisstudie I opplevde 28</w:t>
      </w:r>
      <w:r w:rsidR="008538BD">
        <w:rPr>
          <w:sz w:val="22"/>
          <w:szCs w:val="22"/>
        </w:rPr>
        <w:t> </w:t>
      </w:r>
      <w:r w:rsidRPr="002D0790">
        <w:rPr>
          <w:sz w:val="22"/>
          <w:szCs w:val="22"/>
        </w:rPr>
        <w:t>% av pasientene som hadde PASI 75-respons og som var randomisert på nytt til placebo ved uke</w:t>
      </w:r>
      <w:r w:rsidR="008538BD">
        <w:rPr>
          <w:sz w:val="22"/>
          <w:szCs w:val="22"/>
        </w:rPr>
        <w:t> </w:t>
      </w:r>
      <w:r w:rsidRPr="002D0790">
        <w:rPr>
          <w:sz w:val="22"/>
          <w:szCs w:val="22"/>
        </w:rPr>
        <w:t xml:space="preserve">33, </w:t>
      </w:r>
      <w:r w:rsidR="00D57009">
        <w:rPr>
          <w:sz w:val="22"/>
          <w:szCs w:val="22"/>
        </w:rPr>
        <w:t>«</w:t>
      </w:r>
      <w:r w:rsidRPr="002D0790">
        <w:rPr>
          <w:sz w:val="22"/>
          <w:szCs w:val="22"/>
        </w:rPr>
        <w:t>tap av tilfredsstillende respons</w:t>
      </w:r>
      <w:r w:rsidR="00D57009">
        <w:rPr>
          <w:sz w:val="22"/>
          <w:szCs w:val="22"/>
        </w:rPr>
        <w:t>»</w:t>
      </w:r>
      <w:r w:rsidRPr="002D0790">
        <w:rPr>
          <w:sz w:val="22"/>
          <w:szCs w:val="22"/>
        </w:rPr>
        <w:t xml:space="preserve"> (</w:t>
      </w:r>
      <w:r w:rsidRPr="00E14E58">
        <w:rPr>
          <w:sz w:val="22"/>
          <w:szCs w:val="22"/>
        </w:rPr>
        <w:t>PASI score etter uke</w:t>
      </w:r>
      <w:r w:rsidR="008538BD">
        <w:rPr>
          <w:sz w:val="22"/>
          <w:szCs w:val="22"/>
        </w:rPr>
        <w:t> </w:t>
      </w:r>
      <w:r w:rsidRPr="00E14E58">
        <w:rPr>
          <w:sz w:val="22"/>
          <w:szCs w:val="22"/>
        </w:rPr>
        <w:t>33 og ved eller før uke</w:t>
      </w:r>
      <w:r w:rsidR="008538BD">
        <w:rPr>
          <w:sz w:val="22"/>
          <w:szCs w:val="22"/>
        </w:rPr>
        <w:t> </w:t>
      </w:r>
      <w:r w:rsidRPr="00E14E58">
        <w:rPr>
          <w:sz w:val="22"/>
          <w:szCs w:val="22"/>
        </w:rPr>
        <w:t>52 som resulterte i &lt;</w:t>
      </w:r>
      <w:r w:rsidR="008538BD">
        <w:rPr>
          <w:sz w:val="22"/>
          <w:szCs w:val="22"/>
        </w:rPr>
        <w:t> </w:t>
      </w:r>
      <w:r w:rsidRPr="00E14E58">
        <w:rPr>
          <w:sz w:val="22"/>
          <w:szCs w:val="22"/>
        </w:rPr>
        <w:t>PASI</w:t>
      </w:r>
      <w:r w:rsidR="008538BD">
        <w:rPr>
          <w:sz w:val="22"/>
          <w:szCs w:val="22"/>
        </w:rPr>
        <w:t> </w:t>
      </w:r>
      <w:r w:rsidRPr="00E14E58">
        <w:rPr>
          <w:sz w:val="22"/>
          <w:szCs w:val="22"/>
        </w:rPr>
        <w:t>50-respons i forhold til baseline</w:t>
      </w:r>
      <w:r w:rsidRPr="009C5EFD">
        <w:rPr>
          <w:sz w:val="22"/>
          <w:szCs w:val="22"/>
        </w:rPr>
        <w:t>, med en minimum 6-punkts økning i PASI score i forhold til uke</w:t>
      </w:r>
      <w:r w:rsidR="008538BD">
        <w:rPr>
          <w:sz w:val="22"/>
          <w:szCs w:val="22"/>
        </w:rPr>
        <w:t> </w:t>
      </w:r>
      <w:r w:rsidRPr="009C5EFD">
        <w:rPr>
          <w:sz w:val="22"/>
          <w:szCs w:val="22"/>
        </w:rPr>
        <w:t>33). Tilsvarende for pasienter som fortsatte med Humira var 5 %, p &lt;</w:t>
      </w:r>
      <w:r w:rsidR="008538BD">
        <w:rPr>
          <w:sz w:val="22"/>
          <w:szCs w:val="22"/>
        </w:rPr>
        <w:t> </w:t>
      </w:r>
      <w:r w:rsidRPr="009C5EFD">
        <w:rPr>
          <w:sz w:val="22"/>
          <w:szCs w:val="22"/>
        </w:rPr>
        <w:t>0,001. Av de pasientene som opplevde tap av tilfredsstillende respons etter ny randomisering til placebo og som deretter ble inkludert i en åpen forlengelsesstudie, gjenvant 38</w:t>
      </w:r>
      <w:r w:rsidR="008538BD">
        <w:rPr>
          <w:sz w:val="22"/>
          <w:szCs w:val="22"/>
        </w:rPr>
        <w:t> </w:t>
      </w:r>
      <w:r w:rsidRPr="009C5EFD">
        <w:rPr>
          <w:sz w:val="22"/>
          <w:szCs w:val="22"/>
        </w:rPr>
        <w:t>% (25/66) og 55</w:t>
      </w:r>
      <w:r w:rsidR="008538BD">
        <w:rPr>
          <w:sz w:val="22"/>
          <w:szCs w:val="22"/>
        </w:rPr>
        <w:t> </w:t>
      </w:r>
      <w:r w:rsidRPr="009C5EFD">
        <w:rPr>
          <w:sz w:val="22"/>
          <w:szCs w:val="22"/>
        </w:rPr>
        <w:t>% (36/66) PASI</w:t>
      </w:r>
      <w:r w:rsidR="008538BD">
        <w:rPr>
          <w:sz w:val="22"/>
          <w:szCs w:val="22"/>
        </w:rPr>
        <w:t> </w:t>
      </w:r>
      <w:r w:rsidRPr="009C5EFD">
        <w:rPr>
          <w:sz w:val="22"/>
          <w:szCs w:val="22"/>
        </w:rPr>
        <w:t>75-respons etter henholdsvis 12 og 24</w:t>
      </w:r>
      <w:r w:rsidR="008538BD">
        <w:rPr>
          <w:sz w:val="22"/>
          <w:szCs w:val="22"/>
        </w:rPr>
        <w:t> </w:t>
      </w:r>
      <w:r w:rsidRPr="009C5EFD">
        <w:rPr>
          <w:sz w:val="22"/>
          <w:szCs w:val="22"/>
        </w:rPr>
        <w:t xml:space="preserve">uker med re-behandling. </w:t>
      </w:r>
    </w:p>
    <w:p w14:paraId="71BDF0DC" w14:textId="77777777" w:rsidR="00DD6B6D" w:rsidRPr="009C5EFD" w:rsidRDefault="00DD6B6D" w:rsidP="00DD6B6D">
      <w:pPr>
        <w:rPr>
          <w:sz w:val="22"/>
          <w:szCs w:val="22"/>
        </w:rPr>
      </w:pPr>
    </w:p>
    <w:p w14:paraId="1ECE1C4A" w14:textId="77777777" w:rsidR="00DD6B6D" w:rsidRPr="009C5EFD" w:rsidRDefault="00E453CD" w:rsidP="00DD6B6D">
      <w:pPr>
        <w:rPr>
          <w:sz w:val="22"/>
          <w:szCs w:val="22"/>
        </w:rPr>
      </w:pPr>
      <w:r w:rsidRPr="009C5EFD">
        <w:rPr>
          <w:sz w:val="22"/>
          <w:szCs w:val="22"/>
        </w:rPr>
        <w:t>Totalt 233</w:t>
      </w:r>
      <w:r w:rsidR="008538BD">
        <w:rPr>
          <w:sz w:val="22"/>
          <w:szCs w:val="22"/>
        </w:rPr>
        <w:t> </w:t>
      </w:r>
      <w:r w:rsidRPr="009C5EFD">
        <w:rPr>
          <w:sz w:val="22"/>
          <w:szCs w:val="22"/>
        </w:rPr>
        <w:t>pasienter med PASI</w:t>
      </w:r>
      <w:r w:rsidR="008538BD">
        <w:rPr>
          <w:sz w:val="22"/>
          <w:szCs w:val="22"/>
        </w:rPr>
        <w:t> </w:t>
      </w:r>
      <w:r w:rsidRPr="009C5EFD">
        <w:rPr>
          <w:sz w:val="22"/>
          <w:szCs w:val="22"/>
        </w:rPr>
        <w:t>75-respons ved uke</w:t>
      </w:r>
      <w:r w:rsidR="008538BD">
        <w:rPr>
          <w:sz w:val="22"/>
          <w:szCs w:val="22"/>
        </w:rPr>
        <w:t> </w:t>
      </w:r>
      <w:r w:rsidRPr="009C5EFD">
        <w:rPr>
          <w:sz w:val="22"/>
          <w:szCs w:val="22"/>
        </w:rPr>
        <w:t>16 og 33 fikk kontinuerlig behandling med Humira i psoriasisstudie I i 52</w:t>
      </w:r>
      <w:r w:rsidR="008538BD">
        <w:rPr>
          <w:sz w:val="22"/>
          <w:szCs w:val="22"/>
        </w:rPr>
        <w:t> </w:t>
      </w:r>
      <w:r w:rsidRPr="009C5EFD">
        <w:rPr>
          <w:sz w:val="22"/>
          <w:szCs w:val="22"/>
        </w:rPr>
        <w:t>uker, og fortsatte med Humira i en åpen forlengelsesstudie. PASI</w:t>
      </w:r>
      <w:r w:rsidR="008538BD">
        <w:rPr>
          <w:sz w:val="22"/>
          <w:szCs w:val="22"/>
        </w:rPr>
        <w:t> </w:t>
      </w:r>
      <w:r w:rsidRPr="009C5EFD">
        <w:rPr>
          <w:sz w:val="22"/>
          <w:szCs w:val="22"/>
        </w:rPr>
        <w:t>75 og PGA</w:t>
      </w:r>
      <w:r w:rsidRPr="008538BD">
        <w:rPr>
          <w:sz w:val="22"/>
          <w:szCs w:val="22"/>
        </w:rPr>
        <w:t>-k</w:t>
      </w:r>
      <w:r w:rsidRPr="009C5EFD">
        <w:rPr>
          <w:sz w:val="22"/>
          <w:szCs w:val="22"/>
        </w:rPr>
        <w:t>lar’ eller -minimal responsrate hos disse pasientene var henholdsvis 74,7</w:t>
      </w:r>
      <w:r w:rsidR="00436CE2">
        <w:rPr>
          <w:sz w:val="22"/>
          <w:szCs w:val="22"/>
        </w:rPr>
        <w:t> </w:t>
      </w:r>
      <w:r w:rsidRPr="009C5EFD">
        <w:rPr>
          <w:sz w:val="22"/>
          <w:szCs w:val="22"/>
        </w:rPr>
        <w:t>% og 59,0</w:t>
      </w:r>
      <w:r w:rsidR="00436CE2">
        <w:rPr>
          <w:sz w:val="22"/>
          <w:szCs w:val="22"/>
        </w:rPr>
        <w:t> </w:t>
      </w:r>
      <w:r w:rsidRPr="009C5EFD">
        <w:rPr>
          <w:sz w:val="22"/>
          <w:szCs w:val="22"/>
        </w:rPr>
        <w:t>% etter en periode på 108</w:t>
      </w:r>
      <w:r w:rsidR="00436CE2">
        <w:rPr>
          <w:sz w:val="22"/>
          <w:szCs w:val="22"/>
        </w:rPr>
        <w:t> </w:t>
      </w:r>
      <w:r w:rsidRPr="009C5EFD">
        <w:rPr>
          <w:sz w:val="22"/>
          <w:szCs w:val="22"/>
        </w:rPr>
        <w:t>uker i den åpne forlengelsesstudien (totalt 160</w:t>
      </w:r>
      <w:r w:rsidR="00436CE2">
        <w:rPr>
          <w:sz w:val="22"/>
          <w:szCs w:val="22"/>
        </w:rPr>
        <w:t> </w:t>
      </w:r>
      <w:r w:rsidRPr="009C5EFD">
        <w:rPr>
          <w:sz w:val="22"/>
          <w:szCs w:val="22"/>
        </w:rPr>
        <w:t xml:space="preserve">uker). I en analyse ble alle pasientene </w:t>
      </w:r>
      <w:r w:rsidRPr="009C5EFD">
        <w:rPr>
          <w:sz w:val="22"/>
          <w:szCs w:val="22"/>
        </w:rPr>
        <w:lastRenderedPageBreak/>
        <w:t>som hadde frafall pga. bivirkninger, mangel på effekt eller som dose-eskalerte, ansett som ikke-respondere. Hos disse pasientene var PASI 75 og PGA-‘klar’ eller -minimal responsrater henholdsvis 69,6</w:t>
      </w:r>
      <w:r w:rsidR="00436CE2">
        <w:rPr>
          <w:sz w:val="22"/>
          <w:szCs w:val="22"/>
        </w:rPr>
        <w:t> </w:t>
      </w:r>
      <w:r w:rsidRPr="009C5EFD">
        <w:rPr>
          <w:sz w:val="22"/>
          <w:szCs w:val="22"/>
        </w:rPr>
        <w:t>% og 55,7</w:t>
      </w:r>
      <w:r w:rsidR="00436CE2">
        <w:rPr>
          <w:sz w:val="22"/>
          <w:szCs w:val="22"/>
        </w:rPr>
        <w:t> </w:t>
      </w:r>
      <w:r w:rsidRPr="009C5EFD">
        <w:rPr>
          <w:sz w:val="22"/>
          <w:szCs w:val="22"/>
        </w:rPr>
        <w:t>% etter en tilleggsperiode på 108</w:t>
      </w:r>
      <w:r w:rsidR="00436CE2">
        <w:rPr>
          <w:sz w:val="22"/>
          <w:szCs w:val="22"/>
        </w:rPr>
        <w:t> </w:t>
      </w:r>
      <w:r w:rsidRPr="009C5EFD">
        <w:rPr>
          <w:sz w:val="22"/>
          <w:szCs w:val="22"/>
        </w:rPr>
        <w:t>uker i den åpne forlengelsesstudien (totalt 160</w:t>
      </w:r>
      <w:r w:rsidR="00436CE2">
        <w:rPr>
          <w:sz w:val="22"/>
          <w:szCs w:val="22"/>
        </w:rPr>
        <w:t> </w:t>
      </w:r>
      <w:r w:rsidRPr="009C5EFD">
        <w:rPr>
          <w:sz w:val="22"/>
          <w:szCs w:val="22"/>
        </w:rPr>
        <w:t>uker).</w:t>
      </w:r>
    </w:p>
    <w:p w14:paraId="641FF9CE" w14:textId="77777777" w:rsidR="00DD6B6D" w:rsidRPr="009C5EFD" w:rsidRDefault="00DD6B6D" w:rsidP="00DD6B6D">
      <w:pPr>
        <w:rPr>
          <w:sz w:val="22"/>
          <w:szCs w:val="22"/>
        </w:rPr>
      </w:pPr>
    </w:p>
    <w:p w14:paraId="39BF3325" w14:textId="77777777" w:rsidR="00DD6B6D" w:rsidRPr="009C5EFD" w:rsidRDefault="00E453CD" w:rsidP="00DD6B6D">
      <w:pPr>
        <w:rPr>
          <w:sz w:val="22"/>
          <w:szCs w:val="22"/>
        </w:rPr>
      </w:pPr>
      <w:r w:rsidRPr="009C5EFD">
        <w:rPr>
          <w:sz w:val="22"/>
          <w:szCs w:val="22"/>
        </w:rPr>
        <w:t xml:space="preserve">Totalt 347 stabile respondere deltok i en åpen forlengelsesstudie der seponering og re-behandling ble </w:t>
      </w:r>
      <w:r w:rsidR="003D3CAB">
        <w:rPr>
          <w:sz w:val="22"/>
          <w:szCs w:val="22"/>
        </w:rPr>
        <w:t>vurdert</w:t>
      </w:r>
      <w:r w:rsidRPr="009C5EFD">
        <w:rPr>
          <w:sz w:val="22"/>
          <w:szCs w:val="22"/>
        </w:rPr>
        <w:t xml:space="preserve">. Under seponeringsperioden kom symptomene på psoriasis tilbake over tid med en mediantid for tilbakefall (nedgang i PGA </w:t>
      </w:r>
      <w:r w:rsidR="00D57009">
        <w:rPr>
          <w:sz w:val="22"/>
          <w:szCs w:val="22"/>
        </w:rPr>
        <w:t>«</w:t>
      </w:r>
      <w:r w:rsidRPr="009C5EFD">
        <w:rPr>
          <w:sz w:val="22"/>
          <w:szCs w:val="22"/>
        </w:rPr>
        <w:t>moderat</w:t>
      </w:r>
      <w:r w:rsidR="00D57009">
        <w:rPr>
          <w:sz w:val="22"/>
          <w:szCs w:val="22"/>
        </w:rPr>
        <w:t>»</w:t>
      </w:r>
      <w:r w:rsidRPr="009C5EFD">
        <w:rPr>
          <w:sz w:val="22"/>
          <w:szCs w:val="22"/>
        </w:rPr>
        <w:t xml:space="preserve"> eller verre) på ca. 5</w:t>
      </w:r>
      <w:r w:rsidR="00436CE2">
        <w:rPr>
          <w:sz w:val="22"/>
          <w:szCs w:val="22"/>
        </w:rPr>
        <w:t> </w:t>
      </w:r>
      <w:r w:rsidRPr="009C5EFD">
        <w:rPr>
          <w:sz w:val="22"/>
          <w:szCs w:val="22"/>
        </w:rPr>
        <w:t>måneder. Ingen av disse pasientene opplevde tilbakefall (</w:t>
      </w:r>
      <w:r w:rsidR="00D57009">
        <w:rPr>
          <w:sz w:val="22"/>
          <w:szCs w:val="22"/>
        </w:rPr>
        <w:t>«</w:t>
      </w:r>
      <w:r w:rsidRPr="009C5EFD">
        <w:rPr>
          <w:sz w:val="22"/>
          <w:szCs w:val="22"/>
        </w:rPr>
        <w:t>rebound</w:t>
      </w:r>
      <w:r w:rsidR="00D57009">
        <w:rPr>
          <w:sz w:val="22"/>
          <w:szCs w:val="22"/>
        </w:rPr>
        <w:t>»</w:t>
      </w:r>
      <w:r w:rsidRPr="009C5EFD">
        <w:rPr>
          <w:sz w:val="22"/>
          <w:szCs w:val="22"/>
        </w:rPr>
        <w:t>) under seponeringsperioden. Totalt 76,5</w:t>
      </w:r>
      <w:r w:rsidR="00436CE2">
        <w:rPr>
          <w:sz w:val="22"/>
          <w:szCs w:val="22"/>
        </w:rPr>
        <w:t> </w:t>
      </w:r>
      <w:r w:rsidRPr="009C5EFD">
        <w:rPr>
          <w:sz w:val="22"/>
          <w:szCs w:val="22"/>
        </w:rPr>
        <w:t>% (218/285) av pasientene som startet behandlingen på nytt hadde en PGA-‘klar‘ eller -minimal respons etter 16</w:t>
      </w:r>
      <w:r w:rsidR="00436CE2">
        <w:rPr>
          <w:sz w:val="22"/>
          <w:szCs w:val="22"/>
        </w:rPr>
        <w:t> </w:t>
      </w:r>
      <w:r w:rsidRPr="009C5EFD">
        <w:rPr>
          <w:sz w:val="22"/>
          <w:szCs w:val="22"/>
        </w:rPr>
        <w:t>uker med behandling, uavhengig om de hadde tilbakefall under seponeringsperioden (69,1</w:t>
      </w:r>
      <w:r w:rsidR="00436CE2">
        <w:rPr>
          <w:sz w:val="22"/>
          <w:szCs w:val="22"/>
        </w:rPr>
        <w:t> </w:t>
      </w:r>
      <w:r w:rsidRPr="009C5EFD">
        <w:rPr>
          <w:sz w:val="22"/>
          <w:szCs w:val="22"/>
        </w:rPr>
        <w:t>% [123/178] og 88,8</w:t>
      </w:r>
      <w:r w:rsidR="00436CE2">
        <w:rPr>
          <w:sz w:val="22"/>
          <w:szCs w:val="22"/>
        </w:rPr>
        <w:t> </w:t>
      </w:r>
      <w:r w:rsidRPr="009C5EFD">
        <w:rPr>
          <w:sz w:val="22"/>
          <w:szCs w:val="22"/>
        </w:rPr>
        <w:t>% [95/107] henholdsvis for pasienter som hadde tilbakefall eller ikke hadde tilbakefall under seponeringsperioden). En tilsvarende sikkerhetsprofil ble observert under gjenopptagelse av behandlingen som før seponering.</w:t>
      </w:r>
    </w:p>
    <w:p w14:paraId="7719EE13" w14:textId="77777777" w:rsidR="00DD6B6D" w:rsidRPr="009C5EFD" w:rsidRDefault="00DD6B6D" w:rsidP="00DD6B6D">
      <w:pPr>
        <w:rPr>
          <w:sz w:val="22"/>
          <w:szCs w:val="22"/>
        </w:rPr>
      </w:pPr>
    </w:p>
    <w:p w14:paraId="38CF54BA" w14:textId="77777777" w:rsidR="00DD6B6D" w:rsidRPr="009C5EFD" w:rsidRDefault="00E453CD" w:rsidP="00DD6B6D">
      <w:pPr>
        <w:rPr>
          <w:sz w:val="22"/>
          <w:szCs w:val="22"/>
        </w:rPr>
      </w:pPr>
      <w:r w:rsidRPr="009C5EFD">
        <w:rPr>
          <w:sz w:val="22"/>
          <w:szCs w:val="22"/>
        </w:rPr>
        <w:t>Signifikant forbedring ved uke</w:t>
      </w:r>
      <w:r w:rsidR="00436CE2">
        <w:rPr>
          <w:sz w:val="22"/>
          <w:szCs w:val="22"/>
        </w:rPr>
        <w:t> </w:t>
      </w:r>
      <w:r w:rsidRPr="009C5EFD">
        <w:rPr>
          <w:sz w:val="22"/>
          <w:szCs w:val="22"/>
        </w:rPr>
        <w:t>16 fra behandlingsstart sammenlignet med placebo (studiene I og II) og metotreksat (studie II) ble vist i DLQI (Dermatology Life Quality Index). I studie I var også forbedringer i sammenlagt score for de fysiske og mentale komponentene i SF-36 signifikante sammenlignet med placebo.</w:t>
      </w:r>
    </w:p>
    <w:p w14:paraId="04F226EF" w14:textId="77777777" w:rsidR="00DD6B6D" w:rsidRPr="009C5EFD" w:rsidRDefault="00DD6B6D" w:rsidP="00DD6B6D">
      <w:pPr>
        <w:rPr>
          <w:sz w:val="22"/>
          <w:szCs w:val="22"/>
        </w:rPr>
      </w:pPr>
    </w:p>
    <w:p w14:paraId="58CC5D9D" w14:textId="77777777" w:rsidR="00DD6B6D" w:rsidRPr="009C5EFD" w:rsidRDefault="00E453CD" w:rsidP="00DD6B6D">
      <w:pPr>
        <w:rPr>
          <w:sz w:val="22"/>
          <w:szCs w:val="22"/>
        </w:rPr>
      </w:pPr>
      <w:r w:rsidRPr="009C5EFD">
        <w:rPr>
          <w:sz w:val="22"/>
          <w:szCs w:val="22"/>
        </w:rPr>
        <w:t>I en åpen forlengelsesstudie hos pasienter som økte dosen fra 40</w:t>
      </w:r>
      <w:r w:rsidR="00436CE2">
        <w:rPr>
          <w:sz w:val="22"/>
          <w:szCs w:val="22"/>
        </w:rPr>
        <w:t> </w:t>
      </w:r>
      <w:r w:rsidRPr="009C5EFD">
        <w:rPr>
          <w:sz w:val="22"/>
          <w:szCs w:val="22"/>
        </w:rPr>
        <w:t>mg annenhver uke til 40</w:t>
      </w:r>
      <w:r w:rsidR="00436CE2">
        <w:rPr>
          <w:sz w:val="22"/>
          <w:szCs w:val="22"/>
        </w:rPr>
        <w:t> </w:t>
      </w:r>
      <w:r w:rsidRPr="009C5EFD">
        <w:rPr>
          <w:sz w:val="22"/>
          <w:szCs w:val="22"/>
        </w:rPr>
        <w:t xml:space="preserve">mg </w:t>
      </w:r>
      <w:r w:rsidR="003721B0">
        <w:rPr>
          <w:sz w:val="22"/>
          <w:szCs w:val="22"/>
        </w:rPr>
        <w:t>per</w:t>
      </w:r>
      <w:r w:rsidRPr="009C5EFD">
        <w:rPr>
          <w:sz w:val="22"/>
          <w:szCs w:val="22"/>
        </w:rPr>
        <w:t xml:space="preserve"> uke på grunn av PASI</w:t>
      </w:r>
      <w:r w:rsidR="00436CE2">
        <w:rPr>
          <w:sz w:val="22"/>
          <w:szCs w:val="22"/>
        </w:rPr>
        <w:t> </w:t>
      </w:r>
      <w:r w:rsidRPr="009C5EFD">
        <w:rPr>
          <w:sz w:val="22"/>
          <w:szCs w:val="22"/>
        </w:rPr>
        <w:t>respons under 50</w:t>
      </w:r>
      <w:r w:rsidR="00436CE2">
        <w:rPr>
          <w:sz w:val="22"/>
          <w:szCs w:val="22"/>
        </w:rPr>
        <w:t> </w:t>
      </w:r>
      <w:r w:rsidRPr="009C5EFD">
        <w:rPr>
          <w:sz w:val="22"/>
          <w:szCs w:val="22"/>
        </w:rPr>
        <w:t>%, oppnådde 26,</w:t>
      </w:r>
      <w:r>
        <w:rPr>
          <w:sz w:val="22"/>
          <w:szCs w:val="22"/>
        </w:rPr>
        <w:t>4</w:t>
      </w:r>
      <w:r w:rsidR="00436CE2">
        <w:rPr>
          <w:sz w:val="22"/>
          <w:szCs w:val="22"/>
        </w:rPr>
        <w:t> </w:t>
      </w:r>
      <w:r w:rsidRPr="009C5EFD">
        <w:rPr>
          <w:sz w:val="22"/>
          <w:szCs w:val="22"/>
        </w:rPr>
        <w:t>%</w:t>
      </w:r>
      <w:r>
        <w:rPr>
          <w:sz w:val="22"/>
          <w:szCs w:val="22"/>
        </w:rPr>
        <w:t xml:space="preserve"> (</w:t>
      </w:r>
      <w:r w:rsidRPr="005A2FD7">
        <w:rPr>
          <w:sz w:val="22"/>
          <w:szCs w:val="22"/>
        </w:rPr>
        <w:t xml:space="preserve">92/349) </w:t>
      </w:r>
      <w:r>
        <w:rPr>
          <w:sz w:val="22"/>
          <w:szCs w:val="22"/>
        </w:rPr>
        <w:t>og</w:t>
      </w:r>
      <w:r w:rsidRPr="005A2FD7">
        <w:rPr>
          <w:sz w:val="22"/>
          <w:szCs w:val="22"/>
        </w:rPr>
        <w:t xml:space="preserve"> 37</w:t>
      </w:r>
      <w:r>
        <w:rPr>
          <w:sz w:val="22"/>
          <w:szCs w:val="22"/>
        </w:rPr>
        <w:t>,</w:t>
      </w:r>
      <w:r w:rsidRPr="005A2FD7">
        <w:rPr>
          <w:sz w:val="22"/>
          <w:szCs w:val="22"/>
        </w:rPr>
        <w:t>8</w:t>
      </w:r>
      <w:r w:rsidR="00436CE2">
        <w:rPr>
          <w:sz w:val="22"/>
          <w:szCs w:val="22"/>
        </w:rPr>
        <w:t> </w:t>
      </w:r>
      <w:r w:rsidRPr="005A2FD7">
        <w:rPr>
          <w:sz w:val="22"/>
          <w:szCs w:val="22"/>
        </w:rPr>
        <w:t xml:space="preserve">% (132/349) </w:t>
      </w:r>
      <w:r w:rsidRPr="009C5EFD">
        <w:rPr>
          <w:sz w:val="22"/>
          <w:szCs w:val="22"/>
        </w:rPr>
        <w:t>av pasientene PASI</w:t>
      </w:r>
      <w:r w:rsidR="00436CE2">
        <w:rPr>
          <w:sz w:val="22"/>
          <w:szCs w:val="22"/>
        </w:rPr>
        <w:t> </w:t>
      </w:r>
      <w:r w:rsidRPr="009C5EFD">
        <w:rPr>
          <w:sz w:val="22"/>
          <w:szCs w:val="22"/>
        </w:rPr>
        <w:t>75-respons</w:t>
      </w:r>
      <w:r>
        <w:rPr>
          <w:sz w:val="22"/>
          <w:szCs w:val="22"/>
        </w:rPr>
        <w:t xml:space="preserve"> ved henholdsvis uke</w:t>
      </w:r>
      <w:r w:rsidR="00436CE2">
        <w:rPr>
          <w:sz w:val="22"/>
          <w:szCs w:val="22"/>
        </w:rPr>
        <w:t> </w:t>
      </w:r>
      <w:r>
        <w:rPr>
          <w:sz w:val="22"/>
          <w:szCs w:val="22"/>
        </w:rPr>
        <w:t>12 og 24</w:t>
      </w:r>
      <w:r w:rsidRPr="009C5EFD">
        <w:rPr>
          <w:sz w:val="22"/>
          <w:szCs w:val="22"/>
        </w:rPr>
        <w:t>.</w:t>
      </w:r>
    </w:p>
    <w:p w14:paraId="3330321E" w14:textId="77777777" w:rsidR="00DD6B6D" w:rsidRPr="009C5EFD" w:rsidRDefault="00DD6B6D" w:rsidP="00DD6B6D">
      <w:pPr>
        <w:rPr>
          <w:sz w:val="22"/>
          <w:szCs w:val="22"/>
        </w:rPr>
      </w:pPr>
    </w:p>
    <w:p w14:paraId="5AFF79D2" w14:textId="77777777" w:rsidR="00DD6B6D" w:rsidRDefault="00E453CD" w:rsidP="00DD6B6D">
      <w:pPr>
        <w:rPr>
          <w:sz w:val="22"/>
          <w:szCs w:val="22"/>
        </w:rPr>
      </w:pPr>
      <w:r w:rsidRPr="009C5EFD">
        <w:rPr>
          <w:sz w:val="22"/>
          <w:szCs w:val="22"/>
        </w:rPr>
        <w:t xml:space="preserve">Psoriasisstudie III (REACH) sammenlignet effekt og sikkerhet av Humira </w:t>
      </w:r>
      <w:r w:rsidRPr="009C5EFD">
        <w:rPr>
          <w:i/>
          <w:sz w:val="22"/>
          <w:szCs w:val="22"/>
        </w:rPr>
        <w:t>versus</w:t>
      </w:r>
      <w:r w:rsidRPr="009C5EFD">
        <w:rPr>
          <w:sz w:val="22"/>
          <w:szCs w:val="22"/>
        </w:rPr>
        <w:t xml:space="preserve"> placebo hos 7</w:t>
      </w:r>
      <w:r>
        <w:rPr>
          <w:sz w:val="22"/>
          <w:szCs w:val="22"/>
        </w:rPr>
        <w:t>2</w:t>
      </w:r>
      <w:r w:rsidR="00436CE2">
        <w:rPr>
          <w:sz w:val="22"/>
          <w:szCs w:val="22"/>
        </w:rPr>
        <w:t> </w:t>
      </w:r>
      <w:r w:rsidRPr="009C5EFD">
        <w:rPr>
          <w:sz w:val="22"/>
          <w:szCs w:val="22"/>
        </w:rPr>
        <w:t>pasienter med moderat til alvorlig kronisk plakkpsoriasis og hånd og/eller fot psoriasis. Pasientene fikk en startdose på 80</w:t>
      </w:r>
      <w:r w:rsidR="00436CE2">
        <w:rPr>
          <w:sz w:val="22"/>
          <w:szCs w:val="22"/>
        </w:rPr>
        <w:t> </w:t>
      </w:r>
      <w:r w:rsidRPr="009C5EFD">
        <w:rPr>
          <w:sz w:val="22"/>
          <w:szCs w:val="22"/>
        </w:rPr>
        <w:t>mg Humira etterfulgt av 40</w:t>
      </w:r>
      <w:r w:rsidR="00436CE2">
        <w:rPr>
          <w:sz w:val="22"/>
          <w:szCs w:val="22"/>
        </w:rPr>
        <w:t> </w:t>
      </w:r>
      <w:r w:rsidRPr="009C5EFD">
        <w:rPr>
          <w:sz w:val="22"/>
          <w:szCs w:val="22"/>
        </w:rPr>
        <w:t>mg annenhver uke (med oppstart én uke etter den første dosen) eller placebo i 16</w:t>
      </w:r>
      <w:r w:rsidR="00436CE2">
        <w:rPr>
          <w:sz w:val="22"/>
          <w:szCs w:val="22"/>
        </w:rPr>
        <w:t> </w:t>
      </w:r>
      <w:r w:rsidRPr="009C5EFD">
        <w:rPr>
          <w:sz w:val="22"/>
          <w:szCs w:val="22"/>
        </w:rPr>
        <w:t>uker. Ved uke</w:t>
      </w:r>
      <w:r w:rsidR="00436CE2">
        <w:rPr>
          <w:sz w:val="22"/>
          <w:szCs w:val="22"/>
        </w:rPr>
        <w:t> </w:t>
      </w:r>
      <w:r w:rsidRPr="009C5EFD">
        <w:rPr>
          <w:sz w:val="22"/>
          <w:szCs w:val="22"/>
        </w:rPr>
        <w:t>16 hadde en statistisk signifikant større andel av pasientene som fikk Humira oppnådd PGA score ‘klar’ eller ‘nesten klar’ for hender og/eller føtter, sammenlignet med pasientene som fikk placebo (henholdsvis 30,6</w:t>
      </w:r>
      <w:r w:rsidR="00436CE2">
        <w:rPr>
          <w:sz w:val="22"/>
          <w:szCs w:val="22"/>
        </w:rPr>
        <w:t> </w:t>
      </w:r>
      <w:r w:rsidRPr="009C5EFD">
        <w:rPr>
          <w:sz w:val="22"/>
          <w:szCs w:val="22"/>
        </w:rPr>
        <w:t xml:space="preserve">% </w:t>
      </w:r>
      <w:r w:rsidRPr="009C5EFD">
        <w:rPr>
          <w:i/>
          <w:sz w:val="22"/>
          <w:szCs w:val="22"/>
        </w:rPr>
        <w:t>versus</w:t>
      </w:r>
      <w:r w:rsidRPr="009C5EFD">
        <w:rPr>
          <w:sz w:val="22"/>
          <w:szCs w:val="22"/>
        </w:rPr>
        <w:t xml:space="preserve"> 4,3</w:t>
      </w:r>
      <w:r w:rsidR="00436CE2">
        <w:rPr>
          <w:sz w:val="22"/>
          <w:szCs w:val="22"/>
        </w:rPr>
        <w:t> </w:t>
      </w:r>
      <w:r w:rsidRPr="009C5EFD">
        <w:rPr>
          <w:sz w:val="22"/>
          <w:szCs w:val="22"/>
        </w:rPr>
        <w:t>%, [p = 0,014]).</w:t>
      </w:r>
    </w:p>
    <w:p w14:paraId="15F14DBA" w14:textId="77777777" w:rsidR="00DD6B6D" w:rsidRDefault="00DD6B6D" w:rsidP="00DD6B6D">
      <w:pPr>
        <w:rPr>
          <w:sz w:val="22"/>
          <w:szCs w:val="22"/>
        </w:rPr>
      </w:pPr>
    </w:p>
    <w:p w14:paraId="653F8347" w14:textId="77777777" w:rsidR="00DD6B6D" w:rsidRDefault="00E453CD" w:rsidP="00DD6B6D">
      <w:pPr>
        <w:rPr>
          <w:sz w:val="22"/>
          <w:szCs w:val="22"/>
        </w:rPr>
      </w:pPr>
      <w:r w:rsidRPr="00553387">
        <w:rPr>
          <w:sz w:val="22"/>
          <w:szCs w:val="22"/>
        </w:rPr>
        <w:t>Psoriasisstudie IV sammenlignet effekt og sikkerhet av Humira versus placebo hos 217</w:t>
      </w:r>
      <w:r w:rsidR="00436CE2">
        <w:rPr>
          <w:sz w:val="22"/>
          <w:szCs w:val="22"/>
        </w:rPr>
        <w:t> </w:t>
      </w:r>
      <w:r>
        <w:rPr>
          <w:sz w:val="22"/>
          <w:szCs w:val="22"/>
        </w:rPr>
        <w:t xml:space="preserve">voksne </w:t>
      </w:r>
      <w:r w:rsidRPr="00553387">
        <w:rPr>
          <w:sz w:val="22"/>
          <w:szCs w:val="22"/>
        </w:rPr>
        <w:t>pasienter med moderat til alvorlig neglepsoriasis. Pasientene fikk en startdose på 80</w:t>
      </w:r>
      <w:r w:rsidR="00436CE2">
        <w:rPr>
          <w:sz w:val="22"/>
          <w:szCs w:val="22"/>
        </w:rPr>
        <w:t> </w:t>
      </w:r>
      <w:r w:rsidRPr="00553387">
        <w:rPr>
          <w:sz w:val="22"/>
          <w:szCs w:val="22"/>
        </w:rPr>
        <w:t>mg Humira etterfulgt av 40</w:t>
      </w:r>
      <w:r w:rsidR="00436CE2">
        <w:rPr>
          <w:sz w:val="22"/>
          <w:szCs w:val="22"/>
        </w:rPr>
        <w:t> </w:t>
      </w:r>
      <w:r w:rsidRPr="00553387">
        <w:rPr>
          <w:sz w:val="22"/>
          <w:szCs w:val="22"/>
        </w:rPr>
        <w:t>mg annenhver uke (med oppstart én uke etter den første dosen) eller placebo i 26</w:t>
      </w:r>
      <w:r w:rsidR="00436CE2">
        <w:rPr>
          <w:sz w:val="22"/>
          <w:szCs w:val="22"/>
        </w:rPr>
        <w:t> </w:t>
      </w:r>
      <w:r w:rsidRPr="00553387">
        <w:rPr>
          <w:sz w:val="22"/>
          <w:szCs w:val="22"/>
        </w:rPr>
        <w:t>uker, etterfulgt av en åpen forlengelses</w:t>
      </w:r>
      <w:r>
        <w:rPr>
          <w:sz w:val="22"/>
          <w:szCs w:val="22"/>
        </w:rPr>
        <w:t xml:space="preserve">periode med </w:t>
      </w:r>
      <w:r w:rsidRPr="00553387">
        <w:rPr>
          <w:sz w:val="22"/>
          <w:szCs w:val="22"/>
        </w:rPr>
        <w:t>Humirabehandling i ytterligere 26</w:t>
      </w:r>
      <w:r w:rsidR="00436CE2">
        <w:rPr>
          <w:sz w:val="22"/>
          <w:szCs w:val="22"/>
        </w:rPr>
        <w:t> </w:t>
      </w:r>
      <w:r w:rsidRPr="00553387">
        <w:rPr>
          <w:sz w:val="22"/>
          <w:szCs w:val="22"/>
        </w:rPr>
        <w:t>uker. Vurdering av neglepsoriasis inkluderte Modified Nail Psoriasis Severity Index (mNAPSI), Physician’s Global Assessment of Fingernail Psoriasis (PGA-F) og Nail Psoriasis Severity Index (NAPSI) (se tabell</w:t>
      </w:r>
      <w:r w:rsidR="00436CE2">
        <w:rPr>
          <w:sz w:val="22"/>
          <w:szCs w:val="22"/>
        </w:rPr>
        <w:t> </w:t>
      </w:r>
      <w:r w:rsidR="00A457B0" w:rsidRPr="00553387">
        <w:rPr>
          <w:sz w:val="22"/>
          <w:szCs w:val="22"/>
        </w:rPr>
        <w:t>1</w:t>
      </w:r>
      <w:r w:rsidR="00A457B0">
        <w:rPr>
          <w:sz w:val="22"/>
          <w:szCs w:val="22"/>
        </w:rPr>
        <w:t>3</w:t>
      </w:r>
      <w:r w:rsidRPr="00553387">
        <w:rPr>
          <w:sz w:val="22"/>
          <w:szCs w:val="22"/>
        </w:rPr>
        <w:t>). Behandling med Humira viste en behandlingsfordel hos pasienter med neglepsoriasis med ulik grad av hudpåvirkning (BSA</w:t>
      </w:r>
      <w:r>
        <w:rPr>
          <w:sz w:val="22"/>
          <w:szCs w:val="22"/>
        </w:rPr>
        <w:t xml:space="preserve"> </w:t>
      </w:r>
      <w:r w:rsidRPr="00553387">
        <w:rPr>
          <w:sz w:val="22"/>
          <w:szCs w:val="22"/>
        </w:rPr>
        <w:t>≥</w:t>
      </w:r>
      <w:r w:rsidR="00436CE2">
        <w:rPr>
          <w:sz w:val="22"/>
          <w:szCs w:val="22"/>
        </w:rPr>
        <w:t> </w:t>
      </w:r>
      <w:r w:rsidRPr="00553387">
        <w:rPr>
          <w:sz w:val="22"/>
          <w:szCs w:val="22"/>
        </w:rPr>
        <w:t>10</w:t>
      </w:r>
      <w:r w:rsidR="00436CE2">
        <w:rPr>
          <w:sz w:val="22"/>
          <w:szCs w:val="22"/>
        </w:rPr>
        <w:t> </w:t>
      </w:r>
      <w:r w:rsidRPr="00553387">
        <w:rPr>
          <w:sz w:val="22"/>
          <w:szCs w:val="22"/>
        </w:rPr>
        <w:t xml:space="preserve">% </w:t>
      </w:r>
      <w:r>
        <w:rPr>
          <w:sz w:val="22"/>
          <w:szCs w:val="22"/>
        </w:rPr>
        <w:t>(60</w:t>
      </w:r>
      <w:r w:rsidR="00436CE2">
        <w:rPr>
          <w:sz w:val="22"/>
          <w:szCs w:val="22"/>
        </w:rPr>
        <w:t> </w:t>
      </w:r>
      <w:r>
        <w:rPr>
          <w:sz w:val="22"/>
          <w:szCs w:val="22"/>
        </w:rPr>
        <w:t xml:space="preserve">% av pasientene) </w:t>
      </w:r>
      <w:r w:rsidRPr="00553387">
        <w:rPr>
          <w:sz w:val="22"/>
          <w:szCs w:val="22"/>
        </w:rPr>
        <w:t>og BSA</w:t>
      </w:r>
      <w:r>
        <w:rPr>
          <w:sz w:val="22"/>
          <w:szCs w:val="22"/>
        </w:rPr>
        <w:t xml:space="preserve"> </w:t>
      </w:r>
      <w:r w:rsidRPr="00553387">
        <w:rPr>
          <w:sz w:val="22"/>
          <w:szCs w:val="22"/>
        </w:rPr>
        <w:t>&lt;</w:t>
      </w:r>
      <w:r w:rsidR="00436CE2">
        <w:rPr>
          <w:sz w:val="22"/>
          <w:szCs w:val="22"/>
        </w:rPr>
        <w:t> </w:t>
      </w:r>
      <w:r w:rsidRPr="00553387">
        <w:rPr>
          <w:sz w:val="22"/>
          <w:szCs w:val="22"/>
        </w:rPr>
        <w:t>10</w:t>
      </w:r>
      <w:r w:rsidR="00436CE2">
        <w:rPr>
          <w:sz w:val="22"/>
          <w:szCs w:val="22"/>
        </w:rPr>
        <w:t> </w:t>
      </w:r>
      <w:r w:rsidRPr="00553387">
        <w:rPr>
          <w:sz w:val="22"/>
          <w:szCs w:val="22"/>
        </w:rPr>
        <w:t>% og ≥</w:t>
      </w:r>
      <w:r w:rsidR="00436CE2">
        <w:rPr>
          <w:sz w:val="22"/>
          <w:szCs w:val="22"/>
        </w:rPr>
        <w:t> </w:t>
      </w:r>
      <w:r w:rsidRPr="00553387">
        <w:rPr>
          <w:sz w:val="22"/>
          <w:szCs w:val="22"/>
        </w:rPr>
        <w:t>5</w:t>
      </w:r>
      <w:r w:rsidR="00436CE2">
        <w:rPr>
          <w:sz w:val="22"/>
          <w:szCs w:val="22"/>
        </w:rPr>
        <w:t> </w:t>
      </w:r>
      <w:r w:rsidRPr="00553387">
        <w:rPr>
          <w:sz w:val="22"/>
          <w:szCs w:val="22"/>
        </w:rPr>
        <w:t>%</w:t>
      </w:r>
      <w:r>
        <w:rPr>
          <w:sz w:val="22"/>
          <w:szCs w:val="22"/>
        </w:rPr>
        <w:t xml:space="preserve"> (40</w:t>
      </w:r>
      <w:r w:rsidR="00436CE2">
        <w:rPr>
          <w:sz w:val="22"/>
          <w:szCs w:val="22"/>
        </w:rPr>
        <w:t> </w:t>
      </w:r>
      <w:r>
        <w:rPr>
          <w:sz w:val="22"/>
          <w:szCs w:val="22"/>
        </w:rPr>
        <w:t>% av pasientene)</w:t>
      </w:r>
      <w:r w:rsidRPr="00553387">
        <w:rPr>
          <w:sz w:val="22"/>
          <w:szCs w:val="22"/>
        </w:rPr>
        <w:t>).</w:t>
      </w:r>
      <w:r>
        <w:rPr>
          <w:sz w:val="22"/>
          <w:szCs w:val="22"/>
        </w:rPr>
        <w:t xml:space="preserve"> </w:t>
      </w:r>
    </w:p>
    <w:p w14:paraId="509C2929" w14:textId="77777777" w:rsidR="00DD6B6D" w:rsidRDefault="00DD6B6D" w:rsidP="00DD6B6D">
      <w:pPr>
        <w:rPr>
          <w:sz w:val="22"/>
          <w:szCs w:val="22"/>
        </w:rPr>
      </w:pPr>
    </w:p>
    <w:p w14:paraId="11E3F917" w14:textId="77777777" w:rsidR="00DD6B6D" w:rsidRPr="007A3AEF" w:rsidRDefault="00E453CD" w:rsidP="00DD6B6D">
      <w:pPr>
        <w:pStyle w:val="gtctabletitleotherwise"/>
        <w:keepNext/>
        <w:spacing w:before="0"/>
        <w:rPr>
          <w:bCs w:val="0"/>
          <w:sz w:val="22"/>
          <w:szCs w:val="22"/>
          <w:lang w:val="nb-NO"/>
        </w:rPr>
      </w:pPr>
      <w:r w:rsidRPr="007A3AEF">
        <w:rPr>
          <w:bCs w:val="0"/>
          <w:sz w:val="22"/>
          <w:szCs w:val="22"/>
          <w:lang w:val="nb-NO"/>
        </w:rPr>
        <w:t xml:space="preserve">Tabell </w:t>
      </w:r>
      <w:r w:rsidR="00A457B0" w:rsidRPr="007A3AEF">
        <w:rPr>
          <w:bCs w:val="0"/>
          <w:sz w:val="22"/>
          <w:szCs w:val="22"/>
          <w:lang w:val="nb-NO"/>
        </w:rPr>
        <w:t>1</w:t>
      </w:r>
      <w:r w:rsidR="00A457B0">
        <w:rPr>
          <w:bCs w:val="0"/>
          <w:sz w:val="22"/>
          <w:szCs w:val="22"/>
          <w:lang w:val="nb-NO"/>
        </w:rPr>
        <w:t>3</w:t>
      </w:r>
    </w:p>
    <w:p w14:paraId="71D7B01C" w14:textId="77777777" w:rsidR="00DD6B6D" w:rsidRPr="007A3AEF" w:rsidRDefault="00E453CD" w:rsidP="00DD6B6D">
      <w:pPr>
        <w:pStyle w:val="gtctabletitleotherwise"/>
        <w:keepNext/>
        <w:spacing w:before="0"/>
        <w:rPr>
          <w:sz w:val="22"/>
          <w:szCs w:val="22"/>
          <w:lang w:val="nb-NO"/>
        </w:rPr>
      </w:pPr>
      <w:r w:rsidRPr="007A3AEF">
        <w:rPr>
          <w:bCs w:val="0"/>
          <w:sz w:val="22"/>
          <w:szCs w:val="22"/>
          <w:lang w:val="nb-NO"/>
        </w:rPr>
        <w:t xml:space="preserve">Psoriasisstudie IV </w:t>
      </w:r>
      <w:r w:rsidR="00F33557">
        <w:rPr>
          <w:bCs w:val="0"/>
          <w:sz w:val="22"/>
          <w:szCs w:val="22"/>
          <w:lang w:val="nb-NO"/>
        </w:rPr>
        <w:t>Effektresultater</w:t>
      </w:r>
      <w:r w:rsidRPr="007A3AEF">
        <w:rPr>
          <w:bCs w:val="0"/>
          <w:sz w:val="22"/>
          <w:szCs w:val="22"/>
          <w:lang w:val="nb-NO"/>
        </w:rPr>
        <w:t xml:space="preserve"> ved 16, 26 og 52 </w:t>
      </w:r>
      <w:r>
        <w:rPr>
          <w:bCs w:val="0"/>
          <w:sz w:val="22"/>
          <w:szCs w:val="22"/>
          <w:lang w:val="nb-NO"/>
        </w:rPr>
        <w:t>uker</w:t>
      </w: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999"/>
        <w:gridCol w:w="1162"/>
        <w:gridCol w:w="918"/>
        <w:gridCol w:w="1162"/>
        <w:gridCol w:w="2073"/>
      </w:tblGrid>
      <w:tr w:rsidR="004644D4" w14:paraId="55F28E2E" w14:textId="77777777" w:rsidTr="00AF70AD">
        <w:tc>
          <w:tcPr>
            <w:tcW w:w="2718" w:type="dxa"/>
            <w:vMerge w:val="restart"/>
          </w:tcPr>
          <w:p w14:paraId="7A8C0A52" w14:textId="77777777" w:rsidR="00DD6B6D" w:rsidRPr="00901AFA" w:rsidRDefault="00E453CD" w:rsidP="008B396C">
            <w:pPr>
              <w:pStyle w:val="gtctablespaceafter"/>
              <w:spacing w:after="0"/>
              <w:rPr>
                <w:sz w:val="22"/>
                <w:szCs w:val="22"/>
              </w:rPr>
            </w:pPr>
            <w:r w:rsidRPr="00901AFA">
              <w:rPr>
                <w:sz w:val="22"/>
                <w:szCs w:val="22"/>
              </w:rPr>
              <w:t>End</w:t>
            </w:r>
            <w:r>
              <w:rPr>
                <w:sz w:val="22"/>
                <w:szCs w:val="22"/>
              </w:rPr>
              <w:t>e</w:t>
            </w:r>
            <w:r w:rsidRPr="00901AFA">
              <w:rPr>
                <w:sz w:val="22"/>
                <w:szCs w:val="22"/>
              </w:rPr>
              <w:t>p</w:t>
            </w:r>
            <w:r>
              <w:rPr>
                <w:sz w:val="22"/>
                <w:szCs w:val="22"/>
              </w:rPr>
              <w:t>unkt</w:t>
            </w:r>
          </w:p>
        </w:tc>
        <w:tc>
          <w:tcPr>
            <w:tcW w:w="2340" w:type="dxa"/>
            <w:gridSpan w:val="2"/>
          </w:tcPr>
          <w:p w14:paraId="6974D835" w14:textId="77777777" w:rsidR="00DD6B6D" w:rsidRPr="00901AFA" w:rsidRDefault="00E453CD" w:rsidP="008B396C">
            <w:pPr>
              <w:pStyle w:val="gtctablespaceafter"/>
              <w:spacing w:after="0"/>
              <w:jc w:val="center"/>
              <w:rPr>
                <w:sz w:val="22"/>
                <w:szCs w:val="22"/>
              </w:rPr>
            </w:pPr>
            <w:r>
              <w:rPr>
                <w:sz w:val="22"/>
                <w:szCs w:val="22"/>
              </w:rPr>
              <w:t>Uke</w:t>
            </w:r>
            <w:r w:rsidRPr="00901AFA">
              <w:rPr>
                <w:sz w:val="22"/>
                <w:szCs w:val="22"/>
              </w:rPr>
              <w:t xml:space="preserve"> 16</w:t>
            </w:r>
          </w:p>
          <w:p w14:paraId="4297632A" w14:textId="77777777" w:rsidR="00DD6B6D" w:rsidRPr="00901AFA" w:rsidRDefault="00E453CD" w:rsidP="008B396C">
            <w:pPr>
              <w:pStyle w:val="gtctablespaceafter"/>
              <w:spacing w:after="0"/>
              <w:jc w:val="center"/>
              <w:rPr>
                <w:sz w:val="22"/>
                <w:szCs w:val="22"/>
              </w:rPr>
            </w:pPr>
            <w:r w:rsidRPr="00901AFA">
              <w:rPr>
                <w:sz w:val="22"/>
                <w:szCs w:val="22"/>
              </w:rPr>
              <w:t>Placebo</w:t>
            </w:r>
            <w:r>
              <w:rPr>
                <w:sz w:val="22"/>
                <w:szCs w:val="22"/>
              </w:rPr>
              <w:t>kontrollert</w:t>
            </w:r>
          </w:p>
        </w:tc>
        <w:tc>
          <w:tcPr>
            <w:tcW w:w="2250" w:type="dxa"/>
            <w:gridSpan w:val="2"/>
          </w:tcPr>
          <w:p w14:paraId="44C40A0A" w14:textId="77777777" w:rsidR="00DD6B6D" w:rsidRPr="00901AFA" w:rsidRDefault="00E453CD" w:rsidP="008B396C">
            <w:pPr>
              <w:pStyle w:val="gtctablespaceafter"/>
              <w:spacing w:after="0"/>
              <w:jc w:val="center"/>
              <w:rPr>
                <w:sz w:val="22"/>
                <w:szCs w:val="22"/>
              </w:rPr>
            </w:pPr>
            <w:r>
              <w:rPr>
                <w:sz w:val="22"/>
                <w:szCs w:val="22"/>
              </w:rPr>
              <w:t>Uke</w:t>
            </w:r>
            <w:r w:rsidRPr="00901AFA">
              <w:rPr>
                <w:sz w:val="22"/>
                <w:szCs w:val="22"/>
              </w:rPr>
              <w:t xml:space="preserve"> 26</w:t>
            </w:r>
          </w:p>
          <w:p w14:paraId="2FC1FBEC" w14:textId="77777777" w:rsidR="00DD6B6D" w:rsidRPr="00901AFA" w:rsidRDefault="00E453CD" w:rsidP="008B396C">
            <w:pPr>
              <w:pStyle w:val="gtctablespaceafter"/>
              <w:spacing w:after="0"/>
              <w:jc w:val="center"/>
              <w:rPr>
                <w:sz w:val="22"/>
                <w:szCs w:val="22"/>
              </w:rPr>
            </w:pPr>
            <w:r w:rsidRPr="00901AFA">
              <w:rPr>
                <w:sz w:val="22"/>
                <w:szCs w:val="22"/>
              </w:rPr>
              <w:t>Placebo</w:t>
            </w:r>
            <w:r>
              <w:rPr>
                <w:sz w:val="22"/>
                <w:szCs w:val="22"/>
              </w:rPr>
              <w:t>kontrollert</w:t>
            </w:r>
          </w:p>
        </w:tc>
        <w:tc>
          <w:tcPr>
            <w:tcW w:w="2268" w:type="dxa"/>
          </w:tcPr>
          <w:p w14:paraId="3FEA61DA" w14:textId="77777777" w:rsidR="00DD6B6D" w:rsidRPr="00901AFA" w:rsidRDefault="00E453CD" w:rsidP="008B396C">
            <w:pPr>
              <w:pStyle w:val="gtctablespaceafter"/>
              <w:spacing w:after="0"/>
              <w:jc w:val="center"/>
              <w:rPr>
                <w:sz w:val="22"/>
                <w:szCs w:val="22"/>
              </w:rPr>
            </w:pPr>
            <w:r>
              <w:rPr>
                <w:sz w:val="22"/>
                <w:szCs w:val="22"/>
              </w:rPr>
              <w:t>Uke</w:t>
            </w:r>
            <w:r w:rsidRPr="00901AFA">
              <w:rPr>
                <w:sz w:val="22"/>
                <w:szCs w:val="22"/>
              </w:rPr>
              <w:t xml:space="preserve"> 52</w:t>
            </w:r>
          </w:p>
          <w:p w14:paraId="1DB8CF39" w14:textId="77777777" w:rsidR="00DD6B6D" w:rsidRPr="00901AFA" w:rsidRDefault="00E453CD" w:rsidP="008B396C">
            <w:pPr>
              <w:pStyle w:val="gtctablespaceafter"/>
              <w:spacing w:after="0"/>
              <w:jc w:val="center"/>
              <w:rPr>
                <w:sz w:val="22"/>
                <w:szCs w:val="22"/>
              </w:rPr>
            </w:pPr>
            <w:r>
              <w:rPr>
                <w:sz w:val="22"/>
                <w:szCs w:val="22"/>
              </w:rPr>
              <w:t>Åpen studie</w:t>
            </w:r>
          </w:p>
        </w:tc>
      </w:tr>
      <w:tr w:rsidR="004644D4" w14:paraId="46A6D0AA" w14:textId="77777777" w:rsidTr="00AF70AD">
        <w:tc>
          <w:tcPr>
            <w:tcW w:w="2718" w:type="dxa"/>
            <w:vMerge/>
          </w:tcPr>
          <w:p w14:paraId="554557B2" w14:textId="77777777" w:rsidR="00DD6B6D" w:rsidRPr="00901AFA" w:rsidRDefault="00DD6B6D" w:rsidP="008B396C">
            <w:pPr>
              <w:pStyle w:val="gtctablespaceafter"/>
              <w:spacing w:after="0"/>
              <w:rPr>
                <w:sz w:val="22"/>
                <w:szCs w:val="22"/>
              </w:rPr>
            </w:pPr>
          </w:p>
        </w:tc>
        <w:tc>
          <w:tcPr>
            <w:tcW w:w="1080" w:type="dxa"/>
          </w:tcPr>
          <w:p w14:paraId="60423176" w14:textId="77777777" w:rsidR="00DD6B6D" w:rsidRPr="00AF793E" w:rsidRDefault="00E453CD" w:rsidP="008B396C">
            <w:pPr>
              <w:pStyle w:val="gtctablespaceafter"/>
              <w:spacing w:after="0"/>
              <w:jc w:val="center"/>
              <w:rPr>
                <w:sz w:val="22"/>
                <w:szCs w:val="22"/>
              </w:rPr>
            </w:pPr>
            <w:r w:rsidRPr="00AF793E">
              <w:rPr>
                <w:sz w:val="22"/>
              </w:rPr>
              <w:t>Placebo</w:t>
            </w:r>
            <w:r w:rsidRPr="00AF793E">
              <w:rPr>
                <w:sz w:val="22"/>
              </w:rPr>
              <w:br/>
              <w:t>N=108</w:t>
            </w:r>
          </w:p>
        </w:tc>
        <w:tc>
          <w:tcPr>
            <w:tcW w:w="1260" w:type="dxa"/>
          </w:tcPr>
          <w:p w14:paraId="667067FD" w14:textId="77777777" w:rsidR="00DD6B6D" w:rsidRPr="007A3AEF" w:rsidRDefault="00E453CD" w:rsidP="008B396C">
            <w:pPr>
              <w:pStyle w:val="In-texttable"/>
              <w:keepNext w:val="0"/>
              <w:spacing w:line="240" w:lineRule="auto"/>
              <w:jc w:val="center"/>
              <w:rPr>
                <w:rFonts w:ascii="Times New Roman" w:hAnsi="Times New Roman"/>
                <w:sz w:val="22"/>
                <w:lang w:val="nb-NO"/>
              </w:rPr>
            </w:pPr>
            <w:r w:rsidRPr="007A3AEF">
              <w:rPr>
                <w:rFonts w:ascii="Times New Roman" w:hAnsi="Times New Roman"/>
                <w:sz w:val="22"/>
                <w:lang w:val="nb-NO"/>
              </w:rPr>
              <w:t>Humira</w:t>
            </w:r>
          </w:p>
          <w:p w14:paraId="015232E0" w14:textId="77777777" w:rsidR="00DD6B6D" w:rsidRPr="007A3AEF" w:rsidRDefault="00E453CD" w:rsidP="008B396C">
            <w:pPr>
              <w:pStyle w:val="gtctablespaceafter"/>
              <w:spacing w:after="0"/>
              <w:jc w:val="center"/>
              <w:rPr>
                <w:sz w:val="22"/>
                <w:szCs w:val="22"/>
                <w:lang w:val="nb-NO"/>
              </w:rPr>
            </w:pPr>
            <w:r w:rsidRPr="007A3AEF">
              <w:rPr>
                <w:sz w:val="22"/>
                <w:lang w:val="nb-NO"/>
              </w:rPr>
              <w:t xml:space="preserve">40 mg annenhver uke </w:t>
            </w:r>
            <w:r w:rsidRPr="007A3AEF">
              <w:rPr>
                <w:sz w:val="22"/>
                <w:lang w:val="nb-NO"/>
              </w:rPr>
              <w:br/>
              <w:t>N=109</w:t>
            </w:r>
          </w:p>
        </w:tc>
        <w:tc>
          <w:tcPr>
            <w:tcW w:w="990" w:type="dxa"/>
          </w:tcPr>
          <w:p w14:paraId="4976664F" w14:textId="77777777" w:rsidR="00DD6B6D" w:rsidRPr="00AF793E" w:rsidRDefault="00E453CD" w:rsidP="008B396C">
            <w:pPr>
              <w:pStyle w:val="gtctablespaceafter"/>
              <w:spacing w:after="0"/>
              <w:jc w:val="center"/>
              <w:rPr>
                <w:sz w:val="22"/>
                <w:szCs w:val="22"/>
              </w:rPr>
            </w:pPr>
            <w:r w:rsidRPr="00AF793E">
              <w:rPr>
                <w:sz w:val="22"/>
              </w:rPr>
              <w:t>Placebo</w:t>
            </w:r>
            <w:r w:rsidRPr="00AF793E">
              <w:rPr>
                <w:sz w:val="22"/>
              </w:rPr>
              <w:br/>
              <w:t>N=108</w:t>
            </w:r>
          </w:p>
        </w:tc>
        <w:tc>
          <w:tcPr>
            <w:tcW w:w="1260" w:type="dxa"/>
          </w:tcPr>
          <w:p w14:paraId="5E3FC19C" w14:textId="77777777" w:rsidR="00DD6B6D" w:rsidRPr="007A3AEF" w:rsidRDefault="00E453CD" w:rsidP="008B396C">
            <w:pPr>
              <w:pStyle w:val="In-texttable"/>
              <w:keepNext w:val="0"/>
              <w:spacing w:line="240" w:lineRule="auto"/>
              <w:jc w:val="center"/>
              <w:rPr>
                <w:rFonts w:ascii="Times New Roman" w:hAnsi="Times New Roman"/>
                <w:sz w:val="22"/>
                <w:lang w:val="nb-NO"/>
              </w:rPr>
            </w:pPr>
            <w:r w:rsidRPr="007A3AEF">
              <w:rPr>
                <w:rFonts w:ascii="Times New Roman" w:hAnsi="Times New Roman"/>
                <w:sz w:val="22"/>
                <w:lang w:val="nb-NO"/>
              </w:rPr>
              <w:t>Humira</w:t>
            </w:r>
          </w:p>
          <w:p w14:paraId="4EF36BF7" w14:textId="77777777" w:rsidR="00DD6B6D" w:rsidRPr="007A3AEF" w:rsidRDefault="00E453CD" w:rsidP="008B396C">
            <w:pPr>
              <w:pStyle w:val="gtctablespaceafter"/>
              <w:spacing w:after="0"/>
              <w:jc w:val="center"/>
              <w:rPr>
                <w:sz w:val="22"/>
                <w:szCs w:val="22"/>
                <w:lang w:val="nb-NO"/>
              </w:rPr>
            </w:pPr>
            <w:r w:rsidRPr="007A3AEF">
              <w:rPr>
                <w:sz w:val="22"/>
                <w:lang w:val="nb-NO"/>
              </w:rPr>
              <w:t xml:space="preserve">40 mg annenhver uke </w:t>
            </w:r>
            <w:r w:rsidRPr="007A3AEF">
              <w:rPr>
                <w:sz w:val="22"/>
                <w:lang w:val="nb-NO"/>
              </w:rPr>
              <w:br/>
              <w:t>N=109</w:t>
            </w:r>
          </w:p>
        </w:tc>
        <w:tc>
          <w:tcPr>
            <w:tcW w:w="2268" w:type="dxa"/>
          </w:tcPr>
          <w:p w14:paraId="6B81CAF4" w14:textId="77777777" w:rsidR="00DD6B6D" w:rsidRPr="007A3AEF" w:rsidRDefault="00E453CD" w:rsidP="008B396C">
            <w:pPr>
              <w:pStyle w:val="In-texttable"/>
              <w:keepNext w:val="0"/>
              <w:spacing w:line="240" w:lineRule="auto"/>
              <w:jc w:val="center"/>
              <w:rPr>
                <w:rFonts w:ascii="Times New Roman" w:hAnsi="Times New Roman"/>
                <w:sz w:val="22"/>
                <w:lang w:val="nb-NO"/>
              </w:rPr>
            </w:pPr>
            <w:r w:rsidRPr="007A3AEF">
              <w:rPr>
                <w:rFonts w:ascii="Times New Roman" w:hAnsi="Times New Roman"/>
                <w:sz w:val="22"/>
                <w:lang w:val="nb-NO"/>
              </w:rPr>
              <w:t>Humira</w:t>
            </w:r>
          </w:p>
          <w:p w14:paraId="6D53E5E1" w14:textId="77777777" w:rsidR="00DD6B6D" w:rsidRPr="007A3AEF" w:rsidRDefault="00E453CD" w:rsidP="008B396C">
            <w:pPr>
              <w:pStyle w:val="gtctablespaceafter"/>
              <w:spacing w:after="0"/>
              <w:jc w:val="center"/>
              <w:rPr>
                <w:sz w:val="22"/>
                <w:szCs w:val="22"/>
                <w:lang w:val="nb-NO"/>
              </w:rPr>
            </w:pPr>
            <w:r w:rsidRPr="007A3AEF">
              <w:rPr>
                <w:sz w:val="22"/>
                <w:lang w:val="nb-NO"/>
              </w:rPr>
              <w:t xml:space="preserve">40 mg annenhver uke </w:t>
            </w:r>
            <w:r w:rsidRPr="007A3AEF">
              <w:rPr>
                <w:sz w:val="22"/>
                <w:lang w:val="nb-NO"/>
              </w:rPr>
              <w:br/>
              <w:t>N=80</w:t>
            </w:r>
          </w:p>
        </w:tc>
      </w:tr>
      <w:tr w:rsidR="004644D4" w14:paraId="378DDD73" w14:textId="77777777" w:rsidTr="00AF70AD">
        <w:tc>
          <w:tcPr>
            <w:tcW w:w="2718" w:type="dxa"/>
          </w:tcPr>
          <w:p w14:paraId="089FE134" w14:textId="77777777" w:rsidR="00DD6B6D" w:rsidRPr="00AF793E" w:rsidRDefault="00E453CD" w:rsidP="008B396C">
            <w:pPr>
              <w:pStyle w:val="gtctablespaceafter"/>
              <w:spacing w:after="0"/>
              <w:rPr>
                <w:sz w:val="22"/>
                <w:szCs w:val="22"/>
              </w:rPr>
            </w:pPr>
            <w:r w:rsidRPr="00AF793E">
              <w:rPr>
                <w:sz w:val="22"/>
              </w:rPr>
              <w:t>≥ mNAPSI 75 (%)</w:t>
            </w:r>
          </w:p>
        </w:tc>
        <w:tc>
          <w:tcPr>
            <w:tcW w:w="1080" w:type="dxa"/>
          </w:tcPr>
          <w:p w14:paraId="788F3A64" w14:textId="77777777" w:rsidR="00DD6B6D" w:rsidRPr="00AF793E" w:rsidRDefault="00E453CD" w:rsidP="008B396C">
            <w:pPr>
              <w:pStyle w:val="gtctablespaceafter"/>
              <w:spacing w:after="0"/>
              <w:jc w:val="center"/>
              <w:rPr>
                <w:sz w:val="22"/>
                <w:szCs w:val="22"/>
              </w:rPr>
            </w:pPr>
            <w:r w:rsidRPr="00AF793E">
              <w:rPr>
                <w:sz w:val="22"/>
                <w:szCs w:val="22"/>
              </w:rPr>
              <w:t>2</w:t>
            </w:r>
            <w:r>
              <w:rPr>
                <w:sz w:val="22"/>
                <w:szCs w:val="22"/>
              </w:rPr>
              <w:t>,</w:t>
            </w:r>
            <w:r w:rsidRPr="00AF793E">
              <w:rPr>
                <w:sz w:val="22"/>
                <w:szCs w:val="22"/>
              </w:rPr>
              <w:t>9</w:t>
            </w:r>
          </w:p>
        </w:tc>
        <w:tc>
          <w:tcPr>
            <w:tcW w:w="1260" w:type="dxa"/>
          </w:tcPr>
          <w:p w14:paraId="29BFF881" w14:textId="77777777" w:rsidR="00DD6B6D" w:rsidRPr="00AF793E" w:rsidRDefault="00E453CD" w:rsidP="008B396C">
            <w:pPr>
              <w:pStyle w:val="gtctablespaceafter"/>
              <w:spacing w:after="0"/>
              <w:jc w:val="center"/>
              <w:rPr>
                <w:sz w:val="22"/>
                <w:szCs w:val="22"/>
              </w:rPr>
            </w:pPr>
            <w:r w:rsidRPr="00AF793E">
              <w:rPr>
                <w:sz w:val="22"/>
                <w:szCs w:val="22"/>
              </w:rPr>
              <w:t>26</w:t>
            </w:r>
            <w:r>
              <w:rPr>
                <w:sz w:val="22"/>
                <w:szCs w:val="22"/>
              </w:rPr>
              <w:t>,</w:t>
            </w:r>
            <w:r w:rsidRPr="00AF793E">
              <w:rPr>
                <w:sz w:val="22"/>
                <w:szCs w:val="22"/>
              </w:rPr>
              <w:t>0</w:t>
            </w:r>
            <w:r w:rsidRPr="00AF793E">
              <w:rPr>
                <w:sz w:val="22"/>
                <w:szCs w:val="22"/>
                <w:vertAlign w:val="superscript"/>
              </w:rPr>
              <w:t>a</w:t>
            </w:r>
          </w:p>
        </w:tc>
        <w:tc>
          <w:tcPr>
            <w:tcW w:w="990" w:type="dxa"/>
          </w:tcPr>
          <w:p w14:paraId="44AD2F2D" w14:textId="77777777" w:rsidR="00DD6B6D" w:rsidRPr="00AF793E" w:rsidRDefault="00E453CD" w:rsidP="008B396C">
            <w:pPr>
              <w:keepNext/>
              <w:jc w:val="center"/>
              <w:rPr>
                <w:szCs w:val="22"/>
              </w:rPr>
            </w:pPr>
            <w:r w:rsidRPr="00AF793E">
              <w:rPr>
                <w:szCs w:val="22"/>
              </w:rPr>
              <w:t>3</w:t>
            </w:r>
            <w:r>
              <w:rPr>
                <w:szCs w:val="22"/>
              </w:rPr>
              <w:t>,</w:t>
            </w:r>
            <w:r w:rsidRPr="00AF793E">
              <w:rPr>
                <w:szCs w:val="22"/>
              </w:rPr>
              <w:t>4</w:t>
            </w:r>
          </w:p>
        </w:tc>
        <w:tc>
          <w:tcPr>
            <w:tcW w:w="1260" w:type="dxa"/>
          </w:tcPr>
          <w:p w14:paraId="42F7A1AC" w14:textId="77777777" w:rsidR="00DD6B6D" w:rsidRPr="00AF793E" w:rsidRDefault="00E453CD" w:rsidP="008B396C">
            <w:pPr>
              <w:keepNext/>
              <w:jc w:val="center"/>
              <w:rPr>
                <w:szCs w:val="22"/>
              </w:rPr>
            </w:pPr>
            <w:r w:rsidRPr="00AF793E">
              <w:rPr>
                <w:szCs w:val="22"/>
              </w:rPr>
              <w:t>46</w:t>
            </w:r>
            <w:r>
              <w:rPr>
                <w:szCs w:val="22"/>
              </w:rPr>
              <w:t>,</w:t>
            </w:r>
            <w:r w:rsidRPr="00AF793E">
              <w:rPr>
                <w:szCs w:val="22"/>
              </w:rPr>
              <w:t>6</w:t>
            </w:r>
            <w:r w:rsidRPr="00AF793E">
              <w:rPr>
                <w:szCs w:val="22"/>
                <w:vertAlign w:val="superscript"/>
              </w:rPr>
              <w:t>a</w:t>
            </w:r>
          </w:p>
        </w:tc>
        <w:tc>
          <w:tcPr>
            <w:tcW w:w="2268" w:type="dxa"/>
          </w:tcPr>
          <w:p w14:paraId="31021289" w14:textId="77777777" w:rsidR="00DD6B6D" w:rsidRPr="00AF793E" w:rsidRDefault="00E453CD" w:rsidP="008B396C">
            <w:pPr>
              <w:pStyle w:val="gtctablespaceafter"/>
              <w:spacing w:after="0"/>
              <w:jc w:val="center"/>
              <w:rPr>
                <w:sz w:val="22"/>
                <w:szCs w:val="22"/>
              </w:rPr>
            </w:pPr>
            <w:r w:rsidRPr="00AF793E">
              <w:rPr>
                <w:sz w:val="22"/>
                <w:szCs w:val="22"/>
              </w:rPr>
              <w:t>65</w:t>
            </w:r>
            <w:r>
              <w:rPr>
                <w:sz w:val="22"/>
                <w:szCs w:val="22"/>
              </w:rPr>
              <w:t>,</w:t>
            </w:r>
            <w:r w:rsidRPr="00AF793E">
              <w:rPr>
                <w:sz w:val="22"/>
                <w:szCs w:val="22"/>
              </w:rPr>
              <w:t>0</w:t>
            </w:r>
          </w:p>
        </w:tc>
      </w:tr>
      <w:tr w:rsidR="004644D4" w14:paraId="13B6FABD" w14:textId="77777777" w:rsidTr="00AF70AD">
        <w:tc>
          <w:tcPr>
            <w:tcW w:w="2718" w:type="dxa"/>
          </w:tcPr>
          <w:p w14:paraId="587549C9" w14:textId="77777777" w:rsidR="00DD6B6D" w:rsidRPr="007A3AEF" w:rsidRDefault="00E453CD" w:rsidP="008B396C">
            <w:pPr>
              <w:pStyle w:val="gtctablespaceafter"/>
              <w:spacing w:after="0"/>
              <w:rPr>
                <w:sz w:val="22"/>
                <w:szCs w:val="22"/>
                <w:lang w:val="nb-NO"/>
              </w:rPr>
            </w:pPr>
            <w:r w:rsidRPr="007A3AEF">
              <w:rPr>
                <w:sz w:val="22"/>
                <w:szCs w:val="22"/>
                <w:lang w:val="nb-NO"/>
              </w:rPr>
              <w:t>PGA-F klar/minimal og  ≥</w:t>
            </w:r>
            <w:r>
              <w:rPr>
                <w:sz w:val="22"/>
                <w:szCs w:val="22"/>
                <w:lang w:val="nb-NO"/>
              </w:rPr>
              <w:t xml:space="preserve"> </w:t>
            </w:r>
            <w:r w:rsidRPr="007A3AEF">
              <w:rPr>
                <w:sz w:val="22"/>
                <w:szCs w:val="22"/>
                <w:lang w:val="nb-NO"/>
              </w:rPr>
              <w:t>2-grad forbedring (%)</w:t>
            </w:r>
          </w:p>
        </w:tc>
        <w:tc>
          <w:tcPr>
            <w:tcW w:w="1080" w:type="dxa"/>
          </w:tcPr>
          <w:p w14:paraId="269C8906" w14:textId="77777777" w:rsidR="00DD6B6D" w:rsidRPr="00AF793E" w:rsidRDefault="00E453CD" w:rsidP="008B396C">
            <w:pPr>
              <w:pStyle w:val="gtctablespaceafter"/>
              <w:spacing w:after="0"/>
              <w:jc w:val="center"/>
              <w:rPr>
                <w:sz w:val="22"/>
                <w:szCs w:val="22"/>
              </w:rPr>
            </w:pPr>
            <w:r w:rsidRPr="00AF793E">
              <w:rPr>
                <w:sz w:val="22"/>
                <w:szCs w:val="22"/>
              </w:rPr>
              <w:t>2</w:t>
            </w:r>
            <w:r>
              <w:rPr>
                <w:sz w:val="22"/>
                <w:szCs w:val="22"/>
              </w:rPr>
              <w:t>,</w:t>
            </w:r>
            <w:r w:rsidRPr="00AF793E">
              <w:rPr>
                <w:sz w:val="22"/>
                <w:szCs w:val="22"/>
              </w:rPr>
              <w:t>9</w:t>
            </w:r>
          </w:p>
        </w:tc>
        <w:tc>
          <w:tcPr>
            <w:tcW w:w="1260" w:type="dxa"/>
          </w:tcPr>
          <w:p w14:paraId="5E417F53" w14:textId="77777777" w:rsidR="00DD6B6D" w:rsidRPr="00AF793E" w:rsidRDefault="00E453CD" w:rsidP="008B396C">
            <w:pPr>
              <w:pStyle w:val="gtctablespaceafter"/>
              <w:spacing w:after="0"/>
              <w:jc w:val="center"/>
              <w:rPr>
                <w:sz w:val="22"/>
                <w:szCs w:val="22"/>
              </w:rPr>
            </w:pPr>
            <w:r w:rsidRPr="00AF793E">
              <w:rPr>
                <w:sz w:val="22"/>
                <w:szCs w:val="22"/>
              </w:rPr>
              <w:t>29</w:t>
            </w:r>
            <w:r>
              <w:rPr>
                <w:sz w:val="22"/>
                <w:szCs w:val="22"/>
              </w:rPr>
              <w:t>,</w:t>
            </w:r>
            <w:r w:rsidRPr="00AF793E">
              <w:rPr>
                <w:sz w:val="22"/>
                <w:szCs w:val="22"/>
              </w:rPr>
              <w:t>7</w:t>
            </w:r>
            <w:r w:rsidRPr="00AF793E">
              <w:rPr>
                <w:sz w:val="22"/>
                <w:szCs w:val="22"/>
                <w:vertAlign w:val="superscript"/>
              </w:rPr>
              <w:t>a</w:t>
            </w:r>
          </w:p>
        </w:tc>
        <w:tc>
          <w:tcPr>
            <w:tcW w:w="990" w:type="dxa"/>
          </w:tcPr>
          <w:p w14:paraId="11BE6C52" w14:textId="77777777" w:rsidR="00DD6B6D" w:rsidRPr="00AF793E" w:rsidRDefault="00E453CD" w:rsidP="008B396C">
            <w:pPr>
              <w:keepNext/>
              <w:jc w:val="center"/>
              <w:rPr>
                <w:szCs w:val="22"/>
              </w:rPr>
            </w:pPr>
            <w:r w:rsidRPr="00AF793E">
              <w:rPr>
                <w:szCs w:val="22"/>
              </w:rPr>
              <w:t>6</w:t>
            </w:r>
            <w:r>
              <w:rPr>
                <w:szCs w:val="22"/>
              </w:rPr>
              <w:t>,</w:t>
            </w:r>
            <w:r w:rsidRPr="00AF793E">
              <w:rPr>
                <w:szCs w:val="22"/>
              </w:rPr>
              <w:t>9</w:t>
            </w:r>
          </w:p>
        </w:tc>
        <w:tc>
          <w:tcPr>
            <w:tcW w:w="1260" w:type="dxa"/>
          </w:tcPr>
          <w:p w14:paraId="514E3F1C" w14:textId="77777777" w:rsidR="00DD6B6D" w:rsidRPr="00AF793E" w:rsidRDefault="00E453CD" w:rsidP="008B396C">
            <w:pPr>
              <w:keepNext/>
              <w:jc w:val="center"/>
              <w:rPr>
                <w:szCs w:val="22"/>
              </w:rPr>
            </w:pPr>
            <w:r w:rsidRPr="00AF793E">
              <w:rPr>
                <w:szCs w:val="22"/>
              </w:rPr>
              <w:t>48</w:t>
            </w:r>
            <w:r>
              <w:rPr>
                <w:szCs w:val="22"/>
              </w:rPr>
              <w:t>,</w:t>
            </w:r>
            <w:r w:rsidRPr="00AF793E">
              <w:rPr>
                <w:szCs w:val="22"/>
              </w:rPr>
              <w:t>9</w:t>
            </w:r>
            <w:r w:rsidRPr="00AF793E">
              <w:rPr>
                <w:szCs w:val="22"/>
                <w:vertAlign w:val="superscript"/>
              </w:rPr>
              <w:t>a</w:t>
            </w:r>
          </w:p>
        </w:tc>
        <w:tc>
          <w:tcPr>
            <w:tcW w:w="2268" w:type="dxa"/>
          </w:tcPr>
          <w:p w14:paraId="41D7ED4A" w14:textId="77777777" w:rsidR="00DD6B6D" w:rsidRPr="00AF793E" w:rsidRDefault="00E453CD" w:rsidP="008B396C">
            <w:pPr>
              <w:pStyle w:val="gtctablespaceafter"/>
              <w:spacing w:after="0"/>
              <w:jc w:val="center"/>
              <w:rPr>
                <w:sz w:val="22"/>
                <w:szCs w:val="22"/>
              </w:rPr>
            </w:pPr>
            <w:r w:rsidRPr="00AF793E">
              <w:rPr>
                <w:sz w:val="22"/>
                <w:szCs w:val="22"/>
              </w:rPr>
              <w:t>61</w:t>
            </w:r>
            <w:r>
              <w:rPr>
                <w:sz w:val="22"/>
                <w:szCs w:val="22"/>
              </w:rPr>
              <w:t>,</w:t>
            </w:r>
            <w:r w:rsidRPr="00AF793E">
              <w:rPr>
                <w:sz w:val="22"/>
                <w:szCs w:val="22"/>
              </w:rPr>
              <w:t>3</w:t>
            </w:r>
          </w:p>
        </w:tc>
      </w:tr>
      <w:tr w:rsidR="004644D4" w14:paraId="53D5CF7B" w14:textId="77777777" w:rsidTr="00AF70AD">
        <w:tc>
          <w:tcPr>
            <w:tcW w:w="2718" w:type="dxa"/>
          </w:tcPr>
          <w:p w14:paraId="6DBDE9BE" w14:textId="77777777" w:rsidR="00DD6B6D" w:rsidRPr="007A3AEF" w:rsidRDefault="00E453CD" w:rsidP="008B396C">
            <w:pPr>
              <w:pStyle w:val="gtctablespaceafter"/>
              <w:spacing w:after="0"/>
              <w:rPr>
                <w:sz w:val="22"/>
                <w:szCs w:val="22"/>
                <w:lang w:val="nb-NO"/>
              </w:rPr>
            </w:pPr>
            <w:r w:rsidRPr="007A3AEF">
              <w:rPr>
                <w:sz w:val="22"/>
                <w:szCs w:val="22"/>
                <w:lang w:val="nb-NO"/>
              </w:rPr>
              <w:t>Prosentvis endring i total fingernegl NAPSI (%)</w:t>
            </w:r>
          </w:p>
        </w:tc>
        <w:tc>
          <w:tcPr>
            <w:tcW w:w="1080" w:type="dxa"/>
          </w:tcPr>
          <w:p w14:paraId="29BD09FF" w14:textId="77777777" w:rsidR="00DD6B6D" w:rsidRPr="00AF793E" w:rsidRDefault="00E453CD" w:rsidP="008B396C">
            <w:pPr>
              <w:pStyle w:val="gtctablespaceafter"/>
              <w:spacing w:after="0"/>
              <w:jc w:val="center"/>
              <w:rPr>
                <w:sz w:val="22"/>
                <w:szCs w:val="22"/>
              </w:rPr>
            </w:pPr>
            <w:r w:rsidRPr="00AF793E">
              <w:rPr>
                <w:sz w:val="22"/>
                <w:szCs w:val="22"/>
              </w:rPr>
              <w:t>-7</w:t>
            </w:r>
            <w:r>
              <w:rPr>
                <w:sz w:val="22"/>
                <w:szCs w:val="22"/>
              </w:rPr>
              <w:t>,</w:t>
            </w:r>
            <w:r w:rsidRPr="00AF793E">
              <w:rPr>
                <w:sz w:val="22"/>
                <w:szCs w:val="22"/>
              </w:rPr>
              <w:t>8</w:t>
            </w:r>
          </w:p>
        </w:tc>
        <w:tc>
          <w:tcPr>
            <w:tcW w:w="1260" w:type="dxa"/>
          </w:tcPr>
          <w:p w14:paraId="54354BBC" w14:textId="77777777" w:rsidR="00DD6B6D" w:rsidRPr="00AF793E" w:rsidRDefault="00E453CD" w:rsidP="008B396C">
            <w:pPr>
              <w:pStyle w:val="gtctablespaceafter"/>
              <w:spacing w:after="0"/>
              <w:jc w:val="center"/>
              <w:rPr>
                <w:sz w:val="22"/>
                <w:szCs w:val="22"/>
              </w:rPr>
            </w:pPr>
            <w:r w:rsidRPr="00AF793E">
              <w:rPr>
                <w:sz w:val="22"/>
                <w:szCs w:val="22"/>
              </w:rPr>
              <w:t>-44</w:t>
            </w:r>
            <w:r>
              <w:rPr>
                <w:sz w:val="22"/>
                <w:szCs w:val="22"/>
              </w:rPr>
              <w:t>,</w:t>
            </w:r>
            <w:r w:rsidRPr="00AF793E">
              <w:rPr>
                <w:sz w:val="22"/>
                <w:szCs w:val="22"/>
              </w:rPr>
              <w:t>2</w:t>
            </w:r>
            <w:r w:rsidRPr="00AF793E">
              <w:rPr>
                <w:sz w:val="22"/>
                <w:szCs w:val="22"/>
                <w:vertAlign w:val="superscript"/>
              </w:rPr>
              <w:t xml:space="preserve"> a</w:t>
            </w:r>
          </w:p>
        </w:tc>
        <w:tc>
          <w:tcPr>
            <w:tcW w:w="990" w:type="dxa"/>
          </w:tcPr>
          <w:p w14:paraId="1BA74BCF" w14:textId="77777777" w:rsidR="00DD6B6D" w:rsidRPr="00AF793E" w:rsidRDefault="00E453CD" w:rsidP="008B396C">
            <w:pPr>
              <w:keepNext/>
              <w:jc w:val="center"/>
              <w:rPr>
                <w:szCs w:val="22"/>
              </w:rPr>
            </w:pPr>
            <w:r w:rsidRPr="00AF793E">
              <w:rPr>
                <w:szCs w:val="22"/>
              </w:rPr>
              <w:t>-11</w:t>
            </w:r>
            <w:r>
              <w:rPr>
                <w:szCs w:val="22"/>
              </w:rPr>
              <w:t>,</w:t>
            </w:r>
            <w:r w:rsidRPr="00AF793E">
              <w:rPr>
                <w:szCs w:val="22"/>
              </w:rPr>
              <w:t>5</w:t>
            </w:r>
          </w:p>
        </w:tc>
        <w:tc>
          <w:tcPr>
            <w:tcW w:w="1260" w:type="dxa"/>
          </w:tcPr>
          <w:p w14:paraId="7C13F5E0" w14:textId="77777777" w:rsidR="00DD6B6D" w:rsidRPr="00AF793E" w:rsidRDefault="00E453CD" w:rsidP="008B396C">
            <w:pPr>
              <w:keepNext/>
              <w:jc w:val="center"/>
              <w:rPr>
                <w:szCs w:val="22"/>
              </w:rPr>
            </w:pPr>
            <w:r w:rsidRPr="00AF793E">
              <w:rPr>
                <w:szCs w:val="22"/>
              </w:rPr>
              <w:t>-56</w:t>
            </w:r>
            <w:r>
              <w:rPr>
                <w:szCs w:val="22"/>
              </w:rPr>
              <w:t>,</w:t>
            </w:r>
            <w:r w:rsidRPr="00AF793E">
              <w:rPr>
                <w:szCs w:val="22"/>
              </w:rPr>
              <w:t>2</w:t>
            </w:r>
            <w:r w:rsidRPr="00AF793E">
              <w:rPr>
                <w:szCs w:val="22"/>
                <w:vertAlign w:val="superscript"/>
              </w:rPr>
              <w:t>a</w:t>
            </w:r>
          </w:p>
        </w:tc>
        <w:tc>
          <w:tcPr>
            <w:tcW w:w="2268" w:type="dxa"/>
          </w:tcPr>
          <w:p w14:paraId="24CC7CA0" w14:textId="77777777" w:rsidR="00DD6B6D" w:rsidRPr="00AF793E" w:rsidRDefault="00E453CD" w:rsidP="008B396C">
            <w:pPr>
              <w:pStyle w:val="gtctablespaceafter"/>
              <w:spacing w:after="0"/>
              <w:jc w:val="center"/>
              <w:rPr>
                <w:sz w:val="22"/>
                <w:szCs w:val="22"/>
              </w:rPr>
            </w:pPr>
            <w:r w:rsidRPr="00AF793E">
              <w:rPr>
                <w:sz w:val="22"/>
                <w:szCs w:val="22"/>
              </w:rPr>
              <w:t>-72</w:t>
            </w:r>
            <w:r>
              <w:rPr>
                <w:sz w:val="22"/>
                <w:szCs w:val="22"/>
              </w:rPr>
              <w:t>,</w:t>
            </w:r>
            <w:r w:rsidRPr="00AF793E">
              <w:rPr>
                <w:sz w:val="22"/>
                <w:szCs w:val="22"/>
              </w:rPr>
              <w:t>2</w:t>
            </w:r>
          </w:p>
        </w:tc>
      </w:tr>
      <w:tr w:rsidR="004644D4" w:rsidRPr="009C2AB2" w14:paraId="36E0C0DD" w14:textId="77777777" w:rsidTr="00AF70AD">
        <w:tc>
          <w:tcPr>
            <w:tcW w:w="9576" w:type="dxa"/>
            <w:gridSpan w:val="6"/>
          </w:tcPr>
          <w:p w14:paraId="4C8574DB" w14:textId="77777777" w:rsidR="00DD6B6D" w:rsidRPr="00E04B2A" w:rsidRDefault="00E453CD" w:rsidP="008B396C">
            <w:pPr>
              <w:pStyle w:val="gtctablespaceafter"/>
              <w:spacing w:after="0"/>
              <w:rPr>
                <w:sz w:val="22"/>
                <w:szCs w:val="22"/>
                <w:lang w:val="pt-PT"/>
              </w:rPr>
            </w:pPr>
            <w:r w:rsidRPr="00E04B2A">
              <w:rPr>
                <w:sz w:val="22"/>
                <w:szCs w:val="22"/>
                <w:vertAlign w:val="superscript"/>
                <w:lang w:val="pt-PT"/>
              </w:rPr>
              <w:t>a</w:t>
            </w:r>
            <w:r w:rsidRPr="00E04B2A">
              <w:rPr>
                <w:sz w:val="22"/>
                <w:szCs w:val="22"/>
                <w:lang w:val="pt-PT"/>
              </w:rPr>
              <w:t xml:space="preserve"> p &lt; 0,001, Humira </w:t>
            </w:r>
            <w:r w:rsidRPr="00E04B2A">
              <w:rPr>
                <w:i/>
                <w:sz w:val="22"/>
                <w:szCs w:val="22"/>
                <w:lang w:val="pt-PT"/>
              </w:rPr>
              <w:t>vs.</w:t>
            </w:r>
            <w:r w:rsidRPr="00E04B2A">
              <w:rPr>
                <w:sz w:val="22"/>
                <w:szCs w:val="22"/>
                <w:lang w:val="pt-PT"/>
              </w:rPr>
              <w:t xml:space="preserve"> placebo </w:t>
            </w:r>
          </w:p>
        </w:tc>
      </w:tr>
    </w:tbl>
    <w:p w14:paraId="6753A6D0" w14:textId="77777777" w:rsidR="00DD6B6D" w:rsidRPr="00E04B2A" w:rsidRDefault="00DD6B6D" w:rsidP="00DD6B6D">
      <w:pPr>
        <w:rPr>
          <w:sz w:val="22"/>
          <w:szCs w:val="22"/>
          <w:lang w:val="pt-PT"/>
        </w:rPr>
      </w:pPr>
    </w:p>
    <w:p w14:paraId="0F33732D" w14:textId="77777777" w:rsidR="00550360" w:rsidRDefault="00E453CD" w:rsidP="00550360">
      <w:pPr>
        <w:rPr>
          <w:sz w:val="22"/>
          <w:szCs w:val="22"/>
        </w:rPr>
      </w:pPr>
      <w:r w:rsidRPr="007A3AEF">
        <w:rPr>
          <w:sz w:val="22"/>
          <w:szCs w:val="22"/>
        </w:rPr>
        <w:t>Pasienter behandlet med Humira viste ved uke</w:t>
      </w:r>
      <w:r w:rsidR="00436CE2">
        <w:rPr>
          <w:sz w:val="22"/>
          <w:szCs w:val="22"/>
        </w:rPr>
        <w:t> </w:t>
      </w:r>
      <w:r w:rsidRPr="007A3AEF">
        <w:rPr>
          <w:sz w:val="22"/>
          <w:szCs w:val="22"/>
        </w:rPr>
        <w:t>26</w:t>
      </w:r>
      <w:r w:rsidRPr="00AF793E">
        <w:rPr>
          <w:sz w:val="22"/>
          <w:szCs w:val="22"/>
        </w:rPr>
        <w:t xml:space="preserve"> </w:t>
      </w:r>
      <w:r w:rsidRPr="007A3AEF">
        <w:rPr>
          <w:sz w:val="22"/>
          <w:szCs w:val="22"/>
        </w:rPr>
        <w:t>statistisk signifikant</w:t>
      </w:r>
      <w:r w:rsidRPr="00AF793E">
        <w:rPr>
          <w:sz w:val="22"/>
          <w:szCs w:val="22"/>
        </w:rPr>
        <w:t xml:space="preserve">e forbedringer sammenlignet med pasienter behandlet med placebo </w:t>
      </w:r>
      <w:r w:rsidRPr="00AD50BB">
        <w:rPr>
          <w:sz w:val="22"/>
          <w:szCs w:val="22"/>
        </w:rPr>
        <w:t>i DLQI.</w:t>
      </w:r>
    </w:p>
    <w:p w14:paraId="43D63141" w14:textId="77777777" w:rsidR="007048D1" w:rsidRDefault="007048D1">
      <w:pPr>
        <w:rPr>
          <w:sz w:val="22"/>
        </w:rPr>
      </w:pPr>
    </w:p>
    <w:p w14:paraId="0B2C7564" w14:textId="77777777" w:rsidR="007048D1" w:rsidRPr="00193D76" w:rsidRDefault="00E453CD" w:rsidP="00776A84">
      <w:pPr>
        <w:pStyle w:val="Heading8"/>
        <w:rPr>
          <w:szCs w:val="22"/>
        </w:rPr>
      </w:pPr>
      <w:r w:rsidRPr="001F5D4B">
        <w:rPr>
          <w:i/>
          <w:szCs w:val="22"/>
          <w:u w:val="none"/>
        </w:rPr>
        <w:t>Voksen Crohns sykdom</w:t>
      </w:r>
    </w:p>
    <w:p w14:paraId="43A02A96" w14:textId="77777777" w:rsidR="007048D1" w:rsidRPr="002D0790" w:rsidRDefault="007048D1" w:rsidP="00776A84">
      <w:pPr>
        <w:pStyle w:val="Heading8"/>
        <w:rPr>
          <w:szCs w:val="22"/>
        </w:rPr>
      </w:pPr>
    </w:p>
    <w:p w14:paraId="728E8B3D" w14:textId="77777777" w:rsidR="007048D1" w:rsidRPr="007F67EE" w:rsidRDefault="00E453CD" w:rsidP="007048D1">
      <w:pPr>
        <w:rPr>
          <w:sz w:val="22"/>
          <w:szCs w:val="22"/>
        </w:rPr>
      </w:pPr>
      <w:r w:rsidRPr="002D0790">
        <w:rPr>
          <w:sz w:val="22"/>
          <w:szCs w:val="22"/>
        </w:rPr>
        <w:t>Sikkerhet og effekt av Humira ble vurdert hos over 1500</w:t>
      </w:r>
      <w:r w:rsidR="00436CE2">
        <w:rPr>
          <w:sz w:val="22"/>
          <w:szCs w:val="22"/>
        </w:rPr>
        <w:t> </w:t>
      </w:r>
      <w:r w:rsidRPr="002D0790">
        <w:rPr>
          <w:sz w:val="22"/>
          <w:szCs w:val="22"/>
        </w:rPr>
        <w:t xml:space="preserve">pasienter med moderat til alvorlig aktiv Crohns sykdom (Crohn’s Disease Activity Index (CDAI) </w:t>
      </w:r>
      <w:r w:rsidRPr="007F67EE">
        <w:rPr>
          <w:rFonts w:ascii="Symbol" w:hAnsi="Symbol"/>
          <w:sz w:val="22"/>
          <w:szCs w:val="22"/>
        </w:rPr>
        <w:sym w:font="Symbol" w:char="F0B3"/>
      </w:r>
      <w:r w:rsidR="00436CE2">
        <w:rPr>
          <w:sz w:val="22"/>
          <w:szCs w:val="22"/>
        </w:rPr>
        <w:t> </w:t>
      </w:r>
      <w:r w:rsidRPr="007F67EE">
        <w:rPr>
          <w:sz w:val="22"/>
          <w:szCs w:val="22"/>
        </w:rPr>
        <w:t xml:space="preserve">220 </w:t>
      </w:r>
      <w:r w:rsidR="000E3D8A">
        <w:rPr>
          <w:sz w:val="22"/>
          <w:szCs w:val="22"/>
        </w:rPr>
        <w:t>og</w:t>
      </w:r>
      <w:r w:rsidRPr="007F67EE">
        <w:rPr>
          <w:sz w:val="22"/>
          <w:szCs w:val="22"/>
        </w:rPr>
        <w:t xml:space="preserve"> </w:t>
      </w:r>
      <w:r w:rsidRPr="007F67EE">
        <w:rPr>
          <w:rFonts w:ascii="Symbol" w:hAnsi="Symbol"/>
          <w:sz w:val="22"/>
          <w:szCs w:val="22"/>
        </w:rPr>
        <w:sym w:font="Symbol" w:char="F0A3"/>
      </w:r>
      <w:r w:rsidR="00436CE2">
        <w:rPr>
          <w:sz w:val="22"/>
          <w:szCs w:val="22"/>
        </w:rPr>
        <w:t> </w:t>
      </w:r>
      <w:r w:rsidRPr="007F67EE">
        <w:rPr>
          <w:sz w:val="22"/>
          <w:szCs w:val="22"/>
        </w:rPr>
        <w:t>450) i randomiserte, dobbeltblinde, placebokontrollerte studier. Samtidige stabile doser med aminosalisylater, kortikosteroider og/eller immunmodulerende midler var tillatt og 80</w:t>
      </w:r>
      <w:r w:rsidR="00436CE2">
        <w:rPr>
          <w:sz w:val="22"/>
          <w:szCs w:val="22"/>
        </w:rPr>
        <w:t> </w:t>
      </w:r>
      <w:r w:rsidRPr="007F67EE">
        <w:rPr>
          <w:sz w:val="22"/>
          <w:szCs w:val="22"/>
        </w:rPr>
        <w:t>% av pasientene fortsatte å ta minst ett av disse legemidlene.</w:t>
      </w:r>
    </w:p>
    <w:p w14:paraId="61809FB0" w14:textId="77777777" w:rsidR="007048D1" w:rsidRPr="00193D76" w:rsidRDefault="007048D1" w:rsidP="007048D1">
      <w:pPr>
        <w:rPr>
          <w:sz w:val="22"/>
          <w:szCs w:val="22"/>
        </w:rPr>
      </w:pPr>
    </w:p>
    <w:p w14:paraId="1E7B1EF2" w14:textId="77777777" w:rsidR="007048D1" w:rsidRPr="009C5EFD" w:rsidRDefault="00E453CD" w:rsidP="007048D1">
      <w:pPr>
        <w:rPr>
          <w:sz w:val="22"/>
          <w:szCs w:val="22"/>
        </w:rPr>
      </w:pPr>
      <w:r w:rsidRPr="002D0790">
        <w:rPr>
          <w:sz w:val="22"/>
          <w:szCs w:val="22"/>
        </w:rPr>
        <w:t>Induksjon av klinisk remisjon (definert som CDAI</w:t>
      </w:r>
      <w:r w:rsidR="00436CE2">
        <w:rPr>
          <w:sz w:val="22"/>
          <w:szCs w:val="22"/>
        </w:rPr>
        <w:t> </w:t>
      </w:r>
      <w:r w:rsidRPr="002D0790">
        <w:rPr>
          <w:sz w:val="22"/>
          <w:szCs w:val="22"/>
        </w:rPr>
        <w:t>&lt;</w:t>
      </w:r>
      <w:r w:rsidR="00436CE2">
        <w:rPr>
          <w:sz w:val="22"/>
          <w:szCs w:val="22"/>
        </w:rPr>
        <w:t> </w:t>
      </w:r>
      <w:r w:rsidRPr="002D0790">
        <w:rPr>
          <w:sz w:val="22"/>
          <w:szCs w:val="22"/>
        </w:rPr>
        <w:t>150) ble vurdert i to studier, CD-studie I (CLASSIC I) og CD-studie II (GAIN). I CD-studie I ble 299</w:t>
      </w:r>
      <w:r w:rsidR="00436CE2">
        <w:rPr>
          <w:sz w:val="22"/>
          <w:szCs w:val="22"/>
        </w:rPr>
        <w:t> </w:t>
      </w:r>
      <w:r w:rsidRPr="002D0790">
        <w:rPr>
          <w:sz w:val="22"/>
          <w:szCs w:val="22"/>
        </w:rPr>
        <w:t>pasienter som aldri hadde brukt TNF</w:t>
      </w:r>
      <w:r w:rsidR="00436CE2">
        <w:rPr>
          <w:sz w:val="22"/>
          <w:szCs w:val="22"/>
        </w:rPr>
        <w:noBreakHyphen/>
      </w:r>
      <w:r w:rsidRPr="002D0790">
        <w:rPr>
          <w:sz w:val="22"/>
          <w:szCs w:val="22"/>
        </w:rPr>
        <w:t>antagonister randomisert til en av fire behandlingsgrupper; placebo v</w:t>
      </w:r>
      <w:r w:rsidRPr="00E14E58">
        <w:rPr>
          <w:sz w:val="22"/>
          <w:szCs w:val="22"/>
        </w:rPr>
        <w:t>ed uke</w:t>
      </w:r>
      <w:r w:rsidR="00436CE2">
        <w:rPr>
          <w:sz w:val="22"/>
          <w:szCs w:val="22"/>
        </w:rPr>
        <w:t> </w:t>
      </w:r>
      <w:r w:rsidRPr="00E14E58">
        <w:rPr>
          <w:sz w:val="22"/>
          <w:szCs w:val="22"/>
        </w:rPr>
        <w:t>0 og 2, 160</w:t>
      </w:r>
      <w:r w:rsidR="00436CE2">
        <w:rPr>
          <w:sz w:val="22"/>
          <w:szCs w:val="22"/>
        </w:rPr>
        <w:t> </w:t>
      </w:r>
      <w:r w:rsidRPr="00E14E58">
        <w:rPr>
          <w:sz w:val="22"/>
          <w:szCs w:val="22"/>
        </w:rPr>
        <w:t>mg Humira ved uke</w:t>
      </w:r>
      <w:r w:rsidR="00436CE2">
        <w:rPr>
          <w:sz w:val="22"/>
          <w:szCs w:val="22"/>
        </w:rPr>
        <w:t> </w:t>
      </w:r>
      <w:r w:rsidRPr="00E14E58">
        <w:rPr>
          <w:sz w:val="22"/>
          <w:szCs w:val="22"/>
        </w:rPr>
        <w:t>0 og 80</w:t>
      </w:r>
      <w:r w:rsidR="00436CE2">
        <w:rPr>
          <w:sz w:val="22"/>
          <w:szCs w:val="22"/>
        </w:rPr>
        <w:t> </w:t>
      </w:r>
      <w:r w:rsidRPr="00E14E58">
        <w:rPr>
          <w:sz w:val="22"/>
          <w:szCs w:val="22"/>
        </w:rPr>
        <w:t>mg ved uke</w:t>
      </w:r>
      <w:r w:rsidR="00436CE2">
        <w:rPr>
          <w:sz w:val="22"/>
          <w:szCs w:val="22"/>
        </w:rPr>
        <w:t> </w:t>
      </w:r>
      <w:r w:rsidRPr="00E14E58">
        <w:rPr>
          <w:sz w:val="22"/>
          <w:szCs w:val="22"/>
        </w:rPr>
        <w:t>2, 80</w:t>
      </w:r>
      <w:r w:rsidR="00436CE2">
        <w:rPr>
          <w:sz w:val="22"/>
          <w:szCs w:val="22"/>
        </w:rPr>
        <w:t> </w:t>
      </w:r>
      <w:r w:rsidRPr="00E14E58">
        <w:rPr>
          <w:sz w:val="22"/>
          <w:szCs w:val="22"/>
        </w:rPr>
        <w:t>mg ved uke</w:t>
      </w:r>
      <w:r w:rsidR="00436CE2">
        <w:rPr>
          <w:sz w:val="22"/>
          <w:szCs w:val="22"/>
        </w:rPr>
        <w:t> </w:t>
      </w:r>
      <w:r w:rsidRPr="00E14E58">
        <w:rPr>
          <w:sz w:val="22"/>
          <w:szCs w:val="22"/>
        </w:rPr>
        <w:t>0 og 40</w:t>
      </w:r>
      <w:r w:rsidR="00436CE2">
        <w:rPr>
          <w:sz w:val="22"/>
          <w:szCs w:val="22"/>
        </w:rPr>
        <w:t> </w:t>
      </w:r>
      <w:r w:rsidRPr="00E14E58">
        <w:rPr>
          <w:sz w:val="22"/>
          <w:szCs w:val="22"/>
        </w:rPr>
        <w:t>mg ved uke</w:t>
      </w:r>
      <w:r w:rsidR="00436CE2">
        <w:rPr>
          <w:sz w:val="22"/>
          <w:szCs w:val="22"/>
        </w:rPr>
        <w:t> </w:t>
      </w:r>
      <w:r w:rsidRPr="00E14E58">
        <w:rPr>
          <w:sz w:val="22"/>
          <w:szCs w:val="22"/>
        </w:rPr>
        <w:t>2, og 40</w:t>
      </w:r>
      <w:r w:rsidR="00436CE2">
        <w:rPr>
          <w:sz w:val="22"/>
          <w:szCs w:val="22"/>
        </w:rPr>
        <w:t> </w:t>
      </w:r>
      <w:r w:rsidRPr="00E14E58">
        <w:rPr>
          <w:sz w:val="22"/>
          <w:szCs w:val="22"/>
        </w:rPr>
        <w:t>mg ved uke</w:t>
      </w:r>
      <w:r w:rsidR="00436CE2">
        <w:rPr>
          <w:sz w:val="22"/>
          <w:szCs w:val="22"/>
        </w:rPr>
        <w:t> </w:t>
      </w:r>
      <w:r w:rsidRPr="00E14E58">
        <w:rPr>
          <w:sz w:val="22"/>
          <w:szCs w:val="22"/>
        </w:rPr>
        <w:t>0 og 20</w:t>
      </w:r>
      <w:r w:rsidR="00436CE2">
        <w:rPr>
          <w:sz w:val="22"/>
          <w:szCs w:val="22"/>
        </w:rPr>
        <w:t> </w:t>
      </w:r>
      <w:r w:rsidRPr="00E14E58">
        <w:rPr>
          <w:sz w:val="22"/>
          <w:szCs w:val="22"/>
        </w:rPr>
        <w:t>mg ved uke</w:t>
      </w:r>
      <w:r w:rsidR="00436CE2">
        <w:rPr>
          <w:sz w:val="22"/>
          <w:szCs w:val="22"/>
        </w:rPr>
        <w:t> </w:t>
      </w:r>
      <w:r w:rsidRPr="00E14E58">
        <w:rPr>
          <w:sz w:val="22"/>
          <w:szCs w:val="22"/>
        </w:rPr>
        <w:t>2. I CD-studie II ble 325</w:t>
      </w:r>
      <w:r w:rsidR="00436CE2">
        <w:rPr>
          <w:sz w:val="22"/>
          <w:szCs w:val="22"/>
        </w:rPr>
        <w:t> </w:t>
      </w:r>
      <w:r w:rsidRPr="00E14E58">
        <w:rPr>
          <w:sz w:val="22"/>
          <w:szCs w:val="22"/>
        </w:rPr>
        <w:t>pasienter som hadde mistet respons eller var intolerante for infliksimab randomisert til enten 160</w:t>
      </w:r>
      <w:r w:rsidR="00436CE2">
        <w:rPr>
          <w:sz w:val="22"/>
          <w:szCs w:val="22"/>
        </w:rPr>
        <w:t> </w:t>
      </w:r>
      <w:r w:rsidRPr="009C5EFD">
        <w:rPr>
          <w:sz w:val="22"/>
          <w:szCs w:val="22"/>
        </w:rPr>
        <w:t>mg Humira ved uke</w:t>
      </w:r>
      <w:r w:rsidR="00436CE2">
        <w:rPr>
          <w:sz w:val="22"/>
          <w:szCs w:val="22"/>
        </w:rPr>
        <w:t> </w:t>
      </w:r>
      <w:r w:rsidRPr="009C5EFD">
        <w:rPr>
          <w:sz w:val="22"/>
          <w:szCs w:val="22"/>
        </w:rPr>
        <w:t>0 og 80</w:t>
      </w:r>
      <w:r w:rsidR="00436CE2">
        <w:rPr>
          <w:sz w:val="22"/>
          <w:szCs w:val="22"/>
        </w:rPr>
        <w:t> </w:t>
      </w:r>
      <w:r w:rsidRPr="009C5EFD">
        <w:rPr>
          <w:sz w:val="22"/>
          <w:szCs w:val="22"/>
        </w:rPr>
        <w:t>mg ved uke</w:t>
      </w:r>
      <w:r w:rsidR="00436CE2">
        <w:rPr>
          <w:sz w:val="22"/>
          <w:szCs w:val="22"/>
        </w:rPr>
        <w:t> </w:t>
      </w:r>
      <w:r w:rsidRPr="009C5EFD">
        <w:rPr>
          <w:sz w:val="22"/>
          <w:szCs w:val="22"/>
        </w:rPr>
        <w:t>2 eller placebo ved ukene</w:t>
      </w:r>
      <w:r w:rsidR="00436CE2">
        <w:rPr>
          <w:sz w:val="22"/>
          <w:szCs w:val="22"/>
        </w:rPr>
        <w:t> </w:t>
      </w:r>
      <w:r w:rsidRPr="009C5EFD">
        <w:rPr>
          <w:sz w:val="22"/>
          <w:szCs w:val="22"/>
        </w:rPr>
        <w:t xml:space="preserve">0 og 2. Primære </w:t>
      </w:r>
      <w:r w:rsidRPr="009C5EFD">
        <w:rPr>
          <w:sz w:val="22"/>
        </w:rPr>
        <w:t>ikke</w:t>
      </w:r>
      <w:r w:rsidRPr="009C5EFD">
        <w:rPr>
          <w:sz w:val="22"/>
          <w:szCs w:val="22"/>
        </w:rPr>
        <w:t xml:space="preserve">-respondere ble ekskludert fra studiene og disse pasientene ble derfor ikke </w:t>
      </w:r>
      <w:r w:rsidR="003D3CAB">
        <w:rPr>
          <w:sz w:val="22"/>
          <w:szCs w:val="22"/>
        </w:rPr>
        <w:t>vurdert</w:t>
      </w:r>
      <w:r w:rsidRPr="009C5EFD">
        <w:rPr>
          <w:sz w:val="22"/>
          <w:szCs w:val="22"/>
        </w:rPr>
        <w:t xml:space="preserve"> videre.</w:t>
      </w:r>
    </w:p>
    <w:p w14:paraId="745EF4FD" w14:textId="77777777" w:rsidR="007048D1" w:rsidRPr="009C5EFD" w:rsidRDefault="007048D1" w:rsidP="007048D1">
      <w:pPr>
        <w:ind w:left="54"/>
        <w:rPr>
          <w:sz w:val="22"/>
          <w:szCs w:val="22"/>
        </w:rPr>
      </w:pPr>
    </w:p>
    <w:p w14:paraId="79E98E42" w14:textId="77777777" w:rsidR="007048D1" w:rsidRPr="002D0790" w:rsidRDefault="00E453CD" w:rsidP="007048D1">
      <w:pPr>
        <w:rPr>
          <w:sz w:val="22"/>
          <w:szCs w:val="22"/>
        </w:rPr>
      </w:pPr>
      <w:r w:rsidRPr="009C5EFD">
        <w:rPr>
          <w:sz w:val="22"/>
          <w:szCs w:val="22"/>
        </w:rPr>
        <w:t>Vedlikehold av klinisk remisjon ble vurdert i CD-studie III (CHARM). I CD-studie III fikk 854</w:t>
      </w:r>
      <w:r w:rsidR="00436CE2">
        <w:rPr>
          <w:sz w:val="22"/>
          <w:szCs w:val="22"/>
        </w:rPr>
        <w:t> </w:t>
      </w:r>
      <w:r w:rsidRPr="009C5EFD">
        <w:rPr>
          <w:sz w:val="22"/>
          <w:szCs w:val="22"/>
        </w:rPr>
        <w:t>pasienter 80</w:t>
      </w:r>
      <w:r w:rsidR="00436CE2">
        <w:rPr>
          <w:sz w:val="22"/>
          <w:szCs w:val="22"/>
        </w:rPr>
        <w:t> </w:t>
      </w:r>
      <w:r w:rsidRPr="009C5EFD">
        <w:rPr>
          <w:sz w:val="22"/>
          <w:szCs w:val="22"/>
        </w:rPr>
        <w:t>mg ved uke</w:t>
      </w:r>
      <w:r w:rsidR="00436CE2">
        <w:rPr>
          <w:sz w:val="22"/>
          <w:szCs w:val="22"/>
        </w:rPr>
        <w:t> </w:t>
      </w:r>
      <w:r w:rsidRPr="009C5EFD">
        <w:rPr>
          <w:sz w:val="22"/>
          <w:szCs w:val="22"/>
        </w:rPr>
        <w:t>0 og 40</w:t>
      </w:r>
      <w:r w:rsidR="00436CE2">
        <w:rPr>
          <w:sz w:val="22"/>
          <w:szCs w:val="22"/>
        </w:rPr>
        <w:t> </w:t>
      </w:r>
      <w:r w:rsidRPr="009C5EFD">
        <w:rPr>
          <w:sz w:val="22"/>
          <w:szCs w:val="22"/>
        </w:rPr>
        <w:t>mg ved uke</w:t>
      </w:r>
      <w:r w:rsidR="00436CE2">
        <w:rPr>
          <w:sz w:val="22"/>
          <w:szCs w:val="22"/>
        </w:rPr>
        <w:t> </w:t>
      </w:r>
      <w:r w:rsidRPr="009C5EFD">
        <w:rPr>
          <w:sz w:val="22"/>
          <w:szCs w:val="22"/>
        </w:rPr>
        <w:t>2 (åpen behandling). Ved uke</w:t>
      </w:r>
      <w:r w:rsidR="00436CE2">
        <w:rPr>
          <w:sz w:val="22"/>
          <w:szCs w:val="22"/>
        </w:rPr>
        <w:t> </w:t>
      </w:r>
      <w:r w:rsidRPr="009C5EFD">
        <w:rPr>
          <w:sz w:val="22"/>
          <w:szCs w:val="22"/>
        </w:rPr>
        <w:t>4 ble pasientene randomisert til 40</w:t>
      </w:r>
      <w:r w:rsidR="00436CE2">
        <w:rPr>
          <w:sz w:val="22"/>
          <w:szCs w:val="22"/>
        </w:rPr>
        <w:t> </w:t>
      </w:r>
      <w:r w:rsidRPr="009C5EFD">
        <w:rPr>
          <w:sz w:val="22"/>
          <w:szCs w:val="22"/>
        </w:rPr>
        <w:t>mg annenhver uke, 40</w:t>
      </w:r>
      <w:r w:rsidR="00436CE2">
        <w:rPr>
          <w:sz w:val="22"/>
          <w:szCs w:val="22"/>
        </w:rPr>
        <w:t> </w:t>
      </w:r>
      <w:r w:rsidRPr="009C5EFD">
        <w:rPr>
          <w:sz w:val="22"/>
          <w:szCs w:val="22"/>
        </w:rPr>
        <w:t>mg hver uke, eller placebo. Studien varte i totalt 56</w:t>
      </w:r>
      <w:r w:rsidR="00436CE2">
        <w:rPr>
          <w:sz w:val="22"/>
          <w:szCs w:val="22"/>
        </w:rPr>
        <w:t> </w:t>
      </w:r>
      <w:r w:rsidRPr="009C5EFD">
        <w:rPr>
          <w:sz w:val="22"/>
          <w:szCs w:val="22"/>
        </w:rPr>
        <w:t xml:space="preserve">uker. Pasienter med klinisk respons (reduksjon i CDAI </w:t>
      </w:r>
      <w:r w:rsidRPr="007F67EE">
        <w:rPr>
          <w:rFonts w:ascii="Symbol" w:hAnsi="Symbol"/>
          <w:sz w:val="22"/>
          <w:szCs w:val="22"/>
        </w:rPr>
        <w:sym w:font="Symbol" w:char="F0B3"/>
      </w:r>
      <w:r w:rsidR="00436CE2">
        <w:rPr>
          <w:sz w:val="22"/>
          <w:szCs w:val="22"/>
        </w:rPr>
        <w:t> </w:t>
      </w:r>
      <w:r w:rsidRPr="007F67EE">
        <w:rPr>
          <w:sz w:val="22"/>
          <w:szCs w:val="22"/>
        </w:rPr>
        <w:t>70) ved uke</w:t>
      </w:r>
      <w:r w:rsidR="00436CE2">
        <w:rPr>
          <w:sz w:val="22"/>
          <w:szCs w:val="22"/>
        </w:rPr>
        <w:t> </w:t>
      </w:r>
      <w:r w:rsidRPr="007F67EE">
        <w:rPr>
          <w:sz w:val="22"/>
          <w:szCs w:val="22"/>
        </w:rPr>
        <w:t>4 ble stratifisert og analysert separat fra de som ikke hadde klinisk respons ved uke</w:t>
      </w:r>
      <w:r w:rsidR="00436CE2">
        <w:rPr>
          <w:sz w:val="22"/>
          <w:szCs w:val="22"/>
        </w:rPr>
        <w:t> </w:t>
      </w:r>
      <w:r w:rsidRPr="007F67EE">
        <w:rPr>
          <w:sz w:val="22"/>
          <w:szCs w:val="22"/>
        </w:rPr>
        <w:t xml:space="preserve">4. </w:t>
      </w:r>
      <w:r w:rsidRPr="00193D76">
        <w:rPr>
          <w:sz w:val="22"/>
          <w:szCs w:val="22"/>
        </w:rPr>
        <w:t>Nedtrapping</w:t>
      </w:r>
      <w:r w:rsidRPr="002D0790">
        <w:rPr>
          <w:sz w:val="22"/>
          <w:szCs w:val="22"/>
        </w:rPr>
        <w:t xml:space="preserve"> av kortikosteroider ble tillatt etter uke 8.</w:t>
      </w:r>
    </w:p>
    <w:p w14:paraId="10038007" w14:textId="77777777" w:rsidR="007048D1" w:rsidRPr="002D0790" w:rsidRDefault="007048D1" w:rsidP="007048D1">
      <w:pPr>
        <w:rPr>
          <w:sz w:val="22"/>
          <w:szCs w:val="22"/>
        </w:rPr>
      </w:pPr>
    </w:p>
    <w:p w14:paraId="71533E5E" w14:textId="77777777" w:rsidR="007048D1" w:rsidRPr="009C5EFD" w:rsidRDefault="00E453CD" w:rsidP="007048D1">
      <w:pPr>
        <w:pStyle w:val="Heading8"/>
        <w:keepNext w:val="0"/>
        <w:rPr>
          <w:szCs w:val="22"/>
          <w:u w:val="none"/>
        </w:rPr>
      </w:pPr>
      <w:r w:rsidRPr="00E14E58">
        <w:rPr>
          <w:szCs w:val="22"/>
          <w:u w:val="none"/>
        </w:rPr>
        <w:t xml:space="preserve">CD-studie I og CD-studie II induksjon </w:t>
      </w:r>
      <w:r w:rsidRPr="009C5EFD">
        <w:rPr>
          <w:szCs w:val="22"/>
          <w:u w:val="none"/>
        </w:rPr>
        <w:t>av remisjon og responsnivåer er vist i tabell</w:t>
      </w:r>
      <w:r w:rsidR="00436CE2">
        <w:rPr>
          <w:szCs w:val="22"/>
          <w:u w:val="none"/>
        </w:rPr>
        <w:t> </w:t>
      </w:r>
      <w:r w:rsidR="00A457B0">
        <w:rPr>
          <w:szCs w:val="22"/>
          <w:u w:val="none"/>
        </w:rPr>
        <w:t>14</w:t>
      </w:r>
      <w:r w:rsidRPr="009C5EFD">
        <w:rPr>
          <w:szCs w:val="22"/>
          <w:u w:val="none"/>
        </w:rPr>
        <w:t>.</w:t>
      </w:r>
    </w:p>
    <w:p w14:paraId="218C9456" w14:textId="77777777" w:rsidR="007048D1" w:rsidRPr="009C5EFD" w:rsidRDefault="007048D1" w:rsidP="007048D1"/>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1192"/>
        <w:gridCol w:w="1249"/>
        <w:gridCol w:w="1176"/>
        <w:gridCol w:w="1495"/>
        <w:gridCol w:w="1818"/>
      </w:tblGrid>
      <w:tr w:rsidR="004644D4" w14:paraId="7A0E25B0" w14:textId="77777777" w:rsidTr="008B396C">
        <w:trPr>
          <w:cantSplit/>
        </w:trPr>
        <w:tc>
          <w:tcPr>
            <w:tcW w:w="9238" w:type="dxa"/>
            <w:gridSpan w:val="6"/>
            <w:tcBorders>
              <w:top w:val="nil"/>
              <w:left w:val="nil"/>
              <w:right w:val="nil"/>
            </w:tcBorders>
          </w:tcPr>
          <w:p w14:paraId="29236835" w14:textId="77777777" w:rsidR="007048D1" w:rsidRPr="009C5EFD" w:rsidRDefault="00E453CD" w:rsidP="008B396C">
            <w:pPr>
              <w:pStyle w:val="TableText"/>
              <w:jc w:val="center"/>
              <w:rPr>
                <w:b/>
                <w:bCs/>
                <w:sz w:val="22"/>
                <w:lang w:val="nb-NO"/>
              </w:rPr>
            </w:pPr>
            <w:r w:rsidRPr="009C5EFD">
              <w:rPr>
                <w:b/>
                <w:bCs/>
                <w:sz w:val="22"/>
                <w:lang w:val="nb-NO"/>
              </w:rPr>
              <w:t xml:space="preserve">Tabell </w:t>
            </w:r>
            <w:r w:rsidR="00A457B0">
              <w:rPr>
                <w:b/>
                <w:bCs/>
                <w:sz w:val="22"/>
                <w:lang w:val="nb-NO"/>
              </w:rPr>
              <w:t>14</w:t>
            </w:r>
          </w:p>
          <w:p w14:paraId="4E617F3D" w14:textId="77777777" w:rsidR="007048D1" w:rsidRPr="009C5EFD" w:rsidRDefault="00E453CD" w:rsidP="008B396C">
            <w:pPr>
              <w:pStyle w:val="TableText"/>
              <w:jc w:val="center"/>
              <w:rPr>
                <w:b/>
                <w:bCs/>
                <w:sz w:val="22"/>
                <w:lang w:val="nb-NO"/>
              </w:rPr>
            </w:pPr>
            <w:r w:rsidRPr="009C5EFD">
              <w:rPr>
                <w:b/>
                <w:bCs/>
                <w:sz w:val="22"/>
                <w:lang w:val="nb-NO"/>
              </w:rPr>
              <w:t>Induksjon av klinisk remisjon og respons</w:t>
            </w:r>
          </w:p>
          <w:p w14:paraId="0D5B13AA" w14:textId="77777777" w:rsidR="007048D1" w:rsidRPr="00DA6326" w:rsidRDefault="00E453CD" w:rsidP="008B396C">
            <w:pPr>
              <w:pStyle w:val="TableText"/>
              <w:jc w:val="center"/>
              <w:rPr>
                <w:b/>
                <w:bCs/>
                <w:sz w:val="22"/>
                <w:lang w:val="nb-NO"/>
              </w:rPr>
            </w:pPr>
            <w:r w:rsidRPr="00DA6326">
              <w:rPr>
                <w:b/>
                <w:bCs/>
                <w:sz w:val="22"/>
                <w:lang w:val="nb-NO"/>
              </w:rPr>
              <w:t>(Prosent av pasientene)</w:t>
            </w:r>
          </w:p>
        </w:tc>
      </w:tr>
      <w:tr w:rsidR="004644D4" w14:paraId="2C21668D" w14:textId="77777777" w:rsidTr="008B396C">
        <w:trPr>
          <w:cantSplit/>
        </w:trPr>
        <w:tc>
          <w:tcPr>
            <w:tcW w:w="2308" w:type="dxa"/>
          </w:tcPr>
          <w:p w14:paraId="0BC8D557" w14:textId="77777777" w:rsidR="007048D1" w:rsidRPr="00DA6326" w:rsidRDefault="007048D1" w:rsidP="008B396C">
            <w:pPr>
              <w:pStyle w:val="TableText"/>
              <w:keepNext w:val="0"/>
              <w:rPr>
                <w:b/>
                <w:bCs/>
                <w:sz w:val="22"/>
                <w:lang w:val="nb-NO"/>
              </w:rPr>
            </w:pPr>
          </w:p>
        </w:tc>
        <w:tc>
          <w:tcPr>
            <w:tcW w:w="3617" w:type="dxa"/>
            <w:gridSpan w:val="3"/>
          </w:tcPr>
          <w:p w14:paraId="32AD1C95" w14:textId="77777777" w:rsidR="007048D1" w:rsidRPr="009C5EFD" w:rsidRDefault="00E453CD" w:rsidP="008B396C">
            <w:pPr>
              <w:pStyle w:val="TableText"/>
              <w:keepNext w:val="0"/>
              <w:rPr>
                <w:b/>
                <w:bCs/>
                <w:sz w:val="22"/>
                <w:lang w:val="nb-NO"/>
              </w:rPr>
            </w:pPr>
            <w:r w:rsidRPr="007F67EE">
              <w:rPr>
                <w:b/>
                <w:bCs/>
                <w:sz w:val="22"/>
                <w:lang w:val="nb-NO"/>
              </w:rPr>
              <w:t>CD</w:t>
            </w:r>
            <w:r w:rsidRPr="00193D76">
              <w:rPr>
                <w:b/>
                <w:bCs/>
                <w:sz w:val="22"/>
                <w:lang w:val="nb-NO"/>
              </w:rPr>
              <w:t>-</w:t>
            </w:r>
            <w:r w:rsidRPr="009C5EFD">
              <w:rPr>
                <w:b/>
                <w:bCs/>
                <w:sz w:val="22"/>
                <w:lang w:val="nb-NO"/>
              </w:rPr>
              <w:t>studie I: Infliksimab naive pasienter</w:t>
            </w:r>
          </w:p>
        </w:tc>
        <w:tc>
          <w:tcPr>
            <w:tcW w:w="3313" w:type="dxa"/>
            <w:gridSpan w:val="2"/>
          </w:tcPr>
          <w:p w14:paraId="362E5FE3" w14:textId="77777777" w:rsidR="007048D1" w:rsidRPr="009C5EFD" w:rsidRDefault="00E453CD" w:rsidP="008B396C">
            <w:pPr>
              <w:pStyle w:val="TableText"/>
              <w:keepNext w:val="0"/>
              <w:rPr>
                <w:b/>
                <w:bCs/>
                <w:sz w:val="22"/>
                <w:lang w:val="nb-NO"/>
              </w:rPr>
            </w:pPr>
            <w:r w:rsidRPr="009C5EFD">
              <w:rPr>
                <w:b/>
                <w:bCs/>
                <w:sz w:val="22"/>
                <w:lang w:val="nb-NO"/>
              </w:rPr>
              <w:t>CD-studie II: Infliksimab erfarne pasienter</w:t>
            </w:r>
          </w:p>
        </w:tc>
      </w:tr>
      <w:tr w:rsidR="004644D4" w14:paraId="489D425D" w14:textId="77777777" w:rsidTr="008B396C">
        <w:trPr>
          <w:cantSplit/>
        </w:trPr>
        <w:tc>
          <w:tcPr>
            <w:tcW w:w="2308" w:type="dxa"/>
          </w:tcPr>
          <w:p w14:paraId="1867F5F5" w14:textId="77777777" w:rsidR="007048D1" w:rsidRPr="007F67EE" w:rsidRDefault="007048D1" w:rsidP="008B396C">
            <w:pPr>
              <w:pStyle w:val="TableText"/>
              <w:keepNext w:val="0"/>
              <w:jc w:val="center"/>
              <w:rPr>
                <w:b/>
                <w:bCs/>
                <w:sz w:val="22"/>
                <w:lang w:val="nb-NO"/>
              </w:rPr>
            </w:pPr>
          </w:p>
        </w:tc>
        <w:tc>
          <w:tcPr>
            <w:tcW w:w="1192" w:type="dxa"/>
          </w:tcPr>
          <w:p w14:paraId="67537D76" w14:textId="77777777" w:rsidR="007048D1" w:rsidRPr="007F67EE" w:rsidRDefault="00E453CD" w:rsidP="008B396C">
            <w:pPr>
              <w:pStyle w:val="TableText"/>
              <w:keepNext w:val="0"/>
              <w:jc w:val="center"/>
              <w:rPr>
                <w:b/>
                <w:bCs/>
                <w:sz w:val="22"/>
                <w:lang w:val="fr-FR"/>
              </w:rPr>
            </w:pPr>
            <w:r w:rsidRPr="007F67EE">
              <w:rPr>
                <w:b/>
                <w:bCs/>
                <w:sz w:val="22"/>
                <w:lang w:val="fr-FR"/>
              </w:rPr>
              <w:t>Placebo</w:t>
            </w:r>
          </w:p>
          <w:p w14:paraId="09010052" w14:textId="77777777" w:rsidR="007048D1" w:rsidRPr="00193D76" w:rsidRDefault="00E453CD" w:rsidP="008B396C">
            <w:pPr>
              <w:pStyle w:val="TableText"/>
              <w:keepNext w:val="0"/>
              <w:jc w:val="center"/>
              <w:rPr>
                <w:b/>
                <w:bCs/>
                <w:sz w:val="22"/>
                <w:lang w:val="fr-FR"/>
              </w:rPr>
            </w:pPr>
            <w:r w:rsidRPr="00193D76">
              <w:rPr>
                <w:b/>
                <w:bCs/>
                <w:sz w:val="22"/>
                <w:lang w:val="fr-FR"/>
              </w:rPr>
              <w:t>N=74</w:t>
            </w:r>
          </w:p>
        </w:tc>
        <w:tc>
          <w:tcPr>
            <w:tcW w:w="1249" w:type="dxa"/>
          </w:tcPr>
          <w:p w14:paraId="06760536" w14:textId="77777777" w:rsidR="007048D1" w:rsidRPr="002D0790" w:rsidRDefault="00E453CD" w:rsidP="008B396C">
            <w:pPr>
              <w:pStyle w:val="TableText"/>
              <w:keepNext w:val="0"/>
              <w:jc w:val="center"/>
              <w:rPr>
                <w:b/>
                <w:bCs/>
                <w:sz w:val="22"/>
                <w:lang w:val="fr-FR"/>
              </w:rPr>
            </w:pPr>
            <w:r w:rsidRPr="002D0790">
              <w:rPr>
                <w:b/>
                <w:bCs/>
                <w:sz w:val="22"/>
                <w:lang w:val="fr-FR"/>
              </w:rPr>
              <w:t>Humira</w:t>
            </w:r>
          </w:p>
          <w:p w14:paraId="78B29DAA" w14:textId="77777777" w:rsidR="007048D1" w:rsidRPr="002D0790" w:rsidRDefault="00E453CD" w:rsidP="008B396C">
            <w:pPr>
              <w:pStyle w:val="TableText"/>
              <w:keepNext w:val="0"/>
              <w:jc w:val="center"/>
              <w:rPr>
                <w:b/>
                <w:bCs/>
                <w:sz w:val="22"/>
                <w:lang w:val="fr-FR"/>
              </w:rPr>
            </w:pPr>
            <w:r w:rsidRPr="002D0790">
              <w:rPr>
                <w:b/>
                <w:bCs/>
                <w:sz w:val="22"/>
                <w:lang w:val="fr-FR"/>
              </w:rPr>
              <w:t>80/40 mg</w:t>
            </w:r>
          </w:p>
          <w:p w14:paraId="775773AC" w14:textId="77777777" w:rsidR="007048D1" w:rsidRPr="00E14E58" w:rsidRDefault="00E453CD" w:rsidP="008B396C">
            <w:pPr>
              <w:pStyle w:val="TableText"/>
              <w:keepNext w:val="0"/>
              <w:jc w:val="center"/>
              <w:rPr>
                <w:b/>
                <w:bCs/>
                <w:sz w:val="22"/>
                <w:lang w:val="fr-FR"/>
              </w:rPr>
            </w:pPr>
            <w:r w:rsidRPr="00E14E58">
              <w:rPr>
                <w:b/>
                <w:bCs/>
                <w:sz w:val="22"/>
                <w:lang w:val="fr-FR"/>
              </w:rPr>
              <w:t>N=75</w:t>
            </w:r>
          </w:p>
        </w:tc>
        <w:tc>
          <w:tcPr>
            <w:tcW w:w="1176" w:type="dxa"/>
          </w:tcPr>
          <w:p w14:paraId="70FD837E" w14:textId="77777777" w:rsidR="007048D1" w:rsidRPr="009C5EFD" w:rsidRDefault="00E453CD" w:rsidP="008B396C">
            <w:pPr>
              <w:pStyle w:val="TableText"/>
              <w:keepNext w:val="0"/>
              <w:jc w:val="center"/>
              <w:rPr>
                <w:b/>
                <w:bCs/>
                <w:sz w:val="22"/>
                <w:lang w:val="fr-FR"/>
              </w:rPr>
            </w:pPr>
            <w:r w:rsidRPr="009C5EFD">
              <w:rPr>
                <w:b/>
                <w:bCs/>
                <w:sz w:val="22"/>
                <w:lang w:val="fr-FR"/>
              </w:rPr>
              <w:t xml:space="preserve">Humira </w:t>
            </w:r>
          </w:p>
          <w:p w14:paraId="48AA7C46" w14:textId="77777777" w:rsidR="007048D1" w:rsidRPr="009C5EFD" w:rsidRDefault="00E453CD" w:rsidP="008B396C">
            <w:pPr>
              <w:pStyle w:val="TableText"/>
              <w:keepNext w:val="0"/>
              <w:jc w:val="center"/>
              <w:rPr>
                <w:b/>
                <w:bCs/>
                <w:sz w:val="22"/>
                <w:lang w:val="fr-FR"/>
              </w:rPr>
            </w:pPr>
            <w:r w:rsidRPr="009C5EFD">
              <w:rPr>
                <w:b/>
                <w:bCs/>
                <w:sz w:val="22"/>
                <w:lang w:val="fr-FR"/>
              </w:rPr>
              <w:t>160/80 mg N=76</w:t>
            </w:r>
          </w:p>
        </w:tc>
        <w:tc>
          <w:tcPr>
            <w:tcW w:w="1495" w:type="dxa"/>
          </w:tcPr>
          <w:p w14:paraId="4F6E5AE0" w14:textId="77777777" w:rsidR="007048D1" w:rsidRPr="009C5EFD" w:rsidRDefault="00E453CD" w:rsidP="008B396C">
            <w:pPr>
              <w:pStyle w:val="TableText"/>
              <w:keepNext w:val="0"/>
              <w:jc w:val="center"/>
              <w:rPr>
                <w:b/>
                <w:bCs/>
                <w:sz w:val="22"/>
                <w:lang w:val="fr-FR"/>
              </w:rPr>
            </w:pPr>
            <w:r w:rsidRPr="009C5EFD">
              <w:rPr>
                <w:b/>
                <w:bCs/>
                <w:sz w:val="22"/>
                <w:lang w:val="fr-FR"/>
              </w:rPr>
              <w:t>Placebo</w:t>
            </w:r>
          </w:p>
          <w:p w14:paraId="57A12E39" w14:textId="77777777" w:rsidR="007048D1" w:rsidRPr="009C5EFD" w:rsidRDefault="00E453CD" w:rsidP="008B396C">
            <w:pPr>
              <w:pStyle w:val="TableText"/>
              <w:keepNext w:val="0"/>
              <w:jc w:val="center"/>
              <w:rPr>
                <w:b/>
                <w:bCs/>
                <w:sz w:val="22"/>
                <w:lang w:val="fr-FR"/>
              </w:rPr>
            </w:pPr>
            <w:r w:rsidRPr="009C5EFD">
              <w:rPr>
                <w:b/>
                <w:bCs/>
                <w:sz w:val="22"/>
                <w:lang w:val="fr-FR"/>
              </w:rPr>
              <w:t>N=166</w:t>
            </w:r>
          </w:p>
        </w:tc>
        <w:tc>
          <w:tcPr>
            <w:tcW w:w="1818" w:type="dxa"/>
          </w:tcPr>
          <w:p w14:paraId="5D771B4B" w14:textId="77777777" w:rsidR="007048D1" w:rsidRPr="009C5EFD" w:rsidRDefault="00E453CD" w:rsidP="008B396C">
            <w:pPr>
              <w:pStyle w:val="TableText"/>
              <w:keepNext w:val="0"/>
              <w:jc w:val="center"/>
              <w:rPr>
                <w:b/>
                <w:bCs/>
                <w:sz w:val="22"/>
                <w:lang w:val="fr-FR"/>
              </w:rPr>
            </w:pPr>
            <w:r w:rsidRPr="009C5EFD">
              <w:rPr>
                <w:b/>
                <w:bCs/>
                <w:sz w:val="22"/>
                <w:lang w:val="fr-FR"/>
              </w:rPr>
              <w:t xml:space="preserve">Humira </w:t>
            </w:r>
          </w:p>
          <w:p w14:paraId="3D5EFD3D" w14:textId="77777777" w:rsidR="007048D1" w:rsidRPr="009C5EFD" w:rsidRDefault="00E453CD" w:rsidP="008B396C">
            <w:pPr>
              <w:pStyle w:val="TableText"/>
              <w:keepNext w:val="0"/>
              <w:jc w:val="center"/>
              <w:rPr>
                <w:b/>
                <w:bCs/>
                <w:sz w:val="22"/>
                <w:lang w:val="fr-FR"/>
              </w:rPr>
            </w:pPr>
            <w:r w:rsidRPr="009C5EFD">
              <w:rPr>
                <w:b/>
                <w:bCs/>
                <w:sz w:val="22"/>
                <w:lang w:val="fr-FR"/>
              </w:rPr>
              <w:t>160/80 mg</w:t>
            </w:r>
          </w:p>
          <w:p w14:paraId="0025E3B5" w14:textId="77777777" w:rsidR="007048D1" w:rsidRPr="009C5EFD" w:rsidRDefault="00E453CD" w:rsidP="008B396C">
            <w:pPr>
              <w:pStyle w:val="TableText"/>
              <w:keepNext w:val="0"/>
              <w:jc w:val="center"/>
              <w:rPr>
                <w:b/>
                <w:bCs/>
                <w:sz w:val="22"/>
                <w:lang w:val="en-GB"/>
              </w:rPr>
            </w:pPr>
            <w:r w:rsidRPr="009C5EFD">
              <w:rPr>
                <w:b/>
                <w:bCs/>
                <w:sz w:val="22"/>
                <w:lang w:val="en-GB"/>
              </w:rPr>
              <w:t>N=159</w:t>
            </w:r>
          </w:p>
        </w:tc>
      </w:tr>
      <w:tr w:rsidR="004644D4" w14:paraId="6C83BA5B" w14:textId="77777777" w:rsidTr="008B396C">
        <w:trPr>
          <w:cantSplit/>
        </w:trPr>
        <w:tc>
          <w:tcPr>
            <w:tcW w:w="2308" w:type="dxa"/>
            <w:vAlign w:val="bottom"/>
          </w:tcPr>
          <w:p w14:paraId="5407B8AF" w14:textId="77777777" w:rsidR="007048D1" w:rsidRPr="007F67EE" w:rsidRDefault="00E453CD" w:rsidP="008B396C">
            <w:pPr>
              <w:pStyle w:val="TableText"/>
              <w:keepNext w:val="0"/>
              <w:rPr>
                <w:sz w:val="22"/>
                <w:lang w:val="en-GB"/>
              </w:rPr>
            </w:pPr>
            <w:r w:rsidRPr="007F67EE">
              <w:rPr>
                <w:sz w:val="22"/>
                <w:lang w:val="en-GB"/>
              </w:rPr>
              <w:t>Uke 4</w:t>
            </w:r>
          </w:p>
        </w:tc>
        <w:tc>
          <w:tcPr>
            <w:tcW w:w="1192" w:type="dxa"/>
            <w:vAlign w:val="bottom"/>
          </w:tcPr>
          <w:p w14:paraId="47450411" w14:textId="77777777" w:rsidR="007048D1" w:rsidRPr="00193D76" w:rsidRDefault="007048D1" w:rsidP="008B396C">
            <w:pPr>
              <w:pStyle w:val="TableText"/>
              <w:keepNext w:val="0"/>
              <w:rPr>
                <w:sz w:val="22"/>
                <w:lang w:val="en-GB"/>
              </w:rPr>
            </w:pPr>
          </w:p>
        </w:tc>
        <w:tc>
          <w:tcPr>
            <w:tcW w:w="1249" w:type="dxa"/>
            <w:vAlign w:val="bottom"/>
          </w:tcPr>
          <w:p w14:paraId="3DB9C8A2" w14:textId="77777777" w:rsidR="007048D1" w:rsidRPr="009C5EFD" w:rsidRDefault="007048D1" w:rsidP="008B396C">
            <w:pPr>
              <w:pStyle w:val="TableText"/>
              <w:keepNext w:val="0"/>
              <w:rPr>
                <w:sz w:val="22"/>
                <w:lang w:val="en-GB"/>
              </w:rPr>
            </w:pPr>
          </w:p>
        </w:tc>
        <w:tc>
          <w:tcPr>
            <w:tcW w:w="1176" w:type="dxa"/>
            <w:vAlign w:val="bottom"/>
          </w:tcPr>
          <w:p w14:paraId="1B52BB22" w14:textId="77777777" w:rsidR="007048D1" w:rsidRPr="009C5EFD" w:rsidRDefault="007048D1" w:rsidP="008B396C">
            <w:pPr>
              <w:pStyle w:val="TableText"/>
              <w:keepNext w:val="0"/>
              <w:rPr>
                <w:sz w:val="22"/>
                <w:lang w:val="en-GB"/>
              </w:rPr>
            </w:pPr>
          </w:p>
        </w:tc>
        <w:tc>
          <w:tcPr>
            <w:tcW w:w="1495" w:type="dxa"/>
            <w:vAlign w:val="bottom"/>
          </w:tcPr>
          <w:p w14:paraId="4FE1B761" w14:textId="77777777" w:rsidR="007048D1" w:rsidRPr="009C5EFD" w:rsidRDefault="007048D1" w:rsidP="008B396C">
            <w:pPr>
              <w:pStyle w:val="TableText"/>
              <w:keepNext w:val="0"/>
              <w:rPr>
                <w:sz w:val="22"/>
                <w:lang w:val="en-GB"/>
              </w:rPr>
            </w:pPr>
          </w:p>
        </w:tc>
        <w:tc>
          <w:tcPr>
            <w:tcW w:w="1818" w:type="dxa"/>
            <w:vAlign w:val="bottom"/>
          </w:tcPr>
          <w:p w14:paraId="2144EEA3" w14:textId="77777777" w:rsidR="007048D1" w:rsidRPr="009C5EFD" w:rsidRDefault="007048D1" w:rsidP="008B396C">
            <w:pPr>
              <w:pStyle w:val="TableText"/>
              <w:keepNext w:val="0"/>
              <w:rPr>
                <w:sz w:val="22"/>
                <w:lang w:val="en-GB"/>
              </w:rPr>
            </w:pPr>
          </w:p>
        </w:tc>
      </w:tr>
      <w:tr w:rsidR="004644D4" w14:paraId="2FAE3636" w14:textId="77777777" w:rsidTr="008B396C">
        <w:trPr>
          <w:cantSplit/>
        </w:trPr>
        <w:tc>
          <w:tcPr>
            <w:tcW w:w="2308" w:type="dxa"/>
            <w:vAlign w:val="bottom"/>
          </w:tcPr>
          <w:p w14:paraId="1491186B" w14:textId="77777777" w:rsidR="007048D1" w:rsidRPr="007F67EE" w:rsidRDefault="00E453CD" w:rsidP="008B396C">
            <w:pPr>
              <w:pStyle w:val="TableText"/>
              <w:keepNext w:val="0"/>
              <w:rPr>
                <w:sz w:val="22"/>
                <w:lang w:val="en-GB"/>
              </w:rPr>
            </w:pPr>
            <w:r w:rsidRPr="007F67EE">
              <w:rPr>
                <w:sz w:val="22"/>
                <w:lang w:val="en-GB"/>
              </w:rPr>
              <w:t>Klinisk remisjon</w:t>
            </w:r>
          </w:p>
        </w:tc>
        <w:tc>
          <w:tcPr>
            <w:tcW w:w="1192" w:type="dxa"/>
            <w:vAlign w:val="bottom"/>
          </w:tcPr>
          <w:p w14:paraId="1D626EF4" w14:textId="77777777" w:rsidR="007048D1" w:rsidRPr="009C5EFD" w:rsidRDefault="00E453CD" w:rsidP="008B396C">
            <w:pPr>
              <w:pStyle w:val="TableText"/>
              <w:keepNext w:val="0"/>
              <w:jc w:val="center"/>
              <w:rPr>
                <w:sz w:val="22"/>
                <w:lang w:val="en-GB"/>
              </w:rPr>
            </w:pPr>
            <w:r w:rsidRPr="00193D76">
              <w:rPr>
                <w:sz w:val="22"/>
                <w:lang w:val="en-GB"/>
              </w:rPr>
              <w:t>12</w:t>
            </w:r>
            <w:r w:rsidRPr="009C5EFD">
              <w:rPr>
                <w:sz w:val="22"/>
                <w:lang w:val="en-GB"/>
              </w:rPr>
              <w:t xml:space="preserve"> %</w:t>
            </w:r>
          </w:p>
        </w:tc>
        <w:tc>
          <w:tcPr>
            <w:tcW w:w="1249" w:type="dxa"/>
            <w:vAlign w:val="bottom"/>
          </w:tcPr>
          <w:p w14:paraId="64475550" w14:textId="77777777" w:rsidR="007048D1" w:rsidRPr="009C5EFD" w:rsidRDefault="00E453CD" w:rsidP="008B396C">
            <w:pPr>
              <w:pStyle w:val="TableText"/>
              <w:keepNext w:val="0"/>
              <w:jc w:val="center"/>
              <w:rPr>
                <w:bCs/>
                <w:iCs/>
                <w:sz w:val="22"/>
                <w:lang w:val="en-GB"/>
              </w:rPr>
            </w:pPr>
            <w:r w:rsidRPr="009C5EFD">
              <w:rPr>
                <w:bCs/>
                <w:iCs/>
                <w:sz w:val="22"/>
                <w:lang w:val="en-GB"/>
              </w:rPr>
              <w:t>24 %</w:t>
            </w:r>
          </w:p>
        </w:tc>
        <w:tc>
          <w:tcPr>
            <w:tcW w:w="1176" w:type="dxa"/>
            <w:vAlign w:val="bottom"/>
          </w:tcPr>
          <w:p w14:paraId="1FA0D3A1" w14:textId="77777777" w:rsidR="007048D1" w:rsidRPr="009C5EFD" w:rsidRDefault="00E453CD" w:rsidP="008B396C">
            <w:pPr>
              <w:pStyle w:val="TableText"/>
              <w:keepNext w:val="0"/>
              <w:jc w:val="center"/>
              <w:rPr>
                <w:bCs/>
                <w:iCs/>
                <w:sz w:val="22"/>
                <w:lang w:val="en-GB"/>
              </w:rPr>
            </w:pPr>
            <w:r w:rsidRPr="009C5EFD">
              <w:rPr>
                <w:sz w:val="22"/>
                <w:lang w:val="en-GB"/>
              </w:rPr>
              <w:t>36 %</w:t>
            </w:r>
            <w:r w:rsidRPr="009C5EFD">
              <w:rPr>
                <w:sz w:val="22"/>
                <w:vertAlign w:val="superscript"/>
                <w:lang w:val="en-GB"/>
              </w:rPr>
              <w:t>*</w:t>
            </w:r>
          </w:p>
        </w:tc>
        <w:tc>
          <w:tcPr>
            <w:tcW w:w="1495" w:type="dxa"/>
            <w:vAlign w:val="bottom"/>
          </w:tcPr>
          <w:p w14:paraId="77E37ABC" w14:textId="77777777" w:rsidR="007048D1" w:rsidRPr="009C5EFD" w:rsidRDefault="00E453CD" w:rsidP="008B396C">
            <w:pPr>
              <w:pStyle w:val="TableText"/>
              <w:keepNext w:val="0"/>
              <w:jc w:val="center"/>
              <w:rPr>
                <w:sz w:val="22"/>
                <w:lang w:val="en-GB"/>
              </w:rPr>
            </w:pPr>
            <w:r w:rsidRPr="009C5EFD">
              <w:rPr>
                <w:sz w:val="22"/>
                <w:lang w:val="en-GB"/>
              </w:rPr>
              <w:t>7 %</w:t>
            </w:r>
          </w:p>
        </w:tc>
        <w:tc>
          <w:tcPr>
            <w:tcW w:w="1818" w:type="dxa"/>
            <w:vAlign w:val="bottom"/>
          </w:tcPr>
          <w:p w14:paraId="6CE887CA" w14:textId="77777777" w:rsidR="007048D1" w:rsidRPr="009C5EFD" w:rsidRDefault="00E453CD" w:rsidP="008B396C">
            <w:pPr>
              <w:pStyle w:val="TableText"/>
              <w:keepNext w:val="0"/>
              <w:jc w:val="center"/>
              <w:rPr>
                <w:sz w:val="22"/>
                <w:lang w:val="en-GB"/>
              </w:rPr>
            </w:pPr>
            <w:r w:rsidRPr="009C5EFD">
              <w:rPr>
                <w:sz w:val="22"/>
                <w:lang w:val="en-GB"/>
              </w:rPr>
              <w:t>21 %</w:t>
            </w:r>
            <w:r w:rsidRPr="009C5EFD">
              <w:rPr>
                <w:sz w:val="22"/>
                <w:vertAlign w:val="superscript"/>
                <w:lang w:val="en-GB"/>
              </w:rPr>
              <w:t>*</w:t>
            </w:r>
          </w:p>
        </w:tc>
      </w:tr>
      <w:tr w:rsidR="004644D4" w14:paraId="24A20EEF" w14:textId="77777777" w:rsidTr="008B396C">
        <w:trPr>
          <w:cantSplit/>
        </w:trPr>
        <w:tc>
          <w:tcPr>
            <w:tcW w:w="2308" w:type="dxa"/>
            <w:tcBorders>
              <w:bottom w:val="single" w:sz="4" w:space="0" w:color="auto"/>
            </w:tcBorders>
          </w:tcPr>
          <w:p w14:paraId="496289C3" w14:textId="77777777" w:rsidR="007048D1" w:rsidRPr="007F67EE" w:rsidRDefault="00E453CD" w:rsidP="008B396C">
            <w:pPr>
              <w:pStyle w:val="TableText"/>
              <w:keepNext w:val="0"/>
              <w:rPr>
                <w:sz w:val="22"/>
                <w:lang w:val="en-GB"/>
              </w:rPr>
            </w:pPr>
            <w:r w:rsidRPr="007F67EE">
              <w:rPr>
                <w:sz w:val="22"/>
                <w:lang w:val="en-GB"/>
              </w:rPr>
              <w:t>Klinisk respons (CR-100)</w:t>
            </w:r>
          </w:p>
        </w:tc>
        <w:tc>
          <w:tcPr>
            <w:tcW w:w="1192" w:type="dxa"/>
            <w:tcBorders>
              <w:bottom w:val="single" w:sz="4" w:space="0" w:color="auto"/>
            </w:tcBorders>
          </w:tcPr>
          <w:p w14:paraId="644BD701" w14:textId="77777777" w:rsidR="007048D1" w:rsidRPr="009C5EFD" w:rsidRDefault="00E453CD" w:rsidP="008B396C">
            <w:pPr>
              <w:pStyle w:val="TableText"/>
              <w:keepNext w:val="0"/>
              <w:jc w:val="center"/>
              <w:rPr>
                <w:sz w:val="22"/>
                <w:lang w:val="en-GB"/>
              </w:rPr>
            </w:pPr>
            <w:r w:rsidRPr="00193D76">
              <w:rPr>
                <w:sz w:val="22"/>
                <w:lang w:val="en-GB"/>
              </w:rPr>
              <w:t>24</w:t>
            </w:r>
            <w:r w:rsidRPr="009C5EFD">
              <w:rPr>
                <w:sz w:val="22"/>
                <w:lang w:val="en-GB"/>
              </w:rPr>
              <w:t xml:space="preserve"> %</w:t>
            </w:r>
          </w:p>
        </w:tc>
        <w:tc>
          <w:tcPr>
            <w:tcW w:w="1249" w:type="dxa"/>
            <w:tcBorders>
              <w:bottom w:val="single" w:sz="4" w:space="0" w:color="auto"/>
            </w:tcBorders>
          </w:tcPr>
          <w:p w14:paraId="4C84210C" w14:textId="77777777" w:rsidR="007048D1" w:rsidRPr="009C5EFD" w:rsidRDefault="00E453CD" w:rsidP="008B396C">
            <w:pPr>
              <w:pStyle w:val="TableText"/>
              <w:keepNext w:val="0"/>
              <w:jc w:val="center"/>
              <w:rPr>
                <w:sz w:val="22"/>
                <w:lang w:val="en-GB"/>
              </w:rPr>
            </w:pPr>
            <w:r w:rsidRPr="009C5EFD">
              <w:rPr>
                <w:sz w:val="22"/>
                <w:lang w:val="en-GB"/>
              </w:rPr>
              <w:t>37 %</w:t>
            </w:r>
          </w:p>
        </w:tc>
        <w:tc>
          <w:tcPr>
            <w:tcW w:w="1176" w:type="dxa"/>
            <w:tcBorders>
              <w:bottom w:val="single" w:sz="4" w:space="0" w:color="auto"/>
            </w:tcBorders>
          </w:tcPr>
          <w:p w14:paraId="03F4A17B" w14:textId="77777777" w:rsidR="007048D1" w:rsidRPr="009C5EFD" w:rsidRDefault="00E453CD" w:rsidP="008B396C">
            <w:pPr>
              <w:pStyle w:val="TableText"/>
              <w:keepNext w:val="0"/>
              <w:jc w:val="center"/>
              <w:rPr>
                <w:sz w:val="22"/>
                <w:lang w:val="en-GB"/>
              </w:rPr>
            </w:pPr>
            <w:r w:rsidRPr="009C5EFD">
              <w:rPr>
                <w:sz w:val="22"/>
                <w:lang w:val="en-GB"/>
              </w:rPr>
              <w:t>49 %</w:t>
            </w:r>
            <w:r w:rsidRPr="009C5EFD">
              <w:rPr>
                <w:sz w:val="22"/>
                <w:vertAlign w:val="superscript"/>
                <w:lang w:val="en-GB"/>
              </w:rPr>
              <w:t>**</w:t>
            </w:r>
          </w:p>
        </w:tc>
        <w:tc>
          <w:tcPr>
            <w:tcW w:w="1495" w:type="dxa"/>
            <w:tcBorders>
              <w:bottom w:val="single" w:sz="4" w:space="0" w:color="auto"/>
            </w:tcBorders>
          </w:tcPr>
          <w:p w14:paraId="5AE3902C" w14:textId="77777777" w:rsidR="007048D1" w:rsidRPr="009C5EFD" w:rsidRDefault="00E453CD" w:rsidP="008B396C">
            <w:pPr>
              <w:pStyle w:val="TableText"/>
              <w:keepNext w:val="0"/>
              <w:jc w:val="center"/>
              <w:rPr>
                <w:sz w:val="22"/>
                <w:lang w:val="en-GB"/>
              </w:rPr>
            </w:pPr>
            <w:r w:rsidRPr="009C5EFD">
              <w:rPr>
                <w:sz w:val="22"/>
                <w:lang w:val="en-GB"/>
              </w:rPr>
              <w:t>25 %</w:t>
            </w:r>
          </w:p>
        </w:tc>
        <w:tc>
          <w:tcPr>
            <w:tcW w:w="1818" w:type="dxa"/>
            <w:tcBorders>
              <w:bottom w:val="single" w:sz="4" w:space="0" w:color="auto"/>
            </w:tcBorders>
          </w:tcPr>
          <w:p w14:paraId="671ED36E" w14:textId="77777777" w:rsidR="007048D1" w:rsidRPr="009C5EFD" w:rsidRDefault="00E453CD" w:rsidP="008B396C">
            <w:pPr>
              <w:pStyle w:val="TableText"/>
              <w:keepNext w:val="0"/>
              <w:jc w:val="center"/>
              <w:rPr>
                <w:sz w:val="22"/>
                <w:lang w:val="en-GB"/>
              </w:rPr>
            </w:pPr>
            <w:r w:rsidRPr="009C5EFD">
              <w:rPr>
                <w:sz w:val="22"/>
                <w:lang w:val="en-GB"/>
              </w:rPr>
              <w:t>38 %</w:t>
            </w:r>
            <w:r w:rsidRPr="009C5EFD">
              <w:rPr>
                <w:sz w:val="22"/>
                <w:vertAlign w:val="superscript"/>
                <w:lang w:val="en-GB"/>
              </w:rPr>
              <w:t>**</w:t>
            </w:r>
          </w:p>
        </w:tc>
      </w:tr>
      <w:tr w:rsidR="004644D4" w14:paraId="3178A43B" w14:textId="77777777" w:rsidTr="008B396C">
        <w:trPr>
          <w:cantSplit/>
        </w:trPr>
        <w:tc>
          <w:tcPr>
            <w:tcW w:w="9238" w:type="dxa"/>
            <w:gridSpan w:val="6"/>
            <w:tcBorders>
              <w:left w:val="nil"/>
              <w:bottom w:val="nil"/>
              <w:right w:val="nil"/>
            </w:tcBorders>
          </w:tcPr>
          <w:p w14:paraId="7823B6D8" w14:textId="77777777" w:rsidR="007048D1" w:rsidRPr="009C5EFD" w:rsidRDefault="00E453CD" w:rsidP="008B396C">
            <w:pPr>
              <w:pStyle w:val="TableText"/>
              <w:keepNext w:val="0"/>
              <w:spacing w:before="0" w:after="0"/>
              <w:rPr>
                <w:sz w:val="22"/>
                <w:lang w:val="nb-NO"/>
              </w:rPr>
            </w:pPr>
            <w:r w:rsidRPr="007F67EE">
              <w:rPr>
                <w:sz w:val="22"/>
                <w:lang w:val="nb-NO"/>
              </w:rPr>
              <w:t>Alle p-v</w:t>
            </w:r>
            <w:r w:rsidRPr="00193D76">
              <w:rPr>
                <w:sz w:val="22"/>
                <w:lang w:val="nb-NO"/>
              </w:rPr>
              <w:t>erdiene</w:t>
            </w:r>
            <w:r w:rsidRPr="002D0790">
              <w:rPr>
                <w:sz w:val="22"/>
                <w:lang w:val="nb-NO"/>
              </w:rPr>
              <w:t xml:space="preserve"> er parvise sammenligninger av forholdene Humira </w:t>
            </w:r>
            <w:r w:rsidRPr="00E14E58">
              <w:rPr>
                <w:i/>
                <w:iCs/>
                <w:sz w:val="22"/>
                <w:lang w:val="nb-NO"/>
              </w:rPr>
              <w:t>versus</w:t>
            </w:r>
            <w:r w:rsidRPr="009C5EFD">
              <w:rPr>
                <w:sz w:val="22"/>
                <w:lang w:val="nb-NO"/>
              </w:rPr>
              <w:t xml:space="preserve"> placebo</w:t>
            </w:r>
          </w:p>
          <w:p w14:paraId="0D2A7C60" w14:textId="77777777" w:rsidR="007048D1" w:rsidRPr="009C5EFD" w:rsidRDefault="00E453CD" w:rsidP="008B396C">
            <w:pPr>
              <w:pStyle w:val="TableText"/>
              <w:keepNext w:val="0"/>
              <w:spacing w:before="0" w:after="0"/>
              <w:rPr>
                <w:sz w:val="22"/>
                <w:lang w:val="en-GB"/>
              </w:rPr>
            </w:pPr>
            <w:r w:rsidRPr="009C5EFD">
              <w:rPr>
                <w:sz w:val="22"/>
                <w:vertAlign w:val="superscript"/>
                <w:lang w:val="en-GB"/>
              </w:rPr>
              <w:t>*</w:t>
            </w:r>
            <w:r w:rsidRPr="009C5EFD">
              <w:rPr>
                <w:sz w:val="22"/>
                <w:lang w:val="en-GB"/>
              </w:rPr>
              <w:tab/>
              <w:t>p &lt; 0,001</w:t>
            </w:r>
          </w:p>
          <w:p w14:paraId="31F224C0" w14:textId="77777777" w:rsidR="007048D1" w:rsidRPr="009C5EFD" w:rsidRDefault="00E453CD" w:rsidP="008B396C">
            <w:pPr>
              <w:pStyle w:val="TableText"/>
              <w:keepNext w:val="0"/>
              <w:spacing w:before="0" w:after="0"/>
              <w:rPr>
                <w:sz w:val="22"/>
                <w:lang w:val="en-GB"/>
              </w:rPr>
            </w:pPr>
            <w:r w:rsidRPr="009C5EFD">
              <w:rPr>
                <w:sz w:val="22"/>
                <w:vertAlign w:val="superscript"/>
                <w:lang w:val="en-GB"/>
              </w:rPr>
              <w:t>**</w:t>
            </w:r>
            <w:r w:rsidRPr="009C5EFD">
              <w:rPr>
                <w:sz w:val="22"/>
                <w:lang w:val="en-GB"/>
              </w:rPr>
              <w:tab/>
              <w:t>p &lt; 0,01</w:t>
            </w:r>
          </w:p>
        </w:tc>
      </w:tr>
    </w:tbl>
    <w:p w14:paraId="7C413409" w14:textId="77777777" w:rsidR="007048D1" w:rsidRPr="007F67EE" w:rsidRDefault="007048D1" w:rsidP="007048D1">
      <w:pPr>
        <w:pStyle w:val="Heading8"/>
        <w:keepNext w:val="0"/>
        <w:rPr>
          <w:szCs w:val="22"/>
        </w:rPr>
      </w:pPr>
    </w:p>
    <w:p w14:paraId="6C763DD8" w14:textId="77777777" w:rsidR="007048D1" w:rsidRPr="002D0790" w:rsidRDefault="00E453CD" w:rsidP="007048D1">
      <w:pPr>
        <w:rPr>
          <w:sz w:val="22"/>
          <w:szCs w:val="22"/>
        </w:rPr>
      </w:pPr>
      <w:r w:rsidRPr="007F67EE">
        <w:rPr>
          <w:sz w:val="22"/>
          <w:szCs w:val="22"/>
        </w:rPr>
        <w:t>Lignende resmisjonsnivåer ble observert ved uk</w:t>
      </w:r>
      <w:r w:rsidRPr="00193D76">
        <w:rPr>
          <w:sz w:val="22"/>
          <w:szCs w:val="22"/>
        </w:rPr>
        <w:t>e</w:t>
      </w:r>
      <w:r w:rsidR="00436CE2">
        <w:rPr>
          <w:sz w:val="22"/>
          <w:szCs w:val="22"/>
        </w:rPr>
        <w:t> </w:t>
      </w:r>
      <w:r w:rsidRPr="00193D76">
        <w:rPr>
          <w:sz w:val="22"/>
          <w:szCs w:val="22"/>
        </w:rPr>
        <w:t>8 for induksjonsregimene med 160/80 mg og 80/40</w:t>
      </w:r>
      <w:r w:rsidR="00436CE2">
        <w:rPr>
          <w:sz w:val="22"/>
          <w:szCs w:val="22"/>
        </w:rPr>
        <w:t> </w:t>
      </w:r>
      <w:r w:rsidRPr="00193D76">
        <w:rPr>
          <w:sz w:val="22"/>
          <w:szCs w:val="22"/>
        </w:rPr>
        <w:t xml:space="preserve">mg, og bivirkninger ble hyppigere </w:t>
      </w:r>
      <w:r w:rsidRPr="002D0790">
        <w:rPr>
          <w:color w:val="000000"/>
          <w:sz w:val="22"/>
          <w:szCs w:val="22"/>
        </w:rPr>
        <w:t xml:space="preserve">observert </w:t>
      </w:r>
      <w:r w:rsidRPr="002D0790">
        <w:rPr>
          <w:sz w:val="22"/>
          <w:szCs w:val="22"/>
        </w:rPr>
        <w:t>i gruppen med 160/80</w:t>
      </w:r>
      <w:r w:rsidR="00436CE2">
        <w:rPr>
          <w:sz w:val="22"/>
          <w:szCs w:val="22"/>
        </w:rPr>
        <w:t> </w:t>
      </w:r>
      <w:r w:rsidRPr="002D0790">
        <w:rPr>
          <w:sz w:val="22"/>
          <w:szCs w:val="22"/>
        </w:rPr>
        <w:t>mg.</w:t>
      </w:r>
    </w:p>
    <w:p w14:paraId="0F2F7BFC" w14:textId="77777777" w:rsidR="007048D1" w:rsidRPr="00E14E58" w:rsidRDefault="007048D1" w:rsidP="007048D1">
      <w:pPr>
        <w:rPr>
          <w:sz w:val="22"/>
          <w:szCs w:val="22"/>
        </w:rPr>
      </w:pPr>
    </w:p>
    <w:p w14:paraId="2BB43768" w14:textId="77777777" w:rsidR="007048D1" w:rsidRPr="009C5EFD" w:rsidRDefault="00E453CD" w:rsidP="007048D1">
      <w:pPr>
        <w:pStyle w:val="Heading8"/>
        <w:keepNext w:val="0"/>
        <w:rPr>
          <w:szCs w:val="22"/>
          <w:u w:val="none"/>
        </w:rPr>
      </w:pPr>
      <w:r w:rsidRPr="009C5EFD">
        <w:rPr>
          <w:szCs w:val="22"/>
          <w:u w:val="none"/>
        </w:rPr>
        <w:t>Ved uke</w:t>
      </w:r>
      <w:r w:rsidR="00436CE2">
        <w:rPr>
          <w:szCs w:val="22"/>
          <w:u w:val="none"/>
        </w:rPr>
        <w:t> </w:t>
      </w:r>
      <w:r w:rsidRPr="009C5EFD">
        <w:rPr>
          <w:szCs w:val="22"/>
          <w:u w:val="none"/>
        </w:rPr>
        <w:t>4 i CD-studie III oppnådde 58</w:t>
      </w:r>
      <w:r w:rsidR="00436CE2">
        <w:rPr>
          <w:szCs w:val="22"/>
          <w:u w:val="none"/>
        </w:rPr>
        <w:t> </w:t>
      </w:r>
      <w:r w:rsidRPr="009C5EFD">
        <w:rPr>
          <w:szCs w:val="22"/>
          <w:u w:val="none"/>
        </w:rPr>
        <w:t>% (499/854) av pasienter klinisk respons og ble vurdert i den primære analysen. Av de som oppnådde klinisk respons ved uke</w:t>
      </w:r>
      <w:r w:rsidR="00436CE2">
        <w:rPr>
          <w:szCs w:val="22"/>
          <w:u w:val="none"/>
        </w:rPr>
        <w:t> </w:t>
      </w:r>
      <w:r w:rsidRPr="009C5EFD">
        <w:rPr>
          <w:szCs w:val="22"/>
          <w:u w:val="none"/>
        </w:rPr>
        <w:t>4, var 48</w:t>
      </w:r>
      <w:r w:rsidR="00436CE2">
        <w:rPr>
          <w:szCs w:val="22"/>
          <w:u w:val="none"/>
        </w:rPr>
        <w:t> </w:t>
      </w:r>
      <w:r w:rsidRPr="009C5EFD">
        <w:rPr>
          <w:szCs w:val="22"/>
          <w:u w:val="none"/>
        </w:rPr>
        <w:t xml:space="preserve">% tidligere behandlet med </w:t>
      </w:r>
      <w:r w:rsidRPr="009C5EFD">
        <w:rPr>
          <w:color w:val="000000"/>
          <w:szCs w:val="22"/>
          <w:u w:val="none"/>
        </w:rPr>
        <w:t>andre</w:t>
      </w:r>
      <w:r w:rsidRPr="009C5EFD">
        <w:rPr>
          <w:szCs w:val="22"/>
          <w:u w:val="none"/>
        </w:rPr>
        <w:t xml:space="preserve"> TNF-antagonister. Vedlikehold av remisjon og responsnivåer er vist i tabell</w:t>
      </w:r>
      <w:r w:rsidR="00436CE2">
        <w:rPr>
          <w:szCs w:val="22"/>
          <w:u w:val="none"/>
        </w:rPr>
        <w:t> </w:t>
      </w:r>
      <w:r w:rsidR="00A457B0">
        <w:rPr>
          <w:szCs w:val="22"/>
          <w:u w:val="none"/>
        </w:rPr>
        <w:t>15</w:t>
      </w:r>
      <w:r w:rsidRPr="009C5EFD">
        <w:rPr>
          <w:szCs w:val="22"/>
          <w:u w:val="none"/>
        </w:rPr>
        <w:t>. Resultater for klinisk remisjon var relativt konstante, uavhengig av tidligere behandling med TNF-antagonist.</w:t>
      </w:r>
    </w:p>
    <w:p w14:paraId="3BBE67D9" w14:textId="77777777" w:rsidR="007048D1" w:rsidRPr="009C5EFD" w:rsidRDefault="007048D1" w:rsidP="007048D1"/>
    <w:p w14:paraId="12A2CC39" w14:textId="77777777" w:rsidR="007048D1" w:rsidRPr="009C5EFD" w:rsidRDefault="00E453CD" w:rsidP="007048D1">
      <w:pPr>
        <w:rPr>
          <w:sz w:val="22"/>
          <w:szCs w:val="22"/>
        </w:rPr>
      </w:pPr>
      <w:r w:rsidRPr="009C5EFD">
        <w:rPr>
          <w:sz w:val="22"/>
          <w:szCs w:val="22"/>
        </w:rPr>
        <w:t>Sykdomsrelatert sykehusinnleggelse og kirurgi var statistisk signifikant redusert med adalimumab sammenlignet med placebo ved uke</w:t>
      </w:r>
      <w:r w:rsidR="00436CE2">
        <w:rPr>
          <w:sz w:val="22"/>
          <w:szCs w:val="22"/>
        </w:rPr>
        <w:t> </w:t>
      </w:r>
      <w:r w:rsidRPr="009C5EFD">
        <w:rPr>
          <w:sz w:val="22"/>
          <w:szCs w:val="22"/>
        </w:rPr>
        <w:t>56.</w:t>
      </w:r>
    </w:p>
    <w:p w14:paraId="0A8158C3" w14:textId="77777777" w:rsidR="007048D1" w:rsidRPr="009C5EFD" w:rsidRDefault="007048D1" w:rsidP="007048D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9"/>
        <w:gridCol w:w="1739"/>
        <w:gridCol w:w="1918"/>
        <w:gridCol w:w="1691"/>
      </w:tblGrid>
      <w:tr w:rsidR="004644D4" w14:paraId="06A7DC10" w14:textId="77777777" w:rsidTr="008B396C">
        <w:trPr>
          <w:cantSplit/>
        </w:trPr>
        <w:tc>
          <w:tcPr>
            <w:tcW w:w="9020" w:type="dxa"/>
            <w:gridSpan w:val="4"/>
            <w:tcBorders>
              <w:top w:val="nil"/>
              <w:left w:val="nil"/>
              <w:right w:val="nil"/>
            </w:tcBorders>
          </w:tcPr>
          <w:p w14:paraId="1F36F135" w14:textId="77777777" w:rsidR="007048D1" w:rsidRPr="009C5EFD" w:rsidRDefault="00E453CD" w:rsidP="008B396C">
            <w:pPr>
              <w:pStyle w:val="TableText"/>
              <w:jc w:val="center"/>
              <w:rPr>
                <w:b/>
                <w:bCs/>
                <w:sz w:val="22"/>
                <w:lang w:val="nb-NO"/>
              </w:rPr>
            </w:pPr>
            <w:r w:rsidRPr="009C5EFD">
              <w:rPr>
                <w:b/>
                <w:bCs/>
                <w:sz w:val="22"/>
                <w:lang w:val="nb-NO"/>
              </w:rPr>
              <w:lastRenderedPageBreak/>
              <w:t>Tab</w:t>
            </w:r>
            <w:r w:rsidR="006B55F0">
              <w:rPr>
                <w:b/>
                <w:bCs/>
                <w:sz w:val="22"/>
                <w:lang w:val="nb-NO"/>
              </w:rPr>
              <w:t>el</w:t>
            </w:r>
            <w:r w:rsidRPr="009C5EFD">
              <w:rPr>
                <w:b/>
                <w:bCs/>
                <w:sz w:val="22"/>
                <w:lang w:val="nb-NO"/>
              </w:rPr>
              <w:t xml:space="preserve">l </w:t>
            </w:r>
            <w:r w:rsidR="00A457B0">
              <w:rPr>
                <w:b/>
                <w:bCs/>
                <w:sz w:val="22"/>
                <w:lang w:val="nb-NO"/>
              </w:rPr>
              <w:t>15</w:t>
            </w:r>
          </w:p>
          <w:p w14:paraId="19D032DB" w14:textId="77777777" w:rsidR="007048D1" w:rsidRPr="009C5EFD" w:rsidRDefault="00E453CD" w:rsidP="008B396C">
            <w:pPr>
              <w:pStyle w:val="TableText"/>
              <w:jc w:val="center"/>
              <w:rPr>
                <w:b/>
                <w:bCs/>
                <w:sz w:val="22"/>
                <w:lang w:val="nb-NO"/>
              </w:rPr>
            </w:pPr>
            <w:r w:rsidRPr="009C5EFD">
              <w:rPr>
                <w:b/>
                <w:bCs/>
                <w:sz w:val="22"/>
                <w:lang w:val="nb-NO"/>
              </w:rPr>
              <w:t>Vedlikehold av klinisk remisjon og respons</w:t>
            </w:r>
          </w:p>
          <w:p w14:paraId="633BC2AA" w14:textId="77777777" w:rsidR="007048D1" w:rsidRPr="00637363" w:rsidRDefault="00E453CD" w:rsidP="008B396C">
            <w:pPr>
              <w:pStyle w:val="TableText"/>
              <w:jc w:val="center"/>
              <w:rPr>
                <w:b/>
                <w:bCs/>
                <w:sz w:val="22"/>
                <w:lang w:val="nb-NO"/>
              </w:rPr>
            </w:pPr>
            <w:r w:rsidRPr="00637363">
              <w:rPr>
                <w:b/>
                <w:bCs/>
                <w:sz w:val="22"/>
                <w:lang w:val="nb-NO"/>
              </w:rPr>
              <w:t>(Prosent av pasientene)</w:t>
            </w:r>
          </w:p>
        </w:tc>
      </w:tr>
      <w:tr w:rsidR="004644D4" w14:paraId="4A57CC3E" w14:textId="77777777" w:rsidTr="008B396C">
        <w:tc>
          <w:tcPr>
            <w:tcW w:w="3641" w:type="dxa"/>
          </w:tcPr>
          <w:p w14:paraId="70B1FF4B" w14:textId="77777777" w:rsidR="007048D1" w:rsidRPr="00637363" w:rsidRDefault="007048D1" w:rsidP="008B396C">
            <w:pPr>
              <w:pStyle w:val="TableText"/>
              <w:rPr>
                <w:b/>
                <w:bCs/>
                <w:sz w:val="22"/>
                <w:lang w:val="nb-NO"/>
              </w:rPr>
            </w:pPr>
          </w:p>
        </w:tc>
        <w:tc>
          <w:tcPr>
            <w:tcW w:w="1751" w:type="dxa"/>
          </w:tcPr>
          <w:p w14:paraId="779BC3E6" w14:textId="77777777" w:rsidR="007048D1" w:rsidRPr="007F67EE" w:rsidRDefault="00E453CD" w:rsidP="008B396C">
            <w:pPr>
              <w:pStyle w:val="TableText"/>
              <w:jc w:val="center"/>
              <w:rPr>
                <w:b/>
                <w:bCs/>
                <w:sz w:val="22"/>
                <w:lang w:val="en-GB"/>
              </w:rPr>
            </w:pPr>
            <w:r w:rsidRPr="007F67EE">
              <w:rPr>
                <w:b/>
                <w:bCs/>
                <w:sz w:val="22"/>
                <w:lang w:val="en-GB"/>
              </w:rPr>
              <w:t>Placebo</w:t>
            </w:r>
          </w:p>
        </w:tc>
        <w:tc>
          <w:tcPr>
            <w:tcW w:w="1928" w:type="dxa"/>
          </w:tcPr>
          <w:p w14:paraId="2DB73EE0" w14:textId="77777777" w:rsidR="007048D1" w:rsidRPr="002D0790" w:rsidRDefault="00E453CD" w:rsidP="008B396C">
            <w:pPr>
              <w:pStyle w:val="TableText"/>
              <w:jc w:val="center"/>
              <w:rPr>
                <w:b/>
                <w:bCs/>
                <w:sz w:val="22"/>
                <w:lang w:val="en-GB"/>
              </w:rPr>
            </w:pPr>
            <w:r w:rsidRPr="00193D76">
              <w:rPr>
                <w:b/>
                <w:bCs/>
                <w:sz w:val="22"/>
                <w:lang w:val="en-GB"/>
              </w:rPr>
              <w:t>40 mg Humira</w:t>
            </w:r>
            <w:r w:rsidRPr="00193D76">
              <w:rPr>
                <w:b/>
                <w:bCs/>
                <w:sz w:val="22"/>
                <w:lang w:val="en-GB"/>
              </w:rPr>
              <w:br/>
            </w:r>
            <w:r w:rsidRPr="002D0790">
              <w:rPr>
                <w:b/>
                <w:bCs/>
                <w:sz w:val="22"/>
                <w:lang w:val="en-GB"/>
              </w:rPr>
              <w:t>annenhver uke</w:t>
            </w:r>
          </w:p>
        </w:tc>
        <w:tc>
          <w:tcPr>
            <w:tcW w:w="1700" w:type="dxa"/>
          </w:tcPr>
          <w:p w14:paraId="69F3D5A3" w14:textId="77777777" w:rsidR="007048D1" w:rsidRPr="009C5EFD" w:rsidRDefault="00E453CD" w:rsidP="008B396C">
            <w:pPr>
              <w:pStyle w:val="TableText"/>
              <w:jc w:val="center"/>
              <w:rPr>
                <w:b/>
                <w:bCs/>
                <w:sz w:val="22"/>
                <w:lang w:val="en-GB"/>
              </w:rPr>
            </w:pPr>
            <w:r w:rsidRPr="002D0790">
              <w:rPr>
                <w:b/>
                <w:bCs/>
                <w:sz w:val="22"/>
                <w:lang w:val="en-GB"/>
              </w:rPr>
              <w:t xml:space="preserve">40 mg </w:t>
            </w:r>
            <w:r w:rsidRPr="009C5EFD">
              <w:rPr>
                <w:b/>
                <w:bCs/>
                <w:sz w:val="22"/>
                <w:lang w:val="en-GB"/>
              </w:rPr>
              <w:t>Humira</w:t>
            </w:r>
            <w:r w:rsidRPr="009C5EFD">
              <w:rPr>
                <w:b/>
                <w:bCs/>
                <w:sz w:val="22"/>
                <w:lang w:val="en-GB"/>
              </w:rPr>
              <w:br/>
              <w:t>hver uke</w:t>
            </w:r>
          </w:p>
        </w:tc>
      </w:tr>
      <w:tr w:rsidR="004644D4" w14:paraId="70610DC6" w14:textId="77777777" w:rsidTr="008B396C">
        <w:tc>
          <w:tcPr>
            <w:tcW w:w="3641" w:type="dxa"/>
          </w:tcPr>
          <w:p w14:paraId="2543544C" w14:textId="77777777" w:rsidR="007048D1" w:rsidRPr="007F67EE" w:rsidRDefault="00E453CD" w:rsidP="008B396C">
            <w:pPr>
              <w:pStyle w:val="TableText"/>
              <w:rPr>
                <w:b/>
                <w:bCs/>
                <w:sz w:val="22"/>
                <w:lang w:val="en-GB"/>
              </w:rPr>
            </w:pPr>
            <w:r w:rsidRPr="007F67EE">
              <w:rPr>
                <w:b/>
                <w:bCs/>
                <w:sz w:val="22"/>
                <w:lang w:val="en-GB"/>
              </w:rPr>
              <w:t>Uke 26</w:t>
            </w:r>
          </w:p>
        </w:tc>
        <w:tc>
          <w:tcPr>
            <w:tcW w:w="1751" w:type="dxa"/>
          </w:tcPr>
          <w:p w14:paraId="23059F0F" w14:textId="77777777" w:rsidR="007048D1" w:rsidRPr="00193D76" w:rsidRDefault="00E453CD" w:rsidP="008B396C">
            <w:pPr>
              <w:pStyle w:val="TableText"/>
              <w:jc w:val="center"/>
              <w:rPr>
                <w:b/>
                <w:bCs/>
                <w:sz w:val="22"/>
                <w:lang w:val="en-GB"/>
              </w:rPr>
            </w:pPr>
            <w:r w:rsidRPr="00193D76">
              <w:rPr>
                <w:b/>
                <w:bCs/>
                <w:sz w:val="22"/>
                <w:lang w:val="en-GB"/>
              </w:rPr>
              <w:t>N=170</w:t>
            </w:r>
          </w:p>
        </w:tc>
        <w:tc>
          <w:tcPr>
            <w:tcW w:w="1928" w:type="dxa"/>
          </w:tcPr>
          <w:p w14:paraId="29B3C5D0" w14:textId="77777777" w:rsidR="007048D1" w:rsidRPr="00E14E58" w:rsidRDefault="00E453CD" w:rsidP="008B396C">
            <w:pPr>
              <w:pStyle w:val="TableText"/>
              <w:jc w:val="center"/>
              <w:rPr>
                <w:b/>
                <w:bCs/>
                <w:sz w:val="22"/>
                <w:lang w:val="en-GB"/>
              </w:rPr>
            </w:pPr>
            <w:r w:rsidRPr="00E14E58">
              <w:rPr>
                <w:b/>
                <w:bCs/>
                <w:sz w:val="22"/>
                <w:lang w:val="en-GB"/>
              </w:rPr>
              <w:t>N=172</w:t>
            </w:r>
          </w:p>
        </w:tc>
        <w:tc>
          <w:tcPr>
            <w:tcW w:w="1700" w:type="dxa"/>
          </w:tcPr>
          <w:p w14:paraId="70B87B5A" w14:textId="77777777" w:rsidR="007048D1" w:rsidRPr="009C5EFD" w:rsidRDefault="00E453CD" w:rsidP="008B396C">
            <w:pPr>
              <w:pStyle w:val="TableText"/>
              <w:jc w:val="center"/>
              <w:rPr>
                <w:b/>
                <w:bCs/>
                <w:sz w:val="22"/>
                <w:lang w:val="en-GB"/>
              </w:rPr>
            </w:pPr>
            <w:r w:rsidRPr="009C5EFD">
              <w:rPr>
                <w:b/>
                <w:bCs/>
                <w:sz w:val="22"/>
                <w:lang w:val="en-GB"/>
              </w:rPr>
              <w:t>N=157</w:t>
            </w:r>
          </w:p>
        </w:tc>
      </w:tr>
      <w:tr w:rsidR="004644D4" w14:paraId="593A981E" w14:textId="77777777" w:rsidTr="008B396C">
        <w:tc>
          <w:tcPr>
            <w:tcW w:w="3641" w:type="dxa"/>
          </w:tcPr>
          <w:p w14:paraId="565A5C4A" w14:textId="77777777" w:rsidR="007048D1" w:rsidRPr="007F67EE" w:rsidRDefault="00E453CD" w:rsidP="008B396C">
            <w:pPr>
              <w:pStyle w:val="TableText"/>
              <w:rPr>
                <w:sz w:val="22"/>
                <w:lang w:val="en-GB"/>
              </w:rPr>
            </w:pPr>
            <w:r w:rsidRPr="007F67EE">
              <w:rPr>
                <w:sz w:val="22"/>
                <w:lang w:val="en-GB"/>
              </w:rPr>
              <w:t>Klinisk remisjon</w:t>
            </w:r>
          </w:p>
        </w:tc>
        <w:tc>
          <w:tcPr>
            <w:tcW w:w="1751" w:type="dxa"/>
          </w:tcPr>
          <w:p w14:paraId="63936A5B" w14:textId="77777777" w:rsidR="007048D1" w:rsidRPr="009C5EFD" w:rsidRDefault="00E453CD" w:rsidP="008B396C">
            <w:pPr>
              <w:pStyle w:val="TableText"/>
              <w:jc w:val="center"/>
              <w:rPr>
                <w:sz w:val="22"/>
                <w:lang w:val="en-GB"/>
              </w:rPr>
            </w:pPr>
            <w:r w:rsidRPr="00193D76">
              <w:rPr>
                <w:sz w:val="22"/>
                <w:lang w:val="en-GB"/>
              </w:rPr>
              <w:t>17</w:t>
            </w:r>
            <w:r w:rsidRPr="00E14E58">
              <w:rPr>
                <w:sz w:val="22"/>
                <w:lang w:val="en-GB"/>
              </w:rPr>
              <w:t xml:space="preserve"> </w:t>
            </w:r>
            <w:r w:rsidRPr="009C5EFD">
              <w:rPr>
                <w:sz w:val="22"/>
                <w:lang w:val="en-GB"/>
              </w:rPr>
              <w:t>%</w:t>
            </w:r>
          </w:p>
        </w:tc>
        <w:tc>
          <w:tcPr>
            <w:tcW w:w="1928" w:type="dxa"/>
          </w:tcPr>
          <w:p w14:paraId="29641F58" w14:textId="77777777" w:rsidR="007048D1" w:rsidRPr="009C5EFD" w:rsidRDefault="00E453CD" w:rsidP="008B396C">
            <w:pPr>
              <w:pStyle w:val="TableText"/>
              <w:jc w:val="center"/>
              <w:rPr>
                <w:sz w:val="22"/>
                <w:lang w:val="en-GB"/>
              </w:rPr>
            </w:pPr>
            <w:r w:rsidRPr="009C5EFD">
              <w:rPr>
                <w:sz w:val="22"/>
                <w:lang w:val="en-GB"/>
              </w:rPr>
              <w:t>40 %*</w:t>
            </w:r>
          </w:p>
        </w:tc>
        <w:tc>
          <w:tcPr>
            <w:tcW w:w="1700" w:type="dxa"/>
          </w:tcPr>
          <w:p w14:paraId="0113373C" w14:textId="77777777" w:rsidR="007048D1" w:rsidRPr="009C5EFD" w:rsidRDefault="00E453CD" w:rsidP="008B396C">
            <w:pPr>
              <w:pStyle w:val="TableText"/>
              <w:jc w:val="center"/>
              <w:rPr>
                <w:sz w:val="22"/>
                <w:lang w:val="en-GB"/>
              </w:rPr>
            </w:pPr>
            <w:r w:rsidRPr="009C5EFD">
              <w:rPr>
                <w:sz w:val="22"/>
                <w:lang w:val="en-GB"/>
              </w:rPr>
              <w:t>47 %*</w:t>
            </w:r>
          </w:p>
        </w:tc>
      </w:tr>
      <w:tr w:rsidR="004644D4" w14:paraId="51EC7B00" w14:textId="77777777" w:rsidTr="008B396C">
        <w:tc>
          <w:tcPr>
            <w:tcW w:w="3641" w:type="dxa"/>
          </w:tcPr>
          <w:p w14:paraId="37EA8DE4" w14:textId="77777777" w:rsidR="007048D1" w:rsidRPr="007F67EE" w:rsidRDefault="00E453CD" w:rsidP="008B396C">
            <w:pPr>
              <w:pStyle w:val="TableText"/>
              <w:rPr>
                <w:sz w:val="22"/>
                <w:lang w:val="en-GB"/>
              </w:rPr>
            </w:pPr>
            <w:r w:rsidRPr="007F67EE">
              <w:rPr>
                <w:sz w:val="22"/>
                <w:lang w:val="en-GB"/>
              </w:rPr>
              <w:t>Klinisk respons (CR-100)</w:t>
            </w:r>
          </w:p>
        </w:tc>
        <w:tc>
          <w:tcPr>
            <w:tcW w:w="1751" w:type="dxa"/>
          </w:tcPr>
          <w:p w14:paraId="3C5244B6" w14:textId="77777777" w:rsidR="007048D1" w:rsidRPr="009C5EFD" w:rsidRDefault="00E453CD" w:rsidP="008B396C">
            <w:pPr>
              <w:pStyle w:val="TableText"/>
              <w:jc w:val="center"/>
              <w:rPr>
                <w:sz w:val="22"/>
                <w:lang w:val="en-GB"/>
              </w:rPr>
            </w:pPr>
            <w:r w:rsidRPr="00193D76">
              <w:rPr>
                <w:sz w:val="22"/>
                <w:lang w:val="en-GB"/>
              </w:rPr>
              <w:t>27</w:t>
            </w:r>
            <w:r w:rsidRPr="00E14E58">
              <w:rPr>
                <w:sz w:val="22"/>
                <w:lang w:val="en-GB"/>
              </w:rPr>
              <w:t xml:space="preserve"> </w:t>
            </w:r>
            <w:r w:rsidRPr="009C5EFD">
              <w:rPr>
                <w:sz w:val="22"/>
                <w:lang w:val="en-GB"/>
              </w:rPr>
              <w:t>%</w:t>
            </w:r>
          </w:p>
        </w:tc>
        <w:tc>
          <w:tcPr>
            <w:tcW w:w="1928" w:type="dxa"/>
          </w:tcPr>
          <w:p w14:paraId="3B22CEA3" w14:textId="77777777" w:rsidR="007048D1" w:rsidRPr="009C5EFD" w:rsidRDefault="00E453CD" w:rsidP="008B396C">
            <w:pPr>
              <w:pStyle w:val="TableText"/>
              <w:jc w:val="center"/>
              <w:rPr>
                <w:sz w:val="22"/>
                <w:lang w:val="en-GB"/>
              </w:rPr>
            </w:pPr>
            <w:r w:rsidRPr="009C5EFD">
              <w:rPr>
                <w:sz w:val="22"/>
                <w:lang w:val="en-GB"/>
              </w:rPr>
              <w:t>52 %*</w:t>
            </w:r>
          </w:p>
        </w:tc>
        <w:tc>
          <w:tcPr>
            <w:tcW w:w="1700" w:type="dxa"/>
          </w:tcPr>
          <w:p w14:paraId="415E18DC" w14:textId="77777777" w:rsidR="007048D1" w:rsidRPr="009C5EFD" w:rsidRDefault="00E453CD" w:rsidP="008B396C">
            <w:pPr>
              <w:pStyle w:val="TableText"/>
              <w:jc w:val="center"/>
              <w:rPr>
                <w:sz w:val="22"/>
                <w:lang w:val="en-GB"/>
              </w:rPr>
            </w:pPr>
            <w:r w:rsidRPr="009C5EFD">
              <w:rPr>
                <w:sz w:val="22"/>
                <w:lang w:val="en-GB"/>
              </w:rPr>
              <w:t>52 %*</w:t>
            </w:r>
          </w:p>
        </w:tc>
      </w:tr>
      <w:tr w:rsidR="004644D4" w14:paraId="595B35F6" w14:textId="77777777" w:rsidTr="008B396C">
        <w:tc>
          <w:tcPr>
            <w:tcW w:w="3641" w:type="dxa"/>
          </w:tcPr>
          <w:p w14:paraId="783788FC" w14:textId="77777777" w:rsidR="007048D1" w:rsidRPr="009C5EFD" w:rsidRDefault="00E453CD" w:rsidP="008B396C">
            <w:pPr>
              <w:pStyle w:val="TableText"/>
              <w:ind w:left="360"/>
              <w:rPr>
                <w:sz w:val="22"/>
                <w:lang w:val="nb-NO"/>
              </w:rPr>
            </w:pPr>
            <w:r w:rsidRPr="007F67EE">
              <w:rPr>
                <w:sz w:val="22"/>
                <w:lang w:val="nb-NO"/>
              </w:rPr>
              <w:t>Pasienter i steroidfr</w:t>
            </w:r>
            <w:r w:rsidRPr="00193D76">
              <w:rPr>
                <w:sz w:val="22"/>
                <w:lang w:val="nb-NO"/>
              </w:rPr>
              <w:t>i</w:t>
            </w:r>
            <w:r w:rsidRPr="00E14E58">
              <w:rPr>
                <w:sz w:val="22"/>
                <w:lang w:val="nb-NO"/>
              </w:rPr>
              <w:t xml:space="preserve"> remis</w:t>
            </w:r>
            <w:r w:rsidRPr="009C5EFD">
              <w:rPr>
                <w:sz w:val="22"/>
                <w:lang w:val="nb-NO"/>
              </w:rPr>
              <w:t xml:space="preserve">jon </w:t>
            </w:r>
            <w:r w:rsidRPr="009C5EFD">
              <w:rPr>
                <w:sz w:val="22"/>
                <w:lang w:val="nb-NO"/>
              </w:rPr>
              <w:br/>
              <w:t xml:space="preserve">for </w:t>
            </w:r>
            <w:r w:rsidRPr="009C5EFD">
              <w:rPr>
                <w:szCs w:val="22"/>
                <w:lang w:val="nb-NO"/>
              </w:rPr>
              <w:t>&gt;=</w:t>
            </w:r>
            <w:r w:rsidRPr="009C5EFD">
              <w:rPr>
                <w:sz w:val="22"/>
                <w:lang w:val="nb-NO"/>
              </w:rPr>
              <w:t xml:space="preserve"> 90 dager</w:t>
            </w:r>
            <w:r w:rsidRPr="009C5EFD">
              <w:rPr>
                <w:sz w:val="22"/>
                <w:vertAlign w:val="superscript"/>
                <w:lang w:val="nb-NO"/>
              </w:rPr>
              <w:t>a</w:t>
            </w:r>
          </w:p>
        </w:tc>
        <w:tc>
          <w:tcPr>
            <w:tcW w:w="1751" w:type="dxa"/>
          </w:tcPr>
          <w:p w14:paraId="058F3186" w14:textId="77777777" w:rsidR="007048D1" w:rsidRPr="009C5EFD" w:rsidRDefault="00E453CD" w:rsidP="008B396C">
            <w:pPr>
              <w:pStyle w:val="TableText"/>
              <w:jc w:val="center"/>
              <w:rPr>
                <w:sz w:val="22"/>
                <w:lang w:val="en-GB"/>
              </w:rPr>
            </w:pPr>
            <w:r w:rsidRPr="009C5EFD">
              <w:rPr>
                <w:sz w:val="22"/>
                <w:lang w:val="en-GB"/>
              </w:rPr>
              <w:t>3 % (2/66)</w:t>
            </w:r>
          </w:p>
        </w:tc>
        <w:tc>
          <w:tcPr>
            <w:tcW w:w="1928" w:type="dxa"/>
          </w:tcPr>
          <w:p w14:paraId="616B8C76" w14:textId="77777777" w:rsidR="007048D1" w:rsidRPr="009C5EFD" w:rsidRDefault="00E453CD" w:rsidP="008B396C">
            <w:pPr>
              <w:pStyle w:val="TableText"/>
              <w:jc w:val="center"/>
              <w:rPr>
                <w:sz w:val="22"/>
                <w:lang w:val="en-GB"/>
              </w:rPr>
            </w:pPr>
            <w:r w:rsidRPr="009C5EFD">
              <w:rPr>
                <w:sz w:val="22"/>
                <w:lang w:val="en-GB"/>
              </w:rPr>
              <w:t>19 % (11/58)**</w:t>
            </w:r>
          </w:p>
        </w:tc>
        <w:tc>
          <w:tcPr>
            <w:tcW w:w="1700" w:type="dxa"/>
          </w:tcPr>
          <w:p w14:paraId="75F88034" w14:textId="77777777" w:rsidR="007048D1" w:rsidRPr="009C5EFD" w:rsidRDefault="00E453CD" w:rsidP="008B396C">
            <w:pPr>
              <w:pStyle w:val="TableText"/>
              <w:jc w:val="center"/>
              <w:rPr>
                <w:sz w:val="22"/>
                <w:lang w:val="en-GB"/>
              </w:rPr>
            </w:pPr>
            <w:r w:rsidRPr="009C5EFD">
              <w:rPr>
                <w:sz w:val="22"/>
                <w:lang w:val="en-GB"/>
              </w:rPr>
              <w:t>15 % (11/74)**</w:t>
            </w:r>
          </w:p>
        </w:tc>
      </w:tr>
      <w:tr w:rsidR="004644D4" w14:paraId="0A513DFB" w14:textId="77777777" w:rsidTr="008B396C">
        <w:tc>
          <w:tcPr>
            <w:tcW w:w="3641" w:type="dxa"/>
          </w:tcPr>
          <w:p w14:paraId="1B320DF0" w14:textId="77777777" w:rsidR="007048D1" w:rsidRPr="007F67EE" w:rsidRDefault="00E453CD" w:rsidP="008B396C">
            <w:pPr>
              <w:pStyle w:val="TableText"/>
              <w:rPr>
                <w:b/>
                <w:bCs/>
                <w:sz w:val="22"/>
                <w:lang w:val="en-GB"/>
              </w:rPr>
            </w:pPr>
            <w:r w:rsidRPr="007F67EE">
              <w:rPr>
                <w:b/>
                <w:bCs/>
                <w:sz w:val="22"/>
                <w:lang w:val="en-GB"/>
              </w:rPr>
              <w:t>Uke 56</w:t>
            </w:r>
          </w:p>
        </w:tc>
        <w:tc>
          <w:tcPr>
            <w:tcW w:w="1751" w:type="dxa"/>
          </w:tcPr>
          <w:p w14:paraId="6A4D756B" w14:textId="77777777" w:rsidR="007048D1" w:rsidRPr="00193D76" w:rsidRDefault="00E453CD" w:rsidP="008B396C">
            <w:pPr>
              <w:pStyle w:val="TableText"/>
              <w:jc w:val="center"/>
              <w:rPr>
                <w:b/>
                <w:bCs/>
                <w:sz w:val="22"/>
                <w:lang w:val="en-GB"/>
              </w:rPr>
            </w:pPr>
            <w:r w:rsidRPr="00193D76">
              <w:rPr>
                <w:b/>
                <w:bCs/>
                <w:sz w:val="22"/>
                <w:lang w:val="en-GB"/>
              </w:rPr>
              <w:t>N=170</w:t>
            </w:r>
          </w:p>
        </w:tc>
        <w:tc>
          <w:tcPr>
            <w:tcW w:w="1928" w:type="dxa"/>
          </w:tcPr>
          <w:p w14:paraId="389E83C8" w14:textId="77777777" w:rsidR="007048D1" w:rsidRPr="00E14E58" w:rsidRDefault="00E453CD" w:rsidP="008B396C">
            <w:pPr>
              <w:pStyle w:val="TableText"/>
              <w:jc w:val="center"/>
              <w:rPr>
                <w:b/>
                <w:bCs/>
                <w:sz w:val="22"/>
                <w:lang w:val="en-GB"/>
              </w:rPr>
            </w:pPr>
            <w:r w:rsidRPr="00E14E58">
              <w:rPr>
                <w:b/>
                <w:bCs/>
                <w:sz w:val="22"/>
                <w:lang w:val="en-GB"/>
              </w:rPr>
              <w:t>N=172</w:t>
            </w:r>
          </w:p>
        </w:tc>
        <w:tc>
          <w:tcPr>
            <w:tcW w:w="1700" w:type="dxa"/>
          </w:tcPr>
          <w:p w14:paraId="34325770" w14:textId="77777777" w:rsidR="007048D1" w:rsidRPr="009C5EFD" w:rsidRDefault="00E453CD" w:rsidP="008B396C">
            <w:pPr>
              <w:pStyle w:val="TableText"/>
              <w:jc w:val="center"/>
              <w:rPr>
                <w:b/>
                <w:bCs/>
                <w:sz w:val="22"/>
                <w:lang w:val="en-GB"/>
              </w:rPr>
            </w:pPr>
            <w:r w:rsidRPr="009C5EFD">
              <w:rPr>
                <w:b/>
                <w:bCs/>
                <w:sz w:val="22"/>
                <w:lang w:val="en-GB"/>
              </w:rPr>
              <w:t>N=157</w:t>
            </w:r>
          </w:p>
        </w:tc>
      </w:tr>
      <w:tr w:rsidR="004644D4" w14:paraId="5EE8A06C" w14:textId="77777777" w:rsidTr="008B396C">
        <w:tc>
          <w:tcPr>
            <w:tcW w:w="3641" w:type="dxa"/>
          </w:tcPr>
          <w:p w14:paraId="69C374F0" w14:textId="77777777" w:rsidR="007048D1" w:rsidRPr="007F67EE" w:rsidRDefault="00E453CD" w:rsidP="008B396C">
            <w:pPr>
              <w:pStyle w:val="TableText"/>
              <w:rPr>
                <w:sz w:val="22"/>
                <w:lang w:val="en-GB"/>
              </w:rPr>
            </w:pPr>
            <w:r w:rsidRPr="007F67EE">
              <w:rPr>
                <w:sz w:val="22"/>
                <w:lang w:val="en-GB"/>
              </w:rPr>
              <w:t>Klinisk remisjon</w:t>
            </w:r>
          </w:p>
        </w:tc>
        <w:tc>
          <w:tcPr>
            <w:tcW w:w="1751" w:type="dxa"/>
          </w:tcPr>
          <w:p w14:paraId="0A6A0238" w14:textId="77777777" w:rsidR="007048D1" w:rsidRPr="009C5EFD" w:rsidRDefault="00E453CD" w:rsidP="008B396C">
            <w:pPr>
              <w:pStyle w:val="TableText"/>
              <w:jc w:val="center"/>
              <w:rPr>
                <w:sz w:val="22"/>
                <w:lang w:val="en-GB"/>
              </w:rPr>
            </w:pPr>
            <w:r w:rsidRPr="00193D76">
              <w:rPr>
                <w:sz w:val="22"/>
                <w:lang w:val="en-GB"/>
              </w:rPr>
              <w:t>12</w:t>
            </w:r>
            <w:r w:rsidRPr="00E14E58">
              <w:rPr>
                <w:sz w:val="22"/>
                <w:lang w:val="en-GB"/>
              </w:rPr>
              <w:t xml:space="preserve"> </w:t>
            </w:r>
            <w:r w:rsidRPr="009C5EFD">
              <w:rPr>
                <w:sz w:val="22"/>
                <w:lang w:val="en-GB"/>
              </w:rPr>
              <w:t>%</w:t>
            </w:r>
          </w:p>
        </w:tc>
        <w:tc>
          <w:tcPr>
            <w:tcW w:w="1928" w:type="dxa"/>
          </w:tcPr>
          <w:p w14:paraId="1FE3C875" w14:textId="77777777" w:rsidR="007048D1" w:rsidRPr="009C5EFD" w:rsidRDefault="00E453CD" w:rsidP="008B396C">
            <w:pPr>
              <w:pStyle w:val="TableText"/>
              <w:jc w:val="center"/>
              <w:rPr>
                <w:sz w:val="22"/>
                <w:lang w:val="en-GB"/>
              </w:rPr>
            </w:pPr>
            <w:r w:rsidRPr="009C5EFD">
              <w:rPr>
                <w:sz w:val="22"/>
                <w:lang w:val="en-GB"/>
              </w:rPr>
              <w:t>36 %*</w:t>
            </w:r>
          </w:p>
        </w:tc>
        <w:tc>
          <w:tcPr>
            <w:tcW w:w="1700" w:type="dxa"/>
          </w:tcPr>
          <w:p w14:paraId="008DE721" w14:textId="77777777" w:rsidR="007048D1" w:rsidRPr="009C5EFD" w:rsidRDefault="00E453CD" w:rsidP="008B396C">
            <w:pPr>
              <w:pStyle w:val="TableText"/>
              <w:jc w:val="center"/>
              <w:rPr>
                <w:sz w:val="22"/>
                <w:lang w:val="en-GB"/>
              </w:rPr>
            </w:pPr>
            <w:r w:rsidRPr="009C5EFD">
              <w:rPr>
                <w:sz w:val="22"/>
                <w:lang w:val="en-GB"/>
              </w:rPr>
              <w:t>41 %*</w:t>
            </w:r>
          </w:p>
        </w:tc>
      </w:tr>
      <w:tr w:rsidR="004644D4" w14:paraId="2254B145" w14:textId="77777777" w:rsidTr="008B396C">
        <w:tc>
          <w:tcPr>
            <w:tcW w:w="3641" w:type="dxa"/>
          </w:tcPr>
          <w:p w14:paraId="1D5F3B5C" w14:textId="77777777" w:rsidR="007048D1" w:rsidRPr="00193D76" w:rsidRDefault="00E453CD" w:rsidP="008B396C">
            <w:pPr>
              <w:pStyle w:val="TableText"/>
              <w:rPr>
                <w:sz w:val="22"/>
                <w:lang w:val="en-GB"/>
              </w:rPr>
            </w:pPr>
            <w:r w:rsidRPr="007F67EE">
              <w:rPr>
                <w:sz w:val="22"/>
                <w:lang w:val="en-GB"/>
              </w:rPr>
              <w:t>Klinisk respons (CR-100)</w:t>
            </w:r>
          </w:p>
        </w:tc>
        <w:tc>
          <w:tcPr>
            <w:tcW w:w="1751" w:type="dxa"/>
          </w:tcPr>
          <w:p w14:paraId="6974FB7B" w14:textId="77777777" w:rsidR="007048D1" w:rsidRPr="009C5EFD" w:rsidRDefault="00E453CD" w:rsidP="008B396C">
            <w:pPr>
              <w:pStyle w:val="TableText"/>
              <w:jc w:val="center"/>
              <w:rPr>
                <w:sz w:val="22"/>
                <w:lang w:val="en-GB"/>
              </w:rPr>
            </w:pPr>
            <w:r w:rsidRPr="00E14E58">
              <w:rPr>
                <w:sz w:val="22"/>
                <w:lang w:val="en-GB"/>
              </w:rPr>
              <w:t>17</w:t>
            </w:r>
            <w:r w:rsidRPr="009C5EFD">
              <w:rPr>
                <w:sz w:val="22"/>
                <w:lang w:val="en-GB"/>
              </w:rPr>
              <w:t xml:space="preserve"> %</w:t>
            </w:r>
          </w:p>
        </w:tc>
        <w:tc>
          <w:tcPr>
            <w:tcW w:w="1928" w:type="dxa"/>
          </w:tcPr>
          <w:p w14:paraId="47E08D54" w14:textId="77777777" w:rsidR="007048D1" w:rsidRPr="009C5EFD" w:rsidRDefault="00E453CD" w:rsidP="008B396C">
            <w:pPr>
              <w:pStyle w:val="TableText"/>
              <w:jc w:val="center"/>
              <w:rPr>
                <w:sz w:val="22"/>
                <w:lang w:val="en-GB"/>
              </w:rPr>
            </w:pPr>
            <w:r w:rsidRPr="009C5EFD">
              <w:rPr>
                <w:sz w:val="22"/>
                <w:lang w:val="en-GB"/>
              </w:rPr>
              <w:t>41 %*</w:t>
            </w:r>
          </w:p>
        </w:tc>
        <w:tc>
          <w:tcPr>
            <w:tcW w:w="1700" w:type="dxa"/>
          </w:tcPr>
          <w:p w14:paraId="0C9A9BB9" w14:textId="77777777" w:rsidR="007048D1" w:rsidRPr="009C5EFD" w:rsidRDefault="00E453CD" w:rsidP="008B396C">
            <w:pPr>
              <w:pStyle w:val="TableText"/>
              <w:jc w:val="center"/>
              <w:rPr>
                <w:sz w:val="22"/>
                <w:lang w:val="en-GB"/>
              </w:rPr>
            </w:pPr>
            <w:r w:rsidRPr="009C5EFD">
              <w:rPr>
                <w:sz w:val="22"/>
                <w:lang w:val="en-GB"/>
              </w:rPr>
              <w:t>48 %*</w:t>
            </w:r>
          </w:p>
        </w:tc>
      </w:tr>
      <w:tr w:rsidR="004644D4" w14:paraId="1010C5E5" w14:textId="77777777" w:rsidTr="00AF70AD">
        <w:tc>
          <w:tcPr>
            <w:tcW w:w="3641" w:type="dxa"/>
            <w:tcBorders>
              <w:bottom w:val="single" w:sz="4" w:space="0" w:color="auto"/>
            </w:tcBorders>
          </w:tcPr>
          <w:p w14:paraId="26216C39" w14:textId="77777777" w:rsidR="007048D1" w:rsidRPr="009C5EFD" w:rsidRDefault="00E453CD" w:rsidP="008B396C">
            <w:pPr>
              <w:pStyle w:val="TableText"/>
              <w:ind w:left="360"/>
              <w:rPr>
                <w:sz w:val="22"/>
                <w:lang w:val="nb-NO"/>
              </w:rPr>
            </w:pPr>
            <w:r w:rsidRPr="007F67EE">
              <w:rPr>
                <w:sz w:val="22"/>
                <w:lang w:val="nb-NO"/>
              </w:rPr>
              <w:t xml:space="preserve">Pasienter i steroidfri remisjon </w:t>
            </w:r>
            <w:r w:rsidRPr="007F67EE">
              <w:rPr>
                <w:sz w:val="22"/>
                <w:lang w:val="nb-NO"/>
              </w:rPr>
              <w:br/>
              <w:t xml:space="preserve">for </w:t>
            </w:r>
            <w:r w:rsidRPr="00193D76">
              <w:rPr>
                <w:szCs w:val="22"/>
                <w:lang w:val="nb-NO"/>
              </w:rPr>
              <w:t>&gt;=</w:t>
            </w:r>
            <w:r w:rsidRPr="00E14E58">
              <w:rPr>
                <w:sz w:val="22"/>
                <w:lang w:val="nb-NO"/>
              </w:rPr>
              <w:t xml:space="preserve"> 90 dager</w:t>
            </w:r>
            <w:r w:rsidRPr="009C5EFD">
              <w:rPr>
                <w:sz w:val="22"/>
                <w:vertAlign w:val="superscript"/>
                <w:lang w:val="nb-NO"/>
              </w:rPr>
              <w:t>a</w:t>
            </w:r>
          </w:p>
        </w:tc>
        <w:tc>
          <w:tcPr>
            <w:tcW w:w="1751" w:type="dxa"/>
            <w:tcBorders>
              <w:bottom w:val="single" w:sz="4" w:space="0" w:color="auto"/>
            </w:tcBorders>
          </w:tcPr>
          <w:p w14:paraId="6B419D79" w14:textId="77777777" w:rsidR="007048D1" w:rsidRPr="009C5EFD" w:rsidRDefault="00E453CD" w:rsidP="008B396C">
            <w:pPr>
              <w:pStyle w:val="TableText"/>
              <w:jc w:val="center"/>
              <w:rPr>
                <w:sz w:val="22"/>
                <w:lang w:val="en-GB"/>
              </w:rPr>
            </w:pPr>
            <w:r w:rsidRPr="009C5EFD">
              <w:rPr>
                <w:sz w:val="22"/>
                <w:lang w:val="en-GB"/>
              </w:rPr>
              <w:t>5 % (3/66)</w:t>
            </w:r>
          </w:p>
        </w:tc>
        <w:tc>
          <w:tcPr>
            <w:tcW w:w="1928" w:type="dxa"/>
            <w:tcBorders>
              <w:bottom w:val="single" w:sz="4" w:space="0" w:color="auto"/>
            </w:tcBorders>
          </w:tcPr>
          <w:p w14:paraId="4F4311D5" w14:textId="77777777" w:rsidR="007048D1" w:rsidRPr="009C5EFD" w:rsidRDefault="00E453CD" w:rsidP="008B396C">
            <w:pPr>
              <w:pStyle w:val="TableText"/>
              <w:jc w:val="center"/>
              <w:rPr>
                <w:sz w:val="22"/>
                <w:lang w:val="en-GB"/>
              </w:rPr>
            </w:pPr>
            <w:r w:rsidRPr="009C5EFD">
              <w:rPr>
                <w:sz w:val="22"/>
                <w:lang w:val="en-GB"/>
              </w:rPr>
              <w:t>29 % (17/58)*</w:t>
            </w:r>
          </w:p>
        </w:tc>
        <w:tc>
          <w:tcPr>
            <w:tcW w:w="1700" w:type="dxa"/>
            <w:tcBorders>
              <w:bottom w:val="single" w:sz="4" w:space="0" w:color="auto"/>
            </w:tcBorders>
          </w:tcPr>
          <w:p w14:paraId="5B10015A" w14:textId="77777777" w:rsidR="007048D1" w:rsidRPr="009C5EFD" w:rsidRDefault="00E453CD" w:rsidP="008B396C">
            <w:pPr>
              <w:pStyle w:val="TableText"/>
              <w:jc w:val="center"/>
              <w:rPr>
                <w:sz w:val="22"/>
                <w:lang w:val="en-GB"/>
              </w:rPr>
            </w:pPr>
            <w:r w:rsidRPr="009C5EFD">
              <w:rPr>
                <w:sz w:val="22"/>
                <w:lang w:val="en-GB"/>
              </w:rPr>
              <w:t>20 % (15/74)**</w:t>
            </w:r>
          </w:p>
        </w:tc>
      </w:tr>
      <w:tr w:rsidR="004644D4" w14:paraId="5BC6DDC4" w14:textId="77777777" w:rsidTr="00AF70AD">
        <w:trPr>
          <w:cantSplit/>
        </w:trPr>
        <w:tc>
          <w:tcPr>
            <w:tcW w:w="9020" w:type="dxa"/>
            <w:gridSpan w:val="4"/>
            <w:tcBorders>
              <w:left w:val="nil"/>
              <w:bottom w:val="nil"/>
              <w:right w:val="nil"/>
            </w:tcBorders>
          </w:tcPr>
          <w:p w14:paraId="6E84A0C1" w14:textId="77777777" w:rsidR="007048D1" w:rsidRPr="009C5EFD" w:rsidRDefault="00E453CD" w:rsidP="008B396C">
            <w:pPr>
              <w:pStyle w:val="TableText"/>
              <w:keepNext w:val="0"/>
              <w:rPr>
                <w:sz w:val="22"/>
                <w:lang w:val="nb-NO"/>
              </w:rPr>
            </w:pPr>
            <w:r w:rsidRPr="007F67EE">
              <w:rPr>
                <w:sz w:val="22"/>
                <w:lang w:val="nb-NO"/>
              </w:rPr>
              <w:t>*</w:t>
            </w:r>
            <w:r w:rsidRPr="007F67EE">
              <w:rPr>
                <w:sz w:val="22"/>
                <w:lang w:val="nb-NO"/>
              </w:rPr>
              <w:tab/>
              <w:t xml:space="preserve">p &lt; 0,001 for Humira </w:t>
            </w:r>
            <w:r w:rsidRPr="00193D76">
              <w:rPr>
                <w:i/>
                <w:iCs/>
                <w:sz w:val="22"/>
                <w:lang w:val="nb-NO"/>
              </w:rPr>
              <w:t>versus</w:t>
            </w:r>
            <w:r w:rsidRPr="00E14E58">
              <w:rPr>
                <w:sz w:val="22"/>
                <w:lang w:val="nb-NO"/>
              </w:rPr>
              <w:t xml:space="preserve"> placebo </w:t>
            </w:r>
            <w:r w:rsidRPr="009C5EFD">
              <w:rPr>
                <w:sz w:val="22"/>
                <w:lang w:val="nb-NO"/>
              </w:rPr>
              <w:t>parvise sammenligninger av proporsjoner</w:t>
            </w:r>
          </w:p>
          <w:p w14:paraId="7117FFA6" w14:textId="77777777" w:rsidR="007048D1" w:rsidRPr="009C5EFD" w:rsidRDefault="00E453CD" w:rsidP="008B396C">
            <w:pPr>
              <w:pStyle w:val="TableText"/>
              <w:keepNext w:val="0"/>
              <w:rPr>
                <w:sz w:val="22"/>
                <w:lang w:val="nb-NO"/>
              </w:rPr>
            </w:pPr>
            <w:r w:rsidRPr="009C5EFD">
              <w:rPr>
                <w:sz w:val="22"/>
                <w:lang w:val="nb-NO"/>
              </w:rPr>
              <w:t>**</w:t>
            </w:r>
            <w:r w:rsidRPr="009C5EFD">
              <w:rPr>
                <w:sz w:val="22"/>
                <w:lang w:val="nb-NO"/>
              </w:rPr>
              <w:tab/>
              <w:t xml:space="preserve">p &lt; 0,02 for Humira </w:t>
            </w:r>
            <w:r w:rsidRPr="009C5EFD">
              <w:rPr>
                <w:i/>
                <w:iCs/>
                <w:sz w:val="22"/>
                <w:lang w:val="nb-NO"/>
              </w:rPr>
              <w:t>versus</w:t>
            </w:r>
            <w:r w:rsidRPr="009C5EFD">
              <w:rPr>
                <w:sz w:val="22"/>
                <w:lang w:val="nb-NO"/>
              </w:rPr>
              <w:t xml:space="preserve"> placebo parvise sammenligninger av proporsjoner</w:t>
            </w:r>
          </w:p>
          <w:p w14:paraId="40B7871B" w14:textId="77777777" w:rsidR="007048D1" w:rsidRPr="009C5EFD" w:rsidRDefault="00E453CD" w:rsidP="008B396C">
            <w:pPr>
              <w:pStyle w:val="TableText"/>
              <w:keepNext w:val="0"/>
              <w:rPr>
                <w:sz w:val="22"/>
                <w:lang w:val="nb-NO"/>
              </w:rPr>
            </w:pPr>
            <w:r w:rsidRPr="009C5EFD">
              <w:rPr>
                <w:sz w:val="22"/>
                <w:vertAlign w:val="superscript"/>
                <w:lang w:val="nb-NO"/>
              </w:rPr>
              <w:t>a</w:t>
            </w:r>
            <w:r w:rsidRPr="009C5EFD">
              <w:rPr>
                <w:sz w:val="22"/>
                <w:vertAlign w:val="superscript"/>
                <w:lang w:val="nb-NO"/>
              </w:rPr>
              <w:tab/>
            </w:r>
            <w:r w:rsidRPr="009C5EFD">
              <w:rPr>
                <w:sz w:val="22"/>
                <w:lang w:val="nb-NO"/>
              </w:rPr>
              <w:t>Av de som fikk kortikosteroider ved baseline</w:t>
            </w:r>
          </w:p>
        </w:tc>
      </w:tr>
    </w:tbl>
    <w:p w14:paraId="77368290" w14:textId="77777777" w:rsidR="007048D1" w:rsidRPr="007F67EE" w:rsidRDefault="007048D1" w:rsidP="007048D1">
      <w:pPr>
        <w:pStyle w:val="Heading8"/>
        <w:keepNext w:val="0"/>
        <w:rPr>
          <w:szCs w:val="22"/>
        </w:rPr>
      </w:pPr>
    </w:p>
    <w:p w14:paraId="013BD0C4" w14:textId="77777777" w:rsidR="007048D1" w:rsidRPr="002D0790" w:rsidRDefault="00E453CD" w:rsidP="007048D1">
      <w:pPr>
        <w:rPr>
          <w:sz w:val="22"/>
          <w:szCs w:val="22"/>
        </w:rPr>
      </w:pPr>
      <w:r w:rsidRPr="007F67EE">
        <w:rPr>
          <w:sz w:val="22"/>
          <w:szCs w:val="22"/>
        </w:rPr>
        <w:t>Blant pasienter som ikke viste respons ved uke</w:t>
      </w:r>
      <w:r w:rsidR="00436CE2">
        <w:rPr>
          <w:sz w:val="22"/>
          <w:szCs w:val="22"/>
        </w:rPr>
        <w:t> </w:t>
      </w:r>
      <w:r w:rsidRPr="007F67EE">
        <w:rPr>
          <w:sz w:val="22"/>
          <w:szCs w:val="22"/>
        </w:rPr>
        <w:t>4, oppnådde 43</w:t>
      </w:r>
      <w:r w:rsidR="00436CE2">
        <w:rPr>
          <w:sz w:val="22"/>
          <w:szCs w:val="22"/>
        </w:rPr>
        <w:t> </w:t>
      </w:r>
      <w:r w:rsidRPr="007F67EE">
        <w:rPr>
          <w:sz w:val="22"/>
          <w:szCs w:val="22"/>
        </w:rPr>
        <w:t>% av dem som fikk vedlikeholdsdose med Humira respons ved uke</w:t>
      </w:r>
      <w:r w:rsidR="00436CE2">
        <w:rPr>
          <w:sz w:val="22"/>
          <w:szCs w:val="22"/>
        </w:rPr>
        <w:t> </w:t>
      </w:r>
      <w:r w:rsidRPr="007F67EE">
        <w:rPr>
          <w:sz w:val="22"/>
          <w:szCs w:val="22"/>
        </w:rPr>
        <w:t>12 sammenlignet med 30</w:t>
      </w:r>
      <w:r w:rsidR="00436CE2">
        <w:rPr>
          <w:sz w:val="22"/>
          <w:szCs w:val="22"/>
        </w:rPr>
        <w:t> </w:t>
      </w:r>
      <w:r w:rsidRPr="007F67EE">
        <w:rPr>
          <w:sz w:val="22"/>
          <w:szCs w:val="22"/>
        </w:rPr>
        <w:t xml:space="preserve">% av de </w:t>
      </w:r>
      <w:r w:rsidRPr="00193D76">
        <w:rPr>
          <w:sz w:val="22"/>
          <w:szCs w:val="22"/>
        </w:rPr>
        <w:t>som fikk vedlikeholdsbehandling med placebo. Disse resultatene tyder på at pasienter som ikke viser respons ved uke 4 drar nytte av å fortsette med vedlikeholdsterapi til uke</w:t>
      </w:r>
      <w:r w:rsidR="00436CE2">
        <w:rPr>
          <w:sz w:val="22"/>
          <w:szCs w:val="22"/>
        </w:rPr>
        <w:t> </w:t>
      </w:r>
      <w:r w:rsidRPr="00193D76">
        <w:rPr>
          <w:sz w:val="22"/>
          <w:szCs w:val="22"/>
        </w:rPr>
        <w:t>12. Fortsatt terapi utover 12</w:t>
      </w:r>
      <w:r w:rsidR="00436CE2">
        <w:rPr>
          <w:sz w:val="22"/>
          <w:szCs w:val="22"/>
        </w:rPr>
        <w:t> </w:t>
      </w:r>
      <w:r w:rsidRPr="00193D76">
        <w:rPr>
          <w:sz w:val="22"/>
          <w:szCs w:val="22"/>
        </w:rPr>
        <w:t>uker resulterte ikke i signifikant høyere respons (</w:t>
      </w:r>
      <w:r w:rsidRPr="002D0790">
        <w:rPr>
          <w:sz w:val="22"/>
          <w:szCs w:val="22"/>
        </w:rPr>
        <w:t>se pkt.</w:t>
      </w:r>
      <w:r w:rsidR="00436CE2">
        <w:rPr>
          <w:sz w:val="22"/>
          <w:szCs w:val="22"/>
        </w:rPr>
        <w:t> </w:t>
      </w:r>
      <w:r w:rsidRPr="002D0790">
        <w:rPr>
          <w:sz w:val="22"/>
          <w:szCs w:val="22"/>
        </w:rPr>
        <w:t>4.2).</w:t>
      </w:r>
    </w:p>
    <w:p w14:paraId="6EC4ABD1" w14:textId="77777777" w:rsidR="007048D1" w:rsidRPr="002D0790" w:rsidRDefault="007048D1" w:rsidP="007048D1">
      <w:pPr>
        <w:rPr>
          <w:sz w:val="22"/>
          <w:szCs w:val="22"/>
        </w:rPr>
      </w:pPr>
    </w:p>
    <w:p w14:paraId="0A006F1C" w14:textId="77777777" w:rsidR="007048D1" w:rsidRPr="009C5EFD" w:rsidRDefault="00E453CD" w:rsidP="007048D1">
      <w:pPr>
        <w:rPr>
          <w:sz w:val="22"/>
          <w:szCs w:val="22"/>
        </w:rPr>
      </w:pPr>
      <w:r w:rsidRPr="00E14E58">
        <w:rPr>
          <w:bCs/>
          <w:sz w:val="22"/>
          <w:szCs w:val="22"/>
        </w:rPr>
        <w:t>117/276</w:t>
      </w:r>
      <w:r w:rsidR="00436CE2">
        <w:rPr>
          <w:bCs/>
          <w:sz w:val="22"/>
          <w:szCs w:val="22"/>
        </w:rPr>
        <w:t> </w:t>
      </w:r>
      <w:r w:rsidRPr="00E14E58">
        <w:rPr>
          <w:bCs/>
          <w:sz w:val="22"/>
          <w:szCs w:val="22"/>
        </w:rPr>
        <w:t>pasienter fra CD-studie I og 272/777</w:t>
      </w:r>
      <w:r w:rsidR="00436CE2">
        <w:rPr>
          <w:bCs/>
          <w:sz w:val="22"/>
          <w:szCs w:val="22"/>
        </w:rPr>
        <w:t> </w:t>
      </w:r>
      <w:r w:rsidRPr="00E14E58">
        <w:rPr>
          <w:bCs/>
          <w:sz w:val="22"/>
          <w:szCs w:val="22"/>
        </w:rPr>
        <w:t>pasienter fra CD-studie II og III ble fulgt opp minst 3</w:t>
      </w:r>
      <w:r w:rsidR="00436CE2">
        <w:rPr>
          <w:bCs/>
          <w:sz w:val="22"/>
          <w:szCs w:val="22"/>
        </w:rPr>
        <w:t> </w:t>
      </w:r>
      <w:r w:rsidRPr="00E14E58">
        <w:rPr>
          <w:bCs/>
          <w:sz w:val="22"/>
          <w:szCs w:val="22"/>
        </w:rPr>
        <w:t xml:space="preserve">år i åpen behandling med </w:t>
      </w:r>
      <w:r w:rsidRPr="009C5EFD">
        <w:rPr>
          <w:bCs/>
          <w:sz w:val="22"/>
          <w:szCs w:val="22"/>
        </w:rPr>
        <w:t>adalimumab. Henholdsvis 88 og 189</w:t>
      </w:r>
      <w:r w:rsidR="00436CE2">
        <w:rPr>
          <w:bCs/>
          <w:sz w:val="22"/>
          <w:szCs w:val="22"/>
        </w:rPr>
        <w:t> </w:t>
      </w:r>
      <w:r w:rsidRPr="009C5EFD">
        <w:rPr>
          <w:bCs/>
          <w:sz w:val="22"/>
          <w:szCs w:val="22"/>
        </w:rPr>
        <w:t>pasienter forble i klinisk remisjon. Klinisk respons (CR-100) ble opprettholdt hos henholdsvis 102 og 233</w:t>
      </w:r>
      <w:r w:rsidR="00436CE2">
        <w:rPr>
          <w:bCs/>
          <w:sz w:val="22"/>
          <w:szCs w:val="22"/>
        </w:rPr>
        <w:t> </w:t>
      </w:r>
      <w:r w:rsidRPr="009C5EFD">
        <w:rPr>
          <w:bCs/>
          <w:sz w:val="22"/>
          <w:szCs w:val="22"/>
        </w:rPr>
        <w:t>pasienter.</w:t>
      </w:r>
    </w:p>
    <w:p w14:paraId="4DB33FB1" w14:textId="77777777" w:rsidR="007048D1" w:rsidRPr="009C5EFD" w:rsidRDefault="007048D1" w:rsidP="007048D1">
      <w:pPr>
        <w:pStyle w:val="Heading8"/>
        <w:keepNext w:val="0"/>
        <w:rPr>
          <w:szCs w:val="22"/>
        </w:rPr>
      </w:pPr>
    </w:p>
    <w:p w14:paraId="709F3DD1" w14:textId="77777777" w:rsidR="007048D1" w:rsidRPr="00193D76" w:rsidRDefault="00E453CD" w:rsidP="00776A84">
      <w:pPr>
        <w:pStyle w:val="Heading8"/>
        <w:rPr>
          <w:szCs w:val="22"/>
        </w:rPr>
      </w:pPr>
      <w:r w:rsidRPr="001F5D4B">
        <w:rPr>
          <w:i/>
          <w:szCs w:val="22"/>
        </w:rPr>
        <w:t>Livskvalitet</w:t>
      </w:r>
    </w:p>
    <w:p w14:paraId="281376EF" w14:textId="77777777" w:rsidR="007048D1" w:rsidRPr="002D0790" w:rsidRDefault="007048D1" w:rsidP="00776A84">
      <w:pPr>
        <w:pStyle w:val="Heading8"/>
        <w:rPr>
          <w:szCs w:val="22"/>
        </w:rPr>
      </w:pPr>
    </w:p>
    <w:p w14:paraId="0DC679FB" w14:textId="77777777" w:rsidR="007048D1" w:rsidRPr="005C537B" w:rsidRDefault="00E453CD" w:rsidP="007048D1">
      <w:pPr>
        <w:rPr>
          <w:sz w:val="22"/>
          <w:szCs w:val="22"/>
        </w:rPr>
      </w:pPr>
      <w:r w:rsidRPr="005C537B">
        <w:rPr>
          <w:sz w:val="22"/>
          <w:szCs w:val="22"/>
        </w:rPr>
        <w:t>CD-studie I og CD-studie II viste statistisk signifikant forbedring i sykdomsspesifikk livskvalitetsscore IBDQ (Inflammatory Bowel Disease Questionnaire) ved uke</w:t>
      </w:r>
      <w:r w:rsidR="00436CE2">
        <w:rPr>
          <w:sz w:val="22"/>
          <w:szCs w:val="22"/>
        </w:rPr>
        <w:t> </w:t>
      </w:r>
      <w:r w:rsidRPr="005C537B">
        <w:rPr>
          <w:sz w:val="22"/>
          <w:szCs w:val="22"/>
        </w:rPr>
        <w:t>4 hos pasienter som var randomisert til Humira 80/40</w:t>
      </w:r>
      <w:r w:rsidR="00436CE2">
        <w:rPr>
          <w:sz w:val="22"/>
          <w:szCs w:val="22"/>
        </w:rPr>
        <w:t> </w:t>
      </w:r>
      <w:r w:rsidRPr="005C537B">
        <w:rPr>
          <w:sz w:val="22"/>
          <w:szCs w:val="22"/>
        </w:rPr>
        <w:t>mg og Humira 160/80</w:t>
      </w:r>
      <w:r w:rsidR="00436CE2">
        <w:rPr>
          <w:sz w:val="22"/>
          <w:szCs w:val="22"/>
        </w:rPr>
        <w:t> </w:t>
      </w:r>
      <w:r w:rsidRPr="005C537B">
        <w:rPr>
          <w:sz w:val="22"/>
          <w:szCs w:val="22"/>
        </w:rPr>
        <w:t>mg sammenlignet med placebo. Det samme ble også sett ved uke</w:t>
      </w:r>
      <w:r w:rsidR="00436CE2">
        <w:rPr>
          <w:sz w:val="22"/>
          <w:szCs w:val="22"/>
        </w:rPr>
        <w:t> </w:t>
      </w:r>
      <w:r w:rsidRPr="005C537B">
        <w:rPr>
          <w:sz w:val="22"/>
          <w:szCs w:val="22"/>
        </w:rPr>
        <w:t>26 og 56 i CD-studie III blant gruppene som fikk behandling med adalimumab sammenlignet med placebogruppen.</w:t>
      </w:r>
    </w:p>
    <w:p w14:paraId="12424CC8" w14:textId="77777777" w:rsidR="007048D1" w:rsidRDefault="007048D1" w:rsidP="007048D1">
      <w:pPr>
        <w:pStyle w:val="Heading8"/>
        <w:keepNext w:val="0"/>
        <w:rPr>
          <w:szCs w:val="22"/>
        </w:rPr>
      </w:pPr>
    </w:p>
    <w:p w14:paraId="148849C9" w14:textId="77777777" w:rsidR="007048D1" w:rsidRPr="00974950" w:rsidRDefault="00E453CD" w:rsidP="007048D1">
      <w:pPr>
        <w:keepNext/>
        <w:tabs>
          <w:tab w:val="left" w:pos="3090"/>
        </w:tabs>
        <w:rPr>
          <w:i/>
        </w:rPr>
      </w:pPr>
      <w:r w:rsidRPr="00B3311E">
        <w:rPr>
          <w:i/>
          <w:sz w:val="22"/>
        </w:rPr>
        <w:t>Uveitt hos voksne</w:t>
      </w:r>
    </w:p>
    <w:p w14:paraId="4B834F2E" w14:textId="77777777" w:rsidR="007048D1" w:rsidRPr="00974950" w:rsidRDefault="007048D1" w:rsidP="007048D1">
      <w:pPr>
        <w:keepNext/>
        <w:tabs>
          <w:tab w:val="left" w:pos="3090"/>
        </w:tabs>
        <w:rPr>
          <w:i/>
        </w:rPr>
      </w:pPr>
    </w:p>
    <w:p w14:paraId="0781632B" w14:textId="77777777" w:rsidR="007048D1" w:rsidRDefault="00E453CD" w:rsidP="007048D1">
      <w:pPr>
        <w:tabs>
          <w:tab w:val="left" w:pos="3090"/>
        </w:tabs>
      </w:pPr>
      <w:r w:rsidRPr="00B3311E">
        <w:rPr>
          <w:sz w:val="22"/>
        </w:rPr>
        <w:t xml:space="preserve">Sikkerhet og effekt av </w:t>
      </w:r>
      <w:r>
        <w:rPr>
          <w:sz w:val="22"/>
        </w:rPr>
        <w:t>Humira ble undersøkt hos voksne pasienter med ikke-infeksiøs intermediær, bakre og panuveitt, eksklusive pasienter med isolert fremre uveitt, i to randomiserte, dobbeltblinde, placebokontrollerte studier (UV I og II). Pasientene fikk placebo eller Humira i en startdose på 80 mg, etterfulgt av 40 mg annenhver uke én uke etter startdosen. Samtidige stabile doser med ett ikke-biologisk immunsuppressiv</w:t>
      </w:r>
      <w:r w:rsidR="00305CDB">
        <w:rPr>
          <w:sz w:val="22"/>
        </w:rPr>
        <w:t>t legemiddel</w:t>
      </w:r>
      <w:r>
        <w:rPr>
          <w:sz w:val="22"/>
        </w:rPr>
        <w:t xml:space="preserve"> var tillatt.</w:t>
      </w:r>
    </w:p>
    <w:p w14:paraId="09C618BB" w14:textId="77777777" w:rsidR="007048D1" w:rsidRDefault="007048D1" w:rsidP="007048D1">
      <w:pPr>
        <w:tabs>
          <w:tab w:val="left" w:pos="3090"/>
        </w:tabs>
      </w:pPr>
    </w:p>
    <w:p w14:paraId="0FAF6294" w14:textId="77777777" w:rsidR="007048D1" w:rsidRDefault="00E453CD" w:rsidP="007048D1">
      <w:pPr>
        <w:tabs>
          <w:tab w:val="left" w:pos="3090"/>
        </w:tabs>
      </w:pPr>
      <w:r>
        <w:rPr>
          <w:sz w:val="22"/>
        </w:rPr>
        <w:t>UV I-studien undersøkte 217 pasienter med aktiv uveitt til tross for behandling med kortikosteroider (peroral prednisondose på 10 til 60 mg/dag). Alle pasienter fikk en 2-ukers standardisert dose med 60 mg prednison/dag ved studiestart, etterfulgt av en obligatorisk gradvis nedtrappingsplan, med komplett seponering av kortikosteroider ved uke 15.</w:t>
      </w:r>
    </w:p>
    <w:p w14:paraId="5665746C" w14:textId="77777777" w:rsidR="007048D1" w:rsidRDefault="007048D1" w:rsidP="007048D1">
      <w:pPr>
        <w:tabs>
          <w:tab w:val="left" w:pos="3090"/>
        </w:tabs>
      </w:pPr>
    </w:p>
    <w:p w14:paraId="0D3036F8" w14:textId="77777777" w:rsidR="007048D1" w:rsidRDefault="00E453CD" w:rsidP="007048D1">
      <w:pPr>
        <w:tabs>
          <w:tab w:val="left" w:pos="3090"/>
        </w:tabs>
      </w:pPr>
      <w:r>
        <w:rPr>
          <w:sz w:val="22"/>
        </w:rPr>
        <w:t xml:space="preserve">UV II-studien undersøkte 226 pasienter med inaktiv uveitt med behov for kronisk kortikosteroidbehandling (peroral prednison på 10 til 35 mg/dag) ved baseline for å kontrollere </w:t>
      </w:r>
      <w:r>
        <w:rPr>
          <w:sz w:val="22"/>
        </w:rPr>
        <w:lastRenderedPageBreak/>
        <w:t>sykdommen. Pasientene gjennomgikk deretter en obligatorisk nedtrappingsplan, med komplett seponering av kortikosteroider ved uke 19.</w:t>
      </w:r>
    </w:p>
    <w:p w14:paraId="0DB97282" w14:textId="77777777" w:rsidR="007048D1" w:rsidRDefault="007048D1" w:rsidP="007048D1">
      <w:pPr>
        <w:tabs>
          <w:tab w:val="left" w:pos="3090"/>
        </w:tabs>
      </w:pPr>
    </w:p>
    <w:p w14:paraId="1E6A915D" w14:textId="77777777" w:rsidR="007048D1" w:rsidRDefault="00E453CD" w:rsidP="007048D1">
      <w:pPr>
        <w:tabs>
          <w:tab w:val="left" w:pos="3090"/>
        </w:tabs>
      </w:pPr>
      <w:r>
        <w:rPr>
          <w:sz w:val="22"/>
        </w:rPr>
        <w:t>Det primære effektendepunktet i begge studier var tid til behandlingssvikt. Behandlingssvikt var definert som utfall med flere komponenter basert på inflammatoriske korioretinale og/eller inflammatoriske retinale vaskulære lesjoner, gradering av celler i fremre kammer, grad av uklarheter i glasslegemet og beste korrigerte synsstyrke.</w:t>
      </w:r>
    </w:p>
    <w:p w14:paraId="79574FBC" w14:textId="77777777" w:rsidR="007048D1" w:rsidRDefault="007048D1" w:rsidP="007048D1">
      <w:pPr>
        <w:tabs>
          <w:tab w:val="left" w:pos="3090"/>
        </w:tabs>
      </w:pPr>
    </w:p>
    <w:p w14:paraId="259ACCEB" w14:textId="77777777" w:rsidR="00D22B23" w:rsidRPr="00A81D79" w:rsidRDefault="00E453CD" w:rsidP="007048D1">
      <w:pPr>
        <w:tabs>
          <w:tab w:val="left" w:pos="3090"/>
        </w:tabs>
        <w:rPr>
          <w:sz w:val="22"/>
          <w:szCs w:val="22"/>
        </w:rPr>
      </w:pPr>
      <w:r w:rsidRPr="00A81D79">
        <w:rPr>
          <w:sz w:val="22"/>
          <w:szCs w:val="22"/>
        </w:rPr>
        <w:t>Pasienter som fullførte UV</w:t>
      </w:r>
      <w:r w:rsidR="006C7715">
        <w:rPr>
          <w:sz w:val="22"/>
          <w:szCs w:val="22"/>
        </w:rPr>
        <w:t> </w:t>
      </w:r>
      <w:r w:rsidRPr="00A81D79">
        <w:rPr>
          <w:sz w:val="22"/>
          <w:szCs w:val="22"/>
        </w:rPr>
        <w:t>I</w:t>
      </w:r>
      <w:r w:rsidR="002C7948">
        <w:rPr>
          <w:sz w:val="22"/>
          <w:szCs w:val="22"/>
        </w:rPr>
        <w:t>-</w:t>
      </w:r>
      <w:r w:rsidRPr="00A81D79">
        <w:rPr>
          <w:sz w:val="22"/>
          <w:szCs w:val="22"/>
        </w:rPr>
        <w:t xml:space="preserve"> og UV</w:t>
      </w:r>
      <w:r w:rsidR="006C7715">
        <w:rPr>
          <w:sz w:val="22"/>
          <w:szCs w:val="22"/>
        </w:rPr>
        <w:t> </w:t>
      </w:r>
      <w:r w:rsidRPr="00A81D79">
        <w:rPr>
          <w:sz w:val="22"/>
          <w:szCs w:val="22"/>
        </w:rPr>
        <w:t>II</w:t>
      </w:r>
      <w:r w:rsidR="00365875">
        <w:rPr>
          <w:sz w:val="22"/>
          <w:szCs w:val="22"/>
        </w:rPr>
        <w:t>-</w:t>
      </w:r>
      <w:r w:rsidR="002C7948">
        <w:rPr>
          <w:sz w:val="22"/>
          <w:szCs w:val="22"/>
        </w:rPr>
        <w:t xml:space="preserve">studiene </w:t>
      </w:r>
      <w:r w:rsidRPr="00A81D79">
        <w:rPr>
          <w:sz w:val="22"/>
          <w:szCs w:val="22"/>
        </w:rPr>
        <w:t xml:space="preserve">ble </w:t>
      </w:r>
      <w:r w:rsidR="00160160">
        <w:rPr>
          <w:sz w:val="22"/>
          <w:szCs w:val="22"/>
        </w:rPr>
        <w:t>inkludert</w:t>
      </w:r>
      <w:r w:rsidRPr="00A81D79">
        <w:rPr>
          <w:sz w:val="22"/>
          <w:szCs w:val="22"/>
        </w:rPr>
        <w:t xml:space="preserve"> i en ikke</w:t>
      </w:r>
      <w:r w:rsidRPr="00A81D79">
        <w:rPr>
          <w:sz w:val="22"/>
          <w:szCs w:val="22"/>
        </w:rPr>
        <w:noBreakHyphen/>
        <w:t>kontrollert langtids</w:t>
      </w:r>
      <w:r w:rsidR="00160160">
        <w:rPr>
          <w:sz w:val="22"/>
          <w:szCs w:val="22"/>
        </w:rPr>
        <w:t>-</w:t>
      </w:r>
      <w:r w:rsidRPr="00A81D79">
        <w:rPr>
          <w:sz w:val="22"/>
          <w:szCs w:val="22"/>
        </w:rPr>
        <w:t xml:space="preserve"> forlengelsesstudie med en</w:t>
      </w:r>
      <w:r w:rsidR="000E4FE7">
        <w:rPr>
          <w:sz w:val="22"/>
          <w:szCs w:val="22"/>
        </w:rPr>
        <w:t xml:space="preserve"> opprinnelig</w:t>
      </w:r>
      <w:r w:rsidRPr="00A81D79">
        <w:rPr>
          <w:sz w:val="22"/>
          <w:szCs w:val="22"/>
        </w:rPr>
        <w:t xml:space="preserve"> planlagt varighet på</w:t>
      </w:r>
      <w:r w:rsidR="00160160">
        <w:rPr>
          <w:sz w:val="22"/>
          <w:szCs w:val="22"/>
        </w:rPr>
        <w:t xml:space="preserve"> </w:t>
      </w:r>
      <w:r w:rsidRPr="00A81D79">
        <w:rPr>
          <w:sz w:val="22"/>
          <w:szCs w:val="22"/>
        </w:rPr>
        <w:t>78 uker. Pasienter</w:t>
      </w:r>
      <w:r w:rsidR="002C7948">
        <w:rPr>
          <w:sz w:val="22"/>
          <w:szCs w:val="22"/>
        </w:rPr>
        <w:t xml:space="preserve"> fikk</w:t>
      </w:r>
      <w:r w:rsidR="00160160">
        <w:rPr>
          <w:sz w:val="22"/>
          <w:szCs w:val="22"/>
        </w:rPr>
        <w:t xml:space="preserve"> </w:t>
      </w:r>
      <w:r w:rsidRPr="00A81D79">
        <w:rPr>
          <w:sz w:val="22"/>
          <w:szCs w:val="22"/>
        </w:rPr>
        <w:t xml:space="preserve">fortsette </w:t>
      </w:r>
      <w:r w:rsidR="002C7948">
        <w:rPr>
          <w:sz w:val="22"/>
          <w:szCs w:val="22"/>
        </w:rPr>
        <w:t>med</w:t>
      </w:r>
      <w:r w:rsidRPr="00A81D79">
        <w:rPr>
          <w:sz w:val="22"/>
          <w:szCs w:val="22"/>
        </w:rPr>
        <w:t xml:space="preserve"> studiemedisin </w:t>
      </w:r>
      <w:r w:rsidR="002C7948">
        <w:rPr>
          <w:sz w:val="22"/>
          <w:szCs w:val="22"/>
        </w:rPr>
        <w:t xml:space="preserve">etter </w:t>
      </w:r>
      <w:r w:rsidRPr="00A81D79">
        <w:rPr>
          <w:sz w:val="22"/>
          <w:szCs w:val="22"/>
        </w:rPr>
        <w:t>uke 78</w:t>
      </w:r>
      <w:r w:rsidR="002C7948">
        <w:rPr>
          <w:sz w:val="22"/>
          <w:szCs w:val="22"/>
        </w:rPr>
        <w:t>,</w:t>
      </w:r>
      <w:r w:rsidRPr="00A81D79">
        <w:rPr>
          <w:sz w:val="22"/>
          <w:szCs w:val="22"/>
        </w:rPr>
        <w:t xml:space="preserve"> inntil de </w:t>
      </w:r>
      <w:r w:rsidR="00160160">
        <w:rPr>
          <w:sz w:val="22"/>
          <w:szCs w:val="22"/>
        </w:rPr>
        <w:t>fikk</w:t>
      </w:r>
      <w:r w:rsidRPr="00A81D79">
        <w:rPr>
          <w:sz w:val="22"/>
          <w:szCs w:val="22"/>
        </w:rPr>
        <w:t xml:space="preserve"> tilgang på Humira.</w:t>
      </w:r>
    </w:p>
    <w:p w14:paraId="3EB42352" w14:textId="77777777" w:rsidR="00D22B23" w:rsidRDefault="00D22B23" w:rsidP="007048D1">
      <w:pPr>
        <w:tabs>
          <w:tab w:val="left" w:pos="3090"/>
        </w:tabs>
      </w:pPr>
    </w:p>
    <w:p w14:paraId="1FBBD35D" w14:textId="77777777" w:rsidR="007048D1" w:rsidRDefault="00E453CD" w:rsidP="007048D1">
      <w:pPr>
        <w:keepNext/>
        <w:tabs>
          <w:tab w:val="left" w:pos="3090"/>
        </w:tabs>
        <w:rPr>
          <w:i/>
        </w:rPr>
      </w:pPr>
      <w:r>
        <w:rPr>
          <w:i/>
          <w:sz w:val="22"/>
          <w:u w:val="single"/>
        </w:rPr>
        <w:t>Klinisk respons</w:t>
      </w:r>
    </w:p>
    <w:p w14:paraId="03A850B5" w14:textId="77777777" w:rsidR="007048D1" w:rsidRPr="00A81D79" w:rsidRDefault="007048D1" w:rsidP="007048D1">
      <w:pPr>
        <w:keepNext/>
        <w:tabs>
          <w:tab w:val="left" w:pos="3090"/>
        </w:tabs>
      </w:pPr>
    </w:p>
    <w:p w14:paraId="6B2CF2E3" w14:textId="77777777" w:rsidR="007048D1" w:rsidRDefault="00E453CD" w:rsidP="007048D1">
      <w:pPr>
        <w:tabs>
          <w:tab w:val="left" w:pos="3090"/>
        </w:tabs>
      </w:pPr>
      <w:r>
        <w:rPr>
          <w:sz w:val="22"/>
        </w:rPr>
        <w:t>Resultater fra begge studier viste statistisk signifikant reduksjon i risikoen for behandlingssvikt hos pasienter behandlet med Humira versus pasienter som fikk placebo (se tabell </w:t>
      </w:r>
      <w:r w:rsidR="00A457B0">
        <w:rPr>
          <w:sz w:val="22"/>
        </w:rPr>
        <w:t>16</w:t>
      </w:r>
      <w:r>
        <w:rPr>
          <w:sz w:val="22"/>
        </w:rPr>
        <w:t>). Begge studier viste en tidlig og vedvarende effekt av Humira på raten av behandlingssvikt versus placebo (se figur </w:t>
      </w:r>
      <w:r w:rsidR="00A457B0">
        <w:rPr>
          <w:sz w:val="22"/>
        </w:rPr>
        <w:t>1</w:t>
      </w:r>
      <w:r>
        <w:rPr>
          <w:sz w:val="22"/>
        </w:rPr>
        <w:t>).</w:t>
      </w:r>
    </w:p>
    <w:p w14:paraId="366EE514" w14:textId="77777777" w:rsidR="007048D1" w:rsidRDefault="007048D1" w:rsidP="007048D1">
      <w:pPr>
        <w:tabs>
          <w:tab w:val="left" w:pos="3090"/>
        </w:tabs>
      </w:pPr>
    </w:p>
    <w:p w14:paraId="5756F86C" w14:textId="77777777" w:rsidR="007048D1" w:rsidRDefault="00E453CD" w:rsidP="007048D1">
      <w:pPr>
        <w:tabs>
          <w:tab w:val="left" w:pos="3090"/>
        </w:tabs>
        <w:jc w:val="center"/>
        <w:rPr>
          <w:b/>
        </w:rPr>
      </w:pPr>
      <w:r>
        <w:rPr>
          <w:b/>
          <w:sz w:val="22"/>
        </w:rPr>
        <w:t>Tabell </w:t>
      </w:r>
      <w:r w:rsidR="00A457B0">
        <w:rPr>
          <w:b/>
          <w:sz w:val="22"/>
        </w:rPr>
        <w:t>16</w:t>
      </w:r>
    </w:p>
    <w:p w14:paraId="3E851E00" w14:textId="77777777" w:rsidR="007048D1" w:rsidRDefault="00E453CD" w:rsidP="007048D1">
      <w:pPr>
        <w:tabs>
          <w:tab w:val="left" w:pos="3090"/>
        </w:tabs>
        <w:jc w:val="center"/>
        <w:rPr>
          <w:b/>
        </w:rPr>
      </w:pPr>
      <w:r>
        <w:rPr>
          <w:b/>
          <w:sz w:val="22"/>
        </w:rPr>
        <w:t>Tid til behandlingssvikt i UV I- og UV II-studiene</w:t>
      </w:r>
    </w:p>
    <w:p w14:paraId="13DCCCE1" w14:textId="77777777" w:rsidR="007048D1" w:rsidRPr="00B3311E" w:rsidRDefault="007048D1" w:rsidP="007048D1">
      <w:pPr>
        <w:tabs>
          <w:tab w:val="left" w:pos="3090"/>
        </w:tabs>
        <w:jc w:val="center"/>
        <w:rPr>
          <w:b/>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4644D4" w14:paraId="50B1A374" w14:textId="77777777" w:rsidTr="008B396C">
        <w:tc>
          <w:tcPr>
            <w:tcW w:w="2268" w:type="dxa"/>
            <w:tcBorders>
              <w:top w:val="single" w:sz="4" w:space="0" w:color="auto"/>
              <w:bottom w:val="single" w:sz="4" w:space="0" w:color="auto"/>
            </w:tcBorders>
          </w:tcPr>
          <w:p w14:paraId="18AC9647" w14:textId="77777777" w:rsidR="007048D1" w:rsidRPr="00B720DC" w:rsidRDefault="00E453CD" w:rsidP="008B396C">
            <w:pPr>
              <w:pStyle w:val="EMEANormal"/>
              <w:rPr>
                <w:b/>
                <w:szCs w:val="22"/>
              </w:rPr>
            </w:pPr>
            <w:r>
              <w:rPr>
                <w:b/>
                <w:szCs w:val="22"/>
              </w:rPr>
              <w:t>Analyse</w:t>
            </w:r>
          </w:p>
          <w:p w14:paraId="300DE0A9" w14:textId="77777777" w:rsidR="007048D1" w:rsidRPr="00B720DC" w:rsidRDefault="00E453CD" w:rsidP="008B396C">
            <w:pPr>
              <w:pStyle w:val="EMEANormal"/>
              <w:rPr>
                <w:b/>
                <w:szCs w:val="22"/>
              </w:rPr>
            </w:pPr>
            <w:r w:rsidRPr="00B720DC">
              <w:rPr>
                <w:b/>
                <w:szCs w:val="22"/>
              </w:rPr>
              <w:tab/>
            </w:r>
            <w:r>
              <w:rPr>
                <w:b/>
                <w:szCs w:val="22"/>
              </w:rPr>
              <w:t>Behandling</w:t>
            </w:r>
          </w:p>
        </w:tc>
        <w:tc>
          <w:tcPr>
            <w:tcW w:w="720" w:type="dxa"/>
            <w:tcBorders>
              <w:top w:val="single" w:sz="4" w:space="0" w:color="auto"/>
              <w:bottom w:val="single" w:sz="4" w:space="0" w:color="auto"/>
            </w:tcBorders>
          </w:tcPr>
          <w:p w14:paraId="1F707615" w14:textId="77777777" w:rsidR="007048D1" w:rsidRPr="00B720DC" w:rsidRDefault="00E453CD" w:rsidP="008B396C">
            <w:pPr>
              <w:pStyle w:val="EMEANormal"/>
              <w:rPr>
                <w:b/>
                <w:szCs w:val="22"/>
              </w:rPr>
            </w:pPr>
            <w:r w:rsidRPr="00B720DC">
              <w:rPr>
                <w:b/>
                <w:szCs w:val="22"/>
              </w:rPr>
              <w:t>N</w:t>
            </w:r>
          </w:p>
        </w:tc>
        <w:tc>
          <w:tcPr>
            <w:tcW w:w="1170" w:type="dxa"/>
            <w:tcBorders>
              <w:top w:val="single" w:sz="4" w:space="0" w:color="auto"/>
              <w:bottom w:val="single" w:sz="4" w:space="0" w:color="auto"/>
            </w:tcBorders>
          </w:tcPr>
          <w:p w14:paraId="386ED06E" w14:textId="77777777" w:rsidR="007048D1" w:rsidRPr="00B720DC" w:rsidRDefault="00E453CD" w:rsidP="008B396C">
            <w:pPr>
              <w:pStyle w:val="EMEANormal"/>
              <w:rPr>
                <w:b/>
                <w:szCs w:val="22"/>
              </w:rPr>
            </w:pPr>
            <w:r>
              <w:rPr>
                <w:b/>
                <w:szCs w:val="22"/>
              </w:rPr>
              <w:t>Svikt</w:t>
            </w:r>
            <w:r w:rsidRPr="00B720DC">
              <w:rPr>
                <w:b/>
                <w:szCs w:val="22"/>
              </w:rPr>
              <w:br/>
              <w:t>N (%)</w:t>
            </w:r>
          </w:p>
        </w:tc>
        <w:tc>
          <w:tcPr>
            <w:tcW w:w="1890" w:type="dxa"/>
            <w:tcBorders>
              <w:top w:val="single" w:sz="4" w:space="0" w:color="auto"/>
              <w:bottom w:val="single" w:sz="4" w:space="0" w:color="auto"/>
            </w:tcBorders>
          </w:tcPr>
          <w:p w14:paraId="0E3EECC6" w14:textId="77777777" w:rsidR="007048D1" w:rsidRPr="00B3311E" w:rsidRDefault="00E453CD" w:rsidP="008B396C">
            <w:pPr>
              <w:pStyle w:val="EMEANormal"/>
              <w:rPr>
                <w:b/>
                <w:szCs w:val="22"/>
                <w:lang w:val="nb-NO"/>
              </w:rPr>
            </w:pPr>
            <w:r w:rsidRPr="00B3311E">
              <w:rPr>
                <w:b/>
                <w:szCs w:val="22"/>
                <w:lang w:val="nb-NO"/>
              </w:rPr>
              <w:t>Median tid til svikt (måneder)</w:t>
            </w:r>
          </w:p>
        </w:tc>
        <w:tc>
          <w:tcPr>
            <w:tcW w:w="720" w:type="dxa"/>
            <w:tcBorders>
              <w:top w:val="single" w:sz="4" w:space="0" w:color="auto"/>
              <w:bottom w:val="single" w:sz="4" w:space="0" w:color="auto"/>
            </w:tcBorders>
          </w:tcPr>
          <w:p w14:paraId="1F0E0F1F" w14:textId="77777777" w:rsidR="007048D1" w:rsidRPr="00B720DC" w:rsidRDefault="00E453CD" w:rsidP="008B396C">
            <w:pPr>
              <w:pStyle w:val="EMEANormal"/>
              <w:rPr>
                <w:b/>
                <w:szCs w:val="22"/>
              </w:rPr>
            </w:pPr>
            <w:r w:rsidRPr="00B720DC">
              <w:rPr>
                <w:b/>
                <w:szCs w:val="22"/>
              </w:rPr>
              <w:t>HR</w:t>
            </w:r>
            <w:r w:rsidRPr="00B720DC">
              <w:rPr>
                <w:b/>
                <w:szCs w:val="22"/>
                <w:vertAlign w:val="superscript"/>
              </w:rPr>
              <w:t>a</w:t>
            </w:r>
          </w:p>
        </w:tc>
        <w:tc>
          <w:tcPr>
            <w:tcW w:w="1170" w:type="dxa"/>
            <w:tcBorders>
              <w:top w:val="single" w:sz="4" w:space="0" w:color="auto"/>
              <w:bottom w:val="single" w:sz="4" w:space="0" w:color="auto"/>
            </w:tcBorders>
          </w:tcPr>
          <w:p w14:paraId="7966CBA9" w14:textId="77777777" w:rsidR="007048D1" w:rsidRPr="00B720DC" w:rsidRDefault="00E453CD" w:rsidP="008B396C">
            <w:pPr>
              <w:pStyle w:val="EMEANormal"/>
              <w:rPr>
                <w:b/>
                <w:szCs w:val="22"/>
              </w:rPr>
            </w:pPr>
            <w:r>
              <w:rPr>
                <w:b/>
                <w:szCs w:val="22"/>
              </w:rPr>
              <w:t>K</w:t>
            </w:r>
            <w:r w:rsidRPr="00B720DC">
              <w:rPr>
                <w:b/>
                <w:szCs w:val="22"/>
              </w:rPr>
              <w:t>I 95</w:t>
            </w:r>
            <w:r>
              <w:rPr>
                <w:b/>
                <w:szCs w:val="22"/>
              </w:rPr>
              <w:t> </w:t>
            </w:r>
            <w:r w:rsidRPr="00B720DC">
              <w:rPr>
                <w:b/>
                <w:szCs w:val="22"/>
              </w:rPr>
              <w:t>% for HR</w:t>
            </w:r>
            <w:r w:rsidRPr="00B720DC">
              <w:rPr>
                <w:b/>
                <w:szCs w:val="22"/>
                <w:vertAlign w:val="superscript"/>
              </w:rPr>
              <w:t>a</w:t>
            </w:r>
          </w:p>
        </w:tc>
        <w:tc>
          <w:tcPr>
            <w:tcW w:w="1080" w:type="dxa"/>
            <w:tcBorders>
              <w:top w:val="single" w:sz="4" w:space="0" w:color="auto"/>
              <w:bottom w:val="single" w:sz="4" w:space="0" w:color="auto"/>
            </w:tcBorders>
          </w:tcPr>
          <w:p w14:paraId="77A00375" w14:textId="77777777" w:rsidR="007048D1" w:rsidRPr="00B720DC" w:rsidRDefault="00E453CD" w:rsidP="008B396C">
            <w:pPr>
              <w:pStyle w:val="EMEANormal"/>
              <w:rPr>
                <w:b/>
                <w:szCs w:val="22"/>
              </w:rPr>
            </w:pPr>
            <w:r w:rsidRPr="00B720DC">
              <w:rPr>
                <w:b/>
                <w:i/>
                <w:szCs w:val="22"/>
              </w:rPr>
              <w:t>P</w:t>
            </w:r>
            <w:r>
              <w:rPr>
                <w:b/>
                <w:szCs w:val="22"/>
              </w:rPr>
              <w:t>-verdi</w:t>
            </w:r>
            <w:r w:rsidRPr="00B720DC">
              <w:rPr>
                <w:szCs w:val="22"/>
                <w:vertAlign w:val="superscript"/>
              </w:rPr>
              <w:t xml:space="preserve"> b</w:t>
            </w:r>
          </w:p>
        </w:tc>
      </w:tr>
      <w:tr w:rsidR="004644D4" w14:paraId="0F022165" w14:textId="77777777" w:rsidTr="008B396C">
        <w:tc>
          <w:tcPr>
            <w:tcW w:w="9018" w:type="dxa"/>
            <w:gridSpan w:val="7"/>
            <w:tcBorders>
              <w:top w:val="single" w:sz="4" w:space="0" w:color="auto"/>
              <w:bottom w:val="nil"/>
            </w:tcBorders>
          </w:tcPr>
          <w:p w14:paraId="49D86E09" w14:textId="77777777" w:rsidR="007048D1" w:rsidRPr="00B3311E" w:rsidRDefault="00E453CD" w:rsidP="008B396C">
            <w:pPr>
              <w:pStyle w:val="EMEANormal"/>
              <w:rPr>
                <w:b/>
                <w:szCs w:val="22"/>
                <w:lang w:val="nb-NO"/>
              </w:rPr>
            </w:pPr>
            <w:r w:rsidRPr="00B3311E">
              <w:rPr>
                <w:b/>
                <w:szCs w:val="22"/>
                <w:lang w:val="nb-NO"/>
              </w:rPr>
              <w:t>Tid til behandlingssvikt ved eller etter uke 6 i UV I</w:t>
            </w:r>
            <w:r>
              <w:rPr>
                <w:b/>
                <w:szCs w:val="22"/>
                <w:lang w:val="nb-NO"/>
              </w:rPr>
              <w:t>-studien</w:t>
            </w:r>
          </w:p>
        </w:tc>
      </w:tr>
      <w:tr w:rsidR="004644D4" w14:paraId="167E9DA0" w14:textId="77777777" w:rsidTr="008B396C">
        <w:tc>
          <w:tcPr>
            <w:tcW w:w="2988" w:type="dxa"/>
            <w:gridSpan w:val="2"/>
            <w:tcBorders>
              <w:top w:val="nil"/>
              <w:bottom w:val="nil"/>
            </w:tcBorders>
          </w:tcPr>
          <w:p w14:paraId="5FC7D62A" w14:textId="77777777" w:rsidR="007048D1" w:rsidRPr="00B720DC" w:rsidRDefault="00E453CD" w:rsidP="008B396C">
            <w:pPr>
              <w:pStyle w:val="EMEANormal"/>
              <w:rPr>
                <w:szCs w:val="22"/>
              </w:rPr>
            </w:pPr>
            <w:r>
              <w:rPr>
                <w:szCs w:val="22"/>
              </w:rPr>
              <w:t>Primæranalyse</w:t>
            </w:r>
            <w:r w:rsidRPr="00B720DC">
              <w:rPr>
                <w:szCs w:val="22"/>
              </w:rPr>
              <w:t xml:space="preserve"> (ITT)</w:t>
            </w:r>
          </w:p>
        </w:tc>
        <w:tc>
          <w:tcPr>
            <w:tcW w:w="1170" w:type="dxa"/>
            <w:tcBorders>
              <w:top w:val="nil"/>
              <w:bottom w:val="nil"/>
            </w:tcBorders>
          </w:tcPr>
          <w:p w14:paraId="106FE520" w14:textId="77777777" w:rsidR="007048D1" w:rsidRPr="00B720DC" w:rsidRDefault="007048D1" w:rsidP="008B396C">
            <w:pPr>
              <w:pStyle w:val="EMEANormal"/>
              <w:rPr>
                <w:szCs w:val="22"/>
              </w:rPr>
            </w:pPr>
          </w:p>
        </w:tc>
        <w:tc>
          <w:tcPr>
            <w:tcW w:w="1890" w:type="dxa"/>
            <w:tcBorders>
              <w:top w:val="nil"/>
              <w:bottom w:val="nil"/>
            </w:tcBorders>
          </w:tcPr>
          <w:p w14:paraId="2FB5A443" w14:textId="77777777" w:rsidR="007048D1" w:rsidRPr="00B720DC" w:rsidRDefault="007048D1" w:rsidP="008B396C">
            <w:pPr>
              <w:pStyle w:val="EMEANormal"/>
              <w:rPr>
                <w:szCs w:val="22"/>
              </w:rPr>
            </w:pPr>
          </w:p>
        </w:tc>
        <w:tc>
          <w:tcPr>
            <w:tcW w:w="720" w:type="dxa"/>
            <w:tcBorders>
              <w:top w:val="nil"/>
              <w:bottom w:val="nil"/>
            </w:tcBorders>
          </w:tcPr>
          <w:p w14:paraId="666B7B8C" w14:textId="77777777" w:rsidR="007048D1" w:rsidRPr="00B720DC" w:rsidRDefault="007048D1" w:rsidP="008B396C">
            <w:pPr>
              <w:pStyle w:val="EMEANormal"/>
              <w:rPr>
                <w:szCs w:val="22"/>
              </w:rPr>
            </w:pPr>
          </w:p>
        </w:tc>
        <w:tc>
          <w:tcPr>
            <w:tcW w:w="1170" w:type="dxa"/>
            <w:tcBorders>
              <w:top w:val="nil"/>
              <w:bottom w:val="nil"/>
            </w:tcBorders>
          </w:tcPr>
          <w:p w14:paraId="446FA890" w14:textId="77777777" w:rsidR="007048D1" w:rsidRPr="00B720DC" w:rsidRDefault="007048D1" w:rsidP="008B396C">
            <w:pPr>
              <w:pStyle w:val="EMEANormal"/>
              <w:rPr>
                <w:szCs w:val="22"/>
              </w:rPr>
            </w:pPr>
          </w:p>
        </w:tc>
        <w:tc>
          <w:tcPr>
            <w:tcW w:w="1080" w:type="dxa"/>
            <w:tcBorders>
              <w:top w:val="nil"/>
              <w:bottom w:val="nil"/>
            </w:tcBorders>
          </w:tcPr>
          <w:p w14:paraId="0AA27C13" w14:textId="77777777" w:rsidR="007048D1" w:rsidRPr="00B720DC" w:rsidRDefault="007048D1" w:rsidP="008B396C">
            <w:pPr>
              <w:pStyle w:val="EMEANormal"/>
              <w:rPr>
                <w:szCs w:val="22"/>
              </w:rPr>
            </w:pPr>
          </w:p>
        </w:tc>
      </w:tr>
      <w:tr w:rsidR="004644D4" w14:paraId="465A4747" w14:textId="77777777" w:rsidTr="008B396C">
        <w:tc>
          <w:tcPr>
            <w:tcW w:w="2268" w:type="dxa"/>
            <w:tcBorders>
              <w:top w:val="nil"/>
              <w:bottom w:val="nil"/>
            </w:tcBorders>
          </w:tcPr>
          <w:p w14:paraId="1271C9DC" w14:textId="77777777" w:rsidR="007048D1" w:rsidRPr="00B720DC" w:rsidRDefault="00E453CD" w:rsidP="008B396C">
            <w:pPr>
              <w:pStyle w:val="EMEANormal"/>
              <w:rPr>
                <w:szCs w:val="22"/>
              </w:rPr>
            </w:pPr>
            <w:r w:rsidRPr="00B720DC">
              <w:rPr>
                <w:szCs w:val="22"/>
              </w:rPr>
              <w:tab/>
              <w:t>Placebo</w:t>
            </w:r>
          </w:p>
        </w:tc>
        <w:tc>
          <w:tcPr>
            <w:tcW w:w="720" w:type="dxa"/>
            <w:tcBorders>
              <w:top w:val="nil"/>
              <w:bottom w:val="nil"/>
            </w:tcBorders>
          </w:tcPr>
          <w:p w14:paraId="3259C262" w14:textId="77777777" w:rsidR="007048D1" w:rsidRPr="00B720DC" w:rsidRDefault="00E453CD" w:rsidP="008B396C">
            <w:pPr>
              <w:pStyle w:val="EMEANormal"/>
              <w:rPr>
                <w:szCs w:val="22"/>
              </w:rPr>
            </w:pPr>
            <w:r w:rsidRPr="00B720DC">
              <w:rPr>
                <w:szCs w:val="22"/>
              </w:rPr>
              <w:t>107</w:t>
            </w:r>
          </w:p>
        </w:tc>
        <w:tc>
          <w:tcPr>
            <w:tcW w:w="1170" w:type="dxa"/>
            <w:tcBorders>
              <w:top w:val="nil"/>
              <w:bottom w:val="nil"/>
            </w:tcBorders>
          </w:tcPr>
          <w:p w14:paraId="3882EBB0" w14:textId="77777777" w:rsidR="007048D1" w:rsidRPr="00B720DC" w:rsidRDefault="00E453CD" w:rsidP="008B396C">
            <w:pPr>
              <w:pStyle w:val="EMEANormal"/>
              <w:rPr>
                <w:szCs w:val="22"/>
              </w:rPr>
            </w:pPr>
            <w:r>
              <w:rPr>
                <w:szCs w:val="22"/>
              </w:rPr>
              <w:t>84 (78,</w:t>
            </w:r>
            <w:r w:rsidRPr="00B720DC">
              <w:rPr>
                <w:szCs w:val="22"/>
              </w:rPr>
              <w:t>5)</w:t>
            </w:r>
          </w:p>
        </w:tc>
        <w:tc>
          <w:tcPr>
            <w:tcW w:w="1890" w:type="dxa"/>
            <w:tcBorders>
              <w:top w:val="nil"/>
              <w:bottom w:val="nil"/>
            </w:tcBorders>
          </w:tcPr>
          <w:p w14:paraId="1198A0B9" w14:textId="77777777" w:rsidR="007048D1" w:rsidRPr="00B720DC" w:rsidRDefault="00E453CD" w:rsidP="008B396C">
            <w:pPr>
              <w:pStyle w:val="EMEANormal"/>
              <w:rPr>
                <w:szCs w:val="22"/>
              </w:rPr>
            </w:pPr>
            <w:r>
              <w:rPr>
                <w:szCs w:val="22"/>
              </w:rPr>
              <w:t>3,</w:t>
            </w:r>
            <w:r w:rsidRPr="00B720DC">
              <w:rPr>
                <w:szCs w:val="22"/>
              </w:rPr>
              <w:t>0</w:t>
            </w:r>
          </w:p>
        </w:tc>
        <w:tc>
          <w:tcPr>
            <w:tcW w:w="720" w:type="dxa"/>
            <w:tcBorders>
              <w:top w:val="nil"/>
              <w:bottom w:val="nil"/>
            </w:tcBorders>
          </w:tcPr>
          <w:p w14:paraId="275A8E42" w14:textId="77777777" w:rsidR="007048D1" w:rsidRPr="00B720DC" w:rsidRDefault="00E453CD" w:rsidP="008B396C">
            <w:pPr>
              <w:pStyle w:val="EMEANormal"/>
              <w:rPr>
                <w:szCs w:val="22"/>
              </w:rPr>
            </w:pPr>
            <w:r w:rsidRPr="00B720DC">
              <w:rPr>
                <w:szCs w:val="22"/>
              </w:rPr>
              <w:t>--</w:t>
            </w:r>
          </w:p>
        </w:tc>
        <w:tc>
          <w:tcPr>
            <w:tcW w:w="1170" w:type="dxa"/>
            <w:tcBorders>
              <w:top w:val="nil"/>
              <w:bottom w:val="nil"/>
            </w:tcBorders>
          </w:tcPr>
          <w:p w14:paraId="58104487" w14:textId="77777777" w:rsidR="007048D1" w:rsidRPr="00B720DC" w:rsidRDefault="00E453CD" w:rsidP="008B396C">
            <w:pPr>
              <w:pStyle w:val="EMEANormal"/>
              <w:rPr>
                <w:szCs w:val="22"/>
              </w:rPr>
            </w:pPr>
            <w:r w:rsidRPr="00B720DC">
              <w:rPr>
                <w:szCs w:val="22"/>
              </w:rPr>
              <w:t>--</w:t>
            </w:r>
          </w:p>
        </w:tc>
        <w:tc>
          <w:tcPr>
            <w:tcW w:w="1080" w:type="dxa"/>
            <w:tcBorders>
              <w:top w:val="nil"/>
              <w:bottom w:val="nil"/>
            </w:tcBorders>
          </w:tcPr>
          <w:p w14:paraId="0321E4FC" w14:textId="77777777" w:rsidR="007048D1" w:rsidRPr="00B720DC" w:rsidRDefault="00E453CD" w:rsidP="008B396C">
            <w:pPr>
              <w:pStyle w:val="EMEANormal"/>
              <w:rPr>
                <w:szCs w:val="22"/>
              </w:rPr>
            </w:pPr>
            <w:r w:rsidRPr="00B720DC">
              <w:rPr>
                <w:szCs w:val="22"/>
              </w:rPr>
              <w:t>--</w:t>
            </w:r>
          </w:p>
        </w:tc>
      </w:tr>
      <w:tr w:rsidR="004644D4" w14:paraId="02F490BB" w14:textId="77777777" w:rsidTr="008B396C">
        <w:tc>
          <w:tcPr>
            <w:tcW w:w="2268" w:type="dxa"/>
            <w:tcBorders>
              <w:top w:val="nil"/>
              <w:bottom w:val="single" w:sz="4" w:space="0" w:color="auto"/>
            </w:tcBorders>
          </w:tcPr>
          <w:p w14:paraId="106D3D53" w14:textId="77777777" w:rsidR="007048D1" w:rsidRPr="00B720DC" w:rsidRDefault="00E453CD" w:rsidP="008B396C">
            <w:pPr>
              <w:pStyle w:val="EMEANormal"/>
              <w:rPr>
                <w:szCs w:val="22"/>
              </w:rPr>
            </w:pPr>
            <w:r w:rsidRPr="00B720DC">
              <w:rPr>
                <w:szCs w:val="22"/>
              </w:rPr>
              <w:tab/>
              <w:t>Adalimumab</w:t>
            </w:r>
          </w:p>
        </w:tc>
        <w:tc>
          <w:tcPr>
            <w:tcW w:w="720" w:type="dxa"/>
            <w:tcBorders>
              <w:top w:val="nil"/>
              <w:bottom w:val="single" w:sz="4" w:space="0" w:color="auto"/>
            </w:tcBorders>
          </w:tcPr>
          <w:p w14:paraId="49D64B0E" w14:textId="77777777" w:rsidR="007048D1" w:rsidRPr="00B720DC" w:rsidRDefault="00E453CD" w:rsidP="008B396C">
            <w:pPr>
              <w:pStyle w:val="EMEANormal"/>
              <w:rPr>
                <w:szCs w:val="22"/>
              </w:rPr>
            </w:pPr>
            <w:r w:rsidRPr="00B720DC">
              <w:rPr>
                <w:szCs w:val="22"/>
              </w:rPr>
              <w:t>110</w:t>
            </w:r>
          </w:p>
        </w:tc>
        <w:tc>
          <w:tcPr>
            <w:tcW w:w="1170" w:type="dxa"/>
            <w:tcBorders>
              <w:top w:val="nil"/>
              <w:bottom w:val="single" w:sz="4" w:space="0" w:color="auto"/>
            </w:tcBorders>
          </w:tcPr>
          <w:p w14:paraId="3D0A30E0" w14:textId="77777777" w:rsidR="007048D1" w:rsidRPr="00B720DC" w:rsidRDefault="00E453CD" w:rsidP="008B396C">
            <w:pPr>
              <w:pStyle w:val="EMEANormal"/>
              <w:rPr>
                <w:szCs w:val="22"/>
              </w:rPr>
            </w:pPr>
            <w:r>
              <w:rPr>
                <w:szCs w:val="22"/>
              </w:rPr>
              <w:t>60 (54,</w:t>
            </w:r>
            <w:r w:rsidRPr="00B720DC">
              <w:rPr>
                <w:szCs w:val="22"/>
              </w:rPr>
              <w:t>5)</w:t>
            </w:r>
          </w:p>
        </w:tc>
        <w:tc>
          <w:tcPr>
            <w:tcW w:w="1890" w:type="dxa"/>
            <w:tcBorders>
              <w:top w:val="nil"/>
              <w:bottom w:val="single" w:sz="4" w:space="0" w:color="auto"/>
            </w:tcBorders>
          </w:tcPr>
          <w:p w14:paraId="4B01E494" w14:textId="77777777" w:rsidR="007048D1" w:rsidRPr="00B720DC" w:rsidRDefault="00E453CD" w:rsidP="008B396C">
            <w:pPr>
              <w:pStyle w:val="EMEANormal"/>
              <w:rPr>
                <w:szCs w:val="22"/>
              </w:rPr>
            </w:pPr>
            <w:r>
              <w:rPr>
                <w:szCs w:val="22"/>
              </w:rPr>
              <w:t>5,</w:t>
            </w:r>
            <w:r w:rsidRPr="00B720DC">
              <w:rPr>
                <w:szCs w:val="22"/>
              </w:rPr>
              <w:t>6</w:t>
            </w:r>
          </w:p>
        </w:tc>
        <w:tc>
          <w:tcPr>
            <w:tcW w:w="720" w:type="dxa"/>
            <w:tcBorders>
              <w:top w:val="nil"/>
              <w:bottom w:val="single" w:sz="4" w:space="0" w:color="auto"/>
            </w:tcBorders>
          </w:tcPr>
          <w:p w14:paraId="22AAEE7D" w14:textId="77777777" w:rsidR="007048D1" w:rsidRPr="00B720DC" w:rsidRDefault="00E453CD" w:rsidP="008B396C">
            <w:pPr>
              <w:pStyle w:val="EMEANormal"/>
              <w:rPr>
                <w:szCs w:val="22"/>
              </w:rPr>
            </w:pPr>
            <w:r>
              <w:rPr>
                <w:szCs w:val="22"/>
              </w:rPr>
              <w:t>0,</w:t>
            </w:r>
            <w:r w:rsidRPr="00B720DC">
              <w:rPr>
                <w:szCs w:val="22"/>
              </w:rPr>
              <w:t>50</w:t>
            </w:r>
          </w:p>
        </w:tc>
        <w:tc>
          <w:tcPr>
            <w:tcW w:w="1170" w:type="dxa"/>
            <w:tcBorders>
              <w:top w:val="nil"/>
              <w:bottom w:val="single" w:sz="4" w:space="0" w:color="auto"/>
            </w:tcBorders>
          </w:tcPr>
          <w:p w14:paraId="128BFA65" w14:textId="77777777" w:rsidR="007048D1" w:rsidRPr="00B720DC" w:rsidRDefault="00E453CD" w:rsidP="008B396C">
            <w:pPr>
              <w:pStyle w:val="EMEANormal"/>
              <w:rPr>
                <w:szCs w:val="22"/>
              </w:rPr>
            </w:pPr>
            <w:r>
              <w:rPr>
                <w:szCs w:val="22"/>
              </w:rPr>
              <w:t>0,36, 0,</w:t>
            </w:r>
            <w:r w:rsidRPr="00B720DC">
              <w:rPr>
                <w:szCs w:val="22"/>
              </w:rPr>
              <w:t>70</w:t>
            </w:r>
            <w:r w:rsidRPr="00B720DC">
              <w:rPr>
                <w:szCs w:val="22"/>
                <w:vertAlign w:val="superscript"/>
              </w:rPr>
              <w:t xml:space="preserve"> </w:t>
            </w:r>
          </w:p>
        </w:tc>
        <w:tc>
          <w:tcPr>
            <w:tcW w:w="1080" w:type="dxa"/>
            <w:tcBorders>
              <w:top w:val="nil"/>
              <w:bottom w:val="single" w:sz="4" w:space="0" w:color="auto"/>
            </w:tcBorders>
          </w:tcPr>
          <w:p w14:paraId="1F11A506" w14:textId="77777777" w:rsidR="007048D1" w:rsidRPr="00B720DC" w:rsidRDefault="00E453CD" w:rsidP="008B396C">
            <w:pPr>
              <w:pStyle w:val="EMEANormal"/>
              <w:rPr>
                <w:szCs w:val="22"/>
              </w:rPr>
            </w:pPr>
            <w:r>
              <w:rPr>
                <w:szCs w:val="22"/>
              </w:rPr>
              <w:t>&lt; 0,</w:t>
            </w:r>
            <w:r w:rsidRPr="00B720DC">
              <w:rPr>
                <w:szCs w:val="22"/>
              </w:rPr>
              <w:t>001</w:t>
            </w:r>
          </w:p>
        </w:tc>
      </w:tr>
      <w:tr w:rsidR="004644D4" w14:paraId="51D2F3ED" w14:textId="77777777" w:rsidTr="008B396C">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7B60F639" w14:textId="77777777" w:rsidR="007048D1" w:rsidRPr="00B3311E" w:rsidRDefault="00E453CD" w:rsidP="008B396C">
            <w:pPr>
              <w:pStyle w:val="EMEANormal"/>
              <w:rPr>
                <w:b/>
                <w:szCs w:val="22"/>
                <w:lang w:val="nb-NO"/>
              </w:rPr>
            </w:pPr>
            <w:r w:rsidRPr="00672CB0">
              <w:rPr>
                <w:b/>
                <w:szCs w:val="22"/>
                <w:lang w:val="nb-NO"/>
              </w:rPr>
              <w:t>Tid til behandlingssvikt ved eller etter uke </w:t>
            </w:r>
            <w:r w:rsidRPr="00B3311E">
              <w:rPr>
                <w:b/>
                <w:szCs w:val="22"/>
                <w:lang w:val="nb-NO"/>
              </w:rPr>
              <w:t>2 i UV II</w:t>
            </w:r>
            <w:r>
              <w:rPr>
                <w:b/>
                <w:szCs w:val="22"/>
                <w:lang w:val="nb-NO"/>
              </w:rPr>
              <w:t>-studien</w:t>
            </w:r>
          </w:p>
        </w:tc>
      </w:tr>
      <w:tr w:rsidR="004644D4" w14:paraId="1DE6BABC" w14:textId="77777777" w:rsidTr="008B396C">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24E4A863" w14:textId="77777777" w:rsidR="007048D1" w:rsidRPr="00B720DC" w:rsidRDefault="00E453CD" w:rsidP="008B396C">
            <w:pPr>
              <w:pStyle w:val="EMEANormal"/>
              <w:rPr>
                <w:szCs w:val="22"/>
              </w:rPr>
            </w:pPr>
            <w:r>
              <w:rPr>
                <w:szCs w:val="22"/>
              </w:rPr>
              <w:t xml:space="preserve">Primæranalyse </w:t>
            </w:r>
            <w:r w:rsidRPr="00B720DC">
              <w:rPr>
                <w:szCs w:val="22"/>
              </w:rPr>
              <w:t>(ITT)</w:t>
            </w:r>
          </w:p>
        </w:tc>
        <w:tc>
          <w:tcPr>
            <w:tcW w:w="1170" w:type="dxa"/>
            <w:tcBorders>
              <w:top w:val="nil"/>
              <w:left w:val="nil"/>
              <w:bottom w:val="nil"/>
              <w:right w:val="nil"/>
            </w:tcBorders>
          </w:tcPr>
          <w:p w14:paraId="731C96E8" w14:textId="77777777" w:rsidR="007048D1" w:rsidRPr="00B720DC" w:rsidRDefault="007048D1" w:rsidP="008B396C">
            <w:pPr>
              <w:pStyle w:val="EMEANormal"/>
              <w:rPr>
                <w:szCs w:val="22"/>
              </w:rPr>
            </w:pPr>
          </w:p>
        </w:tc>
        <w:tc>
          <w:tcPr>
            <w:tcW w:w="1890" w:type="dxa"/>
            <w:tcBorders>
              <w:top w:val="nil"/>
              <w:left w:val="nil"/>
              <w:bottom w:val="nil"/>
              <w:right w:val="nil"/>
            </w:tcBorders>
          </w:tcPr>
          <w:p w14:paraId="2AD64449" w14:textId="77777777" w:rsidR="007048D1" w:rsidRPr="00B720DC" w:rsidRDefault="007048D1" w:rsidP="008B396C">
            <w:pPr>
              <w:pStyle w:val="EMEANormal"/>
              <w:rPr>
                <w:szCs w:val="22"/>
              </w:rPr>
            </w:pPr>
          </w:p>
        </w:tc>
        <w:tc>
          <w:tcPr>
            <w:tcW w:w="720" w:type="dxa"/>
            <w:tcBorders>
              <w:top w:val="nil"/>
              <w:left w:val="nil"/>
              <w:bottom w:val="nil"/>
              <w:right w:val="nil"/>
            </w:tcBorders>
          </w:tcPr>
          <w:p w14:paraId="79065DB0" w14:textId="77777777" w:rsidR="007048D1" w:rsidRPr="00B720DC" w:rsidRDefault="007048D1" w:rsidP="008B396C">
            <w:pPr>
              <w:pStyle w:val="EMEANormal"/>
              <w:rPr>
                <w:szCs w:val="22"/>
              </w:rPr>
            </w:pPr>
          </w:p>
        </w:tc>
        <w:tc>
          <w:tcPr>
            <w:tcW w:w="1170" w:type="dxa"/>
            <w:tcBorders>
              <w:top w:val="nil"/>
              <w:left w:val="nil"/>
              <w:bottom w:val="nil"/>
              <w:right w:val="nil"/>
            </w:tcBorders>
          </w:tcPr>
          <w:p w14:paraId="0445197C" w14:textId="77777777" w:rsidR="007048D1" w:rsidRPr="00B720DC" w:rsidRDefault="007048D1" w:rsidP="008B396C">
            <w:pPr>
              <w:pStyle w:val="EMEANormal"/>
              <w:rPr>
                <w:szCs w:val="22"/>
              </w:rPr>
            </w:pPr>
          </w:p>
        </w:tc>
        <w:tc>
          <w:tcPr>
            <w:tcW w:w="1080" w:type="dxa"/>
            <w:tcBorders>
              <w:top w:val="nil"/>
              <w:left w:val="nil"/>
              <w:bottom w:val="nil"/>
              <w:right w:val="nil"/>
            </w:tcBorders>
          </w:tcPr>
          <w:p w14:paraId="69EF56ED" w14:textId="77777777" w:rsidR="007048D1" w:rsidRPr="00B720DC" w:rsidRDefault="007048D1" w:rsidP="008B396C">
            <w:pPr>
              <w:pStyle w:val="EMEANormal"/>
              <w:rPr>
                <w:szCs w:val="22"/>
              </w:rPr>
            </w:pPr>
          </w:p>
        </w:tc>
      </w:tr>
      <w:tr w:rsidR="004644D4" w14:paraId="2180AF2A" w14:textId="77777777" w:rsidTr="008B396C">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379682B5" w14:textId="77777777" w:rsidR="007048D1" w:rsidRPr="00B720DC" w:rsidRDefault="00E453CD" w:rsidP="008B396C">
            <w:pPr>
              <w:pStyle w:val="EMEANormal"/>
              <w:rPr>
                <w:szCs w:val="22"/>
              </w:rPr>
            </w:pPr>
            <w:r w:rsidRPr="00B720DC">
              <w:rPr>
                <w:szCs w:val="22"/>
              </w:rPr>
              <w:tab/>
              <w:t>Placebo</w:t>
            </w:r>
          </w:p>
        </w:tc>
        <w:tc>
          <w:tcPr>
            <w:tcW w:w="720" w:type="dxa"/>
            <w:tcBorders>
              <w:top w:val="nil"/>
              <w:left w:val="nil"/>
              <w:bottom w:val="nil"/>
              <w:right w:val="nil"/>
            </w:tcBorders>
          </w:tcPr>
          <w:p w14:paraId="24212D60" w14:textId="77777777" w:rsidR="007048D1" w:rsidRPr="00B720DC" w:rsidRDefault="00E453CD" w:rsidP="008B396C">
            <w:pPr>
              <w:pStyle w:val="EMEANormal"/>
              <w:rPr>
                <w:szCs w:val="22"/>
              </w:rPr>
            </w:pPr>
            <w:r w:rsidRPr="00B720DC">
              <w:rPr>
                <w:szCs w:val="22"/>
              </w:rPr>
              <w:t>111</w:t>
            </w:r>
          </w:p>
        </w:tc>
        <w:tc>
          <w:tcPr>
            <w:tcW w:w="1170" w:type="dxa"/>
            <w:tcBorders>
              <w:top w:val="nil"/>
              <w:left w:val="nil"/>
              <w:bottom w:val="nil"/>
              <w:right w:val="nil"/>
            </w:tcBorders>
          </w:tcPr>
          <w:p w14:paraId="27D68AA0" w14:textId="77777777" w:rsidR="007048D1" w:rsidRPr="00B720DC" w:rsidRDefault="00E453CD" w:rsidP="008B396C">
            <w:pPr>
              <w:pStyle w:val="EMEANormal"/>
              <w:rPr>
                <w:szCs w:val="22"/>
              </w:rPr>
            </w:pPr>
            <w:r>
              <w:rPr>
                <w:szCs w:val="22"/>
              </w:rPr>
              <w:t>61 (55,</w:t>
            </w:r>
            <w:r w:rsidRPr="00B720DC">
              <w:rPr>
                <w:szCs w:val="22"/>
              </w:rPr>
              <w:t>0)</w:t>
            </w:r>
          </w:p>
        </w:tc>
        <w:tc>
          <w:tcPr>
            <w:tcW w:w="1890" w:type="dxa"/>
            <w:tcBorders>
              <w:top w:val="nil"/>
              <w:left w:val="nil"/>
              <w:bottom w:val="nil"/>
              <w:right w:val="nil"/>
            </w:tcBorders>
          </w:tcPr>
          <w:p w14:paraId="6C90F24A" w14:textId="77777777" w:rsidR="007048D1" w:rsidRPr="00B720DC" w:rsidRDefault="00E453CD" w:rsidP="008B396C">
            <w:pPr>
              <w:pStyle w:val="EMEANormal"/>
              <w:rPr>
                <w:szCs w:val="22"/>
              </w:rPr>
            </w:pPr>
            <w:r w:rsidRPr="00B720DC">
              <w:rPr>
                <w:szCs w:val="22"/>
              </w:rPr>
              <w:t>8</w:t>
            </w:r>
            <w:r w:rsidR="00465D4D">
              <w:rPr>
                <w:szCs w:val="22"/>
              </w:rPr>
              <w:t>,</w:t>
            </w:r>
            <w:r w:rsidRPr="00B720DC">
              <w:rPr>
                <w:szCs w:val="22"/>
              </w:rPr>
              <w:t>3</w:t>
            </w:r>
          </w:p>
        </w:tc>
        <w:tc>
          <w:tcPr>
            <w:tcW w:w="720" w:type="dxa"/>
            <w:tcBorders>
              <w:top w:val="nil"/>
              <w:left w:val="nil"/>
              <w:bottom w:val="nil"/>
              <w:right w:val="nil"/>
            </w:tcBorders>
          </w:tcPr>
          <w:p w14:paraId="0FABFCBE" w14:textId="77777777" w:rsidR="007048D1" w:rsidRPr="00B720DC" w:rsidRDefault="00E453CD" w:rsidP="008B396C">
            <w:pPr>
              <w:pStyle w:val="EMEANormal"/>
              <w:rPr>
                <w:szCs w:val="22"/>
              </w:rPr>
            </w:pPr>
            <w:r w:rsidRPr="00B720DC">
              <w:rPr>
                <w:szCs w:val="22"/>
              </w:rPr>
              <w:t>--</w:t>
            </w:r>
          </w:p>
        </w:tc>
        <w:tc>
          <w:tcPr>
            <w:tcW w:w="1170" w:type="dxa"/>
            <w:tcBorders>
              <w:top w:val="nil"/>
              <w:left w:val="nil"/>
              <w:bottom w:val="nil"/>
              <w:right w:val="nil"/>
            </w:tcBorders>
          </w:tcPr>
          <w:p w14:paraId="540BC23D" w14:textId="77777777" w:rsidR="007048D1" w:rsidRPr="00B720DC" w:rsidRDefault="00E453CD" w:rsidP="008B396C">
            <w:pPr>
              <w:pStyle w:val="EMEANormal"/>
              <w:rPr>
                <w:szCs w:val="22"/>
              </w:rPr>
            </w:pPr>
            <w:r w:rsidRPr="00B720DC">
              <w:rPr>
                <w:szCs w:val="22"/>
              </w:rPr>
              <w:t>--</w:t>
            </w:r>
          </w:p>
        </w:tc>
        <w:tc>
          <w:tcPr>
            <w:tcW w:w="1080" w:type="dxa"/>
            <w:tcBorders>
              <w:top w:val="nil"/>
              <w:left w:val="nil"/>
              <w:bottom w:val="nil"/>
              <w:right w:val="nil"/>
            </w:tcBorders>
          </w:tcPr>
          <w:p w14:paraId="6227875C" w14:textId="77777777" w:rsidR="007048D1" w:rsidRPr="00B720DC" w:rsidRDefault="00E453CD" w:rsidP="008B396C">
            <w:pPr>
              <w:pStyle w:val="EMEANormal"/>
              <w:rPr>
                <w:szCs w:val="22"/>
              </w:rPr>
            </w:pPr>
            <w:r w:rsidRPr="00B720DC">
              <w:rPr>
                <w:szCs w:val="22"/>
              </w:rPr>
              <w:t>--</w:t>
            </w:r>
          </w:p>
        </w:tc>
      </w:tr>
      <w:tr w:rsidR="004644D4" w14:paraId="6CF2FA56" w14:textId="77777777" w:rsidTr="008B396C">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60CC9075" w14:textId="77777777" w:rsidR="007048D1" w:rsidRPr="00B720DC" w:rsidRDefault="00E453CD" w:rsidP="008B396C">
            <w:pPr>
              <w:pStyle w:val="EMEANormal"/>
              <w:rPr>
                <w:szCs w:val="22"/>
              </w:rPr>
            </w:pPr>
            <w:r w:rsidRPr="00B720DC">
              <w:rPr>
                <w:szCs w:val="22"/>
              </w:rPr>
              <w:tab/>
              <w:t>Adalimumab</w:t>
            </w:r>
          </w:p>
        </w:tc>
        <w:tc>
          <w:tcPr>
            <w:tcW w:w="720" w:type="dxa"/>
            <w:tcBorders>
              <w:top w:val="nil"/>
              <w:left w:val="nil"/>
              <w:bottom w:val="single" w:sz="4" w:space="0" w:color="auto"/>
              <w:right w:val="nil"/>
            </w:tcBorders>
          </w:tcPr>
          <w:p w14:paraId="22CECD2B" w14:textId="77777777" w:rsidR="007048D1" w:rsidRPr="00B720DC" w:rsidRDefault="00E453CD" w:rsidP="008B396C">
            <w:pPr>
              <w:pStyle w:val="EMEANormal"/>
              <w:rPr>
                <w:szCs w:val="22"/>
              </w:rPr>
            </w:pPr>
            <w:r w:rsidRPr="00B720DC">
              <w:rPr>
                <w:szCs w:val="22"/>
              </w:rPr>
              <w:t>115</w:t>
            </w:r>
          </w:p>
        </w:tc>
        <w:tc>
          <w:tcPr>
            <w:tcW w:w="1170" w:type="dxa"/>
            <w:tcBorders>
              <w:top w:val="nil"/>
              <w:left w:val="nil"/>
              <w:bottom w:val="single" w:sz="4" w:space="0" w:color="auto"/>
              <w:right w:val="nil"/>
            </w:tcBorders>
          </w:tcPr>
          <w:p w14:paraId="72A1BD57" w14:textId="77777777" w:rsidR="007048D1" w:rsidRPr="00B720DC" w:rsidRDefault="00E453CD" w:rsidP="008B396C">
            <w:pPr>
              <w:pStyle w:val="EMEANormal"/>
              <w:rPr>
                <w:szCs w:val="22"/>
              </w:rPr>
            </w:pPr>
            <w:r>
              <w:rPr>
                <w:szCs w:val="22"/>
              </w:rPr>
              <w:t>45 (39,</w:t>
            </w:r>
            <w:r w:rsidRPr="00B720DC">
              <w:rPr>
                <w:szCs w:val="22"/>
              </w:rPr>
              <w:t>1)</w:t>
            </w:r>
          </w:p>
        </w:tc>
        <w:tc>
          <w:tcPr>
            <w:tcW w:w="1890" w:type="dxa"/>
            <w:tcBorders>
              <w:top w:val="nil"/>
              <w:left w:val="nil"/>
              <w:bottom w:val="single" w:sz="4" w:space="0" w:color="auto"/>
              <w:right w:val="nil"/>
            </w:tcBorders>
          </w:tcPr>
          <w:p w14:paraId="41E9A0D3" w14:textId="77777777" w:rsidR="007048D1" w:rsidRPr="00B720DC" w:rsidRDefault="00E453CD" w:rsidP="008B396C">
            <w:pPr>
              <w:pStyle w:val="EMEANormal"/>
              <w:rPr>
                <w:szCs w:val="22"/>
              </w:rPr>
            </w:pPr>
            <w:r w:rsidRPr="00B720DC">
              <w:rPr>
                <w:szCs w:val="22"/>
              </w:rPr>
              <w:t>NE</w:t>
            </w:r>
            <w:r w:rsidRPr="00B720DC">
              <w:rPr>
                <w:szCs w:val="22"/>
                <w:vertAlign w:val="superscript"/>
              </w:rPr>
              <w:t>c</w:t>
            </w:r>
          </w:p>
        </w:tc>
        <w:tc>
          <w:tcPr>
            <w:tcW w:w="720" w:type="dxa"/>
            <w:tcBorders>
              <w:top w:val="nil"/>
              <w:left w:val="nil"/>
              <w:bottom w:val="single" w:sz="4" w:space="0" w:color="auto"/>
              <w:right w:val="nil"/>
            </w:tcBorders>
          </w:tcPr>
          <w:p w14:paraId="3ACB9FFC" w14:textId="77777777" w:rsidR="007048D1" w:rsidRPr="00B720DC" w:rsidRDefault="00E453CD" w:rsidP="008B396C">
            <w:pPr>
              <w:pStyle w:val="EMEANormal"/>
              <w:rPr>
                <w:szCs w:val="22"/>
              </w:rPr>
            </w:pPr>
            <w:r>
              <w:rPr>
                <w:szCs w:val="22"/>
              </w:rPr>
              <w:t>0,</w:t>
            </w:r>
            <w:r w:rsidRPr="00B720DC">
              <w:rPr>
                <w:szCs w:val="22"/>
              </w:rPr>
              <w:t>57</w:t>
            </w:r>
          </w:p>
        </w:tc>
        <w:tc>
          <w:tcPr>
            <w:tcW w:w="1170" w:type="dxa"/>
            <w:tcBorders>
              <w:top w:val="nil"/>
              <w:left w:val="nil"/>
              <w:bottom w:val="single" w:sz="4" w:space="0" w:color="auto"/>
              <w:right w:val="nil"/>
            </w:tcBorders>
          </w:tcPr>
          <w:p w14:paraId="30C55E84" w14:textId="77777777" w:rsidR="007048D1" w:rsidRPr="00B720DC" w:rsidRDefault="00E453CD" w:rsidP="008B396C">
            <w:pPr>
              <w:pStyle w:val="EMEANormal"/>
              <w:rPr>
                <w:szCs w:val="22"/>
              </w:rPr>
            </w:pPr>
            <w:r>
              <w:rPr>
                <w:szCs w:val="22"/>
              </w:rPr>
              <w:t>0,39, 0,</w:t>
            </w:r>
            <w:r w:rsidRPr="00B720DC">
              <w:rPr>
                <w:szCs w:val="22"/>
              </w:rPr>
              <w:t>84</w:t>
            </w:r>
          </w:p>
        </w:tc>
        <w:tc>
          <w:tcPr>
            <w:tcW w:w="1080" w:type="dxa"/>
            <w:tcBorders>
              <w:top w:val="nil"/>
              <w:left w:val="nil"/>
              <w:bottom w:val="single" w:sz="4" w:space="0" w:color="auto"/>
              <w:right w:val="nil"/>
            </w:tcBorders>
          </w:tcPr>
          <w:p w14:paraId="1EC7AADF" w14:textId="77777777" w:rsidR="007048D1" w:rsidRPr="00B720DC" w:rsidRDefault="00E453CD" w:rsidP="008B396C">
            <w:pPr>
              <w:pStyle w:val="EMEANormal"/>
              <w:rPr>
                <w:szCs w:val="22"/>
              </w:rPr>
            </w:pPr>
            <w:r w:rsidRPr="00B720DC">
              <w:rPr>
                <w:szCs w:val="22"/>
              </w:rPr>
              <w:t>0</w:t>
            </w:r>
            <w:r>
              <w:rPr>
                <w:szCs w:val="22"/>
              </w:rPr>
              <w:t>,</w:t>
            </w:r>
            <w:r w:rsidRPr="00B720DC">
              <w:rPr>
                <w:szCs w:val="22"/>
              </w:rPr>
              <w:t>004</w:t>
            </w:r>
          </w:p>
        </w:tc>
      </w:tr>
    </w:tbl>
    <w:p w14:paraId="407AA077" w14:textId="77777777" w:rsidR="007048D1" w:rsidRDefault="00E453CD" w:rsidP="007048D1">
      <w:pPr>
        <w:tabs>
          <w:tab w:val="left" w:pos="3090"/>
        </w:tabs>
      </w:pPr>
      <w:r>
        <w:rPr>
          <w:sz w:val="22"/>
        </w:rPr>
        <w:t>Merk: Behandlingssvikt ved eller etter uke 6 (UV I-studien), eller ved eller etter uke 2 (UV II-studien), ble regnet som en hendelse. Avbrudd på grunn av andre årsaker enn behandlingssvikt, ble korrigert på tidspunktet for avbruddet.</w:t>
      </w:r>
    </w:p>
    <w:p w14:paraId="3B6ACC5F" w14:textId="77777777" w:rsidR="007048D1" w:rsidRPr="00B3311E" w:rsidRDefault="00E453CD" w:rsidP="007048D1">
      <w:pPr>
        <w:pStyle w:val="EMEANormal"/>
        <w:numPr>
          <w:ilvl w:val="0"/>
          <w:numId w:val="107"/>
        </w:numPr>
        <w:rPr>
          <w:szCs w:val="22"/>
          <w:lang w:val="nb-NO"/>
        </w:rPr>
      </w:pPr>
      <w:r w:rsidRPr="00B3311E">
        <w:rPr>
          <w:szCs w:val="22"/>
          <w:lang w:val="nb-NO"/>
        </w:rPr>
        <w:t>HR for adalimumab vs. placebo fra proporsjonal hazard regresjon med behandling som faktor.</w:t>
      </w:r>
    </w:p>
    <w:p w14:paraId="0B2F3BDF" w14:textId="77777777" w:rsidR="007048D1" w:rsidRPr="00C602BE" w:rsidRDefault="00E453CD" w:rsidP="007048D1">
      <w:pPr>
        <w:pStyle w:val="EMEANormal"/>
        <w:numPr>
          <w:ilvl w:val="0"/>
          <w:numId w:val="107"/>
        </w:numPr>
        <w:rPr>
          <w:szCs w:val="22"/>
          <w:lang w:val="nb-NO"/>
        </w:rPr>
      </w:pPr>
      <w:r w:rsidRPr="00B3311E">
        <w:rPr>
          <w:szCs w:val="22"/>
          <w:lang w:val="nb-NO"/>
        </w:rPr>
        <w:t xml:space="preserve">2-sidet </w:t>
      </w:r>
      <w:r w:rsidRPr="00B3311E">
        <w:rPr>
          <w:i/>
          <w:szCs w:val="22"/>
          <w:lang w:val="nb-NO"/>
        </w:rPr>
        <w:t>P</w:t>
      </w:r>
      <w:r w:rsidRPr="00B3311E">
        <w:rPr>
          <w:szCs w:val="22"/>
          <w:lang w:val="nb-NO"/>
        </w:rPr>
        <w:t>-verdi ved log rank test.</w:t>
      </w:r>
    </w:p>
    <w:p w14:paraId="2E1887F2" w14:textId="77777777" w:rsidR="007048D1" w:rsidRPr="00C602BE" w:rsidRDefault="00E453CD" w:rsidP="007048D1">
      <w:pPr>
        <w:pStyle w:val="EMEANormal"/>
        <w:numPr>
          <w:ilvl w:val="0"/>
          <w:numId w:val="107"/>
        </w:numPr>
        <w:rPr>
          <w:szCs w:val="22"/>
          <w:lang w:val="nb-NO"/>
        </w:rPr>
      </w:pPr>
      <w:r w:rsidRPr="00B3311E">
        <w:rPr>
          <w:szCs w:val="22"/>
          <w:lang w:val="nb-NO"/>
        </w:rPr>
        <w:t>NE = ikke estimerbar. Færre enn halvparten av risikopasientene hadde en hendelse.</w:t>
      </w:r>
    </w:p>
    <w:p w14:paraId="7E240FA6" w14:textId="77777777" w:rsidR="007048D1" w:rsidRPr="00C602BE" w:rsidRDefault="007048D1" w:rsidP="007048D1">
      <w:pPr>
        <w:pStyle w:val="EMEANormal"/>
        <w:rPr>
          <w:szCs w:val="22"/>
          <w:lang w:val="nb-NO"/>
        </w:rPr>
      </w:pPr>
    </w:p>
    <w:p w14:paraId="4879511C" w14:textId="77777777" w:rsidR="007048D1" w:rsidRPr="00C602BE" w:rsidRDefault="00E453CD" w:rsidP="007048D1">
      <w:pPr>
        <w:pStyle w:val="EMEANormal"/>
        <w:keepNext/>
        <w:jc w:val="center"/>
        <w:rPr>
          <w:b/>
          <w:szCs w:val="22"/>
          <w:lang w:val="nb-NO"/>
        </w:rPr>
      </w:pPr>
      <w:r>
        <w:rPr>
          <w:b/>
          <w:szCs w:val="22"/>
          <w:lang w:val="nb-NO"/>
        </w:rPr>
        <w:lastRenderedPageBreak/>
        <w:t>Figur </w:t>
      </w:r>
      <w:r w:rsidR="00A457B0">
        <w:rPr>
          <w:b/>
          <w:szCs w:val="22"/>
          <w:lang w:val="nb-NO"/>
        </w:rPr>
        <w:t>1</w:t>
      </w:r>
      <w:r>
        <w:rPr>
          <w:b/>
          <w:szCs w:val="22"/>
          <w:lang w:val="nb-NO"/>
        </w:rPr>
        <w:t>: Kaplan-Meier-kurve som viser tid til behandlingssvikt ved eller etter uke 6 (UV I-studien) eller uke 2 (UV II-studien)</w:t>
      </w:r>
    </w:p>
    <w:tbl>
      <w:tblPr>
        <w:tblW w:w="9288" w:type="dxa"/>
        <w:tblLayout w:type="fixed"/>
        <w:tblLook w:val="04A0" w:firstRow="1" w:lastRow="0" w:firstColumn="1" w:lastColumn="0" w:noHBand="0" w:noVBand="1"/>
      </w:tblPr>
      <w:tblGrid>
        <w:gridCol w:w="482"/>
        <w:gridCol w:w="3496"/>
        <w:gridCol w:w="1170"/>
        <w:gridCol w:w="1350"/>
        <w:gridCol w:w="900"/>
        <w:gridCol w:w="1890"/>
      </w:tblGrid>
      <w:tr w:rsidR="004644D4" w14:paraId="7AABD0B0" w14:textId="77777777" w:rsidTr="008B396C">
        <w:trPr>
          <w:cantSplit/>
          <w:trHeight w:val="3806"/>
        </w:trPr>
        <w:tc>
          <w:tcPr>
            <w:tcW w:w="482" w:type="dxa"/>
            <w:textDirection w:val="btLr"/>
            <w:vAlign w:val="bottom"/>
          </w:tcPr>
          <w:p w14:paraId="7129781C" w14:textId="77777777" w:rsidR="007048D1" w:rsidRPr="00F91508" w:rsidRDefault="00E453CD" w:rsidP="008B396C">
            <w:pPr>
              <w:pStyle w:val="EMEANormal"/>
              <w:keepNext/>
              <w:ind w:left="113" w:right="113"/>
              <w:jc w:val="center"/>
              <w:rPr>
                <w:b/>
                <w:szCs w:val="22"/>
              </w:rPr>
            </w:pPr>
            <w:r>
              <w:rPr>
                <w:b/>
                <w:szCs w:val="22"/>
              </w:rPr>
              <w:t>BEHANDLINGSSVIKTRATE</w:t>
            </w:r>
            <w:r w:rsidRPr="00F91508">
              <w:rPr>
                <w:b/>
                <w:szCs w:val="22"/>
              </w:rPr>
              <w:t xml:space="preserve"> (%)</w:t>
            </w:r>
          </w:p>
        </w:tc>
        <w:tc>
          <w:tcPr>
            <w:tcW w:w="8806" w:type="dxa"/>
            <w:gridSpan w:val="5"/>
            <w:vAlign w:val="bottom"/>
          </w:tcPr>
          <w:p w14:paraId="5EF1BB50" w14:textId="77777777" w:rsidR="007048D1" w:rsidRPr="00F91508" w:rsidRDefault="00E453CD" w:rsidP="008B396C">
            <w:pPr>
              <w:pStyle w:val="EMEANormal"/>
              <w:keepNext/>
              <w:rPr>
                <w:b/>
                <w:szCs w:val="22"/>
              </w:rPr>
            </w:pPr>
            <w:r w:rsidRPr="00F91508">
              <w:rPr>
                <w:b/>
                <w:noProof/>
                <w:szCs w:val="22"/>
                <w:lang w:val="en-GB" w:eastAsia="en-GB"/>
              </w:rPr>
              <w:drawing>
                <wp:inline distT="0" distB="0" distL="0" distR="0" wp14:anchorId="4E25A317" wp14:editId="14EE9315">
                  <wp:extent cx="5486400" cy="2209800"/>
                  <wp:effectExtent l="0" t="0" r="0" b="0"/>
                  <wp:docPr id="102" name="Bilde 7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9"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p>
        </w:tc>
      </w:tr>
      <w:tr w:rsidR="004644D4" w14:paraId="3A7C6E0D" w14:textId="77777777" w:rsidTr="008B396C">
        <w:tc>
          <w:tcPr>
            <w:tcW w:w="482" w:type="dxa"/>
          </w:tcPr>
          <w:p w14:paraId="2C71EDF8" w14:textId="77777777" w:rsidR="007048D1" w:rsidRPr="00F91508" w:rsidRDefault="007048D1" w:rsidP="008B396C">
            <w:pPr>
              <w:pStyle w:val="EMEANormal"/>
              <w:keepNext/>
              <w:rPr>
                <w:szCs w:val="22"/>
              </w:rPr>
            </w:pPr>
          </w:p>
        </w:tc>
        <w:tc>
          <w:tcPr>
            <w:tcW w:w="8806" w:type="dxa"/>
            <w:gridSpan w:val="5"/>
          </w:tcPr>
          <w:p w14:paraId="29C30AA7" w14:textId="77777777" w:rsidR="007048D1" w:rsidRPr="00F91508" w:rsidRDefault="00E453CD" w:rsidP="008B396C">
            <w:pPr>
              <w:pStyle w:val="EMEANormal"/>
              <w:keepNext/>
              <w:jc w:val="center"/>
              <w:rPr>
                <w:szCs w:val="22"/>
              </w:rPr>
            </w:pPr>
            <w:r>
              <w:rPr>
                <w:szCs w:val="22"/>
              </w:rPr>
              <w:t>TID</w:t>
            </w:r>
            <w:r w:rsidRPr="00F91508">
              <w:rPr>
                <w:szCs w:val="22"/>
              </w:rPr>
              <w:t xml:space="preserve"> (M</w:t>
            </w:r>
            <w:r>
              <w:rPr>
                <w:szCs w:val="22"/>
              </w:rPr>
              <w:t>ÅNEDER</w:t>
            </w:r>
            <w:r w:rsidRPr="00F91508">
              <w:rPr>
                <w:szCs w:val="22"/>
              </w:rPr>
              <w:t>)</w:t>
            </w:r>
          </w:p>
        </w:tc>
      </w:tr>
      <w:tr w:rsidR="004644D4" w14:paraId="1D01E858" w14:textId="77777777" w:rsidTr="008B396C">
        <w:tc>
          <w:tcPr>
            <w:tcW w:w="482" w:type="dxa"/>
          </w:tcPr>
          <w:p w14:paraId="5296CA34" w14:textId="77777777" w:rsidR="007048D1" w:rsidRPr="00F91508" w:rsidRDefault="007048D1" w:rsidP="008B396C">
            <w:pPr>
              <w:pStyle w:val="EMEANormal"/>
              <w:keepNext/>
              <w:rPr>
                <w:szCs w:val="22"/>
              </w:rPr>
            </w:pPr>
          </w:p>
        </w:tc>
        <w:tc>
          <w:tcPr>
            <w:tcW w:w="3496" w:type="dxa"/>
          </w:tcPr>
          <w:p w14:paraId="7DD812CA" w14:textId="77777777" w:rsidR="007048D1" w:rsidRPr="00F91508" w:rsidRDefault="00E453CD" w:rsidP="008B396C">
            <w:pPr>
              <w:pStyle w:val="EMEANormal"/>
              <w:keepNext/>
              <w:rPr>
                <w:szCs w:val="22"/>
              </w:rPr>
            </w:pPr>
            <w:r>
              <w:rPr>
                <w:szCs w:val="22"/>
              </w:rPr>
              <w:t>UV </w:t>
            </w:r>
            <w:r w:rsidRPr="00F91508">
              <w:rPr>
                <w:szCs w:val="22"/>
              </w:rPr>
              <w:t>I</w:t>
            </w:r>
            <w:r>
              <w:rPr>
                <w:szCs w:val="22"/>
              </w:rPr>
              <w:t>-studien                    behandling</w:t>
            </w:r>
          </w:p>
        </w:tc>
        <w:tc>
          <w:tcPr>
            <w:tcW w:w="1170" w:type="dxa"/>
          </w:tcPr>
          <w:p w14:paraId="6555D0C8" w14:textId="77777777" w:rsidR="007048D1" w:rsidRPr="00F91508" w:rsidRDefault="00E453CD" w:rsidP="008B396C">
            <w:pPr>
              <w:pStyle w:val="EMEANormal"/>
              <w:keepNext/>
              <w:jc w:val="right"/>
              <w:rPr>
                <w:szCs w:val="22"/>
              </w:rPr>
            </w:pPr>
            <w:r w:rsidRPr="00F91508">
              <w:rPr>
                <w:noProof/>
                <w:szCs w:val="22"/>
                <w:lang w:val="en-GB" w:eastAsia="en-GB"/>
              </w:rPr>
              <w:drawing>
                <wp:inline distT="0" distB="0" distL="0" distR="0" wp14:anchorId="1F8D4B6C" wp14:editId="0A9329F5">
                  <wp:extent cx="400050" cy="180975"/>
                  <wp:effectExtent l="0" t="0" r="0" b="9525"/>
                  <wp:docPr id="103" name="Bilde 6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tcPr>
          <w:p w14:paraId="28377D2C" w14:textId="77777777" w:rsidR="007048D1" w:rsidRPr="00F91508" w:rsidRDefault="00E453CD" w:rsidP="008B396C">
            <w:pPr>
              <w:pStyle w:val="EMEANormal"/>
              <w:keepNext/>
              <w:rPr>
                <w:szCs w:val="22"/>
              </w:rPr>
            </w:pPr>
            <w:r>
              <w:rPr>
                <w:szCs w:val="22"/>
              </w:rPr>
              <w:t>p</w:t>
            </w:r>
            <w:r w:rsidRPr="00F91508">
              <w:rPr>
                <w:szCs w:val="22"/>
              </w:rPr>
              <w:t>lacebo</w:t>
            </w:r>
          </w:p>
        </w:tc>
        <w:tc>
          <w:tcPr>
            <w:tcW w:w="900" w:type="dxa"/>
          </w:tcPr>
          <w:p w14:paraId="73C9C5C4" w14:textId="77777777" w:rsidR="007048D1" w:rsidRPr="00F91508" w:rsidRDefault="00E453CD" w:rsidP="008B396C">
            <w:pPr>
              <w:pStyle w:val="EMEANormal"/>
              <w:keepNext/>
              <w:jc w:val="right"/>
              <w:rPr>
                <w:szCs w:val="22"/>
              </w:rPr>
            </w:pPr>
            <w:r w:rsidRPr="00F91508">
              <w:rPr>
                <w:noProof/>
                <w:szCs w:val="22"/>
                <w:lang w:val="en-GB" w:eastAsia="en-GB"/>
              </w:rPr>
              <w:drawing>
                <wp:inline distT="0" distB="0" distL="0" distR="0" wp14:anchorId="4ABD4690" wp14:editId="5A48E2BE">
                  <wp:extent cx="561975" cy="180975"/>
                  <wp:effectExtent l="0" t="0" r="9525" b="9525"/>
                  <wp:docPr id="109" name="Bilde 6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1"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tcPr>
          <w:p w14:paraId="1EB4E6AB" w14:textId="77777777" w:rsidR="007048D1" w:rsidRPr="00F91508" w:rsidRDefault="00E453CD" w:rsidP="008B396C">
            <w:pPr>
              <w:pStyle w:val="EMEANormal"/>
              <w:keepNext/>
              <w:rPr>
                <w:szCs w:val="22"/>
              </w:rPr>
            </w:pPr>
            <w:r>
              <w:rPr>
                <w:szCs w:val="22"/>
              </w:rPr>
              <w:t>a</w:t>
            </w:r>
            <w:r w:rsidRPr="00F91508">
              <w:rPr>
                <w:szCs w:val="22"/>
              </w:rPr>
              <w:t>dalimumab</w:t>
            </w:r>
          </w:p>
        </w:tc>
      </w:tr>
      <w:tr w:rsidR="004644D4" w14:paraId="25655DEA" w14:textId="77777777" w:rsidTr="008B396C">
        <w:trPr>
          <w:trHeight w:val="3869"/>
        </w:trPr>
        <w:tc>
          <w:tcPr>
            <w:tcW w:w="482" w:type="dxa"/>
            <w:textDirection w:val="btLr"/>
            <w:vAlign w:val="bottom"/>
          </w:tcPr>
          <w:p w14:paraId="6D3B309D" w14:textId="77777777" w:rsidR="007048D1" w:rsidRPr="00F91508" w:rsidRDefault="00E453CD" w:rsidP="008B396C">
            <w:pPr>
              <w:pStyle w:val="EMEANormal"/>
              <w:keepNext/>
              <w:jc w:val="center"/>
              <w:rPr>
                <w:b/>
                <w:szCs w:val="22"/>
              </w:rPr>
            </w:pPr>
            <w:r>
              <w:rPr>
                <w:b/>
                <w:szCs w:val="22"/>
              </w:rPr>
              <w:t>BEHANDLINGSSVIKTRATE</w:t>
            </w:r>
            <w:r w:rsidRPr="00F91508">
              <w:rPr>
                <w:b/>
                <w:szCs w:val="22"/>
              </w:rPr>
              <w:t xml:space="preserve"> (%)</w:t>
            </w:r>
          </w:p>
        </w:tc>
        <w:tc>
          <w:tcPr>
            <w:tcW w:w="8806" w:type="dxa"/>
            <w:gridSpan w:val="5"/>
            <w:vAlign w:val="bottom"/>
          </w:tcPr>
          <w:p w14:paraId="12C4DD2A" w14:textId="77777777" w:rsidR="007048D1" w:rsidRPr="00F91508" w:rsidRDefault="00E453CD" w:rsidP="008B396C">
            <w:pPr>
              <w:pStyle w:val="EMEANormal"/>
              <w:keepNext/>
              <w:rPr>
                <w:b/>
                <w:szCs w:val="22"/>
              </w:rPr>
            </w:pPr>
            <w:r w:rsidRPr="00F91508">
              <w:rPr>
                <w:b/>
                <w:noProof/>
                <w:szCs w:val="22"/>
                <w:lang w:val="en-GB" w:eastAsia="en-GB"/>
              </w:rPr>
              <w:drawing>
                <wp:inline distT="0" distB="0" distL="0" distR="0" wp14:anchorId="392F8A76" wp14:editId="6FDF98DF">
                  <wp:extent cx="5486400" cy="2181225"/>
                  <wp:effectExtent l="0" t="0" r="0" b="9525"/>
                  <wp:docPr id="110" name="Bilde 6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2"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4644D4" w14:paraId="71633E4A" w14:textId="77777777" w:rsidTr="008B396C">
        <w:tc>
          <w:tcPr>
            <w:tcW w:w="482" w:type="dxa"/>
          </w:tcPr>
          <w:p w14:paraId="3CD0A2B0" w14:textId="77777777" w:rsidR="007048D1" w:rsidRPr="00F91508" w:rsidRDefault="007048D1" w:rsidP="008B396C">
            <w:pPr>
              <w:pStyle w:val="EMEANormal"/>
              <w:keepNext/>
              <w:rPr>
                <w:szCs w:val="22"/>
              </w:rPr>
            </w:pPr>
          </w:p>
        </w:tc>
        <w:tc>
          <w:tcPr>
            <w:tcW w:w="8806" w:type="dxa"/>
            <w:gridSpan w:val="5"/>
          </w:tcPr>
          <w:p w14:paraId="2AFE1B1F" w14:textId="77777777" w:rsidR="007048D1" w:rsidRPr="00F91508" w:rsidRDefault="00E453CD" w:rsidP="008B396C">
            <w:pPr>
              <w:pStyle w:val="EMEANormal"/>
              <w:keepNext/>
              <w:jc w:val="center"/>
              <w:rPr>
                <w:szCs w:val="22"/>
              </w:rPr>
            </w:pPr>
            <w:r>
              <w:rPr>
                <w:szCs w:val="22"/>
              </w:rPr>
              <w:t>TID</w:t>
            </w:r>
            <w:r w:rsidRPr="00F91508">
              <w:rPr>
                <w:szCs w:val="22"/>
              </w:rPr>
              <w:t xml:space="preserve"> (M</w:t>
            </w:r>
            <w:r>
              <w:rPr>
                <w:szCs w:val="22"/>
              </w:rPr>
              <w:t>ÅNEDER</w:t>
            </w:r>
            <w:r w:rsidRPr="00F91508">
              <w:rPr>
                <w:szCs w:val="22"/>
              </w:rPr>
              <w:t>)</w:t>
            </w:r>
          </w:p>
        </w:tc>
      </w:tr>
      <w:tr w:rsidR="004644D4" w14:paraId="711CCFF7" w14:textId="77777777" w:rsidTr="008B396C">
        <w:trPr>
          <w:trHeight w:val="369"/>
        </w:trPr>
        <w:tc>
          <w:tcPr>
            <w:tcW w:w="482" w:type="dxa"/>
          </w:tcPr>
          <w:p w14:paraId="07598869" w14:textId="77777777" w:rsidR="007048D1" w:rsidRPr="00F91508" w:rsidRDefault="007048D1" w:rsidP="008B396C">
            <w:pPr>
              <w:pStyle w:val="EMEANormal"/>
              <w:keepNext/>
              <w:rPr>
                <w:szCs w:val="22"/>
              </w:rPr>
            </w:pPr>
          </w:p>
        </w:tc>
        <w:tc>
          <w:tcPr>
            <w:tcW w:w="3496" w:type="dxa"/>
          </w:tcPr>
          <w:p w14:paraId="10D2CA70" w14:textId="77777777" w:rsidR="007048D1" w:rsidRPr="00F91508" w:rsidRDefault="00E453CD" w:rsidP="008B396C">
            <w:pPr>
              <w:pStyle w:val="EMEANormal"/>
              <w:keepNext/>
              <w:rPr>
                <w:szCs w:val="22"/>
              </w:rPr>
            </w:pPr>
            <w:r>
              <w:rPr>
                <w:szCs w:val="22"/>
              </w:rPr>
              <w:t>UV </w:t>
            </w:r>
            <w:r w:rsidRPr="00F91508">
              <w:rPr>
                <w:szCs w:val="22"/>
              </w:rPr>
              <w:t>II</w:t>
            </w:r>
            <w:r>
              <w:rPr>
                <w:szCs w:val="22"/>
              </w:rPr>
              <w:t>-studien                  behandling</w:t>
            </w:r>
          </w:p>
        </w:tc>
        <w:tc>
          <w:tcPr>
            <w:tcW w:w="1170" w:type="dxa"/>
          </w:tcPr>
          <w:p w14:paraId="01ACD733" w14:textId="77777777" w:rsidR="007048D1" w:rsidRPr="00F91508" w:rsidRDefault="00E453CD" w:rsidP="008B396C">
            <w:pPr>
              <w:pStyle w:val="EMEANormal"/>
              <w:keepNext/>
              <w:jc w:val="right"/>
              <w:rPr>
                <w:szCs w:val="22"/>
              </w:rPr>
            </w:pPr>
            <w:r w:rsidRPr="00F91508">
              <w:rPr>
                <w:noProof/>
                <w:szCs w:val="22"/>
                <w:lang w:val="en-GB" w:eastAsia="en-GB"/>
              </w:rPr>
              <w:drawing>
                <wp:inline distT="0" distB="0" distL="0" distR="0" wp14:anchorId="6FF89234" wp14:editId="2E0DC403">
                  <wp:extent cx="400050" cy="180975"/>
                  <wp:effectExtent l="0" t="0" r="0" b="9525"/>
                  <wp:docPr id="111" name="Bilde 6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3"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tcPr>
          <w:p w14:paraId="5EC86EF5" w14:textId="77777777" w:rsidR="007048D1" w:rsidRPr="00F91508" w:rsidRDefault="00E453CD" w:rsidP="008B396C">
            <w:pPr>
              <w:pStyle w:val="EMEANormal"/>
              <w:keepNext/>
              <w:rPr>
                <w:szCs w:val="22"/>
              </w:rPr>
            </w:pPr>
            <w:r>
              <w:rPr>
                <w:szCs w:val="22"/>
              </w:rPr>
              <w:t>p</w:t>
            </w:r>
            <w:r w:rsidRPr="00F91508">
              <w:rPr>
                <w:szCs w:val="22"/>
              </w:rPr>
              <w:t>lacebo</w:t>
            </w:r>
          </w:p>
        </w:tc>
        <w:tc>
          <w:tcPr>
            <w:tcW w:w="900" w:type="dxa"/>
          </w:tcPr>
          <w:p w14:paraId="4A558605" w14:textId="77777777" w:rsidR="007048D1" w:rsidRPr="00F91508" w:rsidRDefault="00E453CD" w:rsidP="008B396C">
            <w:pPr>
              <w:pStyle w:val="EMEANormal"/>
              <w:keepNext/>
              <w:jc w:val="right"/>
              <w:rPr>
                <w:szCs w:val="22"/>
              </w:rPr>
            </w:pPr>
            <w:r w:rsidRPr="00F91508">
              <w:rPr>
                <w:noProof/>
                <w:szCs w:val="22"/>
                <w:lang w:val="en-GB" w:eastAsia="en-GB"/>
              </w:rPr>
              <w:drawing>
                <wp:inline distT="0" distB="0" distL="0" distR="0" wp14:anchorId="612568F3" wp14:editId="73382584">
                  <wp:extent cx="561975" cy="180975"/>
                  <wp:effectExtent l="0" t="0" r="9525" b="9525"/>
                  <wp:docPr id="112" name="Bilde 6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4"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tcPr>
          <w:p w14:paraId="4E035691" w14:textId="77777777" w:rsidR="007048D1" w:rsidRPr="00F91508" w:rsidRDefault="00E453CD" w:rsidP="008B396C">
            <w:pPr>
              <w:pStyle w:val="EMEANormal"/>
              <w:keepNext/>
              <w:rPr>
                <w:szCs w:val="22"/>
              </w:rPr>
            </w:pPr>
            <w:r>
              <w:rPr>
                <w:szCs w:val="22"/>
              </w:rPr>
              <w:t>a</w:t>
            </w:r>
            <w:r w:rsidRPr="00F91508">
              <w:rPr>
                <w:szCs w:val="22"/>
              </w:rPr>
              <w:t>dalimumab</w:t>
            </w:r>
          </w:p>
        </w:tc>
      </w:tr>
      <w:tr w:rsidR="004644D4" w14:paraId="6C033A3B" w14:textId="77777777" w:rsidTr="008B396C">
        <w:trPr>
          <w:trHeight w:val="629"/>
        </w:trPr>
        <w:tc>
          <w:tcPr>
            <w:tcW w:w="9288" w:type="dxa"/>
            <w:gridSpan w:val="6"/>
            <w:vAlign w:val="center"/>
          </w:tcPr>
          <w:p w14:paraId="79632805" w14:textId="77777777" w:rsidR="007048D1" w:rsidRPr="00B3311E" w:rsidRDefault="00E453CD" w:rsidP="008B396C">
            <w:pPr>
              <w:pStyle w:val="EMEANormal"/>
              <w:keepNext/>
              <w:rPr>
                <w:szCs w:val="22"/>
                <w:lang w:val="nb-NO"/>
              </w:rPr>
            </w:pPr>
            <w:r w:rsidRPr="00B3311E">
              <w:rPr>
                <w:szCs w:val="22"/>
                <w:lang w:val="nb-NO"/>
              </w:rPr>
              <w:t>Merk</w:t>
            </w:r>
            <w:r w:rsidRPr="00E9467C">
              <w:rPr>
                <w:szCs w:val="22"/>
                <w:lang w:val="nb-NO"/>
              </w:rPr>
              <w:t>: P# = p</w:t>
            </w:r>
            <w:r w:rsidRPr="00B3311E">
              <w:rPr>
                <w:szCs w:val="22"/>
                <w:lang w:val="nb-NO"/>
              </w:rPr>
              <w:t xml:space="preserve">lacebo (antall hendelser/antall </w:t>
            </w:r>
            <w:r>
              <w:rPr>
                <w:szCs w:val="22"/>
                <w:lang w:val="nb-NO"/>
              </w:rPr>
              <w:t>med</w:t>
            </w:r>
            <w:r w:rsidRPr="00B3311E">
              <w:rPr>
                <w:szCs w:val="22"/>
                <w:lang w:val="nb-NO"/>
              </w:rPr>
              <w:t xml:space="preserve"> risiko</w:t>
            </w:r>
            <w:r>
              <w:rPr>
                <w:szCs w:val="22"/>
                <w:lang w:val="nb-NO"/>
              </w:rPr>
              <w:t>),</w:t>
            </w:r>
            <w:r w:rsidRPr="006B49BD">
              <w:rPr>
                <w:szCs w:val="22"/>
                <w:lang w:val="nb-NO"/>
              </w:rPr>
              <w:t xml:space="preserve"> A# = </w:t>
            </w:r>
            <w:r w:rsidRPr="00B3311E">
              <w:rPr>
                <w:szCs w:val="22"/>
                <w:lang w:val="nb-NO"/>
              </w:rPr>
              <w:t>HUMIRA (</w:t>
            </w:r>
            <w:r w:rsidRPr="00672CB0">
              <w:rPr>
                <w:szCs w:val="22"/>
                <w:lang w:val="nb-NO"/>
              </w:rPr>
              <w:t xml:space="preserve">antall hendelser/antall </w:t>
            </w:r>
            <w:r>
              <w:rPr>
                <w:szCs w:val="22"/>
                <w:lang w:val="nb-NO"/>
              </w:rPr>
              <w:t>med</w:t>
            </w:r>
            <w:r w:rsidRPr="00672CB0">
              <w:rPr>
                <w:szCs w:val="22"/>
                <w:lang w:val="nb-NO"/>
              </w:rPr>
              <w:t xml:space="preserve"> risiko</w:t>
            </w:r>
            <w:r w:rsidRPr="00B3311E">
              <w:rPr>
                <w:szCs w:val="22"/>
                <w:lang w:val="nb-NO"/>
              </w:rPr>
              <w:t>).</w:t>
            </w:r>
          </w:p>
        </w:tc>
      </w:tr>
    </w:tbl>
    <w:p w14:paraId="52DDD15C" w14:textId="77777777" w:rsidR="007048D1" w:rsidRPr="00C602BE" w:rsidRDefault="007048D1" w:rsidP="007048D1">
      <w:pPr>
        <w:pStyle w:val="EMEANormal"/>
        <w:rPr>
          <w:b/>
          <w:szCs w:val="22"/>
          <w:lang w:val="nb-NO"/>
        </w:rPr>
      </w:pPr>
    </w:p>
    <w:p w14:paraId="22B58DDE" w14:textId="77777777" w:rsidR="007048D1" w:rsidRDefault="00E453CD" w:rsidP="007048D1">
      <w:pPr>
        <w:pStyle w:val="EMEANormal"/>
        <w:rPr>
          <w:lang w:val="nb-NO"/>
        </w:rPr>
      </w:pPr>
      <w:r w:rsidRPr="00F05EB5">
        <w:rPr>
          <w:lang w:val="nb-NO"/>
        </w:rPr>
        <w:t>I studie UV I ble s</w:t>
      </w:r>
      <w:r w:rsidRPr="00EC0B72">
        <w:rPr>
          <w:lang w:val="nb-NO"/>
        </w:rPr>
        <w:t>tatis</w:t>
      </w:r>
      <w:r>
        <w:rPr>
          <w:lang w:val="nb-NO"/>
        </w:rPr>
        <w:t>t</w:t>
      </w:r>
      <w:r w:rsidRPr="00EC0B72">
        <w:rPr>
          <w:lang w:val="nb-NO"/>
        </w:rPr>
        <w:t>isk</w:t>
      </w:r>
      <w:r w:rsidRPr="00F05EB5">
        <w:rPr>
          <w:lang w:val="nb-NO"/>
        </w:rPr>
        <w:t xml:space="preserve"> signifikante forskjeller </w:t>
      </w:r>
      <w:r>
        <w:rPr>
          <w:lang w:val="nb-NO"/>
        </w:rPr>
        <w:t>i</w:t>
      </w:r>
      <w:r w:rsidRPr="00F05EB5">
        <w:rPr>
          <w:lang w:val="nb-NO"/>
        </w:rPr>
        <w:t xml:space="preserve"> favør av adalimumab </w:t>
      </w:r>
      <w:r w:rsidRPr="00F05EB5">
        <w:rPr>
          <w:i/>
          <w:lang w:val="nb-NO"/>
        </w:rPr>
        <w:t>versus</w:t>
      </w:r>
      <w:r w:rsidRPr="00F05EB5">
        <w:rPr>
          <w:lang w:val="nb-NO"/>
        </w:rPr>
        <w:t xml:space="preserve"> placebo </w:t>
      </w:r>
      <w:r w:rsidRPr="00EC0B72">
        <w:rPr>
          <w:lang w:val="nb-NO"/>
        </w:rPr>
        <w:t>obser</w:t>
      </w:r>
      <w:r>
        <w:rPr>
          <w:lang w:val="nb-NO"/>
        </w:rPr>
        <w:t xml:space="preserve">vert </w:t>
      </w:r>
      <w:r w:rsidRPr="00F05EB5">
        <w:rPr>
          <w:lang w:val="nb-NO"/>
        </w:rPr>
        <w:t xml:space="preserve">for </w:t>
      </w:r>
      <w:r>
        <w:rPr>
          <w:lang w:val="nb-NO"/>
        </w:rPr>
        <w:t xml:space="preserve">hver </w:t>
      </w:r>
      <w:r w:rsidR="004954CB">
        <w:rPr>
          <w:lang w:val="nb-NO"/>
        </w:rPr>
        <w:t>komponent</w:t>
      </w:r>
      <w:r w:rsidR="0080566E">
        <w:rPr>
          <w:lang w:val="nb-NO"/>
        </w:rPr>
        <w:t xml:space="preserve"> av</w:t>
      </w:r>
      <w:r>
        <w:rPr>
          <w:lang w:val="nb-NO"/>
        </w:rPr>
        <w:t xml:space="preserve"> behandlingssvikt</w:t>
      </w:r>
      <w:r w:rsidR="00105B47">
        <w:rPr>
          <w:lang w:val="nb-NO"/>
        </w:rPr>
        <w:t>en</w:t>
      </w:r>
      <w:r w:rsidRPr="00F05EB5">
        <w:rPr>
          <w:lang w:val="nb-NO"/>
        </w:rPr>
        <w:t xml:space="preserve">. I studie UV II ble </w:t>
      </w:r>
      <w:r w:rsidRPr="00EC0B72">
        <w:rPr>
          <w:lang w:val="nb-NO"/>
        </w:rPr>
        <w:t>statis</w:t>
      </w:r>
      <w:r w:rsidRPr="00F05EB5">
        <w:rPr>
          <w:lang w:val="nb-NO"/>
        </w:rPr>
        <w:t>tisk</w:t>
      </w:r>
      <w:r w:rsidRPr="00EC0B72">
        <w:rPr>
          <w:lang w:val="nb-NO"/>
        </w:rPr>
        <w:t xml:space="preserve"> signifikante forskjeller </w:t>
      </w:r>
      <w:r w:rsidRPr="00F05EB5">
        <w:rPr>
          <w:lang w:val="nb-NO"/>
        </w:rPr>
        <w:t>observer</w:t>
      </w:r>
      <w:r>
        <w:rPr>
          <w:lang w:val="nb-NO"/>
        </w:rPr>
        <w:t>t</w:t>
      </w:r>
      <w:r w:rsidRPr="00F05EB5">
        <w:rPr>
          <w:lang w:val="nb-NO"/>
        </w:rPr>
        <w:t xml:space="preserve"> kun for synsskarphet</w:t>
      </w:r>
      <w:r>
        <w:rPr>
          <w:lang w:val="nb-NO"/>
        </w:rPr>
        <w:t xml:space="preserve"> (BCVA)</w:t>
      </w:r>
      <w:r w:rsidRPr="00F05EB5">
        <w:rPr>
          <w:lang w:val="nb-NO"/>
        </w:rPr>
        <w:t xml:space="preserve">, </w:t>
      </w:r>
      <w:r>
        <w:rPr>
          <w:lang w:val="nb-NO"/>
        </w:rPr>
        <w:t xml:space="preserve">men de andre komponentene viste numerisk forskjell i favør </w:t>
      </w:r>
      <w:r w:rsidRPr="00F05EB5">
        <w:rPr>
          <w:lang w:val="nb-NO"/>
        </w:rPr>
        <w:t>adalimumab.</w:t>
      </w:r>
    </w:p>
    <w:p w14:paraId="2A103027" w14:textId="77777777" w:rsidR="009B6330" w:rsidRDefault="009B6330" w:rsidP="007048D1">
      <w:pPr>
        <w:pStyle w:val="EMEANormal"/>
        <w:rPr>
          <w:lang w:val="nb-NO"/>
        </w:rPr>
      </w:pPr>
    </w:p>
    <w:p w14:paraId="4A140BFA" w14:textId="77777777" w:rsidR="009B6330" w:rsidRPr="00C602BE" w:rsidRDefault="00E453CD" w:rsidP="007048D1">
      <w:pPr>
        <w:pStyle w:val="EMEANormal"/>
        <w:rPr>
          <w:lang w:val="nb-NO"/>
        </w:rPr>
      </w:pPr>
      <w:r>
        <w:rPr>
          <w:lang w:val="nb-NO"/>
        </w:rPr>
        <w:t xml:space="preserve">Av de </w:t>
      </w:r>
      <w:r w:rsidR="00160160">
        <w:rPr>
          <w:lang w:val="nb-NO"/>
        </w:rPr>
        <w:t>424</w:t>
      </w:r>
      <w:r w:rsidR="006C7715">
        <w:rPr>
          <w:lang w:val="nb-NO"/>
        </w:rPr>
        <w:t> </w:t>
      </w:r>
      <w:r>
        <w:rPr>
          <w:lang w:val="nb-NO"/>
        </w:rPr>
        <w:t xml:space="preserve">pasientene som ble inkludert i den ukontrollerte langtidsforlengelsesstudien av UV I og UV II, ble </w:t>
      </w:r>
      <w:r w:rsidR="009944AD">
        <w:rPr>
          <w:lang w:val="nb-NO"/>
        </w:rPr>
        <w:t>60</w:t>
      </w:r>
      <w:r w:rsidR="00A73B99">
        <w:rPr>
          <w:lang w:val="nb-NO"/>
        </w:rPr>
        <w:t> </w:t>
      </w:r>
      <w:r>
        <w:rPr>
          <w:lang w:val="nb-NO"/>
        </w:rPr>
        <w:t xml:space="preserve">pasienter </w:t>
      </w:r>
      <w:r w:rsidR="00B50E28">
        <w:rPr>
          <w:lang w:val="nb-NO"/>
        </w:rPr>
        <w:t xml:space="preserve">vurdert </w:t>
      </w:r>
      <w:r>
        <w:rPr>
          <w:lang w:val="nb-NO"/>
        </w:rPr>
        <w:t xml:space="preserve">som ikke-kvalifiserte (f.eks. </w:t>
      </w:r>
      <w:r w:rsidR="009944AD">
        <w:rPr>
          <w:lang w:val="nb-NO"/>
        </w:rPr>
        <w:t xml:space="preserve">på grunn av avvik eller på grunn av </w:t>
      </w:r>
      <w:r>
        <w:rPr>
          <w:lang w:val="nb-NO"/>
        </w:rPr>
        <w:t>komplikasjoner sekundær</w:t>
      </w:r>
      <w:r w:rsidR="00B50E28">
        <w:rPr>
          <w:lang w:val="nb-NO"/>
        </w:rPr>
        <w:t>t</w:t>
      </w:r>
      <w:r>
        <w:rPr>
          <w:lang w:val="nb-NO"/>
        </w:rPr>
        <w:t xml:space="preserve"> </w:t>
      </w:r>
      <w:r w:rsidR="008A3674">
        <w:rPr>
          <w:lang w:val="nb-NO"/>
        </w:rPr>
        <w:t>til</w:t>
      </w:r>
      <w:r>
        <w:rPr>
          <w:lang w:val="nb-NO"/>
        </w:rPr>
        <w:t xml:space="preserve"> diabetisk retinopati</w:t>
      </w:r>
      <w:r w:rsidR="00B50E28">
        <w:rPr>
          <w:lang w:val="nb-NO"/>
        </w:rPr>
        <w:t>,</w:t>
      </w:r>
      <w:r>
        <w:rPr>
          <w:lang w:val="nb-NO"/>
        </w:rPr>
        <w:t xml:space="preserve"> på grunn av kataraktoperasjon</w:t>
      </w:r>
      <w:r w:rsidR="00B50E28">
        <w:rPr>
          <w:lang w:val="nb-NO"/>
        </w:rPr>
        <w:t>,</w:t>
      </w:r>
      <w:r>
        <w:rPr>
          <w:lang w:val="nb-NO"/>
        </w:rPr>
        <w:t xml:space="preserve"> eller vitrektomi) og ble ekskludert fra den primære </w:t>
      </w:r>
      <w:r w:rsidR="00B50E28">
        <w:rPr>
          <w:lang w:val="nb-NO"/>
        </w:rPr>
        <w:t>effekt</w:t>
      </w:r>
      <w:r>
        <w:rPr>
          <w:lang w:val="nb-NO"/>
        </w:rPr>
        <w:t xml:space="preserve">analysen. Av de </w:t>
      </w:r>
      <w:r w:rsidR="009944AD">
        <w:rPr>
          <w:lang w:val="nb-NO"/>
        </w:rPr>
        <w:t>364</w:t>
      </w:r>
      <w:r>
        <w:rPr>
          <w:lang w:val="nb-NO"/>
        </w:rPr>
        <w:t xml:space="preserve"> gjenstående pasientene </w:t>
      </w:r>
      <w:r w:rsidR="00B50E28">
        <w:rPr>
          <w:lang w:val="nb-NO"/>
        </w:rPr>
        <w:t>fullførte</w:t>
      </w:r>
      <w:r>
        <w:rPr>
          <w:lang w:val="nb-NO"/>
        </w:rPr>
        <w:t xml:space="preserve"> </w:t>
      </w:r>
      <w:r w:rsidR="009944AD">
        <w:rPr>
          <w:lang w:val="nb-NO"/>
        </w:rPr>
        <w:t>269</w:t>
      </w:r>
      <w:r w:rsidR="006E2BE2">
        <w:rPr>
          <w:lang w:val="nb-NO"/>
        </w:rPr>
        <w:t> </w:t>
      </w:r>
      <w:r>
        <w:rPr>
          <w:lang w:val="nb-NO"/>
        </w:rPr>
        <w:t>pasienter</w:t>
      </w:r>
      <w:r w:rsidR="009944AD">
        <w:rPr>
          <w:lang w:val="nb-NO"/>
        </w:rPr>
        <w:t xml:space="preserve"> (74 %)</w:t>
      </w:r>
      <w:r>
        <w:rPr>
          <w:lang w:val="nb-NO"/>
        </w:rPr>
        <w:t xml:space="preserve"> 78</w:t>
      </w:r>
      <w:r w:rsidR="001D533B">
        <w:rPr>
          <w:lang w:val="nb-NO"/>
        </w:rPr>
        <w:t> </w:t>
      </w:r>
      <w:r>
        <w:rPr>
          <w:lang w:val="nb-NO"/>
        </w:rPr>
        <w:t xml:space="preserve">uker med </w:t>
      </w:r>
      <w:r w:rsidR="008A3674">
        <w:rPr>
          <w:lang w:val="nb-NO"/>
        </w:rPr>
        <w:t xml:space="preserve">åpen </w:t>
      </w:r>
      <w:r>
        <w:rPr>
          <w:lang w:val="nb-NO"/>
        </w:rPr>
        <w:t xml:space="preserve">adalimumabbehandling. </w:t>
      </w:r>
      <w:r w:rsidRPr="00AD1854">
        <w:rPr>
          <w:lang w:val="nb-NO"/>
        </w:rPr>
        <w:t>Basert på observert</w:t>
      </w:r>
      <w:r w:rsidR="00B50E28">
        <w:rPr>
          <w:lang w:val="nb-NO"/>
        </w:rPr>
        <w:t>e</w:t>
      </w:r>
      <w:r w:rsidRPr="00AD1854">
        <w:rPr>
          <w:lang w:val="nb-NO"/>
        </w:rPr>
        <w:t xml:space="preserve"> data</w:t>
      </w:r>
      <w:r w:rsidR="00B50E28">
        <w:rPr>
          <w:lang w:val="nb-NO"/>
        </w:rPr>
        <w:t xml:space="preserve"> («observed data approach»)</w:t>
      </w:r>
      <w:r w:rsidRPr="00AD1854">
        <w:rPr>
          <w:lang w:val="nb-NO"/>
        </w:rPr>
        <w:t xml:space="preserve"> </w:t>
      </w:r>
      <w:r w:rsidR="00B50E28">
        <w:rPr>
          <w:lang w:val="nb-NO"/>
        </w:rPr>
        <w:t xml:space="preserve">hadde </w:t>
      </w:r>
      <w:r w:rsidR="009944AD">
        <w:rPr>
          <w:lang w:val="nb-NO"/>
        </w:rPr>
        <w:t>216</w:t>
      </w:r>
      <w:r w:rsidRPr="00AD1854">
        <w:rPr>
          <w:lang w:val="nb-NO"/>
        </w:rPr>
        <w:t xml:space="preserve"> (80,</w:t>
      </w:r>
      <w:r w:rsidR="009944AD">
        <w:rPr>
          <w:lang w:val="nb-NO"/>
        </w:rPr>
        <w:t>3</w:t>
      </w:r>
      <w:r w:rsidR="001539CD">
        <w:rPr>
          <w:lang w:val="nb-NO"/>
        </w:rPr>
        <w:t> </w:t>
      </w:r>
      <w:r w:rsidRPr="00AD1854">
        <w:rPr>
          <w:lang w:val="nb-NO"/>
        </w:rPr>
        <w:t xml:space="preserve">%) </w:t>
      </w:r>
      <w:r w:rsidR="00B50E28">
        <w:rPr>
          <w:lang w:val="nb-NO"/>
        </w:rPr>
        <w:t>inaktiv sykdom</w:t>
      </w:r>
      <w:r w:rsidRPr="00AD1854">
        <w:rPr>
          <w:lang w:val="nb-NO"/>
        </w:rPr>
        <w:t xml:space="preserve"> (ingen aktive inflammatoriske lesjoner, cellegradering</w:t>
      </w:r>
      <w:r w:rsidR="00B50E28">
        <w:rPr>
          <w:lang w:val="nb-NO"/>
        </w:rPr>
        <w:t xml:space="preserve"> i fremre kammer (AC)</w:t>
      </w:r>
      <w:r w:rsidRPr="00662488">
        <w:rPr>
          <w:lang w:val="nb-NO"/>
        </w:rPr>
        <w:t xml:space="preserve"> ≤</w:t>
      </w:r>
      <w:r w:rsidR="001D533B">
        <w:rPr>
          <w:lang w:val="nb-NO"/>
        </w:rPr>
        <w:t> </w:t>
      </w:r>
      <w:r w:rsidRPr="00662488">
        <w:rPr>
          <w:lang w:val="nb-NO"/>
        </w:rPr>
        <w:t>0,</w:t>
      </w:r>
      <w:r w:rsidRPr="00AD1854">
        <w:rPr>
          <w:lang w:val="nb-NO"/>
        </w:rPr>
        <w:t xml:space="preserve">5+, </w:t>
      </w:r>
      <w:r w:rsidR="00D655D2">
        <w:rPr>
          <w:lang w:val="nb-NO"/>
        </w:rPr>
        <w:t xml:space="preserve">uklarhet i glasslegemet («vitreous haze», </w:t>
      </w:r>
      <w:r w:rsidRPr="00AD1854">
        <w:rPr>
          <w:lang w:val="nb-NO"/>
        </w:rPr>
        <w:t>VH</w:t>
      </w:r>
      <w:r w:rsidR="00D655D2">
        <w:rPr>
          <w:lang w:val="nb-NO"/>
        </w:rPr>
        <w:t>)</w:t>
      </w:r>
      <w:r w:rsidRPr="00AD1854">
        <w:rPr>
          <w:lang w:val="nb-NO"/>
        </w:rPr>
        <w:t xml:space="preserve"> grade</w:t>
      </w:r>
      <w:r w:rsidRPr="00662488">
        <w:rPr>
          <w:lang w:val="nb-NO"/>
        </w:rPr>
        <w:t>ring</w:t>
      </w:r>
      <w:r w:rsidRPr="00AD1854">
        <w:rPr>
          <w:lang w:val="nb-NO"/>
        </w:rPr>
        <w:t xml:space="preserve"> ≤</w:t>
      </w:r>
      <w:r w:rsidR="001D533B">
        <w:rPr>
          <w:lang w:val="nb-NO"/>
        </w:rPr>
        <w:t> </w:t>
      </w:r>
      <w:r w:rsidRPr="00AD1854">
        <w:rPr>
          <w:lang w:val="nb-NO"/>
        </w:rPr>
        <w:t>0</w:t>
      </w:r>
      <w:r>
        <w:rPr>
          <w:lang w:val="nb-NO"/>
        </w:rPr>
        <w:t>,</w:t>
      </w:r>
      <w:r w:rsidRPr="00AD1854">
        <w:rPr>
          <w:lang w:val="nb-NO"/>
        </w:rPr>
        <w:t xml:space="preserve">5+) </w:t>
      </w:r>
      <w:r>
        <w:rPr>
          <w:lang w:val="nb-NO"/>
        </w:rPr>
        <w:t>med en samtidig steroiddose ≤</w:t>
      </w:r>
      <w:r w:rsidR="001D533B">
        <w:rPr>
          <w:lang w:val="nb-NO"/>
        </w:rPr>
        <w:t> </w:t>
      </w:r>
      <w:r>
        <w:rPr>
          <w:lang w:val="nb-NO"/>
        </w:rPr>
        <w:t>7,5</w:t>
      </w:r>
      <w:r w:rsidR="001D533B">
        <w:rPr>
          <w:lang w:val="nb-NO"/>
        </w:rPr>
        <w:t> </w:t>
      </w:r>
      <w:r>
        <w:rPr>
          <w:lang w:val="nb-NO"/>
        </w:rPr>
        <w:t>mg per dag</w:t>
      </w:r>
      <w:r w:rsidRPr="00AD1854">
        <w:rPr>
          <w:lang w:val="nb-NO"/>
        </w:rPr>
        <w:t xml:space="preserve">, </w:t>
      </w:r>
      <w:r>
        <w:rPr>
          <w:lang w:val="nb-NO"/>
        </w:rPr>
        <w:t xml:space="preserve">og </w:t>
      </w:r>
      <w:r w:rsidR="009944AD">
        <w:rPr>
          <w:lang w:val="nb-NO"/>
        </w:rPr>
        <w:t>178</w:t>
      </w:r>
      <w:r>
        <w:rPr>
          <w:lang w:val="nb-NO"/>
        </w:rPr>
        <w:t xml:space="preserve"> (</w:t>
      </w:r>
      <w:r w:rsidR="009944AD">
        <w:rPr>
          <w:lang w:val="nb-NO"/>
        </w:rPr>
        <w:t>66,2</w:t>
      </w:r>
      <w:r w:rsidR="001539CD">
        <w:rPr>
          <w:lang w:val="nb-NO"/>
        </w:rPr>
        <w:t> </w:t>
      </w:r>
      <w:r w:rsidRPr="00AD1854">
        <w:rPr>
          <w:lang w:val="nb-NO"/>
        </w:rPr>
        <w:t xml:space="preserve">%) </w:t>
      </w:r>
      <w:r w:rsidR="00D655D2">
        <w:rPr>
          <w:lang w:val="nb-NO"/>
        </w:rPr>
        <w:t xml:space="preserve">oppnådde steroidfri </w:t>
      </w:r>
      <w:r w:rsidR="00DE1BE6">
        <w:rPr>
          <w:lang w:val="nb-NO"/>
        </w:rPr>
        <w:t>inaktiv sykdom</w:t>
      </w:r>
      <w:r w:rsidRPr="00AD1854">
        <w:rPr>
          <w:lang w:val="nb-NO"/>
        </w:rPr>
        <w:t xml:space="preserve">. </w:t>
      </w:r>
      <w:r w:rsidR="00D655D2">
        <w:rPr>
          <w:lang w:val="nb-NO"/>
        </w:rPr>
        <w:t>Beste korrigerte synskarphet (</w:t>
      </w:r>
      <w:r w:rsidRPr="00697393">
        <w:rPr>
          <w:lang w:val="nb-NO"/>
        </w:rPr>
        <w:t>BCVA</w:t>
      </w:r>
      <w:r w:rsidR="00D655D2">
        <w:rPr>
          <w:lang w:val="nb-NO"/>
        </w:rPr>
        <w:t>)</w:t>
      </w:r>
      <w:r w:rsidRPr="00697393">
        <w:rPr>
          <w:lang w:val="nb-NO"/>
        </w:rPr>
        <w:t xml:space="preserve"> </w:t>
      </w:r>
      <w:r>
        <w:rPr>
          <w:lang w:val="nb-NO"/>
        </w:rPr>
        <w:t>ble enten forbedret eller opprettholdt</w:t>
      </w:r>
      <w:r w:rsidRPr="00697393">
        <w:rPr>
          <w:lang w:val="nb-NO"/>
        </w:rPr>
        <w:t xml:space="preserve"> (&lt;</w:t>
      </w:r>
      <w:r w:rsidR="001D533B">
        <w:rPr>
          <w:lang w:val="nb-NO"/>
        </w:rPr>
        <w:t> </w:t>
      </w:r>
      <w:r w:rsidRPr="00697393">
        <w:rPr>
          <w:lang w:val="nb-NO"/>
        </w:rPr>
        <w:t>5</w:t>
      </w:r>
      <w:r w:rsidR="001D533B">
        <w:rPr>
          <w:lang w:val="nb-NO"/>
        </w:rPr>
        <w:t> </w:t>
      </w:r>
      <w:r>
        <w:rPr>
          <w:lang w:val="nb-NO"/>
        </w:rPr>
        <w:t>bokstav</w:t>
      </w:r>
      <w:r w:rsidR="00D655D2">
        <w:rPr>
          <w:lang w:val="nb-NO"/>
        </w:rPr>
        <w:t>er svekkelse</w:t>
      </w:r>
      <w:r w:rsidRPr="00697393">
        <w:rPr>
          <w:lang w:val="nb-NO"/>
        </w:rPr>
        <w:t xml:space="preserve">) </w:t>
      </w:r>
      <w:r w:rsidR="00D655D2">
        <w:rPr>
          <w:lang w:val="nb-NO"/>
        </w:rPr>
        <w:t>i</w:t>
      </w:r>
      <w:r>
        <w:rPr>
          <w:lang w:val="nb-NO"/>
        </w:rPr>
        <w:t xml:space="preserve"> </w:t>
      </w:r>
      <w:r w:rsidR="009944AD">
        <w:rPr>
          <w:lang w:val="nb-NO"/>
        </w:rPr>
        <w:t>88,6</w:t>
      </w:r>
      <w:r w:rsidR="001539CD">
        <w:rPr>
          <w:lang w:val="nb-NO"/>
        </w:rPr>
        <w:t> </w:t>
      </w:r>
      <w:r w:rsidRPr="00697393">
        <w:rPr>
          <w:lang w:val="nb-NO"/>
        </w:rPr>
        <w:t xml:space="preserve">% </w:t>
      </w:r>
      <w:r>
        <w:rPr>
          <w:lang w:val="nb-NO"/>
        </w:rPr>
        <w:t>av øynene ved uke</w:t>
      </w:r>
      <w:r w:rsidR="001D533B">
        <w:rPr>
          <w:lang w:val="nb-NO"/>
        </w:rPr>
        <w:t> </w:t>
      </w:r>
      <w:r w:rsidRPr="00697393">
        <w:rPr>
          <w:lang w:val="nb-NO"/>
        </w:rPr>
        <w:t>78</w:t>
      </w:r>
      <w:r>
        <w:rPr>
          <w:lang w:val="nb-NO"/>
        </w:rPr>
        <w:t xml:space="preserve">. </w:t>
      </w:r>
      <w:r w:rsidR="00807F99">
        <w:rPr>
          <w:lang w:val="nb-NO"/>
        </w:rPr>
        <w:t>Etter</w:t>
      </w:r>
      <w:r w:rsidR="009944AD">
        <w:rPr>
          <w:lang w:val="nb-NO"/>
        </w:rPr>
        <w:t xml:space="preserve"> uke 78 </w:t>
      </w:r>
      <w:r w:rsidR="00807F99">
        <w:rPr>
          <w:lang w:val="nb-NO"/>
        </w:rPr>
        <w:t xml:space="preserve">var data generelt </w:t>
      </w:r>
      <w:r w:rsidR="009944AD">
        <w:rPr>
          <w:lang w:val="nb-NO"/>
        </w:rPr>
        <w:t>konsistent med disse resultatene, men</w:t>
      </w:r>
      <w:r w:rsidR="00807F99">
        <w:rPr>
          <w:lang w:val="nb-NO"/>
        </w:rPr>
        <w:t xml:space="preserve"> </w:t>
      </w:r>
      <w:r w:rsidR="009944AD">
        <w:rPr>
          <w:lang w:val="nb-NO"/>
        </w:rPr>
        <w:t xml:space="preserve">antall inkluderte pasienter </w:t>
      </w:r>
      <w:r w:rsidR="00807F99">
        <w:rPr>
          <w:lang w:val="nb-NO"/>
        </w:rPr>
        <w:t>gikk ned</w:t>
      </w:r>
      <w:r w:rsidR="009944AD">
        <w:rPr>
          <w:lang w:val="nb-NO"/>
        </w:rPr>
        <w:t xml:space="preserve">. </w:t>
      </w:r>
      <w:r w:rsidR="00650F32">
        <w:rPr>
          <w:lang w:val="nb-NO"/>
        </w:rPr>
        <w:t xml:space="preserve">Totalt </w:t>
      </w:r>
      <w:r w:rsidR="008164C8">
        <w:rPr>
          <w:lang w:val="nb-NO"/>
        </w:rPr>
        <w:t>blant</w:t>
      </w:r>
      <w:r>
        <w:rPr>
          <w:lang w:val="nb-NO"/>
        </w:rPr>
        <w:t xml:space="preserve"> pasientene som avsluttet studien</w:t>
      </w:r>
      <w:r w:rsidR="009944AD">
        <w:rPr>
          <w:lang w:val="nb-NO"/>
        </w:rPr>
        <w:t>,</w:t>
      </w:r>
      <w:r>
        <w:rPr>
          <w:lang w:val="nb-NO"/>
        </w:rPr>
        <w:t xml:space="preserve"> </w:t>
      </w:r>
      <w:r>
        <w:rPr>
          <w:lang w:val="nb-NO"/>
        </w:rPr>
        <w:lastRenderedPageBreak/>
        <w:t xml:space="preserve">avsluttet </w:t>
      </w:r>
      <w:r w:rsidR="009944AD">
        <w:rPr>
          <w:lang w:val="nb-NO"/>
        </w:rPr>
        <w:t>18 </w:t>
      </w:r>
      <w:r>
        <w:rPr>
          <w:lang w:val="nb-NO"/>
        </w:rPr>
        <w:t xml:space="preserve">% på grunn av bivirkninger og </w:t>
      </w:r>
      <w:r w:rsidR="009944AD">
        <w:rPr>
          <w:lang w:val="nb-NO"/>
        </w:rPr>
        <w:t>8 </w:t>
      </w:r>
      <w:r>
        <w:rPr>
          <w:lang w:val="nb-NO"/>
        </w:rPr>
        <w:t>% på grunn av utilstrekkelig respons på adalimumabbehandling.</w:t>
      </w:r>
    </w:p>
    <w:p w14:paraId="7E1C5E6B" w14:textId="77777777" w:rsidR="007048D1" w:rsidRPr="00C602BE" w:rsidRDefault="007048D1" w:rsidP="007048D1">
      <w:pPr>
        <w:pStyle w:val="EMEANormal"/>
        <w:rPr>
          <w:lang w:val="nb-NO"/>
        </w:rPr>
      </w:pPr>
    </w:p>
    <w:p w14:paraId="215F1E97" w14:textId="77777777" w:rsidR="007048D1" w:rsidRPr="00193D76" w:rsidRDefault="00E453CD" w:rsidP="007048D1">
      <w:pPr>
        <w:pStyle w:val="Heading8"/>
        <w:rPr>
          <w:szCs w:val="22"/>
        </w:rPr>
      </w:pPr>
      <w:r w:rsidRPr="001F5D4B">
        <w:rPr>
          <w:i/>
          <w:szCs w:val="22"/>
        </w:rPr>
        <w:t>Livskvalitet</w:t>
      </w:r>
    </w:p>
    <w:p w14:paraId="59255A19" w14:textId="77777777" w:rsidR="007048D1" w:rsidRPr="002D0790" w:rsidRDefault="007048D1" w:rsidP="007048D1">
      <w:pPr>
        <w:pStyle w:val="Heading8"/>
        <w:rPr>
          <w:szCs w:val="22"/>
        </w:rPr>
      </w:pPr>
    </w:p>
    <w:p w14:paraId="08FE69B8" w14:textId="77777777" w:rsidR="007048D1" w:rsidRPr="00974950" w:rsidRDefault="00E453CD" w:rsidP="007048D1">
      <w:pPr>
        <w:rPr>
          <w:szCs w:val="22"/>
        </w:rPr>
      </w:pPr>
      <w:r w:rsidRPr="00AF45AF">
        <w:rPr>
          <w:sz w:val="22"/>
          <w:szCs w:val="22"/>
        </w:rPr>
        <w:t>Pasientrapporterte resultater vedrørende synsrelatert funksjon ble målt ved bruk av NEI VFQ-25 i begge kliniske studier. Numerisk forskjell i favør Humira ble vist for de fleste subscores med statistisk signifikante gjennomsnittlige forskjeller for generelt syn, øyesmerter, nærsyn, psykisk helse og total score i studie UV I, og for generelt syn og psykisk helse i studie UV II. Synsrelaterte effekter som ikke var numerisk i favør Humira var fargesyn i studie UV I og fargesyn, sidesyn og nærsyn i studie UV II.</w:t>
      </w:r>
    </w:p>
    <w:p w14:paraId="232A7C41" w14:textId="77777777" w:rsidR="007048D1" w:rsidRPr="00974950" w:rsidRDefault="007048D1" w:rsidP="007048D1">
      <w:pPr>
        <w:tabs>
          <w:tab w:val="left" w:pos="3090"/>
        </w:tabs>
      </w:pPr>
    </w:p>
    <w:p w14:paraId="2FED9D3C" w14:textId="77777777" w:rsidR="007048D1" w:rsidRPr="009C5EFD" w:rsidRDefault="00E453CD" w:rsidP="007048D1">
      <w:pPr>
        <w:pStyle w:val="Heading8"/>
        <w:rPr>
          <w:szCs w:val="22"/>
        </w:rPr>
      </w:pPr>
      <w:r w:rsidRPr="009C5EFD">
        <w:rPr>
          <w:szCs w:val="22"/>
        </w:rPr>
        <w:t>Immunogenisitet</w:t>
      </w:r>
    </w:p>
    <w:p w14:paraId="49B5D58C" w14:textId="77777777" w:rsidR="007048D1" w:rsidRPr="009C5EFD" w:rsidRDefault="007048D1" w:rsidP="007048D1">
      <w:pPr>
        <w:keepNext/>
        <w:rPr>
          <w:sz w:val="22"/>
          <w:szCs w:val="22"/>
        </w:rPr>
      </w:pPr>
    </w:p>
    <w:p w14:paraId="5FCE3206" w14:textId="77777777" w:rsidR="007048D1" w:rsidRPr="009C5EFD" w:rsidRDefault="00E453CD" w:rsidP="00776A84">
      <w:pPr>
        <w:rPr>
          <w:sz w:val="22"/>
          <w:szCs w:val="22"/>
        </w:rPr>
      </w:pPr>
      <w:r w:rsidRPr="009C5EFD">
        <w:rPr>
          <w:sz w:val="22"/>
          <w:szCs w:val="22"/>
        </w:rPr>
        <w:t xml:space="preserve">Dannelse av anti-adalimumab antistoffer er knyttet til økt clearance og redusert effekt av adalimumab. Det finnes ingen tydelig sammenheng mellom forekomsten av anti-adalimumab antistoffer og forekomsten av bivirkninger. </w:t>
      </w:r>
    </w:p>
    <w:p w14:paraId="04620C0A" w14:textId="77777777" w:rsidR="007048D1" w:rsidRPr="009C5EFD" w:rsidRDefault="007048D1" w:rsidP="007048D1">
      <w:pPr>
        <w:rPr>
          <w:sz w:val="22"/>
          <w:szCs w:val="22"/>
        </w:rPr>
      </w:pPr>
    </w:p>
    <w:p w14:paraId="407498C6" w14:textId="77777777" w:rsidR="007048D1" w:rsidRPr="009C5EFD" w:rsidRDefault="00E453CD" w:rsidP="007048D1">
      <w:pPr>
        <w:rPr>
          <w:sz w:val="22"/>
          <w:szCs w:val="22"/>
        </w:rPr>
      </w:pPr>
      <w:r w:rsidRPr="009C5EFD">
        <w:rPr>
          <w:sz w:val="22"/>
          <w:szCs w:val="22"/>
        </w:rPr>
        <w:t>Hos pasienter med polyartikulær juvenil idiopatisk artritt i alderen 4 til 17</w:t>
      </w:r>
      <w:r w:rsidR="001D533B">
        <w:rPr>
          <w:sz w:val="22"/>
          <w:szCs w:val="22"/>
        </w:rPr>
        <w:t> </w:t>
      </w:r>
      <w:r w:rsidRPr="009C5EFD">
        <w:rPr>
          <w:sz w:val="22"/>
          <w:szCs w:val="22"/>
        </w:rPr>
        <w:t>år, ble anti-adalimumab antistoffer identifisert hos 15,8</w:t>
      </w:r>
      <w:r w:rsidR="001D533B">
        <w:rPr>
          <w:sz w:val="22"/>
          <w:szCs w:val="22"/>
        </w:rPr>
        <w:t> </w:t>
      </w:r>
      <w:r w:rsidRPr="009C5EFD">
        <w:rPr>
          <w:sz w:val="22"/>
          <w:szCs w:val="22"/>
        </w:rPr>
        <w:t>% (27/171) av pasientene som var behandlet med adalimumab. Hos pasienter som ikke hadde fått metotreksat samtidig var forekomsten 25,6</w:t>
      </w:r>
      <w:r w:rsidR="001D533B">
        <w:rPr>
          <w:sz w:val="22"/>
          <w:szCs w:val="22"/>
        </w:rPr>
        <w:t> </w:t>
      </w:r>
      <w:r w:rsidRPr="009C5EFD">
        <w:rPr>
          <w:sz w:val="22"/>
          <w:szCs w:val="22"/>
        </w:rPr>
        <w:t>% (22/86) sammenlignet med 5,9</w:t>
      </w:r>
      <w:r w:rsidR="001D533B">
        <w:rPr>
          <w:sz w:val="22"/>
          <w:szCs w:val="22"/>
        </w:rPr>
        <w:t> </w:t>
      </w:r>
      <w:r w:rsidRPr="009C5EFD">
        <w:rPr>
          <w:sz w:val="22"/>
          <w:szCs w:val="22"/>
        </w:rPr>
        <w:t>% (5/85) når adalimumab var brukt i tillegg til metotreksat.</w:t>
      </w:r>
      <w:r w:rsidR="008940EC">
        <w:rPr>
          <w:sz w:val="22"/>
          <w:szCs w:val="22"/>
        </w:rPr>
        <w:t xml:space="preserve"> </w:t>
      </w:r>
      <w:r w:rsidR="008940EC" w:rsidRPr="009C5EFD">
        <w:rPr>
          <w:sz w:val="22"/>
          <w:szCs w:val="22"/>
        </w:rPr>
        <w:t>Hos pasienter med polyartikulær juvenil idiopatisk artritt</w:t>
      </w:r>
      <w:r w:rsidR="008940EC">
        <w:rPr>
          <w:sz w:val="22"/>
          <w:szCs w:val="22"/>
        </w:rPr>
        <w:t xml:space="preserve"> som var 2 til &lt;</w:t>
      </w:r>
      <w:r w:rsidR="001D533B">
        <w:rPr>
          <w:sz w:val="22"/>
          <w:szCs w:val="22"/>
        </w:rPr>
        <w:t> </w:t>
      </w:r>
      <w:r w:rsidR="008940EC">
        <w:rPr>
          <w:sz w:val="22"/>
          <w:szCs w:val="22"/>
        </w:rPr>
        <w:t>4</w:t>
      </w:r>
      <w:r w:rsidR="001D533B">
        <w:rPr>
          <w:sz w:val="22"/>
          <w:szCs w:val="22"/>
        </w:rPr>
        <w:t> </w:t>
      </w:r>
      <w:r w:rsidR="008940EC">
        <w:rPr>
          <w:sz w:val="22"/>
          <w:szCs w:val="22"/>
        </w:rPr>
        <w:t>år gamle eller over 4</w:t>
      </w:r>
      <w:r w:rsidR="001D533B">
        <w:rPr>
          <w:sz w:val="22"/>
          <w:szCs w:val="22"/>
        </w:rPr>
        <w:t> </w:t>
      </w:r>
      <w:r w:rsidR="008940EC">
        <w:rPr>
          <w:sz w:val="22"/>
          <w:szCs w:val="22"/>
        </w:rPr>
        <w:t>år med en kroppsvekt &lt;</w:t>
      </w:r>
      <w:r w:rsidR="001D533B">
        <w:rPr>
          <w:sz w:val="22"/>
          <w:szCs w:val="22"/>
        </w:rPr>
        <w:t> </w:t>
      </w:r>
      <w:r w:rsidR="008940EC">
        <w:rPr>
          <w:sz w:val="22"/>
          <w:szCs w:val="22"/>
        </w:rPr>
        <w:t>15</w:t>
      </w:r>
      <w:r w:rsidR="001D533B">
        <w:rPr>
          <w:sz w:val="22"/>
          <w:szCs w:val="22"/>
        </w:rPr>
        <w:t> </w:t>
      </w:r>
      <w:r w:rsidR="008940EC">
        <w:rPr>
          <w:sz w:val="22"/>
          <w:szCs w:val="22"/>
        </w:rPr>
        <w:t>kg, ble anti-adalimumab antistoffer identifisert hos 7</w:t>
      </w:r>
      <w:r w:rsidR="001D533B">
        <w:rPr>
          <w:sz w:val="22"/>
          <w:szCs w:val="22"/>
        </w:rPr>
        <w:t> </w:t>
      </w:r>
      <w:r w:rsidR="008940EC">
        <w:rPr>
          <w:sz w:val="22"/>
          <w:szCs w:val="22"/>
        </w:rPr>
        <w:t>% (1/15) av pasientene, og den ene pasienten fikk samtidig metotreksatbehandling.</w:t>
      </w:r>
    </w:p>
    <w:p w14:paraId="5415C629" w14:textId="77777777" w:rsidR="007048D1" w:rsidRPr="009C5EFD" w:rsidRDefault="007048D1" w:rsidP="007048D1">
      <w:pPr>
        <w:rPr>
          <w:sz w:val="22"/>
          <w:szCs w:val="22"/>
        </w:rPr>
      </w:pPr>
    </w:p>
    <w:p w14:paraId="625FF1C1" w14:textId="77777777" w:rsidR="007048D1" w:rsidRPr="009C5EFD" w:rsidRDefault="00E453CD" w:rsidP="007048D1">
      <w:pPr>
        <w:rPr>
          <w:sz w:val="22"/>
          <w:szCs w:val="22"/>
        </w:rPr>
      </w:pPr>
      <w:r w:rsidRPr="009C5EFD">
        <w:rPr>
          <w:sz w:val="22"/>
          <w:szCs w:val="22"/>
        </w:rPr>
        <w:t>Hos pasienter med entesittrelatert artritt, ble anti-adalimumab antistoff identifisert hos 10,9</w:t>
      </w:r>
      <w:r w:rsidR="001D533B">
        <w:rPr>
          <w:sz w:val="22"/>
          <w:szCs w:val="22"/>
        </w:rPr>
        <w:t> </w:t>
      </w:r>
      <w:r w:rsidRPr="009C5EFD">
        <w:rPr>
          <w:sz w:val="22"/>
          <w:szCs w:val="22"/>
        </w:rPr>
        <w:t>% (5/46) av pasientene som var behandlet med adalimumab. Hos pasienter som ikke hadde fått metotreksat samtidig var forekomsten 13,6</w:t>
      </w:r>
      <w:r w:rsidR="001D533B">
        <w:rPr>
          <w:sz w:val="22"/>
          <w:szCs w:val="22"/>
        </w:rPr>
        <w:t> </w:t>
      </w:r>
      <w:r w:rsidRPr="009C5EFD">
        <w:rPr>
          <w:sz w:val="22"/>
          <w:szCs w:val="22"/>
        </w:rPr>
        <w:t>% (3/22) sammenlignet med 8,3</w:t>
      </w:r>
      <w:r w:rsidR="001D533B">
        <w:rPr>
          <w:sz w:val="22"/>
          <w:szCs w:val="22"/>
        </w:rPr>
        <w:t> </w:t>
      </w:r>
      <w:r w:rsidRPr="009C5EFD">
        <w:rPr>
          <w:sz w:val="22"/>
          <w:szCs w:val="22"/>
        </w:rPr>
        <w:t>% (2/24) når adalimumab var brukt i tillegg til metotreksat.</w:t>
      </w:r>
    </w:p>
    <w:p w14:paraId="15CA514F" w14:textId="77777777" w:rsidR="007048D1" w:rsidRPr="009C5EFD" w:rsidRDefault="007048D1" w:rsidP="007048D1">
      <w:pPr>
        <w:rPr>
          <w:sz w:val="22"/>
          <w:szCs w:val="22"/>
        </w:rPr>
      </w:pPr>
    </w:p>
    <w:p w14:paraId="0D9DEF29" w14:textId="77777777" w:rsidR="007048D1" w:rsidRDefault="00E453CD" w:rsidP="007048D1">
      <w:pPr>
        <w:rPr>
          <w:sz w:val="22"/>
          <w:szCs w:val="22"/>
        </w:rPr>
      </w:pPr>
      <w:r w:rsidRPr="009C5EFD">
        <w:rPr>
          <w:sz w:val="22"/>
          <w:szCs w:val="22"/>
        </w:rPr>
        <w:t>Pasienter i revmatoid artritt studiene I, II og III ble testet ved flere tidspunkter med hensyn på antistoffer mot adalimumab i løpet av perioden fra 6 til 12</w:t>
      </w:r>
      <w:r w:rsidR="001D533B">
        <w:rPr>
          <w:sz w:val="22"/>
          <w:szCs w:val="22"/>
        </w:rPr>
        <w:t> </w:t>
      </w:r>
      <w:r w:rsidRPr="009C5EFD">
        <w:rPr>
          <w:sz w:val="22"/>
          <w:szCs w:val="22"/>
        </w:rPr>
        <w:t>måneder. I de pivotale studiene ble det identifisert antistoffer mot adalimumab hos 5,5</w:t>
      </w:r>
      <w:r w:rsidR="001D533B">
        <w:rPr>
          <w:sz w:val="22"/>
          <w:szCs w:val="22"/>
        </w:rPr>
        <w:t> </w:t>
      </w:r>
      <w:r w:rsidRPr="009C5EFD">
        <w:rPr>
          <w:sz w:val="22"/>
          <w:szCs w:val="22"/>
        </w:rPr>
        <w:t>% (58/1053) av pasientene som var behandlet med adalimumab, sammenlignet med 0,5</w:t>
      </w:r>
      <w:r w:rsidR="001D533B">
        <w:rPr>
          <w:sz w:val="22"/>
          <w:szCs w:val="22"/>
        </w:rPr>
        <w:t> </w:t>
      </w:r>
      <w:r w:rsidRPr="009C5EFD">
        <w:rPr>
          <w:sz w:val="22"/>
          <w:szCs w:val="22"/>
        </w:rPr>
        <w:t>% (2/370) hos dem som fikk placebo. Hos pasientene som ikke fikk metotreksat samtidig var forekomsten 12,4</w:t>
      </w:r>
      <w:r w:rsidR="001D533B">
        <w:rPr>
          <w:sz w:val="22"/>
          <w:szCs w:val="22"/>
        </w:rPr>
        <w:t> </w:t>
      </w:r>
      <w:r w:rsidRPr="009C5EFD">
        <w:rPr>
          <w:sz w:val="22"/>
          <w:szCs w:val="22"/>
        </w:rPr>
        <w:t>% sammenlignet med 0,6</w:t>
      </w:r>
      <w:r w:rsidR="001D533B">
        <w:rPr>
          <w:sz w:val="22"/>
          <w:szCs w:val="22"/>
        </w:rPr>
        <w:t> </w:t>
      </w:r>
      <w:r w:rsidRPr="009C5EFD">
        <w:rPr>
          <w:sz w:val="22"/>
          <w:szCs w:val="22"/>
        </w:rPr>
        <w:t>% når adalimumab ble gitt som tillegg til metotreksat.</w:t>
      </w:r>
    </w:p>
    <w:p w14:paraId="7EECB8DB" w14:textId="77777777" w:rsidR="003C559B" w:rsidRPr="009C5EFD" w:rsidRDefault="003C559B" w:rsidP="007048D1">
      <w:pPr>
        <w:rPr>
          <w:sz w:val="22"/>
          <w:szCs w:val="22"/>
        </w:rPr>
      </w:pPr>
    </w:p>
    <w:p w14:paraId="5A7C95E7" w14:textId="77777777" w:rsidR="003C559B" w:rsidRDefault="00E453CD" w:rsidP="003C559B">
      <w:pPr>
        <w:rPr>
          <w:sz w:val="22"/>
          <w:szCs w:val="22"/>
        </w:rPr>
      </w:pPr>
      <w:r w:rsidRPr="009C5EFD">
        <w:rPr>
          <w:sz w:val="22"/>
          <w:szCs w:val="22"/>
        </w:rPr>
        <w:t>Hos pasienter med pediatrisk psoriasis ble anti-adalimumab antistoffer påvist hos 5/38  pasienter (13</w:t>
      </w:r>
      <w:r>
        <w:rPr>
          <w:sz w:val="22"/>
          <w:szCs w:val="22"/>
        </w:rPr>
        <w:t> </w:t>
      </w:r>
      <w:r w:rsidRPr="009C5EFD">
        <w:rPr>
          <w:sz w:val="22"/>
          <w:szCs w:val="22"/>
        </w:rPr>
        <w:t>%) behandlet med 0,8</w:t>
      </w:r>
      <w:r>
        <w:rPr>
          <w:sz w:val="22"/>
          <w:szCs w:val="22"/>
        </w:rPr>
        <w:t> </w:t>
      </w:r>
      <w:r w:rsidRPr="009C5EFD">
        <w:rPr>
          <w:sz w:val="22"/>
          <w:szCs w:val="22"/>
        </w:rPr>
        <w:t>mg/kg adalimumab som monoterapi.</w:t>
      </w:r>
    </w:p>
    <w:p w14:paraId="788FB1EE" w14:textId="77777777" w:rsidR="008940EC" w:rsidRDefault="008940EC" w:rsidP="007048D1">
      <w:pPr>
        <w:rPr>
          <w:sz w:val="22"/>
          <w:szCs w:val="22"/>
        </w:rPr>
      </w:pPr>
    </w:p>
    <w:p w14:paraId="3BA9F0B2" w14:textId="77777777" w:rsidR="003C559B" w:rsidRDefault="00E453CD" w:rsidP="003C559B">
      <w:pPr>
        <w:rPr>
          <w:sz w:val="22"/>
          <w:szCs w:val="22"/>
        </w:rPr>
      </w:pPr>
      <w:r w:rsidRPr="00A1116A">
        <w:rPr>
          <w:sz w:val="22"/>
          <w:szCs w:val="22"/>
        </w:rPr>
        <w:t>Hos voksne pasienter med psoriasis ble anti-adalimumab antistoffer påvist hos 77/920</w:t>
      </w:r>
      <w:r>
        <w:rPr>
          <w:sz w:val="22"/>
          <w:szCs w:val="22"/>
        </w:rPr>
        <w:t> </w:t>
      </w:r>
      <w:r w:rsidRPr="00A1116A">
        <w:rPr>
          <w:sz w:val="22"/>
          <w:szCs w:val="22"/>
        </w:rPr>
        <w:t>pasienter (8,4</w:t>
      </w:r>
      <w:r>
        <w:rPr>
          <w:sz w:val="22"/>
          <w:szCs w:val="22"/>
        </w:rPr>
        <w:t> </w:t>
      </w:r>
      <w:r w:rsidRPr="00A1116A">
        <w:rPr>
          <w:sz w:val="22"/>
          <w:szCs w:val="22"/>
        </w:rPr>
        <w:t>%) behandlet med adalimumab som monoterapi.</w:t>
      </w:r>
    </w:p>
    <w:p w14:paraId="0183B29C" w14:textId="77777777" w:rsidR="003C559B" w:rsidRPr="00A1116A" w:rsidRDefault="003C559B" w:rsidP="003C559B">
      <w:pPr>
        <w:rPr>
          <w:sz w:val="22"/>
          <w:szCs w:val="22"/>
        </w:rPr>
      </w:pPr>
    </w:p>
    <w:p w14:paraId="3467CB43" w14:textId="77777777" w:rsidR="008940EC" w:rsidRPr="009C5EFD" w:rsidRDefault="00E453CD" w:rsidP="007048D1">
      <w:pPr>
        <w:rPr>
          <w:sz w:val="22"/>
          <w:szCs w:val="22"/>
        </w:rPr>
      </w:pPr>
      <w:r>
        <w:rPr>
          <w:sz w:val="22"/>
          <w:szCs w:val="22"/>
        </w:rPr>
        <w:t xml:space="preserve">Hos voksne pasienter med plakkpsoriasis </w:t>
      </w:r>
      <w:r w:rsidR="00D86964">
        <w:rPr>
          <w:sz w:val="22"/>
          <w:szCs w:val="22"/>
        </w:rPr>
        <w:t>med</w:t>
      </w:r>
      <w:r>
        <w:rPr>
          <w:sz w:val="22"/>
          <w:szCs w:val="22"/>
        </w:rPr>
        <w:t xml:space="preserve"> langtidsbruk av </w:t>
      </w:r>
      <w:r w:rsidR="00105B47">
        <w:rPr>
          <w:sz w:val="22"/>
          <w:szCs w:val="22"/>
        </w:rPr>
        <w:t>adalimumab</w:t>
      </w:r>
      <w:r w:rsidR="00105B47">
        <w:rPr>
          <w:sz w:val="22"/>
          <w:szCs w:val="22"/>
        </w:rPr>
        <w:noBreakHyphen/>
      </w:r>
      <w:r>
        <w:rPr>
          <w:sz w:val="22"/>
          <w:szCs w:val="22"/>
        </w:rPr>
        <w:t>monoterapi som deltok i en seponerings- og reoppstartsstudie, var andelen av antistoffer til adalimumab etter reoppstart (11 av 482</w:t>
      </w:r>
      <w:r w:rsidR="001D533B">
        <w:rPr>
          <w:sz w:val="22"/>
          <w:szCs w:val="22"/>
        </w:rPr>
        <w:t> </w:t>
      </w:r>
      <w:r>
        <w:rPr>
          <w:sz w:val="22"/>
          <w:szCs w:val="22"/>
        </w:rPr>
        <w:t>pasienter</w:t>
      </w:r>
      <w:r w:rsidR="00846DBC">
        <w:rPr>
          <w:sz w:val="22"/>
          <w:szCs w:val="22"/>
        </w:rPr>
        <w:t>,</w:t>
      </w:r>
      <w:r>
        <w:rPr>
          <w:sz w:val="22"/>
          <w:szCs w:val="22"/>
        </w:rPr>
        <w:t xml:space="preserve"> 2</w:t>
      </w:r>
      <w:r w:rsidR="001D533B">
        <w:rPr>
          <w:sz w:val="22"/>
          <w:szCs w:val="22"/>
        </w:rPr>
        <w:t>,</w:t>
      </w:r>
      <w:r>
        <w:rPr>
          <w:sz w:val="22"/>
          <w:szCs w:val="22"/>
        </w:rPr>
        <w:t>3</w:t>
      </w:r>
      <w:r w:rsidR="001D533B">
        <w:rPr>
          <w:sz w:val="22"/>
          <w:szCs w:val="22"/>
        </w:rPr>
        <w:t> </w:t>
      </w:r>
      <w:r>
        <w:rPr>
          <w:sz w:val="22"/>
          <w:szCs w:val="22"/>
        </w:rPr>
        <w:t>%) lignende andelen observert før seponering (11 av 590</w:t>
      </w:r>
      <w:r w:rsidR="001D533B">
        <w:rPr>
          <w:sz w:val="22"/>
          <w:szCs w:val="22"/>
        </w:rPr>
        <w:t> </w:t>
      </w:r>
      <w:r>
        <w:rPr>
          <w:sz w:val="22"/>
          <w:szCs w:val="22"/>
        </w:rPr>
        <w:t>pasienter, 1,9</w:t>
      </w:r>
      <w:r w:rsidR="001D533B">
        <w:rPr>
          <w:sz w:val="22"/>
          <w:szCs w:val="22"/>
        </w:rPr>
        <w:t> </w:t>
      </w:r>
      <w:r>
        <w:rPr>
          <w:sz w:val="22"/>
          <w:szCs w:val="22"/>
        </w:rPr>
        <w:t>%).</w:t>
      </w:r>
    </w:p>
    <w:p w14:paraId="0CED92D9" w14:textId="77777777" w:rsidR="007048D1" w:rsidRPr="00A1116A" w:rsidRDefault="007048D1" w:rsidP="007048D1">
      <w:pPr>
        <w:rPr>
          <w:sz w:val="22"/>
          <w:szCs w:val="22"/>
        </w:rPr>
      </w:pPr>
    </w:p>
    <w:p w14:paraId="11275515" w14:textId="77777777" w:rsidR="007048D1" w:rsidRPr="00AB7697" w:rsidRDefault="00E453CD" w:rsidP="007048D1">
      <w:pPr>
        <w:rPr>
          <w:sz w:val="22"/>
          <w:szCs w:val="22"/>
        </w:rPr>
      </w:pPr>
      <w:r w:rsidRPr="00A1116A">
        <w:rPr>
          <w:sz w:val="22"/>
          <w:szCs w:val="22"/>
        </w:rPr>
        <w:t>Hos pasienter med moderat til alvorlig aktiv pediatrisk Crohns sykdom ble anti-adalimumab antistoffer utviklet hos 3,3</w:t>
      </w:r>
      <w:r w:rsidR="001D533B">
        <w:rPr>
          <w:sz w:val="22"/>
          <w:szCs w:val="22"/>
        </w:rPr>
        <w:t> </w:t>
      </w:r>
      <w:r w:rsidRPr="00A1116A">
        <w:rPr>
          <w:sz w:val="22"/>
          <w:szCs w:val="22"/>
        </w:rPr>
        <w:t>% av pasientene behandlet med adalimumab.</w:t>
      </w:r>
    </w:p>
    <w:p w14:paraId="2CF7B1FA" w14:textId="77777777" w:rsidR="00275F32" w:rsidRPr="00AB7697" w:rsidRDefault="00275F32" w:rsidP="007048D1">
      <w:pPr>
        <w:rPr>
          <w:sz w:val="22"/>
          <w:szCs w:val="22"/>
        </w:rPr>
      </w:pPr>
    </w:p>
    <w:p w14:paraId="35738D83" w14:textId="77777777" w:rsidR="00275F32" w:rsidRPr="00E90360" w:rsidRDefault="00E453CD" w:rsidP="007048D1">
      <w:pPr>
        <w:rPr>
          <w:sz w:val="22"/>
          <w:szCs w:val="22"/>
        </w:rPr>
      </w:pPr>
      <w:r w:rsidRPr="00AB7697">
        <w:rPr>
          <w:sz w:val="22"/>
          <w:szCs w:val="22"/>
        </w:rPr>
        <w:t xml:space="preserve">Hos pasienter med </w:t>
      </w:r>
      <w:r w:rsidR="006B55F0">
        <w:rPr>
          <w:sz w:val="22"/>
          <w:szCs w:val="22"/>
        </w:rPr>
        <w:t>Crohns</w:t>
      </w:r>
      <w:r w:rsidRPr="00AB7697">
        <w:rPr>
          <w:sz w:val="22"/>
          <w:szCs w:val="22"/>
        </w:rPr>
        <w:t xml:space="preserve"> sykdom ble anti-adalimumab antistoffer identifisert hos</w:t>
      </w:r>
      <w:r w:rsidRPr="00E90360">
        <w:rPr>
          <w:sz w:val="22"/>
          <w:szCs w:val="22"/>
        </w:rPr>
        <w:t xml:space="preserve"> 7/269</w:t>
      </w:r>
      <w:r w:rsidR="001D533B">
        <w:rPr>
          <w:sz w:val="22"/>
          <w:szCs w:val="22"/>
        </w:rPr>
        <w:t> </w:t>
      </w:r>
      <w:r w:rsidRPr="00E90360">
        <w:rPr>
          <w:sz w:val="22"/>
          <w:szCs w:val="22"/>
        </w:rPr>
        <w:t>pasienter (2,6</w:t>
      </w:r>
      <w:r w:rsidR="001D533B">
        <w:rPr>
          <w:sz w:val="22"/>
          <w:szCs w:val="22"/>
        </w:rPr>
        <w:t> </w:t>
      </w:r>
      <w:r w:rsidRPr="00E90360">
        <w:rPr>
          <w:sz w:val="22"/>
          <w:szCs w:val="22"/>
        </w:rPr>
        <w:t>%).</w:t>
      </w:r>
    </w:p>
    <w:p w14:paraId="2D08B9F0" w14:textId="77777777" w:rsidR="00275F32" w:rsidRPr="00E90360" w:rsidRDefault="00275F32" w:rsidP="007048D1">
      <w:pPr>
        <w:rPr>
          <w:sz w:val="22"/>
          <w:szCs w:val="22"/>
        </w:rPr>
      </w:pPr>
    </w:p>
    <w:p w14:paraId="42D1F82A" w14:textId="77777777" w:rsidR="00275F32" w:rsidRPr="00AB7697" w:rsidRDefault="00E453CD" w:rsidP="007048D1">
      <w:pPr>
        <w:rPr>
          <w:sz w:val="22"/>
          <w:szCs w:val="22"/>
        </w:rPr>
      </w:pPr>
      <w:r w:rsidRPr="00E90360">
        <w:rPr>
          <w:sz w:val="22"/>
          <w:szCs w:val="22"/>
        </w:rPr>
        <w:t>Hos voksne</w:t>
      </w:r>
      <w:r w:rsidRPr="00582FC8">
        <w:rPr>
          <w:sz w:val="22"/>
          <w:szCs w:val="22"/>
        </w:rPr>
        <w:t xml:space="preserve"> pasienter med ikke-infeksiøs uveitt ble</w:t>
      </w:r>
      <w:r w:rsidRPr="006E5628">
        <w:rPr>
          <w:sz w:val="22"/>
          <w:szCs w:val="22"/>
        </w:rPr>
        <w:t xml:space="preserve"> anti-adalimumab antisto</w:t>
      </w:r>
      <w:r w:rsidRPr="00FF0116">
        <w:rPr>
          <w:sz w:val="22"/>
          <w:szCs w:val="22"/>
        </w:rPr>
        <w:t>ffer identifisert hos 4,8</w:t>
      </w:r>
      <w:r w:rsidR="001D533B">
        <w:rPr>
          <w:sz w:val="22"/>
          <w:szCs w:val="22"/>
        </w:rPr>
        <w:t> </w:t>
      </w:r>
      <w:r w:rsidRPr="00FF0116">
        <w:rPr>
          <w:sz w:val="22"/>
          <w:szCs w:val="22"/>
        </w:rPr>
        <w:t>% (12/249) av pasientene behandlet med adalimumab.</w:t>
      </w:r>
    </w:p>
    <w:p w14:paraId="0C2A4425" w14:textId="77777777" w:rsidR="007048D1" w:rsidRPr="00A1116A" w:rsidRDefault="007048D1" w:rsidP="007048D1">
      <w:pPr>
        <w:rPr>
          <w:sz w:val="22"/>
          <w:szCs w:val="22"/>
        </w:rPr>
      </w:pPr>
    </w:p>
    <w:p w14:paraId="4C84ED99" w14:textId="77777777" w:rsidR="007048D1" w:rsidRPr="00A1116A" w:rsidRDefault="00E453CD" w:rsidP="007048D1">
      <w:pPr>
        <w:rPr>
          <w:sz w:val="22"/>
          <w:szCs w:val="22"/>
        </w:rPr>
      </w:pPr>
      <w:r w:rsidRPr="00A1116A">
        <w:rPr>
          <w:sz w:val="22"/>
          <w:szCs w:val="22"/>
        </w:rPr>
        <w:lastRenderedPageBreak/>
        <w:t>Ettersom immunogenisitetsanalyser er produktspesifikke, er en sammenligning av antistoff-forekomst med andre produkter uegnet.</w:t>
      </w:r>
    </w:p>
    <w:p w14:paraId="229BDC3A" w14:textId="77777777" w:rsidR="007048D1" w:rsidRPr="00644328" w:rsidRDefault="007048D1" w:rsidP="007048D1">
      <w:pPr>
        <w:rPr>
          <w:sz w:val="22"/>
          <w:szCs w:val="22"/>
        </w:rPr>
      </w:pPr>
    </w:p>
    <w:p w14:paraId="505C6826" w14:textId="77777777" w:rsidR="007048D1" w:rsidRPr="00644328" w:rsidRDefault="00E453CD" w:rsidP="00184283">
      <w:pPr>
        <w:keepNext/>
        <w:rPr>
          <w:sz w:val="22"/>
          <w:szCs w:val="22"/>
        </w:rPr>
      </w:pPr>
      <w:r w:rsidRPr="00644328">
        <w:rPr>
          <w:sz w:val="22"/>
          <w:szCs w:val="22"/>
          <w:u w:val="single"/>
        </w:rPr>
        <w:t>Pediatrisk populasjon</w:t>
      </w:r>
    </w:p>
    <w:p w14:paraId="041453CC" w14:textId="77777777" w:rsidR="007048D1" w:rsidRPr="00644328" w:rsidRDefault="007048D1" w:rsidP="00184283">
      <w:pPr>
        <w:keepNext/>
        <w:rPr>
          <w:sz w:val="22"/>
          <w:szCs w:val="22"/>
        </w:rPr>
      </w:pPr>
    </w:p>
    <w:p w14:paraId="1ADF725B" w14:textId="77777777" w:rsidR="002F0483" w:rsidRPr="00193D76" w:rsidRDefault="00E453CD" w:rsidP="002F0483">
      <w:pPr>
        <w:pStyle w:val="EndnoteText"/>
        <w:keepNext/>
        <w:widowControl/>
        <w:tabs>
          <w:tab w:val="clear" w:pos="567"/>
        </w:tabs>
        <w:suppressAutoHyphens/>
        <w:rPr>
          <w:szCs w:val="22"/>
          <w:u w:val="single"/>
          <w:lang w:val="nb-NO"/>
        </w:rPr>
      </w:pPr>
      <w:r w:rsidRPr="001F5D4B">
        <w:rPr>
          <w:i/>
          <w:szCs w:val="22"/>
        </w:rPr>
        <w:t>Juvenil idiopatisk artritt (JIA)</w:t>
      </w:r>
    </w:p>
    <w:p w14:paraId="0932DE36" w14:textId="77777777" w:rsidR="002F0483" w:rsidRPr="002D0790" w:rsidRDefault="002F0483" w:rsidP="002F0483">
      <w:pPr>
        <w:pStyle w:val="EndnoteText"/>
        <w:keepNext/>
        <w:widowControl/>
        <w:tabs>
          <w:tab w:val="clear" w:pos="567"/>
        </w:tabs>
        <w:suppressAutoHyphens/>
        <w:rPr>
          <w:szCs w:val="22"/>
          <w:u w:val="single"/>
          <w:lang w:val="nb-NO"/>
        </w:rPr>
      </w:pPr>
    </w:p>
    <w:p w14:paraId="7F83663A" w14:textId="77777777" w:rsidR="002F0483" w:rsidRPr="00193D76" w:rsidRDefault="00E453CD" w:rsidP="002F0483">
      <w:pPr>
        <w:pStyle w:val="EndnoteText"/>
        <w:keepNext/>
        <w:widowControl/>
        <w:tabs>
          <w:tab w:val="clear" w:pos="567"/>
        </w:tabs>
        <w:suppressAutoHyphens/>
        <w:rPr>
          <w:szCs w:val="22"/>
          <w:u w:val="single"/>
          <w:lang w:val="nb-NO"/>
        </w:rPr>
      </w:pPr>
      <w:r w:rsidRPr="001F5D4B">
        <w:rPr>
          <w:i/>
          <w:szCs w:val="22"/>
          <w:u w:val="single"/>
        </w:rPr>
        <w:t>Polyartikulær juvenil idiopatisk artritt (pJIA)</w:t>
      </w:r>
    </w:p>
    <w:p w14:paraId="6EF5AA24" w14:textId="77777777" w:rsidR="002F0483" w:rsidRPr="002D0790" w:rsidRDefault="002F0483" w:rsidP="002F0483">
      <w:pPr>
        <w:pStyle w:val="EndnoteText"/>
        <w:keepNext/>
        <w:widowControl/>
        <w:tabs>
          <w:tab w:val="clear" w:pos="567"/>
        </w:tabs>
        <w:suppressAutoHyphens/>
        <w:rPr>
          <w:szCs w:val="22"/>
          <w:u w:val="single"/>
          <w:lang w:val="nb-NO"/>
        </w:rPr>
      </w:pPr>
    </w:p>
    <w:p w14:paraId="618D16A5" w14:textId="77777777" w:rsidR="002F0483" w:rsidRPr="009C5EFD" w:rsidRDefault="00E453CD" w:rsidP="002F0483">
      <w:pPr>
        <w:pStyle w:val="EndnoteText"/>
        <w:widowControl/>
        <w:tabs>
          <w:tab w:val="clear" w:pos="567"/>
        </w:tabs>
        <w:suppressAutoHyphens/>
        <w:rPr>
          <w:szCs w:val="22"/>
          <w:lang w:val="nb-NO"/>
        </w:rPr>
      </w:pPr>
      <w:r w:rsidRPr="002D0790">
        <w:rPr>
          <w:szCs w:val="22"/>
          <w:lang w:val="nb-NO"/>
        </w:rPr>
        <w:t>Sikkerhet og effekt</w:t>
      </w:r>
      <w:r w:rsidRPr="00E14E58">
        <w:rPr>
          <w:szCs w:val="22"/>
          <w:lang w:val="nb-NO"/>
        </w:rPr>
        <w:t xml:space="preserve"> </w:t>
      </w:r>
      <w:r w:rsidRPr="009C5EFD">
        <w:rPr>
          <w:szCs w:val="22"/>
          <w:lang w:val="nb-NO"/>
        </w:rPr>
        <w:t>av Humira ble vurdert i to studier (pJIA I og II) hos barn med aktiv polyartikulær eller polyartikulær juvenil idiopatisk artritt, som hadde en rekke med JIA utbruddsfaktorer (oftest revmatoid-faktor negativ eller positiv polyartritt og forlenget oligoartritt).</w:t>
      </w:r>
    </w:p>
    <w:p w14:paraId="7CAAA39C" w14:textId="77777777" w:rsidR="002F0483" w:rsidRPr="009C5EFD" w:rsidRDefault="002F0483" w:rsidP="002F0483">
      <w:pPr>
        <w:pStyle w:val="EndnoteText"/>
        <w:widowControl/>
        <w:tabs>
          <w:tab w:val="clear" w:pos="567"/>
        </w:tabs>
        <w:suppressAutoHyphens/>
        <w:rPr>
          <w:szCs w:val="22"/>
          <w:lang w:val="nb-NO"/>
        </w:rPr>
      </w:pPr>
    </w:p>
    <w:p w14:paraId="3953988D" w14:textId="77777777" w:rsidR="002F0483" w:rsidRPr="009C5EFD" w:rsidRDefault="00E453CD" w:rsidP="002F0483">
      <w:pPr>
        <w:pStyle w:val="EndnoteText"/>
        <w:keepNext/>
        <w:widowControl/>
        <w:tabs>
          <w:tab w:val="clear" w:pos="567"/>
        </w:tabs>
        <w:suppressAutoHyphens/>
        <w:rPr>
          <w:bCs/>
          <w:iCs/>
          <w:szCs w:val="22"/>
        </w:rPr>
      </w:pPr>
      <w:r w:rsidRPr="009C5EFD">
        <w:rPr>
          <w:bCs/>
          <w:iCs/>
          <w:szCs w:val="22"/>
        </w:rPr>
        <w:t>pJIA I</w:t>
      </w:r>
    </w:p>
    <w:p w14:paraId="57101CE2" w14:textId="77777777" w:rsidR="002F0483" w:rsidRPr="009C5EFD" w:rsidRDefault="002F0483" w:rsidP="002F0483">
      <w:pPr>
        <w:pStyle w:val="EndnoteText"/>
        <w:keepNext/>
        <w:widowControl/>
        <w:tabs>
          <w:tab w:val="clear" w:pos="567"/>
        </w:tabs>
        <w:suppressAutoHyphens/>
        <w:rPr>
          <w:szCs w:val="22"/>
          <w:lang w:val="nb-NO"/>
        </w:rPr>
      </w:pPr>
    </w:p>
    <w:p w14:paraId="2030E4C4" w14:textId="77777777" w:rsidR="002F0483" w:rsidRPr="009C5EFD" w:rsidRDefault="00E453CD" w:rsidP="002F0483">
      <w:pPr>
        <w:pStyle w:val="EndnoteText"/>
        <w:widowControl/>
        <w:tabs>
          <w:tab w:val="clear" w:pos="567"/>
        </w:tabs>
        <w:suppressAutoHyphens/>
        <w:rPr>
          <w:szCs w:val="22"/>
          <w:lang w:val="nb-NO"/>
        </w:rPr>
      </w:pPr>
      <w:r w:rsidRPr="009C5EFD">
        <w:rPr>
          <w:szCs w:val="22"/>
          <w:lang w:val="nb-NO"/>
        </w:rPr>
        <w:t>Sikkerhet og effekt av Humira ble vurdert i en multisenter, randomisert, dobbeltblindet, parallellgruppestudie hos 171</w:t>
      </w:r>
      <w:r>
        <w:rPr>
          <w:szCs w:val="22"/>
          <w:lang w:val="nb-NO"/>
        </w:rPr>
        <w:t> </w:t>
      </w:r>
      <w:r w:rsidRPr="009C5EFD">
        <w:rPr>
          <w:szCs w:val="22"/>
          <w:lang w:val="nb-NO"/>
        </w:rPr>
        <w:t>barn (4-17</w:t>
      </w:r>
      <w:r>
        <w:rPr>
          <w:szCs w:val="22"/>
          <w:lang w:val="nb-NO"/>
        </w:rPr>
        <w:t> </w:t>
      </w:r>
      <w:r w:rsidRPr="009C5EFD">
        <w:rPr>
          <w:szCs w:val="22"/>
          <w:lang w:val="nb-NO"/>
        </w:rPr>
        <w:t xml:space="preserve">år) med polyartikulær JIA. I den åpne, innledende fasen (open-label lead in phase, OL LI) ble pasientene stratifisert i to grupper; behandling med og uten metotreksat. Pasienter som var i den gruppen som ikke ble behandlet med metotreksat hadde enten ikke brukt metotreksat tidligere eller de hadde sluttet med metotreksat minst to uker før start av studien. Pasientene sto på stabile doser av </w:t>
      </w:r>
      <w:r w:rsidRPr="00BE192A">
        <w:rPr>
          <w:szCs w:val="22"/>
          <w:lang w:val="nb-NO"/>
        </w:rPr>
        <w:t>ikke-steroide antiinflammatoriske midler</w:t>
      </w:r>
      <w:r>
        <w:rPr>
          <w:szCs w:val="22"/>
          <w:lang w:val="nb-NO"/>
        </w:rPr>
        <w:t xml:space="preserve"> (</w:t>
      </w:r>
      <w:r w:rsidRPr="009C5EFD">
        <w:rPr>
          <w:szCs w:val="22"/>
          <w:lang w:val="nb-NO"/>
        </w:rPr>
        <w:t>NSAIDs</w:t>
      </w:r>
      <w:r>
        <w:rPr>
          <w:szCs w:val="22"/>
          <w:lang w:val="nb-NO"/>
        </w:rPr>
        <w:t>)</w:t>
      </w:r>
      <w:r w:rsidRPr="009C5EFD">
        <w:rPr>
          <w:szCs w:val="22"/>
          <w:lang w:val="nb-NO"/>
        </w:rPr>
        <w:t xml:space="preserve"> og/eller prednison (≤ 0,2</w:t>
      </w:r>
      <w:r>
        <w:rPr>
          <w:szCs w:val="22"/>
          <w:lang w:val="nb-NO"/>
        </w:rPr>
        <w:t> </w:t>
      </w:r>
      <w:r w:rsidRPr="009C5EFD">
        <w:rPr>
          <w:szCs w:val="22"/>
          <w:lang w:val="nb-NO"/>
        </w:rPr>
        <w:t>mg/kg/dag eller 10</w:t>
      </w:r>
      <w:r>
        <w:rPr>
          <w:szCs w:val="22"/>
          <w:lang w:val="nb-NO"/>
        </w:rPr>
        <w:t> </w:t>
      </w:r>
      <w:r w:rsidRPr="009C5EFD">
        <w:rPr>
          <w:szCs w:val="22"/>
          <w:lang w:val="nb-NO"/>
        </w:rPr>
        <w:t>mg/dag maksimum). I OL LI</w:t>
      </w:r>
      <w:r>
        <w:rPr>
          <w:szCs w:val="22"/>
          <w:lang w:val="nb-NO"/>
        </w:rPr>
        <w:noBreakHyphen/>
        <w:t xml:space="preserve">fasen </w:t>
      </w:r>
      <w:r w:rsidRPr="009C5EFD">
        <w:rPr>
          <w:szCs w:val="22"/>
          <w:lang w:val="nb-NO"/>
        </w:rPr>
        <w:t>fikk alle pasienter 24</w:t>
      </w:r>
      <w:r>
        <w:rPr>
          <w:szCs w:val="22"/>
          <w:lang w:val="nb-NO"/>
        </w:rPr>
        <w:t> </w:t>
      </w:r>
      <w:r w:rsidRPr="009C5EFD">
        <w:rPr>
          <w:szCs w:val="22"/>
          <w:lang w:val="nb-NO"/>
        </w:rPr>
        <w:t>mg/m</w:t>
      </w:r>
      <w:r w:rsidRPr="009C5EFD">
        <w:rPr>
          <w:szCs w:val="22"/>
          <w:vertAlign w:val="superscript"/>
          <w:lang w:val="nb-NO"/>
        </w:rPr>
        <w:t>2</w:t>
      </w:r>
      <w:r w:rsidRPr="009C5EFD">
        <w:rPr>
          <w:szCs w:val="22"/>
          <w:lang w:val="nb-NO"/>
        </w:rPr>
        <w:t xml:space="preserve"> opptil maksimum 40</w:t>
      </w:r>
      <w:r>
        <w:rPr>
          <w:szCs w:val="22"/>
          <w:lang w:val="nb-NO"/>
        </w:rPr>
        <w:t> </w:t>
      </w:r>
      <w:r w:rsidRPr="009C5EFD">
        <w:rPr>
          <w:szCs w:val="22"/>
          <w:lang w:val="nb-NO"/>
        </w:rPr>
        <w:t>mg Humira annen</w:t>
      </w:r>
      <w:r>
        <w:rPr>
          <w:szCs w:val="22"/>
          <w:lang w:val="nb-NO"/>
        </w:rPr>
        <w:t>hver</w:t>
      </w:r>
      <w:r w:rsidRPr="009C5EFD">
        <w:rPr>
          <w:szCs w:val="22"/>
          <w:lang w:val="nb-NO"/>
        </w:rPr>
        <w:t xml:space="preserve"> uke i 16</w:t>
      </w:r>
      <w:r>
        <w:rPr>
          <w:szCs w:val="22"/>
          <w:lang w:val="nb-NO"/>
        </w:rPr>
        <w:t> </w:t>
      </w:r>
      <w:r w:rsidRPr="009C5EFD">
        <w:rPr>
          <w:szCs w:val="22"/>
          <w:lang w:val="nb-NO"/>
        </w:rPr>
        <w:t>uker. Spredning av pasientene med hensyn til alder, minimum-, median- og maksimumdose under OL LI-fasen er vist i tabell</w:t>
      </w:r>
      <w:r>
        <w:rPr>
          <w:szCs w:val="22"/>
          <w:lang w:val="nb-NO"/>
        </w:rPr>
        <w:t> 17</w:t>
      </w:r>
      <w:r w:rsidRPr="009C5EFD">
        <w:rPr>
          <w:szCs w:val="22"/>
          <w:lang w:val="nb-NO"/>
        </w:rPr>
        <w:t>.</w:t>
      </w:r>
    </w:p>
    <w:p w14:paraId="0EC504CE" w14:textId="77777777" w:rsidR="002F0483" w:rsidRPr="001F5D4B" w:rsidRDefault="002F0483" w:rsidP="002F0483">
      <w:pPr>
        <w:pStyle w:val="BodyTextIndent"/>
        <w:ind w:left="0" w:right="53"/>
        <w:rPr>
          <w:sz w:val="22"/>
          <w:szCs w:val="22"/>
        </w:rPr>
      </w:pPr>
    </w:p>
    <w:p w14:paraId="3755FEE5" w14:textId="77777777" w:rsidR="002F0483" w:rsidRPr="007F67EE" w:rsidRDefault="00E453CD" w:rsidP="002F0483">
      <w:pPr>
        <w:pStyle w:val="BodyTextIndent"/>
        <w:ind w:left="0" w:right="53"/>
        <w:jc w:val="center"/>
        <w:rPr>
          <w:b/>
          <w:sz w:val="22"/>
          <w:szCs w:val="22"/>
        </w:rPr>
      </w:pPr>
      <w:r w:rsidRPr="007F67EE">
        <w:rPr>
          <w:b/>
          <w:sz w:val="22"/>
          <w:szCs w:val="22"/>
        </w:rPr>
        <w:t xml:space="preserve">Tabell </w:t>
      </w:r>
      <w:r>
        <w:rPr>
          <w:b/>
          <w:sz w:val="22"/>
          <w:szCs w:val="22"/>
        </w:rPr>
        <w:t>17</w:t>
      </w:r>
      <w:r w:rsidRPr="007F67EE">
        <w:rPr>
          <w:b/>
          <w:sz w:val="22"/>
          <w:szCs w:val="22"/>
        </w:rPr>
        <w:t xml:space="preserve"> </w:t>
      </w:r>
    </w:p>
    <w:p w14:paraId="79206989" w14:textId="77777777" w:rsidR="002F0483" w:rsidRPr="002D0790" w:rsidRDefault="00E453CD" w:rsidP="002F0483">
      <w:pPr>
        <w:pStyle w:val="BodyTextIndent"/>
        <w:ind w:left="0" w:right="53"/>
        <w:jc w:val="center"/>
        <w:rPr>
          <w:b/>
          <w:sz w:val="22"/>
          <w:szCs w:val="22"/>
        </w:rPr>
      </w:pPr>
      <w:r w:rsidRPr="007F67EE">
        <w:rPr>
          <w:b/>
          <w:sz w:val="22"/>
          <w:szCs w:val="22"/>
        </w:rPr>
        <w:t>Pasienters al</w:t>
      </w:r>
      <w:r w:rsidRPr="00193D76">
        <w:rPr>
          <w:b/>
          <w:sz w:val="22"/>
          <w:szCs w:val="22"/>
        </w:rPr>
        <w:t>dersspredning og adalimumabdose</w:t>
      </w:r>
      <w:r w:rsidRPr="002D0790">
        <w:rPr>
          <w:b/>
          <w:sz w:val="22"/>
          <w:szCs w:val="22"/>
        </w:rPr>
        <w:t xml:space="preserve"> under OL LI-fasen</w:t>
      </w:r>
    </w:p>
    <w:p w14:paraId="6B7D9E82" w14:textId="77777777" w:rsidR="002F0483" w:rsidRPr="002D0790" w:rsidRDefault="002F0483" w:rsidP="002F0483">
      <w:pPr>
        <w:pStyle w:val="BodyTextIndent"/>
        <w:ind w:left="0" w:right="53"/>
        <w:jc w:val="center"/>
        <w:rPr>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3423"/>
        <w:gridCol w:w="3154"/>
      </w:tblGrid>
      <w:tr w:rsidR="004644D4" w14:paraId="5BC36110" w14:textId="77777777" w:rsidTr="002F0483">
        <w:trPr>
          <w:cantSplit/>
        </w:trPr>
        <w:tc>
          <w:tcPr>
            <w:tcW w:w="2418" w:type="dxa"/>
          </w:tcPr>
          <w:p w14:paraId="4D36D73D" w14:textId="77777777" w:rsidR="002F0483" w:rsidRPr="009C5EFD" w:rsidRDefault="00E453CD" w:rsidP="002F0483">
            <w:pPr>
              <w:pStyle w:val="BodyTextIndent"/>
              <w:ind w:left="0" w:right="53"/>
              <w:rPr>
                <w:sz w:val="22"/>
                <w:szCs w:val="22"/>
              </w:rPr>
            </w:pPr>
            <w:r w:rsidRPr="009C5EFD">
              <w:rPr>
                <w:sz w:val="22"/>
                <w:szCs w:val="22"/>
              </w:rPr>
              <w:t>Aldersgruppe</w:t>
            </w:r>
          </w:p>
        </w:tc>
        <w:tc>
          <w:tcPr>
            <w:tcW w:w="3520" w:type="dxa"/>
          </w:tcPr>
          <w:p w14:paraId="4BEC1C4C" w14:textId="77777777" w:rsidR="002F0483" w:rsidRPr="009C5EFD" w:rsidRDefault="00E453CD" w:rsidP="002F0483">
            <w:pPr>
              <w:pStyle w:val="BodyTextIndent"/>
              <w:ind w:left="0" w:right="53"/>
              <w:rPr>
                <w:sz w:val="22"/>
                <w:szCs w:val="22"/>
              </w:rPr>
            </w:pPr>
            <w:r w:rsidRPr="009C5EFD">
              <w:rPr>
                <w:sz w:val="22"/>
                <w:szCs w:val="22"/>
              </w:rPr>
              <w:t>Antall pasienter ved behandlingsstart n (%)</w:t>
            </w:r>
          </w:p>
        </w:tc>
        <w:tc>
          <w:tcPr>
            <w:tcW w:w="3239" w:type="dxa"/>
          </w:tcPr>
          <w:p w14:paraId="3C0660FB" w14:textId="77777777" w:rsidR="002F0483" w:rsidRPr="009C5EFD" w:rsidRDefault="00E453CD" w:rsidP="002F0483">
            <w:pPr>
              <w:pStyle w:val="BodyTextIndent"/>
              <w:ind w:left="0" w:right="53"/>
              <w:rPr>
                <w:sz w:val="22"/>
                <w:szCs w:val="22"/>
              </w:rPr>
            </w:pPr>
            <w:r w:rsidRPr="009C5EFD">
              <w:rPr>
                <w:sz w:val="22"/>
                <w:szCs w:val="22"/>
              </w:rPr>
              <w:t>Minimum-, median- og maksimumdose</w:t>
            </w:r>
          </w:p>
        </w:tc>
      </w:tr>
      <w:tr w:rsidR="004644D4" w14:paraId="0EC55FEA" w14:textId="77777777" w:rsidTr="002F0483">
        <w:trPr>
          <w:cantSplit/>
        </w:trPr>
        <w:tc>
          <w:tcPr>
            <w:tcW w:w="2418" w:type="dxa"/>
          </w:tcPr>
          <w:p w14:paraId="716F8185" w14:textId="77777777" w:rsidR="002F0483" w:rsidRPr="007F67EE" w:rsidRDefault="00E453CD" w:rsidP="002F0483">
            <w:pPr>
              <w:pStyle w:val="BodyTextIndent"/>
              <w:ind w:left="0" w:right="53"/>
              <w:rPr>
                <w:sz w:val="22"/>
                <w:szCs w:val="22"/>
              </w:rPr>
            </w:pPr>
            <w:r w:rsidRPr="007F67EE">
              <w:rPr>
                <w:sz w:val="22"/>
                <w:szCs w:val="22"/>
              </w:rPr>
              <w:t>4 til 7 år</w:t>
            </w:r>
          </w:p>
        </w:tc>
        <w:tc>
          <w:tcPr>
            <w:tcW w:w="3520" w:type="dxa"/>
          </w:tcPr>
          <w:p w14:paraId="5DC8BBEF" w14:textId="77777777" w:rsidR="002F0483" w:rsidRPr="007F67EE" w:rsidRDefault="00E453CD" w:rsidP="002F0483">
            <w:pPr>
              <w:pStyle w:val="BodyTextIndent"/>
              <w:ind w:left="0" w:right="53"/>
              <w:rPr>
                <w:sz w:val="22"/>
                <w:szCs w:val="22"/>
              </w:rPr>
            </w:pPr>
            <w:r w:rsidRPr="007F67EE">
              <w:rPr>
                <w:sz w:val="22"/>
                <w:szCs w:val="22"/>
              </w:rPr>
              <w:t>31 (18,1)</w:t>
            </w:r>
          </w:p>
        </w:tc>
        <w:tc>
          <w:tcPr>
            <w:tcW w:w="3239" w:type="dxa"/>
          </w:tcPr>
          <w:p w14:paraId="78DE99F6" w14:textId="77777777" w:rsidR="002F0483" w:rsidRPr="00193D76" w:rsidRDefault="00E453CD" w:rsidP="002F0483">
            <w:pPr>
              <w:pStyle w:val="BodyTextIndent"/>
              <w:ind w:left="0" w:right="53"/>
              <w:rPr>
                <w:sz w:val="22"/>
                <w:szCs w:val="22"/>
              </w:rPr>
            </w:pPr>
            <w:r w:rsidRPr="00193D76">
              <w:rPr>
                <w:sz w:val="22"/>
                <w:szCs w:val="22"/>
              </w:rPr>
              <w:t>10, 20 og 25 mg</w:t>
            </w:r>
          </w:p>
        </w:tc>
      </w:tr>
      <w:tr w:rsidR="004644D4" w14:paraId="0006BB6C" w14:textId="77777777" w:rsidTr="002F0483">
        <w:trPr>
          <w:cantSplit/>
        </w:trPr>
        <w:tc>
          <w:tcPr>
            <w:tcW w:w="2418" w:type="dxa"/>
          </w:tcPr>
          <w:p w14:paraId="44FD5D10" w14:textId="77777777" w:rsidR="002F0483" w:rsidRPr="007F67EE" w:rsidRDefault="00E453CD" w:rsidP="002F0483">
            <w:pPr>
              <w:pStyle w:val="BodyTextIndent"/>
              <w:ind w:left="0" w:right="53"/>
              <w:rPr>
                <w:sz w:val="22"/>
                <w:szCs w:val="22"/>
              </w:rPr>
            </w:pPr>
            <w:r w:rsidRPr="007F67EE">
              <w:rPr>
                <w:sz w:val="22"/>
                <w:szCs w:val="22"/>
              </w:rPr>
              <w:t>8 til 12 år</w:t>
            </w:r>
          </w:p>
        </w:tc>
        <w:tc>
          <w:tcPr>
            <w:tcW w:w="3520" w:type="dxa"/>
          </w:tcPr>
          <w:p w14:paraId="46E80C79" w14:textId="77777777" w:rsidR="002F0483" w:rsidRPr="007F67EE" w:rsidRDefault="00E453CD" w:rsidP="002F0483">
            <w:pPr>
              <w:pStyle w:val="BodyTextIndent"/>
              <w:ind w:left="0" w:right="53"/>
              <w:rPr>
                <w:sz w:val="22"/>
                <w:szCs w:val="22"/>
              </w:rPr>
            </w:pPr>
            <w:r w:rsidRPr="007F67EE">
              <w:rPr>
                <w:sz w:val="22"/>
                <w:szCs w:val="22"/>
              </w:rPr>
              <w:t>71 (41,5)</w:t>
            </w:r>
          </w:p>
        </w:tc>
        <w:tc>
          <w:tcPr>
            <w:tcW w:w="3239" w:type="dxa"/>
          </w:tcPr>
          <w:p w14:paraId="4F3359BE" w14:textId="77777777" w:rsidR="002F0483" w:rsidRPr="00193D76" w:rsidRDefault="00E453CD" w:rsidP="002F0483">
            <w:pPr>
              <w:pStyle w:val="BodyTextIndent"/>
              <w:ind w:left="0" w:right="53"/>
              <w:rPr>
                <w:sz w:val="22"/>
                <w:szCs w:val="22"/>
              </w:rPr>
            </w:pPr>
            <w:r w:rsidRPr="00193D76">
              <w:rPr>
                <w:sz w:val="22"/>
                <w:szCs w:val="22"/>
              </w:rPr>
              <w:t>20, 25 og 40 mg</w:t>
            </w:r>
          </w:p>
        </w:tc>
      </w:tr>
      <w:tr w:rsidR="004644D4" w14:paraId="397400E5" w14:textId="77777777" w:rsidTr="002F0483">
        <w:trPr>
          <w:cantSplit/>
        </w:trPr>
        <w:tc>
          <w:tcPr>
            <w:tcW w:w="2418" w:type="dxa"/>
          </w:tcPr>
          <w:p w14:paraId="1D50D935" w14:textId="77777777" w:rsidR="002F0483" w:rsidRPr="007F67EE" w:rsidRDefault="00E453CD" w:rsidP="002F0483">
            <w:pPr>
              <w:pStyle w:val="BodyTextIndent"/>
              <w:ind w:left="0" w:right="53"/>
              <w:rPr>
                <w:sz w:val="22"/>
                <w:szCs w:val="22"/>
              </w:rPr>
            </w:pPr>
            <w:r w:rsidRPr="007F67EE">
              <w:rPr>
                <w:sz w:val="22"/>
                <w:szCs w:val="22"/>
              </w:rPr>
              <w:t>13 til 17 år</w:t>
            </w:r>
          </w:p>
        </w:tc>
        <w:tc>
          <w:tcPr>
            <w:tcW w:w="3520" w:type="dxa"/>
          </w:tcPr>
          <w:p w14:paraId="41A977DC" w14:textId="77777777" w:rsidR="002F0483" w:rsidRPr="007F67EE" w:rsidRDefault="00E453CD" w:rsidP="002F0483">
            <w:pPr>
              <w:pStyle w:val="BodyTextIndent"/>
              <w:ind w:left="0" w:right="53"/>
              <w:rPr>
                <w:sz w:val="22"/>
                <w:szCs w:val="22"/>
              </w:rPr>
            </w:pPr>
            <w:r w:rsidRPr="007F67EE">
              <w:rPr>
                <w:sz w:val="22"/>
                <w:szCs w:val="22"/>
              </w:rPr>
              <w:t>69 (40,4)</w:t>
            </w:r>
          </w:p>
        </w:tc>
        <w:tc>
          <w:tcPr>
            <w:tcW w:w="3239" w:type="dxa"/>
          </w:tcPr>
          <w:p w14:paraId="1D67FD7A" w14:textId="77777777" w:rsidR="002F0483" w:rsidRPr="00193D76" w:rsidRDefault="00E453CD" w:rsidP="002F0483">
            <w:pPr>
              <w:pStyle w:val="BodyTextIndent"/>
              <w:ind w:left="0" w:right="53"/>
              <w:rPr>
                <w:sz w:val="22"/>
                <w:szCs w:val="22"/>
              </w:rPr>
            </w:pPr>
            <w:r w:rsidRPr="00193D76">
              <w:rPr>
                <w:sz w:val="22"/>
                <w:szCs w:val="22"/>
              </w:rPr>
              <w:t>25, 40 og 40 mg</w:t>
            </w:r>
          </w:p>
        </w:tc>
      </w:tr>
    </w:tbl>
    <w:p w14:paraId="32532749" w14:textId="77777777" w:rsidR="002F0483" w:rsidRPr="002D0790" w:rsidRDefault="002F0483" w:rsidP="002F0483">
      <w:pPr>
        <w:tabs>
          <w:tab w:val="left" w:pos="6840"/>
        </w:tabs>
        <w:autoSpaceDE w:val="0"/>
        <w:autoSpaceDN w:val="0"/>
        <w:adjustRightInd w:val="0"/>
        <w:ind w:right="53"/>
        <w:rPr>
          <w:sz w:val="22"/>
          <w:szCs w:val="22"/>
        </w:rPr>
      </w:pPr>
    </w:p>
    <w:p w14:paraId="3B16EA0C" w14:textId="77777777" w:rsidR="002F0483" w:rsidRPr="009C5EFD" w:rsidRDefault="00E453CD" w:rsidP="002F0483">
      <w:pPr>
        <w:rPr>
          <w:sz w:val="22"/>
          <w:szCs w:val="22"/>
        </w:rPr>
      </w:pPr>
      <w:r w:rsidRPr="002D0790">
        <w:rPr>
          <w:sz w:val="22"/>
          <w:szCs w:val="22"/>
        </w:rPr>
        <w:t>Pasienter som viste en pediatrisk ACR 30-respons ved uke</w:t>
      </w:r>
      <w:r>
        <w:rPr>
          <w:sz w:val="22"/>
          <w:szCs w:val="22"/>
        </w:rPr>
        <w:t> </w:t>
      </w:r>
      <w:r w:rsidRPr="002D0790">
        <w:rPr>
          <w:sz w:val="22"/>
          <w:szCs w:val="22"/>
        </w:rPr>
        <w:t>16 kunne randomiseres til den dobbel</w:t>
      </w:r>
      <w:r w:rsidRPr="00E14E58">
        <w:rPr>
          <w:sz w:val="22"/>
          <w:szCs w:val="22"/>
        </w:rPr>
        <w:t>t</w:t>
      </w:r>
      <w:r w:rsidRPr="009C5EFD">
        <w:rPr>
          <w:sz w:val="22"/>
          <w:szCs w:val="22"/>
        </w:rPr>
        <w:t>blinde fasen og fikk enten Humira 24</w:t>
      </w:r>
      <w:r>
        <w:rPr>
          <w:sz w:val="22"/>
          <w:szCs w:val="22"/>
        </w:rPr>
        <w:t> </w:t>
      </w:r>
      <w:r w:rsidRPr="009C5EFD">
        <w:rPr>
          <w:sz w:val="22"/>
          <w:szCs w:val="22"/>
        </w:rPr>
        <w:t>mg/m</w:t>
      </w:r>
      <w:r w:rsidRPr="009C5EFD">
        <w:rPr>
          <w:sz w:val="22"/>
          <w:szCs w:val="22"/>
          <w:vertAlign w:val="superscript"/>
        </w:rPr>
        <w:t>2</w:t>
      </w:r>
      <w:r w:rsidRPr="009C5EFD">
        <w:rPr>
          <w:sz w:val="22"/>
          <w:szCs w:val="22"/>
        </w:rPr>
        <w:t xml:space="preserve"> opptil maksimum 40</w:t>
      </w:r>
      <w:r>
        <w:rPr>
          <w:sz w:val="22"/>
          <w:szCs w:val="22"/>
        </w:rPr>
        <w:t> </w:t>
      </w:r>
      <w:r w:rsidRPr="009C5EFD">
        <w:rPr>
          <w:sz w:val="22"/>
          <w:szCs w:val="22"/>
        </w:rPr>
        <w:t>mg eller placebo annenhver uke i ytterligere 32</w:t>
      </w:r>
      <w:r>
        <w:rPr>
          <w:sz w:val="22"/>
          <w:szCs w:val="22"/>
        </w:rPr>
        <w:t> </w:t>
      </w:r>
      <w:r w:rsidRPr="009C5EFD">
        <w:rPr>
          <w:sz w:val="22"/>
          <w:szCs w:val="22"/>
        </w:rPr>
        <w:t xml:space="preserve">uker eller inntil sykdommen blusset opp. Kriterier for </w:t>
      </w:r>
      <w:r w:rsidRPr="009C5EFD">
        <w:rPr>
          <w:sz w:val="22"/>
        </w:rPr>
        <w:t>sykdomsoppbluss</w:t>
      </w:r>
      <w:r w:rsidRPr="009C5EFD">
        <w:rPr>
          <w:sz w:val="22"/>
          <w:szCs w:val="22"/>
        </w:rPr>
        <w:t xml:space="preserve"> var definert som en forverring av ≥</w:t>
      </w:r>
      <w:r>
        <w:rPr>
          <w:sz w:val="22"/>
          <w:szCs w:val="22"/>
        </w:rPr>
        <w:t> </w:t>
      </w:r>
      <w:r w:rsidRPr="009C5EFD">
        <w:rPr>
          <w:sz w:val="22"/>
          <w:szCs w:val="22"/>
        </w:rPr>
        <w:t>30</w:t>
      </w:r>
      <w:r>
        <w:rPr>
          <w:sz w:val="22"/>
          <w:szCs w:val="22"/>
        </w:rPr>
        <w:t> </w:t>
      </w:r>
      <w:r w:rsidRPr="009C5EFD">
        <w:rPr>
          <w:sz w:val="22"/>
          <w:szCs w:val="22"/>
        </w:rPr>
        <w:t>% siden behandlingsstart i ≥</w:t>
      </w:r>
      <w:r>
        <w:rPr>
          <w:sz w:val="22"/>
          <w:szCs w:val="22"/>
        </w:rPr>
        <w:t> </w:t>
      </w:r>
      <w:r w:rsidRPr="009C5EFD">
        <w:rPr>
          <w:sz w:val="22"/>
          <w:szCs w:val="22"/>
        </w:rPr>
        <w:t>3 av 6</w:t>
      </w:r>
      <w:r>
        <w:rPr>
          <w:sz w:val="22"/>
          <w:szCs w:val="22"/>
        </w:rPr>
        <w:t> </w:t>
      </w:r>
      <w:r w:rsidRPr="009C5EFD">
        <w:rPr>
          <w:sz w:val="22"/>
          <w:szCs w:val="22"/>
        </w:rPr>
        <w:t>pediatrisk ACR kjernekriterier, ≥</w:t>
      </w:r>
      <w:r>
        <w:rPr>
          <w:sz w:val="22"/>
          <w:szCs w:val="22"/>
        </w:rPr>
        <w:t> </w:t>
      </w:r>
      <w:r w:rsidRPr="009C5EFD">
        <w:rPr>
          <w:sz w:val="22"/>
          <w:szCs w:val="22"/>
        </w:rPr>
        <w:t>2</w:t>
      </w:r>
      <w:r>
        <w:rPr>
          <w:sz w:val="22"/>
          <w:szCs w:val="22"/>
        </w:rPr>
        <w:t> </w:t>
      </w:r>
      <w:r w:rsidRPr="009C5EFD">
        <w:rPr>
          <w:sz w:val="22"/>
          <w:szCs w:val="22"/>
        </w:rPr>
        <w:t>aktive ledd og forbedring av &gt;</w:t>
      </w:r>
      <w:r>
        <w:rPr>
          <w:sz w:val="22"/>
          <w:szCs w:val="22"/>
        </w:rPr>
        <w:t> </w:t>
      </w:r>
      <w:r w:rsidRPr="009C5EFD">
        <w:rPr>
          <w:sz w:val="22"/>
          <w:szCs w:val="22"/>
        </w:rPr>
        <w:t>30</w:t>
      </w:r>
      <w:r>
        <w:rPr>
          <w:sz w:val="22"/>
          <w:szCs w:val="22"/>
        </w:rPr>
        <w:t> </w:t>
      </w:r>
      <w:r w:rsidRPr="009C5EFD">
        <w:rPr>
          <w:sz w:val="22"/>
          <w:szCs w:val="22"/>
        </w:rPr>
        <w:t>% i ikke flere enn 1 av 6</w:t>
      </w:r>
      <w:r>
        <w:rPr>
          <w:sz w:val="22"/>
          <w:szCs w:val="22"/>
        </w:rPr>
        <w:t> </w:t>
      </w:r>
      <w:r w:rsidRPr="009C5EFD">
        <w:rPr>
          <w:sz w:val="22"/>
          <w:szCs w:val="22"/>
        </w:rPr>
        <w:t>kriterier. Etter 32</w:t>
      </w:r>
      <w:r>
        <w:rPr>
          <w:sz w:val="22"/>
          <w:szCs w:val="22"/>
        </w:rPr>
        <w:t> </w:t>
      </w:r>
      <w:r w:rsidRPr="009C5EFD">
        <w:rPr>
          <w:sz w:val="22"/>
          <w:szCs w:val="22"/>
        </w:rPr>
        <w:t xml:space="preserve">uker eller ved </w:t>
      </w:r>
      <w:r w:rsidRPr="009C5EFD">
        <w:rPr>
          <w:sz w:val="22"/>
        </w:rPr>
        <w:t>sykdomsoppbluss</w:t>
      </w:r>
      <w:r w:rsidRPr="009C5EFD">
        <w:rPr>
          <w:sz w:val="22"/>
          <w:szCs w:val="22"/>
        </w:rPr>
        <w:t xml:space="preserve"> kunne pasientene inkluderes i den åpne forlengelsesfasen (open-label extension phase, OLE).</w:t>
      </w:r>
    </w:p>
    <w:p w14:paraId="791D8F9E" w14:textId="77777777" w:rsidR="002F0483" w:rsidRPr="009C5EFD" w:rsidRDefault="002F0483" w:rsidP="002F0483">
      <w:pPr>
        <w:pStyle w:val="BodyTextIndent"/>
        <w:ind w:left="0" w:right="53"/>
        <w:jc w:val="center"/>
        <w:rPr>
          <w:b/>
          <w:sz w:val="22"/>
          <w:szCs w:val="22"/>
        </w:rPr>
      </w:pPr>
    </w:p>
    <w:p w14:paraId="7E1BA89D" w14:textId="77777777" w:rsidR="002F0483" w:rsidRPr="009C5EFD" w:rsidRDefault="00E453CD" w:rsidP="002F0483">
      <w:pPr>
        <w:pStyle w:val="BodyTextIndent"/>
        <w:keepNext/>
        <w:ind w:left="0" w:right="51"/>
        <w:jc w:val="center"/>
        <w:rPr>
          <w:b/>
          <w:sz w:val="22"/>
          <w:szCs w:val="22"/>
        </w:rPr>
      </w:pPr>
      <w:r w:rsidRPr="009C5EFD">
        <w:rPr>
          <w:b/>
          <w:sz w:val="22"/>
          <w:szCs w:val="22"/>
        </w:rPr>
        <w:t xml:space="preserve">Tabell </w:t>
      </w:r>
      <w:r>
        <w:rPr>
          <w:b/>
          <w:sz w:val="22"/>
          <w:szCs w:val="22"/>
        </w:rPr>
        <w:t>18</w:t>
      </w:r>
      <w:r w:rsidRPr="009C5EFD">
        <w:rPr>
          <w:b/>
          <w:sz w:val="22"/>
          <w:szCs w:val="22"/>
        </w:rPr>
        <w:t xml:space="preserve"> </w:t>
      </w:r>
    </w:p>
    <w:p w14:paraId="062097EF" w14:textId="77777777" w:rsidR="002F0483" w:rsidRPr="009C5EFD" w:rsidRDefault="00E453CD" w:rsidP="002F0483">
      <w:pPr>
        <w:pStyle w:val="BodyTextIndent"/>
        <w:keepNext/>
        <w:ind w:left="0" w:right="51"/>
        <w:jc w:val="center"/>
        <w:rPr>
          <w:sz w:val="22"/>
          <w:szCs w:val="22"/>
        </w:rPr>
      </w:pPr>
      <w:r w:rsidRPr="009C5EFD">
        <w:rPr>
          <w:b/>
          <w:sz w:val="22"/>
          <w:szCs w:val="22"/>
        </w:rPr>
        <w:t>Pediatrisk ACR 30-respons i JIA-studie</w:t>
      </w:r>
      <w:r w:rsidRPr="009C5EFD">
        <w:rPr>
          <w:b/>
          <w:bCs/>
          <w:sz w:val="22"/>
          <w:szCs w:val="22"/>
        </w:rPr>
        <w:t>n</w:t>
      </w:r>
    </w:p>
    <w:p w14:paraId="2B7159E8" w14:textId="77777777" w:rsidR="002F0483" w:rsidRPr="009C5EFD" w:rsidRDefault="002F0483" w:rsidP="002F0483">
      <w:pPr>
        <w:pStyle w:val="BodyTextIndent"/>
        <w:keepNext/>
        <w:ind w:left="0" w:right="51"/>
        <w:rPr>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9"/>
        <w:gridCol w:w="1730"/>
        <w:gridCol w:w="1733"/>
        <w:gridCol w:w="1572"/>
        <w:gridCol w:w="1521"/>
      </w:tblGrid>
      <w:tr w:rsidR="004644D4" w14:paraId="201E84FF" w14:textId="77777777" w:rsidTr="002F0483">
        <w:trPr>
          <w:cantSplit/>
        </w:trPr>
        <w:tc>
          <w:tcPr>
            <w:tcW w:w="2418" w:type="dxa"/>
          </w:tcPr>
          <w:p w14:paraId="3692E7F5" w14:textId="77777777" w:rsidR="002F0483" w:rsidRPr="0015674E" w:rsidRDefault="00E453CD" w:rsidP="002F0483">
            <w:pPr>
              <w:pStyle w:val="BodyTextIndent"/>
              <w:keepNext/>
              <w:ind w:left="0" w:right="51"/>
              <w:rPr>
                <w:b/>
                <w:bCs/>
                <w:sz w:val="22"/>
                <w:szCs w:val="22"/>
              </w:rPr>
            </w:pPr>
            <w:r w:rsidRPr="0015674E">
              <w:rPr>
                <w:b/>
                <w:bCs/>
                <w:sz w:val="22"/>
                <w:szCs w:val="22"/>
              </w:rPr>
              <w:t>Gruppe</w:t>
            </w:r>
          </w:p>
        </w:tc>
        <w:tc>
          <w:tcPr>
            <w:tcW w:w="3520" w:type="dxa"/>
            <w:gridSpan w:val="2"/>
          </w:tcPr>
          <w:p w14:paraId="3CD97134" w14:textId="77777777" w:rsidR="002F0483" w:rsidRPr="0015674E" w:rsidRDefault="00E453CD" w:rsidP="002F0483">
            <w:pPr>
              <w:pStyle w:val="BodyTextIndent"/>
              <w:keepNext/>
              <w:ind w:left="0" w:right="51"/>
              <w:jc w:val="center"/>
              <w:rPr>
                <w:b/>
                <w:bCs/>
                <w:sz w:val="22"/>
                <w:szCs w:val="22"/>
              </w:rPr>
            </w:pPr>
            <w:r w:rsidRPr="0015674E">
              <w:rPr>
                <w:b/>
                <w:bCs/>
                <w:sz w:val="22"/>
                <w:szCs w:val="22"/>
              </w:rPr>
              <w:t>Metotreksat</w:t>
            </w:r>
          </w:p>
        </w:tc>
        <w:tc>
          <w:tcPr>
            <w:tcW w:w="3239" w:type="dxa"/>
            <w:gridSpan w:val="2"/>
          </w:tcPr>
          <w:p w14:paraId="7CD8B180" w14:textId="77777777" w:rsidR="002F0483" w:rsidRPr="0015674E" w:rsidRDefault="00E453CD" w:rsidP="002F0483">
            <w:pPr>
              <w:pStyle w:val="BodyTextIndent"/>
              <w:keepNext/>
              <w:ind w:left="0" w:right="51"/>
              <w:jc w:val="center"/>
              <w:rPr>
                <w:b/>
                <w:bCs/>
                <w:sz w:val="22"/>
                <w:szCs w:val="22"/>
              </w:rPr>
            </w:pPr>
            <w:r w:rsidRPr="0015674E">
              <w:rPr>
                <w:b/>
                <w:bCs/>
                <w:sz w:val="22"/>
                <w:szCs w:val="22"/>
              </w:rPr>
              <w:t>Uten metotreksat</w:t>
            </w:r>
          </w:p>
        </w:tc>
      </w:tr>
      <w:tr w:rsidR="004644D4" w14:paraId="06B15A9D" w14:textId="77777777" w:rsidTr="002F0483">
        <w:trPr>
          <w:cantSplit/>
        </w:trPr>
        <w:tc>
          <w:tcPr>
            <w:tcW w:w="2418" w:type="dxa"/>
          </w:tcPr>
          <w:p w14:paraId="4DE0EA1A" w14:textId="77777777" w:rsidR="002F0483" w:rsidRPr="0015674E" w:rsidRDefault="00E453CD" w:rsidP="002F0483">
            <w:pPr>
              <w:pStyle w:val="BodyTextIndent"/>
              <w:ind w:left="0" w:right="53"/>
              <w:rPr>
                <w:b/>
                <w:bCs/>
                <w:sz w:val="22"/>
                <w:szCs w:val="22"/>
              </w:rPr>
            </w:pPr>
            <w:r w:rsidRPr="0015674E">
              <w:rPr>
                <w:b/>
                <w:bCs/>
                <w:sz w:val="22"/>
                <w:szCs w:val="22"/>
              </w:rPr>
              <w:t>Fase</w:t>
            </w:r>
          </w:p>
        </w:tc>
        <w:tc>
          <w:tcPr>
            <w:tcW w:w="3520" w:type="dxa"/>
            <w:gridSpan w:val="2"/>
          </w:tcPr>
          <w:p w14:paraId="4881BB84" w14:textId="77777777" w:rsidR="002F0483" w:rsidRPr="00A15CB1" w:rsidRDefault="002F0483" w:rsidP="002F0483">
            <w:pPr>
              <w:pStyle w:val="BodyTextIndent"/>
              <w:ind w:left="0" w:right="53"/>
              <w:jc w:val="center"/>
              <w:rPr>
                <w:b/>
                <w:sz w:val="22"/>
                <w:szCs w:val="22"/>
              </w:rPr>
            </w:pPr>
          </w:p>
        </w:tc>
        <w:tc>
          <w:tcPr>
            <w:tcW w:w="3239" w:type="dxa"/>
            <w:gridSpan w:val="2"/>
          </w:tcPr>
          <w:p w14:paraId="34038927" w14:textId="77777777" w:rsidR="002F0483" w:rsidRPr="00A15CB1" w:rsidRDefault="002F0483" w:rsidP="002F0483">
            <w:pPr>
              <w:pStyle w:val="BodyTextIndent"/>
              <w:ind w:left="0" w:right="53"/>
              <w:jc w:val="center"/>
              <w:rPr>
                <w:b/>
                <w:sz w:val="22"/>
                <w:szCs w:val="22"/>
              </w:rPr>
            </w:pPr>
          </w:p>
        </w:tc>
      </w:tr>
      <w:tr w:rsidR="004644D4" w14:paraId="3F396C7B" w14:textId="77777777" w:rsidTr="002F0483">
        <w:trPr>
          <w:cantSplit/>
        </w:trPr>
        <w:tc>
          <w:tcPr>
            <w:tcW w:w="2418" w:type="dxa"/>
          </w:tcPr>
          <w:p w14:paraId="5CEDEA69" w14:textId="77777777" w:rsidR="002F0483" w:rsidRPr="007F67EE" w:rsidRDefault="00E453CD" w:rsidP="002F0483">
            <w:pPr>
              <w:pStyle w:val="BodyTextIndent"/>
              <w:ind w:left="0" w:right="53"/>
              <w:rPr>
                <w:sz w:val="22"/>
                <w:szCs w:val="22"/>
              </w:rPr>
            </w:pPr>
            <w:r w:rsidRPr="007F67EE">
              <w:rPr>
                <w:sz w:val="22"/>
                <w:szCs w:val="22"/>
              </w:rPr>
              <w:t>OL-LI 16 uke</w:t>
            </w:r>
            <w:r>
              <w:rPr>
                <w:sz w:val="22"/>
                <w:szCs w:val="22"/>
              </w:rPr>
              <w:t>r</w:t>
            </w:r>
          </w:p>
        </w:tc>
        <w:tc>
          <w:tcPr>
            <w:tcW w:w="3520" w:type="dxa"/>
            <w:gridSpan w:val="2"/>
          </w:tcPr>
          <w:p w14:paraId="2E46B2E2" w14:textId="77777777" w:rsidR="002F0483" w:rsidRPr="007F67EE" w:rsidRDefault="002F0483" w:rsidP="002F0483">
            <w:pPr>
              <w:pStyle w:val="BodyTextIndent"/>
              <w:ind w:left="0" w:right="53"/>
              <w:jc w:val="center"/>
              <w:rPr>
                <w:sz w:val="22"/>
                <w:szCs w:val="22"/>
              </w:rPr>
            </w:pPr>
          </w:p>
        </w:tc>
        <w:tc>
          <w:tcPr>
            <w:tcW w:w="3239" w:type="dxa"/>
            <w:gridSpan w:val="2"/>
          </w:tcPr>
          <w:p w14:paraId="694961CA" w14:textId="77777777" w:rsidR="002F0483" w:rsidRPr="00193D76" w:rsidRDefault="002F0483" w:rsidP="002F0483">
            <w:pPr>
              <w:pStyle w:val="BodyTextIndent"/>
              <w:ind w:left="0" w:right="53"/>
              <w:jc w:val="center"/>
              <w:rPr>
                <w:sz w:val="22"/>
                <w:szCs w:val="22"/>
              </w:rPr>
            </w:pPr>
          </w:p>
        </w:tc>
      </w:tr>
      <w:tr w:rsidR="004644D4" w14:paraId="6C3A174D" w14:textId="77777777" w:rsidTr="002F0483">
        <w:trPr>
          <w:cantSplit/>
        </w:trPr>
        <w:tc>
          <w:tcPr>
            <w:tcW w:w="2418" w:type="dxa"/>
          </w:tcPr>
          <w:p w14:paraId="19038C51" w14:textId="77777777" w:rsidR="002F0483" w:rsidRPr="00193D76" w:rsidRDefault="00E453CD" w:rsidP="002F0483">
            <w:pPr>
              <w:pStyle w:val="BodyTextIndent"/>
              <w:ind w:left="0" w:right="53"/>
              <w:rPr>
                <w:sz w:val="22"/>
                <w:szCs w:val="22"/>
              </w:rPr>
            </w:pPr>
            <w:r w:rsidRPr="007F67EE">
              <w:rPr>
                <w:sz w:val="22"/>
                <w:szCs w:val="22"/>
              </w:rPr>
              <w:t xml:space="preserve">Pediatrisk ACR </w:t>
            </w:r>
            <w:r>
              <w:rPr>
                <w:sz w:val="22"/>
                <w:szCs w:val="22"/>
              </w:rPr>
              <w:t>30-respons</w:t>
            </w:r>
            <w:r w:rsidRPr="00193D76">
              <w:rPr>
                <w:sz w:val="22"/>
                <w:szCs w:val="22"/>
              </w:rPr>
              <w:t xml:space="preserve"> (n/N)</w:t>
            </w:r>
          </w:p>
        </w:tc>
        <w:tc>
          <w:tcPr>
            <w:tcW w:w="3520" w:type="dxa"/>
            <w:gridSpan w:val="2"/>
          </w:tcPr>
          <w:p w14:paraId="382ACCE7" w14:textId="77777777" w:rsidR="002F0483" w:rsidRPr="002D0790" w:rsidRDefault="00E453CD" w:rsidP="002F0483">
            <w:pPr>
              <w:pStyle w:val="BodyTextIndent"/>
              <w:ind w:left="0" w:right="53"/>
              <w:jc w:val="center"/>
              <w:rPr>
                <w:sz w:val="22"/>
                <w:szCs w:val="22"/>
              </w:rPr>
            </w:pPr>
            <w:r w:rsidRPr="002D0790">
              <w:rPr>
                <w:sz w:val="22"/>
                <w:szCs w:val="22"/>
              </w:rPr>
              <w:t>94,1 % (80/85)</w:t>
            </w:r>
          </w:p>
        </w:tc>
        <w:tc>
          <w:tcPr>
            <w:tcW w:w="3239" w:type="dxa"/>
            <w:gridSpan w:val="2"/>
          </w:tcPr>
          <w:p w14:paraId="5D038CB6" w14:textId="77777777" w:rsidR="002F0483" w:rsidRPr="002D0790" w:rsidRDefault="00E453CD" w:rsidP="002F0483">
            <w:pPr>
              <w:pStyle w:val="BodyTextIndent"/>
              <w:ind w:left="0" w:right="53"/>
              <w:jc w:val="center"/>
              <w:rPr>
                <w:sz w:val="22"/>
                <w:szCs w:val="22"/>
              </w:rPr>
            </w:pPr>
            <w:r w:rsidRPr="002D0790">
              <w:rPr>
                <w:sz w:val="22"/>
                <w:szCs w:val="22"/>
              </w:rPr>
              <w:t>74,4 % (64/86)</w:t>
            </w:r>
          </w:p>
        </w:tc>
      </w:tr>
      <w:tr w:rsidR="004644D4" w14:paraId="1D8F3B68" w14:textId="77777777" w:rsidTr="002F0483">
        <w:trPr>
          <w:cantSplit/>
        </w:trPr>
        <w:tc>
          <w:tcPr>
            <w:tcW w:w="9177" w:type="dxa"/>
            <w:gridSpan w:val="5"/>
          </w:tcPr>
          <w:p w14:paraId="0B9CE87A" w14:textId="77777777" w:rsidR="002F0483" w:rsidRPr="007F67EE" w:rsidRDefault="00E453CD" w:rsidP="002F0483">
            <w:pPr>
              <w:pStyle w:val="BodyTextIndent"/>
              <w:ind w:left="0" w:right="53"/>
              <w:rPr>
                <w:sz w:val="22"/>
                <w:szCs w:val="22"/>
              </w:rPr>
            </w:pPr>
            <w:r w:rsidRPr="007F67EE">
              <w:rPr>
                <w:sz w:val="22"/>
                <w:szCs w:val="22"/>
              </w:rPr>
              <w:t xml:space="preserve">                                                   Effektresultater</w:t>
            </w:r>
          </w:p>
        </w:tc>
      </w:tr>
      <w:tr w:rsidR="004644D4" w14:paraId="4EAFF61D" w14:textId="77777777" w:rsidTr="002F0483">
        <w:tc>
          <w:tcPr>
            <w:tcW w:w="2418" w:type="dxa"/>
          </w:tcPr>
          <w:p w14:paraId="1AE6C945" w14:textId="77777777" w:rsidR="002F0483" w:rsidRPr="00193D76" w:rsidRDefault="00E453CD" w:rsidP="002F0483">
            <w:pPr>
              <w:pStyle w:val="BodyTextIndent"/>
              <w:ind w:left="0" w:right="53"/>
              <w:rPr>
                <w:sz w:val="22"/>
                <w:szCs w:val="22"/>
              </w:rPr>
            </w:pPr>
            <w:r w:rsidRPr="007F67EE">
              <w:rPr>
                <w:sz w:val="22"/>
                <w:szCs w:val="22"/>
              </w:rPr>
              <w:t>Dobbeltblind 32 uker</w:t>
            </w:r>
          </w:p>
        </w:tc>
        <w:tc>
          <w:tcPr>
            <w:tcW w:w="1760" w:type="dxa"/>
          </w:tcPr>
          <w:p w14:paraId="22C4104B" w14:textId="77777777" w:rsidR="002F0483" w:rsidRPr="00E14E58" w:rsidRDefault="00E453CD" w:rsidP="002F0483">
            <w:pPr>
              <w:pStyle w:val="BodyTextIndent"/>
              <w:ind w:left="0" w:right="53"/>
              <w:rPr>
                <w:sz w:val="22"/>
                <w:szCs w:val="22"/>
              </w:rPr>
            </w:pPr>
            <w:r w:rsidRPr="002D0790">
              <w:rPr>
                <w:sz w:val="22"/>
                <w:szCs w:val="22"/>
              </w:rPr>
              <w:t>Humira/MTX</w:t>
            </w:r>
            <w:r w:rsidRPr="00E14E58">
              <w:rPr>
                <w:sz w:val="22"/>
                <w:szCs w:val="22"/>
              </w:rPr>
              <w:t xml:space="preserve"> </w:t>
            </w:r>
          </w:p>
          <w:p w14:paraId="56B1D7E0" w14:textId="77777777" w:rsidR="002F0483" w:rsidRPr="009C5EFD" w:rsidRDefault="00E453CD" w:rsidP="002F0483">
            <w:pPr>
              <w:pStyle w:val="BodyTextIndent"/>
              <w:ind w:left="0" w:right="53"/>
              <w:rPr>
                <w:sz w:val="22"/>
                <w:szCs w:val="22"/>
              </w:rPr>
            </w:pPr>
            <w:r w:rsidRPr="009C5EFD">
              <w:rPr>
                <w:sz w:val="22"/>
                <w:szCs w:val="22"/>
              </w:rPr>
              <w:t>(n = 38)</w:t>
            </w:r>
          </w:p>
          <w:p w14:paraId="7FB382EA" w14:textId="77777777" w:rsidR="002F0483" w:rsidRPr="009C5EFD" w:rsidRDefault="002F0483" w:rsidP="002F0483">
            <w:pPr>
              <w:pStyle w:val="BodyTextIndent"/>
              <w:ind w:left="0" w:right="53"/>
              <w:rPr>
                <w:sz w:val="22"/>
                <w:szCs w:val="22"/>
              </w:rPr>
            </w:pPr>
          </w:p>
        </w:tc>
        <w:tc>
          <w:tcPr>
            <w:tcW w:w="1760" w:type="dxa"/>
          </w:tcPr>
          <w:p w14:paraId="24B24358" w14:textId="77777777" w:rsidR="002F0483" w:rsidRPr="009C5EFD" w:rsidRDefault="00E453CD" w:rsidP="002F0483">
            <w:pPr>
              <w:pStyle w:val="BodyTextIndent"/>
              <w:ind w:left="0" w:right="53"/>
              <w:rPr>
                <w:sz w:val="22"/>
                <w:szCs w:val="22"/>
              </w:rPr>
            </w:pPr>
            <w:r w:rsidRPr="009C5EFD">
              <w:rPr>
                <w:sz w:val="22"/>
                <w:szCs w:val="22"/>
              </w:rPr>
              <w:t>Placebo/MTX</w:t>
            </w:r>
          </w:p>
          <w:p w14:paraId="65CE5604" w14:textId="77777777" w:rsidR="002F0483" w:rsidRPr="009C5EFD" w:rsidRDefault="00E453CD" w:rsidP="002F0483">
            <w:pPr>
              <w:pStyle w:val="BodyTextIndent"/>
              <w:ind w:left="0" w:right="53"/>
              <w:rPr>
                <w:sz w:val="22"/>
                <w:szCs w:val="22"/>
              </w:rPr>
            </w:pPr>
            <w:r w:rsidRPr="009C5EFD">
              <w:rPr>
                <w:sz w:val="22"/>
                <w:szCs w:val="22"/>
              </w:rPr>
              <w:t>(n = 37)</w:t>
            </w:r>
          </w:p>
        </w:tc>
        <w:tc>
          <w:tcPr>
            <w:tcW w:w="1650" w:type="dxa"/>
          </w:tcPr>
          <w:p w14:paraId="37C6C97F" w14:textId="77777777" w:rsidR="002F0483" w:rsidRPr="009C5EFD" w:rsidRDefault="00E453CD" w:rsidP="002F0483">
            <w:pPr>
              <w:pStyle w:val="BodyTextIndent"/>
              <w:ind w:left="0" w:right="53"/>
              <w:rPr>
                <w:sz w:val="22"/>
                <w:szCs w:val="22"/>
              </w:rPr>
            </w:pPr>
            <w:r w:rsidRPr="009C5EFD">
              <w:rPr>
                <w:sz w:val="22"/>
                <w:szCs w:val="22"/>
              </w:rPr>
              <w:t xml:space="preserve">Humira </w:t>
            </w:r>
          </w:p>
          <w:p w14:paraId="602CD225" w14:textId="77777777" w:rsidR="002F0483" w:rsidRPr="009C5EFD" w:rsidRDefault="00E453CD" w:rsidP="002F0483">
            <w:pPr>
              <w:pStyle w:val="BodyTextIndent"/>
              <w:ind w:left="0" w:right="53"/>
              <w:rPr>
                <w:sz w:val="22"/>
                <w:szCs w:val="22"/>
              </w:rPr>
            </w:pPr>
            <w:r w:rsidRPr="009C5EFD">
              <w:rPr>
                <w:sz w:val="22"/>
                <w:szCs w:val="22"/>
              </w:rPr>
              <w:t>(n = 30)</w:t>
            </w:r>
          </w:p>
        </w:tc>
        <w:tc>
          <w:tcPr>
            <w:tcW w:w="1589" w:type="dxa"/>
          </w:tcPr>
          <w:p w14:paraId="3286BA72" w14:textId="77777777" w:rsidR="002F0483" w:rsidRPr="009C5EFD" w:rsidRDefault="00E453CD" w:rsidP="002F0483">
            <w:pPr>
              <w:pStyle w:val="BodyTextIndent"/>
              <w:ind w:left="0" w:right="53"/>
              <w:rPr>
                <w:sz w:val="22"/>
                <w:szCs w:val="22"/>
              </w:rPr>
            </w:pPr>
            <w:r w:rsidRPr="009C5EFD">
              <w:rPr>
                <w:sz w:val="22"/>
                <w:szCs w:val="22"/>
              </w:rPr>
              <w:t>Placebo</w:t>
            </w:r>
          </w:p>
          <w:p w14:paraId="75AB7B8E" w14:textId="77777777" w:rsidR="002F0483" w:rsidRPr="009C5EFD" w:rsidRDefault="00E453CD" w:rsidP="002F0483">
            <w:pPr>
              <w:pStyle w:val="BodyTextIndent"/>
              <w:ind w:left="0" w:right="53"/>
              <w:rPr>
                <w:sz w:val="22"/>
                <w:szCs w:val="22"/>
              </w:rPr>
            </w:pPr>
            <w:r w:rsidRPr="009C5EFD">
              <w:rPr>
                <w:sz w:val="22"/>
                <w:szCs w:val="22"/>
              </w:rPr>
              <w:t>(n = 28)</w:t>
            </w:r>
          </w:p>
        </w:tc>
      </w:tr>
      <w:tr w:rsidR="004644D4" w14:paraId="3F8A0665" w14:textId="77777777" w:rsidTr="002F0483">
        <w:tc>
          <w:tcPr>
            <w:tcW w:w="2418" w:type="dxa"/>
          </w:tcPr>
          <w:p w14:paraId="4F81965E" w14:textId="77777777" w:rsidR="002F0483" w:rsidRPr="00E14E58" w:rsidRDefault="00E453CD" w:rsidP="002F0483">
            <w:pPr>
              <w:pStyle w:val="BodyTextIndent"/>
              <w:ind w:left="0" w:right="53"/>
              <w:rPr>
                <w:sz w:val="22"/>
                <w:szCs w:val="22"/>
              </w:rPr>
            </w:pPr>
            <w:r w:rsidRPr="007F67EE">
              <w:rPr>
                <w:sz w:val="22"/>
                <w:szCs w:val="22"/>
              </w:rPr>
              <w:t>Sykdomsoppblussing ved slutten av 32 uker</w:t>
            </w:r>
            <w:r w:rsidRPr="00193D76">
              <w:rPr>
                <w:sz w:val="22"/>
                <w:szCs w:val="22"/>
                <w:vertAlign w:val="superscript"/>
              </w:rPr>
              <w:t>a</w:t>
            </w:r>
            <w:r w:rsidRPr="00E14E58">
              <w:rPr>
                <w:sz w:val="22"/>
                <w:szCs w:val="22"/>
              </w:rPr>
              <w:t xml:space="preserve"> (n/N)</w:t>
            </w:r>
          </w:p>
        </w:tc>
        <w:tc>
          <w:tcPr>
            <w:tcW w:w="1760" w:type="dxa"/>
          </w:tcPr>
          <w:p w14:paraId="39727A34" w14:textId="77777777" w:rsidR="002F0483" w:rsidRPr="009C5EFD" w:rsidRDefault="00E453CD" w:rsidP="002F0483">
            <w:pPr>
              <w:pStyle w:val="BodyTextIndent"/>
              <w:ind w:left="0" w:right="53"/>
              <w:rPr>
                <w:sz w:val="22"/>
                <w:szCs w:val="22"/>
              </w:rPr>
            </w:pPr>
            <w:r w:rsidRPr="009C5EFD">
              <w:rPr>
                <w:sz w:val="22"/>
                <w:szCs w:val="22"/>
              </w:rPr>
              <w:t>36,8 % (14/38)</w:t>
            </w:r>
          </w:p>
        </w:tc>
        <w:tc>
          <w:tcPr>
            <w:tcW w:w="1760" w:type="dxa"/>
          </w:tcPr>
          <w:p w14:paraId="77C6DF80" w14:textId="77777777" w:rsidR="002F0483" w:rsidRPr="009C5EFD" w:rsidRDefault="00E453CD" w:rsidP="002F0483">
            <w:pPr>
              <w:pStyle w:val="BodyTextIndent"/>
              <w:ind w:left="0" w:right="53"/>
              <w:rPr>
                <w:sz w:val="22"/>
                <w:szCs w:val="22"/>
              </w:rPr>
            </w:pPr>
            <w:r w:rsidRPr="009C5EFD">
              <w:rPr>
                <w:sz w:val="22"/>
                <w:szCs w:val="22"/>
              </w:rPr>
              <w:t>64,9 % (24/37)</w:t>
            </w:r>
            <w:r w:rsidRPr="009C5EFD">
              <w:rPr>
                <w:sz w:val="22"/>
                <w:szCs w:val="22"/>
                <w:vertAlign w:val="superscript"/>
              </w:rPr>
              <w:t>b</w:t>
            </w:r>
          </w:p>
        </w:tc>
        <w:tc>
          <w:tcPr>
            <w:tcW w:w="1650" w:type="dxa"/>
          </w:tcPr>
          <w:p w14:paraId="23791DB3" w14:textId="77777777" w:rsidR="002F0483" w:rsidRPr="009C5EFD" w:rsidRDefault="00E453CD" w:rsidP="002F0483">
            <w:pPr>
              <w:pStyle w:val="BodyTextIndent"/>
              <w:ind w:left="0" w:right="53"/>
              <w:rPr>
                <w:sz w:val="22"/>
                <w:szCs w:val="22"/>
              </w:rPr>
            </w:pPr>
            <w:r w:rsidRPr="009C5EFD">
              <w:rPr>
                <w:sz w:val="22"/>
                <w:szCs w:val="22"/>
              </w:rPr>
              <w:t>43,3 % (13/30)</w:t>
            </w:r>
          </w:p>
        </w:tc>
        <w:tc>
          <w:tcPr>
            <w:tcW w:w="1589" w:type="dxa"/>
          </w:tcPr>
          <w:p w14:paraId="78751A97" w14:textId="77777777" w:rsidR="002F0483" w:rsidRPr="009C5EFD" w:rsidRDefault="00E453CD" w:rsidP="002F0483">
            <w:pPr>
              <w:pStyle w:val="BodyTextIndent"/>
              <w:ind w:left="0" w:right="53"/>
              <w:rPr>
                <w:sz w:val="22"/>
                <w:szCs w:val="22"/>
              </w:rPr>
            </w:pPr>
            <w:r w:rsidRPr="009C5EFD">
              <w:rPr>
                <w:sz w:val="22"/>
                <w:szCs w:val="22"/>
              </w:rPr>
              <w:t>71,4 % (20/28)</w:t>
            </w:r>
            <w:r w:rsidRPr="009C5EFD">
              <w:rPr>
                <w:sz w:val="22"/>
                <w:szCs w:val="22"/>
                <w:vertAlign w:val="superscript"/>
              </w:rPr>
              <w:t>c</w:t>
            </w:r>
          </w:p>
        </w:tc>
      </w:tr>
      <w:tr w:rsidR="004644D4" w14:paraId="3AAFC06C" w14:textId="77777777" w:rsidTr="002F0483">
        <w:tc>
          <w:tcPr>
            <w:tcW w:w="2418" w:type="dxa"/>
          </w:tcPr>
          <w:p w14:paraId="2D242E21" w14:textId="77777777" w:rsidR="002F0483" w:rsidRPr="007F67EE" w:rsidRDefault="00E453CD" w:rsidP="002F0483">
            <w:pPr>
              <w:pStyle w:val="BodyTextIndent"/>
              <w:ind w:left="0" w:right="53"/>
              <w:rPr>
                <w:sz w:val="22"/>
                <w:szCs w:val="22"/>
              </w:rPr>
            </w:pPr>
            <w:r w:rsidRPr="007F67EE">
              <w:rPr>
                <w:sz w:val="22"/>
                <w:szCs w:val="22"/>
              </w:rPr>
              <w:lastRenderedPageBreak/>
              <w:t>Mediantiden til sykdomsoppblussing</w:t>
            </w:r>
          </w:p>
        </w:tc>
        <w:tc>
          <w:tcPr>
            <w:tcW w:w="1760" w:type="dxa"/>
          </w:tcPr>
          <w:p w14:paraId="600A6EDE" w14:textId="77777777" w:rsidR="002F0483" w:rsidRPr="007F67EE" w:rsidRDefault="00E453CD" w:rsidP="002F0483">
            <w:pPr>
              <w:pStyle w:val="BodyTextIndent"/>
              <w:ind w:left="0" w:right="53"/>
              <w:rPr>
                <w:sz w:val="22"/>
                <w:szCs w:val="22"/>
              </w:rPr>
            </w:pPr>
            <w:r w:rsidRPr="007F67EE">
              <w:rPr>
                <w:sz w:val="22"/>
                <w:szCs w:val="22"/>
              </w:rPr>
              <w:t>&gt; 32 uker</w:t>
            </w:r>
          </w:p>
        </w:tc>
        <w:tc>
          <w:tcPr>
            <w:tcW w:w="1760" w:type="dxa"/>
          </w:tcPr>
          <w:p w14:paraId="0B4C3469" w14:textId="77777777" w:rsidR="002F0483" w:rsidRPr="00193D76" w:rsidRDefault="00E453CD" w:rsidP="002F0483">
            <w:pPr>
              <w:pStyle w:val="BodyTextIndent"/>
              <w:ind w:left="0" w:right="53"/>
              <w:rPr>
                <w:sz w:val="22"/>
                <w:szCs w:val="22"/>
              </w:rPr>
            </w:pPr>
            <w:r w:rsidRPr="00193D76">
              <w:rPr>
                <w:sz w:val="22"/>
                <w:szCs w:val="22"/>
              </w:rPr>
              <w:t>20 uker</w:t>
            </w:r>
          </w:p>
        </w:tc>
        <w:tc>
          <w:tcPr>
            <w:tcW w:w="1650" w:type="dxa"/>
          </w:tcPr>
          <w:p w14:paraId="058359FE" w14:textId="77777777" w:rsidR="002F0483" w:rsidRPr="00E14E58" w:rsidRDefault="00E453CD" w:rsidP="002F0483">
            <w:pPr>
              <w:pStyle w:val="BodyTextIndent"/>
              <w:ind w:left="0" w:right="53"/>
              <w:rPr>
                <w:sz w:val="22"/>
                <w:szCs w:val="22"/>
              </w:rPr>
            </w:pPr>
            <w:r w:rsidRPr="002D0790">
              <w:rPr>
                <w:sz w:val="22"/>
                <w:szCs w:val="22"/>
              </w:rPr>
              <w:t xml:space="preserve">&gt; </w:t>
            </w:r>
            <w:r w:rsidRPr="00E14E58">
              <w:rPr>
                <w:sz w:val="22"/>
                <w:szCs w:val="22"/>
              </w:rPr>
              <w:t>32 uker</w:t>
            </w:r>
          </w:p>
        </w:tc>
        <w:tc>
          <w:tcPr>
            <w:tcW w:w="1589" w:type="dxa"/>
          </w:tcPr>
          <w:p w14:paraId="1B202172" w14:textId="77777777" w:rsidR="002F0483" w:rsidRPr="009C5EFD" w:rsidRDefault="00E453CD" w:rsidP="002F0483">
            <w:pPr>
              <w:pStyle w:val="BodyTextIndent"/>
              <w:ind w:left="0" w:right="53"/>
              <w:rPr>
                <w:sz w:val="22"/>
                <w:szCs w:val="22"/>
              </w:rPr>
            </w:pPr>
            <w:r w:rsidRPr="009C5EFD">
              <w:rPr>
                <w:sz w:val="22"/>
                <w:szCs w:val="22"/>
              </w:rPr>
              <w:t>14 uker</w:t>
            </w:r>
          </w:p>
        </w:tc>
      </w:tr>
    </w:tbl>
    <w:p w14:paraId="0375B6F2" w14:textId="77777777" w:rsidR="00640086" w:rsidRDefault="00640086" w:rsidP="002F0483">
      <w:pPr>
        <w:pStyle w:val="BodyTextIndent"/>
        <w:ind w:left="108" w:right="51"/>
        <w:rPr>
          <w:sz w:val="22"/>
          <w:szCs w:val="22"/>
          <w:vertAlign w:val="superscript"/>
        </w:rPr>
      </w:pPr>
    </w:p>
    <w:p w14:paraId="55F80EDF" w14:textId="77777777" w:rsidR="002F0483" w:rsidRPr="00193D76" w:rsidRDefault="00E453CD" w:rsidP="002F0483">
      <w:pPr>
        <w:pStyle w:val="BodyTextIndent"/>
        <w:ind w:left="108" w:right="51"/>
        <w:rPr>
          <w:i/>
          <w:sz w:val="22"/>
          <w:szCs w:val="22"/>
        </w:rPr>
      </w:pPr>
      <w:r w:rsidRPr="007F67EE">
        <w:rPr>
          <w:sz w:val="22"/>
          <w:szCs w:val="22"/>
          <w:vertAlign w:val="superscript"/>
        </w:rPr>
        <w:t xml:space="preserve">a </w:t>
      </w:r>
      <w:r w:rsidRPr="007F67EE">
        <w:rPr>
          <w:sz w:val="22"/>
          <w:szCs w:val="22"/>
        </w:rPr>
        <w:t xml:space="preserve">Pediatrisk ACR 30/50/70-responser uke 48 var signifikant større enn til de pasientene som var behandlet med placebo </w:t>
      </w:r>
    </w:p>
    <w:p w14:paraId="285F5A41" w14:textId="77777777" w:rsidR="002F0483" w:rsidRPr="00E14E58" w:rsidRDefault="00E453CD" w:rsidP="002F0483">
      <w:pPr>
        <w:pStyle w:val="BodyTextIndent"/>
        <w:ind w:left="110" w:right="53"/>
        <w:rPr>
          <w:sz w:val="22"/>
          <w:szCs w:val="22"/>
        </w:rPr>
      </w:pPr>
      <w:r w:rsidRPr="002D0790">
        <w:rPr>
          <w:sz w:val="22"/>
          <w:szCs w:val="22"/>
          <w:vertAlign w:val="superscript"/>
        </w:rPr>
        <w:t>b</w:t>
      </w:r>
      <w:r w:rsidRPr="002D0790">
        <w:rPr>
          <w:sz w:val="22"/>
          <w:szCs w:val="22"/>
        </w:rPr>
        <w:t xml:space="preserve"> </w:t>
      </w:r>
      <w:r w:rsidRPr="00E14E58">
        <w:rPr>
          <w:sz w:val="22"/>
          <w:szCs w:val="22"/>
        </w:rPr>
        <w:t>p = 0,015</w:t>
      </w:r>
    </w:p>
    <w:p w14:paraId="6D162FE6" w14:textId="77777777" w:rsidR="002F0483" w:rsidRPr="009C5EFD" w:rsidRDefault="00E453CD" w:rsidP="002F0483">
      <w:pPr>
        <w:pStyle w:val="BodyTextIndent"/>
        <w:ind w:left="110" w:right="53"/>
        <w:rPr>
          <w:sz w:val="22"/>
          <w:szCs w:val="22"/>
        </w:rPr>
      </w:pPr>
      <w:r w:rsidRPr="009C5EFD">
        <w:rPr>
          <w:sz w:val="22"/>
          <w:szCs w:val="22"/>
          <w:vertAlign w:val="superscript"/>
        </w:rPr>
        <w:t>c</w:t>
      </w:r>
      <w:r w:rsidRPr="009C5EFD">
        <w:rPr>
          <w:sz w:val="22"/>
          <w:szCs w:val="22"/>
        </w:rPr>
        <w:t xml:space="preserve"> p = 0,031</w:t>
      </w:r>
    </w:p>
    <w:p w14:paraId="073884EB" w14:textId="77777777" w:rsidR="002F0483" w:rsidRPr="009C5EFD" w:rsidRDefault="002F0483" w:rsidP="002F0483">
      <w:pPr>
        <w:rPr>
          <w:sz w:val="22"/>
          <w:szCs w:val="22"/>
        </w:rPr>
      </w:pPr>
    </w:p>
    <w:p w14:paraId="1E4FD050" w14:textId="77777777" w:rsidR="002F0483" w:rsidRPr="009C5EFD" w:rsidRDefault="00E453CD" w:rsidP="002F0483">
      <w:pPr>
        <w:rPr>
          <w:sz w:val="22"/>
          <w:szCs w:val="22"/>
        </w:rPr>
      </w:pPr>
      <w:r w:rsidRPr="009C5EFD">
        <w:rPr>
          <w:sz w:val="22"/>
          <w:szCs w:val="22"/>
        </w:rPr>
        <w:t>Blant de som responderte ved uke</w:t>
      </w:r>
      <w:r>
        <w:rPr>
          <w:sz w:val="22"/>
          <w:szCs w:val="22"/>
        </w:rPr>
        <w:t> </w:t>
      </w:r>
      <w:r w:rsidRPr="009C5EFD">
        <w:rPr>
          <w:sz w:val="22"/>
          <w:szCs w:val="22"/>
        </w:rPr>
        <w:t>16 (n=144) var pediatrisk ACR 30/50/70/90-responser vedlikeholdt inntil seks år i OLE-fasen hos pasienter som fikk Humira gjennom hele studien. Totalt 19</w:t>
      </w:r>
      <w:r>
        <w:rPr>
          <w:sz w:val="22"/>
          <w:szCs w:val="22"/>
        </w:rPr>
        <w:t> </w:t>
      </w:r>
      <w:r w:rsidRPr="009C5EFD">
        <w:rPr>
          <w:sz w:val="22"/>
          <w:szCs w:val="22"/>
        </w:rPr>
        <w:t>pasienter, hvorav 11 fra baseline aldersgruppen 4 til 12</w:t>
      </w:r>
      <w:r>
        <w:rPr>
          <w:sz w:val="22"/>
          <w:szCs w:val="22"/>
        </w:rPr>
        <w:t> </w:t>
      </w:r>
      <w:r w:rsidRPr="009C5EFD">
        <w:rPr>
          <w:sz w:val="22"/>
          <w:szCs w:val="22"/>
        </w:rPr>
        <w:t>år og 8 fra baseline aldersgruppen 13 til 17</w:t>
      </w:r>
      <w:r>
        <w:rPr>
          <w:sz w:val="22"/>
          <w:szCs w:val="22"/>
        </w:rPr>
        <w:t> </w:t>
      </w:r>
      <w:r w:rsidRPr="009C5EFD">
        <w:rPr>
          <w:sz w:val="22"/>
          <w:szCs w:val="22"/>
        </w:rPr>
        <w:t>år ble behandlet i 6</w:t>
      </w:r>
      <w:r>
        <w:rPr>
          <w:sz w:val="22"/>
          <w:szCs w:val="22"/>
        </w:rPr>
        <w:t> </w:t>
      </w:r>
      <w:r w:rsidRPr="009C5EFD">
        <w:rPr>
          <w:sz w:val="22"/>
          <w:szCs w:val="22"/>
        </w:rPr>
        <w:t xml:space="preserve">år eller lenger. </w:t>
      </w:r>
    </w:p>
    <w:p w14:paraId="76F75597" w14:textId="77777777" w:rsidR="002F0483" w:rsidRPr="009C5EFD" w:rsidRDefault="002F0483" w:rsidP="002F0483">
      <w:pPr>
        <w:rPr>
          <w:sz w:val="22"/>
          <w:szCs w:val="22"/>
        </w:rPr>
      </w:pPr>
    </w:p>
    <w:p w14:paraId="099B7B78" w14:textId="77777777" w:rsidR="002F0483" w:rsidRPr="009C5EFD" w:rsidRDefault="00E453CD" w:rsidP="002F0483">
      <w:pPr>
        <w:rPr>
          <w:sz w:val="22"/>
          <w:szCs w:val="22"/>
        </w:rPr>
      </w:pPr>
      <w:r w:rsidRPr="009C5EFD">
        <w:rPr>
          <w:sz w:val="22"/>
          <w:szCs w:val="22"/>
        </w:rPr>
        <w:t>Responsen var generelt bedre, og færre pasienter utviklet antistoffer når de ble behandlet med kombinasjonen Humira og metotreksat sammenlignet med Humira alene. På bakgrunn av disse resultatene anbefales Humira til bruk i kombinasjon med metotreksat og til bruk som monoterapi hos pasienter som ikke kan bruke metotreksat (se pkt.</w:t>
      </w:r>
      <w:r>
        <w:rPr>
          <w:sz w:val="22"/>
          <w:szCs w:val="22"/>
        </w:rPr>
        <w:t> </w:t>
      </w:r>
      <w:r w:rsidRPr="009C5EFD">
        <w:rPr>
          <w:sz w:val="22"/>
          <w:szCs w:val="22"/>
        </w:rPr>
        <w:t>4.2).</w:t>
      </w:r>
    </w:p>
    <w:p w14:paraId="2CDC5694" w14:textId="77777777" w:rsidR="002F0483" w:rsidRPr="009C5EFD" w:rsidRDefault="002F0483" w:rsidP="002F0483">
      <w:pPr>
        <w:rPr>
          <w:sz w:val="22"/>
          <w:szCs w:val="22"/>
        </w:rPr>
      </w:pPr>
    </w:p>
    <w:p w14:paraId="1BF23725" w14:textId="77777777" w:rsidR="002F0483" w:rsidRPr="009C5EFD" w:rsidRDefault="00E453CD" w:rsidP="002F0483">
      <w:pPr>
        <w:keepNext/>
        <w:rPr>
          <w:sz w:val="22"/>
          <w:szCs w:val="22"/>
        </w:rPr>
      </w:pPr>
      <w:r w:rsidRPr="009C5EFD">
        <w:rPr>
          <w:sz w:val="22"/>
          <w:szCs w:val="22"/>
        </w:rPr>
        <w:t>pJIA-II</w:t>
      </w:r>
    </w:p>
    <w:p w14:paraId="363A55F1" w14:textId="77777777" w:rsidR="002F0483" w:rsidRPr="009C5EFD" w:rsidRDefault="002F0483" w:rsidP="002F0483">
      <w:pPr>
        <w:keepNext/>
        <w:rPr>
          <w:sz w:val="22"/>
          <w:szCs w:val="22"/>
        </w:rPr>
      </w:pPr>
    </w:p>
    <w:p w14:paraId="76FFCDAC" w14:textId="77777777" w:rsidR="002F0483" w:rsidRPr="009C5EFD" w:rsidRDefault="00E453CD" w:rsidP="002F0483">
      <w:pPr>
        <w:rPr>
          <w:sz w:val="22"/>
          <w:szCs w:val="22"/>
        </w:rPr>
      </w:pPr>
      <w:r w:rsidRPr="009C5EFD">
        <w:rPr>
          <w:sz w:val="22"/>
          <w:szCs w:val="22"/>
        </w:rPr>
        <w:t>Sikkerhet og effekt av Humira ble vurdert i en åpen, multisenter studie hos 32</w:t>
      </w:r>
      <w:r>
        <w:rPr>
          <w:sz w:val="22"/>
          <w:szCs w:val="22"/>
        </w:rPr>
        <w:t> </w:t>
      </w:r>
      <w:r w:rsidRPr="009C5EFD">
        <w:rPr>
          <w:sz w:val="22"/>
          <w:szCs w:val="22"/>
        </w:rPr>
        <w:t>barn (2 - &lt;</w:t>
      </w:r>
      <w:r>
        <w:rPr>
          <w:sz w:val="22"/>
          <w:szCs w:val="22"/>
        </w:rPr>
        <w:t> </w:t>
      </w:r>
      <w:r w:rsidRPr="009C5EFD">
        <w:rPr>
          <w:sz w:val="22"/>
          <w:szCs w:val="22"/>
        </w:rPr>
        <w:t>4</w:t>
      </w:r>
      <w:r>
        <w:rPr>
          <w:sz w:val="22"/>
          <w:szCs w:val="22"/>
        </w:rPr>
        <w:t> </w:t>
      </w:r>
      <w:r w:rsidRPr="009C5EFD">
        <w:rPr>
          <w:sz w:val="22"/>
          <w:szCs w:val="22"/>
        </w:rPr>
        <w:t>år eller fra 4</w:t>
      </w:r>
      <w:r>
        <w:rPr>
          <w:sz w:val="22"/>
          <w:szCs w:val="22"/>
        </w:rPr>
        <w:t> </w:t>
      </w:r>
      <w:r w:rsidRPr="009C5EFD">
        <w:rPr>
          <w:sz w:val="22"/>
          <w:szCs w:val="22"/>
        </w:rPr>
        <w:t>år og oppover med kroppsvekt &lt;</w:t>
      </w:r>
      <w:r>
        <w:rPr>
          <w:sz w:val="22"/>
          <w:szCs w:val="22"/>
        </w:rPr>
        <w:t> </w:t>
      </w:r>
      <w:r w:rsidRPr="009C5EFD">
        <w:rPr>
          <w:sz w:val="22"/>
          <w:szCs w:val="22"/>
        </w:rPr>
        <w:t>15</w:t>
      </w:r>
      <w:r>
        <w:rPr>
          <w:sz w:val="22"/>
          <w:szCs w:val="22"/>
        </w:rPr>
        <w:t> </w:t>
      </w:r>
      <w:r w:rsidRPr="009C5EFD">
        <w:rPr>
          <w:sz w:val="22"/>
          <w:szCs w:val="22"/>
        </w:rPr>
        <w:t>kg) med moderat til alvorlig aktiv polyartikulær JIA. Pasientene fikk 24</w:t>
      </w:r>
      <w:r>
        <w:rPr>
          <w:sz w:val="22"/>
          <w:szCs w:val="22"/>
        </w:rPr>
        <w:t> </w:t>
      </w:r>
      <w:r w:rsidRPr="009C5EFD">
        <w:rPr>
          <w:sz w:val="22"/>
          <w:szCs w:val="22"/>
        </w:rPr>
        <w:t>mg/m</w:t>
      </w:r>
      <w:r w:rsidRPr="009C5EFD">
        <w:rPr>
          <w:sz w:val="22"/>
          <w:szCs w:val="22"/>
          <w:vertAlign w:val="superscript"/>
        </w:rPr>
        <w:t>2</w:t>
      </w:r>
      <w:r w:rsidRPr="009C5EFD">
        <w:rPr>
          <w:sz w:val="22"/>
          <w:szCs w:val="22"/>
        </w:rPr>
        <w:t xml:space="preserve"> kroppsoverflate opptil maksimum 20</w:t>
      </w:r>
      <w:r>
        <w:rPr>
          <w:sz w:val="22"/>
          <w:szCs w:val="22"/>
        </w:rPr>
        <w:t> </w:t>
      </w:r>
      <w:r w:rsidRPr="009C5EFD">
        <w:rPr>
          <w:sz w:val="22"/>
          <w:szCs w:val="22"/>
        </w:rPr>
        <w:t>mg Humira annenhver uke som en enkeltdose via subkutan injeksjon i minst 24</w:t>
      </w:r>
      <w:r>
        <w:rPr>
          <w:sz w:val="22"/>
          <w:szCs w:val="22"/>
        </w:rPr>
        <w:t> </w:t>
      </w:r>
      <w:r w:rsidRPr="009C5EFD">
        <w:rPr>
          <w:sz w:val="22"/>
          <w:szCs w:val="22"/>
        </w:rPr>
        <w:t>uker. De fleste pasienter brukte metotreksat samtidig i løpet av studien, med færre rapporter om bruk av kortikosteroider eller NSAIDs.</w:t>
      </w:r>
    </w:p>
    <w:p w14:paraId="4E82387E" w14:textId="77777777" w:rsidR="002F0483" w:rsidRPr="009C5EFD" w:rsidRDefault="002F0483" w:rsidP="002F0483">
      <w:pPr>
        <w:rPr>
          <w:sz w:val="22"/>
          <w:szCs w:val="22"/>
        </w:rPr>
      </w:pPr>
    </w:p>
    <w:p w14:paraId="74BE2119" w14:textId="77777777" w:rsidR="002F0483" w:rsidRPr="009C5EFD" w:rsidRDefault="00E453CD" w:rsidP="002F0483">
      <w:pPr>
        <w:rPr>
          <w:sz w:val="22"/>
          <w:szCs w:val="22"/>
        </w:rPr>
      </w:pPr>
      <w:r w:rsidRPr="009C5EFD">
        <w:rPr>
          <w:sz w:val="22"/>
          <w:szCs w:val="22"/>
        </w:rPr>
        <w:t xml:space="preserve">Ped ACR </w:t>
      </w:r>
      <w:r>
        <w:rPr>
          <w:sz w:val="22"/>
          <w:szCs w:val="22"/>
        </w:rPr>
        <w:t>30-respons</w:t>
      </w:r>
      <w:r w:rsidRPr="009C5EFD">
        <w:rPr>
          <w:sz w:val="22"/>
          <w:szCs w:val="22"/>
        </w:rPr>
        <w:t xml:space="preserve"> var 93,5</w:t>
      </w:r>
      <w:r>
        <w:rPr>
          <w:sz w:val="22"/>
          <w:szCs w:val="22"/>
        </w:rPr>
        <w:t> </w:t>
      </w:r>
      <w:r w:rsidRPr="009C5EFD">
        <w:rPr>
          <w:sz w:val="22"/>
          <w:szCs w:val="22"/>
        </w:rPr>
        <w:t>% og 90,0</w:t>
      </w:r>
      <w:r>
        <w:rPr>
          <w:sz w:val="22"/>
          <w:szCs w:val="22"/>
        </w:rPr>
        <w:t> </w:t>
      </w:r>
      <w:r w:rsidRPr="009C5EFD">
        <w:rPr>
          <w:sz w:val="22"/>
          <w:szCs w:val="22"/>
        </w:rPr>
        <w:t>% ved henholdsvis uke</w:t>
      </w:r>
      <w:r>
        <w:rPr>
          <w:sz w:val="22"/>
          <w:szCs w:val="22"/>
        </w:rPr>
        <w:t> </w:t>
      </w:r>
      <w:r w:rsidRPr="009C5EFD">
        <w:rPr>
          <w:sz w:val="22"/>
          <w:szCs w:val="22"/>
        </w:rPr>
        <w:t>12 og uke</w:t>
      </w:r>
      <w:r>
        <w:rPr>
          <w:sz w:val="22"/>
          <w:szCs w:val="22"/>
        </w:rPr>
        <w:t> </w:t>
      </w:r>
      <w:r w:rsidRPr="009C5EFD">
        <w:rPr>
          <w:sz w:val="22"/>
          <w:szCs w:val="22"/>
        </w:rPr>
        <w:t>24 ved bruk av observert data tilnærming. Andelene av personer med Ped ACR 50/70/90 var 90,3</w:t>
      </w:r>
      <w:r>
        <w:rPr>
          <w:sz w:val="22"/>
          <w:szCs w:val="22"/>
        </w:rPr>
        <w:t> </w:t>
      </w:r>
      <w:r w:rsidRPr="009C5EFD">
        <w:rPr>
          <w:sz w:val="22"/>
          <w:szCs w:val="22"/>
        </w:rPr>
        <w:t>%/61,3</w:t>
      </w:r>
      <w:r>
        <w:rPr>
          <w:sz w:val="22"/>
          <w:szCs w:val="22"/>
        </w:rPr>
        <w:t> </w:t>
      </w:r>
      <w:r w:rsidRPr="009C5EFD">
        <w:rPr>
          <w:sz w:val="22"/>
          <w:szCs w:val="22"/>
        </w:rPr>
        <w:t>%/38,7</w:t>
      </w:r>
      <w:r>
        <w:rPr>
          <w:sz w:val="22"/>
          <w:szCs w:val="22"/>
        </w:rPr>
        <w:t> </w:t>
      </w:r>
      <w:r w:rsidRPr="009C5EFD">
        <w:rPr>
          <w:sz w:val="22"/>
          <w:szCs w:val="22"/>
        </w:rPr>
        <w:t>% og 83,3</w:t>
      </w:r>
      <w:r>
        <w:rPr>
          <w:sz w:val="22"/>
          <w:szCs w:val="22"/>
        </w:rPr>
        <w:t> </w:t>
      </w:r>
      <w:r w:rsidRPr="009C5EFD">
        <w:rPr>
          <w:sz w:val="22"/>
          <w:szCs w:val="22"/>
        </w:rPr>
        <w:t>%/73,3</w:t>
      </w:r>
      <w:r>
        <w:rPr>
          <w:sz w:val="22"/>
          <w:szCs w:val="22"/>
        </w:rPr>
        <w:t> </w:t>
      </w:r>
      <w:r w:rsidRPr="009C5EFD">
        <w:rPr>
          <w:sz w:val="22"/>
          <w:szCs w:val="22"/>
        </w:rPr>
        <w:t>%/36,7</w:t>
      </w:r>
      <w:r>
        <w:rPr>
          <w:sz w:val="22"/>
          <w:szCs w:val="22"/>
        </w:rPr>
        <w:t> </w:t>
      </w:r>
      <w:r w:rsidRPr="009C5EFD">
        <w:rPr>
          <w:sz w:val="22"/>
          <w:szCs w:val="22"/>
        </w:rPr>
        <w:t>% ved henholdsvis uke</w:t>
      </w:r>
      <w:r>
        <w:rPr>
          <w:sz w:val="22"/>
          <w:szCs w:val="22"/>
        </w:rPr>
        <w:t> </w:t>
      </w:r>
      <w:r w:rsidRPr="009C5EFD">
        <w:rPr>
          <w:sz w:val="22"/>
          <w:szCs w:val="22"/>
        </w:rPr>
        <w:t>12 og uke</w:t>
      </w:r>
      <w:r>
        <w:rPr>
          <w:sz w:val="22"/>
          <w:szCs w:val="22"/>
        </w:rPr>
        <w:t> </w:t>
      </w:r>
      <w:r w:rsidRPr="009C5EFD">
        <w:rPr>
          <w:sz w:val="22"/>
          <w:szCs w:val="22"/>
        </w:rPr>
        <w:t>24. Blant de som responderte (Pediatrisk ACR</w:t>
      </w:r>
      <w:r>
        <w:rPr>
          <w:sz w:val="22"/>
          <w:szCs w:val="22"/>
        </w:rPr>
        <w:t> </w:t>
      </w:r>
      <w:r w:rsidRPr="009C5EFD">
        <w:rPr>
          <w:sz w:val="22"/>
          <w:szCs w:val="22"/>
        </w:rPr>
        <w:t>30) ved uke</w:t>
      </w:r>
      <w:r>
        <w:rPr>
          <w:sz w:val="22"/>
          <w:szCs w:val="22"/>
        </w:rPr>
        <w:t> </w:t>
      </w:r>
      <w:r w:rsidRPr="009C5EFD">
        <w:rPr>
          <w:sz w:val="22"/>
          <w:szCs w:val="22"/>
        </w:rPr>
        <w:t>24 (n=27 av 30</w:t>
      </w:r>
      <w:r>
        <w:rPr>
          <w:sz w:val="22"/>
          <w:szCs w:val="22"/>
        </w:rPr>
        <w:t> </w:t>
      </w:r>
      <w:r w:rsidRPr="009C5EFD">
        <w:rPr>
          <w:sz w:val="22"/>
          <w:szCs w:val="22"/>
        </w:rPr>
        <w:t>pasienter), ble Pediatrisk ACR</w:t>
      </w:r>
      <w:r>
        <w:rPr>
          <w:sz w:val="22"/>
          <w:szCs w:val="22"/>
        </w:rPr>
        <w:t> 30-respons</w:t>
      </w:r>
      <w:r w:rsidRPr="009C5EFD">
        <w:rPr>
          <w:sz w:val="22"/>
          <w:szCs w:val="22"/>
        </w:rPr>
        <w:t xml:space="preserve"> vedlikeholdt opptil 60</w:t>
      </w:r>
      <w:r>
        <w:rPr>
          <w:sz w:val="22"/>
          <w:szCs w:val="22"/>
        </w:rPr>
        <w:t> </w:t>
      </w:r>
      <w:r w:rsidRPr="009C5EFD">
        <w:rPr>
          <w:sz w:val="22"/>
          <w:szCs w:val="22"/>
        </w:rPr>
        <w:t>uker i OLE fasen hos pasienter som fikk Humira gjennom hele denne perioden. I alt ble 20</w:t>
      </w:r>
      <w:r>
        <w:rPr>
          <w:sz w:val="22"/>
          <w:szCs w:val="22"/>
        </w:rPr>
        <w:t> </w:t>
      </w:r>
      <w:r w:rsidRPr="009C5EFD">
        <w:rPr>
          <w:sz w:val="22"/>
          <w:szCs w:val="22"/>
        </w:rPr>
        <w:t>personer behandlet i 60</w:t>
      </w:r>
      <w:r>
        <w:rPr>
          <w:sz w:val="22"/>
          <w:szCs w:val="22"/>
        </w:rPr>
        <w:t> </w:t>
      </w:r>
      <w:r w:rsidRPr="009C5EFD">
        <w:rPr>
          <w:sz w:val="22"/>
          <w:szCs w:val="22"/>
        </w:rPr>
        <w:t>uker eller lenger.</w:t>
      </w:r>
    </w:p>
    <w:p w14:paraId="3D08A86E" w14:textId="77777777" w:rsidR="002F0483" w:rsidRPr="009C5EFD" w:rsidRDefault="002F0483" w:rsidP="002F0483">
      <w:pPr>
        <w:rPr>
          <w:sz w:val="22"/>
          <w:szCs w:val="22"/>
        </w:rPr>
      </w:pPr>
    </w:p>
    <w:p w14:paraId="1032509E" w14:textId="77777777" w:rsidR="002F0483" w:rsidRPr="00193D76" w:rsidRDefault="00E453CD" w:rsidP="002F0483">
      <w:pPr>
        <w:keepNext/>
        <w:rPr>
          <w:sz w:val="22"/>
          <w:szCs w:val="22"/>
          <w:u w:val="single"/>
        </w:rPr>
      </w:pPr>
      <w:r w:rsidRPr="001F5D4B">
        <w:rPr>
          <w:i/>
          <w:sz w:val="22"/>
          <w:szCs w:val="22"/>
          <w:u w:val="single"/>
        </w:rPr>
        <w:t>Entesittrelatert artritt</w:t>
      </w:r>
    </w:p>
    <w:p w14:paraId="754B69E7" w14:textId="77777777" w:rsidR="002F0483" w:rsidRPr="002D0790" w:rsidRDefault="002F0483" w:rsidP="002F0483">
      <w:pPr>
        <w:keepNext/>
        <w:rPr>
          <w:sz w:val="22"/>
          <w:szCs w:val="22"/>
        </w:rPr>
      </w:pPr>
    </w:p>
    <w:p w14:paraId="692ABF12" w14:textId="77777777" w:rsidR="002F0483" w:rsidRPr="009C5EFD" w:rsidRDefault="00E453CD" w:rsidP="002F0483">
      <w:pPr>
        <w:rPr>
          <w:sz w:val="22"/>
          <w:szCs w:val="22"/>
        </w:rPr>
      </w:pPr>
      <w:r w:rsidRPr="002D0790">
        <w:rPr>
          <w:sz w:val="22"/>
          <w:szCs w:val="22"/>
        </w:rPr>
        <w:t xml:space="preserve">Sikkerhet og effekt av Humira ble vurdert i en multisenter, </w:t>
      </w:r>
      <w:r w:rsidRPr="0015674E">
        <w:rPr>
          <w:sz w:val="22"/>
          <w:szCs w:val="20"/>
        </w:rPr>
        <w:t>randomisert,</w:t>
      </w:r>
      <w:r w:rsidRPr="0015674E">
        <w:rPr>
          <w:sz w:val="20"/>
          <w:szCs w:val="20"/>
        </w:rPr>
        <w:t xml:space="preserve"> </w:t>
      </w:r>
      <w:r w:rsidRPr="0015674E">
        <w:rPr>
          <w:sz w:val="22"/>
          <w:szCs w:val="20"/>
        </w:rPr>
        <w:t>dobbeltblindet</w:t>
      </w:r>
      <w:r w:rsidRPr="009C5EFD">
        <w:rPr>
          <w:sz w:val="22"/>
          <w:szCs w:val="22"/>
        </w:rPr>
        <w:t xml:space="preserve"> studie hos 46</w:t>
      </w:r>
      <w:r>
        <w:rPr>
          <w:sz w:val="22"/>
          <w:szCs w:val="22"/>
        </w:rPr>
        <w:t> </w:t>
      </w:r>
      <w:r w:rsidRPr="009C5EFD">
        <w:rPr>
          <w:sz w:val="22"/>
          <w:szCs w:val="22"/>
        </w:rPr>
        <w:t>pediatriske pasienter (6 til 17</w:t>
      </w:r>
      <w:r>
        <w:rPr>
          <w:sz w:val="22"/>
          <w:szCs w:val="22"/>
        </w:rPr>
        <w:t> </w:t>
      </w:r>
      <w:r w:rsidRPr="009C5EFD">
        <w:rPr>
          <w:sz w:val="22"/>
          <w:szCs w:val="22"/>
        </w:rPr>
        <w:t xml:space="preserve">år) med moderat entesittrelatert artritt. Pasientene ble </w:t>
      </w:r>
      <w:r w:rsidRPr="0015674E">
        <w:rPr>
          <w:sz w:val="22"/>
          <w:szCs w:val="22"/>
        </w:rPr>
        <w:t xml:space="preserve">randomisert til behandling med </w:t>
      </w:r>
      <w:r w:rsidRPr="009C5EFD">
        <w:rPr>
          <w:sz w:val="22"/>
          <w:szCs w:val="22"/>
        </w:rPr>
        <w:t>enten 24</w:t>
      </w:r>
      <w:r>
        <w:rPr>
          <w:sz w:val="22"/>
          <w:szCs w:val="22"/>
        </w:rPr>
        <w:t> </w:t>
      </w:r>
      <w:r w:rsidRPr="009C5EFD">
        <w:rPr>
          <w:sz w:val="22"/>
          <w:szCs w:val="22"/>
        </w:rPr>
        <w:t>mg/m</w:t>
      </w:r>
      <w:r w:rsidRPr="009C5EFD">
        <w:rPr>
          <w:sz w:val="22"/>
          <w:szCs w:val="22"/>
          <w:vertAlign w:val="superscript"/>
        </w:rPr>
        <w:t>2</w:t>
      </w:r>
      <w:r w:rsidRPr="009C5EFD">
        <w:rPr>
          <w:sz w:val="22"/>
          <w:szCs w:val="22"/>
        </w:rPr>
        <w:t xml:space="preserve"> kroppsoverflate opptil maksimum 40</w:t>
      </w:r>
      <w:r>
        <w:rPr>
          <w:sz w:val="22"/>
          <w:szCs w:val="22"/>
        </w:rPr>
        <w:t> </w:t>
      </w:r>
      <w:r w:rsidRPr="009C5EFD">
        <w:rPr>
          <w:sz w:val="22"/>
          <w:szCs w:val="22"/>
        </w:rPr>
        <w:t>mg Humira, eller placebo annenhver uke i 12</w:t>
      </w:r>
      <w:r>
        <w:rPr>
          <w:sz w:val="22"/>
          <w:szCs w:val="22"/>
        </w:rPr>
        <w:t> </w:t>
      </w:r>
      <w:r w:rsidRPr="009C5EFD">
        <w:rPr>
          <w:sz w:val="22"/>
          <w:szCs w:val="22"/>
        </w:rPr>
        <w:t>uker. Den dobbeltblinde perioden ble</w:t>
      </w:r>
      <w:r w:rsidRPr="009C5EFD">
        <w:t xml:space="preserve"> </w:t>
      </w:r>
      <w:r w:rsidRPr="009C5EFD">
        <w:rPr>
          <w:sz w:val="22"/>
          <w:szCs w:val="22"/>
        </w:rPr>
        <w:t>etterfølgt av en åpen periode, hvor pasientene fikk 24</w:t>
      </w:r>
      <w:r>
        <w:rPr>
          <w:sz w:val="22"/>
          <w:szCs w:val="22"/>
        </w:rPr>
        <w:t> </w:t>
      </w:r>
      <w:r w:rsidRPr="009C5EFD">
        <w:rPr>
          <w:sz w:val="22"/>
          <w:szCs w:val="22"/>
        </w:rPr>
        <w:t>mg/m</w:t>
      </w:r>
      <w:r w:rsidRPr="009C5EFD">
        <w:rPr>
          <w:sz w:val="22"/>
          <w:szCs w:val="22"/>
          <w:vertAlign w:val="superscript"/>
        </w:rPr>
        <w:t>2</w:t>
      </w:r>
      <w:r w:rsidRPr="009C5EFD">
        <w:rPr>
          <w:sz w:val="22"/>
          <w:szCs w:val="22"/>
        </w:rPr>
        <w:t xml:space="preserve"> kroppsoverflate opptil maksimum 40</w:t>
      </w:r>
      <w:r>
        <w:rPr>
          <w:sz w:val="22"/>
          <w:szCs w:val="22"/>
        </w:rPr>
        <w:t> </w:t>
      </w:r>
      <w:r w:rsidRPr="009C5EFD">
        <w:rPr>
          <w:sz w:val="22"/>
          <w:szCs w:val="22"/>
        </w:rPr>
        <w:t>mg Humira subkutant annenhver uke i opptil ytterligere 192</w:t>
      </w:r>
      <w:r>
        <w:rPr>
          <w:sz w:val="22"/>
          <w:szCs w:val="22"/>
        </w:rPr>
        <w:t> </w:t>
      </w:r>
      <w:r w:rsidRPr="009C5EFD">
        <w:rPr>
          <w:sz w:val="22"/>
          <w:szCs w:val="22"/>
        </w:rPr>
        <w:t>uker. Det primære endepunktet var den prosentvise endring, fra baseline til uke</w:t>
      </w:r>
      <w:r>
        <w:rPr>
          <w:sz w:val="22"/>
          <w:szCs w:val="22"/>
        </w:rPr>
        <w:t> </w:t>
      </w:r>
      <w:r w:rsidRPr="009C5EFD">
        <w:rPr>
          <w:sz w:val="22"/>
          <w:szCs w:val="22"/>
        </w:rPr>
        <w:t>12, i antall aktive ledd med artritt (hevelse, som ikke skyldes misdannelse, eller ledd med tap av bevegelse pluss smerter og/eller ømhet), som ble oppnådd med gjennomsnittlig prosentvis nedgang på -62,6</w:t>
      </w:r>
      <w:r>
        <w:rPr>
          <w:sz w:val="22"/>
          <w:szCs w:val="22"/>
        </w:rPr>
        <w:t> </w:t>
      </w:r>
      <w:r w:rsidRPr="009C5EFD">
        <w:rPr>
          <w:sz w:val="22"/>
          <w:szCs w:val="22"/>
        </w:rPr>
        <w:t>% (median prosent endring -88,9</w:t>
      </w:r>
      <w:r>
        <w:rPr>
          <w:sz w:val="22"/>
          <w:szCs w:val="22"/>
        </w:rPr>
        <w:t> </w:t>
      </w:r>
      <w:r w:rsidRPr="009C5EFD">
        <w:rPr>
          <w:sz w:val="22"/>
          <w:szCs w:val="22"/>
        </w:rPr>
        <w:t>%) hos pasienter i Humira-gruppen sammenlignet med -11,6</w:t>
      </w:r>
      <w:r>
        <w:rPr>
          <w:sz w:val="22"/>
          <w:szCs w:val="22"/>
        </w:rPr>
        <w:t> </w:t>
      </w:r>
      <w:r w:rsidRPr="009C5EFD">
        <w:rPr>
          <w:sz w:val="22"/>
          <w:szCs w:val="22"/>
        </w:rPr>
        <w:t>% (median prosent endring -50,0</w:t>
      </w:r>
      <w:r>
        <w:rPr>
          <w:sz w:val="22"/>
          <w:szCs w:val="22"/>
        </w:rPr>
        <w:t> </w:t>
      </w:r>
      <w:r w:rsidRPr="009C5EFD">
        <w:rPr>
          <w:sz w:val="22"/>
          <w:szCs w:val="22"/>
        </w:rPr>
        <w:t>%) hos pasienter i placebogruppen. Forbedring i antall aktive ledd med artritt ble opprettholdt</w:t>
      </w:r>
      <w:r>
        <w:rPr>
          <w:sz w:val="22"/>
          <w:szCs w:val="22"/>
        </w:rPr>
        <w:t xml:space="preserve"> til og med uke</w:t>
      </w:r>
      <w:r w:rsidRPr="009C5EFD">
        <w:rPr>
          <w:sz w:val="22"/>
          <w:szCs w:val="22"/>
        </w:rPr>
        <w:t xml:space="preserve"> </w:t>
      </w:r>
      <w:r>
        <w:rPr>
          <w:sz w:val="22"/>
          <w:szCs w:val="22"/>
        </w:rPr>
        <w:t>156</w:t>
      </w:r>
      <w:r w:rsidRPr="009C5EFD">
        <w:rPr>
          <w:sz w:val="22"/>
          <w:szCs w:val="22"/>
        </w:rPr>
        <w:t xml:space="preserve"> </w:t>
      </w:r>
      <w:r>
        <w:rPr>
          <w:sz w:val="22"/>
          <w:szCs w:val="22"/>
        </w:rPr>
        <w:t>for 26 av 31 (84 %) pasienter i Humira-gruppen som forble i den åpne perioden av studien</w:t>
      </w:r>
      <w:r w:rsidRPr="009C5EFD">
        <w:rPr>
          <w:sz w:val="22"/>
          <w:szCs w:val="22"/>
        </w:rPr>
        <w:t>. Selv om det ikke er statistisk signifikant, viste de fleste av pasientene klinisk bedring i sekundære endepunkter som antall områder med entesitt, antall ømme ledd, antall hovne ledd, pediatrisk ACR</w:t>
      </w:r>
      <w:r>
        <w:rPr>
          <w:sz w:val="22"/>
          <w:szCs w:val="22"/>
        </w:rPr>
        <w:t> 50-respons</w:t>
      </w:r>
      <w:r w:rsidRPr="009C5EFD">
        <w:rPr>
          <w:sz w:val="22"/>
          <w:szCs w:val="22"/>
        </w:rPr>
        <w:t>, og pediatrisk ACR</w:t>
      </w:r>
      <w:r>
        <w:rPr>
          <w:sz w:val="22"/>
          <w:szCs w:val="22"/>
        </w:rPr>
        <w:t> 70-respons</w:t>
      </w:r>
      <w:r w:rsidRPr="009C5EFD">
        <w:rPr>
          <w:sz w:val="22"/>
          <w:szCs w:val="22"/>
        </w:rPr>
        <w:t>.</w:t>
      </w:r>
    </w:p>
    <w:p w14:paraId="27F114FE" w14:textId="77777777" w:rsidR="002F0483" w:rsidRPr="009C5EFD" w:rsidRDefault="002F0483" w:rsidP="002F0483">
      <w:pPr>
        <w:rPr>
          <w:sz w:val="22"/>
          <w:szCs w:val="22"/>
        </w:rPr>
      </w:pPr>
    </w:p>
    <w:p w14:paraId="66BF2CFD" w14:textId="77777777" w:rsidR="002F0483" w:rsidRPr="001F5D4B" w:rsidRDefault="00E453CD" w:rsidP="002F0483">
      <w:pPr>
        <w:keepNext/>
        <w:rPr>
          <w:sz w:val="22"/>
          <w:szCs w:val="22"/>
        </w:rPr>
      </w:pPr>
      <w:r w:rsidRPr="001F5D4B">
        <w:rPr>
          <w:i/>
          <w:sz w:val="22"/>
          <w:szCs w:val="22"/>
        </w:rPr>
        <w:t>Pediatrisk plakkpsoriasis</w:t>
      </w:r>
    </w:p>
    <w:p w14:paraId="4F2DC225" w14:textId="77777777" w:rsidR="002F0483" w:rsidRPr="007F67EE" w:rsidRDefault="002F0483" w:rsidP="002F0483">
      <w:pPr>
        <w:keepNext/>
        <w:rPr>
          <w:sz w:val="22"/>
          <w:szCs w:val="22"/>
        </w:rPr>
      </w:pPr>
    </w:p>
    <w:p w14:paraId="297DF649" w14:textId="77777777" w:rsidR="002F0483" w:rsidRPr="001F5D4B" w:rsidRDefault="00E453CD" w:rsidP="002F0483">
      <w:pPr>
        <w:rPr>
          <w:sz w:val="22"/>
          <w:szCs w:val="22"/>
        </w:rPr>
      </w:pPr>
      <w:r w:rsidRPr="00193D76">
        <w:rPr>
          <w:sz w:val="22"/>
          <w:szCs w:val="22"/>
        </w:rPr>
        <w:t>Effekten av Humira ble undersøkt i en randomisert, dobbel</w:t>
      </w:r>
      <w:r w:rsidRPr="002D0790">
        <w:rPr>
          <w:sz w:val="22"/>
          <w:szCs w:val="22"/>
        </w:rPr>
        <w:t>tblindet, kontrollert studie med 114</w:t>
      </w:r>
      <w:r>
        <w:rPr>
          <w:sz w:val="22"/>
          <w:szCs w:val="22"/>
        </w:rPr>
        <w:t> </w:t>
      </w:r>
      <w:r w:rsidRPr="002D0790">
        <w:rPr>
          <w:sz w:val="22"/>
          <w:szCs w:val="22"/>
        </w:rPr>
        <w:t>pediatriske pasienter fra alderen 4</w:t>
      </w:r>
      <w:r>
        <w:rPr>
          <w:sz w:val="22"/>
          <w:szCs w:val="22"/>
        </w:rPr>
        <w:t> </w:t>
      </w:r>
      <w:r w:rsidRPr="002D0790">
        <w:rPr>
          <w:sz w:val="22"/>
          <w:szCs w:val="22"/>
        </w:rPr>
        <w:t xml:space="preserve">år med alvorlig kronisk plakkpsoriasis (definert </w:t>
      </w:r>
      <w:r w:rsidRPr="00E14E58">
        <w:rPr>
          <w:sz w:val="22"/>
          <w:szCs w:val="22"/>
        </w:rPr>
        <w:t>ved</w:t>
      </w:r>
      <w:r w:rsidRPr="009C5EFD">
        <w:rPr>
          <w:sz w:val="22"/>
          <w:szCs w:val="22"/>
        </w:rPr>
        <w:t xml:space="preserve"> </w:t>
      </w:r>
      <w:r w:rsidRPr="0074429E">
        <w:rPr>
          <w:sz w:val="22"/>
          <w:szCs w:val="22"/>
        </w:rPr>
        <w:t xml:space="preserve">Physician’s Global Assessment </w:t>
      </w:r>
      <w:r>
        <w:rPr>
          <w:sz w:val="22"/>
          <w:szCs w:val="22"/>
        </w:rPr>
        <w:t>(</w:t>
      </w:r>
      <w:r w:rsidRPr="009C5EFD">
        <w:rPr>
          <w:sz w:val="22"/>
          <w:szCs w:val="22"/>
        </w:rPr>
        <w:t>PGA</w:t>
      </w:r>
      <w:r>
        <w:rPr>
          <w:sz w:val="22"/>
          <w:szCs w:val="22"/>
        </w:rPr>
        <w:t>)</w:t>
      </w:r>
      <w:r w:rsidRPr="009C5EFD">
        <w:rPr>
          <w:sz w:val="22"/>
          <w:szCs w:val="22"/>
        </w:rPr>
        <w:t xml:space="preserve"> ≥</w:t>
      </w:r>
      <w:r>
        <w:rPr>
          <w:sz w:val="22"/>
          <w:szCs w:val="22"/>
        </w:rPr>
        <w:t> </w:t>
      </w:r>
      <w:r w:rsidRPr="009C5EFD">
        <w:rPr>
          <w:sz w:val="22"/>
          <w:szCs w:val="22"/>
        </w:rPr>
        <w:t>4 eller &gt;</w:t>
      </w:r>
      <w:r>
        <w:rPr>
          <w:sz w:val="22"/>
          <w:szCs w:val="22"/>
        </w:rPr>
        <w:t> </w:t>
      </w:r>
      <w:r w:rsidRPr="009C5EFD">
        <w:rPr>
          <w:sz w:val="22"/>
          <w:szCs w:val="22"/>
        </w:rPr>
        <w:t>20</w:t>
      </w:r>
      <w:r>
        <w:rPr>
          <w:sz w:val="22"/>
          <w:szCs w:val="22"/>
        </w:rPr>
        <w:t> </w:t>
      </w:r>
      <w:r w:rsidRPr="009C5EFD">
        <w:rPr>
          <w:sz w:val="22"/>
          <w:szCs w:val="22"/>
        </w:rPr>
        <w:t>%</w:t>
      </w:r>
      <w:r>
        <w:rPr>
          <w:sz w:val="22"/>
          <w:szCs w:val="22"/>
        </w:rPr>
        <w:t> </w:t>
      </w:r>
      <w:r w:rsidRPr="009C5EFD">
        <w:rPr>
          <w:sz w:val="22"/>
          <w:szCs w:val="22"/>
        </w:rPr>
        <w:t>BSA eller &gt;</w:t>
      </w:r>
      <w:r>
        <w:rPr>
          <w:sz w:val="22"/>
          <w:szCs w:val="22"/>
        </w:rPr>
        <w:t> </w:t>
      </w:r>
      <w:r w:rsidRPr="009C5EFD">
        <w:rPr>
          <w:sz w:val="22"/>
          <w:szCs w:val="22"/>
        </w:rPr>
        <w:t>10</w:t>
      </w:r>
      <w:r>
        <w:rPr>
          <w:sz w:val="22"/>
          <w:szCs w:val="22"/>
        </w:rPr>
        <w:t> </w:t>
      </w:r>
      <w:r w:rsidRPr="009C5EFD">
        <w:rPr>
          <w:sz w:val="22"/>
          <w:szCs w:val="22"/>
        </w:rPr>
        <w:t>%</w:t>
      </w:r>
      <w:r>
        <w:rPr>
          <w:sz w:val="22"/>
          <w:szCs w:val="22"/>
        </w:rPr>
        <w:t> </w:t>
      </w:r>
      <w:r w:rsidRPr="009C5EFD">
        <w:rPr>
          <w:sz w:val="22"/>
          <w:szCs w:val="22"/>
        </w:rPr>
        <w:t xml:space="preserve">BSA inkludert veldig tykke lesjoner eller </w:t>
      </w:r>
      <w:r w:rsidRPr="0074429E">
        <w:rPr>
          <w:sz w:val="22"/>
          <w:szCs w:val="22"/>
        </w:rPr>
        <w:t xml:space="preserve">Psoriasis Area and Severity Index </w:t>
      </w:r>
      <w:r>
        <w:rPr>
          <w:sz w:val="22"/>
          <w:szCs w:val="22"/>
        </w:rPr>
        <w:t>(</w:t>
      </w:r>
      <w:r w:rsidRPr="009C5EFD">
        <w:rPr>
          <w:sz w:val="22"/>
          <w:szCs w:val="22"/>
        </w:rPr>
        <w:t>PASI</w:t>
      </w:r>
      <w:r>
        <w:rPr>
          <w:sz w:val="22"/>
          <w:szCs w:val="22"/>
        </w:rPr>
        <w:t>)</w:t>
      </w:r>
      <w:r w:rsidRPr="009C5EFD">
        <w:rPr>
          <w:sz w:val="22"/>
          <w:szCs w:val="22"/>
        </w:rPr>
        <w:t xml:space="preserve"> ≥</w:t>
      </w:r>
      <w:r>
        <w:rPr>
          <w:sz w:val="22"/>
          <w:szCs w:val="22"/>
        </w:rPr>
        <w:t> </w:t>
      </w:r>
      <w:r w:rsidRPr="009C5EFD">
        <w:rPr>
          <w:sz w:val="22"/>
          <w:szCs w:val="22"/>
        </w:rPr>
        <w:t>20 eller PASI ≥</w:t>
      </w:r>
      <w:r>
        <w:rPr>
          <w:sz w:val="22"/>
          <w:szCs w:val="22"/>
        </w:rPr>
        <w:t> </w:t>
      </w:r>
      <w:r w:rsidRPr="009C5EFD">
        <w:rPr>
          <w:sz w:val="22"/>
          <w:szCs w:val="22"/>
        </w:rPr>
        <w:t xml:space="preserve">10 inkludert klinisk relevant </w:t>
      </w:r>
      <w:r w:rsidRPr="009C5EFD">
        <w:rPr>
          <w:sz w:val="22"/>
          <w:szCs w:val="22"/>
        </w:rPr>
        <w:lastRenderedPageBreak/>
        <w:t>påvirkning av ansikt, genitalia eller hånd/fot),</w:t>
      </w:r>
      <w:r w:rsidRPr="001F5D4B">
        <w:rPr>
          <w:sz w:val="22"/>
          <w:szCs w:val="22"/>
        </w:rPr>
        <w:t xml:space="preserve"> </w:t>
      </w:r>
      <w:r w:rsidRPr="007F67EE">
        <w:rPr>
          <w:sz w:val="22"/>
          <w:szCs w:val="22"/>
        </w:rPr>
        <w:t xml:space="preserve">som var utilstrekkelig behandlet med topikal behandling og helioterapi </w:t>
      </w:r>
      <w:r w:rsidRPr="00193D76">
        <w:rPr>
          <w:sz w:val="22"/>
          <w:szCs w:val="22"/>
        </w:rPr>
        <w:t xml:space="preserve">eller </w:t>
      </w:r>
      <w:r>
        <w:rPr>
          <w:sz w:val="22"/>
          <w:szCs w:val="22"/>
        </w:rPr>
        <w:t>lysbehandling</w:t>
      </w:r>
      <w:r w:rsidRPr="00193D76">
        <w:rPr>
          <w:sz w:val="22"/>
          <w:szCs w:val="22"/>
        </w:rPr>
        <w:t>.</w:t>
      </w:r>
    </w:p>
    <w:p w14:paraId="605E1720" w14:textId="77777777" w:rsidR="002F0483" w:rsidRPr="007F67EE" w:rsidRDefault="002F0483" w:rsidP="002F0483">
      <w:pPr>
        <w:tabs>
          <w:tab w:val="left" w:pos="5820"/>
        </w:tabs>
        <w:rPr>
          <w:sz w:val="22"/>
          <w:szCs w:val="22"/>
        </w:rPr>
      </w:pPr>
    </w:p>
    <w:p w14:paraId="14AA00D7" w14:textId="77777777" w:rsidR="002F0483" w:rsidRPr="009C5EFD" w:rsidRDefault="00E453CD" w:rsidP="002F0483">
      <w:pPr>
        <w:rPr>
          <w:sz w:val="22"/>
          <w:szCs w:val="22"/>
        </w:rPr>
      </w:pPr>
      <w:r w:rsidRPr="00193D76">
        <w:rPr>
          <w:sz w:val="22"/>
          <w:szCs w:val="22"/>
        </w:rPr>
        <w:t>Pasientene fikk enten Humira 0,8</w:t>
      </w:r>
      <w:r>
        <w:rPr>
          <w:sz w:val="22"/>
          <w:szCs w:val="22"/>
        </w:rPr>
        <w:t> </w:t>
      </w:r>
      <w:r w:rsidRPr="00193D76">
        <w:rPr>
          <w:sz w:val="22"/>
          <w:szCs w:val="22"/>
        </w:rPr>
        <w:t>mg/kg annenhver uke (opptil 40</w:t>
      </w:r>
      <w:r>
        <w:rPr>
          <w:sz w:val="22"/>
          <w:szCs w:val="22"/>
        </w:rPr>
        <w:t> </w:t>
      </w:r>
      <w:r w:rsidRPr="002D0790">
        <w:rPr>
          <w:sz w:val="22"/>
          <w:szCs w:val="22"/>
        </w:rPr>
        <w:t>mg), 0,4</w:t>
      </w:r>
      <w:r>
        <w:rPr>
          <w:sz w:val="22"/>
          <w:szCs w:val="22"/>
        </w:rPr>
        <w:t> </w:t>
      </w:r>
      <w:r w:rsidRPr="002D0790">
        <w:rPr>
          <w:sz w:val="22"/>
          <w:szCs w:val="22"/>
        </w:rPr>
        <w:t>mg/kg annenhver uke (opp</w:t>
      </w:r>
      <w:r w:rsidRPr="00E14E58">
        <w:rPr>
          <w:sz w:val="22"/>
          <w:szCs w:val="22"/>
        </w:rPr>
        <w:t>til</w:t>
      </w:r>
      <w:r>
        <w:rPr>
          <w:sz w:val="22"/>
          <w:szCs w:val="22"/>
        </w:rPr>
        <w:t> </w:t>
      </w:r>
      <w:r w:rsidRPr="00E14E58">
        <w:rPr>
          <w:sz w:val="22"/>
          <w:szCs w:val="22"/>
        </w:rPr>
        <w:t>20 mg) eller metotreksat 0,1</w:t>
      </w:r>
      <w:r>
        <w:rPr>
          <w:sz w:val="22"/>
          <w:szCs w:val="22"/>
        </w:rPr>
        <w:noBreakHyphen/>
      </w:r>
      <w:r w:rsidRPr="00E14E58">
        <w:rPr>
          <w:sz w:val="22"/>
          <w:szCs w:val="22"/>
        </w:rPr>
        <w:t>0,4</w:t>
      </w:r>
      <w:r>
        <w:rPr>
          <w:sz w:val="22"/>
          <w:szCs w:val="22"/>
        </w:rPr>
        <w:t> </w:t>
      </w:r>
      <w:r w:rsidRPr="00E14E58">
        <w:rPr>
          <w:sz w:val="22"/>
          <w:szCs w:val="22"/>
        </w:rPr>
        <w:t>mg/kg ukentlig (opptil 25</w:t>
      </w:r>
      <w:r>
        <w:rPr>
          <w:sz w:val="22"/>
          <w:szCs w:val="22"/>
        </w:rPr>
        <w:t> </w:t>
      </w:r>
      <w:r w:rsidRPr="00E14E58">
        <w:rPr>
          <w:sz w:val="22"/>
          <w:szCs w:val="22"/>
        </w:rPr>
        <w:t>mg). Ved uke</w:t>
      </w:r>
      <w:r>
        <w:rPr>
          <w:sz w:val="22"/>
          <w:szCs w:val="22"/>
        </w:rPr>
        <w:t> </w:t>
      </w:r>
      <w:r w:rsidRPr="00E14E58">
        <w:rPr>
          <w:sz w:val="22"/>
          <w:szCs w:val="22"/>
        </w:rPr>
        <w:t>16, hadde flere pasienter randomisert til Humira 0,8</w:t>
      </w:r>
      <w:r>
        <w:rPr>
          <w:sz w:val="22"/>
          <w:szCs w:val="22"/>
        </w:rPr>
        <w:t> </w:t>
      </w:r>
      <w:r w:rsidRPr="00E14E58">
        <w:rPr>
          <w:sz w:val="22"/>
          <w:szCs w:val="22"/>
        </w:rPr>
        <w:t>mg/kg positiv respons (f.eks. PASI</w:t>
      </w:r>
      <w:r>
        <w:rPr>
          <w:sz w:val="22"/>
          <w:szCs w:val="22"/>
        </w:rPr>
        <w:t> </w:t>
      </w:r>
      <w:r w:rsidRPr="00E14E58">
        <w:rPr>
          <w:sz w:val="22"/>
          <w:szCs w:val="22"/>
        </w:rPr>
        <w:t xml:space="preserve">75) sammenlignet med de som ble randomisert til gruppen </w:t>
      </w:r>
      <w:r w:rsidRPr="009C5EFD">
        <w:rPr>
          <w:sz w:val="22"/>
          <w:szCs w:val="22"/>
        </w:rPr>
        <w:t>med 0,4</w:t>
      </w:r>
      <w:r>
        <w:rPr>
          <w:sz w:val="22"/>
          <w:szCs w:val="22"/>
        </w:rPr>
        <w:t> </w:t>
      </w:r>
      <w:r w:rsidRPr="009C5EFD">
        <w:rPr>
          <w:sz w:val="22"/>
          <w:szCs w:val="22"/>
        </w:rPr>
        <w:t>mg/kg annenhver uke eller metotreksat.</w:t>
      </w:r>
    </w:p>
    <w:p w14:paraId="58EF0641" w14:textId="77777777" w:rsidR="002F0483" w:rsidRPr="009C5EFD" w:rsidRDefault="002F0483" w:rsidP="002F0483">
      <w:pPr>
        <w:rPr>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405"/>
        <w:gridCol w:w="1609"/>
        <w:gridCol w:w="3068"/>
      </w:tblGrid>
      <w:tr w:rsidR="004644D4" w14:paraId="78D2C5B1" w14:textId="77777777" w:rsidTr="002F0483">
        <w:trPr>
          <w:jc w:val="center"/>
        </w:trPr>
        <w:tc>
          <w:tcPr>
            <w:tcW w:w="5000" w:type="pct"/>
            <w:gridSpan w:val="3"/>
            <w:tcBorders>
              <w:top w:val="nil"/>
              <w:left w:val="nil"/>
              <w:bottom w:val="nil"/>
              <w:right w:val="nil"/>
            </w:tcBorders>
            <w:vAlign w:val="center"/>
          </w:tcPr>
          <w:p w14:paraId="64CFD6C2" w14:textId="77777777" w:rsidR="002F0483" w:rsidRPr="009C5EFD" w:rsidRDefault="00E453CD" w:rsidP="002F0483">
            <w:pPr>
              <w:keepNext/>
              <w:autoSpaceDE w:val="0"/>
              <w:autoSpaceDN w:val="0"/>
              <w:adjustRightInd w:val="0"/>
              <w:jc w:val="center"/>
              <w:rPr>
                <w:b/>
                <w:bCs/>
                <w:sz w:val="22"/>
                <w:szCs w:val="22"/>
              </w:rPr>
            </w:pPr>
            <w:r w:rsidRPr="009C5EFD">
              <w:rPr>
                <w:rStyle w:val="gtcbold9"/>
                <w:sz w:val="22"/>
                <w:szCs w:val="22"/>
              </w:rPr>
              <w:t xml:space="preserve">Tabell </w:t>
            </w:r>
            <w:r>
              <w:rPr>
                <w:rStyle w:val="gtcbold9"/>
                <w:sz w:val="22"/>
                <w:szCs w:val="22"/>
              </w:rPr>
              <w:t>19:</w:t>
            </w:r>
            <w:r w:rsidRPr="009C5EFD">
              <w:rPr>
                <w:rStyle w:val="gtcbold9"/>
                <w:sz w:val="22"/>
                <w:szCs w:val="22"/>
              </w:rPr>
              <w:t xml:space="preserve"> </w:t>
            </w:r>
            <w:r w:rsidRPr="007F67EE">
              <w:rPr>
                <w:b/>
                <w:bCs/>
                <w:sz w:val="22"/>
                <w:szCs w:val="22"/>
              </w:rPr>
              <w:t xml:space="preserve">Pediatrisk plakkpsoriasis </w:t>
            </w:r>
            <w:r w:rsidRPr="00193D76">
              <w:rPr>
                <w:b/>
                <w:bCs/>
                <w:sz w:val="22"/>
                <w:szCs w:val="22"/>
              </w:rPr>
              <w:t xml:space="preserve">– </w:t>
            </w:r>
            <w:r>
              <w:rPr>
                <w:b/>
                <w:bCs/>
                <w:sz w:val="22"/>
                <w:szCs w:val="22"/>
              </w:rPr>
              <w:t>effektresultater</w:t>
            </w:r>
            <w:r w:rsidRPr="009C5EFD">
              <w:rPr>
                <w:b/>
                <w:bCs/>
                <w:sz w:val="22"/>
                <w:szCs w:val="22"/>
              </w:rPr>
              <w:t xml:space="preserve"> ved uke 16</w:t>
            </w:r>
          </w:p>
          <w:p w14:paraId="146EC6F1" w14:textId="77777777" w:rsidR="002F0483" w:rsidRPr="009C5EFD" w:rsidRDefault="002F0483" w:rsidP="002F0483">
            <w:pPr>
              <w:keepNext/>
              <w:jc w:val="center"/>
              <w:rPr>
                <w:b/>
                <w:sz w:val="22"/>
                <w:szCs w:val="22"/>
              </w:rPr>
            </w:pPr>
          </w:p>
        </w:tc>
      </w:tr>
      <w:tr w:rsidR="004644D4" w14:paraId="57CF5E25" w14:textId="77777777" w:rsidTr="002F0483">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48F715B4" w14:textId="77777777" w:rsidR="002F0483" w:rsidRPr="009C5EFD" w:rsidRDefault="002F0483" w:rsidP="002F0483">
            <w:pPr>
              <w:rPr>
                <w:sz w:val="22"/>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4A0884B7" w14:textId="77777777" w:rsidR="002F0483" w:rsidRPr="009C5EFD" w:rsidRDefault="00E453CD" w:rsidP="002F0483">
            <w:pPr>
              <w:jc w:val="center"/>
              <w:rPr>
                <w:sz w:val="22"/>
                <w:szCs w:val="22"/>
              </w:rPr>
            </w:pPr>
            <w:r w:rsidRPr="009C5EFD">
              <w:rPr>
                <w:sz w:val="22"/>
                <w:szCs w:val="22"/>
              </w:rPr>
              <w:t>MTX</w:t>
            </w:r>
            <w:r w:rsidRPr="009C5EFD">
              <w:rPr>
                <w:sz w:val="22"/>
                <w:szCs w:val="22"/>
                <w:vertAlign w:val="superscript"/>
              </w:rPr>
              <w:t>a</w:t>
            </w:r>
            <w:r w:rsidRPr="009C5EFD">
              <w:rPr>
                <w:sz w:val="22"/>
                <w:szCs w:val="22"/>
              </w:rPr>
              <w:b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43D830A7" w14:textId="77777777" w:rsidR="002F0483" w:rsidRPr="00DD5322" w:rsidRDefault="00E453CD" w:rsidP="002F0483">
            <w:pPr>
              <w:jc w:val="center"/>
              <w:rPr>
                <w:sz w:val="22"/>
                <w:szCs w:val="22"/>
              </w:rPr>
            </w:pPr>
            <w:r w:rsidRPr="00DD5322">
              <w:rPr>
                <w:sz w:val="22"/>
                <w:szCs w:val="22"/>
              </w:rPr>
              <w:t>Humira 0,8 mg/kg annenhver uke</w:t>
            </w:r>
            <w:r w:rsidRPr="00DD5322">
              <w:rPr>
                <w:sz w:val="22"/>
                <w:szCs w:val="22"/>
              </w:rPr>
              <w:br/>
              <w:t xml:space="preserve">N=38 </w:t>
            </w:r>
          </w:p>
        </w:tc>
      </w:tr>
      <w:tr w:rsidR="004644D4" w14:paraId="719273FC" w14:textId="77777777" w:rsidTr="002F0483">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495B855C" w14:textId="77777777" w:rsidR="002F0483" w:rsidRPr="007F67EE" w:rsidRDefault="00E453CD" w:rsidP="002F0483">
            <w:pPr>
              <w:rPr>
                <w:sz w:val="22"/>
                <w:szCs w:val="22"/>
              </w:rPr>
            </w:pPr>
            <w:r w:rsidRPr="007F67EE">
              <w:rPr>
                <w:sz w:val="22"/>
                <w:szCs w:val="22"/>
              </w:rPr>
              <w:t> </w:t>
            </w:r>
            <w:r w:rsidRPr="007F67EE">
              <w:rPr>
                <w:sz w:val="22"/>
                <w:szCs w:val="22"/>
              </w:rPr>
              <w:t>PASI 75</w:t>
            </w:r>
            <w:r w:rsidRPr="007F67EE">
              <w:rPr>
                <w:sz w:val="22"/>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5718050B" w14:textId="77777777" w:rsidR="002F0483" w:rsidRPr="00193D76" w:rsidRDefault="00E453CD" w:rsidP="002F0483">
            <w:pPr>
              <w:jc w:val="center"/>
              <w:rPr>
                <w:sz w:val="22"/>
                <w:szCs w:val="22"/>
              </w:rPr>
            </w:pPr>
            <w:r w:rsidRPr="00193D76">
              <w:rPr>
                <w:sz w:val="22"/>
                <w:szCs w:val="22"/>
              </w:rPr>
              <w:t>12 (32,4 %)</w:t>
            </w:r>
          </w:p>
        </w:tc>
        <w:tc>
          <w:tcPr>
            <w:tcW w:w="1898" w:type="pct"/>
            <w:tcBorders>
              <w:top w:val="single" w:sz="6" w:space="0" w:color="000000"/>
              <w:left w:val="single" w:sz="6" w:space="0" w:color="000000"/>
              <w:bottom w:val="outset" w:sz="6" w:space="0" w:color="auto"/>
              <w:right w:val="single" w:sz="6" w:space="0" w:color="000000"/>
            </w:tcBorders>
            <w:vAlign w:val="center"/>
          </w:tcPr>
          <w:p w14:paraId="4F86630B" w14:textId="77777777" w:rsidR="002F0483" w:rsidRPr="002D0790" w:rsidRDefault="00E453CD" w:rsidP="002F0483">
            <w:pPr>
              <w:jc w:val="center"/>
              <w:rPr>
                <w:sz w:val="22"/>
                <w:szCs w:val="22"/>
              </w:rPr>
            </w:pPr>
            <w:r w:rsidRPr="002D0790">
              <w:rPr>
                <w:sz w:val="22"/>
                <w:szCs w:val="22"/>
              </w:rPr>
              <w:t>22 (57,9 %)</w:t>
            </w:r>
          </w:p>
        </w:tc>
      </w:tr>
      <w:tr w:rsidR="004644D4" w14:paraId="20977564" w14:textId="77777777" w:rsidTr="002F0483">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1A788655" w14:textId="77777777" w:rsidR="002F0483" w:rsidRPr="009C5EFD" w:rsidRDefault="00E453CD" w:rsidP="002F0483">
            <w:pPr>
              <w:rPr>
                <w:sz w:val="22"/>
                <w:szCs w:val="22"/>
              </w:rPr>
            </w:pPr>
            <w:r w:rsidRPr="007F67EE">
              <w:rPr>
                <w:sz w:val="22"/>
                <w:szCs w:val="22"/>
              </w:rPr>
              <w:t> </w:t>
            </w:r>
            <w:r w:rsidRPr="007F67EE">
              <w:rPr>
                <w:sz w:val="22"/>
                <w:szCs w:val="22"/>
              </w:rPr>
              <w:t xml:space="preserve">PGA: </w:t>
            </w:r>
            <w:r>
              <w:rPr>
                <w:sz w:val="22"/>
                <w:szCs w:val="22"/>
              </w:rPr>
              <w:t>«</w:t>
            </w:r>
            <w:r w:rsidRPr="007F67EE">
              <w:rPr>
                <w:sz w:val="22"/>
                <w:szCs w:val="22"/>
              </w:rPr>
              <w:t>Klar</w:t>
            </w:r>
            <w:r>
              <w:rPr>
                <w:sz w:val="22"/>
                <w:szCs w:val="22"/>
              </w:rPr>
              <w:t>»</w:t>
            </w:r>
            <w:r w:rsidRPr="002D0790">
              <w:rPr>
                <w:sz w:val="22"/>
                <w:szCs w:val="22"/>
              </w:rPr>
              <w:t>/minimal</w:t>
            </w:r>
            <w:r w:rsidRPr="00E14E58">
              <w:rPr>
                <w:sz w:val="22"/>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1CC6210E" w14:textId="77777777" w:rsidR="002F0483" w:rsidRPr="009C5EFD" w:rsidRDefault="00E453CD" w:rsidP="002F0483">
            <w:pPr>
              <w:jc w:val="center"/>
              <w:rPr>
                <w:sz w:val="22"/>
                <w:szCs w:val="22"/>
              </w:rPr>
            </w:pPr>
            <w:r w:rsidRPr="009C5EFD">
              <w:rPr>
                <w:sz w:val="22"/>
                <w:szCs w:val="22"/>
              </w:rPr>
              <w:t>15 (40,5 %)</w:t>
            </w:r>
          </w:p>
        </w:tc>
        <w:tc>
          <w:tcPr>
            <w:tcW w:w="1898" w:type="pct"/>
            <w:tcBorders>
              <w:top w:val="single" w:sz="6" w:space="0" w:color="000000"/>
              <w:left w:val="single" w:sz="6" w:space="0" w:color="000000"/>
              <w:bottom w:val="single" w:sz="6" w:space="0" w:color="000000"/>
              <w:right w:val="single" w:sz="6" w:space="0" w:color="000000"/>
            </w:tcBorders>
            <w:vAlign w:val="center"/>
          </w:tcPr>
          <w:p w14:paraId="77EED612" w14:textId="77777777" w:rsidR="002F0483" w:rsidRPr="009C5EFD" w:rsidRDefault="00E453CD" w:rsidP="002F0483">
            <w:pPr>
              <w:jc w:val="center"/>
              <w:rPr>
                <w:sz w:val="22"/>
                <w:szCs w:val="22"/>
              </w:rPr>
            </w:pPr>
            <w:r w:rsidRPr="009C5EFD">
              <w:rPr>
                <w:sz w:val="22"/>
                <w:szCs w:val="22"/>
              </w:rPr>
              <w:t>23 (60,5 %)</w:t>
            </w:r>
          </w:p>
        </w:tc>
      </w:tr>
      <w:tr w:rsidR="004644D4" w14:paraId="0F5444E6" w14:textId="77777777" w:rsidTr="002F0483">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6D7F32C0" w14:textId="77777777" w:rsidR="002F0483" w:rsidRPr="00DD5322" w:rsidRDefault="00E453CD" w:rsidP="002F0483">
            <w:pPr>
              <w:rPr>
                <w:sz w:val="22"/>
                <w:szCs w:val="22"/>
              </w:rPr>
            </w:pPr>
            <w:r w:rsidRPr="00DD5322">
              <w:rPr>
                <w:sz w:val="22"/>
                <w:szCs w:val="22"/>
                <w:vertAlign w:val="superscript"/>
              </w:rPr>
              <w:t xml:space="preserve">a </w:t>
            </w:r>
            <w:r w:rsidRPr="00DD5322">
              <w:rPr>
                <w:sz w:val="22"/>
                <w:szCs w:val="22"/>
              </w:rPr>
              <w:t>MTX = metotreksat</w:t>
            </w:r>
          </w:p>
          <w:p w14:paraId="43CADD25" w14:textId="77777777" w:rsidR="002F0483" w:rsidRPr="00DD5322" w:rsidRDefault="00E453CD" w:rsidP="002F0483">
            <w:pPr>
              <w:rPr>
                <w:sz w:val="22"/>
                <w:szCs w:val="22"/>
              </w:rPr>
            </w:pPr>
            <w:r w:rsidRPr="00DD5322">
              <w:rPr>
                <w:sz w:val="22"/>
                <w:szCs w:val="22"/>
                <w:vertAlign w:val="superscript"/>
              </w:rPr>
              <w:t>b</w:t>
            </w:r>
            <w:r w:rsidRPr="00DD5322">
              <w:rPr>
                <w:sz w:val="22"/>
                <w:szCs w:val="22"/>
              </w:rPr>
              <w:t xml:space="preserve"> p=0,027, Humira 0,8 mg/kg vs. MTX</w:t>
            </w:r>
          </w:p>
          <w:p w14:paraId="5892B5C6" w14:textId="77777777" w:rsidR="002F0483" w:rsidRPr="001424DB" w:rsidRDefault="00E453CD" w:rsidP="002F0483">
            <w:pPr>
              <w:rPr>
                <w:sz w:val="22"/>
                <w:szCs w:val="22"/>
                <w:lang w:val="sv-SE"/>
              </w:rPr>
            </w:pPr>
            <w:r w:rsidRPr="001424DB">
              <w:rPr>
                <w:sz w:val="22"/>
                <w:szCs w:val="22"/>
                <w:vertAlign w:val="superscript"/>
                <w:lang w:val="sv-SE"/>
              </w:rPr>
              <w:t>c</w:t>
            </w:r>
            <w:r w:rsidRPr="001424DB">
              <w:rPr>
                <w:sz w:val="22"/>
                <w:szCs w:val="22"/>
                <w:lang w:val="sv-SE"/>
              </w:rPr>
              <w:t xml:space="preserve"> p=0,083, Humira 0,8 mg/kg vs. MTX</w:t>
            </w:r>
          </w:p>
        </w:tc>
      </w:tr>
    </w:tbl>
    <w:p w14:paraId="2EE3E879" w14:textId="77777777" w:rsidR="002F0483" w:rsidRPr="009C5EFD" w:rsidRDefault="002F0483" w:rsidP="002F0483">
      <w:pPr>
        <w:rPr>
          <w:sz w:val="22"/>
          <w:szCs w:val="22"/>
          <w:lang w:val="sv-SE"/>
        </w:rPr>
      </w:pPr>
    </w:p>
    <w:p w14:paraId="785A3748" w14:textId="77777777" w:rsidR="002F0483" w:rsidRPr="009C5EFD" w:rsidRDefault="00E453CD" w:rsidP="002F0483">
      <w:pPr>
        <w:pStyle w:val="Heading8"/>
        <w:keepNext w:val="0"/>
        <w:rPr>
          <w:szCs w:val="22"/>
          <w:u w:val="none"/>
        </w:rPr>
      </w:pPr>
      <w:r w:rsidRPr="009C5EFD">
        <w:rPr>
          <w:szCs w:val="22"/>
          <w:u w:val="none"/>
        </w:rPr>
        <w:t xml:space="preserve">Pasienter som oppnådde PASI 75 og PGA </w:t>
      </w:r>
      <w:r>
        <w:rPr>
          <w:szCs w:val="22"/>
          <w:u w:val="none"/>
        </w:rPr>
        <w:t>«</w:t>
      </w:r>
      <w:r w:rsidRPr="009C5EFD">
        <w:rPr>
          <w:szCs w:val="22"/>
          <w:u w:val="none"/>
        </w:rPr>
        <w:t>klar</w:t>
      </w:r>
      <w:r>
        <w:rPr>
          <w:szCs w:val="22"/>
          <w:u w:val="none"/>
        </w:rPr>
        <w:t>»</w:t>
      </w:r>
      <w:r w:rsidRPr="009C5EFD">
        <w:rPr>
          <w:szCs w:val="22"/>
          <w:u w:val="none"/>
        </w:rPr>
        <w:t xml:space="preserve"> eller minimal fikk stoppet behandlingen i opptil 36</w:t>
      </w:r>
      <w:r>
        <w:rPr>
          <w:szCs w:val="22"/>
          <w:u w:val="none"/>
        </w:rPr>
        <w:t> </w:t>
      </w:r>
      <w:r w:rsidRPr="009C5EFD">
        <w:rPr>
          <w:szCs w:val="22"/>
          <w:u w:val="none"/>
        </w:rPr>
        <w:t>uker og ble overvåket for tap av sykdomskontroll (f.eks. foverring av PGA med minst 2 i score). Pasientene ble deretter re-behandlet med adalimumab 0,8</w:t>
      </w:r>
      <w:r>
        <w:rPr>
          <w:szCs w:val="22"/>
          <w:u w:val="none"/>
        </w:rPr>
        <w:t> </w:t>
      </w:r>
      <w:r w:rsidRPr="009C5EFD">
        <w:rPr>
          <w:szCs w:val="22"/>
          <w:u w:val="none"/>
        </w:rPr>
        <w:t>mg/kg annenhver uke i 16</w:t>
      </w:r>
      <w:r>
        <w:rPr>
          <w:szCs w:val="22"/>
          <w:u w:val="none"/>
        </w:rPr>
        <w:t> </w:t>
      </w:r>
      <w:r w:rsidRPr="009C5EFD">
        <w:rPr>
          <w:szCs w:val="22"/>
          <w:u w:val="none"/>
        </w:rPr>
        <w:t>tilleggsuker, og responsraten observert under re-behandling var tilsvarende funn fra tidligere dobbeltblindet periode: PASI</w:t>
      </w:r>
      <w:r>
        <w:rPr>
          <w:szCs w:val="22"/>
          <w:u w:val="none"/>
        </w:rPr>
        <w:t> </w:t>
      </w:r>
      <w:r w:rsidRPr="009C5EFD">
        <w:rPr>
          <w:szCs w:val="22"/>
          <w:u w:val="none"/>
        </w:rPr>
        <w:t>75 respons på 78,9</w:t>
      </w:r>
      <w:r>
        <w:rPr>
          <w:szCs w:val="22"/>
          <w:u w:val="none"/>
        </w:rPr>
        <w:t> </w:t>
      </w:r>
      <w:r w:rsidRPr="009C5EFD">
        <w:rPr>
          <w:szCs w:val="22"/>
          <w:u w:val="none"/>
        </w:rPr>
        <w:t>% (15 av 19</w:t>
      </w:r>
      <w:r>
        <w:rPr>
          <w:szCs w:val="22"/>
          <w:u w:val="none"/>
        </w:rPr>
        <w:t> </w:t>
      </w:r>
      <w:r w:rsidRPr="009C5EFD">
        <w:rPr>
          <w:szCs w:val="22"/>
          <w:u w:val="none"/>
        </w:rPr>
        <w:t xml:space="preserve">personer) og PGA </w:t>
      </w:r>
      <w:r>
        <w:rPr>
          <w:szCs w:val="22"/>
          <w:u w:val="none"/>
        </w:rPr>
        <w:t>«</w:t>
      </w:r>
      <w:r w:rsidRPr="009C5EFD">
        <w:rPr>
          <w:szCs w:val="22"/>
          <w:u w:val="none"/>
        </w:rPr>
        <w:t>klar</w:t>
      </w:r>
      <w:r>
        <w:rPr>
          <w:szCs w:val="22"/>
          <w:u w:val="none"/>
        </w:rPr>
        <w:t>»</w:t>
      </w:r>
      <w:r w:rsidRPr="009C5EFD">
        <w:rPr>
          <w:szCs w:val="22"/>
          <w:u w:val="none"/>
        </w:rPr>
        <w:t xml:space="preserve"> eller minimal på 52,6</w:t>
      </w:r>
      <w:r>
        <w:rPr>
          <w:szCs w:val="22"/>
          <w:u w:val="none"/>
        </w:rPr>
        <w:t> </w:t>
      </w:r>
      <w:r w:rsidRPr="009C5EFD">
        <w:rPr>
          <w:szCs w:val="22"/>
          <w:u w:val="none"/>
        </w:rPr>
        <w:t>% (10 av 19</w:t>
      </w:r>
      <w:r>
        <w:rPr>
          <w:szCs w:val="22"/>
          <w:u w:val="none"/>
        </w:rPr>
        <w:t> </w:t>
      </w:r>
      <w:r w:rsidRPr="009C5EFD">
        <w:rPr>
          <w:szCs w:val="22"/>
          <w:u w:val="none"/>
        </w:rPr>
        <w:t>personer).</w:t>
      </w:r>
    </w:p>
    <w:p w14:paraId="3807B061" w14:textId="77777777" w:rsidR="002F0483" w:rsidRPr="009C5EFD" w:rsidRDefault="002F0483" w:rsidP="002F0483">
      <w:pPr>
        <w:rPr>
          <w:sz w:val="22"/>
          <w:szCs w:val="22"/>
        </w:rPr>
      </w:pPr>
    </w:p>
    <w:p w14:paraId="1A065062" w14:textId="77777777" w:rsidR="002F0483" w:rsidRPr="009C5EFD" w:rsidRDefault="00E453CD" w:rsidP="002F0483">
      <w:pPr>
        <w:rPr>
          <w:sz w:val="22"/>
          <w:szCs w:val="22"/>
        </w:rPr>
      </w:pPr>
      <w:r w:rsidRPr="009C5EFD">
        <w:rPr>
          <w:sz w:val="22"/>
          <w:szCs w:val="22"/>
        </w:rPr>
        <w:t xml:space="preserve">I den åpne perioden av studien, ble PASI 75 og PGA </w:t>
      </w:r>
      <w:r>
        <w:rPr>
          <w:sz w:val="22"/>
          <w:szCs w:val="22"/>
        </w:rPr>
        <w:t>«</w:t>
      </w:r>
      <w:r w:rsidRPr="009C5EFD">
        <w:rPr>
          <w:sz w:val="22"/>
          <w:szCs w:val="22"/>
        </w:rPr>
        <w:t>klar</w:t>
      </w:r>
      <w:r>
        <w:rPr>
          <w:sz w:val="22"/>
          <w:szCs w:val="22"/>
        </w:rPr>
        <w:t>»</w:t>
      </w:r>
      <w:r w:rsidRPr="009C5EFD">
        <w:rPr>
          <w:sz w:val="22"/>
          <w:szCs w:val="22"/>
        </w:rPr>
        <w:t xml:space="preserve"> eller minimal opprettholdt i en tilleggsperiode på 52</w:t>
      </w:r>
      <w:r>
        <w:rPr>
          <w:sz w:val="22"/>
          <w:szCs w:val="22"/>
        </w:rPr>
        <w:t> </w:t>
      </w:r>
      <w:r w:rsidRPr="009C5EFD">
        <w:rPr>
          <w:sz w:val="22"/>
          <w:szCs w:val="22"/>
        </w:rPr>
        <w:t>uker uten nye sikkerhetsfunn.</w:t>
      </w:r>
    </w:p>
    <w:p w14:paraId="7F467C97" w14:textId="77777777" w:rsidR="002F0483" w:rsidRPr="009C5EFD" w:rsidRDefault="002F0483" w:rsidP="002F0483">
      <w:pPr>
        <w:rPr>
          <w:sz w:val="22"/>
          <w:szCs w:val="22"/>
        </w:rPr>
      </w:pPr>
    </w:p>
    <w:p w14:paraId="4E26A783" w14:textId="77777777" w:rsidR="002F0483" w:rsidRPr="00193D76" w:rsidRDefault="00E453CD" w:rsidP="002F0483">
      <w:pPr>
        <w:keepNext/>
        <w:rPr>
          <w:sz w:val="22"/>
          <w:szCs w:val="22"/>
          <w:u w:val="single"/>
        </w:rPr>
      </w:pPr>
      <w:r w:rsidRPr="001F5D4B">
        <w:rPr>
          <w:i/>
          <w:sz w:val="22"/>
          <w:szCs w:val="22"/>
        </w:rPr>
        <w:t>Pediatrisk Crohns sykdom</w:t>
      </w:r>
    </w:p>
    <w:p w14:paraId="3BF533C4" w14:textId="77777777" w:rsidR="002F0483" w:rsidRPr="002D0790" w:rsidRDefault="002F0483" w:rsidP="002F0483">
      <w:pPr>
        <w:keepNext/>
        <w:rPr>
          <w:sz w:val="22"/>
          <w:szCs w:val="22"/>
          <w:u w:val="single"/>
        </w:rPr>
      </w:pPr>
    </w:p>
    <w:p w14:paraId="48CFC49D" w14:textId="77777777" w:rsidR="002F0483" w:rsidRPr="009C5EFD" w:rsidRDefault="00E453CD" w:rsidP="002F0483">
      <w:pPr>
        <w:rPr>
          <w:sz w:val="22"/>
          <w:szCs w:val="22"/>
        </w:rPr>
      </w:pPr>
      <w:r w:rsidRPr="002D0790">
        <w:rPr>
          <w:sz w:val="22"/>
          <w:szCs w:val="22"/>
        </w:rPr>
        <w:t>Humira ble vurdert i en multisenter, randomisert, dobbeltblind</w:t>
      </w:r>
      <w:r w:rsidRPr="00E14E58">
        <w:rPr>
          <w:sz w:val="22"/>
          <w:szCs w:val="22"/>
        </w:rPr>
        <w:t>et</w:t>
      </w:r>
      <w:r w:rsidRPr="009C5EFD">
        <w:rPr>
          <w:sz w:val="22"/>
          <w:szCs w:val="22"/>
        </w:rPr>
        <w:t xml:space="preserve"> klinisk studie designet for å </w:t>
      </w:r>
      <w:r w:rsidR="00421CF7">
        <w:rPr>
          <w:sz w:val="22"/>
          <w:szCs w:val="22"/>
        </w:rPr>
        <w:t>vurdere</w:t>
      </w:r>
      <w:r w:rsidRPr="009C5EFD">
        <w:rPr>
          <w:sz w:val="22"/>
          <w:szCs w:val="22"/>
        </w:rPr>
        <w:t xml:space="preserve"> effekt og sikkerhet av induksjons- og vedlikeholdsbehandling med doser avhenging av kroppsvekt (&lt;</w:t>
      </w:r>
      <w:r>
        <w:rPr>
          <w:sz w:val="22"/>
          <w:szCs w:val="22"/>
        </w:rPr>
        <w:t> </w:t>
      </w:r>
      <w:r w:rsidRPr="009C5EFD">
        <w:rPr>
          <w:sz w:val="22"/>
          <w:szCs w:val="22"/>
        </w:rPr>
        <w:t>40 kg eller ≥</w:t>
      </w:r>
      <w:r>
        <w:rPr>
          <w:sz w:val="22"/>
          <w:szCs w:val="22"/>
        </w:rPr>
        <w:t> </w:t>
      </w:r>
      <w:r w:rsidRPr="009C5EFD">
        <w:rPr>
          <w:sz w:val="22"/>
          <w:szCs w:val="22"/>
        </w:rPr>
        <w:t>40</w:t>
      </w:r>
      <w:r>
        <w:rPr>
          <w:sz w:val="22"/>
          <w:szCs w:val="22"/>
        </w:rPr>
        <w:t> </w:t>
      </w:r>
      <w:r w:rsidRPr="009C5EFD">
        <w:rPr>
          <w:sz w:val="22"/>
          <w:szCs w:val="22"/>
        </w:rPr>
        <w:t>kg) hos 192</w:t>
      </w:r>
      <w:r>
        <w:rPr>
          <w:sz w:val="22"/>
          <w:szCs w:val="22"/>
        </w:rPr>
        <w:t> </w:t>
      </w:r>
      <w:r w:rsidRPr="009C5EFD">
        <w:rPr>
          <w:sz w:val="22"/>
          <w:szCs w:val="22"/>
        </w:rPr>
        <w:t>pediatriske pasienter i alderen mellom 6 og 17</w:t>
      </w:r>
      <w:r>
        <w:rPr>
          <w:sz w:val="22"/>
          <w:szCs w:val="22"/>
        </w:rPr>
        <w:t> </w:t>
      </w:r>
      <w:r w:rsidRPr="009C5EFD">
        <w:rPr>
          <w:sz w:val="22"/>
          <w:szCs w:val="22"/>
        </w:rPr>
        <w:t>år (inklusiv) med moderat til alvorlig Crohns sykdom (CD), definert som Pediatri</w:t>
      </w:r>
      <w:r>
        <w:rPr>
          <w:sz w:val="22"/>
          <w:szCs w:val="22"/>
        </w:rPr>
        <w:t>c</w:t>
      </w:r>
      <w:r w:rsidRPr="009C5EFD">
        <w:rPr>
          <w:sz w:val="22"/>
          <w:szCs w:val="22"/>
        </w:rPr>
        <w:t xml:space="preserve"> Crohn</w:t>
      </w:r>
      <w:r>
        <w:rPr>
          <w:sz w:val="22"/>
          <w:szCs w:val="22"/>
        </w:rPr>
        <w:t>’</w:t>
      </w:r>
      <w:r w:rsidRPr="009C5EFD">
        <w:rPr>
          <w:sz w:val="22"/>
          <w:szCs w:val="22"/>
        </w:rPr>
        <w:t xml:space="preserve">s </w:t>
      </w:r>
      <w:r w:rsidRPr="008138BF">
        <w:rPr>
          <w:sz w:val="22"/>
          <w:szCs w:val="22"/>
        </w:rPr>
        <w:t>Disease</w:t>
      </w:r>
      <w:r w:rsidRPr="009C5EFD">
        <w:rPr>
          <w:sz w:val="22"/>
          <w:szCs w:val="22"/>
        </w:rPr>
        <w:t xml:space="preserve"> Activity Index (PCDAI) score &gt;</w:t>
      </w:r>
      <w:r>
        <w:rPr>
          <w:sz w:val="22"/>
          <w:szCs w:val="22"/>
        </w:rPr>
        <w:t> </w:t>
      </w:r>
      <w:r w:rsidRPr="009C5EFD">
        <w:rPr>
          <w:sz w:val="22"/>
          <w:szCs w:val="22"/>
        </w:rPr>
        <w:t xml:space="preserve">30. Pasientene måtte ha mislyktes på </w:t>
      </w:r>
      <w:r>
        <w:rPr>
          <w:sz w:val="22"/>
          <w:szCs w:val="22"/>
        </w:rPr>
        <w:t>konvensjonell behandling</w:t>
      </w:r>
      <w:r w:rsidRPr="009C5EFD">
        <w:rPr>
          <w:sz w:val="22"/>
          <w:szCs w:val="22"/>
        </w:rPr>
        <w:t xml:space="preserve"> (inkludert et kortikosteroid og/eller et immunmodulerende middel) for CD. Pasientene kan også tidligere ha mistet respons eller vært intolerante overfor infliksimab.</w:t>
      </w:r>
    </w:p>
    <w:p w14:paraId="65B68FC7" w14:textId="77777777" w:rsidR="002F0483" w:rsidRPr="009C5EFD" w:rsidRDefault="002F0483" w:rsidP="002F0483">
      <w:pPr>
        <w:rPr>
          <w:sz w:val="22"/>
          <w:szCs w:val="22"/>
        </w:rPr>
      </w:pPr>
    </w:p>
    <w:p w14:paraId="27B6AFD8" w14:textId="77777777" w:rsidR="002F0483" w:rsidRPr="009C5EFD" w:rsidRDefault="00E453CD" w:rsidP="002F0483">
      <w:pPr>
        <w:rPr>
          <w:sz w:val="22"/>
          <w:szCs w:val="22"/>
        </w:rPr>
      </w:pPr>
      <w:r w:rsidRPr="009C5EFD">
        <w:rPr>
          <w:sz w:val="22"/>
          <w:szCs w:val="22"/>
        </w:rPr>
        <w:t>Alle pasienter fikk åpen induksjonsbehandling med en dose basert på deres baseline kroppsvekt: 160</w:t>
      </w:r>
      <w:r>
        <w:rPr>
          <w:sz w:val="22"/>
          <w:szCs w:val="22"/>
        </w:rPr>
        <w:t> </w:t>
      </w:r>
      <w:r w:rsidRPr="009C5EFD">
        <w:rPr>
          <w:sz w:val="22"/>
          <w:szCs w:val="22"/>
        </w:rPr>
        <w:t>mg ved uke</w:t>
      </w:r>
      <w:r>
        <w:rPr>
          <w:sz w:val="22"/>
          <w:szCs w:val="22"/>
        </w:rPr>
        <w:t> </w:t>
      </w:r>
      <w:r w:rsidRPr="009C5EFD">
        <w:rPr>
          <w:sz w:val="22"/>
          <w:szCs w:val="22"/>
        </w:rPr>
        <w:t>0 og 80</w:t>
      </w:r>
      <w:r>
        <w:rPr>
          <w:sz w:val="22"/>
          <w:szCs w:val="22"/>
        </w:rPr>
        <w:t> </w:t>
      </w:r>
      <w:r w:rsidRPr="009C5EFD">
        <w:rPr>
          <w:sz w:val="22"/>
          <w:szCs w:val="22"/>
        </w:rPr>
        <w:t>mg ved uke</w:t>
      </w:r>
      <w:r>
        <w:rPr>
          <w:sz w:val="22"/>
          <w:szCs w:val="22"/>
        </w:rPr>
        <w:t> </w:t>
      </w:r>
      <w:r w:rsidRPr="009C5EFD">
        <w:rPr>
          <w:sz w:val="22"/>
          <w:szCs w:val="22"/>
        </w:rPr>
        <w:t>2 for pasienter ≥</w:t>
      </w:r>
      <w:r>
        <w:rPr>
          <w:sz w:val="22"/>
          <w:szCs w:val="22"/>
        </w:rPr>
        <w:t> </w:t>
      </w:r>
      <w:r w:rsidRPr="009C5EFD">
        <w:rPr>
          <w:sz w:val="22"/>
          <w:szCs w:val="22"/>
        </w:rPr>
        <w:t>40</w:t>
      </w:r>
      <w:r>
        <w:rPr>
          <w:sz w:val="22"/>
          <w:szCs w:val="22"/>
        </w:rPr>
        <w:t> </w:t>
      </w:r>
      <w:r w:rsidRPr="009C5EFD">
        <w:rPr>
          <w:sz w:val="22"/>
          <w:szCs w:val="22"/>
        </w:rPr>
        <w:t>kg, og henholdsvis 80</w:t>
      </w:r>
      <w:r>
        <w:rPr>
          <w:sz w:val="22"/>
          <w:szCs w:val="22"/>
        </w:rPr>
        <w:t> </w:t>
      </w:r>
      <w:r w:rsidRPr="009C5EFD">
        <w:rPr>
          <w:sz w:val="22"/>
          <w:szCs w:val="22"/>
        </w:rPr>
        <w:t>mg og 40</w:t>
      </w:r>
      <w:r>
        <w:rPr>
          <w:sz w:val="22"/>
          <w:szCs w:val="22"/>
        </w:rPr>
        <w:t> </w:t>
      </w:r>
      <w:r w:rsidRPr="009C5EFD">
        <w:rPr>
          <w:sz w:val="22"/>
          <w:szCs w:val="22"/>
        </w:rPr>
        <w:t>mg for pasienter &lt;</w:t>
      </w:r>
      <w:r>
        <w:rPr>
          <w:sz w:val="22"/>
          <w:szCs w:val="22"/>
        </w:rPr>
        <w:t> </w:t>
      </w:r>
      <w:r w:rsidRPr="009C5EFD">
        <w:rPr>
          <w:sz w:val="22"/>
          <w:szCs w:val="22"/>
        </w:rPr>
        <w:t>40</w:t>
      </w:r>
      <w:r>
        <w:rPr>
          <w:sz w:val="22"/>
          <w:szCs w:val="22"/>
        </w:rPr>
        <w:t> </w:t>
      </w:r>
      <w:r w:rsidRPr="009C5EFD">
        <w:rPr>
          <w:sz w:val="22"/>
          <w:szCs w:val="22"/>
        </w:rPr>
        <w:t>kg.</w:t>
      </w:r>
    </w:p>
    <w:p w14:paraId="2684B030" w14:textId="77777777" w:rsidR="002F0483" w:rsidRPr="009C5EFD" w:rsidRDefault="002F0483" w:rsidP="002F0483">
      <w:pPr>
        <w:rPr>
          <w:sz w:val="22"/>
          <w:szCs w:val="22"/>
        </w:rPr>
      </w:pPr>
    </w:p>
    <w:p w14:paraId="4B67D630" w14:textId="77777777" w:rsidR="002F0483" w:rsidRPr="009C5EFD" w:rsidRDefault="00E453CD" w:rsidP="002F0483">
      <w:pPr>
        <w:rPr>
          <w:sz w:val="22"/>
          <w:szCs w:val="22"/>
        </w:rPr>
      </w:pPr>
      <w:r w:rsidRPr="009C5EFD">
        <w:rPr>
          <w:sz w:val="22"/>
          <w:szCs w:val="22"/>
        </w:rPr>
        <w:t>Ved uke</w:t>
      </w:r>
      <w:r>
        <w:rPr>
          <w:sz w:val="22"/>
          <w:szCs w:val="22"/>
        </w:rPr>
        <w:t> </w:t>
      </w:r>
      <w:r w:rsidRPr="009C5EFD">
        <w:rPr>
          <w:sz w:val="22"/>
          <w:szCs w:val="22"/>
        </w:rPr>
        <w:t>4 ble pasientene randomisert til vedlikeholdsbehandling 1:1 basert på deres kroppsvekt til enten lav dose eller standard dose som vist i tabell</w:t>
      </w:r>
      <w:r>
        <w:rPr>
          <w:sz w:val="22"/>
          <w:szCs w:val="22"/>
        </w:rPr>
        <w:t> 20</w:t>
      </w:r>
      <w:r w:rsidRPr="009C5EFD">
        <w:rPr>
          <w:sz w:val="22"/>
          <w:szCs w:val="22"/>
        </w:rPr>
        <w:t>.</w:t>
      </w:r>
    </w:p>
    <w:p w14:paraId="6990C47B" w14:textId="77777777" w:rsidR="002F0483" w:rsidRDefault="002F0483" w:rsidP="002F0483">
      <w:pPr>
        <w:rPr>
          <w:sz w:val="22"/>
          <w:szCs w:val="22"/>
        </w:rPr>
      </w:pPr>
    </w:p>
    <w:p w14:paraId="71CE82BD" w14:textId="77777777" w:rsidR="002F0483" w:rsidRDefault="00E453CD" w:rsidP="00BA47BC">
      <w:pPr>
        <w:pStyle w:val="EMEANormal"/>
        <w:keepNext/>
        <w:jc w:val="center"/>
        <w:rPr>
          <w:b/>
          <w:lang w:val="en-GB"/>
        </w:rPr>
      </w:pPr>
      <w:r w:rsidRPr="009C5EFD">
        <w:rPr>
          <w:b/>
          <w:szCs w:val="24"/>
          <w:lang w:val="en-GB"/>
        </w:rPr>
        <w:t xml:space="preserve">Tabell </w:t>
      </w:r>
      <w:r>
        <w:rPr>
          <w:b/>
          <w:szCs w:val="24"/>
          <w:lang w:val="en-GB"/>
        </w:rPr>
        <w:t xml:space="preserve">20 </w:t>
      </w:r>
    </w:p>
    <w:p w14:paraId="1A7A879F" w14:textId="77777777" w:rsidR="002F0483" w:rsidRPr="00EE4677" w:rsidRDefault="00E453CD" w:rsidP="00BA47BC">
      <w:pPr>
        <w:pStyle w:val="EMEANormal"/>
        <w:keepNext/>
        <w:jc w:val="center"/>
        <w:rPr>
          <w:b/>
          <w:lang w:val="en-GB"/>
        </w:rPr>
      </w:pPr>
      <w:r w:rsidRPr="009C5EFD">
        <w:rPr>
          <w:b/>
          <w:szCs w:val="24"/>
          <w:lang w:val="en-GB"/>
        </w:rPr>
        <w:t>Vedlikeholdsbehandling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2116"/>
        <w:gridCol w:w="2116"/>
      </w:tblGrid>
      <w:tr w:rsidR="004644D4" w14:paraId="027FA680" w14:textId="77777777" w:rsidTr="00BA47BC">
        <w:trPr>
          <w:jc w:val="center"/>
        </w:trPr>
        <w:tc>
          <w:tcPr>
            <w:tcW w:w="0" w:type="auto"/>
            <w:vAlign w:val="center"/>
          </w:tcPr>
          <w:p w14:paraId="69B19515" w14:textId="77777777" w:rsidR="002F0483" w:rsidRPr="007F67EE" w:rsidRDefault="00E453CD" w:rsidP="00BA47BC">
            <w:pPr>
              <w:pStyle w:val="EMEANormal"/>
              <w:keepNext/>
              <w:rPr>
                <w:b/>
                <w:szCs w:val="24"/>
                <w:lang w:val="en-GB"/>
              </w:rPr>
            </w:pPr>
            <w:r w:rsidRPr="007F67EE">
              <w:rPr>
                <w:b/>
                <w:szCs w:val="24"/>
                <w:lang w:val="en-GB"/>
              </w:rPr>
              <w:t>Pasient vekt</w:t>
            </w:r>
          </w:p>
        </w:tc>
        <w:tc>
          <w:tcPr>
            <w:tcW w:w="0" w:type="auto"/>
            <w:vAlign w:val="center"/>
          </w:tcPr>
          <w:p w14:paraId="5CB13AEB" w14:textId="77777777" w:rsidR="002F0483" w:rsidRPr="002D0790" w:rsidRDefault="00E453CD" w:rsidP="00BA47BC">
            <w:pPr>
              <w:pStyle w:val="EMEANormal"/>
              <w:keepNext/>
              <w:rPr>
                <w:b/>
                <w:szCs w:val="24"/>
                <w:lang w:val="en-GB"/>
              </w:rPr>
            </w:pPr>
            <w:r w:rsidRPr="00193D76">
              <w:rPr>
                <w:b/>
                <w:szCs w:val="24"/>
                <w:lang w:val="en-GB"/>
              </w:rPr>
              <w:t>Lav</w:t>
            </w:r>
            <w:r w:rsidRPr="002D0790">
              <w:rPr>
                <w:b/>
                <w:szCs w:val="24"/>
                <w:lang w:val="en-GB"/>
              </w:rPr>
              <w:t xml:space="preserve"> dose</w:t>
            </w:r>
          </w:p>
        </w:tc>
        <w:tc>
          <w:tcPr>
            <w:tcW w:w="0" w:type="auto"/>
            <w:vAlign w:val="center"/>
          </w:tcPr>
          <w:p w14:paraId="162E1F9E" w14:textId="77777777" w:rsidR="002F0483" w:rsidRPr="002D0790" w:rsidRDefault="00E453CD" w:rsidP="00BA47BC">
            <w:pPr>
              <w:pStyle w:val="EMEANormal"/>
              <w:keepNext/>
              <w:rPr>
                <w:b/>
                <w:szCs w:val="24"/>
                <w:lang w:val="en-GB"/>
              </w:rPr>
            </w:pPr>
            <w:r w:rsidRPr="002D0790">
              <w:rPr>
                <w:b/>
                <w:szCs w:val="24"/>
                <w:lang w:val="en-GB"/>
              </w:rPr>
              <w:t>Standard dose</w:t>
            </w:r>
          </w:p>
        </w:tc>
      </w:tr>
      <w:tr w:rsidR="004644D4" w14:paraId="5CEB02A7" w14:textId="77777777" w:rsidTr="00BA47BC">
        <w:trPr>
          <w:jc w:val="center"/>
        </w:trPr>
        <w:tc>
          <w:tcPr>
            <w:tcW w:w="0" w:type="auto"/>
            <w:vAlign w:val="center"/>
          </w:tcPr>
          <w:p w14:paraId="76233584" w14:textId="77777777" w:rsidR="002F0483" w:rsidRPr="007F67EE" w:rsidRDefault="00E453CD" w:rsidP="00BA47BC">
            <w:pPr>
              <w:pStyle w:val="EMEANormal"/>
              <w:keepNext/>
              <w:rPr>
                <w:szCs w:val="24"/>
                <w:lang w:val="en-GB"/>
              </w:rPr>
            </w:pPr>
            <w:r w:rsidRPr="007F67EE">
              <w:rPr>
                <w:szCs w:val="24"/>
                <w:lang w:val="en-GB"/>
              </w:rPr>
              <w:t>&lt; 40 kg</w:t>
            </w:r>
          </w:p>
        </w:tc>
        <w:tc>
          <w:tcPr>
            <w:tcW w:w="0" w:type="auto"/>
            <w:vAlign w:val="center"/>
          </w:tcPr>
          <w:p w14:paraId="3FC911ED" w14:textId="77777777" w:rsidR="002F0483" w:rsidRPr="002D0790" w:rsidRDefault="00E453CD" w:rsidP="00BA47BC">
            <w:pPr>
              <w:pStyle w:val="EMEANormal"/>
              <w:keepNext/>
              <w:rPr>
                <w:szCs w:val="24"/>
                <w:lang w:val="en-GB"/>
              </w:rPr>
            </w:pPr>
            <w:r w:rsidRPr="007F67EE">
              <w:rPr>
                <w:szCs w:val="24"/>
                <w:lang w:val="en-GB"/>
              </w:rPr>
              <w:t>10 mg</w:t>
            </w:r>
            <w:r w:rsidRPr="00193D76">
              <w:rPr>
                <w:szCs w:val="24"/>
                <w:lang w:val="en-GB"/>
              </w:rPr>
              <w:t xml:space="preserve"> annenhver uke</w:t>
            </w:r>
          </w:p>
        </w:tc>
        <w:tc>
          <w:tcPr>
            <w:tcW w:w="0" w:type="auto"/>
            <w:vAlign w:val="center"/>
          </w:tcPr>
          <w:p w14:paraId="1FC17D27" w14:textId="77777777" w:rsidR="002F0483" w:rsidRPr="009C5EFD" w:rsidRDefault="00E453CD" w:rsidP="00BA47BC">
            <w:pPr>
              <w:pStyle w:val="EMEANormal"/>
              <w:keepNext/>
              <w:rPr>
                <w:szCs w:val="24"/>
                <w:lang w:val="en-GB"/>
              </w:rPr>
            </w:pPr>
            <w:r w:rsidRPr="002D0790">
              <w:rPr>
                <w:szCs w:val="24"/>
                <w:lang w:val="en-GB"/>
              </w:rPr>
              <w:t>20 mg</w:t>
            </w:r>
            <w:r w:rsidRPr="009C5EFD">
              <w:rPr>
                <w:szCs w:val="24"/>
                <w:lang w:val="en-GB"/>
              </w:rPr>
              <w:t xml:space="preserve"> annenhver uke</w:t>
            </w:r>
          </w:p>
        </w:tc>
      </w:tr>
      <w:tr w:rsidR="004644D4" w14:paraId="3B31BE68" w14:textId="77777777" w:rsidTr="00BA47BC">
        <w:trPr>
          <w:jc w:val="center"/>
        </w:trPr>
        <w:tc>
          <w:tcPr>
            <w:tcW w:w="0" w:type="auto"/>
            <w:vAlign w:val="center"/>
          </w:tcPr>
          <w:p w14:paraId="3ED1B76E" w14:textId="77777777" w:rsidR="002F0483" w:rsidRPr="007F67EE" w:rsidRDefault="00E453CD" w:rsidP="00BA47BC">
            <w:pPr>
              <w:pStyle w:val="EMEANormal"/>
              <w:keepNext/>
              <w:rPr>
                <w:szCs w:val="24"/>
                <w:lang w:val="en-GB"/>
              </w:rPr>
            </w:pPr>
            <w:r w:rsidRPr="007F67EE">
              <w:rPr>
                <w:szCs w:val="24"/>
                <w:lang w:val="en-GB"/>
              </w:rPr>
              <w:t>≥ 40 kg</w:t>
            </w:r>
          </w:p>
        </w:tc>
        <w:tc>
          <w:tcPr>
            <w:tcW w:w="0" w:type="auto"/>
            <w:vAlign w:val="center"/>
          </w:tcPr>
          <w:p w14:paraId="0E76CCFB" w14:textId="77777777" w:rsidR="002F0483" w:rsidRPr="002D0790" w:rsidRDefault="00E453CD" w:rsidP="00BA47BC">
            <w:pPr>
              <w:pStyle w:val="EMEANormal"/>
              <w:keepNext/>
              <w:rPr>
                <w:szCs w:val="24"/>
                <w:lang w:val="en-GB"/>
              </w:rPr>
            </w:pPr>
            <w:r w:rsidRPr="007F67EE">
              <w:rPr>
                <w:szCs w:val="24"/>
                <w:lang w:val="en-GB"/>
              </w:rPr>
              <w:t>20 mg</w:t>
            </w:r>
            <w:r w:rsidRPr="00193D76">
              <w:rPr>
                <w:szCs w:val="24"/>
                <w:lang w:val="en-GB"/>
              </w:rPr>
              <w:t xml:space="preserve"> annenhver uke</w:t>
            </w:r>
          </w:p>
        </w:tc>
        <w:tc>
          <w:tcPr>
            <w:tcW w:w="0" w:type="auto"/>
            <w:vAlign w:val="center"/>
          </w:tcPr>
          <w:p w14:paraId="7EA280BD" w14:textId="77777777" w:rsidR="002F0483" w:rsidRPr="009C5EFD" w:rsidRDefault="00E453CD" w:rsidP="00BA47BC">
            <w:pPr>
              <w:pStyle w:val="EMEANormal"/>
              <w:keepNext/>
              <w:rPr>
                <w:szCs w:val="24"/>
                <w:lang w:val="en-GB"/>
              </w:rPr>
            </w:pPr>
            <w:r w:rsidRPr="002D0790">
              <w:rPr>
                <w:szCs w:val="24"/>
                <w:lang w:val="en-GB"/>
              </w:rPr>
              <w:t>40 mg</w:t>
            </w:r>
            <w:r w:rsidRPr="00E14E58">
              <w:rPr>
                <w:szCs w:val="24"/>
                <w:lang w:val="en-GB"/>
              </w:rPr>
              <w:t xml:space="preserve"> annenhver uke</w:t>
            </w:r>
          </w:p>
        </w:tc>
      </w:tr>
    </w:tbl>
    <w:p w14:paraId="7E627D69" w14:textId="77777777" w:rsidR="002F0483" w:rsidRPr="009C5EFD" w:rsidRDefault="002F0483" w:rsidP="002F0483">
      <w:pPr>
        <w:rPr>
          <w:sz w:val="22"/>
          <w:szCs w:val="22"/>
        </w:rPr>
      </w:pPr>
    </w:p>
    <w:p w14:paraId="237218FC" w14:textId="77777777" w:rsidR="002F0483" w:rsidRPr="009C5EFD" w:rsidRDefault="00E453CD" w:rsidP="002F0483">
      <w:pPr>
        <w:pStyle w:val="Heading8"/>
        <w:rPr>
          <w:i/>
          <w:szCs w:val="22"/>
        </w:rPr>
      </w:pPr>
      <w:r>
        <w:rPr>
          <w:i/>
          <w:szCs w:val="22"/>
        </w:rPr>
        <w:t>Effektresultater</w:t>
      </w:r>
    </w:p>
    <w:p w14:paraId="6B354E7D" w14:textId="77777777" w:rsidR="002F0483" w:rsidRPr="009C5EFD" w:rsidRDefault="002F0483" w:rsidP="002F0483">
      <w:pPr>
        <w:pStyle w:val="Heading8"/>
        <w:rPr>
          <w:i/>
          <w:szCs w:val="22"/>
        </w:rPr>
      </w:pPr>
    </w:p>
    <w:p w14:paraId="77111488" w14:textId="77777777" w:rsidR="002F0483" w:rsidRPr="009C5EFD" w:rsidRDefault="00E453CD" w:rsidP="002F0483">
      <w:pPr>
        <w:pStyle w:val="Heading8"/>
        <w:keepNext w:val="0"/>
        <w:rPr>
          <w:szCs w:val="22"/>
          <w:u w:val="none"/>
        </w:rPr>
      </w:pPr>
      <w:r w:rsidRPr="009C5EFD">
        <w:rPr>
          <w:szCs w:val="22"/>
          <w:u w:val="none"/>
        </w:rPr>
        <w:t>Studiens primær endepunkt var klinisk remisjon ved uke</w:t>
      </w:r>
      <w:r>
        <w:rPr>
          <w:szCs w:val="22"/>
          <w:u w:val="none"/>
        </w:rPr>
        <w:t> </w:t>
      </w:r>
      <w:r w:rsidRPr="009C5EFD">
        <w:rPr>
          <w:szCs w:val="22"/>
          <w:u w:val="none"/>
        </w:rPr>
        <w:t>26, definert som PCDAI score ≤</w:t>
      </w:r>
      <w:r>
        <w:rPr>
          <w:szCs w:val="22"/>
          <w:u w:val="none"/>
        </w:rPr>
        <w:t> </w:t>
      </w:r>
      <w:r w:rsidRPr="009C5EFD">
        <w:rPr>
          <w:szCs w:val="22"/>
          <w:u w:val="none"/>
        </w:rPr>
        <w:t>10.</w:t>
      </w:r>
    </w:p>
    <w:p w14:paraId="654DA0D0" w14:textId="77777777" w:rsidR="002F0483" w:rsidRPr="009C5EFD" w:rsidRDefault="002F0483" w:rsidP="002F0483">
      <w:pPr>
        <w:pStyle w:val="Heading8"/>
        <w:keepNext w:val="0"/>
        <w:rPr>
          <w:szCs w:val="22"/>
          <w:u w:val="none"/>
        </w:rPr>
      </w:pPr>
    </w:p>
    <w:p w14:paraId="6E1F2BB1" w14:textId="77777777" w:rsidR="002F0483" w:rsidRPr="009C5EFD" w:rsidRDefault="00E453CD" w:rsidP="002F0483">
      <w:pPr>
        <w:pStyle w:val="Heading8"/>
        <w:keepNext w:val="0"/>
        <w:rPr>
          <w:szCs w:val="22"/>
          <w:u w:val="none"/>
        </w:rPr>
      </w:pPr>
      <w:r w:rsidRPr="009C5EFD">
        <w:rPr>
          <w:szCs w:val="22"/>
          <w:u w:val="none"/>
        </w:rPr>
        <w:lastRenderedPageBreak/>
        <w:t>Klinisk remisjon og klinisk respons (definert som reduksjon i PCDAI score på minst 15</w:t>
      </w:r>
      <w:r>
        <w:rPr>
          <w:szCs w:val="22"/>
          <w:u w:val="none"/>
        </w:rPr>
        <w:t> </w:t>
      </w:r>
      <w:r w:rsidRPr="009C5EFD">
        <w:rPr>
          <w:szCs w:val="22"/>
          <w:u w:val="none"/>
        </w:rPr>
        <w:t>poeng fra baseline) er presentert i tabell</w:t>
      </w:r>
      <w:r>
        <w:rPr>
          <w:szCs w:val="22"/>
          <w:u w:val="none"/>
        </w:rPr>
        <w:t> 21</w:t>
      </w:r>
      <w:r w:rsidRPr="009C5EFD">
        <w:rPr>
          <w:szCs w:val="22"/>
          <w:u w:val="none"/>
        </w:rPr>
        <w:t>. Seponering av kortikosteroider eller immunmodulerende midler er presentert i tabell</w:t>
      </w:r>
      <w:r>
        <w:rPr>
          <w:szCs w:val="22"/>
          <w:u w:val="none"/>
        </w:rPr>
        <w:t> 22</w:t>
      </w:r>
      <w:r w:rsidRPr="009C5EFD">
        <w:rPr>
          <w:szCs w:val="22"/>
          <w:u w:val="none"/>
        </w:rPr>
        <w:t>.</w:t>
      </w:r>
    </w:p>
    <w:p w14:paraId="3CDC273A" w14:textId="77777777" w:rsidR="002F0483" w:rsidRPr="009C5EFD" w:rsidRDefault="002F0483" w:rsidP="002F0483"/>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4644D4" w14:paraId="0AD1CDE9" w14:textId="77777777" w:rsidTr="002F0483">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64D9B4B5" w14:textId="77777777" w:rsidR="002F0483" w:rsidRPr="009C5EFD" w:rsidRDefault="00E453CD" w:rsidP="002F0483">
            <w:pPr>
              <w:keepNext/>
              <w:tabs>
                <w:tab w:val="left" w:pos="-878"/>
              </w:tabs>
              <w:autoSpaceDE w:val="0"/>
              <w:autoSpaceDN w:val="0"/>
              <w:adjustRightInd w:val="0"/>
              <w:ind w:left="15"/>
              <w:jc w:val="center"/>
              <w:rPr>
                <w:b/>
                <w:bCs/>
                <w:sz w:val="22"/>
                <w:szCs w:val="22"/>
              </w:rPr>
            </w:pPr>
            <w:r w:rsidRPr="009C5EFD">
              <w:rPr>
                <w:b/>
                <w:bCs/>
                <w:sz w:val="22"/>
                <w:szCs w:val="22"/>
              </w:rPr>
              <w:t xml:space="preserve">Tabell </w:t>
            </w:r>
            <w:r>
              <w:rPr>
                <w:b/>
                <w:bCs/>
                <w:sz w:val="22"/>
                <w:szCs w:val="22"/>
              </w:rPr>
              <w:t>21</w:t>
            </w:r>
          </w:p>
          <w:p w14:paraId="0EF67F64" w14:textId="77777777" w:rsidR="002F0483" w:rsidRPr="009C5EFD" w:rsidRDefault="00E453CD" w:rsidP="002F0483">
            <w:pPr>
              <w:keepNext/>
              <w:tabs>
                <w:tab w:val="left" w:pos="-878"/>
              </w:tabs>
              <w:autoSpaceDE w:val="0"/>
              <w:autoSpaceDN w:val="0"/>
              <w:adjustRightInd w:val="0"/>
              <w:ind w:left="15"/>
              <w:jc w:val="center"/>
              <w:rPr>
                <w:b/>
                <w:bCs/>
                <w:sz w:val="22"/>
                <w:szCs w:val="22"/>
              </w:rPr>
            </w:pPr>
            <w:r w:rsidRPr="009C5EFD">
              <w:rPr>
                <w:b/>
                <w:bCs/>
                <w:sz w:val="22"/>
                <w:szCs w:val="22"/>
              </w:rPr>
              <w:t>Pediatrisk CD studie</w:t>
            </w:r>
          </w:p>
          <w:p w14:paraId="2181C791" w14:textId="77777777" w:rsidR="002F0483" w:rsidRPr="009C5EFD" w:rsidRDefault="00E453CD" w:rsidP="002F0483">
            <w:pPr>
              <w:keepNext/>
              <w:tabs>
                <w:tab w:val="left" w:pos="-878"/>
              </w:tabs>
              <w:autoSpaceDE w:val="0"/>
              <w:autoSpaceDN w:val="0"/>
              <w:adjustRightInd w:val="0"/>
              <w:ind w:left="15"/>
              <w:jc w:val="center"/>
              <w:rPr>
                <w:b/>
                <w:bCs/>
                <w:sz w:val="22"/>
                <w:szCs w:val="22"/>
              </w:rPr>
            </w:pPr>
            <w:r w:rsidRPr="009C5EFD">
              <w:rPr>
                <w:b/>
                <w:bCs/>
                <w:sz w:val="22"/>
                <w:szCs w:val="22"/>
              </w:rPr>
              <w:t>PCDAI klinisk remisjon og respons</w:t>
            </w:r>
          </w:p>
        </w:tc>
      </w:tr>
      <w:tr w:rsidR="004644D4" w14:paraId="26C2F857"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tcPr>
          <w:p w14:paraId="2DD51B05" w14:textId="77777777" w:rsidR="002F0483" w:rsidRPr="009C5EFD" w:rsidRDefault="002F0483" w:rsidP="002F0483">
            <w:pPr>
              <w:keepNext/>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637A4B35" w14:textId="77777777" w:rsidR="002F0483" w:rsidRPr="001F5D4B" w:rsidRDefault="00E453CD" w:rsidP="002F0483">
            <w:pPr>
              <w:keepNext/>
              <w:keepLines/>
              <w:tabs>
                <w:tab w:val="left" w:pos="-1080"/>
              </w:tabs>
              <w:autoSpaceDE w:val="0"/>
              <w:autoSpaceDN w:val="0"/>
              <w:adjustRightInd w:val="0"/>
              <w:ind w:left="15"/>
              <w:jc w:val="center"/>
              <w:rPr>
                <w:b/>
                <w:bCs/>
                <w:sz w:val="22"/>
                <w:szCs w:val="22"/>
              </w:rPr>
            </w:pPr>
            <w:r w:rsidRPr="001F5D4B">
              <w:rPr>
                <w:b/>
                <w:bCs/>
                <w:sz w:val="22"/>
                <w:szCs w:val="22"/>
              </w:rPr>
              <w:t>Standard dose</w:t>
            </w:r>
          </w:p>
          <w:p w14:paraId="65A41987" w14:textId="77777777" w:rsidR="002F0483" w:rsidRPr="001F5D4B" w:rsidRDefault="00E453CD" w:rsidP="002F0483">
            <w:pPr>
              <w:keepNext/>
              <w:keepLines/>
              <w:tabs>
                <w:tab w:val="left" w:pos="-1080"/>
              </w:tabs>
              <w:autoSpaceDE w:val="0"/>
              <w:autoSpaceDN w:val="0"/>
              <w:adjustRightInd w:val="0"/>
              <w:ind w:left="15"/>
              <w:jc w:val="center"/>
              <w:rPr>
                <w:b/>
                <w:bCs/>
                <w:sz w:val="22"/>
                <w:szCs w:val="22"/>
              </w:rPr>
            </w:pPr>
            <w:r w:rsidRPr="001F5D4B">
              <w:rPr>
                <w:b/>
                <w:bCs/>
                <w:sz w:val="22"/>
                <w:szCs w:val="22"/>
              </w:rPr>
              <w:t xml:space="preserve">40/20 mg annenhver uke </w:t>
            </w:r>
          </w:p>
          <w:p w14:paraId="637431BF" w14:textId="77777777" w:rsidR="002F0483" w:rsidRPr="001F5D4B" w:rsidRDefault="00E453CD" w:rsidP="002F0483">
            <w:pPr>
              <w:keepNext/>
              <w:keepLines/>
              <w:tabs>
                <w:tab w:val="left" w:pos="-1080"/>
              </w:tabs>
              <w:autoSpaceDE w:val="0"/>
              <w:autoSpaceDN w:val="0"/>
              <w:adjustRightInd w:val="0"/>
              <w:ind w:left="15"/>
              <w:jc w:val="center"/>
              <w:rPr>
                <w:b/>
                <w:bCs/>
                <w:sz w:val="22"/>
                <w:szCs w:val="22"/>
              </w:rPr>
            </w:pPr>
            <w:r w:rsidRPr="001F5D4B">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14:paraId="7BA56731" w14:textId="77777777" w:rsidR="002F0483" w:rsidRPr="009C5EFD" w:rsidRDefault="00E453CD" w:rsidP="002F0483">
            <w:pPr>
              <w:keepNext/>
              <w:keepLines/>
              <w:tabs>
                <w:tab w:val="left" w:pos="-1080"/>
              </w:tabs>
              <w:autoSpaceDE w:val="0"/>
              <w:autoSpaceDN w:val="0"/>
              <w:adjustRightInd w:val="0"/>
              <w:ind w:left="15"/>
              <w:jc w:val="center"/>
              <w:rPr>
                <w:b/>
                <w:bCs/>
                <w:sz w:val="22"/>
                <w:szCs w:val="22"/>
              </w:rPr>
            </w:pPr>
            <w:r w:rsidRPr="009C5EFD">
              <w:rPr>
                <w:b/>
                <w:bCs/>
                <w:sz w:val="22"/>
                <w:szCs w:val="22"/>
              </w:rPr>
              <w:t>Lav dose</w:t>
            </w:r>
          </w:p>
          <w:p w14:paraId="1374B7D8" w14:textId="77777777" w:rsidR="002F0483" w:rsidRPr="009C5EFD" w:rsidRDefault="00E453CD" w:rsidP="002F0483">
            <w:pPr>
              <w:keepNext/>
              <w:keepLines/>
              <w:tabs>
                <w:tab w:val="left" w:pos="-1080"/>
              </w:tabs>
              <w:autoSpaceDE w:val="0"/>
              <w:autoSpaceDN w:val="0"/>
              <w:adjustRightInd w:val="0"/>
              <w:ind w:left="15"/>
              <w:jc w:val="center"/>
              <w:rPr>
                <w:b/>
                <w:bCs/>
                <w:sz w:val="22"/>
                <w:szCs w:val="22"/>
              </w:rPr>
            </w:pPr>
            <w:r w:rsidRPr="009C5EFD">
              <w:rPr>
                <w:b/>
                <w:bCs/>
                <w:sz w:val="22"/>
                <w:szCs w:val="22"/>
              </w:rPr>
              <w:t xml:space="preserve">20/10 mg annenhver uke </w:t>
            </w:r>
          </w:p>
          <w:p w14:paraId="7FBD8273" w14:textId="77777777" w:rsidR="002F0483" w:rsidRPr="009C5EFD" w:rsidRDefault="00E453CD" w:rsidP="002F0483">
            <w:pPr>
              <w:keepNext/>
              <w:keepLines/>
              <w:tabs>
                <w:tab w:val="left" w:pos="-1080"/>
              </w:tabs>
              <w:autoSpaceDE w:val="0"/>
              <w:autoSpaceDN w:val="0"/>
              <w:adjustRightInd w:val="0"/>
              <w:ind w:left="15"/>
              <w:jc w:val="center"/>
              <w:rPr>
                <w:b/>
                <w:bCs/>
                <w:sz w:val="22"/>
                <w:szCs w:val="22"/>
              </w:rPr>
            </w:pPr>
            <w:r w:rsidRPr="009C5EFD">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244283B2"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b/>
                <w:bCs/>
                <w:sz w:val="22"/>
                <w:szCs w:val="22"/>
              </w:rPr>
              <w:t>P-verdi</w:t>
            </w:r>
            <w:r w:rsidRPr="009C5EFD">
              <w:rPr>
                <w:sz w:val="22"/>
                <w:szCs w:val="22"/>
              </w:rPr>
              <w:t>*</w:t>
            </w:r>
          </w:p>
        </w:tc>
      </w:tr>
      <w:tr w:rsidR="004644D4" w14:paraId="12355FD7"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0BDEFAF" w14:textId="77777777" w:rsidR="002F0483" w:rsidRPr="009C5EFD" w:rsidRDefault="00E453CD" w:rsidP="002F0483">
            <w:pPr>
              <w:keepNext/>
              <w:keepLines/>
              <w:tabs>
                <w:tab w:val="left" w:pos="-1080"/>
              </w:tabs>
              <w:autoSpaceDE w:val="0"/>
              <w:autoSpaceDN w:val="0"/>
              <w:adjustRightInd w:val="0"/>
              <w:ind w:left="15"/>
              <w:rPr>
                <w:b/>
                <w:bCs/>
                <w:sz w:val="22"/>
                <w:szCs w:val="22"/>
              </w:rPr>
            </w:pPr>
            <w:r w:rsidRPr="009C5EFD">
              <w:rPr>
                <w:b/>
                <w:bCs/>
                <w:sz w:val="22"/>
                <w:szCs w:val="22"/>
              </w:rPr>
              <w:t>Uke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31A0CA64" w14:textId="77777777" w:rsidR="002F0483" w:rsidRPr="009C5EFD" w:rsidRDefault="002F0483" w:rsidP="002F0483">
            <w:pPr>
              <w:keepNext/>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0081328D" w14:textId="77777777" w:rsidR="002F0483" w:rsidRPr="009C5EFD" w:rsidRDefault="002F0483" w:rsidP="002F0483">
            <w:pPr>
              <w:keepNext/>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77D04FD" w14:textId="77777777" w:rsidR="002F0483" w:rsidRPr="009C5EFD" w:rsidRDefault="002F0483" w:rsidP="002F0483">
            <w:pPr>
              <w:keepNext/>
              <w:autoSpaceDE w:val="0"/>
              <w:autoSpaceDN w:val="0"/>
              <w:adjustRightInd w:val="0"/>
              <w:ind w:left="15"/>
              <w:rPr>
                <w:b/>
                <w:bCs/>
                <w:sz w:val="22"/>
                <w:szCs w:val="22"/>
              </w:rPr>
            </w:pPr>
          </w:p>
        </w:tc>
      </w:tr>
      <w:tr w:rsidR="004644D4" w14:paraId="3C88F387"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4AA78C6"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remisjon</w:t>
            </w:r>
          </w:p>
        </w:tc>
        <w:tc>
          <w:tcPr>
            <w:tcW w:w="1614" w:type="dxa"/>
            <w:tcBorders>
              <w:top w:val="single" w:sz="6" w:space="0" w:color="000000"/>
              <w:left w:val="single" w:sz="6" w:space="0" w:color="000000"/>
              <w:bottom w:val="single" w:sz="6" w:space="0" w:color="000000"/>
              <w:right w:val="single" w:sz="6" w:space="0" w:color="000000"/>
            </w:tcBorders>
            <w:vAlign w:val="bottom"/>
          </w:tcPr>
          <w:p w14:paraId="3AE80A37"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38,7 %</w:t>
            </w:r>
          </w:p>
        </w:tc>
        <w:tc>
          <w:tcPr>
            <w:tcW w:w="1591" w:type="dxa"/>
            <w:tcBorders>
              <w:top w:val="single" w:sz="6" w:space="0" w:color="000000"/>
              <w:left w:val="single" w:sz="6" w:space="0" w:color="000000"/>
              <w:bottom w:val="single" w:sz="6" w:space="0" w:color="000000"/>
              <w:right w:val="single" w:sz="6" w:space="0" w:color="000000"/>
            </w:tcBorders>
            <w:vAlign w:val="bottom"/>
          </w:tcPr>
          <w:p w14:paraId="72DCA1FD"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28,4 %</w:t>
            </w:r>
          </w:p>
        </w:tc>
        <w:tc>
          <w:tcPr>
            <w:tcW w:w="1147" w:type="dxa"/>
            <w:tcBorders>
              <w:top w:val="single" w:sz="6" w:space="0" w:color="000000"/>
              <w:left w:val="single" w:sz="6" w:space="0" w:color="000000"/>
              <w:bottom w:val="single" w:sz="6" w:space="0" w:color="000000"/>
              <w:right w:val="single" w:sz="6" w:space="0" w:color="000000"/>
            </w:tcBorders>
            <w:vAlign w:val="bottom"/>
          </w:tcPr>
          <w:p w14:paraId="153F6817"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0,075</w:t>
            </w:r>
          </w:p>
        </w:tc>
      </w:tr>
      <w:tr w:rsidR="004644D4" w14:paraId="1F30D5FB"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tcPr>
          <w:p w14:paraId="6CF34C38"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respons </w:t>
            </w:r>
          </w:p>
        </w:tc>
        <w:tc>
          <w:tcPr>
            <w:tcW w:w="1614" w:type="dxa"/>
            <w:tcBorders>
              <w:top w:val="single" w:sz="6" w:space="0" w:color="000000"/>
              <w:left w:val="single" w:sz="6" w:space="0" w:color="000000"/>
              <w:bottom w:val="single" w:sz="6" w:space="0" w:color="000000"/>
              <w:right w:val="single" w:sz="6" w:space="0" w:color="000000"/>
            </w:tcBorders>
          </w:tcPr>
          <w:p w14:paraId="4CBFF9CD"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59,1 %</w:t>
            </w:r>
          </w:p>
        </w:tc>
        <w:tc>
          <w:tcPr>
            <w:tcW w:w="1591" w:type="dxa"/>
            <w:tcBorders>
              <w:top w:val="single" w:sz="6" w:space="0" w:color="000000"/>
              <w:left w:val="single" w:sz="6" w:space="0" w:color="000000"/>
              <w:bottom w:val="single" w:sz="6" w:space="0" w:color="000000"/>
              <w:right w:val="single" w:sz="6" w:space="0" w:color="000000"/>
            </w:tcBorders>
          </w:tcPr>
          <w:p w14:paraId="7BDF183E"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48,4 %</w:t>
            </w:r>
          </w:p>
        </w:tc>
        <w:tc>
          <w:tcPr>
            <w:tcW w:w="1147" w:type="dxa"/>
            <w:tcBorders>
              <w:top w:val="single" w:sz="6" w:space="0" w:color="000000"/>
              <w:left w:val="single" w:sz="6" w:space="0" w:color="000000"/>
              <w:bottom w:val="single" w:sz="6" w:space="0" w:color="000000"/>
              <w:right w:val="single" w:sz="6" w:space="0" w:color="000000"/>
            </w:tcBorders>
          </w:tcPr>
          <w:p w14:paraId="38B1FC82"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0,073</w:t>
            </w:r>
          </w:p>
        </w:tc>
      </w:tr>
      <w:tr w:rsidR="004644D4" w14:paraId="12541F98"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F8DADFD" w14:textId="77777777" w:rsidR="002F0483" w:rsidRPr="009C5EFD" w:rsidRDefault="00E453CD" w:rsidP="002F0483">
            <w:pPr>
              <w:keepLines/>
              <w:tabs>
                <w:tab w:val="left" w:pos="-1080"/>
              </w:tabs>
              <w:autoSpaceDE w:val="0"/>
              <w:autoSpaceDN w:val="0"/>
              <w:adjustRightInd w:val="0"/>
              <w:rPr>
                <w:b/>
                <w:bCs/>
                <w:sz w:val="22"/>
                <w:szCs w:val="22"/>
              </w:rPr>
            </w:pPr>
            <w:r w:rsidRPr="009C5EFD">
              <w:rPr>
                <w:b/>
                <w:bCs/>
                <w:sz w:val="22"/>
                <w:szCs w:val="22"/>
              </w:rPr>
              <w:t>Uke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69589867"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06DB8AED"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2F6D61F7" w14:textId="77777777" w:rsidR="002F0483" w:rsidRPr="009C5EFD" w:rsidRDefault="002F0483" w:rsidP="002F0483">
            <w:pPr>
              <w:autoSpaceDE w:val="0"/>
              <w:autoSpaceDN w:val="0"/>
              <w:adjustRightInd w:val="0"/>
              <w:ind w:left="15"/>
              <w:rPr>
                <w:b/>
                <w:bCs/>
                <w:sz w:val="22"/>
                <w:szCs w:val="22"/>
              </w:rPr>
            </w:pPr>
          </w:p>
        </w:tc>
      </w:tr>
      <w:tr w:rsidR="004644D4" w14:paraId="2CBB48E7"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404CBC0C"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remisjon</w:t>
            </w:r>
          </w:p>
        </w:tc>
        <w:tc>
          <w:tcPr>
            <w:tcW w:w="1614" w:type="dxa"/>
            <w:tcBorders>
              <w:top w:val="single" w:sz="6" w:space="0" w:color="000000"/>
              <w:left w:val="single" w:sz="6" w:space="0" w:color="000000"/>
              <w:bottom w:val="single" w:sz="6" w:space="0" w:color="000000"/>
              <w:right w:val="single" w:sz="6" w:space="0" w:color="000000"/>
            </w:tcBorders>
            <w:vAlign w:val="bottom"/>
          </w:tcPr>
          <w:p w14:paraId="5AD6EA2E"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33,3 %</w:t>
            </w:r>
          </w:p>
        </w:tc>
        <w:tc>
          <w:tcPr>
            <w:tcW w:w="1591" w:type="dxa"/>
            <w:tcBorders>
              <w:top w:val="single" w:sz="6" w:space="0" w:color="000000"/>
              <w:left w:val="single" w:sz="6" w:space="0" w:color="000000"/>
              <w:bottom w:val="single" w:sz="6" w:space="0" w:color="000000"/>
              <w:right w:val="single" w:sz="6" w:space="0" w:color="000000"/>
            </w:tcBorders>
            <w:vAlign w:val="bottom"/>
          </w:tcPr>
          <w:p w14:paraId="01E2CE0B"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23,2 %</w:t>
            </w:r>
          </w:p>
        </w:tc>
        <w:tc>
          <w:tcPr>
            <w:tcW w:w="1147" w:type="dxa"/>
            <w:tcBorders>
              <w:top w:val="single" w:sz="6" w:space="0" w:color="000000"/>
              <w:left w:val="single" w:sz="6" w:space="0" w:color="000000"/>
              <w:bottom w:val="single" w:sz="6" w:space="0" w:color="000000"/>
              <w:right w:val="single" w:sz="6" w:space="0" w:color="000000"/>
            </w:tcBorders>
            <w:vAlign w:val="bottom"/>
          </w:tcPr>
          <w:p w14:paraId="75071B9D"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0,100</w:t>
            </w:r>
          </w:p>
        </w:tc>
      </w:tr>
      <w:tr w:rsidR="004644D4" w14:paraId="105D586A"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tcPr>
          <w:p w14:paraId="27E8A1DB"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respons</w:t>
            </w:r>
          </w:p>
        </w:tc>
        <w:tc>
          <w:tcPr>
            <w:tcW w:w="1614" w:type="dxa"/>
            <w:tcBorders>
              <w:top w:val="single" w:sz="6" w:space="0" w:color="000000"/>
              <w:left w:val="single" w:sz="6" w:space="0" w:color="000000"/>
              <w:bottom w:val="single" w:sz="6" w:space="0" w:color="000000"/>
              <w:right w:val="single" w:sz="6" w:space="0" w:color="000000"/>
            </w:tcBorders>
          </w:tcPr>
          <w:p w14:paraId="22962388"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41,9 %</w:t>
            </w:r>
          </w:p>
        </w:tc>
        <w:tc>
          <w:tcPr>
            <w:tcW w:w="1591" w:type="dxa"/>
            <w:tcBorders>
              <w:top w:val="single" w:sz="6" w:space="0" w:color="000000"/>
              <w:left w:val="single" w:sz="6" w:space="0" w:color="000000"/>
              <w:bottom w:val="single" w:sz="6" w:space="0" w:color="000000"/>
              <w:right w:val="single" w:sz="6" w:space="0" w:color="000000"/>
            </w:tcBorders>
          </w:tcPr>
          <w:p w14:paraId="74DDCB21"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28,4 %</w:t>
            </w:r>
          </w:p>
        </w:tc>
        <w:tc>
          <w:tcPr>
            <w:tcW w:w="1147" w:type="dxa"/>
            <w:tcBorders>
              <w:top w:val="single" w:sz="6" w:space="0" w:color="000000"/>
              <w:left w:val="single" w:sz="6" w:space="0" w:color="000000"/>
              <w:bottom w:val="single" w:sz="6" w:space="0" w:color="000000"/>
              <w:right w:val="single" w:sz="6" w:space="0" w:color="000000"/>
            </w:tcBorders>
          </w:tcPr>
          <w:p w14:paraId="7BC6B010"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0,038</w:t>
            </w:r>
          </w:p>
        </w:tc>
      </w:tr>
      <w:tr w:rsidR="004644D4" w14:paraId="216A2663" w14:textId="77777777" w:rsidTr="002F0483">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6815A50F"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*p-verdi for standard dose </w:t>
            </w:r>
            <w:r w:rsidRPr="009C5EFD">
              <w:rPr>
                <w:i/>
                <w:iCs/>
                <w:sz w:val="22"/>
                <w:szCs w:val="22"/>
              </w:rPr>
              <w:t>versus</w:t>
            </w:r>
            <w:r w:rsidRPr="009C5EFD">
              <w:rPr>
                <w:sz w:val="22"/>
                <w:szCs w:val="22"/>
              </w:rPr>
              <w:t xml:space="preserve"> lav dose sammenligning.</w:t>
            </w:r>
          </w:p>
        </w:tc>
      </w:tr>
    </w:tbl>
    <w:p w14:paraId="004F7A10" w14:textId="77777777" w:rsidR="002F0483" w:rsidRPr="009C5EFD" w:rsidRDefault="002F0483" w:rsidP="002F0483">
      <w:pPr>
        <w:pStyle w:val="Heading8"/>
        <w:keepNext w:val="0"/>
        <w:keepLines/>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4644D4" w14:paraId="0455329F" w14:textId="77777777" w:rsidTr="002F0483">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040A5FFA" w14:textId="77777777" w:rsidR="002F0483" w:rsidRPr="009C5EFD" w:rsidRDefault="00E453CD" w:rsidP="002F0483">
            <w:pPr>
              <w:keepNext/>
              <w:keepLines/>
              <w:tabs>
                <w:tab w:val="left" w:pos="-878"/>
              </w:tabs>
              <w:autoSpaceDE w:val="0"/>
              <w:autoSpaceDN w:val="0"/>
              <w:adjustRightInd w:val="0"/>
              <w:jc w:val="center"/>
              <w:rPr>
                <w:b/>
                <w:bCs/>
                <w:sz w:val="22"/>
                <w:szCs w:val="22"/>
              </w:rPr>
            </w:pPr>
            <w:r w:rsidRPr="009C5EFD">
              <w:rPr>
                <w:b/>
                <w:bCs/>
                <w:sz w:val="22"/>
                <w:szCs w:val="22"/>
              </w:rPr>
              <w:t xml:space="preserve">Tabell </w:t>
            </w:r>
            <w:r>
              <w:rPr>
                <w:b/>
                <w:bCs/>
                <w:sz w:val="22"/>
                <w:szCs w:val="22"/>
              </w:rPr>
              <w:t>22</w:t>
            </w:r>
          </w:p>
          <w:p w14:paraId="1D10BB16" w14:textId="77777777" w:rsidR="002F0483" w:rsidRPr="009C5EFD" w:rsidRDefault="00E453CD" w:rsidP="002F0483">
            <w:pPr>
              <w:keepNext/>
              <w:keepLines/>
              <w:tabs>
                <w:tab w:val="left" w:pos="-878"/>
              </w:tabs>
              <w:autoSpaceDE w:val="0"/>
              <w:autoSpaceDN w:val="0"/>
              <w:adjustRightInd w:val="0"/>
              <w:jc w:val="center"/>
              <w:rPr>
                <w:b/>
                <w:bCs/>
                <w:sz w:val="22"/>
                <w:szCs w:val="22"/>
              </w:rPr>
            </w:pPr>
            <w:r w:rsidRPr="009C5EFD">
              <w:rPr>
                <w:b/>
                <w:bCs/>
                <w:sz w:val="22"/>
                <w:szCs w:val="22"/>
              </w:rPr>
              <w:t>Pediatrisk CD studie</w:t>
            </w:r>
          </w:p>
          <w:p w14:paraId="25E604DC" w14:textId="77777777" w:rsidR="002F0483" w:rsidRPr="009C5EFD" w:rsidRDefault="00E453CD" w:rsidP="002F0483">
            <w:pPr>
              <w:keepNext/>
              <w:keepLines/>
              <w:tabs>
                <w:tab w:val="left" w:pos="-878"/>
              </w:tabs>
              <w:autoSpaceDE w:val="0"/>
              <w:autoSpaceDN w:val="0"/>
              <w:adjustRightInd w:val="0"/>
              <w:jc w:val="center"/>
              <w:rPr>
                <w:b/>
                <w:bCs/>
                <w:sz w:val="22"/>
                <w:szCs w:val="22"/>
              </w:rPr>
            </w:pPr>
            <w:r w:rsidRPr="009C5EFD">
              <w:rPr>
                <w:b/>
                <w:bCs/>
                <w:sz w:val="22"/>
                <w:szCs w:val="22"/>
              </w:rPr>
              <w:t>Seponering av kortikosteroider eller immunmodulerende midler og fistel remisjon</w:t>
            </w:r>
          </w:p>
        </w:tc>
      </w:tr>
      <w:tr w:rsidR="004644D4" w14:paraId="7B193257"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tcPr>
          <w:p w14:paraId="5383AC8E" w14:textId="77777777" w:rsidR="002F0483" w:rsidRPr="009C5EFD" w:rsidRDefault="002F0483" w:rsidP="002F0483">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7D7F9AE9"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Standard dose</w:t>
            </w:r>
          </w:p>
          <w:p w14:paraId="2366E491"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 xml:space="preserve">40/20 mg annenhver uke </w:t>
            </w:r>
          </w:p>
        </w:tc>
        <w:tc>
          <w:tcPr>
            <w:tcW w:w="1619" w:type="dxa"/>
            <w:tcBorders>
              <w:top w:val="single" w:sz="6" w:space="0" w:color="000000"/>
              <w:left w:val="single" w:sz="6" w:space="0" w:color="000000"/>
              <w:bottom w:val="single" w:sz="6" w:space="0" w:color="000000"/>
              <w:right w:val="single" w:sz="6" w:space="0" w:color="000000"/>
            </w:tcBorders>
          </w:tcPr>
          <w:p w14:paraId="3D5B5555"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Lav dose</w:t>
            </w:r>
          </w:p>
          <w:p w14:paraId="73E582BB"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 xml:space="preserve">20/10 mg annenhver uke </w:t>
            </w:r>
          </w:p>
        </w:tc>
        <w:tc>
          <w:tcPr>
            <w:tcW w:w="1140" w:type="dxa"/>
            <w:tcBorders>
              <w:top w:val="single" w:sz="6" w:space="0" w:color="000000"/>
              <w:left w:val="single" w:sz="6" w:space="0" w:color="000000"/>
              <w:bottom w:val="single" w:sz="6" w:space="0" w:color="000000"/>
              <w:right w:val="single" w:sz="6" w:space="0" w:color="000000"/>
            </w:tcBorders>
          </w:tcPr>
          <w:p w14:paraId="46D52C81"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P-verdi</w:t>
            </w:r>
            <w:r w:rsidRPr="009C5EFD">
              <w:rPr>
                <w:b/>
                <w:bCs/>
                <w:sz w:val="22"/>
                <w:szCs w:val="22"/>
                <w:vertAlign w:val="superscript"/>
              </w:rPr>
              <w:t>1</w:t>
            </w:r>
          </w:p>
        </w:tc>
      </w:tr>
      <w:tr w:rsidR="004644D4" w14:paraId="621B561A"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0AD3FE0" w14:textId="77777777" w:rsidR="002F0483" w:rsidRPr="009C5EFD" w:rsidRDefault="00E453CD" w:rsidP="002F0483">
            <w:pPr>
              <w:keepNext/>
              <w:keepLines/>
              <w:tabs>
                <w:tab w:val="left" w:pos="-1080"/>
              </w:tabs>
              <w:autoSpaceDE w:val="0"/>
              <w:autoSpaceDN w:val="0"/>
              <w:adjustRightInd w:val="0"/>
              <w:rPr>
                <w:b/>
                <w:sz w:val="22"/>
                <w:szCs w:val="22"/>
              </w:rPr>
            </w:pPr>
            <w:r w:rsidRPr="009C5EFD">
              <w:rPr>
                <w:b/>
                <w:sz w:val="22"/>
                <w:szCs w:val="22"/>
              </w:rPr>
              <w:t>Seponering av kortikosteroider</w:t>
            </w:r>
          </w:p>
        </w:tc>
        <w:tc>
          <w:tcPr>
            <w:tcW w:w="1656" w:type="dxa"/>
            <w:tcBorders>
              <w:top w:val="single" w:sz="6" w:space="0" w:color="000000"/>
              <w:left w:val="single" w:sz="6" w:space="0" w:color="000000"/>
              <w:bottom w:val="single" w:sz="6" w:space="0" w:color="000000"/>
              <w:right w:val="single" w:sz="6" w:space="0" w:color="000000"/>
            </w:tcBorders>
            <w:vAlign w:val="bottom"/>
          </w:tcPr>
          <w:p w14:paraId="6178290C" w14:textId="77777777" w:rsidR="002F0483" w:rsidRPr="009C5EFD" w:rsidRDefault="00E453CD" w:rsidP="002F0483">
            <w:pPr>
              <w:keepLines/>
              <w:tabs>
                <w:tab w:val="left" w:pos="-1080"/>
              </w:tabs>
              <w:autoSpaceDE w:val="0"/>
              <w:autoSpaceDN w:val="0"/>
              <w:adjustRightInd w:val="0"/>
              <w:ind w:left="15"/>
              <w:jc w:val="center"/>
              <w:rPr>
                <w:b/>
                <w:sz w:val="22"/>
                <w:szCs w:val="22"/>
              </w:rPr>
            </w:pPr>
            <w:r w:rsidRPr="009C5EFD">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59CBA5CC" w14:textId="77777777" w:rsidR="002F0483" w:rsidRPr="009C5EFD" w:rsidRDefault="00E453CD" w:rsidP="002F0483">
            <w:pPr>
              <w:keepLines/>
              <w:tabs>
                <w:tab w:val="left" w:pos="-1080"/>
              </w:tabs>
              <w:autoSpaceDE w:val="0"/>
              <w:autoSpaceDN w:val="0"/>
              <w:adjustRightInd w:val="0"/>
              <w:ind w:left="15"/>
              <w:jc w:val="center"/>
              <w:rPr>
                <w:b/>
                <w:sz w:val="22"/>
                <w:szCs w:val="22"/>
              </w:rPr>
            </w:pPr>
            <w:r w:rsidRPr="009C5EFD">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74A46749" w14:textId="77777777" w:rsidR="002F0483" w:rsidRPr="009C5EFD" w:rsidRDefault="002F0483" w:rsidP="002F0483">
            <w:pPr>
              <w:keepLines/>
              <w:autoSpaceDE w:val="0"/>
              <w:autoSpaceDN w:val="0"/>
              <w:adjustRightInd w:val="0"/>
              <w:ind w:left="15"/>
              <w:rPr>
                <w:b/>
                <w:sz w:val="22"/>
                <w:szCs w:val="22"/>
              </w:rPr>
            </w:pPr>
          </w:p>
        </w:tc>
      </w:tr>
      <w:tr w:rsidR="004644D4" w14:paraId="62D4214A"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DC30394" w14:textId="77777777" w:rsidR="002F0483" w:rsidRPr="009C5EFD" w:rsidRDefault="00E453CD" w:rsidP="002F0483">
            <w:pPr>
              <w:keepNext/>
              <w:keepLines/>
              <w:tabs>
                <w:tab w:val="left" w:pos="-1080"/>
              </w:tabs>
              <w:autoSpaceDE w:val="0"/>
              <w:autoSpaceDN w:val="0"/>
              <w:adjustRightInd w:val="0"/>
              <w:rPr>
                <w:bCs/>
                <w:sz w:val="22"/>
                <w:szCs w:val="22"/>
              </w:rPr>
            </w:pPr>
            <w:r w:rsidRPr="009C5EFD">
              <w:rPr>
                <w:bCs/>
                <w:sz w:val="22"/>
                <w:szCs w:val="22"/>
              </w:rPr>
              <w:t>Uke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4D6D2054"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84,8 %</w:t>
            </w:r>
          </w:p>
        </w:tc>
        <w:tc>
          <w:tcPr>
            <w:tcW w:w="1619" w:type="dxa"/>
            <w:tcBorders>
              <w:top w:val="single" w:sz="6" w:space="0" w:color="000000"/>
              <w:left w:val="single" w:sz="6" w:space="0" w:color="000000"/>
              <w:bottom w:val="single" w:sz="6" w:space="0" w:color="000000"/>
              <w:right w:val="single" w:sz="6" w:space="0" w:color="000000"/>
            </w:tcBorders>
            <w:vAlign w:val="bottom"/>
          </w:tcPr>
          <w:p w14:paraId="6E7E0F01"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65,8 %</w:t>
            </w:r>
          </w:p>
        </w:tc>
        <w:tc>
          <w:tcPr>
            <w:tcW w:w="1140" w:type="dxa"/>
            <w:tcBorders>
              <w:top w:val="single" w:sz="6" w:space="0" w:color="000000"/>
              <w:left w:val="single" w:sz="6" w:space="0" w:color="000000"/>
              <w:bottom w:val="single" w:sz="6" w:space="0" w:color="000000"/>
              <w:right w:val="single" w:sz="6" w:space="0" w:color="000000"/>
            </w:tcBorders>
            <w:vAlign w:val="bottom"/>
          </w:tcPr>
          <w:p w14:paraId="7512870E"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0,066</w:t>
            </w:r>
          </w:p>
        </w:tc>
      </w:tr>
      <w:tr w:rsidR="004644D4" w14:paraId="2DE71C68"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7F0E01CD" w14:textId="77777777" w:rsidR="002F0483" w:rsidRPr="009C5EFD" w:rsidRDefault="00E453CD" w:rsidP="002F0483">
            <w:pPr>
              <w:keepNext/>
              <w:keepLines/>
              <w:tabs>
                <w:tab w:val="left" w:pos="-1080"/>
              </w:tabs>
              <w:autoSpaceDE w:val="0"/>
              <w:autoSpaceDN w:val="0"/>
              <w:adjustRightInd w:val="0"/>
              <w:rPr>
                <w:bCs/>
                <w:sz w:val="22"/>
                <w:szCs w:val="22"/>
              </w:rPr>
            </w:pPr>
            <w:r w:rsidRPr="009C5EFD">
              <w:rPr>
                <w:bCs/>
                <w:sz w:val="22"/>
                <w:szCs w:val="22"/>
              </w:rPr>
              <w:t>Uke 52</w:t>
            </w:r>
          </w:p>
        </w:tc>
        <w:tc>
          <w:tcPr>
            <w:tcW w:w="1656" w:type="dxa"/>
            <w:tcBorders>
              <w:top w:val="single" w:sz="6" w:space="0" w:color="000000"/>
              <w:left w:val="single" w:sz="6" w:space="0" w:color="000000"/>
              <w:bottom w:val="single" w:sz="6" w:space="0" w:color="000000"/>
              <w:right w:val="single" w:sz="6" w:space="0" w:color="000000"/>
            </w:tcBorders>
          </w:tcPr>
          <w:p w14:paraId="57680138"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69,7 %</w:t>
            </w:r>
          </w:p>
        </w:tc>
        <w:tc>
          <w:tcPr>
            <w:tcW w:w="1619" w:type="dxa"/>
            <w:tcBorders>
              <w:top w:val="single" w:sz="6" w:space="0" w:color="000000"/>
              <w:left w:val="single" w:sz="6" w:space="0" w:color="000000"/>
              <w:bottom w:val="single" w:sz="6" w:space="0" w:color="000000"/>
              <w:right w:val="single" w:sz="6" w:space="0" w:color="000000"/>
            </w:tcBorders>
          </w:tcPr>
          <w:p w14:paraId="4C03A2FA"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60,5 %</w:t>
            </w:r>
          </w:p>
        </w:tc>
        <w:tc>
          <w:tcPr>
            <w:tcW w:w="1140" w:type="dxa"/>
            <w:tcBorders>
              <w:top w:val="single" w:sz="6" w:space="0" w:color="000000"/>
              <w:left w:val="single" w:sz="6" w:space="0" w:color="000000"/>
              <w:bottom w:val="single" w:sz="6" w:space="0" w:color="000000"/>
              <w:right w:val="single" w:sz="6" w:space="0" w:color="000000"/>
            </w:tcBorders>
            <w:vAlign w:val="bottom"/>
          </w:tcPr>
          <w:p w14:paraId="42901E4C"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0,420</w:t>
            </w:r>
          </w:p>
        </w:tc>
      </w:tr>
      <w:tr w:rsidR="004644D4" w14:paraId="4FFDA943"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639909C" w14:textId="77777777" w:rsidR="002F0483" w:rsidRPr="009C5EFD" w:rsidRDefault="00E453CD" w:rsidP="002F0483">
            <w:pPr>
              <w:keepNext/>
              <w:keepLines/>
              <w:tabs>
                <w:tab w:val="left" w:pos="-1080"/>
              </w:tabs>
              <w:autoSpaceDE w:val="0"/>
              <w:autoSpaceDN w:val="0"/>
              <w:adjustRightInd w:val="0"/>
              <w:rPr>
                <w:b/>
                <w:sz w:val="22"/>
                <w:szCs w:val="22"/>
              </w:rPr>
            </w:pPr>
            <w:r w:rsidRPr="009C5EFD">
              <w:rPr>
                <w:b/>
                <w:sz w:val="22"/>
                <w:szCs w:val="22"/>
              </w:rPr>
              <w:t>Seponering av immunmodulerende midler</w:t>
            </w:r>
            <w:r w:rsidRPr="009C5EFD">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396D6772" w14:textId="77777777" w:rsidR="002F0483" w:rsidRPr="009C5EFD" w:rsidRDefault="00E453CD" w:rsidP="002F0483">
            <w:pPr>
              <w:keepLines/>
              <w:tabs>
                <w:tab w:val="left" w:pos="-1080"/>
              </w:tabs>
              <w:autoSpaceDE w:val="0"/>
              <w:autoSpaceDN w:val="0"/>
              <w:adjustRightInd w:val="0"/>
              <w:ind w:left="15"/>
              <w:jc w:val="center"/>
              <w:rPr>
                <w:b/>
                <w:sz w:val="22"/>
                <w:szCs w:val="22"/>
              </w:rPr>
            </w:pPr>
            <w:r w:rsidRPr="009C5EFD">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352651CA" w14:textId="77777777" w:rsidR="002F0483" w:rsidRPr="009C5EFD" w:rsidRDefault="00E453CD" w:rsidP="002F0483">
            <w:pPr>
              <w:keepLines/>
              <w:tabs>
                <w:tab w:val="left" w:pos="-1080"/>
              </w:tabs>
              <w:autoSpaceDE w:val="0"/>
              <w:autoSpaceDN w:val="0"/>
              <w:adjustRightInd w:val="0"/>
              <w:ind w:left="15"/>
              <w:jc w:val="center"/>
              <w:rPr>
                <w:b/>
                <w:sz w:val="22"/>
                <w:szCs w:val="22"/>
              </w:rPr>
            </w:pPr>
            <w:r w:rsidRPr="009C5EFD">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1A1C6FE7" w14:textId="77777777" w:rsidR="002F0483" w:rsidRPr="009C5EFD" w:rsidRDefault="002F0483" w:rsidP="002F0483">
            <w:pPr>
              <w:keepLines/>
              <w:autoSpaceDE w:val="0"/>
              <w:autoSpaceDN w:val="0"/>
              <w:adjustRightInd w:val="0"/>
              <w:ind w:left="15"/>
              <w:rPr>
                <w:b/>
                <w:sz w:val="22"/>
                <w:szCs w:val="22"/>
              </w:rPr>
            </w:pPr>
          </w:p>
        </w:tc>
      </w:tr>
      <w:tr w:rsidR="004644D4" w14:paraId="73844F6D"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tcPr>
          <w:p w14:paraId="51535FF5" w14:textId="77777777" w:rsidR="002F0483" w:rsidRPr="009C5EFD" w:rsidRDefault="00E453CD" w:rsidP="002F0483">
            <w:pPr>
              <w:keepNext/>
              <w:keepLines/>
              <w:tabs>
                <w:tab w:val="left" w:pos="-1080"/>
              </w:tabs>
              <w:autoSpaceDE w:val="0"/>
              <w:autoSpaceDN w:val="0"/>
              <w:adjustRightInd w:val="0"/>
              <w:rPr>
                <w:bCs/>
                <w:sz w:val="22"/>
                <w:szCs w:val="22"/>
              </w:rPr>
            </w:pPr>
            <w:r w:rsidRPr="009C5EFD">
              <w:rPr>
                <w:bCs/>
                <w:sz w:val="22"/>
                <w:szCs w:val="22"/>
              </w:rPr>
              <w:t>Uke 52</w:t>
            </w:r>
          </w:p>
        </w:tc>
        <w:tc>
          <w:tcPr>
            <w:tcW w:w="1656" w:type="dxa"/>
            <w:tcBorders>
              <w:top w:val="single" w:sz="6" w:space="0" w:color="000000"/>
              <w:left w:val="single" w:sz="6" w:space="0" w:color="000000"/>
              <w:bottom w:val="single" w:sz="6" w:space="0" w:color="000000"/>
              <w:right w:val="single" w:sz="6" w:space="0" w:color="000000"/>
            </w:tcBorders>
          </w:tcPr>
          <w:p w14:paraId="06951412"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30,0 %</w:t>
            </w:r>
          </w:p>
        </w:tc>
        <w:tc>
          <w:tcPr>
            <w:tcW w:w="1619" w:type="dxa"/>
            <w:tcBorders>
              <w:top w:val="single" w:sz="6" w:space="0" w:color="000000"/>
              <w:left w:val="single" w:sz="6" w:space="0" w:color="000000"/>
              <w:bottom w:val="single" w:sz="6" w:space="0" w:color="000000"/>
              <w:right w:val="single" w:sz="6" w:space="0" w:color="000000"/>
            </w:tcBorders>
          </w:tcPr>
          <w:p w14:paraId="202FB6C1"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29,8 %</w:t>
            </w:r>
          </w:p>
        </w:tc>
        <w:tc>
          <w:tcPr>
            <w:tcW w:w="1140" w:type="dxa"/>
            <w:tcBorders>
              <w:top w:val="single" w:sz="6" w:space="0" w:color="000000"/>
              <w:left w:val="single" w:sz="6" w:space="0" w:color="000000"/>
              <w:bottom w:val="single" w:sz="6" w:space="0" w:color="000000"/>
              <w:right w:val="single" w:sz="6" w:space="0" w:color="000000"/>
            </w:tcBorders>
          </w:tcPr>
          <w:p w14:paraId="6182D723"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0,983</w:t>
            </w:r>
          </w:p>
        </w:tc>
      </w:tr>
      <w:tr w:rsidR="004644D4" w14:paraId="3851D111"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tcPr>
          <w:p w14:paraId="35E7F026" w14:textId="77777777" w:rsidR="002F0483" w:rsidRPr="009C5EFD" w:rsidRDefault="00E453CD" w:rsidP="002F0483">
            <w:pPr>
              <w:keepNext/>
              <w:keepLines/>
              <w:tabs>
                <w:tab w:val="left" w:pos="-1080"/>
              </w:tabs>
              <w:autoSpaceDE w:val="0"/>
              <w:autoSpaceDN w:val="0"/>
              <w:adjustRightInd w:val="0"/>
              <w:rPr>
                <w:b/>
                <w:bCs/>
                <w:sz w:val="22"/>
                <w:szCs w:val="22"/>
              </w:rPr>
            </w:pPr>
            <w:r w:rsidRPr="009C5EFD">
              <w:rPr>
                <w:b/>
                <w:sz w:val="22"/>
                <w:szCs w:val="22"/>
                <w:lang w:val="en-GB"/>
              </w:rPr>
              <w:t>Fistel remisjon</w:t>
            </w:r>
            <w:r w:rsidRPr="009C5EFD">
              <w:rPr>
                <w:b/>
                <w:sz w:val="22"/>
                <w:szCs w:val="22"/>
                <w:vertAlign w:val="superscript"/>
                <w:lang w:val="en-GB"/>
              </w:rPr>
              <w:t>3</w:t>
            </w:r>
          </w:p>
        </w:tc>
        <w:tc>
          <w:tcPr>
            <w:tcW w:w="1656" w:type="dxa"/>
            <w:tcBorders>
              <w:top w:val="single" w:sz="6" w:space="0" w:color="000000"/>
              <w:left w:val="single" w:sz="6" w:space="0" w:color="000000"/>
              <w:bottom w:val="single" w:sz="6" w:space="0" w:color="000000"/>
              <w:right w:val="single" w:sz="6" w:space="0" w:color="000000"/>
            </w:tcBorders>
          </w:tcPr>
          <w:p w14:paraId="1DF4BCD8" w14:textId="77777777" w:rsidR="002F0483" w:rsidRPr="009C5EFD" w:rsidRDefault="00E453CD" w:rsidP="002F0483">
            <w:pPr>
              <w:keepLines/>
              <w:tabs>
                <w:tab w:val="left" w:pos="-1080"/>
              </w:tabs>
              <w:autoSpaceDE w:val="0"/>
              <w:autoSpaceDN w:val="0"/>
              <w:adjustRightInd w:val="0"/>
              <w:ind w:left="15"/>
              <w:jc w:val="center"/>
              <w:rPr>
                <w:b/>
                <w:sz w:val="22"/>
                <w:szCs w:val="22"/>
              </w:rPr>
            </w:pPr>
            <w:r w:rsidRPr="009C5EFD">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50FD788B" w14:textId="77777777" w:rsidR="002F0483" w:rsidRPr="009C5EFD" w:rsidRDefault="00E453CD" w:rsidP="002F0483">
            <w:pPr>
              <w:keepLines/>
              <w:tabs>
                <w:tab w:val="left" w:pos="-1080"/>
              </w:tabs>
              <w:autoSpaceDE w:val="0"/>
              <w:autoSpaceDN w:val="0"/>
              <w:adjustRightInd w:val="0"/>
              <w:ind w:left="15"/>
              <w:jc w:val="center"/>
              <w:rPr>
                <w:b/>
                <w:sz w:val="22"/>
                <w:szCs w:val="22"/>
              </w:rPr>
            </w:pPr>
            <w:r w:rsidRPr="009C5EFD">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270650AD" w14:textId="77777777" w:rsidR="002F0483" w:rsidRPr="009C5EFD" w:rsidRDefault="002F0483" w:rsidP="002F0483">
            <w:pPr>
              <w:keepLines/>
              <w:tabs>
                <w:tab w:val="left" w:pos="-1080"/>
              </w:tabs>
              <w:autoSpaceDE w:val="0"/>
              <w:autoSpaceDN w:val="0"/>
              <w:adjustRightInd w:val="0"/>
              <w:ind w:left="15"/>
              <w:jc w:val="center"/>
              <w:rPr>
                <w:sz w:val="22"/>
                <w:szCs w:val="22"/>
              </w:rPr>
            </w:pPr>
          </w:p>
        </w:tc>
      </w:tr>
      <w:tr w:rsidR="004644D4" w14:paraId="00735BF7"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tcPr>
          <w:p w14:paraId="35CE594F" w14:textId="77777777" w:rsidR="002F0483" w:rsidRPr="009C5EFD" w:rsidRDefault="00E453CD" w:rsidP="002F0483">
            <w:pPr>
              <w:keepNext/>
              <w:keepLines/>
              <w:tabs>
                <w:tab w:val="left" w:pos="-1080"/>
              </w:tabs>
              <w:autoSpaceDE w:val="0"/>
              <w:autoSpaceDN w:val="0"/>
              <w:adjustRightInd w:val="0"/>
              <w:rPr>
                <w:bCs/>
                <w:sz w:val="22"/>
                <w:szCs w:val="22"/>
              </w:rPr>
            </w:pPr>
            <w:r w:rsidRPr="009C5EFD">
              <w:rPr>
                <w:bCs/>
                <w:sz w:val="22"/>
                <w:szCs w:val="22"/>
              </w:rPr>
              <w:t>Uke 26</w:t>
            </w:r>
          </w:p>
        </w:tc>
        <w:tc>
          <w:tcPr>
            <w:tcW w:w="1656" w:type="dxa"/>
            <w:tcBorders>
              <w:top w:val="single" w:sz="6" w:space="0" w:color="000000"/>
              <w:left w:val="single" w:sz="6" w:space="0" w:color="000000"/>
              <w:bottom w:val="single" w:sz="6" w:space="0" w:color="000000"/>
              <w:right w:val="single" w:sz="6" w:space="0" w:color="000000"/>
            </w:tcBorders>
          </w:tcPr>
          <w:p w14:paraId="48450743"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lang w:val="en-GB"/>
              </w:rPr>
              <w:t>46,7 %</w:t>
            </w:r>
          </w:p>
        </w:tc>
        <w:tc>
          <w:tcPr>
            <w:tcW w:w="1619" w:type="dxa"/>
            <w:tcBorders>
              <w:top w:val="single" w:sz="6" w:space="0" w:color="000000"/>
              <w:left w:val="single" w:sz="6" w:space="0" w:color="000000"/>
              <w:bottom w:val="single" w:sz="6" w:space="0" w:color="000000"/>
              <w:right w:val="single" w:sz="6" w:space="0" w:color="000000"/>
            </w:tcBorders>
          </w:tcPr>
          <w:p w14:paraId="1B346DD5"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lang w:val="en-GB"/>
              </w:rPr>
              <w:t>38,1 %</w:t>
            </w:r>
          </w:p>
        </w:tc>
        <w:tc>
          <w:tcPr>
            <w:tcW w:w="1140" w:type="dxa"/>
            <w:tcBorders>
              <w:top w:val="single" w:sz="6" w:space="0" w:color="000000"/>
              <w:left w:val="single" w:sz="6" w:space="0" w:color="000000"/>
              <w:bottom w:val="single" w:sz="6" w:space="0" w:color="000000"/>
              <w:right w:val="single" w:sz="6" w:space="0" w:color="000000"/>
            </w:tcBorders>
          </w:tcPr>
          <w:p w14:paraId="45664BB6"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lang w:val="en-GB"/>
              </w:rPr>
              <w:t>0,608</w:t>
            </w:r>
          </w:p>
        </w:tc>
      </w:tr>
      <w:tr w:rsidR="004644D4" w14:paraId="59879ED5" w14:textId="77777777" w:rsidTr="002F0483">
        <w:trPr>
          <w:jc w:val="center"/>
        </w:trPr>
        <w:tc>
          <w:tcPr>
            <w:tcW w:w="4025" w:type="dxa"/>
            <w:tcBorders>
              <w:top w:val="single" w:sz="6" w:space="0" w:color="000000"/>
              <w:left w:val="single" w:sz="6" w:space="0" w:color="000000"/>
              <w:bottom w:val="single" w:sz="4" w:space="0" w:color="auto"/>
              <w:right w:val="single" w:sz="6" w:space="0" w:color="000000"/>
            </w:tcBorders>
          </w:tcPr>
          <w:p w14:paraId="649BB3D9" w14:textId="77777777" w:rsidR="002F0483" w:rsidRPr="009C5EFD" w:rsidRDefault="00E453CD" w:rsidP="002F0483">
            <w:pPr>
              <w:keepNext/>
              <w:keepLines/>
              <w:tabs>
                <w:tab w:val="left" w:pos="-1080"/>
              </w:tabs>
              <w:autoSpaceDE w:val="0"/>
              <w:autoSpaceDN w:val="0"/>
              <w:adjustRightInd w:val="0"/>
              <w:rPr>
                <w:bCs/>
                <w:sz w:val="22"/>
                <w:szCs w:val="22"/>
              </w:rPr>
            </w:pPr>
            <w:r w:rsidRPr="009C5EFD">
              <w:rPr>
                <w:sz w:val="22"/>
                <w:szCs w:val="22"/>
                <w:lang w:val="en-GB"/>
              </w:rPr>
              <w:t>Uke 52</w:t>
            </w:r>
          </w:p>
        </w:tc>
        <w:tc>
          <w:tcPr>
            <w:tcW w:w="1656" w:type="dxa"/>
            <w:tcBorders>
              <w:top w:val="single" w:sz="6" w:space="0" w:color="000000"/>
              <w:left w:val="single" w:sz="6" w:space="0" w:color="000000"/>
              <w:bottom w:val="single" w:sz="4" w:space="0" w:color="auto"/>
              <w:right w:val="single" w:sz="6" w:space="0" w:color="000000"/>
            </w:tcBorders>
          </w:tcPr>
          <w:p w14:paraId="444F709D" w14:textId="77777777" w:rsidR="002F0483" w:rsidRPr="009C5EFD" w:rsidRDefault="00E453CD" w:rsidP="002F0483">
            <w:pPr>
              <w:keepLines/>
              <w:tabs>
                <w:tab w:val="left" w:pos="-1080"/>
              </w:tabs>
              <w:autoSpaceDE w:val="0"/>
              <w:autoSpaceDN w:val="0"/>
              <w:adjustRightInd w:val="0"/>
              <w:ind w:left="15"/>
              <w:jc w:val="center"/>
              <w:rPr>
                <w:sz w:val="22"/>
                <w:szCs w:val="22"/>
                <w:lang w:val="en-GB"/>
              </w:rPr>
            </w:pPr>
            <w:r w:rsidRPr="009C5EFD">
              <w:rPr>
                <w:sz w:val="22"/>
                <w:szCs w:val="22"/>
                <w:lang w:val="en-GB"/>
              </w:rPr>
              <w:t>40,0 %</w:t>
            </w:r>
          </w:p>
        </w:tc>
        <w:tc>
          <w:tcPr>
            <w:tcW w:w="1619" w:type="dxa"/>
            <w:tcBorders>
              <w:top w:val="single" w:sz="6" w:space="0" w:color="000000"/>
              <w:left w:val="single" w:sz="6" w:space="0" w:color="000000"/>
              <w:bottom w:val="single" w:sz="4" w:space="0" w:color="auto"/>
              <w:right w:val="single" w:sz="6" w:space="0" w:color="000000"/>
            </w:tcBorders>
          </w:tcPr>
          <w:p w14:paraId="36A001BD" w14:textId="77777777" w:rsidR="002F0483" w:rsidRPr="009C5EFD" w:rsidRDefault="00E453CD" w:rsidP="002F0483">
            <w:pPr>
              <w:keepLines/>
              <w:tabs>
                <w:tab w:val="left" w:pos="-1080"/>
              </w:tabs>
              <w:autoSpaceDE w:val="0"/>
              <w:autoSpaceDN w:val="0"/>
              <w:adjustRightInd w:val="0"/>
              <w:ind w:left="15"/>
              <w:jc w:val="center"/>
              <w:rPr>
                <w:sz w:val="22"/>
                <w:szCs w:val="22"/>
                <w:lang w:val="en-GB"/>
              </w:rPr>
            </w:pPr>
            <w:r w:rsidRPr="009C5EFD">
              <w:rPr>
                <w:sz w:val="22"/>
                <w:szCs w:val="22"/>
                <w:lang w:val="en-GB"/>
              </w:rPr>
              <w:t>23,8 %</w:t>
            </w:r>
          </w:p>
        </w:tc>
        <w:tc>
          <w:tcPr>
            <w:tcW w:w="1140" w:type="dxa"/>
            <w:tcBorders>
              <w:top w:val="single" w:sz="6" w:space="0" w:color="000000"/>
              <w:left w:val="single" w:sz="6" w:space="0" w:color="000000"/>
              <w:bottom w:val="single" w:sz="4" w:space="0" w:color="auto"/>
              <w:right w:val="single" w:sz="6" w:space="0" w:color="000000"/>
            </w:tcBorders>
          </w:tcPr>
          <w:p w14:paraId="336F8D2C" w14:textId="77777777" w:rsidR="002F0483" w:rsidRPr="009C5EFD" w:rsidRDefault="00E453CD" w:rsidP="002F0483">
            <w:pPr>
              <w:keepLines/>
              <w:tabs>
                <w:tab w:val="left" w:pos="-1080"/>
              </w:tabs>
              <w:autoSpaceDE w:val="0"/>
              <w:autoSpaceDN w:val="0"/>
              <w:adjustRightInd w:val="0"/>
              <w:ind w:left="15"/>
              <w:jc w:val="center"/>
              <w:rPr>
                <w:sz w:val="22"/>
                <w:szCs w:val="22"/>
                <w:lang w:val="en-GB"/>
              </w:rPr>
            </w:pPr>
            <w:r w:rsidRPr="009C5EFD">
              <w:rPr>
                <w:sz w:val="22"/>
                <w:szCs w:val="22"/>
                <w:lang w:val="en-GB"/>
              </w:rPr>
              <w:t>0,303</w:t>
            </w:r>
          </w:p>
        </w:tc>
      </w:tr>
      <w:tr w:rsidR="004644D4" w14:paraId="352B0EEC" w14:textId="77777777" w:rsidTr="002F0483">
        <w:trPr>
          <w:trHeight w:val="177"/>
          <w:jc w:val="center"/>
        </w:trPr>
        <w:tc>
          <w:tcPr>
            <w:tcW w:w="8440" w:type="dxa"/>
            <w:gridSpan w:val="4"/>
            <w:tcBorders>
              <w:top w:val="single" w:sz="4" w:space="0" w:color="auto"/>
            </w:tcBorders>
          </w:tcPr>
          <w:p w14:paraId="42E54704" w14:textId="77777777" w:rsidR="002F0483" w:rsidRPr="009C5EFD" w:rsidRDefault="00E453CD" w:rsidP="002F0483">
            <w:pPr>
              <w:keepLines/>
              <w:tabs>
                <w:tab w:val="left" w:pos="-1080"/>
              </w:tabs>
              <w:autoSpaceDE w:val="0"/>
              <w:autoSpaceDN w:val="0"/>
              <w:adjustRightInd w:val="0"/>
              <w:rPr>
                <w:sz w:val="22"/>
                <w:szCs w:val="22"/>
              </w:rPr>
            </w:pPr>
            <w:r w:rsidRPr="009C5EFD">
              <w:rPr>
                <w:sz w:val="22"/>
                <w:szCs w:val="22"/>
                <w:vertAlign w:val="superscript"/>
              </w:rPr>
              <w:t>1</w:t>
            </w:r>
            <w:r w:rsidRPr="009C5EFD">
              <w:rPr>
                <w:sz w:val="22"/>
                <w:szCs w:val="22"/>
              </w:rPr>
              <w:t xml:space="preserve">  p-verdi for standard dose </w:t>
            </w:r>
            <w:r w:rsidRPr="009C5EFD">
              <w:rPr>
                <w:i/>
                <w:iCs/>
                <w:sz w:val="22"/>
                <w:szCs w:val="22"/>
              </w:rPr>
              <w:t>versus</w:t>
            </w:r>
            <w:r w:rsidRPr="009C5EFD">
              <w:rPr>
                <w:sz w:val="22"/>
                <w:szCs w:val="22"/>
              </w:rPr>
              <w:t xml:space="preserve"> lav dose sammenligning.</w:t>
            </w:r>
          </w:p>
          <w:p w14:paraId="70E24508" w14:textId="77777777" w:rsidR="002F0483" w:rsidRPr="009C5EFD" w:rsidRDefault="00E453CD" w:rsidP="002F0483">
            <w:pPr>
              <w:keepLines/>
              <w:tabs>
                <w:tab w:val="left" w:pos="-1080"/>
              </w:tabs>
              <w:autoSpaceDE w:val="0"/>
              <w:autoSpaceDN w:val="0"/>
              <w:adjustRightInd w:val="0"/>
              <w:rPr>
                <w:sz w:val="22"/>
                <w:szCs w:val="22"/>
              </w:rPr>
            </w:pPr>
            <w:r w:rsidRPr="009C5EFD">
              <w:rPr>
                <w:sz w:val="22"/>
                <w:szCs w:val="22"/>
                <w:vertAlign w:val="superscript"/>
              </w:rPr>
              <w:t>2</w:t>
            </w:r>
            <w:r w:rsidRPr="009C5EFD">
              <w:rPr>
                <w:sz w:val="22"/>
                <w:szCs w:val="22"/>
              </w:rPr>
              <w:t xml:space="preserve">  Immunsuppressiv behandling kunne bare bli seponert ved eller etter uke 26 ved utprøvers diskresjon hvis pasienten oppfylte kriteriet for klinisk respons </w:t>
            </w:r>
          </w:p>
          <w:p w14:paraId="337F4948" w14:textId="77777777" w:rsidR="002F0483" w:rsidRPr="009C5EFD" w:rsidRDefault="00E453CD" w:rsidP="002F0483">
            <w:pPr>
              <w:keepLines/>
              <w:tabs>
                <w:tab w:val="left" w:pos="-1080"/>
              </w:tabs>
              <w:autoSpaceDE w:val="0"/>
              <w:autoSpaceDN w:val="0"/>
              <w:adjustRightInd w:val="0"/>
              <w:rPr>
                <w:sz w:val="22"/>
                <w:szCs w:val="22"/>
              </w:rPr>
            </w:pPr>
            <w:r w:rsidRPr="009C5EFD">
              <w:rPr>
                <w:sz w:val="22"/>
                <w:szCs w:val="22"/>
                <w:vertAlign w:val="superscript"/>
              </w:rPr>
              <w:t>3</w:t>
            </w:r>
            <w:r w:rsidRPr="009C5EFD">
              <w:rPr>
                <w:sz w:val="22"/>
                <w:szCs w:val="22"/>
              </w:rPr>
              <w:t xml:space="preserve">  definert som en lukking av alle fistler som ble drenert ved baseline på minst 2 påfølgende post-baseline besøk</w:t>
            </w:r>
          </w:p>
        </w:tc>
      </w:tr>
    </w:tbl>
    <w:p w14:paraId="4FE83D50" w14:textId="77777777" w:rsidR="002F0483" w:rsidRPr="007F67EE" w:rsidRDefault="002F0483" w:rsidP="002F0483">
      <w:pPr>
        <w:pStyle w:val="Heading8"/>
        <w:keepNext w:val="0"/>
        <w:rPr>
          <w:szCs w:val="22"/>
        </w:rPr>
      </w:pPr>
    </w:p>
    <w:p w14:paraId="1B850E24" w14:textId="77777777" w:rsidR="002F0483" w:rsidRPr="00193D76" w:rsidRDefault="00E453CD" w:rsidP="002F0483">
      <w:pPr>
        <w:pStyle w:val="Heading8"/>
        <w:keepNext w:val="0"/>
        <w:rPr>
          <w:szCs w:val="22"/>
          <w:u w:val="none"/>
        </w:rPr>
      </w:pPr>
      <w:r w:rsidRPr="007F67EE">
        <w:rPr>
          <w:szCs w:val="22"/>
          <w:u w:val="none"/>
        </w:rPr>
        <w:t>S</w:t>
      </w:r>
      <w:r w:rsidRPr="00193D76">
        <w:rPr>
          <w:szCs w:val="22"/>
          <w:u w:val="none"/>
        </w:rPr>
        <w:t>tatistisk signifikant økning (forbedring) fra baseline til uke</w:t>
      </w:r>
      <w:r>
        <w:rPr>
          <w:szCs w:val="22"/>
          <w:u w:val="none"/>
        </w:rPr>
        <w:t> </w:t>
      </w:r>
      <w:r w:rsidRPr="00193D76">
        <w:rPr>
          <w:szCs w:val="22"/>
          <w:u w:val="none"/>
        </w:rPr>
        <w:t>26 og 52 i Body Mass Index og veksthastighet ble observert for begge behandlingsgrupper.</w:t>
      </w:r>
    </w:p>
    <w:p w14:paraId="5A7C3A04" w14:textId="77777777" w:rsidR="002F0483" w:rsidRPr="002D0790" w:rsidRDefault="002F0483" w:rsidP="002F0483">
      <w:pPr>
        <w:pStyle w:val="Heading8"/>
        <w:keepNext w:val="0"/>
        <w:rPr>
          <w:szCs w:val="22"/>
          <w:u w:val="none"/>
        </w:rPr>
      </w:pPr>
    </w:p>
    <w:p w14:paraId="6ACA9B78" w14:textId="77777777" w:rsidR="002F0483" w:rsidRDefault="00E453CD" w:rsidP="002F0483">
      <w:pPr>
        <w:pStyle w:val="Heading8"/>
        <w:keepNext w:val="0"/>
        <w:rPr>
          <w:szCs w:val="22"/>
          <w:u w:val="none"/>
        </w:rPr>
      </w:pPr>
      <w:r w:rsidRPr="002D0790">
        <w:rPr>
          <w:szCs w:val="22"/>
          <w:u w:val="none"/>
        </w:rPr>
        <w:t>Statistisk og klinisk signifikant forbedring fra baseline ble også observert i begge behandlingsgrupper</w:t>
      </w:r>
      <w:r w:rsidRPr="00E14E58">
        <w:rPr>
          <w:szCs w:val="22"/>
          <w:u w:val="none"/>
        </w:rPr>
        <w:t xml:space="preserve"> for parametre innen livskvalitet (inkludert IMPACT III).</w:t>
      </w:r>
    </w:p>
    <w:p w14:paraId="79BB39A2" w14:textId="77777777" w:rsidR="002F0483" w:rsidRDefault="002F0483" w:rsidP="002F0483"/>
    <w:p w14:paraId="1E9F038D" w14:textId="77777777" w:rsidR="002F0483" w:rsidRPr="001440C4" w:rsidRDefault="00E453CD" w:rsidP="002F0483">
      <w:pPr>
        <w:rPr>
          <w:szCs w:val="22"/>
        </w:rPr>
      </w:pPr>
      <w:r w:rsidRPr="00DD19BD">
        <w:rPr>
          <w:sz w:val="22"/>
          <w:szCs w:val="22"/>
        </w:rPr>
        <w:t xml:space="preserve">Ett hundre pasienter (n=100) </w:t>
      </w:r>
      <w:r>
        <w:rPr>
          <w:sz w:val="22"/>
          <w:szCs w:val="22"/>
        </w:rPr>
        <w:t>fra</w:t>
      </w:r>
      <w:r w:rsidRPr="00DD19BD">
        <w:rPr>
          <w:sz w:val="22"/>
          <w:szCs w:val="22"/>
        </w:rPr>
        <w:t xml:space="preserve"> Pediatrisk CD</w:t>
      </w:r>
      <w:r>
        <w:rPr>
          <w:sz w:val="22"/>
          <w:szCs w:val="22"/>
        </w:rPr>
        <w:t xml:space="preserve"> </w:t>
      </w:r>
      <w:r w:rsidRPr="00DD19BD">
        <w:rPr>
          <w:sz w:val="22"/>
          <w:szCs w:val="22"/>
        </w:rPr>
        <w:t>studie</w:t>
      </w:r>
      <w:r>
        <w:rPr>
          <w:sz w:val="22"/>
          <w:szCs w:val="22"/>
        </w:rPr>
        <w:t>n</w:t>
      </w:r>
      <w:r w:rsidRPr="00DD19BD">
        <w:rPr>
          <w:sz w:val="22"/>
          <w:szCs w:val="22"/>
        </w:rPr>
        <w:t xml:space="preserve"> fortsatte i en </w:t>
      </w:r>
      <w:r>
        <w:rPr>
          <w:sz w:val="22"/>
          <w:szCs w:val="22"/>
        </w:rPr>
        <w:t>åpen,</w:t>
      </w:r>
      <w:r w:rsidRPr="00DD19BD">
        <w:rPr>
          <w:sz w:val="22"/>
          <w:szCs w:val="22"/>
        </w:rPr>
        <w:t xml:space="preserve"> langtids</w:t>
      </w:r>
      <w:r>
        <w:rPr>
          <w:sz w:val="22"/>
          <w:szCs w:val="22"/>
        </w:rPr>
        <w:t>-,</w:t>
      </w:r>
      <w:r w:rsidRPr="00DD19BD">
        <w:rPr>
          <w:sz w:val="22"/>
          <w:szCs w:val="22"/>
        </w:rPr>
        <w:t xml:space="preserve"> forlengelsesstudie. Etter 5 år med adalimumab-behandling var 74</w:t>
      </w:r>
      <w:r>
        <w:rPr>
          <w:sz w:val="22"/>
          <w:szCs w:val="22"/>
        </w:rPr>
        <w:t> </w:t>
      </w:r>
      <w:r w:rsidRPr="00DD19BD">
        <w:rPr>
          <w:sz w:val="22"/>
          <w:szCs w:val="22"/>
        </w:rPr>
        <w:t xml:space="preserve">% (37/50) av de 50 gjenværende </w:t>
      </w:r>
      <w:r>
        <w:rPr>
          <w:sz w:val="22"/>
          <w:szCs w:val="22"/>
        </w:rPr>
        <w:t>pasientene</w:t>
      </w:r>
      <w:r w:rsidRPr="003C22B9">
        <w:rPr>
          <w:sz w:val="22"/>
          <w:szCs w:val="22"/>
        </w:rPr>
        <w:t xml:space="preserve"> </w:t>
      </w:r>
      <w:r w:rsidRPr="00DD19BD">
        <w:rPr>
          <w:sz w:val="22"/>
          <w:szCs w:val="22"/>
        </w:rPr>
        <w:t>i studien for</w:t>
      </w:r>
      <w:r>
        <w:rPr>
          <w:sz w:val="22"/>
          <w:szCs w:val="22"/>
        </w:rPr>
        <w:t>t</w:t>
      </w:r>
      <w:r w:rsidRPr="00DD19BD">
        <w:rPr>
          <w:sz w:val="22"/>
          <w:szCs w:val="22"/>
        </w:rPr>
        <w:t>satt i klinisk remisjon og 92</w:t>
      </w:r>
      <w:r>
        <w:rPr>
          <w:sz w:val="22"/>
          <w:szCs w:val="22"/>
        </w:rPr>
        <w:t> </w:t>
      </w:r>
      <w:r w:rsidRPr="00DD19BD">
        <w:rPr>
          <w:sz w:val="22"/>
          <w:szCs w:val="22"/>
        </w:rPr>
        <w:t>% (46/50) av pasientene for</w:t>
      </w:r>
      <w:r>
        <w:rPr>
          <w:sz w:val="22"/>
          <w:szCs w:val="22"/>
        </w:rPr>
        <w:t>t</w:t>
      </w:r>
      <w:r w:rsidRPr="00DD19BD">
        <w:rPr>
          <w:sz w:val="22"/>
          <w:szCs w:val="22"/>
        </w:rPr>
        <w:t xml:space="preserve">satte å ha klinisk respons per PCDAI. </w:t>
      </w:r>
    </w:p>
    <w:p w14:paraId="5557E9E6" w14:textId="77777777" w:rsidR="002F0483" w:rsidRPr="009C5EFD" w:rsidRDefault="002F0483" w:rsidP="002F0483">
      <w:pPr>
        <w:pStyle w:val="Heading8"/>
        <w:keepNext w:val="0"/>
        <w:rPr>
          <w:szCs w:val="22"/>
        </w:rPr>
      </w:pPr>
    </w:p>
    <w:p w14:paraId="28B506CE" w14:textId="77777777" w:rsidR="002F0483" w:rsidRPr="00974950" w:rsidRDefault="00E453CD" w:rsidP="002F0483">
      <w:pPr>
        <w:keepNext/>
        <w:rPr>
          <w:i/>
          <w:szCs w:val="22"/>
        </w:rPr>
      </w:pPr>
      <w:r w:rsidRPr="00B3311E">
        <w:rPr>
          <w:i/>
          <w:sz w:val="22"/>
          <w:szCs w:val="22"/>
        </w:rPr>
        <w:t>Pediatrisk uveitt</w:t>
      </w:r>
    </w:p>
    <w:p w14:paraId="43D2D60A" w14:textId="77777777" w:rsidR="002F0483" w:rsidRPr="00974950" w:rsidRDefault="002F0483" w:rsidP="0015674E">
      <w:pPr>
        <w:keepNext/>
        <w:rPr>
          <w:szCs w:val="22"/>
        </w:rPr>
      </w:pPr>
    </w:p>
    <w:p w14:paraId="0A6A293C" w14:textId="77777777" w:rsidR="002F0483" w:rsidRDefault="00E453CD" w:rsidP="002F0483">
      <w:pPr>
        <w:rPr>
          <w:bCs/>
        </w:rPr>
      </w:pPr>
      <w:r w:rsidRPr="00B3311E">
        <w:rPr>
          <w:sz w:val="22"/>
          <w:szCs w:val="22"/>
        </w:rPr>
        <w:t xml:space="preserve">Sikkerhet og effekt </w:t>
      </w:r>
      <w:r>
        <w:rPr>
          <w:sz w:val="22"/>
          <w:szCs w:val="22"/>
        </w:rPr>
        <w:t xml:space="preserve">av Humira ble undersøkt i en randomisert, dobbeltblindet, kontrollert studie med 90 pediatriske pasienter mellom 2 og &lt; 18 år med aktiv JIA-assosiert ikke-infeksiøs fremre uveitt, som ikke responderte på behandling etter minst 12 ukers behandling med metotreksat. Pasientene fikk </w:t>
      </w:r>
      <w:r>
        <w:rPr>
          <w:sz w:val="22"/>
          <w:szCs w:val="22"/>
        </w:rPr>
        <w:lastRenderedPageBreak/>
        <w:t xml:space="preserve">enten placebo eller 20 mg adalimumab (hvis &lt; 30 kg) eller 40 mg adalimumab (hvis </w:t>
      </w:r>
      <w:r w:rsidRPr="00B3311E">
        <w:rPr>
          <w:bCs/>
          <w:sz w:val="22"/>
          <w:szCs w:val="20"/>
        </w:rPr>
        <w:t>≥</w:t>
      </w:r>
      <w:r>
        <w:rPr>
          <w:bCs/>
          <w:sz w:val="22"/>
          <w:szCs w:val="20"/>
        </w:rPr>
        <w:t> 30 kg) annenhver uke i kombinasjon med deres baselinedose av metotreksat.</w:t>
      </w:r>
    </w:p>
    <w:p w14:paraId="25BC8FFB" w14:textId="77777777" w:rsidR="002F0483" w:rsidRDefault="002F0483" w:rsidP="002F0483">
      <w:pPr>
        <w:rPr>
          <w:bCs/>
        </w:rPr>
      </w:pPr>
    </w:p>
    <w:p w14:paraId="4DEC57F7" w14:textId="77777777" w:rsidR="002F0483" w:rsidRDefault="00E453CD" w:rsidP="002F0483">
      <w:pPr>
        <w:rPr>
          <w:bCs/>
        </w:rPr>
      </w:pPr>
      <w:r>
        <w:rPr>
          <w:bCs/>
          <w:sz w:val="22"/>
          <w:szCs w:val="20"/>
        </w:rPr>
        <w: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t>
      </w:r>
    </w:p>
    <w:p w14:paraId="7EF77904" w14:textId="77777777" w:rsidR="002F0483" w:rsidRDefault="002F0483" w:rsidP="002F0483">
      <w:pPr>
        <w:rPr>
          <w:bCs/>
        </w:rPr>
      </w:pPr>
    </w:p>
    <w:p w14:paraId="76EA89EF" w14:textId="77777777" w:rsidR="002F0483" w:rsidRDefault="00E453CD" w:rsidP="002F0483">
      <w:pPr>
        <w:keepNext/>
        <w:rPr>
          <w:i/>
          <w:szCs w:val="22"/>
        </w:rPr>
      </w:pPr>
      <w:r>
        <w:rPr>
          <w:i/>
          <w:sz w:val="22"/>
          <w:szCs w:val="22"/>
          <w:u w:val="single"/>
        </w:rPr>
        <w:t>Klinisk respons</w:t>
      </w:r>
    </w:p>
    <w:p w14:paraId="1EBA7CDA" w14:textId="77777777" w:rsidR="002F0483" w:rsidRDefault="002F0483" w:rsidP="002F0483">
      <w:pPr>
        <w:keepNext/>
        <w:rPr>
          <w:i/>
          <w:szCs w:val="22"/>
        </w:rPr>
      </w:pPr>
    </w:p>
    <w:p w14:paraId="735487BE" w14:textId="77777777" w:rsidR="002F0483" w:rsidRDefault="00E453CD" w:rsidP="002F0483">
      <w:pPr>
        <w:rPr>
          <w:szCs w:val="22"/>
        </w:rPr>
      </w:pPr>
      <w:r>
        <w:rPr>
          <w:sz w:val="22"/>
          <w:szCs w:val="22"/>
        </w:rPr>
        <w:t>Adalimumab forlenget tiden til behandlingssvikt signifikant, sammenlignet med placebo (se figur </w:t>
      </w:r>
      <w:r w:rsidR="00165C06">
        <w:rPr>
          <w:sz w:val="22"/>
          <w:szCs w:val="22"/>
        </w:rPr>
        <w:t>2</w:t>
      </w:r>
      <w:r>
        <w:rPr>
          <w:sz w:val="22"/>
          <w:szCs w:val="22"/>
        </w:rPr>
        <w:t>,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t>
      </w:r>
    </w:p>
    <w:p w14:paraId="0CE867FB" w14:textId="77777777" w:rsidR="002F0483" w:rsidRDefault="002F0483" w:rsidP="002F0483">
      <w:pPr>
        <w:rPr>
          <w:szCs w:val="22"/>
        </w:rPr>
      </w:pPr>
    </w:p>
    <w:p w14:paraId="4AE9C7A6" w14:textId="77777777" w:rsidR="002F0483" w:rsidRDefault="00E453CD" w:rsidP="002F0483">
      <w:pPr>
        <w:keepNext/>
        <w:jc w:val="center"/>
        <w:rPr>
          <w:b/>
          <w:sz w:val="22"/>
          <w:szCs w:val="22"/>
        </w:rPr>
      </w:pPr>
      <w:r>
        <w:rPr>
          <w:b/>
          <w:sz w:val="22"/>
          <w:szCs w:val="22"/>
        </w:rPr>
        <w:t>Figur 2: Kaplan-Meier-kurve som viser tid til behandlingssvikt i studien med pediatrisk uveitt</w:t>
      </w:r>
    </w:p>
    <w:p w14:paraId="059CFF61" w14:textId="77777777" w:rsidR="002F0483" w:rsidRPr="00B3311E" w:rsidRDefault="002F0483" w:rsidP="002F0483">
      <w:pPr>
        <w:keepNext/>
        <w:rPr>
          <w:b/>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4644D4" w14:paraId="19CE1DB6" w14:textId="77777777" w:rsidTr="002F0483">
        <w:trPr>
          <w:cantSplit/>
          <w:trHeight w:val="3806"/>
        </w:trPr>
        <w:tc>
          <w:tcPr>
            <w:tcW w:w="468" w:type="dxa"/>
            <w:textDirection w:val="btLr"/>
            <w:vAlign w:val="bottom"/>
          </w:tcPr>
          <w:p w14:paraId="72FDD812" w14:textId="77777777" w:rsidR="002F0483" w:rsidRPr="000653BE" w:rsidRDefault="00E453CD" w:rsidP="002F0483">
            <w:pPr>
              <w:pStyle w:val="EMEANormal"/>
              <w:keepNext/>
              <w:ind w:left="113" w:right="113"/>
              <w:jc w:val="center"/>
              <w:rPr>
                <w:b/>
                <w:szCs w:val="22"/>
              </w:rPr>
            </w:pPr>
            <w:r>
              <w:rPr>
                <w:b/>
                <w:szCs w:val="22"/>
              </w:rPr>
              <w:t>SANNSYNLIGHET FOR BEHANDLINGSSVIKT</w:t>
            </w:r>
          </w:p>
        </w:tc>
        <w:tc>
          <w:tcPr>
            <w:tcW w:w="8820" w:type="dxa"/>
            <w:gridSpan w:val="5"/>
            <w:vAlign w:val="bottom"/>
          </w:tcPr>
          <w:p w14:paraId="0F570E59" w14:textId="77777777" w:rsidR="002F0483" w:rsidRPr="00B720DC" w:rsidRDefault="00E453CD" w:rsidP="002F0483">
            <w:pPr>
              <w:pStyle w:val="EMEANormal"/>
              <w:keepNext/>
              <w:rPr>
                <w:szCs w:val="22"/>
              </w:rPr>
            </w:pPr>
            <w:r w:rsidRPr="000653BE">
              <w:rPr>
                <w:noProof/>
                <w:szCs w:val="22"/>
                <w:lang w:val="en-GB" w:eastAsia="en-GB"/>
              </w:rPr>
              <w:drawing>
                <wp:inline distT="0" distB="0" distL="0" distR="0" wp14:anchorId="4C0420BA" wp14:editId="55686F70">
                  <wp:extent cx="5486400" cy="4552950"/>
                  <wp:effectExtent l="0" t="0" r="0" b="0"/>
                  <wp:docPr id="50" name="Bilde 5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4644D4" w14:paraId="6F51CCF7" w14:textId="77777777" w:rsidTr="002F0483">
        <w:tc>
          <w:tcPr>
            <w:tcW w:w="468" w:type="dxa"/>
          </w:tcPr>
          <w:p w14:paraId="13569D7F" w14:textId="77777777" w:rsidR="002F0483" w:rsidRPr="00B720DC" w:rsidRDefault="002F0483" w:rsidP="002F0483">
            <w:pPr>
              <w:pStyle w:val="EMEANormal"/>
              <w:keepNext/>
              <w:rPr>
                <w:szCs w:val="22"/>
              </w:rPr>
            </w:pPr>
          </w:p>
        </w:tc>
        <w:tc>
          <w:tcPr>
            <w:tcW w:w="8820" w:type="dxa"/>
            <w:gridSpan w:val="5"/>
          </w:tcPr>
          <w:p w14:paraId="7CE4C476" w14:textId="77777777" w:rsidR="002F0483" w:rsidRPr="00B720DC" w:rsidRDefault="00E453CD" w:rsidP="002F0483">
            <w:pPr>
              <w:pStyle w:val="EMEANormal"/>
              <w:keepNext/>
              <w:jc w:val="center"/>
              <w:rPr>
                <w:b/>
                <w:szCs w:val="22"/>
              </w:rPr>
            </w:pPr>
            <w:r>
              <w:rPr>
                <w:b/>
                <w:szCs w:val="22"/>
              </w:rPr>
              <w:t>TID</w:t>
            </w:r>
            <w:r w:rsidRPr="00B720DC">
              <w:rPr>
                <w:b/>
                <w:szCs w:val="22"/>
              </w:rPr>
              <w:t xml:space="preserve"> (</w:t>
            </w:r>
            <w:r>
              <w:rPr>
                <w:b/>
                <w:szCs w:val="22"/>
              </w:rPr>
              <w:t>UKER</w:t>
            </w:r>
            <w:r w:rsidRPr="00B720DC">
              <w:rPr>
                <w:b/>
                <w:szCs w:val="22"/>
              </w:rPr>
              <w:t>)</w:t>
            </w:r>
          </w:p>
        </w:tc>
      </w:tr>
      <w:tr w:rsidR="004644D4" w14:paraId="75105A78" w14:textId="77777777" w:rsidTr="002F0483">
        <w:tc>
          <w:tcPr>
            <w:tcW w:w="468" w:type="dxa"/>
          </w:tcPr>
          <w:p w14:paraId="3031015D" w14:textId="77777777" w:rsidR="002F0483" w:rsidRPr="00B720DC" w:rsidRDefault="002F0483" w:rsidP="002F0483">
            <w:pPr>
              <w:pStyle w:val="EMEANormal"/>
              <w:keepNext/>
              <w:rPr>
                <w:szCs w:val="22"/>
              </w:rPr>
            </w:pPr>
          </w:p>
        </w:tc>
        <w:tc>
          <w:tcPr>
            <w:tcW w:w="3510" w:type="dxa"/>
          </w:tcPr>
          <w:p w14:paraId="630E1A56" w14:textId="77777777" w:rsidR="002F0483" w:rsidRPr="00B720DC" w:rsidRDefault="00E453CD" w:rsidP="002F0483">
            <w:pPr>
              <w:pStyle w:val="EMEANormal"/>
              <w:keepNext/>
              <w:rPr>
                <w:szCs w:val="22"/>
              </w:rPr>
            </w:pPr>
            <w:r>
              <w:rPr>
                <w:szCs w:val="22"/>
              </w:rPr>
              <w:t>Behandling</w:t>
            </w:r>
          </w:p>
        </w:tc>
        <w:tc>
          <w:tcPr>
            <w:tcW w:w="1170" w:type="dxa"/>
            <w:vAlign w:val="bottom"/>
          </w:tcPr>
          <w:p w14:paraId="2F152F02" w14:textId="77777777" w:rsidR="002F0483" w:rsidRPr="00B720DC" w:rsidRDefault="00E453CD" w:rsidP="002F0483">
            <w:pPr>
              <w:pStyle w:val="EMEANormal"/>
              <w:keepNext/>
              <w:jc w:val="center"/>
              <w:rPr>
                <w:szCs w:val="22"/>
              </w:rPr>
            </w:pPr>
            <w:r>
              <w:rPr>
                <w:noProof/>
                <w:szCs w:val="22"/>
                <w:lang w:val="en-GB" w:eastAsia="en-GB"/>
              </w:rPr>
              <w:drawing>
                <wp:inline distT="0" distB="0" distL="0" distR="0" wp14:anchorId="2287FCCC" wp14:editId="55F9E12B">
                  <wp:extent cx="457200" cy="123825"/>
                  <wp:effectExtent l="0" t="0" r="0" b="9525"/>
                  <wp:docPr id="104" name="Bilde 5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4"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14:paraId="5AB92A6E" w14:textId="77777777" w:rsidR="002F0483" w:rsidRPr="00B720DC" w:rsidRDefault="00E453CD" w:rsidP="002F0483">
            <w:pPr>
              <w:pStyle w:val="EMEANormal"/>
              <w:keepNext/>
              <w:rPr>
                <w:szCs w:val="22"/>
              </w:rPr>
            </w:pPr>
            <w:r>
              <w:rPr>
                <w:szCs w:val="22"/>
              </w:rPr>
              <w:t>p</w:t>
            </w:r>
            <w:r w:rsidRPr="00B720DC">
              <w:rPr>
                <w:szCs w:val="22"/>
              </w:rPr>
              <w:t>lacebo</w:t>
            </w:r>
          </w:p>
        </w:tc>
        <w:tc>
          <w:tcPr>
            <w:tcW w:w="900" w:type="dxa"/>
            <w:vAlign w:val="center"/>
          </w:tcPr>
          <w:p w14:paraId="0C9D9B7A" w14:textId="77777777" w:rsidR="002F0483" w:rsidRPr="00B720DC" w:rsidRDefault="00E453CD" w:rsidP="002F0483">
            <w:pPr>
              <w:pStyle w:val="EMEANormal"/>
              <w:keepNext/>
              <w:rPr>
                <w:szCs w:val="22"/>
              </w:rPr>
            </w:pPr>
            <w:r>
              <w:rPr>
                <w:noProof/>
                <w:szCs w:val="22"/>
                <w:lang w:val="en-GB" w:eastAsia="en-GB"/>
              </w:rPr>
              <w:drawing>
                <wp:inline distT="0" distB="0" distL="0" distR="0" wp14:anchorId="6E401E43" wp14:editId="2CD5E2E8">
                  <wp:extent cx="457200" cy="85725"/>
                  <wp:effectExtent l="0" t="0" r="0" b="9525"/>
                  <wp:docPr id="108" name="Bilde 4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5"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14:paraId="15623ECF" w14:textId="77777777" w:rsidR="002F0483" w:rsidRPr="00B720DC" w:rsidRDefault="00E453CD" w:rsidP="002F0483">
            <w:pPr>
              <w:pStyle w:val="EMEANormal"/>
              <w:keepNext/>
              <w:rPr>
                <w:szCs w:val="22"/>
              </w:rPr>
            </w:pPr>
            <w:r>
              <w:rPr>
                <w:szCs w:val="22"/>
              </w:rPr>
              <w:t>a</w:t>
            </w:r>
            <w:r w:rsidRPr="00B720DC">
              <w:rPr>
                <w:szCs w:val="22"/>
              </w:rPr>
              <w:t>dalimumab</w:t>
            </w:r>
          </w:p>
        </w:tc>
      </w:tr>
      <w:tr w:rsidR="004644D4" w14:paraId="5CA7B813" w14:textId="77777777" w:rsidTr="002F0483">
        <w:tc>
          <w:tcPr>
            <w:tcW w:w="468" w:type="dxa"/>
          </w:tcPr>
          <w:p w14:paraId="0F6BB48B" w14:textId="77777777" w:rsidR="002F0483" w:rsidRPr="00B720DC" w:rsidRDefault="002F0483" w:rsidP="002F0483">
            <w:pPr>
              <w:pStyle w:val="EMEANormal"/>
              <w:rPr>
                <w:szCs w:val="22"/>
              </w:rPr>
            </w:pPr>
          </w:p>
        </w:tc>
        <w:tc>
          <w:tcPr>
            <w:tcW w:w="8820" w:type="dxa"/>
            <w:gridSpan w:val="5"/>
          </w:tcPr>
          <w:p w14:paraId="31F9F138" w14:textId="77777777" w:rsidR="002F0483" w:rsidRPr="00B3311E" w:rsidRDefault="00E453CD" w:rsidP="002F0483">
            <w:pPr>
              <w:pStyle w:val="EMEANormal"/>
              <w:rPr>
                <w:szCs w:val="22"/>
                <w:lang w:val="nb-NO"/>
              </w:rPr>
            </w:pPr>
            <w:r w:rsidRPr="00B3311E">
              <w:rPr>
                <w:szCs w:val="22"/>
                <w:lang w:val="nb-NO"/>
              </w:rPr>
              <w:t>Merk: P = </w:t>
            </w:r>
            <w:r w:rsidRPr="006B49BD">
              <w:rPr>
                <w:szCs w:val="22"/>
                <w:lang w:val="nb-NO"/>
              </w:rPr>
              <w:t>p</w:t>
            </w:r>
            <w:r w:rsidRPr="00B3311E">
              <w:rPr>
                <w:szCs w:val="22"/>
                <w:lang w:val="nb-NO"/>
              </w:rPr>
              <w:t xml:space="preserve">lacebo (antall </w:t>
            </w:r>
            <w:r>
              <w:rPr>
                <w:szCs w:val="22"/>
                <w:lang w:val="nb-NO"/>
              </w:rPr>
              <w:t>med</w:t>
            </w:r>
            <w:r w:rsidRPr="00B3311E">
              <w:rPr>
                <w:szCs w:val="22"/>
                <w:lang w:val="nb-NO"/>
              </w:rPr>
              <w:t xml:space="preserve"> </w:t>
            </w:r>
            <w:r>
              <w:rPr>
                <w:szCs w:val="22"/>
                <w:lang w:val="nb-NO"/>
              </w:rPr>
              <w:t>risiko</w:t>
            </w:r>
            <w:r w:rsidRPr="00B3311E">
              <w:rPr>
                <w:szCs w:val="22"/>
                <w:lang w:val="nb-NO"/>
              </w:rPr>
              <w:t xml:space="preserve">); H = HUMIRA (antall </w:t>
            </w:r>
            <w:r>
              <w:rPr>
                <w:szCs w:val="22"/>
                <w:lang w:val="nb-NO"/>
              </w:rPr>
              <w:t>med</w:t>
            </w:r>
            <w:r w:rsidRPr="00B3311E">
              <w:rPr>
                <w:szCs w:val="22"/>
                <w:lang w:val="nb-NO"/>
              </w:rPr>
              <w:t xml:space="preserve"> </w:t>
            </w:r>
            <w:r>
              <w:rPr>
                <w:szCs w:val="22"/>
                <w:lang w:val="nb-NO"/>
              </w:rPr>
              <w:t>risiko</w:t>
            </w:r>
            <w:r w:rsidRPr="00B3311E">
              <w:rPr>
                <w:szCs w:val="22"/>
                <w:lang w:val="nb-NO"/>
              </w:rPr>
              <w:t>).</w:t>
            </w:r>
          </w:p>
        </w:tc>
      </w:tr>
    </w:tbl>
    <w:p w14:paraId="294D9CBA" w14:textId="77777777" w:rsidR="00F53BAE" w:rsidRPr="00644328" w:rsidRDefault="00F53BAE">
      <w:pPr>
        <w:rPr>
          <w:sz w:val="22"/>
        </w:rPr>
      </w:pPr>
    </w:p>
    <w:p w14:paraId="21824DA9" w14:textId="77777777" w:rsidR="00F53BAE" w:rsidRPr="00644328" w:rsidRDefault="00E453CD" w:rsidP="00776A84">
      <w:pPr>
        <w:keepNext/>
        <w:suppressAutoHyphens/>
        <w:ind w:left="576" w:hanging="576"/>
        <w:rPr>
          <w:b/>
          <w:sz w:val="22"/>
          <w:szCs w:val="22"/>
        </w:rPr>
      </w:pPr>
      <w:r w:rsidRPr="00644328">
        <w:rPr>
          <w:b/>
          <w:sz w:val="22"/>
          <w:szCs w:val="22"/>
        </w:rPr>
        <w:lastRenderedPageBreak/>
        <w:t>5.2</w:t>
      </w:r>
      <w:r w:rsidRPr="00644328">
        <w:rPr>
          <w:b/>
          <w:sz w:val="22"/>
          <w:szCs w:val="22"/>
        </w:rPr>
        <w:tab/>
        <w:t>Farmakokinetiske egenskaper</w:t>
      </w:r>
    </w:p>
    <w:p w14:paraId="1EEA07D1" w14:textId="77777777" w:rsidR="00F53BAE" w:rsidRPr="009C5EFD" w:rsidRDefault="00F53BAE" w:rsidP="00776A84">
      <w:pPr>
        <w:keepNext/>
        <w:suppressAutoHyphens/>
        <w:rPr>
          <w:sz w:val="22"/>
          <w:szCs w:val="22"/>
        </w:rPr>
      </w:pPr>
    </w:p>
    <w:p w14:paraId="133A91FA" w14:textId="77777777" w:rsidR="00F53BAE" w:rsidRPr="009C5EFD" w:rsidRDefault="00E453CD" w:rsidP="00776A84">
      <w:pPr>
        <w:keepNext/>
        <w:suppressAutoHyphens/>
        <w:rPr>
          <w:sz w:val="22"/>
          <w:szCs w:val="22"/>
          <w:u w:val="single"/>
        </w:rPr>
      </w:pPr>
      <w:r w:rsidRPr="009C5EFD">
        <w:rPr>
          <w:sz w:val="22"/>
          <w:szCs w:val="22"/>
          <w:u w:val="single"/>
        </w:rPr>
        <w:t>Absorpsjon og distribusjon</w:t>
      </w:r>
    </w:p>
    <w:p w14:paraId="48FEEE60" w14:textId="77777777" w:rsidR="00F53BAE" w:rsidRPr="009C5EFD" w:rsidRDefault="00F53BAE" w:rsidP="00776A84">
      <w:pPr>
        <w:keepNext/>
        <w:suppressAutoHyphens/>
        <w:rPr>
          <w:sz w:val="22"/>
          <w:szCs w:val="22"/>
          <w:u w:val="single"/>
        </w:rPr>
      </w:pPr>
    </w:p>
    <w:p w14:paraId="770BA872" w14:textId="77777777" w:rsidR="00F53BAE" w:rsidRPr="009C5EFD" w:rsidRDefault="00E453CD" w:rsidP="00F53BAE">
      <w:pPr>
        <w:suppressAutoHyphens/>
        <w:rPr>
          <w:sz w:val="22"/>
          <w:szCs w:val="22"/>
        </w:rPr>
      </w:pPr>
      <w:r w:rsidRPr="009C5EFD">
        <w:rPr>
          <w:sz w:val="22"/>
          <w:szCs w:val="22"/>
        </w:rPr>
        <w:t xml:space="preserve">Etter </w:t>
      </w:r>
      <w:r w:rsidR="00B8124C">
        <w:rPr>
          <w:sz w:val="22"/>
          <w:szCs w:val="22"/>
        </w:rPr>
        <w:t>administrasjon</w:t>
      </w:r>
      <w:r w:rsidRPr="009C5EFD">
        <w:rPr>
          <w:sz w:val="22"/>
          <w:szCs w:val="22"/>
        </w:rPr>
        <w:t xml:space="preserve"> av 24 mg/m</w:t>
      </w:r>
      <w:r w:rsidRPr="009C5EFD">
        <w:rPr>
          <w:sz w:val="22"/>
          <w:szCs w:val="22"/>
          <w:vertAlign w:val="superscript"/>
        </w:rPr>
        <w:t>2</w:t>
      </w:r>
      <w:r w:rsidRPr="009C5EFD">
        <w:rPr>
          <w:sz w:val="22"/>
          <w:szCs w:val="22"/>
        </w:rPr>
        <w:t xml:space="preserve"> (maksimum 40 mg) subkutant annenhver uke hos pasienter med polyartikulær juvenil idiopatisk artritt (JIA) i alderen 4 til 17 år, var gjennomsnittlig </w:t>
      </w:r>
      <w:r w:rsidR="00B125D2">
        <w:rPr>
          <w:sz w:val="22"/>
          <w:szCs w:val="22"/>
        </w:rPr>
        <w:t>bunn</w:t>
      </w:r>
      <w:r w:rsidRPr="009C5EFD">
        <w:rPr>
          <w:sz w:val="22"/>
          <w:szCs w:val="22"/>
        </w:rPr>
        <w:t>konsentrasjon av adalimumab i serum ved steady-state (verdier målt fra uke</w:t>
      </w:r>
      <w:r w:rsidR="001D533B">
        <w:rPr>
          <w:sz w:val="22"/>
          <w:szCs w:val="22"/>
        </w:rPr>
        <w:t> </w:t>
      </w:r>
      <w:r w:rsidRPr="009C5EFD">
        <w:rPr>
          <w:sz w:val="22"/>
          <w:szCs w:val="22"/>
        </w:rPr>
        <w:t>20 til 48) på 5,6 ± 5,6</w:t>
      </w:r>
      <w:r w:rsidR="001D533B">
        <w:rPr>
          <w:sz w:val="22"/>
          <w:szCs w:val="22"/>
        </w:rPr>
        <w:t> </w:t>
      </w:r>
      <w:r w:rsidRPr="009C5EFD">
        <w:rPr>
          <w:sz w:val="22"/>
          <w:szCs w:val="22"/>
        </w:rPr>
        <w:t>mikrog/ml (102</w:t>
      </w:r>
      <w:r w:rsidR="001D533B">
        <w:rPr>
          <w:sz w:val="22"/>
          <w:szCs w:val="22"/>
        </w:rPr>
        <w:t> </w:t>
      </w:r>
      <w:r w:rsidRPr="009C5EFD">
        <w:rPr>
          <w:sz w:val="22"/>
          <w:szCs w:val="22"/>
        </w:rPr>
        <w:t>% CV) uten samtidig bruk av metotreksat og 10,9 ± 5,2</w:t>
      </w:r>
      <w:r w:rsidR="001D533B">
        <w:rPr>
          <w:sz w:val="22"/>
          <w:szCs w:val="22"/>
        </w:rPr>
        <w:t> </w:t>
      </w:r>
      <w:r w:rsidRPr="009C5EFD">
        <w:rPr>
          <w:sz w:val="22"/>
          <w:szCs w:val="22"/>
        </w:rPr>
        <w:t>mikrog/ml (47,7</w:t>
      </w:r>
      <w:r w:rsidR="001D533B">
        <w:rPr>
          <w:sz w:val="22"/>
          <w:szCs w:val="22"/>
        </w:rPr>
        <w:t> </w:t>
      </w:r>
      <w:r w:rsidRPr="009C5EFD">
        <w:rPr>
          <w:sz w:val="22"/>
          <w:szCs w:val="22"/>
        </w:rPr>
        <w:t>% CV) ved samtidig bruk av metotreksat.</w:t>
      </w:r>
    </w:p>
    <w:p w14:paraId="154A19DF" w14:textId="77777777" w:rsidR="00F53BAE" w:rsidRPr="009C5EFD" w:rsidRDefault="00F53BAE" w:rsidP="00F53BAE">
      <w:pPr>
        <w:suppressAutoHyphens/>
        <w:rPr>
          <w:sz w:val="22"/>
          <w:szCs w:val="22"/>
        </w:rPr>
      </w:pPr>
    </w:p>
    <w:p w14:paraId="56CF4E9C" w14:textId="77777777" w:rsidR="00F53BAE" w:rsidRPr="009C5EFD" w:rsidRDefault="00E453CD" w:rsidP="00F53BAE">
      <w:pPr>
        <w:suppressAutoHyphens/>
        <w:rPr>
          <w:sz w:val="22"/>
          <w:szCs w:val="22"/>
        </w:rPr>
      </w:pPr>
      <w:r w:rsidRPr="009C5EFD">
        <w:rPr>
          <w:sz w:val="22"/>
          <w:szCs w:val="22"/>
        </w:rPr>
        <w:t>Hos pasienter med polyartikulær JIA i alderen 2 til &lt;</w:t>
      </w:r>
      <w:r w:rsidR="001D533B">
        <w:rPr>
          <w:sz w:val="22"/>
          <w:szCs w:val="22"/>
        </w:rPr>
        <w:t> </w:t>
      </w:r>
      <w:r w:rsidRPr="009C5EFD">
        <w:rPr>
          <w:sz w:val="22"/>
          <w:szCs w:val="22"/>
        </w:rPr>
        <w:t>4</w:t>
      </w:r>
      <w:r w:rsidR="001D533B">
        <w:rPr>
          <w:sz w:val="22"/>
          <w:szCs w:val="22"/>
        </w:rPr>
        <w:t> </w:t>
      </w:r>
      <w:r w:rsidRPr="009C5EFD">
        <w:rPr>
          <w:sz w:val="22"/>
          <w:szCs w:val="22"/>
        </w:rPr>
        <w:t>år eller fra 4</w:t>
      </w:r>
      <w:r w:rsidR="001D533B">
        <w:rPr>
          <w:sz w:val="22"/>
          <w:szCs w:val="22"/>
        </w:rPr>
        <w:t> </w:t>
      </w:r>
      <w:r w:rsidRPr="009C5EFD">
        <w:rPr>
          <w:sz w:val="22"/>
          <w:szCs w:val="22"/>
        </w:rPr>
        <w:t>år og oppover og med kroppsvekt &lt;</w:t>
      </w:r>
      <w:r w:rsidR="001D533B">
        <w:rPr>
          <w:sz w:val="22"/>
          <w:szCs w:val="22"/>
        </w:rPr>
        <w:t> </w:t>
      </w:r>
      <w:r w:rsidRPr="009C5EFD">
        <w:rPr>
          <w:sz w:val="22"/>
          <w:szCs w:val="22"/>
        </w:rPr>
        <w:t>15</w:t>
      </w:r>
      <w:r w:rsidR="001D533B">
        <w:rPr>
          <w:sz w:val="22"/>
          <w:szCs w:val="22"/>
        </w:rPr>
        <w:t> </w:t>
      </w:r>
      <w:r w:rsidRPr="009C5EFD">
        <w:rPr>
          <w:sz w:val="22"/>
          <w:szCs w:val="22"/>
        </w:rPr>
        <w:t>kg dosert med 24</w:t>
      </w:r>
      <w:r w:rsidR="001D533B">
        <w:rPr>
          <w:sz w:val="22"/>
          <w:szCs w:val="22"/>
        </w:rPr>
        <w:t> </w:t>
      </w:r>
      <w:r w:rsidRPr="009C5EFD">
        <w:rPr>
          <w:sz w:val="22"/>
          <w:szCs w:val="22"/>
        </w:rPr>
        <w:t>mg/m</w:t>
      </w:r>
      <w:r w:rsidRPr="009C5EFD">
        <w:rPr>
          <w:sz w:val="22"/>
          <w:szCs w:val="22"/>
          <w:vertAlign w:val="superscript"/>
        </w:rPr>
        <w:t>2</w:t>
      </w:r>
      <w:r w:rsidRPr="009C5EFD">
        <w:rPr>
          <w:sz w:val="22"/>
          <w:szCs w:val="22"/>
        </w:rPr>
        <w:t xml:space="preserve">, var gjennomsnittlig </w:t>
      </w:r>
      <w:r w:rsidR="00B125D2">
        <w:rPr>
          <w:sz w:val="22"/>
          <w:szCs w:val="22"/>
        </w:rPr>
        <w:t>bunn</w:t>
      </w:r>
      <w:r w:rsidRPr="009C5EFD">
        <w:rPr>
          <w:sz w:val="22"/>
          <w:szCs w:val="22"/>
        </w:rPr>
        <w:t>konsentrasjon av adalimumab i serum ved steady-state på 6,0 ± 6,1</w:t>
      </w:r>
      <w:r w:rsidR="001D533B">
        <w:rPr>
          <w:sz w:val="22"/>
          <w:szCs w:val="22"/>
        </w:rPr>
        <w:t> </w:t>
      </w:r>
      <w:r w:rsidRPr="009C5EFD">
        <w:rPr>
          <w:sz w:val="22"/>
          <w:szCs w:val="22"/>
        </w:rPr>
        <w:t>mikrog/ml (101</w:t>
      </w:r>
      <w:r w:rsidR="001D533B">
        <w:rPr>
          <w:sz w:val="22"/>
          <w:szCs w:val="22"/>
        </w:rPr>
        <w:t> </w:t>
      </w:r>
      <w:r w:rsidRPr="009C5EFD">
        <w:rPr>
          <w:sz w:val="22"/>
          <w:szCs w:val="22"/>
        </w:rPr>
        <w:t>% CV) uten samtidig bruk av metotreksat og 7,9 ± 5,6</w:t>
      </w:r>
      <w:r w:rsidR="001D533B">
        <w:rPr>
          <w:sz w:val="22"/>
          <w:szCs w:val="22"/>
        </w:rPr>
        <w:t> </w:t>
      </w:r>
      <w:r w:rsidRPr="009C5EFD">
        <w:rPr>
          <w:sz w:val="22"/>
          <w:szCs w:val="22"/>
        </w:rPr>
        <w:t>mikrog/ml (71,2</w:t>
      </w:r>
      <w:r w:rsidR="001D533B">
        <w:rPr>
          <w:sz w:val="22"/>
          <w:szCs w:val="22"/>
        </w:rPr>
        <w:t> </w:t>
      </w:r>
      <w:r w:rsidRPr="009C5EFD">
        <w:rPr>
          <w:sz w:val="22"/>
          <w:szCs w:val="22"/>
        </w:rPr>
        <w:t>% CV) ved samtidig bruk av metotreksat.</w:t>
      </w:r>
    </w:p>
    <w:p w14:paraId="6A07A544" w14:textId="77777777" w:rsidR="00F53BAE" w:rsidRPr="009C5EFD" w:rsidRDefault="00F53BAE" w:rsidP="00F53BAE">
      <w:pPr>
        <w:suppressAutoHyphens/>
        <w:rPr>
          <w:sz w:val="22"/>
          <w:szCs w:val="22"/>
        </w:rPr>
      </w:pPr>
    </w:p>
    <w:p w14:paraId="425BFF70" w14:textId="77777777" w:rsidR="00F53BAE" w:rsidRPr="009C5EFD" w:rsidRDefault="00E453CD" w:rsidP="00F53BAE">
      <w:pPr>
        <w:suppressAutoHyphens/>
        <w:rPr>
          <w:sz w:val="22"/>
          <w:szCs w:val="22"/>
        </w:rPr>
      </w:pPr>
      <w:r w:rsidRPr="009C5EFD">
        <w:rPr>
          <w:sz w:val="22"/>
          <w:szCs w:val="22"/>
        </w:rPr>
        <w:t xml:space="preserve">Etter </w:t>
      </w:r>
      <w:r w:rsidR="00B8124C">
        <w:rPr>
          <w:sz w:val="22"/>
          <w:szCs w:val="22"/>
        </w:rPr>
        <w:t>administrasjon</w:t>
      </w:r>
      <w:r w:rsidRPr="009C5EFD">
        <w:rPr>
          <w:sz w:val="22"/>
          <w:szCs w:val="22"/>
        </w:rPr>
        <w:t xml:space="preserve"> av 24</w:t>
      </w:r>
      <w:r w:rsidR="001D533B">
        <w:rPr>
          <w:sz w:val="22"/>
          <w:szCs w:val="22"/>
        </w:rPr>
        <w:t> </w:t>
      </w:r>
      <w:r w:rsidRPr="009C5EFD">
        <w:rPr>
          <w:sz w:val="22"/>
          <w:szCs w:val="22"/>
        </w:rPr>
        <w:t>mg/m</w:t>
      </w:r>
      <w:r w:rsidRPr="009C5EFD">
        <w:rPr>
          <w:sz w:val="22"/>
          <w:szCs w:val="22"/>
          <w:vertAlign w:val="superscript"/>
        </w:rPr>
        <w:t>2</w:t>
      </w:r>
      <w:r w:rsidRPr="009C5EFD">
        <w:rPr>
          <w:sz w:val="22"/>
          <w:szCs w:val="22"/>
        </w:rPr>
        <w:t xml:space="preserve"> (maksimum 40</w:t>
      </w:r>
      <w:r w:rsidR="001D533B">
        <w:rPr>
          <w:sz w:val="22"/>
          <w:szCs w:val="22"/>
        </w:rPr>
        <w:t> </w:t>
      </w:r>
      <w:r w:rsidRPr="009C5EFD">
        <w:rPr>
          <w:sz w:val="22"/>
          <w:szCs w:val="22"/>
        </w:rPr>
        <w:t>mg) subkutant annenhver uke hos pasienter med entesittrelatert artritt i alderen 6 til 17</w:t>
      </w:r>
      <w:r w:rsidR="001D533B">
        <w:rPr>
          <w:sz w:val="22"/>
          <w:szCs w:val="22"/>
        </w:rPr>
        <w:t> </w:t>
      </w:r>
      <w:r w:rsidRPr="009C5EFD">
        <w:rPr>
          <w:sz w:val="22"/>
          <w:szCs w:val="22"/>
        </w:rPr>
        <w:t>år,</w:t>
      </w:r>
      <w:r w:rsidRPr="009C5EFD">
        <w:t xml:space="preserve"> </w:t>
      </w:r>
      <w:r w:rsidRPr="009C5EFD">
        <w:rPr>
          <w:sz w:val="22"/>
          <w:szCs w:val="22"/>
        </w:rPr>
        <w:t xml:space="preserve">var gjennomsnittlig </w:t>
      </w:r>
      <w:r w:rsidR="00B125D2">
        <w:rPr>
          <w:sz w:val="22"/>
          <w:szCs w:val="22"/>
        </w:rPr>
        <w:t>bunn</w:t>
      </w:r>
      <w:r w:rsidRPr="009C5EFD">
        <w:rPr>
          <w:sz w:val="22"/>
          <w:szCs w:val="22"/>
        </w:rPr>
        <w:t>konsentrasjon av adalimumab i serum ved steady-state (verdier målt ved uke</w:t>
      </w:r>
      <w:r w:rsidR="001D533B">
        <w:rPr>
          <w:sz w:val="22"/>
          <w:szCs w:val="22"/>
        </w:rPr>
        <w:t> </w:t>
      </w:r>
      <w:r w:rsidRPr="009C5EFD">
        <w:rPr>
          <w:sz w:val="22"/>
          <w:szCs w:val="22"/>
        </w:rPr>
        <w:t>24) på 8,8 ± 6,6</w:t>
      </w:r>
      <w:r w:rsidR="001D533B">
        <w:rPr>
          <w:sz w:val="22"/>
          <w:szCs w:val="22"/>
        </w:rPr>
        <w:t> </w:t>
      </w:r>
      <w:r w:rsidRPr="009C5EFD">
        <w:rPr>
          <w:sz w:val="22"/>
          <w:szCs w:val="22"/>
        </w:rPr>
        <w:t>mikrog/ml uten samtidig bruk av metotreksat og 11,8 ± 4,3</w:t>
      </w:r>
      <w:r w:rsidR="001D533B">
        <w:rPr>
          <w:sz w:val="22"/>
          <w:szCs w:val="22"/>
        </w:rPr>
        <w:t> </w:t>
      </w:r>
      <w:r w:rsidRPr="009C5EFD">
        <w:rPr>
          <w:sz w:val="22"/>
          <w:szCs w:val="22"/>
        </w:rPr>
        <w:t>mikrog/ml ved samtidig bruk av metotreksat.</w:t>
      </w:r>
    </w:p>
    <w:p w14:paraId="5E634E71" w14:textId="77777777" w:rsidR="00F53BAE" w:rsidRDefault="00F53BAE" w:rsidP="00F53BAE">
      <w:pPr>
        <w:suppressAutoHyphens/>
        <w:rPr>
          <w:sz w:val="22"/>
          <w:szCs w:val="22"/>
        </w:rPr>
      </w:pPr>
    </w:p>
    <w:p w14:paraId="22C52E54" w14:textId="77777777" w:rsidR="00A3302A" w:rsidRDefault="00E453CD" w:rsidP="00A3302A">
      <w:pPr>
        <w:rPr>
          <w:sz w:val="22"/>
          <w:szCs w:val="22"/>
        </w:rPr>
      </w:pPr>
      <w:r w:rsidRPr="009C5EFD">
        <w:rPr>
          <w:rFonts w:eastAsia="Arial Unicode MS"/>
          <w:sz w:val="22"/>
          <w:szCs w:val="22"/>
        </w:rPr>
        <w:t xml:space="preserve">Etter subkutan </w:t>
      </w:r>
      <w:r w:rsidR="00B8124C">
        <w:rPr>
          <w:rFonts w:eastAsia="Arial Unicode MS"/>
          <w:sz w:val="22"/>
          <w:szCs w:val="22"/>
        </w:rPr>
        <w:t>administrasjon</w:t>
      </w:r>
      <w:r w:rsidRPr="009C5EFD">
        <w:rPr>
          <w:rFonts w:eastAsia="Arial Unicode MS"/>
          <w:sz w:val="22"/>
          <w:szCs w:val="22"/>
        </w:rPr>
        <w:t xml:space="preserve"> av 0,8</w:t>
      </w:r>
      <w:r w:rsidR="001D533B">
        <w:rPr>
          <w:rFonts w:eastAsia="Arial Unicode MS"/>
          <w:sz w:val="22"/>
          <w:szCs w:val="22"/>
        </w:rPr>
        <w:t> </w:t>
      </w:r>
      <w:r w:rsidRPr="009C5EFD">
        <w:rPr>
          <w:rFonts w:eastAsia="Arial Unicode MS"/>
          <w:sz w:val="22"/>
          <w:szCs w:val="22"/>
        </w:rPr>
        <w:t>mg/kg (maksimum 40</w:t>
      </w:r>
      <w:r w:rsidR="001D533B">
        <w:rPr>
          <w:rFonts w:eastAsia="Arial Unicode MS"/>
          <w:sz w:val="22"/>
          <w:szCs w:val="22"/>
        </w:rPr>
        <w:t> </w:t>
      </w:r>
      <w:r w:rsidRPr="009C5EFD">
        <w:rPr>
          <w:rFonts w:eastAsia="Arial Unicode MS"/>
          <w:sz w:val="22"/>
          <w:szCs w:val="22"/>
        </w:rPr>
        <w:t xml:space="preserve">mg) annenhver uke hos pediatriske pasienter med kronisk plakkpsoriasis, var gjennomsnittlig </w:t>
      </w:r>
      <w:r w:rsidR="00B125D2">
        <w:rPr>
          <w:rFonts w:eastAsia="Arial Unicode MS"/>
          <w:sz w:val="22"/>
          <w:szCs w:val="22"/>
        </w:rPr>
        <w:t>bunn</w:t>
      </w:r>
      <w:r w:rsidRPr="009C5EFD">
        <w:rPr>
          <w:rFonts w:eastAsia="Arial Unicode MS"/>
          <w:sz w:val="22"/>
          <w:szCs w:val="22"/>
        </w:rPr>
        <w:t>konsentra</w:t>
      </w:r>
      <w:r w:rsidR="00B52137">
        <w:rPr>
          <w:rFonts w:eastAsia="Arial Unicode MS"/>
          <w:sz w:val="22"/>
          <w:szCs w:val="22"/>
        </w:rPr>
        <w:t>s</w:t>
      </w:r>
      <w:r w:rsidRPr="009C5EFD">
        <w:rPr>
          <w:rFonts w:eastAsia="Arial Unicode MS"/>
          <w:sz w:val="22"/>
          <w:szCs w:val="22"/>
        </w:rPr>
        <w:t xml:space="preserve">jon av adalimumab ved steady-state ca. 7,4 </w:t>
      </w:r>
      <w:r w:rsidRPr="009C5EFD">
        <w:rPr>
          <w:sz w:val="22"/>
          <w:szCs w:val="22"/>
        </w:rPr>
        <w:t>± 5,8</w:t>
      </w:r>
      <w:r w:rsidR="001D533B">
        <w:rPr>
          <w:sz w:val="22"/>
          <w:szCs w:val="22"/>
        </w:rPr>
        <w:t> </w:t>
      </w:r>
      <w:r w:rsidRPr="009C5EFD">
        <w:rPr>
          <w:sz w:val="22"/>
          <w:szCs w:val="22"/>
        </w:rPr>
        <w:t>mikrog/ml (79</w:t>
      </w:r>
      <w:r w:rsidR="001D533B">
        <w:rPr>
          <w:sz w:val="22"/>
          <w:szCs w:val="22"/>
        </w:rPr>
        <w:t> </w:t>
      </w:r>
      <w:r w:rsidRPr="009C5EFD">
        <w:rPr>
          <w:sz w:val="22"/>
          <w:szCs w:val="22"/>
        </w:rPr>
        <w:t>% CV).</w:t>
      </w:r>
    </w:p>
    <w:p w14:paraId="018F07DD" w14:textId="77777777" w:rsidR="00F53BAE" w:rsidRPr="009C5EFD" w:rsidRDefault="00F53BAE" w:rsidP="00F53BAE">
      <w:pPr>
        <w:suppressAutoHyphens/>
        <w:rPr>
          <w:sz w:val="22"/>
          <w:szCs w:val="22"/>
        </w:rPr>
      </w:pPr>
    </w:p>
    <w:p w14:paraId="672D575D" w14:textId="77777777" w:rsidR="00F53BAE" w:rsidRPr="00F55ABC" w:rsidRDefault="00E453CD" w:rsidP="00F53BAE">
      <w:pPr>
        <w:suppressAutoHyphens/>
        <w:rPr>
          <w:rFonts w:eastAsia="Arial Unicode MS"/>
          <w:sz w:val="22"/>
          <w:szCs w:val="22"/>
        </w:rPr>
      </w:pPr>
      <w:r w:rsidRPr="00F55ABC">
        <w:rPr>
          <w:sz w:val="22"/>
          <w:szCs w:val="22"/>
        </w:rPr>
        <w:t>Hos pediatriske pasienter med moderat til alvorlig Crohns sykdom var den åpne adalimumab induksjonsdosen 160/80</w:t>
      </w:r>
      <w:r w:rsidR="001D533B">
        <w:rPr>
          <w:sz w:val="22"/>
          <w:szCs w:val="22"/>
        </w:rPr>
        <w:t> </w:t>
      </w:r>
      <w:r w:rsidRPr="00F55ABC">
        <w:rPr>
          <w:sz w:val="22"/>
          <w:szCs w:val="22"/>
        </w:rPr>
        <w:t>mg eller 80/40</w:t>
      </w:r>
      <w:r w:rsidR="001D533B">
        <w:rPr>
          <w:sz w:val="22"/>
          <w:szCs w:val="22"/>
        </w:rPr>
        <w:t> </w:t>
      </w:r>
      <w:r w:rsidRPr="00F55ABC">
        <w:rPr>
          <w:sz w:val="22"/>
          <w:szCs w:val="22"/>
        </w:rPr>
        <w:t>mg ved henholdsvis uke 0 og 2 avhengig av en kroppsvekt avskåret ved 40</w:t>
      </w:r>
      <w:r w:rsidR="001D533B">
        <w:rPr>
          <w:sz w:val="22"/>
          <w:szCs w:val="22"/>
        </w:rPr>
        <w:t> </w:t>
      </w:r>
      <w:r w:rsidRPr="00F55ABC">
        <w:rPr>
          <w:sz w:val="22"/>
          <w:szCs w:val="22"/>
        </w:rPr>
        <w:t>kg. Ved uke</w:t>
      </w:r>
      <w:r w:rsidR="001D533B">
        <w:rPr>
          <w:sz w:val="22"/>
          <w:szCs w:val="22"/>
        </w:rPr>
        <w:t> </w:t>
      </w:r>
      <w:r w:rsidRPr="00F55ABC">
        <w:rPr>
          <w:sz w:val="22"/>
          <w:szCs w:val="22"/>
        </w:rPr>
        <w:t>4 ble pasienter randomisert til vedlikeholdsbehandlingsgrupper 1:1 til enten standard dose (40/20</w:t>
      </w:r>
      <w:r w:rsidR="001D533B">
        <w:rPr>
          <w:sz w:val="22"/>
          <w:szCs w:val="22"/>
        </w:rPr>
        <w:t> </w:t>
      </w:r>
      <w:r w:rsidRPr="00F55ABC">
        <w:rPr>
          <w:sz w:val="22"/>
          <w:szCs w:val="22"/>
        </w:rPr>
        <w:t>mg annenhver uke) eller lav dose (20/10</w:t>
      </w:r>
      <w:r w:rsidR="001D533B">
        <w:rPr>
          <w:sz w:val="22"/>
          <w:szCs w:val="22"/>
        </w:rPr>
        <w:t> </w:t>
      </w:r>
      <w:r w:rsidRPr="00F55ABC">
        <w:rPr>
          <w:sz w:val="22"/>
          <w:szCs w:val="22"/>
        </w:rPr>
        <w:t xml:space="preserve">mg annenhver uke) basert på deres kroppsvekt. Gjennomsnittlige </w:t>
      </w:r>
      <w:r w:rsidRPr="00F55ABC">
        <w:rPr>
          <w:sz w:val="22"/>
          <w:szCs w:val="22"/>
          <w:lang w:eastAsia="en-GB"/>
        </w:rPr>
        <w:t>(</w:t>
      </w:r>
      <w:r w:rsidRPr="00F55ABC">
        <w:rPr>
          <w:rFonts w:eastAsia="Arial Unicode MS"/>
          <w:sz w:val="22"/>
          <w:szCs w:val="22"/>
        </w:rPr>
        <w:t>±SD</w:t>
      </w:r>
      <w:r w:rsidRPr="00AB7697">
        <w:rPr>
          <w:rFonts w:eastAsia="Arial Unicode MS"/>
          <w:sz w:val="22"/>
          <w:szCs w:val="22"/>
        </w:rPr>
        <w:t xml:space="preserve">) </w:t>
      </w:r>
      <w:r w:rsidR="00B125D2">
        <w:rPr>
          <w:sz w:val="22"/>
          <w:szCs w:val="22"/>
        </w:rPr>
        <w:t>bunn</w:t>
      </w:r>
      <w:r w:rsidRPr="00F55ABC">
        <w:rPr>
          <w:sz w:val="22"/>
          <w:szCs w:val="22"/>
        </w:rPr>
        <w:t>konsentrasjoner av adalimumab i serum oppnådd ved uke</w:t>
      </w:r>
      <w:r w:rsidR="001D533B">
        <w:rPr>
          <w:sz w:val="22"/>
          <w:szCs w:val="22"/>
        </w:rPr>
        <w:t> </w:t>
      </w:r>
      <w:r w:rsidRPr="00F55ABC">
        <w:rPr>
          <w:sz w:val="22"/>
          <w:szCs w:val="22"/>
        </w:rPr>
        <w:t xml:space="preserve">4 var 15,7 </w:t>
      </w:r>
      <w:r w:rsidRPr="00F55ABC">
        <w:rPr>
          <w:rFonts w:eastAsia="Arial Unicode MS"/>
          <w:sz w:val="22"/>
          <w:szCs w:val="22"/>
        </w:rPr>
        <w:t>± 6,6</w:t>
      </w:r>
      <w:r w:rsidR="001D533B">
        <w:rPr>
          <w:rFonts w:eastAsia="Arial Unicode MS"/>
          <w:sz w:val="22"/>
          <w:szCs w:val="22"/>
        </w:rPr>
        <w:t> </w:t>
      </w:r>
      <w:r w:rsidRPr="00F55ABC">
        <w:rPr>
          <w:rFonts w:eastAsia="Arial Unicode MS"/>
          <w:sz w:val="22"/>
          <w:szCs w:val="22"/>
        </w:rPr>
        <w:t>mikrog/ml for pasienter ≥</w:t>
      </w:r>
      <w:r w:rsidR="001D533B">
        <w:rPr>
          <w:rFonts w:eastAsia="Arial Unicode MS"/>
          <w:sz w:val="22"/>
          <w:szCs w:val="22"/>
        </w:rPr>
        <w:t> </w:t>
      </w:r>
      <w:r w:rsidRPr="00F55ABC">
        <w:rPr>
          <w:rFonts w:eastAsia="Arial Unicode MS"/>
          <w:sz w:val="22"/>
          <w:szCs w:val="22"/>
        </w:rPr>
        <w:t>40</w:t>
      </w:r>
      <w:r w:rsidR="001D533B">
        <w:rPr>
          <w:rFonts w:eastAsia="Arial Unicode MS"/>
          <w:sz w:val="22"/>
          <w:szCs w:val="22"/>
        </w:rPr>
        <w:t> </w:t>
      </w:r>
      <w:r w:rsidRPr="00F55ABC">
        <w:rPr>
          <w:rFonts w:eastAsia="Arial Unicode MS"/>
          <w:sz w:val="22"/>
          <w:szCs w:val="22"/>
        </w:rPr>
        <w:t>kg (160/80</w:t>
      </w:r>
      <w:r w:rsidR="001D533B">
        <w:rPr>
          <w:rFonts w:eastAsia="Arial Unicode MS"/>
          <w:sz w:val="22"/>
          <w:szCs w:val="22"/>
        </w:rPr>
        <w:t> </w:t>
      </w:r>
      <w:r w:rsidRPr="00F55ABC">
        <w:rPr>
          <w:rFonts w:eastAsia="Arial Unicode MS"/>
          <w:sz w:val="22"/>
          <w:szCs w:val="22"/>
        </w:rPr>
        <w:t>mg) og 10,6 ± 6,1</w:t>
      </w:r>
      <w:r w:rsidR="001D533B">
        <w:rPr>
          <w:rFonts w:eastAsia="Arial Unicode MS"/>
          <w:sz w:val="22"/>
          <w:szCs w:val="22"/>
        </w:rPr>
        <w:t> </w:t>
      </w:r>
      <w:r w:rsidRPr="00F55ABC">
        <w:rPr>
          <w:rFonts w:eastAsia="Arial Unicode MS"/>
          <w:sz w:val="22"/>
          <w:szCs w:val="22"/>
        </w:rPr>
        <w:t>mikrog/ml for pasienter &lt;</w:t>
      </w:r>
      <w:r w:rsidR="001D533B">
        <w:rPr>
          <w:rFonts w:eastAsia="Arial Unicode MS"/>
          <w:sz w:val="22"/>
          <w:szCs w:val="22"/>
        </w:rPr>
        <w:t> </w:t>
      </w:r>
      <w:r w:rsidRPr="00F55ABC">
        <w:rPr>
          <w:rFonts w:eastAsia="Arial Unicode MS"/>
          <w:sz w:val="22"/>
          <w:szCs w:val="22"/>
        </w:rPr>
        <w:t>40</w:t>
      </w:r>
      <w:r w:rsidR="001D533B">
        <w:rPr>
          <w:rFonts w:eastAsia="Arial Unicode MS"/>
          <w:sz w:val="22"/>
          <w:szCs w:val="22"/>
        </w:rPr>
        <w:t> </w:t>
      </w:r>
      <w:r w:rsidRPr="00F55ABC">
        <w:rPr>
          <w:rFonts w:eastAsia="Arial Unicode MS"/>
          <w:sz w:val="22"/>
          <w:szCs w:val="22"/>
        </w:rPr>
        <w:t>kg (80/40</w:t>
      </w:r>
      <w:r w:rsidR="001D533B">
        <w:rPr>
          <w:rFonts w:eastAsia="Arial Unicode MS"/>
          <w:sz w:val="22"/>
          <w:szCs w:val="22"/>
        </w:rPr>
        <w:t> </w:t>
      </w:r>
      <w:r w:rsidRPr="00F55ABC">
        <w:rPr>
          <w:rFonts w:eastAsia="Arial Unicode MS"/>
          <w:sz w:val="22"/>
          <w:szCs w:val="22"/>
        </w:rPr>
        <w:t>mg).</w:t>
      </w:r>
    </w:p>
    <w:p w14:paraId="517D7FD3" w14:textId="77777777" w:rsidR="00F53BAE" w:rsidRPr="009C5EFD" w:rsidRDefault="00F53BAE" w:rsidP="00F53BAE">
      <w:pPr>
        <w:suppressAutoHyphens/>
        <w:rPr>
          <w:rFonts w:eastAsia="Arial Unicode MS"/>
          <w:sz w:val="22"/>
          <w:szCs w:val="22"/>
        </w:rPr>
      </w:pPr>
    </w:p>
    <w:p w14:paraId="569D9C51" w14:textId="77777777" w:rsidR="00F53BAE" w:rsidRPr="00F55ABC" w:rsidRDefault="00E453CD" w:rsidP="00F53BAE">
      <w:pPr>
        <w:suppressAutoHyphens/>
        <w:rPr>
          <w:rFonts w:eastAsia="Arial Unicode MS"/>
          <w:sz w:val="22"/>
          <w:szCs w:val="22"/>
        </w:rPr>
      </w:pPr>
      <w:r w:rsidRPr="00F55ABC">
        <w:rPr>
          <w:rFonts w:eastAsia="Arial Unicode MS"/>
          <w:sz w:val="22"/>
          <w:szCs w:val="22"/>
        </w:rPr>
        <w:t xml:space="preserve">For pasienter som fortsatte på deres randomiserte behandling var gjennomsnittlige </w:t>
      </w:r>
      <w:r w:rsidRPr="00F55ABC">
        <w:rPr>
          <w:sz w:val="22"/>
          <w:szCs w:val="22"/>
          <w:lang w:eastAsia="en-GB"/>
        </w:rPr>
        <w:t>(</w:t>
      </w:r>
      <w:r w:rsidRPr="00F55ABC">
        <w:rPr>
          <w:rFonts w:eastAsia="Arial Unicode MS"/>
          <w:sz w:val="22"/>
          <w:szCs w:val="22"/>
        </w:rPr>
        <w:t>±SD</w:t>
      </w:r>
      <w:r w:rsidRPr="00AB7697">
        <w:rPr>
          <w:rFonts w:eastAsia="Arial Unicode MS"/>
          <w:sz w:val="22"/>
          <w:szCs w:val="22"/>
        </w:rPr>
        <w:t xml:space="preserve">) </w:t>
      </w:r>
      <w:r w:rsidR="00B125D2">
        <w:rPr>
          <w:sz w:val="22"/>
          <w:szCs w:val="22"/>
        </w:rPr>
        <w:t>bunn</w:t>
      </w:r>
      <w:r w:rsidRPr="00F55ABC">
        <w:rPr>
          <w:sz w:val="22"/>
          <w:szCs w:val="22"/>
        </w:rPr>
        <w:t xml:space="preserve">konsentrasjoner av adalimumab ved uke 52 9,5 </w:t>
      </w:r>
      <w:r w:rsidRPr="00F55ABC">
        <w:rPr>
          <w:rFonts w:eastAsia="Arial Unicode MS"/>
          <w:sz w:val="22"/>
          <w:szCs w:val="22"/>
        </w:rPr>
        <w:t>± 5,6</w:t>
      </w:r>
      <w:r w:rsidR="001D533B">
        <w:rPr>
          <w:rFonts w:eastAsia="Arial Unicode MS"/>
          <w:sz w:val="22"/>
          <w:szCs w:val="22"/>
        </w:rPr>
        <w:t> </w:t>
      </w:r>
      <w:r w:rsidRPr="00F55ABC">
        <w:rPr>
          <w:rFonts w:eastAsia="Arial Unicode MS"/>
          <w:sz w:val="22"/>
          <w:szCs w:val="22"/>
        </w:rPr>
        <w:t xml:space="preserve">mikrog/ml for </w:t>
      </w:r>
      <w:r w:rsidR="00F55ABC">
        <w:rPr>
          <w:rFonts w:eastAsia="Arial Unicode MS"/>
          <w:sz w:val="22"/>
          <w:szCs w:val="22"/>
        </w:rPr>
        <w:t xml:space="preserve">gruppen som fikk </w:t>
      </w:r>
      <w:r w:rsidRPr="00F55ABC">
        <w:rPr>
          <w:rFonts w:eastAsia="Arial Unicode MS"/>
          <w:sz w:val="22"/>
          <w:szCs w:val="22"/>
        </w:rPr>
        <w:t xml:space="preserve">standard dose og </w:t>
      </w:r>
      <w:r w:rsidRPr="00F55ABC">
        <w:rPr>
          <w:sz w:val="22"/>
          <w:szCs w:val="22"/>
        </w:rPr>
        <w:t xml:space="preserve">3,5 </w:t>
      </w:r>
      <w:r w:rsidRPr="00F55ABC">
        <w:rPr>
          <w:rFonts w:eastAsia="Arial Unicode MS"/>
          <w:sz w:val="22"/>
          <w:szCs w:val="22"/>
        </w:rPr>
        <w:t>± 2,2</w:t>
      </w:r>
      <w:r w:rsidR="001D533B">
        <w:rPr>
          <w:rFonts w:eastAsia="Arial Unicode MS"/>
          <w:sz w:val="22"/>
          <w:szCs w:val="22"/>
        </w:rPr>
        <w:t> </w:t>
      </w:r>
      <w:r w:rsidRPr="00F55ABC">
        <w:rPr>
          <w:rFonts w:eastAsia="Arial Unicode MS"/>
          <w:sz w:val="22"/>
          <w:szCs w:val="22"/>
        </w:rPr>
        <w:t xml:space="preserve">mikrog/ml for </w:t>
      </w:r>
      <w:r w:rsidR="00F55ABC">
        <w:rPr>
          <w:rFonts w:eastAsia="Arial Unicode MS"/>
          <w:sz w:val="22"/>
          <w:szCs w:val="22"/>
        </w:rPr>
        <w:t xml:space="preserve">gruppen som fikk </w:t>
      </w:r>
      <w:r w:rsidRPr="00F55ABC">
        <w:rPr>
          <w:rFonts w:eastAsia="Arial Unicode MS"/>
          <w:sz w:val="22"/>
          <w:szCs w:val="22"/>
        </w:rPr>
        <w:t xml:space="preserve">lav dose. Gjennomsnittlige </w:t>
      </w:r>
      <w:r w:rsidR="00B125D2">
        <w:rPr>
          <w:rFonts w:eastAsia="Arial Unicode MS"/>
          <w:sz w:val="22"/>
          <w:szCs w:val="22"/>
        </w:rPr>
        <w:t>bunn</w:t>
      </w:r>
      <w:r w:rsidRPr="00F55ABC">
        <w:rPr>
          <w:rFonts w:eastAsia="Arial Unicode MS"/>
          <w:sz w:val="22"/>
          <w:szCs w:val="22"/>
        </w:rPr>
        <w:t>konsentrasjoner ble vedlikeholdt hos pasienter som fortsatte på adalimumab behandling annenhver uke i 52</w:t>
      </w:r>
      <w:r w:rsidR="001D533B">
        <w:rPr>
          <w:rFonts w:eastAsia="Arial Unicode MS"/>
          <w:sz w:val="22"/>
          <w:szCs w:val="22"/>
        </w:rPr>
        <w:t> </w:t>
      </w:r>
      <w:r w:rsidRPr="00F55ABC">
        <w:rPr>
          <w:rFonts w:eastAsia="Arial Unicode MS"/>
          <w:sz w:val="22"/>
          <w:szCs w:val="22"/>
        </w:rPr>
        <w:t xml:space="preserve">uker. For pasienter som økte dosen fra annenhver uke til ukentlig regime var gjennomsnittlige </w:t>
      </w:r>
      <w:r w:rsidRPr="00F55ABC">
        <w:rPr>
          <w:sz w:val="22"/>
          <w:szCs w:val="22"/>
          <w:lang w:eastAsia="en-GB"/>
        </w:rPr>
        <w:t>(</w:t>
      </w:r>
      <w:r w:rsidRPr="00F55ABC">
        <w:rPr>
          <w:rFonts w:eastAsia="Arial Unicode MS"/>
          <w:sz w:val="22"/>
          <w:szCs w:val="22"/>
        </w:rPr>
        <w:t>±SD</w:t>
      </w:r>
      <w:r w:rsidRPr="00AB7697">
        <w:rPr>
          <w:rFonts w:eastAsia="Arial Unicode MS"/>
          <w:sz w:val="22"/>
          <w:szCs w:val="22"/>
        </w:rPr>
        <w:t>) serum konsentrasjoner av adalimumab ved uke</w:t>
      </w:r>
      <w:r w:rsidR="001D533B">
        <w:rPr>
          <w:rFonts w:eastAsia="Arial Unicode MS"/>
          <w:sz w:val="22"/>
          <w:szCs w:val="22"/>
        </w:rPr>
        <w:t> </w:t>
      </w:r>
      <w:r w:rsidRPr="00AB7697">
        <w:rPr>
          <w:rFonts w:eastAsia="Arial Unicode MS"/>
          <w:sz w:val="22"/>
          <w:szCs w:val="22"/>
        </w:rPr>
        <w:t xml:space="preserve">52 </w:t>
      </w:r>
      <w:r w:rsidRPr="00F55ABC">
        <w:rPr>
          <w:sz w:val="22"/>
          <w:szCs w:val="22"/>
        </w:rPr>
        <w:t xml:space="preserve">15,3 </w:t>
      </w:r>
      <w:r w:rsidRPr="00F55ABC">
        <w:rPr>
          <w:rFonts w:eastAsia="Arial Unicode MS"/>
          <w:sz w:val="22"/>
          <w:szCs w:val="22"/>
        </w:rPr>
        <w:t>± 11,4</w:t>
      </w:r>
      <w:r w:rsidR="001D533B">
        <w:rPr>
          <w:rFonts w:eastAsia="Arial Unicode MS"/>
          <w:sz w:val="22"/>
          <w:szCs w:val="22"/>
        </w:rPr>
        <w:t> </w:t>
      </w:r>
      <w:r w:rsidRPr="00F55ABC">
        <w:rPr>
          <w:rFonts w:eastAsia="Arial Unicode MS"/>
          <w:sz w:val="22"/>
          <w:szCs w:val="22"/>
        </w:rPr>
        <w:t>mikrog/ml (40/20</w:t>
      </w:r>
      <w:r w:rsidR="001D533B">
        <w:rPr>
          <w:rFonts w:eastAsia="Arial Unicode MS"/>
          <w:sz w:val="22"/>
          <w:szCs w:val="22"/>
        </w:rPr>
        <w:t> </w:t>
      </w:r>
      <w:r w:rsidRPr="00F55ABC">
        <w:rPr>
          <w:rFonts w:eastAsia="Arial Unicode MS"/>
          <w:sz w:val="22"/>
          <w:szCs w:val="22"/>
        </w:rPr>
        <w:t xml:space="preserve">mg, ukentlig) og </w:t>
      </w:r>
      <w:r w:rsidRPr="00F55ABC">
        <w:rPr>
          <w:sz w:val="22"/>
          <w:szCs w:val="22"/>
        </w:rPr>
        <w:t xml:space="preserve">6,7 </w:t>
      </w:r>
      <w:r w:rsidRPr="00F55ABC">
        <w:rPr>
          <w:rFonts w:eastAsia="Arial Unicode MS"/>
          <w:sz w:val="22"/>
          <w:szCs w:val="22"/>
        </w:rPr>
        <w:t>± 3,5</w:t>
      </w:r>
      <w:r w:rsidR="001D533B">
        <w:rPr>
          <w:rFonts w:eastAsia="Arial Unicode MS"/>
          <w:sz w:val="22"/>
          <w:szCs w:val="22"/>
        </w:rPr>
        <w:t> </w:t>
      </w:r>
      <w:r w:rsidRPr="00F55ABC">
        <w:rPr>
          <w:rFonts w:eastAsia="Arial Unicode MS"/>
          <w:sz w:val="22"/>
          <w:szCs w:val="22"/>
        </w:rPr>
        <w:t>mikrog/ml (20/10</w:t>
      </w:r>
      <w:r w:rsidR="001D533B">
        <w:rPr>
          <w:rFonts w:eastAsia="Arial Unicode MS"/>
          <w:sz w:val="22"/>
          <w:szCs w:val="22"/>
        </w:rPr>
        <w:t> </w:t>
      </w:r>
      <w:r w:rsidRPr="00F55ABC">
        <w:rPr>
          <w:rFonts w:eastAsia="Arial Unicode MS"/>
          <w:sz w:val="22"/>
          <w:szCs w:val="22"/>
        </w:rPr>
        <w:t>mg, ukentlig).</w:t>
      </w:r>
    </w:p>
    <w:p w14:paraId="7782A105" w14:textId="77777777" w:rsidR="00F53BAE" w:rsidRDefault="00F53BAE" w:rsidP="00F53BAE">
      <w:pPr>
        <w:rPr>
          <w:sz w:val="22"/>
          <w:szCs w:val="22"/>
        </w:rPr>
      </w:pPr>
    </w:p>
    <w:p w14:paraId="69683599" w14:textId="77777777" w:rsidR="00F53BAE" w:rsidRDefault="00E453CD" w:rsidP="00F53BAE">
      <w:pPr>
        <w:rPr>
          <w:sz w:val="22"/>
          <w:szCs w:val="22"/>
        </w:rPr>
      </w:pPr>
      <w:r w:rsidRPr="00DB4B30">
        <w:rPr>
          <w:sz w:val="22"/>
          <w:szCs w:val="22"/>
        </w:rPr>
        <w:t xml:space="preserve">Eksponering </w:t>
      </w:r>
      <w:r w:rsidR="00F55ABC">
        <w:rPr>
          <w:sz w:val="22"/>
          <w:szCs w:val="22"/>
        </w:rPr>
        <w:t>for</w:t>
      </w:r>
      <w:r w:rsidRPr="00DB4B30">
        <w:rPr>
          <w:sz w:val="22"/>
          <w:szCs w:val="22"/>
        </w:rPr>
        <w:t xml:space="preserve"> adalimumab hos </w:t>
      </w:r>
      <w:r w:rsidR="002E35CD">
        <w:rPr>
          <w:sz w:val="22"/>
          <w:szCs w:val="22"/>
        </w:rPr>
        <w:t xml:space="preserve">pediatriske uveittpasienter </w:t>
      </w:r>
      <w:r w:rsidRPr="00DB4B30">
        <w:rPr>
          <w:sz w:val="22"/>
          <w:szCs w:val="22"/>
        </w:rPr>
        <w:t xml:space="preserve">ble estimert ved å benytte </w:t>
      </w:r>
      <w:r w:rsidR="008138BF">
        <w:rPr>
          <w:sz w:val="22"/>
          <w:szCs w:val="22"/>
        </w:rPr>
        <w:t>farmakokinetisk populasjonsmodellering</w:t>
      </w:r>
      <w:r w:rsidRPr="00DB4B30">
        <w:rPr>
          <w:sz w:val="22"/>
          <w:szCs w:val="22"/>
        </w:rPr>
        <w:t xml:space="preserve"> og simulering, basert på farmakokinetikk observert på tvers av indikasjoner ved bruk hos andre pediatriske pasienter (pediatrisk psoriasis, juvenil idiopatisk artritt, pediatrisk Crohns sykdom og entesittrelatert artritt). </w:t>
      </w:r>
      <w:r>
        <w:rPr>
          <w:sz w:val="22"/>
          <w:szCs w:val="22"/>
        </w:rPr>
        <w:t xml:space="preserve">Det foreligger ingen kliniske eksponeringsdata vedrørende bruk av </w:t>
      </w:r>
      <w:r w:rsidR="005207CC" w:rsidRPr="005207CC">
        <w:rPr>
          <w:sz w:val="22"/>
          <w:szCs w:val="22"/>
        </w:rPr>
        <w:t>induksjonsdose</w:t>
      </w:r>
      <w:r>
        <w:rPr>
          <w:sz w:val="22"/>
          <w:szCs w:val="22"/>
        </w:rPr>
        <w:t xml:space="preserve"> hos barn &lt; 6 år. De forventede eksponeringene indikerer at i fravær av metotreksat kan en </w:t>
      </w:r>
      <w:r w:rsidR="005207CC" w:rsidRPr="005207CC">
        <w:rPr>
          <w:sz w:val="22"/>
          <w:szCs w:val="22"/>
        </w:rPr>
        <w:t>induksjonsdose</w:t>
      </w:r>
      <w:r>
        <w:rPr>
          <w:sz w:val="22"/>
          <w:szCs w:val="22"/>
        </w:rPr>
        <w:t xml:space="preserve"> føre til en initial økning i systemisk eksponering.</w:t>
      </w:r>
    </w:p>
    <w:p w14:paraId="5DDD274A" w14:textId="77777777" w:rsidR="002E35CD" w:rsidRDefault="002E35CD" w:rsidP="00F53BAE">
      <w:pPr>
        <w:rPr>
          <w:sz w:val="22"/>
          <w:szCs w:val="22"/>
        </w:rPr>
      </w:pPr>
    </w:p>
    <w:p w14:paraId="083933A1" w14:textId="77777777" w:rsidR="002E35CD" w:rsidRPr="00AF70AD" w:rsidRDefault="00E453CD" w:rsidP="00AF70AD">
      <w:pPr>
        <w:keepNext/>
        <w:rPr>
          <w:sz w:val="22"/>
          <w:u w:val="single"/>
        </w:rPr>
      </w:pPr>
      <w:r w:rsidRPr="00AF70AD">
        <w:rPr>
          <w:sz w:val="22"/>
          <w:u w:val="single"/>
        </w:rPr>
        <w:t>Eksponering-responsforhold i pediatrisk populasjon</w:t>
      </w:r>
    </w:p>
    <w:p w14:paraId="157E50A0" w14:textId="77777777" w:rsidR="001F0892" w:rsidRPr="00DB4B30" w:rsidRDefault="00E453CD" w:rsidP="00F53BAE">
      <w:pPr>
        <w:rPr>
          <w:sz w:val="22"/>
        </w:rPr>
      </w:pPr>
      <w:r>
        <w:rPr>
          <w:sz w:val="22"/>
        </w:rPr>
        <w:t xml:space="preserve">På bakgrunn av data fra kliniske </w:t>
      </w:r>
      <w:r w:rsidR="00581310">
        <w:rPr>
          <w:sz w:val="22"/>
        </w:rPr>
        <w:t xml:space="preserve">studier </w:t>
      </w:r>
      <w:r>
        <w:rPr>
          <w:sz w:val="22"/>
        </w:rPr>
        <w:t xml:space="preserve">hos pasienter med </w:t>
      </w:r>
      <w:r w:rsidRPr="00C5656D">
        <w:rPr>
          <w:sz w:val="22"/>
        </w:rPr>
        <w:t xml:space="preserve">JIA (pJIA </w:t>
      </w:r>
      <w:r w:rsidR="00222143">
        <w:rPr>
          <w:sz w:val="22"/>
        </w:rPr>
        <w:t>og</w:t>
      </w:r>
      <w:r w:rsidR="00222143" w:rsidRPr="00C5656D">
        <w:rPr>
          <w:sz w:val="22"/>
        </w:rPr>
        <w:t xml:space="preserve"> </w:t>
      </w:r>
      <w:r w:rsidRPr="00C5656D">
        <w:rPr>
          <w:sz w:val="22"/>
        </w:rPr>
        <w:t>ERA)</w:t>
      </w:r>
      <w:r>
        <w:rPr>
          <w:sz w:val="22"/>
        </w:rPr>
        <w:t>, ble et forhold mellom eksponering og respons etablert mellom plasmakonsentrasjoner og PedACR</w:t>
      </w:r>
      <w:r w:rsidR="001D533B">
        <w:rPr>
          <w:sz w:val="22"/>
        </w:rPr>
        <w:t> </w:t>
      </w:r>
      <w:r>
        <w:rPr>
          <w:sz w:val="22"/>
        </w:rPr>
        <w:t xml:space="preserve">50-respons. Den </w:t>
      </w:r>
      <w:r w:rsidR="003443A0">
        <w:rPr>
          <w:sz w:val="22"/>
        </w:rPr>
        <w:t>plasmakonsentras</w:t>
      </w:r>
      <w:r>
        <w:rPr>
          <w:sz w:val="22"/>
        </w:rPr>
        <w:t>jonen av adalimumab som tilsynelatende</w:t>
      </w:r>
      <w:r w:rsidR="003443A0">
        <w:rPr>
          <w:sz w:val="22"/>
        </w:rPr>
        <w:t xml:space="preserve"> gir halvparten av maksimal PedACR</w:t>
      </w:r>
      <w:r w:rsidR="001D533B">
        <w:rPr>
          <w:sz w:val="22"/>
        </w:rPr>
        <w:t> </w:t>
      </w:r>
      <w:r w:rsidR="003443A0">
        <w:rPr>
          <w:sz w:val="22"/>
        </w:rPr>
        <w:t xml:space="preserve">50-respons (EC50) var </w:t>
      </w:r>
      <w:r w:rsidR="003443A0" w:rsidRPr="003443A0">
        <w:rPr>
          <w:sz w:val="22"/>
        </w:rPr>
        <w:t>3</w:t>
      </w:r>
      <w:r w:rsidR="001D533B">
        <w:rPr>
          <w:sz w:val="22"/>
        </w:rPr>
        <w:t> </w:t>
      </w:r>
      <w:r w:rsidR="0036529C">
        <w:rPr>
          <w:sz w:val="22"/>
        </w:rPr>
        <w:t>mikro</w:t>
      </w:r>
      <w:r w:rsidR="003443A0" w:rsidRPr="003443A0">
        <w:rPr>
          <w:sz w:val="22"/>
        </w:rPr>
        <w:t>g/ml (95</w:t>
      </w:r>
      <w:r w:rsidR="00D50C8B">
        <w:rPr>
          <w:sz w:val="22"/>
        </w:rPr>
        <w:t> </w:t>
      </w:r>
      <w:r w:rsidR="003443A0" w:rsidRPr="003443A0">
        <w:rPr>
          <w:sz w:val="22"/>
        </w:rPr>
        <w:t xml:space="preserve">% </w:t>
      </w:r>
      <w:r w:rsidR="0036529C">
        <w:rPr>
          <w:sz w:val="22"/>
        </w:rPr>
        <w:t>K</w:t>
      </w:r>
      <w:r w:rsidR="003443A0" w:rsidRPr="003443A0">
        <w:rPr>
          <w:sz w:val="22"/>
        </w:rPr>
        <w:t>I: 1</w:t>
      </w:r>
      <w:r w:rsidR="0036529C">
        <w:rPr>
          <w:sz w:val="22"/>
        </w:rPr>
        <w:noBreakHyphen/>
      </w:r>
      <w:r w:rsidR="003443A0" w:rsidRPr="003443A0">
        <w:rPr>
          <w:sz w:val="22"/>
        </w:rPr>
        <w:t>6</w:t>
      </w:r>
      <w:r w:rsidR="001D533B">
        <w:rPr>
          <w:sz w:val="22"/>
        </w:rPr>
        <w:t> </w:t>
      </w:r>
      <w:r w:rsidR="0036529C">
        <w:rPr>
          <w:sz w:val="22"/>
        </w:rPr>
        <w:t>mikro</w:t>
      </w:r>
      <w:r w:rsidR="003443A0" w:rsidRPr="003443A0">
        <w:rPr>
          <w:sz w:val="22"/>
        </w:rPr>
        <w:t>g/ml).</w:t>
      </w:r>
    </w:p>
    <w:p w14:paraId="29E7D940" w14:textId="77777777" w:rsidR="00F53BAE" w:rsidRDefault="00F53BAE" w:rsidP="00F53BAE">
      <w:pPr>
        <w:rPr>
          <w:sz w:val="22"/>
        </w:rPr>
      </w:pPr>
    </w:p>
    <w:p w14:paraId="3E863EE5" w14:textId="77777777" w:rsidR="00570333" w:rsidRPr="00570333" w:rsidRDefault="00E453CD" w:rsidP="00F53BAE">
      <w:pPr>
        <w:rPr>
          <w:sz w:val="22"/>
        </w:rPr>
      </w:pPr>
      <w:r>
        <w:rPr>
          <w:sz w:val="22"/>
        </w:rPr>
        <w:t xml:space="preserve">Eksponering-responsforhold mellom adalimumabkonsentrasjon og effekt hos pediatriske pasienter med alvorlig </w:t>
      </w:r>
      <w:r w:rsidR="006E0126">
        <w:rPr>
          <w:sz w:val="22"/>
        </w:rPr>
        <w:t xml:space="preserve">kronisk </w:t>
      </w:r>
      <w:r>
        <w:rPr>
          <w:sz w:val="22"/>
        </w:rPr>
        <w:t>plakkpsoriasis, ble etablert for</w:t>
      </w:r>
      <w:r w:rsidR="001B5283">
        <w:rPr>
          <w:sz w:val="22"/>
        </w:rPr>
        <w:t xml:space="preserve"> henholdvis</w:t>
      </w:r>
      <w:r>
        <w:rPr>
          <w:sz w:val="22"/>
        </w:rPr>
        <w:t xml:space="preserve"> PASI</w:t>
      </w:r>
      <w:r w:rsidR="001D533B">
        <w:rPr>
          <w:sz w:val="22"/>
        </w:rPr>
        <w:t> </w:t>
      </w:r>
      <w:r>
        <w:rPr>
          <w:sz w:val="22"/>
        </w:rPr>
        <w:t>75 og PGA klar eller minimal. PASI</w:t>
      </w:r>
      <w:r w:rsidR="001D533B">
        <w:rPr>
          <w:sz w:val="22"/>
        </w:rPr>
        <w:t> </w:t>
      </w:r>
      <w:r>
        <w:rPr>
          <w:sz w:val="22"/>
        </w:rPr>
        <w:t xml:space="preserve">75 og PGA klar eller minimal økte med økte adalimumabkonsentrasjoner, begge med lignende tilsynelatende EC50 på omtrent </w:t>
      </w:r>
      <w:r w:rsidRPr="00570333">
        <w:rPr>
          <w:sz w:val="22"/>
        </w:rPr>
        <w:t>4</w:t>
      </w:r>
      <w:r w:rsidR="007D0A0A">
        <w:rPr>
          <w:sz w:val="22"/>
        </w:rPr>
        <w:t>,</w:t>
      </w:r>
      <w:r>
        <w:rPr>
          <w:sz w:val="22"/>
        </w:rPr>
        <w:t>5</w:t>
      </w:r>
      <w:r w:rsidR="001D533B">
        <w:rPr>
          <w:sz w:val="22"/>
        </w:rPr>
        <w:t> </w:t>
      </w:r>
      <w:r w:rsidR="0036529C">
        <w:rPr>
          <w:sz w:val="22"/>
        </w:rPr>
        <w:t>mikro</w:t>
      </w:r>
      <w:r>
        <w:rPr>
          <w:sz w:val="22"/>
        </w:rPr>
        <w:t>g/m</w:t>
      </w:r>
      <w:r w:rsidR="0036529C">
        <w:rPr>
          <w:sz w:val="22"/>
        </w:rPr>
        <w:t>l</w:t>
      </w:r>
      <w:r>
        <w:rPr>
          <w:sz w:val="22"/>
        </w:rPr>
        <w:t xml:space="preserve"> (</w:t>
      </w:r>
      <w:r w:rsidR="001D533B">
        <w:rPr>
          <w:sz w:val="22"/>
        </w:rPr>
        <w:t xml:space="preserve">henholdsvis </w:t>
      </w:r>
      <w:r>
        <w:rPr>
          <w:sz w:val="22"/>
        </w:rPr>
        <w:t>95</w:t>
      </w:r>
      <w:r w:rsidR="00D50C8B">
        <w:rPr>
          <w:sz w:val="22"/>
        </w:rPr>
        <w:t> </w:t>
      </w:r>
      <w:r>
        <w:rPr>
          <w:sz w:val="22"/>
        </w:rPr>
        <w:t xml:space="preserve">% </w:t>
      </w:r>
      <w:r w:rsidR="0036529C">
        <w:rPr>
          <w:sz w:val="22"/>
        </w:rPr>
        <w:t>K</w:t>
      </w:r>
      <w:r>
        <w:rPr>
          <w:sz w:val="22"/>
        </w:rPr>
        <w:t>I 0,4-47,6 og 1,9-10,</w:t>
      </w:r>
      <w:r w:rsidRPr="00570333">
        <w:rPr>
          <w:sz w:val="22"/>
        </w:rPr>
        <w:t>5</w:t>
      </w:r>
      <w:r w:rsidR="0036529C">
        <w:rPr>
          <w:sz w:val="22"/>
        </w:rPr>
        <w:t>)</w:t>
      </w:r>
      <w:r w:rsidR="0090293F">
        <w:rPr>
          <w:sz w:val="22"/>
        </w:rPr>
        <w:t>.</w:t>
      </w:r>
    </w:p>
    <w:p w14:paraId="3F27BE71" w14:textId="77777777" w:rsidR="00570333" w:rsidRPr="009C5EFD" w:rsidRDefault="00570333" w:rsidP="00F53BAE">
      <w:pPr>
        <w:rPr>
          <w:sz w:val="22"/>
        </w:rPr>
      </w:pPr>
    </w:p>
    <w:p w14:paraId="72C1DA6D" w14:textId="77777777" w:rsidR="00F53BAE" w:rsidRPr="009C5EFD" w:rsidRDefault="00E453CD" w:rsidP="00776A84">
      <w:pPr>
        <w:keepNext/>
        <w:rPr>
          <w:sz w:val="22"/>
          <w:szCs w:val="22"/>
          <w:u w:val="single"/>
        </w:rPr>
      </w:pPr>
      <w:r w:rsidRPr="009C5EFD">
        <w:rPr>
          <w:sz w:val="22"/>
          <w:szCs w:val="22"/>
          <w:u w:val="single"/>
        </w:rPr>
        <w:t>Voksne</w:t>
      </w:r>
    </w:p>
    <w:p w14:paraId="11E57E96" w14:textId="77777777" w:rsidR="00F53BAE" w:rsidRPr="009C5EFD" w:rsidRDefault="00F53BAE" w:rsidP="00776A84">
      <w:pPr>
        <w:keepNext/>
        <w:rPr>
          <w:sz w:val="22"/>
          <w:szCs w:val="22"/>
        </w:rPr>
      </w:pPr>
    </w:p>
    <w:p w14:paraId="2C36050E" w14:textId="77777777" w:rsidR="00F53BAE" w:rsidRPr="009C5EFD" w:rsidRDefault="00E453CD" w:rsidP="00F53BAE">
      <w:pPr>
        <w:rPr>
          <w:sz w:val="22"/>
          <w:szCs w:val="22"/>
        </w:rPr>
      </w:pPr>
      <w:r w:rsidRPr="009C5EFD">
        <w:rPr>
          <w:sz w:val="22"/>
          <w:szCs w:val="22"/>
        </w:rPr>
        <w:t xml:space="preserve">Etter subkutan administrasjon av </w:t>
      </w:r>
      <w:r w:rsidR="001B5283">
        <w:rPr>
          <w:sz w:val="22"/>
          <w:szCs w:val="22"/>
        </w:rPr>
        <w:t xml:space="preserve">en enkeltdose på </w:t>
      </w:r>
      <w:r w:rsidRPr="009C5EFD">
        <w:rPr>
          <w:sz w:val="22"/>
          <w:szCs w:val="22"/>
        </w:rPr>
        <w:t xml:space="preserve">40 mg er absorpsjonen og distribusjonen av adalimumab langsom, med </w:t>
      </w:r>
      <w:r w:rsidR="00EF1B53">
        <w:rPr>
          <w:sz w:val="22"/>
          <w:szCs w:val="22"/>
        </w:rPr>
        <w:t xml:space="preserve">maksimale </w:t>
      </w:r>
      <w:r w:rsidRPr="009C5EFD">
        <w:rPr>
          <w:sz w:val="22"/>
          <w:szCs w:val="22"/>
        </w:rPr>
        <w:t xml:space="preserve">serumkonsentrasjoner etter omkring 5 dager. Den gjennomsnittlige absolutte biotilgjengeligheten for adalimumab </w:t>
      </w:r>
      <w:r w:rsidR="009A3E12">
        <w:rPr>
          <w:sz w:val="22"/>
          <w:szCs w:val="22"/>
        </w:rPr>
        <w:t>estimert</w:t>
      </w:r>
      <w:r w:rsidRPr="009C5EFD">
        <w:rPr>
          <w:sz w:val="22"/>
          <w:szCs w:val="22"/>
        </w:rPr>
        <w:t xml:space="preserve"> fra tre studier etter en enkelt</w:t>
      </w:r>
      <w:r w:rsidR="009A3E12">
        <w:rPr>
          <w:sz w:val="22"/>
          <w:szCs w:val="22"/>
        </w:rPr>
        <w:t>dose på</w:t>
      </w:r>
      <w:r w:rsidRPr="009C5EFD">
        <w:rPr>
          <w:sz w:val="22"/>
          <w:szCs w:val="22"/>
        </w:rPr>
        <w:t xml:space="preserve"> 40 mg </w:t>
      </w:r>
      <w:r w:rsidR="009A3E12">
        <w:rPr>
          <w:sz w:val="22"/>
          <w:szCs w:val="22"/>
        </w:rPr>
        <w:t xml:space="preserve">gitt </w:t>
      </w:r>
      <w:r w:rsidRPr="009C5EFD">
        <w:rPr>
          <w:sz w:val="22"/>
          <w:szCs w:val="22"/>
        </w:rPr>
        <w:t>subkutan</w:t>
      </w:r>
      <w:r w:rsidR="009A3E12">
        <w:rPr>
          <w:sz w:val="22"/>
          <w:szCs w:val="22"/>
        </w:rPr>
        <w:t>t</w:t>
      </w:r>
      <w:r w:rsidR="007A4D90">
        <w:rPr>
          <w:sz w:val="22"/>
          <w:szCs w:val="22"/>
        </w:rPr>
        <w:t xml:space="preserve"> </w:t>
      </w:r>
      <w:r w:rsidR="00BE64DB">
        <w:rPr>
          <w:sz w:val="22"/>
          <w:szCs w:val="22"/>
        </w:rPr>
        <w:t>var</w:t>
      </w:r>
      <w:r w:rsidRPr="009C5EFD">
        <w:rPr>
          <w:sz w:val="22"/>
          <w:szCs w:val="22"/>
        </w:rPr>
        <w:t xml:space="preserve"> 64</w:t>
      </w:r>
      <w:r w:rsidR="00D50C8B">
        <w:rPr>
          <w:sz w:val="22"/>
          <w:szCs w:val="22"/>
        </w:rPr>
        <w:t> </w:t>
      </w:r>
      <w:r w:rsidRPr="009C5EFD">
        <w:rPr>
          <w:sz w:val="22"/>
          <w:szCs w:val="22"/>
        </w:rPr>
        <w:t>%. Etter enkeltdoser administrert</w:t>
      </w:r>
      <w:r w:rsidR="003035E8">
        <w:rPr>
          <w:sz w:val="22"/>
          <w:szCs w:val="22"/>
        </w:rPr>
        <w:t xml:space="preserve"> </w:t>
      </w:r>
      <w:r w:rsidR="003035E8" w:rsidRPr="009C5EFD">
        <w:rPr>
          <w:sz w:val="22"/>
          <w:szCs w:val="22"/>
        </w:rPr>
        <w:t>intravenøst</w:t>
      </w:r>
      <w:r w:rsidRPr="009C5EFD">
        <w:rPr>
          <w:sz w:val="22"/>
          <w:szCs w:val="22"/>
        </w:rPr>
        <w:t xml:space="preserve"> i området 0,25 til 10 mg/kg, var konsentrasjonene proporsjonale med dosen. Etter doser på 0,5 mg/kg (</w:t>
      </w:r>
      <w:r w:rsidR="009019DA" w:rsidRPr="009019DA">
        <w:rPr>
          <w:sz w:val="22"/>
          <w:szCs w:val="22"/>
        </w:rPr>
        <w:t>~</w:t>
      </w:r>
      <w:r w:rsidRPr="009C5EFD">
        <w:rPr>
          <w:sz w:val="22"/>
          <w:szCs w:val="22"/>
        </w:rPr>
        <w:t>40 mg) varierte clearance fra 11 til 15 ml/time, distribusjonsvolumet (V</w:t>
      </w:r>
      <w:r w:rsidRPr="009C5EFD">
        <w:rPr>
          <w:sz w:val="22"/>
          <w:szCs w:val="22"/>
          <w:vertAlign w:val="subscript"/>
        </w:rPr>
        <w:t>ss</w:t>
      </w:r>
      <w:r w:rsidRPr="009C5EFD">
        <w:rPr>
          <w:sz w:val="22"/>
          <w:szCs w:val="22"/>
        </w:rPr>
        <w:t xml:space="preserve">) varierte fra 5 til 6 liter, og den </w:t>
      </w:r>
      <w:r w:rsidR="00A83337">
        <w:rPr>
          <w:sz w:val="22"/>
          <w:szCs w:val="22"/>
        </w:rPr>
        <w:t>gjennomsnittlige halveringstiden ved terminalfase</w:t>
      </w:r>
      <w:r w:rsidR="00630596">
        <w:rPr>
          <w:sz w:val="22"/>
          <w:szCs w:val="22"/>
        </w:rPr>
        <w:t xml:space="preserve"> </w:t>
      </w:r>
      <w:r w:rsidRPr="009C5EFD">
        <w:rPr>
          <w:sz w:val="22"/>
          <w:szCs w:val="22"/>
        </w:rPr>
        <w:t>var ca. to uker. Adalimumab-konsentrasjonene i synovialvæsken hos flere pasienter med revmatoid artritt varierte fra 31 til 96</w:t>
      </w:r>
      <w:r w:rsidR="001D533B">
        <w:rPr>
          <w:sz w:val="22"/>
          <w:szCs w:val="22"/>
        </w:rPr>
        <w:t> </w:t>
      </w:r>
      <w:r w:rsidRPr="009C5EFD">
        <w:rPr>
          <w:sz w:val="22"/>
          <w:szCs w:val="22"/>
        </w:rPr>
        <w:t>% av konsentrasjonen i serum.</w:t>
      </w:r>
    </w:p>
    <w:p w14:paraId="2F6CA548" w14:textId="77777777" w:rsidR="00F53BAE" w:rsidRPr="009C5EFD" w:rsidRDefault="00F53BAE" w:rsidP="00F53BAE">
      <w:pPr>
        <w:rPr>
          <w:sz w:val="22"/>
          <w:szCs w:val="22"/>
        </w:rPr>
      </w:pPr>
    </w:p>
    <w:p w14:paraId="760D81A9" w14:textId="77777777" w:rsidR="00F53BAE" w:rsidRPr="009C5EFD" w:rsidRDefault="00E453CD" w:rsidP="00F53BAE">
      <w:pPr>
        <w:rPr>
          <w:sz w:val="22"/>
          <w:szCs w:val="22"/>
        </w:rPr>
      </w:pPr>
      <w:r w:rsidRPr="009C5EFD">
        <w:rPr>
          <w:sz w:val="22"/>
          <w:szCs w:val="22"/>
        </w:rPr>
        <w:t>Etter subkutan administrasjon av 40</w:t>
      </w:r>
      <w:r w:rsidR="001D533B">
        <w:rPr>
          <w:sz w:val="22"/>
          <w:szCs w:val="22"/>
        </w:rPr>
        <w:t> </w:t>
      </w:r>
      <w:r w:rsidRPr="009C5EFD">
        <w:rPr>
          <w:sz w:val="22"/>
          <w:szCs w:val="22"/>
        </w:rPr>
        <w:t xml:space="preserve">mg adalimumab annenhver uke hos voksne pasienter med revmatoid artritt (RA), var gjennomsnittlig </w:t>
      </w:r>
      <w:r w:rsidR="00B125D2">
        <w:rPr>
          <w:sz w:val="22"/>
          <w:szCs w:val="22"/>
        </w:rPr>
        <w:t>bunn</w:t>
      </w:r>
      <w:r w:rsidRPr="009C5EFD">
        <w:rPr>
          <w:sz w:val="22"/>
          <w:szCs w:val="22"/>
        </w:rPr>
        <w:t>konsentrasjon ved steady-state på henholdsvis omkring 5</w:t>
      </w:r>
      <w:r w:rsidR="001D533B">
        <w:rPr>
          <w:sz w:val="22"/>
          <w:szCs w:val="22"/>
        </w:rPr>
        <w:t> </w:t>
      </w:r>
      <w:r w:rsidRPr="009C5EFD">
        <w:rPr>
          <w:sz w:val="22"/>
          <w:szCs w:val="22"/>
        </w:rPr>
        <w:t>mikrog/ml (uten samtidig metotreksat) og 8 til 9</w:t>
      </w:r>
      <w:r w:rsidR="001D533B">
        <w:rPr>
          <w:sz w:val="22"/>
          <w:szCs w:val="22"/>
        </w:rPr>
        <w:t> </w:t>
      </w:r>
      <w:r w:rsidRPr="009C5EFD">
        <w:rPr>
          <w:sz w:val="22"/>
          <w:szCs w:val="22"/>
        </w:rPr>
        <w:t xml:space="preserve">mikrog/ml (med samtidig metotreksat). </w:t>
      </w:r>
      <w:r w:rsidR="00B125D2">
        <w:rPr>
          <w:sz w:val="22"/>
          <w:szCs w:val="22"/>
        </w:rPr>
        <w:t>Bunn</w:t>
      </w:r>
      <w:r w:rsidRPr="009C5EFD">
        <w:rPr>
          <w:color w:val="000000"/>
          <w:sz w:val="22"/>
          <w:szCs w:val="22"/>
        </w:rPr>
        <w:t>nivåene av adalimumab i s</w:t>
      </w:r>
      <w:r w:rsidRPr="009C5EFD">
        <w:rPr>
          <w:sz w:val="22"/>
          <w:szCs w:val="22"/>
        </w:rPr>
        <w:t>erum ved steady-state økte omtrent proporsjonalt med dosen etter 20, 40 og 80</w:t>
      </w:r>
      <w:r w:rsidR="001D533B">
        <w:rPr>
          <w:sz w:val="22"/>
          <w:szCs w:val="22"/>
        </w:rPr>
        <w:t> </w:t>
      </w:r>
      <w:r w:rsidRPr="009C5EFD">
        <w:rPr>
          <w:sz w:val="22"/>
          <w:szCs w:val="22"/>
        </w:rPr>
        <w:t>mg administrert</w:t>
      </w:r>
      <w:r w:rsidR="003035E8">
        <w:rPr>
          <w:sz w:val="22"/>
          <w:szCs w:val="22"/>
        </w:rPr>
        <w:t xml:space="preserve"> </w:t>
      </w:r>
      <w:r w:rsidR="003035E8" w:rsidRPr="009C5EFD">
        <w:rPr>
          <w:sz w:val="22"/>
          <w:szCs w:val="22"/>
        </w:rPr>
        <w:t>subkutant</w:t>
      </w:r>
      <w:r w:rsidRPr="009C5EFD">
        <w:rPr>
          <w:sz w:val="22"/>
          <w:szCs w:val="22"/>
        </w:rPr>
        <w:t xml:space="preserve"> annenhver uke og hver uke.</w:t>
      </w:r>
    </w:p>
    <w:p w14:paraId="7F342DAC" w14:textId="77777777" w:rsidR="00F53BAE" w:rsidRPr="009C5EFD" w:rsidRDefault="00F53BAE" w:rsidP="00F53BAE">
      <w:pPr>
        <w:rPr>
          <w:sz w:val="22"/>
          <w:szCs w:val="22"/>
        </w:rPr>
      </w:pPr>
    </w:p>
    <w:p w14:paraId="0FC9144D" w14:textId="77777777" w:rsidR="00F53BAE" w:rsidRDefault="00E453CD" w:rsidP="00F53BAE">
      <w:pPr>
        <w:rPr>
          <w:sz w:val="22"/>
          <w:szCs w:val="22"/>
        </w:rPr>
      </w:pPr>
      <w:r w:rsidRPr="009C5EFD">
        <w:rPr>
          <w:sz w:val="22"/>
          <w:szCs w:val="22"/>
        </w:rPr>
        <w:t xml:space="preserve">Hos voksne pasienter med psoriasis var gjennomsnittlig </w:t>
      </w:r>
      <w:r w:rsidR="00B125D2">
        <w:rPr>
          <w:sz w:val="22"/>
          <w:szCs w:val="22"/>
        </w:rPr>
        <w:t>bunn</w:t>
      </w:r>
      <w:r w:rsidRPr="009C5EFD">
        <w:rPr>
          <w:sz w:val="22"/>
          <w:szCs w:val="22"/>
        </w:rPr>
        <w:t>konsentrasjon ved steady-state 5</w:t>
      </w:r>
      <w:r w:rsidR="001D533B">
        <w:rPr>
          <w:sz w:val="22"/>
          <w:szCs w:val="22"/>
        </w:rPr>
        <w:t> </w:t>
      </w:r>
      <w:r w:rsidRPr="009C5EFD">
        <w:rPr>
          <w:sz w:val="22"/>
          <w:szCs w:val="22"/>
        </w:rPr>
        <w:t>mikrog/ml under monoterapibehandling med 40</w:t>
      </w:r>
      <w:r w:rsidR="001D533B">
        <w:rPr>
          <w:sz w:val="22"/>
          <w:szCs w:val="22"/>
        </w:rPr>
        <w:t> </w:t>
      </w:r>
      <w:r w:rsidRPr="009C5EFD">
        <w:rPr>
          <w:sz w:val="22"/>
          <w:szCs w:val="22"/>
        </w:rPr>
        <w:t>mg adalimumab annenhver uke.</w:t>
      </w:r>
    </w:p>
    <w:p w14:paraId="301C8858" w14:textId="77777777" w:rsidR="00D43BF9" w:rsidRDefault="00D43BF9" w:rsidP="00F53BAE">
      <w:pPr>
        <w:rPr>
          <w:sz w:val="22"/>
          <w:szCs w:val="22"/>
        </w:rPr>
      </w:pPr>
    </w:p>
    <w:p w14:paraId="51A75E8D" w14:textId="77777777" w:rsidR="001212FD" w:rsidRDefault="00E453CD" w:rsidP="00D43BF9">
      <w:pPr>
        <w:autoSpaceDE w:val="0"/>
        <w:autoSpaceDN w:val="0"/>
        <w:adjustRightInd w:val="0"/>
        <w:rPr>
          <w:sz w:val="22"/>
          <w:szCs w:val="22"/>
        </w:rPr>
      </w:pPr>
      <w:r w:rsidRPr="009C5EFD">
        <w:rPr>
          <w:sz w:val="22"/>
          <w:szCs w:val="22"/>
        </w:rPr>
        <w:t xml:space="preserve">Hos pasienter med </w:t>
      </w:r>
      <w:r w:rsidR="006B55F0">
        <w:rPr>
          <w:sz w:val="22"/>
          <w:szCs w:val="22"/>
        </w:rPr>
        <w:t>Crohns</w:t>
      </w:r>
      <w:r>
        <w:rPr>
          <w:sz w:val="22"/>
          <w:szCs w:val="22"/>
        </w:rPr>
        <w:t xml:space="preserve"> sykdom</w:t>
      </w:r>
      <w:r w:rsidRPr="009C5EFD">
        <w:rPr>
          <w:sz w:val="22"/>
          <w:szCs w:val="22"/>
        </w:rPr>
        <w:t xml:space="preserve"> </w:t>
      </w:r>
      <w:r w:rsidR="009A3E12">
        <w:rPr>
          <w:sz w:val="22"/>
          <w:szCs w:val="22"/>
        </w:rPr>
        <w:t>gir en</w:t>
      </w:r>
      <w:r>
        <w:rPr>
          <w:sz w:val="22"/>
          <w:szCs w:val="22"/>
        </w:rPr>
        <w:t xml:space="preserve"> induksjonsdose på 80</w:t>
      </w:r>
      <w:r w:rsidR="001D533B">
        <w:rPr>
          <w:sz w:val="22"/>
          <w:szCs w:val="22"/>
        </w:rPr>
        <w:t> </w:t>
      </w:r>
      <w:r>
        <w:rPr>
          <w:sz w:val="22"/>
          <w:szCs w:val="22"/>
        </w:rPr>
        <w:t xml:space="preserve">mg Humira </w:t>
      </w:r>
      <w:r w:rsidR="00EF1B53">
        <w:rPr>
          <w:sz w:val="22"/>
          <w:szCs w:val="22"/>
        </w:rPr>
        <w:t>ved</w:t>
      </w:r>
      <w:r w:rsidR="003035E8">
        <w:rPr>
          <w:sz w:val="22"/>
          <w:szCs w:val="22"/>
        </w:rPr>
        <w:t xml:space="preserve"> </w:t>
      </w:r>
      <w:r>
        <w:rPr>
          <w:sz w:val="22"/>
          <w:szCs w:val="22"/>
        </w:rPr>
        <w:t>uke 0 etterfulgt av 40</w:t>
      </w:r>
      <w:r w:rsidR="001D533B">
        <w:rPr>
          <w:sz w:val="22"/>
          <w:szCs w:val="22"/>
        </w:rPr>
        <w:t> </w:t>
      </w:r>
      <w:r>
        <w:rPr>
          <w:sz w:val="22"/>
          <w:szCs w:val="22"/>
        </w:rPr>
        <w:t xml:space="preserve">mg Humira </w:t>
      </w:r>
      <w:r w:rsidR="00EF1B53">
        <w:rPr>
          <w:sz w:val="22"/>
          <w:szCs w:val="22"/>
        </w:rPr>
        <w:t>ved</w:t>
      </w:r>
      <w:r w:rsidR="003035E8">
        <w:rPr>
          <w:sz w:val="22"/>
          <w:szCs w:val="22"/>
        </w:rPr>
        <w:t xml:space="preserve"> </w:t>
      </w:r>
      <w:r>
        <w:rPr>
          <w:sz w:val="22"/>
          <w:szCs w:val="22"/>
        </w:rPr>
        <w:t>uke</w:t>
      </w:r>
      <w:r w:rsidR="001D533B">
        <w:rPr>
          <w:sz w:val="22"/>
          <w:szCs w:val="22"/>
        </w:rPr>
        <w:t> </w:t>
      </w:r>
      <w:r>
        <w:rPr>
          <w:sz w:val="22"/>
          <w:szCs w:val="22"/>
        </w:rPr>
        <w:t xml:space="preserve">2 </w:t>
      </w:r>
      <w:r w:rsidR="00FA3AFC">
        <w:rPr>
          <w:sz w:val="22"/>
          <w:szCs w:val="22"/>
        </w:rPr>
        <w:t xml:space="preserve">en </w:t>
      </w:r>
      <w:r w:rsidR="00B125D2">
        <w:rPr>
          <w:sz w:val="22"/>
          <w:szCs w:val="22"/>
        </w:rPr>
        <w:t>bunn</w:t>
      </w:r>
      <w:r>
        <w:rPr>
          <w:sz w:val="22"/>
          <w:szCs w:val="22"/>
        </w:rPr>
        <w:t>konsentras</w:t>
      </w:r>
      <w:r w:rsidR="003035E8">
        <w:rPr>
          <w:sz w:val="22"/>
          <w:szCs w:val="22"/>
        </w:rPr>
        <w:t>jo</w:t>
      </w:r>
      <w:r>
        <w:rPr>
          <w:sz w:val="22"/>
          <w:szCs w:val="22"/>
        </w:rPr>
        <w:t>n</w:t>
      </w:r>
      <w:r w:rsidR="0085057D">
        <w:rPr>
          <w:sz w:val="22"/>
          <w:szCs w:val="22"/>
        </w:rPr>
        <w:t xml:space="preserve"> av adal</w:t>
      </w:r>
      <w:r w:rsidR="00581310">
        <w:rPr>
          <w:sz w:val="22"/>
          <w:szCs w:val="22"/>
        </w:rPr>
        <w:t>i</w:t>
      </w:r>
      <w:r w:rsidR="0085057D">
        <w:rPr>
          <w:sz w:val="22"/>
          <w:szCs w:val="22"/>
        </w:rPr>
        <w:t>mumab</w:t>
      </w:r>
      <w:r>
        <w:rPr>
          <w:sz w:val="22"/>
          <w:szCs w:val="22"/>
        </w:rPr>
        <w:t xml:space="preserve"> </w:t>
      </w:r>
      <w:r w:rsidR="00EF1B53">
        <w:rPr>
          <w:sz w:val="22"/>
          <w:szCs w:val="22"/>
        </w:rPr>
        <w:t xml:space="preserve">i serum </w:t>
      </w:r>
      <w:r>
        <w:rPr>
          <w:sz w:val="22"/>
          <w:szCs w:val="22"/>
        </w:rPr>
        <w:t>på omtrent 5,5</w:t>
      </w:r>
      <w:r w:rsidR="001D533B">
        <w:rPr>
          <w:sz w:val="22"/>
          <w:szCs w:val="22"/>
        </w:rPr>
        <w:t> </w:t>
      </w:r>
      <w:r w:rsidRPr="00994C9E">
        <w:rPr>
          <w:sz w:val="22"/>
          <w:szCs w:val="22"/>
        </w:rPr>
        <w:t>mikrog</w:t>
      </w:r>
      <w:r>
        <w:rPr>
          <w:sz w:val="22"/>
          <w:szCs w:val="22"/>
        </w:rPr>
        <w:t xml:space="preserve"> /ml under induksjonsperioden. En </w:t>
      </w:r>
      <w:r w:rsidR="00583057">
        <w:rPr>
          <w:sz w:val="22"/>
          <w:szCs w:val="22"/>
        </w:rPr>
        <w:t>induksjons</w:t>
      </w:r>
      <w:r>
        <w:rPr>
          <w:sz w:val="22"/>
          <w:szCs w:val="22"/>
        </w:rPr>
        <w:t>dose på 160</w:t>
      </w:r>
      <w:r w:rsidR="001D533B">
        <w:rPr>
          <w:sz w:val="22"/>
          <w:szCs w:val="22"/>
        </w:rPr>
        <w:t> </w:t>
      </w:r>
      <w:r>
        <w:rPr>
          <w:sz w:val="22"/>
          <w:szCs w:val="22"/>
        </w:rPr>
        <w:t xml:space="preserve">mg Humira </w:t>
      </w:r>
      <w:r w:rsidR="0085057D">
        <w:rPr>
          <w:sz w:val="22"/>
          <w:szCs w:val="22"/>
        </w:rPr>
        <w:t xml:space="preserve">ved </w:t>
      </w:r>
      <w:r>
        <w:rPr>
          <w:sz w:val="22"/>
          <w:szCs w:val="22"/>
        </w:rPr>
        <w:t>uke</w:t>
      </w:r>
      <w:r w:rsidR="001D533B">
        <w:rPr>
          <w:sz w:val="22"/>
          <w:szCs w:val="22"/>
        </w:rPr>
        <w:t> </w:t>
      </w:r>
      <w:r>
        <w:rPr>
          <w:sz w:val="22"/>
          <w:szCs w:val="22"/>
        </w:rPr>
        <w:t>0 etterfulgt av 80</w:t>
      </w:r>
      <w:r w:rsidR="001D533B">
        <w:rPr>
          <w:sz w:val="22"/>
          <w:szCs w:val="22"/>
        </w:rPr>
        <w:t> </w:t>
      </w:r>
      <w:r>
        <w:rPr>
          <w:sz w:val="22"/>
          <w:szCs w:val="22"/>
        </w:rPr>
        <w:t xml:space="preserve">mg Humira </w:t>
      </w:r>
      <w:r w:rsidR="0085057D">
        <w:rPr>
          <w:sz w:val="22"/>
          <w:szCs w:val="22"/>
        </w:rPr>
        <w:t xml:space="preserve">ved </w:t>
      </w:r>
      <w:r>
        <w:rPr>
          <w:sz w:val="22"/>
          <w:szCs w:val="22"/>
        </w:rPr>
        <w:t>uke</w:t>
      </w:r>
      <w:r w:rsidR="001D533B">
        <w:rPr>
          <w:sz w:val="22"/>
          <w:szCs w:val="22"/>
        </w:rPr>
        <w:t> </w:t>
      </w:r>
      <w:r>
        <w:rPr>
          <w:sz w:val="22"/>
          <w:szCs w:val="22"/>
        </w:rPr>
        <w:t>2</w:t>
      </w:r>
      <w:r w:rsidR="00FA3AFC">
        <w:rPr>
          <w:sz w:val="22"/>
          <w:szCs w:val="22"/>
        </w:rPr>
        <w:t xml:space="preserve"> </w:t>
      </w:r>
      <w:r w:rsidR="00583057">
        <w:rPr>
          <w:sz w:val="22"/>
          <w:szCs w:val="22"/>
        </w:rPr>
        <w:t>gav</w:t>
      </w:r>
      <w:r>
        <w:rPr>
          <w:sz w:val="22"/>
          <w:szCs w:val="22"/>
        </w:rPr>
        <w:t xml:space="preserve"> </w:t>
      </w:r>
      <w:r w:rsidR="00B125D2">
        <w:rPr>
          <w:sz w:val="22"/>
          <w:szCs w:val="22"/>
        </w:rPr>
        <w:t>bunn</w:t>
      </w:r>
      <w:r>
        <w:rPr>
          <w:sz w:val="22"/>
          <w:szCs w:val="22"/>
        </w:rPr>
        <w:t>konsentrasjon</w:t>
      </w:r>
      <w:r w:rsidR="0085057D">
        <w:rPr>
          <w:sz w:val="22"/>
          <w:szCs w:val="22"/>
        </w:rPr>
        <w:t xml:space="preserve"> av adal</w:t>
      </w:r>
      <w:r w:rsidR="00581310">
        <w:rPr>
          <w:sz w:val="22"/>
          <w:szCs w:val="22"/>
        </w:rPr>
        <w:t>i</w:t>
      </w:r>
      <w:r w:rsidR="0085057D">
        <w:rPr>
          <w:sz w:val="22"/>
          <w:szCs w:val="22"/>
        </w:rPr>
        <w:t>mumab i serum</w:t>
      </w:r>
      <w:r>
        <w:rPr>
          <w:sz w:val="22"/>
          <w:szCs w:val="22"/>
        </w:rPr>
        <w:t xml:space="preserve"> på omtrent 12</w:t>
      </w:r>
      <w:r w:rsidR="001D533B">
        <w:rPr>
          <w:sz w:val="22"/>
          <w:szCs w:val="22"/>
        </w:rPr>
        <w:t> </w:t>
      </w:r>
      <w:r w:rsidRPr="00994C9E">
        <w:rPr>
          <w:sz w:val="22"/>
          <w:szCs w:val="22"/>
        </w:rPr>
        <w:t>mikrog</w:t>
      </w:r>
      <w:r>
        <w:rPr>
          <w:sz w:val="22"/>
          <w:szCs w:val="22"/>
        </w:rPr>
        <w:t>/ml under induksjonsperioden.</w:t>
      </w:r>
      <w:r w:rsidR="00583057">
        <w:rPr>
          <w:sz w:val="22"/>
          <w:szCs w:val="22"/>
        </w:rPr>
        <w:t xml:space="preserve"> </w:t>
      </w:r>
      <w:r>
        <w:rPr>
          <w:sz w:val="22"/>
          <w:szCs w:val="22"/>
        </w:rPr>
        <w:t xml:space="preserve">Gjennomsnittlige </w:t>
      </w:r>
      <w:r w:rsidR="00B125D2">
        <w:rPr>
          <w:sz w:val="22"/>
          <w:szCs w:val="22"/>
        </w:rPr>
        <w:t>bunn</w:t>
      </w:r>
      <w:r>
        <w:rPr>
          <w:sz w:val="22"/>
          <w:szCs w:val="22"/>
        </w:rPr>
        <w:t>nivåer</w:t>
      </w:r>
      <w:r w:rsidR="00583057">
        <w:rPr>
          <w:sz w:val="22"/>
          <w:szCs w:val="22"/>
        </w:rPr>
        <w:t xml:space="preserve"> ved steady-state</w:t>
      </w:r>
      <w:r>
        <w:rPr>
          <w:sz w:val="22"/>
          <w:szCs w:val="22"/>
        </w:rPr>
        <w:t xml:space="preserve"> på omtrent 7</w:t>
      </w:r>
      <w:r w:rsidR="001D533B">
        <w:rPr>
          <w:sz w:val="22"/>
          <w:szCs w:val="22"/>
        </w:rPr>
        <w:t> </w:t>
      </w:r>
      <w:r w:rsidR="0085057D">
        <w:rPr>
          <w:sz w:val="22"/>
          <w:szCs w:val="22"/>
        </w:rPr>
        <w:t>mikro</w:t>
      </w:r>
      <w:r>
        <w:rPr>
          <w:sz w:val="22"/>
          <w:szCs w:val="22"/>
        </w:rPr>
        <w:t xml:space="preserve">g/ml ble observert hos pasienter med </w:t>
      </w:r>
      <w:r w:rsidR="006B55F0">
        <w:rPr>
          <w:sz w:val="22"/>
          <w:szCs w:val="22"/>
        </w:rPr>
        <w:t>Crohns</w:t>
      </w:r>
      <w:r>
        <w:rPr>
          <w:sz w:val="22"/>
          <w:szCs w:val="22"/>
        </w:rPr>
        <w:t xml:space="preserve"> sykdom som </w:t>
      </w:r>
      <w:r w:rsidR="00583057">
        <w:rPr>
          <w:sz w:val="22"/>
          <w:szCs w:val="22"/>
        </w:rPr>
        <w:t xml:space="preserve">fikk </w:t>
      </w:r>
      <w:r>
        <w:rPr>
          <w:sz w:val="22"/>
          <w:szCs w:val="22"/>
        </w:rPr>
        <w:t>en vedlikeholdsdose på 40</w:t>
      </w:r>
      <w:r w:rsidR="001D533B">
        <w:rPr>
          <w:sz w:val="22"/>
          <w:szCs w:val="22"/>
        </w:rPr>
        <w:t> </w:t>
      </w:r>
      <w:r>
        <w:rPr>
          <w:sz w:val="22"/>
          <w:szCs w:val="22"/>
        </w:rPr>
        <w:t>mg Humira annenhver uke.</w:t>
      </w:r>
    </w:p>
    <w:p w14:paraId="1CE3251C" w14:textId="77777777" w:rsidR="00D43BF9" w:rsidRDefault="00D43BF9" w:rsidP="00D43BF9">
      <w:pPr>
        <w:autoSpaceDE w:val="0"/>
        <w:autoSpaceDN w:val="0"/>
        <w:adjustRightInd w:val="0"/>
        <w:rPr>
          <w:sz w:val="22"/>
          <w:szCs w:val="22"/>
        </w:rPr>
      </w:pPr>
    </w:p>
    <w:p w14:paraId="51136D80" w14:textId="77777777" w:rsidR="00D43BF9" w:rsidRDefault="00E453CD" w:rsidP="00D43BF9">
      <w:pPr>
        <w:autoSpaceDE w:val="0"/>
        <w:autoSpaceDN w:val="0"/>
        <w:adjustRightInd w:val="0"/>
        <w:rPr>
          <w:sz w:val="22"/>
          <w:szCs w:val="22"/>
        </w:rPr>
      </w:pPr>
      <w:r>
        <w:rPr>
          <w:sz w:val="22"/>
          <w:szCs w:val="22"/>
        </w:rPr>
        <w:t xml:space="preserve">En </w:t>
      </w:r>
      <w:r w:rsidR="00583057">
        <w:rPr>
          <w:sz w:val="22"/>
          <w:szCs w:val="22"/>
        </w:rPr>
        <w:t>induksjonsd</w:t>
      </w:r>
      <w:r>
        <w:rPr>
          <w:sz w:val="22"/>
          <w:szCs w:val="22"/>
        </w:rPr>
        <w:t>ose på 80</w:t>
      </w:r>
      <w:r w:rsidR="001D533B">
        <w:rPr>
          <w:sz w:val="22"/>
          <w:szCs w:val="22"/>
        </w:rPr>
        <w:t> </w:t>
      </w:r>
      <w:r>
        <w:rPr>
          <w:sz w:val="22"/>
          <w:szCs w:val="22"/>
        </w:rPr>
        <w:t>mg adalimumab ved uke</w:t>
      </w:r>
      <w:r w:rsidR="001D533B">
        <w:rPr>
          <w:sz w:val="22"/>
          <w:szCs w:val="22"/>
        </w:rPr>
        <w:t> </w:t>
      </w:r>
      <w:r>
        <w:rPr>
          <w:sz w:val="22"/>
          <w:szCs w:val="22"/>
        </w:rPr>
        <w:t>0 etterfulgt av 40</w:t>
      </w:r>
      <w:r w:rsidR="001D533B">
        <w:rPr>
          <w:sz w:val="22"/>
          <w:szCs w:val="22"/>
        </w:rPr>
        <w:t> </w:t>
      </w:r>
      <w:r>
        <w:rPr>
          <w:sz w:val="22"/>
          <w:szCs w:val="22"/>
        </w:rPr>
        <w:t>mg adalimumab annenhver uke med start fra uke</w:t>
      </w:r>
      <w:r w:rsidR="001D533B">
        <w:rPr>
          <w:sz w:val="22"/>
          <w:szCs w:val="22"/>
        </w:rPr>
        <w:t> </w:t>
      </w:r>
      <w:r>
        <w:rPr>
          <w:sz w:val="22"/>
          <w:szCs w:val="22"/>
        </w:rPr>
        <w:t>1 hos</w:t>
      </w:r>
      <w:r w:rsidR="001212FD">
        <w:rPr>
          <w:sz w:val="22"/>
          <w:szCs w:val="22"/>
        </w:rPr>
        <w:t xml:space="preserve"> voksne</w:t>
      </w:r>
      <w:r>
        <w:rPr>
          <w:sz w:val="22"/>
          <w:szCs w:val="22"/>
        </w:rPr>
        <w:t xml:space="preserve"> pasienter med uveitt, resulterte i g</w:t>
      </w:r>
      <w:r w:rsidRPr="00994C9E">
        <w:rPr>
          <w:sz w:val="22"/>
          <w:szCs w:val="22"/>
        </w:rPr>
        <w:t xml:space="preserve">jennomsnittlige steady-state </w:t>
      </w:r>
      <w:r>
        <w:rPr>
          <w:sz w:val="22"/>
          <w:szCs w:val="22"/>
        </w:rPr>
        <w:t xml:space="preserve">konsentrasjoner </w:t>
      </w:r>
      <w:r w:rsidRPr="00994C9E">
        <w:rPr>
          <w:sz w:val="22"/>
          <w:szCs w:val="22"/>
        </w:rPr>
        <w:t>på ca. 8</w:t>
      </w:r>
      <w:r>
        <w:rPr>
          <w:sz w:val="22"/>
          <w:szCs w:val="22"/>
        </w:rPr>
        <w:t>-10</w:t>
      </w:r>
      <w:r w:rsidR="001D533B">
        <w:rPr>
          <w:sz w:val="22"/>
          <w:szCs w:val="22"/>
        </w:rPr>
        <w:t> </w:t>
      </w:r>
      <w:r w:rsidRPr="00994C9E">
        <w:rPr>
          <w:sz w:val="22"/>
          <w:szCs w:val="22"/>
        </w:rPr>
        <w:t>mikrog/ml</w:t>
      </w:r>
      <w:r>
        <w:rPr>
          <w:sz w:val="22"/>
          <w:szCs w:val="22"/>
        </w:rPr>
        <w:t>.</w:t>
      </w:r>
    </w:p>
    <w:p w14:paraId="715CA888" w14:textId="77777777" w:rsidR="00D73D0D" w:rsidRDefault="00D73D0D" w:rsidP="00D43BF9">
      <w:pPr>
        <w:autoSpaceDE w:val="0"/>
        <w:autoSpaceDN w:val="0"/>
        <w:adjustRightInd w:val="0"/>
        <w:rPr>
          <w:sz w:val="22"/>
          <w:szCs w:val="22"/>
        </w:rPr>
      </w:pPr>
    </w:p>
    <w:p w14:paraId="0ABA4BDE" w14:textId="77777777" w:rsidR="00D73D0D" w:rsidRDefault="00E453CD" w:rsidP="00D43BF9">
      <w:pPr>
        <w:autoSpaceDE w:val="0"/>
        <w:autoSpaceDN w:val="0"/>
        <w:adjustRightInd w:val="0"/>
        <w:rPr>
          <w:sz w:val="22"/>
          <w:szCs w:val="22"/>
        </w:rPr>
      </w:pPr>
      <w:r w:rsidRPr="009C5EFD">
        <w:rPr>
          <w:sz w:val="22"/>
          <w:szCs w:val="22"/>
        </w:rPr>
        <w:t>F</w:t>
      </w:r>
      <w:r w:rsidR="00212BE6">
        <w:rPr>
          <w:sz w:val="22"/>
          <w:szCs w:val="22"/>
        </w:rPr>
        <w:t>armakokinetisk</w:t>
      </w:r>
      <w:r w:rsidRPr="009C5EFD">
        <w:rPr>
          <w:sz w:val="22"/>
          <w:szCs w:val="22"/>
        </w:rPr>
        <w:t xml:space="preserve"> populasjons</w:t>
      </w:r>
      <w:r>
        <w:rPr>
          <w:sz w:val="22"/>
          <w:szCs w:val="22"/>
        </w:rPr>
        <w:t>- og f</w:t>
      </w:r>
      <w:r w:rsidRPr="009C5EFD">
        <w:rPr>
          <w:sz w:val="22"/>
          <w:szCs w:val="22"/>
        </w:rPr>
        <w:t>armakokinetisk</w:t>
      </w:r>
      <w:r>
        <w:rPr>
          <w:sz w:val="22"/>
          <w:szCs w:val="22"/>
        </w:rPr>
        <w:t xml:space="preserve">/farmakodynamisk modellering og simulering </w:t>
      </w:r>
      <w:r w:rsidR="00212BE6">
        <w:rPr>
          <w:sz w:val="22"/>
          <w:szCs w:val="22"/>
        </w:rPr>
        <w:t>antar sammenlignbar eksponering og effekt av adalimumab hos pasienter behandlet med 80</w:t>
      </w:r>
      <w:r w:rsidR="00FA49A8">
        <w:rPr>
          <w:sz w:val="22"/>
          <w:szCs w:val="22"/>
        </w:rPr>
        <w:t> </w:t>
      </w:r>
      <w:r w:rsidR="00212BE6">
        <w:rPr>
          <w:sz w:val="22"/>
          <w:szCs w:val="22"/>
        </w:rPr>
        <w:t>mg annenhver uke sammenlignet med 40</w:t>
      </w:r>
      <w:r w:rsidR="00FA49A8">
        <w:rPr>
          <w:sz w:val="22"/>
          <w:szCs w:val="22"/>
        </w:rPr>
        <w:t> </w:t>
      </w:r>
      <w:r w:rsidR="00212BE6">
        <w:rPr>
          <w:sz w:val="22"/>
          <w:szCs w:val="22"/>
        </w:rPr>
        <w:t xml:space="preserve">mg hver uke (inkludert voksne pasienter med RA, HS, UC, CD eller Ps, ungdom med HS, og pediatriske pasienter </w:t>
      </w:r>
      <w:r w:rsidR="00212BE6" w:rsidRPr="00212BE6">
        <w:rPr>
          <w:sz w:val="22"/>
          <w:szCs w:val="22"/>
        </w:rPr>
        <w:t>≥</w:t>
      </w:r>
      <w:r w:rsidR="00FA49A8">
        <w:rPr>
          <w:sz w:val="22"/>
          <w:szCs w:val="22"/>
        </w:rPr>
        <w:t> </w:t>
      </w:r>
      <w:r w:rsidR="00212BE6" w:rsidRPr="00212BE6">
        <w:rPr>
          <w:sz w:val="22"/>
          <w:szCs w:val="22"/>
        </w:rPr>
        <w:t>40</w:t>
      </w:r>
      <w:r w:rsidR="00FA49A8">
        <w:rPr>
          <w:sz w:val="22"/>
          <w:szCs w:val="22"/>
        </w:rPr>
        <w:t> </w:t>
      </w:r>
      <w:r w:rsidR="00212BE6" w:rsidRPr="00212BE6">
        <w:rPr>
          <w:sz w:val="22"/>
          <w:szCs w:val="22"/>
        </w:rPr>
        <w:t xml:space="preserve">kg </w:t>
      </w:r>
      <w:r w:rsidR="00212BE6">
        <w:rPr>
          <w:sz w:val="22"/>
          <w:szCs w:val="22"/>
        </w:rPr>
        <w:t>med</w:t>
      </w:r>
      <w:r w:rsidR="00212BE6" w:rsidRPr="00212BE6">
        <w:rPr>
          <w:sz w:val="22"/>
          <w:szCs w:val="22"/>
        </w:rPr>
        <w:t xml:space="preserve"> CD).</w:t>
      </w:r>
    </w:p>
    <w:p w14:paraId="27FD2AD6" w14:textId="77777777" w:rsidR="00F53BAE" w:rsidRPr="009C5EFD" w:rsidRDefault="00F53BAE" w:rsidP="00F53BAE">
      <w:pPr>
        <w:rPr>
          <w:sz w:val="22"/>
          <w:szCs w:val="22"/>
          <w:u w:val="single"/>
        </w:rPr>
      </w:pPr>
    </w:p>
    <w:p w14:paraId="36612D82" w14:textId="77777777" w:rsidR="00F53BAE" w:rsidRPr="009C5EFD" w:rsidRDefault="00E453CD" w:rsidP="00F53BAE">
      <w:pPr>
        <w:keepNext/>
        <w:rPr>
          <w:sz w:val="22"/>
          <w:szCs w:val="22"/>
          <w:u w:val="single"/>
        </w:rPr>
      </w:pPr>
      <w:r w:rsidRPr="009C5EFD">
        <w:rPr>
          <w:sz w:val="22"/>
          <w:szCs w:val="22"/>
          <w:u w:val="single"/>
        </w:rPr>
        <w:t>Eliminasjon</w:t>
      </w:r>
    </w:p>
    <w:p w14:paraId="491B9EEE" w14:textId="77777777" w:rsidR="00F53BAE" w:rsidRPr="009C5EFD" w:rsidRDefault="00F53BAE" w:rsidP="00F53BAE">
      <w:pPr>
        <w:keepNext/>
        <w:rPr>
          <w:sz w:val="22"/>
          <w:szCs w:val="22"/>
        </w:rPr>
      </w:pPr>
    </w:p>
    <w:p w14:paraId="43ACEDF9" w14:textId="77777777" w:rsidR="00F53BAE" w:rsidRPr="009C5EFD" w:rsidRDefault="00E453CD" w:rsidP="00776A84">
      <w:pPr>
        <w:rPr>
          <w:sz w:val="22"/>
          <w:szCs w:val="22"/>
        </w:rPr>
      </w:pPr>
      <w:r w:rsidRPr="009C5EFD">
        <w:rPr>
          <w:sz w:val="22"/>
          <w:szCs w:val="22"/>
        </w:rPr>
        <w:t xml:space="preserve">Farmakokinetiske populasjonsanalyser med data fra over 1300 RA-pasienter viste en tendens mot høyere tilsynelatende clearance av adalimumab med økende kroppsvekt. Etter korrigering for vektforskjeller, syntes kjønn og alder å ha minimal effekt på clearance av adalimumab. Serumnivåene av fritt adalimumab (ikke bundet til antistoffer mot adalimumab, AAA) ble observert å være lavere hos pasienter med målbart AAA. </w:t>
      </w:r>
    </w:p>
    <w:p w14:paraId="5C32374E" w14:textId="77777777" w:rsidR="00F53BAE" w:rsidRPr="009C5EFD" w:rsidRDefault="00F53BAE" w:rsidP="00F53BAE">
      <w:pPr>
        <w:rPr>
          <w:sz w:val="22"/>
          <w:szCs w:val="22"/>
        </w:rPr>
      </w:pPr>
    </w:p>
    <w:p w14:paraId="0D80A0FA" w14:textId="77777777" w:rsidR="00F53BAE" w:rsidRPr="009C5EFD" w:rsidRDefault="00E453CD" w:rsidP="00F53BAE">
      <w:pPr>
        <w:keepNext/>
        <w:rPr>
          <w:sz w:val="22"/>
          <w:szCs w:val="22"/>
        </w:rPr>
      </w:pPr>
      <w:r w:rsidRPr="009C5EFD">
        <w:rPr>
          <w:sz w:val="22"/>
          <w:szCs w:val="22"/>
          <w:u w:val="single"/>
        </w:rPr>
        <w:t>Nedsatt lever- eller nyrefunksjon</w:t>
      </w:r>
    </w:p>
    <w:p w14:paraId="1AAC510B" w14:textId="77777777" w:rsidR="00F53BAE" w:rsidRPr="009C5EFD" w:rsidRDefault="00F53BAE" w:rsidP="00F53BAE">
      <w:pPr>
        <w:keepNext/>
        <w:rPr>
          <w:sz w:val="22"/>
          <w:szCs w:val="22"/>
        </w:rPr>
      </w:pPr>
    </w:p>
    <w:p w14:paraId="5FADCBA4" w14:textId="77777777" w:rsidR="00F53BAE" w:rsidRPr="009C5EFD" w:rsidRDefault="00E453CD" w:rsidP="00776A84">
      <w:pPr>
        <w:rPr>
          <w:sz w:val="22"/>
          <w:szCs w:val="22"/>
        </w:rPr>
      </w:pPr>
      <w:r w:rsidRPr="009C5EFD">
        <w:rPr>
          <w:sz w:val="22"/>
          <w:szCs w:val="22"/>
        </w:rPr>
        <w:t>Humira har ikke blitt undersøkt hos pasienter med nedsatt lever- eller nyrefunksjon.</w:t>
      </w:r>
    </w:p>
    <w:p w14:paraId="296A38B5" w14:textId="77777777" w:rsidR="00F53BAE" w:rsidRPr="001F5D4B" w:rsidRDefault="00F53BAE" w:rsidP="00F53BAE">
      <w:pPr>
        <w:suppressAutoHyphens/>
        <w:rPr>
          <w:sz w:val="22"/>
          <w:szCs w:val="22"/>
        </w:rPr>
      </w:pPr>
    </w:p>
    <w:p w14:paraId="6B0E4155" w14:textId="77777777" w:rsidR="00F53BAE" w:rsidRPr="00193D76" w:rsidRDefault="00E453CD" w:rsidP="00602A37">
      <w:pPr>
        <w:keepNext/>
        <w:suppressAutoHyphens/>
        <w:ind w:left="576" w:hanging="576"/>
        <w:rPr>
          <w:sz w:val="22"/>
          <w:szCs w:val="22"/>
        </w:rPr>
      </w:pPr>
      <w:r w:rsidRPr="007F67EE">
        <w:rPr>
          <w:b/>
          <w:sz w:val="22"/>
          <w:szCs w:val="22"/>
        </w:rPr>
        <w:t>5.3</w:t>
      </w:r>
      <w:r w:rsidRPr="007F67EE">
        <w:rPr>
          <w:b/>
          <w:sz w:val="22"/>
          <w:szCs w:val="22"/>
        </w:rPr>
        <w:tab/>
        <w:t>Prekliniske sikkerhetsdata</w:t>
      </w:r>
    </w:p>
    <w:p w14:paraId="1CED41F5" w14:textId="77777777" w:rsidR="00F53BAE" w:rsidRPr="002D0790" w:rsidRDefault="00F53BAE" w:rsidP="00AB7697">
      <w:pPr>
        <w:keepNext/>
        <w:rPr>
          <w:sz w:val="22"/>
          <w:szCs w:val="22"/>
        </w:rPr>
      </w:pPr>
    </w:p>
    <w:p w14:paraId="55081305" w14:textId="77777777" w:rsidR="00F53BAE" w:rsidRPr="002D0790" w:rsidRDefault="00E453CD" w:rsidP="00F53BAE">
      <w:pPr>
        <w:rPr>
          <w:sz w:val="22"/>
          <w:szCs w:val="22"/>
        </w:rPr>
      </w:pPr>
      <w:r w:rsidRPr="002D0790">
        <w:rPr>
          <w:sz w:val="22"/>
          <w:szCs w:val="22"/>
        </w:rPr>
        <w:t>Prekliniske data indikerer ingen spesiell fare for mennesker basert på toksisitetstester etter enkeltdosering, toksisitetstester ved gjentatt dosering eller gentoksisitet.</w:t>
      </w:r>
    </w:p>
    <w:p w14:paraId="31CE7771" w14:textId="77777777" w:rsidR="00F53BAE" w:rsidRPr="00E14E58" w:rsidRDefault="00F53BAE" w:rsidP="00F53BAE">
      <w:pPr>
        <w:rPr>
          <w:sz w:val="22"/>
          <w:szCs w:val="22"/>
        </w:rPr>
      </w:pPr>
    </w:p>
    <w:p w14:paraId="58C8EE9C" w14:textId="77777777" w:rsidR="00F53BAE" w:rsidRPr="009C5EFD" w:rsidRDefault="00E453CD" w:rsidP="00F53BAE">
      <w:pPr>
        <w:rPr>
          <w:sz w:val="22"/>
          <w:szCs w:val="22"/>
        </w:rPr>
      </w:pPr>
      <w:r w:rsidRPr="009C5EFD">
        <w:rPr>
          <w:sz w:val="22"/>
          <w:szCs w:val="22"/>
        </w:rPr>
        <w:lastRenderedPageBreak/>
        <w:t xml:space="preserve">En studie på </w:t>
      </w:r>
      <w:r w:rsidR="00581310">
        <w:rPr>
          <w:sz w:val="22"/>
          <w:szCs w:val="22"/>
        </w:rPr>
        <w:t>embryo</w:t>
      </w:r>
      <w:r w:rsidRPr="009C5EFD">
        <w:rPr>
          <w:sz w:val="22"/>
          <w:szCs w:val="22"/>
        </w:rPr>
        <w:t xml:space="preserve">føtal utviklingstoksisitet og perinatal utvikling som ble utført på </w:t>
      </w:r>
      <w:r w:rsidR="006B250F">
        <w:rPr>
          <w:sz w:val="22"/>
          <w:szCs w:val="22"/>
        </w:rPr>
        <w:t>cynomolgus</w:t>
      </w:r>
      <w:r w:rsidRPr="009C5EFD">
        <w:rPr>
          <w:sz w:val="22"/>
          <w:szCs w:val="22"/>
        </w:rPr>
        <w:t>-aper ved 0,30 og 100</w:t>
      </w:r>
      <w:r w:rsidR="001D533B">
        <w:rPr>
          <w:sz w:val="22"/>
          <w:szCs w:val="22"/>
        </w:rPr>
        <w:t> </w:t>
      </w:r>
      <w:r w:rsidRPr="009C5EFD">
        <w:rPr>
          <w:sz w:val="22"/>
          <w:szCs w:val="22"/>
        </w:rPr>
        <w:t>mg/kg (9-17</w:t>
      </w:r>
      <w:r w:rsidR="001D533B">
        <w:rPr>
          <w:sz w:val="22"/>
          <w:szCs w:val="22"/>
        </w:rPr>
        <w:t> </w:t>
      </w:r>
      <w:r w:rsidRPr="009C5EFD">
        <w:rPr>
          <w:sz w:val="22"/>
          <w:szCs w:val="22"/>
        </w:rPr>
        <w:t>aper/gruppe) viste ingen tegn til fosterskader som skyldtes adalimumab. Verken karsinogenitetsstudier eller en standardutredning av fertilitet og postnatal toksisitet er gjennomført med adalimumab på grunn av mangel på egnede modeller på antistoff med begrenset kryss-reaktivitet til TNF fra gnagere, samt utvikling av nøytraliserende antistoffer hos gnagere.</w:t>
      </w:r>
    </w:p>
    <w:p w14:paraId="2F76B83B" w14:textId="77777777" w:rsidR="00F53BAE" w:rsidRPr="009C5EFD" w:rsidRDefault="00F53BAE" w:rsidP="00F53BAE">
      <w:pPr>
        <w:rPr>
          <w:sz w:val="22"/>
          <w:szCs w:val="22"/>
        </w:rPr>
      </w:pPr>
    </w:p>
    <w:p w14:paraId="788675F0" w14:textId="77777777" w:rsidR="00F53BAE" w:rsidRPr="009C5EFD" w:rsidRDefault="00F53BAE" w:rsidP="00F53BAE">
      <w:pPr>
        <w:rPr>
          <w:sz w:val="22"/>
          <w:szCs w:val="22"/>
        </w:rPr>
      </w:pPr>
    </w:p>
    <w:p w14:paraId="59677577" w14:textId="77777777" w:rsidR="00F53BAE" w:rsidRPr="009C5EFD" w:rsidRDefault="00E453CD" w:rsidP="00776A84">
      <w:pPr>
        <w:keepNext/>
        <w:suppressAutoHyphens/>
        <w:ind w:left="562" w:hanging="562"/>
        <w:rPr>
          <w:sz w:val="22"/>
          <w:szCs w:val="22"/>
        </w:rPr>
      </w:pPr>
      <w:r w:rsidRPr="009C5EFD">
        <w:rPr>
          <w:b/>
          <w:sz w:val="22"/>
          <w:szCs w:val="22"/>
        </w:rPr>
        <w:t>6.</w:t>
      </w:r>
      <w:r w:rsidRPr="009C5EFD">
        <w:rPr>
          <w:b/>
          <w:sz w:val="22"/>
          <w:szCs w:val="22"/>
        </w:rPr>
        <w:tab/>
        <w:t>FARMASØYTISKE OPPLYSNINGER</w:t>
      </w:r>
    </w:p>
    <w:p w14:paraId="71124B0A" w14:textId="77777777" w:rsidR="00F53BAE" w:rsidRPr="009C5EFD" w:rsidRDefault="00F53BAE" w:rsidP="00776A84">
      <w:pPr>
        <w:keepNext/>
        <w:rPr>
          <w:sz w:val="22"/>
          <w:szCs w:val="22"/>
        </w:rPr>
      </w:pPr>
    </w:p>
    <w:p w14:paraId="65D5C5A7" w14:textId="77777777" w:rsidR="00F53BAE" w:rsidRPr="009C5EFD" w:rsidRDefault="00E453CD" w:rsidP="00776A84">
      <w:pPr>
        <w:keepNext/>
        <w:suppressAutoHyphens/>
        <w:ind w:left="576" w:hanging="576"/>
        <w:rPr>
          <w:sz w:val="22"/>
          <w:szCs w:val="22"/>
        </w:rPr>
      </w:pPr>
      <w:r w:rsidRPr="009C5EFD">
        <w:rPr>
          <w:b/>
          <w:sz w:val="22"/>
          <w:szCs w:val="22"/>
        </w:rPr>
        <w:t>6.1</w:t>
      </w:r>
      <w:r w:rsidRPr="009C5EFD">
        <w:rPr>
          <w:b/>
          <w:sz w:val="22"/>
          <w:szCs w:val="22"/>
        </w:rPr>
        <w:tab/>
      </w:r>
      <w:r w:rsidR="001D434C">
        <w:rPr>
          <w:b/>
          <w:sz w:val="22"/>
          <w:szCs w:val="22"/>
        </w:rPr>
        <w:t>H</w:t>
      </w:r>
      <w:r w:rsidRPr="009C5EFD">
        <w:rPr>
          <w:b/>
          <w:sz w:val="22"/>
          <w:szCs w:val="22"/>
        </w:rPr>
        <w:t>jelpestoffer</w:t>
      </w:r>
    </w:p>
    <w:p w14:paraId="550C7DCB" w14:textId="77777777" w:rsidR="00F53BAE" w:rsidRPr="009C5EFD" w:rsidRDefault="00F53BAE" w:rsidP="00776A84">
      <w:pPr>
        <w:keepNext/>
        <w:rPr>
          <w:sz w:val="22"/>
          <w:szCs w:val="22"/>
        </w:rPr>
      </w:pPr>
    </w:p>
    <w:p w14:paraId="5B42C4B0" w14:textId="77777777" w:rsidR="00F53BAE" w:rsidRPr="009C5EFD" w:rsidRDefault="00E453CD" w:rsidP="00F53BAE">
      <w:pPr>
        <w:rPr>
          <w:sz w:val="22"/>
          <w:szCs w:val="22"/>
        </w:rPr>
      </w:pPr>
      <w:r>
        <w:rPr>
          <w:sz w:val="22"/>
          <w:szCs w:val="22"/>
        </w:rPr>
        <w:t>M</w:t>
      </w:r>
      <w:r w:rsidRPr="009C5EFD">
        <w:rPr>
          <w:sz w:val="22"/>
          <w:szCs w:val="22"/>
        </w:rPr>
        <w:t xml:space="preserve">annitol </w:t>
      </w:r>
    </w:p>
    <w:p w14:paraId="2B807C04" w14:textId="77777777" w:rsidR="00F53BAE" w:rsidRPr="009C5EFD" w:rsidRDefault="00E453CD" w:rsidP="00F53BAE">
      <w:pPr>
        <w:rPr>
          <w:sz w:val="22"/>
          <w:szCs w:val="22"/>
        </w:rPr>
      </w:pPr>
      <w:r>
        <w:rPr>
          <w:sz w:val="22"/>
          <w:szCs w:val="22"/>
        </w:rPr>
        <w:t>P</w:t>
      </w:r>
      <w:r w:rsidRPr="009C5EFD">
        <w:rPr>
          <w:sz w:val="22"/>
          <w:szCs w:val="22"/>
        </w:rPr>
        <w:t xml:space="preserve">olysorbat 80 </w:t>
      </w:r>
    </w:p>
    <w:p w14:paraId="7B226464" w14:textId="77777777" w:rsidR="00F53BAE" w:rsidRPr="009C5EFD" w:rsidRDefault="00E453CD" w:rsidP="00F53BAE">
      <w:pPr>
        <w:rPr>
          <w:sz w:val="22"/>
          <w:szCs w:val="22"/>
        </w:rPr>
      </w:pPr>
      <w:r>
        <w:rPr>
          <w:sz w:val="22"/>
          <w:szCs w:val="22"/>
        </w:rPr>
        <w:t>V</w:t>
      </w:r>
      <w:r w:rsidRPr="009C5EFD">
        <w:rPr>
          <w:sz w:val="22"/>
          <w:szCs w:val="22"/>
        </w:rPr>
        <w:t>ann til injeksjonsvæsker</w:t>
      </w:r>
    </w:p>
    <w:p w14:paraId="71724058" w14:textId="77777777" w:rsidR="00F53BAE" w:rsidRPr="009C5EFD" w:rsidRDefault="00F53BAE" w:rsidP="00F53BAE">
      <w:pPr>
        <w:rPr>
          <w:sz w:val="22"/>
          <w:szCs w:val="22"/>
        </w:rPr>
      </w:pPr>
    </w:p>
    <w:p w14:paraId="471B5F16" w14:textId="77777777" w:rsidR="00F53BAE" w:rsidRPr="009C5EFD" w:rsidRDefault="00E453CD" w:rsidP="00776A84">
      <w:pPr>
        <w:keepNext/>
        <w:suppressAutoHyphens/>
        <w:ind w:left="576" w:hanging="576"/>
        <w:rPr>
          <w:sz w:val="22"/>
          <w:szCs w:val="22"/>
        </w:rPr>
      </w:pPr>
      <w:r w:rsidRPr="009C5EFD">
        <w:rPr>
          <w:b/>
          <w:sz w:val="22"/>
          <w:szCs w:val="22"/>
        </w:rPr>
        <w:t>6.2</w:t>
      </w:r>
      <w:r w:rsidRPr="009C5EFD">
        <w:rPr>
          <w:b/>
          <w:sz w:val="22"/>
          <w:szCs w:val="22"/>
        </w:rPr>
        <w:tab/>
        <w:t>Uforlikeligheter</w:t>
      </w:r>
    </w:p>
    <w:p w14:paraId="001BB739" w14:textId="77777777" w:rsidR="00F53BAE" w:rsidRPr="009C5EFD" w:rsidRDefault="00F53BAE" w:rsidP="00776A84">
      <w:pPr>
        <w:keepNext/>
        <w:rPr>
          <w:sz w:val="22"/>
          <w:szCs w:val="22"/>
        </w:rPr>
      </w:pPr>
    </w:p>
    <w:p w14:paraId="4250AC38" w14:textId="77777777" w:rsidR="00F53BAE" w:rsidRPr="000624CD" w:rsidRDefault="00E453CD" w:rsidP="00F53BAE">
      <w:pPr>
        <w:suppressAutoHyphens/>
        <w:rPr>
          <w:sz w:val="22"/>
          <w:szCs w:val="22"/>
        </w:rPr>
      </w:pPr>
      <w:r w:rsidRPr="001D434C">
        <w:rPr>
          <w:sz w:val="22"/>
          <w:szCs w:val="22"/>
        </w:rPr>
        <w:t>Dette legemidlet skal ikke blandes med andre legemidler da det ikke er gjort studier på</w:t>
      </w:r>
      <w:r>
        <w:rPr>
          <w:sz w:val="22"/>
          <w:szCs w:val="22"/>
        </w:rPr>
        <w:t xml:space="preserve"> u</w:t>
      </w:r>
      <w:r w:rsidRPr="001D434C">
        <w:rPr>
          <w:sz w:val="22"/>
          <w:szCs w:val="22"/>
        </w:rPr>
        <w:t>forlikelighet</w:t>
      </w:r>
      <w:r>
        <w:rPr>
          <w:sz w:val="22"/>
          <w:szCs w:val="22"/>
        </w:rPr>
        <w:t>.</w:t>
      </w:r>
    </w:p>
    <w:p w14:paraId="2BEBC81F" w14:textId="77777777" w:rsidR="003E0F76" w:rsidRDefault="003E0F76" w:rsidP="00776A84">
      <w:pPr>
        <w:keepNext/>
        <w:suppressAutoHyphens/>
        <w:ind w:left="576" w:hanging="576"/>
        <w:rPr>
          <w:b/>
          <w:sz w:val="22"/>
          <w:szCs w:val="22"/>
        </w:rPr>
      </w:pPr>
    </w:p>
    <w:p w14:paraId="0F692515" w14:textId="77777777" w:rsidR="00F53BAE" w:rsidRPr="009C5EFD" w:rsidRDefault="00E453CD" w:rsidP="00776A84">
      <w:pPr>
        <w:keepNext/>
        <w:suppressAutoHyphens/>
        <w:ind w:left="576" w:hanging="576"/>
        <w:rPr>
          <w:sz w:val="22"/>
          <w:szCs w:val="22"/>
        </w:rPr>
      </w:pPr>
      <w:r w:rsidRPr="009C5EFD">
        <w:rPr>
          <w:b/>
          <w:sz w:val="22"/>
          <w:szCs w:val="22"/>
        </w:rPr>
        <w:t>6.3</w:t>
      </w:r>
      <w:r w:rsidRPr="009C5EFD">
        <w:rPr>
          <w:b/>
          <w:sz w:val="22"/>
          <w:szCs w:val="22"/>
        </w:rPr>
        <w:tab/>
        <w:t>Holdbarhet</w:t>
      </w:r>
    </w:p>
    <w:p w14:paraId="4FC0459C" w14:textId="77777777" w:rsidR="00F53BAE" w:rsidRPr="009C5EFD" w:rsidRDefault="00F53BAE" w:rsidP="00776A84">
      <w:pPr>
        <w:keepNext/>
        <w:rPr>
          <w:sz w:val="22"/>
          <w:szCs w:val="22"/>
        </w:rPr>
      </w:pPr>
    </w:p>
    <w:p w14:paraId="1E3B473E" w14:textId="77777777" w:rsidR="00F53BAE" w:rsidRPr="009C5EFD" w:rsidRDefault="00E453CD" w:rsidP="00F53BAE">
      <w:pPr>
        <w:rPr>
          <w:sz w:val="22"/>
          <w:szCs w:val="22"/>
        </w:rPr>
      </w:pPr>
      <w:r w:rsidRPr="009C5EFD">
        <w:rPr>
          <w:sz w:val="22"/>
          <w:szCs w:val="22"/>
        </w:rPr>
        <w:t>2 år.</w:t>
      </w:r>
    </w:p>
    <w:p w14:paraId="6328D9A2" w14:textId="77777777" w:rsidR="00F53BAE" w:rsidRPr="000624CD" w:rsidRDefault="00F53BAE" w:rsidP="00F53BAE">
      <w:pPr>
        <w:suppressAutoHyphens/>
        <w:rPr>
          <w:sz w:val="22"/>
          <w:szCs w:val="22"/>
        </w:rPr>
      </w:pPr>
    </w:p>
    <w:p w14:paraId="3131F9F6" w14:textId="77777777" w:rsidR="00F53BAE" w:rsidRPr="009C5EFD" w:rsidRDefault="00E453CD" w:rsidP="00776A84">
      <w:pPr>
        <w:keepNext/>
        <w:suppressAutoHyphens/>
        <w:ind w:left="576" w:hanging="576"/>
        <w:rPr>
          <w:sz w:val="22"/>
          <w:szCs w:val="22"/>
        </w:rPr>
      </w:pPr>
      <w:r w:rsidRPr="009C5EFD">
        <w:rPr>
          <w:b/>
          <w:sz w:val="22"/>
          <w:szCs w:val="22"/>
        </w:rPr>
        <w:t>6.4</w:t>
      </w:r>
      <w:r w:rsidRPr="009C5EFD">
        <w:rPr>
          <w:b/>
          <w:sz w:val="22"/>
          <w:szCs w:val="22"/>
        </w:rPr>
        <w:tab/>
        <w:t>Oppbevaringsbetingelser</w:t>
      </w:r>
    </w:p>
    <w:p w14:paraId="654F3199" w14:textId="77777777" w:rsidR="00F53BAE" w:rsidRPr="009C5EFD" w:rsidRDefault="00F53BAE" w:rsidP="00776A84">
      <w:pPr>
        <w:keepNext/>
        <w:rPr>
          <w:sz w:val="22"/>
          <w:szCs w:val="22"/>
        </w:rPr>
      </w:pPr>
    </w:p>
    <w:p w14:paraId="2A2EB59E" w14:textId="77777777" w:rsidR="00F53BAE" w:rsidRPr="009C5EFD" w:rsidRDefault="00E453CD" w:rsidP="00F53BAE">
      <w:pPr>
        <w:rPr>
          <w:sz w:val="22"/>
          <w:szCs w:val="22"/>
        </w:rPr>
      </w:pPr>
      <w:r w:rsidRPr="009C5EFD">
        <w:rPr>
          <w:sz w:val="22"/>
          <w:szCs w:val="22"/>
        </w:rPr>
        <w:t>Oppbevares i kjøleskap (2</w:t>
      </w:r>
      <w:r w:rsidR="00BE58FF">
        <w:rPr>
          <w:sz w:val="22"/>
          <w:szCs w:val="22"/>
        </w:rPr>
        <w:t> </w:t>
      </w:r>
      <w:r w:rsidRPr="009C5EFD">
        <w:rPr>
          <w:sz w:val="22"/>
          <w:szCs w:val="22"/>
        </w:rPr>
        <w:t>°C – 8</w:t>
      </w:r>
      <w:r w:rsidR="00BE58FF">
        <w:rPr>
          <w:sz w:val="22"/>
          <w:szCs w:val="22"/>
        </w:rPr>
        <w:t> </w:t>
      </w:r>
      <w:r w:rsidRPr="009C5EFD">
        <w:rPr>
          <w:sz w:val="22"/>
          <w:szCs w:val="22"/>
        </w:rPr>
        <w:t xml:space="preserve">°C). Skal ikke fryses. Oppbevar </w:t>
      </w:r>
      <w:r w:rsidR="0048723D">
        <w:rPr>
          <w:sz w:val="22"/>
          <w:szCs w:val="22"/>
        </w:rPr>
        <w:t>den ferdigfylte sprøyten</w:t>
      </w:r>
      <w:r w:rsidRPr="009C5EFD">
        <w:rPr>
          <w:sz w:val="22"/>
          <w:szCs w:val="22"/>
        </w:rPr>
        <w:t xml:space="preserve"> i</w:t>
      </w:r>
      <w:r w:rsidR="0048723D">
        <w:rPr>
          <w:sz w:val="22"/>
          <w:szCs w:val="22"/>
        </w:rPr>
        <w:t xml:space="preserve"> ytteremballasje</w:t>
      </w:r>
      <w:r w:rsidR="00BE58FF">
        <w:rPr>
          <w:sz w:val="22"/>
          <w:szCs w:val="22"/>
        </w:rPr>
        <w:t>n</w:t>
      </w:r>
      <w:r w:rsidRPr="009C5EFD">
        <w:rPr>
          <w:sz w:val="22"/>
          <w:szCs w:val="22"/>
        </w:rPr>
        <w:t xml:space="preserve"> for å beskytte mot lys. </w:t>
      </w:r>
    </w:p>
    <w:p w14:paraId="5CFA2B9D" w14:textId="77777777" w:rsidR="00F53BAE" w:rsidRDefault="00F53BAE" w:rsidP="00F53BAE">
      <w:pPr>
        <w:rPr>
          <w:sz w:val="22"/>
          <w:szCs w:val="22"/>
        </w:rPr>
      </w:pPr>
    </w:p>
    <w:p w14:paraId="04680F3D" w14:textId="77777777" w:rsidR="0048723D" w:rsidRPr="009C5EFD" w:rsidRDefault="00E453CD" w:rsidP="0048723D">
      <w:pPr>
        <w:rPr>
          <w:sz w:val="22"/>
          <w:szCs w:val="22"/>
        </w:rPr>
      </w:pPr>
      <w:r>
        <w:rPr>
          <w:sz w:val="22"/>
          <w:szCs w:val="22"/>
        </w:rPr>
        <w:t>E</w:t>
      </w:r>
      <w:r w:rsidRPr="009C5EFD">
        <w:rPr>
          <w:sz w:val="22"/>
          <w:szCs w:val="22"/>
        </w:rPr>
        <w:t>n enkelt Humira ferdigfylt sprøyte</w:t>
      </w:r>
      <w:r>
        <w:rPr>
          <w:sz w:val="22"/>
          <w:szCs w:val="22"/>
        </w:rPr>
        <w:t xml:space="preserve"> </w:t>
      </w:r>
      <w:r w:rsidRPr="009C5EFD">
        <w:rPr>
          <w:sz w:val="22"/>
          <w:szCs w:val="22"/>
        </w:rPr>
        <w:t xml:space="preserve">kan oppbevares ved temperaturer opptil </w:t>
      </w:r>
      <w:r w:rsidR="00272537">
        <w:rPr>
          <w:sz w:val="22"/>
          <w:szCs w:val="22"/>
        </w:rPr>
        <w:t>maksimalt</w:t>
      </w:r>
      <w:r w:rsidR="00581310">
        <w:rPr>
          <w:sz w:val="22"/>
          <w:szCs w:val="22"/>
        </w:rPr>
        <w:t xml:space="preserve"> </w:t>
      </w:r>
      <w:r w:rsidRPr="009C5EFD">
        <w:rPr>
          <w:sz w:val="22"/>
          <w:szCs w:val="22"/>
        </w:rPr>
        <w:t>25</w:t>
      </w:r>
      <w:r w:rsidR="00BE58FF">
        <w:rPr>
          <w:sz w:val="22"/>
          <w:szCs w:val="22"/>
        </w:rPr>
        <w:t> </w:t>
      </w:r>
      <w:r w:rsidRPr="009C5EFD">
        <w:rPr>
          <w:sz w:val="22"/>
          <w:szCs w:val="22"/>
        </w:rPr>
        <w:t>°C for en periode på opptil 14</w:t>
      </w:r>
      <w:r w:rsidR="00334F27">
        <w:rPr>
          <w:sz w:val="22"/>
          <w:szCs w:val="22"/>
        </w:rPr>
        <w:t> </w:t>
      </w:r>
      <w:r w:rsidRPr="009C5EFD">
        <w:rPr>
          <w:sz w:val="22"/>
          <w:szCs w:val="22"/>
        </w:rPr>
        <w:t xml:space="preserve">dager. Sprøyten </w:t>
      </w:r>
      <w:r>
        <w:rPr>
          <w:sz w:val="22"/>
          <w:szCs w:val="22"/>
        </w:rPr>
        <w:t>m</w:t>
      </w:r>
      <w:r w:rsidRPr="009C5EFD">
        <w:rPr>
          <w:sz w:val="22"/>
          <w:szCs w:val="22"/>
        </w:rPr>
        <w:t>å beskyttes mot lys, og kastes hvis den ikke brukes innen 14</w:t>
      </w:r>
      <w:r w:rsidR="00334F27">
        <w:rPr>
          <w:sz w:val="22"/>
          <w:szCs w:val="22"/>
        </w:rPr>
        <w:t> </w:t>
      </w:r>
      <w:r w:rsidRPr="009C5EFD">
        <w:rPr>
          <w:sz w:val="22"/>
          <w:szCs w:val="22"/>
        </w:rPr>
        <w:t xml:space="preserve">dager. </w:t>
      </w:r>
    </w:p>
    <w:p w14:paraId="271D4B89" w14:textId="77777777" w:rsidR="0048723D" w:rsidRPr="009C5EFD" w:rsidRDefault="0048723D" w:rsidP="00F53BAE">
      <w:pPr>
        <w:rPr>
          <w:sz w:val="22"/>
          <w:szCs w:val="22"/>
        </w:rPr>
      </w:pPr>
    </w:p>
    <w:p w14:paraId="29E79F56" w14:textId="77777777" w:rsidR="00F53BAE" w:rsidRPr="000624CD" w:rsidRDefault="00E453CD" w:rsidP="00602A37">
      <w:pPr>
        <w:keepNext/>
        <w:ind w:left="576" w:hanging="576"/>
        <w:rPr>
          <w:sz w:val="22"/>
          <w:szCs w:val="22"/>
        </w:rPr>
      </w:pPr>
      <w:r w:rsidRPr="009C5EFD">
        <w:rPr>
          <w:b/>
          <w:sz w:val="22"/>
          <w:szCs w:val="22"/>
        </w:rPr>
        <w:t>6.5</w:t>
      </w:r>
      <w:r w:rsidRPr="009C5EFD">
        <w:rPr>
          <w:b/>
          <w:sz w:val="22"/>
          <w:szCs w:val="22"/>
        </w:rPr>
        <w:tab/>
        <w:t>Emballasje (type og innhold)</w:t>
      </w:r>
    </w:p>
    <w:p w14:paraId="35D8748B" w14:textId="77777777" w:rsidR="00F53BAE" w:rsidRPr="009C5EFD" w:rsidRDefault="00F53BAE" w:rsidP="00F53BAE">
      <w:pPr>
        <w:keepNext/>
        <w:rPr>
          <w:sz w:val="22"/>
          <w:szCs w:val="22"/>
        </w:rPr>
      </w:pPr>
    </w:p>
    <w:p w14:paraId="4BFBCB37" w14:textId="77777777" w:rsidR="0048723D" w:rsidRPr="002D0790" w:rsidRDefault="00E453CD" w:rsidP="0048723D">
      <w:pPr>
        <w:textAlignment w:val="top"/>
        <w:rPr>
          <w:sz w:val="22"/>
          <w:szCs w:val="22"/>
        </w:rPr>
      </w:pPr>
      <w:r>
        <w:rPr>
          <w:sz w:val="22"/>
          <w:szCs w:val="22"/>
        </w:rPr>
        <w:t>Humira 2</w:t>
      </w:r>
      <w:r w:rsidRPr="009C5EFD">
        <w:rPr>
          <w:sz w:val="22"/>
          <w:szCs w:val="22"/>
        </w:rPr>
        <w:t>0</w:t>
      </w:r>
      <w:r w:rsidR="00334F27">
        <w:rPr>
          <w:sz w:val="22"/>
          <w:szCs w:val="22"/>
        </w:rPr>
        <w:t> </w:t>
      </w:r>
      <w:r w:rsidRPr="009C5EFD">
        <w:rPr>
          <w:sz w:val="22"/>
          <w:szCs w:val="22"/>
        </w:rPr>
        <w:t xml:space="preserve">mg injeksjonsvæske, oppløsning, endose i ferdigfylt sprøyte (type I glass) med en stempelpropp (brombutylgummi) og en </w:t>
      </w:r>
      <w:r w:rsidR="008138BF">
        <w:rPr>
          <w:sz w:val="22"/>
          <w:szCs w:val="22"/>
        </w:rPr>
        <w:t>kanyle</w:t>
      </w:r>
      <w:r w:rsidRPr="009C5EFD">
        <w:rPr>
          <w:sz w:val="22"/>
          <w:szCs w:val="22"/>
        </w:rPr>
        <w:t xml:space="preserve"> med </w:t>
      </w:r>
      <w:r w:rsidR="00E1458E">
        <w:rPr>
          <w:sz w:val="22"/>
          <w:szCs w:val="22"/>
        </w:rPr>
        <w:t>kanylehette</w:t>
      </w:r>
      <w:r w:rsidRPr="009C5EFD">
        <w:rPr>
          <w:sz w:val="22"/>
          <w:szCs w:val="22"/>
        </w:rPr>
        <w:t xml:space="preserve"> (termoplastisk elastomer)</w:t>
      </w:r>
      <w:r w:rsidRPr="00193D76">
        <w:rPr>
          <w:sz w:val="22"/>
          <w:szCs w:val="22"/>
        </w:rPr>
        <w:t>.</w:t>
      </w:r>
    </w:p>
    <w:p w14:paraId="15AFEB34" w14:textId="77777777" w:rsidR="00F53BAE" w:rsidRDefault="00F53BAE" w:rsidP="00F53BAE">
      <w:pPr>
        <w:rPr>
          <w:sz w:val="22"/>
          <w:szCs w:val="22"/>
        </w:rPr>
      </w:pPr>
    </w:p>
    <w:p w14:paraId="18DEE4C9" w14:textId="77777777" w:rsidR="0048723D" w:rsidRPr="00E14E58" w:rsidRDefault="00E453CD" w:rsidP="00776A84">
      <w:pPr>
        <w:keepNext/>
        <w:rPr>
          <w:sz w:val="22"/>
          <w:szCs w:val="22"/>
        </w:rPr>
      </w:pPr>
      <w:r>
        <w:rPr>
          <w:sz w:val="22"/>
          <w:szCs w:val="22"/>
        </w:rPr>
        <w:t>Pakninger:</w:t>
      </w:r>
    </w:p>
    <w:p w14:paraId="39FBC405" w14:textId="77777777" w:rsidR="0048723D" w:rsidRPr="009C5EFD" w:rsidRDefault="00E453CD" w:rsidP="0048723D">
      <w:pPr>
        <w:numPr>
          <w:ilvl w:val="0"/>
          <w:numId w:val="23"/>
        </w:numPr>
        <w:ind w:left="0" w:firstLine="0"/>
        <w:rPr>
          <w:sz w:val="22"/>
          <w:szCs w:val="22"/>
        </w:rPr>
      </w:pPr>
      <w:r>
        <w:rPr>
          <w:sz w:val="22"/>
          <w:szCs w:val="22"/>
        </w:rPr>
        <w:t>2</w:t>
      </w:r>
      <w:r w:rsidR="00334F27">
        <w:rPr>
          <w:sz w:val="22"/>
          <w:szCs w:val="22"/>
        </w:rPr>
        <w:t> </w:t>
      </w:r>
      <w:r w:rsidRPr="009C5EFD">
        <w:rPr>
          <w:sz w:val="22"/>
          <w:szCs w:val="22"/>
        </w:rPr>
        <w:t>ferdigfylt</w:t>
      </w:r>
      <w:r>
        <w:rPr>
          <w:sz w:val="22"/>
          <w:szCs w:val="22"/>
        </w:rPr>
        <w:t>e</w:t>
      </w:r>
      <w:r w:rsidRPr="009C5EFD">
        <w:rPr>
          <w:sz w:val="22"/>
          <w:szCs w:val="22"/>
        </w:rPr>
        <w:t xml:space="preserve"> sprøyte</w:t>
      </w:r>
      <w:r>
        <w:rPr>
          <w:sz w:val="22"/>
          <w:szCs w:val="22"/>
        </w:rPr>
        <w:t>r (0,2</w:t>
      </w:r>
      <w:r w:rsidR="00334F27">
        <w:rPr>
          <w:sz w:val="22"/>
          <w:szCs w:val="22"/>
        </w:rPr>
        <w:t> </w:t>
      </w:r>
      <w:r w:rsidRPr="009C5EFD">
        <w:rPr>
          <w:sz w:val="22"/>
          <w:szCs w:val="22"/>
        </w:rPr>
        <w:t>ml steril oppløsning)</w:t>
      </w:r>
      <w:r w:rsidR="00BE58FF">
        <w:rPr>
          <w:sz w:val="22"/>
          <w:szCs w:val="22"/>
        </w:rPr>
        <w:t>,</w:t>
      </w:r>
      <w:r w:rsidRPr="009C5EFD">
        <w:rPr>
          <w:sz w:val="22"/>
          <w:szCs w:val="22"/>
        </w:rPr>
        <w:t xml:space="preserve"> </w:t>
      </w:r>
      <w:r>
        <w:rPr>
          <w:sz w:val="22"/>
          <w:szCs w:val="22"/>
        </w:rPr>
        <w:t xml:space="preserve">hver </w:t>
      </w:r>
      <w:r w:rsidRPr="009C5EFD">
        <w:rPr>
          <w:sz w:val="22"/>
          <w:szCs w:val="22"/>
        </w:rPr>
        <w:t xml:space="preserve">med </w:t>
      </w:r>
      <w:r>
        <w:rPr>
          <w:sz w:val="22"/>
          <w:szCs w:val="22"/>
        </w:rPr>
        <w:t>1</w:t>
      </w:r>
      <w:r w:rsidR="00334F27">
        <w:rPr>
          <w:sz w:val="22"/>
          <w:szCs w:val="22"/>
        </w:rPr>
        <w:t> </w:t>
      </w:r>
      <w:r w:rsidRPr="009C5EFD">
        <w:rPr>
          <w:sz w:val="22"/>
          <w:szCs w:val="22"/>
        </w:rPr>
        <w:t>injeksjonstørk</w:t>
      </w:r>
      <w:r w:rsidR="00BE58FF">
        <w:rPr>
          <w:sz w:val="22"/>
          <w:szCs w:val="22"/>
        </w:rPr>
        <w:t>,</w:t>
      </w:r>
      <w:r w:rsidRPr="009C5EFD">
        <w:rPr>
          <w:sz w:val="22"/>
          <w:szCs w:val="22"/>
        </w:rPr>
        <w:t xml:space="preserve"> i blisterpakning</w:t>
      </w:r>
      <w:r w:rsidR="00227F58">
        <w:rPr>
          <w:sz w:val="22"/>
          <w:szCs w:val="22"/>
        </w:rPr>
        <w:t>.</w:t>
      </w:r>
    </w:p>
    <w:p w14:paraId="0A9BB4DC" w14:textId="77777777" w:rsidR="0048723D" w:rsidRPr="009C5EFD" w:rsidRDefault="0048723D" w:rsidP="00F53BAE">
      <w:pPr>
        <w:rPr>
          <w:sz w:val="22"/>
          <w:szCs w:val="22"/>
        </w:rPr>
      </w:pPr>
    </w:p>
    <w:p w14:paraId="12760283" w14:textId="77777777" w:rsidR="00F53BAE" w:rsidRPr="009C5EFD" w:rsidRDefault="00E453CD" w:rsidP="00602A37">
      <w:pPr>
        <w:keepNext/>
        <w:ind w:left="576" w:hanging="576"/>
        <w:rPr>
          <w:sz w:val="22"/>
          <w:szCs w:val="22"/>
        </w:rPr>
      </w:pPr>
      <w:r w:rsidRPr="009C5EFD">
        <w:rPr>
          <w:b/>
          <w:sz w:val="22"/>
          <w:szCs w:val="22"/>
        </w:rPr>
        <w:t>6.6</w:t>
      </w:r>
      <w:r w:rsidRPr="009C5EFD">
        <w:rPr>
          <w:b/>
          <w:sz w:val="22"/>
          <w:szCs w:val="22"/>
        </w:rPr>
        <w:tab/>
        <w:t>Spesielle forholdsregler for destruksjon</w:t>
      </w:r>
    </w:p>
    <w:p w14:paraId="544B23F8" w14:textId="77777777" w:rsidR="00F53BAE" w:rsidRPr="009C5EFD" w:rsidRDefault="00F53BAE" w:rsidP="00F53BAE">
      <w:pPr>
        <w:keepNext/>
        <w:rPr>
          <w:sz w:val="22"/>
          <w:szCs w:val="22"/>
        </w:rPr>
      </w:pPr>
    </w:p>
    <w:p w14:paraId="61AFCCC4" w14:textId="77777777" w:rsidR="00F53BAE" w:rsidRPr="009C5EFD" w:rsidRDefault="00E453CD" w:rsidP="00776A84">
      <w:pPr>
        <w:rPr>
          <w:sz w:val="22"/>
          <w:szCs w:val="22"/>
        </w:rPr>
      </w:pPr>
      <w:r w:rsidRPr="009C5EFD">
        <w:rPr>
          <w:sz w:val="22"/>
          <w:szCs w:val="22"/>
        </w:rPr>
        <w:t>Ikke anvendt legemiddel samt avfall bør destrueres i overensstemmelse med lokale krav.</w:t>
      </w:r>
    </w:p>
    <w:p w14:paraId="304F55B8" w14:textId="77777777" w:rsidR="00F53BAE" w:rsidRPr="009C5EFD" w:rsidRDefault="00F53BAE" w:rsidP="00F53BAE">
      <w:pPr>
        <w:rPr>
          <w:sz w:val="22"/>
          <w:szCs w:val="22"/>
        </w:rPr>
      </w:pPr>
    </w:p>
    <w:p w14:paraId="6E983780" w14:textId="77777777" w:rsidR="00F53BAE" w:rsidRPr="009C5EFD" w:rsidRDefault="00F53BAE" w:rsidP="00F53BAE">
      <w:pPr>
        <w:rPr>
          <w:sz w:val="22"/>
          <w:szCs w:val="22"/>
        </w:rPr>
      </w:pPr>
    </w:p>
    <w:p w14:paraId="60962A86" w14:textId="77777777" w:rsidR="00F53BAE" w:rsidRPr="009C5EFD" w:rsidRDefault="00E453CD" w:rsidP="00602A37">
      <w:pPr>
        <w:keepNext/>
        <w:suppressAutoHyphens/>
        <w:ind w:left="562" w:hanging="562"/>
        <w:rPr>
          <w:sz w:val="22"/>
          <w:szCs w:val="22"/>
        </w:rPr>
      </w:pPr>
      <w:r w:rsidRPr="009C5EFD">
        <w:rPr>
          <w:b/>
          <w:sz w:val="22"/>
          <w:szCs w:val="22"/>
        </w:rPr>
        <w:t>7.</w:t>
      </w:r>
      <w:r w:rsidRPr="009C5EFD">
        <w:rPr>
          <w:b/>
          <w:sz w:val="22"/>
          <w:szCs w:val="22"/>
        </w:rPr>
        <w:tab/>
        <w:t>INNEHAVER AV MARKEDSFØRINGSTILLATELSEN</w:t>
      </w:r>
    </w:p>
    <w:p w14:paraId="7BEA4EC9" w14:textId="77777777" w:rsidR="00F53BAE" w:rsidRPr="009C5EFD" w:rsidRDefault="00F53BAE" w:rsidP="00AF70AD">
      <w:pPr>
        <w:keepNext/>
        <w:rPr>
          <w:sz w:val="22"/>
          <w:szCs w:val="22"/>
        </w:rPr>
      </w:pPr>
    </w:p>
    <w:p w14:paraId="66DD7BBD" w14:textId="77777777" w:rsidR="00EF12DF" w:rsidRPr="00EF12DF" w:rsidRDefault="00E453CD" w:rsidP="00EF12DF">
      <w:pPr>
        <w:rPr>
          <w:sz w:val="22"/>
          <w:szCs w:val="22"/>
        </w:rPr>
      </w:pPr>
      <w:r w:rsidRPr="00EF12DF">
        <w:rPr>
          <w:sz w:val="22"/>
          <w:szCs w:val="22"/>
        </w:rPr>
        <w:t>AbbVie Deutschland GmbH &amp; Co. KG</w:t>
      </w:r>
    </w:p>
    <w:p w14:paraId="59E0F247" w14:textId="77777777" w:rsidR="00EF12DF" w:rsidRPr="00EF12DF" w:rsidRDefault="00E453CD" w:rsidP="00EF12DF">
      <w:pPr>
        <w:rPr>
          <w:sz w:val="22"/>
          <w:szCs w:val="22"/>
        </w:rPr>
      </w:pPr>
      <w:r w:rsidRPr="00EF12DF">
        <w:rPr>
          <w:sz w:val="22"/>
          <w:szCs w:val="22"/>
        </w:rPr>
        <w:t>Knollstrasse</w:t>
      </w:r>
    </w:p>
    <w:p w14:paraId="25BB67DC" w14:textId="77777777" w:rsidR="00EF12DF" w:rsidRPr="00EF12DF" w:rsidRDefault="00E453CD" w:rsidP="00EF12DF">
      <w:pPr>
        <w:rPr>
          <w:sz w:val="22"/>
          <w:szCs w:val="22"/>
        </w:rPr>
      </w:pPr>
      <w:r w:rsidRPr="00EF12DF">
        <w:rPr>
          <w:sz w:val="22"/>
          <w:szCs w:val="22"/>
        </w:rPr>
        <w:t>67061 Ludwigshafen</w:t>
      </w:r>
    </w:p>
    <w:p w14:paraId="218C2323" w14:textId="77777777" w:rsidR="00F53BAE" w:rsidRPr="009C5EFD" w:rsidRDefault="00E453CD" w:rsidP="00F53BAE">
      <w:pPr>
        <w:rPr>
          <w:sz w:val="22"/>
          <w:szCs w:val="22"/>
        </w:rPr>
      </w:pPr>
      <w:r>
        <w:rPr>
          <w:sz w:val="22"/>
          <w:szCs w:val="22"/>
        </w:rPr>
        <w:t>Tyskland</w:t>
      </w:r>
      <w:r w:rsidRPr="00EF12DF">
        <w:rPr>
          <w:sz w:val="22"/>
          <w:szCs w:val="22"/>
        </w:rPr>
        <w:t xml:space="preserve"> </w:t>
      </w:r>
    </w:p>
    <w:p w14:paraId="182CC2BE" w14:textId="77777777" w:rsidR="00F53BAE" w:rsidRDefault="00F53BAE" w:rsidP="00F53BAE">
      <w:pPr>
        <w:rPr>
          <w:sz w:val="22"/>
          <w:szCs w:val="22"/>
        </w:rPr>
      </w:pPr>
    </w:p>
    <w:p w14:paraId="0837C260" w14:textId="77777777" w:rsidR="00165C06" w:rsidRPr="009C5EFD" w:rsidRDefault="00165C06" w:rsidP="00F53BAE">
      <w:pPr>
        <w:rPr>
          <w:sz w:val="22"/>
          <w:szCs w:val="22"/>
        </w:rPr>
      </w:pPr>
    </w:p>
    <w:p w14:paraId="5E289E10" w14:textId="77777777" w:rsidR="00F53BAE" w:rsidRPr="009C5EFD" w:rsidRDefault="00E453CD" w:rsidP="00602A37">
      <w:pPr>
        <w:keepNext/>
        <w:suppressAutoHyphens/>
        <w:ind w:left="562" w:hanging="562"/>
        <w:rPr>
          <w:sz w:val="22"/>
          <w:szCs w:val="22"/>
        </w:rPr>
      </w:pPr>
      <w:r w:rsidRPr="009C5EFD">
        <w:rPr>
          <w:b/>
          <w:sz w:val="22"/>
          <w:szCs w:val="22"/>
        </w:rPr>
        <w:t>8.</w:t>
      </w:r>
      <w:r w:rsidRPr="009C5EFD">
        <w:rPr>
          <w:b/>
          <w:sz w:val="22"/>
          <w:szCs w:val="22"/>
        </w:rPr>
        <w:tab/>
        <w:t xml:space="preserve">MARKEDSFØRINGSTILLATELSESNUMMER (NUMRE) </w:t>
      </w:r>
    </w:p>
    <w:p w14:paraId="5744A6B3" w14:textId="77777777" w:rsidR="00F53BAE" w:rsidRPr="009C5EFD" w:rsidRDefault="00F53BAE" w:rsidP="00F53BAE">
      <w:pPr>
        <w:keepNext/>
        <w:rPr>
          <w:sz w:val="22"/>
          <w:szCs w:val="22"/>
        </w:rPr>
      </w:pPr>
    </w:p>
    <w:p w14:paraId="7FBC0787" w14:textId="77777777" w:rsidR="00F53BAE" w:rsidRPr="009C5EFD" w:rsidRDefault="00E453CD" w:rsidP="00776A84">
      <w:pPr>
        <w:rPr>
          <w:sz w:val="22"/>
          <w:szCs w:val="22"/>
        </w:rPr>
      </w:pPr>
      <w:r w:rsidRPr="009C5EFD">
        <w:rPr>
          <w:sz w:val="22"/>
          <w:szCs w:val="22"/>
        </w:rPr>
        <w:t>EU/1/03/256/</w:t>
      </w:r>
      <w:r w:rsidR="0048723D">
        <w:rPr>
          <w:sz w:val="22"/>
          <w:szCs w:val="22"/>
        </w:rPr>
        <w:t>022</w:t>
      </w:r>
    </w:p>
    <w:p w14:paraId="6B79B276" w14:textId="77777777" w:rsidR="00F53BAE" w:rsidRPr="009C5EFD" w:rsidRDefault="00F53BAE" w:rsidP="00F53BAE">
      <w:pPr>
        <w:rPr>
          <w:sz w:val="22"/>
          <w:szCs w:val="22"/>
        </w:rPr>
      </w:pPr>
    </w:p>
    <w:p w14:paraId="36C052C7" w14:textId="77777777" w:rsidR="00F53BAE" w:rsidRPr="009C5EFD" w:rsidRDefault="00F53BAE" w:rsidP="00F53BAE">
      <w:pPr>
        <w:rPr>
          <w:sz w:val="22"/>
          <w:szCs w:val="22"/>
        </w:rPr>
      </w:pPr>
    </w:p>
    <w:p w14:paraId="0B346427" w14:textId="77777777" w:rsidR="00F53BAE" w:rsidRPr="009C5EFD" w:rsidRDefault="00E453CD" w:rsidP="00776A84">
      <w:pPr>
        <w:keepNext/>
        <w:suppressAutoHyphens/>
        <w:ind w:left="562" w:hanging="562"/>
        <w:rPr>
          <w:sz w:val="22"/>
          <w:szCs w:val="22"/>
        </w:rPr>
      </w:pPr>
      <w:r w:rsidRPr="009C5EFD">
        <w:rPr>
          <w:b/>
          <w:sz w:val="22"/>
          <w:szCs w:val="22"/>
        </w:rPr>
        <w:t>9.</w:t>
      </w:r>
      <w:r w:rsidRPr="009C5EFD">
        <w:rPr>
          <w:b/>
          <w:sz w:val="22"/>
          <w:szCs w:val="22"/>
        </w:rPr>
        <w:tab/>
        <w:t>DATO FOR FØRSTE MARKEDSFØRINGSTILLATELSE/SISTE FORNYELSE</w:t>
      </w:r>
    </w:p>
    <w:p w14:paraId="73F2E70F" w14:textId="77777777" w:rsidR="00F53BAE" w:rsidRPr="009C5EFD" w:rsidRDefault="00F53BAE" w:rsidP="00776A84">
      <w:pPr>
        <w:keepNext/>
        <w:rPr>
          <w:sz w:val="22"/>
          <w:szCs w:val="22"/>
        </w:rPr>
      </w:pPr>
    </w:p>
    <w:p w14:paraId="489721CF" w14:textId="77777777" w:rsidR="00F53BAE" w:rsidRPr="009C5EFD" w:rsidRDefault="00E453CD" w:rsidP="00F53BAE">
      <w:pPr>
        <w:rPr>
          <w:sz w:val="22"/>
          <w:szCs w:val="22"/>
        </w:rPr>
      </w:pPr>
      <w:r w:rsidRPr="009C5EFD">
        <w:rPr>
          <w:sz w:val="22"/>
          <w:szCs w:val="22"/>
        </w:rPr>
        <w:t xml:space="preserve">Dato for første markedsføringstillatelse: </w:t>
      </w:r>
      <w:r w:rsidR="0048723D">
        <w:rPr>
          <w:sz w:val="22"/>
          <w:szCs w:val="22"/>
        </w:rPr>
        <w:t>0</w:t>
      </w:r>
      <w:r w:rsidRPr="009C5EFD">
        <w:rPr>
          <w:sz w:val="22"/>
          <w:szCs w:val="22"/>
        </w:rPr>
        <w:t>8.</w:t>
      </w:r>
      <w:r w:rsidR="00334F27">
        <w:rPr>
          <w:sz w:val="22"/>
          <w:szCs w:val="22"/>
        </w:rPr>
        <w:t> </w:t>
      </w:r>
      <w:r w:rsidRPr="009C5EFD">
        <w:rPr>
          <w:sz w:val="22"/>
          <w:szCs w:val="22"/>
        </w:rPr>
        <w:t>september 2003</w:t>
      </w:r>
    </w:p>
    <w:p w14:paraId="68F8E9AC" w14:textId="77777777" w:rsidR="00F53BAE" w:rsidRPr="009C5EFD" w:rsidRDefault="00E453CD" w:rsidP="00F53BAE">
      <w:pPr>
        <w:rPr>
          <w:sz w:val="22"/>
          <w:szCs w:val="22"/>
        </w:rPr>
      </w:pPr>
      <w:r w:rsidRPr="009C5EFD">
        <w:rPr>
          <w:sz w:val="22"/>
          <w:szCs w:val="22"/>
        </w:rPr>
        <w:t xml:space="preserve">Dato for siste fornyelse: </w:t>
      </w:r>
      <w:r w:rsidR="0048723D">
        <w:rPr>
          <w:sz w:val="22"/>
          <w:szCs w:val="22"/>
        </w:rPr>
        <w:t>0</w:t>
      </w:r>
      <w:r w:rsidRPr="009C5EFD">
        <w:rPr>
          <w:sz w:val="22"/>
          <w:szCs w:val="22"/>
        </w:rPr>
        <w:t>8. september 2008</w:t>
      </w:r>
    </w:p>
    <w:p w14:paraId="302965C5" w14:textId="77777777" w:rsidR="00F53BAE" w:rsidRPr="009C5EFD" w:rsidRDefault="00F53BAE" w:rsidP="00F53BAE">
      <w:pPr>
        <w:rPr>
          <w:sz w:val="22"/>
          <w:szCs w:val="22"/>
        </w:rPr>
      </w:pPr>
    </w:p>
    <w:p w14:paraId="3F31FAD4" w14:textId="77777777" w:rsidR="00F53BAE" w:rsidRPr="009C5EFD" w:rsidRDefault="00F53BAE" w:rsidP="00F53BAE">
      <w:pPr>
        <w:rPr>
          <w:sz w:val="22"/>
          <w:szCs w:val="22"/>
        </w:rPr>
      </w:pPr>
    </w:p>
    <w:p w14:paraId="7B705CB2" w14:textId="77777777" w:rsidR="00F53BAE" w:rsidRPr="009C5EFD" w:rsidRDefault="00E453CD" w:rsidP="00776A84">
      <w:pPr>
        <w:keepNext/>
        <w:suppressAutoHyphens/>
        <w:ind w:left="562" w:hanging="562"/>
        <w:rPr>
          <w:sz w:val="22"/>
          <w:szCs w:val="22"/>
        </w:rPr>
      </w:pPr>
      <w:r w:rsidRPr="009C5EFD">
        <w:rPr>
          <w:b/>
          <w:sz w:val="22"/>
          <w:szCs w:val="22"/>
        </w:rPr>
        <w:t>10.</w:t>
      </w:r>
      <w:r w:rsidRPr="009C5EFD">
        <w:rPr>
          <w:b/>
          <w:sz w:val="22"/>
          <w:szCs w:val="22"/>
        </w:rPr>
        <w:tab/>
        <w:t>OPPDATERINGSDATO</w:t>
      </w:r>
    </w:p>
    <w:p w14:paraId="20A11605" w14:textId="77777777" w:rsidR="00F53BAE" w:rsidRPr="009C5EFD" w:rsidRDefault="00F53BAE" w:rsidP="00776A84">
      <w:pPr>
        <w:keepNext/>
        <w:rPr>
          <w:sz w:val="22"/>
          <w:szCs w:val="22"/>
        </w:rPr>
      </w:pPr>
    </w:p>
    <w:p w14:paraId="2A1C4CB9" w14:textId="3EC2E4B9" w:rsidR="002C5CDB" w:rsidRDefault="00E453CD" w:rsidP="00F429E4">
      <w:pPr>
        <w:rPr>
          <w:ins w:id="26" w:author="AbbVie05no" w:date="2025-05-19T10:32:00Z"/>
          <w:sz w:val="22"/>
        </w:rPr>
      </w:pPr>
      <w:r w:rsidRPr="009C5EFD">
        <w:rPr>
          <w:sz w:val="22"/>
        </w:rPr>
        <w:t>Detaljert informasjon om dette legemidlet er tilgjengelig på nettstedet til Det europeiske legemiddelkontoret (</w:t>
      </w:r>
      <w:r w:rsidR="001D434C">
        <w:rPr>
          <w:sz w:val="22"/>
        </w:rPr>
        <w:t>t</w:t>
      </w:r>
      <w:r w:rsidRPr="009C5EFD">
        <w:rPr>
          <w:sz w:val="22"/>
        </w:rPr>
        <w:t xml:space="preserve">he European Medicines Agency) </w:t>
      </w:r>
      <w:ins w:id="27" w:author="AbbVie05no" w:date="2025-05-19T10:32:00Z">
        <w:r>
          <w:rPr>
            <w:sz w:val="22"/>
          </w:rPr>
          <w:fldChar w:fldCharType="begin"/>
        </w:r>
        <w:r>
          <w:rPr>
            <w:sz w:val="22"/>
          </w:rPr>
          <w:instrText>HYPERLINK "</w:instrText>
        </w:r>
      </w:ins>
      <w:r w:rsidRPr="009C5EFD">
        <w:rPr>
          <w:sz w:val="22"/>
        </w:rPr>
        <w:instrText>http</w:instrText>
      </w:r>
      <w:ins w:id="28" w:author="AbbVie02no" w:date="2025-05-15T12:34:00Z">
        <w:r>
          <w:rPr>
            <w:sz w:val="22"/>
          </w:rPr>
          <w:instrText>s</w:instrText>
        </w:r>
      </w:ins>
      <w:r w:rsidRPr="009C5EFD">
        <w:rPr>
          <w:sz w:val="22"/>
        </w:rPr>
        <w:instrText>://www.ema.europa.eu</w:instrText>
      </w:r>
      <w:ins w:id="29" w:author="AbbVie05no" w:date="2025-05-19T10:32:00Z">
        <w:r>
          <w:rPr>
            <w:sz w:val="22"/>
          </w:rPr>
          <w:instrText>"</w:instrText>
        </w:r>
        <w:r>
          <w:rPr>
            <w:sz w:val="22"/>
          </w:rPr>
        </w:r>
        <w:r>
          <w:rPr>
            <w:sz w:val="22"/>
          </w:rPr>
          <w:fldChar w:fldCharType="separate"/>
        </w:r>
      </w:ins>
      <w:r w:rsidRPr="004836A9">
        <w:rPr>
          <w:rStyle w:val="Hyperlink"/>
          <w:sz w:val="22"/>
        </w:rPr>
        <w:t>http</w:t>
      </w:r>
      <w:ins w:id="30" w:author="AbbVie02no" w:date="2025-05-15T12:34:00Z">
        <w:r w:rsidRPr="004836A9">
          <w:rPr>
            <w:rStyle w:val="Hyperlink"/>
            <w:sz w:val="22"/>
          </w:rPr>
          <w:t>s</w:t>
        </w:r>
      </w:ins>
      <w:r w:rsidRPr="004836A9">
        <w:rPr>
          <w:rStyle w:val="Hyperlink"/>
          <w:sz w:val="22"/>
        </w:rPr>
        <w:t>://www.ema.europa.eu</w:t>
      </w:r>
      <w:ins w:id="31" w:author="AbbVie05no" w:date="2025-05-19T10:32:00Z">
        <w:r>
          <w:rPr>
            <w:sz w:val="22"/>
          </w:rPr>
          <w:fldChar w:fldCharType="end"/>
        </w:r>
      </w:ins>
      <w:r w:rsidRPr="009C5EFD">
        <w:rPr>
          <w:sz w:val="22"/>
        </w:rPr>
        <w:t>.</w:t>
      </w:r>
    </w:p>
    <w:p w14:paraId="5ED6934F" w14:textId="2477FC71" w:rsidR="00133031" w:rsidRPr="00AB7697" w:rsidRDefault="00E453CD" w:rsidP="00F429E4">
      <w:pPr>
        <w:rPr>
          <w:sz w:val="22"/>
        </w:rPr>
      </w:pPr>
      <w:r w:rsidRPr="00AB7697">
        <w:rPr>
          <w:sz w:val="22"/>
        </w:rPr>
        <w:br w:type="page"/>
      </w:r>
    </w:p>
    <w:p w14:paraId="68DE2134" w14:textId="1F195CCF" w:rsidR="00BA554D" w:rsidRDefault="00BA554D" w:rsidP="00602A37">
      <w:pPr>
        <w:tabs>
          <w:tab w:val="left" w:pos="-720"/>
        </w:tabs>
        <w:suppressAutoHyphens/>
        <w:ind w:left="562" w:hanging="562"/>
        <w:rPr>
          <w:del w:id="32" w:author="AbbVie02no" w:date="2025-05-15T12:36:00Z"/>
          <w:b/>
          <w:sz w:val="22"/>
          <w:szCs w:val="22"/>
        </w:rPr>
      </w:pPr>
    </w:p>
    <w:p w14:paraId="2CACAA20" w14:textId="4349E330" w:rsidR="00DE3458" w:rsidRPr="007F67EE" w:rsidRDefault="00E453CD" w:rsidP="00776A84">
      <w:pPr>
        <w:keepNext/>
        <w:tabs>
          <w:tab w:val="left" w:pos="-720"/>
        </w:tabs>
        <w:suppressAutoHyphens/>
        <w:ind w:left="562" w:hanging="562"/>
        <w:rPr>
          <w:del w:id="33" w:author="AbbVie02no" w:date="2025-05-15T12:36:00Z"/>
          <w:sz w:val="22"/>
          <w:szCs w:val="22"/>
        </w:rPr>
      </w:pPr>
      <w:del w:id="34" w:author="AbbVie02no" w:date="2025-05-15T12:36:00Z">
        <w:r w:rsidRPr="007F67EE">
          <w:rPr>
            <w:b/>
            <w:sz w:val="22"/>
            <w:szCs w:val="22"/>
          </w:rPr>
          <w:delText>1.</w:delText>
        </w:r>
        <w:r w:rsidRPr="007F67EE">
          <w:rPr>
            <w:b/>
            <w:sz w:val="22"/>
            <w:szCs w:val="22"/>
          </w:rPr>
          <w:tab/>
          <w:delText>LEGEMIDLETS NAVN</w:delText>
        </w:r>
      </w:del>
    </w:p>
    <w:p w14:paraId="7707461E" w14:textId="049D75B1" w:rsidR="00DE3458" w:rsidRPr="007F67EE" w:rsidRDefault="00DE3458" w:rsidP="00776A84">
      <w:pPr>
        <w:keepNext/>
        <w:suppressAutoHyphens/>
        <w:rPr>
          <w:del w:id="35" w:author="AbbVie02no" w:date="2025-05-15T12:36:00Z"/>
          <w:sz w:val="22"/>
          <w:szCs w:val="22"/>
        </w:rPr>
      </w:pPr>
    </w:p>
    <w:p w14:paraId="6D19EB73" w14:textId="5EFFCC74" w:rsidR="00DE3458" w:rsidRPr="007F67EE" w:rsidRDefault="00E453CD" w:rsidP="007F67EE">
      <w:pPr>
        <w:suppressAutoHyphens/>
        <w:rPr>
          <w:del w:id="36" w:author="AbbVie02no" w:date="2025-05-15T12:36:00Z"/>
          <w:sz w:val="22"/>
          <w:szCs w:val="22"/>
        </w:rPr>
      </w:pPr>
      <w:bookmarkStart w:id="37" w:name="_Hlk55294546"/>
      <w:del w:id="38" w:author="AbbVie02no" w:date="2025-05-15T12:36:00Z">
        <w:r w:rsidRPr="007F67EE">
          <w:rPr>
            <w:sz w:val="22"/>
            <w:szCs w:val="22"/>
          </w:rPr>
          <w:delText>Humira 40 mg</w:delText>
        </w:r>
        <w:r w:rsidR="006C4066" w:rsidRPr="007F67EE">
          <w:rPr>
            <w:sz w:val="22"/>
            <w:szCs w:val="22"/>
          </w:rPr>
          <w:delText>/0,8 ml</w:delText>
        </w:r>
        <w:r w:rsidRPr="007F67EE">
          <w:rPr>
            <w:sz w:val="22"/>
            <w:szCs w:val="22"/>
          </w:rPr>
          <w:delText xml:space="preserve"> injeksjonsvæske, oppløsning</w:delText>
        </w:r>
        <w:r w:rsidR="006C4066" w:rsidRPr="007F67EE">
          <w:rPr>
            <w:sz w:val="22"/>
            <w:szCs w:val="22"/>
          </w:rPr>
          <w:delText xml:space="preserve"> </w:delText>
        </w:r>
      </w:del>
    </w:p>
    <w:bookmarkEnd w:id="37"/>
    <w:p w14:paraId="166A930A" w14:textId="329E64AA" w:rsidR="00DE3458" w:rsidRPr="007F67EE" w:rsidRDefault="00DE3458" w:rsidP="007F67EE">
      <w:pPr>
        <w:suppressAutoHyphens/>
        <w:rPr>
          <w:del w:id="39" w:author="AbbVie02no" w:date="2025-05-15T12:36:00Z"/>
          <w:sz w:val="22"/>
          <w:szCs w:val="22"/>
        </w:rPr>
      </w:pPr>
    </w:p>
    <w:p w14:paraId="1197AEA4" w14:textId="0188A521" w:rsidR="00DE3458" w:rsidRPr="007F67EE" w:rsidRDefault="00DE3458" w:rsidP="007F67EE">
      <w:pPr>
        <w:tabs>
          <w:tab w:val="left" w:pos="-720"/>
        </w:tabs>
        <w:suppressAutoHyphens/>
        <w:rPr>
          <w:del w:id="40" w:author="AbbVie02no" w:date="2025-05-15T12:36:00Z"/>
          <w:sz w:val="22"/>
          <w:szCs w:val="22"/>
        </w:rPr>
      </w:pPr>
    </w:p>
    <w:p w14:paraId="0313926A" w14:textId="3EEF729D" w:rsidR="00DE3458" w:rsidRPr="007F67EE" w:rsidRDefault="00E453CD" w:rsidP="00776A84">
      <w:pPr>
        <w:keepNext/>
        <w:suppressAutoHyphens/>
        <w:ind w:left="567" w:hanging="567"/>
        <w:rPr>
          <w:del w:id="41" w:author="AbbVie02no" w:date="2025-05-15T12:36:00Z"/>
          <w:sz w:val="22"/>
          <w:szCs w:val="22"/>
        </w:rPr>
      </w:pPr>
      <w:del w:id="42" w:author="AbbVie02no" w:date="2025-05-15T12:36:00Z">
        <w:r w:rsidRPr="007F67EE">
          <w:rPr>
            <w:b/>
            <w:sz w:val="22"/>
            <w:szCs w:val="22"/>
          </w:rPr>
          <w:delText>2.</w:delText>
        </w:r>
        <w:r w:rsidRPr="007F67EE">
          <w:rPr>
            <w:b/>
            <w:sz w:val="22"/>
            <w:szCs w:val="22"/>
          </w:rPr>
          <w:tab/>
          <w:delText>KVALITATIV OG KVANTITATIV SAMMENSETNING</w:delText>
        </w:r>
      </w:del>
    </w:p>
    <w:p w14:paraId="20E48EE7" w14:textId="030CBE71" w:rsidR="00DE3458" w:rsidRPr="007F67EE" w:rsidRDefault="00DE3458" w:rsidP="00776A84">
      <w:pPr>
        <w:keepNext/>
        <w:rPr>
          <w:del w:id="43" w:author="AbbVie02no" w:date="2025-05-15T12:36:00Z"/>
          <w:sz w:val="22"/>
          <w:szCs w:val="22"/>
        </w:rPr>
      </w:pPr>
    </w:p>
    <w:p w14:paraId="7B4AF5B4" w14:textId="77104751" w:rsidR="00DE3458" w:rsidRPr="007F67EE" w:rsidRDefault="00E453CD" w:rsidP="007F67EE">
      <w:pPr>
        <w:rPr>
          <w:del w:id="44" w:author="AbbVie02no" w:date="2025-05-15T12:36:00Z"/>
          <w:sz w:val="22"/>
          <w:szCs w:val="22"/>
        </w:rPr>
      </w:pPr>
      <w:del w:id="45" w:author="AbbVie02no" w:date="2025-05-15T12:36:00Z">
        <w:r w:rsidRPr="007F67EE">
          <w:rPr>
            <w:sz w:val="22"/>
            <w:szCs w:val="22"/>
          </w:rPr>
          <w:delText>Hvert 0,8 ml endose hetteglass inneholder 40 mg adalimumab.</w:delText>
        </w:r>
      </w:del>
    </w:p>
    <w:p w14:paraId="05C0FDAB" w14:textId="468CE09E" w:rsidR="00DE3458" w:rsidRPr="007F67EE" w:rsidRDefault="00DE3458" w:rsidP="007F67EE">
      <w:pPr>
        <w:pStyle w:val="EndnoteText"/>
        <w:widowControl/>
        <w:tabs>
          <w:tab w:val="clear" w:pos="567"/>
        </w:tabs>
        <w:rPr>
          <w:del w:id="46" w:author="AbbVie02no" w:date="2025-05-15T12:36:00Z"/>
          <w:szCs w:val="22"/>
          <w:lang w:val="nb-NO"/>
        </w:rPr>
      </w:pPr>
    </w:p>
    <w:p w14:paraId="57D04596" w14:textId="52889523" w:rsidR="00DE3458" w:rsidRPr="007F67EE" w:rsidRDefault="00E453CD" w:rsidP="007F67EE">
      <w:pPr>
        <w:rPr>
          <w:del w:id="47" w:author="AbbVie02no" w:date="2025-05-15T12:36:00Z"/>
          <w:sz w:val="22"/>
          <w:szCs w:val="22"/>
        </w:rPr>
      </w:pPr>
      <w:del w:id="48" w:author="AbbVie02no" w:date="2025-05-15T12:36:00Z">
        <w:r w:rsidRPr="007F67EE">
          <w:rPr>
            <w:sz w:val="22"/>
            <w:szCs w:val="22"/>
          </w:rPr>
          <w:delText xml:space="preserve">Adalimumab er et rekombinant humant monoklonalt antistoff </w:delText>
        </w:r>
        <w:r w:rsidR="00096484">
          <w:rPr>
            <w:sz w:val="22"/>
            <w:szCs w:val="22"/>
          </w:rPr>
          <w:delText xml:space="preserve">produsert </w:delText>
        </w:r>
        <w:r w:rsidRPr="007F67EE">
          <w:rPr>
            <w:sz w:val="22"/>
            <w:szCs w:val="22"/>
          </w:rPr>
          <w:delText>i ovarieceller fra kinesisk hamster.</w:delText>
        </w:r>
      </w:del>
    </w:p>
    <w:p w14:paraId="6C0A7BBB" w14:textId="5CCE3C8D" w:rsidR="00DE3458" w:rsidRPr="007F67EE" w:rsidRDefault="00DE3458" w:rsidP="007F67EE">
      <w:pPr>
        <w:rPr>
          <w:del w:id="49" w:author="AbbVie02no" w:date="2025-05-15T12:36:00Z"/>
          <w:sz w:val="22"/>
          <w:szCs w:val="22"/>
        </w:rPr>
      </w:pPr>
    </w:p>
    <w:p w14:paraId="6939B8E1" w14:textId="2FBDF442" w:rsidR="00DE3458" w:rsidRPr="007F67EE" w:rsidRDefault="00E453CD" w:rsidP="007F67EE">
      <w:pPr>
        <w:rPr>
          <w:del w:id="50" w:author="AbbVie02no" w:date="2025-05-15T12:36:00Z"/>
          <w:sz w:val="22"/>
          <w:szCs w:val="22"/>
        </w:rPr>
      </w:pPr>
      <w:del w:id="51" w:author="AbbVie02no" w:date="2025-05-15T12:36:00Z">
        <w:r w:rsidRPr="007F67EE">
          <w:rPr>
            <w:sz w:val="22"/>
            <w:szCs w:val="22"/>
          </w:rPr>
          <w:delText>For fullstendig liste over hjelpestoffer</w:delText>
        </w:r>
        <w:r w:rsidR="00500EFD" w:rsidRPr="007F67EE">
          <w:rPr>
            <w:sz w:val="22"/>
            <w:szCs w:val="22"/>
          </w:rPr>
          <w:delText>,</w:delText>
        </w:r>
        <w:r w:rsidRPr="007F67EE">
          <w:rPr>
            <w:sz w:val="22"/>
            <w:szCs w:val="22"/>
          </w:rPr>
          <w:delText xml:space="preserve"> se pkt. 6.1.</w:delText>
        </w:r>
      </w:del>
    </w:p>
    <w:p w14:paraId="66768AFE" w14:textId="2550639E" w:rsidR="00DE3458" w:rsidRPr="007F67EE" w:rsidRDefault="00DE3458" w:rsidP="007F67EE">
      <w:pPr>
        <w:suppressAutoHyphens/>
        <w:rPr>
          <w:del w:id="52" w:author="AbbVie02no" w:date="2025-05-15T12:36:00Z"/>
          <w:sz w:val="22"/>
          <w:szCs w:val="22"/>
        </w:rPr>
      </w:pPr>
    </w:p>
    <w:p w14:paraId="6CBF2AC1" w14:textId="180A5D7F" w:rsidR="00DE3458" w:rsidRPr="007F67EE" w:rsidRDefault="00DE3458" w:rsidP="007F67EE">
      <w:pPr>
        <w:suppressAutoHyphens/>
        <w:rPr>
          <w:del w:id="53" w:author="AbbVie02no" w:date="2025-05-15T12:36:00Z"/>
          <w:sz w:val="22"/>
          <w:szCs w:val="22"/>
        </w:rPr>
      </w:pPr>
    </w:p>
    <w:p w14:paraId="7CD8314F" w14:textId="1794F18D" w:rsidR="00DE3458" w:rsidRPr="007F67EE" w:rsidRDefault="00E453CD" w:rsidP="00776A84">
      <w:pPr>
        <w:keepNext/>
        <w:suppressAutoHyphens/>
        <w:ind w:left="567" w:hanging="567"/>
        <w:rPr>
          <w:del w:id="54" w:author="AbbVie02no" w:date="2025-05-15T12:36:00Z"/>
          <w:sz w:val="22"/>
          <w:szCs w:val="22"/>
        </w:rPr>
      </w:pPr>
      <w:del w:id="55" w:author="AbbVie02no" w:date="2025-05-15T12:36:00Z">
        <w:r w:rsidRPr="007F67EE">
          <w:rPr>
            <w:b/>
            <w:sz w:val="22"/>
            <w:szCs w:val="22"/>
          </w:rPr>
          <w:delText>3.</w:delText>
        </w:r>
        <w:r w:rsidRPr="007F67EE">
          <w:rPr>
            <w:b/>
            <w:sz w:val="22"/>
            <w:szCs w:val="22"/>
          </w:rPr>
          <w:tab/>
          <w:delText>LEGEMIDDELFORM</w:delText>
        </w:r>
      </w:del>
    </w:p>
    <w:p w14:paraId="0CE8A601" w14:textId="4803722F" w:rsidR="00DE3458" w:rsidRPr="007F67EE" w:rsidRDefault="00DE3458" w:rsidP="00776A84">
      <w:pPr>
        <w:keepNext/>
        <w:suppressAutoHyphens/>
        <w:rPr>
          <w:del w:id="56" w:author="AbbVie02no" w:date="2025-05-15T12:36:00Z"/>
          <w:sz w:val="22"/>
          <w:szCs w:val="22"/>
        </w:rPr>
      </w:pPr>
    </w:p>
    <w:p w14:paraId="5435230B" w14:textId="16C85B24" w:rsidR="009910AE" w:rsidRPr="007F67EE" w:rsidRDefault="00E453CD" w:rsidP="007F67EE">
      <w:pPr>
        <w:suppressAutoHyphens/>
        <w:rPr>
          <w:del w:id="57" w:author="AbbVie02no" w:date="2025-05-15T12:36:00Z"/>
          <w:sz w:val="22"/>
          <w:szCs w:val="22"/>
        </w:rPr>
      </w:pPr>
      <w:del w:id="58" w:author="AbbVie02no" w:date="2025-05-15T12:36:00Z">
        <w:r w:rsidRPr="007F67EE">
          <w:rPr>
            <w:sz w:val="22"/>
            <w:szCs w:val="22"/>
          </w:rPr>
          <w:delText>Injeksjonsvæske, oppløsning</w:delText>
        </w:r>
        <w:r w:rsidR="00F429E4">
          <w:rPr>
            <w:sz w:val="22"/>
            <w:szCs w:val="22"/>
          </w:rPr>
          <w:delText xml:space="preserve"> (injeksjon</w:delText>
        </w:r>
        <w:r w:rsidR="00272537">
          <w:rPr>
            <w:sz w:val="22"/>
            <w:szCs w:val="22"/>
          </w:rPr>
          <w:delText>svæske</w:delText>
        </w:r>
        <w:r w:rsidR="00F429E4">
          <w:rPr>
            <w:sz w:val="22"/>
            <w:szCs w:val="22"/>
          </w:rPr>
          <w:delText>)</w:delText>
        </w:r>
      </w:del>
    </w:p>
    <w:p w14:paraId="158E3D0F" w14:textId="1F5D24B5" w:rsidR="009910AE" w:rsidRPr="00193D76" w:rsidRDefault="009910AE" w:rsidP="00193D76">
      <w:pPr>
        <w:suppressAutoHyphens/>
        <w:rPr>
          <w:del w:id="59" w:author="AbbVie02no" w:date="2025-05-15T12:36:00Z"/>
          <w:sz w:val="22"/>
          <w:szCs w:val="22"/>
        </w:rPr>
      </w:pPr>
    </w:p>
    <w:p w14:paraId="0CC916AF" w14:textId="432BC39B" w:rsidR="00DE3458" w:rsidRPr="002D0790" w:rsidRDefault="00E453CD" w:rsidP="002D0790">
      <w:pPr>
        <w:suppressAutoHyphens/>
        <w:rPr>
          <w:del w:id="60" w:author="AbbVie02no" w:date="2025-05-15T12:36:00Z"/>
          <w:sz w:val="22"/>
          <w:szCs w:val="22"/>
        </w:rPr>
      </w:pPr>
      <w:del w:id="61" w:author="AbbVie02no" w:date="2025-05-15T12:36:00Z">
        <w:r w:rsidRPr="002D0790">
          <w:rPr>
            <w:sz w:val="22"/>
            <w:szCs w:val="22"/>
          </w:rPr>
          <w:delText>Klar</w:delText>
        </w:r>
        <w:r w:rsidR="007233C2">
          <w:rPr>
            <w:sz w:val="22"/>
            <w:szCs w:val="22"/>
          </w:rPr>
          <w:delText>,</w:delText>
        </w:r>
        <w:r w:rsidRPr="002D0790">
          <w:rPr>
            <w:sz w:val="22"/>
            <w:szCs w:val="22"/>
          </w:rPr>
          <w:delText xml:space="preserve"> fargeløs oppløsning.</w:delText>
        </w:r>
      </w:del>
    </w:p>
    <w:p w14:paraId="1977EDD3" w14:textId="00FBED1A" w:rsidR="00DE3458" w:rsidRPr="002D0790" w:rsidRDefault="00DE3458" w:rsidP="002D0790">
      <w:pPr>
        <w:suppressAutoHyphens/>
        <w:rPr>
          <w:del w:id="62" w:author="AbbVie02no" w:date="2025-05-15T12:36:00Z"/>
          <w:sz w:val="22"/>
          <w:szCs w:val="22"/>
        </w:rPr>
      </w:pPr>
    </w:p>
    <w:p w14:paraId="28EB7E9C" w14:textId="5BC39F1D" w:rsidR="00DE3458" w:rsidRPr="00E14E58" w:rsidRDefault="00DE3458" w:rsidP="00E14E58">
      <w:pPr>
        <w:suppressAutoHyphens/>
        <w:rPr>
          <w:del w:id="63" w:author="AbbVie02no" w:date="2025-05-15T12:36:00Z"/>
          <w:sz w:val="22"/>
          <w:szCs w:val="22"/>
        </w:rPr>
      </w:pPr>
    </w:p>
    <w:p w14:paraId="6D650108" w14:textId="18E0B415" w:rsidR="00DE3458" w:rsidRPr="009C5EFD" w:rsidRDefault="00E453CD" w:rsidP="00776A84">
      <w:pPr>
        <w:keepNext/>
        <w:suppressAutoHyphens/>
        <w:ind w:left="540" w:hanging="540"/>
        <w:rPr>
          <w:del w:id="64" w:author="AbbVie02no" w:date="2025-05-15T12:36:00Z"/>
          <w:sz w:val="22"/>
          <w:szCs w:val="22"/>
        </w:rPr>
      </w:pPr>
      <w:del w:id="65" w:author="AbbVie02no" w:date="2025-05-15T12:36:00Z">
        <w:r w:rsidRPr="009C5EFD">
          <w:rPr>
            <w:b/>
            <w:sz w:val="22"/>
            <w:szCs w:val="22"/>
          </w:rPr>
          <w:delText>4.</w:delText>
        </w:r>
        <w:r w:rsidRPr="009C5EFD">
          <w:rPr>
            <w:b/>
            <w:sz w:val="22"/>
            <w:szCs w:val="22"/>
          </w:rPr>
          <w:tab/>
          <w:delText>KLINISKE OPPLYSNINGER</w:delText>
        </w:r>
      </w:del>
    </w:p>
    <w:p w14:paraId="56E5925B" w14:textId="7F693E9A" w:rsidR="00DE3458" w:rsidRPr="009C5EFD" w:rsidRDefault="00DE3458" w:rsidP="00776A84">
      <w:pPr>
        <w:keepNext/>
        <w:suppressAutoHyphens/>
        <w:rPr>
          <w:del w:id="66" w:author="AbbVie02no" w:date="2025-05-15T12:36:00Z"/>
          <w:sz w:val="22"/>
          <w:szCs w:val="22"/>
        </w:rPr>
      </w:pPr>
    </w:p>
    <w:p w14:paraId="402C900A" w14:textId="4D37BC09" w:rsidR="00DE3458" w:rsidRPr="009C5EFD" w:rsidRDefault="00E453CD" w:rsidP="00776A84">
      <w:pPr>
        <w:keepNext/>
        <w:suppressAutoHyphens/>
        <w:ind w:left="570" w:hanging="570"/>
        <w:rPr>
          <w:del w:id="67" w:author="AbbVie02no" w:date="2025-05-15T12:36:00Z"/>
          <w:sz w:val="22"/>
          <w:szCs w:val="22"/>
        </w:rPr>
      </w:pPr>
      <w:del w:id="68" w:author="AbbVie02no" w:date="2025-05-15T12:36:00Z">
        <w:r w:rsidRPr="009C5EFD">
          <w:rPr>
            <w:b/>
            <w:sz w:val="22"/>
            <w:szCs w:val="22"/>
          </w:rPr>
          <w:delText>4.1</w:delText>
        </w:r>
        <w:r w:rsidRPr="009C5EFD">
          <w:rPr>
            <w:b/>
            <w:sz w:val="22"/>
            <w:szCs w:val="22"/>
          </w:rPr>
          <w:tab/>
          <w:delText>Indikasjoner</w:delText>
        </w:r>
      </w:del>
    </w:p>
    <w:p w14:paraId="089EA774" w14:textId="6E3588EC" w:rsidR="00DE3458" w:rsidRPr="009C5EFD" w:rsidRDefault="00DE3458" w:rsidP="00776A84">
      <w:pPr>
        <w:keepNext/>
        <w:rPr>
          <w:del w:id="69" w:author="AbbVie02no" w:date="2025-05-15T12:36:00Z"/>
          <w:sz w:val="22"/>
          <w:szCs w:val="22"/>
        </w:rPr>
      </w:pPr>
    </w:p>
    <w:p w14:paraId="498ABC1F" w14:textId="2C99359D" w:rsidR="007F37A3" w:rsidRPr="009C5EFD" w:rsidRDefault="00E453CD" w:rsidP="00776A84">
      <w:pPr>
        <w:pStyle w:val="EMEANormal"/>
        <w:keepNext/>
        <w:rPr>
          <w:del w:id="70" w:author="AbbVie02no" w:date="2025-05-15T12:36:00Z"/>
          <w:szCs w:val="22"/>
          <w:u w:val="single"/>
          <w:lang w:val="nb-NO"/>
        </w:rPr>
      </w:pPr>
      <w:del w:id="71" w:author="AbbVie02no" w:date="2025-05-15T12:36:00Z">
        <w:r w:rsidRPr="009C5EFD">
          <w:rPr>
            <w:szCs w:val="22"/>
            <w:u w:val="single"/>
            <w:lang w:val="nb-NO"/>
          </w:rPr>
          <w:delText>Juvenil idiopatisk artritt</w:delText>
        </w:r>
      </w:del>
    </w:p>
    <w:p w14:paraId="6A5FC6D4" w14:textId="0CAA8195" w:rsidR="006005DF" w:rsidRPr="009C5EFD" w:rsidRDefault="006005DF" w:rsidP="00776A84">
      <w:pPr>
        <w:pStyle w:val="EMEANormal"/>
        <w:keepNext/>
        <w:rPr>
          <w:del w:id="72" w:author="AbbVie02no" w:date="2025-05-15T12:36:00Z"/>
          <w:szCs w:val="22"/>
          <w:u w:val="single"/>
          <w:lang w:val="nb-NO"/>
        </w:rPr>
      </w:pPr>
    </w:p>
    <w:p w14:paraId="775B9D7C" w14:textId="3EE3BEE0" w:rsidR="00DE3458" w:rsidRPr="001F5D4B" w:rsidRDefault="00E453CD" w:rsidP="00776A84">
      <w:pPr>
        <w:pStyle w:val="EMEANormal"/>
        <w:keepNext/>
        <w:rPr>
          <w:del w:id="73" w:author="AbbVie02no" w:date="2025-05-15T12:36:00Z"/>
          <w:i/>
          <w:szCs w:val="22"/>
          <w:lang w:val="nb-NO"/>
        </w:rPr>
      </w:pPr>
      <w:del w:id="74" w:author="AbbVie02no" w:date="2025-05-15T12:36:00Z">
        <w:r w:rsidRPr="001F5D4B">
          <w:rPr>
            <w:i/>
            <w:szCs w:val="22"/>
            <w:lang w:val="nb-NO"/>
          </w:rPr>
          <w:delText>Polyartikulær juvenil idiopatisk artritt</w:delText>
        </w:r>
      </w:del>
    </w:p>
    <w:p w14:paraId="10B5A286" w14:textId="421E5D95" w:rsidR="00DE3458" w:rsidRPr="007F67EE" w:rsidRDefault="00DE3458" w:rsidP="00776A84">
      <w:pPr>
        <w:keepNext/>
        <w:rPr>
          <w:del w:id="75" w:author="AbbVie02no" w:date="2025-05-15T12:36:00Z"/>
          <w:sz w:val="22"/>
          <w:szCs w:val="22"/>
        </w:rPr>
      </w:pPr>
    </w:p>
    <w:p w14:paraId="2328A78D" w14:textId="0FAA9EC7" w:rsidR="00DE3458" w:rsidRPr="009C5EFD" w:rsidRDefault="00E453CD" w:rsidP="009C5EFD">
      <w:pPr>
        <w:pStyle w:val="EMEAFigureTitle"/>
        <w:tabs>
          <w:tab w:val="clear" w:pos="562"/>
        </w:tabs>
        <w:suppressAutoHyphens w:val="0"/>
        <w:rPr>
          <w:del w:id="76" w:author="AbbVie02no" w:date="2025-05-15T12:36:00Z"/>
          <w:szCs w:val="22"/>
          <w:lang w:val="nb-NO"/>
        </w:rPr>
      </w:pPr>
      <w:del w:id="77" w:author="AbbVie02no" w:date="2025-05-15T12:36:00Z">
        <w:r w:rsidRPr="00193D76">
          <w:rPr>
            <w:szCs w:val="22"/>
            <w:lang w:val="nb-NO"/>
          </w:rPr>
          <w:delText xml:space="preserve">Humira i kombinasjon med metotreksat er indisert </w:delText>
        </w:r>
        <w:r w:rsidR="00E07D52" w:rsidRPr="00193D76">
          <w:rPr>
            <w:szCs w:val="22"/>
            <w:lang w:val="nb-NO"/>
          </w:rPr>
          <w:delText>til</w:delText>
        </w:r>
        <w:r w:rsidRPr="00193D76">
          <w:rPr>
            <w:szCs w:val="22"/>
            <w:lang w:val="nb-NO"/>
          </w:rPr>
          <w:delText xml:space="preserve"> behandling av aktiv polyartikulær juvenil idiopatisk artritt </w:delText>
        </w:r>
        <w:r w:rsidRPr="002D0790">
          <w:rPr>
            <w:szCs w:val="22"/>
            <w:lang w:val="nb-NO"/>
          </w:rPr>
          <w:delText xml:space="preserve">hos </w:delText>
        </w:r>
        <w:r w:rsidR="006005DF" w:rsidRPr="002D0790">
          <w:rPr>
            <w:szCs w:val="22"/>
            <w:lang w:val="nb-NO"/>
          </w:rPr>
          <w:delText>pasienter</w:delText>
        </w:r>
        <w:r w:rsidRPr="002D0790">
          <w:rPr>
            <w:szCs w:val="22"/>
            <w:lang w:val="nb-NO"/>
          </w:rPr>
          <w:delText xml:space="preserve"> </w:delText>
        </w:r>
        <w:r w:rsidR="0019505A">
          <w:rPr>
            <w:szCs w:val="22"/>
            <w:lang w:val="nb-NO"/>
          </w:rPr>
          <w:delText>over</w:delText>
        </w:r>
        <w:r w:rsidR="00643D47" w:rsidRPr="002D0790">
          <w:rPr>
            <w:szCs w:val="22"/>
            <w:lang w:val="nb-NO"/>
          </w:rPr>
          <w:delText xml:space="preserve"> </w:delText>
        </w:r>
        <w:r w:rsidR="00B67081" w:rsidRPr="002D0790">
          <w:rPr>
            <w:szCs w:val="22"/>
            <w:lang w:val="nb-NO"/>
          </w:rPr>
          <w:delText xml:space="preserve">2 </w:delText>
        </w:r>
        <w:r w:rsidRPr="002D0790">
          <w:rPr>
            <w:szCs w:val="22"/>
            <w:lang w:val="nb-NO"/>
          </w:rPr>
          <w:delText>år</w:delText>
        </w:r>
        <w:r w:rsidR="008632F9" w:rsidRPr="002D0790">
          <w:rPr>
            <w:szCs w:val="22"/>
            <w:lang w:val="nb-NO"/>
          </w:rPr>
          <w:delText>,</w:delText>
        </w:r>
        <w:r w:rsidRPr="002D0790">
          <w:rPr>
            <w:szCs w:val="22"/>
            <w:lang w:val="nb-NO"/>
          </w:rPr>
          <w:delText xml:space="preserve"> som har respondert utilstrekkelig på et eller flere sykdomsmodifiserende antirevmatiske legemidler (DMARDs). Humira kan gis som monoterapi i tilfelle intoleranse mot metotreksat</w:delText>
        </w:r>
        <w:r w:rsidR="008632F9" w:rsidRPr="002D0790">
          <w:rPr>
            <w:szCs w:val="22"/>
            <w:lang w:val="nb-NO"/>
          </w:rPr>
          <w:delText>,</w:delText>
        </w:r>
        <w:r w:rsidRPr="00E14E58">
          <w:rPr>
            <w:szCs w:val="22"/>
            <w:lang w:val="nb-NO"/>
          </w:rPr>
          <w:delText xml:space="preserve"> eller når fortsettelse av behandling med meto</w:delText>
        </w:r>
        <w:r w:rsidRPr="009C5EFD">
          <w:rPr>
            <w:szCs w:val="22"/>
            <w:lang w:val="nb-NO"/>
          </w:rPr>
          <w:delText>treksat ikke er hensiktsmessig (</w:delText>
        </w:r>
        <w:r w:rsidR="004B427F" w:rsidRPr="009C5EFD">
          <w:rPr>
            <w:szCs w:val="22"/>
            <w:lang w:val="nb-NO"/>
          </w:rPr>
          <w:delText>for effekt ved monoterapi</w:delText>
        </w:r>
        <w:r w:rsidR="00500EFD" w:rsidRPr="009C5EFD">
          <w:rPr>
            <w:szCs w:val="22"/>
            <w:lang w:val="nb-NO"/>
          </w:rPr>
          <w:delText>,</w:delText>
        </w:r>
        <w:r w:rsidR="004B427F" w:rsidRPr="009C5EFD">
          <w:rPr>
            <w:szCs w:val="22"/>
            <w:lang w:val="nb-NO"/>
          </w:rPr>
          <w:delText xml:space="preserve"> </w:delText>
        </w:r>
        <w:r w:rsidRPr="009C5EFD">
          <w:rPr>
            <w:szCs w:val="22"/>
            <w:lang w:val="nb-NO"/>
          </w:rPr>
          <w:delText>se pkt. 5.1).</w:delText>
        </w:r>
        <w:r w:rsidR="004B427F" w:rsidRPr="009C5EFD">
          <w:rPr>
            <w:szCs w:val="22"/>
            <w:lang w:val="nb-NO"/>
          </w:rPr>
          <w:delText xml:space="preserve"> Humira er ikke studert hos </w:delText>
        </w:r>
        <w:r w:rsidR="006005DF" w:rsidRPr="009C5EFD">
          <w:rPr>
            <w:szCs w:val="22"/>
            <w:lang w:val="nb-NO"/>
          </w:rPr>
          <w:delText>pasienter</w:delText>
        </w:r>
        <w:r w:rsidR="004B427F" w:rsidRPr="009C5EFD">
          <w:rPr>
            <w:szCs w:val="22"/>
            <w:lang w:val="nb-NO"/>
          </w:rPr>
          <w:delText xml:space="preserve"> </w:delText>
        </w:r>
        <w:r w:rsidR="0019505A">
          <w:rPr>
            <w:szCs w:val="22"/>
            <w:lang w:val="nb-NO"/>
          </w:rPr>
          <w:delText>under</w:delText>
        </w:r>
        <w:r w:rsidR="004B427F" w:rsidRPr="009C5EFD">
          <w:rPr>
            <w:szCs w:val="22"/>
            <w:lang w:val="nb-NO"/>
          </w:rPr>
          <w:delText xml:space="preserve"> </w:delText>
        </w:r>
        <w:r w:rsidR="00B67081" w:rsidRPr="009C5EFD">
          <w:rPr>
            <w:szCs w:val="22"/>
            <w:lang w:val="nb-NO"/>
          </w:rPr>
          <w:delText xml:space="preserve">2 </w:delText>
        </w:r>
        <w:r w:rsidR="004B427F" w:rsidRPr="009C5EFD">
          <w:rPr>
            <w:szCs w:val="22"/>
            <w:lang w:val="nb-NO"/>
          </w:rPr>
          <w:delText>år.</w:delText>
        </w:r>
      </w:del>
    </w:p>
    <w:p w14:paraId="69B0A0E4" w14:textId="1F99F6C9" w:rsidR="006005DF" w:rsidRPr="009C5EFD" w:rsidRDefault="006005DF" w:rsidP="009C5EFD">
      <w:pPr>
        <w:pStyle w:val="EMEANormal"/>
        <w:rPr>
          <w:del w:id="78" w:author="AbbVie02no" w:date="2025-05-15T12:36:00Z"/>
          <w:lang w:val="nb-NO"/>
        </w:rPr>
      </w:pPr>
    </w:p>
    <w:p w14:paraId="38192E69" w14:textId="5C28E97A" w:rsidR="0075420C" w:rsidRPr="007F67EE" w:rsidRDefault="00E453CD" w:rsidP="00776A84">
      <w:pPr>
        <w:pStyle w:val="EMEANormal"/>
        <w:keepNext/>
        <w:rPr>
          <w:del w:id="79" w:author="AbbVie02no" w:date="2025-05-15T12:36:00Z"/>
          <w:u w:val="single"/>
          <w:lang w:val="nb-NO"/>
        </w:rPr>
      </w:pPr>
      <w:del w:id="80" w:author="AbbVie02no" w:date="2025-05-15T12:36:00Z">
        <w:r w:rsidRPr="001F5D4B">
          <w:rPr>
            <w:i/>
            <w:lang w:val="nb-NO"/>
          </w:rPr>
          <w:delText>Entesittrelatert artritt</w:delText>
        </w:r>
      </w:del>
    </w:p>
    <w:p w14:paraId="391634FB" w14:textId="2891CC42" w:rsidR="006005DF" w:rsidRPr="002D0790" w:rsidRDefault="006005DF" w:rsidP="00776A84">
      <w:pPr>
        <w:pStyle w:val="EMEANormal"/>
        <w:keepNext/>
        <w:rPr>
          <w:del w:id="81" w:author="AbbVie02no" w:date="2025-05-15T12:36:00Z"/>
          <w:lang w:val="nb-NO"/>
        </w:rPr>
      </w:pPr>
    </w:p>
    <w:p w14:paraId="23FB5BEC" w14:textId="3BE03E39" w:rsidR="006005DF" w:rsidRPr="009C5EFD" w:rsidRDefault="00E453CD" w:rsidP="009C5EFD">
      <w:pPr>
        <w:pStyle w:val="EMEANormal"/>
        <w:rPr>
          <w:del w:id="82" w:author="AbbVie02no" w:date="2025-05-15T12:36:00Z"/>
          <w:lang w:val="nb-NO"/>
        </w:rPr>
      </w:pPr>
      <w:del w:id="83" w:author="AbbVie02no" w:date="2025-05-15T12:36:00Z">
        <w:r w:rsidRPr="002D0790">
          <w:rPr>
            <w:lang w:val="nb-NO"/>
          </w:rPr>
          <w:delText>Humira er indisert til behandling av aktiv e</w:delText>
        </w:r>
        <w:r w:rsidR="002271CE" w:rsidRPr="00E14E58">
          <w:rPr>
            <w:lang w:val="nb-NO"/>
          </w:rPr>
          <w:delText>ntesitt</w:delText>
        </w:r>
        <w:r w:rsidRPr="009C5EFD">
          <w:rPr>
            <w:lang w:val="nb-NO"/>
          </w:rPr>
          <w:delText>relatert artritt hos pasienter</w:delText>
        </w:r>
        <w:r w:rsidR="002271CE" w:rsidRPr="009C5EFD">
          <w:rPr>
            <w:lang w:val="nb-NO"/>
          </w:rPr>
          <w:delText xml:space="preserve"> </w:delText>
        </w:r>
        <w:r w:rsidR="0019505A">
          <w:rPr>
            <w:lang w:val="nb-NO"/>
          </w:rPr>
          <w:delText>over</w:delText>
        </w:r>
        <w:r w:rsidR="002271CE" w:rsidRPr="009C5EFD">
          <w:rPr>
            <w:lang w:val="nb-NO"/>
          </w:rPr>
          <w:delText xml:space="preserve"> 6 år,</w:delText>
        </w:r>
        <w:r w:rsidRPr="009C5EFD">
          <w:rPr>
            <w:lang w:val="nb-NO"/>
          </w:rPr>
          <w:delText xml:space="preserve"> som har respondert utilstrekkelig på eller som </w:delText>
        </w:r>
        <w:r w:rsidR="002271CE" w:rsidRPr="009C5EFD">
          <w:rPr>
            <w:lang w:val="nb-NO"/>
          </w:rPr>
          <w:delText>er in</w:delText>
        </w:r>
        <w:r w:rsidRPr="009C5EFD">
          <w:rPr>
            <w:lang w:val="nb-NO"/>
          </w:rPr>
          <w:delText>toler</w:delText>
        </w:r>
        <w:r w:rsidR="002271CE" w:rsidRPr="009C5EFD">
          <w:rPr>
            <w:lang w:val="nb-NO"/>
          </w:rPr>
          <w:delText>ante ove</w:delText>
        </w:r>
        <w:r w:rsidR="000E4F32" w:rsidRPr="009C5EFD">
          <w:rPr>
            <w:lang w:val="nb-NO"/>
          </w:rPr>
          <w:delText>r</w:delText>
        </w:r>
        <w:r w:rsidR="002271CE" w:rsidRPr="009C5EFD">
          <w:rPr>
            <w:lang w:val="nb-NO"/>
          </w:rPr>
          <w:delText>for</w:delText>
        </w:r>
        <w:r w:rsidRPr="009C5EFD">
          <w:rPr>
            <w:lang w:val="nb-NO"/>
          </w:rPr>
          <w:delText xml:space="preserve"> konvensjonell </w:delText>
        </w:r>
        <w:r w:rsidR="007A1E0A">
          <w:rPr>
            <w:lang w:val="nb-NO"/>
          </w:rPr>
          <w:delText>behandling</w:delText>
        </w:r>
        <w:r w:rsidRPr="009C5EFD">
          <w:rPr>
            <w:lang w:val="nb-NO"/>
          </w:rPr>
          <w:delText xml:space="preserve"> (se </w:delText>
        </w:r>
        <w:r w:rsidRPr="009C5EFD">
          <w:rPr>
            <w:szCs w:val="22"/>
            <w:lang w:val="nb-NO"/>
          </w:rPr>
          <w:delText>pkt. 5.1).</w:delText>
        </w:r>
      </w:del>
    </w:p>
    <w:p w14:paraId="7D02454C" w14:textId="24BFF364" w:rsidR="0007362E" w:rsidRPr="009C5EFD" w:rsidRDefault="0007362E" w:rsidP="009C5EFD">
      <w:pPr>
        <w:rPr>
          <w:del w:id="84" w:author="AbbVie02no" w:date="2025-05-15T12:36:00Z"/>
          <w:sz w:val="22"/>
          <w:szCs w:val="22"/>
          <w:u w:val="single"/>
        </w:rPr>
      </w:pPr>
    </w:p>
    <w:p w14:paraId="5B296945" w14:textId="6F95DFE4" w:rsidR="0007362E" w:rsidRPr="009C5EFD" w:rsidRDefault="00E453CD" w:rsidP="00776A84">
      <w:pPr>
        <w:keepNext/>
        <w:rPr>
          <w:del w:id="85" w:author="AbbVie02no" w:date="2025-05-15T12:36:00Z"/>
          <w:sz w:val="22"/>
          <w:szCs w:val="22"/>
          <w:u w:val="single"/>
        </w:rPr>
      </w:pPr>
      <w:del w:id="86" w:author="AbbVie02no" w:date="2025-05-15T12:36:00Z">
        <w:r w:rsidRPr="009C5EFD">
          <w:rPr>
            <w:sz w:val="22"/>
            <w:szCs w:val="22"/>
            <w:u w:val="single"/>
          </w:rPr>
          <w:delText>Pediatrisk plakkpsoriasis</w:delText>
        </w:r>
      </w:del>
    </w:p>
    <w:p w14:paraId="5EB87539" w14:textId="63BB2856" w:rsidR="0007362E" w:rsidRPr="009C5EFD" w:rsidRDefault="0007362E" w:rsidP="00776A84">
      <w:pPr>
        <w:keepNext/>
        <w:rPr>
          <w:del w:id="87" w:author="AbbVie02no" w:date="2025-05-15T12:36:00Z"/>
          <w:sz w:val="22"/>
          <w:szCs w:val="22"/>
        </w:rPr>
      </w:pPr>
    </w:p>
    <w:p w14:paraId="657600E5" w14:textId="3BF42CB8" w:rsidR="0007362E" w:rsidRDefault="00E453CD" w:rsidP="009C5EFD">
      <w:pPr>
        <w:rPr>
          <w:del w:id="88" w:author="AbbVie02no" w:date="2025-05-15T12:36:00Z"/>
          <w:sz w:val="22"/>
          <w:szCs w:val="22"/>
        </w:rPr>
      </w:pPr>
      <w:del w:id="89" w:author="AbbVie02no" w:date="2025-05-15T12:36:00Z">
        <w:r w:rsidRPr="009C5EFD">
          <w:rPr>
            <w:sz w:val="22"/>
            <w:szCs w:val="22"/>
          </w:rPr>
          <w:delText xml:space="preserve">Humira er indisert til behandling av alvorlig kronisk plakkpsoriasis hos barn og ungdom </w:delText>
        </w:r>
        <w:r w:rsidR="0019505A">
          <w:rPr>
            <w:sz w:val="22"/>
            <w:szCs w:val="22"/>
          </w:rPr>
          <w:delText>over</w:delText>
        </w:r>
        <w:r w:rsidRPr="009C5EFD">
          <w:rPr>
            <w:sz w:val="22"/>
            <w:szCs w:val="22"/>
          </w:rPr>
          <w:delText xml:space="preserve"> 4 år</w:delText>
        </w:r>
        <w:r w:rsidR="008632F9" w:rsidRPr="009C5EFD">
          <w:rPr>
            <w:sz w:val="22"/>
            <w:szCs w:val="22"/>
          </w:rPr>
          <w:delText>,</w:delText>
        </w:r>
        <w:r w:rsidRPr="009C5EFD">
          <w:rPr>
            <w:sz w:val="22"/>
            <w:szCs w:val="22"/>
          </w:rPr>
          <w:delText xml:space="preserve"> som har respondert util</w:delText>
        </w:r>
        <w:r w:rsidR="009950A2" w:rsidRPr="009C5EFD">
          <w:rPr>
            <w:sz w:val="22"/>
            <w:szCs w:val="22"/>
          </w:rPr>
          <w:delText xml:space="preserve">strekkelig på eller </w:delText>
        </w:r>
        <w:r w:rsidR="00B979C6" w:rsidRPr="009C5EFD">
          <w:rPr>
            <w:sz w:val="22"/>
            <w:szCs w:val="22"/>
          </w:rPr>
          <w:delText xml:space="preserve">som </w:delText>
        </w:r>
        <w:r w:rsidR="009950A2" w:rsidRPr="009C5EFD">
          <w:rPr>
            <w:sz w:val="22"/>
            <w:szCs w:val="22"/>
          </w:rPr>
          <w:delText>er uegne</w:delText>
        </w:r>
        <w:r w:rsidR="00B979C6" w:rsidRPr="009C5EFD">
          <w:rPr>
            <w:sz w:val="22"/>
            <w:szCs w:val="22"/>
          </w:rPr>
          <w:delText>de kandidater</w:delText>
        </w:r>
        <w:r w:rsidRPr="009C5EFD">
          <w:rPr>
            <w:sz w:val="22"/>
            <w:szCs w:val="22"/>
          </w:rPr>
          <w:delText xml:space="preserve"> for topikal behandling og </w:delText>
        </w:r>
        <w:r w:rsidR="00726E6B">
          <w:rPr>
            <w:sz w:val="22"/>
            <w:szCs w:val="22"/>
          </w:rPr>
          <w:delText>lysbehandling</w:delText>
        </w:r>
        <w:r w:rsidRPr="009C5EFD">
          <w:rPr>
            <w:sz w:val="22"/>
            <w:szCs w:val="22"/>
          </w:rPr>
          <w:delText xml:space="preserve">. </w:delText>
        </w:r>
      </w:del>
    </w:p>
    <w:p w14:paraId="7B0D2E53" w14:textId="2164579A" w:rsidR="002312F0" w:rsidRDefault="002312F0" w:rsidP="009C5EFD">
      <w:pPr>
        <w:rPr>
          <w:del w:id="90" w:author="AbbVie02no" w:date="2025-05-15T12:36:00Z"/>
          <w:sz w:val="22"/>
          <w:szCs w:val="22"/>
        </w:rPr>
      </w:pPr>
    </w:p>
    <w:p w14:paraId="43B71DE3" w14:textId="7DCEA234" w:rsidR="002312F0" w:rsidRPr="001424DB" w:rsidRDefault="00E453CD" w:rsidP="002312F0">
      <w:pPr>
        <w:keepNext/>
        <w:rPr>
          <w:del w:id="91" w:author="AbbVie02no" w:date="2025-05-15T12:36:00Z"/>
          <w:sz w:val="22"/>
          <w:szCs w:val="22"/>
          <w:u w:val="single"/>
        </w:rPr>
      </w:pPr>
      <w:del w:id="92" w:author="AbbVie02no" w:date="2025-05-15T12:36:00Z">
        <w:r w:rsidRPr="001424DB">
          <w:rPr>
            <w:sz w:val="22"/>
            <w:szCs w:val="22"/>
            <w:u w:val="single"/>
          </w:rPr>
          <w:delText>Hidradenitis suppurativa (HS) hos ungdom</w:delText>
        </w:r>
      </w:del>
    </w:p>
    <w:p w14:paraId="6302717E" w14:textId="7B3190C9" w:rsidR="002312F0" w:rsidRPr="001424DB" w:rsidRDefault="002312F0" w:rsidP="002312F0">
      <w:pPr>
        <w:keepNext/>
        <w:rPr>
          <w:del w:id="93" w:author="AbbVie02no" w:date="2025-05-15T12:36:00Z"/>
          <w:sz w:val="22"/>
          <w:szCs w:val="22"/>
          <w:u w:val="single"/>
        </w:rPr>
      </w:pPr>
    </w:p>
    <w:p w14:paraId="6FC8DB6B" w14:textId="49A55576" w:rsidR="002312F0" w:rsidRDefault="00E453CD" w:rsidP="002312F0">
      <w:pPr>
        <w:pStyle w:val="EMEANormal"/>
        <w:rPr>
          <w:del w:id="94" w:author="AbbVie02no" w:date="2025-05-15T12:36:00Z"/>
          <w:szCs w:val="22"/>
          <w:lang w:val="nb-NO"/>
        </w:rPr>
      </w:pPr>
      <w:del w:id="95" w:author="AbbVie02no" w:date="2025-05-15T12:36:00Z">
        <w:r w:rsidRPr="00DA6326">
          <w:rPr>
            <w:szCs w:val="22"/>
            <w:lang w:val="nb-NO"/>
          </w:rPr>
          <w:delText xml:space="preserve">Humira er indisert til behandling av aktiv moderat til alvorlig hidrosadenitt (svettekjertelbetennelse) hos </w:delText>
        </w:r>
        <w:r w:rsidRPr="00A1249D">
          <w:rPr>
            <w:szCs w:val="22"/>
            <w:lang w:val="nb-NO"/>
          </w:rPr>
          <w:delText xml:space="preserve">ungdom </w:delText>
        </w:r>
        <w:r>
          <w:rPr>
            <w:szCs w:val="22"/>
            <w:lang w:val="nb-NO"/>
          </w:rPr>
          <w:delText>over</w:delText>
        </w:r>
        <w:r w:rsidRPr="00A1249D">
          <w:rPr>
            <w:szCs w:val="22"/>
            <w:lang w:val="nb-NO"/>
          </w:rPr>
          <w:delText xml:space="preserve"> 12 år, </w:delText>
        </w:r>
        <w:r w:rsidRPr="00DA6326">
          <w:rPr>
            <w:szCs w:val="22"/>
            <w:lang w:val="nb-NO"/>
          </w:rPr>
          <w:delText>som har respondert utilstrekkelig på konvensjonell systemisk behandling av HS</w:delText>
        </w:r>
        <w:r w:rsidRPr="00A1249D">
          <w:rPr>
            <w:szCs w:val="22"/>
            <w:lang w:val="nb-NO"/>
          </w:rPr>
          <w:delText xml:space="preserve"> (se pkt. 5.1 og 5.2)</w:delText>
        </w:r>
        <w:r w:rsidRPr="00DA6326">
          <w:rPr>
            <w:szCs w:val="22"/>
            <w:lang w:val="nb-NO"/>
          </w:rPr>
          <w:delText>.</w:delText>
        </w:r>
      </w:del>
    </w:p>
    <w:p w14:paraId="07968040" w14:textId="66CC698E" w:rsidR="002312F0" w:rsidRPr="009C5EFD" w:rsidRDefault="002312F0" w:rsidP="009C5EFD">
      <w:pPr>
        <w:rPr>
          <w:del w:id="96" w:author="AbbVie02no" w:date="2025-05-15T12:36:00Z"/>
          <w:sz w:val="22"/>
          <w:szCs w:val="22"/>
        </w:rPr>
      </w:pPr>
    </w:p>
    <w:p w14:paraId="33C2CBC7" w14:textId="4AFA56AF" w:rsidR="00D80A81" w:rsidRPr="009C5EFD" w:rsidRDefault="00D80A81" w:rsidP="009C5EFD">
      <w:pPr>
        <w:pStyle w:val="EMEANormal"/>
        <w:rPr>
          <w:del w:id="97" w:author="AbbVie02no" w:date="2025-05-15T12:36:00Z"/>
          <w:lang w:val="nb-NO"/>
        </w:rPr>
      </w:pPr>
    </w:p>
    <w:p w14:paraId="5310516E" w14:textId="205713BB" w:rsidR="00D80A81" w:rsidRPr="009C5EFD" w:rsidRDefault="00E453CD" w:rsidP="00776A84">
      <w:pPr>
        <w:pStyle w:val="EMEANormal"/>
        <w:keepNext/>
        <w:rPr>
          <w:del w:id="98" w:author="AbbVie02no" w:date="2025-05-15T12:36:00Z"/>
          <w:u w:val="single"/>
          <w:lang w:val="nb-NO"/>
        </w:rPr>
      </w:pPr>
      <w:del w:id="99" w:author="AbbVie02no" w:date="2025-05-15T12:36:00Z">
        <w:r w:rsidRPr="009C5EFD">
          <w:rPr>
            <w:u w:val="single"/>
            <w:lang w:val="nb-NO"/>
          </w:rPr>
          <w:lastRenderedPageBreak/>
          <w:delText>Pediatrisk Crohns sykdom</w:delText>
        </w:r>
      </w:del>
    </w:p>
    <w:p w14:paraId="3410D562" w14:textId="479CBFBB" w:rsidR="00D80A81" w:rsidRPr="009C5EFD" w:rsidRDefault="00D80A81" w:rsidP="00776A84">
      <w:pPr>
        <w:pStyle w:val="EMEANormal"/>
        <w:keepNext/>
        <w:rPr>
          <w:del w:id="100" w:author="AbbVie02no" w:date="2025-05-15T12:36:00Z"/>
          <w:u w:val="single"/>
          <w:lang w:val="nb-NO"/>
        </w:rPr>
      </w:pPr>
    </w:p>
    <w:p w14:paraId="04D6E413" w14:textId="7385097B" w:rsidR="00D80A81" w:rsidRDefault="00E453CD" w:rsidP="009C5EFD">
      <w:pPr>
        <w:pStyle w:val="EMEANormal"/>
        <w:rPr>
          <w:del w:id="101" w:author="AbbVie02no" w:date="2025-05-15T12:36:00Z"/>
          <w:szCs w:val="22"/>
          <w:lang w:val="nb-NO"/>
        </w:rPr>
      </w:pPr>
      <w:del w:id="102" w:author="AbbVie02no" w:date="2025-05-15T12:36:00Z">
        <w:r w:rsidRPr="009C5EFD">
          <w:rPr>
            <w:lang w:val="nb-NO"/>
          </w:rPr>
          <w:delText xml:space="preserve">Humira er indisert </w:delText>
        </w:r>
        <w:r w:rsidR="00E07D52" w:rsidRPr="009C5EFD">
          <w:rPr>
            <w:lang w:val="nb-NO"/>
          </w:rPr>
          <w:delText xml:space="preserve">til </w:delText>
        </w:r>
        <w:r w:rsidRPr="009C5EFD">
          <w:rPr>
            <w:lang w:val="nb-NO"/>
          </w:rPr>
          <w:delText xml:space="preserve">behandling av </w:delText>
        </w:r>
        <w:r w:rsidR="001D66D8">
          <w:rPr>
            <w:lang w:val="nb-NO"/>
          </w:rPr>
          <w:delText xml:space="preserve">moderat til </w:delText>
        </w:r>
        <w:r w:rsidRPr="009C5EFD">
          <w:rPr>
            <w:lang w:val="nb-NO"/>
          </w:rPr>
          <w:delText xml:space="preserve">alvorlig aktiv Crohns sykdom hos </w:delText>
        </w:r>
        <w:bookmarkStart w:id="103" w:name="_Hlk53135998"/>
        <w:r w:rsidRPr="009C5EFD">
          <w:rPr>
            <w:lang w:val="nb-NO"/>
          </w:rPr>
          <w:delText>pediatriske pasienter</w:delText>
        </w:r>
        <w:bookmarkEnd w:id="103"/>
        <w:r w:rsidRPr="009C5EFD">
          <w:rPr>
            <w:lang w:val="nb-NO"/>
          </w:rPr>
          <w:delText xml:space="preserve"> (</w:delText>
        </w:r>
        <w:r w:rsidR="0019505A">
          <w:rPr>
            <w:lang w:val="nb-NO"/>
          </w:rPr>
          <w:delText>over</w:delText>
        </w:r>
        <w:r w:rsidRPr="009C5EFD">
          <w:rPr>
            <w:lang w:val="nb-NO"/>
          </w:rPr>
          <w:delText xml:space="preserve"> 6 år)</w:delText>
        </w:r>
        <w:r w:rsidR="008632F9" w:rsidRPr="009C5EFD">
          <w:rPr>
            <w:lang w:val="nb-NO"/>
          </w:rPr>
          <w:delText>,</w:delText>
        </w:r>
        <w:r w:rsidRPr="009C5EFD">
          <w:rPr>
            <w:lang w:val="nb-NO"/>
          </w:rPr>
          <w:delText xml:space="preserve"> som har respondert utilstrekkelig på </w:delText>
        </w:r>
        <w:r w:rsidR="007A1E0A">
          <w:rPr>
            <w:lang w:val="nb-NO"/>
          </w:rPr>
          <w:delText>konvensjonell behandling</w:delText>
        </w:r>
        <w:r w:rsidRPr="009C5EFD">
          <w:rPr>
            <w:lang w:val="nb-NO"/>
          </w:rPr>
          <w:delText xml:space="preserve"> inkludert primær </w:delText>
        </w:r>
        <w:r w:rsidR="003851C1" w:rsidRPr="009C5EFD">
          <w:rPr>
            <w:lang w:val="nb-NO"/>
          </w:rPr>
          <w:delText>er</w:delText>
        </w:r>
        <w:r w:rsidRPr="009C5EFD">
          <w:rPr>
            <w:lang w:val="nb-NO"/>
          </w:rPr>
          <w:delText xml:space="preserve">næringsterapi </w:delText>
        </w:r>
        <w:r w:rsidR="001440C4">
          <w:rPr>
            <w:lang w:val="nb-NO"/>
          </w:rPr>
          <w:delText xml:space="preserve">og </w:delText>
        </w:r>
        <w:r w:rsidRPr="009C5EFD">
          <w:rPr>
            <w:lang w:val="nb-NO"/>
          </w:rPr>
          <w:delText>et korti</w:delText>
        </w:r>
        <w:r w:rsidR="00120E74" w:rsidRPr="009C5EFD">
          <w:rPr>
            <w:lang w:val="nb-NO"/>
          </w:rPr>
          <w:delText>kosteroid og</w:delText>
        </w:r>
        <w:r w:rsidR="001D66D8">
          <w:rPr>
            <w:lang w:val="nb-NO"/>
          </w:rPr>
          <w:delText>/eller</w:delText>
        </w:r>
        <w:r w:rsidR="00120E74" w:rsidRPr="009C5EFD">
          <w:rPr>
            <w:lang w:val="nb-NO"/>
          </w:rPr>
          <w:delText xml:space="preserve"> et immunmodulerende middel</w:delText>
        </w:r>
        <w:r w:rsidRPr="009C5EFD">
          <w:rPr>
            <w:lang w:val="nb-NO"/>
          </w:rPr>
          <w:delText xml:space="preserve">, </w:delText>
        </w:r>
        <w:r w:rsidRPr="009C5EFD">
          <w:rPr>
            <w:szCs w:val="22"/>
            <w:lang w:val="nb-NO"/>
          </w:rPr>
          <w:delText>eller som ikke tolererer eller har kontraindikasjoner mot slike behandlinger.</w:delText>
        </w:r>
      </w:del>
    </w:p>
    <w:p w14:paraId="42F86DB7" w14:textId="51C99B9C" w:rsidR="00BE6CA9" w:rsidRDefault="00BE6CA9" w:rsidP="009C5EFD">
      <w:pPr>
        <w:pStyle w:val="EMEANormal"/>
        <w:rPr>
          <w:del w:id="104" w:author="AbbVie02no" w:date="2025-05-15T12:36:00Z"/>
          <w:szCs w:val="22"/>
          <w:lang w:val="nb-NO"/>
        </w:rPr>
      </w:pPr>
    </w:p>
    <w:p w14:paraId="4F95E3E4" w14:textId="0B433C67" w:rsidR="0015674E" w:rsidRPr="00E04B2A" w:rsidRDefault="00E453CD" w:rsidP="0015674E">
      <w:pPr>
        <w:pStyle w:val="EMEANormal"/>
        <w:rPr>
          <w:del w:id="105" w:author="AbbVie02no" w:date="2025-05-15T12:36:00Z"/>
          <w:szCs w:val="22"/>
          <w:u w:val="single"/>
          <w:lang w:val="nb-NO"/>
        </w:rPr>
      </w:pPr>
      <w:del w:id="106" w:author="AbbVie02no" w:date="2025-05-15T12:36:00Z">
        <w:r w:rsidRPr="00E04B2A">
          <w:rPr>
            <w:szCs w:val="22"/>
            <w:u w:val="single"/>
            <w:lang w:val="nb-NO"/>
          </w:rPr>
          <w:delText>Pediatrisk ulcerøs kolitt</w:delText>
        </w:r>
      </w:del>
    </w:p>
    <w:p w14:paraId="44547692" w14:textId="2D70FF3B" w:rsidR="0015674E" w:rsidRDefault="0015674E" w:rsidP="0015674E">
      <w:pPr>
        <w:rPr>
          <w:del w:id="107" w:author="AbbVie02no" w:date="2025-05-15T12:36:00Z"/>
        </w:rPr>
      </w:pPr>
    </w:p>
    <w:p w14:paraId="7755A996" w14:textId="15BCE11A" w:rsidR="006D19A0" w:rsidRDefault="00E453CD" w:rsidP="00E04B2A">
      <w:pPr>
        <w:pStyle w:val="EMEANormal"/>
        <w:rPr>
          <w:del w:id="108" w:author="AbbVie02no" w:date="2025-05-15T12:36:00Z"/>
          <w:lang w:val="nb-NO"/>
        </w:rPr>
      </w:pPr>
      <w:del w:id="109" w:author="AbbVie02no" w:date="2025-05-15T12:36:00Z">
        <w:r w:rsidRPr="001424DB">
          <w:rPr>
            <w:lang w:val="nb-NO"/>
          </w:rPr>
          <w:delText xml:space="preserve">Humira er indisert til behandling av moderat til alvorlig aktiv ulcerøs kolitt hos </w:delText>
        </w:r>
        <w:r w:rsidRPr="001424DB">
          <w:rPr>
            <w:szCs w:val="22"/>
            <w:lang w:val="nb-NO"/>
          </w:rPr>
          <w:delText>pediatriske pasienter</w:delText>
        </w:r>
        <w:r w:rsidRPr="001424DB">
          <w:rPr>
            <w:lang w:val="nb-NO"/>
          </w:rPr>
          <w:delText xml:space="preserve"> (over 6 år), som har respondert utilstrekkelig på konvensjonell behandling inkludert kortikosteroider og/eller 6-merkaptopurin (6-MP) eller azatioprin (AZA), eller som ikke tolererer eller har medisinske kontraindikasjoner mot slike behandlinger.</w:delText>
        </w:r>
      </w:del>
    </w:p>
    <w:p w14:paraId="2C57C492" w14:textId="0A145B9F" w:rsidR="006D19A0" w:rsidRDefault="006D19A0" w:rsidP="00E04B2A">
      <w:pPr>
        <w:pStyle w:val="EMEANormal"/>
        <w:rPr>
          <w:del w:id="110" w:author="AbbVie02no" w:date="2025-05-15T12:36:00Z"/>
          <w:lang w:val="nb-NO"/>
        </w:rPr>
      </w:pPr>
    </w:p>
    <w:p w14:paraId="3E1CF03A" w14:textId="3736AEDD" w:rsidR="004C2690" w:rsidRPr="00E04B2A" w:rsidRDefault="00E453CD" w:rsidP="00E04B2A">
      <w:pPr>
        <w:pStyle w:val="EMEANormal"/>
        <w:rPr>
          <w:del w:id="111" w:author="AbbVie02no" w:date="2025-05-15T12:36:00Z"/>
          <w:szCs w:val="22"/>
          <w:lang w:val="nb-NO"/>
        </w:rPr>
      </w:pPr>
      <w:del w:id="112" w:author="AbbVie02no" w:date="2025-05-15T12:36:00Z">
        <w:r>
          <w:rPr>
            <w:szCs w:val="22"/>
            <w:u w:val="single"/>
            <w:lang w:val="nb-NO"/>
          </w:rPr>
          <w:delText>Pediatrisk uveitt</w:delText>
        </w:r>
      </w:del>
    </w:p>
    <w:p w14:paraId="7738BD14" w14:textId="47DF189F" w:rsidR="004C2690" w:rsidRDefault="004C2690" w:rsidP="00DB4B30">
      <w:pPr>
        <w:pStyle w:val="EMEANormal"/>
        <w:keepNext/>
        <w:rPr>
          <w:del w:id="113" w:author="AbbVie02no" w:date="2025-05-15T12:36:00Z"/>
          <w:u w:val="single"/>
          <w:lang w:val="nb-NO"/>
        </w:rPr>
      </w:pPr>
    </w:p>
    <w:p w14:paraId="56BAAA91" w14:textId="017FB80A" w:rsidR="004C2690" w:rsidRPr="00CC1513" w:rsidRDefault="00E453CD" w:rsidP="00776A84">
      <w:pPr>
        <w:pStyle w:val="EMEANormal"/>
        <w:rPr>
          <w:del w:id="114" w:author="AbbVie02no" w:date="2025-05-15T12:36:00Z"/>
          <w:lang w:val="nb-NO"/>
        </w:rPr>
      </w:pPr>
      <w:del w:id="115" w:author="AbbVie02no" w:date="2025-05-15T12:36:00Z">
        <w:r>
          <w:rPr>
            <w:lang w:val="nb-NO"/>
          </w:rPr>
          <w:delText xml:space="preserve">Humira er indisert til behandling av pediatrisk kronisk ikke-infeksiøs </w:delText>
        </w:r>
        <w:r w:rsidR="00974950">
          <w:rPr>
            <w:lang w:val="nb-NO"/>
          </w:rPr>
          <w:delText xml:space="preserve">fremre </w:delText>
        </w:r>
        <w:r>
          <w:rPr>
            <w:lang w:val="nb-NO"/>
          </w:rPr>
          <w:delText xml:space="preserve">uveitt hos pasienter </w:delText>
        </w:r>
        <w:r w:rsidR="0019505A">
          <w:rPr>
            <w:lang w:val="nb-NO"/>
          </w:rPr>
          <w:delText>over</w:delText>
        </w:r>
        <w:r>
          <w:rPr>
            <w:lang w:val="nb-NO"/>
          </w:rPr>
          <w:delText xml:space="preserve"> 2 år, som har respondert utilstrekkelig på eller er intolerante </w:delText>
        </w:r>
        <w:r w:rsidR="00974950">
          <w:rPr>
            <w:lang w:val="nb-NO"/>
          </w:rPr>
          <w:delText>overfor</w:delText>
        </w:r>
        <w:r>
          <w:rPr>
            <w:lang w:val="nb-NO"/>
          </w:rPr>
          <w:delText xml:space="preserve"> konvensjonell behandling, eller der konvensjonell behandling ikke er hensiktsmessig.</w:delText>
        </w:r>
      </w:del>
    </w:p>
    <w:p w14:paraId="522E51B8" w14:textId="1BC40857" w:rsidR="00BC5E90" w:rsidRPr="009C5EFD" w:rsidRDefault="00BC5E90" w:rsidP="009C5EFD">
      <w:pPr>
        <w:rPr>
          <w:del w:id="116" w:author="AbbVie02no" w:date="2025-05-15T12:36:00Z"/>
          <w:sz w:val="22"/>
          <w:szCs w:val="22"/>
        </w:rPr>
      </w:pPr>
    </w:p>
    <w:p w14:paraId="5601DFE7" w14:textId="44ABAF68" w:rsidR="00DE3458" w:rsidRPr="009C5EFD" w:rsidRDefault="00E453CD" w:rsidP="00AB7697">
      <w:pPr>
        <w:keepNext/>
        <w:numPr>
          <w:ilvl w:val="1"/>
          <w:numId w:val="133"/>
        </w:numPr>
        <w:rPr>
          <w:del w:id="117" w:author="AbbVie02no" w:date="2025-05-15T12:36:00Z"/>
          <w:b/>
          <w:sz w:val="22"/>
          <w:szCs w:val="22"/>
        </w:rPr>
      </w:pPr>
      <w:del w:id="118" w:author="AbbVie02no" w:date="2025-05-15T12:36:00Z">
        <w:r w:rsidRPr="009C5EFD">
          <w:rPr>
            <w:b/>
            <w:sz w:val="22"/>
            <w:szCs w:val="22"/>
          </w:rPr>
          <w:delText>Dosering og administrasjonsmåte</w:delText>
        </w:r>
      </w:del>
    </w:p>
    <w:p w14:paraId="20F77584" w14:textId="0974F7C2" w:rsidR="00DE3458" w:rsidRPr="009C5EFD" w:rsidRDefault="00DE3458" w:rsidP="001F5D4B">
      <w:pPr>
        <w:pStyle w:val="EndnoteText"/>
        <w:keepNext/>
        <w:widowControl/>
        <w:tabs>
          <w:tab w:val="clear" w:pos="567"/>
        </w:tabs>
        <w:rPr>
          <w:del w:id="119" w:author="AbbVie02no" w:date="2025-05-15T12:36:00Z"/>
          <w:szCs w:val="22"/>
          <w:lang w:val="nb-NO"/>
        </w:rPr>
      </w:pPr>
    </w:p>
    <w:p w14:paraId="5063FF33" w14:textId="10022F9D" w:rsidR="00DE3458" w:rsidRPr="009C5EFD" w:rsidRDefault="00E453CD" w:rsidP="00193D76">
      <w:pPr>
        <w:pStyle w:val="EndnoteText"/>
        <w:tabs>
          <w:tab w:val="clear" w:pos="567"/>
        </w:tabs>
        <w:rPr>
          <w:del w:id="120" w:author="AbbVie02no" w:date="2025-05-15T12:36:00Z"/>
          <w:szCs w:val="22"/>
          <w:lang w:val="nb-NO"/>
        </w:rPr>
      </w:pPr>
      <w:del w:id="121" w:author="AbbVie02no" w:date="2025-05-15T12:36:00Z">
        <w:r w:rsidRPr="009C5EFD">
          <w:rPr>
            <w:szCs w:val="22"/>
            <w:lang w:val="nb-NO"/>
          </w:rPr>
          <w:delText xml:space="preserve">Behandling med Humira bør </w:delText>
        </w:r>
        <w:r w:rsidR="00020B96" w:rsidRPr="009C5EFD">
          <w:rPr>
            <w:szCs w:val="22"/>
            <w:lang w:val="nb-NO"/>
          </w:rPr>
          <w:delText xml:space="preserve">startes opp </w:delText>
        </w:r>
        <w:r w:rsidRPr="009C5EFD">
          <w:rPr>
            <w:szCs w:val="22"/>
            <w:lang w:val="nb-NO"/>
          </w:rPr>
          <w:delText xml:space="preserve">og overvåkes av </w:delText>
        </w:r>
        <w:r w:rsidR="00652FC9" w:rsidRPr="009C5EFD">
          <w:rPr>
            <w:szCs w:val="22"/>
            <w:lang w:val="nb-NO"/>
          </w:rPr>
          <w:delText>spesialist</w:delText>
        </w:r>
        <w:r w:rsidRPr="009C5EFD">
          <w:rPr>
            <w:szCs w:val="22"/>
            <w:lang w:val="nb-NO"/>
          </w:rPr>
          <w:delText>lege med erfaring i diagnosti</w:delText>
        </w:r>
        <w:r w:rsidR="00C708CB" w:rsidRPr="009C5EFD">
          <w:rPr>
            <w:szCs w:val="22"/>
            <w:lang w:val="nb-NO"/>
          </w:rPr>
          <w:delText>kk</w:delText>
        </w:r>
        <w:r w:rsidRPr="009C5EFD">
          <w:rPr>
            <w:szCs w:val="22"/>
            <w:lang w:val="nb-NO"/>
          </w:rPr>
          <w:delText xml:space="preserve"> og behandling av</w:delText>
        </w:r>
        <w:r w:rsidR="0007302C" w:rsidRPr="009C5EFD">
          <w:rPr>
            <w:szCs w:val="22"/>
            <w:lang w:val="nb-NO"/>
          </w:rPr>
          <w:delText xml:space="preserve"> </w:delText>
        </w:r>
        <w:r w:rsidR="002271CE" w:rsidRPr="009C5EFD">
          <w:rPr>
            <w:szCs w:val="22"/>
            <w:lang w:val="nb-NO"/>
          </w:rPr>
          <w:delText xml:space="preserve">sykdom som </w:delText>
        </w:r>
        <w:r w:rsidR="0086175F" w:rsidRPr="009C5EFD">
          <w:rPr>
            <w:szCs w:val="22"/>
            <w:lang w:val="nb-NO"/>
          </w:rPr>
          <w:delText xml:space="preserve">Humira </w:delText>
        </w:r>
        <w:r w:rsidR="002271CE" w:rsidRPr="009C5EFD">
          <w:rPr>
            <w:szCs w:val="22"/>
            <w:lang w:val="nb-NO"/>
          </w:rPr>
          <w:delText>er indisert til</w:delText>
        </w:r>
        <w:r w:rsidRPr="009C5EFD">
          <w:rPr>
            <w:szCs w:val="22"/>
            <w:lang w:val="nb-NO"/>
          </w:rPr>
          <w:delText>.</w:delText>
        </w:r>
        <w:r w:rsidR="00D922ED" w:rsidRPr="009C5EFD">
          <w:rPr>
            <w:szCs w:val="22"/>
            <w:lang w:val="nb-NO"/>
          </w:rPr>
          <w:delText xml:space="preserve"> </w:delText>
        </w:r>
        <w:r w:rsidR="000F7366">
          <w:rPr>
            <w:szCs w:val="22"/>
            <w:lang w:val="nb-NO"/>
          </w:rPr>
          <w:delText>Oftalmologer rådes til å konsultere en passende spesialist før oppstart av behandling med Humira (se pkt.</w:delText>
        </w:r>
        <w:r w:rsidR="00974950">
          <w:rPr>
            <w:szCs w:val="22"/>
            <w:lang w:val="nb-NO"/>
          </w:rPr>
          <w:delText> </w:delText>
        </w:r>
        <w:r w:rsidR="000F7366">
          <w:rPr>
            <w:szCs w:val="22"/>
            <w:lang w:val="nb-NO"/>
          </w:rPr>
          <w:delText xml:space="preserve">4.4). </w:delText>
        </w:r>
        <w:r w:rsidRPr="009C5EFD">
          <w:rPr>
            <w:szCs w:val="22"/>
            <w:lang w:val="nb-NO"/>
          </w:rPr>
          <w:delText xml:space="preserve">Pasienter som behandles med Humira </w:delText>
        </w:r>
        <w:r w:rsidR="00C708CB" w:rsidRPr="009C5EFD">
          <w:rPr>
            <w:szCs w:val="22"/>
            <w:lang w:val="nb-NO"/>
          </w:rPr>
          <w:delText>bør gis</w:delText>
        </w:r>
        <w:r w:rsidRPr="009C5EFD">
          <w:rPr>
            <w:szCs w:val="22"/>
            <w:lang w:val="nb-NO"/>
          </w:rPr>
          <w:delText xml:space="preserve"> et</w:delText>
        </w:r>
        <w:r w:rsidR="00917A6F" w:rsidRPr="009C5EFD">
          <w:rPr>
            <w:szCs w:val="22"/>
            <w:lang w:val="nb-NO"/>
          </w:rPr>
          <w:delText xml:space="preserve"> </w:delText>
        </w:r>
        <w:r w:rsidR="009C3D6B" w:rsidRPr="009C5EFD">
          <w:rPr>
            <w:szCs w:val="22"/>
            <w:lang w:val="nb-NO"/>
          </w:rPr>
          <w:delText>pasient</w:delText>
        </w:r>
        <w:r w:rsidR="00C708CB" w:rsidRPr="009C5EFD">
          <w:rPr>
            <w:szCs w:val="22"/>
            <w:lang w:val="nb-NO"/>
          </w:rPr>
          <w:delText>kort med sikkerhetsinformasjon</w:delText>
        </w:r>
        <w:r w:rsidRPr="009C5EFD">
          <w:rPr>
            <w:szCs w:val="22"/>
            <w:lang w:val="nb-NO"/>
          </w:rPr>
          <w:delText>.</w:delText>
        </w:r>
      </w:del>
    </w:p>
    <w:p w14:paraId="274234D9" w14:textId="3EE94EC9" w:rsidR="00DE3458" w:rsidRPr="009C5EFD" w:rsidRDefault="00DE3458" w:rsidP="002D0790">
      <w:pPr>
        <w:pStyle w:val="EndnoteText"/>
        <w:tabs>
          <w:tab w:val="clear" w:pos="567"/>
        </w:tabs>
        <w:rPr>
          <w:del w:id="122" w:author="AbbVie02no" w:date="2025-05-15T12:36:00Z"/>
          <w:szCs w:val="22"/>
          <w:lang w:val="nb-NO"/>
        </w:rPr>
      </w:pPr>
    </w:p>
    <w:p w14:paraId="31F24332" w14:textId="058A98ED" w:rsidR="00DE3458" w:rsidRDefault="00E453CD" w:rsidP="002D0790">
      <w:pPr>
        <w:rPr>
          <w:del w:id="123" w:author="AbbVie02no" w:date="2025-05-15T12:36:00Z"/>
          <w:sz w:val="22"/>
          <w:szCs w:val="22"/>
        </w:rPr>
      </w:pPr>
      <w:del w:id="124" w:author="AbbVie02no" w:date="2025-05-15T12:36:00Z">
        <w:r w:rsidRPr="009C5EFD">
          <w:rPr>
            <w:sz w:val="22"/>
            <w:szCs w:val="22"/>
          </w:rPr>
          <w:delText xml:space="preserve">Etter opplæring i injeksjonsteknikk kan pasientene selv </w:delText>
        </w:r>
        <w:r w:rsidR="00C708CB" w:rsidRPr="009C5EFD">
          <w:rPr>
            <w:sz w:val="22"/>
            <w:szCs w:val="22"/>
          </w:rPr>
          <w:delText>injisere</w:delText>
        </w:r>
        <w:r w:rsidRPr="009C5EFD">
          <w:rPr>
            <w:sz w:val="22"/>
            <w:szCs w:val="22"/>
          </w:rPr>
          <w:delText xml:space="preserve"> Humira dersom legen mener det er forsvarlig, og med nødvendig medisinsk oppfølging.</w:delText>
        </w:r>
      </w:del>
    </w:p>
    <w:p w14:paraId="3608B140" w14:textId="31195CB1" w:rsidR="00F429E4" w:rsidRDefault="00F429E4" w:rsidP="002D0790">
      <w:pPr>
        <w:rPr>
          <w:del w:id="125" w:author="AbbVie02no" w:date="2025-05-15T12:36:00Z"/>
          <w:sz w:val="22"/>
          <w:szCs w:val="22"/>
        </w:rPr>
      </w:pPr>
    </w:p>
    <w:p w14:paraId="0684C729" w14:textId="45E14E60" w:rsidR="005E4E1D" w:rsidRPr="009C5EFD" w:rsidRDefault="00E453CD" w:rsidP="002D0790">
      <w:pPr>
        <w:rPr>
          <w:del w:id="126" w:author="AbbVie02no" w:date="2025-05-15T12:36:00Z"/>
          <w:sz w:val="22"/>
          <w:szCs w:val="22"/>
        </w:rPr>
      </w:pPr>
      <w:del w:id="127" w:author="AbbVie02no" w:date="2025-05-15T12:36:00Z">
        <w:r w:rsidRPr="009C5EFD">
          <w:rPr>
            <w:sz w:val="22"/>
            <w:szCs w:val="22"/>
          </w:rPr>
          <w:delText>Under behandling med Humira bør annen samtidig terapi (f.eks. kortikosteroider og/eller immunmoduler</w:delText>
        </w:r>
        <w:r>
          <w:rPr>
            <w:sz w:val="22"/>
            <w:szCs w:val="22"/>
          </w:rPr>
          <w:delText>ende midler) være optimalisert.</w:delText>
        </w:r>
      </w:del>
    </w:p>
    <w:p w14:paraId="2ED91A61" w14:textId="6F8889B8" w:rsidR="00BC5E90" w:rsidRPr="009C5EFD" w:rsidRDefault="00BC5E90" w:rsidP="00E14E58">
      <w:pPr>
        <w:rPr>
          <w:del w:id="128" w:author="AbbVie02no" w:date="2025-05-15T12:36:00Z"/>
          <w:sz w:val="22"/>
          <w:szCs w:val="22"/>
          <w:u w:val="single"/>
        </w:rPr>
      </w:pPr>
    </w:p>
    <w:p w14:paraId="59D5D4B4" w14:textId="14E836D5" w:rsidR="0075420C" w:rsidRPr="009C5EFD" w:rsidRDefault="00E453CD" w:rsidP="00776A84">
      <w:pPr>
        <w:keepNext/>
        <w:rPr>
          <w:del w:id="129" w:author="AbbVie02no" w:date="2025-05-15T12:36:00Z"/>
          <w:sz w:val="22"/>
          <w:szCs w:val="22"/>
          <w:u w:val="single"/>
        </w:rPr>
      </w:pPr>
      <w:del w:id="130" w:author="AbbVie02no" w:date="2025-05-15T12:36:00Z">
        <w:r w:rsidRPr="009C5EFD">
          <w:rPr>
            <w:sz w:val="22"/>
            <w:szCs w:val="22"/>
            <w:u w:val="single"/>
          </w:rPr>
          <w:delText>Dosering</w:delText>
        </w:r>
      </w:del>
    </w:p>
    <w:p w14:paraId="7B4DD295" w14:textId="2B8C3896" w:rsidR="0075420C" w:rsidRPr="009C5EFD" w:rsidRDefault="0075420C" w:rsidP="00776A84">
      <w:pPr>
        <w:keepNext/>
        <w:rPr>
          <w:del w:id="131" w:author="AbbVie02no" w:date="2025-05-15T12:36:00Z"/>
          <w:sz w:val="22"/>
          <w:szCs w:val="22"/>
          <w:u w:val="single"/>
        </w:rPr>
      </w:pPr>
    </w:p>
    <w:p w14:paraId="73948C1F" w14:textId="3095700E" w:rsidR="00DE3458" w:rsidRPr="009C5EFD" w:rsidRDefault="00E453CD" w:rsidP="00776A84">
      <w:pPr>
        <w:keepNext/>
        <w:rPr>
          <w:del w:id="132" w:author="AbbVie02no" w:date="2025-05-15T12:36:00Z"/>
          <w:sz w:val="22"/>
          <w:szCs w:val="22"/>
          <w:u w:val="single"/>
        </w:rPr>
      </w:pPr>
      <w:del w:id="133" w:author="AbbVie02no" w:date="2025-05-15T12:36:00Z">
        <w:r w:rsidRPr="009C5EFD">
          <w:rPr>
            <w:sz w:val="22"/>
            <w:szCs w:val="22"/>
            <w:u w:val="single"/>
          </w:rPr>
          <w:delText xml:space="preserve">Pediatrisk populasjon </w:delText>
        </w:r>
      </w:del>
    </w:p>
    <w:p w14:paraId="24D073FB" w14:textId="6FF8A851" w:rsidR="0086175F" w:rsidRPr="009C5EFD" w:rsidRDefault="0086175F" w:rsidP="00776A84">
      <w:pPr>
        <w:keepNext/>
        <w:rPr>
          <w:del w:id="134" w:author="AbbVie02no" w:date="2025-05-15T12:36:00Z"/>
          <w:sz w:val="22"/>
          <w:szCs w:val="22"/>
          <w:u w:val="single"/>
        </w:rPr>
      </w:pPr>
    </w:p>
    <w:p w14:paraId="6BFE1B41" w14:textId="03F63A3D" w:rsidR="0075420C" w:rsidRPr="007F67EE" w:rsidRDefault="00E453CD" w:rsidP="00776A84">
      <w:pPr>
        <w:pStyle w:val="EMEANormal"/>
        <w:keepNext/>
        <w:rPr>
          <w:del w:id="135" w:author="AbbVie02no" w:date="2025-05-15T12:36:00Z"/>
          <w:szCs w:val="22"/>
          <w:u w:val="single"/>
          <w:lang w:val="nb-NO"/>
        </w:rPr>
      </w:pPr>
      <w:del w:id="136" w:author="AbbVie02no" w:date="2025-05-15T12:36:00Z">
        <w:r w:rsidRPr="001F5D4B">
          <w:rPr>
            <w:i/>
            <w:szCs w:val="22"/>
            <w:lang w:val="nb-NO"/>
          </w:rPr>
          <w:delText>Juvenil idiopatisk artritt</w:delText>
        </w:r>
      </w:del>
    </w:p>
    <w:p w14:paraId="0E6879DD" w14:textId="1824E093" w:rsidR="0086175F" w:rsidRPr="00193D76" w:rsidRDefault="0086175F" w:rsidP="00776A84">
      <w:pPr>
        <w:pStyle w:val="EMEANormal"/>
        <w:keepNext/>
        <w:rPr>
          <w:del w:id="137" w:author="AbbVie02no" w:date="2025-05-15T12:36:00Z"/>
          <w:szCs w:val="22"/>
          <w:u w:val="single"/>
          <w:lang w:val="nb-NO"/>
        </w:rPr>
      </w:pPr>
    </w:p>
    <w:p w14:paraId="5917C077" w14:textId="2E743949" w:rsidR="0075420C" w:rsidRPr="001F5D4B" w:rsidRDefault="00E453CD" w:rsidP="00776A84">
      <w:pPr>
        <w:keepNext/>
        <w:rPr>
          <w:del w:id="138" w:author="AbbVie02no" w:date="2025-05-15T12:36:00Z"/>
          <w:sz w:val="22"/>
          <w:szCs w:val="22"/>
          <w:u w:val="single"/>
        </w:rPr>
      </w:pPr>
      <w:del w:id="139" w:author="AbbVie02no" w:date="2025-05-15T12:36:00Z">
        <w:r w:rsidRPr="001F5D4B">
          <w:rPr>
            <w:i/>
            <w:sz w:val="22"/>
            <w:szCs w:val="22"/>
            <w:u w:val="single"/>
          </w:rPr>
          <w:delText>Polyartikulær juvenil idiopa</w:delText>
        </w:r>
        <w:r w:rsidR="009910AE" w:rsidRPr="001F5D4B">
          <w:rPr>
            <w:i/>
            <w:sz w:val="22"/>
            <w:szCs w:val="22"/>
            <w:u w:val="single"/>
          </w:rPr>
          <w:delText xml:space="preserve">tisk artritt </w:delText>
        </w:r>
        <w:r w:rsidR="00023B55">
          <w:rPr>
            <w:i/>
            <w:sz w:val="22"/>
            <w:szCs w:val="22"/>
            <w:u w:val="single"/>
          </w:rPr>
          <w:delText>fra</w:delText>
        </w:r>
        <w:r w:rsidR="009910AE" w:rsidRPr="001F5D4B">
          <w:rPr>
            <w:i/>
            <w:sz w:val="22"/>
            <w:szCs w:val="22"/>
            <w:u w:val="single"/>
          </w:rPr>
          <w:delText xml:space="preserve"> 2 </w:delText>
        </w:r>
        <w:r w:rsidRPr="001F5D4B">
          <w:rPr>
            <w:i/>
            <w:sz w:val="22"/>
            <w:szCs w:val="22"/>
            <w:u w:val="single"/>
          </w:rPr>
          <w:delText>år</w:delText>
        </w:r>
        <w:r w:rsidR="00023B55">
          <w:rPr>
            <w:i/>
            <w:sz w:val="22"/>
            <w:szCs w:val="22"/>
            <w:u w:val="single"/>
          </w:rPr>
          <w:delText>s alder</w:delText>
        </w:r>
      </w:del>
    </w:p>
    <w:p w14:paraId="7F3F835F" w14:textId="3BC675C5" w:rsidR="001F301D" w:rsidRPr="00193D76" w:rsidRDefault="001F301D" w:rsidP="00776A84">
      <w:pPr>
        <w:keepNext/>
        <w:rPr>
          <w:del w:id="140" w:author="AbbVie02no" w:date="2025-05-15T12:36:00Z"/>
          <w:sz w:val="22"/>
          <w:szCs w:val="22"/>
        </w:rPr>
      </w:pPr>
    </w:p>
    <w:p w14:paraId="429FD42A" w14:textId="14E55ACA" w:rsidR="00DE3458" w:rsidRPr="009C5EFD" w:rsidRDefault="00E453CD" w:rsidP="009C5EFD">
      <w:pPr>
        <w:rPr>
          <w:del w:id="141" w:author="AbbVie02no" w:date="2025-05-15T12:36:00Z"/>
          <w:sz w:val="22"/>
          <w:szCs w:val="22"/>
        </w:rPr>
      </w:pPr>
      <w:del w:id="142" w:author="AbbVie02no" w:date="2025-05-15T12:36:00Z">
        <w:r w:rsidRPr="002D0790">
          <w:rPr>
            <w:sz w:val="22"/>
            <w:szCs w:val="22"/>
          </w:rPr>
          <w:delText xml:space="preserve">Anbefalt dose av Humira til pasienter </w:delText>
        </w:r>
        <w:r w:rsidR="0059504C">
          <w:rPr>
            <w:sz w:val="22"/>
            <w:szCs w:val="22"/>
          </w:rPr>
          <w:delText xml:space="preserve">over 2 år </w:delText>
        </w:r>
        <w:r w:rsidRPr="002D0790">
          <w:rPr>
            <w:sz w:val="22"/>
            <w:szCs w:val="22"/>
          </w:rPr>
          <w:delText>med polyartikulær juvenil idiopatisk artritt</w:delText>
        </w:r>
        <w:r w:rsidRPr="009C5EFD">
          <w:rPr>
            <w:sz w:val="22"/>
            <w:szCs w:val="22"/>
          </w:rPr>
          <w:delText xml:space="preserve"> </w:delText>
        </w:r>
        <w:r w:rsidR="00F429E4">
          <w:rPr>
            <w:sz w:val="22"/>
            <w:szCs w:val="22"/>
          </w:rPr>
          <w:delText>er basert på kroppsvekt (</w:delText>
        </w:r>
        <w:r w:rsidR="00D50C8B">
          <w:rPr>
            <w:sz w:val="22"/>
            <w:szCs w:val="22"/>
          </w:rPr>
          <w:delText>t</w:delText>
        </w:r>
        <w:r w:rsidR="00F429E4">
          <w:rPr>
            <w:sz w:val="22"/>
            <w:szCs w:val="22"/>
          </w:rPr>
          <w:delText xml:space="preserve">abell 1). Humira </w:delText>
        </w:r>
        <w:r w:rsidR="00D80391">
          <w:rPr>
            <w:sz w:val="22"/>
            <w:szCs w:val="22"/>
          </w:rPr>
          <w:delText xml:space="preserve">administreres som subkutan injeksjon </w:delText>
        </w:r>
        <w:r w:rsidRPr="009C5EFD">
          <w:rPr>
            <w:sz w:val="22"/>
            <w:szCs w:val="22"/>
          </w:rPr>
          <w:delText>annenhver uke.</w:delText>
        </w:r>
      </w:del>
    </w:p>
    <w:p w14:paraId="089B2474" w14:textId="3DD8A70A" w:rsidR="003851C1" w:rsidRDefault="003851C1" w:rsidP="009C5EFD">
      <w:pPr>
        <w:jc w:val="center"/>
        <w:rPr>
          <w:del w:id="143" w:author="AbbVie02no" w:date="2025-05-15T12:36:00Z"/>
          <w:b/>
          <w:sz w:val="22"/>
          <w:szCs w:val="22"/>
        </w:rPr>
      </w:pPr>
    </w:p>
    <w:p w14:paraId="42D23DC6" w14:textId="7F50A25F" w:rsidR="00F429E4" w:rsidRPr="000624CD" w:rsidRDefault="00E453CD" w:rsidP="00776A84">
      <w:pPr>
        <w:keepNext/>
        <w:jc w:val="center"/>
        <w:rPr>
          <w:del w:id="144" w:author="AbbVie02no" w:date="2025-05-15T12:36:00Z"/>
          <w:sz w:val="22"/>
          <w:szCs w:val="22"/>
        </w:rPr>
      </w:pPr>
      <w:del w:id="145" w:author="AbbVie02no" w:date="2025-05-15T12:36:00Z">
        <w:r w:rsidRPr="00AB7697">
          <w:rPr>
            <w:b/>
            <w:sz w:val="22"/>
            <w:szCs w:val="22"/>
          </w:rPr>
          <w:delText>Tabell 1. Humiradosering for pa</w:delText>
        </w:r>
        <w:r w:rsidR="0059504C">
          <w:rPr>
            <w:b/>
            <w:sz w:val="22"/>
            <w:szCs w:val="22"/>
          </w:rPr>
          <w:delText>si</w:delText>
        </w:r>
        <w:r w:rsidRPr="00AB7697">
          <w:rPr>
            <w:b/>
            <w:sz w:val="22"/>
            <w:szCs w:val="22"/>
          </w:rPr>
          <w:delText>ent</w:delText>
        </w:r>
        <w:r w:rsidR="0059504C">
          <w:rPr>
            <w:b/>
            <w:sz w:val="22"/>
            <w:szCs w:val="22"/>
          </w:rPr>
          <w:delText>er</w:delText>
        </w:r>
        <w:r w:rsidRPr="00AB7697">
          <w:rPr>
            <w:b/>
            <w:sz w:val="22"/>
            <w:szCs w:val="22"/>
          </w:rPr>
          <w:delText xml:space="preserve"> med polyartik</w:delText>
        </w:r>
        <w:r w:rsidR="000624CD">
          <w:rPr>
            <w:b/>
            <w:sz w:val="22"/>
            <w:szCs w:val="22"/>
          </w:rPr>
          <w:delText>ulær juvenil idiopatisk artritt</w:delText>
        </w:r>
      </w:del>
    </w:p>
    <w:p w14:paraId="1698A149" w14:textId="53721118" w:rsidR="00F429E4" w:rsidRPr="00AB7697" w:rsidRDefault="00F429E4" w:rsidP="00776A84">
      <w:pPr>
        <w:keepNext/>
        <w:rPr>
          <w:del w:id="146" w:author="AbbVie02no" w:date="2025-05-15T12:36:00Z"/>
          <w:szCs w:val="22"/>
        </w:rPr>
      </w:pPr>
    </w:p>
    <w:tbl>
      <w:tblPr>
        <w:tblW w:w="6795" w:type="dxa"/>
        <w:jc w:val="center"/>
        <w:tblLayout w:type="fixed"/>
        <w:tblLook w:val="04A0" w:firstRow="1" w:lastRow="0" w:firstColumn="1" w:lastColumn="0" w:noHBand="0" w:noVBand="1"/>
      </w:tblPr>
      <w:tblGrid>
        <w:gridCol w:w="3401"/>
        <w:gridCol w:w="3394"/>
      </w:tblGrid>
      <w:tr w:rsidR="004644D4" w14:paraId="06692907" w14:textId="1815C671" w:rsidTr="00F429E4">
        <w:trPr>
          <w:tblHeader/>
          <w:jc w:val="center"/>
          <w:del w:id="147" w:author="AbbVie02no" w:date="2025-05-15T12:36:00Z"/>
        </w:trPr>
        <w:tc>
          <w:tcPr>
            <w:tcW w:w="3401" w:type="dxa"/>
            <w:tcBorders>
              <w:top w:val="single" w:sz="4" w:space="0" w:color="auto"/>
              <w:left w:val="nil"/>
              <w:bottom w:val="single" w:sz="4" w:space="0" w:color="auto"/>
              <w:right w:val="nil"/>
            </w:tcBorders>
            <w:hideMark/>
          </w:tcPr>
          <w:p w14:paraId="78702484" w14:textId="4C1577C2" w:rsidR="00F429E4" w:rsidRPr="00B42BF5" w:rsidRDefault="00E453CD">
            <w:pPr>
              <w:pStyle w:val="TableLeft"/>
              <w:jc w:val="center"/>
              <w:rPr>
                <w:del w:id="148" w:author="AbbVie02no" w:date="2025-05-15T12:36:00Z"/>
                <w:b/>
                <w:sz w:val="22"/>
                <w:szCs w:val="22"/>
                <w:lang w:val="nb-NO"/>
              </w:rPr>
            </w:pPr>
            <w:del w:id="149" w:author="AbbVie02no" w:date="2025-05-15T12:36:00Z">
              <w:r w:rsidRPr="00B42BF5">
                <w:rPr>
                  <w:b/>
                  <w:sz w:val="22"/>
                  <w:szCs w:val="22"/>
                  <w:lang w:val="nb-NO"/>
                </w:rPr>
                <w:delText>Kroppsvekt</w:delText>
              </w:r>
            </w:del>
          </w:p>
        </w:tc>
        <w:tc>
          <w:tcPr>
            <w:tcW w:w="3394" w:type="dxa"/>
            <w:tcBorders>
              <w:top w:val="single" w:sz="4" w:space="0" w:color="auto"/>
              <w:left w:val="nil"/>
              <w:bottom w:val="single" w:sz="4" w:space="0" w:color="auto"/>
              <w:right w:val="nil"/>
            </w:tcBorders>
            <w:hideMark/>
          </w:tcPr>
          <w:p w14:paraId="0135C23C" w14:textId="10DD626E" w:rsidR="00F429E4" w:rsidRPr="00B42BF5" w:rsidRDefault="00E453CD">
            <w:pPr>
              <w:pStyle w:val="TableLeft"/>
              <w:jc w:val="center"/>
              <w:rPr>
                <w:del w:id="150" w:author="AbbVie02no" w:date="2025-05-15T12:36:00Z"/>
                <w:b/>
                <w:sz w:val="22"/>
                <w:szCs w:val="22"/>
                <w:lang w:val="nb-NO"/>
              </w:rPr>
            </w:pPr>
            <w:del w:id="151" w:author="AbbVie02no" w:date="2025-05-15T12:36:00Z">
              <w:r w:rsidRPr="00B42BF5">
                <w:rPr>
                  <w:b/>
                  <w:sz w:val="22"/>
                  <w:szCs w:val="22"/>
                  <w:lang w:val="nb-NO"/>
                </w:rPr>
                <w:delText>Dosering</w:delText>
              </w:r>
            </w:del>
          </w:p>
        </w:tc>
      </w:tr>
      <w:tr w:rsidR="004644D4" w14:paraId="31836C0C" w14:textId="6590AE27" w:rsidTr="00F429E4">
        <w:trPr>
          <w:tblHeader/>
          <w:jc w:val="center"/>
          <w:del w:id="152" w:author="AbbVie02no" w:date="2025-05-15T12:36:00Z"/>
        </w:trPr>
        <w:tc>
          <w:tcPr>
            <w:tcW w:w="3401" w:type="dxa"/>
            <w:tcBorders>
              <w:top w:val="single" w:sz="4" w:space="0" w:color="auto"/>
              <w:left w:val="nil"/>
              <w:bottom w:val="single" w:sz="4" w:space="0" w:color="auto"/>
              <w:right w:val="nil"/>
            </w:tcBorders>
            <w:hideMark/>
          </w:tcPr>
          <w:p w14:paraId="0B57B1FC" w14:textId="1436DA30" w:rsidR="00F429E4" w:rsidRPr="00B42BF5" w:rsidRDefault="00E453CD">
            <w:pPr>
              <w:pStyle w:val="TableLeft"/>
              <w:jc w:val="center"/>
              <w:rPr>
                <w:del w:id="153" w:author="AbbVie02no" w:date="2025-05-15T12:36:00Z"/>
                <w:b/>
                <w:sz w:val="22"/>
                <w:szCs w:val="22"/>
                <w:lang w:val="nb-NO"/>
              </w:rPr>
            </w:pPr>
            <w:del w:id="154" w:author="AbbVie02no" w:date="2025-05-15T12:36:00Z">
              <w:r w:rsidRPr="00B42BF5">
                <w:rPr>
                  <w:sz w:val="22"/>
                  <w:szCs w:val="22"/>
                  <w:lang w:val="nb-NO"/>
                </w:rPr>
                <w:delText>10 kg til &lt; 30 kg</w:delText>
              </w:r>
            </w:del>
          </w:p>
        </w:tc>
        <w:tc>
          <w:tcPr>
            <w:tcW w:w="3394" w:type="dxa"/>
            <w:tcBorders>
              <w:top w:val="single" w:sz="4" w:space="0" w:color="auto"/>
              <w:left w:val="nil"/>
              <w:bottom w:val="single" w:sz="4" w:space="0" w:color="auto"/>
              <w:right w:val="nil"/>
            </w:tcBorders>
            <w:hideMark/>
          </w:tcPr>
          <w:p w14:paraId="3E53D79D" w14:textId="339B3D70" w:rsidR="00F429E4" w:rsidRPr="00B42BF5" w:rsidRDefault="00E453CD">
            <w:pPr>
              <w:pStyle w:val="TableLeft"/>
              <w:jc w:val="center"/>
              <w:rPr>
                <w:del w:id="155" w:author="AbbVie02no" w:date="2025-05-15T12:36:00Z"/>
                <w:b/>
                <w:sz w:val="22"/>
                <w:szCs w:val="22"/>
                <w:lang w:val="nb-NO"/>
              </w:rPr>
            </w:pPr>
            <w:del w:id="156" w:author="AbbVie02no" w:date="2025-05-15T12:36:00Z">
              <w:r w:rsidRPr="00B42BF5">
                <w:rPr>
                  <w:sz w:val="22"/>
                  <w:szCs w:val="22"/>
                  <w:lang w:val="nb-NO"/>
                </w:rPr>
                <w:delText xml:space="preserve">20 mg </w:delText>
              </w:r>
              <w:r w:rsidR="004F52EA" w:rsidRPr="00B42BF5">
                <w:rPr>
                  <w:sz w:val="22"/>
                  <w:szCs w:val="22"/>
                  <w:lang w:val="nb-NO"/>
                </w:rPr>
                <w:delText>annenhver uke</w:delText>
              </w:r>
            </w:del>
          </w:p>
        </w:tc>
      </w:tr>
      <w:tr w:rsidR="004644D4" w14:paraId="62FE129D" w14:textId="18FDAC16" w:rsidTr="00F429E4">
        <w:trPr>
          <w:tblHeader/>
          <w:jc w:val="center"/>
          <w:del w:id="157" w:author="AbbVie02no" w:date="2025-05-15T12:36:00Z"/>
        </w:trPr>
        <w:tc>
          <w:tcPr>
            <w:tcW w:w="3401" w:type="dxa"/>
            <w:tcBorders>
              <w:top w:val="single" w:sz="4" w:space="0" w:color="auto"/>
              <w:left w:val="nil"/>
              <w:bottom w:val="single" w:sz="4" w:space="0" w:color="auto"/>
              <w:right w:val="nil"/>
            </w:tcBorders>
            <w:hideMark/>
          </w:tcPr>
          <w:p w14:paraId="19D4D563" w14:textId="1BADDFBC" w:rsidR="00F429E4" w:rsidRPr="00B42BF5" w:rsidRDefault="00E453CD">
            <w:pPr>
              <w:pStyle w:val="TableLeft"/>
              <w:jc w:val="center"/>
              <w:rPr>
                <w:del w:id="158" w:author="AbbVie02no" w:date="2025-05-15T12:36:00Z"/>
                <w:b/>
                <w:sz w:val="22"/>
                <w:szCs w:val="22"/>
                <w:lang w:val="nb-NO"/>
              </w:rPr>
            </w:pPr>
            <w:del w:id="159" w:author="AbbVie02no" w:date="2025-05-15T12:36:00Z">
              <w:r w:rsidRPr="00B42BF5">
                <w:rPr>
                  <w:sz w:val="22"/>
                  <w:szCs w:val="22"/>
                  <w:lang w:val="nb-NO"/>
                </w:rPr>
                <w:delText>≥ 30 kg</w:delText>
              </w:r>
            </w:del>
          </w:p>
        </w:tc>
        <w:tc>
          <w:tcPr>
            <w:tcW w:w="3394" w:type="dxa"/>
            <w:tcBorders>
              <w:top w:val="single" w:sz="4" w:space="0" w:color="auto"/>
              <w:left w:val="nil"/>
              <w:bottom w:val="single" w:sz="4" w:space="0" w:color="auto"/>
              <w:right w:val="nil"/>
            </w:tcBorders>
            <w:hideMark/>
          </w:tcPr>
          <w:p w14:paraId="150B0651" w14:textId="68517B8D" w:rsidR="00F429E4" w:rsidRPr="00B42BF5" w:rsidRDefault="00E453CD">
            <w:pPr>
              <w:pStyle w:val="TableLeft"/>
              <w:jc w:val="center"/>
              <w:rPr>
                <w:del w:id="160" w:author="AbbVie02no" w:date="2025-05-15T12:36:00Z"/>
                <w:b/>
                <w:sz w:val="22"/>
                <w:szCs w:val="22"/>
                <w:lang w:val="nb-NO"/>
              </w:rPr>
            </w:pPr>
            <w:del w:id="161" w:author="AbbVie02no" w:date="2025-05-15T12:36:00Z">
              <w:r w:rsidRPr="00B42BF5">
                <w:rPr>
                  <w:sz w:val="22"/>
                  <w:szCs w:val="22"/>
                  <w:lang w:val="nb-NO"/>
                </w:rPr>
                <w:delText xml:space="preserve">40 mg </w:delText>
              </w:r>
              <w:r w:rsidR="004F52EA" w:rsidRPr="00B42BF5">
                <w:rPr>
                  <w:sz w:val="22"/>
                  <w:szCs w:val="22"/>
                  <w:lang w:val="nb-NO"/>
                </w:rPr>
                <w:delText>annenhver uke</w:delText>
              </w:r>
            </w:del>
          </w:p>
        </w:tc>
      </w:tr>
    </w:tbl>
    <w:p w14:paraId="481CEBEC" w14:textId="0EEA0E7D" w:rsidR="00F429E4" w:rsidRPr="009C5EFD" w:rsidRDefault="00E453CD" w:rsidP="009C5EFD">
      <w:pPr>
        <w:jc w:val="center"/>
        <w:rPr>
          <w:del w:id="162" w:author="AbbVie02no" w:date="2025-05-15T12:36:00Z"/>
          <w:b/>
          <w:sz w:val="22"/>
          <w:szCs w:val="22"/>
        </w:rPr>
      </w:pPr>
      <w:del w:id="163" w:author="AbbVie02no" w:date="2025-05-15T12:36:00Z">
        <w:r>
          <w:rPr>
            <w:b/>
            <w:sz w:val="22"/>
            <w:szCs w:val="22"/>
          </w:rPr>
          <w:tab/>
        </w:r>
      </w:del>
    </w:p>
    <w:p w14:paraId="1893A33D" w14:textId="443A8363" w:rsidR="00182639" w:rsidRPr="009C5EFD" w:rsidRDefault="00182639" w:rsidP="00E14E58">
      <w:pPr>
        <w:rPr>
          <w:del w:id="164" w:author="AbbVie02no" w:date="2025-05-15T12:36:00Z"/>
          <w:sz w:val="22"/>
          <w:szCs w:val="22"/>
        </w:rPr>
      </w:pPr>
    </w:p>
    <w:p w14:paraId="72EA2137" w14:textId="30E14DA5" w:rsidR="00C977E5" w:rsidRPr="009C5EFD" w:rsidRDefault="00E453CD" w:rsidP="00C977E5">
      <w:pPr>
        <w:rPr>
          <w:del w:id="165" w:author="AbbVie02no" w:date="2025-05-15T12:36:00Z"/>
          <w:sz w:val="22"/>
          <w:szCs w:val="22"/>
        </w:rPr>
      </w:pPr>
      <w:del w:id="166" w:author="AbbVie02no" w:date="2025-05-15T12:36:00Z">
        <w:r w:rsidRPr="009C5EFD">
          <w:rPr>
            <w:sz w:val="22"/>
            <w:szCs w:val="22"/>
          </w:rPr>
          <w:delText xml:space="preserve">Tilgjengelig data </w:delText>
        </w:r>
        <w:r w:rsidR="0084764A">
          <w:rPr>
            <w:sz w:val="22"/>
            <w:szCs w:val="22"/>
          </w:rPr>
          <w:delText>antyder</w:delText>
        </w:r>
        <w:r w:rsidRPr="009C5EFD">
          <w:rPr>
            <w:sz w:val="22"/>
            <w:szCs w:val="22"/>
          </w:rPr>
          <w:delText xml:space="preserve"> at klinisk respons oppnås vanligvis innen 12 uker. Fortsettelse av behandlingen hos pasienter som ikke responderer innen denne perioden, bør vurderes nøye.</w:delText>
        </w:r>
      </w:del>
    </w:p>
    <w:p w14:paraId="1B0934D1" w14:textId="4E6C7507" w:rsidR="001C4C13" w:rsidRPr="009C5EFD" w:rsidRDefault="001C4C13" w:rsidP="009C5EFD">
      <w:pPr>
        <w:rPr>
          <w:del w:id="167" w:author="AbbVie02no" w:date="2025-05-15T12:36:00Z"/>
          <w:sz w:val="22"/>
          <w:szCs w:val="22"/>
        </w:rPr>
      </w:pPr>
    </w:p>
    <w:p w14:paraId="4B3BF6E3" w14:textId="00E1F60E" w:rsidR="001C4C13" w:rsidRDefault="00E453CD" w:rsidP="009C5EFD">
      <w:pPr>
        <w:rPr>
          <w:del w:id="168" w:author="AbbVie02no" w:date="2025-05-15T12:36:00Z"/>
          <w:sz w:val="22"/>
          <w:szCs w:val="22"/>
        </w:rPr>
      </w:pPr>
      <w:del w:id="169" w:author="AbbVie02no" w:date="2025-05-15T12:36:00Z">
        <w:r w:rsidRPr="009C5EFD">
          <w:rPr>
            <w:sz w:val="22"/>
            <w:szCs w:val="22"/>
          </w:rPr>
          <w:delText xml:space="preserve">Det er </w:delText>
        </w:r>
        <w:r w:rsidR="00C43247" w:rsidRPr="009C5EFD">
          <w:rPr>
            <w:sz w:val="22"/>
            <w:szCs w:val="22"/>
          </w:rPr>
          <w:delText>ikke relevant å bruke</w:delText>
        </w:r>
        <w:r w:rsidRPr="009C5EFD">
          <w:rPr>
            <w:sz w:val="22"/>
            <w:szCs w:val="22"/>
          </w:rPr>
          <w:delText xml:space="preserve"> Humira hos </w:delText>
        </w:r>
        <w:r w:rsidR="0086175F" w:rsidRPr="009C5EFD">
          <w:rPr>
            <w:sz w:val="22"/>
            <w:szCs w:val="22"/>
          </w:rPr>
          <w:delText>pasienter</w:delText>
        </w:r>
        <w:r w:rsidRPr="009C5EFD">
          <w:rPr>
            <w:sz w:val="22"/>
            <w:szCs w:val="22"/>
          </w:rPr>
          <w:delText xml:space="preserve"> </w:delText>
        </w:r>
        <w:r w:rsidR="0019505A">
          <w:rPr>
            <w:sz w:val="22"/>
            <w:szCs w:val="22"/>
          </w:rPr>
          <w:delText>under</w:delText>
        </w:r>
        <w:r w:rsidRPr="009C5EFD">
          <w:rPr>
            <w:sz w:val="22"/>
            <w:szCs w:val="22"/>
          </w:rPr>
          <w:delText xml:space="preserve"> 2 år </w:delText>
        </w:r>
        <w:r w:rsidR="0012450F" w:rsidRPr="009C5EFD">
          <w:rPr>
            <w:sz w:val="22"/>
            <w:szCs w:val="22"/>
          </w:rPr>
          <w:delText>ved denne indikasjonen.</w:delText>
        </w:r>
      </w:del>
    </w:p>
    <w:p w14:paraId="567B4ECF" w14:textId="77A92B3C" w:rsidR="00D80391" w:rsidRDefault="00D80391" w:rsidP="009C5EFD">
      <w:pPr>
        <w:rPr>
          <w:del w:id="170" w:author="AbbVie02no" w:date="2025-05-15T12:36:00Z"/>
          <w:sz w:val="22"/>
          <w:szCs w:val="22"/>
        </w:rPr>
      </w:pPr>
    </w:p>
    <w:p w14:paraId="538B4E10" w14:textId="49D7EE31" w:rsidR="00D80391" w:rsidRPr="009C5EFD" w:rsidRDefault="00E453CD" w:rsidP="009C5EFD">
      <w:pPr>
        <w:rPr>
          <w:del w:id="171" w:author="AbbVie02no" w:date="2025-05-15T12:36:00Z"/>
          <w:sz w:val="22"/>
          <w:szCs w:val="22"/>
        </w:rPr>
      </w:pPr>
      <w:del w:id="172" w:author="AbbVie02no" w:date="2025-05-15T12:36:00Z">
        <w:r>
          <w:rPr>
            <w:sz w:val="22"/>
            <w:szCs w:val="22"/>
          </w:rPr>
          <w:lastRenderedPageBreak/>
          <w:delText>Humira kan være tilgjengelig i andre styrker og/eller formuleringer avhengig av individuelle behandlingsbehov.</w:delText>
        </w:r>
      </w:del>
    </w:p>
    <w:p w14:paraId="223EA71D" w14:textId="7BD9ADA1" w:rsidR="0086175F" w:rsidRPr="009C5EFD" w:rsidRDefault="0086175F" w:rsidP="009C5EFD">
      <w:pPr>
        <w:rPr>
          <w:del w:id="173" w:author="AbbVie02no" w:date="2025-05-15T12:36:00Z"/>
          <w:sz w:val="22"/>
          <w:szCs w:val="22"/>
        </w:rPr>
      </w:pPr>
    </w:p>
    <w:p w14:paraId="589DBB35" w14:textId="01DA580C" w:rsidR="00CF5E62" w:rsidRPr="007F67EE" w:rsidRDefault="00E453CD" w:rsidP="001F5D4B">
      <w:pPr>
        <w:keepNext/>
        <w:rPr>
          <w:del w:id="174" w:author="AbbVie02no" w:date="2025-05-15T12:36:00Z"/>
          <w:sz w:val="22"/>
          <w:szCs w:val="22"/>
          <w:u w:val="single"/>
        </w:rPr>
      </w:pPr>
      <w:del w:id="175" w:author="AbbVie02no" w:date="2025-05-15T12:36:00Z">
        <w:r w:rsidRPr="001F5D4B">
          <w:rPr>
            <w:i/>
            <w:sz w:val="22"/>
            <w:szCs w:val="22"/>
            <w:u w:val="single"/>
          </w:rPr>
          <w:delText>Entesittrelatert artritt</w:delText>
        </w:r>
      </w:del>
    </w:p>
    <w:p w14:paraId="3623B885" w14:textId="307071C4" w:rsidR="0086175F" w:rsidRPr="002D0790" w:rsidRDefault="0086175F" w:rsidP="001F5D4B">
      <w:pPr>
        <w:keepNext/>
        <w:rPr>
          <w:del w:id="176" w:author="AbbVie02no" w:date="2025-05-15T12:36:00Z"/>
          <w:sz w:val="22"/>
          <w:szCs w:val="22"/>
        </w:rPr>
      </w:pPr>
    </w:p>
    <w:p w14:paraId="136A9F1C" w14:textId="0B3C1E6B" w:rsidR="00706EF6" w:rsidRPr="009C5EFD" w:rsidRDefault="00E453CD" w:rsidP="00706EF6">
      <w:pPr>
        <w:rPr>
          <w:del w:id="177" w:author="AbbVie02no" w:date="2025-05-15T12:36:00Z"/>
          <w:sz w:val="22"/>
          <w:szCs w:val="22"/>
        </w:rPr>
      </w:pPr>
      <w:del w:id="178" w:author="AbbVie02no" w:date="2025-05-15T12:36:00Z">
        <w:r w:rsidRPr="002D0790">
          <w:rPr>
            <w:sz w:val="22"/>
            <w:szCs w:val="22"/>
          </w:rPr>
          <w:delText xml:space="preserve">Anbefalt dose av Humira </w:delText>
        </w:r>
        <w:r w:rsidR="002271CE" w:rsidRPr="00E14E58">
          <w:rPr>
            <w:sz w:val="22"/>
            <w:szCs w:val="22"/>
          </w:rPr>
          <w:delText>til</w:delText>
        </w:r>
        <w:r w:rsidRPr="009C5EFD">
          <w:rPr>
            <w:sz w:val="22"/>
            <w:szCs w:val="22"/>
          </w:rPr>
          <w:delText xml:space="preserve"> pasienter med entesittrelatert artritt </w:delText>
        </w:r>
        <w:r w:rsidR="0059504C">
          <w:rPr>
            <w:sz w:val="22"/>
            <w:szCs w:val="22"/>
          </w:rPr>
          <w:delText>over</w:delText>
        </w:r>
        <w:r w:rsidR="002271CE" w:rsidRPr="009C5EFD">
          <w:rPr>
            <w:sz w:val="22"/>
            <w:szCs w:val="22"/>
          </w:rPr>
          <w:delText xml:space="preserve"> </w:delText>
        </w:r>
        <w:r w:rsidRPr="009C5EFD">
          <w:rPr>
            <w:sz w:val="22"/>
            <w:szCs w:val="22"/>
          </w:rPr>
          <w:delText>6 år</w:delText>
        </w:r>
        <w:r>
          <w:rPr>
            <w:sz w:val="22"/>
            <w:szCs w:val="22"/>
          </w:rPr>
          <w:delText xml:space="preserve"> er basert på kroppsvekt (</w:delText>
        </w:r>
        <w:r w:rsidR="00D50C8B">
          <w:rPr>
            <w:sz w:val="22"/>
            <w:szCs w:val="22"/>
          </w:rPr>
          <w:delText>t</w:delText>
        </w:r>
        <w:r>
          <w:rPr>
            <w:sz w:val="22"/>
            <w:szCs w:val="22"/>
          </w:rPr>
          <w:delText>abell 2).</w:delText>
        </w:r>
        <w:r w:rsidRPr="009C5EFD">
          <w:rPr>
            <w:sz w:val="22"/>
            <w:szCs w:val="22"/>
          </w:rPr>
          <w:delText xml:space="preserve"> </w:delText>
        </w:r>
        <w:r>
          <w:rPr>
            <w:sz w:val="22"/>
            <w:szCs w:val="22"/>
          </w:rPr>
          <w:delText xml:space="preserve">Humira </w:delText>
        </w:r>
        <w:r w:rsidR="00784730">
          <w:rPr>
            <w:sz w:val="22"/>
            <w:szCs w:val="22"/>
          </w:rPr>
          <w:delText>administreres som subkutan injeksjon</w:delText>
        </w:r>
        <w:r w:rsidR="008701B2" w:rsidRPr="009C5EFD">
          <w:rPr>
            <w:sz w:val="22"/>
            <w:szCs w:val="22"/>
          </w:rPr>
          <w:delText xml:space="preserve"> annenhver uke.</w:delText>
        </w:r>
      </w:del>
    </w:p>
    <w:p w14:paraId="7C66B203" w14:textId="52066CD2" w:rsidR="00706EF6" w:rsidRDefault="00E453CD" w:rsidP="00776A84">
      <w:pPr>
        <w:rPr>
          <w:del w:id="179" w:author="AbbVie02no" w:date="2025-05-15T12:36:00Z"/>
          <w:sz w:val="22"/>
          <w:szCs w:val="22"/>
        </w:rPr>
      </w:pPr>
      <w:del w:id="180" w:author="AbbVie02no" w:date="2025-05-15T12:36:00Z">
        <w:r w:rsidRPr="009C5EFD">
          <w:rPr>
            <w:sz w:val="22"/>
            <w:szCs w:val="22"/>
          </w:rPr>
          <w:delText xml:space="preserve"> </w:delText>
        </w:r>
      </w:del>
    </w:p>
    <w:p w14:paraId="0AC809D0" w14:textId="3BFFF5F2" w:rsidR="00706EF6" w:rsidRPr="000624CD" w:rsidRDefault="00E453CD" w:rsidP="00AB7697">
      <w:pPr>
        <w:keepNext/>
        <w:jc w:val="center"/>
        <w:rPr>
          <w:del w:id="181" w:author="AbbVie02no" w:date="2025-05-15T12:36:00Z"/>
          <w:sz w:val="22"/>
          <w:szCs w:val="22"/>
        </w:rPr>
      </w:pPr>
      <w:del w:id="182" w:author="AbbVie02no" w:date="2025-05-15T12:36:00Z">
        <w:r w:rsidRPr="00AB7697">
          <w:rPr>
            <w:b/>
            <w:sz w:val="22"/>
            <w:szCs w:val="22"/>
          </w:rPr>
          <w:delText>Tabell 2. Humiradosering for pasienter med</w:delText>
        </w:r>
        <w:r w:rsidRPr="00AB7697">
          <w:rPr>
            <w:sz w:val="22"/>
            <w:szCs w:val="22"/>
          </w:rPr>
          <w:delText xml:space="preserve"> </w:delText>
        </w:r>
        <w:r w:rsidRPr="00AB7697">
          <w:rPr>
            <w:b/>
            <w:sz w:val="22"/>
            <w:szCs w:val="22"/>
          </w:rPr>
          <w:delText>entesittrelatert artritt</w:delText>
        </w:r>
      </w:del>
    </w:p>
    <w:p w14:paraId="372D399E" w14:textId="658B2771" w:rsidR="006B1B0E" w:rsidRPr="00AB7697" w:rsidRDefault="006B1B0E" w:rsidP="00776A84">
      <w:pPr>
        <w:keepNext/>
        <w:rPr>
          <w:del w:id="183" w:author="AbbVie02no" w:date="2025-05-15T12:36:00Z"/>
          <w:szCs w:val="22"/>
        </w:rPr>
      </w:pPr>
    </w:p>
    <w:tbl>
      <w:tblPr>
        <w:tblW w:w="6795" w:type="dxa"/>
        <w:jc w:val="center"/>
        <w:tblLayout w:type="fixed"/>
        <w:tblLook w:val="04A0" w:firstRow="1" w:lastRow="0" w:firstColumn="1" w:lastColumn="0" w:noHBand="0" w:noVBand="1"/>
      </w:tblPr>
      <w:tblGrid>
        <w:gridCol w:w="3401"/>
        <w:gridCol w:w="3394"/>
      </w:tblGrid>
      <w:tr w:rsidR="004644D4" w14:paraId="104EFA32" w14:textId="40417AD4" w:rsidTr="00706EF6">
        <w:trPr>
          <w:tblHeader/>
          <w:jc w:val="center"/>
          <w:del w:id="184" w:author="AbbVie02no" w:date="2025-05-15T12:36:00Z"/>
        </w:trPr>
        <w:tc>
          <w:tcPr>
            <w:tcW w:w="3401" w:type="dxa"/>
            <w:tcBorders>
              <w:top w:val="single" w:sz="4" w:space="0" w:color="auto"/>
              <w:left w:val="nil"/>
              <w:bottom w:val="single" w:sz="4" w:space="0" w:color="auto"/>
              <w:right w:val="nil"/>
            </w:tcBorders>
            <w:hideMark/>
          </w:tcPr>
          <w:p w14:paraId="5D08400F" w14:textId="74AB2AB9" w:rsidR="00706EF6" w:rsidRPr="00B42BF5" w:rsidRDefault="00E453CD">
            <w:pPr>
              <w:pStyle w:val="TableLeft"/>
              <w:jc w:val="center"/>
              <w:rPr>
                <w:del w:id="185" w:author="AbbVie02no" w:date="2025-05-15T12:36:00Z"/>
                <w:b/>
                <w:sz w:val="22"/>
                <w:szCs w:val="22"/>
                <w:lang w:val="nb-NO"/>
              </w:rPr>
            </w:pPr>
            <w:del w:id="186" w:author="AbbVie02no" w:date="2025-05-15T12:36:00Z">
              <w:r w:rsidRPr="00B42BF5">
                <w:rPr>
                  <w:b/>
                  <w:sz w:val="22"/>
                  <w:szCs w:val="22"/>
                  <w:lang w:val="nb-NO"/>
                </w:rPr>
                <w:delText>Kroppsvekt</w:delText>
              </w:r>
            </w:del>
          </w:p>
        </w:tc>
        <w:tc>
          <w:tcPr>
            <w:tcW w:w="3394" w:type="dxa"/>
            <w:tcBorders>
              <w:top w:val="single" w:sz="4" w:space="0" w:color="auto"/>
              <w:left w:val="nil"/>
              <w:bottom w:val="single" w:sz="4" w:space="0" w:color="auto"/>
              <w:right w:val="nil"/>
            </w:tcBorders>
            <w:hideMark/>
          </w:tcPr>
          <w:p w14:paraId="208E5B3D" w14:textId="51C9A811" w:rsidR="00706EF6" w:rsidRPr="00B42BF5" w:rsidRDefault="00E453CD">
            <w:pPr>
              <w:pStyle w:val="TableLeft"/>
              <w:jc w:val="center"/>
              <w:rPr>
                <w:del w:id="187" w:author="AbbVie02no" w:date="2025-05-15T12:36:00Z"/>
                <w:b/>
                <w:sz w:val="22"/>
                <w:szCs w:val="22"/>
                <w:lang w:val="nb-NO"/>
              </w:rPr>
            </w:pPr>
            <w:del w:id="188" w:author="AbbVie02no" w:date="2025-05-15T12:36:00Z">
              <w:r w:rsidRPr="00B42BF5">
                <w:rPr>
                  <w:b/>
                  <w:sz w:val="22"/>
                  <w:szCs w:val="22"/>
                  <w:lang w:val="nb-NO"/>
                </w:rPr>
                <w:delText>Dosering</w:delText>
              </w:r>
            </w:del>
          </w:p>
        </w:tc>
      </w:tr>
      <w:tr w:rsidR="004644D4" w14:paraId="650DD9B4" w14:textId="0DC06FB6" w:rsidTr="00706EF6">
        <w:trPr>
          <w:tblHeader/>
          <w:jc w:val="center"/>
          <w:del w:id="189" w:author="AbbVie02no" w:date="2025-05-15T12:36:00Z"/>
        </w:trPr>
        <w:tc>
          <w:tcPr>
            <w:tcW w:w="3401" w:type="dxa"/>
            <w:tcBorders>
              <w:top w:val="single" w:sz="4" w:space="0" w:color="auto"/>
              <w:left w:val="nil"/>
              <w:bottom w:val="single" w:sz="4" w:space="0" w:color="auto"/>
              <w:right w:val="nil"/>
            </w:tcBorders>
            <w:hideMark/>
          </w:tcPr>
          <w:p w14:paraId="40E10B22" w14:textId="69719D51" w:rsidR="00706EF6" w:rsidRPr="00B42BF5" w:rsidRDefault="00E453CD">
            <w:pPr>
              <w:pStyle w:val="TableLeft"/>
              <w:jc w:val="center"/>
              <w:rPr>
                <w:del w:id="190" w:author="AbbVie02no" w:date="2025-05-15T12:36:00Z"/>
                <w:b/>
                <w:sz w:val="22"/>
                <w:szCs w:val="22"/>
                <w:lang w:val="nb-NO"/>
              </w:rPr>
            </w:pPr>
            <w:del w:id="191" w:author="AbbVie02no" w:date="2025-05-15T12:36:00Z">
              <w:r w:rsidRPr="00B42BF5">
                <w:rPr>
                  <w:sz w:val="22"/>
                  <w:szCs w:val="22"/>
                  <w:lang w:val="nb-NO"/>
                </w:rPr>
                <w:delText>15 kg til &lt; 30 kg</w:delText>
              </w:r>
            </w:del>
          </w:p>
        </w:tc>
        <w:tc>
          <w:tcPr>
            <w:tcW w:w="3394" w:type="dxa"/>
            <w:tcBorders>
              <w:top w:val="single" w:sz="4" w:space="0" w:color="auto"/>
              <w:left w:val="nil"/>
              <w:bottom w:val="single" w:sz="4" w:space="0" w:color="auto"/>
              <w:right w:val="nil"/>
            </w:tcBorders>
            <w:hideMark/>
          </w:tcPr>
          <w:p w14:paraId="1474EF52" w14:textId="78F2980F" w:rsidR="00706EF6" w:rsidRPr="00B42BF5" w:rsidRDefault="00E453CD">
            <w:pPr>
              <w:pStyle w:val="TableLeft"/>
              <w:jc w:val="center"/>
              <w:rPr>
                <w:del w:id="192" w:author="AbbVie02no" w:date="2025-05-15T12:36:00Z"/>
                <w:b/>
                <w:sz w:val="22"/>
                <w:szCs w:val="22"/>
                <w:lang w:val="nb-NO"/>
              </w:rPr>
            </w:pPr>
            <w:del w:id="193" w:author="AbbVie02no" w:date="2025-05-15T12:36:00Z">
              <w:r w:rsidRPr="00B42BF5">
                <w:rPr>
                  <w:sz w:val="22"/>
                  <w:szCs w:val="22"/>
                  <w:lang w:val="nb-NO"/>
                </w:rPr>
                <w:delText>20 mg annenhver uke</w:delText>
              </w:r>
            </w:del>
          </w:p>
        </w:tc>
      </w:tr>
      <w:tr w:rsidR="004644D4" w14:paraId="11C2E67B" w14:textId="746DD9E7" w:rsidTr="00706EF6">
        <w:trPr>
          <w:tblHeader/>
          <w:jc w:val="center"/>
          <w:del w:id="194" w:author="AbbVie02no" w:date="2025-05-15T12:36:00Z"/>
        </w:trPr>
        <w:tc>
          <w:tcPr>
            <w:tcW w:w="3401" w:type="dxa"/>
            <w:tcBorders>
              <w:top w:val="single" w:sz="4" w:space="0" w:color="auto"/>
              <w:left w:val="nil"/>
              <w:bottom w:val="single" w:sz="4" w:space="0" w:color="auto"/>
              <w:right w:val="nil"/>
            </w:tcBorders>
            <w:hideMark/>
          </w:tcPr>
          <w:p w14:paraId="5F65C214" w14:textId="19BCD175" w:rsidR="00706EF6" w:rsidRPr="00B42BF5" w:rsidRDefault="00E453CD">
            <w:pPr>
              <w:pStyle w:val="TableLeft"/>
              <w:jc w:val="center"/>
              <w:rPr>
                <w:del w:id="195" w:author="AbbVie02no" w:date="2025-05-15T12:36:00Z"/>
                <w:b/>
                <w:sz w:val="22"/>
                <w:szCs w:val="22"/>
                <w:lang w:val="nb-NO"/>
              </w:rPr>
            </w:pPr>
            <w:del w:id="196" w:author="AbbVie02no" w:date="2025-05-15T12:36:00Z">
              <w:r w:rsidRPr="00B42BF5">
                <w:rPr>
                  <w:sz w:val="22"/>
                  <w:szCs w:val="22"/>
                  <w:lang w:val="nb-NO"/>
                </w:rPr>
                <w:delText>≥ 30 kg</w:delText>
              </w:r>
            </w:del>
          </w:p>
        </w:tc>
        <w:tc>
          <w:tcPr>
            <w:tcW w:w="3394" w:type="dxa"/>
            <w:tcBorders>
              <w:top w:val="single" w:sz="4" w:space="0" w:color="auto"/>
              <w:left w:val="nil"/>
              <w:bottom w:val="single" w:sz="4" w:space="0" w:color="auto"/>
              <w:right w:val="nil"/>
            </w:tcBorders>
            <w:hideMark/>
          </w:tcPr>
          <w:p w14:paraId="5DD3647D" w14:textId="3734820C" w:rsidR="00706EF6" w:rsidRPr="00B42BF5" w:rsidRDefault="00E453CD">
            <w:pPr>
              <w:pStyle w:val="TableLeft"/>
              <w:jc w:val="center"/>
              <w:rPr>
                <w:del w:id="197" w:author="AbbVie02no" w:date="2025-05-15T12:36:00Z"/>
                <w:b/>
                <w:sz w:val="22"/>
                <w:szCs w:val="22"/>
                <w:lang w:val="nb-NO"/>
              </w:rPr>
            </w:pPr>
            <w:del w:id="198" w:author="AbbVie02no" w:date="2025-05-15T12:36:00Z">
              <w:r w:rsidRPr="00B42BF5">
                <w:rPr>
                  <w:sz w:val="22"/>
                  <w:szCs w:val="22"/>
                  <w:lang w:val="nb-NO"/>
                </w:rPr>
                <w:delText>40 mg annenhver uke</w:delText>
              </w:r>
            </w:del>
          </w:p>
        </w:tc>
      </w:tr>
    </w:tbl>
    <w:p w14:paraId="7D10B2B4" w14:textId="354D6110" w:rsidR="00935E31" w:rsidRPr="009C5EFD" w:rsidRDefault="00935E31" w:rsidP="00776A84">
      <w:pPr>
        <w:rPr>
          <w:del w:id="199" w:author="AbbVie02no" w:date="2025-05-15T12:36:00Z"/>
          <w:sz w:val="22"/>
          <w:szCs w:val="22"/>
        </w:rPr>
      </w:pPr>
    </w:p>
    <w:p w14:paraId="04A4A22C" w14:textId="09E97716" w:rsidR="003851C1" w:rsidRDefault="00E453CD" w:rsidP="007F67EE">
      <w:pPr>
        <w:rPr>
          <w:del w:id="200" w:author="AbbVie02no" w:date="2025-05-15T12:36:00Z"/>
          <w:sz w:val="22"/>
          <w:szCs w:val="22"/>
        </w:rPr>
      </w:pPr>
      <w:del w:id="201" w:author="AbbVie02no" w:date="2025-05-15T12:36:00Z">
        <w:r w:rsidRPr="009C5EFD">
          <w:rPr>
            <w:sz w:val="22"/>
            <w:szCs w:val="22"/>
          </w:rPr>
          <w:delText xml:space="preserve">Humira er ikke </w:delText>
        </w:r>
        <w:r w:rsidR="00632C60">
          <w:rPr>
            <w:sz w:val="22"/>
            <w:szCs w:val="22"/>
          </w:rPr>
          <w:delText>undersøkt</w:delText>
        </w:r>
        <w:r w:rsidRPr="009C5EFD">
          <w:rPr>
            <w:sz w:val="22"/>
            <w:szCs w:val="22"/>
          </w:rPr>
          <w:delText xml:space="preserve"> hos pasienter </w:delText>
        </w:r>
        <w:r w:rsidR="003730C7">
          <w:rPr>
            <w:sz w:val="22"/>
            <w:szCs w:val="22"/>
          </w:rPr>
          <w:delText xml:space="preserve">under 6 år </w:delText>
        </w:r>
        <w:r w:rsidRPr="009C5EFD">
          <w:rPr>
            <w:sz w:val="22"/>
            <w:szCs w:val="22"/>
          </w:rPr>
          <w:delText>med entesittrelatert artritt.</w:delText>
        </w:r>
      </w:del>
    </w:p>
    <w:p w14:paraId="3AEE3259" w14:textId="5C8A4841" w:rsidR="00784730" w:rsidRDefault="00784730" w:rsidP="007F67EE">
      <w:pPr>
        <w:rPr>
          <w:del w:id="202" w:author="AbbVie02no" w:date="2025-05-15T12:36:00Z"/>
          <w:sz w:val="22"/>
          <w:szCs w:val="22"/>
        </w:rPr>
      </w:pPr>
    </w:p>
    <w:p w14:paraId="5F0E5B4B" w14:textId="45AB28F9" w:rsidR="00784730" w:rsidRPr="009C5EFD" w:rsidRDefault="00E453CD" w:rsidP="007F67EE">
      <w:pPr>
        <w:rPr>
          <w:del w:id="203" w:author="AbbVie02no" w:date="2025-05-15T12:36:00Z"/>
          <w:sz w:val="22"/>
          <w:szCs w:val="22"/>
        </w:rPr>
      </w:pPr>
      <w:del w:id="204" w:author="AbbVie02no" w:date="2025-05-15T12:36:00Z">
        <w:r>
          <w:rPr>
            <w:sz w:val="22"/>
            <w:szCs w:val="22"/>
          </w:rPr>
          <w:delText>Humira kan være tilgjengelig i andre styrker og/eller formuleringer avhengig av individuelle behandlingsbehov.</w:delText>
        </w:r>
      </w:del>
    </w:p>
    <w:p w14:paraId="44D139B7" w14:textId="524FC541" w:rsidR="00AC4B4B" w:rsidRPr="009C5EFD" w:rsidRDefault="00AC4B4B" w:rsidP="00193D76">
      <w:pPr>
        <w:rPr>
          <w:del w:id="205" w:author="AbbVie02no" w:date="2025-05-15T12:36:00Z"/>
          <w:sz w:val="22"/>
          <w:szCs w:val="22"/>
        </w:rPr>
      </w:pPr>
    </w:p>
    <w:p w14:paraId="29A009C8" w14:textId="4B544CE2" w:rsidR="00AC4B4B" w:rsidRPr="007F67EE" w:rsidRDefault="00E453CD" w:rsidP="002D0790">
      <w:pPr>
        <w:keepNext/>
        <w:rPr>
          <w:del w:id="206" w:author="AbbVie02no" w:date="2025-05-15T12:36:00Z"/>
          <w:sz w:val="22"/>
          <w:szCs w:val="22"/>
          <w:u w:val="single"/>
        </w:rPr>
      </w:pPr>
      <w:del w:id="207" w:author="AbbVie02no" w:date="2025-05-15T12:36:00Z">
        <w:r w:rsidRPr="001F5D4B">
          <w:rPr>
            <w:i/>
            <w:sz w:val="22"/>
            <w:szCs w:val="22"/>
          </w:rPr>
          <w:delText>Pediatrisk plakkpsoriasis</w:delText>
        </w:r>
      </w:del>
    </w:p>
    <w:p w14:paraId="7BA4117F" w14:textId="7C165A62" w:rsidR="00AC4B4B" w:rsidRPr="00193D76" w:rsidRDefault="00AC4B4B" w:rsidP="002D0790">
      <w:pPr>
        <w:keepNext/>
        <w:rPr>
          <w:del w:id="208" w:author="AbbVie02no" w:date="2025-05-15T12:36:00Z"/>
          <w:sz w:val="22"/>
          <w:szCs w:val="22"/>
        </w:rPr>
      </w:pPr>
    </w:p>
    <w:p w14:paraId="60403F27" w14:textId="2DF5BB60" w:rsidR="006B6A53" w:rsidRDefault="00E453CD" w:rsidP="006B6A53">
      <w:pPr>
        <w:rPr>
          <w:del w:id="209" w:author="AbbVie02no" w:date="2025-05-15T12:36:00Z"/>
          <w:sz w:val="22"/>
          <w:szCs w:val="22"/>
        </w:rPr>
      </w:pPr>
      <w:del w:id="210" w:author="AbbVie02no" w:date="2025-05-15T12:36:00Z">
        <w:r>
          <w:rPr>
            <w:sz w:val="22"/>
          </w:rPr>
          <w:delText>Den anbefalte Humiradoseringen for pasienter fra 4 til 17 år med plakkpsoriasis er basert på kroppsvekt (</w:delText>
        </w:r>
        <w:r w:rsidR="00D50C8B">
          <w:rPr>
            <w:sz w:val="22"/>
          </w:rPr>
          <w:delText>t</w:delText>
        </w:r>
        <w:r>
          <w:rPr>
            <w:sz w:val="22"/>
          </w:rPr>
          <w:delText xml:space="preserve">abell 3). </w:delText>
        </w:r>
        <w:r>
          <w:rPr>
            <w:sz w:val="22"/>
            <w:szCs w:val="22"/>
          </w:rPr>
          <w:delText xml:space="preserve">Humira administreres </w:delText>
        </w:r>
        <w:r w:rsidR="00784730">
          <w:rPr>
            <w:sz w:val="22"/>
            <w:szCs w:val="22"/>
          </w:rPr>
          <w:delText xml:space="preserve">som </w:delText>
        </w:r>
        <w:r>
          <w:rPr>
            <w:sz w:val="22"/>
            <w:szCs w:val="22"/>
          </w:rPr>
          <w:delText>subkutan</w:delText>
        </w:r>
        <w:r w:rsidR="00784730">
          <w:rPr>
            <w:sz w:val="22"/>
            <w:szCs w:val="22"/>
          </w:rPr>
          <w:delText xml:space="preserve"> injeksjon</w:delText>
        </w:r>
        <w:r>
          <w:rPr>
            <w:sz w:val="22"/>
            <w:szCs w:val="22"/>
          </w:rPr>
          <w:delText>.</w:delText>
        </w:r>
      </w:del>
    </w:p>
    <w:p w14:paraId="1BC3AB7D" w14:textId="4722293E" w:rsidR="006B6A53" w:rsidRDefault="006B6A53" w:rsidP="006B6A53">
      <w:pPr>
        <w:jc w:val="center"/>
        <w:rPr>
          <w:del w:id="211" w:author="AbbVie02no" w:date="2025-05-15T12:36:00Z"/>
          <w:b/>
          <w:szCs w:val="22"/>
        </w:rPr>
      </w:pPr>
    </w:p>
    <w:p w14:paraId="3C96989A" w14:textId="6364542A" w:rsidR="006B6A53" w:rsidRPr="00AB7697" w:rsidRDefault="00E453CD" w:rsidP="00776A84">
      <w:pPr>
        <w:keepNext/>
        <w:jc w:val="center"/>
        <w:rPr>
          <w:del w:id="212" w:author="AbbVie02no" w:date="2025-05-15T12:36:00Z"/>
          <w:b/>
          <w:sz w:val="22"/>
          <w:szCs w:val="22"/>
        </w:rPr>
      </w:pPr>
      <w:del w:id="213" w:author="AbbVie02no" w:date="2025-05-15T12:36:00Z">
        <w:r w:rsidRPr="00AB7697">
          <w:rPr>
            <w:b/>
            <w:sz w:val="22"/>
            <w:szCs w:val="22"/>
          </w:rPr>
          <w:delText>Tabell 3. Humiradosering for pediatriske pasienter med plakkpsoriasis</w:delText>
        </w:r>
      </w:del>
    </w:p>
    <w:p w14:paraId="78691CA4" w14:textId="1AFDB77C" w:rsidR="006B6A53" w:rsidRPr="00536B95" w:rsidRDefault="006B6A53" w:rsidP="00776A84">
      <w:pPr>
        <w:keepNext/>
        <w:rPr>
          <w:del w:id="214" w:author="AbbVie02no" w:date="2025-05-15T12:36:00Z"/>
          <w:szCs w:val="22"/>
        </w:rPr>
      </w:pPr>
    </w:p>
    <w:tbl>
      <w:tblPr>
        <w:tblW w:w="6795" w:type="dxa"/>
        <w:jc w:val="center"/>
        <w:tblLayout w:type="fixed"/>
        <w:tblLook w:val="04A0" w:firstRow="1" w:lastRow="0" w:firstColumn="1" w:lastColumn="0" w:noHBand="0" w:noVBand="1"/>
      </w:tblPr>
      <w:tblGrid>
        <w:gridCol w:w="3401"/>
        <w:gridCol w:w="3394"/>
      </w:tblGrid>
      <w:tr w:rsidR="004644D4" w14:paraId="540CC7DD" w14:textId="37100B30" w:rsidTr="009100B0">
        <w:trPr>
          <w:tblHeader/>
          <w:jc w:val="center"/>
          <w:del w:id="215" w:author="AbbVie02no" w:date="2025-05-15T12:36:00Z"/>
        </w:trPr>
        <w:tc>
          <w:tcPr>
            <w:tcW w:w="3401" w:type="dxa"/>
            <w:tcBorders>
              <w:top w:val="single" w:sz="4" w:space="0" w:color="auto"/>
              <w:left w:val="nil"/>
              <w:bottom w:val="single" w:sz="4" w:space="0" w:color="auto"/>
              <w:right w:val="nil"/>
            </w:tcBorders>
            <w:hideMark/>
          </w:tcPr>
          <w:p w14:paraId="737CB177" w14:textId="284C3183" w:rsidR="006B6A53" w:rsidRPr="00B42BF5" w:rsidRDefault="00E453CD" w:rsidP="009100B0">
            <w:pPr>
              <w:pStyle w:val="TableLeft"/>
              <w:jc w:val="center"/>
              <w:rPr>
                <w:del w:id="216" w:author="AbbVie02no" w:date="2025-05-15T12:36:00Z"/>
                <w:b/>
                <w:sz w:val="22"/>
                <w:szCs w:val="22"/>
                <w:lang w:val="nb-NO"/>
              </w:rPr>
            </w:pPr>
            <w:del w:id="217" w:author="AbbVie02no" w:date="2025-05-15T12:36:00Z">
              <w:r w:rsidRPr="00B42BF5">
                <w:rPr>
                  <w:b/>
                  <w:sz w:val="22"/>
                  <w:szCs w:val="22"/>
                  <w:lang w:val="nb-NO"/>
                </w:rPr>
                <w:delText>Kroppsvekt</w:delText>
              </w:r>
            </w:del>
          </w:p>
        </w:tc>
        <w:tc>
          <w:tcPr>
            <w:tcW w:w="3394" w:type="dxa"/>
            <w:tcBorders>
              <w:top w:val="single" w:sz="4" w:space="0" w:color="auto"/>
              <w:left w:val="nil"/>
              <w:bottom w:val="single" w:sz="4" w:space="0" w:color="auto"/>
              <w:right w:val="nil"/>
            </w:tcBorders>
            <w:hideMark/>
          </w:tcPr>
          <w:p w14:paraId="11B12608" w14:textId="38B5F1F5" w:rsidR="006B6A53" w:rsidRPr="00B42BF5" w:rsidRDefault="00E453CD" w:rsidP="009100B0">
            <w:pPr>
              <w:pStyle w:val="TableLeft"/>
              <w:jc w:val="center"/>
              <w:rPr>
                <w:del w:id="218" w:author="AbbVie02no" w:date="2025-05-15T12:36:00Z"/>
                <w:b/>
                <w:sz w:val="22"/>
                <w:szCs w:val="22"/>
                <w:lang w:val="nb-NO"/>
              </w:rPr>
            </w:pPr>
            <w:del w:id="219" w:author="AbbVie02no" w:date="2025-05-15T12:36:00Z">
              <w:r w:rsidRPr="00B42BF5">
                <w:rPr>
                  <w:b/>
                  <w:sz w:val="22"/>
                  <w:szCs w:val="22"/>
                  <w:lang w:val="nb-NO"/>
                </w:rPr>
                <w:delText>Dosering</w:delText>
              </w:r>
            </w:del>
          </w:p>
        </w:tc>
      </w:tr>
      <w:tr w:rsidR="004644D4" w14:paraId="05A0C63D" w14:textId="0EAE8BE2" w:rsidTr="009100B0">
        <w:trPr>
          <w:tblHeader/>
          <w:jc w:val="center"/>
          <w:del w:id="220" w:author="AbbVie02no" w:date="2025-05-15T12:36:00Z"/>
        </w:trPr>
        <w:tc>
          <w:tcPr>
            <w:tcW w:w="3401" w:type="dxa"/>
            <w:tcBorders>
              <w:top w:val="single" w:sz="4" w:space="0" w:color="auto"/>
              <w:left w:val="nil"/>
              <w:bottom w:val="single" w:sz="4" w:space="0" w:color="auto"/>
              <w:right w:val="nil"/>
            </w:tcBorders>
            <w:hideMark/>
          </w:tcPr>
          <w:p w14:paraId="095C43A7" w14:textId="312F74B2" w:rsidR="006B6A53" w:rsidRPr="00B42BF5" w:rsidRDefault="00E453CD" w:rsidP="009100B0">
            <w:pPr>
              <w:pStyle w:val="TableLeft"/>
              <w:jc w:val="center"/>
              <w:rPr>
                <w:del w:id="221" w:author="AbbVie02no" w:date="2025-05-15T12:36:00Z"/>
                <w:b/>
                <w:sz w:val="22"/>
                <w:szCs w:val="22"/>
                <w:lang w:val="nb-NO"/>
              </w:rPr>
            </w:pPr>
            <w:del w:id="222" w:author="AbbVie02no" w:date="2025-05-15T12:36:00Z">
              <w:r w:rsidRPr="00B42BF5">
                <w:rPr>
                  <w:sz w:val="22"/>
                  <w:szCs w:val="22"/>
                  <w:lang w:val="nb-NO"/>
                </w:rPr>
                <w:delText>15 kg til &lt; 30 kg</w:delText>
              </w:r>
            </w:del>
          </w:p>
        </w:tc>
        <w:tc>
          <w:tcPr>
            <w:tcW w:w="3394" w:type="dxa"/>
            <w:tcBorders>
              <w:top w:val="single" w:sz="4" w:space="0" w:color="auto"/>
              <w:left w:val="nil"/>
              <w:bottom w:val="single" w:sz="4" w:space="0" w:color="auto"/>
              <w:right w:val="nil"/>
            </w:tcBorders>
            <w:hideMark/>
          </w:tcPr>
          <w:p w14:paraId="339C1365" w14:textId="628B2245" w:rsidR="006B6A53" w:rsidRPr="00BA33D6" w:rsidRDefault="00E453CD" w:rsidP="009100B0">
            <w:pPr>
              <w:pStyle w:val="TableLeft"/>
              <w:jc w:val="center"/>
              <w:rPr>
                <w:del w:id="223" w:author="AbbVie02no" w:date="2025-05-15T12:36:00Z"/>
                <w:b/>
                <w:sz w:val="22"/>
                <w:szCs w:val="22"/>
                <w:lang w:val="nb-NO"/>
              </w:rPr>
            </w:pPr>
            <w:del w:id="224" w:author="AbbVie02no" w:date="2025-05-15T12:36:00Z">
              <w:r w:rsidRPr="00BA33D6">
                <w:rPr>
                  <w:sz w:val="22"/>
                  <w:szCs w:val="22"/>
                  <w:lang w:val="nb-NO"/>
                </w:rPr>
                <w:delText>Startdose på 20 mg, etterfulgt av 20 mg gitt annenhver uke</w:delText>
              </w:r>
              <w:r>
                <w:rPr>
                  <w:sz w:val="22"/>
                  <w:szCs w:val="22"/>
                  <w:lang w:val="nb-NO"/>
                </w:rPr>
                <w:delText xml:space="preserve"> fra én uke etter startdosen</w:delText>
              </w:r>
            </w:del>
          </w:p>
        </w:tc>
      </w:tr>
      <w:tr w:rsidR="004644D4" w14:paraId="039D6DFB" w14:textId="15046313" w:rsidTr="009100B0">
        <w:trPr>
          <w:tblHeader/>
          <w:jc w:val="center"/>
          <w:del w:id="225" w:author="AbbVie02no" w:date="2025-05-15T12:36:00Z"/>
        </w:trPr>
        <w:tc>
          <w:tcPr>
            <w:tcW w:w="3401" w:type="dxa"/>
            <w:tcBorders>
              <w:top w:val="single" w:sz="4" w:space="0" w:color="auto"/>
              <w:left w:val="nil"/>
              <w:bottom w:val="single" w:sz="4" w:space="0" w:color="auto"/>
              <w:right w:val="nil"/>
            </w:tcBorders>
            <w:hideMark/>
          </w:tcPr>
          <w:p w14:paraId="03E1BCA6" w14:textId="7E18459B" w:rsidR="006B6A53" w:rsidRPr="00BA33D6" w:rsidRDefault="00E453CD" w:rsidP="009100B0">
            <w:pPr>
              <w:pStyle w:val="TableLeft"/>
              <w:jc w:val="center"/>
              <w:rPr>
                <w:del w:id="226" w:author="AbbVie02no" w:date="2025-05-15T12:36:00Z"/>
                <w:b/>
                <w:sz w:val="22"/>
                <w:szCs w:val="22"/>
                <w:lang w:val="nb-NO"/>
              </w:rPr>
            </w:pPr>
            <w:del w:id="227" w:author="AbbVie02no" w:date="2025-05-15T12:36:00Z">
              <w:r w:rsidRPr="00BA33D6">
                <w:rPr>
                  <w:sz w:val="22"/>
                  <w:szCs w:val="22"/>
                  <w:lang w:val="nb-NO"/>
                </w:rPr>
                <w:delText>≥ 30 kg</w:delText>
              </w:r>
            </w:del>
          </w:p>
        </w:tc>
        <w:tc>
          <w:tcPr>
            <w:tcW w:w="3394" w:type="dxa"/>
            <w:tcBorders>
              <w:top w:val="single" w:sz="4" w:space="0" w:color="auto"/>
              <w:left w:val="nil"/>
              <w:bottom w:val="single" w:sz="4" w:space="0" w:color="auto"/>
              <w:right w:val="nil"/>
            </w:tcBorders>
            <w:hideMark/>
          </w:tcPr>
          <w:p w14:paraId="060EDF69" w14:textId="5A3742A4" w:rsidR="006B6A53" w:rsidRPr="00BA33D6" w:rsidRDefault="00E453CD" w:rsidP="009100B0">
            <w:pPr>
              <w:pStyle w:val="TableLeft"/>
              <w:jc w:val="center"/>
              <w:rPr>
                <w:del w:id="228" w:author="AbbVie02no" w:date="2025-05-15T12:36:00Z"/>
                <w:b/>
                <w:sz w:val="22"/>
                <w:szCs w:val="22"/>
                <w:lang w:val="nb-NO"/>
              </w:rPr>
            </w:pPr>
            <w:del w:id="229" w:author="AbbVie02no" w:date="2025-05-15T12:36:00Z">
              <w:r w:rsidRPr="00536B95">
                <w:rPr>
                  <w:sz w:val="22"/>
                  <w:szCs w:val="22"/>
                  <w:lang w:val="nb-NO"/>
                </w:rPr>
                <w:delText>S</w:delText>
              </w:r>
              <w:r>
                <w:rPr>
                  <w:sz w:val="22"/>
                  <w:szCs w:val="22"/>
                  <w:lang w:val="nb-NO"/>
                </w:rPr>
                <w:delText>tartdose på 40 mg, etterfulgt av 4</w:delText>
              </w:r>
              <w:r w:rsidRPr="00536B95">
                <w:rPr>
                  <w:sz w:val="22"/>
                  <w:szCs w:val="22"/>
                  <w:lang w:val="nb-NO"/>
                </w:rPr>
                <w:delText xml:space="preserve">0 mg gitt annenhver uke fra </w:delText>
              </w:r>
              <w:r>
                <w:rPr>
                  <w:sz w:val="22"/>
                  <w:szCs w:val="22"/>
                  <w:lang w:val="nb-NO"/>
                </w:rPr>
                <w:delText>én uke etter startdosen</w:delText>
              </w:r>
            </w:del>
          </w:p>
        </w:tc>
      </w:tr>
    </w:tbl>
    <w:p w14:paraId="4990D774" w14:textId="64598D0B" w:rsidR="006B6A53" w:rsidRDefault="006B6A53" w:rsidP="00776A84">
      <w:pPr>
        <w:rPr>
          <w:del w:id="230" w:author="AbbVie02no" w:date="2025-05-15T12:36:00Z"/>
          <w:sz w:val="22"/>
          <w:szCs w:val="22"/>
        </w:rPr>
      </w:pPr>
    </w:p>
    <w:p w14:paraId="54A6497E" w14:textId="692B88BC" w:rsidR="00AE1F9F" w:rsidRPr="009C5EFD" w:rsidRDefault="00E453CD" w:rsidP="00776A84">
      <w:pPr>
        <w:rPr>
          <w:del w:id="231" w:author="AbbVie02no" w:date="2025-05-15T12:36:00Z"/>
          <w:sz w:val="22"/>
          <w:szCs w:val="22"/>
        </w:rPr>
      </w:pPr>
      <w:del w:id="232" w:author="AbbVie02no" w:date="2025-05-15T12:36:00Z">
        <w:r w:rsidRPr="009C5EFD">
          <w:rPr>
            <w:sz w:val="22"/>
            <w:szCs w:val="22"/>
          </w:rPr>
          <w:delText>Fortsettelse av behandlingen hos pasienter som ikke responderer innen</w:delText>
        </w:r>
        <w:r w:rsidR="00500EFD" w:rsidRPr="009C5EFD">
          <w:rPr>
            <w:sz w:val="22"/>
            <w:szCs w:val="22"/>
          </w:rPr>
          <w:delText xml:space="preserve"> 16 uker</w:delText>
        </w:r>
        <w:r w:rsidRPr="009C5EFD">
          <w:rPr>
            <w:sz w:val="22"/>
            <w:szCs w:val="22"/>
          </w:rPr>
          <w:delText>, bør vurderes nøye.</w:delText>
        </w:r>
      </w:del>
    </w:p>
    <w:p w14:paraId="0A5E4423" w14:textId="462980A5" w:rsidR="00AC4B4B" w:rsidRPr="009C5EFD" w:rsidRDefault="00AC4B4B" w:rsidP="009C5EFD">
      <w:pPr>
        <w:rPr>
          <w:del w:id="233" w:author="AbbVie02no" w:date="2025-05-15T12:36:00Z"/>
          <w:sz w:val="22"/>
          <w:szCs w:val="22"/>
        </w:rPr>
      </w:pPr>
    </w:p>
    <w:p w14:paraId="5D68B2A1" w14:textId="43B90859" w:rsidR="00AC4B4B" w:rsidRPr="009C5EFD" w:rsidRDefault="00E453CD" w:rsidP="009C5EFD">
      <w:pPr>
        <w:rPr>
          <w:del w:id="234" w:author="AbbVie02no" w:date="2025-05-15T12:36:00Z"/>
          <w:sz w:val="22"/>
          <w:szCs w:val="22"/>
        </w:rPr>
      </w:pPr>
      <w:del w:id="235" w:author="AbbVie02no" w:date="2025-05-15T12:36:00Z">
        <w:r w:rsidRPr="009C5EFD">
          <w:rPr>
            <w:sz w:val="22"/>
            <w:szCs w:val="22"/>
          </w:rPr>
          <w:delText>Hvis re-behandling er indisert, bør doseringsanbefalinger overfor følges.</w:delText>
        </w:r>
      </w:del>
    </w:p>
    <w:p w14:paraId="1499A202" w14:textId="2C821C5E" w:rsidR="00AC4B4B" w:rsidRPr="009C5EFD" w:rsidRDefault="00AC4B4B" w:rsidP="009C5EFD">
      <w:pPr>
        <w:rPr>
          <w:del w:id="236" w:author="AbbVie02no" w:date="2025-05-15T12:36:00Z"/>
          <w:sz w:val="22"/>
          <w:szCs w:val="22"/>
        </w:rPr>
      </w:pPr>
    </w:p>
    <w:p w14:paraId="64E8E032" w14:textId="7CF2DB48" w:rsidR="00AC4B4B" w:rsidRPr="009C5EFD" w:rsidRDefault="00E453CD" w:rsidP="009C5EFD">
      <w:pPr>
        <w:rPr>
          <w:del w:id="237" w:author="AbbVie02no" w:date="2025-05-15T12:36:00Z"/>
          <w:sz w:val="22"/>
          <w:szCs w:val="22"/>
        </w:rPr>
      </w:pPr>
      <w:del w:id="238" w:author="AbbVie02no" w:date="2025-05-15T12:36:00Z">
        <w:r w:rsidRPr="009C5EFD">
          <w:rPr>
            <w:sz w:val="22"/>
            <w:szCs w:val="22"/>
          </w:rPr>
          <w:delText xml:space="preserve">Sikkerhet ved bruk av Humira hos pediatriske pasienter med plakkpsoriasis er undersøkt i </w:delText>
        </w:r>
        <w:r w:rsidR="00382D64" w:rsidRPr="009C5EFD">
          <w:rPr>
            <w:sz w:val="22"/>
            <w:szCs w:val="22"/>
          </w:rPr>
          <w:delText>gjennomsnittlig 13 måneder</w:delText>
        </w:r>
        <w:r w:rsidRPr="009C5EFD">
          <w:rPr>
            <w:sz w:val="22"/>
            <w:szCs w:val="22"/>
          </w:rPr>
          <w:delText>.</w:delText>
        </w:r>
      </w:del>
    </w:p>
    <w:p w14:paraId="54EDC437" w14:textId="0BD34881" w:rsidR="00AC4B4B" w:rsidRPr="009C5EFD" w:rsidRDefault="00AC4B4B" w:rsidP="009C5EFD">
      <w:pPr>
        <w:rPr>
          <w:del w:id="239" w:author="AbbVie02no" w:date="2025-05-15T12:36:00Z"/>
          <w:sz w:val="22"/>
          <w:szCs w:val="22"/>
        </w:rPr>
      </w:pPr>
    </w:p>
    <w:p w14:paraId="408D5AF5" w14:textId="7D8F9D2F" w:rsidR="00AC4B4B" w:rsidRDefault="00E453CD" w:rsidP="009C5EFD">
      <w:pPr>
        <w:rPr>
          <w:del w:id="240" w:author="AbbVie02no" w:date="2025-05-15T12:36:00Z"/>
          <w:sz w:val="22"/>
          <w:szCs w:val="22"/>
        </w:rPr>
      </w:pPr>
      <w:del w:id="241" w:author="AbbVie02no" w:date="2025-05-15T12:36:00Z">
        <w:r w:rsidRPr="009C5EFD">
          <w:rPr>
            <w:sz w:val="22"/>
            <w:szCs w:val="22"/>
          </w:rPr>
          <w:delText xml:space="preserve">Det er ikke relevant å bruke Humira hos barn </w:delText>
        </w:r>
        <w:r w:rsidR="0019505A">
          <w:rPr>
            <w:sz w:val="22"/>
            <w:szCs w:val="22"/>
          </w:rPr>
          <w:delText>under</w:delText>
        </w:r>
        <w:r w:rsidRPr="009C5EFD">
          <w:rPr>
            <w:sz w:val="22"/>
            <w:szCs w:val="22"/>
          </w:rPr>
          <w:delText xml:space="preserve"> 4 år ved denne indikasjonen.</w:delText>
        </w:r>
      </w:del>
    </w:p>
    <w:p w14:paraId="09E72ED7" w14:textId="098E1FF8" w:rsidR="00784730" w:rsidRDefault="00784730" w:rsidP="009C5EFD">
      <w:pPr>
        <w:rPr>
          <w:del w:id="242" w:author="AbbVie02no" w:date="2025-05-15T12:36:00Z"/>
          <w:sz w:val="22"/>
          <w:szCs w:val="22"/>
        </w:rPr>
      </w:pPr>
    </w:p>
    <w:p w14:paraId="04FCACAD" w14:textId="723F4A6E" w:rsidR="00784730" w:rsidRPr="009C5EFD" w:rsidRDefault="00E453CD" w:rsidP="009C5EFD">
      <w:pPr>
        <w:rPr>
          <w:del w:id="243" w:author="AbbVie02no" w:date="2025-05-15T12:36:00Z"/>
          <w:sz w:val="22"/>
          <w:szCs w:val="22"/>
        </w:rPr>
      </w:pPr>
      <w:del w:id="244" w:author="AbbVie02no" w:date="2025-05-15T12:36:00Z">
        <w:r>
          <w:rPr>
            <w:sz w:val="22"/>
            <w:szCs w:val="22"/>
          </w:rPr>
          <w:delText>Humira kan være tilgjengelig i andre styrker og/eller formuleringer avhengig av individuelle behandlingsbehov.</w:delText>
        </w:r>
      </w:del>
    </w:p>
    <w:p w14:paraId="6C790FA8" w14:textId="01176283" w:rsidR="00AC4B4B" w:rsidRPr="009C5EFD" w:rsidRDefault="00AC4B4B" w:rsidP="007F67EE">
      <w:pPr>
        <w:rPr>
          <w:del w:id="245" w:author="AbbVie02no" w:date="2025-05-15T12:36:00Z"/>
          <w:sz w:val="22"/>
          <w:szCs w:val="22"/>
          <w:u w:val="single"/>
        </w:rPr>
      </w:pPr>
    </w:p>
    <w:p w14:paraId="7B5AA3AD" w14:textId="502931A7" w:rsidR="00BE6CA9" w:rsidRPr="009C5EFD" w:rsidRDefault="00E453CD" w:rsidP="00776A84">
      <w:pPr>
        <w:keepNext/>
        <w:rPr>
          <w:del w:id="246" w:author="AbbVie02no" w:date="2025-05-15T12:36:00Z"/>
          <w:i/>
          <w:sz w:val="22"/>
          <w:szCs w:val="22"/>
        </w:rPr>
      </w:pPr>
      <w:del w:id="247" w:author="AbbVie02no" w:date="2025-05-15T12:36:00Z">
        <w:r w:rsidRPr="009C5EFD">
          <w:rPr>
            <w:i/>
            <w:sz w:val="22"/>
            <w:szCs w:val="22"/>
          </w:rPr>
          <w:delText>Hidrosadenitt</w:delText>
        </w:r>
        <w:r>
          <w:rPr>
            <w:i/>
            <w:sz w:val="22"/>
            <w:szCs w:val="22"/>
          </w:rPr>
          <w:delText xml:space="preserve"> hos ungdom (</w:delText>
        </w:r>
        <w:r w:rsidR="0019505A">
          <w:rPr>
            <w:i/>
            <w:sz w:val="22"/>
            <w:szCs w:val="22"/>
          </w:rPr>
          <w:delText>over</w:delText>
        </w:r>
        <w:r>
          <w:rPr>
            <w:i/>
            <w:sz w:val="22"/>
            <w:szCs w:val="22"/>
          </w:rPr>
          <w:delText xml:space="preserve"> 12 år, </w:delText>
        </w:r>
        <w:r w:rsidR="00762B27">
          <w:rPr>
            <w:i/>
            <w:sz w:val="22"/>
            <w:szCs w:val="22"/>
          </w:rPr>
          <w:delText>kroppsvekt på minst 30 kg)</w:delText>
        </w:r>
      </w:del>
    </w:p>
    <w:p w14:paraId="5F462998" w14:textId="5762A2B7" w:rsidR="00BE6CA9" w:rsidRPr="009C5EFD" w:rsidRDefault="00BE6CA9" w:rsidP="00776A84">
      <w:pPr>
        <w:keepNext/>
        <w:rPr>
          <w:del w:id="248" w:author="AbbVie02no" w:date="2025-05-15T12:36:00Z"/>
          <w:sz w:val="22"/>
          <w:szCs w:val="22"/>
        </w:rPr>
      </w:pPr>
    </w:p>
    <w:p w14:paraId="21B68EE7" w14:textId="42CA31B0" w:rsidR="00650F22" w:rsidRDefault="00E453CD" w:rsidP="00BE6CA9">
      <w:pPr>
        <w:rPr>
          <w:del w:id="249" w:author="AbbVie02no" w:date="2025-05-15T12:36:00Z"/>
          <w:sz w:val="22"/>
          <w:szCs w:val="22"/>
        </w:rPr>
      </w:pPr>
      <w:del w:id="250" w:author="AbbVie02no" w:date="2025-05-15T12:36:00Z">
        <w:r>
          <w:rPr>
            <w:sz w:val="22"/>
            <w:szCs w:val="22"/>
          </w:rPr>
          <w:delText xml:space="preserve">Det finnes ingen kliniske studier med Humira hos ungdom med HS. </w:delText>
        </w:r>
      </w:del>
    </w:p>
    <w:p w14:paraId="7394EFDC" w14:textId="61E11204" w:rsidR="00650F22" w:rsidRDefault="00650F22" w:rsidP="00BE6CA9">
      <w:pPr>
        <w:rPr>
          <w:del w:id="251" w:author="AbbVie02no" w:date="2025-05-15T12:36:00Z"/>
          <w:sz w:val="22"/>
          <w:szCs w:val="22"/>
        </w:rPr>
      </w:pPr>
    </w:p>
    <w:p w14:paraId="33C2B0C0" w14:textId="603ED5B8" w:rsidR="00762B27" w:rsidRDefault="00E453CD" w:rsidP="00BE6CA9">
      <w:pPr>
        <w:rPr>
          <w:del w:id="252" w:author="AbbVie02no" w:date="2025-05-15T12:36:00Z"/>
          <w:sz w:val="22"/>
          <w:szCs w:val="22"/>
        </w:rPr>
      </w:pPr>
      <w:del w:id="253" w:author="AbbVie02no" w:date="2025-05-15T12:36:00Z">
        <w:r>
          <w:rPr>
            <w:sz w:val="22"/>
            <w:szCs w:val="22"/>
          </w:rPr>
          <w:delText>Doseringen av Humira hos disse pasientene har blitt bestemt fra farmakokinetisk modellering og simulering (se pkt. 5.2).</w:delText>
        </w:r>
      </w:del>
    </w:p>
    <w:p w14:paraId="4F0389E5" w14:textId="6599D3E6" w:rsidR="00762B27" w:rsidRDefault="00762B27" w:rsidP="00BE6CA9">
      <w:pPr>
        <w:rPr>
          <w:del w:id="254" w:author="AbbVie02no" w:date="2025-05-15T12:36:00Z"/>
          <w:sz w:val="22"/>
          <w:szCs w:val="22"/>
        </w:rPr>
      </w:pPr>
    </w:p>
    <w:p w14:paraId="55CDEF5B" w14:textId="14E59541" w:rsidR="00762B27" w:rsidRDefault="00E453CD" w:rsidP="00BE6CA9">
      <w:pPr>
        <w:rPr>
          <w:del w:id="255" w:author="AbbVie02no" w:date="2025-05-15T12:36:00Z"/>
          <w:sz w:val="22"/>
          <w:szCs w:val="22"/>
        </w:rPr>
      </w:pPr>
      <w:del w:id="256" w:author="AbbVie02no" w:date="2025-05-15T12:36:00Z">
        <w:r w:rsidRPr="009C5EFD">
          <w:rPr>
            <w:sz w:val="22"/>
            <w:szCs w:val="22"/>
          </w:rPr>
          <w:delText xml:space="preserve">Anbefalt dosering </w:delText>
        </w:r>
        <w:r>
          <w:rPr>
            <w:sz w:val="22"/>
            <w:szCs w:val="22"/>
          </w:rPr>
          <w:delText>av</w:delText>
        </w:r>
        <w:r w:rsidRPr="009C5EFD">
          <w:rPr>
            <w:sz w:val="22"/>
            <w:szCs w:val="22"/>
          </w:rPr>
          <w:delText xml:space="preserve"> Humira </w:delText>
        </w:r>
        <w:r>
          <w:rPr>
            <w:sz w:val="22"/>
            <w:szCs w:val="22"/>
          </w:rPr>
          <w:delText>er 80 mg ved uke 0, etterfulgt av 40 mg annenhver uke fra uke 1 via subkutan injeksjon.</w:delText>
        </w:r>
      </w:del>
    </w:p>
    <w:p w14:paraId="586455BE" w14:textId="469B9B28" w:rsidR="00762B27" w:rsidRDefault="00762B27" w:rsidP="00BE6CA9">
      <w:pPr>
        <w:rPr>
          <w:del w:id="257" w:author="AbbVie02no" w:date="2025-05-15T12:36:00Z"/>
          <w:sz w:val="22"/>
          <w:szCs w:val="22"/>
        </w:rPr>
      </w:pPr>
    </w:p>
    <w:p w14:paraId="1C3A3224" w14:textId="55A2B7FA" w:rsidR="00762B27" w:rsidRDefault="00E453CD" w:rsidP="00BE6CA9">
      <w:pPr>
        <w:rPr>
          <w:del w:id="258" w:author="AbbVie02no" w:date="2025-05-15T12:36:00Z"/>
          <w:sz w:val="22"/>
          <w:szCs w:val="22"/>
        </w:rPr>
      </w:pPr>
      <w:del w:id="259" w:author="AbbVie02no" w:date="2025-05-15T12:36:00Z">
        <w:r>
          <w:rPr>
            <w:sz w:val="22"/>
            <w:szCs w:val="22"/>
          </w:rPr>
          <w:delText>Hos ungdom med utilstrekkelig respons</w:delText>
        </w:r>
        <w:r w:rsidR="0022267E">
          <w:rPr>
            <w:sz w:val="22"/>
            <w:szCs w:val="22"/>
          </w:rPr>
          <w:delText xml:space="preserve"> på Humira 40 mg annenhver uke, kan en økning i dosering til 40 mg hver uke </w:delText>
        </w:r>
        <w:r w:rsidR="00784730">
          <w:rPr>
            <w:sz w:val="22"/>
            <w:szCs w:val="22"/>
          </w:rPr>
          <w:delText xml:space="preserve">eller 80 mg annenhver uke </w:delText>
        </w:r>
        <w:r w:rsidR="0022267E">
          <w:rPr>
            <w:sz w:val="22"/>
            <w:szCs w:val="22"/>
          </w:rPr>
          <w:delText>vurderes.</w:delText>
        </w:r>
      </w:del>
    </w:p>
    <w:p w14:paraId="7FA259EE" w14:textId="5E78CF41" w:rsidR="00762B27" w:rsidRDefault="00762B27" w:rsidP="00BE6CA9">
      <w:pPr>
        <w:rPr>
          <w:del w:id="260" w:author="AbbVie02no" w:date="2025-05-15T12:36:00Z"/>
          <w:sz w:val="22"/>
          <w:szCs w:val="22"/>
        </w:rPr>
      </w:pPr>
    </w:p>
    <w:p w14:paraId="1260EAE9" w14:textId="3AABF462" w:rsidR="00BE6CA9" w:rsidRPr="009C5EFD" w:rsidRDefault="00E453CD" w:rsidP="00BE6CA9">
      <w:pPr>
        <w:rPr>
          <w:del w:id="261" w:author="AbbVie02no" w:date="2025-05-15T12:36:00Z"/>
          <w:sz w:val="22"/>
          <w:szCs w:val="22"/>
        </w:rPr>
      </w:pPr>
      <w:del w:id="262" w:author="AbbVie02no" w:date="2025-05-15T12:36:00Z">
        <w:r w:rsidRPr="009C5EFD">
          <w:rPr>
            <w:sz w:val="22"/>
            <w:szCs w:val="22"/>
          </w:rPr>
          <w:delText>Behandling med antibiotika kan fortsette under behandling med Humira om nødvendig. Det anbefales at pasienten bruke</w:delText>
        </w:r>
        <w:r>
          <w:rPr>
            <w:sz w:val="22"/>
            <w:szCs w:val="22"/>
          </w:rPr>
          <w:delText>r</w:delText>
        </w:r>
        <w:r w:rsidRPr="009C5EFD">
          <w:rPr>
            <w:sz w:val="22"/>
            <w:szCs w:val="22"/>
          </w:rPr>
          <w:delText xml:space="preserve"> en topikal antiseptisk vask på sine HS sår daglig under behandling med Humira.</w:delText>
        </w:r>
      </w:del>
    </w:p>
    <w:p w14:paraId="2B20B268" w14:textId="71CB280B" w:rsidR="00BE6CA9" w:rsidRPr="009C5EFD" w:rsidRDefault="00BE6CA9" w:rsidP="00BE6CA9">
      <w:pPr>
        <w:rPr>
          <w:del w:id="263" w:author="AbbVie02no" w:date="2025-05-15T12:36:00Z"/>
          <w:sz w:val="22"/>
          <w:szCs w:val="22"/>
        </w:rPr>
      </w:pPr>
    </w:p>
    <w:p w14:paraId="2068F761" w14:textId="2884AA07" w:rsidR="0022267E" w:rsidRDefault="00E453CD" w:rsidP="00BE6CA9">
      <w:pPr>
        <w:rPr>
          <w:del w:id="264" w:author="AbbVie02no" w:date="2025-05-15T12:36:00Z"/>
          <w:sz w:val="22"/>
          <w:szCs w:val="22"/>
        </w:rPr>
      </w:pPr>
      <w:del w:id="265" w:author="AbbVie02no" w:date="2025-05-15T12:36:00Z">
        <w:r w:rsidRPr="009C5EFD">
          <w:rPr>
            <w:sz w:val="22"/>
            <w:szCs w:val="22"/>
          </w:rPr>
          <w:delText xml:space="preserve">Videre behandling utover 12 uker bør nøye overveies hos pasienter </w:delText>
        </w:r>
        <w:r w:rsidR="00EA069B">
          <w:rPr>
            <w:sz w:val="22"/>
            <w:szCs w:val="22"/>
          </w:rPr>
          <w:delText>uten</w:delText>
        </w:r>
        <w:r w:rsidRPr="009C5EFD">
          <w:rPr>
            <w:sz w:val="22"/>
            <w:szCs w:val="22"/>
          </w:rPr>
          <w:delText xml:space="preserve"> f</w:delText>
        </w:r>
        <w:r>
          <w:rPr>
            <w:sz w:val="22"/>
            <w:szCs w:val="22"/>
          </w:rPr>
          <w:delText>orbedring i</w:delText>
        </w:r>
        <w:r w:rsidR="00EA069B">
          <w:rPr>
            <w:sz w:val="22"/>
            <w:szCs w:val="22"/>
          </w:rPr>
          <w:delText xml:space="preserve"> løpet av</w:delText>
        </w:r>
        <w:r>
          <w:rPr>
            <w:sz w:val="22"/>
            <w:szCs w:val="22"/>
          </w:rPr>
          <w:delText xml:space="preserve"> denne perioden.</w:delText>
        </w:r>
      </w:del>
    </w:p>
    <w:p w14:paraId="75E71588" w14:textId="047B8F82" w:rsidR="0022267E" w:rsidRDefault="0022267E" w:rsidP="00BE6CA9">
      <w:pPr>
        <w:rPr>
          <w:del w:id="266" w:author="AbbVie02no" w:date="2025-05-15T12:36:00Z"/>
          <w:sz w:val="22"/>
          <w:szCs w:val="22"/>
        </w:rPr>
      </w:pPr>
    </w:p>
    <w:p w14:paraId="3D3205AE" w14:textId="21F21233" w:rsidR="0022267E" w:rsidRDefault="00E453CD" w:rsidP="00BE6CA9">
      <w:pPr>
        <w:rPr>
          <w:del w:id="267" w:author="AbbVie02no" w:date="2025-05-15T12:36:00Z"/>
          <w:sz w:val="22"/>
          <w:szCs w:val="22"/>
        </w:rPr>
      </w:pPr>
      <w:del w:id="268" w:author="AbbVie02no" w:date="2025-05-15T12:36:00Z">
        <w:r w:rsidRPr="009C5EFD">
          <w:rPr>
            <w:sz w:val="22"/>
            <w:szCs w:val="22"/>
          </w:rPr>
          <w:delText>Skulle det være nødvendig å avbryte behandlingen,</w:delText>
        </w:r>
        <w:r>
          <w:rPr>
            <w:sz w:val="22"/>
            <w:szCs w:val="22"/>
          </w:rPr>
          <w:delText xml:space="preserve"> kan behandling med Humira startes igjen etter behov.</w:delText>
        </w:r>
      </w:del>
    </w:p>
    <w:p w14:paraId="4310C70B" w14:textId="5EB0E633" w:rsidR="0022267E" w:rsidRDefault="0022267E" w:rsidP="00BE6CA9">
      <w:pPr>
        <w:rPr>
          <w:del w:id="269" w:author="AbbVie02no" w:date="2025-05-15T12:36:00Z"/>
          <w:sz w:val="22"/>
          <w:szCs w:val="22"/>
        </w:rPr>
      </w:pPr>
    </w:p>
    <w:p w14:paraId="75B0BADF" w14:textId="37654413" w:rsidR="00BE6CA9" w:rsidRDefault="00E453CD" w:rsidP="00BE6CA9">
      <w:pPr>
        <w:rPr>
          <w:del w:id="270" w:author="AbbVie02no" w:date="2025-05-15T12:36:00Z"/>
          <w:sz w:val="22"/>
          <w:szCs w:val="22"/>
        </w:rPr>
      </w:pPr>
      <w:del w:id="271" w:author="AbbVie02no" w:date="2025-05-15T12:36:00Z">
        <w:r w:rsidRPr="009C5EFD">
          <w:rPr>
            <w:sz w:val="22"/>
            <w:szCs w:val="22"/>
          </w:rPr>
          <w:delText xml:space="preserve">Nytte og risiko ved videre langvarig behandling bør </w:delText>
        </w:r>
        <w:r w:rsidR="00421CF7">
          <w:rPr>
            <w:sz w:val="22"/>
            <w:szCs w:val="22"/>
          </w:rPr>
          <w:delText>vurderes</w:delText>
        </w:r>
        <w:r w:rsidR="00EA069B" w:rsidRPr="009C5EFD">
          <w:rPr>
            <w:sz w:val="22"/>
            <w:szCs w:val="22"/>
          </w:rPr>
          <w:delText xml:space="preserve"> </w:delText>
        </w:r>
        <w:r w:rsidRPr="009C5EFD">
          <w:rPr>
            <w:sz w:val="22"/>
            <w:szCs w:val="22"/>
          </w:rPr>
          <w:delText xml:space="preserve">regelmessig (se </w:delText>
        </w:r>
        <w:r w:rsidR="0022267E">
          <w:rPr>
            <w:sz w:val="22"/>
            <w:szCs w:val="22"/>
          </w:rPr>
          <w:delText xml:space="preserve">data for voksne i </w:delText>
        </w:r>
        <w:r w:rsidRPr="009C5EFD">
          <w:rPr>
            <w:sz w:val="22"/>
            <w:szCs w:val="22"/>
          </w:rPr>
          <w:delText>pkt. 5.1).</w:delText>
        </w:r>
      </w:del>
    </w:p>
    <w:p w14:paraId="17FE00F7" w14:textId="352C0163" w:rsidR="00BE6CA9" w:rsidRDefault="00E453CD" w:rsidP="00BE6CA9">
      <w:pPr>
        <w:rPr>
          <w:del w:id="272" w:author="AbbVie02no" w:date="2025-05-15T12:36:00Z"/>
          <w:sz w:val="22"/>
          <w:szCs w:val="22"/>
        </w:rPr>
      </w:pPr>
      <w:del w:id="273" w:author="AbbVie02no" w:date="2025-05-15T12:36:00Z">
        <w:r w:rsidRPr="009C5EFD">
          <w:rPr>
            <w:sz w:val="22"/>
            <w:szCs w:val="22"/>
          </w:rPr>
          <w:delText xml:space="preserve">Det er ikke relevant å bruke Humira hos barn </w:delText>
        </w:r>
        <w:r w:rsidR="0019505A">
          <w:rPr>
            <w:sz w:val="22"/>
            <w:szCs w:val="22"/>
          </w:rPr>
          <w:delText>under</w:delText>
        </w:r>
        <w:r w:rsidRPr="009C5EFD">
          <w:rPr>
            <w:sz w:val="22"/>
            <w:szCs w:val="22"/>
          </w:rPr>
          <w:delText xml:space="preserve"> </w:delText>
        </w:r>
        <w:r>
          <w:rPr>
            <w:sz w:val="22"/>
            <w:szCs w:val="22"/>
          </w:rPr>
          <w:delText>12</w:delText>
        </w:r>
        <w:r w:rsidRPr="009C5EFD">
          <w:rPr>
            <w:sz w:val="22"/>
            <w:szCs w:val="22"/>
          </w:rPr>
          <w:delText xml:space="preserve"> år ved denne indikasjonen.</w:delText>
        </w:r>
      </w:del>
    </w:p>
    <w:p w14:paraId="0677B244" w14:textId="743E0A1B" w:rsidR="00784730" w:rsidRDefault="00784730" w:rsidP="00BE6CA9">
      <w:pPr>
        <w:rPr>
          <w:del w:id="274" w:author="AbbVie02no" w:date="2025-05-15T12:36:00Z"/>
          <w:sz w:val="22"/>
          <w:szCs w:val="22"/>
        </w:rPr>
      </w:pPr>
    </w:p>
    <w:p w14:paraId="38FE8676" w14:textId="5478E410" w:rsidR="00784730" w:rsidRDefault="00E453CD" w:rsidP="00BE6CA9">
      <w:pPr>
        <w:rPr>
          <w:del w:id="275" w:author="AbbVie02no" w:date="2025-05-15T12:36:00Z"/>
          <w:i/>
          <w:sz w:val="22"/>
          <w:szCs w:val="22"/>
        </w:rPr>
      </w:pPr>
      <w:del w:id="276" w:author="AbbVie02no" w:date="2025-05-15T12:36:00Z">
        <w:r>
          <w:rPr>
            <w:sz w:val="22"/>
            <w:szCs w:val="22"/>
          </w:rPr>
          <w:delText>Humira kan være tilgjengelig i andre styrker og/eller formuleringer avhengig av individuelle behandlingsbehov.</w:delText>
        </w:r>
      </w:del>
    </w:p>
    <w:p w14:paraId="177939B5" w14:textId="3CD22F86" w:rsidR="00BE6CA9" w:rsidRDefault="00BE6CA9" w:rsidP="00193D76">
      <w:pPr>
        <w:rPr>
          <w:del w:id="277" w:author="AbbVie02no" w:date="2025-05-15T12:36:00Z"/>
          <w:i/>
          <w:sz w:val="22"/>
          <w:szCs w:val="22"/>
        </w:rPr>
      </w:pPr>
    </w:p>
    <w:p w14:paraId="20A78A41" w14:textId="5A332552" w:rsidR="003851C1" w:rsidRPr="00193D76" w:rsidRDefault="00E453CD" w:rsidP="00776A84">
      <w:pPr>
        <w:keepNext/>
        <w:rPr>
          <w:del w:id="278" w:author="AbbVie02no" w:date="2025-05-15T12:36:00Z"/>
          <w:sz w:val="22"/>
          <w:szCs w:val="22"/>
          <w:u w:val="single"/>
        </w:rPr>
      </w:pPr>
      <w:del w:id="279" w:author="AbbVie02no" w:date="2025-05-15T12:36:00Z">
        <w:r w:rsidRPr="001F5D4B">
          <w:rPr>
            <w:i/>
            <w:sz w:val="22"/>
            <w:szCs w:val="22"/>
          </w:rPr>
          <w:delText>Pediatrisk Crohns sykdom</w:delText>
        </w:r>
      </w:del>
    </w:p>
    <w:p w14:paraId="566FAD9D" w14:textId="772BA14A" w:rsidR="003851C1" w:rsidRDefault="003851C1" w:rsidP="00776A84">
      <w:pPr>
        <w:keepNext/>
        <w:rPr>
          <w:del w:id="280" w:author="AbbVie02no" w:date="2025-05-15T12:36:00Z"/>
          <w:sz w:val="22"/>
          <w:szCs w:val="22"/>
          <w:u w:val="single"/>
        </w:rPr>
      </w:pPr>
    </w:p>
    <w:p w14:paraId="15643D40" w14:textId="5A992220" w:rsidR="006B1B0E" w:rsidRDefault="00E453CD" w:rsidP="002D0790">
      <w:pPr>
        <w:rPr>
          <w:del w:id="281" w:author="AbbVie02no" w:date="2025-05-15T12:36:00Z"/>
          <w:sz w:val="22"/>
          <w:szCs w:val="22"/>
        </w:rPr>
      </w:pPr>
      <w:del w:id="282" w:author="AbbVie02no" w:date="2025-05-15T12:36:00Z">
        <w:r>
          <w:rPr>
            <w:sz w:val="22"/>
            <w:szCs w:val="22"/>
          </w:rPr>
          <w:delText>Anbefalt dose av Humira</w:delText>
        </w:r>
        <w:r w:rsidRPr="00AB7697">
          <w:rPr>
            <w:sz w:val="22"/>
            <w:szCs w:val="22"/>
          </w:rPr>
          <w:delText xml:space="preserve"> </w:delText>
        </w:r>
        <w:r w:rsidRPr="00844FD5">
          <w:rPr>
            <w:sz w:val="22"/>
            <w:szCs w:val="22"/>
          </w:rPr>
          <w:delText xml:space="preserve">for pasienter fra </w:delText>
        </w:r>
        <w:r>
          <w:rPr>
            <w:sz w:val="22"/>
            <w:szCs w:val="22"/>
          </w:rPr>
          <w:delText>6</w:delText>
        </w:r>
        <w:r w:rsidRPr="00AB7697">
          <w:rPr>
            <w:sz w:val="22"/>
            <w:szCs w:val="22"/>
          </w:rPr>
          <w:delText xml:space="preserve"> til 17 år med </w:delText>
        </w:r>
        <w:r>
          <w:rPr>
            <w:sz w:val="22"/>
            <w:szCs w:val="22"/>
          </w:rPr>
          <w:delText>Cro</w:delText>
        </w:r>
        <w:r w:rsidR="003A1C09">
          <w:rPr>
            <w:sz w:val="22"/>
            <w:szCs w:val="22"/>
          </w:rPr>
          <w:delText>h</w:delText>
        </w:r>
        <w:r>
          <w:rPr>
            <w:sz w:val="22"/>
            <w:szCs w:val="22"/>
          </w:rPr>
          <w:delText>ns sykdom</w:delText>
        </w:r>
        <w:r w:rsidRPr="00AB7697">
          <w:rPr>
            <w:sz w:val="22"/>
            <w:szCs w:val="22"/>
          </w:rPr>
          <w:delText xml:space="preserve"> e</w:delText>
        </w:r>
        <w:r w:rsidRPr="00844FD5">
          <w:rPr>
            <w:sz w:val="22"/>
            <w:szCs w:val="22"/>
          </w:rPr>
          <w:delText>r basert på kroppsvekt (</w:delText>
        </w:r>
        <w:r w:rsidR="00D50C8B">
          <w:rPr>
            <w:sz w:val="22"/>
            <w:szCs w:val="22"/>
          </w:rPr>
          <w:delText>t</w:delText>
        </w:r>
        <w:r w:rsidRPr="00844FD5">
          <w:rPr>
            <w:sz w:val="22"/>
            <w:szCs w:val="22"/>
          </w:rPr>
          <w:delText xml:space="preserve">abell </w:delText>
        </w:r>
        <w:r>
          <w:rPr>
            <w:sz w:val="22"/>
            <w:szCs w:val="22"/>
          </w:rPr>
          <w:delText>4</w:delText>
        </w:r>
        <w:r w:rsidRPr="00AB7697">
          <w:rPr>
            <w:sz w:val="22"/>
            <w:szCs w:val="22"/>
          </w:rPr>
          <w:delText>).</w:delText>
        </w:r>
        <w:r>
          <w:rPr>
            <w:sz w:val="22"/>
            <w:szCs w:val="22"/>
          </w:rPr>
          <w:delText xml:space="preserve"> </w:delText>
        </w:r>
        <w:r w:rsidRPr="006B1B0E">
          <w:rPr>
            <w:sz w:val="22"/>
            <w:szCs w:val="22"/>
          </w:rPr>
          <w:delText>Humira admini</w:delText>
        </w:r>
        <w:r>
          <w:rPr>
            <w:sz w:val="22"/>
            <w:szCs w:val="22"/>
          </w:rPr>
          <w:delText xml:space="preserve">streres </w:delText>
        </w:r>
        <w:r w:rsidR="00784730">
          <w:rPr>
            <w:sz w:val="22"/>
            <w:szCs w:val="22"/>
          </w:rPr>
          <w:delText xml:space="preserve">som </w:delText>
        </w:r>
        <w:r>
          <w:rPr>
            <w:sz w:val="22"/>
            <w:szCs w:val="22"/>
          </w:rPr>
          <w:delText>subkutan</w:delText>
        </w:r>
        <w:r w:rsidR="00784730">
          <w:rPr>
            <w:sz w:val="22"/>
            <w:szCs w:val="22"/>
          </w:rPr>
          <w:delText xml:space="preserve"> injeksjon</w:delText>
        </w:r>
        <w:r>
          <w:rPr>
            <w:sz w:val="22"/>
            <w:szCs w:val="22"/>
          </w:rPr>
          <w:delText>.</w:delText>
        </w:r>
      </w:del>
    </w:p>
    <w:p w14:paraId="418E723A" w14:textId="3FBF1B0A" w:rsidR="009100B0" w:rsidRDefault="009100B0" w:rsidP="002D0790">
      <w:pPr>
        <w:rPr>
          <w:del w:id="283" w:author="AbbVie02no" w:date="2025-05-15T12:36:00Z"/>
          <w:sz w:val="22"/>
          <w:szCs w:val="22"/>
        </w:rPr>
      </w:pPr>
    </w:p>
    <w:p w14:paraId="10C0FAD5" w14:textId="5DA157A4" w:rsidR="009100B0" w:rsidRPr="000624CD" w:rsidRDefault="00E453CD" w:rsidP="00776A84">
      <w:pPr>
        <w:keepNext/>
        <w:jc w:val="center"/>
        <w:rPr>
          <w:del w:id="284" w:author="AbbVie02no" w:date="2025-05-15T12:36:00Z"/>
          <w:sz w:val="22"/>
          <w:szCs w:val="22"/>
        </w:rPr>
      </w:pPr>
      <w:del w:id="285" w:author="AbbVie02no" w:date="2025-05-15T12:36:00Z">
        <w:r w:rsidRPr="00AB7697">
          <w:rPr>
            <w:b/>
            <w:sz w:val="22"/>
            <w:szCs w:val="22"/>
          </w:rPr>
          <w:delText>Tabell 4. Humiradosering for pediatriske pasienter med Cro</w:delText>
        </w:r>
        <w:r w:rsidR="00277690" w:rsidRPr="00AB7697">
          <w:rPr>
            <w:b/>
            <w:sz w:val="22"/>
            <w:szCs w:val="22"/>
          </w:rPr>
          <w:delText>h</w:delText>
        </w:r>
        <w:r w:rsidRPr="00AB7697">
          <w:rPr>
            <w:b/>
            <w:sz w:val="22"/>
            <w:szCs w:val="22"/>
          </w:rPr>
          <w:delText>ns sykdom</w:delText>
        </w:r>
      </w:del>
    </w:p>
    <w:p w14:paraId="56637619" w14:textId="11AC07BF" w:rsidR="009100B0" w:rsidRPr="00AB7697" w:rsidRDefault="009100B0" w:rsidP="00776A84">
      <w:pPr>
        <w:keepNext/>
        <w:rPr>
          <w:del w:id="286" w:author="AbbVie02no" w:date="2025-05-15T12:36:00Z"/>
          <w:sz w:val="22"/>
          <w:szCs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3"/>
        <w:gridCol w:w="5964"/>
        <w:gridCol w:w="1942"/>
      </w:tblGrid>
      <w:tr w:rsidR="004644D4" w14:paraId="0AC67253" w14:textId="7525A2A7" w:rsidTr="009100B0">
        <w:trPr>
          <w:tblHeader/>
          <w:del w:id="287" w:author="AbbVie02no" w:date="2025-05-15T12:36:00Z"/>
        </w:trPr>
        <w:tc>
          <w:tcPr>
            <w:tcW w:w="0" w:type="auto"/>
            <w:tcBorders>
              <w:top w:val="single" w:sz="6" w:space="0" w:color="000000"/>
              <w:left w:val="single" w:sz="6" w:space="0" w:color="000000"/>
              <w:bottom w:val="single" w:sz="6" w:space="0" w:color="000000"/>
              <w:right w:val="single" w:sz="6" w:space="0" w:color="000000"/>
            </w:tcBorders>
            <w:hideMark/>
          </w:tcPr>
          <w:p w14:paraId="40B68A2E" w14:textId="36796EDF" w:rsidR="009100B0" w:rsidRPr="00AB7697" w:rsidRDefault="00E453CD" w:rsidP="009100B0">
            <w:pPr>
              <w:jc w:val="center"/>
              <w:rPr>
                <w:del w:id="288" w:author="AbbVie02no" w:date="2025-05-15T12:36:00Z"/>
                <w:sz w:val="22"/>
                <w:szCs w:val="22"/>
              </w:rPr>
            </w:pPr>
            <w:del w:id="289" w:author="AbbVie02no" w:date="2025-05-15T12:36:00Z">
              <w:r w:rsidRPr="00AB7697">
                <w:rPr>
                  <w:b/>
                  <w:sz w:val="22"/>
                  <w:szCs w:val="22"/>
                </w:rPr>
                <w:delText>Kroppsvekt</w:delText>
              </w:r>
            </w:del>
          </w:p>
        </w:tc>
        <w:tc>
          <w:tcPr>
            <w:tcW w:w="0" w:type="auto"/>
            <w:tcBorders>
              <w:top w:val="single" w:sz="6" w:space="0" w:color="000000"/>
              <w:left w:val="single" w:sz="6" w:space="0" w:color="000000"/>
              <w:bottom w:val="single" w:sz="6" w:space="0" w:color="000000"/>
              <w:right w:val="single" w:sz="6" w:space="0" w:color="000000"/>
            </w:tcBorders>
            <w:hideMark/>
          </w:tcPr>
          <w:p w14:paraId="35DFCC2C" w14:textId="5462A8BB" w:rsidR="009100B0" w:rsidRPr="00AB7697" w:rsidRDefault="00E453CD" w:rsidP="009100B0">
            <w:pPr>
              <w:jc w:val="center"/>
              <w:rPr>
                <w:del w:id="290" w:author="AbbVie02no" w:date="2025-05-15T12:36:00Z"/>
                <w:sz w:val="22"/>
                <w:szCs w:val="22"/>
              </w:rPr>
            </w:pPr>
            <w:del w:id="291" w:author="AbbVie02no" w:date="2025-05-15T12:36:00Z">
              <w:r w:rsidRPr="00AB7697">
                <w:rPr>
                  <w:b/>
                  <w:sz w:val="22"/>
                  <w:szCs w:val="22"/>
                </w:rPr>
                <w:delText>Startdose</w:delText>
              </w:r>
            </w:del>
          </w:p>
        </w:tc>
        <w:tc>
          <w:tcPr>
            <w:tcW w:w="0" w:type="auto"/>
            <w:tcBorders>
              <w:top w:val="single" w:sz="6" w:space="0" w:color="000000"/>
              <w:left w:val="single" w:sz="6" w:space="0" w:color="000000"/>
              <w:bottom w:val="single" w:sz="6" w:space="0" w:color="000000"/>
              <w:right w:val="single" w:sz="6" w:space="0" w:color="000000"/>
            </w:tcBorders>
            <w:hideMark/>
          </w:tcPr>
          <w:p w14:paraId="65A87612" w14:textId="7C58C90B" w:rsidR="009100B0" w:rsidRPr="002C5CDB" w:rsidRDefault="00E453CD" w:rsidP="00844FD5">
            <w:pPr>
              <w:jc w:val="center"/>
              <w:rPr>
                <w:del w:id="292" w:author="AbbVie02no" w:date="2025-05-15T12:36:00Z"/>
                <w:sz w:val="22"/>
                <w:szCs w:val="22"/>
                <w:rPrChange w:id="293" w:author="AbbVie05no" w:date="2025-05-19T10:32:00Z">
                  <w:rPr>
                    <w:del w:id="294" w:author="AbbVie02no" w:date="2025-05-15T12:36:00Z"/>
                    <w:sz w:val="22"/>
                    <w:szCs w:val="22"/>
                    <w:lang w:val="en-US"/>
                  </w:rPr>
                </w:rPrChange>
              </w:rPr>
            </w:pPr>
            <w:del w:id="295" w:author="AbbVie02no" w:date="2025-05-15T12:36:00Z">
              <w:r w:rsidRPr="002C5CDB">
                <w:rPr>
                  <w:b/>
                  <w:sz w:val="22"/>
                  <w:szCs w:val="22"/>
                  <w:rPrChange w:id="296" w:author="AbbVie05no" w:date="2025-05-19T10:32:00Z">
                    <w:rPr>
                      <w:b/>
                      <w:sz w:val="22"/>
                      <w:szCs w:val="22"/>
                      <w:lang w:val="en-US"/>
                    </w:rPr>
                  </w:rPrChange>
                </w:rPr>
                <w:delText>Vedlikeholdsdose fra uke 4</w:delText>
              </w:r>
            </w:del>
          </w:p>
        </w:tc>
      </w:tr>
      <w:tr w:rsidR="004644D4" w14:paraId="4BA94795" w14:textId="53FDAD15" w:rsidTr="009100B0">
        <w:trPr>
          <w:del w:id="297" w:author="AbbVie02no" w:date="2025-05-15T12:36:00Z"/>
        </w:trPr>
        <w:tc>
          <w:tcPr>
            <w:tcW w:w="0" w:type="auto"/>
            <w:tcBorders>
              <w:top w:val="single" w:sz="6" w:space="0" w:color="000000"/>
              <w:left w:val="single" w:sz="6" w:space="0" w:color="000000"/>
              <w:bottom w:val="single" w:sz="6" w:space="0" w:color="000000"/>
              <w:right w:val="single" w:sz="6" w:space="0" w:color="000000"/>
            </w:tcBorders>
            <w:hideMark/>
          </w:tcPr>
          <w:p w14:paraId="7A1C8F33" w14:textId="3E815754" w:rsidR="009100B0" w:rsidRPr="00AB7697" w:rsidRDefault="00E453CD" w:rsidP="009100B0">
            <w:pPr>
              <w:jc w:val="center"/>
              <w:rPr>
                <w:del w:id="298" w:author="AbbVie02no" w:date="2025-05-15T12:36:00Z"/>
                <w:sz w:val="22"/>
                <w:szCs w:val="22"/>
              </w:rPr>
            </w:pPr>
            <w:del w:id="299" w:author="AbbVie02no" w:date="2025-05-15T12:36:00Z">
              <w:r w:rsidRPr="00AB7697">
                <w:rPr>
                  <w:sz w:val="22"/>
                  <w:szCs w:val="22"/>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34AE8872" w14:textId="31C96A5D" w:rsidR="006A21C7" w:rsidRPr="00AB7697" w:rsidRDefault="00E453CD" w:rsidP="00AB7697">
            <w:pPr>
              <w:keepNext/>
              <w:numPr>
                <w:ilvl w:val="0"/>
                <w:numId w:val="135"/>
              </w:numPr>
              <w:tabs>
                <w:tab w:val="left" w:pos="720"/>
              </w:tabs>
              <w:spacing w:line="276" w:lineRule="auto"/>
              <w:ind w:left="317" w:hanging="187"/>
              <w:rPr>
                <w:del w:id="300" w:author="AbbVie02no" w:date="2025-05-15T12:36:00Z"/>
                <w:sz w:val="22"/>
                <w:szCs w:val="22"/>
              </w:rPr>
            </w:pPr>
            <w:del w:id="301" w:author="AbbVie02no" w:date="2025-05-15T12:36:00Z">
              <w:r w:rsidRPr="00AB7697">
                <w:rPr>
                  <w:sz w:val="22"/>
                  <w:szCs w:val="22"/>
                </w:rPr>
                <w:delText>40 mg ved uke 0 og 20 mg ved uke 2</w:delText>
              </w:r>
            </w:del>
          </w:p>
          <w:p w14:paraId="26B54D11" w14:textId="17024376" w:rsidR="006A21C7" w:rsidRPr="00AB7697" w:rsidRDefault="006A21C7" w:rsidP="006A21C7">
            <w:pPr>
              <w:keepNext/>
              <w:tabs>
                <w:tab w:val="left" w:pos="720"/>
              </w:tabs>
              <w:spacing w:line="276" w:lineRule="auto"/>
              <w:ind w:left="337"/>
              <w:rPr>
                <w:del w:id="302" w:author="AbbVie02no" w:date="2025-05-15T12:36:00Z"/>
                <w:sz w:val="22"/>
                <w:szCs w:val="22"/>
              </w:rPr>
            </w:pPr>
          </w:p>
          <w:p w14:paraId="145A3BE0" w14:textId="3BA9E75A" w:rsidR="006A21C7" w:rsidRPr="00AB7697" w:rsidRDefault="00E453CD" w:rsidP="006A21C7">
            <w:pPr>
              <w:keepNext/>
              <w:tabs>
                <w:tab w:val="left" w:pos="720"/>
              </w:tabs>
              <w:spacing w:line="276" w:lineRule="auto"/>
              <w:ind w:left="150"/>
              <w:rPr>
                <w:del w:id="303" w:author="AbbVie02no" w:date="2025-05-15T12:36:00Z"/>
                <w:sz w:val="22"/>
                <w:szCs w:val="22"/>
              </w:rPr>
            </w:pPr>
            <w:del w:id="304" w:author="AbbVie02no" w:date="2025-05-15T12:36:00Z">
              <w:r w:rsidRPr="00AB7697">
                <w:rPr>
                  <w:sz w:val="22"/>
                  <w:szCs w:val="22"/>
                </w:rPr>
                <w:delText xml:space="preserve">Dersom det er behov for raskere respons på </w:delText>
              </w:r>
              <w:r w:rsidR="004C6A14">
                <w:rPr>
                  <w:sz w:val="22"/>
                  <w:szCs w:val="22"/>
                </w:rPr>
                <w:delText>behandlingen</w:delText>
              </w:r>
              <w:r w:rsidRPr="00AB7697">
                <w:rPr>
                  <w:sz w:val="22"/>
                  <w:szCs w:val="22"/>
                </w:rPr>
                <w:delText xml:space="preserve"> og med viten om at bivirkningsrisiko kan være høyere ved bruk av høyere startdose, kan følgende dosering benyttes:</w:delText>
              </w:r>
            </w:del>
          </w:p>
          <w:p w14:paraId="64B7CAC7" w14:textId="7D6AD64F" w:rsidR="009100B0" w:rsidRPr="00AB7697" w:rsidRDefault="00E453CD" w:rsidP="00AB7697">
            <w:pPr>
              <w:numPr>
                <w:ilvl w:val="0"/>
                <w:numId w:val="135"/>
              </w:numPr>
              <w:ind w:left="317" w:hanging="187"/>
              <w:rPr>
                <w:del w:id="305" w:author="AbbVie02no" w:date="2025-05-15T12:36:00Z"/>
                <w:iCs/>
                <w:sz w:val="22"/>
                <w:szCs w:val="22"/>
              </w:rPr>
            </w:pPr>
            <w:del w:id="306" w:author="AbbVie02no" w:date="2025-05-15T12:36:00Z">
              <w:r w:rsidRPr="00AB7697">
                <w:rPr>
                  <w:sz w:val="22"/>
                  <w:szCs w:val="22"/>
                </w:rPr>
                <w:delText>80 mg ved uke 0 og 40 mg ved uke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79EB1C4A" w14:textId="2529E9DE" w:rsidR="009100B0" w:rsidRPr="00AB7697" w:rsidRDefault="00E453CD" w:rsidP="00844FD5">
            <w:pPr>
              <w:ind w:left="16"/>
              <w:jc w:val="center"/>
              <w:rPr>
                <w:del w:id="307" w:author="AbbVie02no" w:date="2025-05-15T12:36:00Z"/>
                <w:sz w:val="22"/>
                <w:szCs w:val="22"/>
              </w:rPr>
            </w:pPr>
            <w:del w:id="308" w:author="AbbVie02no" w:date="2025-05-15T12:36:00Z">
              <w:r w:rsidRPr="00AB7697">
                <w:rPr>
                  <w:sz w:val="22"/>
                  <w:szCs w:val="22"/>
                </w:rPr>
                <w:delText>20 mg annenhver uke</w:delText>
              </w:r>
            </w:del>
          </w:p>
        </w:tc>
      </w:tr>
      <w:tr w:rsidR="004644D4" w14:paraId="6E47BFC0" w14:textId="11C4E61F" w:rsidTr="009100B0">
        <w:trPr>
          <w:del w:id="309" w:author="AbbVie02no" w:date="2025-05-15T12:36:00Z"/>
        </w:trPr>
        <w:tc>
          <w:tcPr>
            <w:tcW w:w="0" w:type="auto"/>
            <w:tcBorders>
              <w:top w:val="single" w:sz="6" w:space="0" w:color="000000"/>
              <w:left w:val="single" w:sz="6" w:space="0" w:color="000000"/>
              <w:bottom w:val="single" w:sz="6" w:space="0" w:color="000000"/>
              <w:right w:val="single" w:sz="6" w:space="0" w:color="000000"/>
            </w:tcBorders>
            <w:hideMark/>
          </w:tcPr>
          <w:p w14:paraId="382BECFB" w14:textId="206BA5B6" w:rsidR="009100B0" w:rsidRPr="00AB7697" w:rsidRDefault="00E453CD" w:rsidP="009100B0">
            <w:pPr>
              <w:jc w:val="center"/>
              <w:rPr>
                <w:del w:id="310" w:author="AbbVie02no" w:date="2025-05-15T12:36:00Z"/>
                <w:sz w:val="22"/>
                <w:szCs w:val="22"/>
              </w:rPr>
            </w:pPr>
            <w:del w:id="311" w:author="AbbVie02no" w:date="2025-05-15T12:36:00Z">
              <w:r w:rsidRPr="00AB7697">
                <w:rPr>
                  <w:sz w:val="22"/>
                  <w:szCs w:val="22"/>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082F2876" w14:textId="2548B186" w:rsidR="006A21C7" w:rsidRPr="00AB7697" w:rsidRDefault="00E453CD" w:rsidP="00AB7697">
            <w:pPr>
              <w:keepNext/>
              <w:numPr>
                <w:ilvl w:val="0"/>
                <w:numId w:val="137"/>
              </w:numPr>
              <w:tabs>
                <w:tab w:val="left" w:pos="720"/>
              </w:tabs>
              <w:spacing w:line="276" w:lineRule="auto"/>
              <w:ind w:left="317" w:hanging="187"/>
              <w:rPr>
                <w:del w:id="312" w:author="AbbVie02no" w:date="2025-05-15T12:36:00Z"/>
                <w:sz w:val="22"/>
                <w:szCs w:val="22"/>
              </w:rPr>
            </w:pPr>
            <w:del w:id="313" w:author="AbbVie02no" w:date="2025-05-15T12:36:00Z">
              <w:r>
                <w:rPr>
                  <w:sz w:val="22"/>
                  <w:szCs w:val="22"/>
                </w:rPr>
                <w:delText>80</w:delText>
              </w:r>
              <w:r w:rsidRPr="00AB7697">
                <w:rPr>
                  <w:sz w:val="22"/>
                  <w:szCs w:val="22"/>
                </w:rPr>
                <w:delText xml:space="preserve"> mg ved uke 0 og </w:delText>
              </w:r>
              <w:r>
                <w:rPr>
                  <w:sz w:val="22"/>
                  <w:szCs w:val="22"/>
                </w:rPr>
                <w:delText>40</w:delText>
              </w:r>
              <w:r w:rsidRPr="00AB7697">
                <w:rPr>
                  <w:sz w:val="22"/>
                  <w:szCs w:val="22"/>
                </w:rPr>
                <w:delText xml:space="preserve"> mg ved uke 2</w:delText>
              </w:r>
            </w:del>
          </w:p>
          <w:p w14:paraId="142FF117" w14:textId="70CF3286" w:rsidR="006A21C7" w:rsidRPr="00AB7697" w:rsidRDefault="006A21C7" w:rsidP="006A21C7">
            <w:pPr>
              <w:keepNext/>
              <w:tabs>
                <w:tab w:val="left" w:pos="720"/>
              </w:tabs>
              <w:spacing w:line="276" w:lineRule="auto"/>
              <w:ind w:left="337"/>
              <w:rPr>
                <w:del w:id="314" w:author="AbbVie02no" w:date="2025-05-15T12:36:00Z"/>
                <w:sz w:val="22"/>
                <w:szCs w:val="22"/>
              </w:rPr>
            </w:pPr>
          </w:p>
          <w:p w14:paraId="0E40B801" w14:textId="06BE48C9" w:rsidR="006A21C7" w:rsidRPr="00AB7697" w:rsidRDefault="00E453CD" w:rsidP="006A21C7">
            <w:pPr>
              <w:keepNext/>
              <w:tabs>
                <w:tab w:val="left" w:pos="720"/>
              </w:tabs>
              <w:spacing w:line="276" w:lineRule="auto"/>
              <w:ind w:left="150"/>
              <w:rPr>
                <w:del w:id="315" w:author="AbbVie02no" w:date="2025-05-15T12:36:00Z"/>
                <w:sz w:val="22"/>
                <w:szCs w:val="22"/>
              </w:rPr>
            </w:pPr>
            <w:del w:id="316" w:author="AbbVie02no" w:date="2025-05-15T12:36:00Z">
              <w:r w:rsidRPr="00AB7697">
                <w:rPr>
                  <w:sz w:val="22"/>
                  <w:szCs w:val="22"/>
                </w:rPr>
                <w:delText xml:space="preserve">Dersom det er behov for raskere respons på </w:delText>
              </w:r>
              <w:r w:rsidR="004C6A14">
                <w:rPr>
                  <w:sz w:val="22"/>
                  <w:szCs w:val="22"/>
                </w:rPr>
                <w:delText>behandlingen</w:delText>
              </w:r>
              <w:r w:rsidRPr="00AB7697">
                <w:rPr>
                  <w:sz w:val="22"/>
                  <w:szCs w:val="22"/>
                </w:rPr>
                <w:delText>en og med viten om at bivirkningsrisiko kan være høyere ved bruk av høyere startdose, kan følgende dosering benyttes:</w:delText>
              </w:r>
            </w:del>
          </w:p>
          <w:p w14:paraId="63DFBE20" w14:textId="540C8470" w:rsidR="009100B0" w:rsidRPr="00AB7697" w:rsidRDefault="00E453CD" w:rsidP="00AB7697">
            <w:pPr>
              <w:numPr>
                <w:ilvl w:val="0"/>
                <w:numId w:val="137"/>
              </w:numPr>
              <w:ind w:left="317" w:hanging="187"/>
              <w:rPr>
                <w:del w:id="317" w:author="AbbVie02no" w:date="2025-05-15T12:36:00Z"/>
                <w:sz w:val="22"/>
                <w:szCs w:val="22"/>
              </w:rPr>
            </w:pPr>
            <w:del w:id="318" w:author="AbbVie02no" w:date="2025-05-15T12:36:00Z">
              <w:r w:rsidRPr="00AB7697">
                <w:rPr>
                  <w:sz w:val="22"/>
                  <w:szCs w:val="22"/>
                </w:rPr>
                <w:delText>160 mg ved uke 0 og 80 mg ved uke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198DC192" w14:textId="6533DD7D" w:rsidR="009100B0" w:rsidRPr="00AB7697" w:rsidRDefault="00E453CD" w:rsidP="009100B0">
            <w:pPr>
              <w:ind w:left="16"/>
              <w:jc w:val="center"/>
              <w:rPr>
                <w:del w:id="319" w:author="AbbVie02no" w:date="2025-05-15T12:36:00Z"/>
                <w:sz w:val="22"/>
                <w:szCs w:val="22"/>
              </w:rPr>
            </w:pPr>
            <w:del w:id="320" w:author="AbbVie02no" w:date="2025-05-15T12:36:00Z">
              <w:r w:rsidRPr="00AB7697">
                <w:rPr>
                  <w:sz w:val="22"/>
                  <w:szCs w:val="22"/>
                </w:rPr>
                <w:delText>40 mg annenhver uke</w:delText>
              </w:r>
            </w:del>
          </w:p>
        </w:tc>
      </w:tr>
    </w:tbl>
    <w:p w14:paraId="51940E0D" w14:textId="49BCE158" w:rsidR="009100B0" w:rsidRPr="002C5CDB" w:rsidRDefault="009100B0" w:rsidP="00776A84">
      <w:pPr>
        <w:rPr>
          <w:del w:id="321" w:author="AbbVie02no" w:date="2025-05-15T12:36:00Z"/>
          <w:rPrChange w:id="322" w:author="AbbVie05no" w:date="2025-05-19T10:32:00Z">
            <w:rPr>
              <w:del w:id="323" w:author="AbbVie02no" w:date="2025-05-15T12:36:00Z"/>
              <w:lang w:val="en-GB"/>
            </w:rPr>
          </w:rPrChange>
        </w:rPr>
      </w:pPr>
      <w:bookmarkStart w:id="324" w:name="l35893291409284316"/>
      <w:bookmarkStart w:id="325" w:name="l409706291409284374"/>
      <w:bookmarkStart w:id="326" w:name="l409697291409284461"/>
      <w:bookmarkStart w:id="327" w:name="l604373291409284474"/>
      <w:bookmarkEnd w:id="324"/>
      <w:bookmarkEnd w:id="325"/>
      <w:bookmarkEnd w:id="326"/>
      <w:bookmarkEnd w:id="327"/>
    </w:p>
    <w:p w14:paraId="37EBF8BE" w14:textId="05B47825" w:rsidR="006B3884" w:rsidRPr="0017427F" w:rsidRDefault="00E453CD" w:rsidP="00776A84">
      <w:pPr>
        <w:keepNext/>
        <w:rPr>
          <w:del w:id="328" w:author="AbbVie02no" w:date="2025-05-15T12:36:00Z"/>
          <w:sz w:val="22"/>
          <w:szCs w:val="22"/>
        </w:rPr>
      </w:pPr>
      <w:del w:id="329" w:author="AbbVie02no" w:date="2025-05-15T12:36:00Z">
        <w:r w:rsidRPr="0017427F">
          <w:rPr>
            <w:sz w:val="22"/>
            <w:szCs w:val="22"/>
          </w:rPr>
          <w:delText>Pasienter som opplever utilstrekkelig respons kan ha nytte av en økning i dosering:</w:delText>
        </w:r>
      </w:del>
    </w:p>
    <w:p w14:paraId="72B259B3" w14:textId="6549074D" w:rsidR="006B3884" w:rsidRPr="002C5CDB" w:rsidRDefault="00E453CD" w:rsidP="00776A84">
      <w:pPr>
        <w:numPr>
          <w:ilvl w:val="0"/>
          <w:numId w:val="140"/>
        </w:numPr>
        <w:tabs>
          <w:tab w:val="left" w:pos="562"/>
        </w:tabs>
        <w:suppressAutoHyphens/>
        <w:ind w:left="540" w:hanging="540"/>
        <w:rPr>
          <w:del w:id="330" w:author="AbbVie02no" w:date="2025-05-15T12:36:00Z"/>
          <w:sz w:val="22"/>
          <w:szCs w:val="22"/>
          <w:rPrChange w:id="331" w:author="AbbVie05no" w:date="2025-05-19T10:32:00Z">
            <w:rPr>
              <w:del w:id="332" w:author="AbbVie02no" w:date="2025-05-15T12:36:00Z"/>
              <w:sz w:val="22"/>
              <w:szCs w:val="22"/>
              <w:lang w:val="en-GB"/>
            </w:rPr>
          </w:rPrChange>
        </w:rPr>
      </w:pPr>
      <w:del w:id="333" w:author="AbbVie02no" w:date="2025-05-15T12:36:00Z">
        <w:r w:rsidRPr="002C5CDB">
          <w:rPr>
            <w:sz w:val="22"/>
            <w:szCs w:val="22"/>
            <w:rPrChange w:id="334" w:author="AbbVie05no" w:date="2025-05-19T10:32:00Z">
              <w:rPr>
                <w:sz w:val="22"/>
                <w:szCs w:val="22"/>
                <w:lang w:val="en-GB"/>
              </w:rPr>
            </w:rPrChange>
          </w:rPr>
          <w:delText>&lt; 40 kg: 20 mg hver uke</w:delText>
        </w:r>
      </w:del>
    </w:p>
    <w:p w14:paraId="3F282F93" w14:textId="3F5BA2D1" w:rsidR="006B3884" w:rsidRPr="00AF70AD" w:rsidRDefault="00E453CD" w:rsidP="00776A84">
      <w:pPr>
        <w:numPr>
          <w:ilvl w:val="0"/>
          <w:numId w:val="140"/>
        </w:numPr>
        <w:tabs>
          <w:tab w:val="left" w:pos="562"/>
        </w:tabs>
        <w:suppressAutoHyphens/>
        <w:ind w:left="540" w:hanging="540"/>
        <w:rPr>
          <w:del w:id="335" w:author="AbbVie02no" w:date="2025-05-15T12:36:00Z"/>
          <w:sz w:val="22"/>
          <w:szCs w:val="22"/>
        </w:rPr>
      </w:pPr>
      <w:del w:id="336" w:author="AbbVie02no" w:date="2025-05-15T12:36:00Z">
        <w:r w:rsidRPr="00AF70AD">
          <w:rPr>
            <w:sz w:val="22"/>
            <w:szCs w:val="22"/>
          </w:rPr>
          <w:delText>≥ 40 kg: 40 mg hver uke</w:delText>
        </w:r>
        <w:r w:rsidR="00784730" w:rsidRPr="00AF70AD">
          <w:rPr>
            <w:sz w:val="22"/>
            <w:szCs w:val="22"/>
          </w:rPr>
          <w:delText xml:space="preserve"> eller 80 mg annenhver uke </w:delText>
        </w:r>
      </w:del>
    </w:p>
    <w:p w14:paraId="03B5E483" w14:textId="3981FAC0" w:rsidR="00A11EF9" w:rsidRPr="009C5EFD" w:rsidRDefault="00A11EF9" w:rsidP="009C5EFD">
      <w:pPr>
        <w:rPr>
          <w:del w:id="337" w:author="AbbVie02no" w:date="2025-05-15T12:36:00Z"/>
          <w:sz w:val="22"/>
          <w:szCs w:val="22"/>
        </w:rPr>
      </w:pPr>
    </w:p>
    <w:p w14:paraId="740C1B5A" w14:textId="15F26AA0" w:rsidR="00A11EF9" w:rsidRPr="009C5EFD" w:rsidRDefault="00E453CD" w:rsidP="009C5EFD">
      <w:pPr>
        <w:rPr>
          <w:del w:id="338" w:author="AbbVie02no" w:date="2025-05-15T12:36:00Z"/>
          <w:sz w:val="22"/>
          <w:szCs w:val="22"/>
        </w:rPr>
      </w:pPr>
      <w:del w:id="339" w:author="AbbVie02no" w:date="2025-05-15T12:36:00Z">
        <w:r w:rsidRPr="009C5EFD">
          <w:rPr>
            <w:sz w:val="22"/>
            <w:szCs w:val="22"/>
          </w:rPr>
          <w:delText>Fortsettelse av behandlingen hos pasienter som ikke responderer innen uke 12, bør vurderes nøye.</w:delText>
        </w:r>
      </w:del>
    </w:p>
    <w:p w14:paraId="0F823A84" w14:textId="0FF13479" w:rsidR="00C122FA" w:rsidRPr="009C5EFD" w:rsidRDefault="00C122FA" w:rsidP="009C5EFD">
      <w:pPr>
        <w:rPr>
          <w:del w:id="340" w:author="AbbVie02no" w:date="2025-05-15T12:36:00Z"/>
          <w:sz w:val="22"/>
          <w:szCs w:val="22"/>
        </w:rPr>
      </w:pPr>
    </w:p>
    <w:p w14:paraId="120BA64F" w14:textId="529B0237" w:rsidR="00C122FA" w:rsidRDefault="00E453CD" w:rsidP="009C5EFD">
      <w:pPr>
        <w:rPr>
          <w:del w:id="341" w:author="AbbVie02no" w:date="2025-05-15T12:36:00Z"/>
          <w:sz w:val="22"/>
          <w:szCs w:val="22"/>
        </w:rPr>
      </w:pPr>
      <w:del w:id="342" w:author="AbbVie02no" w:date="2025-05-15T12:36:00Z">
        <w:r w:rsidRPr="009C5EFD">
          <w:rPr>
            <w:sz w:val="22"/>
            <w:szCs w:val="22"/>
          </w:rPr>
          <w:delText xml:space="preserve">Det er </w:delText>
        </w:r>
        <w:r w:rsidR="00CC186E" w:rsidRPr="009C5EFD">
          <w:rPr>
            <w:sz w:val="22"/>
            <w:szCs w:val="22"/>
          </w:rPr>
          <w:delText>ikke relevant å bruke</w:delText>
        </w:r>
        <w:r w:rsidRPr="009C5EFD">
          <w:rPr>
            <w:sz w:val="22"/>
            <w:szCs w:val="22"/>
          </w:rPr>
          <w:delText xml:space="preserve"> Humira hos barn </w:delText>
        </w:r>
        <w:r w:rsidR="00FA3AFC">
          <w:rPr>
            <w:sz w:val="22"/>
            <w:szCs w:val="22"/>
          </w:rPr>
          <w:delText>under</w:delText>
        </w:r>
        <w:r w:rsidRPr="009C5EFD">
          <w:rPr>
            <w:sz w:val="22"/>
            <w:szCs w:val="22"/>
          </w:rPr>
          <w:delText xml:space="preserve"> 6 år ved denne indikasjonen.</w:delText>
        </w:r>
      </w:del>
    </w:p>
    <w:p w14:paraId="63F7DBB2" w14:textId="1FB0D33F" w:rsidR="00784730" w:rsidRDefault="00784730" w:rsidP="009C5EFD">
      <w:pPr>
        <w:rPr>
          <w:del w:id="343" w:author="AbbVie02no" w:date="2025-05-15T12:36:00Z"/>
          <w:sz w:val="22"/>
          <w:szCs w:val="22"/>
        </w:rPr>
      </w:pPr>
    </w:p>
    <w:p w14:paraId="36B421F1" w14:textId="177930AF" w:rsidR="00784730" w:rsidRPr="009C5EFD" w:rsidRDefault="00E453CD" w:rsidP="009C5EFD">
      <w:pPr>
        <w:rPr>
          <w:del w:id="344" w:author="AbbVie02no" w:date="2025-05-15T12:36:00Z"/>
          <w:sz w:val="22"/>
          <w:szCs w:val="22"/>
        </w:rPr>
      </w:pPr>
      <w:del w:id="345" w:author="AbbVie02no" w:date="2025-05-15T12:36:00Z">
        <w:r w:rsidRPr="006B1B0E">
          <w:rPr>
            <w:sz w:val="22"/>
            <w:szCs w:val="22"/>
          </w:rPr>
          <w:delText>Humira kan være tilgjengelig i andre styrker og/eller formuleringer avhengig av individuelle behandlingsbehov.</w:delText>
        </w:r>
      </w:del>
    </w:p>
    <w:p w14:paraId="3786F211" w14:textId="1F4D588E" w:rsidR="00DE3458" w:rsidRDefault="00DE3458" w:rsidP="00B3311E">
      <w:pPr>
        <w:tabs>
          <w:tab w:val="left" w:pos="705"/>
        </w:tabs>
        <w:suppressAutoHyphens/>
        <w:rPr>
          <w:del w:id="346" w:author="AbbVie02no" w:date="2025-05-15T12:36:00Z"/>
          <w:sz w:val="22"/>
          <w:szCs w:val="22"/>
        </w:rPr>
      </w:pPr>
    </w:p>
    <w:p w14:paraId="4F015602" w14:textId="6B3668C3" w:rsidR="0015674E" w:rsidRPr="00004B19" w:rsidRDefault="00E453CD" w:rsidP="0015674E">
      <w:pPr>
        <w:keepNext/>
        <w:rPr>
          <w:del w:id="347" w:author="AbbVie02no" w:date="2025-05-15T12:36:00Z"/>
          <w:b/>
          <w:sz w:val="22"/>
        </w:rPr>
      </w:pPr>
      <w:del w:id="348" w:author="AbbVie02no" w:date="2025-05-15T12:36:00Z">
        <w:r w:rsidRPr="00004B19">
          <w:rPr>
            <w:i/>
            <w:sz w:val="22"/>
          </w:rPr>
          <w:lastRenderedPageBreak/>
          <w:delText>Pediatrisk ulcerøs kolitt</w:delText>
        </w:r>
        <w:r w:rsidRPr="00004B19">
          <w:rPr>
            <w:b/>
            <w:sz w:val="22"/>
          </w:rPr>
          <w:delText xml:space="preserve"> </w:delText>
        </w:r>
      </w:del>
    </w:p>
    <w:p w14:paraId="014D70C8" w14:textId="215DE70B" w:rsidR="0015674E" w:rsidRPr="00004B19" w:rsidRDefault="0015674E" w:rsidP="0015674E">
      <w:pPr>
        <w:keepNext/>
        <w:rPr>
          <w:del w:id="349" w:author="AbbVie02no" w:date="2025-05-15T12:36:00Z"/>
          <w:b/>
          <w:sz w:val="22"/>
        </w:rPr>
      </w:pPr>
    </w:p>
    <w:p w14:paraId="12EC6B45" w14:textId="3DD478FD" w:rsidR="0015674E" w:rsidRPr="00004B19" w:rsidRDefault="00E453CD" w:rsidP="0015674E">
      <w:pPr>
        <w:rPr>
          <w:del w:id="350" w:author="AbbVie02no" w:date="2025-05-15T12:36:00Z"/>
          <w:sz w:val="22"/>
        </w:rPr>
      </w:pPr>
      <w:del w:id="351" w:author="AbbVie02no" w:date="2025-05-15T12:36:00Z">
        <w:r>
          <w:rPr>
            <w:sz w:val="22"/>
          </w:rPr>
          <w:delText>A</w:delText>
        </w:r>
        <w:r w:rsidRPr="00004B19">
          <w:rPr>
            <w:sz w:val="22"/>
          </w:rPr>
          <w:delText xml:space="preserve">nbefalt dose </w:delText>
        </w:r>
        <w:r>
          <w:rPr>
            <w:sz w:val="22"/>
          </w:rPr>
          <w:delText xml:space="preserve">av </w:delText>
        </w:r>
        <w:r w:rsidRPr="00004B19">
          <w:rPr>
            <w:sz w:val="22"/>
          </w:rPr>
          <w:delText xml:space="preserve">Humira for pasienter </w:delText>
        </w:r>
        <w:r>
          <w:rPr>
            <w:sz w:val="22"/>
          </w:rPr>
          <w:delText>fra</w:delText>
        </w:r>
        <w:r w:rsidRPr="00004B19">
          <w:rPr>
            <w:sz w:val="22"/>
          </w:rPr>
          <w:delText xml:space="preserve"> 6 til 17 år med ulcerøs kolitt er basert på kroppsvekt (tabell 5). Humira administreres </w:delText>
        </w:r>
        <w:r>
          <w:rPr>
            <w:sz w:val="22"/>
          </w:rPr>
          <w:delText>som</w:delText>
        </w:r>
        <w:r w:rsidRPr="00004B19">
          <w:rPr>
            <w:sz w:val="22"/>
          </w:rPr>
          <w:delText xml:space="preserve"> subkutan injeksjon.</w:delText>
        </w:r>
      </w:del>
    </w:p>
    <w:p w14:paraId="12DBFBE7" w14:textId="7275CEC5" w:rsidR="0015674E" w:rsidRPr="00004B19" w:rsidRDefault="00E453CD" w:rsidP="0015674E">
      <w:pPr>
        <w:rPr>
          <w:del w:id="352" w:author="AbbVie02no" w:date="2025-05-15T12:36:00Z"/>
          <w:sz w:val="22"/>
        </w:rPr>
      </w:pPr>
      <w:del w:id="353" w:author="AbbVie02no" w:date="2025-05-15T12:36:00Z">
        <w:r w:rsidRPr="00004B19">
          <w:rPr>
            <w:sz w:val="22"/>
          </w:rPr>
          <w:delText xml:space="preserve"> </w:delText>
        </w:r>
      </w:del>
    </w:p>
    <w:p w14:paraId="1C5B96FD" w14:textId="4AE80B84" w:rsidR="0015674E" w:rsidRPr="00004B19" w:rsidRDefault="00E453CD" w:rsidP="0015674E">
      <w:pPr>
        <w:keepNext/>
        <w:jc w:val="center"/>
        <w:rPr>
          <w:del w:id="354" w:author="AbbVie02no" w:date="2025-05-15T12:36:00Z"/>
          <w:sz w:val="22"/>
        </w:rPr>
      </w:pPr>
      <w:del w:id="355" w:author="AbbVie02no" w:date="2025-05-15T12:36:00Z">
        <w:r w:rsidRPr="00004B19">
          <w:rPr>
            <w:b/>
            <w:sz w:val="22"/>
          </w:rPr>
          <w:delText>Tabell 5. Humiradose</w:delText>
        </w:r>
        <w:r>
          <w:rPr>
            <w:b/>
            <w:sz w:val="22"/>
          </w:rPr>
          <w:delText>ring</w:delText>
        </w:r>
        <w:r w:rsidRPr="00004B19">
          <w:rPr>
            <w:b/>
            <w:sz w:val="22"/>
          </w:rPr>
          <w:delText xml:space="preserve"> for </w:delText>
        </w:r>
        <w:r w:rsidRPr="00AB7697">
          <w:rPr>
            <w:b/>
            <w:sz w:val="22"/>
            <w:szCs w:val="22"/>
          </w:rPr>
          <w:delText>pediatriske pasienter</w:delText>
        </w:r>
        <w:r w:rsidRPr="00004B19">
          <w:rPr>
            <w:b/>
            <w:sz w:val="22"/>
          </w:rPr>
          <w:delText xml:space="preserve"> med ulcerøs kolitt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3"/>
        <w:gridCol w:w="3319"/>
        <w:gridCol w:w="3156"/>
      </w:tblGrid>
      <w:tr w:rsidR="004644D4" w14:paraId="1D3E7569" w14:textId="7876F55B" w:rsidTr="00DC6ED9">
        <w:trPr>
          <w:jc w:val="center"/>
          <w:del w:id="356" w:author="AbbVie02no" w:date="2025-05-15T12:36: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BC1D60" w14:textId="7E23C97B" w:rsidR="0015674E" w:rsidRPr="00004B19" w:rsidRDefault="00E453CD" w:rsidP="00DC6ED9">
            <w:pPr>
              <w:jc w:val="center"/>
              <w:rPr>
                <w:del w:id="357" w:author="AbbVie02no" w:date="2025-05-15T12:36:00Z"/>
                <w:b/>
                <w:sz w:val="22"/>
              </w:rPr>
            </w:pPr>
            <w:del w:id="358" w:author="AbbVie02no" w:date="2025-05-15T12:36:00Z">
              <w:r>
                <w:rPr>
                  <w:b/>
                  <w:sz w:val="22"/>
                </w:rPr>
                <w:delText>Kropps</w:delText>
              </w:r>
              <w:r w:rsidRPr="00004B19">
                <w:rPr>
                  <w:b/>
                  <w:sz w:val="22"/>
                </w:rPr>
                <w:delText>vekt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4BBFA336" w14:textId="275092E5" w:rsidR="0015674E" w:rsidRPr="00004B19" w:rsidRDefault="00E453CD" w:rsidP="00DC6ED9">
            <w:pPr>
              <w:jc w:val="center"/>
              <w:rPr>
                <w:del w:id="359" w:author="AbbVie02no" w:date="2025-05-15T12:36:00Z"/>
                <w:b/>
                <w:sz w:val="22"/>
              </w:rPr>
            </w:pPr>
            <w:del w:id="360" w:author="AbbVie02no" w:date="2025-05-15T12:36:00Z">
              <w:r>
                <w:rPr>
                  <w:b/>
                  <w:sz w:val="22"/>
                </w:rPr>
                <w:delText>Start</w:delText>
              </w:r>
              <w:r w:rsidRPr="00004B19">
                <w:rPr>
                  <w:b/>
                  <w:sz w:val="22"/>
                </w:rPr>
                <w:delText>dose</w:delText>
              </w:r>
            </w:del>
          </w:p>
        </w:tc>
        <w:tc>
          <w:tcPr>
            <w:tcW w:w="1906" w:type="pct"/>
            <w:tcBorders>
              <w:top w:val="single" w:sz="6" w:space="0" w:color="000000"/>
              <w:left w:val="single" w:sz="6" w:space="0" w:color="000000"/>
              <w:bottom w:val="single" w:sz="6" w:space="0" w:color="000000"/>
              <w:right w:val="single" w:sz="6" w:space="0" w:color="000000"/>
            </w:tcBorders>
            <w:hideMark/>
          </w:tcPr>
          <w:p w14:paraId="11E51AB6" w14:textId="3E91BFC6" w:rsidR="0015674E" w:rsidRPr="00004B19" w:rsidRDefault="00E453CD" w:rsidP="00DC6ED9">
            <w:pPr>
              <w:jc w:val="center"/>
              <w:rPr>
                <w:del w:id="361" w:author="AbbVie02no" w:date="2025-05-15T12:36:00Z"/>
                <w:b/>
                <w:sz w:val="22"/>
              </w:rPr>
            </w:pPr>
            <w:del w:id="362" w:author="AbbVie02no" w:date="2025-05-15T12:36:00Z">
              <w:r w:rsidRPr="00004B19">
                <w:rPr>
                  <w:b/>
                  <w:sz w:val="22"/>
                </w:rPr>
                <w:delText xml:space="preserve">Vedlikeholdsdose </w:delText>
              </w:r>
              <w:r w:rsidRPr="00004B19">
                <w:rPr>
                  <w:b/>
                  <w:sz w:val="22"/>
                </w:rPr>
                <w:br/>
                <w:delText>fra uke 4*</w:delText>
              </w:r>
            </w:del>
          </w:p>
        </w:tc>
      </w:tr>
      <w:tr w:rsidR="004644D4" w14:paraId="0EF49CB1" w14:textId="6152CDA2" w:rsidTr="00DC6ED9">
        <w:trPr>
          <w:jc w:val="center"/>
          <w:del w:id="363" w:author="AbbVie02no" w:date="2025-05-15T12:36:00Z"/>
        </w:trPr>
        <w:tc>
          <w:tcPr>
            <w:tcW w:w="0" w:type="auto"/>
            <w:tcBorders>
              <w:top w:val="single" w:sz="6" w:space="0" w:color="000000"/>
              <w:left w:val="single" w:sz="6" w:space="0" w:color="000000"/>
              <w:bottom w:val="single" w:sz="6" w:space="0" w:color="000000"/>
              <w:right w:val="single" w:sz="6" w:space="0" w:color="000000"/>
            </w:tcBorders>
            <w:hideMark/>
          </w:tcPr>
          <w:p w14:paraId="002B06F4" w14:textId="173B3E55" w:rsidR="0015674E" w:rsidRPr="00004B19" w:rsidRDefault="00E453CD" w:rsidP="00DC6ED9">
            <w:pPr>
              <w:jc w:val="center"/>
              <w:rPr>
                <w:del w:id="364" w:author="AbbVie02no" w:date="2025-05-15T12:36:00Z"/>
                <w:sz w:val="22"/>
              </w:rPr>
            </w:pPr>
            <w:del w:id="365" w:author="AbbVie02no" w:date="2025-05-15T12:36:00Z">
              <w:r w:rsidRPr="00004B19">
                <w:rPr>
                  <w:sz w:val="22"/>
                </w:rPr>
                <w:delText>&lt;40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0DB66EE6" w14:textId="1A0C4778" w:rsidR="0015674E" w:rsidRPr="00004B19" w:rsidRDefault="00E453CD" w:rsidP="00DC6ED9">
            <w:pPr>
              <w:numPr>
                <w:ilvl w:val="0"/>
                <w:numId w:val="162"/>
              </w:numPr>
              <w:ind w:left="360" w:hanging="210"/>
              <w:rPr>
                <w:del w:id="366" w:author="AbbVie02no" w:date="2025-05-15T12:36:00Z"/>
                <w:sz w:val="22"/>
              </w:rPr>
            </w:pPr>
            <w:del w:id="367" w:author="AbbVie02no" w:date="2025-05-15T12:36:00Z">
              <w:r w:rsidRPr="00004B19">
                <w:rPr>
                  <w:sz w:val="22"/>
                </w:rPr>
                <w:delText>80</w:delText>
              </w:r>
              <w:r>
                <w:rPr>
                  <w:sz w:val="22"/>
                </w:rPr>
                <w:delText> </w:delText>
              </w:r>
              <w:r w:rsidRPr="00004B19">
                <w:rPr>
                  <w:sz w:val="22"/>
                </w:rPr>
                <w:delText xml:space="preserve">mg </w:delText>
              </w:r>
              <w:r>
                <w:rPr>
                  <w:sz w:val="22"/>
                </w:rPr>
                <w:delText>ved</w:delText>
              </w:r>
              <w:r w:rsidRPr="00004B19">
                <w:rPr>
                  <w:sz w:val="22"/>
                </w:rPr>
                <w:delText xml:space="preserve"> uke 0 (gitt som to 40</w:delText>
              </w:r>
              <w:r>
                <w:rPr>
                  <w:sz w:val="22"/>
                </w:rPr>
                <w:delText> </w:delText>
              </w:r>
              <w:r w:rsidRPr="00004B19">
                <w:rPr>
                  <w:sz w:val="22"/>
                </w:rPr>
                <w:delText>mg injeksjoner på én dag) og</w:delText>
              </w:r>
            </w:del>
          </w:p>
          <w:p w14:paraId="2AC92022" w14:textId="1DC62BDE" w:rsidR="0015674E" w:rsidRPr="00004B19" w:rsidRDefault="00E453CD" w:rsidP="00DC6ED9">
            <w:pPr>
              <w:numPr>
                <w:ilvl w:val="0"/>
                <w:numId w:val="162"/>
              </w:numPr>
              <w:ind w:left="360" w:hanging="210"/>
              <w:rPr>
                <w:del w:id="368" w:author="AbbVie02no" w:date="2025-05-15T12:36:00Z"/>
                <w:sz w:val="22"/>
              </w:rPr>
            </w:pPr>
            <w:del w:id="369" w:author="AbbVie02no" w:date="2025-05-15T12:36:00Z">
              <w:r w:rsidRPr="00004B19">
                <w:rPr>
                  <w:sz w:val="22"/>
                </w:rPr>
                <w:delText>40</w:delText>
              </w:r>
              <w:r>
                <w:rPr>
                  <w:sz w:val="22"/>
                </w:rPr>
                <w:delText> </w:delText>
              </w:r>
              <w:r w:rsidRPr="00004B19">
                <w:rPr>
                  <w:sz w:val="22"/>
                </w:rPr>
                <w:delText xml:space="preserve">mg </w:delText>
              </w:r>
              <w:r>
                <w:rPr>
                  <w:sz w:val="22"/>
                </w:rPr>
                <w:delText>ved</w:delText>
              </w:r>
              <w:r w:rsidRPr="00004B19">
                <w:rPr>
                  <w:sz w:val="22"/>
                </w:rPr>
                <w:delText xml:space="preserve"> uke 2 (gitt som </w:delText>
              </w:r>
              <w:r>
                <w:rPr>
                  <w:sz w:val="22"/>
                </w:rPr>
                <w:delText>é</w:delText>
              </w:r>
              <w:r w:rsidRPr="00004B19">
                <w:rPr>
                  <w:sz w:val="22"/>
                </w:rPr>
                <w:delText>n 40</w:delText>
              </w:r>
              <w:r>
                <w:rPr>
                  <w:sz w:val="22"/>
                </w:rPr>
                <w:delText> </w:delText>
              </w:r>
              <w:r w:rsidRPr="00004B19">
                <w:rPr>
                  <w:sz w:val="22"/>
                </w:rPr>
                <w:delText>mg injeksjon)</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0E29180" w14:textId="06AACBA3" w:rsidR="0015674E" w:rsidRPr="00004B19" w:rsidRDefault="00E453CD" w:rsidP="00DC6ED9">
            <w:pPr>
              <w:numPr>
                <w:ilvl w:val="0"/>
                <w:numId w:val="162"/>
              </w:numPr>
              <w:ind w:left="360" w:hanging="210"/>
              <w:rPr>
                <w:del w:id="370" w:author="AbbVie02no" w:date="2025-05-15T12:36:00Z"/>
                <w:sz w:val="22"/>
              </w:rPr>
            </w:pPr>
            <w:del w:id="371" w:author="AbbVie02no" w:date="2025-05-15T12:36:00Z">
              <w:r w:rsidRPr="00004B19">
                <w:rPr>
                  <w:sz w:val="22"/>
                </w:rPr>
                <w:delText>40</w:delText>
              </w:r>
              <w:r>
                <w:rPr>
                  <w:sz w:val="22"/>
                </w:rPr>
                <w:delText> </w:delText>
              </w:r>
              <w:r w:rsidRPr="00004B19">
                <w:rPr>
                  <w:sz w:val="22"/>
                </w:rPr>
                <w:delText>mg annenhver uke</w:delText>
              </w:r>
            </w:del>
          </w:p>
        </w:tc>
      </w:tr>
      <w:tr w:rsidR="004644D4" w14:paraId="3AE8A082" w14:textId="5AE2372E" w:rsidTr="00DC6ED9">
        <w:trPr>
          <w:jc w:val="center"/>
          <w:del w:id="372" w:author="AbbVie02no" w:date="2025-05-15T12:36:00Z"/>
        </w:trPr>
        <w:tc>
          <w:tcPr>
            <w:tcW w:w="0" w:type="auto"/>
            <w:tcBorders>
              <w:top w:val="single" w:sz="6" w:space="0" w:color="000000"/>
              <w:left w:val="single" w:sz="6" w:space="0" w:color="000000"/>
              <w:bottom w:val="single" w:sz="4" w:space="0" w:color="auto"/>
              <w:right w:val="single" w:sz="6" w:space="0" w:color="000000"/>
            </w:tcBorders>
            <w:hideMark/>
          </w:tcPr>
          <w:p w14:paraId="592BE6D3" w14:textId="0B996132" w:rsidR="0015674E" w:rsidRPr="00004B19" w:rsidRDefault="00E453CD" w:rsidP="00DC6ED9">
            <w:pPr>
              <w:jc w:val="center"/>
              <w:rPr>
                <w:del w:id="373" w:author="AbbVie02no" w:date="2025-05-15T12:36:00Z"/>
                <w:sz w:val="22"/>
              </w:rPr>
            </w:pPr>
            <w:del w:id="374" w:author="AbbVie02no" w:date="2025-05-15T12:36:00Z">
              <w:r>
                <w:rPr>
                  <w:sz w:val="22"/>
                </w:rPr>
                <w:delText>≥</w:delText>
              </w:r>
              <w:r w:rsidRPr="00004B19">
                <w:rPr>
                  <w:sz w:val="22"/>
                </w:rPr>
                <w:delText>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04431EA9" w14:textId="59AFAC17" w:rsidR="0015674E" w:rsidRPr="00004B19" w:rsidRDefault="00E453CD" w:rsidP="00DC6ED9">
            <w:pPr>
              <w:numPr>
                <w:ilvl w:val="0"/>
                <w:numId w:val="163"/>
              </w:numPr>
              <w:ind w:left="360" w:hanging="210"/>
              <w:rPr>
                <w:del w:id="375" w:author="AbbVie02no" w:date="2025-05-15T12:36:00Z"/>
                <w:sz w:val="22"/>
              </w:rPr>
            </w:pPr>
            <w:del w:id="376" w:author="AbbVie02no" w:date="2025-05-15T12:36:00Z">
              <w:r w:rsidRPr="00004B19">
                <w:rPr>
                  <w:sz w:val="22"/>
                </w:rPr>
                <w:delText>160</w:delText>
              </w:r>
              <w:r>
                <w:rPr>
                  <w:sz w:val="22"/>
                </w:rPr>
                <w:delText> </w:delText>
              </w:r>
              <w:r w:rsidRPr="00004B19">
                <w:rPr>
                  <w:sz w:val="22"/>
                </w:rPr>
                <w:delText xml:space="preserve">mg </w:delText>
              </w:r>
              <w:r>
                <w:rPr>
                  <w:sz w:val="22"/>
                </w:rPr>
                <w:delText>ved</w:delText>
              </w:r>
              <w:r w:rsidRPr="00004B19">
                <w:rPr>
                  <w:sz w:val="22"/>
                </w:rPr>
                <w:delText xml:space="preserve"> uke 0 (gitt som fire 40</w:delText>
              </w:r>
              <w:r>
                <w:rPr>
                  <w:sz w:val="22"/>
                </w:rPr>
                <w:delText> </w:delText>
              </w:r>
              <w:r w:rsidRPr="00004B19">
                <w:rPr>
                  <w:sz w:val="22"/>
                </w:rPr>
                <w:delText xml:space="preserve">mg injeksjoner på </w:delText>
              </w:r>
              <w:r>
                <w:rPr>
                  <w:sz w:val="22"/>
                </w:rPr>
                <w:delText>é</w:delText>
              </w:r>
              <w:r w:rsidRPr="00004B19">
                <w:rPr>
                  <w:sz w:val="22"/>
                </w:rPr>
                <w:delText>n dag eller to 40</w:delText>
              </w:r>
              <w:r>
                <w:rPr>
                  <w:sz w:val="22"/>
                </w:rPr>
                <w:delText> </w:delText>
              </w:r>
              <w:r w:rsidRPr="00004B19">
                <w:rPr>
                  <w:sz w:val="22"/>
                </w:rPr>
                <w:delText>mg injeksjoner dag</w:delText>
              </w:r>
              <w:r>
                <w:rPr>
                  <w:sz w:val="22"/>
                </w:rPr>
                <w:delText>lig</w:delText>
              </w:r>
              <w:r w:rsidRPr="00004B19">
                <w:rPr>
                  <w:sz w:val="22"/>
                </w:rPr>
                <w:delText xml:space="preserve"> </w:delText>
              </w:r>
              <w:r w:rsidR="00F85E22">
                <w:rPr>
                  <w:sz w:val="22"/>
                </w:rPr>
                <w:delText>i</w:delText>
              </w:r>
              <w:r w:rsidRPr="00004B19">
                <w:rPr>
                  <w:sz w:val="22"/>
                </w:rPr>
                <w:delText xml:space="preserve"> to påfølgende dager) og</w:delText>
              </w:r>
            </w:del>
          </w:p>
          <w:p w14:paraId="1DFBE7B4" w14:textId="3C5A6485" w:rsidR="0015674E" w:rsidRPr="00004B19" w:rsidRDefault="00E453CD" w:rsidP="00DC6ED9">
            <w:pPr>
              <w:numPr>
                <w:ilvl w:val="0"/>
                <w:numId w:val="163"/>
              </w:numPr>
              <w:ind w:left="360" w:hanging="210"/>
              <w:rPr>
                <w:del w:id="377" w:author="AbbVie02no" w:date="2025-05-15T12:36:00Z"/>
                <w:sz w:val="22"/>
              </w:rPr>
            </w:pPr>
            <w:del w:id="378" w:author="AbbVie02no" w:date="2025-05-15T12:36:00Z">
              <w:r w:rsidRPr="00004B19">
                <w:rPr>
                  <w:sz w:val="22"/>
                </w:rPr>
                <w:delText>80</w:delText>
              </w:r>
              <w:r>
                <w:rPr>
                  <w:sz w:val="22"/>
                </w:rPr>
                <w:delText> </w:delText>
              </w:r>
              <w:r w:rsidRPr="00004B19">
                <w:rPr>
                  <w:sz w:val="22"/>
                </w:rPr>
                <w:delText xml:space="preserve">mg </w:delText>
              </w:r>
              <w:r>
                <w:rPr>
                  <w:sz w:val="22"/>
                </w:rPr>
                <w:delText>ved</w:delText>
              </w:r>
              <w:r w:rsidRPr="00004B19">
                <w:rPr>
                  <w:sz w:val="22"/>
                </w:rPr>
                <w:delText xml:space="preserve"> uke 2 (gitt som to 40</w:delText>
              </w:r>
              <w:r>
                <w:rPr>
                  <w:sz w:val="22"/>
                </w:rPr>
                <w:delText> </w:delText>
              </w:r>
              <w:r w:rsidRPr="00004B19">
                <w:rPr>
                  <w:sz w:val="22"/>
                </w:rPr>
                <w:delText>mg injeksjoner på én dag)</w:delText>
              </w:r>
            </w:del>
          </w:p>
        </w:tc>
        <w:tc>
          <w:tcPr>
            <w:tcW w:w="1906" w:type="pct"/>
            <w:tcBorders>
              <w:top w:val="single" w:sz="6" w:space="0" w:color="000000"/>
              <w:left w:val="single" w:sz="6" w:space="0" w:color="000000"/>
              <w:bottom w:val="single" w:sz="4" w:space="0" w:color="auto"/>
              <w:right w:val="single" w:sz="6" w:space="0" w:color="000000"/>
            </w:tcBorders>
            <w:hideMark/>
          </w:tcPr>
          <w:p w14:paraId="63F4A19B" w14:textId="67F5C70D" w:rsidR="0015674E" w:rsidRPr="00004B19" w:rsidRDefault="00E453CD" w:rsidP="00DC6ED9">
            <w:pPr>
              <w:numPr>
                <w:ilvl w:val="0"/>
                <w:numId w:val="162"/>
              </w:numPr>
              <w:ind w:left="360" w:hanging="210"/>
              <w:rPr>
                <w:del w:id="379" w:author="AbbVie02no" w:date="2025-05-15T12:36:00Z"/>
                <w:sz w:val="22"/>
              </w:rPr>
            </w:pPr>
            <w:del w:id="380" w:author="AbbVie02no" w:date="2025-05-15T12:36:00Z">
              <w:r w:rsidRPr="00004B19">
                <w:rPr>
                  <w:sz w:val="22"/>
                </w:rPr>
                <w:delText>80</w:delText>
              </w:r>
              <w:r>
                <w:rPr>
                  <w:sz w:val="22"/>
                </w:rPr>
                <w:delText> </w:delText>
              </w:r>
              <w:r w:rsidRPr="00004B19">
                <w:rPr>
                  <w:sz w:val="22"/>
                </w:rPr>
                <w:delText>mg annenhver uke</w:delText>
              </w:r>
            </w:del>
          </w:p>
        </w:tc>
      </w:tr>
      <w:tr w:rsidR="004644D4" w14:paraId="21545D4C" w14:textId="766BCFD5" w:rsidTr="00DC6ED9">
        <w:trPr>
          <w:jc w:val="center"/>
          <w:del w:id="381" w:author="AbbVie02no" w:date="2025-05-15T12:36:00Z"/>
        </w:trPr>
        <w:tc>
          <w:tcPr>
            <w:tcW w:w="5000" w:type="pct"/>
            <w:gridSpan w:val="3"/>
            <w:tcBorders>
              <w:top w:val="single" w:sz="4" w:space="0" w:color="auto"/>
              <w:left w:val="nil"/>
              <w:bottom w:val="nil"/>
              <w:right w:val="nil"/>
            </w:tcBorders>
          </w:tcPr>
          <w:p w14:paraId="096275F8" w14:textId="718780F9" w:rsidR="0015674E" w:rsidRPr="00004B19" w:rsidRDefault="00E453CD" w:rsidP="00DC6ED9">
            <w:pPr>
              <w:rPr>
                <w:del w:id="382" w:author="AbbVie02no" w:date="2025-05-15T12:36:00Z"/>
                <w:sz w:val="22"/>
              </w:rPr>
            </w:pPr>
            <w:del w:id="383" w:author="AbbVie02no" w:date="2025-05-15T12:36:00Z">
              <w:r w:rsidRPr="00004B19">
                <w:rPr>
                  <w:sz w:val="22"/>
                  <w:vertAlign w:val="superscript"/>
                </w:rPr>
                <w:delText>*</w:delText>
              </w:r>
              <w:r>
                <w:rPr>
                  <w:sz w:val="22"/>
                </w:rPr>
                <w:delText>Pediatriske pasienter som fyller 18</w:delText>
              </w:r>
              <w:r w:rsidRPr="00004B19">
                <w:rPr>
                  <w:sz w:val="22"/>
                </w:rPr>
                <w:delText xml:space="preserve"> år mens de bruker Humira, bør fortsette sin foreskrevne vedlikeholdsdose.</w:delText>
              </w:r>
            </w:del>
          </w:p>
        </w:tc>
      </w:tr>
    </w:tbl>
    <w:p w14:paraId="3C8BFAE9" w14:textId="2111167E" w:rsidR="0015674E" w:rsidRDefault="0015674E" w:rsidP="0015674E">
      <w:pPr>
        <w:tabs>
          <w:tab w:val="left" w:pos="705"/>
        </w:tabs>
        <w:suppressAutoHyphens/>
        <w:rPr>
          <w:del w:id="384" w:author="AbbVie02no" w:date="2025-05-15T12:36:00Z"/>
          <w:sz w:val="22"/>
          <w:szCs w:val="22"/>
        </w:rPr>
      </w:pPr>
    </w:p>
    <w:p w14:paraId="61258F5D" w14:textId="164AD081" w:rsidR="0015674E" w:rsidRPr="00004B19" w:rsidRDefault="00E453CD" w:rsidP="0015674E">
      <w:pPr>
        <w:rPr>
          <w:del w:id="385" w:author="AbbVie02no" w:date="2025-05-15T12:36:00Z"/>
          <w:sz w:val="22"/>
        </w:rPr>
      </w:pPr>
      <w:del w:id="386" w:author="AbbVie02no" w:date="2025-05-15T12:36:00Z">
        <w:r>
          <w:rPr>
            <w:sz w:val="22"/>
          </w:rPr>
          <w:delText>Videre</w:delText>
        </w:r>
        <w:r w:rsidRPr="00004B19">
          <w:rPr>
            <w:sz w:val="22"/>
          </w:rPr>
          <w:delText xml:space="preserve"> behandling utover 8 uker bør vurderes nøye hos pasienter som ikke viser tegn til respons innen denne tidsperioden.</w:delText>
        </w:r>
      </w:del>
    </w:p>
    <w:p w14:paraId="78F9D100" w14:textId="4F2DADB1" w:rsidR="0015674E" w:rsidRPr="00004B19" w:rsidRDefault="0015674E" w:rsidP="0015674E">
      <w:pPr>
        <w:rPr>
          <w:del w:id="387" w:author="AbbVie02no" w:date="2025-05-15T12:36:00Z"/>
          <w:sz w:val="22"/>
        </w:rPr>
      </w:pPr>
    </w:p>
    <w:p w14:paraId="22D3F49F" w14:textId="74659A7D" w:rsidR="0015674E" w:rsidRPr="00004B19" w:rsidRDefault="00E453CD" w:rsidP="0015674E">
      <w:pPr>
        <w:rPr>
          <w:del w:id="388" w:author="AbbVie02no" w:date="2025-05-15T12:36:00Z"/>
          <w:sz w:val="22"/>
        </w:rPr>
      </w:pPr>
      <w:del w:id="389" w:author="AbbVie02no" w:date="2025-05-15T12:36:00Z">
        <w:r w:rsidRPr="00004B19">
          <w:rPr>
            <w:sz w:val="22"/>
          </w:rPr>
          <w:delText xml:space="preserve">Det er </w:delText>
        </w:r>
        <w:r>
          <w:rPr>
            <w:sz w:val="22"/>
          </w:rPr>
          <w:delText>ikke</w:delText>
        </w:r>
        <w:r w:rsidRPr="00004B19">
          <w:rPr>
            <w:sz w:val="22"/>
          </w:rPr>
          <w:delText xml:space="preserve"> relevant </w:delText>
        </w:r>
        <w:r>
          <w:rPr>
            <w:sz w:val="22"/>
          </w:rPr>
          <w:delText xml:space="preserve">å </w:delText>
        </w:r>
        <w:r w:rsidRPr="00004B19">
          <w:rPr>
            <w:sz w:val="22"/>
          </w:rPr>
          <w:delText>bruk</w:delText>
        </w:r>
        <w:r>
          <w:rPr>
            <w:sz w:val="22"/>
          </w:rPr>
          <w:delText>e</w:delText>
        </w:r>
        <w:r w:rsidRPr="00004B19">
          <w:rPr>
            <w:sz w:val="22"/>
          </w:rPr>
          <w:delText xml:space="preserve"> Humira hos barn under 6</w:delText>
        </w:r>
        <w:r>
          <w:rPr>
            <w:sz w:val="22"/>
          </w:rPr>
          <w:delText> </w:delText>
        </w:r>
        <w:r w:rsidRPr="00004B19">
          <w:rPr>
            <w:sz w:val="22"/>
          </w:rPr>
          <w:delText xml:space="preserve">år </w:delText>
        </w:r>
        <w:r>
          <w:rPr>
            <w:sz w:val="22"/>
          </w:rPr>
          <w:delText>ved</w:delText>
        </w:r>
        <w:r w:rsidRPr="00004B19">
          <w:rPr>
            <w:sz w:val="22"/>
          </w:rPr>
          <w:delText xml:space="preserve"> denne indikasjonen.</w:delText>
        </w:r>
      </w:del>
    </w:p>
    <w:p w14:paraId="385C48E9" w14:textId="78E4A285" w:rsidR="0015674E" w:rsidRPr="00004B19" w:rsidRDefault="0015674E" w:rsidP="0015674E">
      <w:pPr>
        <w:rPr>
          <w:del w:id="390" w:author="AbbVie02no" w:date="2025-05-15T12:36:00Z"/>
          <w:sz w:val="22"/>
        </w:rPr>
      </w:pPr>
    </w:p>
    <w:p w14:paraId="4765E19E" w14:textId="2E634A17" w:rsidR="0015674E" w:rsidRPr="00004B19" w:rsidRDefault="00E453CD" w:rsidP="0015674E">
      <w:pPr>
        <w:rPr>
          <w:del w:id="391" w:author="AbbVie02no" w:date="2025-05-15T12:36:00Z"/>
          <w:sz w:val="22"/>
        </w:rPr>
      </w:pPr>
      <w:del w:id="392" w:author="AbbVie02no" w:date="2025-05-15T12:36:00Z">
        <w:r w:rsidRPr="00004B19">
          <w:rPr>
            <w:sz w:val="22"/>
          </w:rPr>
          <w:delText xml:space="preserve">Humira kan være tilgjengelig i </w:delText>
        </w:r>
        <w:r>
          <w:rPr>
            <w:sz w:val="22"/>
          </w:rPr>
          <w:delText>andre</w:delText>
        </w:r>
        <w:r w:rsidRPr="00004B19">
          <w:rPr>
            <w:sz w:val="22"/>
          </w:rPr>
          <w:delText xml:space="preserve"> styrker og/eller </w:delText>
        </w:r>
        <w:r>
          <w:rPr>
            <w:sz w:val="22"/>
          </w:rPr>
          <w:delText>formuleringer</w:delText>
        </w:r>
        <w:r w:rsidRPr="00004B19">
          <w:rPr>
            <w:sz w:val="22"/>
          </w:rPr>
          <w:delText xml:space="preserve"> avhengig av individuelle behandlingsbehov.</w:delText>
        </w:r>
      </w:del>
    </w:p>
    <w:p w14:paraId="2A8D5579" w14:textId="321E104D" w:rsidR="00E3288A" w:rsidRDefault="00E3288A" w:rsidP="00B3311E">
      <w:pPr>
        <w:tabs>
          <w:tab w:val="left" w:pos="705"/>
        </w:tabs>
        <w:suppressAutoHyphens/>
        <w:rPr>
          <w:del w:id="393" w:author="AbbVie02no" w:date="2025-05-15T12:36:00Z"/>
          <w:sz w:val="22"/>
          <w:szCs w:val="22"/>
        </w:rPr>
      </w:pPr>
    </w:p>
    <w:p w14:paraId="0B14CC17" w14:textId="0930B1C3" w:rsidR="00CC1513" w:rsidRPr="00B3311E" w:rsidRDefault="00E453CD" w:rsidP="00B3311E">
      <w:pPr>
        <w:keepNext/>
        <w:tabs>
          <w:tab w:val="left" w:pos="705"/>
        </w:tabs>
        <w:suppressAutoHyphens/>
        <w:rPr>
          <w:del w:id="394" w:author="AbbVie02no" w:date="2025-05-15T12:36:00Z"/>
          <w:i/>
          <w:sz w:val="22"/>
          <w:szCs w:val="22"/>
        </w:rPr>
      </w:pPr>
      <w:del w:id="395" w:author="AbbVie02no" w:date="2025-05-15T12:36:00Z">
        <w:r w:rsidRPr="00B3311E">
          <w:rPr>
            <w:i/>
            <w:sz w:val="22"/>
            <w:szCs w:val="22"/>
          </w:rPr>
          <w:delText>Pediatrisk uveitt</w:delText>
        </w:r>
      </w:del>
    </w:p>
    <w:p w14:paraId="37E64C9F" w14:textId="2C2031AD" w:rsidR="00CC1513" w:rsidRDefault="00CC1513" w:rsidP="00B3311E">
      <w:pPr>
        <w:keepNext/>
        <w:tabs>
          <w:tab w:val="left" w:pos="705"/>
        </w:tabs>
        <w:suppressAutoHyphens/>
        <w:rPr>
          <w:del w:id="396" w:author="AbbVie02no" w:date="2025-05-15T12:36:00Z"/>
          <w:i/>
          <w:sz w:val="22"/>
          <w:szCs w:val="22"/>
          <w:u w:val="single"/>
        </w:rPr>
      </w:pPr>
    </w:p>
    <w:p w14:paraId="1916476E" w14:textId="133CC749" w:rsidR="00A27829" w:rsidRDefault="00E453CD" w:rsidP="00AB7697">
      <w:pPr>
        <w:rPr>
          <w:del w:id="397" w:author="AbbVie02no" w:date="2025-05-15T12:36:00Z"/>
          <w:sz w:val="22"/>
          <w:szCs w:val="22"/>
        </w:rPr>
      </w:pPr>
      <w:del w:id="398" w:author="AbbVie02no" w:date="2025-05-15T12:36:00Z">
        <w:r>
          <w:rPr>
            <w:sz w:val="22"/>
          </w:rPr>
          <w:delText xml:space="preserve">Anbefalt dose av Humira </w:delText>
        </w:r>
        <w:r w:rsidR="004C6A14">
          <w:rPr>
            <w:sz w:val="22"/>
          </w:rPr>
          <w:delText>hos</w:delText>
        </w:r>
        <w:r>
          <w:rPr>
            <w:sz w:val="22"/>
          </w:rPr>
          <w:delText xml:space="preserve"> pedi</w:delText>
        </w:r>
        <w:r w:rsidR="00FA3AFC">
          <w:rPr>
            <w:sz w:val="22"/>
          </w:rPr>
          <w:delText>a</w:delText>
        </w:r>
        <w:r>
          <w:rPr>
            <w:sz w:val="22"/>
          </w:rPr>
          <w:delText xml:space="preserve">triske pasienter med uveitt </w:delText>
        </w:r>
        <w:r w:rsidR="004C6A14">
          <w:rPr>
            <w:sz w:val="22"/>
          </w:rPr>
          <w:delText>over</w:delText>
        </w:r>
        <w:r>
          <w:rPr>
            <w:sz w:val="22"/>
          </w:rPr>
          <w:delText xml:space="preserve"> 2 år er basert på kroppsvekt (</w:delText>
        </w:r>
        <w:r w:rsidR="00D50C8B">
          <w:rPr>
            <w:sz w:val="22"/>
          </w:rPr>
          <w:delText>t</w:delText>
        </w:r>
        <w:r w:rsidR="00E04B2A">
          <w:rPr>
            <w:sz w:val="22"/>
          </w:rPr>
          <w:delText>abell </w:delText>
        </w:r>
        <w:r w:rsidR="00E3288A">
          <w:rPr>
            <w:sz w:val="22"/>
          </w:rPr>
          <w:delText>6</w:delText>
        </w:r>
        <w:r>
          <w:rPr>
            <w:sz w:val="22"/>
          </w:rPr>
          <w:delText>). Humira administreres som subkutan injeksjon.</w:delText>
        </w:r>
      </w:del>
    </w:p>
    <w:p w14:paraId="06BF0E5F" w14:textId="1DB5F105" w:rsidR="0012688E" w:rsidRDefault="0012688E" w:rsidP="00AB7697">
      <w:pPr>
        <w:rPr>
          <w:del w:id="399" w:author="AbbVie02no" w:date="2025-05-15T12:36:00Z"/>
          <w:sz w:val="22"/>
          <w:szCs w:val="22"/>
        </w:rPr>
      </w:pPr>
    </w:p>
    <w:p w14:paraId="6A9709F5" w14:textId="67CDA122" w:rsidR="0012688E" w:rsidRDefault="00E453CD" w:rsidP="0012688E">
      <w:pPr>
        <w:tabs>
          <w:tab w:val="left" w:pos="705"/>
        </w:tabs>
        <w:suppressAutoHyphens/>
        <w:rPr>
          <w:del w:id="400" w:author="AbbVie02no" w:date="2025-05-15T12:36:00Z"/>
          <w:sz w:val="22"/>
          <w:szCs w:val="22"/>
        </w:rPr>
      </w:pPr>
      <w:del w:id="401" w:author="AbbVie02no" w:date="2025-05-15T12:36:00Z">
        <w:r>
          <w:rPr>
            <w:sz w:val="22"/>
            <w:szCs w:val="22"/>
          </w:rPr>
          <w:delText>Det foreligger ikke erfaring med behandling av pediatrisk uveitt med Humira uten samtidig behandling med metotreksat.</w:delText>
        </w:r>
      </w:del>
    </w:p>
    <w:p w14:paraId="3F65E5BA" w14:textId="56AB940E" w:rsidR="0012688E" w:rsidRDefault="0012688E" w:rsidP="00AB7697">
      <w:pPr>
        <w:rPr>
          <w:del w:id="402" w:author="AbbVie02no" w:date="2025-05-15T12:36:00Z"/>
          <w:sz w:val="22"/>
          <w:szCs w:val="22"/>
        </w:rPr>
      </w:pPr>
    </w:p>
    <w:p w14:paraId="432AF5B9" w14:textId="2FC4B640" w:rsidR="00A27829" w:rsidRPr="000624CD" w:rsidRDefault="00E453CD" w:rsidP="00184283">
      <w:pPr>
        <w:keepNext/>
        <w:jc w:val="center"/>
        <w:rPr>
          <w:del w:id="403" w:author="AbbVie02no" w:date="2025-05-15T12:36:00Z"/>
          <w:sz w:val="22"/>
          <w:szCs w:val="22"/>
        </w:rPr>
      </w:pPr>
      <w:del w:id="404" w:author="AbbVie02no" w:date="2025-05-15T12:36:00Z">
        <w:r w:rsidRPr="00AB7697">
          <w:rPr>
            <w:b/>
            <w:sz w:val="22"/>
            <w:szCs w:val="22"/>
          </w:rPr>
          <w:delText xml:space="preserve">Tabell </w:delText>
        </w:r>
        <w:r w:rsidR="00E3288A">
          <w:rPr>
            <w:b/>
            <w:sz w:val="22"/>
            <w:szCs w:val="22"/>
          </w:rPr>
          <w:delText>6</w:delText>
        </w:r>
        <w:r w:rsidRPr="00AB7697">
          <w:rPr>
            <w:b/>
            <w:sz w:val="22"/>
            <w:szCs w:val="22"/>
          </w:rPr>
          <w:delText>. Humiradosering for pediatriske pasienter med uveitt</w:delText>
        </w:r>
      </w:del>
    </w:p>
    <w:p w14:paraId="62219C49" w14:textId="28907757" w:rsidR="00A27829" w:rsidRPr="00AB7697" w:rsidRDefault="00A27829" w:rsidP="00184283">
      <w:pPr>
        <w:keepNext/>
        <w:jc w:val="center"/>
        <w:rPr>
          <w:del w:id="405" w:author="AbbVie02no" w:date="2025-05-15T12:36:00Z"/>
        </w:rPr>
      </w:pPr>
    </w:p>
    <w:tbl>
      <w:tblPr>
        <w:tblW w:w="6795" w:type="dxa"/>
        <w:jc w:val="center"/>
        <w:tblLayout w:type="fixed"/>
        <w:tblLook w:val="04A0" w:firstRow="1" w:lastRow="0" w:firstColumn="1" w:lastColumn="0" w:noHBand="0" w:noVBand="1"/>
      </w:tblPr>
      <w:tblGrid>
        <w:gridCol w:w="3401"/>
        <w:gridCol w:w="3394"/>
      </w:tblGrid>
      <w:tr w:rsidR="004644D4" w14:paraId="7D2CF623" w14:textId="0646781C" w:rsidTr="00875D02">
        <w:trPr>
          <w:tblHeader/>
          <w:jc w:val="center"/>
          <w:del w:id="406" w:author="AbbVie02no" w:date="2025-05-15T12:36:00Z"/>
        </w:trPr>
        <w:tc>
          <w:tcPr>
            <w:tcW w:w="3401" w:type="dxa"/>
            <w:tcBorders>
              <w:top w:val="single" w:sz="4" w:space="0" w:color="auto"/>
              <w:left w:val="nil"/>
              <w:bottom w:val="single" w:sz="4" w:space="0" w:color="auto"/>
              <w:right w:val="nil"/>
            </w:tcBorders>
            <w:hideMark/>
          </w:tcPr>
          <w:p w14:paraId="3E7593CE" w14:textId="10F0C198" w:rsidR="00A27829" w:rsidRPr="00B42BF5" w:rsidRDefault="00E453CD" w:rsidP="00184283">
            <w:pPr>
              <w:pStyle w:val="TableLeft"/>
              <w:jc w:val="center"/>
              <w:rPr>
                <w:del w:id="407" w:author="AbbVie02no" w:date="2025-05-15T12:36:00Z"/>
                <w:b/>
                <w:sz w:val="22"/>
                <w:szCs w:val="22"/>
                <w:lang w:val="nb-NO"/>
              </w:rPr>
            </w:pPr>
            <w:del w:id="408" w:author="AbbVie02no" w:date="2025-05-15T12:36:00Z">
              <w:r w:rsidRPr="00B42BF5">
                <w:rPr>
                  <w:b/>
                  <w:sz w:val="22"/>
                  <w:szCs w:val="22"/>
                  <w:lang w:val="nb-NO"/>
                </w:rPr>
                <w:delText>Kroppsvekt</w:delText>
              </w:r>
            </w:del>
          </w:p>
        </w:tc>
        <w:tc>
          <w:tcPr>
            <w:tcW w:w="3394" w:type="dxa"/>
            <w:tcBorders>
              <w:top w:val="single" w:sz="4" w:space="0" w:color="auto"/>
              <w:left w:val="nil"/>
              <w:bottom w:val="single" w:sz="4" w:space="0" w:color="auto"/>
              <w:right w:val="nil"/>
            </w:tcBorders>
            <w:hideMark/>
          </w:tcPr>
          <w:p w14:paraId="3FB42645" w14:textId="4920B181" w:rsidR="00A27829" w:rsidRPr="00B42BF5" w:rsidRDefault="00E453CD" w:rsidP="00184283">
            <w:pPr>
              <w:pStyle w:val="TableLeft"/>
              <w:jc w:val="center"/>
              <w:rPr>
                <w:del w:id="409" w:author="AbbVie02no" w:date="2025-05-15T12:36:00Z"/>
                <w:b/>
                <w:sz w:val="22"/>
                <w:szCs w:val="22"/>
                <w:lang w:val="nb-NO"/>
              </w:rPr>
            </w:pPr>
            <w:del w:id="410" w:author="AbbVie02no" w:date="2025-05-15T12:36:00Z">
              <w:r w:rsidRPr="00B42BF5">
                <w:rPr>
                  <w:b/>
                  <w:sz w:val="22"/>
                  <w:szCs w:val="22"/>
                  <w:lang w:val="nb-NO"/>
                </w:rPr>
                <w:delText>Dosering</w:delText>
              </w:r>
            </w:del>
          </w:p>
        </w:tc>
      </w:tr>
      <w:tr w:rsidR="004644D4" w14:paraId="668DAE47" w14:textId="38F472DD" w:rsidTr="00875D02">
        <w:trPr>
          <w:tblHeader/>
          <w:jc w:val="center"/>
          <w:del w:id="411" w:author="AbbVie02no" w:date="2025-05-15T12:36:00Z"/>
        </w:trPr>
        <w:tc>
          <w:tcPr>
            <w:tcW w:w="3401" w:type="dxa"/>
            <w:tcBorders>
              <w:top w:val="single" w:sz="4" w:space="0" w:color="auto"/>
              <w:left w:val="nil"/>
              <w:bottom w:val="single" w:sz="4" w:space="0" w:color="auto"/>
              <w:right w:val="nil"/>
            </w:tcBorders>
            <w:hideMark/>
          </w:tcPr>
          <w:p w14:paraId="40EB8B16" w14:textId="6E97B673" w:rsidR="00A27829" w:rsidRPr="00B42BF5" w:rsidRDefault="00E453CD" w:rsidP="00184283">
            <w:pPr>
              <w:pStyle w:val="TableLeft"/>
              <w:jc w:val="center"/>
              <w:rPr>
                <w:del w:id="412" w:author="AbbVie02no" w:date="2025-05-15T12:36:00Z"/>
                <w:b/>
                <w:sz w:val="22"/>
                <w:szCs w:val="22"/>
                <w:lang w:val="nb-NO"/>
              </w:rPr>
            </w:pPr>
            <w:del w:id="413" w:author="AbbVie02no" w:date="2025-05-15T12:36:00Z">
              <w:r w:rsidRPr="00B42BF5">
                <w:rPr>
                  <w:sz w:val="22"/>
                  <w:szCs w:val="22"/>
                  <w:lang w:val="nb-NO"/>
                </w:rPr>
                <w:delText>&lt; 30 kg</w:delText>
              </w:r>
            </w:del>
          </w:p>
        </w:tc>
        <w:tc>
          <w:tcPr>
            <w:tcW w:w="3394" w:type="dxa"/>
            <w:tcBorders>
              <w:top w:val="single" w:sz="4" w:space="0" w:color="auto"/>
              <w:left w:val="nil"/>
              <w:bottom w:val="single" w:sz="4" w:space="0" w:color="auto"/>
              <w:right w:val="nil"/>
            </w:tcBorders>
            <w:hideMark/>
          </w:tcPr>
          <w:p w14:paraId="274393E6" w14:textId="2DD75569" w:rsidR="00A27829" w:rsidRPr="0017427F" w:rsidRDefault="00E453CD" w:rsidP="00184283">
            <w:pPr>
              <w:pStyle w:val="TableLeft"/>
              <w:jc w:val="center"/>
              <w:rPr>
                <w:del w:id="414" w:author="AbbVie02no" w:date="2025-05-15T12:36:00Z"/>
                <w:b/>
                <w:sz w:val="22"/>
                <w:szCs w:val="22"/>
                <w:lang w:val="nb-NO"/>
              </w:rPr>
            </w:pPr>
            <w:del w:id="415" w:author="AbbVie02no" w:date="2025-05-15T12:36:00Z">
              <w:r w:rsidRPr="0017427F">
                <w:rPr>
                  <w:sz w:val="22"/>
                  <w:szCs w:val="22"/>
                  <w:lang w:val="nb-NO"/>
                </w:rPr>
                <w:delText>20 mg annenhver uke i kombinasjon med metotreksat</w:delText>
              </w:r>
              <w:r>
                <w:rPr>
                  <w:sz w:val="22"/>
                  <w:szCs w:val="22"/>
                  <w:lang w:val="nb-NO"/>
                </w:rPr>
                <w:delText xml:space="preserve"> </w:delText>
              </w:r>
              <w:r w:rsidRPr="0017427F">
                <w:rPr>
                  <w:sz w:val="22"/>
                  <w:szCs w:val="22"/>
                  <w:lang w:val="nb-NO"/>
                </w:rPr>
                <w:delText xml:space="preserve"> </w:delText>
              </w:r>
            </w:del>
          </w:p>
        </w:tc>
      </w:tr>
      <w:tr w:rsidR="004644D4" w14:paraId="09017234" w14:textId="0BD61E5D" w:rsidTr="00875D02">
        <w:trPr>
          <w:tblHeader/>
          <w:jc w:val="center"/>
          <w:del w:id="416" w:author="AbbVie02no" w:date="2025-05-15T12:36:00Z"/>
        </w:trPr>
        <w:tc>
          <w:tcPr>
            <w:tcW w:w="3401" w:type="dxa"/>
            <w:tcBorders>
              <w:top w:val="single" w:sz="4" w:space="0" w:color="auto"/>
              <w:left w:val="nil"/>
              <w:bottom w:val="single" w:sz="4" w:space="0" w:color="auto"/>
              <w:right w:val="nil"/>
            </w:tcBorders>
            <w:hideMark/>
          </w:tcPr>
          <w:p w14:paraId="6463BDD2" w14:textId="0A8144C0" w:rsidR="00A27829" w:rsidRPr="00B42BF5" w:rsidRDefault="00E453CD" w:rsidP="00184283">
            <w:pPr>
              <w:pStyle w:val="TableLeft"/>
              <w:jc w:val="center"/>
              <w:rPr>
                <w:del w:id="417" w:author="AbbVie02no" w:date="2025-05-15T12:36:00Z"/>
                <w:b/>
                <w:sz w:val="22"/>
                <w:szCs w:val="22"/>
                <w:lang w:val="nb-NO"/>
              </w:rPr>
            </w:pPr>
            <w:del w:id="418" w:author="AbbVie02no" w:date="2025-05-15T12:36:00Z">
              <w:r w:rsidRPr="00B42BF5">
                <w:rPr>
                  <w:sz w:val="22"/>
                  <w:szCs w:val="22"/>
                  <w:lang w:val="nb-NO"/>
                </w:rPr>
                <w:delText>≥ 30 kg</w:delText>
              </w:r>
            </w:del>
          </w:p>
        </w:tc>
        <w:tc>
          <w:tcPr>
            <w:tcW w:w="3394" w:type="dxa"/>
            <w:tcBorders>
              <w:top w:val="single" w:sz="4" w:space="0" w:color="auto"/>
              <w:left w:val="nil"/>
              <w:bottom w:val="single" w:sz="4" w:space="0" w:color="auto"/>
              <w:right w:val="nil"/>
            </w:tcBorders>
            <w:hideMark/>
          </w:tcPr>
          <w:p w14:paraId="61760DEF" w14:textId="6C5ECC72" w:rsidR="00A27829" w:rsidRPr="0017427F" w:rsidRDefault="00E453CD" w:rsidP="00184283">
            <w:pPr>
              <w:pStyle w:val="TableLeft"/>
              <w:jc w:val="center"/>
              <w:rPr>
                <w:del w:id="419" w:author="AbbVie02no" w:date="2025-05-15T12:36:00Z"/>
                <w:b/>
                <w:sz w:val="22"/>
                <w:szCs w:val="22"/>
                <w:lang w:val="nb-NO"/>
              </w:rPr>
            </w:pPr>
            <w:del w:id="420" w:author="AbbVie02no" w:date="2025-05-15T12:36:00Z">
              <w:r>
                <w:rPr>
                  <w:sz w:val="22"/>
                  <w:szCs w:val="22"/>
                  <w:lang w:val="nb-NO"/>
                </w:rPr>
                <w:delText>4</w:delText>
              </w:r>
              <w:r w:rsidRPr="00BA33D6">
                <w:rPr>
                  <w:sz w:val="22"/>
                  <w:szCs w:val="22"/>
                  <w:lang w:val="nb-NO"/>
                </w:rPr>
                <w:delText>0 mg annenhver uke i kombinasjon med metotreksat</w:delText>
              </w:r>
            </w:del>
          </w:p>
        </w:tc>
      </w:tr>
    </w:tbl>
    <w:p w14:paraId="1786E958" w14:textId="30578D75" w:rsidR="00C95067" w:rsidRDefault="00C95067" w:rsidP="00B3311E">
      <w:pPr>
        <w:tabs>
          <w:tab w:val="left" w:pos="705"/>
        </w:tabs>
        <w:suppressAutoHyphens/>
        <w:rPr>
          <w:del w:id="421" w:author="AbbVie02no" w:date="2025-05-15T12:36:00Z"/>
          <w:sz w:val="22"/>
          <w:szCs w:val="22"/>
        </w:rPr>
      </w:pPr>
    </w:p>
    <w:p w14:paraId="2DB28E24" w14:textId="3E3A6C04" w:rsidR="00C95067" w:rsidRDefault="00E453CD" w:rsidP="00B3311E">
      <w:pPr>
        <w:tabs>
          <w:tab w:val="left" w:pos="705"/>
        </w:tabs>
        <w:suppressAutoHyphens/>
        <w:rPr>
          <w:del w:id="422" w:author="AbbVie02no" w:date="2025-05-15T12:36:00Z"/>
          <w:sz w:val="22"/>
          <w:szCs w:val="22"/>
        </w:rPr>
      </w:pPr>
      <w:del w:id="423" w:author="AbbVie02no" w:date="2025-05-15T12:36:00Z">
        <w:r>
          <w:rPr>
            <w:sz w:val="22"/>
            <w:szCs w:val="22"/>
          </w:rPr>
          <w:delText>Nå</w:delText>
        </w:r>
        <w:r w:rsidR="004120E2">
          <w:rPr>
            <w:sz w:val="22"/>
            <w:szCs w:val="22"/>
          </w:rPr>
          <w:delText xml:space="preserve">r </w:delText>
        </w:r>
        <w:r>
          <w:rPr>
            <w:sz w:val="22"/>
            <w:szCs w:val="22"/>
          </w:rPr>
          <w:delText xml:space="preserve">behandling </w:delText>
        </w:r>
        <w:r w:rsidR="004120E2">
          <w:rPr>
            <w:sz w:val="22"/>
            <w:szCs w:val="22"/>
          </w:rPr>
          <w:delText xml:space="preserve">med Humira </w:delText>
        </w:r>
        <w:r>
          <w:rPr>
            <w:sz w:val="22"/>
            <w:szCs w:val="22"/>
          </w:rPr>
          <w:delText xml:space="preserve">startes opp, kan en </w:delText>
        </w:r>
        <w:r w:rsidR="005207CC" w:rsidRPr="005207CC">
          <w:rPr>
            <w:sz w:val="22"/>
            <w:szCs w:val="22"/>
          </w:rPr>
          <w:delText>induksjonsdose</w:delText>
        </w:r>
        <w:r>
          <w:rPr>
            <w:sz w:val="22"/>
            <w:szCs w:val="22"/>
          </w:rPr>
          <w:delText xml:space="preserve"> på 40 mg </w:delText>
        </w:r>
        <w:r w:rsidR="009B58BA">
          <w:rPr>
            <w:sz w:val="22"/>
            <w:szCs w:val="22"/>
          </w:rPr>
          <w:delText xml:space="preserve">for pasienter &lt; 30 kg eller 80 mg for pasienter ≥ 30 kg </w:delText>
        </w:r>
        <w:r>
          <w:rPr>
            <w:sz w:val="22"/>
            <w:szCs w:val="22"/>
          </w:rPr>
          <w:delText>administreres én uke før oppstart av vedlikeholdsbehandling. Det foreligger ingen klin</w:delText>
        </w:r>
        <w:r w:rsidR="00302DF8">
          <w:rPr>
            <w:sz w:val="22"/>
            <w:szCs w:val="22"/>
          </w:rPr>
          <w:delText xml:space="preserve">iske data vedrørende bruk av en </w:delText>
        </w:r>
        <w:r w:rsidR="005207CC" w:rsidRPr="005207CC">
          <w:rPr>
            <w:sz w:val="22"/>
            <w:szCs w:val="22"/>
          </w:rPr>
          <w:delText>induksjonsdose</w:delText>
        </w:r>
        <w:r>
          <w:rPr>
            <w:sz w:val="22"/>
            <w:szCs w:val="22"/>
          </w:rPr>
          <w:delText xml:space="preserve"> av Humira hos barn &lt; 6 år (se pkt. 5.2).</w:delText>
        </w:r>
      </w:del>
    </w:p>
    <w:p w14:paraId="3603C542" w14:textId="624EAA1F" w:rsidR="00C95067" w:rsidRDefault="00C95067" w:rsidP="00B3311E">
      <w:pPr>
        <w:tabs>
          <w:tab w:val="left" w:pos="705"/>
        </w:tabs>
        <w:suppressAutoHyphens/>
        <w:rPr>
          <w:del w:id="424" w:author="AbbVie02no" w:date="2025-05-15T12:36:00Z"/>
          <w:bCs/>
          <w:iCs/>
          <w:sz w:val="22"/>
        </w:rPr>
      </w:pPr>
    </w:p>
    <w:p w14:paraId="49B34812" w14:textId="2401034F" w:rsidR="00C95067" w:rsidRDefault="00E453CD" w:rsidP="00B3311E">
      <w:pPr>
        <w:tabs>
          <w:tab w:val="left" w:pos="705"/>
        </w:tabs>
        <w:suppressAutoHyphens/>
        <w:rPr>
          <w:del w:id="425" w:author="AbbVie02no" w:date="2025-05-15T12:36:00Z"/>
          <w:bCs/>
          <w:iCs/>
          <w:sz w:val="22"/>
        </w:rPr>
      </w:pPr>
      <w:del w:id="426" w:author="AbbVie02no" w:date="2025-05-15T12:36:00Z">
        <w:r>
          <w:rPr>
            <w:bCs/>
            <w:iCs/>
            <w:sz w:val="22"/>
          </w:rPr>
          <w:delText>Det er ikke relevant å bruke Humira hos barn under 2 år ved denne indikasjonen.</w:delText>
        </w:r>
      </w:del>
    </w:p>
    <w:p w14:paraId="7DE0C53C" w14:textId="55E8A213" w:rsidR="00C95067" w:rsidRDefault="00C95067" w:rsidP="00B3311E">
      <w:pPr>
        <w:tabs>
          <w:tab w:val="left" w:pos="705"/>
        </w:tabs>
        <w:suppressAutoHyphens/>
        <w:rPr>
          <w:del w:id="427" w:author="AbbVie02no" w:date="2025-05-15T12:36:00Z"/>
          <w:bCs/>
          <w:iCs/>
          <w:sz w:val="22"/>
        </w:rPr>
      </w:pPr>
    </w:p>
    <w:p w14:paraId="32FB81D0" w14:textId="1A775A8B" w:rsidR="00C95067" w:rsidRDefault="00E453CD" w:rsidP="00B3311E">
      <w:pPr>
        <w:tabs>
          <w:tab w:val="left" w:pos="705"/>
        </w:tabs>
        <w:suppressAutoHyphens/>
        <w:rPr>
          <w:del w:id="428" w:author="AbbVie02no" w:date="2025-05-15T12:36:00Z"/>
          <w:bCs/>
          <w:iCs/>
          <w:sz w:val="22"/>
        </w:rPr>
      </w:pPr>
      <w:del w:id="429" w:author="AbbVie02no" w:date="2025-05-15T12:36:00Z">
        <w:r>
          <w:rPr>
            <w:bCs/>
            <w:iCs/>
            <w:sz w:val="22"/>
          </w:rPr>
          <w:delText xml:space="preserve">Det anbefales at nytte og risiko ved </w:delText>
        </w:r>
        <w:r w:rsidR="00FB7253">
          <w:rPr>
            <w:bCs/>
            <w:iCs/>
            <w:sz w:val="22"/>
          </w:rPr>
          <w:delText>fortsettelse av</w:delText>
        </w:r>
        <w:r>
          <w:rPr>
            <w:bCs/>
            <w:iCs/>
            <w:sz w:val="22"/>
          </w:rPr>
          <w:delText xml:space="preserve"> langtidsbehandling </w:delText>
        </w:r>
        <w:r w:rsidR="00315255">
          <w:rPr>
            <w:bCs/>
            <w:iCs/>
            <w:sz w:val="22"/>
          </w:rPr>
          <w:delText>vurderes årlig (se pkt. 5.1).</w:delText>
        </w:r>
      </w:del>
    </w:p>
    <w:p w14:paraId="75AFDB81" w14:textId="6FD9577E" w:rsidR="00784730" w:rsidRDefault="00784730" w:rsidP="00B3311E">
      <w:pPr>
        <w:tabs>
          <w:tab w:val="left" w:pos="705"/>
        </w:tabs>
        <w:suppressAutoHyphens/>
        <w:rPr>
          <w:del w:id="430" w:author="AbbVie02no" w:date="2025-05-15T12:36:00Z"/>
          <w:bCs/>
          <w:iCs/>
          <w:sz w:val="22"/>
        </w:rPr>
      </w:pPr>
    </w:p>
    <w:p w14:paraId="7684E6FC" w14:textId="5D55DF4C" w:rsidR="00784730" w:rsidRPr="00C95067" w:rsidRDefault="00E453CD" w:rsidP="00B3311E">
      <w:pPr>
        <w:tabs>
          <w:tab w:val="left" w:pos="705"/>
        </w:tabs>
        <w:suppressAutoHyphens/>
        <w:rPr>
          <w:del w:id="431" w:author="AbbVie02no" w:date="2025-05-15T12:36:00Z"/>
          <w:sz w:val="22"/>
          <w:szCs w:val="22"/>
        </w:rPr>
      </w:pPr>
      <w:del w:id="432" w:author="AbbVie02no" w:date="2025-05-15T12:36:00Z">
        <w:r>
          <w:rPr>
            <w:sz w:val="22"/>
            <w:szCs w:val="22"/>
          </w:rPr>
          <w:lastRenderedPageBreak/>
          <w:delText>Humira kan være tilgjengelig i andre styrker og/eller formuleringer avhengig av individuelle behandlingsbehov.</w:delText>
        </w:r>
      </w:del>
    </w:p>
    <w:p w14:paraId="639E4CF4" w14:textId="4264556E" w:rsidR="00CC1513" w:rsidRPr="009C5EFD" w:rsidRDefault="00CC1513" w:rsidP="00B3311E">
      <w:pPr>
        <w:tabs>
          <w:tab w:val="left" w:pos="705"/>
        </w:tabs>
        <w:suppressAutoHyphens/>
        <w:rPr>
          <w:del w:id="433" w:author="AbbVie02no" w:date="2025-05-15T12:36:00Z"/>
          <w:sz w:val="22"/>
          <w:szCs w:val="22"/>
        </w:rPr>
      </w:pPr>
    </w:p>
    <w:p w14:paraId="4AFB0CC6" w14:textId="79E6C0E6" w:rsidR="00DE3458" w:rsidRPr="00AF70AD" w:rsidRDefault="00E453CD" w:rsidP="001F5D4B">
      <w:pPr>
        <w:pStyle w:val="Heading8"/>
        <w:rPr>
          <w:del w:id="434" w:author="AbbVie02no" w:date="2025-05-15T12:36:00Z"/>
          <w:i/>
          <w:szCs w:val="22"/>
        </w:rPr>
      </w:pPr>
      <w:del w:id="435" w:author="AbbVie02no" w:date="2025-05-15T12:36:00Z">
        <w:r w:rsidRPr="00AF70AD">
          <w:rPr>
            <w:i/>
            <w:szCs w:val="22"/>
          </w:rPr>
          <w:delText>Nedsatt nyre- og</w:delText>
        </w:r>
        <w:r w:rsidR="009F554B" w:rsidRPr="00AF70AD">
          <w:rPr>
            <w:i/>
            <w:szCs w:val="22"/>
          </w:rPr>
          <w:delText>/eller</w:delText>
        </w:r>
        <w:r w:rsidRPr="00AF70AD">
          <w:rPr>
            <w:i/>
            <w:szCs w:val="22"/>
          </w:rPr>
          <w:delText xml:space="preserve"> leverfunksjon</w:delText>
        </w:r>
      </w:del>
    </w:p>
    <w:p w14:paraId="1C25E37F" w14:textId="24834146" w:rsidR="00DE3458" w:rsidRPr="001F5D4B" w:rsidRDefault="00DE3458" w:rsidP="001F5D4B">
      <w:pPr>
        <w:keepNext/>
        <w:rPr>
          <w:del w:id="436" w:author="AbbVie02no" w:date="2025-05-15T12:36:00Z"/>
          <w:bCs/>
          <w:iCs/>
          <w:sz w:val="22"/>
          <w:szCs w:val="22"/>
        </w:rPr>
      </w:pPr>
    </w:p>
    <w:p w14:paraId="74953143" w14:textId="1751FD07" w:rsidR="00DE3458" w:rsidRPr="009C5EFD" w:rsidRDefault="00E453CD" w:rsidP="002D0790">
      <w:pPr>
        <w:suppressAutoHyphens/>
        <w:rPr>
          <w:del w:id="437" w:author="AbbVie02no" w:date="2025-05-15T12:36:00Z"/>
          <w:sz w:val="22"/>
          <w:szCs w:val="22"/>
        </w:rPr>
      </w:pPr>
      <w:del w:id="438" w:author="AbbVie02no" w:date="2025-05-15T12:36:00Z">
        <w:r w:rsidRPr="002D0790">
          <w:rPr>
            <w:sz w:val="22"/>
            <w:szCs w:val="22"/>
          </w:rPr>
          <w:delText xml:space="preserve">Humira er ikke </w:delText>
        </w:r>
        <w:r w:rsidR="009929AB">
          <w:rPr>
            <w:sz w:val="22"/>
            <w:szCs w:val="22"/>
          </w:rPr>
          <w:delText>undersøkt</w:delText>
        </w:r>
        <w:r w:rsidRPr="002D0790">
          <w:rPr>
            <w:sz w:val="22"/>
            <w:szCs w:val="22"/>
          </w:rPr>
          <w:delText xml:space="preserve"> </w:delText>
        </w:r>
        <w:r w:rsidR="008460E8">
          <w:rPr>
            <w:sz w:val="22"/>
            <w:szCs w:val="22"/>
          </w:rPr>
          <w:delText xml:space="preserve">hos </w:delText>
        </w:r>
        <w:r w:rsidRPr="002D0790">
          <w:rPr>
            <w:sz w:val="22"/>
            <w:szCs w:val="22"/>
          </w:rPr>
          <w:delText>disse pasientpopulasjonene</w:delText>
        </w:r>
        <w:r w:rsidRPr="002D0790">
          <w:rPr>
            <w:b/>
            <w:bCs/>
            <w:i/>
            <w:iCs/>
            <w:sz w:val="22"/>
            <w:szCs w:val="22"/>
          </w:rPr>
          <w:delText>.</w:delText>
        </w:r>
        <w:r w:rsidRPr="00E14E58">
          <w:rPr>
            <w:i/>
            <w:iCs/>
            <w:sz w:val="22"/>
            <w:szCs w:val="22"/>
          </w:rPr>
          <w:delText xml:space="preserve"> </w:delText>
        </w:r>
        <w:r w:rsidRPr="009C5EFD">
          <w:rPr>
            <w:sz w:val="22"/>
            <w:szCs w:val="22"/>
          </w:rPr>
          <w:delText>Ingen doseanbefaling kan gis.</w:delText>
        </w:r>
      </w:del>
    </w:p>
    <w:p w14:paraId="1A8FC50A" w14:textId="3F64B276" w:rsidR="00BE5A23" w:rsidRPr="009C5EFD" w:rsidRDefault="00BE5A23" w:rsidP="002D0790">
      <w:pPr>
        <w:suppressAutoHyphens/>
        <w:rPr>
          <w:del w:id="439" w:author="AbbVie02no" w:date="2025-05-15T12:36:00Z"/>
          <w:sz w:val="22"/>
          <w:szCs w:val="22"/>
        </w:rPr>
      </w:pPr>
    </w:p>
    <w:p w14:paraId="1886C11D" w14:textId="67091105" w:rsidR="00BE5A23" w:rsidRPr="00AF70AD" w:rsidRDefault="00E453CD" w:rsidP="00776A84">
      <w:pPr>
        <w:keepNext/>
        <w:suppressAutoHyphens/>
        <w:rPr>
          <w:del w:id="440" w:author="AbbVie02no" w:date="2025-05-15T12:36:00Z"/>
          <w:i/>
          <w:sz w:val="22"/>
          <w:szCs w:val="22"/>
        </w:rPr>
      </w:pPr>
      <w:del w:id="441" w:author="AbbVie02no" w:date="2025-05-15T12:36:00Z">
        <w:r w:rsidRPr="00AF70AD">
          <w:rPr>
            <w:i/>
            <w:sz w:val="22"/>
            <w:szCs w:val="22"/>
            <w:u w:val="single"/>
          </w:rPr>
          <w:delText>Administrasjonsmåte</w:delText>
        </w:r>
      </w:del>
    </w:p>
    <w:p w14:paraId="04AB3D05" w14:textId="61DEEA3F" w:rsidR="00BE5A23" w:rsidRPr="009C5EFD" w:rsidRDefault="00BE5A23" w:rsidP="00776A84">
      <w:pPr>
        <w:keepNext/>
        <w:suppressAutoHyphens/>
        <w:rPr>
          <w:del w:id="442" w:author="AbbVie02no" w:date="2025-05-15T12:36:00Z"/>
          <w:sz w:val="22"/>
          <w:szCs w:val="22"/>
        </w:rPr>
      </w:pPr>
    </w:p>
    <w:p w14:paraId="3850A73C" w14:textId="30C57805" w:rsidR="00BE5A23" w:rsidRPr="009C5EFD" w:rsidRDefault="00E453CD" w:rsidP="009C5EFD">
      <w:pPr>
        <w:suppressAutoHyphens/>
        <w:rPr>
          <w:del w:id="443" w:author="AbbVie02no" w:date="2025-05-15T12:36:00Z"/>
          <w:sz w:val="22"/>
          <w:szCs w:val="22"/>
        </w:rPr>
      </w:pPr>
      <w:del w:id="444" w:author="AbbVie02no" w:date="2025-05-15T12:36:00Z">
        <w:r w:rsidRPr="009C5EFD">
          <w:rPr>
            <w:sz w:val="22"/>
            <w:szCs w:val="22"/>
          </w:rPr>
          <w:delText xml:space="preserve">Humira administreres ved subkutan injeksjon. Fullstendig </w:delText>
        </w:r>
        <w:r w:rsidR="00067DE7">
          <w:rPr>
            <w:sz w:val="22"/>
            <w:szCs w:val="22"/>
          </w:rPr>
          <w:delText>bruksanvisning</w:delText>
        </w:r>
        <w:r w:rsidRPr="009C5EFD">
          <w:rPr>
            <w:sz w:val="22"/>
            <w:szCs w:val="22"/>
          </w:rPr>
          <w:delText xml:space="preserve"> for riktig bruk finnes i paknin</w:delText>
        </w:r>
        <w:r w:rsidR="0045190A" w:rsidRPr="009C5EFD">
          <w:rPr>
            <w:sz w:val="22"/>
            <w:szCs w:val="22"/>
          </w:rPr>
          <w:delText>g</w:delText>
        </w:r>
        <w:r w:rsidRPr="009C5EFD">
          <w:rPr>
            <w:sz w:val="22"/>
            <w:szCs w:val="22"/>
          </w:rPr>
          <w:delText>svedlegget.</w:delText>
        </w:r>
      </w:del>
    </w:p>
    <w:p w14:paraId="092C680A" w14:textId="229A2BAA" w:rsidR="005A2B24" w:rsidRDefault="005A2B24" w:rsidP="009C5EFD">
      <w:pPr>
        <w:rPr>
          <w:del w:id="445" w:author="AbbVie02no" w:date="2025-05-15T12:36:00Z"/>
          <w:sz w:val="22"/>
          <w:szCs w:val="22"/>
        </w:rPr>
      </w:pPr>
    </w:p>
    <w:p w14:paraId="07A006CD" w14:textId="35E57A87" w:rsidR="005A2B24" w:rsidRPr="009C5EFD" w:rsidRDefault="00E453CD" w:rsidP="009C5EFD">
      <w:pPr>
        <w:rPr>
          <w:del w:id="446" w:author="AbbVie02no" w:date="2025-05-15T12:36:00Z"/>
          <w:sz w:val="22"/>
          <w:szCs w:val="22"/>
        </w:rPr>
      </w:pPr>
      <w:del w:id="447" w:author="AbbVie02no" w:date="2025-05-15T12:36:00Z">
        <w:r>
          <w:rPr>
            <w:sz w:val="22"/>
            <w:szCs w:val="22"/>
          </w:rPr>
          <w:delText>Humira er tilgjengelig i andre styrker og formuleringer.</w:delText>
        </w:r>
      </w:del>
    </w:p>
    <w:p w14:paraId="21319EAC" w14:textId="3F9A63A9" w:rsidR="00DE3458" w:rsidRPr="009C5EFD" w:rsidRDefault="00DE3458" w:rsidP="009C5EFD">
      <w:pPr>
        <w:rPr>
          <w:del w:id="448" w:author="AbbVie02no" w:date="2025-05-15T12:36:00Z"/>
          <w:sz w:val="22"/>
          <w:szCs w:val="22"/>
        </w:rPr>
      </w:pPr>
    </w:p>
    <w:p w14:paraId="07A0E8CE" w14:textId="6ACE6505" w:rsidR="00DE3458" w:rsidRPr="009C5EFD" w:rsidRDefault="00E453CD" w:rsidP="00776A84">
      <w:pPr>
        <w:keepNext/>
        <w:suppressAutoHyphens/>
        <w:ind w:left="570" w:hanging="570"/>
        <w:rPr>
          <w:del w:id="449" w:author="AbbVie02no" w:date="2025-05-15T12:36:00Z"/>
          <w:sz w:val="22"/>
          <w:szCs w:val="22"/>
        </w:rPr>
      </w:pPr>
      <w:del w:id="450" w:author="AbbVie02no" w:date="2025-05-15T12:36:00Z">
        <w:r w:rsidRPr="009C5EFD">
          <w:rPr>
            <w:b/>
            <w:sz w:val="22"/>
            <w:szCs w:val="22"/>
          </w:rPr>
          <w:delText>4.3</w:delText>
        </w:r>
        <w:r w:rsidRPr="009C5EFD">
          <w:rPr>
            <w:b/>
            <w:sz w:val="22"/>
            <w:szCs w:val="22"/>
          </w:rPr>
          <w:tab/>
          <w:delText>Kontraindikasjoner</w:delText>
        </w:r>
      </w:del>
    </w:p>
    <w:p w14:paraId="430FE2C7" w14:textId="0B06554C" w:rsidR="00DE3458" w:rsidRPr="009C5EFD" w:rsidRDefault="00DE3458" w:rsidP="00776A84">
      <w:pPr>
        <w:keepNext/>
        <w:rPr>
          <w:del w:id="451" w:author="AbbVie02no" w:date="2025-05-15T12:36:00Z"/>
          <w:sz w:val="22"/>
          <w:szCs w:val="22"/>
        </w:rPr>
      </w:pPr>
    </w:p>
    <w:p w14:paraId="537BD21F" w14:textId="6404DA03" w:rsidR="00DE3458" w:rsidRPr="009C5EFD" w:rsidRDefault="00E453CD" w:rsidP="009C5EFD">
      <w:pPr>
        <w:rPr>
          <w:del w:id="452" w:author="AbbVie02no" w:date="2025-05-15T12:36:00Z"/>
          <w:sz w:val="22"/>
          <w:szCs w:val="22"/>
        </w:rPr>
      </w:pPr>
      <w:del w:id="453" w:author="AbbVie02no" w:date="2025-05-15T12:36:00Z">
        <w:r w:rsidRPr="009C5EFD">
          <w:rPr>
            <w:sz w:val="22"/>
            <w:szCs w:val="22"/>
          </w:rPr>
          <w:delText xml:space="preserve">Overfølsomhet overfor virkestoffet eller overfor </w:delText>
        </w:r>
        <w:r w:rsidR="00BC2C71" w:rsidRPr="009C5EFD">
          <w:rPr>
            <w:sz w:val="22"/>
          </w:rPr>
          <w:delText>noen</w:delText>
        </w:r>
        <w:r w:rsidRPr="009C5EFD">
          <w:rPr>
            <w:sz w:val="22"/>
          </w:rPr>
          <w:delText xml:space="preserve"> </w:delText>
        </w:r>
        <w:r w:rsidRPr="009C5EFD">
          <w:rPr>
            <w:sz w:val="22"/>
            <w:szCs w:val="22"/>
          </w:rPr>
          <w:delText>av hjelpestoffene</w:delText>
        </w:r>
        <w:r w:rsidR="00CE204F" w:rsidRPr="009C5EFD">
          <w:rPr>
            <w:sz w:val="22"/>
            <w:szCs w:val="22"/>
          </w:rPr>
          <w:delText xml:space="preserve"> </w:delText>
        </w:r>
        <w:r w:rsidR="00BC2C71" w:rsidRPr="009C5EFD">
          <w:rPr>
            <w:sz w:val="22"/>
            <w:szCs w:val="22"/>
          </w:rPr>
          <w:delText xml:space="preserve">listet opp </w:delText>
        </w:r>
        <w:r w:rsidR="00CE204F" w:rsidRPr="009C5EFD">
          <w:rPr>
            <w:sz w:val="22"/>
            <w:szCs w:val="22"/>
          </w:rPr>
          <w:delText>i pkt. 6.1</w:delText>
        </w:r>
        <w:r w:rsidRPr="009C5EFD">
          <w:rPr>
            <w:sz w:val="22"/>
            <w:szCs w:val="22"/>
          </w:rPr>
          <w:delText>.</w:delText>
        </w:r>
      </w:del>
    </w:p>
    <w:p w14:paraId="5038C355" w14:textId="292C8D18" w:rsidR="00DE3458" w:rsidRPr="009C5EFD" w:rsidRDefault="00DE3458" w:rsidP="009C5EFD">
      <w:pPr>
        <w:rPr>
          <w:del w:id="454" w:author="AbbVie02no" w:date="2025-05-15T12:36:00Z"/>
          <w:sz w:val="22"/>
          <w:szCs w:val="22"/>
        </w:rPr>
      </w:pPr>
    </w:p>
    <w:p w14:paraId="2CAA6614" w14:textId="1D763EB7" w:rsidR="00DE3458" w:rsidRPr="009C5EFD" w:rsidRDefault="00E453CD" w:rsidP="009C5EFD">
      <w:pPr>
        <w:rPr>
          <w:del w:id="455" w:author="AbbVie02no" w:date="2025-05-15T12:36:00Z"/>
          <w:sz w:val="22"/>
          <w:szCs w:val="22"/>
        </w:rPr>
      </w:pPr>
      <w:del w:id="456" w:author="AbbVie02no" w:date="2025-05-15T12:36:00Z">
        <w:r w:rsidRPr="009C5EFD">
          <w:rPr>
            <w:sz w:val="22"/>
            <w:szCs w:val="22"/>
          </w:rPr>
          <w:delText xml:space="preserve">Aktiv tuberkulose eller annen </w:delText>
        </w:r>
        <w:r w:rsidR="00EE0275">
          <w:rPr>
            <w:sz w:val="22"/>
            <w:szCs w:val="22"/>
          </w:rPr>
          <w:delText>alvorlig</w:delText>
        </w:r>
        <w:r w:rsidR="00EE0275" w:rsidRPr="009C5EFD">
          <w:rPr>
            <w:sz w:val="22"/>
            <w:szCs w:val="22"/>
          </w:rPr>
          <w:delText xml:space="preserve"> </w:delText>
        </w:r>
        <w:r w:rsidRPr="009C5EFD">
          <w:rPr>
            <w:sz w:val="22"/>
            <w:szCs w:val="22"/>
          </w:rPr>
          <w:delText>infeksjon som sepsis</w:delText>
        </w:r>
        <w:r w:rsidR="00CD65BF">
          <w:rPr>
            <w:sz w:val="22"/>
            <w:szCs w:val="22"/>
          </w:rPr>
          <w:delText>,</w:delText>
        </w:r>
        <w:r w:rsidR="0044104A" w:rsidRPr="009C5EFD">
          <w:rPr>
            <w:sz w:val="22"/>
            <w:szCs w:val="22"/>
          </w:rPr>
          <w:delText xml:space="preserve"> </w:delText>
        </w:r>
        <w:r w:rsidR="00385548" w:rsidRPr="009C5EFD">
          <w:rPr>
            <w:sz w:val="22"/>
            <w:szCs w:val="22"/>
          </w:rPr>
          <w:delText>og</w:delText>
        </w:r>
        <w:r w:rsidRPr="009C5EFD">
          <w:rPr>
            <w:sz w:val="22"/>
            <w:szCs w:val="22"/>
          </w:rPr>
          <w:delText xml:space="preserve"> oppor</w:delText>
        </w:r>
        <w:r w:rsidR="00E04B2A">
          <w:rPr>
            <w:sz w:val="22"/>
            <w:szCs w:val="22"/>
          </w:rPr>
          <w:delText>tunistiske infeksjoner (se pkt. </w:delText>
        </w:r>
        <w:r w:rsidRPr="009C5EFD">
          <w:rPr>
            <w:sz w:val="22"/>
            <w:szCs w:val="22"/>
          </w:rPr>
          <w:delText>4.4).</w:delText>
        </w:r>
      </w:del>
    </w:p>
    <w:p w14:paraId="201ACAB6" w14:textId="5C50B8B0" w:rsidR="00DE3458" w:rsidRPr="009C5EFD" w:rsidRDefault="00DE3458" w:rsidP="009C5EFD">
      <w:pPr>
        <w:rPr>
          <w:del w:id="457" w:author="AbbVie02no" w:date="2025-05-15T12:36:00Z"/>
          <w:sz w:val="22"/>
          <w:szCs w:val="22"/>
        </w:rPr>
      </w:pPr>
    </w:p>
    <w:p w14:paraId="3EDF597F" w14:textId="273B23E8" w:rsidR="00DE3458" w:rsidRPr="009C5EFD" w:rsidRDefault="00E453CD" w:rsidP="009C5EFD">
      <w:pPr>
        <w:rPr>
          <w:del w:id="458" w:author="AbbVie02no" w:date="2025-05-15T12:36:00Z"/>
          <w:sz w:val="22"/>
          <w:szCs w:val="22"/>
        </w:rPr>
      </w:pPr>
      <w:del w:id="459" w:author="AbbVie02no" w:date="2025-05-15T12:36:00Z">
        <w:r w:rsidRPr="009C5EFD">
          <w:rPr>
            <w:sz w:val="22"/>
            <w:szCs w:val="22"/>
          </w:rPr>
          <w:delText>Moderat til alvorlig hjertesvikt (NYHA klasse III/IV) (se pkt. 4.4).</w:delText>
        </w:r>
      </w:del>
    </w:p>
    <w:p w14:paraId="19792B84" w14:textId="22DD3414" w:rsidR="00DE3458" w:rsidRPr="009C5EFD" w:rsidRDefault="00DE3458" w:rsidP="009C5EFD">
      <w:pPr>
        <w:rPr>
          <w:del w:id="460" w:author="AbbVie02no" w:date="2025-05-15T12:36:00Z"/>
          <w:sz w:val="22"/>
          <w:szCs w:val="22"/>
        </w:rPr>
      </w:pPr>
    </w:p>
    <w:p w14:paraId="58871A47" w14:textId="4348DB6E" w:rsidR="00DE3458" w:rsidRPr="009C5EFD" w:rsidRDefault="00E453CD" w:rsidP="00064B44">
      <w:pPr>
        <w:keepNext/>
        <w:suppressAutoHyphens/>
        <w:ind w:left="567" w:hanging="567"/>
        <w:rPr>
          <w:del w:id="461" w:author="AbbVie02no" w:date="2025-05-15T12:36:00Z"/>
          <w:sz w:val="22"/>
          <w:szCs w:val="22"/>
        </w:rPr>
      </w:pPr>
      <w:del w:id="462" w:author="AbbVie02no" w:date="2025-05-15T12:36:00Z">
        <w:r w:rsidRPr="009C5EFD">
          <w:rPr>
            <w:b/>
            <w:sz w:val="22"/>
            <w:szCs w:val="22"/>
          </w:rPr>
          <w:delText>4.4</w:delText>
        </w:r>
        <w:r w:rsidRPr="009C5EFD">
          <w:rPr>
            <w:b/>
            <w:sz w:val="22"/>
            <w:szCs w:val="22"/>
          </w:rPr>
          <w:tab/>
          <w:delText>Advarsler og forsiktighetsregler</w:delText>
        </w:r>
      </w:del>
    </w:p>
    <w:p w14:paraId="5207FFE4" w14:textId="5D16F3C9" w:rsidR="00DE3458" w:rsidRDefault="00DE3458" w:rsidP="00064B44">
      <w:pPr>
        <w:keepNext/>
        <w:rPr>
          <w:del w:id="463" w:author="AbbVie02no" w:date="2025-05-15T12:36:00Z"/>
          <w:sz w:val="22"/>
          <w:szCs w:val="22"/>
        </w:rPr>
      </w:pPr>
    </w:p>
    <w:p w14:paraId="17F0AF76" w14:textId="30AF44F7" w:rsidR="00844FD5" w:rsidRPr="00AB7697" w:rsidRDefault="00E453CD" w:rsidP="00064B44">
      <w:pPr>
        <w:keepNext/>
        <w:rPr>
          <w:del w:id="464" w:author="AbbVie02no" w:date="2025-05-15T12:36:00Z"/>
          <w:sz w:val="22"/>
          <w:szCs w:val="22"/>
          <w:u w:val="single"/>
        </w:rPr>
      </w:pPr>
      <w:del w:id="465" w:author="AbbVie02no" w:date="2025-05-15T12:36:00Z">
        <w:r w:rsidRPr="00AB7697">
          <w:rPr>
            <w:sz w:val="22"/>
            <w:szCs w:val="22"/>
            <w:u w:val="single"/>
          </w:rPr>
          <w:delText>Sporbarhet</w:delText>
        </w:r>
      </w:del>
    </w:p>
    <w:p w14:paraId="07880F59" w14:textId="4EF58428" w:rsidR="00844FD5" w:rsidRPr="009C5EFD" w:rsidRDefault="00844FD5">
      <w:pPr>
        <w:keepNext/>
        <w:rPr>
          <w:del w:id="466" w:author="AbbVie02no" w:date="2025-05-15T12:36:00Z"/>
          <w:sz w:val="22"/>
          <w:szCs w:val="22"/>
        </w:rPr>
      </w:pPr>
    </w:p>
    <w:p w14:paraId="09C175C5" w14:textId="6D2B4DEA" w:rsidR="00844FD5" w:rsidRDefault="00E453CD" w:rsidP="00776A84">
      <w:pPr>
        <w:pStyle w:val="Heading8"/>
        <w:keepNext w:val="0"/>
        <w:rPr>
          <w:del w:id="467" w:author="AbbVie02no" w:date="2025-05-15T12:36:00Z"/>
          <w:szCs w:val="22"/>
          <w:u w:val="none"/>
        </w:rPr>
      </w:pPr>
      <w:del w:id="468" w:author="AbbVie02no" w:date="2025-05-15T12:36:00Z">
        <w:r w:rsidRPr="009C5EFD">
          <w:rPr>
            <w:szCs w:val="22"/>
            <w:u w:val="none"/>
          </w:rPr>
          <w:delText xml:space="preserve">For å bedre sporbarheten av biologiske legemidler, skal </w:delText>
        </w:r>
        <w:r>
          <w:rPr>
            <w:szCs w:val="22"/>
            <w:u w:val="none"/>
          </w:rPr>
          <w:delText xml:space="preserve">navnet </w:delText>
        </w:r>
        <w:r w:rsidRPr="009C5EFD">
          <w:rPr>
            <w:szCs w:val="22"/>
            <w:u w:val="none"/>
          </w:rPr>
          <w:delText>og batchnummeret for det administrerte legemidlet registreres tydelig.</w:delText>
        </w:r>
      </w:del>
    </w:p>
    <w:p w14:paraId="5DCFAF07" w14:textId="315908CA" w:rsidR="0065119F" w:rsidRPr="009C5EFD" w:rsidRDefault="0065119F" w:rsidP="009C5EFD">
      <w:pPr>
        <w:rPr>
          <w:del w:id="469" w:author="AbbVie02no" w:date="2025-05-15T12:36:00Z"/>
        </w:rPr>
      </w:pPr>
    </w:p>
    <w:p w14:paraId="037A7CAF" w14:textId="4E579359" w:rsidR="00DE3458" w:rsidRPr="009C5EFD" w:rsidRDefault="00E453CD">
      <w:pPr>
        <w:pStyle w:val="Heading8"/>
        <w:keepNext w:val="0"/>
        <w:rPr>
          <w:del w:id="470" w:author="AbbVie02no" w:date="2025-05-15T12:36:00Z"/>
          <w:szCs w:val="22"/>
        </w:rPr>
      </w:pPr>
      <w:del w:id="471" w:author="AbbVie02no" w:date="2025-05-15T12:36:00Z">
        <w:r w:rsidRPr="009C5EFD">
          <w:rPr>
            <w:szCs w:val="22"/>
          </w:rPr>
          <w:delText>Infeksjoner</w:delText>
        </w:r>
      </w:del>
    </w:p>
    <w:p w14:paraId="0D0DF096" w14:textId="10BCAACE" w:rsidR="00DE3458" w:rsidRPr="009C5EFD" w:rsidRDefault="00DE3458">
      <w:pPr>
        <w:rPr>
          <w:del w:id="472" w:author="AbbVie02no" w:date="2025-05-15T12:36:00Z"/>
          <w:sz w:val="22"/>
          <w:szCs w:val="22"/>
        </w:rPr>
      </w:pPr>
    </w:p>
    <w:p w14:paraId="6AD36802" w14:textId="0F3AD84D" w:rsidR="00821D8D" w:rsidRPr="009C5EFD" w:rsidRDefault="00E453CD" w:rsidP="009C5EFD">
      <w:pPr>
        <w:rPr>
          <w:del w:id="473" w:author="AbbVie02no" w:date="2025-05-15T12:36:00Z"/>
          <w:sz w:val="22"/>
          <w:szCs w:val="22"/>
        </w:rPr>
      </w:pPr>
      <w:del w:id="474" w:author="AbbVie02no" w:date="2025-05-15T12:36:00Z">
        <w:r w:rsidRPr="009C5EFD">
          <w:rPr>
            <w:sz w:val="22"/>
            <w:szCs w:val="22"/>
          </w:rPr>
          <w:delText xml:space="preserve">Pasienter som behandles med TNF-antagonister er mer mottagelige for alvorlige infeksjoner. Nedsatt lungefunksjon kan øke risikoen for å utvikle infeksjoner. Derfor må pasienter overvåkes nøye med henblikk på mulige infeksjoner - deriblant tuberkulose - før, under og etter behandling med Humira. Da eliminasjon av adalimumab kan ta opptil </w:delText>
        </w:r>
        <w:r w:rsidR="00E306DD" w:rsidRPr="009C5EFD">
          <w:rPr>
            <w:sz w:val="22"/>
            <w:szCs w:val="22"/>
          </w:rPr>
          <w:delText>fire</w:delText>
        </w:r>
        <w:r w:rsidRPr="009C5EFD">
          <w:rPr>
            <w:sz w:val="22"/>
            <w:szCs w:val="22"/>
          </w:rPr>
          <w:delText xml:space="preserve"> måneder, bør overvåking fortsette ut denne perioden.</w:delText>
        </w:r>
      </w:del>
    </w:p>
    <w:p w14:paraId="4B49F370" w14:textId="5F88B23A" w:rsidR="00821D8D" w:rsidRPr="009C5EFD" w:rsidRDefault="00821D8D" w:rsidP="009C5EFD">
      <w:pPr>
        <w:rPr>
          <w:del w:id="475" w:author="AbbVie02no" w:date="2025-05-15T12:36:00Z"/>
          <w:sz w:val="22"/>
          <w:szCs w:val="22"/>
        </w:rPr>
      </w:pPr>
    </w:p>
    <w:p w14:paraId="6F0CD9F0" w14:textId="76E0DD62" w:rsidR="00821D8D" w:rsidRPr="009C5EFD" w:rsidRDefault="00E453CD" w:rsidP="009C5EFD">
      <w:pPr>
        <w:rPr>
          <w:del w:id="476" w:author="AbbVie02no" w:date="2025-05-15T12:36:00Z"/>
          <w:sz w:val="22"/>
          <w:szCs w:val="22"/>
        </w:rPr>
      </w:pPr>
      <w:del w:id="477" w:author="AbbVie02no" w:date="2025-05-15T12:36:00Z">
        <w:r w:rsidRPr="009C5EFD">
          <w:rPr>
            <w:sz w:val="22"/>
            <w:szCs w:val="22"/>
          </w:rPr>
          <w:delText xml:space="preserve">Behandling med Humira bør ikke </w:delText>
        </w:r>
        <w:r w:rsidR="00020B96" w:rsidRPr="009C5EFD">
          <w:rPr>
            <w:sz w:val="22"/>
            <w:szCs w:val="22"/>
          </w:rPr>
          <w:delText xml:space="preserve">startes opp </w:delText>
        </w:r>
        <w:r w:rsidRPr="009C5EFD">
          <w:rPr>
            <w:sz w:val="22"/>
            <w:szCs w:val="22"/>
          </w:rPr>
          <w:delText xml:space="preserve">hos pasienter med aktive infeksjoner, </w:delText>
        </w:r>
        <w:r w:rsidR="001F07CD" w:rsidRPr="009C5EFD">
          <w:rPr>
            <w:sz w:val="22"/>
            <w:szCs w:val="22"/>
          </w:rPr>
          <w:delText>inkludert</w:delText>
        </w:r>
        <w:r w:rsidRPr="009C5EFD">
          <w:rPr>
            <w:sz w:val="22"/>
            <w:szCs w:val="22"/>
          </w:rPr>
          <w:delText xml:space="preserve">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Humira avveies før start av behandlingen (se </w:delText>
        </w:r>
        <w:r w:rsidR="00832352" w:rsidRPr="009C5EFD">
          <w:rPr>
            <w:i/>
            <w:iCs/>
            <w:sz w:val="22"/>
            <w:szCs w:val="22"/>
          </w:rPr>
          <w:delText>Andre o</w:delText>
        </w:r>
        <w:r w:rsidRPr="009C5EFD">
          <w:rPr>
            <w:i/>
            <w:sz w:val="22"/>
            <w:szCs w:val="22"/>
          </w:rPr>
          <w:delText>pportunistiske infeksjoner</w:delText>
        </w:r>
        <w:r w:rsidRPr="009C5EFD">
          <w:rPr>
            <w:sz w:val="22"/>
            <w:szCs w:val="22"/>
          </w:rPr>
          <w:delText>).</w:delText>
        </w:r>
      </w:del>
    </w:p>
    <w:p w14:paraId="5B11CC9D" w14:textId="2B99ECBE" w:rsidR="00821D8D" w:rsidRPr="009C5EFD" w:rsidRDefault="00821D8D" w:rsidP="009C5EFD">
      <w:pPr>
        <w:rPr>
          <w:del w:id="478" w:author="AbbVie02no" w:date="2025-05-15T12:36:00Z"/>
          <w:sz w:val="22"/>
          <w:szCs w:val="22"/>
        </w:rPr>
      </w:pPr>
    </w:p>
    <w:p w14:paraId="54E389C3" w14:textId="30DF5451" w:rsidR="00DE3458" w:rsidRPr="009C5EFD" w:rsidRDefault="00E453CD" w:rsidP="009C5EFD">
      <w:pPr>
        <w:rPr>
          <w:del w:id="479" w:author="AbbVie02no" w:date="2025-05-15T12:36:00Z"/>
          <w:sz w:val="22"/>
          <w:szCs w:val="22"/>
        </w:rPr>
      </w:pPr>
      <w:del w:id="480" w:author="AbbVie02no" w:date="2025-05-15T12:36:00Z">
        <w:r w:rsidRPr="009C5EFD">
          <w:rPr>
            <w:sz w:val="22"/>
            <w:szCs w:val="22"/>
          </w:rPr>
          <w:delText xml:space="preserve">Pasienter som utvikler en ny infeksjon i løpet av behandling med Humira bør overvåkes nøye og gjennomgå en fullstendig diagnostisering. Dersom pasienten utvikler en ny alvorlig infeksjon eller sepsis, bør behandling med Humira seponeres og passende behandling med antimikrobielle eller antimykotiske </w:delText>
        </w:r>
        <w:r w:rsidR="001F07CD" w:rsidRPr="009C5EFD">
          <w:rPr>
            <w:sz w:val="22"/>
            <w:szCs w:val="22"/>
          </w:rPr>
          <w:delText>lege</w:delText>
        </w:r>
        <w:r w:rsidRPr="009C5EFD">
          <w:rPr>
            <w:sz w:val="22"/>
            <w:szCs w:val="22"/>
          </w:rPr>
          <w:delText xml:space="preserve">midler bør startes inntil infeksjonen er under kontroll. Legen bør utvise varsomhet </w:delText>
        </w:r>
        <w:r w:rsidR="00FB2118">
          <w:rPr>
            <w:sz w:val="22"/>
            <w:szCs w:val="22"/>
          </w:rPr>
          <w:delText>når det vurderes å bruke</w:delText>
        </w:r>
        <w:r w:rsidR="00FB2118" w:rsidRPr="009C5EFD">
          <w:rPr>
            <w:sz w:val="22"/>
            <w:szCs w:val="22"/>
          </w:rPr>
          <w:delText xml:space="preserve"> </w:delText>
        </w:r>
        <w:r w:rsidRPr="009C5EFD">
          <w:rPr>
            <w:sz w:val="22"/>
            <w:szCs w:val="22"/>
          </w:rPr>
          <w:delText xml:space="preserve">Humira </w:delText>
        </w:r>
        <w:r w:rsidR="00FB2118">
          <w:rPr>
            <w:sz w:val="22"/>
            <w:szCs w:val="22"/>
          </w:rPr>
          <w:delText>hos</w:delText>
        </w:r>
        <w:r w:rsidRPr="009C5EFD">
          <w:rPr>
            <w:sz w:val="22"/>
            <w:szCs w:val="22"/>
          </w:rPr>
          <w:delText xml:space="preserve"> pasienter som har hatt gjentatte infeksjoner eller som har underliggende lidelser som predisponerer for infeksjoner, inkludert samtidig bruk av immunsuppressive legemidler.</w:delText>
        </w:r>
      </w:del>
    </w:p>
    <w:p w14:paraId="3828D8CE" w14:textId="02B2805F" w:rsidR="00DE3458" w:rsidRPr="009C5EFD" w:rsidRDefault="00DE3458" w:rsidP="009C5EFD">
      <w:pPr>
        <w:rPr>
          <w:del w:id="481" w:author="AbbVie02no" w:date="2025-05-15T12:36:00Z"/>
          <w:sz w:val="22"/>
          <w:szCs w:val="22"/>
        </w:rPr>
      </w:pPr>
    </w:p>
    <w:p w14:paraId="12121DF2" w14:textId="57DA4894" w:rsidR="00DE3458" w:rsidRPr="009C5EFD" w:rsidRDefault="00E453CD" w:rsidP="001F5D4B">
      <w:pPr>
        <w:keepNext/>
        <w:rPr>
          <w:del w:id="482" w:author="AbbVie02no" w:date="2025-05-15T12:36:00Z"/>
          <w:i/>
          <w:iCs/>
          <w:sz w:val="22"/>
          <w:szCs w:val="22"/>
        </w:rPr>
      </w:pPr>
      <w:del w:id="483" w:author="AbbVie02no" w:date="2025-05-15T12:36:00Z">
        <w:r w:rsidRPr="009C5EFD">
          <w:rPr>
            <w:i/>
            <w:iCs/>
            <w:sz w:val="22"/>
            <w:szCs w:val="22"/>
          </w:rPr>
          <w:delText>Alvorlige infeksjoner</w:delText>
        </w:r>
      </w:del>
    </w:p>
    <w:p w14:paraId="5C138ED9" w14:textId="6C1F367F" w:rsidR="00DE3458" w:rsidRPr="009C5EFD" w:rsidRDefault="00DE3458" w:rsidP="001F5D4B">
      <w:pPr>
        <w:keepNext/>
        <w:rPr>
          <w:del w:id="484" w:author="AbbVie02no" w:date="2025-05-15T12:36:00Z"/>
          <w:sz w:val="22"/>
          <w:szCs w:val="22"/>
        </w:rPr>
      </w:pPr>
    </w:p>
    <w:p w14:paraId="755C150A" w14:textId="0952AC5D" w:rsidR="00DE3458" w:rsidRPr="009C5EFD" w:rsidRDefault="00E453CD" w:rsidP="00776A84">
      <w:pPr>
        <w:rPr>
          <w:del w:id="485" w:author="AbbVie02no" w:date="2025-05-15T12:36:00Z"/>
          <w:sz w:val="22"/>
          <w:szCs w:val="22"/>
        </w:rPr>
      </w:pPr>
      <w:del w:id="486" w:author="AbbVie02no" w:date="2025-05-15T12:36:00Z">
        <w:r w:rsidRPr="009C5EFD">
          <w:rPr>
            <w:sz w:val="22"/>
            <w:szCs w:val="22"/>
          </w:rPr>
          <w:delText>Alvorlige infeksjoner, inkludert sepsis, pga</w:delText>
        </w:r>
        <w:r w:rsidR="00D244B6">
          <w:rPr>
            <w:sz w:val="22"/>
            <w:szCs w:val="22"/>
          </w:rPr>
          <w:delText>.</w:delText>
        </w:r>
        <w:r w:rsidRPr="009C5EFD">
          <w:rPr>
            <w:sz w:val="22"/>
            <w:szCs w:val="22"/>
          </w:rPr>
          <w:delText xml:space="preserve"> bakterielle, mykobakterielle, invasive sopp-, parasitt-, virus- og andre opportunistiske infeksjoner som listeriose, </w:delText>
        </w:r>
        <w:r w:rsidR="00BA5DB7" w:rsidRPr="009C5EFD">
          <w:rPr>
            <w:sz w:val="22"/>
            <w:szCs w:val="22"/>
          </w:rPr>
          <w:delText>legionell</w:delText>
        </w:r>
        <w:r w:rsidR="005A0C73" w:rsidRPr="009C5EFD">
          <w:rPr>
            <w:sz w:val="22"/>
            <w:szCs w:val="22"/>
          </w:rPr>
          <w:delText>ose</w:delText>
        </w:r>
        <w:r w:rsidR="00BA5DB7" w:rsidRPr="009C5EFD">
          <w:rPr>
            <w:sz w:val="22"/>
            <w:szCs w:val="22"/>
          </w:rPr>
          <w:delText xml:space="preserve"> </w:delText>
        </w:r>
        <w:r w:rsidRPr="009C5EFD">
          <w:rPr>
            <w:sz w:val="22"/>
            <w:szCs w:val="22"/>
          </w:rPr>
          <w:delText>og pneumocystose, er rapportert hos pasienter som behandles med Humira.</w:delText>
        </w:r>
      </w:del>
    </w:p>
    <w:p w14:paraId="68A00449" w14:textId="43AB1DB0" w:rsidR="0057399E" w:rsidRPr="009C5EFD" w:rsidRDefault="0057399E" w:rsidP="007F67EE">
      <w:pPr>
        <w:rPr>
          <w:del w:id="487" w:author="AbbVie02no" w:date="2025-05-15T12:36:00Z"/>
          <w:sz w:val="22"/>
          <w:szCs w:val="22"/>
        </w:rPr>
      </w:pPr>
    </w:p>
    <w:p w14:paraId="5DD154D6" w14:textId="637ADFC6" w:rsidR="00DE3458" w:rsidRPr="009C5EFD" w:rsidRDefault="00E453CD" w:rsidP="007F67EE">
      <w:pPr>
        <w:rPr>
          <w:del w:id="488" w:author="AbbVie02no" w:date="2025-05-15T12:36:00Z"/>
          <w:sz w:val="22"/>
          <w:szCs w:val="22"/>
        </w:rPr>
      </w:pPr>
      <w:del w:id="489" w:author="AbbVie02no" w:date="2025-05-15T12:36:00Z">
        <w:r w:rsidRPr="009C5EFD">
          <w:rPr>
            <w:sz w:val="22"/>
            <w:szCs w:val="22"/>
          </w:rPr>
          <w:lastRenderedPageBreak/>
          <w:delText xml:space="preserve">Andre alvorlige infeksjoner inklusive pneumoni, pyelonefritt, septisk artritt og septikemi er sett i kliniske studier. Sykehusinnleggelse eller fatale følger assosiert med infeksjoner er rapportert. </w:delText>
        </w:r>
      </w:del>
    </w:p>
    <w:p w14:paraId="42B07A4C" w14:textId="7BE79BA6" w:rsidR="00DE3458" w:rsidRPr="009C5EFD" w:rsidRDefault="00DE3458" w:rsidP="00193D76">
      <w:pPr>
        <w:rPr>
          <w:del w:id="490" w:author="AbbVie02no" w:date="2025-05-15T12:36:00Z"/>
          <w:sz w:val="22"/>
          <w:szCs w:val="22"/>
        </w:rPr>
      </w:pPr>
    </w:p>
    <w:p w14:paraId="07508650" w14:textId="7FE39D25" w:rsidR="00DE3458" w:rsidRPr="009C5EFD" w:rsidRDefault="00E453CD" w:rsidP="002D0790">
      <w:pPr>
        <w:keepNext/>
        <w:rPr>
          <w:del w:id="491" w:author="AbbVie02no" w:date="2025-05-15T12:36:00Z"/>
          <w:sz w:val="22"/>
          <w:szCs w:val="22"/>
        </w:rPr>
      </w:pPr>
      <w:del w:id="492" w:author="AbbVie02no" w:date="2025-05-15T12:36:00Z">
        <w:r w:rsidRPr="009C5EFD">
          <w:rPr>
            <w:i/>
            <w:iCs/>
            <w:sz w:val="22"/>
            <w:szCs w:val="22"/>
          </w:rPr>
          <w:delText>Tuberkulose</w:delText>
        </w:r>
      </w:del>
    </w:p>
    <w:p w14:paraId="373D503A" w14:textId="5A10825C" w:rsidR="00DE3458" w:rsidRPr="009C5EFD" w:rsidRDefault="00DE3458" w:rsidP="002D0790">
      <w:pPr>
        <w:keepNext/>
        <w:rPr>
          <w:del w:id="493" w:author="AbbVie02no" w:date="2025-05-15T12:36:00Z"/>
          <w:sz w:val="22"/>
          <w:szCs w:val="22"/>
        </w:rPr>
      </w:pPr>
    </w:p>
    <w:p w14:paraId="463B9E81" w14:textId="2A43A7E3" w:rsidR="00DE3458" w:rsidRPr="009C5EFD" w:rsidRDefault="00E453CD" w:rsidP="00776A84">
      <w:pPr>
        <w:rPr>
          <w:del w:id="494" w:author="AbbVie02no" w:date="2025-05-15T12:36:00Z"/>
          <w:sz w:val="22"/>
          <w:szCs w:val="22"/>
        </w:rPr>
      </w:pPr>
      <w:del w:id="495" w:author="AbbVie02no" w:date="2025-05-15T12:36:00Z">
        <w:r w:rsidRPr="009C5EFD">
          <w:rPr>
            <w:sz w:val="22"/>
            <w:szCs w:val="22"/>
          </w:rPr>
          <w:delText>Det er rapportert tilfeller av tuberkulose</w:delText>
        </w:r>
        <w:r w:rsidR="00097BB3" w:rsidRPr="009C5EFD">
          <w:rPr>
            <w:sz w:val="22"/>
            <w:szCs w:val="22"/>
          </w:rPr>
          <w:delText>, inkludert reaktivering og nyoppstått tuberkulose,</w:delText>
        </w:r>
        <w:r w:rsidRPr="009C5EFD">
          <w:rPr>
            <w:sz w:val="22"/>
            <w:szCs w:val="22"/>
          </w:rPr>
          <w:delText xml:space="preserve"> hos pasienter som </w:delText>
        </w:r>
        <w:r w:rsidR="00821D8D" w:rsidRPr="009C5EFD">
          <w:rPr>
            <w:sz w:val="22"/>
            <w:szCs w:val="22"/>
          </w:rPr>
          <w:delText>behandles med</w:delText>
        </w:r>
        <w:r w:rsidRPr="009C5EFD">
          <w:rPr>
            <w:sz w:val="22"/>
            <w:szCs w:val="22"/>
          </w:rPr>
          <w:delText xml:space="preserve"> Humira. </w:delText>
        </w:r>
        <w:r w:rsidR="00097BB3" w:rsidRPr="009C5EFD">
          <w:rPr>
            <w:sz w:val="22"/>
            <w:szCs w:val="22"/>
          </w:rPr>
          <w:delText>Rapporter inkluderte tilfeller av pulmonær og</w:delText>
        </w:r>
        <w:r w:rsidRPr="009C5EFD">
          <w:rPr>
            <w:sz w:val="22"/>
            <w:szCs w:val="22"/>
          </w:rPr>
          <w:delText xml:space="preserve"> ekstrapulmonær</w:delText>
        </w:r>
        <w:r w:rsidR="00600651" w:rsidRPr="009C5EFD">
          <w:rPr>
            <w:sz w:val="22"/>
            <w:szCs w:val="22"/>
          </w:rPr>
          <w:delText xml:space="preserve"> </w:delText>
        </w:r>
        <w:r w:rsidR="00097BB3" w:rsidRPr="009C5EFD">
          <w:rPr>
            <w:sz w:val="22"/>
            <w:szCs w:val="22"/>
          </w:rPr>
          <w:delText>(</w:delText>
        </w:r>
        <w:r w:rsidRPr="009C5EFD">
          <w:rPr>
            <w:sz w:val="22"/>
            <w:szCs w:val="22"/>
          </w:rPr>
          <w:delText xml:space="preserve">dvs. </w:delText>
        </w:r>
        <w:r w:rsidR="00C572BD" w:rsidRPr="009C5EFD">
          <w:rPr>
            <w:sz w:val="22"/>
            <w:szCs w:val="22"/>
          </w:rPr>
          <w:delText>d</w:delText>
        </w:r>
        <w:r w:rsidRPr="009C5EFD">
          <w:rPr>
            <w:sz w:val="22"/>
            <w:szCs w:val="22"/>
          </w:rPr>
          <w:delText>isseminert</w:delText>
        </w:r>
        <w:r w:rsidR="00097BB3" w:rsidRPr="009C5EFD">
          <w:rPr>
            <w:sz w:val="22"/>
            <w:szCs w:val="22"/>
          </w:rPr>
          <w:delText>) tuberkulose</w:delText>
        </w:r>
        <w:r w:rsidRPr="009C5EFD">
          <w:rPr>
            <w:sz w:val="22"/>
            <w:szCs w:val="22"/>
          </w:rPr>
          <w:delText xml:space="preserve">. </w:delText>
        </w:r>
      </w:del>
    </w:p>
    <w:p w14:paraId="783CA81B" w14:textId="008C6E7C" w:rsidR="00DE3458" w:rsidRPr="009C5EFD" w:rsidRDefault="00DE3458" w:rsidP="009C5EFD">
      <w:pPr>
        <w:rPr>
          <w:del w:id="496" w:author="AbbVie02no" w:date="2025-05-15T12:36:00Z"/>
          <w:sz w:val="22"/>
          <w:szCs w:val="22"/>
        </w:rPr>
      </w:pPr>
    </w:p>
    <w:p w14:paraId="4A0A0D91" w14:textId="683518EE" w:rsidR="0057399E" w:rsidRPr="009C5EFD" w:rsidRDefault="00E453CD" w:rsidP="009C5EFD">
      <w:pPr>
        <w:rPr>
          <w:del w:id="497" w:author="AbbVie02no" w:date="2025-05-15T12:36:00Z"/>
          <w:sz w:val="22"/>
          <w:szCs w:val="22"/>
        </w:rPr>
      </w:pPr>
      <w:del w:id="498" w:author="AbbVie02no" w:date="2025-05-15T12:36:00Z">
        <w:r w:rsidRPr="009C5EFD">
          <w:rPr>
            <w:sz w:val="22"/>
            <w:szCs w:val="22"/>
          </w:rPr>
          <w:delText xml:space="preserve">Alle pasienter må vurderes med henblikk på både aktiv </w:delText>
        </w:r>
        <w:r w:rsidR="00C572BD" w:rsidRPr="009C5EFD">
          <w:rPr>
            <w:sz w:val="22"/>
            <w:szCs w:val="22"/>
          </w:rPr>
          <w:delText>eller inaktiv</w:delText>
        </w:r>
        <w:r w:rsidRPr="009C5EFD">
          <w:rPr>
            <w:sz w:val="22"/>
            <w:szCs w:val="22"/>
          </w:rPr>
          <w:delText xml:space="preserve"> </w:delText>
        </w:r>
        <w:r w:rsidR="00C572BD" w:rsidRPr="009C5EFD">
          <w:rPr>
            <w:sz w:val="22"/>
            <w:szCs w:val="22"/>
          </w:rPr>
          <w:delText>(</w:delText>
        </w:r>
        <w:r w:rsidR="000C4B0F" w:rsidRPr="009C5EFD">
          <w:rPr>
            <w:sz w:val="22"/>
            <w:szCs w:val="22"/>
          </w:rPr>
          <w:delText>’</w:delText>
        </w:r>
        <w:r w:rsidRPr="009C5EFD">
          <w:rPr>
            <w:sz w:val="22"/>
            <w:szCs w:val="22"/>
          </w:rPr>
          <w:delText>latent</w:delText>
        </w:r>
        <w:r w:rsidR="000C4B0F" w:rsidRPr="009C5EFD">
          <w:rPr>
            <w:sz w:val="22"/>
            <w:szCs w:val="22"/>
          </w:rPr>
          <w:delText>’)</w:delText>
        </w:r>
        <w:r w:rsidRPr="009C5EFD">
          <w:rPr>
            <w:sz w:val="22"/>
            <w:szCs w:val="22"/>
          </w:rPr>
          <w:delText xml:space="preserve"> tuberkuløs infeksjon før behandling med Humira </w:delText>
        </w:r>
        <w:r w:rsidR="00020B96" w:rsidRPr="009C5EFD">
          <w:rPr>
            <w:sz w:val="22"/>
            <w:szCs w:val="22"/>
          </w:rPr>
          <w:delText>startes opp</w:delText>
        </w:r>
        <w:r w:rsidRPr="009C5EFD">
          <w:rPr>
            <w:sz w:val="22"/>
            <w:szCs w:val="22"/>
          </w:rPr>
          <w:delText xml:space="preserve">. </w:delText>
        </w:r>
        <w:r w:rsidR="00C572BD" w:rsidRPr="009C5EFD">
          <w:rPr>
            <w:sz w:val="22"/>
            <w:szCs w:val="22"/>
          </w:rPr>
          <w:delText>Evalueringen</w:delText>
        </w:r>
        <w:r w:rsidR="00C25AC9" w:rsidRPr="009C5EFD">
          <w:rPr>
            <w:sz w:val="22"/>
            <w:szCs w:val="22"/>
          </w:rPr>
          <w:delText xml:space="preserve"> </w:delText>
        </w:r>
        <w:r w:rsidRPr="009C5EFD">
          <w:rPr>
            <w:sz w:val="22"/>
            <w:szCs w:val="22"/>
          </w:rPr>
          <w:delText xml:space="preserve">bør omfatte </w:delText>
        </w:r>
        <w:r w:rsidR="00C572BD" w:rsidRPr="009C5EFD">
          <w:rPr>
            <w:sz w:val="22"/>
            <w:szCs w:val="22"/>
          </w:rPr>
          <w:delText xml:space="preserve">en </w:delText>
        </w:r>
        <w:r w:rsidRPr="009C5EFD">
          <w:rPr>
            <w:sz w:val="22"/>
            <w:szCs w:val="22"/>
          </w:rPr>
          <w:delText xml:space="preserve">detaljert medisinsk </w:delText>
        </w:r>
        <w:r w:rsidR="00C572BD" w:rsidRPr="009C5EFD">
          <w:rPr>
            <w:sz w:val="22"/>
            <w:szCs w:val="22"/>
          </w:rPr>
          <w:delText>vurdering</w:delText>
        </w:r>
        <w:r w:rsidRPr="009C5EFD">
          <w:rPr>
            <w:sz w:val="22"/>
            <w:szCs w:val="22"/>
          </w:rPr>
          <w:delText xml:space="preserve"> </w:delText>
        </w:r>
        <w:r w:rsidR="00C572BD" w:rsidRPr="009C5EFD">
          <w:rPr>
            <w:sz w:val="22"/>
            <w:szCs w:val="22"/>
          </w:rPr>
          <w:delText>av</w:delText>
        </w:r>
        <w:r w:rsidRPr="009C5EFD">
          <w:rPr>
            <w:sz w:val="22"/>
            <w:szCs w:val="22"/>
          </w:rPr>
          <w:delText xml:space="preserve"> pasiente</w:delText>
        </w:r>
        <w:r w:rsidR="00C572BD" w:rsidRPr="009C5EFD">
          <w:rPr>
            <w:sz w:val="22"/>
            <w:szCs w:val="22"/>
          </w:rPr>
          <w:delText xml:space="preserve">nes tidligere historie </w:delText>
        </w:r>
        <w:r w:rsidRPr="009C5EFD">
          <w:rPr>
            <w:sz w:val="22"/>
            <w:szCs w:val="22"/>
          </w:rPr>
          <w:delText xml:space="preserve"> med tuberkulose eller mulig tidligere eksponering for </w:delText>
        </w:r>
        <w:r w:rsidR="00C572BD" w:rsidRPr="009C5EFD">
          <w:rPr>
            <w:sz w:val="22"/>
            <w:szCs w:val="22"/>
          </w:rPr>
          <w:delText>mennesker</w:delText>
        </w:r>
        <w:r w:rsidRPr="009C5EFD">
          <w:rPr>
            <w:sz w:val="22"/>
            <w:szCs w:val="22"/>
          </w:rPr>
          <w:delText xml:space="preserve"> med aktiv tuberkulose samt tidligere og/eller pågående immunsuppressiv behandling. </w:delText>
        </w:r>
        <w:r w:rsidR="000C4B0F" w:rsidRPr="009C5EFD">
          <w:rPr>
            <w:sz w:val="22"/>
            <w:szCs w:val="22"/>
          </w:rPr>
          <w:delText xml:space="preserve">Passende </w:delText>
        </w:r>
        <w:r w:rsidRPr="009C5EFD">
          <w:rPr>
            <w:sz w:val="22"/>
            <w:szCs w:val="22"/>
          </w:rPr>
          <w:delText>screeningtest</w:delText>
        </w:r>
        <w:r w:rsidR="000C4B0F" w:rsidRPr="009C5EFD">
          <w:rPr>
            <w:sz w:val="22"/>
            <w:szCs w:val="22"/>
          </w:rPr>
          <w:delText>er</w:delText>
        </w:r>
        <w:r w:rsidR="00600651" w:rsidRPr="009C5EFD">
          <w:rPr>
            <w:sz w:val="22"/>
            <w:szCs w:val="22"/>
          </w:rPr>
          <w:delText xml:space="preserve"> </w:delText>
        </w:r>
        <w:r w:rsidR="000C4B0F" w:rsidRPr="009C5EFD">
          <w:rPr>
            <w:sz w:val="22"/>
            <w:szCs w:val="22"/>
          </w:rPr>
          <w:delText>(</w:delText>
        </w:r>
        <w:r w:rsidRPr="009C5EFD">
          <w:rPr>
            <w:sz w:val="22"/>
            <w:szCs w:val="22"/>
          </w:rPr>
          <w:delText>dvs. tuberkulin hudprøve og thoraxrøntgen</w:delText>
        </w:r>
        <w:r w:rsidR="000C4B0F" w:rsidRPr="009C5EFD">
          <w:rPr>
            <w:sz w:val="22"/>
            <w:szCs w:val="22"/>
          </w:rPr>
          <w:delText>)</w:delText>
        </w:r>
        <w:r w:rsidRPr="009C5EFD">
          <w:rPr>
            <w:sz w:val="22"/>
            <w:szCs w:val="22"/>
          </w:rPr>
          <w:delText xml:space="preserve"> bør gjennomføres hos alle pasienter (nasjonale anbefalinger kan brukes). Det anbefales at disse testene </w:delText>
        </w:r>
        <w:r w:rsidR="000C4B0F" w:rsidRPr="009C5EFD">
          <w:rPr>
            <w:sz w:val="22"/>
            <w:szCs w:val="22"/>
          </w:rPr>
          <w:delText xml:space="preserve">og testresultatene </w:delText>
        </w:r>
        <w:r w:rsidRPr="009C5EFD">
          <w:rPr>
            <w:sz w:val="22"/>
            <w:szCs w:val="22"/>
          </w:rPr>
          <w:delText>registreres i pasientkortet. Forskrivende leger bør være oppmerksom på risikoen for falske negative resultater av tuberkulintest, spesielt hos pasienter som er alvorlig syke eller har immunsvikt.</w:delText>
        </w:r>
        <w:r w:rsidR="00020B96" w:rsidRPr="009C5EFD">
          <w:rPr>
            <w:sz w:val="22"/>
            <w:szCs w:val="22"/>
          </w:rPr>
          <w:delText xml:space="preserve"> </w:delText>
        </w:r>
      </w:del>
    </w:p>
    <w:p w14:paraId="7EB753F5" w14:textId="580A5433" w:rsidR="0057399E" w:rsidRPr="009C5EFD" w:rsidRDefault="0057399E" w:rsidP="009C5EFD">
      <w:pPr>
        <w:rPr>
          <w:del w:id="499" w:author="AbbVie02no" w:date="2025-05-15T12:36:00Z"/>
          <w:sz w:val="22"/>
          <w:szCs w:val="22"/>
        </w:rPr>
      </w:pPr>
    </w:p>
    <w:p w14:paraId="5A1CC780" w14:textId="497EE358" w:rsidR="00DE3458" w:rsidRPr="009C5EFD" w:rsidRDefault="00E453CD" w:rsidP="009C5EFD">
      <w:pPr>
        <w:rPr>
          <w:del w:id="500" w:author="AbbVie02no" w:date="2025-05-15T12:36:00Z"/>
          <w:sz w:val="22"/>
          <w:szCs w:val="22"/>
        </w:rPr>
      </w:pPr>
      <w:del w:id="501" w:author="AbbVie02no" w:date="2025-05-15T12:36:00Z">
        <w:r w:rsidRPr="009C5EFD">
          <w:rPr>
            <w:sz w:val="22"/>
            <w:szCs w:val="22"/>
          </w:rPr>
          <w:delText xml:space="preserve">Behandling med Humira skal ikke </w:delText>
        </w:r>
        <w:r w:rsidR="00020B96" w:rsidRPr="009C5EFD">
          <w:rPr>
            <w:sz w:val="22"/>
            <w:szCs w:val="22"/>
          </w:rPr>
          <w:delText>startes opp</w:delText>
        </w:r>
        <w:r w:rsidRPr="009C5EFD">
          <w:rPr>
            <w:sz w:val="22"/>
            <w:szCs w:val="22"/>
          </w:rPr>
          <w:delText xml:space="preserve"> dersom det diagnostiseres aktiv tuberkulose (se pkt. 4.3).</w:delText>
        </w:r>
      </w:del>
    </w:p>
    <w:p w14:paraId="1D1E701D" w14:textId="23E49364" w:rsidR="000C4B0F" w:rsidRPr="009C5EFD" w:rsidRDefault="000C4B0F" w:rsidP="009C5EFD">
      <w:pPr>
        <w:rPr>
          <w:del w:id="502" w:author="AbbVie02no" w:date="2025-05-15T12:36:00Z"/>
          <w:sz w:val="22"/>
          <w:szCs w:val="22"/>
        </w:rPr>
      </w:pPr>
    </w:p>
    <w:p w14:paraId="33BFD09E" w14:textId="32E56435" w:rsidR="000C4B0F" w:rsidRPr="009C5EFD" w:rsidRDefault="00E453CD" w:rsidP="009C5EFD">
      <w:pPr>
        <w:rPr>
          <w:del w:id="503" w:author="AbbVie02no" w:date="2025-05-15T12:36:00Z"/>
          <w:sz w:val="22"/>
          <w:szCs w:val="22"/>
        </w:rPr>
      </w:pPr>
      <w:del w:id="504" w:author="AbbVie02no" w:date="2025-05-15T12:36:00Z">
        <w:r w:rsidRPr="009C5EFD">
          <w:rPr>
            <w:sz w:val="22"/>
            <w:szCs w:val="22"/>
          </w:rPr>
          <w:delText>I alle situasjoner som er beskrevet under, bør behandlingens nytte</w:delText>
        </w:r>
        <w:r w:rsidR="00ED7ED5">
          <w:rPr>
            <w:sz w:val="22"/>
            <w:szCs w:val="22"/>
          </w:rPr>
          <w:delText>-</w:delText>
        </w:r>
        <w:r w:rsidRPr="009C5EFD">
          <w:rPr>
            <w:sz w:val="22"/>
            <w:szCs w:val="22"/>
          </w:rPr>
          <w:delText>/risikoforhold vurderes nøye.</w:delText>
        </w:r>
      </w:del>
    </w:p>
    <w:p w14:paraId="60B30D32" w14:textId="25420971" w:rsidR="00DE3458" w:rsidRPr="009C5EFD" w:rsidRDefault="00DE3458" w:rsidP="009C5EFD">
      <w:pPr>
        <w:rPr>
          <w:del w:id="505" w:author="AbbVie02no" w:date="2025-05-15T12:36:00Z"/>
          <w:sz w:val="22"/>
          <w:szCs w:val="22"/>
        </w:rPr>
      </w:pPr>
    </w:p>
    <w:p w14:paraId="500E2229" w14:textId="593F37A7" w:rsidR="00DE3458" w:rsidRPr="009C5EFD" w:rsidRDefault="00E453CD" w:rsidP="009C5EFD">
      <w:pPr>
        <w:rPr>
          <w:del w:id="506" w:author="AbbVie02no" w:date="2025-05-15T12:36:00Z"/>
          <w:sz w:val="22"/>
          <w:szCs w:val="22"/>
        </w:rPr>
      </w:pPr>
      <w:del w:id="507" w:author="AbbVie02no" w:date="2025-05-15T12:36:00Z">
        <w:r w:rsidRPr="009C5EFD">
          <w:rPr>
            <w:sz w:val="22"/>
            <w:szCs w:val="22"/>
          </w:rPr>
          <w:delText xml:space="preserve">Hvis latent tuberkulose mistenkes, bør lege </w:delText>
        </w:r>
        <w:r w:rsidRPr="009C5EFD">
          <w:rPr>
            <w:color w:val="000000"/>
            <w:sz w:val="22"/>
            <w:szCs w:val="22"/>
          </w:rPr>
          <w:delText xml:space="preserve">som er </w:delText>
        </w:r>
        <w:r w:rsidRPr="009C5EFD">
          <w:rPr>
            <w:sz w:val="22"/>
            <w:szCs w:val="22"/>
          </w:rPr>
          <w:delText xml:space="preserve">ekspert på tuberkulose konsulteres. </w:delText>
        </w:r>
      </w:del>
    </w:p>
    <w:p w14:paraId="4941676B" w14:textId="6946D643" w:rsidR="00DE3458" w:rsidRPr="009C5EFD" w:rsidRDefault="00DE3458" w:rsidP="009C5EFD">
      <w:pPr>
        <w:rPr>
          <w:del w:id="508" w:author="AbbVie02no" w:date="2025-05-15T12:36:00Z"/>
          <w:sz w:val="22"/>
          <w:szCs w:val="22"/>
        </w:rPr>
      </w:pPr>
    </w:p>
    <w:p w14:paraId="6D295C9E" w14:textId="62C93381" w:rsidR="00DE3458" w:rsidRPr="009C5EFD" w:rsidRDefault="00E453CD" w:rsidP="009C5EFD">
      <w:pPr>
        <w:rPr>
          <w:del w:id="509" w:author="AbbVie02no" w:date="2025-05-15T12:36:00Z"/>
          <w:sz w:val="22"/>
          <w:szCs w:val="22"/>
        </w:rPr>
      </w:pPr>
      <w:del w:id="510" w:author="AbbVie02no" w:date="2025-05-15T12:36:00Z">
        <w:r w:rsidRPr="009C5EFD">
          <w:rPr>
            <w:sz w:val="22"/>
            <w:szCs w:val="22"/>
          </w:rPr>
          <w:delText>Hvis</w:delText>
        </w:r>
        <w:r w:rsidR="004A66FA" w:rsidRPr="009C5EFD">
          <w:rPr>
            <w:sz w:val="22"/>
            <w:szCs w:val="22"/>
          </w:rPr>
          <w:delText xml:space="preserve"> </w:delText>
        </w:r>
        <w:r w:rsidRPr="009C5EFD">
          <w:rPr>
            <w:sz w:val="22"/>
            <w:szCs w:val="22"/>
          </w:rPr>
          <w:delText xml:space="preserve">latent tuberkulose er diagnostisert må </w:delText>
        </w:r>
        <w:r w:rsidR="000C4B0F" w:rsidRPr="009C5EFD">
          <w:rPr>
            <w:sz w:val="22"/>
            <w:szCs w:val="22"/>
          </w:rPr>
          <w:delText>passende</w:delText>
        </w:r>
        <w:r w:rsidRPr="009C5EFD">
          <w:rPr>
            <w:sz w:val="22"/>
            <w:szCs w:val="22"/>
          </w:rPr>
          <w:delText xml:space="preserve"> anti</w:delText>
        </w:r>
        <w:r w:rsidR="008A1EAC">
          <w:rPr>
            <w:sz w:val="22"/>
            <w:szCs w:val="22"/>
          </w:rPr>
          <w:delText>-</w:delText>
        </w:r>
        <w:r w:rsidRPr="009C5EFD">
          <w:rPr>
            <w:sz w:val="22"/>
            <w:szCs w:val="22"/>
          </w:rPr>
          <w:delText>tuberkulose</w:delText>
        </w:r>
        <w:r w:rsidR="00916E5E" w:rsidRPr="009C5EFD">
          <w:rPr>
            <w:sz w:val="22"/>
            <w:szCs w:val="22"/>
          </w:rPr>
          <w:delText xml:space="preserve"> </w:delText>
        </w:r>
        <w:r w:rsidRPr="009C5EFD">
          <w:rPr>
            <w:sz w:val="22"/>
            <w:szCs w:val="22"/>
          </w:rPr>
          <w:delText>profylakse</w:delText>
        </w:r>
        <w:r w:rsidR="00916E5E" w:rsidRPr="009C5EFD">
          <w:rPr>
            <w:sz w:val="22"/>
            <w:szCs w:val="22"/>
          </w:rPr>
          <w:delText>behandling</w:delText>
        </w:r>
        <w:r w:rsidRPr="009C5EFD">
          <w:rPr>
            <w:sz w:val="22"/>
            <w:szCs w:val="22"/>
          </w:rPr>
          <w:delText xml:space="preserve"> </w:delText>
        </w:r>
        <w:r w:rsidR="00916E5E" w:rsidRPr="009C5EFD">
          <w:rPr>
            <w:sz w:val="22"/>
            <w:szCs w:val="22"/>
          </w:rPr>
          <w:delText xml:space="preserve">startes </w:delText>
        </w:r>
        <w:r w:rsidRPr="009C5EFD">
          <w:rPr>
            <w:sz w:val="22"/>
            <w:szCs w:val="22"/>
          </w:rPr>
          <w:delText xml:space="preserve">før behandling med Humira begynner, og i samsvar med lokale retningslinjer. </w:delText>
        </w:r>
      </w:del>
    </w:p>
    <w:p w14:paraId="66D3170D" w14:textId="5BC9D94B" w:rsidR="00DE3458" w:rsidRPr="009C5EFD" w:rsidRDefault="00DE3458" w:rsidP="009C5EFD">
      <w:pPr>
        <w:rPr>
          <w:del w:id="511" w:author="AbbVie02no" w:date="2025-05-15T12:36:00Z"/>
          <w:sz w:val="22"/>
          <w:szCs w:val="22"/>
        </w:rPr>
      </w:pPr>
    </w:p>
    <w:p w14:paraId="4B283F17" w14:textId="736ECD7D" w:rsidR="00E0368E" w:rsidRPr="009C5EFD" w:rsidRDefault="00E453CD" w:rsidP="009C5EFD">
      <w:pPr>
        <w:rPr>
          <w:del w:id="512" w:author="AbbVie02no" w:date="2025-05-15T12:36:00Z"/>
          <w:sz w:val="22"/>
          <w:szCs w:val="22"/>
        </w:rPr>
      </w:pPr>
      <w:del w:id="513" w:author="AbbVie02no" w:date="2025-05-15T12:36:00Z">
        <w:r w:rsidRPr="009C5EFD">
          <w:rPr>
            <w:sz w:val="22"/>
            <w:szCs w:val="22"/>
          </w:rPr>
          <w:delText>Bruk av anti</w:delText>
        </w:r>
        <w:r w:rsidR="008A1EAC">
          <w:rPr>
            <w:sz w:val="22"/>
            <w:szCs w:val="22"/>
          </w:rPr>
          <w:delText>-</w:delText>
        </w:r>
        <w:r w:rsidRPr="009C5EFD">
          <w:rPr>
            <w:sz w:val="22"/>
            <w:szCs w:val="22"/>
          </w:rPr>
          <w:delText>tuberkulose</w:delText>
        </w:r>
        <w:r w:rsidR="00916E5E" w:rsidRPr="009C5EFD">
          <w:rPr>
            <w:sz w:val="22"/>
            <w:szCs w:val="22"/>
          </w:rPr>
          <w:delText xml:space="preserve"> profylaksebehandling</w:delText>
        </w:r>
        <w:r w:rsidRPr="009C5EFD">
          <w:rPr>
            <w:sz w:val="22"/>
            <w:szCs w:val="22"/>
          </w:rPr>
          <w:delText xml:space="preserve"> bør også vurderes før start av behandling med Humira hos pasienter med </w:delText>
        </w:r>
        <w:r w:rsidR="00916E5E" w:rsidRPr="009C5EFD">
          <w:rPr>
            <w:sz w:val="22"/>
            <w:szCs w:val="22"/>
          </w:rPr>
          <w:delText xml:space="preserve">flere eller signifikante risikofaktorer for tuberkulose til tross for </w:delText>
        </w:r>
        <w:r w:rsidRPr="009C5EFD">
          <w:rPr>
            <w:sz w:val="22"/>
            <w:szCs w:val="22"/>
          </w:rPr>
          <w:delText xml:space="preserve">en negativ tuberkulosetest, og hos pasienter med en tidligere historie med latent eller aktiv tuberkulose hvor tilstrekkelig behandling ikke kan bekreftes. </w:delText>
        </w:r>
      </w:del>
    </w:p>
    <w:p w14:paraId="62092860" w14:textId="7CCE1BE2" w:rsidR="00E0368E" w:rsidRPr="009C5EFD" w:rsidRDefault="00E0368E" w:rsidP="009C5EFD">
      <w:pPr>
        <w:rPr>
          <w:del w:id="514" w:author="AbbVie02no" w:date="2025-05-15T12:36:00Z"/>
          <w:sz w:val="22"/>
          <w:szCs w:val="22"/>
        </w:rPr>
      </w:pPr>
    </w:p>
    <w:p w14:paraId="145ECE9C" w14:textId="75D3BE94" w:rsidR="00DE3458" w:rsidRPr="009C5EFD" w:rsidRDefault="00E453CD" w:rsidP="009C5EFD">
      <w:pPr>
        <w:rPr>
          <w:del w:id="515" w:author="AbbVie02no" w:date="2025-05-15T12:36:00Z"/>
          <w:sz w:val="22"/>
          <w:szCs w:val="22"/>
        </w:rPr>
      </w:pPr>
      <w:del w:id="516" w:author="AbbVie02no" w:date="2025-05-15T12:36:00Z">
        <w:r w:rsidRPr="009C5EFD">
          <w:rPr>
            <w:sz w:val="22"/>
            <w:szCs w:val="22"/>
          </w:rPr>
          <w:delText xml:space="preserve">Tilfeller av reaktivert tuberkulose har </w:delText>
        </w:r>
        <w:r w:rsidR="008A1EAC">
          <w:rPr>
            <w:sz w:val="22"/>
            <w:szCs w:val="22"/>
          </w:rPr>
          <w:delText>forekommet</w:delText>
        </w:r>
        <w:r w:rsidRPr="009C5EFD">
          <w:rPr>
            <w:sz w:val="22"/>
            <w:szCs w:val="22"/>
          </w:rPr>
          <w:delText xml:space="preserve"> hos pasienter behandlet med Humira til tross for tuberkulose profylaksebehandling.</w:delText>
        </w:r>
        <w:r w:rsidR="00F3325A" w:rsidRPr="009C5EFD">
          <w:rPr>
            <w:sz w:val="22"/>
            <w:szCs w:val="22"/>
          </w:rPr>
          <w:delText xml:space="preserve"> </w:delText>
        </w:r>
        <w:r w:rsidR="00821D8D" w:rsidRPr="009C5EFD">
          <w:rPr>
            <w:sz w:val="22"/>
            <w:szCs w:val="22"/>
          </w:rPr>
          <w:delText xml:space="preserve">Noen pasienter </w:delText>
        </w:r>
        <w:r w:rsidR="000F564F" w:rsidRPr="009C5EFD">
          <w:rPr>
            <w:sz w:val="22"/>
            <w:szCs w:val="22"/>
          </w:rPr>
          <w:delText xml:space="preserve">med vellykket </w:delText>
        </w:r>
        <w:r w:rsidR="00821D8D" w:rsidRPr="009C5EFD">
          <w:rPr>
            <w:sz w:val="22"/>
            <w:szCs w:val="22"/>
          </w:rPr>
          <w:delText>behandl</w:delText>
        </w:r>
        <w:r w:rsidR="000F564F" w:rsidRPr="009C5EFD">
          <w:rPr>
            <w:sz w:val="22"/>
            <w:szCs w:val="22"/>
          </w:rPr>
          <w:delText>ing</w:delText>
        </w:r>
        <w:r w:rsidR="00821D8D" w:rsidRPr="009C5EFD">
          <w:rPr>
            <w:sz w:val="22"/>
            <w:szCs w:val="22"/>
          </w:rPr>
          <w:delText xml:space="preserve"> for aktiv tuberkulose, har </w:delText>
        </w:r>
        <w:r w:rsidR="000F564F" w:rsidRPr="009C5EFD">
          <w:rPr>
            <w:sz w:val="22"/>
            <w:szCs w:val="22"/>
          </w:rPr>
          <w:delText xml:space="preserve"> igjen </w:delText>
        </w:r>
        <w:r w:rsidR="00821D8D" w:rsidRPr="009C5EFD">
          <w:rPr>
            <w:sz w:val="22"/>
            <w:szCs w:val="22"/>
          </w:rPr>
          <w:delText>utviklet tuberkulose under behandling med Humira.</w:delText>
        </w:r>
      </w:del>
    </w:p>
    <w:p w14:paraId="1428E116" w14:textId="574335EA" w:rsidR="00821D8D" w:rsidRPr="009C5EFD" w:rsidRDefault="00821D8D" w:rsidP="009C5EFD">
      <w:pPr>
        <w:rPr>
          <w:del w:id="517" w:author="AbbVie02no" w:date="2025-05-15T12:36:00Z"/>
          <w:sz w:val="22"/>
          <w:szCs w:val="22"/>
        </w:rPr>
      </w:pPr>
    </w:p>
    <w:p w14:paraId="7F4FB51F" w14:textId="60DEB70F" w:rsidR="00DE3458" w:rsidRPr="009C5EFD" w:rsidRDefault="00E453CD" w:rsidP="009C5EFD">
      <w:pPr>
        <w:rPr>
          <w:del w:id="518" w:author="AbbVie02no" w:date="2025-05-15T12:36:00Z"/>
          <w:sz w:val="22"/>
          <w:szCs w:val="22"/>
        </w:rPr>
      </w:pPr>
      <w:del w:id="519" w:author="AbbVie02no" w:date="2025-05-15T12:36:00Z">
        <w:r w:rsidRPr="009C5EFD">
          <w:rPr>
            <w:sz w:val="22"/>
            <w:szCs w:val="22"/>
          </w:rPr>
          <w:delText xml:space="preserve">Pasienter bør instrueres </w:delText>
        </w:r>
        <w:r w:rsidR="000F564F" w:rsidRPr="009C5EFD">
          <w:rPr>
            <w:sz w:val="22"/>
            <w:szCs w:val="22"/>
          </w:rPr>
          <w:delText xml:space="preserve">til </w:delText>
        </w:r>
        <w:r w:rsidRPr="009C5EFD">
          <w:rPr>
            <w:sz w:val="22"/>
            <w:szCs w:val="22"/>
          </w:rPr>
          <w:delText xml:space="preserve">å oppsøke medisinsk hjelp dersom det oppstår tegn/symptomer </w:delText>
        </w:r>
        <w:r w:rsidR="000F564F" w:rsidRPr="009C5EFD">
          <w:rPr>
            <w:sz w:val="22"/>
            <w:szCs w:val="22"/>
          </w:rPr>
          <w:delText xml:space="preserve">som tyder </w:delText>
        </w:r>
        <w:r w:rsidRPr="009C5EFD">
          <w:rPr>
            <w:sz w:val="22"/>
            <w:szCs w:val="22"/>
          </w:rPr>
          <w:delText xml:space="preserve">på tuberkuløs infeksjon </w:delText>
        </w:r>
        <w:r w:rsidR="000F564F" w:rsidRPr="009C5EFD">
          <w:rPr>
            <w:sz w:val="22"/>
            <w:szCs w:val="22"/>
          </w:rPr>
          <w:delText xml:space="preserve">(f.eks. vedvarende hoste, vekttap, lavgradig feber, slapphet) </w:delText>
        </w:r>
        <w:r w:rsidRPr="009C5EFD">
          <w:rPr>
            <w:sz w:val="22"/>
            <w:szCs w:val="22"/>
          </w:rPr>
          <w:delText>under eller etter behandling med Humira.</w:delText>
        </w:r>
      </w:del>
    </w:p>
    <w:p w14:paraId="2FE465F1" w14:textId="5B219EED" w:rsidR="00DE3458" w:rsidRPr="009C5EFD" w:rsidRDefault="00DE3458" w:rsidP="009C5EFD">
      <w:pPr>
        <w:rPr>
          <w:del w:id="520" w:author="AbbVie02no" w:date="2025-05-15T12:36:00Z"/>
          <w:sz w:val="22"/>
          <w:szCs w:val="22"/>
        </w:rPr>
      </w:pPr>
    </w:p>
    <w:p w14:paraId="682795CE" w14:textId="6DF15972" w:rsidR="00DE3458" w:rsidRPr="009C5EFD" w:rsidRDefault="00E453CD" w:rsidP="001F5D4B">
      <w:pPr>
        <w:pStyle w:val="Heading6"/>
        <w:rPr>
          <w:del w:id="521" w:author="AbbVie02no" w:date="2025-05-15T12:36:00Z"/>
          <w:szCs w:val="22"/>
        </w:rPr>
      </w:pPr>
      <w:del w:id="522" w:author="AbbVie02no" w:date="2025-05-15T12:36:00Z">
        <w:r w:rsidRPr="009C5EFD">
          <w:rPr>
            <w:szCs w:val="22"/>
          </w:rPr>
          <w:delText>Andre opportunistiske infeksjoner</w:delText>
        </w:r>
      </w:del>
    </w:p>
    <w:p w14:paraId="51AAF612" w14:textId="5F016DD6" w:rsidR="00DE3458" w:rsidRPr="009C5EFD" w:rsidRDefault="00DE3458" w:rsidP="001F5D4B">
      <w:pPr>
        <w:keepNext/>
        <w:rPr>
          <w:del w:id="523" w:author="AbbVie02no" w:date="2025-05-15T12:36:00Z"/>
          <w:sz w:val="22"/>
          <w:szCs w:val="22"/>
        </w:rPr>
      </w:pPr>
    </w:p>
    <w:p w14:paraId="26AF0282" w14:textId="030FB109" w:rsidR="00DE3458" w:rsidRPr="009C5EFD" w:rsidRDefault="00E453CD" w:rsidP="00776A84">
      <w:pPr>
        <w:rPr>
          <w:del w:id="524" w:author="AbbVie02no" w:date="2025-05-15T12:36:00Z"/>
          <w:sz w:val="22"/>
          <w:szCs w:val="22"/>
        </w:rPr>
      </w:pPr>
      <w:del w:id="525" w:author="AbbVie02no" w:date="2025-05-15T12:36:00Z">
        <w:r w:rsidRPr="009C5EFD">
          <w:rPr>
            <w:sz w:val="22"/>
            <w:szCs w:val="22"/>
          </w:rPr>
          <w:delText xml:space="preserve">Opportunistiske infeksjoner, inkludert invasive soppinfeksjoner er observert hos pasienter som behandles med Humira. Disse infeksjonene </w:delText>
        </w:r>
        <w:r w:rsidR="002D6101" w:rsidRPr="009C5EFD">
          <w:rPr>
            <w:sz w:val="22"/>
            <w:szCs w:val="22"/>
          </w:rPr>
          <w:delText>ha</w:delText>
        </w:r>
        <w:r w:rsidRPr="009C5EFD">
          <w:rPr>
            <w:sz w:val="22"/>
            <w:szCs w:val="22"/>
          </w:rPr>
          <w:delText>r ikke konsekvent</w:delText>
        </w:r>
        <w:r w:rsidR="002D6101" w:rsidRPr="009C5EFD">
          <w:rPr>
            <w:sz w:val="22"/>
            <w:szCs w:val="22"/>
          </w:rPr>
          <w:delText xml:space="preserve"> blitt</w:delText>
        </w:r>
        <w:r w:rsidRPr="009C5EFD">
          <w:rPr>
            <w:sz w:val="22"/>
            <w:szCs w:val="22"/>
          </w:rPr>
          <w:delText xml:space="preserve"> gjenkjent hos pasienter som tar TNF-antagonister, noe som har ført til forsinkelse</w:delText>
        </w:r>
        <w:r w:rsidR="002D6101" w:rsidRPr="009C5EFD">
          <w:rPr>
            <w:sz w:val="22"/>
            <w:szCs w:val="22"/>
          </w:rPr>
          <w:delText>r</w:delText>
        </w:r>
        <w:r w:rsidRPr="009C5EFD">
          <w:rPr>
            <w:sz w:val="22"/>
            <w:szCs w:val="22"/>
          </w:rPr>
          <w:delText xml:space="preserve"> </w:delText>
        </w:r>
        <w:r w:rsidR="002D6101" w:rsidRPr="009C5EFD">
          <w:rPr>
            <w:sz w:val="22"/>
            <w:szCs w:val="22"/>
          </w:rPr>
          <w:delText>av</w:delText>
        </w:r>
        <w:r w:rsidRPr="009C5EFD">
          <w:rPr>
            <w:sz w:val="22"/>
            <w:szCs w:val="22"/>
          </w:rPr>
          <w:delText xml:space="preserve"> </w:delText>
        </w:r>
        <w:r w:rsidR="002D6101" w:rsidRPr="009C5EFD">
          <w:rPr>
            <w:sz w:val="22"/>
            <w:szCs w:val="22"/>
          </w:rPr>
          <w:delText>hensiktsmessig</w:delText>
        </w:r>
        <w:r w:rsidRPr="009C5EFD">
          <w:rPr>
            <w:sz w:val="22"/>
            <w:szCs w:val="22"/>
          </w:rPr>
          <w:delText xml:space="preserve"> behandling</w:delText>
        </w:r>
        <w:r w:rsidR="002D6101" w:rsidRPr="009C5EFD">
          <w:rPr>
            <w:sz w:val="22"/>
            <w:szCs w:val="22"/>
          </w:rPr>
          <w:delText>, noen ganger med fatale følger</w:delText>
        </w:r>
        <w:r w:rsidRPr="009C5EFD">
          <w:rPr>
            <w:sz w:val="22"/>
            <w:szCs w:val="22"/>
          </w:rPr>
          <w:delText>.</w:delText>
        </w:r>
      </w:del>
    </w:p>
    <w:p w14:paraId="22FFF345" w14:textId="0C074FB5" w:rsidR="00DE3458" w:rsidRPr="009C5EFD" w:rsidRDefault="00DE3458" w:rsidP="007F67EE">
      <w:pPr>
        <w:rPr>
          <w:del w:id="526" w:author="AbbVie02no" w:date="2025-05-15T12:36:00Z"/>
          <w:sz w:val="22"/>
          <w:szCs w:val="22"/>
        </w:rPr>
      </w:pPr>
    </w:p>
    <w:p w14:paraId="502460D4" w14:textId="6A117FF5" w:rsidR="002E62EC" w:rsidRPr="009C5EFD" w:rsidRDefault="00E453CD" w:rsidP="007F67EE">
      <w:pPr>
        <w:rPr>
          <w:del w:id="527" w:author="AbbVie02no" w:date="2025-05-15T12:36:00Z"/>
          <w:sz w:val="22"/>
          <w:szCs w:val="22"/>
        </w:rPr>
      </w:pPr>
      <w:del w:id="528" w:author="AbbVie02no" w:date="2025-05-15T12:36:00Z">
        <w:r w:rsidRPr="009C5EFD">
          <w:rPr>
            <w:sz w:val="22"/>
            <w:szCs w:val="22"/>
          </w:rPr>
          <w:delText>Hos pasienter som utvikler symptomer som feber, malaise, vekttap, svette, hoste, dyspné og/eller lungeinfiltrat eller andre alvorlige systemiske sykdommer med eller uten samtidig sjokk bør en invasiv soppinfeksjon mistenkes og behandling med Humira avbrytes omgående.</w:delText>
        </w:r>
        <w:r w:rsidR="00172EFC" w:rsidRPr="009C5EFD">
          <w:rPr>
            <w:sz w:val="22"/>
            <w:szCs w:val="22"/>
          </w:rPr>
          <w:delText xml:space="preserve"> Diagnos</w:delText>
        </w:r>
        <w:r w:rsidR="00286E8C" w:rsidRPr="009C5EFD">
          <w:rPr>
            <w:sz w:val="22"/>
            <w:szCs w:val="22"/>
          </w:rPr>
          <w:delText>tis</w:delText>
        </w:r>
        <w:r w:rsidR="00172EFC" w:rsidRPr="009C5EFD">
          <w:rPr>
            <w:sz w:val="22"/>
            <w:szCs w:val="22"/>
          </w:rPr>
          <w:delText>e</w:delText>
        </w:r>
        <w:r w:rsidR="00286E8C" w:rsidRPr="009C5EFD">
          <w:rPr>
            <w:sz w:val="22"/>
            <w:szCs w:val="22"/>
          </w:rPr>
          <w:delText>ring</w:delText>
        </w:r>
        <w:r w:rsidR="00172EFC" w:rsidRPr="009C5EFD">
          <w:rPr>
            <w:sz w:val="22"/>
            <w:szCs w:val="22"/>
          </w:rPr>
          <w:delText xml:space="preserve"> og </w:delText>
        </w:r>
        <w:r w:rsidR="00A17985" w:rsidRPr="009C5EFD">
          <w:rPr>
            <w:sz w:val="22"/>
            <w:szCs w:val="22"/>
          </w:rPr>
          <w:delText xml:space="preserve">håndtering av </w:delText>
        </w:r>
        <w:r w:rsidR="00172EFC" w:rsidRPr="009C5EFD">
          <w:rPr>
            <w:sz w:val="22"/>
            <w:szCs w:val="22"/>
          </w:rPr>
          <w:delText>empirisk</w:delText>
        </w:r>
        <w:r w:rsidR="00A17985" w:rsidRPr="009C5EFD">
          <w:rPr>
            <w:sz w:val="22"/>
            <w:szCs w:val="22"/>
          </w:rPr>
          <w:delText xml:space="preserve"> behandling med antimykotika hos disse pasientene</w:delText>
        </w:r>
        <w:r w:rsidR="00934DA8" w:rsidRPr="009C5EFD">
          <w:rPr>
            <w:sz w:val="22"/>
            <w:szCs w:val="22"/>
          </w:rPr>
          <w:delText>,</w:delText>
        </w:r>
        <w:r w:rsidR="00A17985" w:rsidRPr="009C5EFD">
          <w:rPr>
            <w:sz w:val="22"/>
            <w:szCs w:val="22"/>
          </w:rPr>
          <w:delText xml:space="preserve"> bør skje </w:delText>
        </w:r>
        <w:r w:rsidR="00090AC6" w:rsidRPr="009C5EFD">
          <w:rPr>
            <w:sz w:val="22"/>
            <w:szCs w:val="22"/>
          </w:rPr>
          <w:delText xml:space="preserve">i samråd med en lege som </w:delText>
        </w:r>
        <w:r w:rsidR="00286E8C" w:rsidRPr="009C5EFD">
          <w:rPr>
            <w:sz w:val="22"/>
            <w:szCs w:val="22"/>
          </w:rPr>
          <w:delText xml:space="preserve">har erfaring </w:delText>
        </w:r>
        <w:r w:rsidR="00934DA8" w:rsidRPr="009C5EFD">
          <w:rPr>
            <w:sz w:val="22"/>
            <w:szCs w:val="22"/>
          </w:rPr>
          <w:delText>med</w:delText>
        </w:r>
        <w:r w:rsidR="00090AC6" w:rsidRPr="009C5EFD">
          <w:rPr>
            <w:sz w:val="22"/>
            <w:szCs w:val="22"/>
          </w:rPr>
          <w:delText xml:space="preserve"> å behandle pasienter med invasive soppinfeksjoner.</w:delText>
        </w:r>
      </w:del>
    </w:p>
    <w:p w14:paraId="1EA378CA" w14:textId="3C66DA95" w:rsidR="00DE3458" w:rsidRPr="009C5EFD" w:rsidRDefault="00DE3458" w:rsidP="007F67EE">
      <w:pPr>
        <w:rPr>
          <w:del w:id="529" w:author="AbbVie02no" w:date="2025-05-15T12:36:00Z"/>
          <w:sz w:val="22"/>
          <w:szCs w:val="22"/>
        </w:rPr>
      </w:pPr>
    </w:p>
    <w:p w14:paraId="005D93B6" w14:textId="2F9A12F1" w:rsidR="00DE3458" w:rsidRPr="009C5EFD" w:rsidRDefault="00E453CD" w:rsidP="00776A84">
      <w:pPr>
        <w:pStyle w:val="Heading1"/>
        <w:rPr>
          <w:del w:id="530" w:author="AbbVie02no" w:date="2025-05-15T12:36:00Z"/>
          <w:color w:val="auto"/>
          <w:sz w:val="22"/>
          <w:szCs w:val="22"/>
        </w:rPr>
      </w:pPr>
      <w:del w:id="531" w:author="AbbVie02no" w:date="2025-05-15T12:36:00Z">
        <w:r w:rsidRPr="009C5EFD">
          <w:rPr>
            <w:color w:val="auto"/>
            <w:sz w:val="22"/>
            <w:szCs w:val="22"/>
          </w:rPr>
          <w:lastRenderedPageBreak/>
          <w:delText>Reaktivering av hepatitt B</w:delText>
        </w:r>
      </w:del>
    </w:p>
    <w:p w14:paraId="20F854AE" w14:textId="44D577A6" w:rsidR="002E62EC" w:rsidRPr="00776A84" w:rsidRDefault="002E62EC" w:rsidP="00776A84">
      <w:pPr>
        <w:keepNext/>
        <w:rPr>
          <w:del w:id="532" w:author="AbbVie02no" w:date="2025-05-15T12:36:00Z"/>
          <w:sz w:val="22"/>
          <w:szCs w:val="22"/>
        </w:rPr>
      </w:pPr>
    </w:p>
    <w:p w14:paraId="71D56D74" w14:textId="0D1B36E9" w:rsidR="00C15039" w:rsidRPr="009C5EFD" w:rsidRDefault="00E453CD" w:rsidP="002D0790">
      <w:pPr>
        <w:pStyle w:val="BodyText2"/>
        <w:spacing w:line="240" w:lineRule="atLeast"/>
        <w:rPr>
          <w:del w:id="533" w:author="AbbVie02no" w:date="2025-05-15T12:36:00Z"/>
          <w:color w:val="auto"/>
          <w:szCs w:val="22"/>
        </w:rPr>
      </w:pPr>
      <w:del w:id="534" w:author="AbbVie02no" w:date="2025-05-15T12:36:00Z">
        <w:r w:rsidRPr="009C5EFD">
          <w:rPr>
            <w:color w:val="auto"/>
            <w:szCs w:val="22"/>
          </w:rPr>
          <w:delText>Reaktivering av hepatitt B har forekommet hos pasienter som behandles med TNF-antagonister inklusive Humira</w:delText>
        </w:r>
        <w:r w:rsidR="008F56FA" w:rsidRPr="009C5EFD">
          <w:rPr>
            <w:color w:val="auto"/>
            <w:szCs w:val="22"/>
          </w:rPr>
          <w:delText>,</w:delText>
        </w:r>
        <w:r w:rsidRPr="009C5EFD">
          <w:rPr>
            <w:color w:val="auto"/>
            <w:szCs w:val="22"/>
          </w:rPr>
          <w:delText xml:space="preserve"> og som er kroniske bærere av viruset (dvs. </w:delText>
        </w:r>
        <w:r w:rsidR="004D6567" w:rsidRPr="009C5EFD">
          <w:rPr>
            <w:color w:val="auto"/>
            <w:szCs w:val="22"/>
          </w:rPr>
          <w:delText>o</w:delText>
        </w:r>
        <w:r w:rsidRPr="009C5EFD">
          <w:rPr>
            <w:color w:val="auto"/>
            <w:szCs w:val="22"/>
          </w:rPr>
          <w:delText>verflateantigen</w:delText>
        </w:r>
        <w:r w:rsidR="004D6567" w:rsidRPr="009C5EFD">
          <w:rPr>
            <w:color w:val="auto"/>
            <w:szCs w:val="22"/>
          </w:rPr>
          <w:delText>-</w:delText>
        </w:r>
        <w:r w:rsidRPr="009C5EFD">
          <w:rPr>
            <w:color w:val="auto"/>
            <w:szCs w:val="22"/>
          </w:rPr>
          <w:delText xml:space="preserve">positive). Noen tilfeller var fatale. Pasienter bør testes for HBV-infeksjon før oppstart </w:delText>
        </w:r>
        <w:r w:rsidR="004D6567" w:rsidRPr="009C5EFD">
          <w:rPr>
            <w:color w:val="auto"/>
            <w:szCs w:val="22"/>
          </w:rPr>
          <w:delText xml:space="preserve">av </w:delText>
        </w:r>
        <w:r w:rsidRPr="009C5EFD">
          <w:rPr>
            <w:color w:val="auto"/>
            <w:szCs w:val="22"/>
          </w:rPr>
          <w:delText>Humira</w:delText>
        </w:r>
        <w:r w:rsidR="003A641B" w:rsidRPr="009C5EFD">
          <w:rPr>
            <w:color w:val="auto"/>
            <w:szCs w:val="22"/>
          </w:rPr>
          <w:delText>-behandling</w:delText>
        </w:r>
        <w:r w:rsidRPr="009C5EFD">
          <w:rPr>
            <w:color w:val="auto"/>
            <w:szCs w:val="22"/>
          </w:rPr>
          <w:delText xml:space="preserve">. </w:delText>
        </w:r>
        <w:r w:rsidR="003A641B" w:rsidRPr="009C5EFD">
          <w:rPr>
            <w:color w:val="auto"/>
            <w:szCs w:val="22"/>
          </w:rPr>
          <w:delText>For pasienter som testes positiv for hepatitt B-infeksjon, anbefales det å konsultere en lege med ekspertise på behandling av hepatitt B.</w:delText>
        </w:r>
      </w:del>
    </w:p>
    <w:p w14:paraId="23D4E5FE" w14:textId="681648DB" w:rsidR="00C15039" w:rsidRPr="009C5EFD" w:rsidRDefault="00C15039" w:rsidP="00E14E58">
      <w:pPr>
        <w:pStyle w:val="BodyText2"/>
        <w:spacing w:line="240" w:lineRule="atLeast"/>
        <w:rPr>
          <w:del w:id="535" w:author="AbbVie02no" w:date="2025-05-15T12:36:00Z"/>
          <w:color w:val="auto"/>
          <w:szCs w:val="22"/>
        </w:rPr>
      </w:pPr>
    </w:p>
    <w:p w14:paraId="3987F5A6" w14:textId="2A8FF5A1" w:rsidR="00DE3458" w:rsidRPr="009C5EFD" w:rsidRDefault="00E453CD" w:rsidP="009C5EFD">
      <w:pPr>
        <w:pStyle w:val="BodyText2"/>
        <w:spacing w:line="240" w:lineRule="atLeast"/>
        <w:rPr>
          <w:del w:id="536" w:author="AbbVie02no" w:date="2025-05-15T12:36:00Z"/>
          <w:color w:val="auto"/>
          <w:szCs w:val="22"/>
        </w:rPr>
      </w:pPr>
      <w:del w:id="537" w:author="AbbVie02no" w:date="2025-05-15T12:36:00Z">
        <w:r w:rsidRPr="009C5EFD">
          <w:rPr>
            <w:color w:val="auto"/>
            <w:szCs w:val="22"/>
          </w:rPr>
          <w:delText xml:space="preserve">HBV-bærere som krever behandling med Humira bør overvåkes nøye med hensyn på sykdomstegn og symptomer på aktiv HBV-infeksjon under behandlingen og flere måneder etter avsluttet behandling. Tilstrekkelig data om behandling av pasienter som er HBV-bærere med antiviralterapi for å forebygge HBV-reaktivering, samtidig med TNF-antagonistterapi, er ikke tilgjengelig. Humira bør seponeres hos pasienter som utvikler HBV-reaktivering og effektiv antiviralterapi med passende støttebehandling bør startes.  </w:delText>
        </w:r>
      </w:del>
    </w:p>
    <w:p w14:paraId="2FE7B9DF" w14:textId="6FCEE2AC" w:rsidR="00DE3458" w:rsidRPr="009C5EFD" w:rsidRDefault="00DE3458" w:rsidP="009C5EFD">
      <w:pPr>
        <w:rPr>
          <w:del w:id="538" w:author="AbbVie02no" w:date="2025-05-15T12:36:00Z"/>
          <w:sz w:val="22"/>
          <w:szCs w:val="22"/>
        </w:rPr>
      </w:pPr>
    </w:p>
    <w:p w14:paraId="67D26E4F" w14:textId="5E12CFDF" w:rsidR="00DE3458" w:rsidRPr="009C5EFD" w:rsidRDefault="00E453CD" w:rsidP="00776A84">
      <w:pPr>
        <w:pStyle w:val="Heading8"/>
        <w:rPr>
          <w:del w:id="539" w:author="AbbVie02no" w:date="2025-05-15T12:36:00Z"/>
          <w:szCs w:val="22"/>
        </w:rPr>
      </w:pPr>
      <w:del w:id="540" w:author="AbbVie02no" w:date="2025-05-15T12:36:00Z">
        <w:r w:rsidRPr="009C5EFD">
          <w:rPr>
            <w:szCs w:val="22"/>
          </w:rPr>
          <w:delText>Nevrologiske hendelser</w:delText>
        </w:r>
      </w:del>
    </w:p>
    <w:p w14:paraId="0EDEC5C9" w14:textId="12BD917B" w:rsidR="00DE3458" w:rsidRPr="009C5EFD" w:rsidRDefault="00DE3458" w:rsidP="00776A84">
      <w:pPr>
        <w:keepNext/>
        <w:rPr>
          <w:del w:id="541" w:author="AbbVie02no" w:date="2025-05-15T12:36:00Z"/>
          <w:sz w:val="22"/>
          <w:szCs w:val="22"/>
        </w:rPr>
      </w:pPr>
    </w:p>
    <w:p w14:paraId="135677E1" w14:textId="30DA529E" w:rsidR="00DE3458" w:rsidRPr="009C5EFD" w:rsidRDefault="00E453CD" w:rsidP="009C5EFD">
      <w:pPr>
        <w:rPr>
          <w:del w:id="542" w:author="AbbVie02no" w:date="2025-05-15T12:36:00Z"/>
          <w:sz w:val="22"/>
          <w:szCs w:val="22"/>
        </w:rPr>
      </w:pPr>
      <w:del w:id="543" w:author="AbbVie02no" w:date="2025-05-15T12:36:00Z">
        <w:r w:rsidRPr="009C5EFD">
          <w:rPr>
            <w:sz w:val="22"/>
            <w:szCs w:val="22"/>
          </w:rPr>
          <w:delText xml:space="preserve">TNF-antagonister, også Humira, er i sjeldne tilfeller satt i sammenheng med oppblussing eller forverring av kliniske symptomer og/eller </w:delText>
        </w:r>
        <w:r w:rsidR="00605C17" w:rsidRPr="009C5EFD">
          <w:rPr>
            <w:sz w:val="22"/>
            <w:szCs w:val="22"/>
          </w:rPr>
          <w:delText xml:space="preserve">radiografisk </w:delText>
        </w:r>
        <w:r w:rsidR="009E02FB" w:rsidRPr="009C5EFD">
          <w:rPr>
            <w:sz w:val="22"/>
            <w:szCs w:val="22"/>
          </w:rPr>
          <w:delText>indikasjon</w:delText>
        </w:r>
        <w:r w:rsidRPr="009C5EFD">
          <w:rPr>
            <w:sz w:val="22"/>
            <w:szCs w:val="22"/>
          </w:rPr>
          <w:delText xml:space="preserve"> på demyeliniserende sykdom</w:delText>
        </w:r>
        <w:r w:rsidR="00543EA5" w:rsidRPr="009C5EFD">
          <w:rPr>
            <w:sz w:val="22"/>
            <w:szCs w:val="22"/>
          </w:rPr>
          <w:delText xml:space="preserve"> i sentralnervesystemet</w:delText>
        </w:r>
        <w:r w:rsidRPr="009C5EFD">
          <w:rPr>
            <w:sz w:val="22"/>
            <w:szCs w:val="22"/>
          </w:rPr>
          <w:delText xml:space="preserve">, </w:delText>
        </w:r>
        <w:r w:rsidRPr="009C5EFD">
          <w:rPr>
            <w:color w:val="000000"/>
            <w:sz w:val="22"/>
            <w:szCs w:val="22"/>
          </w:rPr>
          <w:delText>inkludert</w:delText>
        </w:r>
        <w:r w:rsidRPr="009C5EFD">
          <w:rPr>
            <w:sz w:val="22"/>
            <w:szCs w:val="22"/>
          </w:rPr>
          <w:delText xml:space="preserve"> multippel sklerose</w:delText>
        </w:r>
        <w:r w:rsidR="00543EA5" w:rsidRPr="009C5EFD">
          <w:rPr>
            <w:sz w:val="22"/>
            <w:szCs w:val="22"/>
          </w:rPr>
          <w:delText xml:space="preserve"> og optikusneuritt,</w:delText>
        </w:r>
        <w:r w:rsidR="00605C17" w:rsidRPr="009C5EFD">
          <w:rPr>
            <w:sz w:val="22"/>
            <w:szCs w:val="22"/>
          </w:rPr>
          <w:delText xml:space="preserve"> og perifer demyeliniserende sykdom, inkludert Guillain-Barré sy</w:delText>
        </w:r>
        <w:r w:rsidR="00EA435F" w:rsidRPr="009C5EFD">
          <w:rPr>
            <w:sz w:val="22"/>
            <w:szCs w:val="22"/>
          </w:rPr>
          <w:delText>n</w:delText>
        </w:r>
        <w:r w:rsidR="00605C17" w:rsidRPr="009C5EFD">
          <w:rPr>
            <w:sz w:val="22"/>
            <w:szCs w:val="22"/>
          </w:rPr>
          <w:delText>d</w:delText>
        </w:r>
        <w:r w:rsidR="00EA435F" w:rsidRPr="009C5EFD">
          <w:rPr>
            <w:sz w:val="22"/>
            <w:szCs w:val="22"/>
          </w:rPr>
          <w:delText>r</w:delText>
        </w:r>
        <w:r w:rsidR="00605C17" w:rsidRPr="009C5EFD">
          <w:rPr>
            <w:sz w:val="22"/>
            <w:szCs w:val="22"/>
          </w:rPr>
          <w:delText>om</w:delText>
        </w:r>
        <w:r w:rsidRPr="009C5EFD">
          <w:rPr>
            <w:sz w:val="22"/>
            <w:szCs w:val="22"/>
          </w:rPr>
          <w:delText xml:space="preserve">. Forskrivende lege bør utvise varsomhet når Humira vurderes til pasienter med tidligere eksisterende eller nylig oppståtte demyeliniserende sykdommer i </w:delText>
        </w:r>
        <w:r w:rsidR="00993330" w:rsidRPr="009C5EFD">
          <w:rPr>
            <w:sz w:val="22"/>
            <w:szCs w:val="22"/>
          </w:rPr>
          <w:delText xml:space="preserve">det </w:delText>
        </w:r>
        <w:r w:rsidRPr="009C5EFD">
          <w:rPr>
            <w:sz w:val="22"/>
            <w:szCs w:val="22"/>
          </w:rPr>
          <w:delText>sentral</w:delText>
        </w:r>
        <w:r w:rsidR="00993330" w:rsidRPr="009C5EFD">
          <w:rPr>
            <w:sz w:val="22"/>
            <w:szCs w:val="22"/>
          </w:rPr>
          <w:delText xml:space="preserve">e- </w:delText>
        </w:r>
        <w:r w:rsidR="0048606A" w:rsidRPr="009C5EFD">
          <w:rPr>
            <w:sz w:val="22"/>
            <w:szCs w:val="22"/>
          </w:rPr>
          <w:delText>eller</w:delText>
        </w:r>
        <w:r w:rsidR="000B48FA" w:rsidRPr="009C5EFD">
          <w:rPr>
            <w:sz w:val="22"/>
            <w:szCs w:val="22"/>
          </w:rPr>
          <w:delText xml:space="preserve"> </w:delText>
        </w:r>
        <w:r w:rsidR="0048606A" w:rsidRPr="009C5EFD">
          <w:rPr>
            <w:sz w:val="22"/>
            <w:szCs w:val="22"/>
          </w:rPr>
          <w:delText>perifer</w:delText>
        </w:r>
        <w:r w:rsidR="000B48FA" w:rsidRPr="009C5EFD">
          <w:rPr>
            <w:sz w:val="22"/>
            <w:szCs w:val="22"/>
          </w:rPr>
          <w:delText>e</w:delText>
        </w:r>
        <w:r w:rsidR="0048606A" w:rsidRPr="009C5EFD">
          <w:rPr>
            <w:sz w:val="22"/>
            <w:szCs w:val="22"/>
          </w:rPr>
          <w:delText xml:space="preserve"> </w:delText>
        </w:r>
        <w:r w:rsidRPr="009C5EFD">
          <w:rPr>
            <w:sz w:val="22"/>
            <w:szCs w:val="22"/>
          </w:rPr>
          <w:delText>nervesystemet.</w:delText>
        </w:r>
        <w:r w:rsidR="006862AD">
          <w:rPr>
            <w:sz w:val="22"/>
            <w:szCs w:val="22"/>
          </w:rPr>
          <w:delText xml:space="preserve"> Seponering av Humira bør vurderes dersom noen av disse sykdommene utvikles. Det er en kjent sammenheng mellom intermediær uveitt og demyeliniserende sykdom</w:delText>
        </w:r>
        <w:r w:rsidR="009632BF">
          <w:rPr>
            <w:sz w:val="22"/>
            <w:szCs w:val="22"/>
          </w:rPr>
          <w:delText xml:space="preserve"> i sentralnervesystemet</w:delText>
        </w:r>
        <w:r w:rsidR="006862AD">
          <w:rPr>
            <w:sz w:val="22"/>
            <w:szCs w:val="22"/>
          </w:rPr>
          <w:delText xml:space="preserve">. Nevrologisk undersøkelse bør gjennomføres hos pasienter med ikke-infeksiøs intermediær uveitt før oppstart av behandling med Humira og regelmessig </w:delText>
        </w:r>
        <w:r w:rsidR="005C6A76">
          <w:rPr>
            <w:sz w:val="22"/>
            <w:szCs w:val="22"/>
          </w:rPr>
          <w:delText>under behandlingen</w:delText>
        </w:r>
        <w:r w:rsidR="009632BF">
          <w:rPr>
            <w:sz w:val="22"/>
            <w:szCs w:val="22"/>
          </w:rPr>
          <w:delText>,</w:delText>
        </w:r>
        <w:r w:rsidR="005C6A76">
          <w:rPr>
            <w:sz w:val="22"/>
            <w:szCs w:val="22"/>
          </w:rPr>
          <w:delText xml:space="preserve"> for å</w:delText>
        </w:r>
        <w:r w:rsidR="009632BF">
          <w:rPr>
            <w:sz w:val="22"/>
            <w:szCs w:val="22"/>
          </w:rPr>
          <w:delText xml:space="preserve"> sjekke</w:delText>
        </w:r>
        <w:r w:rsidR="005C6A76">
          <w:rPr>
            <w:sz w:val="22"/>
            <w:szCs w:val="22"/>
          </w:rPr>
          <w:delText xml:space="preserve"> for pre-eksisterende eller utviklende </w:delText>
        </w:r>
        <w:r w:rsidR="005C6A76" w:rsidRPr="005C6A76">
          <w:rPr>
            <w:sz w:val="22"/>
            <w:szCs w:val="22"/>
          </w:rPr>
          <w:delText>demyeliniserende sykdom</w:delText>
        </w:r>
        <w:r w:rsidR="009632BF">
          <w:rPr>
            <w:sz w:val="22"/>
            <w:szCs w:val="22"/>
          </w:rPr>
          <w:delText xml:space="preserve"> i sentralnervesystemet</w:delText>
        </w:r>
        <w:r w:rsidR="005C6A76">
          <w:rPr>
            <w:sz w:val="22"/>
            <w:szCs w:val="22"/>
          </w:rPr>
          <w:delText>.</w:delText>
        </w:r>
      </w:del>
    </w:p>
    <w:p w14:paraId="7741ADA1" w14:textId="42A041A7" w:rsidR="00DE3458" w:rsidRPr="009C5EFD" w:rsidRDefault="00DE3458" w:rsidP="009C5EFD">
      <w:pPr>
        <w:rPr>
          <w:del w:id="544" w:author="AbbVie02no" w:date="2025-05-15T12:36:00Z"/>
          <w:sz w:val="22"/>
          <w:szCs w:val="22"/>
        </w:rPr>
      </w:pPr>
    </w:p>
    <w:p w14:paraId="2DAEF0DA" w14:textId="35FB5583" w:rsidR="00DE3458" w:rsidRPr="009C5EFD" w:rsidRDefault="00E453CD" w:rsidP="00776A84">
      <w:pPr>
        <w:pStyle w:val="Heading8"/>
        <w:rPr>
          <w:del w:id="545" w:author="AbbVie02no" w:date="2025-05-15T12:36:00Z"/>
          <w:szCs w:val="22"/>
        </w:rPr>
      </w:pPr>
      <w:del w:id="546" w:author="AbbVie02no" w:date="2025-05-15T12:36:00Z">
        <w:r w:rsidRPr="009C5EFD">
          <w:rPr>
            <w:szCs w:val="22"/>
          </w:rPr>
          <w:delText>Allergiske reaksjoner</w:delText>
        </w:r>
      </w:del>
    </w:p>
    <w:p w14:paraId="2B5A9C4F" w14:textId="060C4F9F" w:rsidR="00DE3458" w:rsidRPr="009C5EFD" w:rsidRDefault="00DE3458" w:rsidP="00776A84">
      <w:pPr>
        <w:keepNext/>
        <w:rPr>
          <w:del w:id="547" w:author="AbbVie02no" w:date="2025-05-15T12:36:00Z"/>
          <w:sz w:val="22"/>
          <w:szCs w:val="22"/>
        </w:rPr>
      </w:pPr>
    </w:p>
    <w:p w14:paraId="4E2B569E" w14:textId="3BADC4D3" w:rsidR="00DE3458" w:rsidRPr="009C5EFD" w:rsidRDefault="00E453CD" w:rsidP="009C5EFD">
      <w:pPr>
        <w:rPr>
          <w:del w:id="548" w:author="AbbVie02no" w:date="2025-05-15T12:36:00Z"/>
          <w:sz w:val="22"/>
          <w:szCs w:val="22"/>
        </w:rPr>
      </w:pPr>
      <w:del w:id="549" w:author="AbbVie02no" w:date="2025-05-15T12:36:00Z">
        <w:r w:rsidRPr="009C5EFD">
          <w:rPr>
            <w:sz w:val="22"/>
            <w:szCs w:val="22"/>
          </w:rPr>
          <w:delText>A</w:delText>
        </w:r>
        <w:r w:rsidR="00821D8D" w:rsidRPr="009C5EFD">
          <w:rPr>
            <w:sz w:val="22"/>
            <w:szCs w:val="22"/>
          </w:rPr>
          <w:delText xml:space="preserve">lvorlige allergiske reaksjoner </w:delText>
        </w:r>
        <w:r w:rsidRPr="009C5EFD">
          <w:rPr>
            <w:sz w:val="22"/>
            <w:szCs w:val="22"/>
          </w:rPr>
          <w:delText xml:space="preserve">forbundet med </w:delText>
        </w:r>
        <w:r w:rsidR="00821D8D" w:rsidRPr="009C5EFD">
          <w:rPr>
            <w:sz w:val="22"/>
            <w:szCs w:val="22"/>
          </w:rPr>
          <w:delText xml:space="preserve"> Humira</w:delText>
        </w:r>
        <w:r w:rsidRPr="009C5EFD">
          <w:rPr>
            <w:sz w:val="22"/>
            <w:szCs w:val="22"/>
          </w:rPr>
          <w:delText xml:space="preserve"> var sjelden</w:delText>
        </w:r>
        <w:r w:rsidR="00821D8D" w:rsidRPr="009C5EFD">
          <w:rPr>
            <w:sz w:val="22"/>
            <w:szCs w:val="22"/>
          </w:rPr>
          <w:delText xml:space="preserve"> i kliniske studier. Ikke-alvorlige allergiske reaksjoner forbundet med Humira var mindre vanlige i kliniske studier. </w:delText>
        </w:r>
        <w:r w:rsidRPr="009C5EFD">
          <w:rPr>
            <w:sz w:val="22"/>
            <w:szCs w:val="22"/>
          </w:rPr>
          <w:delText>Rapporter på</w:delText>
        </w:r>
        <w:r w:rsidR="00821D8D" w:rsidRPr="009C5EFD">
          <w:rPr>
            <w:sz w:val="22"/>
            <w:szCs w:val="22"/>
          </w:rPr>
          <w:delText xml:space="preserve"> alvorlige allergiske reaksjoner</w:delText>
        </w:r>
        <w:r w:rsidRPr="009C5EFD">
          <w:rPr>
            <w:sz w:val="22"/>
            <w:szCs w:val="22"/>
          </w:rPr>
          <w:delText>,</w:delText>
        </w:r>
        <w:r w:rsidR="00821D8D" w:rsidRPr="009C5EFD">
          <w:rPr>
            <w:sz w:val="22"/>
            <w:szCs w:val="22"/>
          </w:rPr>
          <w:delText xml:space="preserve"> inklusive anafylaksi, </w:delText>
        </w:r>
        <w:r w:rsidRPr="009C5EFD">
          <w:rPr>
            <w:sz w:val="22"/>
            <w:szCs w:val="22"/>
          </w:rPr>
          <w:delText>har blitt mottatt</w:delText>
        </w:r>
        <w:r w:rsidR="00821D8D" w:rsidRPr="009C5EFD">
          <w:rPr>
            <w:sz w:val="22"/>
            <w:szCs w:val="22"/>
          </w:rPr>
          <w:delText xml:space="preserve"> etter administrasjon av Humira. Hvis det oppstår anafylaktiske reaksjoner eller annen alvorlig allergisk reaksjon, må </w:delText>
        </w:r>
        <w:r w:rsidR="00B8124C">
          <w:rPr>
            <w:sz w:val="22"/>
            <w:szCs w:val="22"/>
          </w:rPr>
          <w:delText>administrasjon</w:delText>
        </w:r>
        <w:r w:rsidR="00797AFC" w:rsidRPr="00797AFC">
          <w:rPr>
            <w:sz w:val="22"/>
            <w:szCs w:val="22"/>
          </w:rPr>
          <w:delText>en</w:delText>
        </w:r>
        <w:r w:rsidR="00821D8D" w:rsidRPr="009C5EFD">
          <w:rPr>
            <w:sz w:val="22"/>
            <w:szCs w:val="22"/>
          </w:rPr>
          <w:delText xml:space="preserve"> av Humira seponeres umiddelbart og nødvendig behandling initieres.</w:delText>
        </w:r>
      </w:del>
    </w:p>
    <w:p w14:paraId="6FA6D605" w14:textId="1464A36E" w:rsidR="00DE3458" w:rsidRPr="009C5EFD" w:rsidRDefault="00DE3458" w:rsidP="009C5EFD">
      <w:pPr>
        <w:rPr>
          <w:del w:id="550" w:author="AbbVie02no" w:date="2025-05-15T12:36:00Z"/>
          <w:sz w:val="22"/>
          <w:szCs w:val="22"/>
        </w:rPr>
      </w:pPr>
    </w:p>
    <w:p w14:paraId="6E6D69DC" w14:textId="34F2F509" w:rsidR="00DE3458" w:rsidRPr="009C5EFD" w:rsidRDefault="00E453CD" w:rsidP="00184283">
      <w:pPr>
        <w:pStyle w:val="Heading8"/>
        <w:rPr>
          <w:del w:id="551" w:author="AbbVie02no" w:date="2025-05-15T12:36:00Z"/>
          <w:szCs w:val="22"/>
        </w:rPr>
      </w:pPr>
      <w:del w:id="552" w:author="AbbVie02no" w:date="2025-05-15T12:36:00Z">
        <w:r w:rsidRPr="009C5EFD">
          <w:rPr>
            <w:szCs w:val="22"/>
          </w:rPr>
          <w:delText>Immunsuppresjon</w:delText>
        </w:r>
      </w:del>
    </w:p>
    <w:p w14:paraId="76831A6C" w14:textId="67AF2186" w:rsidR="00DE3458" w:rsidRPr="009C5EFD" w:rsidRDefault="00DE3458" w:rsidP="00184283">
      <w:pPr>
        <w:keepNext/>
        <w:rPr>
          <w:del w:id="553" w:author="AbbVie02no" w:date="2025-05-15T12:36:00Z"/>
          <w:sz w:val="22"/>
          <w:szCs w:val="22"/>
        </w:rPr>
      </w:pPr>
    </w:p>
    <w:p w14:paraId="1E99AB08" w14:textId="4CB7B8AD" w:rsidR="00DE3458" w:rsidRPr="009C5EFD" w:rsidRDefault="00E453CD" w:rsidP="00776A84">
      <w:pPr>
        <w:rPr>
          <w:del w:id="554" w:author="AbbVie02no" w:date="2025-05-15T12:36:00Z"/>
          <w:sz w:val="22"/>
          <w:szCs w:val="22"/>
        </w:rPr>
      </w:pPr>
      <w:del w:id="555" w:author="AbbVie02no" w:date="2025-05-15T12:36:00Z">
        <w:r w:rsidRPr="009C5EFD">
          <w:rPr>
            <w:sz w:val="22"/>
            <w:szCs w:val="22"/>
          </w:rPr>
          <w:delText xml:space="preserve">I en studie med 64 pasienter med revmatoid artritt som ble behandlet med Humira, ble det ikke funnet bevis for nedsettelse av forsinket hypersensitivitet, nedsettelse av immunglobulinnivåer eller forandring av </w:delText>
        </w:r>
        <w:r w:rsidR="007527E2">
          <w:rPr>
            <w:sz w:val="22"/>
            <w:szCs w:val="22"/>
          </w:rPr>
          <w:delText>telte</w:delText>
        </w:r>
        <w:r w:rsidRPr="009C5EFD">
          <w:rPr>
            <w:sz w:val="22"/>
            <w:szCs w:val="22"/>
          </w:rPr>
          <w:delText xml:space="preserve"> effektor T-, B-, NK-celler, monocytter/makrofager og n</w:delText>
        </w:r>
        <w:r w:rsidR="00907F18" w:rsidRPr="009C5EFD">
          <w:rPr>
            <w:sz w:val="22"/>
            <w:szCs w:val="22"/>
          </w:rPr>
          <w:delText>øy</w:delText>
        </w:r>
        <w:r w:rsidRPr="009C5EFD">
          <w:rPr>
            <w:sz w:val="22"/>
            <w:szCs w:val="22"/>
          </w:rPr>
          <w:delText xml:space="preserve">trofile. </w:delText>
        </w:r>
      </w:del>
    </w:p>
    <w:p w14:paraId="084306E2" w14:textId="3F3492C6" w:rsidR="00DE3458" w:rsidRPr="009C5EFD" w:rsidRDefault="00DE3458" w:rsidP="009C5EFD">
      <w:pPr>
        <w:rPr>
          <w:del w:id="556" w:author="AbbVie02no" w:date="2025-05-15T12:36:00Z"/>
          <w:sz w:val="22"/>
          <w:szCs w:val="22"/>
        </w:rPr>
      </w:pPr>
    </w:p>
    <w:p w14:paraId="0E6BCFB1" w14:textId="26E15073" w:rsidR="00DE3458" w:rsidRPr="009C5EFD" w:rsidRDefault="00E453CD">
      <w:pPr>
        <w:rPr>
          <w:del w:id="557" w:author="AbbVie02no" w:date="2025-05-15T12:36:00Z"/>
          <w:sz w:val="22"/>
          <w:szCs w:val="22"/>
          <w:u w:val="single"/>
        </w:rPr>
      </w:pPr>
      <w:del w:id="558" w:author="AbbVie02no" w:date="2025-05-15T12:36:00Z">
        <w:r w:rsidRPr="009C5EFD">
          <w:rPr>
            <w:sz w:val="22"/>
            <w:szCs w:val="22"/>
            <w:u w:val="single"/>
          </w:rPr>
          <w:delText>Maligniteter og lymfoproliferative sykdommer</w:delText>
        </w:r>
      </w:del>
    </w:p>
    <w:p w14:paraId="590B66A2" w14:textId="2CD804CD" w:rsidR="00DE3458" w:rsidRPr="009C5EFD" w:rsidRDefault="00DE3458">
      <w:pPr>
        <w:rPr>
          <w:del w:id="559" w:author="AbbVie02no" w:date="2025-05-15T12:36:00Z"/>
          <w:sz w:val="22"/>
          <w:szCs w:val="22"/>
        </w:rPr>
      </w:pPr>
    </w:p>
    <w:p w14:paraId="256D2A92" w14:textId="0C60A13B" w:rsidR="00821D8D" w:rsidRPr="009C5EFD" w:rsidRDefault="00E453CD" w:rsidP="009C5EFD">
      <w:pPr>
        <w:rPr>
          <w:del w:id="560" w:author="AbbVie02no" w:date="2025-05-15T12:36:00Z"/>
          <w:sz w:val="22"/>
          <w:szCs w:val="22"/>
        </w:rPr>
      </w:pPr>
      <w:del w:id="561" w:author="AbbVie02no" w:date="2025-05-15T12:36:00Z">
        <w:r w:rsidRPr="009C5EFD">
          <w:rPr>
            <w:sz w:val="22"/>
            <w:szCs w:val="22"/>
          </w:rPr>
          <w:delText>I kontrollerte kliniske studier med TNF-antagonister ble det observert flere tilfeller med maligniteter inkludert lymfom hos pasienter behandlet med TNF-antagonister sammenlignet med pasienter i kontrollgruppen. Forekomsten var likevel lav. Etter markedsføring er tilfeller med leukemi hos pasienter som ble behandlet med en TNF-an</w:delText>
        </w:r>
        <w:r w:rsidR="00C05315" w:rsidRPr="009C5EFD">
          <w:rPr>
            <w:sz w:val="22"/>
            <w:szCs w:val="22"/>
          </w:rPr>
          <w:delText>t</w:delText>
        </w:r>
        <w:r w:rsidRPr="009C5EFD">
          <w:rPr>
            <w:sz w:val="22"/>
            <w:szCs w:val="22"/>
          </w:rPr>
          <w:delText>a</w:delText>
        </w:r>
        <w:r w:rsidR="00C05315" w:rsidRPr="009C5EFD">
          <w:rPr>
            <w:sz w:val="22"/>
            <w:szCs w:val="22"/>
          </w:rPr>
          <w:delText>g</w:delText>
        </w:r>
        <w:r w:rsidRPr="009C5EFD">
          <w:rPr>
            <w:sz w:val="22"/>
            <w:szCs w:val="22"/>
          </w:rPr>
          <w:delText xml:space="preserve">onist, rapportert. Pasienter med revmatoid artritt med langvarig, svært aktiv, inflammatorisk sykdom har økt risiko for lymfomer og leukemi. Dette kompliserer estimering av risiko. Med nåværende kunnskap kan det ikke utelukkes at pasienter som behandles med TNF-antagonister har en mulig risiko for utvikling av lymfomer, leukemi og andre maligniteter. </w:delText>
        </w:r>
      </w:del>
    </w:p>
    <w:p w14:paraId="6806F515" w14:textId="7216006A" w:rsidR="00821D8D" w:rsidRPr="009C5EFD" w:rsidRDefault="00821D8D" w:rsidP="009C5EFD">
      <w:pPr>
        <w:rPr>
          <w:del w:id="562" w:author="AbbVie02no" w:date="2025-05-15T12:36:00Z"/>
          <w:sz w:val="22"/>
          <w:szCs w:val="22"/>
        </w:rPr>
      </w:pPr>
    </w:p>
    <w:p w14:paraId="6DF522DC" w14:textId="424DDF21" w:rsidR="00821D8D" w:rsidRPr="009C5EFD" w:rsidRDefault="00E453CD" w:rsidP="009C5EFD">
      <w:pPr>
        <w:rPr>
          <w:del w:id="563" w:author="AbbVie02no" w:date="2025-05-15T12:36:00Z"/>
          <w:sz w:val="22"/>
          <w:szCs w:val="22"/>
        </w:rPr>
      </w:pPr>
      <w:del w:id="564" w:author="AbbVie02no" w:date="2025-05-15T12:36:00Z">
        <w:r w:rsidRPr="009C5EFD">
          <w:rPr>
            <w:sz w:val="22"/>
            <w:szCs w:val="22"/>
          </w:rPr>
          <w:delText>Etter markedsføring</w:delText>
        </w:r>
        <w:r w:rsidR="00D244B6">
          <w:rPr>
            <w:sz w:val="22"/>
            <w:szCs w:val="22"/>
          </w:rPr>
          <w:delText xml:space="preserve"> har det blitt rapportert om</w:delText>
        </w:r>
        <w:r w:rsidRPr="009C5EFD">
          <w:rPr>
            <w:sz w:val="22"/>
            <w:szCs w:val="22"/>
          </w:rPr>
          <w:delText xml:space="preserve"> maligniteter, noen fatale, hos barn</w:delText>
        </w:r>
        <w:r w:rsidR="00D244B6">
          <w:rPr>
            <w:sz w:val="22"/>
            <w:szCs w:val="22"/>
          </w:rPr>
          <w:delText xml:space="preserve">, </w:delText>
        </w:r>
        <w:r w:rsidRPr="009C5EFD">
          <w:rPr>
            <w:sz w:val="22"/>
            <w:szCs w:val="22"/>
          </w:rPr>
          <w:delText xml:space="preserve">ungdom og </w:delText>
        </w:r>
        <w:r w:rsidR="00D244B6">
          <w:rPr>
            <w:sz w:val="22"/>
            <w:szCs w:val="22"/>
          </w:rPr>
          <w:delText>unge voksne</w:delText>
        </w:r>
        <w:r w:rsidRPr="009C5EFD">
          <w:rPr>
            <w:sz w:val="22"/>
            <w:szCs w:val="22"/>
          </w:rPr>
          <w:delText xml:space="preserve"> (opptil 22 år) som ble behandlet med TNF-</w:delText>
        </w:r>
        <w:r w:rsidR="00A4342E" w:rsidRPr="009C5EFD">
          <w:rPr>
            <w:sz w:val="22"/>
            <w:szCs w:val="22"/>
          </w:rPr>
          <w:delText>antagonister</w:delText>
        </w:r>
        <w:r w:rsidRPr="009C5EFD">
          <w:rPr>
            <w:sz w:val="22"/>
            <w:szCs w:val="22"/>
          </w:rPr>
          <w:delText xml:space="preserve">, inkludert adalimumab (start av behandling ≤ 18 år). </w:delText>
        </w:r>
        <w:r w:rsidR="006B28C1">
          <w:rPr>
            <w:sz w:val="22"/>
            <w:szCs w:val="22"/>
          </w:rPr>
          <w:delText>Omtrent</w:delText>
        </w:r>
        <w:r w:rsidRPr="009C5EFD">
          <w:rPr>
            <w:sz w:val="22"/>
            <w:szCs w:val="22"/>
          </w:rPr>
          <w:delText xml:space="preserve"> halvparten av tilfellene var lymfomer. Andre tilfeller representerte </w:delText>
        </w:r>
        <w:r w:rsidRPr="009C5EFD">
          <w:rPr>
            <w:sz w:val="22"/>
            <w:szCs w:val="22"/>
          </w:rPr>
          <w:lastRenderedPageBreak/>
          <w:delText>forskjellige maligniteter og inkluderte sjeldne maligniteter som vanligvis er assosiert med immunsuppresjon. Risiko for utvikling av maligniteter hos barn og ungdom som er behandlet med TNF-</w:delText>
        </w:r>
        <w:r w:rsidR="00A4342E" w:rsidRPr="009C5EFD">
          <w:rPr>
            <w:sz w:val="22"/>
            <w:szCs w:val="22"/>
          </w:rPr>
          <w:delText>antagonister</w:delText>
        </w:r>
        <w:r w:rsidRPr="009C5EFD">
          <w:rPr>
            <w:sz w:val="22"/>
            <w:szCs w:val="22"/>
          </w:rPr>
          <w:delText>, kan ikke utelukkes.</w:delText>
        </w:r>
      </w:del>
    </w:p>
    <w:p w14:paraId="704731E7" w14:textId="4075DB44" w:rsidR="00821D8D" w:rsidRPr="009C5EFD" w:rsidRDefault="00821D8D" w:rsidP="009C5EFD">
      <w:pPr>
        <w:rPr>
          <w:del w:id="565" w:author="AbbVie02no" w:date="2025-05-15T12:36:00Z"/>
          <w:sz w:val="22"/>
          <w:szCs w:val="22"/>
        </w:rPr>
      </w:pPr>
    </w:p>
    <w:p w14:paraId="76525EFB" w14:textId="2FE29801" w:rsidR="00821D8D" w:rsidRPr="009C5EFD" w:rsidRDefault="00E453CD" w:rsidP="009C5EFD">
      <w:pPr>
        <w:rPr>
          <w:del w:id="566" w:author="AbbVie02no" w:date="2025-05-15T12:36:00Z"/>
          <w:sz w:val="22"/>
          <w:szCs w:val="22"/>
        </w:rPr>
      </w:pPr>
      <w:del w:id="567" w:author="AbbVie02no" w:date="2025-05-15T12:36:00Z">
        <w:r w:rsidRPr="009C5EFD">
          <w:rPr>
            <w:sz w:val="22"/>
            <w:szCs w:val="22"/>
          </w:rPr>
          <w:delText xml:space="preserve">Sjeldne tilfeller av hepatosplenisk T-cellelymfom hos pasienter behandlet med adalimumab er sett etter markedsføring. Denne sjeldne typen T-cellelymfom har en meget aggressiv sykdomsprogresjon og er vanligvis fatal. Noen av tilfellene med hepatosplenisk T-cellelymfom med Humira har skjedd hos unge voksne som samtidig ble behandlet med azatioprin eller 6-merkaptopurin for </w:delText>
        </w:r>
        <w:r w:rsidR="00A4342E" w:rsidRPr="009C5EFD">
          <w:rPr>
            <w:sz w:val="22"/>
            <w:szCs w:val="22"/>
          </w:rPr>
          <w:delText>inflammatorisk tarm</w:delText>
        </w:r>
        <w:r w:rsidRPr="009C5EFD">
          <w:rPr>
            <w:sz w:val="22"/>
            <w:szCs w:val="22"/>
          </w:rPr>
          <w:delText xml:space="preserve">sykdom. </w:delText>
        </w:r>
        <w:r w:rsidR="003A641B" w:rsidRPr="009C5EFD">
          <w:rPr>
            <w:sz w:val="22"/>
          </w:rPr>
          <w:delText>Den potensiel</w:delText>
        </w:r>
        <w:r w:rsidR="00137590" w:rsidRPr="009C5EFD">
          <w:rPr>
            <w:sz w:val="22"/>
          </w:rPr>
          <w:delText>le</w:delText>
        </w:r>
        <w:r w:rsidR="003A641B" w:rsidRPr="009C5EFD">
          <w:rPr>
            <w:sz w:val="22"/>
          </w:rPr>
          <w:delText xml:space="preserve"> risikoen </w:delText>
        </w:r>
        <w:r w:rsidR="009F4EE9" w:rsidRPr="009C5EFD">
          <w:rPr>
            <w:sz w:val="22"/>
          </w:rPr>
          <w:delText>ved</w:delText>
        </w:r>
        <w:r w:rsidR="003A641B" w:rsidRPr="009C5EFD">
          <w:rPr>
            <w:sz w:val="22"/>
          </w:rPr>
          <w:delText xml:space="preserve"> samtidig bruk av azatioprin eller 6-merkaptopurin</w:delText>
        </w:r>
        <w:r w:rsidR="009F4EE9" w:rsidRPr="009C5EFD">
          <w:rPr>
            <w:sz w:val="22"/>
          </w:rPr>
          <w:delText xml:space="preserve"> og Humira bør vurderes </w:delText>
        </w:r>
        <w:r w:rsidR="00137590" w:rsidRPr="009C5EFD">
          <w:rPr>
            <w:sz w:val="22"/>
          </w:rPr>
          <w:delText>nøye</w:delText>
        </w:r>
        <w:r w:rsidR="009F4EE9" w:rsidRPr="009C5EFD">
          <w:rPr>
            <w:sz w:val="22"/>
          </w:rPr>
          <w:delText>.</w:delText>
        </w:r>
        <w:r w:rsidRPr="009C5EFD">
          <w:rPr>
            <w:sz w:val="22"/>
          </w:rPr>
          <w:delText xml:space="preserve"> </w:delText>
        </w:r>
        <w:r w:rsidRPr="009C5EFD">
          <w:rPr>
            <w:sz w:val="22"/>
            <w:szCs w:val="22"/>
          </w:rPr>
          <w:delText>Man kan ikke utelukke en risiko for å utvikle hepatosplenisk T-cellelymfom hos pasienter som behandles med Humira (se pkt. 4.8).</w:delText>
        </w:r>
      </w:del>
    </w:p>
    <w:p w14:paraId="5112AAF5" w14:textId="22EE2E9D" w:rsidR="0057399E" w:rsidRPr="009C5EFD" w:rsidRDefault="0057399E" w:rsidP="009C5EFD">
      <w:pPr>
        <w:rPr>
          <w:del w:id="568" w:author="AbbVie02no" w:date="2025-05-15T12:36:00Z"/>
          <w:sz w:val="22"/>
          <w:szCs w:val="22"/>
        </w:rPr>
      </w:pPr>
    </w:p>
    <w:p w14:paraId="543568DF" w14:textId="71F41FB2" w:rsidR="00821D8D" w:rsidRPr="009C5EFD" w:rsidRDefault="00E453CD" w:rsidP="009C5EFD">
      <w:pPr>
        <w:rPr>
          <w:del w:id="569" w:author="AbbVie02no" w:date="2025-05-15T12:36:00Z"/>
          <w:sz w:val="22"/>
          <w:szCs w:val="22"/>
        </w:rPr>
      </w:pPr>
      <w:del w:id="570" w:author="AbbVie02no" w:date="2025-05-15T12:36:00Z">
        <w:r w:rsidRPr="009C5EFD">
          <w:rPr>
            <w:sz w:val="22"/>
            <w:szCs w:val="22"/>
          </w:rPr>
          <w:delText>Det er ikke utført studier som inkluderer pasienter med tidligere malignitet eller hos pasienter som fortsetter med behandling av Humira etter utvikling av malignitet. Ekstra varsomhet bør derfor utvises når behandling med Humira vurderes hos disse pasientene (se pkt. 4.8).</w:delText>
        </w:r>
      </w:del>
    </w:p>
    <w:p w14:paraId="2005141F" w14:textId="3D70DAAA" w:rsidR="00821D8D" w:rsidRPr="009C5EFD" w:rsidRDefault="00821D8D" w:rsidP="009C5EFD">
      <w:pPr>
        <w:rPr>
          <w:del w:id="571" w:author="AbbVie02no" w:date="2025-05-15T12:36:00Z"/>
          <w:sz w:val="22"/>
          <w:szCs w:val="22"/>
        </w:rPr>
      </w:pPr>
    </w:p>
    <w:p w14:paraId="7DE1AC52" w14:textId="40E53361" w:rsidR="00821D8D" w:rsidRPr="009C5EFD" w:rsidRDefault="00E453CD" w:rsidP="009C5EFD">
      <w:pPr>
        <w:pStyle w:val="EMEAFigureTitle"/>
        <w:tabs>
          <w:tab w:val="clear" w:pos="562"/>
        </w:tabs>
        <w:suppressAutoHyphens w:val="0"/>
        <w:rPr>
          <w:del w:id="572" w:author="AbbVie02no" w:date="2025-05-15T12:36:00Z"/>
          <w:szCs w:val="22"/>
          <w:lang w:val="nb-NO"/>
        </w:rPr>
      </w:pPr>
      <w:del w:id="573" w:author="AbbVie02no" w:date="2025-05-15T12:36:00Z">
        <w:r w:rsidRPr="009C5EFD">
          <w:rPr>
            <w:szCs w:val="22"/>
            <w:lang w:val="nb-NO"/>
          </w:rPr>
          <w:delText xml:space="preserve">Alle pasienter, særlig de med en tidligere omfattende </w:delText>
        </w:r>
        <w:r w:rsidR="007527E2">
          <w:rPr>
            <w:szCs w:val="22"/>
            <w:lang w:val="nb-NO"/>
          </w:rPr>
          <w:delText>immunsuppressiv behandling</w:delText>
        </w:r>
        <w:r w:rsidRPr="009C5EFD">
          <w:rPr>
            <w:szCs w:val="22"/>
            <w:lang w:val="nb-NO"/>
          </w:rPr>
          <w:delText xml:space="preserve"> eller psoriasispasienter med en tidligere PUVA-behandling bør undersøkes for </w:delText>
        </w:r>
        <w:r w:rsidR="00A50B35">
          <w:rPr>
            <w:szCs w:val="22"/>
            <w:lang w:val="nb-NO"/>
          </w:rPr>
          <w:delText>tilstedeværelse</w:delText>
        </w:r>
        <w:r w:rsidRPr="009C5EFD">
          <w:rPr>
            <w:szCs w:val="22"/>
            <w:lang w:val="nb-NO"/>
          </w:rPr>
          <w:delText xml:space="preserve"> av ikke-melanom hudkreft før og under behandling med Humira.</w:delText>
        </w:r>
        <w:r w:rsidR="005A02B4" w:rsidRPr="009C5EFD">
          <w:rPr>
            <w:szCs w:val="22"/>
            <w:lang w:val="nb-NO"/>
          </w:rPr>
          <w:delText xml:space="preserve"> Melanom og merkelcellekarsinom har også blitt rapportert hos pasienter behandlet med TNF-antagonister, inkludert adalimumab (se pkt. 4.8).</w:delText>
        </w:r>
      </w:del>
    </w:p>
    <w:p w14:paraId="559CB56E" w14:textId="33F0E642" w:rsidR="00821D8D" w:rsidRPr="009C5EFD" w:rsidRDefault="00821D8D" w:rsidP="009C5EFD">
      <w:pPr>
        <w:rPr>
          <w:del w:id="574" w:author="AbbVie02no" w:date="2025-05-15T12:36:00Z"/>
          <w:sz w:val="22"/>
          <w:szCs w:val="22"/>
        </w:rPr>
      </w:pPr>
    </w:p>
    <w:p w14:paraId="77E92FAC" w14:textId="02CEC433" w:rsidR="00A4342E" w:rsidRPr="009C5EFD" w:rsidRDefault="00E453CD" w:rsidP="009C5EFD">
      <w:pPr>
        <w:rPr>
          <w:del w:id="575" w:author="AbbVie02no" w:date="2025-05-15T12:36:00Z"/>
          <w:sz w:val="22"/>
          <w:szCs w:val="22"/>
        </w:rPr>
      </w:pPr>
      <w:del w:id="576" w:author="AbbVie02no" w:date="2025-05-15T12:36:00Z">
        <w:r w:rsidRPr="009C5EFD">
          <w:rPr>
            <w:sz w:val="22"/>
            <w:szCs w:val="22"/>
          </w:rPr>
          <w:delText xml:space="preserve">I en klinisk studie som undersøkte bruken av en annen TNF-antagonist, </w:delText>
        </w:r>
        <w:r w:rsidR="007527E2">
          <w:rPr>
            <w:sz w:val="22"/>
            <w:szCs w:val="22"/>
          </w:rPr>
          <w:delText>infliksimab</w:delText>
        </w:r>
        <w:r w:rsidRPr="009C5EFD">
          <w:rPr>
            <w:sz w:val="22"/>
            <w:szCs w:val="22"/>
          </w:rPr>
          <w:delText xml:space="preserve">, hos pasienter med moderat til alvorlig kronisk obstruktiv lungesykdom (KOLS), ble flere maligniteter, mest i lungene eller hode og nakke, rapportert hos pasienter som fikk infliksimab sammenlignet med kontrollgruppen. Alle pasientene var tidligere storrøykere. Derfor skal forsiktighet </w:delText>
        </w:r>
        <w:r w:rsidR="001E109B" w:rsidRPr="009C5EFD">
          <w:rPr>
            <w:sz w:val="22"/>
            <w:szCs w:val="22"/>
          </w:rPr>
          <w:delText>ut</w:delText>
        </w:r>
        <w:r w:rsidRPr="009C5EFD">
          <w:rPr>
            <w:sz w:val="22"/>
            <w:szCs w:val="22"/>
          </w:rPr>
          <w:delText xml:space="preserve">vises når en TNF-antagonist brukes hos KOLS-pasienter, </w:delText>
        </w:r>
        <w:r w:rsidR="00947491">
          <w:rPr>
            <w:sz w:val="22"/>
            <w:szCs w:val="22"/>
          </w:rPr>
          <w:delText>o</w:delText>
        </w:r>
        <w:r w:rsidR="00C40CB6">
          <w:rPr>
            <w:sz w:val="22"/>
            <w:szCs w:val="22"/>
          </w:rPr>
          <w:delText>g</w:delText>
        </w:r>
        <w:r w:rsidRPr="009C5EFD">
          <w:rPr>
            <w:sz w:val="22"/>
            <w:szCs w:val="22"/>
          </w:rPr>
          <w:delText xml:space="preserve"> hos pasienter som pga. storrøyking har økt risiko for malignitet.</w:delText>
        </w:r>
      </w:del>
    </w:p>
    <w:p w14:paraId="47D6DD35" w14:textId="51498DBA" w:rsidR="00A4342E" w:rsidRPr="009C5EFD" w:rsidRDefault="00A4342E" w:rsidP="009C5EFD">
      <w:pPr>
        <w:rPr>
          <w:del w:id="577" w:author="AbbVie02no" w:date="2025-05-15T12:36:00Z"/>
          <w:sz w:val="22"/>
          <w:szCs w:val="22"/>
        </w:rPr>
      </w:pPr>
    </w:p>
    <w:p w14:paraId="18F120AF" w14:textId="0FE93EC4" w:rsidR="00D16E24" w:rsidRPr="009C5EFD" w:rsidRDefault="00E453CD" w:rsidP="009C5EFD">
      <w:pPr>
        <w:textAlignment w:val="top"/>
        <w:rPr>
          <w:del w:id="578" w:author="AbbVie02no" w:date="2025-05-15T12:36:00Z"/>
          <w:sz w:val="22"/>
          <w:szCs w:val="22"/>
        </w:rPr>
      </w:pPr>
      <w:del w:id="579" w:author="AbbVie02no" w:date="2025-05-15T12:36:00Z">
        <w:r>
          <w:rPr>
            <w:sz w:val="22"/>
            <w:szCs w:val="22"/>
          </w:rPr>
          <w:delText>Basert på</w:delText>
        </w:r>
        <w:r w:rsidRPr="009C5EFD">
          <w:rPr>
            <w:sz w:val="22"/>
            <w:szCs w:val="22"/>
          </w:rPr>
          <w:delText xml:space="preserve"> </w:delText>
        </w:r>
        <w:r w:rsidR="00907F18" w:rsidRPr="009C5EFD">
          <w:rPr>
            <w:sz w:val="22"/>
            <w:szCs w:val="22"/>
          </w:rPr>
          <w:delText>nåværende</w:delText>
        </w:r>
        <w:r w:rsidRPr="009C5EFD">
          <w:rPr>
            <w:sz w:val="22"/>
            <w:szCs w:val="22"/>
          </w:rPr>
          <w:delText xml:space="preserve"> </w:delText>
        </w:r>
        <w:r w:rsidRPr="009C5EFD">
          <w:rPr>
            <w:rStyle w:val="hps"/>
            <w:sz w:val="22"/>
            <w:szCs w:val="22"/>
          </w:rPr>
          <w:delText>data</w:delText>
        </w:r>
        <w:r w:rsidRPr="009C5EFD">
          <w:rPr>
            <w:sz w:val="22"/>
            <w:szCs w:val="22"/>
          </w:rPr>
          <w:delText xml:space="preserve"> </w:delText>
        </w:r>
        <w:r w:rsidRPr="009C5EFD">
          <w:rPr>
            <w:rStyle w:val="hps"/>
            <w:sz w:val="22"/>
            <w:szCs w:val="22"/>
          </w:rPr>
          <w:delText>er det ikke</w:delText>
        </w:r>
        <w:r w:rsidRPr="009C5EFD">
          <w:rPr>
            <w:sz w:val="22"/>
            <w:szCs w:val="22"/>
          </w:rPr>
          <w:delText xml:space="preserve"> </w:delText>
        </w:r>
        <w:r w:rsidRPr="009C5EFD">
          <w:rPr>
            <w:rStyle w:val="hps"/>
            <w:sz w:val="22"/>
            <w:szCs w:val="22"/>
          </w:rPr>
          <w:delText>kjent om</w:delText>
        </w:r>
        <w:r w:rsidRPr="009C5EFD">
          <w:rPr>
            <w:sz w:val="22"/>
            <w:szCs w:val="22"/>
          </w:rPr>
          <w:delText xml:space="preserve"> </w:delText>
        </w:r>
        <w:r w:rsidRPr="009C5EFD">
          <w:rPr>
            <w:rStyle w:val="hps"/>
            <w:sz w:val="22"/>
            <w:szCs w:val="22"/>
          </w:rPr>
          <w:delText>adalimumabbehandling</w:delText>
        </w:r>
        <w:r w:rsidRPr="009C5EFD">
          <w:rPr>
            <w:sz w:val="22"/>
            <w:szCs w:val="22"/>
          </w:rPr>
          <w:delText xml:space="preserve"> </w:delText>
        </w:r>
        <w:r w:rsidRPr="009C5EFD">
          <w:rPr>
            <w:rStyle w:val="hps"/>
            <w:sz w:val="22"/>
            <w:szCs w:val="22"/>
          </w:rPr>
          <w:delText>påvirker</w:delText>
        </w:r>
        <w:r w:rsidRPr="009C5EFD">
          <w:rPr>
            <w:sz w:val="22"/>
            <w:szCs w:val="22"/>
          </w:rPr>
          <w:delText xml:space="preserve"> </w:delText>
        </w:r>
        <w:r w:rsidRPr="009C5EFD">
          <w:rPr>
            <w:rStyle w:val="hps"/>
            <w:sz w:val="22"/>
            <w:szCs w:val="22"/>
          </w:rPr>
          <w:delText>risikoen</w:delText>
        </w:r>
        <w:r w:rsidRPr="009C5EFD">
          <w:rPr>
            <w:sz w:val="22"/>
            <w:szCs w:val="22"/>
          </w:rPr>
          <w:delText xml:space="preserve"> </w:delText>
        </w:r>
        <w:r w:rsidRPr="009C5EFD">
          <w:rPr>
            <w:rStyle w:val="hps"/>
            <w:sz w:val="22"/>
            <w:szCs w:val="22"/>
          </w:rPr>
          <w:delText>for å utvikle</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eller tykktarmskreft</w:delText>
        </w:r>
        <w:r w:rsidRPr="009C5EFD">
          <w:rPr>
            <w:sz w:val="22"/>
            <w:szCs w:val="22"/>
          </w:rPr>
          <w:delText xml:space="preserve">. </w:delText>
        </w:r>
        <w:r w:rsidRPr="009C5EFD">
          <w:rPr>
            <w:rStyle w:val="hps"/>
            <w:sz w:val="22"/>
            <w:szCs w:val="22"/>
          </w:rPr>
          <w:delText>Alle pasienter med</w:delText>
        </w:r>
        <w:r w:rsidRPr="009C5EFD">
          <w:rPr>
            <w:sz w:val="22"/>
            <w:szCs w:val="22"/>
          </w:rPr>
          <w:delText xml:space="preserve"> </w:delText>
        </w:r>
        <w:r w:rsidRPr="009C5EFD">
          <w:rPr>
            <w:rStyle w:val="hps"/>
            <w:sz w:val="22"/>
            <w:szCs w:val="22"/>
          </w:rPr>
          <w:delText>ulcerøs</w:delText>
        </w:r>
        <w:r w:rsidRPr="009C5EFD">
          <w:rPr>
            <w:sz w:val="22"/>
            <w:szCs w:val="22"/>
          </w:rPr>
          <w:delText xml:space="preserve"> </w:delText>
        </w:r>
        <w:r w:rsidRPr="009C5EFD">
          <w:rPr>
            <w:rStyle w:val="hps"/>
            <w:sz w:val="22"/>
            <w:szCs w:val="22"/>
          </w:rPr>
          <w:delText>kolitt</w:delText>
        </w:r>
        <w:r w:rsidRPr="009C5EFD">
          <w:rPr>
            <w:sz w:val="22"/>
            <w:szCs w:val="22"/>
          </w:rPr>
          <w:delText xml:space="preserve"> </w:delText>
        </w:r>
        <w:r w:rsidRPr="009C5EFD">
          <w:rPr>
            <w:rStyle w:val="hps"/>
            <w:sz w:val="22"/>
            <w:szCs w:val="22"/>
          </w:rPr>
          <w:delText>som</w:delText>
        </w:r>
        <w:r w:rsidRPr="009C5EFD">
          <w:rPr>
            <w:sz w:val="22"/>
            <w:szCs w:val="22"/>
          </w:rPr>
          <w:delText xml:space="preserve"> </w:delText>
        </w:r>
        <w:r w:rsidRPr="009C5EFD">
          <w:rPr>
            <w:rStyle w:val="hps"/>
            <w:sz w:val="22"/>
            <w:szCs w:val="22"/>
          </w:rPr>
          <w:delText>har økt risiko</w:delText>
        </w:r>
        <w:r w:rsidRPr="009C5EFD">
          <w:rPr>
            <w:sz w:val="22"/>
            <w:szCs w:val="22"/>
          </w:rPr>
          <w:delText xml:space="preserve"> </w:delText>
        </w:r>
        <w:r w:rsidRPr="009C5EFD">
          <w:rPr>
            <w:rStyle w:val="hps"/>
            <w:sz w:val="22"/>
            <w:szCs w:val="22"/>
          </w:rPr>
          <w:delText>for</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eller</w:delText>
        </w:r>
        <w:r w:rsidRPr="009C5EFD">
          <w:rPr>
            <w:sz w:val="22"/>
            <w:szCs w:val="22"/>
          </w:rPr>
          <w:delText xml:space="preserve"> </w:delText>
        </w:r>
        <w:r w:rsidRPr="009C5EFD">
          <w:rPr>
            <w:rStyle w:val="hps"/>
            <w:sz w:val="22"/>
            <w:szCs w:val="22"/>
          </w:rPr>
          <w:delText>kolonkarsinom</w:delText>
        </w:r>
        <w:r w:rsidRPr="009C5EFD">
          <w:rPr>
            <w:sz w:val="22"/>
            <w:szCs w:val="22"/>
          </w:rPr>
          <w:delText xml:space="preserve"> </w:delText>
        </w:r>
        <w:r w:rsidRPr="009C5EFD">
          <w:rPr>
            <w:rStyle w:val="hpsatn"/>
            <w:sz w:val="22"/>
            <w:szCs w:val="22"/>
          </w:rPr>
          <w:delText>(</w:delText>
        </w:r>
        <w:r w:rsidRPr="009C5EFD">
          <w:rPr>
            <w:sz w:val="22"/>
            <w:szCs w:val="22"/>
          </w:rPr>
          <w:delText xml:space="preserve">for </w:delText>
        </w:r>
        <w:r w:rsidRPr="009C5EFD">
          <w:rPr>
            <w:rStyle w:val="hps"/>
            <w:sz w:val="22"/>
            <w:szCs w:val="22"/>
          </w:rPr>
          <w:delText>eksempel</w:delText>
        </w:r>
        <w:r w:rsidRPr="009C5EFD">
          <w:rPr>
            <w:sz w:val="22"/>
            <w:szCs w:val="22"/>
          </w:rPr>
          <w:delText xml:space="preserve"> </w:delText>
        </w:r>
        <w:r w:rsidRPr="009C5EFD">
          <w:rPr>
            <w:rStyle w:val="hps"/>
            <w:sz w:val="22"/>
            <w:szCs w:val="22"/>
          </w:rPr>
          <w:delText>pasienter med</w:delText>
        </w:r>
        <w:r w:rsidRPr="009C5EFD">
          <w:rPr>
            <w:sz w:val="22"/>
            <w:szCs w:val="22"/>
          </w:rPr>
          <w:delText xml:space="preserve"> </w:delText>
        </w:r>
        <w:r w:rsidRPr="009C5EFD">
          <w:rPr>
            <w:rStyle w:val="hps"/>
            <w:sz w:val="22"/>
            <w:szCs w:val="22"/>
          </w:rPr>
          <w:delText>langvarig</w:delText>
        </w:r>
        <w:r w:rsidRPr="009C5EFD">
          <w:rPr>
            <w:sz w:val="22"/>
            <w:szCs w:val="22"/>
          </w:rPr>
          <w:delText xml:space="preserve"> </w:delText>
        </w:r>
        <w:r w:rsidRPr="009C5EFD">
          <w:rPr>
            <w:rStyle w:val="hps"/>
            <w:sz w:val="22"/>
            <w:szCs w:val="22"/>
          </w:rPr>
          <w:delText>ulcerøs</w:delText>
        </w:r>
        <w:r w:rsidRPr="009C5EFD">
          <w:rPr>
            <w:sz w:val="22"/>
            <w:szCs w:val="22"/>
          </w:rPr>
          <w:delText xml:space="preserve"> </w:delText>
        </w:r>
        <w:r w:rsidRPr="009C5EFD">
          <w:rPr>
            <w:rStyle w:val="hps"/>
            <w:sz w:val="22"/>
            <w:szCs w:val="22"/>
          </w:rPr>
          <w:delText>kolitt eller</w:delText>
        </w:r>
        <w:r w:rsidRPr="009C5EFD">
          <w:rPr>
            <w:sz w:val="22"/>
            <w:szCs w:val="22"/>
          </w:rPr>
          <w:delText xml:space="preserve"> </w:delText>
        </w:r>
        <w:r w:rsidRPr="009C5EFD">
          <w:rPr>
            <w:rStyle w:val="hps"/>
            <w:sz w:val="22"/>
            <w:szCs w:val="22"/>
          </w:rPr>
          <w:delText>primær</w:delText>
        </w:r>
        <w:r w:rsidRPr="009C5EFD">
          <w:rPr>
            <w:sz w:val="22"/>
            <w:szCs w:val="22"/>
          </w:rPr>
          <w:delText xml:space="preserve"> </w:delText>
        </w:r>
        <w:r w:rsidRPr="009C5EFD">
          <w:rPr>
            <w:rStyle w:val="hps"/>
            <w:sz w:val="22"/>
            <w:szCs w:val="22"/>
          </w:rPr>
          <w:delText>skleroserende</w:delText>
        </w:r>
        <w:r w:rsidRPr="009C5EFD">
          <w:rPr>
            <w:sz w:val="22"/>
            <w:szCs w:val="22"/>
          </w:rPr>
          <w:delText xml:space="preserve"> </w:delText>
        </w:r>
        <w:r w:rsidRPr="009C5EFD">
          <w:rPr>
            <w:rStyle w:val="hps"/>
            <w:sz w:val="22"/>
            <w:szCs w:val="22"/>
          </w:rPr>
          <w:delText>kolangitt</w:delText>
        </w:r>
        <w:r w:rsidRPr="009C5EFD">
          <w:rPr>
            <w:sz w:val="22"/>
            <w:szCs w:val="22"/>
          </w:rPr>
          <w:delText xml:space="preserve">), </w:delText>
        </w:r>
        <w:r w:rsidRPr="009C5EFD">
          <w:rPr>
            <w:rStyle w:val="hps"/>
            <w:sz w:val="22"/>
            <w:szCs w:val="22"/>
          </w:rPr>
          <w:delText>eller som ha</w:delText>
        </w:r>
        <w:r w:rsidR="00907F18" w:rsidRPr="009C5EFD">
          <w:rPr>
            <w:rStyle w:val="hps"/>
            <w:sz w:val="22"/>
            <w:szCs w:val="22"/>
          </w:rPr>
          <w:delText>r</w:delText>
        </w:r>
        <w:r w:rsidRPr="009C5EFD">
          <w:rPr>
            <w:sz w:val="22"/>
            <w:szCs w:val="22"/>
          </w:rPr>
          <w:delText xml:space="preserve"> </w:delText>
        </w:r>
        <w:r w:rsidRPr="009C5EFD">
          <w:rPr>
            <w:rStyle w:val="hps"/>
            <w:sz w:val="22"/>
            <w:szCs w:val="22"/>
          </w:rPr>
          <w:delText>en forhistorie med</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eller</w:delText>
        </w:r>
        <w:r w:rsidRPr="009C5EFD">
          <w:rPr>
            <w:sz w:val="22"/>
            <w:szCs w:val="22"/>
          </w:rPr>
          <w:delText xml:space="preserve"> </w:delText>
        </w:r>
        <w:r w:rsidRPr="009C5EFD">
          <w:rPr>
            <w:rStyle w:val="hps"/>
            <w:sz w:val="22"/>
            <w:szCs w:val="22"/>
          </w:rPr>
          <w:delText>kolonkarsinom</w:delText>
        </w:r>
        <w:r w:rsidR="00907F18" w:rsidRPr="009C5EFD">
          <w:rPr>
            <w:rStyle w:val="hps"/>
            <w:sz w:val="22"/>
            <w:szCs w:val="22"/>
          </w:rPr>
          <w:delText>,</w:delText>
        </w:r>
        <w:r w:rsidRPr="009C5EFD">
          <w:rPr>
            <w:sz w:val="22"/>
            <w:szCs w:val="22"/>
          </w:rPr>
          <w:delText xml:space="preserve"> </w:delText>
        </w:r>
        <w:r w:rsidRPr="009C5EFD">
          <w:rPr>
            <w:rStyle w:val="hps"/>
            <w:sz w:val="22"/>
            <w:szCs w:val="22"/>
          </w:rPr>
          <w:delText xml:space="preserve">bør </w:delText>
        </w:r>
        <w:r w:rsidR="00907F18" w:rsidRPr="009C5EFD">
          <w:rPr>
            <w:rStyle w:val="hps"/>
            <w:sz w:val="22"/>
            <w:szCs w:val="22"/>
          </w:rPr>
          <w:delText xml:space="preserve">regelmessig </w:delText>
        </w:r>
        <w:r w:rsidRPr="009C5EFD">
          <w:rPr>
            <w:rStyle w:val="hps"/>
            <w:sz w:val="22"/>
            <w:szCs w:val="22"/>
          </w:rPr>
          <w:delText>screenes</w:delText>
        </w:r>
        <w:r w:rsidRPr="009C5EFD">
          <w:rPr>
            <w:sz w:val="22"/>
            <w:szCs w:val="22"/>
          </w:rPr>
          <w:delText xml:space="preserve"> </w:delText>
        </w:r>
        <w:r w:rsidRPr="009C5EFD">
          <w:rPr>
            <w:rStyle w:val="hps"/>
            <w:sz w:val="22"/>
            <w:szCs w:val="22"/>
          </w:rPr>
          <w:delText>for</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før</w:delText>
        </w:r>
        <w:r w:rsidRPr="009C5EFD">
          <w:rPr>
            <w:sz w:val="22"/>
            <w:szCs w:val="22"/>
          </w:rPr>
          <w:delText xml:space="preserve"> </w:delText>
        </w:r>
        <w:r w:rsidRPr="009C5EFD">
          <w:rPr>
            <w:rStyle w:val="hps"/>
            <w:sz w:val="22"/>
            <w:szCs w:val="22"/>
          </w:rPr>
          <w:delText xml:space="preserve">terapi </w:delText>
        </w:r>
        <w:r w:rsidR="00907F18" w:rsidRPr="009C5EFD">
          <w:rPr>
            <w:rStyle w:val="hps"/>
            <w:sz w:val="22"/>
            <w:szCs w:val="22"/>
          </w:rPr>
          <w:delText xml:space="preserve">initieres </w:delText>
        </w:r>
        <w:r w:rsidRPr="009C5EFD">
          <w:rPr>
            <w:rStyle w:val="hps"/>
            <w:sz w:val="22"/>
            <w:szCs w:val="22"/>
          </w:rPr>
          <w:delText>og</w:delText>
        </w:r>
        <w:r w:rsidRPr="009C5EFD">
          <w:rPr>
            <w:sz w:val="22"/>
            <w:szCs w:val="22"/>
          </w:rPr>
          <w:delText xml:space="preserve"> </w:delText>
        </w:r>
        <w:r w:rsidRPr="009C5EFD">
          <w:rPr>
            <w:rStyle w:val="hps"/>
            <w:sz w:val="22"/>
            <w:szCs w:val="22"/>
          </w:rPr>
          <w:delText>gjennom hele</w:delText>
        </w:r>
        <w:r w:rsidRPr="009C5EFD">
          <w:rPr>
            <w:sz w:val="22"/>
            <w:szCs w:val="22"/>
          </w:rPr>
          <w:delText xml:space="preserve"> </w:delText>
        </w:r>
        <w:r w:rsidRPr="009C5EFD">
          <w:rPr>
            <w:rStyle w:val="hps"/>
            <w:sz w:val="22"/>
            <w:szCs w:val="22"/>
          </w:rPr>
          <w:delText>sykdomsforløpet.</w:delText>
        </w:r>
        <w:r w:rsidRPr="009C5EFD">
          <w:rPr>
            <w:sz w:val="22"/>
            <w:szCs w:val="22"/>
          </w:rPr>
          <w:delText xml:space="preserve"> </w:delText>
        </w:r>
        <w:r w:rsidRPr="009C5EFD">
          <w:rPr>
            <w:rStyle w:val="hps"/>
            <w:sz w:val="22"/>
            <w:szCs w:val="22"/>
          </w:rPr>
          <w:delText xml:space="preserve">Denne </w:delText>
        </w:r>
        <w:r w:rsidR="00BF02E7">
          <w:rPr>
            <w:rStyle w:val="hps"/>
            <w:sz w:val="22"/>
            <w:szCs w:val="22"/>
          </w:rPr>
          <w:delText>vurdering</w:delText>
        </w:r>
        <w:r w:rsidRPr="009C5EFD">
          <w:rPr>
            <w:rStyle w:val="hps"/>
            <w:sz w:val="22"/>
            <w:szCs w:val="22"/>
          </w:rPr>
          <w:delText>en</w:delText>
        </w:r>
        <w:r w:rsidRPr="009C5EFD">
          <w:rPr>
            <w:sz w:val="22"/>
            <w:szCs w:val="22"/>
          </w:rPr>
          <w:delText xml:space="preserve"> </w:delText>
        </w:r>
        <w:r w:rsidRPr="009C5EFD">
          <w:rPr>
            <w:rStyle w:val="hps"/>
            <w:sz w:val="22"/>
            <w:szCs w:val="22"/>
          </w:rPr>
          <w:delText>skal</w:delText>
        </w:r>
        <w:r w:rsidRPr="009C5EFD">
          <w:rPr>
            <w:sz w:val="22"/>
            <w:szCs w:val="22"/>
          </w:rPr>
          <w:delText xml:space="preserve"> </w:delText>
        </w:r>
        <w:r w:rsidRPr="009C5EFD">
          <w:rPr>
            <w:rStyle w:val="hps"/>
            <w:sz w:val="22"/>
            <w:szCs w:val="22"/>
          </w:rPr>
          <w:delText>omfatte</w:delText>
        </w:r>
        <w:r w:rsidRPr="009C5EFD">
          <w:rPr>
            <w:sz w:val="22"/>
            <w:szCs w:val="22"/>
          </w:rPr>
          <w:delText xml:space="preserve"> </w:delText>
        </w:r>
        <w:r w:rsidRPr="009C5EFD">
          <w:rPr>
            <w:rStyle w:val="hps"/>
            <w:sz w:val="22"/>
            <w:szCs w:val="22"/>
          </w:rPr>
          <w:delText>koloskopi</w:delText>
        </w:r>
        <w:r w:rsidRPr="009C5EFD">
          <w:rPr>
            <w:sz w:val="22"/>
            <w:szCs w:val="22"/>
          </w:rPr>
          <w:delText xml:space="preserve"> </w:delText>
        </w:r>
        <w:r w:rsidRPr="009C5EFD">
          <w:rPr>
            <w:rStyle w:val="hps"/>
            <w:sz w:val="22"/>
            <w:szCs w:val="22"/>
          </w:rPr>
          <w:delText>og</w:delText>
        </w:r>
        <w:r w:rsidRPr="009C5EFD">
          <w:rPr>
            <w:sz w:val="22"/>
            <w:szCs w:val="22"/>
          </w:rPr>
          <w:delText xml:space="preserve"> </w:delText>
        </w:r>
        <w:r w:rsidRPr="009C5EFD">
          <w:rPr>
            <w:rStyle w:val="hps"/>
            <w:sz w:val="22"/>
            <w:szCs w:val="22"/>
          </w:rPr>
          <w:delText>biopsi</w:delText>
        </w:r>
        <w:r w:rsidRPr="009C5EFD">
          <w:rPr>
            <w:sz w:val="22"/>
            <w:szCs w:val="22"/>
          </w:rPr>
          <w:delText xml:space="preserve"> </w:delText>
        </w:r>
        <w:r w:rsidRPr="009C5EFD">
          <w:rPr>
            <w:rStyle w:val="hps"/>
            <w:sz w:val="22"/>
            <w:szCs w:val="22"/>
          </w:rPr>
          <w:delText>etter</w:delText>
        </w:r>
        <w:r w:rsidRPr="009C5EFD">
          <w:rPr>
            <w:sz w:val="22"/>
            <w:szCs w:val="22"/>
          </w:rPr>
          <w:delText xml:space="preserve"> </w:delText>
        </w:r>
        <w:r w:rsidRPr="009C5EFD">
          <w:rPr>
            <w:rStyle w:val="hps"/>
            <w:sz w:val="22"/>
            <w:szCs w:val="22"/>
          </w:rPr>
          <w:delText>lokale anbefalinger.</w:delText>
        </w:r>
      </w:del>
    </w:p>
    <w:p w14:paraId="757F98A9" w14:textId="0219A8A5" w:rsidR="00A4342E" w:rsidRPr="009C5EFD" w:rsidRDefault="00A4342E" w:rsidP="009C5EFD">
      <w:pPr>
        <w:rPr>
          <w:del w:id="580" w:author="AbbVie02no" w:date="2025-05-15T12:36:00Z"/>
          <w:sz w:val="22"/>
          <w:szCs w:val="22"/>
        </w:rPr>
      </w:pPr>
    </w:p>
    <w:p w14:paraId="3B10895A" w14:textId="720DFE34" w:rsidR="00DE3458" w:rsidRPr="009C5EFD" w:rsidRDefault="00E453CD" w:rsidP="00184283">
      <w:pPr>
        <w:keepNext/>
        <w:rPr>
          <w:del w:id="581" w:author="AbbVie02no" w:date="2025-05-15T12:36:00Z"/>
          <w:sz w:val="22"/>
          <w:szCs w:val="22"/>
          <w:u w:val="single"/>
        </w:rPr>
      </w:pPr>
      <w:del w:id="582" w:author="AbbVie02no" w:date="2025-05-15T12:36:00Z">
        <w:r w:rsidRPr="009C5EFD">
          <w:rPr>
            <w:sz w:val="22"/>
            <w:szCs w:val="22"/>
            <w:u w:val="single"/>
          </w:rPr>
          <w:delText>Hematologiske reaksjoner</w:delText>
        </w:r>
      </w:del>
    </w:p>
    <w:p w14:paraId="04720236" w14:textId="1DDDF931" w:rsidR="00DE3458" w:rsidRPr="009C5EFD" w:rsidRDefault="00DE3458" w:rsidP="00184283">
      <w:pPr>
        <w:keepNext/>
        <w:rPr>
          <w:del w:id="583" w:author="AbbVie02no" w:date="2025-05-15T12:36:00Z"/>
          <w:sz w:val="22"/>
          <w:szCs w:val="22"/>
        </w:rPr>
      </w:pPr>
    </w:p>
    <w:p w14:paraId="24CB9428" w14:textId="255E7F9D" w:rsidR="00DE3458" w:rsidRPr="009C5EFD" w:rsidRDefault="00E453CD" w:rsidP="00776A84">
      <w:pPr>
        <w:rPr>
          <w:del w:id="584" w:author="AbbVie02no" w:date="2025-05-15T12:36:00Z"/>
          <w:sz w:val="22"/>
          <w:szCs w:val="22"/>
        </w:rPr>
      </w:pPr>
      <w:del w:id="585" w:author="AbbVie02no" w:date="2025-05-15T12:36:00Z">
        <w:r w:rsidRPr="009C5EFD">
          <w:rPr>
            <w:sz w:val="22"/>
            <w:szCs w:val="22"/>
          </w:rPr>
          <w:delText>Sjeldne tilfeller av pancytopeni inkludert aplastisk anemi er rapportert med TNF-antagonister. Bivirkninger i form av hematologiske reaksjoner, inkludert klinisk signifikant cytopeni (f. eks. trombocytopeni, le</w:delText>
        </w:r>
        <w:r w:rsidR="00827E81" w:rsidRPr="009C5EFD">
          <w:rPr>
            <w:sz w:val="22"/>
            <w:szCs w:val="22"/>
          </w:rPr>
          <w:delText>u</w:delText>
        </w:r>
        <w:r w:rsidRPr="009C5EFD">
          <w:rPr>
            <w:sz w:val="22"/>
            <w:szCs w:val="22"/>
          </w:rPr>
          <w:delText xml:space="preserve">kopeni) er rapportert ved bruk av Humira. Alle pasienter bør rådes til øyeblikkelig å søke medisinsk hjelp hvis de utvikler tegn og symptomer på bloddyskrasier (f. eks. vedvarende feber, bloduttredelser, blødninger, </w:delText>
        </w:r>
        <w:r w:rsidR="00821D8D" w:rsidRPr="009C5EFD">
          <w:rPr>
            <w:sz w:val="22"/>
            <w:szCs w:val="22"/>
          </w:rPr>
          <w:delText>blekhet</w:delText>
        </w:r>
        <w:r w:rsidRPr="009C5EFD">
          <w:rPr>
            <w:sz w:val="22"/>
            <w:szCs w:val="22"/>
          </w:rPr>
          <w:delText>) under behandling med Humira. Seponering av behandling med Humira bør vurderes hos pasienter med bekrefte</w:delText>
        </w:r>
        <w:r w:rsidR="001E109B" w:rsidRPr="009C5EFD">
          <w:rPr>
            <w:sz w:val="22"/>
            <w:szCs w:val="22"/>
          </w:rPr>
          <w:delText>t signifikante</w:delText>
        </w:r>
        <w:r w:rsidRPr="009C5EFD">
          <w:rPr>
            <w:sz w:val="22"/>
            <w:szCs w:val="22"/>
          </w:rPr>
          <w:delText xml:space="preserve"> hematologiske </w:delText>
        </w:r>
        <w:r w:rsidR="001E109B" w:rsidRPr="009C5EFD">
          <w:rPr>
            <w:sz w:val="22"/>
            <w:szCs w:val="22"/>
          </w:rPr>
          <w:delText>abnormaliteter</w:delText>
        </w:r>
        <w:r w:rsidRPr="009C5EFD">
          <w:rPr>
            <w:sz w:val="22"/>
            <w:szCs w:val="22"/>
          </w:rPr>
          <w:delText xml:space="preserve">. </w:delText>
        </w:r>
      </w:del>
    </w:p>
    <w:p w14:paraId="30FF8166" w14:textId="35526BAC" w:rsidR="00DE3458" w:rsidRPr="009C5EFD" w:rsidRDefault="00DE3458" w:rsidP="009C5EFD">
      <w:pPr>
        <w:rPr>
          <w:del w:id="586" w:author="AbbVie02no" w:date="2025-05-15T12:36:00Z"/>
          <w:sz w:val="22"/>
          <w:szCs w:val="22"/>
        </w:rPr>
      </w:pPr>
    </w:p>
    <w:p w14:paraId="5513E8BD" w14:textId="4042DD11" w:rsidR="00DE3458" w:rsidRPr="009C5EFD" w:rsidRDefault="00E453CD" w:rsidP="001F5D4B">
      <w:pPr>
        <w:keepNext/>
        <w:rPr>
          <w:del w:id="587" w:author="AbbVie02no" w:date="2025-05-15T12:36:00Z"/>
          <w:sz w:val="22"/>
          <w:szCs w:val="22"/>
          <w:u w:val="single"/>
        </w:rPr>
      </w:pPr>
      <w:del w:id="588" w:author="AbbVie02no" w:date="2025-05-15T12:36:00Z">
        <w:r w:rsidRPr="009C5EFD">
          <w:rPr>
            <w:sz w:val="22"/>
            <w:szCs w:val="22"/>
            <w:u w:val="single"/>
          </w:rPr>
          <w:delText>Vaksinasjoner</w:delText>
        </w:r>
      </w:del>
    </w:p>
    <w:p w14:paraId="77D48DD2" w14:textId="60279D7B" w:rsidR="00DE3458" w:rsidRPr="009C5EFD" w:rsidRDefault="00DE3458" w:rsidP="001F5D4B">
      <w:pPr>
        <w:keepNext/>
        <w:rPr>
          <w:del w:id="589" w:author="AbbVie02no" w:date="2025-05-15T12:36:00Z"/>
          <w:sz w:val="22"/>
          <w:szCs w:val="22"/>
        </w:rPr>
      </w:pPr>
    </w:p>
    <w:p w14:paraId="3051B876" w14:textId="7CD22099" w:rsidR="00821D8D" w:rsidRPr="009C5EFD" w:rsidRDefault="00E453CD" w:rsidP="00776A84">
      <w:pPr>
        <w:pStyle w:val="Heading8"/>
        <w:keepNext w:val="0"/>
        <w:rPr>
          <w:del w:id="590" w:author="AbbVie02no" w:date="2025-05-15T12:36:00Z"/>
          <w:szCs w:val="22"/>
          <w:u w:val="none"/>
        </w:rPr>
      </w:pPr>
      <w:del w:id="591" w:author="AbbVie02no" w:date="2025-05-15T12:36:00Z">
        <w:r w:rsidRPr="009C5EFD">
          <w:rPr>
            <w:szCs w:val="22"/>
            <w:u w:val="none"/>
          </w:rPr>
          <w:delText xml:space="preserve">Like antistoffresponser på standard 23-valent pneumokokkvaksinasjon og influensatrivalent-virusvaksinasjon ble observert i en studie med 226 voksne pasienter med revmatoid artritt som ble behandlet med adalimumab eller placebo. Ingen data om sekundær overføring av infeksjon med levende vaksiner hos pasienter som får Humira er tilgjengelig. </w:delText>
        </w:r>
      </w:del>
    </w:p>
    <w:p w14:paraId="4A1E546B" w14:textId="2439774F" w:rsidR="00821D8D" w:rsidRPr="009C5EFD" w:rsidRDefault="00821D8D" w:rsidP="007F67EE">
      <w:pPr>
        <w:rPr>
          <w:del w:id="592" w:author="AbbVie02no" w:date="2025-05-15T12:36:00Z"/>
          <w:sz w:val="22"/>
          <w:szCs w:val="22"/>
        </w:rPr>
      </w:pPr>
    </w:p>
    <w:p w14:paraId="089966A4" w14:textId="0FCCDC4E" w:rsidR="00821D8D" w:rsidRPr="009C5EFD" w:rsidRDefault="00E453CD" w:rsidP="007F67EE">
      <w:pPr>
        <w:pStyle w:val="Heading8"/>
        <w:keepNext w:val="0"/>
        <w:rPr>
          <w:del w:id="593" w:author="AbbVie02no" w:date="2025-05-15T12:36:00Z"/>
          <w:szCs w:val="22"/>
          <w:u w:val="none"/>
        </w:rPr>
      </w:pPr>
      <w:del w:id="594" w:author="AbbVie02no" w:date="2025-05-15T12:36:00Z">
        <w:r w:rsidRPr="009C5EFD">
          <w:rPr>
            <w:szCs w:val="22"/>
            <w:u w:val="none"/>
          </w:rPr>
          <w:delText xml:space="preserve">Det anbefales, hvis mulig, at </w:delText>
        </w:r>
        <w:r w:rsidR="00E818A0" w:rsidRPr="009C5EFD">
          <w:rPr>
            <w:szCs w:val="22"/>
            <w:u w:val="none"/>
          </w:rPr>
          <w:delText xml:space="preserve">pediatriske </w:delText>
        </w:r>
        <w:r w:rsidRPr="009C5EFD">
          <w:rPr>
            <w:szCs w:val="22"/>
            <w:u w:val="none"/>
          </w:rPr>
          <w:delText>pasienter vaksineres i tråd med gjeldende vaksinasjonsveiledninger før behandling med Humira startes.</w:delText>
        </w:r>
      </w:del>
    </w:p>
    <w:p w14:paraId="000345EC" w14:textId="412C4386" w:rsidR="00821D8D" w:rsidRPr="009C5EFD" w:rsidRDefault="00821D8D" w:rsidP="00193D76">
      <w:pPr>
        <w:rPr>
          <w:del w:id="595" w:author="AbbVie02no" w:date="2025-05-15T12:36:00Z"/>
          <w:sz w:val="22"/>
          <w:szCs w:val="22"/>
        </w:rPr>
      </w:pPr>
    </w:p>
    <w:p w14:paraId="189E25E2" w14:textId="0C2C97FF" w:rsidR="00407CBC" w:rsidRPr="009C5EFD" w:rsidRDefault="00E453CD" w:rsidP="002D0790">
      <w:pPr>
        <w:pStyle w:val="Heading8"/>
        <w:keepNext w:val="0"/>
        <w:rPr>
          <w:del w:id="596" w:author="AbbVie02no" w:date="2025-05-15T12:36:00Z"/>
          <w:u w:val="none"/>
        </w:rPr>
      </w:pPr>
      <w:del w:id="597" w:author="AbbVie02no" w:date="2025-05-15T12:36:00Z">
        <w:r w:rsidRPr="009C5EFD">
          <w:rPr>
            <w:szCs w:val="22"/>
            <w:u w:val="none"/>
          </w:rPr>
          <w:delText>Pasienter som behandles med Humira kan</w:delText>
        </w:r>
        <w:r w:rsidR="00254B0E" w:rsidRPr="009C5EFD">
          <w:rPr>
            <w:szCs w:val="22"/>
            <w:u w:val="none"/>
          </w:rPr>
          <w:delText xml:space="preserve"> </w:delText>
        </w:r>
        <w:r w:rsidR="00D564B0" w:rsidRPr="009C5EFD">
          <w:rPr>
            <w:szCs w:val="22"/>
            <w:u w:val="none"/>
          </w:rPr>
          <w:delText>få</w:delText>
        </w:r>
        <w:r w:rsidR="00831738" w:rsidRPr="009C5EFD">
          <w:rPr>
            <w:szCs w:val="22"/>
            <w:u w:val="none"/>
          </w:rPr>
          <w:delText xml:space="preserve"> kombinerte vaksinasjoner</w:delText>
        </w:r>
        <w:r w:rsidRPr="009C5EFD">
          <w:rPr>
            <w:szCs w:val="22"/>
            <w:u w:val="none"/>
          </w:rPr>
          <w:delText xml:space="preserve">, med </w:delText>
        </w:r>
        <w:r w:rsidR="00E014A5" w:rsidRPr="009C5EFD">
          <w:rPr>
            <w:szCs w:val="22"/>
            <w:u w:val="none"/>
          </w:rPr>
          <w:delText xml:space="preserve">unntak av </w:delText>
        </w:r>
        <w:r w:rsidRPr="009C5EFD">
          <w:rPr>
            <w:szCs w:val="22"/>
            <w:u w:val="none"/>
          </w:rPr>
          <w:delText>levende vaksiner.</w:delText>
        </w:r>
        <w:r w:rsidR="00B80CF1" w:rsidRPr="009C5EFD">
          <w:rPr>
            <w:szCs w:val="22"/>
            <w:u w:val="none"/>
          </w:rPr>
          <w:delText xml:space="preserve"> </w:delText>
        </w:r>
        <w:r w:rsidR="00B80CF1" w:rsidRPr="009C5EFD">
          <w:rPr>
            <w:u w:val="none"/>
          </w:rPr>
          <w:delText>Administrasjon av levende vaksiner</w:delText>
        </w:r>
        <w:r w:rsidR="00552339">
          <w:rPr>
            <w:u w:val="none"/>
          </w:rPr>
          <w:delText xml:space="preserve"> </w:delText>
        </w:r>
        <w:r w:rsidR="00552339">
          <w:rPr>
            <w:szCs w:val="22"/>
            <w:u w:val="none"/>
          </w:rPr>
          <w:delText>(f.eks. BCG vaksine)</w:delText>
        </w:r>
        <w:r w:rsidR="00B80CF1" w:rsidRPr="009C5EFD">
          <w:rPr>
            <w:u w:val="none"/>
          </w:rPr>
          <w:delText xml:space="preserve"> på spedbarn eksponert for adalimumab intrauterint anbefales ikke før 5 måneder etter morens siste injeksjon med adalimumab under graviditeten.</w:delText>
        </w:r>
      </w:del>
    </w:p>
    <w:p w14:paraId="06201CF5" w14:textId="25CFB72D" w:rsidR="00407CBC" w:rsidRPr="009C5EFD" w:rsidRDefault="00407CBC" w:rsidP="002D0790">
      <w:pPr>
        <w:pStyle w:val="Heading8"/>
        <w:keepNext w:val="0"/>
        <w:rPr>
          <w:del w:id="598" w:author="AbbVie02no" w:date="2025-05-15T12:36:00Z"/>
        </w:rPr>
      </w:pPr>
    </w:p>
    <w:p w14:paraId="190399BE" w14:textId="6CF6C9FA" w:rsidR="00DE3458" w:rsidRPr="009C5EFD" w:rsidRDefault="00E453CD" w:rsidP="001F5D4B">
      <w:pPr>
        <w:pStyle w:val="Heading8"/>
        <w:rPr>
          <w:del w:id="599" w:author="AbbVie02no" w:date="2025-05-15T12:36:00Z"/>
          <w:szCs w:val="22"/>
        </w:rPr>
      </w:pPr>
      <w:del w:id="600" w:author="AbbVie02no" w:date="2025-05-15T12:36:00Z">
        <w:r w:rsidRPr="009C5EFD">
          <w:rPr>
            <w:szCs w:val="22"/>
          </w:rPr>
          <w:delText>Kongestiv hjertesvikt</w:delText>
        </w:r>
      </w:del>
    </w:p>
    <w:p w14:paraId="3A2DC8BB" w14:textId="52AF7774" w:rsidR="00DE3458" w:rsidRPr="009C5EFD" w:rsidRDefault="00DE3458" w:rsidP="001F5D4B">
      <w:pPr>
        <w:keepNext/>
        <w:rPr>
          <w:del w:id="601" w:author="AbbVie02no" w:date="2025-05-15T12:36:00Z"/>
          <w:sz w:val="22"/>
          <w:szCs w:val="22"/>
        </w:rPr>
      </w:pPr>
    </w:p>
    <w:p w14:paraId="097A80B2" w14:textId="22BCF3AD" w:rsidR="00821D8D" w:rsidRPr="009C5EFD" w:rsidRDefault="00E453CD" w:rsidP="00776A84">
      <w:pPr>
        <w:rPr>
          <w:del w:id="602" w:author="AbbVie02no" w:date="2025-05-15T12:36:00Z"/>
          <w:sz w:val="22"/>
          <w:szCs w:val="22"/>
        </w:rPr>
      </w:pPr>
      <w:del w:id="603" w:author="AbbVie02no" w:date="2025-05-15T12:36:00Z">
        <w:r w:rsidRPr="009C5EFD">
          <w:rPr>
            <w:sz w:val="22"/>
            <w:szCs w:val="22"/>
          </w:rPr>
          <w:delText xml:space="preserve">I en klinisk studie med en annen TNF-antagonist er det observert forverret </w:delText>
        </w:r>
        <w:r w:rsidR="005B5A5D" w:rsidRPr="009C5EFD">
          <w:rPr>
            <w:sz w:val="22"/>
            <w:szCs w:val="22"/>
          </w:rPr>
          <w:delText xml:space="preserve">kongestiv </w:delText>
        </w:r>
        <w:r w:rsidRPr="009C5EFD">
          <w:rPr>
            <w:sz w:val="22"/>
            <w:szCs w:val="22"/>
          </w:rPr>
          <w:delText xml:space="preserve">hjertesvikt og økt mortalitet på grunn av </w:delText>
        </w:r>
        <w:r w:rsidR="005B5A5D" w:rsidRPr="009C5EFD">
          <w:rPr>
            <w:sz w:val="22"/>
            <w:szCs w:val="22"/>
          </w:rPr>
          <w:delText xml:space="preserve">kongestiv </w:delText>
        </w:r>
        <w:r w:rsidRPr="009C5EFD">
          <w:rPr>
            <w:sz w:val="22"/>
            <w:szCs w:val="22"/>
          </w:rPr>
          <w:delText xml:space="preserve">hjertesvikt. Tilfeller med forverret </w:delText>
        </w:r>
        <w:r w:rsidR="00EA632A" w:rsidRPr="009C5EFD">
          <w:rPr>
            <w:sz w:val="22"/>
            <w:szCs w:val="22"/>
          </w:rPr>
          <w:delText xml:space="preserve">kongestiv </w:delText>
        </w:r>
        <w:r w:rsidRPr="009C5EFD">
          <w:rPr>
            <w:sz w:val="22"/>
            <w:szCs w:val="22"/>
          </w:rPr>
          <w:delText>hjertesvikt er også rapportert hos pasienter som f</w:delText>
        </w:r>
        <w:r w:rsidR="0075717D" w:rsidRPr="009C5EFD">
          <w:rPr>
            <w:sz w:val="22"/>
            <w:szCs w:val="22"/>
          </w:rPr>
          <w:delText>ikk</w:delText>
        </w:r>
        <w:r w:rsidRPr="009C5EFD">
          <w:rPr>
            <w:sz w:val="22"/>
            <w:szCs w:val="22"/>
          </w:rPr>
          <w:delText xml:space="preserve"> Humira. Det bør utvises varsomhet ved bruk av Humira hos pasienter med lett hjertesvikt (NYHA klasse I/II). Humira er kontraindisert ved moderat eller alvorlig hjertesvikt (se pkt. 4.3). Behandling med Humira skal seponeres hos pasienter som utvikler nye eller forverrede symptomer på </w:delText>
        </w:r>
        <w:r w:rsidR="00AF08E7" w:rsidRPr="009C5EFD">
          <w:rPr>
            <w:sz w:val="22"/>
            <w:szCs w:val="22"/>
          </w:rPr>
          <w:delText xml:space="preserve">kongestiv </w:delText>
        </w:r>
        <w:r w:rsidRPr="009C5EFD">
          <w:rPr>
            <w:sz w:val="22"/>
            <w:szCs w:val="22"/>
          </w:rPr>
          <w:delText>hjertesvikt.</w:delText>
        </w:r>
      </w:del>
    </w:p>
    <w:p w14:paraId="3BA7E4DC" w14:textId="45DCEB85" w:rsidR="006E5C2C" w:rsidRPr="009C5EFD" w:rsidRDefault="006E5C2C" w:rsidP="007F67EE">
      <w:pPr>
        <w:pStyle w:val="Heading8"/>
        <w:keepNext w:val="0"/>
        <w:rPr>
          <w:del w:id="604" w:author="AbbVie02no" w:date="2025-05-15T12:36:00Z"/>
          <w:szCs w:val="22"/>
        </w:rPr>
      </w:pPr>
    </w:p>
    <w:p w14:paraId="3303AE9B" w14:textId="1C629DEC" w:rsidR="00821D8D" w:rsidRPr="009C5EFD" w:rsidRDefault="00E453CD" w:rsidP="007F67EE">
      <w:pPr>
        <w:pStyle w:val="Heading8"/>
        <w:rPr>
          <w:del w:id="605" w:author="AbbVie02no" w:date="2025-05-15T12:36:00Z"/>
          <w:szCs w:val="22"/>
        </w:rPr>
      </w:pPr>
      <w:del w:id="606" w:author="AbbVie02no" w:date="2025-05-15T12:36:00Z">
        <w:r w:rsidRPr="009C5EFD">
          <w:rPr>
            <w:szCs w:val="22"/>
          </w:rPr>
          <w:delText>Autoimmun aktivitet</w:delText>
        </w:r>
      </w:del>
    </w:p>
    <w:p w14:paraId="2F4E2C41" w14:textId="0E512394" w:rsidR="00821D8D" w:rsidRPr="009C5EFD" w:rsidRDefault="00821D8D" w:rsidP="00193D76">
      <w:pPr>
        <w:keepNext/>
        <w:rPr>
          <w:del w:id="607" w:author="AbbVie02no" w:date="2025-05-15T12:36:00Z"/>
          <w:sz w:val="22"/>
          <w:szCs w:val="22"/>
        </w:rPr>
      </w:pPr>
    </w:p>
    <w:p w14:paraId="65047913" w14:textId="39021800" w:rsidR="00821D8D" w:rsidRPr="009C5EFD" w:rsidRDefault="00E453CD" w:rsidP="00776A84">
      <w:pPr>
        <w:rPr>
          <w:del w:id="608" w:author="AbbVie02no" w:date="2025-05-15T12:36:00Z"/>
          <w:sz w:val="22"/>
          <w:szCs w:val="22"/>
        </w:rPr>
      </w:pPr>
      <w:del w:id="609" w:author="AbbVie02no" w:date="2025-05-15T12:36:00Z">
        <w:r w:rsidRPr="009C5EFD">
          <w:rPr>
            <w:sz w:val="22"/>
            <w:szCs w:val="22"/>
          </w:rPr>
          <w:delText>Behandling med Humira kan forårsake dannelse av autoimmune antistoffer. Effekten av langtidsbehandling med Humira med hensyn til utvikling av autoimmune sykdommer er ukjent. Dersom en pasient etter behandling med Humira utvikler symptomer på lupuslignende syndrom og er positiv for antistoffer mot dobbelkjedet DNA, skal videre behandling med Humira stoppes (se pkt. 4.8).</w:delText>
        </w:r>
      </w:del>
    </w:p>
    <w:p w14:paraId="77A5C855" w14:textId="205F97E9" w:rsidR="00821D8D" w:rsidRPr="009C5EFD" w:rsidRDefault="00821D8D" w:rsidP="002D0790">
      <w:pPr>
        <w:rPr>
          <w:del w:id="610" w:author="AbbVie02no" w:date="2025-05-15T12:36:00Z"/>
          <w:sz w:val="22"/>
          <w:szCs w:val="22"/>
          <w:u w:val="single"/>
        </w:rPr>
      </w:pPr>
    </w:p>
    <w:p w14:paraId="2E035D71" w14:textId="0B2C5A85" w:rsidR="00821D8D" w:rsidRPr="009C5EFD" w:rsidRDefault="00E453CD" w:rsidP="001F5D4B">
      <w:pPr>
        <w:keepNext/>
        <w:rPr>
          <w:del w:id="611" w:author="AbbVie02no" w:date="2025-05-15T12:36:00Z"/>
          <w:sz w:val="22"/>
          <w:szCs w:val="22"/>
          <w:u w:val="single"/>
        </w:rPr>
      </w:pPr>
      <w:del w:id="612" w:author="AbbVie02no" w:date="2025-05-15T12:36:00Z">
        <w:r w:rsidRPr="009C5EFD">
          <w:rPr>
            <w:sz w:val="22"/>
            <w:szCs w:val="22"/>
            <w:u w:val="single"/>
          </w:rPr>
          <w:delText xml:space="preserve">Samtidig </w:delText>
        </w:r>
        <w:r w:rsidR="00462D2F">
          <w:rPr>
            <w:sz w:val="22"/>
            <w:szCs w:val="22"/>
            <w:u w:val="single"/>
          </w:rPr>
          <w:delText>bruk</w:delText>
        </w:r>
        <w:r w:rsidRPr="009C5EFD">
          <w:rPr>
            <w:sz w:val="22"/>
            <w:szCs w:val="22"/>
            <w:u w:val="single"/>
          </w:rPr>
          <w:delText xml:space="preserve"> av </w:delText>
        </w:r>
        <w:r w:rsidR="000515F3" w:rsidRPr="009C5EFD">
          <w:rPr>
            <w:sz w:val="22"/>
            <w:szCs w:val="22"/>
            <w:u w:val="single"/>
          </w:rPr>
          <w:delText>biologisk</w:delText>
        </w:r>
        <w:r w:rsidR="00C40CB6">
          <w:rPr>
            <w:sz w:val="22"/>
            <w:szCs w:val="22"/>
            <w:u w:val="single"/>
          </w:rPr>
          <w:delText>e</w:delText>
        </w:r>
        <w:r w:rsidR="000515F3" w:rsidRPr="009C5EFD">
          <w:rPr>
            <w:sz w:val="22"/>
            <w:szCs w:val="22"/>
            <w:u w:val="single"/>
          </w:rPr>
          <w:delText xml:space="preserve"> DMARD</w:delText>
        </w:r>
        <w:r w:rsidR="00ED7ED5">
          <w:rPr>
            <w:sz w:val="22"/>
            <w:szCs w:val="22"/>
            <w:u w:val="single"/>
          </w:rPr>
          <w:delText>s</w:delText>
        </w:r>
        <w:r w:rsidR="000515F3" w:rsidRPr="009C5EFD">
          <w:rPr>
            <w:sz w:val="22"/>
            <w:szCs w:val="22"/>
            <w:u w:val="single"/>
          </w:rPr>
          <w:delText xml:space="preserve"> eller </w:delText>
        </w:r>
        <w:r w:rsidRPr="009C5EFD">
          <w:rPr>
            <w:sz w:val="22"/>
            <w:szCs w:val="22"/>
            <w:u w:val="single"/>
          </w:rPr>
          <w:delText>TNF-antagonister</w:delText>
        </w:r>
      </w:del>
    </w:p>
    <w:p w14:paraId="52247591" w14:textId="3F996720" w:rsidR="00821D8D" w:rsidRPr="009C5EFD" w:rsidRDefault="00821D8D" w:rsidP="001F5D4B">
      <w:pPr>
        <w:keepNext/>
        <w:rPr>
          <w:del w:id="613" w:author="AbbVie02no" w:date="2025-05-15T12:36:00Z"/>
          <w:sz w:val="22"/>
          <w:szCs w:val="22"/>
        </w:rPr>
      </w:pPr>
    </w:p>
    <w:p w14:paraId="5BBF1A62" w14:textId="508E1F1F" w:rsidR="00821D8D" w:rsidRPr="009C5EFD" w:rsidRDefault="00E453CD" w:rsidP="00776A84">
      <w:pPr>
        <w:rPr>
          <w:del w:id="614" w:author="AbbVie02no" w:date="2025-05-15T12:36:00Z"/>
          <w:sz w:val="22"/>
          <w:szCs w:val="22"/>
        </w:rPr>
      </w:pPr>
      <w:del w:id="615" w:author="AbbVie02no" w:date="2025-05-15T12:36:00Z">
        <w:r w:rsidRPr="009C5EFD">
          <w:rPr>
            <w:sz w:val="22"/>
            <w:szCs w:val="22"/>
          </w:rPr>
          <w:delText xml:space="preserve">Alvorlige infeksjoner ble observert i kliniske studier med samtidig bruk av anakinra og en annen TNF-antagonist, etanercept, uten å gi </w:delText>
        </w:r>
        <w:r w:rsidR="00C40CB6">
          <w:rPr>
            <w:sz w:val="22"/>
            <w:szCs w:val="22"/>
          </w:rPr>
          <w:delText>tillegg av klinisk effekt</w:delText>
        </w:r>
        <w:r w:rsidRPr="009C5EFD">
          <w:rPr>
            <w:sz w:val="22"/>
            <w:szCs w:val="22"/>
          </w:rPr>
          <w:delText xml:space="preserve"> sammenlignet med etanercept alene. På grunn av egenskapene til de bivirkningene som er sett med kombinasjonsbehandling med etanercept og anakinra, kan kombinasjonen med anakinra og andre TNF-antagonister også resultere i </w:delText>
        </w:r>
        <w:r w:rsidR="00C40CB6">
          <w:rPr>
            <w:sz w:val="22"/>
            <w:szCs w:val="22"/>
          </w:rPr>
          <w:delText>lignende toksisitet</w:delText>
        </w:r>
        <w:r w:rsidRPr="009C5EFD">
          <w:rPr>
            <w:sz w:val="22"/>
            <w:szCs w:val="22"/>
          </w:rPr>
          <w:delText xml:space="preserve">. Kombinasjonen av adalimumab og anakinra anbefales derfor ikke (se pkt. 4.5). </w:delText>
        </w:r>
      </w:del>
    </w:p>
    <w:p w14:paraId="4D641238" w14:textId="774CCF96" w:rsidR="00821D8D" w:rsidRPr="009C5EFD" w:rsidRDefault="00821D8D" w:rsidP="007F67EE">
      <w:pPr>
        <w:pStyle w:val="EMEANormal"/>
        <w:rPr>
          <w:del w:id="616" w:author="AbbVie02no" w:date="2025-05-15T12:36:00Z"/>
          <w:szCs w:val="22"/>
          <w:lang w:val="nb-NO"/>
        </w:rPr>
      </w:pPr>
    </w:p>
    <w:p w14:paraId="131BC869" w14:textId="00C06005" w:rsidR="00821D8D" w:rsidRPr="009C5EFD" w:rsidRDefault="00E453CD" w:rsidP="007F67EE">
      <w:pPr>
        <w:rPr>
          <w:del w:id="617" w:author="AbbVie02no" w:date="2025-05-15T12:36:00Z"/>
          <w:sz w:val="22"/>
          <w:szCs w:val="22"/>
        </w:rPr>
      </w:pPr>
      <w:del w:id="618" w:author="AbbVie02no" w:date="2025-05-15T12:36:00Z">
        <w:r w:rsidRPr="009C5EFD">
          <w:rPr>
            <w:sz w:val="22"/>
            <w:szCs w:val="22"/>
          </w:rPr>
          <w:delText xml:space="preserve">Samtidig </w:delText>
        </w:r>
        <w:r w:rsidR="00462D2F">
          <w:rPr>
            <w:sz w:val="22"/>
            <w:szCs w:val="22"/>
          </w:rPr>
          <w:delText>bruk</w:delText>
        </w:r>
        <w:r w:rsidRPr="009C5EFD">
          <w:rPr>
            <w:sz w:val="22"/>
            <w:szCs w:val="22"/>
          </w:rPr>
          <w:delText xml:space="preserve"> av </w:delText>
        </w:r>
        <w:r w:rsidR="000515F3" w:rsidRPr="009C5EFD">
          <w:rPr>
            <w:sz w:val="22"/>
            <w:szCs w:val="22"/>
          </w:rPr>
          <w:delText>adalimumab med andre biologiske DMARD</w:delText>
        </w:r>
        <w:r w:rsidR="00ED7ED5">
          <w:rPr>
            <w:sz w:val="22"/>
            <w:szCs w:val="22"/>
          </w:rPr>
          <w:delText>s</w:delText>
        </w:r>
        <w:r w:rsidR="000515F3" w:rsidRPr="009C5EFD">
          <w:rPr>
            <w:sz w:val="22"/>
            <w:szCs w:val="22"/>
          </w:rPr>
          <w:delText xml:space="preserve"> (f.eks. anakinra og abatacept) eller andre </w:delText>
        </w:r>
        <w:r w:rsidRPr="009C5EFD">
          <w:rPr>
            <w:sz w:val="22"/>
            <w:szCs w:val="22"/>
          </w:rPr>
          <w:delText xml:space="preserve">TNF-antagonister </w:delText>
        </w:r>
        <w:r w:rsidR="00291CC9" w:rsidRPr="009C5EFD">
          <w:rPr>
            <w:sz w:val="22"/>
            <w:szCs w:val="22"/>
          </w:rPr>
          <w:delText>anbefales</w:delText>
        </w:r>
        <w:r w:rsidRPr="009C5EFD">
          <w:rPr>
            <w:sz w:val="22"/>
            <w:szCs w:val="22"/>
          </w:rPr>
          <w:delText xml:space="preserve"> ikke </w:delText>
        </w:r>
        <w:r w:rsidR="000515F3" w:rsidRPr="009C5EFD">
          <w:rPr>
            <w:sz w:val="22"/>
            <w:szCs w:val="22"/>
          </w:rPr>
          <w:delText xml:space="preserve">basert på mulig økt risiko for infeksjoner, inkludert alvorlige infeksjoner og andre potensielle farmakologiske interaksjoner </w:delText>
        </w:r>
        <w:r w:rsidRPr="009C5EFD">
          <w:rPr>
            <w:sz w:val="22"/>
            <w:szCs w:val="22"/>
          </w:rPr>
          <w:delText>(se pkt. 4.5).</w:delText>
        </w:r>
      </w:del>
    </w:p>
    <w:p w14:paraId="2BE4245C" w14:textId="6F305AC8" w:rsidR="00821D8D" w:rsidRPr="009C5EFD" w:rsidRDefault="00821D8D" w:rsidP="00193D76">
      <w:pPr>
        <w:rPr>
          <w:del w:id="619" w:author="AbbVie02no" w:date="2025-05-15T12:36:00Z"/>
          <w:sz w:val="22"/>
          <w:szCs w:val="22"/>
          <w:u w:val="single"/>
        </w:rPr>
      </w:pPr>
    </w:p>
    <w:p w14:paraId="6A53AA72" w14:textId="7FBABA5D" w:rsidR="00821D8D" w:rsidRPr="009C5EFD" w:rsidRDefault="00E453CD" w:rsidP="001F5D4B">
      <w:pPr>
        <w:keepNext/>
        <w:rPr>
          <w:del w:id="620" w:author="AbbVie02no" w:date="2025-05-15T12:36:00Z"/>
          <w:sz w:val="22"/>
          <w:szCs w:val="22"/>
          <w:u w:val="single"/>
        </w:rPr>
      </w:pPr>
      <w:del w:id="621" w:author="AbbVie02no" w:date="2025-05-15T12:36:00Z">
        <w:r w:rsidRPr="009C5EFD">
          <w:rPr>
            <w:sz w:val="22"/>
            <w:szCs w:val="22"/>
            <w:u w:val="single"/>
          </w:rPr>
          <w:delText>Kirurgi</w:delText>
        </w:r>
      </w:del>
    </w:p>
    <w:p w14:paraId="26BECD21" w14:textId="398C746D" w:rsidR="00821D8D" w:rsidRPr="009C5EFD" w:rsidRDefault="00821D8D" w:rsidP="001F5D4B">
      <w:pPr>
        <w:keepNext/>
        <w:rPr>
          <w:del w:id="622" w:author="AbbVie02no" w:date="2025-05-15T12:36:00Z"/>
          <w:sz w:val="22"/>
          <w:szCs w:val="22"/>
        </w:rPr>
      </w:pPr>
    </w:p>
    <w:p w14:paraId="00D02C2E" w14:textId="715793DD" w:rsidR="00821D8D" w:rsidRPr="009C5EFD" w:rsidRDefault="00E453CD" w:rsidP="00776A84">
      <w:pPr>
        <w:rPr>
          <w:del w:id="623" w:author="AbbVie02no" w:date="2025-05-15T12:36:00Z"/>
          <w:sz w:val="22"/>
          <w:szCs w:val="22"/>
        </w:rPr>
      </w:pPr>
      <w:del w:id="624" w:author="AbbVie02no" w:date="2025-05-15T12:36:00Z">
        <w:r w:rsidRPr="009C5EFD">
          <w:rPr>
            <w:sz w:val="22"/>
            <w:szCs w:val="22"/>
          </w:rPr>
          <w:delText xml:space="preserve">Det er begrenset erfaring med hensyn til sikkerhet ved kirurgiske inngrep hos pasienter behandlet med Humira. Den lange halveringstiden for adalimumab bør tas med i vurderingen når det planlegges kirurgiske inngrep. En pasient som må opereres </w:delText>
        </w:r>
        <w:r w:rsidRPr="009C5EFD">
          <w:rPr>
            <w:color w:val="000000"/>
            <w:sz w:val="22"/>
            <w:szCs w:val="22"/>
          </w:rPr>
          <w:delText xml:space="preserve">under behandling med </w:delText>
        </w:r>
        <w:r w:rsidRPr="009C5EFD">
          <w:rPr>
            <w:sz w:val="22"/>
            <w:szCs w:val="22"/>
          </w:rPr>
          <w:delText>Humira skal følges nøye opp med tanke på infeksjoner, og nødvendige tiltak må iverksettes. Det er begrenset erfaring med hensyn til sikkerhet hos pasienter som får artroplastikk mens de behandles med Humira.</w:delText>
        </w:r>
      </w:del>
    </w:p>
    <w:p w14:paraId="4D3B953C" w14:textId="47D078E6" w:rsidR="00821D8D" w:rsidRPr="009C5EFD" w:rsidRDefault="00821D8D" w:rsidP="007F67EE">
      <w:pPr>
        <w:rPr>
          <w:del w:id="625" w:author="AbbVie02no" w:date="2025-05-15T12:36:00Z"/>
          <w:sz w:val="22"/>
          <w:szCs w:val="22"/>
          <w:u w:val="single"/>
        </w:rPr>
      </w:pPr>
    </w:p>
    <w:p w14:paraId="01D9054E" w14:textId="562B0742" w:rsidR="00821D8D" w:rsidRPr="009C5EFD" w:rsidRDefault="00E453CD" w:rsidP="001F5D4B">
      <w:pPr>
        <w:keepNext/>
        <w:rPr>
          <w:del w:id="626" w:author="AbbVie02no" w:date="2025-05-15T12:36:00Z"/>
          <w:sz w:val="22"/>
          <w:szCs w:val="22"/>
        </w:rPr>
      </w:pPr>
      <w:del w:id="627" w:author="AbbVie02no" w:date="2025-05-15T12:36:00Z">
        <w:r w:rsidRPr="009C5EFD">
          <w:rPr>
            <w:sz w:val="22"/>
            <w:szCs w:val="22"/>
            <w:u w:val="single"/>
          </w:rPr>
          <w:delText>Tynntarmobstruksjon</w:delText>
        </w:r>
      </w:del>
    </w:p>
    <w:p w14:paraId="7DAD2C7E" w14:textId="4BC246DE" w:rsidR="00821D8D" w:rsidRPr="009C5EFD" w:rsidRDefault="00821D8D" w:rsidP="001F5D4B">
      <w:pPr>
        <w:keepNext/>
        <w:rPr>
          <w:del w:id="628" w:author="AbbVie02no" w:date="2025-05-15T12:36:00Z"/>
          <w:sz w:val="22"/>
          <w:szCs w:val="22"/>
        </w:rPr>
      </w:pPr>
    </w:p>
    <w:p w14:paraId="7790CF97" w14:textId="50A758B0" w:rsidR="00821D8D" w:rsidRPr="009C5EFD" w:rsidRDefault="00E453CD" w:rsidP="00776A84">
      <w:pPr>
        <w:pStyle w:val="BodyText2"/>
        <w:autoSpaceDE/>
        <w:autoSpaceDN/>
        <w:adjustRightInd/>
        <w:rPr>
          <w:del w:id="629" w:author="AbbVie02no" w:date="2025-05-15T12:36:00Z"/>
          <w:color w:val="auto"/>
          <w:szCs w:val="22"/>
        </w:rPr>
      </w:pPr>
      <w:del w:id="630" w:author="AbbVie02no" w:date="2025-05-15T12:36:00Z">
        <w:r w:rsidRPr="009C5EFD">
          <w:rPr>
            <w:color w:val="auto"/>
            <w:szCs w:val="22"/>
          </w:rPr>
          <w:delText xml:space="preserve">Manglende respons på behandling av Crohns sykdom kan indikere </w:delText>
        </w:r>
        <w:r w:rsidR="00123A95" w:rsidRPr="009C5EFD">
          <w:rPr>
            <w:color w:val="auto"/>
            <w:szCs w:val="22"/>
          </w:rPr>
          <w:delText>forekomst</w:delText>
        </w:r>
        <w:r w:rsidR="00217DB1" w:rsidRPr="009C5EFD">
          <w:rPr>
            <w:color w:val="auto"/>
            <w:szCs w:val="22"/>
          </w:rPr>
          <w:delText xml:space="preserve"> av </w:delText>
        </w:r>
        <w:r w:rsidRPr="009C5EFD">
          <w:rPr>
            <w:color w:val="auto"/>
            <w:szCs w:val="22"/>
          </w:rPr>
          <w:delText>fibrotisk striktur som kan kreve kirurgisk behandling. Tilgjengelig data antyder at Humira ikke forverrer eller forårsaker strikturer.</w:delText>
        </w:r>
      </w:del>
    </w:p>
    <w:p w14:paraId="0978C154" w14:textId="3F022ABC" w:rsidR="00821D8D" w:rsidRPr="009C5EFD" w:rsidRDefault="00821D8D" w:rsidP="007F67EE">
      <w:pPr>
        <w:rPr>
          <w:del w:id="631" w:author="AbbVie02no" w:date="2025-05-15T12:36:00Z"/>
          <w:sz w:val="22"/>
          <w:szCs w:val="22"/>
        </w:rPr>
      </w:pPr>
    </w:p>
    <w:p w14:paraId="789D7586" w14:textId="75EBAB65" w:rsidR="00821D8D" w:rsidRPr="009C5EFD" w:rsidRDefault="00E453CD" w:rsidP="001F5D4B">
      <w:pPr>
        <w:keepNext/>
        <w:rPr>
          <w:del w:id="632" w:author="AbbVie02no" w:date="2025-05-15T12:36:00Z"/>
          <w:sz w:val="22"/>
          <w:szCs w:val="22"/>
        </w:rPr>
      </w:pPr>
      <w:del w:id="633" w:author="AbbVie02no" w:date="2025-05-15T12:36:00Z">
        <w:r w:rsidRPr="009C5EFD">
          <w:rPr>
            <w:sz w:val="22"/>
            <w:szCs w:val="22"/>
            <w:u w:val="single"/>
          </w:rPr>
          <w:delText>Eldre</w:delText>
        </w:r>
      </w:del>
    </w:p>
    <w:p w14:paraId="4BB296DB" w14:textId="6D1B396D" w:rsidR="00821D8D" w:rsidRPr="009C5EFD" w:rsidRDefault="00821D8D" w:rsidP="001F5D4B">
      <w:pPr>
        <w:keepNext/>
        <w:rPr>
          <w:del w:id="634" w:author="AbbVie02no" w:date="2025-05-15T12:36:00Z"/>
          <w:sz w:val="22"/>
          <w:szCs w:val="22"/>
        </w:rPr>
      </w:pPr>
    </w:p>
    <w:p w14:paraId="1D522F18" w14:textId="1216D37F" w:rsidR="00714DF0" w:rsidRPr="009C5EFD" w:rsidRDefault="00E453CD" w:rsidP="00776A84">
      <w:pPr>
        <w:rPr>
          <w:del w:id="635" w:author="AbbVie02no" w:date="2025-05-15T12:36:00Z"/>
          <w:sz w:val="22"/>
          <w:szCs w:val="22"/>
        </w:rPr>
      </w:pPr>
      <w:del w:id="636" w:author="AbbVie02no" w:date="2025-05-15T12:36:00Z">
        <w:r w:rsidRPr="009C5EFD">
          <w:rPr>
            <w:sz w:val="22"/>
            <w:szCs w:val="22"/>
          </w:rPr>
          <w:delText>Forekomsten av alvorlige infeksjoner hos pasienter over 65 år (3,</w:delText>
        </w:r>
        <w:r w:rsidR="00256192">
          <w:rPr>
            <w:sz w:val="22"/>
            <w:szCs w:val="22"/>
          </w:rPr>
          <w:delText>7</w:delText>
        </w:r>
        <w:r w:rsidR="00256192" w:rsidRPr="009C5EFD">
          <w:rPr>
            <w:sz w:val="22"/>
            <w:szCs w:val="22"/>
          </w:rPr>
          <w:delText xml:space="preserve"> </w:delText>
        </w:r>
        <w:r w:rsidRPr="009C5EFD">
          <w:rPr>
            <w:sz w:val="22"/>
            <w:szCs w:val="22"/>
          </w:rPr>
          <w:delText xml:space="preserve">%) som ble behandlet med Humira var </w:delText>
        </w:r>
        <w:r w:rsidR="00821661" w:rsidRPr="009C5EFD">
          <w:rPr>
            <w:sz w:val="22"/>
            <w:szCs w:val="22"/>
          </w:rPr>
          <w:delText>høyere</w:delText>
        </w:r>
        <w:r w:rsidRPr="009C5EFD">
          <w:rPr>
            <w:sz w:val="22"/>
            <w:szCs w:val="22"/>
          </w:rPr>
          <w:delText xml:space="preserve"> enn hos pasienter under 65 år (1,</w:delText>
        </w:r>
        <w:r w:rsidR="00256192">
          <w:rPr>
            <w:sz w:val="22"/>
            <w:szCs w:val="22"/>
          </w:rPr>
          <w:delText>5</w:delText>
        </w:r>
        <w:r w:rsidR="00256192" w:rsidRPr="009C5EFD">
          <w:rPr>
            <w:sz w:val="22"/>
            <w:szCs w:val="22"/>
          </w:rPr>
          <w:delText xml:space="preserve"> </w:delText>
        </w:r>
        <w:r w:rsidRPr="009C5EFD">
          <w:rPr>
            <w:sz w:val="22"/>
            <w:szCs w:val="22"/>
          </w:rPr>
          <w:delText>%). Noen av disse hadde dødelig utgang. Man skal være særlig oppmerksom på risiko for infeksjoner når eldre pasienter behandles.</w:delText>
        </w:r>
      </w:del>
    </w:p>
    <w:p w14:paraId="74E575E5" w14:textId="10BC67F0" w:rsidR="00B07B6B" w:rsidRPr="009C5EFD" w:rsidRDefault="00B07B6B" w:rsidP="007F67EE">
      <w:pPr>
        <w:rPr>
          <w:del w:id="637" w:author="AbbVie02no" w:date="2025-05-15T12:36:00Z"/>
          <w:sz w:val="22"/>
          <w:szCs w:val="22"/>
        </w:rPr>
      </w:pPr>
    </w:p>
    <w:p w14:paraId="21E8CBA7" w14:textId="48364161" w:rsidR="00B07B6B" w:rsidRPr="009C5EFD" w:rsidRDefault="00E453CD" w:rsidP="00776A84">
      <w:pPr>
        <w:keepNext/>
        <w:rPr>
          <w:del w:id="638" w:author="AbbVie02no" w:date="2025-05-15T12:36:00Z"/>
          <w:sz w:val="22"/>
          <w:szCs w:val="22"/>
          <w:u w:val="single"/>
        </w:rPr>
      </w:pPr>
      <w:del w:id="639" w:author="AbbVie02no" w:date="2025-05-15T12:36:00Z">
        <w:r w:rsidRPr="009C5EFD">
          <w:rPr>
            <w:sz w:val="22"/>
            <w:szCs w:val="22"/>
            <w:u w:val="single"/>
          </w:rPr>
          <w:delText>Pediatrisk populasjon</w:delText>
        </w:r>
      </w:del>
    </w:p>
    <w:p w14:paraId="7AD98A13" w14:textId="64770F10" w:rsidR="00B07B6B" w:rsidRPr="009C5EFD" w:rsidRDefault="00B07B6B" w:rsidP="00776A84">
      <w:pPr>
        <w:keepNext/>
        <w:rPr>
          <w:del w:id="640" w:author="AbbVie02no" w:date="2025-05-15T12:36:00Z"/>
          <w:sz w:val="22"/>
          <w:szCs w:val="22"/>
          <w:u w:val="single"/>
        </w:rPr>
      </w:pPr>
    </w:p>
    <w:p w14:paraId="0692F4E4" w14:textId="58AA848B" w:rsidR="00B07B6B" w:rsidRDefault="00E453CD" w:rsidP="002D0790">
      <w:pPr>
        <w:rPr>
          <w:del w:id="641" w:author="AbbVie02no" w:date="2025-05-15T12:36:00Z"/>
          <w:sz w:val="22"/>
          <w:szCs w:val="22"/>
        </w:rPr>
      </w:pPr>
      <w:del w:id="642" w:author="AbbVie02no" w:date="2025-05-15T12:36:00Z">
        <w:r w:rsidRPr="009C5EFD">
          <w:rPr>
            <w:sz w:val="22"/>
            <w:szCs w:val="22"/>
          </w:rPr>
          <w:delText>Se Vaksinasjoner over</w:delText>
        </w:r>
        <w:r w:rsidR="0098577E" w:rsidRPr="009C5EFD">
          <w:rPr>
            <w:sz w:val="22"/>
            <w:szCs w:val="22"/>
          </w:rPr>
          <w:delText>.</w:delText>
        </w:r>
      </w:del>
    </w:p>
    <w:p w14:paraId="4EC97737" w14:textId="20ABACD4" w:rsidR="00844FD5" w:rsidRDefault="00844FD5" w:rsidP="002D0790">
      <w:pPr>
        <w:rPr>
          <w:del w:id="643" w:author="AbbVie02no" w:date="2025-05-15T12:36:00Z"/>
          <w:sz w:val="22"/>
          <w:szCs w:val="22"/>
        </w:rPr>
      </w:pPr>
    </w:p>
    <w:p w14:paraId="21EF4F26" w14:textId="32F873BE" w:rsidR="00844FD5" w:rsidRDefault="00E453CD" w:rsidP="00776A84">
      <w:pPr>
        <w:keepNext/>
        <w:rPr>
          <w:del w:id="644" w:author="AbbVie02no" w:date="2025-05-15T12:36:00Z"/>
          <w:sz w:val="22"/>
          <w:szCs w:val="22"/>
          <w:u w:val="single"/>
        </w:rPr>
      </w:pPr>
      <w:del w:id="645" w:author="AbbVie02no" w:date="2025-05-15T12:36:00Z">
        <w:r>
          <w:rPr>
            <w:sz w:val="22"/>
            <w:szCs w:val="22"/>
            <w:u w:val="single"/>
          </w:rPr>
          <w:lastRenderedPageBreak/>
          <w:delText>Hjelpestoffer</w:delText>
        </w:r>
        <w:r w:rsidR="004946A9">
          <w:rPr>
            <w:sz w:val="22"/>
            <w:szCs w:val="22"/>
            <w:u w:val="single"/>
          </w:rPr>
          <w:delText xml:space="preserve"> med kjent effekt</w:delText>
        </w:r>
      </w:del>
    </w:p>
    <w:p w14:paraId="74BC3A4C" w14:textId="007D1871" w:rsidR="00844FD5" w:rsidRDefault="00844FD5" w:rsidP="00776A84">
      <w:pPr>
        <w:keepNext/>
        <w:rPr>
          <w:del w:id="646" w:author="AbbVie02no" w:date="2025-05-15T12:36:00Z"/>
          <w:sz w:val="22"/>
          <w:szCs w:val="22"/>
          <w:u w:val="single"/>
        </w:rPr>
      </w:pPr>
    </w:p>
    <w:p w14:paraId="7415591C" w14:textId="793AA451" w:rsidR="00844FD5" w:rsidRPr="00844FD5" w:rsidRDefault="00E453CD" w:rsidP="00AB7697">
      <w:pPr>
        <w:pStyle w:val="EndnoteText"/>
        <w:widowControl/>
        <w:tabs>
          <w:tab w:val="clear" w:pos="567"/>
        </w:tabs>
        <w:suppressAutoHyphens/>
        <w:rPr>
          <w:del w:id="647" w:author="AbbVie02no" w:date="2025-05-15T12:36:00Z"/>
          <w:szCs w:val="22"/>
        </w:rPr>
      </w:pPr>
      <w:del w:id="648" w:author="AbbVie02no" w:date="2025-05-15T12:36:00Z">
        <w:r w:rsidRPr="009C5EFD">
          <w:rPr>
            <w:szCs w:val="22"/>
            <w:lang w:val="nb-NO"/>
          </w:rPr>
          <w:delText>Dette legemidlet inneholder mindre enn 1 mmol natrium (23 mg) per 0,8 ml dose, dvs</w:delText>
        </w:r>
        <w:r>
          <w:rPr>
            <w:szCs w:val="22"/>
            <w:lang w:val="nb-NO"/>
          </w:rPr>
          <w:delText>.</w:delText>
        </w:r>
        <w:r w:rsidRPr="009C5EFD">
          <w:rPr>
            <w:szCs w:val="22"/>
            <w:lang w:val="nb-NO"/>
          </w:rPr>
          <w:delText xml:space="preserve"> så godt som </w:delText>
        </w:r>
        <w:r w:rsidR="00D57009">
          <w:rPr>
            <w:szCs w:val="22"/>
            <w:lang w:val="nb-NO"/>
          </w:rPr>
          <w:delText>«</w:delText>
        </w:r>
        <w:r w:rsidRPr="009C5EFD">
          <w:rPr>
            <w:szCs w:val="22"/>
            <w:lang w:val="nb-NO"/>
          </w:rPr>
          <w:delText>natriumfritt</w:delText>
        </w:r>
        <w:r w:rsidR="00D57009">
          <w:rPr>
            <w:szCs w:val="22"/>
            <w:lang w:val="nb-NO"/>
          </w:rPr>
          <w:delText>»</w:delText>
        </w:r>
        <w:r>
          <w:rPr>
            <w:szCs w:val="22"/>
            <w:lang w:val="nb-NO"/>
          </w:rPr>
          <w:delText>.</w:delText>
        </w:r>
      </w:del>
    </w:p>
    <w:p w14:paraId="72088FC3" w14:textId="59BEC21E" w:rsidR="00E818A0" w:rsidRPr="009C5EFD" w:rsidRDefault="00E818A0" w:rsidP="002D0790">
      <w:pPr>
        <w:rPr>
          <w:del w:id="649" w:author="AbbVie02no" w:date="2025-05-15T12:36:00Z"/>
          <w:sz w:val="22"/>
          <w:szCs w:val="22"/>
        </w:rPr>
      </w:pPr>
    </w:p>
    <w:p w14:paraId="4D803123" w14:textId="0EC85FDA" w:rsidR="00DE3458" w:rsidRPr="009C5EFD" w:rsidRDefault="00E453CD" w:rsidP="00776A84">
      <w:pPr>
        <w:keepNext/>
        <w:suppressAutoHyphens/>
        <w:ind w:left="576" w:hanging="576"/>
        <w:rPr>
          <w:del w:id="650" w:author="AbbVie02no" w:date="2025-05-15T12:36:00Z"/>
          <w:sz w:val="22"/>
          <w:szCs w:val="22"/>
        </w:rPr>
      </w:pPr>
      <w:del w:id="651" w:author="AbbVie02no" w:date="2025-05-15T12:36:00Z">
        <w:r w:rsidRPr="009C5EFD">
          <w:rPr>
            <w:b/>
            <w:sz w:val="22"/>
            <w:szCs w:val="22"/>
          </w:rPr>
          <w:delText>4.5</w:delText>
        </w:r>
        <w:r w:rsidRPr="009C5EFD">
          <w:rPr>
            <w:b/>
            <w:sz w:val="22"/>
            <w:szCs w:val="22"/>
          </w:rPr>
          <w:tab/>
          <w:delText>Interaksjon med andre legemidler og andre former for interaksjon</w:delText>
        </w:r>
      </w:del>
    </w:p>
    <w:p w14:paraId="49E9EAF3" w14:textId="3811E006" w:rsidR="00DE3458" w:rsidRPr="009C5EFD" w:rsidRDefault="00DE3458" w:rsidP="00776A84">
      <w:pPr>
        <w:keepNext/>
        <w:rPr>
          <w:del w:id="652" w:author="AbbVie02no" w:date="2025-05-15T12:36:00Z"/>
          <w:sz w:val="22"/>
          <w:szCs w:val="22"/>
        </w:rPr>
      </w:pPr>
    </w:p>
    <w:p w14:paraId="2DE740F3" w14:textId="32673E01" w:rsidR="00DE3458" w:rsidRPr="009C5EFD" w:rsidRDefault="00E453CD" w:rsidP="009C5EFD">
      <w:pPr>
        <w:rPr>
          <w:del w:id="653" w:author="AbbVie02no" w:date="2025-05-15T12:36:00Z"/>
          <w:sz w:val="22"/>
          <w:szCs w:val="22"/>
        </w:rPr>
      </w:pPr>
      <w:del w:id="654" w:author="AbbVie02no" w:date="2025-05-15T12:36:00Z">
        <w:r w:rsidRPr="009C5EFD">
          <w:rPr>
            <w:sz w:val="22"/>
            <w:szCs w:val="22"/>
          </w:rPr>
          <w:delText xml:space="preserve">Humira har vært undersøkt hos pasienter med revmatoid artritt, polyartikulær juvenil idiopatisk artritt og </w:delText>
        </w:r>
        <w:r w:rsidR="00FA0A10" w:rsidRPr="009C5EFD">
          <w:rPr>
            <w:sz w:val="22"/>
            <w:szCs w:val="22"/>
          </w:rPr>
          <w:delText>psoriasisartritt</w:delText>
        </w:r>
        <w:r w:rsidRPr="009C5EFD">
          <w:rPr>
            <w:sz w:val="22"/>
            <w:szCs w:val="22"/>
          </w:rPr>
          <w:delText xml:space="preserve"> som får Humira som monoterapi og hos de som samtidig får metotreksat. Antistoffdannelsen var lavere når Humira ble gitt sammen med metotreksat sammenlignet med bruk som monoterapi. Administrasjon av Humira uten metotreksat ga økt dannelse av antistoffer, økt clearance og redusert effekt av adalimumab (se pkt. 5.1).</w:delText>
        </w:r>
      </w:del>
    </w:p>
    <w:p w14:paraId="1BB3677F" w14:textId="3DC2714C" w:rsidR="00DE3458" w:rsidRPr="009C5EFD" w:rsidRDefault="00DE3458" w:rsidP="009C5EFD">
      <w:pPr>
        <w:pStyle w:val="EndnoteText"/>
        <w:widowControl/>
        <w:tabs>
          <w:tab w:val="clear" w:pos="567"/>
        </w:tabs>
        <w:autoSpaceDE w:val="0"/>
        <w:autoSpaceDN w:val="0"/>
        <w:adjustRightInd w:val="0"/>
        <w:rPr>
          <w:del w:id="655" w:author="AbbVie02no" w:date="2025-05-15T12:36:00Z"/>
          <w:szCs w:val="22"/>
          <w:lang w:val="nb-NO"/>
        </w:rPr>
      </w:pPr>
    </w:p>
    <w:p w14:paraId="4C9635F9" w14:textId="38EA7742" w:rsidR="00DE3458" w:rsidRPr="009C5EFD" w:rsidRDefault="00E453CD" w:rsidP="009C5EFD">
      <w:pPr>
        <w:autoSpaceDE w:val="0"/>
        <w:autoSpaceDN w:val="0"/>
        <w:adjustRightInd w:val="0"/>
        <w:rPr>
          <w:del w:id="656" w:author="AbbVie02no" w:date="2025-05-15T12:36:00Z"/>
          <w:sz w:val="22"/>
          <w:szCs w:val="22"/>
        </w:rPr>
      </w:pPr>
      <w:del w:id="657" w:author="AbbVie02no" w:date="2025-05-15T12:36:00Z">
        <w:r w:rsidRPr="009C5EFD">
          <w:rPr>
            <w:sz w:val="22"/>
            <w:szCs w:val="22"/>
          </w:rPr>
          <w:delText>Kombinasjonen av Humira og anakinra er ikke anbefalt (se pkt.</w:delText>
        </w:r>
        <w:r w:rsidR="005F674D" w:rsidRPr="009C5EFD">
          <w:rPr>
            <w:sz w:val="22"/>
            <w:szCs w:val="22"/>
          </w:rPr>
          <w:delText xml:space="preserve"> 4.4</w:delText>
        </w:r>
        <w:r w:rsidRPr="009C5EFD">
          <w:rPr>
            <w:sz w:val="22"/>
            <w:szCs w:val="22"/>
          </w:rPr>
          <w:delText xml:space="preserve"> </w:delText>
        </w:r>
        <w:r w:rsidR="00D57009">
          <w:rPr>
            <w:sz w:val="22"/>
            <w:szCs w:val="22"/>
          </w:rPr>
          <w:delText>«</w:delText>
        </w:r>
        <w:r w:rsidRPr="009C5EFD">
          <w:rPr>
            <w:sz w:val="22"/>
            <w:szCs w:val="22"/>
          </w:rPr>
          <w:delText xml:space="preserve">Samtidig </w:delText>
        </w:r>
        <w:r w:rsidR="00462D2F">
          <w:rPr>
            <w:sz w:val="22"/>
            <w:szCs w:val="22"/>
          </w:rPr>
          <w:delText>bruk</w:delText>
        </w:r>
        <w:r w:rsidRPr="009C5EFD">
          <w:rPr>
            <w:sz w:val="22"/>
            <w:szCs w:val="22"/>
          </w:rPr>
          <w:delText xml:space="preserve"> av </w:delText>
        </w:r>
        <w:r w:rsidR="00B07B6B" w:rsidRPr="009C5EFD">
          <w:rPr>
            <w:sz w:val="22"/>
            <w:szCs w:val="22"/>
          </w:rPr>
          <w:delText>biologisk</w:delText>
        </w:r>
        <w:r w:rsidR="00C40CB6">
          <w:rPr>
            <w:sz w:val="22"/>
            <w:szCs w:val="22"/>
          </w:rPr>
          <w:delText>e</w:delText>
        </w:r>
        <w:r w:rsidR="00B07B6B" w:rsidRPr="009C5EFD">
          <w:rPr>
            <w:sz w:val="22"/>
            <w:szCs w:val="22"/>
          </w:rPr>
          <w:delText xml:space="preserve"> DMARD</w:delText>
        </w:r>
        <w:r w:rsidR="00ED7ED5">
          <w:rPr>
            <w:sz w:val="22"/>
            <w:szCs w:val="22"/>
          </w:rPr>
          <w:delText>s</w:delText>
        </w:r>
        <w:r w:rsidR="00B07B6B" w:rsidRPr="009C5EFD">
          <w:rPr>
            <w:sz w:val="22"/>
            <w:szCs w:val="22"/>
          </w:rPr>
          <w:delText xml:space="preserve"> eller </w:delText>
        </w:r>
        <w:r w:rsidRPr="009C5EFD">
          <w:rPr>
            <w:sz w:val="22"/>
            <w:szCs w:val="22"/>
          </w:rPr>
          <w:delText>TNF-antagonister</w:delText>
        </w:r>
        <w:r w:rsidR="00D57009">
          <w:rPr>
            <w:sz w:val="22"/>
            <w:szCs w:val="22"/>
          </w:rPr>
          <w:delText>»</w:delText>
        </w:r>
        <w:r w:rsidRPr="009C5EFD">
          <w:rPr>
            <w:sz w:val="22"/>
            <w:szCs w:val="22"/>
          </w:rPr>
          <w:delText>).</w:delText>
        </w:r>
      </w:del>
    </w:p>
    <w:p w14:paraId="39A16C32" w14:textId="15EDF333" w:rsidR="00AE1F9F" w:rsidRPr="009C5EFD" w:rsidRDefault="00AE1F9F" w:rsidP="009C5EFD">
      <w:pPr>
        <w:autoSpaceDE w:val="0"/>
        <w:autoSpaceDN w:val="0"/>
        <w:adjustRightInd w:val="0"/>
        <w:rPr>
          <w:del w:id="658" w:author="AbbVie02no" w:date="2025-05-15T12:36:00Z"/>
          <w:sz w:val="22"/>
          <w:szCs w:val="22"/>
        </w:rPr>
      </w:pPr>
    </w:p>
    <w:p w14:paraId="00C092BC" w14:textId="03EFE7FA" w:rsidR="00DE3458" w:rsidRPr="009C5EFD" w:rsidRDefault="00E453CD" w:rsidP="009C5EFD">
      <w:pPr>
        <w:autoSpaceDE w:val="0"/>
        <w:autoSpaceDN w:val="0"/>
        <w:adjustRightInd w:val="0"/>
        <w:rPr>
          <w:del w:id="659" w:author="AbbVie02no" w:date="2025-05-15T12:36:00Z"/>
          <w:sz w:val="22"/>
          <w:szCs w:val="22"/>
        </w:rPr>
      </w:pPr>
      <w:del w:id="660" w:author="AbbVie02no" w:date="2025-05-15T12:36:00Z">
        <w:r w:rsidRPr="009C5EFD">
          <w:rPr>
            <w:sz w:val="22"/>
            <w:szCs w:val="22"/>
          </w:rPr>
          <w:delText>Kombinasjonen av Humira og abatacept er ikke anbefalt (se pkt.</w:delText>
        </w:r>
        <w:r w:rsidR="005F674D" w:rsidRPr="009C5EFD">
          <w:rPr>
            <w:sz w:val="22"/>
            <w:szCs w:val="22"/>
          </w:rPr>
          <w:delText xml:space="preserve"> 4.4</w:delText>
        </w:r>
        <w:r w:rsidRPr="009C5EFD">
          <w:rPr>
            <w:sz w:val="22"/>
            <w:szCs w:val="22"/>
          </w:rPr>
          <w:delText xml:space="preserve"> </w:delText>
        </w:r>
        <w:r w:rsidR="00D57009">
          <w:rPr>
            <w:sz w:val="22"/>
            <w:szCs w:val="22"/>
          </w:rPr>
          <w:delText>«</w:delText>
        </w:r>
        <w:r w:rsidRPr="009C5EFD">
          <w:rPr>
            <w:sz w:val="22"/>
            <w:szCs w:val="22"/>
          </w:rPr>
          <w:delText xml:space="preserve">Samtidig </w:delText>
        </w:r>
        <w:r w:rsidR="00462D2F">
          <w:rPr>
            <w:sz w:val="22"/>
            <w:szCs w:val="22"/>
          </w:rPr>
          <w:delText>bruk</w:delText>
        </w:r>
        <w:r w:rsidRPr="009C5EFD">
          <w:rPr>
            <w:sz w:val="22"/>
            <w:szCs w:val="22"/>
          </w:rPr>
          <w:delText xml:space="preserve"> av</w:delText>
        </w:r>
        <w:r w:rsidR="00B07B6B" w:rsidRPr="009C5EFD">
          <w:rPr>
            <w:sz w:val="22"/>
            <w:szCs w:val="22"/>
          </w:rPr>
          <w:delText xml:space="preserve"> biologisk</w:delText>
        </w:r>
        <w:r w:rsidR="00C40CB6">
          <w:rPr>
            <w:sz w:val="22"/>
            <w:szCs w:val="22"/>
          </w:rPr>
          <w:delText>e</w:delText>
        </w:r>
        <w:r w:rsidR="00B07B6B" w:rsidRPr="009C5EFD">
          <w:rPr>
            <w:sz w:val="22"/>
            <w:szCs w:val="22"/>
          </w:rPr>
          <w:delText xml:space="preserve"> DMARD</w:delText>
        </w:r>
        <w:r w:rsidR="00ED7ED5">
          <w:rPr>
            <w:sz w:val="22"/>
            <w:szCs w:val="22"/>
          </w:rPr>
          <w:delText>s</w:delText>
        </w:r>
        <w:r w:rsidR="00B07B6B" w:rsidRPr="009C5EFD">
          <w:rPr>
            <w:sz w:val="22"/>
            <w:szCs w:val="22"/>
          </w:rPr>
          <w:delText xml:space="preserve"> eller</w:delText>
        </w:r>
        <w:r w:rsidRPr="009C5EFD">
          <w:rPr>
            <w:sz w:val="22"/>
            <w:szCs w:val="22"/>
          </w:rPr>
          <w:delText xml:space="preserve"> TNF-antagonister</w:delText>
        </w:r>
        <w:r w:rsidR="00D57009">
          <w:rPr>
            <w:sz w:val="22"/>
            <w:szCs w:val="22"/>
          </w:rPr>
          <w:delText>»</w:delText>
        </w:r>
        <w:r w:rsidRPr="009C5EFD">
          <w:rPr>
            <w:sz w:val="22"/>
            <w:szCs w:val="22"/>
          </w:rPr>
          <w:delText>).</w:delText>
        </w:r>
      </w:del>
    </w:p>
    <w:p w14:paraId="76C9DE3B" w14:textId="25A32196" w:rsidR="00DE3458" w:rsidRPr="009C5EFD" w:rsidRDefault="00DE3458" w:rsidP="009C5EFD">
      <w:pPr>
        <w:rPr>
          <w:del w:id="661" w:author="AbbVie02no" w:date="2025-05-15T12:36:00Z"/>
          <w:sz w:val="22"/>
          <w:szCs w:val="22"/>
        </w:rPr>
      </w:pPr>
    </w:p>
    <w:p w14:paraId="395F7685" w14:textId="26971E22" w:rsidR="00DE3458" w:rsidRPr="009C5EFD" w:rsidRDefault="00E453CD" w:rsidP="00776A84">
      <w:pPr>
        <w:keepNext/>
        <w:suppressAutoHyphens/>
        <w:ind w:left="576" w:hanging="576"/>
        <w:rPr>
          <w:del w:id="662" w:author="AbbVie02no" w:date="2025-05-15T12:36:00Z"/>
          <w:sz w:val="22"/>
          <w:szCs w:val="22"/>
        </w:rPr>
      </w:pPr>
      <w:del w:id="663" w:author="AbbVie02no" w:date="2025-05-15T12:36:00Z">
        <w:r w:rsidRPr="009C5EFD">
          <w:rPr>
            <w:b/>
            <w:sz w:val="22"/>
            <w:szCs w:val="22"/>
          </w:rPr>
          <w:delText>4.6</w:delText>
        </w:r>
        <w:r w:rsidRPr="009C5EFD">
          <w:rPr>
            <w:b/>
            <w:sz w:val="22"/>
            <w:szCs w:val="22"/>
          </w:rPr>
          <w:tab/>
        </w:r>
        <w:r w:rsidR="00B07B6B" w:rsidRPr="009C5EFD">
          <w:rPr>
            <w:b/>
            <w:sz w:val="22"/>
            <w:szCs w:val="22"/>
          </w:rPr>
          <w:delText>Fertilitet, g</w:delText>
        </w:r>
        <w:r w:rsidRPr="009C5EFD">
          <w:rPr>
            <w:b/>
            <w:sz w:val="22"/>
            <w:szCs w:val="22"/>
          </w:rPr>
          <w:delText>raviditet og amming</w:delText>
        </w:r>
      </w:del>
    </w:p>
    <w:p w14:paraId="1E529FB7" w14:textId="0E6BC2EA" w:rsidR="00DE3458" w:rsidRPr="009C5EFD" w:rsidRDefault="00DE3458" w:rsidP="00776A84">
      <w:pPr>
        <w:keepNext/>
        <w:rPr>
          <w:del w:id="664" w:author="AbbVie02no" w:date="2025-05-15T12:36:00Z"/>
          <w:sz w:val="22"/>
          <w:szCs w:val="22"/>
        </w:rPr>
      </w:pPr>
    </w:p>
    <w:p w14:paraId="62C5E953" w14:textId="328EFF66" w:rsidR="00F47F25" w:rsidRPr="009C5EFD" w:rsidRDefault="00E453CD" w:rsidP="00776A84">
      <w:pPr>
        <w:keepNext/>
        <w:rPr>
          <w:del w:id="665" w:author="AbbVie02no" w:date="2025-05-15T12:36:00Z"/>
          <w:sz w:val="22"/>
          <w:szCs w:val="22"/>
          <w:u w:val="single"/>
        </w:rPr>
      </w:pPr>
      <w:del w:id="666" w:author="AbbVie02no" w:date="2025-05-15T12:36:00Z">
        <w:r w:rsidRPr="009C5EFD">
          <w:rPr>
            <w:sz w:val="22"/>
            <w:szCs w:val="22"/>
            <w:u w:val="single"/>
          </w:rPr>
          <w:delText>Kvinner i fertil alder</w:delText>
        </w:r>
      </w:del>
    </w:p>
    <w:p w14:paraId="5D94F7AE" w14:textId="32E8C2F9" w:rsidR="00F47F25" w:rsidRPr="009C5EFD" w:rsidRDefault="00F47F25" w:rsidP="00776A84">
      <w:pPr>
        <w:keepNext/>
        <w:rPr>
          <w:del w:id="667" w:author="AbbVie02no" w:date="2025-05-15T12:36:00Z"/>
          <w:sz w:val="22"/>
          <w:szCs w:val="22"/>
        </w:rPr>
      </w:pPr>
    </w:p>
    <w:p w14:paraId="36EEC8F2" w14:textId="0F440488" w:rsidR="00C106BD" w:rsidRPr="001F5D4B" w:rsidRDefault="00E453CD" w:rsidP="009C5EFD">
      <w:pPr>
        <w:rPr>
          <w:del w:id="668" w:author="AbbVie02no" w:date="2025-05-15T12:36:00Z"/>
          <w:sz w:val="22"/>
          <w:szCs w:val="22"/>
          <w:u w:val="single"/>
        </w:rPr>
      </w:pPr>
      <w:del w:id="669" w:author="AbbVie02no" w:date="2025-05-15T12:36:00Z">
        <w:r w:rsidRPr="009C5EFD">
          <w:rPr>
            <w:sz w:val="22"/>
            <w:szCs w:val="22"/>
          </w:rPr>
          <w:delText xml:space="preserve">Kvinner i fertil alder </w:delText>
        </w:r>
        <w:r w:rsidR="00552339">
          <w:rPr>
            <w:sz w:val="22"/>
            <w:szCs w:val="22"/>
          </w:rPr>
          <w:delText>bør vurdere</w:delText>
        </w:r>
        <w:r w:rsidR="00552339" w:rsidRPr="009C5EFD">
          <w:rPr>
            <w:sz w:val="22"/>
            <w:szCs w:val="22"/>
          </w:rPr>
          <w:delText xml:space="preserve"> </w:delText>
        </w:r>
        <w:r w:rsidRPr="009C5EFD">
          <w:rPr>
            <w:sz w:val="22"/>
            <w:szCs w:val="22"/>
          </w:rPr>
          <w:delText>å benytte sikker prevensjon for å forhindre graviditet og fortsette å bruke det i minst fem måneder etter siste Humira-behandling.</w:delText>
        </w:r>
      </w:del>
    </w:p>
    <w:p w14:paraId="019FB3A0" w14:textId="3F6E8F7A" w:rsidR="00C106BD" w:rsidRPr="007F67EE" w:rsidRDefault="00C106BD" w:rsidP="009C5EFD">
      <w:pPr>
        <w:rPr>
          <w:del w:id="670" w:author="AbbVie02no" w:date="2025-05-15T12:36:00Z"/>
          <w:sz w:val="22"/>
          <w:szCs w:val="22"/>
        </w:rPr>
      </w:pPr>
    </w:p>
    <w:p w14:paraId="66BAAE14" w14:textId="317F46B3" w:rsidR="009F4EE9" w:rsidRPr="00193D76" w:rsidRDefault="00E453CD" w:rsidP="00776A84">
      <w:pPr>
        <w:keepNext/>
        <w:rPr>
          <w:del w:id="671" w:author="AbbVie02no" w:date="2025-05-15T12:36:00Z"/>
          <w:sz w:val="22"/>
          <w:u w:val="single"/>
        </w:rPr>
      </w:pPr>
      <w:del w:id="672" w:author="AbbVie02no" w:date="2025-05-15T12:36:00Z">
        <w:r w:rsidRPr="00193D76">
          <w:rPr>
            <w:sz w:val="22"/>
            <w:u w:val="single"/>
          </w:rPr>
          <w:delText>Graviditet</w:delText>
        </w:r>
      </w:del>
    </w:p>
    <w:p w14:paraId="22B534DF" w14:textId="7AC809DB" w:rsidR="009F4EE9" w:rsidRPr="002D0790" w:rsidRDefault="009F4EE9" w:rsidP="00776A84">
      <w:pPr>
        <w:keepNext/>
        <w:rPr>
          <w:del w:id="673" w:author="AbbVie02no" w:date="2025-05-15T12:36:00Z"/>
          <w:sz w:val="22"/>
        </w:rPr>
      </w:pPr>
    </w:p>
    <w:p w14:paraId="1CBA1AC4" w14:textId="3164F3C8" w:rsidR="00552339" w:rsidRPr="009C5EFD" w:rsidRDefault="00E453CD" w:rsidP="00552339">
      <w:pPr>
        <w:rPr>
          <w:del w:id="674" w:author="AbbVie02no" w:date="2025-05-15T12:36:00Z"/>
          <w:sz w:val="22"/>
          <w:szCs w:val="22"/>
        </w:rPr>
      </w:pPr>
      <w:del w:id="675" w:author="AbbVie02no" w:date="2025-05-15T12:36:00Z">
        <w:r>
          <w:rPr>
            <w:sz w:val="22"/>
            <w:szCs w:val="22"/>
          </w:rPr>
          <w:delText>Et stort antall (omtrent 2100) av prospektivt innsamlede graviditeter eksponert for adalimumab som resulterte i levende fødsel med kjent utfall, inkludert mer enn 1500 eksponert i første trimester, indikerer ikke en økning i forekomsten av misdannelser hos nyfødte.</w:delText>
        </w:r>
      </w:del>
    </w:p>
    <w:p w14:paraId="2AA19D2F" w14:textId="08E90113" w:rsidR="00552339" w:rsidRDefault="00552339" w:rsidP="00552339">
      <w:pPr>
        <w:rPr>
          <w:del w:id="676" w:author="AbbVie02no" w:date="2025-05-15T12:36:00Z"/>
          <w:sz w:val="22"/>
          <w:szCs w:val="22"/>
        </w:rPr>
      </w:pPr>
    </w:p>
    <w:p w14:paraId="1517CE99" w14:textId="74B0039D" w:rsidR="00552339" w:rsidRDefault="00E453CD" w:rsidP="00552339">
      <w:pPr>
        <w:rPr>
          <w:del w:id="677" w:author="AbbVie02no" w:date="2025-05-15T12:36:00Z"/>
          <w:sz w:val="22"/>
          <w:szCs w:val="22"/>
        </w:rPr>
      </w:pPr>
      <w:del w:id="678" w:author="AbbVie02no" w:date="2025-05-15T12:36:00Z">
        <w:r>
          <w:rPr>
            <w:sz w:val="22"/>
            <w:szCs w:val="22"/>
          </w:rPr>
          <w:delText>I en prospektiv kohort registerstudie, ble det inkludert 257 kvinner med revmatoid artritt (RA) eller Crohns sykdom (CD) behandlet med adalimumab i minimum første trimester og 120 kvinner med RA eller CD som ikke var behandlet med adalimumab. Det primære endepunktet var prevalensen av alvorlig fødselsdefekt. Forekomsten av graviditeter med minst en levende nyfødt med alvorlig fødselsdefekt var 6/69 (8,7 %) hos kvinner med RA behandlet med adalimumab og 5/74 (6,8 %) hos ubehandlede kvinner med RA (ikke</w:delText>
        </w:r>
        <w:r>
          <w:rPr>
            <w:sz w:val="22"/>
            <w:szCs w:val="22"/>
          </w:rPr>
          <w:noBreakHyphen/>
          <w:delText>justert OR 1,</w:delText>
        </w:r>
        <w:r w:rsidRPr="00B2265A">
          <w:rPr>
            <w:sz w:val="22"/>
            <w:szCs w:val="22"/>
          </w:rPr>
          <w:delText>31, 95</w:delText>
        </w:r>
        <w:r>
          <w:rPr>
            <w:sz w:val="22"/>
            <w:szCs w:val="22"/>
          </w:rPr>
          <w:delText> % KI 0,38</w:delText>
        </w:r>
        <w:r>
          <w:rPr>
            <w:sz w:val="22"/>
            <w:szCs w:val="22"/>
          </w:rPr>
          <w:noBreakHyphen/>
          <w:delText>4,</w:delText>
        </w:r>
        <w:r w:rsidRPr="00B2265A">
          <w:rPr>
            <w:sz w:val="22"/>
            <w:szCs w:val="22"/>
          </w:rPr>
          <w:delText>52)</w:delText>
        </w:r>
        <w:r>
          <w:rPr>
            <w:sz w:val="22"/>
            <w:szCs w:val="22"/>
          </w:rPr>
          <w:delText xml:space="preserve"> og</w:delText>
        </w:r>
        <w:r w:rsidRPr="00B2265A">
          <w:rPr>
            <w:sz w:val="22"/>
            <w:szCs w:val="22"/>
          </w:rPr>
          <w:delText xml:space="preserve"> </w:delText>
        </w:r>
        <w:r>
          <w:rPr>
            <w:sz w:val="22"/>
            <w:szCs w:val="22"/>
          </w:rPr>
          <w:delText>16/152 (10,5 %) hos kvinner med CD behandlet med adalimumab og 3/32 (9,4 %) hos ubehandlede kvinner med CD (ikke</w:delText>
        </w:r>
        <w:r>
          <w:rPr>
            <w:sz w:val="22"/>
            <w:szCs w:val="22"/>
          </w:rPr>
          <w:noBreakHyphen/>
          <w:delText>justert OR</w:delText>
        </w:r>
        <w:r w:rsidRPr="00B2265A">
          <w:rPr>
            <w:sz w:val="22"/>
            <w:szCs w:val="22"/>
          </w:rPr>
          <w:delText xml:space="preserve"> 1</w:delText>
        </w:r>
        <w:r>
          <w:rPr>
            <w:sz w:val="22"/>
            <w:szCs w:val="22"/>
          </w:rPr>
          <w:delText>,</w:delText>
        </w:r>
        <w:r w:rsidRPr="00B2265A">
          <w:rPr>
            <w:sz w:val="22"/>
            <w:szCs w:val="22"/>
          </w:rPr>
          <w:delText>14, 95</w:delText>
        </w:r>
        <w:r>
          <w:rPr>
            <w:sz w:val="22"/>
            <w:szCs w:val="22"/>
          </w:rPr>
          <w:delText> </w:delText>
        </w:r>
        <w:r w:rsidRPr="00B2265A">
          <w:rPr>
            <w:sz w:val="22"/>
            <w:szCs w:val="22"/>
          </w:rPr>
          <w:delText xml:space="preserve">% </w:delText>
        </w:r>
        <w:r>
          <w:rPr>
            <w:sz w:val="22"/>
            <w:szCs w:val="22"/>
          </w:rPr>
          <w:delText>K</w:delText>
        </w:r>
        <w:r w:rsidRPr="00B2265A">
          <w:rPr>
            <w:sz w:val="22"/>
            <w:szCs w:val="22"/>
          </w:rPr>
          <w:delText>I 0</w:delText>
        </w:r>
        <w:r>
          <w:rPr>
            <w:sz w:val="22"/>
            <w:szCs w:val="22"/>
          </w:rPr>
          <w:delText>,</w:delText>
        </w:r>
        <w:r w:rsidRPr="00B2265A">
          <w:rPr>
            <w:sz w:val="22"/>
            <w:szCs w:val="22"/>
          </w:rPr>
          <w:delText>31</w:delText>
        </w:r>
        <w:r>
          <w:rPr>
            <w:sz w:val="22"/>
            <w:szCs w:val="22"/>
          </w:rPr>
          <w:noBreakHyphen/>
        </w:r>
        <w:r w:rsidRPr="00B2265A">
          <w:rPr>
            <w:sz w:val="22"/>
            <w:szCs w:val="22"/>
          </w:rPr>
          <w:delText>4</w:delText>
        </w:r>
        <w:r>
          <w:rPr>
            <w:sz w:val="22"/>
            <w:szCs w:val="22"/>
          </w:rPr>
          <w:delText>,</w:delText>
        </w:r>
        <w:r w:rsidRPr="00B2265A">
          <w:rPr>
            <w:sz w:val="22"/>
            <w:szCs w:val="22"/>
          </w:rPr>
          <w:delText>16).</w:delText>
        </w:r>
        <w:r>
          <w:rPr>
            <w:sz w:val="22"/>
            <w:szCs w:val="22"/>
          </w:rPr>
          <w:delText xml:space="preserve"> Den justerte OR (tatt hensyn til forskjeller ved baseline) var </w:delText>
        </w:r>
        <w:r w:rsidRPr="00A63CE3">
          <w:rPr>
            <w:sz w:val="22"/>
            <w:szCs w:val="22"/>
          </w:rPr>
          <w:delText>1</w:delText>
        </w:r>
        <w:r>
          <w:rPr>
            <w:sz w:val="22"/>
            <w:szCs w:val="22"/>
          </w:rPr>
          <w:delText>,</w:delText>
        </w:r>
        <w:r w:rsidRPr="00A63CE3">
          <w:rPr>
            <w:sz w:val="22"/>
            <w:szCs w:val="22"/>
          </w:rPr>
          <w:delText>10 (95</w:delText>
        </w:r>
        <w:r>
          <w:rPr>
            <w:sz w:val="22"/>
            <w:szCs w:val="22"/>
          </w:rPr>
          <w:delText> </w:delText>
        </w:r>
        <w:r w:rsidRPr="00A63CE3">
          <w:rPr>
            <w:sz w:val="22"/>
            <w:szCs w:val="22"/>
          </w:rPr>
          <w:delText xml:space="preserve">% </w:delText>
        </w:r>
        <w:r>
          <w:rPr>
            <w:sz w:val="22"/>
            <w:szCs w:val="22"/>
          </w:rPr>
          <w:delText>KI 0,45</w:delText>
        </w:r>
        <w:r>
          <w:rPr>
            <w:sz w:val="22"/>
            <w:szCs w:val="22"/>
          </w:rPr>
          <w:noBreakHyphen/>
        </w:r>
        <w:r w:rsidRPr="00A63CE3">
          <w:rPr>
            <w:sz w:val="22"/>
            <w:szCs w:val="22"/>
          </w:rPr>
          <w:delText>2</w:delText>
        </w:r>
        <w:r>
          <w:rPr>
            <w:sz w:val="22"/>
            <w:szCs w:val="22"/>
          </w:rPr>
          <w:delText>,</w:delText>
        </w:r>
        <w:r w:rsidRPr="00A63CE3">
          <w:rPr>
            <w:sz w:val="22"/>
            <w:szCs w:val="22"/>
          </w:rPr>
          <w:delText>73)</w:delText>
        </w:r>
        <w:r>
          <w:rPr>
            <w:sz w:val="22"/>
            <w:szCs w:val="22"/>
          </w:rPr>
          <w:delText xml:space="preserve"> ved kombinasjon av RA og CD. Det var ingen distinkte forskjeller mellom adalimumab-behandlede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ikke-randomisert design.</w:delText>
        </w:r>
      </w:del>
    </w:p>
    <w:p w14:paraId="4D5D71BD" w14:textId="1F879EEA" w:rsidR="00DF653E" w:rsidRPr="009C5EFD" w:rsidRDefault="00DF653E" w:rsidP="009C5EFD">
      <w:pPr>
        <w:rPr>
          <w:del w:id="679" w:author="AbbVie02no" w:date="2025-05-15T12:36:00Z"/>
          <w:sz w:val="22"/>
          <w:szCs w:val="22"/>
        </w:rPr>
      </w:pPr>
    </w:p>
    <w:p w14:paraId="14E1354E" w14:textId="487E9BD2" w:rsidR="00821D8D" w:rsidRPr="009C5EFD" w:rsidRDefault="00E453CD" w:rsidP="009C5EFD">
      <w:pPr>
        <w:rPr>
          <w:del w:id="680" w:author="AbbVie02no" w:date="2025-05-15T12:36:00Z"/>
          <w:sz w:val="22"/>
          <w:szCs w:val="22"/>
        </w:rPr>
      </w:pPr>
      <w:del w:id="681" w:author="AbbVie02no" w:date="2025-05-15T12:36:00Z">
        <w:r w:rsidRPr="009C5EFD">
          <w:rPr>
            <w:sz w:val="22"/>
            <w:szCs w:val="22"/>
          </w:rPr>
          <w:delText xml:space="preserve">I en toksisitetsstudie av fosterutvikling hos aper var det ingen indikasjon på </w:delText>
        </w:r>
        <w:r w:rsidR="00DF653E" w:rsidRPr="009C5EFD">
          <w:rPr>
            <w:sz w:val="22"/>
            <w:szCs w:val="22"/>
          </w:rPr>
          <w:delText xml:space="preserve">maternell </w:delText>
        </w:r>
        <w:r w:rsidRPr="009C5EFD">
          <w:rPr>
            <w:sz w:val="22"/>
            <w:szCs w:val="22"/>
          </w:rPr>
          <w:delText>toksisitet, embryotoksisitet eller teratogenisitet. Prekliniske data vedrørende postnatal toksisitet på grunn av adalimumab er ikke tilgjengelige (se pkt. 5.3).</w:delText>
        </w:r>
      </w:del>
    </w:p>
    <w:p w14:paraId="1EC6BC6B" w14:textId="3C2C99A3" w:rsidR="00821D8D" w:rsidRPr="009C5EFD" w:rsidRDefault="00821D8D" w:rsidP="009C5EFD">
      <w:pPr>
        <w:rPr>
          <w:del w:id="682" w:author="AbbVie02no" w:date="2025-05-15T12:36:00Z"/>
          <w:b/>
          <w:sz w:val="22"/>
          <w:szCs w:val="22"/>
        </w:rPr>
      </w:pPr>
    </w:p>
    <w:p w14:paraId="4937087F" w14:textId="767D39FC" w:rsidR="00821D8D" w:rsidRPr="009C5EFD" w:rsidRDefault="00E453CD" w:rsidP="009C5EFD">
      <w:pPr>
        <w:rPr>
          <w:del w:id="683" w:author="AbbVie02no" w:date="2025-05-15T12:36:00Z"/>
          <w:sz w:val="22"/>
          <w:szCs w:val="22"/>
        </w:rPr>
      </w:pPr>
      <w:del w:id="684" w:author="AbbVie02no" w:date="2025-05-15T12:36:00Z">
        <w:r w:rsidRPr="009C5EFD">
          <w:rPr>
            <w:sz w:val="22"/>
            <w:szCs w:val="22"/>
          </w:rPr>
          <w:delText xml:space="preserve">På grunn av hemming av TNFα kan adalimumab som gis i løpet av </w:delText>
        </w:r>
        <w:r w:rsidR="00DF653E" w:rsidRPr="009C5EFD">
          <w:rPr>
            <w:sz w:val="22"/>
            <w:szCs w:val="22"/>
          </w:rPr>
          <w:delText xml:space="preserve">graviditeten </w:delText>
        </w:r>
        <w:r w:rsidRPr="009C5EFD">
          <w:rPr>
            <w:sz w:val="22"/>
            <w:szCs w:val="22"/>
          </w:rPr>
          <w:delText xml:space="preserve">påvirke den normale immunresponsen hos nyfødte. </w:delText>
        </w:r>
        <w:r w:rsidR="00A81956">
          <w:rPr>
            <w:sz w:val="22"/>
            <w:szCs w:val="22"/>
          </w:rPr>
          <w:delText>Adalimumab skal kun brukes under graviditet dersom det er helt nødvendig.</w:delText>
        </w:r>
      </w:del>
    </w:p>
    <w:p w14:paraId="5F4DCFBE" w14:textId="3D2664F8" w:rsidR="00821D8D" w:rsidRPr="009C5EFD" w:rsidRDefault="00821D8D" w:rsidP="009C5EFD">
      <w:pPr>
        <w:rPr>
          <w:del w:id="685" w:author="AbbVie02no" w:date="2025-05-15T12:36:00Z"/>
          <w:sz w:val="22"/>
          <w:szCs w:val="22"/>
        </w:rPr>
      </w:pPr>
    </w:p>
    <w:p w14:paraId="4727A389" w14:textId="15A4F2A2" w:rsidR="009F4EE9" w:rsidRPr="009C5EFD" w:rsidRDefault="00E453CD" w:rsidP="009C5EFD">
      <w:pPr>
        <w:rPr>
          <w:del w:id="686" w:author="AbbVie02no" w:date="2025-05-15T12:36:00Z"/>
          <w:sz w:val="22"/>
        </w:rPr>
      </w:pPr>
      <w:del w:id="687" w:author="AbbVie02no" w:date="2025-05-15T12:36:00Z">
        <w:r w:rsidRPr="009C5EFD">
          <w:rPr>
            <w:sz w:val="22"/>
          </w:rPr>
          <w:delText xml:space="preserve">Adalimumab kan </w:delText>
        </w:r>
        <w:r w:rsidR="00CA01DF">
          <w:rPr>
            <w:sz w:val="22"/>
          </w:rPr>
          <w:delText>passere</w:delText>
        </w:r>
        <w:r w:rsidRPr="009C5EFD">
          <w:rPr>
            <w:sz w:val="22"/>
          </w:rPr>
          <w:delText xml:space="preserve"> placenta og </w:delText>
        </w:r>
        <w:r w:rsidR="00CA01DF">
          <w:rPr>
            <w:sz w:val="22"/>
          </w:rPr>
          <w:delText>over</w:delText>
        </w:r>
        <w:r w:rsidRPr="009C5EFD">
          <w:rPr>
            <w:sz w:val="22"/>
          </w:rPr>
          <w:delText xml:space="preserve"> i serumet hos </w:delText>
        </w:r>
        <w:r w:rsidR="00CB195C" w:rsidRPr="009C5EFD">
          <w:rPr>
            <w:sz w:val="22"/>
          </w:rPr>
          <w:delText>spedbarn født av</w:delText>
        </w:r>
        <w:r w:rsidRPr="009C5EFD">
          <w:rPr>
            <w:sz w:val="22"/>
          </w:rPr>
          <w:delText xml:space="preserve"> kvinner behandlet med adalimumab under graviditet. Som konsekvens kan slike spedbarn ha </w:delText>
        </w:r>
        <w:r w:rsidR="00CB195C" w:rsidRPr="009C5EFD">
          <w:rPr>
            <w:sz w:val="22"/>
          </w:rPr>
          <w:delText xml:space="preserve">høyere risiko for infeksjon. </w:delText>
        </w:r>
        <w:r w:rsidR="00CB195C" w:rsidRPr="009C5EFD">
          <w:rPr>
            <w:sz w:val="22"/>
          </w:rPr>
          <w:lastRenderedPageBreak/>
          <w:delText xml:space="preserve">Administrasjon av levende vaksiner </w:delText>
        </w:r>
        <w:r w:rsidR="00A81956" w:rsidRPr="004849ED">
          <w:rPr>
            <w:sz w:val="22"/>
            <w:szCs w:val="22"/>
          </w:rPr>
          <w:delText>(f.eks. BCG vaksine)</w:delText>
        </w:r>
        <w:r w:rsidR="00D773BF">
          <w:rPr>
            <w:sz w:val="22"/>
            <w:szCs w:val="22"/>
          </w:rPr>
          <w:delText xml:space="preserve"> </w:delText>
        </w:r>
        <w:r w:rsidR="00CB195C" w:rsidRPr="009C5EFD">
          <w:rPr>
            <w:sz w:val="22"/>
          </w:rPr>
          <w:delText xml:space="preserve">på </w:delText>
        </w:r>
        <w:r w:rsidR="00795361" w:rsidRPr="009C5EFD">
          <w:rPr>
            <w:sz w:val="22"/>
          </w:rPr>
          <w:delText>spedbarn eksponert for adalimumab intrauterint anbefales ikke før 5 måneder etter morens siste injeksjon med adalimumab under graviditeten.</w:delText>
        </w:r>
      </w:del>
    </w:p>
    <w:p w14:paraId="56B98DBE" w14:textId="73FCE7FF" w:rsidR="009F4EE9" w:rsidRPr="009C5EFD" w:rsidRDefault="009F4EE9" w:rsidP="009C5EFD">
      <w:pPr>
        <w:rPr>
          <w:del w:id="688" w:author="AbbVie02no" w:date="2025-05-15T12:36:00Z"/>
          <w:sz w:val="22"/>
        </w:rPr>
      </w:pPr>
    </w:p>
    <w:p w14:paraId="277F9D19" w14:textId="361C1B8C" w:rsidR="009F4EE9" w:rsidRPr="009C5EFD" w:rsidRDefault="00E453CD" w:rsidP="001F5D4B">
      <w:pPr>
        <w:keepNext/>
        <w:rPr>
          <w:del w:id="689" w:author="AbbVie02no" w:date="2025-05-15T12:36:00Z"/>
          <w:sz w:val="22"/>
          <w:u w:val="single"/>
        </w:rPr>
      </w:pPr>
      <w:del w:id="690" w:author="AbbVie02no" w:date="2025-05-15T12:36:00Z">
        <w:r w:rsidRPr="009C5EFD">
          <w:rPr>
            <w:sz w:val="22"/>
            <w:u w:val="single"/>
          </w:rPr>
          <w:delText>Amming</w:delText>
        </w:r>
      </w:del>
    </w:p>
    <w:p w14:paraId="65BA9136" w14:textId="6F598B0B" w:rsidR="009F4EE9" w:rsidRPr="009C5EFD" w:rsidRDefault="009F4EE9" w:rsidP="001F5D4B">
      <w:pPr>
        <w:keepNext/>
        <w:rPr>
          <w:del w:id="691" w:author="AbbVie02no" w:date="2025-05-15T12:36:00Z"/>
          <w:sz w:val="22"/>
        </w:rPr>
      </w:pPr>
    </w:p>
    <w:p w14:paraId="4161A93F" w14:textId="5A202576" w:rsidR="00A81956" w:rsidRPr="009C5EFD" w:rsidRDefault="00E453CD" w:rsidP="00776A84">
      <w:pPr>
        <w:rPr>
          <w:del w:id="692" w:author="AbbVie02no" w:date="2025-05-15T12:36:00Z"/>
          <w:sz w:val="22"/>
          <w:szCs w:val="22"/>
        </w:rPr>
      </w:pPr>
      <w:del w:id="693" w:author="AbbVie02no" w:date="2025-05-15T12:36:00Z">
        <w:r>
          <w:rPr>
            <w:sz w:val="22"/>
            <w:szCs w:val="22"/>
          </w:rPr>
          <w:delText xml:space="preserve">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og har dårlig biotilgjengelighet. Det forventes ingen effekter på den nyfødte/spedbarn som ammes. Humira kan derfor benyttes ved amming. </w:delText>
        </w:r>
      </w:del>
    </w:p>
    <w:p w14:paraId="5AA6AD8D" w14:textId="1E4A1342" w:rsidR="001529FD" w:rsidRPr="009C5EFD" w:rsidRDefault="001529FD" w:rsidP="007F67EE">
      <w:pPr>
        <w:rPr>
          <w:del w:id="694" w:author="AbbVie02no" w:date="2025-05-15T12:36:00Z"/>
          <w:sz w:val="22"/>
          <w:szCs w:val="22"/>
        </w:rPr>
      </w:pPr>
    </w:p>
    <w:p w14:paraId="475CE7FE" w14:textId="761A49B3" w:rsidR="001529FD" w:rsidRPr="009C5EFD" w:rsidRDefault="00E453CD" w:rsidP="00776A84">
      <w:pPr>
        <w:keepNext/>
        <w:rPr>
          <w:del w:id="695" w:author="AbbVie02no" w:date="2025-05-15T12:36:00Z"/>
          <w:sz w:val="22"/>
          <w:szCs w:val="22"/>
        </w:rPr>
      </w:pPr>
      <w:del w:id="696" w:author="AbbVie02no" w:date="2025-05-15T12:36:00Z">
        <w:r w:rsidRPr="009C5EFD">
          <w:rPr>
            <w:sz w:val="22"/>
            <w:szCs w:val="22"/>
            <w:u w:val="single"/>
          </w:rPr>
          <w:delText>Fertilitet</w:delText>
        </w:r>
      </w:del>
    </w:p>
    <w:p w14:paraId="523CD915" w14:textId="698A5947" w:rsidR="001529FD" w:rsidRPr="009C5EFD" w:rsidRDefault="001529FD" w:rsidP="00776A84">
      <w:pPr>
        <w:keepNext/>
        <w:rPr>
          <w:del w:id="697" w:author="AbbVie02no" w:date="2025-05-15T12:36:00Z"/>
          <w:sz w:val="22"/>
          <w:szCs w:val="22"/>
        </w:rPr>
      </w:pPr>
    </w:p>
    <w:p w14:paraId="0360E45B" w14:textId="00BE2B3D" w:rsidR="001913FB" w:rsidRPr="009C5EFD" w:rsidRDefault="00E453CD" w:rsidP="00E14E58">
      <w:pPr>
        <w:rPr>
          <w:del w:id="698" w:author="AbbVie02no" w:date="2025-05-15T12:36:00Z"/>
          <w:sz w:val="22"/>
          <w:szCs w:val="22"/>
        </w:rPr>
      </w:pPr>
      <w:del w:id="699" w:author="AbbVie02no" w:date="2025-05-15T12:36:00Z">
        <w:r w:rsidRPr="009C5EFD">
          <w:rPr>
            <w:sz w:val="22"/>
            <w:szCs w:val="22"/>
          </w:rPr>
          <w:delText xml:space="preserve">Prekliniske data vedrørende </w:delText>
        </w:r>
        <w:r w:rsidR="003D3915" w:rsidRPr="009C5EFD">
          <w:rPr>
            <w:sz w:val="22"/>
            <w:szCs w:val="22"/>
          </w:rPr>
          <w:delText xml:space="preserve">påvirkning på </w:delText>
        </w:r>
        <w:r w:rsidRPr="009C5EFD">
          <w:rPr>
            <w:sz w:val="22"/>
            <w:szCs w:val="22"/>
          </w:rPr>
          <w:delText>fertilitet av adalimumab er ikke tilgjengelig.</w:delText>
        </w:r>
      </w:del>
    </w:p>
    <w:p w14:paraId="372535D9" w14:textId="1A8D77B0" w:rsidR="00AE1F9F" w:rsidRPr="009C5EFD" w:rsidRDefault="00AE1F9F" w:rsidP="009C5EFD">
      <w:pPr>
        <w:rPr>
          <w:del w:id="700" w:author="AbbVie02no" w:date="2025-05-15T12:36:00Z"/>
          <w:sz w:val="22"/>
          <w:szCs w:val="22"/>
        </w:rPr>
      </w:pPr>
    </w:p>
    <w:p w14:paraId="298FA7EA" w14:textId="22737418" w:rsidR="00DE3458" w:rsidRPr="009C5EFD" w:rsidRDefault="00E453CD" w:rsidP="001F5D4B">
      <w:pPr>
        <w:keepNext/>
        <w:suppressAutoHyphens/>
        <w:ind w:left="570" w:hanging="570"/>
        <w:rPr>
          <w:del w:id="701" w:author="AbbVie02no" w:date="2025-05-15T12:36:00Z"/>
          <w:sz w:val="22"/>
          <w:szCs w:val="22"/>
        </w:rPr>
      </w:pPr>
      <w:del w:id="702" w:author="AbbVie02no" w:date="2025-05-15T12:36:00Z">
        <w:r w:rsidRPr="009C5EFD">
          <w:rPr>
            <w:b/>
            <w:sz w:val="22"/>
            <w:szCs w:val="22"/>
          </w:rPr>
          <w:delText>4.7</w:delText>
        </w:r>
        <w:r w:rsidRPr="009C5EFD">
          <w:rPr>
            <w:b/>
            <w:sz w:val="22"/>
            <w:szCs w:val="22"/>
          </w:rPr>
          <w:tab/>
          <w:delText xml:space="preserve">Påvirkning av evnen til å kjøre bil </w:delText>
        </w:r>
        <w:r w:rsidR="004A62A3" w:rsidRPr="009C5EFD">
          <w:rPr>
            <w:b/>
            <w:sz w:val="22"/>
            <w:szCs w:val="22"/>
          </w:rPr>
          <w:delText xml:space="preserve">og </w:delText>
        </w:r>
        <w:r w:rsidRPr="009C5EFD">
          <w:rPr>
            <w:b/>
            <w:sz w:val="22"/>
            <w:szCs w:val="22"/>
          </w:rPr>
          <w:delText>bruke maskiner</w:delText>
        </w:r>
      </w:del>
    </w:p>
    <w:p w14:paraId="07298CEF" w14:textId="423972BE" w:rsidR="00DE3458" w:rsidRPr="009C5EFD" w:rsidRDefault="00DE3458" w:rsidP="001F5D4B">
      <w:pPr>
        <w:keepNext/>
        <w:rPr>
          <w:del w:id="703" w:author="AbbVie02no" w:date="2025-05-15T12:36:00Z"/>
          <w:sz w:val="22"/>
          <w:szCs w:val="22"/>
        </w:rPr>
      </w:pPr>
    </w:p>
    <w:p w14:paraId="601066E4" w14:textId="5BE1F632" w:rsidR="00DE3458" w:rsidRPr="009C5EFD" w:rsidRDefault="00E453CD" w:rsidP="00776A84">
      <w:pPr>
        <w:rPr>
          <w:del w:id="704" w:author="AbbVie02no" w:date="2025-05-15T12:36:00Z"/>
          <w:sz w:val="22"/>
          <w:szCs w:val="22"/>
        </w:rPr>
      </w:pPr>
      <w:del w:id="705" w:author="AbbVie02no" w:date="2025-05-15T12:36:00Z">
        <w:r w:rsidRPr="009C5EFD">
          <w:rPr>
            <w:sz w:val="22"/>
            <w:szCs w:val="22"/>
          </w:rPr>
          <w:delText xml:space="preserve">Humira kan ha </w:delText>
        </w:r>
        <w:r w:rsidR="00FB337F">
          <w:rPr>
            <w:sz w:val="22"/>
            <w:szCs w:val="22"/>
          </w:rPr>
          <w:delText>en liten</w:delText>
        </w:r>
        <w:r w:rsidRPr="009C5EFD">
          <w:rPr>
            <w:sz w:val="22"/>
            <w:szCs w:val="22"/>
          </w:rPr>
          <w:delText xml:space="preserve"> </w:delText>
        </w:r>
        <w:r w:rsidR="00465D0F" w:rsidRPr="009C5EFD">
          <w:rPr>
            <w:sz w:val="22"/>
            <w:szCs w:val="22"/>
          </w:rPr>
          <w:delText xml:space="preserve">påvirkning </w:delText>
        </w:r>
        <w:r w:rsidRPr="009C5EFD">
          <w:rPr>
            <w:sz w:val="22"/>
            <w:szCs w:val="22"/>
          </w:rPr>
          <w:delText xml:space="preserve">på evnen til å kjøre bil </w:delText>
        </w:r>
        <w:r w:rsidR="004A62A3" w:rsidRPr="009C5EFD">
          <w:rPr>
            <w:sz w:val="22"/>
            <w:szCs w:val="22"/>
          </w:rPr>
          <w:delText xml:space="preserve">og </w:delText>
        </w:r>
        <w:r w:rsidRPr="009C5EFD">
          <w:rPr>
            <w:sz w:val="22"/>
            <w:szCs w:val="22"/>
          </w:rPr>
          <w:delText xml:space="preserve">bruke maskiner. </w:delText>
        </w:r>
        <w:r w:rsidR="004C56AD" w:rsidRPr="009C5EFD">
          <w:rPr>
            <w:sz w:val="22"/>
            <w:szCs w:val="22"/>
          </w:rPr>
          <w:delText>V</w:delText>
        </w:r>
        <w:r w:rsidRPr="009C5EFD">
          <w:rPr>
            <w:sz w:val="22"/>
            <w:szCs w:val="22"/>
          </w:rPr>
          <w:delText>ertigo</w:delText>
        </w:r>
        <w:r w:rsidR="004C56AD" w:rsidRPr="009C5EFD">
          <w:rPr>
            <w:sz w:val="22"/>
            <w:szCs w:val="22"/>
          </w:rPr>
          <w:delText xml:space="preserve"> og svekket</w:delText>
        </w:r>
        <w:r w:rsidRPr="009C5EFD">
          <w:rPr>
            <w:sz w:val="22"/>
            <w:szCs w:val="22"/>
          </w:rPr>
          <w:delText xml:space="preserve"> syn</w:delText>
        </w:r>
        <w:r w:rsidR="004C56AD" w:rsidRPr="009C5EFD">
          <w:rPr>
            <w:sz w:val="22"/>
            <w:szCs w:val="22"/>
          </w:rPr>
          <w:delText xml:space="preserve"> </w:delText>
        </w:r>
        <w:r w:rsidRPr="009C5EFD">
          <w:rPr>
            <w:sz w:val="22"/>
            <w:szCs w:val="22"/>
          </w:rPr>
          <w:delText xml:space="preserve">kan oppstå etter </w:delText>
        </w:r>
        <w:r w:rsidR="00B8124C">
          <w:rPr>
            <w:sz w:val="22"/>
            <w:szCs w:val="22"/>
          </w:rPr>
          <w:delText>administrasjon</w:delText>
        </w:r>
        <w:r w:rsidRPr="009C5EFD">
          <w:rPr>
            <w:sz w:val="22"/>
            <w:szCs w:val="22"/>
          </w:rPr>
          <w:delText xml:space="preserve"> av Humira, se pkt. 4.8.</w:delText>
        </w:r>
      </w:del>
    </w:p>
    <w:p w14:paraId="70483043" w14:textId="06AEB8DB" w:rsidR="00AE1F9F" w:rsidRPr="009C5EFD" w:rsidRDefault="00AE1F9F" w:rsidP="007F67EE">
      <w:pPr>
        <w:rPr>
          <w:del w:id="706" w:author="AbbVie02no" w:date="2025-05-15T12:36:00Z"/>
          <w:sz w:val="22"/>
          <w:szCs w:val="22"/>
        </w:rPr>
      </w:pPr>
    </w:p>
    <w:p w14:paraId="1C7068B6" w14:textId="3F92E881" w:rsidR="00DE3458" w:rsidRPr="009C5EFD" w:rsidRDefault="00E453CD" w:rsidP="001F5D4B">
      <w:pPr>
        <w:keepNext/>
        <w:suppressAutoHyphens/>
        <w:ind w:left="567" w:hanging="567"/>
        <w:rPr>
          <w:del w:id="707" w:author="AbbVie02no" w:date="2025-05-15T12:36:00Z"/>
          <w:sz w:val="22"/>
          <w:szCs w:val="22"/>
        </w:rPr>
      </w:pPr>
      <w:del w:id="708" w:author="AbbVie02no" w:date="2025-05-15T12:36:00Z">
        <w:r w:rsidRPr="009C5EFD">
          <w:rPr>
            <w:b/>
            <w:sz w:val="22"/>
            <w:szCs w:val="22"/>
          </w:rPr>
          <w:delText>4.8</w:delText>
        </w:r>
        <w:r w:rsidRPr="009C5EFD">
          <w:rPr>
            <w:b/>
            <w:sz w:val="22"/>
            <w:szCs w:val="22"/>
          </w:rPr>
          <w:tab/>
          <w:delText>Bivirkninger</w:delText>
        </w:r>
      </w:del>
    </w:p>
    <w:p w14:paraId="1F6DD706" w14:textId="01EE7967" w:rsidR="00DE3458" w:rsidRPr="009C5EFD" w:rsidRDefault="00DE3458" w:rsidP="001F5D4B">
      <w:pPr>
        <w:keepNext/>
        <w:rPr>
          <w:del w:id="709" w:author="AbbVie02no" w:date="2025-05-15T12:36:00Z"/>
          <w:sz w:val="22"/>
          <w:szCs w:val="22"/>
        </w:rPr>
      </w:pPr>
    </w:p>
    <w:p w14:paraId="53DED0E7" w14:textId="2856654F" w:rsidR="00F47F25" w:rsidRPr="001F5D4B" w:rsidRDefault="00E453CD" w:rsidP="00776A84">
      <w:pPr>
        <w:keepNext/>
        <w:rPr>
          <w:del w:id="710" w:author="AbbVie02no" w:date="2025-05-15T12:36:00Z"/>
          <w:sz w:val="22"/>
          <w:szCs w:val="22"/>
          <w:u w:val="single"/>
        </w:rPr>
      </w:pPr>
      <w:del w:id="711" w:author="AbbVie02no" w:date="2025-05-15T12:36:00Z">
        <w:r w:rsidRPr="001F5D4B">
          <w:rPr>
            <w:sz w:val="22"/>
            <w:szCs w:val="22"/>
            <w:u w:val="single"/>
          </w:rPr>
          <w:delText xml:space="preserve">Oppsummering av </w:delText>
        </w:r>
        <w:r w:rsidRPr="007F67EE">
          <w:rPr>
            <w:sz w:val="22"/>
            <w:szCs w:val="22"/>
            <w:u w:val="single"/>
          </w:rPr>
          <w:delText>sikkerhet</w:delText>
        </w:r>
        <w:r w:rsidRPr="001F5D4B">
          <w:rPr>
            <w:sz w:val="22"/>
            <w:szCs w:val="22"/>
            <w:u w:val="single"/>
          </w:rPr>
          <w:delText>sprofilen</w:delText>
        </w:r>
      </w:del>
    </w:p>
    <w:p w14:paraId="260111F3" w14:textId="15794E96" w:rsidR="00F47F25" w:rsidRPr="007F67EE" w:rsidRDefault="00F47F25" w:rsidP="00776A84">
      <w:pPr>
        <w:keepNext/>
        <w:rPr>
          <w:del w:id="712" w:author="AbbVie02no" w:date="2025-05-15T12:36:00Z"/>
          <w:sz w:val="22"/>
          <w:szCs w:val="22"/>
        </w:rPr>
      </w:pPr>
    </w:p>
    <w:p w14:paraId="121A5D90" w14:textId="34A24C7C" w:rsidR="00DE3458" w:rsidRPr="009C5EFD" w:rsidRDefault="00E453CD" w:rsidP="00193D76">
      <w:pPr>
        <w:rPr>
          <w:del w:id="713" w:author="AbbVie02no" w:date="2025-05-15T12:36:00Z"/>
          <w:sz w:val="22"/>
          <w:szCs w:val="22"/>
        </w:rPr>
      </w:pPr>
      <w:del w:id="714" w:author="AbbVie02no" w:date="2025-05-15T12:36:00Z">
        <w:r w:rsidRPr="00193D76">
          <w:rPr>
            <w:sz w:val="22"/>
            <w:szCs w:val="22"/>
          </w:rPr>
          <w:delText xml:space="preserve">Humira er undersøkt hos </w:delText>
        </w:r>
        <w:r w:rsidR="0055679E">
          <w:rPr>
            <w:sz w:val="22"/>
            <w:szCs w:val="22"/>
          </w:rPr>
          <w:delText>9506</w:delText>
        </w:r>
        <w:r w:rsidR="0055679E" w:rsidRPr="00E14E58">
          <w:rPr>
            <w:sz w:val="22"/>
            <w:szCs w:val="22"/>
          </w:rPr>
          <w:delText xml:space="preserve"> </w:delText>
        </w:r>
        <w:r w:rsidRPr="009C5EFD">
          <w:rPr>
            <w:sz w:val="22"/>
            <w:szCs w:val="22"/>
          </w:rPr>
          <w:delText xml:space="preserve">pasienter i </w:delText>
        </w:r>
        <w:r w:rsidR="00A2334F" w:rsidRPr="009C5EFD">
          <w:rPr>
            <w:sz w:val="22"/>
            <w:szCs w:val="22"/>
          </w:rPr>
          <w:delText xml:space="preserve">pivotale </w:delText>
        </w:r>
        <w:r w:rsidRPr="009C5EFD">
          <w:rPr>
            <w:sz w:val="22"/>
            <w:szCs w:val="22"/>
          </w:rPr>
          <w:delText xml:space="preserve">kontrollerte og åpne studier i opptil 60 måneder eller mer. Disse studiene inkluderte pasienter med nydiagnostisert og langvarig revmatoid artritt, juvenil idiopatisk artritt </w:delText>
        </w:r>
        <w:r w:rsidR="00935E31" w:rsidRPr="009C5EFD">
          <w:rPr>
            <w:sz w:val="22"/>
            <w:szCs w:val="22"/>
          </w:rPr>
          <w:delText>(polyartikulær juvenil idiopatisk artritt</w:delText>
        </w:r>
        <w:r w:rsidR="008F20AB" w:rsidRPr="009C5EFD">
          <w:rPr>
            <w:sz w:val="22"/>
            <w:szCs w:val="22"/>
          </w:rPr>
          <w:delText xml:space="preserve"> og entes</w:delText>
        </w:r>
        <w:r w:rsidR="00935E31" w:rsidRPr="009C5EFD">
          <w:rPr>
            <w:sz w:val="22"/>
            <w:szCs w:val="22"/>
          </w:rPr>
          <w:delText xml:space="preserve">ittrelatert artritt) </w:delText>
        </w:r>
        <w:r w:rsidRPr="009C5EFD">
          <w:rPr>
            <w:sz w:val="22"/>
            <w:szCs w:val="22"/>
          </w:rPr>
          <w:delText xml:space="preserve">og pasienter med </w:delText>
        </w:r>
        <w:r w:rsidR="008F20AB" w:rsidRPr="009C5EFD">
          <w:rPr>
            <w:sz w:val="22"/>
            <w:szCs w:val="22"/>
          </w:rPr>
          <w:delText>aksial spondylartritt (</w:delText>
        </w:r>
        <w:r w:rsidRPr="009C5EFD">
          <w:rPr>
            <w:sz w:val="22"/>
            <w:szCs w:val="22"/>
          </w:rPr>
          <w:delText>Bekhterevs sykdom</w:delText>
        </w:r>
        <w:r w:rsidR="008F20AB" w:rsidRPr="009C5EFD">
          <w:rPr>
            <w:sz w:val="22"/>
            <w:szCs w:val="22"/>
          </w:rPr>
          <w:delText>/</w:delText>
        </w:r>
        <w:r w:rsidRPr="009C5EFD">
          <w:rPr>
            <w:sz w:val="22"/>
            <w:szCs w:val="22"/>
          </w:rPr>
          <w:delText>ankyloserende spondylitt</w:delText>
        </w:r>
        <w:r w:rsidR="008F20AB" w:rsidRPr="009C5EFD">
          <w:rPr>
            <w:sz w:val="22"/>
            <w:szCs w:val="22"/>
          </w:rPr>
          <w:delText xml:space="preserve"> og</w:delText>
        </w:r>
        <w:r w:rsidRPr="009C5EFD">
          <w:rPr>
            <w:sz w:val="22"/>
            <w:szCs w:val="22"/>
          </w:rPr>
          <w:delText xml:space="preserve"> </w:delText>
        </w:r>
        <w:r w:rsidR="00364023" w:rsidRPr="009C5EFD">
          <w:rPr>
            <w:sz w:val="22"/>
            <w:szCs w:val="22"/>
          </w:rPr>
          <w:delText xml:space="preserve">aksial spondylartritt uten </w:delText>
        </w:r>
        <w:r w:rsidR="00677BE5" w:rsidRPr="009C5EFD">
          <w:rPr>
            <w:sz w:val="22"/>
            <w:szCs w:val="22"/>
          </w:rPr>
          <w:delText>radiografisk bekreftelse</w:delText>
        </w:r>
        <w:r w:rsidR="00AC7167" w:rsidRPr="009C5EFD">
          <w:rPr>
            <w:sz w:val="22"/>
            <w:szCs w:val="22"/>
          </w:rPr>
          <w:delText xml:space="preserve"> på ankyloserende spondylitt</w:delText>
        </w:r>
        <w:r w:rsidR="008F20AB" w:rsidRPr="009C5EFD">
          <w:rPr>
            <w:sz w:val="22"/>
            <w:szCs w:val="22"/>
          </w:rPr>
          <w:delText>)</w:delText>
        </w:r>
        <w:r w:rsidR="00AC7167" w:rsidRPr="009C5EFD">
          <w:rPr>
            <w:sz w:val="22"/>
            <w:szCs w:val="22"/>
          </w:rPr>
          <w:delText xml:space="preserve">, psoriasisartritt, </w:delText>
        </w:r>
        <w:r w:rsidRPr="009C5EFD">
          <w:rPr>
            <w:sz w:val="22"/>
            <w:szCs w:val="22"/>
          </w:rPr>
          <w:delText>Crohns sykdom</w:delText>
        </w:r>
        <w:r w:rsidR="004F4EE7" w:rsidRPr="009C5EFD">
          <w:rPr>
            <w:sz w:val="22"/>
            <w:szCs w:val="22"/>
          </w:rPr>
          <w:delText>, ulcerøs kolitt</w:delText>
        </w:r>
        <w:r w:rsidR="001018A7" w:rsidRPr="009C5EFD">
          <w:rPr>
            <w:sz w:val="22"/>
            <w:szCs w:val="22"/>
          </w:rPr>
          <w:delText>,</w:delText>
        </w:r>
        <w:r w:rsidR="0055679E">
          <w:rPr>
            <w:sz w:val="22"/>
            <w:szCs w:val="22"/>
          </w:rPr>
          <w:delText xml:space="preserve"> </w:delText>
        </w:r>
        <w:r w:rsidRPr="009C5EFD">
          <w:rPr>
            <w:sz w:val="22"/>
            <w:szCs w:val="22"/>
          </w:rPr>
          <w:delText>psoriasis</w:delText>
        </w:r>
        <w:r w:rsidR="0055679E">
          <w:rPr>
            <w:sz w:val="22"/>
            <w:szCs w:val="22"/>
          </w:rPr>
          <w:delText>,</w:delText>
        </w:r>
        <w:r w:rsidR="001018A7" w:rsidRPr="009C5EFD">
          <w:rPr>
            <w:sz w:val="22"/>
            <w:szCs w:val="22"/>
          </w:rPr>
          <w:delText xml:space="preserve"> </w:delText>
        </w:r>
        <w:r w:rsidR="007F67EE" w:rsidRPr="009C5EFD">
          <w:rPr>
            <w:sz w:val="22"/>
            <w:szCs w:val="22"/>
          </w:rPr>
          <w:delText>hidrosadenitt</w:delText>
        </w:r>
        <w:r w:rsidR="0055679E">
          <w:rPr>
            <w:sz w:val="22"/>
            <w:szCs w:val="22"/>
          </w:rPr>
          <w:delText xml:space="preserve"> og uveitt</w:delText>
        </w:r>
        <w:r w:rsidRPr="009C5EFD">
          <w:rPr>
            <w:sz w:val="22"/>
            <w:szCs w:val="22"/>
          </w:rPr>
          <w:delText xml:space="preserve">. </w:delText>
        </w:r>
        <w:r w:rsidR="00935E31" w:rsidRPr="009C5EFD">
          <w:rPr>
            <w:sz w:val="22"/>
            <w:szCs w:val="22"/>
          </w:rPr>
          <w:delText>D</w:delText>
        </w:r>
        <w:r w:rsidRPr="009C5EFD">
          <w:rPr>
            <w:sz w:val="22"/>
            <w:szCs w:val="22"/>
          </w:rPr>
          <w:delText xml:space="preserve">e </w:delText>
        </w:r>
        <w:r w:rsidR="00A2334F" w:rsidRPr="009C5EFD">
          <w:rPr>
            <w:sz w:val="22"/>
            <w:szCs w:val="22"/>
          </w:rPr>
          <w:delText xml:space="preserve">pivotale </w:delText>
        </w:r>
        <w:r w:rsidRPr="009C5EFD">
          <w:rPr>
            <w:sz w:val="22"/>
            <w:szCs w:val="22"/>
          </w:rPr>
          <w:delText xml:space="preserve">kontrollerte studiene som inkluderer </w:delText>
        </w:r>
        <w:r w:rsidR="0055679E">
          <w:rPr>
            <w:sz w:val="22"/>
            <w:szCs w:val="22"/>
          </w:rPr>
          <w:delText>6089</w:delText>
        </w:r>
        <w:r w:rsidR="0055679E" w:rsidRPr="009C5EFD">
          <w:rPr>
            <w:sz w:val="22"/>
            <w:szCs w:val="22"/>
          </w:rPr>
          <w:delText xml:space="preserve"> </w:delText>
        </w:r>
        <w:r w:rsidRPr="009C5EFD">
          <w:rPr>
            <w:sz w:val="22"/>
            <w:szCs w:val="22"/>
          </w:rPr>
          <w:delText xml:space="preserve">pasienter som ble behandlet med Humira og </w:delText>
        </w:r>
        <w:r w:rsidR="0055679E">
          <w:rPr>
            <w:sz w:val="22"/>
            <w:szCs w:val="22"/>
          </w:rPr>
          <w:delText>3801</w:delText>
        </w:r>
        <w:r w:rsidR="0055679E" w:rsidRPr="009C5EFD">
          <w:rPr>
            <w:sz w:val="22"/>
            <w:szCs w:val="22"/>
          </w:rPr>
          <w:delText xml:space="preserve"> </w:delText>
        </w:r>
        <w:r w:rsidRPr="009C5EFD">
          <w:rPr>
            <w:sz w:val="22"/>
            <w:szCs w:val="22"/>
          </w:rPr>
          <w:delText>pasienter som fikk placebo eller aktiv kontroll</w:delText>
        </w:r>
        <w:r w:rsidR="008C5E31" w:rsidRPr="009C5EFD">
          <w:rPr>
            <w:sz w:val="22"/>
            <w:szCs w:val="22"/>
          </w:rPr>
          <w:delText xml:space="preserve"> i løpet av kontrollperioden</w:delText>
        </w:r>
        <w:r w:rsidRPr="009C5EFD">
          <w:rPr>
            <w:sz w:val="22"/>
            <w:szCs w:val="22"/>
          </w:rPr>
          <w:delText xml:space="preserve">. </w:delText>
        </w:r>
      </w:del>
    </w:p>
    <w:p w14:paraId="18841F54" w14:textId="515CF2FC" w:rsidR="008C5E31" w:rsidRPr="009C5EFD" w:rsidRDefault="008C5E31" w:rsidP="002D0790">
      <w:pPr>
        <w:rPr>
          <w:del w:id="715" w:author="AbbVie02no" w:date="2025-05-15T12:36:00Z"/>
          <w:sz w:val="22"/>
          <w:szCs w:val="22"/>
        </w:rPr>
      </w:pPr>
    </w:p>
    <w:p w14:paraId="1FB28DF8" w14:textId="7C1FE77B" w:rsidR="002E62EC" w:rsidRPr="009C5EFD" w:rsidRDefault="00E453CD" w:rsidP="002D0790">
      <w:pPr>
        <w:rPr>
          <w:del w:id="716" w:author="AbbVie02no" w:date="2025-05-15T12:36:00Z"/>
          <w:sz w:val="22"/>
          <w:szCs w:val="22"/>
        </w:rPr>
      </w:pPr>
      <w:del w:id="717" w:author="AbbVie02no" w:date="2025-05-15T12:36:00Z">
        <w:r w:rsidRPr="009C5EFD">
          <w:rPr>
            <w:sz w:val="22"/>
            <w:szCs w:val="22"/>
          </w:rPr>
          <w:delText>Andelen pasienter som fikk seponert behandling</w:delText>
        </w:r>
        <w:r w:rsidR="006B6D86" w:rsidRPr="009C5EFD">
          <w:rPr>
            <w:sz w:val="22"/>
            <w:szCs w:val="22"/>
          </w:rPr>
          <w:delText>en</w:delText>
        </w:r>
        <w:r w:rsidRPr="009C5EFD">
          <w:rPr>
            <w:sz w:val="22"/>
            <w:szCs w:val="22"/>
          </w:rPr>
          <w:delText xml:space="preserve"> på grunn av bivirkninger under den dobbeltblinde</w:delText>
        </w:r>
        <w:r w:rsidR="006B6D86" w:rsidRPr="009C5EFD">
          <w:rPr>
            <w:sz w:val="22"/>
            <w:szCs w:val="22"/>
          </w:rPr>
          <w:delText>, kontrollerte</w:delText>
        </w:r>
        <w:r w:rsidRPr="009C5EFD">
          <w:rPr>
            <w:sz w:val="22"/>
            <w:szCs w:val="22"/>
          </w:rPr>
          <w:delText xml:space="preserve"> delen av </w:delText>
        </w:r>
        <w:r w:rsidR="00A2334F" w:rsidRPr="009C5EFD">
          <w:rPr>
            <w:sz w:val="22"/>
            <w:szCs w:val="22"/>
          </w:rPr>
          <w:delText xml:space="preserve">pivotale </w:delText>
        </w:r>
        <w:r w:rsidRPr="009C5EFD">
          <w:rPr>
            <w:sz w:val="22"/>
            <w:szCs w:val="22"/>
          </w:rPr>
          <w:delText>studier</w:delText>
        </w:r>
        <w:r w:rsidR="000512FC" w:rsidRPr="009C5EFD">
          <w:rPr>
            <w:sz w:val="22"/>
            <w:szCs w:val="22"/>
          </w:rPr>
          <w:delText>,</w:delText>
        </w:r>
        <w:r w:rsidRPr="009C5EFD">
          <w:rPr>
            <w:sz w:val="22"/>
            <w:szCs w:val="22"/>
          </w:rPr>
          <w:delText xml:space="preserve"> var </w:delText>
        </w:r>
        <w:r w:rsidR="001018A7" w:rsidRPr="009C5EFD">
          <w:rPr>
            <w:sz w:val="22"/>
            <w:szCs w:val="22"/>
          </w:rPr>
          <w:delText>5,</w:delText>
        </w:r>
        <w:r w:rsidR="0055679E">
          <w:rPr>
            <w:sz w:val="22"/>
            <w:szCs w:val="22"/>
          </w:rPr>
          <w:delText>9</w:delText>
        </w:r>
        <w:r w:rsidR="0055679E" w:rsidRPr="009C5EFD">
          <w:rPr>
            <w:sz w:val="22"/>
            <w:szCs w:val="22"/>
          </w:rPr>
          <w:delText xml:space="preserve"> </w:delText>
        </w:r>
        <w:r w:rsidR="00E51AA9" w:rsidRPr="009C5EFD">
          <w:rPr>
            <w:sz w:val="22"/>
            <w:szCs w:val="22"/>
          </w:rPr>
          <w:delText>%</w:delText>
        </w:r>
        <w:r w:rsidRPr="009C5EFD">
          <w:rPr>
            <w:sz w:val="22"/>
            <w:szCs w:val="22"/>
          </w:rPr>
          <w:delText xml:space="preserve"> for pasienter som fikk Humira og </w:delText>
        </w:r>
        <w:r w:rsidR="00935E31" w:rsidRPr="009C5EFD">
          <w:rPr>
            <w:sz w:val="22"/>
            <w:szCs w:val="22"/>
          </w:rPr>
          <w:delText>5,</w:delText>
        </w:r>
        <w:r w:rsidR="001018A7" w:rsidRPr="009C5EFD">
          <w:rPr>
            <w:sz w:val="22"/>
            <w:szCs w:val="22"/>
          </w:rPr>
          <w:delText xml:space="preserve">4 </w:delText>
        </w:r>
        <w:r w:rsidR="00E51AA9" w:rsidRPr="009C5EFD">
          <w:rPr>
            <w:sz w:val="22"/>
            <w:szCs w:val="22"/>
          </w:rPr>
          <w:delText>%</w:delText>
        </w:r>
        <w:r w:rsidRPr="009C5EFD">
          <w:rPr>
            <w:sz w:val="22"/>
            <w:szCs w:val="22"/>
          </w:rPr>
          <w:delText xml:space="preserve"> for pasienter i kontrollgrupper.</w:delText>
        </w:r>
      </w:del>
    </w:p>
    <w:p w14:paraId="1FFD1C44" w14:textId="6F005829" w:rsidR="00520138" w:rsidRPr="009C5EFD" w:rsidRDefault="00520138" w:rsidP="001F5D4B">
      <w:pPr>
        <w:rPr>
          <w:del w:id="718" w:author="AbbVie02no" w:date="2025-05-15T12:36:00Z"/>
          <w:sz w:val="22"/>
          <w:szCs w:val="22"/>
        </w:rPr>
      </w:pPr>
    </w:p>
    <w:p w14:paraId="4C3226E2" w14:textId="592831E5" w:rsidR="00520138" w:rsidRPr="009C5EFD" w:rsidRDefault="00E453CD" w:rsidP="001F5D4B">
      <w:pPr>
        <w:tabs>
          <w:tab w:val="left" w:pos="5529"/>
        </w:tabs>
        <w:rPr>
          <w:del w:id="719" w:author="AbbVie02no" w:date="2025-05-15T12:36:00Z"/>
          <w:sz w:val="22"/>
          <w:szCs w:val="22"/>
        </w:rPr>
      </w:pPr>
      <w:del w:id="720" w:author="AbbVie02no" w:date="2025-05-15T12:36:00Z">
        <w:r w:rsidRPr="009C5EFD">
          <w:rPr>
            <w:sz w:val="22"/>
            <w:szCs w:val="22"/>
          </w:rPr>
          <w:delText>De mest vanlig rapporterte bivirkninger er infeksjoner (som nasofaryngitt, øvre luftveisinfeksjon og sinusitt), reaksjoner på injeksjonssted (erytem, kløe, blødning, smerte</w:delText>
        </w:r>
        <w:r w:rsidR="00CE78B5">
          <w:rPr>
            <w:sz w:val="22"/>
            <w:szCs w:val="22"/>
          </w:rPr>
          <w:delText>r</w:delText>
        </w:r>
        <w:r w:rsidRPr="009C5EFD">
          <w:rPr>
            <w:sz w:val="22"/>
            <w:szCs w:val="22"/>
          </w:rPr>
          <w:delText xml:space="preserve"> eller hevelse), hodepine og smerter i skjelett og musk</w:delText>
        </w:r>
        <w:r w:rsidR="00344CC3" w:rsidRPr="009C5EFD">
          <w:rPr>
            <w:sz w:val="22"/>
            <w:szCs w:val="22"/>
          </w:rPr>
          <w:delText>ula</w:delText>
        </w:r>
        <w:r w:rsidRPr="009C5EFD">
          <w:rPr>
            <w:sz w:val="22"/>
            <w:szCs w:val="22"/>
          </w:rPr>
          <w:delText>t</w:delText>
        </w:r>
        <w:r w:rsidR="00344CC3" w:rsidRPr="009C5EFD">
          <w:rPr>
            <w:sz w:val="22"/>
            <w:szCs w:val="22"/>
          </w:rPr>
          <w:delText>u</w:delText>
        </w:r>
        <w:r w:rsidRPr="009C5EFD">
          <w:rPr>
            <w:sz w:val="22"/>
            <w:szCs w:val="22"/>
          </w:rPr>
          <w:delText xml:space="preserve">r. </w:delText>
        </w:r>
      </w:del>
    </w:p>
    <w:p w14:paraId="3B0A7F33" w14:textId="760F0ECE" w:rsidR="00520138" w:rsidRPr="009C5EFD" w:rsidRDefault="00520138" w:rsidP="007F67EE">
      <w:pPr>
        <w:rPr>
          <w:del w:id="721" w:author="AbbVie02no" w:date="2025-05-15T12:36:00Z"/>
          <w:sz w:val="22"/>
          <w:szCs w:val="22"/>
        </w:rPr>
      </w:pPr>
    </w:p>
    <w:p w14:paraId="1CBE8BDD" w14:textId="08E49930" w:rsidR="00520138" w:rsidRPr="009C5EFD" w:rsidRDefault="00E453CD" w:rsidP="007F67EE">
      <w:pPr>
        <w:rPr>
          <w:del w:id="722" w:author="AbbVie02no" w:date="2025-05-15T12:36:00Z"/>
          <w:sz w:val="22"/>
          <w:szCs w:val="22"/>
        </w:rPr>
      </w:pPr>
      <w:del w:id="723" w:author="AbbVie02no" w:date="2025-05-15T12:36:00Z">
        <w:r w:rsidRPr="009C5EFD">
          <w:rPr>
            <w:sz w:val="22"/>
            <w:szCs w:val="22"/>
          </w:rPr>
          <w:delText>Alvorlige bivirkninger er rapportert for Humira. TNF-antagonister som Humira påvirker immunsystemet og bruk av dem kan påvirke kroppens</w:delText>
        </w:r>
        <w:r w:rsidR="004768F2" w:rsidRPr="009C5EFD">
          <w:rPr>
            <w:sz w:val="22"/>
            <w:szCs w:val="22"/>
          </w:rPr>
          <w:delText xml:space="preserve"> </w:delText>
        </w:r>
        <w:r w:rsidRPr="009C5EFD">
          <w:rPr>
            <w:sz w:val="22"/>
            <w:szCs w:val="22"/>
          </w:rPr>
          <w:delText xml:space="preserve">forsvar mot infeksjon og kreft. </w:delText>
        </w:r>
      </w:del>
    </w:p>
    <w:p w14:paraId="550869F0" w14:textId="5A03D38F" w:rsidR="00520138" w:rsidRPr="009C5EFD" w:rsidRDefault="00E453CD" w:rsidP="00193D76">
      <w:pPr>
        <w:rPr>
          <w:del w:id="724" w:author="AbbVie02no" w:date="2025-05-15T12:36:00Z"/>
          <w:sz w:val="22"/>
          <w:szCs w:val="22"/>
        </w:rPr>
      </w:pPr>
      <w:del w:id="725" w:author="AbbVie02no" w:date="2025-05-15T12:36:00Z">
        <w:r w:rsidRPr="009C5EFD">
          <w:rPr>
            <w:sz w:val="22"/>
            <w:szCs w:val="22"/>
          </w:rPr>
          <w:delText xml:space="preserve">Fatale og livstruende </w:delText>
        </w:r>
        <w:r w:rsidR="00C40CB6">
          <w:rPr>
            <w:sz w:val="22"/>
            <w:szCs w:val="22"/>
          </w:rPr>
          <w:delText>infeksjoner</w:delText>
        </w:r>
        <w:r w:rsidR="00C40CB6" w:rsidRPr="009C5EFD">
          <w:rPr>
            <w:sz w:val="22"/>
            <w:szCs w:val="22"/>
          </w:rPr>
          <w:delText xml:space="preserve"> </w:delText>
        </w:r>
        <w:r w:rsidRPr="009C5EFD">
          <w:rPr>
            <w:sz w:val="22"/>
            <w:szCs w:val="22"/>
          </w:rPr>
          <w:delText>(inklusive sepsis, opportunistiske infeksjoner og TB), HBV-reaktiv</w:delText>
        </w:r>
        <w:r w:rsidR="00344CC3" w:rsidRPr="009C5EFD">
          <w:rPr>
            <w:sz w:val="22"/>
            <w:szCs w:val="22"/>
          </w:rPr>
          <w:delText>er</w:delText>
        </w:r>
        <w:r w:rsidRPr="009C5EFD">
          <w:rPr>
            <w:sz w:val="22"/>
            <w:szCs w:val="22"/>
          </w:rPr>
          <w:delText>ing og for</w:delText>
        </w:r>
        <w:r w:rsidR="006669BF" w:rsidRPr="009C5EFD">
          <w:rPr>
            <w:sz w:val="22"/>
            <w:szCs w:val="22"/>
          </w:rPr>
          <w:delText>s</w:delText>
        </w:r>
        <w:r w:rsidRPr="009C5EFD">
          <w:rPr>
            <w:sz w:val="22"/>
            <w:szCs w:val="22"/>
          </w:rPr>
          <w:delText>kjellige maligniteter (inklusive leukemi, lymfom og HSTCL) er også rapportert ved bruk av Humira.</w:delText>
        </w:r>
      </w:del>
    </w:p>
    <w:p w14:paraId="3ED4EF0F" w14:textId="5FD7EDE3" w:rsidR="00520138" w:rsidRPr="009C5EFD" w:rsidRDefault="00520138" w:rsidP="002D0790">
      <w:pPr>
        <w:rPr>
          <w:del w:id="726" w:author="AbbVie02no" w:date="2025-05-15T12:36:00Z"/>
          <w:sz w:val="22"/>
          <w:szCs w:val="22"/>
        </w:rPr>
      </w:pPr>
    </w:p>
    <w:p w14:paraId="09E3E83F" w14:textId="0B38B62B" w:rsidR="00520138" w:rsidRPr="009C5EFD" w:rsidRDefault="00E453CD" w:rsidP="002D0790">
      <w:pPr>
        <w:rPr>
          <w:del w:id="727" w:author="AbbVie02no" w:date="2025-05-15T12:36:00Z"/>
          <w:sz w:val="22"/>
          <w:szCs w:val="22"/>
        </w:rPr>
      </w:pPr>
      <w:del w:id="728" w:author="AbbVie02no" w:date="2025-05-15T12:36:00Z">
        <w:r w:rsidRPr="009C5EFD">
          <w:rPr>
            <w:sz w:val="22"/>
            <w:szCs w:val="22"/>
          </w:rPr>
          <w:delText>Alvorlige hematologiske, nevrologiske og autoimmune reaksjoner er også rapportert. Disse inkluderer sjeldne tilfeller av pancytopeni, aplastisk anemi, sentral</w:delText>
        </w:r>
        <w:r w:rsidR="00344CC3" w:rsidRPr="009C5EFD">
          <w:rPr>
            <w:sz w:val="22"/>
            <w:szCs w:val="22"/>
          </w:rPr>
          <w:delText>e</w:delText>
        </w:r>
        <w:r w:rsidRPr="009C5EFD">
          <w:rPr>
            <w:sz w:val="22"/>
            <w:szCs w:val="22"/>
          </w:rPr>
          <w:delText xml:space="preserve"> og perifer</w:delText>
        </w:r>
        <w:r w:rsidR="00344CC3" w:rsidRPr="009C5EFD">
          <w:rPr>
            <w:sz w:val="22"/>
            <w:szCs w:val="22"/>
          </w:rPr>
          <w:delText>e</w:delText>
        </w:r>
        <w:r w:rsidRPr="009C5EFD">
          <w:rPr>
            <w:sz w:val="22"/>
            <w:szCs w:val="22"/>
          </w:rPr>
          <w:delText xml:space="preserve"> demyeliniseringsforstyrrelser og tilfeller av lupus, lupusrelaterte tilstander og Stevens-Johnson</w:delText>
        </w:r>
        <w:r w:rsidR="00344CC3" w:rsidRPr="009C5EFD">
          <w:rPr>
            <w:sz w:val="22"/>
            <w:szCs w:val="22"/>
          </w:rPr>
          <w:delText xml:space="preserve"> </w:delText>
        </w:r>
        <w:r w:rsidRPr="009C5EFD">
          <w:rPr>
            <w:sz w:val="22"/>
            <w:szCs w:val="22"/>
          </w:rPr>
          <w:delText>syndrom.</w:delText>
        </w:r>
      </w:del>
    </w:p>
    <w:p w14:paraId="07516B8B" w14:textId="19B14AAB" w:rsidR="00732C86" w:rsidRPr="009C5EFD" w:rsidRDefault="00732C86" w:rsidP="00E14E58">
      <w:pPr>
        <w:rPr>
          <w:del w:id="729" w:author="AbbVie02no" w:date="2025-05-15T12:36:00Z"/>
          <w:sz w:val="22"/>
          <w:szCs w:val="22"/>
        </w:rPr>
      </w:pPr>
    </w:p>
    <w:p w14:paraId="59975EE1" w14:textId="6EFA7775" w:rsidR="00732C86" w:rsidRPr="009C5EFD" w:rsidRDefault="00E453CD" w:rsidP="001F5D4B">
      <w:pPr>
        <w:keepNext/>
        <w:rPr>
          <w:del w:id="730" w:author="AbbVie02no" w:date="2025-05-15T12:36:00Z"/>
          <w:sz w:val="22"/>
          <w:szCs w:val="22"/>
          <w:u w:val="single"/>
        </w:rPr>
      </w:pPr>
      <w:del w:id="731" w:author="AbbVie02no" w:date="2025-05-15T12:36:00Z">
        <w:r w:rsidRPr="009C5EFD">
          <w:rPr>
            <w:sz w:val="22"/>
            <w:szCs w:val="22"/>
            <w:u w:val="single"/>
          </w:rPr>
          <w:delText>Pediatrisk populasjon</w:delText>
        </w:r>
      </w:del>
    </w:p>
    <w:p w14:paraId="1F1FBE19" w14:textId="19C5B792" w:rsidR="00DE3458" w:rsidRPr="009C5EFD" w:rsidRDefault="00DE3458" w:rsidP="001F5D4B">
      <w:pPr>
        <w:keepNext/>
        <w:rPr>
          <w:del w:id="732" w:author="AbbVie02no" w:date="2025-05-15T12:36:00Z"/>
          <w:sz w:val="22"/>
          <w:szCs w:val="22"/>
        </w:rPr>
      </w:pPr>
    </w:p>
    <w:p w14:paraId="1FCC8F30" w14:textId="5816B492" w:rsidR="00900114" w:rsidRPr="009C5EFD" w:rsidRDefault="00E453CD" w:rsidP="00776A84">
      <w:pPr>
        <w:rPr>
          <w:del w:id="733" w:author="AbbVie02no" w:date="2025-05-15T12:36:00Z"/>
          <w:sz w:val="22"/>
          <w:szCs w:val="22"/>
        </w:rPr>
      </w:pPr>
      <w:del w:id="734" w:author="AbbVie02no" w:date="2025-05-15T12:36:00Z">
        <w:r w:rsidRPr="009C5EFD">
          <w:rPr>
            <w:sz w:val="22"/>
            <w:szCs w:val="22"/>
          </w:rPr>
          <w:delText>Generelt hadde bivirkninger hos barn samme frekvens og type som hos voksne pasienter.</w:delText>
        </w:r>
      </w:del>
    </w:p>
    <w:p w14:paraId="059DF092" w14:textId="7A1A1F2D" w:rsidR="00732C86" w:rsidRPr="009C5EFD" w:rsidRDefault="00732C86" w:rsidP="007F67EE">
      <w:pPr>
        <w:rPr>
          <w:del w:id="735" w:author="AbbVie02no" w:date="2025-05-15T12:36:00Z"/>
          <w:sz w:val="22"/>
          <w:szCs w:val="22"/>
        </w:rPr>
      </w:pPr>
    </w:p>
    <w:p w14:paraId="1722B322" w14:textId="251B9040" w:rsidR="00732C86" w:rsidRPr="009C5EFD" w:rsidRDefault="00E453CD" w:rsidP="001F5D4B">
      <w:pPr>
        <w:keepNext/>
        <w:rPr>
          <w:del w:id="736" w:author="AbbVie02no" w:date="2025-05-15T12:36:00Z"/>
          <w:sz w:val="22"/>
          <w:szCs w:val="22"/>
          <w:u w:val="single"/>
        </w:rPr>
      </w:pPr>
      <w:del w:id="737" w:author="AbbVie02no" w:date="2025-05-15T12:36:00Z">
        <w:r>
          <w:rPr>
            <w:sz w:val="22"/>
            <w:szCs w:val="22"/>
            <w:u w:val="single"/>
          </w:rPr>
          <w:lastRenderedPageBreak/>
          <w:delText>Bivirkningstabell</w:delText>
        </w:r>
      </w:del>
    </w:p>
    <w:p w14:paraId="293EEBA1" w14:textId="2D799E8C" w:rsidR="00900114" w:rsidRPr="009C5EFD" w:rsidRDefault="00900114" w:rsidP="001F5D4B">
      <w:pPr>
        <w:keepNext/>
        <w:rPr>
          <w:del w:id="738" w:author="AbbVie02no" w:date="2025-05-15T12:36:00Z"/>
          <w:sz w:val="22"/>
          <w:szCs w:val="22"/>
        </w:rPr>
      </w:pPr>
    </w:p>
    <w:p w14:paraId="6DE255E1" w14:textId="697949F3" w:rsidR="00A7644F" w:rsidRPr="009C5EFD" w:rsidRDefault="00E453CD" w:rsidP="00776A84">
      <w:pPr>
        <w:rPr>
          <w:del w:id="739" w:author="AbbVie02no" w:date="2025-05-15T12:36:00Z"/>
          <w:sz w:val="22"/>
          <w:szCs w:val="22"/>
        </w:rPr>
      </w:pPr>
      <w:del w:id="740" w:author="AbbVie02no" w:date="2025-05-15T12:36:00Z">
        <w:r w:rsidRPr="009C5EFD">
          <w:rPr>
            <w:sz w:val="22"/>
            <w:szCs w:val="22"/>
          </w:rPr>
          <w:delText xml:space="preserve">Følgende liste av bivirkninger er basert på erfaring fra kliniske studier og </w:delText>
        </w:r>
        <w:r w:rsidR="00344CC3" w:rsidRPr="009C5EFD">
          <w:rPr>
            <w:sz w:val="22"/>
            <w:szCs w:val="22"/>
          </w:rPr>
          <w:delText xml:space="preserve">erfaring </w:delText>
        </w:r>
        <w:r w:rsidRPr="009C5EFD">
          <w:rPr>
            <w:sz w:val="22"/>
            <w:szCs w:val="22"/>
          </w:rPr>
          <w:delText>etter markedsf</w:delText>
        </w:r>
        <w:r w:rsidR="00212C17" w:rsidRPr="009C5EFD">
          <w:rPr>
            <w:sz w:val="22"/>
            <w:szCs w:val="22"/>
          </w:rPr>
          <w:delText xml:space="preserve">øring og </w:delText>
        </w:r>
        <w:r w:rsidR="00DE3458" w:rsidRPr="009C5EFD">
          <w:rPr>
            <w:sz w:val="22"/>
            <w:szCs w:val="22"/>
          </w:rPr>
          <w:delText>er vist i henhold til organ</w:delText>
        </w:r>
        <w:r w:rsidR="00344CC3" w:rsidRPr="009C5EFD">
          <w:rPr>
            <w:sz w:val="22"/>
            <w:szCs w:val="22"/>
          </w:rPr>
          <w:delText>klasse</w:delText>
        </w:r>
        <w:r w:rsidR="00DE3458" w:rsidRPr="009C5EFD">
          <w:rPr>
            <w:sz w:val="22"/>
            <w:szCs w:val="22"/>
          </w:rPr>
          <w:delText xml:space="preserve">system og forekomst </w:delText>
        </w:r>
        <w:r w:rsidR="00F47F25" w:rsidRPr="009C5EFD">
          <w:rPr>
            <w:sz w:val="22"/>
            <w:szCs w:val="22"/>
          </w:rPr>
          <w:delText xml:space="preserve">i tabell </w:delText>
        </w:r>
        <w:r w:rsidR="00E3288A">
          <w:rPr>
            <w:sz w:val="22"/>
            <w:szCs w:val="22"/>
          </w:rPr>
          <w:delText>7</w:delText>
        </w:r>
        <w:r w:rsidR="00E3288A" w:rsidRPr="009C5EFD">
          <w:rPr>
            <w:sz w:val="22"/>
            <w:szCs w:val="22"/>
          </w:rPr>
          <w:delText xml:space="preserve"> </w:delText>
        </w:r>
        <w:r w:rsidR="00F47F25" w:rsidRPr="009C5EFD">
          <w:rPr>
            <w:sz w:val="22"/>
            <w:szCs w:val="22"/>
          </w:rPr>
          <w:delText>nedenfor: S</w:delText>
        </w:r>
        <w:r w:rsidR="00DE3458" w:rsidRPr="009C5EFD">
          <w:rPr>
            <w:sz w:val="22"/>
            <w:szCs w:val="22"/>
          </w:rPr>
          <w:delText xml:space="preserve">vært vanlige </w:delText>
        </w:r>
        <w:r w:rsidR="009910AE" w:rsidRPr="009C5EFD">
          <w:rPr>
            <w:sz w:val="22"/>
            <w:szCs w:val="22"/>
          </w:rPr>
          <w:delText>(</w:delText>
        </w:r>
        <w:r w:rsidR="00DE3458" w:rsidRPr="007F67EE">
          <w:rPr>
            <w:rFonts w:ascii="Symbol" w:hAnsi="Symbol"/>
            <w:sz w:val="22"/>
            <w:szCs w:val="22"/>
          </w:rPr>
          <w:sym w:font="Symbol" w:char="F0B3"/>
        </w:r>
        <w:r w:rsidR="00DE3458" w:rsidRPr="007F67EE">
          <w:rPr>
            <w:sz w:val="22"/>
            <w:szCs w:val="22"/>
          </w:rPr>
          <w:delText xml:space="preserve"> 1/10</w:delText>
        </w:r>
        <w:r w:rsidR="009910AE" w:rsidRPr="007F67EE">
          <w:rPr>
            <w:sz w:val="22"/>
            <w:szCs w:val="22"/>
          </w:rPr>
          <w:delText>)</w:delText>
        </w:r>
        <w:r w:rsidR="00DE3458" w:rsidRPr="007F67EE">
          <w:rPr>
            <w:sz w:val="22"/>
            <w:szCs w:val="22"/>
          </w:rPr>
          <w:delText xml:space="preserve">; vanlige </w:delText>
        </w:r>
        <w:r w:rsidR="00F47F25" w:rsidRPr="007F67EE">
          <w:rPr>
            <w:sz w:val="22"/>
            <w:szCs w:val="22"/>
          </w:rPr>
          <w:delText>(</w:delText>
        </w:r>
        <w:r w:rsidR="00DE3458" w:rsidRPr="007F67EE">
          <w:rPr>
            <w:rFonts w:ascii="Symbol" w:hAnsi="Symbol"/>
            <w:sz w:val="22"/>
            <w:szCs w:val="22"/>
          </w:rPr>
          <w:sym w:font="Symbol" w:char="F0B3"/>
        </w:r>
        <w:r w:rsidR="00DE3458" w:rsidRPr="007F67EE">
          <w:rPr>
            <w:sz w:val="22"/>
            <w:szCs w:val="22"/>
          </w:rPr>
          <w:delText xml:space="preserve"> 1/100 til &lt; 1/10</w:delText>
        </w:r>
        <w:r w:rsidR="00F47F25" w:rsidRPr="007F67EE">
          <w:rPr>
            <w:sz w:val="22"/>
            <w:szCs w:val="22"/>
          </w:rPr>
          <w:delText>)</w:delText>
        </w:r>
        <w:r w:rsidR="00DE3458" w:rsidRPr="007F67EE">
          <w:rPr>
            <w:sz w:val="22"/>
            <w:szCs w:val="22"/>
          </w:rPr>
          <w:delText xml:space="preserve">; mindre vanlige </w:delText>
        </w:r>
        <w:r w:rsidR="00F47F25" w:rsidRPr="007F67EE">
          <w:rPr>
            <w:sz w:val="22"/>
            <w:szCs w:val="22"/>
          </w:rPr>
          <w:delText>(</w:delText>
        </w:r>
        <w:r w:rsidR="00DE3458" w:rsidRPr="007F67EE">
          <w:rPr>
            <w:rFonts w:ascii="Symbol" w:hAnsi="Symbol"/>
            <w:sz w:val="22"/>
            <w:szCs w:val="22"/>
          </w:rPr>
          <w:sym w:font="Symbol" w:char="F0B3"/>
        </w:r>
        <w:r w:rsidR="00DE3458" w:rsidRPr="007F67EE">
          <w:rPr>
            <w:sz w:val="22"/>
            <w:szCs w:val="22"/>
          </w:rPr>
          <w:delText xml:space="preserve"> 1/1000 til &lt; 1/100</w:delText>
        </w:r>
        <w:r w:rsidR="00F47F25" w:rsidRPr="007F67EE">
          <w:rPr>
            <w:sz w:val="22"/>
            <w:szCs w:val="22"/>
          </w:rPr>
          <w:delText>)</w:delText>
        </w:r>
        <w:r w:rsidR="00816410" w:rsidRPr="007F67EE">
          <w:rPr>
            <w:sz w:val="22"/>
            <w:szCs w:val="22"/>
          </w:rPr>
          <w:delText>;</w:delText>
        </w:r>
        <w:r w:rsidR="00DE3458" w:rsidRPr="007F67EE">
          <w:rPr>
            <w:sz w:val="22"/>
            <w:szCs w:val="22"/>
          </w:rPr>
          <w:delText xml:space="preserve"> sjeldne </w:delText>
        </w:r>
        <w:r w:rsidR="0045190A" w:rsidRPr="007F67EE">
          <w:rPr>
            <w:sz w:val="22"/>
            <w:szCs w:val="22"/>
          </w:rPr>
          <w:delText>(</w:delText>
        </w:r>
        <w:r w:rsidR="00DE3458" w:rsidRPr="007F67EE">
          <w:rPr>
            <w:rFonts w:ascii="Symbol" w:hAnsi="Symbol"/>
            <w:sz w:val="22"/>
            <w:szCs w:val="22"/>
          </w:rPr>
          <w:sym w:font="Symbol" w:char="F0B3"/>
        </w:r>
        <w:r w:rsidR="00DE3458" w:rsidRPr="007F67EE">
          <w:rPr>
            <w:sz w:val="22"/>
            <w:szCs w:val="22"/>
          </w:rPr>
          <w:delText xml:space="preserve"> 1/10</w:delText>
        </w:r>
        <w:r w:rsidR="00344CC3" w:rsidRPr="007F67EE">
          <w:rPr>
            <w:sz w:val="22"/>
            <w:szCs w:val="22"/>
          </w:rPr>
          <w:delText xml:space="preserve"> </w:delText>
        </w:r>
        <w:r w:rsidR="00DE3458" w:rsidRPr="007F67EE">
          <w:rPr>
            <w:sz w:val="22"/>
            <w:szCs w:val="22"/>
          </w:rPr>
          <w:delText>000 til &lt; 1/1000</w:delText>
        </w:r>
        <w:r w:rsidR="0045190A" w:rsidRPr="007F67EE">
          <w:rPr>
            <w:sz w:val="22"/>
            <w:szCs w:val="22"/>
          </w:rPr>
          <w:delText>)</w:delText>
        </w:r>
        <w:r w:rsidR="00DE3458" w:rsidRPr="007F67EE">
          <w:rPr>
            <w:sz w:val="22"/>
            <w:szCs w:val="22"/>
          </w:rPr>
          <w:delText xml:space="preserve"> og </w:delText>
        </w:r>
        <w:r w:rsidR="00344CC3" w:rsidRPr="00193D76">
          <w:rPr>
            <w:sz w:val="22"/>
            <w:szCs w:val="22"/>
          </w:rPr>
          <w:delText>ikke kjent</w:delText>
        </w:r>
        <w:r w:rsidR="00212C17" w:rsidRPr="00193D76">
          <w:rPr>
            <w:sz w:val="22"/>
            <w:szCs w:val="22"/>
          </w:rPr>
          <w:delText xml:space="preserve"> </w:delText>
        </w:r>
        <w:r w:rsidR="0045190A" w:rsidRPr="002D0790">
          <w:rPr>
            <w:sz w:val="22"/>
            <w:szCs w:val="22"/>
          </w:rPr>
          <w:delText>(</w:delText>
        </w:r>
        <w:r w:rsidR="00212C17" w:rsidRPr="00E14E58">
          <w:rPr>
            <w:sz w:val="22"/>
            <w:szCs w:val="22"/>
          </w:rPr>
          <w:delText xml:space="preserve">kan ikke anslås ut </w:delText>
        </w:r>
        <w:r w:rsidR="00860FA9" w:rsidRPr="009C5EFD">
          <w:rPr>
            <w:sz w:val="22"/>
            <w:szCs w:val="22"/>
          </w:rPr>
          <w:delText>i</w:delText>
        </w:r>
        <w:r w:rsidR="00212C17" w:rsidRPr="009C5EFD">
          <w:rPr>
            <w:sz w:val="22"/>
            <w:szCs w:val="22"/>
          </w:rPr>
          <w:delText>fra tilgjengelig data)</w:delText>
        </w:r>
        <w:r w:rsidR="00DE3458" w:rsidRPr="009C5EFD">
          <w:rPr>
            <w:sz w:val="22"/>
            <w:szCs w:val="22"/>
          </w:rPr>
          <w:delText xml:space="preserve">. Innenfor hver frekvensgruppering er bivirkninger presentert etter synkende alvorlighetsgrad. </w:delText>
        </w:r>
        <w:r w:rsidRPr="009C5EFD">
          <w:rPr>
            <w:sz w:val="22"/>
            <w:szCs w:val="22"/>
          </w:rPr>
          <w:delText xml:space="preserve">Den høyeste frekvens som er sett blant de forskjellige indikasjonene er inkludert. Dersom det finnes ytterligere informasjon et annet sted i </w:delText>
        </w:r>
        <w:r w:rsidR="00ED6DD4">
          <w:rPr>
            <w:sz w:val="22"/>
            <w:szCs w:val="22"/>
          </w:rPr>
          <w:delText>pkt.</w:delText>
        </w:r>
        <w:r w:rsidRPr="009C5EFD">
          <w:rPr>
            <w:sz w:val="22"/>
            <w:szCs w:val="22"/>
          </w:rPr>
          <w:delText xml:space="preserve"> 4.3, 4.4. og 4.8 vil de</w:delText>
        </w:r>
        <w:r w:rsidR="002C5FF3" w:rsidRPr="009C5EFD">
          <w:rPr>
            <w:sz w:val="22"/>
            <w:szCs w:val="22"/>
          </w:rPr>
          <w:delText>nne</w:delText>
        </w:r>
        <w:r w:rsidRPr="009C5EFD">
          <w:rPr>
            <w:sz w:val="22"/>
            <w:szCs w:val="22"/>
          </w:rPr>
          <w:delText xml:space="preserve"> bli </w:delText>
        </w:r>
        <w:r w:rsidR="002C5FF3" w:rsidRPr="009C5EFD">
          <w:rPr>
            <w:sz w:val="22"/>
            <w:szCs w:val="22"/>
          </w:rPr>
          <w:delText xml:space="preserve">merket </w:delText>
        </w:r>
        <w:r w:rsidRPr="009C5EFD">
          <w:rPr>
            <w:sz w:val="22"/>
            <w:szCs w:val="22"/>
          </w:rPr>
          <w:delText xml:space="preserve">med stjerne </w:delText>
        </w:r>
        <w:r w:rsidR="002E1902">
          <w:rPr>
            <w:sz w:val="22"/>
            <w:szCs w:val="22"/>
          </w:rPr>
          <w:delText>(*)</w:delText>
        </w:r>
        <w:r w:rsidRPr="009C5EFD">
          <w:rPr>
            <w:sz w:val="22"/>
            <w:szCs w:val="22"/>
          </w:rPr>
          <w:delText xml:space="preserve"> i </w:delText>
        </w:r>
        <w:r w:rsidR="003916A0" w:rsidRPr="009C5EFD">
          <w:rPr>
            <w:sz w:val="22"/>
            <w:szCs w:val="22"/>
          </w:rPr>
          <w:delText>organ</w:delText>
        </w:r>
        <w:r w:rsidR="00257EC7">
          <w:rPr>
            <w:sz w:val="22"/>
            <w:szCs w:val="22"/>
          </w:rPr>
          <w:delText>klasse</w:delText>
        </w:r>
        <w:r w:rsidR="003916A0" w:rsidRPr="009C5EFD">
          <w:rPr>
            <w:sz w:val="22"/>
            <w:szCs w:val="22"/>
          </w:rPr>
          <w:delText xml:space="preserve">system </w:delText>
        </w:r>
        <w:r w:rsidRPr="009C5EFD">
          <w:rPr>
            <w:sz w:val="22"/>
            <w:szCs w:val="22"/>
          </w:rPr>
          <w:delText>kolonnen.</w:delText>
        </w:r>
      </w:del>
    </w:p>
    <w:p w14:paraId="1F058324" w14:textId="6D16D314" w:rsidR="0094707B" w:rsidRPr="009C5EFD" w:rsidRDefault="0094707B" w:rsidP="007F67EE">
      <w:pPr>
        <w:jc w:val="center"/>
        <w:rPr>
          <w:del w:id="741" w:author="AbbVie02no" w:date="2025-05-15T12:36:00Z"/>
          <w:b/>
          <w:sz w:val="22"/>
          <w:szCs w:val="22"/>
        </w:rPr>
      </w:pPr>
    </w:p>
    <w:p w14:paraId="3184ACDC" w14:textId="27212407" w:rsidR="00DE3458" w:rsidRPr="009C5EFD" w:rsidRDefault="00E453CD" w:rsidP="00776A84">
      <w:pPr>
        <w:keepNext/>
        <w:jc w:val="center"/>
        <w:rPr>
          <w:del w:id="742" w:author="AbbVie02no" w:date="2025-05-15T12:36:00Z"/>
          <w:b/>
          <w:sz w:val="22"/>
          <w:szCs w:val="22"/>
        </w:rPr>
      </w:pPr>
      <w:del w:id="743" w:author="AbbVie02no" w:date="2025-05-15T12:36:00Z">
        <w:r w:rsidRPr="009C5EFD">
          <w:rPr>
            <w:b/>
            <w:sz w:val="22"/>
            <w:szCs w:val="22"/>
          </w:rPr>
          <w:delText xml:space="preserve">Tabell </w:delText>
        </w:r>
        <w:r w:rsidR="00E3288A">
          <w:rPr>
            <w:b/>
            <w:sz w:val="22"/>
            <w:szCs w:val="22"/>
          </w:rPr>
          <w:delText>7</w:delText>
        </w:r>
      </w:del>
    </w:p>
    <w:p w14:paraId="49E830EA" w14:textId="07F7408B" w:rsidR="00DE3458" w:rsidRPr="009C5EFD" w:rsidRDefault="00E453CD" w:rsidP="00776A84">
      <w:pPr>
        <w:keepNext/>
        <w:jc w:val="center"/>
        <w:rPr>
          <w:del w:id="744" w:author="AbbVie02no" w:date="2025-05-15T12:36:00Z"/>
          <w:b/>
          <w:sz w:val="22"/>
          <w:szCs w:val="22"/>
        </w:rPr>
      </w:pPr>
      <w:del w:id="745" w:author="AbbVie02no" w:date="2025-05-15T12:36:00Z">
        <w:r w:rsidRPr="009C5EFD">
          <w:rPr>
            <w:b/>
            <w:sz w:val="22"/>
            <w:szCs w:val="22"/>
          </w:rPr>
          <w:delText xml:space="preserve">Bivirkninger </w:delText>
        </w:r>
      </w:del>
    </w:p>
    <w:p w14:paraId="6BA9554D" w14:textId="796A088B" w:rsidR="00DE3458" w:rsidRPr="009C5EFD" w:rsidRDefault="00E453CD" w:rsidP="0015674E">
      <w:pPr>
        <w:keepNext/>
        <w:tabs>
          <w:tab w:val="left" w:pos="6969"/>
        </w:tabs>
        <w:rPr>
          <w:del w:id="746" w:author="AbbVie02no" w:date="2025-05-15T12:36:00Z"/>
          <w:b/>
          <w:sz w:val="22"/>
          <w:szCs w:val="22"/>
        </w:rPr>
      </w:pPr>
      <w:del w:id="747" w:author="AbbVie02no" w:date="2025-05-15T12:36:00Z">
        <w:r>
          <w:rPr>
            <w:b/>
            <w:sz w:val="22"/>
            <w:szCs w:val="22"/>
          </w:rPr>
          <w:tab/>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9"/>
        <w:gridCol w:w="1682"/>
        <w:gridCol w:w="4294"/>
      </w:tblGrid>
      <w:tr w:rsidR="004644D4" w14:paraId="5E46878D" w14:textId="686862BD" w:rsidTr="00032240">
        <w:trPr>
          <w:del w:id="748" w:author="AbbVie02no" w:date="2025-05-15T12:36:00Z"/>
        </w:trPr>
        <w:tc>
          <w:tcPr>
            <w:tcW w:w="3079" w:type="dxa"/>
          </w:tcPr>
          <w:p w14:paraId="5A3A5213" w14:textId="243ED41F" w:rsidR="000D2C01" w:rsidRPr="002C5CDB" w:rsidRDefault="00E453CD" w:rsidP="001F5D4B">
            <w:pPr>
              <w:widowControl w:val="0"/>
              <w:tabs>
                <w:tab w:val="left" w:pos="562"/>
              </w:tabs>
              <w:suppressAutoHyphens/>
              <w:spacing w:before="120" w:after="120"/>
              <w:jc w:val="center"/>
              <w:rPr>
                <w:del w:id="749" w:author="AbbVie02no" w:date="2025-05-15T12:36:00Z"/>
                <w:b/>
                <w:bCs/>
                <w:rPrChange w:id="750" w:author="AbbVie05no" w:date="2025-05-19T10:32:00Z">
                  <w:rPr>
                    <w:del w:id="751" w:author="AbbVie02no" w:date="2025-05-15T12:36:00Z"/>
                    <w:b/>
                    <w:bCs/>
                    <w:lang w:val="en-GB"/>
                  </w:rPr>
                </w:rPrChange>
              </w:rPr>
            </w:pPr>
            <w:del w:id="752" w:author="AbbVie02no" w:date="2025-05-15T12:36:00Z">
              <w:r w:rsidRPr="002C5CDB">
                <w:rPr>
                  <w:b/>
                  <w:bCs/>
                  <w:sz w:val="22"/>
                  <w:rPrChange w:id="753" w:author="AbbVie05no" w:date="2025-05-19T10:32:00Z">
                    <w:rPr>
                      <w:b/>
                      <w:bCs/>
                      <w:sz w:val="22"/>
                      <w:lang w:val="en-GB"/>
                    </w:rPr>
                  </w:rPrChange>
                </w:rPr>
                <w:delText>Organ</w:delText>
              </w:r>
              <w:r w:rsidR="00344CC3" w:rsidRPr="002C5CDB">
                <w:rPr>
                  <w:b/>
                  <w:bCs/>
                  <w:sz w:val="22"/>
                  <w:rPrChange w:id="754" w:author="AbbVie05no" w:date="2025-05-19T10:32:00Z">
                    <w:rPr>
                      <w:b/>
                      <w:bCs/>
                      <w:sz w:val="22"/>
                      <w:lang w:val="en-GB"/>
                    </w:rPr>
                  </w:rPrChange>
                </w:rPr>
                <w:delText>klasse</w:delText>
              </w:r>
              <w:r w:rsidRPr="002C5CDB">
                <w:rPr>
                  <w:b/>
                  <w:bCs/>
                  <w:sz w:val="22"/>
                  <w:rPrChange w:id="755" w:author="AbbVie05no" w:date="2025-05-19T10:32:00Z">
                    <w:rPr>
                      <w:b/>
                      <w:bCs/>
                      <w:sz w:val="22"/>
                      <w:lang w:val="en-GB"/>
                    </w:rPr>
                  </w:rPrChange>
                </w:rPr>
                <w:delText>system</w:delText>
              </w:r>
            </w:del>
          </w:p>
        </w:tc>
        <w:tc>
          <w:tcPr>
            <w:tcW w:w="1682" w:type="dxa"/>
            <w:tcBorders>
              <w:bottom w:val="single" w:sz="4" w:space="0" w:color="auto"/>
            </w:tcBorders>
          </w:tcPr>
          <w:p w14:paraId="0A6B7A59" w14:textId="0B975FB6" w:rsidR="000D2C01" w:rsidRPr="002C5CDB" w:rsidRDefault="00E453CD" w:rsidP="001F5D4B">
            <w:pPr>
              <w:widowControl w:val="0"/>
              <w:tabs>
                <w:tab w:val="left" w:pos="562"/>
              </w:tabs>
              <w:suppressAutoHyphens/>
              <w:spacing w:before="120" w:after="120"/>
              <w:jc w:val="center"/>
              <w:rPr>
                <w:del w:id="756" w:author="AbbVie02no" w:date="2025-05-15T12:36:00Z"/>
                <w:b/>
                <w:bCs/>
                <w:rPrChange w:id="757" w:author="AbbVie05no" w:date="2025-05-19T10:32:00Z">
                  <w:rPr>
                    <w:del w:id="758" w:author="AbbVie02no" w:date="2025-05-15T12:36:00Z"/>
                    <w:b/>
                    <w:bCs/>
                    <w:lang w:val="en-GB"/>
                  </w:rPr>
                </w:rPrChange>
              </w:rPr>
            </w:pPr>
            <w:del w:id="759" w:author="AbbVie02no" w:date="2025-05-15T12:36:00Z">
              <w:r w:rsidRPr="002C5CDB">
                <w:rPr>
                  <w:b/>
                  <w:bCs/>
                  <w:sz w:val="22"/>
                  <w:rPrChange w:id="760" w:author="AbbVie05no" w:date="2025-05-19T10:32:00Z">
                    <w:rPr>
                      <w:b/>
                      <w:bCs/>
                      <w:sz w:val="22"/>
                      <w:lang w:val="en-GB"/>
                    </w:rPr>
                  </w:rPrChange>
                </w:rPr>
                <w:delText>Frekvens</w:delText>
              </w:r>
            </w:del>
          </w:p>
        </w:tc>
        <w:tc>
          <w:tcPr>
            <w:tcW w:w="4294" w:type="dxa"/>
            <w:tcBorders>
              <w:bottom w:val="single" w:sz="4" w:space="0" w:color="auto"/>
            </w:tcBorders>
          </w:tcPr>
          <w:p w14:paraId="58415AD5" w14:textId="214B7F89" w:rsidR="000D2C01" w:rsidRPr="002C5CDB" w:rsidRDefault="00E453CD" w:rsidP="001F5D4B">
            <w:pPr>
              <w:widowControl w:val="0"/>
              <w:tabs>
                <w:tab w:val="left" w:pos="562"/>
              </w:tabs>
              <w:suppressAutoHyphens/>
              <w:spacing w:before="120" w:after="120"/>
              <w:jc w:val="center"/>
              <w:rPr>
                <w:del w:id="761" w:author="AbbVie02no" w:date="2025-05-15T12:36:00Z"/>
                <w:b/>
                <w:bCs/>
                <w:rPrChange w:id="762" w:author="AbbVie05no" w:date="2025-05-19T10:32:00Z">
                  <w:rPr>
                    <w:del w:id="763" w:author="AbbVie02no" w:date="2025-05-15T12:36:00Z"/>
                    <w:b/>
                    <w:bCs/>
                    <w:lang w:val="en-GB"/>
                  </w:rPr>
                </w:rPrChange>
              </w:rPr>
            </w:pPr>
            <w:del w:id="764" w:author="AbbVie02no" w:date="2025-05-15T12:36:00Z">
              <w:r w:rsidRPr="002C5CDB">
                <w:rPr>
                  <w:b/>
                  <w:bCs/>
                  <w:sz w:val="22"/>
                  <w:rPrChange w:id="765" w:author="AbbVie05no" w:date="2025-05-19T10:32:00Z">
                    <w:rPr>
                      <w:b/>
                      <w:bCs/>
                      <w:sz w:val="22"/>
                      <w:lang w:val="en-GB"/>
                    </w:rPr>
                  </w:rPrChange>
                </w:rPr>
                <w:delText>Bivirkninger</w:delText>
              </w:r>
            </w:del>
          </w:p>
        </w:tc>
      </w:tr>
      <w:tr w:rsidR="004644D4" w14:paraId="0158AE43" w14:textId="23ADA863" w:rsidTr="00032240">
        <w:trPr>
          <w:trHeight w:val="1061"/>
          <w:del w:id="766" w:author="AbbVie02no" w:date="2025-05-15T12:36:00Z"/>
        </w:trPr>
        <w:tc>
          <w:tcPr>
            <w:tcW w:w="3079" w:type="dxa"/>
            <w:vMerge w:val="restart"/>
          </w:tcPr>
          <w:p w14:paraId="52CB14D2" w14:textId="41DCE0C7" w:rsidR="006A4E9E" w:rsidRPr="007F67EE" w:rsidRDefault="00E453CD" w:rsidP="007F67EE">
            <w:pPr>
              <w:pStyle w:val="EndnoteText"/>
              <w:tabs>
                <w:tab w:val="clear" w:pos="567"/>
              </w:tabs>
              <w:rPr>
                <w:del w:id="767" w:author="AbbVie02no" w:date="2025-05-15T12:36:00Z"/>
                <w:szCs w:val="22"/>
                <w:lang w:val="nb-NO"/>
              </w:rPr>
            </w:pPr>
            <w:del w:id="768" w:author="AbbVie02no" w:date="2025-05-15T12:36:00Z">
              <w:r w:rsidRPr="007F67EE">
                <w:rPr>
                  <w:szCs w:val="22"/>
                  <w:lang w:val="nb-NO"/>
                </w:rPr>
                <w:delText>Infeksiøse og parasittære sykdommer*</w:delText>
              </w:r>
            </w:del>
          </w:p>
        </w:tc>
        <w:tc>
          <w:tcPr>
            <w:tcW w:w="1682" w:type="dxa"/>
            <w:tcBorders>
              <w:bottom w:val="single" w:sz="4" w:space="0" w:color="auto"/>
            </w:tcBorders>
          </w:tcPr>
          <w:p w14:paraId="53EAAC02" w14:textId="38871346" w:rsidR="006A4E9E" w:rsidRPr="007F67EE" w:rsidRDefault="00E453CD" w:rsidP="007F67EE">
            <w:pPr>
              <w:pStyle w:val="EndnoteText"/>
              <w:tabs>
                <w:tab w:val="clear" w:pos="567"/>
              </w:tabs>
              <w:rPr>
                <w:del w:id="769" w:author="AbbVie02no" w:date="2025-05-15T12:36:00Z"/>
                <w:szCs w:val="22"/>
                <w:lang w:val="nb-NO"/>
              </w:rPr>
            </w:pPr>
            <w:del w:id="770" w:author="AbbVie02no" w:date="2025-05-15T12:36:00Z">
              <w:r w:rsidRPr="007F67EE">
                <w:rPr>
                  <w:szCs w:val="22"/>
                  <w:lang w:val="nb-NO"/>
                </w:rPr>
                <w:delText>Svært vanlige</w:delText>
              </w:r>
            </w:del>
          </w:p>
          <w:p w14:paraId="6CD59BE5" w14:textId="30FB27B7" w:rsidR="006A4E9E" w:rsidRPr="00193D76" w:rsidRDefault="006A4E9E" w:rsidP="00193D76">
            <w:pPr>
              <w:pStyle w:val="EndnoteText"/>
              <w:tabs>
                <w:tab w:val="clear" w:pos="567"/>
              </w:tabs>
              <w:rPr>
                <w:del w:id="771" w:author="AbbVie02no" w:date="2025-05-15T12:36:00Z"/>
                <w:szCs w:val="22"/>
                <w:lang w:val="nb-NO"/>
              </w:rPr>
            </w:pPr>
          </w:p>
        </w:tc>
        <w:tc>
          <w:tcPr>
            <w:tcW w:w="4294" w:type="dxa"/>
            <w:tcBorders>
              <w:bottom w:val="single" w:sz="4" w:space="0" w:color="auto"/>
            </w:tcBorders>
          </w:tcPr>
          <w:p w14:paraId="59CA91DB" w14:textId="4B82AE09" w:rsidR="006A4E9E" w:rsidRPr="002D0790" w:rsidRDefault="00E453CD" w:rsidP="002D0790">
            <w:pPr>
              <w:pStyle w:val="EMEAFigureTitle"/>
              <w:tabs>
                <w:tab w:val="clear" w:pos="562"/>
              </w:tabs>
              <w:suppressAutoHyphens w:val="0"/>
              <w:rPr>
                <w:del w:id="772" w:author="AbbVie02no" w:date="2025-05-15T12:36:00Z"/>
                <w:szCs w:val="22"/>
                <w:lang w:val="nb-NO"/>
              </w:rPr>
            </w:pPr>
            <w:del w:id="773" w:author="AbbVie02no" w:date="2025-05-15T12:36:00Z">
              <w:r w:rsidRPr="002D0790">
                <w:rPr>
                  <w:szCs w:val="22"/>
                  <w:lang w:val="nb-NO"/>
                </w:rPr>
                <w:delText xml:space="preserve">Luftveisinfeksjon (inkludert nedre og øvre luftveisinfeksjon, </w:delText>
              </w:r>
              <w:r w:rsidR="00ED7ED5">
                <w:rPr>
                  <w:szCs w:val="22"/>
                  <w:lang w:val="nb-NO"/>
                </w:rPr>
                <w:delText>pneumoni</w:delText>
              </w:r>
              <w:r w:rsidRPr="002D0790">
                <w:rPr>
                  <w:szCs w:val="22"/>
                  <w:lang w:val="nb-NO"/>
                </w:rPr>
                <w:delText>, sinusitt, faryngitt, nasofaryngitt og herpesvirus pneumoni)</w:delText>
              </w:r>
            </w:del>
          </w:p>
          <w:p w14:paraId="4B4A6D87" w14:textId="6F5B7BEA" w:rsidR="006A4E9E" w:rsidRPr="002D0790" w:rsidRDefault="006A4E9E" w:rsidP="002D0790">
            <w:pPr>
              <w:pStyle w:val="EMEAFigureTitle"/>
              <w:tabs>
                <w:tab w:val="clear" w:pos="562"/>
              </w:tabs>
              <w:suppressAutoHyphens w:val="0"/>
              <w:rPr>
                <w:del w:id="774" w:author="AbbVie02no" w:date="2025-05-15T12:36:00Z"/>
                <w:szCs w:val="22"/>
                <w:lang w:val="nb-NO"/>
              </w:rPr>
            </w:pPr>
          </w:p>
        </w:tc>
      </w:tr>
      <w:tr w:rsidR="004644D4" w14:paraId="2931531D" w14:textId="67C58638" w:rsidTr="00032240">
        <w:trPr>
          <w:trHeight w:val="3116"/>
          <w:del w:id="775" w:author="AbbVie02no" w:date="2025-05-15T12:36:00Z"/>
        </w:trPr>
        <w:tc>
          <w:tcPr>
            <w:tcW w:w="3079" w:type="dxa"/>
            <w:vMerge/>
          </w:tcPr>
          <w:p w14:paraId="4221E821" w14:textId="5821927D" w:rsidR="006A4E9E" w:rsidRPr="009C5EFD" w:rsidRDefault="006A4E9E" w:rsidP="009C5EFD">
            <w:pPr>
              <w:pStyle w:val="EndnoteText"/>
              <w:tabs>
                <w:tab w:val="clear" w:pos="567"/>
              </w:tabs>
              <w:rPr>
                <w:del w:id="776" w:author="AbbVie02no" w:date="2025-05-15T12:36:00Z"/>
                <w:szCs w:val="22"/>
                <w:lang w:val="nb-NO"/>
              </w:rPr>
            </w:pPr>
          </w:p>
        </w:tc>
        <w:tc>
          <w:tcPr>
            <w:tcW w:w="1682" w:type="dxa"/>
            <w:tcBorders>
              <w:top w:val="single" w:sz="4" w:space="0" w:color="auto"/>
              <w:bottom w:val="single" w:sz="4" w:space="0" w:color="auto"/>
            </w:tcBorders>
          </w:tcPr>
          <w:p w14:paraId="29D2FEC6" w14:textId="10B8F612" w:rsidR="006A4E9E" w:rsidRPr="009C5EFD" w:rsidRDefault="00E453CD" w:rsidP="009C5EFD">
            <w:pPr>
              <w:pStyle w:val="EndnoteText"/>
              <w:tabs>
                <w:tab w:val="clear" w:pos="567"/>
              </w:tabs>
              <w:rPr>
                <w:del w:id="777" w:author="AbbVie02no" w:date="2025-05-15T12:36:00Z"/>
                <w:szCs w:val="22"/>
                <w:lang w:val="nb-NO"/>
              </w:rPr>
            </w:pPr>
            <w:del w:id="778" w:author="AbbVie02no" w:date="2025-05-15T12:36:00Z">
              <w:r w:rsidRPr="009C5EFD">
                <w:rPr>
                  <w:szCs w:val="22"/>
                  <w:lang w:val="nb-NO"/>
                </w:rPr>
                <w:delText>Vanlige</w:delText>
              </w:r>
            </w:del>
          </w:p>
          <w:p w14:paraId="1E84CD7F" w14:textId="22C4BDA6" w:rsidR="006A4E9E" w:rsidRPr="009C5EFD" w:rsidRDefault="006A4E9E" w:rsidP="009C5EFD">
            <w:pPr>
              <w:pStyle w:val="EndnoteText"/>
              <w:tabs>
                <w:tab w:val="clear" w:pos="567"/>
              </w:tabs>
              <w:rPr>
                <w:del w:id="779" w:author="AbbVie02no" w:date="2025-05-15T12:36:00Z"/>
                <w:szCs w:val="22"/>
                <w:lang w:val="nb-NO"/>
              </w:rPr>
            </w:pPr>
          </w:p>
        </w:tc>
        <w:tc>
          <w:tcPr>
            <w:tcW w:w="4294" w:type="dxa"/>
            <w:tcBorders>
              <w:top w:val="single" w:sz="4" w:space="0" w:color="auto"/>
              <w:bottom w:val="single" w:sz="4" w:space="0" w:color="auto"/>
            </w:tcBorders>
          </w:tcPr>
          <w:p w14:paraId="67CC3343" w14:textId="265D1346" w:rsidR="006A4E9E" w:rsidRPr="009C5EFD" w:rsidRDefault="00E453CD" w:rsidP="009C5EFD">
            <w:pPr>
              <w:widowControl w:val="0"/>
              <w:rPr>
                <w:del w:id="780" w:author="AbbVie02no" w:date="2025-05-15T12:36:00Z"/>
                <w:sz w:val="22"/>
                <w:szCs w:val="22"/>
              </w:rPr>
            </w:pPr>
            <w:del w:id="781" w:author="AbbVie02no" w:date="2025-05-15T12:36:00Z">
              <w:r w:rsidRPr="009C5EFD">
                <w:rPr>
                  <w:sz w:val="22"/>
                  <w:szCs w:val="22"/>
                </w:rPr>
                <w:delText xml:space="preserve">Systemiske infeksjoner (inkludert </w:delText>
              </w:r>
              <w:r w:rsidR="00ED7ED5">
                <w:rPr>
                  <w:sz w:val="22"/>
                  <w:szCs w:val="22"/>
                </w:rPr>
                <w:delText>sepsis</w:delText>
              </w:r>
              <w:r w:rsidRPr="009C5EFD">
                <w:rPr>
                  <w:sz w:val="22"/>
                  <w:szCs w:val="22"/>
                </w:rPr>
                <w:delText>, candidiasis og influensa), intestinale infeksjoner (inkludert viral gastroenteritt), hud- og bløtvevsinfeksjoner (inkludert paronyki, cellulitt, impetigo, nekrotiserende fasciitt og herpes zoster), øreinfeksjoner, orale infeksjoner (inkludert herpes simplex, oral herpes, tanninfeksjoner), infeksjoner i reproduksjonsorgan (inkludert vulvovaginal soppinfeksjon), urinveisinfeksjoner (inkludert pyelonefritt), soppinfeksjoner</w:delText>
              </w:r>
              <w:r w:rsidR="00783CEF" w:rsidRPr="009C5EFD">
                <w:rPr>
                  <w:sz w:val="22"/>
                  <w:szCs w:val="22"/>
                </w:rPr>
                <w:delText xml:space="preserve">, </w:delText>
              </w:r>
              <w:r w:rsidR="00783CEF" w:rsidRPr="009C5EFD">
                <w:rPr>
                  <w:szCs w:val="22"/>
                </w:rPr>
                <w:delText>leddinfeksjoner</w:delText>
              </w:r>
            </w:del>
          </w:p>
          <w:p w14:paraId="1FD77F0A" w14:textId="5BB91E20" w:rsidR="006A4E9E" w:rsidRPr="009C5EFD" w:rsidRDefault="006A4E9E" w:rsidP="009C5EFD">
            <w:pPr>
              <w:pStyle w:val="EndnoteText"/>
              <w:tabs>
                <w:tab w:val="clear" w:pos="567"/>
              </w:tabs>
              <w:rPr>
                <w:del w:id="782" w:author="AbbVie02no" w:date="2025-05-15T12:36:00Z"/>
                <w:szCs w:val="22"/>
                <w:lang w:val="nb-NO"/>
              </w:rPr>
            </w:pPr>
          </w:p>
        </w:tc>
      </w:tr>
      <w:tr w:rsidR="004644D4" w14:paraId="0E52C8BF" w14:textId="1AEC0C92" w:rsidTr="00032240">
        <w:trPr>
          <w:trHeight w:val="1594"/>
          <w:del w:id="783" w:author="AbbVie02no" w:date="2025-05-15T12:36:00Z"/>
        </w:trPr>
        <w:tc>
          <w:tcPr>
            <w:tcW w:w="3079" w:type="dxa"/>
            <w:vMerge/>
          </w:tcPr>
          <w:p w14:paraId="644E4704" w14:textId="1FBAEEF5" w:rsidR="006A4E9E" w:rsidRPr="009C5EFD" w:rsidRDefault="006A4E9E" w:rsidP="009C5EFD">
            <w:pPr>
              <w:pStyle w:val="EndnoteText"/>
              <w:tabs>
                <w:tab w:val="clear" w:pos="567"/>
              </w:tabs>
              <w:rPr>
                <w:del w:id="784" w:author="AbbVie02no" w:date="2025-05-15T12:36:00Z"/>
                <w:szCs w:val="22"/>
                <w:lang w:val="nb-NO"/>
              </w:rPr>
            </w:pPr>
          </w:p>
        </w:tc>
        <w:tc>
          <w:tcPr>
            <w:tcW w:w="1682" w:type="dxa"/>
            <w:tcBorders>
              <w:top w:val="single" w:sz="4" w:space="0" w:color="auto"/>
              <w:bottom w:val="single" w:sz="4" w:space="0" w:color="auto"/>
            </w:tcBorders>
          </w:tcPr>
          <w:p w14:paraId="2A07493C" w14:textId="5234FEBB" w:rsidR="006A4E9E" w:rsidRPr="009C5EFD" w:rsidRDefault="00E453CD" w:rsidP="009C5EFD">
            <w:pPr>
              <w:pStyle w:val="EndnoteText"/>
              <w:tabs>
                <w:tab w:val="clear" w:pos="567"/>
              </w:tabs>
              <w:rPr>
                <w:del w:id="785" w:author="AbbVie02no" w:date="2025-05-15T12:36:00Z"/>
                <w:szCs w:val="22"/>
                <w:lang w:val="nb-NO"/>
              </w:rPr>
            </w:pPr>
            <w:del w:id="786" w:author="AbbVie02no" w:date="2025-05-15T12:36:00Z">
              <w:r w:rsidRPr="009C5EFD">
                <w:rPr>
                  <w:szCs w:val="22"/>
                  <w:lang w:val="nb-NO"/>
                </w:rPr>
                <w:delText>Mindre vanlige</w:delText>
              </w:r>
            </w:del>
          </w:p>
        </w:tc>
        <w:tc>
          <w:tcPr>
            <w:tcW w:w="4294" w:type="dxa"/>
            <w:tcBorders>
              <w:top w:val="single" w:sz="4" w:space="0" w:color="auto"/>
              <w:bottom w:val="single" w:sz="4" w:space="0" w:color="auto"/>
            </w:tcBorders>
          </w:tcPr>
          <w:p w14:paraId="74914209" w14:textId="7094CC0D" w:rsidR="006A4E9E" w:rsidRPr="009C5EFD" w:rsidRDefault="00E453CD" w:rsidP="009C5EFD">
            <w:pPr>
              <w:pStyle w:val="EMEANormal"/>
              <w:widowControl w:val="0"/>
              <w:rPr>
                <w:del w:id="787" w:author="AbbVie02no" w:date="2025-05-15T12:36:00Z"/>
                <w:szCs w:val="22"/>
                <w:vertAlign w:val="superscript"/>
                <w:lang w:val="nb-NO"/>
              </w:rPr>
            </w:pPr>
            <w:del w:id="788" w:author="AbbVie02no" w:date="2025-05-15T12:36:00Z">
              <w:r w:rsidRPr="009C5EFD">
                <w:rPr>
                  <w:szCs w:val="22"/>
                  <w:lang w:val="nb-NO"/>
                </w:rPr>
                <w:delText>Nevrologiske infeksjoner (inkludert viral meningitt), opportunistiske infeksjoner og tuberkulose (inkludert koksidioidomykose, histoplamose og mycobactrium avium kompleks-infeksjon), bakterieinfeksjoner, øyeinfeksjoner, divertikulitt</w:delText>
              </w:r>
              <w:r w:rsidRPr="009C5EFD">
                <w:rPr>
                  <w:szCs w:val="22"/>
                  <w:vertAlign w:val="superscript"/>
                  <w:lang w:val="nb-NO"/>
                </w:rPr>
                <w:delText>1)</w:delText>
              </w:r>
            </w:del>
          </w:p>
          <w:p w14:paraId="039F38CD" w14:textId="17650E8E" w:rsidR="00453C93" w:rsidRPr="009C5EFD" w:rsidRDefault="00453C93" w:rsidP="009C5EFD">
            <w:pPr>
              <w:pStyle w:val="EMEANormal"/>
              <w:widowControl w:val="0"/>
              <w:rPr>
                <w:del w:id="789" w:author="AbbVie02no" w:date="2025-05-15T12:36:00Z"/>
                <w:szCs w:val="22"/>
                <w:vertAlign w:val="superscript"/>
                <w:lang w:val="nb-NO"/>
              </w:rPr>
            </w:pPr>
          </w:p>
        </w:tc>
      </w:tr>
      <w:tr w:rsidR="004644D4" w14:paraId="27E3E24F" w14:textId="5733597D" w:rsidTr="00032240">
        <w:trPr>
          <w:del w:id="790" w:author="AbbVie02no" w:date="2025-05-15T12:36:00Z"/>
        </w:trPr>
        <w:tc>
          <w:tcPr>
            <w:tcW w:w="3079" w:type="dxa"/>
            <w:vMerge w:val="restart"/>
            <w:tcBorders>
              <w:bottom w:val="single" w:sz="4" w:space="0" w:color="auto"/>
            </w:tcBorders>
          </w:tcPr>
          <w:p w14:paraId="18EC0AAD" w14:textId="7435F0FE" w:rsidR="006A4E9E" w:rsidRPr="009C5EFD" w:rsidRDefault="00E453CD" w:rsidP="007F67EE">
            <w:pPr>
              <w:rPr>
                <w:del w:id="791" w:author="AbbVie02no" w:date="2025-05-15T12:36:00Z"/>
                <w:sz w:val="22"/>
                <w:szCs w:val="22"/>
              </w:rPr>
            </w:pPr>
            <w:del w:id="792" w:author="AbbVie02no" w:date="2025-05-15T12:36:00Z">
              <w:r w:rsidRPr="009C5EFD">
                <w:rPr>
                  <w:sz w:val="22"/>
                  <w:szCs w:val="22"/>
                </w:rPr>
                <w:delText>Godartede, ondartede og uspesifiserte svulster (inkludert cyster og polypper)*</w:delText>
              </w:r>
            </w:del>
          </w:p>
        </w:tc>
        <w:tc>
          <w:tcPr>
            <w:tcW w:w="1682" w:type="dxa"/>
            <w:tcBorders>
              <w:top w:val="single" w:sz="4" w:space="0" w:color="auto"/>
              <w:bottom w:val="single" w:sz="4" w:space="0" w:color="auto"/>
            </w:tcBorders>
          </w:tcPr>
          <w:p w14:paraId="326246AC" w14:textId="323C1291" w:rsidR="006A4E9E" w:rsidRPr="009C5EFD" w:rsidRDefault="00E453CD" w:rsidP="007F67EE">
            <w:pPr>
              <w:rPr>
                <w:del w:id="793" w:author="AbbVie02no" w:date="2025-05-15T12:36:00Z"/>
                <w:sz w:val="22"/>
                <w:szCs w:val="22"/>
              </w:rPr>
            </w:pPr>
            <w:del w:id="794" w:author="AbbVie02no" w:date="2025-05-15T12:36:00Z">
              <w:r w:rsidRPr="009C5EFD">
                <w:rPr>
                  <w:sz w:val="22"/>
                  <w:szCs w:val="22"/>
                </w:rPr>
                <w:delText>Vanlige</w:delText>
              </w:r>
            </w:del>
          </w:p>
          <w:p w14:paraId="7F3DF452" w14:textId="45A11C31" w:rsidR="006A4E9E" w:rsidRPr="009C5EFD" w:rsidRDefault="006A4E9E" w:rsidP="00193D76">
            <w:pPr>
              <w:rPr>
                <w:del w:id="795" w:author="AbbVie02no" w:date="2025-05-15T12:36:00Z"/>
                <w:sz w:val="22"/>
                <w:szCs w:val="22"/>
              </w:rPr>
            </w:pPr>
          </w:p>
          <w:p w14:paraId="06D2E4B4" w14:textId="50C363A2" w:rsidR="006A4E9E" w:rsidRPr="009C5EFD" w:rsidRDefault="006A4E9E" w:rsidP="002D0790">
            <w:pPr>
              <w:rPr>
                <w:del w:id="796" w:author="AbbVie02no" w:date="2025-05-15T12:36:00Z"/>
                <w:sz w:val="22"/>
                <w:szCs w:val="22"/>
              </w:rPr>
            </w:pPr>
          </w:p>
        </w:tc>
        <w:tc>
          <w:tcPr>
            <w:tcW w:w="4294" w:type="dxa"/>
            <w:tcBorders>
              <w:top w:val="single" w:sz="4" w:space="0" w:color="auto"/>
              <w:bottom w:val="single" w:sz="4" w:space="0" w:color="auto"/>
            </w:tcBorders>
          </w:tcPr>
          <w:p w14:paraId="639C8B0E" w14:textId="1E6E21FE" w:rsidR="006A4E9E" w:rsidRPr="009C5EFD" w:rsidRDefault="00E453CD" w:rsidP="002D0790">
            <w:pPr>
              <w:rPr>
                <w:del w:id="797" w:author="AbbVie02no" w:date="2025-05-15T12:36:00Z"/>
                <w:sz w:val="22"/>
                <w:szCs w:val="22"/>
              </w:rPr>
            </w:pPr>
            <w:del w:id="798" w:author="AbbVie02no" w:date="2025-05-15T12:36:00Z">
              <w:r w:rsidRPr="009C5EFD">
                <w:rPr>
                  <w:sz w:val="22"/>
                  <w:szCs w:val="22"/>
                </w:rPr>
                <w:delText xml:space="preserve">Hudkreft unntatt melanom (inkludert basalcellekarsinom og </w:delText>
              </w:r>
              <w:r w:rsidRPr="009C5EFD">
                <w:rPr>
                  <w:rStyle w:val="equivalent"/>
                  <w:sz w:val="22"/>
                  <w:szCs w:val="22"/>
                </w:rPr>
                <w:delText>plateepitelkarsinom</w:delText>
              </w:r>
              <w:r w:rsidRPr="009C5EFD">
                <w:rPr>
                  <w:sz w:val="22"/>
                  <w:szCs w:val="22"/>
                </w:rPr>
                <w:delText>)</w:delText>
              </w:r>
              <w:r w:rsidR="00303905" w:rsidRPr="009C5EFD">
                <w:rPr>
                  <w:sz w:val="22"/>
                  <w:szCs w:val="22"/>
                </w:rPr>
                <w:delText>, godartet svulst</w:delText>
              </w:r>
              <w:r w:rsidRPr="009C5EFD">
                <w:rPr>
                  <w:sz w:val="22"/>
                  <w:szCs w:val="22"/>
                </w:rPr>
                <w:delText xml:space="preserve"> </w:delText>
              </w:r>
            </w:del>
          </w:p>
          <w:p w14:paraId="078F84BC" w14:textId="021ABF8E" w:rsidR="006A4E9E" w:rsidRPr="009C5EFD" w:rsidRDefault="006A4E9E" w:rsidP="00E14E58">
            <w:pPr>
              <w:rPr>
                <w:del w:id="799" w:author="AbbVie02no" w:date="2025-05-15T12:36:00Z"/>
                <w:sz w:val="22"/>
                <w:szCs w:val="22"/>
              </w:rPr>
            </w:pPr>
          </w:p>
        </w:tc>
      </w:tr>
      <w:tr w:rsidR="004644D4" w14:paraId="440D447E" w14:textId="0372B5B6" w:rsidTr="00032240">
        <w:trPr>
          <w:del w:id="800" w:author="AbbVie02no" w:date="2025-05-15T12:36:00Z"/>
        </w:trPr>
        <w:tc>
          <w:tcPr>
            <w:tcW w:w="3079" w:type="dxa"/>
            <w:vMerge/>
            <w:tcBorders>
              <w:bottom w:val="nil"/>
            </w:tcBorders>
          </w:tcPr>
          <w:p w14:paraId="6C6DCB83" w14:textId="67FD0560" w:rsidR="006A4E9E" w:rsidRPr="009C5EFD" w:rsidRDefault="006A4E9E" w:rsidP="009C5EFD">
            <w:pPr>
              <w:rPr>
                <w:del w:id="801" w:author="AbbVie02no" w:date="2025-05-15T12:36:00Z"/>
                <w:sz w:val="22"/>
                <w:szCs w:val="22"/>
              </w:rPr>
            </w:pPr>
          </w:p>
        </w:tc>
        <w:tc>
          <w:tcPr>
            <w:tcW w:w="1682" w:type="dxa"/>
            <w:tcBorders>
              <w:top w:val="single" w:sz="4" w:space="0" w:color="auto"/>
              <w:bottom w:val="single" w:sz="4" w:space="0" w:color="auto"/>
            </w:tcBorders>
          </w:tcPr>
          <w:p w14:paraId="4B254020" w14:textId="2D1DEDD8" w:rsidR="006A4E9E" w:rsidRPr="009C5EFD" w:rsidRDefault="00E453CD" w:rsidP="009C5EFD">
            <w:pPr>
              <w:rPr>
                <w:del w:id="802" w:author="AbbVie02no" w:date="2025-05-15T12:36:00Z"/>
                <w:sz w:val="22"/>
                <w:szCs w:val="22"/>
              </w:rPr>
            </w:pPr>
            <w:del w:id="803" w:author="AbbVie02no" w:date="2025-05-15T12:36:00Z">
              <w:r w:rsidRPr="009C5EFD">
                <w:rPr>
                  <w:sz w:val="22"/>
                  <w:szCs w:val="22"/>
                </w:rPr>
                <w:delText>Mindre vanlige</w:delText>
              </w:r>
            </w:del>
          </w:p>
          <w:p w14:paraId="6F19D5E0" w14:textId="703A34D5" w:rsidR="006A4E9E" w:rsidRPr="009C5EFD" w:rsidRDefault="006A4E9E" w:rsidP="009C5EFD">
            <w:pPr>
              <w:rPr>
                <w:del w:id="804" w:author="AbbVie02no" w:date="2025-05-15T12:36:00Z"/>
                <w:sz w:val="22"/>
                <w:szCs w:val="22"/>
              </w:rPr>
            </w:pPr>
          </w:p>
        </w:tc>
        <w:tc>
          <w:tcPr>
            <w:tcW w:w="4294" w:type="dxa"/>
            <w:tcBorders>
              <w:top w:val="single" w:sz="4" w:space="0" w:color="auto"/>
              <w:bottom w:val="single" w:sz="4" w:space="0" w:color="auto"/>
            </w:tcBorders>
          </w:tcPr>
          <w:p w14:paraId="4D2EF2CD" w14:textId="5910D41D" w:rsidR="006A4E9E" w:rsidRPr="009C5EFD" w:rsidRDefault="00E453CD" w:rsidP="009C5EFD">
            <w:pPr>
              <w:rPr>
                <w:del w:id="805" w:author="AbbVie02no" w:date="2025-05-15T12:36:00Z"/>
                <w:bCs/>
                <w:sz w:val="22"/>
                <w:szCs w:val="22"/>
              </w:rPr>
            </w:pPr>
            <w:del w:id="806" w:author="AbbVie02no" w:date="2025-05-15T12:36:00Z">
              <w:r w:rsidRPr="009C5EFD">
                <w:rPr>
                  <w:bCs/>
                  <w:sz w:val="22"/>
                  <w:szCs w:val="22"/>
                </w:rPr>
                <w:delText xml:space="preserve">Lymfom**, solid organneoplasme (inkludert brystkreft, </w:delText>
              </w:r>
              <w:r w:rsidR="00303905" w:rsidRPr="009C5EFD">
                <w:rPr>
                  <w:bCs/>
                  <w:sz w:val="22"/>
                  <w:szCs w:val="22"/>
                </w:rPr>
                <w:delText xml:space="preserve">svulst i </w:delText>
              </w:r>
              <w:r w:rsidRPr="009C5EFD">
                <w:rPr>
                  <w:bCs/>
                  <w:sz w:val="22"/>
                  <w:szCs w:val="22"/>
                </w:rPr>
                <w:delText xml:space="preserve">lunge, </w:delText>
              </w:r>
              <w:r w:rsidR="00303905" w:rsidRPr="009C5EFD">
                <w:rPr>
                  <w:bCs/>
                  <w:sz w:val="22"/>
                  <w:szCs w:val="22"/>
                </w:rPr>
                <w:delText xml:space="preserve">svulst i </w:delText>
              </w:r>
              <w:r w:rsidRPr="009C5EFD">
                <w:rPr>
                  <w:bCs/>
                  <w:sz w:val="22"/>
                  <w:szCs w:val="22"/>
                </w:rPr>
                <w:delText>skjoldbrusk</w:delText>
              </w:r>
              <w:r w:rsidR="00303905" w:rsidRPr="009C5EFD">
                <w:rPr>
                  <w:bCs/>
                  <w:sz w:val="22"/>
                  <w:szCs w:val="22"/>
                </w:rPr>
                <w:delText>kjertel</w:delText>
              </w:r>
              <w:r w:rsidRPr="009C5EFD">
                <w:rPr>
                  <w:bCs/>
                  <w:sz w:val="22"/>
                  <w:szCs w:val="22"/>
                </w:rPr>
                <w:delText>), melanom**</w:delText>
              </w:r>
            </w:del>
          </w:p>
          <w:p w14:paraId="1D258934" w14:textId="75A62F55" w:rsidR="006A4E9E" w:rsidRPr="009C5EFD" w:rsidRDefault="006A4E9E" w:rsidP="009C5EFD">
            <w:pPr>
              <w:rPr>
                <w:del w:id="807" w:author="AbbVie02no" w:date="2025-05-15T12:36:00Z"/>
                <w:sz w:val="22"/>
                <w:szCs w:val="22"/>
              </w:rPr>
            </w:pPr>
          </w:p>
        </w:tc>
      </w:tr>
      <w:tr w:rsidR="004644D4" w14:paraId="35E83EBE" w14:textId="00852563" w:rsidTr="00032240">
        <w:trPr>
          <w:del w:id="808" w:author="AbbVie02no" w:date="2025-05-15T12:36:00Z"/>
        </w:trPr>
        <w:tc>
          <w:tcPr>
            <w:tcW w:w="3079" w:type="dxa"/>
            <w:vMerge/>
            <w:tcBorders>
              <w:top w:val="nil"/>
            </w:tcBorders>
          </w:tcPr>
          <w:p w14:paraId="4C095CE1" w14:textId="62B1B4E6" w:rsidR="006A4E9E" w:rsidRPr="009C5EFD" w:rsidRDefault="006A4E9E" w:rsidP="009C5EFD">
            <w:pPr>
              <w:rPr>
                <w:del w:id="809" w:author="AbbVie02no" w:date="2025-05-15T12:36:00Z"/>
                <w:sz w:val="22"/>
                <w:szCs w:val="22"/>
              </w:rPr>
            </w:pPr>
          </w:p>
        </w:tc>
        <w:tc>
          <w:tcPr>
            <w:tcW w:w="1682" w:type="dxa"/>
            <w:tcBorders>
              <w:top w:val="single" w:sz="4" w:space="0" w:color="auto"/>
              <w:bottom w:val="single" w:sz="4" w:space="0" w:color="auto"/>
            </w:tcBorders>
          </w:tcPr>
          <w:p w14:paraId="1E3D0C0A" w14:textId="7CA2D686" w:rsidR="006A4E9E" w:rsidRPr="009C5EFD" w:rsidRDefault="00E453CD" w:rsidP="009C5EFD">
            <w:pPr>
              <w:rPr>
                <w:del w:id="810" w:author="AbbVie02no" w:date="2025-05-15T12:36:00Z"/>
                <w:sz w:val="22"/>
                <w:szCs w:val="22"/>
              </w:rPr>
            </w:pPr>
            <w:del w:id="811" w:author="AbbVie02no" w:date="2025-05-15T12:36:00Z">
              <w:r w:rsidRPr="009C5EFD">
                <w:rPr>
                  <w:sz w:val="22"/>
                  <w:szCs w:val="22"/>
                </w:rPr>
                <w:delText>Sjeldne</w:delText>
              </w:r>
            </w:del>
          </w:p>
          <w:p w14:paraId="2703AF7B" w14:textId="0E0CD129" w:rsidR="006A4E9E" w:rsidRPr="009C5EFD" w:rsidRDefault="006A4E9E" w:rsidP="009C5EFD">
            <w:pPr>
              <w:rPr>
                <w:del w:id="812" w:author="AbbVie02no" w:date="2025-05-15T12:36:00Z"/>
                <w:sz w:val="22"/>
                <w:szCs w:val="22"/>
              </w:rPr>
            </w:pPr>
          </w:p>
        </w:tc>
        <w:tc>
          <w:tcPr>
            <w:tcW w:w="4294" w:type="dxa"/>
            <w:tcBorders>
              <w:top w:val="single" w:sz="4" w:space="0" w:color="auto"/>
              <w:bottom w:val="single" w:sz="4" w:space="0" w:color="auto"/>
            </w:tcBorders>
          </w:tcPr>
          <w:p w14:paraId="536FBEF9" w14:textId="3D98B55A" w:rsidR="006A4E9E" w:rsidRPr="009C5EFD" w:rsidRDefault="00E453CD" w:rsidP="009C5EFD">
            <w:pPr>
              <w:rPr>
                <w:del w:id="813" w:author="AbbVie02no" w:date="2025-05-15T12:36:00Z"/>
                <w:sz w:val="22"/>
                <w:szCs w:val="22"/>
                <w:vertAlign w:val="superscript"/>
              </w:rPr>
            </w:pPr>
            <w:del w:id="814" w:author="AbbVie02no" w:date="2025-05-15T12:36:00Z">
              <w:r w:rsidRPr="009C5EFD">
                <w:rPr>
                  <w:sz w:val="22"/>
                  <w:szCs w:val="22"/>
                </w:rPr>
                <w:delText>Leukemi</w:delText>
              </w:r>
              <w:r w:rsidRPr="009C5EFD">
                <w:rPr>
                  <w:sz w:val="22"/>
                  <w:szCs w:val="22"/>
                  <w:vertAlign w:val="superscript"/>
                </w:rPr>
                <w:delText>1)</w:delText>
              </w:r>
            </w:del>
          </w:p>
          <w:p w14:paraId="00FE46A1" w14:textId="26720DB8" w:rsidR="006A4E9E" w:rsidRPr="009C5EFD" w:rsidRDefault="006A4E9E" w:rsidP="009C5EFD">
            <w:pPr>
              <w:rPr>
                <w:del w:id="815" w:author="AbbVie02no" w:date="2025-05-15T12:36:00Z"/>
                <w:sz w:val="22"/>
                <w:szCs w:val="22"/>
              </w:rPr>
            </w:pPr>
          </w:p>
        </w:tc>
      </w:tr>
      <w:tr w:rsidR="004644D4" w14:paraId="08119A2F" w14:textId="469B556A" w:rsidTr="00032240">
        <w:trPr>
          <w:del w:id="816" w:author="AbbVie02no" w:date="2025-05-15T12:36:00Z"/>
        </w:trPr>
        <w:tc>
          <w:tcPr>
            <w:tcW w:w="3079" w:type="dxa"/>
            <w:vMerge/>
          </w:tcPr>
          <w:p w14:paraId="29BBD7F7" w14:textId="0EF7FCC4" w:rsidR="006A4E9E" w:rsidRPr="009C5EFD" w:rsidRDefault="006A4E9E" w:rsidP="009C5EFD">
            <w:pPr>
              <w:rPr>
                <w:del w:id="817" w:author="AbbVie02no" w:date="2025-05-15T12:36:00Z"/>
                <w:sz w:val="22"/>
                <w:szCs w:val="22"/>
              </w:rPr>
            </w:pPr>
          </w:p>
        </w:tc>
        <w:tc>
          <w:tcPr>
            <w:tcW w:w="1682" w:type="dxa"/>
            <w:tcBorders>
              <w:top w:val="single" w:sz="4" w:space="0" w:color="auto"/>
              <w:bottom w:val="single" w:sz="4" w:space="0" w:color="auto"/>
            </w:tcBorders>
          </w:tcPr>
          <w:p w14:paraId="2658F4FA" w14:textId="14437AB6" w:rsidR="006A4E9E" w:rsidRPr="009C5EFD" w:rsidRDefault="00E453CD" w:rsidP="009C5EFD">
            <w:pPr>
              <w:rPr>
                <w:del w:id="818" w:author="AbbVie02no" w:date="2025-05-15T12:36:00Z"/>
                <w:sz w:val="22"/>
                <w:szCs w:val="22"/>
              </w:rPr>
            </w:pPr>
            <w:del w:id="819" w:author="AbbVie02no" w:date="2025-05-15T12:36:00Z">
              <w:r w:rsidRPr="009C5EFD">
                <w:rPr>
                  <w:sz w:val="22"/>
                  <w:szCs w:val="22"/>
                </w:rPr>
                <w:delText>Ikke kjent</w:delText>
              </w:r>
            </w:del>
          </w:p>
        </w:tc>
        <w:tc>
          <w:tcPr>
            <w:tcW w:w="4294" w:type="dxa"/>
            <w:tcBorders>
              <w:top w:val="single" w:sz="4" w:space="0" w:color="auto"/>
              <w:bottom w:val="single" w:sz="4" w:space="0" w:color="auto"/>
            </w:tcBorders>
          </w:tcPr>
          <w:p w14:paraId="3DBAD0EB" w14:textId="72E1D7AE" w:rsidR="006A4E9E" w:rsidRDefault="00E453CD" w:rsidP="009C5EFD">
            <w:pPr>
              <w:rPr>
                <w:del w:id="820" w:author="AbbVie02no" w:date="2025-05-15T12:36:00Z"/>
                <w:sz w:val="22"/>
                <w:szCs w:val="22"/>
                <w:lang w:val="sv-SE"/>
              </w:rPr>
            </w:pPr>
            <w:del w:id="821" w:author="AbbVie02no" w:date="2025-05-15T12:36:00Z">
              <w:r w:rsidRPr="009C5EFD">
                <w:rPr>
                  <w:sz w:val="22"/>
                  <w:szCs w:val="22"/>
                  <w:lang w:val="sv-SE"/>
                </w:rPr>
                <w:delText>Hepatosplenisk T-cellelymfom</w:delText>
              </w:r>
              <w:r w:rsidRPr="009C5EFD">
                <w:rPr>
                  <w:sz w:val="22"/>
                  <w:szCs w:val="22"/>
                  <w:vertAlign w:val="superscript"/>
                  <w:lang w:val="sv-SE"/>
                </w:rPr>
                <w:delText>1)</w:delText>
              </w:r>
              <w:r w:rsidR="00893AE8" w:rsidRPr="009C5EFD">
                <w:rPr>
                  <w:sz w:val="22"/>
                  <w:szCs w:val="22"/>
                  <w:lang w:val="sv-SE"/>
                </w:rPr>
                <w:delText>, merkelcellekarsinom (neuroendokrin karsinom av huden</w:delText>
              </w:r>
              <w:r w:rsidR="00893AE8" w:rsidRPr="009C5EFD">
                <w:rPr>
                  <w:sz w:val="22"/>
                  <w:szCs w:val="22"/>
                  <w:vertAlign w:val="superscript"/>
                  <w:lang w:val="sv-SE"/>
                </w:rPr>
                <w:delText>1)</w:delText>
              </w:r>
              <w:r w:rsidR="00C448C3">
                <w:rPr>
                  <w:sz w:val="22"/>
                  <w:szCs w:val="22"/>
                  <w:lang w:val="sv-SE"/>
                </w:rPr>
                <w:delText>,</w:delText>
              </w:r>
            </w:del>
          </w:p>
          <w:p w14:paraId="42EDA6C1" w14:textId="1AF443DD" w:rsidR="00C448C3" w:rsidRPr="00C448C3" w:rsidRDefault="00E453CD" w:rsidP="009C5EFD">
            <w:pPr>
              <w:rPr>
                <w:del w:id="822" w:author="AbbVie02no" w:date="2025-05-15T12:36:00Z"/>
                <w:sz w:val="22"/>
                <w:szCs w:val="22"/>
                <w:lang w:val="sv-SE"/>
              </w:rPr>
            </w:pPr>
            <w:del w:id="823" w:author="AbbVie02no" w:date="2025-05-15T12:36:00Z">
              <w:r>
                <w:rPr>
                  <w:sz w:val="22"/>
                  <w:szCs w:val="22"/>
                  <w:lang w:val="sv-SE"/>
                </w:rPr>
                <w:delText>Kaposis sarkom</w:delText>
              </w:r>
            </w:del>
          </w:p>
          <w:p w14:paraId="32231CB8" w14:textId="27DC399F" w:rsidR="00A365A1" w:rsidRPr="009C5EFD" w:rsidRDefault="00A365A1" w:rsidP="009C5EFD">
            <w:pPr>
              <w:rPr>
                <w:del w:id="824" w:author="AbbVie02no" w:date="2025-05-15T12:36:00Z"/>
                <w:sz w:val="22"/>
                <w:szCs w:val="22"/>
                <w:vertAlign w:val="superscript"/>
                <w:lang w:val="sv-SE"/>
              </w:rPr>
            </w:pPr>
          </w:p>
        </w:tc>
      </w:tr>
      <w:tr w:rsidR="004644D4" w14:paraId="2623246D" w14:textId="071E63AA" w:rsidTr="00032240">
        <w:trPr>
          <w:del w:id="825" w:author="AbbVie02no" w:date="2025-05-15T12:36:00Z"/>
        </w:trPr>
        <w:tc>
          <w:tcPr>
            <w:tcW w:w="3079" w:type="dxa"/>
            <w:vMerge w:val="restart"/>
          </w:tcPr>
          <w:p w14:paraId="2654C0A9" w14:textId="401DDD08" w:rsidR="00A365A1" w:rsidRPr="007F67EE" w:rsidRDefault="00E453CD" w:rsidP="007F67EE">
            <w:pPr>
              <w:pStyle w:val="EndnoteText"/>
              <w:rPr>
                <w:del w:id="826" w:author="AbbVie02no" w:date="2025-05-15T12:36:00Z"/>
                <w:szCs w:val="22"/>
                <w:lang w:val="nb-NO"/>
              </w:rPr>
            </w:pPr>
            <w:del w:id="827" w:author="AbbVie02no" w:date="2025-05-15T12:36:00Z">
              <w:r w:rsidRPr="007F67EE">
                <w:rPr>
                  <w:szCs w:val="22"/>
                  <w:lang w:val="nb-NO"/>
                </w:rPr>
                <w:delText>Sykdommer i blod og lymfatiske organer</w:delText>
              </w:r>
            </w:del>
          </w:p>
        </w:tc>
        <w:tc>
          <w:tcPr>
            <w:tcW w:w="1682" w:type="dxa"/>
            <w:tcBorders>
              <w:bottom w:val="single" w:sz="4" w:space="0" w:color="auto"/>
            </w:tcBorders>
          </w:tcPr>
          <w:p w14:paraId="1C6FE718" w14:textId="4B87B37B" w:rsidR="00A365A1" w:rsidRPr="007F67EE" w:rsidRDefault="00E453CD" w:rsidP="007F67EE">
            <w:pPr>
              <w:rPr>
                <w:del w:id="828" w:author="AbbVie02no" w:date="2025-05-15T12:36:00Z"/>
                <w:sz w:val="22"/>
                <w:szCs w:val="22"/>
              </w:rPr>
            </w:pPr>
            <w:del w:id="829" w:author="AbbVie02no" w:date="2025-05-15T12:36:00Z">
              <w:r w:rsidRPr="007F67EE">
                <w:rPr>
                  <w:sz w:val="22"/>
                  <w:szCs w:val="22"/>
                </w:rPr>
                <w:delText>Svært vanlige</w:delText>
              </w:r>
            </w:del>
          </w:p>
          <w:p w14:paraId="0C013314" w14:textId="2FFD560B" w:rsidR="00A365A1" w:rsidRPr="00193D76" w:rsidRDefault="00A365A1" w:rsidP="00193D76">
            <w:pPr>
              <w:rPr>
                <w:del w:id="830" w:author="AbbVie02no" w:date="2025-05-15T12:36:00Z"/>
                <w:sz w:val="22"/>
                <w:szCs w:val="22"/>
              </w:rPr>
            </w:pPr>
          </w:p>
        </w:tc>
        <w:tc>
          <w:tcPr>
            <w:tcW w:w="4294" w:type="dxa"/>
            <w:tcBorders>
              <w:bottom w:val="single" w:sz="4" w:space="0" w:color="auto"/>
            </w:tcBorders>
          </w:tcPr>
          <w:p w14:paraId="251131F3" w14:textId="3D8A5646" w:rsidR="00A365A1" w:rsidRPr="00E14E58" w:rsidRDefault="00E453CD" w:rsidP="002D0790">
            <w:pPr>
              <w:rPr>
                <w:del w:id="831" w:author="AbbVie02no" w:date="2025-05-15T12:36:00Z"/>
                <w:sz w:val="22"/>
                <w:szCs w:val="22"/>
              </w:rPr>
            </w:pPr>
            <w:del w:id="832" w:author="AbbVie02no" w:date="2025-05-15T12:36:00Z">
              <w:r w:rsidRPr="002D0790">
                <w:rPr>
                  <w:sz w:val="22"/>
                  <w:szCs w:val="22"/>
                </w:rPr>
                <w:delText>Le</w:delText>
              </w:r>
              <w:r w:rsidR="00EB4105" w:rsidRPr="002D0790">
                <w:rPr>
                  <w:sz w:val="22"/>
                  <w:szCs w:val="22"/>
                </w:rPr>
                <w:delText>u</w:delText>
              </w:r>
              <w:r w:rsidRPr="00E14E58">
                <w:rPr>
                  <w:sz w:val="22"/>
                  <w:szCs w:val="22"/>
                </w:rPr>
                <w:delText>kopeni (inkludert nøytropeni og agranulocytose), anemi</w:delText>
              </w:r>
            </w:del>
          </w:p>
          <w:p w14:paraId="1FB60D26" w14:textId="7F1C98C9" w:rsidR="00A365A1" w:rsidRPr="009C5EFD" w:rsidRDefault="00A365A1" w:rsidP="002D0790">
            <w:pPr>
              <w:rPr>
                <w:del w:id="833" w:author="AbbVie02no" w:date="2025-05-15T12:36:00Z"/>
                <w:sz w:val="22"/>
                <w:szCs w:val="22"/>
              </w:rPr>
            </w:pPr>
          </w:p>
        </w:tc>
      </w:tr>
      <w:tr w:rsidR="004644D4" w14:paraId="03CD4BFE" w14:textId="5FCF4039" w:rsidTr="00032240">
        <w:trPr>
          <w:del w:id="834" w:author="AbbVie02no" w:date="2025-05-15T12:36:00Z"/>
        </w:trPr>
        <w:tc>
          <w:tcPr>
            <w:tcW w:w="3079" w:type="dxa"/>
            <w:vMerge/>
          </w:tcPr>
          <w:p w14:paraId="2D39373A" w14:textId="33E221FD" w:rsidR="00A365A1" w:rsidRPr="009C5EFD" w:rsidRDefault="00A365A1" w:rsidP="009C5EFD">
            <w:pPr>
              <w:pStyle w:val="EndnoteText"/>
              <w:rPr>
                <w:del w:id="835" w:author="AbbVie02no" w:date="2025-05-15T12:36:00Z"/>
                <w:szCs w:val="22"/>
                <w:lang w:val="nb-NO"/>
              </w:rPr>
            </w:pPr>
          </w:p>
        </w:tc>
        <w:tc>
          <w:tcPr>
            <w:tcW w:w="1682" w:type="dxa"/>
            <w:tcBorders>
              <w:top w:val="single" w:sz="4" w:space="0" w:color="auto"/>
              <w:bottom w:val="single" w:sz="4" w:space="0" w:color="auto"/>
            </w:tcBorders>
          </w:tcPr>
          <w:p w14:paraId="07086671" w14:textId="4FA6E343" w:rsidR="00A365A1" w:rsidRPr="009C5EFD" w:rsidRDefault="00E453CD" w:rsidP="009C5EFD">
            <w:pPr>
              <w:rPr>
                <w:del w:id="836" w:author="AbbVie02no" w:date="2025-05-15T12:36:00Z"/>
                <w:sz w:val="22"/>
                <w:szCs w:val="22"/>
              </w:rPr>
            </w:pPr>
            <w:del w:id="837" w:author="AbbVie02no" w:date="2025-05-15T12:36:00Z">
              <w:r w:rsidRPr="009C5EFD">
                <w:rPr>
                  <w:sz w:val="22"/>
                  <w:szCs w:val="22"/>
                </w:rPr>
                <w:delText>Vanlige</w:delText>
              </w:r>
            </w:del>
          </w:p>
          <w:p w14:paraId="684EC3A2" w14:textId="50696AB0" w:rsidR="00A365A1" w:rsidRPr="009C5EFD" w:rsidRDefault="00A365A1" w:rsidP="009C5EFD">
            <w:pPr>
              <w:rPr>
                <w:del w:id="838" w:author="AbbVie02no" w:date="2025-05-15T12:36:00Z"/>
                <w:sz w:val="22"/>
                <w:szCs w:val="22"/>
              </w:rPr>
            </w:pPr>
          </w:p>
        </w:tc>
        <w:tc>
          <w:tcPr>
            <w:tcW w:w="4294" w:type="dxa"/>
            <w:tcBorders>
              <w:top w:val="single" w:sz="4" w:space="0" w:color="auto"/>
              <w:bottom w:val="single" w:sz="4" w:space="0" w:color="auto"/>
            </w:tcBorders>
          </w:tcPr>
          <w:p w14:paraId="30B3FBBD" w14:textId="52D566A2" w:rsidR="00A365A1" w:rsidRPr="009C5EFD" w:rsidRDefault="00E453CD" w:rsidP="009C5EFD">
            <w:pPr>
              <w:rPr>
                <w:del w:id="839" w:author="AbbVie02no" w:date="2025-05-15T12:36:00Z"/>
                <w:sz w:val="22"/>
                <w:szCs w:val="22"/>
              </w:rPr>
            </w:pPr>
            <w:del w:id="840" w:author="AbbVie02no" w:date="2025-05-15T12:36:00Z">
              <w:r w:rsidRPr="009C5EFD">
                <w:rPr>
                  <w:sz w:val="22"/>
                  <w:szCs w:val="22"/>
                </w:rPr>
                <w:delText>Le</w:delText>
              </w:r>
              <w:r w:rsidR="00EB4105" w:rsidRPr="009C5EFD">
                <w:rPr>
                  <w:sz w:val="22"/>
                  <w:szCs w:val="22"/>
                </w:rPr>
                <w:delText>u</w:delText>
              </w:r>
              <w:r w:rsidRPr="009C5EFD">
                <w:rPr>
                  <w:sz w:val="22"/>
                  <w:szCs w:val="22"/>
                </w:rPr>
                <w:delText>kocytose, trombocytopeni</w:delText>
              </w:r>
            </w:del>
          </w:p>
        </w:tc>
      </w:tr>
      <w:tr w:rsidR="004644D4" w14:paraId="348864A7" w14:textId="732BB0EE" w:rsidTr="00032240">
        <w:trPr>
          <w:del w:id="841" w:author="AbbVie02no" w:date="2025-05-15T12:36:00Z"/>
        </w:trPr>
        <w:tc>
          <w:tcPr>
            <w:tcW w:w="3079" w:type="dxa"/>
            <w:vMerge/>
          </w:tcPr>
          <w:p w14:paraId="75E909F0" w14:textId="2CDFAFB6" w:rsidR="00A365A1" w:rsidRPr="009C5EFD" w:rsidRDefault="00A365A1" w:rsidP="009C5EFD">
            <w:pPr>
              <w:pStyle w:val="EndnoteText"/>
              <w:rPr>
                <w:del w:id="842" w:author="AbbVie02no" w:date="2025-05-15T12:36:00Z"/>
                <w:szCs w:val="22"/>
                <w:lang w:val="nb-NO"/>
              </w:rPr>
            </w:pPr>
          </w:p>
        </w:tc>
        <w:tc>
          <w:tcPr>
            <w:tcW w:w="1682" w:type="dxa"/>
            <w:tcBorders>
              <w:top w:val="single" w:sz="4" w:space="0" w:color="auto"/>
              <w:bottom w:val="single" w:sz="4" w:space="0" w:color="auto"/>
            </w:tcBorders>
          </w:tcPr>
          <w:p w14:paraId="082F4503" w14:textId="5D57BC81" w:rsidR="00A365A1" w:rsidRPr="009C5EFD" w:rsidRDefault="00E453CD" w:rsidP="009C5EFD">
            <w:pPr>
              <w:rPr>
                <w:del w:id="843" w:author="AbbVie02no" w:date="2025-05-15T12:36:00Z"/>
                <w:sz w:val="22"/>
                <w:szCs w:val="22"/>
              </w:rPr>
            </w:pPr>
            <w:del w:id="844" w:author="AbbVie02no" w:date="2025-05-15T12:36:00Z">
              <w:r w:rsidRPr="009C5EFD">
                <w:rPr>
                  <w:sz w:val="22"/>
                  <w:szCs w:val="22"/>
                </w:rPr>
                <w:delText>Mindre vanlige</w:delText>
              </w:r>
            </w:del>
          </w:p>
          <w:p w14:paraId="18772B48" w14:textId="09E7808D" w:rsidR="00A365A1" w:rsidRPr="009C5EFD" w:rsidRDefault="00A365A1" w:rsidP="009C5EFD">
            <w:pPr>
              <w:rPr>
                <w:del w:id="845" w:author="AbbVie02no" w:date="2025-05-15T12:36:00Z"/>
                <w:sz w:val="22"/>
                <w:szCs w:val="22"/>
              </w:rPr>
            </w:pPr>
          </w:p>
        </w:tc>
        <w:tc>
          <w:tcPr>
            <w:tcW w:w="4294" w:type="dxa"/>
            <w:tcBorders>
              <w:top w:val="single" w:sz="4" w:space="0" w:color="auto"/>
              <w:bottom w:val="single" w:sz="4" w:space="0" w:color="auto"/>
            </w:tcBorders>
          </w:tcPr>
          <w:p w14:paraId="2EC41C8F" w14:textId="2BEB0BAD" w:rsidR="00A365A1" w:rsidRPr="009C5EFD" w:rsidRDefault="00E453CD" w:rsidP="009C5EFD">
            <w:pPr>
              <w:rPr>
                <w:del w:id="846" w:author="AbbVie02no" w:date="2025-05-15T12:36:00Z"/>
                <w:sz w:val="22"/>
                <w:szCs w:val="22"/>
              </w:rPr>
            </w:pPr>
            <w:del w:id="847" w:author="AbbVie02no" w:date="2025-05-15T12:36:00Z">
              <w:r w:rsidRPr="009C5EFD">
                <w:rPr>
                  <w:sz w:val="22"/>
                  <w:szCs w:val="22"/>
                </w:rPr>
                <w:delText>Idiopatisk trombocytopenisk purpura</w:delText>
              </w:r>
            </w:del>
          </w:p>
        </w:tc>
      </w:tr>
      <w:tr w:rsidR="004644D4" w14:paraId="7F991DCC" w14:textId="6D99B36B" w:rsidTr="00032240">
        <w:trPr>
          <w:del w:id="848" w:author="AbbVie02no" w:date="2025-05-15T12:36:00Z"/>
        </w:trPr>
        <w:tc>
          <w:tcPr>
            <w:tcW w:w="3079" w:type="dxa"/>
            <w:vMerge/>
          </w:tcPr>
          <w:p w14:paraId="6F8A382D" w14:textId="6E2F866E" w:rsidR="00A365A1" w:rsidRPr="009C5EFD" w:rsidRDefault="00A365A1" w:rsidP="009C5EFD">
            <w:pPr>
              <w:pStyle w:val="EndnoteText"/>
              <w:tabs>
                <w:tab w:val="clear" w:pos="567"/>
              </w:tabs>
              <w:rPr>
                <w:del w:id="849" w:author="AbbVie02no" w:date="2025-05-15T12:36:00Z"/>
                <w:szCs w:val="22"/>
                <w:lang w:val="nb-NO"/>
              </w:rPr>
            </w:pPr>
          </w:p>
        </w:tc>
        <w:tc>
          <w:tcPr>
            <w:tcW w:w="1682" w:type="dxa"/>
            <w:tcBorders>
              <w:top w:val="single" w:sz="4" w:space="0" w:color="auto"/>
              <w:bottom w:val="single" w:sz="4" w:space="0" w:color="auto"/>
            </w:tcBorders>
          </w:tcPr>
          <w:p w14:paraId="249A0A90" w14:textId="66F9AFD1" w:rsidR="00A365A1" w:rsidRPr="009C5EFD" w:rsidRDefault="00E453CD" w:rsidP="009C5EFD">
            <w:pPr>
              <w:rPr>
                <w:del w:id="850" w:author="AbbVie02no" w:date="2025-05-15T12:36:00Z"/>
                <w:sz w:val="22"/>
                <w:szCs w:val="22"/>
              </w:rPr>
            </w:pPr>
            <w:del w:id="851" w:author="AbbVie02no" w:date="2025-05-15T12:36:00Z">
              <w:r w:rsidRPr="009C5EFD">
                <w:rPr>
                  <w:sz w:val="22"/>
                  <w:szCs w:val="22"/>
                </w:rPr>
                <w:delText>Sjeldne</w:delText>
              </w:r>
            </w:del>
          </w:p>
        </w:tc>
        <w:tc>
          <w:tcPr>
            <w:tcW w:w="4294" w:type="dxa"/>
            <w:tcBorders>
              <w:top w:val="single" w:sz="4" w:space="0" w:color="auto"/>
              <w:bottom w:val="single" w:sz="4" w:space="0" w:color="auto"/>
            </w:tcBorders>
          </w:tcPr>
          <w:p w14:paraId="449405A9" w14:textId="4A9B8DF3" w:rsidR="00A365A1" w:rsidRPr="009C5EFD" w:rsidRDefault="00E453CD" w:rsidP="009C5EFD">
            <w:pPr>
              <w:rPr>
                <w:del w:id="852" w:author="AbbVie02no" w:date="2025-05-15T12:36:00Z"/>
                <w:sz w:val="22"/>
                <w:szCs w:val="22"/>
              </w:rPr>
            </w:pPr>
            <w:del w:id="853" w:author="AbbVie02no" w:date="2025-05-15T12:36:00Z">
              <w:r w:rsidRPr="009C5EFD">
                <w:rPr>
                  <w:sz w:val="22"/>
                  <w:szCs w:val="22"/>
                </w:rPr>
                <w:delText>Pancytopeni</w:delText>
              </w:r>
            </w:del>
          </w:p>
          <w:p w14:paraId="7DAA0BF1" w14:textId="4CA19338" w:rsidR="00A365A1" w:rsidRPr="009C5EFD" w:rsidRDefault="00A365A1" w:rsidP="009C5EFD">
            <w:pPr>
              <w:rPr>
                <w:del w:id="854" w:author="AbbVie02no" w:date="2025-05-15T12:36:00Z"/>
                <w:sz w:val="22"/>
                <w:szCs w:val="22"/>
              </w:rPr>
            </w:pPr>
          </w:p>
        </w:tc>
      </w:tr>
      <w:tr w:rsidR="004644D4" w14:paraId="7AEC1FF0" w14:textId="7C9EA6F3" w:rsidTr="00032240">
        <w:trPr>
          <w:del w:id="855" w:author="AbbVie02no" w:date="2025-05-15T12:36:00Z"/>
        </w:trPr>
        <w:tc>
          <w:tcPr>
            <w:tcW w:w="3079" w:type="dxa"/>
            <w:vMerge w:val="restart"/>
          </w:tcPr>
          <w:p w14:paraId="3019280D" w14:textId="53BE8900" w:rsidR="00A365A1" w:rsidRPr="007F67EE" w:rsidRDefault="00E453CD" w:rsidP="007F67EE">
            <w:pPr>
              <w:pStyle w:val="EndnoteText"/>
              <w:tabs>
                <w:tab w:val="clear" w:pos="567"/>
              </w:tabs>
              <w:rPr>
                <w:del w:id="856" w:author="AbbVie02no" w:date="2025-05-15T12:36:00Z"/>
                <w:szCs w:val="22"/>
                <w:lang w:val="nb-NO"/>
              </w:rPr>
            </w:pPr>
            <w:del w:id="857" w:author="AbbVie02no" w:date="2025-05-15T12:36:00Z">
              <w:r w:rsidRPr="007F67EE">
                <w:rPr>
                  <w:szCs w:val="22"/>
                  <w:lang w:val="nb-NO"/>
                </w:rPr>
                <w:delText>Forstyrrelser i immunsystemet*</w:delText>
              </w:r>
            </w:del>
          </w:p>
        </w:tc>
        <w:tc>
          <w:tcPr>
            <w:tcW w:w="1682" w:type="dxa"/>
            <w:tcBorders>
              <w:bottom w:val="single" w:sz="4" w:space="0" w:color="auto"/>
            </w:tcBorders>
          </w:tcPr>
          <w:p w14:paraId="502247D3" w14:textId="7CF9EB2D" w:rsidR="00A365A1" w:rsidRPr="007F67EE" w:rsidRDefault="00E453CD" w:rsidP="007F67EE">
            <w:pPr>
              <w:rPr>
                <w:del w:id="858" w:author="AbbVie02no" w:date="2025-05-15T12:36:00Z"/>
                <w:sz w:val="22"/>
                <w:szCs w:val="22"/>
              </w:rPr>
            </w:pPr>
            <w:del w:id="859" w:author="AbbVie02no" w:date="2025-05-15T12:36:00Z">
              <w:r w:rsidRPr="007F67EE">
                <w:rPr>
                  <w:sz w:val="22"/>
                  <w:szCs w:val="22"/>
                </w:rPr>
                <w:delText>Vanlige</w:delText>
              </w:r>
            </w:del>
          </w:p>
        </w:tc>
        <w:tc>
          <w:tcPr>
            <w:tcW w:w="4294" w:type="dxa"/>
            <w:tcBorders>
              <w:bottom w:val="single" w:sz="4" w:space="0" w:color="auto"/>
            </w:tcBorders>
          </w:tcPr>
          <w:p w14:paraId="4E2A3FF8" w14:textId="15A692A7" w:rsidR="00A365A1" w:rsidRPr="002D0790" w:rsidRDefault="00E453CD" w:rsidP="00193D76">
            <w:pPr>
              <w:rPr>
                <w:del w:id="860" w:author="AbbVie02no" w:date="2025-05-15T12:36:00Z"/>
                <w:sz w:val="22"/>
                <w:szCs w:val="22"/>
              </w:rPr>
            </w:pPr>
            <w:del w:id="861" w:author="AbbVie02no" w:date="2025-05-15T12:36:00Z">
              <w:r w:rsidRPr="00193D76">
                <w:rPr>
                  <w:sz w:val="22"/>
                  <w:szCs w:val="22"/>
                </w:rPr>
                <w:delText xml:space="preserve">Hypersensitivitet, </w:delText>
              </w:r>
              <w:r w:rsidR="00303905" w:rsidRPr="00193D76">
                <w:rPr>
                  <w:sz w:val="22"/>
                  <w:szCs w:val="22"/>
                </w:rPr>
                <w:delText>allergier (inkludert sesongbetinget allergi)</w:delText>
              </w:r>
            </w:del>
          </w:p>
          <w:p w14:paraId="45E4F086" w14:textId="3254DC92" w:rsidR="00A365A1" w:rsidRPr="002D0790" w:rsidRDefault="00A365A1" w:rsidP="002D0790">
            <w:pPr>
              <w:rPr>
                <w:del w:id="862" w:author="AbbVie02no" w:date="2025-05-15T12:36:00Z"/>
                <w:sz w:val="22"/>
                <w:szCs w:val="22"/>
                <w:vertAlign w:val="superscript"/>
              </w:rPr>
            </w:pPr>
          </w:p>
        </w:tc>
      </w:tr>
      <w:tr w:rsidR="004644D4" w14:paraId="05F22DB1" w14:textId="25E5D876" w:rsidTr="00032240">
        <w:trPr>
          <w:del w:id="863" w:author="AbbVie02no" w:date="2025-05-15T12:36:00Z"/>
        </w:trPr>
        <w:tc>
          <w:tcPr>
            <w:tcW w:w="3079" w:type="dxa"/>
            <w:vMerge/>
          </w:tcPr>
          <w:p w14:paraId="4F924388" w14:textId="6D77B747" w:rsidR="00A365A1" w:rsidRPr="009C5EFD" w:rsidRDefault="00A365A1" w:rsidP="009C5EFD">
            <w:pPr>
              <w:pStyle w:val="EndnoteText"/>
              <w:tabs>
                <w:tab w:val="clear" w:pos="567"/>
              </w:tabs>
              <w:rPr>
                <w:del w:id="864" w:author="AbbVie02no" w:date="2025-05-15T12:36:00Z"/>
                <w:szCs w:val="22"/>
                <w:lang w:val="nb-NO"/>
              </w:rPr>
            </w:pPr>
          </w:p>
        </w:tc>
        <w:tc>
          <w:tcPr>
            <w:tcW w:w="1682" w:type="dxa"/>
            <w:tcBorders>
              <w:top w:val="single" w:sz="4" w:space="0" w:color="auto"/>
              <w:bottom w:val="single" w:sz="4" w:space="0" w:color="auto"/>
            </w:tcBorders>
          </w:tcPr>
          <w:p w14:paraId="3935904C" w14:textId="52687624" w:rsidR="00A365A1" w:rsidRPr="009C5EFD" w:rsidRDefault="00E453CD" w:rsidP="009C5EFD">
            <w:pPr>
              <w:rPr>
                <w:del w:id="865" w:author="AbbVie02no" w:date="2025-05-15T12:36:00Z"/>
                <w:sz w:val="22"/>
                <w:szCs w:val="22"/>
              </w:rPr>
            </w:pPr>
            <w:del w:id="866" w:author="AbbVie02no" w:date="2025-05-15T12:36:00Z">
              <w:r w:rsidRPr="009C5EFD">
                <w:rPr>
                  <w:sz w:val="22"/>
                  <w:szCs w:val="22"/>
                </w:rPr>
                <w:delText>Mindre vanlige</w:delText>
              </w:r>
            </w:del>
          </w:p>
          <w:p w14:paraId="56ED8FEC" w14:textId="0C893486" w:rsidR="00A365A1" w:rsidRPr="009C5EFD" w:rsidRDefault="00A365A1" w:rsidP="009C5EFD">
            <w:pPr>
              <w:rPr>
                <w:del w:id="867" w:author="AbbVie02no" w:date="2025-05-15T12:36:00Z"/>
                <w:sz w:val="22"/>
                <w:szCs w:val="22"/>
              </w:rPr>
            </w:pPr>
          </w:p>
        </w:tc>
        <w:tc>
          <w:tcPr>
            <w:tcW w:w="4294" w:type="dxa"/>
            <w:tcBorders>
              <w:top w:val="single" w:sz="4" w:space="0" w:color="auto"/>
              <w:bottom w:val="single" w:sz="4" w:space="0" w:color="auto"/>
            </w:tcBorders>
          </w:tcPr>
          <w:p w14:paraId="72B7222E" w14:textId="1216A218" w:rsidR="00A365A1" w:rsidRPr="009C5EFD" w:rsidRDefault="00E453CD" w:rsidP="009C5EFD">
            <w:pPr>
              <w:rPr>
                <w:del w:id="868" w:author="AbbVie02no" w:date="2025-05-15T12:36:00Z"/>
                <w:sz w:val="22"/>
                <w:szCs w:val="22"/>
              </w:rPr>
            </w:pPr>
            <w:del w:id="869" w:author="AbbVie02no" w:date="2025-05-15T12:36:00Z">
              <w:r w:rsidRPr="009C5EFD">
                <w:rPr>
                  <w:sz w:val="22"/>
                  <w:szCs w:val="22"/>
                </w:rPr>
                <w:delText>Sarkoidose</w:delText>
              </w:r>
              <w:r w:rsidRPr="009C5EFD">
                <w:rPr>
                  <w:sz w:val="22"/>
                  <w:szCs w:val="22"/>
                  <w:vertAlign w:val="superscript"/>
                </w:rPr>
                <w:delText>1)</w:delText>
              </w:r>
              <w:r w:rsidR="00C3739E" w:rsidRPr="009C5EFD">
                <w:rPr>
                  <w:sz w:val="22"/>
                  <w:szCs w:val="22"/>
                </w:rPr>
                <w:delText>, vaskulitt</w:delText>
              </w:r>
            </w:del>
          </w:p>
          <w:p w14:paraId="76A7298E" w14:textId="09553BDA" w:rsidR="00A365A1" w:rsidRPr="009C5EFD" w:rsidRDefault="00A365A1" w:rsidP="009C5EFD">
            <w:pPr>
              <w:rPr>
                <w:del w:id="870" w:author="AbbVie02no" w:date="2025-05-15T12:36:00Z"/>
                <w:sz w:val="22"/>
                <w:szCs w:val="22"/>
              </w:rPr>
            </w:pPr>
          </w:p>
        </w:tc>
      </w:tr>
      <w:tr w:rsidR="004644D4" w14:paraId="5E2BBE42" w14:textId="68D42D47" w:rsidTr="00032240">
        <w:trPr>
          <w:del w:id="871" w:author="AbbVie02no" w:date="2025-05-15T12:36:00Z"/>
        </w:trPr>
        <w:tc>
          <w:tcPr>
            <w:tcW w:w="3079" w:type="dxa"/>
            <w:vMerge/>
          </w:tcPr>
          <w:p w14:paraId="36CF9194" w14:textId="7DADFE88" w:rsidR="00A365A1" w:rsidRPr="009C5EFD" w:rsidRDefault="00A365A1" w:rsidP="009C5EFD">
            <w:pPr>
              <w:pStyle w:val="EndnoteText"/>
              <w:tabs>
                <w:tab w:val="clear" w:pos="567"/>
              </w:tabs>
              <w:rPr>
                <w:del w:id="872" w:author="AbbVie02no" w:date="2025-05-15T12:36:00Z"/>
                <w:szCs w:val="22"/>
                <w:lang w:val="nb-NO"/>
              </w:rPr>
            </w:pPr>
          </w:p>
        </w:tc>
        <w:tc>
          <w:tcPr>
            <w:tcW w:w="1682" w:type="dxa"/>
            <w:tcBorders>
              <w:top w:val="single" w:sz="4" w:space="0" w:color="auto"/>
              <w:bottom w:val="single" w:sz="4" w:space="0" w:color="auto"/>
            </w:tcBorders>
          </w:tcPr>
          <w:p w14:paraId="5410B008" w14:textId="0C09BD3C" w:rsidR="00A365A1" w:rsidRPr="009C5EFD" w:rsidRDefault="00E453CD" w:rsidP="009C5EFD">
            <w:pPr>
              <w:rPr>
                <w:del w:id="873" w:author="AbbVie02no" w:date="2025-05-15T12:36:00Z"/>
                <w:sz w:val="22"/>
                <w:szCs w:val="22"/>
              </w:rPr>
            </w:pPr>
            <w:del w:id="874" w:author="AbbVie02no" w:date="2025-05-15T12:36:00Z">
              <w:r w:rsidRPr="009C5EFD">
                <w:rPr>
                  <w:sz w:val="22"/>
                  <w:szCs w:val="22"/>
                </w:rPr>
                <w:delText>Sjeldne</w:delText>
              </w:r>
            </w:del>
          </w:p>
          <w:p w14:paraId="1F3E17DF" w14:textId="6CAD7120" w:rsidR="00A365A1" w:rsidRPr="009C5EFD" w:rsidRDefault="00A365A1" w:rsidP="009C5EFD">
            <w:pPr>
              <w:rPr>
                <w:del w:id="875" w:author="AbbVie02no" w:date="2025-05-15T12:36:00Z"/>
                <w:sz w:val="22"/>
                <w:szCs w:val="22"/>
              </w:rPr>
            </w:pPr>
          </w:p>
        </w:tc>
        <w:tc>
          <w:tcPr>
            <w:tcW w:w="4294" w:type="dxa"/>
            <w:tcBorders>
              <w:top w:val="single" w:sz="4" w:space="0" w:color="auto"/>
              <w:bottom w:val="single" w:sz="4" w:space="0" w:color="auto"/>
            </w:tcBorders>
          </w:tcPr>
          <w:p w14:paraId="2C268E3E" w14:textId="01B71CB0" w:rsidR="00A365A1" w:rsidRPr="009C5EFD" w:rsidRDefault="00E453CD" w:rsidP="009C5EFD">
            <w:pPr>
              <w:rPr>
                <w:del w:id="876" w:author="AbbVie02no" w:date="2025-05-15T12:36:00Z"/>
                <w:sz w:val="22"/>
                <w:szCs w:val="22"/>
              </w:rPr>
            </w:pPr>
            <w:del w:id="877" w:author="AbbVie02no" w:date="2025-05-15T12:36:00Z">
              <w:r w:rsidRPr="009C5EFD">
                <w:rPr>
                  <w:sz w:val="22"/>
                  <w:szCs w:val="22"/>
                </w:rPr>
                <w:delText>Anafylaksi</w:delText>
              </w:r>
              <w:r w:rsidRPr="009C5EFD">
                <w:rPr>
                  <w:sz w:val="22"/>
                  <w:szCs w:val="22"/>
                  <w:vertAlign w:val="superscript"/>
                </w:rPr>
                <w:delText>1)</w:delText>
              </w:r>
            </w:del>
          </w:p>
        </w:tc>
      </w:tr>
      <w:tr w:rsidR="004644D4" w14:paraId="540EB33B" w14:textId="2CE192B0" w:rsidTr="00032240">
        <w:trPr>
          <w:del w:id="878" w:author="AbbVie02no" w:date="2025-05-15T12:36:00Z"/>
        </w:trPr>
        <w:tc>
          <w:tcPr>
            <w:tcW w:w="3079" w:type="dxa"/>
            <w:vMerge w:val="restart"/>
          </w:tcPr>
          <w:p w14:paraId="4F2ECCBB" w14:textId="7AD1968F" w:rsidR="00A365A1" w:rsidRPr="007F67EE" w:rsidRDefault="00E453CD" w:rsidP="007F67EE">
            <w:pPr>
              <w:pStyle w:val="EndnoteText"/>
              <w:rPr>
                <w:del w:id="879" w:author="AbbVie02no" w:date="2025-05-15T12:36:00Z"/>
                <w:szCs w:val="22"/>
                <w:lang w:val="nb-NO"/>
              </w:rPr>
            </w:pPr>
            <w:del w:id="880" w:author="AbbVie02no" w:date="2025-05-15T12:36:00Z">
              <w:r w:rsidRPr="007F67EE">
                <w:rPr>
                  <w:szCs w:val="22"/>
                  <w:lang w:val="nb-NO"/>
                </w:rPr>
                <w:delText>Stoffskifte- og ernæringsbetingede sykdommer</w:delText>
              </w:r>
            </w:del>
          </w:p>
        </w:tc>
        <w:tc>
          <w:tcPr>
            <w:tcW w:w="1682" w:type="dxa"/>
            <w:tcBorders>
              <w:bottom w:val="single" w:sz="4" w:space="0" w:color="auto"/>
            </w:tcBorders>
          </w:tcPr>
          <w:p w14:paraId="51710B35" w14:textId="27C51F73" w:rsidR="00A365A1" w:rsidRPr="007F67EE" w:rsidRDefault="00E453CD" w:rsidP="007F67EE">
            <w:pPr>
              <w:rPr>
                <w:del w:id="881" w:author="AbbVie02no" w:date="2025-05-15T12:36:00Z"/>
                <w:sz w:val="22"/>
                <w:szCs w:val="22"/>
              </w:rPr>
            </w:pPr>
            <w:del w:id="882" w:author="AbbVie02no" w:date="2025-05-15T12:36:00Z">
              <w:r w:rsidRPr="007F67EE">
                <w:rPr>
                  <w:sz w:val="22"/>
                  <w:szCs w:val="22"/>
                </w:rPr>
                <w:delText>Svært vanlige</w:delText>
              </w:r>
            </w:del>
          </w:p>
          <w:p w14:paraId="78C7D1F5" w14:textId="505450E6" w:rsidR="00A365A1" w:rsidRPr="00193D76" w:rsidRDefault="00A365A1" w:rsidP="00193D76">
            <w:pPr>
              <w:rPr>
                <w:del w:id="883" w:author="AbbVie02no" w:date="2025-05-15T12:36:00Z"/>
                <w:sz w:val="22"/>
                <w:szCs w:val="22"/>
              </w:rPr>
            </w:pPr>
          </w:p>
        </w:tc>
        <w:tc>
          <w:tcPr>
            <w:tcW w:w="4294" w:type="dxa"/>
            <w:tcBorders>
              <w:bottom w:val="single" w:sz="4" w:space="0" w:color="auto"/>
            </w:tcBorders>
          </w:tcPr>
          <w:p w14:paraId="24CE9ED0" w14:textId="03082C32" w:rsidR="00A365A1" w:rsidRPr="002D0790" w:rsidRDefault="00E453CD" w:rsidP="002D0790">
            <w:pPr>
              <w:rPr>
                <w:del w:id="884" w:author="AbbVie02no" w:date="2025-05-15T12:36:00Z"/>
                <w:sz w:val="22"/>
                <w:szCs w:val="22"/>
              </w:rPr>
            </w:pPr>
            <w:del w:id="885" w:author="AbbVie02no" w:date="2025-05-15T12:36:00Z">
              <w:r w:rsidRPr="002D0790">
                <w:rPr>
                  <w:sz w:val="22"/>
                  <w:szCs w:val="22"/>
                </w:rPr>
                <w:delText>Lipidøkning</w:delText>
              </w:r>
            </w:del>
          </w:p>
          <w:p w14:paraId="25AF6050" w14:textId="6B9421CC" w:rsidR="00A365A1" w:rsidRPr="002D0790" w:rsidRDefault="00A365A1" w:rsidP="002D0790">
            <w:pPr>
              <w:rPr>
                <w:del w:id="886" w:author="AbbVie02no" w:date="2025-05-15T12:36:00Z"/>
                <w:sz w:val="22"/>
                <w:szCs w:val="22"/>
              </w:rPr>
            </w:pPr>
          </w:p>
        </w:tc>
      </w:tr>
      <w:tr w:rsidR="004644D4" w14:paraId="3AA331E8" w14:textId="690AF5BF" w:rsidTr="00032240">
        <w:trPr>
          <w:del w:id="887" w:author="AbbVie02no" w:date="2025-05-15T12:36:00Z"/>
        </w:trPr>
        <w:tc>
          <w:tcPr>
            <w:tcW w:w="3079" w:type="dxa"/>
            <w:vMerge/>
          </w:tcPr>
          <w:p w14:paraId="52FEB3ED" w14:textId="64C532FE" w:rsidR="00A365A1" w:rsidRPr="009C5EFD" w:rsidRDefault="00A365A1" w:rsidP="009C5EFD">
            <w:pPr>
              <w:pStyle w:val="EndnoteText"/>
              <w:tabs>
                <w:tab w:val="clear" w:pos="567"/>
              </w:tabs>
              <w:rPr>
                <w:del w:id="888" w:author="AbbVie02no" w:date="2025-05-15T12:36:00Z"/>
                <w:szCs w:val="22"/>
                <w:lang w:val="nb-NO"/>
              </w:rPr>
            </w:pPr>
          </w:p>
        </w:tc>
        <w:tc>
          <w:tcPr>
            <w:tcW w:w="1682" w:type="dxa"/>
            <w:tcBorders>
              <w:top w:val="single" w:sz="4" w:space="0" w:color="auto"/>
              <w:bottom w:val="single" w:sz="4" w:space="0" w:color="auto"/>
            </w:tcBorders>
          </w:tcPr>
          <w:p w14:paraId="10496E9B" w14:textId="0E9D079D" w:rsidR="00A365A1" w:rsidRPr="009C5EFD" w:rsidRDefault="00E453CD" w:rsidP="009C5EFD">
            <w:pPr>
              <w:rPr>
                <w:del w:id="889" w:author="AbbVie02no" w:date="2025-05-15T12:36:00Z"/>
                <w:sz w:val="22"/>
                <w:szCs w:val="22"/>
              </w:rPr>
            </w:pPr>
            <w:del w:id="890" w:author="AbbVie02no" w:date="2025-05-15T12:36:00Z">
              <w:r w:rsidRPr="009C5EFD">
                <w:rPr>
                  <w:sz w:val="22"/>
                  <w:szCs w:val="22"/>
                </w:rPr>
                <w:delText>Vanlige</w:delText>
              </w:r>
            </w:del>
          </w:p>
          <w:p w14:paraId="6C24EC2D" w14:textId="3939D925" w:rsidR="00A365A1" w:rsidRPr="009C5EFD" w:rsidRDefault="00A365A1" w:rsidP="009C5EFD">
            <w:pPr>
              <w:rPr>
                <w:del w:id="891" w:author="AbbVie02no" w:date="2025-05-15T12:36:00Z"/>
                <w:sz w:val="22"/>
                <w:szCs w:val="22"/>
              </w:rPr>
            </w:pPr>
          </w:p>
          <w:p w14:paraId="5F855935" w14:textId="7B4C2260" w:rsidR="00A365A1" w:rsidRPr="009C5EFD" w:rsidRDefault="00A365A1" w:rsidP="009C5EFD">
            <w:pPr>
              <w:rPr>
                <w:del w:id="892" w:author="AbbVie02no" w:date="2025-05-15T12:36:00Z"/>
                <w:sz w:val="22"/>
                <w:szCs w:val="22"/>
              </w:rPr>
            </w:pPr>
          </w:p>
          <w:p w14:paraId="19BC1E99" w14:textId="32CFB716" w:rsidR="00A365A1" w:rsidRPr="009C5EFD" w:rsidRDefault="00A365A1" w:rsidP="009C5EFD">
            <w:pPr>
              <w:rPr>
                <w:del w:id="893" w:author="AbbVie02no" w:date="2025-05-15T12:36:00Z"/>
                <w:sz w:val="22"/>
                <w:szCs w:val="22"/>
              </w:rPr>
            </w:pPr>
          </w:p>
        </w:tc>
        <w:tc>
          <w:tcPr>
            <w:tcW w:w="4294" w:type="dxa"/>
            <w:tcBorders>
              <w:top w:val="single" w:sz="4" w:space="0" w:color="auto"/>
              <w:bottom w:val="single" w:sz="4" w:space="0" w:color="auto"/>
            </w:tcBorders>
          </w:tcPr>
          <w:p w14:paraId="60EE8CFA" w14:textId="74CC9F5F" w:rsidR="00A365A1" w:rsidRPr="009C5EFD" w:rsidRDefault="00E453CD" w:rsidP="009C5EFD">
            <w:pPr>
              <w:rPr>
                <w:del w:id="894" w:author="AbbVie02no" w:date="2025-05-15T12:36:00Z"/>
                <w:sz w:val="22"/>
                <w:szCs w:val="22"/>
              </w:rPr>
            </w:pPr>
            <w:del w:id="895" w:author="AbbVie02no" w:date="2025-05-15T12:36:00Z">
              <w:r w:rsidRPr="009C5EFD">
                <w:rPr>
                  <w:sz w:val="22"/>
                  <w:szCs w:val="22"/>
                </w:rPr>
                <w:delText>Hypokalemi, forhøyet urinsyre, unormale natriumverdier i blod, hypokalsemi, hyperglykemi, hyp</w:delText>
              </w:r>
              <w:r w:rsidR="006E568B" w:rsidRPr="009C5EFD">
                <w:rPr>
                  <w:sz w:val="22"/>
                  <w:szCs w:val="22"/>
                </w:rPr>
                <w:delText>o</w:delText>
              </w:r>
              <w:r w:rsidRPr="009C5EFD">
                <w:rPr>
                  <w:sz w:val="22"/>
                  <w:szCs w:val="22"/>
                </w:rPr>
                <w:delText xml:space="preserve">fosfatemi, </w:delText>
              </w:r>
              <w:r w:rsidR="00BA5DB7" w:rsidRPr="009C5EFD">
                <w:rPr>
                  <w:sz w:val="22"/>
                  <w:szCs w:val="22"/>
                </w:rPr>
                <w:delText>dehydrering</w:delText>
              </w:r>
            </w:del>
          </w:p>
        </w:tc>
      </w:tr>
      <w:tr w:rsidR="004644D4" w14:paraId="0B0CB4EB" w14:textId="3C6F1C2E" w:rsidTr="00032240">
        <w:trPr>
          <w:del w:id="896" w:author="AbbVie02no" w:date="2025-05-15T12:36:00Z"/>
        </w:trPr>
        <w:tc>
          <w:tcPr>
            <w:tcW w:w="3079" w:type="dxa"/>
          </w:tcPr>
          <w:p w14:paraId="21BE5804" w14:textId="003B2AD8" w:rsidR="000D2C01" w:rsidRPr="007F67EE" w:rsidRDefault="00E453CD" w:rsidP="007F67EE">
            <w:pPr>
              <w:pStyle w:val="EndnoteText"/>
              <w:tabs>
                <w:tab w:val="clear" w:pos="567"/>
              </w:tabs>
              <w:rPr>
                <w:del w:id="897" w:author="AbbVie02no" w:date="2025-05-15T12:36:00Z"/>
                <w:szCs w:val="22"/>
                <w:lang w:val="nb-NO"/>
              </w:rPr>
            </w:pPr>
            <w:del w:id="898" w:author="AbbVie02no" w:date="2025-05-15T12:36:00Z">
              <w:r w:rsidRPr="007F67EE">
                <w:rPr>
                  <w:szCs w:val="22"/>
                  <w:lang w:val="nb-NO"/>
                </w:rPr>
                <w:delText>Psykiatriske lidelser</w:delText>
              </w:r>
            </w:del>
          </w:p>
        </w:tc>
        <w:tc>
          <w:tcPr>
            <w:tcW w:w="1682" w:type="dxa"/>
            <w:tcBorders>
              <w:bottom w:val="single" w:sz="4" w:space="0" w:color="auto"/>
            </w:tcBorders>
          </w:tcPr>
          <w:p w14:paraId="1E4356EA" w14:textId="5E9A706E" w:rsidR="000D2C01" w:rsidRPr="007F67EE" w:rsidRDefault="00E453CD" w:rsidP="007F67EE">
            <w:pPr>
              <w:rPr>
                <w:del w:id="899" w:author="AbbVie02no" w:date="2025-05-15T12:36:00Z"/>
                <w:sz w:val="22"/>
                <w:szCs w:val="22"/>
              </w:rPr>
            </w:pPr>
            <w:del w:id="900" w:author="AbbVie02no" w:date="2025-05-15T12:36:00Z">
              <w:r w:rsidRPr="007F67EE">
                <w:rPr>
                  <w:sz w:val="22"/>
                  <w:szCs w:val="22"/>
                </w:rPr>
                <w:delText>Vanlige</w:delText>
              </w:r>
            </w:del>
          </w:p>
        </w:tc>
        <w:tc>
          <w:tcPr>
            <w:tcW w:w="4294" w:type="dxa"/>
            <w:tcBorders>
              <w:bottom w:val="single" w:sz="4" w:space="0" w:color="auto"/>
            </w:tcBorders>
          </w:tcPr>
          <w:p w14:paraId="186A1119" w14:textId="2CEA498F" w:rsidR="000D2C01" w:rsidRPr="00193D76" w:rsidRDefault="00E453CD" w:rsidP="00193D76">
            <w:pPr>
              <w:pStyle w:val="EMEAFigureTitle"/>
              <w:tabs>
                <w:tab w:val="clear" w:pos="562"/>
              </w:tabs>
              <w:suppressAutoHyphens w:val="0"/>
              <w:rPr>
                <w:del w:id="901" w:author="AbbVie02no" w:date="2025-05-15T12:36:00Z"/>
                <w:szCs w:val="22"/>
                <w:lang w:val="nb-NO"/>
              </w:rPr>
            </w:pPr>
            <w:del w:id="902" w:author="AbbVie02no" w:date="2025-05-15T12:36:00Z">
              <w:r w:rsidRPr="00193D76">
                <w:rPr>
                  <w:szCs w:val="22"/>
                  <w:lang w:val="nb-NO"/>
                </w:rPr>
                <w:delText>Humørforandringer (inkludert depresjon), angst, søvnløshet</w:delText>
              </w:r>
            </w:del>
          </w:p>
          <w:p w14:paraId="381EA780" w14:textId="3314B4F6" w:rsidR="000D2C01" w:rsidRPr="002D0790" w:rsidRDefault="000D2C01" w:rsidP="002D0790">
            <w:pPr>
              <w:rPr>
                <w:del w:id="903" w:author="AbbVie02no" w:date="2025-05-15T12:36:00Z"/>
                <w:sz w:val="22"/>
                <w:szCs w:val="22"/>
              </w:rPr>
            </w:pPr>
          </w:p>
        </w:tc>
      </w:tr>
      <w:tr w:rsidR="004644D4" w14:paraId="5A14E989" w14:textId="3A4AAE2B" w:rsidTr="00032240">
        <w:trPr>
          <w:del w:id="904" w:author="AbbVie02no" w:date="2025-05-15T12:36:00Z"/>
        </w:trPr>
        <w:tc>
          <w:tcPr>
            <w:tcW w:w="3079" w:type="dxa"/>
            <w:vMerge w:val="restart"/>
          </w:tcPr>
          <w:p w14:paraId="01853F91" w14:textId="3F456B11" w:rsidR="00227BE9" w:rsidRPr="009C5EFD" w:rsidRDefault="00E453CD" w:rsidP="007F67EE">
            <w:pPr>
              <w:rPr>
                <w:del w:id="905" w:author="AbbVie02no" w:date="2025-05-15T12:36:00Z"/>
                <w:sz w:val="22"/>
                <w:szCs w:val="22"/>
              </w:rPr>
            </w:pPr>
            <w:del w:id="906" w:author="AbbVie02no" w:date="2025-05-15T12:36:00Z">
              <w:r w:rsidRPr="009C5EFD">
                <w:rPr>
                  <w:sz w:val="22"/>
                  <w:szCs w:val="22"/>
                </w:rPr>
                <w:delText xml:space="preserve">Nevrologiske sykdommer* </w:delText>
              </w:r>
            </w:del>
          </w:p>
        </w:tc>
        <w:tc>
          <w:tcPr>
            <w:tcW w:w="1682" w:type="dxa"/>
            <w:tcBorders>
              <w:bottom w:val="single" w:sz="4" w:space="0" w:color="auto"/>
            </w:tcBorders>
          </w:tcPr>
          <w:p w14:paraId="6FE446E2" w14:textId="7A46C7C3" w:rsidR="00227BE9" w:rsidRPr="009C5EFD" w:rsidRDefault="00E453CD" w:rsidP="007F67EE">
            <w:pPr>
              <w:rPr>
                <w:del w:id="907" w:author="AbbVie02no" w:date="2025-05-15T12:36:00Z"/>
                <w:sz w:val="22"/>
                <w:szCs w:val="22"/>
              </w:rPr>
            </w:pPr>
            <w:del w:id="908" w:author="AbbVie02no" w:date="2025-05-15T12:36:00Z">
              <w:r w:rsidRPr="009C5EFD">
                <w:rPr>
                  <w:sz w:val="22"/>
                  <w:szCs w:val="22"/>
                </w:rPr>
                <w:delText>Svært vanlige</w:delText>
              </w:r>
            </w:del>
          </w:p>
          <w:p w14:paraId="23804890" w14:textId="086A76DC" w:rsidR="00227BE9" w:rsidRPr="009C5EFD" w:rsidRDefault="00227BE9" w:rsidP="00193D76">
            <w:pPr>
              <w:rPr>
                <w:del w:id="909" w:author="AbbVie02no" w:date="2025-05-15T12:36:00Z"/>
                <w:sz w:val="22"/>
                <w:szCs w:val="22"/>
              </w:rPr>
            </w:pPr>
          </w:p>
        </w:tc>
        <w:tc>
          <w:tcPr>
            <w:tcW w:w="4294" w:type="dxa"/>
            <w:tcBorders>
              <w:bottom w:val="single" w:sz="4" w:space="0" w:color="auto"/>
            </w:tcBorders>
          </w:tcPr>
          <w:p w14:paraId="0B6C7017" w14:textId="7FC16B9F" w:rsidR="00227BE9" w:rsidRPr="009C5EFD" w:rsidRDefault="00E453CD" w:rsidP="002D0790">
            <w:pPr>
              <w:rPr>
                <w:del w:id="910" w:author="AbbVie02no" w:date="2025-05-15T12:36:00Z"/>
                <w:sz w:val="22"/>
                <w:szCs w:val="22"/>
              </w:rPr>
            </w:pPr>
            <w:del w:id="911" w:author="AbbVie02no" w:date="2025-05-15T12:36:00Z">
              <w:r w:rsidRPr="009C5EFD">
                <w:rPr>
                  <w:sz w:val="22"/>
                  <w:szCs w:val="22"/>
                </w:rPr>
                <w:delText>Hodepine</w:delText>
              </w:r>
            </w:del>
          </w:p>
        </w:tc>
      </w:tr>
      <w:tr w:rsidR="004644D4" w14:paraId="19DCAC82" w14:textId="7FBDFD23" w:rsidTr="00032240">
        <w:trPr>
          <w:del w:id="912" w:author="AbbVie02no" w:date="2025-05-15T12:36:00Z"/>
        </w:trPr>
        <w:tc>
          <w:tcPr>
            <w:tcW w:w="3079" w:type="dxa"/>
            <w:vMerge/>
          </w:tcPr>
          <w:p w14:paraId="6F501C09" w14:textId="5E0887C1" w:rsidR="00227BE9" w:rsidRPr="009C5EFD" w:rsidRDefault="00227BE9" w:rsidP="009C5EFD">
            <w:pPr>
              <w:rPr>
                <w:del w:id="913" w:author="AbbVie02no" w:date="2025-05-15T12:36:00Z"/>
                <w:sz w:val="22"/>
                <w:szCs w:val="22"/>
              </w:rPr>
            </w:pPr>
          </w:p>
        </w:tc>
        <w:tc>
          <w:tcPr>
            <w:tcW w:w="1682" w:type="dxa"/>
            <w:tcBorders>
              <w:top w:val="single" w:sz="4" w:space="0" w:color="auto"/>
              <w:bottom w:val="single" w:sz="4" w:space="0" w:color="auto"/>
            </w:tcBorders>
          </w:tcPr>
          <w:p w14:paraId="6F507B5B" w14:textId="063B0F58" w:rsidR="00227BE9" w:rsidRPr="009C5EFD" w:rsidRDefault="00E453CD" w:rsidP="009C5EFD">
            <w:pPr>
              <w:rPr>
                <w:del w:id="914" w:author="AbbVie02no" w:date="2025-05-15T12:36:00Z"/>
                <w:sz w:val="22"/>
                <w:szCs w:val="22"/>
              </w:rPr>
            </w:pPr>
            <w:del w:id="915" w:author="AbbVie02no" w:date="2025-05-15T12:36:00Z">
              <w:r w:rsidRPr="009C5EFD">
                <w:rPr>
                  <w:sz w:val="22"/>
                  <w:szCs w:val="22"/>
                </w:rPr>
                <w:delText>Vanlige</w:delText>
              </w:r>
            </w:del>
          </w:p>
          <w:p w14:paraId="7D993616" w14:textId="22C843F0" w:rsidR="00227BE9" w:rsidRPr="009C5EFD" w:rsidRDefault="00227BE9" w:rsidP="009C5EFD">
            <w:pPr>
              <w:rPr>
                <w:del w:id="916" w:author="AbbVie02no" w:date="2025-05-15T12:36:00Z"/>
                <w:sz w:val="22"/>
                <w:szCs w:val="22"/>
              </w:rPr>
            </w:pPr>
          </w:p>
        </w:tc>
        <w:tc>
          <w:tcPr>
            <w:tcW w:w="4294" w:type="dxa"/>
            <w:tcBorders>
              <w:top w:val="single" w:sz="4" w:space="0" w:color="auto"/>
              <w:bottom w:val="single" w:sz="4" w:space="0" w:color="auto"/>
            </w:tcBorders>
          </w:tcPr>
          <w:p w14:paraId="79BCD6B6" w14:textId="65ADFA95" w:rsidR="00227BE9" w:rsidRPr="009C5EFD" w:rsidRDefault="00E453CD" w:rsidP="009C5EFD">
            <w:pPr>
              <w:rPr>
                <w:del w:id="917" w:author="AbbVie02no" w:date="2025-05-15T12:36:00Z"/>
                <w:sz w:val="22"/>
                <w:szCs w:val="22"/>
              </w:rPr>
            </w:pPr>
            <w:del w:id="918" w:author="AbbVie02no" w:date="2025-05-15T12:36:00Z">
              <w:r w:rsidRPr="009C5EFD">
                <w:rPr>
                  <w:sz w:val="22"/>
                  <w:szCs w:val="22"/>
                </w:rPr>
                <w:delText>Parestesier (inkludert hyp</w:delText>
              </w:r>
              <w:r w:rsidR="00303905" w:rsidRPr="009C5EFD">
                <w:rPr>
                  <w:sz w:val="22"/>
                  <w:szCs w:val="22"/>
                </w:rPr>
                <w:delText>o</w:delText>
              </w:r>
              <w:r w:rsidRPr="009C5EFD">
                <w:rPr>
                  <w:sz w:val="22"/>
                  <w:szCs w:val="22"/>
                </w:rPr>
                <w:delText xml:space="preserve">estesi), migrene, </w:delText>
              </w:r>
              <w:r w:rsidR="001A7778" w:rsidRPr="009C5EFD">
                <w:rPr>
                  <w:sz w:val="22"/>
                  <w:szCs w:val="22"/>
                </w:rPr>
                <w:delText>kompresjon av nerverot</w:delText>
              </w:r>
            </w:del>
          </w:p>
          <w:p w14:paraId="5C85F389" w14:textId="5E731373" w:rsidR="00227BE9" w:rsidRPr="009C5EFD" w:rsidRDefault="00227BE9" w:rsidP="009C5EFD">
            <w:pPr>
              <w:rPr>
                <w:del w:id="919" w:author="AbbVie02no" w:date="2025-05-15T12:36:00Z"/>
                <w:sz w:val="22"/>
                <w:szCs w:val="22"/>
              </w:rPr>
            </w:pPr>
          </w:p>
        </w:tc>
      </w:tr>
      <w:tr w:rsidR="004644D4" w14:paraId="64A14783" w14:textId="000364C8" w:rsidTr="00032240">
        <w:trPr>
          <w:del w:id="920" w:author="AbbVie02no" w:date="2025-05-15T12:36:00Z"/>
        </w:trPr>
        <w:tc>
          <w:tcPr>
            <w:tcW w:w="3079" w:type="dxa"/>
            <w:vMerge/>
          </w:tcPr>
          <w:p w14:paraId="41D2B39E" w14:textId="36A52A2A" w:rsidR="00227BE9" w:rsidRPr="009C5EFD" w:rsidRDefault="00227BE9" w:rsidP="009C5EFD">
            <w:pPr>
              <w:rPr>
                <w:del w:id="921" w:author="AbbVie02no" w:date="2025-05-15T12:36:00Z"/>
                <w:sz w:val="22"/>
                <w:szCs w:val="22"/>
              </w:rPr>
            </w:pPr>
          </w:p>
        </w:tc>
        <w:tc>
          <w:tcPr>
            <w:tcW w:w="1682" w:type="dxa"/>
            <w:tcBorders>
              <w:top w:val="single" w:sz="4" w:space="0" w:color="auto"/>
              <w:bottom w:val="single" w:sz="4" w:space="0" w:color="auto"/>
            </w:tcBorders>
          </w:tcPr>
          <w:p w14:paraId="4B419DAC" w14:textId="7791ABF9" w:rsidR="00227BE9" w:rsidRPr="009C5EFD" w:rsidRDefault="00E453CD" w:rsidP="009C5EFD">
            <w:pPr>
              <w:rPr>
                <w:del w:id="922" w:author="AbbVie02no" w:date="2025-05-15T12:36:00Z"/>
                <w:sz w:val="22"/>
                <w:szCs w:val="22"/>
              </w:rPr>
            </w:pPr>
            <w:del w:id="923" w:author="AbbVie02no" w:date="2025-05-15T12:36:00Z">
              <w:r w:rsidRPr="009C5EFD">
                <w:rPr>
                  <w:sz w:val="22"/>
                  <w:szCs w:val="22"/>
                </w:rPr>
                <w:delText>Mindre vanlige</w:delText>
              </w:r>
            </w:del>
          </w:p>
          <w:p w14:paraId="2F4AB131" w14:textId="2A7F6B2A" w:rsidR="00227BE9" w:rsidRPr="009C5EFD" w:rsidRDefault="00227BE9" w:rsidP="009C5EFD">
            <w:pPr>
              <w:rPr>
                <w:del w:id="924" w:author="AbbVie02no" w:date="2025-05-15T12:36:00Z"/>
                <w:sz w:val="22"/>
                <w:szCs w:val="22"/>
              </w:rPr>
            </w:pPr>
          </w:p>
        </w:tc>
        <w:tc>
          <w:tcPr>
            <w:tcW w:w="4294" w:type="dxa"/>
            <w:tcBorders>
              <w:top w:val="single" w:sz="4" w:space="0" w:color="auto"/>
              <w:bottom w:val="single" w:sz="4" w:space="0" w:color="auto"/>
            </w:tcBorders>
          </w:tcPr>
          <w:p w14:paraId="5F7C793E" w14:textId="046A6D3B" w:rsidR="00227BE9" w:rsidRPr="009C5EFD" w:rsidRDefault="00E453CD" w:rsidP="009C5EFD">
            <w:pPr>
              <w:pStyle w:val="Heading9"/>
              <w:spacing w:before="0" w:after="0"/>
              <w:rPr>
                <w:del w:id="925" w:author="AbbVie02no" w:date="2025-05-15T12:36:00Z"/>
                <w:rFonts w:ascii="Times New Roman" w:hAnsi="Times New Roman" w:cs="Times New Roman"/>
              </w:rPr>
            </w:pPr>
            <w:del w:id="926" w:author="AbbVie02no" w:date="2025-05-15T12:36:00Z">
              <w:r w:rsidRPr="009C5EFD">
                <w:rPr>
                  <w:rFonts w:ascii="Times New Roman" w:hAnsi="Times New Roman" w:cs="Times New Roman"/>
                </w:rPr>
                <w:delText>Cerebrovaskulær sykdom</w:delText>
              </w:r>
              <w:r w:rsidRPr="009C5EFD">
                <w:rPr>
                  <w:rFonts w:ascii="Times New Roman" w:hAnsi="Times New Roman" w:cs="Times New Roman"/>
                  <w:vertAlign w:val="superscript"/>
                </w:rPr>
                <w:delText>1)</w:delText>
              </w:r>
              <w:r w:rsidRPr="009C5EFD">
                <w:rPr>
                  <w:rFonts w:ascii="Times New Roman" w:hAnsi="Times New Roman" w:cs="Times New Roman"/>
                </w:rPr>
                <w:delText>, tremor</w:delText>
              </w:r>
              <w:r w:rsidR="00BA5DB7" w:rsidRPr="009C5EFD">
                <w:rPr>
                  <w:rFonts w:ascii="Times New Roman" w:hAnsi="Times New Roman" w:cs="Times New Roman"/>
                </w:rPr>
                <w:delText>, neuropati</w:delText>
              </w:r>
            </w:del>
          </w:p>
          <w:p w14:paraId="45443490" w14:textId="01ED19CC" w:rsidR="00227BE9" w:rsidRPr="009C5EFD" w:rsidRDefault="00227BE9" w:rsidP="009C5EFD">
            <w:pPr>
              <w:rPr>
                <w:del w:id="927" w:author="AbbVie02no" w:date="2025-05-15T12:36:00Z"/>
                <w:sz w:val="22"/>
                <w:szCs w:val="22"/>
              </w:rPr>
            </w:pPr>
          </w:p>
        </w:tc>
      </w:tr>
      <w:tr w:rsidR="004644D4" w14:paraId="13541F88" w14:textId="609917D9" w:rsidTr="00032240">
        <w:trPr>
          <w:trHeight w:val="1012"/>
          <w:del w:id="928" w:author="AbbVie02no" w:date="2025-05-15T12:36:00Z"/>
        </w:trPr>
        <w:tc>
          <w:tcPr>
            <w:tcW w:w="3079" w:type="dxa"/>
            <w:vMerge/>
          </w:tcPr>
          <w:p w14:paraId="1A414635" w14:textId="1D3DEC95" w:rsidR="007866C9" w:rsidRPr="009C5EFD" w:rsidRDefault="007866C9" w:rsidP="009C5EFD">
            <w:pPr>
              <w:rPr>
                <w:del w:id="929" w:author="AbbVie02no" w:date="2025-05-15T12:36:00Z"/>
                <w:sz w:val="22"/>
                <w:szCs w:val="22"/>
              </w:rPr>
            </w:pPr>
          </w:p>
        </w:tc>
        <w:tc>
          <w:tcPr>
            <w:tcW w:w="1682" w:type="dxa"/>
            <w:tcBorders>
              <w:top w:val="single" w:sz="4" w:space="0" w:color="auto"/>
            </w:tcBorders>
          </w:tcPr>
          <w:p w14:paraId="552F1C05" w14:textId="6AA20D41" w:rsidR="007866C9" w:rsidRPr="009C5EFD" w:rsidRDefault="00E453CD" w:rsidP="009C5EFD">
            <w:pPr>
              <w:rPr>
                <w:del w:id="930" w:author="AbbVie02no" w:date="2025-05-15T12:36:00Z"/>
                <w:sz w:val="22"/>
                <w:szCs w:val="22"/>
              </w:rPr>
            </w:pPr>
            <w:del w:id="931" w:author="AbbVie02no" w:date="2025-05-15T12:36:00Z">
              <w:r w:rsidRPr="009C5EFD">
                <w:rPr>
                  <w:sz w:val="22"/>
                  <w:szCs w:val="22"/>
                </w:rPr>
                <w:delText>Sjeldne</w:delText>
              </w:r>
            </w:del>
          </w:p>
          <w:p w14:paraId="0B52D193" w14:textId="65E36308" w:rsidR="007866C9" w:rsidRPr="009C5EFD" w:rsidRDefault="007866C9" w:rsidP="009C5EFD">
            <w:pPr>
              <w:rPr>
                <w:del w:id="932" w:author="AbbVie02no" w:date="2025-05-15T12:36:00Z"/>
                <w:sz w:val="22"/>
                <w:szCs w:val="22"/>
              </w:rPr>
            </w:pPr>
          </w:p>
        </w:tc>
        <w:tc>
          <w:tcPr>
            <w:tcW w:w="4294" w:type="dxa"/>
            <w:tcBorders>
              <w:top w:val="single" w:sz="4" w:space="0" w:color="auto"/>
            </w:tcBorders>
          </w:tcPr>
          <w:p w14:paraId="033E9B25" w14:textId="4676F0D6" w:rsidR="007866C9" w:rsidRPr="009C5EFD" w:rsidRDefault="00E453CD" w:rsidP="009C5EFD">
            <w:pPr>
              <w:rPr>
                <w:del w:id="933" w:author="AbbVie02no" w:date="2025-05-15T12:36:00Z"/>
                <w:sz w:val="22"/>
                <w:szCs w:val="22"/>
              </w:rPr>
            </w:pPr>
            <w:del w:id="934" w:author="AbbVie02no" w:date="2025-05-15T12:36:00Z">
              <w:r w:rsidRPr="009C5EFD">
                <w:rPr>
                  <w:sz w:val="22"/>
                  <w:szCs w:val="22"/>
                </w:rPr>
                <w:delText>Multippel sklerose</w:delText>
              </w:r>
            </w:del>
          </w:p>
          <w:p w14:paraId="13D28A66" w14:textId="65CB7131" w:rsidR="007866C9" w:rsidRPr="009C5EFD" w:rsidRDefault="00E453CD" w:rsidP="009C5EFD">
            <w:pPr>
              <w:rPr>
                <w:del w:id="935" w:author="AbbVie02no" w:date="2025-05-15T12:36:00Z"/>
                <w:sz w:val="22"/>
                <w:szCs w:val="22"/>
                <w:vertAlign w:val="superscript"/>
              </w:rPr>
            </w:pPr>
            <w:del w:id="936" w:author="AbbVie02no" w:date="2025-05-15T12:36:00Z">
              <w:r w:rsidRPr="009C5EFD">
                <w:rPr>
                  <w:sz w:val="22"/>
                  <w:szCs w:val="22"/>
                </w:rPr>
                <w:delText>Demyeliniseringsforstyrrelser (f. eks. optisk nevritt, Guillain-Barré syndrom)</w:delText>
              </w:r>
              <w:r w:rsidRPr="009C5EFD">
                <w:rPr>
                  <w:sz w:val="22"/>
                  <w:szCs w:val="22"/>
                  <w:vertAlign w:val="superscript"/>
                </w:rPr>
                <w:delText>1)</w:delText>
              </w:r>
            </w:del>
          </w:p>
          <w:p w14:paraId="0F142820" w14:textId="48C249E1" w:rsidR="007866C9" w:rsidRPr="009C5EFD" w:rsidRDefault="007866C9" w:rsidP="009C5EFD">
            <w:pPr>
              <w:rPr>
                <w:del w:id="937" w:author="AbbVie02no" w:date="2025-05-15T12:36:00Z"/>
                <w:sz w:val="22"/>
                <w:szCs w:val="22"/>
              </w:rPr>
            </w:pPr>
          </w:p>
        </w:tc>
      </w:tr>
      <w:tr w:rsidR="004644D4" w14:paraId="1742D394" w14:textId="3A198B03" w:rsidTr="00032240">
        <w:trPr>
          <w:del w:id="938" w:author="AbbVie02no" w:date="2025-05-15T12:36:00Z"/>
        </w:trPr>
        <w:tc>
          <w:tcPr>
            <w:tcW w:w="3079" w:type="dxa"/>
            <w:vMerge w:val="restart"/>
          </w:tcPr>
          <w:p w14:paraId="1D4A57F6" w14:textId="42CB9338" w:rsidR="00227BE9" w:rsidRPr="009C5EFD" w:rsidRDefault="00E453CD" w:rsidP="007F67EE">
            <w:pPr>
              <w:rPr>
                <w:del w:id="939" w:author="AbbVie02no" w:date="2025-05-15T12:36:00Z"/>
                <w:sz w:val="22"/>
                <w:szCs w:val="22"/>
              </w:rPr>
            </w:pPr>
            <w:del w:id="940" w:author="AbbVie02no" w:date="2025-05-15T12:36:00Z">
              <w:r w:rsidRPr="009C5EFD">
                <w:rPr>
                  <w:sz w:val="22"/>
                  <w:szCs w:val="22"/>
                </w:rPr>
                <w:delText>Øyesykdommer</w:delText>
              </w:r>
            </w:del>
          </w:p>
        </w:tc>
        <w:tc>
          <w:tcPr>
            <w:tcW w:w="1682" w:type="dxa"/>
            <w:tcBorders>
              <w:bottom w:val="single" w:sz="4" w:space="0" w:color="auto"/>
            </w:tcBorders>
          </w:tcPr>
          <w:p w14:paraId="481D2AA5" w14:textId="0299568B" w:rsidR="00227BE9" w:rsidRPr="009C5EFD" w:rsidRDefault="00E453CD" w:rsidP="007F67EE">
            <w:pPr>
              <w:pStyle w:val="EndnoteText"/>
              <w:tabs>
                <w:tab w:val="clear" w:pos="567"/>
              </w:tabs>
              <w:rPr>
                <w:del w:id="941" w:author="AbbVie02no" w:date="2025-05-15T12:36:00Z"/>
                <w:szCs w:val="22"/>
                <w:lang w:val="nb-NO"/>
              </w:rPr>
            </w:pPr>
            <w:del w:id="942" w:author="AbbVie02no" w:date="2025-05-15T12:36:00Z">
              <w:r w:rsidRPr="009C5EFD">
                <w:rPr>
                  <w:szCs w:val="22"/>
                  <w:lang w:val="nb-NO"/>
                </w:rPr>
                <w:delText>Vanlige</w:delText>
              </w:r>
            </w:del>
          </w:p>
          <w:p w14:paraId="21F9D136" w14:textId="4F99D136" w:rsidR="00227BE9" w:rsidRPr="009C5EFD" w:rsidRDefault="00227BE9" w:rsidP="00193D76">
            <w:pPr>
              <w:pStyle w:val="EndnoteText"/>
              <w:tabs>
                <w:tab w:val="clear" w:pos="567"/>
              </w:tabs>
              <w:rPr>
                <w:del w:id="943" w:author="AbbVie02no" w:date="2025-05-15T12:36:00Z"/>
                <w:szCs w:val="22"/>
                <w:lang w:val="nb-NO"/>
              </w:rPr>
            </w:pPr>
          </w:p>
        </w:tc>
        <w:tc>
          <w:tcPr>
            <w:tcW w:w="4294" w:type="dxa"/>
            <w:tcBorders>
              <w:bottom w:val="single" w:sz="4" w:space="0" w:color="auto"/>
            </w:tcBorders>
          </w:tcPr>
          <w:p w14:paraId="07DBD339" w14:textId="24C87ABE" w:rsidR="00227BE9" w:rsidRPr="009C5EFD" w:rsidRDefault="00E453CD" w:rsidP="002D0790">
            <w:pPr>
              <w:rPr>
                <w:del w:id="944" w:author="AbbVie02no" w:date="2025-05-15T12:36:00Z"/>
                <w:sz w:val="22"/>
                <w:szCs w:val="22"/>
              </w:rPr>
            </w:pPr>
            <w:del w:id="945" w:author="AbbVie02no" w:date="2025-05-15T12:36:00Z">
              <w:r w:rsidRPr="009C5EFD">
                <w:rPr>
                  <w:sz w:val="22"/>
                  <w:szCs w:val="22"/>
                </w:rPr>
                <w:delText>Syns</w:delText>
              </w:r>
              <w:r w:rsidR="00303905" w:rsidRPr="009C5EFD">
                <w:rPr>
                  <w:sz w:val="22"/>
                  <w:szCs w:val="22"/>
                </w:rPr>
                <w:delText>forstyrrelser</w:delText>
              </w:r>
              <w:r w:rsidRPr="009C5EFD">
                <w:rPr>
                  <w:sz w:val="22"/>
                  <w:szCs w:val="22"/>
                </w:rPr>
                <w:delText>, konjunktivitt</w:delText>
              </w:r>
              <w:r w:rsidR="005A2805" w:rsidRPr="009C5EFD">
                <w:rPr>
                  <w:sz w:val="22"/>
                  <w:szCs w:val="22"/>
                </w:rPr>
                <w:delText>, blefaritt, hevelse i øye</w:delText>
              </w:r>
            </w:del>
          </w:p>
        </w:tc>
      </w:tr>
      <w:tr w:rsidR="004644D4" w14:paraId="22380E49" w14:textId="11B43634" w:rsidTr="00032240">
        <w:trPr>
          <w:del w:id="946" w:author="AbbVie02no" w:date="2025-05-15T12:36:00Z"/>
        </w:trPr>
        <w:tc>
          <w:tcPr>
            <w:tcW w:w="3079" w:type="dxa"/>
            <w:vMerge/>
          </w:tcPr>
          <w:p w14:paraId="79BB8C22" w14:textId="00F6D094" w:rsidR="00227BE9" w:rsidRPr="009C5EFD" w:rsidRDefault="00227BE9" w:rsidP="009C5EFD">
            <w:pPr>
              <w:rPr>
                <w:del w:id="947" w:author="AbbVie02no" w:date="2025-05-15T12:36:00Z"/>
                <w:sz w:val="22"/>
                <w:szCs w:val="22"/>
              </w:rPr>
            </w:pPr>
          </w:p>
        </w:tc>
        <w:tc>
          <w:tcPr>
            <w:tcW w:w="1682" w:type="dxa"/>
            <w:tcBorders>
              <w:top w:val="single" w:sz="4" w:space="0" w:color="auto"/>
              <w:bottom w:val="single" w:sz="4" w:space="0" w:color="auto"/>
            </w:tcBorders>
          </w:tcPr>
          <w:p w14:paraId="2AFBFD79" w14:textId="33F69F53" w:rsidR="00227BE9" w:rsidRPr="009C5EFD" w:rsidRDefault="00E453CD" w:rsidP="009C5EFD">
            <w:pPr>
              <w:pStyle w:val="EndnoteText"/>
              <w:tabs>
                <w:tab w:val="clear" w:pos="567"/>
              </w:tabs>
              <w:rPr>
                <w:del w:id="948" w:author="AbbVie02no" w:date="2025-05-15T12:36:00Z"/>
                <w:szCs w:val="22"/>
                <w:lang w:val="nb-NO"/>
              </w:rPr>
            </w:pPr>
            <w:del w:id="949" w:author="AbbVie02no" w:date="2025-05-15T12:36:00Z">
              <w:r w:rsidRPr="009C5EFD">
                <w:rPr>
                  <w:szCs w:val="22"/>
                  <w:lang w:val="nb-NO"/>
                </w:rPr>
                <w:delText>Mindre vanlige</w:delText>
              </w:r>
            </w:del>
          </w:p>
        </w:tc>
        <w:tc>
          <w:tcPr>
            <w:tcW w:w="4294" w:type="dxa"/>
            <w:tcBorders>
              <w:top w:val="single" w:sz="4" w:space="0" w:color="auto"/>
              <w:bottom w:val="single" w:sz="4" w:space="0" w:color="auto"/>
            </w:tcBorders>
          </w:tcPr>
          <w:p w14:paraId="2037CE05" w14:textId="3158CAD3" w:rsidR="00227BE9" w:rsidRPr="009C5EFD" w:rsidRDefault="00E453CD" w:rsidP="009C5EFD">
            <w:pPr>
              <w:rPr>
                <w:del w:id="950" w:author="AbbVie02no" w:date="2025-05-15T12:36:00Z"/>
                <w:sz w:val="22"/>
                <w:szCs w:val="22"/>
              </w:rPr>
            </w:pPr>
            <w:del w:id="951" w:author="AbbVie02no" w:date="2025-05-15T12:36:00Z">
              <w:r w:rsidRPr="009C5EFD">
                <w:rPr>
                  <w:sz w:val="22"/>
                  <w:szCs w:val="22"/>
                </w:rPr>
                <w:delText xml:space="preserve">Diplopi </w:delText>
              </w:r>
            </w:del>
          </w:p>
          <w:p w14:paraId="17E75F19" w14:textId="3669BE3F" w:rsidR="00227BE9" w:rsidRPr="009C5EFD" w:rsidRDefault="00227BE9" w:rsidP="009C5EFD">
            <w:pPr>
              <w:rPr>
                <w:del w:id="952" w:author="AbbVie02no" w:date="2025-05-15T12:36:00Z"/>
                <w:sz w:val="22"/>
                <w:szCs w:val="22"/>
              </w:rPr>
            </w:pPr>
          </w:p>
        </w:tc>
      </w:tr>
      <w:tr w:rsidR="004644D4" w14:paraId="2AD8E62F" w14:textId="3AA56F34" w:rsidTr="00032240">
        <w:trPr>
          <w:del w:id="953" w:author="AbbVie02no" w:date="2025-05-15T12:36:00Z"/>
        </w:trPr>
        <w:tc>
          <w:tcPr>
            <w:tcW w:w="3079" w:type="dxa"/>
            <w:vMerge w:val="restart"/>
          </w:tcPr>
          <w:p w14:paraId="5B88D5F1" w14:textId="3B68D39E" w:rsidR="00227BE9" w:rsidRPr="009C5EFD" w:rsidRDefault="00E453CD" w:rsidP="007F67EE">
            <w:pPr>
              <w:rPr>
                <w:del w:id="954" w:author="AbbVie02no" w:date="2025-05-15T12:36:00Z"/>
                <w:sz w:val="22"/>
                <w:szCs w:val="22"/>
              </w:rPr>
            </w:pPr>
            <w:del w:id="955" w:author="AbbVie02no" w:date="2025-05-15T12:36:00Z">
              <w:r w:rsidRPr="009C5EFD">
                <w:rPr>
                  <w:sz w:val="22"/>
                  <w:szCs w:val="22"/>
                </w:rPr>
                <w:delText>Sykdommer i øre og labyrint</w:delText>
              </w:r>
            </w:del>
          </w:p>
        </w:tc>
        <w:tc>
          <w:tcPr>
            <w:tcW w:w="1682" w:type="dxa"/>
            <w:tcBorders>
              <w:bottom w:val="single" w:sz="4" w:space="0" w:color="auto"/>
            </w:tcBorders>
          </w:tcPr>
          <w:p w14:paraId="2B846D12" w14:textId="5ADB3BEC" w:rsidR="00227BE9" w:rsidRPr="009C5EFD" w:rsidRDefault="00E453CD" w:rsidP="007F67EE">
            <w:pPr>
              <w:pStyle w:val="EndnoteText"/>
              <w:tabs>
                <w:tab w:val="clear" w:pos="567"/>
              </w:tabs>
              <w:rPr>
                <w:del w:id="956" w:author="AbbVie02no" w:date="2025-05-15T12:36:00Z"/>
                <w:szCs w:val="22"/>
                <w:lang w:val="nb-NO"/>
              </w:rPr>
            </w:pPr>
            <w:del w:id="957" w:author="AbbVie02no" w:date="2025-05-15T12:36:00Z">
              <w:r w:rsidRPr="009C5EFD">
                <w:rPr>
                  <w:szCs w:val="22"/>
                  <w:lang w:val="nb-NO"/>
                </w:rPr>
                <w:delText>Vanlige</w:delText>
              </w:r>
            </w:del>
          </w:p>
          <w:p w14:paraId="1259224F" w14:textId="2796C452" w:rsidR="00227BE9" w:rsidRPr="009C5EFD" w:rsidRDefault="00227BE9" w:rsidP="00193D76">
            <w:pPr>
              <w:pStyle w:val="EndnoteText"/>
              <w:tabs>
                <w:tab w:val="clear" w:pos="567"/>
              </w:tabs>
              <w:rPr>
                <w:del w:id="958" w:author="AbbVie02no" w:date="2025-05-15T12:36:00Z"/>
                <w:szCs w:val="22"/>
                <w:lang w:val="nb-NO"/>
              </w:rPr>
            </w:pPr>
          </w:p>
        </w:tc>
        <w:tc>
          <w:tcPr>
            <w:tcW w:w="4294" w:type="dxa"/>
            <w:tcBorders>
              <w:bottom w:val="single" w:sz="4" w:space="0" w:color="auto"/>
            </w:tcBorders>
          </w:tcPr>
          <w:p w14:paraId="0085F137" w14:textId="4DF713E2" w:rsidR="00227BE9" w:rsidRPr="009C5EFD" w:rsidRDefault="00E453CD" w:rsidP="002D0790">
            <w:pPr>
              <w:rPr>
                <w:del w:id="959" w:author="AbbVie02no" w:date="2025-05-15T12:36:00Z"/>
                <w:sz w:val="22"/>
                <w:szCs w:val="22"/>
              </w:rPr>
            </w:pPr>
            <w:del w:id="960" w:author="AbbVie02no" w:date="2025-05-15T12:36:00Z">
              <w:r w:rsidRPr="009C5EFD">
                <w:rPr>
                  <w:sz w:val="22"/>
                  <w:szCs w:val="22"/>
                </w:rPr>
                <w:delText>Svimmelhet</w:delText>
              </w:r>
            </w:del>
          </w:p>
          <w:p w14:paraId="2D838D85" w14:textId="1AC2B4F9" w:rsidR="00227BE9" w:rsidRPr="009C5EFD" w:rsidRDefault="00227BE9" w:rsidP="002D0790">
            <w:pPr>
              <w:rPr>
                <w:del w:id="961" w:author="AbbVie02no" w:date="2025-05-15T12:36:00Z"/>
                <w:sz w:val="22"/>
                <w:szCs w:val="22"/>
              </w:rPr>
            </w:pPr>
          </w:p>
        </w:tc>
      </w:tr>
      <w:tr w:rsidR="004644D4" w14:paraId="3711A8CE" w14:textId="7498B93B" w:rsidTr="00032240">
        <w:trPr>
          <w:del w:id="962" w:author="AbbVie02no" w:date="2025-05-15T12:36:00Z"/>
        </w:trPr>
        <w:tc>
          <w:tcPr>
            <w:tcW w:w="3079" w:type="dxa"/>
            <w:vMerge/>
          </w:tcPr>
          <w:p w14:paraId="5E036743" w14:textId="77A7E0F3" w:rsidR="00227BE9" w:rsidRPr="009C5EFD" w:rsidRDefault="00227BE9" w:rsidP="009C5EFD">
            <w:pPr>
              <w:rPr>
                <w:del w:id="963" w:author="AbbVie02no" w:date="2025-05-15T12:36:00Z"/>
                <w:sz w:val="22"/>
                <w:szCs w:val="22"/>
              </w:rPr>
            </w:pPr>
          </w:p>
        </w:tc>
        <w:tc>
          <w:tcPr>
            <w:tcW w:w="1682" w:type="dxa"/>
            <w:tcBorders>
              <w:top w:val="single" w:sz="4" w:space="0" w:color="auto"/>
              <w:bottom w:val="single" w:sz="4" w:space="0" w:color="auto"/>
            </w:tcBorders>
          </w:tcPr>
          <w:p w14:paraId="439D50CA" w14:textId="52825F16" w:rsidR="00227BE9" w:rsidRPr="009C5EFD" w:rsidRDefault="00E453CD" w:rsidP="009C5EFD">
            <w:pPr>
              <w:pStyle w:val="EndnoteText"/>
              <w:tabs>
                <w:tab w:val="clear" w:pos="567"/>
              </w:tabs>
              <w:rPr>
                <w:del w:id="964" w:author="AbbVie02no" w:date="2025-05-15T12:36:00Z"/>
                <w:szCs w:val="22"/>
                <w:lang w:val="nb-NO"/>
              </w:rPr>
            </w:pPr>
            <w:del w:id="965" w:author="AbbVie02no" w:date="2025-05-15T12:36:00Z">
              <w:r w:rsidRPr="009C5EFD">
                <w:rPr>
                  <w:szCs w:val="22"/>
                  <w:lang w:val="nb-NO"/>
                </w:rPr>
                <w:delText>Mindre vanlige</w:delText>
              </w:r>
            </w:del>
          </w:p>
        </w:tc>
        <w:tc>
          <w:tcPr>
            <w:tcW w:w="4294" w:type="dxa"/>
            <w:tcBorders>
              <w:top w:val="single" w:sz="4" w:space="0" w:color="auto"/>
              <w:bottom w:val="single" w:sz="4" w:space="0" w:color="auto"/>
            </w:tcBorders>
          </w:tcPr>
          <w:p w14:paraId="053136A5" w14:textId="3F91BED8" w:rsidR="00227BE9" w:rsidRPr="009C5EFD" w:rsidRDefault="00E453CD" w:rsidP="009C5EFD">
            <w:pPr>
              <w:rPr>
                <w:del w:id="966" w:author="AbbVie02no" w:date="2025-05-15T12:36:00Z"/>
                <w:sz w:val="22"/>
                <w:szCs w:val="22"/>
              </w:rPr>
            </w:pPr>
            <w:del w:id="967" w:author="AbbVie02no" w:date="2025-05-15T12:36:00Z">
              <w:r w:rsidRPr="009C5EFD">
                <w:rPr>
                  <w:sz w:val="22"/>
                  <w:szCs w:val="22"/>
                </w:rPr>
                <w:delText>Døvhet, øresus</w:delText>
              </w:r>
            </w:del>
          </w:p>
          <w:p w14:paraId="4C0A0293" w14:textId="55533803" w:rsidR="00227BE9" w:rsidRPr="009C5EFD" w:rsidRDefault="00227BE9" w:rsidP="009C5EFD">
            <w:pPr>
              <w:rPr>
                <w:del w:id="968" w:author="AbbVie02no" w:date="2025-05-15T12:36:00Z"/>
                <w:sz w:val="22"/>
                <w:szCs w:val="22"/>
              </w:rPr>
            </w:pPr>
          </w:p>
        </w:tc>
      </w:tr>
      <w:tr w:rsidR="004644D4" w14:paraId="391B8378" w14:textId="7EA9A1AB" w:rsidTr="00032240">
        <w:trPr>
          <w:del w:id="969" w:author="AbbVie02no" w:date="2025-05-15T12:36:00Z"/>
        </w:trPr>
        <w:tc>
          <w:tcPr>
            <w:tcW w:w="3079" w:type="dxa"/>
            <w:vMerge w:val="restart"/>
          </w:tcPr>
          <w:p w14:paraId="3B85B3CA" w14:textId="038DDA31" w:rsidR="00227BE9" w:rsidRPr="009C5EFD" w:rsidRDefault="00E453CD" w:rsidP="007F67EE">
            <w:pPr>
              <w:rPr>
                <w:del w:id="970" w:author="AbbVie02no" w:date="2025-05-15T12:36:00Z"/>
                <w:sz w:val="22"/>
                <w:szCs w:val="22"/>
              </w:rPr>
            </w:pPr>
            <w:del w:id="971" w:author="AbbVie02no" w:date="2025-05-15T12:36:00Z">
              <w:r w:rsidRPr="009C5EFD">
                <w:rPr>
                  <w:sz w:val="22"/>
                  <w:szCs w:val="22"/>
                </w:rPr>
                <w:delText>Hjertesykdommer*</w:delText>
              </w:r>
            </w:del>
          </w:p>
        </w:tc>
        <w:tc>
          <w:tcPr>
            <w:tcW w:w="1682" w:type="dxa"/>
            <w:tcBorders>
              <w:bottom w:val="single" w:sz="4" w:space="0" w:color="auto"/>
            </w:tcBorders>
          </w:tcPr>
          <w:p w14:paraId="134F14C4" w14:textId="12991DE5" w:rsidR="00227BE9" w:rsidRPr="009C5EFD" w:rsidRDefault="00E453CD" w:rsidP="007F67EE">
            <w:pPr>
              <w:rPr>
                <w:del w:id="972" w:author="AbbVie02no" w:date="2025-05-15T12:36:00Z"/>
                <w:sz w:val="22"/>
                <w:szCs w:val="22"/>
              </w:rPr>
            </w:pPr>
            <w:del w:id="973" w:author="AbbVie02no" w:date="2025-05-15T12:36:00Z">
              <w:r w:rsidRPr="009C5EFD">
                <w:rPr>
                  <w:sz w:val="22"/>
                  <w:szCs w:val="22"/>
                </w:rPr>
                <w:delText>Vanlige</w:delText>
              </w:r>
            </w:del>
          </w:p>
          <w:p w14:paraId="5BDC6883" w14:textId="171C9144" w:rsidR="00227BE9" w:rsidRPr="009C5EFD" w:rsidRDefault="00227BE9" w:rsidP="00193D76">
            <w:pPr>
              <w:rPr>
                <w:del w:id="974" w:author="AbbVie02no" w:date="2025-05-15T12:36:00Z"/>
                <w:sz w:val="22"/>
                <w:szCs w:val="22"/>
              </w:rPr>
            </w:pPr>
          </w:p>
        </w:tc>
        <w:tc>
          <w:tcPr>
            <w:tcW w:w="4294" w:type="dxa"/>
            <w:tcBorders>
              <w:bottom w:val="single" w:sz="4" w:space="0" w:color="auto"/>
            </w:tcBorders>
          </w:tcPr>
          <w:p w14:paraId="31A2441B" w14:textId="469FE1E3" w:rsidR="00227BE9" w:rsidRPr="009C5EFD" w:rsidRDefault="00E453CD" w:rsidP="002D0790">
            <w:pPr>
              <w:rPr>
                <w:del w:id="975" w:author="AbbVie02no" w:date="2025-05-15T12:36:00Z"/>
                <w:sz w:val="22"/>
                <w:szCs w:val="22"/>
              </w:rPr>
            </w:pPr>
            <w:del w:id="976" w:author="AbbVie02no" w:date="2025-05-15T12:36:00Z">
              <w:r w:rsidRPr="009C5EFD">
                <w:rPr>
                  <w:sz w:val="22"/>
                  <w:szCs w:val="22"/>
                </w:rPr>
                <w:delText>Takykardi</w:delText>
              </w:r>
            </w:del>
          </w:p>
        </w:tc>
      </w:tr>
      <w:tr w:rsidR="004644D4" w14:paraId="692E75D4" w14:textId="4DCE9A8C" w:rsidTr="00032240">
        <w:trPr>
          <w:del w:id="977" w:author="AbbVie02no" w:date="2025-05-15T12:36:00Z"/>
        </w:trPr>
        <w:tc>
          <w:tcPr>
            <w:tcW w:w="3079" w:type="dxa"/>
            <w:vMerge/>
          </w:tcPr>
          <w:p w14:paraId="6F8F6D41" w14:textId="4CAC2604" w:rsidR="00227BE9" w:rsidRPr="009C5EFD" w:rsidRDefault="00227BE9" w:rsidP="009C5EFD">
            <w:pPr>
              <w:rPr>
                <w:del w:id="978" w:author="AbbVie02no" w:date="2025-05-15T12:36:00Z"/>
                <w:sz w:val="22"/>
                <w:szCs w:val="22"/>
              </w:rPr>
            </w:pPr>
          </w:p>
        </w:tc>
        <w:tc>
          <w:tcPr>
            <w:tcW w:w="1682" w:type="dxa"/>
            <w:tcBorders>
              <w:top w:val="single" w:sz="4" w:space="0" w:color="auto"/>
              <w:bottom w:val="single" w:sz="4" w:space="0" w:color="auto"/>
            </w:tcBorders>
          </w:tcPr>
          <w:p w14:paraId="6C5F4E92" w14:textId="1275B53C" w:rsidR="00227BE9" w:rsidRPr="009C5EFD" w:rsidRDefault="00E453CD" w:rsidP="009C5EFD">
            <w:pPr>
              <w:rPr>
                <w:del w:id="979" w:author="AbbVie02no" w:date="2025-05-15T12:36:00Z"/>
                <w:sz w:val="22"/>
                <w:szCs w:val="22"/>
              </w:rPr>
            </w:pPr>
            <w:del w:id="980" w:author="AbbVie02no" w:date="2025-05-15T12:36:00Z">
              <w:r w:rsidRPr="009C5EFD">
                <w:rPr>
                  <w:sz w:val="22"/>
                  <w:szCs w:val="22"/>
                </w:rPr>
                <w:delText>Mindre vanlige</w:delText>
              </w:r>
            </w:del>
          </w:p>
          <w:p w14:paraId="1F562FE7" w14:textId="48B667A3" w:rsidR="00227BE9" w:rsidRPr="009C5EFD" w:rsidRDefault="00227BE9" w:rsidP="009C5EFD">
            <w:pPr>
              <w:rPr>
                <w:del w:id="981" w:author="AbbVie02no" w:date="2025-05-15T12:36:00Z"/>
                <w:sz w:val="22"/>
                <w:szCs w:val="22"/>
              </w:rPr>
            </w:pPr>
          </w:p>
        </w:tc>
        <w:tc>
          <w:tcPr>
            <w:tcW w:w="4294" w:type="dxa"/>
            <w:tcBorders>
              <w:top w:val="single" w:sz="4" w:space="0" w:color="auto"/>
              <w:bottom w:val="single" w:sz="4" w:space="0" w:color="auto"/>
            </w:tcBorders>
          </w:tcPr>
          <w:p w14:paraId="487863F2" w14:textId="35FAB76D" w:rsidR="00227BE9" w:rsidRPr="009C5EFD" w:rsidRDefault="00E453CD" w:rsidP="009C5EFD">
            <w:pPr>
              <w:rPr>
                <w:del w:id="982" w:author="AbbVie02no" w:date="2025-05-15T12:36:00Z"/>
                <w:sz w:val="22"/>
                <w:szCs w:val="22"/>
              </w:rPr>
            </w:pPr>
            <w:del w:id="983" w:author="AbbVie02no" w:date="2025-05-15T12:36:00Z">
              <w:r w:rsidRPr="009C5EFD">
                <w:rPr>
                  <w:sz w:val="22"/>
                  <w:szCs w:val="22"/>
                </w:rPr>
                <w:delText>Hjerteinfarkt</w:delText>
              </w:r>
              <w:r w:rsidRPr="009C5EFD">
                <w:rPr>
                  <w:sz w:val="22"/>
                  <w:szCs w:val="22"/>
                  <w:vertAlign w:val="superscript"/>
                </w:rPr>
                <w:delText>1)</w:delText>
              </w:r>
              <w:r w:rsidRPr="009C5EFD">
                <w:rPr>
                  <w:sz w:val="22"/>
                  <w:szCs w:val="22"/>
                </w:rPr>
                <w:delText xml:space="preserve">, arytmi, </w:delText>
              </w:r>
              <w:r w:rsidR="00170C6B" w:rsidRPr="009C5EFD">
                <w:rPr>
                  <w:sz w:val="22"/>
                  <w:szCs w:val="22"/>
                </w:rPr>
                <w:delText xml:space="preserve">kongestiv </w:delText>
              </w:r>
              <w:r w:rsidRPr="009C5EFD">
                <w:rPr>
                  <w:sz w:val="22"/>
                  <w:szCs w:val="22"/>
                </w:rPr>
                <w:delText>hjertesvikt</w:delText>
              </w:r>
            </w:del>
          </w:p>
          <w:p w14:paraId="4D9F0924" w14:textId="6E5BAB7C" w:rsidR="00227BE9" w:rsidRPr="009C5EFD" w:rsidRDefault="00227BE9" w:rsidP="009C5EFD">
            <w:pPr>
              <w:rPr>
                <w:del w:id="984" w:author="AbbVie02no" w:date="2025-05-15T12:36:00Z"/>
                <w:sz w:val="22"/>
                <w:szCs w:val="22"/>
              </w:rPr>
            </w:pPr>
          </w:p>
        </w:tc>
      </w:tr>
      <w:tr w:rsidR="004644D4" w14:paraId="0FED8728" w14:textId="5384062E" w:rsidTr="00032240">
        <w:trPr>
          <w:del w:id="985" w:author="AbbVie02no" w:date="2025-05-15T12:36:00Z"/>
        </w:trPr>
        <w:tc>
          <w:tcPr>
            <w:tcW w:w="3079" w:type="dxa"/>
            <w:vMerge/>
          </w:tcPr>
          <w:p w14:paraId="366B385B" w14:textId="0A0BD949" w:rsidR="00227BE9" w:rsidRPr="009C5EFD" w:rsidRDefault="00227BE9" w:rsidP="009C5EFD">
            <w:pPr>
              <w:rPr>
                <w:del w:id="986" w:author="AbbVie02no" w:date="2025-05-15T12:36:00Z"/>
                <w:sz w:val="22"/>
                <w:szCs w:val="22"/>
              </w:rPr>
            </w:pPr>
          </w:p>
        </w:tc>
        <w:tc>
          <w:tcPr>
            <w:tcW w:w="1682" w:type="dxa"/>
            <w:tcBorders>
              <w:top w:val="single" w:sz="4" w:space="0" w:color="auto"/>
              <w:bottom w:val="single" w:sz="4" w:space="0" w:color="auto"/>
            </w:tcBorders>
          </w:tcPr>
          <w:p w14:paraId="4A5DDBF1" w14:textId="7D894B4C" w:rsidR="00227BE9" w:rsidRPr="009C5EFD" w:rsidRDefault="00E453CD" w:rsidP="009C5EFD">
            <w:pPr>
              <w:rPr>
                <w:del w:id="987" w:author="AbbVie02no" w:date="2025-05-15T12:36:00Z"/>
                <w:sz w:val="22"/>
                <w:szCs w:val="22"/>
              </w:rPr>
            </w:pPr>
            <w:del w:id="988" w:author="AbbVie02no" w:date="2025-05-15T12:36:00Z">
              <w:r w:rsidRPr="009C5EFD">
                <w:rPr>
                  <w:sz w:val="22"/>
                  <w:szCs w:val="22"/>
                </w:rPr>
                <w:delText>Sjeldne</w:delText>
              </w:r>
            </w:del>
          </w:p>
          <w:p w14:paraId="0DCB8113" w14:textId="171AA763" w:rsidR="00227BE9" w:rsidRPr="009C5EFD" w:rsidRDefault="00227BE9" w:rsidP="009C5EFD">
            <w:pPr>
              <w:rPr>
                <w:del w:id="989" w:author="AbbVie02no" w:date="2025-05-15T12:36:00Z"/>
                <w:sz w:val="22"/>
                <w:szCs w:val="22"/>
              </w:rPr>
            </w:pPr>
          </w:p>
        </w:tc>
        <w:tc>
          <w:tcPr>
            <w:tcW w:w="4294" w:type="dxa"/>
            <w:tcBorders>
              <w:top w:val="single" w:sz="4" w:space="0" w:color="auto"/>
              <w:bottom w:val="single" w:sz="4" w:space="0" w:color="auto"/>
            </w:tcBorders>
          </w:tcPr>
          <w:p w14:paraId="5323652E" w14:textId="73E92D84" w:rsidR="00227BE9" w:rsidRPr="009C5EFD" w:rsidRDefault="00E453CD" w:rsidP="009C5EFD">
            <w:pPr>
              <w:rPr>
                <w:del w:id="990" w:author="AbbVie02no" w:date="2025-05-15T12:36:00Z"/>
                <w:sz w:val="22"/>
                <w:szCs w:val="22"/>
              </w:rPr>
            </w:pPr>
            <w:del w:id="991" w:author="AbbVie02no" w:date="2025-05-15T12:36:00Z">
              <w:r w:rsidRPr="009C5EFD">
                <w:rPr>
                  <w:sz w:val="22"/>
                  <w:szCs w:val="22"/>
                </w:rPr>
                <w:delText>Hjertestans</w:delText>
              </w:r>
            </w:del>
          </w:p>
        </w:tc>
      </w:tr>
      <w:tr w:rsidR="004644D4" w14:paraId="2EC21A12" w14:textId="5771E45C" w:rsidTr="00032240">
        <w:trPr>
          <w:del w:id="992" w:author="AbbVie02no" w:date="2025-05-15T12:36:00Z"/>
        </w:trPr>
        <w:tc>
          <w:tcPr>
            <w:tcW w:w="3079" w:type="dxa"/>
            <w:vMerge w:val="restart"/>
          </w:tcPr>
          <w:p w14:paraId="2666BD29" w14:textId="66E31483" w:rsidR="00227BE9" w:rsidRPr="009C5EFD" w:rsidRDefault="00E453CD" w:rsidP="007F67EE">
            <w:pPr>
              <w:rPr>
                <w:del w:id="993" w:author="AbbVie02no" w:date="2025-05-15T12:36:00Z"/>
                <w:sz w:val="22"/>
                <w:szCs w:val="22"/>
              </w:rPr>
            </w:pPr>
            <w:del w:id="994" w:author="AbbVie02no" w:date="2025-05-15T12:36:00Z">
              <w:r w:rsidRPr="009C5EFD">
                <w:rPr>
                  <w:sz w:val="22"/>
                  <w:szCs w:val="22"/>
                </w:rPr>
                <w:delText>Karsykdommer</w:delText>
              </w:r>
            </w:del>
          </w:p>
        </w:tc>
        <w:tc>
          <w:tcPr>
            <w:tcW w:w="1682" w:type="dxa"/>
            <w:tcBorders>
              <w:bottom w:val="single" w:sz="4" w:space="0" w:color="auto"/>
            </w:tcBorders>
          </w:tcPr>
          <w:p w14:paraId="4E738724" w14:textId="22A7EBB8" w:rsidR="00227BE9" w:rsidRPr="009C5EFD" w:rsidRDefault="00E453CD" w:rsidP="007F67EE">
            <w:pPr>
              <w:pStyle w:val="EndnoteText"/>
              <w:tabs>
                <w:tab w:val="clear" w:pos="567"/>
              </w:tabs>
              <w:jc w:val="both"/>
              <w:rPr>
                <w:del w:id="995" w:author="AbbVie02no" w:date="2025-05-15T12:36:00Z"/>
                <w:szCs w:val="22"/>
                <w:lang w:val="nb-NO"/>
              </w:rPr>
            </w:pPr>
            <w:del w:id="996" w:author="AbbVie02no" w:date="2025-05-15T12:36:00Z">
              <w:r w:rsidRPr="009C5EFD">
                <w:rPr>
                  <w:szCs w:val="22"/>
                  <w:lang w:val="nb-NO"/>
                </w:rPr>
                <w:delText>Vanlige</w:delText>
              </w:r>
            </w:del>
          </w:p>
          <w:p w14:paraId="4114413A" w14:textId="1F0AC817" w:rsidR="00227BE9" w:rsidRPr="009C5EFD" w:rsidRDefault="00227BE9" w:rsidP="00193D76">
            <w:pPr>
              <w:rPr>
                <w:del w:id="997" w:author="AbbVie02no" w:date="2025-05-15T12:36:00Z"/>
                <w:sz w:val="22"/>
                <w:szCs w:val="22"/>
              </w:rPr>
            </w:pPr>
          </w:p>
        </w:tc>
        <w:tc>
          <w:tcPr>
            <w:tcW w:w="4294" w:type="dxa"/>
            <w:tcBorders>
              <w:bottom w:val="single" w:sz="4" w:space="0" w:color="auto"/>
            </w:tcBorders>
          </w:tcPr>
          <w:p w14:paraId="41171D0C" w14:textId="630BD186" w:rsidR="00227BE9" w:rsidRPr="009C5EFD" w:rsidRDefault="00E453CD" w:rsidP="002D0790">
            <w:pPr>
              <w:rPr>
                <w:del w:id="998" w:author="AbbVie02no" w:date="2025-05-15T12:36:00Z"/>
                <w:sz w:val="22"/>
                <w:szCs w:val="22"/>
              </w:rPr>
            </w:pPr>
            <w:del w:id="999" w:author="AbbVie02no" w:date="2025-05-15T12:36:00Z">
              <w:r w:rsidRPr="009C5EFD">
                <w:rPr>
                  <w:sz w:val="22"/>
                  <w:szCs w:val="22"/>
                </w:rPr>
                <w:delText>Hypertensjon, flushing, hematom</w:delText>
              </w:r>
            </w:del>
          </w:p>
        </w:tc>
      </w:tr>
      <w:tr w:rsidR="004644D4" w14:paraId="08CF679B" w14:textId="31DA7C75" w:rsidTr="00032240">
        <w:trPr>
          <w:del w:id="1000" w:author="AbbVie02no" w:date="2025-05-15T12:36:00Z"/>
        </w:trPr>
        <w:tc>
          <w:tcPr>
            <w:tcW w:w="3079" w:type="dxa"/>
            <w:vMerge/>
          </w:tcPr>
          <w:p w14:paraId="676EEDAB" w14:textId="47527FBA" w:rsidR="00227BE9" w:rsidRPr="009C5EFD" w:rsidRDefault="00227BE9" w:rsidP="009C5EFD">
            <w:pPr>
              <w:rPr>
                <w:del w:id="1001" w:author="AbbVie02no" w:date="2025-05-15T12:36:00Z"/>
                <w:sz w:val="22"/>
                <w:szCs w:val="22"/>
              </w:rPr>
            </w:pPr>
          </w:p>
        </w:tc>
        <w:tc>
          <w:tcPr>
            <w:tcW w:w="1682" w:type="dxa"/>
            <w:tcBorders>
              <w:top w:val="single" w:sz="4" w:space="0" w:color="auto"/>
              <w:bottom w:val="single" w:sz="4" w:space="0" w:color="auto"/>
            </w:tcBorders>
          </w:tcPr>
          <w:p w14:paraId="25A09DC0" w14:textId="2EB26520" w:rsidR="00227BE9" w:rsidRPr="009C5EFD" w:rsidRDefault="00E453CD" w:rsidP="009C5EFD">
            <w:pPr>
              <w:pStyle w:val="EndnoteText"/>
              <w:tabs>
                <w:tab w:val="clear" w:pos="567"/>
              </w:tabs>
              <w:jc w:val="both"/>
              <w:rPr>
                <w:del w:id="1002" w:author="AbbVie02no" w:date="2025-05-15T12:36:00Z"/>
                <w:szCs w:val="22"/>
                <w:lang w:val="nb-NO"/>
              </w:rPr>
            </w:pPr>
            <w:del w:id="1003" w:author="AbbVie02no" w:date="2025-05-15T12:36:00Z">
              <w:r w:rsidRPr="009C5EFD">
                <w:rPr>
                  <w:szCs w:val="22"/>
                  <w:lang w:val="nb-NO"/>
                </w:rPr>
                <w:delText>Mindre vanlige</w:delText>
              </w:r>
            </w:del>
          </w:p>
        </w:tc>
        <w:tc>
          <w:tcPr>
            <w:tcW w:w="4294" w:type="dxa"/>
            <w:tcBorders>
              <w:top w:val="single" w:sz="4" w:space="0" w:color="auto"/>
              <w:bottom w:val="single" w:sz="4" w:space="0" w:color="auto"/>
            </w:tcBorders>
          </w:tcPr>
          <w:p w14:paraId="1DD0A66B" w14:textId="51BEEF3E" w:rsidR="00227BE9" w:rsidRPr="009C5EFD" w:rsidRDefault="00E453CD" w:rsidP="009C5EFD">
            <w:pPr>
              <w:rPr>
                <w:del w:id="1004" w:author="AbbVie02no" w:date="2025-05-15T12:36:00Z"/>
                <w:sz w:val="22"/>
                <w:szCs w:val="22"/>
              </w:rPr>
            </w:pPr>
            <w:del w:id="1005" w:author="AbbVie02no" w:date="2025-05-15T12:36:00Z">
              <w:r w:rsidRPr="009C5EFD">
                <w:rPr>
                  <w:sz w:val="22"/>
                  <w:szCs w:val="22"/>
                </w:rPr>
                <w:delText xml:space="preserve">Aortaaneurisme, vaskulær </w:delText>
              </w:r>
              <w:r w:rsidR="00303905" w:rsidRPr="009C5EFD">
                <w:rPr>
                  <w:sz w:val="22"/>
                  <w:szCs w:val="22"/>
                </w:rPr>
                <w:delText xml:space="preserve">arteriell </w:delText>
              </w:r>
              <w:r w:rsidRPr="009C5EFD">
                <w:rPr>
                  <w:sz w:val="22"/>
                  <w:szCs w:val="22"/>
                </w:rPr>
                <w:delText>okklusjon, tromboflebitt</w:delText>
              </w:r>
            </w:del>
          </w:p>
          <w:p w14:paraId="688D1E47" w14:textId="24ECF75D" w:rsidR="00227BE9" w:rsidRPr="009C5EFD" w:rsidRDefault="00227BE9" w:rsidP="009C5EFD">
            <w:pPr>
              <w:rPr>
                <w:del w:id="1006" w:author="AbbVie02no" w:date="2025-05-15T12:36:00Z"/>
                <w:sz w:val="22"/>
                <w:szCs w:val="22"/>
              </w:rPr>
            </w:pPr>
          </w:p>
        </w:tc>
      </w:tr>
      <w:tr w:rsidR="004644D4" w14:paraId="29CE0406" w14:textId="4E643C66" w:rsidTr="00032240">
        <w:trPr>
          <w:del w:id="1007" w:author="AbbVie02no" w:date="2025-05-15T12:36:00Z"/>
        </w:trPr>
        <w:tc>
          <w:tcPr>
            <w:tcW w:w="3079" w:type="dxa"/>
            <w:vMerge w:val="restart"/>
          </w:tcPr>
          <w:p w14:paraId="17C668AC" w14:textId="6DB5B86A" w:rsidR="00227BE9" w:rsidRPr="009C5EFD" w:rsidRDefault="00E453CD" w:rsidP="007F67EE">
            <w:pPr>
              <w:rPr>
                <w:del w:id="1008" w:author="AbbVie02no" w:date="2025-05-15T12:36:00Z"/>
                <w:sz w:val="22"/>
                <w:szCs w:val="22"/>
              </w:rPr>
            </w:pPr>
            <w:del w:id="1009" w:author="AbbVie02no" w:date="2025-05-15T12:36:00Z">
              <w:r w:rsidRPr="009C5EFD">
                <w:rPr>
                  <w:sz w:val="22"/>
                  <w:szCs w:val="22"/>
                </w:rPr>
                <w:delText>Sykdommer i respirasjonsorganer, thorax og mediastinum*</w:delText>
              </w:r>
            </w:del>
          </w:p>
        </w:tc>
        <w:tc>
          <w:tcPr>
            <w:tcW w:w="1682" w:type="dxa"/>
            <w:tcBorders>
              <w:bottom w:val="single" w:sz="4" w:space="0" w:color="auto"/>
            </w:tcBorders>
          </w:tcPr>
          <w:p w14:paraId="31AA4D47" w14:textId="509B422D" w:rsidR="00227BE9" w:rsidRPr="009C5EFD" w:rsidRDefault="00E453CD" w:rsidP="007F67EE">
            <w:pPr>
              <w:rPr>
                <w:del w:id="1010" w:author="AbbVie02no" w:date="2025-05-15T12:36:00Z"/>
                <w:sz w:val="22"/>
                <w:szCs w:val="22"/>
              </w:rPr>
            </w:pPr>
            <w:del w:id="1011" w:author="AbbVie02no" w:date="2025-05-15T12:36:00Z">
              <w:r w:rsidRPr="009C5EFD">
                <w:rPr>
                  <w:sz w:val="22"/>
                  <w:szCs w:val="22"/>
                </w:rPr>
                <w:delText>Vanlige</w:delText>
              </w:r>
            </w:del>
          </w:p>
          <w:p w14:paraId="6D635882" w14:textId="6F46A045" w:rsidR="00227BE9" w:rsidRPr="009C5EFD" w:rsidRDefault="00227BE9" w:rsidP="00193D76">
            <w:pPr>
              <w:pStyle w:val="EndnoteText"/>
              <w:tabs>
                <w:tab w:val="clear" w:pos="567"/>
              </w:tabs>
              <w:jc w:val="both"/>
              <w:rPr>
                <w:del w:id="1012" w:author="AbbVie02no" w:date="2025-05-15T12:36:00Z"/>
                <w:szCs w:val="22"/>
                <w:lang w:val="nb-NO"/>
              </w:rPr>
            </w:pPr>
          </w:p>
        </w:tc>
        <w:tc>
          <w:tcPr>
            <w:tcW w:w="4294" w:type="dxa"/>
            <w:tcBorders>
              <w:bottom w:val="single" w:sz="4" w:space="0" w:color="auto"/>
            </w:tcBorders>
          </w:tcPr>
          <w:p w14:paraId="17476A84" w14:textId="4BB08828" w:rsidR="00227BE9" w:rsidRPr="009C5EFD" w:rsidRDefault="00E453CD" w:rsidP="002D0790">
            <w:pPr>
              <w:autoSpaceDE w:val="0"/>
              <w:autoSpaceDN w:val="0"/>
              <w:adjustRightInd w:val="0"/>
              <w:rPr>
                <w:del w:id="1013" w:author="AbbVie02no" w:date="2025-05-15T12:36:00Z"/>
                <w:sz w:val="22"/>
                <w:szCs w:val="22"/>
              </w:rPr>
            </w:pPr>
            <w:del w:id="1014" w:author="AbbVie02no" w:date="2025-05-15T12:36:00Z">
              <w:r w:rsidRPr="009C5EFD">
                <w:rPr>
                  <w:sz w:val="22"/>
                  <w:szCs w:val="22"/>
                </w:rPr>
                <w:delText>Astma, dyspné, hoste</w:delText>
              </w:r>
            </w:del>
          </w:p>
        </w:tc>
      </w:tr>
      <w:tr w:rsidR="004644D4" w14:paraId="7B6E5AA9" w14:textId="3DC80315" w:rsidTr="00032240">
        <w:trPr>
          <w:del w:id="1015" w:author="AbbVie02no" w:date="2025-05-15T12:36:00Z"/>
        </w:trPr>
        <w:tc>
          <w:tcPr>
            <w:tcW w:w="3079" w:type="dxa"/>
            <w:vMerge/>
          </w:tcPr>
          <w:p w14:paraId="5F7D2B40" w14:textId="766DF509" w:rsidR="00227BE9" w:rsidRPr="009C5EFD" w:rsidRDefault="00227BE9" w:rsidP="009C5EFD">
            <w:pPr>
              <w:rPr>
                <w:del w:id="1016" w:author="AbbVie02no" w:date="2025-05-15T12:36:00Z"/>
                <w:sz w:val="22"/>
                <w:szCs w:val="22"/>
              </w:rPr>
            </w:pPr>
          </w:p>
        </w:tc>
        <w:tc>
          <w:tcPr>
            <w:tcW w:w="1682" w:type="dxa"/>
            <w:tcBorders>
              <w:top w:val="single" w:sz="4" w:space="0" w:color="auto"/>
              <w:bottom w:val="single" w:sz="4" w:space="0" w:color="auto"/>
            </w:tcBorders>
          </w:tcPr>
          <w:p w14:paraId="5FF1249E" w14:textId="03ED1AB7" w:rsidR="00227BE9" w:rsidRPr="009C5EFD" w:rsidRDefault="00E453CD" w:rsidP="009C5EFD">
            <w:pPr>
              <w:pStyle w:val="EndnoteText"/>
              <w:tabs>
                <w:tab w:val="clear" w:pos="567"/>
              </w:tabs>
              <w:jc w:val="both"/>
              <w:rPr>
                <w:del w:id="1017" w:author="AbbVie02no" w:date="2025-05-15T12:36:00Z"/>
                <w:szCs w:val="22"/>
                <w:lang w:val="nb-NO"/>
              </w:rPr>
            </w:pPr>
            <w:del w:id="1018" w:author="AbbVie02no" w:date="2025-05-15T12:36:00Z">
              <w:r w:rsidRPr="009C5EFD">
                <w:rPr>
                  <w:szCs w:val="22"/>
                  <w:lang w:val="nb-NO"/>
                </w:rPr>
                <w:delText>Mindre vanlige</w:delText>
              </w:r>
            </w:del>
          </w:p>
          <w:p w14:paraId="4116B098" w14:textId="3A267EC6" w:rsidR="00227BE9" w:rsidRPr="009C5EFD" w:rsidRDefault="00227BE9" w:rsidP="009C5EFD">
            <w:pPr>
              <w:rPr>
                <w:del w:id="1019" w:author="AbbVie02no" w:date="2025-05-15T12:36:00Z"/>
                <w:sz w:val="22"/>
                <w:szCs w:val="22"/>
              </w:rPr>
            </w:pPr>
          </w:p>
        </w:tc>
        <w:tc>
          <w:tcPr>
            <w:tcW w:w="4294" w:type="dxa"/>
            <w:tcBorders>
              <w:top w:val="single" w:sz="4" w:space="0" w:color="auto"/>
              <w:bottom w:val="single" w:sz="4" w:space="0" w:color="auto"/>
            </w:tcBorders>
          </w:tcPr>
          <w:p w14:paraId="1E817FFA" w14:textId="2ED68C20" w:rsidR="00227BE9" w:rsidRPr="009C5EFD" w:rsidRDefault="00E453CD" w:rsidP="009C5EFD">
            <w:pPr>
              <w:rPr>
                <w:del w:id="1020" w:author="AbbVie02no" w:date="2025-05-15T12:36:00Z"/>
                <w:sz w:val="22"/>
                <w:szCs w:val="22"/>
              </w:rPr>
            </w:pPr>
            <w:del w:id="1021" w:author="AbbVie02no" w:date="2025-05-15T12:36:00Z">
              <w:r w:rsidRPr="009C5EFD">
                <w:rPr>
                  <w:sz w:val="22"/>
                  <w:szCs w:val="22"/>
                </w:rPr>
                <w:delText>Lungeemboli</w:delText>
              </w:r>
              <w:r w:rsidRPr="009C5EFD">
                <w:rPr>
                  <w:sz w:val="22"/>
                  <w:szCs w:val="22"/>
                  <w:vertAlign w:val="superscript"/>
                </w:rPr>
                <w:delText>1)</w:delText>
              </w:r>
              <w:r w:rsidRPr="009C5EFD">
                <w:rPr>
                  <w:sz w:val="22"/>
                  <w:szCs w:val="22"/>
                </w:rPr>
                <w:delText xml:space="preserve">, interstitiell lungesykdom, kronisk obstruktiv lungesykdom, pneumonitt, </w:delText>
              </w:r>
            </w:del>
          </w:p>
          <w:p w14:paraId="69175B9B" w14:textId="60267DE9" w:rsidR="00227BE9" w:rsidRPr="009C5EFD" w:rsidRDefault="00E453CD" w:rsidP="009C5EFD">
            <w:pPr>
              <w:rPr>
                <w:del w:id="1022" w:author="AbbVie02no" w:date="2025-05-15T12:36:00Z"/>
                <w:sz w:val="22"/>
                <w:szCs w:val="22"/>
              </w:rPr>
            </w:pPr>
            <w:del w:id="1023" w:author="AbbVie02no" w:date="2025-05-15T12:36:00Z">
              <w:r>
                <w:rPr>
                  <w:sz w:val="22"/>
                  <w:szCs w:val="22"/>
                </w:rPr>
                <w:delText>hydrothorax</w:delText>
              </w:r>
              <w:r w:rsidRPr="009C5EFD">
                <w:rPr>
                  <w:sz w:val="22"/>
                  <w:szCs w:val="22"/>
                  <w:vertAlign w:val="superscript"/>
                </w:rPr>
                <w:delText>1)</w:delText>
              </w:r>
              <w:r w:rsidRPr="009C5EFD">
                <w:rPr>
                  <w:sz w:val="22"/>
                  <w:szCs w:val="22"/>
                </w:rPr>
                <w:delText xml:space="preserve"> </w:delText>
              </w:r>
            </w:del>
          </w:p>
          <w:p w14:paraId="40223595" w14:textId="3FB92B89" w:rsidR="00227BE9" w:rsidRPr="009C5EFD" w:rsidRDefault="00227BE9" w:rsidP="009C5EFD">
            <w:pPr>
              <w:autoSpaceDE w:val="0"/>
              <w:autoSpaceDN w:val="0"/>
              <w:adjustRightInd w:val="0"/>
              <w:rPr>
                <w:del w:id="1024" w:author="AbbVie02no" w:date="2025-05-15T12:36:00Z"/>
                <w:sz w:val="22"/>
                <w:szCs w:val="22"/>
              </w:rPr>
            </w:pPr>
          </w:p>
        </w:tc>
      </w:tr>
      <w:tr w:rsidR="004644D4" w14:paraId="7FB24D27" w14:textId="478C65DD" w:rsidTr="00032240">
        <w:trPr>
          <w:del w:id="1025" w:author="AbbVie02no" w:date="2025-05-15T12:36:00Z"/>
        </w:trPr>
        <w:tc>
          <w:tcPr>
            <w:tcW w:w="3079" w:type="dxa"/>
            <w:vMerge/>
          </w:tcPr>
          <w:p w14:paraId="5398F4D0" w14:textId="3D2B0E14" w:rsidR="00227BE9" w:rsidRPr="009C5EFD" w:rsidRDefault="00227BE9" w:rsidP="009C5EFD">
            <w:pPr>
              <w:rPr>
                <w:del w:id="1026" w:author="AbbVie02no" w:date="2025-05-15T12:36:00Z"/>
                <w:sz w:val="22"/>
                <w:szCs w:val="22"/>
              </w:rPr>
            </w:pPr>
          </w:p>
        </w:tc>
        <w:tc>
          <w:tcPr>
            <w:tcW w:w="1682" w:type="dxa"/>
            <w:tcBorders>
              <w:top w:val="single" w:sz="4" w:space="0" w:color="auto"/>
              <w:bottom w:val="single" w:sz="4" w:space="0" w:color="auto"/>
            </w:tcBorders>
          </w:tcPr>
          <w:p w14:paraId="2DF4AD4D" w14:textId="08F97558" w:rsidR="00227BE9" w:rsidRPr="009C5EFD" w:rsidRDefault="00E453CD" w:rsidP="009C5EFD">
            <w:pPr>
              <w:pStyle w:val="EndnoteText"/>
              <w:tabs>
                <w:tab w:val="clear" w:pos="567"/>
              </w:tabs>
              <w:jc w:val="both"/>
              <w:rPr>
                <w:del w:id="1027" w:author="AbbVie02no" w:date="2025-05-15T12:36:00Z"/>
                <w:szCs w:val="22"/>
                <w:lang w:val="nb-NO"/>
              </w:rPr>
            </w:pPr>
            <w:del w:id="1028" w:author="AbbVie02no" w:date="2025-05-15T12:36:00Z">
              <w:r w:rsidRPr="009C5EFD">
                <w:rPr>
                  <w:szCs w:val="22"/>
                  <w:lang w:val="nb-NO"/>
                </w:rPr>
                <w:delText>Sjeldne</w:delText>
              </w:r>
            </w:del>
          </w:p>
          <w:p w14:paraId="1EA91F5E" w14:textId="6517553B" w:rsidR="00227BE9" w:rsidRPr="009C5EFD" w:rsidRDefault="00227BE9" w:rsidP="009C5EFD">
            <w:pPr>
              <w:rPr>
                <w:del w:id="1029" w:author="AbbVie02no" w:date="2025-05-15T12:36:00Z"/>
                <w:sz w:val="22"/>
                <w:szCs w:val="22"/>
              </w:rPr>
            </w:pPr>
          </w:p>
        </w:tc>
        <w:tc>
          <w:tcPr>
            <w:tcW w:w="4294" w:type="dxa"/>
            <w:tcBorders>
              <w:top w:val="single" w:sz="4" w:space="0" w:color="auto"/>
              <w:bottom w:val="single" w:sz="4" w:space="0" w:color="auto"/>
            </w:tcBorders>
          </w:tcPr>
          <w:p w14:paraId="59251C0F" w14:textId="1A8DA8AB" w:rsidR="00227BE9" w:rsidRPr="009C5EFD" w:rsidRDefault="00E453CD" w:rsidP="009C5EFD">
            <w:pPr>
              <w:autoSpaceDE w:val="0"/>
              <w:autoSpaceDN w:val="0"/>
              <w:adjustRightInd w:val="0"/>
              <w:rPr>
                <w:del w:id="1030" w:author="AbbVie02no" w:date="2025-05-15T12:36:00Z"/>
                <w:sz w:val="22"/>
                <w:szCs w:val="22"/>
              </w:rPr>
            </w:pPr>
            <w:del w:id="1031" w:author="AbbVie02no" w:date="2025-05-15T12:36:00Z">
              <w:r w:rsidRPr="009C5EFD">
                <w:rPr>
                  <w:sz w:val="22"/>
                  <w:szCs w:val="22"/>
                </w:rPr>
                <w:delText>Lungefibrose</w:delText>
              </w:r>
              <w:r w:rsidRPr="009C5EFD">
                <w:rPr>
                  <w:sz w:val="22"/>
                  <w:szCs w:val="22"/>
                  <w:vertAlign w:val="superscript"/>
                </w:rPr>
                <w:delText>1)</w:delText>
              </w:r>
            </w:del>
          </w:p>
        </w:tc>
      </w:tr>
      <w:tr w:rsidR="004644D4" w14:paraId="7969E455" w14:textId="2AE4047D" w:rsidTr="00032240">
        <w:trPr>
          <w:del w:id="1032" w:author="AbbVie02no" w:date="2025-05-15T12:36:00Z"/>
        </w:trPr>
        <w:tc>
          <w:tcPr>
            <w:tcW w:w="3079" w:type="dxa"/>
            <w:vMerge w:val="restart"/>
          </w:tcPr>
          <w:p w14:paraId="7646CBF9" w14:textId="7A7E1805" w:rsidR="00227BE9" w:rsidRPr="009C5EFD" w:rsidRDefault="00E453CD" w:rsidP="007F67EE">
            <w:pPr>
              <w:rPr>
                <w:del w:id="1033" w:author="AbbVie02no" w:date="2025-05-15T12:36:00Z"/>
                <w:sz w:val="22"/>
                <w:szCs w:val="22"/>
              </w:rPr>
            </w:pPr>
            <w:del w:id="1034" w:author="AbbVie02no" w:date="2025-05-15T12:36:00Z">
              <w:r w:rsidRPr="009C5EFD">
                <w:rPr>
                  <w:sz w:val="22"/>
                  <w:szCs w:val="22"/>
                </w:rPr>
                <w:delText>Gastrointestinale sykdommer</w:delText>
              </w:r>
            </w:del>
          </w:p>
        </w:tc>
        <w:tc>
          <w:tcPr>
            <w:tcW w:w="1682" w:type="dxa"/>
            <w:tcBorders>
              <w:bottom w:val="single" w:sz="4" w:space="0" w:color="auto"/>
            </w:tcBorders>
          </w:tcPr>
          <w:p w14:paraId="150C0493" w14:textId="267EA6FB" w:rsidR="00227BE9" w:rsidRPr="009C5EFD" w:rsidRDefault="00E453CD" w:rsidP="007F67EE">
            <w:pPr>
              <w:rPr>
                <w:del w:id="1035" w:author="AbbVie02no" w:date="2025-05-15T12:36:00Z"/>
                <w:sz w:val="22"/>
                <w:szCs w:val="22"/>
              </w:rPr>
            </w:pPr>
            <w:del w:id="1036" w:author="AbbVie02no" w:date="2025-05-15T12:36:00Z">
              <w:r w:rsidRPr="009C5EFD">
                <w:rPr>
                  <w:sz w:val="22"/>
                  <w:szCs w:val="22"/>
                </w:rPr>
                <w:delText>Svært vanlige</w:delText>
              </w:r>
            </w:del>
          </w:p>
          <w:p w14:paraId="09182B49" w14:textId="63D89F7B" w:rsidR="00227BE9" w:rsidRPr="009C5EFD" w:rsidRDefault="00227BE9" w:rsidP="00193D76">
            <w:pPr>
              <w:rPr>
                <w:del w:id="1037" w:author="AbbVie02no" w:date="2025-05-15T12:36:00Z"/>
                <w:sz w:val="22"/>
                <w:szCs w:val="22"/>
              </w:rPr>
            </w:pPr>
          </w:p>
        </w:tc>
        <w:tc>
          <w:tcPr>
            <w:tcW w:w="4294" w:type="dxa"/>
            <w:tcBorders>
              <w:bottom w:val="single" w:sz="4" w:space="0" w:color="auto"/>
            </w:tcBorders>
          </w:tcPr>
          <w:p w14:paraId="7F41459D" w14:textId="50951873" w:rsidR="00227BE9" w:rsidRPr="009C5EFD" w:rsidRDefault="00E453CD" w:rsidP="002D0790">
            <w:pPr>
              <w:rPr>
                <w:del w:id="1038" w:author="AbbVie02no" w:date="2025-05-15T12:36:00Z"/>
                <w:sz w:val="22"/>
                <w:szCs w:val="22"/>
              </w:rPr>
            </w:pPr>
            <w:del w:id="1039" w:author="AbbVie02no" w:date="2025-05-15T12:36:00Z">
              <w:r w:rsidRPr="009C5EFD">
                <w:rPr>
                  <w:sz w:val="22"/>
                  <w:szCs w:val="22"/>
                </w:rPr>
                <w:delText>Abdominal</w:delText>
              </w:r>
              <w:r w:rsidR="00CE78B5">
                <w:rPr>
                  <w:sz w:val="22"/>
                  <w:szCs w:val="22"/>
                </w:rPr>
                <w:delText>e</w:delText>
              </w:r>
              <w:r w:rsidRPr="009C5EFD">
                <w:rPr>
                  <w:sz w:val="22"/>
                  <w:szCs w:val="22"/>
                </w:rPr>
                <w:delText xml:space="preserve"> smerte</w:delText>
              </w:r>
              <w:r w:rsidR="00CE78B5">
                <w:rPr>
                  <w:sz w:val="22"/>
                  <w:szCs w:val="22"/>
                </w:rPr>
                <w:delText>r</w:delText>
              </w:r>
              <w:r w:rsidRPr="009C5EFD">
                <w:rPr>
                  <w:sz w:val="22"/>
                  <w:szCs w:val="22"/>
                </w:rPr>
                <w:delText>, kvalme og oppkast</w:delText>
              </w:r>
            </w:del>
          </w:p>
          <w:p w14:paraId="06189DC9" w14:textId="02D7C66D" w:rsidR="00227BE9" w:rsidRPr="009C5EFD" w:rsidRDefault="00227BE9" w:rsidP="002D0790">
            <w:pPr>
              <w:rPr>
                <w:del w:id="1040" w:author="AbbVie02no" w:date="2025-05-15T12:36:00Z"/>
                <w:sz w:val="22"/>
                <w:szCs w:val="22"/>
                <w:vertAlign w:val="superscript"/>
              </w:rPr>
            </w:pPr>
          </w:p>
        </w:tc>
      </w:tr>
      <w:tr w:rsidR="004644D4" w14:paraId="05588A28" w14:textId="15534C9B" w:rsidTr="00032240">
        <w:trPr>
          <w:del w:id="1041" w:author="AbbVie02no" w:date="2025-05-15T12:36:00Z"/>
        </w:trPr>
        <w:tc>
          <w:tcPr>
            <w:tcW w:w="3079" w:type="dxa"/>
            <w:vMerge/>
          </w:tcPr>
          <w:p w14:paraId="6E69998C" w14:textId="088CEE6E" w:rsidR="00227BE9" w:rsidRPr="009C5EFD" w:rsidRDefault="00227BE9" w:rsidP="009C5EFD">
            <w:pPr>
              <w:rPr>
                <w:del w:id="1042" w:author="AbbVie02no" w:date="2025-05-15T12:36:00Z"/>
                <w:sz w:val="22"/>
                <w:szCs w:val="22"/>
              </w:rPr>
            </w:pPr>
          </w:p>
        </w:tc>
        <w:tc>
          <w:tcPr>
            <w:tcW w:w="1682" w:type="dxa"/>
            <w:tcBorders>
              <w:top w:val="single" w:sz="4" w:space="0" w:color="auto"/>
              <w:bottom w:val="single" w:sz="4" w:space="0" w:color="auto"/>
            </w:tcBorders>
          </w:tcPr>
          <w:p w14:paraId="643475AF" w14:textId="201F7391" w:rsidR="00227BE9" w:rsidRPr="009C5EFD" w:rsidRDefault="00E453CD" w:rsidP="009C5EFD">
            <w:pPr>
              <w:rPr>
                <w:del w:id="1043" w:author="AbbVie02no" w:date="2025-05-15T12:36:00Z"/>
                <w:sz w:val="22"/>
                <w:szCs w:val="22"/>
              </w:rPr>
            </w:pPr>
            <w:del w:id="1044" w:author="AbbVie02no" w:date="2025-05-15T12:36:00Z">
              <w:r w:rsidRPr="009C5EFD">
                <w:rPr>
                  <w:sz w:val="22"/>
                  <w:szCs w:val="22"/>
                </w:rPr>
                <w:delText>Vanlige</w:delText>
              </w:r>
            </w:del>
          </w:p>
          <w:p w14:paraId="4B93B515" w14:textId="71A13DB1" w:rsidR="00227BE9" w:rsidRPr="009C5EFD" w:rsidRDefault="00227BE9" w:rsidP="009C5EFD">
            <w:pPr>
              <w:rPr>
                <w:del w:id="1045" w:author="AbbVie02no" w:date="2025-05-15T12:36:00Z"/>
                <w:sz w:val="22"/>
                <w:szCs w:val="22"/>
              </w:rPr>
            </w:pPr>
          </w:p>
        </w:tc>
        <w:tc>
          <w:tcPr>
            <w:tcW w:w="4294" w:type="dxa"/>
            <w:tcBorders>
              <w:top w:val="single" w:sz="4" w:space="0" w:color="auto"/>
              <w:bottom w:val="single" w:sz="4" w:space="0" w:color="auto"/>
            </w:tcBorders>
          </w:tcPr>
          <w:p w14:paraId="7C96BFCA" w14:textId="18193B09" w:rsidR="00227BE9" w:rsidRPr="009C5EFD" w:rsidRDefault="00E453CD" w:rsidP="009C5EFD">
            <w:pPr>
              <w:autoSpaceDE w:val="0"/>
              <w:autoSpaceDN w:val="0"/>
              <w:adjustRightInd w:val="0"/>
              <w:rPr>
                <w:del w:id="1046" w:author="AbbVie02no" w:date="2025-05-15T12:36:00Z"/>
                <w:sz w:val="22"/>
                <w:szCs w:val="22"/>
              </w:rPr>
            </w:pPr>
            <w:del w:id="1047" w:author="AbbVie02no" w:date="2025-05-15T12:36:00Z">
              <w:r w:rsidRPr="009C5EFD">
                <w:rPr>
                  <w:sz w:val="22"/>
                  <w:szCs w:val="22"/>
                </w:rPr>
                <w:delText xml:space="preserve">Gastrointestinal blødning, dyspepsi, refluksøsofagitt (GERD), Sjøgrens syndrom </w:delText>
              </w:r>
            </w:del>
          </w:p>
          <w:p w14:paraId="3E48AE6E" w14:textId="1AFA747B" w:rsidR="00227BE9" w:rsidRPr="009C5EFD" w:rsidRDefault="00227BE9" w:rsidP="009C5EFD">
            <w:pPr>
              <w:rPr>
                <w:del w:id="1048" w:author="AbbVie02no" w:date="2025-05-15T12:36:00Z"/>
                <w:sz w:val="22"/>
                <w:szCs w:val="22"/>
              </w:rPr>
            </w:pPr>
          </w:p>
        </w:tc>
      </w:tr>
      <w:tr w:rsidR="004644D4" w14:paraId="0CC7BBDF" w14:textId="2512AED3" w:rsidTr="00032240">
        <w:trPr>
          <w:del w:id="1049" w:author="AbbVie02no" w:date="2025-05-15T12:36:00Z"/>
        </w:trPr>
        <w:tc>
          <w:tcPr>
            <w:tcW w:w="3079" w:type="dxa"/>
            <w:vMerge/>
          </w:tcPr>
          <w:p w14:paraId="30B8CBFE" w14:textId="37AE9972" w:rsidR="00227BE9" w:rsidRPr="009C5EFD" w:rsidRDefault="00227BE9" w:rsidP="009C5EFD">
            <w:pPr>
              <w:rPr>
                <w:del w:id="1050" w:author="AbbVie02no" w:date="2025-05-15T12:36:00Z"/>
                <w:sz w:val="22"/>
                <w:szCs w:val="22"/>
              </w:rPr>
            </w:pPr>
          </w:p>
        </w:tc>
        <w:tc>
          <w:tcPr>
            <w:tcW w:w="1682" w:type="dxa"/>
            <w:tcBorders>
              <w:top w:val="single" w:sz="4" w:space="0" w:color="auto"/>
              <w:bottom w:val="single" w:sz="4" w:space="0" w:color="auto"/>
            </w:tcBorders>
          </w:tcPr>
          <w:p w14:paraId="3C76903D" w14:textId="2B0B93D7" w:rsidR="00227BE9" w:rsidRPr="009C5EFD" w:rsidRDefault="00E453CD" w:rsidP="009C5EFD">
            <w:pPr>
              <w:rPr>
                <w:del w:id="1051" w:author="AbbVie02no" w:date="2025-05-15T12:36:00Z"/>
                <w:sz w:val="22"/>
                <w:szCs w:val="22"/>
              </w:rPr>
            </w:pPr>
            <w:del w:id="1052" w:author="AbbVie02no" w:date="2025-05-15T12:36:00Z">
              <w:r w:rsidRPr="009C5EFD">
                <w:rPr>
                  <w:sz w:val="22"/>
                  <w:szCs w:val="22"/>
                </w:rPr>
                <w:delText>Mindre vanlige</w:delText>
              </w:r>
            </w:del>
          </w:p>
          <w:p w14:paraId="2B883A25" w14:textId="76336EE7" w:rsidR="00227BE9" w:rsidRPr="009C5EFD" w:rsidRDefault="00227BE9" w:rsidP="009C5EFD">
            <w:pPr>
              <w:rPr>
                <w:del w:id="1053" w:author="AbbVie02no" w:date="2025-05-15T12:36:00Z"/>
                <w:sz w:val="22"/>
                <w:szCs w:val="22"/>
              </w:rPr>
            </w:pPr>
          </w:p>
        </w:tc>
        <w:tc>
          <w:tcPr>
            <w:tcW w:w="4294" w:type="dxa"/>
            <w:tcBorders>
              <w:top w:val="single" w:sz="4" w:space="0" w:color="auto"/>
              <w:bottom w:val="single" w:sz="4" w:space="0" w:color="auto"/>
            </w:tcBorders>
          </w:tcPr>
          <w:p w14:paraId="242B69F2" w14:textId="623BBF88" w:rsidR="00227BE9" w:rsidRPr="009C5EFD" w:rsidRDefault="00E453CD" w:rsidP="009C5EFD">
            <w:pPr>
              <w:rPr>
                <w:del w:id="1054" w:author="AbbVie02no" w:date="2025-05-15T12:36:00Z"/>
                <w:sz w:val="22"/>
                <w:szCs w:val="22"/>
              </w:rPr>
            </w:pPr>
            <w:del w:id="1055" w:author="AbbVie02no" w:date="2025-05-15T12:36:00Z">
              <w:r w:rsidRPr="009C5EFD">
                <w:rPr>
                  <w:sz w:val="22"/>
                  <w:szCs w:val="22"/>
                </w:rPr>
                <w:delText xml:space="preserve">Pankreatitt, dysfagi, ansiktsødem </w:delText>
              </w:r>
            </w:del>
          </w:p>
          <w:p w14:paraId="308C2DD9" w14:textId="292FAD28" w:rsidR="00227BE9" w:rsidRPr="009C5EFD" w:rsidRDefault="00227BE9" w:rsidP="009C5EFD">
            <w:pPr>
              <w:rPr>
                <w:del w:id="1056" w:author="AbbVie02no" w:date="2025-05-15T12:36:00Z"/>
                <w:sz w:val="22"/>
                <w:szCs w:val="22"/>
              </w:rPr>
            </w:pPr>
          </w:p>
        </w:tc>
      </w:tr>
      <w:tr w:rsidR="004644D4" w14:paraId="3669F200" w14:textId="7327D3FD" w:rsidTr="00032240">
        <w:trPr>
          <w:del w:id="1057" w:author="AbbVie02no" w:date="2025-05-15T12:36:00Z"/>
        </w:trPr>
        <w:tc>
          <w:tcPr>
            <w:tcW w:w="3079" w:type="dxa"/>
            <w:vMerge/>
          </w:tcPr>
          <w:p w14:paraId="657F0BE9" w14:textId="58C99F94" w:rsidR="00227BE9" w:rsidRPr="009C5EFD" w:rsidRDefault="00227BE9" w:rsidP="009C5EFD">
            <w:pPr>
              <w:rPr>
                <w:del w:id="1058" w:author="AbbVie02no" w:date="2025-05-15T12:36:00Z"/>
                <w:sz w:val="22"/>
                <w:szCs w:val="22"/>
              </w:rPr>
            </w:pPr>
          </w:p>
        </w:tc>
        <w:tc>
          <w:tcPr>
            <w:tcW w:w="1682" w:type="dxa"/>
            <w:tcBorders>
              <w:top w:val="single" w:sz="4" w:space="0" w:color="auto"/>
              <w:bottom w:val="single" w:sz="4" w:space="0" w:color="auto"/>
            </w:tcBorders>
          </w:tcPr>
          <w:p w14:paraId="55F8E8CC" w14:textId="5F47438F" w:rsidR="00227BE9" w:rsidRPr="009C5EFD" w:rsidRDefault="00E453CD" w:rsidP="009C5EFD">
            <w:pPr>
              <w:rPr>
                <w:del w:id="1059" w:author="AbbVie02no" w:date="2025-05-15T12:36:00Z"/>
                <w:sz w:val="22"/>
                <w:szCs w:val="22"/>
              </w:rPr>
            </w:pPr>
            <w:del w:id="1060" w:author="AbbVie02no" w:date="2025-05-15T12:36:00Z">
              <w:r w:rsidRPr="009C5EFD">
                <w:rPr>
                  <w:sz w:val="22"/>
                  <w:szCs w:val="22"/>
                </w:rPr>
                <w:delText>Sjeldne</w:delText>
              </w:r>
            </w:del>
          </w:p>
          <w:p w14:paraId="4907BD50" w14:textId="4BF7BBB6" w:rsidR="00227BE9" w:rsidRPr="009C5EFD" w:rsidRDefault="00227BE9" w:rsidP="009C5EFD">
            <w:pPr>
              <w:rPr>
                <w:del w:id="1061" w:author="AbbVie02no" w:date="2025-05-15T12:36:00Z"/>
                <w:sz w:val="22"/>
                <w:szCs w:val="22"/>
              </w:rPr>
            </w:pPr>
          </w:p>
        </w:tc>
        <w:tc>
          <w:tcPr>
            <w:tcW w:w="4294" w:type="dxa"/>
            <w:tcBorders>
              <w:top w:val="single" w:sz="4" w:space="0" w:color="auto"/>
              <w:bottom w:val="single" w:sz="4" w:space="0" w:color="auto"/>
            </w:tcBorders>
          </w:tcPr>
          <w:p w14:paraId="48F692C9" w14:textId="17A013E4" w:rsidR="00227BE9" w:rsidRPr="009C5EFD" w:rsidRDefault="00E453CD" w:rsidP="009C5EFD">
            <w:pPr>
              <w:rPr>
                <w:del w:id="1062" w:author="AbbVie02no" w:date="2025-05-15T12:36:00Z"/>
                <w:sz w:val="22"/>
                <w:szCs w:val="22"/>
              </w:rPr>
            </w:pPr>
            <w:del w:id="1063" w:author="AbbVie02no" w:date="2025-05-15T12:36:00Z">
              <w:r w:rsidRPr="009C5EFD">
                <w:rPr>
                  <w:sz w:val="22"/>
                  <w:szCs w:val="22"/>
                </w:rPr>
                <w:delText>Intestinal perforasjon</w:delText>
              </w:r>
              <w:r w:rsidRPr="009C5EFD">
                <w:rPr>
                  <w:sz w:val="22"/>
                  <w:szCs w:val="22"/>
                  <w:vertAlign w:val="superscript"/>
                </w:rPr>
                <w:delText>1)</w:delText>
              </w:r>
            </w:del>
          </w:p>
        </w:tc>
      </w:tr>
      <w:tr w:rsidR="004644D4" w14:paraId="43415CE1" w14:textId="133B6B5E" w:rsidTr="00032240">
        <w:trPr>
          <w:del w:id="1064" w:author="AbbVie02no" w:date="2025-05-15T12:36:00Z"/>
        </w:trPr>
        <w:tc>
          <w:tcPr>
            <w:tcW w:w="3079" w:type="dxa"/>
            <w:vMerge w:val="restart"/>
          </w:tcPr>
          <w:p w14:paraId="1975C0B2" w14:textId="45D41FD6" w:rsidR="00227BE9" w:rsidRPr="009C5EFD" w:rsidRDefault="00E453CD" w:rsidP="007F67EE">
            <w:pPr>
              <w:rPr>
                <w:del w:id="1065" w:author="AbbVie02no" w:date="2025-05-15T12:36:00Z"/>
                <w:sz w:val="22"/>
                <w:szCs w:val="22"/>
              </w:rPr>
            </w:pPr>
            <w:del w:id="1066" w:author="AbbVie02no" w:date="2025-05-15T12:36:00Z">
              <w:r w:rsidRPr="009C5EFD">
                <w:rPr>
                  <w:sz w:val="22"/>
                  <w:szCs w:val="22"/>
                </w:rPr>
                <w:delText>Sykdommer i lever og galleveier*</w:delText>
              </w:r>
            </w:del>
          </w:p>
        </w:tc>
        <w:tc>
          <w:tcPr>
            <w:tcW w:w="1682" w:type="dxa"/>
            <w:tcBorders>
              <w:bottom w:val="single" w:sz="4" w:space="0" w:color="auto"/>
            </w:tcBorders>
          </w:tcPr>
          <w:p w14:paraId="556E2635" w14:textId="34A07D7C" w:rsidR="00227BE9" w:rsidRPr="009C5EFD" w:rsidRDefault="00E453CD" w:rsidP="007F67EE">
            <w:pPr>
              <w:rPr>
                <w:del w:id="1067" w:author="AbbVie02no" w:date="2025-05-15T12:36:00Z"/>
                <w:sz w:val="22"/>
                <w:szCs w:val="22"/>
              </w:rPr>
            </w:pPr>
            <w:del w:id="1068" w:author="AbbVie02no" w:date="2025-05-15T12:36:00Z">
              <w:r w:rsidRPr="009C5EFD">
                <w:rPr>
                  <w:sz w:val="22"/>
                  <w:szCs w:val="22"/>
                </w:rPr>
                <w:delText>Svært vanlige</w:delText>
              </w:r>
            </w:del>
          </w:p>
          <w:p w14:paraId="7DBCAC45" w14:textId="0BFAC05D" w:rsidR="00227BE9" w:rsidRPr="009C5EFD" w:rsidRDefault="00227BE9" w:rsidP="00193D76">
            <w:pPr>
              <w:rPr>
                <w:del w:id="1069" w:author="AbbVie02no" w:date="2025-05-15T12:36:00Z"/>
                <w:sz w:val="22"/>
                <w:szCs w:val="22"/>
              </w:rPr>
            </w:pPr>
          </w:p>
        </w:tc>
        <w:tc>
          <w:tcPr>
            <w:tcW w:w="4294" w:type="dxa"/>
            <w:tcBorders>
              <w:bottom w:val="single" w:sz="4" w:space="0" w:color="auto"/>
            </w:tcBorders>
          </w:tcPr>
          <w:p w14:paraId="4A29DE48" w14:textId="2E29C370" w:rsidR="00227BE9" w:rsidRPr="009C5EFD" w:rsidRDefault="00E453CD" w:rsidP="002D0790">
            <w:pPr>
              <w:rPr>
                <w:del w:id="1070" w:author="AbbVie02no" w:date="2025-05-15T12:36:00Z"/>
                <w:sz w:val="22"/>
                <w:szCs w:val="22"/>
              </w:rPr>
            </w:pPr>
            <w:del w:id="1071" w:author="AbbVie02no" w:date="2025-05-15T12:36:00Z">
              <w:r w:rsidRPr="009C5EFD">
                <w:rPr>
                  <w:sz w:val="22"/>
                  <w:szCs w:val="22"/>
                </w:rPr>
                <w:delText>Stigning i leverenzymer</w:delText>
              </w:r>
            </w:del>
          </w:p>
        </w:tc>
      </w:tr>
      <w:tr w:rsidR="004644D4" w14:paraId="3E14E8B0" w14:textId="7343696A" w:rsidTr="00032240">
        <w:trPr>
          <w:del w:id="1072" w:author="AbbVie02no" w:date="2025-05-15T12:36:00Z"/>
        </w:trPr>
        <w:tc>
          <w:tcPr>
            <w:tcW w:w="3079" w:type="dxa"/>
            <w:vMerge/>
          </w:tcPr>
          <w:p w14:paraId="3D94ECB8" w14:textId="6992BA28" w:rsidR="00227BE9" w:rsidRPr="009C5EFD" w:rsidRDefault="00227BE9" w:rsidP="009C5EFD">
            <w:pPr>
              <w:rPr>
                <w:del w:id="1073" w:author="AbbVie02no" w:date="2025-05-15T12:36:00Z"/>
                <w:sz w:val="22"/>
                <w:szCs w:val="22"/>
              </w:rPr>
            </w:pPr>
          </w:p>
        </w:tc>
        <w:tc>
          <w:tcPr>
            <w:tcW w:w="1682" w:type="dxa"/>
            <w:tcBorders>
              <w:top w:val="single" w:sz="4" w:space="0" w:color="auto"/>
              <w:bottom w:val="single" w:sz="4" w:space="0" w:color="auto"/>
            </w:tcBorders>
          </w:tcPr>
          <w:p w14:paraId="154A258A" w14:textId="3C35DCEA" w:rsidR="00227BE9" w:rsidRPr="009C5EFD" w:rsidRDefault="00E453CD" w:rsidP="009C5EFD">
            <w:pPr>
              <w:rPr>
                <w:del w:id="1074" w:author="AbbVie02no" w:date="2025-05-15T12:36:00Z"/>
                <w:sz w:val="22"/>
                <w:szCs w:val="22"/>
              </w:rPr>
            </w:pPr>
            <w:del w:id="1075" w:author="AbbVie02no" w:date="2025-05-15T12:36:00Z">
              <w:r w:rsidRPr="009C5EFD">
                <w:rPr>
                  <w:sz w:val="22"/>
                  <w:szCs w:val="22"/>
                </w:rPr>
                <w:delText xml:space="preserve">Mindre vanlige </w:delText>
              </w:r>
            </w:del>
          </w:p>
          <w:p w14:paraId="588ED8AD" w14:textId="7968D62B" w:rsidR="00227BE9" w:rsidRPr="009C5EFD" w:rsidRDefault="00227BE9" w:rsidP="009C5EFD">
            <w:pPr>
              <w:rPr>
                <w:del w:id="1076" w:author="AbbVie02no" w:date="2025-05-15T12:36:00Z"/>
                <w:sz w:val="22"/>
                <w:szCs w:val="22"/>
              </w:rPr>
            </w:pPr>
          </w:p>
        </w:tc>
        <w:tc>
          <w:tcPr>
            <w:tcW w:w="4294" w:type="dxa"/>
            <w:tcBorders>
              <w:top w:val="single" w:sz="4" w:space="0" w:color="auto"/>
              <w:bottom w:val="single" w:sz="4" w:space="0" w:color="auto"/>
            </w:tcBorders>
          </w:tcPr>
          <w:p w14:paraId="7B1B51DD" w14:textId="3830B950" w:rsidR="00227BE9" w:rsidRPr="009C5EFD" w:rsidRDefault="00E453CD" w:rsidP="009C5EFD">
            <w:pPr>
              <w:pStyle w:val="EMEAFigureTitle"/>
              <w:tabs>
                <w:tab w:val="clear" w:pos="562"/>
              </w:tabs>
              <w:suppressAutoHyphens w:val="0"/>
              <w:rPr>
                <w:del w:id="1077" w:author="AbbVie02no" w:date="2025-05-15T12:36:00Z"/>
                <w:szCs w:val="22"/>
                <w:lang w:val="nb-NO"/>
              </w:rPr>
            </w:pPr>
            <w:del w:id="1078" w:author="AbbVie02no" w:date="2025-05-15T12:36:00Z">
              <w:r w:rsidRPr="009C5EFD">
                <w:rPr>
                  <w:szCs w:val="22"/>
                  <w:lang w:val="nb-NO"/>
                </w:rPr>
                <w:delText>Kolecystitt og kolelitiasis, hepatisk steatose</w:delText>
              </w:r>
            </w:del>
          </w:p>
          <w:p w14:paraId="62209680" w14:textId="3F9BDC6E" w:rsidR="00227BE9" w:rsidRPr="009C5EFD" w:rsidRDefault="00E453CD" w:rsidP="009C5EFD">
            <w:pPr>
              <w:pStyle w:val="EMEAFigureTitle"/>
              <w:tabs>
                <w:tab w:val="clear" w:pos="562"/>
              </w:tabs>
              <w:suppressAutoHyphens w:val="0"/>
              <w:rPr>
                <w:del w:id="1079" w:author="AbbVie02no" w:date="2025-05-15T12:36:00Z"/>
                <w:szCs w:val="22"/>
                <w:lang w:val="nb-NO"/>
              </w:rPr>
            </w:pPr>
            <w:del w:id="1080" w:author="AbbVie02no" w:date="2025-05-15T12:36:00Z">
              <w:r w:rsidRPr="009C5EFD">
                <w:rPr>
                  <w:szCs w:val="22"/>
                  <w:lang w:val="nb-NO"/>
                </w:rPr>
                <w:delText>forhøyet bilirubin i blod</w:delText>
              </w:r>
            </w:del>
          </w:p>
          <w:p w14:paraId="173A9939" w14:textId="59642DF1" w:rsidR="00227BE9" w:rsidRPr="009C5EFD" w:rsidRDefault="00227BE9" w:rsidP="009C5EFD">
            <w:pPr>
              <w:rPr>
                <w:del w:id="1081" w:author="AbbVie02no" w:date="2025-05-15T12:36:00Z"/>
                <w:sz w:val="22"/>
                <w:szCs w:val="22"/>
              </w:rPr>
            </w:pPr>
          </w:p>
        </w:tc>
      </w:tr>
      <w:tr w:rsidR="004644D4" w14:paraId="4F20442A" w14:textId="748A4A9D" w:rsidTr="00032240">
        <w:trPr>
          <w:del w:id="1082" w:author="AbbVie02no" w:date="2025-05-15T12:36:00Z"/>
        </w:trPr>
        <w:tc>
          <w:tcPr>
            <w:tcW w:w="3079" w:type="dxa"/>
            <w:vMerge/>
          </w:tcPr>
          <w:p w14:paraId="432F7EA1" w14:textId="7C2FF2CD" w:rsidR="00B03120" w:rsidRPr="009C5EFD" w:rsidRDefault="00B03120" w:rsidP="009C5EFD">
            <w:pPr>
              <w:rPr>
                <w:del w:id="1083" w:author="AbbVie02no" w:date="2025-05-15T12:36:00Z"/>
                <w:sz w:val="22"/>
                <w:szCs w:val="22"/>
              </w:rPr>
            </w:pPr>
          </w:p>
        </w:tc>
        <w:tc>
          <w:tcPr>
            <w:tcW w:w="1682" w:type="dxa"/>
            <w:tcBorders>
              <w:top w:val="single" w:sz="4" w:space="0" w:color="auto"/>
              <w:bottom w:val="single" w:sz="4" w:space="0" w:color="auto"/>
            </w:tcBorders>
          </w:tcPr>
          <w:p w14:paraId="1019C666" w14:textId="6D48915A" w:rsidR="00B03120" w:rsidRPr="009C5EFD" w:rsidRDefault="00E453CD" w:rsidP="009C5EFD">
            <w:pPr>
              <w:rPr>
                <w:del w:id="1084" w:author="AbbVie02no" w:date="2025-05-15T12:36:00Z"/>
                <w:sz w:val="22"/>
                <w:szCs w:val="22"/>
              </w:rPr>
            </w:pPr>
            <w:del w:id="1085" w:author="AbbVie02no" w:date="2025-05-15T12:36:00Z">
              <w:r w:rsidRPr="009C5EFD">
                <w:rPr>
                  <w:sz w:val="22"/>
                  <w:szCs w:val="22"/>
                </w:rPr>
                <w:delText>Sjeldne</w:delText>
              </w:r>
            </w:del>
          </w:p>
          <w:p w14:paraId="47DCFDB6" w14:textId="13FD0975" w:rsidR="00B03120" w:rsidRPr="009C5EFD" w:rsidRDefault="00B03120" w:rsidP="009C5EFD">
            <w:pPr>
              <w:rPr>
                <w:del w:id="1086" w:author="AbbVie02no" w:date="2025-05-15T12:36:00Z"/>
                <w:sz w:val="22"/>
                <w:szCs w:val="22"/>
              </w:rPr>
            </w:pPr>
          </w:p>
        </w:tc>
        <w:tc>
          <w:tcPr>
            <w:tcW w:w="4294" w:type="dxa"/>
            <w:tcBorders>
              <w:top w:val="single" w:sz="4" w:space="0" w:color="auto"/>
              <w:bottom w:val="single" w:sz="4" w:space="0" w:color="auto"/>
            </w:tcBorders>
          </w:tcPr>
          <w:p w14:paraId="03FE13FA" w14:textId="1EABFEF8" w:rsidR="00B03120" w:rsidRPr="009C5EFD" w:rsidRDefault="00E453CD" w:rsidP="009C5EFD">
            <w:pPr>
              <w:rPr>
                <w:del w:id="1087" w:author="AbbVie02no" w:date="2025-05-15T12:36:00Z"/>
                <w:sz w:val="22"/>
                <w:szCs w:val="22"/>
              </w:rPr>
            </w:pPr>
            <w:del w:id="1088" w:author="AbbVie02no" w:date="2025-05-15T12:36:00Z">
              <w:r w:rsidRPr="009C5EFD">
                <w:rPr>
                  <w:sz w:val="22"/>
                  <w:szCs w:val="22"/>
                </w:rPr>
                <w:delText>Hepatitt, reaktivering av Hepatitt B</w:delText>
              </w:r>
              <w:r w:rsidRPr="009C5EFD">
                <w:rPr>
                  <w:sz w:val="22"/>
                  <w:szCs w:val="22"/>
                  <w:vertAlign w:val="superscript"/>
                </w:rPr>
                <w:delText>1)</w:delText>
              </w:r>
              <w:r w:rsidRPr="009C5EFD">
                <w:rPr>
                  <w:sz w:val="22"/>
                  <w:szCs w:val="22"/>
                </w:rPr>
                <w:delText>, autoimmun hepatitt</w:delText>
              </w:r>
              <w:r w:rsidRPr="009C5EFD">
                <w:rPr>
                  <w:sz w:val="22"/>
                  <w:szCs w:val="22"/>
                  <w:vertAlign w:val="superscript"/>
                </w:rPr>
                <w:delText>1)</w:delText>
              </w:r>
            </w:del>
          </w:p>
          <w:p w14:paraId="4550FDAA" w14:textId="4761230B" w:rsidR="00B03120" w:rsidRPr="009C5EFD" w:rsidRDefault="00B03120" w:rsidP="009C5EFD">
            <w:pPr>
              <w:pStyle w:val="EMEAFigureTitle"/>
              <w:tabs>
                <w:tab w:val="clear" w:pos="562"/>
              </w:tabs>
              <w:suppressAutoHyphens w:val="0"/>
              <w:rPr>
                <w:del w:id="1089" w:author="AbbVie02no" w:date="2025-05-15T12:36:00Z"/>
                <w:szCs w:val="22"/>
                <w:lang w:val="nb-NO"/>
              </w:rPr>
            </w:pPr>
          </w:p>
        </w:tc>
      </w:tr>
      <w:tr w:rsidR="004644D4" w14:paraId="640DB025" w14:textId="2FFE8EDB" w:rsidTr="00032240">
        <w:trPr>
          <w:del w:id="1090" w:author="AbbVie02no" w:date="2025-05-15T12:36:00Z"/>
        </w:trPr>
        <w:tc>
          <w:tcPr>
            <w:tcW w:w="3079" w:type="dxa"/>
            <w:vMerge/>
          </w:tcPr>
          <w:p w14:paraId="23E3DE32" w14:textId="785D5F45" w:rsidR="00227BE9" w:rsidRPr="009C5EFD" w:rsidRDefault="00227BE9" w:rsidP="009C5EFD">
            <w:pPr>
              <w:rPr>
                <w:del w:id="1091" w:author="AbbVie02no" w:date="2025-05-15T12:36:00Z"/>
                <w:sz w:val="22"/>
                <w:szCs w:val="22"/>
              </w:rPr>
            </w:pPr>
          </w:p>
        </w:tc>
        <w:tc>
          <w:tcPr>
            <w:tcW w:w="1682" w:type="dxa"/>
            <w:tcBorders>
              <w:top w:val="single" w:sz="4" w:space="0" w:color="auto"/>
              <w:bottom w:val="single" w:sz="4" w:space="0" w:color="auto"/>
            </w:tcBorders>
          </w:tcPr>
          <w:p w14:paraId="77CFDCF5" w14:textId="38D1F321" w:rsidR="00F62F65" w:rsidRPr="009C5EFD" w:rsidRDefault="00E453CD" w:rsidP="009C5EFD">
            <w:pPr>
              <w:rPr>
                <w:del w:id="1092" w:author="AbbVie02no" w:date="2025-05-15T12:36:00Z"/>
                <w:sz w:val="22"/>
                <w:szCs w:val="22"/>
              </w:rPr>
            </w:pPr>
            <w:del w:id="1093" w:author="AbbVie02no" w:date="2025-05-15T12:36:00Z">
              <w:r w:rsidRPr="009C5EFD">
                <w:rPr>
                  <w:sz w:val="22"/>
                  <w:szCs w:val="22"/>
                </w:rPr>
                <w:delText>Ikke kjent</w:delText>
              </w:r>
            </w:del>
          </w:p>
          <w:p w14:paraId="7C5C9711" w14:textId="6968FA79" w:rsidR="00227BE9" w:rsidRPr="009C5EFD" w:rsidRDefault="00227BE9" w:rsidP="009C5EFD">
            <w:pPr>
              <w:rPr>
                <w:del w:id="1094" w:author="AbbVie02no" w:date="2025-05-15T12:36:00Z"/>
                <w:sz w:val="22"/>
                <w:szCs w:val="22"/>
              </w:rPr>
            </w:pPr>
          </w:p>
        </w:tc>
        <w:tc>
          <w:tcPr>
            <w:tcW w:w="4294" w:type="dxa"/>
            <w:tcBorders>
              <w:top w:val="single" w:sz="4" w:space="0" w:color="auto"/>
              <w:bottom w:val="single" w:sz="4" w:space="0" w:color="auto"/>
            </w:tcBorders>
          </w:tcPr>
          <w:p w14:paraId="071C4EF5" w14:textId="40CA67D8" w:rsidR="00F62F65" w:rsidRPr="009C5EFD" w:rsidRDefault="00E453CD" w:rsidP="009C5EFD">
            <w:pPr>
              <w:rPr>
                <w:del w:id="1095" w:author="AbbVie02no" w:date="2025-05-15T12:36:00Z"/>
                <w:sz w:val="22"/>
                <w:szCs w:val="22"/>
              </w:rPr>
            </w:pPr>
            <w:del w:id="1096" w:author="AbbVie02no" w:date="2025-05-15T12:36:00Z">
              <w:r w:rsidRPr="009C5EFD">
                <w:rPr>
                  <w:sz w:val="22"/>
                  <w:szCs w:val="22"/>
                </w:rPr>
                <w:delText>Leversvikt</w:delText>
              </w:r>
              <w:r w:rsidRPr="009C5EFD">
                <w:rPr>
                  <w:sz w:val="22"/>
                  <w:szCs w:val="22"/>
                  <w:vertAlign w:val="superscript"/>
                </w:rPr>
                <w:delText>1)</w:delText>
              </w:r>
            </w:del>
          </w:p>
        </w:tc>
      </w:tr>
      <w:tr w:rsidR="004644D4" w14:paraId="551672CA" w14:textId="740ADE5F" w:rsidTr="00032240">
        <w:trPr>
          <w:del w:id="1097" w:author="AbbVie02no" w:date="2025-05-15T12:36:00Z"/>
        </w:trPr>
        <w:tc>
          <w:tcPr>
            <w:tcW w:w="3079" w:type="dxa"/>
            <w:vMerge w:val="restart"/>
          </w:tcPr>
          <w:p w14:paraId="7C2B5C8C" w14:textId="4D2E2CC0" w:rsidR="00227BE9" w:rsidRPr="009C5EFD" w:rsidRDefault="00E453CD" w:rsidP="007F67EE">
            <w:pPr>
              <w:rPr>
                <w:del w:id="1098" w:author="AbbVie02no" w:date="2025-05-15T12:36:00Z"/>
                <w:sz w:val="22"/>
                <w:szCs w:val="22"/>
              </w:rPr>
            </w:pPr>
            <w:del w:id="1099" w:author="AbbVie02no" w:date="2025-05-15T12:36:00Z">
              <w:r w:rsidRPr="009C5EFD">
                <w:rPr>
                  <w:sz w:val="22"/>
                  <w:szCs w:val="22"/>
                </w:rPr>
                <w:delText>Hud- og underhudssykdommer</w:delText>
              </w:r>
            </w:del>
          </w:p>
        </w:tc>
        <w:tc>
          <w:tcPr>
            <w:tcW w:w="1682" w:type="dxa"/>
            <w:tcBorders>
              <w:bottom w:val="single" w:sz="4" w:space="0" w:color="auto"/>
            </w:tcBorders>
          </w:tcPr>
          <w:p w14:paraId="268A5049" w14:textId="2AC6BF76" w:rsidR="00227BE9" w:rsidRPr="009C5EFD" w:rsidRDefault="00E453CD" w:rsidP="007F67EE">
            <w:pPr>
              <w:rPr>
                <w:del w:id="1100" w:author="AbbVie02no" w:date="2025-05-15T12:36:00Z"/>
                <w:sz w:val="22"/>
                <w:szCs w:val="22"/>
              </w:rPr>
            </w:pPr>
            <w:del w:id="1101" w:author="AbbVie02no" w:date="2025-05-15T12:36:00Z">
              <w:r w:rsidRPr="009C5EFD">
                <w:rPr>
                  <w:sz w:val="22"/>
                  <w:szCs w:val="22"/>
                </w:rPr>
                <w:delText>Svært vanlige</w:delText>
              </w:r>
            </w:del>
          </w:p>
          <w:p w14:paraId="2336C9E0" w14:textId="25ABCFD6" w:rsidR="00227BE9" w:rsidRPr="009C5EFD" w:rsidRDefault="00227BE9" w:rsidP="00193D76">
            <w:pPr>
              <w:rPr>
                <w:del w:id="1102" w:author="AbbVie02no" w:date="2025-05-15T12:36:00Z"/>
                <w:sz w:val="22"/>
                <w:szCs w:val="22"/>
              </w:rPr>
            </w:pPr>
          </w:p>
        </w:tc>
        <w:tc>
          <w:tcPr>
            <w:tcW w:w="4294" w:type="dxa"/>
            <w:tcBorders>
              <w:bottom w:val="single" w:sz="4" w:space="0" w:color="auto"/>
            </w:tcBorders>
          </w:tcPr>
          <w:p w14:paraId="07EB698D" w14:textId="59F8B2B4" w:rsidR="00227BE9" w:rsidRPr="009C5EFD" w:rsidRDefault="00E453CD" w:rsidP="002D0790">
            <w:pPr>
              <w:rPr>
                <w:del w:id="1103" w:author="AbbVie02no" w:date="2025-05-15T12:36:00Z"/>
                <w:sz w:val="22"/>
                <w:szCs w:val="22"/>
              </w:rPr>
            </w:pPr>
            <w:del w:id="1104" w:author="AbbVie02no" w:date="2025-05-15T12:36:00Z">
              <w:r w:rsidRPr="009C5EFD">
                <w:rPr>
                  <w:sz w:val="22"/>
                  <w:szCs w:val="22"/>
                </w:rPr>
                <w:delText>Utslett (inkludert eksfoliativt utslett)</w:delText>
              </w:r>
            </w:del>
          </w:p>
          <w:p w14:paraId="6D3CEB29" w14:textId="34EC9B34" w:rsidR="00227BE9" w:rsidRPr="009C5EFD" w:rsidRDefault="00227BE9" w:rsidP="002D0790">
            <w:pPr>
              <w:rPr>
                <w:del w:id="1105" w:author="AbbVie02no" w:date="2025-05-15T12:36:00Z"/>
                <w:sz w:val="22"/>
                <w:szCs w:val="22"/>
              </w:rPr>
            </w:pPr>
          </w:p>
        </w:tc>
      </w:tr>
      <w:tr w:rsidR="004644D4" w14:paraId="439DDB02" w14:textId="72D1E248" w:rsidTr="00032240">
        <w:trPr>
          <w:del w:id="1106" w:author="AbbVie02no" w:date="2025-05-15T12:36:00Z"/>
        </w:trPr>
        <w:tc>
          <w:tcPr>
            <w:tcW w:w="3079" w:type="dxa"/>
            <w:vMerge/>
          </w:tcPr>
          <w:p w14:paraId="593E82A0" w14:textId="6001E376" w:rsidR="00227BE9" w:rsidRPr="009C5EFD" w:rsidRDefault="00227BE9" w:rsidP="009C5EFD">
            <w:pPr>
              <w:rPr>
                <w:del w:id="1107" w:author="AbbVie02no" w:date="2025-05-15T12:36:00Z"/>
                <w:sz w:val="22"/>
                <w:szCs w:val="22"/>
              </w:rPr>
            </w:pPr>
          </w:p>
        </w:tc>
        <w:tc>
          <w:tcPr>
            <w:tcW w:w="1682" w:type="dxa"/>
            <w:tcBorders>
              <w:top w:val="single" w:sz="4" w:space="0" w:color="auto"/>
              <w:bottom w:val="single" w:sz="4" w:space="0" w:color="auto"/>
            </w:tcBorders>
          </w:tcPr>
          <w:p w14:paraId="4E262CC2" w14:textId="23FCAC56" w:rsidR="00227BE9" w:rsidRPr="009C5EFD" w:rsidRDefault="00E453CD" w:rsidP="009C5EFD">
            <w:pPr>
              <w:rPr>
                <w:del w:id="1108" w:author="AbbVie02no" w:date="2025-05-15T12:36:00Z"/>
                <w:sz w:val="22"/>
                <w:szCs w:val="22"/>
              </w:rPr>
            </w:pPr>
            <w:del w:id="1109" w:author="AbbVie02no" w:date="2025-05-15T12:36:00Z">
              <w:r w:rsidRPr="009C5EFD">
                <w:rPr>
                  <w:sz w:val="22"/>
                  <w:szCs w:val="22"/>
                </w:rPr>
                <w:delText>Vanlige</w:delText>
              </w:r>
            </w:del>
          </w:p>
          <w:p w14:paraId="298FF940" w14:textId="2F6C2D18" w:rsidR="00227BE9" w:rsidRPr="009C5EFD" w:rsidRDefault="00227BE9" w:rsidP="009C5EFD">
            <w:pPr>
              <w:rPr>
                <w:del w:id="1110" w:author="AbbVie02no" w:date="2025-05-15T12:36:00Z"/>
                <w:sz w:val="22"/>
                <w:szCs w:val="22"/>
              </w:rPr>
            </w:pPr>
          </w:p>
        </w:tc>
        <w:tc>
          <w:tcPr>
            <w:tcW w:w="4294" w:type="dxa"/>
            <w:tcBorders>
              <w:top w:val="single" w:sz="4" w:space="0" w:color="auto"/>
              <w:bottom w:val="single" w:sz="4" w:space="0" w:color="auto"/>
            </w:tcBorders>
          </w:tcPr>
          <w:p w14:paraId="1359DFDF" w14:textId="71960277" w:rsidR="00227BE9" w:rsidRPr="009C5EFD" w:rsidRDefault="00E453CD" w:rsidP="009C5EFD">
            <w:pPr>
              <w:rPr>
                <w:del w:id="1111" w:author="AbbVie02no" w:date="2025-05-15T12:36:00Z"/>
                <w:sz w:val="22"/>
                <w:szCs w:val="22"/>
              </w:rPr>
            </w:pPr>
            <w:del w:id="1112" w:author="AbbVie02no" w:date="2025-05-15T12:36:00Z">
              <w:r w:rsidRPr="009C5EFD">
                <w:rPr>
                  <w:sz w:val="22"/>
                  <w:szCs w:val="22"/>
                </w:rPr>
                <w:delText>Forverring eller nytt tilfelle av psoriasis (inkludert palmoplantar pustul</w:delText>
              </w:r>
              <w:r w:rsidR="00ED7ED5">
                <w:rPr>
                  <w:sz w:val="22"/>
                  <w:szCs w:val="22"/>
                </w:rPr>
                <w:delText>øs</w:delText>
              </w:r>
              <w:r w:rsidRPr="009C5EFD">
                <w:rPr>
                  <w:sz w:val="22"/>
                  <w:szCs w:val="22"/>
                </w:rPr>
                <w:delText xml:space="preserve"> psoriasis)</w:delText>
              </w:r>
              <w:r w:rsidRPr="009C5EFD">
                <w:rPr>
                  <w:sz w:val="22"/>
                  <w:szCs w:val="22"/>
                  <w:vertAlign w:val="superscript"/>
                </w:rPr>
                <w:delText>1)</w:delText>
              </w:r>
              <w:r w:rsidRPr="009C5EFD">
                <w:rPr>
                  <w:sz w:val="22"/>
                  <w:szCs w:val="22"/>
                </w:rPr>
                <w:delText>, urtikaria, blåmerker (inkludert purpura), dermatitt (inkludert eksem), ony</w:delText>
              </w:r>
              <w:r w:rsidR="00303905" w:rsidRPr="009C5EFD">
                <w:rPr>
                  <w:sz w:val="22"/>
                  <w:szCs w:val="22"/>
                </w:rPr>
                <w:delText>choclasis</w:delText>
              </w:r>
              <w:r w:rsidRPr="009C5EFD">
                <w:rPr>
                  <w:sz w:val="22"/>
                  <w:szCs w:val="22"/>
                </w:rPr>
                <w:delText>, hyperhidrose, alopeci</w:delText>
              </w:r>
              <w:r w:rsidRPr="009C5EFD">
                <w:rPr>
                  <w:sz w:val="22"/>
                  <w:szCs w:val="22"/>
                  <w:vertAlign w:val="superscript"/>
                </w:rPr>
                <w:delText>1)</w:delText>
              </w:r>
              <w:r w:rsidRPr="009C5EFD">
                <w:rPr>
                  <w:sz w:val="22"/>
                  <w:szCs w:val="22"/>
                </w:rPr>
                <w:delText>, pruritus</w:delText>
              </w:r>
            </w:del>
          </w:p>
          <w:p w14:paraId="79EE3CC2" w14:textId="22E97FA0" w:rsidR="00227BE9" w:rsidRPr="009C5EFD" w:rsidRDefault="00227BE9" w:rsidP="009C5EFD">
            <w:pPr>
              <w:rPr>
                <w:del w:id="1113" w:author="AbbVie02no" w:date="2025-05-15T12:36:00Z"/>
                <w:sz w:val="22"/>
                <w:szCs w:val="22"/>
              </w:rPr>
            </w:pPr>
          </w:p>
        </w:tc>
      </w:tr>
      <w:tr w:rsidR="004644D4" w14:paraId="6564E57B" w14:textId="0BBE80DB" w:rsidTr="00032240">
        <w:trPr>
          <w:del w:id="1114" w:author="AbbVie02no" w:date="2025-05-15T12:36:00Z"/>
        </w:trPr>
        <w:tc>
          <w:tcPr>
            <w:tcW w:w="3079" w:type="dxa"/>
            <w:vMerge/>
          </w:tcPr>
          <w:p w14:paraId="19E7B15F" w14:textId="78E2D718" w:rsidR="00227BE9" w:rsidRPr="009C5EFD" w:rsidRDefault="00227BE9" w:rsidP="009C5EFD">
            <w:pPr>
              <w:rPr>
                <w:del w:id="1115" w:author="AbbVie02no" w:date="2025-05-15T12:36:00Z"/>
                <w:sz w:val="22"/>
                <w:szCs w:val="22"/>
              </w:rPr>
            </w:pPr>
          </w:p>
        </w:tc>
        <w:tc>
          <w:tcPr>
            <w:tcW w:w="1682" w:type="dxa"/>
            <w:tcBorders>
              <w:top w:val="single" w:sz="4" w:space="0" w:color="auto"/>
              <w:bottom w:val="single" w:sz="4" w:space="0" w:color="auto"/>
            </w:tcBorders>
          </w:tcPr>
          <w:p w14:paraId="688C5496" w14:textId="308C4E47" w:rsidR="00227BE9" w:rsidRPr="009C5EFD" w:rsidRDefault="00E453CD" w:rsidP="009C5EFD">
            <w:pPr>
              <w:rPr>
                <w:del w:id="1116" w:author="AbbVie02no" w:date="2025-05-15T12:36:00Z"/>
                <w:sz w:val="22"/>
                <w:szCs w:val="22"/>
              </w:rPr>
            </w:pPr>
            <w:del w:id="1117" w:author="AbbVie02no" w:date="2025-05-15T12:36:00Z">
              <w:r w:rsidRPr="009C5EFD">
                <w:rPr>
                  <w:sz w:val="22"/>
                  <w:szCs w:val="22"/>
                </w:rPr>
                <w:delText>Mindre vanlige</w:delText>
              </w:r>
            </w:del>
          </w:p>
          <w:p w14:paraId="6A95FED8" w14:textId="11A3D12A" w:rsidR="00227BE9" w:rsidRPr="009C5EFD" w:rsidRDefault="00227BE9" w:rsidP="009C5EFD">
            <w:pPr>
              <w:rPr>
                <w:del w:id="1118" w:author="AbbVie02no" w:date="2025-05-15T12:36:00Z"/>
                <w:sz w:val="22"/>
                <w:szCs w:val="22"/>
              </w:rPr>
            </w:pPr>
          </w:p>
        </w:tc>
        <w:tc>
          <w:tcPr>
            <w:tcW w:w="4294" w:type="dxa"/>
            <w:tcBorders>
              <w:top w:val="single" w:sz="4" w:space="0" w:color="auto"/>
              <w:bottom w:val="single" w:sz="4" w:space="0" w:color="auto"/>
            </w:tcBorders>
          </w:tcPr>
          <w:p w14:paraId="175E8414" w14:textId="7B7EAAAD" w:rsidR="00227BE9" w:rsidRPr="009C5EFD" w:rsidRDefault="00E453CD" w:rsidP="009C5EFD">
            <w:pPr>
              <w:rPr>
                <w:del w:id="1119" w:author="AbbVie02no" w:date="2025-05-15T12:36:00Z"/>
                <w:sz w:val="22"/>
                <w:szCs w:val="22"/>
              </w:rPr>
            </w:pPr>
            <w:del w:id="1120" w:author="AbbVie02no" w:date="2025-05-15T12:36:00Z">
              <w:r w:rsidRPr="009C5EFD">
                <w:rPr>
                  <w:sz w:val="22"/>
                  <w:szCs w:val="22"/>
                </w:rPr>
                <w:delText xml:space="preserve">Nattesvette, arrdannelse </w:delText>
              </w:r>
            </w:del>
          </w:p>
          <w:p w14:paraId="1FFDC46A" w14:textId="45669713" w:rsidR="00227BE9" w:rsidRPr="009C5EFD" w:rsidRDefault="00227BE9" w:rsidP="009C5EFD">
            <w:pPr>
              <w:rPr>
                <w:del w:id="1121" w:author="AbbVie02no" w:date="2025-05-15T12:36:00Z"/>
                <w:sz w:val="22"/>
                <w:szCs w:val="22"/>
              </w:rPr>
            </w:pPr>
          </w:p>
        </w:tc>
      </w:tr>
      <w:tr w:rsidR="004644D4" w14:paraId="2972FA8B" w14:textId="0D87EE41" w:rsidTr="00032240">
        <w:trPr>
          <w:del w:id="1122" w:author="AbbVie02no" w:date="2025-05-15T12:36:00Z"/>
        </w:trPr>
        <w:tc>
          <w:tcPr>
            <w:tcW w:w="3079" w:type="dxa"/>
            <w:vMerge/>
          </w:tcPr>
          <w:p w14:paraId="6AC48AC1" w14:textId="266219F1" w:rsidR="00B03120" w:rsidRPr="009C5EFD" w:rsidRDefault="00B03120" w:rsidP="009C5EFD">
            <w:pPr>
              <w:rPr>
                <w:del w:id="1123" w:author="AbbVie02no" w:date="2025-05-15T12:36:00Z"/>
                <w:sz w:val="22"/>
                <w:szCs w:val="22"/>
              </w:rPr>
            </w:pPr>
          </w:p>
        </w:tc>
        <w:tc>
          <w:tcPr>
            <w:tcW w:w="1682" w:type="dxa"/>
            <w:tcBorders>
              <w:top w:val="single" w:sz="4" w:space="0" w:color="auto"/>
              <w:bottom w:val="single" w:sz="4" w:space="0" w:color="auto"/>
            </w:tcBorders>
          </w:tcPr>
          <w:p w14:paraId="110BFD9C" w14:textId="73F68D6F" w:rsidR="00B03120" w:rsidRPr="009C5EFD" w:rsidRDefault="00E453CD" w:rsidP="009C5EFD">
            <w:pPr>
              <w:rPr>
                <w:del w:id="1124" w:author="AbbVie02no" w:date="2025-05-15T12:36:00Z"/>
                <w:sz w:val="22"/>
                <w:szCs w:val="22"/>
              </w:rPr>
            </w:pPr>
            <w:del w:id="1125" w:author="AbbVie02no" w:date="2025-05-15T12:36:00Z">
              <w:r w:rsidRPr="009C5EFD">
                <w:rPr>
                  <w:sz w:val="22"/>
                  <w:szCs w:val="22"/>
                </w:rPr>
                <w:delText>Sjeldne</w:delText>
              </w:r>
            </w:del>
          </w:p>
          <w:p w14:paraId="140D07F1" w14:textId="549CC559" w:rsidR="00B03120" w:rsidRPr="009C5EFD" w:rsidRDefault="00B03120" w:rsidP="009C5EFD">
            <w:pPr>
              <w:rPr>
                <w:del w:id="1126" w:author="AbbVie02no" w:date="2025-05-15T12:36:00Z"/>
                <w:sz w:val="22"/>
                <w:szCs w:val="22"/>
              </w:rPr>
            </w:pPr>
          </w:p>
        </w:tc>
        <w:tc>
          <w:tcPr>
            <w:tcW w:w="4294" w:type="dxa"/>
            <w:tcBorders>
              <w:top w:val="single" w:sz="4" w:space="0" w:color="auto"/>
              <w:bottom w:val="single" w:sz="4" w:space="0" w:color="auto"/>
            </w:tcBorders>
          </w:tcPr>
          <w:p w14:paraId="52F659DA" w14:textId="0BBEE30A" w:rsidR="00B03120" w:rsidRPr="006936CB" w:rsidRDefault="00E453CD" w:rsidP="001424DB">
            <w:pPr>
              <w:spacing w:after="120"/>
              <w:rPr>
                <w:del w:id="1127" w:author="AbbVie02no" w:date="2025-05-15T12:36:00Z"/>
                <w:sz w:val="22"/>
                <w:szCs w:val="22"/>
              </w:rPr>
            </w:pPr>
            <w:del w:id="1128" w:author="AbbVie02no" w:date="2025-05-15T12:36:00Z">
              <w:r w:rsidRPr="009C5EFD">
                <w:rPr>
                  <w:sz w:val="22"/>
                  <w:szCs w:val="22"/>
                </w:rPr>
                <w:delText>Erythema multiforme</w:delText>
              </w:r>
              <w:r w:rsidRPr="009C5EFD">
                <w:rPr>
                  <w:sz w:val="22"/>
                  <w:szCs w:val="22"/>
                  <w:vertAlign w:val="superscript"/>
                </w:rPr>
                <w:delText>1)</w:delText>
              </w:r>
              <w:r w:rsidRPr="009C5EFD">
                <w:rPr>
                  <w:sz w:val="22"/>
                  <w:szCs w:val="22"/>
                </w:rPr>
                <w:delText>, Stevens-Johnson syndrom</w:delText>
              </w:r>
              <w:r w:rsidRPr="009C5EFD">
                <w:rPr>
                  <w:sz w:val="22"/>
                  <w:szCs w:val="22"/>
                  <w:vertAlign w:val="superscript"/>
                </w:rPr>
                <w:delText>1)</w:delText>
              </w:r>
              <w:r w:rsidRPr="009C5EFD">
                <w:rPr>
                  <w:sz w:val="22"/>
                  <w:szCs w:val="22"/>
                </w:rPr>
                <w:delText>, angioødem</w:delText>
              </w:r>
              <w:r w:rsidRPr="009C5EFD">
                <w:rPr>
                  <w:sz w:val="22"/>
                  <w:szCs w:val="22"/>
                  <w:vertAlign w:val="superscript"/>
                </w:rPr>
                <w:delText>1)</w:delText>
              </w:r>
              <w:r w:rsidRPr="009C5EFD">
                <w:rPr>
                  <w:sz w:val="22"/>
                  <w:szCs w:val="22"/>
                </w:rPr>
                <w:delText>, kutan vaskulitt</w:delText>
              </w:r>
              <w:r w:rsidRPr="009C5EFD">
                <w:rPr>
                  <w:sz w:val="22"/>
                  <w:szCs w:val="22"/>
                  <w:vertAlign w:val="superscript"/>
                </w:rPr>
                <w:delText>1)</w:delText>
              </w:r>
              <w:r w:rsidR="00E60B3F">
                <w:rPr>
                  <w:sz w:val="22"/>
                  <w:szCs w:val="22"/>
                </w:rPr>
                <w:delText>, lichenoid hudreaksjon</w:delText>
              </w:r>
              <w:r w:rsidR="00E60B3F" w:rsidRPr="009C5EFD">
                <w:rPr>
                  <w:sz w:val="22"/>
                  <w:szCs w:val="22"/>
                  <w:vertAlign w:val="superscript"/>
                </w:rPr>
                <w:delText>1)</w:delText>
              </w:r>
            </w:del>
          </w:p>
          <w:p w14:paraId="4FE1EDF7" w14:textId="3518A53D" w:rsidR="00B03120" w:rsidRPr="009C5EFD" w:rsidRDefault="00B03120" w:rsidP="009C5EFD">
            <w:pPr>
              <w:rPr>
                <w:del w:id="1129" w:author="AbbVie02no" w:date="2025-05-15T12:36:00Z"/>
                <w:sz w:val="22"/>
                <w:szCs w:val="22"/>
              </w:rPr>
            </w:pPr>
          </w:p>
        </w:tc>
      </w:tr>
      <w:tr w:rsidR="004644D4" w14:paraId="50454C36" w14:textId="458F1972" w:rsidTr="00032240">
        <w:trPr>
          <w:del w:id="1130" w:author="AbbVie02no" w:date="2025-05-15T12:36:00Z"/>
        </w:trPr>
        <w:tc>
          <w:tcPr>
            <w:tcW w:w="3079" w:type="dxa"/>
            <w:vMerge/>
          </w:tcPr>
          <w:p w14:paraId="3B0269DB" w14:textId="32CBE5F7" w:rsidR="00B03120" w:rsidRPr="009C5EFD" w:rsidRDefault="00B03120" w:rsidP="009C5EFD">
            <w:pPr>
              <w:rPr>
                <w:del w:id="1131" w:author="AbbVie02no" w:date="2025-05-15T12:36:00Z"/>
                <w:sz w:val="22"/>
                <w:szCs w:val="22"/>
              </w:rPr>
            </w:pPr>
          </w:p>
        </w:tc>
        <w:tc>
          <w:tcPr>
            <w:tcW w:w="1682" w:type="dxa"/>
            <w:tcBorders>
              <w:top w:val="single" w:sz="4" w:space="0" w:color="auto"/>
              <w:bottom w:val="single" w:sz="4" w:space="0" w:color="auto"/>
            </w:tcBorders>
          </w:tcPr>
          <w:p w14:paraId="66A3DBB6" w14:textId="2891C493" w:rsidR="00B03120" w:rsidRPr="009C5EFD" w:rsidRDefault="00E453CD" w:rsidP="009C5EFD">
            <w:pPr>
              <w:rPr>
                <w:del w:id="1132" w:author="AbbVie02no" w:date="2025-05-15T12:36:00Z"/>
                <w:sz w:val="22"/>
                <w:szCs w:val="22"/>
              </w:rPr>
            </w:pPr>
            <w:del w:id="1133" w:author="AbbVie02no" w:date="2025-05-15T12:36:00Z">
              <w:r w:rsidRPr="009C5EFD">
                <w:rPr>
                  <w:sz w:val="22"/>
                  <w:szCs w:val="22"/>
                </w:rPr>
                <w:delText>Ikke kjent</w:delText>
              </w:r>
            </w:del>
          </w:p>
        </w:tc>
        <w:tc>
          <w:tcPr>
            <w:tcW w:w="4294" w:type="dxa"/>
            <w:tcBorders>
              <w:top w:val="single" w:sz="4" w:space="0" w:color="auto"/>
              <w:bottom w:val="single" w:sz="4" w:space="0" w:color="auto"/>
            </w:tcBorders>
          </w:tcPr>
          <w:p w14:paraId="3730B733" w14:textId="4C79DDB3" w:rsidR="00B03120" w:rsidRPr="009C5EFD" w:rsidRDefault="00E453CD" w:rsidP="009C5EFD">
            <w:pPr>
              <w:rPr>
                <w:del w:id="1134" w:author="AbbVie02no" w:date="2025-05-15T12:36:00Z"/>
                <w:sz w:val="22"/>
                <w:szCs w:val="22"/>
              </w:rPr>
            </w:pPr>
            <w:del w:id="1135" w:author="AbbVie02no" w:date="2025-05-15T12:36:00Z">
              <w:r w:rsidRPr="009C5EFD">
                <w:rPr>
                  <w:sz w:val="22"/>
                  <w:szCs w:val="22"/>
                </w:rPr>
                <w:delText>Forverring av dermatomyositt symptomer</w:delText>
              </w:r>
              <w:r w:rsidRPr="009C5EFD">
                <w:rPr>
                  <w:sz w:val="22"/>
                  <w:szCs w:val="22"/>
                  <w:vertAlign w:val="superscript"/>
                </w:rPr>
                <w:delText>1)</w:delText>
              </w:r>
            </w:del>
          </w:p>
          <w:p w14:paraId="62F0F073" w14:textId="7A3B072C" w:rsidR="00B03120" w:rsidRPr="009C5EFD" w:rsidRDefault="00B03120" w:rsidP="009C5EFD">
            <w:pPr>
              <w:rPr>
                <w:del w:id="1136" w:author="AbbVie02no" w:date="2025-05-15T12:36:00Z"/>
                <w:sz w:val="22"/>
                <w:szCs w:val="22"/>
              </w:rPr>
            </w:pPr>
          </w:p>
        </w:tc>
      </w:tr>
      <w:tr w:rsidR="004644D4" w14:paraId="5F28701E" w14:textId="1BB6131C" w:rsidTr="00032240">
        <w:trPr>
          <w:del w:id="1137" w:author="AbbVie02no" w:date="2025-05-15T12:36:00Z"/>
        </w:trPr>
        <w:tc>
          <w:tcPr>
            <w:tcW w:w="3079" w:type="dxa"/>
            <w:vMerge w:val="restart"/>
          </w:tcPr>
          <w:p w14:paraId="0D8984B1" w14:textId="078C1B13" w:rsidR="00B03120" w:rsidRPr="007F67EE" w:rsidRDefault="00E453CD" w:rsidP="007F67EE">
            <w:pPr>
              <w:pStyle w:val="EndnoteText"/>
              <w:widowControl/>
              <w:tabs>
                <w:tab w:val="clear" w:pos="567"/>
              </w:tabs>
              <w:rPr>
                <w:del w:id="1138" w:author="AbbVie02no" w:date="2025-05-15T12:36:00Z"/>
                <w:szCs w:val="22"/>
                <w:lang w:val="nb-NO"/>
              </w:rPr>
            </w:pPr>
            <w:del w:id="1139" w:author="AbbVie02no" w:date="2025-05-15T12:36:00Z">
              <w:r w:rsidRPr="007F67EE">
                <w:rPr>
                  <w:szCs w:val="22"/>
                  <w:lang w:val="nb-NO"/>
                </w:rPr>
                <w:delText>Sykdommer i muskler og bindevev</w:delText>
              </w:r>
            </w:del>
          </w:p>
        </w:tc>
        <w:tc>
          <w:tcPr>
            <w:tcW w:w="1682" w:type="dxa"/>
            <w:tcBorders>
              <w:bottom w:val="single" w:sz="4" w:space="0" w:color="auto"/>
            </w:tcBorders>
          </w:tcPr>
          <w:p w14:paraId="6FB4424E" w14:textId="3E09A5F9" w:rsidR="00B03120" w:rsidRPr="007F67EE" w:rsidRDefault="00E453CD" w:rsidP="007F67EE">
            <w:pPr>
              <w:rPr>
                <w:del w:id="1140" w:author="AbbVie02no" w:date="2025-05-15T12:36:00Z"/>
                <w:sz w:val="22"/>
                <w:szCs w:val="22"/>
              </w:rPr>
            </w:pPr>
            <w:del w:id="1141" w:author="AbbVie02no" w:date="2025-05-15T12:36:00Z">
              <w:r w:rsidRPr="007F67EE">
                <w:rPr>
                  <w:sz w:val="22"/>
                  <w:szCs w:val="22"/>
                </w:rPr>
                <w:delText>Svært vanlige</w:delText>
              </w:r>
            </w:del>
          </w:p>
          <w:p w14:paraId="71609987" w14:textId="133126C3" w:rsidR="00B03120" w:rsidRPr="00193D76" w:rsidRDefault="00B03120" w:rsidP="00193D76">
            <w:pPr>
              <w:rPr>
                <w:del w:id="1142" w:author="AbbVie02no" w:date="2025-05-15T12:36:00Z"/>
                <w:sz w:val="22"/>
                <w:szCs w:val="22"/>
              </w:rPr>
            </w:pPr>
          </w:p>
        </w:tc>
        <w:tc>
          <w:tcPr>
            <w:tcW w:w="4294" w:type="dxa"/>
            <w:tcBorders>
              <w:bottom w:val="single" w:sz="4" w:space="0" w:color="auto"/>
            </w:tcBorders>
          </w:tcPr>
          <w:p w14:paraId="21EEBF2A" w14:textId="6A5360D1" w:rsidR="00B03120" w:rsidRPr="002D0790" w:rsidRDefault="00E453CD" w:rsidP="002D0790">
            <w:pPr>
              <w:rPr>
                <w:del w:id="1143" w:author="AbbVie02no" w:date="2025-05-15T12:36:00Z"/>
                <w:sz w:val="22"/>
                <w:szCs w:val="22"/>
              </w:rPr>
            </w:pPr>
            <w:del w:id="1144" w:author="AbbVie02no" w:date="2025-05-15T12:36:00Z">
              <w:r w:rsidRPr="002D0790">
                <w:rPr>
                  <w:sz w:val="22"/>
                  <w:szCs w:val="22"/>
                </w:rPr>
                <w:delText>Smerter i skjelett og muskulatur</w:delText>
              </w:r>
            </w:del>
          </w:p>
        </w:tc>
      </w:tr>
      <w:tr w:rsidR="004644D4" w14:paraId="2C697143" w14:textId="1C2982E1" w:rsidTr="00032240">
        <w:trPr>
          <w:del w:id="1145" w:author="AbbVie02no" w:date="2025-05-15T12:36:00Z"/>
        </w:trPr>
        <w:tc>
          <w:tcPr>
            <w:tcW w:w="3079" w:type="dxa"/>
            <w:vMerge/>
          </w:tcPr>
          <w:p w14:paraId="2D622224" w14:textId="3307E334" w:rsidR="00B03120" w:rsidRPr="009C5EFD" w:rsidRDefault="00B03120" w:rsidP="009C5EFD">
            <w:pPr>
              <w:pStyle w:val="EndnoteText"/>
              <w:widowControl/>
              <w:tabs>
                <w:tab w:val="clear" w:pos="567"/>
              </w:tabs>
              <w:rPr>
                <w:del w:id="1146" w:author="AbbVie02no" w:date="2025-05-15T12:36:00Z"/>
                <w:szCs w:val="22"/>
                <w:lang w:val="nb-NO"/>
              </w:rPr>
            </w:pPr>
          </w:p>
        </w:tc>
        <w:tc>
          <w:tcPr>
            <w:tcW w:w="1682" w:type="dxa"/>
            <w:tcBorders>
              <w:top w:val="single" w:sz="4" w:space="0" w:color="auto"/>
              <w:bottom w:val="single" w:sz="4" w:space="0" w:color="auto"/>
            </w:tcBorders>
          </w:tcPr>
          <w:p w14:paraId="28C4807E" w14:textId="3FAF4A4D" w:rsidR="00B03120" w:rsidRPr="009C5EFD" w:rsidRDefault="00E453CD" w:rsidP="009C5EFD">
            <w:pPr>
              <w:rPr>
                <w:del w:id="1147" w:author="AbbVie02no" w:date="2025-05-15T12:36:00Z"/>
                <w:sz w:val="22"/>
                <w:szCs w:val="22"/>
              </w:rPr>
            </w:pPr>
            <w:del w:id="1148" w:author="AbbVie02no" w:date="2025-05-15T12:36:00Z">
              <w:r w:rsidRPr="009C5EFD">
                <w:rPr>
                  <w:sz w:val="22"/>
                  <w:szCs w:val="22"/>
                </w:rPr>
                <w:delText>Vanlige</w:delText>
              </w:r>
            </w:del>
          </w:p>
          <w:p w14:paraId="15822B35" w14:textId="42C237E0" w:rsidR="00B03120" w:rsidRPr="009C5EFD" w:rsidRDefault="00B03120" w:rsidP="009C5EFD">
            <w:pPr>
              <w:rPr>
                <w:del w:id="1149" w:author="AbbVie02no" w:date="2025-05-15T12:36:00Z"/>
                <w:sz w:val="22"/>
                <w:szCs w:val="22"/>
              </w:rPr>
            </w:pPr>
          </w:p>
        </w:tc>
        <w:tc>
          <w:tcPr>
            <w:tcW w:w="4294" w:type="dxa"/>
            <w:tcBorders>
              <w:top w:val="single" w:sz="4" w:space="0" w:color="auto"/>
              <w:bottom w:val="single" w:sz="4" w:space="0" w:color="auto"/>
            </w:tcBorders>
          </w:tcPr>
          <w:p w14:paraId="3DC04408" w14:textId="34EEFD86" w:rsidR="00B03120" w:rsidRPr="009C5EFD" w:rsidRDefault="00E453CD" w:rsidP="009C5EFD">
            <w:pPr>
              <w:rPr>
                <w:del w:id="1150" w:author="AbbVie02no" w:date="2025-05-15T12:36:00Z"/>
                <w:sz w:val="22"/>
                <w:szCs w:val="22"/>
              </w:rPr>
            </w:pPr>
            <w:del w:id="1151" w:author="AbbVie02no" w:date="2025-05-15T12:36:00Z">
              <w:r w:rsidRPr="009C5EFD">
                <w:rPr>
                  <w:sz w:val="22"/>
                  <w:szCs w:val="22"/>
                </w:rPr>
                <w:delText xml:space="preserve">Muskelspasmer (inkludert forhøyet kreatinfosfokinase i blod) </w:delText>
              </w:r>
            </w:del>
          </w:p>
          <w:p w14:paraId="13FEAE17" w14:textId="4F80D2F3" w:rsidR="00B03120" w:rsidRPr="009C5EFD" w:rsidRDefault="00B03120" w:rsidP="009C5EFD">
            <w:pPr>
              <w:rPr>
                <w:del w:id="1152" w:author="AbbVie02no" w:date="2025-05-15T12:36:00Z"/>
                <w:sz w:val="22"/>
                <w:szCs w:val="22"/>
              </w:rPr>
            </w:pPr>
          </w:p>
        </w:tc>
      </w:tr>
      <w:tr w:rsidR="004644D4" w14:paraId="0F91BC39" w14:textId="4714B2EE" w:rsidTr="00032240">
        <w:trPr>
          <w:del w:id="1153" w:author="AbbVie02no" w:date="2025-05-15T12:36:00Z"/>
        </w:trPr>
        <w:tc>
          <w:tcPr>
            <w:tcW w:w="3079" w:type="dxa"/>
            <w:vMerge/>
          </w:tcPr>
          <w:p w14:paraId="642AE710" w14:textId="7F8EB9F7" w:rsidR="00B03120" w:rsidRPr="009C5EFD" w:rsidRDefault="00B03120" w:rsidP="009C5EFD">
            <w:pPr>
              <w:pStyle w:val="EndnoteText"/>
              <w:widowControl/>
              <w:tabs>
                <w:tab w:val="clear" w:pos="567"/>
              </w:tabs>
              <w:rPr>
                <w:del w:id="1154" w:author="AbbVie02no" w:date="2025-05-15T12:36:00Z"/>
                <w:szCs w:val="22"/>
                <w:lang w:val="nb-NO"/>
              </w:rPr>
            </w:pPr>
          </w:p>
        </w:tc>
        <w:tc>
          <w:tcPr>
            <w:tcW w:w="1682" w:type="dxa"/>
            <w:tcBorders>
              <w:top w:val="single" w:sz="4" w:space="0" w:color="auto"/>
              <w:bottom w:val="single" w:sz="4" w:space="0" w:color="auto"/>
            </w:tcBorders>
          </w:tcPr>
          <w:p w14:paraId="5CEF34D7" w14:textId="760773D8" w:rsidR="00B03120" w:rsidRPr="009C5EFD" w:rsidRDefault="00E453CD" w:rsidP="009C5EFD">
            <w:pPr>
              <w:rPr>
                <w:del w:id="1155" w:author="AbbVie02no" w:date="2025-05-15T12:36:00Z"/>
                <w:sz w:val="22"/>
                <w:szCs w:val="22"/>
              </w:rPr>
            </w:pPr>
            <w:del w:id="1156" w:author="AbbVie02no" w:date="2025-05-15T12:36:00Z">
              <w:r w:rsidRPr="009C5EFD">
                <w:rPr>
                  <w:sz w:val="22"/>
                  <w:szCs w:val="22"/>
                </w:rPr>
                <w:delText>Mindre vanlige</w:delText>
              </w:r>
            </w:del>
          </w:p>
          <w:p w14:paraId="5FCB08C0" w14:textId="16F415B7" w:rsidR="00B03120" w:rsidRPr="009C5EFD" w:rsidRDefault="00B03120" w:rsidP="009C5EFD">
            <w:pPr>
              <w:rPr>
                <w:del w:id="1157" w:author="AbbVie02no" w:date="2025-05-15T12:36:00Z"/>
                <w:sz w:val="22"/>
                <w:szCs w:val="22"/>
              </w:rPr>
            </w:pPr>
          </w:p>
        </w:tc>
        <w:tc>
          <w:tcPr>
            <w:tcW w:w="4294" w:type="dxa"/>
            <w:tcBorders>
              <w:top w:val="single" w:sz="4" w:space="0" w:color="auto"/>
              <w:bottom w:val="single" w:sz="4" w:space="0" w:color="auto"/>
            </w:tcBorders>
          </w:tcPr>
          <w:p w14:paraId="0B1B9621" w14:textId="5219C1F3" w:rsidR="00B03120" w:rsidRPr="009C5EFD" w:rsidRDefault="00E453CD" w:rsidP="009C5EFD">
            <w:pPr>
              <w:rPr>
                <w:del w:id="1158" w:author="AbbVie02no" w:date="2025-05-15T12:36:00Z"/>
                <w:sz w:val="22"/>
                <w:szCs w:val="22"/>
              </w:rPr>
            </w:pPr>
            <w:del w:id="1159" w:author="AbbVie02no" w:date="2025-05-15T12:36:00Z">
              <w:r w:rsidRPr="009C5EFD">
                <w:rPr>
                  <w:sz w:val="22"/>
                  <w:szCs w:val="22"/>
                </w:rPr>
                <w:delText>Rabdomyolyse, systemisk lupus erythematosus</w:delText>
              </w:r>
            </w:del>
          </w:p>
          <w:p w14:paraId="3C5B2470" w14:textId="4132708D" w:rsidR="00B03120" w:rsidRPr="009C5EFD" w:rsidRDefault="00B03120" w:rsidP="009C5EFD">
            <w:pPr>
              <w:rPr>
                <w:del w:id="1160" w:author="AbbVie02no" w:date="2025-05-15T12:36:00Z"/>
                <w:sz w:val="22"/>
                <w:szCs w:val="22"/>
              </w:rPr>
            </w:pPr>
          </w:p>
        </w:tc>
      </w:tr>
      <w:tr w:rsidR="004644D4" w14:paraId="1E6AF0E1" w14:textId="5422CF84" w:rsidTr="00032240">
        <w:trPr>
          <w:del w:id="1161" w:author="AbbVie02no" w:date="2025-05-15T12:36:00Z"/>
        </w:trPr>
        <w:tc>
          <w:tcPr>
            <w:tcW w:w="3079" w:type="dxa"/>
            <w:vMerge/>
          </w:tcPr>
          <w:p w14:paraId="64EEA0E2" w14:textId="002128E9" w:rsidR="00B03120" w:rsidRPr="009C5EFD" w:rsidRDefault="00B03120" w:rsidP="009C5EFD">
            <w:pPr>
              <w:pStyle w:val="EndnoteText"/>
              <w:widowControl/>
              <w:tabs>
                <w:tab w:val="clear" w:pos="567"/>
              </w:tabs>
              <w:rPr>
                <w:del w:id="1162" w:author="AbbVie02no" w:date="2025-05-15T12:36:00Z"/>
                <w:szCs w:val="22"/>
                <w:lang w:val="nb-NO"/>
              </w:rPr>
            </w:pPr>
          </w:p>
        </w:tc>
        <w:tc>
          <w:tcPr>
            <w:tcW w:w="1682" w:type="dxa"/>
            <w:tcBorders>
              <w:top w:val="single" w:sz="4" w:space="0" w:color="auto"/>
              <w:bottom w:val="single" w:sz="4" w:space="0" w:color="auto"/>
            </w:tcBorders>
          </w:tcPr>
          <w:p w14:paraId="319EF790" w14:textId="77B5F834" w:rsidR="00B03120" w:rsidRPr="009C5EFD" w:rsidRDefault="00E453CD" w:rsidP="009C5EFD">
            <w:pPr>
              <w:rPr>
                <w:del w:id="1163" w:author="AbbVie02no" w:date="2025-05-15T12:36:00Z"/>
                <w:sz w:val="22"/>
                <w:szCs w:val="22"/>
              </w:rPr>
            </w:pPr>
            <w:del w:id="1164" w:author="AbbVie02no" w:date="2025-05-15T12:36:00Z">
              <w:r w:rsidRPr="009C5EFD">
                <w:rPr>
                  <w:sz w:val="22"/>
                  <w:szCs w:val="22"/>
                </w:rPr>
                <w:delText>Sjeldne</w:delText>
              </w:r>
            </w:del>
          </w:p>
        </w:tc>
        <w:tc>
          <w:tcPr>
            <w:tcW w:w="4294" w:type="dxa"/>
            <w:tcBorders>
              <w:top w:val="single" w:sz="4" w:space="0" w:color="auto"/>
              <w:bottom w:val="single" w:sz="4" w:space="0" w:color="auto"/>
            </w:tcBorders>
          </w:tcPr>
          <w:p w14:paraId="3A8C13A6" w14:textId="1BE8F567" w:rsidR="00B03120" w:rsidRPr="009C5EFD" w:rsidRDefault="00E453CD" w:rsidP="009C5EFD">
            <w:pPr>
              <w:rPr>
                <w:del w:id="1165" w:author="AbbVie02no" w:date="2025-05-15T12:36:00Z"/>
                <w:sz w:val="22"/>
                <w:szCs w:val="22"/>
                <w:vertAlign w:val="superscript"/>
              </w:rPr>
            </w:pPr>
            <w:del w:id="1166" w:author="AbbVie02no" w:date="2025-05-15T12:36:00Z">
              <w:r w:rsidRPr="009C5EFD">
                <w:rPr>
                  <w:sz w:val="22"/>
                  <w:szCs w:val="22"/>
                </w:rPr>
                <w:delText>Lupus-lignende syndrom</w:delText>
              </w:r>
              <w:r w:rsidRPr="009C5EFD">
                <w:rPr>
                  <w:sz w:val="22"/>
                  <w:szCs w:val="22"/>
                  <w:vertAlign w:val="superscript"/>
                </w:rPr>
                <w:delText>1)</w:delText>
              </w:r>
            </w:del>
          </w:p>
          <w:p w14:paraId="2ADA93F5" w14:textId="531B29E3" w:rsidR="00B03120" w:rsidRPr="009C5EFD" w:rsidRDefault="00B03120" w:rsidP="009C5EFD">
            <w:pPr>
              <w:rPr>
                <w:del w:id="1167" w:author="AbbVie02no" w:date="2025-05-15T12:36:00Z"/>
                <w:sz w:val="22"/>
                <w:szCs w:val="22"/>
              </w:rPr>
            </w:pPr>
          </w:p>
        </w:tc>
      </w:tr>
      <w:tr w:rsidR="004644D4" w14:paraId="140FB9AD" w14:textId="78DB3366" w:rsidTr="00032240">
        <w:trPr>
          <w:del w:id="1168" w:author="AbbVie02no" w:date="2025-05-15T12:36:00Z"/>
        </w:trPr>
        <w:tc>
          <w:tcPr>
            <w:tcW w:w="3079" w:type="dxa"/>
            <w:vMerge w:val="restart"/>
          </w:tcPr>
          <w:p w14:paraId="07A7972C" w14:textId="5E510D2C" w:rsidR="00B03120" w:rsidRPr="009C5EFD" w:rsidRDefault="00E453CD" w:rsidP="007F67EE">
            <w:pPr>
              <w:rPr>
                <w:del w:id="1169" w:author="AbbVie02no" w:date="2025-05-15T12:36:00Z"/>
                <w:sz w:val="22"/>
                <w:szCs w:val="22"/>
              </w:rPr>
            </w:pPr>
            <w:del w:id="1170" w:author="AbbVie02no" w:date="2025-05-15T12:36:00Z">
              <w:r w:rsidRPr="009C5EFD">
                <w:rPr>
                  <w:sz w:val="22"/>
                  <w:szCs w:val="22"/>
                </w:rPr>
                <w:delText>Sykdommer i nyre og urinveier</w:delText>
              </w:r>
            </w:del>
          </w:p>
        </w:tc>
        <w:tc>
          <w:tcPr>
            <w:tcW w:w="1682" w:type="dxa"/>
            <w:tcBorders>
              <w:bottom w:val="single" w:sz="4" w:space="0" w:color="auto"/>
            </w:tcBorders>
          </w:tcPr>
          <w:p w14:paraId="435F25A3" w14:textId="6F18A5F6" w:rsidR="00B03120" w:rsidRPr="009C5EFD" w:rsidRDefault="00E453CD" w:rsidP="007F67EE">
            <w:pPr>
              <w:rPr>
                <w:del w:id="1171" w:author="AbbVie02no" w:date="2025-05-15T12:36:00Z"/>
                <w:sz w:val="22"/>
                <w:szCs w:val="22"/>
              </w:rPr>
            </w:pPr>
            <w:del w:id="1172" w:author="AbbVie02no" w:date="2025-05-15T12:36:00Z">
              <w:r w:rsidRPr="009C5EFD">
                <w:rPr>
                  <w:sz w:val="22"/>
                  <w:szCs w:val="22"/>
                </w:rPr>
                <w:delText>Vanlige</w:delText>
              </w:r>
            </w:del>
          </w:p>
          <w:p w14:paraId="3433AFF6" w14:textId="1FA3D40B" w:rsidR="00B03120" w:rsidRPr="009C5EFD" w:rsidRDefault="00B03120" w:rsidP="00193D76">
            <w:pPr>
              <w:rPr>
                <w:del w:id="1173" w:author="AbbVie02no" w:date="2025-05-15T12:36:00Z"/>
                <w:sz w:val="22"/>
                <w:szCs w:val="22"/>
              </w:rPr>
            </w:pPr>
          </w:p>
        </w:tc>
        <w:tc>
          <w:tcPr>
            <w:tcW w:w="4294" w:type="dxa"/>
            <w:tcBorders>
              <w:bottom w:val="single" w:sz="4" w:space="0" w:color="auto"/>
            </w:tcBorders>
          </w:tcPr>
          <w:p w14:paraId="3DF250BA" w14:textId="07F5B987" w:rsidR="00B03120" w:rsidRPr="009C5EFD" w:rsidRDefault="00E453CD" w:rsidP="002D0790">
            <w:pPr>
              <w:rPr>
                <w:del w:id="1174" w:author="AbbVie02no" w:date="2025-05-15T12:36:00Z"/>
                <w:sz w:val="22"/>
                <w:szCs w:val="22"/>
              </w:rPr>
            </w:pPr>
            <w:del w:id="1175" w:author="AbbVie02no" w:date="2025-05-15T12:36:00Z">
              <w:r w:rsidRPr="009C5EFD">
                <w:rPr>
                  <w:sz w:val="22"/>
                  <w:szCs w:val="22"/>
                </w:rPr>
                <w:delText>Nedsatt nyrefunksjon, hematuri</w:delText>
              </w:r>
            </w:del>
          </w:p>
        </w:tc>
      </w:tr>
      <w:tr w:rsidR="004644D4" w14:paraId="325DA4DC" w14:textId="33C63BFA" w:rsidTr="00032240">
        <w:trPr>
          <w:del w:id="1176" w:author="AbbVie02no" w:date="2025-05-15T12:36:00Z"/>
        </w:trPr>
        <w:tc>
          <w:tcPr>
            <w:tcW w:w="3079" w:type="dxa"/>
            <w:vMerge/>
          </w:tcPr>
          <w:p w14:paraId="3A52EDFA" w14:textId="0C4FDB93" w:rsidR="00B03120" w:rsidRPr="009C5EFD" w:rsidRDefault="00B03120" w:rsidP="009C5EFD">
            <w:pPr>
              <w:rPr>
                <w:del w:id="1177" w:author="AbbVie02no" w:date="2025-05-15T12:36:00Z"/>
                <w:sz w:val="22"/>
                <w:szCs w:val="22"/>
              </w:rPr>
            </w:pPr>
          </w:p>
        </w:tc>
        <w:tc>
          <w:tcPr>
            <w:tcW w:w="1682" w:type="dxa"/>
            <w:tcBorders>
              <w:top w:val="single" w:sz="4" w:space="0" w:color="auto"/>
            </w:tcBorders>
          </w:tcPr>
          <w:p w14:paraId="1A805847" w14:textId="240BFFED" w:rsidR="00B03120" w:rsidRPr="009C5EFD" w:rsidRDefault="00E453CD" w:rsidP="009C5EFD">
            <w:pPr>
              <w:rPr>
                <w:del w:id="1178" w:author="AbbVie02no" w:date="2025-05-15T12:36:00Z"/>
                <w:sz w:val="22"/>
                <w:szCs w:val="22"/>
              </w:rPr>
            </w:pPr>
            <w:del w:id="1179" w:author="AbbVie02no" w:date="2025-05-15T12:36:00Z">
              <w:r w:rsidRPr="009C5EFD">
                <w:rPr>
                  <w:sz w:val="22"/>
                  <w:szCs w:val="22"/>
                </w:rPr>
                <w:delText>Mindre vanlige</w:delText>
              </w:r>
            </w:del>
          </w:p>
        </w:tc>
        <w:tc>
          <w:tcPr>
            <w:tcW w:w="4294" w:type="dxa"/>
            <w:tcBorders>
              <w:top w:val="single" w:sz="4" w:space="0" w:color="auto"/>
            </w:tcBorders>
          </w:tcPr>
          <w:p w14:paraId="48C76812" w14:textId="13054B73" w:rsidR="00B03120" w:rsidRPr="009C5EFD" w:rsidRDefault="00E453CD" w:rsidP="009C5EFD">
            <w:pPr>
              <w:rPr>
                <w:del w:id="1180" w:author="AbbVie02no" w:date="2025-05-15T12:36:00Z"/>
                <w:sz w:val="22"/>
                <w:szCs w:val="22"/>
              </w:rPr>
            </w:pPr>
            <w:del w:id="1181" w:author="AbbVie02no" w:date="2025-05-15T12:36:00Z">
              <w:r w:rsidRPr="009C5EFD">
                <w:rPr>
                  <w:sz w:val="22"/>
                  <w:szCs w:val="22"/>
                </w:rPr>
                <w:delText>Nokturi</w:delText>
              </w:r>
            </w:del>
          </w:p>
          <w:p w14:paraId="24F050EF" w14:textId="4D2C33A6" w:rsidR="00B03120" w:rsidRPr="009C5EFD" w:rsidRDefault="00B03120" w:rsidP="009C5EFD">
            <w:pPr>
              <w:rPr>
                <w:del w:id="1182" w:author="AbbVie02no" w:date="2025-05-15T12:36:00Z"/>
                <w:sz w:val="22"/>
                <w:szCs w:val="22"/>
              </w:rPr>
            </w:pPr>
          </w:p>
        </w:tc>
      </w:tr>
      <w:tr w:rsidR="004644D4" w14:paraId="10848E9E" w14:textId="5B24DC03" w:rsidTr="00032240">
        <w:trPr>
          <w:del w:id="1183" w:author="AbbVie02no" w:date="2025-05-15T12:36:00Z"/>
        </w:trPr>
        <w:tc>
          <w:tcPr>
            <w:tcW w:w="3079" w:type="dxa"/>
          </w:tcPr>
          <w:p w14:paraId="4D8A6310" w14:textId="75367977" w:rsidR="00B03120" w:rsidRPr="009C5EFD" w:rsidRDefault="00E453CD" w:rsidP="007F67EE">
            <w:pPr>
              <w:rPr>
                <w:del w:id="1184" w:author="AbbVie02no" w:date="2025-05-15T12:36:00Z"/>
                <w:sz w:val="22"/>
                <w:szCs w:val="22"/>
              </w:rPr>
            </w:pPr>
            <w:del w:id="1185" w:author="AbbVie02no" w:date="2025-05-15T12:36:00Z">
              <w:r w:rsidRPr="009C5EFD">
                <w:rPr>
                  <w:sz w:val="22"/>
                  <w:szCs w:val="22"/>
                </w:rPr>
                <w:lastRenderedPageBreak/>
                <w:delText>Lidelser i kjønnsorganer og brystsykdommer</w:delText>
              </w:r>
            </w:del>
          </w:p>
          <w:p w14:paraId="5107402B" w14:textId="45DECB55" w:rsidR="00B03120" w:rsidRPr="009C5EFD" w:rsidRDefault="00B03120" w:rsidP="007F67EE">
            <w:pPr>
              <w:rPr>
                <w:del w:id="1186" w:author="AbbVie02no" w:date="2025-05-15T12:36:00Z"/>
                <w:sz w:val="22"/>
                <w:szCs w:val="22"/>
              </w:rPr>
            </w:pPr>
          </w:p>
        </w:tc>
        <w:tc>
          <w:tcPr>
            <w:tcW w:w="1682" w:type="dxa"/>
            <w:tcBorders>
              <w:bottom w:val="single" w:sz="4" w:space="0" w:color="auto"/>
            </w:tcBorders>
          </w:tcPr>
          <w:p w14:paraId="1E3585EB" w14:textId="0C564797" w:rsidR="00B03120" w:rsidRPr="009C5EFD" w:rsidRDefault="00E453CD" w:rsidP="00193D76">
            <w:pPr>
              <w:rPr>
                <w:del w:id="1187" w:author="AbbVie02no" w:date="2025-05-15T12:36:00Z"/>
                <w:sz w:val="22"/>
                <w:szCs w:val="22"/>
              </w:rPr>
            </w:pPr>
            <w:del w:id="1188" w:author="AbbVie02no" w:date="2025-05-15T12:36:00Z">
              <w:r w:rsidRPr="009C5EFD">
                <w:rPr>
                  <w:sz w:val="22"/>
                  <w:szCs w:val="22"/>
                </w:rPr>
                <w:delText>Mindre vanlige</w:delText>
              </w:r>
            </w:del>
          </w:p>
        </w:tc>
        <w:tc>
          <w:tcPr>
            <w:tcW w:w="4294" w:type="dxa"/>
            <w:tcBorders>
              <w:bottom w:val="single" w:sz="4" w:space="0" w:color="auto"/>
            </w:tcBorders>
          </w:tcPr>
          <w:p w14:paraId="065F491D" w14:textId="0EE0A4F4" w:rsidR="00B03120" w:rsidRPr="009C5EFD" w:rsidRDefault="00E453CD" w:rsidP="002D0790">
            <w:pPr>
              <w:rPr>
                <w:del w:id="1189" w:author="AbbVie02no" w:date="2025-05-15T12:36:00Z"/>
                <w:sz w:val="22"/>
                <w:szCs w:val="22"/>
              </w:rPr>
            </w:pPr>
            <w:del w:id="1190" w:author="AbbVie02no" w:date="2025-05-15T12:36:00Z">
              <w:r w:rsidRPr="009C5EFD">
                <w:rPr>
                  <w:sz w:val="22"/>
                  <w:szCs w:val="22"/>
                </w:rPr>
                <w:delText>Erektil dysfunksjon</w:delText>
              </w:r>
            </w:del>
          </w:p>
        </w:tc>
      </w:tr>
      <w:tr w:rsidR="004644D4" w14:paraId="6A7F15FB" w14:textId="53456481" w:rsidTr="00032240">
        <w:trPr>
          <w:del w:id="1191" w:author="AbbVie02no" w:date="2025-05-15T12:36:00Z"/>
        </w:trPr>
        <w:tc>
          <w:tcPr>
            <w:tcW w:w="3079" w:type="dxa"/>
            <w:vMerge w:val="restart"/>
          </w:tcPr>
          <w:p w14:paraId="485FF5E6" w14:textId="53FFE4BE" w:rsidR="00B03120" w:rsidRPr="009C5EFD" w:rsidRDefault="00E453CD" w:rsidP="007F67EE">
            <w:pPr>
              <w:rPr>
                <w:del w:id="1192" w:author="AbbVie02no" w:date="2025-05-15T12:36:00Z"/>
                <w:sz w:val="22"/>
                <w:szCs w:val="22"/>
              </w:rPr>
            </w:pPr>
            <w:del w:id="1193" w:author="AbbVie02no" w:date="2025-05-15T12:36:00Z">
              <w:r w:rsidRPr="009C5EFD">
                <w:rPr>
                  <w:sz w:val="22"/>
                  <w:szCs w:val="22"/>
                </w:rPr>
                <w:delText>Generelle lidelser og reaksjoner på administrasjonsstedet*</w:delText>
              </w:r>
            </w:del>
          </w:p>
          <w:p w14:paraId="246962BB" w14:textId="1AF72EBC" w:rsidR="00B03120" w:rsidRPr="009C5EFD" w:rsidRDefault="00B03120" w:rsidP="007F67EE">
            <w:pPr>
              <w:rPr>
                <w:del w:id="1194" w:author="AbbVie02no" w:date="2025-05-15T12:36:00Z"/>
                <w:sz w:val="22"/>
                <w:szCs w:val="22"/>
              </w:rPr>
            </w:pPr>
          </w:p>
        </w:tc>
        <w:tc>
          <w:tcPr>
            <w:tcW w:w="1682" w:type="dxa"/>
            <w:tcBorders>
              <w:bottom w:val="single" w:sz="4" w:space="0" w:color="auto"/>
            </w:tcBorders>
          </w:tcPr>
          <w:p w14:paraId="79FD622B" w14:textId="0457A7EB" w:rsidR="00B03120" w:rsidRPr="009C5EFD" w:rsidRDefault="00E453CD" w:rsidP="00193D76">
            <w:pPr>
              <w:rPr>
                <w:del w:id="1195" w:author="AbbVie02no" w:date="2025-05-15T12:36:00Z"/>
                <w:sz w:val="22"/>
                <w:szCs w:val="22"/>
              </w:rPr>
            </w:pPr>
            <w:del w:id="1196" w:author="AbbVie02no" w:date="2025-05-15T12:36:00Z">
              <w:r w:rsidRPr="009C5EFD">
                <w:rPr>
                  <w:sz w:val="22"/>
                  <w:szCs w:val="22"/>
                </w:rPr>
                <w:delText>Svært vanlige</w:delText>
              </w:r>
            </w:del>
          </w:p>
          <w:p w14:paraId="08ABFB58" w14:textId="31D18B35" w:rsidR="00B03120" w:rsidRPr="009C5EFD" w:rsidRDefault="00B03120" w:rsidP="002D0790">
            <w:pPr>
              <w:rPr>
                <w:del w:id="1197" w:author="AbbVie02no" w:date="2025-05-15T12:36:00Z"/>
                <w:sz w:val="22"/>
                <w:szCs w:val="22"/>
              </w:rPr>
            </w:pPr>
          </w:p>
          <w:p w14:paraId="48D60BDA" w14:textId="4ED649DE" w:rsidR="00B03120" w:rsidRPr="009C5EFD" w:rsidRDefault="00B03120" w:rsidP="002D0790">
            <w:pPr>
              <w:rPr>
                <w:del w:id="1198" w:author="AbbVie02no" w:date="2025-05-15T12:36:00Z"/>
                <w:sz w:val="22"/>
                <w:szCs w:val="22"/>
              </w:rPr>
            </w:pPr>
          </w:p>
        </w:tc>
        <w:tc>
          <w:tcPr>
            <w:tcW w:w="4294" w:type="dxa"/>
            <w:tcBorders>
              <w:bottom w:val="single" w:sz="4" w:space="0" w:color="auto"/>
            </w:tcBorders>
          </w:tcPr>
          <w:p w14:paraId="56917C77" w14:textId="72227D75" w:rsidR="00B03120" w:rsidRPr="009C5EFD" w:rsidRDefault="00E453CD" w:rsidP="00E14E58">
            <w:pPr>
              <w:autoSpaceDE w:val="0"/>
              <w:autoSpaceDN w:val="0"/>
              <w:adjustRightInd w:val="0"/>
              <w:rPr>
                <w:del w:id="1199" w:author="AbbVie02no" w:date="2025-05-15T12:36:00Z"/>
                <w:sz w:val="22"/>
                <w:szCs w:val="22"/>
              </w:rPr>
            </w:pPr>
            <w:del w:id="1200" w:author="AbbVie02no" w:date="2025-05-15T12:36:00Z">
              <w:r w:rsidRPr="009C5EFD">
                <w:rPr>
                  <w:sz w:val="22"/>
                  <w:szCs w:val="22"/>
                </w:rPr>
                <w:delText>Reaksjoner på injeksjonsstedet (inkludert erytem på injeksjonsstedet)</w:delText>
              </w:r>
            </w:del>
          </w:p>
          <w:p w14:paraId="2660CC01" w14:textId="3033EE30" w:rsidR="00B03120" w:rsidRPr="001F5D4B" w:rsidRDefault="00B03120" w:rsidP="009C5EFD">
            <w:pPr>
              <w:pStyle w:val="Heading9"/>
              <w:spacing w:before="0" w:after="0"/>
              <w:rPr>
                <w:del w:id="1201" w:author="AbbVie02no" w:date="2025-05-15T12:36:00Z"/>
                <w:rFonts w:ascii="Times New Roman" w:hAnsi="Times New Roman" w:cs="Times New Roman"/>
              </w:rPr>
            </w:pPr>
          </w:p>
        </w:tc>
      </w:tr>
      <w:tr w:rsidR="004644D4" w14:paraId="0870BC82" w14:textId="246AE5CA" w:rsidTr="00032240">
        <w:trPr>
          <w:del w:id="1202" w:author="AbbVie02no" w:date="2025-05-15T12:36:00Z"/>
        </w:trPr>
        <w:tc>
          <w:tcPr>
            <w:tcW w:w="3079" w:type="dxa"/>
            <w:vMerge/>
          </w:tcPr>
          <w:p w14:paraId="287B334C" w14:textId="282D8421" w:rsidR="00B03120" w:rsidRPr="009C5EFD" w:rsidRDefault="00B03120" w:rsidP="009C5EFD">
            <w:pPr>
              <w:rPr>
                <w:del w:id="1203" w:author="AbbVie02no" w:date="2025-05-15T12:36:00Z"/>
                <w:sz w:val="22"/>
                <w:szCs w:val="22"/>
              </w:rPr>
            </w:pPr>
          </w:p>
        </w:tc>
        <w:tc>
          <w:tcPr>
            <w:tcW w:w="1682" w:type="dxa"/>
            <w:tcBorders>
              <w:top w:val="single" w:sz="4" w:space="0" w:color="auto"/>
              <w:bottom w:val="single" w:sz="4" w:space="0" w:color="auto"/>
            </w:tcBorders>
          </w:tcPr>
          <w:p w14:paraId="196BC0C8" w14:textId="3294EC20" w:rsidR="00B03120" w:rsidRPr="009C5EFD" w:rsidRDefault="00E453CD" w:rsidP="009C5EFD">
            <w:pPr>
              <w:rPr>
                <w:del w:id="1204" w:author="AbbVie02no" w:date="2025-05-15T12:36:00Z"/>
                <w:sz w:val="22"/>
                <w:szCs w:val="22"/>
              </w:rPr>
            </w:pPr>
            <w:del w:id="1205" w:author="AbbVie02no" w:date="2025-05-15T12:36:00Z">
              <w:r w:rsidRPr="009C5EFD">
                <w:rPr>
                  <w:sz w:val="22"/>
                  <w:szCs w:val="22"/>
                </w:rPr>
                <w:delText>Vanlige</w:delText>
              </w:r>
            </w:del>
          </w:p>
          <w:p w14:paraId="55CF67C9" w14:textId="16335CF9" w:rsidR="00B03120" w:rsidRPr="009C5EFD" w:rsidRDefault="00B03120" w:rsidP="009C5EFD">
            <w:pPr>
              <w:rPr>
                <w:del w:id="1206" w:author="AbbVie02no" w:date="2025-05-15T12:36:00Z"/>
                <w:sz w:val="22"/>
                <w:szCs w:val="22"/>
              </w:rPr>
            </w:pPr>
          </w:p>
        </w:tc>
        <w:tc>
          <w:tcPr>
            <w:tcW w:w="4294" w:type="dxa"/>
            <w:tcBorders>
              <w:top w:val="single" w:sz="4" w:space="0" w:color="auto"/>
              <w:bottom w:val="single" w:sz="4" w:space="0" w:color="auto"/>
            </w:tcBorders>
          </w:tcPr>
          <w:p w14:paraId="10CD6D87" w14:textId="0C854EC3" w:rsidR="00B03120" w:rsidRPr="009C5EFD" w:rsidRDefault="00E453CD" w:rsidP="009C5EFD">
            <w:pPr>
              <w:autoSpaceDE w:val="0"/>
              <w:autoSpaceDN w:val="0"/>
              <w:adjustRightInd w:val="0"/>
              <w:rPr>
                <w:del w:id="1207" w:author="AbbVie02no" w:date="2025-05-15T12:36:00Z"/>
                <w:sz w:val="22"/>
                <w:szCs w:val="22"/>
              </w:rPr>
            </w:pPr>
            <w:del w:id="1208" w:author="AbbVie02no" w:date="2025-05-15T12:36:00Z">
              <w:r w:rsidRPr="009C5EFD">
                <w:rPr>
                  <w:sz w:val="22"/>
                  <w:szCs w:val="22"/>
                </w:rPr>
                <w:delText>Brystsmerter, ødem, pyreksi</w:delText>
              </w:r>
              <w:r w:rsidRPr="009C5EFD">
                <w:rPr>
                  <w:sz w:val="22"/>
                  <w:szCs w:val="22"/>
                  <w:vertAlign w:val="superscript"/>
                </w:rPr>
                <w:delText>1)</w:delText>
              </w:r>
            </w:del>
          </w:p>
          <w:p w14:paraId="33EF8FE9" w14:textId="712B47B5" w:rsidR="00B03120" w:rsidRPr="009C5EFD" w:rsidRDefault="00B03120" w:rsidP="009C5EFD">
            <w:pPr>
              <w:autoSpaceDE w:val="0"/>
              <w:autoSpaceDN w:val="0"/>
              <w:adjustRightInd w:val="0"/>
              <w:rPr>
                <w:del w:id="1209" w:author="AbbVie02no" w:date="2025-05-15T12:36:00Z"/>
                <w:sz w:val="22"/>
                <w:szCs w:val="22"/>
              </w:rPr>
            </w:pPr>
          </w:p>
        </w:tc>
      </w:tr>
      <w:tr w:rsidR="004644D4" w14:paraId="198065B0" w14:textId="47A9D2FD" w:rsidTr="00032240">
        <w:trPr>
          <w:del w:id="1210" w:author="AbbVie02no" w:date="2025-05-15T12:36:00Z"/>
        </w:trPr>
        <w:tc>
          <w:tcPr>
            <w:tcW w:w="3079" w:type="dxa"/>
            <w:vMerge/>
          </w:tcPr>
          <w:p w14:paraId="67FC790D" w14:textId="33FE33C0" w:rsidR="00B03120" w:rsidRPr="009C5EFD" w:rsidRDefault="00B03120" w:rsidP="009C5EFD">
            <w:pPr>
              <w:rPr>
                <w:del w:id="1211" w:author="AbbVie02no" w:date="2025-05-15T12:36:00Z"/>
                <w:sz w:val="22"/>
                <w:szCs w:val="22"/>
              </w:rPr>
            </w:pPr>
          </w:p>
        </w:tc>
        <w:tc>
          <w:tcPr>
            <w:tcW w:w="1682" w:type="dxa"/>
            <w:tcBorders>
              <w:top w:val="single" w:sz="4" w:space="0" w:color="auto"/>
            </w:tcBorders>
          </w:tcPr>
          <w:p w14:paraId="5BBCDFE8" w14:textId="30BD702D" w:rsidR="00B03120" w:rsidRPr="009C5EFD" w:rsidRDefault="00E453CD" w:rsidP="009C5EFD">
            <w:pPr>
              <w:rPr>
                <w:del w:id="1212" w:author="AbbVie02no" w:date="2025-05-15T12:36:00Z"/>
                <w:sz w:val="22"/>
                <w:szCs w:val="22"/>
              </w:rPr>
            </w:pPr>
            <w:del w:id="1213" w:author="AbbVie02no" w:date="2025-05-15T12:36:00Z">
              <w:r w:rsidRPr="009C5EFD">
                <w:rPr>
                  <w:sz w:val="22"/>
                  <w:szCs w:val="22"/>
                </w:rPr>
                <w:delText>Mindre vanlige</w:delText>
              </w:r>
            </w:del>
          </w:p>
        </w:tc>
        <w:tc>
          <w:tcPr>
            <w:tcW w:w="4294" w:type="dxa"/>
            <w:tcBorders>
              <w:top w:val="single" w:sz="4" w:space="0" w:color="auto"/>
            </w:tcBorders>
          </w:tcPr>
          <w:p w14:paraId="77E6AE9B" w14:textId="0A1B0C05" w:rsidR="00B03120" w:rsidRPr="009C5EFD" w:rsidRDefault="00E453CD" w:rsidP="009C5EFD">
            <w:pPr>
              <w:pStyle w:val="Heading9"/>
              <w:spacing w:before="0" w:after="0"/>
              <w:rPr>
                <w:del w:id="1214" w:author="AbbVie02no" w:date="2025-05-15T12:36:00Z"/>
                <w:rFonts w:ascii="Times New Roman" w:hAnsi="Times New Roman" w:cs="Times New Roman"/>
              </w:rPr>
            </w:pPr>
            <w:del w:id="1215" w:author="AbbVie02no" w:date="2025-05-15T12:36:00Z">
              <w:r w:rsidRPr="009C5EFD">
                <w:rPr>
                  <w:rFonts w:ascii="Times New Roman" w:hAnsi="Times New Roman" w:cs="Times New Roman"/>
                </w:rPr>
                <w:delText xml:space="preserve">Inflammasjon </w:delText>
              </w:r>
            </w:del>
          </w:p>
          <w:p w14:paraId="67C55CA7" w14:textId="4AA8C567" w:rsidR="00B03120" w:rsidRPr="009C5EFD" w:rsidRDefault="00B03120" w:rsidP="009C5EFD">
            <w:pPr>
              <w:autoSpaceDE w:val="0"/>
              <w:autoSpaceDN w:val="0"/>
              <w:adjustRightInd w:val="0"/>
              <w:rPr>
                <w:del w:id="1216" w:author="AbbVie02no" w:date="2025-05-15T12:36:00Z"/>
                <w:sz w:val="22"/>
                <w:szCs w:val="22"/>
              </w:rPr>
            </w:pPr>
          </w:p>
        </w:tc>
      </w:tr>
      <w:tr w:rsidR="004644D4" w14:paraId="3BDD0EEF" w14:textId="723C942B" w:rsidTr="00032240">
        <w:trPr>
          <w:del w:id="1217" w:author="AbbVie02no" w:date="2025-05-15T12:36:00Z"/>
        </w:trPr>
        <w:tc>
          <w:tcPr>
            <w:tcW w:w="3079" w:type="dxa"/>
            <w:vMerge w:val="restart"/>
          </w:tcPr>
          <w:p w14:paraId="6DC9BD71" w14:textId="58E3854C" w:rsidR="00B64797" w:rsidRPr="009C5EFD" w:rsidRDefault="00E453CD" w:rsidP="007F67EE">
            <w:pPr>
              <w:rPr>
                <w:del w:id="1218" w:author="AbbVie02no" w:date="2025-05-15T12:36:00Z"/>
                <w:sz w:val="22"/>
                <w:szCs w:val="22"/>
              </w:rPr>
            </w:pPr>
            <w:del w:id="1219" w:author="AbbVie02no" w:date="2025-05-15T12:36:00Z">
              <w:r w:rsidRPr="009C5EFD">
                <w:rPr>
                  <w:sz w:val="22"/>
                  <w:szCs w:val="22"/>
                </w:rPr>
                <w:delText>Undersøkelser*</w:delText>
              </w:r>
            </w:del>
          </w:p>
        </w:tc>
        <w:tc>
          <w:tcPr>
            <w:tcW w:w="1682" w:type="dxa"/>
          </w:tcPr>
          <w:p w14:paraId="6F759434" w14:textId="0F1E71CB" w:rsidR="00B64797" w:rsidRPr="009C5EFD" w:rsidRDefault="00E453CD" w:rsidP="007F67EE">
            <w:pPr>
              <w:pStyle w:val="EndnoteText"/>
              <w:tabs>
                <w:tab w:val="clear" w:pos="567"/>
              </w:tabs>
              <w:rPr>
                <w:del w:id="1220" w:author="AbbVie02no" w:date="2025-05-15T12:36:00Z"/>
                <w:szCs w:val="22"/>
                <w:lang w:val="nb-NO"/>
              </w:rPr>
            </w:pPr>
            <w:del w:id="1221" w:author="AbbVie02no" w:date="2025-05-15T12:36:00Z">
              <w:r w:rsidRPr="009C5EFD">
                <w:rPr>
                  <w:szCs w:val="22"/>
                  <w:lang w:val="nb-NO"/>
                </w:rPr>
                <w:delText>Vanlige</w:delText>
              </w:r>
            </w:del>
          </w:p>
          <w:p w14:paraId="0CC38E59" w14:textId="1E00222F" w:rsidR="00B64797" w:rsidRPr="009C5EFD" w:rsidRDefault="00B64797" w:rsidP="00193D76">
            <w:pPr>
              <w:rPr>
                <w:del w:id="1222" w:author="AbbVie02no" w:date="2025-05-15T12:36:00Z"/>
                <w:sz w:val="22"/>
                <w:szCs w:val="22"/>
              </w:rPr>
            </w:pPr>
          </w:p>
        </w:tc>
        <w:tc>
          <w:tcPr>
            <w:tcW w:w="4294" w:type="dxa"/>
          </w:tcPr>
          <w:p w14:paraId="45389EC2" w14:textId="3F2B4B47" w:rsidR="00B64797" w:rsidRPr="009C5EFD" w:rsidRDefault="00E453CD" w:rsidP="002D0790">
            <w:pPr>
              <w:autoSpaceDE w:val="0"/>
              <w:autoSpaceDN w:val="0"/>
              <w:adjustRightInd w:val="0"/>
              <w:rPr>
                <w:del w:id="1223" w:author="AbbVie02no" w:date="2025-05-15T12:36:00Z"/>
                <w:sz w:val="22"/>
                <w:szCs w:val="22"/>
              </w:rPr>
            </w:pPr>
            <w:del w:id="1224" w:author="AbbVie02no" w:date="2025-05-15T12:36:00Z">
              <w:r w:rsidRPr="009C5EFD">
                <w:rPr>
                  <w:sz w:val="22"/>
                  <w:szCs w:val="22"/>
                </w:rPr>
                <w:delText>Koagulasjons- og blødningsforstyrrelser (inkludert forlenget aktivert partiell tromboplastintid), positiv test på autoantistoff (inkludert dobbel</w:delText>
              </w:r>
              <w:r>
                <w:rPr>
                  <w:sz w:val="22"/>
                  <w:szCs w:val="22"/>
                </w:rPr>
                <w:delText>t</w:delText>
              </w:r>
              <w:r w:rsidRPr="009C5EFD">
                <w:rPr>
                  <w:sz w:val="22"/>
                  <w:szCs w:val="22"/>
                </w:rPr>
                <w:delText>kjedet DNA</w:delText>
              </w:r>
              <w:r>
                <w:rPr>
                  <w:sz w:val="22"/>
                  <w:szCs w:val="22"/>
                </w:rPr>
                <w:delText xml:space="preserve"> antistoff</w:delText>
              </w:r>
              <w:r w:rsidRPr="009C5EFD">
                <w:rPr>
                  <w:sz w:val="22"/>
                  <w:szCs w:val="22"/>
                </w:rPr>
                <w:delText xml:space="preserve">), forhøyet laktatdehydrogenase i blod </w:delText>
              </w:r>
            </w:del>
          </w:p>
          <w:p w14:paraId="282F5BAF" w14:textId="7AF3B390" w:rsidR="00B64797" w:rsidRPr="009C5EFD" w:rsidRDefault="00B64797" w:rsidP="002D0790">
            <w:pPr>
              <w:pStyle w:val="EndnoteText"/>
              <w:tabs>
                <w:tab w:val="clear" w:pos="567"/>
              </w:tabs>
              <w:rPr>
                <w:del w:id="1225" w:author="AbbVie02no" w:date="2025-05-15T12:36:00Z"/>
                <w:szCs w:val="22"/>
                <w:lang w:val="nb-NO"/>
              </w:rPr>
            </w:pPr>
          </w:p>
        </w:tc>
      </w:tr>
      <w:tr w:rsidR="004644D4" w14:paraId="2F9B514D" w14:textId="48A7E5B9" w:rsidTr="00B64797">
        <w:trPr>
          <w:del w:id="1226" w:author="AbbVie02no" w:date="2025-05-15T12:36:00Z"/>
        </w:trPr>
        <w:tc>
          <w:tcPr>
            <w:tcW w:w="3079" w:type="dxa"/>
            <w:vMerge/>
          </w:tcPr>
          <w:p w14:paraId="2A92AFCE" w14:textId="190D3560" w:rsidR="00B64797" w:rsidRPr="009C5EFD" w:rsidRDefault="00B64797" w:rsidP="007F67EE">
            <w:pPr>
              <w:rPr>
                <w:del w:id="1227" w:author="AbbVie02no" w:date="2025-05-15T12:36:00Z"/>
                <w:sz w:val="22"/>
                <w:szCs w:val="22"/>
              </w:rPr>
            </w:pPr>
          </w:p>
        </w:tc>
        <w:tc>
          <w:tcPr>
            <w:tcW w:w="1682" w:type="dxa"/>
          </w:tcPr>
          <w:p w14:paraId="586F4887" w14:textId="73B9FB11" w:rsidR="00B64797" w:rsidRPr="009C5EFD" w:rsidRDefault="00E453CD" w:rsidP="007F67EE">
            <w:pPr>
              <w:pStyle w:val="EndnoteText"/>
              <w:tabs>
                <w:tab w:val="clear" w:pos="567"/>
              </w:tabs>
              <w:rPr>
                <w:del w:id="1228" w:author="AbbVie02no" w:date="2025-05-15T12:36:00Z"/>
                <w:szCs w:val="22"/>
                <w:lang w:val="nb-NO"/>
              </w:rPr>
            </w:pPr>
            <w:del w:id="1229" w:author="AbbVie02no" w:date="2025-05-15T12:36:00Z">
              <w:r>
                <w:rPr>
                  <w:szCs w:val="22"/>
                  <w:lang w:val="nb-NO"/>
                </w:rPr>
                <w:delText>Ikke kjent</w:delText>
              </w:r>
            </w:del>
          </w:p>
        </w:tc>
        <w:tc>
          <w:tcPr>
            <w:tcW w:w="4294" w:type="dxa"/>
          </w:tcPr>
          <w:p w14:paraId="403E42F4" w14:textId="3EC5E325" w:rsidR="00B64797" w:rsidRPr="009C5EFD" w:rsidRDefault="00E453CD" w:rsidP="002D0790">
            <w:pPr>
              <w:autoSpaceDE w:val="0"/>
              <w:autoSpaceDN w:val="0"/>
              <w:adjustRightInd w:val="0"/>
              <w:rPr>
                <w:del w:id="1230" w:author="AbbVie02no" w:date="2025-05-15T12:36:00Z"/>
                <w:sz w:val="22"/>
                <w:szCs w:val="22"/>
              </w:rPr>
            </w:pPr>
            <w:del w:id="1231" w:author="AbbVie02no" w:date="2025-05-15T12:36:00Z">
              <w:r>
                <w:rPr>
                  <w:sz w:val="22"/>
                  <w:szCs w:val="22"/>
                </w:rPr>
                <w:delText>Økt vekt</w:delText>
              </w:r>
              <w:r w:rsidRPr="00910EAF">
                <w:rPr>
                  <w:sz w:val="22"/>
                  <w:szCs w:val="22"/>
                  <w:vertAlign w:val="superscript"/>
                </w:rPr>
                <w:delText>2)</w:delText>
              </w:r>
            </w:del>
          </w:p>
        </w:tc>
      </w:tr>
      <w:tr w:rsidR="004644D4" w14:paraId="1C9FD0B8" w14:textId="700F9E48" w:rsidTr="00032240">
        <w:trPr>
          <w:del w:id="1232" w:author="AbbVie02no" w:date="2025-05-15T12:36:00Z"/>
        </w:trPr>
        <w:tc>
          <w:tcPr>
            <w:tcW w:w="3079" w:type="dxa"/>
          </w:tcPr>
          <w:p w14:paraId="748AB576" w14:textId="747442A1" w:rsidR="00B03120" w:rsidRPr="009C5EFD" w:rsidRDefault="00E453CD" w:rsidP="007F67EE">
            <w:pPr>
              <w:rPr>
                <w:del w:id="1233" w:author="AbbVie02no" w:date="2025-05-15T12:36:00Z"/>
                <w:sz w:val="22"/>
                <w:szCs w:val="22"/>
              </w:rPr>
            </w:pPr>
            <w:del w:id="1234" w:author="AbbVie02no" w:date="2025-05-15T12:36:00Z">
              <w:r w:rsidRPr="009C5EFD">
                <w:rPr>
                  <w:sz w:val="22"/>
                  <w:szCs w:val="22"/>
                </w:rPr>
                <w:delText xml:space="preserve">Skader, forgiftninger og </w:delText>
              </w:r>
              <w:r w:rsidR="001A6CA6">
                <w:rPr>
                  <w:sz w:val="22"/>
                  <w:szCs w:val="22"/>
                </w:rPr>
                <w:delText xml:space="preserve">komplikasjoner ved medisinske prosedyrer </w:delText>
              </w:r>
            </w:del>
          </w:p>
        </w:tc>
        <w:tc>
          <w:tcPr>
            <w:tcW w:w="1682" w:type="dxa"/>
          </w:tcPr>
          <w:p w14:paraId="08605C71" w14:textId="78131BE9" w:rsidR="00B03120" w:rsidRPr="009C5EFD" w:rsidRDefault="00E453CD" w:rsidP="007F67EE">
            <w:pPr>
              <w:rPr>
                <w:del w:id="1235" w:author="AbbVie02no" w:date="2025-05-15T12:36:00Z"/>
                <w:sz w:val="22"/>
                <w:szCs w:val="22"/>
              </w:rPr>
            </w:pPr>
            <w:del w:id="1236" w:author="AbbVie02no" w:date="2025-05-15T12:36:00Z">
              <w:r w:rsidRPr="009C5EFD">
                <w:rPr>
                  <w:sz w:val="22"/>
                  <w:szCs w:val="22"/>
                </w:rPr>
                <w:delText>Vanlige</w:delText>
              </w:r>
            </w:del>
          </w:p>
        </w:tc>
        <w:tc>
          <w:tcPr>
            <w:tcW w:w="4294" w:type="dxa"/>
          </w:tcPr>
          <w:p w14:paraId="73C7162B" w14:textId="5B3ECB49" w:rsidR="00B03120" w:rsidRPr="009C5EFD" w:rsidRDefault="00E453CD" w:rsidP="00193D76">
            <w:pPr>
              <w:autoSpaceDE w:val="0"/>
              <w:autoSpaceDN w:val="0"/>
              <w:adjustRightInd w:val="0"/>
              <w:rPr>
                <w:del w:id="1237" w:author="AbbVie02no" w:date="2025-05-15T12:36:00Z"/>
                <w:sz w:val="22"/>
                <w:szCs w:val="22"/>
              </w:rPr>
            </w:pPr>
            <w:del w:id="1238" w:author="AbbVie02no" w:date="2025-05-15T12:36:00Z">
              <w:r>
                <w:rPr>
                  <w:sz w:val="22"/>
                  <w:szCs w:val="22"/>
                </w:rPr>
                <w:delText>Nedsatt</w:delText>
              </w:r>
              <w:r w:rsidRPr="009C5EFD">
                <w:rPr>
                  <w:sz w:val="22"/>
                  <w:szCs w:val="22"/>
                </w:rPr>
                <w:delText xml:space="preserve"> tilhelning </w:delText>
              </w:r>
            </w:del>
          </w:p>
          <w:p w14:paraId="37AA5586" w14:textId="13098A69" w:rsidR="00B03120" w:rsidRPr="009C5EFD" w:rsidRDefault="00B03120" w:rsidP="002D0790">
            <w:pPr>
              <w:rPr>
                <w:del w:id="1239" w:author="AbbVie02no" w:date="2025-05-15T12:36:00Z"/>
                <w:sz w:val="22"/>
                <w:szCs w:val="22"/>
              </w:rPr>
            </w:pPr>
          </w:p>
        </w:tc>
      </w:tr>
    </w:tbl>
    <w:p w14:paraId="3A16F0EB" w14:textId="6698223E" w:rsidR="002303FD" w:rsidRPr="009C5EFD" w:rsidRDefault="00E453CD" w:rsidP="007F67EE">
      <w:pPr>
        <w:rPr>
          <w:del w:id="1240" w:author="AbbVie02no" w:date="2025-05-15T12:36:00Z"/>
          <w:sz w:val="22"/>
          <w:szCs w:val="22"/>
        </w:rPr>
      </w:pPr>
      <w:del w:id="1241" w:author="AbbVie02no" w:date="2025-05-15T12:36:00Z">
        <w:r w:rsidRPr="009C5EFD">
          <w:rPr>
            <w:sz w:val="22"/>
            <w:szCs w:val="22"/>
          </w:rPr>
          <w:delText xml:space="preserve">* ytterligere informasjon </w:delText>
        </w:r>
        <w:r w:rsidR="00F81BAD" w:rsidRPr="009C5EFD">
          <w:rPr>
            <w:sz w:val="22"/>
            <w:szCs w:val="22"/>
          </w:rPr>
          <w:delText>finnes</w:delText>
        </w:r>
        <w:r w:rsidRPr="009C5EFD">
          <w:rPr>
            <w:sz w:val="22"/>
            <w:szCs w:val="22"/>
          </w:rPr>
          <w:delText xml:space="preserve"> i </w:delText>
        </w:r>
        <w:r w:rsidR="00ED6DD4">
          <w:rPr>
            <w:sz w:val="22"/>
            <w:szCs w:val="22"/>
          </w:rPr>
          <w:delText>pkt.</w:delText>
        </w:r>
        <w:r w:rsidRPr="009C5EFD">
          <w:rPr>
            <w:sz w:val="22"/>
            <w:szCs w:val="22"/>
          </w:rPr>
          <w:delText xml:space="preserve"> 4.3, 4.4. og 4.8</w:delText>
        </w:r>
      </w:del>
    </w:p>
    <w:p w14:paraId="1D254B8D" w14:textId="5B67C143" w:rsidR="002303FD" w:rsidRPr="009C5EFD" w:rsidRDefault="00E453CD" w:rsidP="007F67EE">
      <w:pPr>
        <w:rPr>
          <w:del w:id="1242" w:author="AbbVie02no" w:date="2025-05-15T12:36:00Z"/>
          <w:sz w:val="22"/>
          <w:szCs w:val="22"/>
        </w:rPr>
      </w:pPr>
      <w:del w:id="1243" w:author="AbbVie02no" w:date="2025-05-15T12:36:00Z">
        <w:r w:rsidRPr="009C5EFD">
          <w:rPr>
            <w:sz w:val="22"/>
            <w:szCs w:val="22"/>
          </w:rPr>
          <w:delText xml:space="preserve">** </w:delText>
        </w:r>
        <w:r w:rsidR="00F4792F" w:rsidRPr="009C5EFD">
          <w:rPr>
            <w:sz w:val="22"/>
            <w:szCs w:val="22"/>
          </w:rPr>
          <w:delText>inkludert</w:delText>
        </w:r>
        <w:r w:rsidRPr="009C5EFD">
          <w:rPr>
            <w:sz w:val="22"/>
            <w:szCs w:val="22"/>
          </w:rPr>
          <w:delText xml:space="preserve"> </w:delText>
        </w:r>
        <w:r w:rsidR="00ED6DD4">
          <w:rPr>
            <w:sz w:val="22"/>
            <w:szCs w:val="22"/>
          </w:rPr>
          <w:delText>åpne forlengelsesstudier</w:delText>
        </w:r>
      </w:del>
    </w:p>
    <w:p w14:paraId="3AD03471" w14:textId="7ADD11C0" w:rsidR="00832860" w:rsidRDefault="00E453CD" w:rsidP="00193D76">
      <w:pPr>
        <w:rPr>
          <w:del w:id="1244" w:author="AbbVie02no" w:date="2025-05-15T12:36:00Z"/>
          <w:sz w:val="22"/>
          <w:szCs w:val="22"/>
        </w:rPr>
      </w:pPr>
      <w:del w:id="1245" w:author="AbbVie02no" w:date="2025-05-15T12:36:00Z">
        <w:r w:rsidRPr="009C5EFD">
          <w:rPr>
            <w:sz w:val="22"/>
            <w:szCs w:val="22"/>
            <w:vertAlign w:val="superscript"/>
          </w:rPr>
          <w:delText>1)</w:delText>
        </w:r>
        <w:r w:rsidRPr="009C5EFD">
          <w:rPr>
            <w:sz w:val="22"/>
            <w:szCs w:val="22"/>
          </w:rPr>
          <w:delText xml:space="preserve"> inkluderer data fra spontanrapportering</w:delText>
        </w:r>
      </w:del>
    </w:p>
    <w:p w14:paraId="6078B32F" w14:textId="6DF1A4A9" w:rsidR="00B64797" w:rsidRPr="009C5EFD" w:rsidRDefault="00E453CD" w:rsidP="00B64797">
      <w:pPr>
        <w:rPr>
          <w:del w:id="1246" w:author="AbbVie02no" w:date="2025-05-15T12:36:00Z"/>
          <w:sz w:val="22"/>
          <w:szCs w:val="22"/>
        </w:rPr>
      </w:pPr>
      <w:del w:id="1247" w:author="AbbVie02no" w:date="2025-05-15T12:36:00Z">
        <w:r w:rsidRPr="00910EAF">
          <w:rPr>
            <w:sz w:val="22"/>
            <w:szCs w:val="22"/>
            <w:vertAlign w:val="superscript"/>
          </w:rPr>
          <w:delText>2)</w:delText>
        </w:r>
        <w:r w:rsidRPr="00E57788">
          <w:rPr>
            <w:sz w:val="22"/>
            <w:szCs w:val="22"/>
          </w:rPr>
          <w:delText xml:space="preserve"> I løpet av en behandlingsperiode på 4-6 uker lå den gjennomsnittlige vektendringen fra utgangspunktet på mellom 0,3 kg og 1,0 kg for adalimumab sammenlignet med mellom -0,4 kg og 0,4 kg for placebo ved indikasjoner til voksne. En vektøkning på 5-6 kg er også observert i langtids utvidelsesstudier med gjennomsnittlig eksponeringstid på omtrent 1-2 år uten kontrollgruppe, spesielt hos pasienter med Crohns sykdom og ulcerøs kolitt. Mekanismen bak denne effekten er uklar, men kan ha sammenheng med adalimumabs antiinflammatoriske virkning.</w:delText>
        </w:r>
      </w:del>
    </w:p>
    <w:p w14:paraId="117EEDA4" w14:textId="6A46D2EA" w:rsidR="00227206" w:rsidRDefault="00227206" w:rsidP="002D0790">
      <w:pPr>
        <w:pStyle w:val="Heading8"/>
        <w:keepNext w:val="0"/>
        <w:rPr>
          <w:del w:id="1248" w:author="AbbVie02no" w:date="2025-05-15T12:36:00Z"/>
          <w:szCs w:val="22"/>
        </w:rPr>
      </w:pPr>
    </w:p>
    <w:p w14:paraId="4D6F5EB4" w14:textId="04BC0F0E" w:rsidR="00D77AF2" w:rsidRPr="009C5EFD" w:rsidRDefault="00E453CD">
      <w:pPr>
        <w:tabs>
          <w:tab w:val="left" w:pos="562"/>
        </w:tabs>
        <w:suppressAutoHyphens/>
        <w:rPr>
          <w:del w:id="1249" w:author="AbbVie02no" w:date="2025-05-15T12:36:00Z"/>
          <w:sz w:val="22"/>
          <w:szCs w:val="22"/>
          <w:u w:val="single"/>
        </w:rPr>
      </w:pPr>
      <w:del w:id="1250" w:author="AbbVie02no" w:date="2025-05-15T12:36:00Z">
        <w:r w:rsidRPr="009C5EFD">
          <w:rPr>
            <w:sz w:val="22"/>
            <w:szCs w:val="22"/>
            <w:u w:val="single"/>
          </w:rPr>
          <w:delText>Hidrosadenitt</w:delText>
        </w:r>
      </w:del>
    </w:p>
    <w:p w14:paraId="44910D16" w14:textId="3D9A3B84" w:rsidR="00D77AF2" w:rsidRPr="009C5EFD" w:rsidRDefault="00D77AF2">
      <w:pPr>
        <w:rPr>
          <w:del w:id="1251" w:author="AbbVie02no" w:date="2025-05-15T12:36:00Z"/>
          <w:sz w:val="22"/>
          <w:szCs w:val="22"/>
        </w:rPr>
      </w:pPr>
    </w:p>
    <w:p w14:paraId="0BAFDBD6" w14:textId="0E736ED8" w:rsidR="00D77AF2" w:rsidRDefault="00E453CD" w:rsidP="00D77AF2">
      <w:pPr>
        <w:rPr>
          <w:del w:id="1252" w:author="AbbVie02no" w:date="2025-05-15T12:36:00Z"/>
          <w:sz w:val="22"/>
          <w:szCs w:val="22"/>
        </w:rPr>
      </w:pPr>
      <w:del w:id="1253" w:author="AbbVie02no" w:date="2025-05-15T12:36:00Z">
        <w:r w:rsidRPr="009C5EFD">
          <w:rPr>
            <w:sz w:val="22"/>
            <w:szCs w:val="22"/>
          </w:rPr>
          <w:delText>Sikkerhetsprofilen for pasienter med HS behandlet med Humira ukentlig er i overensstemmelse med den kjente sikkerhetsprofilen til Humira.</w:delText>
        </w:r>
      </w:del>
    </w:p>
    <w:p w14:paraId="74916839" w14:textId="7D700E76" w:rsidR="00D77AF2" w:rsidRDefault="00D77AF2" w:rsidP="00D77AF2">
      <w:pPr>
        <w:rPr>
          <w:del w:id="1254" w:author="AbbVie02no" w:date="2025-05-15T12:36:00Z"/>
          <w:sz w:val="22"/>
          <w:szCs w:val="22"/>
        </w:rPr>
      </w:pPr>
    </w:p>
    <w:p w14:paraId="0958377D" w14:textId="2A247072" w:rsidR="00D77AF2" w:rsidRPr="001F5D4B" w:rsidRDefault="00E453CD">
      <w:pPr>
        <w:pStyle w:val="EMEANormal"/>
        <w:rPr>
          <w:del w:id="1255" w:author="AbbVie02no" w:date="2025-05-15T12:36:00Z"/>
          <w:szCs w:val="22"/>
          <w:u w:val="single"/>
          <w:lang w:val="nb-NO"/>
        </w:rPr>
      </w:pPr>
      <w:del w:id="1256" w:author="AbbVie02no" w:date="2025-05-15T12:36:00Z">
        <w:r>
          <w:rPr>
            <w:szCs w:val="22"/>
            <w:u w:val="single"/>
            <w:lang w:val="nb-NO"/>
          </w:rPr>
          <w:delText>Uveitt</w:delText>
        </w:r>
      </w:del>
    </w:p>
    <w:p w14:paraId="185575BA" w14:textId="52FA94D6" w:rsidR="00D77AF2" w:rsidRPr="007F67EE" w:rsidRDefault="00D77AF2">
      <w:pPr>
        <w:rPr>
          <w:del w:id="1257" w:author="AbbVie02no" w:date="2025-05-15T12:36:00Z"/>
          <w:sz w:val="22"/>
          <w:szCs w:val="22"/>
        </w:rPr>
      </w:pPr>
    </w:p>
    <w:p w14:paraId="219226B5" w14:textId="22CAB088" w:rsidR="00D77AF2" w:rsidRPr="009C5EFD" w:rsidRDefault="00E453CD" w:rsidP="00D77AF2">
      <w:pPr>
        <w:rPr>
          <w:del w:id="1258" w:author="AbbVie02no" w:date="2025-05-15T12:36:00Z"/>
          <w:sz w:val="22"/>
          <w:szCs w:val="22"/>
        </w:rPr>
      </w:pPr>
      <w:del w:id="1259" w:author="AbbVie02no" w:date="2025-05-15T12:36:00Z">
        <w:r w:rsidRPr="00193D76">
          <w:rPr>
            <w:sz w:val="22"/>
            <w:szCs w:val="22"/>
          </w:rPr>
          <w:delText xml:space="preserve">Sikkerhetsprofilen for pasienter med </w:delText>
        </w:r>
        <w:r>
          <w:rPr>
            <w:sz w:val="22"/>
            <w:szCs w:val="22"/>
          </w:rPr>
          <w:delText>uveitt</w:delText>
        </w:r>
        <w:r w:rsidRPr="002D0790">
          <w:rPr>
            <w:sz w:val="22"/>
            <w:szCs w:val="22"/>
          </w:rPr>
          <w:delText xml:space="preserve"> behandlet med Humira </w:delText>
        </w:r>
        <w:r>
          <w:rPr>
            <w:sz w:val="22"/>
            <w:szCs w:val="22"/>
          </w:rPr>
          <w:delText>annenhver uke</w:delText>
        </w:r>
        <w:r w:rsidRPr="002D0790">
          <w:rPr>
            <w:sz w:val="22"/>
            <w:szCs w:val="22"/>
          </w:rPr>
          <w:delText xml:space="preserve"> er i overensstemmelse med den kjente sikkerhetsprofilen til Humira.</w:delText>
        </w:r>
      </w:del>
    </w:p>
    <w:p w14:paraId="7EE3A1D3" w14:textId="54E3172A" w:rsidR="00D77AF2" w:rsidRPr="00E90360" w:rsidRDefault="00D77AF2" w:rsidP="00AB7697">
      <w:pPr>
        <w:rPr>
          <w:del w:id="1260" w:author="AbbVie02no" w:date="2025-05-15T12:36:00Z"/>
        </w:rPr>
      </w:pPr>
    </w:p>
    <w:p w14:paraId="7DC42511" w14:textId="406929A4" w:rsidR="003F7E45" w:rsidRPr="009C5EFD" w:rsidRDefault="00E453CD" w:rsidP="001F5D4B">
      <w:pPr>
        <w:pStyle w:val="Heading8"/>
        <w:rPr>
          <w:del w:id="1261" w:author="AbbVie02no" w:date="2025-05-15T12:36:00Z"/>
          <w:szCs w:val="22"/>
        </w:rPr>
      </w:pPr>
      <w:del w:id="1262" w:author="AbbVie02no" w:date="2025-05-15T12:36:00Z">
        <w:r w:rsidRPr="009C5EFD">
          <w:rPr>
            <w:szCs w:val="22"/>
          </w:rPr>
          <w:delText>Beskrivelse av utvalgte bivirkninger</w:delText>
        </w:r>
      </w:del>
    </w:p>
    <w:p w14:paraId="68CF0279" w14:textId="1D6F557E" w:rsidR="003F7E45" w:rsidRPr="009C5EFD" w:rsidRDefault="003F7E45" w:rsidP="001F5D4B">
      <w:pPr>
        <w:pStyle w:val="Heading8"/>
        <w:rPr>
          <w:del w:id="1263" w:author="AbbVie02no" w:date="2025-05-15T12:36:00Z"/>
          <w:szCs w:val="22"/>
        </w:rPr>
      </w:pPr>
    </w:p>
    <w:p w14:paraId="689EBB30" w14:textId="60313767" w:rsidR="00DE3458" w:rsidRPr="007F67EE" w:rsidRDefault="00E453CD" w:rsidP="001F5D4B">
      <w:pPr>
        <w:pStyle w:val="Heading8"/>
        <w:rPr>
          <w:del w:id="1264" w:author="AbbVie02no" w:date="2025-05-15T12:36:00Z"/>
          <w:szCs w:val="22"/>
        </w:rPr>
      </w:pPr>
      <w:del w:id="1265" w:author="AbbVie02no" w:date="2025-05-15T12:36:00Z">
        <w:r w:rsidRPr="001F5D4B">
          <w:rPr>
            <w:i/>
            <w:szCs w:val="22"/>
            <w:u w:val="none"/>
          </w:rPr>
          <w:delText>Reaksjoner på injeksjonsstedet</w:delText>
        </w:r>
      </w:del>
    </w:p>
    <w:p w14:paraId="2C801B79" w14:textId="5B274801" w:rsidR="00DE3458" w:rsidRPr="00193D76" w:rsidRDefault="00DE3458" w:rsidP="001F5D4B">
      <w:pPr>
        <w:keepNext/>
        <w:rPr>
          <w:del w:id="1266" w:author="AbbVie02no" w:date="2025-05-15T12:36:00Z"/>
          <w:sz w:val="22"/>
          <w:szCs w:val="22"/>
        </w:rPr>
      </w:pPr>
    </w:p>
    <w:p w14:paraId="49AAAE2C" w14:textId="0EA05D7F" w:rsidR="008A216F" w:rsidRPr="009C5EFD" w:rsidRDefault="00E453CD" w:rsidP="00776A84">
      <w:pPr>
        <w:rPr>
          <w:del w:id="1267" w:author="AbbVie02no" w:date="2025-05-15T12:36:00Z"/>
          <w:sz w:val="22"/>
          <w:szCs w:val="22"/>
        </w:rPr>
      </w:pPr>
      <w:del w:id="1268" w:author="AbbVie02no" w:date="2025-05-15T12:36:00Z">
        <w:r w:rsidRPr="002D0790">
          <w:rPr>
            <w:sz w:val="22"/>
            <w:szCs w:val="22"/>
          </w:rPr>
          <w:delText xml:space="preserve">I de pivotale kontrollerte studiene </w:delText>
        </w:r>
        <w:r w:rsidR="009E68D4" w:rsidRPr="002D0790">
          <w:rPr>
            <w:sz w:val="22"/>
            <w:szCs w:val="22"/>
          </w:rPr>
          <w:delText xml:space="preserve">hos voksne og barn </w:delText>
        </w:r>
        <w:r w:rsidRPr="00E14E58">
          <w:rPr>
            <w:sz w:val="22"/>
            <w:szCs w:val="22"/>
          </w:rPr>
          <w:delText xml:space="preserve">fikk </w:delText>
        </w:r>
        <w:r w:rsidR="00CC0D60" w:rsidRPr="009C5EFD">
          <w:rPr>
            <w:sz w:val="22"/>
            <w:szCs w:val="22"/>
          </w:rPr>
          <w:delText>12,9</w:delText>
        </w:r>
        <w:r w:rsidR="00227206" w:rsidRPr="009C5EFD">
          <w:rPr>
            <w:sz w:val="22"/>
            <w:szCs w:val="22"/>
          </w:rPr>
          <w:delText xml:space="preserve"> </w:delText>
        </w:r>
        <w:r w:rsidRPr="009C5EFD">
          <w:rPr>
            <w:sz w:val="22"/>
            <w:szCs w:val="22"/>
          </w:rPr>
          <w:delText>% av pasientene som ble behandlet med Humira reaksjoner på injeksjonsstedet (erytem og/eller kløe, blødning, smerte</w:delText>
        </w:r>
        <w:r w:rsidR="0050576A">
          <w:rPr>
            <w:sz w:val="22"/>
            <w:szCs w:val="22"/>
          </w:rPr>
          <w:delText>r</w:delText>
        </w:r>
        <w:r w:rsidRPr="009C5EFD">
          <w:rPr>
            <w:sz w:val="22"/>
            <w:szCs w:val="22"/>
          </w:rPr>
          <w:delText xml:space="preserve"> eller hevelse), sammenlignet med </w:delText>
        </w:r>
        <w:r w:rsidR="00CC0D60" w:rsidRPr="009C5EFD">
          <w:rPr>
            <w:sz w:val="22"/>
            <w:szCs w:val="22"/>
          </w:rPr>
          <w:delText>7,</w:delText>
        </w:r>
        <w:r w:rsidR="00BF29C0">
          <w:rPr>
            <w:sz w:val="22"/>
            <w:szCs w:val="22"/>
          </w:rPr>
          <w:delText>2</w:delText>
        </w:r>
        <w:r w:rsidR="00BF29C0" w:rsidRPr="009C5EFD">
          <w:rPr>
            <w:sz w:val="22"/>
            <w:szCs w:val="22"/>
          </w:rPr>
          <w:delText xml:space="preserve"> </w:delText>
        </w:r>
        <w:r w:rsidRPr="009C5EFD">
          <w:rPr>
            <w:sz w:val="22"/>
            <w:szCs w:val="22"/>
          </w:rPr>
          <w:delText xml:space="preserve">% av pasientene som fikk placebo eller aktiv kontroll. Det var oftest ikke nødvendig å seponere </w:delText>
        </w:r>
        <w:r w:rsidRPr="009C5EFD">
          <w:rPr>
            <w:color w:val="000000"/>
            <w:sz w:val="22"/>
            <w:szCs w:val="22"/>
          </w:rPr>
          <w:delText>legemidlet</w:delText>
        </w:r>
        <w:r w:rsidRPr="009C5EFD">
          <w:rPr>
            <w:sz w:val="22"/>
            <w:szCs w:val="22"/>
          </w:rPr>
          <w:delText xml:space="preserve"> på grunn av reaksjonen på injeksjonsstedet.</w:delText>
        </w:r>
      </w:del>
    </w:p>
    <w:p w14:paraId="33E8B72F" w14:textId="392F9CBE" w:rsidR="008A216F" w:rsidRPr="009C5EFD" w:rsidRDefault="008A216F" w:rsidP="007F67EE">
      <w:pPr>
        <w:rPr>
          <w:del w:id="1269" w:author="AbbVie02no" w:date="2025-05-15T12:36:00Z"/>
          <w:sz w:val="22"/>
          <w:szCs w:val="22"/>
        </w:rPr>
      </w:pPr>
    </w:p>
    <w:p w14:paraId="01C860D1" w14:textId="0B323E3D" w:rsidR="008A216F" w:rsidRPr="00193D76" w:rsidRDefault="00E453CD" w:rsidP="001F5D4B">
      <w:pPr>
        <w:pStyle w:val="Heading8"/>
        <w:rPr>
          <w:del w:id="1270" w:author="AbbVie02no" w:date="2025-05-15T12:36:00Z"/>
          <w:szCs w:val="22"/>
        </w:rPr>
      </w:pPr>
      <w:del w:id="1271" w:author="AbbVie02no" w:date="2025-05-15T12:36:00Z">
        <w:r w:rsidRPr="001F5D4B">
          <w:rPr>
            <w:i/>
            <w:szCs w:val="22"/>
            <w:u w:val="none"/>
          </w:rPr>
          <w:delText>Infeksjoner</w:delText>
        </w:r>
      </w:del>
    </w:p>
    <w:p w14:paraId="7F36E420" w14:textId="218A588B" w:rsidR="008A216F" w:rsidRPr="002D0790" w:rsidRDefault="008A216F" w:rsidP="001F5D4B">
      <w:pPr>
        <w:keepNext/>
        <w:rPr>
          <w:del w:id="1272" w:author="AbbVie02no" w:date="2025-05-15T12:36:00Z"/>
          <w:sz w:val="22"/>
          <w:szCs w:val="22"/>
        </w:rPr>
      </w:pPr>
    </w:p>
    <w:p w14:paraId="77DA944A" w14:textId="4A60AE5A" w:rsidR="008A216F" w:rsidRPr="009C5EFD" w:rsidRDefault="00E453CD" w:rsidP="00776A84">
      <w:pPr>
        <w:rPr>
          <w:del w:id="1273" w:author="AbbVie02no" w:date="2025-05-15T12:36:00Z"/>
          <w:sz w:val="22"/>
          <w:szCs w:val="22"/>
        </w:rPr>
      </w:pPr>
      <w:del w:id="1274" w:author="AbbVie02no" w:date="2025-05-15T12:36:00Z">
        <w:r w:rsidRPr="002D0790">
          <w:rPr>
            <w:sz w:val="22"/>
            <w:szCs w:val="22"/>
          </w:rPr>
          <w:delText xml:space="preserve">I de pivotale kontrollerte studiene </w:delText>
        </w:r>
        <w:r w:rsidR="009E68D4" w:rsidRPr="00E14E58">
          <w:rPr>
            <w:sz w:val="22"/>
            <w:szCs w:val="22"/>
          </w:rPr>
          <w:delText xml:space="preserve">hos voksne og barn </w:delText>
        </w:r>
        <w:r w:rsidRPr="009C5EFD">
          <w:rPr>
            <w:sz w:val="22"/>
            <w:szCs w:val="22"/>
          </w:rPr>
          <w:delText xml:space="preserve">var </w:delText>
        </w:r>
        <w:r w:rsidRPr="009C5EFD">
          <w:rPr>
            <w:color w:val="000000"/>
            <w:sz w:val="22"/>
            <w:szCs w:val="22"/>
          </w:rPr>
          <w:delText>infeksjonsfrekvensen</w:delText>
        </w:r>
        <w:r w:rsidRPr="009C5EFD">
          <w:rPr>
            <w:sz w:val="22"/>
            <w:szCs w:val="22"/>
          </w:rPr>
          <w:delText xml:space="preserve"> 1,</w:delText>
        </w:r>
        <w:r w:rsidR="00682E30" w:rsidRPr="009C5EFD">
          <w:rPr>
            <w:sz w:val="22"/>
            <w:szCs w:val="22"/>
          </w:rPr>
          <w:delText>5</w:delText>
        </w:r>
        <w:r w:rsidR="00AE1F9F" w:rsidRPr="009C5EFD">
          <w:rPr>
            <w:sz w:val="22"/>
            <w:szCs w:val="22"/>
          </w:rPr>
          <w:delText>1</w:delText>
        </w:r>
        <w:r w:rsidR="00682E30" w:rsidRPr="009C5EFD">
          <w:rPr>
            <w:sz w:val="22"/>
            <w:szCs w:val="22"/>
          </w:rPr>
          <w:delText xml:space="preserve"> </w:delText>
        </w:r>
        <w:r w:rsidR="003721B0">
          <w:rPr>
            <w:sz w:val="22"/>
            <w:szCs w:val="22"/>
          </w:rPr>
          <w:delText>per</w:delText>
        </w:r>
        <w:r w:rsidRPr="009C5EFD">
          <w:rPr>
            <w:sz w:val="22"/>
            <w:szCs w:val="22"/>
          </w:rPr>
          <w:delText xml:space="preserve"> pasientår blant pasienter behandlet med Humira og 1,</w:delText>
        </w:r>
        <w:r w:rsidR="00682E30" w:rsidRPr="009C5EFD">
          <w:rPr>
            <w:sz w:val="22"/>
            <w:szCs w:val="22"/>
          </w:rPr>
          <w:delText>4</w:delText>
        </w:r>
        <w:r w:rsidR="00CC0D60" w:rsidRPr="009C5EFD">
          <w:rPr>
            <w:sz w:val="22"/>
            <w:szCs w:val="22"/>
          </w:rPr>
          <w:delText>6</w:delText>
        </w:r>
        <w:r w:rsidR="00682E30" w:rsidRPr="009C5EFD">
          <w:rPr>
            <w:sz w:val="22"/>
            <w:szCs w:val="22"/>
          </w:rPr>
          <w:delText xml:space="preserve"> </w:delText>
        </w:r>
        <w:r w:rsidR="003721B0">
          <w:rPr>
            <w:sz w:val="22"/>
            <w:szCs w:val="22"/>
          </w:rPr>
          <w:delText>per</w:delText>
        </w:r>
        <w:r w:rsidRPr="009C5EFD">
          <w:rPr>
            <w:sz w:val="22"/>
            <w:szCs w:val="22"/>
          </w:rPr>
          <w:delText xml:space="preserve"> pasientår for </w:delText>
        </w:r>
        <w:r w:rsidR="003B49EC">
          <w:rPr>
            <w:sz w:val="22"/>
            <w:szCs w:val="22"/>
          </w:rPr>
          <w:delText>pasienter som fikk</w:delText>
        </w:r>
        <w:r w:rsidRPr="009C5EFD">
          <w:rPr>
            <w:sz w:val="22"/>
            <w:szCs w:val="22"/>
          </w:rPr>
          <w:delText xml:space="preserve"> placebo eller aktiv kontroll. Infeksjonene var primært nasofaryngitt, øvre luftveisinfeksjoner og </w:delText>
        </w:r>
        <w:r w:rsidR="00CC0D60" w:rsidRPr="009C5EFD">
          <w:rPr>
            <w:sz w:val="22"/>
            <w:szCs w:val="22"/>
          </w:rPr>
          <w:delText>sinusitt</w:delText>
        </w:r>
        <w:r w:rsidRPr="009C5EFD">
          <w:rPr>
            <w:sz w:val="22"/>
            <w:szCs w:val="22"/>
          </w:rPr>
          <w:delText xml:space="preserve">. De fleste pasientene fortsatte behandling med Humira etter at infeksjonen var over. </w:delText>
        </w:r>
      </w:del>
    </w:p>
    <w:p w14:paraId="1777C49C" w14:textId="7A0D8377" w:rsidR="00AE1F9F" w:rsidRPr="009C5EFD" w:rsidRDefault="00AE1F9F" w:rsidP="007F67EE">
      <w:pPr>
        <w:rPr>
          <w:del w:id="1275" w:author="AbbVie02no" w:date="2025-05-15T12:36:00Z"/>
          <w:sz w:val="22"/>
          <w:szCs w:val="22"/>
        </w:rPr>
      </w:pPr>
    </w:p>
    <w:p w14:paraId="68BE5389" w14:textId="3B70982A" w:rsidR="008A216F" w:rsidRPr="009C5EFD" w:rsidRDefault="00E453CD" w:rsidP="007F67EE">
      <w:pPr>
        <w:rPr>
          <w:del w:id="1276" w:author="AbbVie02no" w:date="2025-05-15T12:36:00Z"/>
          <w:sz w:val="22"/>
          <w:szCs w:val="22"/>
        </w:rPr>
      </w:pPr>
      <w:del w:id="1277" w:author="AbbVie02no" w:date="2025-05-15T12:36:00Z">
        <w:r w:rsidRPr="009C5EFD">
          <w:rPr>
            <w:sz w:val="22"/>
            <w:szCs w:val="22"/>
          </w:rPr>
          <w:lastRenderedPageBreak/>
          <w:delText>Forekomsten av alvorlige infeksjoner var 0,0</w:delText>
        </w:r>
        <w:r w:rsidR="009E68D4" w:rsidRPr="009C5EFD">
          <w:rPr>
            <w:sz w:val="22"/>
            <w:szCs w:val="22"/>
          </w:rPr>
          <w:delText>4</w:delText>
        </w:r>
        <w:r w:rsidRPr="009C5EFD">
          <w:rPr>
            <w:sz w:val="22"/>
            <w:szCs w:val="22"/>
          </w:rPr>
          <w:delText xml:space="preserve"> </w:delText>
        </w:r>
        <w:r w:rsidR="003721B0">
          <w:rPr>
            <w:sz w:val="22"/>
            <w:szCs w:val="22"/>
          </w:rPr>
          <w:delText>per</w:delText>
        </w:r>
        <w:r w:rsidRPr="009C5EFD">
          <w:rPr>
            <w:sz w:val="22"/>
            <w:szCs w:val="22"/>
          </w:rPr>
          <w:delText xml:space="preserve"> pasientår blant Humira-behandlede pasienter og 0,03 </w:delText>
        </w:r>
        <w:r w:rsidR="003721B0">
          <w:rPr>
            <w:sz w:val="22"/>
            <w:szCs w:val="22"/>
          </w:rPr>
          <w:delText>per</w:delText>
        </w:r>
        <w:r w:rsidRPr="009C5EFD">
          <w:rPr>
            <w:sz w:val="22"/>
            <w:szCs w:val="22"/>
          </w:rPr>
          <w:delText xml:space="preserve"> pasientår blant </w:delText>
        </w:r>
        <w:r w:rsidR="003B49EC">
          <w:rPr>
            <w:sz w:val="22"/>
            <w:szCs w:val="22"/>
          </w:rPr>
          <w:delText>pasienter som fikk</w:delText>
        </w:r>
        <w:r w:rsidRPr="009C5EFD">
          <w:rPr>
            <w:sz w:val="22"/>
            <w:szCs w:val="22"/>
          </w:rPr>
          <w:delText xml:space="preserve"> placebo eller aktiv kontroll. </w:delText>
        </w:r>
      </w:del>
    </w:p>
    <w:p w14:paraId="689797D1" w14:textId="698A5201" w:rsidR="008A216F" w:rsidRPr="009C5EFD" w:rsidRDefault="008A216F" w:rsidP="00193D76">
      <w:pPr>
        <w:rPr>
          <w:del w:id="1278" w:author="AbbVie02no" w:date="2025-05-15T12:36:00Z"/>
          <w:sz w:val="22"/>
          <w:szCs w:val="22"/>
        </w:rPr>
      </w:pPr>
    </w:p>
    <w:p w14:paraId="1AA82018" w14:textId="3B524939" w:rsidR="008A216F" w:rsidRPr="009C5EFD" w:rsidRDefault="00E453CD" w:rsidP="002D0790">
      <w:pPr>
        <w:rPr>
          <w:del w:id="1279" w:author="AbbVie02no" w:date="2025-05-15T12:36:00Z"/>
          <w:sz w:val="22"/>
          <w:szCs w:val="22"/>
        </w:rPr>
      </w:pPr>
      <w:del w:id="1280" w:author="AbbVie02no" w:date="2025-05-15T12:36:00Z">
        <w:r w:rsidRPr="009C5EFD">
          <w:rPr>
            <w:sz w:val="22"/>
            <w:szCs w:val="22"/>
          </w:rPr>
          <w:delText>I kontrollerte og åpne</w:delText>
        </w:r>
        <w:r w:rsidR="006E5C37">
          <w:rPr>
            <w:sz w:val="22"/>
            <w:szCs w:val="22"/>
          </w:rPr>
          <w:delText xml:space="preserve"> studier hos</w:delText>
        </w:r>
        <w:r w:rsidRPr="009C5EFD">
          <w:rPr>
            <w:sz w:val="22"/>
            <w:szCs w:val="22"/>
          </w:rPr>
          <w:delText xml:space="preserve"> </w:delText>
        </w:r>
        <w:r w:rsidR="009E68D4" w:rsidRPr="009C5EFD">
          <w:rPr>
            <w:sz w:val="22"/>
            <w:szCs w:val="22"/>
          </w:rPr>
          <w:delText xml:space="preserve">voksne og pediatriske </w:delText>
        </w:r>
        <w:r w:rsidRPr="009C5EFD">
          <w:rPr>
            <w:sz w:val="22"/>
            <w:szCs w:val="22"/>
          </w:rPr>
          <w:delText>studier med Humira er det rapportert alvorlige infeksjoner (inkludert fatale reaksjoner, hvilket forekom sjeldent); tuberkulose (inkludert miliær og ekstrapulmonær lokalisasjon) og invasive opportunistiske infeksjoner (f</w:delText>
        </w:r>
        <w:r w:rsidR="00143922" w:rsidRPr="009C5EFD">
          <w:rPr>
            <w:sz w:val="22"/>
            <w:szCs w:val="22"/>
          </w:rPr>
          <w:delText>.</w:delText>
        </w:r>
        <w:r w:rsidRPr="009C5EFD">
          <w:rPr>
            <w:sz w:val="22"/>
            <w:szCs w:val="22"/>
          </w:rPr>
          <w:delText xml:space="preserve"> eks</w:delText>
        </w:r>
        <w:r w:rsidR="00143922" w:rsidRPr="009C5EFD">
          <w:rPr>
            <w:sz w:val="22"/>
            <w:szCs w:val="22"/>
          </w:rPr>
          <w:delText>.</w:delText>
        </w:r>
        <w:r w:rsidRPr="009C5EFD">
          <w:rPr>
            <w:sz w:val="22"/>
            <w:szCs w:val="22"/>
          </w:rPr>
          <w:delText xml:space="preserve"> disseminert eller ekstrapulmonal histoplasmose, blastomykose, koksidioidomykose, pneumocystose, </w:delText>
        </w:r>
        <w:r w:rsidR="00EC2244" w:rsidRPr="009C5EFD">
          <w:rPr>
            <w:sz w:val="22"/>
            <w:szCs w:val="22"/>
          </w:rPr>
          <w:delText>c</w:delText>
        </w:r>
        <w:r w:rsidRPr="009C5EFD">
          <w:rPr>
            <w:sz w:val="22"/>
            <w:szCs w:val="22"/>
          </w:rPr>
          <w:delText xml:space="preserve">andidiasis, aspergillose og listeriose). De fleste tilfellene av tuberkulose oppsto i løpet av de første åtte månedene etter behandlingsstart og kan reflektere </w:delText>
        </w:r>
        <w:r w:rsidR="009633B2" w:rsidRPr="009C5EFD">
          <w:rPr>
            <w:sz w:val="22"/>
            <w:szCs w:val="22"/>
          </w:rPr>
          <w:delText>gjenoppblussing</w:delText>
        </w:r>
        <w:r w:rsidRPr="009C5EFD">
          <w:rPr>
            <w:sz w:val="22"/>
            <w:szCs w:val="22"/>
          </w:rPr>
          <w:delText xml:space="preserve"> av latent sykdom.</w:delText>
        </w:r>
      </w:del>
    </w:p>
    <w:p w14:paraId="3EE3F32A" w14:textId="5ECFD0D1" w:rsidR="00A12610" w:rsidRPr="009C5EFD" w:rsidRDefault="00A12610" w:rsidP="002D0790">
      <w:pPr>
        <w:pStyle w:val="Heading8"/>
        <w:keepNext w:val="0"/>
        <w:rPr>
          <w:del w:id="1281" w:author="AbbVie02no" w:date="2025-05-15T12:36:00Z"/>
          <w:szCs w:val="22"/>
        </w:rPr>
      </w:pPr>
    </w:p>
    <w:p w14:paraId="49F45FCF" w14:textId="1B2EC7E1" w:rsidR="008A216F" w:rsidRPr="00193D76" w:rsidRDefault="00E453CD" w:rsidP="00184283">
      <w:pPr>
        <w:pStyle w:val="Heading8"/>
        <w:rPr>
          <w:del w:id="1282" w:author="AbbVie02no" w:date="2025-05-15T12:36:00Z"/>
          <w:szCs w:val="22"/>
        </w:rPr>
      </w:pPr>
      <w:del w:id="1283" w:author="AbbVie02no" w:date="2025-05-15T12:36:00Z">
        <w:r w:rsidRPr="001F5D4B">
          <w:rPr>
            <w:i/>
            <w:szCs w:val="22"/>
            <w:u w:val="none"/>
          </w:rPr>
          <w:delText>Maligniteter og lymfoproliferative sykdommer</w:delText>
        </w:r>
      </w:del>
    </w:p>
    <w:p w14:paraId="3F0C61F7" w14:textId="6CB6C86B" w:rsidR="003A15AE" w:rsidRPr="002D0790" w:rsidRDefault="003A15AE" w:rsidP="00184283">
      <w:pPr>
        <w:keepNext/>
        <w:rPr>
          <w:del w:id="1284" w:author="AbbVie02no" w:date="2025-05-15T12:36:00Z"/>
          <w:sz w:val="22"/>
          <w:szCs w:val="22"/>
        </w:rPr>
      </w:pPr>
    </w:p>
    <w:p w14:paraId="59170B6F" w14:textId="457F6810" w:rsidR="008A216F" w:rsidRPr="00E04B2A" w:rsidRDefault="00E453CD" w:rsidP="00776A84">
      <w:pPr>
        <w:rPr>
          <w:del w:id="1285" w:author="AbbVie02no" w:date="2025-05-15T12:36:00Z"/>
          <w:shd w:val="clear" w:color="auto" w:fill="FFFFFF"/>
        </w:rPr>
      </w:pPr>
      <w:del w:id="1286" w:author="AbbVie02no" w:date="2025-05-15T12:36:00Z">
        <w:r w:rsidRPr="002D0790">
          <w:rPr>
            <w:sz w:val="22"/>
            <w:szCs w:val="22"/>
          </w:rPr>
          <w:delText xml:space="preserve">Ingen maligniteter </w:delText>
        </w:r>
        <w:r w:rsidR="0007490E" w:rsidRPr="00E14E58">
          <w:rPr>
            <w:sz w:val="22"/>
            <w:szCs w:val="22"/>
          </w:rPr>
          <w:delText>ble</w:delText>
        </w:r>
        <w:r w:rsidRPr="009C5EFD">
          <w:rPr>
            <w:sz w:val="22"/>
            <w:szCs w:val="22"/>
          </w:rPr>
          <w:delText xml:space="preserve"> sett hos </w:delText>
        </w:r>
        <w:r w:rsidR="00D01B06" w:rsidRPr="009C5EFD">
          <w:rPr>
            <w:sz w:val="22"/>
            <w:szCs w:val="22"/>
          </w:rPr>
          <w:delText>249</w:delText>
        </w:r>
        <w:r w:rsidR="00F45B5C" w:rsidRPr="009C5EFD">
          <w:rPr>
            <w:sz w:val="22"/>
            <w:szCs w:val="22"/>
          </w:rPr>
          <w:delText xml:space="preserve"> </w:delText>
        </w:r>
        <w:r w:rsidR="00D01B06" w:rsidRPr="009C5EFD">
          <w:rPr>
            <w:sz w:val="22"/>
            <w:szCs w:val="22"/>
          </w:rPr>
          <w:delText xml:space="preserve">pediatriske </w:delText>
        </w:r>
        <w:r w:rsidRPr="009C5EFD">
          <w:rPr>
            <w:sz w:val="22"/>
            <w:szCs w:val="22"/>
          </w:rPr>
          <w:delText xml:space="preserve">pasienter med en eksponering på </w:delText>
        </w:r>
        <w:r w:rsidR="00D01B06" w:rsidRPr="009C5EFD">
          <w:rPr>
            <w:sz w:val="22"/>
            <w:szCs w:val="22"/>
          </w:rPr>
          <w:delText>655,6</w:delText>
        </w:r>
        <w:r w:rsidRPr="009C5EFD">
          <w:rPr>
            <w:sz w:val="22"/>
            <w:szCs w:val="22"/>
          </w:rPr>
          <w:delText xml:space="preserve"> pasientår under klinisk</w:delText>
        </w:r>
        <w:r w:rsidR="00F45B5C" w:rsidRPr="009C5EFD">
          <w:rPr>
            <w:sz w:val="22"/>
            <w:szCs w:val="22"/>
          </w:rPr>
          <w:delText>e</w:delText>
        </w:r>
        <w:r w:rsidRPr="009C5EFD">
          <w:rPr>
            <w:sz w:val="22"/>
            <w:szCs w:val="22"/>
          </w:rPr>
          <w:delText xml:space="preserve"> studie</w:delText>
        </w:r>
        <w:r w:rsidR="00F45B5C" w:rsidRPr="009C5EFD">
          <w:rPr>
            <w:sz w:val="22"/>
            <w:szCs w:val="22"/>
          </w:rPr>
          <w:delText>r</w:delText>
        </w:r>
        <w:r w:rsidRPr="009C5EFD">
          <w:rPr>
            <w:sz w:val="22"/>
            <w:szCs w:val="22"/>
          </w:rPr>
          <w:delText xml:space="preserve"> med Humira hos pasienter med juvenil idiopatisk artritt</w:delText>
        </w:r>
        <w:r w:rsidR="00D01B06" w:rsidRPr="009C5EFD">
          <w:rPr>
            <w:sz w:val="22"/>
            <w:szCs w:val="22"/>
          </w:rPr>
          <w:delText xml:space="preserve"> (polyartikulær juvenil idiopatisk artritt og entesittrelatert artritt)</w:delText>
        </w:r>
        <w:r w:rsidRPr="009C5EFD">
          <w:rPr>
            <w:sz w:val="22"/>
            <w:szCs w:val="22"/>
          </w:rPr>
          <w:delText>.</w:delText>
        </w:r>
        <w:r w:rsidR="00997F34" w:rsidRPr="009C5EFD">
          <w:rPr>
            <w:sz w:val="22"/>
            <w:szCs w:val="22"/>
          </w:rPr>
          <w:delText xml:space="preserve"> I tillegg ble ingen maligniteter sett hos 192 pediatriske pasienter med en eksponering på </w:delText>
        </w:r>
        <w:r w:rsidR="001D66D8">
          <w:rPr>
            <w:sz w:val="22"/>
            <w:szCs w:val="22"/>
          </w:rPr>
          <w:delText>498</w:delText>
        </w:r>
        <w:r w:rsidR="001440C4">
          <w:rPr>
            <w:sz w:val="22"/>
            <w:szCs w:val="22"/>
          </w:rPr>
          <w:delText>,1</w:delText>
        </w:r>
        <w:r w:rsidR="00997F34" w:rsidRPr="009C5EFD">
          <w:rPr>
            <w:sz w:val="22"/>
            <w:szCs w:val="22"/>
          </w:rPr>
          <w:delText xml:space="preserve"> pasientår under klinisk</w:delText>
        </w:r>
        <w:r w:rsidR="001D66D8">
          <w:rPr>
            <w:sz w:val="22"/>
            <w:szCs w:val="22"/>
          </w:rPr>
          <w:delText>e</w:delText>
        </w:r>
        <w:r w:rsidR="00997F34" w:rsidRPr="009C5EFD">
          <w:rPr>
            <w:sz w:val="22"/>
            <w:szCs w:val="22"/>
          </w:rPr>
          <w:delText xml:space="preserve"> studie</w:delText>
        </w:r>
        <w:r w:rsidR="001D66D8">
          <w:rPr>
            <w:sz w:val="22"/>
            <w:szCs w:val="22"/>
          </w:rPr>
          <w:delText>r</w:delText>
        </w:r>
        <w:r w:rsidR="00997F34" w:rsidRPr="009C5EFD">
          <w:rPr>
            <w:sz w:val="22"/>
            <w:szCs w:val="22"/>
          </w:rPr>
          <w:delText xml:space="preserve"> med Humira hos pediatriske pasienter med Crohns sykdom.</w:delText>
        </w:r>
        <w:r w:rsidR="00906729" w:rsidRPr="009C5EFD">
          <w:rPr>
            <w:sz w:val="22"/>
            <w:szCs w:val="22"/>
          </w:rPr>
          <w:delText xml:space="preserve"> Ingen maligniteter ble sett hos 77 pediatriske pasienter med en eksponering på 80,0 pasientår</w:delText>
        </w:r>
        <w:r w:rsidR="00040C50" w:rsidRPr="009C5EFD">
          <w:rPr>
            <w:sz w:val="22"/>
            <w:szCs w:val="22"/>
          </w:rPr>
          <w:delText>,</w:delText>
        </w:r>
        <w:r w:rsidR="00906729" w:rsidRPr="009C5EFD">
          <w:rPr>
            <w:sz w:val="22"/>
            <w:szCs w:val="22"/>
          </w:rPr>
          <w:delText xml:space="preserve"> under kliniske studier med Humira hos pediatriske pasienter med kronisk</w:delText>
        </w:r>
        <w:r w:rsidR="00906729" w:rsidRPr="00642C33">
          <w:rPr>
            <w:sz w:val="22"/>
            <w:szCs w:val="22"/>
          </w:rPr>
          <w:delText xml:space="preserve"> plakkpsoriasis.</w:delText>
        </w:r>
        <w:r w:rsidR="00315255" w:rsidRPr="00B170C2">
          <w:rPr>
            <w:sz w:val="22"/>
            <w:szCs w:val="22"/>
          </w:rPr>
          <w:delText xml:space="preserve"> </w:delText>
        </w:r>
        <w:r w:rsidR="0015674E">
          <w:rPr>
            <w:rStyle w:val="normaltextrun"/>
            <w:sz w:val="22"/>
            <w:shd w:val="clear" w:color="auto" w:fill="FFFFFF"/>
          </w:rPr>
          <w:delText>Det ble ikke observert</w:delText>
        </w:r>
        <w:r w:rsidR="0015674E" w:rsidRPr="00E04B2A">
          <w:rPr>
            <w:rStyle w:val="normaltextrun"/>
            <w:sz w:val="22"/>
            <w:shd w:val="clear" w:color="auto" w:fill="FFFFFF"/>
          </w:rPr>
          <w:delText xml:space="preserve"> maligniteter hos 93 pediatriske pasienter med en eksponering på 65,3 pasientår under en Humira-studie </w:delText>
        </w:r>
        <w:r w:rsidR="0015674E">
          <w:rPr>
            <w:rStyle w:val="normaltextrun"/>
            <w:sz w:val="22"/>
            <w:shd w:val="clear" w:color="auto" w:fill="FFFFFF"/>
          </w:rPr>
          <w:delText>hos</w:delText>
        </w:r>
        <w:r w:rsidR="0015674E" w:rsidRPr="00E04B2A">
          <w:rPr>
            <w:rStyle w:val="normaltextrun"/>
            <w:sz w:val="22"/>
            <w:shd w:val="clear" w:color="auto" w:fill="FFFFFF"/>
          </w:rPr>
          <w:delText xml:space="preserve"> pediatriske pasienter med ulcerøs kolitt.</w:delText>
        </w:r>
        <w:r w:rsidR="00642C33" w:rsidRPr="00E04B2A">
          <w:rPr>
            <w:rStyle w:val="normaltextrun"/>
            <w:sz w:val="22"/>
            <w:shd w:val="clear" w:color="auto" w:fill="FFFFFF"/>
          </w:rPr>
          <w:delText xml:space="preserve"> </w:delText>
        </w:r>
        <w:r w:rsidR="00315255">
          <w:rPr>
            <w:sz w:val="22"/>
            <w:szCs w:val="22"/>
          </w:rPr>
          <w:delText>Det ble ikke observert maligniteter hos 60 pediatriske pasienter med en eksponering på 58,4 pasientår under en Humira</w:delText>
        </w:r>
        <w:r w:rsidR="004120E2">
          <w:rPr>
            <w:sz w:val="22"/>
            <w:szCs w:val="22"/>
          </w:rPr>
          <w:delText>-</w:delText>
        </w:r>
        <w:r w:rsidR="00315255">
          <w:rPr>
            <w:sz w:val="22"/>
            <w:szCs w:val="22"/>
          </w:rPr>
          <w:delText>studie hos pediatriske pasienter med uveitt.</w:delText>
        </w:r>
      </w:del>
    </w:p>
    <w:p w14:paraId="641E7ED5" w14:textId="43C81716" w:rsidR="00C57A9C" w:rsidRPr="009C5EFD" w:rsidRDefault="00C57A9C" w:rsidP="009C5EFD">
      <w:pPr>
        <w:rPr>
          <w:del w:id="1287" w:author="AbbVie02no" w:date="2025-05-15T12:36:00Z"/>
          <w:sz w:val="22"/>
          <w:szCs w:val="22"/>
        </w:rPr>
      </w:pPr>
    </w:p>
    <w:p w14:paraId="00F4A599" w14:textId="40198ABD" w:rsidR="008A216F" w:rsidRPr="009C5EFD" w:rsidRDefault="00E453CD" w:rsidP="009C5EFD">
      <w:pPr>
        <w:rPr>
          <w:del w:id="1288" w:author="AbbVie02no" w:date="2025-05-15T12:36:00Z"/>
          <w:sz w:val="22"/>
          <w:szCs w:val="22"/>
        </w:rPr>
      </w:pPr>
      <w:del w:id="1289" w:author="AbbVie02no" w:date="2025-05-15T12:36:00Z">
        <w:r w:rsidRPr="009C5EFD">
          <w:rPr>
            <w:sz w:val="22"/>
            <w:szCs w:val="22"/>
          </w:rPr>
          <w:delText xml:space="preserve">Under de kontrollerte delene av pivotale kliniske studier </w:delText>
        </w:r>
        <w:r w:rsidRPr="009C5EFD">
          <w:rPr>
            <w:color w:val="000000"/>
            <w:sz w:val="22"/>
            <w:szCs w:val="22"/>
          </w:rPr>
          <w:delText xml:space="preserve">med Humira </w:delText>
        </w:r>
        <w:r w:rsidR="00997F34" w:rsidRPr="009C5EFD">
          <w:rPr>
            <w:color w:val="000000"/>
            <w:sz w:val="22"/>
            <w:szCs w:val="22"/>
          </w:rPr>
          <w:delText xml:space="preserve">hos voksne, </w:delText>
        </w:r>
        <w:r w:rsidRPr="009C5EFD">
          <w:rPr>
            <w:sz w:val="22"/>
            <w:szCs w:val="22"/>
          </w:rPr>
          <w:delText xml:space="preserve">som varte </w:delText>
        </w:r>
        <w:r w:rsidR="002E1902">
          <w:rPr>
            <w:sz w:val="22"/>
            <w:szCs w:val="22"/>
          </w:rPr>
          <w:delText>i</w:delText>
        </w:r>
        <w:r w:rsidRPr="009C5EFD">
          <w:rPr>
            <w:sz w:val="22"/>
            <w:szCs w:val="22"/>
          </w:rPr>
          <w:delText xml:space="preserve"> minimum 12 uker hos pasienter med moderat til alvorlig aktiv revmatoid artritt, </w:delText>
        </w:r>
        <w:r w:rsidR="00C57A9C" w:rsidRPr="009C5EFD">
          <w:rPr>
            <w:sz w:val="22"/>
            <w:szCs w:val="22"/>
          </w:rPr>
          <w:delText xml:space="preserve">ankyloserende spondylitt, </w:delText>
        </w:r>
        <w:r w:rsidR="00EA6B95" w:rsidRPr="009C5EFD">
          <w:rPr>
            <w:sz w:val="22"/>
            <w:szCs w:val="22"/>
          </w:rPr>
          <w:delText xml:space="preserve">aksial spondylartritt uten </w:delText>
        </w:r>
        <w:r w:rsidR="00677BE5" w:rsidRPr="009C5EFD">
          <w:rPr>
            <w:sz w:val="22"/>
            <w:szCs w:val="22"/>
          </w:rPr>
          <w:delText>radiografisk bekreftelse</w:delText>
        </w:r>
        <w:r w:rsidR="00EA6B95" w:rsidRPr="009C5EFD">
          <w:rPr>
            <w:sz w:val="22"/>
            <w:szCs w:val="22"/>
          </w:rPr>
          <w:delText xml:space="preserve"> på ankyloserende spondylitt, </w:delText>
        </w:r>
        <w:r w:rsidR="00FA0A10" w:rsidRPr="009C5EFD">
          <w:rPr>
            <w:sz w:val="22"/>
            <w:szCs w:val="22"/>
          </w:rPr>
          <w:delText>psoriasisartritt</w:delText>
        </w:r>
        <w:r w:rsidRPr="009C5EFD">
          <w:rPr>
            <w:sz w:val="22"/>
            <w:szCs w:val="22"/>
          </w:rPr>
          <w:delText xml:space="preserve">, </w:delText>
        </w:r>
        <w:r w:rsidR="00C57A9C" w:rsidRPr="009C5EFD">
          <w:rPr>
            <w:sz w:val="22"/>
            <w:szCs w:val="22"/>
          </w:rPr>
          <w:delText xml:space="preserve">psoriasis, </w:delText>
        </w:r>
        <w:r w:rsidR="007F67EE" w:rsidRPr="009C5EFD">
          <w:rPr>
            <w:sz w:val="22"/>
            <w:szCs w:val="22"/>
          </w:rPr>
          <w:delText>hidrosadenitt</w:delText>
        </w:r>
        <w:r w:rsidR="00CC0D60" w:rsidRPr="009C5EFD">
          <w:rPr>
            <w:sz w:val="22"/>
            <w:szCs w:val="22"/>
          </w:rPr>
          <w:delText xml:space="preserve">, </w:delText>
        </w:r>
        <w:r w:rsidRPr="009C5EFD">
          <w:rPr>
            <w:sz w:val="22"/>
            <w:szCs w:val="22"/>
          </w:rPr>
          <w:delText>Crohns sykdom</w:delText>
        </w:r>
        <w:r w:rsidR="002838F8">
          <w:rPr>
            <w:sz w:val="22"/>
            <w:szCs w:val="22"/>
          </w:rPr>
          <w:delText>,</w:delText>
        </w:r>
        <w:r w:rsidRPr="009C5EFD">
          <w:rPr>
            <w:sz w:val="22"/>
            <w:szCs w:val="22"/>
          </w:rPr>
          <w:delText xml:space="preserve"> </w:delText>
        </w:r>
        <w:r w:rsidR="000D0847" w:rsidRPr="009C5EFD">
          <w:rPr>
            <w:sz w:val="22"/>
            <w:szCs w:val="22"/>
          </w:rPr>
          <w:delText>ulcerøs kolitt</w:delText>
        </w:r>
        <w:r w:rsidR="002838F8">
          <w:rPr>
            <w:sz w:val="22"/>
            <w:szCs w:val="22"/>
          </w:rPr>
          <w:delText xml:space="preserve"> og uveitt</w:delText>
        </w:r>
        <w:r w:rsidRPr="009C5EFD">
          <w:rPr>
            <w:sz w:val="22"/>
            <w:szCs w:val="22"/>
          </w:rPr>
          <w:delText xml:space="preserve">, var forekomsten (95 % konfidensintervall) av de observerte maligniteter, andre enn lymfomer og ikke-melanom hudkreft, </w:delText>
        </w:r>
        <w:r w:rsidR="002838F8">
          <w:rPr>
            <w:sz w:val="22"/>
            <w:szCs w:val="22"/>
          </w:rPr>
          <w:delText>6,8 (4,4, 10,</w:delText>
        </w:r>
        <w:r w:rsidR="002838F8" w:rsidRPr="002838F8">
          <w:rPr>
            <w:sz w:val="22"/>
            <w:szCs w:val="22"/>
          </w:rPr>
          <w:delText>5)</w:delText>
        </w:r>
        <w:r w:rsidR="00CC0D60" w:rsidRPr="009C5EFD">
          <w:rPr>
            <w:sz w:val="22"/>
            <w:szCs w:val="22"/>
          </w:rPr>
          <w:delText xml:space="preserve"> </w:delText>
        </w:r>
        <w:r w:rsidRPr="009C5EFD">
          <w:rPr>
            <w:sz w:val="22"/>
            <w:szCs w:val="22"/>
          </w:rPr>
          <w:delText xml:space="preserve">per 1000 pasientår blant </w:delText>
        </w:r>
        <w:r w:rsidR="002838F8">
          <w:rPr>
            <w:sz w:val="22"/>
            <w:szCs w:val="22"/>
          </w:rPr>
          <w:delText>5291</w:delText>
        </w:r>
        <w:r w:rsidR="002838F8" w:rsidRPr="009C5EFD">
          <w:rPr>
            <w:sz w:val="22"/>
            <w:szCs w:val="22"/>
          </w:rPr>
          <w:delText xml:space="preserve"> </w:delText>
        </w:r>
        <w:r w:rsidRPr="009C5EFD">
          <w:rPr>
            <w:sz w:val="22"/>
            <w:szCs w:val="22"/>
          </w:rPr>
          <w:delText xml:space="preserve">pasienter som ble behandlet med Humira </w:delText>
        </w:r>
        <w:r w:rsidRPr="009C5EFD">
          <w:rPr>
            <w:i/>
            <w:sz w:val="22"/>
            <w:szCs w:val="22"/>
          </w:rPr>
          <w:delText>versus</w:delText>
        </w:r>
        <w:r w:rsidRPr="009C5EFD">
          <w:rPr>
            <w:sz w:val="22"/>
            <w:szCs w:val="22"/>
          </w:rPr>
          <w:delText xml:space="preserve"> </w:delText>
        </w:r>
        <w:r w:rsidR="002838F8">
          <w:rPr>
            <w:sz w:val="22"/>
            <w:szCs w:val="22"/>
          </w:rPr>
          <w:delText>6,</w:delText>
        </w:r>
        <w:r w:rsidR="002838F8" w:rsidRPr="002838F8">
          <w:rPr>
            <w:sz w:val="22"/>
            <w:szCs w:val="22"/>
          </w:rPr>
          <w:delText>3 (3</w:delText>
        </w:r>
        <w:r w:rsidR="002838F8">
          <w:rPr>
            <w:sz w:val="22"/>
            <w:szCs w:val="22"/>
          </w:rPr>
          <w:delText>,4, 11,</w:delText>
        </w:r>
        <w:r w:rsidR="002838F8" w:rsidRPr="002838F8">
          <w:rPr>
            <w:sz w:val="22"/>
            <w:szCs w:val="22"/>
          </w:rPr>
          <w:delText>8)</w:delText>
        </w:r>
        <w:r w:rsidR="00CC0D60" w:rsidRPr="009C5EFD">
          <w:rPr>
            <w:sz w:val="22"/>
            <w:szCs w:val="22"/>
          </w:rPr>
          <w:delText xml:space="preserve"> </w:delText>
        </w:r>
        <w:r w:rsidRPr="009C5EFD">
          <w:rPr>
            <w:sz w:val="22"/>
            <w:szCs w:val="22"/>
          </w:rPr>
          <w:delText xml:space="preserve">per 1000 pasientår blant </w:delText>
        </w:r>
        <w:r w:rsidR="002838F8">
          <w:rPr>
            <w:sz w:val="22"/>
            <w:szCs w:val="22"/>
          </w:rPr>
          <w:delText>3444</w:delText>
        </w:r>
        <w:r w:rsidR="002838F8" w:rsidRPr="009C5EFD">
          <w:rPr>
            <w:sz w:val="22"/>
            <w:szCs w:val="22"/>
          </w:rPr>
          <w:delText xml:space="preserve"> </w:delText>
        </w:r>
        <w:r w:rsidRPr="009C5EFD">
          <w:rPr>
            <w:sz w:val="22"/>
            <w:szCs w:val="22"/>
          </w:rPr>
          <w:delText xml:space="preserve">pasienter i kontrollgruppen (gjennomsnittsvarighet for behandlingen var </w:delText>
        </w:r>
        <w:r w:rsidR="00CC0D60" w:rsidRPr="009C5EFD">
          <w:rPr>
            <w:sz w:val="22"/>
            <w:szCs w:val="22"/>
          </w:rPr>
          <w:delText>4,0</w:delText>
        </w:r>
        <w:r w:rsidRPr="009C5EFD">
          <w:rPr>
            <w:sz w:val="22"/>
            <w:szCs w:val="22"/>
          </w:rPr>
          <w:delText xml:space="preserve"> måneder for Humira og </w:delText>
        </w:r>
        <w:r w:rsidR="00CC0D60" w:rsidRPr="009C5EFD">
          <w:rPr>
            <w:sz w:val="22"/>
            <w:szCs w:val="22"/>
          </w:rPr>
          <w:delText>3,</w:delText>
        </w:r>
        <w:r w:rsidR="002838F8">
          <w:rPr>
            <w:sz w:val="22"/>
            <w:szCs w:val="22"/>
          </w:rPr>
          <w:delText>8</w:delText>
        </w:r>
        <w:r w:rsidR="002838F8" w:rsidRPr="009C5EFD">
          <w:rPr>
            <w:sz w:val="22"/>
            <w:szCs w:val="22"/>
          </w:rPr>
          <w:delText xml:space="preserve"> </w:delText>
        </w:r>
        <w:r w:rsidRPr="009C5EFD">
          <w:rPr>
            <w:sz w:val="22"/>
            <w:szCs w:val="22"/>
          </w:rPr>
          <w:delText xml:space="preserve">måneder for pasienter i kontrollgruppen). Forekomsten (95 % konfidensintervall) for ikke-melanom hudkreft var </w:delText>
        </w:r>
        <w:r w:rsidR="002838F8">
          <w:rPr>
            <w:sz w:val="22"/>
            <w:szCs w:val="22"/>
          </w:rPr>
          <w:delText>8,8 (6,0, 13,</w:delText>
        </w:r>
        <w:r w:rsidR="002838F8" w:rsidRPr="002838F8">
          <w:rPr>
            <w:sz w:val="22"/>
            <w:szCs w:val="22"/>
          </w:rPr>
          <w:delText>0)</w:delText>
        </w:r>
        <w:r w:rsidRPr="009C5EFD">
          <w:rPr>
            <w:sz w:val="22"/>
            <w:szCs w:val="22"/>
          </w:rPr>
          <w:delText xml:space="preserve"> per 1000 pasientår blant pasienter som fikk Humira og </w:delText>
        </w:r>
        <w:r w:rsidR="00B700AF">
          <w:rPr>
            <w:sz w:val="22"/>
            <w:szCs w:val="22"/>
          </w:rPr>
          <w:delText>3,2 (1,3, 7,</w:delText>
        </w:r>
        <w:r w:rsidR="00B700AF" w:rsidRPr="00B700AF">
          <w:rPr>
            <w:sz w:val="22"/>
            <w:szCs w:val="22"/>
          </w:rPr>
          <w:delText>6)</w:delText>
        </w:r>
        <w:r w:rsidRPr="009C5EFD">
          <w:rPr>
            <w:sz w:val="22"/>
            <w:szCs w:val="22"/>
          </w:rPr>
          <w:delText xml:space="preserve"> per 1000 pasientår blant pasienter i kontrollgruppen. Av disse hudkrefttypene forekom (95 % konfidensintervall) plateepitelkarsinom med frekvensen </w:delText>
        </w:r>
        <w:r w:rsidR="00B700AF">
          <w:rPr>
            <w:sz w:val="22"/>
            <w:szCs w:val="22"/>
          </w:rPr>
          <w:delText>2,</w:delText>
        </w:r>
        <w:r w:rsidR="00B700AF" w:rsidRPr="00B700AF">
          <w:rPr>
            <w:sz w:val="22"/>
            <w:szCs w:val="22"/>
          </w:rPr>
          <w:delText>7 (1</w:delText>
        </w:r>
        <w:r w:rsidR="00B700AF">
          <w:rPr>
            <w:sz w:val="22"/>
            <w:szCs w:val="22"/>
          </w:rPr>
          <w:delText>,</w:delText>
        </w:r>
        <w:r w:rsidR="00B700AF" w:rsidRPr="00B700AF">
          <w:rPr>
            <w:sz w:val="22"/>
            <w:szCs w:val="22"/>
          </w:rPr>
          <w:delText>4, 5</w:delText>
        </w:r>
        <w:r w:rsidR="00B700AF">
          <w:rPr>
            <w:sz w:val="22"/>
            <w:szCs w:val="22"/>
          </w:rPr>
          <w:delText>,</w:delText>
        </w:r>
        <w:r w:rsidR="00B700AF" w:rsidRPr="00B700AF">
          <w:rPr>
            <w:sz w:val="22"/>
            <w:szCs w:val="22"/>
          </w:rPr>
          <w:delText>4)</w:delText>
        </w:r>
        <w:r w:rsidRPr="009C5EFD">
          <w:rPr>
            <w:sz w:val="22"/>
            <w:szCs w:val="22"/>
          </w:rPr>
          <w:delText xml:space="preserve"> per 1000 pasientår blant pasienter som f</w:delText>
        </w:r>
        <w:r w:rsidR="0007490E" w:rsidRPr="009C5EFD">
          <w:rPr>
            <w:sz w:val="22"/>
            <w:szCs w:val="22"/>
          </w:rPr>
          <w:delText>ikk</w:delText>
        </w:r>
        <w:r w:rsidRPr="009C5EFD">
          <w:rPr>
            <w:sz w:val="22"/>
            <w:szCs w:val="22"/>
          </w:rPr>
          <w:delText xml:space="preserve"> Humira og </w:delText>
        </w:r>
        <w:r w:rsidR="00B700AF">
          <w:rPr>
            <w:sz w:val="22"/>
            <w:szCs w:val="22"/>
          </w:rPr>
          <w:delText>0,</w:delText>
        </w:r>
        <w:r w:rsidR="00B700AF" w:rsidRPr="00B700AF">
          <w:rPr>
            <w:sz w:val="22"/>
            <w:szCs w:val="22"/>
          </w:rPr>
          <w:delText>6 (0</w:delText>
        </w:r>
        <w:r w:rsidR="00B700AF">
          <w:rPr>
            <w:sz w:val="22"/>
            <w:szCs w:val="22"/>
          </w:rPr>
          <w:delText>,</w:delText>
        </w:r>
        <w:r w:rsidR="00B700AF" w:rsidRPr="00B700AF">
          <w:rPr>
            <w:sz w:val="22"/>
            <w:szCs w:val="22"/>
          </w:rPr>
          <w:delText>1, 4</w:delText>
        </w:r>
        <w:r w:rsidR="00B700AF">
          <w:rPr>
            <w:sz w:val="22"/>
            <w:szCs w:val="22"/>
          </w:rPr>
          <w:delText>,</w:delText>
        </w:r>
        <w:r w:rsidR="00B700AF" w:rsidRPr="00B700AF">
          <w:rPr>
            <w:sz w:val="22"/>
            <w:szCs w:val="22"/>
          </w:rPr>
          <w:delText>5)</w:delText>
        </w:r>
        <w:r w:rsidRPr="009C5EFD">
          <w:rPr>
            <w:sz w:val="22"/>
            <w:szCs w:val="22"/>
          </w:rPr>
          <w:delText xml:space="preserve"> per </w:delText>
        </w:r>
        <w:r w:rsidR="00505EC9" w:rsidRPr="009C5EFD">
          <w:rPr>
            <w:sz w:val="22"/>
            <w:szCs w:val="22"/>
          </w:rPr>
          <w:delText xml:space="preserve">1000 </w:delText>
        </w:r>
        <w:r w:rsidRPr="009C5EFD">
          <w:rPr>
            <w:sz w:val="22"/>
            <w:szCs w:val="22"/>
          </w:rPr>
          <w:delText>pasientår blant pasienter i kontrollgruppen. Forekomsten (95 % konfidensintervall) for lymfomer var 0,</w:delText>
        </w:r>
        <w:r w:rsidR="00F04C04" w:rsidRPr="009C5EFD">
          <w:rPr>
            <w:sz w:val="22"/>
            <w:szCs w:val="22"/>
          </w:rPr>
          <w:delText xml:space="preserve">7 </w:delText>
        </w:r>
        <w:r w:rsidRPr="009C5EFD">
          <w:rPr>
            <w:sz w:val="22"/>
            <w:szCs w:val="22"/>
          </w:rPr>
          <w:delText>(</w:delText>
        </w:r>
        <w:r w:rsidR="00B700AF">
          <w:rPr>
            <w:sz w:val="22"/>
            <w:szCs w:val="22"/>
          </w:rPr>
          <w:delText>0,</w:delText>
        </w:r>
        <w:r w:rsidR="00B700AF" w:rsidRPr="00B700AF">
          <w:rPr>
            <w:sz w:val="22"/>
            <w:szCs w:val="22"/>
          </w:rPr>
          <w:delText>2, 2</w:delText>
        </w:r>
        <w:r w:rsidR="00B700AF">
          <w:rPr>
            <w:sz w:val="22"/>
            <w:szCs w:val="22"/>
          </w:rPr>
          <w:delText>,</w:delText>
        </w:r>
        <w:r w:rsidR="00B700AF" w:rsidRPr="00B700AF">
          <w:rPr>
            <w:sz w:val="22"/>
            <w:szCs w:val="22"/>
          </w:rPr>
          <w:delText>7</w:delText>
        </w:r>
        <w:r w:rsidRPr="009C5EFD">
          <w:rPr>
            <w:sz w:val="22"/>
            <w:szCs w:val="22"/>
          </w:rPr>
          <w:delText xml:space="preserve">) per 1000 pasientår blant pasienter som ble behandlet med Humira og </w:delText>
        </w:r>
        <w:r w:rsidR="00061CCF">
          <w:rPr>
            <w:sz w:val="22"/>
            <w:szCs w:val="22"/>
          </w:rPr>
          <w:delText>0,6 (0,1, 4,</w:delText>
        </w:r>
        <w:r w:rsidR="00061CCF" w:rsidRPr="00061CCF">
          <w:rPr>
            <w:sz w:val="22"/>
            <w:szCs w:val="22"/>
          </w:rPr>
          <w:delText>5)</w:delText>
        </w:r>
        <w:r w:rsidRPr="009C5EFD">
          <w:rPr>
            <w:sz w:val="22"/>
            <w:szCs w:val="22"/>
          </w:rPr>
          <w:delText xml:space="preserve"> per 1000 pasientår blant pasienter i kontrollgruppen.</w:delText>
        </w:r>
      </w:del>
    </w:p>
    <w:p w14:paraId="4481877E" w14:textId="2EEC54B8" w:rsidR="008A216F" w:rsidRPr="009C5EFD" w:rsidRDefault="008A216F" w:rsidP="009C5EFD">
      <w:pPr>
        <w:rPr>
          <w:del w:id="1290" w:author="AbbVie02no" w:date="2025-05-15T12:36:00Z"/>
          <w:sz w:val="22"/>
          <w:szCs w:val="22"/>
        </w:rPr>
      </w:pPr>
    </w:p>
    <w:p w14:paraId="3837CD5C" w14:textId="41E4160C" w:rsidR="008A216F" w:rsidRPr="009C5EFD" w:rsidRDefault="00E453CD" w:rsidP="009C5EFD">
      <w:pPr>
        <w:rPr>
          <w:del w:id="1291" w:author="AbbVie02no" w:date="2025-05-15T12:36:00Z"/>
          <w:sz w:val="22"/>
          <w:szCs w:val="22"/>
        </w:rPr>
      </w:pPr>
      <w:del w:id="1292" w:author="AbbVie02no" w:date="2025-05-15T12:36:00Z">
        <w:r w:rsidRPr="009C5EFD">
          <w:rPr>
            <w:sz w:val="22"/>
            <w:szCs w:val="22"/>
          </w:rPr>
          <w:delText>Når man kombinerer de kontrollerte delene til disse studiene og pågående</w:delText>
        </w:r>
        <w:r w:rsidR="009D11B6" w:rsidRPr="009C5EFD">
          <w:rPr>
            <w:sz w:val="22"/>
            <w:szCs w:val="22"/>
          </w:rPr>
          <w:delText xml:space="preserve"> og avsluttede</w:delText>
        </w:r>
        <w:r w:rsidRPr="009C5EFD">
          <w:rPr>
            <w:sz w:val="22"/>
            <w:szCs w:val="22"/>
          </w:rPr>
          <w:delText xml:space="preserve"> åpne studier, </w:delText>
        </w:r>
        <w:r w:rsidR="003F4FF0" w:rsidRPr="009C5EFD">
          <w:rPr>
            <w:sz w:val="22"/>
            <w:szCs w:val="22"/>
          </w:rPr>
          <w:delText>med</w:delText>
        </w:r>
        <w:r w:rsidRPr="009C5EFD">
          <w:rPr>
            <w:sz w:val="22"/>
            <w:szCs w:val="22"/>
          </w:rPr>
          <w:delText xml:space="preserve"> en gjennomsnittsvarighet på ca. 3,</w:delText>
        </w:r>
        <w:r w:rsidR="00061CCF">
          <w:rPr>
            <w:sz w:val="22"/>
            <w:szCs w:val="22"/>
          </w:rPr>
          <w:delText>3</w:delText>
        </w:r>
        <w:r w:rsidR="00061CCF" w:rsidRPr="009C5EFD">
          <w:rPr>
            <w:sz w:val="22"/>
            <w:szCs w:val="22"/>
          </w:rPr>
          <w:delText xml:space="preserve"> </w:delText>
        </w:r>
        <w:r w:rsidRPr="009C5EFD">
          <w:rPr>
            <w:sz w:val="22"/>
            <w:szCs w:val="22"/>
          </w:rPr>
          <w:delText>år</w:delText>
        </w:r>
        <w:r w:rsidR="003F4FF0" w:rsidRPr="009C5EFD">
          <w:rPr>
            <w:sz w:val="22"/>
            <w:szCs w:val="22"/>
          </w:rPr>
          <w:delText>,</w:delText>
        </w:r>
        <w:r w:rsidRPr="009C5EFD">
          <w:rPr>
            <w:sz w:val="22"/>
            <w:szCs w:val="22"/>
          </w:rPr>
          <w:delText xml:space="preserve"> inkluder</w:delText>
        </w:r>
        <w:r w:rsidR="003F4FF0" w:rsidRPr="009C5EFD">
          <w:rPr>
            <w:sz w:val="22"/>
            <w:szCs w:val="22"/>
          </w:rPr>
          <w:delText>t</w:delText>
        </w:r>
        <w:r w:rsidRPr="009C5EFD">
          <w:rPr>
            <w:sz w:val="22"/>
            <w:szCs w:val="22"/>
          </w:rPr>
          <w:delText xml:space="preserve"> </w:delText>
        </w:r>
        <w:r w:rsidR="00061CCF">
          <w:rPr>
            <w:sz w:val="22"/>
            <w:szCs w:val="22"/>
          </w:rPr>
          <w:delText>6427</w:delText>
        </w:r>
        <w:r w:rsidR="00061CCF" w:rsidRPr="009C5EFD">
          <w:rPr>
            <w:sz w:val="22"/>
            <w:szCs w:val="22"/>
          </w:rPr>
          <w:delText xml:space="preserve"> </w:delText>
        </w:r>
        <w:r w:rsidRPr="009C5EFD">
          <w:rPr>
            <w:sz w:val="22"/>
            <w:szCs w:val="22"/>
          </w:rPr>
          <w:delText xml:space="preserve">pasienter og mer enn </w:delText>
        </w:r>
        <w:r w:rsidR="00061CCF">
          <w:rPr>
            <w:sz w:val="22"/>
            <w:szCs w:val="22"/>
          </w:rPr>
          <w:delText>26 439</w:delText>
        </w:r>
        <w:r w:rsidR="00F04C04" w:rsidRPr="009C5EFD">
          <w:rPr>
            <w:sz w:val="22"/>
            <w:szCs w:val="22"/>
          </w:rPr>
          <w:delText xml:space="preserve"> </w:delText>
        </w:r>
        <w:r w:rsidRPr="009C5EFD">
          <w:rPr>
            <w:sz w:val="22"/>
            <w:szCs w:val="22"/>
          </w:rPr>
          <w:delText xml:space="preserve">pasientår, </w:delText>
        </w:r>
        <w:r w:rsidR="003F4FF0" w:rsidRPr="009C5EFD">
          <w:rPr>
            <w:color w:val="000000"/>
            <w:sz w:val="22"/>
            <w:szCs w:val="22"/>
          </w:rPr>
          <w:delText>er</w:delText>
        </w:r>
        <w:r w:rsidRPr="009C5EFD">
          <w:rPr>
            <w:color w:val="000000"/>
            <w:sz w:val="22"/>
            <w:szCs w:val="22"/>
          </w:rPr>
          <w:delText xml:space="preserve"> den observerte </w:delText>
        </w:r>
        <w:r w:rsidRPr="009C5EFD">
          <w:rPr>
            <w:sz w:val="22"/>
            <w:szCs w:val="22"/>
          </w:rPr>
          <w:delText>forekomsten av maligniteter, foruten lymfomer og ikke-melanom hudkreft</w:delText>
        </w:r>
        <w:r w:rsidR="00DE2C89" w:rsidRPr="009C5EFD">
          <w:rPr>
            <w:sz w:val="22"/>
            <w:szCs w:val="22"/>
          </w:rPr>
          <w:delText>,</w:delText>
        </w:r>
        <w:r w:rsidRPr="009C5EFD">
          <w:rPr>
            <w:sz w:val="22"/>
            <w:szCs w:val="22"/>
          </w:rPr>
          <w:delText xml:space="preserve"> ca. </w:delText>
        </w:r>
        <w:r w:rsidR="00997F34" w:rsidRPr="009C5EFD">
          <w:rPr>
            <w:sz w:val="22"/>
            <w:szCs w:val="22"/>
          </w:rPr>
          <w:delText>8,</w:delText>
        </w:r>
        <w:r w:rsidR="00CC0D60" w:rsidRPr="009C5EFD">
          <w:rPr>
            <w:sz w:val="22"/>
            <w:szCs w:val="22"/>
          </w:rPr>
          <w:delText>5</w:delText>
        </w:r>
        <w:r w:rsidR="00F04C04" w:rsidRPr="009C5EFD">
          <w:rPr>
            <w:sz w:val="22"/>
            <w:szCs w:val="22"/>
          </w:rPr>
          <w:delText xml:space="preserve"> </w:delText>
        </w:r>
        <w:r w:rsidRPr="009C5EFD">
          <w:rPr>
            <w:sz w:val="22"/>
            <w:szCs w:val="22"/>
          </w:rPr>
          <w:delText xml:space="preserve">per 1000 pasientår. Den observerte forekomsten for ikke-melanom hudkreft er på ca. </w:delText>
        </w:r>
        <w:r w:rsidR="00CC0D60" w:rsidRPr="009C5EFD">
          <w:rPr>
            <w:sz w:val="22"/>
            <w:szCs w:val="22"/>
          </w:rPr>
          <w:delText>9,</w:delText>
        </w:r>
        <w:r w:rsidR="00061CCF">
          <w:rPr>
            <w:sz w:val="22"/>
            <w:szCs w:val="22"/>
          </w:rPr>
          <w:delText>6</w:delText>
        </w:r>
        <w:r w:rsidR="00F04C04" w:rsidRPr="009C5EFD">
          <w:rPr>
            <w:sz w:val="22"/>
            <w:szCs w:val="22"/>
          </w:rPr>
          <w:delText xml:space="preserve"> </w:delText>
        </w:r>
        <w:r w:rsidRPr="009C5EFD">
          <w:rPr>
            <w:sz w:val="22"/>
            <w:szCs w:val="22"/>
          </w:rPr>
          <w:delText>per 1000 pasientår, og den observerte forekomsten for lymfomer er ca. 1,</w:delText>
        </w:r>
        <w:r w:rsidR="00CC0D60" w:rsidRPr="009C5EFD">
          <w:rPr>
            <w:sz w:val="22"/>
            <w:szCs w:val="22"/>
          </w:rPr>
          <w:delText>3</w:delText>
        </w:r>
        <w:r w:rsidR="00F04C04" w:rsidRPr="009C5EFD">
          <w:rPr>
            <w:sz w:val="22"/>
            <w:szCs w:val="22"/>
          </w:rPr>
          <w:delText xml:space="preserve"> </w:delText>
        </w:r>
        <w:r w:rsidRPr="009C5EFD">
          <w:rPr>
            <w:sz w:val="22"/>
            <w:szCs w:val="22"/>
          </w:rPr>
          <w:delText>per 1000 pasientår.</w:delText>
        </w:r>
      </w:del>
    </w:p>
    <w:p w14:paraId="4FCE0688" w14:textId="662E9C1B" w:rsidR="008A216F" w:rsidRPr="009C5EFD" w:rsidRDefault="008A216F" w:rsidP="009C5EFD">
      <w:pPr>
        <w:rPr>
          <w:del w:id="1293" w:author="AbbVie02no" w:date="2025-05-15T12:36:00Z"/>
          <w:sz w:val="22"/>
          <w:szCs w:val="22"/>
        </w:rPr>
      </w:pPr>
    </w:p>
    <w:p w14:paraId="2DDD6D85" w14:textId="2450E867" w:rsidR="008A216F" w:rsidRPr="009C5EFD" w:rsidRDefault="00E453CD" w:rsidP="009C5EFD">
      <w:pPr>
        <w:rPr>
          <w:del w:id="1294" w:author="AbbVie02no" w:date="2025-05-15T12:36:00Z"/>
          <w:sz w:val="22"/>
          <w:szCs w:val="22"/>
        </w:rPr>
      </w:pPr>
      <w:del w:id="1295" w:author="AbbVie02no" w:date="2025-05-15T12:36:00Z">
        <w:r w:rsidRPr="009C5EFD">
          <w:rPr>
            <w:sz w:val="22"/>
            <w:szCs w:val="22"/>
          </w:rPr>
          <w:delText>I perioden etter markedsføring fra januar 2003</w:delText>
        </w:r>
        <w:r w:rsidR="001D4BAF" w:rsidRPr="009C5EFD">
          <w:rPr>
            <w:sz w:val="22"/>
            <w:szCs w:val="22"/>
          </w:rPr>
          <w:delText xml:space="preserve"> til desember </w:delText>
        </w:r>
        <w:r w:rsidR="00997F34" w:rsidRPr="009C5EFD">
          <w:rPr>
            <w:sz w:val="22"/>
            <w:szCs w:val="22"/>
          </w:rPr>
          <w:delText>2010</w:delText>
        </w:r>
        <w:r w:rsidR="00FB6633" w:rsidRPr="009C5EFD">
          <w:rPr>
            <w:sz w:val="22"/>
            <w:szCs w:val="22"/>
          </w:rPr>
          <w:delText>,</w:delText>
        </w:r>
        <w:r w:rsidRPr="009C5EFD">
          <w:rPr>
            <w:sz w:val="22"/>
            <w:szCs w:val="22"/>
          </w:rPr>
          <w:delText xml:space="preserve"> hovedsakelig hos pasienter med revmatoid artritt, er den </w:delText>
        </w:r>
        <w:r>
          <w:rPr>
            <w:sz w:val="22"/>
            <w:szCs w:val="22"/>
          </w:rPr>
          <w:delText>spontant rapporterte</w:delText>
        </w:r>
        <w:r w:rsidRPr="009C5EFD">
          <w:rPr>
            <w:sz w:val="22"/>
            <w:szCs w:val="22"/>
          </w:rPr>
          <w:delText xml:space="preserve"> forekomsten for maligniteter</w:delText>
        </w:r>
        <w:r w:rsidR="001D4BAF" w:rsidRPr="009C5EFD">
          <w:rPr>
            <w:sz w:val="22"/>
            <w:szCs w:val="22"/>
          </w:rPr>
          <w:delText xml:space="preserve"> </w:delText>
        </w:r>
        <w:r w:rsidRPr="009C5EFD">
          <w:rPr>
            <w:sz w:val="22"/>
            <w:szCs w:val="22"/>
          </w:rPr>
          <w:delText xml:space="preserve">ca. </w:delText>
        </w:r>
        <w:r w:rsidR="001D4BAF" w:rsidRPr="009C5EFD">
          <w:rPr>
            <w:sz w:val="22"/>
            <w:szCs w:val="22"/>
          </w:rPr>
          <w:delText>2,</w:delText>
        </w:r>
        <w:r w:rsidR="00997F34" w:rsidRPr="009C5EFD">
          <w:rPr>
            <w:sz w:val="22"/>
            <w:szCs w:val="22"/>
          </w:rPr>
          <w:delText>7</w:delText>
        </w:r>
        <w:r w:rsidR="001D4BAF" w:rsidRPr="009C5EFD">
          <w:rPr>
            <w:sz w:val="22"/>
            <w:szCs w:val="22"/>
          </w:rPr>
          <w:delText xml:space="preserve"> </w:delText>
        </w:r>
        <w:r w:rsidRPr="009C5EFD">
          <w:rPr>
            <w:sz w:val="22"/>
            <w:szCs w:val="22"/>
          </w:rPr>
          <w:delText xml:space="preserve">per 1000 pasientår. De </w:delText>
        </w:r>
        <w:r>
          <w:rPr>
            <w:sz w:val="22"/>
            <w:szCs w:val="22"/>
          </w:rPr>
          <w:delText>spontant rapporterte</w:delText>
        </w:r>
        <w:r w:rsidRPr="009C5EFD">
          <w:rPr>
            <w:sz w:val="22"/>
            <w:szCs w:val="22"/>
          </w:rPr>
          <w:delText xml:space="preserve"> forekomstene for ikke-melanom hudkreft og lymfomer er henholdsvis ca</w:delText>
        </w:r>
        <w:r w:rsidR="00066950" w:rsidRPr="009C5EFD">
          <w:rPr>
            <w:sz w:val="22"/>
            <w:szCs w:val="22"/>
          </w:rPr>
          <w:delText>.</w:delText>
        </w:r>
        <w:r w:rsidRPr="009C5EFD">
          <w:rPr>
            <w:sz w:val="22"/>
            <w:szCs w:val="22"/>
          </w:rPr>
          <w:delText xml:space="preserve"> 0,2 og 0,</w:delText>
        </w:r>
        <w:r w:rsidR="00B14236" w:rsidRPr="009C5EFD">
          <w:rPr>
            <w:sz w:val="22"/>
            <w:szCs w:val="22"/>
          </w:rPr>
          <w:delText xml:space="preserve">3 </w:delText>
        </w:r>
        <w:r w:rsidRPr="009C5EFD">
          <w:rPr>
            <w:sz w:val="22"/>
            <w:szCs w:val="22"/>
          </w:rPr>
          <w:delText>per 1000 pasientår (se pkt. 4.4).</w:delText>
        </w:r>
      </w:del>
    </w:p>
    <w:p w14:paraId="22BF4030" w14:textId="4EF06E1D" w:rsidR="00906729" w:rsidRPr="009C5EFD" w:rsidRDefault="00906729" w:rsidP="009C5EFD">
      <w:pPr>
        <w:rPr>
          <w:del w:id="1296" w:author="AbbVie02no" w:date="2025-05-15T12:36:00Z"/>
          <w:sz w:val="22"/>
          <w:szCs w:val="22"/>
        </w:rPr>
      </w:pPr>
    </w:p>
    <w:p w14:paraId="1E0E461C" w14:textId="18F2B2CB" w:rsidR="008A216F" w:rsidRPr="009C5EFD" w:rsidRDefault="00E453CD" w:rsidP="009C5EFD">
      <w:pPr>
        <w:rPr>
          <w:del w:id="1297" w:author="AbbVie02no" w:date="2025-05-15T12:36:00Z"/>
          <w:sz w:val="22"/>
          <w:szCs w:val="22"/>
        </w:rPr>
      </w:pPr>
      <w:del w:id="1298" w:author="AbbVie02no" w:date="2025-05-15T12:36:00Z">
        <w:r w:rsidRPr="009C5EFD">
          <w:rPr>
            <w:sz w:val="22"/>
            <w:szCs w:val="22"/>
          </w:rPr>
          <w:delText>Sjeldne tilfeller av hepatosplenisk T-cellelymfom hos pasienter behandlet med adalimumab er rapportert etter markedsføring (se pkt. 4.4).</w:delText>
        </w:r>
      </w:del>
    </w:p>
    <w:p w14:paraId="24A45D64" w14:textId="31C1E386" w:rsidR="00E36496" w:rsidRPr="009C5EFD" w:rsidRDefault="00E36496" w:rsidP="009C5EFD">
      <w:pPr>
        <w:pStyle w:val="Heading8"/>
        <w:keepNext w:val="0"/>
        <w:rPr>
          <w:del w:id="1299" w:author="AbbVie02no" w:date="2025-05-15T12:36:00Z"/>
          <w:szCs w:val="22"/>
        </w:rPr>
      </w:pPr>
    </w:p>
    <w:p w14:paraId="509F882A" w14:textId="699CCF40" w:rsidR="008A216F" w:rsidRPr="007F67EE" w:rsidRDefault="00E453CD" w:rsidP="009C5EFD">
      <w:pPr>
        <w:pStyle w:val="Heading8"/>
        <w:rPr>
          <w:del w:id="1300" w:author="AbbVie02no" w:date="2025-05-15T12:36:00Z"/>
          <w:szCs w:val="22"/>
        </w:rPr>
      </w:pPr>
      <w:del w:id="1301" w:author="AbbVie02no" w:date="2025-05-15T12:36:00Z">
        <w:r w:rsidRPr="001F5D4B">
          <w:rPr>
            <w:i/>
            <w:szCs w:val="22"/>
            <w:u w:val="none"/>
          </w:rPr>
          <w:delText>Autoantistoffer</w:delText>
        </w:r>
      </w:del>
    </w:p>
    <w:p w14:paraId="13378E00" w14:textId="3FC7A8E3" w:rsidR="008A216F" w:rsidRPr="00193D76" w:rsidRDefault="008A216F" w:rsidP="009C5EFD">
      <w:pPr>
        <w:keepNext/>
        <w:rPr>
          <w:del w:id="1302" w:author="AbbVie02no" w:date="2025-05-15T12:36:00Z"/>
          <w:sz w:val="22"/>
          <w:szCs w:val="22"/>
        </w:rPr>
      </w:pPr>
    </w:p>
    <w:p w14:paraId="554F4833" w14:textId="11914BA1" w:rsidR="008A216F" w:rsidRPr="009C5EFD" w:rsidRDefault="00E453CD" w:rsidP="00E04B2A">
      <w:pPr>
        <w:rPr>
          <w:del w:id="1303" w:author="AbbVie02no" w:date="2025-05-15T12:36:00Z"/>
          <w:sz w:val="22"/>
          <w:szCs w:val="22"/>
        </w:rPr>
      </w:pPr>
      <w:del w:id="1304" w:author="AbbVie02no" w:date="2025-05-15T12:36:00Z">
        <w:r w:rsidRPr="002D0790">
          <w:rPr>
            <w:sz w:val="22"/>
            <w:szCs w:val="22"/>
          </w:rPr>
          <w:delText xml:space="preserve">Serumprøver fra pasienter ble analysert for autoantistoffer på flere tidspunkter i studiene I – V ved revmatoid artritt. Blant pasienter med negative </w:delText>
        </w:r>
        <w:r w:rsidRPr="002D0790">
          <w:rPr>
            <w:color w:val="000000"/>
            <w:sz w:val="22"/>
            <w:szCs w:val="22"/>
          </w:rPr>
          <w:delText xml:space="preserve">verdier </w:delText>
        </w:r>
        <w:r w:rsidR="001646EE">
          <w:rPr>
            <w:sz w:val="22"/>
            <w:szCs w:val="22"/>
          </w:rPr>
          <w:delText>ved baseline</w:delText>
        </w:r>
        <w:r w:rsidR="00C27926">
          <w:rPr>
            <w:sz w:val="22"/>
            <w:szCs w:val="22"/>
          </w:rPr>
          <w:delText xml:space="preserve"> </w:delText>
        </w:r>
        <w:r w:rsidRPr="00E14E58">
          <w:rPr>
            <w:sz w:val="22"/>
            <w:szCs w:val="22"/>
          </w:rPr>
          <w:delText xml:space="preserve">for antinukleære antistoff i disse </w:delText>
        </w:r>
        <w:r w:rsidRPr="00E14E58">
          <w:rPr>
            <w:sz w:val="22"/>
            <w:szCs w:val="22"/>
          </w:rPr>
          <w:lastRenderedPageBreak/>
          <w:delText>studiene ble 11,9 % av pasientene som ble beh</w:delText>
        </w:r>
        <w:r w:rsidRPr="009C5EFD">
          <w:rPr>
            <w:sz w:val="22"/>
            <w:szCs w:val="22"/>
          </w:rPr>
          <w:delText xml:space="preserve">andlet med Humira og 8,1 % av pasientene i kontrollgruppene angitt å ha positive verdier ved uke 24. To pasienter av de 3441 som ble behandlet med Humira i alle studiene av revmatoid artritt og </w:delText>
        </w:r>
        <w:r w:rsidR="00FA0A10" w:rsidRPr="009C5EFD">
          <w:rPr>
            <w:sz w:val="22"/>
            <w:szCs w:val="22"/>
          </w:rPr>
          <w:delText>psoriasisartritt</w:delText>
        </w:r>
        <w:r w:rsidRPr="009C5EFD">
          <w:rPr>
            <w:sz w:val="22"/>
            <w:szCs w:val="22"/>
          </w:rPr>
          <w:delText xml:space="preserve"> utviklet kliniske tegn på nyutviklet lupuslignende syndrom. Pasientene </w:delText>
        </w:r>
        <w:r w:rsidR="002D4C61" w:rsidRPr="009C5EFD">
          <w:rPr>
            <w:sz w:val="22"/>
            <w:szCs w:val="22"/>
          </w:rPr>
          <w:delText>ble bedre</w:delText>
        </w:r>
        <w:r w:rsidRPr="009C5EFD">
          <w:rPr>
            <w:sz w:val="22"/>
            <w:szCs w:val="22"/>
          </w:rPr>
          <w:delText xml:space="preserve"> etter at behandlingen ble avbrutt. Ingen pasienter utviklet lupusnefritt eller symptomer i sentralnervesystemet.</w:delText>
        </w:r>
      </w:del>
    </w:p>
    <w:p w14:paraId="5D91C130" w14:textId="0E0F2447" w:rsidR="008A216F" w:rsidRPr="009C5EFD" w:rsidRDefault="008A216F" w:rsidP="00E04B2A">
      <w:pPr>
        <w:rPr>
          <w:del w:id="1305" w:author="AbbVie02no" w:date="2025-05-15T12:36:00Z"/>
          <w:sz w:val="22"/>
          <w:szCs w:val="22"/>
        </w:rPr>
      </w:pPr>
    </w:p>
    <w:p w14:paraId="3BAD4786" w14:textId="7B7D588C" w:rsidR="008A216F" w:rsidRPr="00193D76" w:rsidRDefault="00E453CD" w:rsidP="00E04B2A">
      <w:pPr>
        <w:pStyle w:val="Heading2"/>
        <w:ind w:left="0"/>
        <w:rPr>
          <w:del w:id="1306" w:author="AbbVie02no" w:date="2025-05-15T12:36:00Z"/>
          <w:szCs w:val="22"/>
        </w:rPr>
      </w:pPr>
      <w:del w:id="1307" w:author="AbbVie02no" w:date="2025-05-15T12:36:00Z">
        <w:r w:rsidRPr="001F5D4B">
          <w:rPr>
            <w:i/>
            <w:szCs w:val="22"/>
            <w:u w:val="none"/>
          </w:rPr>
          <w:delText>Bivirkninger i lever og galleveier</w:delText>
        </w:r>
      </w:del>
    </w:p>
    <w:p w14:paraId="019DA78A" w14:textId="12BAF144" w:rsidR="003E64E6" w:rsidRPr="002D0790" w:rsidRDefault="003E64E6">
      <w:pPr>
        <w:rPr>
          <w:del w:id="1308" w:author="AbbVie02no" w:date="2025-05-15T12:36:00Z"/>
          <w:sz w:val="22"/>
          <w:szCs w:val="22"/>
        </w:rPr>
      </w:pPr>
    </w:p>
    <w:p w14:paraId="18311407" w14:textId="5756C0AF" w:rsidR="00B14236" w:rsidRPr="009C5EFD" w:rsidRDefault="00E453CD" w:rsidP="009C5EFD">
      <w:pPr>
        <w:rPr>
          <w:del w:id="1309" w:author="AbbVie02no" w:date="2025-05-15T12:36:00Z"/>
          <w:sz w:val="22"/>
          <w:szCs w:val="22"/>
        </w:rPr>
      </w:pPr>
      <w:del w:id="1310" w:author="AbbVie02no" w:date="2025-05-15T12:36:00Z">
        <w:r w:rsidRPr="002D0790">
          <w:rPr>
            <w:sz w:val="22"/>
            <w:szCs w:val="22"/>
          </w:rPr>
          <w:delText xml:space="preserve">I kontrollerte </w:delText>
        </w:r>
        <w:r w:rsidR="007B2E7D" w:rsidRPr="00E14E58">
          <w:rPr>
            <w:sz w:val="22"/>
            <w:szCs w:val="22"/>
          </w:rPr>
          <w:delText xml:space="preserve">fase 3 </w:delText>
        </w:r>
        <w:r w:rsidRPr="009C5EFD">
          <w:rPr>
            <w:sz w:val="22"/>
            <w:szCs w:val="22"/>
          </w:rPr>
          <w:delText>studie</w:delText>
        </w:r>
        <w:r w:rsidR="007B2E7D" w:rsidRPr="009C5EFD">
          <w:rPr>
            <w:sz w:val="22"/>
            <w:szCs w:val="22"/>
          </w:rPr>
          <w:delText>r</w:delText>
        </w:r>
        <w:r w:rsidRPr="009C5EFD">
          <w:rPr>
            <w:sz w:val="22"/>
            <w:szCs w:val="22"/>
          </w:rPr>
          <w:delText xml:space="preserve"> med </w:delText>
        </w:r>
        <w:r w:rsidR="007B2E7D" w:rsidRPr="009C5EFD">
          <w:rPr>
            <w:sz w:val="22"/>
            <w:szCs w:val="22"/>
          </w:rPr>
          <w:delText xml:space="preserve">Humira hos pasienter med </w:delText>
        </w:r>
        <w:r w:rsidRPr="009C5EFD">
          <w:rPr>
            <w:sz w:val="22"/>
            <w:szCs w:val="22"/>
          </w:rPr>
          <w:delText xml:space="preserve">revmatoid artritt </w:delText>
        </w:r>
        <w:r w:rsidR="007B2E7D" w:rsidRPr="009C5EFD">
          <w:rPr>
            <w:sz w:val="22"/>
            <w:szCs w:val="22"/>
          </w:rPr>
          <w:delText xml:space="preserve">og psoriasisartritt med en </w:delText>
        </w:r>
        <w:r w:rsidR="00D101BA" w:rsidRPr="009C5EFD">
          <w:rPr>
            <w:sz w:val="22"/>
            <w:szCs w:val="22"/>
          </w:rPr>
          <w:delText xml:space="preserve">varighet på </w:delText>
        </w:r>
        <w:r w:rsidR="007B2E7D" w:rsidRPr="009C5EFD">
          <w:rPr>
            <w:sz w:val="22"/>
            <w:szCs w:val="22"/>
          </w:rPr>
          <w:delText>kontrollperiode</w:delText>
        </w:r>
        <w:r w:rsidR="00D101BA" w:rsidRPr="009C5EFD">
          <w:rPr>
            <w:sz w:val="22"/>
            <w:szCs w:val="22"/>
          </w:rPr>
          <w:delText>n</w:delText>
        </w:r>
        <w:r w:rsidR="007B2E7D" w:rsidRPr="009C5EFD">
          <w:rPr>
            <w:sz w:val="22"/>
            <w:szCs w:val="22"/>
          </w:rPr>
          <w:delText xml:space="preserve"> </w:delText>
        </w:r>
        <w:r w:rsidR="00D101BA" w:rsidRPr="009C5EFD">
          <w:rPr>
            <w:sz w:val="22"/>
            <w:szCs w:val="22"/>
          </w:rPr>
          <w:delText xml:space="preserve">varierende </w:delText>
        </w:r>
        <w:r w:rsidR="007B2E7D" w:rsidRPr="009C5EFD">
          <w:rPr>
            <w:sz w:val="22"/>
            <w:szCs w:val="22"/>
          </w:rPr>
          <w:delText xml:space="preserve">fra 4 til 104 uker, oppstod </w:delText>
        </w:r>
        <w:r w:rsidRPr="009C5EFD">
          <w:rPr>
            <w:sz w:val="22"/>
            <w:szCs w:val="22"/>
          </w:rPr>
          <w:delText>stigninge</w:delText>
        </w:r>
        <w:r w:rsidR="007B2E7D" w:rsidRPr="009C5EFD">
          <w:rPr>
            <w:sz w:val="22"/>
            <w:szCs w:val="22"/>
          </w:rPr>
          <w:delText>r</w:delText>
        </w:r>
        <w:r w:rsidRPr="009C5EFD">
          <w:rPr>
            <w:sz w:val="22"/>
            <w:szCs w:val="22"/>
          </w:rPr>
          <w:delText xml:space="preserve"> i ALAT </w:delText>
        </w:r>
        <w:r w:rsidR="007B2E7D" w:rsidRPr="009C5EFD">
          <w:rPr>
            <w:sz w:val="22"/>
            <w:szCs w:val="22"/>
          </w:rPr>
          <w:delText>≥ 3 x ULN hos 3,7 % av pasientene behandlet med Humira og hos 1,6 % av pasientene i kontroll</w:delText>
        </w:r>
        <w:r w:rsidR="00D101BA" w:rsidRPr="009C5EFD">
          <w:rPr>
            <w:sz w:val="22"/>
            <w:szCs w:val="22"/>
          </w:rPr>
          <w:delText xml:space="preserve">gruppen. </w:delText>
        </w:r>
        <w:r w:rsidR="00DE3458" w:rsidRPr="009C5EFD">
          <w:rPr>
            <w:sz w:val="22"/>
            <w:szCs w:val="22"/>
          </w:rPr>
          <w:delText xml:space="preserve"> </w:delText>
        </w:r>
      </w:del>
    </w:p>
    <w:p w14:paraId="2DDA218B" w14:textId="362AE147" w:rsidR="001C7C40" w:rsidRPr="009C5EFD" w:rsidRDefault="001C7C40" w:rsidP="009C5EFD">
      <w:pPr>
        <w:rPr>
          <w:del w:id="1311" w:author="AbbVie02no" w:date="2025-05-15T12:36:00Z"/>
          <w:sz w:val="22"/>
          <w:szCs w:val="22"/>
        </w:rPr>
      </w:pPr>
    </w:p>
    <w:p w14:paraId="24459E0A" w14:textId="7AE04CDD" w:rsidR="00D01B06" w:rsidRPr="009C5EFD" w:rsidRDefault="00E453CD" w:rsidP="009C5EFD">
      <w:pPr>
        <w:rPr>
          <w:del w:id="1312" w:author="AbbVie02no" w:date="2025-05-15T12:36:00Z"/>
          <w:sz w:val="22"/>
          <w:szCs w:val="22"/>
        </w:rPr>
      </w:pPr>
      <w:del w:id="1313" w:author="AbbVie02no" w:date="2025-05-15T12:36:00Z">
        <w:r w:rsidRPr="009C5EFD">
          <w:rPr>
            <w:sz w:val="22"/>
            <w:szCs w:val="22"/>
          </w:rPr>
          <w:delText>I kontrollerte fase 3 studier med Humira hos pasienter med polyartikulær juvenil idiopatisk artritt</w:delText>
        </w:r>
        <w:r w:rsidR="00DC6124" w:rsidRPr="009C5EFD">
          <w:rPr>
            <w:sz w:val="22"/>
            <w:szCs w:val="22"/>
          </w:rPr>
          <w:delText xml:space="preserve"> i alderen</w:delText>
        </w:r>
        <w:r w:rsidR="008F20AB" w:rsidRPr="009C5EFD">
          <w:rPr>
            <w:sz w:val="22"/>
            <w:szCs w:val="22"/>
          </w:rPr>
          <w:delText xml:space="preserve"> 4 til 17 år og entesitt</w:delText>
        </w:r>
        <w:r w:rsidRPr="009C5EFD">
          <w:rPr>
            <w:sz w:val="22"/>
            <w:szCs w:val="22"/>
          </w:rPr>
          <w:delText xml:space="preserve">relatert artritt </w:delText>
        </w:r>
        <w:r w:rsidR="00DC6124" w:rsidRPr="009C5EFD">
          <w:rPr>
            <w:sz w:val="22"/>
            <w:szCs w:val="22"/>
          </w:rPr>
          <w:delText xml:space="preserve">i alderen </w:delText>
        </w:r>
        <w:r w:rsidRPr="009C5EFD">
          <w:rPr>
            <w:sz w:val="22"/>
            <w:szCs w:val="22"/>
          </w:rPr>
          <w:delText>6 til 17 år, oppstod stigninger i ALAT ≥ 3 x ULN hos 6,1 % av pasientene behandlet med Humira og hos 1,3 % av pasientene i kontrollgruppen. De fleste</w:delText>
        </w:r>
        <w:r w:rsidR="008F20AB" w:rsidRPr="009C5EFD">
          <w:rPr>
            <w:sz w:val="22"/>
            <w:szCs w:val="22"/>
          </w:rPr>
          <w:delText xml:space="preserve"> stigninger i</w:delText>
        </w:r>
        <w:r w:rsidRPr="009C5EFD">
          <w:rPr>
            <w:sz w:val="22"/>
            <w:szCs w:val="22"/>
          </w:rPr>
          <w:delText xml:space="preserve"> AL</w:delText>
        </w:r>
        <w:r w:rsidR="00CA0654" w:rsidRPr="009C5EFD">
          <w:rPr>
            <w:sz w:val="22"/>
            <w:szCs w:val="22"/>
          </w:rPr>
          <w:delText>A</w:delText>
        </w:r>
        <w:r w:rsidRPr="009C5EFD">
          <w:rPr>
            <w:sz w:val="22"/>
            <w:szCs w:val="22"/>
          </w:rPr>
          <w:delText xml:space="preserve">T oppstod </w:delText>
        </w:r>
        <w:r w:rsidR="00966B5F" w:rsidRPr="009C5EFD">
          <w:rPr>
            <w:sz w:val="22"/>
            <w:szCs w:val="22"/>
          </w:rPr>
          <w:delText>ved samtidig bruk av metotreksat</w:delText>
        </w:r>
        <w:r w:rsidR="001C7C40" w:rsidRPr="009C5EFD">
          <w:rPr>
            <w:sz w:val="22"/>
            <w:szCs w:val="22"/>
          </w:rPr>
          <w:delText xml:space="preserve">. </w:delText>
        </w:r>
        <w:r w:rsidR="00966B5F" w:rsidRPr="009C5EFD">
          <w:rPr>
            <w:sz w:val="22"/>
            <w:szCs w:val="22"/>
          </w:rPr>
          <w:delText>Det var i</w:delText>
        </w:r>
        <w:r w:rsidR="001C7C40" w:rsidRPr="009C5EFD">
          <w:rPr>
            <w:sz w:val="22"/>
            <w:szCs w:val="22"/>
          </w:rPr>
          <w:delText>ngen stigninger i ALAT ≥ 3 x ULN i fase 3 studie</w:delText>
        </w:r>
        <w:r w:rsidR="00966B5F" w:rsidRPr="009C5EFD">
          <w:rPr>
            <w:sz w:val="22"/>
            <w:szCs w:val="22"/>
          </w:rPr>
          <w:delText>n med Humi</w:delText>
        </w:r>
        <w:r w:rsidR="001C7C40" w:rsidRPr="009C5EFD">
          <w:rPr>
            <w:sz w:val="22"/>
            <w:szCs w:val="22"/>
          </w:rPr>
          <w:delText xml:space="preserve">ra hos pasienter med polyartikulær juvenil idiopatisk artritt </w:delText>
        </w:r>
        <w:r w:rsidR="00CA0654" w:rsidRPr="009C5EFD">
          <w:rPr>
            <w:sz w:val="22"/>
            <w:szCs w:val="22"/>
          </w:rPr>
          <w:delText>i</w:delText>
        </w:r>
        <w:r w:rsidR="001C7C40" w:rsidRPr="009C5EFD">
          <w:rPr>
            <w:sz w:val="22"/>
            <w:szCs w:val="22"/>
          </w:rPr>
          <w:delText xml:space="preserve"> </w:delText>
        </w:r>
        <w:r w:rsidR="00966B5F" w:rsidRPr="009C5EFD">
          <w:rPr>
            <w:sz w:val="22"/>
            <w:szCs w:val="22"/>
          </w:rPr>
          <w:delText xml:space="preserve">alderen </w:delText>
        </w:r>
        <w:r w:rsidR="001C7C40" w:rsidRPr="009C5EFD">
          <w:rPr>
            <w:sz w:val="22"/>
            <w:szCs w:val="22"/>
          </w:rPr>
          <w:delText xml:space="preserve">2 til </w:delText>
        </w:r>
        <w:r w:rsidR="00CA0654" w:rsidRPr="009C5EFD">
          <w:rPr>
            <w:sz w:val="22"/>
            <w:szCs w:val="22"/>
          </w:rPr>
          <w:delText xml:space="preserve">&lt; </w:delText>
        </w:r>
        <w:r w:rsidR="001C7C40" w:rsidRPr="009C5EFD">
          <w:rPr>
            <w:sz w:val="22"/>
            <w:szCs w:val="22"/>
          </w:rPr>
          <w:delText>4 år.</w:delText>
        </w:r>
      </w:del>
    </w:p>
    <w:p w14:paraId="1DCC9ADF" w14:textId="09F1C5BB" w:rsidR="00B14236" w:rsidRPr="009C5EFD" w:rsidRDefault="00B14236" w:rsidP="009C5EFD">
      <w:pPr>
        <w:rPr>
          <w:del w:id="1314" w:author="AbbVie02no" w:date="2025-05-15T12:36:00Z"/>
          <w:i/>
          <w:sz w:val="22"/>
          <w:szCs w:val="22"/>
        </w:rPr>
      </w:pPr>
    </w:p>
    <w:p w14:paraId="4D5E25CE" w14:textId="7D151F47" w:rsidR="00DE3458" w:rsidRPr="009C5EFD" w:rsidRDefault="00E453CD" w:rsidP="009C5EFD">
      <w:pPr>
        <w:rPr>
          <w:del w:id="1315" w:author="AbbVie02no" w:date="2025-05-15T12:36:00Z"/>
          <w:sz w:val="22"/>
          <w:szCs w:val="22"/>
        </w:rPr>
      </w:pPr>
      <w:del w:id="1316" w:author="AbbVie02no" w:date="2025-05-15T12:36:00Z">
        <w:r w:rsidRPr="009C5EFD">
          <w:rPr>
            <w:sz w:val="22"/>
            <w:szCs w:val="22"/>
          </w:rPr>
          <w:delText xml:space="preserve">I </w:delText>
        </w:r>
        <w:r w:rsidR="00292653" w:rsidRPr="009C5EFD">
          <w:rPr>
            <w:sz w:val="22"/>
            <w:szCs w:val="22"/>
          </w:rPr>
          <w:delText xml:space="preserve">kontrollerte fase 3 </w:delText>
        </w:r>
        <w:r w:rsidRPr="009C5EFD">
          <w:rPr>
            <w:sz w:val="22"/>
            <w:szCs w:val="22"/>
          </w:rPr>
          <w:delText xml:space="preserve">studier </w:delText>
        </w:r>
        <w:r w:rsidR="00292653" w:rsidRPr="009C5EFD">
          <w:rPr>
            <w:sz w:val="22"/>
            <w:szCs w:val="22"/>
          </w:rPr>
          <w:delText>med Humira hos pasienter med Crohns sykdom og ulcerøs kolitt med en varighet på kontrollperioden varierende fra 4 til 52 uker, oppstod stigninger i ALAT ≥ 3 x ULN hos 0,9 % av pasientene behandlet med Humira og hos 0,9 % av pasientene i kontrollgruppen.</w:delText>
        </w:r>
        <w:r w:rsidR="00E3288A">
          <w:rPr>
            <w:sz w:val="22"/>
            <w:szCs w:val="22"/>
          </w:rPr>
          <w:delText xml:space="preserve"> </w:delText>
        </w:r>
      </w:del>
    </w:p>
    <w:p w14:paraId="2FDD284A" w14:textId="2E5DD7B6" w:rsidR="00886F42" w:rsidRPr="009C5EFD" w:rsidRDefault="00886F42" w:rsidP="009C5EFD">
      <w:pPr>
        <w:rPr>
          <w:del w:id="1317" w:author="AbbVie02no" w:date="2025-05-15T12:36:00Z"/>
          <w:sz w:val="22"/>
          <w:szCs w:val="22"/>
        </w:rPr>
      </w:pPr>
    </w:p>
    <w:p w14:paraId="525F75F3" w14:textId="4CC6049D" w:rsidR="00DB57A5" w:rsidRPr="009C5EFD" w:rsidRDefault="00E453CD" w:rsidP="009C5EFD">
      <w:pPr>
        <w:rPr>
          <w:del w:id="1318" w:author="AbbVie02no" w:date="2025-05-15T12:36:00Z"/>
          <w:sz w:val="22"/>
          <w:szCs w:val="22"/>
        </w:rPr>
      </w:pPr>
      <w:del w:id="1319" w:author="AbbVie02no" w:date="2025-05-15T12:36:00Z">
        <w:r w:rsidRPr="009C5EFD">
          <w:rPr>
            <w:sz w:val="22"/>
            <w:szCs w:val="22"/>
          </w:rPr>
          <w:delText xml:space="preserve">I fase 3 studien med Humira hos pasienter med pediatrisk Crohns sykdom som </w:delText>
        </w:r>
        <w:r w:rsidR="006B250F">
          <w:rPr>
            <w:sz w:val="22"/>
            <w:szCs w:val="22"/>
          </w:rPr>
          <w:delText>vurderte</w:delText>
        </w:r>
        <w:r w:rsidRPr="009C5EFD">
          <w:rPr>
            <w:sz w:val="22"/>
            <w:szCs w:val="22"/>
          </w:rPr>
          <w:delText xml:space="preserve"> effekt og sikkerhet av to kroppsvektjusterte vedlikeholdsdoseregimer etter kroppsvektjustert induksjons</w:delText>
        </w:r>
        <w:r w:rsidR="005C4746">
          <w:rPr>
            <w:sz w:val="22"/>
            <w:szCs w:val="22"/>
          </w:rPr>
          <w:delText>behandling</w:delText>
        </w:r>
        <w:r w:rsidRPr="009C5EFD">
          <w:rPr>
            <w:sz w:val="22"/>
            <w:szCs w:val="22"/>
          </w:rPr>
          <w:delText xml:space="preserve"> opptil 52 ukers behandling,</w:delText>
        </w:r>
        <w:r w:rsidR="00744283">
          <w:rPr>
            <w:sz w:val="22"/>
            <w:szCs w:val="22"/>
          </w:rPr>
          <w:delText xml:space="preserve"> </w:delText>
        </w:r>
        <w:r w:rsidRPr="009C5EFD">
          <w:rPr>
            <w:sz w:val="22"/>
            <w:szCs w:val="22"/>
          </w:rPr>
          <w:delText xml:space="preserve">oppstod stigninger i ALAT ≥ 3 x ULN hos 2,6 % </w:delText>
        </w:r>
        <w:r w:rsidR="005C3658" w:rsidRPr="009C5EFD">
          <w:rPr>
            <w:sz w:val="22"/>
            <w:szCs w:val="22"/>
          </w:rPr>
          <w:delText xml:space="preserve">(5/192) </w:delText>
        </w:r>
        <w:r w:rsidRPr="009C5EFD">
          <w:rPr>
            <w:sz w:val="22"/>
            <w:szCs w:val="22"/>
          </w:rPr>
          <w:delText xml:space="preserve">av pasientene </w:delText>
        </w:r>
        <w:r w:rsidR="005C3658" w:rsidRPr="009C5EFD">
          <w:rPr>
            <w:sz w:val="22"/>
            <w:szCs w:val="22"/>
          </w:rPr>
          <w:delText xml:space="preserve">hvor 4 av de fikk </w:delText>
        </w:r>
        <w:r w:rsidRPr="009C5EFD">
          <w:rPr>
            <w:sz w:val="22"/>
            <w:szCs w:val="22"/>
          </w:rPr>
          <w:delText xml:space="preserve"> samtidig immundempende behandling ved baseline.</w:delText>
        </w:r>
      </w:del>
    </w:p>
    <w:p w14:paraId="333CC7AA" w14:textId="63ABCB95" w:rsidR="00906729" w:rsidRPr="009C5EFD" w:rsidRDefault="00906729" w:rsidP="009C5EFD">
      <w:pPr>
        <w:rPr>
          <w:del w:id="1320" w:author="AbbVie02no" w:date="2025-05-15T12:36:00Z"/>
          <w:sz w:val="22"/>
          <w:szCs w:val="22"/>
        </w:rPr>
      </w:pPr>
    </w:p>
    <w:p w14:paraId="3DC49D2C" w14:textId="785AE7D0" w:rsidR="00906729" w:rsidRPr="009C5EFD" w:rsidRDefault="00E453CD" w:rsidP="009C5EFD">
      <w:pPr>
        <w:rPr>
          <w:del w:id="1321" w:author="AbbVie02no" w:date="2025-05-15T12:36:00Z"/>
          <w:sz w:val="22"/>
          <w:szCs w:val="22"/>
        </w:rPr>
      </w:pPr>
      <w:del w:id="1322" w:author="AbbVie02no" w:date="2025-05-15T12:36:00Z">
        <w:r w:rsidRPr="009C5EFD">
          <w:rPr>
            <w:sz w:val="22"/>
            <w:szCs w:val="22"/>
          </w:rPr>
          <w:delText xml:space="preserve">I kontrollerte fase 3 studier med Humira hos pasienter med plakkpsoriasis med </w:delText>
        </w:r>
        <w:r w:rsidR="00040C50" w:rsidRPr="009C5EFD">
          <w:rPr>
            <w:sz w:val="22"/>
            <w:szCs w:val="22"/>
          </w:rPr>
          <w:delText xml:space="preserve">en </w:delText>
        </w:r>
        <w:r w:rsidRPr="009C5EFD">
          <w:rPr>
            <w:sz w:val="22"/>
            <w:szCs w:val="22"/>
          </w:rPr>
          <w:delText>kontrollperiode varierende fra 12 til 24 uker, oppstod stigninger i ALAT ≥ 3 x ULN hos 1,8 % av pasientene behandlet med Humira og hos 1,8 % av pasientene i kontrollgruppen.</w:delText>
        </w:r>
      </w:del>
    </w:p>
    <w:p w14:paraId="3ACE87B6" w14:textId="527C1FFB" w:rsidR="00906729" w:rsidRPr="009C5EFD" w:rsidRDefault="00906729" w:rsidP="009C5EFD">
      <w:pPr>
        <w:rPr>
          <w:del w:id="1323" w:author="AbbVie02no" w:date="2025-05-15T12:36:00Z"/>
          <w:sz w:val="22"/>
          <w:szCs w:val="22"/>
        </w:rPr>
      </w:pPr>
    </w:p>
    <w:p w14:paraId="20392C15" w14:textId="35319B40" w:rsidR="00906729" w:rsidRPr="009C5EFD" w:rsidRDefault="00E453CD" w:rsidP="009C5EFD">
      <w:pPr>
        <w:rPr>
          <w:del w:id="1324" w:author="AbbVie02no" w:date="2025-05-15T12:36:00Z"/>
          <w:sz w:val="22"/>
          <w:szCs w:val="22"/>
        </w:rPr>
      </w:pPr>
      <w:del w:id="1325" w:author="AbbVie02no" w:date="2025-05-15T12:36:00Z">
        <w:r w:rsidRPr="009C5EFD">
          <w:rPr>
            <w:sz w:val="22"/>
            <w:szCs w:val="22"/>
          </w:rPr>
          <w:delText>Ingen stigninger i ALAT ≥ 3 x ULN</w:delText>
        </w:r>
        <w:r w:rsidR="00314992" w:rsidRPr="009C5EFD">
          <w:rPr>
            <w:sz w:val="22"/>
            <w:szCs w:val="22"/>
          </w:rPr>
          <w:delText xml:space="preserve"> ble sett i fase 3</w:delText>
        </w:r>
        <w:r w:rsidRPr="009C5EFD">
          <w:rPr>
            <w:sz w:val="22"/>
            <w:szCs w:val="22"/>
          </w:rPr>
          <w:delText xml:space="preserve"> studier med Humira hos pediatriske pasienter med plakkpsoriasis.</w:delText>
        </w:r>
      </w:del>
    </w:p>
    <w:p w14:paraId="4C5CE8BC" w14:textId="4B1DB779" w:rsidR="00DB57A5" w:rsidRPr="009C5EFD" w:rsidRDefault="00DB57A5" w:rsidP="009C5EFD">
      <w:pPr>
        <w:rPr>
          <w:del w:id="1326" w:author="AbbVie02no" w:date="2025-05-15T12:36:00Z"/>
          <w:sz w:val="22"/>
          <w:szCs w:val="22"/>
        </w:rPr>
      </w:pPr>
    </w:p>
    <w:p w14:paraId="23595C99" w14:textId="40F92BFA" w:rsidR="005C3658" w:rsidRDefault="00E453CD" w:rsidP="009C5EFD">
      <w:pPr>
        <w:rPr>
          <w:del w:id="1327" w:author="AbbVie02no" w:date="2025-05-15T12:36:00Z"/>
          <w:rFonts w:eastAsia="TimesNewRoman"/>
          <w:sz w:val="22"/>
          <w:szCs w:val="22"/>
        </w:rPr>
      </w:pPr>
      <w:del w:id="1328" w:author="AbbVie02no" w:date="2025-05-15T12:36:00Z">
        <w:r w:rsidRPr="009C5EFD">
          <w:rPr>
            <w:rFonts w:eastAsia="TimesNewRoman"/>
            <w:sz w:val="22"/>
            <w:szCs w:val="22"/>
          </w:rPr>
          <w:delText xml:space="preserve">I kontrollerte studier med Humira (startdoser på 160 mg ved uke 0 og 80 mg ved uke 2, etterfulgt av 40 mg hver uke </w:delText>
        </w:r>
        <w:r w:rsidR="00EE0275">
          <w:rPr>
            <w:rFonts w:eastAsia="TimesNewRoman"/>
            <w:sz w:val="22"/>
            <w:szCs w:val="22"/>
          </w:rPr>
          <w:delText>fra</w:delText>
        </w:r>
        <w:r w:rsidR="00EE0275" w:rsidRPr="009C5EFD">
          <w:rPr>
            <w:rFonts w:eastAsia="TimesNewRoman"/>
            <w:sz w:val="22"/>
            <w:szCs w:val="22"/>
          </w:rPr>
          <w:delText xml:space="preserve"> </w:delText>
        </w:r>
        <w:r w:rsidRPr="009C5EFD">
          <w:rPr>
            <w:rFonts w:eastAsia="TimesNewRoman"/>
            <w:sz w:val="22"/>
            <w:szCs w:val="22"/>
          </w:rPr>
          <w:delText xml:space="preserve">uke 4) hos pasienter med </w:delText>
        </w:r>
        <w:r w:rsidR="007F67EE" w:rsidRPr="009C5EFD">
          <w:rPr>
            <w:rFonts w:eastAsia="TimesNewRoman"/>
            <w:sz w:val="22"/>
            <w:szCs w:val="22"/>
          </w:rPr>
          <w:delText>hidrosadenitt</w:delText>
        </w:r>
        <w:r w:rsidRPr="009C5EFD">
          <w:rPr>
            <w:rFonts w:eastAsia="TimesNewRoman"/>
            <w:sz w:val="22"/>
            <w:szCs w:val="22"/>
          </w:rPr>
          <w:delText xml:space="preserve"> med en </w:delText>
        </w:r>
        <w:r w:rsidR="00515B31">
          <w:rPr>
            <w:rFonts w:eastAsia="TimesNewRoman"/>
            <w:sz w:val="22"/>
            <w:szCs w:val="22"/>
          </w:rPr>
          <w:delText xml:space="preserve"> </w:delText>
        </w:r>
        <w:r w:rsidRPr="009C5EFD">
          <w:rPr>
            <w:rFonts w:eastAsia="TimesNewRoman"/>
            <w:sz w:val="22"/>
            <w:szCs w:val="22"/>
          </w:rPr>
          <w:delText xml:space="preserve">kontrollperiode </w:delText>
        </w:r>
        <w:r w:rsidR="00B14E67">
          <w:rPr>
            <w:rFonts w:eastAsia="TimesNewRoman"/>
            <w:sz w:val="22"/>
            <w:szCs w:val="22"/>
          </w:rPr>
          <w:delText>mellom</w:delText>
        </w:r>
        <w:r w:rsidRPr="009C5EFD">
          <w:rPr>
            <w:rFonts w:eastAsia="TimesNewRoman"/>
            <w:sz w:val="22"/>
            <w:szCs w:val="22"/>
          </w:rPr>
          <w:delText xml:space="preserve"> 12 til 16 uker, oppstod stigninger i ALAT ≥ 3 x ULN hos 0,3 % av pasientene behandlet med Humira og hos 0,6 % av pasientene i kontrollgruppen.</w:delText>
        </w:r>
      </w:del>
    </w:p>
    <w:p w14:paraId="36422D6D" w14:textId="3218E47F" w:rsidR="00460F41" w:rsidRDefault="00460F41" w:rsidP="009C5EFD">
      <w:pPr>
        <w:rPr>
          <w:del w:id="1329" w:author="AbbVie02no" w:date="2025-05-15T12:36:00Z"/>
          <w:rFonts w:eastAsia="TimesNewRoman"/>
          <w:sz w:val="22"/>
          <w:szCs w:val="22"/>
        </w:rPr>
      </w:pPr>
    </w:p>
    <w:p w14:paraId="23D59241" w14:textId="7E051A2D" w:rsidR="00E3288A" w:rsidRDefault="00E453CD" w:rsidP="00E3288A">
      <w:pPr>
        <w:rPr>
          <w:del w:id="1330" w:author="AbbVie02no" w:date="2025-05-15T12:36:00Z"/>
          <w:rFonts w:eastAsia="TimesNewRoman"/>
          <w:sz w:val="22"/>
          <w:szCs w:val="22"/>
        </w:rPr>
      </w:pPr>
      <w:del w:id="1331" w:author="AbbVie02no" w:date="2025-05-15T12:36:00Z">
        <w:r w:rsidRPr="009C5EFD">
          <w:rPr>
            <w:rFonts w:eastAsia="TimesNewRoman"/>
            <w:sz w:val="22"/>
            <w:szCs w:val="22"/>
          </w:rPr>
          <w:delText xml:space="preserve">I kontrollerte studier med Humira (startdoser på </w:delText>
        </w:r>
        <w:r>
          <w:rPr>
            <w:rFonts w:eastAsia="TimesNewRoman"/>
            <w:sz w:val="22"/>
            <w:szCs w:val="22"/>
          </w:rPr>
          <w:delText>80</w:delText>
        </w:r>
        <w:r w:rsidR="00FB0A15">
          <w:rPr>
            <w:rFonts w:eastAsia="TimesNewRoman"/>
            <w:sz w:val="22"/>
            <w:szCs w:val="22"/>
          </w:rPr>
          <w:delText> </w:delText>
        </w:r>
        <w:r w:rsidRPr="009C5EFD">
          <w:rPr>
            <w:rFonts w:eastAsia="TimesNewRoman"/>
            <w:sz w:val="22"/>
            <w:szCs w:val="22"/>
          </w:rPr>
          <w:delText xml:space="preserve">mg ved uke 0 etterfulgt av 40 mg </w:delText>
        </w:r>
        <w:r>
          <w:rPr>
            <w:rFonts w:eastAsia="TimesNewRoman"/>
            <w:sz w:val="22"/>
            <w:szCs w:val="22"/>
          </w:rPr>
          <w:delText>annenhver uke fra uke 1</w:delText>
        </w:r>
        <w:r w:rsidRPr="009C5EFD">
          <w:rPr>
            <w:rFonts w:eastAsia="TimesNewRoman"/>
            <w:sz w:val="22"/>
            <w:szCs w:val="22"/>
          </w:rPr>
          <w:delText>) hos</w:delText>
        </w:r>
        <w:r>
          <w:rPr>
            <w:rFonts w:eastAsia="TimesNewRoman"/>
            <w:sz w:val="22"/>
            <w:szCs w:val="22"/>
          </w:rPr>
          <w:delText xml:space="preserve"> voksne</w:delText>
        </w:r>
        <w:r w:rsidRPr="009C5EFD">
          <w:rPr>
            <w:rFonts w:eastAsia="TimesNewRoman"/>
            <w:sz w:val="22"/>
            <w:szCs w:val="22"/>
          </w:rPr>
          <w:delText xml:space="preserve"> pasienter med </w:delText>
        </w:r>
        <w:r>
          <w:rPr>
            <w:rFonts w:eastAsia="TimesNewRoman"/>
            <w:sz w:val="22"/>
            <w:szCs w:val="22"/>
          </w:rPr>
          <w:delText>uveitt</w:delText>
        </w:r>
        <w:r w:rsidRPr="009C5EFD">
          <w:rPr>
            <w:rFonts w:eastAsia="TimesNewRoman"/>
            <w:sz w:val="22"/>
            <w:szCs w:val="22"/>
          </w:rPr>
          <w:delText xml:space="preserve"> </w:delText>
        </w:r>
        <w:r>
          <w:rPr>
            <w:rFonts w:eastAsia="TimesNewRoman"/>
            <w:sz w:val="22"/>
            <w:szCs w:val="22"/>
          </w:rPr>
          <w:delText>opp</w:delText>
        </w:r>
        <w:r w:rsidRPr="009C5EFD">
          <w:rPr>
            <w:rFonts w:eastAsia="TimesNewRoman"/>
            <w:sz w:val="22"/>
            <w:szCs w:val="22"/>
          </w:rPr>
          <w:delText xml:space="preserve">til </w:delText>
        </w:r>
        <w:r>
          <w:rPr>
            <w:rFonts w:eastAsia="TimesNewRoman"/>
            <w:sz w:val="22"/>
            <w:szCs w:val="22"/>
          </w:rPr>
          <w:delText>80</w:delText>
        </w:r>
        <w:r w:rsidRPr="009C5EFD">
          <w:rPr>
            <w:rFonts w:eastAsia="TimesNewRoman"/>
            <w:sz w:val="22"/>
            <w:szCs w:val="22"/>
          </w:rPr>
          <w:delText xml:space="preserve"> uker</w:delText>
        </w:r>
        <w:r>
          <w:rPr>
            <w:rFonts w:eastAsia="TimesNewRoman"/>
            <w:sz w:val="22"/>
            <w:szCs w:val="22"/>
          </w:rPr>
          <w:delText xml:space="preserve"> med </w:delText>
        </w:r>
        <w:r w:rsidR="00637139">
          <w:rPr>
            <w:rFonts w:eastAsia="TimesNewRoman"/>
            <w:sz w:val="22"/>
            <w:szCs w:val="22"/>
          </w:rPr>
          <w:delText xml:space="preserve">median </w:delText>
        </w:r>
        <w:r>
          <w:rPr>
            <w:rFonts w:eastAsia="TimesNewRoman"/>
            <w:sz w:val="22"/>
            <w:szCs w:val="22"/>
          </w:rPr>
          <w:delText>eksponering på 166,5 dager hos de Humirabehandlede og 105,0 dager hos kontrollpasientene</w:delText>
        </w:r>
        <w:r w:rsidRPr="009C5EFD">
          <w:rPr>
            <w:rFonts w:eastAsia="TimesNewRoman"/>
            <w:sz w:val="22"/>
            <w:szCs w:val="22"/>
          </w:rPr>
          <w:delText>, oppstod stigninger i ALAT ≥</w:delText>
        </w:r>
        <w:r w:rsidR="00FB0A15">
          <w:rPr>
            <w:rFonts w:eastAsia="TimesNewRoman"/>
            <w:sz w:val="22"/>
            <w:szCs w:val="22"/>
          </w:rPr>
          <w:delText> </w:delText>
        </w:r>
        <w:r w:rsidRPr="009C5EFD">
          <w:rPr>
            <w:rFonts w:eastAsia="TimesNewRoman"/>
            <w:sz w:val="22"/>
            <w:szCs w:val="22"/>
          </w:rPr>
          <w:delText>3</w:delText>
        </w:r>
        <w:r w:rsidR="00FB0A15">
          <w:rPr>
            <w:rFonts w:eastAsia="TimesNewRoman"/>
            <w:sz w:val="22"/>
            <w:szCs w:val="22"/>
          </w:rPr>
          <w:delText> </w:delText>
        </w:r>
        <w:r w:rsidRPr="009C5EFD">
          <w:rPr>
            <w:rFonts w:eastAsia="TimesNewRoman"/>
            <w:sz w:val="22"/>
            <w:szCs w:val="22"/>
          </w:rPr>
          <w:delText>x</w:delText>
        </w:r>
        <w:r w:rsidR="00FB0A15">
          <w:rPr>
            <w:rFonts w:eastAsia="TimesNewRoman"/>
            <w:sz w:val="22"/>
            <w:szCs w:val="22"/>
          </w:rPr>
          <w:delText> </w:delText>
        </w:r>
        <w:r w:rsidRPr="009C5EFD">
          <w:rPr>
            <w:rFonts w:eastAsia="TimesNewRoman"/>
            <w:sz w:val="22"/>
            <w:szCs w:val="22"/>
          </w:rPr>
          <w:delText xml:space="preserve">ULN hos </w:delText>
        </w:r>
        <w:r>
          <w:rPr>
            <w:rFonts w:eastAsia="TimesNewRoman"/>
            <w:sz w:val="22"/>
            <w:szCs w:val="22"/>
          </w:rPr>
          <w:delText>2,4</w:delText>
        </w:r>
        <w:r w:rsidRPr="009C5EFD">
          <w:rPr>
            <w:rFonts w:eastAsia="TimesNewRoman"/>
            <w:sz w:val="22"/>
            <w:szCs w:val="22"/>
          </w:rPr>
          <w:delText xml:space="preserve"> % av pasientene behandlet med Humira og hos </w:delText>
        </w:r>
        <w:r>
          <w:rPr>
            <w:rFonts w:eastAsia="TimesNewRoman"/>
            <w:sz w:val="22"/>
            <w:szCs w:val="22"/>
          </w:rPr>
          <w:delText>2,4</w:delText>
        </w:r>
        <w:r w:rsidRPr="009C5EFD">
          <w:rPr>
            <w:rFonts w:eastAsia="TimesNewRoman"/>
            <w:sz w:val="22"/>
            <w:szCs w:val="22"/>
          </w:rPr>
          <w:delText xml:space="preserve"> % a</w:delText>
        </w:r>
        <w:r>
          <w:rPr>
            <w:rFonts w:eastAsia="TimesNewRoman"/>
            <w:sz w:val="22"/>
            <w:szCs w:val="22"/>
          </w:rPr>
          <w:delText xml:space="preserve">v pasientene i kontrollgruppen. </w:delText>
        </w:r>
      </w:del>
    </w:p>
    <w:p w14:paraId="5358916B" w14:textId="222641A3" w:rsidR="0015674E" w:rsidRPr="00004B19" w:rsidRDefault="00E453CD" w:rsidP="0015674E">
      <w:pPr>
        <w:rPr>
          <w:del w:id="1332" w:author="AbbVie02no" w:date="2025-05-15T12:36:00Z"/>
          <w:rStyle w:val="normaltextrun"/>
          <w:sz w:val="22"/>
          <w:shd w:val="clear" w:color="auto" w:fill="FFFFFF"/>
        </w:rPr>
      </w:pPr>
      <w:del w:id="1333" w:author="AbbVie02no" w:date="2025-05-15T12:36:00Z">
        <w:r w:rsidRPr="00004B19">
          <w:rPr>
            <w:rStyle w:val="normaltextrun"/>
            <w:sz w:val="22"/>
            <w:shd w:val="clear" w:color="auto" w:fill="FFFFFF"/>
          </w:rPr>
          <w:delText>I den kontrollerte fase 3</w:delText>
        </w:r>
        <w:r>
          <w:rPr>
            <w:rStyle w:val="normaltextrun"/>
            <w:sz w:val="22"/>
            <w:shd w:val="clear" w:color="auto" w:fill="FFFFFF"/>
          </w:rPr>
          <w:delText xml:space="preserve"> </w:delText>
        </w:r>
        <w:r w:rsidRPr="00004B19">
          <w:rPr>
            <w:rStyle w:val="normaltextrun"/>
            <w:sz w:val="22"/>
            <w:shd w:val="clear" w:color="auto" w:fill="FFFFFF"/>
          </w:rPr>
          <w:delText xml:space="preserve">studien </w:delText>
        </w:r>
        <w:r>
          <w:rPr>
            <w:rStyle w:val="normaltextrun"/>
            <w:sz w:val="22"/>
            <w:shd w:val="clear" w:color="auto" w:fill="FFFFFF"/>
          </w:rPr>
          <w:delText>med</w:delText>
        </w:r>
        <w:r w:rsidRPr="00004B19">
          <w:rPr>
            <w:rStyle w:val="normaltextrun"/>
            <w:sz w:val="22"/>
            <w:shd w:val="clear" w:color="auto" w:fill="FFFFFF"/>
          </w:rPr>
          <w:delText xml:space="preserve"> Humira hos pasienter med pediatrisk ulcerøs kolitt (N = 93) som </w:delText>
        </w:r>
        <w:r w:rsidR="006B250F">
          <w:rPr>
            <w:rStyle w:val="normaltextrun"/>
            <w:sz w:val="22"/>
            <w:shd w:val="clear" w:color="auto" w:fill="FFFFFF"/>
          </w:rPr>
          <w:delText>vurderte</w:delText>
        </w:r>
        <w:r w:rsidRPr="00004B19">
          <w:rPr>
            <w:rStyle w:val="normaltextrun"/>
            <w:sz w:val="22"/>
            <w:shd w:val="clear" w:color="auto" w:fill="FFFFFF"/>
          </w:rPr>
          <w:delText xml:space="preserve"> effekt og sikkerhet av en vedlikeholdsdose på 0,6</w:delText>
        </w:r>
        <w:r>
          <w:rPr>
            <w:rStyle w:val="normaltextrun"/>
            <w:sz w:val="22"/>
            <w:shd w:val="clear" w:color="auto" w:fill="FFFFFF"/>
          </w:rPr>
          <w:delText> </w:delText>
        </w:r>
        <w:r w:rsidRPr="00004B19">
          <w:rPr>
            <w:rStyle w:val="normaltextrun"/>
            <w:sz w:val="22"/>
            <w:shd w:val="clear" w:color="auto" w:fill="FFFFFF"/>
          </w:rPr>
          <w:delText>mg/kg (maksimalt 40</w:delText>
        </w:r>
        <w:r>
          <w:rPr>
            <w:rStyle w:val="normaltextrun"/>
            <w:sz w:val="22"/>
            <w:shd w:val="clear" w:color="auto" w:fill="FFFFFF"/>
          </w:rPr>
          <w:delText> </w:delText>
        </w:r>
        <w:r w:rsidRPr="00004B19">
          <w:rPr>
            <w:rStyle w:val="normaltextrun"/>
            <w:sz w:val="22"/>
            <w:shd w:val="clear" w:color="auto" w:fill="FFFFFF"/>
          </w:rPr>
          <w:delText>mg) annenhver uke (N = 31) og en vedlikeholdsdose på 0,6</w:delText>
        </w:r>
        <w:r>
          <w:rPr>
            <w:rStyle w:val="normaltextrun"/>
            <w:sz w:val="22"/>
            <w:shd w:val="clear" w:color="auto" w:fill="FFFFFF"/>
          </w:rPr>
          <w:delText> </w:delText>
        </w:r>
        <w:r w:rsidRPr="00004B19">
          <w:rPr>
            <w:rStyle w:val="normaltextrun"/>
            <w:sz w:val="22"/>
            <w:shd w:val="clear" w:color="auto" w:fill="FFFFFF"/>
          </w:rPr>
          <w:delText>mg/kg (maksim</w:delText>
        </w:r>
        <w:r>
          <w:rPr>
            <w:rStyle w:val="normaltextrun"/>
            <w:sz w:val="22"/>
            <w:shd w:val="clear" w:color="auto" w:fill="FFFFFF"/>
          </w:rPr>
          <w:delText>alt</w:delText>
        </w:r>
        <w:r w:rsidRPr="00004B19">
          <w:rPr>
            <w:rStyle w:val="normaltextrun"/>
            <w:sz w:val="22"/>
            <w:shd w:val="clear" w:color="auto" w:fill="FFFFFF"/>
          </w:rPr>
          <w:delText xml:space="preserve"> 40</w:delText>
        </w:r>
        <w:r>
          <w:rPr>
            <w:rStyle w:val="normaltextrun"/>
            <w:sz w:val="22"/>
            <w:shd w:val="clear" w:color="auto" w:fill="FFFFFF"/>
          </w:rPr>
          <w:delText> </w:delText>
        </w:r>
        <w:r w:rsidRPr="00004B19">
          <w:rPr>
            <w:rStyle w:val="normaltextrun"/>
            <w:sz w:val="22"/>
            <w:shd w:val="clear" w:color="auto" w:fill="FFFFFF"/>
          </w:rPr>
          <w:delText>mg) hver uke (N = 32), etter kroppsvektjustert induksjonsdose på 2,4</w:delText>
        </w:r>
        <w:r>
          <w:rPr>
            <w:rStyle w:val="normaltextrun"/>
            <w:sz w:val="22"/>
            <w:shd w:val="clear" w:color="auto" w:fill="FFFFFF"/>
          </w:rPr>
          <w:delText> </w:delText>
        </w:r>
        <w:r w:rsidRPr="00004B19">
          <w:rPr>
            <w:rStyle w:val="normaltextrun"/>
            <w:sz w:val="22"/>
            <w:shd w:val="clear" w:color="auto" w:fill="FFFFFF"/>
          </w:rPr>
          <w:delText>mg/kg (maksim</w:delText>
        </w:r>
        <w:r>
          <w:rPr>
            <w:rStyle w:val="normaltextrun"/>
            <w:sz w:val="22"/>
            <w:shd w:val="clear" w:color="auto" w:fill="FFFFFF"/>
          </w:rPr>
          <w:delText>alt</w:delText>
        </w:r>
        <w:r w:rsidRPr="00004B19">
          <w:rPr>
            <w:rStyle w:val="normaltextrun"/>
            <w:sz w:val="22"/>
            <w:shd w:val="clear" w:color="auto" w:fill="FFFFFF"/>
          </w:rPr>
          <w:delText xml:space="preserve"> 160</w:delText>
        </w:r>
        <w:r>
          <w:rPr>
            <w:rStyle w:val="normaltextrun"/>
            <w:sz w:val="22"/>
            <w:shd w:val="clear" w:color="auto" w:fill="FFFFFF"/>
          </w:rPr>
          <w:delText> </w:delText>
        </w:r>
        <w:r w:rsidRPr="00004B19">
          <w:rPr>
            <w:rStyle w:val="normaltextrun"/>
            <w:sz w:val="22"/>
            <w:shd w:val="clear" w:color="auto" w:fill="FFFFFF"/>
          </w:rPr>
          <w:delText>mg) i uke 0 og uke 1 og 1,2</w:delText>
        </w:r>
        <w:r>
          <w:rPr>
            <w:rStyle w:val="normaltextrun"/>
            <w:sz w:val="22"/>
            <w:shd w:val="clear" w:color="auto" w:fill="FFFFFF"/>
          </w:rPr>
          <w:delText> </w:delText>
        </w:r>
        <w:r w:rsidRPr="00004B19">
          <w:rPr>
            <w:rStyle w:val="normaltextrun"/>
            <w:sz w:val="22"/>
            <w:shd w:val="clear" w:color="auto" w:fill="FFFFFF"/>
          </w:rPr>
          <w:delText>mg/kg (maksimalt 80</w:delText>
        </w:r>
        <w:r>
          <w:rPr>
            <w:rStyle w:val="normaltextrun"/>
            <w:sz w:val="22"/>
            <w:shd w:val="clear" w:color="auto" w:fill="FFFFFF"/>
          </w:rPr>
          <w:delText> </w:delText>
        </w:r>
        <w:r w:rsidRPr="00004B19">
          <w:rPr>
            <w:rStyle w:val="normaltextrun"/>
            <w:sz w:val="22"/>
            <w:shd w:val="clear" w:color="auto" w:fill="FFFFFF"/>
          </w:rPr>
          <w:delText>mg) i uke 2</w:delText>
        </w:r>
        <w:r>
          <w:rPr>
            <w:rStyle w:val="normaltextrun"/>
            <w:sz w:val="22"/>
            <w:shd w:val="clear" w:color="auto" w:fill="FFFFFF"/>
          </w:rPr>
          <w:delText> </w:delText>
        </w:r>
        <w:r w:rsidRPr="00004B19">
          <w:rPr>
            <w:rStyle w:val="normaltextrun"/>
            <w:sz w:val="22"/>
            <w:shd w:val="clear" w:color="auto" w:fill="FFFFFF"/>
          </w:rPr>
          <w:delText>(N = 63), eller en induksjonsdose på 2,4</w:delText>
        </w:r>
        <w:r>
          <w:rPr>
            <w:rStyle w:val="normaltextrun"/>
            <w:sz w:val="22"/>
            <w:shd w:val="clear" w:color="auto" w:fill="FFFFFF"/>
          </w:rPr>
          <w:delText> </w:delText>
        </w:r>
        <w:r w:rsidRPr="00004B19">
          <w:rPr>
            <w:rStyle w:val="normaltextrun"/>
            <w:sz w:val="22"/>
            <w:shd w:val="clear" w:color="auto" w:fill="FFFFFF"/>
          </w:rPr>
          <w:delText>mg/kg (maksim</w:delText>
        </w:r>
        <w:r>
          <w:rPr>
            <w:rStyle w:val="normaltextrun"/>
            <w:sz w:val="22"/>
            <w:shd w:val="clear" w:color="auto" w:fill="FFFFFF"/>
          </w:rPr>
          <w:delText>alt</w:delText>
        </w:r>
        <w:r w:rsidRPr="00004B19">
          <w:rPr>
            <w:rStyle w:val="normaltextrun"/>
            <w:sz w:val="22"/>
            <w:shd w:val="clear" w:color="auto" w:fill="FFFFFF"/>
          </w:rPr>
          <w:delText xml:space="preserve"> 160</w:delText>
        </w:r>
        <w:r>
          <w:rPr>
            <w:rStyle w:val="normaltextrun"/>
            <w:sz w:val="22"/>
            <w:shd w:val="clear" w:color="auto" w:fill="FFFFFF"/>
          </w:rPr>
          <w:delText> </w:delText>
        </w:r>
        <w:r w:rsidRPr="00004B19">
          <w:rPr>
            <w:rStyle w:val="normaltextrun"/>
            <w:sz w:val="22"/>
            <w:shd w:val="clear" w:color="auto" w:fill="FFFFFF"/>
          </w:rPr>
          <w:delText>mg) i uke 0, placebo i uke 1 og 1,2</w:delText>
        </w:r>
        <w:r>
          <w:rPr>
            <w:rStyle w:val="normaltextrun"/>
            <w:sz w:val="22"/>
            <w:shd w:val="clear" w:color="auto" w:fill="FFFFFF"/>
          </w:rPr>
          <w:delText> </w:delText>
        </w:r>
        <w:r w:rsidRPr="00004B19">
          <w:rPr>
            <w:rStyle w:val="normaltextrun"/>
            <w:sz w:val="22"/>
            <w:shd w:val="clear" w:color="auto" w:fill="FFFFFF"/>
          </w:rPr>
          <w:delText>mg/kg (maksim</w:delText>
        </w:r>
        <w:r>
          <w:rPr>
            <w:rStyle w:val="normaltextrun"/>
            <w:sz w:val="22"/>
            <w:shd w:val="clear" w:color="auto" w:fill="FFFFFF"/>
          </w:rPr>
          <w:delText>alt</w:delText>
        </w:r>
        <w:r w:rsidRPr="00004B19">
          <w:rPr>
            <w:rStyle w:val="normaltextrun"/>
            <w:sz w:val="22"/>
            <w:shd w:val="clear" w:color="auto" w:fill="FFFFFF"/>
          </w:rPr>
          <w:delText xml:space="preserve"> 80</w:delText>
        </w:r>
        <w:r>
          <w:rPr>
            <w:rStyle w:val="normaltextrun"/>
            <w:sz w:val="22"/>
            <w:shd w:val="clear" w:color="auto" w:fill="FFFFFF"/>
          </w:rPr>
          <w:delText> </w:delText>
        </w:r>
        <w:r w:rsidRPr="00004B19">
          <w:rPr>
            <w:rStyle w:val="normaltextrun"/>
            <w:sz w:val="22"/>
            <w:shd w:val="clear" w:color="auto" w:fill="FFFFFF"/>
          </w:rPr>
          <w:delText xml:space="preserve">mg) </w:delText>
        </w:r>
        <w:r>
          <w:rPr>
            <w:rStyle w:val="normaltextrun"/>
            <w:sz w:val="22"/>
            <w:shd w:val="clear" w:color="auto" w:fill="FFFFFF"/>
          </w:rPr>
          <w:delText>i</w:delText>
        </w:r>
        <w:r w:rsidRPr="00004B19">
          <w:rPr>
            <w:rStyle w:val="normaltextrun"/>
            <w:sz w:val="22"/>
            <w:shd w:val="clear" w:color="auto" w:fill="FFFFFF"/>
          </w:rPr>
          <w:delText xml:space="preserve"> uke 2 (N = 30), </w:delText>
        </w:r>
        <w:r>
          <w:rPr>
            <w:rStyle w:val="normaltextrun"/>
            <w:sz w:val="22"/>
            <w:shd w:val="clear" w:color="auto" w:fill="FFFFFF"/>
          </w:rPr>
          <w:delText>oppstod</w:delText>
        </w:r>
        <w:r w:rsidRPr="00004B19">
          <w:rPr>
            <w:rStyle w:val="normaltextrun"/>
            <w:sz w:val="22"/>
            <w:shd w:val="clear" w:color="auto" w:fill="FFFFFF"/>
          </w:rPr>
          <w:delText xml:space="preserve"> </w:delText>
        </w:r>
        <w:r>
          <w:rPr>
            <w:rStyle w:val="normaltextrun"/>
            <w:sz w:val="22"/>
            <w:shd w:val="clear" w:color="auto" w:fill="FFFFFF"/>
          </w:rPr>
          <w:delText xml:space="preserve">stigninger i </w:delText>
        </w:r>
        <w:r w:rsidRPr="00004B19">
          <w:rPr>
            <w:rStyle w:val="normaltextrun"/>
            <w:sz w:val="22"/>
            <w:shd w:val="clear" w:color="auto" w:fill="FFFFFF"/>
          </w:rPr>
          <w:delText>ALAT ≥</w:delText>
        </w:r>
        <w:r>
          <w:rPr>
            <w:rStyle w:val="normaltextrun"/>
            <w:sz w:val="22"/>
            <w:shd w:val="clear" w:color="auto" w:fill="FFFFFF"/>
          </w:rPr>
          <w:delText> </w:delText>
        </w:r>
        <w:r w:rsidRPr="00004B19">
          <w:rPr>
            <w:rStyle w:val="normaltextrun"/>
            <w:sz w:val="22"/>
            <w:shd w:val="clear" w:color="auto" w:fill="FFFFFF"/>
          </w:rPr>
          <w:delText>3</w:delText>
        </w:r>
        <w:r>
          <w:rPr>
            <w:rStyle w:val="normaltextrun"/>
            <w:sz w:val="22"/>
            <w:shd w:val="clear" w:color="auto" w:fill="FFFFFF"/>
          </w:rPr>
          <w:delText> x </w:delText>
        </w:r>
        <w:r w:rsidRPr="00004B19">
          <w:rPr>
            <w:rStyle w:val="normaltextrun"/>
            <w:sz w:val="22"/>
            <w:shd w:val="clear" w:color="auto" w:fill="FFFFFF"/>
          </w:rPr>
          <w:delText>ULN hos 1,1 % (1/93) av pasientene.</w:delText>
        </w:r>
      </w:del>
    </w:p>
    <w:p w14:paraId="07CF8C7E" w14:textId="30B0CEC7" w:rsidR="008A1106" w:rsidRPr="009C5EFD" w:rsidRDefault="008A1106" w:rsidP="009C5EFD">
      <w:pPr>
        <w:rPr>
          <w:del w:id="1334" w:author="AbbVie02no" w:date="2025-05-15T12:36:00Z"/>
          <w:sz w:val="22"/>
          <w:szCs w:val="22"/>
        </w:rPr>
      </w:pPr>
    </w:p>
    <w:p w14:paraId="404D705A" w14:textId="337CFD26" w:rsidR="00BD40B0" w:rsidRPr="009C5EFD" w:rsidRDefault="00E453CD" w:rsidP="009C5EFD">
      <w:pPr>
        <w:rPr>
          <w:del w:id="1335" w:author="AbbVie02no" w:date="2025-05-15T12:36:00Z"/>
          <w:sz w:val="22"/>
          <w:szCs w:val="22"/>
        </w:rPr>
      </w:pPr>
      <w:del w:id="1336" w:author="AbbVie02no" w:date="2025-05-15T12:36:00Z">
        <w:r w:rsidRPr="009C5EFD">
          <w:rPr>
            <w:sz w:val="22"/>
            <w:szCs w:val="22"/>
          </w:rPr>
          <w:delText>På tvers av alle indikasjoner i kliniske studier var pasienter med stigning i ALAT asymptomatiske</w:delText>
        </w:r>
        <w:r w:rsidR="00E57D05" w:rsidRPr="009C5EFD">
          <w:rPr>
            <w:sz w:val="22"/>
            <w:szCs w:val="22"/>
          </w:rPr>
          <w:delText>,</w:delText>
        </w:r>
        <w:r w:rsidRPr="009C5EFD">
          <w:rPr>
            <w:sz w:val="22"/>
            <w:szCs w:val="22"/>
          </w:rPr>
          <w:delText xml:space="preserve"> og i de fleste tilfeller </w:delText>
        </w:r>
        <w:r w:rsidR="00E57D05" w:rsidRPr="009C5EFD">
          <w:rPr>
            <w:sz w:val="22"/>
            <w:szCs w:val="22"/>
          </w:rPr>
          <w:delText xml:space="preserve">var stigningene </w:delText>
        </w:r>
        <w:r w:rsidRPr="009C5EFD">
          <w:rPr>
            <w:sz w:val="22"/>
            <w:szCs w:val="22"/>
          </w:rPr>
          <w:delText xml:space="preserve">forbigående ved fortsatt behandling. </w:delText>
        </w:r>
        <w:r w:rsidR="004326A8" w:rsidRPr="009C5EFD">
          <w:rPr>
            <w:sz w:val="22"/>
            <w:szCs w:val="22"/>
          </w:rPr>
          <w:delText>Imidlertid har det også e</w:delText>
        </w:r>
        <w:r w:rsidR="00886F42" w:rsidRPr="009C5EFD">
          <w:rPr>
            <w:sz w:val="22"/>
            <w:szCs w:val="22"/>
          </w:rPr>
          <w:delText>tter marke</w:delText>
        </w:r>
        <w:r w:rsidR="00C26513" w:rsidRPr="009C5EFD">
          <w:rPr>
            <w:sz w:val="22"/>
            <w:szCs w:val="22"/>
          </w:rPr>
          <w:delText>dsføring vært rapporter</w:delText>
        </w:r>
        <w:r w:rsidR="00E874AB" w:rsidRPr="009C5EFD">
          <w:rPr>
            <w:sz w:val="22"/>
            <w:szCs w:val="22"/>
          </w:rPr>
          <w:delText xml:space="preserve">t leversvikt samt mindre alvorlige leversykdommer som kan </w:delText>
        </w:r>
        <w:r w:rsidR="007D7493" w:rsidRPr="009C5EFD">
          <w:rPr>
            <w:sz w:val="22"/>
            <w:szCs w:val="22"/>
          </w:rPr>
          <w:delText>oppstå før</w:delText>
        </w:r>
        <w:r w:rsidR="00E874AB" w:rsidRPr="009C5EFD">
          <w:rPr>
            <w:sz w:val="22"/>
            <w:szCs w:val="22"/>
          </w:rPr>
          <w:delText xml:space="preserve"> leversvikt, for eksempel hepatitt </w:delText>
        </w:r>
        <w:r w:rsidR="00886F42" w:rsidRPr="009C5EFD">
          <w:rPr>
            <w:sz w:val="22"/>
            <w:szCs w:val="22"/>
          </w:rPr>
          <w:delText>inkludert autoimmun hepatitt hos pasienter som får adalimumab.</w:delText>
        </w:r>
      </w:del>
    </w:p>
    <w:p w14:paraId="75DBF779" w14:textId="5D087026" w:rsidR="00BD40B0" w:rsidRPr="009C5EFD" w:rsidRDefault="00BD40B0" w:rsidP="009C5EFD">
      <w:pPr>
        <w:rPr>
          <w:del w:id="1337" w:author="AbbVie02no" w:date="2025-05-15T12:36:00Z"/>
          <w:sz w:val="22"/>
          <w:szCs w:val="22"/>
        </w:rPr>
      </w:pPr>
    </w:p>
    <w:p w14:paraId="12B1C170" w14:textId="5C949EA8" w:rsidR="00BD40B0" w:rsidRPr="009C5EFD" w:rsidRDefault="00E453CD" w:rsidP="001F5D4B">
      <w:pPr>
        <w:keepNext/>
        <w:rPr>
          <w:del w:id="1338" w:author="AbbVie02no" w:date="2025-05-15T12:36:00Z"/>
          <w:sz w:val="22"/>
          <w:szCs w:val="22"/>
          <w:u w:val="single"/>
        </w:rPr>
      </w:pPr>
      <w:del w:id="1339" w:author="AbbVie02no" w:date="2025-05-15T12:36:00Z">
        <w:r w:rsidRPr="009C5EFD">
          <w:rPr>
            <w:sz w:val="22"/>
            <w:szCs w:val="22"/>
            <w:u w:val="single"/>
          </w:rPr>
          <w:lastRenderedPageBreak/>
          <w:delText>Samtidig behandling med azatioprin/</w:delText>
        </w:r>
        <w:r w:rsidR="007A7B8D" w:rsidRPr="009C5EFD">
          <w:rPr>
            <w:sz w:val="22"/>
            <w:szCs w:val="22"/>
            <w:u w:val="single"/>
          </w:rPr>
          <w:delText>6-merkaptopurin</w:delText>
        </w:r>
      </w:del>
    </w:p>
    <w:p w14:paraId="4856AF7E" w14:textId="4C977244" w:rsidR="001A2A19" w:rsidRPr="009C5EFD" w:rsidRDefault="001A2A19" w:rsidP="001F5D4B">
      <w:pPr>
        <w:keepNext/>
        <w:rPr>
          <w:del w:id="1340" w:author="AbbVie02no" w:date="2025-05-15T12:36:00Z"/>
          <w:sz w:val="22"/>
          <w:szCs w:val="22"/>
        </w:rPr>
      </w:pPr>
    </w:p>
    <w:p w14:paraId="40974B64" w14:textId="10C2E526" w:rsidR="007A7B8D" w:rsidRPr="009C5EFD" w:rsidRDefault="00E453CD" w:rsidP="00776A84">
      <w:pPr>
        <w:rPr>
          <w:del w:id="1341" w:author="AbbVie02no" w:date="2025-05-15T12:36:00Z"/>
          <w:sz w:val="22"/>
          <w:szCs w:val="22"/>
        </w:rPr>
      </w:pPr>
      <w:del w:id="1342" w:author="AbbVie02no" w:date="2025-05-15T12:36:00Z">
        <w:r w:rsidRPr="009C5EFD">
          <w:rPr>
            <w:sz w:val="22"/>
            <w:szCs w:val="22"/>
          </w:rPr>
          <w:delText>I studier med Cro</w:delText>
        </w:r>
        <w:r w:rsidR="009E37D4" w:rsidRPr="009C5EFD">
          <w:rPr>
            <w:sz w:val="22"/>
            <w:szCs w:val="22"/>
          </w:rPr>
          <w:delText>h</w:delText>
        </w:r>
        <w:r w:rsidRPr="009C5EFD">
          <w:rPr>
            <w:sz w:val="22"/>
            <w:szCs w:val="22"/>
          </w:rPr>
          <w:delText>ns sykdom hos voksne var forekomsten av maligne og alvorlige infeksjonsrelaterte bivirkninger høyere ved kombinasjon av Humira og azatioprin/6-merkaptopurin</w:delText>
        </w:r>
        <w:r w:rsidR="00AE6FD6" w:rsidRPr="009C5EFD">
          <w:rPr>
            <w:sz w:val="22"/>
            <w:szCs w:val="22"/>
          </w:rPr>
          <w:delText>,</w:delText>
        </w:r>
        <w:r w:rsidRPr="009C5EFD">
          <w:rPr>
            <w:sz w:val="22"/>
            <w:szCs w:val="22"/>
          </w:rPr>
          <w:delText xml:space="preserve"> sammenlignet med Humira alene.</w:delText>
        </w:r>
      </w:del>
    </w:p>
    <w:p w14:paraId="07341446" w14:textId="1FDD8F3D" w:rsidR="00906729" w:rsidRPr="009C5EFD" w:rsidRDefault="00906729" w:rsidP="007F67EE">
      <w:pPr>
        <w:rPr>
          <w:del w:id="1343" w:author="AbbVie02no" w:date="2025-05-15T12:36:00Z"/>
          <w:sz w:val="22"/>
          <w:szCs w:val="22"/>
          <w:u w:val="single"/>
        </w:rPr>
      </w:pPr>
    </w:p>
    <w:p w14:paraId="73FA65D8" w14:textId="7C9FD1AE" w:rsidR="007D3805" w:rsidRDefault="00E453CD" w:rsidP="001F5D4B">
      <w:pPr>
        <w:keepNext/>
        <w:rPr>
          <w:del w:id="1344" w:author="AbbVie02no" w:date="2025-05-15T12:36:00Z"/>
          <w:sz w:val="22"/>
          <w:u w:val="single"/>
        </w:rPr>
      </w:pPr>
      <w:del w:id="1345" w:author="AbbVie02no" w:date="2025-05-15T12:36:00Z">
        <w:r w:rsidRPr="00EE4677">
          <w:rPr>
            <w:sz w:val="22"/>
            <w:u w:val="single"/>
          </w:rPr>
          <w:delText>Melding av mistenkte bivirkninger</w:delText>
        </w:r>
      </w:del>
    </w:p>
    <w:p w14:paraId="6821F3F2" w14:textId="1A3BF7F3" w:rsidR="000F6651" w:rsidRPr="00460BE1" w:rsidRDefault="000F6651" w:rsidP="001F5D4B">
      <w:pPr>
        <w:keepNext/>
        <w:rPr>
          <w:del w:id="1346" w:author="AbbVie02no" w:date="2025-05-15T12:36:00Z"/>
          <w:sz w:val="22"/>
          <w:szCs w:val="22"/>
          <w:u w:val="single"/>
        </w:rPr>
      </w:pPr>
    </w:p>
    <w:p w14:paraId="79987B14" w14:textId="5B9C4CD6" w:rsidR="007D3805" w:rsidRPr="007F67EE" w:rsidRDefault="00E453CD" w:rsidP="00776A84">
      <w:pPr>
        <w:rPr>
          <w:del w:id="1347" w:author="AbbVie02no" w:date="2025-05-15T12:36:00Z"/>
          <w:sz w:val="22"/>
          <w:szCs w:val="22"/>
        </w:rPr>
      </w:pPr>
      <w:del w:id="1348" w:author="AbbVie02no" w:date="2025-05-15T12:36:00Z">
        <w:r w:rsidRPr="009C5EFD">
          <w:rPr>
            <w:sz w:val="22"/>
            <w:szCs w:val="22"/>
          </w:rPr>
          <w:delText xml:space="preserve">Melding av mistenkte bivirkninger etter godkjenning av legemidlet er viktig. Det gjør det mulig å overvåke forholdet mellom nytte og risiko for legemidlet kontinuerlig. Helsepersonell oppfordres til å melde enhver mistenkt bivirkning. Dette gjøres via </w:delText>
        </w:r>
        <w:r w:rsidR="00C81C1D" w:rsidRPr="0053198B">
          <w:rPr>
            <w:noProof/>
            <w:sz w:val="22"/>
            <w:szCs w:val="22"/>
            <w:highlight w:val="lightGray"/>
          </w:rPr>
          <w:delText>det nasjonale meldesystemet som beskrevet i</w:delText>
        </w:r>
        <w:r w:rsidR="00C81C1D" w:rsidRPr="0053198B">
          <w:rPr>
            <w:sz w:val="22"/>
            <w:szCs w:val="22"/>
            <w:highlight w:val="lightGray"/>
          </w:rPr>
          <w:delText xml:space="preserve"> </w:delText>
        </w:r>
        <w:r w:rsidR="008A5D92">
          <w:fldChar w:fldCharType="begin"/>
        </w:r>
        <w:r w:rsidR="008A5D92">
          <w:delInstrText>HYPERLINK "http://www.ema.europa.eu/docs/en_GB/document_library/Template_or_form/2013/03/WC500139752.doc"</w:delInstrText>
        </w:r>
        <w:r w:rsidR="008A5D92">
          <w:fldChar w:fldCharType="separate"/>
        </w:r>
        <w:r w:rsidR="008A5D92" w:rsidRPr="0053198B">
          <w:rPr>
            <w:color w:val="0000FF"/>
            <w:sz w:val="22"/>
            <w:szCs w:val="22"/>
            <w:highlight w:val="lightGray"/>
            <w:u w:val="single"/>
          </w:rPr>
          <w:delText>Appendix V</w:delText>
        </w:r>
        <w:r w:rsidR="008A5D92">
          <w:fldChar w:fldCharType="end"/>
        </w:r>
        <w:r w:rsidRPr="0053198B">
          <w:rPr>
            <w:sz w:val="22"/>
            <w:szCs w:val="22"/>
            <w:highlight w:val="lightGray"/>
          </w:rPr>
          <w:delText>.</w:delText>
        </w:r>
      </w:del>
    </w:p>
    <w:p w14:paraId="69B6AB3E" w14:textId="163CA7BA" w:rsidR="00AA005F" w:rsidRPr="001F5D4B" w:rsidRDefault="00AA005F" w:rsidP="007F67EE">
      <w:pPr>
        <w:suppressAutoHyphens/>
        <w:rPr>
          <w:del w:id="1349" w:author="AbbVie02no" w:date="2025-05-15T12:36:00Z"/>
          <w:sz w:val="22"/>
          <w:szCs w:val="22"/>
        </w:rPr>
      </w:pPr>
    </w:p>
    <w:p w14:paraId="1FD468D4" w14:textId="589E74F5" w:rsidR="00DE3458" w:rsidRPr="002D0790" w:rsidRDefault="00E453CD" w:rsidP="00776A84">
      <w:pPr>
        <w:keepNext/>
        <w:suppressAutoHyphens/>
        <w:ind w:left="567" w:hanging="567"/>
        <w:rPr>
          <w:del w:id="1350" w:author="AbbVie02no" w:date="2025-05-15T12:36:00Z"/>
          <w:sz w:val="22"/>
          <w:szCs w:val="22"/>
        </w:rPr>
      </w:pPr>
      <w:del w:id="1351" w:author="AbbVie02no" w:date="2025-05-15T12:36:00Z">
        <w:r w:rsidRPr="00193D76">
          <w:rPr>
            <w:b/>
            <w:sz w:val="22"/>
            <w:szCs w:val="22"/>
          </w:rPr>
          <w:delText>4.9</w:delText>
        </w:r>
        <w:r w:rsidRPr="00193D76">
          <w:rPr>
            <w:b/>
            <w:sz w:val="22"/>
            <w:szCs w:val="22"/>
          </w:rPr>
          <w:tab/>
          <w:delText>Overdosering</w:delText>
        </w:r>
      </w:del>
    </w:p>
    <w:p w14:paraId="32C657CC" w14:textId="51F9B07F" w:rsidR="00DE3458" w:rsidRPr="002D0790" w:rsidRDefault="00DE3458" w:rsidP="00776A84">
      <w:pPr>
        <w:keepNext/>
        <w:rPr>
          <w:del w:id="1352" w:author="AbbVie02no" w:date="2025-05-15T12:36:00Z"/>
          <w:sz w:val="22"/>
          <w:szCs w:val="22"/>
        </w:rPr>
      </w:pPr>
    </w:p>
    <w:p w14:paraId="7E22EB39" w14:textId="6C424270" w:rsidR="00DE3458" w:rsidRPr="009C5EFD" w:rsidRDefault="00E453CD" w:rsidP="002D0790">
      <w:pPr>
        <w:rPr>
          <w:del w:id="1353" w:author="AbbVie02no" w:date="2025-05-15T12:36:00Z"/>
          <w:sz w:val="22"/>
          <w:szCs w:val="22"/>
        </w:rPr>
      </w:pPr>
      <w:del w:id="1354" w:author="AbbVie02no" w:date="2025-05-15T12:36:00Z">
        <w:r w:rsidRPr="00E14E58">
          <w:rPr>
            <w:sz w:val="22"/>
            <w:szCs w:val="22"/>
          </w:rPr>
          <w:delText>Det ble ikke observert dosebegrens</w:delText>
        </w:r>
        <w:r w:rsidRPr="009C5EFD">
          <w:rPr>
            <w:sz w:val="22"/>
            <w:szCs w:val="22"/>
          </w:rPr>
          <w:delText>ende toksisitet under kliniske utprøvninger. Høyeste doseringsnivå som har vært undersøkt er multiple intravenøse doser på 10 mg/kg som er ca</w:delText>
        </w:r>
        <w:r w:rsidR="003309D3" w:rsidRPr="009C5EFD">
          <w:rPr>
            <w:sz w:val="22"/>
            <w:szCs w:val="22"/>
          </w:rPr>
          <w:delText>.</w:delText>
        </w:r>
        <w:r w:rsidRPr="009C5EFD">
          <w:rPr>
            <w:sz w:val="22"/>
            <w:szCs w:val="22"/>
          </w:rPr>
          <w:delText xml:space="preserve"> 15 ganger større enn anbefalt dose.</w:delText>
        </w:r>
      </w:del>
    </w:p>
    <w:p w14:paraId="1CA6D9CD" w14:textId="44FBB853" w:rsidR="00DE3458" w:rsidRPr="009C5EFD" w:rsidRDefault="00DE3458" w:rsidP="00E14E58">
      <w:pPr>
        <w:rPr>
          <w:del w:id="1355" w:author="AbbVie02no" w:date="2025-05-15T12:36:00Z"/>
          <w:sz w:val="22"/>
          <w:szCs w:val="22"/>
        </w:rPr>
      </w:pPr>
    </w:p>
    <w:p w14:paraId="47FE5D1F" w14:textId="07DB28E3" w:rsidR="00DE3458" w:rsidRPr="009C5EFD" w:rsidRDefault="00DE3458" w:rsidP="009C5EFD">
      <w:pPr>
        <w:rPr>
          <w:del w:id="1356" w:author="AbbVie02no" w:date="2025-05-15T12:36:00Z"/>
          <w:sz w:val="22"/>
          <w:szCs w:val="22"/>
        </w:rPr>
      </w:pPr>
    </w:p>
    <w:p w14:paraId="04474B54" w14:textId="3CCAD13F" w:rsidR="00DE3458" w:rsidRPr="009C5EFD" w:rsidRDefault="00E453CD" w:rsidP="00776A84">
      <w:pPr>
        <w:keepNext/>
        <w:suppressAutoHyphens/>
        <w:ind w:left="567" w:hanging="567"/>
        <w:rPr>
          <w:del w:id="1357" w:author="AbbVie02no" w:date="2025-05-15T12:36:00Z"/>
          <w:sz w:val="22"/>
          <w:szCs w:val="22"/>
        </w:rPr>
      </w:pPr>
      <w:del w:id="1358" w:author="AbbVie02no" w:date="2025-05-15T12:36:00Z">
        <w:r w:rsidRPr="009C5EFD">
          <w:rPr>
            <w:b/>
            <w:sz w:val="22"/>
            <w:szCs w:val="22"/>
          </w:rPr>
          <w:delText>5.</w:delText>
        </w:r>
        <w:r w:rsidRPr="009C5EFD">
          <w:rPr>
            <w:b/>
            <w:sz w:val="22"/>
            <w:szCs w:val="22"/>
          </w:rPr>
          <w:tab/>
          <w:delText>FARMAKOLOGISKE EGENSKAPER</w:delText>
        </w:r>
      </w:del>
    </w:p>
    <w:p w14:paraId="3E21798E" w14:textId="4BCA284A" w:rsidR="00DE3458" w:rsidRPr="009C5EFD" w:rsidRDefault="00DE3458" w:rsidP="00776A84">
      <w:pPr>
        <w:keepNext/>
        <w:rPr>
          <w:del w:id="1359" w:author="AbbVie02no" w:date="2025-05-15T12:36:00Z"/>
          <w:sz w:val="22"/>
          <w:szCs w:val="22"/>
        </w:rPr>
      </w:pPr>
    </w:p>
    <w:p w14:paraId="25412497" w14:textId="1BDB6A70" w:rsidR="00DE3458" w:rsidRPr="009C5EFD" w:rsidRDefault="00E453CD" w:rsidP="00776A84">
      <w:pPr>
        <w:keepNext/>
        <w:suppressAutoHyphens/>
        <w:ind w:left="576" w:hanging="576"/>
        <w:rPr>
          <w:del w:id="1360" w:author="AbbVie02no" w:date="2025-05-15T12:36:00Z"/>
          <w:sz w:val="22"/>
          <w:szCs w:val="22"/>
        </w:rPr>
      </w:pPr>
      <w:del w:id="1361" w:author="AbbVie02no" w:date="2025-05-15T12:36:00Z">
        <w:r w:rsidRPr="009C5EFD">
          <w:rPr>
            <w:b/>
            <w:sz w:val="22"/>
            <w:szCs w:val="22"/>
          </w:rPr>
          <w:delText>5.1</w:delText>
        </w:r>
        <w:r w:rsidRPr="009C5EFD">
          <w:rPr>
            <w:b/>
            <w:sz w:val="22"/>
            <w:szCs w:val="22"/>
          </w:rPr>
          <w:tab/>
          <w:delText>Farmakodynamiske egenskaper</w:delText>
        </w:r>
      </w:del>
    </w:p>
    <w:p w14:paraId="4F256CD4" w14:textId="4B8F1876" w:rsidR="00DE3458" w:rsidRPr="009C5EFD" w:rsidRDefault="00DE3458" w:rsidP="00776A84">
      <w:pPr>
        <w:keepNext/>
        <w:rPr>
          <w:del w:id="1362" w:author="AbbVie02no" w:date="2025-05-15T12:36:00Z"/>
          <w:sz w:val="22"/>
          <w:szCs w:val="22"/>
        </w:rPr>
      </w:pPr>
    </w:p>
    <w:p w14:paraId="69CCCECA" w14:textId="63B448AF" w:rsidR="00C261DD" w:rsidRPr="009C5EFD" w:rsidRDefault="00E453CD" w:rsidP="009C5EFD">
      <w:pPr>
        <w:suppressAutoHyphens/>
        <w:rPr>
          <w:del w:id="1363" w:author="AbbVie02no" w:date="2025-05-15T12:36:00Z"/>
          <w:sz w:val="22"/>
          <w:szCs w:val="22"/>
        </w:rPr>
      </w:pPr>
      <w:del w:id="1364" w:author="AbbVie02no" w:date="2025-05-15T12:36:00Z">
        <w:r w:rsidRPr="009C5EFD">
          <w:rPr>
            <w:sz w:val="22"/>
            <w:szCs w:val="22"/>
          </w:rPr>
          <w:delText xml:space="preserve">Farmakoterapeutisk gruppe: </w:delText>
        </w:r>
        <w:r w:rsidR="00906729" w:rsidRPr="009C5EFD">
          <w:rPr>
            <w:sz w:val="22"/>
            <w:szCs w:val="22"/>
          </w:rPr>
          <w:delText>I</w:delText>
        </w:r>
        <w:r w:rsidRPr="009C5EFD">
          <w:rPr>
            <w:sz w:val="22"/>
            <w:szCs w:val="22"/>
          </w:rPr>
          <w:delText>mmunsuppressiv</w:delText>
        </w:r>
        <w:r w:rsidR="00D245F6">
          <w:rPr>
            <w:sz w:val="22"/>
            <w:szCs w:val="22"/>
          </w:rPr>
          <w:delText>a</w:delText>
        </w:r>
        <w:r w:rsidR="00906729" w:rsidRPr="009C5EFD">
          <w:rPr>
            <w:sz w:val="22"/>
            <w:szCs w:val="22"/>
          </w:rPr>
          <w:delText>, tumornekrosefaktor al</w:delText>
        </w:r>
        <w:r w:rsidR="00040C50" w:rsidRPr="009C5EFD">
          <w:rPr>
            <w:sz w:val="22"/>
            <w:szCs w:val="22"/>
          </w:rPr>
          <w:delText>f</w:delText>
        </w:r>
        <w:r w:rsidR="00906729" w:rsidRPr="009C5EFD">
          <w:rPr>
            <w:sz w:val="22"/>
            <w:szCs w:val="22"/>
          </w:rPr>
          <w:delText>a</w:delText>
        </w:r>
        <w:r w:rsidR="001C5215" w:rsidRPr="009C5EFD">
          <w:rPr>
            <w:sz w:val="22"/>
            <w:szCs w:val="22"/>
          </w:rPr>
          <w:delText xml:space="preserve"> (TNF-</w:delText>
        </w:r>
        <w:r w:rsidR="001C5215" w:rsidRPr="009C5EFD">
          <w:rPr>
            <w:sz w:val="22"/>
            <w:szCs w:val="22"/>
            <w:lang w:val="en-GB"/>
          </w:rPr>
          <w:delText>α</w:delText>
        </w:r>
        <w:r w:rsidR="001C5215" w:rsidRPr="009C5EFD">
          <w:rPr>
            <w:sz w:val="22"/>
            <w:szCs w:val="22"/>
          </w:rPr>
          <w:delText>)</w:delText>
        </w:r>
        <w:r w:rsidR="005F74C3" w:rsidRPr="009C5EFD">
          <w:rPr>
            <w:sz w:val="22"/>
            <w:szCs w:val="22"/>
          </w:rPr>
          <w:delText>-</w:delText>
        </w:r>
        <w:r w:rsidR="00906729" w:rsidRPr="009C5EFD">
          <w:rPr>
            <w:sz w:val="22"/>
            <w:szCs w:val="22"/>
          </w:rPr>
          <w:delText>hemmere</w:delText>
        </w:r>
        <w:r w:rsidRPr="009C5EFD">
          <w:rPr>
            <w:sz w:val="22"/>
            <w:szCs w:val="22"/>
          </w:rPr>
          <w:delText xml:space="preserve">. </w:delText>
        </w:r>
      </w:del>
    </w:p>
    <w:p w14:paraId="71260A0D" w14:textId="027A6F12" w:rsidR="00DE3458" w:rsidRPr="009C5EFD" w:rsidRDefault="00E453CD" w:rsidP="009C5EFD">
      <w:pPr>
        <w:suppressAutoHyphens/>
        <w:rPr>
          <w:del w:id="1365" w:author="AbbVie02no" w:date="2025-05-15T12:36:00Z"/>
          <w:sz w:val="22"/>
          <w:szCs w:val="22"/>
        </w:rPr>
      </w:pPr>
      <w:del w:id="1366" w:author="AbbVie02no" w:date="2025-05-15T12:36:00Z">
        <w:r w:rsidRPr="009C5EFD">
          <w:rPr>
            <w:sz w:val="22"/>
            <w:szCs w:val="22"/>
          </w:rPr>
          <w:delText>ATC-kode: L04A</w:delText>
        </w:r>
        <w:r w:rsidR="00040C50" w:rsidRPr="009C5EFD">
          <w:rPr>
            <w:sz w:val="22"/>
            <w:szCs w:val="22"/>
          </w:rPr>
          <w:delText xml:space="preserve"> </w:delText>
        </w:r>
        <w:r w:rsidRPr="009C5EFD">
          <w:rPr>
            <w:sz w:val="22"/>
            <w:szCs w:val="22"/>
          </w:rPr>
          <w:delText>B04</w:delText>
        </w:r>
      </w:del>
    </w:p>
    <w:p w14:paraId="5B5C796D" w14:textId="2E03C082" w:rsidR="00DE3458" w:rsidRPr="009C5EFD" w:rsidRDefault="00DE3458" w:rsidP="009C5EFD">
      <w:pPr>
        <w:suppressAutoHyphens/>
        <w:rPr>
          <w:del w:id="1367" w:author="AbbVie02no" w:date="2025-05-15T12:36:00Z"/>
          <w:sz w:val="22"/>
          <w:szCs w:val="22"/>
        </w:rPr>
      </w:pPr>
    </w:p>
    <w:p w14:paraId="05AB293C" w14:textId="67D63915" w:rsidR="00DE3458" w:rsidRPr="009C5EFD" w:rsidRDefault="00E453CD" w:rsidP="007453E4">
      <w:pPr>
        <w:keepNext/>
        <w:suppressAutoHyphens/>
        <w:rPr>
          <w:del w:id="1368" w:author="AbbVie02no" w:date="2025-05-15T12:36:00Z"/>
          <w:sz w:val="22"/>
          <w:szCs w:val="22"/>
          <w:u w:val="single"/>
        </w:rPr>
      </w:pPr>
      <w:del w:id="1369" w:author="AbbVie02no" w:date="2025-05-15T12:36:00Z">
        <w:r w:rsidRPr="009C5EFD">
          <w:rPr>
            <w:sz w:val="22"/>
            <w:szCs w:val="22"/>
            <w:u w:val="single"/>
          </w:rPr>
          <w:delText>Virkningsmekanisme</w:delText>
        </w:r>
      </w:del>
    </w:p>
    <w:p w14:paraId="1259A616" w14:textId="2058C541" w:rsidR="00DE3458" w:rsidRPr="009C5EFD" w:rsidRDefault="00DE3458" w:rsidP="007453E4">
      <w:pPr>
        <w:keepNext/>
        <w:suppressAutoHyphens/>
        <w:rPr>
          <w:del w:id="1370" w:author="AbbVie02no" w:date="2025-05-15T12:36:00Z"/>
          <w:sz w:val="22"/>
          <w:szCs w:val="22"/>
        </w:rPr>
      </w:pPr>
    </w:p>
    <w:p w14:paraId="144551D1" w14:textId="0694AF5E" w:rsidR="00DE3458" w:rsidRPr="009C5EFD" w:rsidRDefault="00E453CD" w:rsidP="00776A84">
      <w:pPr>
        <w:suppressAutoHyphens/>
        <w:rPr>
          <w:del w:id="1371" w:author="AbbVie02no" w:date="2025-05-15T12:36:00Z"/>
          <w:sz w:val="22"/>
          <w:szCs w:val="22"/>
        </w:rPr>
      </w:pPr>
      <w:del w:id="1372" w:author="AbbVie02no" w:date="2025-05-15T12:36:00Z">
        <w:r w:rsidRPr="009C5EFD">
          <w:rPr>
            <w:sz w:val="22"/>
            <w:szCs w:val="22"/>
          </w:rPr>
          <w:delText>Adalimumab binder seg spesifikt til TNF og nøytraliserer TNFs biologiske funksjon ved å blokkere interaksjonen med TNF-reseptorene p55 og p75 på celleoverflaten.</w:delText>
        </w:r>
      </w:del>
    </w:p>
    <w:p w14:paraId="42607EC4" w14:textId="11185F53" w:rsidR="002E4AAD" w:rsidRPr="009C5EFD" w:rsidRDefault="002E4AAD" w:rsidP="009C5EFD">
      <w:pPr>
        <w:suppressAutoHyphens/>
        <w:rPr>
          <w:del w:id="1373" w:author="AbbVie02no" w:date="2025-05-15T12:36:00Z"/>
          <w:sz w:val="22"/>
          <w:szCs w:val="22"/>
        </w:rPr>
      </w:pPr>
    </w:p>
    <w:p w14:paraId="0AEBF5C1" w14:textId="4AAC6C7B" w:rsidR="00DE3458" w:rsidRPr="009C5EFD" w:rsidRDefault="00E453CD" w:rsidP="009C5EFD">
      <w:pPr>
        <w:suppressAutoHyphens/>
        <w:rPr>
          <w:del w:id="1374" w:author="AbbVie02no" w:date="2025-05-15T12:36:00Z"/>
          <w:sz w:val="22"/>
          <w:szCs w:val="22"/>
        </w:rPr>
      </w:pPr>
      <w:del w:id="1375" w:author="AbbVie02no" w:date="2025-05-15T12:36:00Z">
        <w:r w:rsidRPr="009C5EFD">
          <w:rPr>
            <w:sz w:val="22"/>
            <w:szCs w:val="22"/>
          </w:rPr>
          <w:delText>Adalimumab modulerer også biologiske responser som induseres eller reguleres av TNF, deriblant endringer</w:delText>
        </w:r>
        <w:r w:rsidR="00216445" w:rsidRPr="009C5EFD">
          <w:rPr>
            <w:sz w:val="22"/>
            <w:szCs w:val="22"/>
          </w:rPr>
          <w:delText xml:space="preserve"> i</w:delText>
        </w:r>
        <w:r w:rsidRPr="009C5EFD">
          <w:rPr>
            <w:sz w:val="22"/>
            <w:szCs w:val="22"/>
          </w:rPr>
          <w:delText xml:space="preserve"> mengden av adhesjonsmolekyler som er ansvarlig for le</w:delText>
        </w:r>
        <w:r w:rsidR="009816D3" w:rsidRPr="009C5EFD">
          <w:rPr>
            <w:sz w:val="22"/>
            <w:szCs w:val="22"/>
          </w:rPr>
          <w:delText>u</w:delText>
        </w:r>
        <w:r w:rsidRPr="009C5EFD">
          <w:rPr>
            <w:sz w:val="22"/>
            <w:szCs w:val="22"/>
          </w:rPr>
          <w:delText>kocyttmigrasjonen (ELAM-1, VCAM-1 og ICAM-1 med en IC</w:delText>
        </w:r>
        <w:r w:rsidRPr="009C5EFD">
          <w:rPr>
            <w:sz w:val="22"/>
            <w:szCs w:val="22"/>
            <w:vertAlign w:val="subscript"/>
          </w:rPr>
          <w:delText>50</w:delText>
        </w:r>
        <w:r w:rsidRPr="009C5EFD">
          <w:rPr>
            <w:sz w:val="22"/>
            <w:szCs w:val="22"/>
          </w:rPr>
          <w:delText xml:space="preserve"> på 0,1-0,2 nM).</w:delText>
        </w:r>
      </w:del>
    </w:p>
    <w:p w14:paraId="193FAAB5" w14:textId="53CA983A" w:rsidR="00E36496" w:rsidRPr="009C5EFD" w:rsidRDefault="00E36496" w:rsidP="009C5EFD">
      <w:pPr>
        <w:pStyle w:val="Heading8"/>
        <w:keepNext w:val="0"/>
        <w:suppressAutoHyphens/>
        <w:rPr>
          <w:del w:id="1376" w:author="AbbVie02no" w:date="2025-05-15T12:36:00Z"/>
          <w:szCs w:val="22"/>
        </w:rPr>
      </w:pPr>
    </w:p>
    <w:p w14:paraId="3A84A112" w14:textId="1682E78C" w:rsidR="00DE3458" w:rsidRPr="009C5EFD" w:rsidRDefault="00E453CD" w:rsidP="00776A84">
      <w:pPr>
        <w:pStyle w:val="Heading8"/>
        <w:suppressAutoHyphens/>
        <w:rPr>
          <w:del w:id="1377" w:author="AbbVie02no" w:date="2025-05-15T12:36:00Z"/>
          <w:szCs w:val="22"/>
        </w:rPr>
      </w:pPr>
      <w:del w:id="1378" w:author="AbbVie02no" w:date="2025-05-15T12:36:00Z">
        <w:r w:rsidRPr="009C5EFD">
          <w:rPr>
            <w:szCs w:val="22"/>
          </w:rPr>
          <w:delText xml:space="preserve">Farmakodynamiske </w:delText>
        </w:r>
        <w:r w:rsidR="003607D7" w:rsidRPr="009C5EFD">
          <w:rPr>
            <w:szCs w:val="22"/>
          </w:rPr>
          <w:delText>effekter</w:delText>
        </w:r>
      </w:del>
    </w:p>
    <w:p w14:paraId="0D23F5AD" w14:textId="36F9AC38" w:rsidR="00DE3458" w:rsidRPr="009C5EFD" w:rsidRDefault="00DE3458" w:rsidP="00776A84">
      <w:pPr>
        <w:keepNext/>
        <w:suppressAutoHyphens/>
        <w:rPr>
          <w:del w:id="1379" w:author="AbbVie02no" w:date="2025-05-15T12:36:00Z"/>
          <w:sz w:val="22"/>
          <w:szCs w:val="22"/>
        </w:rPr>
      </w:pPr>
    </w:p>
    <w:p w14:paraId="3794A1EC" w14:textId="1C4590C3" w:rsidR="00DE3458" w:rsidRPr="009C5EFD" w:rsidRDefault="00E453CD" w:rsidP="009C5EFD">
      <w:pPr>
        <w:suppressAutoHyphens/>
        <w:rPr>
          <w:del w:id="1380" w:author="AbbVie02no" w:date="2025-05-15T12:36:00Z"/>
          <w:sz w:val="22"/>
          <w:szCs w:val="22"/>
        </w:rPr>
      </w:pPr>
      <w:del w:id="1381" w:author="AbbVie02no" w:date="2025-05-15T12:36:00Z">
        <w:r w:rsidRPr="009C5EFD">
          <w:rPr>
            <w:sz w:val="22"/>
            <w:szCs w:val="22"/>
          </w:rPr>
          <w:delText xml:space="preserve">Etter behandling med Humira, ble det hos pasienter med revmatoid artritt observert hurtig reduksjon i nivåene på akuttfase-reaktantene (C-reaktivt protein (CRP) og senkningsreaksjonen (SR)) og serumcytokinene (IL-6) sammenlignet med </w:delText>
        </w:r>
        <w:r w:rsidR="008A216F" w:rsidRPr="009C5EFD">
          <w:rPr>
            <w:sz w:val="22"/>
            <w:szCs w:val="22"/>
          </w:rPr>
          <w:delText>verdier ved opps</w:delText>
        </w:r>
        <w:r w:rsidR="000F0CFD" w:rsidRPr="009C5EFD">
          <w:rPr>
            <w:sz w:val="22"/>
            <w:szCs w:val="22"/>
          </w:rPr>
          <w:delText>t</w:delText>
        </w:r>
        <w:r w:rsidR="008A216F" w:rsidRPr="009C5EFD">
          <w:rPr>
            <w:sz w:val="22"/>
            <w:szCs w:val="22"/>
          </w:rPr>
          <w:delText>art</w:delText>
        </w:r>
        <w:r w:rsidRPr="009C5EFD">
          <w:rPr>
            <w:sz w:val="22"/>
            <w:szCs w:val="22"/>
          </w:rPr>
          <w:delText>. Serumnivåene til matri</w:delText>
        </w:r>
        <w:r w:rsidR="00ED7ED5">
          <w:rPr>
            <w:sz w:val="22"/>
            <w:szCs w:val="22"/>
          </w:rPr>
          <w:delText>k</w:delText>
        </w:r>
        <w:r w:rsidRPr="009C5EFD">
          <w:rPr>
            <w:sz w:val="22"/>
            <w:szCs w:val="22"/>
          </w:rPr>
          <w:delText xml:space="preserve">s metalloproteinaser (MMP-1 og MMP-3) som </w:delText>
        </w:r>
        <w:r w:rsidRPr="009C5EFD">
          <w:rPr>
            <w:sz w:val="22"/>
          </w:rPr>
          <w:delText>for</w:delText>
        </w:r>
        <w:r w:rsidR="00D019FE" w:rsidRPr="009C5EFD">
          <w:rPr>
            <w:sz w:val="22"/>
          </w:rPr>
          <w:delText>årsaker</w:delText>
        </w:r>
        <w:r w:rsidRPr="009C5EFD">
          <w:rPr>
            <w:sz w:val="22"/>
          </w:rPr>
          <w:delText xml:space="preserve"> vevsremodelleringen</w:delText>
        </w:r>
        <w:r w:rsidRPr="009C5EFD">
          <w:rPr>
            <w:sz w:val="22"/>
            <w:szCs w:val="22"/>
          </w:rPr>
          <w:delText xml:space="preserve"> ansvarlig for bruskødeleggelse avtok også etter administrasjon av Humira. Pasienter behandlet med Humira opplevde vanligvis en bedring av disse hematologiske tegnene på kronisk inflammasjon.</w:delText>
        </w:r>
      </w:del>
    </w:p>
    <w:p w14:paraId="5C14BDCA" w14:textId="33CF40BD" w:rsidR="00E73439" w:rsidRPr="009C5EFD" w:rsidRDefault="00E73439" w:rsidP="009C5EFD">
      <w:pPr>
        <w:rPr>
          <w:del w:id="1382" w:author="AbbVie02no" w:date="2025-05-15T12:36:00Z"/>
          <w:sz w:val="22"/>
          <w:szCs w:val="22"/>
        </w:rPr>
      </w:pPr>
    </w:p>
    <w:p w14:paraId="22C1CD2B" w14:textId="3664DE72" w:rsidR="00E73439" w:rsidRPr="009C5EFD" w:rsidRDefault="00E453CD" w:rsidP="009C5EFD">
      <w:pPr>
        <w:pStyle w:val="EndnoteText"/>
        <w:widowControl/>
        <w:tabs>
          <w:tab w:val="clear" w:pos="567"/>
        </w:tabs>
        <w:suppressAutoHyphens/>
        <w:rPr>
          <w:del w:id="1383" w:author="AbbVie02no" w:date="2025-05-15T12:36:00Z"/>
          <w:lang w:val="nb-NO"/>
        </w:rPr>
      </w:pPr>
      <w:del w:id="1384" w:author="AbbVie02no" w:date="2025-05-15T12:36:00Z">
        <w:r w:rsidRPr="009C5EFD">
          <w:rPr>
            <w:lang w:val="nb-NO"/>
          </w:rPr>
          <w:delText>En rask reduksjon i CRP-nivå ble også observert hos pasienter med polyartikulær juvenil idiopatisk artritt, Crohns sykdom</w:delText>
        </w:r>
        <w:r w:rsidR="005C3658" w:rsidRPr="009C5EFD">
          <w:rPr>
            <w:lang w:val="nb-NO"/>
          </w:rPr>
          <w:delText>,</w:delText>
        </w:r>
        <w:r w:rsidRPr="009C5EFD">
          <w:rPr>
            <w:lang w:val="nb-NO"/>
          </w:rPr>
          <w:delText xml:space="preserve"> ulcerøs kolitt </w:delText>
        </w:r>
        <w:r w:rsidR="005C3658" w:rsidRPr="009C5EFD">
          <w:rPr>
            <w:lang w:val="nb-NO"/>
          </w:rPr>
          <w:delText xml:space="preserve">og </w:delText>
        </w:r>
        <w:r w:rsidR="007F67EE" w:rsidRPr="009C5EFD">
          <w:rPr>
            <w:lang w:val="nb-NO"/>
          </w:rPr>
          <w:delText>hidrosadenitt</w:delText>
        </w:r>
        <w:r w:rsidR="005C3658" w:rsidRPr="009C5EFD">
          <w:rPr>
            <w:lang w:val="nb-NO"/>
          </w:rPr>
          <w:delText xml:space="preserve"> </w:delText>
        </w:r>
        <w:r w:rsidRPr="009C5EFD">
          <w:rPr>
            <w:lang w:val="nb-NO"/>
          </w:rPr>
          <w:delText xml:space="preserve">etter behandling med Humira. Hos pasienter med Crohns sykdom ble </w:delText>
        </w:r>
        <w:r w:rsidR="00DE5946" w:rsidRPr="009C5EFD">
          <w:rPr>
            <w:lang w:val="nb-NO"/>
          </w:rPr>
          <w:delText>en</w:delText>
        </w:r>
        <w:r w:rsidRPr="009C5EFD">
          <w:rPr>
            <w:lang w:val="nb-NO"/>
          </w:rPr>
          <w:delText xml:space="preserve"> redu</w:delText>
        </w:r>
        <w:r w:rsidR="00A51C39" w:rsidRPr="009C5EFD">
          <w:rPr>
            <w:lang w:val="nb-NO"/>
          </w:rPr>
          <w:delText xml:space="preserve">ksjon i antall celler som </w:delText>
        </w:r>
        <w:r w:rsidR="00CA1D4D" w:rsidRPr="009C5EFD">
          <w:rPr>
            <w:lang w:val="nb-NO"/>
          </w:rPr>
          <w:delText xml:space="preserve">uttrykker </w:delText>
        </w:r>
        <w:r w:rsidR="00A51C39" w:rsidRPr="009C5EFD">
          <w:rPr>
            <w:lang w:val="nb-NO"/>
          </w:rPr>
          <w:delText xml:space="preserve">inflammasjonsmarkører i tykktarmen, inkludert </w:delText>
        </w:r>
        <w:r w:rsidR="000872CB" w:rsidRPr="009C5EFD">
          <w:rPr>
            <w:lang w:val="nb-NO"/>
          </w:rPr>
          <w:delText xml:space="preserve">en signifikant </w:delText>
        </w:r>
        <w:r w:rsidR="00A51C39" w:rsidRPr="009C5EFD">
          <w:rPr>
            <w:lang w:val="nb-NO"/>
          </w:rPr>
          <w:delText>reduksjon i TNF</w:delText>
        </w:r>
        <w:r w:rsidR="00A51C39" w:rsidRPr="009C5EFD">
          <w:delText>α</w:delText>
        </w:r>
        <w:r w:rsidR="00BB0192" w:rsidRPr="009C5EFD">
          <w:rPr>
            <w:lang w:val="nb-NO"/>
          </w:rPr>
          <w:delText>,</w:delText>
        </w:r>
        <w:r w:rsidR="00DE3458" w:rsidRPr="009C5EFD">
          <w:rPr>
            <w:lang w:val="nb-NO"/>
          </w:rPr>
          <w:delText xml:space="preserve"> observert.</w:delText>
        </w:r>
        <w:r w:rsidR="00A51C39" w:rsidRPr="009C5EFD">
          <w:rPr>
            <w:lang w:val="nb-NO"/>
          </w:rPr>
          <w:delText xml:space="preserve"> Endoskopiske studier i intestinal muk</w:delText>
        </w:r>
        <w:r w:rsidR="00CA1D4D" w:rsidRPr="009C5EFD">
          <w:rPr>
            <w:lang w:val="nb-NO"/>
          </w:rPr>
          <w:delText>o</w:delText>
        </w:r>
        <w:r w:rsidR="00A51C39" w:rsidRPr="009C5EFD">
          <w:rPr>
            <w:lang w:val="nb-NO"/>
          </w:rPr>
          <w:delText>s</w:delText>
        </w:r>
        <w:r w:rsidR="00CA1D4D" w:rsidRPr="009C5EFD">
          <w:rPr>
            <w:lang w:val="nb-NO"/>
          </w:rPr>
          <w:delText>a</w:delText>
        </w:r>
        <w:r w:rsidR="00A51C39" w:rsidRPr="009C5EFD">
          <w:rPr>
            <w:lang w:val="nb-NO"/>
          </w:rPr>
          <w:delText xml:space="preserve"> har vist slimhinne</w:delText>
        </w:r>
        <w:r w:rsidR="00CA1D4D" w:rsidRPr="009C5EFD">
          <w:rPr>
            <w:lang w:val="nb-NO"/>
          </w:rPr>
          <w:delText>til</w:delText>
        </w:r>
        <w:r w:rsidR="00A51C39" w:rsidRPr="009C5EFD">
          <w:rPr>
            <w:lang w:val="nb-NO"/>
          </w:rPr>
          <w:delText>heling hos pasienter som ble behandlet med adalimumab.</w:delText>
        </w:r>
        <w:r w:rsidRPr="009C5EFD">
          <w:rPr>
            <w:lang w:val="nb-NO"/>
          </w:rPr>
          <w:delText xml:space="preserve"> </w:delText>
        </w:r>
      </w:del>
    </w:p>
    <w:p w14:paraId="7FE8BBD7" w14:textId="56B69434" w:rsidR="001E0A99" w:rsidRPr="009C5EFD" w:rsidRDefault="001E0A99" w:rsidP="009C5EFD">
      <w:pPr>
        <w:pStyle w:val="EndnoteText"/>
        <w:widowControl/>
        <w:tabs>
          <w:tab w:val="clear" w:pos="567"/>
        </w:tabs>
        <w:suppressAutoHyphens/>
        <w:rPr>
          <w:del w:id="1385" w:author="AbbVie02no" w:date="2025-05-15T12:36:00Z"/>
          <w:u w:val="single"/>
          <w:lang w:val="nb-NO"/>
        </w:rPr>
      </w:pPr>
    </w:p>
    <w:p w14:paraId="1E7B236A" w14:textId="76D4D44D" w:rsidR="00DE3458" w:rsidRPr="009C5EFD" w:rsidRDefault="00E453CD" w:rsidP="00921303">
      <w:pPr>
        <w:pStyle w:val="EndnoteText"/>
        <w:keepNext/>
        <w:widowControl/>
        <w:tabs>
          <w:tab w:val="clear" w:pos="567"/>
        </w:tabs>
        <w:suppressAutoHyphens/>
        <w:rPr>
          <w:del w:id="1386" w:author="AbbVie02no" w:date="2025-05-15T12:36:00Z"/>
          <w:szCs w:val="22"/>
          <w:u w:val="single"/>
          <w:lang w:val="nb-NO"/>
        </w:rPr>
      </w:pPr>
      <w:del w:id="1387" w:author="AbbVie02no" w:date="2025-05-15T12:36:00Z">
        <w:r w:rsidRPr="009C5EFD">
          <w:rPr>
            <w:szCs w:val="22"/>
            <w:u w:val="single"/>
            <w:lang w:val="nb-NO"/>
          </w:rPr>
          <w:lastRenderedPageBreak/>
          <w:delText>Klinisk</w:delText>
        </w:r>
        <w:r w:rsidR="00F45B5C" w:rsidRPr="009C5EFD">
          <w:rPr>
            <w:szCs w:val="22"/>
            <w:u w:val="single"/>
            <w:lang w:val="nb-NO"/>
          </w:rPr>
          <w:delText xml:space="preserve"> effekt og sikkerhet</w:delText>
        </w:r>
      </w:del>
    </w:p>
    <w:p w14:paraId="750A5A2B" w14:textId="5DE1779F" w:rsidR="00DE3458" w:rsidRPr="009C5EFD" w:rsidRDefault="00DE3458" w:rsidP="00921303">
      <w:pPr>
        <w:pStyle w:val="EndnoteText"/>
        <w:keepNext/>
        <w:widowControl/>
        <w:tabs>
          <w:tab w:val="clear" w:pos="567"/>
        </w:tabs>
        <w:suppressAutoHyphens/>
        <w:rPr>
          <w:del w:id="1388" w:author="AbbVie02no" w:date="2025-05-15T12:36:00Z"/>
          <w:szCs w:val="22"/>
          <w:lang w:val="nb-NO"/>
        </w:rPr>
      </w:pPr>
    </w:p>
    <w:p w14:paraId="29321A76" w14:textId="5DB2A5DB" w:rsidR="00DE3458" w:rsidRPr="00193D76" w:rsidRDefault="00E453CD" w:rsidP="00776A84">
      <w:pPr>
        <w:pStyle w:val="EndnoteText"/>
        <w:keepNext/>
        <w:widowControl/>
        <w:tabs>
          <w:tab w:val="clear" w:pos="567"/>
        </w:tabs>
        <w:suppressAutoHyphens/>
        <w:rPr>
          <w:del w:id="1389" w:author="AbbVie02no" w:date="2025-05-15T12:36:00Z"/>
          <w:szCs w:val="22"/>
          <w:u w:val="single"/>
          <w:lang w:val="nb-NO"/>
        </w:rPr>
      </w:pPr>
      <w:del w:id="1390" w:author="AbbVie02no" w:date="2025-05-15T12:36:00Z">
        <w:r w:rsidRPr="001F5D4B">
          <w:rPr>
            <w:i/>
            <w:szCs w:val="22"/>
          </w:rPr>
          <w:delText>Voksne med revmatoid artritt</w:delText>
        </w:r>
      </w:del>
    </w:p>
    <w:p w14:paraId="022DD7A5" w14:textId="2991B13B" w:rsidR="00B65EEB" w:rsidRPr="002D0790" w:rsidRDefault="00B65EEB" w:rsidP="00776A84">
      <w:pPr>
        <w:pStyle w:val="EndnoteText"/>
        <w:keepNext/>
        <w:widowControl/>
        <w:tabs>
          <w:tab w:val="clear" w:pos="567"/>
        </w:tabs>
        <w:suppressAutoHyphens/>
        <w:rPr>
          <w:del w:id="1391" w:author="AbbVie02no" w:date="2025-05-15T12:36:00Z"/>
          <w:szCs w:val="22"/>
          <w:u w:val="single"/>
          <w:lang w:val="nb-NO"/>
        </w:rPr>
      </w:pPr>
    </w:p>
    <w:p w14:paraId="33B67FF4" w14:textId="6C691CB1" w:rsidR="00DE3458" w:rsidRPr="009C5EFD" w:rsidRDefault="00E453CD" w:rsidP="009C5EFD">
      <w:pPr>
        <w:pStyle w:val="EndnoteText"/>
        <w:widowControl/>
        <w:tabs>
          <w:tab w:val="clear" w:pos="567"/>
        </w:tabs>
        <w:suppressAutoHyphens/>
        <w:rPr>
          <w:del w:id="1392" w:author="AbbVie02no" w:date="2025-05-15T12:36:00Z"/>
          <w:szCs w:val="22"/>
          <w:lang w:val="nb-NO"/>
        </w:rPr>
      </w:pPr>
      <w:del w:id="1393" w:author="AbbVie02no" w:date="2025-05-15T12:36:00Z">
        <w:r w:rsidRPr="002D0790">
          <w:rPr>
            <w:szCs w:val="22"/>
            <w:lang w:val="nb-NO"/>
          </w:rPr>
          <w:delText xml:space="preserve">Humira </w:delText>
        </w:r>
        <w:r w:rsidR="00A230E8" w:rsidRPr="00E14E58">
          <w:rPr>
            <w:szCs w:val="22"/>
            <w:lang w:val="nb-NO"/>
          </w:rPr>
          <w:delText>ble</w:delText>
        </w:r>
        <w:r w:rsidRPr="009C5EFD">
          <w:rPr>
            <w:szCs w:val="22"/>
            <w:lang w:val="nb-NO"/>
          </w:rPr>
          <w:delText xml:space="preserve"> </w:delText>
        </w:r>
        <w:r w:rsidR="00744283">
          <w:rPr>
            <w:szCs w:val="22"/>
            <w:lang w:val="nb-NO"/>
          </w:rPr>
          <w:delText>vurdert</w:delText>
        </w:r>
        <w:r w:rsidR="00744283" w:rsidRPr="009C5EFD">
          <w:rPr>
            <w:szCs w:val="22"/>
            <w:lang w:val="nb-NO"/>
          </w:rPr>
          <w:delText xml:space="preserve"> </w:delText>
        </w:r>
        <w:r w:rsidR="00332884">
          <w:rPr>
            <w:szCs w:val="22"/>
            <w:lang w:val="nb-NO"/>
          </w:rPr>
          <w:delText xml:space="preserve">hos </w:delText>
        </w:r>
        <w:r w:rsidRPr="009C5EFD">
          <w:rPr>
            <w:szCs w:val="22"/>
            <w:lang w:val="nb-NO"/>
          </w:rPr>
          <w:delText xml:space="preserve">mer enn 3000 pasienter </w:delText>
        </w:r>
        <w:r w:rsidR="00332884">
          <w:rPr>
            <w:szCs w:val="22"/>
            <w:lang w:val="nb-NO"/>
          </w:rPr>
          <w:delText>i alle kliniske studier på</w:delText>
        </w:r>
        <w:r w:rsidRPr="009C5EFD">
          <w:rPr>
            <w:szCs w:val="22"/>
            <w:lang w:val="nb-NO"/>
          </w:rPr>
          <w:delText xml:space="preserve"> revmatoid artritt. </w:delText>
        </w:r>
        <w:r w:rsidR="00BF0906" w:rsidRPr="009C5EFD">
          <w:rPr>
            <w:szCs w:val="22"/>
            <w:lang w:val="nb-NO"/>
          </w:rPr>
          <w:delText xml:space="preserve">Effekt og sikkerhet </w:delText>
        </w:r>
        <w:r w:rsidR="00C34F9D" w:rsidRPr="009C5EFD">
          <w:rPr>
            <w:szCs w:val="22"/>
            <w:lang w:val="nb-NO"/>
          </w:rPr>
          <w:delText>av</w:delText>
        </w:r>
        <w:r w:rsidR="00BF0906" w:rsidRPr="009C5EFD">
          <w:rPr>
            <w:szCs w:val="22"/>
            <w:lang w:val="nb-NO"/>
          </w:rPr>
          <w:delText xml:space="preserve"> Humira ble utredet i fem randomiserte, dobbeltblinde og velkontrollerte studier. </w:delText>
        </w:r>
        <w:r w:rsidRPr="009C5EFD">
          <w:rPr>
            <w:szCs w:val="22"/>
            <w:lang w:val="nb-NO"/>
          </w:rPr>
          <w:delText xml:space="preserve">Enkelte pasienter fikk behandling som varte i inntil </w:delText>
        </w:r>
        <w:r w:rsidR="00BF0906" w:rsidRPr="009C5EFD">
          <w:rPr>
            <w:szCs w:val="22"/>
            <w:lang w:val="nb-NO"/>
          </w:rPr>
          <w:delText xml:space="preserve">120 </w:delText>
        </w:r>
        <w:r w:rsidRPr="009C5EFD">
          <w:rPr>
            <w:szCs w:val="22"/>
            <w:lang w:val="nb-NO"/>
          </w:rPr>
          <w:delText xml:space="preserve">måneder. </w:delText>
        </w:r>
      </w:del>
    </w:p>
    <w:p w14:paraId="7B577128" w14:textId="177EAB2A" w:rsidR="00DE3458" w:rsidRPr="009C5EFD" w:rsidRDefault="00DE3458" w:rsidP="009C5EFD">
      <w:pPr>
        <w:pStyle w:val="EndnoteText"/>
        <w:widowControl/>
        <w:tabs>
          <w:tab w:val="clear" w:pos="567"/>
        </w:tabs>
        <w:suppressAutoHyphens/>
        <w:rPr>
          <w:del w:id="1394" w:author="AbbVie02no" w:date="2025-05-15T12:36:00Z"/>
          <w:szCs w:val="22"/>
          <w:lang w:val="nb-NO"/>
        </w:rPr>
      </w:pPr>
    </w:p>
    <w:p w14:paraId="649D013E" w14:textId="07C80514" w:rsidR="00DE3458" w:rsidRPr="009C5EFD" w:rsidRDefault="00E453CD" w:rsidP="009C5EFD">
      <w:pPr>
        <w:pStyle w:val="EndnoteText"/>
        <w:widowControl/>
        <w:tabs>
          <w:tab w:val="clear" w:pos="567"/>
        </w:tabs>
        <w:suppressAutoHyphens/>
        <w:rPr>
          <w:del w:id="1395" w:author="AbbVie02no" w:date="2025-05-15T12:36:00Z"/>
          <w:szCs w:val="22"/>
          <w:lang w:val="nb-NO"/>
        </w:rPr>
      </w:pPr>
      <w:del w:id="1396" w:author="AbbVie02no" w:date="2025-05-15T12:36:00Z">
        <w:r w:rsidRPr="009C5EFD">
          <w:rPr>
            <w:szCs w:val="22"/>
            <w:lang w:val="nb-NO"/>
          </w:rPr>
          <w:delText xml:space="preserve">RA-studie I </w:delText>
        </w:r>
        <w:r w:rsidR="00744283">
          <w:rPr>
            <w:szCs w:val="22"/>
          </w:rPr>
          <w:delText>vurderte</w:delText>
        </w:r>
        <w:r w:rsidRPr="009C5EFD">
          <w:rPr>
            <w:szCs w:val="22"/>
            <w:lang w:val="nb-NO"/>
          </w:rPr>
          <w:delText xml:space="preserve"> 271 pasienter med moderat til </w:delText>
        </w:r>
        <w:r w:rsidR="00021903">
          <w:rPr>
            <w:szCs w:val="22"/>
            <w:lang w:val="nb-NO"/>
          </w:rPr>
          <w:delText>alvorlig</w:delText>
        </w:r>
        <w:r w:rsidRPr="009C5EFD">
          <w:rPr>
            <w:szCs w:val="22"/>
            <w:lang w:val="nb-NO"/>
          </w:rPr>
          <w:delText xml:space="preserve"> aktiv revmatoid artritt som var </w:delText>
        </w:r>
        <w:r w:rsidR="00BA43F9" w:rsidRPr="009C5EFD">
          <w:rPr>
            <w:szCs w:val="22"/>
            <w:lang w:val="nb-NO"/>
          </w:rPr>
          <w:delText>≥ </w:delText>
        </w:r>
        <w:r w:rsidRPr="009C5EFD">
          <w:rPr>
            <w:szCs w:val="22"/>
            <w:lang w:val="nb-NO"/>
          </w:rPr>
          <w:delText>18 år , hvor behandlingen hadde mislyktes med minst ett sykdomsmodifiserende antirevmatisk legemiddel, hvor metotreksatdoser på 12,5 til 25 mg (10 mg ved metotreksatintoleranse) i uken ikke hadde hatt tilstrekkelig effekt, og hvor metotreksatdosen ble holdt konstant på 10 til 25 mg i uken. Doser på 20, 40 eller 80 mg Humira eller placebo ble gitt annenhver uke i 24 uker.</w:delText>
        </w:r>
      </w:del>
    </w:p>
    <w:p w14:paraId="76458F25" w14:textId="1F7785FE" w:rsidR="00DE3458" w:rsidRPr="009C5EFD" w:rsidRDefault="00DE3458" w:rsidP="009C5EFD">
      <w:pPr>
        <w:pStyle w:val="EndnoteText"/>
        <w:widowControl/>
        <w:tabs>
          <w:tab w:val="clear" w:pos="567"/>
        </w:tabs>
        <w:suppressAutoHyphens/>
        <w:rPr>
          <w:del w:id="1397" w:author="AbbVie02no" w:date="2025-05-15T12:36:00Z"/>
          <w:szCs w:val="22"/>
          <w:lang w:val="nb-NO"/>
        </w:rPr>
      </w:pPr>
    </w:p>
    <w:p w14:paraId="659186A9" w14:textId="02158B80" w:rsidR="00DE3458" w:rsidRPr="009C5EFD" w:rsidRDefault="00E453CD" w:rsidP="009C5EFD">
      <w:pPr>
        <w:pStyle w:val="EndnoteText"/>
        <w:widowControl/>
        <w:tabs>
          <w:tab w:val="clear" w:pos="567"/>
        </w:tabs>
        <w:suppressAutoHyphens/>
        <w:rPr>
          <w:del w:id="1398" w:author="AbbVie02no" w:date="2025-05-15T12:36:00Z"/>
          <w:szCs w:val="22"/>
          <w:lang w:val="nb-NO"/>
        </w:rPr>
      </w:pPr>
      <w:del w:id="1399" w:author="AbbVie02no" w:date="2025-05-15T12:36:00Z">
        <w:r w:rsidRPr="009C5EFD">
          <w:rPr>
            <w:szCs w:val="22"/>
            <w:lang w:val="nb-NO"/>
          </w:rPr>
          <w:delText xml:space="preserve">RA-studie II </w:delText>
        </w:r>
        <w:r w:rsidR="00744283">
          <w:rPr>
            <w:szCs w:val="22"/>
          </w:rPr>
          <w:delText>vurderte</w:delText>
        </w:r>
        <w:r w:rsidR="00FE1DDF" w:rsidRPr="009C5EFD">
          <w:rPr>
            <w:szCs w:val="22"/>
            <w:lang w:val="nb-NO"/>
          </w:rPr>
          <w:delText xml:space="preserve"> </w:delText>
        </w:r>
        <w:r w:rsidRPr="009C5EFD">
          <w:rPr>
            <w:szCs w:val="22"/>
            <w:lang w:val="nb-NO"/>
          </w:rPr>
          <w:delText xml:space="preserve">544 pasienter med moderat til </w:delText>
        </w:r>
        <w:r w:rsidR="00021903">
          <w:rPr>
            <w:szCs w:val="22"/>
            <w:lang w:val="nb-NO"/>
          </w:rPr>
          <w:delText>alvorlig</w:delText>
        </w:r>
        <w:r w:rsidRPr="009C5EFD">
          <w:rPr>
            <w:szCs w:val="22"/>
            <w:lang w:val="nb-NO"/>
          </w:rPr>
          <w:delText xml:space="preserve"> aktiv revmatoid artritt som var </w:delText>
        </w:r>
        <w:r w:rsidR="00BA43F9" w:rsidRPr="009C5EFD">
          <w:rPr>
            <w:szCs w:val="22"/>
            <w:lang w:val="nb-NO"/>
          </w:rPr>
          <w:delText>≥ </w:delText>
        </w:r>
        <w:r w:rsidRPr="009C5EFD">
          <w:rPr>
            <w:szCs w:val="22"/>
            <w:lang w:val="nb-NO"/>
          </w:rPr>
          <w:delText>18 år , hvor behandlingen hadde mislyktes med minst ett sykdomsmodifiserende antirevmatisk legemiddel. Doser på 20 og 40 mg Humira ble gitt subkutant annen</w:delText>
        </w:r>
        <w:r w:rsidR="004C100E">
          <w:rPr>
            <w:szCs w:val="22"/>
            <w:lang w:val="nb-NO"/>
          </w:rPr>
          <w:delText>hver</w:delText>
        </w:r>
        <w:r w:rsidRPr="009C5EFD">
          <w:rPr>
            <w:szCs w:val="22"/>
            <w:lang w:val="nb-NO"/>
          </w:rPr>
          <w:delText xml:space="preserve"> uke med placebo i de mellomliggende ukene, eller hver uke i 26 uker; placebo ble gitt hver uke av samme varighet. </w:delText>
        </w:r>
        <w:r w:rsidR="00C35098" w:rsidRPr="009C5EFD">
          <w:rPr>
            <w:szCs w:val="22"/>
            <w:lang w:val="nb-NO"/>
          </w:rPr>
          <w:delText>Ingen a</w:delText>
        </w:r>
        <w:r w:rsidRPr="009C5EFD">
          <w:rPr>
            <w:szCs w:val="22"/>
            <w:lang w:val="nb-NO"/>
          </w:rPr>
          <w:delText>ndre sykdomsmodifiserende antirevmatiske legemidler var tillatt.</w:delText>
        </w:r>
      </w:del>
    </w:p>
    <w:p w14:paraId="1AE7E3EE" w14:textId="0F956C71" w:rsidR="00DE3458" w:rsidRPr="009C5EFD" w:rsidRDefault="00DE3458" w:rsidP="009C5EFD">
      <w:pPr>
        <w:pStyle w:val="EndnoteText"/>
        <w:widowControl/>
        <w:tabs>
          <w:tab w:val="clear" w:pos="567"/>
        </w:tabs>
        <w:suppressAutoHyphens/>
        <w:rPr>
          <w:del w:id="1400" w:author="AbbVie02no" w:date="2025-05-15T12:36:00Z"/>
          <w:szCs w:val="22"/>
          <w:lang w:val="nb-NO"/>
        </w:rPr>
      </w:pPr>
    </w:p>
    <w:p w14:paraId="4D1FCF77" w14:textId="61BC815D" w:rsidR="00DE3458" w:rsidRPr="009C5EFD" w:rsidRDefault="00E453CD" w:rsidP="009C5EFD">
      <w:pPr>
        <w:pStyle w:val="EndnoteText"/>
        <w:widowControl/>
        <w:tabs>
          <w:tab w:val="clear" w:pos="567"/>
        </w:tabs>
        <w:suppressAutoHyphens/>
        <w:rPr>
          <w:del w:id="1401" w:author="AbbVie02no" w:date="2025-05-15T12:36:00Z"/>
          <w:szCs w:val="22"/>
          <w:lang w:val="nb-NO"/>
        </w:rPr>
      </w:pPr>
      <w:del w:id="1402" w:author="AbbVie02no" w:date="2025-05-15T12:36:00Z">
        <w:r w:rsidRPr="009C5EFD">
          <w:rPr>
            <w:szCs w:val="22"/>
            <w:lang w:val="nb-NO"/>
          </w:rPr>
          <w:delText xml:space="preserve">RA-studie III </w:delText>
        </w:r>
        <w:r w:rsidR="00744283">
          <w:rPr>
            <w:szCs w:val="22"/>
          </w:rPr>
          <w:delText>vurderte</w:delText>
        </w:r>
        <w:r w:rsidRPr="009C5EFD">
          <w:rPr>
            <w:szCs w:val="22"/>
            <w:lang w:val="nb-NO"/>
          </w:rPr>
          <w:delText xml:space="preserve"> 619 pasienter med moderat til </w:delText>
        </w:r>
        <w:r w:rsidR="00021903">
          <w:rPr>
            <w:szCs w:val="22"/>
            <w:lang w:val="nb-NO"/>
          </w:rPr>
          <w:delText>alvorlig</w:delText>
        </w:r>
        <w:r w:rsidRPr="009C5EFD">
          <w:rPr>
            <w:szCs w:val="22"/>
            <w:lang w:val="nb-NO"/>
          </w:rPr>
          <w:delText xml:space="preserve"> aktiv revmatoid artritt som var </w:delText>
        </w:r>
        <w:r w:rsidR="00BA43F9" w:rsidRPr="009C5EFD">
          <w:rPr>
            <w:szCs w:val="22"/>
            <w:lang w:val="nb-NO"/>
          </w:rPr>
          <w:delText>≥ </w:delText>
        </w:r>
        <w:r w:rsidRPr="009C5EFD">
          <w:rPr>
            <w:szCs w:val="22"/>
            <w:lang w:val="nb-NO"/>
          </w:rPr>
          <w:delText xml:space="preserve">18 år  og som hadde en ineffektiv respons på metotreksat ved doser mellom 12,5 til 25 mg eller var intolerante overfor 10 mg metotreksat hver uke. I denne studien var det tre grupper. Den første fikk placebo-injeksjoner hver uke i 52 uker. Den andre fikk 20 mg Humira hver uke i 52 uker. Den tredje gruppen fikk 40 mg Humira annenhver uke med placebo-injeksjoner i de mellomliggende ukene. </w:delText>
        </w:r>
        <w:r w:rsidR="00876A09" w:rsidRPr="009C5EFD">
          <w:rPr>
            <w:szCs w:val="22"/>
            <w:lang w:val="nb-NO"/>
          </w:rPr>
          <w:delText xml:space="preserve">Etter avslutning av de første 52 uker ble 457 pasienter </w:delText>
        </w:r>
        <w:r w:rsidRPr="009C5EFD">
          <w:rPr>
            <w:szCs w:val="22"/>
            <w:lang w:val="nb-NO"/>
          </w:rPr>
          <w:delText>inkludert i en åpen oppfølgingsstudie hvor det ble gitt 40 mg Humira</w:delText>
        </w:r>
        <w:r w:rsidR="00876A09" w:rsidRPr="009C5EFD">
          <w:rPr>
            <w:szCs w:val="22"/>
            <w:lang w:val="nb-NO"/>
          </w:rPr>
          <w:delText>/MTX</w:delText>
        </w:r>
        <w:r w:rsidRPr="009C5EFD">
          <w:rPr>
            <w:szCs w:val="22"/>
            <w:lang w:val="nb-NO"/>
          </w:rPr>
          <w:delText xml:space="preserve"> annenhver uke i inntil </w:delText>
        </w:r>
        <w:r w:rsidR="00AA3335" w:rsidRPr="009C5EFD">
          <w:rPr>
            <w:szCs w:val="22"/>
            <w:lang w:val="nb-NO"/>
          </w:rPr>
          <w:delText>10 år</w:delText>
        </w:r>
        <w:r w:rsidRPr="009C5EFD">
          <w:rPr>
            <w:szCs w:val="22"/>
            <w:lang w:val="nb-NO"/>
          </w:rPr>
          <w:delText>.</w:delText>
        </w:r>
      </w:del>
    </w:p>
    <w:p w14:paraId="5866F64D" w14:textId="17BBAE1F" w:rsidR="00AA3335" w:rsidRPr="009C5EFD" w:rsidRDefault="00AA3335" w:rsidP="009C5EFD">
      <w:pPr>
        <w:rPr>
          <w:del w:id="1403" w:author="AbbVie02no" w:date="2025-05-15T12:36:00Z"/>
          <w:sz w:val="22"/>
          <w:szCs w:val="22"/>
        </w:rPr>
      </w:pPr>
    </w:p>
    <w:p w14:paraId="0103BB4C" w14:textId="2F34C9AA" w:rsidR="00DE3458" w:rsidRPr="009C5EFD" w:rsidRDefault="00E453CD" w:rsidP="009C5EFD">
      <w:pPr>
        <w:rPr>
          <w:del w:id="1404" w:author="AbbVie02no" w:date="2025-05-15T12:36:00Z"/>
          <w:sz w:val="22"/>
          <w:szCs w:val="22"/>
        </w:rPr>
      </w:pPr>
      <w:del w:id="1405" w:author="AbbVie02no" w:date="2025-05-15T12:36:00Z">
        <w:r w:rsidRPr="009C5EFD">
          <w:rPr>
            <w:sz w:val="22"/>
            <w:szCs w:val="22"/>
          </w:rPr>
          <w:delText xml:space="preserve">RA-studie IV utredet først og fremst sikkerhet hos 636 pasienter med moderat til </w:delText>
        </w:r>
        <w:r w:rsidR="00021903">
          <w:rPr>
            <w:sz w:val="22"/>
            <w:szCs w:val="22"/>
          </w:rPr>
          <w:delText>alvorlig</w:delText>
        </w:r>
        <w:r w:rsidRPr="009C5EFD">
          <w:rPr>
            <w:sz w:val="22"/>
            <w:szCs w:val="22"/>
          </w:rPr>
          <w:delText xml:space="preserve"> aktiv revmatoid artritt og som var </w:delText>
        </w:r>
        <w:r w:rsidR="00BA43F9" w:rsidRPr="009C5EFD">
          <w:rPr>
            <w:sz w:val="22"/>
            <w:szCs w:val="22"/>
          </w:rPr>
          <w:delText>≥ </w:delText>
        </w:r>
        <w:r w:rsidRPr="009C5EFD">
          <w:rPr>
            <w:sz w:val="22"/>
            <w:szCs w:val="22"/>
          </w:rPr>
          <w:delText>18 år. Pasientene hadde</w:delText>
        </w:r>
        <w:r w:rsidR="00FD27F8" w:rsidRPr="009C5EFD">
          <w:rPr>
            <w:sz w:val="22"/>
            <w:szCs w:val="22"/>
          </w:rPr>
          <w:delText xml:space="preserve"> enten</w:delText>
        </w:r>
        <w:r w:rsidRPr="009C5EFD">
          <w:rPr>
            <w:sz w:val="22"/>
            <w:szCs w:val="22"/>
          </w:rPr>
          <w:delText xml:space="preserve"> aldri </w:delText>
        </w:r>
        <w:r w:rsidR="00FD27F8" w:rsidRPr="009C5EFD">
          <w:rPr>
            <w:sz w:val="22"/>
            <w:szCs w:val="22"/>
          </w:rPr>
          <w:delText>brukt</w:delText>
        </w:r>
        <w:r w:rsidR="00EA7EDC" w:rsidRPr="009C5EFD">
          <w:rPr>
            <w:sz w:val="22"/>
            <w:szCs w:val="22"/>
          </w:rPr>
          <w:delText xml:space="preserve"> </w:delText>
        </w:r>
        <w:r w:rsidRPr="009C5EFD">
          <w:rPr>
            <w:sz w:val="22"/>
            <w:szCs w:val="22"/>
          </w:rPr>
          <w:delText xml:space="preserve">sykdomsmodifiserende, antirevmatiske midler eller de </w:delText>
        </w:r>
        <w:r w:rsidRPr="009C5EFD">
          <w:rPr>
            <w:sz w:val="22"/>
          </w:rPr>
          <w:delText>forts</w:delText>
        </w:r>
        <w:r w:rsidR="00B14C1F" w:rsidRPr="009C5EFD">
          <w:rPr>
            <w:sz w:val="22"/>
          </w:rPr>
          <w:delText>a</w:delText>
        </w:r>
        <w:r w:rsidRPr="009C5EFD">
          <w:rPr>
            <w:sz w:val="22"/>
          </w:rPr>
          <w:delText xml:space="preserve">tte </w:delText>
        </w:r>
        <w:r w:rsidRPr="009C5EFD">
          <w:rPr>
            <w:sz w:val="22"/>
            <w:szCs w:val="22"/>
          </w:rPr>
          <w:delText>med den revmatologiske behandling som allerede var innledet, forutsatt at behandlingen hadde vært stabil i minst 28 dager. Disse legemidlene inkluderer metotreksat, leflunomid, hydroksyklorokin, sulfasalazin og/eller gullsalter. Pasientene ble randomisert til behandling med enten 40 mg Humira eller placebo annenhver uke i 24 uker.</w:delText>
        </w:r>
      </w:del>
    </w:p>
    <w:p w14:paraId="0735057D" w14:textId="17294DA9" w:rsidR="007F0857" w:rsidRPr="009C5EFD" w:rsidRDefault="007F0857" w:rsidP="009C5EFD">
      <w:pPr>
        <w:rPr>
          <w:del w:id="1406" w:author="AbbVie02no" w:date="2025-05-15T12:36:00Z"/>
          <w:sz w:val="22"/>
          <w:szCs w:val="22"/>
        </w:rPr>
      </w:pPr>
    </w:p>
    <w:p w14:paraId="18204CB4" w14:textId="12EEDFB1" w:rsidR="00DE3458" w:rsidRPr="009C5EFD" w:rsidRDefault="00E453CD" w:rsidP="009C5EFD">
      <w:pPr>
        <w:rPr>
          <w:del w:id="1407" w:author="AbbVie02no" w:date="2025-05-15T12:36:00Z"/>
          <w:sz w:val="22"/>
          <w:szCs w:val="22"/>
        </w:rPr>
      </w:pPr>
      <w:del w:id="1408" w:author="AbbVie02no" w:date="2025-05-15T12:36:00Z">
        <w:r w:rsidRPr="009C5EFD">
          <w:rPr>
            <w:sz w:val="22"/>
            <w:szCs w:val="22"/>
          </w:rPr>
          <w:delText xml:space="preserve">RA-studie V </w:delText>
        </w:r>
        <w:r w:rsidR="003D3CAB">
          <w:rPr>
            <w:sz w:val="22"/>
            <w:szCs w:val="22"/>
          </w:rPr>
          <w:delText>vurderte</w:delText>
        </w:r>
        <w:r w:rsidRPr="009C5EFD">
          <w:rPr>
            <w:sz w:val="22"/>
            <w:szCs w:val="22"/>
          </w:rPr>
          <w:delText xml:space="preserve"> 799 voksne pasienter med moderat til alvorlig aktiv tidlig revmatoid artritt, som ikke hadde fått metotreksat tidligere (gjennomsnittlig sykdomsvarighet mindre enn 9 måneder). Denne studien </w:delText>
        </w:r>
        <w:r w:rsidR="006B250F">
          <w:rPr>
            <w:sz w:val="22"/>
            <w:szCs w:val="22"/>
          </w:rPr>
          <w:delText>vurderte</w:delText>
        </w:r>
        <w:r w:rsidRPr="009C5EFD">
          <w:rPr>
            <w:sz w:val="22"/>
            <w:szCs w:val="22"/>
          </w:rPr>
          <w:delText xml:space="preserve"> effekten av kombinasjonsbehandling Humira 40 mg annen</w:delText>
        </w:r>
        <w:r w:rsidR="00FE1DDF">
          <w:rPr>
            <w:sz w:val="22"/>
            <w:szCs w:val="22"/>
          </w:rPr>
          <w:delText>hver</w:delText>
        </w:r>
        <w:r w:rsidRPr="009C5EFD">
          <w:rPr>
            <w:sz w:val="22"/>
            <w:szCs w:val="22"/>
          </w:rPr>
          <w:delText xml:space="preserve"> uke/metotreksat, Humira 40 mg annen</w:delText>
        </w:r>
        <w:r w:rsidR="00FE1DDF">
          <w:rPr>
            <w:sz w:val="22"/>
            <w:szCs w:val="22"/>
          </w:rPr>
          <w:delText>hver</w:delText>
        </w:r>
        <w:r w:rsidRPr="009C5EFD">
          <w:rPr>
            <w:sz w:val="22"/>
            <w:szCs w:val="22"/>
          </w:rPr>
          <w:delText xml:space="preserve"> uke i monoterapi og metotreksat monoterapi, på reduksjon av tegn og symptomer og grad av progresjon i leddskade ved revmatoid artritt i 104 uker. </w:delText>
        </w:r>
        <w:r w:rsidR="0012315F">
          <w:rPr>
            <w:sz w:val="22"/>
            <w:szCs w:val="22"/>
          </w:rPr>
          <w:delText>Etter avslutning av de første 104 uke</w:delText>
        </w:r>
        <w:r w:rsidR="002C16EF">
          <w:rPr>
            <w:sz w:val="22"/>
            <w:szCs w:val="22"/>
          </w:rPr>
          <w:delText>ne</w:delText>
        </w:r>
        <w:r w:rsidR="0012315F">
          <w:rPr>
            <w:sz w:val="22"/>
            <w:szCs w:val="22"/>
          </w:rPr>
          <w:delText>, ble 497 pasienter inkludert i en åpen forlengelsesfase hvor Humira 40 mg ble gitt annenhver uke</w:delText>
        </w:r>
        <w:r w:rsidR="002C16EF">
          <w:rPr>
            <w:sz w:val="22"/>
            <w:szCs w:val="22"/>
          </w:rPr>
          <w:delText xml:space="preserve"> i</w:delText>
        </w:r>
        <w:r w:rsidR="0012315F">
          <w:rPr>
            <w:sz w:val="22"/>
            <w:szCs w:val="22"/>
          </w:rPr>
          <w:delText xml:space="preserve"> opptil 10 år.</w:delText>
        </w:r>
      </w:del>
    </w:p>
    <w:p w14:paraId="2A2B4E86" w14:textId="710851AE" w:rsidR="00DE3458" w:rsidRPr="009C5EFD" w:rsidRDefault="00DE3458" w:rsidP="009C5EFD">
      <w:pPr>
        <w:rPr>
          <w:del w:id="1409" w:author="AbbVie02no" w:date="2025-05-15T12:36:00Z"/>
          <w:sz w:val="22"/>
          <w:szCs w:val="22"/>
        </w:rPr>
      </w:pPr>
    </w:p>
    <w:p w14:paraId="5A70448E" w14:textId="38A6CA03" w:rsidR="00DE3458" w:rsidRPr="009C5EFD" w:rsidRDefault="00E453CD" w:rsidP="009C5EFD">
      <w:pPr>
        <w:rPr>
          <w:del w:id="1410" w:author="AbbVie02no" w:date="2025-05-15T12:36:00Z"/>
          <w:sz w:val="22"/>
          <w:szCs w:val="22"/>
        </w:rPr>
      </w:pPr>
      <w:del w:id="1411" w:author="AbbVie02no" w:date="2025-05-15T12:36:00Z">
        <w:r w:rsidRPr="009C5EFD">
          <w:rPr>
            <w:sz w:val="22"/>
            <w:szCs w:val="22"/>
          </w:rPr>
          <w:delText xml:space="preserve">Det primære endepunkt i RA-studiene I, II og III og det sekundære endepunkt i RA-studie IV var prosentandelen av pasientene som oppnådde en ACR (American College of Rheumatology) 20-respons ved uke 24 eller 26. Primært endepunkt i RA-studie V var </w:delText>
        </w:r>
        <w:r w:rsidR="008A216F" w:rsidRPr="009C5EFD">
          <w:rPr>
            <w:sz w:val="22"/>
            <w:szCs w:val="22"/>
          </w:rPr>
          <w:delText>andel</w:delText>
        </w:r>
        <w:r w:rsidRPr="009C5EFD">
          <w:rPr>
            <w:sz w:val="22"/>
            <w:szCs w:val="22"/>
          </w:rPr>
          <w:delText xml:space="preserve"> pasienter som oppnådde ACR-</w:delText>
        </w:r>
        <w:r w:rsidR="00EC5A19">
          <w:rPr>
            <w:sz w:val="22"/>
            <w:szCs w:val="22"/>
          </w:rPr>
          <w:delText>50-respons</w:delText>
        </w:r>
        <w:r w:rsidRPr="009C5EFD">
          <w:rPr>
            <w:sz w:val="22"/>
            <w:szCs w:val="22"/>
          </w:rPr>
          <w:delText xml:space="preserve"> ved uke 52. RA-studiene III og V hadde i tillegg et primært endepunkt ved uke 52 som gjaldt forsinkelse av sykdomsprogresjon (vurdert på grunnlag av røntgenundersøkelse). RA-studie III hadde også forandringer i livskvalitet som et primært endepunkt.</w:delText>
        </w:r>
      </w:del>
    </w:p>
    <w:p w14:paraId="2002E3ED" w14:textId="71A0B512" w:rsidR="00DE3458" w:rsidRPr="009C5EFD" w:rsidRDefault="00DE3458" w:rsidP="009C5EFD">
      <w:pPr>
        <w:rPr>
          <w:del w:id="1412" w:author="AbbVie02no" w:date="2025-05-15T12:36:00Z"/>
          <w:sz w:val="22"/>
          <w:szCs w:val="22"/>
        </w:rPr>
      </w:pPr>
    </w:p>
    <w:p w14:paraId="29EEBF49" w14:textId="2A4386C7" w:rsidR="00DE3458" w:rsidRPr="00193D76" w:rsidRDefault="00E453CD" w:rsidP="00776A84">
      <w:pPr>
        <w:pStyle w:val="Heading8"/>
        <w:rPr>
          <w:del w:id="1413" w:author="AbbVie02no" w:date="2025-05-15T12:36:00Z"/>
          <w:szCs w:val="22"/>
        </w:rPr>
      </w:pPr>
      <w:del w:id="1414" w:author="AbbVie02no" w:date="2025-05-15T12:36:00Z">
        <w:r w:rsidRPr="001F5D4B">
          <w:rPr>
            <w:i/>
            <w:szCs w:val="22"/>
          </w:rPr>
          <w:delText>ACR-respons</w:delText>
        </w:r>
      </w:del>
    </w:p>
    <w:p w14:paraId="472D123C" w14:textId="7B9646DF" w:rsidR="00DE3458" w:rsidRPr="002D0790" w:rsidRDefault="00DE3458" w:rsidP="00776A84">
      <w:pPr>
        <w:keepNext/>
        <w:rPr>
          <w:del w:id="1415" w:author="AbbVie02no" w:date="2025-05-15T12:36:00Z"/>
          <w:sz w:val="22"/>
          <w:szCs w:val="22"/>
        </w:rPr>
      </w:pPr>
    </w:p>
    <w:p w14:paraId="272162E9" w14:textId="7D4D11C9" w:rsidR="008957C9" w:rsidRPr="009C5EFD" w:rsidRDefault="00E453CD" w:rsidP="009C5EFD">
      <w:pPr>
        <w:rPr>
          <w:del w:id="1416" w:author="AbbVie02no" w:date="2025-05-15T12:36:00Z"/>
          <w:sz w:val="22"/>
          <w:szCs w:val="22"/>
        </w:rPr>
      </w:pPr>
      <w:del w:id="1417" w:author="AbbVie02no" w:date="2025-05-15T12:36:00Z">
        <w:r w:rsidRPr="002D0790">
          <w:rPr>
            <w:sz w:val="22"/>
            <w:szCs w:val="22"/>
          </w:rPr>
          <w:delText>Prosentandelen av pasiente</w:delText>
        </w:r>
        <w:r w:rsidR="008A216F" w:rsidRPr="00E14E58">
          <w:rPr>
            <w:sz w:val="22"/>
            <w:szCs w:val="22"/>
          </w:rPr>
          <w:delText>r</w:delText>
        </w:r>
        <w:r w:rsidRPr="009C5EFD">
          <w:rPr>
            <w:sz w:val="22"/>
            <w:szCs w:val="22"/>
          </w:rPr>
          <w:delText xml:space="preserve"> behandlet med Humira som oppnådde respons på ACR 20, 50 eller 70 i RA-studiene I, II og III var samsvarende. Resultatene for doseringen på 40 mg annenhver uke er oppsummert i </w:delText>
        </w:r>
        <w:r w:rsidR="00EF2122" w:rsidRPr="009C5EFD">
          <w:rPr>
            <w:sz w:val="22"/>
            <w:szCs w:val="22"/>
          </w:rPr>
          <w:delText>t</w:delText>
        </w:r>
        <w:r w:rsidRPr="009C5EFD">
          <w:rPr>
            <w:sz w:val="22"/>
            <w:szCs w:val="22"/>
          </w:rPr>
          <w:delText xml:space="preserve">abell </w:delText>
        </w:r>
        <w:r w:rsidR="00DC39C9">
          <w:rPr>
            <w:sz w:val="22"/>
            <w:szCs w:val="22"/>
          </w:rPr>
          <w:delText>8</w:delText>
        </w:r>
        <w:r w:rsidRPr="009C5EFD">
          <w:rPr>
            <w:sz w:val="22"/>
            <w:szCs w:val="22"/>
          </w:rPr>
          <w:delText>.</w:delText>
        </w:r>
      </w:del>
    </w:p>
    <w:p w14:paraId="46DC59B0" w14:textId="10B057EA" w:rsidR="00232766" w:rsidRPr="009C5EFD" w:rsidRDefault="00232766" w:rsidP="009C5EFD">
      <w:pPr>
        <w:rPr>
          <w:del w:id="1418" w:author="AbbVie02no" w:date="2025-05-15T12:36:00Z"/>
        </w:rPr>
      </w:pPr>
    </w:p>
    <w:tbl>
      <w:tblPr>
        <w:tblW w:w="0" w:type="auto"/>
        <w:tblInd w:w="98" w:type="dxa"/>
        <w:tblCellMar>
          <w:left w:w="0" w:type="dxa"/>
          <w:right w:w="0" w:type="dxa"/>
        </w:tblCellMar>
        <w:tblLook w:val="0000" w:firstRow="0" w:lastRow="0" w:firstColumn="0" w:lastColumn="0" w:noHBand="0" w:noVBand="0"/>
      </w:tblPr>
      <w:tblGrid>
        <w:gridCol w:w="1153"/>
        <w:gridCol w:w="875"/>
        <w:gridCol w:w="1723"/>
        <w:gridCol w:w="1051"/>
        <w:gridCol w:w="1552"/>
        <w:gridCol w:w="890"/>
        <w:gridCol w:w="1723"/>
      </w:tblGrid>
      <w:tr w:rsidR="004644D4" w14:paraId="3F6BE70C" w14:textId="160E253E" w:rsidTr="00AF70AD">
        <w:trPr>
          <w:del w:id="1419" w:author="AbbVie02no" w:date="2025-05-15T12:36:00Z"/>
        </w:trPr>
        <w:tc>
          <w:tcPr>
            <w:tcW w:w="8967" w:type="dxa"/>
            <w:gridSpan w:val="7"/>
            <w:tcBorders>
              <w:bottom w:val="single" w:sz="6" w:space="0" w:color="auto"/>
            </w:tcBorders>
          </w:tcPr>
          <w:p w14:paraId="0E699500" w14:textId="37DD0600" w:rsidR="009F63C8" w:rsidRPr="009C5EFD" w:rsidRDefault="00E453CD">
            <w:pPr>
              <w:pStyle w:val="Brdtekst10"/>
              <w:keepNext/>
              <w:tabs>
                <w:tab w:val="clear" w:pos="1152"/>
                <w:tab w:val="clear" w:pos="1872"/>
              </w:tabs>
              <w:spacing w:after="0" w:line="240" w:lineRule="auto"/>
              <w:ind w:left="0"/>
              <w:jc w:val="center"/>
              <w:rPr>
                <w:del w:id="1420" w:author="AbbVie02no" w:date="2025-05-15T12:36:00Z"/>
                <w:b/>
                <w:sz w:val="22"/>
                <w:szCs w:val="22"/>
                <w:lang w:val="nb-NO"/>
              </w:rPr>
            </w:pPr>
            <w:del w:id="1421" w:author="AbbVie02no" w:date="2025-05-15T12:36:00Z">
              <w:r w:rsidRPr="009C5EFD">
                <w:rPr>
                  <w:b/>
                  <w:sz w:val="22"/>
                  <w:szCs w:val="22"/>
                  <w:lang w:val="nb-NO"/>
                </w:rPr>
                <w:lastRenderedPageBreak/>
                <w:delText xml:space="preserve">Tabell </w:delText>
              </w:r>
              <w:r w:rsidR="00DC39C9">
                <w:rPr>
                  <w:b/>
                  <w:sz w:val="22"/>
                  <w:szCs w:val="22"/>
                  <w:lang w:val="nb-NO"/>
                </w:rPr>
                <w:delText xml:space="preserve">8 </w:delText>
              </w:r>
              <w:r w:rsidRPr="009C5EFD">
                <w:rPr>
                  <w:b/>
                  <w:sz w:val="22"/>
                  <w:szCs w:val="22"/>
                  <w:lang w:val="nb-NO"/>
                </w:rPr>
                <w:delText>ACR-respons i placebokontrollerte studier</w:delText>
              </w:r>
            </w:del>
          </w:p>
          <w:p w14:paraId="0385CF3C" w14:textId="59A124D0" w:rsidR="00DE3458" w:rsidRPr="009C5EFD" w:rsidRDefault="00E453CD">
            <w:pPr>
              <w:pStyle w:val="Brdtekst10"/>
              <w:keepNext/>
              <w:tabs>
                <w:tab w:val="clear" w:pos="1152"/>
                <w:tab w:val="clear" w:pos="1872"/>
              </w:tabs>
              <w:spacing w:after="0" w:line="240" w:lineRule="auto"/>
              <w:ind w:left="0"/>
              <w:jc w:val="center"/>
              <w:rPr>
                <w:del w:id="1422" w:author="AbbVie02no" w:date="2025-05-15T12:36:00Z"/>
                <w:b/>
                <w:sz w:val="22"/>
                <w:szCs w:val="22"/>
                <w:lang w:val="nb-NO"/>
              </w:rPr>
            </w:pPr>
            <w:del w:id="1423" w:author="AbbVie02no" w:date="2025-05-15T12:36:00Z">
              <w:r w:rsidRPr="009C5EFD">
                <w:rPr>
                  <w:b/>
                  <w:sz w:val="22"/>
                  <w:szCs w:val="22"/>
                  <w:lang w:val="nb-NO"/>
                </w:rPr>
                <w:delText>(prosentandel av pasientene)</w:delText>
              </w:r>
            </w:del>
          </w:p>
        </w:tc>
      </w:tr>
      <w:tr w:rsidR="004644D4" w14:paraId="3132F8CC" w14:textId="520A7E17" w:rsidTr="00776A84">
        <w:trPr>
          <w:cantSplit/>
          <w:del w:id="1424" w:author="AbbVie02no" w:date="2025-05-15T12:36:00Z"/>
        </w:trPr>
        <w:tc>
          <w:tcPr>
            <w:tcW w:w="1153" w:type="dxa"/>
            <w:vMerge w:val="restart"/>
            <w:tcBorders>
              <w:top w:val="single" w:sz="6" w:space="0" w:color="auto"/>
              <w:right w:val="single" w:sz="6" w:space="0" w:color="auto"/>
            </w:tcBorders>
          </w:tcPr>
          <w:p w14:paraId="298B7E51" w14:textId="15F5E479" w:rsidR="00944308" w:rsidRPr="007F67EE" w:rsidRDefault="00E453CD" w:rsidP="00E65D0C">
            <w:pPr>
              <w:pStyle w:val="In-texttable"/>
              <w:spacing w:line="240" w:lineRule="auto"/>
              <w:rPr>
                <w:del w:id="1425" w:author="AbbVie02no" w:date="2025-05-15T12:36:00Z"/>
                <w:rFonts w:ascii="Times New Roman" w:hAnsi="Times New Roman"/>
                <w:sz w:val="22"/>
                <w:szCs w:val="22"/>
                <w:lang w:val="nb-NO"/>
              </w:rPr>
            </w:pPr>
            <w:del w:id="1426" w:author="AbbVie02no" w:date="2025-05-15T12:36:00Z">
              <w:r w:rsidRPr="007F67EE">
                <w:rPr>
                  <w:rFonts w:ascii="Times New Roman" w:hAnsi="Times New Roman"/>
                  <w:sz w:val="22"/>
                  <w:szCs w:val="22"/>
                  <w:lang w:val="nb-NO"/>
                </w:rPr>
                <w:delText>Respons</w:delText>
              </w:r>
            </w:del>
          </w:p>
        </w:tc>
        <w:tc>
          <w:tcPr>
            <w:tcW w:w="2598" w:type="dxa"/>
            <w:gridSpan w:val="2"/>
            <w:tcBorders>
              <w:top w:val="single" w:sz="6" w:space="0" w:color="auto"/>
              <w:left w:val="single" w:sz="6" w:space="0" w:color="auto"/>
              <w:bottom w:val="single" w:sz="6" w:space="0" w:color="auto"/>
              <w:right w:val="single" w:sz="6" w:space="0" w:color="auto"/>
            </w:tcBorders>
          </w:tcPr>
          <w:p w14:paraId="6779C3CA" w14:textId="0528CBB6" w:rsidR="00944308" w:rsidRPr="007F67EE" w:rsidRDefault="00E453CD" w:rsidP="00E65D0C">
            <w:pPr>
              <w:pStyle w:val="In-texttable"/>
              <w:spacing w:line="240" w:lineRule="auto"/>
              <w:jc w:val="center"/>
              <w:rPr>
                <w:del w:id="1427" w:author="AbbVie02no" w:date="2025-05-15T12:36:00Z"/>
                <w:rFonts w:ascii="Times New Roman" w:hAnsi="Times New Roman"/>
                <w:sz w:val="22"/>
                <w:szCs w:val="22"/>
                <w:lang w:val="nb-NO"/>
              </w:rPr>
            </w:pPr>
            <w:del w:id="1428" w:author="AbbVie02no" w:date="2025-05-15T12:36:00Z">
              <w:r w:rsidRPr="007F67EE">
                <w:rPr>
                  <w:rFonts w:ascii="Times New Roman" w:hAnsi="Times New Roman"/>
                  <w:sz w:val="22"/>
                  <w:szCs w:val="22"/>
                  <w:lang w:val="nb-NO"/>
                </w:rPr>
                <w:delText>RA-studie I</w:delText>
              </w:r>
              <w:r w:rsidRPr="007F67EE">
                <w:rPr>
                  <w:rFonts w:ascii="Times New Roman" w:hAnsi="Times New Roman"/>
                  <w:sz w:val="22"/>
                  <w:szCs w:val="22"/>
                  <w:vertAlign w:val="superscript"/>
                  <w:lang w:val="nb-NO"/>
                </w:rPr>
                <w:delText>a</w:delText>
              </w:r>
              <w:r w:rsidRPr="007F67EE">
                <w:rPr>
                  <w:rFonts w:ascii="Times New Roman" w:hAnsi="Times New Roman"/>
                  <w:sz w:val="22"/>
                  <w:szCs w:val="22"/>
                  <w:lang w:val="nb-NO"/>
                </w:rPr>
                <w:delText>**</w:delText>
              </w:r>
            </w:del>
          </w:p>
        </w:tc>
        <w:tc>
          <w:tcPr>
            <w:tcW w:w="2603" w:type="dxa"/>
            <w:gridSpan w:val="2"/>
            <w:tcBorders>
              <w:top w:val="single" w:sz="6" w:space="0" w:color="auto"/>
              <w:left w:val="single" w:sz="6" w:space="0" w:color="auto"/>
              <w:bottom w:val="single" w:sz="6" w:space="0" w:color="auto"/>
              <w:right w:val="single" w:sz="6" w:space="0" w:color="auto"/>
            </w:tcBorders>
          </w:tcPr>
          <w:p w14:paraId="4558F878" w14:textId="32616A0E" w:rsidR="00944308" w:rsidRPr="002D0790" w:rsidRDefault="00E453CD" w:rsidP="00E65D0C">
            <w:pPr>
              <w:pStyle w:val="In-texttable"/>
              <w:spacing w:line="240" w:lineRule="auto"/>
              <w:jc w:val="center"/>
              <w:rPr>
                <w:del w:id="1429" w:author="AbbVie02no" w:date="2025-05-15T12:36:00Z"/>
                <w:rFonts w:ascii="Times New Roman" w:hAnsi="Times New Roman"/>
                <w:sz w:val="22"/>
                <w:szCs w:val="22"/>
                <w:lang w:val="nb-NO"/>
              </w:rPr>
            </w:pPr>
            <w:del w:id="1430" w:author="AbbVie02no" w:date="2025-05-15T12:36:00Z">
              <w:r w:rsidRPr="00193D76">
                <w:rPr>
                  <w:rFonts w:ascii="Times New Roman" w:hAnsi="Times New Roman"/>
                  <w:sz w:val="22"/>
                  <w:szCs w:val="22"/>
                  <w:lang w:val="nb-NO"/>
                </w:rPr>
                <w:delText>RA-studie II</w:delText>
              </w:r>
              <w:r w:rsidRPr="002D0790">
                <w:rPr>
                  <w:rFonts w:ascii="Times New Roman" w:hAnsi="Times New Roman"/>
                  <w:sz w:val="22"/>
                  <w:szCs w:val="22"/>
                  <w:vertAlign w:val="superscript"/>
                  <w:lang w:val="nb-NO"/>
                </w:rPr>
                <w:delText>a</w:delText>
              </w:r>
              <w:r w:rsidRPr="002D0790">
                <w:rPr>
                  <w:rFonts w:ascii="Times New Roman" w:hAnsi="Times New Roman"/>
                  <w:sz w:val="22"/>
                  <w:szCs w:val="22"/>
                  <w:lang w:val="nb-NO"/>
                </w:rPr>
                <w:delText>**</w:delText>
              </w:r>
            </w:del>
          </w:p>
        </w:tc>
        <w:tc>
          <w:tcPr>
            <w:tcW w:w="2613" w:type="dxa"/>
            <w:gridSpan w:val="2"/>
            <w:tcBorders>
              <w:top w:val="single" w:sz="6" w:space="0" w:color="auto"/>
              <w:left w:val="single" w:sz="6" w:space="0" w:color="auto"/>
              <w:bottom w:val="single" w:sz="6" w:space="0" w:color="auto"/>
            </w:tcBorders>
          </w:tcPr>
          <w:p w14:paraId="0140F681" w14:textId="1AE46F6C" w:rsidR="00944308" w:rsidRPr="009C5EFD" w:rsidRDefault="00E453CD" w:rsidP="00E65D0C">
            <w:pPr>
              <w:pStyle w:val="In-texttable"/>
              <w:spacing w:line="240" w:lineRule="auto"/>
              <w:jc w:val="center"/>
              <w:rPr>
                <w:del w:id="1431" w:author="AbbVie02no" w:date="2025-05-15T12:36:00Z"/>
                <w:rFonts w:ascii="Times New Roman" w:hAnsi="Times New Roman"/>
                <w:sz w:val="22"/>
                <w:szCs w:val="22"/>
                <w:lang w:val="nb-NO"/>
              </w:rPr>
            </w:pPr>
            <w:del w:id="1432" w:author="AbbVie02no" w:date="2025-05-15T12:36:00Z">
              <w:r w:rsidRPr="00E14E58">
                <w:rPr>
                  <w:rFonts w:ascii="Times New Roman" w:hAnsi="Times New Roman"/>
                  <w:sz w:val="22"/>
                  <w:szCs w:val="22"/>
                  <w:lang w:val="nb-NO"/>
                </w:rPr>
                <w:delText>RA-studie III</w:delText>
              </w:r>
              <w:r w:rsidRPr="009C5EFD">
                <w:rPr>
                  <w:rFonts w:ascii="Times New Roman" w:hAnsi="Times New Roman"/>
                  <w:sz w:val="22"/>
                  <w:szCs w:val="22"/>
                  <w:vertAlign w:val="superscript"/>
                  <w:lang w:val="nb-NO"/>
                </w:rPr>
                <w:delText>a</w:delText>
              </w:r>
              <w:r w:rsidRPr="009C5EFD">
                <w:rPr>
                  <w:rFonts w:ascii="Times New Roman" w:hAnsi="Times New Roman"/>
                  <w:sz w:val="22"/>
                  <w:szCs w:val="22"/>
                  <w:lang w:val="nb-NO"/>
                </w:rPr>
                <w:delText>**</w:delText>
              </w:r>
            </w:del>
          </w:p>
          <w:p w14:paraId="343D5D59" w14:textId="489332A3" w:rsidR="00944308" w:rsidRPr="009C5EFD" w:rsidRDefault="00944308" w:rsidP="00E65D0C">
            <w:pPr>
              <w:pStyle w:val="In-texttable"/>
              <w:spacing w:line="240" w:lineRule="auto"/>
              <w:jc w:val="center"/>
              <w:rPr>
                <w:del w:id="1433" w:author="AbbVie02no" w:date="2025-05-15T12:36:00Z"/>
                <w:rFonts w:ascii="Times New Roman" w:hAnsi="Times New Roman"/>
                <w:sz w:val="22"/>
                <w:szCs w:val="22"/>
                <w:lang w:val="nb-NO"/>
              </w:rPr>
            </w:pPr>
          </w:p>
        </w:tc>
      </w:tr>
      <w:tr w:rsidR="004644D4" w14:paraId="1D2AC8E3" w14:textId="1B5D4373" w:rsidTr="00776A84">
        <w:trPr>
          <w:cantSplit/>
          <w:del w:id="1434" w:author="AbbVie02no" w:date="2025-05-15T12:36:00Z"/>
        </w:trPr>
        <w:tc>
          <w:tcPr>
            <w:tcW w:w="1153" w:type="dxa"/>
            <w:vMerge/>
            <w:tcBorders>
              <w:bottom w:val="single" w:sz="6" w:space="0" w:color="auto"/>
              <w:right w:val="single" w:sz="6" w:space="0" w:color="auto"/>
            </w:tcBorders>
          </w:tcPr>
          <w:p w14:paraId="0B7F8ACF" w14:textId="77942141" w:rsidR="00944308" w:rsidRPr="009C5EFD" w:rsidRDefault="00944308" w:rsidP="00E65D0C">
            <w:pPr>
              <w:pStyle w:val="In-texttable"/>
              <w:spacing w:line="240" w:lineRule="auto"/>
              <w:jc w:val="center"/>
              <w:rPr>
                <w:del w:id="1435" w:author="AbbVie02no" w:date="2025-05-15T12:36:00Z"/>
                <w:rFonts w:ascii="Times New Roman" w:hAnsi="Times New Roman"/>
                <w:sz w:val="22"/>
                <w:szCs w:val="22"/>
                <w:lang w:val="nb-NO"/>
              </w:rPr>
            </w:pPr>
          </w:p>
        </w:tc>
        <w:tc>
          <w:tcPr>
            <w:tcW w:w="875" w:type="dxa"/>
            <w:tcBorders>
              <w:top w:val="single" w:sz="6" w:space="0" w:color="auto"/>
              <w:left w:val="single" w:sz="6" w:space="0" w:color="auto"/>
              <w:bottom w:val="single" w:sz="6" w:space="0" w:color="auto"/>
            </w:tcBorders>
          </w:tcPr>
          <w:p w14:paraId="36FCD71E" w14:textId="486C7F34" w:rsidR="00944308" w:rsidRPr="009C5EFD" w:rsidRDefault="00E453CD" w:rsidP="00E65D0C">
            <w:pPr>
              <w:pStyle w:val="In-texttable"/>
              <w:spacing w:line="240" w:lineRule="auto"/>
              <w:jc w:val="center"/>
              <w:rPr>
                <w:del w:id="1436" w:author="AbbVie02no" w:date="2025-05-15T12:36:00Z"/>
                <w:rFonts w:ascii="Times New Roman" w:hAnsi="Times New Roman"/>
                <w:sz w:val="22"/>
                <w:szCs w:val="22"/>
                <w:lang w:val="nb-NO"/>
              </w:rPr>
            </w:pPr>
            <w:del w:id="1437" w:author="AbbVie02no" w:date="2025-05-15T12:36:00Z">
              <w:r w:rsidRPr="009C5EFD">
                <w:rPr>
                  <w:rFonts w:ascii="Times New Roman" w:hAnsi="Times New Roman"/>
                  <w:sz w:val="22"/>
                  <w:szCs w:val="22"/>
                  <w:lang w:val="nb-NO"/>
                </w:rPr>
                <w:delText>Placebo/ MTX</w:delText>
              </w:r>
              <w:r w:rsidRPr="009C5EFD">
                <w:rPr>
                  <w:rFonts w:ascii="Times New Roman" w:hAnsi="Times New Roman"/>
                  <w:sz w:val="22"/>
                  <w:szCs w:val="22"/>
                  <w:vertAlign w:val="superscript"/>
                  <w:lang w:val="nb-NO"/>
                </w:rPr>
                <w:delText>c</w:delText>
              </w:r>
            </w:del>
          </w:p>
          <w:p w14:paraId="1CD566AA" w14:textId="3A605DB1" w:rsidR="00944308" w:rsidRPr="009C5EFD" w:rsidRDefault="00E453CD" w:rsidP="00E65D0C">
            <w:pPr>
              <w:pStyle w:val="In-texttable"/>
              <w:spacing w:line="240" w:lineRule="auto"/>
              <w:jc w:val="center"/>
              <w:rPr>
                <w:del w:id="1438" w:author="AbbVie02no" w:date="2025-05-15T12:36:00Z"/>
                <w:rFonts w:ascii="Times New Roman" w:hAnsi="Times New Roman"/>
                <w:sz w:val="22"/>
                <w:szCs w:val="22"/>
                <w:lang w:val="nb-NO"/>
              </w:rPr>
            </w:pPr>
            <w:del w:id="1439" w:author="AbbVie02no" w:date="2025-05-15T12:36:00Z">
              <w:r w:rsidRPr="009C5EFD">
                <w:rPr>
                  <w:rFonts w:ascii="Times New Roman" w:hAnsi="Times New Roman"/>
                  <w:sz w:val="22"/>
                  <w:szCs w:val="22"/>
                  <w:lang w:val="nb-NO"/>
                </w:rPr>
                <w:delText>n=60</w:delText>
              </w:r>
            </w:del>
          </w:p>
        </w:tc>
        <w:tc>
          <w:tcPr>
            <w:tcW w:w="1723" w:type="dxa"/>
            <w:tcBorders>
              <w:top w:val="single" w:sz="6" w:space="0" w:color="auto"/>
              <w:left w:val="nil"/>
              <w:bottom w:val="single" w:sz="6" w:space="0" w:color="auto"/>
              <w:right w:val="single" w:sz="6" w:space="0" w:color="auto"/>
            </w:tcBorders>
          </w:tcPr>
          <w:p w14:paraId="41D051F0" w14:textId="6101FF60" w:rsidR="00944308" w:rsidRPr="009C5EFD" w:rsidRDefault="00E453CD" w:rsidP="00E65D0C">
            <w:pPr>
              <w:pStyle w:val="In-texttable"/>
              <w:spacing w:line="240" w:lineRule="auto"/>
              <w:jc w:val="center"/>
              <w:rPr>
                <w:del w:id="1440" w:author="AbbVie02no" w:date="2025-05-15T12:36:00Z"/>
                <w:rFonts w:ascii="Times New Roman" w:hAnsi="Times New Roman"/>
                <w:sz w:val="22"/>
                <w:szCs w:val="22"/>
                <w:lang w:val="nb-NO"/>
              </w:rPr>
            </w:pPr>
            <w:del w:id="1441" w:author="AbbVie02no" w:date="2025-05-15T12:36:00Z">
              <w:r w:rsidRPr="009C5EFD">
                <w:rPr>
                  <w:rFonts w:ascii="Times New Roman" w:hAnsi="Times New Roman"/>
                  <w:sz w:val="22"/>
                  <w:szCs w:val="22"/>
                  <w:lang w:val="nb-NO"/>
                </w:rPr>
                <w:delText>Humira</w:delText>
              </w:r>
              <w:r w:rsidRPr="009C5EFD">
                <w:rPr>
                  <w:rFonts w:ascii="Times New Roman" w:hAnsi="Times New Roman"/>
                  <w:sz w:val="22"/>
                  <w:szCs w:val="22"/>
                  <w:vertAlign w:val="superscript"/>
                  <w:lang w:val="nb-NO"/>
                </w:rPr>
                <w:delText>b</w:delText>
              </w:r>
              <w:r w:rsidRPr="009C5EFD">
                <w:rPr>
                  <w:rFonts w:ascii="Times New Roman" w:hAnsi="Times New Roman"/>
                  <w:sz w:val="22"/>
                  <w:szCs w:val="22"/>
                  <w:lang w:val="nb-NO"/>
                </w:rPr>
                <w:delText>/ MTX</w:delText>
              </w:r>
              <w:r w:rsidRPr="009C5EFD">
                <w:rPr>
                  <w:rFonts w:ascii="Times New Roman" w:hAnsi="Times New Roman"/>
                  <w:sz w:val="22"/>
                  <w:szCs w:val="22"/>
                  <w:vertAlign w:val="superscript"/>
                  <w:lang w:val="nb-NO"/>
                </w:rPr>
                <w:delText>c</w:delText>
              </w:r>
            </w:del>
          </w:p>
          <w:p w14:paraId="6FE43748" w14:textId="66362537" w:rsidR="00944308" w:rsidRPr="009C5EFD" w:rsidRDefault="00E453CD" w:rsidP="00E65D0C">
            <w:pPr>
              <w:pStyle w:val="In-texttable"/>
              <w:spacing w:line="240" w:lineRule="auto"/>
              <w:jc w:val="center"/>
              <w:rPr>
                <w:del w:id="1442" w:author="AbbVie02no" w:date="2025-05-15T12:36:00Z"/>
                <w:rFonts w:ascii="Times New Roman" w:hAnsi="Times New Roman"/>
                <w:sz w:val="22"/>
                <w:szCs w:val="22"/>
                <w:lang w:val="nb-NO"/>
              </w:rPr>
            </w:pPr>
            <w:del w:id="1443" w:author="AbbVie02no" w:date="2025-05-15T12:36:00Z">
              <w:r w:rsidRPr="009C5EFD">
                <w:rPr>
                  <w:rFonts w:ascii="Times New Roman" w:hAnsi="Times New Roman"/>
                  <w:sz w:val="22"/>
                  <w:szCs w:val="22"/>
                  <w:lang w:val="nb-NO"/>
                </w:rPr>
                <w:delText>n=63</w:delText>
              </w:r>
            </w:del>
          </w:p>
        </w:tc>
        <w:tc>
          <w:tcPr>
            <w:tcW w:w="1051" w:type="dxa"/>
            <w:tcBorders>
              <w:top w:val="single" w:sz="6" w:space="0" w:color="auto"/>
              <w:left w:val="single" w:sz="6" w:space="0" w:color="auto"/>
              <w:bottom w:val="single" w:sz="6" w:space="0" w:color="auto"/>
            </w:tcBorders>
          </w:tcPr>
          <w:p w14:paraId="2129AFDB" w14:textId="6C973DF8" w:rsidR="00944308" w:rsidRPr="009C5EFD" w:rsidRDefault="00E453CD" w:rsidP="00E65D0C">
            <w:pPr>
              <w:pStyle w:val="In-texttable"/>
              <w:spacing w:line="240" w:lineRule="auto"/>
              <w:jc w:val="center"/>
              <w:rPr>
                <w:del w:id="1444" w:author="AbbVie02no" w:date="2025-05-15T12:36:00Z"/>
                <w:rFonts w:ascii="Times New Roman" w:hAnsi="Times New Roman"/>
                <w:sz w:val="22"/>
                <w:szCs w:val="22"/>
                <w:lang w:val="nb-NO"/>
              </w:rPr>
            </w:pPr>
            <w:del w:id="1445" w:author="AbbVie02no" w:date="2025-05-15T12:36:00Z">
              <w:r w:rsidRPr="009C5EFD">
                <w:rPr>
                  <w:rFonts w:ascii="Times New Roman" w:hAnsi="Times New Roman"/>
                  <w:sz w:val="22"/>
                  <w:szCs w:val="22"/>
                  <w:lang w:val="nb-NO"/>
                </w:rPr>
                <w:delText>Placebo</w:delText>
              </w:r>
            </w:del>
          </w:p>
          <w:p w14:paraId="574C3136" w14:textId="01314BCF" w:rsidR="00944308" w:rsidRPr="009C5EFD" w:rsidRDefault="00944308" w:rsidP="00E65D0C">
            <w:pPr>
              <w:pStyle w:val="In-texttable"/>
              <w:spacing w:line="240" w:lineRule="auto"/>
              <w:jc w:val="center"/>
              <w:rPr>
                <w:del w:id="1446" w:author="AbbVie02no" w:date="2025-05-15T12:36:00Z"/>
                <w:rFonts w:ascii="Times New Roman" w:hAnsi="Times New Roman"/>
                <w:sz w:val="22"/>
                <w:szCs w:val="22"/>
                <w:lang w:val="nb-NO"/>
              </w:rPr>
            </w:pPr>
          </w:p>
          <w:p w14:paraId="2108B77D" w14:textId="3E43925A" w:rsidR="00944308" w:rsidRPr="009C5EFD" w:rsidRDefault="00E453CD" w:rsidP="00E65D0C">
            <w:pPr>
              <w:pStyle w:val="In-texttable"/>
              <w:spacing w:line="240" w:lineRule="auto"/>
              <w:jc w:val="center"/>
              <w:rPr>
                <w:del w:id="1447" w:author="AbbVie02no" w:date="2025-05-15T12:36:00Z"/>
                <w:rFonts w:ascii="Times New Roman" w:hAnsi="Times New Roman"/>
                <w:sz w:val="22"/>
                <w:szCs w:val="22"/>
                <w:lang w:val="nb-NO"/>
              </w:rPr>
            </w:pPr>
            <w:del w:id="1448" w:author="AbbVie02no" w:date="2025-05-15T12:36:00Z">
              <w:r w:rsidRPr="009C5EFD">
                <w:rPr>
                  <w:rFonts w:ascii="Times New Roman" w:hAnsi="Times New Roman"/>
                  <w:sz w:val="22"/>
                  <w:szCs w:val="22"/>
                  <w:lang w:val="nb-NO"/>
                </w:rPr>
                <w:delText>n=110</w:delText>
              </w:r>
            </w:del>
          </w:p>
        </w:tc>
        <w:tc>
          <w:tcPr>
            <w:tcW w:w="1552" w:type="dxa"/>
            <w:tcBorders>
              <w:top w:val="single" w:sz="6" w:space="0" w:color="auto"/>
              <w:left w:val="nil"/>
              <w:bottom w:val="single" w:sz="6" w:space="0" w:color="auto"/>
              <w:right w:val="single" w:sz="6" w:space="0" w:color="auto"/>
            </w:tcBorders>
          </w:tcPr>
          <w:p w14:paraId="66740C33" w14:textId="419DE05C" w:rsidR="00944308" w:rsidRPr="009C5EFD" w:rsidRDefault="00E453CD" w:rsidP="00E65D0C">
            <w:pPr>
              <w:pStyle w:val="In-texttable"/>
              <w:spacing w:line="240" w:lineRule="auto"/>
              <w:jc w:val="center"/>
              <w:rPr>
                <w:del w:id="1449" w:author="AbbVie02no" w:date="2025-05-15T12:36:00Z"/>
                <w:rFonts w:ascii="Times New Roman" w:hAnsi="Times New Roman"/>
                <w:sz w:val="22"/>
                <w:szCs w:val="22"/>
                <w:lang w:val="nb-NO"/>
              </w:rPr>
            </w:pPr>
            <w:del w:id="1450" w:author="AbbVie02no" w:date="2025-05-15T12:36:00Z">
              <w:r w:rsidRPr="009C5EFD">
                <w:rPr>
                  <w:rFonts w:ascii="Times New Roman" w:hAnsi="Times New Roman"/>
                  <w:sz w:val="22"/>
                  <w:szCs w:val="22"/>
                  <w:lang w:val="nb-NO"/>
                </w:rPr>
                <w:delText>Humira</w:delText>
              </w:r>
              <w:r w:rsidRPr="009C5EFD">
                <w:rPr>
                  <w:rFonts w:ascii="Times New Roman" w:hAnsi="Times New Roman"/>
                  <w:sz w:val="22"/>
                  <w:szCs w:val="22"/>
                  <w:vertAlign w:val="superscript"/>
                  <w:lang w:val="nb-NO"/>
                </w:rPr>
                <w:delText>b</w:delText>
              </w:r>
            </w:del>
          </w:p>
          <w:p w14:paraId="0D04FFE9" w14:textId="60B50D26" w:rsidR="00944308" w:rsidRPr="009C5EFD" w:rsidRDefault="00944308" w:rsidP="00E65D0C">
            <w:pPr>
              <w:pStyle w:val="In-texttable"/>
              <w:spacing w:line="240" w:lineRule="auto"/>
              <w:jc w:val="center"/>
              <w:rPr>
                <w:del w:id="1451" w:author="AbbVie02no" w:date="2025-05-15T12:36:00Z"/>
                <w:rFonts w:ascii="Times New Roman" w:hAnsi="Times New Roman"/>
                <w:sz w:val="22"/>
                <w:szCs w:val="22"/>
                <w:lang w:val="nb-NO"/>
              </w:rPr>
            </w:pPr>
          </w:p>
          <w:p w14:paraId="13DA3908" w14:textId="01A82D0D" w:rsidR="00944308" w:rsidRPr="009C5EFD" w:rsidRDefault="00E453CD" w:rsidP="00E65D0C">
            <w:pPr>
              <w:pStyle w:val="In-texttable"/>
              <w:spacing w:line="240" w:lineRule="auto"/>
              <w:jc w:val="center"/>
              <w:rPr>
                <w:del w:id="1452" w:author="AbbVie02no" w:date="2025-05-15T12:36:00Z"/>
                <w:rFonts w:ascii="Times New Roman" w:hAnsi="Times New Roman"/>
                <w:sz w:val="22"/>
                <w:szCs w:val="22"/>
                <w:lang w:val="nb-NO"/>
              </w:rPr>
            </w:pPr>
            <w:del w:id="1453" w:author="AbbVie02no" w:date="2025-05-15T12:36:00Z">
              <w:r w:rsidRPr="009C5EFD">
                <w:rPr>
                  <w:rFonts w:ascii="Times New Roman" w:hAnsi="Times New Roman"/>
                  <w:sz w:val="22"/>
                  <w:szCs w:val="22"/>
                  <w:lang w:val="nb-NO"/>
                </w:rPr>
                <w:delText>n=113</w:delText>
              </w:r>
            </w:del>
          </w:p>
        </w:tc>
        <w:tc>
          <w:tcPr>
            <w:tcW w:w="890" w:type="dxa"/>
            <w:tcBorders>
              <w:top w:val="single" w:sz="6" w:space="0" w:color="auto"/>
              <w:left w:val="single" w:sz="6" w:space="0" w:color="auto"/>
              <w:bottom w:val="single" w:sz="6" w:space="0" w:color="auto"/>
            </w:tcBorders>
          </w:tcPr>
          <w:p w14:paraId="35CAA1E7" w14:textId="6299B92F" w:rsidR="00944308" w:rsidRPr="009C5EFD" w:rsidRDefault="00E453CD" w:rsidP="00E65D0C">
            <w:pPr>
              <w:pStyle w:val="In-texttable"/>
              <w:spacing w:line="240" w:lineRule="auto"/>
              <w:jc w:val="center"/>
              <w:rPr>
                <w:del w:id="1454" w:author="AbbVie02no" w:date="2025-05-15T12:36:00Z"/>
                <w:rFonts w:ascii="Times New Roman" w:hAnsi="Times New Roman"/>
                <w:sz w:val="22"/>
                <w:szCs w:val="22"/>
                <w:lang w:val="nb-NO"/>
              </w:rPr>
            </w:pPr>
            <w:del w:id="1455" w:author="AbbVie02no" w:date="2025-05-15T12:36:00Z">
              <w:r w:rsidRPr="009C5EFD">
                <w:rPr>
                  <w:rFonts w:ascii="Times New Roman" w:hAnsi="Times New Roman"/>
                  <w:sz w:val="22"/>
                  <w:szCs w:val="22"/>
                  <w:lang w:val="nb-NO"/>
                </w:rPr>
                <w:delText>Placebo/ MTX</w:delText>
              </w:r>
              <w:r w:rsidRPr="009C5EFD">
                <w:rPr>
                  <w:rFonts w:ascii="Times New Roman" w:hAnsi="Times New Roman"/>
                  <w:sz w:val="22"/>
                  <w:szCs w:val="22"/>
                  <w:vertAlign w:val="superscript"/>
                  <w:lang w:val="nb-NO"/>
                </w:rPr>
                <w:delText>c</w:delText>
              </w:r>
            </w:del>
          </w:p>
          <w:p w14:paraId="39B1E506" w14:textId="5498C701" w:rsidR="00944308" w:rsidRPr="009C5EFD" w:rsidRDefault="00E453CD" w:rsidP="00E65D0C">
            <w:pPr>
              <w:pStyle w:val="In-texttable"/>
              <w:spacing w:line="240" w:lineRule="auto"/>
              <w:jc w:val="center"/>
              <w:rPr>
                <w:del w:id="1456" w:author="AbbVie02no" w:date="2025-05-15T12:36:00Z"/>
                <w:rFonts w:ascii="Times New Roman" w:hAnsi="Times New Roman"/>
                <w:sz w:val="22"/>
                <w:szCs w:val="22"/>
                <w:lang w:val="nb-NO"/>
              </w:rPr>
            </w:pPr>
            <w:del w:id="1457" w:author="AbbVie02no" w:date="2025-05-15T12:36:00Z">
              <w:r w:rsidRPr="009C5EFD">
                <w:rPr>
                  <w:rFonts w:ascii="Times New Roman" w:hAnsi="Times New Roman"/>
                  <w:sz w:val="22"/>
                  <w:szCs w:val="22"/>
                  <w:lang w:val="nb-NO"/>
                </w:rPr>
                <w:delText>n=200</w:delText>
              </w:r>
            </w:del>
          </w:p>
        </w:tc>
        <w:tc>
          <w:tcPr>
            <w:tcW w:w="1723" w:type="dxa"/>
            <w:tcBorders>
              <w:top w:val="single" w:sz="6" w:space="0" w:color="auto"/>
              <w:left w:val="nil"/>
              <w:bottom w:val="single" w:sz="6" w:space="0" w:color="auto"/>
            </w:tcBorders>
          </w:tcPr>
          <w:p w14:paraId="78ABE34E" w14:textId="302CF267" w:rsidR="00944308" w:rsidRPr="009C5EFD" w:rsidRDefault="00E453CD" w:rsidP="00E65D0C">
            <w:pPr>
              <w:pStyle w:val="In-texttable"/>
              <w:spacing w:line="240" w:lineRule="auto"/>
              <w:jc w:val="center"/>
              <w:rPr>
                <w:del w:id="1458" w:author="AbbVie02no" w:date="2025-05-15T12:36:00Z"/>
                <w:rFonts w:ascii="Times New Roman" w:hAnsi="Times New Roman"/>
                <w:sz w:val="22"/>
                <w:szCs w:val="22"/>
                <w:lang w:val="nb-NO"/>
              </w:rPr>
            </w:pPr>
            <w:del w:id="1459" w:author="AbbVie02no" w:date="2025-05-15T12:36:00Z">
              <w:r w:rsidRPr="009C5EFD">
                <w:rPr>
                  <w:rFonts w:ascii="Times New Roman" w:hAnsi="Times New Roman"/>
                  <w:sz w:val="22"/>
                  <w:szCs w:val="22"/>
                  <w:lang w:val="nb-NO"/>
                </w:rPr>
                <w:delText>Humira</w:delText>
              </w:r>
              <w:r w:rsidRPr="009C5EFD">
                <w:rPr>
                  <w:rFonts w:ascii="Times New Roman" w:hAnsi="Times New Roman"/>
                  <w:sz w:val="22"/>
                  <w:szCs w:val="22"/>
                  <w:vertAlign w:val="superscript"/>
                  <w:lang w:val="nb-NO"/>
                </w:rPr>
                <w:delText>b</w:delText>
              </w:r>
              <w:r w:rsidRPr="009C5EFD">
                <w:rPr>
                  <w:rFonts w:ascii="Times New Roman" w:hAnsi="Times New Roman"/>
                  <w:sz w:val="22"/>
                  <w:szCs w:val="22"/>
                  <w:lang w:val="nb-NO"/>
                </w:rPr>
                <w:delText>/ MTX</w:delText>
              </w:r>
              <w:r w:rsidRPr="009C5EFD">
                <w:rPr>
                  <w:rFonts w:ascii="Times New Roman" w:hAnsi="Times New Roman"/>
                  <w:sz w:val="22"/>
                  <w:szCs w:val="22"/>
                  <w:vertAlign w:val="superscript"/>
                  <w:lang w:val="nb-NO"/>
                </w:rPr>
                <w:delText>c</w:delText>
              </w:r>
            </w:del>
          </w:p>
          <w:p w14:paraId="753C1627" w14:textId="337B46F0" w:rsidR="00944308" w:rsidRPr="009C5EFD" w:rsidRDefault="00E453CD" w:rsidP="00E65D0C">
            <w:pPr>
              <w:pStyle w:val="In-texttable"/>
              <w:spacing w:line="240" w:lineRule="auto"/>
              <w:jc w:val="center"/>
              <w:rPr>
                <w:del w:id="1460" w:author="AbbVie02no" w:date="2025-05-15T12:36:00Z"/>
                <w:rFonts w:ascii="Times New Roman" w:hAnsi="Times New Roman"/>
                <w:sz w:val="22"/>
                <w:szCs w:val="22"/>
                <w:lang w:val="nb-NO"/>
              </w:rPr>
            </w:pPr>
            <w:del w:id="1461" w:author="AbbVie02no" w:date="2025-05-15T12:36:00Z">
              <w:r w:rsidRPr="009C5EFD">
                <w:rPr>
                  <w:rFonts w:ascii="Times New Roman" w:hAnsi="Times New Roman"/>
                  <w:sz w:val="22"/>
                  <w:szCs w:val="22"/>
                  <w:lang w:val="nb-NO"/>
                </w:rPr>
                <w:delText>n=207</w:delText>
              </w:r>
            </w:del>
          </w:p>
        </w:tc>
      </w:tr>
      <w:tr w:rsidR="004644D4" w14:paraId="1CA0D77D" w14:textId="35476325" w:rsidTr="00776A84">
        <w:trPr>
          <w:cantSplit/>
          <w:del w:id="1462" w:author="AbbVie02no" w:date="2025-05-15T12:36:00Z"/>
        </w:trPr>
        <w:tc>
          <w:tcPr>
            <w:tcW w:w="1153" w:type="dxa"/>
            <w:tcBorders>
              <w:top w:val="single" w:sz="6" w:space="0" w:color="auto"/>
              <w:right w:val="single" w:sz="6" w:space="0" w:color="auto"/>
            </w:tcBorders>
          </w:tcPr>
          <w:p w14:paraId="0D69638A" w14:textId="3D069BEB" w:rsidR="00DE3458" w:rsidRPr="007F67EE" w:rsidRDefault="00E453CD" w:rsidP="00E65D0C">
            <w:pPr>
              <w:pStyle w:val="In-texttable"/>
              <w:tabs>
                <w:tab w:val="left" w:pos="144"/>
              </w:tabs>
              <w:spacing w:line="240" w:lineRule="auto"/>
              <w:rPr>
                <w:del w:id="1463" w:author="AbbVie02no" w:date="2025-05-15T12:36:00Z"/>
                <w:rFonts w:ascii="Times New Roman" w:hAnsi="Times New Roman"/>
                <w:sz w:val="22"/>
                <w:szCs w:val="22"/>
                <w:lang w:val="nb-NO"/>
              </w:rPr>
            </w:pPr>
            <w:del w:id="1464" w:author="AbbVie02no" w:date="2025-05-15T12:36:00Z">
              <w:r w:rsidRPr="007F67EE">
                <w:rPr>
                  <w:rFonts w:ascii="Times New Roman" w:hAnsi="Times New Roman"/>
                  <w:sz w:val="22"/>
                  <w:szCs w:val="22"/>
                  <w:lang w:val="nb-NO"/>
                </w:rPr>
                <w:delText>ACR 20</w:delText>
              </w:r>
            </w:del>
          </w:p>
        </w:tc>
        <w:tc>
          <w:tcPr>
            <w:tcW w:w="875" w:type="dxa"/>
            <w:tcBorders>
              <w:top w:val="single" w:sz="6" w:space="0" w:color="auto"/>
              <w:left w:val="single" w:sz="6" w:space="0" w:color="auto"/>
            </w:tcBorders>
          </w:tcPr>
          <w:p w14:paraId="1F1C6C04" w14:textId="41986AB3" w:rsidR="00DE3458" w:rsidRPr="007F67EE" w:rsidRDefault="00DE3458" w:rsidP="00E65D0C">
            <w:pPr>
              <w:pStyle w:val="In-texttable"/>
              <w:spacing w:line="240" w:lineRule="auto"/>
              <w:jc w:val="both"/>
              <w:rPr>
                <w:del w:id="1465" w:author="AbbVie02no" w:date="2025-05-15T12:36:00Z"/>
                <w:rFonts w:ascii="Times New Roman" w:hAnsi="Times New Roman"/>
                <w:sz w:val="22"/>
                <w:szCs w:val="22"/>
                <w:lang w:val="nb-NO"/>
              </w:rPr>
            </w:pPr>
          </w:p>
        </w:tc>
        <w:tc>
          <w:tcPr>
            <w:tcW w:w="1723" w:type="dxa"/>
            <w:tcBorders>
              <w:top w:val="single" w:sz="6" w:space="0" w:color="auto"/>
              <w:left w:val="nil"/>
              <w:right w:val="single" w:sz="6" w:space="0" w:color="auto"/>
            </w:tcBorders>
          </w:tcPr>
          <w:p w14:paraId="2068A8DA" w14:textId="0F423730" w:rsidR="00DE3458" w:rsidRPr="00193D76" w:rsidRDefault="00DE3458" w:rsidP="00E65D0C">
            <w:pPr>
              <w:pStyle w:val="In-texttable"/>
              <w:spacing w:line="240" w:lineRule="auto"/>
              <w:jc w:val="both"/>
              <w:rPr>
                <w:del w:id="1466" w:author="AbbVie02no" w:date="2025-05-15T12:36:00Z"/>
                <w:rFonts w:ascii="Times New Roman" w:hAnsi="Times New Roman"/>
                <w:sz w:val="22"/>
                <w:szCs w:val="22"/>
                <w:lang w:val="nb-NO"/>
              </w:rPr>
            </w:pPr>
          </w:p>
        </w:tc>
        <w:tc>
          <w:tcPr>
            <w:tcW w:w="1051" w:type="dxa"/>
            <w:tcBorders>
              <w:top w:val="single" w:sz="6" w:space="0" w:color="auto"/>
              <w:left w:val="single" w:sz="6" w:space="0" w:color="auto"/>
            </w:tcBorders>
          </w:tcPr>
          <w:p w14:paraId="6A226D0A" w14:textId="7A4BDDF6" w:rsidR="00DE3458" w:rsidRPr="002D0790" w:rsidRDefault="00DE3458" w:rsidP="00E65D0C">
            <w:pPr>
              <w:pStyle w:val="In-texttable"/>
              <w:spacing w:line="240" w:lineRule="auto"/>
              <w:jc w:val="both"/>
              <w:rPr>
                <w:del w:id="1467" w:author="AbbVie02no" w:date="2025-05-15T12:36:00Z"/>
                <w:rFonts w:ascii="Times New Roman" w:hAnsi="Times New Roman"/>
                <w:sz w:val="22"/>
                <w:szCs w:val="22"/>
                <w:lang w:val="nb-NO"/>
              </w:rPr>
            </w:pPr>
          </w:p>
        </w:tc>
        <w:tc>
          <w:tcPr>
            <w:tcW w:w="1552" w:type="dxa"/>
            <w:tcBorders>
              <w:top w:val="single" w:sz="6" w:space="0" w:color="auto"/>
              <w:left w:val="nil"/>
              <w:right w:val="single" w:sz="6" w:space="0" w:color="auto"/>
            </w:tcBorders>
          </w:tcPr>
          <w:p w14:paraId="45BDFB2A" w14:textId="4B8F290B" w:rsidR="00DE3458" w:rsidRPr="002D0790" w:rsidRDefault="00DE3458" w:rsidP="00E65D0C">
            <w:pPr>
              <w:pStyle w:val="In-texttable"/>
              <w:spacing w:line="240" w:lineRule="auto"/>
              <w:jc w:val="both"/>
              <w:rPr>
                <w:del w:id="1468" w:author="AbbVie02no" w:date="2025-05-15T12:36:00Z"/>
                <w:rFonts w:ascii="Times New Roman" w:hAnsi="Times New Roman"/>
                <w:sz w:val="22"/>
                <w:szCs w:val="22"/>
                <w:lang w:val="nb-NO"/>
              </w:rPr>
            </w:pPr>
          </w:p>
        </w:tc>
        <w:tc>
          <w:tcPr>
            <w:tcW w:w="890" w:type="dxa"/>
            <w:tcBorders>
              <w:top w:val="single" w:sz="6" w:space="0" w:color="auto"/>
              <w:left w:val="single" w:sz="6" w:space="0" w:color="auto"/>
            </w:tcBorders>
          </w:tcPr>
          <w:p w14:paraId="24594EA1" w14:textId="4E265C71" w:rsidR="00DE3458" w:rsidRPr="00E14E58" w:rsidRDefault="00DE3458" w:rsidP="00E65D0C">
            <w:pPr>
              <w:pStyle w:val="In-texttable"/>
              <w:spacing w:line="240" w:lineRule="auto"/>
              <w:jc w:val="both"/>
              <w:rPr>
                <w:del w:id="1469" w:author="AbbVie02no" w:date="2025-05-15T12:36:00Z"/>
                <w:rFonts w:ascii="Times New Roman" w:hAnsi="Times New Roman"/>
                <w:sz w:val="22"/>
                <w:szCs w:val="22"/>
                <w:lang w:val="nb-NO"/>
              </w:rPr>
            </w:pPr>
          </w:p>
        </w:tc>
        <w:tc>
          <w:tcPr>
            <w:tcW w:w="1723" w:type="dxa"/>
            <w:tcBorders>
              <w:top w:val="single" w:sz="6" w:space="0" w:color="auto"/>
              <w:left w:val="nil"/>
            </w:tcBorders>
          </w:tcPr>
          <w:p w14:paraId="112A3E33" w14:textId="30B545E6" w:rsidR="00DE3458" w:rsidRPr="009C5EFD" w:rsidRDefault="00DE3458" w:rsidP="00E65D0C">
            <w:pPr>
              <w:pStyle w:val="In-texttable"/>
              <w:spacing w:line="240" w:lineRule="auto"/>
              <w:jc w:val="both"/>
              <w:rPr>
                <w:del w:id="1470" w:author="AbbVie02no" w:date="2025-05-15T12:36:00Z"/>
                <w:rFonts w:ascii="Times New Roman" w:hAnsi="Times New Roman"/>
                <w:sz w:val="22"/>
                <w:szCs w:val="22"/>
                <w:lang w:val="nb-NO"/>
              </w:rPr>
            </w:pPr>
          </w:p>
        </w:tc>
      </w:tr>
      <w:tr w:rsidR="004644D4" w14:paraId="304E22B8" w14:textId="566DF61E" w:rsidTr="00776A84">
        <w:trPr>
          <w:cantSplit/>
          <w:del w:id="1471" w:author="AbbVie02no" w:date="2025-05-15T12:36:00Z"/>
        </w:trPr>
        <w:tc>
          <w:tcPr>
            <w:tcW w:w="1153" w:type="dxa"/>
            <w:tcBorders>
              <w:right w:val="single" w:sz="6" w:space="0" w:color="auto"/>
            </w:tcBorders>
          </w:tcPr>
          <w:p w14:paraId="61778949" w14:textId="0FA08216" w:rsidR="00DE3458" w:rsidRPr="007F67EE" w:rsidRDefault="00E453CD" w:rsidP="00E65D0C">
            <w:pPr>
              <w:pStyle w:val="In-texttable"/>
              <w:tabs>
                <w:tab w:val="left" w:pos="144"/>
              </w:tabs>
              <w:spacing w:line="240" w:lineRule="auto"/>
              <w:rPr>
                <w:del w:id="1472" w:author="AbbVie02no" w:date="2025-05-15T12:36:00Z"/>
                <w:rFonts w:ascii="Times New Roman" w:hAnsi="Times New Roman"/>
                <w:sz w:val="22"/>
                <w:szCs w:val="22"/>
                <w:lang w:val="nb-NO"/>
              </w:rPr>
            </w:pPr>
            <w:del w:id="1473" w:author="AbbVie02no" w:date="2025-05-15T12:36:00Z">
              <w:r w:rsidRPr="007F67EE">
                <w:rPr>
                  <w:rFonts w:ascii="Times New Roman" w:hAnsi="Times New Roman"/>
                  <w:sz w:val="22"/>
                  <w:szCs w:val="22"/>
                  <w:lang w:val="nb-NO"/>
                </w:rPr>
                <w:delText>6 måneder</w:delText>
              </w:r>
            </w:del>
          </w:p>
        </w:tc>
        <w:tc>
          <w:tcPr>
            <w:tcW w:w="875" w:type="dxa"/>
            <w:tcBorders>
              <w:left w:val="single" w:sz="6" w:space="0" w:color="auto"/>
            </w:tcBorders>
          </w:tcPr>
          <w:p w14:paraId="41DA9C2C" w14:textId="7658D592" w:rsidR="00DE3458" w:rsidRPr="007F67EE" w:rsidRDefault="00E453CD" w:rsidP="00E65D0C">
            <w:pPr>
              <w:pStyle w:val="In-texttable"/>
              <w:spacing w:line="240" w:lineRule="auto"/>
              <w:jc w:val="center"/>
              <w:rPr>
                <w:del w:id="1474" w:author="AbbVie02no" w:date="2025-05-15T12:36:00Z"/>
                <w:rFonts w:ascii="Times New Roman" w:hAnsi="Times New Roman"/>
                <w:sz w:val="22"/>
                <w:szCs w:val="22"/>
                <w:lang w:val="nb-NO"/>
              </w:rPr>
            </w:pPr>
            <w:del w:id="1475" w:author="AbbVie02no" w:date="2025-05-15T12:36:00Z">
              <w:r w:rsidRPr="007F67EE">
                <w:rPr>
                  <w:rFonts w:ascii="Times New Roman" w:hAnsi="Times New Roman"/>
                  <w:sz w:val="22"/>
                  <w:szCs w:val="22"/>
                  <w:lang w:val="nb-NO"/>
                </w:rPr>
                <w:delText>13,3</w:delText>
              </w:r>
              <w:r w:rsidR="00E51AA9" w:rsidRPr="007F67EE">
                <w:rPr>
                  <w:rFonts w:ascii="Times New Roman" w:hAnsi="Times New Roman"/>
                  <w:sz w:val="22"/>
                  <w:szCs w:val="22"/>
                  <w:lang w:val="nb-NO"/>
                </w:rPr>
                <w:delText xml:space="preserve"> %</w:delText>
              </w:r>
            </w:del>
          </w:p>
        </w:tc>
        <w:tc>
          <w:tcPr>
            <w:tcW w:w="1723" w:type="dxa"/>
            <w:tcBorders>
              <w:left w:val="nil"/>
              <w:right w:val="single" w:sz="6" w:space="0" w:color="auto"/>
            </w:tcBorders>
          </w:tcPr>
          <w:p w14:paraId="7AA617FA" w14:textId="0EB5B7CC" w:rsidR="00DE3458" w:rsidRPr="009C5EFD" w:rsidRDefault="00E453CD" w:rsidP="00E65D0C">
            <w:pPr>
              <w:pStyle w:val="In-texttable"/>
              <w:spacing w:line="240" w:lineRule="auto"/>
              <w:jc w:val="center"/>
              <w:rPr>
                <w:del w:id="1476" w:author="AbbVie02no" w:date="2025-05-15T12:36:00Z"/>
                <w:rFonts w:ascii="Times New Roman" w:hAnsi="Times New Roman"/>
                <w:sz w:val="22"/>
                <w:szCs w:val="22"/>
                <w:lang w:val="nb-NO"/>
              </w:rPr>
            </w:pPr>
            <w:del w:id="1477" w:author="AbbVie02no" w:date="2025-05-15T12:36:00Z">
              <w:r w:rsidRPr="00193D76">
                <w:rPr>
                  <w:rFonts w:ascii="Times New Roman" w:hAnsi="Times New Roman"/>
                  <w:sz w:val="22"/>
                  <w:szCs w:val="22"/>
                  <w:lang w:val="nb-NO"/>
                </w:rPr>
                <w:delText>65,1</w:delText>
              </w:r>
              <w:r w:rsidR="00E51AA9" w:rsidRPr="009C5EFD">
                <w:rPr>
                  <w:rFonts w:ascii="Times New Roman" w:hAnsi="Times New Roman"/>
                  <w:sz w:val="22"/>
                  <w:szCs w:val="22"/>
                  <w:lang w:val="nb-NO"/>
                </w:rPr>
                <w:delText xml:space="preserve"> %</w:delText>
              </w:r>
            </w:del>
          </w:p>
        </w:tc>
        <w:tc>
          <w:tcPr>
            <w:tcW w:w="1051" w:type="dxa"/>
            <w:tcBorders>
              <w:left w:val="single" w:sz="6" w:space="0" w:color="auto"/>
            </w:tcBorders>
          </w:tcPr>
          <w:p w14:paraId="50F2C369" w14:textId="5875BF7D" w:rsidR="00DE3458" w:rsidRPr="009C5EFD" w:rsidRDefault="00E453CD" w:rsidP="00E65D0C">
            <w:pPr>
              <w:pStyle w:val="In-texttable"/>
              <w:spacing w:line="240" w:lineRule="auto"/>
              <w:jc w:val="center"/>
              <w:rPr>
                <w:del w:id="1478" w:author="AbbVie02no" w:date="2025-05-15T12:36:00Z"/>
                <w:rFonts w:ascii="Times New Roman" w:hAnsi="Times New Roman"/>
                <w:sz w:val="22"/>
                <w:szCs w:val="22"/>
                <w:lang w:val="nb-NO"/>
              </w:rPr>
            </w:pPr>
            <w:del w:id="1479" w:author="AbbVie02no" w:date="2025-05-15T12:36:00Z">
              <w:r w:rsidRPr="009C5EFD">
                <w:rPr>
                  <w:rFonts w:ascii="Times New Roman" w:hAnsi="Times New Roman"/>
                  <w:sz w:val="22"/>
                  <w:szCs w:val="22"/>
                  <w:lang w:val="nb-NO"/>
                </w:rPr>
                <w:delText>19,1</w:delText>
              </w:r>
              <w:r w:rsidR="00E51AA9" w:rsidRPr="009C5EFD">
                <w:rPr>
                  <w:rFonts w:ascii="Times New Roman" w:hAnsi="Times New Roman"/>
                  <w:sz w:val="22"/>
                  <w:szCs w:val="22"/>
                  <w:lang w:val="nb-NO"/>
                </w:rPr>
                <w:delText xml:space="preserve"> %</w:delText>
              </w:r>
            </w:del>
          </w:p>
        </w:tc>
        <w:tc>
          <w:tcPr>
            <w:tcW w:w="1552" w:type="dxa"/>
            <w:tcBorders>
              <w:left w:val="nil"/>
              <w:right w:val="single" w:sz="6" w:space="0" w:color="auto"/>
            </w:tcBorders>
          </w:tcPr>
          <w:p w14:paraId="0C3F7B13" w14:textId="7A859C4D" w:rsidR="00DE3458" w:rsidRPr="009C5EFD" w:rsidRDefault="00E453CD" w:rsidP="00E65D0C">
            <w:pPr>
              <w:pStyle w:val="In-texttable"/>
              <w:spacing w:line="240" w:lineRule="auto"/>
              <w:jc w:val="center"/>
              <w:rPr>
                <w:del w:id="1480" w:author="AbbVie02no" w:date="2025-05-15T12:36:00Z"/>
                <w:rFonts w:ascii="Times New Roman" w:hAnsi="Times New Roman"/>
                <w:sz w:val="22"/>
                <w:szCs w:val="22"/>
                <w:lang w:val="nb-NO"/>
              </w:rPr>
            </w:pPr>
            <w:del w:id="1481" w:author="AbbVie02no" w:date="2025-05-15T12:36:00Z">
              <w:r w:rsidRPr="009C5EFD">
                <w:rPr>
                  <w:rFonts w:ascii="Times New Roman" w:hAnsi="Times New Roman"/>
                  <w:sz w:val="22"/>
                  <w:szCs w:val="22"/>
                  <w:lang w:val="nb-NO"/>
                </w:rPr>
                <w:delText>46,0</w:delText>
              </w:r>
              <w:r w:rsidR="00E51AA9" w:rsidRPr="009C5EFD">
                <w:rPr>
                  <w:rFonts w:ascii="Times New Roman" w:hAnsi="Times New Roman"/>
                  <w:sz w:val="22"/>
                  <w:szCs w:val="22"/>
                  <w:lang w:val="nb-NO"/>
                </w:rPr>
                <w:delText xml:space="preserve"> %</w:delText>
              </w:r>
            </w:del>
          </w:p>
        </w:tc>
        <w:tc>
          <w:tcPr>
            <w:tcW w:w="890" w:type="dxa"/>
            <w:tcBorders>
              <w:left w:val="single" w:sz="6" w:space="0" w:color="auto"/>
            </w:tcBorders>
          </w:tcPr>
          <w:p w14:paraId="7A6138E7" w14:textId="1913FBF7" w:rsidR="00DE3458" w:rsidRPr="009C5EFD" w:rsidRDefault="00E453CD" w:rsidP="00E65D0C">
            <w:pPr>
              <w:pStyle w:val="In-texttable"/>
              <w:spacing w:line="240" w:lineRule="auto"/>
              <w:jc w:val="center"/>
              <w:rPr>
                <w:del w:id="1482" w:author="AbbVie02no" w:date="2025-05-15T12:36:00Z"/>
                <w:rFonts w:ascii="Times New Roman" w:hAnsi="Times New Roman"/>
                <w:sz w:val="22"/>
                <w:szCs w:val="22"/>
                <w:lang w:val="nb-NO"/>
              </w:rPr>
            </w:pPr>
            <w:del w:id="1483" w:author="AbbVie02no" w:date="2025-05-15T12:36:00Z">
              <w:r w:rsidRPr="009C5EFD">
                <w:rPr>
                  <w:rFonts w:ascii="Times New Roman" w:hAnsi="Times New Roman"/>
                  <w:sz w:val="22"/>
                  <w:szCs w:val="22"/>
                  <w:lang w:val="nb-NO"/>
                </w:rPr>
                <w:delText>29,5</w:delText>
              </w:r>
              <w:r w:rsidR="00E51AA9" w:rsidRPr="009C5EFD">
                <w:rPr>
                  <w:rFonts w:ascii="Times New Roman" w:hAnsi="Times New Roman"/>
                  <w:sz w:val="22"/>
                  <w:szCs w:val="22"/>
                  <w:lang w:val="nb-NO"/>
                </w:rPr>
                <w:delText xml:space="preserve"> %</w:delText>
              </w:r>
            </w:del>
          </w:p>
        </w:tc>
        <w:tc>
          <w:tcPr>
            <w:tcW w:w="1723" w:type="dxa"/>
            <w:tcBorders>
              <w:left w:val="nil"/>
            </w:tcBorders>
          </w:tcPr>
          <w:p w14:paraId="7ED0EE2D" w14:textId="7A48D05A" w:rsidR="00DE3458" w:rsidRPr="009C5EFD" w:rsidRDefault="00E453CD" w:rsidP="00E65D0C">
            <w:pPr>
              <w:pStyle w:val="In-texttable"/>
              <w:spacing w:line="240" w:lineRule="auto"/>
              <w:jc w:val="center"/>
              <w:rPr>
                <w:del w:id="1484" w:author="AbbVie02no" w:date="2025-05-15T12:36:00Z"/>
                <w:rFonts w:ascii="Times New Roman" w:hAnsi="Times New Roman"/>
                <w:sz w:val="22"/>
                <w:szCs w:val="22"/>
                <w:lang w:val="nb-NO"/>
              </w:rPr>
            </w:pPr>
            <w:del w:id="1485" w:author="AbbVie02no" w:date="2025-05-15T12:36:00Z">
              <w:r w:rsidRPr="009C5EFD">
                <w:rPr>
                  <w:rFonts w:ascii="Times New Roman" w:hAnsi="Times New Roman"/>
                  <w:sz w:val="22"/>
                  <w:szCs w:val="22"/>
                  <w:lang w:val="nb-NO"/>
                </w:rPr>
                <w:delText>63,3</w:delText>
              </w:r>
              <w:r w:rsidR="00E51AA9" w:rsidRPr="009C5EFD">
                <w:rPr>
                  <w:rFonts w:ascii="Times New Roman" w:hAnsi="Times New Roman"/>
                  <w:sz w:val="22"/>
                  <w:szCs w:val="22"/>
                  <w:lang w:val="nb-NO"/>
                </w:rPr>
                <w:delText xml:space="preserve"> %</w:delText>
              </w:r>
            </w:del>
          </w:p>
        </w:tc>
      </w:tr>
      <w:tr w:rsidR="004644D4" w14:paraId="2B757D4B" w14:textId="71CE5556" w:rsidTr="00776A84">
        <w:trPr>
          <w:cantSplit/>
          <w:del w:id="1486" w:author="AbbVie02no" w:date="2025-05-15T12:36:00Z"/>
        </w:trPr>
        <w:tc>
          <w:tcPr>
            <w:tcW w:w="1153" w:type="dxa"/>
            <w:tcBorders>
              <w:right w:val="single" w:sz="6" w:space="0" w:color="auto"/>
            </w:tcBorders>
          </w:tcPr>
          <w:p w14:paraId="4096B5C0" w14:textId="1BC19C92" w:rsidR="00DE3458" w:rsidRPr="007F67EE" w:rsidRDefault="00E453CD" w:rsidP="00E65D0C">
            <w:pPr>
              <w:pStyle w:val="In-texttable"/>
              <w:tabs>
                <w:tab w:val="left" w:pos="144"/>
              </w:tabs>
              <w:spacing w:line="240" w:lineRule="auto"/>
              <w:rPr>
                <w:del w:id="1487" w:author="AbbVie02no" w:date="2025-05-15T12:36:00Z"/>
                <w:rFonts w:ascii="Times New Roman" w:hAnsi="Times New Roman"/>
                <w:sz w:val="22"/>
                <w:szCs w:val="22"/>
                <w:lang w:val="nb-NO"/>
              </w:rPr>
            </w:pPr>
            <w:del w:id="1488" w:author="AbbVie02no" w:date="2025-05-15T12:36:00Z">
              <w:r w:rsidRPr="007F67EE">
                <w:rPr>
                  <w:rFonts w:ascii="Times New Roman" w:hAnsi="Times New Roman"/>
                  <w:sz w:val="22"/>
                  <w:szCs w:val="22"/>
                  <w:lang w:val="nb-NO"/>
                </w:rPr>
                <w:delText>12 måneder</w:delText>
              </w:r>
            </w:del>
          </w:p>
        </w:tc>
        <w:tc>
          <w:tcPr>
            <w:tcW w:w="875" w:type="dxa"/>
            <w:tcBorders>
              <w:left w:val="single" w:sz="6" w:space="0" w:color="auto"/>
            </w:tcBorders>
          </w:tcPr>
          <w:p w14:paraId="70C75679" w14:textId="3B69F080" w:rsidR="00DE3458" w:rsidRPr="007F67EE" w:rsidRDefault="00E453CD" w:rsidP="00E65D0C">
            <w:pPr>
              <w:pStyle w:val="In-texttable"/>
              <w:spacing w:line="240" w:lineRule="auto"/>
              <w:jc w:val="center"/>
              <w:rPr>
                <w:del w:id="1489" w:author="AbbVie02no" w:date="2025-05-15T12:36:00Z"/>
                <w:rFonts w:ascii="Times New Roman" w:hAnsi="Times New Roman"/>
                <w:sz w:val="22"/>
                <w:szCs w:val="22"/>
                <w:lang w:val="nb-NO"/>
              </w:rPr>
            </w:pPr>
            <w:del w:id="1490" w:author="AbbVie02no" w:date="2025-05-15T12:36:00Z">
              <w:r w:rsidRPr="007F67EE">
                <w:rPr>
                  <w:rFonts w:ascii="Times New Roman" w:hAnsi="Times New Roman"/>
                  <w:sz w:val="22"/>
                  <w:szCs w:val="22"/>
                  <w:lang w:val="nb-NO"/>
                </w:rPr>
                <w:delText>NA</w:delText>
              </w:r>
            </w:del>
          </w:p>
        </w:tc>
        <w:tc>
          <w:tcPr>
            <w:tcW w:w="1723" w:type="dxa"/>
            <w:tcBorders>
              <w:left w:val="nil"/>
              <w:right w:val="single" w:sz="6" w:space="0" w:color="auto"/>
            </w:tcBorders>
          </w:tcPr>
          <w:p w14:paraId="2A4D43FD" w14:textId="224D3EA9" w:rsidR="00DE3458" w:rsidRPr="00193D76" w:rsidRDefault="00E453CD" w:rsidP="00E65D0C">
            <w:pPr>
              <w:pStyle w:val="In-texttable"/>
              <w:spacing w:line="240" w:lineRule="auto"/>
              <w:jc w:val="center"/>
              <w:rPr>
                <w:del w:id="1491" w:author="AbbVie02no" w:date="2025-05-15T12:36:00Z"/>
                <w:rFonts w:ascii="Times New Roman" w:hAnsi="Times New Roman"/>
                <w:sz w:val="22"/>
                <w:szCs w:val="22"/>
                <w:lang w:val="nb-NO"/>
              </w:rPr>
            </w:pPr>
            <w:del w:id="1492" w:author="AbbVie02no" w:date="2025-05-15T12:36:00Z">
              <w:r w:rsidRPr="00193D76">
                <w:rPr>
                  <w:rFonts w:ascii="Times New Roman" w:hAnsi="Times New Roman"/>
                  <w:sz w:val="22"/>
                  <w:szCs w:val="22"/>
                  <w:lang w:val="nb-NO"/>
                </w:rPr>
                <w:delText>NA</w:delText>
              </w:r>
            </w:del>
          </w:p>
        </w:tc>
        <w:tc>
          <w:tcPr>
            <w:tcW w:w="1051" w:type="dxa"/>
            <w:tcBorders>
              <w:left w:val="single" w:sz="6" w:space="0" w:color="auto"/>
            </w:tcBorders>
          </w:tcPr>
          <w:p w14:paraId="71360744" w14:textId="56D7BB74" w:rsidR="00DE3458" w:rsidRPr="002D0790" w:rsidRDefault="00E453CD" w:rsidP="00E65D0C">
            <w:pPr>
              <w:pStyle w:val="In-texttable"/>
              <w:spacing w:line="240" w:lineRule="auto"/>
              <w:jc w:val="center"/>
              <w:rPr>
                <w:del w:id="1493" w:author="AbbVie02no" w:date="2025-05-15T12:36:00Z"/>
                <w:rFonts w:ascii="Times New Roman" w:hAnsi="Times New Roman"/>
                <w:sz w:val="22"/>
                <w:szCs w:val="22"/>
                <w:lang w:val="nb-NO"/>
              </w:rPr>
            </w:pPr>
            <w:del w:id="1494" w:author="AbbVie02no" w:date="2025-05-15T12:36:00Z">
              <w:r w:rsidRPr="002D0790">
                <w:rPr>
                  <w:rFonts w:ascii="Times New Roman" w:hAnsi="Times New Roman"/>
                  <w:sz w:val="22"/>
                  <w:szCs w:val="22"/>
                  <w:lang w:val="nb-NO"/>
                </w:rPr>
                <w:delText>NA</w:delText>
              </w:r>
            </w:del>
          </w:p>
        </w:tc>
        <w:tc>
          <w:tcPr>
            <w:tcW w:w="1552" w:type="dxa"/>
            <w:tcBorders>
              <w:left w:val="nil"/>
              <w:right w:val="single" w:sz="6" w:space="0" w:color="auto"/>
            </w:tcBorders>
          </w:tcPr>
          <w:p w14:paraId="40C1AB0C" w14:textId="6F7701C7" w:rsidR="00DE3458" w:rsidRPr="002D0790" w:rsidRDefault="00E453CD" w:rsidP="00E65D0C">
            <w:pPr>
              <w:pStyle w:val="In-texttable"/>
              <w:spacing w:line="240" w:lineRule="auto"/>
              <w:jc w:val="center"/>
              <w:rPr>
                <w:del w:id="1495" w:author="AbbVie02no" w:date="2025-05-15T12:36:00Z"/>
                <w:rFonts w:ascii="Times New Roman" w:hAnsi="Times New Roman"/>
                <w:sz w:val="22"/>
                <w:szCs w:val="22"/>
                <w:lang w:val="nb-NO"/>
              </w:rPr>
            </w:pPr>
            <w:del w:id="1496" w:author="AbbVie02no" w:date="2025-05-15T12:36:00Z">
              <w:r w:rsidRPr="002D0790">
                <w:rPr>
                  <w:rFonts w:ascii="Times New Roman" w:hAnsi="Times New Roman"/>
                  <w:sz w:val="22"/>
                  <w:szCs w:val="22"/>
                  <w:lang w:val="nb-NO"/>
                </w:rPr>
                <w:delText>NA</w:delText>
              </w:r>
            </w:del>
          </w:p>
        </w:tc>
        <w:tc>
          <w:tcPr>
            <w:tcW w:w="890" w:type="dxa"/>
            <w:tcBorders>
              <w:left w:val="single" w:sz="6" w:space="0" w:color="auto"/>
            </w:tcBorders>
          </w:tcPr>
          <w:p w14:paraId="60CBC233" w14:textId="4CC67CCD" w:rsidR="00DE3458" w:rsidRPr="009C5EFD" w:rsidRDefault="00E453CD" w:rsidP="00E65D0C">
            <w:pPr>
              <w:pStyle w:val="In-texttable"/>
              <w:spacing w:line="240" w:lineRule="auto"/>
              <w:jc w:val="center"/>
              <w:rPr>
                <w:del w:id="1497" w:author="AbbVie02no" w:date="2025-05-15T12:36:00Z"/>
                <w:rFonts w:ascii="Times New Roman" w:hAnsi="Times New Roman"/>
                <w:sz w:val="22"/>
                <w:szCs w:val="22"/>
                <w:lang w:val="nb-NO"/>
              </w:rPr>
            </w:pPr>
            <w:del w:id="1498" w:author="AbbVie02no" w:date="2025-05-15T12:36:00Z">
              <w:r w:rsidRPr="00E14E58">
                <w:rPr>
                  <w:rFonts w:ascii="Times New Roman" w:hAnsi="Times New Roman"/>
                  <w:sz w:val="22"/>
                  <w:szCs w:val="22"/>
                  <w:lang w:val="nb-NO"/>
                </w:rPr>
                <w:delText>24,0</w:delText>
              </w:r>
              <w:r w:rsidR="00E51AA9" w:rsidRPr="009C5EFD">
                <w:rPr>
                  <w:rFonts w:ascii="Times New Roman" w:hAnsi="Times New Roman"/>
                  <w:sz w:val="22"/>
                  <w:szCs w:val="22"/>
                  <w:lang w:val="nb-NO"/>
                </w:rPr>
                <w:delText xml:space="preserve"> %</w:delText>
              </w:r>
            </w:del>
          </w:p>
        </w:tc>
        <w:tc>
          <w:tcPr>
            <w:tcW w:w="1723" w:type="dxa"/>
            <w:tcBorders>
              <w:left w:val="nil"/>
            </w:tcBorders>
          </w:tcPr>
          <w:p w14:paraId="03E60C60" w14:textId="7FCCE085" w:rsidR="00DE3458" w:rsidRPr="009C5EFD" w:rsidRDefault="00E453CD" w:rsidP="00E65D0C">
            <w:pPr>
              <w:pStyle w:val="In-texttable"/>
              <w:spacing w:line="240" w:lineRule="auto"/>
              <w:jc w:val="center"/>
              <w:rPr>
                <w:del w:id="1499" w:author="AbbVie02no" w:date="2025-05-15T12:36:00Z"/>
                <w:rFonts w:ascii="Times New Roman" w:hAnsi="Times New Roman"/>
                <w:sz w:val="22"/>
                <w:szCs w:val="22"/>
                <w:lang w:val="nb-NO"/>
              </w:rPr>
            </w:pPr>
            <w:del w:id="1500" w:author="AbbVie02no" w:date="2025-05-15T12:36:00Z">
              <w:r w:rsidRPr="009C5EFD">
                <w:rPr>
                  <w:rFonts w:ascii="Times New Roman" w:hAnsi="Times New Roman"/>
                  <w:sz w:val="22"/>
                  <w:szCs w:val="22"/>
                  <w:lang w:val="nb-NO"/>
                </w:rPr>
                <w:delText>58,9</w:delText>
              </w:r>
              <w:r w:rsidR="00E51AA9" w:rsidRPr="009C5EFD">
                <w:rPr>
                  <w:rFonts w:ascii="Times New Roman" w:hAnsi="Times New Roman"/>
                  <w:sz w:val="22"/>
                  <w:szCs w:val="22"/>
                  <w:lang w:val="nb-NO"/>
                </w:rPr>
                <w:delText xml:space="preserve"> %</w:delText>
              </w:r>
            </w:del>
          </w:p>
        </w:tc>
      </w:tr>
      <w:tr w:rsidR="004644D4" w14:paraId="67A8AD82" w14:textId="59DBCB66" w:rsidTr="00776A84">
        <w:trPr>
          <w:cantSplit/>
          <w:del w:id="1501" w:author="AbbVie02no" w:date="2025-05-15T12:36:00Z"/>
        </w:trPr>
        <w:tc>
          <w:tcPr>
            <w:tcW w:w="1153" w:type="dxa"/>
            <w:tcBorders>
              <w:right w:val="single" w:sz="6" w:space="0" w:color="auto"/>
            </w:tcBorders>
          </w:tcPr>
          <w:p w14:paraId="5554657C" w14:textId="6210C82A" w:rsidR="00DE3458" w:rsidRPr="007F67EE" w:rsidRDefault="00E453CD" w:rsidP="00E65D0C">
            <w:pPr>
              <w:pStyle w:val="In-texttable"/>
              <w:tabs>
                <w:tab w:val="left" w:pos="144"/>
              </w:tabs>
              <w:spacing w:line="240" w:lineRule="auto"/>
              <w:rPr>
                <w:del w:id="1502" w:author="AbbVie02no" w:date="2025-05-15T12:36:00Z"/>
                <w:rFonts w:ascii="Times New Roman" w:hAnsi="Times New Roman"/>
                <w:sz w:val="22"/>
                <w:szCs w:val="22"/>
                <w:lang w:val="nb-NO"/>
              </w:rPr>
            </w:pPr>
            <w:del w:id="1503" w:author="AbbVie02no" w:date="2025-05-15T12:36:00Z">
              <w:r w:rsidRPr="007F67EE">
                <w:rPr>
                  <w:rFonts w:ascii="Times New Roman" w:hAnsi="Times New Roman"/>
                  <w:sz w:val="22"/>
                  <w:szCs w:val="22"/>
                  <w:lang w:val="nb-NO"/>
                </w:rPr>
                <w:delText>ACR 50</w:delText>
              </w:r>
            </w:del>
          </w:p>
        </w:tc>
        <w:tc>
          <w:tcPr>
            <w:tcW w:w="875" w:type="dxa"/>
            <w:tcBorders>
              <w:left w:val="single" w:sz="6" w:space="0" w:color="auto"/>
            </w:tcBorders>
          </w:tcPr>
          <w:p w14:paraId="21C62B94" w14:textId="38DBE24D" w:rsidR="00DE3458" w:rsidRPr="007F67EE" w:rsidRDefault="00DE3458" w:rsidP="00E65D0C">
            <w:pPr>
              <w:pStyle w:val="In-texttable"/>
              <w:spacing w:line="240" w:lineRule="auto"/>
              <w:jc w:val="center"/>
              <w:rPr>
                <w:del w:id="1504" w:author="AbbVie02no" w:date="2025-05-15T12:36:00Z"/>
                <w:rFonts w:ascii="Times New Roman" w:hAnsi="Times New Roman"/>
                <w:sz w:val="22"/>
                <w:szCs w:val="22"/>
                <w:lang w:val="nb-NO"/>
              </w:rPr>
            </w:pPr>
          </w:p>
        </w:tc>
        <w:tc>
          <w:tcPr>
            <w:tcW w:w="1723" w:type="dxa"/>
            <w:tcBorders>
              <w:left w:val="nil"/>
              <w:right w:val="single" w:sz="6" w:space="0" w:color="auto"/>
            </w:tcBorders>
          </w:tcPr>
          <w:p w14:paraId="4A8284F6" w14:textId="66858527" w:rsidR="00DE3458" w:rsidRPr="00193D76" w:rsidRDefault="00DE3458" w:rsidP="00E65D0C">
            <w:pPr>
              <w:pStyle w:val="In-texttable"/>
              <w:spacing w:line="240" w:lineRule="auto"/>
              <w:jc w:val="center"/>
              <w:rPr>
                <w:del w:id="1505" w:author="AbbVie02no" w:date="2025-05-15T12:36:00Z"/>
                <w:rFonts w:ascii="Times New Roman" w:hAnsi="Times New Roman"/>
                <w:sz w:val="22"/>
                <w:szCs w:val="22"/>
                <w:lang w:val="nb-NO"/>
              </w:rPr>
            </w:pPr>
          </w:p>
        </w:tc>
        <w:tc>
          <w:tcPr>
            <w:tcW w:w="1051" w:type="dxa"/>
            <w:tcBorders>
              <w:left w:val="single" w:sz="6" w:space="0" w:color="auto"/>
            </w:tcBorders>
          </w:tcPr>
          <w:p w14:paraId="0C33B40D" w14:textId="2B521990" w:rsidR="00DE3458" w:rsidRPr="002D0790" w:rsidRDefault="00DE3458" w:rsidP="00E65D0C">
            <w:pPr>
              <w:pStyle w:val="In-texttable"/>
              <w:spacing w:line="240" w:lineRule="auto"/>
              <w:jc w:val="center"/>
              <w:rPr>
                <w:del w:id="1506" w:author="AbbVie02no" w:date="2025-05-15T12:36:00Z"/>
                <w:rFonts w:ascii="Times New Roman" w:hAnsi="Times New Roman"/>
                <w:sz w:val="22"/>
                <w:szCs w:val="22"/>
                <w:lang w:val="nb-NO"/>
              </w:rPr>
            </w:pPr>
          </w:p>
        </w:tc>
        <w:tc>
          <w:tcPr>
            <w:tcW w:w="1552" w:type="dxa"/>
            <w:tcBorders>
              <w:left w:val="nil"/>
              <w:right w:val="single" w:sz="6" w:space="0" w:color="auto"/>
            </w:tcBorders>
          </w:tcPr>
          <w:p w14:paraId="368F12AB" w14:textId="07AB6E7A" w:rsidR="00DE3458" w:rsidRPr="002D0790" w:rsidRDefault="00DE3458" w:rsidP="00E65D0C">
            <w:pPr>
              <w:pStyle w:val="In-texttable"/>
              <w:spacing w:line="240" w:lineRule="auto"/>
              <w:jc w:val="center"/>
              <w:rPr>
                <w:del w:id="1507" w:author="AbbVie02no" w:date="2025-05-15T12:36:00Z"/>
                <w:rFonts w:ascii="Times New Roman" w:hAnsi="Times New Roman"/>
                <w:sz w:val="22"/>
                <w:szCs w:val="22"/>
                <w:lang w:val="nb-NO"/>
              </w:rPr>
            </w:pPr>
          </w:p>
        </w:tc>
        <w:tc>
          <w:tcPr>
            <w:tcW w:w="890" w:type="dxa"/>
            <w:tcBorders>
              <w:left w:val="single" w:sz="6" w:space="0" w:color="auto"/>
            </w:tcBorders>
          </w:tcPr>
          <w:p w14:paraId="29CBE996" w14:textId="56B9E488" w:rsidR="00DE3458" w:rsidRPr="00E14E58" w:rsidRDefault="00DE3458" w:rsidP="00E65D0C">
            <w:pPr>
              <w:pStyle w:val="In-texttable"/>
              <w:spacing w:line="240" w:lineRule="auto"/>
              <w:jc w:val="center"/>
              <w:rPr>
                <w:del w:id="1508" w:author="AbbVie02no" w:date="2025-05-15T12:36:00Z"/>
                <w:rFonts w:ascii="Times New Roman" w:hAnsi="Times New Roman"/>
                <w:sz w:val="22"/>
                <w:szCs w:val="22"/>
                <w:lang w:val="nb-NO"/>
              </w:rPr>
            </w:pPr>
          </w:p>
        </w:tc>
        <w:tc>
          <w:tcPr>
            <w:tcW w:w="1723" w:type="dxa"/>
            <w:tcBorders>
              <w:left w:val="nil"/>
            </w:tcBorders>
          </w:tcPr>
          <w:p w14:paraId="0ECCF391" w14:textId="348127AC" w:rsidR="00DE3458" w:rsidRPr="009C5EFD" w:rsidRDefault="00DE3458" w:rsidP="00E65D0C">
            <w:pPr>
              <w:pStyle w:val="In-texttable"/>
              <w:spacing w:line="240" w:lineRule="auto"/>
              <w:jc w:val="center"/>
              <w:rPr>
                <w:del w:id="1509" w:author="AbbVie02no" w:date="2025-05-15T12:36:00Z"/>
                <w:rFonts w:ascii="Times New Roman" w:hAnsi="Times New Roman"/>
                <w:sz w:val="22"/>
                <w:szCs w:val="22"/>
                <w:lang w:val="nb-NO"/>
              </w:rPr>
            </w:pPr>
          </w:p>
        </w:tc>
      </w:tr>
      <w:tr w:rsidR="004644D4" w14:paraId="79D55AC6" w14:textId="571A58F5" w:rsidTr="00776A84">
        <w:trPr>
          <w:cantSplit/>
          <w:del w:id="1510" w:author="AbbVie02no" w:date="2025-05-15T12:36:00Z"/>
        </w:trPr>
        <w:tc>
          <w:tcPr>
            <w:tcW w:w="1153" w:type="dxa"/>
            <w:tcBorders>
              <w:right w:val="single" w:sz="6" w:space="0" w:color="auto"/>
            </w:tcBorders>
          </w:tcPr>
          <w:p w14:paraId="4D153808" w14:textId="68B6E1EE" w:rsidR="00DE3458" w:rsidRPr="007F67EE" w:rsidRDefault="00E453CD" w:rsidP="00E65D0C">
            <w:pPr>
              <w:pStyle w:val="In-texttable"/>
              <w:tabs>
                <w:tab w:val="left" w:pos="144"/>
              </w:tabs>
              <w:spacing w:line="240" w:lineRule="auto"/>
              <w:rPr>
                <w:del w:id="1511" w:author="AbbVie02no" w:date="2025-05-15T12:36:00Z"/>
                <w:rFonts w:ascii="Times New Roman" w:hAnsi="Times New Roman"/>
                <w:sz w:val="22"/>
                <w:szCs w:val="22"/>
                <w:lang w:val="nb-NO"/>
              </w:rPr>
            </w:pPr>
            <w:del w:id="1512" w:author="AbbVie02no" w:date="2025-05-15T12:36:00Z">
              <w:r w:rsidRPr="007F67EE">
                <w:rPr>
                  <w:rFonts w:ascii="Times New Roman" w:hAnsi="Times New Roman"/>
                  <w:sz w:val="22"/>
                  <w:szCs w:val="22"/>
                  <w:lang w:val="nb-NO"/>
                </w:rPr>
                <w:delText>6 måneder</w:delText>
              </w:r>
            </w:del>
          </w:p>
        </w:tc>
        <w:tc>
          <w:tcPr>
            <w:tcW w:w="875" w:type="dxa"/>
            <w:tcBorders>
              <w:left w:val="single" w:sz="6" w:space="0" w:color="auto"/>
            </w:tcBorders>
          </w:tcPr>
          <w:p w14:paraId="421362A6" w14:textId="04F867C1" w:rsidR="00DE3458" w:rsidRPr="007F67EE" w:rsidRDefault="00E453CD" w:rsidP="00E65D0C">
            <w:pPr>
              <w:pStyle w:val="In-texttable"/>
              <w:spacing w:line="240" w:lineRule="auto"/>
              <w:jc w:val="center"/>
              <w:rPr>
                <w:del w:id="1513" w:author="AbbVie02no" w:date="2025-05-15T12:36:00Z"/>
                <w:rFonts w:ascii="Times New Roman" w:hAnsi="Times New Roman"/>
                <w:sz w:val="22"/>
                <w:szCs w:val="22"/>
                <w:lang w:val="nb-NO"/>
              </w:rPr>
            </w:pPr>
            <w:del w:id="1514" w:author="AbbVie02no" w:date="2025-05-15T12:36:00Z">
              <w:r w:rsidRPr="007F67EE">
                <w:rPr>
                  <w:rFonts w:ascii="Times New Roman" w:hAnsi="Times New Roman"/>
                  <w:sz w:val="22"/>
                  <w:szCs w:val="22"/>
                  <w:lang w:val="nb-NO"/>
                </w:rPr>
                <w:delText>6,7</w:delText>
              </w:r>
              <w:r w:rsidR="00E51AA9" w:rsidRPr="007F67EE">
                <w:rPr>
                  <w:rFonts w:ascii="Times New Roman" w:hAnsi="Times New Roman"/>
                  <w:sz w:val="22"/>
                  <w:szCs w:val="22"/>
                  <w:lang w:val="nb-NO"/>
                </w:rPr>
                <w:delText xml:space="preserve"> %</w:delText>
              </w:r>
            </w:del>
          </w:p>
        </w:tc>
        <w:tc>
          <w:tcPr>
            <w:tcW w:w="1723" w:type="dxa"/>
            <w:tcBorders>
              <w:left w:val="nil"/>
              <w:right w:val="single" w:sz="6" w:space="0" w:color="auto"/>
            </w:tcBorders>
          </w:tcPr>
          <w:p w14:paraId="7CBC48AD" w14:textId="3A0B916C" w:rsidR="00DE3458" w:rsidRPr="009C5EFD" w:rsidRDefault="00E453CD" w:rsidP="00E65D0C">
            <w:pPr>
              <w:pStyle w:val="In-texttable"/>
              <w:spacing w:line="240" w:lineRule="auto"/>
              <w:jc w:val="center"/>
              <w:rPr>
                <w:del w:id="1515" w:author="AbbVie02no" w:date="2025-05-15T12:36:00Z"/>
                <w:rFonts w:ascii="Times New Roman" w:hAnsi="Times New Roman"/>
                <w:sz w:val="22"/>
                <w:szCs w:val="22"/>
                <w:lang w:val="nb-NO"/>
              </w:rPr>
            </w:pPr>
            <w:del w:id="1516" w:author="AbbVie02no" w:date="2025-05-15T12:36:00Z">
              <w:r w:rsidRPr="00193D76">
                <w:rPr>
                  <w:rFonts w:ascii="Times New Roman" w:hAnsi="Times New Roman"/>
                  <w:sz w:val="22"/>
                  <w:szCs w:val="22"/>
                  <w:lang w:val="nb-NO"/>
                </w:rPr>
                <w:delText>52,4</w:delText>
              </w:r>
              <w:r w:rsidR="00E51AA9" w:rsidRPr="009C5EFD">
                <w:rPr>
                  <w:rFonts w:ascii="Times New Roman" w:hAnsi="Times New Roman"/>
                  <w:sz w:val="22"/>
                  <w:szCs w:val="22"/>
                  <w:lang w:val="nb-NO"/>
                </w:rPr>
                <w:delText xml:space="preserve"> %</w:delText>
              </w:r>
            </w:del>
          </w:p>
        </w:tc>
        <w:tc>
          <w:tcPr>
            <w:tcW w:w="1051" w:type="dxa"/>
            <w:tcBorders>
              <w:left w:val="single" w:sz="6" w:space="0" w:color="auto"/>
            </w:tcBorders>
          </w:tcPr>
          <w:p w14:paraId="5E3D14E6" w14:textId="5E34C0AA" w:rsidR="00DE3458" w:rsidRPr="009C5EFD" w:rsidRDefault="00E453CD" w:rsidP="00E65D0C">
            <w:pPr>
              <w:pStyle w:val="In-texttable"/>
              <w:spacing w:line="240" w:lineRule="auto"/>
              <w:jc w:val="center"/>
              <w:rPr>
                <w:del w:id="1517" w:author="AbbVie02no" w:date="2025-05-15T12:36:00Z"/>
                <w:rFonts w:ascii="Times New Roman" w:hAnsi="Times New Roman"/>
                <w:sz w:val="22"/>
                <w:szCs w:val="22"/>
                <w:lang w:val="nb-NO"/>
              </w:rPr>
            </w:pPr>
            <w:del w:id="1518" w:author="AbbVie02no" w:date="2025-05-15T12:36:00Z">
              <w:r w:rsidRPr="009C5EFD">
                <w:rPr>
                  <w:rFonts w:ascii="Times New Roman" w:hAnsi="Times New Roman"/>
                  <w:sz w:val="22"/>
                  <w:szCs w:val="22"/>
                  <w:lang w:val="nb-NO"/>
                </w:rPr>
                <w:delText>8,2</w:delText>
              </w:r>
              <w:r w:rsidR="00E51AA9" w:rsidRPr="009C5EFD">
                <w:rPr>
                  <w:rFonts w:ascii="Times New Roman" w:hAnsi="Times New Roman"/>
                  <w:sz w:val="22"/>
                  <w:szCs w:val="22"/>
                  <w:lang w:val="nb-NO"/>
                </w:rPr>
                <w:delText xml:space="preserve"> %</w:delText>
              </w:r>
            </w:del>
          </w:p>
        </w:tc>
        <w:tc>
          <w:tcPr>
            <w:tcW w:w="1552" w:type="dxa"/>
            <w:tcBorders>
              <w:left w:val="nil"/>
              <w:right w:val="single" w:sz="6" w:space="0" w:color="auto"/>
            </w:tcBorders>
          </w:tcPr>
          <w:p w14:paraId="6857A5BA" w14:textId="50FFA754" w:rsidR="00DE3458" w:rsidRPr="009C5EFD" w:rsidRDefault="00E453CD" w:rsidP="00E65D0C">
            <w:pPr>
              <w:pStyle w:val="In-texttable"/>
              <w:spacing w:line="240" w:lineRule="auto"/>
              <w:jc w:val="center"/>
              <w:rPr>
                <w:del w:id="1519" w:author="AbbVie02no" w:date="2025-05-15T12:36:00Z"/>
                <w:rFonts w:ascii="Times New Roman" w:hAnsi="Times New Roman"/>
                <w:sz w:val="22"/>
                <w:szCs w:val="22"/>
                <w:lang w:val="nb-NO"/>
              </w:rPr>
            </w:pPr>
            <w:del w:id="1520" w:author="AbbVie02no" w:date="2025-05-15T12:36:00Z">
              <w:r w:rsidRPr="009C5EFD">
                <w:rPr>
                  <w:rFonts w:ascii="Times New Roman" w:hAnsi="Times New Roman"/>
                  <w:sz w:val="22"/>
                  <w:szCs w:val="22"/>
                  <w:lang w:val="nb-NO"/>
                </w:rPr>
                <w:delText>22,1</w:delText>
              </w:r>
              <w:r w:rsidR="00E51AA9" w:rsidRPr="009C5EFD">
                <w:rPr>
                  <w:rFonts w:ascii="Times New Roman" w:hAnsi="Times New Roman"/>
                  <w:sz w:val="22"/>
                  <w:szCs w:val="22"/>
                  <w:lang w:val="nb-NO"/>
                </w:rPr>
                <w:delText xml:space="preserve"> %</w:delText>
              </w:r>
            </w:del>
          </w:p>
        </w:tc>
        <w:tc>
          <w:tcPr>
            <w:tcW w:w="890" w:type="dxa"/>
            <w:tcBorders>
              <w:left w:val="single" w:sz="6" w:space="0" w:color="auto"/>
            </w:tcBorders>
          </w:tcPr>
          <w:p w14:paraId="057DB92D" w14:textId="462DACEE" w:rsidR="00DE3458" w:rsidRPr="009C5EFD" w:rsidRDefault="00E453CD" w:rsidP="00E65D0C">
            <w:pPr>
              <w:pStyle w:val="In-texttable"/>
              <w:spacing w:line="240" w:lineRule="auto"/>
              <w:jc w:val="center"/>
              <w:rPr>
                <w:del w:id="1521" w:author="AbbVie02no" w:date="2025-05-15T12:36:00Z"/>
                <w:rFonts w:ascii="Times New Roman" w:hAnsi="Times New Roman"/>
                <w:sz w:val="22"/>
                <w:szCs w:val="22"/>
                <w:lang w:val="nb-NO"/>
              </w:rPr>
            </w:pPr>
            <w:del w:id="1522" w:author="AbbVie02no" w:date="2025-05-15T12:36:00Z">
              <w:r w:rsidRPr="009C5EFD">
                <w:rPr>
                  <w:rFonts w:ascii="Times New Roman" w:hAnsi="Times New Roman"/>
                  <w:sz w:val="22"/>
                  <w:szCs w:val="22"/>
                  <w:lang w:val="nb-NO"/>
                </w:rPr>
                <w:delText>9,5</w:delText>
              </w:r>
              <w:r w:rsidR="00E51AA9" w:rsidRPr="009C5EFD">
                <w:rPr>
                  <w:rFonts w:ascii="Times New Roman" w:hAnsi="Times New Roman"/>
                  <w:sz w:val="22"/>
                  <w:szCs w:val="22"/>
                  <w:lang w:val="nb-NO"/>
                </w:rPr>
                <w:delText xml:space="preserve"> %</w:delText>
              </w:r>
            </w:del>
          </w:p>
        </w:tc>
        <w:tc>
          <w:tcPr>
            <w:tcW w:w="1723" w:type="dxa"/>
            <w:tcBorders>
              <w:left w:val="nil"/>
            </w:tcBorders>
          </w:tcPr>
          <w:p w14:paraId="43359657" w14:textId="378A7E41" w:rsidR="00DE3458" w:rsidRPr="009C5EFD" w:rsidRDefault="00E453CD" w:rsidP="00E65D0C">
            <w:pPr>
              <w:pStyle w:val="In-texttable"/>
              <w:spacing w:line="240" w:lineRule="auto"/>
              <w:jc w:val="center"/>
              <w:rPr>
                <w:del w:id="1523" w:author="AbbVie02no" w:date="2025-05-15T12:36:00Z"/>
                <w:rFonts w:ascii="Times New Roman" w:hAnsi="Times New Roman"/>
                <w:sz w:val="22"/>
                <w:szCs w:val="22"/>
                <w:lang w:val="nb-NO"/>
              </w:rPr>
            </w:pPr>
            <w:del w:id="1524" w:author="AbbVie02no" w:date="2025-05-15T12:36:00Z">
              <w:r w:rsidRPr="009C5EFD">
                <w:rPr>
                  <w:rFonts w:ascii="Times New Roman" w:hAnsi="Times New Roman"/>
                  <w:sz w:val="22"/>
                  <w:szCs w:val="22"/>
                  <w:lang w:val="nb-NO"/>
                </w:rPr>
                <w:delText>39,1</w:delText>
              </w:r>
              <w:r w:rsidR="00E51AA9" w:rsidRPr="009C5EFD">
                <w:rPr>
                  <w:rFonts w:ascii="Times New Roman" w:hAnsi="Times New Roman"/>
                  <w:sz w:val="22"/>
                  <w:szCs w:val="22"/>
                  <w:lang w:val="nb-NO"/>
                </w:rPr>
                <w:delText xml:space="preserve"> %</w:delText>
              </w:r>
            </w:del>
          </w:p>
        </w:tc>
      </w:tr>
      <w:tr w:rsidR="004644D4" w14:paraId="4C2C6978" w14:textId="0AE4AF8E" w:rsidTr="00776A84">
        <w:trPr>
          <w:cantSplit/>
          <w:del w:id="1525" w:author="AbbVie02no" w:date="2025-05-15T12:36:00Z"/>
        </w:trPr>
        <w:tc>
          <w:tcPr>
            <w:tcW w:w="1153" w:type="dxa"/>
            <w:tcBorders>
              <w:right w:val="single" w:sz="6" w:space="0" w:color="auto"/>
            </w:tcBorders>
          </w:tcPr>
          <w:p w14:paraId="09084F99" w14:textId="5591BF83" w:rsidR="00DE3458" w:rsidRPr="007F67EE" w:rsidRDefault="00E453CD" w:rsidP="00E65D0C">
            <w:pPr>
              <w:pStyle w:val="In-texttable"/>
              <w:tabs>
                <w:tab w:val="left" w:pos="144"/>
              </w:tabs>
              <w:spacing w:line="240" w:lineRule="auto"/>
              <w:rPr>
                <w:del w:id="1526" w:author="AbbVie02no" w:date="2025-05-15T12:36:00Z"/>
                <w:rFonts w:ascii="Times New Roman" w:hAnsi="Times New Roman"/>
                <w:sz w:val="22"/>
                <w:szCs w:val="22"/>
                <w:lang w:val="nb-NO"/>
              </w:rPr>
            </w:pPr>
            <w:del w:id="1527" w:author="AbbVie02no" w:date="2025-05-15T12:36:00Z">
              <w:r w:rsidRPr="007F67EE">
                <w:rPr>
                  <w:rFonts w:ascii="Times New Roman" w:hAnsi="Times New Roman"/>
                  <w:sz w:val="22"/>
                  <w:szCs w:val="22"/>
                  <w:lang w:val="nb-NO"/>
                </w:rPr>
                <w:delText>12 måneder</w:delText>
              </w:r>
            </w:del>
          </w:p>
        </w:tc>
        <w:tc>
          <w:tcPr>
            <w:tcW w:w="875" w:type="dxa"/>
            <w:tcBorders>
              <w:left w:val="single" w:sz="6" w:space="0" w:color="auto"/>
            </w:tcBorders>
          </w:tcPr>
          <w:p w14:paraId="1EE26931" w14:textId="1341CC44" w:rsidR="00DE3458" w:rsidRPr="007F67EE" w:rsidRDefault="00E453CD" w:rsidP="00E65D0C">
            <w:pPr>
              <w:pStyle w:val="In-texttable"/>
              <w:spacing w:line="240" w:lineRule="auto"/>
              <w:jc w:val="center"/>
              <w:rPr>
                <w:del w:id="1528" w:author="AbbVie02no" w:date="2025-05-15T12:36:00Z"/>
                <w:rFonts w:ascii="Times New Roman" w:hAnsi="Times New Roman"/>
                <w:sz w:val="22"/>
                <w:szCs w:val="22"/>
                <w:lang w:val="nb-NO"/>
              </w:rPr>
            </w:pPr>
            <w:del w:id="1529" w:author="AbbVie02no" w:date="2025-05-15T12:36:00Z">
              <w:r w:rsidRPr="007F67EE">
                <w:rPr>
                  <w:rFonts w:ascii="Times New Roman" w:hAnsi="Times New Roman"/>
                  <w:sz w:val="22"/>
                  <w:szCs w:val="22"/>
                  <w:lang w:val="nb-NO"/>
                </w:rPr>
                <w:delText>NA</w:delText>
              </w:r>
            </w:del>
          </w:p>
        </w:tc>
        <w:tc>
          <w:tcPr>
            <w:tcW w:w="1723" w:type="dxa"/>
            <w:tcBorders>
              <w:left w:val="nil"/>
              <w:right w:val="single" w:sz="6" w:space="0" w:color="auto"/>
            </w:tcBorders>
          </w:tcPr>
          <w:p w14:paraId="6EEA30A6" w14:textId="3DBB5F4F" w:rsidR="00DE3458" w:rsidRPr="00193D76" w:rsidRDefault="00E453CD" w:rsidP="00E65D0C">
            <w:pPr>
              <w:pStyle w:val="In-texttable"/>
              <w:spacing w:line="240" w:lineRule="auto"/>
              <w:jc w:val="center"/>
              <w:rPr>
                <w:del w:id="1530" w:author="AbbVie02no" w:date="2025-05-15T12:36:00Z"/>
                <w:rFonts w:ascii="Times New Roman" w:hAnsi="Times New Roman"/>
                <w:sz w:val="22"/>
                <w:szCs w:val="22"/>
                <w:lang w:val="nb-NO"/>
              </w:rPr>
            </w:pPr>
            <w:del w:id="1531" w:author="AbbVie02no" w:date="2025-05-15T12:36:00Z">
              <w:r w:rsidRPr="00193D76">
                <w:rPr>
                  <w:rFonts w:ascii="Times New Roman" w:hAnsi="Times New Roman"/>
                  <w:sz w:val="22"/>
                  <w:szCs w:val="22"/>
                  <w:lang w:val="nb-NO"/>
                </w:rPr>
                <w:delText>NA</w:delText>
              </w:r>
            </w:del>
          </w:p>
        </w:tc>
        <w:tc>
          <w:tcPr>
            <w:tcW w:w="1051" w:type="dxa"/>
            <w:tcBorders>
              <w:left w:val="single" w:sz="6" w:space="0" w:color="auto"/>
            </w:tcBorders>
          </w:tcPr>
          <w:p w14:paraId="295944D2" w14:textId="48078E82" w:rsidR="00DE3458" w:rsidRPr="002D0790" w:rsidRDefault="00E453CD" w:rsidP="00E65D0C">
            <w:pPr>
              <w:pStyle w:val="In-texttable"/>
              <w:spacing w:line="240" w:lineRule="auto"/>
              <w:jc w:val="center"/>
              <w:rPr>
                <w:del w:id="1532" w:author="AbbVie02no" w:date="2025-05-15T12:36:00Z"/>
                <w:rFonts w:ascii="Times New Roman" w:hAnsi="Times New Roman"/>
                <w:sz w:val="22"/>
                <w:szCs w:val="22"/>
                <w:lang w:val="nb-NO"/>
              </w:rPr>
            </w:pPr>
            <w:del w:id="1533" w:author="AbbVie02no" w:date="2025-05-15T12:36:00Z">
              <w:r w:rsidRPr="002D0790">
                <w:rPr>
                  <w:rFonts w:ascii="Times New Roman" w:hAnsi="Times New Roman"/>
                  <w:sz w:val="22"/>
                  <w:szCs w:val="22"/>
                  <w:lang w:val="nb-NO"/>
                </w:rPr>
                <w:delText>NA</w:delText>
              </w:r>
            </w:del>
          </w:p>
        </w:tc>
        <w:tc>
          <w:tcPr>
            <w:tcW w:w="1552" w:type="dxa"/>
            <w:tcBorders>
              <w:left w:val="nil"/>
              <w:right w:val="single" w:sz="6" w:space="0" w:color="auto"/>
            </w:tcBorders>
          </w:tcPr>
          <w:p w14:paraId="60B1F126" w14:textId="55FFDF0C" w:rsidR="00DE3458" w:rsidRPr="002D0790" w:rsidRDefault="00E453CD" w:rsidP="00E65D0C">
            <w:pPr>
              <w:pStyle w:val="In-texttable"/>
              <w:spacing w:line="240" w:lineRule="auto"/>
              <w:jc w:val="center"/>
              <w:rPr>
                <w:del w:id="1534" w:author="AbbVie02no" w:date="2025-05-15T12:36:00Z"/>
                <w:rFonts w:ascii="Times New Roman" w:hAnsi="Times New Roman"/>
                <w:sz w:val="22"/>
                <w:szCs w:val="22"/>
                <w:lang w:val="nb-NO"/>
              </w:rPr>
            </w:pPr>
            <w:del w:id="1535" w:author="AbbVie02no" w:date="2025-05-15T12:36:00Z">
              <w:r w:rsidRPr="002D0790">
                <w:rPr>
                  <w:rFonts w:ascii="Times New Roman" w:hAnsi="Times New Roman"/>
                  <w:sz w:val="22"/>
                  <w:szCs w:val="22"/>
                  <w:lang w:val="nb-NO"/>
                </w:rPr>
                <w:delText>NA</w:delText>
              </w:r>
            </w:del>
          </w:p>
        </w:tc>
        <w:tc>
          <w:tcPr>
            <w:tcW w:w="890" w:type="dxa"/>
            <w:tcBorders>
              <w:left w:val="single" w:sz="6" w:space="0" w:color="auto"/>
            </w:tcBorders>
          </w:tcPr>
          <w:p w14:paraId="257D15E0" w14:textId="592BC14D" w:rsidR="00DE3458" w:rsidRPr="009C5EFD" w:rsidRDefault="00E453CD" w:rsidP="00E65D0C">
            <w:pPr>
              <w:pStyle w:val="In-texttable"/>
              <w:spacing w:line="240" w:lineRule="auto"/>
              <w:jc w:val="center"/>
              <w:rPr>
                <w:del w:id="1536" w:author="AbbVie02no" w:date="2025-05-15T12:36:00Z"/>
                <w:rFonts w:ascii="Times New Roman" w:hAnsi="Times New Roman"/>
                <w:sz w:val="22"/>
                <w:szCs w:val="22"/>
                <w:lang w:val="nb-NO"/>
              </w:rPr>
            </w:pPr>
            <w:del w:id="1537" w:author="AbbVie02no" w:date="2025-05-15T12:36:00Z">
              <w:r w:rsidRPr="00E14E58">
                <w:rPr>
                  <w:rFonts w:ascii="Times New Roman" w:hAnsi="Times New Roman"/>
                  <w:sz w:val="22"/>
                  <w:szCs w:val="22"/>
                  <w:lang w:val="nb-NO"/>
                </w:rPr>
                <w:delText>9,5</w:delText>
              </w:r>
              <w:r w:rsidR="00E51AA9" w:rsidRPr="009C5EFD">
                <w:rPr>
                  <w:rFonts w:ascii="Times New Roman" w:hAnsi="Times New Roman"/>
                  <w:sz w:val="22"/>
                  <w:szCs w:val="22"/>
                  <w:lang w:val="nb-NO"/>
                </w:rPr>
                <w:delText xml:space="preserve"> %</w:delText>
              </w:r>
            </w:del>
          </w:p>
        </w:tc>
        <w:tc>
          <w:tcPr>
            <w:tcW w:w="1723" w:type="dxa"/>
            <w:tcBorders>
              <w:left w:val="nil"/>
            </w:tcBorders>
          </w:tcPr>
          <w:p w14:paraId="4ABCE866" w14:textId="5DDD391B" w:rsidR="00DE3458" w:rsidRPr="009C5EFD" w:rsidRDefault="00E453CD" w:rsidP="00E65D0C">
            <w:pPr>
              <w:pStyle w:val="In-texttable"/>
              <w:spacing w:line="240" w:lineRule="auto"/>
              <w:jc w:val="center"/>
              <w:rPr>
                <w:del w:id="1538" w:author="AbbVie02no" w:date="2025-05-15T12:36:00Z"/>
                <w:rFonts w:ascii="Times New Roman" w:hAnsi="Times New Roman"/>
                <w:sz w:val="22"/>
                <w:szCs w:val="22"/>
                <w:lang w:val="nb-NO"/>
              </w:rPr>
            </w:pPr>
            <w:del w:id="1539" w:author="AbbVie02no" w:date="2025-05-15T12:36:00Z">
              <w:r w:rsidRPr="009C5EFD">
                <w:rPr>
                  <w:rFonts w:ascii="Times New Roman" w:hAnsi="Times New Roman"/>
                  <w:sz w:val="22"/>
                  <w:szCs w:val="22"/>
                  <w:lang w:val="nb-NO"/>
                </w:rPr>
                <w:delText>41,5</w:delText>
              </w:r>
              <w:r w:rsidR="00E51AA9" w:rsidRPr="009C5EFD">
                <w:rPr>
                  <w:rFonts w:ascii="Times New Roman" w:hAnsi="Times New Roman"/>
                  <w:sz w:val="22"/>
                  <w:szCs w:val="22"/>
                  <w:lang w:val="nb-NO"/>
                </w:rPr>
                <w:delText xml:space="preserve"> %</w:delText>
              </w:r>
            </w:del>
          </w:p>
        </w:tc>
      </w:tr>
      <w:tr w:rsidR="004644D4" w14:paraId="6C86DF86" w14:textId="71E79AB6" w:rsidTr="00776A84">
        <w:trPr>
          <w:cantSplit/>
          <w:del w:id="1540" w:author="AbbVie02no" w:date="2025-05-15T12:36:00Z"/>
        </w:trPr>
        <w:tc>
          <w:tcPr>
            <w:tcW w:w="1153" w:type="dxa"/>
            <w:tcBorders>
              <w:right w:val="single" w:sz="6" w:space="0" w:color="auto"/>
            </w:tcBorders>
          </w:tcPr>
          <w:p w14:paraId="5ED70752" w14:textId="79B59FDE" w:rsidR="00DE3458" w:rsidRPr="007F67EE" w:rsidRDefault="00E453CD" w:rsidP="00E65D0C">
            <w:pPr>
              <w:pStyle w:val="In-texttable"/>
              <w:tabs>
                <w:tab w:val="left" w:pos="144"/>
              </w:tabs>
              <w:spacing w:line="240" w:lineRule="auto"/>
              <w:rPr>
                <w:del w:id="1541" w:author="AbbVie02no" w:date="2025-05-15T12:36:00Z"/>
                <w:rFonts w:ascii="Times New Roman" w:hAnsi="Times New Roman"/>
                <w:sz w:val="22"/>
                <w:szCs w:val="22"/>
                <w:lang w:val="nb-NO"/>
              </w:rPr>
            </w:pPr>
            <w:del w:id="1542" w:author="AbbVie02no" w:date="2025-05-15T12:36:00Z">
              <w:r>
                <w:rPr>
                  <w:noProof/>
                  <w:sz w:val="22"/>
                  <w:szCs w:val="22"/>
                  <w:lang w:val="en-GB" w:eastAsia="en-GB"/>
                </w:rPr>
                <mc:AlternateContent>
                  <mc:Choice Requires="wps">
                    <w:drawing>
                      <wp:anchor distT="0" distB="0" distL="114300" distR="114300" simplePos="0" relativeHeight="251658242" behindDoc="0" locked="0" layoutInCell="0" allowOverlap="1" wp14:anchorId="246EADC8" wp14:editId="450DA0C8">
                        <wp:simplePos x="0" y="0"/>
                        <wp:positionH relativeFrom="column">
                          <wp:posOffset>-4972050</wp:posOffset>
                        </wp:positionH>
                        <wp:positionV relativeFrom="paragraph">
                          <wp:posOffset>38735</wp:posOffset>
                        </wp:positionV>
                        <wp:extent cx="3543300" cy="34290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A69CE" w14:textId="77777777" w:rsidR="001F4B85" w:rsidRDefault="001F4B85">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46EADC8" id="_x0000_s1030" type="#_x0000_t202" style="position:absolute;margin-left:-391.5pt;margin-top:3.05pt;width:279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kVfuvrAQAAtwMAAA4AAAAAAAAAAAAAAAAALgIAAGRycy9lMm9Eb2Mu&#10;eG1sUEsBAi0AFAAGAAgAAAAhABUHtmveAAAACgEAAA8AAAAAAAAAAAAAAAAARQQAAGRycy9kb3du&#10;cmV2LnhtbFBLBQYAAAAABAAEAPMAAABQBQAAAAA=&#10;" o:allowincell="f" stroked="f">
                        <v:textbox>
                          <w:txbxContent>
                            <w:p w14:paraId="43FA69CE" w14:textId="77777777" w:rsidR="001F4B85" w:rsidRDefault="001F4B85">
                              <w:pPr>
                                <w:rPr>
                                  <w:sz w:val="20"/>
                                </w:rPr>
                              </w:pPr>
                            </w:p>
                          </w:txbxContent>
                        </v:textbox>
                      </v:shape>
                    </w:pict>
                  </mc:Fallback>
                </mc:AlternateContent>
              </w:r>
              <w:r w:rsidR="00DE3458" w:rsidRPr="007F67EE">
                <w:rPr>
                  <w:rFonts w:ascii="Times New Roman" w:hAnsi="Times New Roman"/>
                  <w:sz w:val="22"/>
                  <w:szCs w:val="22"/>
                  <w:lang w:val="nb-NO"/>
                </w:rPr>
                <w:delText>ACR 70</w:delText>
              </w:r>
            </w:del>
          </w:p>
        </w:tc>
        <w:tc>
          <w:tcPr>
            <w:tcW w:w="875" w:type="dxa"/>
            <w:tcBorders>
              <w:left w:val="single" w:sz="6" w:space="0" w:color="auto"/>
            </w:tcBorders>
          </w:tcPr>
          <w:p w14:paraId="7A40AFC0" w14:textId="47C2FC63" w:rsidR="00DE3458" w:rsidRPr="007F67EE" w:rsidRDefault="00DE3458" w:rsidP="00E65D0C">
            <w:pPr>
              <w:pStyle w:val="In-texttable"/>
              <w:spacing w:line="240" w:lineRule="auto"/>
              <w:jc w:val="center"/>
              <w:rPr>
                <w:del w:id="1543" w:author="AbbVie02no" w:date="2025-05-15T12:36:00Z"/>
                <w:rFonts w:ascii="Times New Roman" w:hAnsi="Times New Roman"/>
                <w:sz w:val="22"/>
                <w:szCs w:val="22"/>
                <w:lang w:val="nb-NO"/>
              </w:rPr>
            </w:pPr>
          </w:p>
        </w:tc>
        <w:tc>
          <w:tcPr>
            <w:tcW w:w="1723" w:type="dxa"/>
            <w:tcBorders>
              <w:left w:val="nil"/>
              <w:right w:val="single" w:sz="6" w:space="0" w:color="auto"/>
            </w:tcBorders>
          </w:tcPr>
          <w:p w14:paraId="1EA34639" w14:textId="1E593BCE" w:rsidR="00DE3458" w:rsidRPr="00193D76" w:rsidRDefault="00DE3458" w:rsidP="00E65D0C">
            <w:pPr>
              <w:pStyle w:val="In-texttable"/>
              <w:spacing w:line="240" w:lineRule="auto"/>
              <w:jc w:val="center"/>
              <w:rPr>
                <w:del w:id="1544" w:author="AbbVie02no" w:date="2025-05-15T12:36:00Z"/>
                <w:rFonts w:ascii="Times New Roman" w:hAnsi="Times New Roman"/>
                <w:sz w:val="22"/>
                <w:szCs w:val="22"/>
                <w:lang w:val="nb-NO"/>
              </w:rPr>
            </w:pPr>
          </w:p>
        </w:tc>
        <w:tc>
          <w:tcPr>
            <w:tcW w:w="1051" w:type="dxa"/>
            <w:tcBorders>
              <w:left w:val="single" w:sz="6" w:space="0" w:color="auto"/>
            </w:tcBorders>
          </w:tcPr>
          <w:p w14:paraId="78C9BAB7" w14:textId="60581F82" w:rsidR="00DE3458" w:rsidRPr="002D0790" w:rsidRDefault="00DE3458" w:rsidP="00E65D0C">
            <w:pPr>
              <w:pStyle w:val="In-texttable"/>
              <w:spacing w:line="240" w:lineRule="auto"/>
              <w:jc w:val="center"/>
              <w:rPr>
                <w:del w:id="1545" w:author="AbbVie02no" w:date="2025-05-15T12:36:00Z"/>
                <w:rFonts w:ascii="Times New Roman" w:hAnsi="Times New Roman"/>
                <w:sz w:val="22"/>
                <w:szCs w:val="22"/>
                <w:lang w:val="nb-NO"/>
              </w:rPr>
            </w:pPr>
          </w:p>
        </w:tc>
        <w:tc>
          <w:tcPr>
            <w:tcW w:w="1552" w:type="dxa"/>
            <w:tcBorders>
              <w:left w:val="nil"/>
              <w:right w:val="single" w:sz="6" w:space="0" w:color="auto"/>
            </w:tcBorders>
          </w:tcPr>
          <w:p w14:paraId="6E0CFFA8" w14:textId="2FBD979E" w:rsidR="00DE3458" w:rsidRPr="002D0790" w:rsidRDefault="00DE3458" w:rsidP="00E65D0C">
            <w:pPr>
              <w:pStyle w:val="In-texttable"/>
              <w:spacing w:line="240" w:lineRule="auto"/>
              <w:jc w:val="center"/>
              <w:rPr>
                <w:del w:id="1546" w:author="AbbVie02no" w:date="2025-05-15T12:36:00Z"/>
                <w:rFonts w:ascii="Times New Roman" w:hAnsi="Times New Roman"/>
                <w:sz w:val="22"/>
                <w:szCs w:val="22"/>
                <w:lang w:val="nb-NO"/>
              </w:rPr>
            </w:pPr>
          </w:p>
        </w:tc>
        <w:tc>
          <w:tcPr>
            <w:tcW w:w="890" w:type="dxa"/>
            <w:tcBorders>
              <w:left w:val="single" w:sz="6" w:space="0" w:color="auto"/>
            </w:tcBorders>
          </w:tcPr>
          <w:p w14:paraId="03B8AF92" w14:textId="176E56A0" w:rsidR="00DE3458" w:rsidRPr="00E14E58" w:rsidRDefault="00DE3458" w:rsidP="00E65D0C">
            <w:pPr>
              <w:pStyle w:val="In-texttable"/>
              <w:spacing w:line="240" w:lineRule="auto"/>
              <w:jc w:val="center"/>
              <w:rPr>
                <w:del w:id="1547" w:author="AbbVie02no" w:date="2025-05-15T12:36:00Z"/>
                <w:rFonts w:ascii="Times New Roman" w:hAnsi="Times New Roman"/>
                <w:sz w:val="22"/>
                <w:szCs w:val="22"/>
                <w:lang w:val="nb-NO"/>
              </w:rPr>
            </w:pPr>
          </w:p>
        </w:tc>
        <w:tc>
          <w:tcPr>
            <w:tcW w:w="1723" w:type="dxa"/>
            <w:tcBorders>
              <w:left w:val="nil"/>
            </w:tcBorders>
          </w:tcPr>
          <w:p w14:paraId="5F3417EE" w14:textId="7EFE03E0" w:rsidR="00DE3458" w:rsidRPr="009C5EFD" w:rsidRDefault="00DE3458" w:rsidP="00E65D0C">
            <w:pPr>
              <w:pStyle w:val="In-texttable"/>
              <w:spacing w:line="240" w:lineRule="auto"/>
              <w:jc w:val="center"/>
              <w:rPr>
                <w:del w:id="1548" w:author="AbbVie02no" w:date="2025-05-15T12:36:00Z"/>
                <w:rFonts w:ascii="Times New Roman" w:hAnsi="Times New Roman"/>
                <w:sz w:val="22"/>
                <w:szCs w:val="22"/>
                <w:lang w:val="nb-NO"/>
              </w:rPr>
            </w:pPr>
          </w:p>
        </w:tc>
      </w:tr>
      <w:tr w:rsidR="004644D4" w14:paraId="34369D66" w14:textId="35A57C37" w:rsidTr="00776A84">
        <w:trPr>
          <w:cantSplit/>
          <w:del w:id="1549" w:author="AbbVie02no" w:date="2025-05-15T12:36:00Z"/>
        </w:trPr>
        <w:tc>
          <w:tcPr>
            <w:tcW w:w="1153" w:type="dxa"/>
            <w:tcBorders>
              <w:right w:val="single" w:sz="6" w:space="0" w:color="auto"/>
            </w:tcBorders>
          </w:tcPr>
          <w:p w14:paraId="0D39FE43" w14:textId="45BC671F" w:rsidR="00DE3458" w:rsidRPr="007F67EE" w:rsidRDefault="00E453CD" w:rsidP="00E65D0C">
            <w:pPr>
              <w:pStyle w:val="In-texttable"/>
              <w:tabs>
                <w:tab w:val="left" w:pos="144"/>
              </w:tabs>
              <w:spacing w:line="240" w:lineRule="auto"/>
              <w:rPr>
                <w:del w:id="1550" w:author="AbbVie02no" w:date="2025-05-15T12:36:00Z"/>
                <w:rFonts w:ascii="Times New Roman" w:hAnsi="Times New Roman"/>
                <w:sz w:val="22"/>
                <w:szCs w:val="22"/>
                <w:lang w:val="nb-NO"/>
              </w:rPr>
            </w:pPr>
            <w:del w:id="1551" w:author="AbbVie02no" w:date="2025-05-15T12:36:00Z">
              <w:r w:rsidRPr="007F67EE">
                <w:rPr>
                  <w:rFonts w:ascii="Times New Roman" w:hAnsi="Times New Roman"/>
                  <w:sz w:val="22"/>
                  <w:szCs w:val="22"/>
                  <w:lang w:val="nb-NO"/>
                </w:rPr>
                <w:delText>6 måneder</w:delText>
              </w:r>
            </w:del>
          </w:p>
        </w:tc>
        <w:tc>
          <w:tcPr>
            <w:tcW w:w="875" w:type="dxa"/>
            <w:tcBorders>
              <w:left w:val="single" w:sz="6" w:space="0" w:color="auto"/>
            </w:tcBorders>
          </w:tcPr>
          <w:p w14:paraId="04DBF715" w14:textId="57DF5B45" w:rsidR="00DE3458" w:rsidRPr="007F67EE" w:rsidRDefault="00E453CD" w:rsidP="00E65D0C">
            <w:pPr>
              <w:pStyle w:val="In-texttable"/>
              <w:spacing w:line="240" w:lineRule="auto"/>
              <w:jc w:val="center"/>
              <w:rPr>
                <w:del w:id="1552" w:author="AbbVie02no" w:date="2025-05-15T12:36:00Z"/>
                <w:rFonts w:ascii="Times New Roman" w:hAnsi="Times New Roman"/>
                <w:sz w:val="22"/>
                <w:szCs w:val="22"/>
                <w:lang w:val="nb-NO"/>
              </w:rPr>
            </w:pPr>
            <w:del w:id="1553" w:author="AbbVie02no" w:date="2025-05-15T12:36:00Z">
              <w:r w:rsidRPr="007F67EE">
                <w:rPr>
                  <w:rFonts w:ascii="Times New Roman" w:hAnsi="Times New Roman"/>
                  <w:sz w:val="22"/>
                  <w:szCs w:val="22"/>
                  <w:lang w:val="nb-NO"/>
                </w:rPr>
                <w:delText>3,3</w:delText>
              </w:r>
              <w:r w:rsidR="00E51AA9" w:rsidRPr="007F67EE">
                <w:rPr>
                  <w:rFonts w:ascii="Times New Roman" w:hAnsi="Times New Roman"/>
                  <w:sz w:val="22"/>
                  <w:szCs w:val="22"/>
                  <w:lang w:val="nb-NO"/>
                </w:rPr>
                <w:delText xml:space="preserve"> %</w:delText>
              </w:r>
            </w:del>
          </w:p>
        </w:tc>
        <w:tc>
          <w:tcPr>
            <w:tcW w:w="1723" w:type="dxa"/>
            <w:tcBorders>
              <w:left w:val="nil"/>
              <w:right w:val="single" w:sz="6" w:space="0" w:color="auto"/>
            </w:tcBorders>
          </w:tcPr>
          <w:p w14:paraId="05A29096" w14:textId="047EB2E9" w:rsidR="00DE3458" w:rsidRPr="009C5EFD" w:rsidRDefault="00E453CD" w:rsidP="00E65D0C">
            <w:pPr>
              <w:pStyle w:val="In-texttable"/>
              <w:spacing w:line="240" w:lineRule="auto"/>
              <w:jc w:val="center"/>
              <w:rPr>
                <w:del w:id="1554" w:author="AbbVie02no" w:date="2025-05-15T12:36:00Z"/>
                <w:rFonts w:ascii="Times New Roman" w:hAnsi="Times New Roman"/>
                <w:sz w:val="22"/>
                <w:szCs w:val="22"/>
                <w:lang w:val="nb-NO"/>
              </w:rPr>
            </w:pPr>
            <w:del w:id="1555" w:author="AbbVie02no" w:date="2025-05-15T12:36:00Z">
              <w:r w:rsidRPr="00193D76">
                <w:rPr>
                  <w:rFonts w:ascii="Times New Roman" w:hAnsi="Times New Roman"/>
                  <w:sz w:val="22"/>
                  <w:szCs w:val="22"/>
                  <w:lang w:val="nb-NO"/>
                </w:rPr>
                <w:delText>23,8</w:delText>
              </w:r>
              <w:r w:rsidR="00E51AA9" w:rsidRPr="009C5EFD">
                <w:rPr>
                  <w:rFonts w:ascii="Times New Roman" w:hAnsi="Times New Roman"/>
                  <w:sz w:val="22"/>
                  <w:szCs w:val="22"/>
                  <w:lang w:val="nb-NO"/>
                </w:rPr>
                <w:delText xml:space="preserve"> %</w:delText>
              </w:r>
            </w:del>
          </w:p>
        </w:tc>
        <w:tc>
          <w:tcPr>
            <w:tcW w:w="1051" w:type="dxa"/>
            <w:tcBorders>
              <w:left w:val="single" w:sz="6" w:space="0" w:color="auto"/>
            </w:tcBorders>
          </w:tcPr>
          <w:p w14:paraId="4891878F" w14:textId="31FC6789" w:rsidR="00DE3458" w:rsidRPr="009C5EFD" w:rsidRDefault="00E453CD" w:rsidP="00E65D0C">
            <w:pPr>
              <w:pStyle w:val="In-texttable"/>
              <w:spacing w:line="240" w:lineRule="auto"/>
              <w:jc w:val="center"/>
              <w:rPr>
                <w:del w:id="1556" w:author="AbbVie02no" w:date="2025-05-15T12:36:00Z"/>
                <w:rFonts w:ascii="Times New Roman" w:hAnsi="Times New Roman"/>
                <w:sz w:val="22"/>
                <w:szCs w:val="22"/>
                <w:lang w:val="nb-NO"/>
              </w:rPr>
            </w:pPr>
            <w:del w:id="1557" w:author="AbbVie02no" w:date="2025-05-15T12:36:00Z">
              <w:r w:rsidRPr="009C5EFD">
                <w:rPr>
                  <w:rFonts w:ascii="Times New Roman" w:hAnsi="Times New Roman"/>
                  <w:sz w:val="22"/>
                  <w:szCs w:val="22"/>
                  <w:lang w:val="nb-NO"/>
                </w:rPr>
                <w:delText>1,8</w:delText>
              </w:r>
              <w:r w:rsidR="00E51AA9" w:rsidRPr="009C5EFD">
                <w:rPr>
                  <w:rFonts w:ascii="Times New Roman" w:hAnsi="Times New Roman"/>
                  <w:sz w:val="22"/>
                  <w:szCs w:val="22"/>
                  <w:lang w:val="nb-NO"/>
                </w:rPr>
                <w:delText xml:space="preserve"> %</w:delText>
              </w:r>
            </w:del>
          </w:p>
        </w:tc>
        <w:tc>
          <w:tcPr>
            <w:tcW w:w="1552" w:type="dxa"/>
            <w:tcBorders>
              <w:left w:val="nil"/>
              <w:right w:val="single" w:sz="6" w:space="0" w:color="auto"/>
            </w:tcBorders>
          </w:tcPr>
          <w:p w14:paraId="120A5437" w14:textId="0DBC86F4" w:rsidR="00DE3458" w:rsidRPr="009C5EFD" w:rsidRDefault="00E453CD" w:rsidP="00E65D0C">
            <w:pPr>
              <w:pStyle w:val="In-texttable"/>
              <w:spacing w:line="240" w:lineRule="auto"/>
              <w:jc w:val="center"/>
              <w:rPr>
                <w:del w:id="1558" w:author="AbbVie02no" w:date="2025-05-15T12:36:00Z"/>
                <w:rFonts w:ascii="Times New Roman" w:hAnsi="Times New Roman"/>
                <w:sz w:val="22"/>
                <w:szCs w:val="22"/>
                <w:lang w:val="nb-NO"/>
              </w:rPr>
            </w:pPr>
            <w:del w:id="1559" w:author="AbbVie02no" w:date="2025-05-15T12:36:00Z">
              <w:r w:rsidRPr="009C5EFD">
                <w:rPr>
                  <w:rFonts w:ascii="Times New Roman" w:hAnsi="Times New Roman"/>
                  <w:sz w:val="22"/>
                  <w:szCs w:val="22"/>
                  <w:lang w:val="nb-NO"/>
                </w:rPr>
                <w:delText>12,4</w:delText>
              </w:r>
              <w:r w:rsidR="00E51AA9" w:rsidRPr="009C5EFD">
                <w:rPr>
                  <w:rFonts w:ascii="Times New Roman" w:hAnsi="Times New Roman"/>
                  <w:sz w:val="22"/>
                  <w:szCs w:val="22"/>
                  <w:lang w:val="nb-NO"/>
                </w:rPr>
                <w:delText xml:space="preserve"> %</w:delText>
              </w:r>
            </w:del>
          </w:p>
        </w:tc>
        <w:tc>
          <w:tcPr>
            <w:tcW w:w="890" w:type="dxa"/>
            <w:tcBorders>
              <w:left w:val="single" w:sz="6" w:space="0" w:color="auto"/>
            </w:tcBorders>
          </w:tcPr>
          <w:p w14:paraId="314D7E99" w14:textId="70F83D57" w:rsidR="00DE3458" w:rsidRPr="009C5EFD" w:rsidRDefault="00E453CD" w:rsidP="00E65D0C">
            <w:pPr>
              <w:pStyle w:val="In-texttable"/>
              <w:spacing w:line="240" w:lineRule="auto"/>
              <w:jc w:val="center"/>
              <w:rPr>
                <w:del w:id="1560" w:author="AbbVie02no" w:date="2025-05-15T12:36:00Z"/>
                <w:rFonts w:ascii="Times New Roman" w:hAnsi="Times New Roman"/>
                <w:sz w:val="22"/>
                <w:szCs w:val="22"/>
                <w:lang w:val="nb-NO"/>
              </w:rPr>
            </w:pPr>
            <w:del w:id="1561" w:author="AbbVie02no" w:date="2025-05-15T12:36:00Z">
              <w:r w:rsidRPr="009C5EFD">
                <w:rPr>
                  <w:rFonts w:ascii="Times New Roman" w:hAnsi="Times New Roman"/>
                  <w:sz w:val="22"/>
                  <w:szCs w:val="22"/>
                  <w:lang w:val="nb-NO"/>
                </w:rPr>
                <w:delText>2,5</w:delText>
              </w:r>
              <w:r w:rsidR="00E51AA9" w:rsidRPr="009C5EFD">
                <w:rPr>
                  <w:rFonts w:ascii="Times New Roman" w:hAnsi="Times New Roman"/>
                  <w:sz w:val="22"/>
                  <w:szCs w:val="22"/>
                  <w:lang w:val="nb-NO"/>
                </w:rPr>
                <w:delText xml:space="preserve"> %</w:delText>
              </w:r>
            </w:del>
          </w:p>
        </w:tc>
        <w:tc>
          <w:tcPr>
            <w:tcW w:w="1723" w:type="dxa"/>
            <w:tcBorders>
              <w:left w:val="nil"/>
            </w:tcBorders>
          </w:tcPr>
          <w:p w14:paraId="04FE8B67" w14:textId="5792CBE9" w:rsidR="00DE3458" w:rsidRPr="009C5EFD" w:rsidRDefault="00E453CD" w:rsidP="00E65D0C">
            <w:pPr>
              <w:pStyle w:val="In-texttable"/>
              <w:spacing w:line="240" w:lineRule="auto"/>
              <w:jc w:val="center"/>
              <w:rPr>
                <w:del w:id="1562" w:author="AbbVie02no" w:date="2025-05-15T12:36:00Z"/>
                <w:rFonts w:ascii="Times New Roman" w:hAnsi="Times New Roman"/>
                <w:sz w:val="22"/>
                <w:szCs w:val="22"/>
                <w:lang w:val="nb-NO"/>
              </w:rPr>
            </w:pPr>
            <w:del w:id="1563" w:author="AbbVie02no" w:date="2025-05-15T12:36:00Z">
              <w:r w:rsidRPr="009C5EFD">
                <w:rPr>
                  <w:rFonts w:ascii="Times New Roman" w:hAnsi="Times New Roman"/>
                  <w:sz w:val="22"/>
                  <w:szCs w:val="22"/>
                  <w:lang w:val="nb-NO"/>
                </w:rPr>
                <w:delText>20,8</w:delText>
              </w:r>
              <w:r w:rsidR="00E51AA9" w:rsidRPr="009C5EFD">
                <w:rPr>
                  <w:rFonts w:ascii="Times New Roman" w:hAnsi="Times New Roman"/>
                  <w:sz w:val="22"/>
                  <w:szCs w:val="22"/>
                  <w:lang w:val="nb-NO"/>
                </w:rPr>
                <w:delText xml:space="preserve"> %</w:delText>
              </w:r>
            </w:del>
          </w:p>
        </w:tc>
      </w:tr>
      <w:tr w:rsidR="004644D4" w14:paraId="2E2341C7" w14:textId="2A54B510" w:rsidTr="00776A84">
        <w:trPr>
          <w:cantSplit/>
          <w:del w:id="1564" w:author="AbbVie02no" w:date="2025-05-15T12:36:00Z"/>
        </w:trPr>
        <w:tc>
          <w:tcPr>
            <w:tcW w:w="1153" w:type="dxa"/>
            <w:tcBorders>
              <w:bottom w:val="single" w:sz="6" w:space="0" w:color="auto"/>
              <w:right w:val="single" w:sz="6" w:space="0" w:color="auto"/>
            </w:tcBorders>
          </w:tcPr>
          <w:p w14:paraId="2E4127A0" w14:textId="63B135D6" w:rsidR="00DE3458" w:rsidRPr="007F67EE" w:rsidRDefault="00E453CD" w:rsidP="00E65D0C">
            <w:pPr>
              <w:pStyle w:val="In-texttable"/>
              <w:tabs>
                <w:tab w:val="left" w:pos="144"/>
              </w:tabs>
              <w:spacing w:line="240" w:lineRule="auto"/>
              <w:rPr>
                <w:del w:id="1565" w:author="AbbVie02no" w:date="2025-05-15T12:36:00Z"/>
                <w:rFonts w:ascii="Times New Roman" w:hAnsi="Times New Roman"/>
                <w:sz w:val="22"/>
                <w:szCs w:val="22"/>
                <w:lang w:val="nb-NO"/>
              </w:rPr>
            </w:pPr>
            <w:del w:id="1566" w:author="AbbVie02no" w:date="2025-05-15T12:36:00Z">
              <w:r w:rsidRPr="007F67EE">
                <w:rPr>
                  <w:rFonts w:ascii="Times New Roman" w:hAnsi="Times New Roman"/>
                  <w:sz w:val="22"/>
                  <w:szCs w:val="22"/>
                  <w:lang w:val="nb-NO"/>
                </w:rPr>
                <w:delText>12 måneder</w:delText>
              </w:r>
            </w:del>
          </w:p>
        </w:tc>
        <w:tc>
          <w:tcPr>
            <w:tcW w:w="875" w:type="dxa"/>
            <w:tcBorders>
              <w:left w:val="single" w:sz="6" w:space="0" w:color="auto"/>
              <w:bottom w:val="single" w:sz="6" w:space="0" w:color="auto"/>
            </w:tcBorders>
          </w:tcPr>
          <w:p w14:paraId="1499E93D" w14:textId="4EE9F024" w:rsidR="00DE3458" w:rsidRPr="007F67EE" w:rsidRDefault="00E453CD" w:rsidP="00E65D0C">
            <w:pPr>
              <w:pStyle w:val="In-texttable"/>
              <w:spacing w:line="240" w:lineRule="auto"/>
              <w:jc w:val="center"/>
              <w:rPr>
                <w:del w:id="1567" w:author="AbbVie02no" w:date="2025-05-15T12:36:00Z"/>
                <w:rFonts w:ascii="Times New Roman" w:hAnsi="Times New Roman"/>
                <w:sz w:val="22"/>
                <w:szCs w:val="22"/>
                <w:lang w:val="nb-NO"/>
              </w:rPr>
            </w:pPr>
            <w:del w:id="1568" w:author="AbbVie02no" w:date="2025-05-15T12:36:00Z">
              <w:r w:rsidRPr="007F67EE">
                <w:rPr>
                  <w:rFonts w:ascii="Times New Roman" w:hAnsi="Times New Roman"/>
                  <w:sz w:val="22"/>
                  <w:szCs w:val="22"/>
                  <w:lang w:val="nb-NO"/>
                </w:rPr>
                <w:delText>NA</w:delText>
              </w:r>
            </w:del>
          </w:p>
        </w:tc>
        <w:tc>
          <w:tcPr>
            <w:tcW w:w="1723" w:type="dxa"/>
            <w:tcBorders>
              <w:left w:val="nil"/>
              <w:bottom w:val="single" w:sz="6" w:space="0" w:color="auto"/>
              <w:right w:val="single" w:sz="6" w:space="0" w:color="auto"/>
            </w:tcBorders>
          </w:tcPr>
          <w:p w14:paraId="6F9580E7" w14:textId="6060D05F" w:rsidR="00DE3458" w:rsidRPr="00193D76" w:rsidRDefault="00E453CD" w:rsidP="00E65D0C">
            <w:pPr>
              <w:pStyle w:val="In-texttable"/>
              <w:spacing w:line="240" w:lineRule="auto"/>
              <w:jc w:val="center"/>
              <w:rPr>
                <w:del w:id="1569" w:author="AbbVie02no" w:date="2025-05-15T12:36:00Z"/>
                <w:rFonts w:ascii="Times New Roman" w:hAnsi="Times New Roman"/>
                <w:sz w:val="22"/>
                <w:szCs w:val="22"/>
                <w:lang w:val="nb-NO"/>
              </w:rPr>
            </w:pPr>
            <w:del w:id="1570" w:author="AbbVie02no" w:date="2025-05-15T12:36:00Z">
              <w:r w:rsidRPr="00193D76">
                <w:rPr>
                  <w:rFonts w:ascii="Times New Roman" w:hAnsi="Times New Roman"/>
                  <w:sz w:val="22"/>
                  <w:szCs w:val="22"/>
                  <w:lang w:val="nb-NO"/>
                </w:rPr>
                <w:delText>NA</w:delText>
              </w:r>
            </w:del>
          </w:p>
        </w:tc>
        <w:tc>
          <w:tcPr>
            <w:tcW w:w="1051" w:type="dxa"/>
            <w:tcBorders>
              <w:left w:val="single" w:sz="6" w:space="0" w:color="auto"/>
              <w:bottom w:val="single" w:sz="6" w:space="0" w:color="auto"/>
            </w:tcBorders>
          </w:tcPr>
          <w:p w14:paraId="557F2384" w14:textId="50FC0305" w:rsidR="00DE3458" w:rsidRPr="002D0790" w:rsidRDefault="00E453CD" w:rsidP="00E65D0C">
            <w:pPr>
              <w:pStyle w:val="In-texttable"/>
              <w:spacing w:line="240" w:lineRule="auto"/>
              <w:jc w:val="center"/>
              <w:rPr>
                <w:del w:id="1571" w:author="AbbVie02no" w:date="2025-05-15T12:36:00Z"/>
                <w:rFonts w:ascii="Times New Roman" w:hAnsi="Times New Roman"/>
                <w:sz w:val="22"/>
                <w:szCs w:val="22"/>
                <w:lang w:val="nb-NO"/>
              </w:rPr>
            </w:pPr>
            <w:del w:id="1572" w:author="AbbVie02no" w:date="2025-05-15T12:36:00Z">
              <w:r w:rsidRPr="002D0790">
                <w:rPr>
                  <w:rFonts w:ascii="Times New Roman" w:hAnsi="Times New Roman"/>
                  <w:sz w:val="22"/>
                  <w:szCs w:val="22"/>
                  <w:lang w:val="nb-NO"/>
                </w:rPr>
                <w:delText>NA</w:delText>
              </w:r>
            </w:del>
          </w:p>
        </w:tc>
        <w:tc>
          <w:tcPr>
            <w:tcW w:w="1552" w:type="dxa"/>
            <w:tcBorders>
              <w:left w:val="nil"/>
              <w:bottom w:val="single" w:sz="6" w:space="0" w:color="auto"/>
              <w:right w:val="single" w:sz="6" w:space="0" w:color="auto"/>
            </w:tcBorders>
          </w:tcPr>
          <w:p w14:paraId="098253B3" w14:textId="5485F2D7" w:rsidR="00DE3458" w:rsidRPr="002D0790" w:rsidRDefault="00E453CD" w:rsidP="00E65D0C">
            <w:pPr>
              <w:pStyle w:val="In-texttable"/>
              <w:spacing w:line="240" w:lineRule="auto"/>
              <w:jc w:val="center"/>
              <w:rPr>
                <w:del w:id="1573" w:author="AbbVie02no" w:date="2025-05-15T12:36:00Z"/>
                <w:rFonts w:ascii="Times New Roman" w:hAnsi="Times New Roman"/>
                <w:sz w:val="22"/>
                <w:szCs w:val="22"/>
                <w:lang w:val="nb-NO"/>
              </w:rPr>
            </w:pPr>
            <w:del w:id="1574" w:author="AbbVie02no" w:date="2025-05-15T12:36:00Z">
              <w:r w:rsidRPr="002D0790">
                <w:rPr>
                  <w:rFonts w:ascii="Times New Roman" w:hAnsi="Times New Roman"/>
                  <w:sz w:val="22"/>
                  <w:szCs w:val="22"/>
                  <w:lang w:val="nb-NO"/>
                </w:rPr>
                <w:delText>NA</w:delText>
              </w:r>
            </w:del>
          </w:p>
        </w:tc>
        <w:tc>
          <w:tcPr>
            <w:tcW w:w="890" w:type="dxa"/>
            <w:tcBorders>
              <w:left w:val="single" w:sz="6" w:space="0" w:color="auto"/>
              <w:bottom w:val="single" w:sz="6" w:space="0" w:color="auto"/>
            </w:tcBorders>
          </w:tcPr>
          <w:p w14:paraId="67D1BE36" w14:textId="163607D5" w:rsidR="00DE3458" w:rsidRPr="009C5EFD" w:rsidRDefault="00E453CD" w:rsidP="00E65D0C">
            <w:pPr>
              <w:pStyle w:val="In-texttable"/>
              <w:spacing w:line="240" w:lineRule="auto"/>
              <w:jc w:val="center"/>
              <w:rPr>
                <w:del w:id="1575" w:author="AbbVie02no" w:date="2025-05-15T12:36:00Z"/>
                <w:rFonts w:ascii="Times New Roman" w:hAnsi="Times New Roman"/>
                <w:sz w:val="22"/>
                <w:szCs w:val="22"/>
                <w:lang w:val="nb-NO"/>
              </w:rPr>
            </w:pPr>
            <w:del w:id="1576" w:author="AbbVie02no" w:date="2025-05-15T12:36:00Z">
              <w:r w:rsidRPr="00E14E58">
                <w:rPr>
                  <w:rFonts w:ascii="Times New Roman" w:hAnsi="Times New Roman"/>
                  <w:sz w:val="22"/>
                  <w:szCs w:val="22"/>
                  <w:lang w:val="nb-NO"/>
                </w:rPr>
                <w:delText>4,5</w:delText>
              </w:r>
              <w:r w:rsidR="00E51AA9" w:rsidRPr="009C5EFD">
                <w:rPr>
                  <w:rFonts w:ascii="Times New Roman" w:hAnsi="Times New Roman"/>
                  <w:sz w:val="22"/>
                  <w:szCs w:val="22"/>
                  <w:lang w:val="nb-NO"/>
                </w:rPr>
                <w:delText xml:space="preserve"> %</w:delText>
              </w:r>
            </w:del>
          </w:p>
        </w:tc>
        <w:tc>
          <w:tcPr>
            <w:tcW w:w="1723" w:type="dxa"/>
            <w:tcBorders>
              <w:left w:val="nil"/>
              <w:bottom w:val="single" w:sz="6" w:space="0" w:color="auto"/>
            </w:tcBorders>
          </w:tcPr>
          <w:p w14:paraId="747B02B1" w14:textId="399BD55A" w:rsidR="00DE3458" w:rsidRPr="009C5EFD" w:rsidRDefault="00E453CD" w:rsidP="00E65D0C">
            <w:pPr>
              <w:pStyle w:val="In-texttable"/>
              <w:spacing w:line="240" w:lineRule="auto"/>
              <w:jc w:val="center"/>
              <w:rPr>
                <w:del w:id="1577" w:author="AbbVie02no" w:date="2025-05-15T12:36:00Z"/>
                <w:rFonts w:ascii="Times New Roman" w:hAnsi="Times New Roman"/>
                <w:sz w:val="22"/>
                <w:szCs w:val="22"/>
                <w:lang w:val="nb-NO"/>
              </w:rPr>
            </w:pPr>
            <w:del w:id="1578" w:author="AbbVie02no" w:date="2025-05-15T12:36:00Z">
              <w:r w:rsidRPr="009C5EFD">
                <w:rPr>
                  <w:rFonts w:ascii="Times New Roman" w:hAnsi="Times New Roman"/>
                  <w:sz w:val="22"/>
                  <w:szCs w:val="22"/>
                  <w:lang w:val="nb-NO"/>
                </w:rPr>
                <w:delText>23,2</w:delText>
              </w:r>
              <w:r w:rsidR="00E51AA9" w:rsidRPr="009C5EFD">
                <w:rPr>
                  <w:rFonts w:ascii="Times New Roman" w:hAnsi="Times New Roman"/>
                  <w:sz w:val="22"/>
                  <w:szCs w:val="22"/>
                  <w:lang w:val="nb-NO"/>
                </w:rPr>
                <w:delText xml:space="preserve"> %</w:delText>
              </w:r>
            </w:del>
          </w:p>
        </w:tc>
      </w:tr>
      <w:tr w:rsidR="004644D4" w14:paraId="5ED5D9D7" w14:textId="5532D740" w:rsidTr="00944308">
        <w:trPr>
          <w:cantSplit/>
          <w:del w:id="1579" w:author="AbbVie02no" w:date="2025-05-15T12:36:00Z"/>
        </w:trPr>
        <w:tc>
          <w:tcPr>
            <w:tcW w:w="8967" w:type="dxa"/>
            <w:gridSpan w:val="7"/>
          </w:tcPr>
          <w:p w14:paraId="199F4457" w14:textId="1E4C8296" w:rsidR="00DE3458" w:rsidRPr="007F67EE" w:rsidRDefault="00E453CD" w:rsidP="00E65D0C">
            <w:pPr>
              <w:pStyle w:val="In-textfootnote"/>
              <w:spacing w:before="0" w:line="240" w:lineRule="auto"/>
              <w:ind w:left="144" w:hanging="144"/>
              <w:rPr>
                <w:del w:id="1580" w:author="AbbVie02no" w:date="2025-05-15T12:36:00Z"/>
                <w:rFonts w:ascii="Times New Roman" w:hAnsi="Times New Roman"/>
                <w:sz w:val="22"/>
                <w:szCs w:val="22"/>
                <w:lang w:val="nb-NO"/>
              </w:rPr>
            </w:pPr>
            <w:del w:id="1581" w:author="AbbVie02no" w:date="2025-05-15T12:36:00Z">
              <w:r w:rsidRPr="007F67EE">
                <w:rPr>
                  <w:rFonts w:ascii="Times New Roman" w:hAnsi="Times New Roman"/>
                  <w:sz w:val="22"/>
                  <w:szCs w:val="22"/>
                  <w:vertAlign w:val="superscript"/>
                  <w:lang w:val="nb-NO"/>
                </w:rPr>
                <w:delText>a</w:delText>
              </w:r>
              <w:r w:rsidRPr="007F67EE">
                <w:rPr>
                  <w:rFonts w:ascii="Times New Roman" w:hAnsi="Times New Roman"/>
                  <w:sz w:val="22"/>
                  <w:szCs w:val="22"/>
                  <w:lang w:val="nb-NO"/>
                </w:rPr>
                <w:tab/>
                <w:delText>RA-studie I ved 24 uker, RA-studie II ved 26 uker og RA-studie III ved 24 og 52 uker</w:delText>
              </w:r>
            </w:del>
          </w:p>
          <w:p w14:paraId="0E0D774E" w14:textId="4F2AF7D3" w:rsidR="00DE3458" w:rsidRPr="007F67EE" w:rsidRDefault="00E453CD" w:rsidP="00E65D0C">
            <w:pPr>
              <w:pStyle w:val="In-textfootnote"/>
              <w:spacing w:before="0" w:line="240" w:lineRule="auto"/>
              <w:ind w:left="144" w:hanging="144"/>
              <w:rPr>
                <w:del w:id="1582" w:author="AbbVie02no" w:date="2025-05-15T12:36:00Z"/>
                <w:rFonts w:ascii="Times New Roman" w:hAnsi="Times New Roman"/>
                <w:sz w:val="22"/>
                <w:szCs w:val="22"/>
                <w:lang w:val="nb-NO"/>
              </w:rPr>
            </w:pPr>
            <w:del w:id="1583" w:author="AbbVie02no" w:date="2025-05-15T12:36:00Z">
              <w:r w:rsidRPr="007F67EE">
                <w:rPr>
                  <w:rFonts w:ascii="Times New Roman" w:hAnsi="Times New Roman"/>
                  <w:sz w:val="22"/>
                  <w:szCs w:val="22"/>
                  <w:vertAlign w:val="superscript"/>
                  <w:lang w:val="nb-NO"/>
                </w:rPr>
                <w:delText>b</w:delText>
              </w:r>
              <w:r w:rsidRPr="007F67EE">
                <w:rPr>
                  <w:rFonts w:ascii="Times New Roman" w:hAnsi="Times New Roman"/>
                  <w:sz w:val="22"/>
                  <w:szCs w:val="22"/>
                  <w:lang w:val="nb-NO"/>
                </w:rPr>
                <w:tab/>
                <w:delText>40 mg Humira administrert annenhver uke</w:delText>
              </w:r>
            </w:del>
          </w:p>
          <w:p w14:paraId="35A69991" w14:textId="72EB9F0D" w:rsidR="00DE3458" w:rsidRPr="001F5D4B" w:rsidRDefault="00E453CD" w:rsidP="00E65D0C">
            <w:pPr>
              <w:pStyle w:val="In-textfootnote"/>
              <w:spacing w:before="0" w:line="240" w:lineRule="auto"/>
              <w:ind w:left="144" w:hanging="144"/>
              <w:rPr>
                <w:del w:id="1584" w:author="AbbVie02no" w:date="2025-05-15T12:36:00Z"/>
                <w:rFonts w:ascii="Times New Roman" w:hAnsi="Times New Roman"/>
                <w:sz w:val="22"/>
                <w:szCs w:val="22"/>
                <w:lang w:val="sv-SE"/>
              </w:rPr>
            </w:pPr>
            <w:del w:id="1585" w:author="AbbVie02no" w:date="2025-05-15T12:36:00Z">
              <w:r w:rsidRPr="001F5D4B">
                <w:rPr>
                  <w:rFonts w:ascii="Times New Roman" w:hAnsi="Times New Roman"/>
                  <w:sz w:val="22"/>
                  <w:szCs w:val="22"/>
                  <w:vertAlign w:val="superscript"/>
                  <w:lang w:val="sv-SE"/>
                </w:rPr>
                <w:delText>c</w:delText>
              </w:r>
              <w:r w:rsidRPr="001F5D4B">
                <w:rPr>
                  <w:rFonts w:ascii="Times New Roman" w:hAnsi="Times New Roman"/>
                  <w:sz w:val="22"/>
                  <w:szCs w:val="22"/>
                  <w:lang w:val="sv-SE"/>
                </w:rPr>
                <w:delText xml:space="preserve"> MTX = metotreksat</w:delText>
              </w:r>
            </w:del>
          </w:p>
          <w:p w14:paraId="535E2C49" w14:textId="6892722B" w:rsidR="00DE3458" w:rsidRPr="001F5D4B" w:rsidRDefault="00E453CD" w:rsidP="00E65D0C">
            <w:pPr>
              <w:pStyle w:val="In-textfootnote"/>
              <w:spacing w:before="0" w:line="240" w:lineRule="auto"/>
              <w:ind w:left="144" w:hanging="144"/>
              <w:rPr>
                <w:del w:id="1586" w:author="AbbVie02no" w:date="2025-05-15T12:36:00Z"/>
                <w:rFonts w:ascii="Times New Roman" w:hAnsi="Times New Roman"/>
                <w:sz w:val="22"/>
                <w:szCs w:val="22"/>
                <w:lang w:val="sv-SE"/>
              </w:rPr>
            </w:pPr>
            <w:del w:id="1587" w:author="AbbVie02no" w:date="2025-05-15T12:36:00Z">
              <w:r w:rsidRPr="001F5D4B">
                <w:rPr>
                  <w:rFonts w:ascii="Times New Roman" w:hAnsi="Times New Roman"/>
                  <w:sz w:val="22"/>
                  <w:szCs w:val="22"/>
                  <w:lang w:val="sv-SE"/>
                </w:rPr>
                <w:delText xml:space="preserve">**p &lt; 0,01, Humira </w:delText>
              </w:r>
              <w:r w:rsidRPr="001F5D4B">
                <w:rPr>
                  <w:rFonts w:ascii="Times New Roman" w:hAnsi="Times New Roman"/>
                  <w:i/>
                  <w:sz w:val="22"/>
                  <w:szCs w:val="22"/>
                  <w:lang w:val="sv-SE"/>
                </w:rPr>
                <w:delText>versus</w:delText>
              </w:r>
              <w:r w:rsidRPr="001F5D4B">
                <w:rPr>
                  <w:rFonts w:ascii="Times New Roman" w:hAnsi="Times New Roman"/>
                  <w:sz w:val="22"/>
                  <w:szCs w:val="22"/>
                  <w:lang w:val="sv-SE"/>
                </w:rPr>
                <w:delText xml:space="preserve"> placebo</w:delText>
              </w:r>
            </w:del>
          </w:p>
        </w:tc>
      </w:tr>
    </w:tbl>
    <w:p w14:paraId="4D12E778" w14:textId="1A78A737" w:rsidR="00DE3458" w:rsidRPr="001F5D4B" w:rsidRDefault="00DE3458" w:rsidP="007F67EE">
      <w:pPr>
        <w:rPr>
          <w:del w:id="1588" w:author="AbbVie02no" w:date="2025-05-15T12:36:00Z"/>
          <w:sz w:val="22"/>
          <w:szCs w:val="22"/>
          <w:lang w:val="sv-SE"/>
        </w:rPr>
      </w:pPr>
    </w:p>
    <w:p w14:paraId="6946C2AE" w14:textId="5513266E" w:rsidR="00DE3458" w:rsidRPr="009C5EFD" w:rsidRDefault="00E453CD" w:rsidP="007F67EE">
      <w:pPr>
        <w:rPr>
          <w:del w:id="1589" w:author="AbbVie02no" w:date="2025-05-15T12:36:00Z"/>
          <w:sz w:val="22"/>
          <w:szCs w:val="22"/>
        </w:rPr>
      </w:pPr>
      <w:del w:id="1590" w:author="AbbVie02no" w:date="2025-05-15T12:36:00Z">
        <w:r w:rsidRPr="002D0790">
          <w:rPr>
            <w:sz w:val="22"/>
            <w:szCs w:val="22"/>
          </w:rPr>
          <w:delText>I RA-studiene I-IV var det be</w:delText>
        </w:r>
        <w:r w:rsidRPr="00E14E58">
          <w:rPr>
            <w:sz w:val="22"/>
            <w:szCs w:val="22"/>
          </w:rPr>
          <w:delText>dring etter 24 og 26 uker sammenlignet med placebo av alle individuelle komponenter for ACR-responskriteriene (antall ømme og hovne ledd, legens og pasientens vurdering av sykdomsaktivitet og smerte, uførhetsindeks (HAQ) og CRP-verdier (mg/dl)). I RA-studi</w:delText>
        </w:r>
        <w:r w:rsidRPr="009C5EFD">
          <w:rPr>
            <w:sz w:val="22"/>
            <w:szCs w:val="22"/>
          </w:rPr>
          <w:delText xml:space="preserve">e III vedvarte disse forbedringene frem til uke 52. </w:delText>
        </w:r>
      </w:del>
    </w:p>
    <w:p w14:paraId="5AA7701D" w14:textId="5AB61E67" w:rsidR="007F0857" w:rsidRPr="009C5EFD" w:rsidRDefault="007F0857" w:rsidP="00193D76">
      <w:pPr>
        <w:rPr>
          <w:del w:id="1591" w:author="AbbVie02no" w:date="2025-05-15T12:36:00Z"/>
          <w:sz w:val="22"/>
          <w:szCs w:val="22"/>
        </w:rPr>
      </w:pPr>
    </w:p>
    <w:p w14:paraId="6484FFBF" w14:textId="488A17A3" w:rsidR="007F0857" w:rsidRPr="009C5EFD" w:rsidRDefault="00E453CD" w:rsidP="002D0790">
      <w:pPr>
        <w:rPr>
          <w:del w:id="1592" w:author="AbbVie02no" w:date="2025-05-15T12:36:00Z"/>
          <w:sz w:val="22"/>
          <w:szCs w:val="22"/>
        </w:rPr>
      </w:pPr>
      <w:del w:id="1593" w:author="AbbVie02no" w:date="2025-05-15T12:36:00Z">
        <w:r w:rsidRPr="009C5EFD">
          <w:rPr>
            <w:sz w:val="22"/>
            <w:szCs w:val="22"/>
          </w:rPr>
          <w:delText xml:space="preserve">I den åpne forlengelsen av RA-studie III, vedlikeholdt de fleste pasientene som var ACR respondere sin respons ved oppfølging i opptil 10 år. Av 207 pasienter </w:delText>
        </w:r>
        <w:r w:rsidR="00906729" w:rsidRPr="009C5EFD">
          <w:rPr>
            <w:sz w:val="22"/>
            <w:szCs w:val="22"/>
          </w:rPr>
          <w:delText xml:space="preserve">som ble randomisert </w:delText>
        </w:r>
        <w:r w:rsidR="00E94731" w:rsidRPr="009C5EFD">
          <w:rPr>
            <w:sz w:val="22"/>
            <w:szCs w:val="22"/>
          </w:rPr>
          <w:delText xml:space="preserve">til </w:delText>
        </w:r>
        <w:r w:rsidR="005F74C3" w:rsidRPr="009C5EFD">
          <w:rPr>
            <w:sz w:val="22"/>
            <w:szCs w:val="22"/>
          </w:rPr>
          <w:delText xml:space="preserve">40 mg </w:delText>
        </w:r>
        <w:r w:rsidR="00E94731" w:rsidRPr="009C5EFD">
          <w:rPr>
            <w:sz w:val="22"/>
            <w:szCs w:val="22"/>
          </w:rPr>
          <w:delText>Humir</w:delText>
        </w:r>
        <w:r w:rsidR="00906729" w:rsidRPr="009C5EFD">
          <w:rPr>
            <w:sz w:val="22"/>
            <w:szCs w:val="22"/>
          </w:rPr>
          <w:delText xml:space="preserve">a annenhver uke, </w:delText>
        </w:r>
        <w:r w:rsidRPr="009C5EFD">
          <w:rPr>
            <w:sz w:val="22"/>
            <w:szCs w:val="22"/>
          </w:rPr>
          <w:delText xml:space="preserve">fortsatte 114 pasienter behandling med </w:delText>
        </w:r>
        <w:r w:rsidR="005F74C3" w:rsidRPr="009C5EFD">
          <w:rPr>
            <w:sz w:val="22"/>
            <w:szCs w:val="22"/>
          </w:rPr>
          <w:delText xml:space="preserve">40 mg </w:delText>
        </w:r>
        <w:r w:rsidRPr="009C5EFD">
          <w:rPr>
            <w:sz w:val="22"/>
            <w:szCs w:val="22"/>
          </w:rPr>
          <w:delText xml:space="preserve">Humira annenhver uke i 5 år. Blant disse hadde 86 pasienter (75,4 %) ACR </w:delText>
        </w:r>
        <w:r w:rsidR="00EC5A19">
          <w:rPr>
            <w:sz w:val="22"/>
            <w:szCs w:val="22"/>
          </w:rPr>
          <w:delText>20-respons</w:delText>
        </w:r>
        <w:r w:rsidRPr="009C5EFD">
          <w:rPr>
            <w:sz w:val="22"/>
            <w:szCs w:val="22"/>
          </w:rPr>
          <w:delText>, 72 pasienter (63,2 %) hadde ACR 50</w:delText>
        </w:r>
        <w:r w:rsidR="00EC5A19">
          <w:rPr>
            <w:sz w:val="22"/>
            <w:szCs w:val="22"/>
          </w:rPr>
          <w:noBreakHyphen/>
        </w:r>
        <w:r w:rsidRPr="009C5EFD">
          <w:rPr>
            <w:sz w:val="22"/>
            <w:szCs w:val="22"/>
          </w:rPr>
          <w:delText>respons og 41 pasienter (36</w:delText>
        </w:r>
        <w:r w:rsidR="000E3524" w:rsidRPr="009C5EFD">
          <w:rPr>
            <w:sz w:val="22"/>
            <w:szCs w:val="22"/>
          </w:rPr>
          <w:delText>,0</w:delText>
        </w:r>
        <w:r w:rsidRPr="009C5EFD">
          <w:rPr>
            <w:sz w:val="22"/>
            <w:szCs w:val="22"/>
          </w:rPr>
          <w:delText xml:space="preserve"> %) hadde ACR 70</w:delText>
        </w:r>
        <w:r w:rsidR="00EC5A19">
          <w:rPr>
            <w:sz w:val="22"/>
            <w:szCs w:val="22"/>
          </w:rPr>
          <w:noBreakHyphen/>
        </w:r>
        <w:r w:rsidRPr="009C5EFD">
          <w:rPr>
            <w:sz w:val="22"/>
            <w:szCs w:val="22"/>
          </w:rPr>
          <w:delText xml:space="preserve">respons. Av 207 pasienter fortsatte 81 </w:delText>
        </w:r>
        <w:r w:rsidR="003B49EC">
          <w:rPr>
            <w:sz w:val="22"/>
            <w:szCs w:val="22"/>
          </w:rPr>
          <w:delText xml:space="preserve">pasienter </w:delText>
        </w:r>
        <w:r w:rsidR="002353DA">
          <w:rPr>
            <w:sz w:val="22"/>
            <w:szCs w:val="22"/>
          </w:rPr>
          <w:delText>med</w:delText>
        </w:r>
        <w:r w:rsidR="000E3524" w:rsidRPr="009C5EFD">
          <w:rPr>
            <w:sz w:val="22"/>
            <w:szCs w:val="22"/>
          </w:rPr>
          <w:delText xml:space="preserve"> </w:delText>
        </w:r>
        <w:r w:rsidR="00FE0CE7" w:rsidRPr="009C5EFD">
          <w:rPr>
            <w:sz w:val="22"/>
            <w:szCs w:val="22"/>
          </w:rPr>
          <w:delText xml:space="preserve">40 mg </w:delText>
        </w:r>
        <w:r w:rsidR="000E3524" w:rsidRPr="009C5EFD">
          <w:rPr>
            <w:sz w:val="22"/>
            <w:szCs w:val="22"/>
          </w:rPr>
          <w:delText>Humira annenhver uke i 10 år. Blant disse hadde 64 pasienter (79,0 %) ACR 20</w:delText>
        </w:r>
        <w:r w:rsidR="00EC5A19">
          <w:rPr>
            <w:sz w:val="22"/>
            <w:szCs w:val="22"/>
          </w:rPr>
          <w:noBreakHyphen/>
        </w:r>
        <w:r w:rsidR="000E3524" w:rsidRPr="009C5EFD">
          <w:rPr>
            <w:sz w:val="22"/>
            <w:szCs w:val="22"/>
          </w:rPr>
          <w:delText>respons, 56 pasienter (69,1 %) hadde ACR 50</w:delText>
        </w:r>
        <w:r w:rsidR="00EC5A19">
          <w:rPr>
            <w:sz w:val="22"/>
            <w:szCs w:val="22"/>
          </w:rPr>
          <w:noBreakHyphen/>
        </w:r>
        <w:r w:rsidR="000E3524" w:rsidRPr="009C5EFD">
          <w:rPr>
            <w:sz w:val="22"/>
            <w:szCs w:val="22"/>
          </w:rPr>
          <w:delText>respons og 43 pasienter (53,1 %) hadde ACR 70</w:delText>
        </w:r>
        <w:r w:rsidR="00EC5A19">
          <w:rPr>
            <w:sz w:val="22"/>
            <w:szCs w:val="22"/>
          </w:rPr>
          <w:noBreakHyphen/>
        </w:r>
        <w:r w:rsidR="000E3524" w:rsidRPr="009C5EFD">
          <w:rPr>
            <w:sz w:val="22"/>
            <w:szCs w:val="22"/>
          </w:rPr>
          <w:delText>respons.</w:delText>
        </w:r>
        <w:r w:rsidRPr="009C5EFD">
          <w:rPr>
            <w:sz w:val="22"/>
            <w:szCs w:val="22"/>
          </w:rPr>
          <w:delText xml:space="preserve"> </w:delText>
        </w:r>
      </w:del>
    </w:p>
    <w:p w14:paraId="5D541BDA" w14:textId="74B9A50C" w:rsidR="00DE3458" w:rsidRPr="009C5EFD" w:rsidRDefault="00DE3458" w:rsidP="002D0790">
      <w:pPr>
        <w:rPr>
          <w:del w:id="1594" w:author="AbbVie02no" w:date="2025-05-15T12:36:00Z"/>
          <w:sz w:val="22"/>
          <w:szCs w:val="22"/>
        </w:rPr>
      </w:pPr>
    </w:p>
    <w:p w14:paraId="7EBD4F63" w14:textId="71ABABA4" w:rsidR="00DE3458" w:rsidRPr="009C5EFD" w:rsidRDefault="00E453CD" w:rsidP="00E14E58">
      <w:pPr>
        <w:rPr>
          <w:del w:id="1595" w:author="AbbVie02no" w:date="2025-05-15T12:36:00Z"/>
          <w:sz w:val="22"/>
          <w:szCs w:val="22"/>
        </w:rPr>
      </w:pPr>
      <w:del w:id="1596" w:author="AbbVie02no" w:date="2025-05-15T12:36:00Z">
        <w:r w:rsidRPr="009C5EFD">
          <w:rPr>
            <w:sz w:val="22"/>
            <w:szCs w:val="22"/>
          </w:rPr>
          <w:delText xml:space="preserve">I RA-studie IV var ACR 20-respons hos pasienter som fikk Humira samt standardomsorg statistisk signifikant bedre enn hos pasienter som fikk placebo samt standardomsorg (p &lt; 0,001). </w:delText>
        </w:r>
      </w:del>
    </w:p>
    <w:p w14:paraId="3F9B76F6" w14:textId="61E49DB9" w:rsidR="00DE3458" w:rsidRPr="009C5EFD" w:rsidRDefault="00DE3458" w:rsidP="009C5EFD">
      <w:pPr>
        <w:rPr>
          <w:del w:id="1597" w:author="AbbVie02no" w:date="2025-05-15T12:36:00Z"/>
          <w:sz w:val="22"/>
          <w:szCs w:val="22"/>
        </w:rPr>
      </w:pPr>
    </w:p>
    <w:p w14:paraId="4A2F87B8" w14:textId="4A56185F" w:rsidR="00DE3458" w:rsidRPr="009C5EFD" w:rsidRDefault="00E453CD" w:rsidP="009C5EFD">
      <w:pPr>
        <w:rPr>
          <w:del w:id="1598" w:author="AbbVie02no" w:date="2025-05-15T12:36:00Z"/>
          <w:sz w:val="22"/>
          <w:szCs w:val="22"/>
        </w:rPr>
      </w:pPr>
      <w:del w:id="1599" w:author="AbbVie02no" w:date="2025-05-15T12:36:00Z">
        <w:r w:rsidRPr="009C5EFD">
          <w:rPr>
            <w:sz w:val="22"/>
            <w:szCs w:val="22"/>
          </w:rPr>
          <w:delText xml:space="preserve">I RA-studiene I-IV oppnådde Humira-behandlede pasienter statistisk signifikant ACR 20- og 50-respons sammenlignet med placebo så tidlig som en til to uker etter at behandlingen var initiert. </w:delText>
        </w:r>
      </w:del>
    </w:p>
    <w:p w14:paraId="1C767B35" w14:textId="63F1C44F" w:rsidR="00DE3458" w:rsidRPr="009C5EFD" w:rsidRDefault="00DE3458" w:rsidP="009C5EFD">
      <w:pPr>
        <w:rPr>
          <w:del w:id="1600" w:author="AbbVie02no" w:date="2025-05-15T12:36:00Z"/>
          <w:sz w:val="22"/>
          <w:szCs w:val="22"/>
        </w:rPr>
      </w:pPr>
    </w:p>
    <w:p w14:paraId="0861602C" w14:textId="3842A4CD" w:rsidR="00DE3458" w:rsidRPr="009C5EFD" w:rsidRDefault="00E453CD" w:rsidP="009C5EFD">
      <w:pPr>
        <w:rPr>
          <w:del w:id="1601" w:author="AbbVie02no" w:date="2025-05-15T12:36:00Z"/>
          <w:sz w:val="22"/>
          <w:szCs w:val="22"/>
        </w:rPr>
      </w:pPr>
      <w:del w:id="1602" w:author="AbbVie02no" w:date="2025-05-15T12:36:00Z">
        <w:r w:rsidRPr="009C5EFD">
          <w:rPr>
            <w:sz w:val="22"/>
            <w:szCs w:val="22"/>
          </w:rPr>
          <w:delText>I RA-studie V med pasienter med tidlig revmatoid artritt</w:delText>
        </w:r>
        <w:r w:rsidR="008A216F" w:rsidRPr="009C5EFD">
          <w:rPr>
            <w:sz w:val="22"/>
            <w:szCs w:val="22"/>
          </w:rPr>
          <w:delText xml:space="preserve"> og</w:delText>
        </w:r>
        <w:r w:rsidRPr="009C5EFD">
          <w:rPr>
            <w:sz w:val="22"/>
            <w:szCs w:val="22"/>
          </w:rPr>
          <w:delText xml:space="preserve"> som ikke tidligere var behandlet med metotreksat, førte kombinasjonsbehandlingen med Humira og metotreksat til raskere og signifikant større ACR-responser enn metotreksat monoterapi </w:delText>
        </w:r>
        <w:r w:rsidR="00CB4543">
          <w:rPr>
            <w:sz w:val="22"/>
            <w:szCs w:val="22"/>
          </w:rPr>
          <w:delText xml:space="preserve">og Humira monoterapi </w:delText>
        </w:r>
        <w:r w:rsidRPr="009C5EFD">
          <w:rPr>
            <w:sz w:val="22"/>
            <w:szCs w:val="22"/>
          </w:rPr>
          <w:delText xml:space="preserve">ved uke 52, og responsene vedvarte ved uke 104 (se </w:delText>
        </w:r>
        <w:r w:rsidR="00EF2122" w:rsidRPr="009C5EFD">
          <w:rPr>
            <w:sz w:val="22"/>
            <w:szCs w:val="22"/>
          </w:rPr>
          <w:delText>t</w:delText>
        </w:r>
        <w:r w:rsidRPr="009C5EFD">
          <w:rPr>
            <w:sz w:val="22"/>
            <w:szCs w:val="22"/>
          </w:rPr>
          <w:delText xml:space="preserve">abell </w:delText>
        </w:r>
        <w:r w:rsidR="00DC39C9">
          <w:rPr>
            <w:sz w:val="22"/>
            <w:szCs w:val="22"/>
          </w:rPr>
          <w:delText>9</w:delText>
        </w:r>
        <w:r w:rsidRPr="009C5EFD">
          <w:rPr>
            <w:sz w:val="22"/>
            <w:szCs w:val="22"/>
          </w:rPr>
          <w:delText>).</w:delText>
        </w:r>
      </w:del>
    </w:p>
    <w:p w14:paraId="1AB32924" w14:textId="6FB90DBC" w:rsidR="00232766" w:rsidRPr="009C5EFD" w:rsidRDefault="00232766" w:rsidP="009C5EFD">
      <w:pPr>
        <w:rPr>
          <w:del w:id="1603" w:author="AbbVie02no" w:date="2025-05-15T12:36:00Z"/>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1718"/>
        <w:gridCol w:w="1320"/>
        <w:gridCol w:w="1320"/>
        <w:gridCol w:w="1576"/>
        <w:gridCol w:w="1100"/>
        <w:gridCol w:w="1173"/>
        <w:gridCol w:w="1038"/>
        <w:gridCol w:w="9"/>
        <w:gridCol w:w="174"/>
      </w:tblGrid>
      <w:tr w:rsidR="004644D4" w14:paraId="6F5D2FAB" w14:textId="0036E7A7" w:rsidTr="00AF70AD">
        <w:trPr>
          <w:gridBefore w:val="1"/>
          <w:wBefore w:w="6" w:type="dxa"/>
          <w:cantSplit/>
          <w:trHeight w:val="641"/>
          <w:jc w:val="center"/>
          <w:del w:id="1604" w:author="AbbVie02no" w:date="2025-05-15T12:36:00Z"/>
        </w:trPr>
        <w:tc>
          <w:tcPr>
            <w:tcW w:w="9428" w:type="dxa"/>
            <w:gridSpan w:val="9"/>
            <w:tcBorders>
              <w:top w:val="nil"/>
              <w:left w:val="nil"/>
              <w:bottom w:val="nil"/>
              <w:right w:val="nil"/>
            </w:tcBorders>
            <w:vAlign w:val="center"/>
          </w:tcPr>
          <w:p w14:paraId="663E038C" w14:textId="255FA8C3" w:rsidR="00DE3458" w:rsidRPr="009C5EFD" w:rsidRDefault="00E453CD" w:rsidP="00E65D0C">
            <w:pPr>
              <w:pStyle w:val="BodyText"/>
              <w:keepNext/>
              <w:tabs>
                <w:tab w:val="left" w:pos="3600"/>
                <w:tab w:val="center" w:pos="5760"/>
              </w:tabs>
              <w:jc w:val="center"/>
              <w:rPr>
                <w:del w:id="1605" w:author="AbbVie02no" w:date="2025-05-15T12:36:00Z"/>
                <w:noProof w:val="0"/>
                <w:szCs w:val="22"/>
              </w:rPr>
            </w:pPr>
            <w:del w:id="1606" w:author="AbbVie02no" w:date="2025-05-15T12:36:00Z">
              <w:r w:rsidRPr="009C5EFD">
                <w:rPr>
                  <w:noProof w:val="0"/>
                  <w:szCs w:val="22"/>
                </w:rPr>
                <w:lastRenderedPageBreak/>
                <w:delText xml:space="preserve">Tabell </w:delText>
              </w:r>
              <w:r w:rsidR="00DC39C9">
                <w:rPr>
                  <w:noProof w:val="0"/>
                  <w:szCs w:val="22"/>
                </w:rPr>
                <w:delText xml:space="preserve">9 </w:delText>
              </w:r>
              <w:r w:rsidRPr="009C5EFD">
                <w:rPr>
                  <w:noProof w:val="0"/>
                  <w:szCs w:val="22"/>
                </w:rPr>
                <w:delText>ACR-responser i RA-studie V</w:delText>
              </w:r>
            </w:del>
          </w:p>
          <w:p w14:paraId="741AF7E9" w14:textId="03A9F902" w:rsidR="00C86542" w:rsidRPr="009C5EFD" w:rsidRDefault="00E453CD" w:rsidP="00E65D0C">
            <w:pPr>
              <w:pStyle w:val="BodyText"/>
              <w:keepNext/>
              <w:tabs>
                <w:tab w:val="left" w:pos="3600"/>
                <w:tab w:val="center" w:pos="5760"/>
              </w:tabs>
              <w:jc w:val="center"/>
              <w:rPr>
                <w:del w:id="1607" w:author="AbbVie02no" w:date="2025-05-15T12:36:00Z"/>
                <w:i/>
                <w:caps/>
                <w:noProof w:val="0"/>
                <w:szCs w:val="22"/>
              </w:rPr>
            </w:pPr>
            <w:del w:id="1608" w:author="AbbVie02no" w:date="2025-05-15T12:36:00Z">
              <w:r w:rsidRPr="009C5EFD">
                <w:rPr>
                  <w:noProof w:val="0"/>
                  <w:szCs w:val="22"/>
                </w:rPr>
                <w:delText>(prosent av pasientene</w:delText>
              </w:r>
              <w:r w:rsidRPr="009C5EFD">
                <w:rPr>
                  <w:caps/>
                  <w:noProof w:val="0"/>
                  <w:szCs w:val="22"/>
                </w:rPr>
                <w:delText>)</w:delText>
              </w:r>
            </w:del>
          </w:p>
          <w:p w14:paraId="49A58E9E" w14:textId="2AC26F5C" w:rsidR="00DE3458" w:rsidRPr="009C5EFD" w:rsidRDefault="00DE3458" w:rsidP="00E65D0C">
            <w:pPr>
              <w:pStyle w:val="BodyText"/>
              <w:keepNext/>
              <w:tabs>
                <w:tab w:val="left" w:pos="3600"/>
                <w:tab w:val="center" w:pos="5760"/>
              </w:tabs>
              <w:jc w:val="center"/>
              <w:rPr>
                <w:del w:id="1609" w:author="AbbVie02no" w:date="2025-05-15T12:36:00Z"/>
                <w:i/>
                <w:noProof w:val="0"/>
                <w:szCs w:val="22"/>
              </w:rPr>
            </w:pPr>
          </w:p>
        </w:tc>
      </w:tr>
      <w:tr w:rsidR="004644D4" w14:paraId="24BAC210" w14:textId="3DAAD590" w:rsidTr="00AF70AD">
        <w:trPr>
          <w:gridAfter w:val="2"/>
          <w:wAfter w:w="183" w:type="dxa"/>
          <w:cantSplit/>
          <w:jc w:val="center"/>
          <w:del w:id="1610" w:author="AbbVie02no" w:date="2025-05-15T12:36:00Z"/>
        </w:trPr>
        <w:tc>
          <w:tcPr>
            <w:tcW w:w="1724" w:type="dxa"/>
            <w:gridSpan w:val="2"/>
          </w:tcPr>
          <w:p w14:paraId="64FA9F04" w14:textId="2025B5CE" w:rsidR="00DE3458" w:rsidRPr="001F5D4B" w:rsidRDefault="00E453CD" w:rsidP="00E65D0C">
            <w:pPr>
              <w:keepNext/>
              <w:rPr>
                <w:del w:id="1611" w:author="AbbVie02no" w:date="2025-05-15T12:36:00Z"/>
                <w:b/>
                <w:sz w:val="22"/>
                <w:szCs w:val="22"/>
              </w:rPr>
            </w:pPr>
            <w:del w:id="1612" w:author="AbbVie02no" w:date="2025-05-15T12:36:00Z">
              <w:r w:rsidRPr="001F5D4B">
                <w:rPr>
                  <w:b/>
                  <w:sz w:val="22"/>
                  <w:szCs w:val="22"/>
                </w:rPr>
                <w:delText>Respons</w:delText>
              </w:r>
            </w:del>
          </w:p>
        </w:tc>
        <w:tc>
          <w:tcPr>
            <w:tcW w:w="1320" w:type="dxa"/>
            <w:tcBorders>
              <w:bottom w:val="single" w:sz="4" w:space="0" w:color="auto"/>
            </w:tcBorders>
          </w:tcPr>
          <w:p w14:paraId="7DB34BDE" w14:textId="11CC2A9E" w:rsidR="00DE3458" w:rsidRPr="001F5D4B" w:rsidRDefault="00E453CD" w:rsidP="00E65D0C">
            <w:pPr>
              <w:keepNext/>
              <w:jc w:val="center"/>
              <w:rPr>
                <w:del w:id="1613" w:author="AbbVie02no" w:date="2025-05-15T12:36:00Z"/>
                <w:b/>
                <w:sz w:val="22"/>
                <w:szCs w:val="22"/>
              </w:rPr>
            </w:pPr>
            <w:del w:id="1614" w:author="AbbVie02no" w:date="2025-05-15T12:36:00Z">
              <w:r w:rsidRPr="001F5D4B">
                <w:rPr>
                  <w:b/>
                  <w:sz w:val="22"/>
                  <w:szCs w:val="22"/>
                </w:rPr>
                <w:delText>MTX</w:delText>
              </w:r>
            </w:del>
          </w:p>
          <w:p w14:paraId="627287AC" w14:textId="66844D99" w:rsidR="00DE3458" w:rsidRPr="001F5D4B" w:rsidRDefault="00E453CD" w:rsidP="00E65D0C">
            <w:pPr>
              <w:pStyle w:val="EndnoteText"/>
              <w:keepNext/>
              <w:jc w:val="center"/>
              <w:rPr>
                <w:del w:id="1615" w:author="AbbVie02no" w:date="2025-05-15T12:36:00Z"/>
                <w:b/>
                <w:szCs w:val="22"/>
                <w:lang w:val="nb-NO"/>
              </w:rPr>
            </w:pPr>
            <w:del w:id="1616" w:author="AbbVie02no" w:date="2025-05-15T12:36:00Z">
              <w:r w:rsidRPr="001F5D4B">
                <w:rPr>
                  <w:b/>
                  <w:szCs w:val="22"/>
                  <w:lang w:val="nb-NO"/>
                </w:rPr>
                <w:delText>n=257</w:delText>
              </w:r>
            </w:del>
          </w:p>
        </w:tc>
        <w:tc>
          <w:tcPr>
            <w:tcW w:w="1320" w:type="dxa"/>
            <w:tcBorders>
              <w:bottom w:val="single" w:sz="4" w:space="0" w:color="auto"/>
            </w:tcBorders>
          </w:tcPr>
          <w:p w14:paraId="5ECBAD6B" w14:textId="689E5005" w:rsidR="00DE3458" w:rsidRPr="001F5D4B" w:rsidRDefault="00E453CD" w:rsidP="00E65D0C">
            <w:pPr>
              <w:keepNext/>
              <w:jc w:val="center"/>
              <w:rPr>
                <w:del w:id="1617" w:author="AbbVie02no" w:date="2025-05-15T12:36:00Z"/>
                <w:b/>
                <w:sz w:val="22"/>
                <w:szCs w:val="22"/>
              </w:rPr>
            </w:pPr>
            <w:del w:id="1618" w:author="AbbVie02no" w:date="2025-05-15T12:36:00Z">
              <w:r w:rsidRPr="001F5D4B">
                <w:rPr>
                  <w:b/>
                  <w:sz w:val="22"/>
                  <w:szCs w:val="22"/>
                </w:rPr>
                <w:delText>Humira</w:delText>
              </w:r>
            </w:del>
          </w:p>
          <w:p w14:paraId="46C8DD34" w14:textId="2B5CCA5B" w:rsidR="00DE3458" w:rsidRPr="001F5D4B" w:rsidRDefault="00E453CD" w:rsidP="00E65D0C">
            <w:pPr>
              <w:keepNext/>
              <w:jc w:val="center"/>
              <w:rPr>
                <w:del w:id="1619" w:author="AbbVie02no" w:date="2025-05-15T12:36:00Z"/>
                <w:b/>
                <w:sz w:val="22"/>
                <w:szCs w:val="22"/>
              </w:rPr>
            </w:pPr>
            <w:del w:id="1620" w:author="AbbVie02no" w:date="2025-05-15T12:36:00Z">
              <w:r w:rsidRPr="001F5D4B">
                <w:rPr>
                  <w:b/>
                  <w:sz w:val="22"/>
                  <w:szCs w:val="22"/>
                </w:rPr>
                <w:delText>n=274</w:delText>
              </w:r>
            </w:del>
          </w:p>
        </w:tc>
        <w:tc>
          <w:tcPr>
            <w:tcW w:w="1576" w:type="dxa"/>
            <w:tcBorders>
              <w:bottom w:val="single" w:sz="4" w:space="0" w:color="auto"/>
            </w:tcBorders>
          </w:tcPr>
          <w:p w14:paraId="22DAECFC" w14:textId="24D133A0" w:rsidR="00DE3458" w:rsidRPr="001F5D4B" w:rsidRDefault="00E453CD" w:rsidP="00E65D0C">
            <w:pPr>
              <w:keepNext/>
              <w:jc w:val="center"/>
              <w:rPr>
                <w:del w:id="1621" w:author="AbbVie02no" w:date="2025-05-15T12:36:00Z"/>
                <w:b/>
                <w:sz w:val="22"/>
                <w:szCs w:val="22"/>
              </w:rPr>
            </w:pPr>
            <w:del w:id="1622" w:author="AbbVie02no" w:date="2025-05-15T12:36:00Z">
              <w:r w:rsidRPr="001F5D4B">
                <w:rPr>
                  <w:b/>
                  <w:sz w:val="22"/>
                  <w:szCs w:val="22"/>
                </w:rPr>
                <w:delText>Humira/MTX</w:delText>
              </w:r>
            </w:del>
          </w:p>
          <w:p w14:paraId="43C231E6" w14:textId="54BB9F33" w:rsidR="00DE3458" w:rsidRPr="001F5D4B" w:rsidRDefault="00E453CD" w:rsidP="00E65D0C">
            <w:pPr>
              <w:keepNext/>
              <w:jc w:val="center"/>
              <w:rPr>
                <w:del w:id="1623" w:author="AbbVie02no" w:date="2025-05-15T12:36:00Z"/>
                <w:b/>
                <w:sz w:val="22"/>
                <w:szCs w:val="22"/>
              </w:rPr>
            </w:pPr>
            <w:del w:id="1624" w:author="AbbVie02no" w:date="2025-05-15T12:36:00Z">
              <w:r w:rsidRPr="001F5D4B">
                <w:rPr>
                  <w:b/>
                  <w:sz w:val="22"/>
                  <w:szCs w:val="22"/>
                </w:rPr>
                <w:delText>n=268</w:delText>
              </w:r>
            </w:del>
          </w:p>
        </w:tc>
        <w:tc>
          <w:tcPr>
            <w:tcW w:w="1100" w:type="dxa"/>
            <w:tcBorders>
              <w:bottom w:val="single" w:sz="4" w:space="0" w:color="auto"/>
            </w:tcBorders>
          </w:tcPr>
          <w:p w14:paraId="0C0120CB" w14:textId="5A932774" w:rsidR="00DE3458" w:rsidRPr="001F5D4B" w:rsidRDefault="00E453CD" w:rsidP="00E65D0C">
            <w:pPr>
              <w:pStyle w:val="EndnoteText"/>
              <w:keepNext/>
              <w:jc w:val="center"/>
              <w:rPr>
                <w:del w:id="1625" w:author="AbbVie02no" w:date="2025-05-15T12:36:00Z"/>
                <w:b/>
                <w:szCs w:val="22"/>
                <w:lang w:val="nb-NO"/>
              </w:rPr>
            </w:pPr>
            <w:del w:id="1626" w:author="AbbVie02no" w:date="2025-05-15T12:36:00Z">
              <w:r w:rsidRPr="001F5D4B">
                <w:rPr>
                  <w:b/>
                  <w:szCs w:val="22"/>
                  <w:lang w:val="nb-NO"/>
                </w:rPr>
                <w:delText>p-verdi</w:delText>
              </w:r>
              <w:r w:rsidRPr="001F5D4B">
                <w:rPr>
                  <w:b/>
                  <w:szCs w:val="22"/>
                  <w:vertAlign w:val="superscript"/>
                  <w:lang w:val="nb-NO"/>
                </w:rPr>
                <w:delText>a</w:delText>
              </w:r>
            </w:del>
          </w:p>
        </w:tc>
        <w:tc>
          <w:tcPr>
            <w:tcW w:w="1173" w:type="dxa"/>
            <w:tcBorders>
              <w:bottom w:val="single" w:sz="4" w:space="0" w:color="auto"/>
            </w:tcBorders>
          </w:tcPr>
          <w:p w14:paraId="2253D63A" w14:textId="6E3392D0" w:rsidR="00DE3458" w:rsidRPr="001F5D4B" w:rsidRDefault="00E453CD" w:rsidP="00E65D0C">
            <w:pPr>
              <w:keepNext/>
              <w:jc w:val="center"/>
              <w:rPr>
                <w:del w:id="1627" w:author="AbbVie02no" w:date="2025-05-15T12:36:00Z"/>
                <w:b/>
                <w:sz w:val="22"/>
                <w:szCs w:val="22"/>
              </w:rPr>
            </w:pPr>
            <w:del w:id="1628" w:author="AbbVie02no" w:date="2025-05-15T12:36:00Z">
              <w:r w:rsidRPr="001F5D4B">
                <w:rPr>
                  <w:b/>
                  <w:sz w:val="22"/>
                  <w:szCs w:val="22"/>
                </w:rPr>
                <w:delText>p-verdi</w:delText>
              </w:r>
              <w:r w:rsidRPr="001F5D4B">
                <w:rPr>
                  <w:b/>
                  <w:sz w:val="22"/>
                  <w:szCs w:val="22"/>
                  <w:vertAlign w:val="superscript"/>
                </w:rPr>
                <w:delText>b</w:delText>
              </w:r>
            </w:del>
          </w:p>
        </w:tc>
        <w:tc>
          <w:tcPr>
            <w:tcW w:w="1038" w:type="dxa"/>
          </w:tcPr>
          <w:p w14:paraId="054E37AE" w14:textId="6E89F5E2" w:rsidR="00DE3458" w:rsidRPr="001F5D4B" w:rsidRDefault="00E453CD" w:rsidP="00E65D0C">
            <w:pPr>
              <w:keepNext/>
              <w:jc w:val="center"/>
              <w:rPr>
                <w:del w:id="1629" w:author="AbbVie02no" w:date="2025-05-15T12:36:00Z"/>
                <w:b/>
                <w:sz w:val="22"/>
                <w:szCs w:val="22"/>
              </w:rPr>
            </w:pPr>
            <w:del w:id="1630" w:author="AbbVie02no" w:date="2025-05-15T12:36:00Z">
              <w:r w:rsidRPr="001F5D4B">
                <w:rPr>
                  <w:b/>
                  <w:sz w:val="22"/>
                  <w:szCs w:val="22"/>
                </w:rPr>
                <w:delText>p-verdi</w:delText>
              </w:r>
              <w:r w:rsidRPr="001F5D4B">
                <w:rPr>
                  <w:b/>
                  <w:sz w:val="22"/>
                  <w:szCs w:val="22"/>
                  <w:vertAlign w:val="superscript"/>
                </w:rPr>
                <w:delText>c</w:delText>
              </w:r>
            </w:del>
          </w:p>
        </w:tc>
      </w:tr>
      <w:tr w:rsidR="004644D4" w14:paraId="2931FAFE" w14:textId="20014C5F" w:rsidTr="00AF70AD">
        <w:trPr>
          <w:gridAfter w:val="2"/>
          <w:wAfter w:w="183" w:type="dxa"/>
          <w:cantSplit/>
          <w:jc w:val="center"/>
          <w:del w:id="1631" w:author="AbbVie02no" w:date="2025-05-15T12:36:00Z"/>
        </w:trPr>
        <w:tc>
          <w:tcPr>
            <w:tcW w:w="1724" w:type="dxa"/>
            <w:gridSpan w:val="2"/>
            <w:tcBorders>
              <w:right w:val="single" w:sz="4" w:space="0" w:color="auto"/>
            </w:tcBorders>
          </w:tcPr>
          <w:p w14:paraId="2BB3ADF7" w14:textId="094D9134" w:rsidR="00DE3458" w:rsidRPr="007F67EE" w:rsidRDefault="00E453CD" w:rsidP="00E65D0C">
            <w:pPr>
              <w:keepNext/>
              <w:rPr>
                <w:del w:id="1632" w:author="AbbVie02no" w:date="2025-05-15T12:36:00Z"/>
                <w:sz w:val="22"/>
                <w:szCs w:val="22"/>
              </w:rPr>
            </w:pPr>
            <w:del w:id="1633" w:author="AbbVie02no" w:date="2025-05-15T12:36:00Z">
              <w:r w:rsidRPr="007F67EE">
                <w:rPr>
                  <w:sz w:val="22"/>
                  <w:szCs w:val="22"/>
                </w:rPr>
                <w:delText>ACR 20</w:delText>
              </w:r>
            </w:del>
          </w:p>
        </w:tc>
        <w:tc>
          <w:tcPr>
            <w:tcW w:w="1320" w:type="dxa"/>
            <w:tcBorders>
              <w:left w:val="single" w:sz="4" w:space="0" w:color="auto"/>
              <w:right w:val="single" w:sz="4" w:space="0" w:color="auto"/>
            </w:tcBorders>
          </w:tcPr>
          <w:p w14:paraId="2725A184" w14:textId="7FC837A7" w:rsidR="00DE3458" w:rsidRPr="007F67EE" w:rsidRDefault="00DE3458" w:rsidP="00E65D0C">
            <w:pPr>
              <w:keepNext/>
              <w:jc w:val="center"/>
              <w:rPr>
                <w:del w:id="1634" w:author="AbbVie02no" w:date="2025-05-15T12:36:00Z"/>
                <w:sz w:val="22"/>
                <w:szCs w:val="22"/>
              </w:rPr>
            </w:pPr>
          </w:p>
        </w:tc>
        <w:tc>
          <w:tcPr>
            <w:tcW w:w="1320" w:type="dxa"/>
            <w:tcBorders>
              <w:left w:val="single" w:sz="4" w:space="0" w:color="auto"/>
              <w:right w:val="single" w:sz="4" w:space="0" w:color="auto"/>
            </w:tcBorders>
          </w:tcPr>
          <w:p w14:paraId="69B2150D" w14:textId="3F0BF19C" w:rsidR="00DE3458" w:rsidRPr="00193D76" w:rsidRDefault="00DE3458" w:rsidP="00E65D0C">
            <w:pPr>
              <w:keepNext/>
              <w:jc w:val="center"/>
              <w:rPr>
                <w:del w:id="1635" w:author="AbbVie02no" w:date="2025-05-15T12:36:00Z"/>
                <w:sz w:val="22"/>
                <w:szCs w:val="22"/>
              </w:rPr>
            </w:pPr>
          </w:p>
        </w:tc>
        <w:tc>
          <w:tcPr>
            <w:tcW w:w="1576" w:type="dxa"/>
            <w:tcBorders>
              <w:left w:val="single" w:sz="4" w:space="0" w:color="auto"/>
              <w:right w:val="single" w:sz="4" w:space="0" w:color="auto"/>
            </w:tcBorders>
          </w:tcPr>
          <w:p w14:paraId="6FDE743A" w14:textId="4840D5E6" w:rsidR="00DE3458" w:rsidRPr="002D0790" w:rsidRDefault="00DE3458" w:rsidP="00E65D0C">
            <w:pPr>
              <w:keepNext/>
              <w:jc w:val="center"/>
              <w:rPr>
                <w:del w:id="1636" w:author="AbbVie02no" w:date="2025-05-15T12:36:00Z"/>
                <w:sz w:val="22"/>
                <w:szCs w:val="22"/>
              </w:rPr>
            </w:pPr>
          </w:p>
        </w:tc>
        <w:tc>
          <w:tcPr>
            <w:tcW w:w="1100" w:type="dxa"/>
            <w:tcBorders>
              <w:left w:val="single" w:sz="4" w:space="0" w:color="auto"/>
              <w:right w:val="single" w:sz="4" w:space="0" w:color="auto"/>
            </w:tcBorders>
          </w:tcPr>
          <w:p w14:paraId="441DD379" w14:textId="7A5AA56E" w:rsidR="00DE3458" w:rsidRPr="002D0790" w:rsidRDefault="00DE3458" w:rsidP="00E65D0C">
            <w:pPr>
              <w:keepNext/>
              <w:jc w:val="center"/>
              <w:rPr>
                <w:del w:id="1637" w:author="AbbVie02no" w:date="2025-05-15T12:36:00Z"/>
                <w:sz w:val="22"/>
                <w:szCs w:val="22"/>
              </w:rPr>
            </w:pPr>
          </w:p>
        </w:tc>
        <w:tc>
          <w:tcPr>
            <w:tcW w:w="1173" w:type="dxa"/>
            <w:tcBorders>
              <w:left w:val="single" w:sz="4" w:space="0" w:color="auto"/>
              <w:right w:val="single" w:sz="4" w:space="0" w:color="auto"/>
            </w:tcBorders>
          </w:tcPr>
          <w:p w14:paraId="4746B348" w14:textId="028954BE" w:rsidR="00DE3458" w:rsidRPr="00E14E58" w:rsidRDefault="00DE3458" w:rsidP="00E65D0C">
            <w:pPr>
              <w:keepNext/>
              <w:jc w:val="center"/>
              <w:rPr>
                <w:del w:id="1638" w:author="AbbVie02no" w:date="2025-05-15T12:36:00Z"/>
                <w:sz w:val="22"/>
                <w:szCs w:val="22"/>
              </w:rPr>
            </w:pPr>
          </w:p>
        </w:tc>
        <w:tc>
          <w:tcPr>
            <w:tcW w:w="1038" w:type="dxa"/>
            <w:tcBorders>
              <w:left w:val="single" w:sz="4" w:space="0" w:color="auto"/>
            </w:tcBorders>
          </w:tcPr>
          <w:p w14:paraId="7E58A153" w14:textId="6984A02A" w:rsidR="00DE3458" w:rsidRPr="009C5EFD" w:rsidRDefault="00DE3458" w:rsidP="00E65D0C">
            <w:pPr>
              <w:keepNext/>
              <w:jc w:val="center"/>
              <w:rPr>
                <w:del w:id="1639" w:author="AbbVie02no" w:date="2025-05-15T12:36:00Z"/>
                <w:sz w:val="22"/>
                <w:szCs w:val="22"/>
              </w:rPr>
            </w:pPr>
          </w:p>
        </w:tc>
      </w:tr>
      <w:tr w:rsidR="004644D4" w14:paraId="0BBA48AD" w14:textId="0684F4E9" w:rsidTr="00AF70AD">
        <w:trPr>
          <w:gridAfter w:val="2"/>
          <w:wAfter w:w="183" w:type="dxa"/>
          <w:cantSplit/>
          <w:jc w:val="center"/>
          <w:del w:id="1640" w:author="AbbVie02no" w:date="2025-05-15T12:36:00Z"/>
        </w:trPr>
        <w:tc>
          <w:tcPr>
            <w:tcW w:w="1724" w:type="dxa"/>
            <w:gridSpan w:val="2"/>
            <w:tcBorders>
              <w:right w:val="single" w:sz="4" w:space="0" w:color="auto"/>
            </w:tcBorders>
          </w:tcPr>
          <w:p w14:paraId="7D76B644" w14:textId="3D9EDA32" w:rsidR="00DE3458" w:rsidRPr="009C5EFD" w:rsidRDefault="00E453CD" w:rsidP="00E65D0C">
            <w:pPr>
              <w:keepNext/>
              <w:rPr>
                <w:del w:id="1641" w:author="AbbVie02no" w:date="2025-05-15T12:36:00Z"/>
                <w:sz w:val="22"/>
                <w:szCs w:val="22"/>
              </w:rPr>
            </w:pPr>
            <w:del w:id="1642" w:author="AbbVie02no" w:date="2025-05-15T12:36:00Z">
              <w:r w:rsidRPr="009C5EFD">
                <w:rPr>
                  <w:sz w:val="22"/>
                  <w:szCs w:val="22"/>
                </w:rPr>
                <w:delText>Uke 52</w:delText>
              </w:r>
            </w:del>
          </w:p>
        </w:tc>
        <w:tc>
          <w:tcPr>
            <w:tcW w:w="1320" w:type="dxa"/>
            <w:tcBorders>
              <w:left w:val="single" w:sz="4" w:space="0" w:color="auto"/>
              <w:right w:val="single" w:sz="4" w:space="0" w:color="auto"/>
            </w:tcBorders>
          </w:tcPr>
          <w:p w14:paraId="4E3B404B" w14:textId="0D2D5340" w:rsidR="00DE3458" w:rsidRPr="009C5EFD" w:rsidRDefault="00E453CD" w:rsidP="00E65D0C">
            <w:pPr>
              <w:keepNext/>
              <w:jc w:val="center"/>
              <w:rPr>
                <w:del w:id="1643" w:author="AbbVie02no" w:date="2025-05-15T12:36:00Z"/>
                <w:sz w:val="22"/>
                <w:szCs w:val="22"/>
              </w:rPr>
            </w:pPr>
            <w:del w:id="1644" w:author="AbbVie02no" w:date="2025-05-15T12:36:00Z">
              <w:r w:rsidRPr="009C5EFD">
                <w:rPr>
                  <w:sz w:val="22"/>
                  <w:szCs w:val="22"/>
                </w:rPr>
                <w:delText>62,6</w:delText>
              </w:r>
              <w:r w:rsidR="00E51AA9" w:rsidRPr="009C5EFD">
                <w:rPr>
                  <w:sz w:val="22"/>
                  <w:szCs w:val="22"/>
                </w:rPr>
                <w:delText xml:space="preserve"> %</w:delText>
              </w:r>
            </w:del>
          </w:p>
        </w:tc>
        <w:tc>
          <w:tcPr>
            <w:tcW w:w="1320" w:type="dxa"/>
            <w:tcBorders>
              <w:left w:val="single" w:sz="4" w:space="0" w:color="auto"/>
              <w:right w:val="single" w:sz="4" w:space="0" w:color="auto"/>
            </w:tcBorders>
          </w:tcPr>
          <w:p w14:paraId="521E652C" w14:textId="353B05D6" w:rsidR="00DE3458" w:rsidRPr="009C5EFD" w:rsidRDefault="00E453CD" w:rsidP="00E65D0C">
            <w:pPr>
              <w:keepNext/>
              <w:jc w:val="center"/>
              <w:rPr>
                <w:del w:id="1645" w:author="AbbVie02no" w:date="2025-05-15T12:36:00Z"/>
                <w:sz w:val="22"/>
                <w:szCs w:val="22"/>
              </w:rPr>
            </w:pPr>
            <w:del w:id="1646" w:author="AbbVie02no" w:date="2025-05-15T12:36:00Z">
              <w:r w:rsidRPr="009C5EFD">
                <w:rPr>
                  <w:sz w:val="22"/>
                  <w:szCs w:val="22"/>
                </w:rPr>
                <w:delText>54,4</w:delText>
              </w:r>
              <w:r w:rsidR="00E51AA9" w:rsidRPr="009C5EFD">
                <w:rPr>
                  <w:sz w:val="22"/>
                  <w:szCs w:val="22"/>
                </w:rPr>
                <w:delText xml:space="preserve"> %</w:delText>
              </w:r>
            </w:del>
          </w:p>
        </w:tc>
        <w:tc>
          <w:tcPr>
            <w:tcW w:w="1576" w:type="dxa"/>
            <w:tcBorders>
              <w:left w:val="single" w:sz="4" w:space="0" w:color="auto"/>
              <w:right w:val="single" w:sz="4" w:space="0" w:color="auto"/>
            </w:tcBorders>
          </w:tcPr>
          <w:p w14:paraId="731C2059" w14:textId="6FBFCD6B" w:rsidR="00DE3458" w:rsidRPr="009C5EFD" w:rsidRDefault="00E453CD" w:rsidP="00E65D0C">
            <w:pPr>
              <w:keepNext/>
              <w:jc w:val="center"/>
              <w:rPr>
                <w:del w:id="1647" w:author="AbbVie02no" w:date="2025-05-15T12:36:00Z"/>
                <w:sz w:val="22"/>
                <w:szCs w:val="22"/>
              </w:rPr>
            </w:pPr>
            <w:del w:id="1648" w:author="AbbVie02no" w:date="2025-05-15T12:36:00Z">
              <w:r w:rsidRPr="009C5EFD">
                <w:rPr>
                  <w:sz w:val="22"/>
                  <w:szCs w:val="22"/>
                </w:rPr>
                <w:delText>72,8</w:delText>
              </w:r>
              <w:r w:rsidR="00E51AA9" w:rsidRPr="009C5EFD">
                <w:rPr>
                  <w:sz w:val="22"/>
                  <w:szCs w:val="22"/>
                </w:rPr>
                <w:delText xml:space="preserve"> %</w:delText>
              </w:r>
            </w:del>
          </w:p>
        </w:tc>
        <w:tc>
          <w:tcPr>
            <w:tcW w:w="1100" w:type="dxa"/>
            <w:tcBorders>
              <w:left w:val="single" w:sz="4" w:space="0" w:color="auto"/>
              <w:right w:val="single" w:sz="4" w:space="0" w:color="auto"/>
            </w:tcBorders>
          </w:tcPr>
          <w:p w14:paraId="1911EE98" w14:textId="0F86BD35" w:rsidR="00DE3458" w:rsidRPr="009C5EFD" w:rsidRDefault="00E453CD" w:rsidP="00E65D0C">
            <w:pPr>
              <w:keepNext/>
              <w:jc w:val="center"/>
              <w:rPr>
                <w:del w:id="1649" w:author="AbbVie02no" w:date="2025-05-15T12:36:00Z"/>
                <w:sz w:val="22"/>
                <w:szCs w:val="22"/>
              </w:rPr>
            </w:pPr>
            <w:del w:id="1650" w:author="AbbVie02no" w:date="2025-05-15T12:36:00Z">
              <w:r w:rsidRPr="009C5EFD">
                <w:rPr>
                  <w:sz w:val="22"/>
                  <w:szCs w:val="22"/>
                </w:rPr>
                <w:delText>0,013</w:delText>
              </w:r>
            </w:del>
          </w:p>
        </w:tc>
        <w:tc>
          <w:tcPr>
            <w:tcW w:w="1173" w:type="dxa"/>
            <w:tcBorders>
              <w:left w:val="single" w:sz="4" w:space="0" w:color="auto"/>
              <w:right w:val="single" w:sz="4" w:space="0" w:color="auto"/>
            </w:tcBorders>
          </w:tcPr>
          <w:p w14:paraId="5FFB0539" w14:textId="2E8D7988" w:rsidR="00DE3458" w:rsidRPr="009C5EFD" w:rsidRDefault="00E453CD" w:rsidP="00E65D0C">
            <w:pPr>
              <w:keepNext/>
              <w:jc w:val="center"/>
              <w:rPr>
                <w:del w:id="1651" w:author="AbbVie02no" w:date="2025-05-15T12:36:00Z"/>
                <w:sz w:val="22"/>
                <w:szCs w:val="22"/>
              </w:rPr>
            </w:pPr>
            <w:del w:id="1652" w:author="AbbVie02no" w:date="2025-05-15T12:36:00Z">
              <w:r w:rsidRPr="009C5EFD">
                <w:rPr>
                  <w:sz w:val="22"/>
                  <w:szCs w:val="22"/>
                </w:rPr>
                <w:delText>&lt; 0,001</w:delText>
              </w:r>
            </w:del>
          </w:p>
        </w:tc>
        <w:tc>
          <w:tcPr>
            <w:tcW w:w="1038" w:type="dxa"/>
            <w:tcBorders>
              <w:left w:val="single" w:sz="4" w:space="0" w:color="auto"/>
            </w:tcBorders>
          </w:tcPr>
          <w:p w14:paraId="3C044AE7" w14:textId="27E13A43" w:rsidR="00DE3458" w:rsidRPr="009C5EFD" w:rsidRDefault="00E453CD" w:rsidP="00E65D0C">
            <w:pPr>
              <w:keepNext/>
              <w:jc w:val="center"/>
              <w:rPr>
                <w:del w:id="1653" w:author="AbbVie02no" w:date="2025-05-15T12:36:00Z"/>
                <w:sz w:val="22"/>
                <w:szCs w:val="22"/>
              </w:rPr>
            </w:pPr>
            <w:del w:id="1654" w:author="AbbVie02no" w:date="2025-05-15T12:36:00Z">
              <w:r w:rsidRPr="009C5EFD">
                <w:rPr>
                  <w:sz w:val="22"/>
                  <w:szCs w:val="22"/>
                </w:rPr>
                <w:delText>0,043</w:delText>
              </w:r>
            </w:del>
          </w:p>
        </w:tc>
      </w:tr>
      <w:tr w:rsidR="004644D4" w14:paraId="09AE3D88" w14:textId="7F6748A7" w:rsidTr="00AF70AD">
        <w:trPr>
          <w:gridAfter w:val="2"/>
          <w:wAfter w:w="183" w:type="dxa"/>
          <w:cantSplit/>
          <w:jc w:val="center"/>
          <w:del w:id="1655" w:author="AbbVie02no" w:date="2025-05-15T12:36:00Z"/>
        </w:trPr>
        <w:tc>
          <w:tcPr>
            <w:tcW w:w="1724" w:type="dxa"/>
            <w:gridSpan w:val="2"/>
            <w:tcBorders>
              <w:right w:val="single" w:sz="4" w:space="0" w:color="auto"/>
            </w:tcBorders>
          </w:tcPr>
          <w:p w14:paraId="0482D6A3" w14:textId="5D9EC4D9" w:rsidR="00DE3458" w:rsidRPr="009C5EFD" w:rsidRDefault="00E453CD" w:rsidP="00E65D0C">
            <w:pPr>
              <w:keepNext/>
              <w:rPr>
                <w:del w:id="1656" w:author="AbbVie02no" w:date="2025-05-15T12:36:00Z"/>
                <w:sz w:val="22"/>
                <w:szCs w:val="22"/>
              </w:rPr>
            </w:pPr>
            <w:del w:id="1657" w:author="AbbVie02no" w:date="2025-05-15T12:36:00Z">
              <w:r w:rsidRPr="009C5EFD">
                <w:rPr>
                  <w:sz w:val="22"/>
                  <w:szCs w:val="22"/>
                </w:rPr>
                <w:delText>Uke 104</w:delText>
              </w:r>
            </w:del>
          </w:p>
        </w:tc>
        <w:tc>
          <w:tcPr>
            <w:tcW w:w="1320" w:type="dxa"/>
            <w:tcBorders>
              <w:left w:val="single" w:sz="4" w:space="0" w:color="auto"/>
              <w:right w:val="single" w:sz="4" w:space="0" w:color="auto"/>
            </w:tcBorders>
          </w:tcPr>
          <w:p w14:paraId="2A70F120" w14:textId="3DB7342E" w:rsidR="00DE3458" w:rsidRPr="009C5EFD" w:rsidRDefault="00E453CD" w:rsidP="00E65D0C">
            <w:pPr>
              <w:keepNext/>
              <w:jc w:val="center"/>
              <w:rPr>
                <w:del w:id="1658" w:author="AbbVie02no" w:date="2025-05-15T12:36:00Z"/>
                <w:sz w:val="22"/>
                <w:szCs w:val="22"/>
              </w:rPr>
            </w:pPr>
            <w:del w:id="1659" w:author="AbbVie02no" w:date="2025-05-15T12:36:00Z">
              <w:r w:rsidRPr="009C5EFD">
                <w:rPr>
                  <w:sz w:val="22"/>
                  <w:szCs w:val="22"/>
                </w:rPr>
                <w:delText>56,0</w:delText>
              </w:r>
              <w:r w:rsidR="00E51AA9" w:rsidRPr="009C5EFD">
                <w:rPr>
                  <w:sz w:val="22"/>
                  <w:szCs w:val="22"/>
                </w:rPr>
                <w:delText xml:space="preserve"> %</w:delText>
              </w:r>
            </w:del>
          </w:p>
        </w:tc>
        <w:tc>
          <w:tcPr>
            <w:tcW w:w="1320" w:type="dxa"/>
            <w:tcBorders>
              <w:left w:val="single" w:sz="4" w:space="0" w:color="auto"/>
              <w:right w:val="single" w:sz="4" w:space="0" w:color="auto"/>
            </w:tcBorders>
          </w:tcPr>
          <w:p w14:paraId="49DF1E28" w14:textId="413324CB" w:rsidR="00DE3458" w:rsidRPr="009C5EFD" w:rsidRDefault="00E453CD" w:rsidP="00E65D0C">
            <w:pPr>
              <w:keepNext/>
              <w:jc w:val="center"/>
              <w:rPr>
                <w:del w:id="1660" w:author="AbbVie02no" w:date="2025-05-15T12:36:00Z"/>
                <w:sz w:val="22"/>
                <w:szCs w:val="22"/>
              </w:rPr>
            </w:pPr>
            <w:del w:id="1661" w:author="AbbVie02no" w:date="2025-05-15T12:36:00Z">
              <w:r w:rsidRPr="009C5EFD">
                <w:rPr>
                  <w:sz w:val="22"/>
                  <w:szCs w:val="22"/>
                </w:rPr>
                <w:delText>49,3</w:delText>
              </w:r>
              <w:r w:rsidR="00E51AA9" w:rsidRPr="009C5EFD">
                <w:rPr>
                  <w:sz w:val="22"/>
                  <w:szCs w:val="22"/>
                </w:rPr>
                <w:delText xml:space="preserve"> %</w:delText>
              </w:r>
            </w:del>
          </w:p>
        </w:tc>
        <w:tc>
          <w:tcPr>
            <w:tcW w:w="1576" w:type="dxa"/>
            <w:tcBorders>
              <w:left w:val="single" w:sz="4" w:space="0" w:color="auto"/>
              <w:right w:val="single" w:sz="4" w:space="0" w:color="auto"/>
            </w:tcBorders>
          </w:tcPr>
          <w:p w14:paraId="0F94D3F4" w14:textId="54DA4B9B" w:rsidR="00DE3458" w:rsidRPr="009C5EFD" w:rsidRDefault="00E453CD" w:rsidP="00E65D0C">
            <w:pPr>
              <w:keepNext/>
              <w:jc w:val="center"/>
              <w:rPr>
                <w:del w:id="1662" w:author="AbbVie02no" w:date="2025-05-15T12:36:00Z"/>
                <w:sz w:val="22"/>
                <w:szCs w:val="22"/>
              </w:rPr>
            </w:pPr>
            <w:del w:id="1663" w:author="AbbVie02no" w:date="2025-05-15T12:36:00Z">
              <w:r w:rsidRPr="009C5EFD">
                <w:rPr>
                  <w:sz w:val="22"/>
                  <w:szCs w:val="22"/>
                </w:rPr>
                <w:delText>69,4</w:delText>
              </w:r>
              <w:r w:rsidR="00E51AA9" w:rsidRPr="009C5EFD">
                <w:rPr>
                  <w:sz w:val="22"/>
                  <w:szCs w:val="22"/>
                </w:rPr>
                <w:delText xml:space="preserve"> %</w:delText>
              </w:r>
            </w:del>
          </w:p>
        </w:tc>
        <w:tc>
          <w:tcPr>
            <w:tcW w:w="1100" w:type="dxa"/>
            <w:tcBorders>
              <w:left w:val="single" w:sz="4" w:space="0" w:color="auto"/>
              <w:right w:val="single" w:sz="4" w:space="0" w:color="auto"/>
            </w:tcBorders>
          </w:tcPr>
          <w:p w14:paraId="5B93EEF0" w14:textId="1009490F" w:rsidR="00DE3458" w:rsidRPr="009C5EFD" w:rsidRDefault="00E453CD" w:rsidP="00E65D0C">
            <w:pPr>
              <w:keepNext/>
              <w:jc w:val="center"/>
              <w:rPr>
                <w:del w:id="1664" w:author="AbbVie02no" w:date="2025-05-15T12:36:00Z"/>
                <w:sz w:val="22"/>
                <w:szCs w:val="22"/>
              </w:rPr>
            </w:pPr>
            <w:del w:id="1665" w:author="AbbVie02no" w:date="2025-05-15T12:36:00Z">
              <w:r w:rsidRPr="009C5EFD">
                <w:rPr>
                  <w:sz w:val="22"/>
                  <w:szCs w:val="22"/>
                </w:rPr>
                <w:delText>0,002</w:delText>
              </w:r>
            </w:del>
          </w:p>
        </w:tc>
        <w:tc>
          <w:tcPr>
            <w:tcW w:w="1173" w:type="dxa"/>
            <w:tcBorders>
              <w:left w:val="single" w:sz="4" w:space="0" w:color="auto"/>
              <w:right w:val="single" w:sz="4" w:space="0" w:color="auto"/>
            </w:tcBorders>
          </w:tcPr>
          <w:p w14:paraId="554248F9" w14:textId="0F9CFD93" w:rsidR="00DE3458" w:rsidRPr="009C5EFD" w:rsidRDefault="00E453CD" w:rsidP="00E65D0C">
            <w:pPr>
              <w:keepNext/>
              <w:jc w:val="center"/>
              <w:rPr>
                <w:del w:id="1666" w:author="AbbVie02no" w:date="2025-05-15T12:36:00Z"/>
                <w:sz w:val="22"/>
                <w:szCs w:val="22"/>
              </w:rPr>
            </w:pPr>
            <w:del w:id="1667" w:author="AbbVie02no" w:date="2025-05-15T12:36:00Z">
              <w:r w:rsidRPr="009C5EFD">
                <w:rPr>
                  <w:sz w:val="22"/>
                  <w:szCs w:val="22"/>
                </w:rPr>
                <w:delText>&lt; 0,001</w:delText>
              </w:r>
            </w:del>
          </w:p>
        </w:tc>
        <w:tc>
          <w:tcPr>
            <w:tcW w:w="1038" w:type="dxa"/>
            <w:tcBorders>
              <w:left w:val="single" w:sz="4" w:space="0" w:color="auto"/>
            </w:tcBorders>
          </w:tcPr>
          <w:p w14:paraId="6AF665DA" w14:textId="0E08B729" w:rsidR="00DE3458" w:rsidRPr="009C5EFD" w:rsidRDefault="00E453CD" w:rsidP="00E65D0C">
            <w:pPr>
              <w:keepNext/>
              <w:jc w:val="center"/>
              <w:rPr>
                <w:del w:id="1668" w:author="AbbVie02no" w:date="2025-05-15T12:36:00Z"/>
                <w:sz w:val="22"/>
                <w:szCs w:val="22"/>
              </w:rPr>
            </w:pPr>
            <w:del w:id="1669" w:author="AbbVie02no" w:date="2025-05-15T12:36:00Z">
              <w:r w:rsidRPr="009C5EFD">
                <w:rPr>
                  <w:sz w:val="22"/>
                  <w:szCs w:val="22"/>
                </w:rPr>
                <w:delText>0,140</w:delText>
              </w:r>
            </w:del>
          </w:p>
        </w:tc>
      </w:tr>
      <w:tr w:rsidR="004644D4" w14:paraId="42794E9A" w14:textId="43AFE714" w:rsidTr="00AF70AD">
        <w:trPr>
          <w:gridAfter w:val="2"/>
          <w:wAfter w:w="183" w:type="dxa"/>
          <w:cantSplit/>
          <w:jc w:val="center"/>
          <w:del w:id="1670" w:author="AbbVie02no" w:date="2025-05-15T12:36:00Z"/>
        </w:trPr>
        <w:tc>
          <w:tcPr>
            <w:tcW w:w="1724" w:type="dxa"/>
            <w:gridSpan w:val="2"/>
            <w:tcBorders>
              <w:right w:val="single" w:sz="4" w:space="0" w:color="auto"/>
            </w:tcBorders>
          </w:tcPr>
          <w:p w14:paraId="7C7B3C15" w14:textId="1C0DFF2D" w:rsidR="00DE3458" w:rsidRPr="009C5EFD" w:rsidRDefault="00E453CD" w:rsidP="00E65D0C">
            <w:pPr>
              <w:keepNext/>
              <w:rPr>
                <w:del w:id="1671" w:author="AbbVie02no" w:date="2025-05-15T12:36:00Z"/>
                <w:sz w:val="22"/>
                <w:szCs w:val="22"/>
              </w:rPr>
            </w:pPr>
            <w:del w:id="1672" w:author="AbbVie02no" w:date="2025-05-15T12:36:00Z">
              <w:r w:rsidRPr="009C5EFD">
                <w:rPr>
                  <w:sz w:val="22"/>
                  <w:szCs w:val="22"/>
                </w:rPr>
                <w:delText>ACR 50</w:delText>
              </w:r>
            </w:del>
          </w:p>
        </w:tc>
        <w:tc>
          <w:tcPr>
            <w:tcW w:w="1320" w:type="dxa"/>
            <w:tcBorders>
              <w:left w:val="single" w:sz="4" w:space="0" w:color="auto"/>
              <w:right w:val="single" w:sz="4" w:space="0" w:color="auto"/>
            </w:tcBorders>
          </w:tcPr>
          <w:p w14:paraId="1EBCDBE1" w14:textId="60032754" w:rsidR="00DE3458" w:rsidRPr="009C5EFD" w:rsidRDefault="00DE3458" w:rsidP="00E65D0C">
            <w:pPr>
              <w:keepNext/>
              <w:jc w:val="center"/>
              <w:rPr>
                <w:del w:id="1673" w:author="AbbVie02no" w:date="2025-05-15T12:36:00Z"/>
                <w:sz w:val="22"/>
                <w:szCs w:val="22"/>
              </w:rPr>
            </w:pPr>
          </w:p>
        </w:tc>
        <w:tc>
          <w:tcPr>
            <w:tcW w:w="1320" w:type="dxa"/>
            <w:tcBorders>
              <w:left w:val="single" w:sz="4" w:space="0" w:color="auto"/>
              <w:right w:val="single" w:sz="4" w:space="0" w:color="auto"/>
            </w:tcBorders>
          </w:tcPr>
          <w:p w14:paraId="4E4C1018" w14:textId="7408B461" w:rsidR="00DE3458" w:rsidRPr="009C5EFD" w:rsidRDefault="00DE3458" w:rsidP="00E65D0C">
            <w:pPr>
              <w:keepNext/>
              <w:jc w:val="center"/>
              <w:rPr>
                <w:del w:id="1674" w:author="AbbVie02no" w:date="2025-05-15T12:36:00Z"/>
                <w:sz w:val="22"/>
                <w:szCs w:val="22"/>
              </w:rPr>
            </w:pPr>
          </w:p>
        </w:tc>
        <w:tc>
          <w:tcPr>
            <w:tcW w:w="1576" w:type="dxa"/>
            <w:tcBorders>
              <w:left w:val="single" w:sz="4" w:space="0" w:color="auto"/>
              <w:right w:val="single" w:sz="4" w:space="0" w:color="auto"/>
            </w:tcBorders>
          </w:tcPr>
          <w:p w14:paraId="57123BE3" w14:textId="0CFCD88A" w:rsidR="00DE3458" w:rsidRPr="009C5EFD" w:rsidRDefault="00DE3458" w:rsidP="00E65D0C">
            <w:pPr>
              <w:keepNext/>
              <w:jc w:val="center"/>
              <w:rPr>
                <w:del w:id="1675" w:author="AbbVie02no" w:date="2025-05-15T12:36:00Z"/>
                <w:sz w:val="22"/>
                <w:szCs w:val="22"/>
              </w:rPr>
            </w:pPr>
          </w:p>
        </w:tc>
        <w:tc>
          <w:tcPr>
            <w:tcW w:w="1100" w:type="dxa"/>
            <w:tcBorders>
              <w:left w:val="single" w:sz="4" w:space="0" w:color="auto"/>
              <w:right w:val="single" w:sz="4" w:space="0" w:color="auto"/>
            </w:tcBorders>
          </w:tcPr>
          <w:p w14:paraId="71906521" w14:textId="5B0BDDCE" w:rsidR="00DE3458" w:rsidRPr="009C5EFD" w:rsidRDefault="00DE3458" w:rsidP="00E65D0C">
            <w:pPr>
              <w:keepNext/>
              <w:jc w:val="center"/>
              <w:rPr>
                <w:del w:id="1676" w:author="AbbVie02no" w:date="2025-05-15T12:36:00Z"/>
                <w:sz w:val="22"/>
                <w:szCs w:val="22"/>
              </w:rPr>
            </w:pPr>
          </w:p>
        </w:tc>
        <w:tc>
          <w:tcPr>
            <w:tcW w:w="1173" w:type="dxa"/>
            <w:tcBorders>
              <w:left w:val="single" w:sz="4" w:space="0" w:color="auto"/>
              <w:right w:val="single" w:sz="4" w:space="0" w:color="auto"/>
            </w:tcBorders>
          </w:tcPr>
          <w:p w14:paraId="4B8491E2" w14:textId="71490019" w:rsidR="00DE3458" w:rsidRPr="009C5EFD" w:rsidRDefault="00DE3458" w:rsidP="00E65D0C">
            <w:pPr>
              <w:keepNext/>
              <w:jc w:val="center"/>
              <w:rPr>
                <w:del w:id="1677" w:author="AbbVie02no" w:date="2025-05-15T12:36:00Z"/>
                <w:sz w:val="22"/>
                <w:szCs w:val="22"/>
              </w:rPr>
            </w:pPr>
          </w:p>
        </w:tc>
        <w:tc>
          <w:tcPr>
            <w:tcW w:w="1038" w:type="dxa"/>
            <w:tcBorders>
              <w:left w:val="single" w:sz="4" w:space="0" w:color="auto"/>
            </w:tcBorders>
          </w:tcPr>
          <w:p w14:paraId="37DD5E59" w14:textId="1895BE3D" w:rsidR="00DE3458" w:rsidRPr="009C5EFD" w:rsidRDefault="00DE3458" w:rsidP="00E65D0C">
            <w:pPr>
              <w:keepNext/>
              <w:jc w:val="center"/>
              <w:rPr>
                <w:del w:id="1678" w:author="AbbVie02no" w:date="2025-05-15T12:36:00Z"/>
                <w:sz w:val="22"/>
                <w:szCs w:val="22"/>
              </w:rPr>
            </w:pPr>
          </w:p>
        </w:tc>
      </w:tr>
      <w:tr w:rsidR="004644D4" w14:paraId="49B46C84" w14:textId="4A7289E5" w:rsidTr="00AF70AD">
        <w:trPr>
          <w:gridAfter w:val="2"/>
          <w:wAfter w:w="183" w:type="dxa"/>
          <w:cantSplit/>
          <w:jc w:val="center"/>
          <w:del w:id="1679" w:author="AbbVie02no" w:date="2025-05-15T12:36:00Z"/>
        </w:trPr>
        <w:tc>
          <w:tcPr>
            <w:tcW w:w="1724" w:type="dxa"/>
            <w:gridSpan w:val="2"/>
          </w:tcPr>
          <w:p w14:paraId="42C954B8" w14:textId="23D00714" w:rsidR="00DE3458" w:rsidRPr="009C5EFD" w:rsidRDefault="00E453CD" w:rsidP="00E65D0C">
            <w:pPr>
              <w:keepNext/>
              <w:rPr>
                <w:del w:id="1680" w:author="AbbVie02no" w:date="2025-05-15T12:36:00Z"/>
                <w:sz w:val="22"/>
                <w:szCs w:val="22"/>
              </w:rPr>
            </w:pPr>
            <w:del w:id="1681" w:author="AbbVie02no" w:date="2025-05-15T12:36:00Z">
              <w:r w:rsidRPr="009C5EFD">
                <w:rPr>
                  <w:sz w:val="22"/>
                  <w:szCs w:val="22"/>
                </w:rPr>
                <w:delText>Uke 52</w:delText>
              </w:r>
            </w:del>
          </w:p>
        </w:tc>
        <w:tc>
          <w:tcPr>
            <w:tcW w:w="1320" w:type="dxa"/>
          </w:tcPr>
          <w:p w14:paraId="40C3EA77" w14:textId="580EC731" w:rsidR="00DE3458" w:rsidRPr="009C5EFD" w:rsidRDefault="00E453CD" w:rsidP="00E65D0C">
            <w:pPr>
              <w:keepNext/>
              <w:jc w:val="center"/>
              <w:rPr>
                <w:del w:id="1682" w:author="AbbVie02no" w:date="2025-05-15T12:36:00Z"/>
                <w:sz w:val="22"/>
                <w:szCs w:val="22"/>
              </w:rPr>
            </w:pPr>
            <w:del w:id="1683" w:author="AbbVie02no" w:date="2025-05-15T12:36:00Z">
              <w:r w:rsidRPr="009C5EFD">
                <w:rPr>
                  <w:sz w:val="22"/>
                  <w:szCs w:val="22"/>
                </w:rPr>
                <w:delText>45,9</w:delText>
              </w:r>
              <w:r w:rsidR="00E51AA9" w:rsidRPr="009C5EFD">
                <w:rPr>
                  <w:sz w:val="22"/>
                  <w:szCs w:val="22"/>
                </w:rPr>
                <w:delText xml:space="preserve"> %</w:delText>
              </w:r>
            </w:del>
          </w:p>
        </w:tc>
        <w:tc>
          <w:tcPr>
            <w:tcW w:w="1320" w:type="dxa"/>
          </w:tcPr>
          <w:p w14:paraId="3706A5FB" w14:textId="2E571AAB" w:rsidR="00DE3458" w:rsidRPr="009C5EFD" w:rsidRDefault="00E453CD" w:rsidP="00E65D0C">
            <w:pPr>
              <w:keepNext/>
              <w:jc w:val="center"/>
              <w:rPr>
                <w:del w:id="1684" w:author="AbbVie02no" w:date="2025-05-15T12:36:00Z"/>
                <w:sz w:val="22"/>
                <w:szCs w:val="22"/>
              </w:rPr>
            </w:pPr>
            <w:del w:id="1685" w:author="AbbVie02no" w:date="2025-05-15T12:36:00Z">
              <w:r w:rsidRPr="009C5EFD">
                <w:rPr>
                  <w:sz w:val="22"/>
                  <w:szCs w:val="22"/>
                </w:rPr>
                <w:delText>41,2</w:delText>
              </w:r>
              <w:r w:rsidR="00E51AA9" w:rsidRPr="009C5EFD">
                <w:rPr>
                  <w:sz w:val="22"/>
                  <w:szCs w:val="22"/>
                </w:rPr>
                <w:delText xml:space="preserve"> %</w:delText>
              </w:r>
            </w:del>
          </w:p>
        </w:tc>
        <w:tc>
          <w:tcPr>
            <w:tcW w:w="1576" w:type="dxa"/>
          </w:tcPr>
          <w:p w14:paraId="151A645B" w14:textId="7183DED1" w:rsidR="00DE3458" w:rsidRPr="009C5EFD" w:rsidRDefault="00E453CD" w:rsidP="00E65D0C">
            <w:pPr>
              <w:keepNext/>
              <w:jc w:val="center"/>
              <w:rPr>
                <w:del w:id="1686" w:author="AbbVie02no" w:date="2025-05-15T12:36:00Z"/>
                <w:sz w:val="22"/>
                <w:szCs w:val="22"/>
              </w:rPr>
            </w:pPr>
            <w:del w:id="1687" w:author="AbbVie02no" w:date="2025-05-15T12:36:00Z">
              <w:r w:rsidRPr="009C5EFD">
                <w:rPr>
                  <w:sz w:val="22"/>
                  <w:szCs w:val="22"/>
                </w:rPr>
                <w:delText>61,6</w:delText>
              </w:r>
              <w:r w:rsidR="00E51AA9" w:rsidRPr="009C5EFD">
                <w:rPr>
                  <w:sz w:val="22"/>
                  <w:szCs w:val="22"/>
                </w:rPr>
                <w:delText xml:space="preserve"> %</w:delText>
              </w:r>
            </w:del>
          </w:p>
        </w:tc>
        <w:tc>
          <w:tcPr>
            <w:tcW w:w="1100" w:type="dxa"/>
          </w:tcPr>
          <w:p w14:paraId="3088A631" w14:textId="2C98B239" w:rsidR="00DE3458" w:rsidRPr="009C5EFD" w:rsidRDefault="00E453CD" w:rsidP="00E65D0C">
            <w:pPr>
              <w:keepNext/>
              <w:jc w:val="center"/>
              <w:rPr>
                <w:del w:id="1688" w:author="AbbVie02no" w:date="2025-05-15T12:36:00Z"/>
                <w:sz w:val="22"/>
                <w:szCs w:val="22"/>
              </w:rPr>
            </w:pPr>
            <w:del w:id="1689" w:author="AbbVie02no" w:date="2025-05-15T12:36:00Z">
              <w:r w:rsidRPr="009C5EFD">
                <w:rPr>
                  <w:sz w:val="22"/>
                  <w:szCs w:val="22"/>
                </w:rPr>
                <w:delText>&lt; 0,001</w:delText>
              </w:r>
            </w:del>
          </w:p>
        </w:tc>
        <w:tc>
          <w:tcPr>
            <w:tcW w:w="1173" w:type="dxa"/>
          </w:tcPr>
          <w:p w14:paraId="055C62F2" w14:textId="27279AEB" w:rsidR="00DE3458" w:rsidRPr="009C5EFD" w:rsidRDefault="00E453CD" w:rsidP="00E65D0C">
            <w:pPr>
              <w:keepNext/>
              <w:jc w:val="center"/>
              <w:rPr>
                <w:del w:id="1690" w:author="AbbVie02no" w:date="2025-05-15T12:36:00Z"/>
                <w:sz w:val="22"/>
                <w:szCs w:val="22"/>
              </w:rPr>
            </w:pPr>
            <w:del w:id="1691" w:author="AbbVie02no" w:date="2025-05-15T12:36:00Z">
              <w:r w:rsidRPr="009C5EFD">
                <w:rPr>
                  <w:sz w:val="22"/>
                  <w:szCs w:val="22"/>
                </w:rPr>
                <w:delText>&lt; 0,001</w:delText>
              </w:r>
            </w:del>
          </w:p>
        </w:tc>
        <w:tc>
          <w:tcPr>
            <w:tcW w:w="1038" w:type="dxa"/>
          </w:tcPr>
          <w:p w14:paraId="444C99C8" w14:textId="7DDE0BAB" w:rsidR="00DE3458" w:rsidRPr="009C5EFD" w:rsidRDefault="00E453CD" w:rsidP="00E65D0C">
            <w:pPr>
              <w:keepNext/>
              <w:jc w:val="center"/>
              <w:rPr>
                <w:del w:id="1692" w:author="AbbVie02no" w:date="2025-05-15T12:36:00Z"/>
                <w:sz w:val="22"/>
                <w:szCs w:val="22"/>
              </w:rPr>
            </w:pPr>
            <w:del w:id="1693" w:author="AbbVie02no" w:date="2025-05-15T12:36:00Z">
              <w:r w:rsidRPr="009C5EFD">
                <w:rPr>
                  <w:sz w:val="22"/>
                  <w:szCs w:val="22"/>
                </w:rPr>
                <w:delText>0,317</w:delText>
              </w:r>
            </w:del>
          </w:p>
        </w:tc>
      </w:tr>
      <w:tr w:rsidR="004644D4" w14:paraId="42EAFF1E" w14:textId="178F2980" w:rsidTr="00AF70AD">
        <w:trPr>
          <w:gridAfter w:val="2"/>
          <w:wAfter w:w="183" w:type="dxa"/>
          <w:cantSplit/>
          <w:jc w:val="center"/>
          <w:del w:id="1694" w:author="AbbVie02no" w:date="2025-05-15T12:36:00Z"/>
        </w:trPr>
        <w:tc>
          <w:tcPr>
            <w:tcW w:w="1724" w:type="dxa"/>
            <w:gridSpan w:val="2"/>
          </w:tcPr>
          <w:p w14:paraId="29B3DC25" w14:textId="34B97F2F" w:rsidR="00DE3458" w:rsidRPr="009C5EFD" w:rsidRDefault="00E453CD" w:rsidP="00E65D0C">
            <w:pPr>
              <w:keepNext/>
              <w:rPr>
                <w:del w:id="1695" w:author="AbbVie02no" w:date="2025-05-15T12:36:00Z"/>
                <w:sz w:val="22"/>
                <w:szCs w:val="22"/>
              </w:rPr>
            </w:pPr>
            <w:del w:id="1696" w:author="AbbVie02no" w:date="2025-05-15T12:36:00Z">
              <w:r w:rsidRPr="009C5EFD">
                <w:rPr>
                  <w:sz w:val="22"/>
                  <w:szCs w:val="22"/>
                </w:rPr>
                <w:delText>Uke 104</w:delText>
              </w:r>
            </w:del>
          </w:p>
        </w:tc>
        <w:tc>
          <w:tcPr>
            <w:tcW w:w="1320" w:type="dxa"/>
            <w:tcBorders>
              <w:bottom w:val="single" w:sz="4" w:space="0" w:color="auto"/>
            </w:tcBorders>
          </w:tcPr>
          <w:p w14:paraId="74114943" w14:textId="784680F8" w:rsidR="00DE3458" w:rsidRPr="009C5EFD" w:rsidRDefault="00E453CD" w:rsidP="00E65D0C">
            <w:pPr>
              <w:keepNext/>
              <w:jc w:val="center"/>
              <w:rPr>
                <w:del w:id="1697" w:author="AbbVie02no" w:date="2025-05-15T12:36:00Z"/>
                <w:sz w:val="22"/>
                <w:szCs w:val="22"/>
              </w:rPr>
            </w:pPr>
            <w:del w:id="1698" w:author="AbbVie02no" w:date="2025-05-15T12:36:00Z">
              <w:r w:rsidRPr="009C5EFD">
                <w:rPr>
                  <w:sz w:val="22"/>
                  <w:szCs w:val="22"/>
                </w:rPr>
                <w:delText>42,8</w:delText>
              </w:r>
              <w:r w:rsidR="00E51AA9" w:rsidRPr="009C5EFD">
                <w:rPr>
                  <w:sz w:val="22"/>
                  <w:szCs w:val="22"/>
                </w:rPr>
                <w:delText xml:space="preserve"> %</w:delText>
              </w:r>
            </w:del>
          </w:p>
        </w:tc>
        <w:tc>
          <w:tcPr>
            <w:tcW w:w="1320" w:type="dxa"/>
            <w:tcBorders>
              <w:bottom w:val="single" w:sz="4" w:space="0" w:color="auto"/>
            </w:tcBorders>
          </w:tcPr>
          <w:p w14:paraId="563476AA" w14:textId="68FA3C20" w:rsidR="00DE3458" w:rsidRPr="009C5EFD" w:rsidRDefault="00E453CD" w:rsidP="00E65D0C">
            <w:pPr>
              <w:keepNext/>
              <w:jc w:val="center"/>
              <w:rPr>
                <w:del w:id="1699" w:author="AbbVie02no" w:date="2025-05-15T12:36:00Z"/>
                <w:sz w:val="22"/>
                <w:szCs w:val="22"/>
              </w:rPr>
            </w:pPr>
            <w:del w:id="1700" w:author="AbbVie02no" w:date="2025-05-15T12:36:00Z">
              <w:r w:rsidRPr="009C5EFD">
                <w:rPr>
                  <w:sz w:val="22"/>
                  <w:szCs w:val="22"/>
                </w:rPr>
                <w:delText>36,9</w:delText>
              </w:r>
              <w:r w:rsidR="00E51AA9" w:rsidRPr="009C5EFD">
                <w:rPr>
                  <w:sz w:val="22"/>
                  <w:szCs w:val="22"/>
                </w:rPr>
                <w:delText xml:space="preserve"> %</w:delText>
              </w:r>
            </w:del>
          </w:p>
        </w:tc>
        <w:tc>
          <w:tcPr>
            <w:tcW w:w="1576" w:type="dxa"/>
            <w:tcBorders>
              <w:bottom w:val="single" w:sz="4" w:space="0" w:color="auto"/>
            </w:tcBorders>
          </w:tcPr>
          <w:p w14:paraId="35B9442E" w14:textId="2A51EDE4" w:rsidR="00DE3458" w:rsidRPr="009C5EFD" w:rsidRDefault="00E453CD" w:rsidP="00E65D0C">
            <w:pPr>
              <w:keepNext/>
              <w:jc w:val="center"/>
              <w:rPr>
                <w:del w:id="1701" w:author="AbbVie02no" w:date="2025-05-15T12:36:00Z"/>
                <w:sz w:val="22"/>
                <w:szCs w:val="22"/>
              </w:rPr>
            </w:pPr>
            <w:del w:id="1702" w:author="AbbVie02no" w:date="2025-05-15T12:36:00Z">
              <w:r w:rsidRPr="009C5EFD">
                <w:rPr>
                  <w:sz w:val="22"/>
                  <w:szCs w:val="22"/>
                </w:rPr>
                <w:delText>59,0</w:delText>
              </w:r>
              <w:r w:rsidR="00E51AA9" w:rsidRPr="009C5EFD">
                <w:rPr>
                  <w:sz w:val="22"/>
                  <w:szCs w:val="22"/>
                </w:rPr>
                <w:delText xml:space="preserve"> %</w:delText>
              </w:r>
            </w:del>
          </w:p>
        </w:tc>
        <w:tc>
          <w:tcPr>
            <w:tcW w:w="1100" w:type="dxa"/>
            <w:tcBorders>
              <w:bottom w:val="single" w:sz="4" w:space="0" w:color="auto"/>
            </w:tcBorders>
          </w:tcPr>
          <w:p w14:paraId="1F796C2F" w14:textId="7D9AEC40" w:rsidR="00DE3458" w:rsidRPr="009C5EFD" w:rsidRDefault="00E453CD" w:rsidP="00E65D0C">
            <w:pPr>
              <w:keepNext/>
              <w:jc w:val="center"/>
              <w:rPr>
                <w:del w:id="1703" w:author="AbbVie02no" w:date="2025-05-15T12:36:00Z"/>
                <w:sz w:val="22"/>
                <w:szCs w:val="22"/>
              </w:rPr>
            </w:pPr>
            <w:del w:id="1704" w:author="AbbVie02no" w:date="2025-05-15T12:36:00Z">
              <w:r w:rsidRPr="009C5EFD">
                <w:rPr>
                  <w:sz w:val="22"/>
                  <w:szCs w:val="22"/>
                </w:rPr>
                <w:delText>&lt; 0,001</w:delText>
              </w:r>
            </w:del>
          </w:p>
        </w:tc>
        <w:tc>
          <w:tcPr>
            <w:tcW w:w="1173" w:type="dxa"/>
            <w:tcBorders>
              <w:bottom w:val="single" w:sz="4" w:space="0" w:color="auto"/>
            </w:tcBorders>
          </w:tcPr>
          <w:p w14:paraId="103807E4" w14:textId="5CAE1CB7" w:rsidR="00DE3458" w:rsidRPr="009C5EFD" w:rsidRDefault="00E453CD" w:rsidP="00E65D0C">
            <w:pPr>
              <w:keepNext/>
              <w:jc w:val="center"/>
              <w:rPr>
                <w:del w:id="1705" w:author="AbbVie02no" w:date="2025-05-15T12:36:00Z"/>
                <w:sz w:val="22"/>
                <w:szCs w:val="22"/>
              </w:rPr>
            </w:pPr>
            <w:del w:id="1706" w:author="AbbVie02no" w:date="2025-05-15T12:36:00Z">
              <w:r w:rsidRPr="009C5EFD">
                <w:rPr>
                  <w:sz w:val="22"/>
                  <w:szCs w:val="22"/>
                </w:rPr>
                <w:delText>&lt; 0,001</w:delText>
              </w:r>
            </w:del>
          </w:p>
        </w:tc>
        <w:tc>
          <w:tcPr>
            <w:tcW w:w="1038" w:type="dxa"/>
          </w:tcPr>
          <w:p w14:paraId="50936DE0" w14:textId="28BA8BBA" w:rsidR="00DE3458" w:rsidRPr="009C5EFD" w:rsidRDefault="00E453CD" w:rsidP="00E65D0C">
            <w:pPr>
              <w:keepNext/>
              <w:jc w:val="center"/>
              <w:rPr>
                <w:del w:id="1707" w:author="AbbVie02no" w:date="2025-05-15T12:36:00Z"/>
                <w:sz w:val="22"/>
                <w:szCs w:val="22"/>
              </w:rPr>
            </w:pPr>
            <w:del w:id="1708" w:author="AbbVie02no" w:date="2025-05-15T12:36:00Z">
              <w:r w:rsidRPr="009C5EFD">
                <w:rPr>
                  <w:sz w:val="22"/>
                  <w:szCs w:val="22"/>
                </w:rPr>
                <w:delText>0,162</w:delText>
              </w:r>
            </w:del>
          </w:p>
        </w:tc>
      </w:tr>
      <w:tr w:rsidR="004644D4" w14:paraId="7A252493" w14:textId="086FA8D7" w:rsidTr="00AF70AD">
        <w:trPr>
          <w:gridAfter w:val="2"/>
          <w:wAfter w:w="183" w:type="dxa"/>
          <w:cantSplit/>
          <w:jc w:val="center"/>
          <w:del w:id="1709" w:author="AbbVie02no" w:date="2025-05-15T12:36:00Z"/>
        </w:trPr>
        <w:tc>
          <w:tcPr>
            <w:tcW w:w="1724" w:type="dxa"/>
            <w:gridSpan w:val="2"/>
            <w:tcBorders>
              <w:right w:val="single" w:sz="4" w:space="0" w:color="auto"/>
            </w:tcBorders>
          </w:tcPr>
          <w:p w14:paraId="4C4A0C72" w14:textId="7C880C12" w:rsidR="00DE3458" w:rsidRPr="009C5EFD" w:rsidRDefault="00E453CD" w:rsidP="00E65D0C">
            <w:pPr>
              <w:keepNext/>
              <w:rPr>
                <w:del w:id="1710" w:author="AbbVie02no" w:date="2025-05-15T12:36:00Z"/>
                <w:sz w:val="22"/>
                <w:szCs w:val="22"/>
              </w:rPr>
            </w:pPr>
            <w:del w:id="1711" w:author="AbbVie02no" w:date="2025-05-15T12:36:00Z">
              <w:r w:rsidRPr="009C5EFD">
                <w:rPr>
                  <w:sz w:val="22"/>
                  <w:szCs w:val="22"/>
                </w:rPr>
                <w:delText>ACR 70</w:delText>
              </w:r>
            </w:del>
          </w:p>
        </w:tc>
        <w:tc>
          <w:tcPr>
            <w:tcW w:w="1320" w:type="dxa"/>
            <w:tcBorders>
              <w:left w:val="single" w:sz="4" w:space="0" w:color="auto"/>
              <w:right w:val="single" w:sz="4" w:space="0" w:color="auto"/>
            </w:tcBorders>
          </w:tcPr>
          <w:p w14:paraId="4FCC567E" w14:textId="0A44054E" w:rsidR="00DE3458" w:rsidRPr="009C5EFD" w:rsidRDefault="00DE3458" w:rsidP="00E65D0C">
            <w:pPr>
              <w:keepNext/>
              <w:jc w:val="center"/>
              <w:rPr>
                <w:del w:id="1712" w:author="AbbVie02no" w:date="2025-05-15T12:36:00Z"/>
                <w:sz w:val="22"/>
                <w:szCs w:val="22"/>
              </w:rPr>
            </w:pPr>
          </w:p>
        </w:tc>
        <w:tc>
          <w:tcPr>
            <w:tcW w:w="1320" w:type="dxa"/>
            <w:tcBorders>
              <w:left w:val="single" w:sz="4" w:space="0" w:color="auto"/>
              <w:right w:val="single" w:sz="4" w:space="0" w:color="auto"/>
            </w:tcBorders>
          </w:tcPr>
          <w:p w14:paraId="6D1EFAE2" w14:textId="6E8C3110" w:rsidR="00DE3458" w:rsidRPr="009C5EFD" w:rsidRDefault="00DE3458" w:rsidP="00E65D0C">
            <w:pPr>
              <w:keepNext/>
              <w:jc w:val="center"/>
              <w:rPr>
                <w:del w:id="1713" w:author="AbbVie02no" w:date="2025-05-15T12:36:00Z"/>
                <w:sz w:val="22"/>
                <w:szCs w:val="22"/>
              </w:rPr>
            </w:pPr>
          </w:p>
        </w:tc>
        <w:tc>
          <w:tcPr>
            <w:tcW w:w="1576" w:type="dxa"/>
            <w:tcBorders>
              <w:left w:val="single" w:sz="4" w:space="0" w:color="auto"/>
              <w:right w:val="single" w:sz="4" w:space="0" w:color="auto"/>
            </w:tcBorders>
          </w:tcPr>
          <w:p w14:paraId="588BAB82" w14:textId="134327B4" w:rsidR="00DE3458" w:rsidRPr="009C5EFD" w:rsidRDefault="00DE3458" w:rsidP="00E65D0C">
            <w:pPr>
              <w:keepNext/>
              <w:jc w:val="center"/>
              <w:rPr>
                <w:del w:id="1714" w:author="AbbVie02no" w:date="2025-05-15T12:36:00Z"/>
                <w:sz w:val="22"/>
                <w:szCs w:val="22"/>
              </w:rPr>
            </w:pPr>
          </w:p>
        </w:tc>
        <w:tc>
          <w:tcPr>
            <w:tcW w:w="1100" w:type="dxa"/>
            <w:tcBorders>
              <w:left w:val="single" w:sz="4" w:space="0" w:color="auto"/>
              <w:right w:val="single" w:sz="4" w:space="0" w:color="auto"/>
            </w:tcBorders>
          </w:tcPr>
          <w:p w14:paraId="013F7A5D" w14:textId="2AB51987" w:rsidR="00DE3458" w:rsidRPr="009C5EFD" w:rsidRDefault="00E453CD" w:rsidP="00E65D0C">
            <w:pPr>
              <w:keepNext/>
              <w:jc w:val="center"/>
              <w:rPr>
                <w:del w:id="1715" w:author="AbbVie02no" w:date="2025-05-15T12:36:00Z"/>
                <w:sz w:val="22"/>
                <w:szCs w:val="22"/>
              </w:rPr>
            </w:pPr>
            <w:del w:id="1716" w:author="AbbVie02no" w:date="2025-05-15T12:36:00Z">
              <w:r w:rsidRPr="009C5EFD">
                <w:rPr>
                  <w:sz w:val="22"/>
                  <w:szCs w:val="22"/>
                </w:rPr>
                <w:delText xml:space="preserve"> </w:delText>
              </w:r>
            </w:del>
          </w:p>
        </w:tc>
        <w:tc>
          <w:tcPr>
            <w:tcW w:w="1173" w:type="dxa"/>
            <w:tcBorders>
              <w:left w:val="single" w:sz="4" w:space="0" w:color="auto"/>
              <w:right w:val="single" w:sz="4" w:space="0" w:color="auto"/>
            </w:tcBorders>
          </w:tcPr>
          <w:p w14:paraId="7B45F6FB" w14:textId="00A10C11" w:rsidR="00DE3458" w:rsidRPr="009C5EFD" w:rsidRDefault="00DE3458" w:rsidP="00E65D0C">
            <w:pPr>
              <w:keepNext/>
              <w:jc w:val="center"/>
              <w:rPr>
                <w:del w:id="1717" w:author="AbbVie02no" w:date="2025-05-15T12:36:00Z"/>
                <w:sz w:val="22"/>
                <w:szCs w:val="22"/>
              </w:rPr>
            </w:pPr>
          </w:p>
        </w:tc>
        <w:tc>
          <w:tcPr>
            <w:tcW w:w="1038" w:type="dxa"/>
            <w:tcBorders>
              <w:left w:val="single" w:sz="4" w:space="0" w:color="auto"/>
            </w:tcBorders>
          </w:tcPr>
          <w:p w14:paraId="4620FA0A" w14:textId="3D58883F" w:rsidR="00DE3458" w:rsidRPr="009C5EFD" w:rsidRDefault="00DE3458" w:rsidP="00E65D0C">
            <w:pPr>
              <w:keepNext/>
              <w:jc w:val="center"/>
              <w:rPr>
                <w:del w:id="1718" w:author="AbbVie02no" w:date="2025-05-15T12:36:00Z"/>
                <w:sz w:val="22"/>
                <w:szCs w:val="22"/>
              </w:rPr>
            </w:pPr>
          </w:p>
        </w:tc>
      </w:tr>
      <w:tr w:rsidR="004644D4" w14:paraId="5D576156" w14:textId="69E6D346" w:rsidTr="00AF70AD">
        <w:trPr>
          <w:gridAfter w:val="2"/>
          <w:wAfter w:w="183" w:type="dxa"/>
          <w:cantSplit/>
          <w:trHeight w:val="70"/>
          <w:jc w:val="center"/>
          <w:del w:id="1719" w:author="AbbVie02no" w:date="2025-05-15T12:36:00Z"/>
        </w:trPr>
        <w:tc>
          <w:tcPr>
            <w:tcW w:w="1724" w:type="dxa"/>
            <w:gridSpan w:val="2"/>
          </w:tcPr>
          <w:p w14:paraId="7DF91E86" w14:textId="0CAA6590" w:rsidR="00DE3458" w:rsidRPr="009C5EFD" w:rsidRDefault="00E453CD" w:rsidP="00E65D0C">
            <w:pPr>
              <w:keepNext/>
              <w:rPr>
                <w:del w:id="1720" w:author="AbbVie02no" w:date="2025-05-15T12:36:00Z"/>
                <w:sz w:val="22"/>
                <w:szCs w:val="22"/>
              </w:rPr>
            </w:pPr>
            <w:del w:id="1721" w:author="AbbVie02no" w:date="2025-05-15T12:36:00Z">
              <w:r w:rsidRPr="009C5EFD">
                <w:rPr>
                  <w:sz w:val="22"/>
                  <w:szCs w:val="22"/>
                </w:rPr>
                <w:delText>Uke 52</w:delText>
              </w:r>
            </w:del>
          </w:p>
        </w:tc>
        <w:tc>
          <w:tcPr>
            <w:tcW w:w="1320" w:type="dxa"/>
          </w:tcPr>
          <w:p w14:paraId="5914F616" w14:textId="09D73B03" w:rsidR="00DE3458" w:rsidRPr="009C5EFD" w:rsidRDefault="00E453CD" w:rsidP="00E65D0C">
            <w:pPr>
              <w:keepNext/>
              <w:jc w:val="center"/>
              <w:rPr>
                <w:del w:id="1722" w:author="AbbVie02no" w:date="2025-05-15T12:36:00Z"/>
                <w:sz w:val="22"/>
                <w:szCs w:val="22"/>
              </w:rPr>
            </w:pPr>
            <w:del w:id="1723" w:author="AbbVie02no" w:date="2025-05-15T12:36:00Z">
              <w:r w:rsidRPr="009C5EFD">
                <w:rPr>
                  <w:sz w:val="22"/>
                  <w:szCs w:val="22"/>
                </w:rPr>
                <w:delText>27,2</w:delText>
              </w:r>
              <w:r w:rsidR="00E51AA9" w:rsidRPr="009C5EFD">
                <w:rPr>
                  <w:sz w:val="22"/>
                  <w:szCs w:val="22"/>
                </w:rPr>
                <w:delText xml:space="preserve"> %</w:delText>
              </w:r>
            </w:del>
          </w:p>
        </w:tc>
        <w:tc>
          <w:tcPr>
            <w:tcW w:w="1320" w:type="dxa"/>
          </w:tcPr>
          <w:p w14:paraId="14318A21" w14:textId="56483F6C" w:rsidR="00DE3458" w:rsidRPr="009C5EFD" w:rsidRDefault="00E453CD" w:rsidP="00E65D0C">
            <w:pPr>
              <w:keepNext/>
              <w:jc w:val="center"/>
              <w:rPr>
                <w:del w:id="1724" w:author="AbbVie02no" w:date="2025-05-15T12:36:00Z"/>
                <w:sz w:val="22"/>
                <w:szCs w:val="22"/>
              </w:rPr>
            </w:pPr>
            <w:del w:id="1725" w:author="AbbVie02no" w:date="2025-05-15T12:36:00Z">
              <w:r w:rsidRPr="009C5EFD">
                <w:rPr>
                  <w:sz w:val="22"/>
                  <w:szCs w:val="22"/>
                </w:rPr>
                <w:delText>25,9</w:delText>
              </w:r>
              <w:r w:rsidR="00E51AA9" w:rsidRPr="009C5EFD">
                <w:rPr>
                  <w:sz w:val="22"/>
                  <w:szCs w:val="22"/>
                </w:rPr>
                <w:delText xml:space="preserve"> %</w:delText>
              </w:r>
            </w:del>
          </w:p>
        </w:tc>
        <w:tc>
          <w:tcPr>
            <w:tcW w:w="1576" w:type="dxa"/>
          </w:tcPr>
          <w:p w14:paraId="4B8CC930" w14:textId="6C30AB43" w:rsidR="00DE3458" w:rsidRPr="009C5EFD" w:rsidRDefault="00E453CD" w:rsidP="00E65D0C">
            <w:pPr>
              <w:keepNext/>
              <w:jc w:val="center"/>
              <w:rPr>
                <w:del w:id="1726" w:author="AbbVie02no" w:date="2025-05-15T12:36:00Z"/>
                <w:sz w:val="22"/>
                <w:szCs w:val="22"/>
              </w:rPr>
            </w:pPr>
            <w:del w:id="1727" w:author="AbbVie02no" w:date="2025-05-15T12:36:00Z">
              <w:r w:rsidRPr="009C5EFD">
                <w:rPr>
                  <w:sz w:val="22"/>
                  <w:szCs w:val="22"/>
                </w:rPr>
                <w:delText>45,5</w:delText>
              </w:r>
              <w:r w:rsidR="00E51AA9" w:rsidRPr="009C5EFD">
                <w:rPr>
                  <w:sz w:val="22"/>
                  <w:szCs w:val="22"/>
                </w:rPr>
                <w:delText xml:space="preserve"> %</w:delText>
              </w:r>
            </w:del>
          </w:p>
        </w:tc>
        <w:tc>
          <w:tcPr>
            <w:tcW w:w="1100" w:type="dxa"/>
          </w:tcPr>
          <w:p w14:paraId="730F0EED" w14:textId="53ED25C2" w:rsidR="00DE3458" w:rsidRPr="009C5EFD" w:rsidRDefault="00E453CD" w:rsidP="00E65D0C">
            <w:pPr>
              <w:keepNext/>
              <w:jc w:val="center"/>
              <w:rPr>
                <w:del w:id="1728" w:author="AbbVie02no" w:date="2025-05-15T12:36:00Z"/>
                <w:sz w:val="22"/>
                <w:szCs w:val="22"/>
              </w:rPr>
            </w:pPr>
            <w:del w:id="1729" w:author="AbbVie02no" w:date="2025-05-15T12:36:00Z">
              <w:r w:rsidRPr="009C5EFD">
                <w:rPr>
                  <w:sz w:val="22"/>
                  <w:szCs w:val="22"/>
                </w:rPr>
                <w:delText>&lt; 0,001</w:delText>
              </w:r>
            </w:del>
          </w:p>
        </w:tc>
        <w:tc>
          <w:tcPr>
            <w:tcW w:w="1173" w:type="dxa"/>
          </w:tcPr>
          <w:p w14:paraId="23BC87CB" w14:textId="4554EFD1" w:rsidR="00DE3458" w:rsidRPr="009C5EFD" w:rsidRDefault="00E453CD" w:rsidP="00E65D0C">
            <w:pPr>
              <w:keepNext/>
              <w:jc w:val="center"/>
              <w:rPr>
                <w:del w:id="1730" w:author="AbbVie02no" w:date="2025-05-15T12:36:00Z"/>
                <w:sz w:val="22"/>
                <w:szCs w:val="22"/>
              </w:rPr>
            </w:pPr>
            <w:del w:id="1731" w:author="AbbVie02no" w:date="2025-05-15T12:36:00Z">
              <w:r w:rsidRPr="009C5EFD">
                <w:rPr>
                  <w:sz w:val="22"/>
                  <w:szCs w:val="22"/>
                </w:rPr>
                <w:delText>&lt; 0,001</w:delText>
              </w:r>
            </w:del>
          </w:p>
        </w:tc>
        <w:tc>
          <w:tcPr>
            <w:tcW w:w="1038" w:type="dxa"/>
          </w:tcPr>
          <w:p w14:paraId="12B24D97" w14:textId="7C086A66" w:rsidR="00DE3458" w:rsidRPr="009C5EFD" w:rsidRDefault="00E453CD" w:rsidP="00E65D0C">
            <w:pPr>
              <w:keepNext/>
              <w:jc w:val="center"/>
              <w:rPr>
                <w:del w:id="1732" w:author="AbbVie02no" w:date="2025-05-15T12:36:00Z"/>
                <w:sz w:val="22"/>
                <w:szCs w:val="22"/>
              </w:rPr>
            </w:pPr>
            <w:del w:id="1733" w:author="AbbVie02no" w:date="2025-05-15T12:36:00Z">
              <w:r w:rsidRPr="009C5EFD">
                <w:rPr>
                  <w:sz w:val="22"/>
                  <w:szCs w:val="22"/>
                </w:rPr>
                <w:delText>0,656</w:delText>
              </w:r>
            </w:del>
          </w:p>
        </w:tc>
      </w:tr>
      <w:tr w:rsidR="004644D4" w14:paraId="6843A245" w14:textId="50779F0D" w:rsidTr="00AF70AD">
        <w:trPr>
          <w:gridAfter w:val="2"/>
          <w:wAfter w:w="183" w:type="dxa"/>
          <w:cantSplit/>
          <w:jc w:val="center"/>
          <w:del w:id="1734" w:author="AbbVie02no" w:date="2025-05-15T12:36:00Z"/>
        </w:trPr>
        <w:tc>
          <w:tcPr>
            <w:tcW w:w="1724" w:type="dxa"/>
            <w:gridSpan w:val="2"/>
          </w:tcPr>
          <w:p w14:paraId="7C3E0504" w14:textId="67CBDFBC" w:rsidR="00DE3458" w:rsidRPr="009C5EFD" w:rsidRDefault="00E453CD" w:rsidP="00E65D0C">
            <w:pPr>
              <w:keepNext/>
              <w:rPr>
                <w:del w:id="1735" w:author="AbbVie02no" w:date="2025-05-15T12:36:00Z"/>
                <w:sz w:val="22"/>
                <w:szCs w:val="22"/>
              </w:rPr>
            </w:pPr>
            <w:del w:id="1736" w:author="AbbVie02no" w:date="2025-05-15T12:36:00Z">
              <w:r w:rsidRPr="009C5EFD">
                <w:rPr>
                  <w:sz w:val="22"/>
                  <w:szCs w:val="22"/>
                </w:rPr>
                <w:delText>Uke 104</w:delText>
              </w:r>
            </w:del>
          </w:p>
        </w:tc>
        <w:tc>
          <w:tcPr>
            <w:tcW w:w="1320" w:type="dxa"/>
          </w:tcPr>
          <w:p w14:paraId="7253766B" w14:textId="1E263ED6" w:rsidR="00DE3458" w:rsidRPr="009C5EFD" w:rsidRDefault="00E453CD" w:rsidP="00E65D0C">
            <w:pPr>
              <w:keepNext/>
              <w:jc w:val="center"/>
              <w:rPr>
                <w:del w:id="1737" w:author="AbbVie02no" w:date="2025-05-15T12:36:00Z"/>
                <w:sz w:val="22"/>
                <w:szCs w:val="22"/>
              </w:rPr>
            </w:pPr>
            <w:del w:id="1738" w:author="AbbVie02no" w:date="2025-05-15T12:36:00Z">
              <w:r w:rsidRPr="009C5EFD">
                <w:rPr>
                  <w:sz w:val="22"/>
                  <w:szCs w:val="22"/>
                </w:rPr>
                <w:delText>28,4</w:delText>
              </w:r>
              <w:r w:rsidR="00E51AA9" w:rsidRPr="009C5EFD">
                <w:rPr>
                  <w:sz w:val="22"/>
                  <w:szCs w:val="22"/>
                </w:rPr>
                <w:delText xml:space="preserve"> %</w:delText>
              </w:r>
            </w:del>
          </w:p>
        </w:tc>
        <w:tc>
          <w:tcPr>
            <w:tcW w:w="1320" w:type="dxa"/>
          </w:tcPr>
          <w:p w14:paraId="06F2CC67" w14:textId="1EDC190A" w:rsidR="00DE3458" w:rsidRPr="009C5EFD" w:rsidRDefault="00E453CD" w:rsidP="00E65D0C">
            <w:pPr>
              <w:keepNext/>
              <w:jc w:val="center"/>
              <w:rPr>
                <w:del w:id="1739" w:author="AbbVie02no" w:date="2025-05-15T12:36:00Z"/>
                <w:sz w:val="22"/>
                <w:szCs w:val="22"/>
              </w:rPr>
            </w:pPr>
            <w:del w:id="1740" w:author="AbbVie02no" w:date="2025-05-15T12:36:00Z">
              <w:r w:rsidRPr="009C5EFD">
                <w:rPr>
                  <w:sz w:val="22"/>
                  <w:szCs w:val="22"/>
                </w:rPr>
                <w:delText>28,1</w:delText>
              </w:r>
              <w:r w:rsidR="00E51AA9" w:rsidRPr="009C5EFD">
                <w:rPr>
                  <w:sz w:val="22"/>
                  <w:szCs w:val="22"/>
                </w:rPr>
                <w:delText xml:space="preserve"> %</w:delText>
              </w:r>
            </w:del>
          </w:p>
        </w:tc>
        <w:tc>
          <w:tcPr>
            <w:tcW w:w="1576" w:type="dxa"/>
          </w:tcPr>
          <w:p w14:paraId="2B9843B1" w14:textId="0984ABD6" w:rsidR="00DE3458" w:rsidRPr="009C5EFD" w:rsidRDefault="00E453CD" w:rsidP="00E65D0C">
            <w:pPr>
              <w:keepNext/>
              <w:jc w:val="center"/>
              <w:rPr>
                <w:del w:id="1741" w:author="AbbVie02no" w:date="2025-05-15T12:36:00Z"/>
                <w:sz w:val="22"/>
                <w:szCs w:val="22"/>
              </w:rPr>
            </w:pPr>
            <w:del w:id="1742" w:author="AbbVie02no" w:date="2025-05-15T12:36:00Z">
              <w:r w:rsidRPr="009C5EFD">
                <w:rPr>
                  <w:sz w:val="22"/>
                  <w:szCs w:val="22"/>
                </w:rPr>
                <w:delText>46,6</w:delText>
              </w:r>
              <w:r w:rsidR="00E51AA9" w:rsidRPr="009C5EFD">
                <w:rPr>
                  <w:sz w:val="22"/>
                  <w:szCs w:val="22"/>
                </w:rPr>
                <w:delText xml:space="preserve"> %</w:delText>
              </w:r>
            </w:del>
          </w:p>
        </w:tc>
        <w:tc>
          <w:tcPr>
            <w:tcW w:w="1100" w:type="dxa"/>
          </w:tcPr>
          <w:p w14:paraId="0B69A097" w14:textId="1EA71989" w:rsidR="00DE3458" w:rsidRPr="009C5EFD" w:rsidRDefault="00E453CD" w:rsidP="00E65D0C">
            <w:pPr>
              <w:keepNext/>
              <w:jc w:val="center"/>
              <w:rPr>
                <w:del w:id="1743" w:author="AbbVie02no" w:date="2025-05-15T12:36:00Z"/>
                <w:sz w:val="22"/>
                <w:szCs w:val="22"/>
              </w:rPr>
            </w:pPr>
            <w:del w:id="1744" w:author="AbbVie02no" w:date="2025-05-15T12:36:00Z">
              <w:r w:rsidRPr="009C5EFD">
                <w:rPr>
                  <w:sz w:val="22"/>
                  <w:szCs w:val="22"/>
                </w:rPr>
                <w:delText>&lt; 0,001</w:delText>
              </w:r>
            </w:del>
          </w:p>
        </w:tc>
        <w:tc>
          <w:tcPr>
            <w:tcW w:w="1173" w:type="dxa"/>
          </w:tcPr>
          <w:p w14:paraId="6E4278AD" w14:textId="7F9FD85C" w:rsidR="00DE3458" w:rsidRPr="009C5EFD" w:rsidRDefault="00E453CD" w:rsidP="00E65D0C">
            <w:pPr>
              <w:keepNext/>
              <w:jc w:val="center"/>
              <w:rPr>
                <w:del w:id="1745" w:author="AbbVie02no" w:date="2025-05-15T12:36:00Z"/>
                <w:sz w:val="22"/>
                <w:szCs w:val="22"/>
              </w:rPr>
            </w:pPr>
            <w:del w:id="1746" w:author="AbbVie02no" w:date="2025-05-15T12:36:00Z">
              <w:r w:rsidRPr="009C5EFD">
                <w:rPr>
                  <w:sz w:val="22"/>
                  <w:szCs w:val="22"/>
                </w:rPr>
                <w:delText>&lt; 0,001</w:delText>
              </w:r>
            </w:del>
          </w:p>
        </w:tc>
        <w:tc>
          <w:tcPr>
            <w:tcW w:w="1038" w:type="dxa"/>
          </w:tcPr>
          <w:p w14:paraId="071C6B0E" w14:textId="4AA90026" w:rsidR="00DE3458" w:rsidRPr="009C5EFD" w:rsidRDefault="00E453CD" w:rsidP="00E65D0C">
            <w:pPr>
              <w:keepNext/>
              <w:jc w:val="center"/>
              <w:rPr>
                <w:del w:id="1747" w:author="AbbVie02no" w:date="2025-05-15T12:36:00Z"/>
                <w:sz w:val="22"/>
                <w:szCs w:val="22"/>
              </w:rPr>
            </w:pPr>
            <w:del w:id="1748" w:author="AbbVie02no" w:date="2025-05-15T12:36:00Z">
              <w:r w:rsidRPr="009C5EFD">
                <w:rPr>
                  <w:sz w:val="22"/>
                  <w:szCs w:val="22"/>
                </w:rPr>
                <w:delText>0,864</w:delText>
              </w:r>
            </w:del>
          </w:p>
        </w:tc>
      </w:tr>
      <w:tr w:rsidR="004644D4" w14:paraId="7DB1FD80" w14:textId="2C7A421A" w:rsidTr="00AF70AD">
        <w:trPr>
          <w:gridBefore w:val="1"/>
          <w:gridAfter w:val="1"/>
          <w:wBefore w:w="6" w:type="dxa"/>
          <w:wAfter w:w="174" w:type="dxa"/>
          <w:cantSplit/>
          <w:jc w:val="center"/>
          <w:del w:id="1749" w:author="AbbVie02no" w:date="2025-05-15T12:36:00Z"/>
        </w:trPr>
        <w:tc>
          <w:tcPr>
            <w:tcW w:w="9254" w:type="dxa"/>
            <w:gridSpan w:val="8"/>
          </w:tcPr>
          <w:p w14:paraId="05B51506" w14:textId="5EF697F9" w:rsidR="00DE3458" w:rsidRPr="007F67EE" w:rsidRDefault="00E453CD" w:rsidP="00E65D0C">
            <w:pPr>
              <w:pStyle w:val="BodyTextIndent2"/>
              <w:keepNext/>
              <w:tabs>
                <w:tab w:val="left" w:pos="330"/>
              </w:tabs>
              <w:ind w:left="330" w:hanging="330"/>
              <w:rPr>
                <w:del w:id="1750" w:author="AbbVie02no" w:date="2025-05-15T12:36:00Z"/>
                <w:szCs w:val="22"/>
              </w:rPr>
            </w:pPr>
            <w:del w:id="1751" w:author="AbbVie02no" w:date="2025-05-15T12:36:00Z">
              <w:r w:rsidRPr="0015674E">
                <w:rPr>
                  <w:szCs w:val="22"/>
                  <w:vertAlign w:val="superscript"/>
                </w:rPr>
                <w:delText>a</w:delText>
              </w:r>
              <w:r w:rsidR="00080235">
                <w:rPr>
                  <w:szCs w:val="22"/>
                </w:rPr>
                <w:delText xml:space="preserve"> </w:delText>
              </w:r>
              <w:r w:rsidRPr="007F67EE">
                <w:rPr>
                  <w:szCs w:val="22"/>
                </w:rPr>
                <w:delText>p-verdien er fra den parvise sammenligningen av metotreksat monoterapi og Humira/metotreksat kombinasjonsbehandling med Mann-Whitney U testen.</w:delText>
              </w:r>
            </w:del>
          </w:p>
          <w:p w14:paraId="0EF4467F" w14:textId="40E00A1D" w:rsidR="00DE3458" w:rsidRPr="007F67EE" w:rsidRDefault="00E453CD" w:rsidP="00E65D0C">
            <w:pPr>
              <w:pStyle w:val="BodyTextIndent2"/>
              <w:keepNext/>
              <w:tabs>
                <w:tab w:val="left" w:pos="330"/>
              </w:tabs>
              <w:ind w:left="330" w:hanging="330"/>
              <w:rPr>
                <w:del w:id="1752" w:author="AbbVie02no" w:date="2025-05-15T12:36:00Z"/>
                <w:szCs w:val="22"/>
              </w:rPr>
            </w:pPr>
            <w:del w:id="1753" w:author="AbbVie02no" w:date="2025-05-15T12:36:00Z">
              <w:r w:rsidRPr="0015674E">
                <w:rPr>
                  <w:szCs w:val="22"/>
                  <w:vertAlign w:val="superscript"/>
                </w:rPr>
                <w:delText>b</w:delText>
              </w:r>
              <w:r w:rsidR="00080235">
                <w:rPr>
                  <w:szCs w:val="22"/>
                </w:rPr>
                <w:delText xml:space="preserve"> </w:delText>
              </w:r>
              <w:r w:rsidRPr="007F67EE">
                <w:rPr>
                  <w:szCs w:val="22"/>
                </w:rPr>
                <w:delText>p-verdien er fra den parvise sammenligningen av Humira monoterapi og Humira/metotreksat kombinasjonsbehandling med Mann-Whitney U testen.</w:delText>
              </w:r>
            </w:del>
          </w:p>
          <w:p w14:paraId="4C413C45" w14:textId="6A3FCBCC" w:rsidR="00DE3458" w:rsidRPr="002D0790" w:rsidRDefault="00E453CD" w:rsidP="00E65D0C">
            <w:pPr>
              <w:pStyle w:val="BodyTextIndent"/>
              <w:keepNext/>
              <w:ind w:left="330" w:hanging="330"/>
              <w:rPr>
                <w:del w:id="1754" w:author="AbbVie02no" w:date="2025-05-15T12:36:00Z"/>
                <w:b/>
                <w:sz w:val="22"/>
                <w:szCs w:val="22"/>
              </w:rPr>
            </w:pPr>
            <w:del w:id="1755" w:author="AbbVie02no" w:date="2025-05-15T12:36:00Z">
              <w:r w:rsidRPr="0015674E">
                <w:rPr>
                  <w:sz w:val="22"/>
                  <w:szCs w:val="22"/>
                  <w:vertAlign w:val="superscript"/>
                </w:rPr>
                <w:delText>c</w:delText>
              </w:r>
              <w:r w:rsidRPr="00193D76">
                <w:rPr>
                  <w:sz w:val="22"/>
                  <w:szCs w:val="22"/>
                </w:rPr>
                <w:delText xml:space="preserve"> p-verdien er fra den parvise sammenligningen av Humira monoterapi og metotreksat monoterapi med Mann-Whitney U testen.</w:delText>
              </w:r>
            </w:del>
          </w:p>
        </w:tc>
      </w:tr>
    </w:tbl>
    <w:p w14:paraId="305720EB" w14:textId="6946B5FC" w:rsidR="00DE3458" w:rsidRPr="009C5EFD" w:rsidRDefault="00DE3458" w:rsidP="007F67EE">
      <w:pPr>
        <w:rPr>
          <w:del w:id="1756" w:author="AbbVie02no" w:date="2025-05-15T12:36:00Z"/>
          <w:sz w:val="22"/>
          <w:szCs w:val="22"/>
        </w:rPr>
      </w:pPr>
    </w:p>
    <w:p w14:paraId="1996B64F" w14:textId="36209E5A" w:rsidR="00624EAF" w:rsidRDefault="00E453CD" w:rsidP="007F67EE">
      <w:pPr>
        <w:rPr>
          <w:del w:id="1757" w:author="AbbVie02no" w:date="2025-05-15T12:36:00Z"/>
          <w:sz w:val="22"/>
          <w:szCs w:val="22"/>
        </w:rPr>
      </w:pPr>
      <w:del w:id="1758" w:author="AbbVie02no" w:date="2025-05-15T12:36:00Z">
        <w:r>
          <w:rPr>
            <w:sz w:val="22"/>
            <w:szCs w:val="22"/>
          </w:rPr>
          <w:delText>I den åpne forlengelsesfasen for RA studie V, ble ACR-responsrater vedlikeholdt</w:delText>
        </w:r>
        <w:r w:rsidR="002C16EF">
          <w:rPr>
            <w:sz w:val="22"/>
            <w:szCs w:val="22"/>
          </w:rPr>
          <w:delText xml:space="preserve"> i</w:delText>
        </w:r>
        <w:r>
          <w:rPr>
            <w:sz w:val="22"/>
            <w:szCs w:val="22"/>
          </w:rPr>
          <w:delText xml:space="preserve"> opptil 10 år. Av 542 pasienter randomisert til Humira 40 mg annenhver uke</w:delText>
        </w:r>
        <w:r w:rsidR="002C16EF">
          <w:rPr>
            <w:sz w:val="22"/>
            <w:szCs w:val="22"/>
          </w:rPr>
          <w:delText>,</w:delText>
        </w:r>
        <w:r>
          <w:rPr>
            <w:sz w:val="22"/>
            <w:szCs w:val="22"/>
          </w:rPr>
          <w:delText xml:space="preserve"> fortsatte 170 </w:delText>
        </w:r>
        <w:r w:rsidR="003B49EC">
          <w:rPr>
            <w:sz w:val="22"/>
            <w:szCs w:val="22"/>
          </w:rPr>
          <w:delText xml:space="preserve">pasienter </w:delText>
        </w:r>
        <w:r w:rsidR="00505F9D">
          <w:rPr>
            <w:sz w:val="22"/>
            <w:szCs w:val="22"/>
          </w:rPr>
          <w:delText>med</w:delText>
        </w:r>
        <w:r>
          <w:rPr>
            <w:sz w:val="22"/>
            <w:szCs w:val="22"/>
          </w:rPr>
          <w:delText xml:space="preserve"> Humira 40 mg annenhver uke i 10 år. Av disse hadde 154 pasienter (90,6 %) ACR </w:delText>
        </w:r>
        <w:r w:rsidR="00EC5A19">
          <w:rPr>
            <w:sz w:val="22"/>
            <w:szCs w:val="22"/>
          </w:rPr>
          <w:delText>20-respons</w:delText>
        </w:r>
        <w:r>
          <w:rPr>
            <w:sz w:val="22"/>
            <w:szCs w:val="22"/>
          </w:rPr>
          <w:delText xml:space="preserve">er, 127 pasienter (74,7 %) hadde ACR </w:delText>
        </w:r>
        <w:r w:rsidR="00EC5A19">
          <w:rPr>
            <w:sz w:val="22"/>
            <w:szCs w:val="22"/>
          </w:rPr>
          <w:delText>50-respons</w:delText>
        </w:r>
        <w:r>
          <w:rPr>
            <w:sz w:val="22"/>
            <w:szCs w:val="22"/>
          </w:rPr>
          <w:delText xml:space="preserve">er og 102 pasienter (60,0 %) hadde ACR </w:delText>
        </w:r>
        <w:r w:rsidR="00366B6C">
          <w:rPr>
            <w:sz w:val="22"/>
            <w:szCs w:val="22"/>
          </w:rPr>
          <w:delText>70-respons</w:delText>
        </w:r>
        <w:r>
          <w:rPr>
            <w:sz w:val="22"/>
            <w:szCs w:val="22"/>
          </w:rPr>
          <w:delText>er.</w:delText>
        </w:r>
      </w:del>
    </w:p>
    <w:p w14:paraId="45DCAD7F" w14:textId="1C67A3F6" w:rsidR="00624EAF" w:rsidRDefault="00624EAF" w:rsidP="007F67EE">
      <w:pPr>
        <w:rPr>
          <w:del w:id="1759" w:author="AbbVie02no" w:date="2025-05-15T12:36:00Z"/>
          <w:sz w:val="22"/>
          <w:szCs w:val="22"/>
        </w:rPr>
      </w:pPr>
    </w:p>
    <w:p w14:paraId="3DF8AED6" w14:textId="2A267C14" w:rsidR="00DE3458" w:rsidRPr="009C5EFD" w:rsidRDefault="00E453CD" w:rsidP="007F67EE">
      <w:pPr>
        <w:rPr>
          <w:del w:id="1760" w:author="AbbVie02no" w:date="2025-05-15T12:36:00Z"/>
          <w:sz w:val="22"/>
          <w:szCs w:val="22"/>
        </w:rPr>
      </w:pPr>
      <w:del w:id="1761" w:author="AbbVie02no" w:date="2025-05-15T12:36:00Z">
        <w:r w:rsidRPr="009C5EFD">
          <w:rPr>
            <w:sz w:val="22"/>
            <w:szCs w:val="22"/>
          </w:rPr>
          <w:delText>Ved uke 52 oppnådde 42,9</w:delText>
        </w:r>
        <w:r w:rsidR="00E51AA9" w:rsidRPr="009C5EFD">
          <w:rPr>
            <w:sz w:val="22"/>
            <w:szCs w:val="22"/>
          </w:rPr>
          <w:delText xml:space="preserve"> %</w:delText>
        </w:r>
        <w:r w:rsidRPr="009C5EFD">
          <w:rPr>
            <w:sz w:val="22"/>
            <w:szCs w:val="22"/>
          </w:rPr>
          <w:delText xml:space="preserve"> av pasientene som fikk kombinasjonsbehandling med Humira/metotreksat klinisk remisjon (DAS28 </w:delText>
        </w:r>
        <w:r w:rsidR="00624EAF">
          <w:rPr>
            <w:sz w:val="22"/>
            <w:szCs w:val="22"/>
          </w:rPr>
          <w:delText xml:space="preserve">(CRP) </w:delText>
        </w:r>
        <w:r w:rsidRPr="009C5EFD">
          <w:rPr>
            <w:sz w:val="22"/>
            <w:szCs w:val="22"/>
          </w:rPr>
          <w:delText>&lt; 2,6) sammenlignet med 20,6</w:delText>
        </w:r>
        <w:r w:rsidR="00E51AA9" w:rsidRPr="009C5EFD">
          <w:rPr>
            <w:sz w:val="22"/>
            <w:szCs w:val="22"/>
          </w:rPr>
          <w:delText xml:space="preserve"> %</w:delText>
        </w:r>
        <w:r w:rsidRPr="009C5EFD">
          <w:rPr>
            <w:sz w:val="22"/>
            <w:szCs w:val="22"/>
          </w:rPr>
          <w:delText xml:space="preserve"> av pasientene som fikk metotreksat monoterapi og 23,4</w:delText>
        </w:r>
        <w:r w:rsidR="00E51AA9" w:rsidRPr="009C5EFD">
          <w:rPr>
            <w:sz w:val="22"/>
            <w:szCs w:val="22"/>
          </w:rPr>
          <w:delText xml:space="preserve"> %</w:delText>
        </w:r>
        <w:r w:rsidRPr="009C5EFD">
          <w:rPr>
            <w:sz w:val="22"/>
            <w:szCs w:val="22"/>
          </w:rPr>
          <w:delText xml:space="preserve"> av pasientene som fikk Humira monoterapi. Kombinasjonsbehandling med Humira/metotreksat var klinisk og statistisk bedre enn metotreksat (p &lt; 0,001) og </w:delText>
        </w:r>
        <w:r w:rsidR="00601E47" w:rsidRPr="009C5EFD">
          <w:rPr>
            <w:sz w:val="22"/>
            <w:szCs w:val="22"/>
          </w:rPr>
          <w:delText>Humira</w:delText>
        </w:r>
        <w:r w:rsidRPr="009C5EFD">
          <w:rPr>
            <w:sz w:val="22"/>
            <w:szCs w:val="22"/>
          </w:rPr>
          <w:delText xml:space="preserve"> monoterapi (p &lt; 0,001), </w:delText>
        </w:r>
        <w:r w:rsidR="00822F35" w:rsidRPr="009C5EFD">
          <w:rPr>
            <w:sz w:val="22"/>
            <w:szCs w:val="22"/>
          </w:rPr>
          <w:delText>i</w:delText>
        </w:r>
        <w:r w:rsidRPr="009C5EFD">
          <w:rPr>
            <w:sz w:val="22"/>
            <w:szCs w:val="22"/>
          </w:rPr>
          <w:delText xml:space="preserve"> å oppnå en l</w:delText>
        </w:r>
        <w:r w:rsidR="0076776D" w:rsidRPr="009C5EFD">
          <w:rPr>
            <w:sz w:val="22"/>
            <w:szCs w:val="22"/>
          </w:rPr>
          <w:delText>ettere</w:delText>
        </w:r>
        <w:r w:rsidRPr="009C5EFD">
          <w:rPr>
            <w:sz w:val="22"/>
            <w:szCs w:val="22"/>
          </w:rPr>
          <w:delText xml:space="preserve"> sykdomstilstand, for pasienter som nylig var diagnostisert med moderat til alvorlig revmatoid artritt. Responsen for de to monoterapiarmene var lik (p = 0,447).</w:delText>
        </w:r>
        <w:r w:rsidR="00624EAF">
          <w:rPr>
            <w:sz w:val="22"/>
            <w:szCs w:val="22"/>
          </w:rPr>
          <w:delText xml:space="preserve"> Av 342 pasienter</w:delText>
        </w:r>
        <w:r w:rsidR="000E3D8A">
          <w:rPr>
            <w:sz w:val="22"/>
            <w:szCs w:val="22"/>
          </w:rPr>
          <w:delText xml:space="preserve"> opprinnelig</w:delText>
        </w:r>
        <w:r w:rsidR="00624EAF">
          <w:rPr>
            <w:sz w:val="22"/>
            <w:szCs w:val="22"/>
          </w:rPr>
          <w:delText xml:space="preserve"> randomisert til </w:delText>
        </w:r>
        <w:r w:rsidR="00096CE6">
          <w:rPr>
            <w:sz w:val="22"/>
            <w:szCs w:val="22"/>
          </w:rPr>
          <w:delText xml:space="preserve">Humira </w:delText>
        </w:r>
        <w:r w:rsidR="00624EAF">
          <w:rPr>
            <w:sz w:val="22"/>
            <w:szCs w:val="22"/>
          </w:rPr>
          <w:delText>monoterapi eller Humira/metotreksat kombinasjons</w:delText>
        </w:r>
        <w:r w:rsidR="00096CE6">
          <w:rPr>
            <w:sz w:val="22"/>
            <w:szCs w:val="22"/>
          </w:rPr>
          <w:delText>behandling, som ble inkludert i den åpne forlengelsesfasen, fullførte 171 pasienter 10 år med Humira-behandling.</w:delText>
        </w:r>
        <w:r w:rsidR="00CF752E">
          <w:rPr>
            <w:sz w:val="22"/>
            <w:szCs w:val="22"/>
          </w:rPr>
          <w:delText xml:space="preserve"> Blant disse ble 109 pasienter (63,7 %) rapportert til å være i remisjon etter 10 år.</w:delText>
        </w:r>
      </w:del>
    </w:p>
    <w:p w14:paraId="08582F72" w14:textId="2172D7B2" w:rsidR="00174B13" w:rsidRPr="009C5EFD" w:rsidRDefault="00174B13" w:rsidP="00193D76">
      <w:pPr>
        <w:pStyle w:val="Heading7"/>
        <w:keepNext w:val="0"/>
        <w:rPr>
          <w:del w:id="1762" w:author="AbbVie02no" w:date="2025-05-15T12:36:00Z"/>
          <w:i w:val="0"/>
          <w:szCs w:val="22"/>
          <w:u w:val="single"/>
        </w:rPr>
      </w:pPr>
    </w:p>
    <w:p w14:paraId="3A20EAE0" w14:textId="5A3E83F8" w:rsidR="00DE3458" w:rsidRPr="00193D76" w:rsidRDefault="00E453CD" w:rsidP="00776A84">
      <w:pPr>
        <w:pStyle w:val="Heading7"/>
        <w:rPr>
          <w:del w:id="1763" w:author="AbbVie02no" w:date="2025-05-15T12:36:00Z"/>
          <w:i w:val="0"/>
          <w:szCs w:val="22"/>
          <w:u w:val="single"/>
        </w:rPr>
      </w:pPr>
      <w:del w:id="1764" w:author="AbbVie02no" w:date="2025-05-15T12:36:00Z">
        <w:r>
          <w:rPr>
            <w:i w:val="0"/>
            <w:noProof/>
            <w:szCs w:val="22"/>
            <w:u w:val="single"/>
            <w:lang w:val="en-GB" w:eastAsia="en-GB"/>
          </w:rPr>
          <mc:AlternateContent>
            <mc:Choice Requires="wps">
              <w:drawing>
                <wp:anchor distT="0" distB="0" distL="114300" distR="114300" simplePos="0" relativeHeight="251658241" behindDoc="0" locked="0" layoutInCell="0" allowOverlap="1" wp14:anchorId="36DDEB4E" wp14:editId="7A98D038">
                  <wp:simplePos x="0" y="0"/>
                  <wp:positionH relativeFrom="column">
                    <wp:posOffset>-1943100</wp:posOffset>
                  </wp:positionH>
                  <wp:positionV relativeFrom="paragraph">
                    <wp:posOffset>67310</wp:posOffset>
                  </wp:positionV>
                  <wp:extent cx="571500" cy="335280"/>
                  <wp:effectExtent l="0" t="0" r="0" b="0"/>
                  <wp:wrapNone/>
                  <wp:docPr id="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0E54FE" w14:textId="77777777" w:rsidR="001F4B85" w:rsidRDefault="001F4B85">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6DDEB4E" id="_x0000_s1031" type="#_x0000_t202" style="position:absolute;left:0;text-align:left;margin-left:-153pt;margin-top:5.3pt;width:45pt;height:26.4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" o:allowincell="f" stroked="f">
                  <v:textbox>
                    <w:txbxContent>
                      <w:p w14:paraId="660E54FE" w14:textId="77777777" w:rsidR="001F4B85" w:rsidRDefault="001F4B85">
                        <w:pPr>
                          <w:rPr>
                            <w:sz w:val="20"/>
                          </w:rPr>
                        </w:pPr>
                      </w:p>
                    </w:txbxContent>
                  </v:textbox>
                </v:shape>
              </w:pict>
            </mc:Fallback>
          </mc:AlternateContent>
        </w:r>
        <w:r>
          <w:rPr>
            <w:i w:val="0"/>
            <w:noProof/>
            <w:szCs w:val="22"/>
            <w:u w:val="single"/>
            <w:lang w:val="en-GB" w:eastAsia="en-GB"/>
          </w:rPr>
          <mc:AlternateContent>
            <mc:Choice Requires="wps">
              <w:drawing>
                <wp:anchor distT="0" distB="0" distL="114300" distR="114300" simplePos="0" relativeHeight="251658246" behindDoc="0" locked="0" layoutInCell="0" allowOverlap="1" wp14:anchorId="53790016" wp14:editId="64051CB0">
                  <wp:simplePos x="0" y="0"/>
                  <wp:positionH relativeFrom="column">
                    <wp:posOffset>-1943100</wp:posOffset>
                  </wp:positionH>
                  <wp:positionV relativeFrom="paragraph">
                    <wp:posOffset>67310</wp:posOffset>
                  </wp:positionV>
                  <wp:extent cx="571500" cy="335280"/>
                  <wp:effectExtent l="0" t="0" r="0" b="0"/>
                  <wp:wrapNone/>
                  <wp:docPr id="4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59103" w14:textId="77777777" w:rsidR="001F4B85" w:rsidRDefault="001F4B85" w:rsidP="003E310A">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3790016" id="_x0000_s1032" type="#_x0000_t202" style="position:absolute;left:0;text-align:left;margin-left:-153pt;margin-top:5.3pt;width:45pt;height:26.4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" o:allowincell="f" stroked="f">
                  <v:textbox>
                    <w:txbxContent>
                      <w:p w14:paraId="09859103" w14:textId="77777777" w:rsidR="001F4B85" w:rsidRDefault="001F4B85" w:rsidP="003E310A">
                        <w:pPr>
                          <w:rPr>
                            <w:sz w:val="20"/>
                          </w:rPr>
                        </w:pPr>
                      </w:p>
                    </w:txbxContent>
                  </v:textbox>
                </v:shape>
              </w:pict>
            </mc:Fallback>
          </mc:AlternateContent>
        </w:r>
        <w:r w:rsidR="003E310A" w:rsidRPr="009608CE">
          <w:rPr>
            <w:szCs w:val="22"/>
            <w:u w:val="single"/>
          </w:rPr>
          <w:delText>Radiografisk respons</w:delText>
        </w:r>
      </w:del>
    </w:p>
    <w:p w14:paraId="1BDF71A3" w14:textId="2B59B4B6" w:rsidR="00DE3458" w:rsidRPr="001F5D4B" w:rsidRDefault="00DE3458" w:rsidP="00776A84">
      <w:pPr>
        <w:keepNext/>
        <w:rPr>
          <w:del w:id="1765" w:author="AbbVie02no" w:date="2025-05-15T12:36:00Z"/>
          <w:sz w:val="22"/>
          <w:szCs w:val="22"/>
        </w:rPr>
      </w:pPr>
    </w:p>
    <w:p w14:paraId="66174105" w14:textId="4EBCA6EA" w:rsidR="00F57451" w:rsidRPr="009C5EFD" w:rsidRDefault="00E453CD" w:rsidP="00E14E58">
      <w:pPr>
        <w:rPr>
          <w:del w:id="1766" w:author="AbbVie02no" w:date="2025-05-15T12:36:00Z"/>
          <w:sz w:val="22"/>
          <w:szCs w:val="22"/>
        </w:rPr>
      </w:pPr>
      <w:del w:id="1767" w:author="AbbVie02no" w:date="2025-05-15T12:36:00Z">
        <w:r w:rsidRPr="007F67EE">
          <w:rPr>
            <w:sz w:val="22"/>
            <w:szCs w:val="22"/>
          </w:rPr>
          <w:delText>I RA-studie III, der pasienter behandlet med Humira hadde hatt revmatoid artritt i gjennomsnittlig 11 år, ble den strukturelle leddskaden vurdert radiografisk o</w:delText>
        </w:r>
        <w:r w:rsidRPr="00193D76">
          <w:rPr>
            <w:sz w:val="22"/>
            <w:szCs w:val="22"/>
          </w:rPr>
          <w:delText>g uttrykt som endringer i den modifiserte Total Sharp Score (TSS) og dens delkomponenter, erosjonsscoren og leddspaltescoren. Humira/</w:delText>
        </w:r>
        <w:r w:rsidR="002E64D8" w:rsidRPr="002D0790">
          <w:rPr>
            <w:sz w:val="22"/>
            <w:szCs w:val="22"/>
          </w:rPr>
          <w:delText>m</w:delText>
        </w:r>
        <w:r w:rsidRPr="002D0790">
          <w:rPr>
            <w:sz w:val="22"/>
            <w:szCs w:val="22"/>
          </w:rPr>
          <w:delText>etotreksat pasienter viste signifikant mindre radiografisk progresjon enn pasienter som kun fikk metotreksat ved 6 og 12 m</w:delText>
        </w:r>
        <w:r w:rsidRPr="00E14E58">
          <w:rPr>
            <w:sz w:val="22"/>
            <w:szCs w:val="22"/>
          </w:rPr>
          <w:delText xml:space="preserve">åneder (se tabell </w:delText>
        </w:r>
        <w:r w:rsidR="00460F41">
          <w:rPr>
            <w:sz w:val="22"/>
            <w:szCs w:val="22"/>
          </w:rPr>
          <w:delText>1</w:delText>
        </w:r>
        <w:r w:rsidR="00DC39C9">
          <w:rPr>
            <w:sz w:val="22"/>
            <w:szCs w:val="22"/>
          </w:rPr>
          <w:delText>0</w:delText>
        </w:r>
        <w:r w:rsidRPr="009C5EFD">
          <w:rPr>
            <w:sz w:val="22"/>
            <w:szCs w:val="22"/>
          </w:rPr>
          <w:delText>).</w:delText>
        </w:r>
      </w:del>
    </w:p>
    <w:p w14:paraId="25264F9C" w14:textId="365C4DFA" w:rsidR="00F57451" w:rsidRPr="009C5EFD" w:rsidRDefault="00F57451" w:rsidP="009C5EFD">
      <w:pPr>
        <w:rPr>
          <w:del w:id="1768" w:author="AbbVie02no" w:date="2025-05-15T12:36:00Z"/>
          <w:sz w:val="22"/>
          <w:szCs w:val="22"/>
        </w:rPr>
      </w:pPr>
    </w:p>
    <w:p w14:paraId="49C8D1A3" w14:textId="2B47F3D2" w:rsidR="00DE3458" w:rsidRPr="009C5EFD" w:rsidRDefault="00E453CD" w:rsidP="009C5EFD">
      <w:pPr>
        <w:rPr>
          <w:del w:id="1769" w:author="AbbVie02no" w:date="2025-05-15T12:36:00Z"/>
          <w:sz w:val="22"/>
          <w:szCs w:val="22"/>
        </w:rPr>
      </w:pPr>
      <w:del w:id="1770" w:author="AbbVie02no" w:date="2025-05-15T12:36:00Z">
        <w:r w:rsidRPr="009C5EFD">
          <w:rPr>
            <w:sz w:val="22"/>
            <w:szCs w:val="22"/>
          </w:rPr>
          <w:delText>I</w:delText>
        </w:r>
        <w:r w:rsidR="00EC70B4" w:rsidRPr="009C5EFD">
          <w:rPr>
            <w:sz w:val="22"/>
            <w:szCs w:val="22"/>
          </w:rPr>
          <w:delText xml:space="preserve"> den åpne oppfølgingsstudien </w:delText>
        </w:r>
        <w:r w:rsidR="001C4DF7" w:rsidRPr="009C5EFD">
          <w:rPr>
            <w:sz w:val="22"/>
            <w:szCs w:val="22"/>
          </w:rPr>
          <w:delText>av RA-studie III</w:delText>
        </w:r>
        <w:r w:rsidR="00EE0275">
          <w:rPr>
            <w:sz w:val="22"/>
            <w:szCs w:val="22"/>
          </w:rPr>
          <w:delText xml:space="preserve"> </w:delText>
        </w:r>
        <w:r w:rsidR="001C4DF7" w:rsidRPr="009C5EFD">
          <w:rPr>
            <w:sz w:val="22"/>
            <w:szCs w:val="22"/>
          </w:rPr>
          <w:delText>opprettholdes</w:delText>
        </w:r>
        <w:r w:rsidR="00EC70B4" w:rsidRPr="009C5EFD">
          <w:rPr>
            <w:sz w:val="22"/>
            <w:szCs w:val="22"/>
          </w:rPr>
          <w:delText xml:space="preserve"> reduksjonen i progresjonshastighet på strukturell skade hos en gruppe av pasienter i </w:delText>
        </w:r>
        <w:r w:rsidR="00F57451" w:rsidRPr="009C5EFD">
          <w:rPr>
            <w:sz w:val="22"/>
            <w:szCs w:val="22"/>
          </w:rPr>
          <w:delText>8 og 10 år</w:delText>
        </w:r>
        <w:r w:rsidR="00EC70B4" w:rsidRPr="009C5EFD">
          <w:rPr>
            <w:sz w:val="22"/>
            <w:szCs w:val="22"/>
          </w:rPr>
          <w:delText xml:space="preserve">. </w:delText>
        </w:r>
        <w:r w:rsidR="001F4400" w:rsidRPr="009C5EFD">
          <w:rPr>
            <w:sz w:val="22"/>
            <w:szCs w:val="22"/>
          </w:rPr>
          <w:delText xml:space="preserve">81 </w:delText>
        </w:r>
        <w:r w:rsidR="00EC70B4" w:rsidRPr="009C5EFD">
          <w:rPr>
            <w:sz w:val="22"/>
            <w:szCs w:val="22"/>
          </w:rPr>
          <w:delText xml:space="preserve">av 207 pasienter opprinnelig behandlet med 40 mg Humira annenhver uke </w:delText>
        </w:r>
        <w:r w:rsidR="00FA3DE5" w:rsidRPr="009C5EFD">
          <w:rPr>
            <w:sz w:val="22"/>
            <w:szCs w:val="22"/>
          </w:rPr>
          <w:delText>ble</w:delText>
        </w:r>
        <w:r w:rsidR="00EC70B4" w:rsidRPr="009C5EFD">
          <w:rPr>
            <w:sz w:val="22"/>
            <w:szCs w:val="22"/>
          </w:rPr>
          <w:delText xml:space="preserve"> radiografisk undersøkt etter </w:delText>
        </w:r>
        <w:r w:rsidR="001F4400" w:rsidRPr="009C5EFD">
          <w:rPr>
            <w:sz w:val="22"/>
            <w:szCs w:val="22"/>
          </w:rPr>
          <w:delText xml:space="preserve">8 </w:delText>
        </w:r>
        <w:r w:rsidR="00EC70B4" w:rsidRPr="009C5EFD">
          <w:rPr>
            <w:sz w:val="22"/>
            <w:szCs w:val="22"/>
          </w:rPr>
          <w:delText xml:space="preserve">år. Blant disse viste </w:delText>
        </w:r>
        <w:r w:rsidR="001F4400" w:rsidRPr="009C5EFD">
          <w:rPr>
            <w:sz w:val="22"/>
            <w:szCs w:val="22"/>
          </w:rPr>
          <w:delText xml:space="preserve">48 </w:delText>
        </w:r>
        <w:r w:rsidR="00EC70B4" w:rsidRPr="009C5EFD">
          <w:rPr>
            <w:sz w:val="22"/>
            <w:szCs w:val="22"/>
          </w:rPr>
          <w:delText xml:space="preserve">pasienter ingen progresjon på strukturell skade, definert ved forandring </w:delText>
        </w:r>
        <w:r w:rsidR="001F4400" w:rsidRPr="009C5EFD">
          <w:rPr>
            <w:sz w:val="22"/>
            <w:szCs w:val="22"/>
          </w:rPr>
          <w:delText xml:space="preserve">fra baseline </w:delText>
        </w:r>
        <w:r w:rsidR="00EC70B4" w:rsidRPr="009C5EFD">
          <w:rPr>
            <w:sz w:val="22"/>
            <w:szCs w:val="22"/>
          </w:rPr>
          <w:delText xml:space="preserve">i </w:delText>
        </w:r>
        <w:r w:rsidR="001F4400" w:rsidRPr="009C5EFD">
          <w:rPr>
            <w:sz w:val="22"/>
            <w:szCs w:val="22"/>
          </w:rPr>
          <w:delText>m</w:delText>
        </w:r>
        <w:r w:rsidR="00EC70B4" w:rsidRPr="009C5EFD">
          <w:rPr>
            <w:sz w:val="22"/>
            <w:szCs w:val="22"/>
          </w:rPr>
          <w:delText xml:space="preserve">TSS på </w:delText>
        </w:r>
        <w:r w:rsidR="001F4400" w:rsidRPr="009C5EFD">
          <w:rPr>
            <w:sz w:val="22"/>
            <w:szCs w:val="22"/>
          </w:rPr>
          <w:delText>0,5</w:delText>
        </w:r>
        <w:r w:rsidR="00EC70B4" w:rsidRPr="009C5EFD">
          <w:rPr>
            <w:sz w:val="22"/>
            <w:szCs w:val="22"/>
          </w:rPr>
          <w:delText xml:space="preserve"> eller lavere. </w:delText>
        </w:r>
        <w:r w:rsidR="001F4400" w:rsidRPr="009C5EFD">
          <w:rPr>
            <w:sz w:val="22"/>
            <w:szCs w:val="22"/>
          </w:rPr>
          <w:delText>79 av 207 pasienter opprinnelig behandlet med 40 mg Humira annenhver uke ble radiografisk undersøkt</w:delText>
        </w:r>
        <w:r w:rsidR="00E50355" w:rsidRPr="009C5EFD">
          <w:rPr>
            <w:sz w:val="22"/>
            <w:szCs w:val="22"/>
          </w:rPr>
          <w:delText xml:space="preserve"> etter 10 år</w:delText>
        </w:r>
        <w:r w:rsidR="001F4400" w:rsidRPr="009C5EFD">
          <w:rPr>
            <w:sz w:val="22"/>
            <w:szCs w:val="22"/>
          </w:rPr>
          <w:delText>.</w:delText>
        </w:r>
        <w:r w:rsidRPr="009C5EFD">
          <w:rPr>
            <w:sz w:val="22"/>
            <w:szCs w:val="22"/>
          </w:rPr>
          <w:delText xml:space="preserve"> </w:delText>
        </w:r>
        <w:r w:rsidR="00E50355" w:rsidRPr="009C5EFD">
          <w:rPr>
            <w:sz w:val="22"/>
            <w:szCs w:val="22"/>
          </w:rPr>
          <w:delText>Blant disse viste 40 pasienter ingen progresjon på strukturell skade, definert ved forandring fra baseline i mTSS på 0,5 eller lavere.</w:delText>
        </w:r>
      </w:del>
    </w:p>
    <w:p w14:paraId="381F3C5F" w14:textId="026197B5" w:rsidR="00BF0906" w:rsidRPr="009C5EFD" w:rsidRDefault="00BF0906" w:rsidP="009C5EFD">
      <w:pPr>
        <w:rPr>
          <w:del w:id="1771" w:author="AbbVie02no" w:date="2025-05-15T12:36:00Z"/>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430"/>
        <w:gridCol w:w="1790"/>
        <w:gridCol w:w="2000"/>
        <w:gridCol w:w="1548"/>
      </w:tblGrid>
      <w:tr w:rsidR="004644D4" w14:paraId="4D14F661" w14:textId="54DD3E09" w:rsidTr="001F5D4B">
        <w:trPr>
          <w:cantSplit/>
          <w:del w:id="1772" w:author="AbbVie02no" w:date="2025-05-15T12:36:00Z"/>
        </w:trPr>
        <w:tc>
          <w:tcPr>
            <w:tcW w:w="8748" w:type="dxa"/>
            <w:gridSpan w:val="5"/>
            <w:tcBorders>
              <w:top w:val="nil"/>
              <w:left w:val="nil"/>
              <w:bottom w:val="single" w:sz="4" w:space="0" w:color="auto"/>
              <w:right w:val="nil"/>
            </w:tcBorders>
          </w:tcPr>
          <w:p w14:paraId="215BE068" w14:textId="517771E0" w:rsidR="00DE3458" w:rsidRPr="009C5EFD" w:rsidRDefault="00E453CD" w:rsidP="00D52099">
            <w:pPr>
              <w:pStyle w:val="Heading9"/>
              <w:keepNext/>
              <w:spacing w:before="0" w:after="0"/>
              <w:jc w:val="center"/>
              <w:rPr>
                <w:del w:id="1773" w:author="AbbVie02no" w:date="2025-05-15T12:36:00Z"/>
                <w:rFonts w:ascii="Times New Roman" w:hAnsi="Times New Roman" w:cs="Times New Roman"/>
                <w:b/>
                <w:bCs/>
              </w:rPr>
            </w:pPr>
            <w:del w:id="1774" w:author="AbbVie02no" w:date="2025-05-15T12:36:00Z">
              <w:r w:rsidRPr="009C5EFD">
                <w:rPr>
                  <w:rFonts w:ascii="Times New Roman" w:hAnsi="Times New Roman" w:cs="Times New Roman"/>
                  <w:b/>
                  <w:bCs/>
                </w:rPr>
                <w:lastRenderedPageBreak/>
                <w:delText xml:space="preserve">Tabell </w:delText>
              </w:r>
              <w:r w:rsidR="00460F41">
                <w:rPr>
                  <w:rFonts w:ascii="Times New Roman" w:hAnsi="Times New Roman" w:cs="Times New Roman"/>
                  <w:b/>
                  <w:bCs/>
                </w:rPr>
                <w:delText>1</w:delText>
              </w:r>
              <w:r w:rsidR="00DC39C9">
                <w:rPr>
                  <w:rFonts w:ascii="Times New Roman" w:hAnsi="Times New Roman" w:cs="Times New Roman"/>
                  <w:b/>
                  <w:bCs/>
                </w:rPr>
                <w:delText>0</w:delText>
              </w:r>
              <w:r w:rsidR="00460F41" w:rsidRPr="009C5EFD">
                <w:rPr>
                  <w:rFonts w:ascii="Times New Roman" w:hAnsi="Times New Roman" w:cs="Times New Roman"/>
                  <w:b/>
                  <w:bCs/>
                </w:rPr>
                <w:delText xml:space="preserve"> </w:delText>
              </w:r>
              <w:r w:rsidRPr="009C5EFD">
                <w:rPr>
                  <w:rFonts w:ascii="Times New Roman" w:hAnsi="Times New Roman" w:cs="Times New Roman"/>
                  <w:b/>
                  <w:bCs/>
                </w:rPr>
                <w:delText>Radiografisk gjennomsnittlig endring over 12 måneder i RA-studie III</w:delText>
              </w:r>
            </w:del>
          </w:p>
          <w:p w14:paraId="5CBCABBA" w14:textId="6E58846D" w:rsidR="00717E3B" w:rsidRPr="009C5EFD" w:rsidRDefault="00717E3B" w:rsidP="00D52099">
            <w:pPr>
              <w:keepNext/>
              <w:rPr>
                <w:del w:id="1775" w:author="AbbVie02no" w:date="2025-05-15T12:36:00Z"/>
              </w:rPr>
            </w:pPr>
          </w:p>
        </w:tc>
      </w:tr>
      <w:tr w:rsidR="004644D4" w14:paraId="03678598" w14:textId="5B0A13C1" w:rsidTr="001F5D4B">
        <w:trPr>
          <w:del w:id="1776" w:author="AbbVie02no" w:date="2025-05-15T12:36:00Z"/>
        </w:trPr>
        <w:tc>
          <w:tcPr>
            <w:tcW w:w="1980" w:type="dxa"/>
            <w:tcBorders>
              <w:top w:val="single" w:sz="4" w:space="0" w:color="auto"/>
            </w:tcBorders>
          </w:tcPr>
          <w:p w14:paraId="383CD216" w14:textId="46A1C399" w:rsidR="00DE3458" w:rsidRPr="009C5EFD" w:rsidRDefault="00DE3458" w:rsidP="00D52099">
            <w:pPr>
              <w:keepNext/>
              <w:jc w:val="center"/>
              <w:rPr>
                <w:del w:id="1777" w:author="AbbVie02no" w:date="2025-05-15T12:36:00Z"/>
                <w:sz w:val="22"/>
                <w:szCs w:val="22"/>
              </w:rPr>
            </w:pPr>
          </w:p>
        </w:tc>
        <w:tc>
          <w:tcPr>
            <w:tcW w:w="1430" w:type="dxa"/>
            <w:tcBorders>
              <w:top w:val="single" w:sz="4" w:space="0" w:color="auto"/>
            </w:tcBorders>
          </w:tcPr>
          <w:p w14:paraId="10547095" w14:textId="26DE788E" w:rsidR="00DE3458" w:rsidRPr="009C5EFD" w:rsidRDefault="00E453CD" w:rsidP="00D52099">
            <w:pPr>
              <w:keepNext/>
              <w:rPr>
                <w:del w:id="1778" w:author="AbbVie02no" w:date="2025-05-15T12:36:00Z"/>
                <w:sz w:val="22"/>
                <w:szCs w:val="22"/>
              </w:rPr>
            </w:pPr>
            <w:del w:id="1779" w:author="AbbVie02no" w:date="2025-05-15T12:36:00Z">
              <w:r w:rsidRPr="009C5EFD">
                <w:rPr>
                  <w:sz w:val="22"/>
                  <w:szCs w:val="22"/>
                </w:rPr>
                <w:delText>Placebo/</w:delText>
              </w:r>
            </w:del>
          </w:p>
          <w:p w14:paraId="126FCEC3" w14:textId="09F97AD5" w:rsidR="00DE3458" w:rsidRPr="009C5EFD" w:rsidRDefault="00E453CD" w:rsidP="00D52099">
            <w:pPr>
              <w:keepNext/>
              <w:rPr>
                <w:del w:id="1780" w:author="AbbVie02no" w:date="2025-05-15T12:36:00Z"/>
                <w:sz w:val="22"/>
                <w:szCs w:val="22"/>
                <w:vertAlign w:val="superscript"/>
              </w:rPr>
            </w:pPr>
            <w:del w:id="1781" w:author="AbbVie02no" w:date="2025-05-15T12:36:00Z">
              <w:r w:rsidRPr="009C5EFD">
                <w:rPr>
                  <w:sz w:val="22"/>
                  <w:szCs w:val="22"/>
                </w:rPr>
                <w:delText>MTX</w:delText>
              </w:r>
              <w:r w:rsidRPr="009C5EFD">
                <w:rPr>
                  <w:sz w:val="22"/>
                  <w:szCs w:val="22"/>
                  <w:vertAlign w:val="superscript"/>
                </w:rPr>
                <w:delText>a</w:delText>
              </w:r>
            </w:del>
          </w:p>
        </w:tc>
        <w:tc>
          <w:tcPr>
            <w:tcW w:w="1790" w:type="dxa"/>
            <w:tcBorders>
              <w:top w:val="single" w:sz="4" w:space="0" w:color="auto"/>
            </w:tcBorders>
          </w:tcPr>
          <w:p w14:paraId="665BBF04" w14:textId="526629E8" w:rsidR="00DE3458" w:rsidRPr="009C5EFD" w:rsidRDefault="00E453CD" w:rsidP="00D52099">
            <w:pPr>
              <w:keepNext/>
              <w:jc w:val="center"/>
              <w:rPr>
                <w:del w:id="1782" w:author="AbbVie02no" w:date="2025-05-15T12:36:00Z"/>
                <w:sz w:val="22"/>
                <w:szCs w:val="22"/>
              </w:rPr>
            </w:pPr>
            <w:del w:id="1783" w:author="AbbVie02no" w:date="2025-05-15T12:36:00Z">
              <w:r w:rsidRPr="009C5EFD">
                <w:rPr>
                  <w:sz w:val="22"/>
                  <w:szCs w:val="22"/>
                </w:rPr>
                <w:delText>H</w:delText>
              </w:r>
              <w:r w:rsidR="009916FA" w:rsidRPr="009C5EFD">
                <w:rPr>
                  <w:sz w:val="22"/>
                  <w:szCs w:val="22"/>
                </w:rPr>
                <w:delText>umira</w:delText>
              </w:r>
              <w:r w:rsidRPr="009C5EFD">
                <w:rPr>
                  <w:sz w:val="22"/>
                  <w:szCs w:val="22"/>
                </w:rPr>
                <w:delText>/MTX</w:delText>
              </w:r>
            </w:del>
          </w:p>
          <w:p w14:paraId="68BBF4C9" w14:textId="77914599" w:rsidR="00DE3458" w:rsidRPr="009C5EFD" w:rsidRDefault="00E453CD">
            <w:pPr>
              <w:keepNext/>
              <w:jc w:val="center"/>
              <w:rPr>
                <w:del w:id="1784" w:author="AbbVie02no" w:date="2025-05-15T12:36:00Z"/>
                <w:sz w:val="22"/>
                <w:szCs w:val="22"/>
              </w:rPr>
            </w:pPr>
            <w:del w:id="1785" w:author="AbbVie02no" w:date="2025-05-15T12:36:00Z">
              <w:r w:rsidRPr="009C5EFD">
                <w:rPr>
                  <w:sz w:val="22"/>
                  <w:szCs w:val="22"/>
                </w:rPr>
                <w:delText>40 mg annen</w:delText>
              </w:r>
              <w:r w:rsidR="005D10BA">
                <w:rPr>
                  <w:sz w:val="22"/>
                  <w:szCs w:val="22"/>
                </w:rPr>
                <w:delText>hver</w:delText>
              </w:r>
              <w:r w:rsidRPr="009C5EFD">
                <w:rPr>
                  <w:sz w:val="22"/>
                  <w:szCs w:val="22"/>
                </w:rPr>
                <w:delText xml:space="preserve"> uke </w:delText>
              </w:r>
            </w:del>
          </w:p>
        </w:tc>
        <w:tc>
          <w:tcPr>
            <w:tcW w:w="2000" w:type="dxa"/>
            <w:tcBorders>
              <w:top w:val="single" w:sz="4" w:space="0" w:color="auto"/>
            </w:tcBorders>
          </w:tcPr>
          <w:p w14:paraId="0DAAB849" w14:textId="46D9139C" w:rsidR="00DE3458" w:rsidRPr="009C5EFD" w:rsidRDefault="00E453CD" w:rsidP="00D52099">
            <w:pPr>
              <w:keepNext/>
              <w:jc w:val="center"/>
              <w:rPr>
                <w:del w:id="1786" w:author="AbbVie02no" w:date="2025-05-15T12:36:00Z"/>
                <w:sz w:val="22"/>
                <w:szCs w:val="22"/>
                <w:lang w:val="sv-SE"/>
              </w:rPr>
            </w:pPr>
            <w:del w:id="1787" w:author="AbbVie02no" w:date="2025-05-15T12:36:00Z">
              <w:r w:rsidRPr="009C5EFD">
                <w:rPr>
                  <w:sz w:val="22"/>
                  <w:szCs w:val="22"/>
                  <w:lang w:val="sv-SE"/>
                </w:rPr>
                <w:delText>Placebo/MTX-H</w:delText>
              </w:r>
              <w:r w:rsidR="009916FA" w:rsidRPr="009C5EFD">
                <w:rPr>
                  <w:sz w:val="22"/>
                  <w:szCs w:val="22"/>
                  <w:lang w:val="sv-SE"/>
                </w:rPr>
                <w:delText>umira</w:delText>
              </w:r>
              <w:r w:rsidRPr="009C5EFD">
                <w:rPr>
                  <w:sz w:val="22"/>
                  <w:szCs w:val="22"/>
                  <w:lang w:val="sv-SE"/>
                </w:rPr>
                <w:delText>/MTX (95</w:delText>
              </w:r>
              <w:r w:rsidR="00E51AA9" w:rsidRPr="009C5EFD">
                <w:rPr>
                  <w:sz w:val="22"/>
                  <w:szCs w:val="22"/>
                  <w:lang w:val="sv-SE"/>
                </w:rPr>
                <w:delText xml:space="preserve"> %</w:delText>
              </w:r>
              <w:r w:rsidRPr="009C5EFD">
                <w:rPr>
                  <w:sz w:val="22"/>
                  <w:szCs w:val="22"/>
                  <w:lang w:val="sv-SE"/>
                </w:rPr>
                <w:delText xml:space="preserve"> konfidens intervall</w:delText>
              </w:r>
              <w:r w:rsidRPr="009C5EFD">
                <w:rPr>
                  <w:sz w:val="22"/>
                  <w:szCs w:val="22"/>
                  <w:vertAlign w:val="superscript"/>
                  <w:lang w:val="sv-SE"/>
                </w:rPr>
                <w:delText>b</w:delText>
              </w:r>
              <w:r w:rsidRPr="009C5EFD">
                <w:rPr>
                  <w:sz w:val="22"/>
                  <w:szCs w:val="22"/>
                  <w:lang w:val="sv-SE"/>
                </w:rPr>
                <w:delText>)</w:delText>
              </w:r>
            </w:del>
          </w:p>
        </w:tc>
        <w:tc>
          <w:tcPr>
            <w:tcW w:w="1548" w:type="dxa"/>
            <w:tcBorders>
              <w:top w:val="single" w:sz="4" w:space="0" w:color="auto"/>
            </w:tcBorders>
          </w:tcPr>
          <w:p w14:paraId="696C8642" w14:textId="67203E7C" w:rsidR="00DE3458" w:rsidRPr="009C5EFD" w:rsidRDefault="00E453CD" w:rsidP="00D52099">
            <w:pPr>
              <w:keepNext/>
              <w:jc w:val="center"/>
              <w:rPr>
                <w:del w:id="1788" w:author="AbbVie02no" w:date="2025-05-15T12:36:00Z"/>
                <w:sz w:val="22"/>
                <w:szCs w:val="22"/>
              </w:rPr>
            </w:pPr>
            <w:del w:id="1789" w:author="AbbVie02no" w:date="2025-05-15T12:36:00Z">
              <w:r w:rsidRPr="009C5EFD">
                <w:rPr>
                  <w:sz w:val="22"/>
                  <w:szCs w:val="22"/>
                </w:rPr>
                <w:delText>p-verdi</w:delText>
              </w:r>
            </w:del>
          </w:p>
        </w:tc>
      </w:tr>
      <w:tr w:rsidR="004644D4" w14:paraId="7BFD94C9" w14:textId="0C84AA58" w:rsidTr="00F575B7">
        <w:trPr>
          <w:del w:id="1790" w:author="AbbVie02no" w:date="2025-05-15T12:36:00Z"/>
        </w:trPr>
        <w:tc>
          <w:tcPr>
            <w:tcW w:w="1980" w:type="dxa"/>
          </w:tcPr>
          <w:p w14:paraId="357CD61C" w14:textId="4820D50F" w:rsidR="00DE3458" w:rsidRPr="009C5EFD" w:rsidRDefault="00E453CD" w:rsidP="007F67EE">
            <w:pPr>
              <w:jc w:val="center"/>
              <w:rPr>
                <w:del w:id="1791" w:author="AbbVie02no" w:date="2025-05-15T12:36:00Z"/>
                <w:sz w:val="22"/>
                <w:szCs w:val="22"/>
              </w:rPr>
            </w:pPr>
            <w:del w:id="1792" w:author="AbbVie02no" w:date="2025-05-15T12:36:00Z">
              <w:r w:rsidRPr="009C5EFD">
                <w:rPr>
                  <w:sz w:val="22"/>
                  <w:szCs w:val="22"/>
                </w:rPr>
                <w:delText>Total Sharp Score</w:delText>
              </w:r>
            </w:del>
          </w:p>
        </w:tc>
        <w:tc>
          <w:tcPr>
            <w:tcW w:w="1430" w:type="dxa"/>
          </w:tcPr>
          <w:p w14:paraId="112ECB5D" w14:textId="75B72D0C" w:rsidR="00DE3458" w:rsidRPr="009C5EFD" w:rsidRDefault="00E453CD" w:rsidP="007F67EE">
            <w:pPr>
              <w:jc w:val="center"/>
              <w:rPr>
                <w:del w:id="1793" w:author="AbbVie02no" w:date="2025-05-15T12:36:00Z"/>
                <w:sz w:val="22"/>
                <w:szCs w:val="22"/>
              </w:rPr>
            </w:pPr>
            <w:del w:id="1794" w:author="AbbVie02no" w:date="2025-05-15T12:36:00Z">
              <w:r w:rsidRPr="009C5EFD">
                <w:rPr>
                  <w:sz w:val="22"/>
                  <w:szCs w:val="22"/>
                </w:rPr>
                <w:delText>2,7</w:delText>
              </w:r>
            </w:del>
          </w:p>
        </w:tc>
        <w:tc>
          <w:tcPr>
            <w:tcW w:w="1790" w:type="dxa"/>
          </w:tcPr>
          <w:p w14:paraId="4B3C646F" w14:textId="5A18A233" w:rsidR="00DE3458" w:rsidRPr="009C5EFD" w:rsidRDefault="00E453CD" w:rsidP="00193D76">
            <w:pPr>
              <w:jc w:val="center"/>
              <w:rPr>
                <w:del w:id="1795" w:author="AbbVie02no" w:date="2025-05-15T12:36:00Z"/>
                <w:sz w:val="22"/>
                <w:szCs w:val="22"/>
              </w:rPr>
            </w:pPr>
            <w:del w:id="1796" w:author="AbbVie02no" w:date="2025-05-15T12:36:00Z">
              <w:r w:rsidRPr="009C5EFD">
                <w:rPr>
                  <w:sz w:val="22"/>
                  <w:szCs w:val="22"/>
                </w:rPr>
                <w:delText>0,1</w:delText>
              </w:r>
            </w:del>
          </w:p>
        </w:tc>
        <w:tc>
          <w:tcPr>
            <w:tcW w:w="2000" w:type="dxa"/>
          </w:tcPr>
          <w:p w14:paraId="66E5D242" w14:textId="47E6F7AC" w:rsidR="00DE3458" w:rsidRPr="009C5EFD" w:rsidRDefault="00E453CD" w:rsidP="002D0790">
            <w:pPr>
              <w:jc w:val="center"/>
              <w:rPr>
                <w:del w:id="1797" w:author="AbbVie02no" w:date="2025-05-15T12:36:00Z"/>
                <w:sz w:val="22"/>
                <w:szCs w:val="22"/>
              </w:rPr>
            </w:pPr>
            <w:del w:id="1798" w:author="AbbVie02no" w:date="2025-05-15T12:36:00Z">
              <w:r w:rsidRPr="009C5EFD">
                <w:rPr>
                  <w:sz w:val="22"/>
                  <w:szCs w:val="22"/>
                </w:rPr>
                <w:delText xml:space="preserve">2,6 (1,4, 3,8) </w:delText>
              </w:r>
            </w:del>
          </w:p>
        </w:tc>
        <w:tc>
          <w:tcPr>
            <w:tcW w:w="1548" w:type="dxa"/>
          </w:tcPr>
          <w:p w14:paraId="19C02950" w14:textId="7148AF94" w:rsidR="00DE3458" w:rsidRPr="009C5EFD" w:rsidRDefault="00E453CD" w:rsidP="002D0790">
            <w:pPr>
              <w:jc w:val="center"/>
              <w:rPr>
                <w:del w:id="1799" w:author="AbbVie02no" w:date="2025-05-15T12:36:00Z"/>
                <w:sz w:val="22"/>
                <w:szCs w:val="22"/>
                <w:vertAlign w:val="superscript"/>
              </w:rPr>
            </w:pPr>
            <w:del w:id="1800" w:author="AbbVie02no" w:date="2025-05-15T12:36:00Z">
              <w:r w:rsidRPr="009C5EFD">
                <w:rPr>
                  <w:sz w:val="22"/>
                  <w:szCs w:val="22"/>
                </w:rPr>
                <w:delText>&lt; 0,001</w:delText>
              </w:r>
              <w:r w:rsidRPr="009C5EFD">
                <w:rPr>
                  <w:sz w:val="22"/>
                  <w:szCs w:val="22"/>
                  <w:vertAlign w:val="superscript"/>
                </w:rPr>
                <w:delText>c</w:delText>
              </w:r>
            </w:del>
          </w:p>
        </w:tc>
      </w:tr>
      <w:tr w:rsidR="004644D4" w14:paraId="2AFC210D" w14:textId="3418308E" w:rsidTr="00F575B7">
        <w:trPr>
          <w:del w:id="1801" w:author="AbbVie02no" w:date="2025-05-15T12:36:00Z"/>
        </w:trPr>
        <w:tc>
          <w:tcPr>
            <w:tcW w:w="1980" w:type="dxa"/>
          </w:tcPr>
          <w:p w14:paraId="4A41E219" w14:textId="66811C7B" w:rsidR="00DE3458" w:rsidRPr="009C5EFD" w:rsidRDefault="00E453CD" w:rsidP="007F67EE">
            <w:pPr>
              <w:jc w:val="center"/>
              <w:rPr>
                <w:del w:id="1802" w:author="AbbVie02no" w:date="2025-05-15T12:36:00Z"/>
                <w:sz w:val="22"/>
                <w:szCs w:val="22"/>
              </w:rPr>
            </w:pPr>
            <w:del w:id="1803" w:author="AbbVie02no" w:date="2025-05-15T12:36:00Z">
              <w:r w:rsidRPr="009C5EFD">
                <w:rPr>
                  <w:sz w:val="22"/>
                  <w:szCs w:val="22"/>
                </w:rPr>
                <w:delText>Erosjonsscore</w:delText>
              </w:r>
            </w:del>
          </w:p>
        </w:tc>
        <w:tc>
          <w:tcPr>
            <w:tcW w:w="1430" w:type="dxa"/>
          </w:tcPr>
          <w:p w14:paraId="5C8BB551" w14:textId="4EE7DFEF" w:rsidR="00DE3458" w:rsidRPr="009C5EFD" w:rsidRDefault="00E453CD" w:rsidP="007F67EE">
            <w:pPr>
              <w:jc w:val="center"/>
              <w:rPr>
                <w:del w:id="1804" w:author="AbbVie02no" w:date="2025-05-15T12:36:00Z"/>
                <w:sz w:val="22"/>
                <w:szCs w:val="22"/>
              </w:rPr>
            </w:pPr>
            <w:del w:id="1805" w:author="AbbVie02no" w:date="2025-05-15T12:36:00Z">
              <w:r w:rsidRPr="009C5EFD">
                <w:rPr>
                  <w:sz w:val="22"/>
                  <w:szCs w:val="22"/>
                </w:rPr>
                <w:delText>1,6</w:delText>
              </w:r>
            </w:del>
          </w:p>
        </w:tc>
        <w:tc>
          <w:tcPr>
            <w:tcW w:w="1790" w:type="dxa"/>
          </w:tcPr>
          <w:p w14:paraId="76B7D544" w14:textId="38570BBA" w:rsidR="00DE3458" w:rsidRPr="009C5EFD" w:rsidRDefault="00E453CD" w:rsidP="00193D76">
            <w:pPr>
              <w:jc w:val="center"/>
              <w:rPr>
                <w:del w:id="1806" w:author="AbbVie02no" w:date="2025-05-15T12:36:00Z"/>
                <w:sz w:val="22"/>
                <w:szCs w:val="22"/>
              </w:rPr>
            </w:pPr>
            <w:del w:id="1807" w:author="AbbVie02no" w:date="2025-05-15T12:36:00Z">
              <w:r w:rsidRPr="009C5EFD">
                <w:rPr>
                  <w:sz w:val="22"/>
                  <w:szCs w:val="22"/>
                </w:rPr>
                <w:delText>0,0</w:delText>
              </w:r>
            </w:del>
          </w:p>
        </w:tc>
        <w:tc>
          <w:tcPr>
            <w:tcW w:w="2000" w:type="dxa"/>
          </w:tcPr>
          <w:p w14:paraId="057D80AD" w14:textId="3A7AF2CE" w:rsidR="00DE3458" w:rsidRPr="009C5EFD" w:rsidRDefault="00E453CD" w:rsidP="002D0790">
            <w:pPr>
              <w:jc w:val="center"/>
              <w:rPr>
                <w:del w:id="1808" w:author="AbbVie02no" w:date="2025-05-15T12:36:00Z"/>
                <w:sz w:val="22"/>
                <w:szCs w:val="22"/>
              </w:rPr>
            </w:pPr>
            <w:del w:id="1809" w:author="AbbVie02no" w:date="2025-05-15T12:36:00Z">
              <w:r w:rsidRPr="009C5EFD">
                <w:rPr>
                  <w:sz w:val="22"/>
                  <w:szCs w:val="22"/>
                </w:rPr>
                <w:delText>1,6 (0,9, 2,2)</w:delText>
              </w:r>
            </w:del>
          </w:p>
        </w:tc>
        <w:tc>
          <w:tcPr>
            <w:tcW w:w="1548" w:type="dxa"/>
          </w:tcPr>
          <w:p w14:paraId="3ABE20C6" w14:textId="35AFCB54" w:rsidR="00DE3458" w:rsidRPr="009C5EFD" w:rsidRDefault="00E453CD" w:rsidP="002D0790">
            <w:pPr>
              <w:jc w:val="center"/>
              <w:rPr>
                <w:del w:id="1810" w:author="AbbVie02no" w:date="2025-05-15T12:36:00Z"/>
                <w:sz w:val="22"/>
                <w:szCs w:val="22"/>
              </w:rPr>
            </w:pPr>
            <w:del w:id="1811" w:author="AbbVie02no" w:date="2025-05-15T12:36:00Z">
              <w:r w:rsidRPr="009C5EFD">
                <w:rPr>
                  <w:sz w:val="22"/>
                  <w:szCs w:val="22"/>
                </w:rPr>
                <w:delText>&lt; 0,001</w:delText>
              </w:r>
            </w:del>
          </w:p>
        </w:tc>
      </w:tr>
      <w:tr w:rsidR="004644D4" w14:paraId="0E607EC2" w14:textId="080E75A8" w:rsidTr="00F575B7">
        <w:trPr>
          <w:del w:id="1812" w:author="AbbVie02no" w:date="2025-05-15T12:36:00Z"/>
        </w:trPr>
        <w:tc>
          <w:tcPr>
            <w:tcW w:w="1980" w:type="dxa"/>
          </w:tcPr>
          <w:p w14:paraId="258CB063" w14:textId="6E0E0AE4" w:rsidR="00DE3458" w:rsidRPr="009C5EFD" w:rsidRDefault="00E453CD" w:rsidP="007F67EE">
            <w:pPr>
              <w:jc w:val="center"/>
              <w:rPr>
                <w:del w:id="1813" w:author="AbbVie02no" w:date="2025-05-15T12:36:00Z"/>
                <w:sz w:val="22"/>
                <w:szCs w:val="22"/>
              </w:rPr>
            </w:pPr>
            <w:del w:id="1814" w:author="AbbVie02no" w:date="2025-05-15T12:36:00Z">
              <w:r w:rsidRPr="009C5EFD">
                <w:rPr>
                  <w:sz w:val="22"/>
                  <w:szCs w:val="22"/>
                </w:rPr>
                <w:delText>JSN</w:delText>
              </w:r>
              <w:r w:rsidRPr="009C5EFD">
                <w:rPr>
                  <w:sz w:val="22"/>
                  <w:szCs w:val="22"/>
                  <w:vertAlign w:val="superscript"/>
                </w:rPr>
                <w:delText>d</w:delText>
              </w:r>
              <w:r w:rsidRPr="009C5EFD">
                <w:rPr>
                  <w:sz w:val="22"/>
                  <w:szCs w:val="22"/>
                </w:rPr>
                <w:delText xml:space="preserve"> score</w:delText>
              </w:r>
            </w:del>
          </w:p>
        </w:tc>
        <w:tc>
          <w:tcPr>
            <w:tcW w:w="1430" w:type="dxa"/>
          </w:tcPr>
          <w:p w14:paraId="21579671" w14:textId="383C9AC1" w:rsidR="00DE3458" w:rsidRPr="009C5EFD" w:rsidRDefault="00E453CD" w:rsidP="007F67EE">
            <w:pPr>
              <w:jc w:val="center"/>
              <w:rPr>
                <w:del w:id="1815" w:author="AbbVie02no" w:date="2025-05-15T12:36:00Z"/>
                <w:sz w:val="22"/>
                <w:szCs w:val="22"/>
              </w:rPr>
            </w:pPr>
            <w:del w:id="1816" w:author="AbbVie02no" w:date="2025-05-15T12:36:00Z">
              <w:r w:rsidRPr="009C5EFD">
                <w:rPr>
                  <w:sz w:val="22"/>
                  <w:szCs w:val="22"/>
                </w:rPr>
                <w:delText>1,0</w:delText>
              </w:r>
            </w:del>
          </w:p>
        </w:tc>
        <w:tc>
          <w:tcPr>
            <w:tcW w:w="1790" w:type="dxa"/>
          </w:tcPr>
          <w:p w14:paraId="383323AD" w14:textId="77338533" w:rsidR="00DE3458" w:rsidRPr="009C5EFD" w:rsidRDefault="00E453CD" w:rsidP="00193D76">
            <w:pPr>
              <w:jc w:val="center"/>
              <w:rPr>
                <w:del w:id="1817" w:author="AbbVie02no" w:date="2025-05-15T12:36:00Z"/>
                <w:sz w:val="22"/>
                <w:szCs w:val="22"/>
              </w:rPr>
            </w:pPr>
            <w:del w:id="1818" w:author="AbbVie02no" w:date="2025-05-15T12:36:00Z">
              <w:r w:rsidRPr="009C5EFD">
                <w:rPr>
                  <w:sz w:val="22"/>
                  <w:szCs w:val="22"/>
                </w:rPr>
                <w:delText>0,1</w:delText>
              </w:r>
            </w:del>
          </w:p>
        </w:tc>
        <w:tc>
          <w:tcPr>
            <w:tcW w:w="2000" w:type="dxa"/>
          </w:tcPr>
          <w:p w14:paraId="1CEC6749" w14:textId="5B0156FF" w:rsidR="00DE3458" w:rsidRPr="009C5EFD" w:rsidRDefault="00E453CD" w:rsidP="002D0790">
            <w:pPr>
              <w:jc w:val="center"/>
              <w:rPr>
                <w:del w:id="1819" w:author="AbbVie02no" w:date="2025-05-15T12:36:00Z"/>
                <w:sz w:val="22"/>
                <w:szCs w:val="22"/>
              </w:rPr>
            </w:pPr>
            <w:del w:id="1820" w:author="AbbVie02no" w:date="2025-05-15T12:36:00Z">
              <w:r w:rsidRPr="009C5EFD">
                <w:rPr>
                  <w:sz w:val="22"/>
                  <w:szCs w:val="22"/>
                </w:rPr>
                <w:delText>0,9 (0,3, 1,4)</w:delText>
              </w:r>
            </w:del>
          </w:p>
        </w:tc>
        <w:tc>
          <w:tcPr>
            <w:tcW w:w="1548" w:type="dxa"/>
          </w:tcPr>
          <w:p w14:paraId="34432147" w14:textId="2CEC809B" w:rsidR="00DE3458" w:rsidRPr="009C5EFD" w:rsidRDefault="00E453CD" w:rsidP="002D0790">
            <w:pPr>
              <w:jc w:val="center"/>
              <w:rPr>
                <w:del w:id="1821" w:author="AbbVie02no" w:date="2025-05-15T12:36:00Z"/>
                <w:sz w:val="22"/>
                <w:szCs w:val="22"/>
              </w:rPr>
            </w:pPr>
            <w:del w:id="1822" w:author="AbbVie02no" w:date="2025-05-15T12:36:00Z">
              <w:r w:rsidRPr="009C5EFD">
                <w:rPr>
                  <w:sz w:val="22"/>
                  <w:szCs w:val="22"/>
                </w:rPr>
                <w:delText xml:space="preserve">  0,002</w:delText>
              </w:r>
            </w:del>
          </w:p>
        </w:tc>
      </w:tr>
    </w:tbl>
    <w:p w14:paraId="26EB836A" w14:textId="07324DD2" w:rsidR="00DE3458" w:rsidRPr="007F67EE" w:rsidRDefault="00E453CD" w:rsidP="0015674E">
      <w:pPr>
        <w:pStyle w:val="In-textfootnote"/>
        <w:keepNext w:val="0"/>
        <w:spacing w:before="0"/>
        <w:ind w:left="284"/>
        <w:rPr>
          <w:del w:id="1823" w:author="AbbVie02no" w:date="2025-05-15T12:36:00Z"/>
          <w:rFonts w:ascii="Times New Roman" w:hAnsi="Times New Roman"/>
          <w:sz w:val="22"/>
          <w:szCs w:val="22"/>
          <w:lang w:val="nb-NO"/>
        </w:rPr>
      </w:pPr>
      <w:del w:id="1824" w:author="AbbVie02no" w:date="2025-05-15T12:36:00Z">
        <w:r w:rsidRPr="007F67EE">
          <w:rPr>
            <w:rFonts w:ascii="Times New Roman" w:hAnsi="Times New Roman"/>
            <w:sz w:val="22"/>
            <w:szCs w:val="22"/>
            <w:vertAlign w:val="superscript"/>
            <w:lang w:val="nb-NO"/>
          </w:rPr>
          <w:delText>a</w:delText>
        </w:r>
        <w:r w:rsidRPr="007F67EE">
          <w:rPr>
            <w:rFonts w:ascii="Times New Roman" w:hAnsi="Times New Roman"/>
            <w:sz w:val="22"/>
            <w:szCs w:val="22"/>
            <w:lang w:val="nb-NO"/>
          </w:rPr>
          <w:delText xml:space="preserve"> metotreksat</w:delText>
        </w:r>
      </w:del>
    </w:p>
    <w:p w14:paraId="341D300F" w14:textId="2BBAA89C" w:rsidR="00DE3458" w:rsidRPr="002D0790" w:rsidRDefault="00E453CD" w:rsidP="0015674E">
      <w:pPr>
        <w:pStyle w:val="In-textfootnote"/>
        <w:keepNext w:val="0"/>
        <w:spacing w:before="0"/>
        <w:ind w:left="284"/>
        <w:rPr>
          <w:del w:id="1825" w:author="AbbVie02no" w:date="2025-05-15T12:36:00Z"/>
          <w:rFonts w:ascii="Times New Roman" w:hAnsi="Times New Roman"/>
          <w:sz w:val="22"/>
          <w:szCs w:val="22"/>
          <w:lang w:val="nb-NO"/>
        </w:rPr>
      </w:pPr>
      <w:del w:id="1826" w:author="AbbVie02no" w:date="2025-05-15T12:36:00Z">
        <w:r w:rsidRPr="00193D76">
          <w:rPr>
            <w:rFonts w:ascii="Times New Roman" w:hAnsi="Times New Roman"/>
            <w:sz w:val="22"/>
            <w:szCs w:val="22"/>
            <w:vertAlign w:val="superscript"/>
            <w:lang w:val="nb-NO"/>
          </w:rPr>
          <w:delText xml:space="preserve">b </w:delText>
        </w:r>
        <w:r w:rsidRPr="00193D76">
          <w:rPr>
            <w:rFonts w:ascii="Times New Roman" w:hAnsi="Times New Roman"/>
            <w:sz w:val="22"/>
            <w:szCs w:val="22"/>
            <w:lang w:val="nb-NO"/>
          </w:rPr>
          <w:delText>95</w:delText>
        </w:r>
        <w:r w:rsidR="00E51AA9" w:rsidRPr="002D0790">
          <w:rPr>
            <w:rFonts w:ascii="Times New Roman" w:hAnsi="Times New Roman"/>
            <w:sz w:val="22"/>
            <w:szCs w:val="22"/>
            <w:lang w:val="nb-NO"/>
          </w:rPr>
          <w:delText xml:space="preserve"> %</w:delText>
        </w:r>
        <w:r w:rsidRPr="002D0790">
          <w:rPr>
            <w:rFonts w:ascii="Times New Roman" w:hAnsi="Times New Roman"/>
            <w:sz w:val="22"/>
            <w:szCs w:val="22"/>
            <w:lang w:val="nb-NO"/>
          </w:rPr>
          <w:delText xml:space="preserve"> konfidensintervall for forskjellen i score mellom metotreksat og Humira. </w:delText>
        </w:r>
      </w:del>
    </w:p>
    <w:p w14:paraId="5EC96BEA" w14:textId="577CA6B7" w:rsidR="00DE3458" w:rsidRPr="009C5EFD" w:rsidRDefault="00E453CD" w:rsidP="0015674E">
      <w:pPr>
        <w:pStyle w:val="In-textfootnote"/>
        <w:keepNext w:val="0"/>
        <w:spacing w:before="0"/>
        <w:ind w:left="284"/>
        <w:rPr>
          <w:del w:id="1827" w:author="AbbVie02no" w:date="2025-05-15T12:36:00Z"/>
          <w:rFonts w:ascii="Times New Roman" w:hAnsi="Times New Roman"/>
          <w:sz w:val="22"/>
          <w:szCs w:val="22"/>
          <w:lang w:val="nb-NO"/>
        </w:rPr>
      </w:pPr>
      <w:del w:id="1828" w:author="AbbVie02no" w:date="2025-05-15T12:36:00Z">
        <w:r w:rsidRPr="00E14E58">
          <w:rPr>
            <w:rFonts w:ascii="Times New Roman" w:hAnsi="Times New Roman"/>
            <w:sz w:val="22"/>
            <w:szCs w:val="22"/>
            <w:vertAlign w:val="superscript"/>
            <w:lang w:val="nb-NO"/>
          </w:rPr>
          <w:delText xml:space="preserve">c </w:delText>
        </w:r>
        <w:r w:rsidRPr="009C5EFD">
          <w:rPr>
            <w:rFonts w:ascii="Times New Roman" w:hAnsi="Times New Roman"/>
            <w:sz w:val="22"/>
            <w:szCs w:val="22"/>
            <w:lang w:val="nb-NO"/>
          </w:rPr>
          <w:delText>Basert på rankanalyse</w:delText>
        </w:r>
      </w:del>
    </w:p>
    <w:p w14:paraId="703DE03F" w14:textId="3D3E6036" w:rsidR="00DE3458" w:rsidRPr="009C5EFD" w:rsidRDefault="00E453CD" w:rsidP="0015674E">
      <w:pPr>
        <w:ind w:left="142"/>
        <w:rPr>
          <w:del w:id="1829" w:author="AbbVie02no" w:date="2025-05-15T12:36:00Z"/>
          <w:sz w:val="22"/>
          <w:szCs w:val="22"/>
          <w:u w:val="single"/>
        </w:rPr>
      </w:pPr>
      <w:del w:id="1830" w:author="AbbVie02no" w:date="2025-05-15T12:36:00Z">
        <w:r w:rsidRPr="009C5EFD">
          <w:rPr>
            <w:sz w:val="22"/>
            <w:szCs w:val="22"/>
            <w:vertAlign w:val="superscript"/>
          </w:rPr>
          <w:delText xml:space="preserve">d </w:delText>
        </w:r>
        <w:r w:rsidRPr="009C5EFD">
          <w:rPr>
            <w:sz w:val="22"/>
            <w:szCs w:val="22"/>
          </w:rPr>
          <w:delText>Joint Space Narrowing</w:delText>
        </w:r>
      </w:del>
    </w:p>
    <w:p w14:paraId="10D0D4D7" w14:textId="1CFDBBBB" w:rsidR="00DE3458" w:rsidRPr="009C5EFD" w:rsidRDefault="00DE3458" w:rsidP="007F67EE">
      <w:pPr>
        <w:rPr>
          <w:del w:id="1831" w:author="AbbVie02no" w:date="2025-05-15T12:36:00Z"/>
          <w:sz w:val="22"/>
          <w:szCs w:val="22"/>
          <w:u w:val="single"/>
        </w:rPr>
      </w:pPr>
    </w:p>
    <w:p w14:paraId="3681EAA3" w14:textId="5B12DFE1" w:rsidR="00DE3458" w:rsidRPr="009C5EFD" w:rsidRDefault="00E453CD" w:rsidP="00193D76">
      <w:pPr>
        <w:rPr>
          <w:del w:id="1832" w:author="AbbVie02no" w:date="2025-05-15T12:36:00Z"/>
          <w:sz w:val="22"/>
          <w:szCs w:val="22"/>
        </w:rPr>
      </w:pPr>
      <w:del w:id="1833" w:author="AbbVie02no" w:date="2025-05-15T12:36:00Z">
        <w:r w:rsidRPr="009C5EFD">
          <w:rPr>
            <w:sz w:val="22"/>
            <w:szCs w:val="22"/>
          </w:rPr>
          <w:delText xml:space="preserve">I RA-studie V ble strukturell leddskade vurderte radiografisk og uttrykt som en endring i modifisert Total Sharp Score (se </w:delText>
        </w:r>
        <w:r w:rsidR="00EF2122" w:rsidRPr="009C5EFD">
          <w:rPr>
            <w:sz w:val="22"/>
            <w:szCs w:val="22"/>
          </w:rPr>
          <w:delText>t</w:delText>
        </w:r>
        <w:r w:rsidRPr="009C5EFD">
          <w:rPr>
            <w:sz w:val="22"/>
            <w:szCs w:val="22"/>
          </w:rPr>
          <w:delText xml:space="preserve">abell </w:delText>
        </w:r>
        <w:r w:rsidR="00DC39C9">
          <w:rPr>
            <w:sz w:val="22"/>
            <w:szCs w:val="22"/>
          </w:rPr>
          <w:delText>11</w:delText>
        </w:r>
        <w:r w:rsidRPr="009C5EFD">
          <w:rPr>
            <w:sz w:val="22"/>
            <w:szCs w:val="22"/>
          </w:rPr>
          <w:delText>).</w:delText>
        </w:r>
      </w:del>
    </w:p>
    <w:p w14:paraId="31134156" w14:textId="7E23934D" w:rsidR="001D6D95" w:rsidRDefault="001D6D95" w:rsidP="002D0790">
      <w:pPr>
        <w:rPr>
          <w:del w:id="1834" w:author="AbbVie02no" w:date="2025-05-15T12:36:00Z"/>
          <w:sz w:val="22"/>
          <w:szCs w:val="22"/>
        </w:rPr>
      </w:pPr>
    </w:p>
    <w:p w14:paraId="4ABE5D14" w14:textId="26404425" w:rsidR="00460BE1" w:rsidRDefault="00E453CD" w:rsidP="00776A84">
      <w:pPr>
        <w:pStyle w:val="CommentText"/>
        <w:keepNext/>
        <w:tabs>
          <w:tab w:val="left" w:pos="330"/>
        </w:tabs>
        <w:suppressAutoHyphens/>
        <w:ind w:left="329" w:hanging="329"/>
        <w:jc w:val="center"/>
        <w:rPr>
          <w:del w:id="1835" w:author="AbbVie02no" w:date="2025-05-15T12:36:00Z"/>
          <w:b/>
          <w:sz w:val="22"/>
          <w:szCs w:val="22"/>
        </w:rPr>
      </w:pPr>
      <w:del w:id="1836" w:author="AbbVie02no" w:date="2025-05-15T12:36:00Z">
        <w:r w:rsidRPr="009C5EFD">
          <w:rPr>
            <w:b/>
            <w:sz w:val="22"/>
            <w:szCs w:val="22"/>
          </w:rPr>
          <w:delText xml:space="preserve">Tabell </w:delText>
        </w:r>
        <w:r w:rsidR="00DC39C9">
          <w:rPr>
            <w:b/>
            <w:sz w:val="22"/>
            <w:szCs w:val="22"/>
          </w:rPr>
          <w:delText xml:space="preserve">11 </w:delText>
        </w:r>
        <w:r w:rsidRPr="009C5EFD">
          <w:rPr>
            <w:b/>
            <w:sz w:val="22"/>
            <w:szCs w:val="22"/>
          </w:rPr>
          <w:delText>Radiografisk gjennomsnittlig endring ved uke 52 i RA-studie V</w:delText>
        </w:r>
      </w:del>
    </w:p>
    <w:p w14:paraId="0405A422" w14:textId="0A8310D1" w:rsidR="00460BE1" w:rsidRPr="00EE4677" w:rsidRDefault="00460BE1" w:rsidP="00776A84">
      <w:pPr>
        <w:pStyle w:val="CommentText"/>
        <w:keepNext/>
        <w:tabs>
          <w:tab w:val="left" w:pos="330"/>
        </w:tabs>
        <w:suppressAutoHyphens/>
        <w:ind w:left="329" w:hanging="329"/>
        <w:jc w:val="center"/>
        <w:rPr>
          <w:del w:id="1837" w:author="AbbVie02no" w:date="2025-05-15T12:36:00Z"/>
          <w:b/>
          <w:sz w:val="22"/>
          <w:szCs w:val="22"/>
        </w:rPr>
      </w:pPr>
    </w:p>
    <w:tbl>
      <w:tblPr>
        <w:tblW w:w="9024" w:type="dxa"/>
        <w:tblInd w:w="64" w:type="dxa"/>
        <w:tblLook w:val="0000" w:firstRow="0" w:lastRow="0" w:firstColumn="0" w:lastColumn="0" w:noHBand="0" w:noVBand="0"/>
      </w:tblPr>
      <w:tblGrid>
        <w:gridCol w:w="1353"/>
        <w:gridCol w:w="1590"/>
        <w:gridCol w:w="1586"/>
        <w:gridCol w:w="1588"/>
        <w:gridCol w:w="970"/>
        <w:gridCol w:w="967"/>
        <w:gridCol w:w="970"/>
      </w:tblGrid>
      <w:tr w:rsidR="004644D4" w14:paraId="34C933C4" w14:textId="6A8FF2FC">
        <w:trPr>
          <w:del w:id="1838" w:author="AbbVie02no" w:date="2025-05-15T12:36:00Z"/>
        </w:trPr>
        <w:tc>
          <w:tcPr>
            <w:tcW w:w="1353" w:type="dxa"/>
            <w:tcBorders>
              <w:top w:val="single" w:sz="4" w:space="0" w:color="auto"/>
              <w:left w:val="single" w:sz="4" w:space="0" w:color="auto"/>
              <w:bottom w:val="single" w:sz="4" w:space="0" w:color="auto"/>
              <w:right w:val="single" w:sz="4" w:space="0" w:color="auto"/>
            </w:tcBorders>
          </w:tcPr>
          <w:p w14:paraId="677653FD" w14:textId="6128DF71" w:rsidR="00DE3458" w:rsidRPr="009C5EFD" w:rsidRDefault="00DE3458" w:rsidP="007F67EE">
            <w:pPr>
              <w:rPr>
                <w:del w:id="1839" w:author="AbbVie02no" w:date="2025-05-15T12:36:00Z"/>
                <w:sz w:val="22"/>
                <w:szCs w:val="22"/>
              </w:rPr>
            </w:pPr>
          </w:p>
        </w:tc>
        <w:tc>
          <w:tcPr>
            <w:tcW w:w="1590" w:type="dxa"/>
            <w:tcBorders>
              <w:top w:val="single" w:sz="4" w:space="0" w:color="auto"/>
              <w:left w:val="single" w:sz="4" w:space="0" w:color="auto"/>
              <w:bottom w:val="single" w:sz="4" w:space="0" w:color="auto"/>
              <w:right w:val="single" w:sz="4" w:space="0" w:color="auto"/>
            </w:tcBorders>
          </w:tcPr>
          <w:p w14:paraId="4180EE1F" w14:textId="38259318" w:rsidR="00DE3458" w:rsidRPr="009C5EFD" w:rsidRDefault="00E453CD" w:rsidP="007F67EE">
            <w:pPr>
              <w:jc w:val="center"/>
              <w:rPr>
                <w:del w:id="1840" w:author="AbbVie02no" w:date="2025-05-15T12:36:00Z"/>
                <w:sz w:val="22"/>
                <w:szCs w:val="22"/>
              </w:rPr>
            </w:pPr>
            <w:del w:id="1841" w:author="AbbVie02no" w:date="2025-05-15T12:36:00Z">
              <w:r w:rsidRPr="009C5EFD">
                <w:rPr>
                  <w:sz w:val="22"/>
                  <w:szCs w:val="22"/>
                </w:rPr>
                <w:delText>MTX</w:delText>
              </w:r>
            </w:del>
          </w:p>
          <w:p w14:paraId="0A3BF39B" w14:textId="611A941A" w:rsidR="00DE3458" w:rsidRPr="009C5EFD" w:rsidRDefault="00E453CD" w:rsidP="00193D76">
            <w:pPr>
              <w:jc w:val="center"/>
              <w:rPr>
                <w:del w:id="1842" w:author="AbbVie02no" w:date="2025-05-15T12:36:00Z"/>
                <w:sz w:val="22"/>
                <w:szCs w:val="22"/>
              </w:rPr>
            </w:pPr>
            <w:del w:id="1843" w:author="AbbVie02no" w:date="2025-05-15T12:36:00Z">
              <w:r w:rsidRPr="009C5EFD">
                <w:rPr>
                  <w:sz w:val="22"/>
                  <w:szCs w:val="22"/>
                </w:rPr>
                <w:delText>n=257</w:delText>
              </w:r>
            </w:del>
          </w:p>
          <w:p w14:paraId="38FD3AB4" w14:textId="459277FA" w:rsidR="00DE3458" w:rsidRPr="009C5EFD" w:rsidRDefault="00E453CD" w:rsidP="002D0790">
            <w:pPr>
              <w:jc w:val="center"/>
              <w:rPr>
                <w:del w:id="1844" w:author="AbbVie02no" w:date="2025-05-15T12:36:00Z"/>
                <w:sz w:val="22"/>
                <w:szCs w:val="22"/>
              </w:rPr>
            </w:pPr>
            <w:del w:id="1845" w:author="AbbVie02no" w:date="2025-05-15T12:36:00Z">
              <w:r w:rsidRPr="009C5EFD">
                <w:rPr>
                  <w:sz w:val="22"/>
                  <w:szCs w:val="22"/>
                </w:rPr>
                <w:delText>(95</w:delText>
              </w:r>
              <w:r w:rsidR="00E51AA9" w:rsidRPr="009C5EFD">
                <w:rPr>
                  <w:sz w:val="22"/>
                  <w:szCs w:val="22"/>
                </w:rPr>
                <w:delText xml:space="preserve"> %</w:delText>
              </w:r>
              <w:r w:rsidRPr="009C5EFD">
                <w:rPr>
                  <w:sz w:val="22"/>
                  <w:szCs w:val="22"/>
                </w:rPr>
                <w:delText xml:space="preserve"> </w:delText>
              </w:r>
              <w:r w:rsidR="00494166" w:rsidRPr="009C5EFD">
                <w:rPr>
                  <w:sz w:val="22"/>
                  <w:szCs w:val="22"/>
                </w:rPr>
                <w:delText>KI</w:delText>
              </w:r>
            </w:del>
          </w:p>
        </w:tc>
        <w:tc>
          <w:tcPr>
            <w:tcW w:w="1586" w:type="dxa"/>
            <w:tcBorders>
              <w:top w:val="single" w:sz="4" w:space="0" w:color="auto"/>
              <w:left w:val="single" w:sz="4" w:space="0" w:color="auto"/>
              <w:bottom w:val="single" w:sz="4" w:space="0" w:color="auto"/>
              <w:right w:val="single" w:sz="4" w:space="0" w:color="auto"/>
            </w:tcBorders>
          </w:tcPr>
          <w:p w14:paraId="65C1EA79" w14:textId="0163AA56" w:rsidR="00DE3458" w:rsidRPr="009C5EFD" w:rsidRDefault="00E453CD" w:rsidP="002D0790">
            <w:pPr>
              <w:jc w:val="center"/>
              <w:rPr>
                <w:del w:id="1846" w:author="AbbVie02no" w:date="2025-05-15T12:36:00Z"/>
                <w:sz w:val="22"/>
                <w:szCs w:val="22"/>
              </w:rPr>
            </w:pPr>
            <w:del w:id="1847" w:author="AbbVie02no" w:date="2025-05-15T12:36:00Z">
              <w:r w:rsidRPr="009C5EFD">
                <w:rPr>
                  <w:sz w:val="22"/>
                  <w:szCs w:val="22"/>
                </w:rPr>
                <w:delText>Humira</w:delText>
              </w:r>
            </w:del>
          </w:p>
          <w:p w14:paraId="5B4D110D" w14:textId="3F3E5641" w:rsidR="00DE3458" w:rsidRPr="009C5EFD" w:rsidRDefault="00E453CD" w:rsidP="00E14E58">
            <w:pPr>
              <w:pStyle w:val="EMEAFigureTitle"/>
              <w:jc w:val="center"/>
              <w:rPr>
                <w:del w:id="1848" w:author="AbbVie02no" w:date="2025-05-15T12:36:00Z"/>
                <w:szCs w:val="22"/>
                <w:lang w:val="nb-NO"/>
              </w:rPr>
            </w:pPr>
            <w:del w:id="1849" w:author="AbbVie02no" w:date="2025-05-15T12:36:00Z">
              <w:r w:rsidRPr="009C5EFD">
                <w:rPr>
                  <w:szCs w:val="22"/>
                  <w:lang w:val="nb-NO"/>
                </w:rPr>
                <w:delText>n=274</w:delText>
              </w:r>
            </w:del>
          </w:p>
          <w:p w14:paraId="36940B8C" w14:textId="4998CD7D" w:rsidR="00DE3458" w:rsidRPr="009C5EFD" w:rsidRDefault="00E453CD" w:rsidP="009C5EFD">
            <w:pPr>
              <w:jc w:val="center"/>
              <w:rPr>
                <w:del w:id="1850" w:author="AbbVie02no" w:date="2025-05-15T12:36:00Z"/>
                <w:sz w:val="22"/>
                <w:szCs w:val="22"/>
              </w:rPr>
            </w:pPr>
            <w:del w:id="1851" w:author="AbbVie02no" w:date="2025-05-15T12:36:00Z">
              <w:r w:rsidRPr="009C5EFD">
                <w:rPr>
                  <w:sz w:val="22"/>
                  <w:szCs w:val="22"/>
                </w:rPr>
                <w:delText>(95</w:delText>
              </w:r>
              <w:r w:rsidR="00E51AA9" w:rsidRPr="009C5EFD">
                <w:rPr>
                  <w:sz w:val="22"/>
                  <w:szCs w:val="22"/>
                </w:rPr>
                <w:delText xml:space="preserve"> %</w:delText>
              </w:r>
              <w:r w:rsidRPr="009C5EFD">
                <w:rPr>
                  <w:sz w:val="22"/>
                  <w:szCs w:val="22"/>
                </w:rPr>
                <w:delText xml:space="preserve"> </w:delText>
              </w:r>
              <w:r w:rsidR="00494166" w:rsidRPr="009C5EFD">
                <w:rPr>
                  <w:sz w:val="22"/>
                  <w:szCs w:val="22"/>
                </w:rPr>
                <w:delText>KI</w:delText>
              </w:r>
              <w:r w:rsidRPr="009C5EFD">
                <w:rPr>
                  <w:sz w:val="22"/>
                  <w:szCs w:val="22"/>
                </w:rPr>
                <w:delText>)</w:delText>
              </w:r>
            </w:del>
          </w:p>
        </w:tc>
        <w:tc>
          <w:tcPr>
            <w:tcW w:w="1588" w:type="dxa"/>
            <w:tcBorders>
              <w:top w:val="single" w:sz="4" w:space="0" w:color="auto"/>
              <w:left w:val="single" w:sz="4" w:space="0" w:color="auto"/>
              <w:bottom w:val="single" w:sz="4" w:space="0" w:color="auto"/>
              <w:right w:val="single" w:sz="4" w:space="0" w:color="auto"/>
            </w:tcBorders>
          </w:tcPr>
          <w:p w14:paraId="688BBBF2" w14:textId="2FC34D26" w:rsidR="00DE3458" w:rsidRPr="009C5EFD" w:rsidRDefault="00E453CD" w:rsidP="009C5EFD">
            <w:pPr>
              <w:jc w:val="center"/>
              <w:rPr>
                <w:del w:id="1852" w:author="AbbVie02no" w:date="2025-05-15T12:36:00Z"/>
                <w:sz w:val="22"/>
                <w:szCs w:val="22"/>
              </w:rPr>
            </w:pPr>
            <w:del w:id="1853" w:author="AbbVie02no" w:date="2025-05-15T12:36:00Z">
              <w:r w:rsidRPr="009C5EFD">
                <w:rPr>
                  <w:sz w:val="22"/>
                  <w:szCs w:val="22"/>
                </w:rPr>
                <w:delText>Humira/MTX</w:delText>
              </w:r>
            </w:del>
          </w:p>
          <w:p w14:paraId="53B614B2" w14:textId="53950C8C" w:rsidR="00DE3458" w:rsidRPr="009C5EFD" w:rsidRDefault="00E453CD" w:rsidP="009C5EFD">
            <w:pPr>
              <w:pStyle w:val="EMEAFigureTitle"/>
              <w:jc w:val="center"/>
              <w:rPr>
                <w:del w:id="1854" w:author="AbbVie02no" w:date="2025-05-15T12:36:00Z"/>
                <w:szCs w:val="22"/>
                <w:lang w:val="nb-NO"/>
              </w:rPr>
            </w:pPr>
            <w:del w:id="1855" w:author="AbbVie02no" w:date="2025-05-15T12:36:00Z">
              <w:r w:rsidRPr="009C5EFD">
                <w:rPr>
                  <w:szCs w:val="22"/>
                  <w:lang w:val="nb-NO"/>
                </w:rPr>
                <w:delText>n=268</w:delText>
              </w:r>
            </w:del>
          </w:p>
          <w:p w14:paraId="0B44CC15" w14:textId="6185F384" w:rsidR="00DE3458" w:rsidRPr="009C5EFD" w:rsidRDefault="00E453CD" w:rsidP="009C5EFD">
            <w:pPr>
              <w:pStyle w:val="EMEANormal"/>
              <w:jc w:val="center"/>
              <w:rPr>
                <w:del w:id="1856" w:author="AbbVie02no" w:date="2025-05-15T12:36:00Z"/>
                <w:szCs w:val="22"/>
                <w:lang w:val="nb-NO"/>
              </w:rPr>
            </w:pPr>
            <w:del w:id="1857" w:author="AbbVie02no" w:date="2025-05-15T12:36:00Z">
              <w:r w:rsidRPr="009C5EFD">
                <w:rPr>
                  <w:szCs w:val="22"/>
                  <w:lang w:val="nb-NO"/>
                </w:rPr>
                <w:delText>(95</w:delText>
              </w:r>
              <w:r w:rsidR="00E51AA9" w:rsidRPr="009C5EFD">
                <w:rPr>
                  <w:szCs w:val="22"/>
                  <w:lang w:val="nb-NO"/>
                </w:rPr>
                <w:delText xml:space="preserve"> %</w:delText>
              </w:r>
              <w:r w:rsidRPr="009C5EFD">
                <w:rPr>
                  <w:szCs w:val="22"/>
                  <w:lang w:val="nb-NO"/>
                </w:rPr>
                <w:delText xml:space="preserve"> </w:delText>
              </w:r>
              <w:r w:rsidR="00494166" w:rsidRPr="009C5EFD">
                <w:rPr>
                  <w:szCs w:val="22"/>
                  <w:lang w:val="nb-NO"/>
                </w:rPr>
                <w:delText>KI</w:delText>
              </w:r>
              <w:r w:rsidRPr="009C5EFD">
                <w:rPr>
                  <w:szCs w:val="22"/>
                  <w:lang w:val="nb-NO"/>
                </w:rPr>
                <w:delText>)</w:delText>
              </w:r>
            </w:del>
          </w:p>
        </w:tc>
        <w:tc>
          <w:tcPr>
            <w:tcW w:w="970" w:type="dxa"/>
            <w:tcBorders>
              <w:top w:val="single" w:sz="4" w:space="0" w:color="auto"/>
              <w:left w:val="single" w:sz="4" w:space="0" w:color="auto"/>
              <w:bottom w:val="single" w:sz="4" w:space="0" w:color="auto"/>
              <w:right w:val="single" w:sz="4" w:space="0" w:color="auto"/>
            </w:tcBorders>
          </w:tcPr>
          <w:p w14:paraId="6955E5D1" w14:textId="0DDCA8C6" w:rsidR="00DE3458" w:rsidRPr="009C5EFD" w:rsidRDefault="00E453CD" w:rsidP="009C5EFD">
            <w:pPr>
              <w:pStyle w:val="EMEANormal"/>
              <w:jc w:val="center"/>
              <w:rPr>
                <w:del w:id="1858" w:author="AbbVie02no" w:date="2025-05-15T12:36:00Z"/>
                <w:szCs w:val="22"/>
                <w:lang w:val="nb-NO"/>
              </w:rPr>
            </w:pPr>
            <w:del w:id="1859" w:author="AbbVie02no" w:date="2025-05-15T12:36:00Z">
              <w:r w:rsidRPr="009C5EFD">
                <w:rPr>
                  <w:szCs w:val="22"/>
                  <w:lang w:val="nb-NO"/>
                </w:rPr>
                <w:delText>p-verdi</w:delText>
              </w:r>
              <w:r w:rsidRPr="009C5EFD">
                <w:rPr>
                  <w:szCs w:val="22"/>
                  <w:vertAlign w:val="superscript"/>
                  <w:lang w:val="nb-NO"/>
                </w:rPr>
                <w:delText>a</w:delText>
              </w:r>
            </w:del>
          </w:p>
        </w:tc>
        <w:tc>
          <w:tcPr>
            <w:tcW w:w="967" w:type="dxa"/>
            <w:tcBorders>
              <w:top w:val="single" w:sz="4" w:space="0" w:color="auto"/>
              <w:left w:val="single" w:sz="4" w:space="0" w:color="auto"/>
              <w:bottom w:val="single" w:sz="4" w:space="0" w:color="auto"/>
              <w:right w:val="single" w:sz="4" w:space="0" w:color="auto"/>
            </w:tcBorders>
          </w:tcPr>
          <w:p w14:paraId="1F5E78DD" w14:textId="7E60D36D" w:rsidR="00DE3458" w:rsidRPr="009C5EFD" w:rsidRDefault="00E453CD" w:rsidP="009C5EFD">
            <w:pPr>
              <w:jc w:val="center"/>
              <w:rPr>
                <w:del w:id="1860" w:author="AbbVie02no" w:date="2025-05-15T12:36:00Z"/>
                <w:sz w:val="22"/>
                <w:szCs w:val="22"/>
              </w:rPr>
            </w:pPr>
            <w:del w:id="1861" w:author="AbbVie02no" w:date="2025-05-15T12:36:00Z">
              <w:r w:rsidRPr="009C5EFD">
                <w:rPr>
                  <w:sz w:val="22"/>
                  <w:szCs w:val="22"/>
                </w:rPr>
                <w:delText>p-verdi</w:delText>
              </w:r>
              <w:r w:rsidRPr="009C5EFD">
                <w:rPr>
                  <w:sz w:val="22"/>
                  <w:szCs w:val="22"/>
                  <w:vertAlign w:val="superscript"/>
                </w:rPr>
                <w:delText>b</w:delText>
              </w:r>
            </w:del>
          </w:p>
        </w:tc>
        <w:tc>
          <w:tcPr>
            <w:tcW w:w="970" w:type="dxa"/>
            <w:tcBorders>
              <w:top w:val="single" w:sz="4" w:space="0" w:color="auto"/>
              <w:left w:val="single" w:sz="4" w:space="0" w:color="auto"/>
              <w:bottom w:val="single" w:sz="4" w:space="0" w:color="auto"/>
              <w:right w:val="single" w:sz="4" w:space="0" w:color="auto"/>
            </w:tcBorders>
          </w:tcPr>
          <w:p w14:paraId="064F8C62" w14:textId="7C0F1B1C" w:rsidR="00DE3458" w:rsidRPr="009C5EFD" w:rsidRDefault="00E453CD" w:rsidP="009C5EFD">
            <w:pPr>
              <w:jc w:val="center"/>
              <w:rPr>
                <w:del w:id="1862" w:author="AbbVie02no" w:date="2025-05-15T12:36:00Z"/>
                <w:sz w:val="22"/>
                <w:szCs w:val="22"/>
              </w:rPr>
            </w:pPr>
            <w:del w:id="1863" w:author="AbbVie02no" w:date="2025-05-15T12:36:00Z">
              <w:r w:rsidRPr="009C5EFD">
                <w:rPr>
                  <w:sz w:val="22"/>
                  <w:szCs w:val="22"/>
                </w:rPr>
                <w:delText>p-verdi</w:delText>
              </w:r>
              <w:r w:rsidRPr="009C5EFD">
                <w:rPr>
                  <w:sz w:val="22"/>
                  <w:szCs w:val="22"/>
                  <w:vertAlign w:val="superscript"/>
                </w:rPr>
                <w:delText>c</w:delText>
              </w:r>
            </w:del>
          </w:p>
        </w:tc>
      </w:tr>
      <w:tr w:rsidR="004644D4" w14:paraId="68FCC49A" w14:textId="2EA9E791">
        <w:trPr>
          <w:del w:id="1864" w:author="AbbVie02no" w:date="2025-05-15T12:36:00Z"/>
        </w:trPr>
        <w:tc>
          <w:tcPr>
            <w:tcW w:w="1353" w:type="dxa"/>
            <w:tcBorders>
              <w:top w:val="single" w:sz="4" w:space="0" w:color="auto"/>
              <w:left w:val="single" w:sz="4" w:space="0" w:color="auto"/>
              <w:bottom w:val="single" w:sz="4" w:space="0" w:color="auto"/>
              <w:right w:val="single" w:sz="4" w:space="0" w:color="auto"/>
            </w:tcBorders>
          </w:tcPr>
          <w:p w14:paraId="25D3A778" w14:textId="03BCF61E" w:rsidR="00DE3458" w:rsidRPr="007F67EE" w:rsidRDefault="00E453CD" w:rsidP="007F67EE">
            <w:pPr>
              <w:pStyle w:val="EMEAFigureTitle"/>
              <w:jc w:val="center"/>
              <w:rPr>
                <w:del w:id="1865" w:author="AbbVie02no" w:date="2025-05-15T12:36:00Z"/>
                <w:szCs w:val="22"/>
                <w:lang w:val="nb-NO"/>
              </w:rPr>
            </w:pPr>
            <w:del w:id="1866" w:author="AbbVie02no" w:date="2025-05-15T12:36:00Z">
              <w:r w:rsidRPr="007F67EE">
                <w:rPr>
                  <w:szCs w:val="22"/>
                  <w:lang w:val="nb-NO"/>
                </w:rPr>
                <w:delText>Total Sharp Score</w:delText>
              </w:r>
            </w:del>
          </w:p>
        </w:tc>
        <w:tc>
          <w:tcPr>
            <w:tcW w:w="1590" w:type="dxa"/>
            <w:tcBorders>
              <w:top w:val="single" w:sz="4" w:space="0" w:color="auto"/>
              <w:left w:val="single" w:sz="4" w:space="0" w:color="auto"/>
              <w:bottom w:val="single" w:sz="4" w:space="0" w:color="auto"/>
              <w:right w:val="single" w:sz="4" w:space="0" w:color="auto"/>
            </w:tcBorders>
          </w:tcPr>
          <w:p w14:paraId="43CC6216" w14:textId="771DD76D" w:rsidR="00DE3458" w:rsidRPr="007F67EE" w:rsidRDefault="00E453CD" w:rsidP="007F67EE">
            <w:pPr>
              <w:jc w:val="center"/>
              <w:rPr>
                <w:del w:id="1867" w:author="AbbVie02no" w:date="2025-05-15T12:36:00Z"/>
                <w:sz w:val="22"/>
                <w:szCs w:val="22"/>
              </w:rPr>
            </w:pPr>
            <w:del w:id="1868" w:author="AbbVie02no" w:date="2025-05-15T12:36:00Z">
              <w:r w:rsidRPr="007F67EE">
                <w:rPr>
                  <w:sz w:val="22"/>
                  <w:szCs w:val="22"/>
                </w:rPr>
                <w:delText>5,7 (4,2-7,3)</w:delText>
              </w:r>
            </w:del>
          </w:p>
        </w:tc>
        <w:tc>
          <w:tcPr>
            <w:tcW w:w="1586" w:type="dxa"/>
            <w:tcBorders>
              <w:top w:val="single" w:sz="4" w:space="0" w:color="auto"/>
              <w:left w:val="single" w:sz="4" w:space="0" w:color="auto"/>
              <w:bottom w:val="single" w:sz="4" w:space="0" w:color="auto"/>
              <w:right w:val="single" w:sz="4" w:space="0" w:color="auto"/>
            </w:tcBorders>
          </w:tcPr>
          <w:p w14:paraId="12DBC860" w14:textId="44B766E0" w:rsidR="00DE3458" w:rsidRPr="00193D76" w:rsidRDefault="00E453CD" w:rsidP="00193D76">
            <w:pPr>
              <w:pStyle w:val="EndnoteText"/>
              <w:jc w:val="center"/>
              <w:rPr>
                <w:del w:id="1869" w:author="AbbVie02no" w:date="2025-05-15T12:36:00Z"/>
                <w:szCs w:val="22"/>
                <w:lang w:val="nb-NO"/>
              </w:rPr>
            </w:pPr>
            <w:del w:id="1870" w:author="AbbVie02no" w:date="2025-05-15T12:36:00Z">
              <w:r w:rsidRPr="00193D76">
                <w:rPr>
                  <w:szCs w:val="22"/>
                  <w:lang w:val="nb-NO"/>
                </w:rPr>
                <w:delText>3,0 (1,7-4,3)</w:delText>
              </w:r>
            </w:del>
          </w:p>
        </w:tc>
        <w:tc>
          <w:tcPr>
            <w:tcW w:w="1588" w:type="dxa"/>
            <w:tcBorders>
              <w:top w:val="single" w:sz="4" w:space="0" w:color="auto"/>
              <w:left w:val="single" w:sz="4" w:space="0" w:color="auto"/>
              <w:bottom w:val="single" w:sz="4" w:space="0" w:color="auto"/>
              <w:right w:val="single" w:sz="4" w:space="0" w:color="auto"/>
            </w:tcBorders>
          </w:tcPr>
          <w:p w14:paraId="14A2D150" w14:textId="51F8F1F9" w:rsidR="00DE3458" w:rsidRPr="002D0790" w:rsidRDefault="00E453CD" w:rsidP="002D0790">
            <w:pPr>
              <w:pStyle w:val="EndnoteText"/>
              <w:jc w:val="center"/>
              <w:rPr>
                <w:del w:id="1871" w:author="AbbVie02no" w:date="2025-05-15T12:36:00Z"/>
                <w:szCs w:val="22"/>
                <w:lang w:val="nb-NO"/>
              </w:rPr>
            </w:pPr>
            <w:del w:id="1872" w:author="AbbVie02no" w:date="2025-05-15T12:36:00Z">
              <w:r w:rsidRPr="002D0790">
                <w:rPr>
                  <w:szCs w:val="22"/>
                  <w:lang w:val="nb-NO"/>
                </w:rPr>
                <w:delText>1,3 (0,5-2,1)</w:delText>
              </w:r>
            </w:del>
          </w:p>
        </w:tc>
        <w:tc>
          <w:tcPr>
            <w:tcW w:w="970" w:type="dxa"/>
            <w:tcBorders>
              <w:top w:val="single" w:sz="4" w:space="0" w:color="auto"/>
              <w:left w:val="single" w:sz="4" w:space="0" w:color="auto"/>
              <w:bottom w:val="single" w:sz="4" w:space="0" w:color="auto"/>
              <w:right w:val="single" w:sz="4" w:space="0" w:color="auto"/>
            </w:tcBorders>
          </w:tcPr>
          <w:p w14:paraId="454493A6" w14:textId="643D4CCA" w:rsidR="00DE3458" w:rsidRPr="002D0790" w:rsidRDefault="00E453CD" w:rsidP="002D0790">
            <w:pPr>
              <w:pStyle w:val="EndnoteText"/>
              <w:jc w:val="center"/>
              <w:rPr>
                <w:del w:id="1873" w:author="AbbVie02no" w:date="2025-05-15T12:36:00Z"/>
                <w:szCs w:val="22"/>
                <w:lang w:val="nb-NO"/>
              </w:rPr>
            </w:pPr>
            <w:del w:id="1874" w:author="AbbVie02no" w:date="2025-05-15T12:36:00Z">
              <w:r w:rsidRPr="002D0790">
                <w:rPr>
                  <w:szCs w:val="22"/>
                  <w:lang w:val="nb-NO"/>
                </w:rPr>
                <w:delText>&lt; 0,001</w:delText>
              </w:r>
            </w:del>
          </w:p>
        </w:tc>
        <w:tc>
          <w:tcPr>
            <w:tcW w:w="967" w:type="dxa"/>
            <w:tcBorders>
              <w:top w:val="single" w:sz="4" w:space="0" w:color="auto"/>
              <w:left w:val="single" w:sz="4" w:space="0" w:color="auto"/>
              <w:bottom w:val="single" w:sz="4" w:space="0" w:color="auto"/>
              <w:right w:val="single" w:sz="4" w:space="0" w:color="auto"/>
            </w:tcBorders>
          </w:tcPr>
          <w:p w14:paraId="72E119DF" w14:textId="0A17A590" w:rsidR="00DE3458" w:rsidRPr="00E14E58" w:rsidRDefault="00E453CD" w:rsidP="00E14E58">
            <w:pPr>
              <w:jc w:val="center"/>
              <w:rPr>
                <w:del w:id="1875" w:author="AbbVie02no" w:date="2025-05-15T12:36:00Z"/>
                <w:sz w:val="22"/>
                <w:szCs w:val="22"/>
              </w:rPr>
            </w:pPr>
            <w:del w:id="1876" w:author="AbbVie02no" w:date="2025-05-15T12:36:00Z">
              <w:r w:rsidRPr="00E14E58">
                <w:rPr>
                  <w:sz w:val="22"/>
                  <w:szCs w:val="22"/>
                </w:rPr>
                <w:delText>0,0020</w:delText>
              </w:r>
            </w:del>
          </w:p>
        </w:tc>
        <w:tc>
          <w:tcPr>
            <w:tcW w:w="970" w:type="dxa"/>
            <w:tcBorders>
              <w:top w:val="single" w:sz="4" w:space="0" w:color="auto"/>
              <w:left w:val="single" w:sz="4" w:space="0" w:color="auto"/>
              <w:bottom w:val="single" w:sz="4" w:space="0" w:color="auto"/>
              <w:right w:val="single" w:sz="4" w:space="0" w:color="auto"/>
            </w:tcBorders>
          </w:tcPr>
          <w:p w14:paraId="40AA86A8" w14:textId="268DF2D7" w:rsidR="00DE3458" w:rsidRPr="009C5EFD" w:rsidRDefault="00E453CD" w:rsidP="009C5EFD">
            <w:pPr>
              <w:jc w:val="center"/>
              <w:rPr>
                <w:del w:id="1877" w:author="AbbVie02no" w:date="2025-05-15T12:36:00Z"/>
                <w:sz w:val="22"/>
                <w:szCs w:val="22"/>
              </w:rPr>
            </w:pPr>
            <w:del w:id="1878" w:author="AbbVie02no" w:date="2025-05-15T12:36:00Z">
              <w:r w:rsidRPr="009C5EFD">
                <w:rPr>
                  <w:sz w:val="22"/>
                  <w:szCs w:val="22"/>
                </w:rPr>
                <w:delText>&lt; 0,001</w:delText>
              </w:r>
            </w:del>
          </w:p>
        </w:tc>
      </w:tr>
      <w:tr w:rsidR="004644D4" w14:paraId="0C502E38" w14:textId="79299C27">
        <w:trPr>
          <w:del w:id="1879" w:author="AbbVie02no" w:date="2025-05-15T12:36:00Z"/>
        </w:trPr>
        <w:tc>
          <w:tcPr>
            <w:tcW w:w="1353" w:type="dxa"/>
            <w:tcBorders>
              <w:top w:val="single" w:sz="4" w:space="0" w:color="auto"/>
              <w:left w:val="single" w:sz="4" w:space="0" w:color="auto"/>
              <w:bottom w:val="single" w:sz="4" w:space="0" w:color="auto"/>
              <w:right w:val="single" w:sz="4" w:space="0" w:color="auto"/>
            </w:tcBorders>
          </w:tcPr>
          <w:p w14:paraId="440F4586" w14:textId="010A85A0" w:rsidR="00DE3458" w:rsidRPr="009C5EFD" w:rsidRDefault="00E453CD" w:rsidP="007F67EE">
            <w:pPr>
              <w:jc w:val="center"/>
              <w:rPr>
                <w:del w:id="1880" w:author="AbbVie02no" w:date="2025-05-15T12:36:00Z"/>
                <w:sz w:val="22"/>
                <w:szCs w:val="22"/>
              </w:rPr>
            </w:pPr>
            <w:del w:id="1881" w:author="AbbVie02no" w:date="2025-05-15T12:36:00Z">
              <w:r w:rsidRPr="009C5EFD">
                <w:rPr>
                  <w:sz w:val="22"/>
                  <w:szCs w:val="22"/>
                </w:rPr>
                <w:delText>Erosjons score</w:delText>
              </w:r>
            </w:del>
          </w:p>
        </w:tc>
        <w:tc>
          <w:tcPr>
            <w:tcW w:w="1590" w:type="dxa"/>
            <w:tcBorders>
              <w:top w:val="single" w:sz="4" w:space="0" w:color="auto"/>
              <w:left w:val="single" w:sz="4" w:space="0" w:color="auto"/>
              <w:bottom w:val="single" w:sz="4" w:space="0" w:color="auto"/>
              <w:right w:val="single" w:sz="4" w:space="0" w:color="auto"/>
            </w:tcBorders>
          </w:tcPr>
          <w:p w14:paraId="18EB1001" w14:textId="39D488E7" w:rsidR="00DE3458" w:rsidRPr="009C5EFD" w:rsidRDefault="00E453CD" w:rsidP="007F67EE">
            <w:pPr>
              <w:jc w:val="center"/>
              <w:rPr>
                <w:del w:id="1882" w:author="AbbVie02no" w:date="2025-05-15T12:36:00Z"/>
                <w:sz w:val="22"/>
                <w:szCs w:val="22"/>
              </w:rPr>
            </w:pPr>
            <w:del w:id="1883" w:author="AbbVie02no" w:date="2025-05-15T12:36:00Z">
              <w:r w:rsidRPr="009C5EFD">
                <w:rPr>
                  <w:sz w:val="22"/>
                  <w:szCs w:val="22"/>
                </w:rPr>
                <w:delText>3,7 (2,7-4,7)</w:delText>
              </w:r>
            </w:del>
          </w:p>
        </w:tc>
        <w:tc>
          <w:tcPr>
            <w:tcW w:w="1586" w:type="dxa"/>
            <w:tcBorders>
              <w:top w:val="single" w:sz="4" w:space="0" w:color="auto"/>
              <w:left w:val="single" w:sz="4" w:space="0" w:color="auto"/>
              <w:bottom w:val="single" w:sz="4" w:space="0" w:color="auto"/>
              <w:right w:val="single" w:sz="4" w:space="0" w:color="auto"/>
            </w:tcBorders>
          </w:tcPr>
          <w:p w14:paraId="0CD1C68A" w14:textId="4F8854FA" w:rsidR="00DE3458" w:rsidRPr="009C5EFD" w:rsidRDefault="00E453CD" w:rsidP="00193D76">
            <w:pPr>
              <w:jc w:val="center"/>
              <w:rPr>
                <w:del w:id="1884" w:author="AbbVie02no" w:date="2025-05-15T12:36:00Z"/>
                <w:sz w:val="22"/>
                <w:szCs w:val="22"/>
              </w:rPr>
            </w:pPr>
            <w:del w:id="1885" w:author="AbbVie02no" w:date="2025-05-15T12:36:00Z">
              <w:r w:rsidRPr="009C5EFD">
                <w:rPr>
                  <w:sz w:val="22"/>
                  <w:szCs w:val="22"/>
                </w:rPr>
                <w:delText>1,7 (1,0-2,4)</w:delText>
              </w:r>
            </w:del>
          </w:p>
        </w:tc>
        <w:tc>
          <w:tcPr>
            <w:tcW w:w="1588" w:type="dxa"/>
            <w:tcBorders>
              <w:top w:val="single" w:sz="4" w:space="0" w:color="auto"/>
              <w:left w:val="single" w:sz="4" w:space="0" w:color="auto"/>
              <w:bottom w:val="single" w:sz="4" w:space="0" w:color="auto"/>
              <w:right w:val="single" w:sz="4" w:space="0" w:color="auto"/>
            </w:tcBorders>
          </w:tcPr>
          <w:p w14:paraId="66BA5D3E" w14:textId="391320CA" w:rsidR="00DE3458" w:rsidRPr="009C5EFD" w:rsidRDefault="00E453CD" w:rsidP="002D0790">
            <w:pPr>
              <w:jc w:val="center"/>
              <w:rPr>
                <w:del w:id="1886" w:author="AbbVie02no" w:date="2025-05-15T12:36:00Z"/>
                <w:sz w:val="22"/>
                <w:szCs w:val="22"/>
              </w:rPr>
            </w:pPr>
            <w:del w:id="1887" w:author="AbbVie02no" w:date="2025-05-15T12:36:00Z">
              <w:r w:rsidRPr="009C5EFD">
                <w:rPr>
                  <w:sz w:val="22"/>
                  <w:szCs w:val="22"/>
                </w:rPr>
                <w:delText>0,8 (0,4-1,2)</w:delText>
              </w:r>
            </w:del>
          </w:p>
        </w:tc>
        <w:tc>
          <w:tcPr>
            <w:tcW w:w="970" w:type="dxa"/>
            <w:tcBorders>
              <w:top w:val="single" w:sz="4" w:space="0" w:color="auto"/>
              <w:left w:val="single" w:sz="4" w:space="0" w:color="auto"/>
              <w:bottom w:val="single" w:sz="4" w:space="0" w:color="auto"/>
              <w:right w:val="single" w:sz="4" w:space="0" w:color="auto"/>
            </w:tcBorders>
          </w:tcPr>
          <w:p w14:paraId="16980DCF" w14:textId="2FA477E1" w:rsidR="00DE3458" w:rsidRPr="009C5EFD" w:rsidRDefault="00E453CD" w:rsidP="002D0790">
            <w:pPr>
              <w:jc w:val="center"/>
              <w:rPr>
                <w:del w:id="1888" w:author="AbbVie02no" w:date="2025-05-15T12:36:00Z"/>
                <w:sz w:val="22"/>
                <w:szCs w:val="22"/>
              </w:rPr>
            </w:pPr>
            <w:del w:id="1889" w:author="AbbVie02no" w:date="2025-05-15T12:36:00Z">
              <w:r w:rsidRPr="009C5EFD">
                <w:rPr>
                  <w:sz w:val="22"/>
                  <w:szCs w:val="22"/>
                </w:rPr>
                <w:delText>&lt; 0,001</w:delText>
              </w:r>
            </w:del>
          </w:p>
        </w:tc>
        <w:tc>
          <w:tcPr>
            <w:tcW w:w="967" w:type="dxa"/>
            <w:tcBorders>
              <w:top w:val="single" w:sz="4" w:space="0" w:color="auto"/>
              <w:left w:val="single" w:sz="4" w:space="0" w:color="auto"/>
              <w:bottom w:val="single" w:sz="4" w:space="0" w:color="auto"/>
              <w:right w:val="single" w:sz="4" w:space="0" w:color="auto"/>
            </w:tcBorders>
          </w:tcPr>
          <w:p w14:paraId="62568275" w14:textId="002BAB7A" w:rsidR="00DE3458" w:rsidRPr="009C5EFD" w:rsidRDefault="00E453CD" w:rsidP="00E14E58">
            <w:pPr>
              <w:jc w:val="center"/>
              <w:rPr>
                <w:del w:id="1890" w:author="AbbVie02no" w:date="2025-05-15T12:36:00Z"/>
                <w:sz w:val="22"/>
                <w:szCs w:val="22"/>
              </w:rPr>
            </w:pPr>
            <w:del w:id="1891" w:author="AbbVie02no" w:date="2025-05-15T12:36:00Z">
              <w:r w:rsidRPr="009C5EFD">
                <w:rPr>
                  <w:sz w:val="22"/>
                  <w:szCs w:val="22"/>
                </w:rPr>
                <w:delText>0,0082</w:delText>
              </w:r>
            </w:del>
          </w:p>
        </w:tc>
        <w:tc>
          <w:tcPr>
            <w:tcW w:w="970" w:type="dxa"/>
            <w:tcBorders>
              <w:top w:val="single" w:sz="4" w:space="0" w:color="auto"/>
              <w:left w:val="single" w:sz="4" w:space="0" w:color="auto"/>
              <w:bottom w:val="single" w:sz="4" w:space="0" w:color="auto"/>
              <w:right w:val="single" w:sz="4" w:space="0" w:color="auto"/>
            </w:tcBorders>
          </w:tcPr>
          <w:p w14:paraId="2BD7AE8D" w14:textId="04FD015A" w:rsidR="00DE3458" w:rsidRPr="009C5EFD" w:rsidRDefault="00E453CD" w:rsidP="009C5EFD">
            <w:pPr>
              <w:jc w:val="center"/>
              <w:rPr>
                <w:del w:id="1892" w:author="AbbVie02no" w:date="2025-05-15T12:36:00Z"/>
                <w:sz w:val="22"/>
                <w:szCs w:val="22"/>
              </w:rPr>
            </w:pPr>
            <w:del w:id="1893" w:author="AbbVie02no" w:date="2025-05-15T12:36:00Z">
              <w:r w:rsidRPr="009C5EFD">
                <w:rPr>
                  <w:sz w:val="22"/>
                  <w:szCs w:val="22"/>
                </w:rPr>
                <w:delText>&lt; 0,001</w:delText>
              </w:r>
            </w:del>
          </w:p>
        </w:tc>
      </w:tr>
      <w:tr w:rsidR="004644D4" w14:paraId="05A3E67D" w14:textId="7C46D9A8">
        <w:trPr>
          <w:del w:id="1894" w:author="AbbVie02no" w:date="2025-05-15T12:36:00Z"/>
        </w:trPr>
        <w:tc>
          <w:tcPr>
            <w:tcW w:w="1353" w:type="dxa"/>
            <w:tcBorders>
              <w:top w:val="single" w:sz="4" w:space="0" w:color="auto"/>
              <w:left w:val="single" w:sz="4" w:space="0" w:color="auto"/>
              <w:bottom w:val="single" w:sz="4" w:space="0" w:color="auto"/>
              <w:right w:val="single" w:sz="4" w:space="0" w:color="auto"/>
            </w:tcBorders>
          </w:tcPr>
          <w:p w14:paraId="7B09C965" w14:textId="7B849AB3" w:rsidR="00DE3458" w:rsidRPr="009C5EFD" w:rsidRDefault="00E453CD" w:rsidP="007F67EE">
            <w:pPr>
              <w:jc w:val="center"/>
              <w:rPr>
                <w:del w:id="1895" w:author="AbbVie02no" w:date="2025-05-15T12:36:00Z"/>
                <w:sz w:val="22"/>
                <w:szCs w:val="22"/>
              </w:rPr>
            </w:pPr>
            <w:del w:id="1896" w:author="AbbVie02no" w:date="2025-05-15T12:36:00Z">
              <w:r w:rsidRPr="009C5EFD">
                <w:rPr>
                  <w:sz w:val="22"/>
                  <w:szCs w:val="22"/>
                </w:rPr>
                <w:delText>JSN score</w:delText>
              </w:r>
            </w:del>
          </w:p>
        </w:tc>
        <w:tc>
          <w:tcPr>
            <w:tcW w:w="1590" w:type="dxa"/>
            <w:tcBorders>
              <w:top w:val="single" w:sz="4" w:space="0" w:color="auto"/>
              <w:left w:val="single" w:sz="4" w:space="0" w:color="auto"/>
              <w:bottom w:val="single" w:sz="4" w:space="0" w:color="auto"/>
              <w:right w:val="single" w:sz="4" w:space="0" w:color="auto"/>
            </w:tcBorders>
          </w:tcPr>
          <w:p w14:paraId="41802A97" w14:textId="28C2595A" w:rsidR="00DE3458" w:rsidRPr="009C5EFD" w:rsidRDefault="00E453CD" w:rsidP="007F67EE">
            <w:pPr>
              <w:jc w:val="center"/>
              <w:rPr>
                <w:del w:id="1897" w:author="AbbVie02no" w:date="2025-05-15T12:36:00Z"/>
                <w:sz w:val="22"/>
                <w:szCs w:val="22"/>
              </w:rPr>
            </w:pPr>
            <w:del w:id="1898" w:author="AbbVie02no" w:date="2025-05-15T12:36:00Z">
              <w:r w:rsidRPr="009C5EFD">
                <w:rPr>
                  <w:sz w:val="22"/>
                  <w:szCs w:val="22"/>
                </w:rPr>
                <w:delText>2,0 (1,2-2,8)</w:delText>
              </w:r>
            </w:del>
          </w:p>
        </w:tc>
        <w:tc>
          <w:tcPr>
            <w:tcW w:w="1586" w:type="dxa"/>
            <w:tcBorders>
              <w:top w:val="single" w:sz="4" w:space="0" w:color="auto"/>
              <w:left w:val="single" w:sz="4" w:space="0" w:color="auto"/>
              <w:bottom w:val="single" w:sz="4" w:space="0" w:color="auto"/>
              <w:right w:val="single" w:sz="4" w:space="0" w:color="auto"/>
            </w:tcBorders>
          </w:tcPr>
          <w:p w14:paraId="6CEEC948" w14:textId="3D7632F4" w:rsidR="00DE3458" w:rsidRPr="009C5EFD" w:rsidRDefault="00E453CD" w:rsidP="00193D76">
            <w:pPr>
              <w:jc w:val="center"/>
              <w:rPr>
                <w:del w:id="1899" w:author="AbbVie02no" w:date="2025-05-15T12:36:00Z"/>
                <w:sz w:val="22"/>
                <w:szCs w:val="22"/>
              </w:rPr>
            </w:pPr>
            <w:del w:id="1900" w:author="AbbVie02no" w:date="2025-05-15T12:36:00Z">
              <w:r w:rsidRPr="009C5EFD">
                <w:rPr>
                  <w:sz w:val="22"/>
                  <w:szCs w:val="22"/>
                </w:rPr>
                <w:delText>1,3 (0,5-2,1)</w:delText>
              </w:r>
            </w:del>
          </w:p>
        </w:tc>
        <w:tc>
          <w:tcPr>
            <w:tcW w:w="1588" w:type="dxa"/>
            <w:tcBorders>
              <w:top w:val="single" w:sz="4" w:space="0" w:color="auto"/>
              <w:left w:val="single" w:sz="4" w:space="0" w:color="auto"/>
              <w:bottom w:val="single" w:sz="4" w:space="0" w:color="auto"/>
              <w:right w:val="single" w:sz="4" w:space="0" w:color="auto"/>
            </w:tcBorders>
          </w:tcPr>
          <w:p w14:paraId="1FACB49D" w14:textId="249463B6" w:rsidR="00DE3458" w:rsidRPr="009C5EFD" w:rsidRDefault="00E453CD" w:rsidP="002D0790">
            <w:pPr>
              <w:jc w:val="center"/>
              <w:rPr>
                <w:del w:id="1901" w:author="AbbVie02no" w:date="2025-05-15T12:36:00Z"/>
                <w:sz w:val="22"/>
                <w:szCs w:val="22"/>
              </w:rPr>
            </w:pPr>
            <w:del w:id="1902" w:author="AbbVie02no" w:date="2025-05-15T12:36:00Z">
              <w:r w:rsidRPr="009C5EFD">
                <w:rPr>
                  <w:sz w:val="22"/>
                  <w:szCs w:val="22"/>
                </w:rPr>
                <w:delText>0,5 (0-1,0)</w:delText>
              </w:r>
            </w:del>
          </w:p>
        </w:tc>
        <w:tc>
          <w:tcPr>
            <w:tcW w:w="970" w:type="dxa"/>
            <w:tcBorders>
              <w:top w:val="single" w:sz="4" w:space="0" w:color="auto"/>
              <w:left w:val="single" w:sz="4" w:space="0" w:color="auto"/>
              <w:bottom w:val="single" w:sz="4" w:space="0" w:color="auto"/>
              <w:right w:val="single" w:sz="4" w:space="0" w:color="auto"/>
            </w:tcBorders>
          </w:tcPr>
          <w:p w14:paraId="3F999C6A" w14:textId="0CD2AAE4" w:rsidR="00DE3458" w:rsidRPr="009C5EFD" w:rsidRDefault="00E453CD" w:rsidP="002D0790">
            <w:pPr>
              <w:jc w:val="center"/>
              <w:rPr>
                <w:del w:id="1903" w:author="AbbVie02no" w:date="2025-05-15T12:36:00Z"/>
                <w:sz w:val="22"/>
                <w:szCs w:val="22"/>
              </w:rPr>
            </w:pPr>
            <w:del w:id="1904" w:author="AbbVie02no" w:date="2025-05-15T12:36:00Z">
              <w:r w:rsidRPr="009C5EFD">
                <w:rPr>
                  <w:sz w:val="22"/>
                  <w:szCs w:val="22"/>
                </w:rPr>
                <w:delText>&lt; 0,001</w:delText>
              </w:r>
            </w:del>
          </w:p>
        </w:tc>
        <w:tc>
          <w:tcPr>
            <w:tcW w:w="967" w:type="dxa"/>
            <w:tcBorders>
              <w:top w:val="single" w:sz="4" w:space="0" w:color="auto"/>
              <w:left w:val="single" w:sz="4" w:space="0" w:color="auto"/>
              <w:bottom w:val="single" w:sz="4" w:space="0" w:color="auto"/>
              <w:right w:val="single" w:sz="4" w:space="0" w:color="auto"/>
            </w:tcBorders>
          </w:tcPr>
          <w:p w14:paraId="03125CE3" w14:textId="5F641D5A" w:rsidR="00DE3458" w:rsidRPr="009C5EFD" w:rsidRDefault="00E453CD" w:rsidP="00E14E58">
            <w:pPr>
              <w:jc w:val="center"/>
              <w:rPr>
                <w:del w:id="1905" w:author="AbbVie02no" w:date="2025-05-15T12:36:00Z"/>
                <w:sz w:val="22"/>
                <w:szCs w:val="22"/>
              </w:rPr>
            </w:pPr>
            <w:del w:id="1906" w:author="AbbVie02no" w:date="2025-05-15T12:36:00Z">
              <w:r w:rsidRPr="009C5EFD">
                <w:rPr>
                  <w:sz w:val="22"/>
                  <w:szCs w:val="22"/>
                </w:rPr>
                <w:delText>0,0037</w:delText>
              </w:r>
            </w:del>
          </w:p>
        </w:tc>
        <w:tc>
          <w:tcPr>
            <w:tcW w:w="970" w:type="dxa"/>
            <w:tcBorders>
              <w:top w:val="single" w:sz="4" w:space="0" w:color="auto"/>
              <w:left w:val="single" w:sz="4" w:space="0" w:color="auto"/>
              <w:bottom w:val="single" w:sz="4" w:space="0" w:color="auto"/>
              <w:right w:val="single" w:sz="4" w:space="0" w:color="auto"/>
            </w:tcBorders>
          </w:tcPr>
          <w:p w14:paraId="728223CA" w14:textId="4F2C946C" w:rsidR="00DE3458" w:rsidRPr="009C5EFD" w:rsidRDefault="00E453CD" w:rsidP="009C5EFD">
            <w:pPr>
              <w:jc w:val="center"/>
              <w:rPr>
                <w:del w:id="1907" w:author="AbbVie02no" w:date="2025-05-15T12:36:00Z"/>
                <w:sz w:val="22"/>
                <w:szCs w:val="22"/>
              </w:rPr>
            </w:pPr>
            <w:del w:id="1908" w:author="AbbVie02no" w:date="2025-05-15T12:36:00Z">
              <w:r w:rsidRPr="009C5EFD">
                <w:rPr>
                  <w:sz w:val="22"/>
                  <w:szCs w:val="22"/>
                </w:rPr>
                <w:delText>0,151</w:delText>
              </w:r>
            </w:del>
          </w:p>
        </w:tc>
      </w:tr>
      <w:tr w:rsidR="004644D4" w14:paraId="7813EF7F" w14:textId="4C97A12C">
        <w:trPr>
          <w:cantSplit/>
          <w:del w:id="1909" w:author="AbbVie02no" w:date="2025-05-15T12:36:00Z"/>
        </w:trPr>
        <w:tc>
          <w:tcPr>
            <w:tcW w:w="9024" w:type="dxa"/>
            <w:gridSpan w:val="7"/>
            <w:tcBorders>
              <w:top w:val="single" w:sz="4" w:space="0" w:color="auto"/>
              <w:bottom w:val="single" w:sz="4" w:space="0" w:color="auto"/>
            </w:tcBorders>
          </w:tcPr>
          <w:p w14:paraId="7BCDF564" w14:textId="33A81B92" w:rsidR="00DE3458" w:rsidRPr="00193D76" w:rsidRDefault="00E453CD" w:rsidP="007F67EE">
            <w:pPr>
              <w:pStyle w:val="BodyTextIndent2"/>
              <w:tabs>
                <w:tab w:val="left" w:pos="330"/>
              </w:tabs>
              <w:ind w:left="330" w:hanging="330"/>
              <w:rPr>
                <w:del w:id="1910" w:author="AbbVie02no" w:date="2025-05-15T12:36:00Z"/>
                <w:szCs w:val="22"/>
              </w:rPr>
            </w:pPr>
            <w:del w:id="1911" w:author="AbbVie02no" w:date="2025-05-15T12:36:00Z">
              <w:r w:rsidRPr="0015674E">
                <w:rPr>
                  <w:szCs w:val="22"/>
                  <w:vertAlign w:val="superscript"/>
                </w:rPr>
                <w:delText>a</w:delText>
              </w:r>
              <w:r w:rsidR="00080235">
                <w:rPr>
                  <w:szCs w:val="22"/>
                  <w:vertAlign w:val="superscript"/>
                </w:rPr>
                <w:delText xml:space="preserve"> </w:delText>
              </w:r>
              <w:r w:rsidRPr="007F67EE">
                <w:rPr>
                  <w:szCs w:val="22"/>
                </w:rPr>
                <w:delText>p-verdien er fra den parvise sammenligningen av metotreksat monoterapi og Humira/metotreksat komb</w:delText>
              </w:r>
              <w:r w:rsidRPr="00193D76">
                <w:rPr>
                  <w:szCs w:val="22"/>
                </w:rPr>
                <w:delText>inasjonsbehandling med Mann-Whitney U testen.</w:delText>
              </w:r>
            </w:del>
          </w:p>
          <w:p w14:paraId="274BEF12" w14:textId="433425B7" w:rsidR="00DE3458" w:rsidRPr="002D0790" w:rsidRDefault="00E453CD" w:rsidP="007F67EE">
            <w:pPr>
              <w:pStyle w:val="BodyTextIndent2"/>
              <w:tabs>
                <w:tab w:val="left" w:pos="330"/>
              </w:tabs>
              <w:ind w:left="330" w:hanging="330"/>
              <w:rPr>
                <w:del w:id="1912" w:author="AbbVie02no" w:date="2025-05-15T12:36:00Z"/>
                <w:szCs w:val="22"/>
              </w:rPr>
            </w:pPr>
            <w:del w:id="1913" w:author="AbbVie02no" w:date="2025-05-15T12:36:00Z">
              <w:r w:rsidRPr="0015674E">
                <w:rPr>
                  <w:szCs w:val="22"/>
                  <w:vertAlign w:val="superscript"/>
                </w:rPr>
                <w:delText>b</w:delText>
              </w:r>
              <w:r w:rsidR="00080235">
                <w:rPr>
                  <w:szCs w:val="22"/>
                  <w:vertAlign w:val="superscript"/>
                </w:rPr>
                <w:delText xml:space="preserve"> </w:delText>
              </w:r>
              <w:r w:rsidRPr="002D0790">
                <w:rPr>
                  <w:szCs w:val="22"/>
                </w:rPr>
                <w:delText>p-verdien er fra den parvise sammenligningen av Humira monoterapi og Humira/metotreksat kombinasjonsbehandling med Mann-Whitney U testen.</w:delText>
              </w:r>
            </w:del>
          </w:p>
          <w:p w14:paraId="271F5531" w14:textId="28833511" w:rsidR="00DE3458" w:rsidRPr="00E14E58" w:rsidRDefault="00E453CD" w:rsidP="00193D76">
            <w:pPr>
              <w:tabs>
                <w:tab w:val="left" w:pos="330"/>
              </w:tabs>
              <w:ind w:left="360" w:hanging="360"/>
              <w:rPr>
                <w:del w:id="1914" w:author="AbbVie02no" w:date="2025-05-15T12:36:00Z"/>
                <w:sz w:val="22"/>
                <w:szCs w:val="22"/>
              </w:rPr>
            </w:pPr>
            <w:del w:id="1915" w:author="AbbVie02no" w:date="2025-05-15T12:36:00Z">
              <w:r w:rsidRPr="0015674E">
                <w:rPr>
                  <w:sz w:val="22"/>
                  <w:szCs w:val="22"/>
                  <w:vertAlign w:val="superscript"/>
                </w:rPr>
                <w:delText>c</w:delText>
              </w:r>
              <w:r w:rsidR="00080235">
                <w:rPr>
                  <w:sz w:val="22"/>
                  <w:szCs w:val="22"/>
                  <w:vertAlign w:val="superscript"/>
                </w:rPr>
                <w:delText xml:space="preserve"> </w:delText>
              </w:r>
              <w:r w:rsidRPr="002D0790">
                <w:rPr>
                  <w:sz w:val="22"/>
                  <w:szCs w:val="22"/>
                </w:rPr>
                <w:delText>p-verdien er fra den parvise sammenligningen av Humira monoterap</w:delText>
              </w:r>
              <w:r w:rsidRPr="00E14E58">
                <w:rPr>
                  <w:sz w:val="22"/>
                  <w:szCs w:val="22"/>
                </w:rPr>
                <w:delText>i og metotreksat monoterapi med Mann-Whitney U testen.</w:delText>
              </w:r>
            </w:del>
          </w:p>
        </w:tc>
      </w:tr>
    </w:tbl>
    <w:p w14:paraId="2FD7CBE8" w14:textId="700EE036" w:rsidR="00DE3458" w:rsidRPr="009C5EFD" w:rsidRDefault="00DE3458" w:rsidP="007F67EE">
      <w:pPr>
        <w:rPr>
          <w:del w:id="1916" w:author="AbbVie02no" w:date="2025-05-15T12:36:00Z"/>
          <w:sz w:val="22"/>
          <w:szCs w:val="22"/>
        </w:rPr>
      </w:pPr>
    </w:p>
    <w:p w14:paraId="04B644FF" w14:textId="56635BCA" w:rsidR="00EC70B4" w:rsidRDefault="00E453CD" w:rsidP="007F67EE">
      <w:pPr>
        <w:pStyle w:val="EMEANormal"/>
        <w:rPr>
          <w:del w:id="1917" w:author="AbbVie02no" w:date="2025-05-15T12:36:00Z"/>
          <w:szCs w:val="22"/>
          <w:lang w:val="nb-NO"/>
        </w:rPr>
      </w:pPr>
      <w:del w:id="1918" w:author="AbbVie02no" w:date="2025-05-15T12:36:00Z">
        <w:r w:rsidRPr="009C5EFD">
          <w:rPr>
            <w:szCs w:val="22"/>
            <w:lang w:val="nb-NO"/>
          </w:rPr>
          <w:delText xml:space="preserve">Etter behandling i 52 uker og 104 uker var andelen pasienter uten progresjon (forandring i den modifiserte totale Sharp score </w:delText>
        </w:r>
        <w:r w:rsidRPr="007F67EE">
          <w:rPr>
            <w:rFonts w:ascii="Symbol" w:hAnsi="Symbol"/>
            <w:szCs w:val="22"/>
            <w:lang w:val="nb-NO"/>
          </w:rPr>
          <w:sym w:font="Symbol" w:char="F0A3"/>
        </w:r>
        <w:r w:rsidRPr="007F67EE">
          <w:rPr>
            <w:szCs w:val="22"/>
            <w:lang w:val="nb-NO"/>
          </w:rPr>
          <w:delText> 0,5 siden oppstart) signifikant høyere med kombinasjonsbehandling med H</w:delText>
        </w:r>
        <w:r w:rsidRPr="00193D76">
          <w:rPr>
            <w:szCs w:val="22"/>
            <w:lang w:val="nb-NO"/>
          </w:rPr>
          <w:delText>umira/metotreksat (henholdsvis 63,8 % og 61,2 %) sammenlignet med metotreksat monoterapi (henholdsvis 37,4 % og 33,5 %, p &lt; 0,001) og Humira monoterapi (henholdsvis 50,7 %, p &lt; 0,002 og 44,5 %, p &lt; 0,001).</w:delText>
        </w:r>
      </w:del>
    </w:p>
    <w:p w14:paraId="5F81A993" w14:textId="3CC5441A" w:rsidR="00635DEA" w:rsidRDefault="00635DEA" w:rsidP="007F67EE">
      <w:pPr>
        <w:pStyle w:val="EMEANormal"/>
        <w:rPr>
          <w:del w:id="1919" w:author="AbbVie02no" w:date="2025-05-15T12:36:00Z"/>
          <w:szCs w:val="22"/>
          <w:lang w:val="nb-NO"/>
        </w:rPr>
      </w:pPr>
    </w:p>
    <w:p w14:paraId="0C535C6C" w14:textId="676237A7" w:rsidR="00635DEA" w:rsidRPr="00193D76" w:rsidRDefault="00E453CD" w:rsidP="007F67EE">
      <w:pPr>
        <w:pStyle w:val="EMEANormal"/>
        <w:rPr>
          <w:del w:id="1920" w:author="AbbVie02no" w:date="2025-05-15T12:36:00Z"/>
          <w:szCs w:val="22"/>
          <w:lang w:val="nb-NO"/>
        </w:rPr>
      </w:pPr>
      <w:del w:id="1921" w:author="AbbVie02no" w:date="2025-05-15T12:36:00Z">
        <w:r>
          <w:rPr>
            <w:szCs w:val="22"/>
            <w:lang w:val="nb-NO"/>
          </w:rPr>
          <w:delText>I den åpne forlengelsesfasen av</w:delText>
        </w:r>
        <w:r w:rsidRPr="00635DEA">
          <w:rPr>
            <w:szCs w:val="22"/>
            <w:lang w:val="nb-NO"/>
          </w:rPr>
          <w:delText xml:space="preserve"> RA studie V, </w:delText>
        </w:r>
        <w:r>
          <w:rPr>
            <w:szCs w:val="22"/>
            <w:lang w:val="nb-NO"/>
          </w:rPr>
          <w:delText xml:space="preserve">var gjennomsnittlig endring fra baseline ved år 10 i den  </w:delText>
        </w:r>
        <w:r w:rsidRPr="00635DEA">
          <w:rPr>
            <w:szCs w:val="22"/>
            <w:lang w:val="nb-NO"/>
          </w:rPr>
          <w:delText>modifiserte totale Sharp score</w:delText>
        </w:r>
        <w:r>
          <w:rPr>
            <w:szCs w:val="22"/>
            <w:lang w:val="nb-NO"/>
          </w:rPr>
          <w:delText xml:space="preserve"> 10,8, 9,2 og 3,9 hos pasienter </w:delText>
        </w:r>
        <w:r w:rsidR="00453752">
          <w:rPr>
            <w:szCs w:val="22"/>
            <w:lang w:val="nb-NO"/>
          </w:rPr>
          <w:delText>henholdsvis opprinnelig</w:delText>
        </w:r>
        <w:r>
          <w:rPr>
            <w:szCs w:val="22"/>
            <w:lang w:val="nb-NO"/>
          </w:rPr>
          <w:delText xml:space="preserve"> randomisert til metotreksat monoterapi, </w:delText>
        </w:r>
        <w:r w:rsidR="00453752">
          <w:rPr>
            <w:szCs w:val="22"/>
            <w:lang w:val="nb-NO"/>
          </w:rPr>
          <w:delText xml:space="preserve">Humira monoterapi og </w:delText>
        </w:r>
        <w:r w:rsidR="00453752" w:rsidRPr="00453752">
          <w:rPr>
            <w:szCs w:val="22"/>
            <w:lang w:val="nb-NO"/>
          </w:rPr>
          <w:delText>Humira/metotreksat kombinasjonsbehandling</w:delText>
        </w:r>
        <w:r w:rsidR="00453752">
          <w:rPr>
            <w:szCs w:val="22"/>
            <w:lang w:val="nb-NO"/>
          </w:rPr>
          <w:delText>. De tilsvarende andeler pasienter uten radiografisk progresjon var henholdsvis 31,3 %, 23,7 % og 36,7 %.</w:delText>
        </w:r>
      </w:del>
    </w:p>
    <w:p w14:paraId="750D63E9" w14:textId="3DFDFB21" w:rsidR="00DE3458" w:rsidRPr="00193D76" w:rsidRDefault="00DE3458" w:rsidP="00193D76">
      <w:pPr>
        <w:pStyle w:val="EMEANormal"/>
        <w:rPr>
          <w:del w:id="1922" w:author="AbbVie02no" w:date="2025-05-15T12:36:00Z"/>
          <w:szCs w:val="22"/>
          <w:lang w:val="nb-NO"/>
        </w:rPr>
      </w:pPr>
    </w:p>
    <w:p w14:paraId="1DBEE931" w14:textId="05456DCF" w:rsidR="003E310A" w:rsidRPr="007F67EE" w:rsidRDefault="00E453CD" w:rsidP="00184283">
      <w:pPr>
        <w:keepNext/>
        <w:rPr>
          <w:del w:id="1923" w:author="AbbVie02no" w:date="2025-05-15T12:36:00Z"/>
          <w:sz w:val="22"/>
          <w:szCs w:val="22"/>
          <w:u w:val="single"/>
        </w:rPr>
      </w:pPr>
      <w:del w:id="1924" w:author="AbbVie02no" w:date="2025-05-15T12:36:00Z">
        <w:r w:rsidRPr="001F5D4B">
          <w:rPr>
            <w:i/>
            <w:sz w:val="22"/>
            <w:szCs w:val="22"/>
            <w:u w:val="single"/>
          </w:rPr>
          <w:delText>Livskvalitet og fysisk funksjon</w:delText>
        </w:r>
      </w:del>
    </w:p>
    <w:p w14:paraId="4004C6E8" w14:textId="53924AB5" w:rsidR="00DE3458" w:rsidRPr="002D0790" w:rsidRDefault="00DE3458" w:rsidP="00184283">
      <w:pPr>
        <w:keepNext/>
        <w:rPr>
          <w:del w:id="1925" w:author="AbbVie02no" w:date="2025-05-15T12:36:00Z"/>
          <w:sz w:val="22"/>
          <w:szCs w:val="22"/>
        </w:rPr>
      </w:pPr>
    </w:p>
    <w:p w14:paraId="124F7E69" w14:textId="575D6BBE" w:rsidR="00DE3458" w:rsidRPr="009C5EFD" w:rsidRDefault="00E453CD" w:rsidP="00776A84">
      <w:pPr>
        <w:rPr>
          <w:del w:id="1926" w:author="AbbVie02no" w:date="2025-05-15T12:36:00Z"/>
          <w:sz w:val="22"/>
          <w:szCs w:val="22"/>
        </w:rPr>
      </w:pPr>
      <w:del w:id="1927" w:author="AbbVie02no" w:date="2025-05-15T12:36:00Z">
        <w:r w:rsidRPr="002D0790">
          <w:rPr>
            <w:sz w:val="22"/>
            <w:szCs w:val="22"/>
          </w:rPr>
          <w:delText>Helserelatert livskvalitet og fysisk funksjon ble vurdert ved hjelp av uførhetsindeksen i spørreskjemaet for helseutredning (Health Assessment Questionnaire HAQ) i de fire opprinnelige, veldefinerte og kontrollerte studiene, som var et for</w:delText>
        </w:r>
        <w:r w:rsidR="00B37E38" w:rsidRPr="00E14E58">
          <w:rPr>
            <w:sz w:val="22"/>
            <w:szCs w:val="22"/>
          </w:rPr>
          <w:delText>h</w:delText>
        </w:r>
        <w:r w:rsidR="00B37E38" w:rsidRPr="009C5EFD">
          <w:rPr>
            <w:sz w:val="22"/>
            <w:szCs w:val="22"/>
          </w:rPr>
          <w:delText>ånds</w:delText>
        </w:r>
        <w:r w:rsidRPr="009C5EFD">
          <w:rPr>
            <w:sz w:val="22"/>
            <w:szCs w:val="22"/>
          </w:rPr>
          <w:delText>spesifisert primærendepunkt ved uke 52 i RA-studie III. Alle doseringer/regimer for Humira i alle fire studie</w:delText>
        </w:r>
        <w:r w:rsidR="008B5519">
          <w:rPr>
            <w:sz w:val="22"/>
            <w:szCs w:val="22"/>
          </w:rPr>
          <w:delText>r</w:delText>
        </w:r>
        <w:r w:rsidRPr="009C5EFD">
          <w:rPr>
            <w:sz w:val="22"/>
            <w:szCs w:val="22"/>
          </w:rPr>
          <w:delText xml:space="preserve"> viste statistisk signifikant større forbedring i uførhetsindeksen til HAQ fra </w:delText>
        </w:r>
        <w:r w:rsidR="008A216F" w:rsidRPr="009C5EFD">
          <w:rPr>
            <w:sz w:val="22"/>
            <w:szCs w:val="22"/>
          </w:rPr>
          <w:delText>oppstart</w:delText>
        </w:r>
        <w:r w:rsidRPr="009C5EFD">
          <w:rPr>
            <w:sz w:val="22"/>
            <w:szCs w:val="22"/>
          </w:rPr>
          <w:delText xml:space="preserve"> til 6. måned sammenlignet med placebo og i RA-studie III ble det samme observert ved uke 52. Resultater fra </w:delText>
        </w:r>
        <w:r w:rsidR="00D57009">
          <w:rPr>
            <w:sz w:val="22"/>
            <w:szCs w:val="22"/>
          </w:rPr>
          <w:delText>«</w:delText>
        </w:r>
        <w:r w:rsidRPr="009C5EFD">
          <w:rPr>
            <w:sz w:val="22"/>
            <w:szCs w:val="22"/>
          </w:rPr>
          <w:delText>Short Form Health Survey</w:delText>
        </w:r>
        <w:r w:rsidR="00D57009">
          <w:rPr>
            <w:sz w:val="22"/>
            <w:szCs w:val="22"/>
          </w:rPr>
          <w:delText>»</w:delText>
        </w:r>
        <w:r w:rsidRPr="009C5EFD">
          <w:rPr>
            <w:sz w:val="22"/>
            <w:szCs w:val="22"/>
          </w:rPr>
          <w:delText xml:space="preserve"> (SF36) ved alle doseringer/regimer av Humira i alle de fire studiene støtter disse funnene, med statistisk signifikante poengverdier for </w:delText>
        </w:r>
        <w:r w:rsidR="00D57009">
          <w:rPr>
            <w:sz w:val="22"/>
            <w:szCs w:val="22"/>
          </w:rPr>
          <w:delText>«</w:delText>
        </w:r>
        <w:r w:rsidRPr="009C5EFD">
          <w:rPr>
            <w:sz w:val="22"/>
            <w:szCs w:val="22"/>
          </w:rPr>
          <w:delText>Physical Component Summary</w:delText>
        </w:r>
        <w:r w:rsidR="00D57009">
          <w:rPr>
            <w:sz w:val="22"/>
            <w:szCs w:val="22"/>
          </w:rPr>
          <w:delText>»</w:delText>
        </w:r>
        <w:r w:rsidRPr="009C5EFD">
          <w:rPr>
            <w:sz w:val="22"/>
            <w:szCs w:val="22"/>
          </w:rPr>
          <w:delText xml:space="preserve"> (PCS), og dessuten statistisk signifikante poengverdier for smerte- og vitalitetsområdet ved 40 mg dosert annenhver uke. </w:delText>
        </w:r>
        <w:r w:rsidR="00EC70B4" w:rsidRPr="009C5EFD">
          <w:rPr>
            <w:sz w:val="22"/>
            <w:szCs w:val="22"/>
          </w:rPr>
          <w:delText>S</w:delText>
        </w:r>
        <w:r w:rsidRPr="009C5EFD">
          <w:rPr>
            <w:sz w:val="22"/>
            <w:szCs w:val="22"/>
          </w:rPr>
          <w:delText xml:space="preserve">tatistisk signifikant </w:delText>
        </w:r>
        <w:r w:rsidRPr="009C5EFD">
          <w:rPr>
            <w:sz w:val="22"/>
            <w:szCs w:val="22"/>
          </w:rPr>
          <w:lastRenderedPageBreak/>
          <w:delText xml:space="preserve">reduksjon i tretthet </w:delText>
        </w:r>
        <w:r w:rsidR="00F92509" w:rsidRPr="009C5EFD">
          <w:rPr>
            <w:sz w:val="22"/>
            <w:szCs w:val="22"/>
          </w:rPr>
          <w:delText xml:space="preserve">(fatigue) </w:delText>
        </w:r>
        <w:r w:rsidRPr="009C5EFD">
          <w:rPr>
            <w:sz w:val="22"/>
            <w:szCs w:val="22"/>
          </w:rPr>
          <w:delText>målt med poengverdier for funksjonell vurdering av behandling av kronisk sykdom (Functional assessment of chronic illness therapy – FACIT) ble observert i alle tre studier hvor det ble vurdert (RA-studiene I, III, IV).</w:delText>
        </w:r>
      </w:del>
    </w:p>
    <w:p w14:paraId="0EB14A9B" w14:textId="35FB2A25" w:rsidR="00DE3458" w:rsidRPr="009C5EFD" w:rsidRDefault="00DE3458" w:rsidP="009C5EFD">
      <w:pPr>
        <w:rPr>
          <w:del w:id="1928" w:author="AbbVie02no" w:date="2025-05-15T12:36:00Z"/>
          <w:sz w:val="22"/>
          <w:szCs w:val="22"/>
        </w:rPr>
      </w:pPr>
    </w:p>
    <w:p w14:paraId="4287C239" w14:textId="1D9F12F1" w:rsidR="00DE3458" w:rsidRPr="009C5EFD" w:rsidRDefault="00E453CD" w:rsidP="009C5EFD">
      <w:pPr>
        <w:rPr>
          <w:del w:id="1929" w:author="AbbVie02no" w:date="2025-05-15T12:36:00Z"/>
          <w:sz w:val="22"/>
          <w:szCs w:val="22"/>
        </w:rPr>
      </w:pPr>
      <w:del w:id="1930" w:author="AbbVie02no" w:date="2025-05-15T12:36:00Z">
        <w:r w:rsidRPr="009C5EFD">
          <w:rPr>
            <w:sz w:val="22"/>
            <w:szCs w:val="22"/>
          </w:rPr>
          <w:delText xml:space="preserve">I RA-studie III, vedvarte forbedringene i fysisk funksjon gjennom </w:delText>
        </w:r>
        <w:r w:rsidR="007264A1" w:rsidRPr="009C5EFD">
          <w:rPr>
            <w:sz w:val="22"/>
            <w:szCs w:val="22"/>
          </w:rPr>
          <w:delText xml:space="preserve">520 </w:delText>
        </w:r>
        <w:r w:rsidRPr="009C5EFD">
          <w:rPr>
            <w:sz w:val="22"/>
            <w:szCs w:val="22"/>
          </w:rPr>
          <w:delText>uker (</w:delText>
        </w:r>
        <w:r w:rsidR="007264A1" w:rsidRPr="009C5EFD">
          <w:rPr>
            <w:sz w:val="22"/>
            <w:szCs w:val="22"/>
          </w:rPr>
          <w:delText xml:space="preserve">120 </w:delText>
        </w:r>
        <w:r w:rsidRPr="009C5EFD">
          <w:rPr>
            <w:sz w:val="22"/>
            <w:szCs w:val="22"/>
          </w:rPr>
          <w:delText>måneder) med åpen behandling</w:delText>
        </w:r>
        <w:r w:rsidR="007264A1" w:rsidRPr="009C5EFD">
          <w:rPr>
            <w:sz w:val="22"/>
            <w:szCs w:val="22"/>
          </w:rPr>
          <w:delText xml:space="preserve"> hos de fleste pasienter som oppnådde forbedring i fysisk funksjon og fortsatte behandlingen</w:delText>
        </w:r>
        <w:r w:rsidRPr="009C5EFD">
          <w:rPr>
            <w:sz w:val="22"/>
            <w:szCs w:val="22"/>
          </w:rPr>
          <w:delText>. Forbedring i livskvalitet ble målt opptil 156 uker (36 måneder) og forbedringen vedvarte gjennom denne perioden.</w:delText>
        </w:r>
      </w:del>
    </w:p>
    <w:p w14:paraId="6D32DB19" w14:textId="7AA67134" w:rsidR="00DE3458" w:rsidRPr="009C5EFD" w:rsidRDefault="00DE3458" w:rsidP="009C5EFD">
      <w:pPr>
        <w:rPr>
          <w:del w:id="1931" w:author="AbbVie02no" w:date="2025-05-15T12:36:00Z"/>
          <w:sz w:val="22"/>
          <w:szCs w:val="22"/>
        </w:rPr>
      </w:pPr>
    </w:p>
    <w:p w14:paraId="530C387B" w14:textId="7B8A419D" w:rsidR="0008160E" w:rsidRPr="009C5EFD" w:rsidRDefault="00E453CD" w:rsidP="009C5EFD">
      <w:pPr>
        <w:rPr>
          <w:del w:id="1932" w:author="AbbVie02no" w:date="2025-05-15T12:36:00Z"/>
          <w:sz w:val="22"/>
          <w:szCs w:val="22"/>
        </w:rPr>
      </w:pPr>
      <w:del w:id="1933" w:author="AbbVie02no" w:date="2025-05-15T12:36:00Z">
        <w:r w:rsidRPr="009C5EFD">
          <w:rPr>
            <w:sz w:val="22"/>
            <w:szCs w:val="22"/>
          </w:rPr>
          <w:delText>I R</w:delText>
        </w:r>
        <w:r w:rsidR="003906C8">
          <w:rPr>
            <w:sz w:val="22"/>
            <w:szCs w:val="22"/>
          </w:rPr>
          <w:delText>A</w:delText>
        </w:r>
        <w:r w:rsidRPr="009C5EFD">
          <w:rPr>
            <w:sz w:val="22"/>
            <w:szCs w:val="22"/>
          </w:rPr>
          <w:delText xml:space="preserve">-studie V viste forbedring i uførhetsindeksen til HAQ og den fysiske delen av SF 36, større forbedring (p &lt; 0,001) for kombinasjonsbehandling med Humira/metotreksat i forhold til metotreksat monoterapi </w:delText>
        </w:r>
        <w:r w:rsidR="004D618A">
          <w:rPr>
            <w:sz w:val="22"/>
            <w:szCs w:val="22"/>
          </w:rPr>
          <w:delText xml:space="preserve">og Humira monoterapi </w:delText>
        </w:r>
        <w:r w:rsidRPr="009C5EFD">
          <w:rPr>
            <w:sz w:val="22"/>
            <w:szCs w:val="22"/>
          </w:rPr>
          <w:delText>ved uke 52, noe som ble vedlikeholdt gjennom uke 104.</w:delText>
        </w:r>
        <w:r w:rsidR="0097762C">
          <w:rPr>
            <w:sz w:val="22"/>
            <w:szCs w:val="22"/>
          </w:rPr>
          <w:delText xml:space="preserve"> Blant de 250 pasientene som fullførte den åpne forlengelsesstudien, ble forbedringer i fysisk funksjon opprettholdt gjennom 10 år med behandling.</w:delText>
        </w:r>
      </w:del>
    </w:p>
    <w:p w14:paraId="16DF9DD4" w14:textId="02040E4A" w:rsidR="00924479" w:rsidRPr="009C5EFD" w:rsidRDefault="00924479" w:rsidP="009C5EFD">
      <w:pPr>
        <w:rPr>
          <w:del w:id="1934" w:author="AbbVie02no" w:date="2025-05-15T12:36:00Z"/>
          <w:sz w:val="22"/>
          <w:szCs w:val="22"/>
          <w:u w:val="single"/>
        </w:rPr>
      </w:pPr>
    </w:p>
    <w:p w14:paraId="1BB68B03" w14:textId="7DC7978B" w:rsidR="00B55945" w:rsidRPr="00193D76" w:rsidRDefault="00E453CD" w:rsidP="00CB31ED">
      <w:pPr>
        <w:keepNext/>
        <w:rPr>
          <w:del w:id="1935" w:author="AbbVie02no" w:date="2025-05-15T12:36:00Z"/>
          <w:sz w:val="22"/>
          <w:szCs w:val="22"/>
          <w:u w:val="single"/>
        </w:rPr>
      </w:pPr>
      <w:del w:id="1936" w:author="AbbVie02no" w:date="2025-05-15T12:36:00Z">
        <w:r w:rsidRPr="001F5D4B">
          <w:rPr>
            <w:i/>
            <w:sz w:val="22"/>
            <w:szCs w:val="22"/>
          </w:rPr>
          <w:delText>Voksne med plakkpsoriasis</w:delText>
        </w:r>
      </w:del>
    </w:p>
    <w:p w14:paraId="44FFA005" w14:textId="6D0DB83D" w:rsidR="00B55945" w:rsidRPr="002D0790" w:rsidRDefault="00B55945" w:rsidP="00CB31ED">
      <w:pPr>
        <w:keepNext/>
        <w:rPr>
          <w:del w:id="1937" w:author="AbbVie02no" w:date="2025-05-15T12:36:00Z"/>
          <w:sz w:val="22"/>
          <w:szCs w:val="22"/>
        </w:rPr>
      </w:pPr>
    </w:p>
    <w:p w14:paraId="1DAAC6EC" w14:textId="29A99542" w:rsidR="00CB6F9E" w:rsidRPr="009C5EFD" w:rsidRDefault="00E453CD" w:rsidP="00776A84">
      <w:pPr>
        <w:rPr>
          <w:del w:id="1938" w:author="AbbVie02no" w:date="2025-05-15T12:36:00Z"/>
          <w:sz w:val="22"/>
          <w:szCs w:val="22"/>
        </w:rPr>
      </w:pPr>
      <w:del w:id="1939" w:author="AbbVie02no" w:date="2025-05-15T12:36:00Z">
        <w:r w:rsidRPr="002D0790">
          <w:rPr>
            <w:sz w:val="22"/>
            <w:szCs w:val="22"/>
          </w:rPr>
          <w:delText>Sikkerhet og effekt av Humira har vært undersøkt hos voksne pasienter med kronisk plakkpsoriasis (</w:delText>
        </w:r>
        <w:r w:rsidRPr="007F67EE">
          <w:rPr>
            <w:rFonts w:ascii="Symbol" w:hAnsi="Symbol"/>
            <w:sz w:val="22"/>
            <w:szCs w:val="22"/>
          </w:rPr>
          <w:sym w:font="Symbol" w:char="F0B3"/>
        </w:r>
        <w:r w:rsidRPr="007F67EE">
          <w:rPr>
            <w:sz w:val="22"/>
            <w:szCs w:val="22"/>
          </w:rPr>
          <w:delText xml:space="preserve"> 10 % BSA og PA</w:delText>
        </w:r>
        <w:r w:rsidRPr="00193D76">
          <w:rPr>
            <w:sz w:val="22"/>
            <w:szCs w:val="22"/>
          </w:rPr>
          <w:delText xml:space="preserve">SI </w:delText>
        </w:r>
        <w:r w:rsidRPr="007F67EE">
          <w:rPr>
            <w:rFonts w:ascii="Symbol" w:hAnsi="Symbol"/>
            <w:sz w:val="22"/>
            <w:szCs w:val="22"/>
          </w:rPr>
          <w:sym w:font="Symbol" w:char="F0B3"/>
        </w:r>
        <w:r w:rsidRPr="007F67EE">
          <w:rPr>
            <w:sz w:val="22"/>
            <w:szCs w:val="22"/>
          </w:rPr>
          <w:delText xml:space="preserve"> 12 eller </w:delText>
        </w:r>
        <w:r w:rsidRPr="007F67EE">
          <w:rPr>
            <w:rFonts w:ascii="Symbol" w:hAnsi="Symbol"/>
            <w:sz w:val="22"/>
            <w:szCs w:val="22"/>
          </w:rPr>
          <w:sym w:font="Symbol" w:char="F0B3"/>
        </w:r>
        <w:r w:rsidRPr="007F67EE">
          <w:rPr>
            <w:sz w:val="22"/>
            <w:szCs w:val="22"/>
          </w:rPr>
          <w:delText xml:space="preserve"> 10), som var kandidater </w:delText>
        </w:r>
        <w:r w:rsidRPr="00193D76">
          <w:rPr>
            <w:sz w:val="22"/>
            <w:szCs w:val="22"/>
          </w:rPr>
          <w:delText>for</w:delText>
        </w:r>
        <w:r w:rsidRPr="002D0790">
          <w:rPr>
            <w:sz w:val="22"/>
            <w:szCs w:val="22"/>
          </w:rPr>
          <w:delText xml:space="preserve"> systemisk behandling eller </w:delText>
        </w:r>
        <w:r w:rsidR="00726E6B">
          <w:rPr>
            <w:sz w:val="22"/>
            <w:szCs w:val="22"/>
          </w:rPr>
          <w:delText>lysbehandling</w:delText>
        </w:r>
        <w:r w:rsidRPr="002D0790">
          <w:rPr>
            <w:sz w:val="22"/>
            <w:szCs w:val="22"/>
          </w:rPr>
          <w:delText xml:space="preserve"> i randomiserte, dobbeltblinde studier. </w:delText>
        </w:r>
        <w:r w:rsidR="00154264">
          <w:rPr>
            <w:sz w:val="22"/>
            <w:szCs w:val="22"/>
          </w:rPr>
          <w:delText>I</w:delText>
        </w:r>
        <w:r w:rsidR="00154264" w:rsidRPr="002D0790">
          <w:rPr>
            <w:sz w:val="22"/>
            <w:szCs w:val="22"/>
          </w:rPr>
          <w:delText xml:space="preserve"> psoriasisstudiene I og II var </w:delText>
        </w:r>
        <w:r w:rsidRPr="002D0790">
          <w:rPr>
            <w:sz w:val="22"/>
            <w:szCs w:val="22"/>
          </w:rPr>
          <w:delText xml:space="preserve">73 % av pasientene tidligere behandlet med systemisk behandling eller </w:delText>
        </w:r>
        <w:r w:rsidR="00726E6B">
          <w:rPr>
            <w:sz w:val="22"/>
            <w:szCs w:val="22"/>
          </w:rPr>
          <w:delText>lysbehandling</w:delText>
        </w:r>
        <w:r w:rsidRPr="002D0790">
          <w:rPr>
            <w:sz w:val="22"/>
            <w:szCs w:val="22"/>
          </w:rPr>
          <w:delText>. Sikkerhet og effekt av Humira ble også undersøkt hos voksne pasienter med moderat til alvorlig kronisk plakkpsoriasis med samtidig hånd og/eller fot psoriasis, som var kandidater for systemisk behandling i en randomisert</w:delText>
        </w:r>
        <w:r w:rsidR="00F3185B" w:rsidRPr="00E14E58">
          <w:rPr>
            <w:sz w:val="22"/>
            <w:szCs w:val="22"/>
          </w:rPr>
          <w:delText>,</w:delText>
        </w:r>
        <w:r w:rsidRPr="009C5EFD">
          <w:rPr>
            <w:sz w:val="22"/>
            <w:szCs w:val="22"/>
          </w:rPr>
          <w:delText xml:space="preserve"> dobbeltblindet studie (Psoriasisstudie III).</w:delText>
        </w:r>
      </w:del>
    </w:p>
    <w:p w14:paraId="3B9DFCD0" w14:textId="69CFBD9F" w:rsidR="00CB6F9E" w:rsidRPr="009C5EFD" w:rsidRDefault="00CB6F9E" w:rsidP="009C5EFD">
      <w:pPr>
        <w:rPr>
          <w:del w:id="1940" w:author="AbbVie02no" w:date="2025-05-15T12:36:00Z"/>
          <w:sz w:val="22"/>
          <w:szCs w:val="22"/>
        </w:rPr>
      </w:pPr>
    </w:p>
    <w:p w14:paraId="36F8906E" w14:textId="1F7FA1C6" w:rsidR="00CB6F9E" w:rsidRPr="009C5EFD" w:rsidRDefault="00E453CD" w:rsidP="009C5EFD">
      <w:pPr>
        <w:rPr>
          <w:del w:id="1941" w:author="AbbVie02no" w:date="2025-05-15T12:36:00Z"/>
          <w:sz w:val="22"/>
          <w:szCs w:val="22"/>
        </w:rPr>
      </w:pPr>
      <w:del w:id="1942" w:author="AbbVie02no" w:date="2025-05-15T12:36:00Z">
        <w:r w:rsidRPr="009C5EFD">
          <w:rPr>
            <w:sz w:val="22"/>
            <w:szCs w:val="22"/>
          </w:rPr>
          <w:delText xml:space="preserve">Psoriasisstudie I (REVEAL) undersøkte 1212 pasienter innenfor tre behandlingsperioder. I periode A fikk pasientene placebo og Humira med en startdose på 80 mg, etterfulgt av 40 mg annenhver uke én uke etter den første dosen. Etter 16 uker med behandling gikk pasienter som oppnådde minst en PASI-respons på 75 (PASI score forbedring minst 75 % i forhold til behandlingsstart), videre til periode B og fikk </w:delText>
        </w:r>
        <w:r w:rsidR="00D57009">
          <w:rPr>
            <w:sz w:val="22"/>
            <w:szCs w:val="22"/>
          </w:rPr>
          <w:delText>«</w:delText>
        </w:r>
        <w:r w:rsidRPr="009C5EFD">
          <w:rPr>
            <w:sz w:val="22"/>
            <w:szCs w:val="22"/>
          </w:rPr>
          <w:delText>open-label</w:delText>
        </w:r>
        <w:r w:rsidR="00D57009">
          <w:rPr>
            <w:sz w:val="22"/>
            <w:szCs w:val="22"/>
          </w:rPr>
          <w:delText>»</w:delText>
        </w:r>
        <w:r w:rsidRPr="009C5EFD">
          <w:rPr>
            <w:sz w:val="22"/>
            <w:szCs w:val="22"/>
          </w:rPr>
          <w:delText xml:space="preserve"> 40 mg Humira annenhver uke. Pasienter som opprettholdt </w:delText>
        </w:r>
        <w:r w:rsidRPr="007F67EE">
          <w:rPr>
            <w:rFonts w:ascii="Symbol" w:hAnsi="Symbol"/>
            <w:sz w:val="22"/>
            <w:szCs w:val="22"/>
          </w:rPr>
          <w:sym w:font="Symbol" w:char="F0B3"/>
        </w:r>
        <w:r w:rsidRPr="007F67EE">
          <w:rPr>
            <w:sz w:val="22"/>
            <w:szCs w:val="22"/>
          </w:rPr>
          <w:delText xml:space="preserve"> PASI 75-respons ved uke 33 og </w:delText>
        </w:r>
        <w:r w:rsidRPr="00193D76">
          <w:rPr>
            <w:sz w:val="22"/>
            <w:szCs w:val="22"/>
          </w:rPr>
          <w:delText xml:space="preserve">som </w:delText>
        </w:r>
        <w:r w:rsidRPr="002D0790">
          <w:rPr>
            <w:sz w:val="22"/>
            <w:szCs w:val="22"/>
          </w:rPr>
          <w:delText xml:space="preserve">var opprinnelig randomiserte til aktiv behandling i periode A, ble randomisert på nytt i periode C til å få </w:delText>
        </w:r>
        <w:r w:rsidR="00C442CF" w:rsidRPr="00E14E58">
          <w:rPr>
            <w:sz w:val="22"/>
            <w:szCs w:val="22"/>
          </w:rPr>
          <w:delText xml:space="preserve">40 mg </w:delText>
        </w:r>
        <w:r w:rsidRPr="009C5EFD">
          <w:rPr>
            <w:sz w:val="22"/>
            <w:szCs w:val="22"/>
          </w:rPr>
          <w:delText>Humira annenhver uke eller placebo i ytterligere 19 uker. På tvers av alle behandl</w:delText>
        </w:r>
        <w:r w:rsidR="00C442CF" w:rsidRPr="009C5EFD">
          <w:rPr>
            <w:sz w:val="22"/>
            <w:szCs w:val="22"/>
          </w:rPr>
          <w:delText>ings</w:delText>
        </w:r>
        <w:r w:rsidRPr="009C5EFD">
          <w:rPr>
            <w:sz w:val="22"/>
            <w:szCs w:val="22"/>
          </w:rPr>
          <w:delText xml:space="preserve">grupper var den gjennomsnittlige PASI score 18,9 ved behandlingsstart, og PGA score var klassifisert fra </w:delText>
        </w:r>
        <w:r w:rsidR="00D57009">
          <w:rPr>
            <w:sz w:val="22"/>
            <w:szCs w:val="22"/>
          </w:rPr>
          <w:delText>«</w:delText>
        </w:r>
        <w:r w:rsidRPr="009C5EFD">
          <w:rPr>
            <w:sz w:val="22"/>
            <w:szCs w:val="22"/>
          </w:rPr>
          <w:delText>moderat</w:delText>
        </w:r>
        <w:r w:rsidR="00D57009">
          <w:rPr>
            <w:sz w:val="22"/>
            <w:szCs w:val="22"/>
          </w:rPr>
          <w:delText>»</w:delText>
        </w:r>
        <w:r w:rsidRPr="009C5EFD">
          <w:rPr>
            <w:sz w:val="22"/>
            <w:szCs w:val="22"/>
          </w:rPr>
          <w:delText xml:space="preserve"> (53 % av de inkluderte pasientene) til </w:delText>
        </w:r>
        <w:r w:rsidR="00D57009">
          <w:rPr>
            <w:sz w:val="22"/>
            <w:szCs w:val="22"/>
          </w:rPr>
          <w:delText>«</w:delText>
        </w:r>
        <w:r w:rsidRPr="009C5EFD">
          <w:rPr>
            <w:sz w:val="22"/>
            <w:szCs w:val="22"/>
          </w:rPr>
          <w:delText>alvorlig</w:delText>
        </w:r>
        <w:r w:rsidR="00D57009">
          <w:rPr>
            <w:sz w:val="22"/>
            <w:szCs w:val="22"/>
          </w:rPr>
          <w:delText>»</w:delText>
        </w:r>
        <w:r w:rsidRPr="009C5EFD">
          <w:rPr>
            <w:sz w:val="22"/>
            <w:szCs w:val="22"/>
          </w:rPr>
          <w:delText xml:space="preserve"> (41 %) eller </w:delText>
        </w:r>
        <w:r w:rsidR="00D57009">
          <w:rPr>
            <w:sz w:val="22"/>
            <w:szCs w:val="22"/>
          </w:rPr>
          <w:delText>«</w:delText>
        </w:r>
        <w:r w:rsidRPr="009C5EFD">
          <w:rPr>
            <w:sz w:val="22"/>
            <w:szCs w:val="22"/>
          </w:rPr>
          <w:delText>svært alvorlig</w:delText>
        </w:r>
        <w:r w:rsidR="00D57009">
          <w:rPr>
            <w:sz w:val="22"/>
            <w:szCs w:val="22"/>
          </w:rPr>
          <w:delText>»</w:delText>
        </w:r>
        <w:r w:rsidRPr="009C5EFD">
          <w:rPr>
            <w:sz w:val="22"/>
            <w:szCs w:val="22"/>
          </w:rPr>
          <w:delText xml:space="preserve"> (6 %).</w:delText>
        </w:r>
      </w:del>
    </w:p>
    <w:p w14:paraId="78C98FC5" w14:textId="7E6DFC19" w:rsidR="00CB6F9E" w:rsidRPr="009C5EFD" w:rsidRDefault="00CB6F9E" w:rsidP="009C5EFD">
      <w:pPr>
        <w:rPr>
          <w:del w:id="1943" w:author="AbbVie02no" w:date="2025-05-15T12:36:00Z"/>
          <w:sz w:val="22"/>
          <w:szCs w:val="22"/>
        </w:rPr>
      </w:pPr>
    </w:p>
    <w:p w14:paraId="679D612A" w14:textId="1F14B1D6" w:rsidR="00CB6F9E" w:rsidRPr="009C5EFD" w:rsidRDefault="00E453CD" w:rsidP="009C5EFD">
      <w:pPr>
        <w:rPr>
          <w:del w:id="1944" w:author="AbbVie02no" w:date="2025-05-15T12:36:00Z"/>
          <w:sz w:val="22"/>
          <w:szCs w:val="22"/>
        </w:rPr>
      </w:pPr>
      <w:del w:id="1945" w:author="AbbVie02no" w:date="2025-05-15T12:36:00Z">
        <w:r w:rsidRPr="009C5EFD">
          <w:rPr>
            <w:sz w:val="22"/>
            <w:szCs w:val="22"/>
          </w:rPr>
          <w:delText xml:space="preserve">Psoriasisstudie II (CHAMPION) sammenlignet effekt og sikkerhet av Humira </w:delText>
        </w:r>
        <w:r w:rsidRPr="009C5EFD">
          <w:rPr>
            <w:i/>
            <w:sz w:val="22"/>
            <w:szCs w:val="22"/>
          </w:rPr>
          <w:delText>versus</w:delText>
        </w:r>
        <w:r w:rsidRPr="009C5EFD">
          <w:rPr>
            <w:sz w:val="22"/>
            <w:szCs w:val="22"/>
          </w:rPr>
          <w:delText xml:space="preserve"> metotreksat og placebo hos 271 pasienter. Pasientene fikk enten placebo, en startdose </w:delText>
        </w:r>
        <w:r w:rsidR="00C442CF" w:rsidRPr="009C5EFD">
          <w:rPr>
            <w:sz w:val="22"/>
            <w:szCs w:val="22"/>
          </w:rPr>
          <w:delText>på</w:delText>
        </w:r>
        <w:r w:rsidRPr="009C5EFD">
          <w:rPr>
            <w:sz w:val="22"/>
            <w:szCs w:val="22"/>
          </w:rPr>
          <w:delText xml:space="preserve"> </w:delText>
        </w:r>
        <w:r w:rsidR="00C442CF" w:rsidRPr="009C5EFD">
          <w:rPr>
            <w:sz w:val="22"/>
            <w:szCs w:val="22"/>
          </w:rPr>
          <w:delText xml:space="preserve">7,5 mg </w:delText>
        </w:r>
        <w:r w:rsidRPr="009C5EFD">
          <w:rPr>
            <w:sz w:val="22"/>
            <w:szCs w:val="22"/>
          </w:rPr>
          <w:delText>metotreksat og deretter opptrapping av dosen frem til uke 12 med en maks</w:delText>
        </w:r>
        <w:r w:rsidR="00C442CF" w:rsidRPr="009C5EFD">
          <w:rPr>
            <w:sz w:val="22"/>
            <w:szCs w:val="22"/>
          </w:rPr>
          <w:delText>imums</w:delText>
        </w:r>
        <w:r w:rsidRPr="009C5EFD">
          <w:rPr>
            <w:sz w:val="22"/>
            <w:szCs w:val="22"/>
          </w:rPr>
          <w:delText>dose på 25 mg</w:delText>
        </w:r>
        <w:r w:rsidR="00251499" w:rsidRPr="009C5EFD">
          <w:rPr>
            <w:sz w:val="22"/>
            <w:szCs w:val="22"/>
          </w:rPr>
          <w:delText>,</w:delText>
        </w:r>
        <w:r w:rsidRPr="009C5EFD">
          <w:rPr>
            <w:sz w:val="22"/>
            <w:szCs w:val="22"/>
          </w:rPr>
          <w:delText xml:space="preserve"> eller en startdose </w:delText>
        </w:r>
        <w:r w:rsidR="008B04C8" w:rsidRPr="009C5EFD">
          <w:rPr>
            <w:sz w:val="22"/>
            <w:szCs w:val="22"/>
          </w:rPr>
          <w:delText xml:space="preserve">på 80 mg </w:delText>
        </w:r>
        <w:r w:rsidRPr="009C5EFD">
          <w:rPr>
            <w:sz w:val="22"/>
            <w:szCs w:val="22"/>
          </w:rPr>
          <w:delText xml:space="preserve">Humira etterfulgt av 40 mg annenhver uke (starter en uke etter den første dosen) i 16 uker. Det finnes ingen data som sammenligner Humira og metotreksat utover 16 uker. Pasienter som fikk metotreksat og som oppnådde </w:delText>
        </w:r>
        <w:r w:rsidRPr="007F67EE">
          <w:rPr>
            <w:rFonts w:ascii="Symbol" w:hAnsi="Symbol"/>
            <w:sz w:val="22"/>
            <w:szCs w:val="22"/>
          </w:rPr>
          <w:sym w:font="Symbol" w:char="F0B3"/>
        </w:r>
        <w:r w:rsidRPr="007F67EE">
          <w:rPr>
            <w:sz w:val="22"/>
            <w:szCs w:val="22"/>
          </w:rPr>
          <w:delText xml:space="preserve"> PASI 50-respons ved uke 8 og/eller 12, fikk</w:delText>
        </w:r>
        <w:r w:rsidRPr="00193D76">
          <w:rPr>
            <w:sz w:val="22"/>
            <w:szCs w:val="22"/>
          </w:rPr>
          <w:delText xml:space="preserve"> ingen ytterligere doseøkning. </w:delText>
        </w:r>
        <w:r w:rsidRPr="002D0790">
          <w:rPr>
            <w:sz w:val="22"/>
            <w:szCs w:val="22"/>
          </w:rPr>
          <w:delText>På tvers av alle behandl</w:delText>
        </w:r>
        <w:r w:rsidR="00251499" w:rsidRPr="00E14E58">
          <w:rPr>
            <w:sz w:val="22"/>
            <w:szCs w:val="22"/>
          </w:rPr>
          <w:delText>ings</w:delText>
        </w:r>
        <w:r w:rsidRPr="009C5EFD">
          <w:rPr>
            <w:sz w:val="22"/>
            <w:szCs w:val="22"/>
          </w:rPr>
          <w:delText xml:space="preserve">grupper var den gjennomsnittlige PASI score 19,7 ved behandlingsstart, og PGA score var klassifisert fra </w:delText>
        </w:r>
        <w:r w:rsidR="00D57009">
          <w:rPr>
            <w:sz w:val="22"/>
            <w:szCs w:val="22"/>
          </w:rPr>
          <w:delText>«</w:delText>
        </w:r>
        <w:r w:rsidRPr="009C5EFD">
          <w:rPr>
            <w:sz w:val="22"/>
            <w:szCs w:val="22"/>
          </w:rPr>
          <w:delText>mild</w:delText>
        </w:r>
        <w:r w:rsidR="00D57009">
          <w:rPr>
            <w:sz w:val="22"/>
            <w:szCs w:val="22"/>
          </w:rPr>
          <w:delText>»</w:delText>
        </w:r>
        <w:r w:rsidRPr="009C5EFD">
          <w:rPr>
            <w:sz w:val="22"/>
            <w:szCs w:val="22"/>
          </w:rPr>
          <w:delText xml:space="preserve"> (&lt; 1 %) til </w:delText>
        </w:r>
        <w:r w:rsidR="00D57009">
          <w:rPr>
            <w:sz w:val="22"/>
            <w:szCs w:val="22"/>
          </w:rPr>
          <w:delText>«</w:delText>
        </w:r>
        <w:r w:rsidRPr="009C5EFD">
          <w:rPr>
            <w:sz w:val="22"/>
            <w:szCs w:val="22"/>
          </w:rPr>
          <w:delText>moderat</w:delText>
        </w:r>
        <w:r w:rsidR="00D57009">
          <w:rPr>
            <w:sz w:val="22"/>
            <w:szCs w:val="22"/>
          </w:rPr>
          <w:delText>»</w:delText>
        </w:r>
        <w:r w:rsidRPr="009C5EFD">
          <w:rPr>
            <w:sz w:val="22"/>
            <w:szCs w:val="22"/>
          </w:rPr>
          <w:delText xml:space="preserve"> (48 %) til </w:delText>
        </w:r>
        <w:r w:rsidR="00D57009">
          <w:rPr>
            <w:sz w:val="22"/>
            <w:szCs w:val="22"/>
          </w:rPr>
          <w:delText>«</w:delText>
        </w:r>
        <w:r w:rsidRPr="009C5EFD">
          <w:rPr>
            <w:sz w:val="22"/>
            <w:szCs w:val="22"/>
          </w:rPr>
          <w:delText>alvorlig</w:delText>
        </w:r>
        <w:r w:rsidR="00D57009">
          <w:rPr>
            <w:sz w:val="22"/>
            <w:szCs w:val="22"/>
          </w:rPr>
          <w:delText>»</w:delText>
        </w:r>
        <w:r w:rsidRPr="009C5EFD">
          <w:rPr>
            <w:sz w:val="22"/>
            <w:szCs w:val="22"/>
          </w:rPr>
          <w:delText xml:space="preserve"> (46 %) eller </w:delText>
        </w:r>
        <w:r w:rsidR="00D57009">
          <w:rPr>
            <w:sz w:val="22"/>
            <w:szCs w:val="22"/>
          </w:rPr>
          <w:delText>«</w:delText>
        </w:r>
        <w:r w:rsidRPr="009C5EFD">
          <w:rPr>
            <w:sz w:val="22"/>
            <w:szCs w:val="22"/>
          </w:rPr>
          <w:delText>svært alvorlig</w:delText>
        </w:r>
        <w:r w:rsidR="00D57009">
          <w:rPr>
            <w:sz w:val="22"/>
            <w:szCs w:val="22"/>
          </w:rPr>
          <w:delText>»</w:delText>
        </w:r>
        <w:r w:rsidRPr="009C5EFD">
          <w:rPr>
            <w:sz w:val="22"/>
            <w:szCs w:val="22"/>
          </w:rPr>
          <w:delText xml:space="preserve"> (6 %).</w:delText>
        </w:r>
      </w:del>
    </w:p>
    <w:p w14:paraId="1BA577FA" w14:textId="77F72E76" w:rsidR="00CB6F9E" w:rsidRPr="009C5EFD" w:rsidRDefault="00CB6F9E" w:rsidP="009C5EFD">
      <w:pPr>
        <w:rPr>
          <w:del w:id="1946" w:author="AbbVie02no" w:date="2025-05-15T12:36:00Z"/>
          <w:sz w:val="22"/>
          <w:szCs w:val="22"/>
        </w:rPr>
      </w:pPr>
    </w:p>
    <w:p w14:paraId="35F884FE" w14:textId="4D824A6B" w:rsidR="00CB6F9E" w:rsidRPr="009C5EFD" w:rsidRDefault="00E453CD" w:rsidP="009C5EFD">
      <w:pPr>
        <w:rPr>
          <w:del w:id="1947" w:author="AbbVie02no" w:date="2025-05-15T12:36:00Z"/>
          <w:sz w:val="22"/>
          <w:szCs w:val="22"/>
        </w:rPr>
      </w:pPr>
      <w:del w:id="1948" w:author="AbbVie02no" w:date="2025-05-15T12:36:00Z">
        <w:r w:rsidRPr="009C5EFD">
          <w:rPr>
            <w:sz w:val="22"/>
            <w:szCs w:val="22"/>
          </w:rPr>
          <w:delText>Pasientene som deltok i alle fase 2 og fase 3 psoriasisstudier var kvalifiserte til å delta i en åpen forlengelsesstudie</w:delText>
        </w:r>
        <w:r w:rsidR="003222D4" w:rsidRPr="009C5EFD">
          <w:rPr>
            <w:sz w:val="22"/>
            <w:szCs w:val="22"/>
          </w:rPr>
          <w:delText>,</w:delText>
        </w:r>
        <w:r w:rsidRPr="009C5EFD">
          <w:rPr>
            <w:sz w:val="22"/>
            <w:szCs w:val="22"/>
          </w:rPr>
          <w:delText xml:space="preserve"> hvor Humira ble gitt i en tilleggsperiode på minst 108 uker.</w:delText>
        </w:r>
      </w:del>
    </w:p>
    <w:p w14:paraId="1A12CF94" w14:textId="1A6DCAC8" w:rsidR="00CB6F9E" w:rsidRPr="009C5EFD" w:rsidRDefault="00CB6F9E" w:rsidP="009C5EFD">
      <w:pPr>
        <w:rPr>
          <w:del w:id="1949" w:author="AbbVie02no" w:date="2025-05-15T12:36:00Z"/>
          <w:sz w:val="22"/>
          <w:szCs w:val="22"/>
        </w:rPr>
      </w:pPr>
    </w:p>
    <w:p w14:paraId="5EB2294B" w14:textId="43D877F7" w:rsidR="00B55945" w:rsidRPr="009C5EFD" w:rsidRDefault="00E453CD" w:rsidP="009C5EFD">
      <w:pPr>
        <w:rPr>
          <w:del w:id="1950" w:author="AbbVie02no" w:date="2025-05-15T12:36:00Z"/>
          <w:color w:val="222222"/>
          <w:sz w:val="22"/>
          <w:szCs w:val="22"/>
        </w:rPr>
      </w:pPr>
      <w:del w:id="1951" w:author="AbbVie02no" w:date="2025-05-15T12:36:00Z">
        <w:r w:rsidRPr="009C5EFD">
          <w:rPr>
            <w:sz w:val="22"/>
            <w:szCs w:val="22"/>
          </w:rPr>
          <w:delText xml:space="preserve">I psoriasisstudiene I og II var et primærendepunkt andel pasienter som oppnådde PASI 75-respons fra behandlingsstart til uke 16 (se tabellene </w:delText>
        </w:r>
        <w:r w:rsidR="00460F41">
          <w:rPr>
            <w:sz w:val="22"/>
            <w:szCs w:val="22"/>
          </w:rPr>
          <w:delText>1</w:delText>
        </w:r>
        <w:r w:rsidR="001441A8">
          <w:rPr>
            <w:sz w:val="22"/>
            <w:szCs w:val="22"/>
          </w:rPr>
          <w:delText>2</w:delText>
        </w:r>
        <w:r w:rsidR="00460F41" w:rsidRPr="009C5EFD">
          <w:rPr>
            <w:sz w:val="22"/>
            <w:szCs w:val="22"/>
          </w:rPr>
          <w:delText xml:space="preserve"> </w:delText>
        </w:r>
        <w:r w:rsidRPr="009C5EFD">
          <w:rPr>
            <w:sz w:val="22"/>
            <w:szCs w:val="22"/>
          </w:rPr>
          <w:delText xml:space="preserve">og </w:delText>
        </w:r>
        <w:r w:rsidR="001441A8">
          <w:rPr>
            <w:sz w:val="22"/>
            <w:szCs w:val="22"/>
          </w:rPr>
          <w:delText>13</w:delText>
        </w:r>
        <w:r w:rsidRPr="009C5EFD">
          <w:rPr>
            <w:sz w:val="22"/>
            <w:szCs w:val="22"/>
          </w:rPr>
          <w:delText>).</w:delText>
        </w:r>
      </w:del>
    </w:p>
    <w:p w14:paraId="73E71BDA" w14:textId="627F20BC" w:rsidR="00642FD1" w:rsidRPr="009C5EFD" w:rsidRDefault="00642FD1" w:rsidP="009C5EFD">
      <w:pPr>
        <w:rPr>
          <w:del w:id="1952" w:author="AbbVie02no" w:date="2025-05-15T12:36:00Z"/>
          <w:color w:val="222222"/>
          <w:sz w:val="22"/>
          <w:szCs w:val="22"/>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4644D4" w14:paraId="532DEDBE" w14:textId="5BACE791" w:rsidTr="0038107A">
        <w:trPr>
          <w:cantSplit/>
          <w:jc w:val="center"/>
          <w:del w:id="1953" w:author="AbbVie02no" w:date="2025-05-15T12:36:00Z"/>
        </w:trPr>
        <w:tc>
          <w:tcPr>
            <w:tcW w:w="6949" w:type="dxa"/>
            <w:gridSpan w:val="3"/>
            <w:tcBorders>
              <w:top w:val="nil"/>
              <w:left w:val="nil"/>
              <w:right w:val="nil"/>
            </w:tcBorders>
          </w:tcPr>
          <w:p w14:paraId="042472D5" w14:textId="0AB5CF1E" w:rsidR="00642FD1" w:rsidRPr="009C5EFD" w:rsidRDefault="00E453CD" w:rsidP="00776A84">
            <w:pPr>
              <w:pStyle w:val="DefaultText"/>
              <w:keepNext/>
              <w:jc w:val="center"/>
              <w:rPr>
                <w:del w:id="1954" w:author="AbbVie02no" w:date="2025-05-15T12:36:00Z"/>
                <w:rFonts w:ascii="Times New Roman" w:hAnsi="Times New Roman"/>
                <w:b/>
                <w:bCs w:val="0"/>
                <w:lang w:val="nb-NO"/>
              </w:rPr>
            </w:pPr>
            <w:del w:id="1955" w:author="AbbVie02no" w:date="2025-05-15T12:36:00Z">
              <w:r w:rsidRPr="009C5EFD">
                <w:rPr>
                  <w:rFonts w:ascii="Times New Roman" w:hAnsi="Times New Roman"/>
                  <w:b/>
                  <w:bCs w:val="0"/>
                  <w:lang w:val="nb-NO"/>
                </w:rPr>
                <w:lastRenderedPageBreak/>
                <w:delText xml:space="preserve">Tabell </w:delText>
              </w:r>
              <w:r w:rsidR="00460F41">
                <w:rPr>
                  <w:rFonts w:ascii="Times New Roman" w:hAnsi="Times New Roman"/>
                  <w:b/>
                  <w:bCs w:val="0"/>
                  <w:lang w:val="nb-NO"/>
                </w:rPr>
                <w:delText>1</w:delText>
              </w:r>
              <w:r w:rsidR="001441A8">
                <w:rPr>
                  <w:rFonts w:ascii="Times New Roman" w:hAnsi="Times New Roman"/>
                  <w:b/>
                  <w:bCs w:val="0"/>
                  <w:lang w:val="nb-NO"/>
                </w:rPr>
                <w:delText>2</w:delText>
              </w:r>
            </w:del>
          </w:p>
          <w:p w14:paraId="055619F1" w14:textId="3509FFF3" w:rsidR="00642FD1" w:rsidRPr="009C5EFD" w:rsidRDefault="00E453CD" w:rsidP="00776A84">
            <w:pPr>
              <w:pStyle w:val="DefaultText"/>
              <w:keepNext/>
              <w:jc w:val="center"/>
              <w:rPr>
                <w:del w:id="1956" w:author="AbbVie02no" w:date="2025-05-15T12:36:00Z"/>
                <w:rFonts w:ascii="Times New Roman" w:hAnsi="Times New Roman"/>
                <w:b/>
                <w:bCs w:val="0"/>
                <w:lang w:val="nb-NO"/>
              </w:rPr>
            </w:pPr>
            <w:del w:id="1957" w:author="AbbVie02no" w:date="2025-05-15T12:36:00Z">
              <w:r w:rsidRPr="009C5EFD">
                <w:rPr>
                  <w:rFonts w:ascii="Times New Roman" w:hAnsi="Times New Roman"/>
                  <w:b/>
                  <w:bCs w:val="0"/>
                  <w:lang w:val="nb-NO"/>
                </w:rPr>
                <w:delText xml:space="preserve">Psoriasis studie I (REVEAL)  - </w:delText>
              </w:r>
              <w:r w:rsidR="00F33557">
                <w:rPr>
                  <w:rFonts w:ascii="Times New Roman" w:hAnsi="Times New Roman"/>
                  <w:b/>
                  <w:bCs w:val="0"/>
                  <w:lang w:val="nb-NO"/>
                </w:rPr>
                <w:delText>effektresultater</w:delText>
              </w:r>
              <w:r w:rsidRPr="009C5EFD">
                <w:rPr>
                  <w:rFonts w:ascii="Times New Roman" w:hAnsi="Times New Roman"/>
                  <w:b/>
                  <w:bCs w:val="0"/>
                  <w:lang w:val="nb-NO"/>
                </w:rPr>
                <w:delText xml:space="preserve"> ved 16 uker</w:delText>
              </w:r>
            </w:del>
          </w:p>
        </w:tc>
      </w:tr>
      <w:tr w:rsidR="004644D4" w14:paraId="16CDCC01" w14:textId="270467A0" w:rsidTr="0038107A">
        <w:trPr>
          <w:cantSplit/>
          <w:jc w:val="center"/>
          <w:del w:id="1958" w:author="AbbVie02no" w:date="2025-05-15T12:36:00Z"/>
        </w:trPr>
        <w:tc>
          <w:tcPr>
            <w:tcW w:w="2977" w:type="dxa"/>
            <w:vAlign w:val="center"/>
          </w:tcPr>
          <w:p w14:paraId="24067EE5" w14:textId="133C7ACC" w:rsidR="00642FD1" w:rsidRPr="007F67EE" w:rsidRDefault="00642FD1" w:rsidP="007F67EE">
            <w:pPr>
              <w:pStyle w:val="DefaultText"/>
              <w:rPr>
                <w:del w:id="1959" w:author="AbbVie02no" w:date="2025-05-15T12:36:00Z"/>
                <w:rFonts w:ascii="Times New Roman" w:hAnsi="Times New Roman"/>
                <w:b/>
                <w:bCs w:val="0"/>
                <w:lang w:val="nb-NO"/>
              </w:rPr>
            </w:pPr>
          </w:p>
        </w:tc>
        <w:tc>
          <w:tcPr>
            <w:tcW w:w="1620" w:type="dxa"/>
            <w:vAlign w:val="center"/>
          </w:tcPr>
          <w:p w14:paraId="283EEE1C" w14:textId="2EA11067" w:rsidR="00642FD1" w:rsidRPr="007F67EE" w:rsidRDefault="00E453CD" w:rsidP="007F67EE">
            <w:pPr>
              <w:pStyle w:val="DefaultText"/>
              <w:jc w:val="center"/>
              <w:rPr>
                <w:del w:id="1960" w:author="AbbVie02no" w:date="2025-05-15T12:36:00Z"/>
                <w:rFonts w:ascii="Times New Roman" w:hAnsi="Times New Roman"/>
                <w:b/>
                <w:bCs w:val="0"/>
                <w:lang w:val="fr-FR"/>
              </w:rPr>
            </w:pPr>
            <w:del w:id="1961" w:author="AbbVie02no" w:date="2025-05-15T12:36:00Z">
              <w:r w:rsidRPr="007F67EE">
                <w:rPr>
                  <w:rFonts w:ascii="Times New Roman" w:hAnsi="Times New Roman"/>
                  <w:b/>
                  <w:bCs w:val="0"/>
                  <w:lang w:val="fr-FR"/>
                </w:rPr>
                <w:delText>Placebo</w:delText>
              </w:r>
            </w:del>
          </w:p>
          <w:p w14:paraId="114176A0" w14:textId="1CF18538" w:rsidR="00642FD1" w:rsidRPr="00193D76" w:rsidRDefault="00E453CD" w:rsidP="00193D76">
            <w:pPr>
              <w:pStyle w:val="DefaultText"/>
              <w:jc w:val="center"/>
              <w:rPr>
                <w:del w:id="1962" w:author="AbbVie02no" w:date="2025-05-15T12:36:00Z"/>
                <w:rFonts w:ascii="Times New Roman" w:hAnsi="Times New Roman"/>
                <w:b/>
                <w:bCs w:val="0"/>
                <w:lang w:val="fr-FR"/>
              </w:rPr>
            </w:pPr>
            <w:del w:id="1963" w:author="AbbVie02no" w:date="2025-05-15T12:36:00Z">
              <w:r w:rsidRPr="00193D76">
                <w:rPr>
                  <w:rFonts w:ascii="Times New Roman" w:hAnsi="Times New Roman"/>
                  <w:b/>
                  <w:bCs w:val="0"/>
                  <w:lang w:val="fr-FR"/>
                </w:rPr>
                <w:delText>N=398</w:delText>
              </w:r>
            </w:del>
          </w:p>
          <w:p w14:paraId="1770926C" w14:textId="59CF7267" w:rsidR="00642FD1" w:rsidRPr="002D0790" w:rsidRDefault="00E453CD" w:rsidP="002D0790">
            <w:pPr>
              <w:pStyle w:val="DefaultText"/>
              <w:jc w:val="center"/>
              <w:rPr>
                <w:del w:id="1964" w:author="AbbVie02no" w:date="2025-05-15T12:36:00Z"/>
                <w:rFonts w:ascii="Times New Roman" w:hAnsi="Times New Roman"/>
                <w:b/>
                <w:bCs w:val="0"/>
                <w:lang w:val="fr-FR"/>
              </w:rPr>
            </w:pPr>
            <w:del w:id="1965" w:author="AbbVie02no" w:date="2025-05-15T12:36:00Z">
              <w:r w:rsidRPr="002D0790">
                <w:rPr>
                  <w:rFonts w:ascii="Times New Roman" w:hAnsi="Times New Roman"/>
                  <w:b/>
                  <w:bCs w:val="0"/>
                  <w:lang w:val="fr-FR"/>
                </w:rPr>
                <w:delText>n (%)</w:delText>
              </w:r>
            </w:del>
          </w:p>
        </w:tc>
        <w:tc>
          <w:tcPr>
            <w:tcW w:w="2352" w:type="dxa"/>
            <w:vAlign w:val="center"/>
          </w:tcPr>
          <w:p w14:paraId="54ADF8D9" w14:textId="64BB88EB" w:rsidR="00642FD1" w:rsidRPr="00E04B2A" w:rsidRDefault="00E453CD" w:rsidP="002D0790">
            <w:pPr>
              <w:pStyle w:val="DefaultText"/>
              <w:jc w:val="center"/>
              <w:rPr>
                <w:del w:id="1966" w:author="AbbVie02no" w:date="2025-05-15T12:36:00Z"/>
                <w:rFonts w:ascii="Times New Roman" w:hAnsi="Times New Roman"/>
                <w:b/>
                <w:bCs w:val="0"/>
                <w:lang w:val="pt-PT"/>
              </w:rPr>
            </w:pPr>
            <w:del w:id="1967" w:author="AbbVie02no" w:date="2025-05-15T12:36:00Z">
              <w:r w:rsidRPr="00E04B2A">
                <w:rPr>
                  <w:rFonts w:ascii="Times New Roman" w:hAnsi="Times New Roman"/>
                  <w:b/>
                  <w:bCs w:val="0"/>
                  <w:lang w:val="pt-PT"/>
                </w:rPr>
                <w:delText>Humira 40 mg annenhver uke</w:delText>
              </w:r>
            </w:del>
          </w:p>
          <w:p w14:paraId="31307ED7" w14:textId="20D39CFF" w:rsidR="00642FD1" w:rsidRPr="00E14E58" w:rsidRDefault="00E453CD" w:rsidP="00E14E58">
            <w:pPr>
              <w:pStyle w:val="DefaultText"/>
              <w:jc w:val="center"/>
              <w:rPr>
                <w:del w:id="1968" w:author="AbbVie02no" w:date="2025-05-15T12:36:00Z"/>
                <w:rFonts w:ascii="Times New Roman" w:hAnsi="Times New Roman"/>
                <w:b/>
                <w:bCs w:val="0"/>
                <w:lang w:val="it-IT"/>
              </w:rPr>
            </w:pPr>
            <w:del w:id="1969" w:author="AbbVie02no" w:date="2025-05-15T12:36:00Z">
              <w:r w:rsidRPr="00E14E58">
                <w:rPr>
                  <w:rFonts w:ascii="Times New Roman" w:hAnsi="Times New Roman"/>
                  <w:b/>
                  <w:bCs w:val="0"/>
                  <w:lang w:val="it-IT"/>
                </w:rPr>
                <w:delText>N=814</w:delText>
              </w:r>
            </w:del>
          </w:p>
          <w:p w14:paraId="2C7EC810" w14:textId="74DEEBAE" w:rsidR="00642FD1" w:rsidRPr="009C5EFD" w:rsidRDefault="00E453CD" w:rsidP="009C5EFD">
            <w:pPr>
              <w:pStyle w:val="DefaultText"/>
              <w:jc w:val="center"/>
              <w:rPr>
                <w:del w:id="1970" w:author="AbbVie02no" w:date="2025-05-15T12:36:00Z"/>
                <w:rFonts w:ascii="Times New Roman" w:hAnsi="Times New Roman"/>
                <w:b/>
                <w:bCs w:val="0"/>
                <w:lang w:val="it-IT"/>
              </w:rPr>
            </w:pPr>
            <w:del w:id="1971" w:author="AbbVie02no" w:date="2025-05-15T12:36:00Z">
              <w:r w:rsidRPr="009C5EFD">
                <w:rPr>
                  <w:rFonts w:ascii="Times New Roman" w:hAnsi="Times New Roman"/>
                  <w:b/>
                  <w:bCs w:val="0"/>
                  <w:lang w:val="it-IT"/>
                </w:rPr>
                <w:delText>n (%)</w:delText>
              </w:r>
            </w:del>
          </w:p>
        </w:tc>
      </w:tr>
      <w:tr w:rsidR="004644D4" w14:paraId="792C2FE0" w14:textId="2B411ADA" w:rsidTr="0038107A">
        <w:trPr>
          <w:cantSplit/>
          <w:jc w:val="center"/>
          <w:del w:id="1972" w:author="AbbVie02no" w:date="2025-05-15T12:36:00Z"/>
        </w:trPr>
        <w:tc>
          <w:tcPr>
            <w:tcW w:w="2977" w:type="dxa"/>
          </w:tcPr>
          <w:p w14:paraId="7018130F" w14:textId="14A2E16A" w:rsidR="00642FD1" w:rsidRPr="00193D76" w:rsidRDefault="00E453CD" w:rsidP="007F67EE">
            <w:pPr>
              <w:pStyle w:val="DefaultText"/>
              <w:rPr>
                <w:del w:id="1973" w:author="AbbVie02no" w:date="2025-05-15T12:36:00Z"/>
                <w:rFonts w:ascii="Times New Roman" w:hAnsi="Times New Roman"/>
                <w:b/>
                <w:bCs w:val="0"/>
                <w:lang w:val="it-IT"/>
              </w:rPr>
            </w:pPr>
            <w:del w:id="1974" w:author="AbbVie02no" w:date="2025-05-15T12:36:00Z">
              <w:r w:rsidRPr="007F67EE">
                <w:rPr>
                  <w:rFonts w:ascii="Times New Roman" w:hAnsi="Times New Roman"/>
                  <w:b/>
                  <w:bCs w:val="0"/>
                  <w:lang w:val="it-IT"/>
                </w:rPr>
                <w:delText xml:space="preserve">    </w:delText>
              </w:r>
              <w:r w:rsidRPr="007F67EE">
                <w:rPr>
                  <w:rFonts w:ascii="Symbol" w:hAnsi="Symbol"/>
                  <w:b/>
                  <w:bCs w:val="0"/>
                  <w:szCs w:val="22"/>
                </w:rPr>
                <w:sym w:font="Symbol" w:char="F0B3"/>
              </w:r>
              <w:r w:rsidR="003222D4" w:rsidRPr="00B42BF5">
                <w:rPr>
                  <w:rFonts w:ascii="Times New Roman" w:hAnsi="Times New Roman"/>
                  <w:b/>
                  <w:bCs w:val="0"/>
                  <w:szCs w:val="22"/>
                  <w:lang w:val="nb-NO"/>
                </w:rPr>
                <w:delText> </w:delText>
              </w:r>
              <w:r w:rsidRPr="007F67EE">
                <w:rPr>
                  <w:rFonts w:ascii="Times New Roman" w:hAnsi="Times New Roman"/>
                  <w:b/>
                  <w:bCs w:val="0"/>
                  <w:lang w:val="it-IT"/>
                </w:rPr>
                <w:delText>PASI 75</w:delText>
              </w:r>
              <w:r w:rsidRPr="007F67EE">
                <w:rPr>
                  <w:rFonts w:ascii="Times New Roman" w:hAnsi="Times New Roman"/>
                  <w:b/>
                  <w:bCs w:val="0"/>
                  <w:vertAlign w:val="superscript"/>
                  <w:lang w:val="it-IT"/>
                </w:rPr>
                <w:delText>a</w:delText>
              </w:r>
            </w:del>
          </w:p>
        </w:tc>
        <w:tc>
          <w:tcPr>
            <w:tcW w:w="1620" w:type="dxa"/>
          </w:tcPr>
          <w:p w14:paraId="66A01857" w14:textId="057999C7" w:rsidR="00642FD1" w:rsidRPr="009C5EFD" w:rsidRDefault="00E453CD" w:rsidP="007F67EE">
            <w:pPr>
              <w:pStyle w:val="DefaultText"/>
              <w:jc w:val="center"/>
              <w:rPr>
                <w:del w:id="1975" w:author="AbbVie02no" w:date="2025-05-15T12:36:00Z"/>
                <w:rFonts w:ascii="Times New Roman" w:hAnsi="Times New Roman"/>
                <w:lang w:val="it-IT"/>
              </w:rPr>
            </w:pPr>
            <w:del w:id="1976" w:author="AbbVie02no" w:date="2025-05-15T12:36:00Z">
              <w:r w:rsidRPr="009C5EFD">
                <w:rPr>
                  <w:rFonts w:ascii="Times New Roman" w:hAnsi="Times New Roman"/>
                  <w:lang w:val="it-IT"/>
                </w:rPr>
                <w:delText>26 (6,5)</w:delText>
              </w:r>
            </w:del>
          </w:p>
        </w:tc>
        <w:tc>
          <w:tcPr>
            <w:tcW w:w="2352" w:type="dxa"/>
          </w:tcPr>
          <w:p w14:paraId="26D29F0B" w14:textId="680F3A6B" w:rsidR="00642FD1" w:rsidRPr="009C5EFD" w:rsidRDefault="00E453CD" w:rsidP="00193D76">
            <w:pPr>
              <w:pStyle w:val="DefaultText"/>
              <w:jc w:val="center"/>
              <w:rPr>
                <w:del w:id="1977" w:author="AbbVie02no" w:date="2025-05-15T12:36:00Z"/>
                <w:rFonts w:ascii="Times New Roman" w:hAnsi="Times New Roman"/>
                <w:lang w:val="it-IT"/>
              </w:rPr>
            </w:pPr>
            <w:del w:id="1978" w:author="AbbVie02no" w:date="2025-05-15T12:36:00Z">
              <w:r w:rsidRPr="009C5EFD">
                <w:rPr>
                  <w:rFonts w:ascii="Times New Roman" w:hAnsi="Times New Roman"/>
                  <w:lang w:val="it-IT"/>
                </w:rPr>
                <w:delText>578 (70,9)</w:delText>
              </w:r>
              <w:r w:rsidRPr="009C5EFD">
                <w:rPr>
                  <w:rFonts w:ascii="Times New Roman" w:hAnsi="Times New Roman"/>
                  <w:vertAlign w:val="superscript"/>
                  <w:lang w:val="it-IT"/>
                </w:rPr>
                <w:delText>b</w:delText>
              </w:r>
            </w:del>
          </w:p>
        </w:tc>
      </w:tr>
      <w:tr w:rsidR="004644D4" w14:paraId="136C8AF2" w14:textId="4B829765" w:rsidTr="0038107A">
        <w:trPr>
          <w:cantSplit/>
          <w:trHeight w:val="70"/>
          <w:jc w:val="center"/>
          <w:del w:id="1979" w:author="AbbVie02no" w:date="2025-05-15T12:36:00Z"/>
        </w:trPr>
        <w:tc>
          <w:tcPr>
            <w:tcW w:w="2977" w:type="dxa"/>
          </w:tcPr>
          <w:p w14:paraId="2F359E23" w14:textId="27BC106B" w:rsidR="00642FD1" w:rsidRPr="007F67EE" w:rsidRDefault="00E453CD" w:rsidP="007F67EE">
            <w:pPr>
              <w:pStyle w:val="DefaultText"/>
              <w:rPr>
                <w:del w:id="1980" w:author="AbbVie02no" w:date="2025-05-15T12:36:00Z"/>
                <w:rFonts w:ascii="Times New Roman" w:hAnsi="Times New Roman"/>
                <w:b/>
                <w:bCs w:val="0"/>
                <w:lang w:val="it-IT"/>
              </w:rPr>
            </w:pPr>
            <w:del w:id="1981" w:author="AbbVie02no" w:date="2025-05-15T12:36:00Z">
              <w:r w:rsidRPr="007F67EE">
                <w:rPr>
                  <w:rFonts w:ascii="Times New Roman" w:hAnsi="Times New Roman"/>
                  <w:b/>
                  <w:bCs w:val="0"/>
                  <w:lang w:val="it-IT"/>
                </w:rPr>
                <w:delText xml:space="preserve">    PASI 100</w:delText>
              </w:r>
            </w:del>
          </w:p>
        </w:tc>
        <w:tc>
          <w:tcPr>
            <w:tcW w:w="1620" w:type="dxa"/>
          </w:tcPr>
          <w:p w14:paraId="37005EA3" w14:textId="36E49639" w:rsidR="00642FD1" w:rsidRPr="007F67EE" w:rsidRDefault="00E453CD" w:rsidP="007F67EE">
            <w:pPr>
              <w:pStyle w:val="DefaultText"/>
              <w:jc w:val="center"/>
              <w:rPr>
                <w:del w:id="1982" w:author="AbbVie02no" w:date="2025-05-15T12:36:00Z"/>
                <w:rFonts w:ascii="Times New Roman" w:hAnsi="Times New Roman"/>
                <w:lang w:val="it-IT"/>
              </w:rPr>
            </w:pPr>
            <w:del w:id="1983" w:author="AbbVie02no" w:date="2025-05-15T12:36:00Z">
              <w:r w:rsidRPr="007F67EE">
                <w:rPr>
                  <w:rFonts w:ascii="Times New Roman" w:hAnsi="Times New Roman"/>
                  <w:lang w:val="it-IT"/>
                </w:rPr>
                <w:delText>3 (0,8)</w:delText>
              </w:r>
            </w:del>
          </w:p>
        </w:tc>
        <w:tc>
          <w:tcPr>
            <w:tcW w:w="2352" w:type="dxa"/>
          </w:tcPr>
          <w:p w14:paraId="243B565A" w14:textId="4A918405" w:rsidR="00642FD1" w:rsidRPr="00E14E58" w:rsidRDefault="00E453CD" w:rsidP="00193D76">
            <w:pPr>
              <w:pStyle w:val="DefaultText"/>
              <w:jc w:val="center"/>
              <w:rPr>
                <w:del w:id="1984" w:author="AbbVie02no" w:date="2025-05-15T12:36:00Z"/>
                <w:rFonts w:ascii="Times New Roman" w:hAnsi="Times New Roman"/>
                <w:lang w:val="it-IT"/>
              </w:rPr>
            </w:pPr>
            <w:del w:id="1985" w:author="AbbVie02no" w:date="2025-05-15T12:36:00Z">
              <w:r w:rsidRPr="00193D76">
                <w:rPr>
                  <w:rFonts w:ascii="Times New Roman" w:hAnsi="Times New Roman"/>
                  <w:lang w:val="it-IT"/>
                </w:rPr>
                <w:delText>163 (20,</w:delText>
              </w:r>
              <w:r w:rsidRPr="002D0790">
                <w:rPr>
                  <w:rFonts w:ascii="Times New Roman" w:hAnsi="Times New Roman"/>
                  <w:lang w:val="it-IT"/>
                </w:rPr>
                <w:delText>0)</w:delText>
              </w:r>
              <w:r w:rsidRPr="002D0790">
                <w:rPr>
                  <w:rFonts w:ascii="Times New Roman" w:hAnsi="Times New Roman"/>
                  <w:vertAlign w:val="superscript"/>
                  <w:lang w:val="it-IT"/>
                </w:rPr>
                <w:delText>b</w:delText>
              </w:r>
            </w:del>
          </w:p>
        </w:tc>
      </w:tr>
      <w:tr w:rsidR="004644D4" w14:paraId="08F10251" w14:textId="0021A8D4" w:rsidTr="0038107A">
        <w:trPr>
          <w:cantSplit/>
          <w:jc w:val="center"/>
          <w:del w:id="1986" w:author="AbbVie02no" w:date="2025-05-15T12:36:00Z"/>
        </w:trPr>
        <w:tc>
          <w:tcPr>
            <w:tcW w:w="2977" w:type="dxa"/>
          </w:tcPr>
          <w:p w14:paraId="461B2DFF" w14:textId="34D43ADB" w:rsidR="00642FD1" w:rsidRPr="00B42BF5" w:rsidRDefault="00E453CD" w:rsidP="007F67EE">
            <w:pPr>
              <w:pStyle w:val="DefaultText"/>
              <w:rPr>
                <w:del w:id="1987" w:author="AbbVie02no" w:date="2025-05-15T12:36:00Z"/>
                <w:rFonts w:ascii="Times New Roman" w:hAnsi="Times New Roman"/>
                <w:b/>
                <w:bCs w:val="0"/>
                <w:lang w:val="nb-NO"/>
              </w:rPr>
            </w:pPr>
            <w:del w:id="1988" w:author="AbbVie02no" w:date="2025-05-15T12:36:00Z">
              <w:r w:rsidRPr="007F67EE">
                <w:rPr>
                  <w:rFonts w:ascii="Times New Roman" w:hAnsi="Times New Roman"/>
                  <w:b/>
                  <w:bCs w:val="0"/>
                  <w:lang w:val="it-IT"/>
                </w:rPr>
                <w:delText xml:space="preserve">    </w:delText>
              </w:r>
              <w:r w:rsidRPr="00B42BF5">
                <w:rPr>
                  <w:rFonts w:ascii="Times New Roman" w:hAnsi="Times New Roman"/>
                  <w:b/>
                  <w:bCs w:val="0"/>
                  <w:lang w:val="nb-NO"/>
                </w:rPr>
                <w:delText xml:space="preserve">PGA: </w:delText>
              </w:r>
              <w:r w:rsidR="00D57009" w:rsidRPr="00B42BF5">
                <w:rPr>
                  <w:rFonts w:ascii="Times New Roman" w:hAnsi="Times New Roman"/>
                  <w:b/>
                  <w:bCs w:val="0"/>
                  <w:lang w:val="nb-NO"/>
                </w:rPr>
                <w:delText>«</w:delText>
              </w:r>
              <w:r w:rsidRPr="00B42BF5">
                <w:rPr>
                  <w:rFonts w:ascii="Times New Roman" w:hAnsi="Times New Roman"/>
                  <w:b/>
                  <w:bCs w:val="0"/>
                  <w:lang w:val="nb-NO"/>
                </w:rPr>
                <w:delText>Klar</w:delText>
              </w:r>
              <w:r w:rsidR="00D406F1">
                <w:rPr>
                  <w:rFonts w:ascii="Times New Roman" w:hAnsi="Times New Roman"/>
                  <w:b/>
                  <w:bCs w:val="0"/>
                  <w:szCs w:val="22"/>
                  <w:lang w:val="nb-NO"/>
                </w:rPr>
                <w:delText>»</w:delText>
              </w:r>
              <w:r w:rsidRPr="00B42BF5">
                <w:rPr>
                  <w:rFonts w:ascii="Times New Roman" w:hAnsi="Times New Roman"/>
                  <w:b/>
                  <w:bCs w:val="0"/>
                  <w:lang w:val="nb-NO"/>
                </w:rPr>
                <w:delText>/minim</w:delText>
              </w:r>
              <w:r w:rsidR="003A00B7" w:rsidRPr="00B42BF5">
                <w:rPr>
                  <w:rFonts w:ascii="Times New Roman" w:hAnsi="Times New Roman"/>
                  <w:b/>
                  <w:bCs w:val="0"/>
                  <w:lang w:val="nb-NO"/>
                </w:rPr>
                <w:delText>al</w:delText>
              </w:r>
            </w:del>
          </w:p>
        </w:tc>
        <w:tc>
          <w:tcPr>
            <w:tcW w:w="1620" w:type="dxa"/>
          </w:tcPr>
          <w:p w14:paraId="1BC05F70" w14:textId="30DF2B5C" w:rsidR="00642FD1" w:rsidRPr="00B42BF5" w:rsidRDefault="00E453CD" w:rsidP="007F67EE">
            <w:pPr>
              <w:pStyle w:val="DefaultText"/>
              <w:jc w:val="center"/>
              <w:rPr>
                <w:del w:id="1989" w:author="AbbVie02no" w:date="2025-05-15T12:36:00Z"/>
                <w:rFonts w:ascii="Times New Roman" w:hAnsi="Times New Roman"/>
                <w:lang w:val="nb-NO"/>
              </w:rPr>
            </w:pPr>
            <w:del w:id="1990" w:author="AbbVie02no" w:date="2025-05-15T12:36:00Z">
              <w:r w:rsidRPr="00B42BF5">
                <w:rPr>
                  <w:rFonts w:ascii="Times New Roman" w:hAnsi="Times New Roman"/>
                  <w:lang w:val="nb-NO"/>
                </w:rPr>
                <w:delText>17 (4,3)</w:delText>
              </w:r>
            </w:del>
          </w:p>
        </w:tc>
        <w:tc>
          <w:tcPr>
            <w:tcW w:w="2352" w:type="dxa"/>
          </w:tcPr>
          <w:p w14:paraId="3E1A1052" w14:textId="08535647" w:rsidR="00642FD1" w:rsidRPr="00B42BF5" w:rsidRDefault="00E453CD" w:rsidP="00193D76">
            <w:pPr>
              <w:pStyle w:val="DefaultText"/>
              <w:jc w:val="center"/>
              <w:rPr>
                <w:del w:id="1991" w:author="AbbVie02no" w:date="2025-05-15T12:36:00Z"/>
                <w:rFonts w:ascii="Times New Roman" w:hAnsi="Times New Roman"/>
                <w:lang w:val="nb-NO"/>
              </w:rPr>
            </w:pPr>
            <w:del w:id="1992" w:author="AbbVie02no" w:date="2025-05-15T12:36:00Z">
              <w:r w:rsidRPr="00B42BF5">
                <w:rPr>
                  <w:rFonts w:ascii="Times New Roman" w:hAnsi="Times New Roman"/>
                  <w:lang w:val="nb-NO"/>
                </w:rPr>
                <w:delText>506 (62,2)</w:delText>
              </w:r>
              <w:r w:rsidRPr="00B42BF5">
                <w:rPr>
                  <w:rFonts w:ascii="Times New Roman" w:hAnsi="Times New Roman"/>
                  <w:vertAlign w:val="superscript"/>
                  <w:lang w:val="nb-NO"/>
                </w:rPr>
                <w:delText>b</w:delText>
              </w:r>
            </w:del>
          </w:p>
        </w:tc>
      </w:tr>
      <w:tr w:rsidR="004644D4" w14:paraId="21582D7D" w14:textId="7CC75113" w:rsidTr="0038107A">
        <w:trPr>
          <w:cantSplit/>
          <w:jc w:val="center"/>
          <w:del w:id="1993" w:author="AbbVie02no" w:date="2025-05-15T12:36:00Z"/>
        </w:trPr>
        <w:tc>
          <w:tcPr>
            <w:tcW w:w="6949" w:type="dxa"/>
            <w:gridSpan w:val="3"/>
          </w:tcPr>
          <w:p w14:paraId="20F29FD1" w14:textId="769FBB3A" w:rsidR="00642FD1" w:rsidRPr="002D0790" w:rsidRDefault="00E453CD" w:rsidP="007F67EE">
            <w:pPr>
              <w:pStyle w:val="DefaultText"/>
              <w:rPr>
                <w:del w:id="1994" w:author="AbbVie02no" w:date="2025-05-15T12:36:00Z"/>
                <w:rFonts w:ascii="Times New Roman" w:hAnsi="Times New Roman"/>
                <w:lang w:val="nb-NO"/>
              </w:rPr>
            </w:pPr>
            <w:del w:id="1995" w:author="AbbVie02no" w:date="2025-05-15T12:36:00Z">
              <w:r w:rsidRPr="007F67EE">
                <w:rPr>
                  <w:rFonts w:ascii="Times New Roman" w:hAnsi="Times New Roman"/>
                  <w:vertAlign w:val="superscript"/>
                  <w:lang w:val="nb-NO"/>
                </w:rPr>
                <w:delText>a</w:delText>
              </w:r>
              <w:r w:rsidRPr="007F67EE">
                <w:rPr>
                  <w:rFonts w:ascii="Times New Roman" w:hAnsi="Times New Roman"/>
                  <w:lang w:val="nb-NO"/>
                </w:rPr>
                <w:delText xml:space="preserve"> Prosent av pasienter som har oppnådd PASI 75</w:delText>
              </w:r>
              <w:r w:rsidR="003222D4" w:rsidRPr="007F67EE">
                <w:rPr>
                  <w:rFonts w:ascii="Times New Roman" w:hAnsi="Times New Roman"/>
                  <w:lang w:val="nb-NO"/>
                </w:rPr>
                <w:delText>-</w:delText>
              </w:r>
              <w:r w:rsidRPr="00193D76">
                <w:rPr>
                  <w:rFonts w:ascii="Times New Roman" w:hAnsi="Times New Roman"/>
                  <w:lang w:val="nb-NO"/>
                </w:rPr>
                <w:delText xml:space="preserve">respons ble </w:delText>
              </w:r>
              <w:r w:rsidRPr="002D0790">
                <w:rPr>
                  <w:rFonts w:ascii="Times New Roman" w:hAnsi="Times New Roman"/>
                  <w:lang w:val="nb-NO"/>
                </w:rPr>
                <w:delText>beregnet som senterjustert rate</w:delText>
              </w:r>
            </w:del>
          </w:p>
          <w:p w14:paraId="16E9C5DB" w14:textId="1F64E58F" w:rsidR="00642FD1" w:rsidRPr="0015674E" w:rsidRDefault="00E453CD" w:rsidP="007F67EE">
            <w:pPr>
              <w:pStyle w:val="DefaultText"/>
              <w:rPr>
                <w:del w:id="1996" w:author="AbbVie02no" w:date="2025-05-15T12:36:00Z"/>
                <w:rFonts w:ascii="Times New Roman" w:hAnsi="Times New Roman"/>
                <w:lang w:val="pt-PT"/>
              </w:rPr>
            </w:pPr>
            <w:del w:id="1997" w:author="AbbVie02no" w:date="2025-05-15T12:36:00Z">
              <w:r w:rsidRPr="0015674E">
                <w:rPr>
                  <w:rFonts w:ascii="Times New Roman" w:hAnsi="Times New Roman"/>
                  <w:vertAlign w:val="superscript"/>
                  <w:lang w:val="pt-PT"/>
                </w:rPr>
                <w:delText>b</w:delText>
              </w:r>
              <w:r w:rsidRPr="0015674E">
                <w:rPr>
                  <w:rFonts w:ascii="Times New Roman" w:hAnsi="Times New Roman"/>
                  <w:lang w:val="pt-PT"/>
                </w:rPr>
                <w:delText xml:space="preserve"> p</w:delText>
              </w:r>
              <w:r w:rsidR="003222D4" w:rsidRPr="0015674E">
                <w:rPr>
                  <w:rFonts w:ascii="Times New Roman" w:hAnsi="Times New Roman"/>
                  <w:lang w:val="pt-PT"/>
                </w:rPr>
                <w:delText> </w:delText>
              </w:r>
              <w:r w:rsidRPr="0015674E">
                <w:rPr>
                  <w:rFonts w:ascii="Times New Roman" w:hAnsi="Times New Roman"/>
                  <w:lang w:val="pt-PT"/>
                </w:rPr>
                <w:delText>&lt;</w:delText>
              </w:r>
              <w:r w:rsidR="003222D4" w:rsidRPr="0015674E">
                <w:rPr>
                  <w:rFonts w:ascii="Times New Roman" w:hAnsi="Times New Roman"/>
                  <w:lang w:val="pt-PT"/>
                </w:rPr>
                <w:delText> </w:delText>
              </w:r>
              <w:r w:rsidRPr="0015674E">
                <w:rPr>
                  <w:rFonts w:ascii="Times New Roman" w:hAnsi="Times New Roman"/>
                  <w:lang w:val="pt-PT"/>
                </w:rPr>
                <w:delText>0,001, Humira vs. placebo</w:delText>
              </w:r>
            </w:del>
          </w:p>
        </w:tc>
      </w:tr>
    </w:tbl>
    <w:p w14:paraId="4ED5E076" w14:textId="057E339A" w:rsidR="00642FD1" w:rsidRPr="009C5EFD" w:rsidRDefault="00642FD1" w:rsidP="007F67EE">
      <w:pPr>
        <w:rPr>
          <w:del w:id="1998" w:author="AbbVie02no" w:date="2025-05-15T12:36:00Z"/>
          <w:lang w:val="sv-SE"/>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1"/>
        <w:gridCol w:w="1108"/>
        <w:gridCol w:w="1243"/>
        <w:gridCol w:w="2104"/>
      </w:tblGrid>
      <w:tr w:rsidR="004644D4" w14:paraId="02633D9F" w14:textId="57C02E4D" w:rsidTr="0038107A">
        <w:trPr>
          <w:cantSplit/>
          <w:jc w:val="center"/>
          <w:del w:id="1999" w:author="AbbVie02no" w:date="2025-05-15T12:36:00Z"/>
        </w:trPr>
        <w:tc>
          <w:tcPr>
            <w:tcW w:w="7046" w:type="dxa"/>
            <w:gridSpan w:val="4"/>
            <w:tcBorders>
              <w:top w:val="nil"/>
              <w:left w:val="nil"/>
              <w:right w:val="nil"/>
            </w:tcBorders>
          </w:tcPr>
          <w:p w14:paraId="7E10F6B7" w14:textId="5E509B99" w:rsidR="00642FD1" w:rsidRPr="009C5EFD" w:rsidRDefault="00E453CD" w:rsidP="001F5D4B">
            <w:pPr>
              <w:pStyle w:val="DefaultText"/>
              <w:keepNext/>
              <w:jc w:val="center"/>
              <w:rPr>
                <w:del w:id="2000" w:author="AbbVie02no" w:date="2025-05-15T12:36:00Z"/>
                <w:rFonts w:ascii="Times New Roman" w:hAnsi="Times New Roman"/>
                <w:b/>
                <w:bCs w:val="0"/>
                <w:lang w:val="nb-NO"/>
              </w:rPr>
            </w:pPr>
            <w:del w:id="2001" w:author="AbbVie02no" w:date="2025-05-15T12:36:00Z">
              <w:r w:rsidRPr="009C5EFD">
                <w:rPr>
                  <w:rFonts w:ascii="Times New Roman" w:hAnsi="Times New Roman"/>
                  <w:b/>
                  <w:bCs w:val="0"/>
                  <w:lang w:val="nb-NO"/>
                </w:rPr>
                <w:delText xml:space="preserve">Tabell </w:delText>
              </w:r>
              <w:r w:rsidR="001441A8" w:rsidRPr="009C5EFD">
                <w:rPr>
                  <w:rFonts w:ascii="Times New Roman" w:hAnsi="Times New Roman"/>
                  <w:b/>
                  <w:bCs w:val="0"/>
                  <w:lang w:val="nb-NO"/>
                </w:rPr>
                <w:delText>1</w:delText>
              </w:r>
              <w:r w:rsidR="001441A8">
                <w:rPr>
                  <w:rFonts w:ascii="Times New Roman" w:hAnsi="Times New Roman"/>
                  <w:b/>
                  <w:bCs w:val="0"/>
                  <w:lang w:val="nb-NO"/>
                </w:rPr>
                <w:delText>3</w:delText>
              </w:r>
            </w:del>
          </w:p>
          <w:p w14:paraId="6BD5C13D" w14:textId="105CEB6B" w:rsidR="00642FD1" w:rsidRPr="009C5EFD" w:rsidRDefault="00E453CD" w:rsidP="001F5D4B">
            <w:pPr>
              <w:pStyle w:val="DefaultText"/>
              <w:keepNext/>
              <w:jc w:val="center"/>
              <w:rPr>
                <w:del w:id="2002" w:author="AbbVie02no" w:date="2025-05-15T12:36:00Z"/>
                <w:rFonts w:ascii="Times New Roman" w:hAnsi="Times New Roman"/>
                <w:b/>
                <w:bCs w:val="0"/>
                <w:lang w:val="nb-NO"/>
              </w:rPr>
            </w:pPr>
            <w:del w:id="2003" w:author="AbbVie02no" w:date="2025-05-15T12:36:00Z">
              <w:r w:rsidRPr="009C5EFD">
                <w:rPr>
                  <w:rFonts w:ascii="Times New Roman" w:hAnsi="Times New Roman"/>
                  <w:b/>
                  <w:bCs w:val="0"/>
                  <w:lang w:val="nb-NO"/>
                </w:rPr>
                <w:delText xml:space="preserve">Psoriasis studie II (CHAMPION) – </w:delText>
              </w:r>
              <w:r w:rsidR="00F33557">
                <w:rPr>
                  <w:rFonts w:ascii="Times New Roman" w:hAnsi="Times New Roman"/>
                  <w:b/>
                  <w:bCs w:val="0"/>
                  <w:lang w:val="nb-NO"/>
                </w:rPr>
                <w:delText>effektresultater</w:delText>
              </w:r>
              <w:r w:rsidRPr="009C5EFD">
                <w:rPr>
                  <w:rFonts w:ascii="Times New Roman" w:hAnsi="Times New Roman"/>
                  <w:b/>
                  <w:bCs w:val="0"/>
                  <w:lang w:val="nb-NO"/>
                </w:rPr>
                <w:delText xml:space="preserve"> ved 16 uker</w:delText>
              </w:r>
            </w:del>
          </w:p>
        </w:tc>
      </w:tr>
      <w:tr w:rsidR="004644D4" w14:paraId="15377BCF" w14:textId="41C71293" w:rsidTr="00015DC2">
        <w:trPr>
          <w:cantSplit/>
          <w:jc w:val="center"/>
          <w:del w:id="2004" w:author="AbbVie02no" w:date="2025-05-15T12:36:00Z"/>
        </w:trPr>
        <w:tc>
          <w:tcPr>
            <w:tcW w:w="2591" w:type="dxa"/>
          </w:tcPr>
          <w:p w14:paraId="343FA500" w14:textId="02BD364A" w:rsidR="00642FD1" w:rsidRPr="007F67EE" w:rsidRDefault="00642FD1" w:rsidP="001F5D4B">
            <w:pPr>
              <w:pStyle w:val="DefaultText"/>
              <w:keepNext/>
              <w:jc w:val="center"/>
              <w:rPr>
                <w:del w:id="2005" w:author="AbbVie02no" w:date="2025-05-15T12:36:00Z"/>
                <w:rFonts w:ascii="Times New Roman" w:hAnsi="Times New Roman"/>
                <w:b/>
                <w:bCs w:val="0"/>
                <w:lang w:val="nb-NO"/>
              </w:rPr>
            </w:pPr>
          </w:p>
        </w:tc>
        <w:tc>
          <w:tcPr>
            <w:tcW w:w="1108" w:type="dxa"/>
            <w:vAlign w:val="center"/>
          </w:tcPr>
          <w:p w14:paraId="08A9B93D" w14:textId="1B118FA5" w:rsidR="00642FD1" w:rsidRPr="00B42BF5" w:rsidRDefault="00E453CD" w:rsidP="001F5D4B">
            <w:pPr>
              <w:pStyle w:val="DefaultText"/>
              <w:keepNext/>
              <w:jc w:val="center"/>
              <w:rPr>
                <w:del w:id="2006" w:author="AbbVie02no" w:date="2025-05-15T12:36:00Z"/>
                <w:rFonts w:ascii="Times New Roman" w:hAnsi="Times New Roman"/>
                <w:b/>
                <w:bCs w:val="0"/>
                <w:lang w:val="nb-NO"/>
              </w:rPr>
            </w:pPr>
            <w:del w:id="2007" w:author="AbbVie02no" w:date="2025-05-15T12:36:00Z">
              <w:r w:rsidRPr="00B42BF5">
                <w:rPr>
                  <w:rFonts w:ascii="Times New Roman" w:hAnsi="Times New Roman"/>
                  <w:b/>
                  <w:bCs w:val="0"/>
                  <w:lang w:val="nb-NO"/>
                </w:rPr>
                <w:delText>Placebo</w:delText>
              </w:r>
            </w:del>
          </w:p>
          <w:p w14:paraId="7234012B" w14:textId="6E4B3A06" w:rsidR="00642FD1" w:rsidRPr="00B42BF5" w:rsidRDefault="00E453CD" w:rsidP="001F5D4B">
            <w:pPr>
              <w:pStyle w:val="DefaultText"/>
              <w:keepNext/>
              <w:jc w:val="center"/>
              <w:rPr>
                <w:del w:id="2008" w:author="AbbVie02no" w:date="2025-05-15T12:36:00Z"/>
                <w:rFonts w:ascii="Times New Roman" w:hAnsi="Times New Roman"/>
                <w:b/>
                <w:bCs w:val="0"/>
                <w:lang w:val="nb-NO"/>
              </w:rPr>
            </w:pPr>
            <w:del w:id="2009" w:author="AbbVie02no" w:date="2025-05-15T12:36:00Z">
              <w:r w:rsidRPr="00B42BF5">
                <w:rPr>
                  <w:rFonts w:ascii="Times New Roman" w:hAnsi="Times New Roman"/>
                  <w:b/>
                  <w:bCs w:val="0"/>
                  <w:lang w:val="nb-NO"/>
                </w:rPr>
                <w:delText>N=53</w:delText>
              </w:r>
            </w:del>
          </w:p>
          <w:p w14:paraId="501DCEAC" w14:textId="04945067" w:rsidR="00642FD1" w:rsidRPr="00B42BF5" w:rsidRDefault="00E453CD" w:rsidP="001F5D4B">
            <w:pPr>
              <w:pStyle w:val="DefaultText"/>
              <w:keepNext/>
              <w:jc w:val="center"/>
              <w:rPr>
                <w:del w:id="2010" w:author="AbbVie02no" w:date="2025-05-15T12:36:00Z"/>
                <w:rFonts w:ascii="Times New Roman" w:hAnsi="Times New Roman"/>
                <w:b/>
                <w:bCs w:val="0"/>
                <w:lang w:val="nb-NO"/>
              </w:rPr>
            </w:pPr>
            <w:del w:id="2011" w:author="AbbVie02no" w:date="2025-05-15T12:36:00Z">
              <w:r w:rsidRPr="00B42BF5">
                <w:rPr>
                  <w:rFonts w:ascii="Times New Roman" w:hAnsi="Times New Roman"/>
                  <w:b/>
                  <w:bCs w:val="0"/>
                  <w:lang w:val="nb-NO"/>
                </w:rPr>
                <w:delText>n (%)</w:delText>
              </w:r>
            </w:del>
          </w:p>
        </w:tc>
        <w:tc>
          <w:tcPr>
            <w:tcW w:w="1243" w:type="dxa"/>
            <w:vAlign w:val="center"/>
          </w:tcPr>
          <w:p w14:paraId="228E86A9" w14:textId="6B29B383" w:rsidR="00642FD1" w:rsidRPr="00B42BF5" w:rsidRDefault="00E453CD" w:rsidP="007F67EE">
            <w:pPr>
              <w:pStyle w:val="DefaultText"/>
              <w:jc w:val="center"/>
              <w:rPr>
                <w:del w:id="2012" w:author="AbbVie02no" w:date="2025-05-15T12:36:00Z"/>
                <w:rFonts w:ascii="Times New Roman" w:hAnsi="Times New Roman"/>
                <w:b/>
                <w:bCs w:val="0"/>
                <w:lang w:val="nb-NO"/>
              </w:rPr>
            </w:pPr>
            <w:del w:id="2013" w:author="AbbVie02no" w:date="2025-05-15T12:36:00Z">
              <w:r w:rsidRPr="00B42BF5">
                <w:rPr>
                  <w:rFonts w:ascii="Times New Roman" w:hAnsi="Times New Roman"/>
                  <w:b/>
                  <w:bCs w:val="0"/>
                  <w:lang w:val="nb-NO"/>
                </w:rPr>
                <w:delText>MTX</w:delText>
              </w:r>
            </w:del>
          </w:p>
          <w:p w14:paraId="50D0C3A1" w14:textId="476E89E4" w:rsidR="00642FD1" w:rsidRPr="00B42BF5" w:rsidRDefault="00E453CD" w:rsidP="007F67EE">
            <w:pPr>
              <w:pStyle w:val="DefaultText"/>
              <w:jc w:val="center"/>
              <w:rPr>
                <w:del w:id="2014" w:author="AbbVie02no" w:date="2025-05-15T12:36:00Z"/>
                <w:rFonts w:ascii="Times New Roman" w:hAnsi="Times New Roman"/>
                <w:b/>
                <w:bCs w:val="0"/>
                <w:lang w:val="nb-NO"/>
              </w:rPr>
            </w:pPr>
            <w:del w:id="2015" w:author="AbbVie02no" w:date="2025-05-15T12:36:00Z">
              <w:r w:rsidRPr="00B42BF5">
                <w:rPr>
                  <w:rFonts w:ascii="Times New Roman" w:hAnsi="Times New Roman"/>
                  <w:b/>
                  <w:bCs w:val="0"/>
                  <w:lang w:val="nb-NO"/>
                </w:rPr>
                <w:delText>N=110</w:delText>
              </w:r>
            </w:del>
          </w:p>
          <w:p w14:paraId="73EDE734" w14:textId="5CBBE28F" w:rsidR="00642FD1" w:rsidRPr="00B42BF5" w:rsidRDefault="00E453CD" w:rsidP="00193D76">
            <w:pPr>
              <w:pStyle w:val="DefaultText"/>
              <w:jc w:val="center"/>
              <w:rPr>
                <w:del w:id="2016" w:author="AbbVie02no" w:date="2025-05-15T12:36:00Z"/>
                <w:rFonts w:ascii="Times New Roman" w:hAnsi="Times New Roman"/>
                <w:b/>
                <w:bCs w:val="0"/>
                <w:lang w:val="nb-NO"/>
              </w:rPr>
            </w:pPr>
            <w:del w:id="2017" w:author="AbbVie02no" w:date="2025-05-15T12:36:00Z">
              <w:r w:rsidRPr="00B42BF5">
                <w:rPr>
                  <w:rFonts w:ascii="Times New Roman" w:hAnsi="Times New Roman"/>
                  <w:b/>
                  <w:bCs w:val="0"/>
                  <w:lang w:val="nb-NO"/>
                </w:rPr>
                <w:delText>n (%)</w:delText>
              </w:r>
            </w:del>
          </w:p>
        </w:tc>
        <w:tc>
          <w:tcPr>
            <w:tcW w:w="2104" w:type="dxa"/>
            <w:vAlign w:val="center"/>
          </w:tcPr>
          <w:p w14:paraId="08CBAF6E" w14:textId="2E829B9E" w:rsidR="00642FD1" w:rsidRPr="009C5EFD" w:rsidRDefault="00E453CD" w:rsidP="002D0790">
            <w:pPr>
              <w:pStyle w:val="DefaultText"/>
              <w:jc w:val="center"/>
              <w:rPr>
                <w:del w:id="2018" w:author="AbbVie02no" w:date="2025-05-15T12:36:00Z"/>
                <w:rFonts w:ascii="Times New Roman" w:hAnsi="Times New Roman"/>
                <w:b/>
                <w:bCs w:val="0"/>
                <w:lang w:val="it-IT"/>
              </w:rPr>
            </w:pPr>
            <w:del w:id="2019" w:author="AbbVie02no" w:date="2025-05-15T12:36:00Z">
              <w:r w:rsidRPr="009C5EFD">
                <w:rPr>
                  <w:rFonts w:ascii="Times New Roman" w:hAnsi="Times New Roman"/>
                  <w:b/>
                  <w:bCs w:val="0"/>
                  <w:lang w:val="it-IT"/>
                </w:rPr>
                <w:delText>Humira 40 mg annenhver uke</w:delText>
              </w:r>
            </w:del>
          </w:p>
          <w:p w14:paraId="0915B40E" w14:textId="76A53341" w:rsidR="00642FD1" w:rsidRPr="009C5EFD" w:rsidRDefault="00E453CD" w:rsidP="002D0790">
            <w:pPr>
              <w:pStyle w:val="DefaultText"/>
              <w:jc w:val="center"/>
              <w:rPr>
                <w:del w:id="2020" w:author="AbbVie02no" w:date="2025-05-15T12:36:00Z"/>
                <w:rFonts w:ascii="Times New Roman" w:hAnsi="Times New Roman"/>
                <w:b/>
                <w:bCs w:val="0"/>
                <w:lang w:val="it-IT"/>
              </w:rPr>
            </w:pPr>
            <w:del w:id="2021" w:author="AbbVie02no" w:date="2025-05-15T12:36:00Z">
              <w:r w:rsidRPr="009C5EFD">
                <w:rPr>
                  <w:rFonts w:ascii="Times New Roman" w:hAnsi="Times New Roman"/>
                  <w:b/>
                  <w:bCs w:val="0"/>
                  <w:lang w:val="it-IT"/>
                </w:rPr>
                <w:delText>N=108</w:delText>
              </w:r>
            </w:del>
          </w:p>
          <w:p w14:paraId="20A92D31" w14:textId="7E5FF1AA" w:rsidR="00642FD1" w:rsidRPr="009C5EFD" w:rsidRDefault="00E453CD" w:rsidP="00E14E58">
            <w:pPr>
              <w:pStyle w:val="DefaultText"/>
              <w:jc w:val="center"/>
              <w:rPr>
                <w:del w:id="2022" w:author="AbbVie02no" w:date="2025-05-15T12:36:00Z"/>
                <w:rFonts w:ascii="Times New Roman" w:hAnsi="Times New Roman"/>
                <w:b/>
                <w:bCs w:val="0"/>
                <w:lang w:val="it-IT"/>
              </w:rPr>
            </w:pPr>
            <w:del w:id="2023" w:author="AbbVie02no" w:date="2025-05-15T12:36:00Z">
              <w:r w:rsidRPr="009C5EFD">
                <w:rPr>
                  <w:rFonts w:ascii="Times New Roman" w:hAnsi="Times New Roman"/>
                  <w:b/>
                  <w:bCs w:val="0"/>
                  <w:lang w:val="it-IT"/>
                </w:rPr>
                <w:delText>n (%)</w:delText>
              </w:r>
            </w:del>
          </w:p>
        </w:tc>
      </w:tr>
      <w:tr w:rsidR="004644D4" w14:paraId="2BF7FF5C" w14:textId="6B42A067" w:rsidTr="00015DC2">
        <w:trPr>
          <w:cantSplit/>
          <w:jc w:val="center"/>
          <w:del w:id="2024" w:author="AbbVie02no" w:date="2025-05-15T12:36:00Z"/>
        </w:trPr>
        <w:tc>
          <w:tcPr>
            <w:tcW w:w="2591" w:type="dxa"/>
          </w:tcPr>
          <w:p w14:paraId="0C9560DC" w14:textId="001A3FFD" w:rsidR="00642FD1" w:rsidRPr="007F67EE" w:rsidRDefault="00E453CD" w:rsidP="001F5D4B">
            <w:pPr>
              <w:pStyle w:val="DefaultText"/>
              <w:keepNext/>
              <w:rPr>
                <w:del w:id="2025" w:author="AbbVie02no" w:date="2025-05-15T12:36:00Z"/>
                <w:rFonts w:ascii="Times New Roman" w:hAnsi="Times New Roman"/>
                <w:b/>
                <w:bCs w:val="0"/>
                <w:lang w:val="it-IT"/>
              </w:rPr>
            </w:pPr>
            <w:del w:id="2026" w:author="AbbVie02no" w:date="2025-05-15T12:36:00Z">
              <w:r w:rsidRPr="007F67EE">
                <w:rPr>
                  <w:rFonts w:ascii="Times New Roman" w:hAnsi="Times New Roman"/>
                  <w:b/>
                  <w:bCs w:val="0"/>
                  <w:lang w:val="it-IT"/>
                </w:rPr>
                <w:delText xml:space="preserve">    </w:delText>
              </w:r>
              <w:r w:rsidRPr="007F67EE">
                <w:rPr>
                  <w:rFonts w:ascii="Symbol" w:hAnsi="Symbol"/>
                  <w:b/>
                  <w:bCs w:val="0"/>
                  <w:szCs w:val="22"/>
                </w:rPr>
                <w:sym w:font="Symbol" w:char="F0B3"/>
              </w:r>
              <w:r w:rsidR="003222D4" w:rsidRPr="00B42BF5">
                <w:rPr>
                  <w:rFonts w:ascii="Times New Roman" w:hAnsi="Times New Roman"/>
                  <w:b/>
                  <w:bCs w:val="0"/>
                  <w:szCs w:val="22"/>
                  <w:lang w:val="nb-NO"/>
                </w:rPr>
                <w:delText> </w:delText>
              </w:r>
              <w:r w:rsidRPr="007F67EE">
                <w:rPr>
                  <w:rFonts w:ascii="Times New Roman" w:hAnsi="Times New Roman"/>
                  <w:b/>
                  <w:bCs w:val="0"/>
                  <w:lang w:val="it-IT"/>
                </w:rPr>
                <w:delText>PASI 75</w:delText>
              </w:r>
            </w:del>
          </w:p>
        </w:tc>
        <w:tc>
          <w:tcPr>
            <w:tcW w:w="1108" w:type="dxa"/>
          </w:tcPr>
          <w:p w14:paraId="59B19549" w14:textId="45FA4006" w:rsidR="00642FD1" w:rsidRPr="002D0790" w:rsidRDefault="00E453CD" w:rsidP="001F5D4B">
            <w:pPr>
              <w:pStyle w:val="DefaultText"/>
              <w:keepNext/>
              <w:jc w:val="center"/>
              <w:rPr>
                <w:del w:id="2027" w:author="AbbVie02no" w:date="2025-05-15T12:36:00Z"/>
                <w:rFonts w:ascii="Times New Roman" w:hAnsi="Times New Roman"/>
                <w:lang w:val="it-IT"/>
              </w:rPr>
            </w:pPr>
            <w:del w:id="2028" w:author="AbbVie02no" w:date="2025-05-15T12:36:00Z">
              <w:r w:rsidRPr="00193D76">
                <w:rPr>
                  <w:rFonts w:ascii="Times New Roman" w:hAnsi="Times New Roman"/>
                  <w:lang w:val="it-IT"/>
                </w:rPr>
                <w:delText>10 (18,</w:delText>
              </w:r>
              <w:r w:rsidRPr="002D0790">
                <w:rPr>
                  <w:rFonts w:ascii="Times New Roman" w:hAnsi="Times New Roman"/>
                  <w:lang w:val="it-IT"/>
                </w:rPr>
                <w:delText>9)</w:delText>
              </w:r>
            </w:del>
          </w:p>
        </w:tc>
        <w:tc>
          <w:tcPr>
            <w:tcW w:w="1243" w:type="dxa"/>
          </w:tcPr>
          <w:p w14:paraId="0CB908A9" w14:textId="69CA6E32" w:rsidR="00642FD1" w:rsidRPr="002D0790" w:rsidRDefault="00E453CD" w:rsidP="007F67EE">
            <w:pPr>
              <w:pStyle w:val="DefaultText"/>
              <w:jc w:val="center"/>
              <w:rPr>
                <w:del w:id="2029" w:author="AbbVie02no" w:date="2025-05-15T12:36:00Z"/>
                <w:rFonts w:ascii="Times New Roman" w:hAnsi="Times New Roman"/>
                <w:lang w:val="it-IT"/>
              </w:rPr>
            </w:pPr>
            <w:del w:id="2030" w:author="AbbVie02no" w:date="2025-05-15T12:36:00Z">
              <w:r w:rsidRPr="002D0790">
                <w:rPr>
                  <w:rFonts w:ascii="Times New Roman" w:hAnsi="Times New Roman"/>
                  <w:lang w:val="it-IT"/>
                </w:rPr>
                <w:delText>39 (35,5)</w:delText>
              </w:r>
            </w:del>
          </w:p>
        </w:tc>
        <w:tc>
          <w:tcPr>
            <w:tcW w:w="2104" w:type="dxa"/>
          </w:tcPr>
          <w:p w14:paraId="318DE787" w14:textId="0A2291DE" w:rsidR="00642FD1" w:rsidRPr="009C5EFD" w:rsidRDefault="00E453CD" w:rsidP="007F67EE">
            <w:pPr>
              <w:pStyle w:val="DefaultText"/>
              <w:jc w:val="center"/>
              <w:rPr>
                <w:del w:id="2031" w:author="AbbVie02no" w:date="2025-05-15T12:36:00Z"/>
                <w:rFonts w:ascii="Times New Roman" w:hAnsi="Times New Roman"/>
                <w:lang w:val="it-IT"/>
              </w:rPr>
            </w:pPr>
            <w:del w:id="2032" w:author="AbbVie02no" w:date="2025-05-15T12:36:00Z">
              <w:r w:rsidRPr="00E14E58">
                <w:rPr>
                  <w:rFonts w:ascii="Times New Roman" w:hAnsi="Times New Roman"/>
                  <w:lang w:val="it-IT"/>
                </w:rPr>
                <w:delText>86 (79,6)</w:delText>
              </w:r>
              <w:r w:rsidRPr="009C5EFD">
                <w:rPr>
                  <w:rFonts w:ascii="Times New Roman" w:hAnsi="Times New Roman"/>
                  <w:vertAlign w:val="superscript"/>
                  <w:lang w:val="it-IT"/>
                </w:rPr>
                <w:delText xml:space="preserve"> a, b</w:delText>
              </w:r>
            </w:del>
          </w:p>
        </w:tc>
      </w:tr>
      <w:tr w:rsidR="004644D4" w14:paraId="04ADFCE4" w14:textId="77EFF376" w:rsidTr="00015DC2">
        <w:trPr>
          <w:cantSplit/>
          <w:jc w:val="center"/>
          <w:del w:id="2033" w:author="AbbVie02no" w:date="2025-05-15T12:36:00Z"/>
        </w:trPr>
        <w:tc>
          <w:tcPr>
            <w:tcW w:w="2591" w:type="dxa"/>
          </w:tcPr>
          <w:p w14:paraId="640C33AD" w14:textId="709CC3F6" w:rsidR="00642FD1" w:rsidRPr="007F67EE" w:rsidRDefault="00E453CD" w:rsidP="001F5D4B">
            <w:pPr>
              <w:pStyle w:val="DefaultText"/>
              <w:keepNext/>
              <w:rPr>
                <w:del w:id="2034" w:author="AbbVie02no" w:date="2025-05-15T12:36:00Z"/>
                <w:rFonts w:ascii="Times New Roman" w:hAnsi="Times New Roman"/>
                <w:b/>
                <w:bCs w:val="0"/>
                <w:lang w:val="it-IT"/>
              </w:rPr>
            </w:pPr>
            <w:del w:id="2035" w:author="AbbVie02no" w:date="2025-05-15T12:36:00Z">
              <w:r w:rsidRPr="007F67EE">
                <w:rPr>
                  <w:rFonts w:ascii="Times New Roman" w:hAnsi="Times New Roman"/>
                  <w:b/>
                  <w:bCs w:val="0"/>
                  <w:lang w:val="it-IT"/>
                </w:rPr>
                <w:delText xml:space="preserve">    PASI 100</w:delText>
              </w:r>
            </w:del>
          </w:p>
        </w:tc>
        <w:tc>
          <w:tcPr>
            <w:tcW w:w="1108" w:type="dxa"/>
          </w:tcPr>
          <w:p w14:paraId="43276A16" w14:textId="177D767E" w:rsidR="00642FD1" w:rsidRPr="002C5CDB" w:rsidRDefault="00E453CD" w:rsidP="001F5D4B">
            <w:pPr>
              <w:pStyle w:val="DefaultText"/>
              <w:keepNext/>
              <w:jc w:val="center"/>
              <w:rPr>
                <w:del w:id="2036" w:author="AbbVie02no" w:date="2025-05-15T12:36:00Z"/>
                <w:rFonts w:ascii="Times New Roman" w:hAnsi="Times New Roman"/>
                <w:lang w:val="nb-NO"/>
                <w:rPrChange w:id="2037" w:author="AbbVie05no" w:date="2025-05-19T10:32:00Z">
                  <w:rPr>
                    <w:del w:id="2038" w:author="AbbVie02no" w:date="2025-05-15T12:36:00Z"/>
                    <w:rFonts w:ascii="Times New Roman" w:hAnsi="Times New Roman"/>
                    <w:lang w:val="en-GB"/>
                  </w:rPr>
                </w:rPrChange>
              </w:rPr>
            </w:pPr>
            <w:del w:id="2039" w:author="AbbVie02no" w:date="2025-05-15T12:36:00Z">
              <w:r w:rsidRPr="002C5CDB">
                <w:rPr>
                  <w:lang w:val="nb-NO"/>
                  <w:rPrChange w:id="2040" w:author="AbbVie05no" w:date="2025-05-19T10:32:00Z">
                    <w:rPr>
                      <w:lang w:val="en-GB"/>
                    </w:rPr>
                  </w:rPrChange>
                </w:rPr>
                <w:delText>1 (1,9)</w:delText>
              </w:r>
            </w:del>
          </w:p>
        </w:tc>
        <w:tc>
          <w:tcPr>
            <w:tcW w:w="1243" w:type="dxa"/>
          </w:tcPr>
          <w:p w14:paraId="5A1D9998" w14:textId="40D48C5B" w:rsidR="00642FD1" w:rsidRPr="002C5CDB" w:rsidRDefault="00E453CD" w:rsidP="007F67EE">
            <w:pPr>
              <w:pStyle w:val="DefaultText"/>
              <w:jc w:val="center"/>
              <w:rPr>
                <w:del w:id="2041" w:author="AbbVie02no" w:date="2025-05-15T12:36:00Z"/>
                <w:rFonts w:ascii="Times New Roman" w:hAnsi="Times New Roman"/>
                <w:lang w:val="nb-NO"/>
                <w:rPrChange w:id="2042" w:author="AbbVie05no" w:date="2025-05-19T10:32:00Z">
                  <w:rPr>
                    <w:del w:id="2043" w:author="AbbVie02no" w:date="2025-05-15T12:36:00Z"/>
                    <w:rFonts w:ascii="Times New Roman" w:hAnsi="Times New Roman"/>
                    <w:lang w:val="en-GB"/>
                  </w:rPr>
                </w:rPrChange>
              </w:rPr>
            </w:pPr>
            <w:del w:id="2044" w:author="AbbVie02no" w:date="2025-05-15T12:36:00Z">
              <w:r w:rsidRPr="002C5CDB">
                <w:rPr>
                  <w:lang w:val="nb-NO"/>
                  <w:rPrChange w:id="2045" w:author="AbbVie05no" w:date="2025-05-19T10:32:00Z">
                    <w:rPr>
                      <w:lang w:val="en-GB"/>
                    </w:rPr>
                  </w:rPrChange>
                </w:rPr>
                <w:delText>8 (7,3)</w:delText>
              </w:r>
            </w:del>
          </w:p>
        </w:tc>
        <w:tc>
          <w:tcPr>
            <w:tcW w:w="2104" w:type="dxa"/>
          </w:tcPr>
          <w:p w14:paraId="3C9A40A0" w14:textId="3618FEB3" w:rsidR="00642FD1" w:rsidRPr="002C5CDB" w:rsidRDefault="00E453CD" w:rsidP="007F67EE">
            <w:pPr>
              <w:pStyle w:val="DefaultText"/>
              <w:jc w:val="center"/>
              <w:rPr>
                <w:del w:id="2046" w:author="AbbVie02no" w:date="2025-05-15T12:36:00Z"/>
                <w:rFonts w:ascii="Times New Roman" w:hAnsi="Times New Roman"/>
                <w:lang w:val="nb-NO"/>
                <w:rPrChange w:id="2047" w:author="AbbVie05no" w:date="2025-05-19T10:32:00Z">
                  <w:rPr>
                    <w:del w:id="2048" w:author="AbbVie02no" w:date="2025-05-15T12:36:00Z"/>
                    <w:rFonts w:ascii="Times New Roman" w:hAnsi="Times New Roman"/>
                    <w:lang w:val="en-GB"/>
                  </w:rPr>
                </w:rPrChange>
              </w:rPr>
            </w:pPr>
            <w:del w:id="2049" w:author="AbbVie02no" w:date="2025-05-15T12:36:00Z">
              <w:r w:rsidRPr="002C5CDB">
                <w:rPr>
                  <w:lang w:val="nb-NO"/>
                  <w:rPrChange w:id="2050" w:author="AbbVie05no" w:date="2025-05-19T10:32:00Z">
                    <w:rPr>
                      <w:lang w:val="en-GB"/>
                    </w:rPr>
                  </w:rPrChange>
                </w:rPr>
                <w:delText>18 (16,7)</w:delText>
              </w:r>
              <w:r w:rsidRPr="002C5CDB">
                <w:rPr>
                  <w:vertAlign w:val="superscript"/>
                  <w:lang w:val="nb-NO"/>
                  <w:rPrChange w:id="2051" w:author="AbbVie05no" w:date="2025-05-19T10:32:00Z">
                    <w:rPr>
                      <w:vertAlign w:val="superscript"/>
                      <w:lang w:val="en-GB"/>
                    </w:rPr>
                  </w:rPrChange>
                </w:rPr>
                <w:delText xml:space="preserve"> c, d</w:delText>
              </w:r>
            </w:del>
          </w:p>
        </w:tc>
      </w:tr>
      <w:tr w:rsidR="004644D4" w14:paraId="37075591" w14:textId="5A3ABAED" w:rsidTr="00015DC2">
        <w:trPr>
          <w:cantSplit/>
          <w:jc w:val="center"/>
          <w:del w:id="2052" w:author="AbbVie02no" w:date="2025-05-15T12:36:00Z"/>
        </w:trPr>
        <w:tc>
          <w:tcPr>
            <w:tcW w:w="2591" w:type="dxa"/>
          </w:tcPr>
          <w:p w14:paraId="21CB643D" w14:textId="6F8378B9" w:rsidR="00642FD1" w:rsidRPr="00B42BF5" w:rsidRDefault="00E453CD" w:rsidP="001F5D4B">
            <w:pPr>
              <w:pStyle w:val="DefaultText"/>
              <w:keepNext/>
              <w:rPr>
                <w:del w:id="2053" w:author="AbbVie02no" w:date="2025-05-15T12:36:00Z"/>
                <w:rFonts w:ascii="Times New Roman" w:hAnsi="Times New Roman"/>
                <w:b/>
                <w:bCs w:val="0"/>
                <w:lang w:val="nb-NO"/>
              </w:rPr>
            </w:pPr>
            <w:del w:id="2054" w:author="AbbVie02no" w:date="2025-05-15T12:36:00Z">
              <w:r w:rsidRPr="002C5CDB">
                <w:rPr>
                  <w:b/>
                  <w:bCs w:val="0"/>
                  <w:lang w:val="nb-NO"/>
                  <w:rPrChange w:id="2055" w:author="AbbVie05no" w:date="2025-05-19T10:32:00Z">
                    <w:rPr>
                      <w:b/>
                      <w:bCs w:val="0"/>
                      <w:lang w:val="en-GB"/>
                    </w:rPr>
                  </w:rPrChange>
                </w:rPr>
                <w:delText xml:space="preserve">    </w:delText>
              </w:r>
              <w:r w:rsidRPr="00B42BF5">
                <w:rPr>
                  <w:rFonts w:ascii="Times New Roman" w:hAnsi="Times New Roman"/>
                  <w:b/>
                  <w:bCs w:val="0"/>
                  <w:lang w:val="nb-NO"/>
                </w:rPr>
                <w:delText xml:space="preserve">PGA: </w:delText>
              </w:r>
              <w:r w:rsidR="00D57009" w:rsidRPr="00B42BF5">
                <w:rPr>
                  <w:rFonts w:ascii="Times New Roman" w:hAnsi="Times New Roman"/>
                  <w:b/>
                  <w:bCs w:val="0"/>
                  <w:lang w:val="nb-NO"/>
                </w:rPr>
                <w:delText>«</w:delText>
              </w:r>
              <w:r w:rsidRPr="00B42BF5">
                <w:rPr>
                  <w:rFonts w:ascii="Times New Roman" w:hAnsi="Times New Roman"/>
                  <w:b/>
                  <w:bCs w:val="0"/>
                  <w:lang w:val="nb-NO"/>
                </w:rPr>
                <w:delText>Klar</w:delText>
              </w:r>
              <w:r w:rsidR="00D406F1">
                <w:rPr>
                  <w:rFonts w:ascii="Times New Roman" w:hAnsi="Times New Roman"/>
                  <w:b/>
                  <w:bCs w:val="0"/>
                  <w:szCs w:val="22"/>
                  <w:lang w:val="nb-NO"/>
                </w:rPr>
                <w:delText>»</w:delText>
              </w:r>
              <w:r w:rsidRPr="00B42BF5">
                <w:rPr>
                  <w:rFonts w:ascii="Times New Roman" w:hAnsi="Times New Roman"/>
                  <w:b/>
                  <w:bCs w:val="0"/>
                  <w:lang w:val="nb-NO"/>
                </w:rPr>
                <w:delText>/minim</w:delText>
              </w:r>
              <w:r w:rsidR="003A00B7" w:rsidRPr="00B42BF5">
                <w:rPr>
                  <w:rFonts w:ascii="Times New Roman" w:hAnsi="Times New Roman"/>
                  <w:b/>
                  <w:bCs w:val="0"/>
                  <w:lang w:val="nb-NO"/>
                </w:rPr>
                <w:delText>al</w:delText>
              </w:r>
            </w:del>
          </w:p>
        </w:tc>
        <w:tc>
          <w:tcPr>
            <w:tcW w:w="1108" w:type="dxa"/>
          </w:tcPr>
          <w:p w14:paraId="12D12E7C" w14:textId="2601AB01" w:rsidR="00642FD1" w:rsidRPr="00B42BF5" w:rsidRDefault="00E453CD" w:rsidP="001F5D4B">
            <w:pPr>
              <w:pStyle w:val="DefaultText"/>
              <w:keepNext/>
              <w:jc w:val="center"/>
              <w:rPr>
                <w:del w:id="2056" w:author="AbbVie02no" w:date="2025-05-15T12:36:00Z"/>
                <w:rFonts w:ascii="Times New Roman" w:hAnsi="Times New Roman"/>
                <w:lang w:val="nb-NO"/>
              </w:rPr>
            </w:pPr>
            <w:del w:id="2057" w:author="AbbVie02no" w:date="2025-05-15T12:36:00Z">
              <w:r w:rsidRPr="00B42BF5">
                <w:rPr>
                  <w:rFonts w:ascii="Times New Roman" w:hAnsi="Times New Roman"/>
                  <w:lang w:val="nb-NO"/>
                </w:rPr>
                <w:delText>6 (11,3)</w:delText>
              </w:r>
            </w:del>
          </w:p>
        </w:tc>
        <w:tc>
          <w:tcPr>
            <w:tcW w:w="1243" w:type="dxa"/>
          </w:tcPr>
          <w:p w14:paraId="7DF118F8" w14:textId="7F5CB91C" w:rsidR="00642FD1" w:rsidRPr="00B42BF5" w:rsidRDefault="00E453CD" w:rsidP="007F67EE">
            <w:pPr>
              <w:pStyle w:val="DefaultText"/>
              <w:jc w:val="center"/>
              <w:rPr>
                <w:del w:id="2058" w:author="AbbVie02no" w:date="2025-05-15T12:36:00Z"/>
                <w:rFonts w:ascii="Times New Roman" w:hAnsi="Times New Roman"/>
                <w:lang w:val="nb-NO"/>
              </w:rPr>
            </w:pPr>
            <w:del w:id="2059" w:author="AbbVie02no" w:date="2025-05-15T12:36:00Z">
              <w:r w:rsidRPr="00B42BF5">
                <w:rPr>
                  <w:rFonts w:ascii="Times New Roman" w:hAnsi="Times New Roman"/>
                  <w:lang w:val="nb-NO"/>
                </w:rPr>
                <w:delText>33 (30,0)</w:delText>
              </w:r>
            </w:del>
          </w:p>
        </w:tc>
        <w:tc>
          <w:tcPr>
            <w:tcW w:w="2104" w:type="dxa"/>
          </w:tcPr>
          <w:p w14:paraId="2557DEB4" w14:textId="0F0F54F4" w:rsidR="00642FD1" w:rsidRPr="00B42BF5" w:rsidRDefault="00E453CD" w:rsidP="007F67EE">
            <w:pPr>
              <w:pStyle w:val="DefaultText"/>
              <w:jc w:val="center"/>
              <w:rPr>
                <w:del w:id="2060" w:author="AbbVie02no" w:date="2025-05-15T12:36:00Z"/>
                <w:rFonts w:ascii="Times New Roman" w:hAnsi="Times New Roman"/>
                <w:lang w:val="nb-NO"/>
              </w:rPr>
            </w:pPr>
            <w:del w:id="2061" w:author="AbbVie02no" w:date="2025-05-15T12:36:00Z">
              <w:r w:rsidRPr="00B42BF5">
                <w:rPr>
                  <w:rFonts w:ascii="Times New Roman" w:hAnsi="Times New Roman"/>
                  <w:lang w:val="nb-NO"/>
                </w:rPr>
                <w:delText>79 (73,1)</w:delText>
              </w:r>
              <w:r w:rsidRPr="00B42BF5">
                <w:rPr>
                  <w:rFonts w:ascii="Times New Roman" w:hAnsi="Times New Roman"/>
                  <w:vertAlign w:val="superscript"/>
                  <w:lang w:val="nb-NO"/>
                </w:rPr>
                <w:delText xml:space="preserve"> a, b</w:delText>
              </w:r>
            </w:del>
          </w:p>
        </w:tc>
      </w:tr>
      <w:tr w:rsidR="004644D4" w14:paraId="0F441D2A" w14:textId="044F9145" w:rsidTr="0038107A">
        <w:trPr>
          <w:cantSplit/>
          <w:jc w:val="center"/>
          <w:del w:id="2062" w:author="AbbVie02no" w:date="2025-05-15T12:36:00Z"/>
        </w:trPr>
        <w:tc>
          <w:tcPr>
            <w:tcW w:w="7046" w:type="dxa"/>
            <w:gridSpan w:val="4"/>
          </w:tcPr>
          <w:p w14:paraId="2F6A5BAA" w14:textId="26BCF77A" w:rsidR="00642FD1" w:rsidRPr="002D0790" w:rsidRDefault="00E453CD" w:rsidP="001F5D4B">
            <w:pPr>
              <w:pStyle w:val="DefaultText"/>
              <w:keepNext/>
              <w:rPr>
                <w:del w:id="2063" w:author="AbbVie02no" w:date="2025-05-15T12:36:00Z"/>
                <w:rFonts w:ascii="Times New Roman" w:hAnsi="Times New Roman"/>
                <w:lang w:val="nb-NO"/>
              </w:rPr>
            </w:pPr>
            <w:del w:id="2064" w:author="AbbVie02no" w:date="2025-05-15T12:36:00Z">
              <w:r w:rsidRPr="007F67EE">
                <w:rPr>
                  <w:rFonts w:ascii="Times New Roman" w:hAnsi="Times New Roman"/>
                  <w:vertAlign w:val="superscript"/>
                  <w:lang w:val="nb-NO"/>
                </w:rPr>
                <w:delText>a</w:delText>
              </w:r>
              <w:r w:rsidRPr="007F67EE">
                <w:rPr>
                  <w:rFonts w:ascii="Times New Roman" w:hAnsi="Times New Roman"/>
                  <w:lang w:val="nb-NO"/>
                </w:rPr>
                <w:delText xml:space="preserve"> p</w:delText>
              </w:r>
              <w:r w:rsidR="003222D4" w:rsidRPr="007F67EE">
                <w:rPr>
                  <w:rFonts w:ascii="Times New Roman" w:hAnsi="Times New Roman"/>
                  <w:lang w:val="nb-NO"/>
                </w:rPr>
                <w:delText> </w:delText>
              </w:r>
              <w:r w:rsidRPr="00193D76">
                <w:rPr>
                  <w:rFonts w:ascii="Times New Roman" w:hAnsi="Times New Roman"/>
                  <w:lang w:val="nb-NO"/>
                </w:rPr>
                <w:delText>&lt;</w:delText>
              </w:r>
              <w:r w:rsidR="003222D4" w:rsidRPr="002D0790">
                <w:rPr>
                  <w:rFonts w:ascii="Times New Roman" w:hAnsi="Times New Roman"/>
                  <w:lang w:val="nb-NO"/>
                </w:rPr>
                <w:delText> </w:delText>
              </w:r>
              <w:r w:rsidRPr="002D0790">
                <w:rPr>
                  <w:rFonts w:ascii="Times New Roman" w:hAnsi="Times New Roman"/>
                  <w:lang w:val="nb-NO"/>
                </w:rPr>
                <w:delText>0,001 Humira vs. placebo</w:delText>
              </w:r>
            </w:del>
          </w:p>
          <w:p w14:paraId="1E4B673F" w14:textId="10F32188" w:rsidR="00642FD1" w:rsidRPr="009C5EFD" w:rsidRDefault="00E453CD" w:rsidP="001F5D4B">
            <w:pPr>
              <w:pStyle w:val="DefaultText"/>
              <w:keepNext/>
              <w:rPr>
                <w:del w:id="2065" w:author="AbbVie02no" w:date="2025-05-15T12:36:00Z"/>
                <w:rFonts w:ascii="Times New Roman" w:hAnsi="Times New Roman"/>
                <w:lang w:val="nb-NO"/>
              </w:rPr>
            </w:pPr>
            <w:del w:id="2066" w:author="AbbVie02no" w:date="2025-05-15T12:36:00Z">
              <w:r w:rsidRPr="00E14E58">
                <w:rPr>
                  <w:rFonts w:ascii="Times New Roman" w:hAnsi="Times New Roman"/>
                  <w:vertAlign w:val="superscript"/>
                  <w:lang w:val="nb-NO"/>
                </w:rPr>
                <w:delText>b</w:delText>
              </w:r>
              <w:r w:rsidRPr="009C5EFD">
                <w:rPr>
                  <w:rFonts w:ascii="Times New Roman" w:hAnsi="Times New Roman"/>
                  <w:lang w:val="nb-NO"/>
                </w:rPr>
                <w:delText xml:space="preserve"> p</w:delText>
              </w:r>
              <w:r w:rsidR="003222D4" w:rsidRPr="009C5EFD">
                <w:rPr>
                  <w:rFonts w:ascii="Times New Roman" w:hAnsi="Times New Roman"/>
                  <w:lang w:val="nb-NO"/>
                </w:rPr>
                <w:delText> </w:delText>
              </w:r>
              <w:r w:rsidRPr="009C5EFD">
                <w:rPr>
                  <w:rFonts w:ascii="Times New Roman" w:hAnsi="Times New Roman"/>
                  <w:lang w:val="nb-NO"/>
                </w:rPr>
                <w:delText>&lt;</w:delText>
              </w:r>
              <w:r w:rsidR="003222D4" w:rsidRPr="009C5EFD">
                <w:rPr>
                  <w:rFonts w:ascii="Times New Roman" w:hAnsi="Times New Roman"/>
                  <w:lang w:val="nb-NO"/>
                </w:rPr>
                <w:delText> </w:delText>
              </w:r>
              <w:r w:rsidRPr="009C5EFD">
                <w:rPr>
                  <w:rFonts w:ascii="Times New Roman" w:hAnsi="Times New Roman"/>
                  <w:lang w:val="nb-NO"/>
                </w:rPr>
                <w:delText>0,001 Humira vs. metotreksat</w:delText>
              </w:r>
            </w:del>
          </w:p>
          <w:p w14:paraId="4DC4913C" w14:textId="19A0CEE9" w:rsidR="00642FD1" w:rsidRPr="001F5D4B" w:rsidRDefault="00E453CD" w:rsidP="001F5D4B">
            <w:pPr>
              <w:pStyle w:val="DefaultText"/>
              <w:keepNext/>
              <w:rPr>
                <w:del w:id="2067" w:author="AbbVie02no" w:date="2025-05-15T12:36:00Z"/>
                <w:rFonts w:ascii="Times New Roman" w:hAnsi="Times New Roman"/>
                <w:lang w:val="sv-SE"/>
              </w:rPr>
            </w:pPr>
            <w:del w:id="2068" w:author="AbbVie02no" w:date="2025-05-15T12:36:00Z">
              <w:r w:rsidRPr="001F5D4B">
                <w:rPr>
                  <w:rFonts w:ascii="Times New Roman" w:hAnsi="Times New Roman"/>
                  <w:vertAlign w:val="superscript"/>
                  <w:lang w:val="sv-SE"/>
                </w:rPr>
                <w:delText>c</w:delText>
              </w:r>
              <w:r w:rsidRPr="001F5D4B">
                <w:rPr>
                  <w:rFonts w:ascii="Times New Roman" w:hAnsi="Times New Roman"/>
                  <w:lang w:val="sv-SE"/>
                </w:rPr>
                <w:delText xml:space="preserve"> p</w:delText>
              </w:r>
              <w:r w:rsidR="003222D4" w:rsidRPr="001F5D4B">
                <w:rPr>
                  <w:rFonts w:ascii="Times New Roman" w:hAnsi="Times New Roman"/>
                  <w:lang w:val="sv-SE"/>
                </w:rPr>
                <w:delText> </w:delText>
              </w:r>
              <w:r w:rsidRPr="001F5D4B">
                <w:rPr>
                  <w:rFonts w:ascii="Times New Roman" w:hAnsi="Times New Roman"/>
                  <w:lang w:val="sv-SE"/>
                </w:rPr>
                <w:delText>&lt;</w:delText>
              </w:r>
              <w:r w:rsidR="003222D4" w:rsidRPr="001F5D4B">
                <w:rPr>
                  <w:rFonts w:ascii="Times New Roman" w:hAnsi="Times New Roman"/>
                  <w:lang w:val="sv-SE"/>
                </w:rPr>
                <w:delText> </w:delText>
              </w:r>
              <w:r w:rsidRPr="001F5D4B">
                <w:rPr>
                  <w:rFonts w:ascii="Times New Roman" w:hAnsi="Times New Roman"/>
                  <w:lang w:val="sv-SE"/>
                </w:rPr>
                <w:delText>0,01 Humira vs. placebo</w:delText>
              </w:r>
            </w:del>
          </w:p>
          <w:p w14:paraId="0904913A" w14:textId="2D35CEE9" w:rsidR="00642FD1" w:rsidRPr="00E04B2A" w:rsidRDefault="00E453CD" w:rsidP="001F5D4B">
            <w:pPr>
              <w:pStyle w:val="DefaultText"/>
              <w:keepNext/>
              <w:rPr>
                <w:del w:id="2069" w:author="AbbVie02no" w:date="2025-05-15T12:36:00Z"/>
                <w:rFonts w:ascii="Times New Roman" w:hAnsi="Times New Roman"/>
                <w:lang w:val="pt-PT"/>
              </w:rPr>
            </w:pPr>
            <w:del w:id="2070" w:author="AbbVie02no" w:date="2025-05-15T12:36:00Z">
              <w:r w:rsidRPr="00E04B2A">
                <w:rPr>
                  <w:rFonts w:ascii="Times New Roman" w:hAnsi="Times New Roman"/>
                  <w:vertAlign w:val="superscript"/>
                  <w:lang w:val="pt-PT"/>
                </w:rPr>
                <w:delText>d</w:delText>
              </w:r>
              <w:r w:rsidRPr="00E04B2A">
                <w:rPr>
                  <w:rFonts w:ascii="Times New Roman" w:hAnsi="Times New Roman"/>
                  <w:lang w:val="pt-PT"/>
                </w:rPr>
                <w:delText xml:space="preserve"> p</w:delText>
              </w:r>
              <w:r w:rsidR="003222D4" w:rsidRPr="00E04B2A">
                <w:rPr>
                  <w:rFonts w:ascii="Times New Roman" w:hAnsi="Times New Roman"/>
                  <w:lang w:val="pt-PT"/>
                </w:rPr>
                <w:delText> </w:delText>
              </w:r>
              <w:r w:rsidRPr="00E04B2A">
                <w:rPr>
                  <w:rFonts w:ascii="Times New Roman" w:hAnsi="Times New Roman"/>
                  <w:lang w:val="pt-PT"/>
                </w:rPr>
                <w:delText>&lt;</w:delText>
              </w:r>
              <w:r w:rsidR="003222D4" w:rsidRPr="00E04B2A">
                <w:rPr>
                  <w:rFonts w:ascii="Times New Roman" w:hAnsi="Times New Roman"/>
                  <w:lang w:val="pt-PT"/>
                </w:rPr>
                <w:delText xml:space="preserve"> </w:delText>
              </w:r>
              <w:r w:rsidRPr="00E04B2A">
                <w:rPr>
                  <w:rFonts w:ascii="Times New Roman" w:hAnsi="Times New Roman"/>
                  <w:lang w:val="pt-PT"/>
                </w:rPr>
                <w:delText>0,05 Humira vs. metotreksat</w:delText>
              </w:r>
            </w:del>
          </w:p>
        </w:tc>
      </w:tr>
    </w:tbl>
    <w:p w14:paraId="431F857C" w14:textId="7B84C89F" w:rsidR="00C60AC8" w:rsidRPr="001F5D4B" w:rsidRDefault="00C60AC8" w:rsidP="007F67EE">
      <w:pPr>
        <w:rPr>
          <w:del w:id="2071" w:author="AbbVie02no" w:date="2025-05-15T12:36:00Z"/>
          <w:sz w:val="22"/>
          <w:szCs w:val="22"/>
          <w:lang w:val="sv-SE"/>
        </w:rPr>
      </w:pPr>
    </w:p>
    <w:p w14:paraId="2B50CCDA" w14:textId="72242130" w:rsidR="001B17E9" w:rsidRPr="009C5EFD" w:rsidRDefault="00E453CD" w:rsidP="007F67EE">
      <w:pPr>
        <w:rPr>
          <w:del w:id="2072" w:author="AbbVie02no" w:date="2025-05-15T12:36:00Z"/>
          <w:sz w:val="22"/>
          <w:szCs w:val="22"/>
        </w:rPr>
      </w:pPr>
      <w:del w:id="2073" w:author="AbbVie02no" w:date="2025-05-15T12:36:00Z">
        <w:r w:rsidRPr="002D0790">
          <w:rPr>
            <w:sz w:val="22"/>
            <w:szCs w:val="22"/>
          </w:rPr>
          <w:delText xml:space="preserve">I psoriasisstudie I opplevde 28 % av pasientene som hadde PASI 75-respons og som var randomisert på nytt til placebo ved uke 33, </w:delText>
        </w:r>
        <w:r w:rsidR="00D57009">
          <w:rPr>
            <w:sz w:val="22"/>
            <w:szCs w:val="22"/>
          </w:rPr>
          <w:delText>«</w:delText>
        </w:r>
        <w:r w:rsidRPr="002D0790">
          <w:rPr>
            <w:sz w:val="22"/>
            <w:szCs w:val="22"/>
          </w:rPr>
          <w:delText>tap av tilfredsstillende respons</w:delText>
        </w:r>
        <w:r w:rsidR="00D57009">
          <w:rPr>
            <w:sz w:val="22"/>
            <w:szCs w:val="22"/>
          </w:rPr>
          <w:delText>»</w:delText>
        </w:r>
        <w:r w:rsidRPr="002D0790">
          <w:rPr>
            <w:sz w:val="22"/>
            <w:szCs w:val="22"/>
          </w:rPr>
          <w:delText xml:space="preserve"> (</w:delText>
        </w:r>
        <w:r w:rsidRPr="00E14E58">
          <w:rPr>
            <w:sz w:val="22"/>
            <w:szCs w:val="22"/>
          </w:rPr>
          <w:delText>PASI score etter uke 33 og ved eller før uke 52 som resulterte i &lt; PASI 50-respons i forhold til baseline</w:delText>
        </w:r>
        <w:r w:rsidR="003222D4" w:rsidRPr="009C5EFD">
          <w:rPr>
            <w:sz w:val="22"/>
            <w:szCs w:val="22"/>
          </w:rPr>
          <w:delText>,</w:delText>
        </w:r>
        <w:r w:rsidRPr="009C5EFD">
          <w:rPr>
            <w:sz w:val="22"/>
            <w:szCs w:val="22"/>
          </w:rPr>
          <w:delText xml:space="preserve"> med en minimum 6-punkts økning i PASI score i forhold til uke 33). Tilsvarende for pasienter som fortsatte med Humira var 5 %, p</w:delText>
        </w:r>
        <w:r w:rsidR="00D50C8B">
          <w:rPr>
            <w:sz w:val="22"/>
            <w:szCs w:val="22"/>
          </w:rPr>
          <w:delText> </w:delText>
        </w:r>
        <w:r w:rsidRPr="009C5EFD">
          <w:rPr>
            <w:sz w:val="22"/>
            <w:szCs w:val="22"/>
          </w:rPr>
          <w:delText>&lt;</w:delText>
        </w:r>
        <w:r w:rsidR="00D50C8B">
          <w:rPr>
            <w:sz w:val="22"/>
            <w:szCs w:val="22"/>
          </w:rPr>
          <w:delText> </w:delText>
        </w:r>
        <w:r w:rsidRPr="009C5EFD">
          <w:rPr>
            <w:sz w:val="22"/>
            <w:szCs w:val="22"/>
          </w:rPr>
          <w:delText xml:space="preserve">0,001. Av de pasientene som opplevde tap av tilfredsstillende respons etter ny randomisering til placebo og som deretter ble inkludert i en åpen forlengelsesstudie, gjenvant 38 % (25/66) og 55 % (36/66) PASI 75-respons etter henholdsvis 12 og 24 uker med re-behandling. </w:delText>
        </w:r>
      </w:del>
    </w:p>
    <w:p w14:paraId="55CF82C3" w14:textId="6F1A3109" w:rsidR="001B17E9" w:rsidRPr="009C5EFD" w:rsidRDefault="001B17E9" w:rsidP="00193D76">
      <w:pPr>
        <w:rPr>
          <w:del w:id="2074" w:author="AbbVie02no" w:date="2025-05-15T12:36:00Z"/>
          <w:sz w:val="22"/>
          <w:szCs w:val="22"/>
        </w:rPr>
      </w:pPr>
    </w:p>
    <w:p w14:paraId="14D85C31" w14:textId="758CC3F4" w:rsidR="001B17E9" w:rsidRPr="009C5EFD" w:rsidRDefault="00E453CD" w:rsidP="002D0790">
      <w:pPr>
        <w:rPr>
          <w:del w:id="2075" w:author="AbbVie02no" w:date="2025-05-15T12:36:00Z"/>
          <w:sz w:val="22"/>
          <w:szCs w:val="22"/>
        </w:rPr>
      </w:pPr>
      <w:del w:id="2076" w:author="AbbVie02no" w:date="2025-05-15T12:36:00Z">
        <w:r w:rsidRPr="009C5EFD">
          <w:rPr>
            <w:sz w:val="22"/>
            <w:szCs w:val="22"/>
          </w:rPr>
          <w:delText>Totalt 233 pasienter med PASI 75-respons ved uke 16 og 33 fikk kontinuerlig behandling med Humira i psoriasisstudie I i 52 uker</w:delText>
        </w:r>
        <w:r w:rsidR="003222D4" w:rsidRPr="009C5EFD">
          <w:rPr>
            <w:sz w:val="22"/>
            <w:szCs w:val="22"/>
          </w:rPr>
          <w:delText>,</w:delText>
        </w:r>
        <w:r w:rsidRPr="009C5EFD">
          <w:rPr>
            <w:sz w:val="22"/>
            <w:szCs w:val="22"/>
          </w:rPr>
          <w:delText xml:space="preserve"> og fortsatte med Humira i en åpen forlengelsesstudie. PASI 75 og PGA-</w:delText>
        </w:r>
        <w:r w:rsidR="00D57009">
          <w:rPr>
            <w:sz w:val="22"/>
            <w:szCs w:val="22"/>
          </w:rPr>
          <w:delText>«</w:delText>
        </w:r>
        <w:r w:rsidRPr="009C5EFD">
          <w:rPr>
            <w:sz w:val="22"/>
            <w:szCs w:val="22"/>
          </w:rPr>
          <w:delText xml:space="preserve">klar’ eller -minimal responsrate hos disse pasientene var henholdsvis 74,7 % og 59,0 % etter en periode på 108 uker i den åpne forlengelsesstudien (totalt 160 uker). I en analyse </w:delText>
        </w:r>
        <w:r w:rsidR="00C25BCC" w:rsidRPr="009C5EFD">
          <w:rPr>
            <w:sz w:val="22"/>
            <w:szCs w:val="22"/>
          </w:rPr>
          <w:delText>ble</w:delText>
        </w:r>
        <w:r w:rsidRPr="009C5EFD">
          <w:rPr>
            <w:sz w:val="22"/>
            <w:szCs w:val="22"/>
          </w:rPr>
          <w:delText xml:space="preserve"> alle pasientene som hadde frafall pga. bivirkninger, mangel på effekt eller som dose-eskalerte, ansett som ikke-respondere</w:delText>
        </w:r>
        <w:r w:rsidR="00C25BCC" w:rsidRPr="009C5EFD">
          <w:rPr>
            <w:sz w:val="22"/>
            <w:szCs w:val="22"/>
          </w:rPr>
          <w:delText>.</w:delText>
        </w:r>
        <w:r w:rsidRPr="009C5EFD">
          <w:rPr>
            <w:sz w:val="22"/>
            <w:szCs w:val="22"/>
          </w:rPr>
          <w:delText xml:space="preserve"> </w:delText>
        </w:r>
        <w:r w:rsidR="00297ABB" w:rsidRPr="009C5EFD">
          <w:rPr>
            <w:sz w:val="22"/>
            <w:szCs w:val="22"/>
          </w:rPr>
          <w:delText xml:space="preserve">Hos disse pasientene </w:delText>
        </w:r>
        <w:r w:rsidRPr="009C5EFD">
          <w:rPr>
            <w:sz w:val="22"/>
            <w:szCs w:val="22"/>
          </w:rPr>
          <w:delText>var PASI 75 og PGA-</w:delText>
        </w:r>
        <w:r w:rsidR="00D57009">
          <w:rPr>
            <w:sz w:val="22"/>
            <w:szCs w:val="22"/>
          </w:rPr>
          <w:delText>«</w:delText>
        </w:r>
        <w:r w:rsidRPr="009C5EFD">
          <w:rPr>
            <w:sz w:val="22"/>
            <w:szCs w:val="22"/>
          </w:rPr>
          <w:delText>klar</w:delText>
        </w:r>
        <w:r w:rsidR="00D406F1">
          <w:rPr>
            <w:sz w:val="22"/>
            <w:szCs w:val="22"/>
          </w:rPr>
          <w:delText>»</w:delText>
        </w:r>
        <w:r w:rsidRPr="009C5EFD">
          <w:rPr>
            <w:sz w:val="22"/>
            <w:szCs w:val="22"/>
          </w:rPr>
          <w:delText xml:space="preserve"> eller -minimal responsrater henholdsvis 69,6 % og 55,7 % etter en tilleggsperiode på 108 uker i den åpne forlengelsesstudien (totalt 160 uker).</w:delText>
        </w:r>
      </w:del>
    </w:p>
    <w:p w14:paraId="4B55861D" w14:textId="34466393" w:rsidR="001B17E9" w:rsidRPr="009C5EFD" w:rsidRDefault="001B17E9" w:rsidP="002D0790">
      <w:pPr>
        <w:rPr>
          <w:del w:id="2077" w:author="AbbVie02no" w:date="2025-05-15T12:36:00Z"/>
          <w:sz w:val="22"/>
          <w:szCs w:val="22"/>
        </w:rPr>
      </w:pPr>
    </w:p>
    <w:p w14:paraId="2B06D6DC" w14:textId="5576CD2C" w:rsidR="001B17E9" w:rsidRPr="009C5EFD" w:rsidRDefault="00E453CD" w:rsidP="00E14E58">
      <w:pPr>
        <w:rPr>
          <w:del w:id="2078" w:author="AbbVie02no" w:date="2025-05-15T12:36:00Z"/>
          <w:sz w:val="22"/>
          <w:szCs w:val="22"/>
        </w:rPr>
      </w:pPr>
      <w:del w:id="2079" w:author="AbbVie02no" w:date="2025-05-15T12:36:00Z">
        <w:r w:rsidRPr="009C5EFD">
          <w:rPr>
            <w:sz w:val="22"/>
            <w:szCs w:val="22"/>
          </w:rPr>
          <w:delText xml:space="preserve">Totalt 347 stabile respondere deltok i en åpen forlengelsesstudie der seponering og re-behandling ble </w:delText>
        </w:r>
        <w:r w:rsidR="003D3CAB" w:rsidRPr="003D3CAB">
          <w:rPr>
            <w:sz w:val="22"/>
            <w:szCs w:val="22"/>
          </w:rPr>
          <w:delText>vurdert</w:delText>
        </w:r>
        <w:r w:rsidRPr="009C5EFD">
          <w:rPr>
            <w:sz w:val="22"/>
            <w:szCs w:val="22"/>
          </w:rPr>
          <w:delText xml:space="preserve">. Under seponeringsperioden kom symptomene på psoriasis tilbake over tid med </w:delText>
        </w:r>
        <w:r w:rsidR="003B09C6" w:rsidRPr="009C5EFD">
          <w:rPr>
            <w:sz w:val="22"/>
            <w:szCs w:val="22"/>
          </w:rPr>
          <w:delText xml:space="preserve">en </w:delText>
        </w:r>
        <w:r w:rsidRPr="009C5EFD">
          <w:rPr>
            <w:sz w:val="22"/>
            <w:szCs w:val="22"/>
          </w:rPr>
          <w:delText xml:space="preserve">mediantid for tilbakefall (nedgang i PGA </w:delText>
        </w:r>
        <w:r w:rsidR="00D57009">
          <w:rPr>
            <w:sz w:val="22"/>
            <w:szCs w:val="22"/>
          </w:rPr>
          <w:delText>«</w:delText>
        </w:r>
        <w:r w:rsidRPr="009C5EFD">
          <w:rPr>
            <w:sz w:val="22"/>
            <w:szCs w:val="22"/>
          </w:rPr>
          <w:delText>moderat</w:delText>
        </w:r>
        <w:r w:rsidR="00D57009">
          <w:rPr>
            <w:sz w:val="22"/>
            <w:szCs w:val="22"/>
          </w:rPr>
          <w:delText>»</w:delText>
        </w:r>
        <w:r w:rsidRPr="009C5EFD">
          <w:rPr>
            <w:sz w:val="22"/>
            <w:szCs w:val="22"/>
          </w:rPr>
          <w:delText xml:space="preserve"> eller verre) på ca. 5 måneder. Ingen av disse pasientene opplevde </w:delText>
        </w:r>
        <w:r w:rsidR="00297ABB" w:rsidRPr="009C5EFD">
          <w:rPr>
            <w:sz w:val="22"/>
            <w:szCs w:val="22"/>
          </w:rPr>
          <w:delText>tilbakefall (</w:delText>
        </w:r>
        <w:r w:rsidR="00D57009">
          <w:rPr>
            <w:sz w:val="22"/>
            <w:szCs w:val="22"/>
          </w:rPr>
          <w:delText>«</w:delText>
        </w:r>
        <w:r w:rsidRPr="009C5EFD">
          <w:rPr>
            <w:sz w:val="22"/>
            <w:szCs w:val="22"/>
          </w:rPr>
          <w:delText>rebound</w:delText>
        </w:r>
        <w:r w:rsidR="00D57009">
          <w:rPr>
            <w:sz w:val="22"/>
            <w:szCs w:val="22"/>
          </w:rPr>
          <w:delText>»</w:delText>
        </w:r>
        <w:r w:rsidR="00297ABB" w:rsidRPr="009C5EFD">
          <w:rPr>
            <w:sz w:val="22"/>
            <w:szCs w:val="22"/>
          </w:rPr>
          <w:delText>)</w:delText>
        </w:r>
        <w:r w:rsidRPr="009C5EFD">
          <w:rPr>
            <w:sz w:val="22"/>
            <w:szCs w:val="22"/>
          </w:rPr>
          <w:delText xml:space="preserve"> under seponeringsperioden. Totalt 76,5 % (218/285) av pasientene som startet behandlingen på nytt hadde en PGA-</w:delText>
        </w:r>
        <w:r w:rsidR="00D57009">
          <w:rPr>
            <w:sz w:val="22"/>
            <w:szCs w:val="22"/>
          </w:rPr>
          <w:delText>«</w:delText>
        </w:r>
        <w:r w:rsidRPr="009C5EFD">
          <w:rPr>
            <w:sz w:val="22"/>
            <w:szCs w:val="22"/>
          </w:rPr>
          <w:delText>klar</w:delText>
        </w:r>
        <w:r w:rsidR="00D57009">
          <w:rPr>
            <w:sz w:val="22"/>
            <w:szCs w:val="22"/>
          </w:rPr>
          <w:delText>»</w:delText>
        </w:r>
        <w:r w:rsidRPr="009C5EFD">
          <w:rPr>
            <w:sz w:val="22"/>
            <w:szCs w:val="22"/>
          </w:rPr>
          <w:delText xml:space="preserve"> eller -minimal respons etter 16 uker med behandling, uavhengig om de hadde tilbakefall under seponeringsperioden (69,1 % [123/178] og 88,8</w:delText>
        </w:r>
        <w:r w:rsidR="00D50C8B">
          <w:rPr>
            <w:sz w:val="22"/>
            <w:szCs w:val="22"/>
          </w:rPr>
          <w:delText> </w:delText>
        </w:r>
        <w:r w:rsidRPr="009C5EFD">
          <w:rPr>
            <w:sz w:val="22"/>
            <w:szCs w:val="22"/>
          </w:rPr>
          <w:delText>% [95/107] henholdsvis for pasienter som hadde tilbakefall eller ikke hadde tilbakefall under seponeringsperioden). En tilsvarende sikkerhetsprofil ble observert under gjenopptagelse av behandlingen som før seponering.</w:delText>
        </w:r>
      </w:del>
    </w:p>
    <w:p w14:paraId="406D84F9" w14:textId="49A9F0D1" w:rsidR="001B17E9" w:rsidRPr="009C5EFD" w:rsidRDefault="001B17E9" w:rsidP="00E14E58">
      <w:pPr>
        <w:rPr>
          <w:del w:id="2080" w:author="AbbVie02no" w:date="2025-05-15T12:36:00Z"/>
          <w:sz w:val="22"/>
          <w:szCs w:val="22"/>
        </w:rPr>
      </w:pPr>
    </w:p>
    <w:p w14:paraId="44931022" w14:textId="06545315" w:rsidR="001B17E9" w:rsidRPr="009C5EFD" w:rsidRDefault="00E453CD" w:rsidP="009C5EFD">
      <w:pPr>
        <w:rPr>
          <w:del w:id="2081" w:author="AbbVie02no" w:date="2025-05-15T12:36:00Z"/>
          <w:sz w:val="22"/>
          <w:szCs w:val="22"/>
        </w:rPr>
      </w:pPr>
      <w:del w:id="2082" w:author="AbbVie02no" w:date="2025-05-15T12:36:00Z">
        <w:r w:rsidRPr="009C5EFD">
          <w:rPr>
            <w:sz w:val="22"/>
            <w:szCs w:val="22"/>
          </w:rPr>
          <w:delText xml:space="preserve">Signifikant forbedring ved uke 16 fra behandlingsstart sammenlignet med placebo (studiene I og II) og metotreksat (studie II) ble vist i DLQI (Dermatology Life Quality Index). I studie I var også </w:delText>
        </w:r>
        <w:r w:rsidRPr="009C5EFD">
          <w:rPr>
            <w:sz w:val="22"/>
            <w:szCs w:val="22"/>
          </w:rPr>
          <w:lastRenderedPageBreak/>
          <w:delText xml:space="preserve">forbedringer i </w:delText>
        </w:r>
        <w:r w:rsidR="00317ED9" w:rsidRPr="009C5EFD">
          <w:rPr>
            <w:sz w:val="22"/>
            <w:szCs w:val="22"/>
          </w:rPr>
          <w:delText xml:space="preserve">sammenlagt score for </w:delText>
        </w:r>
        <w:r w:rsidRPr="009C5EFD">
          <w:rPr>
            <w:sz w:val="22"/>
            <w:szCs w:val="22"/>
          </w:rPr>
          <w:delText>de fysiske og mentale komponent</w:delText>
        </w:r>
        <w:r w:rsidR="00317ED9" w:rsidRPr="009C5EFD">
          <w:rPr>
            <w:sz w:val="22"/>
            <w:szCs w:val="22"/>
          </w:rPr>
          <w:delText>ene</w:delText>
        </w:r>
        <w:r w:rsidRPr="009C5EFD">
          <w:rPr>
            <w:sz w:val="22"/>
            <w:szCs w:val="22"/>
          </w:rPr>
          <w:delText xml:space="preserve"> i SF-36 signifikante sammenlignet med placebo.</w:delText>
        </w:r>
      </w:del>
    </w:p>
    <w:p w14:paraId="58DED3B9" w14:textId="6C040173" w:rsidR="001B17E9" w:rsidRPr="009C5EFD" w:rsidRDefault="001B17E9" w:rsidP="009C5EFD">
      <w:pPr>
        <w:rPr>
          <w:del w:id="2083" w:author="AbbVie02no" w:date="2025-05-15T12:36:00Z"/>
          <w:sz w:val="22"/>
          <w:szCs w:val="22"/>
        </w:rPr>
      </w:pPr>
    </w:p>
    <w:p w14:paraId="776D4535" w14:textId="03279658" w:rsidR="001B17E9" w:rsidRPr="009C5EFD" w:rsidRDefault="00E453CD" w:rsidP="009C5EFD">
      <w:pPr>
        <w:rPr>
          <w:del w:id="2084" w:author="AbbVie02no" w:date="2025-05-15T12:36:00Z"/>
          <w:sz w:val="22"/>
          <w:szCs w:val="22"/>
        </w:rPr>
      </w:pPr>
      <w:del w:id="2085" w:author="AbbVie02no" w:date="2025-05-15T12:36:00Z">
        <w:r w:rsidRPr="009C5EFD">
          <w:rPr>
            <w:sz w:val="22"/>
            <w:szCs w:val="22"/>
          </w:rPr>
          <w:delText xml:space="preserve">I en åpen forlengelsesstudie </w:delText>
        </w:r>
        <w:r w:rsidR="003B09C6" w:rsidRPr="009C5EFD">
          <w:rPr>
            <w:sz w:val="22"/>
            <w:szCs w:val="22"/>
          </w:rPr>
          <w:delText>hos</w:delText>
        </w:r>
        <w:r w:rsidRPr="009C5EFD">
          <w:rPr>
            <w:sz w:val="22"/>
            <w:szCs w:val="22"/>
          </w:rPr>
          <w:delText xml:space="preserve"> pasienter som økte dosen fra 40 mg annenhver uke til 40 mg </w:delText>
        </w:r>
        <w:r w:rsidR="003721B0">
          <w:rPr>
            <w:sz w:val="22"/>
            <w:szCs w:val="22"/>
          </w:rPr>
          <w:delText>per</w:delText>
        </w:r>
        <w:r w:rsidRPr="009C5EFD">
          <w:rPr>
            <w:sz w:val="22"/>
            <w:szCs w:val="22"/>
          </w:rPr>
          <w:delText xml:space="preserve"> uke p</w:delText>
        </w:r>
        <w:r w:rsidR="00317ED9" w:rsidRPr="009C5EFD">
          <w:rPr>
            <w:sz w:val="22"/>
            <w:szCs w:val="22"/>
          </w:rPr>
          <w:delText xml:space="preserve">å </w:delText>
        </w:r>
        <w:r w:rsidRPr="009C5EFD">
          <w:rPr>
            <w:sz w:val="22"/>
            <w:szCs w:val="22"/>
          </w:rPr>
          <w:delText>g</w:delText>
        </w:r>
        <w:r w:rsidR="00317ED9" w:rsidRPr="009C5EFD">
          <w:rPr>
            <w:sz w:val="22"/>
            <w:szCs w:val="22"/>
          </w:rPr>
          <w:delText xml:space="preserve">runn </w:delText>
        </w:r>
        <w:r w:rsidRPr="009C5EFD">
          <w:rPr>
            <w:sz w:val="22"/>
            <w:szCs w:val="22"/>
          </w:rPr>
          <w:delText>a</w:delText>
        </w:r>
        <w:r w:rsidR="00317ED9" w:rsidRPr="009C5EFD">
          <w:rPr>
            <w:sz w:val="22"/>
            <w:szCs w:val="22"/>
          </w:rPr>
          <w:delText>v</w:delText>
        </w:r>
        <w:r w:rsidRPr="009C5EFD">
          <w:rPr>
            <w:sz w:val="22"/>
            <w:szCs w:val="22"/>
          </w:rPr>
          <w:delText xml:space="preserve"> PASI respons under 50 %, oppnådde 26,</w:delText>
        </w:r>
        <w:r w:rsidR="005A2FD7">
          <w:rPr>
            <w:sz w:val="22"/>
            <w:szCs w:val="22"/>
          </w:rPr>
          <w:delText>4</w:delText>
        </w:r>
        <w:r w:rsidR="005A2FD7" w:rsidRPr="009C5EFD">
          <w:rPr>
            <w:sz w:val="22"/>
            <w:szCs w:val="22"/>
          </w:rPr>
          <w:delText xml:space="preserve"> </w:delText>
        </w:r>
        <w:r w:rsidRPr="009C5EFD">
          <w:rPr>
            <w:sz w:val="22"/>
            <w:szCs w:val="22"/>
          </w:rPr>
          <w:delText>%</w:delText>
        </w:r>
        <w:r w:rsidR="005A2FD7">
          <w:rPr>
            <w:sz w:val="22"/>
            <w:szCs w:val="22"/>
          </w:rPr>
          <w:delText xml:space="preserve"> (</w:delText>
        </w:r>
        <w:r w:rsidR="005A2FD7" w:rsidRPr="005A2FD7">
          <w:rPr>
            <w:sz w:val="22"/>
            <w:szCs w:val="22"/>
          </w:rPr>
          <w:delText xml:space="preserve">92/349) </w:delText>
        </w:r>
        <w:r w:rsidR="005A2FD7">
          <w:rPr>
            <w:sz w:val="22"/>
            <w:szCs w:val="22"/>
          </w:rPr>
          <w:delText>og</w:delText>
        </w:r>
        <w:r w:rsidR="005A2FD7" w:rsidRPr="005A2FD7">
          <w:rPr>
            <w:sz w:val="22"/>
            <w:szCs w:val="22"/>
          </w:rPr>
          <w:delText xml:space="preserve"> 37</w:delText>
        </w:r>
        <w:r w:rsidR="005A2FD7">
          <w:rPr>
            <w:sz w:val="22"/>
            <w:szCs w:val="22"/>
          </w:rPr>
          <w:delText>,</w:delText>
        </w:r>
        <w:r w:rsidR="005A2FD7" w:rsidRPr="005A2FD7">
          <w:rPr>
            <w:sz w:val="22"/>
            <w:szCs w:val="22"/>
          </w:rPr>
          <w:delText>8</w:delText>
        </w:r>
        <w:r w:rsidR="005A2FD7">
          <w:rPr>
            <w:sz w:val="22"/>
            <w:szCs w:val="22"/>
          </w:rPr>
          <w:delText xml:space="preserve"> </w:delText>
        </w:r>
        <w:r w:rsidR="005A2FD7" w:rsidRPr="005A2FD7">
          <w:rPr>
            <w:sz w:val="22"/>
            <w:szCs w:val="22"/>
          </w:rPr>
          <w:delText xml:space="preserve">% (132/349) </w:delText>
        </w:r>
        <w:r w:rsidRPr="009C5EFD">
          <w:rPr>
            <w:sz w:val="22"/>
            <w:szCs w:val="22"/>
          </w:rPr>
          <w:delText>av pasientene PASI 75-respons</w:delText>
        </w:r>
        <w:r w:rsidR="005A2FD7">
          <w:rPr>
            <w:sz w:val="22"/>
            <w:szCs w:val="22"/>
          </w:rPr>
          <w:delText xml:space="preserve"> ved henholdsvis uke 12 og 24</w:delText>
        </w:r>
        <w:r w:rsidRPr="009C5EFD">
          <w:rPr>
            <w:sz w:val="22"/>
            <w:szCs w:val="22"/>
          </w:rPr>
          <w:delText>.</w:delText>
        </w:r>
      </w:del>
    </w:p>
    <w:p w14:paraId="3604FCC3" w14:textId="20BF5B9A" w:rsidR="001B17E9" w:rsidRPr="009C5EFD" w:rsidRDefault="001B17E9" w:rsidP="009C5EFD">
      <w:pPr>
        <w:rPr>
          <w:del w:id="2086" w:author="AbbVie02no" w:date="2025-05-15T12:36:00Z"/>
          <w:sz w:val="22"/>
          <w:szCs w:val="22"/>
        </w:rPr>
      </w:pPr>
    </w:p>
    <w:p w14:paraId="78619E14" w14:textId="67FF39A3" w:rsidR="00BC640F" w:rsidRDefault="00E453CD" w:rsidP="009C5EFD">
      <w:pPr>
        <w:rPr>
          <w:del w:id="2087" w:author="AbbVie02no" w:date="2025-05-15T12:36:00Z"/>
          <w:sz w:val="22"/>
          <w:szCs w:val="22"/>
        </w:rPr>
      </w:pPr>
      <w:del w:id="2088" w:author="AbbVie02no" w:date="2025-05-15T12:36:00Z">
        <w:r w:rsidRPr="009C5EFD">
          <w:rPr>
            <w:sz w:val="22"/>
            <w:szCs w:val="22"/>
          </w:rPr>
          <w:delText xml:space="preserve">Psoriasisstudie III (REACH) sammenlignet effekt og sikkerhet av Humira </w:delText>
        </w:r>
        <w:r w:rsidRPr="009C5EFD">
          <w:rPr>
            <w:i/>
            <w:sz w:val="22"/>
            <w:szCs w:val="22"/>
          </w:rPr>
          <w:delText>versus</w:delText>
        </w:r>
        <w:r w:rsidRPr="009C5EFD">
          <w:rPr>
            <w:sz w:val="22"/>
            <w:szCs w:val="22"/>
          </w:rPr>
          <w:delText xml:space="preserve"> placebo hos 7</w:delText>
        </w:r>
        <w:r w:rsidR="0027123A">
          <w:rPr>
            <w:sz w:val="22"/>
            <w:szCs w:val="22"/>
          </w:rPr>
          <w:delText>2</w:delText>
        </w:r>
        <w:r w:rsidRPr="009C5EFD">
          <w:rPr>
            <w:sz w:val="22"/>
            <w:szCs w:val="22"/>
          </w:rPr>
          <w:delText xml:space="preserve"> pasienter med moderat til alvorlig kronisk plakkpsoriasis og hånd og/eller fot psoriasis. Pasientene fikk en startdose på 80 mg Humira etterfulgt av 40 mg annenhver uke (med oppstart </w:delText>
        </w:r>
        <w:r w:rsidR="00E71E7F" w:rsidRPr="009C5EFD">
          <w:rPr>
            <w:sz w:val="22"/>
            <w:szCs w:val="22"/>
          </w:rPr>
          <w:delText>é</w:delText>
        </w:r>
        <w:r w:rsidRPr="009C5EFD">
          <w:rPr>
            <w:sz w:val="22"/>
            <w:szCs w:val="22"/>
          </w:rPr>
          <w:delText xml:space="preserve">n uke etter den første dosen) eller placebo i 16 uker. Ved uke 16 hadde en statistisk signifikant større andel av pasientene som fikk Humira oppnådd PGA score </w:delText>
        </w:r>
        <w:r w:rsidR="00D57009">
          <w:rPr>
            <w:sz w:val="22"/>
            <w:szCs w:val="22"/>
          </w:rPr>
          <w:delText>«</w:delText>
        </w:r>
        <w:r w:rsidRPr="009C5EFD">
          <w:rPr>
            <w:sz w:val="22"/>
            <w:szCs w:val="22"/>
          </w:rPr>
          <w:delText>klar</w:delText>
        </w:r>
        <w:r w:rsidR="00D406F1">
          <w:rPr>
            <w:sz w:val="22"/>
            <w:szCs w:val="22"/>
          </w:rPr>
          <w:delText>»</w:delText>
        </w:r>
        <w:r w:rsidRPr="009C5EFD">
          <w:rPr>
            <w:sz w:val="22"/>
            <w:szCs w:val="22"/>
          </w:rPr>
          <w:delText xml:space="preserve"> eller </w:delText>
        </w:r>
        <w:r w:rsidR="00D57009">
          <w:rPr>
            <w:sz w:val="22"/>
            <w:szCs w:val="22"/>
          </w:rPr>
          <w:delText>«</w:delText>
        </w:r>
        <w:r w:rsidRPr="009C5EFD">
          <w:rPr>
            <w:sz w:val="22"/>
            <w:szCs w:val="22"/>
          </w:rPr>
          <w:delText>nesten klar</w:delText>
        </w:r>
        <w:r w:rsidR="00D406F1">
          <w:rPr>
            <w:sz w:val="22"/>
            <w:szCs w:val="22"/>
          </w:rPr>
          <w:delText>»</w:delText>
        </w:r>
        <w:r w:rsidRPr="009C5EFD">
          <w:rPr>
            <w:sz w:val="22"/>
            <w:szCs w:val="22"/>
          </w:rPr>
          <w:delText xml:space="preserve"> for hender og/eller føtter</w:delText>
        </w:r>
        <w:r w:rsidR="00E71E7F" w:rsidRPr="009C5EFD">
          <w:rPr>
            <w:sz w:val="22"/>
            <w:szCs w:val="22"/>
          </w:rPr>
          <w:delText>,</w:delText>
        </w:r>
        <w:r w:rsidRPr="009C5EFD">
          <w:rPr>
            <w:sz w:val="22"/>
            <w:szCs w:val="22"/>
          </w:rPr>
          <w:delText xml:space="preserve"> sammenlignet med pasientene som fikk placebo (henholdsvis 30,6 % </w:delText>
        </w:r>
        <w:r w:rsidRPr="009C5EFD">
          <w:rPr>
            <w:i/>
            <w:sz w:val="22"/>
            <w:szCs w:val="22"/>
          </w:rPr>
          <w:delText>versus</w:delText>
        </w:r>
        <w:r w:rsidRPr="009C5EFD">
          <w:rPr>
            <w:sz w:val="22"/>
            <w:szCs w:val="22"/>
          </w:rPr>
          <w:delText xml:space="preserve"> 4,3 %, [</w:delText>
        </w:r>
        <w:r w:rsidR="00E71E7F" w:rsidRPr="009C5EFD">
          <w:rPr>
            <w:sz w:val="22"/>
            <w:szCs w:val="22"/>
          </w:rPr>
          <w:delText>p</w:delText>
        </w:r>
        <w:r w:rsidRPr="009C5EFD">
          <w:rPr>
            <w:sz w:val="22"/>
            <w:szCs w:val="22"/>
          </w:rPr>
          <w:delText xml:space="preserve"> = 0,014]).</w:delText>
        </w:r>
      </w:del>
    </w:p>
    <w:p w14:paraId="53FA4BEB" w14:textId="4553008D" w:rsidR="00644A9B" w:rsidRDefault="00644A9B" w:rsidP="009C5EFD">
      <w:pPr>
        <w:rPr>
          <w:del w:id="2089" w:author="AbbVie02no" w:date="2025-05-15T12:36:00Z"/>
          <w:sz w:val="22"/>
          <w:szCs w:val="22"/>
        </w:rPr>
      </w:pPr>
    </w:p>
    <w:p w14:paraId="443F4A84" w14:textId="0F041803" w:rsidR="00644A9B" w:rsidRDefault="00E453CD" w:rsidP="00644A9B">
      <w:pPr>
        <w:rPr>
          <w:del w:id="2090" w:author="AbbVie02no" w:date="2025-05-15T12:36:00Z"/>
          <w:sz w:val="22"/>
          <w:szCs w:val="22"/>
        </w:rPr>
      </w:pPr>
      <w:del w:id="2091" w:author="AbbVie02no" w:date="2025-05-15T12:36:00Z">
        <w:r w:rsidRPr="00553387">
          <w:rPr>
            <w:sz w:val="22"/>
            <w:szCs w:val="22"/>
          </w:rPr>
          <w:delText xml:space="preserve">Psoriasisstudie IV sammenlignet effekt og sikkerhet av Humira versus placebo hos 217 </w:delText>
        </w:r>
        <w:r>
          <w:rPr>
            <w:sz w:val="22"/>
            <w:szCs w:val="22"/>
          </w:rPr>
          <w:delText xml:space="preserve">voksne </w:delText>
        </w:r>
        <w:r w:rsidRPr="00553387">
          <w:rPr>
            <w:sz w:val="22"/>
            <w:szCs w:val="22"/>
          </w:rPr>
          <w:delText>pasienter med moderat til alvorlig neglepsoriasis. Pasientene fikk en startdose på 80 mg Humira etterfulgt av 40 mg annenhver uke (med oppstart én uke etter den første dosen) eller placebo i 26 uker, etterfulgt av en åpen forlengelses</w:delText>
        </w:r>
        <w:r>
          <w:rPr>
            <w:sz w:val="22"/>
            <w:szCs w:val="22"/>
          </w:rPr>
          <w:delText xml:space="preserve">periode med </w:delText>
        </w:r>
        <w:r w:rsidRPr="00553387">
          <w:rPr>
            <w:sz w:val="22"/>
            <w:szCs w:val="22"/>
          </w:rPr>
          <w:delText xml:space="preserve">Humirabehandling i ytterligere 26 uker. Vurdering av neglepsoriasis inkluderte Modified Nail Psoriasis Severity Index (mNAPSI), Physician’s Global Assessment of Fingernail Psoriasis (PGA-F) og Nail Psoriasis Severity Index (NAPSI) (se tabell </w:delText>
        </w:r>
        <w:r w:rsidR="001441A8">
          <w:rPr>
            <w:sz w:val="22"/>
            <w:szCs w:val="22"/>
          </w:rPr>
          <w:delText>14</w:delText>
        </w:r>
        <w:r w:rsidRPr="00553387">
          <w:rPr>
            <w:sz w:val="22"/>
            <w:szCs w:val="22"/>
          </w:rPr>
          <w:delText>). Behandling med Humira viste en behandlingsfordel hos pasienter med neglepsoriasis med ulik grad av hudpåvirkning (BSA</w:delText>
        </w:r>
        <w:r>
          <w:rPr>
            <w:sz w:val="22"/>
            <w:szCs w:val="22"/>
          </w:rPr>
          <w:delText xml:space="preserve"> </w:delText>
        </w:r>
        <w:r w:rsidRPr="00553387">
          <w:rPr>
            <w:sz w:val="22"/>
            <w:szCs w:val="22"/>
          </w:rPr>
          <w:delText>≥</w:delText>
        </w:r>
        <w:r>
          <w:rPr>
            <w:sz w:val="22"/>
            <w:szCs w:val="22"/>
          </w:rPr>
          <w:delText xml:space="preserve"> </w:delText>
        </w:r>
        <w:r w:rsidRPr="00553387">
          <w:rPr>
            <w:sz w:val="22"/>
            <w:szCs w:val="22"/>
          </w:rPr>
          <w:delText>10</w:delText>
        </w:r>
        <w:r>
          <w:rPr>
            <w:sz w:val="22"/>
            <w:szCs w:val="22"/>
          </w:rPr>
          <w:delText xml:space="preserve"> </w:delText>
        </w:r>
        <w:r w:rsidRPr="00553387">
          <w:rPr>
            <w:sz w:val="22"/>
            <w:szCs w:val="22"/>
          </w:rPr>
          <w:delText xml:space="preserve">% </w:delText>
        </w:r>
        <w:r>
          <w:rPr>
            <w:sz w:val="22"/>
            <w:szCs w:val="22"/>
          </w:rPr>
          <w:delText xml:space="preserve">(60 % av pasientene) </w:delText>
        </w:r>
        <w:r w:rsidRPr="00553387">
          <w:rPr>
            <w:sz w:val="22"/>
            <w:szCs w:val="22"/>
          </w:rPr>
          <w:delText>og BSA</w:delText>
        </w:r>
        <w:r>
          <w:rPr>
            <w:sz w:val="22"/>
            <w:szCs w:val="22"/>
          </w:rPr>
          <w:delText xml:space="preserve"> </w:delText>
        </w:r>
        <w:r w:rsidRPr="00553387">
          <w:rPr>
            <w:sz w:val="22"/>
            <w:szCs w:val="22"/>
          </w:rPr>
          <w:delText>&lt;</w:delText>
        </w:r>
        <w:r>
          <w:rPr>
            <w:sz w:val="22"/>
            <w:szCs w:val="22"/>
          </w:rPr>
          <w:delText xml:space="preserve"> </w:delText>
        </w:r>
        <w:r w:rsidRPr="00553387">
          <w:rPr>
            <w:sz w:val="22"/>
            <w:szCs w:val="22"/>
          </w:rPr>
          <w:delText>10</w:delText>
        </w:r>
        <w:r>
          <w:rPr>
            <w:sz w:val="22"/>
            <w:szCs w:val="22"/>
          </w:rPr>
          <w:delText xml:space="preserve"> </w:delText>
        </w:r>
        <w:r w:rsidRPr="00553387">
          <w:rPr>
            <w:sz w:val="22"/>
            <w:szCs w:val="22"/>
          </w:rPr>
          <w:delText>% og ≥</w:delText>
        </w:r>
        <w:r>
          <w:rPr>
            <w:sz w:val="22"/>
            <w:szCs w:val="22"/>
          </w:rPr>
          <w:delText xml:space="preserve"> </w:delText>
        </w:r>
        <w:r w:rsidRPr="00553387">
          <w:rPr>
            <w:sz w:val="22"/>
            <w:szCs w:val="22"/>
          </w:rPr>
          <w:delText>5</w:delText>
        </w:r>
        <w:r>
          <w:rPr>
            <w:sz w:val="22"/>
            <w:szCs w:val="22"/>
          </w:rPr>
          <w:delText xml:space="preserve"> </w:delText>
        </w:r>
        <w:r w:rsidRPr="00553387">
          <w:rPr>
            <w:sz w:val="22"/>
            <w:szCs w:val="22"/>
          </w:rPr>
          <w:delText>%</w:delText>
        </w:r>
        <w:r>
          <w:rPr>
            <w:sz w:val="22"/>
            <w:szCs w:val="22"/>
          </w:rPr>
          <w:delText xml:space="preserve"> (40 % av pasientene)</w:delText>
        </w:r>
        <w:r w:rsidRPr="00553387">
          <w:rPr>
            <w:sz w:val="22"/>
            <w:szCs w:val="22"/>
          </w:rPr>
          <w:delText>).</w:delText>
        </w:r>
        <w:r>
          <w:rPr>
            <w:sz w:val="22"/>
            <w:szCs w:val="22"/>
          </w:rPr>
          <w:delText xml:space="preserve"> </w:delText>
        </w:r>
      </w:del>
    </w:p>
    <w:p w14:paraId="4B1A831E" w14:textId="2B19F173" w:rsidR="00644A9B" w:rsidRDefault="00644A9B" w:rsidP="00644A9B">
      <w:pPr>
        <w:rPr>
          <w:del w:id="2092" w:author="AbbVie02no" w:date="2025-05-15T12:36:00Z"/>
          <w:sz w:val="22"/>
          <w:szCs w:val="22"/>
        </w:rPr>
      </w:pPr>
    </w:p>
    <w:p w14:paraId="5324F595" w14:textId="71F35B10" w:rsidR="00644A9B" w:rsidRPr="007A3AEF" w:rsidRDefault="00E453CD" w:rsidP="00644A9B">
      <w:pPr>
        <w:pStyle w:val="gtctabletitleotherwise"/>
        <w:keepNext/>
        <w:spacing w:before="0"/>
        <w:rPr>
          <w:del w:id="2093" w:author="AbbVie02no" w:date="2025-05-15T12:36:00Z"/>
          <w:bCs w:val="0"/>
          <w:sz w:val="22"/>
          <w:szCs w:val="22"/>
          <w:lang w:val="nb-NO"/>
        </w:rPr>
      </w:pPr>
      <w:del w:id="2094" w:author="AbbVie02no" w:date="2025-05-15T12:36:00Z">
        <w:r w:rsidRPr="007A3AEF">
          <w:rPr>
            <w:bCs w:val="0"/>
            <w:sz w:val="22"/>
            <w:szCs w:val="22"/>
            <w:lang w:val="nb-NO"/>
          </w:rPr>
          <w:delText xml:space="preserve">Tabell </w:delText>
        </w:r>
        <w:r w:rsidR="00460F41">
          <w:rPr>
            <w:bCs w:val="0"/>
            <w:sz w:val="22"/>
            <w:szCs w:val="22"/>
            <w:lang w:val="nb-NO"/>
          </w:rPr>
          <w:delText>1</w:delText>
        </w:r>
        <w:r w:rsidR="001441A8">
          <w:rPr>
            <w:bCs w:val="0"/>
            <w:sz w:val="22"/>
            <w:szCs w:val="22"/>
            <w:lang w:val="nb-NO"/>
          </w:rPr>
          <w:delText>4</w:delText>
        </w:r>
      </w:del>
    </w:p>
    <w:p w14:paraId="4BEE2D3F" w14:textId="2ED701B0" w:rsidR="00644A9B" w:rsidRPr="007A3AEF" w:rsidRDefault="00E453CD" w:rsidP="00644A9B">
      <w:pPr>
        <w:pStyle w:val="gtctabletitleotherwise"/>
        <w:keepNext/>
        <w:spacing w:before="0"/>
        <w:rPr>
          <w:del w:id="2095" w:author="AbbVie02no" w:date="2025-05-15T12:36:00Z"/>
          <w:sz w:val="22"/>
          <w:szCs w:val="22"/>
          <w:lang w:val="nb-NO"/>
        </w:rPr>
      </w:pPr>
      <w:del w:id="2096" w:author="AbbVie02no" w:date="2025-05-15T12:36:00Z">
        <w:r w:rsidRPr="007A3AEF">
          <w:rPr>
            <w:bCs w:val="0"/>
            <w:sz w:val="22"/>
            <w:szCs w:val="22"/>
            <w:lang w:val="nb-NO"/>
          </w:rPr>
          <w:delText xml:space="preserve">Psoriasisstudie IV </w:delText>
        </w:r>
        <w:r w:rsidR="00F33557">
          <w:rPr>
            <w:bCs w:val="0"/>
            <w:sz w:val="22"/>
            <w:szCs w:val="22"/>
            <w:lang w:val="nb-NO"/>
          </w:rPr>
          <w:delText>Effektresultater</w:delText>
        </w:r>
        <w:r w:rsidRPr="007A3AEF">
          <w:rPr>
            <w:bCs w:val="0"/>
            <w:sz w:val="22"/>
            <w:szCs w:val="22"/>
            <w:lang w:val="nb-NO"/>
          </w:rPr>
          <w:delText xml:space="preserve"> ved 16, 26 og 52 </w:delText>
        </w:r>
        <w:r>
          <w:rPr>
            <w:bCs w:val="0"/>
            <w:sz w:val="22"/>
            <w:szCs w:val="22"/>
            <w:lang w:val="nb-NO"/>
          </w:rPr>
          <w:delText>uker</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4644D4" w14:paraId="40A032CE" w14:textId="0E68232D" w:rsidTr="00644A9B">
        <w:trPr>
          <w:del w:id="2097" w:author="AbbVie02no" w:date="2025-05-15T12:36:00Z"/>
        </w:trPr>
        <w:tc>
          <w:tcPr>
            <w:tcW w:w="2718" w:type="dxa"/>
            <w:vMerge w:val="restart"/>
          </w:tcPr>
          <w:p w14:paraId="0B4A94BE" w14:textId="26EA19B4" w:rsidR="00644A9B" w:rsidRPr="00B42BF5" w:rsidRDefault="00E453CD" w:rsidP="00644A9B">
            <w:pPr>
              <w:pStyle w:val="gtctablespaceafter"/>
              <w:spacing w:after="0"/>
              <w:rPr>
                <w:del w:id="2098" w:author="AbbVie02no" w:date="2025-05-15T12:36:00Z"/>
                <w:sz w:val="22"/>
                <w:szCs w:val="22"/>
                <w:lang w:val="nb-NO"/>
              </w:rPr>
            </w:pPr>
            <w:del w:id="2099" w:author="AbbVie02no" w:date="2025-05-15T12:36:00Z">
              <w:r w:rsidRPr="00B42BF5">
                <w:rPr>
                  <w:sz w:val="22"/>
                  <w:szCs w:val="22"/>
                  <w:lang w:val="nb-NO"/>
                </w:rPr>
                <w:delText>Endepunkt</w:delText>
              </w:r>
            </w:del>
          </w:p>
        </w:tc>
        <w:tc>
          <w:tcPr>
            <w:tcW w:w="2340" w:type="dxa"/>
            <w:gridSpan w:val="2"/>
          </w:tcPr>
          <w:p w14:paraId="4739021B" w14:textId="18DF087E" w:rsidR="00644A9B" w:rsidRPr="00B42BF5" w:rsidRDefault="00E453CD" w:rsidP="00644A9B">
            <w:pPr>
              <w:pStyle w:val="gtctablespaceafter"/>
              <w:spacing w:after="0"/>
              <w:jc w:val="center"/>
              <w:rPr>
                <w:del w:id="2100" w:author="AbbVie02no" w:date="2025-05-15T12:36:00Z"/>
                <w:sz w:val="22"/>
                <w:szCs w:val="22"/>
                <w:lang w:val="nb-NO"/>
              </w:rPr>
            </w:pPr>
            <w:del w:id="2101" w:author="AbbVie02no" w:date="2025-05-15T12:36:00Z">
              <w:r w:rsidRPr="00B42BF5">
                <w:rPr>
                  <w:sz w:val="22"/>
                  <w:szCs w:val="22"/>
                  <w:lang w:val="nb-NO"/>
                </w:rPr>
                <w:delText>Uke 16</w:delText>
              </w:r>
            </w:del>
          </w:p>
          <w:p w14:paraId="7112B1C7" w14:textId="16C35617" w:rsidR="00644A9B" w:rsidRPr="00B42BF5" w:rsidRDefault="00E453CD" w:rsidP="00644A9B">
            <w:pPr>
              <w:pStyle w:val="gtctablespaceafter"/>
              <w:spacing w:after="0"/>
              <w:jc w:val="center"/>
              <w:rPr>
                <w:del w:id="2102" w:author="AbbVie02no" w:date="2025-05-15T12:36:00Z"/>
                <w:sz w:val="22"/>
                <w:szCs w:val="22"/>
                <w:lang w:val="nb-NO"/>
              </w:rPr>
            </w:pPr>
            <w:del w:id="2103" w:author="AbbVie02no" w:date="2025-05-15T12:36:00Z">
              <w:r w:rsidRPr="00B42BF5">
                <w:rPr>
                  <w:sz w:val="22"/>
                  <w:szCs w:val="22"/>
                  <w:lang w:val="nb-NO"/>
                </w:rPr>
                <w:delText>Placebokontrollert</w:delText>
              </w:r>
            </w:del>
          </w:p>
        </w:tc>
        <w:tc>
          <w:tcPr>
            <w:tcW w:w="2250" w:type="dxa"/>
            <w:gridSpan w:val="2"/>
          </w:tcPr>
          <w:p w14:paraId="753B15AD" w14:textId="06067CD8" w:rsidR="00644A9B" w:rsidRPr="00B42BF5" w:rsidRDefault="00E453CD" w:rsidP="00644A9B">
            <w:pPr>
              <w:pStyle w:val="gtctablespaceafter"/>
              <w:spacing w:after="0"/>
              <w:jc w:val="center"/>
              <w:rPr>
                <w:del w:id="2104" w:author="AbbVie02no" w:date="2025-05-15T12:36:00Z"/>
                <w:sz w:val="22"/>
                <w:szCs w:val="22"/>
                <w:lang w:val="nb-NO"/>
              </w:rPr>
            </w:pPr>
            <w:del w:id="2105" w:author="AbbVie02no" w:date="2025-05-15T12:36:00Z">
              <w:r w:rsidRPr="00B42BF5">
                <w:rPr>
                  <w:sz w:val="22"/>
                  <w:szCs w:val="22"/>
                  <w:lang w:val="nb-NO"/>
                </w:rPr>
                <w:delText>Uke 26</w:delText>
              </w:r>
            </w:del>
          </w:p>
          <w:p w14:paraId="76BB8DBF" w14:textId="120F8C71" w:rsidR="00644A9B" w:rsidRPr="00B42BF5" w:rsidRDefault="00E453CD" w:rsidP="00644A9B">
            <w:pPr>
              <w:pStyle w:val="gtctablespaceafter"/>
              <w:spacing w:after="0"/>
              <w:jc w:val="center"/>
              <w:rPr>
                <w:del w:id="2106" w:author="AbbVie02no" w:date="2025-05-15T12:36:00Z"/>
                <w:sz w:val="22"/>
                <w:szCs w:val="22"/>
                <w:lang w:val="nb-NO"/>
              </w:rPr>
            </w:pPr>
            <w:del w:id="2107" w:author="AbbVie02no" w:date="2025-05-15T12:36:00Z">
              <w:r w:rsidRPr="00B42BF5">
                <w:rPr>
                  <w:sz w:val="22"/>
                  <w:szCs w:val="22"/>
                  <w:lang w:val="nb-NO"/>
                </w:rPr>
                <w:delText>Placebokontrollert</w:delText>
              </w:r>
            </w:del>
          </w:p>
        </w:tc>
        <w:tc>
          <w:tcPr>
            <w:tcW w:w="2268" w:type="dxa"/>
          </w:tcPr>
          <w:p w14:paraId="1439DAFD" w14:textId="0764FFB7" w:rsidR="00644A9B" w:rsidRPr="00B42BF5" w:rsidRDefault="00E453CD" w:rsidP="00644A9B">
            <w:pPr>
              <w:pStyle w:val="gtctablespaceafter"/>
              <w:spacing w:after="0"/>
              <w:jc w:val="center"/>
              <w:rPr>
                <w:del w:id="2108" w:author="AbbVie02no" w:date="2025-05-15T12:36:00Z"/>
                <w:sz w:val="22"/>
                <w:szCs w:val="22"/>
                <w:lang w:val="nb-NO"/>
              </w:rPr>
            </w:pPr>
            <w:del w:id="2109" w:author="AbbVie02no" w:date="2025-05-15T12:36:00Z">
              <w:r w:rsidRPr="00B42BF5">
                <w:rPr>
                  <w:sz w:val="22"/>
                  <w:szCs w:val="22"/>
                  <w:lang w:val="nb-NO"/>
                </w:rPr>
                <w:delText>Uke 52</w:delText>
              </w:r>
            </w:del>
          </w:p>
          <w:p w14:paraId="0A92E678" w14:textId="0BCE8F9D" w:rsidR="00644A9B" w:rsidRPr="00B42BF5" w:rsidRDefault="00E453CD" w:rsidP="00644A9B">
            <w:pPr>
              <w:pStyle w:val="gtctablespaceafter"/>
              <w:spacing w:after="0"/>
              <w:jc w:val="center"/>
              <w:rPr>
                <w:del w:id="2110" w:author="AbbVie02no" w:date="2025-05-15T12:36:00Z"/>
                <w:sz w:val="22"/>
                <w:szCs w:val="22"/>
                <w:lang w:val="nb-NO"/>
              </w:rPr>
            </w:pPr>
            <w:del w:id="2111" w:author="AbbVie02no" w:date="2025-05-15T12:36:00Z">
              <w:r w:rsidRPr="00B42BF5">
                <w:rPr>
                  <w:sz w:val="22"/>
                  <w:szCs w:val="22"/>
                  <w:lang w:val="nb-NO"/>
                </w:rPr>
                <w:delText>Åpen studie</w:delText>
              </w:r>
            </w:del>
          </w:p>
        </w:tc>
      </w:tr>
      <w:tr w:rsidR="004644D4" w14:paraId="1E89CB61" w14:textId="3ACF693E" w:rsidTr="00644A9B">
        <w:trPr>
          <w:del w:id="2112" w:author="AbbVie02no" w:date="2025-05-15T12:36:00Z"/>
        </w:trPr>
        <w:tc>
          <w:tcPr>
            <w:tcW w:w="2718" w:type="dxa"/>
            <w:vMerge/>
          </w:tcPr>
          <w:p w14:paraId="5CC9DEED" w14:textId="4C1A1E1C" w:rsidR="00644A9B" w:rsidRPr="00B42BF5" w:rsidRDefault="00644A9B" w:rsidP="00644A9B">
            <w:pPr>
              <w:pStyle w:val="gtctablespaceafter"/>
              <w:spacing w:after="0"/>
              <w:rPr>
                <w:del w:id="2113" w:author="AbbVie02no" w:date="2025-05-15T12:36:00Z"/>
                <w:sz w:val="22"/>
                <w:szCs w:val="22"/>
                <w:lang w:val="nb-NO"/>
              </w:rPr>
            </w:pPr>
          </w:p>
        </w:tc>
        <w:tc>
          <w:tcPr>
            <w:tcW w:w="1080" w:type="dxa"/>
          </w:tcPr>
          <w:p w14:paraId="477A1EFC" w14:textId="619A3B2D" w:rsidR="00644A9B" w:rsidRPr="00B42BF5" w:rsidRDefault="00E453CD" w:rsidP="00644A9B">
            <w:pPr>
              <w:pStyle w:val="gtctablespaceafter"/>
              <w:spacing w:after="0"/>
              <w:jc w:val="center"/>
              <w:rPr>
                <w:del w:id="2114" w:author="AbbVie02no" w:date="2025-05-15T12:36:00Z"/>
                <w:sz w:val="22"/>
                <w:szCs w:val="22"/>
                <w:lang w:val="nb-NO"/>
              </w:rPr>
            </w:pPr>
            <w:del w:id="2115" w:author="AbbVie02no" w:date="2025-05-15T12:36:00Z">
              <w:r w:rsidRPr="00B42BF5">
                <w:rPr>
                  <w:sz w:val="22"/>
                  <w:lang w:val="nb-NO"/>
                </w:rPr>
                <w:delText>Placebo</w:delText>
              </w:r>
              <w:r w:rsidRPr="00B42BF5">
                <w:rPr>
                  <w:sz w:val="22"/>
                  <w:lang w:val="nb-NO"/>
                </w:rPr>
                <w:br/>
                <w:delText>N=108</w:delText>
              </w:r>
            </w:del>
          </w:p>
        </w:tc>
        <w:tc>
          <w:tcPr>
            <w:tcW w:w="1260" w:type="dxa"/>
          </w:tcPr>
          <w:p w14:paraId="3303912C" w14:textId="60243A31" w:rsidR="00644A9B" w:rsidRPr="007A3AEF" w:rsidRDefault="00E453CD" w:rsidP="00644A9B">
            <w:pPr>
              <w:pStyle w:val="In-texttable"/>
              <w:keepNext w:val="0"/>
              <w:spacing w:line="240" w:lineRule="auto"/>
              <w:jc w:val="center"/>
              <w:rPr>
                <w:del w:id="2116" w:author="AbbVie02no" w:date="2025-05-15T12:36:00Z"/>
                <w:rFonts w:ascii="Times New Roman" w:hAnsi="Times New Roman"/>
                <w:sz w:val="22"/>
                <w:lang w:val="nb-NO"/>
              </w:rPr>
            </w:pPr>
            <w:del w:id="2117" w:author="AbbVie02no" w:date="2025-05-15T12:36:00Z">
              <w:r w:rsidRPr="007A3AEF">
                <w:rPr>
                  <w:rFonts w:ascii="Times New Roman" w:hAnsi="Times New Roman"/>
                  <w:sz w:val="22"/>
                  <w:lang w:val="nb-NO"/>
                </w:rPr>
                <w:delText>Humira</w:delText>
              </w:r>
            </w:del>
          </w:p>
          <w:p w14:paraId="2AE526D8" w14:textId="74941EC3" w:rsidR="00644A9B" w:rsidRPr="007A3AEF" w:rsidRDefault="00E453CD" w:rsidP="00644A9B">
            <w:pPr>
              <w:pStyle w:val="gtctablespaceafter"/>
              <w:spacing w:after="0"/>
              <w:jc w:val="center"/>
              <w:rPr>
                <w:del w:id="2118" w:author="AbbVie02no" w:date="2025-05-15T12:36:00Z"/>
                <w:sz w:val="22"/>
                <w:szCs w:val="22"/>
                <w:lang w:val="nb-NO"/>
              </w:rPr>
            </w:pPr>
            <w:del w:id="2119" w:author="AbbVie02no" w:date="2025-05-15T12:36:00Z">
              <w:r w:rsidRPr="007A3AEF">
                <w:rPr>
                  <w:sz w:val="22"/>
                  <w:lang w:val="nb-NO"/>
                </w:rPr>
                <w:delText xml:space="preserve">40 mg annenhver uke </w:delText>
              </w:r>
              <w:r w:rsidRPr="007A3AEF">
                <w:rPr>
                  <w:sz w:val="22"/>
                  <w:lang w:val="nb-NO"/>
                </w:rPr>
                <w:br/>
                <w:delText>N=109</w:delText>
              </w:r>
            </w:del>
          </w:p>
        </w:tc>
        <w:tc>
          <w:tcPr>
            <w:tcW w:w="990" w:type="dxa"/>
          </w:tcPr>
          <w:p w14:paraId="340FE87D" w14:textId="7F671C1B" w:rsidR="00644A9B" w:rsidRPr="00B42BF5" w:rsidRDefault="00E453CD" w:rsidP="00644A9B">
            <w:pPr>
              <w:pStyle w:val="gtctablespaceafter"/>
              <w:spacing w:after="0"/>
              <w:jc w:val="center"/>
              <w:rPr>
                <w:del w:id="2120" w:author="AbbVie02no" w:date="2025-05-15T12:36:00Z"/>
                <w:sz w:val="22"/>
                <w:szCs w:val="22"/>
                <w:lang w:val="nb-NO"/>
              </w:rPr>
            </w:pPr>
            <w:del w:id="2121" w:author="AbbVie02no" w:date="2025-05-15T12:36:00Z">
              <w:r w:rsidRPr="00B42BF5">
                <w:rPr>
                  <w:sz w:val="22"/>
                  <w:lang w:val="nb-NO"/>
                </w:rPr>
                <w:delText>Placebo</w:delText>
              </w:r>
              <w:r w:rsidRPr="00B42BF5">
                <w:rPr>
                  <w:sz w:val="22"/>
                  <w:lang w:val="nb-NO"/>
                </w:rPr>
                <w:br/>
                <w:delText>N=108</w:delText>
              </w:r>
            </w:del>
          </w:p>
        </w:tc>
        <w:tc>
          <w:tcPr>
            <w:tcW w:w="1260" w:type="dxa"/>
          </w:tcPr>
          <w:p w14:paraId="6156C9D7" w14:textId="0300E457" w:rsidR="00644A9B" w:rsidRPr="007A3AEF" w:rsidRDefault="00E453CD" w:rsidP="00644A9B">
            <w:pPr>
              <w:pStyle w:val="In-texttable"/>
              <w:keepNext w:val="0"/>
              <w:spacing w:line="240" w:lineRule="auto"/>
              <w:jc w:val="center"/>
              <w:rPr>
                <w:del w:id="2122" w:author="AbbVie02no" w:date="2025-05-15T12:36:00Z"/>
                <w:rFonts w:ascii="Times New Roman" w:hAnsi="Times New Roman"/>
                <w:sz w:val="22"/>
                <w:lang w:val="nb-NO"/>
              </w:rPr>
            </w:pPr>
            <w:del w:id="2123" w:author="AbbVie02no" w:date="2025-05-15T12:36:00Z">
              <w:r w:rsidRPr="007A3AEF">
                <w:rPr>
                  <w:rFonts w:ascii="Times New Roman" w:hAnsi="Times New Roman"/>
                  <w:sz w:val="22"/>
                  <w:lang w:val="nb-NO"/>
                </w:rPr>
                <w:delText>Humira</w:delText>
              </w:r>
            </w:del>
          </w:p>
          <w:p w14:paraId="598A336A" w14:textId="67CBE9CA" w:rsidR="00644A9B" w:rsidRPr="007A3AEF" w:rsidRDefault="00E453CD" w:rsidP="00644A9B">
            <w:pPr>
              <w:pStyle w:val="gtctablespaceafter"/>
              <w:spacing w:after="0"/>
              <w:jc w:val="center"/>
              <w:rPr>
                <w:del w:id="2124" w:author="AbbVie02no" w:date="2025-05-15T12:36:00Z"/>
                <w:sz w:val="22"/>
                <w:szCs w:val="22"/>
                <w:lang w:val="nb-NO"/>
              </w:rPr>
            </w:pPr>
            <w:del w:id="2125" w:author="AbbVie02no" w:date="2025-05-15T12:36:00Z">
              <w:r w:rsidRPr="007A3AEF">
                <w:rPr>
                  <w:sz w:val="22"/>
                  <w:lang w:val="nb-NO"/>
                </w:rPr>
                <w:delText xml:space="preserve">40 mg annenhver uke </w:delText>
              </w:r>
              <w:r w:rsidRPr="007A3AEF">
                <w:rPr>
                  <w:sz w:val="22"/>
                  <w:lang w:val="nb-NO"/>
                </w:rPr>
                <w:br/>
                <w:delText>N=109</w:delText>
              </w:r>
            </w:del>
          </w:p>
        </w:tc>
        <w:tc>
          <w:tcPr>
            <w:tcW w:w="2268" w:type="dxa"/>
          </w:tcPr>
          <w:p w14:paraId="25E36272" w14:textId="44BA2AE0" w:rsidR="00644A9B" w:rsidRPr="007A3AEF" w:rsidRDefault="00E453CD" w:rsidP="00644A9B">
            <w:pPr>
              <w:pStyle w:val="In-texttable"/>
              <w:keepNext w:val="0"/>
              <w:spacing w:line="240" w:lineRule="auto"/>
              <w:jc w:val="center"/>
              <w:rPr>
                <w:del w:id="2126" w:author="AbbVie02no" w:date="2025-05-15T12:36:00Z"/>
                <w:rFonts w:ascii="Times New Roman" w:hAnsi="Times New Roman"/>
                <w:sz w:val="22"/>
                <w:lang w:val="nb-NO"/>
              </w:rPr>
            </w:pPr>
            <w:del w:id="2127" w:author="AbbVie02no" w:date="2025-05-15T12:36:00Z">
              <w:r w:rsidRPr="007A3AEF">
                <w:rPr>
                  <w:rFonts w:ascii="Times New Roman" w:hAnsi="Times New Roman"/>
                  <w:sz w:val="22"/>
                  <w:lang w:val="nb-NO"/>
                </w:rPr>
                <w:delText>Humira</w:delText>
              </w:r>
            </w:del>
          </w:p>
          <w:p w14:paraId="1F446956" w14:textId="1B0F7385" w:rsidR="00644A9B" w:rsidRPr="007A3AEF" w:rsidRDefault="00E453CD" w:rsidP="00644A9B">
            <w:pPr>
              <w:pStyle w:val="gtctablespaceafter"/>
              <w:spacing w:after="0"/>
              <w:jc w:val="center"/>
              <w:rPr>
                <w:del w:id="2128" w:author="AbbVie02no" w:date="2025-05-15T12:36:00Z"/>
                <w:sz w:val="22"/>
                <w:szCs w:val="22"/>
                <w:lang w:val="nb-NO"/>
              </w:rPr>
            </w:pPr>
            <w:del w:id="2129" w:author="AbbVie02no" w:date="2025-05-15T12:36:00Z">
              <w:r w:rsidRPr="007A3AEF">
                <w:rPr>
                  <w:sz w:val="22"/>
                  <w:lang w:val="nb-NO"/>
                </w:rPr>
                <w:delText xml:space="preserve">40 mg annenhver uke </w:delText>
              </w:r>
              <w:r w:rsidRPr="007A3AEF">
                <w:rPr>
                  <w:sz w:val="22"/>
                  <w:lang w:val="nb-NO"/>
                </w:rPr>
                <w:br/>
                <w:delText>N=80</w:delText>
              </w:r>
            </w:del>
          </w:p>
        </w:tc>
      </w:tr>
      <w:tr w:rsidR="004644D4" w14:paraId="77F9684C" w14:textId="40B5C84E" w:rsidTr="00644A9B">
        <w:trPr>
          <w:del w:id="2130" w:author="AbbVie02no" w:date="2025-05-15T12:36:00Z"/>
        </w:trPr>
        <w:tc>
          <w:tcPr>
            <w:tcW w:w="2718" w:type="dxa"/>
          </w:tcPr>
          <w:p w14:paraId="274C187D" w14:textId="5F272E9A" w:rsidR="00644A9B" w:rsidRPr="00B42BF5" w:rsidRDefault="00E453CD" w:rsidP="00644A9B">
            <w:pPr>
              <w:pStyle w:val="gtctablespaceafter"/>
              <w:spacing w:after="0"/>
              <w:rPr>
                <w:del w:id="2131" w:author="AbbVie02no" w:date="2025-05-15T12:36:00Z"/>
                <w:sz w:val="22"/>
                <w:szCs w:val="22"/>
                <w:lang w:val="nb-NO"/>
              </w:rPr>
            </w:pPr>
            <w:del w:id="2132" w:author="AbbVie02no" w:date="2025-05-15T12:36:00Z">
              <w:r w:rsidRPr="00B42BF5">
                <w:rPr>
                  <w:sz w:val="22"/>
                  <w:lang w:val="nb-NO"/>
                </w:rPr>
                <w:delText>≥ mNAPSI 75 (%)</w:delText>
              </w:r>
            </w:del>
          </w:p>
        </w:tc>
        <w:tc>
          <w:tcPr>
            <w:tcW w:w="1080" w:type="dxa"/>
          </w:tcPr>
          <w:p w14:paraId="2D543B7E" w14:textId="072F94DF" w:rsidR="00644A9B" w:rsidRPr="00B42BF5" w:rsidRDefault="00E453CD" w:rsidP="00644A9B">
            <w:pPr>
              <w:pStyle w:val="gtctablespaceafter"/>
              <w:spacing w:after="0"/>
              <w:jc w:val="center"/>
              <w:rPr>
                <w:del w:id="2133" w:author="AbbVie02no" w:date="2025-05-15T12:36:00Z"/>
                <w:sz w:val="22"/>
                <w:szCs w:val="22"/>
                <w:lang w:val="nb-NO"/>
              </w:rPr>
            </w:pPr>
            <w:del w:id="2134" w:author="AbbVie02no" w:date="2025-05-15T12:36:00Z">
              <w:r w:rsidRPr="00B42BF5">
                <w:rPr>
                  <w:sz w:val="22"/>
                  <w:szCs w:val="22"/>
                  <w:lang w:val="nb-NO"/>
                </w:rPr>
                <w:delText>2,9</w:delText>
              </w:r>
            </w:del>
          </w:p>
        </w:tc>
        <w:tc>
          <w:tcPr>
            <w:tcW w:w="1260" w:type="dxa"/>
          </w:tcPr>
          <w:p w14:paraId="137B2093" w14:textId="551B81BF" w:rsidR="00644A9B" w:rsidRPr="00B42BF5" w:rsidRDefault="00E453CD" w:rsidP="00644A9B">
            <w:pPr>
              <w:pStyle w:val="gtctablespaceafter"/>
              <w:spacing w:after="0"/>
              <w:jc w:val="center"/>
              <w:rPr>
                <w:del w:id="2135" w:author="AbbVie02no" w:date="2025-05-15T12:36:00Z"/>
                <w:sz w:val="22"/>
                <w:szCs w:val="22"/>
                <w:lang w:val="nb-NO"/>
              </w:rPr>
            </w:pPr>
            <w:del w:id="2136" w:author="AbbVie02no" w:date="2025-05-15T12:36:00Z">
              <w:r w:rsidRPr="00B42BF5">
                <w:rPr>
                  <w:sz w:val="22"/>
                  <w:szCs w:val="22"/>
                  <w:lang w:val="nb-NO"/>
                </w:rPr>
                <w:delText>26,0</w:delText>
              </w:r>
              <w:r w:rsidRPr="00B42BF5">
                <w:rPr>
                  <w:sz w:val="22"/>
                  <w:szCs w:val="22"/>
                  <w:vertAlign w:val="superscript"/>
                  <w:lang w:val="nb-NO"/>
                </w:rPr>
                <w:delText>a</w:delText>
              </w:r>
            </w:del>
          </w:p>
        </w:tc>
        <w:tc>
          <w:tcPr>
            <w:tcW w:w="990" w:type="dxa"/>
          </w:tcPr>
          <w:p w14:paraId="759D6C09" w14:textId="4A55AD0A" w:rsidR="00644A9B" w:rsidRPr="00AF793E" w:rsidRDefault="00E453CD" w:rsidP="00644A9B">
            <w:pPr>
              <w:keepNext/>
              <w:jc w:val="center"/>
              <w:rPr>
                <w:del w:id="2137" w:author="AbbVie02no" w:date="2025-05-15T12:36:00Z"/>
                <w:szCs w:val="22"/>
              </w:rPr>
            </w:pPr>
            <w:del w:id="2138" w:author="AbbVie02no" w:date="2025-05-15T12:36:00Z">
              <w:r w:rsidRPr="00AF793E">
                <w:rPr>
                  <w:szCs w:val="22"/>
                </w:rPr>
                <w:delText>3</w:delText>
              </w:r>
              <w:r>
                <w:rPr>
                  <w:szCs w:val="22"/>
                </w:rPr>
                <w:delText>,</w:delText>
              </w:r>
              <w:r w:rsidRPr="00AF793E">
                <w:rPr>
                  <w:szCs w:val="22"/>
                </w:rPr>
                <w:delText>4</w:delText>
              </w:r>
            </w:del>
          </w:p>
        </w:tc>
        <w:tc>
          <w:tcPr>
            <w:tcW w:w="1260" w:type="dxa"/>
          </w:tcPr>
          <w:p w14:paraId="33467DCC" w14:textId="794276CA" w:rsidR="00644A9B" w:rsidRPr="00AF793E" w:rsidRDefault="00E453CD" w:rsidP="00644A9B">
            <w:pPr>
              <w:keepNext/>
              <w:jc w:val="center"/>
              <w:rPr>
                <w:del w:id="2139" w:author="AbbVie02no" w:date="2025-05-15T12:36:00Z"/>
                <w:szCs w:val="22"/>
              </w:rPr>
            </w:pPr>
            <w:del w:id="2140" w:author="AbbVie02no" w:date="2025-05-15T12:36:00Z">
              <w:r w:rsidRPr="00AF793E">
                <w:rPr>
                  <w:szCs w:val="22"/>
                </w:rPr>
                <w:delText>46</w:delText>
              </w:r>
              <w:r>
                <w:rPr>
                  <w:szCs w:val="22"/>
                </w:rPr>
                <w:delText>,</w:delText>
              </w:r>
              <w:r w:rsidRPr="00AF793E">
                <w:rPr>
                  <w:szCs w:val="22"/>
                </w:rPr>
                <w:delText>6</w:delText>
              </w:r>
              <w:r w:rsidRPr="00AF793E">
                <w:rPr>
                  <w:szCs w:val="22"/>
                  <w:vertAlign w:val="superscript"/>
                </w:rPr>
                <w:delText>a</w:delText>
              </w:r>
            </w:del>
          </w:p>
        </w:tc>
        <w:tc>
          <w:tcPr>
            <w:tcW w:w="2268" w:type="dxa"/>
          </w:tcPr>
          <w:p w14:paraId="3254BD92" w14:textId="57F72E3D" w:rsidR="00644A9B" w:rsidRPr="00B42BF5" w:rsidRDefault="00E453CD" w:rsidP="00644A9B">
            <w:pPr>
              <w:pStyle w:val="gtctablespaceafter"/>
              <w:spacing w:after="0"/>
              <w:jc w:val="center"/>
              <w:rPr>
                <w:del w:id="2141" w:author="AbbVie02no" w:date="2025-05-15T12:36:00Z"/>
                <w:sz w:val="22"/>
                <w:szCs w:val="22"/>
                <w:lang w:val="nb-NO"/>
              </w:rPr>
            </w:pPr>
            <w:del w:id="2142" w:author="AbbVie02no" w:date="2025-05-15T12:36:00Z">
              <w:r w:rsidRPr="00B42BF5">
                <w:rPr>
                  <w:sz w:val="22"/>
                  <w:szCs w:val="22"/>
                  <w:lang w:val="nb-NO"/>
                </w:rPr>
                <w:delText>65,0</w:delText>
              </w:r>
            </w:del>
          </w:p>
        </w:tc>
      </w:tr>
      <w:tr w:rsidR="004644D4" w14:paraId="35BAEB3C" w14:textId="62F50A01" w:rsidTr="00644A9B">
        <w:trPr>
          <w:del w:id="2143" w:author="AbbVie02no" w:date="2025-05-15T12:36:00Z"/>
        </w:trPr>
        <w:tc>
          <w:tcPr>
            <w:tcW w:w="2718" w:type="dxa"/>
          </w:tcPr>
          <w:p w14:paraId="362318C8" w14:textId="145C3FB3" w:rsidR="00644A9B" w:rsidRPr="007A3AEF" w:rsidRDefault="00E453CD" w:rsidP="00644A9B">
            <w:pPr>
              <w:pStyle w:val="gtctablespaceafter"/>
              <w:spacing w:after="0"/>
              <w:rPr>
                <w:del w:id="2144" w:author="AbbVie02no" w:date="2025-05-15T12:36:00Z"/>
                <w:sz w:val="22"/>
                <w:szCs w:val="22"/>
                <w:lang w:val="nb-NO"/>
              </w:rPr>
            </w:pPr>
            <w:del w:id="2145" w:author="AbbVie02no" w:date="2025-05-15T12:36:00Z">
              <w:r w:rsidRPr="007A3AEF">
                <w:rPr>
                  <w:sz w:val="22"/>
                  <w:szCs w:val="22"/>
                  <w:lang w:val="nb-NO"/>
                </w:rPr>
                <w:delText>PGA-F klar/minimal og  ≥</w:delText>
              </w:r>
              <w:r>
                <w:rPr>
                  <w:sz w:val="22"/>
                  <w:szCs w:val="22"/>
                  <w:lang w:val="nb-NO"/>
                </w:rPr>
                <w:delText xml:space="preserve"> </w:delText>
              </w:r>
              <w:r w:rsidRPr="007A3AEF">
                <w:rPr>
                  <w:sz w:val="22"/>
                  <w:szCs w:val="22"/>
                  <w:lang w:val="nb-NO"/>
                </w:rPr>
                <w:delText>2-grad forbedring (%)</w:delText>
              </w:r>
            </w:del>
          </w:p>
        </w:tc>
        <w:tc>
          <w:tcPr>
            <w:tcW w:w="1080" w:type="dxa"/>
          </w:tcPr>
          <w:p w14:paraId="7B7A7D28" w14:textId="4E883BB6" w:rsidR="00644A9B" w:rsidRPr="00B42BF5" w:rsidRDefault="00E453CD" w:rsidP="00644A9B">
            <w:pPr>
              <w:pStyle w:val="gtctablespaceafter"/>
              <w:spacing w:after="0"/>
              <w:jc w:val="center"/>
              <w:rPr>
                <w:del w:id="2146" w:author="AbbVie02no" w:date="2025-05-15T12:36:00Z"/>
                <w:sz w:val="22"/>
                <w:szCs w:val="22"/>
                <w:lang w:val="nb-NO"/>
              </w:rPr>
            </w:pPr>
            <w:del w:id="2147" w:author="AbbVie02no" w:date="2025-05-15T12:36:00Z">
              <w:r w:rsidRPr="00B42BF5">
                <w:rPr>
                  <w:sz w:val="22"/>
                  <w:szCs w:val="22"/>
                  <w:lang w:val="nb-NO"/>
                </w:rPr>
                <w:delText>2,9</w:delText>
              </w:r>
            </w:del>
          </w:p>
        </w:tc>
        <w:tc>
          <w:tcPr>
            <w:tcW w:w="1260" w:type="dxa"/>
          </w:tcPr>
          <w:p w14:paraId="252052D5" w14:textId="3052ED0B" w:rsidR="00644A9B" w:rsidRPr="00B42BF5" w:rsidRDefault="00E453CD" w:rsidP="00644A9B">
            <w:pPr>
              <w:pStyle w:val="gtctablespaceafter"/>
              <w:spacing w:after="0"/>
              <w:jc w:val="center"/>
              <w:rPr>
                <w:del w:id="2148" w:author="AbbVie02no" w:date="2025-05-15T12:36:00Z"/>
                <w:sz w:val="22"/>
                <w:szCs w:val="22"/>
                <w:lang w:val="nb-NO"/>
              </w:rPr>
            </w:pPr>
            <w:del w:id="2149" w:author="AbbVie02no" w:date="2025-05-15T12:36:00Z">
              <w:r w:rsidRPr="00B42BF5">
                <w:rPr>
                  <w:sz w:val="22"/>
                  <w:szCs w:val="22"/>
                  <w:lang w:val="nb-NO"/>
                </w:rPr>
                <w:delText>29,7</w:delText>
              </w:r>
              <w:r w:rsidRPr="00B42BF5">
                <w:rPr>
                  <w:sz w:val="22"/>
                  <w:szCs w:val="22"/>
                  <w:vertAlign w:val="superscript"/>
                  <w:lang w:val="nb-NO"/>
                </w:rPr>
                <w:delText>a</w:delText>
              </w:r>
            </w:del>
          </w:p>
        </w:tc>
        <w:tc>
          <w:tcPr>
            <w:tcW w:w="990" w:type="dxa"/>
          </w:tcPr>
          <w:p w14:paraId="64166D0C" w14:textId="2FFC41FE" w:rsidR="00644A9B" w:rsidRPr="00AF793E" w:rsidRDefault="00E453CD" w:rsidP="00644A9B">
            <w:pPr>
              <w:keepNext/>
              <w:jc w:val="center"/>
              <w:rPr>
                <w:del w:id="2150" w:author="AbbVie02no" w:date="2025-05-15T12:36:00Z"/>
                <w:szCs w:val="22"/>
              </w:rPr>
            </w:pPr>
            <w:del w:id="2151" w:author="AbbVie02no" w:date="2025-05-15T12:36:00Z">
              <w:r w:rsidRPr="00AF793E">
                <w:rPr>
                  <w:szCs w:val="22"/>
                </w:rPr>
                <w:delText>6</w:delText>
              </w:r>
              <w:r>
                <w:rPr>
                  <w:szCs w:val="22"/>
                </w:rPr>
                <w:delText>,</w:delText>
              </w:r>
              <w:r w:rsidRPr="00AF793E">
                <w:rPr>
                  <w:szCs w:val="22"/>
                </w:rPr>
                <w:delText>9</w:delText>
              </w:r>
            </w:del>
          </w:p>
        </w:tc>
        <w:tc>
          <w:tcPr>
            <w:tcW w:w="1260" w:type="dxa"/>
          </w:tcPr>
          <w:p w14:paraId="4B6263FD" w14:textId="7FC7AE81" w:rsidR="00644A9B" w:rsidRPr="00AF793E" w:rsidRDefault="00E453CD" w:rsidP="00644A9B">
            <w:pPr>
              <w:keepNext/>
              <w:jc w:val="center"/>
              <w:rPr>
                <w:del w:id="2152" w:author="AbbVie02no" w:date="2025-05-15T12:36:00Z"/>
                <w:szCs w:val="22"/>
              </w:rPr>
            </w:pPr>
            <w:del w:id="2153" w:author="AbbVie02no" w:date="2025-05-15T12:36:00Z">
              <w:r w:rsidRPr="00AF793E">
                <w:rPr>
                  <w:szCs w:val="22"/>
                </w:rPr>
                <w:delText>48</w:delText>
              </w:r>
              <w:r>
                <w:rPr>
                  <w:szCs w:val="22"/>
                </w:rPr>
                <w:delText>,</w:delText>
              </w:r>
              <w:r w:rsidRPr="00AF793E">
                <w:rPr>
                  <w:szCs w:val="22"/>
                </w:rPr>
                <w:delText>9</w:delText>
              </w:r>
              <w:r w:rsidRPr="00AF793E">
                <w:rPr>
                  <w:szCs w:val="22"/>
                  <w:vertAlign w:val="superscript"/>
                </w:rPr>
                <w:delText>a</w:delText>
              </w:r>
            </w:del>
          </w:p>
        </w:tc>
        <w:tc>
          <w:tcPr>
            <w:tcW w:w="2268" w:type="dxa"/>
          </w:tcPr>
          <w:p w14:paraId="18A2B9B4" w14:textId="353F92F1" w:rsidR="00644A9B" w:rsidRPr="00B42BF5" w:rsidRDefault="00E453CD" w:rsidP="00644A9B">
            <w:pPr>
              <w:pStyle w:val="gtctablespaceafter"/>
              <w:spacing w:after="0"/>
              <w:jc w:val="center"/>
              <w:rPr>
                <w:del w:id="2154" w:author="AbbVie02no" w:date="2025-05-15T12:36:00Z"/>
                <w:sz w:val="22"/>
                <w:szCs w:val="22"/>
                <w:lang w:val="nb-NO"/>
              </w:rPr>
            </w:pPr>
            <w:del w:id="2155" w:author="AbbVie02no" w:date="2025-05-15T12:36:00Z">
              <w:r w:rsidRPr="00B42BF5">
                <w:rPr>
                  <w:sz w:val="22"/>
                  <w:szCs w:val="22"/>
                  <w:lang w:val="nb-NO"/>
                </w:rPr>
                <w:delText>61,3</w:delText>
              </w:r>
            </w:del>
          </w:p>
        </w:tc>
      </w:tr>
      <w:tr w:rsidR="004644D4" w14:paraId="119FA602" w14:textId="2FAE3BC3" w:rsidTr="00644A9B">
        <w:trPr>
          <w:del w:id="2156" w:author="AbbVie02no" w:date="2025-05-15T12:36:00Z"/>
        </w:trPr>
        <w:tc>
          <w:tcPr>
            <w:tcW w:w="2718" w:type="dxa"/>
          </w:tcPr>
          <w:p w14:paraId="5EDF2327" w14:textId="7EC069DE" w:rsidR="00644A9B" w:rsidRPr="007A3AEF" w:rsidRDefault="00E453CD" w:rsidP="00644A9B">
            <w:pPr>
              <w:pStyle w:val="gtctablespaceafter"/>
              <w:spacing w:after="0"/>
              <w:rPr>
                <w:del w:id="2157" w:author="AbbVie02no" w:date="2025-05-15T12:36:00Z"/>
                <w:sz w:val="22"/>
                <w:szCs w:val="22"/>
                <w:lang w:val="nb-NO"/>
              </w:rPr>
            </w:pPr>
            <w:del w:id="2158" w:author="AbbVie02no" w:date="2025-05-15T12:36:00Z">
              <w:r w:rsidRPr="007A3AEF">
                <w:rPr>
                  <w:sz w:val="22"/>
                  <w:szCs w:val="22"/>
                  <w:lang w:val="nb-NO"/>
                </w:rPr>
                <w:delText>Prosentvis endring i total fingernegl NAPSI (%)</w:delText>
              </w:r>
            </w:del>
          </w:p>
        </w:tc>
        <w:tc>
          <w:tcPr>
            <w:tcW w:w="1080" w:type="dxa"/>
          </w:tcPr>
          <w:p w14:paraId="31547E83" w14:textId="73148EDB" w:rsidR="00644A9B" w:rsidRPr="00B42BF5" w:rsidRDefault="00E453CD" w:rsidP="00644A9B">
            <w:pPr>
              <w:pStyle w:val="gtctablespaceafter"/>
              <w:spacing w:after="0"/>
              <w:jc w:val="center"/>
              <w:rPr>
                <w:del w:id="2159" w:author="AbbVie02no" w:date="2025-05-15T12:36:00Z"/>
                <w:sz w:val="22"/>
                <w:szCs w:val="22"/>
                <w:lang w:val="nb-NO"/>
              </w:rPr>
            </w:pPr>
            <w:del w:id="2160" w:author="AbbVie02no" w:date="2025-05-15T12:36:00Z">
              <w:r w:rsidRPr="00B42BF5">
                <w:rPr>
                  <w:sz w:val="22"/>
                  <w:szCs w:val="22"/>
                  <w:lang w:val="nb-NO"/>
                </w:rPr>
                <w:delText>-7,8</w:delText>
              </w:r>
            </w:del>
          </w:p>
        </w:tc>
        <w:tc>
          <w:tcPr>
            <w:tcW w:w="1260" w:type="dxa"/>
          </w:tcPr>
          <w:p w14:paraId="11863E49" w14:textId="532B4540" w:rsidR="00644A9B" w:rsidRPr="00B42BF5" w:rsidRDefault="00E453CD" w:rsidP="00644A9B">
            <w:pPr>
              <w:pStyle w:val="gtctablespaceafter"/>
              <w:spacing w:after="0"/>
              <w:jc w:val="center"/>
              <w:rPr>
                <w:del w:id="2161" w:author="AbbVie02no" w:date="2025-05-15T12:36:00Z"/>
                <w:sz w:val="22"/>
                <w:szCs w:val="22"/>
                <w:lang w:val="nb-NO"/>
              </w:rPr>
            </w:pPr>
            <w:del w:id="2162" w:author="AbbVie02no" w:date="2025-05-15T12:36:00Z">
              <w:r w:rsidRPr="00B42BF5">
                <w:rPr>
                  <w:sz w:val="22"/>
                  <w:szCs w:val="22"/>
                  <w:lang w:val="nb-NO"/>
                </w:rPr>
                <w:delText>-44,2</w:delText>
              </w:r>
              <w:r w:rsidRPr="00B42BF5">
                <w:rPr>
                  <w:sz w:val="22"/>
                  <w:szCs w:val="22"/>
                  <w:vertAlign w:val="superscript"/>
                  <w:lang w:val="nb-NO"/>
                </w:rPr>
                <w:delText xml:space="preserve"> a</w:delText>
              </w:r>
            </w:del>
          </w:p>
        </w:tc>
        <w:tc>
          <w:tcPr>
            <w:tcW w:w="990" w:type="dxa"/>
          </w:tcPr>
          <w:p w14:paraId="66103010" w14:textId="48EC2773" w:rsidR="00644A9B" w:rsidRPr="00AF793E" w:rsidRDefault="00E453CD" w:rsidP="00644A9B">
            <w:pPr>
              <w:keepNext/>
              <w:jc w:val="center"/>
              <w:rPr>
                <w:del w:id="2163" w:author="AbbVie02no" w:date="2025-05-15T12:36:00Z"/>
                <w:szCs w:val="22"/>
              </w:rPr>
            </w:pPr>
            <w:del w:id="2164" w:author="AbbVie02no" w:date="2025-05-15T12:36:00Z">
              <w:r w:rsidRPr="00AF793E">
                <w:rPr>
                  <w:szCs w:val="22"/>
                </w:rPr>
                <w:delText>-11</w:delText>
              </w:r>
              <w:r>
                <w:rPr>
                  <w:szCs w:val="22"/>
                </w:rPr>
                <w:delText>,</w:delText>
              </w:r>
              <w:r w:rsidRPr="00AF793E">
                <w:rPr>
                  <w:szCs w:val="22"/>
                </w:rPr>
                <w:delText>5</w:delText>
              </w:r>
            </w:del>
          </w:p>
        </w:tc>
        <w:tc>
          <w:tcPr>
            <w:tcW w:w="1260" w:type="dxa"/>
          </w:tcPr>
          <w:p w14:paraId="1610C2D6" w14:textId="7807EFB3" w:rsidR="00644A9B" w:rsidRPr="00AF793E" w:rsidRDefault="00E453CD" w:rsidP="00644A9B">
            <w:pPr>
              <w:keepNext/>
              <w:jc w:val="center"/>
              <w:rPr>
                <w:del w:id="2165" w:author="AbbVie02no" w:date="2025-05-15T12:36:00Z"/>
                <w:szCs w:val="22"/>
              </w:rPr>
            </w:pPr>
            <w:del w:id="2166" w:author="AbbVie02no" w:date="2025-05-15T12:36:00Z">
              <w:r w:rsidRPr="00AF793E">
                <w:rPr>
                  <w:szCs w:val="22"/>
                </w:rPr>
                <w:delText>-56</w:delText>
              </w:r>
              <w:r>
                <w:rPr>
                  <w:szCs w:val="22"/>
                </w:rPr>
                <w:delText>,</w:delText>
              </w:r>
              <w:r w:rsidRPr="00AF793E">
                <w:rPr>
                  <w:szCs w:val="22"/>
                </w:rPr>
                <w:delText>2</w:delText>
              </w:r>
              <w:r w:rsidRPr="00AF793E">
                <w:rPr>
                  <w:szCs w:val="22"/>
                  <w:vertAlign w:val="superscript"/>
                </w:rPr>
                <w:delText>a</w:delText>
              </w:r>
            </w:del>
          </w:p>
        </w:tc>
        <w:tc>
          <w:tcPr>
            <w:tcW w:w="2268" w:type="dxa"/>
          </w:tcPr>
          <w:p w14:paraId="1C0F4A3C" w14:textId="5E59A225" w:rsidR="00644A9B" w:rsidRPr="00B42BF5" w:rsidRDefault="00E453CD" w:rsidP="00644A9B">
            <w:pPr>
              <w:pStyle w:val="gtctablespaceafter"/>
              <w:spacing w:after="0"/>
              <w:jc w:val="center"/>
              <w:rPr>
                <w:del w:id="2167" w:author="AbbVie02no" w:date="2025-05-15T12:36:00Z"/>
                <w:sz w:val="22"/>
                <w:szCs w:val="22"/>
                <w:lang w:val="nb-NO"/>
              </w:rPr>
            </w:pPr>
            <w:del w:id="2168" w:author="AbbVie02no" w:date="2025-05-15T12:36:00Z">
              <w:r w:rsidRPr="00B42BF5">
                <w:rPr>
                  <w:sz w:val="22"/>
                  <w:szCs w:val="22"/>
                  <w:lang w:val="nb-NO"/>
                </w:rPr>
                <w:delText>-72,2</w:delText>
              </w:r>
            </w:del>
          </w:p>
        </w:tc>
      </w:tr>
      <w:tr w:rsidR="004644D4" w14:paraId="6BD74580" w14:textId="0EDA6F05" w:rsidTr="00644A9B">
        <w:trPr>
          <w:del w:id="2169" w:author="AbbVie02no" w:date="2025-05-15T12:36:00Z"/>
        </w:trPr>
        <w:tc>
          <w:tcPr>
            <w:tcW w:w="9576" w:type="dxa"/>
            <w:gridSpan w:val="6"/>
          </w:tcPr>
          <w:p w14:paraId="34B055C5" w14:textId="784F220E" w:rsidR="00644A9B" w:rsidRPr="00E04B2A" w:rsidRDefault="00E453CD" w:rsidP="00644A9B">
            <w:pPr>
              <w:pStyle w:val="gtctablespaceafter"/>
              <w:spacing w:after="0"/>
              <w:rPr>
                <w:del w:id="2170" w:author="AbbVie02no" w:date="2025-05-15T12:36:00Z"/>
                <w:sz w:val="22"/>
                <w:szCs w:val="22"/>
                <w:lang w:val="pt-PT"/>
              </w:rPr>
            </w:pPr>
            <w:del w:id="2171" w:author="AbbVie02no" w:date="2025-05-15T12:36:00Z">
              <w:r w:rsidRPr="00E04B2A">
                <w:rPr>
                  <w:sz w:val="22"/>
                  <w:szCs w:val="22"/>
                  <w:vertAlign w:val="superscript"/>
                  <w:lang w:val="pt-PT"/>
                </w:rPr>
                <w:delText>a</w:delText>
              </w:r>
              <w:r w:rsidRPr="00E04B2A">
                <w:rPr>
                  <w:sz w:val="22"/>
                  <w:szCs w:val="22"/>
                  <w:lang w:val="pt-PT"/>
                </w:rPr>
                <w:delText xml:space="preserve"> p &lt; 0,001, Humira </w:delText>
              </w:r>
              <w:r w:rsidRPr="00E04B2A">
                <w:rPr>
                  <w:i/>
                  <w:sz w:val="22"/>
                  <w:szCs w:val="22"/>
                  <w:lang w:val="pt-PT"/>
                </w:rPr>
                <w:delText>vs.</w:delText>
              </w:r>
              <w:r w:rsidRPr="00E04B2A">
                <w:rPr>
                  <w:sz w:val="22"/>
                  <w:szCs w:val="22"/>
                  <w:lang w:val="pt-PT"/>
                </w:rPr>
                <w:delText xml:space="preserve"> placebo </w:delText>
              </w:r>
            </w:del>
          </w:p>
        </w:tc>
      </w:tr>
    </w:tbl>
    <w:p w14:paraId="3C921EA9" w14:textId="6CE1D713" w:rsidR="00644A9B" w:rsidRPr="00E04B2A" w:rsidRDefault="00644A9B" w:rsidP="00644A9B">
      <w:pPr>
        <w:rPr>
          <w:del w:id="2172" w:author="AbbVie02no" w:date="2025-05-15T12:36:00Z"/>
          <w:sz w:val="22"/>
          <w:szCs w:val="22"/>
          <w:lang w:val="pt-PT"/>
        </w:rPr>
      </w:pPr>
    </w:p>
    <w:p w14:paraId="4CAF073F" w14:textId="475D26E8" w:rsidR="001E5448" w:rsidRDefault="00E453CD" w:rsidP="00AF70AD">
      <w:pPr>
        <w:keepNext/>
        <w:autoSpaceDE w:val="0"/>
        <w:autoSpaceDN w:val="0"/>
        <w:adjustRightInd w:val="0"/>
        <w:rPr>
          <w:del w:id="2173" w:author="AbbVie02no" w:date="2025-05-15T12:36:00Z"/>
          <w:sz w:val="22"/>
          <w:szCs w:val="22"/>
        </w:rPr>
      </w:pPr>
      <w:del w:id="2174" w:author="AbbVie02no" w:date="2025-05-15T12:36:00Z">
        <w:r w:rsidRPr="007A3AEF">
          <w:rPr>
            <w:sz w:val="22"/>
            <w:szCs w:val="22"/>
          </w:rPr>
          <w:delText>Pasienter behandlet med Humira viste ved uke 26</w:delText>
        </w:r>
        <w:r w:rsidRPr="00AF793E">
          <w:rPr>
            <w:sz w:val="22"/>
            <w:szCs w:val="22"/>
          </w:rPr>
          <w:delText xml:space="preserve"> </w:delText>
        </w:r>
        <w:r w:rsidRPr="007A3AEF">
          <w:rPr>
            <w:sz w:val="22"/>
            <w:szCs w:val="22"/>
          </w:rPr>
          <w:delText>statistisk signifikant</w:delText>
        </w:r>
        <w:r w:rsidRPr="00AF793E">
          <w:rPr>
            <w:sz w:val="22"/>
            <w:szCs w:val="22"/>
          </w:rPr>
          <w:delText xml:space="preserve">e forbedringer sammenlignet med pasienter behandlet med placebo </w:delText>
        </w:r>
        <w:r w:rsidRPr="00AD50BB">
          <w:rPr>
            <w:sz w:val="22"/>
            <w:szCs w:val="22"/>
          </w:rPr>
          <w:delText>i DLQI.</w:delText>
        </w:r>
      </w:del>
    </w:p>
    <w:p w14:paraId="71B5CB28" w14:textId="5BAA6B25" w:rsidR="001E5448" w:rsidRDefault="001E5448" w:rsidP="00AF70AD">
      <w:pPr>
        <w:keepNext/>
        <w:autoSpaceDE w:val="0"/>
        <w:autoSpaceDN w:val="0"/>
        <w:adjustRightInd w:val="0"/>
        <w:rPr>
          <w:del w:id="2175" w:author="AbbVie02no" w:date="2025-05-15T12:36:00Z"/>
          <w:sz w:val="22"/>
          <w:szCs w:val="22"/>
        </w:rPr>
      </w:pPr>
    </w:p>
    <w:p w14:paraId="663FC47A" w14:textId="2BA67D92" w:rsidR="00813CF4" w:rsidRPr="009C5EFD" w:rsidRDefault="00E453CD" w:rsidP="00AF70AD">
      <w:pPr>
        <w:keepNext/>
        <w:autoSpaceDE w:val="0"/>
        <w:autoSpaceDN w:val="0"/>
        <w:adjustRightInd w:val="0"/>
        <w:rPr>
          <w:del w:id="2176" w:author="AbbVie02no" w:date="2025-05-15T12:36:00Z"/>
          <w:rFonts w:eastAsia="TimesNewRoman"/>
          <w:i/>
          <w:sz w:val="22"/>
          <w:szCs w:val="22"/>
        </w:rPr>
      </w:pPr>
      <w:del w:id="2177" w:author="AbbVie02no" w:date="2025-05-15T12:36:00Z">
        <w:r w:rsidRPr="009C5EFD">
          <w:rPr>
            <w:rFonts w:eastAsia="TimesNewRoman"/>
            <w:i/>
            <w:sz w:val="22"/>
            <w:szCs w:val="22"/>
          </w:rPr>
          <w:delText>Hidrosadenitt</w:delText>
        </w:r>
        <w:r>
          <w:rPr>
            <w:rFonts w:eastAsia="TimesNewRoman"/>
            <w:i/>
            <w:sz w:val="22"/>
            <w:szCs w:val="22"/>
          </w:rPr>
          <w:delText xml:space="preserve"> hos voksne</w:delText>
        </w:r>
      </w:del>
    </w:p>
    <w:p w14:paraId="37615B68" w14:textId="2D2C1D36" w:rsidR="00813CF4" w:rsidRPr="009C5EFD" w:rsidRDefault="00813CF4" w:rsidP="00AF70AD">
      <w:pPr>
        <w:keepNext/>
        <w:autoSpaceDE w:val="0"/>
        <w:autoSpaceDN w:val="0"/>
        <w:adjustRightInd w:val="0"/>
        <w:rPr>
          <w:del w:id="2178" w:author="AbbVie02no" w:date="2025-05-15T12:36:00Z"/>
          <w:rFonts w:eastAsia="TimesNewRoman"/>
          <w:sz w:val="22"/>
          <w:szCs w:val="22"/>
        </w:rPr>
      </w:pPr>
    </w:p>
    <w:p w14:paraId="2CFC6B84" w14:textId="5777CB25" w:rsidR="00813CF4" w:rsidRPr="009C5EFD" w:rsidRDefault="00E453CD" w:rsidP="00813CF4">
      <w:pPr>
        <w:autoSpaceDE w:val="0"/>
        <w:autoSpaceDN w:val="0"/>
        <w:adjustRightInd w:val="0"/>
        <w:rPr>
          <w:del w:id="2179" w:author="AbbVie02no" w:date="2025-05-15T12:36:00Z"/>
          <w:rFonts w:eastAsia="TimesNewRoman"/>
          <w:sz w:val="22"/>
          <w:szCs w:val="22"/>
        </w:rPr>
      </w:pPr>
      <w:del w:id="2180" w:author="AbbVie02no" w:date="2025-05-15T12:36:00Z">
        <w:r w:rsidRPr="009C5EFD">
          <w:rPr>
            <w:rFonts w:eastAsia="TimesNewRoman"/>
            <w:sz w:val="22"/>
            <w:szCs w:val="22"/>
          </w:rPr>
          <w:delText xml:space="preserve">Sikkerhet og effekt av Humira ble vurdert i randomiserte, dobbeltblinde, placebo-kontrollerte studier og en </w:delText>
        </w:r>
        <w:r>
          <w:rPr>
            <w:rFonts w:eastAsia="TimesNewRoman"/>
            <w:sz w:val="22"/>
            <w:szCs w:val="22"/>
          </w:rPr>
          <w:delText>åpen</w:delText>
        </w:r>
        <w:r w:rsidRPr="009C5EFD">
          <w:rPr>
            <w:rFonts w:eastAsia="TimesNewRoman"/>
            <w:sz w:val="22"/>
            <w:szCs w:val="22"/>
          </w:rPr>
          <w:delText xml:space="preserve"> forlengelsesstudie hos voksne pasienter med moderat til alvorlig hidrosadenitt (HS) som var intolerante, hadde en kontraindikasjon eller en utilstrekkelig respons </w:delText>
        </w:r>
        <w:r>
          <w:rPr>
            <w:rFonts w:eastAsia="TimesNewRoman"/>
            <w:sz w:val="22"/>
            <w:szCs w:val="22"/>
          </w:rPr>
          <w:delText>over</w:delText>
        </w:r>
        <w:r w:rsidRPr="009C5EFD">
          <w:rPr>
            <w:rFonts w:eastAsia="TimesNewRoman"/>
            <w:sz w:val="22"/>
            <w:szCs w:val="22"/>
          </w:rPr>
          <w:delText xml:space="preserve"> minst en tre måneders </w:delText>
        </w:r>
        <w:r w:rsidR="006528F9">
          <w:rPr>
            <w:rFonts w:eastAsia="TimesNewRoman"/>
            <w:sz w:val="22"/>
            <w:szCs w:val="22"/>
          </w:rPr>
          <w:delText>behandlingsperiode</w:delText>
        </w:r>
        <w:r w:rsidR="006528F9" w:rsidRPr="009C5EFD">
          <w:rPr>
            <w:rFonts w:eastAsia="TimesNewRoman"/>
            <w:sz w:val="22"/>
            <w:szCs w:val="22"/>
          </w:rPr>
          <w:delText xml:space="preserve"> </w:delText>
        </w:r>
        <w:r w:rsidR="006528F9">
          <w:rPr>
            <w:rFonts w:eastAsia="TimesNewRoman"/>
            <w:sz w:val="22"/>
            <w:szCs w:val="22"/>
          </w:rPr>
          <w:delText>med</w:delText>
        </w:r>
        <w:r w:rsidRPr="009C5EFD">
          <w:rPr>
            <w:rFonts w:eastAsia="TimesNewRoman"/>
            <w:sz w:val="22"/>
            <w:szCs w:val="22"/>
          </w:rPr>
          <w:delText xml:space="preserve"> systemisk antibiotikabehandling. Pasientene i HS-I og HS-II hadde sykdomsgrad «Hurley Stage» II eller III med minst 3 abscesser eller inflammatoriske knuter/byller.</w:delText>
        </w:r>
      </w:del>
    </w:p>
    <w:p w14:paraId="6AB56C69" w14:textId="29B93B0F" w:rsidR="00813CF4" w:rsidRPr="009C5EFD" w:rsidRDefault="00813CF4" w:rsidP="00813CF4">
      <w:pPr>
        <w:rPr>
          <w:del w:id="2181" w:author="AbbVie02no" w:date="2025-05-15T12:36:00Z"/>
          <w:sz w:val="22"/>
          <w:szCs w:val="22"/>
          <w:u w:val="single"/>
        </w:rPr>
      </w:pPr>
    </w:p>
    <w:p w14:paraId="4D0CE098" w14:textId="7A13A5A7" w:rsidR="00813CF4" w:rsidRPr="009C5EFD" w:rsidRDefault="00E453CD" w:rsidP="00813CF4">
      <w:pPr>
        <w:autoSpaceDE w:val="0"/>
        <w:autoSpaceDN w:val="0"/>
        <w:adjustRightInd w:val="0"/>
        <w:rPr>
          <w:del w:id="2182" w:author="AbbVie02no" w:date="2025-05-15T12:36:00Z"/>
          <w:rFonts w:eastAsia="TimesNewRoman"/>
          <w:sz w:val="22"/>
          <w:szCs w:val="22"/>
        </w:rPr>
      </w:pPr>
      <w:del w:id="2183" w:author="AbbVie02no" w:date="2025-05-15T12:36:00Z">
        <w:r w:rsidRPr="009C5EFD">
          <w:rPr>
            <w:rFonts w:eastAsia="TimesNewRoman"/>
            <w:sz w:val="22"/>
            <w:szCs w:val="22"/>
          </w:rPr>
          <w:delText xml:space="preserve">Studie HS-I (PIONEER I) undersøkte 307 pasienter innenfor to behandlingsperioder. I periode A fikk pasientene placebo eller Humira med en startdose på 160 mg ved uke 0, 80 mg ved uke 2 og 40 mg hver uke ved uke 4 til uke 11. Samtidig behandling med antibiotika ble ikke tillatt under studien. Etter 12 uker behandling ble pasientene som fikk Humira i periode A re-randomisert i periode B til </w:delText>
        </w:r>
        <w:r>
          <w:rPr>
            <w:rFonts w:eastAsia="TimesNewRoman"/>
            <w:sz w:val="22"/>
            <w:szCs w:val="22"/>
          </w:rPr>
          <w:delText>é</w:delText>
        </w:r>
        <w:r w:rsidRPr="009C5EFD">
          <w:rPr>
            <w:rFonts w:eastAsia="TimesNewRoman"/>
            <w:sz w:val="22"/>
            <w:szCs w:val="22"/>
          </w:rPr>
          <w:delText>n av tre behandlingsgrupper (40 mg Humira hver uke, 40 mg Humira annenhver uke, eller placebo fra uke 12 til uke 35). Pasientene som fikk placebo i periode A ble gitt Humira 40 mg hver uke i periode B.</w:delText>
        </w:r>
      </w:del>
    </w:p>
    <w:p w14:paraId="02110901" w14:textId="5EC6DF4B" w:rsidR="00813CF4" w:rsidRPr="009C5EFD" w:rsidRDefault="00813CF4" w:rsidP="00813CF4">
      <w:pPr>
        <w:autoSpaceDE w:val="0"/>
        <w:autoSpaceDN w:val="0"/>
        <w:adjustRightInd w:val="0"/>
        <w:rPr>
          <w:del w:id="2184" w:author="AbbVie02no" w:date="2025-05-15T12:36:00Z"/>
          <w:rFonts w:eastAsia="TimesNewRoman"/>
          <w:sz w:val="22"/>
          <w:szCs w:val="22"/>
        </w:rPr>
      </w:pPr>
    </w:p>
    <w:p w14:paraId="62932069" w14:textId="6717C3ED" w:rsidR="00813CF4" w:rsidRPr="009C5EFD" w:rsidRDefault="00E453CD" w:rsidP="00813CF4">
      <w:pPr>
        <w:autoSpaceDE w:val="0"/>
        <w:autoSpaceDN w:val="0"/>
        <w:adjustRightInd w:val="0"/>
        <w:rPr>
          <w:del w:id="2185" w:author="AbbVie02no" w:date="2025-05-15T12:36:00Z"/>
          <w:rFonts w:eastAsia="TimesNewRoman"/>
          <w:sz w:val="22"/>
          <w:szCs w:val="22"/>
        </w:rPr>
      </w:pPr>
      <w:del w:id="2186" w:author="AbbVie02no" w:date="2025-05-15T12:36:00Z">
        <w:r w:rsidRPr="009C5EFD">
          <w:rPr>
            <w:rFonts w:eastAsia="TimesNewRoman"/>
            <w:sz w:val="22"/>
            <w:szCs w:val="22"/>
          </w:rPr>
          <w:lastRenderedPageBreak/>
          <w:delText xml:space="preserve">Studie HS-II (PIONEER II) undersøkte 326 pasienter innenfor to behandlingsperioder. I periode A fikk pasientene placebo eller Humira med en startdose på 160 mg ved uke 0, 80 mg ved uke 2 og 40 mg hver uke ved uke 4 til uke 11. I løpet av studien fortsatte 19,3 % av pasientene med samtidig oral antiobiotikabehandling. Etter 12 ukers behandling ble pasientene som fikk Humira i periode A re-randomisert i periode B til </w:delText>
        </w:r>
        <w:r>
          <w:rPr>
            <w:rFonts w:eastAsia="TimesNewRoman"/>
            <w:sz w:val="22"/>
            <w:szCs w:val="22"/>
          </w:rPr>
          <w:delText>é</w:delText>
        </w:r>
        <w:r w:rsidRPr="009C5EFD">
          <w:rPr>
            <w:rFonts w:eastAsia="TimesNewRoman"/>
            <w:sz w:val="22"/>
            <w:szCs w:val="22"/>
          </w:rPr>
          <w:delText>n av tre behandlingsgrupper (40 mg Humira hver uke, 40 mg Humira annenhver uke, eller placebo fra uke 12 til uke 35). Pasientene som fikk placebo i periode A ble gitt placebo i periode B.</w:delText>
        </w:r>
      </w:del>
    </w:p>
    <w:p w14:paraId="414F4D10" w14:textId="15C45083" w:rsidR="00813CF4" w:rsidRPr="009C5EFD" w:rsidRDefault="00813CF4" w:rsidP="00813CF4">
      <w:pPr>
        <w:autoSpaceDE w:val="0"/>
        <w:autoSpaceDN w:val="0"/>
        <w:adjustRightInd w:val="0"/>
        <w:rPr>
          <w:del w:id="2187" w:author="AbbVie02no" w:date="2025-05-15T12:36:00Z"/>
          <w:rFonts w:eastAsia="TimesNewRoman"/>
          <w:sz w:val="22"/>
          <w:szCs w:val="22"/>
        </w:rPr>
      </w:pPr>
    </w:p>
    <w:p w14:paraId="1A4C4564" w14:textId="04A1B8BF" w:rsidR="00813CF4" w:rsidRPr="009C5EFD" w:rsidRDefault="00E453CD" w:rsidP="00813CF4">
      <w:pPr>
        <w:autoSpaceDE w:val="0"/>
        <w:autoSpaceDN w:val="0"/>
        <w:adjustRightInd w:val="0"/>
        <w:rPr>
          <w:del w:id="2188" w:author="AbbVie02no" w:date="2025-05-15T12:36:00Z"/>
          <w:rFonts w:eastAsia="TimesNewRoman"/>
          <w:sz w:val="22"/>
          <w:szCs w:val="22"/>
        </w:rPr>
      </w:pPr>
      <w:del w:id="2189" w:author="AbbVie02no" w:date="2025-05-15T12:36:00Z">
        <w:r w:rsidRPr="009C5EFD">
          <w:rPr>
            <w:rFonts w:eastAsia="TimesNewRoman"/>
            <w:sz w:val="22"/>
            <w:szCs w:val="22"/>
          </w:rPr>
          <w:delText xml:space="preserve">Pasientene som deltok i studiene HS-I og HS-II var kvalifisert til å være med i en </w:delText>
        </w:r>
        <w:r>
          <w:rPr>
            <w:rFonts w:eastAsia="TimesNewRoman"/>
            <w:sz w:val="22"/>
            <w:szCs w:val="22"/>
          </w:rPr>
          <w:delText>åpen</w:delText>
        </w:r>
        <w:r w:rsidRPr="009C5EFD">
          <w:rPr>
            <w:rFonts w:eastAsia="TimesNewRoman"/>
            <w:sz w:val="22"/>
            <w:szCs w:val="22"/>
          </w:rPr>
          <w:delText xml:space="preserve"> forlengelsesstudie hvor 40 mg Humira ble administrert hver uke. </w:delText>
        </w:r>
        <w:r w:rsidR="00315255">
          <w:rPr>
            <w:rFonts w:eastAsia="TimesNewRoman"/>
            <w:sz w:val="22"/>
            <w:szCs w:val="22"/>
          </w:rPr>
          <w:delText>Gjennomsnittlig eksponering i alle adalimumab</w:delText>
        </w:r>
        <w:r w:rsidR="004120E2">
          <w:rPr>
            <w:rFonts w:eastAsia="TimesNewRoman"/>
            <w:sz w:val="22"/>
            <w:szCs w:val="22"/>
          </w:rPr>
          <w:delText>-</w:delText>
        </w:r>
        <w:r w:rsidR="00315255">
          <w:rPr>
            <w:rFonts w:eastAsia="TimesNewRoman"/>
            <w:sz w:val="22"/>
            <w:szCs w:val="22"/>
          </w:rPr>
          <w:delText xml:space="preserve">populasjoner var 762 dager. </w:delText>
        </w:r>
        <w:r w:rsidRPr="009C5EFD">
          <w:rPr>
            <w:rFonts w:eastAsia="TimesNewRoman"/>
            <w:sz w:val="22"/>
            <w:szCs w:val="22"/>
          </w:rPr>
          <w:delText>Pasientene brukte topikal antiseptisk vask daglig gjennom alle de tre studiene.</w:delText>
        </w:r>
      </w:del>
    </w:p>
    <w:p w14:paraId="7B0EDA5A" w14:textId="4B393D4B" w:rsidR="00813CF4" w:rsidRPr="009C5EFD" w:rsidRDefault="00813CF4" w:rsidP="00813CF4">
      <w:pPr>
        <w:autoSpaceDE w:val="0"/>
        <w:autoSpaceDN w:val="0"/>
        <w:adjustRightInd w:val="0"/>
        <w:rPr>
          <w:del w:id="2190" w:author="AbbVie02no" w:date="2025-05-15T12:36:00Z"/>
          <w:rFonts w:eastAsia="TimesNewRoman"/>
          <w:sz w:val="22"/>
          <w:szCs w:val="22"/>
        </w:rPr>
      </w:pPr>
    </w:p>
    <w:p w14:paraId="03DBA469" w14:textId="5DE91E7F" w:rsidR="00813CF4" w:rsidRPr="001F5D4B" w:rsidRDefault="00E453CD" w:rsidP="00776A84">
      <w:pPr>
        <w:keepNext/>
        <w:autoSpaceDE w:val="0"/>
        <w:autoSpaceDN w:val="0"/>
        <w:adjustRightInd w:val="0"/>
        <w:rPr>
          <w:del w:id="2191" w:author="AbbVie02no" w:date="2025-05-15T12:36:00Z"/>
          <w:rFonts w:eastAsia="TimesNewRoman"/>
          <w:i/>
          <w:sz w:val="22"/>
          <w:szCs w:val="22"/>
          <w:u w:val="single"/>
        </w:rPr>
      </w:pPr>
      <w:del w:id="2192" w:author="AbbVie02no" w:date="2025-05-15T12:36:00Z">
        <w:r w:rsidRPr="001F5D4B">
          <w:rPr>
            <w:rFonts w:eastAsia="TimesNewRoman"/>
            <w:i/>
            <w:sz w:val="22"/>
            <w:szCs w:val="22"/>
            <w:u w:val="single"/>
          </w:rPr>
          <w:delText>Klinisk respons</w:delText>
        </w:r>
      </w:del>
    </w:p>
    <w:p w14:paraId="1C3F1169" w14:textId="5343CBDF" w:rsidR="00813CF4" w:rsidRPr="007F67EE" w:rsidRDefault="00813CF4" w:rsidP="00776A84">
      <w:pPr>
        <w:keepNext/>
        <w:autoSpaceDE w:val="0"/>
        <w:autoSpaceDN w:val="0"/>
        <w:adjustRightInd w:val="0"/>
        <w:rPr>
          <w:del w:id="2193" w:author="AbbVie02no" w:date="2025-05-15T12:36:00Z"/>
          <w:rFonts w:eastAsia="TimesNewRoman"/>
          <w:sz w:val="22"/>
          <w:szCs w:val="22"/>
        </w:rPr>
      </w:pPr>
    </w:p>
    <w:p w14:paraId="3A8BA4A3" w14:textId="005207E6" w:rsidR="00813CF4" w:rsidRPr="009C5EFD" w:rsidRDefault="00E453CD" w:rsidP="00813CF4">
      <w:pPr>
        <w:autoSpaceDE w:val="0"/>
        <w:autoSpaceDN w:val="0"/>
        <w:adjustRightInd w:val="0"/>
        <w:rPr>
          <w:del w:id="2194" w:author="AbbVie02no" w:date="2025-05-15T12:36:00Z"/>
          <w:rFonts w:eastAsia="TimesNewRoman"/>
          <w:sz w:val="22"/>
          <w:szCs w:val="22"/>
        </w:rPr>
      </w:pPr>
      <w:del w:id="2195" w:author="AbbVie02no" w:date="2025-05-15T12:36:00Z">
        <w:r w:rsidRPr="00193D76">
          <w:rPr>
            <w:rFonts w:eastAsia="TimesNewRoman"/>
            <w:sz w:val="22"/>
            <w:szCs w:val="22"/>
          </w:rPr>
          <w:delText>Reduksjon av inflammatoriske sår og hindring av forverrelse av abscesser og rennende fistler ble undersøkt ved å bruke «</w:delText>
        </w:r>
        <w:r w:rsidRPr="003A3FDB">
          <w:rPr>
            <w:rFonts w:eastAsia="TimesNewRoman"/>
            <w:sz w:val="22"/>
            <w:szCs w:val="22"/>
          </w:rPr>
          <w:delText>Hidradenitis Suppurativa</w:delText>
        </w:r>
        <w:r w:rsidRPr="009C5EFD">
          <w:rPr>
            <w:rFonts w:eastAsia="TimesNewRoman"/>
            <w:sz w:val="22"/>
            <w:szCs w:val="22"/>
          </w:rPr>
          <w:delText xml:space="preserve"> Clinical Response» (HiSCR; </w:delText>
        </w:r>
        <w:r>
          <w:rPr>
            <w:rFonts w:eastAsia="TimesNewRoman"/>
            <w:sz w:val="22"/>
            <w:szCs w:val="22"/>
          </w:rPr>
          <w:delText xml:space="preserve">minst en </w:delText>
        </w:r>
        <w:r w:rsidRPr="009C5EFD">
          <w:rPr>
            <w:rFonts w:eastAsia="TimesNewRoman"/>
            <w:sz w:val="22"/>
            <w:szCs w:val="22"/>
          </w:rPr>
          <w:delText>50 % reduksjon i total antall abscesser og inflammatoriske byller/knuter uten økning i antall abscesser og ingen økning av antall rennende fistler i forhold til start). Reduksjon i HS-relaterte hudsmerter ble undersøkt ved bruk av «Numerisk Rating Scale» hos pasienter som gikk inn i studien med en startscore på 3 eller høyere på en 11-punkts skala.</w:delText>
        </w:r>
      </w:del>
    </w:p>
    <w:p w14:paraId="1A37E399" w14:textId="6605B248" w:rsidR="00813CF4" w:rsidRPr="009C5EFD" w:rsidRDefault="00813CF4" w:rsidP="00813CF4">
      <w:pPr>
        <w:autoSpaceDE w:val="0"/>
        <w:autoSpaceDN w:val="0"/>
        <w:adjustRightInd w:val="0"/>
        <w:rPr>
          <w:del w:id="2196" w:author="AbbVie02no" w:date="2025-05-15T12:36:00Z"/>
          <w:rFonts w:eastAsia="TimesNewRoman"/>
          <w:sz w:val="22"/>
          <w:szCs w:val="22"/>
        </w:rPr>
      </w:pPr>
    </w:p>
    <w:p w14:paraId="6D232B03" w14:textId="0B2C62DE" w:rsidR="00813CF4" w:rsidRPr="009C5EFD" w:rsidRDefault="00E453CD" w:rsidP="00813CF4">
      <w:pPr>
        <w:autoSpaceDE w:val="0"/>
        <w:autoSpaceDN w:val="0"/>
        <w:adjustRightInd w:val="0"/>
        <w:rPr>
          <w:del w:id="2197" w:author="AbbVie02no" w:date="2025-05-15T12:36:00Z"/>
          <w:rFonts w:eastAsia="TimesNewRoman"/>
          <w:sz w:val="22"/>
          <w:szCs w:val="22"/>
        </w:rPr>
      </w:pPr>
      <w:del w:id="2198" w:author="AbbVie02no" w:date="2025-05-15T12:36:00Z">
        <w:r w:rsidRPr="009C5EFD">
          <w:rPr>
            <w:rFonts w:eastAsia="TimesNewRoman"/>
            <w:sz w:val="22"/>
            <w:szCs w:val="22"/>
          </w:rPr>
          <w:delText>Ved uke 12 oppnådde en signifikant høyere andel pasienter behandlet med Humira HiSCR versus de behandlet med placebo. Ved uke 12 opplevde en signifikant høyere andel pasienter i studien HS-II en klinisk relevant reduksjon av HS-relatert</w:delText>
        </w:r>
        <w:r>
          <w:rPr>
            <w:rFonts w:eastAsia="TimesNewRoman"/>
            <w:sz w:val="22"/>
            <w:szCs w:val="22"/>
          </w:rPr>
          <w:delText>e</w:delText>
        </w:r>
        <w:r w:rsidRPr="009C5EFD">
          <w:rPr>
            <w:rFonts w:eastAsia="TimesNewRoman"/>
            <w:sz w:val="22"/>
            <w:szCs w:val="22"/>
          </w:rPr>
          <w:delText xml:space="preserve"> hudsmerte</w:delText>
        </w:r>
        <w:r>
          <w:rPr>
            <w:rFonts w:eastAsia="TimesNewRoman"/>
            <w:sz w:val="22"/>
            <w:szCs w:val="22"/>
          </w:rPr>
          <w:delText>r</w:delText>
        </w:r>
        <w:r w:rsidR="004806E7">
          <w:rPr>
            <w:rFonts w:eastAsia="TimesNewRoman"/>
            <w:sz w:val="22"/>
            <w:szCs w:val="22"/>
          </w:rPr>
          <w:delText xml:space="preserve"> (se tabell </w:delText>
        </w:r>
        <w:r w:rsidR="00460F41">
          <w:rPr>
            <w:rFonts w:eastAsia="TimesNewRoman"/>
            <w:sz w:val="22"/>
            <w:szCs w:val="22"/>
          </w:rPr>
          <w:delText>1</w:delText>
        </w:r>
        <w:r w:rsidR="00501579">
          <w:rPr>
            <w:rFonts w:eastAsia="TimesNewRoman"/>
            <w:sz w:val="22"/>
            <w:szCs w:val="22"/>
          </w:rPr>
          <w:delText>5</w:delText>
        </w:r>
        <w:r w:rsidRPr="009C5EFD">
          <w:rPr>
            <w:rFonts w:eastAsia="TimesNewRoman"/>
            <w:sz w:val="22"/>
            <w:szCs w:val="22"/>
          </w:rPr>
          <w:delText>). Pasienter behandlet med Humira hadde signifikant redusert risiko for sykdomsoppbluss i løpet av de første 12 ukene med behandling.</w:delText>
        </w:r>
      </w:del>
    </w:p>
    <w:p w14:paraId="79360866" w14:textId="40D99DD0" w:rsidR="00813CF4" w:rsidRPr="009C5EFD" w:rsidRDefault="00813CF4" w:rsidP="00813CF4">
      <w:pPr>
        <w:autoSpaceDE w:val="0"/>
        <w:autoSpaceDN w:val="0"/>
        <w:adjustRightInd w:val="0"/>
        <w:rPr>
          <w:del w:id="2199" w:author="AbbVie02no" w:date="2025-05-15T12:36:00Z"/>
          <w:rFonts w:eastAsia="TimesNewRoman"/>
          <w:sz w:val="22"/>
          <w:szCs w:val="22"/>
        </w:rPr>
      </w:pPr>
    </w:p>
    <w:p w14:paraId="28ED2A11" w14:textId="44122146" w:rsidR="00813CF4" w:rsidRPr="001F5D4B" w:rsidRDefault="00E453CD" w:rsidP="00DB4B30">
      <w:pPr>
        <w:keepNext/>
        <w:keepLines/>
        <w:widowControl w:val="0"/>
        <w:spacing w:after="200" w:line="320" w:lineRule="exact"/>
        <w:ind w:left="360"/>
        <w:jc w:val="center"/>
        <w:rPr>
          <w:del w:id="2200" w:author="AbbVie02no" w:date="2025-05-15T12:36:00Z"/>
          <w:rFonts w:eastAsia="MS Mincho"/>
          <w:b/>
          <w:sz w:val="22"/>
          <w:szCs w:val="22"/>
          <w:lang w:eastAsia="ja-JP"/>
        </w:rPr>
      </w:pPr>
      <w:del w:id="2201" w:author="AbbVie02no" w:date="2025-05-15T12:36:00Z">
        <w:r>
          <w:rPr>
            <w:rFonts w:eastAsia="MS Mincho"/>
            <w:b/>
            <w:sz w:val="22"/>
            <w:szCs w:val="22"/>
            <w:lang w:eastAsia="ja-JP"/>
          </w:rPr>
          <w:delText xml:space="preserve">Tabell </w:delText>
        </w:r>
        <w:r w:rsidR="00501579">
          <w:rPr>
            <w:rFonts w:eastAsia="MS Mincho"/>
            <w:b/>
            <w:sz w:val="22"/>
            <w:szCs w:val="22"/>
            <w:lang w:eastAsia="ja-JP"/>
          </w:rPr>
          <w:delText>15</w:delText>
        </w:r>
        <w:r w:rsidRPr="009C5EFD">
          <w:rPr>
            <w:rFonts w:eastAsia="MS Mincho"/>
            <w:b/>
            <w:sz w:val="22"/>
            <w:szCs w:val="22"/>
            <w:lang w:eastAsia="ja-JP"/>
          </w:rPr>
          <w:delText xml:space="preserve">: </w:delText>
        </w:r>
        <w:r w:rsidR="008406E9">
          <w:rPr>
            <w:rFonts w:eastAsia="MS Mincho"/>
            <w:b/>
            <w:sz w:val="22"/>
            <w:szCs w:val="22"/>
            <w:lang w:eastAsia="ja-JP"/>
          </w:rPr>
          <w:delText>Effektresultater</w:delText>
        </w:r>
        <w:r w:rsidRPr="009C5EFD">
          <w:rPr>
            <w:rFonts w:eastAsia="MS Mincho"/>
            <w:b/>
            <w:sz w:val="22"/>
            <w:szCs w:val="22"/>
            <w:lang w:eastAsia="ja-JP"/>
          </w:rPr>
          <w:delText xml:space="preserve"> etter </w:delText>
        </w:r>
        <w:r w:rsidRPr="009C5EFD">
          <w:rPr>
            <w:rFonts w:eastAsia="MS Mincho"/>
            <w:b/>
            <w:bCs/>
            <w:iCs/>
            <w:sz w:val="22"/>
            <w:szCs w:val="22"/>
            <w:lang w:eastAsia="ja-JP"/>
          </w:rPr>
          <w:delText>12 uker, HS Studier I og II</w:delText>
        </w:r>
      </w:del>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4644D4" w14:paraId="7906A05B" w14:textId="5302EAC5" w:rsidTr="00E7793D">
        <w:trPr>
          <w:jc w:val="center"/>
          <w:del w:id="2202" w:author="AbbVie02no" w:date="2025-05-15T12:36:00Z"/>
        </w:trPr>
        <w:tc>
          <w:tcPr>
            <w:tcW w:w="2847" w:type="dxa"/>
            <w:vMerge w:val="restart"/>
            <w:tcMar>
              <w:top w:w="0" w:type="dxa"/>
              <w:left w:w="115" w:type="dxa"/>
              <w:bottom w:w="0" w:type="dxa"/>
              <w:right w:w="115" w:type="dxa"/>
            </w:tcMar>
            <w:vAlign w:val="bottom"/>
          </w:tcPr>
          <w:p w14:paraId="2D738F24" w14:textId="06935FD0" w:rsidR="00813CF4" w:rsidRPr="007F67EE" w:rsidRDefault="00813CF4" w:rsidP="00DB4B30">
            <w:pPr>
              <w:keepNext/>
              <w:widowControl w:val="0"/>
              <w:rPr>
                <w:del w:id="2203" w:author="AbbVie02no" w:date="2025-05-15T12:36:00Z"/>
                <w:b/>
                <w:sz w:val="22"/>
                <w:szCs w:val="22"/>
              </w:rPr>
            </w:pPr>
          </w:p>
        </w:tc>
        <w:tc>
          <w:tcPr>
            <w:tcW w:w="3186" w:type="dxa"/>
            <w:gridSpan w:val="2"/>
            <w:tcMar>
              <w:top w:w="0" w:type="dxa"/>
              <w:left w:w="115" w:type="dxa"/>
              <w:bottom w:w="0" w:type="dxa"/>
              <w:right w:w="115" w:type="dxa"/>
            </w:tcMar>
            <w:vAlign w:val="bottom"/>
          </w:tcPr>
          <w:p w14:paraId="45471E10" w14:textId="538F5B36" w:rsidR="00813CF4" w:rsidRPr="00193D76" w:rsidRDefault="00E453CD" w:rsidP="00DB4B30">
            <w:pPr>
              <w:keepNext/>
              <w:widowControl w:val="0"/>
              <w:jc w:val="center"/>
              <w:rPr>
                <w:del w:id="2204" w:author="AbbVie02no" w:date="2025-05-15T12:36:00Z"/>
                <w:b/>
                <w:bCs/>
                <w:sz w:val="22"/>
                <w:szCs w:val="22"/>
              </w:rPr>
            </w:pPr>
            <w:del w:id="2205" w:author="AbbVie02no" w:date="2025-05-15T12:36:00Z">
              <w:r w:rsidRPr="00193D76">
                <w:rPr>
                  <w:b/>
                  <w:bCs/>
                  <w:sz w:val="22"/>
                  <w:szCs w:val="22"/>
                </w:rPr>
                <w:delText>HS Studie I</w:delText>
              </w:r>
            </w:del>
          </w:p>
        </w:tc>
        <w:tc>
          <w:tcPr>
            <w:tcW w:w="3260" w:type="dxa"/>
            <w:gridSpan w:val="2"/>
            <w:tcMar>
              <w:top w:w="0" w:type="dxa"/>
              <w:left w:w="115" w:type="dxa"/>
              <w:bottom w:w="0" w:type="dxa"/>
              <w:right w:w="115" w:type="dxa"/>
            </w:tcMar>
            <w:vAlign w:val="bottom"/>
          </w:tcPr>
          <w:p w14:paraId="54591850" w14:textId="7F0DE479" w:rsidR="00813CF4" w:rsidRPr="002D0790" w:rsidRDefault="00E453CD" w:rsidP="00DB4B30">
            <w:pPr>
              <w:keepNext/>
              <w:widowControl w:val="0"/>
              <w:jc w:val="center"/>
              <w:rPr>
                <w:del w:id="2206" w:author="AbbVie02no" w:date="2025-05-15T12:36:00Z"/>
                <w:b/>
                <w:bCs/>
                <w:sz w:val="22"/>
                <w:szCs w:val="22"/>
              </w:rPr>
            </w:pPr>
            <w:del w:id="2207" w:author="AbbVie02no" w:date="2025-05-15T12:36:00Z">
              <w:r w:rsidRPr="002D0790">
                <w:rPr>
                  <w:b/>
                  <w:bCs/>
                  <w:sz w:val="22"/>
                  <w:szCs w:val="22"/>
                </w:rPr>
                <w:delText>HS Studie II</w:delText>
              </w:r>
            </w:del>
          </w:p>
        </w:tc>
      </w:tr>
      <w:tr w:rsidR="004644D4" w14:paraId="301C4809" w14:textId="7B808A16" w:rsidTr="00E7793D">
        <w:trPr>
          <w:jc w:val="center"/>
          <w:del w:id="2208" w:author="AbbVie02no" w:date="2025-05-15T12:36:00Z"/>
        </w:trPr>
        <w:tc>
          <w:tcPr>
            <w:tcW w:w="2847" w:type="dxa"/>
            <w:vMerge/>
            <w:tcMar>
              <w:top w:w="0" w:type="dxa"/>
              <w:left w:w="115" w:type="dxa"/>
              <w:bottom w:w="0" w:type="dxa"/>
              <w:right w:w="115" w:type="dxa"/>
            </w:tcMar>
            <w:vAlign w:val="center"/>
            <w:hideMark/>
          </w:tcPr>
          <w:p w14:paraId="0E42C776" w14:textId="31F5684D" w:rsidR="00813CF4" w:rsidRPr="009C5EFD" w:rsidRDefault="00813CF4" w:rsidP="00DB4B30">
            <w:pPr>
              <w:keepNext/>
              <w:widowControl w:val="0"/>
              <w:rPr>
                <w:del w:id="2209" w:author="AbbVie02no" w:date="2025-05-15T12:36:00Z"/>
                <w:sz w:val="22"/>
                <w:szCs w:val="22"/>
              </w:rPr>
            </w:pPr>
          </w:p>
        </w:tc>
        <w:tc>
          <w:tcPr>
            <w:tcW w:w="1440" w:type="dxa"/>
            <w:tcMar>
              <w:top w:w="0" w:type="dxa"/>
              <w:left w:w="115" w:type="dxa"/>
              <w:bottom w:w="0" w:type="dxa"/>
              <w:right w:w="115" w:type="dxa"/>
            </w:tcMar>
            <w:vAlign w:val="bottom"/>
            <w:hideMark/>
          </w:tcPr>
          <w:p w14:paraId="32EAABD8" w14:textId="0E4DDD79" w:rsidR="00813CF4" w:rsidRPr="009C5EFD" w:rsidRDefault="00E453CD" w:rsidP="00DB4B30">
            <w:pPr>
              <w:keepNext/>
              <w:widowControl w:val="0"/>
              <w:jc w:val="center"/>
              <w:rPr>
                <w:del w:id="2210" w:author="AbbVie02no" w:date="2025-05-15T12:36:00Z"/>
                <w:sz w:val="22"/>
                <w:szCs w:val="22"/>
              </w:rPr>
            </w:pPr>
            <w:del w:id="2211" w:author="AbbVie02no" w:date="2025-05-15T12:36:00Z">
              <w:r w:rsidRPr="009C5EFD">
                <w:rPr>
                  <w:b/>
                  <w:bCs/>
                  <w:sz w:val="22"/>
                  <w:szCs w:val="22"/>
                </w:rPr>
                <w:delText>Placebo</w:delText>
              </w:r>
            </w:del>
          </w:p>
        </w:tc>
        <w:tc>
          <w:tcPr>
            <w:tcW w:w="1746" w:type="dxa"/>
            <w:tcMar>
              <w:top w:w="0" w:type="dxa"/>
              <w:left w:w="115" w:type="dxa"/>
              <w:bottom w:w="0" w:type="dxa"/>
              <w:right w:w="115" w:type="dxa"/>
            </w:tcMar>
            <w:vAlign w:val="bottom"/>
            <w:hideMark/>
          </w:tcPr>
          <w:p w14:paraId="6FCF5D39" w14:textId="26A7128E" w:rsidR="00813CF4" w:rsidRPr="009C5EFD" w:rsidRDefault="00E453CD" w:rsidP="00DB4B30">
            <w:pPr>
              <w:keepNext/>
              <w:widowControl w:val="0"/>
              <w:jc w:val="center"/>
              <w:rPr>
                <w:del w:id="2212" w:author="AbbVie02no" w:date="2025-05-15T12:36:00Z"/>
                <w:b/>
                <w:bCs/>
                <w:sz w:val="22"/>
                <w:szCs w:val="22"/>
              </w:rPr>
            </w:pPr>
            <w:del w:id="2213" w:author="AbbVie02no" w:date="2025-05-15T12:36:00Z">
              <w:r w:rsidRPr="009C5EFD">
                <w:rPr>
                  <w:b/>
                  <w:bCs/>
                  <w:sz w:val="22"/>
                  <w:szCs w:val="22"/>
                </w:rPr>
                <w:delText>Humira 40 mg Ukentlig</w:delText>
              </w:r>
            </w:del>
          </w:p>
        </w:tc>
        <w:tc>
          <w:tcPr>
            <w:tcW w:w="1404" w:type="dxa"/>
            <w:tcMar>
              <w:top w:w="0" w:type="dxa"/>
              <w:left w:w="115" w:type="dxa"/>
              <w:bottom w:w="0" w:type="dxa"/>
              <w:right w:w="115" w:type="dxa"/>
            </w:tcMar>
            <w:vAlign w:val="bottom"/>
            <w:hideMark/>
          </w:tcPr>
          <w:p w14:paraId="01385929" w14:textId="226B199D" w:rsidR="00813CF4" w:rsidRPr="009C5EFD" w:rsidRDefault="00E453CD" w:rsidP="00DB4B30">
            <w:pPr>
              <w:keepNext/>
              <w:widowControl w:val="0"/>
              <w:jc w:val="center"/>
              <w:rPr>
                <w:del w:id="2214" w:author="AbbVie02no" w:date="2025-05-15T12:36:00Z"/>
                <w:b/>
                <w:bCs/>
                <w:sz w:val="22"/>
                <w:szCs w:val="22"/>
              </w:rPr>
            </w:pPr>
            <w:del w:id="2215" w:author="AbbVie02no" w:date="2025-05-15T12:36:00Z">
              <w:r w:rsidRPr="009C5EFD">
                <w:rPr>
                  <w:b/>
                  <w:bCs/>
                  <w:sz w:val="22"/>
                  <w:szCs w:val="22"/>
                </w:rPr>
                <w:delText xml:space="preserve">Placebo </w:delText>
              </w:r>
            </w:del>
          </w:p>
        </w:tc>
        <w:tc>
          <w:tcPr>
            <w:tcW w:w="1856" w:type="dxa"/>
            <w:tcMar>
              <w:top w:w="0" w:type="dxa"/>
              <w:left w:w="115" w:type="dxa"/>
              <w:bottom w:w="0" w:type="dxa"/>
              <w:right w:w="115" w:type="dxa"/>
            </w:tcMar>
            <w:vAlign w:val="bottom"/>
            <w:hideMark/>
          </w:tcPr>
          <w:p w14:paraId="69C11A56" w14:textId="1A1A3C1B" w:rsidR="00813CF4" w:rsidRPr="009C5EFD" w:rsidRDefault="00E453CD" w:rsidP="00DB4B30">
            <w:pPr>
              <w:keepNext/>
              <w:widowControl w:val="0"/>
              <w:jc w:val="center"/>
              <w:rPr>
                <w:del w:id="2216" w:author="AbbVie02no" w:date="2025-05-15T12:36:00Z"/>
                <w:b/>
                <w:bCs/>
                <w:sz w:val="22"/>
                <w:szCs w:val="22"/>
              </w:rPr>
            </w:pPr>
            <w:del w:id="2217" w:author="AbbVie02no" w:date="2025-05-15T12:36:00Z">
              <w:r w:rsidRPr="009C5EFD">
                <w:rPr>
                  <w:b/>
                  <w:bCs/>
                  <w:sz w:val="22"/>
                  <w:szCs w:val="22"/>
                </w:rPr>
                <w:delText>Humira 40 mg Ukentlig</w:delText>
              </w:r>
            </w:del>
          </w:p>
        </w:tc>
      </w:tr>
      <w:tr w:rsidR="004644D4" w14:paraId="3C83853C" w14:textId="003800CE" w:rsidTr="00E7793D">
        <w:trPr>
          <w:trHeight w:val="755"/>
          <w:jc w:val="center"/>
          <w:del w:id="2218" w:author="AbbVie02no" w:date="2025-05-15T12:36:00Z"/>
        </w:trPr>
        <w:tc>
          <w:tcPr>
            <w:tcW w:w="2847" w:type="dxa"/>
            <w:tcMar>
              <w:top w:w="0" w:type="dxa"/>
              <w:left w:w="115" w:type="dxa"/>
              <w:bottom w:w="0" w:type="dxa"/>
              <w:right w:w="115" w:type="dxa"/>
            </w:tcMar>
            <w:vAlign w:val="center"/>
            <w:hideMark/>
          </w:tcPr>
          <w:p w14:paraId="48044AB3" w14:textId="2C19A850" w:rsidR="00813CF4" w:rsidRPr="009C5EFD" w:rsidRDefault="00E453CD" w:rsidP="00DB4B30">
            <w:pPr>
              <w:keepNext/>
              <w:widowControl w:val="0"/>
              <w:rPr>
                <w:del w:id="2219" w:author="AbbVie02no" w:date="2025-05-15T12:36:00Z"/>
                <w:sz w:val="22"/>
                <w:szCs w:val="22"/>
              </w:rPr>
            </w:pPr>
            <w:del w:id="2220" w:author="AbbVie02no" w:date="2025-05-15T12:36:00Z">
              <w:r w:rsidRPr="002C5CDB">
                <w:rPr>
                  <w:sz w:val="22"/>
                  <w:szCs w:val="22"/>
                  <w:rPrChange w:id="2221" w:author="AbbVie05no" w:date="2025-05-19T10:32:00Z">
                    <w:rPr>
                      <w:sz w:val="22"/>
                      <w:szCs w:val="22"/>
                      <w:lang w:val="en-US"/>
                    </w:rPr>
                  </w:rPrChange>
                </w:rPr>
                <w:delText>Hidrosadenitt</w:delText>
              </w:r>
            </w:del>
          </w:p>
          <w:p w14:paraId="67B28F2A" w14:textId="1B8B6ED8" w:rsidR="00813CF4" w:rsidRPr="009C5EFD" w:rsidRDefault="00E453CD" w:rsidP="00DB4B30">
            <w:pPr>
              <w:keepNext/>
              <w:widowControl w:val="0"/>
              <w:rPr>
                <w:del w:id="2222" w:author="AbbVie02no" w:date="2025-05-15T12:36:00Z"/>
                <w:sz w:val="22"/>
                <w:szCs w:val="22"/>
              </w:rPr>
            </w:pPr>
            <w:del w:id="2223" w:author="AbbVie02no" w:date="2025-05-15T12:36:00Z">
              <w:r w:rsidRPr="002C5CDB">
                <w:rPr>
                  <w:sz w:val="22"/>
                  <w:szCs w:val="22"/>
                  <w:rPrChange w:id="2224" w:author="AbbVie05no" w:date="2025-05-19T10:32:00Z">
                    <w:rPr>
                      <w:sz w:val="22"/>
                      <w:szCs w:val="22"/>
                      <w:lang w:val="en-US"/>
                    </w:rPr>
                  </w:rPrChange>
                </w:rPr>
                <w:delText>Klinisk respons</w:delText>
              </w:r>
              <w:r w:rsidRPr="009C5EFD">
                <w:rPr>
                  <w:sz w:val="22"/>
                  <w:szCs w:val="22"/>
                </w:rPr>
                <w:delText xml:space="preserve"> (HiSCR)</w:delText>
              </w:r>
              <w:r w:rsidRPr="009C5EFD">
                <w:rPr>
                  <w:sz w:val="22"/>
                  <w:szCs w:val="22"/>
                  <w:vertAlign w:val="superscript"/>
                </w:rPr>
                <w:delText>a</w:delText>
              </w:r>
              <w:r w:rsidRPr="009C5EFD">
                <w:rPr>
                  <w:sz w:val="22"/>
                  <w:szCs w:val="22"/>
                </w:rPr>
                <w:delText xml:space="preserve"> </w:delText>
              </w:r>
            </w:del>
          </w:p>
          <w:p w14:paraId="482B2BCE" w14:textId="4F280852" w:rsidR="00813CF4" w:rsidRPr="009C5EFD" w:rsidRDefault="00813CF4" w:rsidP="00DB4B30">
            <w:pPr>
              <w:keepNext/>
              <w:widowControl w:val="0"/>
              <w:rPr>
                <w:del w:id="2225" w:author="AbbVie02no" w:date="2025-05-15T12:36:00Z"/>
                <w:sz w:val="22"/>
                <w:szCs w:val="22"/>
              </w:rPr>
            </w:pPr>
          </w:p>
        </w:tc>
        <w:tc>
          <w:tcPr>
            <w:tcW w:w="1440" w:type="dxa"/>
            <w:tcMar>
              <w:top w:w="0" w:type="dxa"/>
              <w:left w:w="115" w:type="dxa"/>
              <w:bottom w:w="0" w:type="dxa"/>
              <w:right w:w="115" w:type="dxa"/>
            </w:tcMar>
            <w:hideMark/>
          </w:tcPr>
          <w:p w14:paraId="3B3C46BE" w14:textId="590E8555" w:rsidR="00813CF4" w:rsidRPr="009C5EFD" w:rsidRDefault="00E453CD" w:rsidP="00DB4B30">
            <w:pPr>
              <w:keepNext/>
              <w:widowControl w:val="0"/>
              <w:jc w:val="center"/>
              <w:rPr>
                <w:del w:id="2226" w:author="AbbVie02no" w:date="2025-05-15T12:36:00Z"/>
                <w:sz w:val="22"/>
                <w:szCs w:val="22"/>
              </w:rPr>
            </w:pPr>
            <w:del w:id="2227" w:author="AbbVie02no" w:date="2025-05-15T12:36:00Z">
              <w:r w:rsidRPr="009C5EFD">
                <w:rPr>
                  <w:sz w:val="22"/>
                  <w:szCs w:val="22"/>
                </w:rPr>
                <w:delText>N = 154</w:delText>
              </w:r>
              <w:r w:rsidRPr="009C5EFD">
                <w:rPr>
                  <w:sz w:val="22"/>
                  <w:szCs w:val="22"/>
                </w:rPr>
                <w:br/>
                <w:delText>40 (26,0 %)</w:delText>
              </w:r>
            </w:del>
          </w:p>
        </w:tc>
        <w:tc>
          <w:tcPr>
            <w:tcW w:w="1746" w:type="dxa"/>
            <w:tcMar>
              <w:top w:w="0" w:type="dxa"/>
              <w:left w:w="115" w:type="dxa"/>
              <w:bottom w:w="0" w:type="dxa"/>
              <w:right w:w="115" w:type="dxa"/>
            </w:tcMar>
            <w:hideMark/>
          </w:tcPr>
          <w:p w14:paraId="1272B6C0" w14:textId="4DBC5693" w:rsidR="00813CF4" w:rsidRPr="009C5EFD" w:rsidRDefault="00E453CD">
            <w:pPr>
              <w:keepNext/>
              <w:widowControl w:val="0"/>
              <w:jc w:val="center"/>
              <w:rPr>
                <w:del w:id="2228" w:author="AbbVie02no" w:date="2025-05-15T12:36:00Z"/>
                <w:sz w:val="22"/>
                <w:szCs w:val="22"/>
              </w:rPr>
            </w:pPr>
            <w:del w:id="2229" w:author="AbbVie02no" w:date="2025-05-15T12:36:00Z">
              <w:r w:rsidRPr="009C5EFD">
                <w:rPr>
                  <w:sz w:val="22"/>
                  <w:szCs w:val="22"/>
                </w:rPr>
                <w:delText>N = 153</w:delText>
              </w:r>
              <w:r w:rsidRPr="009C5EFD">
                <w:rPr>
                  <w:sz w:val="22"/>
                  <w:szCs w:val="22"/>
                </w:rPr>
                <w:br/>
                <w:delText>64 (41,8 %)</w:delText>
              </w:r>
              <w:r w:rsidRPr="009C5EFD">
                <w:rPr>
                  <w:sz w:val="22"/>
                  <w:szCs w:val="22"/>
                  <w:vertAlign w:val="superscript"/>
                </w:rPr>
                <w:delText>*</w:delText>
              </w:r>
            </w:del>
          </w:p>
        </w:tc>
        <w:tc>
          <w:tcPr>
            <w:tcW w:w="1404" w:type="dxa"/>
            <w:tcMar>
              <w:top w:w="0" w:type="dxa"/>
              <w:left w:w="115" w:type="dxa"/>
              <w:bottom w:w="0" w:type="dxa"/>
              <w:right w:w="115" w:type="dxa"/>
            </w:tcMar>
          </w:tcPr>
          <w:p w14:paraId="55D9A16A" w14:textId="64FAE2DF" w:rsidR="00813CF4" w:rsidRPr="009C5EFD" w:rsidRDefault="00E453CD" w:rsidP="00DB4B30">
            <w:pPr>
              <w:keepNext/>
              <w:widowControl w:val="0"/>
              <w:jc w:val="center"/>
              <w:rPr>
                <w:del w:id="2230" w:author="AbbVie02no" w:date="2025-05-15T12:36:00Z"/>
                <w:sz w:val="22"/>
                <w:szCs w:val="22"/>
              </w:rPr>
            </w:pPr>
            <w:del w:id="2231" w:author="AbbVie02no" w:date="2025-05-15T12:36:00Z">
              <w:r w:rsidRPr="009C5EFD">
                <w:rPr>
                  <w:sz w:val="22"/>
                  <w:szCs w:val="22"/>
                </w:rPr>
                <w:delText>N=163</w:delText>
              </w:r>
            </w:del>
          </w:p>
          <w:p w14:paraId="19124C28" w14:textId="7B92E437" w:rsidR="00813CF4" w:rsidRPr="009C5EFD" w:rsidRDefault="00E453CD" w:rsidP="00DB4B30">
            <w:pPr>
              <w:keepNext/>
              <w:widowControl w:val="0"/>
              <w:jc w:val="center"/>
              <w:rPr>
                <w:del w:id="2232" w:author="AbbVie02no" w:date="2025-05-15T12:36:00Z"/>
                <w:sz w:val="22"/>
                <w:szCs w:val="22"/>
              </w:rPr>
            </w:pPr>
            <w:del w:id="2233" w:author="AbbVie02no" w:date="2025-05-15T12:36:00Z">
              <w:r w:rsidRPr="009C5EFD">
                <w:rPr>
                  <w:sz w:val="22"/>
                  <w:szCs w:val="22"/>
                </w:rPr>
                <w:delText>45 (27,6 %)</w:delText>
              </w:r>
            </w:del>
          </w:p>
        </w:tc>
        <w:tc>
          <w:tcPr>
            <w:tcW w:w="1856" w:type="dxa"/>
            <w:tcMar>
              <w:top w:w="0" w:type="dxa"/>
              <w:left w:w="115" w:type="dxa"/>
              <w:bottom w:w="0" w:type="dxa"/>
              <w:right w:w="115" w:type="dxa"/>
            </w:tcMar>
          </w:tcPr>
          <w:p w14:paraId="6E005C8A" w14:textId="2AF3A611" w:rsidR="00813CF4" w:rsidRPr="009C5EFD" w:rsidRDefault="00E453CD" w:rsidP="00DB4B30">
            <w:pPr>
              <w:keepNext/>
              <w:widowControl w:val="0"/>
              <w:jc w:val="center"/>
              <w:rPr>
                <w:del w:id="2234" w:author="AbbVie02no" w:date="2025-05-15T12:36:00Z"/>
                <w:sz w:val="22"/>
                <w:szCs w:val="22"/>
              </w:rPr>
            </w:pPr>
            <w:del w:id="2235" w:author="AbbVie02no" w:date="2025-05-15T12:36:00Z">
              <w:r w:rsidRPr="009C5EFD">
                <w:rPr>
                  <w:sz w:val="22"/>
                  <w:szCs w:val="22"/>
                </w:rPr>
                <w:delText>N=163</w:delText>
              </w:r>
            </w:del>
          </w:p>
          <w:p w14:paraId="1EEB1B50" w14:textId="15ABF08D" w:rsidR="00813CF4" w:rsidRPr="009C5EFD" w:rsidRDefault="00E453CD">
            <w:pPr>
              <w:keepNext/>
              <w:widowControl w:val="0"/>
              <w:jc w:val="center"/>
              <w:rPr>
                <w:del w:id="2236" w:author="AbbVie02no" w:date="2025-05-15T12:36:00Z"/>
                <w:sz w:val="22"/>
                <w:szCs w:val="22"/>
              </w:rPr>
            </w:pPr>
            <w:del w:id="2237" w:author="AbbVie02no" w:date="2025-05-15T12:36:00Z">
              <w:r w:rsidRPr="009C5EFD">
                <w:rPr>
                  <w:sz w:val="22"/>
                  <w:szCs w:val="22"/>
                </w:rPr>
                <w:delText>96 (58,9 %)</w:delText>
              </w:r>
              <w:r w:rsidRPr="009C5EFD">
                <w:rPr>
                  <w:sz w:val="22"/>
                  <w:szCs w:val="22"/>
                  <w:vertAlign w:val="superscript"/>
                </w:rPr>
                <w:delText>***</w:delText>
              </w:r>
            </w:del>
          </w:p>
        </w:tc>
      </w:tr>
      <w:tr w:rsidR="004644D4" w14:paraId="38E8A2D9" w14:textId="19D3E9DF" w:rsidTr="00E7793D">
        <w:trPr>
          <w:jc w:val="center"/>
          <w:del w:id="2238" w:author="AbbVie02no" w:date="2025-05-15T12:36:00Z"/>
        </w:trPr>
        <w:tc>
          <w:tcPr>
            <w:tcW w:w="2847" w:type="dxa"/>
            <w:tcMar>
              <w:top w:w="0" w:type="dxa"/>
              <w:left w:w="115" w:type="dxa"/>
              <w:bottom w:w="0" w:type="dxa"/>
              <w:right w:w="115" w:type="dxa"/>
            </w:tcMar>
            <w:vAlign w:val="center"/>
            <w:hideMark/>
          </w:tcPr>
          <w:p w14:paraId="1C9B18FA" w14:textId="32F9EF04" w:rsidR="00813CF4" w:rsidRPr="009C5EFD" w:rsidRDefault="00E453CD" w:rsidP="00DB4B30">
            <w:pPr>
              <w:keepNext/>
              <w:widowControl w:val="0"/>
              <w:rPr>
                <w:del w:id="2239" w:author="AbbVie02no" w:date="2025-05-15T12:36:00Z"/>
                <w:sz w:val="22"/>
                <w:szCs w:val="22"/>
              </w:rPr>
            </w:pPr>
            <w:del w:id="2240" w:author="AbbVie02no" w:date="2025-05-15T12:36:00Z">
              <w:r w:rsidRPr="009C5EFD">
                <w:rPr>
                  <w:sz w:val="22"/>
                  <w:szCs w:val="22"/>
                </w:rPr>
                <w:delText>≥ 30 % Reduksjon i hudsmerter</w:delText>
              </w:r>
              <w:r w:rsidRPr="009C5EFD">
                <w:rPr>
                  <w:sz w:val="22"/>
                  <w:szCs w:val="22"/>
                  <w:vertAlign w:val="superscript"/>
                </w:rPr>
                <w:delText>b</w:delText>
              </w:r>
            </w:del>
          </w:p>
        </w:tc>
        <w:tc>
          <w:tcPr>
            <w:tcW w:w="1440" w:type="dxa"/>
            <w:tcMar>
              <w:top w:w="0" w:type="dxa"/>
              <w:left w:w="115" w:type="dxa"/>
              <w:bottom w:w="0" w:type="dxa"/>
              <w:right w:w="115" w:type="dxa"/>
            </w:tcMar>
            <w:hideMark/>
          </w:tcPr>
          <w:p w14:paraId="051A01EB" w14:textId="47A8E05A" w:rsidR="00813CF4" w:rsidRPr="009C5EFD" w:rsidRDefault="00E453CD" w:rsidP="00DB4B30">
            <w:pPr>
              <w:keepNext/>
              <w:widowControl w:val="0"/>
              <w:jc w:val="center"/>
              <w:rPr>
                <w:del w:id="2241" w:author="AbbVie02no" w:date="2025-05-15T12:36:00Z"/>
                <w:sz w:val="22"/>
                <w:szCs w:val="22"/>
              </w:rPr>
            </w:pPr>
            <w:del w:id="2242" w:author="AbbVie02no" w:date="2025-05-15T12:36:00Z">
              <w:r w:rsidRPr="009C5EFD">
                <w:rPr>
                  <w:sz w:val="22"/>
                  <w:szCs w:val="22"/>
                </w:rPr>
                <w:delText>N = 109</w:delText>
              </w:r>
              <w:r w:rsidRPr="009C5EFD">
                <w:rPr>
                  <w:sz w:val="22"/>
                  <w:szCs w:val="22"/>
                </w:rPr>
                <w:br/>
                <w:delText>27 (24,8 %)</w:delText>
              </w:r>
            </w:del>
          </w:p>
        </w:tc>
        <w:tc>
          <w:tcPr>
            <w:tcW w:w="1746" w:type="dxa"/>
            <w:tcMar>
              <w:top w:w="0" w:type="dxa"/>
              <w:left w:w="115" w:type="dxa"/>
              <w:bottom w:w="0" w:type="dxa"/>
              <w:right w:w="115" w:type="dxa"/>
            </w:tcMar>
            <w:hideMark/>
          </w:tcPr>
          <w:p w14:paraId="51C858B4" w14:textId="4D525BD3" w:rsidR="00813CF4" w:rsidRPr="009C5EFD" w:rsidRDefault="00E453CD" w:rsidP="00DB4B30">
            <w:pPr>
              <w:keepNext/>
              <w:widowControl w:val="0"/>
              <w:jc w:val="center"/>
              <w:rPr>
                <w:del w:id="2243" w:author="AbbVie02no" w:date="2025-05-15T12:36:00Z"/>
                <w:sz w:val="22"/>
                <w:szCs w:val="22"/>
              </w:rPr>
            </w:pPr>
            <w:del w:id="2244" w:author="AbbVie02no" w:date="2025-05-15T12:36:00Z">
              <w:r w:rsidRPr="009C5EFD">
                <w:rPr>
                  <w:sz w:val="22"/>
                  <w:szCs w:val="22"/>
                </w:rPr>
                <w:delText>N = 122</w:delText>
              </w:r>
              <w:r w:rsidRPr="009C5EFD">
                <w:rPr>
                  <w:sz w:val="22"/>
                  <w:szCs w:val="22"/>
                </w:rPr>
                <w:br/>
                <w:delText>34 (27,9 %)</w:delText>
              </w:r>
            </w:del>
          </w:p>
        </w:tc>
        <w:tc>
          <w:tcPr>
            <w:tcW w:w="1404" w:type="dxa"/>
            <w:tcMar>
              <w:top w:w="0" w:type="dxa"/>
              <w:left w:w="115" w:type="dxa"/>
              <w:bottom w:w="0" w:type="dxa"/>
              <w:right w:w="115" w:type="dxa"/>
            </w:tcMar>
          </w:tcPr>
          <w:p w14:paraId="0DFFE469" w14:textId="7AD60B1E" w:rsidR="00813CF4" w:rsidRPr="009C5EFD" w:rsidRDefault="00E453CD" w:rsidP="00DB4B30">
            <w:pPr>
              <w:keepNext/>
              <w:widowControl w:val="0"/>
              <w:jc w:val="center"/>
              <w:rPr>
                <w:del w:id="2245" w:author="AbbVie02no" w:date="2025-05-15T12:36:00Z"/>
                <w:sz w:val="22"/>
                <w:szCs w:val="22"/>
              </w:rPr>
            </w:pPr>
            <w:del w:id="2246" w:author="AbbVie02no" w:date="2025-05-15T12:36:00Z">
              <w:r w:rsidRPr="009C5EFD">
                <w:rPr>
                  <w:sz w:val="22"/>
                  <w:szCs w:val="22"/>
                </w:rPr>
                <w:delText>N=111</w:delText>
              </w:r>
            </w:del>
          </w:p>
          <w:p w14:paraId="2CEA3CA7" w14:textId="33AA9D44" w:rsidR="00813CF4" w:rsidRPr="009C5EFD" w:rsidRDefault="00E453CD" w:rsidP="00DB4B30">
            <w:pPr>
              <w:keepNext/>
              <w:widowControl w:val="0"/>
              <w:jc w:val="center"/>
              <w:rPr>
                <w:del w:id="2247" w:author="AbbVie02no" w:date="2025-05-15T12:36:00Z"/>
                <w:sz w:val="22"/>
                <w:szCs w:val="22"/>
              </w:rPr>
            </w:pPr>
            <w:del w:id="2248" w:author="AbbVie02no" w:date="2025-05-15T12:36:00Z">
              <w:r w:rsidRPr="009C5EFD">
                <w:rPr>
                  <w:sz w:val="22"/>
                  <w:szCs w:val="22"/>
                </w:rPr>
                <w:delText>23 (20,7 %)</w:delText>
              </w:r>
            </w:del>
          </w:p>
        </w:tc>
        <w:tc>
          <w:tcPr>
            <w:tcW w:w="1856" w:type="dxa"/>
            <w:tcMar>
              <w:top w:w="0" w:type="dxa"/>
              <w:left w:w="115" w:type="dxa"/>
              <w:bottom w:w="0" w:type="dxa"/>
              <w:right w:w="115" w:type="dxa"/>
            </w:tcMar>
          </w:tcPr>
          <w:p w14:paraId="3125A876" w14:textId="06C3C538" w:rsidR="00813CF4" w:rsidRPr="009C5EFD" w:rsidRDefault="00E453CD" w:rsidP="00DB4B30">
            <w:pPr>
              <w:keepNext/>
              <w:widowControl w:val="0"/>
              <w:jc w:val="center"/>
              <w:rPr>
                <w:del w:id="2249" w:author="AbbVie02no" w:date="2025-05-15T12:36:00Z"/>
                <w:sz w:val="22"/>
                <w:szCs w:val="22"/>
              </w:rPr>
            </w:pPr>
            <w:del w:id="2250" w:author="AbbVie02no" w:date="2025-05-15T12:36:00Z">
              <w:r w:rsidRPr="009C5EFD">
                <w:rPr>
                  <w:sz w:val="22"/>
                  <w:szCs w:val="22"/>
                </w:rPr>
                <w:delText>N=105</w:delText>
              </w:r>
            </w:del>
          </w:p>
          <w:p w14:paraId="0CBC8FE3" w14:textId="2FD1AC83" w:rsidR="00813CF4" w:rsidRPr="009C5EFD" w:rsidRDefault="00E453CD" w:rsidP="00DB4B30">
            <w:pPr>
              <w:keepNext/>
              <w:widowControl w:val="0"/>
              <w:jc w:val="center"/>
              <w:rPr>
                <w:del w:id="2251" w:author="AbbVie02no" w:date="2025-05-15T12:36:00Z"/>
                <w:sz w:val="22"/>
                <w:szCs w:val="22"/>
              </w:rPr>
            </w:pPr>
            <w:del w:id="2252" w:author="AbbVie02no" w:date="2025-05-15T12:36:00Z">
              <w:r w:rsidRPr="009C5EFD">
                <w:rPr>
                  <w:sz w:val="22"/>
                  <w:szCs w:val="22"/>
                </w:rPr>
                <w:delText>48 (45,7 %)</w:delText>
              </w:r>
              <w:r w:rsidRPr="009C5EFD">
                <w:rPr>
                  <w:sz w:val="22"/>
                  <w:szCs w:val="22"/>
                  <w:vertAlign w:val="superscript"/>
                </w:rPr>
                <w:delText>***</w:delText>
              </w:r>
            </w:del>
          </w:p>
        </w:tc>
      </w:tr>
      <w:tr w:rsidR="004644D4" w14:paraId="55D3F899" w14:textId="7932344B" w:rsidTr="00E7793D">
        <w:trPr>
          <w:jc w:val="center"/>
          <w:del w:id="2253" w:author="AbbVie02no" w:date="2025-05-15T12:36:00Z"/>
        </w:trPr>
        <w:tc>
          <w:tcPr>
            <w:tcW w:w="9293" w:type="dxa"/>
            <w:gridSpan w:val="5"/>
            <w:tcMar>
              <w:top w:w="0" w:type="dxa"/>
              <w:left w:w="115" w:type="dxa"/>
              <w:bottom w:w="0" w:type="dxa"/>
              <w:right w:w="115" w:type="dxa"/>
            </w:tcMar>
            <w:vAlign w:val="center"/>
          </w:tcPr>
          <w:p w14:paraId="4FBC3F30" w14:textId="1909B609" w:rsidR="00813CF4" w:rsidRPr="002C5CDB" w:rsidRDefault="00E453CD" w:rsidP="00DB4B30">
            <w:pPr>
              <w:keepNext/>
              <w:widowControl w:val="0"/>
              <w:ind w:left="360"/>
              <w:rPr>
                <w:del w:id="2254" w:author="AbbVie02no" w:date="2025-05-15T12:36:00Z"/>
                <w:sz w:val="22"/>
                <w:szCs w:val="22"/>
                <w:rPrChange w:id="2255" w:author="AbbVie05no" w:date="2025-05-19T10:32:00Z">
                  <w:rPr>
                    <w:del w:id="2256" w:author="AbbVie02no" w:date="2025-05-15T12:36:00Z"/>
                    <w:sz w:val="22"/>
                    <w:szCs w:val="22"/>
                    <w:lang w:val="en-US"/>
                  </w:rPr>
                </w:rPrChange>
              </w:rPr>
            </w:pPr>
            <w:del w:id="2257" w:author="AbbVie02no" w:date="2025-05-15T12:36:00Z">
              <w:r w:rsidRPr="002C5CDB">
                <w:rPr>
                  <w:sz w:val="22"/>
                  <w:szCs w:val="22"/>
                  <w:rPrChange w:id="2258" w:author="AbbVie05no" w:date="2025-05-19T10:32:00Z">
                    <w:rPr>
                      <w:sz w:val="22"/>
                      <w:szCs w:val="22"/>
                      <w:lang w:val="en-US"/>
                    </w:rPr>
                  </w:rPrChange>
                </w:rPr>
                <w:delText>*</w:delText>
              </w:r>
              <w:r w:rsidRPr="002C5CDB">
                <w:rPr>
                  <w:i/>
                  <w:sz w:val="22"/>
                  <w:szCs w:val="22"/>
                  <w:rPrChange w:id="2259" w:author="AbbVie05no" w:date="2025-05-19T10:32:00Z">
                    <w:rPr>
                      <w:i/>
                      <w:sz w:val="22"/>
                      <w:szCs w:val="22"/>
                      <w:lang w:val="en-US"/>
                    </w:rPr>
                  </w:rPrChange>
                </w:rPr>
                <w:delText>p</w:delText>
              </w:r>
              <w:r w:rsidRPr="002C5CDB">
                <w:rPr>
                  <w:sz w:val="22"/>
                  <w:szCs w:val="22"/>
                  <w:rPrChange w:id="2260" w:author="AbbVie05no" w:date="2025-05-19T10:32:00Z">
                    <w:rPr>
                      <w:sz w:val="22"/>
                      <w:szCs w:val="22"/>
                      <w:lang w:val="en-US"/>
                    </w:rPr>
                  </w:rPrChange>
                </w:rPr>
                <w:delText xml:space="preserve"> &lt; 0,05, ***</w:delText>
              </w:r>
              <w:r w:rsidRPr="002C5CDB">
                <w:rPr>
                  <w:i/>
                  <w:sz w:val="22"/>
                  <w:szCs w:val="22"/>
                  <w:rPrChange w:id="2261" w:author="AbbVie05no" w:date="2025-05-19T10:32:00Z">
                    <w:rPr>
                      <w:i/>
                      <w:sz w:val="22"/>
                      <w:szCs w:val="22"/>
                      <w:lang w:val="en-US"/>
                    </w:rPr>
                  </w:rPrChange>
                </w:rPr>
                <w:delText xml:space="preserve">p </w:delText>
              </w:r>
              <w:r w:rsidRPr="002C5CDB">
                <w:rPr>
                  <w:sz w:val="22"/>
                  <w:szCs w:val="22"/>
                  <w:rPrChange w:id="2262" w:author="AbbVie05no" w:date="2025-05-19T10:32:00Z">
                    <w:rPr>
                      <w:sz w:val="22"/>
                      <w:szCs w:val="22"/>
                      <w:lang w:val="en-US"/>
                    </w:rPr>
                  </w:rPrChange>
                </w:rPr>
                <w:delText xml:space="preserve">&lt; 0,001, Humira versus placebo </w:delText>
              </w:r>
            </w:del>
          </w:p>
          <w:p w14:paraId="03D104E9" w14:textId="22ADB733" w:rsidR="00813CF4" w:rsidRPr="009C5EFD" w:rsidRDefault="00E453CD" w:rsidP="0078553D">
            <w:pPr>
              <w:keepNext/>
              <w:keepLines/>
              <w:widowControl w:val="0"/>
              <w:numPr>
                <w:ilvl w:val="0"/>
                <w:numId w:val="87"/>
              </w:numPr>
              <w:spacing w:line="240" w:lineRule="exact"/>
              <w:rPr>
                <w:del w:id="2263" w:author="AbbVie02no" w:date="2025-05-15T12:36:00Z"/>
                <w:sz w:val="22"/>
                <w:szCs w:val="22"/>
              </w:rPr>
            </w:pPr>
            <w:del w:id="2264" w:author="AbbVie02no" w:date="2025-05-15T12:36:00Z">
              <w:r w:rsidRPr="009C5EFD">
                <w:rPr>
                  <w:sz w:val="22"/>
                  <w:szCs w:val="22"/>
                </w:rPr>
                <w:delText>Blant alle randomiserte pasienter.</w:delText>
              </w:r>
            </w:del>
          </w:p>
          <w:p w14:paraId="04B6046A" w14:textId="11CCCF1D" w:rsidR="00813CF4" w:rsidRPr="009C5EFD" w:rsidRDefault="00E453CD" w:rsidP="00CC05EB">
            <w:pPr>
              <w:keepNext/>
              <w:keepLines/>
              <w:widowControl w:val="0"/>
              <w:numPr>
                <w:ilvl w:val="0"/>
                <w:numId w:val="87"/>
              </w:numPr>
              <w:spacing w:line="240" w:lineRule="exact"/>
              <w:rPr>
                <w:del w:id="2265" w:author="AbbVie02no" w:date="2025-05-15T12:36:00Z"/>
                <w:sz w:val="22"/>
                <w:szCs w:val="22"/>
              </w:rPr>
            </w:pPr>
            <w:del w:id="2266" w:author="AbbVie02no" w:date="2025-05-15T12:36:00Z">
              <w:r w:rsidRPr="009C5EFD">
                <w:rPr>
                  <w:sz w:val="22"/>
                  <w:szCs w:val="22"/>
                </w:rPr>
                <w:delText>Blant pasienter med HS-relaterte hudsmerter vurdert til ≥ 3</w:delText>
              </w:r>
              <w:r w:rsidR="005B64BC">
                <w:rPr>
                  <w:sz w:val="22"/>
                  <w:szCs w:val="22"/>
                </w:rPr>
                <w:delText xml:space="preserve"> ved baseline</w:delText>
              </w:r>
              <w:r w:rsidRPr="009C5EFD">
                <w:rPr>
                  <w:sz w:val="22"/>
                  <w:szCs w:val="22"/>
                </w:rPr>
                <w:delText>, basert på «Numerisk Rating Scale» 0</w:delText>
              </w:r>
              <w:r w:rsidR="00CC05EB">
                <w:rPr>
                  <w:sz w:val="22"/>
                  <w:szCs w:val="22"/>
                </w:rPr>
                <w:noBreakHyphen/>
              </w:r>
              <w:r w:rsidRPr="009C5EFD">
                <w:rPr>
                  <w:sz w:val="22"/>
                  <w:szCs w:val="22"/>
                </w:rPr>
                <w:delText>10; 0 = ingen hudsmerter, 10 = hudsmerter så sterke man kan forestille seg.</w:delText>
              </w:r>
            </w:del>
          </w:p>
        </w:tc>
      </w:tr>
    </w:tbl>
    <w:p w14:paraId="3FF4F839" w14:textId="160D1A42" w:rsidR="00813CF4" w:rsidRPr="009C5EFD" w:rsidRDefault="00813CF4" w:rsidP="00813CF4">
      <w:pPr>
        <w:rPr>
          <w:del w:id="2267" w:author="AbbVie02no" w:date="2025-05-15T12:36:00Z"/>
          <w:rFonts w:eastAsia="TimesNewRoman"/>
          <w:sz w:val="22"/>
          <w:szCs w:val="22"/>
        </w:rPr>
      </w:pPr>
    </w:p>
    <w:p w14:paraId="33E3791A" w14:textId="205D6F5E" w:rsidR="00813CF4" w:rsidRPr="009C5EFD" w:rsidRDefault="00E453CD" w:rsidP="00813CF4">
      <w:pPr>
        <w:autoSpaceDE w:val="0"/>
        <w:autoSpaceDN w:val="0"/>
        <w:adjustRightInd w:val="0"/>
        <w:rPr>
          <w:del w:id="2268" w:author="AbbVie02no" w:date="2025-05-15T12:36:00Z"/>
          <w:rFonts w:eastAsia="TimesNewRoman"/>
          <w:sz w:val="22"/>
          <w:szCs w:val="22"/>
        </w:rPr>
      </w:pPr>
      <w:del w:id="2269" w:author="AbbVie02no" w:date="2025-05-15T12:36:00Z">
        <w:r w:rsidRPr="009C5EFD">
          <w:rPr>
            <w:rFonts w:eastAsia="TimesNewRoman"/>
            <w:sz w:val="22"/>
            <w:szCs w:val="22"/>
          </w:rPr>
          <w:delText>Behandling med 40 mg Humira hver uke redusert</w:delText>
        </w:r>
        <w:r>
          <w:rPr>
            <w:rFonts w:eastAsia="TimesNewRoman"/>
            <w:sz w:val="22"/>
            <w:szCs w:val="22"/>
          </w:rPr>
          <w:delText>e</w:delText>
        </w:r>
        <w:r w:rsidRPr="009C5EFD">
          <w:rPr>
            <w:rFonts w:eastAsia="TimesNewRoman"/>
            <w:sz w:val="22"/>
            <w:szCs w:val="22"/>
          </w:rPr>
          <w:delText xml:space="preserve"> signifikant risikoen for forverrelse av abscesser og rennende fistler. I løpet av de første 12 ukene av studiene HS-I og HS-II opplevde omtrent dobbelt så mange pasienter i placebogruppen, sammenlignet med de i Humiragruppen, forverrelse av abscesser (henholdsvis 23,0 % vs. 11,4 %) og rennende fistler (henholdsvis 30,0 % vs. 13,9 %).</w:delText>
        </w:r>
      </w:del>
    </w:p>
    <w:p w14:paraId="38A99E7B" w14:textId="3B8620D2" w:rsidR="00813CF4" w:rsidRPr="009C5EFD" w:rsidRDefault="00813CF4" w:rsidP="00813CF4">
      <w:pPr>
        <w:rPr>
          <w:del w:id="2270" w:author="AbbVie02no" w:date="2025-05-15T12:36:00Z"/>
          <w:sz w:val="22"/>
          <w:szCs w:val="22"/>
          <w:u w:val="single"/>
        </w:rPr>
      </w:pPr>
    </w:p>
    <w:p w14:paraId="5E31ABD3" w14:textId="0A8E0981" w:rsidR="00813CF4" w:rsidRPr="00E14E58" w:rsidRDefault="00E453CD" w:rsidP="00813CF4">
      <w:pPr>
        <w:autoSpaceDE w:val="0"/>
        <w:autoSpaceDN w:val="0"/>
        <w:adjustRightInd w:val="0"/>
        <w:rPr>
          <w:del w:id="2271" w:author="AbbVie02no" w:date="2025-05-15T12:36:00Z"/>
          <w:rFonts w:eastAsia="TimesNewRoman"/>
          <w:sz w:val="22"/>
          <w:szCs w:val="22"/>
        </w:rPr>
      </w:pPr>
      <w:del w:id="2272" w:author="AbbVie02no" w:date="2025-05-15T12:36:00Z">
        <w:r w:rsidRPr="009C5EFD">
          <w:rPr>
            <w:rFonts w:eastAsia="TimesNewRoman"/>
            <w:sz w:val="22"/>
            <w:szCs w:val="22"/>
          </w:rPr>
          <w:delText xml:space="preserve">Større forbedringer ved uke 12 fra start sammenlignet med placebo ble vist i </w:delText>
        </w:r>
        <w:r w:rsidRPr="001F5D4B">
          <w:rPr>
            <w:sz w:val="22"/>
            <w:szCs w:val="22"/>
          </w:rPr>
          <w:delText>hudspesifikk helserelatert livskvalitet</w:delText>
        </w:r>
        <w:r w:rsidRPr="007F67EE">
          <w:rPr>
            <w:rFonts w:eastAsia="TimesNewRoman"/>
            <w:sz w:val="22"/>
            <w:szCs w:val="22"/>
          </w:rPr>
          <w:delText>, målt ved bruk av «Dermatology Life Quality Index» (DLQI; studiene HS-I og HS-II),</w:delText>
        </w:r>
        <w:r w:rsidRPr="00193D76">
          <w:rPr>
            <w:rFonts w:eastAsia="TimesNewRoman"/>
            <w:sz w:val="22"/>
            <w:szCs w:val="22"/>
          </w:rPr>
          <w:delText xml:space="preserve"> global pasienttilfredshet med </w:delText>
        </w:r>
        <w:r w:rsidR="00F82487">
          <w:rPr>
            <w:rFonts w:eastAsia="TimesNewRoman"/>
            <w:sz w:val="22"/>
            <w:szCs w:val="22"/>
          </w:rPr>
          <w:delText>legemiddel</w:delText>
        </w:r>
        <w:r w:rsidRPr="00193D76">
          <w:rPr>
            <w:rFonts w:eastAsia="TimesNewRoman"/>
            <w:sz w:val="22"/>
            <w:szCs w:val="22"/>
          </w:rPr>
          <w:delText>behandling</w:delText>
        </w:r>
        <w:r w:rsidRPr="002D0790">
          <w:rPr>
            <w:rFonts w:eastAsia="TimesNewRoman"/>
            <w:sz w:val="22"/>
            <w:szCs w:val="22"/>
          </w:rPr>
          <w:delText xml:space="preserve"> målt ved bruk av «Treatment Satisfactio</w:delText>
        </w:r>
        <w:r w:rsidRPr="00E14E58">
          <w:rPr>
            <w:rFonts w:eastAsia="TimesNewRoman"/>
            <w:sz w:val="22"/>
            <w:szCs w:val="22"/>
          </w:rPr>
          <w:delText>n Questionnaire – medication» (TSQM; studiene HS-I og HS-II) og fysisk helse målt ved bruk av den fysiske komponenten av SF-36 (studie HS-I).</w:delText>
        </w:r>
      </w:del>
    </w:p>
    <w:p w14:paraId="3299A102" w14:textId="060F40AE" w:rsidR="00813CF4" w:rsidRPr="009C5EFD" w:rsidRDefault="00813CF4" w:rsidP="00813CF4">
      <w:pPr>
        <w:rPr>
          <w:del w:id="2273" w:author="AbbVie02no" w:date="2025-05-15T12:36:00Z"/>
          <w:sz w:val="22"/>
          <w:szCs w:val="22"/>
          <w:u w:val="single"/>
        </w:rPr>
      </w:pPr>
    </w:p>
    <w:p w14:paraId="4AC29E05" w14:textId="61EED587" w:rsidR="00813CF4" w:rsidRPr="009C5EFD" w:rsidRDefault="00E453CD" w:rsidP="00813CF4">
      <w:pPr>
        <w:pStyle w:val="EMEANormal"/>
        <w:rPr>
          <w:del w:id="2274" w:author="AbbVie02no" w:date="2025-05-15T12:36:00Z"/>
          <w:szCs w:val="22"/>
          <w:lang w:val="nb-NO"/>
        </w:rPr>
      </w:pPr>
      <w:del w:id="2275" w:author="AbbVie02no" w:date="2025-05-15T12:36:00Z">
        <w:r w:rsidRPr="009C5EFD">
          <w:rPr>
            <w:rFonts w:eastAsia="Calibri"/>
            <w:szCs w:val="22"/>
            <w:lang w:val="nb-NO"/>
          </w:rPr>
          <w:delText>Hos pasienter som fikk 40 mg Humira ukentlig med minst en delvis respons ved uke 12, var HiSCR raten ved uke 36 høyere hos pasienter som fortsatte behandling med Humira ukentlig, enn hos pasienter der doseringsfrekvensen ble redusert til annenhver uke eller der behand</w:delText>
        </w:r>
        <w:r w:rsidR="004806E7">
          <w:rPr>
            <w:rFonts w:eastAsia="Calibri"/>
            <w:szCs w:val="22"/>
            <w:lang w:val="nb-NO"/>
          </w:rPr>
          <w:delText>lingen ble stoppet (se tabell </w:delText>
        </w:r>
        <w:r w:rsidR="00BF345A">
          <w:rPr>
            <w:rFonts w:eastAsia="Calibri"/>
            <w:szCs w:val="22"/>
            <w:lang w:val="nb-NO"/>
          </w:rPr>
          <w:delText>1</w:delText>
        </w:r>
        <w:r w:rsidR="00501579">
          <w:rPr>
            <w:rFonts w:eastAsia="Calibri"/>
            <w:szCs w:val="22"/>
            <w:lang w:val="nb-NO"/>
          </w:rPr>
          <w:delText>6</w:delText>
        </w:r>
        <w:r w:rsidRPr="009C5EFD">
          <w:rPr>
            <w:rFonts w:eastAsia="Calibri"/>
            <w:szCs w:val="22"/>
            <w:lang w:val="nb-NO"/>
          </w:rPr>
          <w:delText>).</w:delText>
        </w:r>
      </w:del>
    </w:p>
    <w:p w14:paraId="27350CEB" w14:textId="228286BE" w:rsidR="00813CF4" w:rsidRPr="009C5EFD" w:rsidRDefault="00813CF4" w:rsidP="00813CF4">
      <w:pPr>
        <w:tabs>
          <w:tab w:val="left" w:pos="562"/>
        </w:tabs>
        <w:suppressAutoHyphens/>
        <w:rPr>
          <w:del w:id="2276" w:author="AbbVie02no" w:date="2025-05-15T12:36:00Z"/>
          <w:sz w:val="22"/>
          <w:szCs w:val="22"/>
        </w:rPr>
      </w:pPr>
    </w:p>
    <w:p w14:paraId="393D6AD0" w14:textId="6DFE7E4E" w:rsidR="00813CF4" w:rsidRPr="009C5EFD" w:rsidRDefault="00E453CD" w:rsidP="002A4E8C">
      <w:pPr>
        <w:keepNext/>
        <w:spacing w:after="200" w:line="276" w:lineRule="auto"/>
        <w:ind w:left="720"/>
        <w:jc w:val="center"/>
        <w:rPr>
          <w:del w:id="2277" w:author="AbbVie02no" w:date="2025-05-15T12:36:00Z"/>
          <w:rFonts w:eastAsia="MS Mincho"/>
          <w:b/>
          <w:sz w:val="22"/>
          <w:szCs w:val="22"/>
          <w:lang w:eastAsia="ja-JP"/>
        </w:rPr>
      </w:pPr>
      <w:del w:id="2278" w:author="AbbVie02no" w:date="2025-05-15T12:36:00Z">
        <w:r>
          <w:rPr>
            <w:rFonts w:eastAsia="MS Mincho"/>
            <w:b/>
            <w:sz w:val="22"/>
            <w:szCs w:val="22"/>
            <w:lang w:eastAsia="ja-JP"/>
          </w:rPr>
          <w:delText>Tabell </w:delText>
        </w:r>
        <w:r w:rsidR="00501579">
          <w:rPr>
            <w:rFonts w:eastAsia="MS Mincho"/>
            <w:b/>
            <w:sz w:val="22"/>
            <w:szCs w:val="22"/>
            <w:lang w:eastAsia="ja-JP"/>
          </w:rPr>
          <w:delText>16</w:delText>
        </w:r>
        <w:r w:rsidRPr="009C5EFD">
          <w:rPr>
            <w:rFonts w:eastAsia="MS Mincho"/>
            <w:b/>
            <w:sz w:val="22"/>
            <w:szCs w:val="22"/>
            <w:lang w:eastAsia="ja-JP"/>
          </w:rPr>
          <w:delText>:</w:delText>
        </w:r>
        <w:r>
          <w:rPr>
            <w:rFonts w:eastAsia="MS Mincho"/>
            <w:b/>
            <w:sz w:val="22"/>
            <w:szCs w:val="22"/>
            <w:lang w:eastAsia="ja-JP"/>
          </w:rPr>
          <w:delText xml:space="preserve"> </w:delText>
        </w:r>
        <w:r w:rsidRPr="009C5EFD">
          <w:rPr>
            <w:rFonts w:eastAsia="MS Mincho"/>
            <w:b/>
            <w:sz w:val="22"/>
            <w:szCs w:val="22"/>
            <w:lang w:eastAsia="ja-JP"/>
          </w:rPr>
          <w:delText>Andel av pasienter</w:delText>
        </w:r>
        <w:r w:rsidRPr="009C5EFD">
          <w:rPr>
            <w:rFonts w:eastAsia="MS Mincho"/>
            <w:b/>
            <w:sz w:val="22"/>
            <w:szCs w:val="22"/>
            <w:vertAlign w:val="superscript"/>
            <w:lang w:eastAsia="ja-JP"/>
          </w:rPr>
          <w:delText>a</w:delText>
        </w:r>
        <w:r w:rsidRPr="009C5EFD">
          <w:rPr>
            <w:rFonts w:eastAsia="MS Mincho"/>
            <w:b/>
            <w:sz w:val="22"/>
            <w:szCs w:val="22"/>
            <w:lang w:eastAsia="ja-JP"/>
          </w:rPr>
          <w:delText xml:space="preserve"> som fikk HiSCR</w:delText>
        </w:r>
        <w:r w:rsidRPr="009C5EFD">
          <w:rPr>
            <w:rFonts w:eastAsia="MS Mincho"/>
            <w:b/>
            <w:sz w:val="22"/>
            <w:szCs w:val="22"/>
            <w:vertAlign w:val="superscript"/>
            <w:lang w:eastAsia="ja-JP"/>
          </w:rPr>
          <w:delText xml:space="preserve">b </w:delText>
        </w:r>
        <w:r w:rsidRPr="009C5EFD">
          <w:rPr>
            <w:rFonts w:eastAsia="MS Mincho"/>
            <w:b/>
            <w:sz w:val="22"/>
            <w:szCs w:val="22"/>
            <w:lang w:eastAsia="ja-JP"/>
          </w:rPr>
          <w:delText xml:space="preserve">ved uke 24 og 36 </w:delText>
        </w:r>
        <w:r w:rsidRPr="00600C9D">
          <w:rPr>
            <w:rFonts w:eastAsia="MS Mincho"/>
            <w:b/>
            <w:sz w:val="22"/>
            <w:szCs w:val="22"/>
            <w:lang w:eastAsia="ja-JP"/>
          </w:rPr>
          <w:delText>etter behandlingsendring fra ukentlig Humira ved uke 12</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4644D4" w14:paraId="5B595AFD" w14:textId="7B4A5336" w:rsidTr="00AF70AD">
        <w:trPr>
          <w:trHeight w:val="641"/>
          <w:tblHeader/>
          <w:jc w:val="center"/>
          <w:del w:id="2279" w:author="AbbVie02no" w:date="2025-05-15T12:36:00Z"/>
        </w:trPr>
        <w:tc>
          <w:tcPr>
            <w:tcW w:w="1437" w:type="dxa"/>
            <w:vAlign w:val="bottom"/>
          </w:tcPr>
          <w:p w14:paraId="0437866E" w14:textId="5740629B" w:rsidR="00813CF4" w:rsidRPr="009C5EFD" w:rsidRDefault="00813CF4" w:rsidP="002A4E8C">
            <w:pPr>
              <w:keepNext/>
              <w:spacing w:before="40" w:after="40" w:line="240" w:lineRule="exact"/>
              <w:rPr>
                <w:del w:id="2280" w:author="AbbVie02no" w:date="2025-05-15T12:36:00Z"/>
                <w:rFonts w:eastAsia="Calibri"/>
                <w:b/>
                <w:sz w:val="22"/>
                <w:szCs w:val="22"/>
                <w:lang w:eastAsia="ja-JP"/>
              </w:rPr>
            </w:pPr>
          </w:p>
        </w:tc>
        <w:tc>
          <w:tcPr>
            <w:tcW w:w="1980" w:type="dxa"/>
            <w:vAlign w:val="bottom"/>
          </w:tcPr>
          <w:p w14:paraId="612CEDC5" w14:textId="7CC45A2D" w:rsidR="00813CF4" w:rsidRPr="002C5CDB" w:rsidRDefault="00E453CD" w:rsidP="002A4E8C">
            <w:pPr>
              <w:keepNext/>
              <w:spacing w:before="40" w:after="40" w:line="240" w:lineRule="exact"/>
              <w:jc w:val="center"/>
              <w:rPr>
                <w:del w:id="2281" w:author="AbbVie02no" w:date="2025-05-15T12:36:00Z"/>
                <w:rFonts w:eastAsia="Calibri"/>
                <w:b/>
                <w:sz w:val="22"/>
                <w:szCs w:val="22"/>
                <w:lang w:eastAsia="ja-JP"/>
                <w:rPrChange w:id="2282" w:author="AbbVie05no" w:date="2025-05-19T10:32:00Z">
                  <w:rPr>
                    <w:del w:id="2283" w:author="AbbVie02no" w:date="2025-05-15T12:36:00Z"/>
                    <w:rFonts w:eastAsia="Calibri"/>
                    <w:b/>
                    <w:sz w:val="22"/>
                    <w:szCs w:val="22"/>
                    <w:lang w:val="en-US" w:eastAsia="ja-JP"/>
                  </w:rPr>
                </w:rPrChange>
              </w:rPr>
            </w:pPr>
            <w:del w:id="2284" w:author="AbbVie02no" w:date="2025-05-15T12:36:00Z">
              <w:r w:rsidRPr="002C5CDB">
                <w:rPr>
                  <w:rFonts w:eastAsia="Calibri"/>
                  <w:b/>
                  <w:sz w:val="22"/>
                  <w:szCs w:val="22"/>
                  <w:lang w:eastAsia="ja-JP"/>
                  <w:rPrChange w:id="2285" w:author="AbbVie05no" w:date="2025-05-19T10:32:00Z">
                    <w:rPr>
                      <w:rFonts w:eastAsia="Calibri"/>
                      <w:b/>
                      <w:sz w:val="22"/>
                      <w:szCs w:val="22"/>
                      <w:lang w:val="en-US" w:eastAsia="ja-JP"/>
                    </w:rPr>
                  </w:rPrChange>
                </w:rPr>
                <w:delText>Placebo</w:delText>
              </w:r>
              <w:r w:rsidRPr="002C5CDB">
                <w:rPr>
                  <w:rFonts w:eastAsia="Calibri"/>
                  <w:b/>
                  <w:sz w:val="22"/>
                  <w:szCs w:val="22"/>
                  <w:lang w:eastAsia="ja-JP"/>
                  <w:rPrChange w:id="2286" w:author="AbbVie05no" w:date="2025-05-19T10:32:00Z">
                    <w:rPr>
                      <w:rFonts w:eastAsia="Calibri"/>
                      <w:b/>
                      <w:sz w:val="22"/>
                      <w:szCs w:val="22"/>
                      <w:lang w:val="en-US" w:eastAsia="ja-JP"/>
                    </w:rPr>
                  </w:rPrChange>
                </w:rPr>
                <w:br/>
                <w:delText>(behandlingsstans)</w:delText>
              </w:r>
              <w:r w:rsidRPr="002C5CDB">
                <w:rPr>
                  <w:rFonts w:eastAsia="Calibri"/>
                  <w:b/>
                  <w:sz w:val="22"/>
                  <w:szCs w:val="22"/>
                  <w:lang w:eastAsia="ja-JP"/>
                  <w:rPrChange w:id="2287" w:author="AbbVie05no" w:date="2025-05-19T10:32:00Z">
                    <w:rPr>
                      <w:rFonts w:eastAsia="Calibri"/>
                      <w:b/>
                      <w:sz w:val="22"/>
                      <w:szCs w:val="22"/>
                      <w:lang w:val="en-US" w:eastAsia="ja-JP"/>
                    </w:rPr>
                  </w:rPrChange>
                </w:rPr>
                <w:br/>
                <w:delText>N = 73</w:delText>
              </w:r>
            </w:del>
          </w:p>
        </w:tc>
        <w:tc>
          <w:tcPr>
            <w:tcW w:w="1980" w:type="dxa"/>
            <w:vAlign w:val="bottom"/>
          </w:tcPr>
          <w:p w14:paraId="13AA872B" w14:textId="7213237C" w:rsidR="00813CF4" w:rsidRPr="009C5EFD" w:rsidRDefault="00E453CD" w:rsidP="002A4E8C">
            <w:pPr>
              <w:keepNext/>
              <w:spacing w:before="40" w:after="40" w:line="240" w:lineRule="exact"/>
              <w:jc w:val="center"/>
              <w:rPr>
                <w:del w:id="2288" w:author="AbbVie02no" w:date="2025-05-15T12:36:00Z"/>
                <w:rFonts w:eastAsia="Calibri"/>
                <w:b/>
                <w:sz w:val="22"/>
                <w:szCs w:val="22"/>
                <w:lang w:eastAsia="ja-JP"/>
              </w:rPr>
            </w:pPr>
            <w:del w:id="2289" w:author="AbbVie02no" w:date="2025-05-15T12:36:00Z">
              <w:r w:rsidRPr="009C5EFD">
                <w:rPr>
                  <w:rFonts w:eastAsia="Calibri"/>
                  <w:b/>
                  <w:sz w:val="22"/>
                  <w:szCs w:val="22"/>
                  <w:lang w:eastAsia="ja-JP"/>
                </w:rPr>
                <w:delText>Humira 40 mg</w:delText>
              </w:r>
              <w:r w:rsidRPr="009C5EFD">
                <w:rPr>
                  <w:rFonts w:eastAsia="Calibri"/>
                  <w:b/>
                  <w:sz w:val="22"/>
                  <w:szCs w:val="22"/>
                  <w:lang w:eastAsia="ja-JP"/>
                </w:rPr>
                <w:br/>
                <w:delText>annenhver uke</w:delText>
              </w:r>
              <w:r w:rsidRPr="009C5EFD">
                <w:rPr>
                  <w:rFonts w:eastAsia="Calibri"/>
                  <w:b/>
                  <w:sz w:val="22"/>
                  <w:szCs w:val="22"/>
                  <w:lang w:eastAsia="ja-JP"/>
                </w:rPr>
                <w:br/>
                <w:delText>N = 70</w:delText>
              </w:r>
            </w:del>
          </w:p>
        </w:tc>
        <w:tc>
          <w:tcPr>
            <w:tcW w:w="1855" w:type="dxa"/>
            <w:vAlign w:val="bottom"/>
          </w:tcPr>
          <w:p w14:paraId="101045FB" w14:textId="45EB9F47" w:rsidR="00813CF4" w:rsidRPr="002C5CDB" w:rsidRDefault="00E453CD" w:rsidP="002A4E8C">
            <w:pPr>
              <w:keepNext/>
              <w:spacing w:before="40" w:after="40" w:line="240" w:lineRule="exact"/>
              <w:jc w:val="center"/>
              <w:rPr>
                <w:del w:id="2290" w:author="AbbVie02no" w:date="2025-05-15T12:36:00Z"/>
                <w:rFonts w:eastAsia="Calibri"/>
                <w:b/>
                <w:sz w:val="22"/>
                <w:szCs w:val="22"/>
                <w:lang w:eastAsia="ja-JP"/>
                <w:rPrChange w:id="2291" w:author="AbbVie05no" w:date="2025-05-19T10:32:00Z">
                  <w:rPr>
                    <w:del w:id="2292" w:author="AbbVie02no" w:date="2025-05-15T12:36:00Z"/>
                    <w:rFonts w:eastAsia="Calibri"/>
                    <w:b/>
                    <w:sz w:val="22"/>
                    <w:szCs w:val="22"/>
                    <w:lang w:val="en-US" w:eastAsia="ja-JP"/>
                  </w:rPr>
                </w:rPrChange>
              </w:rPr>
            </w:pPr>
            <w:del w:id="2293" w:author="AbbVie02no" w:date="2025-05-15T12:36:00Z">
              <w:r w:rsidRPr="002C5CDB">
                <w:rPr>
                  <w:rFonts w:eastAsia="Calibri"/>
                  <w:b/>
                  <w:sz w:val="22"/>
                  <w:szCs w:val="22"/>
                  <w:lang w:eastAsia="ja-JP"/>
                  <w:rPrChange w:id="2294" w:author="AbbVie05no" w:date="2025-05-19T10:32:00Z">
                    <w:rPr>
                      <w:rFonts w:eastAsia="Calibri"/>
                      <w:b/>
                      <w:sz w:val="22"/>
                      <w:szCs w:val="22"/>
                      <w:lang w:val="en-US" w:eastAsia="ja-JP"/>
                    </w:rPr>
                  </w:rPrChange>
                </w:rPr>
                <w:delText>Humira 40 mg</w:delText>
              </w:r>
              <w:r w:rsidRPr="002C5CDB">
                <w:rPr>
                  <w:rFonts w:eastAsia="Calibri"/>
                  <w:b/>
                  <w:sz w:val="22"/>
                  <w:szCs w:val="22"/>
                  <w:lang w:eastAsia="ja-JP"/>
                  <w:rPrChange w:id="2295" w:author="AbbVie05no" w:date="2025-05-19T10:32:00Z">
                    <w:rPr>
                      <w:rFonts w:eastAsia="Calibri"/>
                      <w:b/>
                      <w:sz w:val="22"/>
                      <w:szCs w:val="22"/>
                      <w:lang w:val="en-US" w:eastAsia="ja-JP"/>
                    </w:rPr>
                  </w:rPrChange>
                </w:rPr>
                <w:br/>
                <w:delText>ukentlig</w:delText>
              </w:r>
              <w:r w:rsidRPr="002C5CDB">
                <w:rPr>
                  <w:rFonts w:eastAsia="Calibri"/>
                  <w:b/>
                  <w:sz w:val="22"/>
                  <w:szCs w:val="22"/>
                  <w:lang w:eastAsia="ja-JP"/>
                  <w:rPrChange w:id="2296" w:author="AbbVie05no" w:date="2025-05-19T10:32:00Z">
                    <w:rPr>
                      <w:rFonts w:eastAsia="Calibri"/>
                      <w:b/>
                      <w:sz w:val="22"/>
                      <w:szCs w:val="22"/>
                      <w:lang w:val="en-US" w:eastAsia="ja-JP"/>
                    </w:rPr>
                  </w:rPrChange>
                </w:rPr>
                <w:br/>
                <w:delText>N = 70</w:delText>
              </w:r>
            </w:del>
          </w:p>
        </w:tc>
      </w:tr>
      <w:tr w:rsidR="004644D4" w14:paraId="312437CA" w14:textId="0D2F0512" w:rsidTr="00AF70AD">
        <w:trPr>
          <w:trHeight w:val="198"/>
          <w:jc w:val="center"/>
          <w:del w:id="2297" w:author="AbbVie02no" w:date="2025-05-15T12:36:00Z"/>
        </w:trPr>
        <w:tc>
          <w:tcPr>
            <w:tcW w:w="1437" w:type="dxa"/>
          </w:tcPr>
          <w:p w14:paraId="0E048D94" w14:textId="509880DE" w:rsidR="00813CF4" w:rsidRPr="002C5CDB" w:rsidRDefault="00E453CD" w:rsidP="00B52137">
            <w:pPr>
              <w:keepNext/>
              <w:spacing w:before="40" w:after="40" w:line="240" w:lineRule="exact"/>
              <w:rPr>
                <w:del w:id="2298" w:author="AbbVie02no" w:date="2025-05-15T12:36:00Z"/>
                <w:rFonts w:eastAsia="Calibri"/>
                <w:sz w:val="22"/>
                <w:szCs w:val="22"/>
                <w:lang w:eastAsia="ja-JP"/>
                <w:rPrChange w:id="2299" w:author="AbbVie05no" w:date="2025-05-19T10:32:00Z">
                  <w:rPr>
                    <w:del w:id="2300" w:author="AbbVie02no" w:date="2025-05-15T12:36:00Z"/>
                    <w:rFonts w:eastAsia="Calibri"/>
                    <w:sz w:val="22"/>
                    <w:szCs w:val="22"/>
                    <w:lang w:val="en-US" w:eastAsia="ja-JP"/>
                  </w:rPr>
                </w:rPrChange>
              </w:rPr>
            </w:pPr>
            <w:del w:id="2301" w:author="AbbVie02no" w:date="2025-05-15T12:36:00Z">
              <w:r w:rsidRPr="002C5CDB">
                <w:rPr>
                  <w:rFonts w:eastAsia="Calibri"/>
                  <w:sz w:val="22"/>
                  <w:szCs w:val="22"/>
                  <w:lang w:eastAsia="ja-JP"/>
                  <w:rPrChange w:id="2302" w:author="AbbVie05no" w:date="2025-05-19T10:32:00Z">
                    <w:rPr>
                      <w:rFonts w:eastAsia="Calibri"/>
                      <w:sz w:val="22"/>
                      <w:szCs w:val="22"/>
                      <w:lang w:val="en-US" w:eastAsia="ja-JP"/>
                    </w:rPr>
                  </w:rPrChange>
                </w:rPr>
                <w:delText>Uke 24</w:delText>
              </w:r>
            </w:del>
          </w:p>
        </w:tc>
        <w:tc>
          <w:tcPr>
            <w:tcW w:w="1980" w:type="dxa"/>
          </w:tcPr>
          <w:p w14:paraId="5FB82F4B" w14:textId="309C9E13" w:rsidR="00813CF4" w:rsidRPr="002C5CDB" w:rsidRDefault="00E453CD" w:rsidP="00E7793D">
            <w:pPr>
              <w:keepNext/>
              <w:spacing w:before="40" w:after="40" w:line="240" w:lineRule="exact"/>
              <w:jc w:val="center"/>
              <w:rPr>
                <w:del w:id="2303" w:author="AbbVie02no" w:date="2025-05-15T12:36:00Z"/>
                <w:rFonts w:eastAsia="Calibri"/>
                <w:sz w:val="22"/>
                <w:szCs w:val="22"/>
                <w:lang w:eastAsia="ja-JP"/>
                <w:rPrChange w:id="2304" w:author="AbbVie05no" w:date="2025-05-19T10:32:00Z">
                  <w:rPr>
                    <w:del w:id="2305" w:author="AbbVie02no" w:date="2025-05-15T12:36:00Z"/>
                    <w:rFonts w:eastAsia="Calibri"/>
                    <w:sz w:val="22"/>
                    <w:szCs w:val="22"/>
                    <w:lang w:val="en-US" w:eastAsia="ja-JP"/>
                  </w:rPr>
                </w:rPrChange>
              </w:rPr>
            </w:pPr>
            <w:del w:id="2306" w:author="AbbVie02no" w:date="2025-05-15T12:36:00Z">
              <w:r w:rsidRPr="002C5CDB">
                <w:rPr>
                  <w:rFonts w:eastAsia="Calibri"/>
                  <w:sz w:val="22"/>
                  <w:szCs w:val="22"/>
                  <w:lang w:eastAsia="ja-JP"/>
                  <w:rPrChange w:id="2307" w:author="AbbVie05no" w:date="2025-05-19T10:32:00Z">
                    <w:rPr>
                      <w:rFonts w:eastAsia="Calibri"/>
                      <w:sz w:val="22"/>
                      <w:szCs w:val="22"/>
                      <w:lang w:val="en-US" w:eastAsia="ja-JP"/>
                    </w:rPr>
                  </w:rPrChange>
                </w:rPr>
                <w:delText>24 (32,9 %)</w:delText>
              </w:r>
            </w:del>
          </w:p>
        </w:tc>
        <w:tc>
          <w:tcPr>
            <w:tcW w:w="1980" w:type="dxa"/>
          </w:tcPr>
          <w:p w14:paraId="37FB49DB" w14:textId="72965ACE" w:rsidR="00813CF4" w:rsidRPr="002C5CDB" w:rsidRDefault="00E453CD" w:rsidP="00E7793D">
            <w:pPr>
              <w:keepNext/>
              <w:spacing w:before="40" w:after="40" w:line="240" w:lineRule="exact"/>
              <w:jc w:val="center"/>
              <w:rPr>
                <w:del w:id="2308" w:author="AbbVie02no" w:date="2025-05-15T12:36:00Z"/>
                <w:rFonts w:eastAsia="Calibri"/>
                <w:sz w:val="22"/>
                <w:szCs w:val="22"/>
                <w:lang w:eastAsia="ja-JP"/>
                <w:rPrChange w:id="2309" w:author="AbbVie05no" w:date="2025-05-19T10:32:00Z">
                  <w:rPr>
                    <w:del w:id="2310" w:author="AbbVie02no" w:date="2025-05-15T12:36:00Z"/>
                    <w:rFonts w:eastAsia="Calibri"/>
                    <w:sz w:val="22"/>
                    <w:szCs w:val="22"/>
                    <w:lang w:val="en-US" w:eastAsia="ja-JP"/>
                  </w:rPr>
                </w:rPrChange>
              </w:rPr>
            </w:pPr>
            <w:del w:id="2311" w:author="AbbVie02no" w:date="2025-05-15T12:36:00Z">
              <w:r w:rsidRPr="002C5CDB">
                <w:rPr>
                  <w:rFonts w:eastAsia="Calibri"/>
                  <w:sz w:val="22"/>
                  <w:szCs w:val="22"/>
                  <w:lang w:eastAsia="ja-JP"/>
                  <w:rPrChange w:id="2312" w:author="AbbVie05no" w:date="2025-05-19T10:32:00Z">
                    <w:rPr>
                      <w:rFonts w:eastAsia="Calibri"/>
                      <w:sz w:val="22"/>
                      <w:szCs w:val="22"/>
                      <w:lang w:val="en-US" w:eastAsia="ja-JP"/>
                    </w:rPr>
                  </w:rPrChange>
                </w:rPr>
                <w:delText>36 (51,4 %)</w:delText>
              </w:r>
            </w:del>
          </w:p>
        </w:tc>
        <w:tc>
          <w:tcPr>
            <w:tcW w:w="1855" w:type="dxa"/>
          </w:tcPr>
          <w:p w14:paraId="3E4D28D5" w14:textId="185843D5" w:rsidR="00813CF4" w:rsidRPr="002C5CDB" w:rsidRDefault="00E453CD" w:rsidP="00E7793D">
            <w:pPr>
              <w:keepNext/>
              <w:spacing w:before="40" w:after="40" w:line="240" w:lineRule="exact"/>
              <w:jc w:val="center"/>
              <w:rPr>
                <w:del w:id="2313" w:author="AbbVie02no" w:date="2025-05-15T12:36:00Z"/>
                <w:rFonts w:eastAsia="Calibri"/>
                <w:sz w:val="22"/>
                <w:szCs w:val="22"/>
                <w:lang w:eastAsia="ja-JP"/>
                <w:rPrChange w:id="2314" w:author="AbbVie05no" w:date="2025-05-19T10:32:00Z">
                  <w:rPr>
                    <w:del w:id="2315" w:author="AbbVie02no" w:date="2025-05-15T12:36:00Z"/>
                    <w:rFonts w:eastAsia="Calibri"/>
                    <w:sz w:val="22"/>
                    <w:szCs w:val="22"/>
                    <w:lang w:val="en-US" w:eastAsia="ja-JP"/>
                  </w:rPr>
                </w:rPrChange>
              </w:rPr>
            </w:pPr>
            <w:del w:id="2316" w:author="AbbVie02no" w:date="2025-05-15T12:36:00Z">
              <w:r w:rsidRPr="002C5CDB">
                <w:rPr>
                  <w:rFonts w:eastAsia="Calibri"/>
                  <w:sz w:val="22"/>
                  <w:szCs w:val="22"/>
                  <w:lang w:eastAsia="ja-JP"/>
                  <w:rPrChange w:id="2317" w:author="AbbVie05no" w:date="2025-05-19T10:32:00Z">
                    <w:rPr>
                      <w:rFonts w:eastAsia="Calibri"/>
                      <w:sz w:val="22"/>
                      <w:szCs w:val="22"/>
                      <w:lang w:val="en-US" w:eastAsia="ja-JP"/>
                    </w:rPr>
                  </w:rPrChange>
                </w:rPr>
                <w:delText>40 (57,1 %)</w:delText>
              </w:r>
            </w:del>
          </w:p>
        </w:tc>
      </w:tr>
      <w:tr w:rsidR="004644D4" w14:paraId="567DD29B" w14:textId="2433A6F8" w:rsidTr="00AF70AD">
        <w:trPr>
          <w:trHeight w:val="198"/>
          <w:jc w:val="center"/>
          <w:del w:id="2318" w:author="AbbVie02no" w:date="2025-05-15T12:36:00Z"/>
        </w:trPr>
        <w:tc>
          <w:tcPr>
            <w:tcW w:w="1437" w:type="dxa"/>
          </w:tcPr>
          <w:p w14:paraId="557D1400" w14:textId="4D2FBA0A" w:rsidR="00813CF4" w:rsidRPr="002C5CDB" w:rsidRDefault="00E453CD" w:rsidP="00B52137">
            <w:pPr>
              <w:keepNext/>
              <w:spacing w:before="40" w:after="40" w:line="240" w:lineRule="exact"/>
              <w:rPr>
                <w:del w:id="2319" w:author="AbbVie02no" w:date="2025-05-15T12:36:00Z"/>
                <w:rFonts w:eastAsia="Calibri"/>
                <w:sz w:val="22"/>
                <w:szCs w:val="22"/>
                <w:lang w:eastAsia="ja-JP"/>
                <w:rPrChange w:id="2320" w:author="AbbVie05no" w:date="2025-05-19T10:32:00Z">
                  <w:rPr>
                    <w:del w:id="2321" w:author="AbbVie02no" w:date="2025-05-15T12:36:00Z"/>
                    <w:rFonts w:eastAsia="Calibri"/>
                    <w:sz w:val="22"/>
                    <w:szCs w:val="22"/>
                    <w:lang w:val="en-US" w:eastAsia="ja-JP"/>
                  </w:rPr>
                </w:rPrChange>
              </w:rPr>
            </w:pPr>
            <w:del w:id="2322" w:author="AbbVie02no" w:date="2025-05-15T12:36:00Z">
              <w:r w:rsidRPr="002C5CDB">
                <w:rPr>
                  <w:rFonts w:eastAsia="Calibri"/>
                  <w:sz w:val="22"/>
                  <w:szCs w:val="22"/>
                  <w:lang w:eastAsia="ja-JP"/>
                  <w:rPrChange w:id="2323" w:author="AbbVie05no" w:date="2025-05-19T10:32:00Z">
                    <w:rPr>
                      <w:rFonts w:eastAsia="Calibri"/>
                      <w:sz w:val="22"/>
                      <w:szCs w:val="22"/>
                      <w:lang w:val="en-US" w:eastAsia="ja-JP"/>
                    </w:rPr>
                  </w:rPrChange>
                </w:rPr>
                <w:delText>Uke 36</w:delText>
              </w:r>
            </w:del>
          </w:p>
        </w:tc>
        <w:tc>
          <w:tcPr>
            <w:tcW w:w="1980" w:type="dxa"/>
          </w:tcPr>
          <w:p w14:paraId="3A75391D" w14:textId="2D5389C3" w:rsidR="00813CF4" w:rsidRPr="002C5CDB" w:rsidRDefault="00E453CD" w:rsidP="00E7793D">
            <w:pPr>
              <w:keepNext/>
              <w:spacing w:before="40" w:after="40" w:line="240" w:lineRule="exact"/>
              <w:jc w:val="center"/>
              <w:rPr>
                <w:del w:id="2324" w:author="AbbVie02no" w:date="2025-05-15T12:36:00Z"/>
                <w:rFonts w:eastAsia="Calibri"/>
                <w:sz w:val="22"/>
                <w:szCs w:val="22"/>
                <w:lang w:eastAsia="ja-JP"/>
                <w:rPrChange w:id="2325" w:author="AbbVie05no" w:date="2025-05-19T10:32:00Z">
                  <w:rPr>
                    <w:del w:id="2326" w:author="AbbVie02no" w:date="2025-05-15T12:36:00Z"/>
                    <w:rFonts w:eastAsia="Calibri"/>
                    <w:sz w:val="22"/>
                    <w:szCs w:val="22"/>
                    <w:lang w:val="en-US" w:eastAsia="ja-JP"/>
                  </w:rPr>
                </w:rPrChange>
              </w:rPr>
            </w:pPr>
            <w:del w:id="2327" w:author="AbbVie02no" w:date="2025-05-15T12:36:00Z">
              <w:r w:rsidRPr="002C5CDB">
                <w:rPr>
                  <w:rFonts w:eastAsia="Calibri"/>
                  <w:sz w:val="22"/>
                  <w:szCs w:val="22"/>
                  <w:lang w:eastAsia="ja-JP"/>
                  <w:rPrChange w:id="2328" w:author="AbbVie05no" w:date="2025-05-19T10:32:00Z">
                    <w:rPr>
                      <w:rFonts w:eastAsia="Calibri"/>
                      <w:sz w:val="22"/>
                      <w:szCs w:val="22"/>
                      <w:lang w:val="en-US" w:eastAsia="ja-JP"/>
                    </w:rPr>
                  </w:rPrChange>
                </w:rPr>
                <w:delText>22 (30,1 %)</w:delText>
              </w:r>
            </w:del>
          </w:p>
        </w:tc>
        <w:tc>
          <w:tcPr>
            <w:tcW w:w="1980" w:type="dxa"/>
          </w:tcPr>
          <w:p w14:paraId="3E1CE3B4" w14:textId="31080932" w:rsidR="00813CF4" w:rsidRPr="002C5CDB" w:rsidRDefault="00E453CD" w:rsidP="00E7793D">
            <w:pPr>
              <w:keepNext/>
              <w:spacing w:before="40" w:after="40" w:line="240" w:lineRule="exact"/>
              <w:jc w:val="center"/>
              <w:rPr>
                <w:del w:id="2329" w:author="AbbVie02no" w:date="2025-05-15T12:36:00Z"/>
                <w:rFonts w:eastAsia="Calibri"/>
                <w:sz w:val="22"/>
                <w:szCs w:val="22"/>
                <w:lang w:eastAsia="ja-JP"/>
                <w:rPrChange w:id="2330" w:author="AbbVie05no" w:date="2025-05-19T10:32:00Z">
                  <w:rPr>
                    <w:del w:id="2331" w:author="AbbVie02no" w:date="2025-05-15T12:36:00Z"/>
                    <w:rFonts w:eastAsia="Calibri"/>
                    <w:sz w:val="22"/>
                    <w:szCs w:val="22"/>
                    <w:lang w:val="en-US" w:eastAsia="ja-JP"/>
                  </w:rPr>
                </w:rPrChange>
              </w:rPr>
            </w:pPr>
            <w:del w:id="2332" w:author="AbbVie02no" w:date="2025-05-15T12:36:00Z">
              <w:r w:rsidRPr="002C5CDB">
                <w:rPr>
                  <w:rFonts w:eastAsia="Calibri"/>
                  <w:sz w:val="22"/>
                  <w:szCs w:val="22"/>
                  <w:lang w:eastAsia="ja-JP"/>
                  <w:rPrChange w:id="2333" w:author="AbbVie05no" w:date="2025-05-19T10:32:00Z">
                    <w:rPr>
                      <w:rFonts w:eastAsia="Calibri"/>
                      <w:sz w:val="22"/>
                      <w:szCs w:val="22"/>
                      <w:lang w:val="en-US" w:eastAsia="ja-JP"/>
                    </w:rPr>
                  </w:rPrChange>
                </w:rPr>
                <w:delText>28 (40,0 %)</w:delText>
              </w:r>
            </w:del>
          </w:p>
        </w:tc>
        <w:tc>
          <w:tcPr>
            <w:tcW w:w="1855" w:type="dxa"/>
          </w:tcPr>
          <w:p w14:paraId="755845E2" w14:textId="19E29325" w:rsidR="00813CF4" w:rsidRPr="002C5CDB" w:rsidRDefault="00E453CD" w:rsidP="00E7793D">
            <w:pPr>
              <w:keepNext/>
              <w:spacing w:before="40" w:after="40" w:line="240" w:lineRule="exact"/>
              <w:jc w:val="center"/>
              <w:rPr>
                <w:del w:id="2334" w:author="AbbVie02no" w:date="2025-05-15T12:36:00Z"/>
                <w:rFonts w:eastAsia="Calibri"/>
                <w:sz w:val="22"/>
                <w:szCs w:val="22"/>
                <w:lang w:eastAsia="ja-JP"/>
                <w:rPrChange w:id="2335" w:author="AbbVie05no" w:date="2025-05-19T10:32:00Z">
                  <w:rPr>
                    <w:del w:id="2336" w:author="AbbVie02no" w:date="2025-05-15T12:36:00Z"/>
                    <w:rFonts w:eastAsia="Calibri"/>
                    <w:sz w:val="22"/>
                    <w:szCs w:val="22"/>
                    <w:lang w:val="en-US" w:eastAsia="ja-JP"/>
                  </w:rPr>
                </w:rPrChange>
              </w:rPr>
            </w:pPr>
            <w:del w:id="2337" w:author="AbbVie02no" w:date="2025-05-15T12:36:00Z">
              <w:r w:rsidRPr="002C5CDB">
                <w:rPr>
                  <w:rFonts w:eastAsia="Calibri"/>
                  <w:sz w:val="22"/>
                  <w:szCs w:val="22"/>
                  <w:lang w:eastAsia="ja-JP"/>
                  <w:rPrChange w:id="2338" w:author="AbbVie05no" w:date="2025-05-19T10:32:00Z">
                    <w:rPr>
                      <w:rFonts w:eastAsia="Calibri"/>
                      <w:sz w:val="22"/>
                      <w:szCs w:val="22"/>
                      <w:lang w:val="en-US" w:eastAsia="ja-JP"/>
                    </w:rPr>
                  </w:rPrChange>
                </w:rPr>
                <w:delText>39 (55,7 %)</w:delText>
              </w:r>
            </w:del>
          </w:p>
        </w:tc>
      </w:tr>
      <w:tr w:rsidR="004644D4" w14:paraId="5FB5DA76" w14:textId="07B2394C" w:rsidTr="00AF70AD">
        <w:trPr>
          <w:trHeight w:val="641"/>
          <w:jc w:val="center"/>
          <w:del w:id="2339" w:author="AbbVie02no" w:date="2025-05-15T12:36:00Z"/>
        </w:trPr>
        <w:tc>
          <w:tcPr>
            <w:tcW w:w="7252" w:type="dxa"/>
            <w:gridSpan w:val="4"/>
          </w:tcPr>
          <w:p w14:paraId="3405668A" w14:textId="0DEEF798" w:rsidR="00813CF4" w:rsidRPr="002D0790" w:rsidRDefault="00E453CD" w:rsidP="00E7793D">
            <w:pPr>
              <w:keepLines/>
              <w:numPr>
                <w:ilvl w:val="0"/>
                <w:numId w:val="82"/>
              </w:numPr>
              <w:spacing w:line="240" w:lineRule="exact"/>
              <w:rPr>
                <w:del w:id="2340" w:author="AbbVie02no" w:date="2025-05-15T12:36:00Z"/>
                <w:rFonts w:eastAsia="MS Mincho"/>
                <w:sz w:val="22"/>
                <w:szCs w:val="22"/>
                <w:lang w:eastAsia="ja-JP"/>
              </w:rPr>
            </w:pPr>
            <w:del w:id="2341" w:author="AbbVie02no" w:date="2025-05-15T12:36:00Z">
              <w:r w:rsidRPr="007F67EE">
                <w:rPr>
                  <w:rFonts w:eastAsia="MS Mincho"/>
                  <w:sz w:val="22"/>
                  <w:szCs w:val="22"/>
                  <w:lang w:eastAsia="ja-JP"/>
                </w:rPr>
                <w:delText xml:space="preserve">Pasienter med minst en delvis respons på Humira 40 mg ukentlig etter 12 </w:delText>
              </w:r>
              <w:r w:rsidRPr="00193D76">
                <w:rPr>
                  <w:rFonts w:eastAsia="MS Mincho"/>
                  <w:sz w:val="22"/>
                  <w:szCs w:val="22"/>
                  <w:lang w:eastAsia="ja-JP"/>
                </w:rPr>
                <w:delText>uker</w:delText>
              </w:r>
              <w:r w:rsidRPr="002D0790">
                <w:rPr>
                  <w:rFonts w:eastAsia="MS Mincho"/>
                  <w:sz w:val="22"/>
                  <w:szCs w:val="22"/>
                  <w:lang w:eastAsia="ja-JP"/>
                </w:rPr>
                <w:delText xml:space="preserve"> behandling.</w:delText>
              </w:r>
            </w:del>
          </w:p>
          <w:p w14:paraId="4E3B9AFE" w14:textId="7C5C9AF9" w:rsidR="00813CF4" w:rsidRPr="00E14E58" w:rsidRDefault="00E453CD" w:rsidP="00E7793D">
            <w:pPr>
              <w:keepLines/>
              <w:numPr>
                <w:ilvl w:val="0"/>
                <w:numId w:val="82"/>
              </w:numPr>
              <w:spacing w:line="240" w:lineRule="exact"/>
              <w:rPr>
                <w:del w:id="2342" w:author="AbbVie02no" w:date="2025-05-15T12:36:00Z"/>
                <w:rFonts w:eastAsia="MS Mincho"/>
                <w:sz w:val="22"/>
                <w:szCs w:val="22"/>
                <w:lang w:eastAsia="ja-JP"/>
              </w:rPr>
            </w:pPr>
            <w:del w:id="2343" w:author="AbbVie02no" w:date="2025-05-15T12:36:00Z">
              <w:r w:rsidRPr="00E14E58">
                <w:rPr>
                  <w:rFonts w:eastAsia="MS Mincho"/>
                  <w:sz w:val="22"/>
                  <w:szCs w:val="22"/>
                  <w:lang w:eastAsia="ja-JP"/>
                </w:rPr>
                <w:delText>Pasienter som oppfylte protokollspesifiserte kriterier for tap av respons eller ingen forbedring ble pålagt å avbryte studiene og ble regnet som ikke</w:delText>
              </w:r>
              <w:r w:rsidRPr="00E14E58">
                <w:rPr>
                  <w:rFonts w:eastAsia="MS Mincho"/>
                  <w:sz w:val="22"/>
                  <w:szCs w:val="22"/>
                  <w:lang w:eastAsia="ja-JP"/>
                </w:rPr>
                <w:noBreakHyphen/>
                <w:delText>respondere.</w:delText>
              </w:r>
            </w:del>
          </w:p>
        </w:tc>
      </w:tr>
    </w:tbl>
    <w:p w14:paraId="5E8AD90D" w14:textId="5B4CCF61" w:rsidR="00813CF4" w:rsidRPr="007F67EE" w:rsidRDefault="00813CF4" w:rsidP="00813CF4">
      <w:pPr>
        <w:keepLines/>
        <w:tabs>
          <w:tab w:val="num" w:pos="720"/>
        </w:tabs>
        <w:spacing w:before="40" w:line="240" w:lineRule="exact"/>
        <w:rPr>
          <w:del w:id="2344" w:author="AbbVie02no" w:date="2025-05-15T12:36:00Z"/>
          <w:rFonts w:eastAsia="MS Mincho"/>
          <w:sz w:val="22"/>
          <w:szCs w:val="22"/>
          <w:lang w:eastAsia="ja-JP"/>
        </w:rPr>
      </w:pPr>
    </w:p>
    <w:p w14:paraId="0FB5AF0D" w14:textId="2BF3FADB" w:rsidR="00813CF4" w:rsidRPr="002D0790" w:rsidRDefault="00E453CD" w:rsidP="00813CF4">
      <w:pPr>
        <w:rPr>
          <w:del w:id="2345" w:author="AbbVie02no" w:date="2025-05-15T12:36:00Z"/>
          <w:sz w:val="22"/>
          <w:szCs w:val="22"/>
        </w:rPr>
      </w:pPr>
      <w:del w:id="2346" w:author="AbbVie02no" w:date="2025-05-15T12:36:00Z">
        <w:r w:rsidRPr="00193D76">
          <w:rPr>
            <w:sz w:val="22"/>
            <w:szCs w:val="22"/>
          </w:rPr>
          <w:delText>Blant pasienter med minst en delvis respons ved uke 12 og som</w:delText>
        </w:r>
        <w:r w:rsidR="0019503A">
          <w:rPr>
            <w:sz w:val="22"/>
            <w:szCs w:val="22"/>
          </w:rPr>
          <w:delText xml:space="preserve"> ukentlig</w:delText>
        </w:r>
        <w:r w:rsidRPr="00193D76">
          <w:rPr>
            <w:sz w:val="22"/>
            <w:szCs w:val="22"/>
          </w:rPr>
          <w:delText xml:space="preserve"> fikk</w:delText>
        </w:r>
        <w:r w:rsidRPr="002D0790">
          <w:rPr>
            <w:sz w:val="22"/>
            <w:szCs w:val="22"/>
          </w:rPr>
          <w:delText xml:space="preserve"> </w:delText>
        </w:r>
        <w:r w:rsidR="00745713">
          <w:rPr>
            <w:sz w:val="22"/>
            <w:szCs w:val="22"/>
          </w:rPr>
          <w:delText>kontinuerlig behandling med</w:delText>
        </w:r>
        <w:r w:rsidRPr="002D0790">
          <w:rPr>
            <w:sz w:val="22"/>
            <w:szCs w:val="22"/>
          </w:rPr>
          <w:delText xml:space="preserve"> Humira var HiSCR raten </w:delText>
        </w:r>
        <w:r w:rsidR="00315255">
          <w:rPr>
            <w:sz w:val="22"/>
            <w:szCs w:val="22"/>
          </w:rPr>
          <w:delText>68,3 </w:delText>
        </w:r>
        <w:r w:rsidRPr="002D0790">
          <w:rPr>
            <w:sz w:val="22"/>
            <w:szCs w:val="22"/>
          </w:rPr>
          <w:delText>% ved uke</w:delText>
        </w:r>
        <w:r w:rsidR="00315255">
          <w:rPr>
            <w:sz w:val="22"/>
            <w:szCs w:val="22"/>
          </w:rPr>
          <w:delText> </w:delText>
        </w:r>
        <w:r w:rsidRPr="002D0790">
          <w:rPr>
            <w:sz w:val="22"/>
            <w:szCs w:val="22"/>
          </w:rPr>
          <w:delText>48</w:delText>
        </w:r>
        <w:r w:rsidR="00315255">
          <w:rPr>
            <w:sz w:val="22"/>
            <w:szCs w:val="22"/>
          </w:rPr>
          <w:delText xml:space="preserve"> og 65,1 % ved uke 96</w:delText>
        </w:r>
        <w:r w:rsidRPr="002D0790">
          <w:rPr>
            <w:sz w:val="22"/>
            <w:szCs w:val="22"/>
          </w:rPr>
          <w:delText>.</w:delText>
        </w:r>
        <w:r w:rsidR="00315255">
          <w:rPr>
            <w:sz w:val="22"/>
            <w:szCs w:val="22"/>
          </w:rPr>
          <w:delText xml:space="preserve"> Langtidsbehandling med 40 mg Humira ukentlig i 96 uker viste ingen nye funn vedrørende sikkerhet.</w:delText>
        </w:r>
      </w:del>
    </w:p>
    <w:p w14:paraId="48094BB5" w14:textId="49EB620C" w:rsidR="00813CF4" w:rsidRPr="00E14E58" w:rsidRDefault="00813CF4" w:rsidP="00813CF4">
      <w:pPr>
        <w:rPr>
          <w:del w:id="2347" w:author="AbbVie02no" w:date="2025-05-15T12:36:00Z"/>
          <w:sz w:val="22"/>
          <w:szCs w:val="22"/>
        </w:rPr>
      </w:pPr>
    </w:p>
    <w:p w14:paraId="27AA2B42" w14:textId="3576A74A" w:rsidR="00813CF4" w:rsidRPr="009C5EFD" w:rsidRDefault="00E453CD" w:rsidP="00813CF4">
      <w:pPr>
        <w:rPr>
          <w:del w:id="2348" w:author="AbbVie02no" w:date="2025-05-15T12:36:00Z"/>
          <w:sz w:val="22"/>
          <w:szCs w:val="22"/>
        </w:rPr>
      </w:pPr>
      <w:del w:id="2349" w:author="AbbVie02no" w:date="2025-05-15T12:36:00Z">
        <w:r w:rsidRPr="009C5EFD">
          <w:rPr>
            <w:sz w:val="22"/>
            <w:szCs w:val="22"/>
          </w:rPr>
          <w:delText xml:space="preserve">Blant pasienter der behandlingen med Humira ble avsluttet ved uke 12, i studiene HS-I og HS-II, gikk HiSCR raten, </w:delText>
        </w:r>
        <w:r w:rsidR="00297A45">
          <w:rPr>
            <w:sz w:val="22"/>
            <w:szCs w:val="22"/>
          </w:rPr>
          <w:delText>1</w:delText>
        </w:r>
        <w:r w:rsidRPr="009C5EFD">
          <w:rPr>
            <w:sz w:val="22"/>
            <w:szCs w:val="22"/>
          </w:rPr>
          <w:delText>2 uker etter re-introduksjon av Humira 40 mg ukentlig, tilbake til nivåer tilsvarende de som ble observert før behandlingen ble stoppet (56,0 %).</w:delText>
        </w:r>
      </w:del>
    </w:p>
    <w:p w14:paraId="464A47E9" w14:textId="23FC8F96" w:rsidR="00C60AC8" w:rsidRPr="009C5EFD" w:rsidRDefault="00C60AC8" w:rsidP="009C5EFD">
      <w:pPr>
        <w:rPr>
          <w:del w:id="2350" w:author="AbbVie02no" w:date="2025-05-15T12:36:00Z"/>
          <w:sz w:val="22"/>
          <w:szCs w:val="22"/>
        </w:rPr>
      </w:pPr>
    </w:p>
    <w:p w14:paraId="2AB593AE" w14:textId="199A63D8" w:rsidR="00A14B8E" w:rsidRPr="00193D76" w:rsidRDefault="00E453CD" w:rsidP="00776A84">
      <w:pPr>
        <w:pStyle w:val="Heading8"/>
        <w:rPr>
          <w:del w:id="2351" w:author="AbbVie02no" w:date="2025-05-15T12:36:00Z"/>
          <w:szCs w:val="22"/>
        </w:rPr>
      </w:pPr>
      <w:del w:id="2352" w:author="AbbVie02no" w:date="2025-05-15T12:36:00Z">
        <w:r w:rsidRPr="001F5D4B">
          <w:rPr>
            <w:i/>
            <w:szCs w:val="22"/>
            <w:u w:val="none"/>
          </w:rPr>
          <w:delText>Voksen Crohns sykdom</w:delText>
        </w:r>
      </w:del>
    </w:p>
    <w:p w14:paraId="12EF527B" w14:textId="52F50D5D" w:rsidR="00A14B8E" w:rsidRPr="002D0790" w:rsidRDefault="00A14B8E" w:rsidP="00776A84">
      <w:pPr>
        <w:pStyle w:val="Heading8"/>
        <w:rPr>
          <w:del w:id="2353" w:author="AbbVie02no" w:date="2025-05-15T12:36:00Z"/>
          <w:szCs w:val="22"/>
        </w:rPr>
      </w:pPr>
    </w:p>
    <w:p w14:paraId="023BEB1D" w14:textId="3887D0FE" w:rsidR="00721030" w:rsidRPr="007F67EE" w:rsidRDefault="00E453CD" w:rsidP="009C5EFD">
      <w:pPr>
        <w:rPr>
          <w:del w:id="2354" w:author="AbbVie02no" w:date="2025-05-15T12:36:00Z"/>
          <w:sz w:val="22"/>
          <w:szCs w:val="22"/>
        </w:rPr>
      </w:pPr>
      <w:del w:id="2355" w:author="AbbVie02no" w:date="2025-05-15T12:36:00Z">
        <w:r w:rsidRPr="002D0790">
          <w:rPr>
            <w:sz w:val="22"/>
            <w:szCs w:val="22"/>
          </w:rPr>
          <w:delText xml:space="preserve">Sikkerhet og effekt av Humira ble vurdert hos over 1500 pasienter med moderat til alvorlig aktiv Crohns sykdom (Crohn’s Disease Activity Index (CDAI) </w:delText>
        </w:r>
        <w:r w:rsidRPr="007F67EE">
          <w:rPr>
            <w:rFonts w:ascii="Symbol" w:hAnsi="Symbol"/>
            <w:sz w:val="22"/>
            <w:szCs w:val="22"/>
          </w:rPr>
          <w:sym w:font="Symbol" w:char="F0B3"/>
        </w:r>
        <w:r w:rsidRPr="007F67EE">
          <w:rPr>
            <w:sz w:val="22"/>
            <w:szCs w:val="22"/>
          </w:rPr>
          <w:delText xml:space="preserve"> 220 and </w:delText>
        </w:r>
        <w:r w:rsidRPr="007F67EE">
          <w:rPr>
            <w:rFonts w:ascii="Symbol" w:hAnsi="Symbol"/>
            <w:sz w:val="22"/>
            <w:szCs w:val="22"/>
          </w:rPr>
          <w:sym w:font="Symbol" w:char="F0A3"/>
        </w:r>
        <w:r w:rsidRPr="007F67EE">
          <w:rPr>
            <w:sz w:val="22"/>
            <w:szCs w:val="22"/>
          </w:rPr>
          <w:delText xml:space="preserve"> 450) i randomiserte, dobbeltblinde, placebokontrollerte studier. Samtidige stabile doser med aminosalisylater, kortikosteroider og/eller immunmodulerende midler var tillatt og 80 % av pasientene fortsatte å ta minst ett av disse legemidlene.</w:delText>
        </w:r>
      </w:del>
    </w:p>
    <w:p w14:paraId="4FB77460" w14:textId="4D6971B8" w:rsidR="00721030" w:rsidRPr="00193D76" w:rsidRDefault="00721030" w:rsidP="009C5EFD">
      <w:pPr>
        <w:rPr>
          <w:del w:id="2356" w:author="AbbVie02no" w:date="2025-05-15T12:36:00Z"/>
          <w:sz w:val="22"/>
          <w:szCs w:val="22"/>
        </w:rPr>
      </w:pPr>
    </w:p>
    <w:p w14:paraId="4BF87399" w14:textId="6AD97F4E" w:rsidR="00721030" w:rsidRPr="009C5EFD" w:rsidRDefault="00E453CD" w:rsidP="009C5EFD">
      <w:pPr>
        <w:rPr>
          <w:del w:id="2357" w:author="AbbVie02no" w:date="2025-05-15T12:36:00Z"/>
          <w:sz w:val="22"/>
          <w:szCs w:val="22"/>
        </w:rPr>
      </w:pPr>
      <w:del w:id="2358" w:author="AbbVie02no" w:date="2025-05-15T12:36:00Z">
        <w:r w:rsidRPr="002D0790">
          <w:rPr>
            <w:sz w:val="22"/>
            <w:szCs w:val="22"/>
          </w:rPr>
          <w:delText>Induksjon av klinisk remisjon (definert som CDAI &lt; 150) ble vurdert i to studier, CD-studie I (CLASSIC I) og CD-studie II (GAIN). I CD-studie I ble 299 pasienter som aldri hadde brukt TNF-antagonister randomisert til en av fire behandlingsgrupper; placebo v</w:delText>
        </w:r>
        <w:r w:rsidRPr="00E14E58">
          <w:rPr>
            <w:sz w:val="22"/>
            <w:szCs w:val="22"/>
          </w:rPr>
          <w:delText xml:space="preserve">ed uke 0 og 2, 160 mg Humira ved uke 0 og 80 mg ved uke 2, 80 mg ved uke 0 og 40 mg ved uke 2, og 40 mg ved uke 0 og 20 mg ved uke 2. I CD-studie II ble 325 pasienter som hadde mistet respons eller var intolerante for infliksimab randomisert til enten 160 </w:delText>
        </w:r>
        <w:r w:rsidRPr="009C5EFD">
          <w:rPr>
            <w:sz w:val="22"/>
            <w:szCs w:val="22"/>
          </w:rPr>
          <w:delText xml:space="preserve">mg Humira ved uke 0 og 80 mg ved uke 2 eller placebo ved ukene 0 og 2. Primære </w:delText>
        </w:r>
        <w:r w:rsidRPr="009C5EFD">
          <w:rPr>
            <w:sz w:val="22"/>
          </w:rPr>
          <w:delText>ikke</w:delText>
        </w:r>
        <w:r w:rsidRPr="009C5EFD">
          <w:rPr>
            <w:sz w:val="22"/>
            <w:szCs w:val="22"/>
          </w:rPr>
          <w:delText xml:space="preserve">-respondere ble ekskludert fra studiene og disse pasientene ble derfor ikke </w:delText>
        </w:r>
        <w:r w:rsidR="003D3CAB" w:rsidRPr="003D3CAB">
          <w:rPr>
            <w:sz w:val="22"/>
            <w:szCs w:val="22"/>
          </w:rPr>
          <w:delText>vurdert</w:delText>
        </w:r>
        <w:r w:rsidRPr="009C5EFD">
          <w:rPr>
            <w:sz w:val="22"/>
            <w:szCs w:val="22"/>
          </w:rPr>
          <w:delText xml:space="preserve"> videre.</w:delText>
        </w:r>
      </w:del>
    </w:p>
    <w:p w14:paraId="15779491" w14:textId="34F5B797" w:rsidR="00721030" w:rsidRPr="009C5EFD" w:rsidRDefault="00721030" w:rsidP="009C5EFD">
      <w:pPr>
        <w:ind w:left="54"/>
        <w:rPr>
          <w:del w:id="2359" w:author="AbbVie02no" w:date="2025-05-15T12:36:00Z"/>
          <w:sz w:val="22"/>
          <w:szCs w:val="22"/>
        </w:rPr>
      </w:pPr>
    </w:p>
    <w:p w14:paraId="278B4C4E" w14:textId="2DF75CED" w:rsidR="00721030" w:rsidRPr="002D0790" w:rsidRDefault="00E453CD" w:rsidP="009C5EFD">
      <w:pPr>
        <w:rPr>
          <w:del w:id="2360" w:author="AbbVie02no" w:date="2025-05-15T12:36:00Z"/>
          <w:sz w:val="22"/>
          <w:szCs w:val="22"/>
        </w:rPr>
      </w:pPr>
      <w:del w:id="2361" w:author="AbbVie02no" w:date="2025-05-15T12:36:00Z">
        <w:r w:rsidRPr="009C5EFD">
          <w:rPr>
            <w:sz w:val="22"/>
            <w:szCs w:val="22"/>
          </w:rPr>
          <w:delText xml:space="preserve">Vedlikehold av klinisk remisjon ble vurdert i CD-studie III (CHARM). I CD-studie III fikk 854 pasienter 80 mg ved uke 0 og 40 mg ved uke 2 (åpen behandling). Ved uke 4 ble pasientene randomisert til 40 mg annenhver uke, 40 mg hver uke, eller placebo. Studien varte i totalt 56 uker. Pasienter med klinisk respons (reduksjon i CDAI </w:delText>
        </w:r>
        <w:r w:rsidRPr="007F67EE">
          <w:rPr>
            <w:rFonts w:ascii="Symbol" w:hAnsi="Symbol"/>
            <w:sz w:val="22"/>
            <w:szCs w:val="22"/>
          </w:rPr>
          <w:sym w:font="Symbol" w:char="F0B3"/>
        </w:r>
        <w:r w:rsidRPr="007F67EE">
          <w:rPr>
            <w:sz w:val="22"/>
            <w:szCs w:val="22"/>
          </w:rPr>
          <w:delText xml:space="preserve"> 70) ved uke 4 ble stratifisert og analysert separat fra de som ikke hadde klinisk respons ved uke 4. </w:delText>
        </w:r>
        <w:r w:rsidRPr="00193D76">
          <w:rPr>
            <w:sz w:val="22"/>
            <w:szCs w:val="22"/>
          </w:rPr>
          <w:delText>Nedtrapping</w:delText>
        </w:r>
        <w:r w:rsidRPr="002D0790">
          <w:rPr>
            <w:sz w:val="22"/>
            <w:szCs w:val="22"/>
          </w:rPr>
          <w:delText xml:space="preserve"> av kortikosteroider ble tillatt etter uke 8.</w:delText>
        </w:r>
      </w:del>
    </w:p>
    <w:p w14:paraId="25FB06B5" w14:textId="05B4A9B9" w:rsidR="00721030" w:rsidRPr="002D0790" w:rsidRDefault="00721030" w:rsidP="009C5EFD">
      <w:pPr>
        <w:rPr>
          <w:del w:id="2362" w:author="AbbVie02no" w:date="2025-05-15T12:36:00Z"/>
          <w:sz w:val="22"/>
          <w:szCs w:val="22"/>
        </w:rPr>
      </w:pPr>
    </w:p>
    <w:p w14:paraId="2A3D1457" w14:textId="76623086" w:rsidR="006E7F9C" w:rsidRPr="009C5EFD" w:rsidRDefault="00E453CD" w:rsidP="009C5EFD">
      <w:pPr>
        <w:pStyle w:val="Heading8"/>
        <w:keepNext w:val="0"/>
        <w:rPr>
          <w:del w:id="2363" w:author="AbbVie02no" w:date="2025-05-15T12:36:00Z"/>
          <w:szCs w:val="22"/>
          <w:u w:val="none"/>
        </w:rPr>
      </w:pPr>
      <w:del w:id="2364" w:author="AbbVie02no" w:date="2025-05-15T12:36:00Z">
        <w:r w:rsidRPr="00E14E58">
          <w:rPr>
            <w:szCs w:val="22"/>
            <w:u w:val="none"/>
          </w:rPr>
          <w:delText xml:space="preserve">CD-studie I og CD-studie II induksjon </w:delText>
        </w:r>
        <w:r w:rsidR="00696279" w:rsidRPr="009C5EFD">
          <w:rPr>
            <w:szCs w:val="22"/>
            <w:u w:val="none"/>
          </w:rPr>
          <w:delText>av</w:delText>
        </w:r>
        <w:r w:rsidRPr="009C5EFD">
          <w:rPr>
            <w:szCs w:val="22"/>
            <w:u w:val="none"/>
          </w:rPr>
          <w:delText xml:space="preserve"> remisjon og responsnivåer er vist i tabell </w:delText>
        </w:r>
        <w:r w:rsidR="00501579">
          <w:rPr>
            <w:szCs w:val="22"/>
            <w:u w:val="none"/>
          </w:rPr>
          <w:delText>1</w:delText>
        </w:r>
        <w:r w:rsidR="005B5822">
          <w:rPr>
            <w:szCs w:val="22"/>
            <w:u w:val="none"/>
          </w:rPr>
          <w:delText>7</w:delText>
        </w:r>
        <w:r w:rsidRPr="009C5EFD">
          <w:rPr>
            <w:szCs w:val="22"/>
            <w:u w:val="none"/>
          </w:rPr>
          <w:delText>.</w:delText>
        </w:r>
      </w:del>
    </w:p>
    <w:p w14:paraId="04420522" w14:textId="2FEC8A34" w:rsidR="00232766" w:rsidRPr="009C5EFD" w:rsidRDefault="00232766" w:rsidP="009C5EFD">
      <w:pPr>
        <w:rPr>
          <w:del w:id="2365" w:author="AbbVie02no" w:date="2025-05-15T12:36:00Z"/>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1192"/>
        <w:gridCol w:w="1249"/>
        <w:gridCol w:w="1176"/>
        <w:gridCol w:w="1495"/>
        <w:gridCol w:w="1818"/>
      </w:tblGrid>
      <w:tr w:rsidR="004644D4" w14:paraId="33B6F1A4" w14:textId="0A5E1C0E" w:rsidTr="006E7F9C">
        <w:trPr>
          <w:cantSplit/>
          <w:del w:id="2366" w:author="AbbVie02no" w:date="2025-05-15T12:36:00Z"/>
        </w:trPr>
        <w:tc>
          <w:tcPr>
            <w:tcW w:w="9238" w:type="dxa"/>
            <w:gridSpan w:val="6"/>
            <w:tcBorders>
              <w:top w:val="nil"/>
              <w:left w:val="nil"/>
              <w:right w:val="nil"/>
            </w:tcBorders>
          </w:tcPr>
          <w:p w14:paraId="73CB8D50" w14:textId="72997630" w:rsidR="006E7F9C" w:rsidRPr="009C5EFD" w:rsidRDefault="00E453CD" w:rsidP="00BA47BC">
            <w:pPr>
              <w:pStyle w:val="TableText"/>
              <w:jc w:val="center"/>
              <w:rPr>
                <w:del w:id="2367" w:author="AbbVie02no" w:date="2025-05-15T12:36:00Z"/>
                <w:b/>
                <w:bCs/>
                <w:sz w:val="22"/>
                <w:lang w:val="nb-NO"/>
              </w:rPr>
            </w:pPr>
            <w:del w:id="2368" w:author="AbbVie02no" w:date="2025-05-15T12:36:00Z">
              <w:r w:rsidRPr="009C5EFD">
                <w:rPr>
                  <w:b/>
                  <w:bCs/>
                  <w:sz w:val="22"/>
                  <w:lang w:val="nb-NO"/>
                </w:rPr>
                <w:lastRenderedPageBreak/>
                <w:delText xml:space="preserve">Tabell </w:delText>
              </w:r>
              <w:r w:rsidR="00501579">
                <w:rPr>
                  <w:b/>
                  <w:bCs/>
                  <w:sz w:val="22"/>
                  <w:lang w:val="nb-NO"/>
                </w:rPr>
                <w:delText>17</w:delText>
              </w:r>
            </w:del>
          </w:p>
          <w:p w14:paraId="62F93D75" w14:textId="42232F54" w:rsidR="006E7F9C" w:rsidRPr="009C5EFD" w:rsidRDefault="00E453CD" w:rsidP="00BA47BC">
            <w:pPr>
              <w:pStyle w:val="TableText"/>
              <w:jc w:val="center"/>
              <w:rPr>
                <w:del w:id="2369" w:author="AbbVie02no" w:date="2025-05-15T12:36:00Z"/>
                <w:b/>
                <w:bCs/>
                <w:sz w:val="22"/>
                <w:lang w:val="nb-NO"/>
              </w:rPr>
            </w:pPr>
            <w:del w:id="2370" w:author="AbbVie02no" w:date="2025-05-15T12:36:00Z">
              <w:r w:rsidRPr="009C5EFD">
                <w:rPr>
                  <w:b/>
                  <w:bCs/>
                  <w:sz w:val="22"/>
                  <w:lang w:val="nb-NO"/>
                </w:rPr>
                <w:delText>Induksjon av klinisk remisjon og respons</w:delText>
              </w:r>
            </w:del>
          </w:p>
          <w:p w14:paraId="0EB7940A" w14:textId="2FDB47CC" w:rsidR="006E7F9C" w:rsidRPr="00DA6326" w:rsidRDefault="00E453CD" w:rsidP="00BA47BC">
            <w:pPr>
              <w:pStyle w:val="TableText"/>
              <w:jc w:val="center"/>
              <w:rPr>
                <w:del w:id="2371" w:author="AbbVie02no" w:date="2025-05-15T12:36:00Z"/>
                <w:b/>
                <w:bCs/>
                <w:sz w:val="22"/>
                <w:lang w:val="nb-NO"/>
              </w:rPr>
            </w:pPr>
            <w:del w:id="2372" w:author="AbbVie02no" w:date="2025-05-15T12:36:00Z">
              <w:r w:rsidRPr="00DA6326">
                <w:rPr>
                  <w:b/>
                  <w:bCs/>
                  <w:sz w:val="22"/>
                  <w:lang w:val="nb-NO"/>
                </w:rPr>
                <w:delText>(Prosent av pasientene)</w:delText>
              </w:r>
            </w:del>
          </w:p>
        </w:tc>
      </w:tr>
      <w:tr w:rsidR="004644D4" w14:paraId="23C2E6B3" w14:textId="68C8BC62" w:rsidTr="00232766">
        <w:trPr>
          <w:cantSplit/>
          <w:del w:id="2373" w:author="AbbVie02no" w:date="2025-05-15T12:36:00Z"/>
        </w:trPr>
        <w:tc>
          <w:tcPr>
            <w:tcW w:w="2308" w:type="dxa"/>
          </w:tcPr>
          <w:p w14:paraId="0C60E84A" w14:textId="5766E860" w:rsidR="006E7F9C" w:rsidRPr="00DA6326" w:rsidRDefault="006E7F9C" w:rsidP="00BA47BC">
            <w:pPr>
              <w:pStyle w:val="TableText"/>
              <w:rPr>
                <w:del w:id="2374" w:author="AbbVie02no" w:date="2025-05-15T12:36:00Z"/>
                <w:b/>
                <w:bCs/>
                <w:sz w:val="22"/>
                <w:lang w:val="nb-NO"/>
              </w:rPr>
            </w:pPr>
          </w:p>
        </w:tc>
        <w:tc>
          <w:tcPr>
            <w:tcW w:w="3617" w:type="dxa"/>
            <w:gridSpan w:val="3"/>
          </w:tcPr>
          <w:p w14:paraId="7CBC0BD6" w14:textId="67B6AC4C" w:rsidR="006E7F9C" w:rsidRPr="009C5EFD" w:rsidRDefault="00E453CD" w:rsidP="00BA47BC">
            <w:pPr>
              <w:pStyle w:val="TableText"/>
              <w:rPr>
                <w:del w:id="2375" w:author="AbbVie02no" w:date="2025-05-15T12:36:00Z"/>
                <w:b/>
                <w:bCs/>
                <w:sz w:val="22"/>
                <w:lang w:val="nb-NO"/>
              </w:rPr>
            </w:pPr>
            <w:del w:id="2376" w:author="AbbVie02no" w:date="2025-05-15T12:36:00Z">
              <w:r w:rsidRPr="007F67EE">
                <w:rPr>
                  <w:b/>
                  <w:bCs/>
                  <w:sz w:val="22"/>
                  <w:lang w:val="nb-NO"/>
                </w:rPr>
                <w:delText>CD</w:delText>
              </w:r>
              <w:r w:rsidR="00721030" w:rsidRPr="00193D76">
                <w:rPr>
                  <w:b/>
                  <w:bCs/>
                  <w:sz w:val="22"/>
                  <w:lang w:val="nb-NO"/>
                </w:rPr>
                <w:delText>-</w:delText>
              </w:r>
              <w:r w:rsidR="00A06C05" w:rsidRPr="009C5EFD">
                <w:rPr>
                  <w:b/>
                  <w:bCs/>
                  <w:sz w:val="22"/>
                  <w:lang w:val="nb-NO"/>
                </w:rPr>
                <w:delText>s</w:delText>
              </w:r>
              <w:r w:rsidR="005C7ECD" w:rsidRPr="009C5EFD">
                <w:rPr>
                  <w:b/>
                  <w:bCs/>
                  <w:sz w:val="22"/>
                  <w:lang w:val="nb-NO"/>
                </w:rPr>
                <w:delText>tudie</w:delText>
              </w:r>
              <w:r w:rsidRPr="009C5EFD">
                <w:rPr>
                  <w:b/>
                  <w:bCs/>
                  <w:sz w:val="22"/>
                  <w:lang w:val="nb-NO"/>
                </w:rPr>
                <w:delText xml:space="preserve"> I: Infliksi</w:delText>
              </w:r>
              <w:r w:rsidR="005C7ECD" w:rsidRPr="009C5EFD">
                <w:rPr>
                  <w:b/>
                  <w:bCs/>
                  <w:sz w:val="22"/>
                  <w:lang w:val="nb-NO"/>
                </w:rPr>
                <w:delText>ma</w:delText>
              </w:r>
              <w:r w:rsidR="00A06C05" w:rsidRPr="009C5EFD">
                <w:rPr>
                  <w:b/>
                  <w:bCs/>
                  <w:sz w:val="22"/>
                  <w:lang w:val="nb-NO"/>
                </w:rPr>
                <w:delText>b naive p</w:delText>
              </w:r>
              <w:r w:rsidR="005C7ECD" w:rsidRPr="009C5EFD">
                <w:rPr>
                  <w:b/>
                  <w:bCs/>
                  <w:sz w:val="22"/>
                  <w:lang w:val="nb-NO"/>
                </w:rPr>
                <w:delText>asienter</w:delText>
              </w:r>
            </w:del>
          </w:p>
        </w:tc>
        <w:tc>
          <w:tcPr>
            <w:tcW w:w="3313" w:type="dxa"/>
            <w:gridSpan w:val="2"/>
          </w:tcPr>
          <w:p w14:paraId="551F1058" w14:textId="27CC6EF0" w:rsidR="006E7F9C" w:rsidRPr="009C5EFD" w:rsidRDefault="00E453CD" w:rsidP="00BA47BC">
            <w:pPr>
              <w:pStyle w:val="TableText"/>
              <w:rPr>
                <w:del w:id="2377" w:author="AbbVie02no" w:date="2025-05-15T12:36:00Z"/>
                <w:b/>
                <w:bCs/>
                <w:sz w:val="22"/>
                <w:lang w:val="nb-NO"/>
              </w:rPr>
            </w:pPr>
            <w:del w:id="2378" w:author="AbbVie02no" w:date="2025-05-15T12:36:00Z">
              <w:r w:rsidRPr="009C5EFD">
                <w:rPr>
                  <w:b/>
                  <w:bCs/>
                  <w:sz w:val="22"/>
                  <w:lang w:val="nb-NO"/>
                </w:rPr>
                <w:delText>CD</w:delText>
              </w:r>
              <w:r w:rsidR="00721030" w:rsidRPr="009C5EFD">
                <w:rPr>
                  <w:b/>
                  <w:bCs/>
                  <w:sz w:val="22"/>
                  <w:lang w:val="nb-NO"/>
                </w:rPr>
                <w:delText>-</w:delText>
              </w:r>
              <w:r w:rsidRPr="009C5EFD">
                <w:rPr>
                  <w:b/>
                  <w:bCs/>
                  <w:sz w:val="22"/>
                  <w:lang w:val="nb-NO"/>
                </w:rPr>
                <w:delText>s</w:delText>
              </w:r>
              <w:r w:rsidR="005C7ECD" w:rsidRPr="009C5EFD">
                <w:rPr>
                  <w:b/>
                  <w:bCs/>
                  <w:sz w:val="22"/>
                  <w:lang w:val="nb-NO"/>
                </w:rPr>
                <w:delText>tudie II: Infliksi</w:delText>
              </w:r>
              <w:r w:rsidRPr="009C5EFD">
                <w:rPr>
                  <w:b/>
                  <w:bCs/>
                  <w:sz w:val="22"/>
                  <w:lang w:val="nb-NO"/>
                </w:rPr>
                <w:delText>mab e</w:delText>
              </w:r>
              <w:r w:rsidR="005C7ECD" w:rsidRPr="009C5EFD">
                <w:rPr>
                  <w:b/>
                  <w:bCs/>
                  <w:sz w:val="22"/>
                  <w:lang w:val="nb-NO"/>
                </w:rPr>
                <w:delText>rfarne</w:delText>
              </w:r>
              <w:r w:rsidRPr="009C5EFD">
                <w:rPr>
                  <w:b/>
                  <w:bCs/>
                  <w:sz w:val="22"/>
                  <w:lang w:val="nb-NO"/>
                </w:rPr>
                <w:delText xml:space="preserve"> pa</w:delText>
              </w:r>
              <w:r w:rsidR="005C7ECD" w:rsidRPr="009C5EFD">
                <w:rPr>
                  <w:b/>
                  <w:bCs/>
                  <w:sz w:val="22"/>
                  <w:lang w:val="nb-NO"/>
                </w:rPr>
                <w:delText>sienter</w:delText>
              </w:r>
            </w:del>
          </w:p>
        </w:tc>
      </w:tr>
      <w:tr w:rsidR="004644D4" w14:paraId="73798C7D" w14:textId="26798451" w:rsidTr="00232766">
        <w:trPr>
          <w:cantSplit/>
          <w:del w:id="2379" w:author="AbbVie02no" w:date="2025-05-15T12:36:00Z"/>
        </w:trPr>
        <w:tc>
          <w:tcPr>
            <w:tcW w:w="2308" w:type="dxa"/>
          </w:tcPr>
          <w:p w14:paraId="071915A1" w14:textId="77EFFB93" w:rsidR="006E7F9C" w:rsidRPr="007F67EE" w:rsidRDefault="006E7F9C" w:rsidP="00BA47BC">
            <w:pPr>
              <w:pStyle w:val="TableText"/>
              <w:jc w:val="center"/>
              <w:rPr>
                <w:del w:id="2380" w:author="AbbVie02no" w:date="2025-05-15T12:36:00Z"/>
                <w:b/>
                <w:bCs/>
                <w:sz w:val="22"/>
                <w:lang w:val="nb-NO"/>
              </w:rPr>
            </w:pPr>
          </w:p>
        </w:tc>
        <w:tc>
          <w:tcPr>
            <w:tcW w:w="1192" w:type="dxa"/>
          </w:tcPr>
          <w:p w14:paraId="685F8898" w14:textId="48071A05" w:rsidR="006E7F9C" w:rsidRPr="007F67EE" w:rsidRDefault="00E453CD" w:rsidP="00BA47BC">
            <w:pPr>
              <w:pStyle w:val="TableText"/>
              <w:jc w:val="center"/>
              <w:rPr>
                <w:del w:id="2381" w:author="AbbVie02no" w:date="2025-05-15T12:36:00Z"/>
                <w:b/>
                <w:bCs/>
                <w:sz w:val="22"/>
                <w:lang w:val="fr-FR"/>
              </w:rPr>
            </w:pPr>
            <w:del w:id="2382" w:author="AbbVie02no" w:date="2025-05-15T12:36:00Z">
              <w:r w:rsidRPr="007F67EE">
                <w:rPr>
                  <w:b/>
                  <w:bCs/>
                  <w:sz w:val="22"/>
                  <w:lang w:val="fr-FR"/>
                </w:rPr>
                <w:delText>Placebo</w:delText>
              </w:r>
            </w:del>
          </w:p>
          <w:p w14:paraId="34081785" w14:textId="24B4A7AA" w:rsidR="006E7F9C" w:rsidRPr="00193D76" w:rsidRDefault="00E453CD" w:rsidP="00BA47BC">
            <w:pPr>
              <w:pStyle w:val="TableText"/>
              <w:jc w:val="center"/>
              <w:rPr>
                <w:del w:id="2383" w:author="AbbVie02no" w:date="2025-05-15T12:36:00Z"/>
                <w:b/>
                <w:bCs/>
                <w:sz w:val="22"/>
                <w:lang w:val="fr-FR"/>
              </w:rPr>
            </w:pPr>
            <w:del w:id="2384" w:author="AbbVie02no" w:date="2025-05-15T12:36:00Z">
              <w:r w:rsidRPr="00193D76">
                <w:rPr>
                  <w:b/>
                  <w:bCs/>
                  <w:sz w:val="22"/>
                  <w:lang w:val="fr-FR"/>
                </w:rPr>
                <w:delText>N=74</w:delText>
              </w:r>
            </w:del>
          </w:p>
        </w:tc>
        <w:tc>
          <w:tcPr>
            <w:tcW w:w="1249" w:type="dxa"/>
          </w:tcPr>
          <w:p w14:paraId="357B1D2A" w14:textId="6E429644" w:rsidR="006E7F9C" w:rsidRPr="002D0790" w:rsidRDefault="00E453CD" w:rsidP="00BA47BC">
            <w:pPr>
              <w:pStyle w:val="TableText"/>
              <w:jc w:val="center"/>
              <w:rPr>
                <w:del w:id="2385" w:author="AbbVie02no" w:date="2025-05-15T12:36:00Z"/>
                <w:b/>
                <w:bCs/>
                <w:sz w:val="22"/>
                <w:lang w:val="fr-FR"/>
              </w:rPr>
            </w:pPr>
            <w:del w:id="2386" w:author="AbbVie02no" w:date="2025-05-15T12:36:00Z">
              <w:r w:rsidRPr="002D0790">
                <w:rPr>
                  <w:b/>
                  <w:bCs/>
                  <w:sz w:val="22"/>
                  <w:lang w:val="fr-FR"/>
                </w:rPr>
                <w:delText>Humira</w:delText>
              </w:r>
            </w:del>
          </w:p>
          <w:p w14:paraId="4F1A918C" w14:textId="0709FFE5" w:rsidR="006E7F9C" w:rsidRPr="002D0790" w:rsidRDefault="00E453CD" w:rsidP="00BA47BC">
            <w:pPr>
              <w:pStyle w:val="TableText"/>
              <w:jc w:val="center"/>
              <w:rPr>
                <w:del w:id="2387" w:author="AbbVie02no" w:date="2025-05-15T12:36:00Z"/>
                <w:b/>
                <w:bCs/>
                <w:sz w:val="22"/>
                <w:lang w:val="fr-FR"/>
              </w:rPr>
            </w:pPr>
            <w:del w:id="2388" w:author="AbbVie02no" w:date="2025-05-15T12:36:00Z">
              <w:r w:rsidRPr="002D0790">
                <w:rPr>
                  <w:b/>
                  <w:bCs/>
                  <w:sz w:val="22"/>
                  <w:lang w:val="fr-FR"/>
                </w:rPr>
                <w:delText>80/40 mg</w:delText>
              </w:r>
            </w:del>
          </w:p>
          <w:p w14:paraId="494E9807" w14:textId="1DB5CAE4" w:rsidR="006E7F9C" w:rsidRPr="00E14E58" w:rsidRDefault="00E453CD" w:rsidP="00BA47BC">
            <w:pPr>
              <w:pStyle w:val="TableText"/>
              <w:jc w:val="center"/>
              <w:rPr>
                <w:del w:id="2389" w:author="AbbVie02no" w:date="2025-05-15T12:36:00Z"/>
                <w:b/>
                <w:bCs/>
                <w:sz w:val="22"/>
                <w:lang w:val="fr-FR"/>
              </w:rPr>
            </w:pPr>
            <w:del w:id="2390" w:author="AbbVie02no" w:date="2025-05-15T12:36:00Z">
              <w:r w:rsidRPr="00E14E58">
                <w:rPr>
                  <w:b/>
                  <w:bCs/>
                  <w:sz w:val="22"/>
                  <w:lang w:val="fr-FR"/>
                </w:rPr>
                <w:delText>N=75</w:delText>
              </w:r>
            </w:del>
          </w:p>
        </w:tc>
        <w:tc>
          <w:tcPr>
            <w:tcW w:w="1176" w:type="dxa"/>
          </w:tcPr>
          <w:p w14:paraId="672B1B28" w14:textId="33F2F3D7" w:rsidR="006E7F9C" w:rsidRPr="009C5EFD" w:rsidRDefault="00E453CD" w:rsidP="00BA47BC">
            <w:pPr>
              <w:pStyle w:val="TableText"/>
              <w:jc w:val="center"/>
              <w:rPr>
                <w:del w:id="2391" w:author="AbbVie02no" w:date="2025-05-15T12:36:00Z"/>
                <w:b/>
                <w:bCs/>
                <w:sz w:val="22"/>
                <w:lang w:val="fr-FR"/>
              </w:rPr>
            </w:pPr>
            <w:del w:id="2392" w:author="AbbVie02no" w:date="2025-05-15T12:36:00Z">
              <w:r w:rsidRPr="009C5EFD">
                <w:rPr>
                  <w:b/>
                  <w:bCs/>
                  <w:sz w:val="22"/>
                  <w:lang w:val="fr-FR"/>
                </w:rPr>
                <w:delText xml:space="preserve">Humira </w:delText>
              </w:r>
            </w:del>
          </w:p>
          <w:p w14:paraId="7BBDCCD5" w14:textId="1D2A4583" w:rsidR="006E7F9C" w:rsidRPr="009C5EFD" w:rsidRDefault="00E453CD" w:rsidP="00BA47BC">
            <w:pPr>
              <w:pStyle w:val="TableText"/>
              <w:jc w:val="center"/>
              <w:rPr>
                <w:del w:id="2393" w:author="AbbVie02no" w:date="2025-05-15T12:36:00Z"/>
                <w:b/>
                <w:bCs/>
                <w:sz w:val="22"/>
                <w:lang w:val="fr-FR"/>
              </w:rPr>
            </w:pPr>
            <w:del w:id="2394" w:author="AbbVie02no" w:date="2025-05-15T12:36:00Z">
              <w:r w:rsidRPr="009C5EFD">
                <w:rPr>
                  <w:b/>
                  <w:bCs/>
                  <w:sz w:val="22"/>
                  <w:lang w:val="fr-FR"/>
                </w:rPr>
                <w:delText>160/80 mg N=76</w:delText>
              </w:r>
            </w:del>
          </w:p>
        </w:tc>
        <w:tc>
          <w:tcPr>
            <w:tcW w:w="1495" w:type="dxa"/>
          </w:tcPr>
          <w:p w14:paraId="3B67F885" w14:textId="5D8112D0" w:rsidR="006E7F9C" w:rsidRPr="009C5EFD" w:rsidRDefault="00E453CD" w:rsidP="00BA47BC">
            <w:pPr>
              <w:pStyle w:val="TableText"/>
              <w:jc w:val="center"/>
              <w:rPr>
                <w:del w:id="2395" w:author="AbbVie02no" w:date="2025-05-15T12:36:00Z"/>
                <w:b/>
                <w:bCs/>
                <w:sz w:val="22"/>
                <w:lang w:val="fr-FR"/>
              </w:rPr>
            </w:pPr>
            <w:del w:id="2396" w:author="AbbVie02no" w:date="2025-05-15T12:36:00Z">
              <w:r w:rsidRPr="009C5EFD">
                <w:rPr>
                  <w:b/>
                  <w:bCs/>
                  <w:sz w:val="22"/>
                  <w:lang w:val="fr-FR"/>
                </w:rPr>
                <w:delText>Placebo</w:delText>
              </w:r>
            </w:del>
          </w:p>
          <w:p w14:paraId="1EB5EAF3" w14:textId="29058B39" w:rsidR="006E7F9C" w:rsidRPr="009C5EFD" w:rsidRDefault="00E453CD" w:rsidP="00BA47BC">
            <w:pPr>
              <w:pStyle w:val="TableText"/>
              <w:jc w:val="center"/>
              <w:rPr>
                <w:del w:id="2397" w:author="AbbVie02no" w:date="2025-05-15T12:36:00Z"/>
                <w:b/>
                <w:bCs/>
                <w:sz w:val="22"/>
                <w:lang w:val="fr-FR"/>
              </w:rPr>
            </w:pPr>
            <w:del w:id="2398" w:author="AbbVie02no" w:date="2025-05-15T12:36:00Z">
              <w:r w:rsidRPr="009C5EFD">
                <w:rPr>
                  <w:b/>
                  <w:bCs/>
                  <w:sz w:val="22"/>
                  <w:lang w:val="fr-FR"/>
                </w:rPr>
                <w:delText>N=166</w:delText>
              </w:r>
            </w:del>
          </w:p>
        </w:tc>
        <w:tc>
          <w:tcPr>
            <w:tcW w:w="1818" w:type="dxa"/>
          </w:tcPr>
          <w:p w14:paraId="44031D95" w14:textId="20F780B0" w:rsidR="006E7F9C" w:rsidRPr="009C5EFD" w:rsidRDefault="00E453CD" w:rsidP="00BA47BC">
            <w:pPr>
              <w:pStyle w:val="TableText"/>
              <w:jc w:val="center"/>
              <w:rPr>
                <w:del w:id="2399" w:author="AbbVie02no" w:date="2025-05-15T12:36:00Z"/>
                <w:b/>
                <w:bCs/>
                <w:sz w:val="22"/>
                <w:lang w:val="fr-FR"/>
              </w:rPr>
            </w:pPr>
            <w:del w:id="2400" w:author="AbbVie02no" w:date="2025-05-15T12:36:00Z">
              <w:r w:rsidRPr="009C5EFD">
                <w:rPr>
                  <w:b/>
                  <w:bCs/>
                  <w:sz w:val="22"/>
                  <w:lang w:val="fr-FR"/>
                </w:rPr>
                <w:delText xml:space="preserve">Humira </w:delText>
              </w:r>
            </w:del>
          </w:p>
          <w:p w14:paraId="4692A489" w14:textId="648BF1CB" w:rsidR="006E7F9C" w:rsidRPr="009C5EFD" w:rsidRDefault="00E453CD" w:rsidP="00BA47BC">
            <w:pPr>
              <w:pStyle w:val="TableText"/>
              <w:jc w:val="center"/>
              <w:rPr>
                <w:del w:id="2401" w:author="AbbVie02no" w:date="2025-05-15T12:36:00Z"/>
                <w:b/>
                <w:bCs/>
                <w:sz w:val="22"/>
                <w:lang w:val="fr-FR"/>
              </w:rPr>
            </w:pPr>
            <w:del w:id="2402" w:author="AbbVie02no" w:date="2025-05-15T12:36:00Z">
              <w:r w:rsidRPr="009C5EFD">
                <w:rPr>
                  <w:b/>
                  <w:bCs/>
                  <w:sz w:val="22"/>
                  <w:lang w:val="fr-FR"/>
                </w:rPr>
                <w:delText>160/80 mg</w:delText>
              </w:r>
            </w:del>
          </w:p>
          <w:p w14:paraId="02BEF995" w14:textId="7B6D2D8D" w:rsidR="006E7F9C" w:rsidRPr="002C5CDB" w:rsidRDefault="00E453CD" w:rsidP="00BA47BC">
            <w:pPr>
              <w:pStyle w:val="TableText"/>
              <w:jc w:val="center"/>
              <w:rPr>
                <w:del w:id="2403" w:author="AbbVie02no" w:date="2025-05-15T12:36:00Z"/>
                <w:b/>
                <w:bCs/>
                <w:sz w:val="22"/>
                <w:lang w:val="nb-NO"/>
                <w:rPrChange w:id="2404" w:author="AbbVie05no" w:date="2025-05-19T10:32:00Z">
                  <w:rPr>
                    <w:del w:id="2405" w:author="AbbVie02no" w:date="2025-05-15T12:36:00Z"/>
                    <w:b/>
                    <w:bCs/>
                    <w:sz w:val="22"/>
                    <w:lang w:val="en-GB"/>
                  </w:rPr>
                </w:rPrChange>
              </w:rPr>
            </w:pPr>
            <w:del w:id="2406" w:author="AbbVie02no" w:date="2025-05-15T12:36:00Z">
              <w:r w:rsidRPr="002C5CDB">
                <w:rPr>
                  <w:b/>
                  <w:bCs/>
                  <w:sz w:val="22"/>
                  <w:lang w:val="nb-NO"/>
                  <w:rPrChange w:id="2407" w:author="AbbVie05no" w:date="2025-05-19T10:32:00Z">
                    <w:rPr>
                      <w:b/>
                      <w:bCs/>
                      <w:sz w:val="22"/>
                      <w:lang w:val="en-GB"/>
                    </w:rPr>
                  </w:rPrChange>
                </w:rPr>
                <w:delText>N=159</w:delText>
              </w:r>
            </w:del>
          </w:p>
        </w:tc>
      </w:tr>
      <w:tr w:rsidR="004644D4" w14:paraId="734FEA6F" w14:textId="3D9DA4F4" w:rsidTr="00232766">
        <w:trPr>
          <w:cantSplit/>
          <w:del w:id="2408" w:author="AbbVie02no" w:date="2025-05-15T12:36:00Z"/>
        </w:trPr>
        <w:tc>
          <w:tcPr>
            <w:tcW w:w="2308" w:type="dxa"/>
            <w:vAlign w:val="bottom"/>
          </w:tcPr>
          <w:p w14:paraId="190F7C92" w14:textId="0F3C9EE6" w:rsidR="006E7F9C" w:rsidRPr="002C5CDB" w:rsidRDefault="00E453CD" w:rsidP="00BA47BC">
            <w:pPr>
              <w:pStyle w:val="TableText"/>
              <w:rPr>
                <w:del w:id="2409" w:author="AbbVie02no" w:date="2025-05-15T12:36:00Z"/>
                <w:sz w:val="22"/>
                <w:lang w:val="nb-NO"/>
                <w:rPrChange w:id="2410" w:author="AbbVie05no" w:date="2025-05-19T10:32:00Z">
                  <w:rPr>
                    <w:del w:id="2411" w:author="AbbVie02no" w:date="2025-05-15T12:36:00Z"/>
                    <w:sz w:val="22"/>
                    <w:lang w:val="en-GB"/>
                  </w:rPr>
                </w:rPrChange>
              </w:rPr>
            </w:pPr>
            <w:del w:id="2412" w:author="AbbVie02no" w:date="2025-05-15T12:36:00Z">
              <w:r w:rsidRPr="002C5CDB">
                <w:rPr>
                  <w:sz w:val="22"/>
                  <w:lang w:val="nb-NO"/>
                  <w:rPrChange w:id="2413" w:author="AbbVie05no" w:date="2025-05-19T10:32:00Z">
                    <w:rPr>
                      <w:sz w:val="22"/>
                      <w:lang w:val="en-GB"/>
                    </w:rPr>
                  </w:rPrChange>
                </w:rPr>
                <w:delText>Uke 4</w:delText>
              </w:r>
            </w:del>
          </w:p>
        </w:tc>
        <w:tc>
          <w:tcPr>
            <w:tcW w:w="1192" w:type="dxa"/>
            <w:vAlign w:val="bottom"/>
          </w:tcPr>
          <w:p w14:paraId="022A997A" w14:textId="23A88C63" w:rsidR="006E7F9C" w:rsidRPr="002C5CDB" w:rsidRDefault="006E7F9C" w:rsidP="00BA47BC">
            <w:pPr>
              <w:pStyle w:val="TableText"/>
              <w:rPr>
                <w:del w:id="2414" w:author="AbbVie02no" w:date="2025-05-15T12:36:00Z"/>
                <w:sz w:val="22"/>
                <w:lang w:val="nb-NO"/>
                <w:rPrChange w:id="2415" w:author="AbbVie05no" w:date="2025-05-19T10:32:00Z">
                  <w:rPr>
                    <w:del w:id="2416" w:author="AbbVie02no" w:date="2025-05-15T12:36:00Z"/>
                    <w:sz w:val="22"/>
                    <w:lang w:val="en-GB"/>
                  </w:rPr>
                </w:rPrChange>
              </w:rPr>
            </w:pPr>
          </w:p>
        </w:tc>
        <w:tc>
          <w:tcPr>
            <w:tcW w:w="1249" w:type="dxa"/>
            <w:vAlign w:val="bottom"/>
          </w:tcPr>
          <w:p w14:paraId="374E85C8" w14:textId="141E7999" w:rsidR="006E7F9C" w:rsidRPr="002C5CDB" w:rsidRDefault="006E7F9C" w:rsidP="00BA47BC">
            <w:pPr>
              <w:pStyle w:val="TableText"/>
              <w:rPr>
                <w:del w:id="2417" w:author="AbbVie02no" w:date="2025-05-15T12:36:00Z"/>
                <w:sz w:val="22"/>
                <w:lang w:val="nb-NO"/>
                <w:rPrChange w:id="2418" w:author="AbbVie05no" w:date="2025-05-19T10:32:00Z">
                  <w:rPr>
                    <w:del w:id="2419" w:author="AbbVie02no" w:date="2025-05-15T12:36:00Z"/>
                    <w:sz w:val="22"/>
                    <w:lang w:val="en-GB"/>
                  </w:rPr>
                </w:rPrChange>
              </w:rPr>
            </w:pPr>
          </w:p>
        </w:tc>
        <w:tc>
          <w:tcPr>
            <w:tcW w:w="1176" w:type="dxa"/>
            <w:vAlign w:val="bottom"/>
          </w:tcPr>
          <w:p w14:paraId="5A6F26CB" w14:textId="702BAEEE" w:rsidR="006E7F9C" w:rsidRPr="002C5CDB" w:rsidRDefault="006E7F9C" w:rsidP="00BA47BC">
            <w:pPr>
              <w:pStyle w:val="TableText"/>
              <w:rPr>
                <w:del w:id="2420" w:author="AbbVie02no" w:date="2025-05-15T12:36:00Z"/>
                <w:sz w:val="22"/>
                <w:lang w:val="nb-NO"/>
                <w:rPrChange w:id="2421" w:author="AbbVie05no" w:date="2025-05-19T10:32:00Z">
                  <w:rPr>
                    <w:del w:id="2422" w:author="AbbVie02no" w:date="2025-05-15T12:36:00Z"/>
                    <w:sz w:val="22"/>
                    <w:lang w:val="en-GB"/>
                  </w:rPr>
                </w:rPrChange>
              </w:rPr>
            </w:pPr>
          </w:p>
        </w:tc>
        <w:tc>
          <w:tcPr>
            <w:tcW w:w="1495" w:type="dxa"/>
            <w:vAlign w:val="bottom"/>
          </w:tcPr>
          <w:p w14:paraId="7530221E" w14:textId="56E2E42F" w:rsidR="006E7F9C" w:rsidRPr="002C5CDB" w:rsidRDefault="006E7F9C" w:rsidP="00BA47BC">
            <w:pPr>
              <w:pStyle w:val="TableText"/>
              <w:rPr>
                <w:del w:id="2423" w:author="AbbVie02no" w:date="2025-05-15T12:36:00Z"/>
                <w:sz w:val="22"/>
                <w:lang w:val="nb-NO"/>
                <w:rPrChange w:id="2424" w:author="AbbVie05no" w:date="2025-05-19T10:32:00Z">
                  <w:rPr>
                    <w:del w:id="2425" w:author="AbbVie02no" w:date="2025-05-15T12:36:00Z"/>
                    <w:sz w:val="22"/>
                    <w:lang w:val="en-GB"/>
                  </w:rPr>
                </w:rPrChange>
              </w:rPr>
            </w:pPr>
          </w:p>
        </w:tc>
        <w:tc>
          <w:tcPr>
            <w:tcW w:w="1818" w:type="dxa"/>
            <w:vAlign w:val="bottom"/>
          </w:tcPr>
          <w:p w14:paraId="5299DA13" w14:textId="5958C580" w:rsidR="006E7F9C" w:rsidRPr="002C5CDB" w:rsidRDefault="006E7F9C" w:rsidP="00BA47BC">
            <w:pPr>
              <w:pStyle w:val="TableText"/>
              <w:rPr>
                <w:del w:id="2426" w:author="AbbVie02no" w:date="2025-05-15T12:36:00Z"/>
                <w:sz w:val="22"/>
                <w:lang w:val="nb-NO"/>
                <w:rPrChange w:id="2427" w:author="AbbVie05no" w:date="2025-05-19T10:32:00Z">
                  <w:rPr>
                    <w:del w:id="2428" w:author="AbbVie02no" w:date="2025-05-15T12:36:00Z"/>
                    <w:sz w:val="22"/>
                    <w:lang w:val="en-GB"/>
                  </w:rPr>
                </w:rPrChange>
              </w:rPr>
            </w:pPr>
          </w:p>
        </w:tc>
      </w:tr>
      <w:tr w:rsidR="004644D4" w14:paraId="12677943" w14:textId="3031B480" w:rsidTr="00232766">
        <w:trPr>
          <w:cantSplit/>
          <w:del w:id="2429" w:author="AbbVie02no" w:date="2025-05-15T12:36:00Z"/>
        </w:trPr>
        <w:tc>
          <w:tcPr>
            <w:tcW w:w="2308" w:type="dxa"/>
            <w:vAlign w:val="bottom"/>
          </w:tcPr>
          <w:p w14:paraId="5BE194DD" w14:textId="70524A3C" w:rsidR="006E7F9C" w:rsidRPr="002C5CDB" w:rsidRDefault="00E453CD" w:rsidP="00BA47BC">
            <w:pPr>
              <w:pStyle w:val="TableText"/>
              <w:rPr>
                <w:del w:id="2430" w:author="AbbVie02no" w:date="2025-05-15T12:36:00Z"/>
                <w:sz w:val="22"/>
                <w:lang w:val="nb-NO"/>
                <w:rPrChange w:id="2431" w:author="AbbVie05no" w:date="2025-05-19T10:32:00Z">
                  <w:rPr>
                    <w:del w:id="2432" w:author="AbbVie02no" w:date="2025-05-15T12:36:00Z"/>
                    <w:sz w:val="22"/>
                    <w:lang w:val="en-GB"/>
                  </w:rPr>
                </w:rPrChange>
              </w:rPr>
            </w:pPr>
            <w:del w:id="2433" w:author="AbbVie02no" w:date="2025-05-15T12:36:00Z">
              <w:r w:rsidRPr="002C5CDB">
                <w:rPr>
                  <w:sz w:val="22"/>
                  <w:lang w:val="nb-NO"/>
                  <w:rPrChange w:id="2434" w:author="AbbVie05no" w:date="2025-05-19T10:32:00Z">
                    <w:rPr>
                      <w:sz w:val="22"/>
                      <w:lang w:val="en-GB"/>
                    </w:rPr>
                  </w:rPrChange>
                </w:rPr>
                <w:delText>Klinisk remisjon</w:delText>
              </w:r>
            </w:del>
          </w:p>
        </w:tc>
        <w:tc>
          <w:tcPr>
            <w:tcW w:w="1192" w:type="dxa"/>
            <w:vAlign w:val="bottom"/>
          </w:tcPr>
          <w:p w14:paraId="7818DBE4" w14:textId="2ED77393" w:rsidR="006E7F9C" w:rsidRPr="002C5CDB" w:rsidRDefault="00E453CD" w:rsidP="00BA47BC">
            <w:pPr>
              <w:pStyle w:val="TableText"/>
              <w:jc w:val="center"/>
              <w:rPr>
                <w:del w:id="2435" w:author="AbbVie02no" w:date="2025-05-15T12:36:00Z"/>
                <w:sz w:val="22"/>
                <w:lang w:val="nb-NO"/>
                <w:rPrChange w:id="2436" w:author="AbbVie05no" w:date="2025-05-19T10:32:00Z">
                  <w:rPr>
                    <w:del w:id="2437" w:author="AbbVie02no" w:date="2025-05-15T12:36:00Z"/>
                    <w:sz w:val="22"/>
                    <w:lang w:val="en-GB"/>
                  </w:rPr>
                </w:rPrChange>
              </w:rPr>
            </w:pPr>
            <w:del w:id="2438" w:author="AbbVie02no" w:date="2025-05-15T12:36:00Z">
              <w:r w:rsidRPr="002C5CDB">
                <w:rPr>
                  <w:sz w:val="22"/>
                  <w:lang w:val="nb-NO"/>
                  <w:rPrChange w:id="2439" w:author="AbbVie05no" w:date="2025-05-19T10:32:00Z">
                    <w:rPr>
                      <w:sz w:val="22"/>
                      <w:lang w:val="en-GB"/>
                    </w:rPr>
                  </w:rPrChange>
                </w:rPr>
                <w:delText>12</w:delText>
              </w:r>
              <w:r w:rsidR="00A06C05" w:rsidRPr="002C5CDB">
                <w:rPr>
                  <w:sz w:val="22"/>
                  <w:lang w:val="nb-NO"/>
                  <w:rPrChange w:id="2440" w:author="AbbVie05no" w:date="2025-05-19T10:32:00Z">
                    <w:rPr>
                      <w:sz w:val="22"/>
                      <w:lang w:val="en-GB"/>
                    </w:rPr>
                  </w:rPrChange>
                </w:rPr>
                <w:delText xml:space="preserve"> </w:delText>
              </w:r>
              <w:r w:rsidRPr="002C5CDB">
                <w:rPr>
                  <w:sz w:val="22"/>
                  <w:lang w:val="nb-NO"/>
                  <w:rPrChange w:id="2441" w:author="AbbVie05no" w:date="2025-05-19T10:32:00Z">
                    <w:rPr>
                      <w:sz w:val="22"/>
                      <w:lang w:val="en-GB"/>
                    </w:rPr>
                  </w:rPrChange>
                </w:rPr>
                <w:delText>%</w:delText>
              </w:r>
            </w:del>
          </w:p>
        </w:tc>
        <w:tc>
          <w:tcPr>
            <w:tcW w:w="1249" w:type="dxa"/>
            <w:vAlign w:val="bottom"/>
          </w:tcPr>
          <w:p w14:paraId="6CB8B276" w14:textId="2EA868A1" w:rsidR="006E7F9C" w:rsidRPr="002C5CDB" w:rsidRDefault="00E453CD" w:rsidP="00BA47BC">
            <w:pPr>
              <w:pStyle w:val="TableText"/>
              <w:jc w:val="center"/>
              <w:rPr>
                <w:del w:id="2442" w:author="AbbVie02no" w:date="2025-05-15T12:36:00Z"/>
                <w:bCs/>
                <w:iCs/>
                <w:sz w:val="22"/>
                <w:lang w:val="nb-NO"/>
                <w:rPrChange w:id="2443" w:author="AbbVie05no" w:date="2025-05-19T10:32:00Z">
                  <w:rPr>
                    <w:del w:id="2444" w:author="AbbVie02no" w:date="2025-05-15T12:36:00Z"/>
                    <w:bCs/>
                    <w:iCs/>
                    <w:sz w:val="22"/>
                    <w:lang w:val="en-GB"/>
                  </w:rPr>
                </w:rPrChange>
              </w:rPr>
            </w:pPr>
            <w:del w:id="2445" w:author="AbbVie02no" w:date="2025-05-15T12:36:00Z">
              <w:r w:rsidRPr="002C5CDB">
                <w:rPr>
                  <w:bCs/>
                  <w:iCs/>
                  <w:sz w:val="22"/>
                  <w:lang w:val="nb-NO"/>
                  <w:rPrChange w:id="2446" w:author="AbbVie05no" w:date="2025-05-19T10:32:00Z">
                    <w:rPr>
                      <w:bCs/>
                      <w:iCs/>
                      <w:sz w:val="22"/>
                      <w:lang w:val="en-GB"/>
                    </w:rPr>
                  </w:rPrChange>
                </w:rPr>
                <w:delText>24</w:delText>
              </w:r>
              <w:r w:rsidR="00A06C05" w:rsidRPr="002C5CDB">
                <w:rPr>
                  <w:bCs/>
                  <w:iCs/>
                  <w:sz w:val="22"/>
                  <w:lang w:val="nb-NO"/>
                  <w:rPrChange w:id="2447" w:author="AbbVie05no" w:date="2025-05-19T10:32:00Z">
                    <w:rPr>
                      <w:bCs/>
                      <w:iCs/>
                      <w:sz w:val="22"/>
                      <w:lang w:val="en-GB"/>
                    </w:rPr>
                  </w:rPrChange>
                </w:rPr>
                <w:delText xml:space="preserve"> </w:delText>
              </w:r>
              <w:r w:rsidRPr="002C5CDB">
                <w:rPr>
                  <w:bCs/>
                  <w:iCs/>
                  <w:sz w:val="22"/>
                  <w:lang w:val="nb-NO"/>
                  <w:rPrChange w:id="2448" w:author="AbbVie05no" w:date="2025-05-19T10:32:00Z">
                    <w:rPr>
                      <w:bCs/>
                      <w:iCs/>
                      <w:sz w:val="22"/>
                      <w:lang w:val="en-GB"/>
                    </w:rPr>
                  </w:rPrChange>
                </w:rPr>
                <w:delText>%</w:delText>
              </w:r>
            </w:del>
          </w:p>
        </w:tc>
        <w:tc>
          <w:tcPr>
            <w:tcW w:w="1176" w:type="dxa"/>
            <w:vAlign w:val="bottom"/>
          </w:tcPr>
          <w:p w14:paraId="04A343CB" w14:textId="7F9F2BE2" w:rsidR="006E7F9C" w:rsidRPr="002C5CDB" w:rsidRDefault="00E453CD" w:rsidP="00BA47BC">
            <w:pPr>
              <w:pStyle w:val="TableText"/>
              <w:jc w:val="center"/>
              <w:rPr>
                <w:del w:id="2449" w:author="AbbVie02no" w:date="2025-05-15T12:36:00Z"/>
                <w:bCs/>
                <w:iCs/>
                <w:sz w:val="22"/>
                <w:lang w:val="nb-NO"/>
                <w:rPrChange w:id="2450" w:author="AbbVie05no" w:date="2025-05-19T10:32:00Z">
                  <w:rPr>
                    <w:del w:id="2451" w:author="AbbVie02no" w:date="2025-05-15T12:36:00Z"/>
                    <w:bCs/>
                    <w:iCs/>
                    <w:sz w:val="22"/>
                    <w:lang w:val="en-GB"/>
                  </w:rPr>
                </w:rPrChange>
              </w:rPr>
            </w:pPr>
            <w:del w:id="2452" w:author="AbbVie02no" w:date="2025-05-15T12:36:00Z">
              <w:r w:rsidRPr="002C5CDB">
                <w:rPr>
                  <w:sz w:val="22"/>
                  <w:lang w:val="nb-NO"/>
                  <w:rPrChange w:id="2453" w:author="AbbVie05no" w:date="2025-05-19T10:32:00Z">
                    <w:rPr>
                      <w:sz w:val="22"/>
                      <w:lang w:val="en-GB"/>
                    </w:rPr>
                  </w:rPrChange>
                </w:rPr>
                <w:delText>36</w:delText>
              </w:r>
              <w:r w:rsidR="00A06C05" w:rsidRPr="002C5CDB">
                <w:rPr>
                  <w:sz w:val="22"/>
                  <w:lang w:val="nb-NO"/>
                  <w:rPrChange w:id="2454" w:author="AbbVie05no" w:date="2025-05-19T10:32:00Z">
                    <w:rPr>
                      <w:sz w:val="22"/>
                      <w:lang w:val="en-GB"/>
                    </w:rPr>
                  </w:rPrChange>
                </w:rPr>
                <w:delText xml:space="preserve"> </w:delText>
              </w:r>
              <w:r w:rsidRPr="002C5CDB">
                <w:rPr>
                  <w:sz w:val="22"/>
                  <w:lang w:val="nb-NO"/>
                  <w:rPrChange w:id="2455" w:author="AbbVie05no" w:date="2025-05-19T10:32:00Z">
                    <w:rPr>
                      <w:sz w:val="22"/>
                      <w:lang w:val="en-GB"/>
                    </w:rPr>
                  </w:rPrChange>
                </w:rPr>
                <w:delText>%</w:delText>
              </w:r>
              <w:r w:rsidRPr="002C5CDB">
                <w:rPr>
                  <w:sz w:val="22"/>
                  <w:vertAlign w:val="superscript"/>
                  <w:lang w:val="nb-NO"/>
                  <w:rPrChange w:id="2456" w:author="AbbVie05no" w:date="2025-05-19T10:32:00Z">
                    <w:rPr>
                      <w:sz w:val="22"/>
                      <w:vertAlign w:val="superscript"/>
                      <w:lang w:val="en-GB"/>
                    </w:rPr>
                  </w:rPrChange>
                </w:rPr>
                <w:delText>*</w:delText>
              </w:r>
            </w:del>
          </w:p>
        </w:tc>
        <w:tc>
          <w:tcPr>
            <w:tcW w:w="1495" w:type="dxa"/>
            <w:vAlign w:val="bottom"/>
          </w:tcPr>
          <w:p w14:paraId="066C7E05" w14:textId="63A3152E" w:rsidR="006E7F9C" w:rsidRPr="002C5CDB" w:rsidRDefault="00E453CD" w:rsidP="00BA47BC">
            <w:pPr>
              <w:pStyle w:val="TableText"/>
              <w:jc w:val="center"/>
              <w:rPr>
                <w:del w:id="2457" w:author="AbbVie02no" w:date="2025-05-15T12:36:00Z"/>
                <w:sz w:val="22"/>
                <w:lang w:val="nb-NO"/>
                <w:rPrChange w:id="2458" w:author="AbbVie05no" w:date="2025-05-19T10:32:00Z">
                  <w:rPr>
                    <w:del w:id="2459" w:author="AbbVie02no" w:date="2025-05-15T12:36:00Z"/>
                    <w:sz w:val="22"/>
                    <w:lang w:val="en-GB"/>
                  </w:rPr>
                </w:rPrChange>
              </w:rPr>
            </w:pPr>
            <w:del w:id="2460" w:author="AbbVie02no" w:date="2025-05-15T12:36:00Z">
              <w:r w:rsidRPr="002C5CDB">
                <w:rPr>
                  <w:sz w:val="22"/>
                  <w:lang w:val="nb-NO"/>
                  <w:rPrChange w:id="2461" w:author="AbbVie05no" w:date="2025-05-19T10:32:00Z">
                    <w:rPr>
                      <w:sz w:val="22"/>
                      <w:lang w:val="en-GB"/>
                    </w:rPr>
                  </w:rPrChange>
                </w:rPr>
                <w:delText>7</w:delText>
              </w:r>
              <w:r w:rsidR="00A06C05" w:rsidRPr="002C5CDB">
                <w:rPr>
                  <w:sz w:val="22"/>
                  <w:lang w:val="nb-NO"/>
                  <w:rPrChange w:id="2462" w:author="AbbVie05no" w:date="2025-05-19T10:32:00Z">
                    <w:rPr>
                      <w:sz w:val="22"/>
                      <w:lang w:val="en-GB"/>
                    </w:rPr>
                  </w:rPrChange>
                </w:rPr>
                <w:delText xml:space="preserve"> </w:delText>
              </w:r>
              <w:r w:rsidRPr="002C5CDB">
                <w:rPr>
                  <w:sz w:val="22"/>
                  <w:lang w:val="nb-NO"/>
                  <w:rPrChange w:id="2463" w:author="AbbVie05no" w:date="2025-05-19T10:32:00Z">
                    <w:rPr>
                      <w:sz w:val="22"/>
                      <w:lang w:val="en-GB"/>
                    </w:rPr>
                  </w:rPrChange>
                </w:rPr>
                <w:delText>%</w:delText>
              </w:r>
            </w:del>
          </w:p>
        </w:tc>
        <w:tc>
          <w:tcPr>
            <w:tcW w:w="1818" w:type="dxa"/>
            <w:vAlign w:val="bottom"/>
          </w:tcPr>
          <w:p w14:paraId="0B2B2CEF" w14:textId="0DE54917" w:rsidR="006E7F9C" w:rsidRPr="002C5CDB" w:rsidRDefault="00E453CD" w:rsidP="00BA47BC">
            <w:pPr>
              <w:pStyle w:val="TableText"/>
              <w:jc w:val="center"/>
              <w:rPr>
                <w:del w:id="2464" w:author="AbbVie02no" w:date="2025-05-15T12:36:00Z"/>
                <w:sz w:val="22"/>
                <w:lang w:val="nb-NO"/>
                <w:rPrChange w:id="2465" w:author="AbbVie05no" w:date="2025-05-19T10:32:00Z">
                  <w:rPr>
                    <w:del w:id="2466" w:author="AbbVie02no" w:date="2025-05-15T12:36:00Z"/>
                    <w:sz w:val="22"/>
                    <w:lang w:val="en-GB"/>
                  </w:rPr>
                </w:rPrChange>
              </w:rPr>
            </w:pPr>
            <w:del w:id="2467" w:author="AbbVie02no" w:date="2025-05-15T12:36:00Z">
              <w:r w:rsidRPr="002C5CDB">
                <w:rPr>
                  <w:sz w:val="22"/>
                  <w:lang w:val="nb-NO"/>
                  <w:rPrChange w:id="2468" w:author="AbbVie05no" w:date="2025-05-19T10:32:00Z">
                    <w:rPr>
                      <w:sz w:val="22"/>
                      <w:lang w:val="en-GB"/>
                    </w:rPr>
                  </w:rPrChange>
                </w:rPr>
                <w:delText>21</w:delText>
              </w:r>
              <w:r w:rsidR="00A06C05" w:rsidRPr="002C5CDB">
                <w:rPr>
                  <w:sz w:val="22"/>
                  <w:lang w:val="nb-NO"/>
                  <w:rPrChange w:id="2469" w:author="AbbVie05no" w:date="2025-05-19T10:32:00Z">
                    <w:rPr>
                      <w:sz w:val="22"/>
                      <w:lang w:val="en-GB"/>
                    </w:rPr>
                  </w:rPrChange>
                </w:rPr>
                <w:delText xml:space="preserve"> </w:delText>
              </w:r>
              <w:r w:rsidRPr="002C5CDB">
                <w:rPr>
                  <w:sz w:val="22"/>
                  <w:lang w:val="nb-NO"/>
                  <w:rPrChange w:id="2470" w:author="AbbVie05no" w:date="2025-05-19T10:32:00Z">
                    <w:rPr>
                      <w:sz w:val="22"/>
                      <w:lang w:val="en-GB"/>
                    </w:rPr>
                  </w:rPrChange>
                </w:rPr>
                <w:delText>%</w:delText>
              </w:r>
              <w:r w:rsidRPr="002C5CDB">
                <w:rPr>
                  <w:sz w:val="22"/>
                  <w:vertAlign w:val="superscript"/>
                  <w:lang w:val="nb-NO"/>
                  <w:rPrChange w:id="2471" w:author="AbbVie05no" w:date="2025-05-19T10:32:00Z">
                    <w:rPr>
                      <w:sz w:val="22"/>
                      <w:vertAlign w:val="superscript"/>
                      <w:lang w:val="en-GB"/>
                    </w:rPr>
                  </w:rPrChange>
                </w:rPr>
                <w:delText>*</w:delText>
              </w:r>
            </w:del>
          </w:p>
        </w:tc>
      </w:tr>
      <w:tr w:rsidR="004644D4" w14:paraId="3F5C985B" w14:textId="04EC14B5" w:rsidTr="00232766">
        <w:trPr>
          <w:cantSplit/>
          <w:del w:id="2472" w:author="AbbVie02no" w:date="2025-05-15T12:36:00Z"/>
        </w:trPr>
        <w:tc>
          <w:tcPr>
            <w:tcW w:w="2308" w:type="dxa"/>
            <w:tcBorders>
              <w:bottom w:val="single" w:sz="4" w:space="0" w:color="auto"/>
            </w:tcBorders>
          </w:tcPr>
          <w:p w14:paraId="26A3A7CE" w14:textId="07594B03" w:rsidR="006E7F9C" w:rsidRPr="002C5CDB" w:rsidRDefault="00E453CD" w:rsidP="00BA47BC">
            <w:pPr>
              <w:pStyle w:val="TableText"/>
              <w:rPr>
                <w:del w:id="2473" w:author="AbbVie02no" w:date="2025-05-15T12:36:00Z"/>
                <w:sz w:val="22"/>
                <w:lang w:val="nb-NO"/>
                <w:rPrChange w:id="2474" w:author="AbbVie05no" w:date="2025-05-19T10:32:00Z">
                  <w:rPr>
                    <w:del w:id="2475" w:author="AbbVie02no" w:date="2025-05-15T12:36:00Z"/>
                    <w:sz w:val="22"/>
                    <w:lang w:val="en-GB"/>
                  </w:rPr>
                </w:rPrChange>
              </w:rPr>
            </w:pPr>
            <w:del w:id="2476" w:author="AbbVie02no" w:date="2025-05-15T12:36:00Z">
              <w:r w:rsidRPr="002C5CDB">
                <w:rPr>
                  <w:sz w:val="22"/>
                  <w:lang w:val="nb-NO"/>
                  <w:rPrChange w:id="2477" w:author="AbbVie05no" w:date="2025-05-19T10:32:00Z">
                    <w:rPr>
                      <w:sz w:val="22"/>
                      <w:lang w:val="en-GB"/>
                    </w:rPr>
                  </w:rPrChange>
                </w:rPr>
                <w:delText>Klinisk respons (CR-100)</w:delText>
              </w:r>
            </w:del>
          </w:p>
        </w:tc>
        <w:tc>
          <w:tcPr>
            <w:tcW w:w="1192" w:type="dxa"/>
            <w:tcBorders>
              <w:bottom w:val="single" w:sz="4" w:space="0" w:color="auto"/>
            </w:tcBorders>
          </w:tcPr>
          <w:p w14:paraId="6F69409B" w14:textId="44303B60" w:rsidR="006E7F9C" w:rsidRPr="002C5CDB" w:rsidRDefault="00E453CD" w:rsidP="00BA47BC">
            <w:pPr>
              <w:pStyle w:val="TableText"/>
              <w:jc w:val="center"/>
              <w:rPr>
                <w:del w:id="2478" w:author="AbbVie02no" w:date="2025-05-15T12:36:00Z"/>
                <w:sz w:val="22"/>
                <w:lang w:val="nb-NO"/>
                <w:rPrChange w:id="2479" w:author="AbbVie05no" w:date="2025-05-19T10:32:00Z">
                  <w:rPr>
                    <w:del w:id="2480" w:author="AbbVie02no" w:date="2025-05-15T12:36:00Z"/>
                    <w:sz w:val="22"/>
                    <w:lang w:val="en-GB"/>
                  </w:rPr>
                </w:rPrChange>
              </w:rPr>
            </w:pPr>
            <w:del w:id="2481" w:author="AbbVie02no" w:date="2025-05-15T12:36:00Z">
              <w:r w:rsidRPr="002C5CDB">
                <w:rPr>
                  <w:sz w:val="22"/>
                  <w:lang w:val="nb-NO"/>
                  <w:rPrChange w:id="2482" w:author="AbbVie05no" w:date="2025-05-19T10:32:00Z">
                    <w:rPr>
                      <w:sz w:val="22"/>
                      <w:lang w:val="en-GB"/>
                    </w:rPr>
                  </w:rPrChange>
                </w:rPr>
                <w:delText>24</w:delText>
              </w:r>
              <w:r w:rsidR="00A06C05" w:rsidRPr="002C5CDB">
                <w:rPr>
                  <w:sz w:val="22"/>
                  <w:lang w:val="nb-NO"/>
                  <w:rPrChange w:id="2483" w:author="AbbVie05no" w:date="2025-05-19T10:32:00Z">
                    <w:rPr>
                      <w:sz w:val="22"/>
                      <w:lang w:val="en-GB"/>
                    </w:rPr>
                  </w:rPrChange>
                </w:rPr>
                <w:delText xml:space="preserve"> </w:delText>
              </w:r>
              <w:r w:rsidRPr="002C5CDB">
                <w:rPr>
                  <w:sz w:val="22"/>
                  <w:lang w:val="nb-NO"/>
                  <w:rPrChange w:id="2484" w:author="AbbVie05no" w:date="2025-05-19T10:32:00Z">
                    <w:rPr>
                      <w:sz w:val="22"/>
                      <w:lang w:val="en-GB"/>
                    </w:rPr>
                  </w:rPrChange>
                </w:rPr>
                <w:delText>%</w:delText>
              </w:r>
            </w:del>
          </w:p>
        </w:tc>
        <w:tc>
          <w:tcPr>
            <w:tcW w:w="1249" w:type="dxa"/>
            <w:tcBorders>
              <w:bottom w:val="single" w:sz="4" w:space="0" w:color="auto"/>
            </w:tcBorders>
          </w:tcPr>
          <w:p w14:paraId="33E0720C" w14:textId="4EA1BED6" w:rsidR="006E7F9C" w:rsidRPr="002C5CDB" w:rsidRDefault="00E453CD" w:rsidP="00BA47BC">
            <w:pPr>
              <w:pStyle w:val="TableText"/>
              <w:jc w:val="center"/>
              <w:rPr>
                <w:del w:id="2485" w:author="AbbVie02no" w:date="2025-05-15T12:36:00Z"/>
                <w:sz w:val="22"/>
                <w:lang w:val="nb-NO"/>
                <w:rPrChange w:id="2486" w:author="AbbVie05no" w:date="2025-05-19T10:32:00Z">
                  <w:rPr>
                    <w:del w:id="2487" w:author="AbbVie02no" w:date="2025-05-15T12:36:00Z"/>
                    <w:sz w:val="22"/>
                    <w:lang w:val="en-GB"/>
                  </w:rPr>
                </w:rPrChange>
              </w:rPr>
            </w:pPr>
            <w:del w:id="2488" w:author="AbbVie02no" w:date="2025-05-15T12:36:00Z">
              <w:r w:rsidRPr="002C5CDB">
                <w:rPr>
                  <w:sz w:val="22"/>
                  <w:lang w:val="nb-NO"/>
                  <w:rPrChange w:id="2489" w:author="AbbVie05no" w:date="2025-05-19T10:32:00Z">
                    <w:rPr>
                      <w:sz w:val="22"/>
                      <w:lang w:val="en-GB"/>
                    </w:rPr>
                  </w:rPrChange>
                </w:rPr>
                <w:delText>37</w:delText>
              </w:r>
              <w:r w:rsidR="00A06C05" w:rsidRPr="002C5CDB">
                <w:rPr>
                  <w:sz w:val="22"/>
                  <w:lang w:val="nb-NO"/>
                  <w:rPrChange w:id="2490" w:author="AbbVie05no" w:date="2025-05-19T10:32:00Z">
                    <w:rPr>
                      <w:sz w:val="22"/>
                      <w:lang w:val="en-GB"/>
                    </w:rPr>
                  </w:rPrChange>
                </w:rPr>
                <w:delText xml:space="preserve"> </w:delText>
              </w:r>
              <w:r w:rsidRPr="002C5CDB">
                <w:rPr>
                  <w:sz w:val="22"/>
                  <w:lang w:val="nb-NO"/>
                  <w:rPrChange w:id="2491" w:author="AbbVie05no" w:date="2025-05-19T10:32:00Z">
                    <w:rPr>
                      <w:sz w:val="22"/>
                      <w:lang w:val="en-GB"/>
                    </w:rPr>
                  </w:rPrChange>
                </w:rPr>
                <w:delText>%</w:delText>
              </w:r>
            </w:del>
          </w:p>
        </w:tc>
        <w:tc>
          <w:tcPr>
            <w:tcW w:w="1176" w:type="dxa"/>
            <w:tcBorders>
              <w:bottom w:val="single" w:sz="4" w:space="0" w:color="auto"/>
            </w:tcBorders>
          </w:tcPr>
          <w:p w14:paraId="4483F407" w14:textId="48B199FE" w:rsidR="006E7F9C" w:rsidRPr="002C5CDB" w:rsidRDefault="00E453CD" w:rsidP="00BA47BC">
            <w:pPr>
              <w:pStyle w:val="TableText"/>
              <w:jc w:val="center"/>
              <w:rPr>
                <w:del w:id="2492" w:author="AbbVie02no" w:date="2025-05-15T12:36:00Z"/>
                <w:sz w:val="22"/>
                <w:lang w:val="nb-NO"/>
                <w:rPrChange w:id="2493" w:author="AbbVie05no" w:date="2025-05-19T10:32:00Z">
                  <w:rPr>
                    <w:del w:id="2494" w:author="AbbVie02no" w:date="2025-05-15T12:36:00Z"/>
                    <w:sz w:val="22"/>
                    <w:lang w:val="en-GB"/>
                  </w:rPr>
                </w:rPrChange>
              </w:rPr>
            </w:pPr>
            <w:del w:id="2495" w:author="AbbVie02no" w:date="2025-05-15T12:36:00Z">
              <w:r w:rsidRPr="002C5CDB">
                <w:rPr>
                  <w:sz w:val="22"/>
                  <w:lang w:val="nb-NO"/>
                  <w:rPrChange w:id="2496" w:author="AbbVie05no" w:date="2025-05-19T10:32:00Z">
                    <w:rPr>
                      <w:sz w:val="22"/>
                      <w:lang w:val="en-GB"/>
                    </w:rPr>
                  </w:rPrChange>
                </w:rPr>
                <w:delText>49</w:delText>
              </w:r>
              <w:r w:rsidR="00A06C05" w:rsidRPr="002C5CDB">
                <w:rPr>
                  <w:sz w:val="22"/>
                  <w:lang w:val="nb-NO"/>
                  <w:rPrChange w:id="2497" w:author="AbbVie05no" w:date="2025-05-19T10:32:00Z">
                    <w:rPr>
                      <w:sz w:val="22"/>
                      <w:lang w:val="en-GB"/>
                    </w:rPr>
                  </w:rPrChange>
                </w:rPr>
                <w:delText xml:space="preserve"> </w:delText>
              </w:r>
              <w:r w:rsidRPr="002C5CDB">
                <w:rPr>
                  <w:sz w:val="22"/>
                  <w:lang w:val="nb-NO"/>
                  <w:rPrChange w:id="2498" w:author="AbbVie05no" w:date="2025-05-19T10:32:00Z">
                    <w:rPr>
                      <w:sz w:val="22"/>
                      <w:lang w:val="en-GB"/>
                    </w:rPr>
                  </w:rPrChange>
                </w:rPr>
                <w:delText>%</w:delText>
              </w:r>
              <w:r w:rsidRPr="002C5CDB">
                <w:rPr>
                  <w:sz w:val="22"/>
                  <w:vertAlign w:val="superscript"/>
                  <w:lang w:val="nb-NO"/>
                  <w:rPrChange w:id="2499" w:author="AbbVie05no" w:date="2025-05-19T10:32:00Z">
                    <w:rPr>
                      <w:sz w:val="22"/>
                      <w:vertAlign w:val="superscript"/>
                      <w:lang w:val="en-GB"/>
                    </w:rPr>
                  </w:rPrChange>
                </w:rPr>
                <w:delText>**</w:delText>
              </w:r>
            </w:del>
          </w:p>
        </w:tc>
        <w:tc>
          <w:tcPr>
            <w:tcW w:w="1495" w:type="dxa"/>
            <w:tcBorders>
              <w:bottom w:val="single" w:sz="4" w:space="0" w:color="auto"/>
            </w:tcBorders>
          </w:tcPr>
          <w:p w14:paraId="153576D4" w14:textId="456BE4DD" w:rsidR="006E7F9C" w:rsidRPr="002C5CDB" w:rsidRDefault="00E453CD" w:rsidP="00BA47BC">
            <w:pPr>
              <w:pStyle w:val="TableText"/>
              <w:jc w:val="center"/>
              <w:rPr>
                <w:del w:id="2500" w:author="AbbVie02no" w:date="2025-05-15T12:36:00Z"/>
                <w:sz w:val="22"/>
                <w:lang w:val="nb-NO"/>
                <w:rPrChange w:id="2501" w:author="AbbVie05no" w:date="2025-05-19T10:32:00Z">
                  <w:rPr>
                    <w:del w:id="2502" w:author="AbbVie02no" w:date="2025-05-15T12:36:00Z"/>
                    <w:sz w:val="22"/>
                    <w:lang w:val="en-GB"/>
                  </w:rPr>
                </w:rPrChange>
              </w:rPr>
            </w:pPr>
            <w:del w:id="2503" w:author="AbbVie02no" w:date="2025-05-15T12:36:00Z">
              <w:r w:rsidRPr="002C5CDB">
                <w:rPr>
                  <w:sz w:val="22"/>
                  <w:lang w:val="nb-NO"/>
                  <w:rPrChange w:id="2504" w:author="AbbVie05no" w:date="2025-05-19T10:32:00Z">
                    <w:rPr>
                      <w:sz w:val="22"/>
                      <w:lang w:val="en-GB"/>
                    </w:rPr>
                  </w:rPrChange>
                </w:rPr>
                <w:delText>25</w:delText>
              </w:r>
              <w:r w:rsidR="00A06C05" w:rsidRPr="002C5CDB">
                <w:rPr>
                  <w:sz w:val="22"/>
                  <w:lang w:val="nb-NO"/>
                  <w:rPrChange w:id="2505" w:author="AbbVie05no" w:date="2025-05-19T10:32:00Z">
                    <w:rPr>
                      <w:sz w:val="22"/>
                      <w:lang w:val="en-GB"/>
                    </w:rPr>
                  </w:rPrChange>
                </w:rPr>
                <w:delText xml:space="preserve"> </w:delText>
              </w:r>
              <w:r w:rsidRPr="002C5CDB">
                <w:rPr>
                  <w:sz w:val="22"/>
                  <w:lang w:val="nb-NO"/>
                  <w:rPrChange w:id="2506" w:author="AbbVie05no" w:date="2025-05-19T10:32:00Z">
                    <w:rPr>
                      <w:sz w:val="22"/>
                      <w:lang w:val="en-GB"/>
                    </w:rPr>
                  </w:rPrChange>
                </w:rPr>
                <w:delText>%</w:delText>
              </w:r>
            </w:del>
          </w:p>
        </w:tc>
        <w:tc>
          <w:tcPr>
            <w:tcW w:w="1818" w:type="dxa"/>
            <w:tcBorders>
              <w:bottom w:val="single" w:sz="4" w:space="0" w:color="auto"/>
            </w:tcBorders>
          </w:tcPr>
          <w:p w14:paraId="3F1C6507" w14:textId="59113A07" w:rsidR="006E7F9C" w:rsidRPr="002C5CDB" w:rsidRDefault="00E453CD" w:rsidP="00BA47BC">
            <w:pPr>
              <w:pStyle w:val="TableText"/>
              <w:jc w:val="center"/>
              <w:rPr>
                <w:del w:id="2507" w:author="AbbVie02no" w:date="2025-05-15T12:36:00Z"/>
                <w:sz w:val="22"/>
                <w:lang w:val="nb-NO"/>
                <w:rPrChange w:id="2508" w:author="AbbVie05no" w:date="2025-05-19T10:32:00Z">
                  <w:rPr>
                    <w:del w:id="2509" w:author="AbbVie02no" w:date="2025-05-15T12:36:00Z"/>
                    <w:sz w:val="22"/>
                    <w:lang w:val="en-GB"/>
                  </w:rPr>
                </w:rPrChange>
              </w:rPr>
            </w:pPr>
            <w:del w:id="2510" w:author="AbbVie02no" w:date="2025-05-15T12:36:00Z">
              <w:r w:rsidRPr="002C5CDB">
                <w:rPr>
                  <w:sz w:val="22"/>
                  <w:lang w:val="nb-NO"/>
                  <w:rPrChange w:id="2511" w:author="AbbVie05no" w:date="2025-05-19T10:32:00Z">
                    <w:rPr>
                      <w:sz w:val="22"/>
                      <w:lang w:val="en-GB"/>
                    </w:rPr>
                  </w:rPrChange>
                </w:rPr>
                <w:delText>38</w:delText>
              </w:r>
              <w:r w:rsidR="00A06C05" w:rsidRPr="002C5CDB">
                <w:rPr>
                  <w:sz w:val="22"/>
                  <w:lang w:val="nb-NO"/>
                  <w:rPrChange w:id="2512" w:author="AbbVie05no" w:date="2025-05-19T10:32:00Z">
                    <w:rPr>
                      <w:sz w:val="22"/>
                      <w:lang w:val="en-GB"/>
                    </w:rPr>
                  </w:rPrChange>
                </w:rPr>
                <w:delText xml:space="preserve"> </w:delText>
              </w:r>
              <w:r w:rsidRPr="002C5CDB">
                <w:rPr>
                  <w:sz w:val="22"/>
                  <w:lang w:val="nb-NO"/>
                  <w:rPrChange w:id="2513" w:author="AbbVie05no" w:date="2025-05-19T10:32:00Z">
                    <w:rPr>
                      <w:sz w:val="22"/>
                      <w:lang w:val="en-GB"/>
                    </w:rPr>
                  </w:rPrChange>
                </w:rPr>
                <w:delText>%</w:delText>
              </w:r>
              <w:r w:rsidRPr="002C5CDB">
                <w:rPr>
                  <w:sz w:val="22"/>
                  <w:vertAlign w:val="superscript"/>
                  <w:lang w:val="nb-NO"/>
                  <w:rPrChange w:id="2514" w:author="AbbVie05no" w:date="2025-05-19T10:32:00Z">
                    <w:rPr>
                      <w:sz w:val="22"/>
                      <w:vertAlign w:val="superscript"/>
                      <w:lang w:val="en-GB"/>
                    </w:rPr>
                  </w:rPrChange>
                </w:rPr>
                <w:delText>**</w:delText>
              </w:r>
            </w:del>
          </w:p>
        </w:tc>
      </w:tr>
      <w:tr w:rsidR="004644D4" w14:paraId="3F3F4381" w14:textId="696C3BF4" w:rsidTr="006E7F9C">
        <w:trPr>
          <w:cantSplit/>
          <w:del w:id="2515" w:author="AbbVie02no" w:date="2025-05-15T12:36:00Z"/>
        </w:trPr>
        <w:tc>
          <w:tcPr>
            <w:tcW w:w="9238" w:type="dxa"/>
            <w:gridSpan w:val="6"/>
            <w:tcBorders>
              <w:left w:val="nil"/>
              <w:bottom w:val="nil"/>
              <w:right w:val="nil"/>
            </w:tcBorders>
          </w:tcPr>
          <w:p w14:paraId="5E4DBA97" w14:textId="2395641E" w:rsidR="006E7F9C" w:rsidRPr="009C5EFD" w:rsidRDefault="00E453CD" w:rsidP="00BA47BC">
            <w:pPr>
              <w:pStyle w:val="TableText"/>
              <w:spacing w:before="0" w:after="0"/>
              <w:rPr>
                <w:del w:id="2516" w:author="AbbVie02no" w:date="2025-05-15T12:36:00Z"/>
                <w:sz w:val="22"/>
                <w:lang w:val="nb-NO"/>
              </w:rPr>
            </w:pPr>
            <w:del w:id="2517" w:author="AbbVie02no" w:date="2025-05-15T12:36:00Z">
              <w:r w:rsidRPr="007F67EE">
                <w:rPr>
                  <w:sz w:val="22"/>
                  <w:lang w:val="nb-NO"/>
                </w:rPr>
                <w:delText>All</w:delText>
              </w:r>
              <w:r w:rsidR="00A06C05" w:rsidRPr="007F67EE">
                <w:rPr>
                  <w:sz w:val="22"/>
                  <w:lang w:val="nb-NO"/>
                </w:rPr>
                <w:delText>e p-v</w:delText>
              </w:r>
              <w:r w:rsidR="00721030" w:rsidRPr="00193D76">
                <w:rPr>
                  <w:sz w:val="22"/>
                  <w:lang w:val="nb-NO"/>
                </w:rPr>
                <w:delText>erdiene</w:delText>
              </w:r>
              <w:r w:rsidR="00A06C05" w:rsidRPr="002D0790">
                <w:rPr>
                  <w:sz w:val="22"/>
                  <w:lang w:val="nb-NO"/>
                </w:rPr>
                <w:delText xml:space="preserve"> er parvise sammenligninger av forholdene </w:delText>
              </w:r>
              <w:r w:rsidRPr="002D0790">
                <w:rPr>
                  <w:sz w:val="22"/>
                  <w:lang w:val="nb-NO"/>
                </w:rPr>
                <w:delText xml:space="preserve">Humira </w:delText>
              </w:r>
              <w:r w:rsidRPr="00E14E58">
                <w:rPr>
                  <w:i/>
                  <w:iCs/>
                  <w:sz w:val="22"/>
                  <w:lang w:val="nb-NO"/>
                </w:rPr>
                <w:delText>versus</w:delText>
              </w:r>
              <w:r w:rsidRPr="009C5EFD">
                <w:rPr>
                  <w:sz w:val="22"/>
                  <w:lang w:val="nb-NO"/>
                </w:rPr>
                <w:delText xml:space="preserve"> placebo</w:delText>
              </w:r>
            </w:del>
          </w:p>
          <w:p w14:paraId="66FC2365" w14:textId="7E6A9B96" w:rsidR="006E7F9C" w:rsidRPr="002C5CDB" w:rsidRDefault="00E453CD" w:rsidP="00BA47BC">
            <w:pPr>
              <w:pStyle w:val="TableText"/>
              <w:spacing w:before="0" w:after="0"/>
              <w:rPr>
                <w:del w:id="2518" w:author="AbbVie02no" w:date="2025-05-15T12:36:00Z"/>
                <w:sz w:val="22"/>
                <w:lang w:val="nb-NO"/>
                <w:rPrChange w:id="2519" w:author="AbbVie05no" w:date="2025-05-19T10:32:00Z">
                  <w:rPr>
                    <w:del w:id="2520" w:author="AbbVie02no" w:date="2025-05-15T12:36:00Z"/>
                    <w:sz w:val="22"/>
                    <w:lang w:val="en-GB"/>
                  </w:rPr>
                </w:rPrChange>
              </w:rPr>
            </w:pPr>
            <w:del w:id="2521" w:author="AbbVie02no" w:date="2025-05-15T12:36:00Z">
              <w:r w:rsidRPr="002C5CDB">
                <w:rPr>
                  <w:sz w:val="22"/>
                  <w:vertAlign w:val="superscript"/>
                  <w:lang w:val="nb-NO"/>
                  <w:rPrChange w:id="2522" w:author="AbbVie05no" w:date="2025-05-19T10:32:00Z">
                    <w:rPr>
                      <w:sz w:val="22"/>
                      <w:vertAlign w:val="superscript"/>
                      <w:lang w:val="en-GB"/>
                    </w:rPr>
                  </w:rPrChange>
                </w:rPr>
                <w:delText>*</w:delText>
              </w:r>
              <w:r w:rsidRPr="002C5CDB">
                <w:rPr>
                  <w:sz w:val="22"/>
                  <w:lang w:val="nb-NO"/>
                  <w:rPrChange w:id="2523" w:author="AbbVie05no" w:date="2025-05-19T10:32:00Z">
                    <w:rPr>
                      <w:sz w:val="22"/>
                      <w:lang w:val="en-GB"/>
                    </w:rPr>
                  </w:rPrChange>
                </w:rPr>
                <w:tab/>
                <w:delText>p &lt; 0</w:delText>
              </w:r>
              <w:r w:rsidR="00A06C05" w:rsidRPr="002C5CDB">
                <w:rPr>
                  <w:sz w:val="22"/>
                  <w:lang w:val="nb-NO"/>
                  <w:rPrChange w:id="2524" w:author="AbbVie05no" w:date="2025-05-19T10:32:00Z">
                    <w:rPr>
                      <w:sz w:val="22"/>
                      <w:lang w:val="en-GB"/>
                    </w:rPr>
                  </w:rPrChange>
                </w:rPr>
                <w:delText>,</w:delText>
              </w:r>
              <w:r w:rsidRPr="002C5CDB">
                <w:rPr>
                  <w:sz w:val="22"/>
                  <w:lang w:val="nb-NO"/>
                  <w:rPrChange w:id="2525" w:author="AbbVie05no" w:date="2025-05-19T10:32:00Z">
                    <w:rPr>
                      <w:sz w:val="22"/>
                      <w:lang w:val="en-GB"/>
                    </w:rPr>
                  </w:rPrChange>
                </w:rPr>
                <w:delText>001</w:delText>
              </w:r>
            </w:del>
          </w:p>
          <w:p w14:paraId="71E6D326" w14:textId="33268FED" w:rsidR="006E7F9C" w:rsidRPr="002C5CDB" w:rsidRDefault="00E453CD" w:rsidP="00BA47BC">
            <w:pPr>
              <w:pStyle w:val="TableText"/>
              <w:spacing w:before="0" w:after="0"/>
              <w:rPr>
                <w:del w:id="2526" w:author="AbbVie02no" w:date="2025-05-15T12:36:00Z"/>
                <w:sz w:val="22"/>
                <w:lang w:val="nb-NO"/>
                <w:rPrChange w:id="2527" w:author="AbbVie05no" w:date="2025-05-19T10:32:00Z">
                  <w:rPr>
                    <w:del w:id="2528" w:author="AbbVie02no" w:date="2025-05-15T12:36:00Z"/>
                    <w:sz w:val="22"/>
                    <w:lang w:val="en-GB"/>
                  </w:rPr>
                </w:rPrChange>
              </w:rPr>
            </w:pPr>
            <w:del w:id="2529" w:author="AbbVie02no" w:date="2025-05-15T12:36:00Z">
              <w:r w:rsidRPr="002C5CDB">
                <w:rPr>
                  <w:sz w:val="22"/>
                  <w:vertAlign w:val="superscript"/>
                  <w:lang w:val="nb-NO"/>
                  <w:rPrChange w:id="2530" w:author="AbbVie05no" w:date="2025-05-19T10:32:00Z">
                    <w:rPr>
                      <w:sz w:val="22"/>
                      <w:vertAlign w:val="superscript"/>
                      <w:lang w:val="en-GB"/>
                    </w:rPr>
                  </w:rPrChange>
                </w:rPr>
                <w:delText>**</w:delText>
              </w:r>
              <w:r w:rsidRPr="002C5CDB">
                <w:rPr>
                  <w:sz w:val="22"/>
                  <w:lang w:val="nb-NO"/>
                  <w:rPrChange w:id="2531" w:author="AbbVie05no" w:date="2025-05-19T10:32:00Z">
                    <w:rPr>
                      <w:sz w:val="22"/>
                      <w:lang w:val="en-GB"/>
                    </w:rPr>
                  </w:rPrChange>
                </w:rPr>
                <w:tab/>
                <w:delText>p &lt; 0</w:delText>
              </w:r>
              <w:r w:rsidR="00A06C05" w:rsidRPr="002C5CDB">
                <w:rPr>
                  <w:sz w:val="22"/>
                  <w:lang w:val="nb-NO"/>
                  <w:rPrChange w:id="2532" w:author="AbbVie05no" w:date="2025-05-19T10:32:00Z">
                    <w:rPr>
                      <w:sz w:val="22"/>
                      <w:lang w:val="en-GB"/>
                    </w:rPr>
                  </w:rPrChange>
                </w:rPr>
                <w:delText>,</w:delText>
              </w:r>
              <w:r w:rsidRPr="002C5CDB">
                <w:rPr>
                  <w:sz w:val="22"/>
                  <w:lang w:val="nb-NO"/>
                  <w:rPrChange w:id="2533" w:author="AbbVie05no" w:date="2025-05-19T10:32:00Z">
                    <w:rPr>
                      <w:sz w:val="22"/>
                      <w:lang w:val="en-GB"/>
                    </w:rPr>
                  </w:rPrChange>
                </w:rPr>
                <w:delText>01</w:delText>
              </w:r>
            </w:del>
          </w:p>
        </w:tc>
      </w:tr>
    </w:tbl>
    <w:p w14:paraId="790D7883" w14:textId="7844FD11" w:rsidR="00BE75C0" w:rsidRPr="007F67EE" w:rsidRDefault="00BE75C0" w:rsidP="007F67EE">
      <w:pPr>
        <w:pStyle w:val="Heading8"/>
        <w:keepNext w:val="0"/>
        <w:rPr>
          <w:del w:id="2534" w:author="AbbVie02no" w:date="2025-05-15T12:36:00Z"/>
          <w:szCs w:val="22"/>
        </w:rPr>
      </w:pPr>
    </w:p>
    <w:p w14:paraId="14D532D4" w14:textId="424895FE" w:rsidR="00721030" w:rsidRPr="002D0790" w:rsidRDefault="00E453CD" w:rsidP="007F67EE">
      <w:pPr>
        <w:rPr>
          <w:del w:id="2535" w:author="AbbVie02no" w:date="2025-05-15T12:36:00Z"/>
          <w:sz w:val="22"/>
          <w:szCs w:val="22"/>
        </w:rPr>
      </w:pPr>
      <w:del w:id="2536" w:author="AbbVie02no" w:date="2025-05-15T12:36:00Z">
        <w:r w:rsidRPr="007F67EE">
          <w:rPr>
            <w:sz w:val="22"/>
            <w:szCs w:val="22"/>
          </w:rPr>
          <w:delText>Lignende resmisjonsnivåer ble observert ved uk</w:delText>
        </w:r>
        <w:r w:rsidRPr="00193D76">
          <w:rPr>
            <w:sz w:val="22"/>
            <w:szCs w:val="22"/>
          </w:rPr>
          <w:delText xml:space="preserve">e 8 for induksjonsregimene med 160/80 mg og 80/40 mg, og bivirkninger ble hyppigere </w:delText>
        </w:r>
        <w:r w:rsidRPr="002D0790">
          <w:rPr>
            <w:color w:val="000000"/>
            <w:sz w:val="22"/>
            <w:szCs w:val="22"/>
          </w:rPr>
          <w:delText xml:space="preserve">observert </w:delText>
        </w:r>
        <w:r w:rsidRPr="002D0790">
          <w:rPr>
            <w:sz w:val="22"/>
            <w:szCs w:val="22"/>
          </w:rPr>
          <w:delText>i gruppen med 160/80 mg.</w:delText>
        </w:r>
      </w:del>
    </w:p>
    <w:p w14:paraId="520B9E98" w14:textId="75AF16E0" w:rsidR="00717E3B" w:rsidRPr="00E14E58" w:rsidRDefault="00717E3B" w:rsidP="001F5D4B">
      <w:pPr>
        <w:rPr>
          <w:del w:id="2537" w:author="AbbVie02no" w:date="2025-05-15T12:36:00Z"/>
          <w:sz w:val="22"/>
          <w:szCs w:val="22"/>
        </w:rPr>
      </w:pPr>
    </w:p>
    <w:p w14:paraId="22D0142C" w14:textId="7F31E703" w:rsidR="00BE75C0" w:rsidRPr="009C5EFD" w:rsidRDefault="00E453CD" w:rsidP="007F67EE">
      <w:pPr>
        <w:pStyle w:val="Heading8"/>
        <w:keepNext w:val="0"/>
        <w:rPr>
          <w:del w:id="2538" w:author="AbbVie02no" w:date="2025-05-15T12:36:00Z"/>
          <w:szCs w:val="22"/>
          <w:u w:val="none"/>
        </w:rPr>
      </w:pPr>
      <w:del w:id="2539" w:author="AbbVie02no" w:date="2025-05-15T12:36:00Z">
        <w:r w:rsidRPr="009C5EFD">
          <w:rPr>
            <w:szCs w:val="22"/>
            <w:u w:val="none"/>
          </w:rPr>
          <w:delText xml:space="preserve">Ved uke 4 i CD-studie III oppnådde 58 % (499/854) av pasienter klinisk respons og ble vurdert i den primære analysen. Av de som oppnådde klinisk respons ved uke 4, var 48 % tidligere behandlet med </w:delText>
        </w:r>
        <w:r w:rsidRPr="009C5EFD">
          <w:rPr>
            <w:color w:val="000000"/>
            <w:szCs w:val="22"/>
            <w:u w:val="none"/>
          </w:rPr>
          <w:delText>andre</w:delText>
        </w:r>
        <w:r w:rsidRPr="009C5EFD">
          <w:rPr>
            <w:szCs w:val="22"/>
            <w:u w:val="none"/>
          </w:rPr>
          <w:delText xml:space="preserve"> TNF-antagonister. Vedlikehold av remis</w:delText>
        </w:r>
        <w:r w:rsidR="00EF2122" w:rsidRPr="009C5EFD">
          <w:rPr>
            <w:szCs w:val="22"/>
            <w:u w:val="none"/>
          </w:rPr>
          <w:delText>jon og responsnivåer er vist i t</w:delText>
        </w:r>
        <w:r w:rsidRPr="009C5EFD">
          <w:rPr>
            <w:szCs w:val="22"/>
            <w:u w:val="none"/>
          </w:rPr>
          <w:delText xml:space="preserve">abell </w:delText>
        </w:r>
        <w:r w:rsidR="00501579">
          <w:rPr>
            <w:szCs w:val="22"/>
            <w:u w:val="none"/>
          </w:rPr>
          <w:delText>18</w:delText>
        </w:r>
        <w:r w:rsidRPr="009C5EFD">
          <w:rPr>
            <w:szCs w:val="22"/>
            <w:u w:val="none"/>
          </w:rPr>
          <w:delText>. Resultater for klinisk remisjon var relativt konstante, uavhengig av tidligere behandling med TNF-antagonist.</w:delText>
        </w:r>
      </w:del>
    </w:p>
    <w:p w14:paraId="23A2A57E" w14:textId="38786A95" w:rsidR="0015476B" w:rsidRPr="009C5EFD" w:rsidRDefault="0015476B" w:rsidP="007F67EE">
      <w:pPr>
        <w:rPr>
          <w:del w:id="2540" w:author="AbbVie02no" w:date="2025-05-15T12:36:00Z"/>
        </w:rPr>
      </w:pPr>
    </w:p>
    <w:p w14:paraId="31B38D85" w14:textId="0007AAB4" w:rsidR="0015476B" w:rsidRPr="009C5EFD" w:rsidRDefault="00E453CD" w:rsidP="00193D76">
      <w:pPr>
        <w:rPr>
          <w:del w:id="2541" w:author="AbbVie02no" w:date="2025-05-15T12:36:00Z"/>
          <w:sz w:val="22"/>
          <w:szCs w:val="22"/>
        </w:rPr>
      </w:pPr>
      <w:del w:id="2542" w:author="AbbVie02no" w:date="2025-05-15T12:36:00Z">
        <w:r w:rsidRPr="009C5EFD">
          <w:rPr>
            <w:sz w:val="22"/>
            <w:szCs w:val="22"/>
          </w:rPr>
          <w:delText>Sykdomsrelatert sykehusinnleggelse og kirurgi var statistisk signifikant redusert med adalimumab sammenlignet med placebo ved uke 56.</w:delText>
        </w:r>
      </w:del>
    </w:p>
    <w:p w14:paraId="5048EA60" w14:textId="412C765C" w:rsidR="009D34A7" w:rsidRPr="009C5EFD" w:rsidRDefault="009D34A7" w:rsidP="002D0790">
      <w:pPr>
        <w:rPr>
          <w:del w:id="2543" w:author="AbbVie02no" w:date="2025-05-15T12:36: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9"/>
        <w:gridCol w:w="1739"/>
        <w:gridCol w:w="1918"/>
        <w:gridCol w:w="1691"/>
      </w:tblGrid>
      <w:tr w:rsidR="004644D4" w14:paraId="2565982E" w14:textId="01B82CD2" w:rsidTr="00BE75C0">
        <w:trPr>
          <w:cantSplit/>
          <w:del w:id="2544" w:author="AbbVie02no" w:date="2025-05-15T12:36:00Z"/>
        </w:trPr>
        <w:tc>
          <w:tcPr>
            <w:tcW w:w="9020" w:type="dxa"/>
            <w:gridSpan w:val="4"/>
            <w:tcBorders>
              <w:top w:val="nil"/>
              <w:left w:val="nil"/>
              <w:right w:val="nil"/>
            </w:tcBorders>
          </w:tcPr>
          <w:p w14:paraId="18545485" w14:textId="2E0687D2" w:rsidR="00BE75C0" w:rsidRPr="009C5EFD" w:rsidRDefault="00E453CD" w:rsidP="007B4F3C">
            <w:pPr>
              <w:pStyle w:val="TableText"/>
              <w:jc w:val="center"/>
              <w:rPr>
                <w:del w:id="2545" w:author="AbbVie02no" w:date="2025-05-15T12:36:00Z"/>
                <w:b/>
                <w:bCs/>
                <w:sz w:val="22"/>
                <w:lang w:val="nb-NO"/>
              </w:rPr>
            </w:pPr>
            <w:del w:id="2546" w:author="AbbVie02no" w:date="2025-05-15T12:36:00Z">
              <w:r w:rsidRPr="009C5EFD">
                <w:rPr>
                  <w:b/>
                  <w:bCs/>
                  <w:sz w:val="22"/>
                  <w:lang w:val="nb-NO"/>
                </w:rPr>
                <w:delText>Tab</w:delText>
              </w:r>
              <w:r w:rsidR="00B52137">
                <w:rPr>
                  <w:b/>
                  <w:bCs/>
                  <w:sz w:val="22"/>
                  <w:lang w:val="nb-NO"/>
                </w:rPr>
                <w:delText>el</w:delText>
              </w:r>
              <w:r w:rsidRPr="009C5EFD">
                <w:rPr>
                  <w:b/>
                  <w:bCs/>
                  <w:sz w:val="22"/>
                  <w:lang w:val="nb-NO"/>
                </w:rPr>
                <w:delText xml:space="preserve">l </w:delText>
              </w:r>
              <w:r w:rsidR="00501579">
                <w:rPr>
                  <w:b/>
                  <w:bCs/>
                  <w:sz w:val="22"/>
                  <w:lang w:val="nb-NO"/>
                </w:rPr>
                <w:delText>18</w:delText>
              </w:r>
            </w:del>
          </w:p>
          <w:p w14:paraId="763B3E84" w14:textId="2A7B9C6F" w:rsidR="00BE75C0" w:rsidRPr="009C5EFD" w:rsidRDefault="00E453CD" w:rsidP="007B4F3C">
            <w:pPr>
              <w:pStyle w:val="TableText"/>
              <w:jc w:val="center"/>
              <w:rPr>
                <w:del w:id="2547" w:author="AbbVie02no" w:date="2025-05-15T12:36:00Z"/>
                <w:b/>
                <w:bCs/>
                <w:sz w:val="22"/>
                <w:lang w:val="nb-NO"/>
              </w:rPr>
            </w:pPr>
            <w:del w:id="2548" w:author="AbbVie02no" w:date="2025-05-15T12:36:00Z">
              <w:r w:rsidRPr="009C5EFD">
                <w:rPr>
                  <w:b/>
                  <w:bCs/>
                  <w:sz w:val="22"/>
                  <w:lang w:val="nb-NO"/>
                </w:rPr>
                <w:delText>Ve</w:delText>
              </w:r>
              <w:r w:rsidR="00721030" w:rsidRPr="009C5EFD">
                <w:rPr>
                  <w:b/>
                  <w:bCs/>
                  <w:sz w:val="22"/>
                  <w:lang w:val="nb-NO"/>
                </w:rPr>
                <w:delText>dlikehold</w:delText>
              </w:r>
              <w:r w:rsidRPr="009C5EFD">
                <w:rPr>
                  <w:b/>
                  <w:bCs/>
                  <w:sz w:val="22"/>
                  <w:lang w:val="nb-NO"/>
                </w:rPr>
                <w:delText xml:space="preserve"> av klinisk remisjon og respons</w:delText>
              </w:r>
            </w:del>
          </w:p>
          <w:p w14:paraId="59DA43BD" w14:textId="557EEF89" w:rsidR="00BE75C0" w:rsidRPr="00637363" w:rsidRDefault="00E453CD" w:rsidP="007B4F3C">
            <w:pPr>
              <w:pStyle w:val="TableText"/>
              <w:jc w:val="center"/>
              <w:rPr>
                <w:del w:id="2549" w:author="AbbVie02no" w:date="2025-05-15T12:36:00Z"/>
                <w:b/>
                <w:bCs/>
                <w:sz w:val="22"/>
                <w:lang w:val="nb-NO"/>
              </w:rPr>
            </w:pPr>
            <w:del w:id="2550" w:author="AbbVie02no" w:date="2025-05-15T12:36:00Z">
              <w:r w:rsidRPr="00637363">
                <w:rPr>
                  <w:b/>
                  <w:bCs/>
                  <w:sz w:val="22"/>
                  <w:lang w:val="nb-NO"/>
                </w:rPr>
                <w:delText>(Prosent av pasientene)</w:delText>
              </w:r>
            </w:del>
          </w:p>
        </w:tc>
      </w:tr>
      <w:tr w:rsidR="004644D4" w14:paraId="7828D4AE" w14:textId="709EC6FB" w:rsidTr="00BE75C0">
        <w:trPr>
          <w:del w:id="2551" w:author="AbbVie02no" w:date="2025-05-15T12:36:00Z"/>
        </w:trPr>
        <w:tc>
          <w:tcPr>
            <w:tcW w:w="3641" w:type="dxa"/>
          </w:tcPr>
          <w:p w14:paraId="458BF37A" w14:textId="119C23CC" w:rsidR="00BE75C0" w:rsidRPr="00637363" w:rsidRDefault="00BE75C0" w:rsidP="007B4F3C">
            <w:pPr>
              <w:pStyle w:val="TableText"/>
              <w:rPr>
                <w:del w:id="2552" w:author="AbbVie02no" w:date="2025-05-15T12:36:00Z"/>
                <w:b/>
                <w:bCs/>
                <w:sz w:val="22"/>
                <w:lang w:val="nb-NO"/>
              </w:rPr>
            </w:pPr>
          </w:p>
        </w:tc>
        <w:tc>
          <w:tcPr>
            <w:tcW w:w="1751" w:type="dxa"/>
          </w:tcPr>
          <w:p w14:paraId="25087633" w14:textId="1D73A491" w:rsidR="00BE75C0" w:rsidRPr="002C5CDB" w:rsidRDefault="00E453CD" w:rsidP="007B4F3C">
            <w:pPr>
              <w:pStyle w:val="TableText"/>
              <w:jc w:val="center"/>
              <w:rPr>
                <w:del w:id="2553" w:author="AbbVie02no" w:date="2025-05-15T12:36:00Z"/>
                <w:b/>
                <w:bCs/>
                <w:sz w:val="22"/>
                <w:lang w:val="nb-NO"/>
                <w:rPrChange w:id="2554" w:author="AbbVie05no" w:date="2025-05-19T10:32:00Z">
                  <w:rPr>
                    <w:del w:id="2555" w:author="AbbVie02no" w:date="2025-05-15T12:36:00Z"/>
                    <w:b/>
                    <w:bCs/>
                    <w:sz w:val="22"/>
                    <w:lang w:val="en-GB"/>
                  </w:rPr>
                </w:rPrChange>
              </w:rPr>
            </w:pPr>
            <w:del w:id="2556" w:author="AbbVie02no" w:date="2025-05-15T12:36:00Z">
              <w:r w:rsidRPr="002C5CDB">
                <w:rPr>
                  <w:b/>
                  <w:bCs/>
                  <w:sz w:val="22"/>
                  <w:lang w:val="nb-NO"/>
                  <w:rPrChange w:id="2557" w:author="AbbVie05no" w:date="2025-05-19T10:32:00Z">
                    <w:rPr>
                      <w:b/>
                      <w:bCs/>
                      <w:sz w:val="22"/>
                      <w:lang w:val="en-GB"/>
                    </w:rPr>
                  </w:rPrChange>
                </w:rPr>
                <w:delText>Placebo</w:delText>
              </w:r>
            </w:del>
          </w:p>
        </w:tc>
        <w:tc>
          <w:tcPr>
            <w:tcW w:w="1928" w:type="dxa"/>
          </w:tcPr>
          <w:p w14:paraId="50AB4510" w14:textId="1AB109BE" w:rsidR="00BE75C0" w:rsidRPr="002C5CDB" w:rsidRDefault="00E453CD" w:rsidP="007B4F3C">
            <w:pPr>
              <w:pStyle w:val="TableText"/>
              <w:jc w:val="center"/>
              <w:rPr>
                <w:del w:id="2558" w:author="AbbVie02no" w:date="2025-05-15T12:36:00Z"/>
                <w:b/>
                <w:bCs/>
                <w:sz w:val="22"/>
                <w:lang w:val="nb-NO"/>
                <w:rPrChange w:id="2559" w:author="AbbVie05no" w:date="2025-05-19T10:32:00Z">
                  <w:rPr>
                    <w:del w:id="2560" w:author="AbbVie02no" w:date="2025-05-15T12:36:00Z"/>
                    <w:b/>
                    <w:bCs/>
                    <w:sz w:val="22"/>
                    <w:lang w:val="en-GB"/>
                  </w:rPr>
                </w:rPrChange>
              </w:rPr>
            </w:pPr>
            <w:del w:id="2561" w:author="AbbVie02no" w:date="2025-05-15T12:36:00Z">
              <w:r w:rsidRPr="002C5CDB">
                <w:rPr>
                  <w:b/>
                  <w:bCs/>
                  <w:sz w:val="22"/>
                  <w:lang w:val="nb-NO"/>
                  <w:rPrChange w:id="2562" w:author="AbbVie05no" w:date="2025-05-19T10:32:00Z">
                    <w:rPr>
                      <w:b/>
                      <w:bCs/>
                      <w:sz w:val="22"/>
                      <w:lang w:val="en-GB"/>
                    </w:rPr>
                  </w:rPrChange>
                </w:rPr>
                <w:delText>40 mg Humira</w:delText>
              </w:r>
              <w:r w:rsidRPr="002C5CDB">
                <w:rPr>
                  <w:b/>
                  <w:bCs/>
                  <w:sz w:val="22"/>
                  <w:lang w:val="nb-NO"/>
                  <w:rPrChange w:id="2563" w:author="AbbVie05no" w:date="2025-05-19T10:32:00Z">
                    <w:rPr>
                      <w:b/>
                      <w:bCs/>
                      <w:sz w:val="22"/>
                      <w:lang w:val="en-GB"/>
                    </w:rPr>
                  </w:rPrChange>
                </w:rPr>
                <w:br/>
                <w:delText>annenhver uke</w:delText>
              </w:r>
            </w:del>
          </w:p>
        </w:tc>
        <w:tc>
          <w:tcPr>
            <w:tcW w:w="1700" w:type="dxa"/>
          </w:tcPr>
          <w:p w14:paraId="55855C0A" w14:textId="4C9E5139" w:rsidR="00BE75C0" w:rsidRPr="002C5CDB" w:rsidRDefault="00E453CD" w:rsidP="007B4F3C">
            <w:pPr>
              <w:pStyle w:val="TableText"/>
              <w:jc w:val="center"/>
              <w:rPr>
                <w:del w:id="2564" w:author="AbbVie02no" w:date="2025-05-15T12:36:00Z"/>
                <w:b/>
                <w:bCs/>
                <w:sz w:val="22"/>
                <w:lang w:val="nb-NO"/>
                <w:rPrChange w:id="2565" w:author="AbbVie05no" w:date="2025-05-19T10:32:00Z">
                  <w:rPr>
                    <w:del w:id="2566" w:author="AbbVie02no" w:date="2025-05-15T12:36:00Z"/>
                    <w:b/>
                    <w:bCs/>
                    <w:sz w:val="22"/>
                    <w:lang w:val="en-GB"/>
                  </w:rPr>
                </w:rPrChange>
              </w:rPr>
            </w:pPr>
            <w:del w:id="2567" w:author="AbbVie02no" w:date="2025-05-15T12:36:00Z">
              <w:r w:rsidRPr="002C5CDB">
                <w:rPr>
                  <w:b/>
                  <w:bCs/>
                  <w:sz w:val="22"/>
                  <w:lang w:val="nb-NO"/>
                  <w:rPrChange w:id="2568" w:author="AbbVie05no" w:date="2025-05-19T10:32:00Z">
                    <w:rPr>
                      <w:b/>
                      <w:bCs/>
                      <w:sz w:val="22"/>
                      <w:lang w:val="en-GB"/>
                    </w:rPr>
                  </w:rPrChange>
                </w:rPr>
                <w:delText>40 mg Humira</w:delText>
              </w:r>
              <w:r w:rsidRPr="002C5CDB">
                <w:rPr>
                  <w:b/>
                  <w:bCs/>
                  <w:sz w:val="22"/>
                  <w:lang w:val="nb-NO"/>
                  <w:rPrChange w:id="2569" w:author="AbbVie05no" w:date="2025-05-19T10:32:00Z">
                    <w:rPr>
                      <w:b/>
                      <w:bCs/>
                      <w:sz w:val="22"/>
                      <w:lang w:val="en-GB"/>
                    </w:rPr>
                  </w:rPrChange>
                </w:rPr>
                <w:br/>
              </w:r>
              <w:r w:rsidR="008E1A09" w:rsidRPr="002C5CDB">
                <w:rPr>
                  <w:b/>
                  <w:bCs/>
                  <w:sz w:val="22"/>
                  <w:lang w:val="nb-NO"/>
                  <w:rPrChange w:id="2570" w:author="AbbVie05no" w:date="2025-05-19T10:32:00Z">
                    <w:rPr>
                      <w:b/>
                      <w:bCs/>
                      <w:sz w:val="22"/>
                      <w:lang w:val="en-GB"/>
                    </w:rPr>
                  </w:rPrChange>
                </w:rPr>
                <w:delText>hver uke</w:delText>
              </w:r>
            </w:del>
          </w:p>
        </w:tc>
      </w:tr>
      <w:tr w:rsidR="004644D4" w14:paraId="69C1003B" w14:textId="5919D3ED" w:rsidTr="00BE75C0">
        <w:trPr>
          <w:del w:id="2571" w:author="AbbVie02no" w:date="2025-05-15T12:36:00Z"/>
        </w:trPr>
        <w:tc>
          <w:tcPr>
            <w:tcW w:w="3641" w:type="dxa"/>
          </w:tcPr>
          <w:p w14:paraId="51740A60" w14:textId="59E71D49" w:rsidR="00BE75C0" w:rsidRPr="002C5CDB" w:rsidRDefault="00E453CD" w:rsidP="007B4F3C">
            <w:pPr>
              <w:pStyle w:val="TableText"/>
              <w:rPr>
                <w:del w:id="2572" w:author="AbbVie02no" w:date="2025-05-15T12:36:00Z"/>
                <w:b/>
                <w:bCs/>
                <w:sz w:val="22"/>
                <w:lang w:val="nb-NO"/>
                <w:rPrChange w:id="2573" w:author="AbbVie05no" w:date="2025-05-19T10:32:00Z">
                  <w:rPr>
                    <w:del w:id="2574" w:author="AbbVie02no" w:date="2025-05-15T12:36:00Z"/>
                    <w:b/>
                    <w:bCs/>
                    <w:sz w:val="22"/>
                    <w:lang w:val="en-GB"/>
                  </w:rPr>
                </w:rPrChange>
              </w:rPr>
            </w:pPr>
            <w:del w:id="2575" w:author="AbbVie02no" w:date="2025-05-15T12:36:00Z">
              <w:r w:rsidRPr="002C5CDB">
                <w:rPr>
                  <w:b/>
                  <w:bCs/>
                  <w:sz w:val="22"/>
                  <w:lang w:val="nb-NO"/>
                  <w:rPrChange w:id="2576" w:author="AbbVie05no" w:date="2025-05-19T10:32:00Z">
                    <w:rPr>
                      <w:b/>
                      <w:bCs/>
                      <w:sz w:val="22"/>
                      <w:lang w:val="en-GB"/>
                    </w:rPr>
                  </w:rPrChange>
                </w:rPr>
                <w:delText>Uke 26</w:delText>
              </w:r>
            </w:del>
          </w:p>
        </w:tc>
        <w:tc>
          <w:tcPr>
            <w:tcW w:w="1751" w:type="dxa"/>
          </w:tcPr>
          <w:p w14:paraId="6BBEE5C1" w14:textId="577C80DB" w:rsidR="00BE75C0" w:rsidRPr="002C5CDB" w:rsidRDefault="00E453CD" w:rsidP="007B4F3C">
            <w:pPr>
              <w:pStyle w:val="TableText"/>
              <w:jc w:val="center"/>
              <w:rPr>
                <w:del w:id="2577" w:author="AbbVie02no" w:date="2025-05-15T12:36:00Z"/>
                <w:b/>
                <w:bCs/>
                <w:sz w:val="22"/>
                <w:lang w:val="nb-NO"/>
                <w:rPrChange w:id="2578" w:author="AbbVie05no" w:date="2025-05-19T10:32:00Z">
                  <w:rPr>
                    <w:del w:id="2579" w:author="AbbVie02no" w:date="2025-05-15T12:36:00Z"/>
                    <w:b/>
                    <w:bCs/>
                    <w:sz w:val="22"/>
                    <w:lang w:val="en-GB"/>
                  </w:rPr>
                </w:rPrChange>
              </w:rPr>
            </w:pPr>
            <w:del w:id="2580" w:author="AbbVie02no" w:date="2025-05-15T12:36:00Z">
              <w:r w:rsidRPr="002C5CDB">
                <w:rPr>
                  <w:b/>
                  <w:bCs/>
                  <w:sz w:val="22"/>
                  <w:lang w:val="nb-NO"/>
                  <w:rPrChange w:id="2581" w:author="AbbVie05no" w:date="2025-05-19T10:32:00Z">
                    <w:rPr>
                      <w:b/>
                      <w:bCs/>
                      <w:sz w:val="22"/>
                      <w:lang w:val="en-GB"/>
                    </w:rPr>
                  </w:rPrChange>
                </w:rPr>
                <w:delText>N=170</w:delText>
              </w:r>
            </w:del>
          </w:p>
        </w:tc>
        <w:tc>
          <w:tcPr>
            <w:tcW w:w="1928" w:type="dxa"/>
          </w:tcPr>
          <w:p w14:paraId="15811800" w14:textId="5F864082" w:rsidR="00BE75C0" w:rsidRPr="002C5CDB" w:rsidRDefault="00E453CD" w:rsidP="007B4F3C">
            <w:pPr>
              <w:pStyle w:val="TableText"/>
              <w:jc w:val="center"/>
              <w:rPr>
                <w:del w:id="2582" w:author="AbbVie02no" w:date="2025-05-15T12:36:00Z"/>
                <w:b/>
                <w:bCs/>
                <w:sz w:val="22"/>
                <w:lang w:val="nb-NO"/>
                <w:rPrChange w:id="2583" w:author="AbbVie05no" w:date="2025-05-19T10:32:00Z">
                  <w:rPr>
                    <w:del w:id="2584" w:author="AbbVie02no" w:date="2025-05-15T12:36:00Z"/>
                    <w:b/>
                    <w:bCs/>
                    <w:sz w:val="22"/>
                    <w:lang w:val="en-GB"/>
                  </w:rPr>
                </w:rPrChange>
              </w:rPr>
            </w:pPr>
            <w:del w:id="2585" w:author="AbbVie02no" w:date="2025-05-15T12:36:00Z">
              <w:r w:rsidRPr="002C5CDB">
                <w:rPr>
                  <w:b/>
                  <w:bCs/>
                  <w:sz w:val="22"/>
                  <w:lang w:val="nb-NO"/>
                  <w:rPrChange w:id="2586" w:author="AbbVie05no" w:date="2025-05-19T10:32:00Z">
                    <w:rPr>
                      <w:b/>
                      <w:bCs/>
                      <w:sz w:val="22"/>
                      <w:lang w:val="en-GB"/>
                    </w:rPr>
                  </w:rPrChange>
                </w:rPr>
                <w:delText>N=172</w:delText>
              </w:r>
            </w:del>
          </w:p>
        </w:tc>
        <w:tc>
          <w:tcPr>
            <w:tcW w:w="1700" w:type="dxa"/>
          </w:tcPr>
          <w:p w14:paraId="14826748" w14:textId="2050DC22" w:rsidR="00BE75C0" w:rsidRPr="002C5CDB" w:rsidRDefault="00E453CD" w:rsidP="007B4F3C">
            <w:pPr>
              <w:pStyle w:val="TableText"/>
              <w:jc w:val="center"/>
              <w:rPr>
                <w:del w:id="2587" w:author="AbbVie02no" w:date="2025-05-15T12:36:00Z"/>
                <w:b/>
                <w:bCs/>
                <w:sz w:val="22"/>
                <w:lang w:val="nb-NO"/>
                <w:rPrChange w:id="2588" w:author="AbbVie05no" w:date="2025-05-19T10:32:00Z">
                  <w:rPr>
                    <w:del w:id="2589" w:author="AbbVie02no" w:date="2025-05-15T12:36:00Z"/>
                    <w:b/>
                    <w:bCs/>
                    <w:sz w:val="22"/>
                    <w:lang w:val="en-GB"/>
                  </w:rPr>
                </w:rPrChange>
              </w:rPr>
            </w:pPr>
            <w:del w:id="2590" w:author="AbbVie02no" w:date="2025-05-15T12:36:00Z">
              <w:r w:rsidRPr="002C5CDB">
                <w:rPr>
                  <w:b/>
                  <w:bCs/>
                  <w:sz w:val="22"/>
                  <w:lang w:val="nb-NO"/>
                  <w:rPrChange w:id="2591" w:author="AbbVie05no" w:date="2025-05-19T10:32:00Z">
                    <w:rPr>
                      <w:b/>
                      <w:bCs/>
                      <w:sz w:val="22"/>
                      <w:lang w:val="en-GB"/>
                    </w:rPr>
                  </w:rPrChange>
                </w:rPr>
                <w:delText>N=157</w:delText>
              </w:r>
            </w:del>
          </w:p>
        </w:tc>
      </w:tr>
      <w:tr w:rsidR="004644D4" w14:paraId="45BA9E83" w14:textId="402EA43D" w:rsidTr="00BE75C0">
        <w:trPr>
          <w:del w:id="2592" w:author="AbbVie02no" w:date="2025-05-15T12:36:00Z"/>
        </w:trPr>
        <w:tc>
          <w:tcPr>
            <w:tcW w:w="3641" w:type="dxa"/>
          </w:tcPr>
          <w:p w14:paraId="2C32D7CA" w14:textId="1C0E8354" w:rsidR="00BE75C0" w:rsidRPr="002C5CDB" w:rsidRDefault="00E453CD" w:rsidP="007B4F3C">
            <w:pPr>
              <w:pStyle w:val="TableText"/>
              <w:rPr>
                <w:del w:id="2593" w:author="AbbVie02no" w:date="2025-05-15T12:36:00Z"/>
                <w:sz w:val="22"/>
                <w:lang w:val="nb-NO"/>
                <w:rPrChange w:id="2594" w:author="AbbVie05no" w:date="2025-05-19T10:32:00Z">
                  <w:rPr>
                    <w:del w:id="2595" w:author="AbbVie02no" w:date="2025-05-15T12:36:00Z"/>
                    <w:sz w:val="22"/>
                    <w:lang w:val="en-GB"/>
                  </w:rPr>
                </w:rPrChange>
              </w:rPr>
            </w:pPr>
            <w:del w:id="2596" w:author="AbbVie02no" w:date="2025-05-15T12:36:00Z">
              <w:r w:rsidRPr="002C5CDB">
                <w:rPr>
                  <w:sz w:val="22"/>
                  <w:lang w:val="nb-NO"/>
                  <w:rPrChange w:id="2597" w:author="AbbVie05no" w:date="2025-05-19T10:32:00Z">
                    <w:rPr>
                      <w:sz w:val="22"/>
                      <w:lang w:val="en-GB"/>
                    </w:rPr>
                  </w:rPrChange>
                </w:rPr>
                <w:delText>Klinisk remisjon</w:delText>
              </w:r>
            </w:del>
          </w:p>
        </w:tc>
        <w:tc>
          <w:tcPr>
            <w:tcW w:w="1751" w:type="dxa"/>
          </w:tcPr>
          <w:p w14:paraId="358D19A1" w14:textId="0141759E" w:rsidR="00BE75C0" w:rsidRPr="002C5CDB" w:rsidRDefault="00E453CD" w:rsidP="007B4F3C">
            <w:pPr>
              <w:pStyle w:val="TableText"/>
              <w:jc w:val="center"/>
              <w:rPr>
                <w:del w:id="2598" w:author="AbbVie02no" w:date="2025-05-15T12:36:00Z"/>
                <w:sz w:val="22"/>
                <w:lang w:val="nb-NO"/>
                <w:rPrChange w:id="2599" w:author="AbbVie05no" w:date="2025-05-19T10:32:00Z">
                  <w:rPr>
                    <w:del w:id="2600" w:author="AbbVie02no" w:date="2025-05-15T12:36:00Z"/>
                    <w:sz w:val="22"/>
                    <w:lang w:val="en-GB"/>
                  </w:rPr>
                </w:rPrChange>
              </w:rPr>
            </w:pPr>
            <w:del w:id="2601" w:author="AbbVie02no" w:date="2025-05-15T12:36:00Z">
              <w:r w:rsidRPr="002C5CDB">
                <w:rPr>
                  <w:sz w:val="22"/>
                  <w:lang w:val="nb-NO"/>
                  <w:rPrChange w:id="2602" w:author="AbbVie05no" w:date="2025-05-19T10:32:00Z">
                    <w:rPr>
                      <w:sz w:val="22"/>
                      <w:lang w:val="en-GB"/>
                    </w:rPr>
                  </w:rPrChange>
                </w:rPr>
                <w:delText>17</w:delText>
              </w:r>
              <w:r w:rsidR="008E1A09" w:rsidRPr="002C5CDB">
                <w:rPr>
                  <w:sz w:val="22"/>
                  <w:lang w:val="nb-NO"/>
                  <w:rPrChange w:id="2603" w:author="AbbVie05no" w:date="2025-05-19T10:32:00Z">
                    <w:rPr>
                      <w:sz w:val="22"/>
                      <w:lang w:val="en-GB"/>
                    </w:rPr>
                  </w:rPrChange>
                </w:rPr>
                <w:delText xml:space="preserve"> </w:delText>
              </w:r>
              <w:r w:rsidRPr="002C5CDB">
                <w:rPr>
                  <w:sz w:val="22"/>
                  <w:lang w:val="nb-NO"/>
                  <w:rPrChange w:id="2604" w:author="AbbVie05no" w:date="2025-05-19T10:32:00Z">
                    <w:rPr>
                      <w:sz w:val="22"/>
                      <w:lang w:val="en-GB"/>
                    </w:rPr>
                  </w:rPrChange>
                </w:rPr>
                <w:delText>%</w:delText>
              </w:r>
            </w:del>
          </w:p>
        </w:tc>
        <w:tc>
          <w:tcPr>
            <w:tcW w:w="1928" w:type="dxa"/>
          </w:tcPr>
          <w:p w14:paraId="011D06A4" w14:textId="0249A01F" w:rsidR="00BE75C0" w:rsidRPr="002C5CDB" w:rsidRDefault="00E453CD" w:rsidP="007B4F3C">
            <w:pPr>
              <w:pStyle w:val="TableText"/>
              <w:jc w:val="center"/>
              <w:rPr>
                <w:del w:id="2605" w:author="AbbVie02no" w:date="2025-05-15T12:36:00Z"/>
                <w:sz w:val="22"/>
                <w:lang w:val="nb-NO"/>
                <w:rPrChange w:id="2606" w:author="AbbVie05no" w:date="2025-05-19T10:32:00Z">
                  <w:rPr>
                    <w:del w:id="2607" w:author="AbbVie02no" w:date="2025-05-15T12:36:00Z"/>
                    <w:sz w:val="22"/>
                    <w:lang w:val="en-GB"/>
                  </w:rPr>
                </w:rPrChange>
              </w:rPr>
            </w:pPr>
            <w:del w:id="2608" w:author="AbbVie02no" w:date="2025-05-15T12:36:00Z">
              <w:r w:rsidRPr="002C5CDB">
                <w:rPr>
                  <w:sz w:val="22"/>
                  <w:lang w:val="nb-NO"/>
                  <w:rPrChange w:id="2609" w:author="AbbVie05no" w:date="2025-05-19T10:32:00Z">
                    <w:rPr>
                      <w:sz w:val="22"/>
                      <w:lang w:val="en-GB"/>
                    </w:rPr>
                  </w:rPrChange>
                </w:rPr>
                <w:delText>40</w:delText>
              </w:r>
              <w:r w:rsidR="008E1A09" w:rsidRPr="002C5CDB">
                <w:rPr>
                  <w:sz w:val="22"/>
                  <w:lang w:val="nb-NO"/>
                  <w:rPrChange w:id="2610" w:author="AbbVie05no" w:date="2025-05-19T10:32:00Z">
                    <w:rPr>
                      <w:sz w:val="22"/>
                      <w:lang w:val="en-GB"/>
                    </w:rPr>
                  </w:rPrChange>
                </w:rPr>
                <w:delText xml:space="preserve"> </w:delText>
              </w:r>
              <w:r w:rsidRPr="002C5CDB">
                <w:rPr>
                  <w:sz w:val="22"/>
                  <w:lang w:val="nb-NO"/>
                  <w:rPrChange w:id="2611" w:author="AbbVie05no" w:date="2025-05-19T10:32:00Z">
                    <w:rPr>
                      <w:sz w:val="22"/>
                      <w:lang w:val="en-GB"/>
                    </w:rPr>
                  </w:rPrChange>
                </w:rPr>
                <w:delText>%*</w:delText>
              </w:r>
            </w:del>
          </w:p>
        </w:tc>
        <w:tc>
          <w:tcPr>
            <w:tcW w:w="1700" w:type="dxa"/>
          </w:tcPr>
          <w:p w14:paraId="51946A30" w14:textId="578C65EA" w:rsidR="00BE75C0" w:rsidRPr="002C5CDB" w:rsidRDefault="00E453CD" w:rsidP="007B4F3C">
            <w:pPr>
              <w:pStyle w:val="TableText"/>
              <w:jc w:val="center"/>
              <w:rPr>
                <w:del w:id="2612" w:author="AbbVie02no" w:date="2025-05-15T12:36:00Z"/>
                <w:sz w:val="22"/>
                <w:lang w:val="nb-NO"/>
                <w:rPrChange w:id="2613" w:author="AbbVie05no" w:date="2025-05-19T10:32:00Z">
                  <w:rPr>
                    <w:del w:id="2614" w:author="AbbVie02no" w:date="2025-05-15T12:36:00Z"/>
                    <w:sz w:val="22"/>
                    <w:lang w:val="en-GB"/>
                  </w:rPr>
                </w:rPrChange>
              </w:rPr>
            </w:pPr>
            <w:del w:id="2615" w:author="AbbVie02no" w:date="2025-05-15T12:36:00Z">
              <w:r w:rsidRPr="002C5CDB">
                <w:rPr>
                  <w:sz w:val="22"/>
                  <w:lang w:val="nb-NO"/>
                  <w:rPrChange w:id="2616" w:author="AbbVie05no" w:date="2025-05-19T10:32:00Z">
                    <w:rPr>
                      <w:sz w:val="22"/>
                      <w:lang w:val="en-GB"/>
                    </w:rPr>
                  </w:rPrChange>
                </w:rPr>
                <w:delText>47</w:delText>
              </w:r>
              <w:r w:rsidR="008E1A09" w:rsidRPr="002C5CDB">
                <w:rPr>
                  <w:sz w:val="22"/>
                  <w:lang w:val="nb-NO"/>
                  <w:rPrChange w:id="2617" w:author="AbbVie05no" w:date="2025-05-19T10:32:00Z">
                    <w:rPr>
                      <w:sz w:val="22"/>
                      <w:lang w:val="en-GB"/>
                    </w:rPr>
                  </w:rPrChange>
                </w:rPr>
                <w:delText xml:space="preserve"> </w:delText>
              </w:r>
              <w:r w:rsidRPr="002C5CDB">
                <w:rPr>
                  <w:sz w:val="22"/>
                  <w:lang w:val="nb-NO"/>
                  <w:rPrChange w:id="2618" w:author="AbbVie05no" w:date="2025-05-19T10:32:00Z">
                    <w:rPr>
                      <w:sz w:val="22"/>
                      <w:lang w:val="en-GB"/>
                    </w:rPr>
                  </w:rPrChange>
                </w:rPr>
                <w:delText>%*</w:delText>
              </w:r>
            </w:del>
          </w:p>
        </w:tc>
      </w:tr>
      <w:tr w:rsidR="004644D4" w14:paraId="7A13B7AB" w14:textId="5B688548" w:rsidTr="00BE75C0">
        <w:trPr>
          <w:del w:id="2619" w:author="AbbVie02no" w:date="2025-05-15T12:36:00Z"/>
        </w:trPr>
        <w:tc>
          <w:tcPr>
            <w:tcW w:w="3641" w:type="dxa"/>
          </w:tcPr>
          <w:p w14:paraId="235FDC30" w14:textId="66317301" w:rsidR="00BE75C0" w:rsidRPr="002C5CDB" w:rsidRDefault="00E453CD" w:rsidP="007B4F3C">
            <w:pPr>
              <w:pStyle w:val="TableText"/>
              <w:rPr>
                <w:del w:id="2620" w:author="AbbVie02no" w:date="2025-05-15T12:36:00Z"/>
                <w:sz w:val="22"/>
                <w:lang w:val="nb-NO"/>
                <w:rPrChange w:id="2621" w:author="AbbVie05no" w:date="2025-05-19T10:32:00Z">
                  <w:rPr>
                    <w:del w:id="2622" w:author="AbbVie02no" w:date="2025-05-15T12:36:00Z"/>
                    <w:sz w:val="22"/>
                    <w:lang w:val="en-GB"/>
                  </w:rPr>
                </w:rPrChange>
              </w:rPr>
            </w:pPr>
            <w:del w:id="2623" w:author="AbbVie02no" w:date="2025-05-15T12:36:00Z">
              <w:r w:rsidRPr="002C5CDB">
                <w:rPr>
                  <w:sz w:val="22"/>
                  <w:lang w:val="nb-NO"/>
                  <w:rPrChange w:id="2624" w:author="AbbVie05no" w:date="2025-05-19T10:32:00Z">
                    <w:rPr>
                      <w:sz w:val="22"/>
                      <w:lang w:val="en-GB"/>
                    </w:rPr>
                  </w:rPrChange>
                </w:rPr>
                <w:delText>Klinisk respons (CR-100)</w:delText>
              </w:r>
            </w:del>
          </w:p>
        </w:tc>
        <w:tc>
          <w:tcPr>
            <w:tcW w:w="1751" w:type="dxa"/>
          </w:tcPr>
          <w:p w14:paraId="2F8ED3B0" w14:textId="0BD1A1E4" w:rsidR="00BE75C0" w:rsidRPr="002C5CDB" w:rsidRDefault="00E453CD" w:rsidP="007B4F3C">
            <w:pPr>
              <w:pStyle w:val="TableText"/>
              <w:jc w:val="center"/>
              <w:rPr>
                <w:del w:id="2625" w:author="AbbVie02no" w:date="2025-05-15T12:36:00Z"/>
                <w:sz w:val="22"/>
                <w:lang w:val="nb-NO"/>
                <w:rPrChange w:id="2626" w:author="AbbVie05no" w:date="2025-05-19T10:32:00Z">
                  <w:rPr>
                    <w:del w:id="2627" w:author="AbbVie02no" w:date="2025-05-15T12:36:00Z"/>
                    <w:sz w:val="22"/>
                    <w:lang w:val="en-GB"/>
                  </w:rPr>
                </w:rPrChange>
              </w:rPr>
            </w:pPr>
            <w:del w:id="2628" w:author="AbbVie02no" w:date="2025-05-15T12:36:00Z">
              <w:r w:rsidRPr="002C5CDB">
                <w:rPr>
                  <w:sz w:val="22"/>
                  <w:lang w:val="nb-NO"/>
                  <w:rPrChange w:id="2629" w:author="AbbVie05no" w:date="2025-05-19T10:32:00Z">
                    <w:rPr>
                      <w:sz w:val="22"/>
                      <w:lang w:val="en-GB"/>
                    </w:rPr>
                  </w:rPrChange>
                </w:rPr>
                <w:delText>27</w:delText>
              </w:r>
              <w:r w:rsidR="008E1A09" w:rsidRPr="002C5CDB">
                <w:rPr>
                  <w:sz w:val="22"/>
                  <w:lang w:val="nb-NO"/>
                  <w:rPrChange w:id="2630" w:author="AbbVie05no" w:date="2025-05-19T10:32:00Z">
                    <w:rPr>
                      <w:sz w:val="22"/>
                      <w:lang w:val="en-GB"/>
                    </w:rPr>
                  </w:rPrChange>
                </w:rPr>
                <w:delText xml:space="preserve"> </w:delText>
              </w:r>
              <w:r w:rsidRPr="002C5CDB">
                <w:rPr>
                  <w:sz w:val="22"/>
                  <w:lang w:val="nb-NO"/>
                  <w:rPrChange w:id="2631" w:author="AbbVie05no" w:date="2025-05-19T10:32:00Z">
                    <w:rPr>
                      <w:sz w:val="22"/>
                      <w:lang w:val="en-GB"/>
                    </w:rPr>
                  </w:rPrChange>
                </w:rPr>
                <w:delText>%</w:delText>
              </w:r>
            </w:del>
          </w:p>
        </w:tc>
        <w:tc>
          <w:tcPr>
            <w:tcW w:w="1928" w:type="dxa"/>
          </w:tcPr>
          <w:p w14:paraId="155BCDE6" w14:textId="4940D144" w:rsidR="00BE75C0" w:rsidRPr="002C5CDB" w:rsidRDefault="00E453CD" w:rsidP="007B4F3C">
            <w:pPr>
              <w:pStyle w:val="TableText"/>
              <w:jc w:val="center"/>
              <w:rPr>
                <w:del w:id="2632" w:author="AbbVie02no" w:date="2025-05-15T12:36:00Z"/>
                <w:sz w:val="22"/>
                <w:lang w:val="nb-NO"/>
                <w:rPrChange w:id="2633" w:author="AbbVie05no" w:date="2025-05-19T10:32:00Z">
                  <w:rPr>
                    <w:del w:id="2634" w:author="AbbVie02no" w:date="2025-05-15T12:36:00Z"/>
                    <w:sz w:val="22"/>
                    <w:lang w:val="en-GB"/>
                  </w:rPr>
                </w:rPrChange>
              </w:rPr>
            </w:pPr>
            <w:del w:id="2635" w:author="AbbVie02no" w:date="2025-05-15T12:36:00Z">
              <w:r w:rsidRPr="002C5CDB">
                <w:rPr>
                  <w:sz w:val="22"/>
                  <w:lang w:val="nb-NO"/>
                  <w:rPrChange w:id="2636" w:author="AbbVie05no" w:date="2025-05-19T10:32:00Z">
                    <w:rPr>
                      <w:sz w:val="22"/>
                      <w:lang w:val="en-GB"/>
                    </w:rPr>
                  </w:rPrChange>
                </w:rPr>
                <w:delText>52</w:delText>
              </w:r>
              <w:r w:rsidR="008E1A09" w:rsidRPr="002C5CDB">
                <w:rPr>
                  <w:sz w:val="22"/>
                  <w:lang w:val="nb-NO"/>
                  <w:rPrChange w:id="2637" w:author="AbbVie05no" w:date="2025-05-19T10:32:00Z">
                    <w:rPr>
                      <w:sz w:val="22"/>
                      <w:lang w:val="en-GB"/>
                    </w:rPr>
                  </w:rPrChange>
                </w:rPr>
                <w:delText xml:space="preserve"> </w:delText>
              </w:r>
              <w:r w:rsidRPr="002C5CDB">
                <w:rPr>
                  <w:sz w:val="22"/>
                  <w:lang w:val="nb-NO"/>
                  <w:rPrChange w:id="2638" w:author="AbbVie05no" w:date="2025-05-19T10:32:00Z">
                    <w:rPr>
                      <w:sz w:val="22"/>
                      <w:lang w:val="en-GB"/>
                    </w:rPr>
                  </w:rPrChange>
                </w:rPr>
                <w:delText>%*</w:delText>
              </w:r>
            </w:del>
          </w:p>
        </w:tc>
        <w:tc>
          <w:tcPr>
            <w:tcW w:w="1700" w:type="dxa"/>
          </w:tcPr>
          <w:p w14:paraId="7DF6A48D" w14:textId="335EEAF5" w:rsidR="00BE75C0" w:rsidRPr="002C5CDB" w:rsidRDefault="00E453CD" w:rsidP="007B4F3C">
            <w:pPr>
              <w:pStyle w:val="TableText"/>
              <w:jc w:val="center"/>
              <w:rPr>
                <w:del w:id="2639" w:author="AbbVie02no" w:date="2025-05-15T12:36:00Z"/>
                <w:sz w:val="22"/>
                <w:lang w:val="nb-NO"/>
                <w:rPrChange w:id="2640" w:author="AbbVie05no" w:date="2025-05-19T10:32:00Z">
                  <w:rPr>
                    <w:del w:id="2641" w:author="AbbVie02no" w:date="2025-05-15T12:36:00Z"/>
                    <w:sz w:val="22"/>
                    <w:lang w:val="en-GB"/>
                  </w:rPr>
                </w:rPrChange>
              </w:rPr>
            </w:pPr>
            <w:del w:id="2642" w:author="AbbVie02no" w:date="2025-05-15T12:36:00Z">
              <w:r w:rsidRPr="002C5CDB">
                <w:rPr>
                  <w:sz w:val="22"/>
                  <w:lang w:val="nb-NO"/>
                  <w:rPrChange w:id="2643" w:author="AbbVie05no" w:date="2025-05-19T10:32:00Z">
                    <w:rPr>
                      <w:sz w:val="22"/>
                      <w:lang w:val="en-GB"/>
                    </w:rPr>
                  </w:rPrChange>
                </w:rPr>
                <w:delText>52</w:delText>
              </w:r>
              <w:r w:rsidR="008E1A09" w:rsidRPr="002C5CDB">
                <w:rPr>
                  <w:sz w:val="22"/>
                  <w:lang w:val="nb-NO"/>
                  <w:rPrChange w:id="2644" w:author="AbbVie05no" w:date="2025-05-19T10:32:00Z">
                    <w:rPr>
                      <w:sz w:val="22"/>
                      <w:lang w:val="en-GB"/>
                    </w:rPr>
                  </w:rPrChange>
                </w:rPr>
                <w:delText xml:space="preserve"> </w:delText>
              </w:r>
              <w:r w:rsidRPr="002C5CDB">
                <w:rPr>
                  <w:sz w:val="22"/>
                  <w:lang w:val="nb-NO"/>
                  <w:rPrChange w:id="2645" w:author="AbbVie05no" w:date="2025-05-19T10:32:00Z">
                    <w:rPr>
                      <w:sz w:val="22"/>
                      <w:lang w:val="en-GB"/>
                    </w:rPr>
                  </w:rPrChange>
                </w:rPr>
                <w:delText>%*</w:delText>
              </w:r>
            </w:del>
          </w:p>
        </w:tc>
      </w:tr>
      <w:tr w:rsidR="004644D4" w14:paraId="5DD5F5AE" w14:textId="796E31D4" w:rsidTr="00BE75C0">
        <w:trPr>
          <w:del w:id="2646" w:author="AbbVie02no" w:date="2025-05-15T12:36:00Z"/>
        </w:trPr>
        <w:tc>
          <w:tcPr>
            <w:tcW w:w="3641" w:type="dxa"/>
          </w:tcPr>
          <w:p w14:paraId="617A2477" w14:textId="218F74A3" w:rsidR="00BE75C0" w:rsidRPr="009C5EFD" w:rsidRDefault="00E453CD" w:rsidP="007B4F3C">
            <w:pPr>
              <w:pStyle w:val="TableText"/>
              <w:ind w:left="360"/>
              <w:rPr>
                <w:del w:id="2647" w:author="AbbVie02no" w:date="2025-05-15T12:36:00Z"/>
                <w:sz w:val="22"/>
                <w:lang w:val="nb-NO"/>
              </w:rPr>
            </w:pPr>
            <w:del w:id="2648" w:author="AbbVie02no" w:date="2025-05-15T12:36:00Z">
              <w:r w:rsidRPr="007F67EE">
                <w:rPr>
                  <w:sz w:val="22"/>
                  <w:lang w:val="nb-NO"/>
                </w:rPr>
                <w:delText>Pasienter i steroidfr</w:delText>
              </w:r>
              <w:r w:rsidRPr="00193D76">
                <w:rPr>
                  <w:sz w:val="22"/>
                  <w:lang w:val="nb-NO"/>
                </w:rPr>
                <w:delText>i</w:delText>
              </w:r>
              <w:r w:rsidRPr="00E14E58">
                <w:rPr>
                  <w:sz w:val="22"/>
                  <w:lang w:val="nb-NO"/>
                </w:rPr>
                <w:delText xml:space="preserve"> remis</w:delText>
              </w:r>
              <w:r w:rsidRPr="009C5EFD">
                <w:rPr>
                  <w:sz w:val="22"/>
                  <w:lang w:val="nb-NO"/>
                </w:rPr>
                <w:delText xml:space="preserve">jon </w:delText>
              </w:r>
              <w:r w:rsidRPr="009C5EFD">
                <w:rPr>
                  <w:sz w:val="22"/>
                  <w:lang w:val="nb-NO"/>
                </w:rPr>
                <w:br/>
                <w:delText xml:space="preserve">for </w:delText>
              </w:r>
              <w:r w:rsidR="00721030" w:rsidRPr="009C5EFD">
                <w:rPr>
                  <w:szCs w:val="22"/>
                  <w:lang w:val="nb-NO"/>
                </w:rPr>
                <w:delText>&gt;=</w:delText>
              </w:r>
              <w:r w:rsidRPr="009C5EFD">
                <w:rPr>
                  <w:sz w:val="22"/>
                  <w:lang w:val="nb-NO"/>
                </w:rPr>
                <w:delText xml:space="preserve"> 90 dager</w:delText>
              </w:r>
              <w:r w:rsidRPr="009C5EFD">
                <w:rPr>
                  <w:sz w:val="22"/>
                  <w:vertAlign w:val="superscript"/>
                  <w:lang w:val="nb-NO"/>
                </w:rPr>
                <w:delText>a</w:delText>
              </w:r>
            </w:del>
          </w:p>
        </w:tc>
        <w:tc>
          <w:tcPr>
            <w:tcW w:w="1751" w:type="dxa"/>
          </w:tcPr>
          <w:p w14:paraId="25D5C120" w14:textId="0A8167C1" w:rsidR="00BE75C0" w:rsidRPr="002C5CDB" w:rsidRDefault="00E453CD" w:rsidP="007B4F3C">
            <w:pPr>
              <w:pStyle w:val="TableText"/>
              <w:jc w:val="center"/>
              <w:rPr>
                <w:del w:id="2649" w:author="AbbVie02no" w:date="2025-05-15T12:36:00Z"/>
                <w:sz w:val="22"/>
                <w:lang w:val="nb-NO"/>
                <w:rPrChange w:id="2650" w:author="AbbVie05no" w:date="2025-05-19T10:32:00Z">
                  <w:rPr>
                    <w:del w:id="2651" w:author="AbbVie02no" w:date="2025-05-15T12:36:00Z"/>
                    <w:sz w:val="22"/>
                    <w:lang w:val="en-GB"/>
                  </w:rPr>
                </w:rPrChange>
              </w:rPr>
            </w:pPr>
            <w:del w:id="2652" w:author="AbbVie02no" w:date="2025-05-15T12:36:00Z">
              <w:r w:rsidRPr="002C5CDB">
                <w:rPr>
                  <w:sz w:val="22"/>
                  <w:lang w:val="nb-NO"/>
                  <w:rPrChange w:id="2653" w:author="AbbVie05no" w:date="2025-05-19T10:32:00Z">
                    <w:rPr>
                      <w:sz w:val="22"/>
                      <w:lang w:val="en-GB"/>
                    </w:rPr>
                  </w:rPrChange>
                </w:rPr>
                <w:delText>3</w:delText>
              </w:r>
              <w:r w:rsidR="008E1A09" w:rsidRPr="002C5CDB">
                <w:rPr>
                  <w:sz w:val="22"/>
                  <w:lang w:val="nb-NO"/>
                  <w:rPrChange w:id="2654" w:author="AbbVie05no" w:date="2025-05-19T10:32:00Z">
                    <w:rPr>
                      <w:sz w:val="22"/>
                      <w:lang w:val="en-GB"/>
                    </w:rPr>
                  </w:rPrChange>
                </w:rPr>
                <w:delText xml:space="preserve"> </w:delText>
              </w:r>
              <w:r w:rsidRPr="002C5CDB">
                <w:rPr>
                  <w:sz w:val="22"/>
                  <w:lang w:val="nb-NO"/>
                  <w:rPrChange w:id="2655" w:author="AbbVie05no" w:date="2025-05-19T10:32:00Z">
                    <w:rPr>
                      <w:sz w:val="22"/>
                      <w:lang w:val="en-GB"/>
                    </w:rPr>
                  </w:rPrChange>
                </w:rPr>
                <w:delText>% (2/66)</w:delText>
              </w:r>
            </w:del>
          </w:p>
        </w:tc>
        <w:tc>
          <w:tcPr>
            <w:tcW w:w="1928" w:type="dxa"/>
          </w:tcPr>
          <w:p w14:paraId="145E9E94" w14:textId="161FA20C" w:rsidR="00BE75C0" w:rsidRPr="002C5CDB" w:rsidRDefault="00E453CD" w:rsidP="007B4F3C">
            <w:pPr>
              <w:pStyle w:val="TableText"/>
              <w:jc w:val="center"/>
              <w:rPr>
                <w:del w:id="2656" w:author="AbbVie02no" w:date="2025-05-15T12:36:00Z"/>
                <w:sz w:val="22"/>
                <w:lang w:val="nb-NO"/>
                <w:rPrChange w:id="2657" w:author="AbbVie05no" w:date="2025-05-19T10:32:00Z">
                  <w:rPr>
                    <w:del w:id="2658" w:author="AbbVie02no" w:date="2025-05-15T12:36:00Z"/>
                    <w:sz w:val="22"/>
                    <w:lang w:val="en-GB"/>
                  </w:rPr>
                </w:rPrChange>
              </w:rPr>
            </w:pPr>
            <w:del w:id="2659" w:author="AbbVie02no" w:date="2025-05-15T12:36:00Z">
              <w:r w:rsidRPr="002C5CDB">
                <w:rPr>
                  <w:sz w:val="22"/>
                  <w:lang w:val="nb-NO"/>
                  <w:rPrChange w:id="2660" w:author="AbbVie05no" w:date="2025-05-19T10:32:00Z">
                    <w:rPr>
                      <w:sz w:val="22"/>
                      <w:lang w:val="en-GB"/>
                    </w:rPr>
                  </w:rPrChange>
                </w:rPr>
                <w:delText>19</w:delText>
              </w:r>
              <w:r w:rsidR="008E1A09" w:rsidRPr="002C5CDB">
                <w:rPr>
                  <w:sz w:val="22"/>
                  <w:lang w:val="nb-NO"/>
                  <w:rPrChange w:id="2661" w:author="AbbVie05no" w:date="2025-05-19T10:32:00Z">
                    <w:rPr>
                      <w:sz w:val="22"/>
                      <w:lang w:val="en-GB"/>
                    </w:rPr>
                  </w:rPrChange>
                </w:rPr>
                <w:delText xml:space="preserve"> </w:delText>
              </w:r>
              <w:r w:rsidRPr="002C5CDB">
                <w:rPr>
                  <w:sz w:val="22"/>
                  <w:lang w:val="nb-NO"/>
                  <w:rPrChange w:id="2662" w:author="AbbVie05no" w:date="2025-05-19T10:32:00Z">
                    <w:rPr>
                      <w:sz w:val="22"/>
                      <w:lang w:val="en-GB"/>
                    </w:rPr>
                  </w:rPrChange>
                </w:rPr>
                <w:delText>% (11/58)**</w:delText>
              </w:r>
            </w:del>
          </w:p>
        </w:tc>
        <w:tc>
          <w:tcPr>
            <w:tcW w:w="1700" w:type="dxa"/>
          </w:tcPr>
          <w:p w14:paraId="0CF63EDA" w14:textId="7497AA53" w:rsidR="00BE75C0" w:rsidRPr="002C5CDB" w:rsidRDefault="00E453CD" w:rsidP="007B4F3C">
            <w:pPr>
              <w:pStyle w:val="TableText"/>
              <w:jc w:val="center"/>
              <w:rPr>
                <w:del w:id="2663" w:author="AbbVie02no" w:date="2025-05-15T12:36:00Z"/>
                <w:sz w:val="22"/>
                <w:lang w:val="nb-NO"/>
                <w:rPrChange w:id="2664" w:author="AbbVie05no" w:date="2025-05-19T10:32:00Z">
                  <w:rPr>
                    <w:del w:id="2665" w:author="AbbVie02no" w:date="2025-05-15T12:36:00Z"/>
                    <w:sz w:val="22"/>
                    <w:lang w:val="en-GB"/>
                  </w:rPr>
                </w:rPrChange>
              </w:rPr>
            </w:pPr>
            <w:del w:id="2666" w:author="AbbVie02no" w:date="2025-05-15T12:36:00Z">
              <w:r w:rsidRPr="002C5CDB">
                <w:rPr>
                  <w:sz w:val="22"/>
                  <w:lang w:val="nb-NO"/>
                  <w:rPrChange w:id="2667" w:author="AbbVie05no" w:date="2025-05-19T10:32:00Z">
                    <w:rPr>
                      <w:sz w:val="22"/>
                      <w:lang w:val="en-GB"/>
                    </w:rPr>
                  </w:rPrChange>
                </w:rPr>
                <w:delText>15</w:delText>
              </w:r>
              <w:r w:rsidR="008E1A09" w:rsidRPr="002C5CDB">
                <w:rPr>
                  <w:sz w:val="22"/>
                  <w:lang w:val="nb-NO"/>
                  <w:rPrChange w:id="2668" w:author="AbbVie05no" w:date="2025-05-19T10:32:00Z">
                    <w:rPr>
                      <w:sz w:val="22"/>
                      <w:lang w:val="en-GB"/>
                    </w:rPr>
                  </w:rPrChange>
                </w:rPr>
                <w:delText xml:space="preserve"> </w:delText>
              </w:r>
              <w:r w:rsidRPr="002C5CDB">
                <w:rPr>
                  <w:sz w:val="22"/>
                  <w:lang w:val="nb-NO"/>
                  <w:rPrChange w:id="2669" w:author="AbbVie05no" w:date="2025-05-19T10:32:00Z">
                    <w:rPr>
                      <w:sz w:val="22"/>
                      <w:lang w:val="en-GB"/>
                    </w:rPr>
                  </w:rPrChange>
                </w:rPr>
                <w:delText>% (11/74)**</w:delText>
              </w:r>
            </w:del>
          </w:p>
        </w:tc>
      </w:tr>
      <w:tr w:rsidR="004644D4" w14:paraId="1BE44C01" w14:textId="6EA9E012" w:rsidTr="00BE75C0">
        <w:trPr>
          <w:del w:id="2670" w:author="AbbVie02no" w:date="2025-05-15T12:36:00Z"/>
        </w:trPr>
        <w:tc>
          <w:tcPr>
            <w:tcW w:w="3641" w:type="dxa"/>
          </w:tcPr>
          <w:p w14:paraId="743EEECC" w14:textId="5D7F6029" w:rsidR="00BE75C0" w:rsidRPr="002C5CDB" w:rsidRDefault="00E453CD" w:rsidP="007B4F3C">
            <w:pPr>
              <w:pStyle w:val="TableText"/>
              <w:rPr>
                <w:del w:id="2671" w:author="AbbVie02no" w:date="2025-05-15T12:36:00Z"/>
                <w:b/>
                <w:bCs/>
                <w:sz w:val="22"/>
                <w:lang w:val="nb-NO"/>
                <w:rPrChange w:id="2672" w:author="AbbVie05no" w:date="2025-05-19T10:32:00Z">
                  <w:rPr>
                    <w:del w:id="2673" w:author="AbbVie02no" w:date="2025-05-15T12:36:00Z"/>
                    <w:b/>
                    <w:bCs/>
                    <w:sz w:val="22"/>
                    <w:lang w:val="en-GB"/>
                  </w:rPr>
                </w:rPrChange>
              </w:rPr>
            </w:pPr>
            <w:del w:id="2674" w:author="AbbVie02no" w:date="2025-05-15T12:36:00Z">
              <w:r w:rsidRPr="002C5CDB">
                <w:rPr>
                  <w:b/>
                  <w:bCs/>
                  <w:sz w:val="22"/>
                  <w:lang w:val="nb-NO"/>
                  <w:rPrChange w:id="2675" w:author="AbbVie05no" w:date="2025-05-19T10:32:00Z">
                    <w:rPr>
                      <w:b/>
                      <w:bCs/>
                      <w:sz w:val="22"/>
                      <w:lang w:val="en-GB"/>
                    </w:rPr>
                  </w:rPrChange>
                </w:rPr>
                <w:delText>Uke 56</w:delText>
              </w:r>
            </w:del>
          </w:p>
        </w:tc>
        <w:tc>
          <w:tcPr>
            <w:tcW w:w="1751" w:type="dxa"/>
          </w:tcPr>
          <w:p w14:paraId="2D5BF91A" w14:textId="5A4E8E4C" w:rsidR="00BE75C0" w:rsidRPr="002C5CDB" w:rsidRDefault="00E453CD" w:rsidP="007B4F3C">
            <w:pPr>
              <w:pStyle w:val="TableText"/>
              <w:jc w:val="center"/>
              <w:rPr>
                <w:del w:id="2676" w:author="AbbVie02no" w:date="2025-05-15T12:36:00Z"/>
                <w:b/>
                <w:bCs/>
                <w:sz w:val="22"/>
                <w:lang w:val="nb-NO"/>
                <w:rPrChange w:id="2677" w:author="AbbVie05no" w:date="2025-05-19T10:32:00Z">
                  <w:rPr>
                    <w:del w:id="2678" w:author="AbbVie02no" w:date="2025-05-15T12:36:00Z"/>
                    <w:b/>
                    <w:bCs/>
                    <w:sz w:val="22"/>
                    <w:lang w:val="en-GB"/>
                  </w:rPr>
                </w:rPrChange>
              </w:rPr>
            </w:pPr>
            <w:del w:id="2679" w:author="AbbVie02no" w:date="2025-05-15T12:36:00Z">
              <w:r w:rsidRPr="002C5CDB">
                <w:rPr>
                  <w:b/>
                  <w:bCs/>
                  <w:sz w:val="22"/>
                  <w:lang w:val="nb-NO"/>
                  <w:rPrChange w:id="2680" w:author="AbbVie05no" w:date="2025-05-19T10:32:00Z">
                    <w:rPr>
                      <w:b/>
                      <w:bCs/>
                      <w:sz w:val="22"/>
                      <w:lang w:val="en-GB"/>
                    </w:rPr>
                  </w:rPrChange>
                </w:rPr>
                <w:delText>N=170</w:delText>
              </w:r>
            </w:del>
          </w:p>
        </w:tc>
        <w:tc>
          <w:tcPr>
            <w:tcW w:w="1928" w:type="dxa"/>
          </w:tcPr>
          <w:p w14:paraId="3C7030FD" w14:textId="66D9594A" w:rsidR="00BE75C0" w:rsidRPr="002C5CDB" w:rsidRDefault="00E453CD" w:rsidP="007B4F3C">
            <w:pPr>
              <w:pStyle w:val="TableText"/>
              <w:jc w:val="center"/>
              <w:rPr>
                <w:del w:id="2681" w:author="AbbVie02no" w:date="2025-05-15T12:36:00Z"/>
                <w:b/>
                <w:bCs/>
                <w:sz w:val="22"/>
                <w:lang w:val="nb-NO"/>
                <w:rPrChange w:id="2682" w:author="AbbVie05no" w:date="2025-05-19T10:32:00Z">
                  <w:rPr>
                    <w:del w:id="2683" w:author="AbbVie02no" w:date="2025-05-15T12:36:00Z"/>
                    <w:b/>
                    <w:bCs/>
                    <w:sz w:val="22"/>
                    <w:lang w:val="en-GB"/>
                  </w:rPr>
                </w:rPrChange>
              </w:rPr>
            </w:pPr>
            <w:del w:id="2684" w:author="AbbVie02no" w:date="2025-05-15T12:36:00Z">
              <w:r w:rsidRPr="002C5CDB">
                <w:rPr>
                  <w:b/>
                  <w:bCs/>
                  <w:sz w:val="22"/>
                  <w:lang w:val="nb-NO"/>
                  <w:rPrChange w:id="2685" w:author="AbbVie05no" w:date="2025-05-19T10:32:00Z">
                    <w:rPr>
                      <w:b/>
                      <w:bCs/>
                      <w:sz w:val="22"/>
                      <w:lang w:val="en-GB"/>
                    </w:rPr>
                  </w:rPrChange>
                </w:rPr>
                <w:delText>N=172</w:delText>
              </w:r>
            </w:del>
          </w:p>
        </w:tc>
        <w:tc>
          <w:tcPr>
            <w:tcW w:w="1700" w:type="dxa"/>
          </w:tcPr>
          <w:p w14:paraId="37142BE2" w14:textId="214EFF6E" w:rsidR="00BE75C0" w:rsidRPr="002C5CDB" w:rsidRDefault="00E453CD" w:rsidP="007B4F3C">
            <w:pPr>
              <w:pStyle w:val="TableText"/>
              <w:jc w:val="center"/>
              <w:rPr>
                <w:del w:id="2686" w:author="AbbVie02no" w:date="2025-05-15T12:36:00Z"/>
                <w:b/>
                <w:bCs/>
                <w:sz w:val="22"/>
                <w:lang w:val="nb-NO"/>
                <w:rPrChange w:id="2687" w:author="AbbVie05no" w:date="2025-05-19T10:32:00Z">
                  <w:rPr>
                    <w:del w:id="2688" w:author="AbbVie02no" w:date="2025-05-15T12:36:00Z"/>
                    <w:b/>
                    <w:bCs/>
                    <w:sz w:val="22"/>
                    <w:lang w:val="en-GB"/>
                  </w:rPr>
                </w:rPrChange>
              </w:rPr>
            </w:pPr>
            <w:del w:id="2689" w:author="AbbVie02no" w:date="2025-05-15T12:36:00Z">
              <w:r w:rsidRPr="002C5CDB">
                <w:rPr>
                  <w:b/>
                  <w:bCs/>
                  <w:sz w:val="22"/>
                  <w:lang w:val="nb-NO"/>
                  <w:rPrChange w:id="2690" w:author="AbbVie05no" w:date="2025-05-19T10:32:00Z">
                    <w:rPr>
                      <w:b/>
                      <w:bCs/>
                      <w:sz w:val="22"/>
                      <w:lang w:val="en-GB"/>
                    </w:rPr>
                  </w:rPrChange>
                </w:rPr>
                <w:delText>N=157</w:delText>
              </w:r>
            </w:del>
          </w:p>
        </w:tc>
      </w:tr>
      <w:tr w:rsidR="004644D4" w14:paraId="5E1B0584" w14:textId="39096814" w:rsidTr="00BE75C0">
        <w:trPr>
          <w:del w:id="2691" w:author="AbbVie02no" w:date="2025-05-15T12:36:00Z"/>
        </w:trPr>
        <w:tc>
          <w:tcPr>
            <w:tcW w:w="3641" w:type="dxa"/>
          </w:tcPr>
          <w:p w14:paraId="2044801B" w14:textId="3126BEEA" w:rsidR="00BE75C0" w:rsidRPr="002C5CDB" w:rsidRDefault="00E453CD" w:rsidP="007B4F3C">
            <w:pPr>
              <w:pStyle w:val="TableText"/>
              <w:rPr>
                <w:del w:id="2692" w:author="AbbVie02no" w:date="2025-05-15T12:36:00Z"/>
                <w:sz w:val="22"/>
                <w:lang w:val="nb-NO"/>
                <w:rPrChange w:id="2693" w:author="AbbVie05no" w:date="2025-05-19T10:32:00Z">
                  <w:rPr>
                    <w:del w:id="2694" w:author="AbbVie02no" w:date="2025-05-15T12:36:00Z"/>
                    <w:sz w:val="22"/>
                    <w:lang w:val="en-GB"/>
                  </w:rPr>
                </w:rPrChange>
              </w:rPr>
            </w:pPr>
            <w:del w:id="2695" w:author="AbbVie02no" w:date="2025-05-15T12:36:00Z">
              <w:r w:rsidRPr="002C5CDB">
                <w:rPr>
                  <w:sz w:val="22"/>
                  <w:lang w:val="nb-NO"/>
                  <w:rPrChange w:id="2696" w:author="AbbVie05no" w:date="2025-05-19T10:32:00Z">
                    <w:rPr>
                      <w:sz w:val="22"/>
                      <w:lang w:val="en-GB"/>
                    </w:rPr>
                  </w:rPrChange>
                </w:rPr>
                <w:delText>Klinisk remisjon</w:delText>
              </w:r>
            </w:del>
          </w:p>
        </w:tc>
        <w:tc>
          <w:tcPr>
            <w:tcW w:w="1751" w:type="dxa"/>
          </w:tcPr>
          <w:p w14:paraId="7EF3590E" w14:textId="0A54314C" w:rsidR="00BE75C0" w:rsidRPr="002C5CDB" w:rsidRDefault="00E453CD" w:rsidP="007B4F3C">
            <w:pPr>
              <w:pStyle w:val="TableText"/>
              <w:jc w:val="center"/>
              <w:rPr>
                <w:del w:id="2697" w:author="AbbVie02no" w:date="2025-05-15T12:36:00Z"/>
                <w:sz w:val="22"/>
                <w:lang w:val="nb-NO"/>
                <w:rPrChange w:id="2698" w:author="AbbVie05no" w:date="2025-05-19T10:32:00Z">
                  <w:rPr>
                    <w:del w:id="2699" w:author="AbbVie02no" w:date="2025-05-15T12:36:00Z"/>
                    <w:sz w:val="22"/>
                    <w:lang w:val="en-GB"/>
                  </w:rPr>
                </w:rPrChange>
              </w:rPr>
            </w:pPr>
            <w:del w:id="2700" w:author="AbbVie02no" w:date="2025-05-15T12:36:00Z">
              <w:r w:rsidRPr="002C5CDB">
                <w:rPr>
                  <w:sz w:val="22"/>
                  <w:lang w:val="nb-NO"/>
                  <w:rPrChange w:id="2701" w:author="AbbVie05no" w:date="2025-05-19T10:32:00Z">
                    <w:rPr>
                      <w:sz w:val="22"/>
                      <w:lang w:val="en-GB"/>
                    </w:rPr>
                  </w:rPrChange>
                </w:rPr>
                <w:delText>12</w:delText>
              </w:r>
              <w:r w:rsidR="008E1A09" w:rsidRPr="002C5CDB">
                <w:rPr>
                  <w:sz w:val="22"/>
                  <w:lang w:val="nb-NO"/>
                  <w:rPrChange w:id="2702" w:author="AbbVie05no" w:date="2025-05-19T10:32:00Z">
                    <w:rPr>
                      <w:sz w:val="22"/>
                      <w:lang w:val="en-GB"/>
                    </w:rPr>
                  </w:rPrChange>
                </w:rPr>
                <w:delText xml:space="preserve"> </w:delText>
              </w:r>
              <w:r w:rsidRPr="002C5CDB">
                <w:rPr>
                  <w:sz w:val="22"/>
                  <w:lang w:val="nb-NO"/>
                  <w:rPrChange w:id="2703" w:author="AbbVie05no" w:date="2025-05-19T10:32:00Z">
                    <w:rPr>
                      <w:sz w:val="22"/>
                      <w:lang w:val="en-GB"/>
                    </w:rPr>
                  </w:rPrChange>
                </w:rPr>
                <w:delText>%</w:delText>
              </w:r>
            </w:del>
          </w:p>
        </w:tc>
        <w:tc>
          <w:tcPr>
            <w:tcW w:w="1928" w:type="dxa"/>
          </w:tcPr>
          <w:p w14:paraId="58AC78B4" w14:textId="57588218" w:rsidR="00BE75C0" w:rsidRPr="002C5CDB" w:rsidRDefault="00E453CD" w:rsidP="007B4F3C">
            <w:pPr>
              <w:pStyle w:val="TableText"/>
              <w:jc w:val="center"/>
              <w:rPr>
                <w:del w:id="2704" w:author="AbbVie02no" w:date="2025-05-15T12:36:00Z"/>
                <w:sz w:val="22"/>
                <w:lang w:val="nb-NO"/>
                <w:rPrChange w:id="2705" w:author="AbbVie05no" w:date="2025-05-19T10:32:00Z">
                  <w:rPr>
                    <w:del w:id="2706" w:author="AbbVie02no" w:date="2025-05-15T12:36:00Z"/>
                    <w:sz w:val="22"/>
                    <w:lang w:val="en-GB"/>
                  </w:rPr>
                </w:rPrChange>
              </w:rPr>
            </w:pPr>
            <w:del w:id="2707" w:author="AbbVie02no" w:date="2025-05-15T12:36:00Z">
              <w:r w:rsidRPr="002C5CDB">
                <w:rPr>
                  <w:sz w:val="22"/>
                  <w:lang w:val="nb-NO"/>
                  <w:rPrChange w:id="2708" w:author="AbbVie05no" w:date="2025-05-19T10:32:00Z">
                    <w:rPr>
                      <w:sz w:val="22"/>
                      <w:lang w:val="en-GB"/>
                    </w:rPr>
                  </w:rPrChange>
                </w:rPr>
                <w:delText>36</w:delText>
              </w:r>
              <w:r w:rsidR="008E1A09" w:rsidRPr="002C5CDB">
                <w:rPr>
                  <w:sz w:val="22"/>
                  <w:lang w:val="nb-NO"/>
                  <w:rPrChange w:id="2709" w:author="AbbVie05no" w:date="2025-05-19T10:32:00Z">
                    <w:rPr>
                      <w:sz w:val="22"/>
                      <w:lang w:val="en-GB"/>
                    </w:rPr>
                  </w:rPrChange>
                </w:rPr>
                <w:delText xml:space="preserve"> </w:delText>
              </w:r>
              <w:r w:rsidRPr="002C5CDB">
                <w:rPr>
                  <w:sz w:val="22"/>
                  <w:lang w:val="nb-NO"/>
                  <w:rPrChange w:id="2710" w:author="AbbVie05no" w:date="2025-05-19T10:32:00Z">
                    <w:rPr>
                      <w:sz w:val="22"/>
                      <w:lang w:val="en-GB"/>
                    </w:rPr>
                  </w:rPrChange>
                </w:rPr>
                <w:delText>%*</w:delText>
              </w:r>
            </w:del>
          </w:p>
        </w:tc>
        <w:tc>
          <w:tcPr>
            <w:tcW w:w="1700" w:type="dxa"/>
          </w:tcPr>
          <w:p w14:paraId="6B9F6CBA" w14:textId="66A3E808" w:rsidR="00BE75C0" w:rsidRPr="002C5CDB" w:rsidRDefault="00E453CD" w:rsidP="007B4F3C">
            <w:pPr>
              <w:pStyle w:val="TableText"/>
              <w:jc w:val="center"/>
              <w:rPr>
                <w:del w:id="2711" w:author="AbbVie02no" w:date="2025-05-15T12:36:00Z"/>
                <w:sz w:val="22"/>
                <w:lang w:val="nb-NO"/>
                <w:rPrChange w:id="2712" w:author="AbbVie05no" w:date="2025-05-19T10:32:00Z">
                  <w:rPr>
                    <w:del w:id="2713" w:author="AbbVie02no" w:date="2025-05-15T12:36:00Z"/>
                    <w:sz w:val="22"/>
                    <w:lang w:val="en-GB"/>
                  </w:rPr>
                </w:rPrChange>
              </w:rPr>
            </w:pPr>
            <w:del w:id="2714" w:author="AbbVie02no" w:date="2025-05-15T12:36:00Z">
              <w:r w:rsidRPr="002C5CDB">
                <w:rPr>
                  <w:sz w:val="22"/>
                  <w:lang w:val="nb-NO"/>
                  <w:rPrChange w:id="2715" w:author="AbbVie05no" w:date="2025-05-19T10:32:00Z">
                    <w:rPr>
                      <w:sz w:val="22"/>
                      <w:lang w:val="en-GB"/>
                    </w:rPr>
                  </w:rPrChange>
                </w:rPr>
                <w:delText>41</w:delText>
              </w:r>
              <w:r w:rsidR="008E1A09" w:rsidRPr="002C5CDB">
                <w:rPr>
                  <w:sz w:val="22"/>
                  <w:lang w:val="nb-NO"/>
                  <w:rPrChange w:id="2716" w:author="AbbVie05no" w:date="2025-05-19T10:32:00Z">
                    <w:rPr>
                      <w:sz w:val="22"/>
                      <w:lang w:val="en-GB"/>
                    </w:rPr>
                  </w:rPrChange>
                </w:rPr>
                <w:delText xml:space="preserve"> </w:delText>
              </w:r>
              <w:r w:rsidRPr="002C5CDB">
                <w:rPr>
                  <w:sz w:val="22"/>
                  <w:lang w:val="nb-NO"/>
                  <w:rPrChange w:id="2717" w:author="AbbVie05no" w:date="2025-05-19T10:32:00Z">
                    <w:rPr>
                      <w:sz w:val="22"/>
                      <w:lang w:val="en-GB"/>
                    </w:rPr>
                  </w:rPrChange>
                </w:rPr>
                <w:delText>%*</w:delText>
              </w:r>
            </w:del>
          </w:p>
        </w:tc>
      </w:tr>
      <w:tr w:rsidR="004644D4" w14:paraId="1A0C22D6" w14:textId="2B94D579" w:rsidTr="00BE75C0">
        <w:trPr>
          <w:del w:id="2718" w:author="AbbVie02no" w:date="2025-05-15T12:36:00Z"/>
        </w:trPr>
        <w:tc>
          <w:tcPr>
            <w:tcW w:w="3641" w:type="dxa"/>
          </w:tcPr>
          <w:p w14:paraId="4DAF9329" w14:textId="1A30D1A2" w:rsidR="00BE75C0" w:rsidRPr="002C5CDB" w:rsidRDefault="00E453CD" w:rsidP="007B4F3C">
            <w:pPr>
              <w:pStyle w:val="TableText"/>
              <w:rPr>
                <w:del w:id="2719" w:author="AbbVie02no" w:date="2025-05-15T12:36:00Z"/>
                <w:sz w:val="22"/>
                <w:lang w:val="nb-NO"/>
                <w:rPrChange w:id="2720" w:author="AbbVie05no" w:date="2025-05-19T10:32:00Z">
                  <w:rPr>
                    <w:del w:id="2721" w:author="AbbVie02no" w:date="2025-05-15T12:36:00Z"/>
                    <w:sz w:val="22"/>
                    <w:lang w:val="en-GB"/>
                  </w:rPr>
                </w:rPrChange>
              </w:rPr>
            </w:pPr>
            <w:del w:id="2722" w:author="AbbVie02no" w:date="2025-05-15T12:36:00Z">
              <w:r w:rsidRPr="002C5CDB">
                <w:rPr>
                  <w:sz w:val="22"/>
                  <w:lang w:val="nb-NO"/>
                  <w:rPrChange w:id="2723" w:author="AbbVie05no" w:date="2025-05-19T10:32:00Z">
                    <w:rPr>
                      <w:sz w:val="22"/>
                      <w:lang w:val="en-GB"/>
                    </w:rPr>
                  </w:rPrChange>
                </w:rPr>
                <w:delText>Klinisk respons (CR-100)</w:delText>
              </w:r>
            </w:del>
          </w:p>
        </w:tc>
        <w:tc>
          <w:tcPr>
            <w:tcW w:w="1751" w:type="dxa"/>
          </w:tcPr>
          <w:p w14:paraId="63AD6F8C" w14:textId="18BC26C0" w:rsidR="00BE75C0" w:rsidRPr="002C5CDB" w:rsidRDefault="00E453CD" w:rsidP="007B4F3C">
            <w:pPr>
              <w:pStyle w:val="TableText"/>
              <w:jc w:val="center"/>
              <w:rPr>
                <w:del w:id="2724" w:author="AbbVie02no" w:date="2025-05-15T12:36:00Z"/>
                <w:sz w:val="22"/>
                <w:lang w:val="nb-NO"/>
                <w:rPrChange w:id="2725" w:author="AbbVie05no" w:date="2025-05-19T10:32:00Z">
                  <w:rPr>
                    <w:del w:id="2726" w:author="AbbVie02no" w:date="2025-05-15T12:36:00Z"/>
                    <w:sz w:val="22"/>
                    <w:lang w:val="en-GB"/>
                  </w:rPr>
                </w:rPrChange>
              </w:rPr>
            </w:pPr>
            <w:del w:id="2727" w:author="AbbVie02no" w:date="2025-05-15T12:36:00Z">
              <w:r w:rsidRPr="002C5CDB">
                <w:rPr>
                  <w:sz w:val="22"/>
                  <w:lang w:val="nb-NO"/>
                  <w:rPrChange w:id="2728" w:author="AbbVie05no" w:date="2025-05-19T10:32:00Z">
                    <w:rPr>
                      <w:sz w:val="22"/>
                      <w:lang w:val="en-GB"/>
                    </w:rPr>
                  </w:rPrChange>
                </w:rPr>
                <w:delText>17</w:delText>
              </w:r>
              <w:r w:rsidR="008E1A09" w:rsidRPr="002C5CDB">
                <w:rPr>
                  <w:sz w:val="22"/>
                  <w:lang w:val="nb-NO"/>
                  <w:rPrChange w:id="2729" w:author="AbbVie05no" w:date="2025-05-19T10:32:00Z">
                    <w:rPr>
                      <w:sz w:val="22"/>
                      <w:lang w:val="en-GB"/>
                    </w:rPr>
                  </w:rPrChange>
                </w:rPr>
                <w:delText xml:space="preserve"> </w:delText>
              </w:r>
              <w:r w:rsidRPr="002C5CDB">
                <w:rPr>
                  <w:sz w:val="22"/>
                  <w:lang w:val="nb-NO"/>
                  <w:rPrChange w:id="2730" w:author="AbbVie05no" w:date="2025-05-19T10:32:00Z">
                    <w:rPr>
                      <w:sz w:val="22"/>
                      <w:lang w:val="en-GB"/>
                    </w:rPr>
                  </w:rPrChange>
                </w:rPr>
                <w:delText>%</w:delText>
              </w:r>
            </w:del>
          </w:p>
        </w:tc>
        <w:tc>
          <w:tcPr>
            <w:tcW w:w="1928" w:type="dxa"/>
          </w:tcPr>
          <w:p w14:paraId="0F9D3E08" w14:textId="79100DC2" w:rsidR="00BE75C0" w:rsidRPr="002C5CDB" w:rsidRDefault="00E453CD" w:rsidP="007B4F3C">
            <w:pPr>
              <w:pStyle w:val="TableText"/>
              <w:jc w:val="center"/>
              <w:rPr>
                <w:del w:id="2731" w:author="AbbVie02no" w:date="2025-05-15T12:36:00Z"/>
                <w:sz w:val="22"/>
                <w:lang w:val="nb-NO"/>
                <w:rPrChange w:id="2732" w:author="AbbVie05no" w:date="2025-05-19T10:32:00Z">
                  <w:rPr>
                    <w:del w:id="2733" w:author="AbbVie02no" w:date="2025-05-15T12:36:00Z"/>
                    <w:sz w:val="22"/>
                    <w:lang w:val="en-GB"/>
                  </w:rPr>
                </w:rPrChange>
              </w:rPr>
            </w:pPr>
            <w:del w:id="2734" w:author="AbbVie02no" w:date="2025-05-15T12:36:00Z">
              <w:r w:rsidRPr="002C5CDB">
                <w:rPr>
                  <w:sz w:val="22"/>
                  <w:lang w:val="nb-NO"/>
                  <w:rPrChange w:id="2735" w:author="AbbVie05no" w:date="2025-05-19T10:32:00Z">
                    <w:rPr>
                      <w:sz w:val="22"/>
                      <w:lang w:val="en-GB"/>
                    </w:rPr>
                  </w:rPrChange>
                </w:rPr>
                <w:delText>41</w:delText>
              </w:r>
              <w:r w:rsidR="008E1A09" w:rsidRPr="002C5CDB">
                <w:rPr>
                  <w:sz w:val="22"/>
                  <w:lang w:val="nb-NO"/>
                  <w:rPrChange w:id="2736" w:author="AbbVie05no" w:date="2025-05-19T10:32:00Z">
                    <w:rPr>
                      <w:sz w:val="22"/>
                      <w:lang w:val="en-GB"/>
                    </w:rPr>
                  </w:rPrChange>
                </w:rPr>
                <w:delText xml:space="preserve"> </w:delText>
              </w:r>
              <w:r w:rsidRPr="002C5CDB">
                <w:rPr>
                  <w:sz w:val="22"/>
                  <w:lang w:val="nb-NO"/>
                  <w:rPrChange w:id="2737" w:author="AbbVie05no" w:date="2025-05-19T10:32:00Z">
                    <w:rPr>
                      <w:sz w:val="22"/>
                      <w:lang w:val="en-GB"/>
                    </w:rPr>
                  </w:rPrChange>
                </w:rPr>
                <w:delText>%*</w:delText>
              </w:r>
            </w:del>
          </w:p>
        </w:tc>
        <w:tc>
          <w:tcPr>
            <w:tcW w:w="1700" w:type="dxa"/>
          </w:tcPr>
          <w:p w14:paraId="1E61692A" w14:textId="4C9FDAAC" w:rsidR="00BE75C0" w:rsidRPr="002C5CDB" w:rsidRDefault="00E453CD" w:rsidP="007B4F3C">
            <w:pPr>
              <w:pStyle w:val="TableText"/>
              <w:jc w:val="center"/>
              <w:rPr>
                <w:del w:id="2738" w:author="AbbVie02no" w:date="2025-05-15T12:36:00Z"/>
                <w:sz w:val="22"/>
                <w:lang w:val="nb-NO"/>
                <w:rPrChange w:id="2739" w:author="AbbVie05no" w:date="2025-05-19T10:32:00Z">
                  <w:rPr>
                    <w:del w:id="2740" w:author="AbbVie02no" w:date="2025-05-15T12:36:00Z"/>
                    <w:sz w:val="22"/>
                    <w:lang w:val="en-GB"/>
                  </w:rPr>
                </w:rPrChange>
              </w:rPr>
            </w:pPr>
            <w:del w:id="2741" w:author="AbbVie02no" w:date="2025-05-15T12:36:00Z">
              <w:r w:rsidRPr="002C5CDB">
                <w:rPr>
                  <w:sz w:val="22"/>
                  <w:lang w:val="nb-NO"/>
                  <w:rPrChange w:id="2742" w:author="AbbVie05no" w:date="2025-05-19T10:32:00Z">
                    <w:rPr>
                      <w:sz w:val="22"/>
                      <w:lang w:val="en-GB"/>
                    </w:rPr>
                  </w:rPrChange>
                </w:rPr>
                <w:delText>48</w:delText>
              </w:r>
              <w:r w:rsidR="008E1A09" w:rsidRPr="002C5CDB">
                <w:rPr>
                  <w:sz w:val="22"/>
                  <w:lang w:val="nb-NO"/>
                  <w:rPrChange w:id="2743" w:author="AbbVie05no" w:date="2025-05-19T10:32:00Z">
                    <w:rPr>
                      <w:sz w:val="22"/>
                      <w:lang w:val="en-GB"/>
                    </w:rPr>
                  </w:rPrChange>
                </w:rPr>
                <w:delText xml:space="preserve"> </w:delText>
              </w:r>
              <w:r w:rsidRPr="002C5CDB">
                <w:rPr>
                  <w:sz w:val="22"/>
                  <w:lang w:val="nb-NO"/>
                  <w:rPrChange w:id="2744" w:author="AbbVie05no" w:date="2025-05-19T10:32:00Z">
                    <w:rPr>
                      <w:sz w:val="22"/>
                      <w:lang w:val="en-GB"/>
                    </w:rPr>
                  </w:rPrChange>
                </w:rPr>
                <w:delText>%*</w:delText>
              </w:r>
            </w:del>
          </w:p>
        </w:tc>
      </w:tr>
      <w:tr w:rsidR="004644D4" w14:paraId="05D3F741" w14:textId="5C1820E0" w:rsidTr="00BE75C0">
        <w:trPr>
          <w:del w:id="2745" w:author="AbbVie02no" w:date="2025-05-15T12:36:00Z"/>
        </w:trPr>
        <w:tc>
          <w:tcPr>
            <w:tcW w:w="3641" w:type="dxa"/>
          </w:tcPr>
          <w:p w14:paraId="5EA13685" w14:textId="68C899EA" w:rsidR="00BE75C0" w:rsidRPr="009C5EFD" w:rsidRDefault="00E453CD" w:rsidP="007B4F3C">
            <w:pPr>
              <w:pStyle w:val="TableText"/>
              <w:ind w:left="360"/>
              <w:rPr>
                <w:del w:id="2746" w:author="AbbVie02no" w:date="2025-05-15T12:36:00Z"/>
                <w:sz w:val="22"/>
                <w:lang w:val="nb-NO"/>
              </w:rPr>
            </w:pPr>
            <w:del w:id="2747" w:author="AbbVie02no" w:date="2025-05-15T12:36:00Z">
              <w:r w:rsidRPr="007F67EE">
                <w:rPr>
                  <w:sz w:val="22"/>
                  <w:lang w:val="nb-NO"/>
                </w:rPr>
                <w:delText xml:space="preserve">Pasienter i steroidfri remisjon </w:delText>
              </w:r>
              <w:r w:rsidRPr="007F67EE">
                <w:rPr>
                  <w:sz w:val="22"/>
                  <w:lang w:val="nb-NO"/>
                </w:rPr>
                <w:br/>
                <w:delText xml:space="preserve">for </w:delText>
              </w:r>
              <w:r w:rsidR="00721030" w:rsidRPr="00193D76">
                <w:rPr>
                  <w:szCs w:val="22"/>
                  <w:lang w:val="nb-NO"/>
                </w:rPr>
                <w:delText>&gt;=</w:delText>
              </w:r>
              <w:r w:rsidRPr="00E14E58">
                <w:rPr>
                  <w:sz w:val="22"/>
                  <w:lang w:val="nb-NO"/>
                </w:rPr>
                <w:delText xml:space="preserve"> 90 dager</w:delText>
              </w:r>
              <w:r w:rsidRPr="009C5EFD">
                <w:rPr>
                  <w:sz w:val="22"/>
                  <w:vertAlign w:val="superscript"/>
                  <w:lang w:val="nb-NO"/>
                </w:rPr>
                <w:delText>a</w:delText>
              </w:r>
            </w:del>
          </w:p>
        </w:tc>
        <w:tc>
          <w:tcPr>
            <w:tcW w:w="1751" w:type="dxa"/>
          </w:tcPr>
          <w:p w14:paraId="69B570CB" w14:textId="77909AE9" w:rsidR="00BE75C0" w:rsidRPr="002C5CDB" w:rsidRDefault="00E453CD" w:rsidP="007B4F3C">
            <w:pPr>
              <w:pStyle w:val="TableText"/>
              <w:jc w:val="center"/>
              <w:rPr>
                <w:del w:id="2748" w:author="AbbVie02no" w:date="2025-05-15T12:36:00Z"/>
                <w:sz w:val="22"/>
                <w:lang w:val="nb-NO"/>
                <w:rPrChange w:id="2749" w:author="AbbVie05no" w:date="2025-05-19T10:32:00Z">
                  <w:rPr>
                    <w:del w:id="2750" w:author="AbbVie02no" w:date="2025-05-15T12:36:00Z"/>
                    <w:sz w:val="22"/>
                    <w:lang w:val="en-GB"/>
                  </w:rPr>
                </w:rPrChange>
              </w:rPr>
            </w:pPr>
            <w:del w:id="2751" w:author="AbbVie02no" w:date="2025-05-15T12:36:00Z">
              <w:r w:rsidRPr="002C5CDB">
                <w:rPr>
                  <w:sz w:val="22"/>
                  <w:lang w:val="nb-NO"/>
                  <w:rPrChange w:id="2752" w:author="AbbVie05no" w:date="2025-05-19T10:32:00Z">
                    <w:rPr>
                      <w:sz w:val="22"/>
                      <w:lang w:val="en-GB"/>
                    </w:rPr>
                  </w:rPrChange>
                </w:rPr>
                <w:delText>5</w:delText>
              </w:r>
              <w:r w:rsidR="008E1A09" w:rsidRPr="002C5CDB">
                <w:rPr>
                  <w:sz w:val="22"/>
                  <w:lang w:val="nb-NO"/>
                  <w:rPrChange w:id="2753" w:author="AbbVie05no" w:date="2025-05-19T10:32:00Z">
                    <w:rPr>
                      <w:sz w:val="22"/>
                      <w:lang w:val="en-GB"/>
                    </w:rPr>
                  </w:rPrChange>
                </w:rPr>
                <w:delText xml:space="preserve"> </w:delText>
              </w:r>
              <w:r w:rsidRPr="002C5CDB">
                <w:rPr>
                  <w:sz w:val="22"/>
                  <w:lang w:val="nb-NO"/>
                  <w:rPrChange w:id="2754" w:author="AbbVie05no" w:date="2025-05-19T10:32:00Z">
                    <w:rPr>
                      <w:sz w:val="22"/>
                      <w:lang w:val="en-GB"/>
                    </w:rPr>
                  </w:rPrChange>
                </w:rPr>
                <w:delText>% (3/66)</w:delText>
              </w:r>
            </w:del>
          </w:p>
        </w:tc>
        <w:tc>
          <w:tcPr>
            <w:tcW w:w="1928" w:type="dxa"/>
          </w:tcPr>
          <w:p w14:paraId="70B50BD6" w14:textId="1283AB30" w:rsidR="00BE75C0" w:rsidRPr="002C5CDB" w:rsidRDefault="00E453CD" w:rsidP="007B4F3C">
            <w:pPr>
              <w:pStyle w:val="TableText"/>
              <w:jc w:val="center"/>
              <w:rPr>
                <w:del w:id="2755" w:author="AbbVie02no" w:date="2025-05-15T12:36:00Z"/>
                <w:sz w:val="22"/>
                <w:lang w:val="nb-NO"/>
                <w:rPrChange w:id="2756" w:author="AbbVie05no" w:date="2025-05-19T10:32:00Z">
                  <w:rPr>
                    <w:del w:id="2757" w:author="AbbVie02no" w:date="2025-05-15T12:36:00Z"/>
                    <w:sz w:val="22"/>
                    <w:lang w:val="en-GB"/>
                  </w:rPr>
                </w:rPrChange>
              </w:rPr>
            </w:pPr>
            <w:del w:id="2758" w:author="AbbVie02no" w:date="2025-05-15T12:36:00Z">
              <w:r w:rsidRPr="002C5CDB">
                <w:rPr>
                  <w:sz w:val="22"/>
                  <w:lang w:val="nb-NO"/>
                  <w:rPrChange w:id="2759" w:author="AbbVie05no" w:date="2025-05-19T10:32:00Z">
                    <w:rPr>
                      <w:sz w:val="22"/>
                      <w:lang w:val="en-GB"/>
                    </w:rPr>
                  </w:rPrChange>
                </w:rPr>
                <w:delText>29</w:delText>
              </w:r>
              <w:r w:rsidR="008E1A09" w:rsidRPr="002C5CDB">
                <w:rPr>
                  <w:sz w:val="22"/>
                  <w:lang w:val="nb-NO"/>
                  <w:rPrChange w:id="2760" w:author="AbbVie05no" w:date="2025-05-19T10:32:00Z">
                    <w:rPr>
                      <w:sz w:val="22"/>
                      <w:lang w:val="en-GB"/>
                    </w:rPr>
                  </w:rPrChange>
                </w:rPr>
                <w:delText xml:space="preserve"> </w:delText>
              </w:r>
              <w:r w:rsidRPr="002C5CDB">
                <w:rPr>
                  <w:sz w:val="22"/>
                  <w:lang w:val="nb-NO"/>
                  <w:rPrChange w:id="2761" w:author="AbbVie05no" w:date="2025-05-19T10:32:00Z">
                    <w:rPr>
                      <w:sz w:val="22"/>
                      <w:lang w:val="en-GB"/>
                    </w:rPr>
                  </w:rPrChange>
                </w:rPr>
                <w:delText>% (17/58)*</w:delText>
              </w:r>
            </w:del>
          </w:p>
        </w:tc>
        <w:tc>
          <w:tcPr>
            <w:tcW w:w="1700" w:type="dxa"/>
          </w:tcPr>
          <w:p w14:paraId="6C9406C0" w14:textId="4A73EB56" w:rsidR="00BE75C0" w:rsidRPr="002C5CDB" w:rsidRDefault="00E453CD" w:rsidP="007B4F3C">
            <w:pPr>
              <w:pStyle w:val="TableText"/>
              <w:jc w:val="center"/>
              <w:rPr>
                <w:del w:id="2762" w:author="AbbVie02no" w:date="2025-05-15T12:36:00Z"/>
                <w:sz w:val="22"/>
                <w:lang w:val="nb-NO"/>
                <w:rPrChange w:id="2763" w:author="AbbVie05no" w:date="2025-05-19T10:32:00Z">
                  <w:rPr>
                    <w:del w:id="2764" w:author="AbbVie02no" w:date="2025-05-15T12:36:00Z"/>
                    <w:sz w:val="22"/>
                    <w:lang w:val="en-GB"/>
                  </w:rPr>
                </w:rPrChange>
              </w:rPr>
            </w:pPr>
            <w:del w:id="2765" w:author="AbbVie02no" w:date="2025-05-15T12:36:00Z">
              <w:r w:rsidRPr="002C5CDB">
                <w:rPr>
                  <w:sz w:val="22"/>
                  <w:lang w:val="nb-NO"/>
                  <w:rPrChange w:id="2766" w:author="AbbVie05no" w:date="2025-05-19T10:32:00Z">
                    <w:rPr>
                      <w:sz w:val="22"/>
                      <w:lang w:val="en-GB"/>
                    </w:rPr>
                  </w:rPrChange>
                </w:rPr>
                <w:delText>20</w:delText>
              </w:r>
              <w:r w:rsidR="008E1A09" w:rsidRPr="002C5CDB">
                <w:rPr>
                  <w:sz w:val="22"/>
                  <w:lang w:val="nb-NO"/>
                  <w:rPrChange w:id="2767" w:author="AbbVie05no" w:date="2025-05-19T10:32:00Z">
                    <w:rPr>
                      <w:sz w:val="22"/>
                      <w:lang w:val="en-GB"/>
                    </w:rPr>
                  </w:rPrChange>
                </w:rPr>
                <w:delText xml:space="preserve"> </w:delText>
              </w:r>
              <w:r w:rsidRPr="002C5CDB">
                <w:rPr>
                  <w:sz w:val="22"/>
                  <w:lang w:val="nb-NO"/>
                  <w:rPrChange w:id="2768" w:author="AbbVie05no" w:date="2025-05-19T10:32:00Z">
                    <w:rPr>
                      <w:sz w:val="22"/>
                      <w:lang w:val="en-GB"/>
                    </w:rPr>
                  </w:rPrChange>
                </w:rPr>
                <w:delText>% (15/74)**</w:delText>
              </w:r>
            </w:del>
          </w:p>
        </w:tc>
      </w:tr>
      <w:tr w:rsidR="004644D4" w14:paraId="28F6F957" w14:textId="177BAFA4" w:rsidTr="00BE75C0">
        <w:trPr>
          <w:cantSplit/>
          <w:del w:id="2769" w:author="AbbVie02no" w:date="2025-05-15T12:36:00Z"/>
        </w:trPr>
        <w:tc>
          <w:tcPr>
            <w:tcW w:w="9020" w:type="dxa"/>
            <w:gridSpan w:val="4"/>
            <w:tcBorders>
              <w:left w:val="nil"/>
              <w:right w:val="nil"/>
            </w:tcBorders>
          </w:tcPr>
          <w:p w14:paraId="2FC123B3" w14:textId="591AC00D" w:rsidR="00BE75C0" w:rsidRPr="009C5EFD" w:rsidRDefault="00E453CD" w:rsidP="007F67EE">
            <w:pPr>
              <w:pStyle w:val="TableText"/>
              <w:keepNext w:val="0"/>
              <w:rPr>
                <w:del w:id="2770" w:author="AbbVie02no" w:date="2025-05-15T12:36:00Z"/>
                <w:sz w:val="22"/>
                <w:lang w:val="nb-NO"/>
              </w:rPr>
            </w:pPr>
            <w:del w:id="2771" w:author="AbbVie02no" w:date="2025-05-15T12:36:00Z">
              <w:r w:rsidRPr="007F67EE">
                <w:rPr>
                  <w:sz w:val="22"/>
                  <w:lang w:val="nb-NO"/>
                </w:rPr>
                <w:delText>*</w:delText>
              </w:r>
              <w:r w:rsidRPr="007F67EE">
                <w:rPr>
                  <w:sz w:val="22"/>
                  <w:lang w:val="nb-NO"/>
                </w:rPr>
                <w:tab/>
                <w:delText xml:space="preserve">p &lt; 0,001 for Humira </w:delText>
              </w:r>
              <w:r w:rsidRPr="00193D76">
                <w:rPr>
                  <w:i/>
                  <w:iCs/>
                  <w:sz w:val="22"/>
                  <w:lang w:val="nb-NO"/>
                </w:rPr>
                <w:delText>versus</w:delText>
              </w:r>
              <w:r w:rsidRPr="00E14E58">
                <w:rPr>
                  <w:sz w:val="22"/>
                  <w:lang w:val="nb-NO"/>
                </w:rPr>
                <w:delText xml:space="preserve"> placebo </w:delText>
              </w:r>
              <w:r w:rsidRPr="009C5EFD">
                <w:rPr>
                  <w:sz w:val="22"/>
                  <w:lang w:val="nb-NO"/>
                </w:rPr>
                <w:delText>parvi</w:delText>
              </w:r>
              <w:r w:rsidR="00721030" w:rsidRPr="009C5EFD">
                <w:rPr>
                  <w:sz w:val="22"/>
                  <w:lang w:val="nb-NO"/>
                </w:rPr>
                <w:delText>se sammenligninger av proporsjoner</w:delText>
              </w:r>
            </w:del>
          </w:p>
          <w:p w14:paraId="1F834E84" w14:textId="2E5E35D9" w:rsidR="00BE75C0" w:rsidRPr="009C5EFD" w:rsidRDefault="00E453CD" w:rsidP="007F67EE">
            <w:pPr>
              <w:pStyle w:val="TableText"/>
              <w:keepNext w:val="0"/>
              <w:rPr>
                <w:del w:id="2772" w:author="AbbVie02no" w:date="2025-05-15T12:36:00Z"/>
                <w:sz w:val="22"/>
                <w:lang w:val="nb-NO"/>
              </w:rPr>
            </w:pPr>
            <w:del w:id="2773" w:author="AbbVie02no" w:date="2025-05-15T12:36:00Z">
              <w:r w:rsidRPr="009C5EFD">
                <w:rPr>
                  <w:sz w:val="22"/>
                  <w:lang w:val="nb-NO"/>
                </w:rPr>
                <w:delText>**</w:delText>
              </w:r>
              <w:r w:rsidRPr="009C5EFD">
                <w:rPr>
                  <w:sz w:val="22"/>
                  <w:lang w:val="nb-NO"/>
                </w:rPr>
                <w:tab/>
                <w:delText xml:space="preserve">p &lt; 0,02 for Humira </w:delText>
              </w:r>
              <w:r w:rsidRPr="009C5EFD">
                <w:rPr>
                  <w:i/>
                  <w:iCs/>
                  <w:sz w:val="22"/>
                  <w:lang w:val="nb-NO"/>
                </w:rPr>
                <w:delText>versus</w:delText>
              </w:r>
              <w:r w:rsidRPr="009C5EFD">
                <w:rPr>
                  <w:sz w:val="22"/>
                  <w:lang w:val="nb-NO"/>
                </w:rPr>
                <w:delText xml:space="preserve"> placebo parvise sammenligninger av </w:delText>
              </w:r>
              <w:r w:rsidR="00721030" w:rsidRPr="009C5EFD">
                <w:rPr>
                  <w:sz w:val="22"/>
                  <w:lang w:val="nb-NO"/>
                </w:rPr>
                <w:delText>proporsjoner</w:delText>
              </w:r>
            </w:del>
          </w:p>
          <w:p w14:paraId="0B67D22F" w14:textId="38FB3060" w:rsidR="00BE75C0" w:rsidRPr="009C5EFD" w:rsidRDefault="00E453CD" w:rsidP="00193D76">
            <w:pPr>
              <w:pStyle w:val="TableText"/>
              <w:keepNext w:val="0"/>
              <w:rPr>
                <w:del w:id="2774" w:author="AbbVie02no" w:date="2025-05-15T12:36:00Z"/>
                <w:sz w:val="22"/>
                <w:lang w:val="nb-NO"/>
              </w:rPr>
            </w:pPr>
            <w:del w:id="2775" w:author="AbbVie02no" w:date="2025-05-15T12:36:00Z">
              <w:r w:rsidRPr="009C5EFD">
                <w:rPr>
                  <w:sz w:val="22"/>
                  <w:vertAlign w:val="superscript"/>
                  <w:lang w:val="nb-NO"/>
                </w:rPr>
                <w:delText>a</w:delText>
              </w:r>
              <w:r w:rsidRPr="009C5EFD">
                <w:rPr>
                  <w:sz w:val="22"/>
                  <w:vertAlign w:val="superscript"/>
                  <w:lang w:val="nb-NO"/>
                </w:rPr>
                <w:tab/>
              </w:r>
              <w:r w:rsidR="008E1A09" w:rsidRPr="009C5EFD">
                <w:rPr>
                  <w:sz w:val="22"/>
                  <w:lang w:val="nb-NO"/>
                </w:rPr>
                <w:delText>Av de som fikk kortikosteroider ved baseline</w:delText>
              </w:r>
            </w:del>
          </w:p>
        </w:tc>
      </w:tr>
    </w:tbl>
    <w:p w14:paraId="25C85526" w14:textId="7F0DD51B" w:rsidR="008E1A09" w:rsidRPr="007F67EE" w:rsidRDefault="008E1A09" w:rsidP="007F67EE">
      <w:pPr>
        <w:pStyle w:val="Heading8"/>
        <w:keepNext w:val="0"/>
        <w:rPr>
          <w:del w:id="2776" w:author="AbbVie02no" w:date="2025-05-15T12:36:00Z"/>
          <w:szCs w:val="22"/>
        </w:rPr>
      </w:pPr>
    </w:p>
    <w:p w14:paraId="117764C8" w14:textId="50A76FC6" w:rsidR="00721030" w:rsidRPr="002D0790" w:rsidRDefault="00E453CD" w:rsidP="007F67EE">
      <w:pPr>
        <w:rPr>
          <w:del w:id="2777" w:author="AbbVie02no" w:date="2025-05-15T12:36:00Z"/>
          <w:sz w:val="22"/>
          <w:szCs w:val="22"/>
        </w:rPr>
      </w:pPr>
      <w:del w:id="2778" w:author="AbbVie02no" w:date="2025-05-15T12:36:00Z">
        <w:r w:rsidRPr="007F67EE">
          <w:rPr>
            <w:sz w:val="22"/>
            <w:szCs w:val="22"/>
          </w:rPr>
          <w:delText xml:space="preserve">Blant pasienter som ikke viste respons ved uke 4, oppnådde 43 % av dem som fikk vedlikeholdsdose med Humira respons ved uke 12 sammenlignet med 30 % av de </w:delText>
        </w:r>
        <w:r w:rsidRPr="00193D76">
          <w:rPr>
            <w:sz w:val="22"/>
            <w:szCs w:val="22"/>
          </w:rPr>
          <w:delText>som fikk vedlikeholdsbehandling med placebo. Disse resultatene tyder på at pasienter som ikke viser respons ved uke 4 drar nytte av å fortsette med vedlikeholdsterapi til uke 12. Fortsatt terapi utover 12 uker resulterte ikke i signifikant høyere respons (</w:delText>
        </w:r>
        <w:r w:rsidRPr="002D0790">
          <w:rPr>
            <w:sz w:val="22"/>
            <w:szCs w:val="22"/>
          </w:rPr>
          <w:delText>se pkt. 4.2).</w:delText>
        </w:r>
      </w:del>
    </w:p>
    <w:p w14:paraId="2C61F532" w14:textId="4277DC24" w:rsidR="00721030" w:rsidRPr="002D0790" w:rsidRDefault="00721030" w:rsidP="007F67EE">
      <w:pPr>
        <w:rPr>
          <w:del w:id="2779" w:author="AbbVie02no" w:date="2025-05-15T12:36:00Z"/>
          <w:sz w:val="22"/>
          <w:szCs w:val="22"/>
        </w:rPr>
      </w:pPr>
    </w:p>
    <w:p w14:paraId="45083CE8" w14:textId="39C96636" w:rsidR="00721030" w:rsidRPr="009C5EFD" w:rsidRDefault="00E453CD" w:rsidP="00193D76">
      <w:pPr>
        <w:rPr>
          <w:del w:id="2780" w:author="AbbVie02no" w:date="2025-05-15T12:36:00Z"/>
          <w:sz w:val="22"/>
          <w:szCs w:val="22"/>
        </w:rPr>
      </w:pPr>
      <w:del w:id="2781" w:author="AbbVie02no" w:date="2025-05-15T12:36:00Z">
        <w:r w:rsidRPr="00E14E58">
          <w:rPr>
            <w:bCs/>
            <w:sz w:val="22"/>
            <w:szCs w:val="22"/>
          </w:rPr>
          <w:delText xml:space="preserve">117/276 pasienter fra CD-studie I og 272/777 pasienter fra CD-studie II og III ble fulgt opp minst 3 år i åpen behandling med </w:delText>
        </w:r>
        <w:r w:rsidR="00934A5F" w:rsidRPr="009C5EFD">
          <w:rPr>
            <w:bCs/>
            <w:sz w:val="22"/>
            <w:szCs w:val="22"/>
          </w:rPr>
          <w:delText>adalimumab</w:delText>
        </w:r>
        <w:r w:rsidRPr="009C5EFD">
          <w:rPr>
            <w:bCs/>
            <w:sz w:val="22"/>
            <w:szCs w:val="22"/>
          </w:rPr>
          <w:delText>. Henholdsvis 88 og 189 pasienter forble i klinisk remisjon. Klinisk respons (CR-100) ble opprettholdt hos henholdsvis 102 og 233 pasienter.</w:delText>
        </w:r>
      </w:del>
    </w:p>
    <w:p w14:paraId="68155D88" w14:textId="7E62F20A" w:rsidR="00D46B8F" w:rsidRPr="009C5EFD" w:rsidRDefault="00D46B8F" w:rsidP="002D0790">
      <w:pPr>
        <w:pStyle w:val="Heading8"/>
        <w:keepNext w:val="0"/>
        <w:rPr>
          <w:del w:id="2782" w:author="AbbVie02no" w:date="2025-05-15T12:36:00Z"/>
          <w:szCs w:val="22"/>
        </w:rPr>
      </w:pPr>
    </w:p>
    <w:p w14:paraId="16B20EAA" w14:textId="6E377661" w:rsidR="00D46B8F" w:rsidRPr="00193D76" w:rsidRDefault="00E453CD" w:rsidP="00776A84">
      <w:pPr>
        <w:pStyle w:val="Heading8"/>
        <w:rPr>
          <w:del w:id="2783" w:author="AbbVie02no" w:date="2025-05-15T12:36:00Z"/>
          <w:szCs w:val="22"/>
        </w:rPr>
      </w:pPr>
      <w:del w:id="2784" w:author="AbbVie02no" w:date="2025-05-15T12:36:00Z">
        <w:r w:rsidRPr="001F5D4B">
          <w:rPr>
            <w:i/>
            <w:szCs w:val="22"/>
          </w:rPr>
          <w:delText>Livskvalitet</w:delText>
        </w:r>
      </w:del>
    </w:p>
    <w:p w14:paraId="47E94495" w14:textId="60C56C76" w:rsidR="00D46B8F" w:rsidRPr="002D0790" w:rsidRDefault="00D46B8F" w:rsidP="00776A84">
      <w:pPr>
        <w:pStyle w:val="Heading8"/>
        <w:rPr>
          <w:del w:id="2785" w:author="AbbVie02no" w:date="2025-05-15T12:36:00Z"/>
          <w:szCs w:val="22"/>
        </w:rPr>
      </w:pPr>
    </w:p>
    <w:p w14:paraId="5AF8E424" w14:textId="4CF3A803" w:rsidR="00E43755" w:rsidRPr="005C537B" w:rsidRDefault="00E453CD" w:rsidP="009C5EFD">
      <w:pPr>
        <w:rPr>
          <w:del w:id="2786" w:author="AbbVie02no" w:date="2025-05-15T12:36:00Z"/>
          <w:sz w:val="22"/>
          <w:szCs w:val="22"/>
        </w:rPr>
      </w:pPr>
      <w:del w:id="2787" w:author="AbbVie02no" w:date="2025-05-15T12:36:00Z">
        <w:r w:rsidRPr="005C537B">
          <w:rPr>
            <w:sz w:val="22"/>
            <w:szCs w:val="22"/>
          </w:rPr>
          <w:delText>CD-studie I og CD-studie II viste statistisk signifikant forbedring i sykdomsspesifikk livskvalitetsscore IBDQ (Inflammatory Bowel Disease Questionnaire) ved uke 4 hos pasienter som var randomisert til Humira 80/40 mg og Humira 160/80 mg sammenlignet med placebo. Det samme ble også sett ved uke 26 og 56 i CD-studie III blant gruppene som fikk behandling med adalimumab sammenlignet med placebogruppen.</w:delText>
        </w:r>
      </w:del>
    </w:p>
    <w:p w14:paraId="19551505" w14:textId="3A815A2D" w:rsidR="005C4C9F" w:rsidRDefault="005C4C9F" w:rsidP="009C5EFD">
      <w:pPr>
        <w:pStyle w:val="Heading8"/>
        <w:keepNext w:val="0"/>
        <w:rPr>
          <w:del w:id="2788" w:author="AbbVie02no" w:date="2025-05-15T12:36:00Z"/>
          <w:szCs w:val="22"/>
        </w:rPr>
      </w:pPr>
    </w:p>
    <w:p w14:paraId="70140F6B" w14:textId="6BE6E616" w:rsidR="009A614B" w:rsidRPr="00974950" w:rsidRDefault="00E453CD" w:rsidP="00B3311E">
      <w:pPr>
        <w:keepNext/>
        <w:tabs>
          <w:tab w:val="left" w:pos="3090"/>
        </w:tabs>
        <w:rPr>
          <w:del w:id="2789" w:author="AbbVie02no" w:date="2025-05-15T12:36:00Z"/>
          <w:i/>
        </w:rPr>
      </w:pPr>
      <w:del w:id="2790" w:author="AbbVie02no" w:date="2025-05-15T12:36:00Z">
        <w:r w:rsidRPr="00B3311E">
          <w:rPr>
            <w:i/>
            <w:sz w:val="22"/>
          </w:rPr>
          <w:delText>Uveitt hos voksne</w:delText>
        </w:r>
      </w:del>
    </w:p>
    <w:p w14:paraId="4CA07B53" w14:textId="1415C272" w:rsidR="009A614B" w:rsidRPr="00974950" w:rsidRDefault="009A614B" w:rsidP="00B3311E">
      <w:pPr>
        <w:keepNext/>
        <w:tabs>
          <w:tab w:val="left" w:pos="3090"/>
        </w:tabs>
        <w:rPr>
          <w:del w:id="2791" w:author="AbbVie02no" w:date="2025-05-15T12:36:00Z"/>
          <w:i/>
        </w:rPr>
      </w:pPr>
    </w:p>
    <w:p w14:paraId="43A7F7F1" w14:textId="13A0F494" w:rsidR="009A614B" w:rsidRDefault="00E453CD" w:rsidP="00B3311E">
      <w:pPr>
        <w:tabs>
          <w:tab w:val="left" w:pos="3090"/>
        </w:tabs>
        <w:rPr>
          <w:del w:id="2792" w:author="AbbVie02no" w:date="2025-05-15T12:36:00Z"/>
        </w:rPr>
      </w:pPr>
      <w:del w:id="2793" w:author="AbbVie02no" w:date="2025-05-15T12:36:00Z">
        <w:r w:rsidRPr="00B3311E">
          <w:rPr>
            <w:sz w:val="22"/>
          </w:rPr>
          <w:delText xml:space="preserve">Sikkerhet og effekt av </w:delText>
        </w:r>
        <w:r>
          <w:rPr>
            <w:sz w:val="22"/>
          </w:rPr>
          <w:delText>Humira ble undersøkt hos voksne pasienter med ikke-</w:delText>
        </w:r>
        <w:r w:rsidR="004120E2">
          <w:rPr>
            <w:sz w:val="22"/>
          </w:rPr>
          <w:delText>infeksiøs</w:delText>
        </w:r>
        <w:r>
          <w:rPr>
            <w:sz w:val="22"/>
          </w:rPr>
          <w:delText xml:space="preserve"> intermediær, </w:delText>
        </w:r>
        <w:r w:rsidR="005669D2">
          <w:rPr>
            <w:sz w:val="22"/>
          </w:rPr>
          <w:delText>bakre</w:delText>
        </w:r>
        <w:r>
          <w:rPr>
            <w:sz w:val="22"/>
          </w:rPr>
          <w:delText xml:space="preserve"> og panuveitt, eksklusive pasienter med isolert </w:delText>
        </w:r>
        <w:r w:rsidR="005669D2">
          <w:rPr>
            <w:sz w:val="22"/>
          </w:rPr>
          <w:delText>fremre</w:delText>
        </w:r>
        <w:r>
          <w:rPr>
            <w:sz w:val="22"/>
          </w:rPr>
          <w:delText xml:space="preserve"> uveitt, i to randomiserte, dobbeltblinde, placebokontrollerte studier (UV I og II). Pa</w:delText>
        </w:r>
        <w:r w:rsidR="00E82EFD">
          <w:rPr>
            <w:sz w:val="22"/>
          </w:rPr>
          <w:delText>sientene</w:delText>
        </w:r>
        <w:r>
          <w:rPr>
            <w:sz w:val="22"/>
          </w:rPr>
          <w:delText xml:space="preserve"> fikk placebo eller Humira i en startdose på 80 mg, etterfulgt av 40 mg annenhver uke én uke etter startdosen. Samtidige stabile doser med et</w:delText>
        </w:r>
        <w:r w:rsidR="005669D2">
          <w:rPr>
            <w:sz w:val="22"/>
          </w:rPr>
          <w:delText>t</w:delText>
        </w:r>
        <w:r>
          <w:rPr>
            <w:sz w:val="22"/>
          </w:rPr>
          <w:delText xml:space="preserve"> ikke-biologisk immunsuppressiv</w:delText>
        </w:r>
        <w:r w:rsidR="00850CFD">
          <w:rPr>
            <w:sz w:val="22"/>
          </w:rPr>
          <w:delText>t legemiddel</w:delText>
        </w:r>
        <w:r>
          <w:rPr>
            <w:sz w:val="22"/>
          </w:rPr>
          <w:delText xml:space="preserve"> var </w:delText>
        </w:r>
        <w:r w:rsidR="004120E2">
          <w:rPr>
            <w:sz w:val="22"/>
          </w:rPr>
          <w:delText>tillatt</w:delText>
        </w:r>
        <w:r>
          <w:rPr>
            <w:sz w:val="22"/>
          </w:rPr>
          <w:delText>.</w:delText>
        </w:r>
      </w:del>
    </w:p>
    <w:p w14:paraId="1DDFBBC2" w14:textId="20D3823F" w:rsidR="009A614B" w:rsidRDefault="009A614B" w:rsidP="00B3311E">
      <w:pPr>
        <w:tabs>
          <w:tab w:val="left" w:pos="3090"/>
        </w:tabs>
        <w:rPr>
          <w:del w:id="2794" w:author="AbbVie02no" w:date="2025-05-15T12:36:00Z"/>
        </w:rPr>
      </w:pPr>
    </w:p>
    <w:p w14:paraId="2B32C7D6" w14:textId="2601B554" w:rsidR="009A614B" w:rsidRDefault="00E453CD" w:rsidP="00B3311E">
      <w:pPr>
        <w:tabs>
          <w:tab w:val="left" w:pos="3090"/>
        </w:tabs>
        <w:rPr>
          <w:del w:id="2795" w:author="AbbVie02no" w:date="2025-05-15T12:36:00Z"/>
        </w:rPr>
      </w:pPr>
      <w:del w:id="2796" w:author="AbbVie02no" w:date="2025-05-15T12:36:00Z">
        <w:r>
          <w:rPr>
            <w:sz w:val="22"/>
          </w:rPr>
          <w:delText>UV I</w:delText>
        </w:r>
        <w:r w:rsidR="00E82EFD">
          <w:rPr>
            <w:sz w:val="22"/>
          </w:rPr>
          <w:delText>-studien</w:delText>
        </w:r>
        <w:r>
          <w:rPr>
            <w:sz w:val="22"/>
          </w:rPr>
          <w:delText xml:space="preserve"> undersøkte 217 pasienter med aktiv uveitt til tross for behandling med kortikosteroider (peroral prednisondose på 10 til 60 mg/dag). Alle pasienter fikk en 2-ukers standardisert dose med 60 mg prednison/dag ved studiestart, etterfulgt av en obligatorisk gradvis </w:delText>
        </w:r>
        <w:r w:rsidR="004120E2">
          <w:rPr>
            <w:sz w:val="22"/>
          </w:rPr>
          <w:delText>nedtrappingsplan</w:delText>
        </w:r>
        <w:r>
          <w:rPr>
            <w:sz w:val="22"/>
          </w:rPr>
          <w:delText>, med komplett seponering av kortikosteroider ved uke 15.</w:delText>
        </w:r>
      </w:del>
    </w:p>
    <w:p w14:paraId="562925B9" w14:textId="2A960FF0" w:rsidR="00922C78" w:rsidRDefault="00922C78" w:rsidP="00B3311E">
      <w:pPr>
        <w:tabs>
          <w:tab w:val="left" w:pos="3090"/>
        </w:tabs>
        <w:rPr>
          <w:del w:id="2797" w:author="AbbVie02no" w:date="2025-05-15T12:36:00Z"/>
        </w:rPr>
      </w:pPr>
    </w:p>
    <w:p w14:paraId="039900E7" w14:textId="13FD3A14" w:rsidR="00922C78" w:rsidRDefault="00E453CD" w:rsidP="00B3311E">
      <w:pPr>
        <w:tabs>
          <w:tab w:val="left" w:pos="3090"/>
        </w:tabs>
        <w:rPr>
          <w:del w:id="2798" w:author="AbbVie02no" w:date="2025-05-15T12:36:00Z"/>
        </w:rPr>
      </w:pPr>
      <w:del w:id="2799" w:author="AbbVie02no" w:date="2025-05-15T12:36:00Z">
        <w:r>
          <w:rPr>
            <w:sz w:val="22"/>
          </w:rPr>
          <w:delText>UV II</w:delText>
        </w:r>
        <w:r w:rsidR="00E82EFD">
          <w:rPr>
            <w:sz w:val="22"/>
          </w:rPr>
          <w:delText>-studien</w:delText>
        </w:r>
        <w:r>
          <w:rPr>
            <w:sz w:val="22"/>
          </w:rPr>
          <w:delText xml:space="preserve"> undersøkte 226 pasienter med inaktiv uveitt med behov for kronisk kortikosteroidbehandling (peroral prednison på 10 til 35 mg/dag) ved baseline for å kontrollere sykdommen. Pasientene </w:delText>
        </w:r>
        <w:r w:rsidR="004120E2">
          <w:rPr>
            <w:sz w:val="22"/>
          </w:rPr>
          <w:delText>gjennomgikk</w:delText>
        </w:r>
        <w:r>
          <w:rPr>
            <w:sz w:val="22"/>
          </w:rPr>
          <w:delText xml:space="preserve"> deretter en obligatorisk </w:delText>
        </w:r>
        <w:r w:rsidR="004120E2">
          <w:rPr>
            <w:sz w:val="22"/>
          </w:rPr>
          <w:delText>nedtrappingsplan</w:delText>
        </w:r>
        <w:r w:rsidR="00E82EFD">
          <w:rPr>
            <w:sz w:val="22"/>
          </w:rPr>
          <w:delText>, med</w:delText>
        </w:r>
        <w:r>
          <w:rPr>
            <w:sz w:val="22"/>
          </w:rPr>
          <w:delText xml:space="preserve"> komplett seponering av kortikosteroider ved uke 19.</w:delText>
        </w:r>
      </w:del>
    </w:p>
    <w:p w14:paraId="1FC45777" w14:textId="74A9D96B" w:rsidR="00922C78" w:rsidRDefault="00922C78" w:rsidP="00B3311E">
      <w:pPr>
        <w:tabs>
          <w:tab w:val="left" w:pos="3090"/>
        </w:tabs>
        <w:rPr>
          <w:del w:id="2800" w:author="AbbVie02no" w:date="2025-05-15T12:36:00Z"/>
        </w:rPr>
      </w:pPr>
    </w:p>
    <w:p w14:paraId="4A5C36E3" w14:textId="7A035627" w:rsidR="00922C78" w:rsidRDefault="00E453CD" w:rsidP="00B3311E">
      <w:pPr>
        <w:tabs>
          <w:tab w:val="left" w:pos="3090"/>
        </w:tabs>
        <w:rPr>
          <w:del w:id="2801" w:author="AbbVie02no" w:date="2025-05-15T12:36:00Z"/>
          <w:sz w:val="22"/>
        </w:rPr>
      </w:pPr>
      <w:del w:id="2802" w:author="AbbVie02no" w:date="2025-05-15T12:36:00Z">
        <w:r>
          <w:rPr>
            <w:sz w:val="22"/>
          </w:rPr>
          <w:delText>Det primære effektendepunkte</w:delText>
        </w:r>
        <w:r w:rsidR="004120E2">
          <w:rPr>
            <w:sz w:val="22"/>
          </w:rPr>
          <w:delText>t</w:delText>
        </w:r>
        <w:r>
          <w:rPr>
            <w:sz w:val="22"/>
          </w:rPr>
          <w:delText xml:space="preserve"> i begge studier var tid til behandlingssvikt. Behandlingssvikt var definert som utfall</w:delText>
        </w:r>
        <w:r w:rsidR="00E24C81">
          <w:rPr>
            <w:sz w:val="22"/>
          </w:rPr>
          <w:delText xml:space="preserve"> med flere komponenter basert på inflammatoriske korio</w:delText>
        </w:r>
        <w:r>
          <w:rPr>
            <w:sz w:val="22"/>
          </w:rPr>
          <w:delText>retinal</w:delText>
        </w:r>
        <w:r w:rsidR="00E24C81">
          <w:rPr>
            <w:sz w:val="22"/>
          </w:rPr>
          <w:delText>e</w:delText>
        </w:r>
        <w:r>
          <w:rPr>
            <w:sz w:val="22"/>
          </w:rPr>
          <w:delText xml:space="preserve"> og/eller inflammatorisk</w:delText>
        </w:r>
        <w:r w:rsidR="00E24C81">
          <w:rPr>
            <w:sz w:val="22"/>
          </w:rPr>
          <w:delText>e</w:delText>
        </w:r>
        <w:r>
          <w:rPr>
            <w:sz w:val="22"/>
          </w:rPr>
          <w:delText xml:space="preserve"> retinal</w:delText>
        </w:r>
        <w:r w:rsidR="00E24C81">
          <w:rPr>
            <w:sz w:val="22"/>
          </w:rPr>
          <w:delText>e</w:delText>
        </w:r>
        <w:r>
          <w:rPr>
            <w:sz w:val="22"/>
          </w:rPr>
          <w:delText xml:space="preserve"> vaskulær</w:delText>
        </w:r>
        <w:r w:rsidR="00E24C81">
          <w:rPr>
            <w:sz w:val="22"/>
          </w:rPr>
          <w:delText>e</w:delText>
        </w:r>
        <w:r>
          <w:rPr>
            <w:sz w:val="22"/>
          </w:rPr>
          <w:delText xml:space="preserve"> lesjon</w:delText>
        </w:r>
        <w:r w:rsidR="00E24C81">
          <w:rPr>
            <w:sz w:val="22"/>
          </w:rPr>
          <w:delText>er</w:delText>
        </w:r>
        <w:r>
          <w:rPr>
            <w:sz w:val="22"/>
          </w:rPr>
          <w:delText xml:space="preserve">, </w:delText>
        </w:r>
        <w:r w:rsidR="00E24C81">
          <w:rPr>
            <w:sz w:val="22"/>
          </w:rPr>
          <w:delText xml:space="preserve">gradering av celler i fremre </w:delText>
        </w:r>
        <w:r w:rsidR="004120E2">
          <w:rPr>
            <w:sz w:val="22"/>
          </w:rPr>
          <w:delText>kammer,</w:delText>
        </w:r>
        <w:r>
          <w:rPr>
            <w:sz w:val="22"/>
          </w:rPr>
          <w:delText xml:space="preserve"> </w:delText>
        </w:r>
        <w:r w:rsidR="00E24C81">
          <w:rPr>
            <w:sz w:val="22"/>
          </w:rPr>
          <w:delText xml:space="preserve">grad av uklarheter i glasslegemet </w:delText>
        </w:r>
        <w:r>
          <w:rPr>
            <w:sz w:val="22"/>
          </w:rPr>
          <w:delText>og beste korrigerte synsstyrke.</w:delText>
        </w:r>
      </w:del>
    </w:p>
    <w:p w14:paraId="4EB28751" w14:textId="6D0D007D" w:rsidR="00881526" w:rsidRDefault="00881526" w:rsidP="00B3311E">
      <w:pPr>
        <w:tabs>
          <w:tab w:val="left" w:pos="3090"/>
        </w:tabs>
        <w:rPr>
          <w:del w:id="2803" w:author="AbbVie02no" w:date="2025-05-15T12:36:00Z"/>
        </w:rPr>
      </w:pPr>
    </w:p>
    <w:p w14:paraId="31FE1B00" w14:textId="6D4D1194" w:rsidR="002C7948" w:rsidRPr="00484BCF" w:rsidRDefault="00E453CD" w:rsidP="002C7948">
      <w:pPr>
        <w:tabs>
          <w:tab w:val="left" w:pos="3090"/>
        </w:tabs>
        <w:rPr>
          <w:del w:id="2804" w:author="AbbVie02no" w:date="2025-05-15T12:36:00Z"/>
          <w:sz w:val="22"/>
          <w:szCs w:val="22"/>
        </w:rPr>
      </w:pPr>
      <w:del w:id="2805" w:author="AbbVie02no" w:date="2025-05-15T12:36:00Z">
        <w:r w:rsidRPr="00484BCF">
          <w:rPr>
            <w:sz w:val="22"/>
            <w:szCs w:val="22"/>
          </w:rPr>
          <w:delText>Pasienter som fullførte UV</w:delText>
        </w:r>
        <w:r w:rsidR="00A73B99">
          <w:rPr>
            <w:sz w:val="22"/>
            <w:szCs w:val="22"/>
          </w:rPr>
          <w:delText> </w:delText>
        </w:r>
        <w:r w:rsidRPr="00484BCF">
          <w:rPr>
            <w:sz w:val="22"/>
            <w:szCs w:val="22"/>
          </w:rPr>
          <w:delText>I</w:delText>
        </w:r>
        <w:r>
          <w:rPr>
            <w:sz w:val="22"/>
            <w:szCs w:val="22"/>
          </w:rPr>
          <w:delText>-</w:delText>
        </w:r>
        <w:r w:rsidRPr="00484BCF">
          <w:rPr>
            <w:sz w:val="22"/>
            <w:szCs w:val="22"/>
          </w:rPr>
          <w:delText xml:space="preserve"> og UV</w:delText>
        </w:r>
        <w:r w:rsidR="00A73B99">
          <w:rPr>
            <w:sz w:val="22"/>
            <w:szCs w:val="22"/>
          </w:rPr>
          <w:delText> </w:delText>
        </w:r>
        <w:r w:rsidRPr="00484BCF">
          <w:rPr>
            <w:sz w:val="22"/>
            <w:szCs w:val="22"/>
          </w:rPr>
          <w:delText>II</w:delText>
        </w:r>
        <w:r w:rsidR="00365875">
          <w:rPr>
            <w:sz w:val="22"/>
            <w:szCs w:val="22"/>
          </w:rPr>
          <w:delText>-</w:delText>
        </w:r>
        <w:r>
          <w:rPr>
            <w:sz w:val="22"/>
            <w:szCs w:val="22"/>
          </w:rPr>
          <w:delText xml:space="preserve">studiene </w:delText>
        </w:r>
        <w:r w:rsidRPr="00484BCF">
          <w:rPr>
            <w:sz w:val="22"/>
            <w:szCs w:val="22"/>
          </w:rPr>
          <w:delText xml:space="preserve">ble </w:delText>
        </w:r>
        <w:r>
          <w:rPr>
            <w:sz w:val="22"/>
            <w:szCs w:val="22"/>
          </w:rPr>
          <w:delText>inkludert</w:delText>
        </w:r>
        <w:r w:rsidRPr="00484BCF">
          <w:rPr>
            <w:sz w:val="22"/>
            <w:szCs w:val="22"/>
          </w:rPr>
          <w:delText xml:space="preserve"> i en ikke</w:delText>
        </w:r>
        <w:r w:rsidRPr="00484BCF">
          <w:rPr>
            <w:sz w:val="22"/>
            <w:szCs w:val="22"/>
          </w:rPr>
          <w:noBreakHyphen/>
          <w:delText>kontrollert langtids</w:delText>
        </w:r>
        <w:r>
          <w:rPr>
            <w:sz w:val="22"/>
            <w:szCs w:val="22"/>
          </w:rPr>
          <w:delText>-</w:delText>
        </w:r>
        <w:r w:rsidRPr="00484BCF">
          <w:rPr>
            <w:sz w:val="22"/>
            <w:szCs w:val="22"/>
          </w:rPr>
          <w:delText xml:space="preserve"> forlengelsesstudie med en</w:delText>
        </w:r>
        <w:r>
          <w:rPr>
            <w:sz w:val="22"/>
            <w:szCs w:val="22"/>
          </w:rPr>
          <w:delText xml:space="preserve"> opprinnelig</w:delText>
        </w:r>
        <w:r w:rsidRPr="00484BCF">
          <w:rPr>
            <w:sz w:val="22"/>
            <w:szCs w:val="22"/>
          </w:rPr>
          <w:delText xml:space="preserve"> planlagt varighet på</w:delText>
        </w:r>
        <w:r>
          <w:rPr>
            <w:sz w:val="22"/>
            <w:szCs w:val="22"/>
          </w:rPr>
          <w:delText xml:space="preserve"> </w:delText>
        </w:r>
        <w:r w:rsidRPr="00484BCF">
          <w:rPr>
            <w:sz w:val="22"/>
            <w:szCs w:val="22"/>
          </w:rPr>
          <w:delText>78 uker. Pasienter</w:delText>
        </w:r>
        <w:r>
          <w:rPr>
            <w:sz w:val="22"/>
            <w:szCs w:val="22"/>
          </w:rPr>
          <w:delText xml:space="preserve"> fikk </w:delText>
        </w:r>
        <w:r w:rsidRPr="00484BCF">
          <w:rPr>
            <w:sz w:val="22"/>
            <w:szCs w:val="22"/>
          </w:rPr>
          <w:delText xml:space="preserve">fortsette </w:delText>
        </w:r>
        <w:r>
          <w:rPr>
            <w:sz w:val="22"/>
            <w:szCs w:val="22"/>
          </w:rPr>
          <w:delText>med</w:delText>
        </w:r>
        <w:r w:rsidRPr="00484BCF">
          <w:rPr>
            <w:sz w:val="22"/>
            <w:szCs w:val="22"/>
          </w:rPr>
          <w:delText xml:space="preserve"> studiemedisin </w:delText>
        </w:r>
        <w:r>
          <w:rPr>
            <w:sz w:val="22"/>
            <w:szCs w:val="22"/>
          </w:rPr>
          <w:delText xml:space="preserve">etter </w:delText>
        </w:r>
        <w:r w:rsidRPr="00484BCF">
          <w:rPr>
            <w:sz w:val="22"/>
            <w:szCs w:val="22"/>
          </w:rPr>
          <w:delText>uke 78</w:delText>
        </w:r>
        <w:r>
          <w:rPr>
            <w:sz w:val="22"/>
            <w:szCs w:val="22"/>
          </w:rPr>
          <w:delText>,</w:delText>
        </w:r>
        <w:r w:rsidRPr="00484BCF">
          <w:rPr>
            <w:sz w:val="22"/>
            <w:szCs w:val="22"/>
          </w:rPr>
          <w:delText xml:space="preserve"> inntil de </w:delText>
        </w:r>
        <w:r>
          <w:rPr>
            <w:sz w:val="22"/>
            <w:szCs w:val="22"/>
          </w:rPr>
          <w:delText>fikk</w:delText>
        </w:r>
        <w:r w:rsidRPr="00484BCF">
          <w:rPr>
            <w:sz w:val="22"/>
            <w:szCs w:val="22"/>
          </w:rPr>
          <w:delText xml:space="preserve"> tilgang på Humira.</w:delText>
        </w:r>
      </w:del>
    </w:p>
    <w:p w14:paraId="7C5E8A0A" w14:textId="40A8496F" w:rsidR="009F0E85" w:rsidRPr="009F0E85" w:rsidRDefault="009F0E85" w:rsidP="00B3311E">
      <w:pPr>
        <w:tabs>
          <w:tab w:val="left" w:pos="3090"/>
        </w:tabs>
        <w:rPr>
          <w:del w:id="2806" w:author="AbbVie02no" w:date="2025-05-15T12:36:00Z"/>
        </w:rPr>
      </w:pPr>
    </w:p>
    <w:p w14:paraId="51E2A6EE" w14:textId="4FDB270C" w:rsidR="00E24C81" w:rsidRDefault="00E453CD" w:rsidP="00B3311E">
      <w:pPr>
        <w:keepNext/>
        <w:tabs>
          <w:tab w:val="left" w:pos="3090"/>
        </w:tabs>
        <w:rPr>
          <w:del w:id="2807" w:author="AbbVie02no" w:date="2025-05-15T12:36:00Z"/>
          <w:i/>
        </w:rPr>
      </w:pPr>
      <w:del w:id="2808" w:author="AbbVie02no" w:date="2025-05-15T12:36:00Z">
        <w:r>
          <w:rPr>
            <w:i/>
            <w:sz w:val="22"/>
            <w:u w:val="single"/>
          </w:rPr>
          <w:delText>Klinisk respons</w:delText>
        </w:r>
      </w:del>
    </w:p>
    <w:p w14:paraId="7F2AD7B1" w14:textId="2575DCE4" w:rsidR="00E24C81" w:rsidRPr="00A81D79" w:rsidRDefault="00E24C81" w:rsidP="00B3311E">
      <w:pPr>
        <w:keepNext/>
        <w:tabs>
          <w:tab w:val="left" w:pos="3090"/>
        </w:tabs>
        <w:rPr>
          <w:del w:id="2809" w:author="AbbVie02no" w:date="2025-05-15T12:36:00Z"/>
        </w:rPr>
      </w:pPr>
    </w:p>
    <w:p w14:paraId="29A19C56" w14:textId="70BDFAFD" w:rsidR="00E24C81" w:rsidRDefault="00E453CD" w:rsidP="00B3311E">
      <w:pPr>
        <w:tabs>
          <w:tab w:val="left" w:pos="3090"/>
        </w:tabs>
        <w:rPr>
          <w:del w:id="2810" w:author="AbbVie02no" w:date="2025-05-15T12:36:00Z"/>
        </w:rPr>
      </w:pPr>
      <w:del w:id="2811" w:author="AbbVie02no" w:date="2025-05-15T12:36:00Z">
        <w:r>
          <w:rPr>
            <w:sz w:val="22"/>
          </w:rPr>
          <w:delText>Resultater fra begge studier vis</w:delText>
        </w:r>
        <w:r w:rsidR="003970F2">
          <w:rPr>
            <w:sz w:val="22"/>
          </w:rPr>
          <w:delText>te</w:delText>
        </w:r>
        <w:r>
          <w:rPr>
            <w:sz w:val="22"/>
          </w:rPr>
          <w:delText xml:space="preserve"> statistisk </w:delText>
        </w:r>
        <w:r w:rsidR="004120E2">
          <w:rPr>
            <w:sz w:val="22"/>
          </w:rPr>
          <w:delText>signifikant</w:delText>
        </w:r>
        <w:r>
          <w:rPr>
            <w:sz w:val="22"/>
          </w:rPr>
          <w:delText xml:space="preserve"> reduksjon i risikoen for behandlingssvikt hos pasienter behandlet med Humira versus pasienter som fikk placebo (se tabell </w:delText>
        </w:r>
        <w:r w:rsidR="00501579">
          <w:rPr>
            <w:sz w:val="22"/>
          </w:rPr>
          <w:delText>19</w:delText>
        </w:r>
        <w:r>
          <w:rPr>
            <w:sz w:val="22"/>
          </w:rPr>
          <w:delText>). Begge studier viste en tidlig og vedvarende effekt av Humira på raten av behandlingssvikt versus placebo (se figur </w:delText>
        </w:r>
        <w:r w:rsidR="00501579">
          <w:rPr>
            <w:sz w:val="22"/>
          </w:rPr>
          <w:delText>1</w:delText>
        </w:r>
        <w:r>
          <w:rPr>
            <w:sz w:val="22"/>
          </w:rPr>
          <w:delText>).</w:delText>
        </w:r>
      </w:del>
    </w:p>
    <w:p w14:paraId="37F74C9C" w14:textId="4352A5A2" w:rsidR="00E24C81" w:rsidRDefault="00E24C81" w:rsidP="00B3311E">
      <w:pPr>
        <w:tabs>
          <w:tab w:val="left" w:pos="3090"/>
        </w:tabs>
        <w:rPr>
          <w:del w:id="2812" w:author="AbbVie02no" w:date="2025-05-15T12:36:00Z"/>
        </w:rPr>
      </w:pPr>
    </w:p>
    <w:p w14:paraId="2542CD72" w14:textId="4280FD3A" w:rsidR="00E24C81" w:rsidRDefault="00E453CD" w:rsidP="00BA47BC">
      <w:pPr>
        <w:keepNext/>
        <w:tabs>
          <w:tab w:val="left" w:pos="3090"/>
        </w:tabs>
        <w:jc w:val="center"/>
        <w:rPr>
          <w:del w:id="2813" w:author="AbbVie02no" w:date="2025-05-15T12:36:00Z"/>
          <w:b/>
        </w:rPr>
      </w:pPr>
      <w:del w:id="2814" w:author="AbbVie02no" w:date="2025-05-15T12:36:00Z">
        <w:r>
          <w:rPr>
            <w:b/>
            <w:sz w:val="22"/>
          </w:rPr>
          <w:lastRenderedPageBreak/>
          <w:delText>Tabell </w:delText>
        </w:r>
        <w:r w:rsidR="00501579">
          <w:rPr>
            <w:b/>
            <w:sz w:val="22"/>
          </w:rPr>
          <w:delText>19</w:delText>
        </w:r>
      </w:del>
    </w:p>
    <w:p w14:paraId="0ED060EA" w14:textId="2B6B154B" w:rsidR="00E24C81" w:rsidRDefault="00E453CD" w:rsidP="00BA47BC">
      <w:pPr>
        <w:keepNext/>
        <w:tabs>
          <w:tab w:val="left" w:pos="3090"/>
        </w:tabs>
        <w:jc w:val="center"/>
        <w:rPr>
          <w:del w:id="2815" w:author="AbbVie02no" w:date="2025-05-15T12:36:00Z"/>
          <w:b/>
        </w:rPr>
      </w:pPr>
      <w:del w:id="2816" w:author="AbbVie02no" w:date="2025-05-15T12:36:00Z">
        <w:r>
          <w:rPr>
            <w:b/>
            <w:sz w:val="22"/>
          </w:rPr>
          <w:delText>Ti</w:delText>
        </w:r>
        <w:r w:rsidR="00E82EFD">
          <w:rPr>
            <w:b/>
            <w:sz w:val="22"/>
          </w:rPr>
          <w:delText xml:space="preserve">d til behandlingssvikt i </w:delText>
        </w:r>
        <w:r>
          <w:rPr>
            <w:b/>
            <w:sz w:val="22"/>
          </w:rPr>
          <w:delText>UV I</w:delText>
        </w:r>
        <w:r w:rsidR="003970F2">
          <w:rPr>
            <w:b/>
            <w:sz w:val="22"/>
          </w:rPr>
          <w:delText>-</w:delText>
        </w:r>
        <w:r>
          <w:rPr>
            <w:b/>
            <w:sz w:val="22"/>
          </w:rPr>
          <w:delText xml:space="preserve"> og UV II</w:delText>
        </w:r>
        <w:r w:rsidR="00E82EFD">
          <w:rPr>
            <w:b/>
            <w:sz w:val="22"/>
          </w:rPr>
          <w:delText>-studien</w:delText>
        </w:r>
        <w:r w:rsidR="003970F2">
          <w:rPr>
            <w:b/>
            <w:sz w:val="22"/>
          </w:rPr>
          <w:delText>e</w:delText>
        </w:r>
      </w:del>
    </w:p>
    <w:p w14:paraId="6B22A3F5" w14:textId="461CA2F5" w:rsidR="003970F2" w:rsidRPr="00B3311E" w:rsidRDefault="003970F2" w:rsidP="00BA47BC">
      <w:pPr>
        <w:keepNext/>
        <w:tabs>
          <w:tab w:val="left" w:pos="3090"/>
        </w:tabs>
        <w:jc w:val="center"/>
        <w:rPr>
          <w:del w:id="2817" w:author="AbbVie02no" w:date="2025-05-15T12:36:00Z"/>
          <w:b/>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4644D4" w14:paraId="6A135AD1" w14:textId="6E9A32F9" w:rsidTr="004120E2">
        <w:trPr>
          <w:del w:id="2818" w:author="AbbVie02no" w:date="2025-05-15T12:36:00Z"/>
        </w:trPr>
        <w:tc>
          <w:tcPr>
            <w:tcW w:w="2268" w:type="dxa"/>
            <w:tcBorders>
              <w:top w:val="single" w:sz="4" w:space="0" w:color="auto"/>
              <w:bottom w:val="single" w:sz="4" w:space="0" w:color="auto"/>
            </w:tcBorders>
          </w:tcPr>
          <w:p w14:paraId="2AF8DBA0" w14:textId="6322AEFA" w:rsidR="00E24C81" w:rsidRPr="00B42BF5" w:rsidRDefault="00E453CD" w:rsidP="00BA47BC">
            <w:pPr>
              <w:pStyle w:val="EMEANormal"/>
              <w:keepNext/>
              <w:rPr>
                <w:del w:id="2819" w:author="AbbVie02no" w:date="2025-05-15T12:36:00Z"/>
                <w:b/>
                <w:szCs w:val="22"/>
                <w:lang w:val="nb-NO"/>
              </w:rPr>
            </w:pPr>
            <w:del w:id="2820" w:author="AbbVie02no" w:date="2025-05-15T12:36:00Z">
              <w:r w:rsidRPr="00B42BF5">
                <w:rPr>
                  <w:b/>
                  <w:szCs w:val="22"/>
                  <w:lang w:val="nb-NO"/>
                </w:rPr>
                <w:delText>Analyse</w:delText>
              </w:r>
            </w:del>
          </w:p>
          <w:p w14:paraId="280E5913" w14:textId="5170D5C1" w:rsidR="00E24C81" w:rsidRPr="00B42BF5" w:rsidRDefault="00E453CD" w:rsidP="00BA47BC">
            <w:pPr>
              <w:pStyle w:val="EMEANormal"/>
              <w:keepNext/>
              <w:rPr>
                <w:del w:id="2821" w:author="AbbVie02no" w:date="2025-05-15T12:36:00Z"/>
                <w:b/>
                <w:szCs w:val="22"/>
                <w:lang w:val="nb-NO"/>
              </w:rPr>
            </w:pPr>
            <w:del w:id="2822" w:author="AbbVie02no" w:date="2025-05-15T12:36:00Z">
              <w:r w:rsidRPr="00B42BF5">
                <w:rPr>
                  <w:b/>
                  <w:szCs w:val="22"/>
                  <w:lang w:val="nb-NO"/>
                </w:rPr>
                <w:tab/>
                <w:delText>Behandling</w:delText>
              </w:r>
            </w:del>
          </w:p>
        </w:tc>
        <w:tc>
          <w:tcPr>
            <w:tcW w:w="720" w:type="dxa"/>
            <w:tcBorders>
              <w:top w:val="single" w:sz="4" w:space="0" w:color="auto"/>
              <w:bottom w:val="single" w:sz="4" w:space="0" w:color="auto"/>
            </w:tcBorders>
          </w:tcPr>
          <w:p w14:paraId="497C0079" w14:textId="58D594E5" w:rsidR="00E24C81" w:rsidRPr="00B42BF5" w:rsidRDefault="00E453CD" w:rsidP="00BA47BC">
            <w:pPr>
              <w:pStyle w:val="EMEANormal"/>
              <w:keepNext/>
              <w:rPr>
                <w:del w:id="2823" w:author="AbbVie02no" w:date="2025-05-15T12:36:00Z"/>
                <w:b/>
                <w:szCs w:val="22"/>
                <w:lang w:val="nb-NO"/>
              </w:rPr>
            </w:pPr>
            <w:del w:id="2824" w:author="AbbVie02no" w:date="2025-05-15T12:36:00Z">
              <w:r w:rsidRPr="00B42BF5">
                <w:rPr>
                  <w:b/>
                  <w:szCs w:val="22"/>
                  <w:lang w:val="nb-NO"/>
                </w:rPr>
                <w:delText>N</w:delText>
              </w:r>
            </w:del>
          </w:p>
        </w:tc>
        <w:tc>
          <w:tcPr>
            <w:tcW w:w="1170" w:type="dxa"/>
            <w:tcBorders>
              <w:top w:val="single" w:sz="4" w:space="0" w:color="auto"/>
              <w:bottom w:val="single" w:sz="4" w:space="0" w:color="auto"/>
            </w:tcBorders>
          </w:tcPr>
          <w:p w14:paraId="352B023E" w14:textId="163475EA" w:rsidR="00E24C81" w:rsidRPr="00B42BF5" w:rsidRDefault="00E453CD" w:rsidP="00BA47BC">
            <w:pPr>
              <w:pStyle w:val="EMEANormal"/>
              <w:keepNext/>
              <w:rPr>
                <w:del w:id="2825" w:author="AbbVie02no" w:date="2025-05-15T12:36:00Z"/>
                <w:b/>
                <w:szCs w:val="22"/>
                <w:lang w:val="nb-NO"/>
              </w:rPr>
            </w:pPr>
            <w:del w:id="2826" w:author="AbbVie02no" w:date="2025-05-15T12:36:00Z">
              <w:r w:rsidRPr="00B42BF5">
                <w:rPr>
                  <w:b/>
                  <w:szCs w:val="22"/>
                  <w:lang w:val="nb-NO"/>
                </w:rPr>
                <w:delText>Svikt</w:delText>
              </w:r>
              <w:r w:rsidRPr="00B42BF5">
                <w:rPr>
                  <w:b/>
                  <w:szCs w:val="22"/>
                  <w:lang w:val="nb-NO"/>
                </w:rPr>
                <w:br/>
                <w:delText>N (%)</w:delText>
              </w:r>
            </w:del>
          </w:p>
        </w:tc>
        <w:tc>
          <w:tcPr>
            <w:tcW w:w="1890" w:type="dxa"/>
            <w:tcBorders>
              <w:top w:val="single" w:sz="4" w:space="0" w:color="auto"/>
              <w:bottom w:val="single" w:sz="4" w:space="0" w:color="auto"/>
            </w:tcBorders>
          </w:tcPr>
          <w:p w14:paraId="4E01C7A9" w14:textId="05EEE58F" w:rsidR="00E24C81" w:rsidRPr="00B3311E" w:rsidRDefault="00E453CD" w:rsidP="00BA47BC">
            <w:pPr>
              <w:pStyle w:val="EMEANormal"/>
              <w:keepNext/>
              <w:rPr>
                <w:del w:id="2827" w:author="AbbVie02no" w:date="2025-05-15T12:36:00Z"/>
                <w:b/>
                <w:szCs w:val="22"/>
                <w:lang w:val="nb-NO"/>
              </w:rPr>
            </w:pPr>
            <w:del w:id="2828" w:author="AbbVie02no" w:date="2025-05-15T12:36:00Z">
              <w:r w:rsidRPr="00B3311E">
                <w:rPr>
                  <w:b/>
                  <w:szCs w:val="22"/>
                  <w:lang w:val="nb-NO"/>
                </w:rPr>
                <w:delText>Median tid til svikt (måneder)</w:delText>
              </w:r>
            </w:del>
          </w:p>
        </w:tc>
        <w:tc>
          <w:tcPr>
            <w:tcW w:w="720" w:type="dxa"/>
            <w:tcBorders>
              <w:top w:val="single" w:sz="4" w:space="0" w:color="auto"/>
              <w:bottom w:val="single" w:sz="4" w:space="0" w:color="auto"/>
            </w:tcBorders>
          </w:tcPr>
          <w:p w14:paraId="35556EA5" w14:textId="3B6A5257" w:rsidR="00E24C81" w:rsidRPr="00B42BF5" w:rsidRDefault="00E453CD" w:rsidP="00BA47BC">
            <w:pPr>
              <w:pStyle w:val="EMEANormal"/>
              <w:keepNext/>
              <w:rPr>
                <w:del w:id="2829" w:author="AbbVie02no" w:date="2025-05-15T12:36:00Z"/>
                <w:b/>
                <w:szCs w:val="22"/>
                <w:lang w:val="nb-NO"/>
              </w:rPr>
            </w:pPr>
            <w:del w:id="2830" w:author="AbbVie02no" w:date="2025-05-15T12:36:00Z">
              <w:r w:rsidRPr="00B42BF5">
                <w:rPr>
                  <w:b/>
                  <w:szCs w:val="22"/>
                  <w:lang w:val="nb-NO"/>
                </w:rPr>
                <w:delText>HR</w:delText>
              </w:r>
              <w:r w:rsidRPr="00B42BF5">
                <w:rPr>
                  <w:b/>
                  <w:szCs w:val="22"/>
                  <w:vertAlign w:val="superscript"/>
                  <w:lang w:val="nb-NO"/>
                </w:rPr>
                <w:delText>a</w:delText>
              </w:r>
            </w:del>
          </w:p>
        </w:tc>
        <w:tc>
          <w:tcPr>
            <w:tcW w:w="1170" w:type="dxa"/>
            <w:tcBorders>
              <w:top w:val="single" w:sz="4" w:space="0" w:color="auto"/>
              <w:bottom w:val="single" w:sz="4" w:space="0" w:color="auto"/>
            </w:tcBorders>
          </w:tcPr>
          <w:p w14:paraId="29827806" w14:textId="539D73BE" w:rsidR="00E24C81" w:rsidRPr="00B42BF5" w:rsidRDefault="00E453CD" w:rsidP="00BA47BC">
            <w:pPr>
              <w:pStyle w:val="EMEANormal"/>
              <w:keepNext/>
              <w:rPr>
                <w:del w:id="2831" w:author="AbbVie02no" w:date="2025-05-15T12:36:00Z"/>
                <w:b/>
                <w:szCs w:val="22"/>
                <w:lang w:val="nb-NO"/>
              </w:rPr>
            </w:pPr>
            <w:del w:id="2832" w:author="AbbVie02no" w:date="2025-05-15T12:36:00Z">
              <w:r w:rsidRPr="00B42BF5">
                <w:rPr>
                  <w:b/>
                  <w:szCs w:val="22"/>
                  <w:lang w:val="nb-NO"/>
                </w:rPr>
                <w:delText>KI 95 % for HR</w:delText>
              </w:r>
              <w:r w:rsidRPr="00B42BF5">
                <w:rPr>
                  <w:b/>
                  <w:szCs w:val="22"/>
                  <w:vertAlign w:val="superscript"/>
                  <w:lang w:val="nb-NO"/>
                </w:rPr>
                <w:delText>a</w:delText>
              </w:r>
            </w:del>
          </w:p>
        </w:tc>
        <w:tc>
          <w:tcPr>
            <w:tcW w:w="1080" w:type="dxa"/>
            <w:tcBorders>
              <w:top w:val="single" w:sz="4" w:space="0" w:color="auto"/>
              <w:bottom w:val="single" w:sz="4" w:space="0" w:color="auto"/>
            </w:tcBorders>
          </w:tcPr>
          <w:p w14:paraId="0D434DFB" w14:textId="2FE13AD1" w:rsidR="00E24C81" w:rsidRPr="00B42BF5" w:rsidRDefault="00E453CD" w:rsidP="00BA47BC">
            <w:pPr>
              <w:pStyle w:val="EMEANormal"/>
              <w:keepNext/>
              <w:rPr>
                <w:del w:id="2833" w:author="AbbVie02no" w:date="2025-05-15T12:36:00Z"/>
                <w:b/>
                <w:szCs w:val="22"/>
                <w:lang w:val="nb-NO"/>
              </w:rPr>
            </w:pPr>
            <w:del w:id="2834" w:author="AbbVie02no" w:date="2025-05-15T12:36:00Z">
              <w:r w:rsidRPr="00B42BF5">
                <w:rPr>
                  <w:b/>
                  <w:i/>
                  <w:szCs w:val="22"/>
                  <w:lang w:val="nb-NO"/>
                </w:rPr>
                <w:delText>P</w:delText>
              </w:r>
              <w:r w:rsidRPr="00B42BF5">
                <w:rPr>
                  <w:b/>
                  <w:szCs w:val="22"/>
                  <w:lang w:val="nb-NO"/>
                </w:rPr>
                <w:delText>-verdi</w:delText>
              </w:r>
              <w:r w:rsidRPr="00B42BF5">
                <w:rPr>
                  <w:szCs w:val="22"/>
                  <w:vertAlign w:val="superscript"/>
                  <w:lang w:val="nb-NO"/>
                </w:rPr>
                <w:delText xml:space="preserve"> b</w:delText>
              </w:r>
            </w:del>
          </w:p>
        </w:tc>
      </w:tr>
      <w:tr w:rsidR="004644D4" w14:paraId="436EE087" w14:textId="17AE4683" w:rsidTr="004120E2">
        <w:trPr>
          <w:del w:id="2835" w:author="AbbVie02no" w:date="2025-05-15T12:36:00Z"/>
        </w:trPr>
        <w:tc>
          <w:tcPr>
            <w:tcW w:w="9018" w:type="dxa"/>
            <w:gridSpan w:val="7"/>
            <w:tcBorders>
              <w:top w:val="single" w:sz="4" w:space="0" w:color="auto"/>
              <w:bottom w:val="nil"/>
            </w:tcBorders>
          </w:tcPr>
          <w:p w14:paraId="038FEC74" w14:textId="3D1632F9" w:rsidR="00E24C81" w:rsidRPr="00B3311E" w:rsidRDefault="00E453CD" w:rsidP="00BA47BC">
            <w:pPr>
              <w:pStyle w:val="EMEANormal"/>
              <w:keepNext/>
              <w:rPr>
                <w:del w:id="2836" w:author="AbbVie02no" w:date="2025-05-15T12:36:00Z"/>
                <w:b/>
                <w:szCs w:val="22"/>
                <w:lang w:val="nb-NO"/>
              </w:rPr>
            </w:pPr>
            <w:del w:id="2837" w:author="AbbVie02no" w:date="2025-05-15T12:36:00Z">
              <w:r w:rsidRPr="00B3311E">
                <w:rPr>
                  <w:b/>
                  <w:szCs w:val="22"/>
                  <w:lang w:val="nb-NO"/>
                </w:rPr>
                <w:delText>Tid til behandlingssvikt ved eller etter uke 6 i UV I</w:delText>
              </w:r>
              <w:r w:rsidR="00E9467C">
                <w:rPr>
                  <w:b/>
                  <w:szCs w:val="22"/>
                  <w:lang w:val="nb-NO"/>
                </w:rPr>
                <w:delText>-studien</w:delText>
              </w:r>
            </w:del>
          </w:p>
        </w:tc>
      </w:tr>
      <w:tr w:rsidR="004644D4" w14:paraId="677360D8" w14:textId="3E93A663" w:rsidTr="004120E2">
        <w:trPr>
          <w:del w:id="2838" w:author="AbbVie02no" w:date="2025-05-15T12:36:00Z"/>
        </w:trPr>
        <w:tc>
          <w:tcPr>
            <w:tcW w:w="2988" w:type="dxa"/>
            <w:gridSpan w:val="2"/>
            <w:tcBorders>
              <w:top w:val="nil"/>
              <w:bottom w:val="nil"/>
            </w:tcBorders>
          </w:tcPr>
          <w:p w14:paraId="0FA87256" w14:textId="2A3A9BC7" w:rsidR="00E24C81" w:rsidRPr="00B42BF5" w:rsidRDefault="00E453CD" w:rsidP="00BA47BC">
            <w:pPr>
              <w:pStyle w:val="EMEANormal"/>
              <w:keepNext/>
              <w:rPr>
                <w:del w:id="2839" w:author="AbbVie02no" w:date="2025-05-15T12:36:00Z"/>
                <w:szCs w:val="22"/>
                <w:lang w:val="nb-NO"/>
              </w:rPr>
            </w:pPr>
            <w:del w:id="2840" w:author="AbbVie02no" w:date="2025-05-15T12:36:00Z">
              <w:r w:rsidRPr="00B42BF5">
                <w:rPr>
                  <w:szCs w:val="22"/>
                  <w:lang w:val="nb-NO"/>
                </w:rPr>
                <w:delText>Primæranalyse (ITT)</w:delText>
              </w:r>
            </w:del>
          </w:p>
        </w:tc>
        <w:tc>
          <w:tcPr>
            <w:tcW w:w="1170" w:type="dxa"/>
            <w:tcBorders>
              <w:top w:val="nil"/>
              <w:bottom w:val="nil"/>
            </w:tcBorders>
          </w:tcPr>
          <w:p w14:paraId="4C37182C" w14:textId="2576E8DA" w:rsidR="00E24C81" w:rsidRPr="00B42BF5" w:rsidRDefault="00E24C81" w:rsidP="00BA47BC">
            <w:pPr>
              <w:pStyle w:val="EMEANormal"/>
              <w:keepNext/>
              <w:rPr>
                <w:del w:id="2841" w:author="AbbVie02no" w:date="2025-05-15T12:36:00Z"/>
                <w:szCs w:val="22"/>
                <w:lang w:val="nb-NO"/>
              </w:rPr>
            </w:pPr>
          </w:p>
        </w:tc>
        <w:tc>
          <w:tcPr>
            <w:tcW w:w="1890" w:type="dxa"/>
            <w:tcBorders>
              <w:top w:val="nil"/>
              <w:bottom w:val="nil"/>
            </w:tcBorders>
          </w:tcPr>
          <w:p w14:paraId="78A71C09" w14:textId="5DCFB894" w:rsidR="00E24C81" w:rsidRPr="00B42BF5" w:rsidRDefault="00E24C81" w:rsidP="00BA47BC">
            <w:pPr>
              <w:pStyle w:val="EMEANormal"/>
              <w:keepNext/>
              <w:rPr>
                <w:del w:id="2842" w:author="AbbVie02no" w:date="2025-05-15T12:36:00Z"/>
                <w:szCs w:val="22"/>
                <w:lang w:val="nb-NO"/>
              </w:rPr>
            </w:pPr>
          </w:p>
        </w:tc>
        <w:tc>
          <w:tcPr>
            <w:tcW w:w="720" w:type="dxa"/>
            <w:tcBorders>
              <w:top w:val="nil"/>
              <w:bottom w:val="nil"/>
            </w:tcBorders>
          </w:tcPr>
          <w:p w14:paraId="3DEB6D1F" w14:textId="04E8E740" w:rsidR="00E24C81" w:rsidRPr="00B42BF5" w:rsidRDefault="00E24C81" w:rsidP="00BA47BC">
            <w:pPr>
              <w:pStyle w:val="EMEANormal"/>
              <w:keepNext/>
              <w:rPr>
                <w:del w:id="2843" w:author="AbbVie02no" w:date="2025-05-15T12:36:00Z"/>
                <w:szCs w:val="22"/>
                <w:lang w:val="nb-NO"/>
              </w:rPr>
            </w:pPr>
          </w:p>
        </w:tc>
        <w:tc>
          <w:tcPr>
            <w:tcW w:w="1170" w:type="dxa"/>
            <w:tcBorders>
              <w:top w:val="nil"/>
              <w:bottom w:val="nil"/>
            </w:tcBorders>
          </w:tcPr>
          <w:p w14:paraId="0BC60ED0" w14:textId="75FC41C9" w:rsidR="00E24C81" w:rsidRPr="00B42BF5" w:rsidRDefault="00E24C81" w:rsidP="00BA47BC">
            <w:pPr>
              <w:pStyle w:val="EMEANormal"/>
              <w:keepNext/>
              <w:rPr>
                <w:del w:id="2844" w:author="AbbVie02no" w:date="2025-05-15T12:36:00Z"/>
                <w:szCs w:val="22"/>
                <w:lang w:val="nb-NO"/>
              </w:rPr>
            </w:pPr>
          </w:p>
        </w:tc>
        <w:tc>
          <w:tcPr>
            <w:tcW w:w="1080" w:type="dxa"/>
            <w:tcBorders>
              <w:top w:val="nil"/>
              <w:bottom w:val="nil"/>
            </w:tcBorders>
          </w:tcPr>
          <w:p w14:paraId="4832FF27" w14:textId="6974BD6B" w:rsidR="00E24C81" w:rsidRPr="00B42BF5" w:rsidRDefault="00E24C81" w:rsidP="00BA47BC">
            <w:pPr>
              <w:pStyle w:val="EMEANormal"/>
              <w:keepNext/>
              <w:rPr>
                <w:del w:id="2845" w:author="AbbVie02no" w:date="2025-05-15T12:36:00Z"/>
                <w:szCs w:val="22"/>
                <w:lang w:val="nb-NO"/>
              </w:rPr>
            </w:pPr>
          </w:p>
        </w:tc>
      </w:tr>
      <w:tr w:rsidR="004644D4" w14:paraId="2254BEBE" w14:textId="7CC8FDA5" w:rsidTr="004120E2">
        <w:trPr>
          <w:del w:id="2846" w:author="AbbVie02no" w:date="2025-05-15T12:36:00Z"/>
        </w:trPr>
        <w:tc>
          <w:tcPr>
            <w:tcW w:w="2268" w:type="dxa"/>
            <w:tcBorders>
              <w:top w:val="nil"/>
              <w:bottom w:val="nil"/>
            </w:tcBorders>
          </w:tcPr>
          <w:p w14:paraId="50572AF7" w14:textId="0A87DDDA" w:rsidR="00E24C81" w:rsidRPr="00B42BF5" w:rsidRDefault="00E453CD" w:rsidP="00BA47BC">
            <w:pPr>
              <w:pStyle w:val="EMEANormal"/>
              <w:keepNext/>
              <w:rPr>
                <w:del w:id="2847" w:author="AbbVie02no" w:date="2025-05-15T12:36:00Z"/>
                <w:szCs w:val="22"/>
                <w:lang w:val="nb-NO"/>
              </w:rPr>
            </w:pPr>
            <w:del w:id="2848" w:author="AbbVie02no" w:date="2025-05-15T12:36:00Z">
              <w:r w:rsidRPr="00B42BF5">
                <w:rPr>
                  <w:szCs w:val="22"/>
                  <w:lang w:val="nb-NO"/>
                </w:rPr>
                <w:tab/>
                <w:delText>Placebo</w:delText>
              </w:r>
            </w:del>
          </w:p>
        </w:tc>
        <w:tc>
          <w:tcPr>
            <w:tcW w:w="720" w:type="dxa"/>
            <w:tcBorders>
              <w:top w:val="nil"/>
              <w:bottom w:val="nil"/>
            </w:tcBorders>
          </w:tcPr>
          <w:p w14:paraId="3B18202B" w14:textId="2D6B17A6" w:rsidR="00E24C81" w:rsidRPr="00B42BF5" w:rsidRDefault="00E453CD" w:rsidP="00BA47BC">
            <w:pPr>
              <w:pStyle w:val="EMEANormal"/>
              <w:keepNext/>
              <w:rPr>
                <w:del w:id="2849" w:author="AbbVie02no" w:date="2025-05-15T12:36:00Z"/>
                <w:szCs w:val="22"/>
                <w:lang w:val="nb-NO"/>
              </w:rPr>
            </w:pPr>
            <w:del w:id="2850" w:author="AbbVie02no" w:date="2025-05-15T12:36:00Z">
              <w:r w:rsidRPr="00B42BF5">
                <w:rPr>
                  <w:szCs w:val="22"/>
                  <w:lang w:val="nb-NO"/>
                </w:rPr>
                <w:delText>107</w:delText>
              </w:r>
            </w:del>
          </w:p>
        </w:tc>
        <w:tc>
          <w:tcPr>
            <w:tcW w:w="1170" w:type="dxa"/>
            <w:tcBorders>
              <w:top w:val="nil"/>
              <w:bottom w:val="nil"/>
            </w:tcBorders>
          </w:tcPr>
          <w:p w14:paraId="2796F4AE" w14:textId="66F445F6" w:rsidR="00E24C81" w:rsidRPr="00B42BF5" w:rsidRDefault="00E453CD" w:rsidP="00BA47BC">
            <w:pPr>
              <w:pStyle w:val="EMEANormal"/>
              <w:keepNext/>
              <w:rPr>
                <w:del w:id="2851" w:author="AbbVie02no" w:date="2025-05-15T12:36:00Z"/>
                <w:szCs w:val="22"/>
                <w:lang w:val="nb-NO"/>
              </w:rPr>
            </w:pPr>
            <w:del w:id="2852" w:author="AbbVie02no" w:date="2025-05-15T12:36:00Z">
              <w:r w:rsidRPr="00B42BF5">
                <w:rPr>
                  <w:szCs w:val="22"/>
                  <w:lang w:val="nb-NO"/>
                </w:rPr>
                <w:delText>84 (78,5)</w:delText>
              </w:r>
            </w:del>
          </w:p>
        </w:tc>
        <w:tc>
          <w:tcPr>
            <w:tcW w:w="1890" w:type="dxa"/>
            <w:tcBorders>
              <w:top w:val="nil"/>
              <w:bottom w:val="nil"/>
            </w:tcBorders>
          </w:tcPr>
          <w:p w14:paraId="65356FA1" w14:textId="7C98D3D5" w:rsidR="00E24C81" w:rsidRPr="00B42BF5" w:rsidRDefault="00E453CD" w:rsidP="00BA47BC">
            <w:pPr>
              <w:pStyle w:val="EMEANormal"/>
              <w:keepNext/>
              <w:rPr>
                <w:del w:id="2853" w:author="AbbVie02no" w:date="2025-05-15T12:36:00Z"/>
                <w:szCs w:val="22"/>
                <w:lang w:val="nb-NO"/>
              </w:rPr>
            </w:pPr>
            <w:del w:id="2854" w:author="AbbVie02no" w:date="2025-05-15T12:36:00Z">
              <w:r w:rsidRPr="00B42BF5">
                <w:rPr>
                  <w:szCs w:val="22"/>
                  <w:lang w:val="nb-NO"/>
                </w:rPr>
                <w:delText>3,0</w:delText>
              </w:r>
            </w:del>
          </w:p>
        </w:tc>
        <w:tc>
          <w:tcPr>
            <w:tcW w:w="720" w:type="dxa"/>
            <w:tcBorders>
              <w:top w:val="nil"/>
              <w:bottom w:val="nil"/>
            </w:tcBorders>
          </w:tcPr>
          <w:p w14:paraId="4E086B13" w14:textId="368BF8F3" w:rsidR="00E24C81" w:rsidRPr="00B42BF5" w:rsidRDefault="00E453CD" w:rsidP="00BA47BC">
            <w:pPr>
              <w:pStyle w:val="EMEANormal"/>
              <w:keepNext/>
              <w:rPr>
                <w:del w:id="2855" w:author="AbbVie02no" w:date="2025-05-15T12:36:00Z"/>
                <w:szCs w:val="22"/>
                <w:lang w:val="nb-NO"/>
              </w:rPr>
            </w:pPr>
            <w:del w:id="2856" w:author="AbbVie02no" w:date="2025-05-15T12:36:00Z">
              <w:r w:rsidRPr="00B42BF5">
                <w:rPr>
                  <w:szCs w:val="22"/>
                  <w:lang w:val="nb-NO"/>
                </w:rPr>
                <w:delText>--</w:delText>
              </w:r>
            </w:del>
          </w:p>
        </w:tc>
        <w:tc>
          <w:tcPr>
            <w:tcW w:w="1170" w:type="dxa"/>
            <w:tcBorders>
              <w:top w:val="nil"/>
              <w:bottom w:val="nil"/>
            </w:tcBorders>
          </w:tcPr>
          <w:p w14:paraId="34008DD9" w14:textId="7AA00403" w:rsidR="00E24C81" w:rsidRPr="00B42BF5" w:rsidRDefault="00E453CD" w:rsidP="00BA47BC">
            <w:pPr>
              <w:pStyle w:val="EMEANormal"/>
              <w:keepNext/>
              <w:rPr>
                <w:del w:id="2857" w:author="AbbVie02no" w:date="2025-05-15T12:36:00Z"/>
                <w:szCs w:val="22"/>
                <w:lang w:val="nb-NO"/>
              </w:rPr>
            </w:pPr>
            <w:del w:id="2858" w:author="AbbVie02no" w:date="2025-05-15T12:36:00Z">
              <w:r w:rsidRPr="00B42BF5">
                <w:rPr>
                  <w:szCs w:val="22"/>
                  <w:lang w:val="nb-NO"/>
                </w:rPr>
                <w:delText>--</w:delText>
              </w:r>
            </w:del>
          </w:p>
        </w:tc>
        <w:tc>
          <w:tcPr>
            <w:tcW w:w="1080" w:type="dxa"/>
            <w:tcBorders>
              <w:top w:val="nil"/>
              <w:bottom w:val="nil"/>
            </w:tcBorders>
          </w:tcPr>
          <w:p w14:paraId="144E7E6C" w14:textId="5336EA57" w:rsidR="00E24C81" w:rsidRPr="00B42BF5" w:rsidRDefault="00E453CD" w:rsidP="00BA47BC">
            <w:pPr>
              <w:pStyle w:val="EMEANormal"/>
              <w:keepNext/>
              <w:rPr>
                <w:del w:id="2859" w:author="AbbVie02no" w:date="2025-05-15T12:36:00Z"/>
                <w:szCs w:val="22"/>
                <w:lang w:val="nb-NO"/>
              </w:rPr>
            </w:pPr>
            <w:del w:id="2860" w:author="AbbVie02no" w:date="2025-05-15T12:36:00Z">
              <w:r w:rsidRPr="00B42BF5">
                <w:rPr>
                  <w:szCs w:val="22"/>
                  <w:lang w:val="nb-NO"/>
                </w:rPr>
                <w:delText>--</w:delText>
              </w:r>
            </w:del>
          </w:p>
        </w:tc>
      </w:tr>
      <w:tr w:rsidR="004644D4" w14:paraId="1F985773" w14:textId="557AE3A3" w:rsidTr="004120E2">
        <w:trPr>
          <w:del w:id="2861" w:author="AbbVie02no" w:date="2025-05-15T12:36:00Z"/>
        </w:trPr>
        <w:tc>
          <w:tcPr>
            <w:tcW w:w="2268" w:type="dxa"/>
            <w:tcBorders>
              <w:top w:val="nil"/>
              <w:bottom w:val="single" w:sz="4" w:space="0" w:color="auto"/>
            </w:tcBorders>
          </w:tcPr>
          <w:p w14:paraId="282639C5" w14:textId="2DDB7824" w:rsidR="00E24C81" w:rsidRPr="00B42BF5" w:rsidRDefault="00E453CD" w:rsidP="00BA47BC">
            <w:pPr>
              <w:pStyle w:val="EMEANormal"/>
              <w:keepNext/>
              <w:rPr>
                <w:del w:id="2862" w:author="AbbVie02no" w:date="2025-05-15T12:36:00Z"/>
                <w:szCs w:val="22"/>
                <w:lang w:val="nb-NO"/>
              </w:rPr>
            </w:pPr>
            <w:del w:id="2863" w:author="AbbVie02no" w:date="2025-05-15T12:36:00Z">
              <w:r w:rsidRPr="00B42BF5">
                <w:rPr>
                  <w:szCs w:val="22"/>
                  <w:lang w:val="nb-NO"/>
                </w:rPr>
                <w:tab/>
                <w:delText>Adalimumab</w:delText>
              </w:r>
            </w:del>
          </w:p>
        </w:tc>
        <w:tc>
          <w:tcPr>
            <w:tcW w:w="720" w:type="dxa"/>
            <w:tcBorders>
              <w:top w:val="nil"/>
              <w:bottom w:val="single" w:sz="4" w:space="0" w:color="auto"/>
            </w:tcBorders>
          </w:tcPr>
          <w:p w14:paraId="5D82FDA0" w14:textId="371EA4D8" w:rsidR="00E24C81" w:rsidRPr="00B42BF5" w:rsidRDefault="00E453CD" w:rsidP="00BA47BC">
            <w:pPr>
              <w:pStyle w:val="EMEANormal"/>
              <w:keepNext/>
              <w:rPr>
                <w:del w:id="2864" w:author="AbbVie02no" w:date="2025-05-15T12:36:00Z"/>
                <w:szCs w:val="22"/>
                <w:lang w:val="nb-NO"/>
              </w:rPr>
            </w:pPr>
            <w:del w:id="2865" w:author="AbbVie02no" w:date="2025-05-15T12:36:00Z">
              <w:r w:rsidRPr="00B42BF5">
                <w:rPr>
                  <w:szCs w:val="22"/>
                  <w:lang w:val="nb-NO"/>
                </w:rPr>
                <w:delText>110</w:delText>
              </w:r>
            </w:del>
          </w:p>
        </w:tc>
        <w:tc>
          <w:tcPr>
            <w:tcW w:w="1170" w:type="dxa"/>
            <w:tcBorders>
              <w:top w:val="nil"/>
              <w:bottom w:val="single" w:sz="4" w:space="0" w:color="auto"/>
            </w:tcBorders>
          </w:tcPr>
          <w:p w14:paraId="0548D2C6" w14:textId="0D669ED4" w:rsidR="00E24C81" w:rsidRPr="00B42BF5" w:rsidRDefault="00E453CD" w:rsidP="00BA47BC">
            <w:pPr>
              <w:pStyle w:val="EMEANormal"/>
              <w:keepNext/>
              <w:rPr>
                <w:del w:id="2866" w:author="AbbVie02no" w:date="2025-05-15T12:36:00Z"/>
                <w:szCs w:val="22"/>
                <w:lang w:val="nb-NO"/>
              </w:rPr>
            </w:pPr>
            <w:del w:id="2867" w:author="AbbVie02no" w:date="2025-05-15T12:36:00Z">
              <w:r w:rsidRPr="00B42BF5">
                <w:rPr>
                  <w:szCs w:val="22"/>
                  <w:lang w:val="nb-NO"/>
                </w:rPr>
                <w:delText>60 (54,5)</w:delText>
              </w:r>
            </w:del>
          </w:p>
        </w:tc>
        <w:tc>
          <w:tcPr>
            <w:tcW w:w="1890" w:type="dxa"/>
            <w:tcBorders>
              <w:top w:val="nil"/>
              <w:bottom w:val="single" w:sz="4" w:space="0" w:color="auto"/>
            </w:tcBorders>
          </w:tcPr>
          <w:p w14:paraId="55CA9BC4" w14:textId="04AACF61" w:rsidR="00E24C81" w:rsidRPr="00B42BF5" w:rsidRDefault="00E453CD" w:rsidP="00BA47BC">
            <w:pPr>
              <w:pStyle w:val="EMEANormal"/>
              <w:keepNext/>
              <w:rPr>
                <w:del w:id="2868" w:author="AbbVie02no" w:date="2025-05-15T12:36:00Z"/>
                <w:szCs w:val="22"/>
                <w:lang w:val="nb-NO"/>
              </w:rPr>
            </w:pPr>
            <w:del w:id="2869" w:author="AbbVie02no" w:date="2025-05-15T12:36:00Z">
              <w:r w:rsidRPr="00B42BF5">
                <w:rPr>
                  <w:szCs w:val="22"/>
                  <w:lang w:val="nb-NO"/>
                </w:rPr>
                <w:delText>5,6</w:delText>
              </w:r>
            </w:del>
          </w:p>
        </w:tc>
        <w:tc>
          <w:tcPr>
            <w:tcW w:w="720" w:type="dxa"/>
            <w:tcBorders>
              <w:top w:val="nil"/>
              <w:bottom w:val="single" w:sz="4" w:space="0" w:color="auto"/>
            </w:tcBorders>
          </w:tcPr>
          <w:p w14:paraId="58C6A3FD" w14:textId="5EE96B53" w:rsidR="00E24C81" w:rsidRPr="00B42BF5" w:rsidRDefault="00E453CD" w:rsidP="00BA47BC">
            <w:pPr>
              <w:pStyle w:val="EMEANormal"/>
              <w:keepNext/>
              <w:rPr>
                <w:del w:id="2870" w:author="AbbVie02no" w:date="2025-05-15T12:36:00Z"/>
                <w:szCs w:val="22"/>
                <w:lang w:val="nb-NO"/>
              </w:rPr>
            </w:pPr>
            <w:del w:id="2871" w:author="AbbVie02no" w:date="2025-05-15T12:36:00Z">
              <w:r w:rsidRPr="00B42BF5">
                <w:rPr>
                  <w:szCs w:val="22"/>
                  <w:lang w:val="nb-NO"/>
                </w:rPr>
                <w:delText>0,50</w:delText>
              </w:r>
            </w:del>
          </w:p>
        </w:tc>
        <w:tc>
          <w:tcPr>
            <w:tcW w:w="1170" w:type="dxa"/>
            <w:tcBorders>
              <w:top w:val="nil"/>
              <w:bottom w:val="single" w:sz="4" w:space="0" w:color="auto"/>
            </w:tcBorders>
          </w:tcPr>
          <w:p w14:paraId="578E0F6E" w14:textId="169673CF" w:rsidR="00E24C81" w:rsidRPr="00B42BF5" w:rsidRDefault="00E453CD" w:rsidP="00BA47BC">
            <w:pPr>
              <w:pStyle w:val="EMEANormal"/>
              <w:keepNext/>
              <w:rPr>
                <w:del w:id="2872" w:author="AbbVie02no" w:date="2025-05-15T12:36:00Z"/>
                <w:szCs w:val="22"/>
                <w:lang w:val="nb-NO"/>
              </w:rPr>
            </w:pPr>
            <w:del w:id="2873" w:author="AbbVie02no" w:date="2025-05-15T12:36:00Z">
              <w:r w:rsidRPr="00B42BF5">
                <w:rPr>
                  <w:szCs w:val="22"/>
                  <w:lang w:val="nb-NO"/>
                </w:rPr>
                <w:delText>0,36, 0,70</w:delText>
              </w:r>
              <w:r w:rsidRPr="00B42BF5">
                <w:rPr>
                  <w:szCs w:val="22"/>
                  <w:vertAlign w:val="superscript"/>
                  <w:lang w:val="nb-NO"/>
                </w:rPr>
                <w:delText xml:space="preserve"> </w:delText>
              </w:r>
            </w:del>
          </w:p>
        </w:tc>
        <w:tc>
          <w:tcPr>
            <w:tcW w:w="1080" w:type="dxa"/>
            <w:tcBorders>
              <w:top w:val="nil"/>
              <w:bottom w:val="single" w:sz="4" w:space="0" w:color="auto"/>
            </w:tcBorders>
          </w:tcPr>
          <w:p w14:paraId="7FF2C5B9" w14:textId="62042E8E" w:rsidR="00E24C81" w:rsidRPr="00B42BF5" w:rsidRDefault="00E453CD" w:rsidP="00BA47BC">
            <w:pPr>
              <w:pStyle w:val="EMEANormal"/>
              <w:keepNext/>
              <w:rPr>
                <w:del w:id="2874" w:author="AbbVie02no" w:date="2025-05-15T12:36:00Z"/>
                <w:szCs w:val="22"/>
                <w:lang w:val="nb-NO"/>
              </w:rPr>
            </w:pPr>
            <w:del w:id="2875" w:author="AbbVie02no" w:date="2025-05-15T12:36:00Z">
              <w:r w:rsidRPr="00B42BF5">
                <w:rPr>
                  <w:szCs w:val="22"/>
                  <w:lang w:val="nb-NO"/>
                </w:rPr>
                <w:delText>&lt; 0,001</w:delText>
              </w:r>
            </w:del>
          </w:p>
        </w:tc>
      </w:tr>
      <w:tr w:rsidR="004644D4" w14:paraId="188C572A" w14:textId="687C0AAA" w:rsidTr="004120E2">
        <w:tblPrEx>
          <w:tblBorders>
            <w:left w:val="single" w:sz="4" w:space="0" w:color="auto"/>
            <w:right w:val="single" w:sz="4" w:space="0" w:color="auto"/>
            <w:insideH w:val="single" w:sz="4" w:space="0" w:color="auto"/>
            <w:insideV w:val="single" w:sz="4" w:space="0" w:color="auto"/>
          </w:tblBorders>
        </w:tblPrEx>
        <w:trPr>
          <w:del w:id="2876" w:author="AbbVie02no" w:date="2025-05-15T12:36:00Z"/>
        </w:trPr>
        <w:tc>
          <w:tcPr>
            <w:tcW w:w="9018" w:type="dxa"/>
            <w:gridSpan w:val="7"/>
            <w:tcBorders>
              <w:left w:val="nil"/>
              <w:bottom w:val="nil"/>
              <w:right w:val="nil"/>
            </w:tcBorders>
          </w:tcPr>
          <w:p w14:paraId="325F9964" w14:textId="6AD42AD5" w:rsidR="00E24C81" w:rsidRPr="00B3311E" w:rsidRDefault="00E453CD" w:rsidP="00BA47BC">
            <w:pPr>
              <w:pStyle w:val="EMEANormal"/>
              <w:keepNext/>
              <w:rPr>
                <w:del w:id="2877" w:author="AbbVie02no" w:date="2025-05-15T12:36:00Z"/>
                <w:b/>
                <w:szCs w:val="22"/>
                <w:lang w:val="nb-NO"/>
              </w:rPr>
            </w:pPr>
            <w:del w:id="2878" w:author="AbbVie02no" w:date="2025-05-15T12:36:00Z">
              <w:r w:rsidRPr="00672CB0">
                <w:rPr>
                  <w:b/>
                  <w:szCs w:val="22"/>
                  <w:lang w:val="nb-NO"/>
                </w:rPr>
                <w:delText>Tid til behandlingssvikt ved eller etter uke </w:delText>
              </w:r>
              <w:r w:rsidRPr="00B3311E">
                <w:rPr>
                  <w:b/>
                  <w:szCs w:val="22"/>
                  <w:lang w:val="nb-NO"/>
                </w:rPr>
                <w:delText>2 i UV II</w:delText>
              </w:r>
              <w:r w:rsidR="00E9467C">
                <w:rPr>
                  <w:b/>
                  <w:szCs w:val="22"/>
                  <w:lang w:val="nb-NO"/>
                </w:rPr>
                <w:delText>-studien</w:delText>
              </w:r>
            </w:del>
          </w:p>
        </w:tc>
      </w:tr>
      <w:tr w:rsidR="004644D4" w14:paraId="61ADE29D" w14:textId="123D9E8F" w:rsidTr="004120E2">
        <w:tblPrEx>
          <w:tblBorders>
            <w:left w:val="single" w:sz="4" w:space="0" w:color="auto"/>
            <w:right w:val="single" w:sz="4" w:space="0" w:color="auto"/>
            <w:insideH w:val="single" w:sz="4" w:space="0" w:color="auto"/>
            <w:insideV w:val="single" w:sz="4" w:space="0" w:color="auto"/>
          </w:tblBorders>
        </w:tblPrEx>
        <w:trPr>
          <w:del w:id="2879" w:author="AbbVie02no" w:date="2025-05-15T12:36:00Z"/>
        </w:trPr>
        <w:tc>
          <w:tcPr>
            <w:tcW w:w="2988" w:type="dxa"/>
            <w:gridSpan w:val="2"/>
            <w:tcBorders>
              <w:top w:val="nil"/>
              <w:left w:val="nil"/>
              <w:bottom w:val="nil"/>
              <w:right w:val="nil"/>
            </w:tcBorders>
          </w:tcPr>
          <w:p w14:paraId="5AF8A4D2" w14:textId="5F61F2E9" w:rsidR="00E24C81" w:rsidRPr="00B42BF5" w:rsidRDefault="00E453CD" w:rsidP="00E24C81">
            <w:pPr>
              <w:pStyle w:val="EMEANormal"/>
              <w:rPr>
                <w:del w:id="2880" w:author="AbbVie02no" w:date="2025-05-15T12:36:00Z"/>
                <w:szCs w:val="22"/>
                <w:lang w:val="nb-NO"/>
              </w:rPr>
            </w:pPr>
            <w:del w:id="2881" w:author="AbbVie02no" w:date="2025-05-15T12:36:00Z">
              <w:r w:rsidRPr="00B42BF5">
                <w:rPr>
                  <w:szCs w:val="22"/>
                  <w:lang w:val="nb-NO"/>
                </w:rPr>
                <w:delText>Primæranalyse (ITT)</w:delText>
              </w:r>
            </w:del>
          </w:p>
        </w:tc>
        <w:tc>
          <w:tcPr>
            <w:tcW w:w="1170" w:type="dxa"/>
            <w:tcBorders>
              <w:top w:val="nil"/>
              <w:left w:val="nil"/>
              <w:bottom w:val="nil"/>
              <w:right w:val="nil"/>
            </w:tcBorders>
          </w:tcPr>
          <w:p w14:paraId="0FD7FFD5" w14:textId="4BB0BE98" w:rsidR="00E24C81" w:rsidRPr="00B42BF5" w:rsidRDefault="00E24C81" w:rsidP="004120E2">
            <w:pPr>
              <w:pStyle w:val="EMEANormal"/>
              <w:rPr>
                <w:del w:id="2882" w:author="AbbVie02no" w:date="2025-05-15T12:36:00Z"/>
                <w:szCs w:val="22"/>
                <w:lang w:val="nb-NO"/>
              </w:rPr>
            </w:pPr>
          </w:p>
        </w:tc>
        <w:tc>
          <w:tcPr>
            <w:tcW w:w="1890" w:type="dxa"/>
            <w:tcBorders>
              <w:top w:val="nil"/>
              <w:left w:val="nil"/>
              <w:bottom w:val="nil"/>
              <w:right w:val="nil"/>
            </w:tcBorders>
          </w:tcPr>
          <w:p w14:paraId="6C7E454D" w14:textId="568CA0EA" w:rsidR="00E24C81" w:rsidRPr="00B42BF5" w:rsidRDefault="00E24C81" w:rsidP="004120E2">
            <w:pPr>
              <w:pStyle w:val="EMEANormal"/>
              <w:rPr>
                <w:del w:id="2883" w:author="AbbVie02no" w:date="2025-05-15T12:36:00Z"/>
                <w:szCs w:val="22"/>
                <w:lang w:val="nb-NO"/>
              </w:rPr>
            </w:pPr>
          </w:p>
        </w:tc>
        <w:tc>
          <w:tcPr>
            <w:tcW w:w="720" w:type="dxa"/>
            <w:tcBorders>
              <w:top w:val="nil"/>
              <w:left w:val="nil"/>
              <w:bottom w:val="nil"/>
              <w:right w:val="nil"/>
            </w:tcBorders>
          </w:tcPr>
          <w:p w14:paraId="43357A48" w14:textId="6C0606B9" w:rsidR="00E24C81" w:rsidRPr="00B42BF5" w:rsidRDefault="00E24C81" w:rsidP="004120E2">
            <w:pPr>
              <w:pStyle w:val="EMEANormal"/>
              <w:rPr>
                <w:del w:id="2884" w:author="AbbVie02no" w:date="2025-05-15T12:36:00Z"/>
                <w:szCs w:val="22"/>
                <w:lang w:val="nb-NO"/>
              </w:rPr>
            </w:pPr>
          </w:p>
        </w:tc>
        <w:tc>
          <w:tcPr>
            <w:tcW w:w="1170" w:type="dxa"/>
            <w:tcBorders>
              <w:top w:val="nil"/>
              <w:left w:val="nil"/>
              <w:bottom w:val="nil"/>
              <w:right w:val="nil"/>
            </w:tcBorders>
          </w:tcPr>
          <w:p w14:paraId="75A0F7CA" w14:textId="3E3CDF9E" w:rsidR="00E24C81" w:rsidRPr="00B42BF5" w:rsidRDefault="00E24C81" w:rsidP="004120E2">
            <w:pPr>
              <w:pStyle w:val="EMEANormal"/>
              <w:rPr>
                <w:del w:id="2885" w:author="AbbVie02no" w:date="2025-05-15T12:36:00Z"/>
                <w:szCs w:val="22"/>
                <w:lang w:val="nb-NO"/>
              </w:rPr>
            </w:pPr>
          </w:p>
        </w:tc>
        <w:tc>
          <w:tcPr>
            <w:tcW w:w="1080" w:type="dxa"/>
            <w:tcBorders>
              <w:top w:val="nil"/>
              <w:left w:val="nil"/>
              <w:bottom w:val="nil"/>
              <w:right w:val="nil"/>
            </w:tcBorders>
          </w:tcPr>
          <w:p w14:paraId="3B4F0635" w14:textId="405B8657" w:rsidR="00E24C81" w:rsidRPr="00B42BF5" w:rsidRDefault="00E24C81" w:rsidP="004120E2">
            <w:pPr>
              <w:pStyle w:val="EMEANormal"/>
              <w:rPr>
                <w:del w:id="2886" w:author="AbbVie02no" w:date="2025-05-15T12:36:00Z"/>
                <w:szCs w:val="22"/>
                <w:lang w:val="nb-NO"/>
              </w:rPr>
            </w:pPr>
          </w:p>
        </w:tc>
      </w:tr>
      <w:tr w:rsidR="004644D4" w14:paraId="1B1B612C" w14:textId="7DFB850D" w:rsidTr="004120E2">
        <w:tblPrEx>
          <w:tblBorders>
            <w:left w:val="single" w:sz="4" w:space="0" w:color="auto"/>
            <w:right w:val="single" w:sz="4" w:space="0" w:color="auto"/>
            <w:insideH w:val="single" w:sz="4" w:space="0" w:color="auto"/>
            <w:insideV w:val="single" w:sz="4" w:space="0" w:color="auto"/>
          </w:tblBorders>
        </w:tblPrEx>
        <w:trPr>
          <w:del w:id="2887" w:author="AbbVie02no" w:date="2025-05-15T12:36:00Z"/>
        </w:trPr>
        <w:tc>
          <w:tcPr>
            <w:tcW w:w="2268" w:type="dxa"/>
            <w:tcBorders>
              <w:top w:val="nil"/>
              <w:left w:val="nil"/>
              <w:bottom w:val="nil"/>
              <w:right w:val="nil"/>
            </w:tcBorders>
          </w:tcPr>
          <w:p w14:paraId="66DB8630" w14:textId="3CBD4C40" w:rsidR="00E24C81" w:rsidRPr="00B42BF5" w:rsidRDefault="00E453CD" w:rsidP="004120E2">
            <w:pPr>
              <w:pStyle w:val="EMEANormal"/>
              <w:rPr>
                <w:del w:id="2888" w:author="AbbVie02no" w:date="2025-05-15T12:36:00Z"/>
                <w:szCs w:val="22"/>
                <w:lang w:val="nb-NO"/>
              </w:rPr>
            </w:pPr>
            <w:del w:id="2889" w:author="AbbVie02no" w:date="2025-05-15T12:36:00Z">
              <w:r w:rsidRPr="00B42BF5">
                <w:rPr>
                  <w:szCs w:val="22"/>
                  <w:lang w:val="nb-NO"/>
                </w:rPr>
                <w:tab/>
                <w:delText>Placebo</w:delText>
              </w:r>
            </w:del>
          </w:p>
        </w:tc>
        <w:tc>
          <w:tcPr>
            <w:tcW w:w="720" w:type="dxa"/>
            <w:tcBorders>
              <w:top w:val="nil"/>
              <w:left w:val="nil"/>
              <w:bottom w:val="nil"/>
              <w:right w:val="nil"/>
            </w:tcBorders>
          </w:tcPr>
          <w:p w14:paraId="0EB7C186" w14:textId="69502457" w:rsidR="00E24C81" w:rsidRPr="00B42BF5" w:rsidRDefault="00E453CD" w:rsidP="004120E2">
            <w:pPr>
              <w:pStyle w:val="EMEANormal"/>
              <w:rPr>
                <w:del w:id="2890" w:author="AbbVie02no" w:date="2025-05-15T12:36:00Z"/>
                <w:szCs w:val="22"/>
                <w:lang w:val="nb-NO"/>
              </w:rPr>
            </w:pPr>
            <w:del w:id="2891" w:author="AbbVie02no" w:date="2025-05-15T12:36:00Z">
              <w:r w:rsidRPr="00B42BF5">
                <w:rPr>
                  <w:szCs w:val="22"/>
                  <w:lang w:val="nb-NO"/>
                </w:rPr>
                <w:delText>111</w:delText>
              </w:r>
            </w:del>
          </w:p>
        </w:tc>
        <w:tc>
          <w:tcPr>
            <w:tcW w:w="1170" w:type="dxa"/>
            <w:tcBorders>
              <w:top w:val="nil"/>
              <w:left w:val="nil"/>
              <w:bottom w:val="nil"/>
              <w:right w:val="nil"/>
            </w:tcBorders>
          </w:tcPr>
          <w:p w14:paraId="3A87DC3D" w14:textId="23967F4D" w:rsidR="00E24C81" w:rsidRPr="00B42BF5" w:rsidRDefault="00E453CD" w:rsidP="004120E2">
            <w:pPr>
              <w:pStyle w:val="EMEANormal"/>
              <w:rPr>
                <w:del w:id="2892" w:author="AbbVie02no" w:date="2025-05-15T12:36:00Z"/>
                <w:szCs w:val="22"/>
                <w:lang w:val="nb-NO"/>
              </w:rPr>
            </w:pPr>
            <w:del w:id="2893" w:author="AbbVie02no" w:date="2025-05-15T12:36:00Z">
              <w:r w:rsidRPr="00B42BF5">
                <w:rPr>
                  <w:szCs w:val="22"/>
                  <w:lang w:val="nb-NO"/>
                </w:rPr>
                <w:delText>61 (55,0)</w:delText>
              </w:r>
            </w:del>
          </w:p>
        </w:tc>
        <w:tc>
          <w:tcPr>
            <w:tcW w:w="1890" w:type="dxa"/>
            <w:tcBorders>
              <w:top w:val="nil"/>
              <w:left w:val="nil"/>
              <w:bottom w:val="nil"/>
              <w:right w:val="nil"/>
            </w:tcBorders>
          </w:tcPr>
          <w:p w14:paraId="0918F099" w14:textId="63CF8559" w:rsidR="00E24C81" w:rsidRPr="00B42BF5" w:rsidRDefault="00E453CD" w:rsidP="004120E2">
            <w:pPr>
              <w:pStyle w:val="EMEANormal"/>
              <w:rPr>
                <w:del w:id="2894" w:author="AbbVie02no" w:date="2025-05-15T12:36:00Z"/>
                <w:szCs w:val="22"/>
                <w:lang w:val="nb-NO"/>
              </w:rPr>
            </w:pPr>
            <w:del w:id="2895" w:author="AbbVie02no" w:date="2025-05-15T12:36:00Z">
              <w:r w:rsidRPr="00B42BF5">
                <w:rPr>
                  <w:szCs w:val="22"/>
                  <w:lang w:val="nb-NO"/>
                </w:rPr>
                <w:delText>8</w:delText>
              </w:r>
              <w:r w:rsidR="00465D4D" w:rsidRPr="00B42BF5">
                <w:rPr>
                  <w:szCs w:val="22"/>
                  <w:lang w:val="nb-NO"/>
                </w:rPr>
                <w:delText>,</w:delText>
              </w:r>
              <w:r w:rsidRPr="00B42BF5">
                <w:rPr>
                  <w:szCs w:val="22"/>
                  <w:lang w:val="nb-NO"/>
                </w:rPr>
                <w:delText>3</w:delText>
              </w:r>
            </w:del>
          </w:p>
        </w:tc>
        <w:tc>
          <w:tcPr>
            <w:tcW w:w="720" w:type="dxa"/>
            <w:tcBorders>
              <w:top w:val="nil"/>
              <w:left w:val="nil"/>
              <w:bottom w:val="nil"/>
              <w:right w:val="nil"/>
            </w:tcBorders>
          </w:tcPr>
          <w:p w14:paraId="1CD2C84B" w14:textId="2721AC47" w:rsidR="00E24C81" w:rsidRPr="00B42BF5" w:rsidRDefault="00E453CD" w:rsidP="004120E2">
            <w:pPr>
              <w:pStyle w:val="EMEANormal"/>
              <w:rPr>
                <w:del w:id="2896" w:author="AbbVie02no" w:date="2025-05-15T12:36:00Z"/>
                <w:szCs w:val="22"/>
                <w:lang w:val="nb-NO"/>
              </w:rPr>
            </w:pPr>
            <w:del w:id="2897" w:author="AbbVie02no" w:date="2025-05-15T12:36:00Z">
              <w:r w:rsidRPr="00B42BF5">
                <w:rPr>
                  <w:szCs w:val="22"/>
                  <w:lang w:val="nb-NO"/>
                </w:rPr>
                <w:delText>--</w:delText>
              </w:r>
            </w:del>
          </w:p>
        </w:tc>
        <w:tc>
          <w:tcPr>
            <w:tcW w:w="1170" w:type="dxa"/>
            <w:tcBorders>
              <w:top w:val="nil"/>
              <w:left w:val="nil"/>
              <w:bottom w:val="nil"/>
              <w:right w:val="nil"/>
            </w:tcBorders>
          </w:tcPr>
          <w:p w14:paraId="5D5AAD40" w14:textId="53550AD3" w:rsidR="00E24C81" w:rsidRPr="00B42BF5" w:rsidRDefault="00E453CD" w:rsidP="004120E2">
            <w:pPr>
              <w:pStyle w:val="EMEANormal"/>
              <w:rPr>
                <w:del w:id="2898" w:author="AbbVie02no" w:date="2025-05-15T12:36:00Z"/>
                <w:szCs w:val="22"/>
                <w:lang w:val="nb-NO"/>
              </w:rPr>
            </w:pPr>
            <w:del w:id="2899" w:author="AbbVie02no" w:date="2025-05-15T12:36:00Z">
              <w:r w:rsidRPr="00B42BF5">
                <w:rPr>
                  <w:szCs w:val="22"/>
                  <w:lang w:val="nb-NO"/>
                </w:rPr>
                <w:delText>--</w:delText>
              </w:r>
            </w:del>
          </w:p>
        </w:tc>
        <w:tc>
          <w:tcPr>
            <w:tcW w:w="1080" w:type="dxa"/>
            <w:tcBorders>
              <w:top w:val="nil"/>
              <w:left w:val="nil"/>
              <w:bottom w:val="nil"/>
              <w:right w:val="nil"/>
            </w:tcBorders>
          </w:tcPr>
          <w:p w14:paraId="7AB55F71" w14:textId="3FB42BA7" w:rsidR="00E24C81" w:rsidRPr="00B42BF5" w:rsidRDefault="00E453CD" w:rsidP="004120E2">
            <w:pPr>
              <w:pStyle w:val="EMEANormal"/>
              <w:rPr>
                <w:del w:id="2900" w:author="AbbVie02no" w:date="2025-05-15T12:36:00Z"/>
                <w:szCs w:val="22"/>
                <w:lang w:val="nb-NO"/>
              </w:rPr>
            </w:pPr>
            <w:del w:id="2901" w:author="AbbVie02no" w:date="2025-05-15T12:36:00Z">
              <w:r w:rsidRPr="00B42BF5">
                <w:rPr>
                  <w:szCs w:val="22"/>
                  <w:lang w:val="nb-NO"/>
                </w:rPr>
                <w:delText>--</w:delText>
              </w:r>
            </w:del>
          </w:p>
        </w:tc>
      </w:tr>
      <w:tr w:rsidR="004644D4" w14:paraId="52A07A65" w14:textId="3DE62835" w:rsidTr="004120E2">
        <w:tblPrEx>
          <w:tblBorders>
            <w:left w:val="single" w:sz="4" w:space="0" w:color="auto"/>
            <w:right w:val="single" w:sz="4" w:space="0" w:color="auto"/>
            <w:insideH w:val="single" w:sz="4" w:space="0" w:color="auto"/>
            <w:insideV w:val="single" w:sz="4" w:space="0" w:color="auto"/>
          </w:tblBorders>
        </w:tblPrEx>
        <w:trPr>
          <w:del w:id="2902" w:author="AbbVie02no" w:date="2025-05-15T12:36:00Z"/>
        </w:trPr>
        <w:tc>
          <w:tcPr>
            <w:tcW w:w="2268" w:type="dxa"/>
            <w:tcBorders>
              <w:top w:val="nil"/>
              <w:left w:val="nil"/>
              <w:bottom w:val="single" w:sz="4" w:space="0" w:color="auto"/>
              <w:right w:val="nil"/>
            </w:tcBorders>
          </w:tcPr>
          <w:p w14:paraId="046B96DA" w14:textId="7B7F0C23" w:rsidR="00E24C81" w:rsidRPr="00B42BF5" w:rsidRDefault="00E453CD" w:rsidP="004120E2">
            <w:pPr>
              <w:pStyle w:val="EMEANormal"/>
              <w:rPr>
                <w:del w:id="2903" w:author="AbbVie02no" w:date="2025-05-15T12:36:00Z"/>
                <w:szCs w:val="22"/>
                <w:lang w:val="nb-NO"/>
              </w:rPr>
            </w:pPr>
            <w:del w:id="2904" w:author="AbbVie02no" w:date="2025-05-15T12:36:00Z">
              <w:r w:rsidRPr="00B42BF5">
                <w:rPr>
                  <w:szCs w:val="22"/>
                  <w:lang w:val="nb-NO"/>
                </w:rPr>
                <w:tab/>
                <w:delText>Adalimumab</w:delText>
              </w:r>
            </w:del>
          </w:p>
        </w:tc>
        <w:tc>
          <w:tcPr>
            <w:tcW w:w="720" w:type="dxa"/>
            <w:tcBorders>
              <w:top w:val="nil"/>
              <w:left w:val="nil"/>
              <w:bottom w:val="single" w:sz="4" w:space="0" w:color="auto"/>
              <w:right w:val="nil"/>
            </w:tcBorders>
          </w:tcPr>
          <w:p w14:paraId="2E86CFB6" w14:textId="5D95500C" w:rsidR="00E24C81" w:rsidRPr="00B42BF5" w:rsidRDefault="00E453CD" w:rsidP="004120E2">
            <w:pPr>
              <w:pStyle w:val="EMEANormal"/>
              <w:rPr>
                <w:del w:id="2905" w:author="AbbVie02no" w:date="2025-05-15T12:36:00Z"/>
                <w:szCs w:val="22"/>
                <w:lang w:val="nb-NO"/>
              </w:rPr>
            </w:pPr>
            <w:del w:id="2906" w:author="AbbVie02no" w:date="2025-05-15T12:36:00Z">
              <w:r w:rsidRPr="00B42BF5">
                <w:rPr>
                  <w:szCs w:val="22"/>
                  <w:lang w:val="nb-NO"/>
                </w:rPr>
                <w:delText>115</w:delText>
              </w:r>
            </w:del>
          </w:p>
        </w:tc>
        <w:tc>
          <w:tcPr>
            <w:tcW w:w="1170" w:type="dxa"/>
            <w:tcBorders>
              <w:top w:val="nil"/>
              <w:left w:val="nil"/>
              <w:bottom w:val="single" w:sz="4" w:space="0" w:color="auto"/>
              <w:right w:val="nil"/>
            </w:tcBorders>
          </w:tcPr>
          <w:p w14:paraId="04DB3A89" w14:textId="693FD7EA" w:rsidR="00E24C81" w:rsidRPr="00B42BF5" w:rsidRDefault="00E453CD" w:rsidP="004120E2">
            <w:pPr>
              <w:pStyle w:val="EMEANormal"/>
              <w:rPr>
                <w:del w:id="2907" w:author="AbbVie02no" w:date="2025-05-15T12:36:00Z"/>
                <w:szCs w:val="22"/>
                <w:lang w:val="nb-NO"/>
              </w:rPr>
            </w:pPr>
            <w:del w:id="2908" w:author="AbbVie02no" w:date="2025-05-15T12:36:00Z">
              <w:r w:rsidRPr="00B42BF5">
                <w:rPr>
                  <w:szCs w:val="22"/>
                  <w:lang w:val="nb-NO"/>
                </w:rPr>
                <w:delText>45 (39,1)</w:delText>
              </w:r>
            </w:del>
          </w:p>
        </w:tc>
        <w:tc>
          <w:tcPr>
            <w:tcW w:w="1890" w:type="dxa"/>
            <w:tcBorders>
              <w:top w:val="nil"/>
              <w:left w:val="nil"/>
              <w:bottom w:val="single" w:sz="4" w:space="0" w:color="auto"/>
              <w:right w:val="nil"/>
            </w:tcBorders>
          </w:tcPr>
          <w:p w14:paraId="69613CD5" w14:textId="4194D226" w:rsidR="00E24C81" w:rsidRPr="00B42BF5" w:rsidRDefault="00E453CD" w:rsidP="004120E2">
            <w:pPr>
              <w:pStyle w:val="EMEANormal"/>
              <w:rPr>
                <w:del w:id="2909" w:author="AbbVie02no" w:date="2025-05-15T12:36:00Z"/>
                <w:szCs w:val="22"/>
                <w:lang w:val="nb-NO"/>
              </w:rPr>
            </w:pPr>
            <w:del w:id="2910" w:author="AbbVie02no" w:date="2025-05-15T12:36:00Z">
              <w:r w:rsidRPr="00B42BF5">
                <w:rPr>
                  <w:szCs w:val="22"/>
                  <w:lang w:val="nb-NO"/>
                </w:rPr>
                <w:delText>NE</w:delText>
              </w:r>
              <w:r w:rsidRPr="00B42BF5">
                <w:rPr>
                  <w:szCs w:val="22"/>
                  <w:vertAlign w:val="superscript"/>
                  <w:lang w:val="nb-NO"/>
                </w:rPr>
                <w:delText>c</w:delText>
              </w:r>
            </w:del>
          </w:p>
        </w:tc>
        <w:tc>
          <w:tcPr>
            <w:tcW w:w="720" w:type="dxa"/>
            <w:tcBorders>
              <w:top w:val="nil"/>
              <w:left w:val="nil"/>
              <w:bottom w:val="single" w:sz="4" w:space="0" w:color="auto"/>
              <w:right w:val="nil"/>
            </w:tcBorders>
          </w:tcPr>
          <w:p w14:paraId="5267B7E1" w14:textId="53ED73BF" w:rsidR="00E24C81" w:rsidRPr="00B42BF5" w:rsidRDefault="00E453CD" w:rsidP="004120E2">
            <w:pPr>
              <w:pStyle w:val="EMEANormal"/>
              <w:rPr>
                <w:del w:id="2911" w:author="AbbVie02no" w:date="2025-05-15T12:36:00Z"/>
                <w:szCs w:val="22"/>
                <w:lang w:val="nb-NO"/>
              </w:rPr>
            </w:pPr>
            <w:del w:id="2912" w:author="AbbVie02no" w:date="2025-05-15T12:36:00Z">
              <w:r w:rsidRPr="00B42BF5">
                <w:rPr>
                  <w:szCs w:val="22"/>
                  <w:lang w:val="nb-NO"/>
                </w:rPr>
                <w:delText>0,57</w:delText>
              </w:r>
            </w:del>
          </w:p>
        </w:tc>
        <w:tc>
          <w:tcPr>
            <w:tcW w:w="1170" w:type="dxa"/>
            <w:tcBorders>
              <w:top w:val="nil"/>
              <w:left w:val="nil"/>
              <w:bottom w:val="single" w:sz="4" w:space="0" w:color="auto"/>
              <w:right w:val="nil"/>
            </w:tcBorders>
          </w:tcPr>
          <w:p w14:paraId="70062048" w14:textId="217DF401" w:rsidR="00E24C81" w:rsidRPr="00B42BF5" w:rsidRDefault="00E453CD" w:rsidP="004120E2">
            <w:pPr>
              <w:pStyle w:val="EMEANormal"/>
              <w:rPr>
                <w:del w:id="2913" w:author="AbbVie02no" w:date="2025-05-15T12:36:00Z"/>
                <w:szCs w:val="22"/>
                <w:lang w:val="nb-NO"/>
              </w:rPr>
            </w:pPr>
            <w:del w:id="2914" w:author="AbbVie02no" w:date="2025-05-15T12:36:00Z">
              <w:r w:rsidRPr="00B42BF5">
                <w:rPr>
                  <w:szCs w:val="22"/>
                  <w:lang w:val="nb-NO"/>
                </w:rPr>
                <w:delText>0,39, 0,84</w:delText>
              </w:r>
            </w:del>
          </w:p>
        </w:tc>
        <w:tc>
          <w:tcPr>
            <w:tcW w:w="1080" w:type="dxa"/>
            <w:tcBorders>
              <w:top w:val="nil"/>
              <w:left w:val="nil"/>
              <w:bottom w:val="single" w:sz="4" w:space="0" w:color="auto"/>
              <w:right w:val="nil"/>
            </w:tcBorders>
          </w:tcPr>
          <w:p w14:paraId="3611596D" w14:textId="6AE3BD68" w:rsidR="00E24C81" w:rsidRPr="00B42BF5" w:rsidRDefault="00E453CD" w:rsidP="004120E2">
            <w:pPr>
              <w:pStyle w:val="EMEANormal"/>
              <w:rPr>
                <w:del w:id="2915" w:author="AbbVie02no" w:date="2025-05-15T12:36:00Z"/>
                <w:szCs w:val="22"/>
                <w:lang w:val="nb-NO"/>
              </w:rPr>
            </w:pPr>
            <w:del w:id="2916" w:author="AbbVie02no" w:date="2025-05-15T12:36:00Z">
              <w:r w:rsidRPr="00B42BF5">
                <w:rPr>
                  <w:szCs w:val="22"/>
                  <w:lang w:val="nb-NO"/>
                </w:rPr>
                <w:delText>0,004</w:delText>
              </w:r>
            </w:del>
          </w:p>
        </w:tc>
      </w:tr>
    </w:tbl>
    <w:p w14:paraId="71845FB0" w14:textId="6E71AE75" w:rsidR="009A614B" w:rsidRDefault="00E453CD" w:rsidP="00B3311E">
      <w:pPr>
        <w:tabs>
          <w:tab w:val="left" w:pos="3090"/>
        </w:tabs>
        <w:rPr>
          <w:del w:id="2917" w:author="AbbVie02no" w:date="2025-05-15T12:36:00Z"/>
        </w:rPr>
      </w:pPr>
      <w:del w:id="2918" w:author="AbbVie02no" w:date="2025-05-15T12:36:00Z">
        <w:r>
          <w:rPr>
            <w:sz w:val="22"/>
          </w:rPr>
          <w:delText xml:space="preserve">Merk: Behandlingssvikt ved eller etter uke 6 (UV I-studien), eller ved eller etter uke 2 (UV II-studien), ble regnet som en hendelse. Avbrudd på grunn av andre årsaker enn behandlingssvikt, ble </w:delText>
        </w:r>
        <w:r w:rsidR="003970F2">
          <w:rPr>
            <w:sz w:val="22"/>
          </w:rPr>
          <w:delText>korrigert</w:delText>
        </w:r>
        <w:r>
          <w:rPr>
            <w:sz w:val="22"/>
          </w:rPr>
          <w:delText xml:space="preserve"> på tidspunktet for avbruddet.</w:delText>
        </w:r>
      </w:del>
    </w:p>
    <w:p w14:paraId="7E57CB76" w14:textId="2DBD637B" w:rsidR="00E9467C" w:rsidRPr="00B3311E" w:rsidRDefault="00E453CD" w:rsidP="00E9467C">
      <w:pPr>
        <w:pStyle w:val="EMEANormal"/>
        <w:numPr>
          <w:ilvl w:val="0"/>
          <w:numId w:val="107"/>
        </w:numPr>
        <w:rPr>
          <w:del w:id="2919" w:author="AbbVie02no" w:date="2025-05-15T12:36:00Z"/>
          <w:szCs w:val="22"/>
          <w:lang w:val="nb-NO"/>
        </w:rPr>
      </w:pPr>
      <w:del w:id="2920" w:author="AbbVie02no" w:date="2025-05-15T12:36:00Z">
        <w:r w:rsidRPr="00B3311E">
          <w:rPr>
            <w:szCs w:val="22"/>
            <w:lang w:val="nb-NO"/>
          </w:rPr>
          <w:delText>HR for adalimumab vs. placebo fra proporsjonal hazard regresjon med behandling som faktor.</w:delText>
        </w:r>
      </w:del>
    </w:p>
    <w:p w14:paraId="092556B2" w14:textId="7062AAE9" w:rsidR="00E9467C" w:rsidRPr="00C602BE" w:rsidRDefault="00E453CD" w:rsidP="00B3311E">
      <w:pPr>
        <w:pStyle w:val="EMEANormal"/>
        <w:numPr>
          <w:ilvl w:val="0"/>
          <w:numId w:val="107"/>
        </w:numPr>
        <w:rPr>
          <w:del w:id="2921" w:author="AbbVie02no" w:date="2025-05-15T12:36:00Z"/>
          <w:szCs w:val="22"/>
          <w:lang w:val="nb-NO"/>
        </w:rPr>
      </w:pPr>
      <w:del w:id="2922" w:author="AbbVie02no" w:date="2025-05-15T12:36:00Z">
        <w:r w:rsidRPr="00B3311E">
          <w:rPr>
            <w:szCs w:val="22"/>
            <w:lang w:val="nb-NO"/>
          </w:rPr>
          <w:delText xml:space="preserve">2-sidet </w:delText>
        </w:r>
        <w:r w:rsidRPr="00B3311E">
          <w:rPr>
            <w:i/>
            <w:szCs w:val="22"/>
            <w:lang w:val="nb-NO"/>
          </w:rPr>
          <w:delText>P</w:delText>
        </w:r>
        <w:r w:rsidR="00E82EFD" w:rsidRPr="00B3311E">
          <w:rPr>
            <w:szCs w:val="22"/>
            <w:lang w:val="nb-NO"/>
          </w:rPr>
          <w:delText>-verdi ved</w:delText>
        </w:r>
        <w:r w:rsidRPr="00B3311E">
          <w:rPr>
            <w:szCs w:val="22"/>
            <w:lang w:val="nb-NO"/>
          </w:rPr>
          <w:delText xml:space="preserve"> log rank test.</w:delText>
        </w:r>
      </w:del>
    </w:p>
    <w:p w14:paraId="787BA2A2" w14:textId="017C077B" w:rsidR="00E9467C" w:rsidRPr="00C602BE" w:rsidRDefault="00E453CD" w:rsidP="00B3311E">
      <w:pPr>
        <w:pStyle w:val="EMEANormal"/>
        <w:numPr>
          <w:ilvl w:val="0"/>
          <w:numId w:val="107"/>
        </w:numPr>
        <w:rPr>
          <w:del w:id="2923" w:author="AbbVie02no" w:date="2025-05-15T12:36:00Z"/>
          <w:szCs w:val="22"/>
          <w:lang w:val="nb-NO"/>
        </w:rPr>
      </w:pPr>
      <w:del w:id="2924" w:author="AbbVie02no" w:date="2025-05-15T12:36:00Z">
        <w:r w:rsidRPr="00B3311E">
          <w:rPr>
            <w:szCs w:val="22"/>
            <w:lang w:val="nb-NO"/>
          </w:rPr>
          <w:delText>NE = ikke estimerbar. Færre enn halvparten av risikopasientene hadde en hendelse.</w:delText>
        </w:r>
      </w:del>
    </w:p>
    <w:p w14:paraId="3A1B14FE" w14:textId="0E379F9A" w:rsidR="00E9467C" w:rsidRPr="00C602BE" w:rsidRDefault="00E9467C" w:rsidP="00B3311E">
      <w:pPr>
        <w:pStyle w:val="EMEANormal"/>
        <w:rPr>
          <w:del w:id="2925" w:author="AbbVie02no" w:date="2025-05-15T12:36:00Z"/>
          <w:szCs w:val="22"/>
          <w:lang w:val="nb-NO"/>
        </w:rPr>
      </w:pPr>
    </w:p>
    <w:p w14:paraId="3C011CBB" w14:textId="2394649A" w:rsidR="00E9467C" w:rsidRPr="00C602BE" w:rsidRDefault="00E453CD" w:rsidP="00BA47BC">
      <w:pPr>
        <w:pStyle w:val="EMEANormal"/>
        <w:jc w:val="center"/>
        <w:rPr>
          <w:del w:id="2926" w:author="AbbVie02no" w:date="2025-05-15T12:36:00Z"/>
          <w:b/>
          <w:szCs w:val="22"/>
          <w:lang w:val="nb-NO"/>
        </w:rPr>
      </w:pPr>
      <w:del w:id="2927" w:author="AbbVie02no" w:date="2025-05-15T12:36:00Z">
        <w:r>
          <w:rPr>
            <w:b/>
            <w:szCs w:val="22"/>
            <w:lang w:val="nb-NO"/>
          </w:rPr>
          <w:delText>Figur </w:delText>
        </w:r>
        <w:r w:rsidR="005B5822">
          <w:rPr>
            <w:b/>
            <w:szCs w:val="22"/>
            <w:lang w:val="nb-NO"/>
          </w:rPr>
          <w:delText>1</w:delText>
        </w:r>
        <w:r>
          <w:rPr>
            <w:b/>
            <w:szCs w:val="22"/>
            <w:lang w:val="nb-NO"/>
          </w:rPr>
          <w:delText>: Kaplan-Meier-kurve som viser tid til behandlingssvikt ved eller etter uke 6 (UV I-studien) eller uke 2 (UV II-studien)</w:delText>
        </w:r>
      </w:del>
    </w:p>
    <w:tbl>
      <w:tblPr>
        <w:tblW w:w="9288" w:type="dxa"/>
        <w:tblLayout w:type="fixed"/>
        <w:tblLook w:val="04A0" w:firstRow="1" w:lastRow="0" w:firstColumn="1" w:lastColumn="0" w:noHBand="0" w:noVBand="1"/>
      </w:tblPr>
      <w:tblGrid>
        <w:gridCol w:w="482"/>
        <w:gridCol w:w="3496"/>
        <w:gridCol w:w="1170"/>
        <w:gridCol w:w="1350"/>
        <w:gridCol w:w="900"/>
        <w:gridCol w:w="1890"/>
      </w:tblGrid>
      <w:tr w:rsidR="004644D4" w14:paraId="4EF81B20" w14:textId="2CAF36F0" w:rsidTr="004120E2">
        <w:trPr>
          <w:cantSplit/>
          <w:trHeight w:val="3806"/>
          <w:del w:id="2928" w:author="AbbVie02no" w:date="2025-05-15T12:36:00Z"/>
        </w:trPr>
        <w:tc>
          <w:tcPr>
            <w:tcW w:w="482" w:type="dxa"/>
            <w:textDirection w:val="btLr"/>
            <w:vAlign w:val="bottom"/>
          </w:tcPr>
          <w:p w14:paraId="11B7FE37" w14:textId="66D018C5" w:rsidR="00E9467C" w:rsidRPr="00B42BF5" w:rsidRDefault="00E453CD" w:rsidP="00BA47BC">
            <w:pPr>
              <w:pStyle w:val="EMEANormal"/>
              <w:ind w:left="113" w:right="113"/>
              <w:jc w:val="center"/>
              <w:rPr>
                <w:del w:id="2929" w:author="AbbVie02no" w:date="2025-05-15T12:36:00Z"/>
                <w:b/>
                <w:szCs w:val="22"/>
                <w:lang w:val="nb-NO"/>
              </w:rPr>
            </w:pPr>
            <w:del w:id="2930" w:author="AbbVie02no" w:date="2025-05-15T12:36:00Z">
              <w:r w:rsidRPr="00B42BF5">
                <w:rPr>
                  <w:b/>
                  <w:szCs w:val="22"/>
                  <w:lang w:val="nb-NO"/>
                </w:rPr>
                <w:delText>BEHANDLINGSSVIKTRATE (%)</w:delText>
              </w:r>
            </w:del>
          </w:p>
        </w:tc>
        <w:tc>
          <w:tcPr>
            <w:tcW w:w="8806" w:type="dxa"/>
            <w:gridSpan w:val="5"/>
            <w:vAlign w:val="bottom"/>
          </w:tcPr>
          <w:p w14:paraId="5AA03402" w14:textId="313A828D" w:rsidR="00E9467C" w:rsidRPr="00B42BF5" w:rsidRDefault="00E453CD" w:rsidP="00BA47BC">
            <w:pPr>
              <w:pStyle w:val="EMEANormal"/>
              <w:rPr>
                <w:del w:id="2931" w:author="AbbVie02no" w:date="2025-05-15T12:36:00Z"/>
                <w:b/>
                <w:szCs w:val="22"/>
                <w:lang w:val="nb-NO"/>
              </w:rPr>
            </w:pPr>
            <w:del w:id="2932" w:author="AbbVie02no" w:date="2025-05-15T12:36:00Z">
              <w:r w:rsidRPr="00F91508">
                <w:rPr>
                  <w:b/>
                  <w:noProof/>
                  <w:szCs w:val="22"/>
                  <w:lang w:val="en-GB" w:eastAsia="en-GB"/>
                </w:rPr>
                <w:drawing>
                  <wp:inline distT="0" distB="0" distL="0" distR="0" wp14:anchorId="332A7DD4" wp14:editId="002A0B75">
                    <wp:extent cx="5486400" cy="2209800"/>
                    <wp:effectExtent l="0" t="0" r="0" b="0"/>
                    <wp:docPr id="71" name="Bilde 7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9"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del>
          </w:p>
        </w:tc>
      </w:tr>
      <w:tr w:rsidR="004644D4" w14:paraId="03AAF53F" w14:textId="0583AB01" w:rsidTr="004120E2">
        <w:trPr>
          <w:del w:id="2933" w:author="AbbVie02no" w:date="2025-05-15T12:36:00Z"/>
        </w:trPr>
        <w:tc>
          <w:tcPr>
            <w:tcW w:w="482" w:type="dxa"/>
          </w:tcPr>
          <w:p w14:paraId="1F3571C5" w14:textId="58DB5540" w:rsidR="00E9467C" w:rsidRPr="00B42BF5" w:rsidRDefault="00E9467C" w:rsidP="00BA47BC">
            <w:pPr>
              <w:pStyle w:val="EMEANormal"/>
              <w:rPr>
                <w:del w:id="2934" w:author="AbbVie02no" w:date="2025-05-15T12:36:00Z"/>
                <w:szCs w:val="22"/>
                <w:lang w:val="nb-NO"/>
              </w:rPr>
            </w:pPr>
          </w:p>
        </w:tc>
        <w:tc>
          <w:tcPr>
            <w:tcW w:w="8806" w:type="dxa"/>
            <w:gridSpan w:val="5"/>
          </w:tcPr>
          <w:p w14:paraId="605A4F8E" w14:textId="28A96490" w:rsidR="00E9467C" w:rsidRPr="00B42BF5" w:rsidRDefault="00E453CD" w:rsidP="00BA47BC">
            <w:pPr>
              <w:pStyle w:val="EMEANormal"/>
              <w:jc w:val="center"/>
              <w:rPr>
                <w:del w:id="2935" w:author="AbbVie02no" w:date="2025-05-15T12:36:00Z"/>
                <w:szCs w:val="22"/>
                <w:lang w:val="nb-NO"/>
              </w:rPr>
            </w:pPr>
            <w:del w:id="2936" w:author="AbbVie02no" w:date="2025-05-15T12:36:00Z">
              <w:r w:rsidRPr="00B42BF5">
                <w:rPr>
                  <w:szCs w:val="22"/>
                  <w:lang w:val="nb-NO"/>
                </w:rPr>
                <w:delText>TID (MÅNEDER)</w:delText>
              </w:r>
            </w:del>
          </w:p>
        </w:tc>
      </w:tr>
      <w:tr w:rsidR="004644D4" w14:paraId="76D319AA" w14:textId="67C798F0" w:rsidTr="004120E2">
        <w:trPr>
          <w:del w:id="2937" w:author="AbbVie02no" w:date="2025-05-15T12:36:00Z"/>
        </w:trPr>
        <w:tc>
          <w:tcPr>
            <w:tcW w:w="482" w:type="dxa"/>
          </w:tcPr>
          <w:p w14:paraId="508F32A0" w14:textId="2743EBCE" w:rsidR="00E9467C" w:rsidRPr="00B42BF5" w:rsidRDefault="00E9467C" w:rsidP="00BA47BC">
            <w:pPr>
              <w:pStyle w:val="EMEANormal"/>
              <w:rPr>
                <w:del w:id="2938" w:author="AbbVie02no" w:date="2025-05-15T12:36:00Z"/>
                <w:szCs w:val="22"/>
                <w:lang w:val="nb-NO"/>
              </w:rPr>
            </w:pPr>
          </w:p>
        </w:tc>
        <w:tc>
          <w:tcPr>
            <w:tcW w:w="3496" w:type="dxa"/>
          </w:tcPr>
          <w:p w14:paraId="2095FB92" w14:textId="350174E4" w:rsidR="00E9467C" w:rsidRPr="00B42BF5" w:rsidRDefault="00E453CD" w:rsidP="00BA47BC">
            <w:pPr>
              <w:pStyle w:val="EMEANormal"/>
              <w:rPr>
                <w:del w:id="2939" w:author="AbbVie02no" w:date="2025-05-15T12:36:00Z"/>
                <w:szCs w:val="22"/>
                <w:lang w:val="nb-NO"/>
              </w:rPr>
            </w:pPr>
            <w:del w:id="2940" w:author="AbbVie02no" w:date="2025-05-15T12:36:00Z">
              <w:r w:rsidRPr="00B42BF5">
                <w:rPr>
                  <w:szCs w:val="22"/>
                  <w:lang w:val="nb-NO"/>
                </w:rPr>
                <w:delText>UV I-studien                    behandling</w:delText>
              </w:r>
            </w:del>
          </w:p>
        </w:tc>
        <w:tc>
          <w:tcPr>
            <w:tcW w:w="1170" w:type="dxa"/>
          </w:tcPr>
          <w:p w14:paraId="34E0C28B" w14:textId="13899DE1" w:rsidR="00E9467C" w:rsidRPr="00B42BF5" w:rsidRDefault="00E453CD" w:rsidP="00BA47BC">
            <w:pPr>
              <w:pStyle w:val="EMEANormal"/>
              <w:jc w:val="right"/>
              <w:rPr>
                <w:del w:id="2941" w:author="AbbVie02no" w:date="2025-05-15T12:36:00Z"/>
                <w:szCs w:val="22"/>
                <w:lang w:val="nb-NO"/>
              </w:rPr>
            </w:pPr>
            <w:del w:id="2942" w:author="AbbVie02no" w:date="2025-05-15T12:36:00Z">
              <w:r w:rsidRPr="00F91508">
                <w:rPr>
                  <w:noProof/>
                  <w:szCs w:val="22"/>
                  <w:lang w:val="en-GB" w:eastAsia="en-GB"/>
                </w:rPr>
                <w:drawing>
                  <wp:inline distT="0" distB="0" distL="0" distR="0" wp14:anchorId="68062805" wp14:editId="4F3A4193">
                    <wp:extent cx="400050" cy="180975"/>
                    <wp:effectExtent l="0" t="0" r="0" b="9525"/>
                    <wp:docPr id="69" name="Bilde 6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0"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del>
          </w:p>
        </w:tc>
        <w:tc>
          <w:tcPr>
            <w:tcW w:w="1350" w:type="dxa"/>
          </w:tcPr>
          <w:p w14:paraId="2D94124F" w14:textId="32DAB57A" w:rsidR="00E9467C" w:rsidRPr="00B42BF5" w:rsidRDefault="00E453CD" w:rsidP="00BA47BC">
            <w:pPr>
              <w:pStyle w:val="EMEANormal"/>
              <w:rPr>
                <w:del w:id="2943" w:author="AbbVie02no" w:date="2025-05-15T12:36:00Z"/>
                <w:szCs w:val="22"/>
                <w:lang w:val="nb-NO"/>
              </w:rPr>
            </w:pPr>
            <w:del w:id="2944" w:author="AbbVie02no" w:date="2025-05-15T12:36:00Z">
              <w:r w:rsidRPr="00B42BF5">
                <w:rPr>
                  <w:szCs w:val="22"/>
                  <w:lang w:val="nb-NO"/>
                </w:rPr>
                <w:delText>placebo</w:delText>
              </w:r>
            </w:del>
          </w:p>
        </w:tc>
        <w:tc>
          <w:tcPr>
            <w:tcW w:w="900" w:type="dxa"/>
          </w:tcPr>
          <w:p w14:paraId="248F22F0" w14:textId="0DB55DBB" w:rsidR="00E9467C" w:rsidRPr="00B42BF5" w:rsidRDefault="00E453CD" w:rsidP="00BA47BC">
            <w:pPr>
              <w:pStyle w:val="EMEANormal"/>
              <w:jc w:val="right"/>
              <w:rPr>
                <w:del w:id="2945" w:author="AbbVie02no" w:date="2025-05-15T12:36:00Z"/>
                <w:szCs w:val="22"/>
                <w:lang w:val="nb-NO"/>
              </w:rPr>
            </w:pPr>
            <w:del w:id="2946" w:author="AbbVie02no" w:date="2025-05-15T12:36:00Z">
              <w:r w:rsidRPr="00F91508">
                <w:rPr>
                  <w:noProof/>
                  <w:szCs w:val="22"/>
                  <w:lang w:val="en-GB" w:eastAsia="en-GB"/>
                </w:rPr>
                <w:drawing>
                  <wp:inline distT="0" distB="0" distL="0" distR="0" wp14:anchorId="08F29300" wp14:editId="5CFE1E5F">
                    <wp:extent cx="561975" cy="180975"/>
                    <wp:effectExtent l="0" t="0" r="9525" b="9525"/>
                    <wp:docPr id="68" name="Bilde 6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1"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tcPr>
          <w:p w14:paraId="223C1A8B" w14:textId="0C710B35" w:rsidR="00E9467C" w:rsidRPr="00B42BF5" w:rsidRDefault="00E453CD" w:rsidP="00BA47BC">
            <w:pPr>
              <w:pStyle w:val="EMEANormal"/>
              <w:rPr>
                <w:del w:id="2947" w:author="AbbVie02no" w:date="2025-05-15T12:36:00Z"/>
                <w:szCs w:val="22"/>
                <w:lang w:val="nb-NO"/>
              </w:rPr>
            </w:pPr>
            <w:del w:id="2948" w:author="AbbVie02no" w:date="2025-05-15T12:36:00Z">
              <w:r w:rsidRPr="00B42BF5">
                <w:rPr>
                  <w:szCs w:val="22"/>
                  <w:lang w:val="nb-NO"/>
                </w:rPr>
                <w:delText>adalimumab</w:delText>
              </w:r>
            </w:del>
          </w:p>
        </w:tc>
      </w:tr>
      <w:tr w:rsidR="004644D4" w14:paraId="22ED0B1B" w14:textId="0B3A4FBC" w:rsidTr="004120E2">
        <w:trPr>
          <w:trHeight w:val="3869"/>
          <w:del w:id="2949" w:author="AbbVie02no" w:date="2025-05-15T12:36:00Z"/>
        </w:trPr>
        <w:tc>
          <w:tcPr>
            <w:tcW w:w="482" w:type="dxa"/>
            <w:textDirection w:val="btLr"/>
            <w:vAlign w:val="bottom"/>
          </w:tcPr>
          <w:p w14:paraId="1B8C806D" w14:textId="31316921" w:rsidR="00E9467C" w:rsidRPr="00B42BF5" w:rsidRDefault="00E453CD" w:rsidP="00B3311E">
            <w:pPr>
              <w:pStyle w:val="EMEANormal"/>
              <w:keepNext/>
              <w:jc w:val="center"/>
              <w:rPr>
                <w:del w:id="2950" w:author="AbbVie02no" w:date="2025-05-15T12:36:00Z"/>
                <w:b/>
                <w:szCs w:val="22"/>
                <w:lang w:val="nb-NO"/>
              </w:rPr>
            </w:pPr>
            <w:del w:id="2951" w:author="AbbVie02no" w:date="2025-05-15T12:36:00Z">
              <w:r w:rsidRPr="00B42BF5">
                <w:rPr>
                  <w:b/>
                  <w:szCs w:val="22"/>
                  <w:lang w:val="nb-NO"/>
                </w:rPr>
                <w:lastRenderedPageBreak/>
                <w:delText>BEHANDLINGSSVIKTRATE (%)</w:delText>
              </w:r>
            </w:del>
          </w:p>
        </w:tc>
        <w:tc>
          <w:tcPr>
            <w:tcW w:w="8806" w:type="dxa"/>
            <w:gridSpan w:val="5"/>
            <w:vAlign w:val="bottom"/>
          </w:tcPr>
          <w:p w14:paraId="78279E33" w14:textId="73F14D95" w:rsidR="00E9467C" w:rsidRPr="00B42BF5" w:rsidRDefault="00E453CD" w:rsidP="00B3311E">
            <w:pPr>
              <w:pStyle w:val="EMEANormal"/>
              <w:keepNext/>
              <w:rPr>
                <w:del w:id="2952" w:author="AbbVie02no" w:date="2025-05-15T12:36:00Z"/>
                <w:b/>
                <w:szCs w:val="22"/>
                <w:lang w:val="nb-NO"/>
              </w:rPr>
            </w:pPr>
            <w:del w:id="2953" w:author="AbbVie02no" w:date="2025-05-15T12:36:00Z">
              <w:r w:rsidRPr="00F91508">
                <w:rPr>
                  <w:b/>
                  <w:noProof/>
                  <w:szCs w:val="22"/>
                  <w:lang w:val="en-GB" w:eastAsia="en-GB"/>
                </w:rPr>
                <w:drawing>
                  <wp:inline distT="0" distB="0" distL="0" distR="0" wp14:anchorId="1BE00545" wp14:editId="7C36EAF9">
                    <wp:extent cx="5486400" cy="2181225"/>
                    <wp:effectExtent l="0" t="0" r="0" b="9525"/>
                    <wp:docPr id="66" name="Bilde 6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2"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del>
          </w:p>
        </w:tc>
      </w:tr>
      <w:tr w:rsidR="004644D4" w14:paraId="61CF1A6A" w14:textId="68201E12" w:rsidTr="004120E2">
        <w:trPr>
          <w:del w:id="2954" w:author="AbbVie02no" w:date="2025-05-15T12:36:00Z"/>
        </w:trPr>
        <w:tc>
          <w:tcPr>
            <w:tcW w:w="482" w:type="dxa"/>
          </w:tcPr>
          <w:p w14:paraId="7ACFD8F5" w14:textId="5711837C" w:rsidR="00E9467C" w:rsidRPr="00B42BF5" w:rsidRDefault="00E9467C" w:rsidP="00B3311E">
            <w:pPr>
              <w:pStyle w:val="EMEANormal"/>
              <w:keepNext/>
              <w:rPr>
                <w:del w:id="2955" w:author="AbbVie02no" w:date="2025-05-15T12:36:00Z"/>
                <w:szCs w:val="22"/>
                <w:lang w:val="nb-NO"/>
              </w:rPr>
            </w:pPr>
          </w:p>
        </w:tc>
        <w:tc>
          <w:tcPr>
            <w:tcW w:w="8806" w:type="dxa"/>
            <w:gridSpan w:val="5"/>
          </w:tcPr>
          <w:p w14:paraId="12C31A28" w14:textId="3780ED65" w:rsidR="00E9467C" w:rsidRPr="00B42BF5" w:rsidRDefault="00E453CD" w:rsidP="00B3311E">
            <w:pPr>
              <w:pStyle w:val="EMEANormal"/>
              <w:keepNext/>
              <w:jc w:val="center"/>
              <w:rPr>
                <w:del w:id="2956" w:author="AbbVie02no" w:date="2025-05-15T12:36:00Z"/>
                <w:szCs w:val="22"/>
                <w:lang w:val="nb-NO"/>
              </w:rPr>
            </w:pPr>
            <w:del w:id="2957" w:author="AbbVie02no" w:date="2025-05-15T12:36:00Z">
              <w:r w:rsidRPr="00B42BF5">
                <w:rPr>
                  <w:szCs w:val="22"/>
                  <w:lang w:val="nb-NO"/>
                </w:rPr>
                <w:delText>TID (MÅNEDER)</w:delText>
              </w:r>
            </w:del>
          </w:p>
        </w:tc>
      </w:tr>
      <w:tr w:rsidR="004644D4" w14:paraId="1734496A" w14:textId="6135034A" w:rsidTr="004120E2">
        <w:trPr>
          <w:trHeight w:val="369"/>
          <w:del w:id="2958" w:author="AbbVie02no" w:date="2025-05-15T12:36:00Z"/>
        </w:trPr>
        <w:tc>
          <w:tcPr>
            <w:tcW w:w="482" w:type="dxa"/>
          </w:tcPr>
          <w:p w14:paraId="613542F3" w14:textId="332E8556" w:rsidR="00E9467C" w:rsidRPr="00B42BF5" w:rsidRDefault="00E9467C" w:rsidP="00B3311E">
            <w:pPr>
              <w:pStyle w:val="EMEANormal"/>
              <w:keepNext/>
              <w:rPr>
                <w:del w:id="2959" w:author="AbbVie02no" w:date="2025-05-15T12:36:00Z"/>
                <w:szCs w:val="22"/>
                <w:lang w:val="nb-NO"/>
              </w:rPr>
            </w:pPr>
          </w:p>
        </w:tc>
        <w:tc>
          <w:tcPr>
            <w:tcW w:w="3496" w:type="dxa"/>
          </w:tcPr>
          <w:p w14:paraId="53565A70" w14:textId="47593423" w:rsidR="00E9467C" w:rsidRPr="00B42BF5" w:rsidRDefault="00E453CD" w:rsidP="00B3311E">
            <w:pPr>
              <w:pStyle w:val="EMEANormal"/>
              <w:keepNext/>
              <w:rPr>
                <w:del w:id="2960" w:author="AbbVie02no" w:date="2025-05-15T12:36:00Z"/>
                <w:szCs w:val="22"/>
                <w:lang w:val="nb-NO"/>
              </w:rPr>
            </w:pPr>
            <w:del w:id="2961" w:author="AbbVie02no" w:date="2025-05-15T12:36:00Z">
              <w:r w:rsidRPr="00B42BF5">
                <w:rPr>
                  <w:szCs w:val="22"/>
                  <w:lang w:val="nb-NO"/>
                </w:rPr>
                <w:delText>UV II-studien                  behandling</w:delText>
              </w:r>
            </w:del>
          </w:p>
        </w:tc>
        <w:tc>
          <w:tcPr>
            <w:tcW w:w="1170" w:type="dxa"/>
          </w:tcPr>
          <w:p w14:paraId="32D865B0" w14:textId="64F31BC9" w:rsidR="00E9467C" w:rsidRPr="00B42BF5" w:rsidRDefault="00E453CD" w:rsidP="00B3311E">
            <w:pPr>
              <w:pStyle w:val="EMEANormal"/>
              <w:keepNext/>
              <w:jc w:val="right"/>
              <w:rPr>
                <w:del w:id="2962" w:author="AbbVie02no" w:date="2025-05-15T12:36:00Z"/>
                <w:szCs w:val="22"/>
                <w:lang w:val="nb-NO"/>
              </w:rPr>
            </w:pPr>
            <w:del w:id="2963" w:author="AbbVie02no" w:date="2025-05-15T12:36:00Z">
              <w:r w:rsidRPr="00F91508">
                <w:rPr>
                  <w:noProof/>
                  <w:szCs w:val="22"/>
                  <w:lang w:val="en-GB" w:eastAsia="en-GB"/>
                </w:rPr>
                <w:drawing>
                  <wp:inline distT="0" distB="0" distL="0" distR="0" wp14:anchorId="61E15A86" wp14:editId="1D5AC17D">
                    <wp:extent cx="400050" cy="180975"/>
                    <wp:effectExtent l="0" t="0" r="0" b="9525"/>
                    <wp:docPr id="65" name="Bilde 6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3"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del>
          </w:p>
        </w:tc>
        <w:tc>
          <w:tcPr>
            <w:tcW w:w="1350" w:type="dxa"/>
          </w:tcPr>
          <w:p w14:paraId="32C1D31A" w14:textId="64CEB5F0" w:rsidR="00E9467C" w:rsidRPr="00B42BF5" w:rsidRDefault="00E453CD" w:rsidP="00B3311E">
            <w:pPr>
              <w:pStyle w:val="EMEANormal"/>
              <w:keepNext/>
              <w:rPr>
                <w:del w:id="2964" w:author="AbbVie02no" w:date="2025-05-15T12:36:00Z"/>
                <w:szCs w:val="22"/>
                <w:lang w:val="nb-NO"/>
              </w:rPr>
            </w:pPr>
            <w:del w:id="2965" w:author="AbbVie02no" w:date="2025-05-15T12:36:00Z">
              <w:r w:rsidRPr="00B42BF5">
                <w:rPr>
                  <w:szCs w:val="22"/>
                  <w:lang w:val="nb-NO"/>
                </w:rPr>
                <w:delText>placebo</w:delText>
              </w:r>
            </w:del>
          </w:p>
        </w:tc>
        <w:tc>
          <w:tcPr>
            <w:tcW w:w="900" w:type="dxa"/>
          </w:tcPr>
          <w:p w14:paraId="50CC4ED5" w14:textId="0FB3E8B4" w:rsidR="00E9467C" w:rsidRPr="00B42BF5" w:rsidRDefault="00E453CD" w:rsidP="00B3311E">
            <w:pPr>
              <w:pStyle w:val="EMEANormal"/>
              <w:keepNext/>
              <w:jc w:val="right"/>
              <w:rPr>
                <w:del w:id="2966" w:author="AbbVie02no" w:date="2025-05-15T12:36:00Z"/>
                <w:szCs w:val="22"/>
                <w:lang w:val="nb-NO"/>
              </w:rPr>
            </w:pPr>
            <w:del w:id="2967" w:author="AbbVie02no" w:date="2025-05-15T12:36:00Z">
              <w:r w:rsidRPr="00F91508">
                <w:rPr>
                  <w:noProof/>
                  <w:szCs w:val="22"/>
                  <w:lang w:val="en-GB" w:eastAsia="en-GB"/>
                </w:rPr>
                <w:drawing>
                  <wp:inline distT="0" distB="0" distL="0" distR="0" wp14:anchorId="3DBDA716" wp14:editId="2FBFC631">
                    <wp:extent cx="561975" cy="180975"/>
                    <wp:effectExtent l="0" t="0" r="9525" b="9525"/>
                    <wp:docPr id="61" name="Bilde 6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4"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tcPr>
          <w:p w14:paraId="48F918AC" w14:textId="7BB81CC7" w:rsidR="00E9467C" w:rsidRPr="00B42BF5" w:rsidRDefault="00E453CD" w:rsidP="00B3311E">
            <w:pPr>
              <w:pStyle w:val="EMEANormal"/>
              <w:keepNext/>
              <w:rPr>
                <w:del w:id="2968" w:author="AbbVie02no" w:date="2025-05-15T12:36:00Z"/>
                <w:szCs w:val="22"/>
                <w:lang w:val="nb-NO"/>
              </w:rPr>
            </w:pPr>
            <w:del w:id="2969" w:author="AbbVie02no" w:date="2025-05-15T12:36:00Z">
              <w:r w:rsidRPr="00B42BF5">
                <w:rPr>
                  <w:szCs w:val="22"/>
                  <w:lang w:val="nb-NO"/>
                </w:rPr>
                <w:delText>adalimumab</w:delText>
              </w:r>
            </w:del>
          </w:p>
        </w:tc>
      </w:tr>
      <w:tr w:rsidR="004644D4" w14:paraId="7F53DCCC" w14:textId="446902DC" w:rsidTr="004120E2">
        <w:trPr>
          <w:trHeight w:val="629"/>
          <w:del w:id="2970" w:author="AbbVie02no" w:date="2025-05-15T12:36:00Z"/>
        </w:trPr>
        <w:tc>
          <w:tcPr>
            <w:tcW w:w="9288" w:type="dxa"/>
            <w:gridSpan w:val="6"/>
            <w:vAlign w:val="center"/>
          </w:tcPr>
          <w:p w14:paraId="4BF1338F" w14:textId="4F8F3820" w:rsidR="00E9467C" w:rsidRPr="00B3311E" w:rsidRDefault="00E453CD" w:rsidP="00B3311E">
            <w:pPr>
              <w:pStyle w:val="EMEANormal"/>
              <w:keepNext/>
              <w:rPr>
                <w:del w:id="2971" w:author="AbbVie02no" w:date="2025-05-15T12:36:00Z"/>
                <w:szCs w:val="22"/>
                <w:lang w:val="nb-NO"/>
              </w:rPr>
            </w:pPr>
            <w:del w:id="2972" w:author="AbbVie02no" w:date="2025-05-15T12:36:00Z">
              <w:r w:rsidRPr="00B3311E">
                <w:rPr>
                  <w:szCs w:val="22"/>
                  <w:lang w:val="nb-NO"/>
                </w:rPr>
                <w:delText>Merk</w:delText>
              </w:r>
              <w:r w:rsidRPr="00E9467C">
                <w:rPr>
                  <w:szCs w:val="22"/>
                  <w:lang w:val="nb-NO"/>
                </w:rPr>
                <w:delText>: P# = p</w:delText>
              </w:r>
              <w:r w:rsidRPr="00B3311E">
                <w:rPr>
                  <w:szCs w:val="22"/>
                  <w:lang w:val="nb-NO"/>
                </w:rPr>
                <w:delText xml:space="preserve">lacebo (antall hendelser/antall </w:delText>
              </w:r>
              <w:r w:rsidR="003970F2">
                <w:rPr>
                  <w:szCs w:val="22"/>
                  <w:lang w:val="nb-NO"/>
                </w:rPr>
                <w:delText>med</w:delText>
              </w:r>
              <w:r w:rsidRPr="00B3311E">
                <w:rPr>
                  <w:szCs w:val="22"/>
                  <w:lang w:val="nb-NO"/>
                </w:rPr>
                <w:delText xml:space="preserve"> risiko</w:delText>
              </w:r>
              <w:r w:rsidR="00E82EFD">
                <w:rPr>
                  <w:szCs w:val="22"/>
                  <w:lang w:val="nb-NO"/>
                </w:rPr>
                <w:delText>),</w:delText>
              </w:r>
              <w:r w:rsidR="006B49BD" w:rsidRPr="006B49BD">
                <w:rPr>
                  <w:szCs w:val="22"/>
                  <w:lang w:val="nb-NO"/>
                </w:rPr>
                <w:delText xml:space="preserve"> A# = </w:delText>
              </w:r>
              <w:r w:rsidRPr="00B3311E">
                <w:rPr>
                  <w:szCs w:val="22"/>
                  <w:lang w:val="nb-NO"/>
                </w:rPr>
                <w:delText>HUMIRA (</w:delText>
              </w:r>
              <w:r w:rsidR="006B49BD" w:rsidRPr="00672CB0">
                <w:rPr>
                  <w:szCs w:val="22"/>
                  <w:lang w:val="nb-NO"/>
                </w:rPr>
                <w:delText xml:space="preserve">antall hendelser/antall </w:delText>
              </w:r>
              <w:r w:rsidR="003970F2">
                <w:rPr>
                  <w:szCs w:val="22"/>
                  <w:lang w:val="nb-NO"/>
                </w:rPr>
                <w:delText>med</w:delText>
              </w:r>
              <w:r w:rsidR="006B49BD" w:rsidRPr="00672CB0">
                <w:rPr>
                  <w:szCs w:val="22"/>
                  <w:lang w:val="nb-NO"/>
                </w:rPr>
                <w:delText xml:space="preserve"> risiko</w:delText>
              </w:r>
              <w:r w:rsidRPr="00B3311E">
                <w:rPr>
                  <w:szCs w:val="22"/>
                  <w:lang w:val="nb-NO"/>
                </w:rPr>
                <w:delText>).</w:delText>
              </w:r>
            </w:del>
          </w:p>
        </w:tc>
      </w:tr>
    </w:tbl>
    <w:p w14:paraId="4F4A74DF" w14:textId="0B9F8698" w:rsidR="00E9467C" w:rsidRPr="00C602BE" w:rsidRDefault="00E9467C" w:rsidP="00B3311E">
      <w:pPr>
        <w:pStyle w:val="EMEANormal"/>
        <w:rPr>
          <w:del w:id="2973" w:author="AbbVie02no" w:date="2025-05-15T12:36:00Z"/>
          <w:b/>
          <w:szCs w:val="22"/>
          <w:lang w:val="nb-NO"/>
        </w:rPr>
      </w:pPr>
    </w:p>
    <w:p w14:paraId="7672651A" w14:textId="0DC4F6D3" w:rsidR="006B49BD" w:rsidRDefault="00E453CD" w:rsidP="00B3311E">
      <w:pPr>
        <w:pStyle w:val="EMEANormal"/>
        <w:rPr>
          <w:del w:id="2974" w:author="AbbVie02no" w:date="2025-05-15T12:36:00Z"/>
          <w:lang w:val="nb-NO"/>
        </w:rPr>
      </w:pPr>
      <w:del w:id="2975" w:author="AbbVie02no" w:date="2025-05-15T12:36:00Z">
        <w:r w:rsidRPr="00F05EB5">
          <w:rPr>
            <w:lang w:val="nb-NO"/>
          </w:rPr>
          <w:delText>I studie UV I ble s</w:delText>
        </w:r>
        <w:r w:rsidRPr="00EC0B72">
          <w:rPr>
            <w:lang w:val="nb-NO"/>
          </w:rPr>
          <w:delText>tatis</w:delText>
        </w:r>
        <w:r>
          <w:rPr>
            <w:lang w:val="nb-NO"/>
          </w:rPr>
          <w:delText>t</w:delText>
        </w:r>
        <w:r w:rsidRPr="00EC0B72">
          <w:rPr>
            <w:lang w:val="nb-NO"/>
          </w:rPr>
          <w:delText>isk</w:delText>
        </w:r>
        <w:r w:rsidRPr="00F05EB5">
          <w:rPr>
            <w:lang w:val="nb-NO"/>
          </w:rPr>
          <w:delText xml:space="preserve"> signifikante forskjeller </w:delText>
        </w:r>
        <w:r>
          <w:rPr>
            <w:lang w:val="nb-NO"/>
          </w:rPr>
          <w:delText>i</w:delText>
        </w:r>
        <w:r w:rsidRPr="00F05EB5">
          <w:rPr>
            <w:lang w:val="nb-NO"/>
          </w:rPr>
          <w:delText xml:space="preserve"> favør av adalimumab </w:delText>
        </w:r>
        <w:r w:rsidRPr="00F05EB5">
          <w:rPr>
            <w:i/>
            <w:lang w:val="nb-NO"/>
          </w:rPr>
          <w:delText>versus</w:delText>
        </w:r>
        <w:r w:rsidRPr="00F05EB5">
          <w:rPr>
            <w:lang w:val="nb-NO"/>
          </w:rPr>
          <w:delText xml:space="preserve"> placebo </w:delText>
        </w:r>
        <w:r w:rsidRPr="00EC0B72">
          <w:rPr>
            <w:lang w:val="nb-NO"/>
          </w:rPr>
          <w:delText>obser</w:delText>
        </w:r>
        <w:r>
          <w:rPr>
            <w:lang w:val="nb-NO"/>
          </w:rPr>
          <w:delText xml:space="preserve">vert </w:delText>
        </w:r>
        <w:r w:rsidRPr="00F05EB5">
          <w:rPr>
            <w:lang w:val="nb-NO"/>
          </w:rPr>
          <w:delText xml:space="preserve">for </w:delText>
        </w:r>
        <w:r>
          <w:rPr>
            <w:lang w:val="nb-NO"/>
          </w:rPr>
          <w:delText xml:space="preserve">hver </w:delText>
        </w:r>
        <w:r w:rsidR="00505F9D">
          <w:rPr>
            <w:lang w:val="nb-NO"/>
          </w:rPr>
          <w:delText>komponent</w:delText>
        </w:r>
        <w:r w:rsidR="00105B47">
          <w:rPr>
            <w:lang w:val="nb-NO"/>
          </w:rPr>
          <w:delText xml:space="preserve"> av</w:delText>
        </w:r>
        <w:r>
          <w:rPr>
            <w:lang w:val="nb-NO"/>
          </w:rPr>
          <w:delText xml:space="preserve"> behandlingssvikt</w:delText>
        </w:r>
        <w:r w:rsidR="00105B47">
          <w:rPr>
            <w:lang w:val="nb-NO"/>
          </w:rPr>
          <w:delText>en</w:delText>
        </w:r>
        <w:r w:rsidRPr="00F05EB5">
          <w:rPr>
            <w:lang w:val="nb-NO"/>
          </w:rPr>
          <w:delText xml:space="preserve">. I studie UV II ble </w:delText>
        </w:r>
        <w:r w:rsidRPr="00EC0B72">
          <w:rPr>
            <w:lang w:val="nb-NO"/>
          </w:rPr>
          <w:delText>statis</w:delText>
        </w:r>
        <w:r w:rsidRPr="00F05EB5">
          <w:rPr>
            <w:lang w:val="nb-NO"/>
          </w:rPr>
          <w:delText>tisk</w:delText>
        </w:r>
        <w:r w:rsidRPr="00EC0B72">
          <w:rPr>
            <w:lang w:val="nb-NO"/>
          </w:rPr>
          <w:delText xml:space="preserve"> signifikante forskjeller </w:delText>
        </w:r>
        <w:r w:rsidRPr="00F05EB5">
          <w:rPr>
            <w:lang w:val="nb-NO"/>
          </w:rPr>
          <w:delText>observer</w:delText>
        </w:r>
        <w:r>
          <w:rPr>
            <w:lang w:val="nb-NO"/>
          </w:rPr>
          <w:delText>t</w:delText>
        </w:r>
        <w:r w:rsidRPr="00F05EB5">
          <w:rPr>
            <w:lang w:val="nb-NO"/>
          </w:rPr>
          <w:delText xml:space="preserve"> kun for synsskarphet</w:delText>
        </w:r>
        <w:r>
          <w:rPr>
            <w:lang w:val="nb-NO"/>
          </w:rPr>
          <w:delText xml:space="preserve"> (BCVA)</w:delText>
        </w:r>
        <w:r w:rsidRPr="00F05EB5">
          <w:rPr>
            <w:lang w:val="nb-NO"/>
          </w:rPr>
          <w:delText xml:space="preserve">, </w:delText>
        </w:r>
        <w:r>
          <w:rPr>
            <w:lang w:val="nb-NO"/>
          </w:rPr>
          <w:delText xml:space="preserve">men de andre komponentene viste numerisk forskjell i favør </w:delText>
        </w:r>
        <w:r w:rsidRPr="00F05EB5">
          <w:rPr>
            <w:lang w:val="nb-NO"/>
          </w:rPr>
          <w:delText>adalimumab.</w:delText>
        </w:r>
      </w:del>
    </w:p>
    <w:p w14:paraId="1D9D8B56" w14:textId="583DC568" w:rsidR="009B6330" w:rsidRDefault="009B6330" w:rsidP="00B3311E">
      <w:pPr>
        <w:pStyle w:val="EMEANormal"/>
        <w:rPr>
          <w:del w:id="2976" w:author="AbbVie02no" w:date="2025-05-15T12:36:00Z"/>
          <w:lang w:val="nb-NO"/>
        </w:rPr>
      </w:pPr>
    </w:p>
    <w:p w14:paraId="3FF72381" w14:textId="2FFB4C4C" w:rsidR="009B6330" w:rsidRPr="00C602BE" w:rsidRDefault="00E453CD" w:rsidP="00B3311E">
      <w:pPr>
        <w:pStyle w:val="EMEANormal"/>
        <w:rPr>
          <w:del w:id="2977" w:author="AbbVie02no" w:date="2025-05-15T12:36:00Z"/>
          <w:lang w:val="nb-NO"/>
        </w:rPr>
      </w:pPr>
      <w:del w:id="2978" w:author="AbbVie02no" w:date="2025-05-15T12:36:00Z">
        <w:r>
          <w:rPr>
            <w:lang w:val="nb-NO"/>
          </w:rPr>
          <w:delText xml:space="preserve">Av de </w:delText>
        </w:r>
        <w:r w:rsidR="00881526">
          <w:rPr>
            <w:lang w:val="nb-NO"/>
          </w:rPr>
          <w:delText>424</w:delText>
        </w:r>
        <w:r w:rsidR="00A73B99">
          <w:rPr>
            <w:lang w:val="nb-NO"/>
          </w:rPr>
          <w:delText> </w:delText>
        </w:r>
        <w:r>
          <w:rPr>
            <w:lang w:val="nb-NO"/>
          </w:rPr>
          <w:delText xml:space="preserve">pasientene som ble inkludert i den ukontrollerte langtidsforlengelsesstudien av UV I og UV II, ble </w:delText>
        </w:r>
        <w:r w:rsidR="00881526">
          <w:rPr>
            <w:lang w:val="nb-NO"/>
          </w:rPr>
          <w:delText>60</w:delText>
        </w:r>
        <w:r w:rsidR="00A73B99">
          <w:rPr>
            <w:lang w:val="nb-NO"/>
          </w:rPr>
          <w:delText> </w:delText>
        </w:r>
        <w:r>
          <w:rPr>
            <w:lang w:val="nb-NO"/>
          </w:rPr>
          <w:delText xml:space="preserve">pasienter </w:delText>
        </w:r>
        <w:r w:rsidR="00FB0602">
          <w:rPr>
            <w:lang w:val="nb-NO"/>
          </w:rPr>
          <w:delText>vurdert</w:delText>
        </w:r>
        <w:r>
          <w:rPr>
            <w:lang w:val="nb-NO"/>
          </w:rPr>
          <w:delText xml:space="preserve"> som ikke-kvalifiserte (f.eks. </w:delText>
        </w:r>
        <w:r w:rsidR="00881526">
          <w:rPr>
            <w:lang w:val="nb-NO"/>
          </w:rPr>
          <w:delText>på grunn av avvik eller på grunn av</w:delText>
        </w:r>
        <w:r>
          <w:rPr>
            <w:lang w:val="nb-NO"/>
          </w:rPr>
          <w:delText xml:space="preserve"> komplikasjoner sekundær</w:delText>
        </w:r>
        <w:r w:rsidR="00FB0602">
          <w:rPr>
            <w:lang w:val="nb-NO"/>
          </w:rPr>
          <w:delText>t</w:delText>
        </w:r>
        <w:r>
          <w:rPr>
            <w:lang w:val="nb-NO"/>
          </w:rPr>
          <w:delText xml:space="preserve"> </w:delText>
        </w:r>
        <w:r w:rsidR="00F12D9C">
          <w:rPr>
            <w:lang w:val="nb-NO"/>
          </w:rPr>
          <w:delText>til</w:delText>
        </w:r>
        <w:r>
          <w:rPr>
            <w:lang w:val="nb-NO"/>
          </w:rPr>
          <w:delText xml:space="preserve"> diabetisk retinopati</w:delText>
        </w:r>
        <w:r w:rsidR="00874ACD">
          <w:rPr>
            <w:lang w:val="nb-NO"/>
          </w:rPr>
          <w:delText>,</w:delText>
        </w:r>
        <w:r>
          <w:rPr>
            <w:lang w:val="nb-NO"/>
          </w:rPr>
          <w:delText xml:space="preserve"> på grunn av kataraktoperasjon</w:delText>
        </w:r>
        <w:r w:rsidR="00874ACD">
          <w:rPr>
            <w:lang w:val="nb-NO"/>
          </w:rPr>
          <w:delText>,</w:delText>
        </w:r>
        <w:r>
          <w:rPr>
            <w:lang w:val="nb-NO"/>
          </w:rPr>
          <w:delText xml:space="preserve"> eller vitrektomi) og ble ekskludert fra den primære </w:delText>
        </w:r>
        <w:r w:rsidR="00874ACD">
          <w:rPr>
            <w:lang w:val="nb-NO"/>
          </w:rPr>
          <w:delText>effekt</w:delText>
        </w:r>
        <w:r>
          <w:rPr>
            <w:lang w:val="nb-NO"/>
          </w:rPr>
          <w:delText xml:space="preserve">analysen. Av de </w:delText>
        </w:r>
        <w:r w:rsidR="00881526">
          <w:rPr>
            <w:lang w:val="nb-NO"/>
          </w:rPr>
          <w:delText>364</w:delText>
        </w:r>
        <w:r>
          <w:rPr>
            <w:lang w:val="nb-NO"/>
          </w:rPr>
          <w:delText xml:space="preserve"> gjenstående pasientene </w:delText>
        </w:r>
        <w:r w:rsidR="00832716">
          <w:rPr>
            <w:lang w:val="nb-NO"/>
          </w:rPr>
          <w:delText>fullførte</w:delText>
        </w:r>
        <w:r>
          <w:rPr>
            <w:lang w:val="nb-NO"/>
          </w:rPr>
          <w:delText xml:space="preserve"> </w:delText>
        </w:r>
        <w:r w:rsidR="00881526">
          <w:rPr>
            <w:lang w:val="nb-NO"/>
          </w:rPr>
          <w:delText>269</w:delText>
        </w:r>
        <w:r w:rsidR="006E2BE2">
          <w:rPr>
            <w:lang w:val="nb-NO"/>
          </w:rPr>
          <w:delText> </w:delText>
        </w:r>
        <w:r>
          <w:rPr>
            <w:lang w:val="nb-NO"/>
          </w:rPr>
          <w:delText xml:space="preserve">pasienter </w:delText>
        </w:r>
        <w:r w:rsidR="00881526">
          <w:rPr>
            <w:lang w:val="nb-NO"/>
          </w:rPr>
          <w:delText xml:space="preserve">(74 %) </w:delText>
        </w:r>
        <w:r>
          <w:rPr>
            <w:lang w:val="nb-NO"/>
          </w:rPr>
          <w:delText xml:space="preserve">78 uker med </w:delText>
        </w:r>
        <w:r w:rsidR="00F12D9C">
          <w:rPr>
            <w:lang w:val="nb-NO"/>
          </w:rPr>
          <w:delText xml:space="preserve">åpen </w:delText>
        </w:r>
        <w:r>
          <w:rPr>
            <w:lang w:val="nb-NO"/>
          </w:rPr>
          <w:delText xml:space="preserve">adalimumabbehandling. </w:delText>
        </w:r>
        <w:r w:rsidRPr="00AD1854">
          <w:rPr>
            <w:lang w:val="nb-NO"/>
          </w:rPr>
          <w:delText>Basert på observert</w:delText>
        </w:r>
        <w:r w:rsidR="00832716">
          <w:rPr>
            <w:lang w:val="nb-NO"/>
          </w:rPr>
          <w:delText>e</w:delText>
        </w:r>
        <w:r w:rsidRPr="00AD1854">
          <w:rPr>
            <w:lang w:val="nb-NO"/>
          </w:rPr>
          <w:delText xml:space="preserve"> data</w:delText>
        </w:r>
        <w:r w:rsidR="00832716">
          <w:rPr>
            <w:lang w:val="nb-NO"/>
          </w:rPr>
          <w:delText xml:space="preserve"> («observed data approach»)</w:delText>
        </w:r>
        <w:r w:rsidRPr="00AD1854">
          <w:rPr>
            <w:lang w:val="nb-NO"/>
          </w:rPr>
          <w:delText xml:space="preserve"> </w:delText>
        </w:r>
        <w:r w:rsidR="00832716">
          <w:rPr>
            <w:lang w:val="nb-NO"/>
          </w:rPr>
          <w:delText xml:space="preserve">hadde </w:delText>
        </w:r>
        <w:r w:rsidRPr="00AD1854">
          <w:rPr>
            <w:lang w:val="nb-NO"/>
          </w:rPr>
          <w:delText>2</w:delText>
        </w:r>
        <w:r w:rsidR="00881526">
          <w:rPr>
            <w:lang w:val="nb-NO"/>
          </w:rPr>
          <w:delText>16</w:delText>
        </w:r>
        <w:r w:rsidRPr="00AD1854">
          <w:rPr>
            <w:lang w:val="nb-NO"/>
          </w:rPr>
          <w:delText xml:space="preserve"> (80,</w:delText>
        </w:r>
        <w:r w:rsidR="00650F32">
          <w:rPr>
            <w:lang w:val="nb-NO"/>
          </w:rPr>
          <w:delText>3</w:delText>
        </w:r>
        <w:r w:rsidR="00A73B99">
          <w:rPr>
            <w:lang w:val="nb-NO"/>
          </w:rPr>
          <w:delText> </w:delText>
        </w:r>
        <w:r w:rsidRPr="00AD1854">
          <w:rPr>
            <w:lang w:val="nb-NO"/>
          </w:rPr>
          <w:delText xml:space="preserve">%) </w:delText>
        </w:r>
        <w:r w:rsidR="00630787">
          <w:rPr>
            <w:lang w:val="nb-NO"/>
          </w:rPr>
          <w:delText xml:space="preserve">inaktiv sykdom </w:delText>
        </w:r>
        <w:r w:rsidRPr="00AD1854">
          <w:rPr>
            <w:lang w:val="nb-NO"/>
          </w:rPr>
          <w:delText>(ingen aktive inflammatoriske lesjoner, cellegradering</w:delText>
        </w:r>
        <w:r w:rsidR="00630787">
          <w:rPr>
            <w:lang w:val="nb-NO"/>
          </w:rPr>
          <w:delText xml:space="preserve"> i fremre kammer (AC)</w:delText>
        </w:r>
        <w:r w:rsidRPr="00662488">
          <w:rPr>
            <w:lang w:val="nb-NO"/>
          </w:rPr>
          <w:delText xml:space="preserve"> ≤ 0,</w:delText>
        </w:r>
        <w:r w:rsidRPr="00AD1854">
          <w:rPr>
            <w:lang w:val="nb-NO"/>
          </w:rPr>
          <w:delText xml:space="preserve">5+, </w:delText>
        </w:r>
        <w:r w:rsidR="00630787">
          <w:rPr>
            <w:lang w:val="nb-NO"/>
          </w:rPr>
          <w:delText>uklarhet i glasslegemet («vitreous haze»,</w:delText>
        </w:r>
        <w:r w:rsidR="00465D4D">
          <w:rPr>
            <w:lang w:val="nb-NO"/>
          </w:rPr>
          <w:delText xml:space="preserve"> </w:delText>
        </w:r>
        <w:r w:rsidRPr="00AD1854">
          <w:rPr>
            <w:lang w:val="nb-NO"/>
          </w:rPr>
          <w:delText>VH</w:delText>
        </w:r>
        <w:r w:rsidR="00DE1BE6">
          <w:rPr>
            <w:lang w:val="nb-NO"/>
          </w:rPr>
          <w:delText>)</w:delText>
        </w:r>
        <w:r w:rsidRPr="00AD1854">
          <w:rPr>
            <w:lang w:val="nb-NO"/>
          </w:rPr>
          <w:delText xml:space="preserve"> grade</w:delText>
        </w:r>
        <w:r w:rsidRPr="00662488">
          <w:rPr>
            <w:lang w:val="nb-NO"/>
          </w:rPr>
          <w:delText>ring</w:delText>
        </w:r>
        <w:r w:rsidRPr="00AD1854">
          <w:rPr>
            <w:lang w:val="nb-NO"/>
          </w:rPr>
          <w:delText xml:space="preserve"> ≤ 0</w:delText>
        </w:r>
        <w:r>
          <w:rPr>
            <w:lang w:val="nb-NO"/>
          </w:rPr>
          <w:delText>,</w:delText>
        </w:r>
        <w:r w:rsidRPr="00AD1854">
          <w:rPr>
            <w:lang w:val="nb-NO"/>
          </w:rPr>
          <w:delText xml:space="preserve">5+) </w:delText>
        </w:r>
        <w:r>
          <w:rPr>
            <w:lang w:val="nb-NO"/>
          </w:rPr>
          <w:delText>med en samtidig steroiddose ≤ 7,5 mg per dag</w:delText>
        </w:r>
        <w:r w:rsidRPr="00AD1854">
          <w:rPr>
            <w:lang w:val="nb-NO"/>
          </w:rPr>
          <w:delText xml:space="preserve">, </w:delText>
        </w:r>
        <w:r>
          <w:rPr>
            <w:lang w:val="nb-NO"/>
          </w:rPr>
          <w:delText xml:space="preserve">og </w:delText>
        </w:r>
        <w:r w:rsidR="00650F32">
          <w:rPr>
            <w:lang w:val="nb-NO"/>
          </w:rPr>
          <w:delText>178</w:delText>
        </w:r>
        <w:r>
          <w:rPr>
            <w:lang w:val="nb-NO"/>
          </w:rPr>
          <w:delText xml:space="preserve"> (</w:delText>
        </w:r>
        <w:r w:rsidR="00650F32">
          <w:rPr>
            <w:lang w:val="nb-NO"/>
          </w:rPr>
          <w:delText>66,2 </w:delText>
        </w:r>
        <w:r w:rsidRPr="00AD1854">
          <w:rPr>
            <w:lang w:val="nb-NO"/>
          </w:rPr>
          <w:delText xml:space="preserve">%) </w:delText>
        </w:r>
        <w:r w:rsidR="00630787">
          <w:rPr>
            <w:lang w:val="nb-NO"/>
          </w:rPr>
          <w:delText xml:space="preserve">oppnådde steroidfri </w:delText>
        </w:r>
        <w:r w:rsidR="00DE1BE6">
          <w:rPr>
            <w:lang w:val="nb-NO"/>
          </w:rPr>
          <w:delText>inaktiv sykdom</w:delText>
        </w:r>
        <w:r w:rsidRPr="00AD1854">
          <w:rPr>
            <w:lang w:val="nb-NO"/>
          </w:rPr>
          <w:delText xml:space="preserve">. </w:delText>
        </w:r>
        <w:r w:rsidR="00630787">
          <w:rPr>
            <w:lang w:val="nb-NO"/>
          </w:rPr>
          <w:delText>Beste korrigerte synskarphet (</w:delText>
        </w:r>
        <w:r w:rsidRPr="00697393">
          <w:rPr>
            <w:lang w:val="nb-NO"/>
          </w:rPr>
          <w:delText>BCVA</w:delText>
        </w:r>
        <w:r w:rsidR="00630787">
          <w:rPr>
            <w:lang w:val="nb-NO"/>
          </w:rPr>
          <w:delText>)</w:delText>
        </w:r>
        <w:r w:rsidRPr="00697393">
          <w:rPr>
            <w:lang w:val="nb-NO"/>
          </w:rPr>
          <w:delText xml:space="preserve"> </w:delText>
        </w:r>
        <w:r>
          <w:rPr>
            <w:lang w:val="nb-NO"/>
          </w:rPr>
          <w:delText>ble enten forbedret eller opprettholdt</w:delText>
        </w:r>
        <w:r w:rsidRPr="00697393">
          <w:rPr>
            <w:lang w:val="nb-NO"/>
          </w:rPr>
          <w:delText xml:space="preserve"> (&lt; 5 </w:delText>
        </w:r>
        <w:r>
          <w:rPr>
            <w:lang w:val="nb-NO"/>
          </w:rPr>
          <w:delText>bokstav</w:delText>
        </w:r>
        <w:r w:rsidR="00630787">
          <w:rPr>
            <w:lang w:val="nb-NO"/>
          </w:rPr>
          <w:delText>er svekkelse</w:delText>
        </w:r>
        <w:r w:rsidRPr="00697393">
          <w:rPr>
            <w:lang w:val="nb-NO"/>
          </w:rPr>
          <w:delText xml:space="preserve">) </w:delText>
        </w:r>
        <w:r w:rsidR="00630787">
          <w:rPr>
            <w:lang w:val="nb-NO"/>
          </w:rPr>
          <w:delText>i</w:delText>
        </w:r>
        <w:r>
          <w:rPr>
            <w:lang w:val="nb-NO"/>
          </w:rPr>
          <w:delText xml:space="preserve"> 88,</w:delText>
        </w:r>
        <w:r w:rsidR="00650F32">
          <w:rPr>
            <w:lang w:val="nb-NO"/>
          </w:rPr>
          <w:delText>6</w:delText>
        </w:r>
        <w:r w:rsidR="00A73B99" w:rsidRPr="00A81D79">
          <w:rPr>
            <w:lang w:val="nb-NO"/>
          </w:rPr>
          <w:delText> </w:delText>
        </w:r>
        <w:r w:rsidRPr="00697393">
          <w:rPr>
            <w:lang w:val="nb-NO"/>
          </w:rPr>
          <w:delText xml:space="preserve">% </w:delText>
        </w:r>
        <w:r>
          <w:rPr>
            <w:lang w:val="nb-NO"/>
          </w:rPr>
          <w:delText>av øynene ved uke</w:delText>
        </w:r>
        <w:r w:rsidRPr="00697393">
          <w:rPr>
            <w:lang w:val="nb-NO"/>
          </w:rPr>
          <w:delText xml:space="preserve"> 78</w:delText>
        </w:r>
        <w:r>
          <w:rPr>
            <w:lang w:val="nb-NO"/>
          </w:rPr>
          <w:delText xml:space="preserve">. </w:delText>
        </w:r>
        <w:r w:rsidR="008164C8">
          <w:rPr>
            <w:lang w:val="nb-NO"/>
          </w:rPr>
          <w:delText xml:space="preserve">Etter uke 78 var data generelt konsistent med disse resultatene, men antall inkluderte pasienter gikk ned. Totalt blant </w:delText>
        </w:r>
        <w:r>
          <w:rPr>
            <w:lang w:val="nb-NO"/>
          </w:rPr>
          <w:delText xml:space="preserve">pasientene som avsluttet studien, avsluttet </w:delText>
        </w:r>
        <w:r w:rsidR="00650F32">
          <w:rPr>
            <w:lang w:val="nb-NO"/>
          </w:rPr>
          <w:delText>18</w:delText>
        </w:r>
        <w:r w:rsidR="00A73B99">
          <w:rPr>
            <w:lang w:val="nb-NO"/>
          </w:rPr>
          <w:delText> </w:delText>
        </w:r>
        <w:r>
          <w:rPr>
            <w:lang w:val="nb-NO"/>
          </w:rPr>
          <w:delText xml:space="preserve">% på grunn av bivirkninger og </w:delText>
        </w:r>
        <w:r w:rsidR="00650F32">
          <w:rPr>
            <w:lang w:val="nb-NO"/>
          </w:rPr>
          <w:delText>8</w:delText>
        </w:r>
        <w:r w:rsidR="00A73B99">
          <w:rPr>
            <w:lang w:val="nb-NO"/>
          </w:rPr>
          <w:delText> </w:delText>
        </w:r>
        <w:r>
          <w:rPr>
            <w:lang w:val="nb-NO"/>
          </w:rPr>
          <w:delText>% på grunn av utilstrekkelig respons på adalimumabbehandling.</w:delText>
        </w:r>
      </w:del>
    </w:p>
    <w:p w14:paraId="0719EDB9" w14:textId="56AAC3DE" w:rsidR="006B49BD" w:rsidRPr="00C602BE" w:rsidRDefault="006B49BD" w:rsidP="00B3311E">
      <w:pPr>
        <w:pStyle w:val="EMEANormal"/>
        <w:rPr>
          <w:del w:id="2979" w:author="AbbVie02no" w:date="2025-05-15T12:36:00Z"/>
          <w:lang w:val="nb-NO"/>
        </w:rPr>
      </w:pPr>
    </w:p>
    <w:p w14:paraId="08C18E3A" w14:textId="71190EA7" w:rsidR="006B49BD" w:rsidRPr="00193D76" w:rsidRDefault="00E453CD" w:rsidP="00B3311E">
      <w:pPr>
        <w:pStyle w:val="Heading8"/>
        <w:rPr>
          <w:del w:id="2980" w:author="AbbVie02no" w:date="2025-05-15T12:36:00Z"/>
          <w:szCs w:val="22"/>
        </w:rPr>
      </w:pPr>
      <w:del w:id="2981" w:author="AbbVie02no" w:date="2025-05-15T12:36:00Z">
        <w:r w:rsidRPr="001F5D4B">
          <w:rPr>
            <w:i/>
            <w:szCs w:val="22"/>
          </w:rPr>
          <w:delText>Livskvalitet</w:delText>
        </w:r>
      </w:del>
    </w:p>
    <w:p w14:paraId="047A0D82" w14:textId="69541886" w:rsidR="006B49BD" w:rsidRPr="002D0790" w:rsidRDefault="006B49BD" w:rsidP="00B3311E">
      <w:pPr>
        <w:pStyle w:val="Heading8"/>
        <w:rPr>
          <w:del w:id="2982" w:author="AbbVie02no" w:date="2025-05-15T12:36:00Z"/>
          <w:szCs w:val="22"/>
        </w:rPr>
      </w:pPr>
    </w:p>
    <w:p w14:paraId="5964DDCF" w14:textId="0A294217" w:rsidR="006B49BD" w:rsidRPr="00974950" w:rsidRDefault="00E453CD" w:rsidP="00B3311E">
      <w:pPr>
        <w:rPr>
          <w:del w:id="2983" w:author="AbbVie02no" w:date="2025-05-15T12:36:00Z"/>
          <w:szCs w:val="22"/>
        </w:rPr>
      </w:pPr>
      <w:del w:id="2984" w:author="AbbVie02no" w:date="2025-05-15T12:36:00Z">
        <w:r w:rsidRPr="00AF45AF">
          <w:rPr>
            <w:sz w:val="22"/>
            <w:szCs w:val="22"/>
          </w:rPr>
          <w:delText>Pasientrapporterte resultater vedrørende synsrelatert funksjon ble målt ved bruk av NEI VFQ-25 i begge kliniske studier. Numerisk forskjell i favør Humira ble vist for de fleste subscores med statistisk signifikante gjennomsnittlige forskjeller for generelt syn, øyesmerter, nærsyn, psykisk helse og total score i studie UV I, og for generelt syn og psykisk helse i studie UV II. Synsrelaterte effekter som ikke var numerisk i favør Humira var fargesyn i studie UV I og fargesyn, sidesyn og nærsyn i studie UV II.</w:delText>
        </w:r>
      </w:del>
    </w:p>
    <w:p w14:paraId="0D9E4723" w14:textId="6BD91E8E" w:rsidR="00E9467C" w:rsidRPr="00974950" w:rsidRDefault="00E9467C" w:rsidP="00B3311E">
      <w:pPr>
        <w:tabs>
          <w:tab w:val="left" w:pos="3090"/>
        </w:tabs>
        <w:rPr>
          <w:del w:id="2985" w:author="AbbVie02no" w:date="2025-05-15T12:36:00Z"/>
        </w:rPr>
      </w:pPr>
    </w:p>
    <w:p w14:paraId="0C1BC3A3" w14:textId="631E1B35" w:rsidR="00DE3458" w:rsidRPr="009C5EFD" w:rsidRDefault="00E453CD" w:rsidP="00B77853">
      <w:pPr>
        <w:pStyle w:val="Heading8"/>
        <w:rPr>
          <w:del w:id="2986" w:author="AbbVie02no" w:date="2025-05-15T12:36:00Z"/>
          <w:szCs w:val="22"/>
        </w:rPr>
      </w:pPr>
      <w:del w:id="2987" w:author="AbbVie02no" w:date="2025-05-15T12:36:00Z">
        <w:r w:rsidRPr="009C5EFD">
          <w:rPr>
            <w:szCs w:val="22"/>
          </w:rPr>
          <w:delText>Immunogeni</w:delText>
        </w:r>
        <w:r w:rsidR="009C480A" w:rsidRPr="009C5EFD">
          <w:rPr>
            <w:szCs w:val="22"/>
          </w:rPr>
          <w:delText>si</w:delText>
        </w:r>
        <w:r w:rsidRPr="009C5EFD">
          <w:rPr>
            <w:szCs w:val="22"/>
          </w:rPr>
          <w:delText>tet</w:delText>
        </w:r>
      </w:del>
    </w:p>
    <w:p w14:paraId="202D075A" w14:textId="1506B7FE" w:rsidR="00DE3458" w:rsidRPr="009C5EFD" w:rsidRDefault="00DE3458" w:rsidP="00B77853">
      <w:pPr>
        <w:keepNext/>
        <w:rPr>
          <w:del w:id="2988" w:author="AbbVie02no" w:date="2025-05-15T12:36:00Z"/>
          <w:sz w:val="22"/>
          <w:szCs w:val="22"/>
        </w:rPr>
      </w:pPr>
    </w:p>
    <w:p w14:paraId="7A7FD7F1" w14:textId="1A7B1238" w:rsidR="00DE3458" w:rsidRPr="009C5EFD" w:rsidRDefault="00E453CD" w:rsidP="00776A84">
      <w:pPr>
        <w:rPr>
          <w:del w:id="2989" w:author="AbbVie02no" w:date="2025-05-15T12:36:00Z"/>
          <w:sz w:val="22"/>
          <w:szCs w:val="22"/>
        </w:rPr>
      </w:pPr>
      <w:del w:id="2990" w:author="AbbVie02no" w:date="2025-05-15T12:36:00Z">
        <w:r w:rsidRPr="009C5EFD">
          <w:rPr>
            <w:sz w:val="22"/>
            <w:szCs w:val="22"/>
          </w:rPr>
          <w:delText>Dannelse av anti-adalimumab</w:delText>
        </w:r>
        <w:r w:rsidR="005465A6" w:rsidRPr="009C5EFD">
          <w:rPr>
            <w:sz w:val="22"/>
            <w:szCs w:val="22"/>
          </w:rPr>
          <w:delText xml:space="preserve"> </w:delText>
        </w:r>
        <w:r w:rsidRPr="009C5EFD">
          <w:rPr>
            <w:sz w:val="22"/>
            <w:szCs w:val="22"/>
          </w:rPr>
          <w:delText>antistoffer er knyttet til økt clearance og redusert effekt av adalimumab. Det finnes ingen tydelig sammenheng mellom forekomsten av anti-adalimumab</w:delText>
        </w:r>
        <w:r w:rsidR="005465A6" w:rsidRPr="009C5EFD">
          <w:rPr>
            <w:sz w:val="22"/>
            <w:szCs w:val="22"/>
          </w:rPr>
          <w:delText xml:space="preserve"> </w:delText>
        </w:r>
        <w:r w:rsidRPr="009C5EFD">
          <w:rPr>
            <w:sz w:val="22"/>
            <w:szCs w:val="22"/>
          </w:rPr>
          <w:delText xml:space="preserve">antistoffer og forekomsten av bivirkninger. </w:delText>
        </w:r>
      </w:del>
    </w:p>
    <w:p w14:paraId="158C26FF" w14:textId="7E76BDB0" w:rsidR="00DE3458" w:rsidRPr="009C5EFD" w:rsidRDefault="00DE3458" w:rsidP="009C5EFD">
      <w:pPr>
        <w:rPr>
          <w:del w:id="2991" w:author="AbbVie02no" w:date="2025-05-15T12:36:00Z"/>
          <w:sz w:val="22"/>
          <w:szCs w:val="22"/>
        </w:rPr>
      </w:pPr>
    </w:p>
    <w:p w14:paraId="3CC0D496" w14:textId="72785899" w:rsidR="00A1116A" w:rsidRPr="009C5EFD" w:rsidRDefault="00E453CD" w:rsidP="00A1116A">
      <w:pPr>
        <w:rPr>
          <w:del w:id="2992" w:author="AbbVie02no" w:date="2025-05-15T12:36:00Z"/>
          <w:sz w:val="22"/>
          <w:szCs w:val="22"/>
        </w:rPr>
      </w:pPr>
      <w:del w:id="2993" w:author="AbbVie02no" w:date="2025-05-15T12:36:00Z">
        <w:r w:rsidRPr="009C5EFD">
          <w:rPr>
            <w:sz w:val="22"/>
            <w:szCs w:val="22"/>
          </w:rPr>
          <w:delText xml:space="preserve">Hos pasienter med polyartikulær juvenil idiopatisk artritt i alderen 4 til 17 år, ble anti-adalimumab antistoffer identifisert hos 15,8 % (27/171) av pasientene som var behandlet med adalimumab. Hos pasienter som ikke hadde fått metotreksat samtidig var forekomsten 25,6 % (22/86) sammenlignet </w:delText>
        </w:r>
        <w:r w:rsidRPr="009C5EFD">
          <w:rPr>
            <w:sz w:val="22"/>
            <w:szCs w:val="22"/>
          </w:rPr>
          <w:lastRenderedPageBreak/>
          <w:delText>med 5,9 % (5/85) når adalimumab var brukt i tillegg til metotreksat.</w:delText>
        </w:r>
        <w:r>
          <w:rPr>
            <w:sz w:val="22"/>
            <w:szCs w:val="22"/>
          </w:rPr>
          <w:delText xml:space="preserve"> </w:delText>
        </w:r>
        <w:r w:rsidRPr="009C5EFD">
          <w:rPr>
            <w:sz w:val="22"/>
            <w:szCs w:val="22"/>
          </w:rPr>
          <w:delText>Hos pasienter med polyartikulær juvenil idiopatisk artritt</w:delText>
        </w:r>
        <w:r>
          <w:rPr>
            <w:sz w:val="22"/>
            <w:szCs w:val="22"/>
          </w:rPr>
          <w:delText xml:space="preserve"> som var 2 til &lt; 4 år gamle eller over 4 år med en kroppsvekt &lt; 15</w:delText>
        </w:r>
        <w:r w:rsidR="00B52137">
          <w:rPr>
            <w:sz w:val="22"/>
            <w:szCs w:val="22"/>
          </w:rPr>
          <w:delText> </w:delText>
        </w:r>
        <w:r>
          <w:rPr>
            <w:sz w:val="22"/>
            <w:szCs w:val="22"/>
          </w:rPr>
          <w:delText>kg, ble anti-adalimumab antistoffer identifisert hos 7% (1/15) av pasientene, og den ene pasienten fikk samtidig metotreksatbehandling.</w:delText>
        </w:r>
      </w:del>
    </w:p>
    <w:p w14:paraId="4CA85110" w14:textId="0DEBE0B1" w:rsidR="000660E8" w:rsidRPr="009C5EFD" w:rsidRDefault="000660E8" w:rsidP="009C5EFD">
      <w:pPr>
        <w:rPr>
          <w:del w:id="2994" w:author="AbbVie02no" w:date="2025-05-15T12:36:00Z"/>
          <w:sz w:val="22"/>
          <w:szCs w:val="22"/>
        </w:rPr>
      </w:pPr>
    </w:p>
    <w:p w14:paraId="703AB318" w14:textId="45266B2B" w:rsidR="000660E8" w:rsidRPr="009C5EFD" w:rsidRDefault="00E453CD" w:rsidP="009C5EFD">
      <w:pPr>
        <w:rPr>
          <w:del w:id="2995" w:author="AbbVie02no" w:date="2025-05-15T12:36:00Z"/>
          <w:sz w:val="22"/>
          <w:szCs w:val="22"/>
        </w:rPr>
      </w:pPr>
      <w:del w:id="2996" w:author="AbbVie02no" w:date="2025-05-15T12:36:00Z">
        <w:r w:rsidRPr="009C5EFD">
          <w:rPr>
            <w:sz w:val="22"/>
            <w:szCs w:val="22"/>
          </w:rPr>
          <w:delText xml:space="preserve">Hos pasienter med entesittrelatert artritt, </w:delText>
        </w:r>
        <w:r w:rsidR="0008160E" w:rsidRPr="009C5EFD">
          <w:rPr>
            <w:sz w:val="22"/>
            <w:szCs w:val="22"/>
          </w:rPr>
          <w:delText>ble</w:delText>
        </w:r>
        <w:r w:rsidRPr="009C5EFD">
          <w:rPr>
            <w:sz w:val="22"/>
            <w:szCs w:val="22"/>
          </w:rPr>
          <w:delText xml:space="preserve"> anti-adalimumab antistoff identifisert hos 10,9 % (5/46) av pasientene </w:delText>
        </w:r>
        <w:r w:rsidR="00DC6124" w:rsidRPr="009C5EFD">
          <w:rPr>
            <w:sz w:val="22"/>
            <w:szCs w:val="22"/>
          </w:rPr>
          <w:delText xml:space="preserve">som var </w:delText>
        </w:r>
        <w:r w:rsidRPr="009C5EFD">
          <w:rPr>
            <w:sz w:val="22"/>
            <w:szCs w:val="22"/>
          </w:rPr>
          <w:delText>behandlet med adalimumab. Hos pasienter som ikke hadde fått metotreksat samtidig var forekomsten 13,6 % (3/22) sammenlignet med 8,3 % (2/24) når adalimumab var brukt i tillegg til metotreksat.</w:delText>
        </w:r>
      </w:del>
    </w:p>
    <w:p w14:paraId="16F58938" w14:textId="6DEA2F7B" w:rsidR="00E14E60" w:rsidRPr="009C5EFD" w:rsidRDefault="00E14E60" w:rsidP="009C5EFD">
      <w:pPr>
        <w:rPr>
          <w:del w:id="2997" w:author="AbbVie02no" w:date="2025-05-15T12:36:00Z"/>
          <w:sz w:val="22"/>
          <w:szCs w:val="22"/>
        </w:rPr>
      </w:pPr>
    </w:p>
    <w:p w14:paraId="649DF997" w14:textId="7AF901E9" w:rsidR="00E14E60" w:rsidRPr="009C5EFD" w:rsidRDefault="00E453CD" w:rsidP="009C5EFD">
      <w:pPr>
        <w:rPr>
          <w:del w:id="2998" w:author="AbbVie02no" w:date="2025-05-15T12:36:00Z"/>
          <w:sz w:val="22"/>
          <w:szCs w:val="22"/>
        </w:rPr>
      </w:pPr>
      <w:del w:id="2999" w:author="AbbVie02no" w:date="2025-05-15T12:36:00Z">
        <w:r w:rsidRPr="009C5EFD">
          <w:rPr>
            <w:sz w:val="22"/>
            <w:szCs w:val="22"/>
          </w:rPr>
          <w:delText xml:space="preserve">Pasienter i </w:delText>
        </w:r>
        <w:r w:rsidR="00ED1A2D" w:rsidRPr="009C5EFD">
          <w:rPr>
            <w:sz w:val="22"/>
            <w:szCs w:val="22"/>
          </w:rPr>
          <w:delText>revmatoid artritt studiene</w:delText>
        </w:r>
        <w:r w:rsidRPr="009C5EFD">
          <w:rPr>
            <w:sz w:val="22"/>
            <w:szCs w:val="22"/>
          </w:rPr>
          <w:delText xml:space="preserve"> I, II og III ble testet ved flere tidspunkter med hensyn på antistoffer mot adalimumab i løpet av perioden fra 6 til 12 måneder. I de pivotale studiene ble det identifisert antistoffer mot adalimumab hos </w:delText>
        </w:r>
        <w:r w:rsidR="00ED1A2D" w:rsidRPr="009C5EFD">
          <w:rPr>
            <w:sz w:val="22"/>
            <w:szCs w:val="22"/>
          </w:rPr>
          <w:delText>5,5 % (</w:delText>
        </w:r>
        <w:r w:rsidRPr="009C5EFD">
          <w:rPr>
            <w:sz w:val="22"/>
            <w:szCs w:val="22"/>
          </w:rPr>
          <w:delText>58/1053</w:delText>
        </w:r>
        <w:r w:rsidR="00ED1A2D" w:rsidRPr="009C5EFD">
          <w:rPr>
            <w:sz w:val="22"/>
            <w:szCs w:val="22"/>
          </w:rPr>
          <w:delText>)</w:delText>
        </w:r>
        <w:r w:rsidRPr="009C5EFD">
          <w:rPr>
            <w:sz w:val="22"/>
            <w:szCs w:val="22"/>
          </w:rPr>
          <w:delText xml:space="preserve"> av pasientene som var behandlet med adalimumab, sammenlignet med</w:delText>
        </w:r>
        <w:r w:rsidR="00DC6124" w:rsidRPr="009C5EFD">
          <w:rPr>
            <w:sz w:val="22"/>
            <w:szCs w:val="22"/>
          </w:rPr>
          <w:delText xml:space="preserve"> 0,5 %</w:delText>
        </w:r>
        <w:r w:rsidRPr="009C5EFD">
          <w:rPr>
            <w:sz w:val="22"/>
            <w:szCs w:val="22"/>
          </w:rPr>
          <w:delText xml:space="preserve"> </w:delText>
        </w:r>
        <w:r w:rsidR="00DC6124" w:rsidRPr="009C5EFD">
          <w:rPr>
            <w:sz w:val="22"/>
            <w:szCs w:val="22"/>
          </w:rPr>
          <w:delText>(</w:delText>
        </w:r>
        <w:r w:rsidRPr="009C5EFD">
          <w:rPr>
            <w:sz w:val="22"/>
            <w:szCs w:val="22"/>
          </w:rPr>
          <w:delText>2/370</w:delText>
        </w:r>
        <w:r w:rsidR="00DC6124" w:rsidRPr="009C5EFD">
          <w:rPr>
            <w:sz w:val="22"/>
            <w:szCs w:val="22"/>
          </w:rPr>
          <w:delText>)</w:delText>
        </w:r>
        <w:r w:rsidRPr="009C5EFD">
          <w:rPr>
            <w:sz w:val="22"/>
            <w:szCs w:val="22"/>
          </w:rPr>
          <w:delText xml:space="preserve"> hos dem som fikk placebo. Hos pasientene som ikke fikk metotreksat samtidig var forekomsten 12,4 % sammenlignet med 0,6 % når adalimumab ble gitt som tillegg til metotreksat.</w:delText>
        </w:r>
      </w:del>
    </w:p>
    <w:p w14:paraId="1B7D044D" w14:textId="3DCB54AA" w:rsidR="00DE3458" w:rsidRPr="009C5EFD" w:rsidRDefault="00DE3458" w:rsidP="009C5EFD">
      <w:pPr>
        <w:rPr>
          <w:del w:id="3000" w:author="AbbVie02no" w:date="2025-05-15T12:36:00Z"/>
          <w:sz w:val="22"/>
          <w:szCs w:val="22"/>
        </w:rPr>
      </w:pPr>
    </w:p>
    <w:p w14:paraId="261ACDC6" w14:textId="0212A07D" w:rsidR="005C4C9F" w:rsidRPr="009C5EFD" w:rsidRDefault="00E453CD" w:rsidP="009C5EFD">
      <w:pPr>
        <w:rPr>
          <w:del w:id="3001" w:author="AbbVie02no" w:date="2025-05-15T12:36:00Z"/>
          <w:sz w:val="22"/>
          <w:szCs w:val="22"/>
        </w:rPr>
      </w:pPr>
      <w:del w:id="3002" w:author="AbbVie02no" w:date="2025-05-15T12:36:00Z">
        <w:r w:rsidRPr="009C5EFD">
          <w:rPr>
            <w:sz w:val="22"/>
            <w:szCs w:val="22"/>
          </w:rPr>
          <w:delText xml:space="preserve">Hos pasienter med pediatrisk psoriasis ble anti-adalimumab antistoffer påvist hos 5/38  pasienter (13 %) behandlet med 0,8 mg/kg adalimumab </w:delText>
        </w:r>
        <w:r w:rsidR="002132F2" w:rsidRPr="009C5EFD">
          <w:rPr>
            <w:sz w:val="22"/>
            <w:szCs w:val="22"/>
          </w:rPr>
          <w:delText xml:space="preserve">som </w:delText>
        </w:r>
        <w:r w:rsidRPr="009C5EFD">
          <w:rPr>
            <w:sz w:val="22"/>
            <w:szCs w:val="22"/>
          </w:rPr>
          <w:delText>monoterapi.</w:delText>
        </w:r>
      </w:del>
    </w:p>
    <w:p w14:paraId="6D54E990" w14:textId="1FA3836D" w:rsidR="007E3FA5" w:rsidRPr="009C5EFD" w:rsidRDefault="007E3FA5" w:rsidP="009C5EFD">
      <w:pPr>
        <w:rPr>
          <w:del w:id="3003" w:author="AbbVie02no" w:date="2025-05-15T12:36:00Z"/>
          <w:sz w:val="22"/>
          <w:szCs w:val="22"/>
        </w:rPr>
      </w:pPr>
    </w:p>
    <w:p w14:paraId="6D9121D6" w14:textId="21899000" w:rsidR="005C4C9F" w:rsidRDefault="00E453CD" w:rsidP="009C5EFD">
      <w:pPr>
        <w:rPr>
          <w:del w:id="3004" w:author="AbbVie02no" w:date="2025-05-15T12:36:00Z"/>
          <w:sz w:val="22"/>
          <w:szCs w:val="22"/>
        </w:rPr>
      </w:pPr>
      <w:del w:id="3005" w:author="AbbVie02no" w:date="2025-05-15T12:36:00Z">
        <w:r w:rsidRPr="00A1116A">
          <w:rPr>
            <w:sz w:val="22"/>
            <w:szCs w:val="22"/>
          </w:rPr>
          <w:delText xml:space="preserve">Hos voksne pasienter med psoriasis ble anti-adalimumab antistoffer påvist hos 77/920 pasienter (8,4 %) behandlet med adalimumab </w:delText>
        </w:r>
        <w:r w:rsidR="002132F2" w:rsidRPr="00A1116A">
          <w:rPr>
            <w:sz w:val="22"/>
            <w:szCs w:val="22"/>
          </w:rPr>
          <w:delText xml:space="preserve">som </w:delText>
        </w:r>
        <w:r w:rsidRPr="00A1116A">
          <w:rPr>
            <w:sz w:val="22"/>
            <w:szCs w:val="22"/>
          </w:rPr>
          <w:delText>monoterapi.</w:delText>
        </w:r>
      </w:del>
    </w:p>
    <w:p w14:paraId="73CBF790" w14:textId="356622B9" w:rsidR="00A1116A" w:rsidRDefault="00A1116A" w:rsidP="009C5EFD">
      <w:pPr>
        <w:rPr>
          <w:del w:id="3006" w:author="AbbVie02no" w:date="2025-05-15T12:36:00Z"/>
          <w:sz w:val="22"/>
          <w:szCs w:val="22"/>
        </w:rPr>
      </w:pPr>
    </w:p>
    <w:p w14:paraId="72E55402" w14:textId="40E3F596" w:rsidR="007E3FA5" w:rsidRPr="00A1116A" w:rsidRDefault="00E453CD" w:rsidP="009C5EFD">
      <w:pPr>
        <w:rPr>
          <w:del w:id="3007" w:author="AbbVie02no" w:date="2025-05-15T12:36:00Z"/>
          <w:sz w:val="22"/>
          <w:szCs w:val="22"/>
        </w:rPr>
      </w:pPr>
      <w:del w:id="3008" w:author="AbbVie02no" w:date="2025-05-15T12:36:00Z">
        <w:r>
          <w:rPr>
            <w:sz w:val="22"/>
            <w:szCs w:val="22"/>
          </w:rPr>
          <w:delText xml:space="preserve">Hos voksne pasienter med plakkpsoriasis med langtidsbruk av </w:delText>
        </w:r>
        <w:r w:rsidR="007A4D90">
          <w:rPr>
            <w:sz w:val="22"/>
            <w:szCs w:val="22"/>
          </w:rPr>
          <w:delText>adalimumab</w:delText>
        </w:r>
        <w:r>
          <w:rPr>
            <w:sz w:val="22"/>
            <w:szCs w:val="22"/>
          </w:rPr>
          <w:delText xml:space="preserve"> monoterapi som deltok i en seponerings- og reoppstartsstudie, var andelen av antistoffer til adalimumab etter reoppstart (11 av 482 pasienter, 2.3</w:delText>
        </w:r>
        <w:r w:rsidR="00B52137">
          <w:rPr>
            <w:sz w:val="22"/>
            <w:szCs w:val="22"/>
          </w:rPr>
          <w:delText> </w:delText>
        </w:r>
        <w:r>
          <w:rPr>
            <w:sz w:val="22"/>
            <w:szCs w:val="22"/>
          </w:rPr>
          <w:delText>%) lignende andelen observert før seponering (11 av 590 pasienter, 1,9</w:delText>
        </w:r>
        <w:r w:rsidR="00B52137">
          <w:rPr>
            <w:sz w:val="22"/>
            <w:szCs w:val="22"/>
          </w:rPr>
          <w:delText> </w:delText>
        </w:r>
        <w:r>
          <w:rPr>
            <w:sz w:val="22"/>
            <w:szCs w:val="22"/>
          </w:rPr>
          <w:delText>%).</w:delText>
        </w:r>
      </w:del>
    </w:p>
    <w:p w14:paraId="62D4C4F0" w14:textId="04515D47" w:rsidR="00716FE6" w:rsidRDefault="00716FE6" w:rsidP="009C5EFD">
      <w:pPr>
        <w:rPr>
          <w:del w:id="3009" w:author="AbbVie02no" w:date="2025-05-15T12:36:00Z"/>
          <w:sz w:val="22"/>
          <w:szCs w:val="22"/>
        </w:rPr>
      </w:pPr>
    </w:p>
    <w:p w14:paraId="179420E7" w14:textId="6BC95934" w:rsidR="00921F9B" w:rsidRPr="00AB7697" w:rsidRDefault="00E453CD" w:rsidP="009C5EFD">
      <w:pPr>
        <w:rPr>
          <w:del w:id="3010" w:author="AbbVie02no" w:date="2025-05-15T12:36:00Z"/>
          <w:sz w:val="22"/>
          <w:szCs w:val="22"/>
        </w:rPr>
      </w:pPr>
      <w:del w:id="3011" w:author="AbbVie02no" w:date="2025-05-15T12:36:00Z">
        <w:r w:rsidRPr="00A1116A">
          <w:rPr>
            <w:sz w:val="22"/>
            <w:szCs w:val="22"/>
          </w:rPr>
          <w:delText xml:space="preserve">Hos pasienter med moderat til alvorlig aktiv </w:delText>
        </w:r>
        <w:r w:rsidR="00356346" w:rsidRPr="00A1116A">
          <w:rPr>
            <w:sz w:val="22"/>
            <w:szCs w:val="22"/>
          </w:rPr>
          <w:delText xml:space="preserve">pediatrisk </w:delText>
        </w:r>
        <w:r w:rsidRPr="00AB7697">
          <w:rPr>
            <w:sz w:val="22"/>
            <w:szCs w:val="22"/>
          </w:rPr>
          <w:delText>Crohns sykdom ble anti-adalimumab antistoffer utviklet hos 3,3 % av pasientene behandlet med adalimumab.</w:delText>
        </w:r>
      </w:del>
    </w:p>
    <w:p w14:paraId="28BEFF1B" w14:textId="267014C8" w:rsidR="00921F9B" w:rsidRDefault="00921F9B" w:rsidP="009C5EFD">
      <w:pPr>
        <w:rPr>
          <w:del w:id="3012" w:author="AbbVie02no" w:date="2025-05-15T12:36:00Z"/>
          <w:sz w:val="22"/>
          <w:szCs w:val="22"/>
        </w:rPr>
      </w:pPr>
    </w:p>
    <w:p w14:paraId="424D89B2" w14:textId="3A145344" w:rsidR="00A1116A" w:rsidRPr="0017427F" w:rsidRDefault="00E453CD" w:rsidP="00A1116A">
      <w:pPr>
        <w:rPr>
          <w:del w:id="3013" w:author="AbbVie02no" w:date="2025-05-15T12:36:00Z"/>
          <w:sz w:val="22"/>
          <w:szCs w:val="22"/>
        </w:rPr>
      </w:pPr>
      <w:del w:id="3014" w:author="AbbVie02no" w:date="2025-05-15T12:36:00Z">
        <w:r w:rsidRPr="0017427F">
          <w:rPr>
            <w:sz w:val="22"/>
            <w:szCs w:val="22"/>
          </w:rPr>
          <w:delText>Hos pasienter med Cro</w:delText>
        </w:r>
        <w:r w:rsidR="00A3777B">
          <w:rPr>
            <w:sz w:val="22"/>
            <w:szCs w:val="22"/>
          </w:rPr>
          <w:delText>h</w:delText>
        </w:r>
        <w:r w:rsidRPr="0017427F">
          <w:rPr>
            <w:sz w:val="22"/>
            <w:szCs w:val="22"/>
          </w:rPr>
          <w:delText>ns sykdom ble anti-adalimumab antistoffer identifisert hos 7/269 pasienter (2,6</w:delText>
        </w:r>
        <w:r w:rsidR="00B52137">
          <w:rPr>
            <w:sz w:val="22"/>
            <w:szCs w:val="22"/>
          </w:rPr>
          <w:delText> </w:delText>
        </w:r>
        <w:r w:rsidRPr="0017427F">
          <w:rPr>
            <w:sz w:val="22"/>
            <w:szCs w:val="22"/>
          </w:rPr>
          <w:delText>%).</w:delText>
        </w:r>
      </w:del>
    </w:p>
    <w:p w14:paraId="33A8582B" w14:textId="38CB3823" w:rsidR="00A1116A" w:rsidRPr="0017427F" w:rsidRDefault="00A1116A" w:rsidP="00A1116A">
      <w:pPr>
        <w:rPr>
          <w:del w:id="3015" w:author="AbbVie02no" w:date="2025-05-15T12:36:00Z"/>
          <w:sz w:val="22"/>
          <w:szCs w:val="22"/>
        </w:rPr>
      </w:pPr>
    </w:p>
    <w:p w14:paraId="5C4B2FAD" w14:textId="0550B6A7" w:rsidR="00A1116A" w:rsidRDefault="00E453CD" w:rsidP="00A1116A">
      <w:pPr>
        <w:rPr>
          <w:del w:id="3016" w:author="AbbVie02no" w:date="2025-05-15T12:36:00Z"/>
          <w:sz w:val="22"/>
          <w:szCs w:val="22"/>
        </w:rPr>
      </w:pPr>
      <w:del w:id="3017" w:author="AbbVie02no" w:date="2025-05-15T12:36:00Z">
        <w:r w:rsidRPr="0017427F">
          <w:rPr>
            <w:sz w:val="22"/>
            <w:szCs w:val="22"/>
          </w:rPr>
          <w:delText>Hos voksne pasienter med ikke-infeksiøs uveitt ble anti-adalimumab antistoffer identifisert hos 4,8</w:delText>
        </w:r>
        <w:r w:rsidR="00B52137">
          <w:rPr>
            <w:sz w:val="22"/>
            <w:szCs w:val="22"/>
          </w:rPr>
          <w:delText> </w:delText>
        </w:r>
        <w:r w:rsidRPr="0017427F">
          <w:rPr>
            <w:sz w:val="22"/>
            <w:szCs w:val="22"/>
          </w:rPr>
          <w:delText>% (12/249) av pasientene behandlet med adalimumab.</w:delText>
        </w:r>
      </w:del>
    </w:p>
    <w:p w14:paraId="4B70F9AE" w14:textId="047BE675" w:rsidR="00F109BA" w:rsidRDefault="00F109BA" w:rsidP="00A1116A">
      <w:pPr>
        <w:rPr>
          <w:del w:id="3018" w:author="AbbVie02no" w:date="2025-05-15T12:36:00Z"/>
          <w:sz w:val="22"/>
          <w:szCs w:val="22"/>
        </w:rPr>
      </w:pPr>
    </w:p>
    <w:p w14:paraId="48276F63" w14:textId="43FD8206" w:rsidR="0015674E" w:rsidRPr="002F0483" w:rsidRDefault="00E453CD" w:rsidP="0015674E">
      <w:pPr>
        <w:rPr>
          <w:del w:id="3019" w:author="AbbVie02no" w:date="2025-05-15T12:36:00Z"/>
          <w:sz w:val="22"/>
        </w:rPr>
      </w:pPr>
      <w:del w:id="3020" w:author="AbbVie02no" w:date="2025-05-15T12:36:00Z">
        <w:r w:rsidRPr="002F0483">
          <w:rPr>
            <w:sz w:val="22"/>
          </w:rPr>
          <w:delText xml:space="preserve">Hos pasienter med moderat til alvorlig aktiv </w:delText>
        </w:r>
        <w:r>
          <w:rPr>
            <w:sz w:val="22"/>
          </w:rPr>
          <w:delText xml:space="preserve">pediatrisk </w:delText>
        </w:r>
        <w:r w:rsidRPr="002F0483">
          <w:rPr>
            <w:sz w:val="22"/>
          </w:rPr>
          <w:delText xml:space="preserve">ulcerøs kolitt </w:delText>
        </w:r>
        <w:r>
          <w:rPr>
            <w:sz w:val="22"/>
          </w:rPr>
          <w:delText>ble</w:delText>
        </w:r>
        <w:r w:rsidRPr="002F0483">
          <w:rPr>
            <w:sz w:val="22"/>
          </w:rPr>
          <w:delText xml:space="preserve"> anti-adalimumab</w:delText>
        </w:r>
        <w:r>
          <w:rPr>
            <w:sz w:val="22"/>
          </w:rPr>
          <w:delText xml:space="preserve"> </w:delText>
        </w:r>
        <w:r w:rsidRPr="002F0483">
          <w:rPr>
            <w:sz w:val="22"/>
          </w:rPr>
          <w:delText>antistoff</w:delText>
        </w:r>
        <w:r>
          <w:rPr>
            <w:sz w:val="22"/>
          </w:rPr>
          <w:delText>er</w:delText>
        </w:r>
        <w:r w:rsidRPr="002F0483">
          <w:rPr>
            <w:sz w:val="22"/>
          </w:rPr>
          <w:delText xml:space="preserve"> </w:delText>
        </w:r>
        <w:r>
          <w:rPr>
            <w:sz w:val="22"/>
          </w:rPr>
          <w:delText xml:space="preserve">utviklet hos 3 % av </w:delText>
        </w:r>
        <w:r w:rsidRPr="002F0483">
          <w:rPr>
            <w:sz w:val="22"/>
          </w:rPr>
          <w:delText>pasiente</w:delText>
        </w:r>
        <w:r>
          <w:rPr>
            <w:sz w:val="22"/>
          </w:rPr>
          <w:delText xml:space="preserve">ne behandlet med </w:delText>
        </w:r>
        <w:r w:rsidRPr="002F0483">
          <w:rPr>
            <w:sz w:val="22"/>
          </w:rPr>
          <w:delText>adalimumab.</w:delText>
        </w:r>
      </w:del>
    </w:p>
    <w:p w14:paraId="2BE90760" w14:textId="6F720ACD" w:rsidR="00A1116A" w:rsidRPr="00A1116A" w:rsidRDefault="00A1116A" w:rsidP="009C5EFD">
      <w:pPr>
        <w:rPr>
          <w:del w:id="3021" w:author="AbbVie02no" w:date="2025-05-15T12:36:00Z"/>
          <w:sz w:val="22"/>
          <w:szCs w:val="22"/>
        </w:rPr>
      </w:pPr>
    </w:p>
    <w:p w14:paraId="25CCC29F" w14:textId="5C62B637" w:rsidR="00DE3458" w:rsidRPr="00A1116A" w:rsidRDefault="00E453CD" w:rsidP="009C5EFD">
      <w:pPr>
        <w:rPr>
          <w:del w:id="3022" w:author="AbbVie02no" w:date="2025-05-15T12:36:00Z"/>
          <w:sz w:val="22"/>
          <w:szCs w:val="22"/>
        </w:rPr>
      </w:pPr>
      <w:del w:id="3023" w:author="AbbVie02no" w:date="2025-05-15T12:36:00Z">
        <w:r w:rsidRPr="00A1116A">
          <w:rPr>
            <w:sz w:val="22"/>
            <w:szCs w:val="22"/>
          </w:rPr>
          <w:delText>Ettersom immunogeni</w:delText>
        </w:r>
        <w:r w:rsidR="009C480A" w:rsidRPr="00A1116A">
          <w:rPr>
            <w:sz w:val="22"/>
            <w:szCs w:val="22"/>
          </w:rPr>
          <w:delText>si</w:delText>
        </w:r>
        <w:r w:rsidRPr="00A1116A">
          <w:rPr>
            <w:sz w:val="22"/>
            <w:szCs w:val="22"/>
          </w:rPr>
          <w:delText>tetsanalyser er produktspesifikke, er en sammenligning av antistoff-forekomst med andre produkter uegnet.</w:delText>
        </w:r>
      </w:del>
    </w:p>
    <w:p w14:paraId="3B5311F2" w14:textId="51F54315" w:rsidR="000915A4" w:rsidRDefault="000915A4" w:rsidP="009C5EFD">
      <w:pPr>
        <w:rPr>
          <w:del w:id="3024" w:author="AbbVie02no" w:date="2025-05-15T12:36:00Z"/>
          <w:sz w:val="22"/>
          <w:szCs w:val="22"/>
        </w:rPr>
      </w:pPr>
    </w:p>
    <w:p w14:paraId="7CE455FD" w14:textId="38750F68" w:rsidR="000915A4" w:rsidRPr="009C5EFD" w:rsidRDefault="00E453CD" w:rsidP="00184283">
      <w:pPr>
        <w:keepNext/>
        <w:rPr>
          <w:del w:id="3025" w:author="AbbVie02no" w:date="2025-05-15T12:36:00Z"/>
          <w:sz w:val="22"/>
          <w:szCs w:val="22"/>
        </w:rPr>
      </w:pPr>
      <w:del w:id="3026" w:author="AbbVie02no" w:date="2025-05-15T12:36:00Z">
        <w:r w:rsidRPr="009C5EFD">
          <w:rPr>
            <w:sz w:val="22"/>
            <w:szCs w:val="22"/>
            <w:u w:val="single"/>
          </w:rPr>
          <w:delText>Pediatrisk populasjon</w:delText>
        </w:r>
      </w:del>
    </w:p>
    <w:p w14:paraId="5EC3CC62" w14:textId="7DDCCC97" w:rsidR="000915A4" w:rsidRPr="009C5EFD" w:rsidRDefault="000915A4" w:rsidP="00184283">
      <w:pPr>
        <w:keepNext/>
        <w:rPr>
          <w:del w:id="3027" w:author="AbbVie02no" w:date="2025-05-15T12:36:00Z"/>
          <w:sz w:val="22"/>
          <w:szCs w:val="22"/>
        </w:rPr>
      </w:pPr>
    </w:p>
    <w:p w14:paraId="1884C703" w14:textId="465542DC" w:rsidR="002F0483" w:rsidRPr="00193D76" w:rsidRDefault="00E453CD" w:rsidP="002F0483">
      <w:pPr>
        <w:pStyle w:val="EndnoteText"/>
        <w:keepNext/>
        <w:widowControl/>
        <w:tabs>
          <w:tab w:val="clear" w:pos="567"/>
        </w:tabs>
        <w:suppressAutoHyphens/>
        <w:rPr>
          <w:del w:id="3028" w:author="AbbVie02no" w:date="2025-05-15T12:36:00Z"/>
          <w:szCs w:val="22"/>
          <w:u w:val="single"/>
          <w:lang w:val="nb-NO"/>
        </w:rPr>
      </w:pPr>
      <w:del w:id="3029" w:author="AbbVie02no" w:date="2025-05-15T12:36:00Z">
        <w:r w:rsidRPr="001F5D4B">
          <w:rPr>
            <w:i/>
            <w:szCs w:val="22"/>
          </w:rPr>
          <w:delText>Juvenil idiopatisk artritt (JIA)</w:delText>
        </w:r>
      </w:del>
    </w:p>
    <w:p w14:paraId="38D377C9" w14:textId="4FF2C517" w:rsidR="002F0483" w:rsidRPr="002D0790" w:rsidRDefault="002F0483" w:rsidP="002F0483">
      <w:pPr>
        <w:pStyle w:val="EndnoteText"/>
        <w:keepNext/>
        <w:widowControl/>
        <w:tabs>
          <w:tab w:val="clear" w:pos="567"/>
        </w:tabs>
        <w:suppressAutoHyphens/>
        <w:rPr>
          <w:del w:id="3030" w:author="AbbVie02no" w:date="2025-05-15T12:36:00Z"/>
          <w:szCs w:val="22"/>
          <w:u w:val="single"/>
          <w:lang w:val="nb-NO"/>
        </w:rPr>
      </w:pPr>
    </w:p>
    <w:p w14:paraId="23A72E9E" w14:textId="5AE7AFB5" w:rsidR="002F0483" w:rsidRPr="00193D76" w:rsidRDefault="00E453CD" w:rsidP="002F0483">
      <w:pPr>
        <w:pStyle w:val="EndnoteText"/>
        <w:keepNext/>
        <w:widowControl/>
        <w:tabs>
          <w:tab w:val="clear" w:pos="567"/>
        </w:tabs>
        <w:suppressAutoHyphens/>
        <w:rPr>
          <w:del w:id="3031" w:author="AbbVie02no" w:date="2025-05-15T12:36:00Z"/>
          <w:szCs w:val="22"/>
          <w:u w:val="single"/>
          <w:lang w:val="nb-NO"/>
        </w:rPr>
      </w:pPr>
      <w:del w:id="3032" w:author="AbbVie02no" w:date="2025-05-15T12:36:00Z">
        <w:r w:rsidRPr="001F5D4B">
          <w:rPr>
            <w:i/>
            <w:szCs w:val="22"/>
            <w:u w:val="single"/>
          </w:rPr>
          <w:delText>Polyartikulær juvenil idiopatisk artritt (pJIA)</w:delText>
        </w:r>
      </w:del>
    </w:p>
    <w:p w14:paraId="5FB419A5" w14:textId="054CAC5E" w:rsidR="002F0483" w:rsidRPr="002D0790" w:rsidRDefault="002F0483" w:rsidP="002F0483">
      <w:pPr>
        <w:pStyle w:val="EndnoteText"/>
        <w:keepNext/>
        <w:widowControl/>
        <w:tabs>
          <w:tab w:val="clear" w:pos="567"/>
        </w:tabs>
        <w:suppressAutoHyphens/>
        <w:rPr>
          <w:del w:id="3033" w:author="AbbVie02no" w:date="2025-05-15T12:36:00Z"/>
          <w:szCs w:val="22"/>
          <w:u w:val="single"/>
          <w:lang w:val="nb-NO"/>
        </w:rPr>
      </w:pPr>
    </w:p>
    <w:p w14:paraId="1B48BC44" w14:textId="59C8F33F" w:rsidR="002F0483" w:rsidRPr="009C5EFD" w:rsidRDefault="00E453CD" w:rsidP="002F0483">
      <w:pPr>
        <w:pStyle w:val="EndnoteText"/>
        <w:widowControl/>
        <w:tabs>
          <w:tab w:val="clear" w:pos="567"/>
        </w:tabs>
        <w:suppressAutoHyphens/>
        <w:rPr>
          <w:del w:id="3034" w:author="AbbVie02no" w:date="2025-05-15T12:36:00Z"/>
          <w:szCs w:val="22"/>
          <w:lang w:val="nb-NO"/>
        </w:rPr>
      </w:pPr>
      <w:del w:id="3035" w:author="AbbVie02no" w:date="2025-05-15T12:36:00Z">
        <w:r w:rsidRPr="002D0790">
          <w:rPr>
            <w:szCs w:val="22"/>
            <w:lang w:val="nb-NO"/>
          </w:rPr>
          <w:delText>Sikkerhet og effekt</w:delText>
        </w:r>
        <w:r w:rsidRPr="00E14E58">
          <w:rPr>
            <w:szCs w:val="22"/>
            <w:lang w:val="nb-NO"/>
          </w:rPr>
          <w:delText xml:space="preserve"> </w:delText>
        </w:r>
        <w:r w:rsidRPr="009C5EFD">
          <w:rPr>
            <w:szCs w:val="22"/>
            <w:lang w:val="nb-NO"/>
          </w:rPr>
          <w:delText>av Humira ble vurdert i to studier (pJIA I og II) hos barn med aktiv polyartikulær eller polyartikulær juvenil idiopatisk artritt, som hadde en rekke med JIA utbruddsfaktorer (oftest revmatoid-faktor negativ eller positiv polyartritt og forlenget oligoartritt).</w:delText>
        </w:r>
      </w:del>
    </w:p>
    <w:p w14:paraId="506B30B4" w14:textId="0D288E0F" w:rsidR="002F0483" w:rsidRPr="009C5EFD" w:rsidRDefault="002F0483" w:rsidP="002F0483">
      <w:pPr>
        <w:pStyle w:val="EndnoteText"/>
        <w:widowControl/>
        <w:tabs>
          <w:tab w:val="clear" w:pos="567"/>
        </w:tabs>
        <w:suppressAutoHyphens/>
        <w:rPr>
          <w:del w:id="3036" w:author="AbbVie02no" w:date="2025-05-15T12:36:00Z"/>
          <w:szCs w:val="22"/>
          <w:lang w:val="nb-NO"/>
        </w:rPr>
      </w:pPr>
    </w:p>
    <w:p w14:paraId="3B38457A" w14:textId="5E910545" w:rsidR="002F0483" w:rsidRPr="009C5EFD" w:rsidRDefault="00E453CD" w:rsidP="002F0483">
      <w:pPr>
        <w:pStyle w:val="EndnoteText"/>
        <w:keepNext/>
        <w:widowControl/>
        <w:tabs>
          <w:tab w:val="clear" w:pos="567"/>
        </w:tabs>
        <w:suppressAutoHyphens/>
        <w:rPr>
          <w:del w:id="3037" w:author="AbbVie02no" w:date="2025-05-15T12:36:00Z"/>
          <w:bCs/>
          <w:iCs/>
          <w:szCs w:val="22"/>
        </w:rPr>
      </w:pPr>
      <w:del w:id="3038" w:author="AbbVie02no" w:date="2025-05-15T12:36:00Z">
        <w:r w:rsidRPr="009C5EFD">
          <w:rPr>
            <w:bCs/>
            <w:iCs/>
            <w:szCs w:val="22"/>
          </w:rPr>
          <w:delText>pJIA I</w:delText>
        </w:r>
      </w:del>
    </w:p>
    <w:p w14:paraId="78CE3C39" w14:textId="7C840A4B" w:rsidR="002F0483" w:rsidRPr="009C5EFD" w:rsidRDefault="002F0483" w:rsidP="002F0483">
      <w:pPr>
        <w:pStyle w:val="EndnoteText"/>
        <w:keepNext/>
        <w:widowControl/>
        <w:tabs>
          <w:tab w:val="clear" w:pos="567"/>
        </w:tabs>
        <w:suppressAutoHyphens/>
        <w:rPr>
          <w:del w:id="3039" w:author="AbbVie02no" w:date="2025-05-15T12:36:00Z"/>
          <w:szCs w:val="22"/>
          <w:lang w:val="nb-NO"/>
        </w:rPr>
      </w:pPr>
    </w:p>
    <w:p w14:paraId="1AE94DEC" w14:textId="74ACD3C8" w:rsidR="002F0483" w:rsidRPr="009C5EFD" w:rsidRDefault="00E453CD" w:rsidP="002F0483">
      <w:pPr>
        <w:pStyle w:val="EndnoteText"/>
        <w:widowControl/>
        <w:tabs>
          <w:tab w:val="clear" w:pos="567"/>
        </w:tabs>
        <w:suppressAutoHyphens/>
        <w:rPr>
          <w:del w:id="3040" w:author="AbbVie02no" w:date="2025-05-15T12:36:00Z"/>
          <w:szCs w:val="22"/>
          <w:lang w:val="nb-NO"/>
        </w:rPr>
      </w:pPr>
      <w:del w:id="3041" w:author="AbbVie02no" w:date="2025-05-15T12:36:00Z">
        <w:r w:rsidRPr="009C5EFD">
          <w:rPr>
            <w:szCs w:val="22"/>
            <w:lang w:val="nb-NO"/>
          </w:rPr>
          <w:delText xml:space="preserve">Sikkerhet og effekt av Humira ble vurdert i en multisenter, randomisert, dobbeltblindet, parallellgruppestudie hos 171 barn (4-17 år) med polyartikulær JIA. I den åpne, innledende fasen (open-label lead in phase, OL LI) ble pasientene stratifisert i to grupper; behandling med og uten </w:delText>
        </w:r>
        <w:r w:rsidRPr="009C5EFD">
          <w:rPr>
            <w:szCs w:val="22"/>
            <w:lang w:val="nb-NO"/>
          </w:rPr>
          <w:lastRenderedPageBreak/>
          <w:delText xml:space="preserve">metotreksat. Pasienter som var i den gruppen som ikke ble behandlet med metotreksat hadde enten ikke brukt metotreksat tidligere eller de hadde sluttet med metotreksat minst to uker før start av studien. Pasientene sto på stabile doser av </w:delText>
        </w:r>
        <w:r w:rsidRPr="00BE192A">
          <w:rPr>
            <w:szCs w:val="22"/>
            <w:lang w:val="nb-NO"/>
          </w:rPr>
          <w:delText>ikke-steroide antiinflammatoriske midler</w:delText>
        </w:r>
        <w:r>
          <w:rPr>
            <w:szCs w:val="22"/>
            <w:lang w:val="nb-NO"/>
          </w:rPr>
          <w:delText xml:space="preserve"> (</w:delText>
        </w:r>
        <w:r w:rsidRPr="009C5EFD">
          <w:rPr>
            <w:szCs w:val="22"/>
            <w:lang w:val="nb-NO"/>
          </w:rPr>
          <w:delText>NSAIDs</w:delText>
        </w:r>
        <w:r>
          <w:rPr>
            <w:szCs w:val="22"/>
            <w:lang w:val="nb-NO"/>
          </w:rPr>
          <w:delText>)</w:delText>
        </w:r>
        <w:r w:rsidRPr="009C5EFD">
          <w:rPr>
            <w:szCs w:val="22"/>
            <w:lang w:val="nb-NO"/>
          </w:rPr>
          <w:delText xml:space="preserve"> og/eller prednison (≤ 0,2 mg/kg/dag eller 10 mg/dag maksimum). I OL LI</w:delText>
        </w:r>
        <w:r>
          <w:rPr>
            <w:szCs w:val="22"/>
            <w:lang w:val="nb-NO"/>
          </w:rPr>
          <w:noBreakHyphen/>
          <w:delText xml:space="preserve">fasen </w:delText>
        </w:r>
        <w:r w:rsidRPr="009C5EFD">
          <w:rPr>
            <w:szCs w:val="22"/>
            <w:lang w:val="nb-NO"/>
          </w:rPr>
          <w:delText>fikk alle pasienter 24 mg/m</w:delText>
        </w:r>
        <w:r w:rsidRPr="009C5EFD">
          <w:rPr>
            <w:szCs w:val="22"/>
            <w:vertAlign w:val="superscript"/>
            <w:lang w:val="nb-NO"/>
          </w:rPr>
          <w:delText>2</w:delText>
        </w:r>
        <w:r w:rsidRPr="009C5EFD">
          <w:rPr>
            <w:szCs w:val="22"/>
            <w:lang w:val="nb-NO"/>
          </w:rPr>
          <w:delText xml:space="preserve"> opptil maksimum 40 mg Humira annen</w:delText>
        </w:r>
        <w:r>
          <w:rPr>
            <w:szCs w:val="22"/>
            <w:lang w:val="nb-NO"/>
          </w:rPr>
          <w:delText>hver</w:delText>
        </w:r>
        <w:r w:rsidRPr="009C5EFD">
          <w:rPr>
            <w:szCs w:val="22"/>
            <w:lang w:val="nb-NO"/>
          </w:rPr>
          <w:delText xml:space="preserve"> uke i 16 uker. Spredning av pasientene med hensyn til alder, minimum-, median- og maksimumdose under OL LI-fasen er vist i tabell </w:delText>
        </w:r>
        <w:r>
          <w:rPr>
            <w:szCs w:val="22"/>
            <w:lang w:val="nb-NO"/>
          </w:rPr>
          <w:delText>20</w:delText>
        </w:r>
        <w:r w:rsidRPr="009C5EFD">
          <w:rPr>
            <w:szCs w:val="22"/>
            <w:lang w:val="nb-NO"/>
          </w:rPr>
          <w:delText>.</w:delText>
        </w:r>
      </w:del>
    </w:p>
    <w:p w14:paraId="035F09EA" w14:textId="25458722" w:rsidR="002F0483" w:rsidRPr="001F5D4B" w:rsidRDefault="002F0483" w:rsidP="002F0483">
      <w:pPr>
        <w:pStyle w:val="BodyTextIndent"/>
        <w:ind w:left="0" w:right="53"/>
        <w:rPr>
          <w:del w:id="3042" w:author="AbbVie02no" w:date="2025-05-15T12:36:00Z"/>
          <w:sz w:val="22"/>
          <w:szCs w:val="22"/>
        </w:rPr>
      </w:pPr>
    </w:p>
    <w:p w14:paraId="700C0BCE" w14:textId="12F405D2" w:rsidR="002F0483" w:rsidRPr="007F67EE" w:rsidRDefault="00E453CD" w:rsidP="002F0483">
      <w:pPr>
        <w:pStyle w:val="BodyTextIndent"/>
        <w:keepNext/>
        <w:ind w:left="0" w:right="53"/>
        <w:jc w:val="center"/>
        <w:rPr>
          <w:del w:id="3043" w:author="AbbVie02no" w:date="2025-05-15T12:36:00Z"/>
          <w:b/>
          <w:sz w:val="22"/>
          <w:szCs w:val="22"/>
        </w:rPr>
      </w:pPr>
      <w:del w:id="3044" w:author="AbbVie02no" w:date="2025-05-15T12:36:00Z">
        <w:r w:rsidRPr="007F67EE">
          <w:rPr>
            <w:b/>
            <w:sz w:val="22"/>
            <w:szCs w:val="22"/>
          </w:rPr>
          <w:delText xml:space="preserve">Tabell </w:delText>
        </w:r>
        <w:r>
          <w:rPr>
            <w:b/>
            <w:sz w:val="22"/>
            <w:szCs w:val="22"/>
          </w:rPr>
          <w:delText>20</w:delText>
        </w:r>
        <w:r w:rsidRPr="007F67EE">
          <w:rPr>
            <w:b/>
            <w:sz w:val="22"/>
            <w:szCs w:val="22"/>
          </w:rPr>
          <w:delText xml:space="preserve"> </w:delText>
        </w:r>
      </w:del>
    </w:p>
    <w:p w14:paraId="192DC7B6" w14:textId="3F2238CB" w:rsidR="002F0483" w:rsidRPr="002D0790" w:rsidRDefault="00E453CD" w:rsidP="002F0483">
      <w:pPr>
        <w:pStyle w:val="BodyTextIndent"/>
        <w:keepNext/>
        <w:ind w:left="0" w:right="53"/>
        <w:jc w:val="center"/>
        <w:rPr>
          <w:del w:id="3045" w:author="AbbVie02no" w:date="2025-05-15T12:36:00Z"/>
          <w:b/>
          <w:sz w:val="22"/>
          <w:szCs w:val="22"/>
        </w:rPr>
      </w:pPr>
      <w:del w:id="3046" w:author="AbbVie02no" w:date="2025-05-15T12:36:00Z">
        <w:r w:rsidRPr="007F67EE">
          <w:rPr>
            <w:b/>
            <w:sz w:val="22"/>
            <w:szCs w:val="22"/>
          </w:rPr>
          <w:delText>Pasienters al</w:delText>
        </w:r>
        <w:r w:rsidRPr="00193D76">
          <w:rPr>
            <w:b/>
            <w:sz w:val="22"/>
            <w:szCs w:val="22"/>
          </w:rPr>
          <w:delText>dersspredning og adalimumabdose</w:delText>
        </w:r>
        <w:r w:rsidRPr="002D0790">
          <w:rPr>
            <w:b/>
            <w:sz w:val="22"/>
            <w:szCs w:val="22"/>
          </w:rPr>
          <w:delText xml:space="preserve"> under OL LI-fasen</w:delText>
        </w:r>
      </w:del>
    </w:p>
    <w:p w14:paraId="0C535DEC" w14:textId="1EE996EB" w:rsidR="002F0483" w:rsidRPr="002D0790" w:rsidRDefault="002F0483" w:rsidP="002F0483">
      <w:pPr>
        <w:pStyle w:val="BodyTextIndent"/>
        <w:keepNext/>
        <w:ind w:left="0" w:right="53"/>
        <w:jc w:val="center"/>
        <w:rPr>
          <w:del w:id="3047" w:author="AbbVie02no" w:date="2025-05-15T12:36:00Z"/>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3423"/>
        <w:gridCol w:w="3154"/>
      </w:tblGrid>
      <w:tr w:rsidR="004644D4" w14:paraId="1047B163" w14:textId="27CC74CE" w:rsidTr="002F0483">
        <w:trPr>
          <w:cantSplit/>
          <w:del w:id="3048" w:author="AbbVie02no" w:date="2025-05-15T12:36:00Z"/>
        </w:trPr>
        <w:tc>
          <w:tcPr>
            <w:tcW w:w="2418" w:type="dxa"/>
          </w:tcPr>
          <w:p w14:paraId="7546E12D" w14:textId="3F083561" w:rsidR="002F0483" w:rsidRPr="009C5EFD" w:rsidRDefault="00E453CD" w:rsidP="002F0483">
            <w:pPr>
              <w:pStyle w:val="BodyTextIndent"/>
              <w:keepNext/>
              <w:ind w:left="0" w:right="53"/>
              <w:rPr>
                <w:del w:id="3049" w:author="AbbVie02no" w:date="2025-05-15T12:36:00Z"/>
                <w:sz w:val="22"/>
                <w:szCs w:val="22"/>
              </w:rPr>
            </w:pPr>
            <w:del w:id="3050" w:author="AbbVie02no" w:date="2025-05-15T12:36:00Z">
              <w:r w:rsidRPr="009C5EFD">
                <w:rPr>
                  <w:sz w:val="22"/>
                  <w:szCs w:val="22"/>
                </w:rPr>
                <w:delText>Aldersgruppe</w:delText>
              </w:r>
            </w:del>
          </w:p>
        </w:tc>
        <w:tc>
          <w:tcPr>
            <w:tcW w:w="3520" w:type="dxa"/>
          </w:tcPr>
          <w:p w14:paraId="3B396F43" w14:textId="1B4A8753" w:rsidR="002F0483" w:rsidRPr="009C5EFD" w:rsidRDefault="00E453CD" w:rsidP="002F0483">
            <w:pPr>
              <w:pStyle w:val="BodyTextIndent"/>
              <w:keepNext/>
              <w:ind w:left="0" w:right="53"/>
              <w:rPr>
                <w:del w:id="3051" w:author="AbbVie02no" w:date="2025-05-15T12:36:00Z"/>
                <w:sz w:val="22"/>
                <w:szCs w:val="22"/>
              </w:rPr>
            </w:pPr>
            <w:del w:id="3052" w:author="AbbVie02no" w:date="2025-05-15T12:36:00Z">
              <w:r w:rsidRPr="009C5EFD">
                <w:rPr>
                  <w:sz w:val="22"/>
                  <w:szCs w:val="22"/>
                </w:rPr>
                <w:delText>Antall pasienter ved behandlingsstart n (%)</w:delText>
              </w:r>
            </w:del>
          </w:p>
        </w:tc>
        <w:tc>
          <w:tcPr>
            <w:tcW w:w="3239" w:type="dxa"/>
          </w:tcPr>
          <w:p w14:paraId="256E372E" w14:textId="5BD57A94" w:rsidR="002F0483" w:rsidRPr="009C5EFD" w:rsidRDefault="00E453CD" w:rsidP="002F0483">
            <w:pPr>
              <w:pStyle w:val="BodyTextIndent"/>
              <w:keepNext/>
              <w:ind w:left="0" w:right="53"/>
              <w:rPr>
                <w:del w:id="3053" w:author="AbbVie02no" w:date="2025-05-15T12:36:00Z"/>
                <w:sz w:val="22"/>
                <w:szCs w:val="22"/>
              </w:rPr>
            </w:pPr>
            <w:del w:id="3054" w:author="AbbVie02no" w:date="2025-05-15T12:36:00Z">
              <w:r w:rsidRPr="009C5EFD">
                <w:rPr>
                  <w:sz w:val="22"/>
                  <w:szCs w:val="22"/>
                </w:rPr>
                <w:delText>Minimum-, median- og maksimumdose</w:delText>
              </w:r>
            </w:del>
          </w:p>
        </w:tc>
      </w:tr>
      <w:tr w:rsidR="004644D4" w14:paraId="242ED298" w14:textId="3D148F35" w:rsidTr="002F0483">
        <w:trPr>
          <w:cantSplit/>
          <w:del w:id="3055" w:author="AbbVie02no" w:date="2025-05-15T12:36:00Z"/>
        </w:trPr>
        <w:tc>
          <w:tcPr>
            <w:tcW w:w="2418" w:type="dxa"/>
          </w:tcPr>
          <w:p w14:paraId="296CD5FE" w14:textId="32EB7CE3" w:rsidR="002F0483" w:rsidRPr="007F67EE" w:rsidRDefault="00E453CD" w:rsidP="002F0483">
            <w:pPr>
              <w:pStyle w:val="BodyTextIndent"/>
              <w:keepNext/>
              <w:ind w:left="0" w:right="53"/>
              <w:rPr>
                <w:del w:id="3056" w:author="AbbVie02no" w:date="2025-05-15T12:36:00Z"/>
                <w:sz w:val="22"/>
                <w:szCs w:val="22"/>
              </w:rPr>
            </w:pPr>
            <w:del w:id="3057" w:author="AbbVie02no" w:date="2025-05-15T12:36:00Z">
              <w:r w:rsidRPr="007F67EE">
                <w:rPr>
                  <w:sz w:val="22"/>
                  <w:szCs w:val="22"/>
                </w:rPr>
                <w:delText>4 til 7 år</w:delText>
              </w:r>
            </w:del>
          </w:p>
        </w:tc>
        <w:tc>
          <w:tcPr>
            <w:tcW w:w="3520" w:type="dxa"/>
          </w:tcPr>
          <w:p w14:paraId="4F5A3F7F" w14:textId="45283630" w:rsidR="002F0483" w:rsidRPr="007F67EE" w:rsidRDefault="00E453CD" w:rsidP="002F0483">
            <w:pPr>
              <w:pStyle w:val="BodyTextIndent"/>
              <w:keepNext/>
              <w:ind w:left="0" w:right="53"/>
              <w:rPr>
                <w:del w:id="3058" w:author="AbbVie02no" w:date="2025-05-15T12:36:00Z"/>
                <w:sz w:val="22"/>
                <w:szCs w:val="22"/>
              </w:rPr>
            </w:pPr>
            <w:del w:id="3059" w:author="AbbVie02no" w:date="2025-05-15T12:36:00Z">
              <w:r w:rsidRPr="007F67EE">
                <w:rPr>
                  <w:sz w:val="22"/>
                  <w:szCs w:val="22"/>
                </w:rPr>
                <w:delText>31 (18,1)</w:delText>
              </w:r>
            </w:del>
          </w:p>
        </w:tc>
        <w:tc>
          <w:tcPr>
            <w:tcW w:w="3239" w:type="dxa"/>
          </w:tcPr>
          <w:p w14:paraId="5442DD40" w14:textId="2F893074" w:rsidR="002F0483" w:rsidRPr="00193D76" w:rsidRDefault="00E453CD" w:rsidP="002F0483">
            <w:pPr>
              <w:pStyle w:val="BodyTextIndent"/>
              <w:keepNext/>
              <w:ind w:left="0" w:right="53"/>
              <w:rPr>
                <w:del w:id="3060" w:author="AbbVie02no" w:date="2025-05-15T12:36:00Z"/>
                <w:sz w:val="22"/>
                <w:szCs w:val="22"/>
              </w:rPr>
            </w:pPr>
            <w:del w:id="3061" w:author="AbbVie02no" w:date="2025-05-15T12:36:00Z">
              <w:r w:rsidRPr="00193D76">
                <w:rPr>
                  <w:sz w:val="22"/>
                  <w:szCs w:val="22"/>
                </w:rPr>
                <w:delText>10, 20 og 25 mg</w:delText>
              </w:r>
            </w:del>
          </w:p>
        </w:tc>
      </w:tr>
      <w:tr w:rsidR="004644D4" w14:paraId="652C9623" w14:textId="56B15B86" w:rsidTr="002F0483">
        <w:trPr>
          <w:cantSplit/>
          <w:del w:id="3062" w:author="AbbVie02no" w:date="2025-05-15T12:36:00Z"/>
        </w:trPr>
        <w:tc>
          <w:tcPr>
            <w:tcW w:w="2418" w:type="dxa"/>
          </w:tcPr>
          <w:p w14:paraId="3351CBBD" w14:textId="5BAE0DEF" w:rsidR="002F0483" w:rsidRPr="007F67EE" w:rsidRDefault="00E453CD" w:rsidP="002F0483">
            <w:pPr>
              <w:pStyle w:val="BodyTextIndent"/>
              <w:keepNext/>
              <w:ind w:left="0" w:right="53"/>
              <w:rPr>
                <w:del w:id="3063" w:author="AbbVie02no" w:date="2025-05-15T12:36:00Z"/>
                <w:sz w:val="22"/>
                <w:szCs w:val="22"/>
              </w:rPr>
            </w:pPr>
            <w:del w:id="3064" w:author="AbbVie02no" w:date="2025-05-15T12:36:00Z">
              <w:r w:rsidRPr="007F67EE">
                <w:rPr>
                  <w:sz w:val="22"/>
                  <w:szCs w:val="22"/>
                </w:rPr>
                <w:delText>8 til 12 år</w:delText>
              </w:r>
            </w:del>
          </w:p>
        </w:tc>
        <w:tc>
          <w:tcPr>
            <w:tcW w:w="3520" w:type="dxa"/>
          </w:tcPr>
          <w:p w14:paraId="6401E62D" w14:textId="6303A5EB" w:rsidR="002F0483" w:rsidRPr="007F67EE" w:rsidRDefault="00E453CD" w:rsidP="002F0483">
            <w:pPr>
              <w:pStyle w:val="BodyTextIndent"/>
              <w:keepNext/>
              <w:ind w:left="0" w:right="53"/>
              <w:rPr>
                <w:del w:id="3065" w:author="AbbVie02no" w:date="2025-05-15T12:36:00Z"/>
                <w:sz w:val="22"/>
                <w:szCs w:val="22"/>
              </w:rPr>
            </w:pPr>
            <w:del w:id="3066" w:author="AbbVie02no" w:date="2025-05-15T12:36:00Z">
              <w:r w:rsidRPr="007F67EE">
                <w:rPr>
                  <w:sz w:val="22"/>
                  <w:szCs w:val="22"/>
                </w:rPr>
                <w:delText>71 (41,5)</w:delText>
              </w:r>
            </w:del>
          </w:p>
        </w:tc>
        <w:tc>
          <w:tcPr>
            <w:tcW w:w="3239" w:type="dxa"/>
          </w:tcPr>
          <w:p w14:paraId="37E8485B" w14:textId="2CDA8872" w:rsidR="002F0483" w:rsidRPr="00193D76" w:rsidRDefault="00E453CD" w:rsidP="002F0483">
            <w:pPr>
              <w:pStyle w:val="BodyTextIndent"/>
              <w:keepNext/>
              <w:ind w:left="0" w:right="53"/>
              <w:rPr>
                <w:del w:id="3067" w:author="AbbVie02no" w:date="2025-05-15T12:36:00Z"/>
                <w:sz w:val="22"/>
                <w:szCs w:val="22"/>
              </w:rPr>
            </w:pPr>
            <w:del w:id="3068" w:author="AbbVie02no" w:date="2025-05-15T12:36:00Z">
              <w:r w:rsidRPr="00193D76">
                <w:rPr>
                  <w:sz w:val="22"/>
                  <w:szCs w:val="22"/>
                </w:rPr>
                <w:delText>20, 25 og 40 mg</w:delText>
              </w:r>
            </w:del>
          </w:p>
        </w:tc>
      </w:tr>
      <w:tr w:rsidR="004644D4" w14:paraId="3619BCC8" w14:textId="7DA89417" w:rsidTr="002F0483">
        <w:trPr>
          <w:cantSplit/>
          <w:del w:id="3069" w:author="AbbVie02no" w:date="2025-05-15T12:36:00Z"/>
        </w:trPr>
        <w:tc>
          <w:tcPr>
            <w:tcW w:w="2418" w:type="dxa"/>
          </w:tcPr>
          <w:p w14:paraId="7A8896B3" w14:textId="40A99FAD" w:rsidR="002F0483" w:rsidRPr="007F67EE" w:rsidRDefault="00E453CD" w:rsidP="002F0483">
            <w:pPr>
              <w:pStyle w:val="BodyTextIndent"/>
              <w:keepNext/>
              <w:ind w:left="0" w:right="53"/>
              <w:rPr>
                <w:del w:id="3070" w:author="AbbVie02no" w:date="2025-05-15T12:36:00Z"/>
                <w:sz w:val="22"/>
                <w:szCs w:val="22"/>
              </w:rPr>
            </w:pPr>
            <w:del w:id="3071" w:author="AbbVie02no" w:date="2025-05-15T12:36:00Z">
              <w:r w:rsidRPr="007F67EE">
                <w:rPr>
                  <w:sz w:val="22"/>
                  <w:szCs w:val="22"/>
                </w:rPr>
                <w:delText>13 til 17 år</w:delText>
              </w:r>
            </w:del>
          </w:p>
        </w:tc>
        <w:tc>
          <w:tcPr>
            <w:tcW w:w="3520" w:type="dxa"/>
          </w:tcPr>
          <w:p w14:paraId="650A56FF" w14:textId="5BAD6589" w:rsidR="002F0483" w:rsidRPr="007F67EE" w:rsidRDefault="00E453CD" w:rsidP="002F0483">
            <w:pPr>
              <w:pStyle w:val="BodyTextIndent"/>
              <w:keepNext/>
              <w:ind w:left="0" w:right="53"/>
              <w:rPr>
                <w:del w:id="3072" w:author="AbbVie02no" w:date="2025-05-15T12:36:00Z"/>
                <w:sz w:val="22"/>
                <w:szCs w:val="22"/>
              </w:rPr>
            </w:pPr>
            <w:del w:id="3073" w:author="AbbVie02no" w:date="2025-05-15T12:36:00Z">
              <w:r w:rsidRPr="007F67EE">
                <w:rPr>
                  <w:sz w:val="22"/>
                  <w:szCs w:val="22"/>
                </w:rPr>
                <w:delText>69 (40,4)</w:delText>
              </w:r>
            </w:del>
          </w:p>
        </w:tc>
        <w:tc>
          <w:tcPr>
            <w:tcW w:w="3239" w:type="dxa"/>
          </w:tcPr>
          <w:p w14:paraId="58B86C25" w14:textId="4905C6CD" w:rsidR="002F0483" w:rsidRPr="00193D76" w:rsidRDefault="00E453CD" w:rsidP="002F0483">
            <w:pPr>
              <w:pStyle w:val="BodyTextIndent"/>
              <w:keepNext/>
              <w:ind w:left="0" w:right="53"/>
              <w:rPr>
                <w:del w:id="3074" w:author="AbbVie02no" w:date="2025-05-15T12:36:00Z"/>
                <w:sz w:val="22"/>
                <w:szCs w:val="22"/>
              </w:rPr>
            </w:pPr>
            <w:del w:id="3075" w:author="AbbVie02no" w:date="2025-05-15T12:36:00Z">
              <w:r w:rsidRPr="00193D76">
                <w:rPr>
                  <w:sz w:val="22"/>
                  <w:szCs w:val="22"/>
                </w:rPr>
                <w:delText>25, 40 og 40 mg</w:delText>
              </w:r>
            </w:del>
          </w:p>
        </w:tc>
      </w:tr>
    </w:tbl>
    <w:p w14:paraId="146C095E" w14:textId="47462C98" w:rsidR="002F0483" w:rsidRPr="002D0790" w:rsidRDefault="002F0483" w:rsidP="002F0483">
      <w:pPr>
        <w:tabs>
          <w:tab w:val="left" w:pos="6840"/>
        </w:tabs>
        <w:autoSpaceDE w:val="0"/>
        <w:autoSpaceDN w:val="0"/>
        <w:adjustRightInd w:val="0"/>
        <w:ind w:right="53"/>
        <w:rPr>
          <w:del w:id="3076" w:author="AbbVie02no" w:date="2025-05-15T12:36:00Z"/>
          <w:sz w:val="22"/>
          <w:szCs w:val="22"/>
        </w:rPr>
      </w:pPr>
    </w:p>
    <w:p w14:paraId="0FB02448" w14:textId="1B6F0E22" w:rsidR="002F0483" w:rsidRPr="009C5EFD" w:rsidRDefault="00E453CD" w:rsidP="002F0483">
      <w:pPr>
        <w:rPr>
          <w:del w:id="3077" w:author="AbbVie02no" w:date="2025-05-15T12:36:00Z"/>
          <w:sz w:val="22"/>
          <w:szCs w:val="22"/>
        </w:rPr>
      </w:pPr>
      <w:del w:id="3078" w:author="AbbVie02no" w:date="2025-05-15T12:36:00Z">
        <w:r w:rsidRPr="002D0790">
          <w:rPr>
            <w:sz w:val="22"/>
            <w:szCs w:val="22"/>
          </w:rPr>
          <w:delText>Pasienter som viste en pediatrisk ACR 30-respons ved uke 16 kunne randomiseres til den dobbel</w:delText>
        </w:r>
        <w:r w:rsidRPr="00E14E58">
          <w:rPr>
            <w:sz w:val="22"/>
            <w:szCs w:val="22"/>
          </w:rPr>
          <w:delText>t</w:delText>
        </w:r>
        <w:r w:rsidRPr="009C5EFD">
          <w:rPr>
            <w:sz w:val="22"/>
            <w:szCs w:val="22"/>
          </w:rPr>
          <w:delText>blinde fasen og fikk enten Humira 24 mg/m</w:delText>
        </w:r>
        <w:r w:rsidRPr="009C5EFD">
          <w:rPr>
            <w:sz w:val="22"/>
            <w:szCs w:val="22"/>
            <w:vertAlign w:val="superscript"/>
          </w:rPr>
          <w:delText>2</w:delText>
        </w:r>
        <w:r w:rsidRPr="009C5EFD">
          <w:rPr>
            <w:sz w:val="22"/>
            <w:szCs w:val="22"/>
          </w:rPr>
          <w:delText xml:space="preserve"> opptil maksimum 40 mg eller placebo annenhver uke i ytterligere 32 uker eller inntil sykdommen blusset opp. Kriterier for </w:delText>
        </w:r>
        <w:r w:rsidRPr="009C5EFD">
          <w:rPr>
            <w:sz w:val="22"/>
          </w:rPr>
          <w:delText>sykdomsoppbluss</w:delText>
        </w:r>
        <w:r w:rsidRPr="009C5EFD">
          <w:rPr>
            <w:sz w:val="22"/>
            <w:szCs w:val="22"/>
          </w:rPr>
          <w:delText xml:space="preserve"> var definert som en forverring av ≥ 30 % siden behandlingsstart i ≥ 3 av 6 pediatrisk ACR kjernekriterier, ≥ 2 aktive ledd og forbedring av &gt; 30 % i ikke flere enn 1 av 6 kriterier. Etter 32 uker eller ved </w:delText>
        </w:r>
        <w:r w:rsidRPr="009C5EFD">
          <w:rPr>
            <w:sz w:val="22"/>
          </w:rPr>
          <w:delText>sykdomsoppbluss</w:delText>
        </w:r>
        <w:r w:rsidRPr="009C5EFD">
          <w:rPr>
            <w:sz w:val="22"/>
            <w:szCs w:val="22"/>
          </w:rPr>
          <w:delText xml:space="preserve"> kunne pasientene inkluderes i den åpne forlengelsesfasen (open-label extension phase, OLE).</w:delText>
        </w:r>
      </w:del>
    </w:p>
    <w:p w14:paraId="736C9C6B" w14:textId="0E7DF84F" w:rsidR="002F0483" w:rsidRPr="009C5EFD" w:rsidRDefault="002F0483" w:rsidP="002F0483">
      <w:pPr>
        <w:pStyle w:val="BodyTextIndent"/>
        <w:ind w:left="0" w:right="53"/>
        <w:jc w:val="center"/>
        <w:rPr>
          <w:del w:id="3079" w:author="AbbVie02no" w:date="2025-05-15T12:36:00Z"/>
          <w:b/>
          <w:sz w:val="22"/>
          <w:szCs w:val="22"/>
        </w:rPr>
      </w:pPr>
    </w:p>
    <w:p w14:paraId="28B9B2E7" w14:textId="63F25B7A" w:rsidR="002F0483" w:rsidRPr="009C5EFD" w:rsidRDefault="00E453CD" w:rsidP="002F0483">
      <w:pPr>
        <w:pStyle w:val="BodyTextIndent"/>
        <w:keepNext/>
        <w:ind w:left="0" w:right="51"/>
        <w:jc w:val="center"/>
        <w:rPr>
          <w:del w:id="3080" w:author="AbbVie02no" w:date="2025-05-15T12:36:00Z"/>
          <w:b/>
          <w:sz w:val="22"/>
          <w:szCs w:val="22"/>
        </w:rPr>
      </w:pPr>
      <w:del w:id="3081" w:author="AbbVie02no" w:date="2025-05-15T12:36:00Z">
        <w:r w:rsidRPr="009C5EFD">
          <w:rPr>
            <w:b/>
            <w:sz w:val="22"/>
            <w:szCs w:val="22"/>
          </w:rPr>
          <w:delText xml:space="preserve">Tabell </w:delText>
        </w:r>
        <w:r>
          <w:rPr>
            <w:b/>
            <w:sz w:val="22"/>
            <w:szCs w:val="22"/>
          </w:rPr>
          <w:delText>21</w:delText>
        </w:r>
        <w:r w:rsidRPr="009C5EFD">
          <w:rPr>
            <w:b/>
            <w:sz w:val="22"/>
            <w:szCs w:val="22"/>
          </w:rPr>
          <w:delText xml:space="preserve"> </w:delText>
        </w:r>
      </w:del>
    </w:p>
    <w:p w14:paraId="77110F79" w14:textId="75C3C128" w:rsidR="002F0483" w:rsidRPr="009C5EFD" w:rsidRDefault="00E453CD" w:rsidP="002F0483">
      <w:pPr>
        <w:pStyle w:val="BodyTextIndent"/>
        <w:keepNext/>
        <w:ind w:left="0" w:right="51"/>
        <w:jc w:val="center"/>
        <w:rPr>
          <w:del w:id="3082" w:author="AbbVie02no" w:date="2025-05-15T12:36:00Z"/>
          <w:sz w:val="22"/>
          <w:szCs w:val="22"/>
        </w:rPr>
      </w:pPr>
      <w:del w:id="3083" w:author="AbbVie02no" w:date="2025-05-15T12:36:00Z">
        <w:r w:rsidRPr="009C5EFD">
          <w:rPr>
            <w:b/>
            <w:sz w:val="22"/>
            <w:szCs w:val="22"/>
          </w:rPr>
          <w:delText>Pediatrisk ACR 30-respons i JIA-studie</w:delText>
        </w:r>
        <w:r w:rsidRPr="009C5EFD">
          <w:rPr>
            <w:b/>
            <w:bCs/>
            <w:sz w:val="22"/>
            <w:szCs w:val="22"/>
          </w:rPr>
          <w:delText>n</w:delText>
        </w:r>
      </w:del>
    </w:p>
    <w:p w14:paraId="648B80B4" w14:textId="71D62459" w:rsidR="002F0483" w:rsidRPr="009C5EFD" w:rsidRDefault="002F0483" w:rsidP="002F0483">
      <w:pPr>
        <w:pStyle w:val="BodyTextIndent"/>
        <w:keepNext/>
        <w:ind w:left="0" w:right="51"/>
        <w:rPr>
          <w:del w:id="3084" w:author="AbbVie02no" w:date="2025-05-15T12:36:00Z"/>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9"/>
        <w:gridCol w:w="1730"/>
        <w:gridCol w:w="1733"/>
        <w:gridCol w:w="1572"/>
        <w:gridCol w:w="1521"/>
      </w:tblGrid>
      <w:tr w:rsidR="004644D4" w14:paraId="65FF88D7" w14:textId="33A9E933" w:rsidTr="002F0483">
        <w:trPr>
          <w:cantSplit/>
          <w:del w:id="3085" w:author="AbbVie02no" w:date="2025-05-15T12:36:00Z"/>
        </w:trPr>
        <w:tc>
          <w:tcPr>
            <w:tcW w:w="2418" w:type="dxa"/>
          </w:tcPr>
          <w:p w14:paraId="56D55B05" w14:textId="305570BA" w:rsidR="002F0483" w:rsidRPr="00A15CB1" w:rsidRDefault="00E453CD" w:rsidP="002F0483">
            <w:pPr>
              <w:pStyle w:val="BodyTextIndent"/>
              <w:keepNext/>
              <w:ind w:left="0" w:right="53"/>
              <w:rPr>
                <w:del w:id="3086" w:author="AbbVie02no" w:date="2025-05-15T12:36:00Z"/>
                <w:b/>
                <w:sz w:val="22"/>
                <w:szCs w:val="22"/>
              </w:rPr>
            </w:pPr>
            <w:del w:id="3087" w:author="AbbVie02no" w:date="2025-05-15T12:36:00Z">
              <w:r w:rsidRPr="00A15CB1">
                <w:rPr>
                  <w:b/>
                  <w:sz w:val="22"/>
                  <w:szCs w:val="22"/>
                </w:rPr>
                <w:delText>Gruppe</w:delText>
              </w:r>
            </w:del>
          </w:p>
        </w:tc>
        <w:tc>
          <w:tcPr>
            <w:tcW w:w="3520" w:type="dxa"/>
            <w:gridSpan w:val="2"/>
          </w:tcPr>
          <w:p w14:paraId="5211C2A8" w14:textId="19E960EA" w:rsidR="002F0483" w:rsidRPr="00A15CB1" w:rsidRDefault="00E453CD" w:rsidP="002F0483">
            <w:pPr>
              <w:pStyle w:val="BodyTextIndent"/>
              <w:keepNext/>
              <w:ind w:left="0" w:right="53"/>
              <w:jc w:val="center"/>
              <w:rPr>
                <w:del w:id="3088" w:author="AbbVie02no" w:date="2025-05-15T12:36:00Z"/>
                <w:b/>
                <w:sz w:val="22"/>
                <w:szCs w:val="22"/>
              </w:rPr>
            </w:pPr>
            <w:del w:id="3089" w:author="AbbVie02no" w:date="2025-05-15T12:36:00Z">
              <w:r w:rsidRPr="00A15CB1">
                <w:rPr>
                  <w:b/>
                  <w:sz w:val="22"/>
                  <w:szCs w:val="22"/>
                </w:rPr>
                <w:delText>Metotreksat</w:delText>
              </w:r>
            </w:del>
          </w:p>
        </w:tc>
        <w:tc>
          <w:tcPr>
            <w:tcW w:w="3239" w:type="dxa"/>
            <w:gridSpan w:val="2"/>
          </w:tcPr>
          <w:p w14:paraId="0E6579D5" w14:textId="5AB02C8C" w:rsidR="002F0483" w:rsidRPr="00A15CB1" w:rsidRDefault="00E453CD" w:rsidP="002F0483">
            <w:pPr>
              <w:pStyle w:val="BodyTextIndent"/>
              <w:keepNext/>
              <w:ind w:left="0" w:right="53"/>
              <w:jc w:val="center"/>
              <w:rPr>
                <w:del w:id="3090" w:author="AbbVie02no" w:date="2025-05-15T12:36:00Z"/>
                <w:b/>
                <w:sz w:val="22"/>
                <w:szCs w:val="22"/>
              </w:rPr>
            </w:pPr>
            <w:del w:id="3091" w:author="AbbVie02no" w:date="2025-05-15T12:36:00Z">
              <w:r w:rsidRPr="00A15CB1">
                <w:rPr>
                  <w:b/>
                  <w:sz w:val="22"/>
                  <w:szCs w:val="22"/>
                </w:rPr>
                <w:delText>Uten metotreksat</w:delText>
              </w:r>
            </w:del>
          </w:p>
        </w:tc>
      </w:tr>
      <w:tr w:rsidR="004644D4" w14:paraId="5CFD763F" w14:textId="2E1F1521" w:rsidTr="002F0483">
        <w:trPr>
          <w:cantSplit/>
          <w:del w:id="3092" w:author="AbbVie02no" w:date="2025-05-15T12:36:00Z"/>
        </w:trPr>
        <w:tc>
          <w:tcPr>
            <w:tcW w:w="2418" w:type="dxa"/>
          </w:tcPr>
          <w:p w14:paraId="17317D3F" w14:textId="55BBD2AA" w:rsidR="002F0483" w:rsidRPr="00A15CB1" w:rsidRDefault="00E453CD" w:rsidP="002F0483">
            <w:pPr>
              <w:pStyle w:val="BodyTextIndent"/>
              <w:keepNext/>
              <w:ind w:left="0" w:right="53"/>
              <w:rPr>
                <w:del w:id="3093" w:author="AbbVie02no" w:date="2025-05-15T12:36:00Z"/>
                <w:b/>
                <w:sz w:val="22"/>
                <w:szCs w:val="22"/>
              </w:rPr>
            </w:pPr>
            <w:del w:id="3094" w:author="AbbVie02no" w:date="2025-05-15T12:36:00Z">
              <w:r w:rsidRPr="00A15CB1">
                <w:rPr>
                  <w:b/>
                  <w:sz w:val="22"/>
                  <w:szCs w:val="22"/>
                </w:rPr>
                <w:delText>Fase</w:delText>
              </w:r>
            </w:del>
          </w:p>
        </w:tc>
        <w:tc>
          <w:tcPr>
            <w:tcW w:w="3520" w:type="dxa"/>
            <w:gridSpan w:val="2"/>
          </w:tcPr>
          <w:p w14:paraId="609E84E5" w14:textId="218D9967" w:rsidR="002F0483" w:rsidRPr="00A15CB1" w:rsidRDefault="002F0483" w:rsidP="002F0483">
            <w:pPr>
              <w:pStyle w:val="BodyTextIndent"/>
              <w:keepNext/>
              <w:ind w:left="0" w:right="53"/>
              <w:jc w:val="center"/>
              <w:rPr>
                <w:del w:id="3095" w:author="AbbVie02no" w:date="2025-05-15T12:36:00Z"/>
                <w:b/>
                <w:sz w:val="22"/>
                <w:szCs w:val="22"/>
              </w:rPr>
            </w:pPr>
          </w:p>
        </w:tc>
        <w:tc>
          <w:tcPr>
            <w:tcW w:w="3239" w:type="dxa"/>
            <w:gridSpan w:val="2"/>
          </w:tcPr>
          <w:p w14:paraId="3C5D2912" w14:textId="5042CF7F" w:rsidR="002F0483" w:rsidRPr="00A15CB1" w:rsidRDefault="002F0483" w:rsidP="002F0483">
            <w:pPr>
              <w:pStyle w:val="BodyTextIndent"/>
              <w:keepNext/>
              <w:ind w:left="0" w:right="53"/>
              <w:jc w:val="center"/>
              <w:rPr>
                <w:del w:id="3096" w:author="AbbVie02no" w:date="2025-05-15T12:36:00Z"/>
                <w:b/>
                <w:sz w:val="22"/>
                <w:szCs w:val="22"/>
              </w:rPr>
            </w:pPr>
          </w:p>
        </w:tc>
      </w:tr>
      <w:tr w:rsidR="004644D4" w14:paraId="2752ABE1" w14:textId="053F052D" w:rsidTr="002F0483">
        <w:trPr>
          <w:cantSplit/>
          <w:del w:id="3097" w:author="AbbVie02no" w:date="2025-05-15T12:36:00Z"/>
        </w:trPr>
        <w:tc>
          <w:tcPr>
            <w:tcW w:w="2418" w:type="dxa"/>
          </w:tcPr>
          <w:p w14:paraId="02AE3F82" w14:textId="0DD294F8" w:rsidR="002F0483" w:rsidRPr="007F67EE" w:rsidRDefault="00E453CD" w:rsidP="002F0483">
            <w:pPr>
              <w:pStyle w:val="BodyTextIndent"/>
              <w:keepNext/>
              <w:ind w:left="0" w:right="53"/>
              <w:rPr>
                <w:del w:id="3098" w:author="AbbVie02no" w:date="2025-05-15T12:36:00Z"/>
                <w:sz w:val="22"/>
                <w:szCs w:val="22"/>
              </w:rPr>
            </w:pPr>
            <w:del w:id="3099" w:author="AbbVie02no" w:date="2025-05-15T12:36:00Z">
              <w:r w:rsidRPr="007F67EE">
                <w:rPr>
                  <w:sz w:val="22"/>
                  <w:szCs w:val="22"/>
                </w:rPr>
                <w:delText>OL-LI 16 uke</w:delText>
              </w:r>
              <w:r>
                <w:rPr>
                  <w:sz w:val="22"/>
                  <w:szCs w:val="22"/>
                </w:rPr>
                <w:delText>r</w:delText>
              </w:r>
            </w:del>
          </w:p>
        </w:tc>
        <w:tc>
          <w:tcPr>
            <w:tcW w:w="3520" w:type="dxa"/>
            <w:gridSpan w:val="2"/>
          </w:tcPr>
          <w:p w14:paraId="71C711ED" w14:textId="62A99368" w:rsidR="002F0483" w:rsidRPr="007F67EE" w:rsidRDefault="002F0483" w:rsidP="002F0483">
            <w:pPr>
              <w:pStyle w:val="BodyTextIndent"/>
              <w:keepNext/>
              <w:ind w:left="0" w:right="53"/>
              <w:jc w:val="center"/>
              <w:rPr>
                <w:del w:id="3100" w:author="AbbVie02no" w:date="2025-05-15T12:36:00Z"/>
                <w:sz w:val="22"/>
                <w:szCs w:val="22"/>
              </w:rPr>
            </w:pPr>
          </w:p>
        </w:tc>
        <w:tc>
          <w:tcPr>
            <w:tcW w:w="3239" w:type="dxa"/>
            <w:gridSpan w:val="2"/>
          </w:tcPr>
          <w:p w14:paraId="7D0797AC" w14:textId="1E88E828" w:rsidR="002F0483" w:rsidRPr="00193D76" w:rsidRDefault="002F0483" w:rsidP="002F0483">
            <w:pPr>
              <w:pStyle w:val="BodyTextIndent"/>
              <w:keepNext/>
              <w:ind w:left="0" w:right="53"/>
              <w:jc w:val="center"/>
              <w:rPr>
                <w:del w:id="3101" w:author="AbbVie02no" w:date="2025-05-15T12:36:00Z"/>
                <w:sz w:val="22"/>
                <w:szCs w:val="22"/>
              </w:rPr>
            </w:pPr>
          </w:p>
        </w:tc>
      </w:tr>
      <w:tr w:rsidR="004644D4" w14:paraId="1096D9C6" w14:textId="32D67A5C" w:rsidTr="002F0483">
        <w:trPr>
          <w:cantSplit/>
          <w:del w:id="3102" w:author="AbbVie02no" w:date="2025-05-15T12:36:00Z"/>
        </w:trPr>
        <w:tc>
          <w:tcPr>
            <w:tcW w:w="2418" w:type="dxa"/>
          </w:tcPr>
          <w:p w14:paraId="29989D19" w14:textId="0C329251" w:rsidR="002F0483" w:rsidRPr="00193D76" w:rsidRDefault="00E453CD" w:rsidP="002F0483">
            <w:pPr>
              <w:pStyle w:val="BodyTextIndent"/>
              <w:keepNext/>
              <w:ind w:left="0" w:right="53"/>
              <w:rPr>
                <w:del w:id="3103" w:author="AbbVie02no" w:date="2025-05-15T12:36:00Z"/>
                <w:sz w:val="22"/>
                <w:szCs w:val="22"/>
              </w:rPr>
            </w:pPr>
            <w:del w:id="3104" w:author="AbbVie02no" w:date="2025-05-15T12:36:00Z">
              <w:r w:rsidRPr="007F67EE">
                <w:rPr>
                  <w:sz w:val="22"/>
                  <w:szCs w:val="22"/>
                </w:rPr>
                <w:delText xml:space="preserve">Pediatrisk ACR </w:delText>
              </w:r>
              <w:r>
                <w:rPr>
                  <w:sz w:val="22"/>
                  <w:szCs w:val="22"/>
                </w:rPr>
                <w:delText>30-respons</w:delText>
              </w:r>
              <w:r w:rsidRPr="00193D76">
                <w:rPr>
                  <w:sz w:val="22"/>
                  <w:szCs w:val="22"/>
                </w:rPr>
                <w:delText xml:space="preserve"> (n/N)</w:delText>
              </w:r>
            </w:del>
          </w:p>
        </w:tc>
        <w:tc>
          <w:tcPr>
            <w:tcW w:w="3520" w:type="dxa"/>
            <w:gridSpan w:val="2"/>
          </w:tcPr>
          <w:p w14:paraId="5ECF9110" w14:textId="7838E974" w:rsidR="002F0483" w:rsidRPr="002D0790" w:rsidRDefault="00E453CD" w:rsidP="002F0483">
            <w:pPr>
              <w:pStyle w:val="BodyTextIndent"/>
              <w:keepNext/>
              <w:ind w:left="0" w:right="53"/>
              <w:jc w:val="center"/>
              <w:rPr>
                <w:del w:id="3105" w:author="AbbVie02no" w:date="2025-05-15T12:36:00Z"/>
                <w:sz w:val="22"/>
                <w:szCs w:val="22"/>
              </w:rPr>
            </w:pPr>
            <w:del w:id="3106" w:author="AbbVie02no" w:date="2025-05-15T12:36:00Z">
              <w:r w:rsidRPr="002D0790">
                <w:rPr>
                  <w:sz w:val="22"/>
                  <w:szCs w:val="22"/>
                </w:rPr>
                <w:delText>94,1 % (80/85)</w:delText>
              </w:r>
            </w:del>
          </w:p>
        </w:tc>
        <w:tc>
          <w:tcPr>
            <w:tcW w:w="3239" w:type="dxa"/>
            <w:gridSpan w:val="2"/>
          </w:tcPr>
          <w:p w14:paraId="5BFCE981" w14:textId="345B6FA2" w:rsidR="002F0483" w:rsidRPr="002D0790" w:rsidRDefault="00E453CD" w:rsidP="002F0483">
            <w:pPr>
              <w:pStyle w:val="BodyTextIndent"/>
              <w:keepNext/>
              <w:ind w:left="0" w:right="53"/>
              <w:jc w:val="center"/>
              <w:rPr>
                <w:del w:id="3107" w:author="AbbVie02no" w:date="2025-05-15T12:36:00Z"/>
                <w:sz w:val="22"/>
                <w:szCs w:val="22"/>
              </w:rPr>
            </w:pPr>
            <w:del w:id="3108" w:author="AbbVie02no" w:date="2025-05-15T12:36:00Z">
              <w:r w:rsidRPr="002D0790">
                <w:rPr>
                  <w:sz w:val="22"/>
                  <w:szCs w:val="22"/>
                </w:rPr>
                <w:delText>74,4 % (64/86)</w:delText>
              </w:r>
            </w:del>
          </w:p>
        </w:tc>
      </w:tr>
      <w:tr w:rsidR="004644D4" w14:paraId="12202A59" w14:textId="2B2AA81B" w:rsidTr="002F0483">
        <w:trPr>
          <w:cantSplit/>
          <w:del w:id="3109" w:author="AbbVie02no" w:date="2025-05-15T12:36:00Z"/>
        </w:trPr>
        <w:tc>
          <w:tcPr>
            <w:tcW w:w="9177" w:type="dxa"/>
            <w:gridSpan w:val="5"/>
          </w:tcPr>
          <w:p w14:paraId="062D4797" w14:textId="3028E01E" w:rsidR="002F0483" w:rsidRPr="007F67EE" w:rsidRDefault="00E453CD" w:rsidP="002F0483">
            <w:pPr>
              <w:pStyle w:val="BodyTextIndent"/>
              <w:keepNext/>
              <w:ind w:left="0" w:right="53"/>
              <w:rPr>
                <w:del w:id="3110" w:author="AbbVie02no" w:date="2025-05-15T12:36:00Z"/>
                <w:sz w:val="22"/>
                <w:szCs w:val="22"/>
              </w:rPr>
            </w:pPr>
            <w:del w:id="3111" w:author="AbbVie02no" w:date="2025-05-15T12:36:00Z">
              <w:r w:rsidRPr="007F67EE">
                <w:rPr>
                  <w:sz w:val="22"/>
                  <w:szCs w:val="22"/>
                </w:rPr>
                <w:delText xml:space="preserve">                                                   Effektresultater</w:delText>
              </w:r>
            </w:del>
          </w:p>
        </w:tc>
      </w:tr>
      <w:tr w:rsidR="004644D4" w14:paraId="6EFB4B95" w14:textId="6484A3EC" w:rsidTr="002F0483">
        <w:trPr>
          <w:del w:id="3112" w:author="AbbVie02no" w:date="2025-05-15T12:36:00Z"/>
        </w:trPr>
        <w:tc>
          <w:tcPr>
            <w:tcW w:w="2418" w:type="dxa"/>
          </w:tcPr>
          <w:p w14:paraId="77055E89" w14:textId="29B64E8B" w:rsidR="002F0483" w:rsidRPr="00193D76" w:rsidRDefault="00E453CD" w:rsidP="002F0483">
            <w:pPr>
              <w:pStyle w:val="BodyTextIndent"/>
              <w:keepNext/>
              <w:ind w:left="0" w:right="53"/>
              <w:rPr>
                <w:del w:id="3113" w:author="AbbVie02no" w:date="2025-05-15T12:36:00Z"/>
                <w:sz w:val="22"/>
                <w:szCs w:val="22"/>
              </w:rPr>
            </w:pPr>
            <w:del w:id="3114" w:author="AbbVie02no" w:date="2025-05-15T12:36:00Z">
              <w:r w:rsidRPr="007F67EE">
                <w:rPr>
                  <w:sz w:val="22"/>
                  <w:szCs w:val="22"/>
                </w:rPr>
                <w:delText>Dobbeltblind 32 uker</w:delText>
              </w:r>
            </w:del>
          </w:p>
        </w:tc>
        <w:tc>
          <w:tcPr>
            <w:tcW w:w="1760" w:type="dxa"/>
          </w:tcPr>
          <w:p w14:paraId="2408B58B" w14:textId="785BC2BF" w:rsidR="002F0483" w:rsidRPr="00E14E58" w:rsidRDefault="00E453CD" w:rsidP="002F0483">
            <w:pPr>
              <w:pStyle w:val="BodyTextIndent"/>
              <w:keepNext/>
              <w:ind w:left="0" w:right="53"/>
              <w:rPr>
                <w:del w:id="3115" w:author="AbbVie02no" w:date="2025-05-15T12:36:00Z"/>
                <w:sz w:val="22"/>
                <w:szCs w:val="22"/>
              </w:rPr>
            </w:pPr>
            <w:del w:id="3116" w:author="AbbVie02no" w:date="2025-05-15T12:36:00Z">
              <w:r w:rsidRPr="002D0790">
                <w:rPr>
                  <w:sz w:val="22"/>
                  <w:szCs w:val="22"/>
                </w:rPr>
                <w:delText>Humira/MTX</w:delText>
              </w:r>
              <w:r w:rsidRPr="00E14E58">
                <w:rPr>
                  <w:sz w:val="22"/>
                  <w:szCs w:val="22"/>
                </w:rPr>
                <w:delText xml:space="preserve"> </w:delText>
              </w:r>
            </w:del>
          </w:p>
          <w:p w14:paraId="7D294E10" w14:textId="1F5BB30F" w:rsidR="002F0483" w:rsidRPr="009C5EFD" w:rsidRDefault="00E453CD" w:rsidP="002F0483">
            <w:pPr>
              <w:pStyle w:val="BodyTextIndent"/>
              <w:keepNext/>
              <w:ind w:left="0" w:right="53"/>
              <w:rPr>
                <w:del w:id="3117" w:author="AbbVie02no" w:date="2025-05-15T12:36:00Z"/>
                <w:sz w:val="22"/>
                <w:szCs w:val="22"/>
              </w:rPr>
            </w:pPr>
            <w:del w:id="3118" w:author="AbbVie02no" w:date="2025-05-15T12:36:00Z">
              <w:r w:rsidRPr="009C5EFD">
                <w:rPr>
                  <w:sz w:val="22"/>
                  <w:szCs w:val="22"/>
                </w:rPr>
                <w:delText>(n = 38)</w:delText>
              </w:r>
            </w:del>
          </w:p>
          <w:p w14:paraId="34A4C156" w14:textId="1BF1041E" w:rsidR="002F0483" w:rsidRPr="009C5EFD" w:rsidRDefault="002F0483" w:rsidP="002F0483">
            <w:pPr>
              <w:pStyle w:val="BodyTextIndent"/>
              <w:keepNext/>
              <w:ind w:left="0" w:right="53"/>
              <w:rPr>
                <w:del w:id="3119" w:author="AbbVie02no" w:date="2025-05-15T12:36:00Z"/>
                <w:sz w:val="22"/>
                <w:szCs w:val="22"/>
              </w:rPr>
            </w:pPr>
          </w:p>
        </w:tc>
        <w:tc>
          <w:tcPr>
            <w:tcW w:w="1760" w:type="dxa"/>
          </w:tcPr>
          <w:p w14:paraId="2F99CE18" w14:textId="5CC80216" w:rsidR="002F0483" w:rsidRPr="009C5EFD" w:rsidRDefault="00E453CD" w:rsidP="002F0483">
            <w:pPr>
              <w:pStyle w:val="BodyTextIndent"/>
              <w:keepNext/>
              <w:ind w:left="0" w:right="53"/>
              <w:rPr>
                <w:del w:id="3120" w:author="AbbVie02no" w:date="2025-05-15T12:36:00Z"/>
                <w:sz w:val="22"/>
                <w:szCs w:val="22"/>
              </w:rPr>
            </w:pPr>
            <w:del w:id="3121" w:author="AbbVie02no" w:date="2025-05-15T12:36:00Z">
              <w:r w:rsidRPr="009C5EFD">
                <w:rPr>
                  <w:sz w:val="22"/>
                  <w:szCs w:val="22"/>
                </w:rPr>
                <w:delText>Placebo/MTX</w:delText>
              </w:r>
            </w:del>
          </w:p>
          <w:p w14:paraId="3A843DFE" w14:textId="56311E5E" w:rsidR="002F0483" w:rsidRPr="009C5EFD" w:rsidRDefault="00E453CD" w:rsidP="002F0483">
            <w:pPr>
              <w:pStyle w:val="BodyTextIndent"/>
              <w:keepNext/>
              <w:ind w:left="0" w:right="53"/>
              <w:rPr>
                <w:del w:id="3122" w:author="AbbVie02no" w:date="2025-05-15T12:36:00Z"/>
                <w:sz w:val="22"/>
                <w:szCs w:val="22"/>
              </w:rPr>
            </w:pPr>
            <w:del w:id="3123" w:author="AbbVie02no" w:date="2025-05-15T12:36:00Z">
              <w:r w:rsidRPr="009C5EFD">
                <w:rPr>
                  <w:sz w:val="22"/>
                  <w:szCs w:val="22"/>
                </w:rPr>
                <w:delText>(n = 37)</w:delText>
              </w:r>
            </w:del>
          </w:p>
        </w:tc>
        <w:tc>
          <w:tcPr>
            <w:tcW w:w="1650" w:type="dxa"/>
          </w:tcPr>
          <w:p w14:paraId="7E4B19DA" w14:textId="48932342" w:rsidR="002F0483" w:rsidRPr="009C5EFD" w:rsidRDefault="00E453CD" w:rsidP="002F0483">
            <w:pPr>
              <w:pStyle w:val="BodyTextIndent"/>
              <w:keepNext/>
              <w:ind w:left="0" w:right="53"/>
              <w:rPr>
                <w:del w:id="3124" w:author="AbbVie02no" w:date="2025-05-15T12:36:00Z"/>
                <w:sz w:val="22"/>
                <w:szCs w:val="22"/>
              </w:rPr>
            </w:pPr>
            <w:del w:id="3125" w:author="AbbVie02no" w:date="2025-05-15T12:36:00Z">
              <w:r w:rsidRPr="009C5EFD">
                <w:rPr>
                  <w:sz w:val="22"/>
                  <w:szCs w:val="22"/>
                </w:rPr>
                <w:delText xml:space="preserve">Humira </w:delText>
              </w:r>
            </w:del>
          </w:p>
          <w:p w14:paraId="222BC592" w14:textId="0C1984C2" w:rsidR="002F0483" w:rsidRPr="009C5EFD" w:rsidRDefault="00E453CD" w:rsidP="002F0483">
            <w:pPr>
              <w:pStyle w:val="BodyTextIndent"/>
              <w:keepNext/>
              <w:ind w:left="0" w:right="53"/>
              <w:rPr>
                <w:del w:id="3126" w:author="AbbVie02no" w:date="2025-05-15T12:36:00Z"/>
                <w:sz w:val="22"/>
                <w:szCs w:val="22"/>
              </w:rPr>
            </w:pPr>
            <w:del w:id="3127" w:author="AbbVie02no" w:date="2025-05-15T12:36:00Z">
              <w:r w:rsidRPr="009C5EFD">
                <w:rPr>
                  <w:sz w:val="22"/>
                  <w:szCs w:val="22"/>
                </w:rPr>
                <w:delText>(n = 30)</w:delText>
              </w:r>
            </w:del>
          </w:p>
        </w:tc>
        <w:tc>
          <w:tcPr>
            <w:tcW w:w="1589" w:type="dxa"/>
          </w:tcPr>
          <w:p w14:paraId="044731CF" w14:textId="7CF0B024" w:rsidR="002F0483" w:rsidRPr="009C5EFD" w:rsidRDefault="00E453CD" w:rsidP="002F0483">
            <w:pPr>
              <w:pStyle w:val="BodyTextIndent"/>
              <w:keepNext/>
              <w:ind w:left="0" w:right="53"/>
              <w:rPr>
                <w:del w:id="3128" w:author="AbbVie02no" w:date="2025-05-15T12:36:00Z"/>
                <w:sz w:val="22"/>
                <w:szCs w:val="22"/>
              </w:rPr>
            </w:pPr>
            <w:del w:id="3129" w:author="AbbVie02no" w:date="2025-05-15T12:36:00Z">
              <w:r w:rsidRPr="009C5EFD">
                <w:rPr>
                  <w:sz w:val="22"/>
                  <w:szCs w:val="22"/>
                </w:rPr>
                <w:delText>Placebo</w:delText>
              </w:r>
            </w:del>
          </w:p>
          <w:p w14:paraId="3A4E756B" w14:textId="44755682" w:rsidR="002F0483" w:rsidRPr="009C5EFD" w:rsidRDefault="00E453CD" w:rsidP="002F0483">
            <w:pPr>
              <w:pStyle w:val="BodyTextIndent"/>
              <w:keepNext/>
              <w:ind w:left="0" w:right="53"/>
              <w:rPr>
                <w:del w:id="3130" w:author="AbbVie02no" w:date="2025-05-15T12:36:00Z"/>
                <w:sz w:val="22"/>
                <w:szCs w:val="22"/>
              </w:rPr>
            </w:pPr>
            <w:del w:id="3131" w:author="AbbVie02no" w:date="2025-05-15T12:36:00Z">
              <w:r w:rsidRPr="009C5EFD">
                <w:rPr>
                  <w:sz w:val="22"/>
                  <w:szCs w:val="22"/>
                </w:rPr>
                <w:delText>(n = 28)</w:delText>
              </w:r>
            </w:del>
          </w:p>
        </w:tc>
      </w:tr>
      <w:tr w:rsidR="004644D4" w14:paraId="48DAD33B" w14:textId="57A57DF4" w:rsidTr="002F0483">
        <w:trPr>
          <w:del w:id="3132" w:author="AbbVie02no" w:date="2025-05-15T12:36:00Z"/>
        </w:trPr>
        <w:tc>
          <w:tcPr>
            <w:tcW w:w="2418" w:type="dxa"/>
          </w:tcPr>
          <w:p w14:paraId="398F786F" w14:textId="5DB98099" w:rsidR="002F0483" w:rsidRPr="00E14E58" w:rsidRDefault="00E453CD" w:rsidP="002F0483">
            <w:pPr>
              <w:pStyle w:val="BodyTextIndent"/>
              <w:keepNext/>
              <w:ind w:left="0" w:right="53"/>
              <w:rPr>
                <w:del w:id="3133" w:author="AbbVie02no" w:date="2025-05-15T12:36:00Z"/>
                <w:sz w:val="22"/>
                <w:szCs w:val="22"/>
              </w:rPr>
            </w:pPr>
            <w:del w:id="3134" w:author="AbbVie02no" w:date="2025-05-15T12:36:00Z">
              <w:r w:rsidRPr="007F67EE">
                <w:rPr>
                  <w:sz w:val="22"/>
                  <w:szCs w:val="22"/>
                </w:rPr>
                <w:delText>Sykdomsoppblussing ved slutten av 32 uker</w:delText>
              </w:r>
              <w:r w:rsidRPr="00193D76">
                <w:rPr>
                  <w:sz w:val="22"/>
                  <w:szCs w:val="22"/>
                  <w:vertAlign w:val="superscript"/>
                </w:rPr>
                <w:delText>a</w:delText>
              </w:r>
              <w:r w:rsidRPr="00E14E58">
                <w:rPr>
                  <w:sz w:val="22"/>
                  <w:szCs w:val="22"/>
                </w:rPr>
                <w:delText xml:space="preserve"> (n/N)</w:delText>
              </w:r>
            </w:del>
          </w:p>
        </w:tc>
        <w:tc>
          <w:tcPr>
            <w:tcW w:w="1760" w:type="dxa"/>
          </w:tcPr>
          <w:p w14:paraId="500C03FA" w14:textId="555517A8" w:rsidR="002F0483" w:rsidRPr="009C5EFD" w:rsidRDefault="00E453CD" w:rsidP="002F0483">
            <w:pPr>
              <w:pStyle w:val="BodyTextIndent"/>
              <w:keepNext/>
              <w:ind w:left="0" w:right="53"/>
              <w:rPr>
                <w:del w:id="3135" w:author="AbbVie02no" w:date="2025-05-15T12:36:00Z"/>
                <w:sz w:val="22"/>
                <w:szCs w:val="22"/>
              </w:rPr>
            </w:pPr>
            <w:del w:id="3136" w:author="AbbVie02no" w:date="2025-05-15T12:36:00Z">
              <w:r w:rsidRPr="009C5EFD">
                <w:rPr>
                  <w:sz w:val="22"/>
                  <w:szCs w:val="22"/>
                </w:rPr>
                <w:delText>36,8 % (14/38)</w:delText>
              </w:r>
            </w:del>
          </w:p>
        </w:tc>
        <w:tc>
          <w:tcPr>
            <w:tcW w:w="1760" w:type="dxa"/>
          </w:tcPr>
          <w:p w14:paraId="78017CDC" w14:textId="65D5F2F1" w:rsidR="002F0483" w:rsidRPr="009C5EFD" w:rsidRDefault="00E453CD" w:rsidP="002F0483">
            <w:pPr>
              <w:pStyle w:val="BodyTextIndent"/>
              <w:keepNext/>
              <w:ind w:left="0" w:right="53"/>
              <w:rPr>
                <w:del w:id="3137" w:author="AbbVie02no" w:date="2025-05-15T12:36:00Z"/>
                <w:sz w:val="22"/>
                <w:szCs w:val="22"/>
              </w:rPr>
            </w:pPr>
            <w:del w:id="3138" w:author="AbbVie02no" w:date="2025-05-15T12:36:00Z">
              <w:r w:rsidRPr="009C5EFD">
                <w:rPr>
                  <w:sz w:val="22"/>
                  <w:szCs w:val="22"/>
                </w:rPr>
                <w:delText>64,9 % (24/37)</w:delText>
              </w:r>
              <w:r w:rsidRPr="009C5EFD">
                <w:rPr>
                  <w:sz w:val="22"/>
                  <w:szCs w:val="22"/>
                  <w:vertAlign w:val="superscript"/>
                </w:rPr>
                <w:delText>b</w:delText>
              </w:r>
            </w:del>
          </w:p>
        </w:tc>
        <w:tc>
          <w:tcPr>
            <w:tcW w:w="1650" w:type="dxa"/>
          </w:tcPr>
          <w:p w14:paraId="6C200B77" w14:textId="0AD04234" w:rsidR="002F0483" w:rsidRPr="009C5EFD" w:rsidRDefault="00E453CD" w:rsidP="002F0483">
            <w:pPr>
              <w:pStyle w:val="BodyTextIndent"/>
              <w:keepNext/>
              <w:ind w:left="0" w:right="53"/>
              <w:rPr>
                <w:del w:id="3139" w:author="AbbVie02no" w:date="2025-05-15T12:36:00Z"/>
                <w:sz w:val="22"/>
                <w:szCs w:val="22"/>
              </w:rPr>
            </w:pPr>
            <w:del w:id="3140" w:author="AbbVie02no" w:date="2025-05-15T12:36:00Z">
              <w:r w:rsidRPr="009C5EFD">
                <w:rPr>
                  <w:sz w:val="22"/>
                  <w:szCs w:val="22"/>
                </w:rPr>
                <w:delText>43,3 % (13/30)</w:delText>
              </w:r>
            </w:del>
          </w:p>
        </w:tc>
        <w:tc>
          <w:tcPr>
            <w:tcW w:w="1589" w:type="dxa"/>
          </w:tcPr>
          <w:p w14:paraId="2464C4B3" w14:textId="261390C4" w:rsidR="002F0483" w:rsidRPr="009C5EFD" w:rsidRDefault="00E453CD" w:rsidP="002F0483">
            <w:pPr>
              <w:pStyle w:val="BodyTextIndent"/>
              <w:keepNext/>
              <w:ind w:left="0" w:right="53"/>
              <w:rPr>
                <w:del w:id="3141" w:author="AbbVie02no" w:date="2025-05-15T12:36:00Z"/>
                <w:sz w:val="22"/>
                <w:szCs w:val="22"/>
              </w:rPr>
            </w:pPr>
            <w:del w:id="3142" w:author="AbbVie02no" w:date="2025-05-15T12:36:00Z">
              <w:r w:rsidRPr="009C5EFD">
                <w:rPr>
                  <w:sz w:val="22"/>
                  <w:szCs w:val="22"/>
                </w:rPr>
                <w:delText>71,4 % (20/28)</w:delText>
              </w:r>
              <w:r w:rsidRPr="009C5EFD">
                <w:rPr>
                  <w:sz w:val="22"/>
                  <w:szCs w:val="22"/>
                  <w:vertAlign w:val="superscript"/>
                </w:rPr>
                <w:delText>c</w:delText>
              </w:r>
            </w:del>
          </w:p>
        </w:tc>
      </w:tr>
      <w:tr w:rsidR="004644D4" w14:paraId="5A7CC1D0" w14:textId="17A8F25D" w:rsidTr="002F0483">
        <w:trPr>
          <w:del w:id="3143" w:author="AbbVie02no" w:date="2025-05-15T12:36:00Z"/>
        </w:trPr>
        <w:tc>
          <w:tcPr>
            <w:tcW w:w="2418" w:type="dxa"/>
          </w:tcPr>
          <w:p w14:paraId="0DE64DDC" w14:textId="127A0DB2" w:rsidR="002F0483" w:rsidRPr="007F67EE" w:rsidRDefault="00E453CD" w:rsidP="002F0483">
            <w:pPr>
              <w:pStyle w:val="BodyTextIndent"/>
              <w:keepNext/>
              <w:ind w:left="0" w:right="53"/>
              <w:rPr>
                <w:del w:id="3144" w:author="AbbVie02no" w:date="2025-05-15T12:36:00Z"/>
                <w:sz w:val="22"/>
                <w:szCs w:val="22"/>
              </w:rPr>
            </w:pPr>
            <w:del w:id="3145" w:author="AbbVie02no" w:date="2025-05-15T12:36:00Z">
              <w:r w:rsidRPr="007F67EE">
                <w:rPr>
                  <w:sz w:val="22"/>
                  <w:szCs w:val="22"/>
                </w:rPr>
                <w:delText>Mediantiden til sykdomsoppblussing</w:delText>
              </w:r>
            </w:del>
          </w:p>
        </w:tc>
        <w:tc>
          <w:tcPr>
            <w:tcW w:w="1760" w:type="dxa"/>
          </w:tcPr>
          <w:p w14:paraId="5745B914" w14:textId="22803212" w:rsidR="002F0483" w:rsidRPr="007F67EE" w:rsidRDefault="00E453CD" w:rsidP="002F0483">
            <w:pPr>
              <w:pStyle w:val="BodyTextIndent"/>
              <w:keepNext/>
              <w:ind w:left="0" w:right="53"/>
              <w:rPr>
                <w:del w:id="3146" w:author="AbbVie02no" w:date="2025-05-15T12:36:00Z"/>
                <w:sz w:val="22"/>
                <w:szCs w:val="22"/>
              </w:rPr>
            </w:pPr>
            <w:del w:id="3147" w:author="AbbVie02no" w:date="2025-05-15T12:36:00Z">
              <w:r w:rsidRPr="007F67EE">
                <w:rPr>
                  <w:sz w:val="22"/>
                  <w:szCs w:val="22"/>
                </w:rPr>
                <w:delText>&gt; 32 uker</w:delText>
              </w:r>
            </w:del>
          </w:p>
        </w:tc>
        <w:tc>
          <w:tcPr>
            <w:tcW w:w="1760" w:type="dxa"/>
          </w:tcPr>
          <w:p w14:paraId="28DA0B09" w14:textId="4784FFA3" w:rsidR="002F0483" w:rsidRPr="00193D76" w:rsidRDefault="00E453CD" w:rsidP="002F0483">
            <w:pPr>
              <w:pStyle w:val="BodyTextIndent"/>
              <w:keepNext/>
              <w:ind w:left="0" w:right="53"/>
              <w:rPr>
                <w:del w:id="3148" w:author="AbbVie02no" w:date="2025-05-15T12:36:00Z"/>
                <w:sz w:val="22"/>
                <w:szCs w:val="22"/>
              </w:rPr>
            </w:pPr>
            <w:del w:id="3149" w:author="AbbVie02no" w:date="2025-05-15T12:36:00Z">
              <w:r w:rsidRPr="00193D76">
                <w:rPr>
                  <w:sz w:val="22"/>
                  <w:szCs w:val="22"/>
                </w:rPr>
                <w:delText>20 uker</w:delText>
              </w:r>
            </w:del>
          </w:p>
        </w:tc>
        <w:tc>
          <w:tcPr>
            <w:tcW w:w="1650" w:type="dxa"/>
          </w:tcPr>
          <w:p w14:paraId="4FE618C8" w14:textId="06DB7BB5" w:rsidR="002F0483" w:rsidRPr="00E14E58" w:rsidRDefault="00E453CD" w:rsidP="002F0483">
            <w:pPr>
              <w:pStyle w:val="BodyTextIndent"/>
              <w:keepNext/>
              <w:ind w:left="0" w:right="53"/>
              <w:rPr>
                <w:del w:id="3150" w:author="AbbVie02no" w:date="2025-05-15T12:36:00Z"/>
                <w:sz w:val="22"/>
                <w:szCs w:val="22"/>
              </w:rPr>
            </w:pPr>
            <w:del w:id="3151" w:author="AbbVie02no" w:date="2025-05-15T12:36:00Z">
              <w:r w:rsidRPr="002D0790">
                <w:rPr>
                  <w:sz w:val="22"/>
                  <w:szCs w:val="22"/>
                </w:rPr>
                <w:delText xml:space="preserve">&gt; </w:delText>
              </w:r>
              <w:r w:rsidRPr="00E14E58">
                <w:rPr>
                  <w:sz w:val="22"/>
                  <w:szCs w:val="22"/>
                </w:rPr>
                <w:delText>32 uker</w:delText>
              </w:r>
            </w:del>
          </w:p>
        </w:tc>
        <w:tc>
          <w:tcPr>
            <w:tcW w:w="1589" w:type="dxa"/>
          </w:tcPr>
          <w:p w14:paraId="4951998E" w14:textId="10869FB1" w:rsidR="002F0483" w:rsidRPr="009C5EFD" w:rsidRDefault="00E453CD" w:rsidP="002F0483">
            <w:pPr>
              <w:pStyle w:val="BodyTextIndent"/>
              <w:keepNext/>
              <w:ind w:left="0" w:right="53"/>
              <w:rPr>
                <w:del w:id="3152" w:author="AbbVie02no" w:date="2025-05-15T12:36:00Z"/>
                <w:sz w:val="22"/>
                <w:szCs w:val="22"/>
              </w:rPr>
            </w:pPr>
            <w:del w:id="3153" w:author="AbbVie02no" w:date="2025-05-15T12:36:00Z">
              <w:r w:rsidRPr="009C5EFD">
                <w:rPr>
                  <w:sz w:val="22"/>
                  <w:szCs w:val="22"/>
                </w:rPr>
                <w:delText>14 uker</w:delText>
              </w:r>
            </w:del>
          </w:p>
        </w:tc>
      </w:tr>
    </w:tbl>
    <w:p w14:paraId="7F24319C" w14:textId="4766A1F1" w:rsidR="00640086" w:rsidRDefault="00640086" w:rsidP="002F0483">
      <w:pPr>
        <w:pStyle w:val="BodyTextIndent"/>
        <w:ind w:left="108" w:right="51"/>
        <w:rPr>
          <w:del w:id="3154" w:author="AbbVie02no" w:date="2025-05-15T12:36:00Z"/>
          <w:sz w:val="22"/>
          <w:szCs w:val="22"/>
          <w:vertAlign w:val="superscript"/>
        </w:rPr>
      </w:pPr>
    </w:p>
    <w:p w14:paraId="2A9020D7" w14:textId="7A09CDDE" w:rsidR="002F0483" w:rsidRPr="00193D76" w:rsidRDefault="00E453CD" w:rsidP="002F0483">
      <w:pPr>
        <w:pStyle w:val="BodyTextIndent"/>
        <w:ind w:left="108" w:right="51"/>
        <w:rPr>
          <w:del w:id="3155" w:author="AbbVie02no" w:date="2025-05-15T12:36:00Z"/>
          <w:i/>
          <w:sz w:val="22"/>
          <w:szCs w:val="22"/>
        </w:rPr>
      </w:pPr>
      <w:del w:id="3156" w:author="AbbVie02no" w:date="2025-05-15T12:36:00Z">
        <w:r w:rsidRPr="007F67EE">
          <w:rPr>
            <w:sz w:val="22"/>
            <w:szCs w:val="22"/>
            <w:vertAlign w:val="superscript"/>
          </w:rPr>
          <w:delText xml:space="preserve">a </w:delText>
        </w:r>
        <w:r w:rsidRPr="007F67EE">
          <w:rPr>
            <w:sz w:val="22"/>
            <w:szCs w:val="22"/>
          </w:rPr>
          <w:delText xml:space="preserve">Pediatrisk ACR 30/50/70-responser uke 48 var signifikant større enn til de pasientene som var behandlet med placebo </w:delText>
        </w:r>
      </w:del>
    </w:p>
    <w:p w14:paraId="7648929F" w14:textId="129E4992" w:rsidR="002F0483" w:rsidRPr="00E14E58" w:rsidRDefault="00E453CD" w:rsidP="002F0483">
      <w:pPr>
        <w:pStyle w:val="BodyTextIndent"/>
        <w:ind w:left="110" w:right="53"/>
        <w:rPr>
          <w:del w:id="3157" w:author="AbbVie02no" w:date="2025-05-15T12:36:00Z"/>
          <w:sz w:val="22"/>
          <w:szCs w:val="22"/>
        </w:rPr>
      </w:pPr>
      <w:del w:id="3158" w:author="AbbVie02no" w:date="2025-05-15T12:36:00Z">
        <w:r w:rsidRPr="002D0790">
          <w:rPr>
            <w:sz w:val="22"/>
            <w:szCs w:val="22"/>
            <w:vertAlign w:val="superscript"/>
          </w:rPr>
          <w:delText>b</w:delText>
        </w:r>
        <w:r w:rsidRPr="002D0790">
          <w:rPr>
            <w:sz w:val="22"/>
            <w:szCs w:val="22"/>
          </w:rPr>
          <w:delText xml:space="preserve"> </w:delText>
        </w:r>
        <w:r w:rsidRPr="00E14E58">
          <w:rPr>
            <w:sz w:val="22"/>
            <w:szCs w:val="22"/>
          </w:rPr>
          <w:delText>p = 0,015</w:delText>
        </w:r>
      </w:del>
    </w:p>
    <w:p w14:paraId="592DD8A5" w14:textId="3C9A76CF" w:rsidR="002F0483" w:rsidRPr="009C5EFD" w:rsidRDefault="00E453CD" w:rsidP="002F0483">
      <w:pPr>
        <w:pStyle w:val="BodyTextIndent"/>
        <w:ind w:left="110" w:right="53"/>
        <w:rPr>
          <w:del w:id="3159" w:author="AbbVie02no" w:date="2025-05-15T12:36:00Z"/>
          <w:sz w:val="22"/>
          <w:szCs w:val="22"/>
        </w:rPr>
      </w:pPr>
      <w:del w:id="3160" w:author="AbbVie02no" w:date="2025-05-15T12:36:00Z">
        <w:r w:rsidRPr="009C5EFD">
          <w:rPr>
            <w:sz w:val="22"/>
            <w:szCs w:val="22"/>
            <w:vertAlign w:val="superscript"/>
          </w:rPr>
          <w:delText>c</w:delText>
        </w:r>
        <w:r w:rsidRPr="009C5EFD">
          <w:rPr>
            <w:sz w:val="22"/>
            <w:szCs w:val="22"/>
          </w:rPr>
          <w:delText xml:space="preserve"> p = 0,031</w:delText>
        </w:r>
      </w:del>
    </w:p>
    <w:p w14:paraId="4EDD0795" w14:textId="0CCCC2F6" w:rsidR="002F0483" w:rsidRPr="009C5EFD" w:rsidRDefault="002F0483" w:rsidP="002F0483">
      <w:pPr>
        <w:rPr>
          <w:del w:id="3161" w:author="AbbVie02no" w:date="2025-05-15T12:36:00Z"/>
          <w:sz w:val="22"/>
          <w:szCs w:val="22"/>
        </w:rPr>
      </w:pPr>
    </w:p>
    <w:p w14:paraId="1078D093" w14:textId="4E560916" w:rsidR="002F0483" w:rsidRPr="009C5EFD" w:rsidRDefault="00E453CD" w:rsidP="002F0483">
      <w:pPr>
        <w:rPr>
          <w:del w:id="3162" w:author="AbbVie02no" w:date="2025-05-15T12:36:00Z"/>
          <w:sz w:val="22"/>
          <w:szCs w:val="22"/>
        </w:rPr>
      </w:pPr>
      <w:del w:id="3163" w:author="AbbVie02no" w:date="2025-05-15T12:36:00Z">
        <w:r w:rsidRPr="009C5EFD">
          <w:rPr>
            <w:sz w:val="22"/>
            <w:szCs w:val="22"/>
          </w:rPr>
          <w:delText xml:space="preserve">Blant de som responderte ved uke 16 (n=144) var pediatrisk ACR 30/50/70/90- responser vedlikeholdt inntil seks år i OLE-fasen hos pasienter som fikk Humira gjennom hele studien. Totalt 19 pasienter, hvorav 11 fra baseline aldersgruppen 4 til 12 år og 8 fra baseline aldersgruppen 13 til 17 år ble behandlet i 6 år eller lenger. </w:delText>
        </w:r>
      </w:del>
    </w:p>
    <w:p w14:paraId="05E64B08" w14:textId="55A77CD0" w:rsidR="002F0483" w:rsidRPr="009C5EFD" w:rsidRDefault="002F0483" w:rsidP="002F0483">
      <w:pPr>
        <w:rPr>
          <w:del w:id="3164" w:author="AbbVie02no" w:date="2025-05-15T12:36:00Z"/>
          <w:sz w:val="22"/>
          <w:szCs w:val="22"/>
        </w:rPr>
      </w:pPr>
    </w:p>
    <w:p w14:paraId="6ED92B26" w14:textId="7014F4DE" w:rsidR="002F0483" w:rsidRPr="009C5EFD" w:rsidRDefault="00E453CD" w:rsidP="002F0483">
      <w:pPr>
        <w:rPr>
          <w:del w:id="3165" w:author="AbbVie02no" w:date="2025-05-15T12:36:00Z"/>
          <w:sz w:val="22"/>
          <w:szCs w:val="22"/>
        </w:rPr>
      </w:pPr>
      <w:del w:id="3166" w:author="AbbVie02no" w:date="2025-05-15T12:36:00Z">
        <w:r w:rsidRPr="009C5EFD">
          <w:rPr>
            <w:sz w:val="22"/>
            <w:szCs w:val="22"/>
          </w:rPr>
          <w:delText>Responsen var generelt bedre, og færre pasienter utviklet antistoffer når de ble behandlet med kombinasjonen Humira og metotreksat sammenlignet med Humira alene. På bakgrunn av disse resultatene anbefales Humira til bruk i kombinasjon med metotreksat og til bruk som monoterapi hos pasienter som ikke kan bruke metotreksat (se pkt. 4.2).</w:delText>
        </w:r>
      </w:del>
    </w:p>
    <w:p w14:paraId="1C594851" w14:textId="6F02EA6C" w:rsidR="002F0483" w:rsidRPr="009C5EFD" w:rsidRDefault="002F0483" w:rsidP="002F0483">
      <w:pPr>
        <w:rPr>
          <w:del w:id="3167" w:author="AbbVie02no" w:date="2025-05-15T12:36:00Z"/>
          <w:sz w:val="22"/>
          <w:szCs w:val="22"/>
        </w:rPr>
      </w:pPr>
    </w:p>
    <w:p w14:paraId="28381A7A" w14:textId="2D7301D1" w:rsidR="002F0483" w:rsidRPr="009C5EFD" w:rsidRDefault="00E453CD" w:rsidP="002F0483">
      <w:pPr>
        <w:keepNext/>
        <w:rPr>
          <w:del w:id="3168" w:author="AbbVie02no" w:date="2025-05-15T12:36:00Z"/>
          <w:sz w:val="22"/>
          <w:szCs w:val="22"/>
        </w:rPr>
      </w:pPr>
      <w:del w:id="3169" w:author="AbbVie02no" w:date="2025-05-15T12:36:00Z">
        <w:r w:rsidRPr="009C5EFD">
          <w:rPr>
            <w:sz w:val="22"/>
            <w:szCs w:val="22"/>
          </w:rPr>
          <w:lastRenderedPageBreak/>
          <w:delText>pJIA-II</w:delText>
        </w:r>
      </w:del>
    </w:p>
    <w:p w14:paraId="0B5C8600" w14:textId="30198BFD" w:rsidR="002F0483" w:rsidRPr="009C5EFD" w:rsidRDefault="002F0483" w:rsidP="002F0483">
      <w:pPr>
        <w:keepNext/>
        <w:rPr>
          <w:del w:id="3170" w:author="AbbVie02no" w:date="2025-05-15T12:36:00Z"/>
          <w:sz w:val="22"/>
          <w:szCs w:val="22"/>
        </w:rPr>
      </w:pPr>
    </w:p>
    <w:p w14:paraId="778D7302" w14:textId="22B7FF95" w:rsidR="002F0483" w:rsidRPr="009C5EFD" w:rsidRDefault="00E453CD" w:rsidP="002F0483">
      <w:pPr>
        <w:rPr>
          <w:del w:id="3171" w:author="AbbVie02no" w:date="2025-05-15T12:36:00Z"/>
          <w:sz w:val="22"/>
          <w:szCs w:val="22"/>
        </w:rPr>
      </w:pPr>
      <w:del w:id="3172" w:author="AbbVie02no" w:date="2025-05-15T12:36:00Z">
        <w:r w:rsidRPr="009C5EFD">
          <w:rPr>
            <w:sz w:val="22"/>
            <w:szCs w:val="22"/>
          </w:rPr>
          <w:delText>Sikkerhet og effekt av Humira ble vurdert i en åpen, multisenter studie hos 32 barn (2 - &lt; 4 år eller fra 4 år og oppover med kroppsvekt &lt; 15 kg) med moderat til alvorlig aktiv polyartikulær JIA. Pasientene fikk 24 mg/m</w:delText>
        </w:r>
        <w:r w:rsidRPr="009C5EFD">
          <w:rPr>
            <w:sz w:val="22"/>
            <w:szCs w:val="22"/>
            <w:vertAlign w:val="superscript"/>
          </w:rPr>
          <w:delText>2</w:delText>
        </w:r>
        <w:r w:rsidRPr="009C5EFD">
          <w:rPr>
            <w:sz w:val="22"/>
            <w:szCs w:val="22"/>
          </w:rPr>
          <w:delText xml:space="preserve"> kroppsoverflate opptil maksimum 20 mg Humira annenhver uke som en enkeltdose via subkutan injeksjon i minst 24 uker. De fleste pasienter brukte metotreksat samtidig i løpet av studien, med færre rapporter om bruk av kortikosteroider eller NSAIDs.</w:delText>
        </w:r>
      </w:del>
    </w:p>
    <w:p w14:paraId="0881F8BC" w14:textId="07D4BF70" w:rsidR="002F0483" w:rsidRPr="009C5EFD" w:rsidRDefault="002F0483" w:rsidP="002F0483">
      <w:pPr>
        <w:rPr>
          <w:del w:id="3173" w:author="AbbVie02no" w:date="2025-05-15T12:36:00Z"/>
          <w:sz w:val="22"/>
          <w:szCs w:val="22"/>
        </w:rPr>
      </w:pPr>
    </w:p>
    <w:p w14:paraId="7D2FF213" w14:textId="09454C53" w:rsidR="002F0483" w:rsidRPr="009C5EFD" w:rsidRDefault="00E453CD" w:rsidP="002F0483">
      <w:pPr>
        <w:rPr>
          <w:del w:id="3174" w:author="AbbVie02no" w:date="2025-05-15T12:36:00Z"/>
          <w:sz w:val="22"/>
          <w:szCs w:val="22"/>
        </w:rPr>
      </w:pPr>
      <w:del w:id="3175" w:author="AbbVie02no" w:date="2025-05-15T12:36:00Z">
        <w:r w:rsidRPr="009C5EFD">
          <w:rPr>
            <w:sz w:val="22"/>
            <w:szCs w:val="22"/>
          </w:rPr>
          <w:delText xml:space="preserve">Ped ACR </w:delText>
        </w:r>
        <w:r>
          <w:rPr>
            <w:sz w:val="22"/>
            <w:szCs w:val="22"/>
          </w:rPr>
          <w:delText>30-respons</w:delText>
        </w:r>
        <w:r w:rsidRPr="009C5EFD">
          <w:rPr>
            <w:sz w:val="22"/>
            <w:szCs w:val="22"/>
          </w:rPr>
          <w:delText xml:space="preserve"> var 93,5 % og 90,0 % ved henholdsvis uke 12 og uke 24 ved bruk av observert data tilnærming. Andelene av personer med Ped ACR 50/70/90 var 90,3 %/61,3 %/38,7 % og 83,3 %/73,3 %/36,7% ved henholdsvis uke 12 og uke 24. Blant de som responderte (Pediatrisk ACR 30) ved uke 24 (n=27 av 30 pasienter), ble Pediatrisk ACR </w:delText>
        </w:r>
        <w:r>
          <w:rPr>
            <w:sz w:val="22"/>
            <w:szCs w:val="22"/>
          </w:rPr>
          <w:delText>30-respons</w:delText>
        </w:r>
        <w:r w:rsidRPr="009C5EFD">
          <w:rPr>
            <w:sz w:val="22"/>
            <w:szCs w:val="22"/>
          </w:rPr>
          <w:delText xml:space="preserve"> vedlikeholdt opptil 60 uker i OLE fasen hos pasienter som fikk Humira gjennom hele denne perioden. I alt ble 20 personer behandlet i 60 uker eller lenger.</w:delText>
        </w:r>
      </w:del>
    </w:p>
    <w:p w14:paraId="3366C26E" w14:textId="428DC9BE" w:rsidR="002F0483" w:rsidRPr="009C5EFD" w:rsidRDefault="002F0483" w:rsidP="002F0483">
      <w:pPr>
        <w:rPr>
          <w:del w:id="3176" w:author="AbbVie02no" w:date="2025-05-15T12:36:00Z"/>
          <w:sz w:val="22"/>
          <w:szCs w:val="22"/>
        </w:rPr>
      </w:pPr>
    </w:p>
    <w:p w14:paraId="083DD5CC" w14:textId="02DAB687" w:rsidR="002F0483" w:rsidRPr="00193D76" w:rsidRDefault="00E453CD" w:rsidP="002F0483">
      <w:pPr>
        <w:keepNext/>
        <w:rPr>
          <w:del w:id="3177" w:author="AbbVie02no" w:date="2025-05-15T12:36:00Z"/>
          <w:sz w:val="22"/>
          <w:szCs w:val="22"/>
          <w:u w:val="single"/>
        </w:rPr>
      </w:pPr>
      <w:del w:id="3178" w:author="AbbVie02no" w:date="2025-05-15T12:36:00Z">
        <w:r w:rsidRPr="001F5D4B">
          <w:rPr>
            <w:i/>
            <w:sz w:val="22"/>
            <w:szCs w:val="22"/>
            <w:u w:val="single"/>
          </w:rPr>
          <w:delText>Entesittrelatert artritt</w:delText>
        </w:r>
      </w:del>
    </w:p>
    <w:p w14:paraId="473FB2CC" w14:textId="1B990D1F" w:rsidR="002F0483" w:rsidRPr="002D0790" w:rsidRDefault="002F0483" w:rsidP="002F0483">
      <w:pPr>
        <w:keepNext/>
        <w:rPr>
          <w:del w:id="3179" w:author="AbbVie02no" w:date="2025-05-15T12:36:00Z"/>
          <w:sz w:val="22"/>
          <w:szCs w:val="22"/>
        </w:rPr>
      </w:pPr>
    </w:p>
    <w:p w14:paraId="71BB2515" w14:textId="6D3883C9" w:rsidR="002F0483" w:rsidRPr="009C5EFD" w:rsidRDefault="00E453CD" w:rsidP="002F0483">
      <w:pPr>
        <w:rPr>
          <w:del w:id="3180" w:author="AbbVie02no" w:date="2025-05-15T12:36:00Z"/>
          <w:sz w:val="22"/>
          <w:szCs w:val="22"/>
        </w:rPr>
      </w:pPr>
      <w:del w:id="3181" w:author="AbbVie02no" w:date="2025-05-15T12:36:00Z">
        <w:r w:rsidRPr="002D0790">
          <w:rPr>
            <w:sz w:val="22"/>
            <w:szCs w:val="22"/>
          </w:rPr>
          <w:delText xml:space="preserve">Sikkerhet og effekt av Humira ble vurdert i en multisenter, </w:delText>
        </w:r>
        <w:r w:rsidRPr="00E14E58">
          <w:rPr>
            <w:szCs w:val="22"/>
          </w:rPr>
          <w:delText>randomis</w:delText>
        </w:r>
        <w:r w:rsidRPr="009C5EFD">
          <w:rPr>
            <w:szCs w:val="22"/>
          </w:rPr>
          <w:delText>ert,</w:delText>
        </w:r>
        <w:r w:rsidRPr="009C5EFD">
          <w:rPr>
            <w:sz w:val="22"/>
            <w:szCs w:val="22"/>
          </w:rPr>
          <w:delText xml:space="preserve"> </w:delText>
        </w:r>
        <w:r w:rsidRPr="009C5EFD">
          <w:rPr>
            <w:szCs w:val="22"/>
          </w:rPr>
          <w:delText>dobbeltblindet</w:delText>
        </w:r>
        <w:r w:rsidRPr="009C5EFD">
          <w:rPr>
            <w:sz w:val="22"/>
            <w:szCs w:val="22"/>
          </w:rPr>
          <w:delText xml:space="preserve"> studie hos 46 pediatriske pasienter (6 til 17 år) med moderat entesittrelatert artritt. Pasientene ble </w:delText>
        </w:r>
        <w:r w:rsidRPr="009C5EFD">
          <w:rPr>
            <w:szCs w:val="22"/>
          </w:rPr>
          <w:delText xml:space="preserve">randomisert til behandling med </w:delText>
        </w:r>
        <w:r w:rsidRPr="009C5EFD">
          <w:rPr>
            <w:sz w:val="22"/>
            <w:szCs w:val="22"/>
          </w:rPr>
          <w:delText>enten 24 mg/m</w:delText>
        </w:r>
        <w:r w:rsidRPr="009C5EFD">
          <w:rPr>
            <w:sz w:val="22"/>
            <w:szCs w:val="22"/>
            <w:vertAlign w:val="superscript"/>
          </w:rPr>
          <w:delText>2</w:delText>
        </w:r>
        <w:r w:rsidRPr="009C5EFD">
          <w:rPr>
            <w:sz w:val="22"/>
            <w:szCs w:val="22"/>
          </w:rPr>
          <w:delText xml:space="preserve"> kroppsoverflate opptil maksimum 40 mg Humira, eller placebo annenhver uke i 12 uker. Den dobbeltblinde perioden ble</w:delText>
        </w:r>
        <w:r w:rsidRPr="009C5EFD">
          <w:delText xml:space="preserve"> </w:delText>
        </w:r>
        <w:r w:rsidRPr="009C5EFD">
          <w:rPr>
            <w:sz w:val="22"/>
            <w:szCs w:val="22"/>
          </w:rPr>
          <w:delText>etterfølgt av en åpen periode, hvor pasientene fikk 24 mg/m</w:delText>
        </w:r>
        <w:r w:rsidRPr="009C5EFD">
          <w:rPr>
            <w:sz w:val="22"/>
            <w:szCs w:val="22"/>
            <w:vertAlign w:val="superscript"/>
          </w:rPr>
          <w:delText>2</w:delText>
        </w:r>
        <w:r w:rsidRPr="009C5EFD">
          <w:rPr>
            <w:sz w:val="22"/>
            <w:szCs w:val="22"/>
          </w:rPr>
          <w:delText xml:space="preserve"> kroppsoverflate opptil maksimum 40 mg Humira subkutant annenhver uke  i opptil ytterligere 192 uker. Det primære endepunktet var den prosentvise endring, fra baseline til uke 12, i antall aktive ledd med artritt (hevelse, som ikke skyldes misdannelse, eller ledd med tap av bevegelse pluss smerter og/eller ømhet), som ble oppnådd med gjennomsnittlig prosentvis nedgang på -62,6 % (median prosent endring -88,9%) hos pasienter i Humira-gruppen sammenlignet med -11,6% (median prosent endring -50,0%) hos pasienter i placebogruppen. Forbedring i antall aktive ledd med artritt ble opprettholdt</w:delText>
        </w:r>
        <w:r>
          <w:rPr>
            <w:sz w:val="22"/>
            <w:szCs w:val="22"/>
          </w:rPr>
          <w:delText xml:space="preserve"> til og med uke</w:delText>
        </w:r>
        <w:r w:rsidRPr="009C5EFD">
          <w:rPr>
            <w:sz w:val="22"/>
            <w:szCs w:val="22"/>
          </w:rPr>
          <w:delText xml:space="preserve"> </w:delText>
        </w:r>
        <w:r>
          <w:rPr>
            <w:sz w:val="22"/>
            <w:szCs w:val="22"/>
          </w:rPr>
          <w:delText>156</w:delText>
        </w:r>
        <w:r w:rsidRPr="009C5EFD">
          <w:rPr>
            <w:sz w:val="22"/>
            <w:szCs w:val="22"/>
          </w:rPr>
          <w:delText xml:space="preserve"> </w:delText>
        </w:r>
        <w:r>
          <w:rPr>
            <w:sz w:val="22"/>
            <w:szCs w:val="22"/>
          </w:rPr>
          <w:delText>for 26 av 31 (84 %) pasienter i Humira-gruppen som forble i den åpne perioden av studien</w:delText>
        </w:r>
        <w:r w:rsidRPr="009C5EFD">
          <w:rPr>
            <w:sz w:val="22"/>
            <w:szCs w:val="22"/>
          </w:rPr>
          <w:delText>. Selv om det ikke er statistisk signifikant, viste de fleste av pasientene klinisk bedring i sekundære endepunkter som antall områder med entesitt, antall ømme ledd, antall hovne ledd, pediatrisk ACR 50</w:delText>
        </w:r>
        <w:r>
          <w:rPr>
            <w:sz w:val="22"/>
            <w:szCs w:val="22"/>
          </w:rPr>
          <w:noBreakHyphen/>
        </w:r>
        <w:r w:rsidRPr="009C5EFD">
          <w:rPr>
            <w:sz w:val="22"/>
            <w:szCs w:val="22"/>
          </w:rPr>
          <w:delText xml:space="preserve">respons, og pediatrisk ACR </w:delText>
        </w:r>
        <w:r>
          <w:rPr>
            <w:sz w:val="22"/>
            <w:szCs w:val="22"/>
          </w:rPr>
          <w:delText>70-respons</w:delText>
        </w:r>
        <w:r w:rsidRPr="009C5EFD">
          <w:rPr>
            <w:sz w:val="22"/>
            <w:szCs w:val="22"/>
          </w:rPr>
          <w:delText>.</w:delText>
        </w:r>
      </w:del>
    </w:p>
    <w:p w14:paraId="338A82D4" w14:textId="2C249E8C" w:rsidR="002F0483" w:rsidRPr="009C5EFD" w:rsidRDefault="002F0483" w:rsidP="002F0483">
      <w:pPr>
        <w:rPr>
          <w:del w:id="3182" w:author="AbbVie02no" w:date="2025-05-15T12:36:00Z"/>
          <w:sz w:val="22"/>
          <w:szCs w:val="22"/>
        </w:rPr>
      </w:pPr>
    </w:p>
    <w:p w14:paraId="63C9BD94" w14:textId="0BCEDF0D" w:rsidR="002F0483" w:rsidRPr="001F5D4B" w:rsidRDefault="00E453CD" w:rsidP="002F0483">
      <w:pPr>
        <w:keepNext/>
        <w:rPr>
          <w:del w:id="3183" w:author="AbbVie02no" w:date="2025-05-15T12:36:00Z"/>
          <w:sz w:val="22"/>
          <w:szCs w:val="22"/>
        </w:rPr>
      </w:pPr>
      <w:del w:id="3184" w:author="AbbVie02no" w:date="2025-05-15T12:36:00Z">
        <w:r w:rsidRPr="001F5D4B">
          <w:rPr>
            <w:i/>
            <w:sz w:val="22"/>
            <w:szCs w:val="22"/>
          </w:rPr>
          <w:delText>Pediatrisk plakkpsoriasis</w:delText>
        </w:r>
      </w:del>
    </w:p>
    <w:p w14:paraId="4D7ACA4E" w14:textId="1A4FBC88" w:rsidR="002F0483" w:rsidRPr="007F67EE" w:rsidRDefault="002F0483" w:rsidP="002F0483">
      <w:pPr>
        <w:keepNext/>
        <w:rPr>
          <w:del w:id="3185" w:author="AbbVie02no" w:date="2025-05-15T12:36:00Z"/>
          <w:sz w:val="22"/>
          <w:szCs w:val="22"/>
        </w:rPr>
      </w:pPr>
    </w:p>
    <w:p w14:paraId="7AAFEF9E" w14:textId="3910C27F" w:rsidR="002F0483" w:rsidRPr="001F5D4B" w:rsidRDefault="00E453CD" w:rsidP="002F0483">
      <w:pPr>
        <w:rPr>
          <w:del w:id="3186" w:author="AbbVie02no" w:date="2025-05-15T12:36:00Z"/>
          <w:sz w:val="22"/>
          <w:szCs w:val="22"/>
        </w:rPr>
      </w:pPr>
      <w:del w:id="3187" w:author="AbbVie02no" w:date="2025-05-15T12:36:00Z">
        <w:r w:rsidRPr="00193D76">
          <w:rPr>
            <w:sz w:val="22"/>
            <w:szCs w:val="22"/>
          </w:rPr>
          <w:delText>Effekten av Humira ble undersøkt i en randomisert, dobbel</w:delText>
        </w:r>
        <w:r w:rsidRPr="002D0790">
          <w:rPr>
            <w:sz w:val="22"/>
            <w:szCs w:val="22"/>
          </w:rPr>
          <w:delText xml:space="preserve">tblindet, kontrollert studie med 114 pediatriske pasienter fra alderen 4 år med alvorlig kronisk plakkpsoriasis (definert </w:delText>
        </w:r>
        <w:r w:rsidRPr="00E14E58">
          <w:rPr>
            <w:sz w:val="22"/>
            <w:szCs w:val="22"/>
          </w:rPr>
          <w:delText>ved</w:delText>
        </w:r>
        <w:r w:rsidRPr="009C5EFD">
          <w:rPr>
            <w:sz w:val="22"/>
            <w:szCs w:val="22"/>
          </w:rPr>
          <w:delText xml:space="preserve"> </w:delText>
        </w:r>
        <w:r w:rsidRPr="0074429E">
          <w:rPr>
            <w:sz w:val="22"/>
            <w:szCs w:val="22"/>
          </w:rPr>
          <w:delText xml:space="preserve">Physician’s Global Assessment </w:delText>
        </w:r>
        <w:r>
          <w:rPr>
            <w:sz w:val="22"/>
            <w:szCs w:val="22"/>
          </w:rPr>
          <w:delText>(</w:delText>
        </w:r>
        <w:r w:rsidRPr="009C5EFD">
          <w:rPr>
            <w:sz w:val="22"/>
            <w:szCs w:val="22"/>
          </w:rPr>
          <w:delText>PGA</w:delText>
        </w:r>
        <w:r>
          <w:rPr>
            <w:sz w:val="22"/>
            <w:szCs w:val="22"/>
          </w:rPr>
          <w:delText>)</w:delText>
        </w:r>
        <w:r w:rsidRPr="009C5EFD">
          <w:rPr>
            <w:sz w:val="22"/>
            <w:szCs w:val="22"/>
          </w:rPr>
          <w:delText xml:space="preserve"> ≥ 4 eller &gt; 20 % BSA eller &gt; 10 % BSA inkludert veldig tykke lesjoner eller </w:delText>
        </w:r>
        <w:r w:rsidRPr="0074429E">
          <w:rPr>
            <w:sz w:val="22"/>
            <w:szCs w:val="22"/>
          </w:rPr>
          <w:delText xml:space="preserve">Psoriasis Area and Severity Index </w:delText>
        </w:r>
        <w:r>
          <w:rPr>
            <w:sz w:val="22"/>
            <w:szCs w:val="22"/>
          </w:rPr>
          <w:delText>(</w:delText>
        </w:r>
        <w:r w:rsidRPr="009C5EFD">
          <w:rPr>
            <w:sz w:val="22"/>
            <w:szCs w:val="22"/>
          </w:rPr>
          <w:delText>PASI</w:delText>
        </w:r>
        <w:r>
          <w:rPr>
            <w:sz w:val="22"/>
            <w:szCs w:val="22"/>
          </w:rPr>
          <w:delText>)</w:delText>
        </w:r>
        <w:r w:rsidRPr="009C5EFD">
          <w:rPr>
            <w:sz w:val="22"/>
            <w:szCs w:val="22"/>
          </w:rPr>
          <w:delText xml:space="preserve"> ≥ 20 eller PASI ≥ 10 inkludert klinisk relevant påvirkning av ansikt, genitalia eller hånd/fot),</w:delText>
        </w:r>
        <w:r w:rsidRPr="001F5D4B">
          <w:rPr>
            <w:sz w:val="22"/>
            <w:szCs w:val="22"/>
          </w:rPr>
          <w:delText xml:space="preserve"> </w:delText>
        </w:r>
        <w:r w:rsidRPr="007F67EE">
          <w:rPr>
            <w:sz w:val="22"/>
            <w:szCs w:val="22"/>
          </w:rPr>
          <w:delText xml:space="preserve">som var utilstrekkelig behandlet med topikal behandling og helioterapi </w:delText>
        </w:r>
        <w:r w:rsidRPr="00193D76">
          <w:rPr>
            <w:sz w:val="22"/>
            <w:szCs w:val="22"/>
          </w:rPr>
          <w:delText xml:space="preserve">eller </w:delText>
        </w:r>
        <w:r>
          <w:rPr>
            <w:sz w:val="22"/>
            <w:szCs w:val="22"/>
          </w:rPr>
          <w:delText>lysbehandling</w:delText>
        </w:r>
        <w:r w:rsidRPr="00193D76">
          <w:rPr>
            <w:sz w:val="22"/>
            <w:szCs w:val="22"/>
          </w:rPr>
          <w:delText>.</w:delText>
        </w:r>
      </w:del>
    </w:p>
    <w:p w14:paraId="4A888612" w14:textId="5302535C" w:rsidR="002F0483" w:rsidRPr="007F67EE" w:rsidRDefault="002F0483" w:rsidP="002F0483">
      <w:pPr>
        <w:tabs>
          <w:tab w:val="left" w:pos="5820"/>
        </w:tabs>
        <w:rPr>
          <w:del w:id="3188" w:author="AbbVie02no" w:date="2025-05-15T12:36:00Z"/>
          <w:sz w:val="22"/>
          <w:szCs w:val="22"/>
        </w:rPr>
      </w:pPr>
    </w:p>
    <w:p w14:paraId="728C3C2C" w14:textId="6A12A535" w:rsidR="002F0483" w:rsidRPr="009C5EFD" w:rsidRDefault="00E453CD" w:rsidP="002F0483">
      <w:pPr>
        <w:rPr>
          <w:del w:id="3189" w:author="AbbVie02no" w:date="2025-05-15T12:36:00Z"/>
          <w:sz w:val="22"/>
          <w:szCs w:val="22"/>
        </w:rPr>
      </w:pPr>
      <w:del w:id="3190" w:author="AbbVie02no" w:date="2025-05-15T12:36:00Z">
        <w:r w:rsidRPr="00193D76">
          <w:rPr>
            <w:sz w:val="22"/>
            <w:szCs w:val="22"/>
          </w:rPr>
          <w:delText>Pasientene fikk enten Humira 0,8 mg/kg annenhver uke (opptil 40</w:delText>
        </w:r>
        <w:r w:rsidRPr="002D0790">
          <w:rPr>
            <w:sz w:val="22"/>
            <w:szCs w:val="22"/>
          </w:rPr>
          <w:delText xml:space="preserve"> mg), 0,4 mg/kg annenhver uke (opp</w:delText>
        </w:r>
        <w:r w:rsidRPr="00E14E58">
          <w:rPr>
            <w:sz w:val="22"/>
            <w:szCs w:val="22"/>
          </w:rPr>
          <w:delText xml:space="preserve">til 20 mg) eller metotreksat 0,1 – 0,4 mg/kg ukentlig (opptil 25 mg). Ved uke 16, hadde flere pasienter randomisert til Humira 0,8 mg/kg positiv respons (f.eks. PASI 75) sammenlignet med de som ble randomisert til gruppen </w:delText>
        </w:r>
        <w:r w:rsidRPr="009C5EFD">
          <w:rPr>
            <w:sz w:val="22"/>
            <w:szCs w:val="22"/>
          </w:rPr>
          <w:delText>med 0,4 mg/kg annenhver uke eller metotreksat.</w:delText>
        </w:r>
      </w:del>
    </w:p>
    <w:p w14:paraId="08ED69CF" w14:textId="6858D1E5" w:rsidR="002F0483" w:rsidRPr="009C5EFD" w:rsidRDefault="002F0483" w:rsidP="002F0483">
      <w:pPr>
        <w:rPr>
          <w:del w:id="3191" w:author="AbbVie02no" w:date="2025-05-15T12:36:00Z"/>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387"/>
        <w:gridCol w:w="1627"/>
        <w:gridCol w:w="3068"/>
      </w:tblGrid>
      <w:tr w:rsidR="004644D4" w14:paraId="208E0387" w14:textId="444625C6" w:rsidTr="002F0483">
        <w:trPr>
          <w:jc w:val="center"/>
          <w:del w:id="3192" w:author="AbbVie02no" w:date="2025-05-15T12:36:00Z"/>
        </w:trPr>
        <w:tc>
          <w:tcPr>
            <w:tcW w:w="5000" w:type="pct"/>
            <w:gridSpan w:val="3"/>
            <w:tcBorders>
              <w:top w:val="nil"/>
              <w:left w:val="nil"/>
              <w:bottom w:val="nil"/>
              <w:right w:val="nil"/>
            </w:tcBorders>
            <w:vAlign w:val="center"/>
          </w:tcPr>
          <w:p w14:paraId="1700ED90" w14:textId="711F5E0D" w:rsidR="002F0483" w:rsidRPr="009C5EFD" w:rsidRDefault="00E453CD" w:rsidP="002F0483">
            <w:pPr>
              <w:keepNext/>
              <w:autoSpaceDE w:val="0"/>
              <w:autoSpaceDN w:val="0"/>
              <w:adjustRightInd w:val="0"/>
              <w:jc w:val="center"/>
              <w:rPr>
                <w:del w:id="3193" w:author="AbbVie02no" w:date="2025-05-15T12:36:00Z"/>
                <w:b/>
                <w:bCs/>
                <w:sz w:val="22"/>
                <w:szCs w:val="22"/>
              </w:rPr>
            </w:pPr>
            <w:del w:id="3194" w:author="AbbVie02no" w:date="2025-05-15T12:36:00Z">
              <w:r w:rsidRPr="009C5EFD">
                <w:rPr>
                  <w:rStyle w:val="gtcbold9"/>
                  <w:sz w:val="22"/>
                  <w:szCs w:val="22"/>
                </w:rPr>
                <w:delText xml:space="preserve">Tabell </w:delText>
              </w:r>
              <w:r>
                <w:rPr>
                  <w:rStyle w:val="gtcbold9"/>
                  <w:sz w:val="22"/>
                  <w:szCs w:val="22"/>
                </w:rPr>
                <w:delText>22:</w:delText>
              </w:r>
              <w:r w:rsidRPr="009C5EFD">
                <w:rPr>
                  <w:rStyle w:val="gtcbold9"/>
                  <w:sz w:val="22"/>
                  <w:szCs w:val="22"/>
                </w:rPr>
                <w:delText xml:space="preserve"> </w:delText>
              </w:r>
              <w:r w:rsidRPr="007F67EE">
                <w:rPr>
                  <w:b/>
                  <w:bCs/>
                  <w:sz w:val="22"/>
                  <w:szCs w:val="22"/>
                </w:rPr>
                <w:delText xml:space="preserve">Pediatrisk plakkpsoriasis </w:delText>
              </w:r>
              <w:r w:rsidRPr="00193D76">
                <w:rPr>
                  <w:b/>
                  <w:bCs/>
                  <w:sz w:val="22"/>
                  <w:szCs w:val="22"/>
                </w:rPr>
                <w:delText xml:space="preserve">– </w:delText>
              </w:r>
              <w:r>
                <w:rPr>
                  <w:b/>
                  <w:bCs/>
                  <w:sz w:val="22"/>
                  <w:szCs w:val="22"/>
                </w:rPr>
                <w:delText>effektresultater</w:delText>
              </w:r>
              <w:r w:rsidRPr="009C5EFD">
                <w:rPr>
                  <w:b/>
                  <w:bCs/>
                  <w:sz w:val="22"/>
                  <w:szCs w:val="22"/>
                </w:rPr>
                <w:delText xml:space="preserve"> ved uke 16</w:delText>
              </w:r>
            </w:del>
          </w:p>
          <w:p w14:paraId="19A66C1B" w14:textId="5B681DA5" w:rsidR="002F0483" w:rsidRPr="009C5EFD" w:rsidRDefault="002F0483" w:rsidP="002F0483">
            <w:pPr>
              <w:keepNext/>
              <w:jc w:val="center"/>
              <w:rPr>
                <w:del w:id="3195" w:author="AbbVie02no" w:date="2025-05-15T12:36:00Z"/>
                <w:b/>
                <w:sz w:val="22"/>
                <w:szCs w:val="22"/>
              </w:rPr>
            </w:pPr>
          </w:p>
        </w:tc>
      </w:tr>
      <w:tr w:rsidR="004644D4" w14:paraId="131575E3" w14:textId="7BABF824" w:rsidTr="002F0483">
        <w:trPr>
          <w:jc w:val="center"/>
          <w:del w:id="3196" w:author="AbbVie02no" w:date="2025-05-15T12:36:00Z"/>
        </w:trPr>
        <w:tc>
          <w:tcPr>
            <w:tcW w:w="0" w:type="auto"/>
            <w:tcBorders>
              <w:top w:val="single" w:sz="6" w:space="0" w:color="000000"/>
              <w:left w:val="single" w:sz="6" w:space="0" w:color="000000"/>
              <w:bottom w:val="outset" w:sz="6" w:space="0" w:color="auto"/>
              <w:right w:val="outset" w:sz="6" w:space="0" w:color="auto"/>
            </w:tcBorders>
            <w:vAlign w:val="center"/>
          </w:tcPr>
          <w:p w14:paraId="032A22F8" w14:textId="5223E6CF" w:rsidR="002F0483" w:rsidRPr="009C5EFD" w:rsidRDefault="002F0483" w:rsidP="002F0483">
            <w:pPr>
              <w:rPr>
                <w:del w:id="3197" w:author="AbbVie02no" w:date="2025-05-15T12:36:00Z"/>
                <w:sz w:val="22"/>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028C3E2B" w14:textId="5746D6EF" w:rsidR="002F0483" w:rsidRPr="009C5EFD" w:rsidRDefault="00E453CD" w:rsidP="002F0483">
            <w:pPr>
              <w:jc w:val="center"/>
              <w:rPr>
                <w:del w:id="3198" w:author="AbbVie02no" w:date="2025-05-15T12:36:00Z"/>
                <w:sz w:val="22"/>
                <w:szCs w:val="22"/>
              </w:rPr>
            </w:pPr>
            <w:del w:id="3199" w:author="AbbVie02no" w:date="2025-05-15T12:36:00Z">
              <w:r w:rsidRPr="009C5EFD">
                <w:rPr>
                  <w:sz w:val="22"/>
                  <w:szCs w:val="22"/>
                </w:rPr>
                <w:delText>MTX</w:delText>
              </w:r>
              <w:r w:rsidRPr="009C5EFD">
                <w:rPr>
                  <w:sz w:val="22"/>
                  <w:szCs w:val="22"/>
                  <w:vertAlign w:val="superscript"/>
                </w:rPr>
                <w:delText>a</w:delText>
              </w:r>
              <w:r w:rsidRPr="009C5EFD">
                <w:rPr>
                  <w:sz w:val="22"/>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5939A255" w14:textId="66CA5857" w:rsidR="002F0483" w:rsidRPr="009C5EFD" w:rsidRDefault="00E453CD" w:rsidP="002F0483">
            <w:pPr>
              <w:jc w:val="center"/>
              <w:rPr>
                <w:del w:id="3200" w:author="AbbVie02no" w:date="2025-05-15T12:36:00Z"/>
                <w:sz w:val="22"/>
                <w:szCs w:val="22"/>
                <w:lang w:val="pt-BR"/>
              </w:rPr>
            </w:pPr>
            <w:del w:id="3201" w:author="AbbVie02no" w:date="2025-05-15T12:36:00Z">
              <w:r w:rsidRPr="009C5EFD">
                <w:rPr>
                  <w:sz w:val="22"/>
                  <w:szCs w:val="22"/>
                  <w:lang w:val="pt-BR"/>
                </w:rPr>
                <w:delText>Humira 0,8</w:delText>
              </w:r>
              <w:r>
                <w:rPr>
                  <w:sz w:val="22"/>
                  <w:szCs w:val="22"/>
                  <w:lang w:val="pt-BR"/>
                </w:rPr>
                <w:delText xml:space="preserve"> </w:delText>
              </w:r>
              <w:r w:rsidRPr="009C5EFD">
                <w:rPr>
                  <w:sz w:val="22"/>
                  <w:szCs w:val="22"/>
                  <w:lang w:val="pt-BR"/>
                </w:rPr>
                <w:delText>mg/kg annenhver uke</w:delText>
              </w:r>
              <w:r w:rsidRPr="009C5EFD">
                <w:rPr>
                  <w:sz w:val="22"/>
                  <w:szCs w:val="22"/>
                  <w:lang w:val="pt-BR"/>
                </w:rPr>
                <w:br/>
                <w:delText xml:space="preserve">N=38 </w:delText>
              </w:r>
            </w:del>
          </w:p>
        </w:tc>
      </w:tr>
      <w:tr w:rsidR="004644D4" w14:paraId="68810CE0" w14:textId="667FCCA4" w:rsidTr="002F0483">
        <w:trPr>
          <w:jc w:val="center"/>
          <w:del w:id="3202" w:author="AbbVie02no" w:date="2025-05-15T12:36:00Z"/>
        </w:trPr>
        <w:tc>
          <w:tcPr>
            <w:tcW w:w="0" w:type="auto"/>
            <w:tcBorders>
              <w:top w:val="single" w:sz="6" w:space="0" w:color="000000"/>
              <w:left w:val="single" w:sz="6" w:space="0" w:color="000000"/>
              <w:bottom w:val="outset" w:sz="6" w:space="0" w:color="auto"/>
              <w:right w:val="outset" w:sz="6" w:space="0" w:color="auto"/>
            </w:tcBorders>
            <w:vAlign w:val="center"/>
          </w:tcPr>
          <w:p w14:paraId="39583D96" w14:textId="6D15F4FB" w:rsidR="002F0483" w:rsidRPr="007F67EE" w:rsidRDefault="00E453CD" w:rsidP="002F0483">
            <w:pPr>
              <w:rPr>
                <w:del w:id="3203" w:author="AbbVie02no" w:date="2025-05-15T12:36:00Z"/>
                <w:sz w:val="22"/>
                <w:szCs w:val="22"/>
              </w:rPr>
            </w:pPr>
            <w:del w:id="3204" w:author="AbbVie02no" w:date="2025-05-15T12:36:00Z">
              <w:r w:rsidRPr="007F67EE">
                <w:rPr>
                  <w:sz w:val="22"/>
                  <w:szCs w:val="22"/>
                </w:rPr>
                <w:delText> </w:delText>
              </w:r>
              <w:r w:rsidRPr="007F67EE">
                <w:rPr>
                  <w:sz w:val="22"/>
                  <w:szCs w:val="22"/>
                </w:rPr>
                <w:delText>PASI 75</w:delText>
              </w:r>
              <w:r w:rsidRPr="007F67EE">
                <w:rPr>
                  <w:sz w:val="22"/>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093F7F35" w14:textId="66CE690D" w:rsidR="002F0483" w:rsidRPr="00193D76" w:rsidRDefault="00E453CD" w:rsidP="002F0483">
            <w:pPr>
              <w:jc w:val="center"/>
              <w:rPr>
                <w:del w:id="3205" w:author="AbbVie02no" w:date="2025-05-15T12:36:00Z"/>
                <w:sz w:val="22"/>
                <w:szCs w:val="22"/>
              </w:rPr>
            </w:pPr>
            <w:del w:id="3206" w:author="AbbVie02no" w:date="2025-05-15T12:36:00Z">
              <w:r w:rsidRPr="00193D76">
                <w:rPr>
                  <w:sz w:val="22"/>
                  <w:szCs w:val="22"/>
                </w:rPr>
                <w:delText>12 (32,4 %)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63FFD451" w14:textId="198A377F" w:rsidR="002F0483" w:rsidRPr="002D0790" w:rsidRDefault="00E453CD" w:rsidP="002F0483">
            <w:pPr>
              <w:jc w:val="center"/>
              <w:rPr>
                <w:del w:id="3207" w:author="AbbVie02no" w:date="2025-05-15T12:36:00Z"/>
                <w:sz w:val="22"/>
                <w:szCs w:val="22"/>
              </w:rPr>
            </w:pPr>
            <w:del w:id="3208" w:author="AbbVie02no" w:date="2025-05-15T12:36:00Z">
              <w:r w:rsidRPr="002D0790">
                <w:rPr>
                  <w:sz w:val="22"/>
                  <w:szCs w:val="22"/>
                </w:rPr>
                <w:delText>22 (57,9 %)</w:delText>
              </w:r>
            </w:del>
          </w:p>
        </w:tc>
      </w:tr>
      <w:tr w:rsidR="004644D4" w14:paraId="070B1969" w14:textId="41664E07" w:rsidTr="002F0483">
        <w:trPr>
          <w:jc w:val="center"/>
          <w:del w:id="3209" w:author="AbbVie02no" w:date="2025-05-15T12:36:00Z"/>
        </w:trPr>
        <w:tc>
          <w:tcPr>
            <w:tcW w:w="0" w:type="auto"/>
            <w:tcBorders>
              <w:top w:val="single" w:sz="6" w:space="0" w:color="000000"/>
              <w:left w:val="single" w:sz="6" w:space="0" w:color="000000"/>
              <w:bottom w:val="single" w:sz="6" w:space="0" w:color="000000"/>
              <w:right w:val="outset" w:sz="6" w:space="0" w:color="auto"/>
            </w:tcBorders>
            <w:vAlign w:val="center"/>
          </w:tcPr>
          <w:p w14:paraId="39D7EB55" w14:textId="20B5FDBA" w:rsidR="002F0483" w:rsidRPr="009C5EFD" w:rsidRDefault="00E453CD" w:rsidP="002F0483">
            <w:pPr>
              <w:rPr>
                <w:del w:id="3210" w:author="AbbVie02no" w:date="2025-05-15T12:36:00Z"/>
                <w:sz w:val="22"/>
                <w:szCs w:val="22"/>
              </w:rPr>
            </w:pPr>
            <w:del w:id="3211" w:author="AbbVie02no" w:date="2025-05-15T12:36:00Z">
              <w:r w:rsidRPr="007F67EE">
                <w:rPr>
                  <w:sz w:val="22"/>
                  <w:szCs w:val="22"/>
                </w:rPr>
                <w:delText> </w:delText>
              </w:r>
              <w:r w:rsidRPr="007F67EE">
                <w:rPr>
                  <w:sz w:val="22"/>
                  <w:szCs w:val="22"/>
                </w:rPr>
                <w:delText xml:space="preserve">PGA: </w:delText>
              </w:r>
              <w:r>
                <w:rPr>
                  <w:sz w:val="22"/>
                  <w:szCs w:val="22"/>
                </w:rPr>
                <w:delText>«</w:delText>
              </w:r>
              <w:r w:rsidRPr="007F67EE">
                <w:rPr>
                  <w:sz w:val="22"/>
                  <w:szCs w:val="22"/>
                </w:rPr>
                <w:delText>Klar</w:delText>
              </w:r>
              <w:r w:rsidRPr="00193D76">
                <w:rPr>
                  <w:sz w:val="22"/>
                  <w:szCs w:val="22"/>
                </w:rPr>
                <w:delText>’</w:delText>
              </w:r>
              <w:r w:rsidRPr="002D0790">
                <w:rPr>
                  <w:sz w:val="22"/>
                  <w:szCs w:val="22"/>
                </w:rPr>
                <w:delText>/minimal</w:delText>
              </w:r>
              <w:r w:rsidRPr="00E14E58">
                <w:rPr>
                  <w:sz w:val="22"/>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2B6BDC52" w14:textId="4E8C7009" w:rsidR="002F0483" w:rsidRPr="009C5EFD" w:rsidRDefault="00E453CD" w:rsidP="002F0483">
            <w:pPr>
              <w:jc w:val="center"/>
              <w:rPr>
                <w:del w:id="3212" w:author="AbbVie02no" w:date="2025-05-15T12:36:00Z"/>
                <w:sz w:val="22"/>
                <w:szCs w:val="22"/>
              </w:rPr>
            </w:pPr>
            <w:del w:id="3213" w:author="AbbVie02no" w:date="2025-05-15T12:36:00Z">
              <w:r w:rsidRPr="009C5EFD">
                <w:rPr>
                  <w:sz w:val="22"/>
                  <w:szCs w:val="22"/>
                </w:rPr>
                <w:delText>15 (40,5 %)</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63EFF15B" w14:textId="78070C0D" w:rsidR="002F0483" w:rsidRPr="009C5EFD" w:rsidRDefault="00E453CD" w:rsidP="002F0483">
            <w:pPr>
              <w:jc w:val="center"/>
              <w:rPr>
                <w:del w:id="3214" w:author="AbbVie02no" w:date="2025-05-15T12:36:00Z"/>
                <w:sz w:val="22"/>
                <w:szCs w:val="22"/>
              </w:rPr>
            </w:pPr>
            <w:del w:id="3215" w:author="AbbVie02no" w:date="2025-05-15T12:36:00Z">
              <w:r w:rsidRPr="009C5EFD">
                <w:rPr>
                  <w:sz w:val="22"/>
                  <w:szCs w:val="22"/>
                </w:rPr>
                <w:delText>23 (60,5 %)</w:delText>
              </w:r>
            </w:del>
          </w:p>
        </w:tc>
      </w:tr>
      <w:tr w:rsidR="004644D4" w14:paraId="6D2112DA" w14:textId="6B9D6904" w:rsidTr="002F0483">
        <w:trPr>
          <w:jc w:val="center"/>
          <w:del w:id="3216" w:author="AbbVie02no" w:date="2025-05-15T12:36: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4FDA9375" w14:textId="7ADF95AF" w:rsidR="002F0483" w:rsidRPr="00DD5322" w:rsidRDefault="00E453CD" w:rsidP="002F0483">
            <w:pPr>
              <w:rPr>
                <w:del w:id="3217" w:author="AbbVie02no" w:date="2025-05-15T12:36:00Z"/>
                <w:sz w:val="22"/>
                <w:szCs w:val="22"/>
              </w:rPr>
            </w:pPr>
            <w:del w:id="3218" w:author="AbbVie02no" w:date="2025-05-15T12:36:00Z">
              <w:r w:rsidRPr="00DD5322">
                <w:rPr>
                  <w:sz w:val="22"/>
                  <w:szCs w:val="22"/>
                  <w:vertAlign w:val="superscript"/>
                </w:rPr>
                <w:delText xml:space="preserve">a </w:delText>
              </w:r>
              <w:r w:rsidRPr="00DD5322">
                <w:rPr>
                  <w:sz w:val="22"/>
                  <w:szCs w:val="22"/>
                </w:rPr>
                <w:delText>MTX = metotreksat</w:delText>
              </w:r>
            </w:del>
          </w:p>
          <w:p w14:paraId="0F57BFD5" w14:textId="0F7F8E85" w:rsidR="002F0483" w:rsidRPr="00DD5322" w:rsidRDefault="00E453CD" w:rsidP="002F0483">
            <w:pPr>
              <w:rPr>
                <w:del w:id="3219" w:author="AbbVie02no" w:date="2025-05-15T12:36:00Z"/>
                <w:sz w:val="22"/>
                <w:szCs w:val="22"/>
              </w:rPr>
            </w:pPr>
            <w:del w:id="3220" w:author="AbbVie02no" w:date="2025-05-15T12:36:00Z">
              <w:r w:rsidRPr="00DD5322">
                <w:rPr>
                  <w:sz w:val="22"/>
                  <w:szCs w:val="22"/>
                  <w:vertAlign w:val="superscript"/>
                </w:rPr>
                <w:delText>b</w:delText>
              </w:r>
              <w:r w:rsidRPr="00DD5322">
                <w:rPr>
                  <w:sz w:val="22"/>
                  <w:szCs w:val="22"/>
                </w:rPr>
                <w:delText xml:space="preserve"> p=0,027, Humira 0,8 mg/kg vs. MTX</w:delText>
              </w:r>
            </w:del>
          </w:p>
          <w:p w14:paraId="3466F711" w14:textId="1280A097" w:rsidR="002F0483" w:rsidRPr="001424DB" w:rsidRDefault="00E453CD" w:rsidP="002F0483">
            <w:pPr>
              <w:rPr>
                <w:del w:id="3221" w:author="AbbVie02no" w:date="2025-05-15T12:36:00Z"/>
                <w:sz w:val="22"/>
                <w:szCs w:val="22"/>
                <w:lang w:val="sv-SE"/>
              </w:rPr>
            </w:pPr>
            <w:del w:id="3222" w:author="AbbVie02no" w:date="2025-05-15T12:36:00Z">
              <w:r w:rsidRPr="001424DB">
                <w:rPr>
                  <w:sz w:val="22"/>
                  <w:szCs w:val="22"/>
                  <w:vertAlign w:val="superscript"/>
                  <w:lang w:val="sv-SE"/>
                </w:rPr>
                <w:delText>c</w:delText>
              </w:r>
              <w:r w:rsidRPr="001424DB">
                <w:rPr>
                  <w:sz w:val="22"/>
                  <w:szCs w:val="22"/>
                  <w:lang w:val="sv-SE"/>
                </w:rPr>
                <w:delText xml:space="preserve"> p=0,083, Humira 0,8 mg/kg vs. MTX</w:delText>
              </w:r>
            </w:del>
          </w:p>
        </w:tc>
      </w:tr>
    </w:tbl>
    <w:p w14:paraId="28DD2092" w14:textId="10D2A615" w:rsidR="002F0483" w:rsidRPr="009C5EFD" w:rsidRDefault="002F0483" w:rsidP="002F0483">
      <w:pPr>
        <w:rPr>
          <w:del w:id="3223" w:author="AbbVie02no" w:date="2025-05-15T12:36:00Z"/>
          <w:sz w:val="22"/>
          <w:szCs w:val="22"/>
          <w:lang w:val="sv-SE"/>
        </w:rPr>
      </w:pPr>
    </w:p>
    <w:p w14:paraId="46373FC1" w14:textId="1500D74E" w:rsidR="002F0483" w:rsidRPr="009C5EFD" w:rsidRDefault="00E453CD" w:rsidP="002F0483">
      <w:pPr>
        <w:pStyle w:val="Heading8"/>
        <w:keepNext w:val="0"/>
        <w:rPr>
          <w:del w:id="3224" w:author="AbbVie02no" w:date="2025-05-15T12:36:00Z"/>
          <w:szCs w:val="22"/>
          <w:u w:val="none"/>
        </w:rPr>
      </w:pPr>
      <w:del w:id="3225" w:author="AbbVie02no" w:date="2025-05-15T12:36:00Z">
        <w:r w:rsidRPr="009C5EFD">
          <w:rPr>
            <w:szCs w:val="22"/>
            <w:u w:val="none"/>
          </w:rPr>
          <w:lastRenderedPageBreak/>
          <w:delText xml:space="preserve">Pasienter som oppnådde PASI 75 og PGA </w:delText>
        </w:r>
        <w:r>
          <w:rPr>
            <w:szCs w:val="22"/>
            <w:u w:val="none"/>
          </w:rPr>
          <w:delText>«</w:delText>
        </w:r>
        <w:r w:rsidRPr="009C5EFD">
          <w:rPr>
            <w:szCs w:val="22"/>
            <w:u w:val="none"/>
          </w:rPr>
          <w:delText xml:space="preserve">klar’ eller minimal fikk stoppet behandlingen i opptil 36 uker og ble overvåket for tap av sykdomskontroll (f.eks. foverring av PGA med minst 2 i score). Pasientene ble deretter re-behandlet med adalimumab 0,8 mg/kg annenhver uke i 16 tilleggsuker, og responsraten observert under re-behandling var tilsvarende funn fra tidligere dobbeltblindet periode: PASI 75 respons på 78,9 % (15 av 19 personer) og PGA </w:delText>
        </w:r>
        <w:r>
          <w:rPr>
            <w:szCs w:val="22"/>
            <w:u w:val="none"/>
          </w:rPr>
          <w:delText>«</w:delText>
        </w:r>
        <w:r w:rsidRPr="009C5EFD">
          <w:rPr>
            <w:szCs w:val="22"/>
            <w:u w:val="none"/>
          </w:rPr>
          <w:delText>klar’ eller minimal på 52,6 % (10 av 19 personer).</w:delText>
        </w:r>
      </w:del>
    </w:p>
    <w:p w14:paraId="5095AA3A" w14:textId="5C50894D" w:rsidR="002F0483" w:rsidRPr="009C5EFD" w:rsidRDefault="002F0483" w:rsidP="002F0483">
      <w:pPr>
        <w:rPr>
          <w:del w:id="3226" w:author="AbbVie02no" w:date="2025-05-15T12:36:00Z"/>
          <w:sz w:val="22"/>
          <w:szCs w:val="22"/>
        </w:rPr>
      </w:pPr>
    </w:p>
    <w:p w14:paraId="18B0481E" w14:textId="43074E2B" w:rsidR="002F0483" w:rsidRPr="009C5EFD" w:rsidRDefault="00E453CD" w:rsidP="002F0483">
      <w:pPr>
        <w:rPr>
          <w:del w:id="3227" w:author="AbbVie02no" w:date="2025-05-15T12:36:00Z"/>
          <w:sz w:val="22"/>
          <w:szCs w:val="22"/>
        </w:rPr>
      </w:pPr>
      <w:del w:id="3228" w:author="AbbVie02no" w:date="2025-05-15T12:36:00Z">
        <w:r w:rsidRPr="009C5EFD">
          <w:rPr>
            <w:sz w:val="22"/>
            <w:szCs w:val="22"/>
          </w:rPr>
          <w:delText xml:space="preserve">I den åpne perioden av studien, ble PASI 75 og PGA </w:delText>
        </w:r>
        <w:r>
          <w:rPr>
            <w:sz w:val="22"/>
            <w:szCs w:val="22"/>
          </w:rPr>
          <w:delText>«</w:delText>
        </w:r>
        <w:r w:rsidRPr="009C5EFD">
          <w:rPr>
            <w:sz w:val="22"/>
            <w:szCs w:val="22"/>
          </w:rPr>
          <w:delText>klar’ eller minimal opprettholdt i en tilleggsperiode på 52 uker uten nye sikkerhetsfunn.</w:delText>
        </w:r>
      </w:del>
    </w:p>
    <w:p w14:paraId="3DCB6098" w14:textId="0A4EB279" w:rsidR="002F0483" w:rsidRPr="009C5EFD" w:rsidRDefault="002F0483" w:rsidP="002F0483">
      <w:pPr>
        <w:rPr>
          <w:del w:id="3229" w:author="AbbVie02no" w:date="2025-05-15T12:36:00Z"/>
          <w:sz w:val="22"/>
          <w:szCs w:val="22"/>
        </w:rPr>
      </w:pPr>
    </w:p>
    <w:p w14:paraId="3E457BD0" w14:textId="00C7B0F0" w:rsidR="00DA0300" w:rsidRDefault="00E453CD" w:rsidP="00DA0300">
      <w:pPr>
        <w:keepNext/>
        <w:rPr>
          <w:del w:id="3230" w:author="AbbVie02no" w:date="2025-05-15T12:36:00Z"/>
          <w:rFonts w:eastAsia="TimesNewRoman"/>
          <w:i/>
          <w:sz w:val="22"/>
          <w:szCs w:val="22"/>
        </w:rPr>
      </w:pPr>
      <w:del w:id="3231" w:author="AbbVie02no" w:date="2025-05-15T12:36:00Z">
        <w:r w:rsidRPr="009C5EFD">
          <w:rPr>
            <w:rFonts w:eastAsia="TimesNewRoman"/>
            <w:i/>
            <w:sz w:val="22"/>
            <w:szCs w:val="22"/>
          </w:rPr>
          <w:delText>Hidrosadenitt</w:delText>
        </w:r>
        <w:r>
          <w:rPr>
            <w:rFonts w:eastAsia="TimesNewRoman"/>
            <w:i/>
            <w:sz w:val="22"/>
            <w:szCs w:val="22"/>
          </w:rPr>
          <w:delText xml:space="preserve"> hos ungdom</w:delText>
        </w:r>
      </w:del>
    </w:p>
    <w:p w14:paraId="0AABB72D" w14:textId="07DB92CD" w:rsidR="00DA0300" w:rsidRDefault="00DA0300" w:rsidP="00DA0300">
      <w:pPr>
        <w:keepNext/>
        <w:rPr>
          <w:del w:id="3232" w:author="AbbVie02no" w:date="2025-05-15T12:36:00Z"/>
          <w:rFonts w:eastAsia="TimesNewRoman"/>
          <w:i/>
          <w:sz w:val="22"/>
          <w:szCs w:val="22"/>
        </w:rPr>
      </w:pPr>
    </w:p>
    <w:p w14:paraId="789F004D" w14:textId="675821F5" w:rsidR="00DA0300" w:rsidRDefault="00E453CD" w:rsidP="00DA0300">
      <w:pPr>
        <w:rPr>
          <w:del w:id="3233" w:author="AbbVie02no" w:date="2025-05-15T12:36:00Z"/>
          <w:rFonts w:eastAsia="TimesNewRoman"/>
          <w:i/>
          <w:sz w:val="22"/>
          <w:szCs w:val="22"/>
        </w:rPr>
      </w:pPr>
      <w:del w:id="3234" w:author="AbbVie02no" w:date="2025-05-15T12:36:00Z">
        <w:r>
          <w:rPr>
            <w:sz w:val="22"/>
            <w:szCs w:val="22"/>
          </w:rPr>
          <w:delText>Det finnes ingen kliniske studier med Humira hos ungdom med HS. Effekten av adalimumab for behandling av ungdom med HS er forventet basert på demonstrert effekt og eksponering-respons</w:delText>
        </w:r>
        <w:r w:rsidR="00E85D89">
          <w:rPr>
            <w:sz w:val="22"/>
            <w:szCs w:val="22"/>
          </w:rPr>
          <w:delText>-</w:delText>
        </w:r>
        <w:r>
          <w:rPr>
            <w:sz w:val="22"/>
            <w:szCs w:val="22"/>
          </w:rPr>
          <w:delText xml:space="preserve"> forhold hos voksne pasienter med HS og sannsynligheten for at sykdomsforløpet, patofysiologi og effekt av legemidlet er vesentlig lik som for voksne ved de samme eksponeringsnivåer. Sikkerheten av den anbefalte dosen for adalimumab hos ungdom med HS er basert på sikkerhetsprofilen observert på tvers av indikasjonene ved bruk hos både voksne og pediatriske pasienter ved lik eller hyppigere dosering (se pkt. 5.2). </w:delText>
        </w:r>
      </w:del>
    </w:p>
    <w:p w14:paraId="06DB8AB4" w14:textId="3B1BA256" w:rsidR="00DA0300" w:rsidRDefault="00DA0300" w:rsidP="00DC39C9">
      <w:pPr>
        <w:keepNext/>
        <w:rPr>
          <w:del w:id="3235" w:author="AbbVie02no" w:date="2025-05-15T12:36:00Z"/>
          <w:i/>
          <w:sz w:val="22"/>
          <w:szCs w:val="22"/>
        </w:rPr>
      </w:pPr>
    </w:p>
    <w:p w14:paraId="2F64D144" w14:textId="7292F47F" w:rsidR="002F0483" w:rsidRPr="00193D76" w:rsidRDefault="00E453CD" w:rsidP="002F0483">
      <w:pPr>
        <w:keepNext/>
        <w:rPr>
          <w:del w:id="3236" w:author="AbbVie02no" w:date="2025-05-15T12:36:00Z"/>
          <w:sz w:val="22"/>
          <w:szCs w:val="22"/>
          <w:u w:val="single"/>
        </w:rPr>
      </w:pPr>
      <w:del w:id="3237" w:author="AbbVie02no" w:date="2025-05-15T12:36:00Z">
        <w:r w:rsidRPr="001F5D4B">
          <w:rPr>
            <w:i/>
            <w:sz w:val="22"/>
            <w:szCs w:val="22"/>
          </w:rPr>
          <w:delText>Pediatrisk Crohns sykdom</w:delText>
        </w:r>
      </w:del>
    </w:p>
    <w:p w14:paraId="49BCE82E" w14:textId="0ABAA539" w:rsidR="002F0483" w:rsidRPr="002D0790" w:rsidRDefault="002F0483" w:rsidP="002F0483">
      <w:pPr>
        <w:keepNext/>
        <w:rPr>
          <w:del w:id="3238" w:author="AbbVie02no" w:date="2025-05-15T12:36:00Z"/>
          <w:sz w:val="22"/>
          <w:szCs w:val="22"/>
          <w:u w:val="single"/>
        </w:rPr>
      </w:pPr>
    </w:p>
    <w:p w14:paraId="6F241BAD" w14:textId="3FCD87D6" w:rsidR="002F0483" w:rsidRPr="009C5EFD" w:rsidRDefault="00E453CD" w:rsidP="002F0483">
      <w:pPr>
        <w:rPr>
          <w:del w:id="3239" w:author="AbbVie02no" w:date="2025-05-15T12:36:00Z"/>
          <w:sz w:val="22"/>
          <w:szCs w:val="22"/>
        </w:rPr>
      </w:pPr>
      <w:del w:id="3240" w:author="AbbVie02no" w:date="2025-05-15T12:36:00Z">
        <w:r w:rsidRPr="002D0790">
          <w:rPr>
            <w:sz w:val="22"/>
            <w:szCs w:val="22"/>
          </w:rPr>
          <w:delText>Humira ble vurdert i en multisenter, randomisert, dobbeltblind</w:delText>
        </w:r>
        <w:r w:rsidRPr="00E14E58">
          <w:rPr>
            <w:sz w:val="22"/>
            <w:szCs w:val="22"/>
          </w:rPr>
          <w:delText>et</w:delText>
        </w:r>
        <w:r w:rsidRPr="009C5EFD">
          <w:rPr>
            <w:sz w:val="22"/>
            <w:szCs w:val="22"/>
          </w:rPr>
          <w:delText xml:space="preserve"> klinisk studie designet for å </w:delText>
        </w:r>
        <w:r w:rsidR="00421CF7">
          <w:rPr>
            <w:sz w:val="22"/>
            <w:szCs w:val="22"/>
          </w:rPr>
          <w:delText>vurdere</w:delText>
        </w:r>
        <w:r w:rsidRPr="009C5EFD">
          <w:rPr>
            <w:sz w:val="22"/>
            <w:szCs w:val="22"/>
          </w:rPr>
          <w:delText xml:space="preserve"> effekt og sikkerhet av induksjons- og vedlikeholdsbehandling med doser avhenging av kroppsvekt (&lt; 40 kg eller ≥ 40 kg) hos 192 pediatriske pasienter i alderen mellom 6 og 17 år (inklusiv) med moderat til alvorlig Crohns sykdom (CD), definert som Pediatri</w:delText>
        </w:r>
        <w:r>
          <w:rPr>
            <w:sz w:val="22"/>
            <w:szCs w:val="22"/>
          </w:rPr>
          <w:delText>c</w:delText>
        </w:r>
        <w:r w:rsidRPr="009C5EFD">
          <w:rPr>
            <w:sz w:val="22"/>
            <w:szCs w:val="22"/>
          </w:rPr>
          <w:delText xml:space="preserve"> Crohn</w:delText>
        </w:r>
        <w:r>
          <w:rPr>
            <w:sz w:val="22"/>
            <w:szCs w:val="22"/>
          </w:rPr>
          <w:delText>’</w:delText>
        </w:r>
        <w:r w:rsidRPr="009C5EFD">
          <w:rPr>
            <w:sz w:val="22"/>
            <w:szCs w:val="22"/>
          </w:rPr>
          <w:delText>s</w:delText>
        </w:r>
        <w:r w:rsidRPr="008138BF">
          <w:delText xml:space="preserve"> </w:delText>
        </w:r>
        <w:r w:rsidRPr="008138BF">
          <w:rPr>
            <w:sz w:val="22"/>
            <w:szCs w:val="22"/>
          </w:rPr>
          <w:delText>Disease</w:delText>
        </w:r>
        <w:r w:rsidRPr="009C5EFD">
          <w:rPr>
            <w:sz w:val="22"/>
            <w:szCs w:val="22"/>
          </w:rPr>
          <w:delText xml:space="preserve"> Activity Index (PCDAI) score &gt; 30. Pasientene måtte ha mislyktes på </w:delText>
        </w:r>
        <w:r>
          <w:rPr>
            <w:sz w:val="22"/>
            <w:szCs w:val="22"/>
          </w:rPr>
          <w:delText>konvensjonell behandling</w:delText>
        </w:r>
        <w:r w:rsidRPr="009C5EFD">
          <w:rPr>
            <w:sz w:val="22"/>
            <w:szCs w:val="22"/>
          </w:rPr>
          <w:delText xml:space="preserve"> (inkludert et kortikosteroid og/eller et immunmodulerende middel) for CD. Pasientene kan også tidligere ha mistet respons eller vært intolerante overfor infliksimab.</w:delText>
        </w:r>
      </w:del>
    </w:p>
    <w:p w14:paraId="5746BC6C" w14:textId="4AE0FB4D" w:rsidR="002F0483" w:rsidRPr="009C5EFD" w:rsidRDefault="002F0483" w:rsidP="002F0483">
      <w:pPr>
        <w:rPr>
          <w:del w:id="3241" w:author="AbbVie02no" w:date="2025-05-15T12:36:00Z"/>
          <w:sz w:val="22"/>
          <w:szCs w:val="22"/>
        </w:rPr>
      </w:pPr>
    </w:p>
    <w:p w14:paraId="4FB76FBF" w14:textId="3C0137F9" w:rsidR="002F0483" w:rsidRPr="009C5EFD" w:rsidRDefault="00E453CD" w:rsidP="002F0483">
      <w:pPr>
        <w:rPr>
          <w:del w:id="3242" w:author="AbbVie02no" w:date="2025-05-15T12:36:00Z"/>
          <w:sz w:val="22"/>
          <w:szCs w:val="22"/>
        </w:rPr>
      </w:pPr>
      <w:del w:id="3243" w:author="AbbVie02no" w:date="2025-05-15T12:36:00Z">
        <w:r w:rsidRPr="009C5EFD">
          <w:rPr>
            <w:sz w:val="22"/>
            <w:szCs w:val="22"/>
          </w:rPr>
          <w:delText>Alle pasienter fikk åpen induksjonsbehandling med en dose basert på deres baseline kroppsvekt: 160 mg ved uke 0 og 80 mg ved uke 2 for pasienter ≥ 40 kg, og henholdsvis 80 mg og 40 mg for pasienter &lt; 40 kg.</w:delText>
        </w:r>
      </w:del>
    </w:p>
    <w:p w14:paraId="4B46DD89" w14:textId="15CD314A" w:rsidR="002F0483" w:rsidRPr="009C5EFD" w:rsidRDefault="002F0483" w:rsidP="002F0483">
      <w:pPr>
        <w:rPr>
          <w:del w:id="3244" w:author="AbbVie02no" w:date="2025-05-15T12:36:00Z"/>
          <w:sz w:val="22"/>
          <w:szCs w:val="22"/>
        </w:rPr>
      </w:pPr>
    </w:p>
    <w:p w14:paraId="78ADA0DD" w14:textId="0ADAD0A9" w:rsidR="002F0483" w:rsidRPr="009C5EFD" w:rsidRDefault="00E453CD" w:rsidP="002F0483">
      <w:pPr>
        <w:rPr>
          <w:del w:id="3245" w:author="AbbVie02no" w:date="2025-05-15T12:36:00Z"/>
          <w:sz w:val="22"/>
          <w:szCs w:val="22"/>
        </w:rPr>
      </w:pPr>
      <w:del w:id="3246" w:author="AbbVie02no" w:date="2025-05-15T12:36:00Z">
        <w:r w:rsidRPr="009C5EFD">
          <w:rPr>
            <w:sz w:val="22"/>
            <w:szCs w:val="22"/>
          </w:rPr>
          <w:delText xml:space="preserve">Ved uke 4 ble pasientene randomisert til vedlikeholdsbehandling 1:1 basert på deres kroppsvekt til enten lav dose eller standard dose som vist i tabell </w:delText>
        </w:r>
        <w:r>
          <w:rPr>
            <w:sz w:val="22"/>
            <w:szCs w:val="22"/>
          </w:rPr>
          <w:delText>23</w:delText>
        </w:r>
        <w:r w:rsidRPr="009C5EFD">
          <w:rPr>
            <w:sz w:val="22"/>
            <w:szCs w:val="22"/>
          </w:rPr>
          <w:delText>.</w:delText>
        </w:r>
      </w:del>
    </w:p>
    <w:p w14:paraId="38014528" w14:textId="0783874A" w:rsidR="002F0483" w:rsidRDefault="002F0483" w:rsidP="002F0483">
      <w:pPr>
        <w:rPr>
          <w:del w:id="3247" w:author="AbbVie02no" w:date="2025-05-15T12:36:00Z"/>
          <w:sz w:val="22"/>
          <w:szCs w:val="22"/>
        </w:rPr>
      </w:pPr>
    </w:p>
    <w:p w14:paraId="23C6E793" w14:textId="69693BC7" w:rsidR="002F0483" w:rsidRPr="002C5CDB" w:rsidRDefault="00E453CD" w:rsidP="00BA47BC">
      <w:pPr>
        <w:pStyle w:val="EMEANormal"/>
        <w:keepNext/>
        <w:jc w:val="center"/>
        <w:rPr>
          <w:del w:id="3248" w:author="AbbVie02no" w:date="2025-05-15T12:36:00Z"/>
          <w:b/>
          <w:lang w:val="nb-NO"/>
          <w:rPrChange w:id="3249" w:author="AbbVie05no" w:date="2025-05-19T10:32:00Z">
            <w:rPr>
              <w:del w:id="3250" w:author="AbbVie02no" w:date="2025-05-15T12:36:00Z"/>
              <w:b/>
              <w:lang w:val="en-GB"/>
            </w:rPr>
          </w:rPrChange>
        </w:rPr>
      </w:pPr>
      <w:del w:id="3251" w:author="AbbVie02no" w:date="2025-05-15T12:36:00Z">
        <w:r w:rsidRPr="002C5CDB">
          <w:rPr>
            <w:b/>
            <w:lang w:val="nb-NO"/>
            <w:rPrChange w:id="3252" w:author="AbbVie05no" w:date="2025-05-19T10:32:00Z">
              <w:rPr>
                <w:b/>
                <w:lang w:val="en-GB"/>
              </w:rPr>
            </w:rPrChange>
          </w:rPr>
          <w:delText xml:space="preserve">Tabell 23 </w:delText>
        </w:r>
      </w:del>
    </w:p>
    <w:p w14:paraId="20AEB64A" w14:textId="4C7608EA" w:rsidR="002F0483" w:rsidRPr="002C5CDB" w:rsidRDefault="00E453CD" w:rsidP="00BA47BC">
      <w:pPr>
        <w:pStyle w:val="EMEANormal"/>
        <w:keepNext/>
        <w:jc w:val="center"/>
        <w:rPr>
          <w:del w:id="3253" w:author="AbbVie02no" w:date="2025-05-15T12:36:00Z"/>
          <w:b/>
          <w:szCs w:val="24"/>
          <w:lang w:val="nb-NO"/>
          <w:rPrChange w:id="3254" w:author="AbbVie05no" w:date="2025-05-19T10:32:00Z">
            <w:rPr>
              <w:del w:id="3255" w:author="AbbVie02no" w:date="2025-05-15T12:36:00Z"/>
              <w:b/>
              <w:szCs w:val="24"/>
              <w:lang w:val="en-GB"/>
            </w:rPr>
          </w:rPrChange>
        </w:rPr>
      </w:pPr>
      <w:del w:id="3256" w:author="AbbVie02no" w:date="2025-05-15T12:36:00Z">
        <w:r w:rsidRPr="002C5CDB">
          <w:rPr>
            <w:b/>
            <w:lang w:val="nb-NO"/>
            <w:rPrChange w:id="3257" w:author="AbbVie05no" w:date="2025-05-19T10:32:00Z">
              <w:rPr>
                <w:b/>
                <w:lang w:val="en-GB"/>
              </w:rPr>
            </w:rPrChange>
          </w:rPr>
          <w:delText>Vedlikeholdsbehandling</w:delText>
        </w:r>
      </w:del>
    </w:p>
    <w:p w14:paraId="6993FE16" w14:textId="6740D3E5" w:rsidR="00BA47BC" w:rsidRPr="002C5CDB" w:rsidRDefault="00BA47BC" w:rsidP="00BA47BC">
      <w:pPr>
        <w:pStyle w:val="EMEANormal"/>
        <w:keepNext/>
        <w:jc w:val="center"/>
        <w:rPr>
          <w:del w:id="3258" w:author="AbbVie02no" w:date="2025-05-15T12:36:00Z"/>
          <w:b/>
          <w:lang w:val="nb-NO"/>
          <w:rPrChange w:id="3259" w:author="AbbVie05no" w:date="2025-05-19T10:32:00Z">
            <w:rPr>
              <w:del w:id="3260" w:author="AbbVie02no" w:date="2025-05-15T12:36:00Z"/>
              <w:b/>
              <w:lang w:val="en-GB"/>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2116"/>
        <w:gridCol w:w="2116"/>
      </w:tblGrid>
      <w:tr w:rsidR="004644D4" w14:paraId="3048DEB1" w14:textId="793EE7EF" w:rsidTr="002F0483">
        <w:trPr>
          <w:jc w:val="center"/>
          <w:del w:id="3261" w:author="AbbVie02no" w:date="2025-05-15T12:36:00Z"/>
        </w:trPr>
        <w:tc>
          <w:tcPr>
            <w:tcW w:w="0" w:type="auto"/>
          </w:tcPr>
          <w:p w14:paraId="6D877D96" w14:textId="582518B9" w:rsidR="002F0483" w:rsidRPr="002C5CDB" w:rsidRDefault="00E453CD" w:rsidP="00BA47BC">
            <w:pPr>
              <w:pStyle w:val="EMEANormal"/>
              <w:keepNext/>
              <w:rPr>
                <w:del w:id="3262" w:author="AbbVie02no" w:date="2025-05-15T12:36:00Z"/>
                <w:b/>
                <w:szCs w:val="24"/>
                <w:lang w:val="nb-NO"/>
                <w:rPrChange w:id="3263" w:author="AbbVie05no" w:date="2025-05-19T10:32:00Z">
                  <w:rPr>
                    <w:del w:id="3264" w:author="AbbVie02no" w:date="2025-05-15T12:36:00Z"/>
                    <w:b/>
                    <w:szCs w:val="24"/>
                    <w:lang w:val="en-GB"/>
                  </w:rPr>
                </w:rPrChange>
              </w:rPr>
            </w:pPr>
            <w:del w:id="3265" w:author="AbbVie02no" w:date="2025-05-15T12:36:00Z">
              <w:r w:rsidRPr="002C5CDB">
                <w:rPr>
                  <w:b/>
                  <w:lang w:val="nb-NO"/>
                  <w:rPrChange w:id="3266" w:author="AbbVie05no" w:date="2025-05-19T10:32:00Z">
                    <w:rPr>
                      <w:b/>
                      <w:lang w:val="en-GB"/>
                    </w:rPr>
                  </w:rPrChange>
                </w:rPr>
                <w:delText>Pasient vekt</w:delText>
              </w:r>
            </w:del>
          </w:p>
        </w:tc>
        <w:tc>
          <w:tcPr>
            <w:tcW w:w="0" w:type="auto"/>
          </w:tcPr>
          <w:p w14:paraId="01E9DD68" w14:textId="6D4C2C96" w:rsidR="002F0483" w:rsidRPr="002C5CDB" w:rsidRDefault="00E453CD" w:rsidP="00BA47BC">
            <w:pPr>
              <w:pStyle w:val="EMEANormal"/>
              <w:keepNext/>
              <w:rPr>
                <w:del w:id="3267" w:author="AbbVie02no" w:date="2025-05-15T12:36:00Z"/>
                <w:b/>
                <w:szCs w:val="24"/>
                <w:lang w:val="nb-NO"/>
                <w:rPrChange w:id="3268" w:author="AbbVie05no" w:date="2025-05-19T10:32:00Z">
                  <w:rPr>
                    <w:del w:id="3269" w:author="AbbVie02no" w:date="2025-05-15T12:36:00Z"/>
                    <w:b/>
                    <w:szCs w:val="24"/>
                    <w:lang w:val="en-GB"/>
                  </w:rPr>
                </w:rPrChange>
              </w:rPr>
            </w:pPr>
            <w:del w:id="3270" w:author="AbbVie02no" w:date="2025-05-15T12:36:00Z">
              <w:r w:rsidRPr="002C5CDB">
                <w:rPr>
                  <w:b/>
                  <w:lang w:val="nb-NO"/>
                  <w:rPrChange w:id="3271" w:author="AbbVie05no" w:date="2025-05-19T10:32:00Z">
                    <w:rPr>
                      <w:b/>
                      <w:lang w:val="en-GB"/>
                    </w:rPr>
                  </w:rPrChange>
                </w:rPr>
                <w:delText>Lav dose</w:delText>
              </w:r>
            </w:del>
          </w:p>
        </w:tc>
        <w:tc>
          <w:tcPr>
            <w:tcW w:w="0" w:type="auto"/>
          </w:tcPr>
          <w:p w14:paraId="03DF8047" w14:textId="1BADE535" w:rsidR="002F0483" w:rsidRPr="002C5CDB" w:rsidRDefault="00E453CD" w:rsidP="00BA47BC">
            <w:pPr>
              <w:pStyle w:val="EMEANormal"/>
              <w:keepNext/>
              <w:rPr>
                <w:del w:id="3272" w:author="AbbVie02no" w:date="2025-05-15T12:36:00Z"/>
                <w:b/>
                <w:szCs w:val="24"/>
                <w:lang w:val="nb-NO"/>
                <w:rPrChange w:id="3273" w:author="AbbVie05no" w:date="2025-05-19T10:32:00Z">
                  <w:rPr>
                    <w:del w:id="3274" w:author="AbbVie02no" w:date="2025-05-15T12:36:00Z"/>
                    <w:b/>
                    <w:szCs w:val="24"/>
                    <w:lang w:val="en-GB"/>
                  </w:rPr>
                </w:rPrChange>
              </w:rPr>
            </w:pPr>
            <w:del w:id="3275" w:author="AbbVie02no" w:date="2025-05-15T12:36:00Z">
              <w:r w:rsidRPr="002C5CDB">
                <w:rPr>
                  <w:b/>
                  <w:lang w:val="nb-NO"/>
                  <w:rPrChange w:id="3276" w:author="AbbVie05no" w:date="2025-05-19T10:32:00Z">
                    <w:rPr>
                      <w:b/>
                      <w:lang w:val="en-GB"/>
                    </w:rPr>
                  </w:rPrChange>
                </w:rPr>
                <w:delText>Standard dose</w:delText>
              </w:r>
            </w:del>
          </w:p>
        </w:tc>
      </w:tr>
      <w:tr w:rsidR="004644D4" w14:paraId="1FA0FBF5" w14:textId="1EC71D76" w:rsidTr="002F0483">
        <w:trPr>
          <w:jc w:val="center"/>
          <w:del w:id="3277" w:author="AbbVie02no" w:date="2025-05-15T12:36:00Z"/>
        </w:trPr>
        <w:tc>
          <w:tcPr>
            <w:tcW w:w="0" w:type="auto"/>
          </w:tcPr>
          <w:p w14:paraId="7693EDED" w14:textId="3650EF34" w:rsidR="002F0483" w:rsidRPr="002C5CDB" w:rsidRDefault="00E453CD" w:rsidP="00BA47BC">
            <w:pPr>
              <w:pStyle w:val="EMEANormal"/>
              <w:keepNext/>
              <w:rPr>
                <w:del w:id="3278" w:author="AbbVie02no" w:date="2025-05-15T12:36:00Z"/>
                <w:szCs w:val="24"/>
                <w:lang w:val="nb-NO"/>
                <w:rPrChange w:id="3279" w:author="AbbVie05no" w:date="2025-05-19T10:32:00Z">
                  <w:rPr>
                    <w:del w:id="3280" w:author="AbbVie02no" w:date="2025-05-15T12:36:00Z"/>
                    <w:szCs w:val="24"/>
                    <w:lang w:val="en-GB"/>
                  </w:rPr>
                </w:rPrChange>
              </w:rPr>
            </w:pPr>
            <w:del w:id="3281" w:author="AbbVie02no" w:date="2025-05-15T12:36:00Z">
              <w:r w:rsidRPr="002C5CDB">
                <w:rPr>
                  <w:lang w:val="nb-NO"/>
                  <w:rPrChange w:id="3282" w:author="AbbVie05no" w:date="2025-05-19T10:32:00Z">
                    <w:rPr>
                      <w:lang w:val="en-GB"/>
                    </w:rPr>
                  </w:rPrChange>
                </w:rPr>
                <w:delText>&lt; 40 kg</w:delText>
              </w:r>
            </w:del>
          </w:p>
        </w:tc>
        <w:tc>
          <w:tcPr>
            <w:tcW w:w="0" w:type="auto"/>
          </w:tcPr>
          <w:p w14:paraId="241B928D" w14:textId="2C3B637C" w:rsidR="002F0483" w:rsidRPr="002C5CDB" w:rsidRDefault="00E453CD" w:rsidP="00BA47BC">
            <w:pPr>
              <w:pStyle w:val="EMEANormal"/>
              <w:keepNext/>
              <w:rPr>
                <w:del w:id="3283" w:author="AbbVie02no" w:date="2025-05-15T12:36:00Z"/>
                <w:szCs w:val="24"/>
                <w:lang w:val="nb-NO"/>
                <w:rPrChange w:id="3284" w:author="AbbVie05no" w:date="2025-05-19T10:32:00Z">
                  <w:rPr>
                    <w:del w:id="3285" w:author="AbbVie02no" w:date="2025-05-15T12:36:00Z"/>
                    <w:szCs w:val="24"/>
                    <w:lang w:val="en-GB"/>
                  </w:rPr>
                </w:rPrChange>
              </w:rPr>
            </w:pPr>
            <w:del w:id="3286" w:author="AbbVie02no" w:date="2025-05-15T12:36:00Z">
              <w:r w:rsidRPr="002C5CDB">
                <w:rPr>
                  <w:lang w:val="nb-NO"/>
                  <w:rPrChange w:id="3287" w:author="AbbVie05no" w:date="2025-05-19T10:32:00Z">
                    <w:rPr>
                      <w:lang w:val="en-GB"/>
                    </w:rPr>
                  </w:rPrChange>
                </w:rPr>
                <w:delText>10 mg annenhver uke</w:delText>
              </w:r>
            </w:del>
          </w:p>
        </w:tc>
        <w:tc>
          <w:tcPr>
            <w:tcW w:w="0" w:type="auto"/>
          </w:tcPr>
          <w:p w14:paraId="50D1E73D" w14:textId="09911B0B" w:rsidR="002F0483" w:rsidRPr="002C5CDB" w:rsidRDefault="00E453CD" w:rsidP="00BA47BC">
            <w:pPr>
              <w:pStyle w:val="EMEANormal"/>
              <w:keepNext/>
              <w:rPr>
                <w:del w:id="3288" w:author="AbbVie02no" w:date="2025-05-15T12:36:00Z"/>
                <w:szCs w:val="24"/>
                <w:lang w:val="nb-NO"/>
                <w:rPrChange w:id="3289" w:author="AbbVie05no" w:date="2025-05-19T10:32:00Z">
                  <w:rPr>
                    <w:del w:id="3290" w:author="AbbVie02no" w:date="2025-05-15T12:36:00Z"/>
                    <w:szCs w:val="24"/>
                    <w:lang w:val="en-GB"/>
                  </w:rPr>
                </w:rPrChange>
              </w:rPr>
            </w:pPr>
            <w:del w:id="3291" w:author="AbbVie02no" w:date="2025-05-15T12:36:00Z">
              <w:r w:rsidRPr="002C5CDB">
                <w:rPr>
                  <w:lang w:val="nb-NO"/>
                  <w:rPrChange w:id="3292" w:author="AbbVie05no" w:date="2025-05-19T10:32:00Z">
                    <w:rPr>
                      <w:lang w:val="en-GB"/>
                    </w:rPr>
                  </w:rPrChange>
                </w:rPr>
                <w:delText>20 mg annenhver uke</w:delText>
              </w:r>
            </w:del>
          </w:p>
        </w:tc>
      </w:tr>
      <w:tr w:rsidR="004644D4" w14:paraId="5D6C1FCB" w14:textId="672185DF" w:rsidTr="002F0483">
        <w:trPr>
          <w:jc w:val="center"/>
          <w:del w:id="3293" w:author="AbbVie02no" w:date="2025-05-15T12:36:00Z"/>
        </w:trPr>
        <w:tc>
          <w:tcPr>
            <w:tcW w:w="0" w:type="auto"/>
          </w:tcPr>
          <w:p w14:paraId="7DEEB5F3" w14:textId="45ECDAF3" w:rsidR="002F0483" w:rsidRPr="002C5CDB" w:rsidRDefault="00E453CD" w:rsidP="00BA47BC">
            <w:pPr>
              <w:pStyle w:val="EMEANormal"/>
              <w:keepNext/>
              <w:rPr>
                <w:del w:id="3294" w:author="AbbVie02no" w:date="2025-05-15T12:36:00Z"/>
                <w:szCs w:val="24"/>
                <w:lang w:val="nb-NO"/>
                <w:rPrChange w:id="3295" w:author="AbbVie05no" w:date="2025-05-19T10:32:00Z">
                  <w:rPr>
                    <w:del w:id="3296" w:author="AbbVie02no" w:date="2025-05-15T12:36:00Z"/>
                    <w:szCs w:val="24"/>
                    <w:lang w:val="en-GB"/>
                  </w:rPr>
                </w:rPrChange>
              </w:rPr>
            </w:pPr>
            <w:del w:id="3297" w:author="AbbVie02no" w:date="2025-05-15T12:36:00Z">
              <w:r w:rsidRPr="002C5CDB">
                <w:rPr>
                  <w:lang w:val="nb-NO"/>
                  <w:rPrChange w:id="3298" w:author="AbbVie05no" w:date="2025-05-19T10:32:00Z">
                    <w:rPr>
                      <w:lang w:val="en-GB"/>
                    </w:rPr>
                  </w:rPrChange>
                </w:rPr>
                <w:delText>≥ 40 kg</w:delText>
              </w:r>
            </w:del>
          </w:p>
        </w:tc>
        <w:tc>
          <w:tcPr>
            <w:tcW w:w="0" w:type="auto"/>
          </w:tcPr>
          <w:p w14:paraId="49C72436" w14:textId="45FADDC7" w:rsidR="002F0483" w:rsidRPr="002C5CDB" w:rsidRDefault="00E453CD" w:rsidP="00BA47BC">
            <w:pPr>
              <w:pStyle w:val="EMEANormal"/>
              <w:keepNext/>
              <w:rPr>
                <w:del w:id="3299" w:author="AbbVie02no" w:date="2025-05-15T12:36:00Z"/>
                <w:szCs w:val="24"/>
                <w:lang w:val="nb-NO"/>
                <w:rPrChange w:id="3300" w:author="AbbVie05no" w:date="2025-05-19T10:32:00Z">
                  <w:rPr>
                    <w:del w:id="3301" w:author="AbbVie02no" w:date="2025-05-15T12:36:00Z"/>
                    <w:szCs w:val="24"/>
                    <w:lang w:val="en-GB"/>
                  </w:rPr>
                </w:rPrChange>
              </w:rPr>
            </w:pPr>
            <w:del w:id="3302" w:author="AbbVie02no" w:date="2025-05-15T12:36:00Z">
              <w:r w:rsidRPr="002C5CDB">
                <w:rPr>
                  <w:lang w:val="nb-NO"/>
                  <w:rPrChange w:id="3303" w:author="AbbVie05no" w:date="2025-05-19T10:32:00Z">
                    <w:rPr>
                      <w:lang w:val="en-GB"/>
                    </w:rPr>
                  </w:rPrChange>
                </w:rPr>
                <w:delText>20 mg annenhver uke</w:delText>
              </w:r>
            </w:del>
          </w:p>
        </w:tc>
        <w:tc>
          <w:tcPr>
            <w:tcW w:w="0" w:type="auto"/>
          </w:tcPr>
          <w:p w14:paraId="77C50C0C" w14:textId="0F2A5C3F" w:rsidR="002F0483" w:rsidRPr="002C5CDB" w:rsidRDefault="00E453CD" w:rsidP="00BA47BC">
            <w:pPr>
              <w:pStyle w:val="EMEANormal"/>
              <w:keepNext/>
              <w:rPr>
                <w:del w:id="3304" w:author="AbbVie02no" w:date="2025-05-15T12:36:00Z"/>
                <w:szCs w:val="24"/>
                <w:lang w:val="nb-NO"/>
                <w:rPrChange w:id="3305" w:author="AbbVie05no" w:date="2025-05-19T10:32:00Z">
                  <w:rPr>
                    <w:del w:id="3306" w:author="AbbVie02no" w:date="2025-05-15T12:36:00Z"/>
                    <w:szCs w:val="24"/>
                    <w:lang w:val="en-GB"/>
                  </w:rPr>
                </w:rPrChange>
              </w:rPr>
            </w:pPr>
            <w:del w:id="3307" w:author="AbbVie02no" w:date="2025-05-15T12:36:00Z">
              <w:r w:rsidRPr="002C5CDB">
                <w:rPr>
                  <w:lang w:val="nb-NO"/>
                  <w:rPrChange w:id="3308" w:author="AbbVie05no" w:date="2025-05-19T10:32:00Z">
                    <w:rPr>
                      <w:lang w:val="en-GB"/>
                    </w:rPr>
                  </w:rPrChange>
                </w:rPr>
                <w:delText>40 mg annenhver uke</w:delText>
              </w:r>
            </w:del>
          </w:p>
        </w:tc>
      </w:tr>
    </w:tbl>
    <w:p w14:paraId="180C9D45" w14:textId="0C19A391" w:rsidR="002F0483" w:rsidRPr="009C5EFD" w:rsidRDefault="002F0483" w:rsidP="002F0483">
      <w:pPr>
        <w:rPr>
          <w:del w:id="3309" w:author="AbbVie02no" w:date="2025-05-15T12:36:00Z"/>
          <w:sz w:val="22"/>
          <w:szCs w:val="22"/>
        </w:rPr>
      </w:pPr>
    </w:p>
    <w:p w14:paraId="36FA1079" w14:textId="1D88D908" w:rsidR="002F0483" w:rsidRPr="009C5EFD" w:rsidRDefault="00E453CD" w:rsidP="002F0483">
      <w:pPr>
        <w:pStyle w:val="Heading8"/>
        <w:rPr>
          <w:del w:id="3310" w:author="AbbVie02no" w:date="2025-05-15T12:36:00Z"/>
          <w:i/>
          <w:szCs w:val="22"/>
        </w:rPr>
      </w:pPr>
      <w:del w:id="3311" w:author="AbbVie02no" w:date="2025-05-15T12:36:00Z">
        <w:r>
          <w:rPr>
            <w:i/>
            <w:szCs w:val="22"/>
          </w:rPr>
          <w:delText>Effektresultater</w:delText>
        </w:r>
      </w:del>
    </w:p>
    <w:p w14:paraId="3256B279" w14:textId="25FACDF7" w:rsidR="002F0483" w:rsidRPr="009C5EFD" w:rsidRDefault="002F0483" w:rsidP="002F0483">
      <w:pPr>
        <w:pStyle w:val="Heading8"/>
        <w:rPr>
          <w:del w:id="3312" w:author="AbbVie02no" w:date="2025-05-15T12:36:00Z"/>
          <w:i/>
          <w:szCs w:val="22"/>
        </w:rPr>
      </w:pPr>
    </w:p>
    <w:p w14:paraId="43098E7E" w14:textId="322B26CD" w:rsidR="002F0483" w:rsidRPr="009C5EFD" w:rsidRDefault="00E453CD" w:rsidP="002F0483">
      <w:pPr>
        <w:pStyle w:val="Heading8"/>
        <w:keepNext w:val="0"/>
        <w:rPr>
          <w:del w:id="3313" w:author="AbbVie02no" w:date="2025-05-15T12:36:00Z"/>
          <w:szCs w:val="22"/>
          <w:u w:val="none"/>
        </w:rPr>
      </w:pPr>
      <w:del w:id="3314" w:author="AbbVie02no" w:date="2025-05-15T12:36:00Z">
        <w:r w:rsidRPr="009C5EFD">
          <w:rPr>
            <w:szCs w:val="22"/>
            <w:u w:val="none"/>
          </w:rPr>
          <w:delText>Studiens primær endepunkt var klinisk remisjon ved uke 26, definert som PCDAI score ≤ 10.</w:delText>
        </w:r>
      </w:del>
    </w:p>
    <w:p w14:paraId="60AC5D00" w14:textId="3C7C5B38" w:rsidR="002F0483" w:rsidRPr="009C5EFD" w:rsidRDefault="002F0483" w:rsidP="002F0483">
      <w:pPr>
        <w:pStyle w:val="Heading8"/>
        <w:keepNext w:val="0"/>
        <w:rPr>
          <w:del w:id="3315" w:author="AbbVie02no" w:date="2025-05-15T12:36:00Z"/>
          <w:szCs w:val="22"/>
          <w:u w:val="none"/>
        </w:rPr>
      </w:pPr>
    </w:p>
    <w:p w14:paraId="4F78B20D" w14:textId="3A494580" w:rsidR="002F0483" w:rsidRPr="009C5EFD" w:rsidRDefault="00E453CD" w:rsidP="002F0483">
      <w:pPr>
        <w:pStyle w:val="Heading8"/>
        <w:keepNext w:val="0"/>
        <w:rPr>
          <w:del w:id="3316" w:author="AbbVie02no" w:date="2025-05-15T12:36:00Z"/>
          <w:szCs w:val="22"/>
          <w:u w:val="none"/>
        </w:rPr>
      </w:pPr>
      <w:del w:id="3317" w:author="AbbVie02no" w:date="2025-05-15T12:36:00Z">
        <w:r w:rsidRPr="009C5EFD">
          <w:rPr>
            <w:szCs w:val="22"/>
            <w:u w:val="none"/>
          </w:rPr>
          <w:delText xml:space="preserve">Klinisk remisjon og klinisk respons (definert som reduksjon i PCDAI score på minst 15 poeng fra baseline) er presentert i tabell </w:delText>
        </w:r>
        <w:r>
          <w:rPr>
            <w:szCs w:val="22"/>
            <w:u w:val="none"/>
          </w:rPr>
          <w:delText>24</w:delText>
        </w:r>
        <w:r w:rsidRPr="009C5EFD">
          <w:rPr>
            <w:szCs w:val="22"/>
            <w:u w:val="none"/>
          </w:rPr>
          <w:delText xml:space="preserve">. Seponering av kortikosteroider eller immunmodulerende midler er presentert i tabell </w:delText>
        </w:r>
        <w:r>
          <w:rPr>
            <w:szCs w:val="22"/>
            <w:u w:val="none"/>
          </w:rPr>
          <w:delText>25</w:delText>
        </w:r>
        <w:r w:rsidRPr="009C5EFD">
          <w:rPr>
            <w:szCs w:val="22"/>
            <w:u w:val="none"/>
          </w:rPr>
          <w:delText>.</w:delText>
        </w:r>
      </w:del>
    </w:p>
    <w:p w14:paraId="64536986" w14:textId="27FC1EF6" w:rsidR="002F0483" w:rsidRPr="009C5EFD" w:rsidRDefault="002F0483" w:rsidP="002F0483">
      <w:pPr>
        <w:rPr>
          <w:del w:id="3318" w:author="AbbVie02no" w:date="2025-05-15T12:36:00Z"/>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4644D4" w14:paraId="35DC87ED" w14:textId="4B070F75" w:rsidTr="002F0483">
        <w:trPr>
          <w:jc w:val="center"/>
          <w:del w:id="3319" w:author="AbbVie02no" w:date="2025-05-15T12:36:00Z"/>
        </w:trPr>
        <w:tc>
          <w:tcPr>
            <w:tcW w:w="6673" w:type="dxa"/>
            <w:gridSpan w:val="4"/>
            <w:tcBorders>
              <w:top w:val="single" w:sz="6" w:space="0" w:color="000000"/>
              <w:left w:val="single" w:sz="6" w:space="0" w:color="000000"/>
              <w:bottom w:val="single" w:sz="6" w:space="0" w:color="000000"/>
              <w:right w:val="single" w:sz="6" w:space="0" w:color="000000"/>
            </w:tcBorders>
          </w:tcPr>
          <w:p w14:paraId="6F041A7C" w14:textId="7FF63181" w:rsidR="002F0483" w:rsidRPr="009C5EFD" w:rsidRDefault="00E453CD" w:rsidP="002F0483">
            <w:pPr>
              <w:keepNext/>
              <w:tabs>
                <w:tab w:val="left" w:pos="-878"/>
              </w:tabs>
              <w:autoSpaceDE w:val="0"/>
              <w:autoSpaceDN w:val="0"/>
              <w:adjustRightInd w:val="0"/>
              <w:ind w:left="15"/>
              <w:jc w:val="center"/>
              <w:rPr>
                <w:del w:id="3320" w:author="AbbVie02no" w:date="2025-05-15T12:36:00Z"/>
                <w:b/>
                <w:bCs/>
                <w:sz w:val="22"/>
                <w:szCs w:val="22"/>
              </w:rPr>
            </w:pPr>
            <w:del w:id="3321" w:author="AbbVie02no" w:date="2025-05-15T12:36:00Z">
              <w:r w:rsidRPr="009C5EFD">
                <w:rPr>
                  <w:b/>
                  <w:bCs/>
                  <w:sz w:val="22"/>
                  <w:szCs w:val="22"/>
                </w:rPr>
                <w:lastRenderedPageBreak/>
                <w:delText xml:space="preserve">Tabell </w:delText>
              </w:r>
              <w:r>
                <w:rPr>
                  <w:b/>
                  <w:bCs/>
                  <w:sz w:val="22"/>
                  <w:szCs w:val="22"/>
                </w:rPr>
                <w:delText>24</w:delText>
              </w:r>
            </w:del>
          </w:p>
          <w:p w14:paraId="0B78FAF7" w14:textId="0A72E8AF" w:rsidR="002F0483" w:rsidRPr="009C5EFD" w:rsidRDefault="00E453CD" w:rsidP="002F0483">
            <w:pPr>
              <w:keepNext/>
              <w:tabs>
                <w:tab w:val="left" w:pos="-878"/>
              </w:tabs>
              <w:autoSpaceDE w:val="0"/>
              <w:autoSpaceDN w:val="0"/>
              <w:adjustRightInd w:val="0"/>
              <w:ind w:left="15"/>
              <w:jc w:val="center"/>
              <w:rPr>
                <w:del w:id="3322" w:author="AbbVie02no" w:date="2025-05-15T12:36:00Z"/>
                <w:b/>
                <w:bCs/>
                <w:sz w:val="22"/>
                <w:szCs w:val="22"/>
              </w:rPr>
            </w:pPr>
            <w:del w:id="3323" w:author="AbbVie02no" w:date="2025-05-15T12:36:00Z">
              <w:r w:rsidRPr="009C5EFD">
                <w:rPr>
                  <w:b/>
                  <w:bCs/>
                  <w:sz w:val="22"/>
                  <w:szCs w:val="22"/>
                </w:rPr>
                <w:delText>Pediatrisk CD studie</w:delText>
              </w:r>
            </w:del>
          </w:p>
          <w:p w14:paraId="3B408935" w14:textId="6214978E" w:rsidR="002F0483" w:rsidRPr="009C5EFD" w:rsidRDefault="00E453CD" w:rsidP="002F0483">
            <w:pPr>
              <w:keepNext/>
              <w:tabs>
                <w:tab w:val="left" w:pos="-878"/>
              </w:tabs>
              <w:autoSpaceDE w:val="0"/>
              <w:autoSpaceDN w:val="0"/>
              <w:adjustRightInd w:val="0"/>
              <w:ind w:left="15"/>
              <w:jc w:val="center"/>
              <w:rPr>
                <w:del w:id="3324" w:author="AbbVie02no" w:date="2025-05-15T12:36:00Z"/>
                <w:b/>
                <w:bCs/>
                <w:sz w:val="22"/>
                <w:szCs w:val="22"/>
              </w:rPr>
            </w:pPr>
            <w:del w:id="3325" w:author="AbbVie02no" w:date="2025-05-15T12:36:00Z">
              <w:r w:rsidRPr="009C5EFD">
                <w:rPr>
                  <w:b/>
                  <w:bCs/>
                  <w:sz w:val="22"/>
                  <w:szCs w:val="22"/>
                </w:rPr>
                <w:delText>PCDAI klinisk remisjon og respons</w:delText>
              </w:r>
            </w:del>
          </w:p>
        </w:tc>
      </w:tr>
      <w:tr w:rsidR="004644D4" w14:paraId="0F37237C" w14:textId="149C41B1" w:rsidTr="002F0483">
        <w:trPr>
          <w:jc w:val="center"/>
          <w:del w:id="3326" w:author="AbbVie02no" w:date="2025-05-15T12:36:00Z"/>
        </w:trPr>
        <w:tc>
          <w:tcPr>
            <w:tcW w:w="2321" w:type="dxa"/>
            <w:tcBorders>
              <w:top w:val="single" w:sz="6" w:space="0" w:color="000000"/>
              <w:left w:val="single" w:sz="6" w:space="0" w:color="000000"/>
              <w:bottom w:val="single" w:sz="6" w:space="0" w:color="000000"/>
              <w:right w:val="single" w:sz="6" w:space="0" w:color="000000"/>
            </w:tcBorders>
          </w:tcPr>
          <w:p w14:paraId="6857687C" w14:textId="68E8D26B" w:rsidR="002F0483" w:rsidRPr="009C5EFD" w:rsidRDefault="002F0483" w:rsidP="002F0483">
            <w:pPr>
              <w:keepNext/>
              <w:keepLines/>
              <w:tabs>
                <w:tab w:val="left" w:pos="-1080"/>
              </w:tabs>
              <w:autoSpaceDE w:val="0"/>
              <w:autoSpaceDN w:val="0"/>
              <w:adjustRightInd w:val="0"/>
              <w:ind w:left="15"/>
              <w:jc w:val="center"/>
              <w:rPr>
                <w:del w:id="3327" w:author="AbbVie02no" w:date="2025-05-15T12:36:00Z"/>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7C5051A2" w14:textId="3213E53C" w:rsidR="002F0483" w:rsidRPr="001F5D4B" w:rsidRDefault="00E453CD" w:rsidP="002F0483">
            <w:pPr>
              <w:keepNext/>
              <w:keepLines/>
              <w:tabs>
                <w:tab w:val="left" w:pos="-1080"/>
              </w:tabs>
              <w:autoSpaceDE w:val="0"/>
              <w:autoSpaceDN w:val="0"/>
              <w:adjustRightInd w:val="0"/>
              <w:ind w:left="15"/>
              <w:jc w:val="center"/>
              <w:rPr>
                <w:del w:id="3328" w:author="AbbVie02no" w:date="2025-05-15T12:36:00Z"/>
                <w:b/>
                <w:bCs/>
                <w:sz w:val="22"/>
                <w:szCs w:val="22"/>
              </w:rPr>
            </w:pPr>
            <w:del w:id="3329" w:author="AbbVie02no" w:date="2025-05-15T12:36:00Z">
              <w:r w:rsidRPr="001F5D4B">
                <w:rPr>
                  <w:b/>
                  <w:bCs/>
                  <w:sz w:val="22"/>
                  <w:szCs w:val="22"/>
                </w:rPr>
                <w:delText>Standard dose</w:delText>
              </w:r>
            </w:del>
          </w:p>
          <w:p w14:paraId="3058A5F8" w14:textId="08C01428" w:rsidR="002F0483" w:rsidRPr="001F5D4B" w:rsidRDefault="00E453CD" w:rsidP="002F0483">
            <w:pPr>
              <w:keepNext/>
              <w:keepLines/>
              <w:tabs>
                <w:tab w:val="left" w:pos="-1080"/>
              </w:tabs>
              <w:autoSpaceDE w:val="0"/>
              <w:autoSpaceDN w:val="0"/>
              <w:adjustRightInd w:val="0"/>
              <w:ind w:left="15"/>
              <w:jc w:val="center"/>
              <w:rPr>
                <w:del w:id="3330" w:author="AbbVie02no" w:date="2025-05-15T12:36:00Z"/>
                <w:b/>
                <w:bCs/>
                <w:sz w:val="22"/>
                <w:szCs w:val="22"/>
              </w:rPr>
            </w:pPr>
            <w:del w:id="3331" w:author="AbbVie02no" w:date="2025-05-15T12:36:00Z">
              <w:r w:rsidRPr="001F5D4B">
                <w:rPr>
                  <w:b/>
                  <w:bCs/>
                  <w:sz w:val="22"/>
                  <w:szCs w:val="22"/>
                </w:rPr>
                <w:delText xml:space="preserve">40/20 mg annenhver uke </w:delText>
              </w:r>
            </w:del>
          </w:p>
          <w:p w14:paraId="53E3E725" w14:textId="4E7617D1" w:rsidR="002F0483" w:rsidRPr="001F5D4B" w:rsidRDefault="00E453CD" w:rsidP="002F0483">
            <w:pPr>
              <w:keepNext/>
              <w:keepLines/>
              <w:tabs>
                <w:tab w:val="left" w:pos="-1080"/>
              </w:tabs>
              <w:autoSpaceDE w:val="0"/>
              <w:autoSpaceDN w:val="0"/>
              <w:adjustRightInd w:val="0"/>
              <w:ind w:left="15"/>
              <w:jc w:val="center"/>
              <w:rPr>
                <w:del w:id="3332" w:author="AbbVie02no" w:date="2025-05-15T12:36:00Z"/>
                <w:b/>
                <w:bCs/>
                <w:sz w:val="22"/>
                <w:szCs w:val="22"/>
              </w:rPr>
            </w:pPr>
            <w:del w:id="3333" w:author="AbbVie02no" w:date="2025-05-15T12:36:00Z">
              <w:r w:rsidRPr="001F5D4B">
                <w:rPr>
                  <w:b/>
                  <w:bCs/>
                  <w:sz w:val="22"/>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69275E4A" w14:textId="79EC2EA6" w:rsidR="002F0483" w:rsidRPr="009C5EFD" w:rsidRDefault="00E453CD" w:rsidP="002F0483">
            <w:pPr>
              <w:keepNext/>
              <w:keepLines/>
              <w:tabs>
                <w:tab w:val="left" w:pos="-1080"/>
              </w:tabs>
              <w:autoSpaceDE w:val="0"/>
              <w:autoSpaceDN w:val="0"/>
              <w:adjustRightInd w:val="0"/>
              <w:ind w:left="15"/>
              <w:jc w:val="center"/>
              <w:rPr>
                <w:del w:id="3334" w:author="AbbVie02no" w:date="2025-05-15T12:36:00Z"/>
                <w:b/>
                <w:bCs/>
                <w:sz w:val="22"/>
                <w:szCs w:val="22"/>
              </w:rPr>
            </w:pPr>
            <w:del w:id="3335" w:author="AbbVie02no" w:date="2025-05-15T12:36:00Z">
              <w:r w:rsidRPr="009C5EFD">
                <w:rPr>
                  <w:b/>
                  <w:bCs/>
                  <w:sz w:val="22"/>
                  <w:szCs w:val="22"/>
                </w:rPr>
                <w:delText>Lav dose</w:delText>
              </w:r>
            </w:del>
          </w:p>
          <w:p w14:paraId="265933A5" w14:textId="0212C4C5" w:rsidR="002F0483" w:rsidRPr="009C5EFD" w:rsidRDefault="00E453CD" w:rsidP="002F0483">
            <w:pPr>
              <w:keepNext/>
              <w:keepLines/>
              <w:tabs>
                <w:tab w:val="left" w:pos="-1080"/>
              </w:tabs>
              <w:autoSpaceDE w:val="0"/>
              <w:autoSpaceDN w:val="0"/>
              <w:adjustRightInd w:val="0"/>
              <w:ind w:left="15"/>
              <w:jc w:val="center"/>
              <w:rPr>
                <w:del w:id="3336" w:author="AbbVie02no" w:date="2025-05-15T12:36:00Z"/>
                <w:b/>
                <w:bCs/>
                <w:sz w:val="22"/>
                <w:szCs w:val="22"/>
              </w:rPr>
            </w:pPr>
            <w:del w:id="3337" w:author="AbbVie02no" w:date="2025-05-15T12:36:00Z">
              <w:r w:rsidRPr="009C5EFD">
                <w:rPr>
                  <w:b/>
                  <w:bCs/>
                  <w:sz w:val="22"/>
                  <w:szCs w:val="22"/>
                </w:rPr>
                <w:delText xml:space="preserve">20/10 mg annenhver uke </w:delText>
              </w:r>
            </w:del>
          </w:p>
          <w:p w14:paraId="471F16F5" w14:textId="75620FA2" w:rsidR="002F0483" w:rsidRPr="009C5EFD" w:rsidRDefault="00E453CD" w:rsidP="002F0483">
            <w:pPr>
              <w:keepNext/>
              <w:keepLines/>
              <w:tabs>
                <w:tab w:val="left" w:pos="-1080"/>
              </w:tabs>
              <w:autoSpaceDE w:val="0"/>
              <w:autoSpaceDN w:val="0"/>
              <w:adjustRightInd w:val="0"/>
              <w:ind w:left="15"/>
              <w:jc w:val="center"/>
              <w:rPr>
                <w:del w:id="3338" w:author="AbbVie02no" w:date="2025-05-15T12:36:00Z"/>
                <w:b/>
                <w:bCs/>
                <w:sz w:val="22"/>
                <w:szCs w:val="22"/>
              </w:rPr>
            </w:pPr>
            <w:del w:id="3339" w:author="AbbVie02no" w:date="2025-05-15T12:36:00Z">
              <w:r w:rsidRPr="009C5EFD">
                <w:rPr>
                  <w:b/>
                  <w:bCs/>
                  <w:sz w:val="22"/>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0EC0A2ED" w14:textId="58677910" w:rsidR="002F0483" w:rsidRPr="009C5EFD" w:rsidRDefault="00E453CD" w:rsidP="002F0483">
            <w:pPr>
              <w:keepNext/>
              <w:keepLines/>
              <w:tabs>
                <w:tab w:val="left" w:pos="-1080"/>
              </w:tabs>
              <w:autoSpaceDE w:val="0"/>
              <w:autoSpaceDN w:val="0"/>
              <w:adjustRightInd w:val="0"/>
              <w:ind w:left="15"/>
              <w:jc w:val="center"/>
              <w:rPr>
                <w:del w:id="3340" w:author="AbbVie02no" w:date="2025-05-15T12:36:00Z"/>
                <w:sz w:val="22"/>
                <w:szCs w:val="22"/>
              </w:rPr>
            </w:pPr>
            <w:del w:id="3341" w:author="AbbVie02no" w:date="2025-05-15T12:36:00Z">
              <w:r w:rsidRPr="009C5EFD">
                <w:rPr>
                  <w:b/>
                  <w:bCs/>
                  <w:sz w:val="22"/>
                  <w:szCs w:val="22"/>
                </w:rPr>
                <w:delText>P-verdi</w:delText>
              </w:r>
              <w:r w:rsidRPr="009C5EFD">
                <w:rPr>
                  <w:sz w:val="22"/>
                  <w:szCs w:val="22"/>
                </w:rPr>
                <w:delText>*</w:delText>
              </w:r>
            </w:del>
          </w:p>
        </w:tc>
      </w:tr>
      <w:tr w:rsidR="004644D4" w14:paraId="40A1A4BC" w14:textId="30B9776E" w:rsidTr="002F0483">
        <w:trPr>
          <w:jc w:val="center"/>
          <w:del w:id="3342" w:author="AbbVie02no" w:date="2025-05-15T12:36:00Z"/>
        </w:trPr>
        <w:tc>
          <w:tcPr>
            <w:tcW w:w="2321" w:type="dxa"/>
            <w:tcBorders>
              <w:top w:val="single" w:sz="6" w:space="0" w:color="000000"/>
              <w:left w:val="single" w:sz="6" w:space="0" w:color="000000"/>
              <w:bottom w:val="single" w:sz="6" w:space="0" w:color="000000"/>
              <w:right w:val="single" w:sz="6" w:space="0" w:color="000000"/>
            </w:tcBorders>
            <w:vAlign w:val="bottom"/>
          </w:tcPr>
          <w:p w14:paraId="5159072A" w14:textId="56CE27F8" w:rsidR="002F0483" w:rsidRPr="009C5EFD" w:rsidRDefault="00E453CD" w:rsidP="002F0483">
            <w:pPr>
              <w:keepNext/>
              <w:keepLines/>
              <w:tabs>
                <w:tab w:val="left" w:pos="-1080"/>
              </w:tabs>
              <w:autoSpaceDE w:val="0"/>
              <w:autoSpaceDN w:val="0"/>
              <w:adjustRightInd w:val="0"/>
              <w:ind w:left="15"/>
              <w:rPr>
                <w:del w:id="3343" w:author="AbbVie02no" w:date="2025-05-15T12:36:00Z"/>
                <w:b/>
                <w:bCs/>
                <w:sz w:val="22"/>
                <w:szCs w:val="22"/>
              </w:rPr>
            </w:pPr>
            <w:del w:id="3344" w:author="AbbVie02no" w:date="2025-05-15T12:36:00Z">
              <w:r w:rsidRPr="009C5EFD">
                <w:rPr>
                  <w:b/>
                  <w:bCs/>
                  <w:sz w:val="22"/>
                  <w:szCs w:val="22"/>
                </w:rPr>
                <w:delText>Uke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F74BC29" w14:textId="3DE03E25" w:rsidR="002F0483" w:rsidRPr="009C5EFD" w:rsidRDefault="002F0483" w:rsidP="002F0483">
            <w:pPr>
              <w:keepNext/>
              <w:keepLines/>
              <w:tabs>
                <w:tab w:val="left" w:pos="-1080"/>
              </w:tabs>
              <w:autoSpaceDE w:val="0"/>
              <w:autoSpaceDN w:val="0"/>
              <w:adjustRightInd w:val="0"/>
              <w:ind w:left="15"/>
              <w:jc w:val="center"/>
              <w:rPr>
                <w:del w:id="3345" w:author="AbbVie02no" w:date="2025-05-15T12:36: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1C634BEF" w14:textId="5EBCDE3E" w:rsidR="002F0483" w:rsidRPr="009C5EFD" w:rsidRDefault="002F0483" w:rsidP="002F0483">
            <w:pPr>
              <w:keepNext/>
              <w:keepLines/>
              <w:tabs>
                <w:tab w:val="left" w:pos="-1080"/>
              </w:tabs>
              <w:autoSpaceDE w:val="0"/>
              <w:autoSpaceDN w:val="0"/>
              <w:adjustRightInd w:val="0"/>
              <w:ind w:left="15"/>
              <w:jc w:val="center"/>
              <w:rPr>
                <w:del w:id="3346" w:author="AbbVie02no" w:date="2025-05-15T12:36: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2864DDE7" w14:textId="0EA6D156" w:rsidR="002F0483" w:rsidRPr="009C5EFD" w:rsidRDefault="002F0483" w:rsidP="002F0483">
            <w:pPr>
              <w:keepNext/>
              <w:autoSpaceDE w:val="0"/>
              <w:autoSpaceDN w:val="0"/>
              <w:adjustRightInd w:val="0"/>
              <w:ind w:left="15"/>
              <w:rPr>
                <w:del w:id="3347" w:author="AbbVie02no" w:date="2025-05-15T12:36:00Z"/>
                <w:b/>
                <w:bCs/>
                <w:sz w:val="22"/>
                <w:szCs w:val="22"/>
              </w:rPr>
            </w:pPr>
          </w:p>
        </w:tc>
      </w:tr>
      <w:tr w:rsidR="004644D4" w14:paraId="7D202F6B" w14:textId="1101E78E" w:rsidTr="002F0483">
        <w:trPr>
          <w:jc w:val="center"/>
          <w:del w:id="3348" w:author="AbbVie02no" w:date="2025-05-15T12:36:00Z"/>
        </w:trPr>
        <w:tc>
          <w:tcPr>
            <w:tcW w:w="2321" w:type="dxa"/>
            <w:tcBorders>
              <w:top w:val="single" w:sz="6" w:space="0" w:color="000000"/>
              <w:left w:val="single" w:sz="6" w:space="0" w:color="000000"/>
              <w:bottom w:val="single" w:sz="6" w:space="0" w:color="000000"/>
              <w:right w:val="single" w:sz="6" w:space="0" w:color="000000"/>
            </w:tcBorders>
            <w:vAlign w:val="bottom"/>
          </w:tcPr>
          <w:p w14:paraId="14399485" w14:textId="46E7FA46" w:rsidR="002F0483" w:rsidRPr="009C5EFD" w:rsidRDefault="00E453CD" w:rsidP="002F0483">
            <w:pPr>
              <w:keepLines/>
              <w:tabs>
                <w:tab w:val="left" w:pos="-1080"/>
              </w:tabs>
              <w:autoSpaceDE w:val="0"/>
              <w:autoSpaceDN w:val="0"/>
              <w:adjustRightInd w:val="0"/>
              <w:ind w:left="15"/>
              <w:rPr>
                <w:del w:id="3349" w:author="AbbVie02no" w:date="2025-05-15T12:36:00Z"/>
                <w:sz w:val="22"/>
                <w:szCs w:val="22"/>
              </w:rPr>
            </w:pPr>
            <w:del w:id="3350" w:author="AbbVie02no" w:date="2025-05-15T12:36:00Z">
              <w:r w:rsidRPr="009C5EFD">
                <w:rPr>
                  <w:sz w:val="22"/>
                  <w:szCs w:val="22"/>
                </w:rPr>
                <w:delText xml:space="preserve">   Klinisk remisjon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00036C17" w14:textId="5FBDE766" w:rsidR="002F0483" w:rsidRPr="009C5EFD" w:rsidRDefault="00E453CD" w:rsidP="002F0483">
            <w:pPr>
              <w:keepLines/>
              <w:tabs>
                <w:tab w:val="left" w:pos="-1080"/>
              </w:tabs>
              <w:autoSpaceDE w:val="0"/>
              <w:autoSpaceDN w:val="0"/>
              <w:adjustRightInd w:val="0"/>
              <w:ind w:left="15"/>
              <w:jc w:val="center"/>
              <w:rPr>
                <w:del w:id="3351" w:author="AbbVie02no" w:date="2025-05-15T12:36:00Z"/>
                <w:sz w:val="22"/>
                <w:szCs w:val="22"/>
              </w:rPr>
            </w:pPr>
            <w:del w:id="3352" w:author="AbbVie02no" w:date="2025-05-15T12:36:00Z">
              <w:r w:rsidRPr="009C5EFD">
                <w:rPr>
                  <w:sz w:val="22"/>
                  <w:szCs w:val="22"/>
                </w:rPr>
                <w:delText>38,7 %</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1E56638F" w14:textId="5E434BE2" w:rsidR="002F0483" w:rsidRPr="009C5EFD" w:rsidRDefault="00E453CD" w:rsidP="002F0483">
            <w:pPr>
              <w:keepLines/>
              <w:tabs>
                <w:tab w:val="left" w:pos="-1080"/>
              </w:tabs>
              <w:autoSpaceDE w:val="0"/>
              <w:autoSpaceDN w:val="0"/>
              <w:adjustRightInd w:val="0"/>
              <w:ind w:left="15"/>
              <w:jc w:val="center"/>
              <w:rPr>
                <w:del w:id="3353" w:author="AbbVie02no" w:date="2025-05-15T12:36:00Z"/>
                <w:sz w:val="22"/>
                <w:szCs w:val="22"/>
              </w:rPr>
            </w:pPr>
            <w:del w:id="3354" w:author="AbbVie02no" w:date="2025-05-15T12:36:00Z">
              <w:r w:rsidRPr="009C5EFD">
                <w:rPr>
                  <w:sz w:val="22"/>
                  <w:szCs w:val="22"/>
                </w:rPr>
                <w:delText>28,4 %</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73361713" w14:textId="114EA44D" w:rsidR="002F0483" w:rsidRPr="009C5EFD" w:rsidRDefault="00E453CD" w:rsidP="002F0483">
            <w:pPr>
              <w:keepLines/>
              <w:tabs>
                <w:tab w:val="left" w:pos="-1080"/>
              </w:tabs>
              <w:autoSpaceDE w:val="0"/>
              <w:autoSpaceDN w:val="0"/>
              <w:adjustRightInd w:val="0"/>
              <w:ind w:left="15"/>
              <w:jc w:val="center"/>
              <w:rPr>
                <w:del w:id="3355" w:author="AbbVie02no" w:date="2025-05-15T12:36:00Z"/>
                <w:sz w:val="22"/>
                <w:szCs w:val="22"/>
              </w:rPr>
            </w:pPr>
            <w:del w:id="3356" w:author="AbbVie02no" w:date="2025-05-15T12:36:00Z">
              <w:r w:rsidRPr="009C5EFD">
                <w:rPr>
                  <w:sz w:val="22"/>
                  <w:szCs w:val="22"/>
                </w:rPr>
                <w:delText>0,075</w:delText>
              </w:r>
            </w:del>
          </w:p>
        </w:tc>
      </w:tr>
      <w:tr w:rsidR="004644D4" w14:paraId="0010439C" w14:textId="13D7823A" w:rsidTr="002F0483">
        <w:trPr>
          <w:jc w:val="center"/>
          <w:del w:id="3357" w:author="AbbVie02no" w:date="2025-05-15T12:36:00Z"/>
        </w:trPr>
        <w:tc>
          <w:tcPr>
            <w:tcW w:w="2321" w:type="dxa"/>
            <w:tcBorders>
              <w:top w:val="single" w:sz="6" w:space="0" w:color="000000"/>
              <w:left w:val="single" w:sz="6" w:space="0" w:color="000000"/>
              <w:bottom w:val="single" w:sz="6" w:space="0" w:color="000000"/>
              <w:right w:val="single" w:sz="6" w:space="0" w:color="000000"/>
            </w:tcBorders>
          </w:tcPr>
          <w:p w14:paraId="56C819AD" w14:textId="1ED4ECEA" w:rsidR="002F0483" w:rsidRPr="009C5EFD" w:rsidRDefault="00E453CD" w:rsidP="002F0483">
            <w:pPr>
              <w:keepLines/>
              <w:tabs>
                <w:tab w:val="left" w:pos="-1080"/>
              </w:tabs>
              <w:autoSpaceDE w:val="0"/>
              <w:autoSpaceDN w:val="0"/>
              <w:adjustRightInd w:val="0"/>
              <w:ind w:left="15"/>
              <w:rPr>
                <w:del w:id="3358" w:author="AbbVie02no" w:date="2025-05-15T12:36:00Z"/>
                <w:sz w:val="22"/>
                <w:szCs w:val="22"/>
              </w:rPr>
            </w:pPr>
            <w:del w:id="3359" w:author="AbbVie02no" w:date="2025-05-15T12:36:00Z">
              <w:r w:rsidRPr="009C5EFD">
                <w:rPr>
                  <w:sz w:val="22"/>
                  <w:szCs w:val="22"/>
                </w:rPr>
                <w:delText xml:space="preserve">   Klinisk respons </w:delText>
              </w:r>
            </w:del>
          </w:p>
        </w:tc>
        <w:tc>
          <w:tcPr>
            <w:tcW w:w="1614" w:type="dxa"/>
            <w:tcBorders>
              <w:top w:val="single" w:sz="6" w:space="0" w:color="000000"/>
              <w:left w:val="single" w:sz="6" w:space="0" w:color="000000"/>
              <w:bottom w:val="single" w:sz="6" w:space="0" w:color="000000"/>
              <w:right w:val="single" w:sz="6" w:space="0" w:color="000000"/>
            </w:tcBorders>
          </w:tcPr>
          <w:p w14:paraId="558DDAC9" w14:textId="114DC071" w:rsidR="002F0483" w:rsidRPr="009C5EFD" w:rsidRDefault="00E453CD" w:rsidP="002F0483">
            <w:pPr>
              <w:keepLines/>
              <w:tabs>
                <w:tab w:val="left" w:pos="-1080"/>
              </w:tabs>
              <w:autoSpaceDE w:val="0"/>
              <w:autoSpaceDN w:val="0"/>
              <w:adjustRightInd w:val="0"/>
              <w:ind w:left="15"/>
              <w:jc w:val="center"/>
              <w:rPr>
                <w:del w:id="3360" w:author="AbbVie02no" w:date="2025-05-15T12:36:00Z"/>
                <w:sz w:val="22"/>
                <w:szCs w:val="22"/>
              </w:rPr>
            </w:pPr>
            <w:del w:id="3361" w:author="AbbVie02no" w:date="2025-05-15T12:36:00Z">
              <w:r w:rsidRPr="009C5EFD">
                <w:rPr>
                  <w:sz w:val="22"/>
                  <w:szCs w:val="22"/>
                </w:rPr>
                <w:delText>59,1 %</w:delText>
              </w:r>
            </w:del>
          </w:p>
        </w:tc>
        <w:tc>
          <w:tcPr>
            <w:tcW w:w="1591" w:type="dxa"/>
            <w:tcBorders>
              <w:top w:val="single" w:sz="6" w:space="0" w:color="000000"/>
              <w:left w:val="single" w:sz="6" w:space="0" w:color="000000"/>
              <w:bottom w:val="single" w:sz="6" w:space="0" w:color="000000"/>
              <w:right w:val="single" w:sz="6" w:space="0" w:color="000000"/>
            </w:tcBorders>
          </w:tcPr>
          <w:p w14:paraId="3E0F4229" w14:textId="18D65A0B" w:rsidR="002F0483" w:rsidRPr="009C5EFD" w:rsidRDefault="00E453CD" w:rsidP="002F0483">
            <w:pPr>
              <w:keepLines/>
              <w:tabs>
                <w:tab w:val="left" w:pos="-1080"/>
              </w:tabs>
              <w:autoSpaceDE w:val="0"/>
              <w:autoSpaceDN w:val="0"/>
              <w:adjustRightInd w:val="0"/>
              <w:ind w:left="15"/>
              <w:jc w:val="center"/>
              <w:rPr>
                <w:del w:id="3362" w:author="AbbVie02no" w:date="2025-05-15T12:36:00Z"/>
                <w:sz w:val="22"/>
                <w:szCs w:val="22"/>
              </w:rPr>
            </w:pPr>
            <w:del w:id="3363" w:author="AbbVie02no" w:date="2025-05-15T12:36:00Z">
              <w:r w:rsidRPr="009C5EFD">
                <w:rPr>
                  <w:sz w:val="22"/>
                  <w:szCs w:val="22"/>
                </w:rPr>
                <w:delText>48,4 %</w:delText>
              </w:r>
            </w:del>
          </w:p>
        </w:tc>
        <w:tc>
          <w:tcPr>
            <w:tcW w:w="1147" w:type="dxa"/>
            <w:tcBorders>
              <w:top w:val="single" w:sz="6" w:space="0" w:color="000000"/>
              <w:left w:val="single" w:sz="6" w:space="0" w:color="000000"/>
              <w:bottom w:val="single" w:sz="6" w:space="0" w:color="000000"/>
              <w:right w:val="single" w:sz="6" w:space="0" w:color="000000"/>
            </w:tcBorders>
          </w:tcPr>
          <w:p w14:paraId="6A6A035F" w14:textId="79F0541B" w:rsidR="002F0483" w:rsidRPr="009C5EFD" w:rsidRDefault="00E453CD" w:rsidP="002F0483">
            <w:pPr>
              <w:keepLines/>
              <w:tabs>
                <w:tab w:val="left" w:pos="-1080"/>
              </w:tabs>
              <w:autoSpaceDE w:val="0"/>
              <w:autoSpaceDN w:val="0"/>
              <w:adjustRightInd w:val="0"/>
              <w:ind w:left="15"/>
              <w:jc w:val="center"/>
              <w:rPr>
                <w:del w:id="3364" w:author="AbbVie02no" w:date="2025-05-15T12:36:00Z"/>
                <w:sz w:val="22"/>
                <w:szCs w:val="22"/>
              </w:rPr>
            </w:pPr>
            <w:del w:id="3365" w:author="AbbVie02no" w:date="2025-05-15T12:36:00Z">
              <w:r w:rsidRPr="009C5EFD">
                <w:rPr>
                  <w:sz w:val="22"/>
                  <w:szCs w:val="22"/>
                </w:rPr>
                <w:delText>0,073</w:delText>
              </w:r>
            </w:del>
          </w:p>
        </w:tc>
      </w:tr>
      <w:tr w:rsidR="004644D4" w14:paraId="7B13D324" w14:textId="47EDAF06" w:rsidTr="002F0483">
        <w:trPr>
          <w:jc w:val="center"/>
          <w:del w:id="3366" w:author="AbbVie02no" w:date="2025-05-15T12:36:00Z"/>
        </w:trPr>
        <w:tc>
          <w:tcPr>
            <w:tcW w:w="2321" w:type="dxa"/>
            <w:tcBorders>
              <w:top w:val="single" w:sz="6" w:space="0" w:color="000000"/>
              <w:left w:val="single" w:sz="6" w:space="0" w:color="000000"/>
              <w:bottom w:val="single" w:sz="6" w:space="0" w:color="000000"/>
              <w:right w:val="single" w:sz="6" w:space="0" w:color="000000"/>
            </w:tcBorders>
            <w:vAlign w:val="bottom"/>
          </w:tcPr>
          <w:p w14:paraId="0AFE60F6" w14:textId="4E0A9A38" w:rsidR="002F0483" w:rsidRPr="009C5EFD" w:rsidRDefault="00E453CD" w:rsidP="002F0483">
            <w:pPr>
              <w:keepLines/>
              <w:tabs>
                <w:tab w:val="left" w:pos="-1080"/>
              </w:tabs>
              <w:autoSpaceDE w:val="0"/>
              <w:autoSpaceDN w:val="0"/>
              <w:adjustRightInd w:val="0"/>
              <w:rPr>
                <w:del w:id="3367" w:author="AbbVie02no" w:date="2025-05-15T12:36:00Z"/>
                <w:b/>
                <w:bCs/>
                <w:sz w:val="22"/>
                <w:szCs w:val="22"/>
              </w:rPr>
            </w:pPr>
            <w:del w:id="3368" w:author="AbbVie02no" w:date="2025-05-15T12:36:00Z">
              <w:r w:rsidRPr="009C5EFD">
                <w:rPr>
                  <w:b/>
                  <w:bCs/>
                  <w:sz w:val="22"/>
                  <w:szCs w:val="22"/>
                </w:rPr>
                <w:delText>Uke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BDA7411" w14:textId="07CB283E" w:rsidR="002F0483" w:rsidRPr="009C5EFD" w:rsidRDefault="002F0483" w:rsidP="002F0483">
            <w:pPr>
              <w:keepLines/>
              <w:tabs>
                <w:tab w:val="left" w:pos="-1080"/>
              </w:tabs>
              <w:autoSpaceDE w:val="0"/>
              <w:autoSpaceDN w:val="0"/>
              <w:adjustRightInd w:val="0"/>
              <w:ind w:left="15"/>
              <w:jc w:val="center"/>
              <w:rPr>
                <w:del w:id="3369" w:author="AbbVie02no" w:date="2025-05-15T12:36:00Z"/>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6A3883C" w14:textId="17D39A75" w:rsidR="002F0483" w:rsidRPr="009C5EFD" w:rsidRDefault="002F0483" w:rsidP="002F0483">
            <w:pPr>
              <w:keepLines/>
              <w:tabs>
                <w:tab w:val="left" w:pos="-1080"/>
              </w:tabs>
              <w:autoSpaceDE w:val="0"/>
              <w:autoSpaceDN w:val="0"/>
              <w:adjustRightInd w:val="0"/>
              <w:ind w:left="15"/>
              <w:jc w:val="center"/>
              <w:rPr>
                <w:del w:id="3370" w:author="AbbVie02no" w:date="2025-05-15T12:36:00Z"/>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2AAE482E" w14:textId="2BD93C5E" w:rsidR="002F0483" w:rsidRPr="009C5EFD" w:rsidRDefault="002F0483" w:rsidP="002F0483">
            <w:pPr>
              <w:autoSpaceDE w:val="0"/>
              <w:autoSpaceDN w:val="0"/>
              <w:adjustRightInd w:val="0"/>
              <w:ind w:left="15"/>
              <w:rPr>
                <w:del w:id="3371" w:author="AbbVie02no" w:date="2025-05-15T12:36:00Z"/>
                <w:b/>
                <w:bCs/>
                <w:sz w:val="22"/>
                <w:szCs w:val="22"/>
              </w:rPr>
            </w:pPr>
          </w:p>
        </w:tc>
      </w:tr>
      <w:tr w:rsidR="004644D4" w14:paraId="30C490FA" w14:textId="5B015414" w:rsidTr="002F0483">
        <w:trPr>
          <w:jc w:val="center"/>
          <w:del w:id="3372" w:author="AbbVie02no" w:date="2025-05-15T12:36:00Z"/>
        </w:trPr>
        <w:tc>
          <w:tcPr>
            <w:tcW w:w="2321" w:type="dxa"/>
            <w:tcBorders>
              <w:top w:val="single" w:sz="6" w:space="0" w:color="000000"/>
              <w:left w:val="single" w:sz="6" w:space="0" w:color="000000"/>
              <w:bottom w:val="single" w:sz="6" w:space="0" w:color="000000"/>
              <w:right w:val="single" w:sz="6" w:space="0" w:color="000000"/>
            </w:tcBorders>
            <w:vAlign w:val="bottom"/>
          </w:tcPr>
          <w:p w14:paraId="42980264" w14:textId="00746070" w:rsidR="002F0483" w:rsidRPr="009C5EFD" w:rsidRDefault="00E453CD" w:rsidP="002F0483">
            <w:pPr>
              <w:keepLines/>
              <w:tabs>
                <w:tab w:val="left" w:pos="-1080"/>
              </w:tabs>
              <w:autoSpaceDE w:val="0"/>
              <w:autoSpaceDN w:val="0"/>
              <w:adjustRightInd w:val="0"/>
              <w:ind w:left="15"/>
              <w:rPr>
                <w:del w:id="3373" w:author="AbbVie02no" w:date="2025-05-15T12:36:00Z"/>
                <w:sz w:val="22"/>
                <w:szCs w:val="22"/>
              </w:rPr>
            </w:pPr>
            <w:del w:id="3374" w:author="AbbVie02no" w:date="2025-05-15T12:36:00Z">
              <w:r w:rsidRPr="009C5EFD">
                <w:rPr>
                  <w:sz w:val="22"/>
                  <w:szCs w:val="22"/>
                </w:rPr>
                <w:delText xml:space="preserve">   Klinisk remisjon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CA088F9" w14:textId="3B7C086A" w:rsidR="002F0483" w:rsidRPr="009C5EFD" w:rsidRDefault="00E453CD" w:rsidP="002F0483">
            <w:pPr>
              <w:keepLines/>
              <w:tabs>
                <w:tab w:val="left" w:pos="-1080"/>
              </w:tabs>
              <w:autoSpaceDE w:val="0"/>
              <w:autoSpaceDN w:val="0"/>
              <w:adjustRightInd w:val="0"/>
              <w:ind w:left="15"/>
              <w:jc w:val="center"/>
              <w:rPr>
                <w:del w:id="3375" w:author="AbbVie02no" w:date="2025-05-15T12:36:00Z"/>
                <w:sz w:val="22"/>
                <w:szCs w:val="22"/>
              </w:rPr>
            </w:pPr>
            <w:del w:id="3376" w:author="AbbVie02no" w:date="2025-05-15T12:36:00Z">
              <w:r w:rsidRPr="009C5EFD">
                <w:rPr>
                  <w:sz w:val="22"/>
                  <w:szCs w:val="22"/>
                </w:rPr>
                <w:delText>33,3 %</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15B39FB6" w14:textId="75EC556A" w:rsidR="002F0483" w:rsidRPr="009C5EFD" w:rsidRDefault="00E453CD" w:rsidP="002F0483">
            <w:pPr>
              <w:keepLines/>
              <w:tabs>
                <w:tab w:val="left" w:pos="-1080"/>
              </w:tabs>
              <w:autoSpaceDE w:val="0"/>
              <w:autoSpaceDN w:val="0"/>
              <w:adjustRightInd w:val="0"/>
              <w:ind w:left="15"/>
              <w:jc w:val="center"/>
              <w:rPr>
                <w:del w:id="3377" w:author="AbbVie02no" w:date="2025-05-15T12:36:00Z"/>
                <w:sz w:val="22"/>
                <w:szCs w:val="22"/>
              </w:rPr>
            </w:pPr>
            <w:del w:id="3378" w:author="AbbVie02no" w:date="2025-05-15T12:36:00Z">
              <w:r w:rsidRPr="009C5EFD">
                <w:rPr>
                  <w:sz w:val="22"/>
                  <w:szCs w:val="22"/>
                </w:rPr>
                <w:delText>23,2 %</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2702C822" w14:textId="39BE77A9" w:rsidR="002F0483" w:rsidRPr="009C5EFD" w:rsidRDefault="00E453CD" w:rsidP="002F0483">
            <w:pPr>
              <w:keepLines/>
              <w:tabs>
                <w:tab w:val="left" w:pos="-1080"/>
              </w:tabs>
              <w:autoSpaceDE w:val="0"/>
              <w:autoSpaceDN w:val="0"/>
              <w:adjustRightInd w:val="0"/>
              <w:ind w:left="15"/>
              <w:jc w:val="center"/>
              <w:rPr>
                <w:del w:id="3379" w:author="AbbVie02no" w:date="2025-05-15T12:36:00Z"/>
                <w:sz w:val="22"/>
                <w:szCs w:val="22"/>
              </w:rPr>
            </w:pPr>
            <w:del w:id="3380" w:author="AbbVie02no" w:date="2025-05-15T12:36:00Z">
              <w:r w:rsidRPr="009C5EFD">
                <w:rPr>
                  <w:sz w:val="22"/>
                  <w:szCs w:val="22"/>
                </w:rPr>
                <w:delText>0,100</w:delText>
              </w:r>
            </w:del>
          </w:p>
        </w:tc>
      </w:tr>
      <w:tr w:rsidR="004644D4" w14:paraId="36535EA8" w14:textId="5691ACD3" w:rsidTr="002F0483">
        <w:trPr>
          <w:jc w:val="center"/>
          <w:del w:id="3381" w:author="AbbVie02no" w:date="2025-05-15T12:36:00Z"/>
        </w:trPr>
        <w:tc>
          <w:tcPr>
            <w:tcW w:w="2321" w:type="dxa"/>
            <w:tcBorders>
              <w:top w:val="single" w:sz="6" w:space="0" w:color="000000"/>
              <w:left w:val="single" w:sz="6" w:space="0" w:color="000000"/>
              <w:bottom w:val="single" w:sz="6" w:space="0" w:color="000000"/>
              <w:right w:val="single" w:sz="6" w:space="0" w:color="000000"/>
            </w:tcBorders>
          </w:tcPr>
          <w:p w14:paraId="7FFA8B60" w14:textId="64AA6B65" w:rsidR="002F0483" w:rsidRPr="009C5EFD" w:rsidRDefault="00E453CD" w:rsidP="002F0483">
            <w:pPr>
              <w:keepLines/>
              <w:tabs>
                <w:tab w:val="left" w:pos="-1080"/>
              </w:tabs>
              <w:autoSpaceDE w:val="0"/>
              <w:autoSpaceDN w:val="0"/>
              <w:adjustRightInd w:val="0"/>
              <w:ind w:left="15"/>
              <w:rPr>
                <w:del w:id="3382" w:author="AbbVie02no" w:date="2025-05-15T12:36:00Z"/>
                <w:sz w:val="22"/>
                <w:szCs w:val="22"/>
              </w:rPr>
            </w:pPr>
            <w:del w:id="3383" w:author="AbbVie02no" w:date="2025-05-15T12:36:00Z">
              <w:r w:rsidRPr="009C5EFD">
                <w:rPr>
                  <w:sz w:val="22"/>
                  <w:szCs w:val="22"/>
                </w:rPr>
                <w:delText xml:space="preserve">   Klinisk respons</w:delText>
              </w:r>
            </w:del>
          </w:p>
        </w:tc>
        <w:tc>
          <w:tcPr>
            <w:tcW w:w="1614" w:type="dxa"/>
            <w:tcBorders>
              <w:top w:val="single" w:sz="6" w:space="0" w:color="000000"/>
              <w:left w:val="single" w:sz="6" w:space="0" w:color="000000"/>
              <w:bottom w:val="single" w:sz="6" w:space="0" w:color="000000"/>
              <w:right w:val="single" w:sz="6" w:space="0" w:color="000000"/>
            </w:tcBorders>
          </w:tcPr>
          <w:p w14:paraId="49C1E9CB" w14:textId="4BE83D6C" w:rsidR="002F0483" w:rsidRPr="009C5EFD" w:rsidRDefault="00E453CD" w:rsidP="002F0483">
            <w:pPr>
              <w:keepLines/>
              <w:tabs>
                <w:tab w:val="left" w:pos="-1080"/>
              </w:tabs>
              <w:autoSpaceDE w:val="0"/>
              <w:autoSpaceDN w:val="0"/>
              <w:adjustRightInd w:val="0"/>
              <w:ind w:left="15"/>
              <w:jc w:val="center"/>
              <w:rPr>
                <w:del w:id="3384" w:author="AbbVie02no" w:date="2025-05-15T12:36:00Z"/>
                <w:sz w:val="22"/>
                <w:szCs w:val="22"/>
              </w:rPr>
            </w:pPr>
            <w:del w:id="3385" w:author="AbbVie02no" w:date="2025-05-15T12:36:00Z">
              <w:r w:rsidRPr="009C5EFD">
                <w:rPr>
                  <w:sz w:val="22"/>
                  <w:szCs w:val="22"/>
                </w:rPr>
                <w:delText>41,9 %</w:delText>
              </w:r>
            </w:del>
          </w:p>
        </w:tc>
        <w:tc>
          <w:tcPr>
            <w:tcW w:w="1591" w:type="dxa"/>
            <w:tcBorders>
              <w:top w:val="single" w:sz="6" w:space="0" w:color="000000"/>
              <w:left w:val="single" w:sz="6" w:space="0" w:color="000000"/>
              <w:bottom w:val="single" w:sz="6" w:space="0" w:color="000000"/>
              <w:right w:val="single" w:sz="6" w:space="0" w:color="000000"/>
            </w:tcBorders>
          </w:tcPr>
          <w:p w14:paraId="2F32FDC5" w14:textId="560ACC4C" w:rsidR="002F0483" w:rsidRPr="009C5EFD" w:rsidRDefault="00E453CD" w:rsidP="002F0483">
            <w:pPr>
              <w:keepLines/>
              <w:tabs>
                <w:tab w:val="left" w:pos="-1080"/>
              </w:tabs>
              <w:autoSpaceDE w:val="0"/>
              <w:autoSpaceDN w:val="0"/>
              <w:adjustRightInd w:val="0"/>
              <w:ind w:left="15"/>
              <w:jc w:val="center"/>
              <w:rPr>
                <w:del w:id="3386" w:author="AbbVie02no" w:date="2025-05-15T12:36:00Z"/>
                <w:sz w:val="22"/>
                <w:szCs w:val="22"/>
              </w:rPr>
            </w:pPr>
            <w:del w:id="3387" w:author="AbbVie02no" w:date="2025-05-15T12:36:00Z">
              <w:r w:rsidRPr="009C5EFD">
                <w:rPr>
                  <w:sz w:val="22"/>
                  <w:szCs w:val="22"/>
                </w:rPr>
                <w:delText>28,4 %</w:delText>
              </w:r>
            </w:del>
          </w:p>
        </w:tc>
        <w:tc>
          <w:tcPr>
            <w:tcW w:w="1147" w:type="dxa"/>
            <w:tcBorders>
              <w:top w:val="single" w:sz="6" w:space="0" w:color="000000"/>
              <w:left w:val="single" w:sz="6" w:space="0" w:color="000000"/>
              <w:bottom w:val="single" w:sz="6" w:space="0" w:color="000000"/>
              <w:right w:val="single" w:sz="6" w:space="0" w:color="000000"/>
            </w:tcBorders>
          </w:tcPr>
          <w:p w14:paraId="523E2D0E" w14:textId="47B71AF3" w:rsidR="002F0483" w:rsidRPr="009C5EFD" w:rsidRDefault="00E453CD" w:rsidP="002F0483">
            <w:pPr>
              <w:keepLines/>
              <w:tabs>
                <w:tab w:val="left" w:pos="-1080"/>
              </w:tabs>
              <w:autoSpaceDE w:val="0"/>
              <w:autoSpaceDN w:val="0"/>
              <w:adjustRightInd w:val="0"/>
              <w:ind w:left="15"/>
              <w:jc w:val="center"/>
              <w:rPr>
                <w:del w:id="3388" w:author="AbbVie02no" w:date="2025-05-15T12:36:00Z"/>
                <w:sz w:val="22"/>
                <w:szCs w:val="22"/>
              </w:rPr>
            </w:pPr>
            <w:del w:id="3389" w:author="AbbVie02no" w:date="2025-05-15T12:36:00Z">
              <w:r w:rsidRPr="009C5EFD">
                <w:rPr>
                  <w:sz w:val="22"/>
                  <w:szCs w:val="22"/>
                </w:rPr>
                <w:delText>0,038</w:delText>
              </w:r>
            </w:del>
          </w:p>
        </w:tc>
      </w:tr>
      <w:tr w:rsidR="004644D4" w14:paraId="73DF8B9E" w14:textId="58DB2E61" w:rsidTr="002F0483">
        <w:trPr>
          <w:jc w:val="center"/>
          <w:del w:id="3390" w:author="AbbVie02no" w:date="2025-05-15T12:36:00Z"/>
        </w:trPr>
        <w:tc>
          <w:tcPr>
            <w:tcW w:w="6673" w:type="dxa"/>
            <w:gridSpan w:val="4"/>
            <w:tcBorders>
              <w:top w:val="single" w:sz="6" w:space="0" w:color="000000"/>
              <w:left w:val="single" w:sz="6" w:space="0" w:color="000000"/>
              <w:bottom w:val="single" w:sz="6" w:space="0" w:color="000000"/>
              <w:right w:val="single" w:sz="6" w:space="0" w:color="000000"/>
            </w:tcBorders>
          </w:tcPr>
          <w:p w14:paraId="37633470" w14:textId="5A67BD6F" w:rsidR="002F0483" w:rsidRPr="009C5EFD" w:rsidRDefault="00E453CD" w:rsidP="002F0483">
            <w:pPr>
              <w:keepLines/>
              <w:tabs>
                <w:tab w:val="left" w:pos="-1080"/>
              </w:tabs>
              <w:autoSpaceDE w:val="0"/>
              <w:autoSpaceDN w:val="0"/>
              <w:adjustRightInd w:val="0"/>
              <w:ind w:left="15"/>
              <w:rPr>
                <w:del w:id="3391" w:author="AbbVie02no" w:date="2025-05-15T12:36:00Z"/>
                <w:sz w:val="22"/>
                <w:szCs w:val="22"/>
              </w:rPr>
            </w:pPr>
            <w:del w:id="3392" w:author="AbbVie02no" w:date="2025-05-15T12:36:00Z">
              <w:r w:rsidRPr="009C5EFD">
                <w:rPr>
                  <w:sz w:val="22"/>
                  <w:szCs w:val="22"/>
                </w:rPr>
                <w:delText xml:space="preserve">*p-verdi for standard dose </w:delText>
              </w:r>
              <w:r w:rsidRPr="009C5EFD">
                <w:rPr>
                  <w:i/>
                  <w:iCs/>
                  <w:sz w:val="22"/>
                  <w:szCs w:val="22"/>
                </w:rPr>
                <w:delText>versus</w:delText>
              </w:r>
              <w:r w:rsidRPr="009C5EFD">
                <w:rPr>
                  <w:sz w:val="22"/>
                  <w:szCs w:val="22"/>
                </w:rPr>
                <w:delText xml:space="preserve"> lav dose sammenligning.</w:delText>
              </w:r>
            </w:del>
          </w:p>
        </w:tc>
      </w:tr>
    </w:tbl>
    <w:p w14:paraId="61FC31EB" w14:textId="6B8F1E05" w:rsidR="002F0483" w:rsidRPr="009C5EFD" w:rsidRDefault="002F0483" w:rsidP="002F0483">
      <w:pPr>
        <w:pStyle w:val="Heading8"/>
        <w:keepNext w:val="0"/>
        <w:keepLines/>
        <w:rPr>
          <w:del w:id="3393" w:author="AbbVie02no" w:date="2025-05-15T12:36:00Z"/>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4644D4" w14:paraId="429B0A07" w14:textId="02E32DF5" w:rsidTr="002F0483">
        <w:trPr>
          <w:jc w:val="center"/>
          <w:del w:id="3394" w:author="AbbVie02no" w:date="2025-05-15T12:36:00Z"/>
        </w:trPr>
        <w:tc>
          <w:tcPr>
            <w:tcW w:w="8440" w:type="dxa"/>
            <w:gridSpan w:val="4"/>
            <w:tcBorders>
              <w:top w:val="single" w:sz="6" w:space="0" w:color="000000"/>
              <w:left w:val="single" w:sz="6" w:space="0" w:color="000000"/>
              <w:bottom w:val="single" w:sz="6" w:space="0" w:color="000000"/>
              <w:right w:val="single" w:sz="6" w:space="0" w:color="000000"/>
            </w:tcBorders>
          </w:tcPr>
          <w:p w14:paraId="2313F896" w14:textId="30B90673" w:rsidR="002F0483" w:rsidRPr="009C5EFD" w:rsidRDefault="00E453CD" w:rsidP="002F0483">
            <w:pPr>
              <w:keepNext/>
              <w:keepLines/>
              <w:tabs>
                <w:tab w:val="left" w:pos="-878"/>
              </w:tabs>
              <w:autoSpaceDE w:val="0"/>
              <w:autoSpaceDN w:val="0"/>
              <w:adjustRightInd w:val="0"/>
              <w:jc w:val="center"/>
              <w:rPr>
                <w:del w:id="3395" w:author="AbbVie02no" w:date="2025-05-15T12:36:00Z"/>
                <w:b/>
                <w:bCs/>
                <w:sz w:val="22"/>
                <w:szCs w:val="22"/>
              </w:rPr>
            </w:pPr>
            <w:del w:id="3396" w:author="AbbVie02no" w:date="2025-05-15T12:36:00Z">
              <w:r w:rsidRPr="009C5EFD">
                <w:rPr>
                  <w:b/>
                  <w:bCs/>
                  <w:sz w:val="22"/>
                  <w:szCs w:val="22"/>
                </w:rPr>
                <w:delText xml:space="preserve">Tabell </w:delText>
              </w:r>
              <w:r>
                <w:rPr>
                  <w:b/>
                  <w:bCs/>
                  <w:sz w:val="22"/>
                  <w:szCs w:val="22"/>
                </w:rPr>
                <w:delText>25</w:delText>
              </w:r>
            </w:del>
          </w:p>
          <w:p w14:paraId="503461C4" w14:textId="3F7F661B" w:rsidR="002F0483" w:rsidRPr="009C5EFD" w:rsidRDefault="00E453CD" w:rsidP="002F0483">
            <w:pPr>
              <w:keepNext/>
              <w:keepLines/>
              <w:tabs>
                <w:tab w:val="left" w:pos="-878"/>
              </w:tabs>
              <w:autoSpaceDE w:val="0"/>
              <w:autoSpaceDN w:val="0"/>
              <w:adjustRightInd w:val="0"/>
              <w:jc w:val="center"/>
              <w:rPr>
                <w:del w:id="3397" w:author="AbbVie02no" w:date="2025-05-15T12:36:00Z"/>
                <w:b/>
                <w:bCs/>
                <w:sz w:val="22"/>
                <w:szCs w:val="22"/>
              </w:rPr>
            </w:pPr>
            <w:del w:id="3398" w:author="AbbVie02no" w:date="2025-05-15T12:36:00Z">
              <w:r w:rsidRPr="009C5EFD">
                <w:rPr>
                  <w:b/>
                  <w:bCs/>
                  <w:sz w:val="22"/>
                  <w:szCs w:val="22"/>
                </w:rPr>
                <w:delText>Pediatrisk CD studie</w:delText>
              </w:r>
            </w:del>
          </w:p>
          <w:p w14:paraId="04977CCA" w14:textId="0B20C2F0" w:rsidR="002F0483" w:rsidRPr="009C5EFD" w:rsidRDefault="00E453CD" w:rsidP="002F0483">
            <w:pPr>
              <w:keepNext/>
              <w:keepLines/>
              <w:tabs>
                <w:tab w:val="left" w:pos="-878"/>
              </w:tabs>
              <w:autoSpaceDE w:val="0"/>
              <w:autoSpaceDN w:val="0"/>
              <w:adjustRightInd w:val="0"/>
              <w:jc w:val="center"/>
              <w:rPr>
                <w:del w:id="3399" w:author="AbbVie02no" w:date="2025-05-15T12:36:00Z"/>
                <w:b/>
                <w:bCs/>
                <w:sz w:val="22"/>
                <w:szCs w:val="22"/>
              </w:rPr>
            </w:pPr>
            <w:del w:id="3400" w:author="AbbVie02no" w:date="2025-05-15T12:36:00Z">
              <w:r w:rsidRPr="009C5EFD">
                <w:rPr>
                  <w:b/>
                  <w:bCs/>
                  <w:sz w:val="22"/>
                  <w:szCs w:val="22"/>
                </w:rPr>
                <w:delText>Seponering av kortikosteroider eller immunmodulerende midler og fistel remisjon</w:delText>
              </w:r>
            </w:del>
          </w:p>
        </w:tc>
      </w:tr>
      <w:tr w:rsidR="004644D4" w14:paraId="0C611326" w14:textId="41EC33E1" w:rsidTr="002F0483">
        <w:trPr>
          <w:jc w:val="center"/>
          <w:del w:id="3401" w:author="AbbVie02no" w:date="2025-05-15T12:36:00Z"/>
        </w:trPr>
        <w:tc>
          <w:tcPr>
            <w:tcW w:w="4025" w:type="dxa"/>
            <w:tcBorders>
              <w:top w:val="single" w:sz="6" w:space="0" w:color="000000"/>
              <w:left w:val="single" w:sz="6" w:space="0" w:color="000000"/>
              <w:bottom w:val="single" w:sz="6" w:space="0" w:color="000000"/>
              <w:right w:val="single" w:sz="6" w:space="0" w:color="000000"/>
            </w:tcBorders>
          </w:tcPr>
          <w:p w14:paraId="50DC94AB" w14:textId="6066CF64" w:rsidR="002F0483" w:rsidRPr="009C5EFD" w:rsidRDefault="002F0483" w:rsidP="002F0483">
            <w:pPr>
              <w:keepNext/>
              <w:keepLines/>
              <w:tabs>
                <w:tab w:val="left" w:pos="-1080"/>
              </w:tabs>
              <w:autoSpaceDE w:val="0"/>
              <w:autoSpaceDN w:val="0"/>
              <w:adjustRightInd w:val="0"/>
              <w:jc w:val="center"/>
              <w:rPr>
                <w:del w:id="3402" w:author="AbbVie02no" w:date="2025-05-15T12:36:00Z"/>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39405411" w14:textId="2256B312" w:rsidR="002F0483" w:rsidRPr="009C5EFD" w:rsidRDefault="00E453CD" w:rsidP="002F0483">
            <w:pPr>
              <w:keepLines/>
              <w:tabs>
                <w:tab w:val="left" w:pos="-1080"/>
              </w:tabs>
              <w:autoSpaceDE w:val="0"/>
              <w:autoSpaceDN w:val="0"/>
              <w:adjustRightInd w:val="0"/>
              <w:ind w:left="15"/>
              <w:jc w:val="center"/>
              <w:rPr>
                <w:del w:id="3403" w:author="AbbVie02no" w:date="2025-05-15T12:36:00Z"/>
                <w:b/>
                <w:bCs/>
                <w:sz w:val="22"/>
                <w:szCs w:val="22"/>
              </w:rPr>
            </w:pPr>
            <w:del w:id="3404" w:author="AbbVie02no" w:date="2025-05-15T12:36:00Z">
              <w:r w:rsidRPr="009C5EFD">
                <w:rPr>
                  <w:b/>
                  <w:bCs/>
                  <w:sz w:val="22"/>
                  <w:szCs w:val="22"/>
                </w:rPr>
                <w:delText>Standard dose</w:delText>
              </w:r>
            </w:del>
          </w:p>
          <w:p w14:paraId="73E5D1E3" w14:textId="3E172338" w:rsidR="002F0483" w:rsidRPr="009C5EFD" w:rsidRDefault="00E453CD" w:rsidP="002F0483">
            <w:pPr>
              <w:keepLines/>
              <w:tabs>
                <w:tab w:val="left" w:pos="-1080"/>
              </w:tabs>
              <w:autoSpaceDE w:val="0"/>
              <w:autoSpaceDN w:val="0"/>
              <w:adjustRightInd w:val="0"/>
              <w:ind w:left="15"/>
              <w:jc w:val="center"/>
              <w:rPr>
                <w:del w:id="3405" w:author="AbbVie02no" w:date="2025-05-15T12:36:00Z"/>
                <w:b/>
                <w:bCs/>
                <w:sz w:val="22"/>
                <w:szCs w:val="22"/>
              </w:rPr>
            </w:pPr>
            <w:del w:id="3406" w:author="AbbVie02no" w:date="2025-05-15T12:36:00Z">
              <w:r w:rsidRPr="009C5EFD">
                <w:rPr>
                  <w:b/>
                  <w:bCs/>
                  <w:sz w:val="22"/>
                  <w:szCs w:val="22"/>
                </w:rPr>
                <w:delText xml:space="preserve">40/20 mg annenhver uke </w:delText>
              </w:r>
            </w:del>
          </w:p>
        </w:tc>
        <w:tc>
          <w:tcPr>
            <w:tcW w:w="1619" w:type="dxa"/>
            <w:tcBorders>
              <w:top w:val="single" w:sz="6" w:space="0" w:color="000000"/>
              <w:left w:val="single" w:sz="6" w:space="0" w:color="000000"/>
              <w:bottom w:val="single" w:sz="6" w:space="0" w:color="000000"/>
              <w:right w:val="single" w:sz="6" w:space="0" w:color="000000"/>
            </w:tcBorders>
          </w:tcPr>
          <w:p w14:paraId="52B1D6C4" w14:textId="0C5F8DF9" w:rsidR="002F0483" w:rsidRPr="009C5EFD" w:rsidRDefault="00E453CD" w:rsidP="002F0483">
            <w:pPr>
              <w:keepLines/>
              <w:tabs>
                <w:tab w:val="left" w:pos="-1080"/>
              </w:tabs>
              <w:autoSpaceDE w:val="0"/>
              <w:autoSpaceDN w:val="0"/>
              <w:adjustRightInd w:val="0"/>
              <w:ind w:left="15"/>
              <w:jc w:val="center"/>
              <w:rPr>
                <w:del w:id="3407" w:author="AbbVie02no" w:date="2025-05-15T12:36:00Z"/>
                <w:b/>
                <w:bCs/>
                <w:sz w:val="22"/>
                <w:szCs w:val="22"/>
              </w:rPr>
            </w:pPr>
            <w:del w:id="3408" w:author="AbbVie02no" w:date="2025-05-15T12:36:00Z">
              <w:r w:rsidRPr="009C5EFD">
                <w:rPr>
                  <w:b/>
                  <w:bCs/>
                  <w:sz w:val="22"/>
                  <w:szCs w:val="22"/>
                </w:rPr>
                <w:delText>Lav dose</w:delText>
              </w:r>
            </w:del>
          </w:p>
          <w:p w14:paraId="0B890D39" w14:textId="5D3FF641" w:rsidR="002F0483" w:rsidRPr="009C5EFD" w:rsidRDefault="00E453CD" w:rsidP="002F0483">
            <w:pPr>
              <w:keepLines/>
              <w:tabs>
                <w:tab w:val="left" w:pos="-1080"/>
              </w:tabs>
              <w:autoSpaceDE w:val="0"/>
              <w:autoSpaceDN w:val="0"/>
              <w:adjustRightInd w:val="0"/>
              <w:ind w:left="15"/>
              <w:jc w:val="center"/>
              <w:rPr>
                <w:del w:id="3409" w:author="AbbVie02no" w:date="2025-05-15T12:36:00Z"/>
                <w:b/>
                <w:bCs/>
                <w:sz w:val="22"/>
                <w:szCs w:val="22"/>
              </w:rPr>
            </w:pPr>
            <w:del w:id="3410" w:author="AbbVie02no" w:date="2025-05-15T12:36:00Z">
              <w:r w:rsidRPr="009C5EFD">
                <w:rPr>
                  <w:b/>
                  <w:bCs/>
                  <w:sz w:val="22"/>
                  <w:szCs w:val="22"/>
                </w:rPr>
                <w:delText xml:space="preserve">20/10 mg annenhver uke </w:delText>
              </w:r>
            </w:del>
          </w:p>
        </w:tc>
        <w:tc>
          <w:tcPr>
            <w:tcW w:w="1140" w:type="dxa"/>
            <w:tcBorders>
              <w:top w:val="single" w:sz="6" w:space="0" w:color="000000"/>
              <w:left w:val="single" w:sz="6" w:space="0" w:color="000000"/>
              <w:bottom w:val="single" w:sz="6" w:space="0" w:color="000000"/>
              <w:right w:val="single" w:sz="6" w:space="0" w:color="000000"/>
            </w:tcBorders>
          </w:tcPr>
          <w:p w14:paraId="23CD0C64" w14:textId="396DBCAE" w:rsidR="002F0483" w:rsidRPr="009C5EFD" w:rsidRDefault="00E453CD" w:rsidP="002F0483">
            <w:pPr>
              <w:keepLines/>
              <w:tabs>
                <w:tab w:val="left" w:pos="-1080"/>
              </w:tabs>
              <w:autoSpaceDE w:val="0"/>
              <w:autoSpaceDN w:val="0"/>
              <w:adjustRightInd w:val="0"/>
              <w:ind w:left="15"/>
              <w:jc w:val="center"/>
              <w:rPr>
                <w:del w:id="3411" w:author="AbbVie02no" w:date="2025-05-15T12:36:00Z"/>
                <w:b/>
                <w:bCs/>
                <w:sz w:val="22"/>
                <w:szCs w:val="22"/>
              </w:rPr>
            </w:pPr>
            <w:del w:id="3412" w:author="AbbVie02no" w:date="2025-05-15T12:36:00Z">
              <w:r w:rsidRPr="009C5EFD">
                <w:rPr>
                  <w:b/>
                  <w:bCs/>
                  <w:sz w:val="22"/>
                  <w:szCs w:val="22"/>
                </w:rPr>
                <w:delText>P-verdi</w:delText>
              </w:r>
              <w:r w:rsidRPr="009C5EFD">
                <w:rPr>
                  <w:b/>
                  <w:bCs/>
                  <w:sz w:val="22"/>
                  <w:szCs w:val="22"/>
                  <w:vertAlign w:val="superscript"/>
                </w:rPr>
                <w:delText>1</w:delText>
              </w:r>
            </w:del>
          </w:p>
        </w:tc>
      </w:tr>
      <w:tr w:rsidR="004644D4" w14:paraId="267B3FD8" w14:textId="0B38AD8E" w:rsidTr="002F0483">
        <w:trPr>
          <w:jc w:val="center"/>
          <w:del w:id="3413" w:author="AbbVie02no" w:date="2025-05-15T12:36:00Z"/>
        </w:trPr>
        <w:tc>
          <w:tcPr>
            <w:tcW w:w="4025" w:type="dxa"/>
            <w:tcBorders>
              <w:top w:val="single" w:sz="6" w:space="0" w:color="000000"/>
              <w:left w:val="single" w:sz="6" w:space="0" w:color="000000"/>
              <w:bottom w:val="single" w:sz="6" w:space="0" w:color="000000"/>
              <w:right w:val="single" w:sz="6" w:space="0" w:color="000000"/>
            </w:tcBorders>
            <w:vAlign w:val="bottom"/>
          </w:tcPr>
          <w:p w14:paraId="032862D6" w14:textId="172466A1" w:rsidR="002F0483" w:rsidRPr="009C5EFD" w:rsidRDefault="00E453CD" w:rsidP="002F0483">
            <w:pPr>
              <w:keepNext/>
              <w:keepLines/>
              <w:tabs>
                <w:tab w:val="left" w:pos="-1080"/>
              </w:tabs>
              <w:autoSpaceDE w:val="0"/>
              <w:autoSpaceDN w:val="0"/>
              <w:adjustRightInd w:val="0"/>
              <w:rPr>
                <w:del w:id="3414" w:author="AbbVie02no" w:date="2025-05-15T12:36:00Z"/>
                <w:b/>
                <w:sz w:val="22"/>
                <w:szCs w:val="22"/>
              </w:rPr>
            </w:pPr>
            <w:del w:id="3415" w:author="AbbVie02no" w:date="2025-05-15T12:36:00Z">
              <w:r w:rsidRPr="009C5EFD">
                <w:rPr>
                  <w:b/>
                  <w:sz w:val="22"/>
                  <w:szCs w:val="22"/>
                </w:rPr>
                <w:delText>Seponering av kortikosteroider</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F6470E7" w14:textId="13E910DA" w:rsidR="002F0483" w:rsidRPr="009C5EFD" w:rsidRDefault="00E453CD" w:rsidP="002F0483">
            <w:pPr>
              <w:keepLines/>
              <w:tabs>
                <w:tab w:val="left" w:pos="-1080"/>
              </w:tabs>
              <w:autoSpaceDE w:val="0"/>
              <w:autoSpaceDN w:val="0"/>
              <w:adjustRightInd w:val="0"/>
              <w:ind w:left="15"/>
              <w:jc w:val="center"/>
              <w:rPr>
                <w:del w:id="3416" w:author="AbbVie02no" w:date="2025-05-15T12:36:00Z"/>
                <w:b/>
                <w:sz w:val="22"/>
                <w:szCs w:val="22"/>
              </w:rPr>
            </w:pPr>
            <w:del w:id="3417" w:author="AbbVie02no" w:date="2025-05-15T12:36:00Z">
              <w:r w:rsidRPr="009C5EFD">
                <w:rPr>
                  <w:b/>
                  <w:sz w:val="22"/>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0B4C1A80" w14:textId="5D685FDB" w:rsidR="002F0483" w:rsidRPr="009C5EFD" w:rsidRDefault="00E453CD" w:rsidP="002F0483">
            <w:pPr>
              <w:keepLines/>
              <w:tabs>
                <w:tab w:val="left" w:pos="-1080"/>
              </w:tabs>
              <w:autoSpaceDE w:val="0"/>
              <w:autoSpaceDN w:val="0"/>
              <w:adjustRightInd w:val="0"/>
              <w:ind w:left="15"/>
              <w:jc w:val="center"/>
              <w:rPr>
                <w:del w:id="3418" w:author="AbbVie02no" w:date="2025-05-15T12:36:00Z"/>
                <w:b/>
                <w:sz w:val="22"/>
                <w:szCs w:val="22"/>
              </w:rPr>
            </w:pPr>
            <w:del w:id="3419" w:author="AbbVie02no" w:date="2025-05-15T12:36:00Z">
              <w:r w:rsidRPr="009C5EFD">
                <w:rPr>
                  <w:b/>
                  <w:sz w:val="22"/>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01A15D0C" w14:textId="083242C8" w:rsidR="002F0483" w:rsidRPr="009C5EFD" w:rsidRDefault="002F0483" w:rsidP="002F0483">
            <w:pPr>
              <w:keepLines/>
              <w:autoSpaceDE w:val="0"/>
              <w:autoSpaceDN w:val="0"/>
              <w:adjustRightInd w:val="0"/>
              <w:ind w:left="15"/>
              <w:rPr>
                <w:del w:id="3420" w:author="AbbVie02no" w:date="2025-05-15T12:36:00Z"/>
                <w:b/>
                <w:sz w:val="22"/>
                <w:szCs w:val="22"/>
              </w:rPr>
            </w:pPr>
          </w:p>
        </w:tc>
      </w:tr>
      <w:tr w:rsidR="004644D4" w14:paraId="5FE57A7E" w14:textId="7861B657" w:rsidTr="002F0483">
        <w:trPr>
          <w:jc w:val="center"/>
          <w:del w:id="3421" w:author="AbbVie02no" w:date="2025-05-15T12:36:00Z"/>
        </w:trPr>
        <w:tc>
          <w:tcPr>
            <w:tcW w:w="4025" w:type="dxa"/>
            <w:tcBorders>
              <w:top w:val="single" w:sz="6" w:space="0" w:color="000000"/>
              <w:left w:val="single" w:sz="6" w:space="0" w:color="000000"/>
              <w:bottom w:val="single" w:sz="6" w:space="0" w:color="000000"/>
              <w:right w:val="single" w:sz="6" w:space="0" w:color="000000"/>
            </w:tcBorders>
            <w:vAlign w:val="bottom"/>
          </w:tcPr>
          <w:p w14:paraId="614D1AEF" w14:textId="3A8F0ABF" w:rsidR="002F0483" w:rsidRPr="009C5EFD" w:rsidRDefault="00E453CD" w:rsidP="002F0483">
            <w:pPr>
              <w:keepNext/>
              <w:keepLines/>
              <w:tabs>
                <w:tab w:val="left" w:pos="-1080"/>
              </w:tabs>
              <w:autoSpaceDE w:val="0"/>
              <w:autoSpaceDN w:val="0"/>
              <w:adjustRightInd w:val="0"/>
              <w:rPr>
                <w:del w:id="3422" w:author="AbbVie02no" w:date="2025-05-15T12:36:00Z"/>
                <w:bCs/>
                <w:sz w:val="22"/>
                <w:szCs w:val="22"/>
              </w:rPr>
            </w:pPr>
            <w:del w:id="3423" w:author="AbbVie02no" w:date="2025-05-15T12:36:00Z">
              <w:r w:rsidRPr="009C5EFD">
                <w:rPr>
                  <w:bCs/>
                  <w:sz w:val="22"/>
                  <w:szCs w:val="22"/>
                </w:rPr>
                <w:delText>Uke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60F2384" w14:textId="29DEE7FD" w:rsidR="002F0483" w:rsidRPr="009C5EFD" w:rsidRDefault="00E453CD" w:rsidP="002F0483">
            <w:pPr>
              <w:keepLines/>
              <w:tabs>
                <w:tab w:val="left" w:pos="-1080"/>
              </w:tabs>
              <w:autoSpaceDE w:val="0"/>
              <w:autoSpaceDN w:val="0"/>
              <w:adjustRightInd w:val="0"/>
              <w:ind w:left="15"/>
              <w:jc w:val="center"/>
              <w:rPr>
                <w:del w:id="3424" w:author="AbbVie02no" w:date="2025-05-15T12:36:00Z"/>
                <w:sz w:val="22"/>
                <w:szCs w:val="22"/>
              </w:rPr>
            </w:pPr>
            <w:del w:id="3425" w:author="AbbVie02no" w:date="2025-05-15T12:36:00Z">
              <w:r w:rsidRPr="009C5EFD">
                <w:rPr>
                  <w:sz w:val="22"/>
                  <w:szCs w:val="22"/>
                </w:rPr>
                <w:delText>84,8 %</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6DD27BA2" w14:textId="4C0730DB" w:rsidR="002F0483" w:rsidRPr="009C5EFD" w:rsidRDefault="00E453CD" w:rsidP="002F0483">
            <w:pPr>
              <w:keepLines/>
              <w:tabs>
                <w:tab w:val="left" w:pos="-1080"/>
              </w:tabs>
              <w:autoSpaceDE w:val="0"/>
              <w:autoSpaceDN w:val="0"/>
              <w:adjustRightInd w:val="0"/>
              <w:ind w:left="15"/>
              <w:jc w:val="center"/>
              <w:rPr>
                <w:del w:id="3426" w:author="AbbVie02no" w:date="2025-05-15T12:36:00Z"/>
                <w:sz w:val="22"/>
                <w:szCs w:val="22"/>
              </w:rPr>
            </w:pPr>
            <w:del w:id="3427" w:author="AbbVie02no" w:date="2025-05-15T12:36:00Z">
              <w:r w:rsidRPr="009C5EFD">
                <w:rPr>
                  <w:sz w:val="22"/>
                  <w:szCs w:val="22"/>
                </w:rPr>
                <w:delText>65,8 %</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EDDD948" w14:textId="1496CDCC" w:rsidR="002F0483" w:rsidRPr="009C5EFD" w:rsidRDefault="00E453CD" w:rsidP="002F0483">
            <w:pPr>
              <w:keepLines/>
              <w:tabs>
                <w:tab w:val="left" w:pos="-1080"/>
              </w:tabs>
              <w:autoSpaceDE w:val="0"/>
              <w:autoSpaceDN w:val="0"/>
              <w:adjustRightInd w:val="0"/>
              <w:ind w:left="15"/>
              <w:jc w:val="center"/>
              <w:rPr>
                <w:del w:id="3428" w:author="AbbVie02no" w:date="2025-05-15T12:36:00Z"/>
                <w:sz w:val="22"/>
                <w:szCs w:val="22"/>
              </w:rPr>
            </w:pPr>
            <w:del w:id="3429" w:author="AbbVie02no" w:date="2025-05-15T12:36:00Z">
              <w:r w:rsidRPr="009C5EFD">
                <w:rPr>
                  <w:sz w:val="22"/>
                  <w:szCs w:val="22"/>
                </w:rPr>
                <w:delText>0,066</w:delText>
              </w:r>
            </w:del>
          </w:p>
        </w:tc>
      </w:tr>
      <w:tr w:rsidR="004644D4" w14:paraId="4FAF436C" w14:textId="1D81A33D" w:rsidTr="002F0483">
        <w:trPr>
          <w:jc w:val="center"/>
          <w:del w:id="3430" w:author="AbbVie02no" w:date="2025-05-15T12:36:00Z"/>
        </w:trPr>
        <w:tc>
          <w:tcPr>
            <w:tcW w:w="4025" w:type="dxa"/>
            <w:tcBorders>
              <w:top w:val="single" w:sz="6" w:space="0" w:color="000000"/>
              <w:left w:val="single" w:sz="6" w:space="0" w:color="000000"/>
              <w:bottom w:val="single" w:sz="6" w:space="0" w:color="000000"/>
              <w:right w:val="single" w:sz="6" w:space="0" w:color="000000"/>
            </w:tcBorders>
            <w:vAlign w:val="bottom"/>
          </w:tcPr>
          <w:p w14:paraId="01991DBA" w14:textId="41F06EAD" w:rsidR="002F0483" w:rsidRPr="009C5EFD" w:rsidRDefault="00E453CD" w:rsidP="002F0483">
            <w:pPr>
              <w:keepNext/>
              <w:keepLines/>
              <w:tabs>
                <w:tab w:val="left" w:pos="-1080"/>
              </w:tabs>
              <w:autoSpaceDE w:val="0"/>
              <w:autoSpaceDN w:val="0"/>
              <w:adjustRightInd w:val="0"/>
              <w:rPr>
                <w:del w:id="3431" w:author="AbbVie02no" w:date="2025-05-15T12:36:00Z"/>
                <w:bCs/>
                <w:sz w:val="22"/>
                <w:szCs w:val="22"/>
              </w:rPr>
            </w:pPr>
            <w:del w:id="3432" w:author="AbbVie02no" w:date="2025-05-15T12:36:00Z">
              <w:r w:rsidRPr="009C5EFD">
                <w:rPr>
                  <w:bCs/>
                  <w:sz w:val="22"/>
                  <w:szCs w:val="22"/>
                </w:rPr>
                <w:delText>Uke 52</w:delText>
              </w:r>
            </w:del>
          </w:p>
        </w:tc>
        <w:tc>
          <w:tcPr>
            <w:tcW w:w="1656" w:type="dxa"/>
            <w:tcBorders>
              <w:top w:val="single" w:sz="6" w:space="0" w:color="000000"/>
              <w:left w:val="single" w:sz="6" w:space="0" w:color="000000"/>
              <w:bottom w:val="single" w:sz="6" w:space="0" w:color="000000"/>
              <w:right w:val="single" w:sz="6" w:space="0" w:color="000000"/>
            </w:tcBorders>
          </w:tcPr>
          <w:p w14:paraId="6A1615E6" w14:textId="1072B693" w:rsidR="002F0483" w:rsidRPr="009C5EFD" w:rsidRDefault="00E453CD" w:rsidP="002F0483">
            <w:pPr>
              <w:keepLines/>
              <w:tabs>
                <w:tab w:val="left" w:pos="-1080"/>
              </w:tabs>
              <w:autoSpaceDE w:val="0"/>
              <w:autoSpaceDN w:val="0"/>
              <w:adjustRightInd w:val="0"/>
              <w:ind w:left="15"/>
              <w:jc w:val="center"/>
              <w:rPr>
                <w:del w:id="3433" w:author="AbbVie02no" w:date="2025-05-15T12:36:00Z"/>
                <w:sz w:val="22"/>
                <w:szCs w:val="22"/>
              </w:rPr>
            </w:pPr>
            <w:del w:id="3434" w:author="AbbVie02no" w:date="2025-05-15T12:36:00Z">
              <w:r w:rsidRPr="009C5EFD">
                <w:rPr>
                  <w:sz w:val="22"/>
                  <w:szCs w:val="22"/>
                </w:rPr>
                <w:delText>69,7 %</w:delText>
              </w:r>
            </w:del>
          </w:p>
        </w:tc>
        <w:tc>
          <w:tcPr>
            <w:tcW w:w="1619" w:type="dxa"/>
            <w:tcBorders>
              <w:top w:val="single" w:sz="6" w:space="0" w:color="000000"/>
              <w:left w:val="single" w:sz="6" w:space="0" w:color="000000"/>
              <w:bottom w:val="single" w:sz="6" w:space="0" w:color="000000"/>
              <w:right w:val="single" w:sz="6" w:space="0" w:color="000000"/>
            </w:tcBorders>
          </w:tcPr>
          <w:p w14:paraId="6C5314A2" w14:textId="013BF3E8" w:rsidR="002F0483" w:rsidRPr="009C5EFD" w:rsidRDefault="00E453CD" w:rsidP="002F0483">
            <w:pPr>
              <w:keepLines/>
              <w:tabs>
                <w:tab w:val="left" w:pos="-1080"/>
              </w:tabs>
              <w:autoSpaceDE w:val="0"/>
              <w:autoSpaceDN w:val="0"/>
              <w:adjustRightInd w:val="0"/>
              <w:ind w:left="15"/>
              <w:jc w:val="center"/>
              <w:rPr>
                <w:del w:id="3435" w:author="AbbVie02no" w:date="2025-05-15T12:36:00Z"/>
                <w:sz w:val="22"/>
                <w:szCs w:val="22"/>
              </w:rPr>
            </w:pPr>
            <w:del w:id="3436" w:author="AbbVie02no" w:date="2025-05-15T12:36:00Z">
              <w:r w:rsidRPr="009C5EFD">
                <w:rPr>
                  <w:sz w:val="22"/>
                  <w:szCs w:val="22"/>
                </w:rPr>
                <w:delText>60,5 %</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A4B8EBA" w14:textId="108D7301" w:rsidR="002F0483" w:rsidRPr="009C5EFD" w:rsidRDefault="00E453CD" w:rsidP="002F0483">
            <w:pPr>
              <w:keepLines/>
              <w:tabs>
                <w:tab w:val="left" w:pos="-1080"/>
              </w:tabs>
              <w:autoSpaceDE w:val="0"/>
              <w:autoSpaceDN w:val="0"/>
              <w:adjustRightInd w:val="0"/>
              <w:ind w:left="15"/>
              <w:jc w:val="center"/>
              <w:rPr>
                <w:del w:id="3437" w:author="AbbVie02no" w:date="2025-05-15T12:36:00Z"/>
                <w:sz w:val="22"/>
                <w:szCs w:val="22"/>
              </w:rPr>
            </w:pPr>
            <w:del w:id="3438" w:author="AbbVie02no" w:date="2025-05-15T12:36:00Z">
              <w:r w:rsidRPr="009C5EFD">
                <w:rPr>
                  <w:sz w:val="22"/>
                  <w:szCs w:val="22"/>
                </w:rPr>
                <w:delText>0,420</w:delText>
              </w:r>
            </w:del>
          </w:p>
        </w:tc>
      </w:tr>
      <w:tr w:rsidR="004644D4" w14:paraId="436DC42E" w14:textId="198D8F39" w:rsidTr="002F0483">
        <w:trPr>
          <w:jc w:val="center"/>
          <w:del w:id="3439" w:author="AbbVie02no" w:date="2025-05-15T12:36:00Z"/>
        </w:trPr>
        <w:tc>
          <w:tcPr>
            <w:tcW w:w="4025" w:type="dxa"/>
            <w:tcBorders>
              <w:top w:val="single" w:sz="6" w:space="0" w:color="000000"/>
              <w:left w:val="single" w:sz="6" w:space="0" w:color="000000"/>
              <w:bottom w:val="single" w:sz="6" w:space="0" w:color="000000"/>
              <w:right w:val="single" w:sz="6" w:space="0" w:color="000000"/>
            </w:tcBorders>
            <w:vAlign w:val="bottom"/>
          </w:tcPr>
          <w:p w14:paraId="11BA5583" w14:textId="615A0B08" w:rsidR="002F0483" w:rsidRPr="009C5EFD" w:rsidRDefault="00E453CD" w:rsidP="002F0483">
            <w:pPr>
              <w:keepNext/>
              <w:keepLines/>
              <w:tabs>
                <w:tab w:val="left" w:pos="-1080"/>
              </w:tabs>
              <w:autoSpaceDE w:val="0"/>
              <w:autoSpaceDN w:val="0"/>
              <w:adjustRightInd w:val="0"/>
              <w:rPr>
                <w:del w:id="3440" w:author="AbbVie02no" w:date="2025-05-15T12:36:00Z"/>
                <w:b/>
                <w:sz w:val="22"/>
                <w:szCs w:val="22"/>
              </w:rPr>
            </w:pPr>
            <w:del w:id="3441" w:author="AbbVie02no" w:date="2025-05-15T12:36:00Z">
              <w:r w:rsidRPr="009C5EFD">
                <w:rPr>
                  <w:b/>
                  <w:sz w:val="22"/>
                  <w:szCs w:val="22"/>
                </w:rPr>
                <w:delText>Seponering av immunmodulerende midler</w:delText>
              </w:r>
              <w:r w:rsidRPr="009C5EFD">
                <w:rPr>
                  <w:b/>
                  <w:sz w:val="22"/>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346F3CCF" w14:textId="26757230" w:rsidR="002F0483" w:rsidRPr="009C5EFD" w:rsidRDefault="00E453CD" w:rsidP="002F0483">
            <w:pPr>
              <w:keepLines/>
              <w:tabs>
                <w:tab w:val="left" w:pos="-1080"/>
              </w:tabs>
              <w:autoSpaceDE w:val="0"/>
              <w:autoSpaceDN w:val="0"/>
              <w:adjustRightInd w:val="0"/>
              <w:ind w:left="15"/>
              <w:jc w:val="center"/>
              <w:rPr>
                <w:del w:id="3442" w:author="AbbVie02no" w:date="2025-05-15T12:36:00Z"/>
                <w:b/>
                <w:sz w:val="22"/>
                <w:szCs w:val="22"/>
              </w:rPr>
            </w:pPr>
            <w:del w:id="3443" w:author="AbbVie02no" w:date="2025-05-15T12:36:00Z">
              <w:r w:rsidRPr="009C5EFD">
                <w:rPr>
                  <w:b/>
                  <w:sz w:val="22"/>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2A7CB036" w14:textId="5BA20D2B" w:rsidR="002F0483" w:rsidRPr="009C5EFD" w:rsidRDefault="00E453CD" w:rsidP="002F0483">
            <w:pPr>
              <w:keepLines/>
              <w:tabs>
                <w:tab w:val="left" w:pos="-1080"/>
              </w:tabs>
              <w:autoSpaceDE w:val="0"/>
              <w:autoSpaceDN w:val="0"/>
              <w:adjustRightInd w:val="0"/>
              <w:ind w:left="15"/>
              <w:jc w:val="center"/>
              <w:rPr>
                <w:del w:id="3444" w:author="AbbVie02no" w:date="2025-05-15T12:36:00Z"/>
                <w:b/>
                <w:sz w:val="22"/>
                <w:szCs w:val="22"/>
              </w:rPr>
            </w:pPr>
            <w:del w:id="3445" w:author="AbbVie02no" w:date="2025-05-15T12:36:00Z">
              <w:r w:rsidRPr="009C5EFD">
                <w:rPr>
                  <w:b/>
                  <w:sz w:val="22"/>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0C80C762" w14:textId="72E014DE" w:rsidR="002F0483" w:rsidRPr="009C5EFD" w:rsidRDefault="002F0483" w:rsidP="002F0483">
            <w:pPr>
              <w:keepLines/>
              <w:autoSpaceDE w:val="0"/>
              <w:autoSpaceDN w:val="0"/>
              <w:adjustRightInd w:val="0"/>
              <w:ind w:left="15"/>
              <w:rPr>
                <w:del w:id="3446" w:author="AbbVie02no" w:date="2025-05-15T12:36:00Z"/>
                <w:b/>
                <w:sz w:val="22"/>
                <w:szCs w:val="22"/>
              </w:rPr>
            </w:pPr>
          </w:p>
        </w:tc>
      </w:tr>
      <w:tr w:rsidR="004644D4" w14:paraId="292BE6EC" w14:textId="28547B88" w:rsidTr="002F0483">
        <w:trPr>
          <w:jc w:val="center"/>
          <w:del w:id="3447" w:author="AbbVie02no" w:date="2025-05-15T12:36:00Z"/>
        </w:trPr>
        <w:tc>
          <w:tcPr>
            <w:tcW w:w="4025" w:type="dxa"/>
            <w:tcBorders>
              <w:top w:val="single" w:sz="6" w:space="0" w:color="000000"/>
              <w:left w:val="single" w:sz="6" w:space="0" w:color="000000"/>
              <w:bottom w:val="single" w:sz="6" w:space="0" w:color="000000"/>
              <w:right w:val="single" w:sz="6" w:space="0" w:color="000000"/>
            </w:tcBorders>
          </w:tcPr>
          <w:p w14:paraId="650C00C9" w14:textId="5E051ABE" w:rsidR="002F0483" w:rsidRPr="009C5EFD" w:rsidRDefault="00E453CD" w:rsidP="002F0483">
            <w:pPr>
              <w:keepNext/>
              <w:keepLines/>
              <w:tabs>
                <w:tab w:val="left" w:pos="-1080"/>
              </w:tabs>
              <w:autoSpaceDE w:val="0"/>
              <w:autoSpaceDN w:val="0"/>
              <w:adjustRightInd w:val="0"/>
              <w:rPr>
                <w:del w:id="3448" w:author="AbbVie02no" w:date="2025-05-15T12:36:00Z"/>
                <w:bCs/>
                <w:sz w:val="22"/>
                <w:szCs w:val="22"/>
              </w:rPr>
            </w:pPr>
            <w:del w:id="3449" w:author="AbbVie02no" w:date="2025-05-15T12:36:00Z">
              <w:r w:rsidRPr="009C5EFD">
                <w:rPr>
                  <w:bCs/>
                  <w:sz w:val="22"/>
                  <w:szCs w:val="22"/>
                </w:rPr>
                <w:delText>Uke 52</w:delText>
              </w:r>
            </w:del>
          </w:p>
        </w:tc>
        <w:tc>
          <w:tcPr>
            <w:tcW w:w="1656" w:type="dxa"/>
            <w:tcBorders>
              <w:top w:val="single" w:sz="6" w:space="0" w:color="000000"/>
              <w:left w:val="single" w:sz="6" w:space="0" w:color="000000"/>
              <w:bottom w:val="single" w:sz="6" w:space="0" w:color="000000"/>
              <w:right w:val="single" w:sz="6" w:space="0" w:color="000000"/>
            </w:tcBorders>
          </w:tcPr>
          <w:p w14:paraId="18870453" w14:textId="1A98410B" w:rsidR="002F0483" w:rsidRPr="009C5EFD" w:rsidRDefault="00E453CD" w:rsidP="002F0483">
            <w:pPr>
              <w:keepLines/>
              <w:tabs>
                <w:tab w:val="left" w:pos="-1080"/>
              </w:tabs>
              <w:autoSpaceDE w:val="0"/>
              <w:autoSpaceDN w:val="0"/>
              <w:adjustRightInd w:val="0"/>
              <w:ind w:left="15"/>
              <w:jc w:val="center"/>
              <w:rPr>
                <w:del w:id="3450" w:author="AbbVie02no" w:date="2025-05-15T12:36:00Z"/>
                <w:sz w:val="22"/>
                <w:szCs w:val="22"/>
              </w:rPr>
            </w:pPr>
            <w:del w:id="3451" w:author="AbbVie02no" w:date="2025-05-15T12:36:00Z">
              <w:r w:rsidRPr="009C5EFD">
                <w:rPr>
                  <w:sz w:val="22"/>
                  <w:szCs w:val="22"/>
                </w:rPr>
                <w:delText>30,0 %</w:delText>
              </w:r>
            </w:del>
          </w:p>
        </w:tc>
        <w:tc>
          <w:tcPr>
            <w:tcW w:w="1619" w:type="dxa"/>
            <w:tcBorders>
              <w:top w:val="single" w:sz="6" w:space="0" w:color="000000"/>
              <w:left w:val="single" w:sz="6" w:space="0" w:color="000000"/>
              <w:bottom w:val="single" w:sz="6" w:space="0" w:color="000000"/>
              <w:right w:val="single" w:sz="6" w:space="0" w:color="000000"/>
            </w:tcBorders>
          </w:tcPr>
          <w:p w14:paraId="0EBDADCF" w14:textId="58FC52AA" w:rsidR="002F0483" w:rsidRPr="009C5EFD" w:rsidRDefault="00E453CD" w:rsidP="002F0483">
            <w:pPr>
              <w:keepLines/>
              <w:tabs>
                <w:tab w:val="left" w:pos="-1080"/>
              </w:tabs>
              <w:autoSpaceDE w:val="0"/>
              <w:autoSpaceDN w:val="0"/>
              <w:adjustRightInd w:val="0"/>
              <w:ind w:left="15"/>
              <w:jc w:val="center"/>
              <w:rPr>
                <w:del w:id="3452" w:author="AbbVie02no" w:date="2025-05-15T12:36:00Z"/>
                <w:sz w:val="22"/>
                <w:szCs w:val="22"/>
              </w:rPr>
            </w:pPr>
            <w:del w:id="3453" w:author="AbbVie02no" w:date="2025-05-15T12:36:00Z">
              <w:r w:rsidRPr="009C5EFD">
                <w:rPr>
                  <w:sz w:val="22"/>
                  <w:szCs w:val="22"/>
                </w:rPr>
                <w:delText>29,8 %</w:delText>
              </w:r>
            </w:del>
          </w:p>
        </w:tc>
        <w:tc>
          <w:tcPr>
            <w:tcW w:w="1140" w:type="dxa"/>
            <w:tcBorders>
              <w:top w:val="single" w:sz="6" w:space="0" w:color="000000"/>
              <w:left w:val="single" w:sz="6" w:space="0" w:color="000000"/>
              <w:bottom w:val="single" w:sz="6" w:space="0" w:color="000000"/>
              <w:right w:val="single" w:sz="6" w:space="0" w:color="000000"/>
            </w:tcBorders>
          </w:tcPr>
          <w:p w14:paraId="1DC1A6E2" w14:textId="7C281257" w:rsidR="002F0483" w:rsidRPr="009C5EFD" w:rsidRDefault="00E453CD" w:rsidP="002F0483">
            <w:pPr>
              <w:keepLines/>
              <w:tabs>
                <w:tab w:val="left" w:pos="-1080"/>
              </w:tabs>
              <w:autoSpaceDE w:val="0"/>
              <w:autoSpaceDN w:val="0"/>
              <w:adjustRightInd w:val="0"/>
              <w:ind w:left="15"/>
              <w:jc w:val="center"/>
              <w:rPr>
                <w:del w:id="3454" w:author="AbbVie02no" w:date="2025-05-15T12:36:00Z"/>
                <w:sz w:val="22"/>
                <w:szCs w:val="22"/>
              </w:rPr>
            </w:pPr>
            <w:del w:id="3455" w:author="AbbVie02no" w:date="2025-05-15T12:36:00Z">
              <w:r w:rsidRPr="009C5EFD">
                <w:rPr>
                  <w:sz w:val="22"/>
                  <w:szCs w:val="22"/>
                </w:rPr>
                <w:delText>0,983</w:delText>
              </w:r>
            </w:del>
          </w:p>
        </w:tc>
      </w:tr>
      <w:tr w:rsidR="004644D4" w14:paraId="74EDFD97" w14:textId="1CCCD4B8" w:rsidTr="002F0483">
        <w:trPr>
          <w:jc w:val="center"/>
          <w:del w:id="3456" w:author="AbbVie02no" w:date="2025-05-15T12:36:00Z"/>
        </w:trPr>
        <w:tc>
          <w:tcPr>
            <w:tcW w:w="4025" w:type="dxa"/>
            <w:tcBorders>
              <w:top w:val="single" w:sz="6" w:space="0" w:color="000000"/>
              <w:left w:val="single" w:sz="6" w:space="0" w:color="000000"/>
              <w:bottom w:val="single" w:sz="6" w:space="0" w:color="000000"/>
              <w:right w:val="single" w:sz="6" w:space="0" w:color="000000"/>
            </w:tcBorders>
          </w:tcPr>
          <w:p w14:paraId="1446B5C4" w14:textId="7C9BBED6" w:rsidR="002F0483" w:rsidRPr="009C5EFD" w:rsidRDefault="00E453CD" w:rsidP="002F0483">
            <w:pPr>
              <w:keepNext/>
              <w:keepLines/>
              <w:tabs>
                <w:tab w:val="left" w:pos="-1080"/>
              </w:tabs>
              <w:autoSpaceDE w:val="0"/>
              <w:autoSpaceDN w:val="0"/>
              <w:adjustRightInd w:val="0"/>
              <w:rPr>
                <w:del w:id="3457" w:author="AbbVie02no" w:date="2025-05-15T12:36:00Z"/>
                <w:b/>
                <w:bCs/>
                <w:sz w:val="22"/>
                <w:szCs w:val="22"/>
              </w:rPr>
            </w:pPr>
            <w:del w:id="3458" w:author="AbbVie02no" w:date="2025-05-15T12:36:00Z">
              <w:r w:rsidRPr="002C5CDB">
                <w:rPr>
                  <w:b/>
                  <w:sz w:val="22"/>
                  <w:szCs w:val="22"/>
                  <w:rPrChange w:id="3459" w:author="AbbVie05no" w:date="2025-05-19T10:32:00Z">
                    <w:rPr>
                      <w:b/>
                      <w:sz w:val="22"/>
                      <w:szCs w:val="22"/>
                      <w:lang w:val="en-GB"/>
                    </w:rPr>
                  </w:rPrChange>
                </w:rPr>
                <w:delText>Fistel remisjon</w:delText>
              </w:r>
              <w:r w:rsidRPr="002C5CDB">
                <w:rPr>
                  <w:b/>
                  <w:sz w:val="22"/>
                  <w:szCs w:val="22"/>
                  <w:vertAlign w:val="superscript"/>
                  <w:rPrChange w:id="3460" w:author="AbbVie05no" w:date="2025-05-19T10:32:00Z">
                    <w:rPr>
                      <w:b/>
                      <w:sz w:val="22"/>
                      <w:szCs w:val="22"/>
                      <w:vertAlign w:val="superscript"/>
                      <w:lang w:val="en-GB"/>
                    </w:rPr>
                  </w:rPrChange>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77B7E55C" w14:textId="3B1AF953" w:rsidR="002F0483" w:rsidRPr="009C5EFD" w:rsidRDefault="00E453CD" w:rsidP="002F0483">
            <w:pPr>
              <w:keepLines/>
              <w:tabs>
                <w:tab w:val="left" w:pos="-1080"/>
              </w:tabs>
              <w:autoSpaceDE w:val="0"/>
              <w:autoSpaceDN w:val="0"/>
              <w:adjustRightInd w:val="0"/>
              <w:ind w:left="15"/>
              <w:jc w:val="center"/>
              <w:rPr>
                <w:del w:id="3461" w:author="AbbVie02no" w:date="2025-05-15T12:36:00Z"/>
                <w:b/>
                <w:sz w:val="22"/>
                <w:szCs w:val="22"/>
              </w:rPr>
            </w:pPr>
            <w:del w:id="3462" w:author="AbbVie02no" w:date="2025-05-15T12:36:00Z">
              <w:r w:rsidRPr="009C5EFD">
                <w:rPr>
                  <w:b/>
                  <w:sz w:val="22"/>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64E6ED5C" w14:textId="4C3DF353" w:rsidR="002F0483" w:rsidRPr="009C5EFD" w:rsidRDefault="00E453CD" w:rsidP="002F0483">
            <w:pPr>
              <w:keepLines/>
              <w:tabs>
                <w:tab w:val="left" w:pos="-1080"/>
              </w:tabs>
              <w:autoSpaceDE w:val="0"/>
              <w:autoSpaceDN w:val="0"/>
              <w:adjustRightInd w:val="0"/>
              <w:ind w:left="15"/>
              <w:jc w:val="center"/>
              <w:rPr>
                <w:del w:id="3463" w:author="AbbVie02no" w:date="2025-05-15T12:36:00Z"/>
                <w:b/>
                <w:sz w:val="22"/>
                <w:szCs w:val="22"/>
              </w:rPr>
            </w:pPr>
            <w:del w:id="3464" w:author="AbbVie02no" w:date="2025-05-15T12:36:00Z">
              <w:r w:rsidRPr="009C5EFD">
                <w:rPr>
                  <w:b/>
                  <w:sz w:val="22"/>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0A2CD4D7" w14:textId="7FACA1EC" w:rsidR="002F0483" w:rsidRPr="009C5EFD" w:rsidRDefault="002F0483" w:rsidP="002F0483">
            <w:pPr>
              <w:keepLines/>
              <w:tabs>
                <w:tab w:val="left" w:pos="-1080"/>
              </w:tabs>
              <w:autoSpaceDE w:val="0"/>
              <w:autoSpaceDN w:val="0"/>
              <w:adjustRightInd w:val="0"/>
              <w:ind w:left="15"/>
              <w:jc w:val="center"/>
              <w:rPr>
                <w:del w:id="3465" w:author="AbbVie02no" w:date="2025-05-15T12:36:00Z"/>
                <w:sz w:val="22"/>
                <w:szCs w:val="22"/>
              </w:rPr>
            </w:pPr>
          </w:p>
        </w:tc>
      </w:tr>
      <w:tr w:rsidR="004644D4" w14:paraId="6BD95DA7" w14:textId="0AC033A0" w:rsidTr="002F0483">
        <w:trPr>
          <w:jc w:val="center"/>
          <w:del w:id="3466" w:author="AbbVie02no" w:date="2025-05-15T12:36:00Z"/>
        </w:trPr>
        <w:tc>
          <w:tcPr>
            <w:tcW w:w="4025" w:type="dxa"/>
            <w:tcBorders>
              <w:top w:val="single" w:sz="6" w:space="0" w:color="000000"/>
              <w:left w:val="single" w:sz="6" w:space="0" w:color="000000"/>
              <w:bottom w:val="single" w:sz="6" w:space="0" w:color="000000"/>
              <w:right w:val="single" w:sz="6" w:space="0" w:color="000000"/>
            </w:tcBorders>
          </w:tcPr>
          <w:p w14:paraId="6926809D" w14:textId="788B4E62" w:rsidR="002F0483" w:rsidRPr="009C5EFD" w:rsidRDefault="00E453CD" w:rsidP="002F0483">
            <w:pPr>
              <w:keepNext/>
              <w:keepLines/>
              <w:tabs>
                <w:tab w:val="left" w:pos="-1080"/>
              </w:tabs>
              <w:autoSpaceDE w:val="0"/>
              <w:autoSpaceDN w:val="0"/>
              <w:adjustRightInd w:val="0"/>
              <w:rPr>
                <w:del w:id="3467" w:author="AbbVie02no" w:date="2025-05-15T12:36:00Z"/>
                <w:bCs/>
                <w:sz w:val="22"/>
                <w:szCs w:val="22"/>
              </w:rPr>
            </w:pPr>
            <w:del w:id="3468" w:author="AbbVie02no" w:date="2025-05-15T12:36:00Z">
              <w:r w:rsidRPr="009C5EFD">
                <w:rPr>
                  <w:bCs/>
                  <w:sz w:val="22"/>
                  <w:szCs w:val="22"/>
                </w:rPr>
                <w:delText>Uke 26</w:delText>
              </w:r>
            </w:del>
          </w:p>
        </w:tc>
        <w:tc>
          <w:tcPr>
            <w:tcW w:w="1656" w:type="dxa"/>
            <w:tcBorders>
              <w:top w:val="single" w:sz="6" w:space="0" w:color="000000"/>
              <w:left w:val="single" w:sz="6" w:space="0" w:color="000000"/>
              <w:bottom w:val="single" w:sz="6" w:space="0" w:color="000000"/>
              <w:right w:val="single" w:sz="6" w:space="0" w:color="000000"/>
            </w:tcBorders>
          </w:tcPr>
          <w:p w14:paraId="0521037F" w14:textId="3F8988D3" w:rsidR="002F0483" w:rsidRPr="009C5EFD" w:rsidRDefault="00E453CD" w:rsidP="002F0483">
            <w:pPr>
              <w:keepLines/>
              <w:tabs>
                <w:tab w:val="left" w:pos="-1080"/>
              </w:tabs>
              <w:autoSpaceDE w:val="0"/>
              <w:autoSpaceDN w:val="0"/>
              <w:adjustRightInd w:val="0"/>
              <w:ind w:left="15"/>
              <w:jc w:val="center"/>
              <w:rPr>
                <w:del w:id="3469" w:author="AbbVie02no" w:date="2025-05-15T12:36:00Z"/>
                <w:sz w:val="22"/>
                <w:szCs w:val="22"/>
              </w:rPr>
            </w:pPr>
            <w:del w:id="3470" w:author="AbbVie02no" w:date="2025-05-15T12:36:00Z">
              <w:r w:rsidRPr="002C5CDB">
                <w:rPr>
                  <w:sz w:val="22"/>
                  <w:szCs w:val="22"/>
                  <w:rPrChange w:id="3471" w:author="AbbVie05no" w:date="2025-05-19T10:32:00Z">
                    <w:rPr>
                      <w:sz w:val="22"/>
                      <w:szCs w:val="22"/>
                      <w:lang w:val="en-GB"/>
                    </w:rPr>
                  </w:rPrChange>
                </w:rPr>
                <w:delText>46,7 %</w:delText>
              </w:r>
            </w:del>
          </w:p>
        </w:tc>
        <w:tc>
          <w:tcPr>
            <w:tcW w:w="1619" w:type="dxa"/>
            <w:tcBorders>
              <w:top w:val="single" w:sz="6" w:space="0" w:color="000000"/>
              <w:left w:val="single" w:sz="6" w:space="0" w:color="000000"/>
              <w:bottom w:val="single" w:sz="6" w:space="0" w:color="000000"/>
              <w:right w:val="single" w:sz="6" w:space="0" w:color="000000"/>
            </w:tcBorders>
          </w:tcPr>
          <w:p w14:paraId="5E8FC74C" w14:textId="798C2728" w:rsidR="002F0483" w:rsidRPr="009C5EFD" w:rsidRDefault="00E453CD" w:rsidP="002F0483">
            <w:pPr>
              <w:keepLines/>
              <w:tabs>
                <w:tab w:val="left" w:pos="-1080"/>
              </w:tabs>
              <w:autoSpaceDE w:val="0"/>
              <w:autoSpaceDN w:val="0"/>
              <w:adjustRightInd w:val="0"/>
              <w:ind w:left="15"/>
              <w:jc w:val="center"/>
              <w:rPr>
                <w:del w:id="3472" w:author="AbbVie02no" w:date="2025-05-15T12:36:00Z"/>
                <w:sz w:val="22"/>
                <w:szCs w:val="22"/>
              </w:rPr>
            </w:pPr>
            <w:del w:id="3473" w:author="AbbVie02no" w:date="2025-05-15T12:36:00Z">
              <w:r w:rsidRPr="002C5CDB">
                <w:rPr>
                  <w:sz w:val="22"/>
                  <w:szCs w:val="22"/>
                  <w:rPrChange w:id="3474" w:author="AbbVie05no" w:date="2025-05-19T10:32:00Z">
                    <w:rPr>
                      <w:sz w:val="22"/>
                      <w:szCs w:val="22"/>
                      <w:lang w:val="en-GB"/>
                    </w:rPr>
                  </w:rPrChange>
                </w:rPr>
                <w:delText>38,1 %</w:delText>
              </w:r>
            </w:del>
          </w:p>
        </w:tc>
        <w:tc>
          <w:tcPr>
            <w:tcW w:w="1140" w:type="dxa"/>
            <w:tcBorders>
              <w:top w:val="single" w:sz="6" w:space="0" w:color="000000"/>
              <w:left w:val="single" w:sz="6" w:space="0" w:color="000000"/>
              <w:bottom w:val="single" w:sz="6" w:space="0" w:color="000000"/>
              <w:right w:val="single" w:sz="6" w:space="0" w:color="000000"/>
            </w:tcBorders>
          </w:tcPr>
          <w:p w14:paraId="4CDD963C" w14:textId="4259D153" w:rsidR="002F0483" w:rsidRPr="009C5EFD" w:rsidRDefault="00E453CD" w:rsidP="002F0483">
            <w:pPr>
              <w:keepLines/>
              <w:tabs>
                <w:tab w:val="left" w:pos="-1080"/>
              </w:tabs>
              <w:autoSpaceDE w:val="0"/>
              <w:autoSpaceDN w:val="0"/>
              <w:adjustRightInd w:val="0"/>
              <w:ind w:left="15"/>
              <w:jc w:val="center"/>
              <w:rPr>
                <w:del w:id="3475" w:author="AbbVie02no" w:date="2025-05-15T12:36:00Z"/>
                <w:sz w:val="22"/>
                <w:szCs w:val="22"/>
              </w:rPr>
            </w:pPr>
            <w:del w:id="3476" w:author="AbbVie02no" w:date="2025-05-15T12:36:00Z">
              <w:r w:rsidRPr="002C5CDB">
                <w:rPr>
                  <w:sz w:val="22"/>
                  <w:szCs w:val="22"/>
                  <w:rPrChange w:id="3477" w:author="AbbVie05no" w:date="2025-05-19T10:32:00Z">
                    <w:rPr>
                      <w:sz w:val="22"/>
                      <w:szCs w:val="22"/>
                      <w:lang w:val="en-GB"/>
                    </w:rPr>
                  </w:rPrChange>
                </w:rPr>
                <w:delText>0,608</w:delText>
              </w:r>
            </w:del>
          </w:p>
        </w:tc>
      </w:tr>
      <w:tr w:rsidR="004644D4" w14:paraId="2E48381A" w14:textId="6A670D4E" w:rsidTr="002F0483">
        <w:trPr>
          <w:jc w:val="center"/>
          <w:del w:id="3478" w:author="AbbVie02no" w:date="2025-05-15T12:36:00Z"/>
        </w:trPr>
        <w:tc>
          <w:tcPr>
            <w:tcW w:w="4025" w:type="dxa"/>
            <w:tcBorders>
              <w:top w:val="single" w:sz="6" w:space="0" w:color="000000"/>
              <w:left w:val="single" w:sz="6" w:space="0" w:color="000000"/>
              <w:bottom w:val="single" w:sz="4" w:space="0" w:color="auto"/>
              <w:right w:val="single" w:sz="6" w:space="0" w:color="000000"/>
            </w:tcBorders>
          </w:tcPr>
          <w:p w14:paraId="0CEAB20D" w14:textId="4A7AA339" w:rsidR="002F0483" w:rsidRPr="009C5EFD" w:rsidRDefault="00E453CD" w:rsidP="002F0483">
            <w:pPr>
              <w:keepNext/>
              <w:keepLines/>
              <w:tabs>
                <w:tab w:val="left" w:pos="-1080"/>
              </w:tabs>
              <w:autoSpaceDE w:val="0"/>
              <w:autoSpaceDN w:val="0"/>
              <w:adjustRightInd w:val="0"/>
              <w:rPr>
                <w:del w:id="3479" w:author="AbbVie02no" w:date="2025-05-15T12:36:00Z"/>
                <w:bCs/>
                <w:sz w:val="22"/>
                <w:szCs w:val="22"/>
              </w:rPr>
            </w:pPr>
            <w:del w:id="3480" w:author="AbbVie02no" w:date="2025-05-15T12:36:00Z">
              <w:r w:rsidRPr="002C5CDB">
                <w:rPr>
                  <w:sz w:val="22"/>
                  <w:szCs w:val="22"/>
                  <w:rPrChange w:id="3481" w:author="AbbVie05no" w:date="2025-05-19T10:32:00Z">
                    <w:rPr>
                      <w:sz w:val="22"/>
                      <w:szCs w:val="22"/>
                      <w:lang w:val="en-GB"/>
                    </w:rPr>
                  </w:rPrChange>
                </w:rPr>
                <w:delText>Uke 52</w:delText>
              </w:r>
            </w:del>
          </w:p>
        </w:tc>
        <w:tc>
          <w:tcPr>
            <w:tcW w:w="1656" w:type="dxa"/>
            <w:tcBorders>
              <w:top w:val="single" w:sz="6" w:space="0" w:color="000000"/>
              <w:left w:val="single" w:sz="6" w:space="0" w:color="000000"/>
              <w:bottom w:val="single" w:sz="4" w:space="0" w:color="auto"/>
              <w:right w:val="single" w:sz="6" w:space="0" w:color="000000"/>
            </w:tcBorders>
          </w:tcPr>
          <w:p w14:paraId="22BD633B" w14:textId="41DB8A76" w:rsidR="002F0483" w:rsidRPr="002C5CDB" w:rsidRDefault="00E453CD" w:rsidP="002F0483">
            <w:pPr>
              <w:keepLines/>
              <w:tabs>
                <w:tab w:val="left" w:pos="-1080"/>
              </w:tabs>
              <w:autoSpaceDE w:val="0"/>
              <w:autoSpaceDN w:val="0"/>
              <w:adjustRightInd w:val="0"/>
              <w:ind w:left="15"/>
              <w:jc w:val="center"/>
              <w:rPr>
                <w:del w:id="3482" w:author="AbbVie02no" w:date="2025-05-15T12:36:00Z"/>
                <w:sz w:val="22"/>
                <w:szCs w:val="22"/>
                <w:rPrChange w:id="3483" w:author="AbbVie05no" w:date="2025-05-19T10:32:00Z">
                  <w:rPr>
                    <w:del w:id="3484" w:author="AbbVie02no" w:date="2025-05-15T12:36:00Z"/>
                    <w:sz w:val="22"/>
                    <w:szCs w:val="22"/>
                    <w:lang w:val="en-GB"/>
                  </w:rPr>
                </w:rPrChange>
              </w:rPr>
            </w:pPr>
            <w:del w:id="3485" w:author="AbbVie02no" w:date="2025-05-15T12:36:00Z">
              <w:r w:rsidRPr="002C5CDB">
                <w:rPr>
                  <w:sz w:val="22"/>
                  <w:szCs w:val="22"/>
                  <w:rPrChange w:id="3486" w:author="AbbVie05no" w:date="2025-05-19T10:32:00Z">
                    <w:rPr>
                      <w:sz w:val="22"/>
                      <w:szCs w:val="22"/>
                      <w:lang w:val="en-GB"/>
                    </w:rPr>
                  </w:rPrChange>
                </w:rPr>
                <w:delText>40,0 %</w:delText>
              </w:r>
            </w:del>
          </w:p>
        </w:tc>
        <w:tc>
          <w:tcPr>
            <w:tcW w:w="1619" w:type="dxa"/>
            <w:tcBorders>
              <w:top w:val="single" w:sz="6" w:space="0" w:color="000000"/>
              <w:left w:val="single" w:sz="6" w:space="0" w:color="000000"/>
              <w:bottom w:val="single" w:sz="4" w:space="0" w:color="auto"/>
              <w:right w:val="single" w:sz="6" w:space="0" w:color="000000"/>
            </w:tcBorders>
          </w:tcPr>
          <w:p w14:paraId="5694A559" w14:textId="3C97001A" w:rsidR="002F0483" w:rsidRPr="002C5CDB" w:rsidRDefault="00E453CD" w:rsidP="002F0483">
            <w:pPr>
              <w:keepLines/>
              <w:tabs>
                <w:tab w:val="left" w:pos="-1080"/>
              </w:tabs>
              <w:autoSpaceDE w:val="0"/>
              <w:autoSpaceDN w:val="0"/>
              <w:adjustRightInd w:val="0"/>
              <w:ind w:left="15"/>
              <w:jc w:val="center"/>
              <w:rPr>
                <w:del w:id="3487" w:author="AbbVie02no" w:date="2025-05-15T12:36:00Z"/>
                <w:sz w:val="22"/>
                <w:szCs w:val="22"/>
                <w:rPrChange w:id="3488" w:author="AbbVie05no" w:date="2025-05-19T10:32:00Z">
                  <w:rPr>
                    <w:del w:id="3489" w:author="AbbVie02no" w:date="2025-05-15T12:36:00Z"/>
                    <w:sz w:val="22"/>
                    <w:szCs w:val="22"/>
                    <w:lang w:val="en-GB"/>
                  </w:rPr>
                </w:rPrChange>
              </w:rPr>
            </w:pPr>
            <w:del w:id="3490" w:author="AbbVie02no" w:date="2025-05-15T12:36:00Z">
              <w:r w:rsidRPr="002C5CDB">
                <w:rPr>
                  <w:sz w:val="22"/>
                  <w:szCs w:val="22"/>
                  <w:rPrChange w:id="3491" w:author="AbbVie05no" w:date="2025-05-19T10:32:00Z">
                    <w:rPr>
                      <w:sz w:val="22"/>
                      <w:szCs w:val="22"/>
                      <w:lang w:val="en-GB"/>
                    </w:rPr>
                  </w:rPrChange>
                </w:rPr>
                <w:delText>23,8 %</w:delText>
              </w:r>
            </w:del>
          </w:p>
        </w:tc>
        <w:tc>
          <w:tcPr>
            <w:tcW w:w="1140" w:type="dxa"/>
            <w:tcBorders>
              <w:top w:val="single" w:sz="6" w:space="0" w:color="000000"/>
              <w:left w:val="single" w:sz="6" w:space="0" w:color="000000"/>
              <w:bottom w:val="single" w:sz="4" w:space="0" w:color="auto"/>
              <w:right w:val="single" w:sz="6" w:space="0" w:color="000000"/>
            </w:tcBorders>
          </w:tcPr>
          <w:p w14:paraId="1F983C26" w14:textId="774D4543" w:rsidR="002F0483" w:rsidRPr="002C5CDB" w:rsidRDefault="00E453CD" w:rsidP="002F0483">
            <w:pPr>
              <w:keepLines/>
              <w:tabs>
                <w:tab w:val="left" w:pos="-1080"/>
              </w:tabs>
              <w:autoSpaceDE w:val="0"/>
              <w:autoSpaceDN w:val="0"/>
              <w:adjustRightInd w:val="0"/>
              <w:ind w:left="15"/>
              <w:jc w:val="center"/>
              <w:rPr>
                <w:del w:id="3492" w:author="AbbVie02no" w:date="2025-05-15T12:36:00Z"/>
                <w:sz w:val="22"/>
                <w:szCs w:val="22"/>
                <w:rPrChange w:id="3493" w:author="AbbVie05no" w:date="2025-05-19T10:32:00Z">
                  <w:rPr>
                    <w:del w:id="3494" w:author="AbbVie02no" w:date="2025-05-15T12:36:00Z"/>
                    <w:sz w:val="22"/>
                    <w:szCs w:val="22"/>
                    <w:lang w:val="en-GB"/>
                  </w:rPr>
                </w:rPrChange>
              </w:rPr>
            </w:pPr>
            <w:del w:id="3495" w:author="AbbVie02no" w:date="2025-05-15T12:36:00Z">
              <w:r w:rsidRPr="002C5CDB">
                <w:rPr>
                  <w:sz w:val="22"/>
                  <w:szCs w:val="22"/>
                  <w:rPrChange w:id="3496" w:author="AbbVie05no" w:date="2025-05-19T10:32:00Z">
                    <w:rPr>
                      <w:sz w:val="22"/>
                      <w:szCs w:val="22"/>
                      <w:lang w:val="en-GB"/>
                    </w:rPr>
                  </w:rPrChange>
                </w:rPr>
                <w:delText>0,303</w:delText>
              </w:r>
            </w:del>
          </w:p>
        </w:tc>
      </w:tr>
      <w:tr w:rsidR="004644D4" w14:paraId="5D45110E" w14:textId="1476647D" w:rsidTr="002F0483">
        <w:trPr>
          <w:trHeight w:val="177"/>
          <w:jc w:val="center"/>
          <w:del w:id="3497" w:author="AbbVie02no" w:date="2025-05-15T12:36:00Z"/>
        </w:trPr>
        <w:tc>
          <w:tcPr>
            <w:tcW w:w="8440" w:type="dxa"/>
            <w:gridSpan w:val="4"/>
            <w:tcBorders>
              <w:top w:val="single" w:sz="4" w:space="0" w:color="auto"/>
            </w:tcBorders>
          </w:tcPr>
          <w:p w14:paraId="239CFD10" w14:textId="654297B4" w:rsidR="002F0483" w:rsidRPr="009C5EFD" w:rsidRDefault="00E453CD" w:rsidP="002F0483">
            <w:pPr>
              <w:keepLines/>
              <w:tabs>
                <w:tab w:val="left" w:pos="-1080"/>
              </w:tabs>
              <w:autoSpaceDE w:val="0"/>
              <w:autoSpaceDN w:val="0"/>
              <w:adjustRightInd w:val="0"/>
              <w:rPr>
                <w:del w:id="3498" w:author="AbbVie02no" w:date="2025-05-15T12:36:00Z"/>
                <w:sz w:val="22"/>
                <w:szCs w:val="22"/>
              </w:rPr>
            </w:pPr>
            <w:del w:id="3499" w:author="AbbVie02no" w:date="2025-05-15T12:36:00Z">
              <w:r w:rsidRPr="009C5EFD">
                <w:rPr>
                  <w:sz w:val="22"/>
                  <w:szCs w:val="22"/>
                  <w:vertAlign w:val="superscript"/>
                </w:rPr>
                <w:delText>1</w:delText>
              </w:r>
              <w:r w:rsidRPr="009C5EFD">
                <w:rPr>
                  <w:sz w:val="22"/>
                  <w:szCs w:val="22"/>
                </w:rPr>
                <w:delText xml:space="preserve">  p-verdi for standard dose </w:delText>
              </w:r>
              <w:r w:rsidRPr="009C5EFD">
                <w:rPr>
                  <w:i/>
                  <w:iCs/>
                  <w:sz w:val="22"/>
                  <w:szCs w:val="22"/>
                </w:rPr>
                <w:delText>versus</w:delText>
              </w:r>
              <w:r w:rsidRPr="009C5EFD">
                <w:rPr>
                  <w:sz w:val="22"/>
                  <w:szCs w:val="22"/>
                </w:rPr>
                <w:delText xml:space="preserve"> lav dose sammenligning.</w:delText>
              </w:r>
            </w:del>
          </w:p>
          <w:p w14:paraId="58A50A74" w14:textId="7D31558B" w:rsidR="002F0483" w:rsidRPr="009C5EFD" w:rsidRDefault="00E453CD" w:rsidP="002F0483">
            <w:pPr>
              <w:keepLines/>
              <w:tabs>
                <w:tab w:val="left" w:pos="-1080"/>
              </w:tabs>
              <w:autoSpaceDE w:val="0"/>
              <w:autoSpaceDN w:val="0"/>
              <w:adjustRightInd w:val="0"/>
              <w:rPr>
                <w:del w:id="3500" w:author="AbbVie02no" w:date="2025-05-15T12:36:00Z"/>
                <w:sz w:val="22"/>
                <w:szCs w:val="22"/>
              </w:rPr>
            </w:pPr>
            <w:del w:id="3501" w:author="AbbVie02no" w:date="2025-05-15T12:36:00Z">
              <w:r w:rsidRPr="009C5EFD">
                <w:rPr>
                  <w:sz w:val="22"/>
                  <w:szCs w:val="22"/>
                  <w:vertAlign w:val="superscript"/>
                </w:rPr>
                <w:delText>2</w:delText>
              </w:r>
              <w:r w:rsidRPr="009C5EFD">
                <w:rPr>
                  <w:sz w:val="22"/>
                  <w:szCs w:val="22"/>
                </w:rPr>
                <w:delText xml:space="preserve">  Immunsuppressiv behandling kunne bare bli seponert ved eller etter uke 26 ved utprøvers diskresjon hvis pasienten oppfylte kriteriet for klinisk respons </w:delText>
              </w:r>
            </w:del>
          </w:p>
          <w:p w14:paraId="4E8EF475" w14:textId="24315AD5" w:rsidR="002F0483" w:rsidRPr="009C5EFD" w:rsidRDefault="00E453CD" w:rsidP="002F0483">
            <w:pPr>
              <w:keepLines/>
              <w:tabs>
                <w:tab w:val="left" w:pos="-1080"/>
              </w:tabs>
              <w:autoSpaceDE w:val="0"/>
              <w:autoSpaceDN w:val="0"/>
              <w:adjustRightInd w:val="0"/>
              <w:rPr>
                <w:del w:id="3502" w:author="AbbVie02no" w:date="2025-05-15T12:36:00Z"/>
                <w:sz w:val="22"/>
                <w:szCs w:val="22"/>
              </w:rPr>
            </w:pPr>
            <w:del w:id="3503" w:author="AbbVie02no" w:date="2025-05-15T12:36:00Z">
              <w:r w:rsidRPr="009C5EFD">
                <w:rPr>
                  <w:sz w:val="22"/>
                  <w:szCs w:val="22"/>
                  <w:vertAlign w:val="superscript"/>
                </w:rPr>
                <w:delText>3</w:delText>
              </w:r>
              <w:r w:rsidRPr="009C5EFD">
                <w:rPr>
                  <w:sz w:val="22"/>
                  <w:szCs w:val="22"/>
                </w:rPr>
                <w:delText xml:space="preserve">  definert som en lukking av alle fistler som ble drenert ved baseline på minst 2 påfølgende post-baseline besøk</w:delText>
              </w:r>
            </w:del>
          </w:p>
        </w:tc>
      </w:tr>
    </w:tbl>
    <w:p w14:paraId="3DAC3D26" w14:textId="1CF9D159" w:rsidR="002F0483" w:rsidRPr="007F67EE" w:rsidRDefault="002F0483" w:rsidP="002F0483">
      <w:pPr>
        <w:pStyle w:val="Heading8"/>
        <w:keepNext w:val="0"/>
        <w:rPr>
          <w:del w:id="3504" w:author="AbbVie02no" w:date="2025-05-15T12:36:00Z"/>
          <w:szCs w:val="22"/>
        </w:rPr>
      </w:pPr>
    </w:p>
    <w:p w14:paraId="13B2A656" w14:textId="48F0D92B" w:rsidR="002F0483" w:rsidRPr="00193D76" w:rsidRDefault="00E453CD" w:rsidP="002F0483">
      <w:pPr>
        <w:pStyle w:val="Heading8"/>
        <w:keepNext w:val="0"/>
        <w:rPr>
          <w:del w:id="3505" w:author="AbbVie02no" w:date="2025-05-15T12:36:00Z"/>
          <w:szCs w:val="22"/>
          <w:u w:val="none"/>
        </w:rPr>
      </w:pPr>
      <w:del w:id="3506" w:author="AbbVie02no" w:date="2025-05-15T12:36:00Z">
        <w:r w:rsidRPr="007F67EE">
          <w:rPr>
            <w:szCs w:val="22"/>
            <w:u w:val="none"/>
          </w:rPr>
          <w:delText>S</w:delText>
        </w:r>
        <w:r w:rsidRPr="00193D76">
          <w:rPr>
            <w:szCs w:val="22"/>
            <w:u w:val="none"/>
          </w:rPr>
          <w:delText>tatistisk signifikant økning (forbedring) fra baseline til uke 26 og 52 i Body Mass Index og veksthastighet ble observert for begge behandlingsgrupper.</w:delText>
        </w:r>
      </w:del>
    </w:p>
    <w:p w14:paraId="47A3E850" w14:textId="5AC81D50" w:rsidR="002F0483" w:rsidRPr="002D0790" w:rsidRDefault="002F0483" w:rsidP="002F0483">
      <w:pPr>
        <w:pStyle w:val="Heading8"/>
        <w:keepNext w:val="0"/>
        <w:rPr>
          <w:del w:id="3507" w:author="AbbVie02no" w:date="2025-05-15T12:36:00Z"/>
          <w:szCs w:val="22"/>
          <w:u w:val="none"/>
        </w:rPr>
      </w:pPr>
    </w:p>
    <w:p w14:paraId="7614324E" w14:textId="342EE564" w:rsidR="002F0483" w:rsidRDefault="00E453CD" w:rsidP="002F0483">
      <w:pPr>
        <w:pStyle w:val="Heading8"/>
        <w:keepNext w:val="0"/>
        <w:rPr>
          <w:del w:id="3508" w:author="AbbVie02no" w:date="2025-05-15T12:36:00Z"/>
          <w:szCs w:val="22"/>
          <w:u w:val="none"/>
        </w:rPr>
      </w:pPr>
      <w:del w:id="3509" w:author="AbbVie02no" w:date="2025-05-15T12:36:00Z">
        <w:r w:rsidRPr="002D0790">
          <w:rPr>
            <w:szCs w:val="22"/>
            <w:u w:val="none"/>
          </w:rPr>
          <w:delText>Statistisk og klinisk signifikant forbedring fra baseline ble også observert i begge behandlingsgrupper</w:delText>
        </w:r>
        <w:r w:rsidRPr="00E14E58">
          <w:rPr>
            <w:szCs w:val="22"/>
            <w:u w:val="none"/>
          </w:rPr>
          <w:delText xml:space="preserve"> for parametre innen livskvalitet (inkludert IMPACT III).</w:delText>
        </w:r>
      </w:del>
    </w:p>
    <w:p w14:paraId="7FDAD417" w14:textId="0622F38A" w:rsidR="002F0483" w:rsidRDefault="002F0483" w:rsidP="002F0483">
      <w:pPr>
        <w:rPr>
          <w:del w:id="3510" w:author="AbbVie02no" w:date="2025-05-15T12:36:00Z"/>
        </w:rPr>
      </w:pPr>
    </w:p>
    <w:p w14:paraId="09077D01" w14:textId="6A427100" w:rsidR="002F0483" w:rsidRPr="001440C4" w:rsidRDefault="00E453CD" w:rsidP="002F0483">
      <w:pPr>
        <w:rPr>
          <w:del w:id="3511" w:author="AbbVie02no" w:date="2025-05-15T12:36:00Z"/>
          <w:szCs w:val="22"/>
        </w:rPr>
      </w:pPr>
      <w:del w:id="3512" w:author="AbbVie02no" w:date="2025-05-15T12:36:00Z">
        <w:r w:rsidRPr="00DD19BD">
          <w:rPr>
            <w:sz w:val="22"/>
            <w:szCs w:val="22"/>
          </w:rPr>
          <w:delText xml:space="preserve">Ett hundre pasienter (n=100) </w:delText>
        </w:r>
        <w:r>
          <w:rPr>
            <w:sz w:val="22"/>
            <w:szCs w:val="22"/>
          </w:rPr>
          <w:delText>fra</w:delText>
        </w:r>
        <w:r w:rsidRPr="00DD19BD">
          <w:rPr>
            <w:sz w:val="22"/>
            <w:szCs w:val="22"/>
          </w:rPr>
          <w:delText xml:space="preserve"> Pediatrisk CD</w:delText>
        </w:r>
        <w:r>
          <w:rPr>
            <w:sz w:val="22"/>
            <w:szCs w:val="22"/>
          </w:rPr>
          <w:delText xml:space="preserve"> </w:delText>
        </w:r>
        <w:r w:rsidRPr="00DD19BD">
          <w:rPr>
            <w:sz w:val="22"/>
            <w:szCs w:val="22"/>
          </w:rPr>
          <w:delText>studie</w:delText>
        </w:r>
        <w:r>
          <w:rPr>
            <w:sz w:val="22"/>
            <w:szCs w:val="22"/>
          </w:rPr>
          <w:delText>n</w:delText>
        </w:r>
        <w:r w:rsidRPr="00DD19BD">
          <w:rPr>
            <w:sz w:val="22"/>
            <w:szCs w:val="22"/>
          </w:rPr>
          <w:delText xml:space="preserve"> fortsatte i en </w:delText>
        </w:r>
        <w:r>
          <w:rPr>
            <w:sz w:val="22"/>
            <w:szCs w:val="22"/>
          </w:rPr>
          <w:delText>åpen,</w:delText>
        </w:r>
        <w:r w:rsidRPr="00DD19BD">
          <w:rPr>
            <w:sz w:val="22"/>
            <w:szCs w:val="22"/>
          </w:rPr>
          <w:delText xml:space="preserve"> langtids</w:delText>
        </w:r>
        <w:r>
          <w:rPr>
            <w:sz w:val="22"/>
            <w:szCs w:val="22"/>
          </w:rPr>
          <w:delText>-,</w:delText>
        </w:r>
        <w:r w:rsidRPr="00DD19BD">
          <w:rPr>
            <w:sz w:val="22"/>
            <w:szCs w:val="22"/>
          </w:rPr>
          <w:delText xml:space="preserve"> forlengelsesstudie. Etter 5 år med adalimumab-behandling var 74 % (37/50) av de 50 gjenværende </w:delText>
        </w:r>
        <w:r>
          <w:rPr>
            <w:sz w:val="22"/>
            <w:szCs w:val="22"/>
          </w:rPr>
          <w:delText>pasientene</w:delText>
        </w:r>
        <w:r w:rsidRPr="003C22B9">
          <w:rPr>
            <w:sz w:val="22"/>
            <w:szCs w:val="22"/>
          </w:rPr>
          <w:delText xml:space="preserve"> </w:delText>
        </w:r>
        <w:r w:rsidRPr="00DD19BD">
          <w:rPr>
            <w:sz w:val="22"/>
            <w:szCs w:val="22"/>
          </w:rPr>
          <w:delText>i studien for</w:delText>
        </w:r>
        <w:r>
          <w:rPr>
            <w:sz w:val="22"/>
            <w:szCs w:val="22"/>
          </w:rPr>
          <w:delText>t</w:delText>
        </w:r>
        <w:r w:rsidRPr="00DD19BD">
          <w:rPr>
            <w:sz w:val="22"/>
            <w:szCs w:val="22"/>
          </w:rPr>
          <w:delText>satt i klinisk remisjon og 92 % (46/50) av pasientene for</w:delText>
        </w:r>
        <w:r>
          <w:rPr>
            <w:sz w:val="22"/>
            <w:szCs w:val="22"/>
          </w:rPr>
          <w:delText>t</w:delText>
        </w:r>
        <w:r w:rsidRPr="00DD19BD">
          <w:rPr>
            <w:sz w:val="22"/>
            <w:szCs w:val="22"/>
          </w:rPr>
          <w:delText xml:space="preserve">satte å ha klinisk respons per PCDAI. </w:delText>
        </w:r>
      </w:del>
    </w:p>
    <w:p w14:paraId="7F535292" w14:textId="11F5F00F" w:rsidR="002F0483" w:rsidRPr="009C5EFD" w:rsidRDefault="002F0483" w:rsidP="002F0483">
      <w:pPr>
        <w:pStyle w:val="Heading8"/>
        <w:keepNext w:val="0"/>
        <w:rPr>
          <w:del w:id="3513" w:author="AbbVie02no" w:date="2025-05-15T12:36:00Z"/>
          <w:szCs w:val="22"/>
        </w:rPr>
      </w:pPr>
    </w:p>
    <w:p w14:paraId="3A93A89F" w14:textId="6491673B" w:rsidR="00EF5F5C" w:rsidRPr="00E04B2A" w:rsidRDefault="00E453CD" w:rsidP="00EF5F5C">
      <w:pPr>
        <w:keepNext/>
        <w:rPr>
          <w:del w:id="3514" w:author="AbbVie02no" w:date="2025-05-15T12:36:00Z"/>
          <w:bCs/>
          <w:i/>
          <w:sz w:val="22"/>
        </w:rPr>
      </w:pPr>
      <w:del w:id="3515" w:author="AbbVie02no" w:date="2025-05-15T12:36:00Z">
        <w:r w:rsidRPr="00E04B2A">
          <w:rPr>
            <w:i/>
            <w:sz w:val="22"/>
          </w:rPr>
          <w:delText>Pediatrisk ulcerøs kolitt</w:delText>
        </w:r>
      </w:del>
    </w:p>
    <w:p w14:paraId="4DB89FB9" w14:textId="39323EBE" w:rsidR="00EF5F5C" w:rsidRPr="00E04B2A" w:rsidRDefault="00EF5F5C" w:rsidP="00EF5F5C">
      <w:pPr>
        <w:keepNext/>
        <w:rPr>
          <w:del w:id="3516" w:author="AbbVie02no" w:date="2025-05-15T12:36:00Z"/>
          <w:bCs/>
          <w:i/>
          <w:sz w:val="22"/>
        </w:rPr>
      </w:pPr>
    </w:p>
    <w:p w14:paraId="3ED44C61" w14:textId="64CA42DF" w:rsidR="0015674E" w:rsidRPr="00E04B2A" w:rsidRDefault="00E453CD" w:rsidP="0015674E">
      <w:pPr>
        <w:rPr>
          <w:del w:id="3517" w:author="AbbVie02no" w:date="2025-05-15T12:36:00Z"/>
          <w:sz w:val="22"/>
        </w:rPr>
      </w:pPr>
      <w:del w:id="3518" w:author="AbbVie02no" w:date="2025-05-15T12:36:00Z">
        <w:r w:rsidRPr="00E04B2A">
          <w:rPr>
            <w:sz w:val="22"/>
          </w:rPr>
          <w:delText xml:space="preserve">Sikkerhet og effekt av Humira ble vurdert i en </w:delText>
        </w:r>
        <w:r>
          <w:rPr>
            <w:sz w:val="22"/>
          </w:rPr>
          <w:delText xml:space="preserve">multisenter, </w:delText>
        </w:r>
        <w:r w:rsidRPr="00E04B2A">
          <w:rPr>
            <w:sz w:val="22"/>
          </w:rPr>
          <w:delText>randomisert, dobbeltblind</w:delText>
        </w:r>
        <w:r>
          <w:rPr>
            <w:sz w:val="22"/>
          </w:rPr>
          <w:delText xml:space="preserve">et </w:delText>
        </w:r>
        <w:r w:rsidRPr="00E04B2A">
          <w:rPr>
            <w:sz w:val="22"/>
          </w:rPr>
          <w:delText>studie hos 93 pediatriske pasienter fra 5 til 17 år med moderat til alvorlig ulcerøs kolitt (Mayo</w:delText>
        </w:r>
        <w:r>
          <w:rPr>
            <w:sz w:val="22"/>
          </w:rPr>
          <w:delText xml:space="preserve"> </w:delText>
        </w:r>
        <w:r w:rsidRPr="00E04B2A">
          <w:rPr>
            <w:sz w:val="22"/>
          </w:rPr>
          <w:delText>score 6 til 12 med endoskopi</w:delText>
        </w:r>
        <w:r w:rsidRPr="004F50D5">
          <w:rPr>
            <w:sz w:val="22"/>
          </w:rPr>
          <w:delText xml:space="preserve"> subscore</w:delText>
        </w:r>
        <w:r w:rsidRPr="00E04B2A">
          <w:rPr>
            <w:sz w:val="22"/>
          </w:rPr>
          <w:delText xml:space="preserve"> på 2 til 3 poeng,</w:delText>
        </w:r>
        <w:r>
          <w:rPr>
            <w:sz w:val="22"/>
          </w:rPr>
          <w:delText xml:space="preserve"> </w:delText>
        </w:r>
        <w:r w:rsidRPr="00E04B2A">
          <w:rPr>
            <w:sz w:val="22"/>
          </w:rPr>
          <w:delText xml:space="preserve">bekreftet </w:delText>
        </w:r>
        <w:r>
          <w:rPr>
            <w:sz w:val="22"/>
          </w:rPr>
          <w:delText>etter</w:delText>
        </w:r>
        <w:r w:rsidRPr="00E04B2A">
          <w:rPr>
            <w:sz w:val="22"/>
          </w:rPr>
          <w:delText xml:space="preserve"> </w:delText>
        </w:r>
        <w:r w:rsidRPr="00226E80">
          <w:rPr>
            <w:sz w:val="22"/>
          </w:rPr>
          <w:delText>sentral</w:delText>
        </w:r>
        <w:r>
          <w:rPr>
            <w:sz w:val="22"/>
          </w:rPr>
          <w:delText xml:space="preserve"> vurdering av</w:delText>
        </w:r>
        <w:r w:rsidRPr="00226E80">
          <w:rPr>
            <w:sz w:val="22"/>
          </w:rPr>
          <w:delText xml:space="preserve"> endoskopi</w:delText>
        </w:r>
        <w:r>
          <w:rPr>
            <w:sz w:val="22"/>
          </w:rPr>
          <w:delText>en</w:delText>
        </w:r>
        <w:r w:rsidRPr="00E04B2A">
          <w:rPr>
            <w:sz w:val="22"/>
          </w:rPr>
          <w:delText xml:space="preserve">) som hadde en utilstrekkelig respons eller intoleranse </w:delText>
        </w:r>
        <w:r>
          <w:rPr>
            <w:sz w:val="22"/>
          </w:rPr>
          <w:delText>overfor</w:delText>
        </w:r>
        <w:r w:rsidRPr="00E04B2A">
          <w:rPr>
            <w:sz w:val="22"/>
          </w:rPr>
          <w:delText xml:space="preserve"> konvensjonell behandling. Omtrent 16 % av pasientene i studien hadde </w:delText>
        </w:r>
        <w:r>
          <w:rPr>
            <w:sz w:val="22"/>
          </w:rPr>
          <w:delText>mislyktes</w:delText>
        </w:r>
        <w:r w:rsidRPr="00E04B2A">
          <w:rPr>
            <w:sz w:val="22"/>
          </w:rPr>
          <w:delText xml:space="preserve"> tidligere anti-TNF</w:delText>
        </w:r>
        <w:r>
          <w:rPr>
            <w:sz w:val="22"/>
          </w:rPr>
          <w:delText xml:space="preserve"> </w:delText>
        </w:r>
        <w:r w:rsidRPr="00E04B2A">
          <w:rPr>
            <w:sz w:val="22"/>
          </w:rPr>
          <w:delText xml:space="preserve">behandling. Pasienter som </w:delText>
        </w:r>
        <w:r>
          <w:rPr>
            <w:sz w:val="22"/>
          </w:rPr>
          <w:delText>fikk</w:delText>
        </w:r>
        <w:r w:rsidRPr="00E04B2A">
          <w:rPr>
            <w:sz w:val="22"/>
          </w:rPr>
          <w:delText xml:space="preserve"> kortikosteroider </w:delText>
        </w:r>
        <w:r w:rsidRPr="004F50D5">
          <w:rPr>
            <w:sz w:val="22"/>
          </w:rPr>
          <w:delText>ved studiestart kunne gradvis redusere kortikosteroidbehandlingen etter uke 4.</w:delText>
        </w:r>
      </w:del>
    </w:p>
    <w:p w14:paraId="71830CB6" w14:textId="3E745448" w:rsidR="0015674E" w:rsidRPr="00E04B2A" w:rsidRDefault="0015674E" w:rsidP="0015674E">
      <w:pPr>
        <w:rPr>
          <w:del w:id="3519" w:author="AbbVie02no" w:date="2025-05-15T12:36:00Z"/>
          <w:sz w:val="22"/>
        </w:rPr>
      </w:pPr>
    </w:p>
    <w:p w14:paraId="4B8B9C66" w14:textId="33209293" w:rsidR="0015674E" w:rsidRPr="00E04B2A" w:rsidRDefault="00E453CD" w:rsidP="0015674E">
      <w:pPr>
        <w:rPr>
          <w:del w:id="3520" w:author="AbbVie02no" w:date="2025-05-15T12:36:00Z"/>
          <w:rStyle w:val="eop"/>
          <w:sz w:val="22"/>
          <w:shd w:val="clear" w:color="auto" w:fill="FFFFFF"/>
        </w:rPr>
      </w:pPr>
      <w:del w:id="3521" w:author="AbbVie02no" w:date="2025-05-15T12:36:00Z">
        <w:r>
          <w:rPr>
            <w:rStyle w:val="normaltextrun"/>
            <w:sz w:val="22"/>
            <w:shd w:val="clear" w:color="auto" w:fill="FFFFFF"/>
          </w:rPr>
          <w:lastRenderedPageBreak/>
          <w:delText>Under</w:delText>
        </w:r>
        <w:r w:rsidRPr="00E04B2A">
          <w:rPr>
            <w:rStyle w:val="normaltextrun"/>
            <w:sz w:val="22"/>
            <w:shd w:val="clear" w:color="auto" w:fill="FFFFFF"/>
          </w:rPr>
          <w:delText xml:space="preserve"> </w:delText>
        </w:r>
        <w:r>
          <w:rPr>
            <w:rStyle w:val="normaltextrun"/>
            <w:sz w:val="22"/>
            <w:shd w:val="clear" w:color="auto" w:fill="FFFFFF"/>
          </w:rPr>
          <w:delText xml:space="preserve">studiens </w:delText>
        </w:r>
        <w:r w:rsidRPr="00E04B2A">
          <w:rPr>
            <w:rStyle w:val="normaltextrun"/>
            <w:sz w:val="22"/>
            <w:shd w:val="clear" w:color="auto" w:fill="FFFFFF"/>
          </w:rPr>
          <w:delText xml:space="preserve">induksjonsperiode ble 77 pasienter randomisert 3:2 </w:delText>
        </w:r>
        <w:r>
          <w:rPr>
            <w:rStyle w:val="normaltextrun"/>
            <w:sz w:val="22"/>
            <w:shd w:val="clear" w:color="auto" w:fill="FFFFFF"/>
          </w:rPr>
          <w:delText>til</w:delText>
        </w:r>
        <w:r w:rsidRPr="00E04B2A">
          <w:rPr>
            <w:rStyle w:val="normaltextrun"/>
            <w:sz w:val="22"/>
            <w:shd w:val="clear" w:color="auto" w:fill="FFFFFF"/>
          </w:rPr>
          <w:delText xml:space="preserve"> dobbeltblind</w:delText>
        </w:r>
        <w:r>
          <w:rPr>
            <w:rStyle w:val="normaltextrun"/>
            <w:sz w:val="22"/>
            <w:shd w:val="clear" w:color="auto" w:fill="FFFFFF"/>
          </w:rPr>
          <w:delText>et</w:delText>
        </w:r>
        <w:r w:rsidRPr="00E04B2A">
          <w:rPr>
            <w:rStyle w:val="normaltextrun"/>
            <w:sz w:val="22"/>
            <w:shd w:val="clear" w:color="auto" w:fill="FFFFFF"/>
          </w:rPr>
          <w:delText xml:space="preserve"> behandling med Humira </w:delText>
        </w:r>
        <w:r>
          <w:rPr>
            <w:rStyle w:val="normaltextrun"/>
            <w:sz w:val="22"/>
            <w:shd w:val="clear" w:color="auto" w:fill="FFFFFF"/>
          </w:rPr>
          <w:delText>med</w:delText>
        </w:r>
        <w:r w:rsidRPr="00E04B2A">
          <w:rPr>
            <w:rStyle w:val="normaltextrun"/>
            <w:sz w:val="22"/>
            <w:shd w:val="clear" w:color="auto" w:fill="FFFFFF"/>
          </w:rPr>
          <w:delText xml:space="preserve"> induksjonsdose på 2,4</w:delText>
        </w:r>
        <w:r>
          <w:rPr>
            <w:rStyle w:val="normaltextrun"/>
            <w:sz w:val="22"/>
            <w:shd w:val="clear" w:color="auto" w:fill="FFFFFF"/>
          </w:rPr>
          <w:delText> </w:delText>
        </w:r>
        <w:r w:rsidRPr="00E04B2A">
          <w:rPr>
            <w:rStyle w:val="normaltextrun"/>
            <w:sz w:val="22"/>
            <w:shd w:val="clear" w:color="auto" w:fill="FFFFFF"/>
          </w:rPr>
          <w:delText>mg/kg (maksimalt 160</w:delText>
        </w:r>
        <w:r>
          <w:rPr>
            <w:rStyle w:val="normaltextrun"/>
            <w:sz w:val="22"/>
            <w:shd w:val="clear" w:color="auto" w:fill="FFFFFF"/>
          </w:rPr>
          <w:delText> </w:delText>
        </w:r>
        <w:r w:rsidRPr="00E04B2A">
          <w:rPr>
            <w:rStyle w:val="normaltextrun"/>
            <w:sz w:val="22"/>
            <w:shd w:val="clear" w:color="auto" w:fill="FFFFFF"/>
          </w:rPr>
          <w:delText>mg) i uke 0 og uke 1 og 1,2</w:delText>
        </w:r>
        <w:r>
          <w:rPr>
            <w:rStyle w:val="normaltextrun"/>
            <w:sz w:val="22"/>
            <w:shd w:val="clear" w:color="auto" w:fill="FFFFFF"/>
          </w:rPr>
          <w:delText> </w:delText>
        </w:r>
        <w:r w:rsidRPr="00E04B2A">
          <w:rPr>
            <w:rStyle w:val="normaltextrun"/>
            <w:sz w:val="22"/>
            <w:shd w:val="clear" w:color="auto" w:fill="FFFFFF"/>
          </w:rPr>
          <w:delText>mg/kg (maksimalt 80</w:delText>
        </w:r>
        <w:r>
          <w:rPr>
            <w:rStyle w:val="normaltextrun"/>
            <w:sz w:val="22"/>
            <w:shd w:val="clear" w:color="auto" w:fill="FFFFFF"/>
          </w:rPr>
          <w:delText> </w:delText>
        </w:r>
        <w:r w:rsidRPr="00E04B2A">
          <w:rPr>
            <w:rStyle w:val="normaltextrun"/>
            <w:sz w:val="22"/>
            <w:shd w:val="clear" w:color="auto" w:fill="FFFFFF"/>
          </w:rPr>
          <w:delText>mg) i uke 2</w:delText>
        </w:r>
        <w:r>
          <w:rPr>
            <w:rStyle w:val="normaltextrun"/>
            <w:sz w:val="22"/>
            <w:shd w:val="clear" w:color="auto" w:fill="FFFFFF"/>
          </w:rPr>
          <w:delText>,</w:delText>
        </w:r>
        <w:r w:rsidRPr="00E04B2A">
          <w:rPr>
            <w:rStyle w:val="normaltextrun"/>
            <w:sz w:val="22"/>
            <w:shd w:val="clear" w:color="auto" w:fill="FFFFFF"/>
          </w:rPr>
          <w:delText xml:space="preserve"> eller en induksjonsdose på 2,4</w:delText>
        </w:r>
        <w:r>
          <w:rPr>
            <w:rStyle w:val="normaltextrun"/>
            <w:sz w:val="22"/>
            <w:shd w:val="clear" w:color="auto" w:fill="FFFFFF"/>
          </w:rPr>
          <w:delText> </w:delText>
        </w:r>
        <w:r w:rsidRPr="00E04B2A">
          <w:rPr>
            <w:rStyle w:val="normaltextrun"/>
            <w:sz w:val="22"/>
            <w:shd w:val="clear" w:color="auto" w:fill="FFFFFF"/>
          </w:rPr>
          <w:delText>mg/kg (</w:delText>
        </w:r>
        <w:r>
          <w:rPr>
            <w:rStyle w:val="normaltextrun"/>
            <w:sz w:val="22"/>
            <w:shd w:val="clear" w:color="auto" w:fill="FFFFFF"/>
          </w:rPr>
          <w:delText>maksimalt</w:delText>
        </w:r>
        <w:r w:rsidRPr="00E04B2A">
          <w:rPr>
            <w:rStyle w:val="normaltextrun"/>
            <w:sz w:val="22"/>
            <w:shd w:val="clear" w:color="auto" w:fill="FFFFFF"/>
          </w:rPr>
          <w:delText xml:space="preserve"> 160</w:delText>
        </w:r>
        <w:r>
          <w:rPr>
            <w:rStyle w:val="normaltextrun"/>
            <w:sz w:val="22"/>
            <w:shd w:val="clear" w:color="auto" w:fill="FFFFFF"/>
          </w:rPr>
          <w:delText> </w:delText>
        </w:r>
        <w:r w:rsidRPr="00E04B2A">
          <w:rPr>
            <w:rStyle w:val="normaltextrun"/>
            <w:sz w:val="22"/>
            <w:shd w:val="clear" w:color="auto" w:fill="FFFFFF"/>
          </w:rPr>
          <w:delText>mg) i uke 0, placebo i uke 1 og 1,2</w:delText>
        </w:r>
        <w:r>
          <w:rPr>
            <w:rStyle w:val="normaltextrun"/>
            <w:sz w:val="22"/>
            <w:shd w:val="clear" w:color="auto" w:fill="FFFFFF"/>
          </w:rPr>
          <w:delText> </w:delText>
        </w:r>
        <w:r w:rsidRPr="00E04B2A">
          <w:rPr>
            <w:rStyle w:val="normaltextrun"/>
            <w:sz w:val="22"/>
            <w:shd w:val="clear" w:color="auto" w:fill="FFFFFF"/>
          </w:rPr>
          <w:delText>mg/kg (</w:delText>
        </w:r>
        <w:r>
          <w:rPr>
            <w:rStyle w:val="normaltextrun"/>
            <w:sz w:val="22"/>
            <w:shd w:val="clear" w:color="auto" w:fill="FFFFFF"/>
          </w:rPr>
          <w:delText>maksimalt</w:delText>
        </w:r>
        <w:r w:rsidRPr="00E04B2A">
          <w:rPr>
            <w:rStyle w:val="normaltextrun"/>
            <w:sz w:val="22"/>
            <w:shd w:val="clear" w:color="auto" w:fill="FFFFFF"/>
          </w:rPr>
          <w:delText xml:space="preserve"> 80</w:delText>
        </w:r>
        <w:r>
          <w:rPr>
            <w:rStyle w:val="normaltextrun"/>
            <w:sz w:val="22"/>
            <w:shd w:val="clear" w:color="auto" w:fill="FFFFFF"/>
          </w:rPr>
          <w:delText> </w:delText>
        </w:r>
        <w:r w:rsidRPr="00E04B2A">
          <w:rPr>
            <w:rStyle w:val="normaltextrun"/>
            <w:sz w:val="22"/>
            <w:shd w:val="clear" w:color="auto" w:fill="FFFFFF"/>
          </w:rPr>
          <w:delText>mg) i uke 2.</w:delText>
        </w:r>
        <w:r>
          <w:rPr>
            <w:rStyle w:val="normaltextrun"/>
            <w:sz w:val="22"/>
            <w:shd w:val="clear" w:color="auto" w:fill="FFFFFF"/>
          </w:rPr>
          <w:delText xml:space="preserve"> </w:delText>
        </w:r>
        <w:r w:rsidRPr="00E04B2A">
          <w:rPr>
            <w:rStyle w:val="normaltextrun"/>
            <w:sz w:val="22"/>
            <w:shd w:val="clear" w:color="auto" w:fill="FFFFFF"/>
          </w:rPr>
          <w:delText>Begge grupper fikk 0,6</w:delText>
        </w:r>
        <w:r>
          <w:rPr>
            <w:rStyle w:val="normaltextrun"/>
            <w:sz w:val="22"/>
            <w:shd w:val="clear" w:color="auto" w:fill="FFFFFF"/>
          </w:rPr>
          <w:delText> </w:delText>
        </w:r>
        <w:r w:rsidRPr="00E04B2A">
          <w:rPr>
            <w:rStyle w:val="normaltextrun"/>
            <w:sz w:val="22"/>
            <w:shd w:val="clear" w:color="auto" w:fill="FFFFFF"/>
          </w:rPr>
          <w:delText>mg/kg (maksimalt 40</w:delText>
        </w:r>
        <w:r>
          <w:rPr>
            <w:rStyle w:val="normaltextrun"/>
            <w:sz w:val="22"/>
            <w:shd w:val="clear" w:color="auto" w:fill="FFFFFF"/>
          </w:rPr>
          <w:delText> </w:delText>
        </w:r>
        <w:r w:rsidRPr="00E04B2A">
          <w:rPr>
            <w:rStyle w:val="normaltextrun"/>
            <w:sz w:val="22"/>
            <w:shd w:val="clear" w:color="auto" w:fill="FFFFFF"/>
          </w:rPr>
          <w:delText>mg) i uke 4 og uke 6.</w:delText>
        </w:r>
        <w:r>
          <w:rPr>
            <w:rStyle w:val="normaltextrun"/>
            <w:sz w:val="22"/>
            <w:shd w:val="clear" w:color="auto" w:fill="FFFFFF"/>
          </w:rPr>
          <w:delText xml:space="preserve"> </w:delText>
        </w:r>
        <w:r w:rsidRPr="00E04B2A">
          <w:rPr>
            <w:rStyle w:val="normaltextrun"/>
            <w:sz w:val="22"/>
            <w:shd w:val="clear" w:color="auto" w:fill="FFFFFF"/>
          </w:rPr>
          <w:delText xml:space="preserve">Etter en endring </w:delText>
        </w:r>
        <w:r>
          <w:rPr>
            <w:rStyle w:val="normaltextrun"/>
            <w:sz w:val="22"/>
            <w:shd w:val="clear" w:color="auto" w:fill="FFFFFF"/>
          </w:rPr>
          <w:delText>i</w:delText>
        </w:r>
        <w:r w:rsidRPr="00E04B2A">
          <w:rPr>
            <w:rStyle w:val="normaltextrun"/>
            <w:sz w:val="22"/>
            <w:shd w:val="clear" w:color="auto" w:fill="FFFFFF"/>
          </w:rPr>
          <w:delText xml:space="preserve"> studiedesign fikk de resterende 16 pasientene som deltok i induksjonsperioden åpen behandling med Humira </w:delText>
        </w:r>
        <w:r>
          <w:rPr>
            <w:rStyle w:val="normaltextrun"/>
            <w:sz w:val="22"/>
            <w:shd w:val="clear" w:color="auto" w:fill="FFFFFF"/>
          </w:rPr>
          <w:delText>med</w:delText>
        </w:r>
        <w:r w:rsidRPr="00E04B2A">
          <w:rPr>
            <w:rStyle w:val="normaltextrun"/>
            <w:sz w:val="22"/>
            <w:shd w:val="clear" w:color="auto" w:fill="FFFFFF"/>
          </w:rPr>
          <w:delText xml:space="preserve"> induksjonsdose 2,4</w:delText>
        </w:r>
        <w:r>
          <w:rPr>
            <w:rStyle w:val="normaltextrun"/>
            <w:sz w:val="22"/>
            <w:shd w:val="clear" w:color="auto" w:fill="FFFFFF"/>
          </w:rPr>
          <w:delText> </w:delText>
        </w:r>
        <w:r w:rsidRPr="00E04B2A">
          <w:rPr>
            <w:rStyle w:val="normaltextrun"/>
            <w:sz w:val="22"/>
            <w:shd w:val="clear" w:color="auto" w:fill="FFFFFF"/>
          </w:rPr>
          <w:delText>mg/kg (</w:delText>
        </w:r>
        <w:r>
          <w:rPr>
            <w:rStyle w:val="normaltextrun"/>
            <w:sz w:val="22"/>
            <w:shd w:val="clear" w:color="auto" w:fill="FFFFFF"/>
          </w:rPr>
          <w:delText>maksimalt</w:delText>
        </w:r>
        <w:r w:rsidRPr="00E04B2A">
          <w:rPr>
            <w:rStyle w:val="normaltextrun"/>
            <w:sz w:val="22"/>
            <w:shd w:val="clear" w:color="auto" w:fill="FFFFFF"/>
          </w:rPr>
          <w:delText xml:space="preserve"> 160</w:delText>
        </w:r>
        <w:r>
          <w:rPr>
            <w:rStyle w:val="normaltextrun"/>
            <w:sz w:val="22"/>
            <w:shd w:val="clear" w:color="auto" w:fill="FFFFFF"/>
          </w:rPr>
          <w:delText> </w:delText>
        </w:r>
        <w:r w:rsidRPr="00E04B2A">
          <w:rPr>
            <w:rStyle w:val="normaltextrun"/>
            <w:sz w:val="22"/>
            <w:shd w:val="clear" w:color="auto" w:fill="FFFFFF"/>
          </w:rPr>
          <w:delText>mg) i uke 0 og uke 1 og 1,2</w:delText>
        </w:r>
        <w:r>
          <w:rPr>
            <w:rStyle w:val="normaltextrun"/>
            <w:sz w:val="22"/>
            <w:shd w:val="clear" w:color="auto" w:fill="FFFFFF"/>
          </w:rPr>
          <w:delText> </w:delText>
        </w:r>
        <w:r w:rsidRPr="00E04B2A">
          <w:rPr>
            <w:rStyle w:val="normaltextrun"/>
            <w:sz w:val="22"/>
            <w:shd w:val="clear" w:color="auto" w:fill="FFFFFF"/>
          </w:rPr>
          <w:delText>mg/kg (maksimalt 80</w:delText>
        </w:r>
        <w:r>
          <w:rPr>
            <w:rStyle w:val="normaltextrun"/>
            <w:sz w:val="22"/>
            <w:shd w:val="clear" w:color="auto" w:fill="FFFFFF"/>
          </w:rPr>
          <w:delText> </w:delText>
        </w:r>
        <w:r w:rsidRPr="00E04B2A">
          <w:rPr>
            <w:rStyle w:val="normaltextrun"/>
            <w:sz w:val="22"/>
            <w:shd w:val="clear" w:color="auto" w:fill="FFFFFF"/>
          </w:rPr>
          <w:delText>mg) i uke 2.</w:delText>
        </w:r>
      </w:del>
    </w:p>
    <w:p w14:paraId="45FBDFAD" w14:textId="03A3EE18" w:rsidR="0015674E" w:rsidRPr="00E04B2A" w:rsidRDefault="0015674E" w:rsidP="0015674E">
      <w:pPr>
        <w:rPr>
          <w:del w:id="3522" w:author="AbbVie02no" w:date="2025-05-15T12:36:00Z"/>
          <w:sz w:val="22"/>
        </w:rPr>
      </w:pPr>
    </w:p>
    <w:p w14:paraId="6AC0DBE4" w14:textId="6133D375" w:rsidR="0015674E" w:rsidRPr="00E04B2A" w:rsidRDefault="00E453CD" w:rsidP="0015674E">
      <w:pPr>
        <w:rPr>
          <w:del w:id="3523" w:author="AbbVie02no" w:date="2025-05-15T12:36:00Z"/>
          <w:rStyle w:val="normaltextrun"/>
          <w:sz w:val="22"/>
          <w:shd w:val="clear" w:color="auto" w:fill="FFFFFF"/>
        </w:rPr>
      </w:pPr>
      <w:del w:id="3524" w:author="AbbVie02no" w:date="2025-05-15T12:36:00Z">
        <w:r>
          <w:rPr>
            <w:rStyle w:val="normaltextrun"/>
            <w:sz w:val="22"/>
            <w:shd w:val="clear" w:color="auto" w:fill="FFFFFF"/>
          </w:rPr>
          <w:delText>Ved</w:delText>
        </w:r>
        <w:r w:rsidRPr="00E04B2A">
          <w:rPr>
            <w:rStyle w:val="normaltextrun"/>
            <w:sz w:val="22"/>
            <w:shd w:val="clear" w:color="auto" w:fill="FFFFFF"/>
          </w:rPr>
          <w:delText xml:space="preserve"> uke 8 ble 62 pasienter som </w:delText>
        </w:r>
        <w:r>
          <w:rPr>
            <w:rStyle w:val="normaltextrun"/>
            <w:sz w:val="22"/>
            <w:shd w:val="clear" w:color="auto" w:fill="FFFFFF"/>
          </w:rPr>
          <w:delText>viste</w:delText>
        </w:r>
        <w:r w:rsidRPr="00E04B2A">
          <w:rPr>
            <w:rStyle w:val="normaltextrun"/>
            <w:sz w:val="22"/>
            <w:shd w:val="clear" w:color="auto" w:fill="FFFFFF"/>
          </w:rPr>
          <w:delText xml:space="preserve"> klinisk respons iht. </w:delText>
        </w:r>
        <w:r>
          <w:rPr>
            <w:rStyle w:val="normaltextrun"/>
            <w:sz w:val="22"/>
            <w:shd w:val="clear" w:color="auto" w:fill="FFFFFF"/>
          </w:rPr>
          <w:delText>P</w:delText>
        </w:r>
        <w:r w:rsidRPr="00E04B2A">
          <w:rPr>
            <w:rStyle w:val="normaltextrun"/>
            <w:sz w:val="22"/>
            <w:shd w:val="clear" w:color="auto" w:fill="FFFFFF"/>
          </w:rPr>
          <w:delText>artiell Mayo</w:delText>
        </w:r>
        <w:r>
          <w:rPr>
            <w:rStyle w:val="normaltextrun"/>
            <w:sz w:val="22"/>
            <w:shd w:val="clear" w:color="auto" w:fill="FFFFFF"/>
          </w:rPr>
          <w:delText xml:space="preserve"> S</w:delText>
        </w:r>
        <w:r w:rsidRPr="00E04B2A">
          <w:rPr>
            <w:rStyle w:val="normaltextrun"/>
            <w:sz w:val="22"/>
            <w:shd w:val="clear" w:color="auto" w:fill="FFFFFF"/>
          </w:rPr>
          <w:delText>core (PMS</w:delText>
        </w:r>
        <w:r>
          <w:rPr>
            <w:rStyle w:val="normaltextrun"/>
            <w:sz w:val="22"/>
            <w:shd w:val="clear" w:color="auto" w:fill="FFFFFF"/>
          </w:rPr>
          <w:delText>:</w:delText>
        </w:r>
        <w:r w:rsidRPr="00E04B2A">
          <w:rPr>
            <w:rStyle w:val="normaltextrun"/>
            <w:sz w:val="22"/>
            <w:shd w:val="clear" w:color="auto" w:fill="FFFFFF"/>
          </w:rPr>
          <w:delText xml:space="preserve"> definert som en reduksjon i PMS ≥</w:delText>
        </w:r>
        <w:r>
          <w:rPr>
            <w:rStyle w:val="normaltextrun"/>
            <w:sz w:val="22"/>
            <w:shd w:val="clear" w:color="auto" w:fill="FFFFFF"/>
          </w:rPr>
          <w:delText> </w:delText>
        </w:r>
        <w:r w:rsidRPr="00E04B2A">
          <w:rPr>
            <w:rStyle w:val="normaltextrun"/>
            <w:sz w:val="22"/>
            <w:shd w:val="clear" w:color="auto" w:fill="FFFFFF"/>
          </w:rPr>
          <w:delText>2 poeng og ≥</w:delText>
        </w:r>
        <w:r>
          <w:rPr>
            <w:rStyle w:val="normaltextrun"/>
            <w:sz w:val="22"/>
            <w:shd w:val="clear" w:color="auto" w:fill="FFFFFF"/>
          </w:rPr>
          <w:delText> </w:delText>
        </w:r>
        <w:r w:rsidRPr="00E04B2A">
          <w:rPr>
            <w:rStyle w:val="normaltextrun"/>
            <w:sz w:val="22"/>
            <w:shd w:val="clear" w:color="auto" w:fill="FFFFFF"/>
          </w:rPr>
          <w:delText xml:space="preserve">30 % fra baseline) randomisert likt </w:delText>
        </w:r>
        <w:r>
          <w:rPr>
            <w:rStyle w:val="normaltextrun"/>
            <w:sz w:val="22"/>
            <w:shd w:val="clear" w:color="auto" w:fill="FFFFFF"/>
          </w:rPr>
          <w:delText>til</w:delText>
        </w:r>
        <w:r w:rsidRPr="00E04B2A">
          <w:rPr>
            <w:rStyle w:val="normaltextrun"/>
            <w:sz w:val="22"/>
            <w:shd w:val="clear" w:color="auto" w:fill="FFFFFF"/>
          </w:rPr>
          <w:delText xml:space="preserve"> dobbeltblind</w:delText>
        </w:r>
        <w:r>
          <w:rPr>
            <w:rStyle w:val="normaltextrun"/>
            <w:sz w:val="22"/>
            <w:shd w:val="clear" w:color="auto" w:fill="FFFFFF"/>
          </w:rPr>
          <w:delText>et</w:delText>
        </w:r>
        <w:r w:rsidRPr="00E04B2A">
          <w:rPr>
            <w:rStyle w:val="normaltextrun"/>
            <w:sz w:val="22"/>
            <w:shd w:val="clear" w:color="auto" w:fill="FFFFFF"/>
          </w:rPr>
          <w:delText xml:space="preserve"> vedlikeholdsbehandling med Humira </w:delText>
        </w:r>
        <w:r>
          <w:rPr>
            <w:rStyle w:val="normaltextrun"/>
            <w:sz w:val="22"/>
            <w:shd w:val="clear" w:color="auto" w:fill="FFFFFF"/>
          </w:rPr>
          <w:delText xml:space="preserve">med </w:delText>
        </w:r>
        <w:r w:rsidRPr="00E04B2A">
          <w:rPr>
            <w:rStyle w:val="normaltextrun"/>
            <w:sz w:val="22"/>
            <w:shd w:val="clear" w:color="auto" w:fill="FFFFFF"/>
          </w:rPr>
          <w:delText>en dose på 0,6</w:delText>
        </w:r>
        <w:r>
          <w:rPr>
            <w:rStyle w:val="normaltextrun"/>
            <w:sz w:val="22"/>
            <w:shd w:val="clear" w:color="auto" w:fill="FFFFFF"/>
          </w:rPr>
          <w:delText> </w:delText>
        </w:r>
        <w:r w:rsidRPr="00E04B2A">
          <w:rPr>
            <w:rStyle w:val="normaltextrun"/>
            <w:sz w:val="22"/>
            <w:shd w:val="clear" w:color="auto" w:fill="FFFFFF"/>
          </w:rPr>
          <w:delText>mg/kg (maks</w:delText>
        </w:r>
        <w:r>
          <w:rPr>
            <w:rStyle w:val="normaltextrun"/>
            <w:sz w:val="22"/>
            <w:shd w:val="clear" w:color="auto" w:fill="FFFFFF"/>
          </w:rPr>
          <w:delText>imalt</w:delText>
        </w:r>
        <w:r w:rsidRPr="00E04B2A">
          <w:rPr>
            <w:rStyle w:val="normaltextrun"/>
            <w:sz w:val="22"/>
            <w:shd w:val="clear" w:color="auto" w:fill="FFFFFF"/>
          </w:rPr>
          <w:delText xml:space="preserve"> 40</w:delText>
        </w:r>
        <w:r>
          <w:rPr>
            <w:rStyle w:val="normaltextrun"/>
            <w:sz w:val="22"/>
            <w:shd w:val="clear" w:color="auto" w:fill="FFFFFF"/>
          </w:rPr>
          <w:delText> </w:delText>
        </w:r>
        <w:r w:rsidRPr="00E04B2A">
          <w:rPr>
            <w:rStyle w:val="normaltextrun"/>
            <w:sz w:val="22"/>
            <w:shd w:val="clear" w:color="auto" w:fill="FFFFFF"/>
          </w:rPr>
          <w:delText>mg) hver uke</w:delText>
        </w:r>
        <w:r>
          <w:rPr>
            <w:rStyle w:val="normaltextrun"/>
            <w:sz w:val="22"/>
            <w:shd w:val="clear" w:color="auto" w:fill="FFFFFF"/>
          </w:rPr>
          <w:delText xml:space="preserve"> </w:delText>
        </w:r>
        <w:r w:rsidRPr="00E04B2A">
          <w:rPr>
            <w:rStyle w:val="normaltextrun"/>
            <w:sz w:val="22"/>
            <w:shd w:val="clear" w:color="auto" w:fill="FFFFFF"/>
          </w:rPr>
          <w:delText>eller en vedlikeholdsdose på 0,6</w:delText>
        </w:r>
        <w:r>
          <w:rPr>
            <w:rStyle w:val="normaltextrun"/>
            <w:sz w:val="22"/>
            <w:shd w:val="clear" w:color="auto" w:fill="FFFFFF"/>
          </w:rPr>
          <w:delText> </w:delText>
        </w:r>
        <w:r w:rsidRPr="00E04B2A">
          <w:rPr>
            <w:rStyle w:val="normaltextrun"/>
            <w:sz w:val="22"/>
            <w:shd w:val="clear" w:color="auto" w:fill="FFFFFF"/>
          </w:rPr>
          <w:delText>mg/kg (maks</w:delText>
        </w:r>
        <w:r>
          <w:rPr>
            <w:rStyle w:val="normaltextrun"/>
            <w:sz w:val="22"/>
            <w:shd w:val="clear" w:color="auto" w:fill="FFFFFF"/>
          </w:rPr>
          <w:delText>imalt</w:delText>
        </w:r>
        <w:r w:rsidRPr="00E04B2A">
          <w:rPr>
            <w:rStyle w:val="normaltextrun"/>
            <w:sz w:val="22"/>
            <w:shd w:val="clear" w:color="auto" w:fill="FFFFFF"/>
          </w:rPr>
          <w:delText xml:space="preserve"> 40</w:delText>
        </w:r>
        <w:r>
          <w:rPr>
            <w:rStyle w:val="normaltextrun"/>
            <w:sz w:val="22"/>
            <w:shd w:val="clear" w:color="auto" w:fill="FFFFFF"/>
          </w:rPr>
          <w:delText> </w:delText>
        </w:r>
        <w:r w:rsidRPr="00E04B2A">
          <w:rPr>
            <w:rStyle w:val="normaltextrun"/>
            <w:sz w:val="22"/>
            <w:shd w:val="clear" w:color="auto" w:fill="FFFFFF"/>
          </w:rPr>
          <w:delText>mg) annenhver uke.</w:delText>
        </w:r>
        <w:r>
          <w:rPr>
            <w:rStyle w:val="normaltextrun"/>
            <w:sz w:val="22"/>
            <w:shd w:val="clear" w:color="auto" w:fill="FFFFFF"/>
          </w:rPr>
          <w:delText xml:space="preserve"> </w:delText>
        </w:r>
        <w:r w:rsidRPr="00E04B2A">
          <w:rPr>
            <w:rStyle w:val="normaltextrun"/>
            <w:sz w:val="22"/>
            <w:shd w:val="clear" w:color="auto" w:fill="FFFFFF"/>
          </w:rPr>
          <w:delText xml:space="preserve">Før en endring </w:delText>
        </w:r>
        <w:r>
          <w:rPr>
            <w:rStyle w:val="normaltextrun"/>
            <w:sz w:val="22"/>
            <w:shd w:val="clear" w:color="auto" w:fill="FFFFFF"/>
          </w:rPr>
          <w:delText>i</w:delText>
        </w:r>
        <w:r w:rsidRPr="00E04B2A">
          <w:rPr>
            <w:rStyle w:val="normaltextrun"/>
            <w:sz w:val="22"/>
            <w:shd w:val="clear" w:color="auto" w:fill="FFFFFF"/>
          </w:rPr>
          <w:delText xml:space="preserve"> studiedesign ble </w:delText>
        </w:r>
        <w:r>
          <w:rPr>
            <w:rStyle w:val="normaltextrun"/>
            <w:sz w:val="22"/>
            <w:shd w:val="clear" w:color="auto" w:fill="FFFFFF"/>
          </w:rPr>
          <w:delText xml:space="preserve">ytterligere </w:delText>
        </w:r>
        <w:r w:rsidRPr="00E04B2A">
          <w:rPr>
            <w:rStyle w:val="normaltextrun"/>
            <w:sz w:val="22"/>
            <w:shd w:val="clear" w:color="auto" w:fill="FFFFFF"/>
          </w:rPr>
          <w:delText>12 pasienter</w:delText>
        </w:r>
        <w:r>
          <w:rPr>
            <w:rStyle w:val="normaltextrun"/>
            <w:sz w:val="22"/>
            <w:shd w:val="clear" w:color="auto" w:fill="FFFFFF"/>
          </w:rPr>
          <w:delText>,</w:delText>
        </w:r>
        <w:r w:rsidRPr="00E04B2A">
          <w:rPr>
            <w:rStyle w:val="normaltextrun"/>
            <w:sz w:val="22"/>
            <w:shd w:val="clear" w:color="auto" w:fill="FFFFFF"/>
          </w:rPr>
          <w:delText xml:space="preserve"> som </w:delText>
        </w:r>
        <w:r>
          <w:rPr>
            <w:rStyle w:val="normaltextrun"/>
            <w:sz w:val="22"/>
            <w:shd w:val="clear" w:color="auto" w:fill="FFFFFF"/>
          </w:rPr>
          <w:delText>viste</w:delText>
        </w:r>
        <w:r w:rsidRPr="00E04B2A">
          <w:rPr>
            <w:rStyle w:val="normaltextrun"/>
            <w:sz w:val="22"/>
            <w:shd w:val="clear" w:color="auto" w:fill="FFFFFF"/>
          </w:rPr>
          <w:delText xml:space="preserve"> klinisk respons iht. PMS</w:delText>
        </w:r>
        <w:r>
          <w:rPr>
            <w:rStyle w:val="normaltextrun"/>
            <w:sz w:val="22"/>
            <w:shd w:val="clear" w:color="auto" w:fill="FFFFFF"/>
          </w:rPr>
          <w:delText>,</w:delText>
        </w:r>
        <w:r w:rsidRPr="00E04B2A">
          <w:rPr>
            <w:rStyle w:val="normaltextrun"/>
            <w:sz w:val="22"/>
            <w:shd w:val="clear" w:color="auto" w:fill="FFFFFF"/>
          </w:rPr>
          <w:delText xml:space="preserve"> randomisert til å </w:delText>
        </w:r>
        <w:r>
          <w:rPr>
            <w:rStyle w:val="normaltextrun"/>
            <w:sz w:val="22"/>
            <w:shd w:val="clear" w:color="auto" w:fill="FFFFFF"/>
          </w:rPr>
          <w:delText xml:space="preserve">få </w:delText>
        </w:r>
        <w:r w:rsidRPr="00E04B2A">
          <w:rPr>
            <w:rStyle w:val="normaltextrun"/>
            <w:sz w:val="22"/>
            <w:shd w:val="clear" w:color="auto" w:fill="FFFFFF"/>
          </w:rPr>
          <w:delText>placebo, men ble ikke inkludert i den bekreftende effekt</w:delText>
        </w:r>
        <w:r>
          <w:rPr>
            <w:rStyle w:val="normaltextrun"/>
            <w:sz w:val="22"/>
            <w:shd w:val="clear" w:color="auto" w:fill="FFFFFF"/>
          </w:rPr>
          <w:delText>analys</w:delText>
        </w:r>
        <w:r w:rsidRPr="00E04B2A">
          <w:rPr>
            <w:rStyle w:val="normaltextrun"/>
            <w:sz w:val="22"/>
            <w:shd w:val="clear" w:color="auto" w:fill="FFFFFF"/>
          </w:rPr>
          <w:delText>en.</w:delText>
        </w:r>
      </w:del>
    </w:p>
    <w:p w14:paraId="03C0B730" w14:textId="1C4419E8" w:rsidR="0015674E" w:rsidRPr="00E04B2A" w:rsidRDefault="0015674E" w:rsidP="0015674E">
      <w:pPr>
        <w:rPr>
          <w:del w:id="3525" w:author="AbbVie02no" w:date="2025-05-15T12:36:00Z"/>
          <w:sz w:val="22"/>
          <w:shd w:val="clear" w:color="auto" w:fill="FFFFFF"/>
        </w:rPr>
      </w:pPr>
    </w:p>
    <w:p w14:paraId="13405B7F" w14:textId="2FB3724A" w:rsidR="0015674E" w:rsidRPr="00E04B2A" w:rsidRDefault="00E453CD" w:rsidP="0015674E">
      <w:pPr>
        <w:rPr>
          <w:del w:id="3526" w:author="AbbVie02no" w:date="2025-05-15T12:36:00Z"/>
          <w:sz w:val="22"/>
        </w:rPr>
      </w:pPr>
      <w:del w:id="3527" w:author="AbbVie02no" w:date="2025-05-15T12:36:00Z">
        <w:r w:rsidRPr="00E04B2A">
          <w:rPr>
            <w:sz w:val="22"/>
          </w:rPr>
          <w:delText>Sykdoms</w:delText>
        </w:r>
        <w:r>
          <w:rPr>
            <w:sz w:val="22"/>
          </w:rPr>
          <w:delText>opp</w:delText>
        </w:r>
        <w:r w:rsidRPr="00E04B2A">
          <w:rPr>
            <w:sz w:val="22"/>
          </w:rPr>
          <w:delText>bluss</w:delText>
        </w:r>
        <w:r>
          <w:rPr>
            <w:sz w:val="22"/>
          </w:rPr>
          <w:delText>ing</w:delText>
        </w:r>
        <w:r w:rsidRPr="00E04B2A">
          <w:rPr>
            <w:sz w:val="22"/>
          </w:rPr>
          <w:delText xml:space="preserve"> ble definert som en økning i PMS på minst 3 poeng (for pasienter med PMS på 0 til 2 </w:delText>
        </w:r>
        <w:r>
          <w:rPr>
            <w:sz w:val="22"/>
          </w:rPr>
          <w:delText>ved</w:delText>
        </w:r>
        <w:r w:rsidRPr="00E04B2A">
          <w:rPr>
            <w:sz w:val="22"/>
          </w:rPr>
          <w:delText xml:space="preserve"> uke 8), minst 2 poeng (for pasienter med PMS på 3 til 4 </w:delText>
        </w:r>
        <w:r>
          <w:rPr>
            <w:sz w:val="22"/>
          </w:rPr>
          <w:delText>ved</w:delText>
        </w:r>
        <w:r w:rsidRPr="00E04B2A">
          <w:rPr>
            <w:sz w:val="22"/>
          </w:rPr>
          <w:delText xml:space="preserve"> uke 8) eller minst 1 poeng (for pasienter med PMS på 5 til 6 </w:delText>
        </w:r>
        <w:r>
          <w:rPr>
            <w:sz w:val="22"/>
          </w:rPr>
          <w:delText>ved</w:delText>
        </w:r>
        <w:r w:rsidRPr="00E04B2A">
          <w:rPr>
            <w:sz w:val="22"/>
          </w:rPr>
          <w:delText xml:space="preserve"> uke 8).</w:delText>
        </w:r>
      </w:del>
    </w:p>
    <w:p w14:paraId="2702CD50" w14:textId="12344F43" w:rsidR="0015674E" w:rsidRPr="00E04B2A" w:rsidRDefault="0015674E" w:rsidP="0015674E">
      <w:pPr>
        <w:rPr>
          <w:del w:id="3528" w:author="AbbVie02no" w:date="2025-05-15T12:36:00Z"/>
          <w:sz w:val="22"/>
        </w:rPr>
      </w:pPr>
    </w:p>
    <w:p w14:paraId="318B360D" w14:textId="52528A4C" w:rsidR="0015674E" w:rsidRPr="00E04B2A" w:rsidRDefault="00E453CD" w:rsidP="0015674E">
      <w:pPr>
        <w:rPr>
          <w:del w:id="3529" w:author="AbbVie02no" w:date="2025-05-15T12:36:00Z"/>
          <w:sz w:val="22"/>
        </w:rPr>
      </w:pPr>
      <w:del w:id="3530" w:author="AbbVie02no" w:date="2025-05-15T12:36:00Z">
        <w:r w:rsidRPr="00E04B2A">
          <w:rPr>
            <w:sz w:val="22"/>
          </w:rPr>
          <w:delText>Pasienter som oppfylte kriteriene for sykdoms</w:delText>
        </w:r>
        <w:r>
          <w:rPr>
            <w:sz w:val="22"/>
          </w:rPr>
          <w:delText>opp</w:delText>
        </w:r>
        <w:r w:rsidRPr="00E04B2A">
          <w:rPr>
            <w:sz w:val="22"/>
          </w:rPr>
          <w:delText xml:space="preserve">bluss ved eller etter uke 12 ble randomisert til å </w:delText>
        </w:r>
        <w:r>
          <w:rPr>
            <w:sz w:val="22"/>
          </w:rPr>
          <w:delText>få</w:delText>
        </w:r>
        <w:r w:rsidRPr="00E04B2A">
          <w:rPr>
            <w:sz w:val="22"/>
          </w:rPr>
          <w:delText xml:space="preserve"> en gjentatt induksjonsdose på 2,4</w:delText>
        </w:r>
        <w:r>
          <w:rPr>
            <w:sz w:val="22"/>
          </w:rPr>
          <w:delText> </w:delText>
        </w:r>
        <w:r w:rsidRPr="00E04B2A">
          <w:rPr>
            <w:sz w:val="22"/>
          </w:rPr>
          <w:delText>mg/kg (</w:delText>
        </w:r>
        <w:r>
          <w:rPr>
            <w:sz w:val="22"/>
          </w:rPr>
          <w:delText>maksimalt</w:delText>
        </w:r>
        <w:r w:rsidRPr="00E04B2A">
          <w:rPr>
            <w:sz w:val="22"/>
          </w:rPr>
          <w:delText xml:space="preserve"> 160</w:delText>
        </w:r>
        <w:r>
          <w:rPr>
            <w:sz w:val="22"/>
          </w:rPr>
          <w:delText> </w:delText>
        </w:r>
        <w:r w:rsidRPr="00E04B2A">
          <w:rPr>
            <w:sz w:val="22"/>
          </w:rPr>
          <w:delText>mg) eller en dose på 0,6</w:delText>
        </w:r>
        <w:r>
          <w:rPr>
            <w:sz w:val="22"/>
          </w:rPr>
          <w:delText> </w:delText>
        </w:r>
        <w:r w:rsidRPr="00E04B2A">
          <w:rPr>
            <w:sz w:val="22"/>
          </w:rPr>
          <w:delText>mg/kg (</w:delText>
        </w:r>
        <w:r>
          <w:rPr>
            <w:sz w:val="22"/>
          </w:rPr>
          <w:delText>maksimalt</w:delText>
        </w:r>
        <w:r w:rsidRPr="00E04B2A">
          <w:rPr>
            <w:sz w:val="22"/>
          </w:rPr>
          <w:delText xml:space="preserve"> 40</w:delText>
        </w:r>
        <w:r>
          <w:rPr>
            <w:sz w:val="22"/>
          </w:rPr>
          <w:delText> </w:delText>
        </w:r>
        <w:r w:rsidRPr="00E04B2A">
          <w:rPr>
            <w:sz w:val="22"/>
          </w:rPr>
          <w:delText xml:space="preserve">mg) og fortsatte </w:delText>
        </w:r>
        <w:r>
          <w:rPr>
            <w:sz w:val="22"/>
          </w:rPr>
          <w:delText>deretter med deres</w:delText>
        </w:r>
        <w:r w:rsidRPr="00E04B2A">
          <w:rPr>
            <w:sz w:val="22"/>
          </w:rPr>
          <w:delText xml:space="preserve"> respektive vedlikeholdsdose.</w:delText>
        </w:r>
      </w:del>
    </w:p>
    <w:p w14:paraId="44A56F35" w14:textId="14C46F4A" w:rsidR="0015674E" w:rsidRPr="00E04B2A" w:rsidRDefault="00E453CD" w:rsidP="0015674E">
      <w:pPr>
        <w:pStyle w:val="gtcbodytext"/>
        <w:spacing w:after="0" w:line="240" w:lineRule="auto"/>
        <w:rPr>
          <w:del w:id="3531" w:author="AbbVie02no" w:date="2025-05-15T12:36:00Z"/>
          <w:i/>
          <w:sz w:val="22"/>
          <w:szCs w:val="22"/>
          <w:lang w:val="nb-NO"/>
        </w:rPr>
      </w:pPr>
      <w:del w:id="3532" w:author="AbbVie02no" w:date="2025-05-15T12:36:00Z">
        <w:r w:rsidRPr="00E04B2A">
          <w:rPr>
            <w:i/>
            <w:sz w:val="22"/>
            <w:lang w:val="nb-NO"/>
          </w:rPr>
          <w:delText>Effektresultater</w:delText>
        </w:r>
      </w:del>
    </w:p>
    <w:p w14:paraId="19A81FF8" w14:textId="4EEE1E2F" w:rsidR="0015674E" w:rsidRPr="00E04B2A" w:rsidRDefault="0015674E" w:rsidP="0015674E">
      <w:pPr>
        <w:pStyle w:val="gtcbodytext"/>
        <w:spacing w:before="0" w:after="0" w:line="240" w:lineRule="auto"/>
        <w:rPr>
          <w:del w:id="3533" w:author="AbbVie02no" w:date="2025-05-15T12:36:00Z"/>
          <w:i/>
          <w:sz w:val="22"/>
          <w:szCs w:val="22"/>
          <w:lang w:val="nb-NO"/>
        </w:rPr>
      </w:pPr>
    </w:p>
    <w:p w14:paraId="61DF2D28" w14:textId="4C491488" w:rsidR="0015674E" w:rsidRPr="00E04B2A" w:rsidRDefault="00E453CD" w:rsidP="0015674E">
      <w:pPr>
        <w:textAlignment w:val="baseline"/>
        <w:rPr>
          <w:del w:id="3534" w:author="AbbVie02no" w:date="2025-05-15T12:36:00Z"/>
          <w:sz w:val="22"/>
        </w:rPr>
      </w:pPr>
      <w:del w:id="3535" w:author="AbbVie02no" w:date="2025-05-15T12:36:00Z">
        <w:r w:rsidRPr="00E04B2A">
          <w:rPr>
            <w:sz w:val="22"/>
          </w:rPr>
          <w:delText>De ko-primære endepunktene i studien var klinisk remisjon iht. PMS (definert som PMS ≤</w:delText>
        </w:r>
        <w:r>
          <w:rPr>
            <w:sz w:val="22"/>
          </w:rPr>
          <w:delText> </w:delText>
        </w:r>
        <w:r w:rsidRPr="00E04B2A">
          <w:rPr>
            <w:sz w:val="22"/>
          </w:rPr>
          <w:delText xml:space="preserve">2 og ingen individuell </w:delText>
        </w:r>
        <w:r w:rsidRPr="007031B5">
          <w:rPr>
            <w:sz w:val="22"/>
          </w:rPr>
          <w:delText>subscore</w:delText>
        </w:r>
        <w:r w:rsidRPr="00E04B2A">
          <w:rPr>
            <w:sz w:val="22"/>
          </w:rPr>
          <w:delText xml:space="preserve"> &gt;</w:delText>
        </w:r>
        <w:r>
          <w:rPr>
            <w:sz w:val="22"/>
          </w:rPr>
          <w:delText> </w:delText>
        </w:r>
        <w:r w:rsidRPr="00E04B2A">
          <w:rPr>
            <w:sz w:val="22"/>
          </w:rPr>
          <w:delText xml:space="preserve">1) </w:delText>
        </w:r>
        <w:r>
          <w:rPr>
            <w:sz w:val="22"/>
          </w:rPr>
          <w:delText>ved</w:delText>
        </w:r>
        <w:r w:rsidRPr="00E04B2A">
          <w:rPr>
            <w:sz w:val="22"/>
          </w:rPr>
          <w:delText xml:space="preserve"> uke 8, og klinisk remisjon iht. FMS (</w:delText>
        </w:r>
        <w:r>
          <w:rPr>
            <w:sz w:val="22"/>
          </w:rPr>
          <w:delText>F</w:delText>
        </w:r>
        <w:r w:rsidRPr="00E04B2A">
          <w:rPr>
            <w:sz w:val="22"/>
          </w:rPr>
          <w:delText>ull Mayo</w:delText>
        </w:r>
        <w:r>
          <w:rPr>
            <w:sz w:val="22"/>
          </w:rPr>
          <w:delText xml:space="preserve"> S</w:delText>
        </w:r>
        <w:r w:rsidRPr="00E04B2A">
          <w:rPr>
            <w:sz w:val="22"/>
          </w:rPr>
          <w:delText>core) (definert som en Mayo</w:delText>
        </w:r>
        <w:r>
          <w:rPr>
            <w:sz w:val="22"/>
          </w:rPr>
          <w:delText xml:space="preserve"> </w:delText>
        </w:r>
        <w:r w:rsidRPr="00E04B2A">
          <w:rPr>
            <w:sz w:val="22"/>
          </w:rPr>
          <w:delText>score ≤</w:delText>
        </w:r>
        <w:r>
          <w:rPr>
            <w:sz w:val="22"/>
          </w:rPr>
          <w:delText> </w:delText>
        </w:r>
        <w:r w:rsidRPr="00E04B2A">
          <w:rPr>
            <w:sz w:val="22"/>
          </w:rPr>
          <w:delText xml:space="preserve">2 og ingen individuell </w:delText>
        </w:r>
        <w:r w:rsidRPr="007031B5">
          <w:rPr>
            <w:sz w:val="22"/>
          </w:rPr>
          <w:delText>subscore</w:delText>
        </w:r>
        <w:r w:rsidRPr="00E04B2A">
          <w:rPr>
            <w:sz w:val="22"/>
          </w:rPr>
          <w:delText xml:space="preserve"> &gt;</w:delText>
        </w:r>
        <w:r>
          <w:rPr>
            <w:sz w:val="22"/>
          </w:rPr>
          <w:delText> </w:delText>
        </w:r>
        <w:r w:rsidRPr="00E04B2A">
          <w:rPr>
            <w:sz w:val="22"/>
          </w:rPr>
          <w:delText xml:space="preserve">1) </w:delText>
        </w:r>
        <w:r>
          <w:rPr>
            <w:sz w:val="22"/>
          </w:rPr>
          <w:delText>ved</w:delText>
        </w:r>
        <w:r w:rsidRPr="00E04B2A">
          <w:rPr>
            <w:sz w:val="22"/>
          </w:rPr>
          <w:delText xml:space="preserve"> uke 52 hos pasienter som oppnådde klinisk respons iht. PMS </w:delText>
        </w:r>
        <w:r>
          <w:rPr>
            <w:sz w:val="22"/>
          </w:rPr>
          <w:delText>ved</w:delText>
        </w:r>
        <w:r w:rsidRPr="00E04B2A">
          <w:rPr>
            <w:sz w:val="22"/>
          </w:rPr>
          <w:delText xml:space="preserve"> uke 8.</w:delText>
        </w:r>
      </w:del>
    </w:p>
    <w:p w14:paraId="49D43CFC" w14:textId="2AA58F95" w:rsidR="0015674E" w:rsidRPr="00E04B2A" w:rsidRDefault="0015674E" w:rsidP="0015674E">
      <w:pPr>
        <w:textAlignment w:val="baseline"/>
        <w:rPr>
          <w:del w:id="3536" w:author="AbbVie02no" w:date="2025-05-15T12:36:00Z"/>
          <w:sz w:val="22"/>
          <w:lang w:eastAsia="en-GB"/>
        </w:rPr>
      </w:pPr>
    </w:p>
    <w:p w14:paraId="6E346723" w14:textId="1B51D883" w:rsidR="0015674E" w:rsidRPr="00E04B2A" w:rsidRDefault="00E453CD" w:rsidP="0015674E">
      <w:pPr>
        <w:textAlignment w:val="baseline"/>
        <w:rPr>
          <w:del w:id="3537" w:author="AbbVie02no" w:date="2025-05-15T12:36:00Z"/>
          <w:sz w:val="22"/>
        </w:rPr>
      </w:pPr>
      <w:del w:id="3538" w:author="AbbVie02no" w:date="2025-05-15T12:36:00Z">
        <w:r w:rsidRPr="00E04B2A">
          <w:rPr>
            <w:sz w:val="22"/>
          </w:rPr>
          <w:delText xml:space="preserve">Kliniske remisjonsrater iht. PMS </w:delText>
        </w:r>
        <w:r>
          <w:rPr>
            <w:sz w:val="22"/>
          </w:rPr>
          <w:delText>ved</w:delText>
        </w:r>
        <w:r w:rsidRPr="00E04B2A">
          <w:rPr>
            <w:sz w:val="22"/>
          </w:rPr>
          <w:delText xml:space="preserve"> uke 8 for pasienter i hver av de dobbeltblinde</w:delText>
        </w:r>
        <w:r>
          <w:rPr>
            <w:sz w:val="22"/>
          </w:rPr>
          <w:delText>de</w:delText>
        </w:r>
        <w:r w:rsidRPr="00E04B2A">
          <w:rPr>
            <w:sz w:val="22"/>
          </w:rPr>
          <w:delText xml:space="preserve"> Humira-induksjonsgruppen</w:delText>
        </w:r>
        <w:r>
          <w:rPr>
            <w:sz w:val="22"/>
          </w:rPr>
          <w:delText xml:space="preserve">e er vist i </w:delText>
        </w:r>
        <w:r w:rsidRPr="00E04B2A">
          <w:rPr>
            <w:sz w:val="22"/>
          </w:rPr>
          <w:delText>tabell 26.</w:delText>
        </w:r>
      </w:del>
    </w:p>
    <w:p w14:paraId="6B659084" w14:textId="4F2F3C1F" w:rsidR="0015674E" w:rsidRPr="00E04B2A" w:rsidRDefault="00E453CD" w:rsidP="0015674E">
      <w:pPr>
        <w:pStyle w:val="gtcbodytext"/>
        <w:spacing w:after="0" w:line="240" w:lineRule="auto"/>
        <w:jc w:val="center"/>
        <w:rPr>
          <w:del w:id="3539" w:author="AbbVie02no" w:date="2025-05-15T12:36:00Z"/>
          <w:sz w:val="22"/>
          <w:szCs w:val="22"/>
          <w:lang w:val="nb-NO"/>
        </w:rPr>
      </w:pPr>
      <w:del w:id="3540" w:author="AbbVie02no" w:date="2025-05-15T12:36:00Z">
        <w:r w:rsidRPr="00E04B2A">
          <w:rPr>
            <w:b/>
            <w:sz w:val="22"/>
            <w:lang w:val="nb-NO"/>
          </w:rPr>
          <w:delText xml:space="preserve">Tabell 26: Klinisk remisjon iht. PMS ved </w:delText>
        </w:r>
        <w:r>
          <w:rPr>
            <w:b/>
            <w:sz w:val="22"/>
            <w:lang w:val="nb-NO"/>
          </w:rPr>
          <w:delText>uke 8</w:delText>
        </w:r>
        <w:r w:rsidRPr="00E04B2A">
          <w:rPr>
            <w:b/>
            <w:sz w:val="22"/>
            <w:lang w:val="nb-NO"/>
          </w:rPr>
          <w:delText xml:space="preserve"> </w:delText>
        </w:r>
      </w:del>
    </w:p>
    <w:tbl>
      <w:tblPr>
        <w:tblW w:w="4246" w:type="pct"/>
        <w:jc w:val="center"/>
        <w:tblLook w:val="04A0" w:firstRow="1" w:lastRow="0" w:firstColumn="1" w:lastColumn="0" w:noHBand="0" w:noVBand="1"/>
      </w:tblPr>
      <w:tblGrid>
        <w:gridCol w:w="1902"/>
        <w:gridCol w:w="2865"/>
        <w:gridCol w:w="2917"/>
      </w:tblGrid>
      <w:tr w:rsidR="004644D4" w14:paraId="001C5BE9" w14:textId="2FEE5B92" w:rsidTr="00DC6ED9">
        <w:trPr>
          <w:jc w:val="center"/>
          <w:del w:id="3541" w:author="AbbVie02no" w:date="2025-05-15T12: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65F9E3" w14:textId="6222513E" w:rsidR="0015674E" w:rsidRPr="00E04B2A" w:rsidRDefault="0015674E" w:rsidP="00DC6ED9">
            <w:pPr>
              <w:rPr>
                <w:del w:id="3542" w:author="AbbVie02no" w:date="2025-05-15T12:36:00Z"/>
                <w:sz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D303C87" w14:textId="0A501130" w:rsidR="0015674E" w:rsidRPr="00501579" w:rsidRDefault="00E453CD" w:rsidP="00DC6ED9">
            <w:pPr>
              <w:pStyle w:val="paragraph0"/>
              <w:spacing w:before="0" w:beforeAutospacing="0" w:after="0" w:afterAutospacing="0"/>
              <w:jc w:val="center"/>
              <w:textAlignment w:val="baseline"/>
              <w:rPr>
                <w:del w:id="3543" w:author="AbbVie02no" w:date="2025-05-15T12:36:00Z"/>
                <w:sz w:val="22"/>
                <w:szCs w:val="22"/>
              </w:rPr>
            </w:pPr>
            <w:del w:id="3544" w:author="AbbVie02no" w:date="2025-05-15T12:36:00Z">
              <w:r w:rsidRPr="00EF5F5C">
                <w:rPr>
                  <w:rStyle w:val="spellingerror"/>
                  <w:b/>
                  <w:sz w:val="22"/>
                </w:rPr>
                <w:delText>Humira</w:delText>
              </w:r>
              <w:r w:rsidRPr="00EF5F5C">
                <w:rPr>
                  <w:rStyle w:val="spellingerror"/>
                  <w:b/>
                  <w:sz w:val="22"/>
                  <w:vertAlign w:val="superscript"/>
                </w:rPr>
                <w:delText>a</w:delText>
              </w:r>
              <w:r w:rsidRPr="00406612">
                <w:rPr>
                  <w:rStyle w:val="eop"/>
                  <w:sz w:val="22"/>
                </w:rPr>
                <w:delText> </w:delText>
              </w:r>
            </w:del>
          </w:p>
          <w:p w14:paraId="0E8ED054" w14:textId="6EAEA77E" w:rsidR="0015674E" w:rsidRPr="00E04B2A" w:rsidRDefault="00E453CD" w:rsidP="00DC6ED9">
            <w:pPr>
              <w:jc w:val="center"/>
              <w:rPr>
                <w:del w:id="3545" w:author="AbbVie02no" w:date="2025-05-15T12:36:00Z"/>
                <w:rStyle w:val="eop"/>
                <w:sz w:val="22"/>
              </w:rPr>
            </w:pPr>
            <w:del w:id="3546" w:author="AbbVie02no" w:date="2025-05-15T12:36:00Z">
              <w:r w:rsidRPr="00E04B2A">
                <w:rPr>
                  <w:rStyle w:val="normaltextrun"/>
                  <w:b/>
                  <w:sz w:val="22"/>
                </w:rPr>
                <w:delText>Maksim</w:delText>
              </w:r>
              <w:r w:rsidRPr="001D5C5A">
                <w:rPr>
                  <w:rStyle w:val="normaltextrun"/>
                  <w:b/>
                  <w:sz w:val="22"/>
                  <w:szCs w:val="22"/>
                </w:rPr>
                <w:delText>a</w:delText>
              </w:r>
              <w:r w:rsidRPr="0015674E">
                <w:rPr>
                  <w:rStyle w:val="normaltextrun"/>
                  <w:b/>
                  <w:sz w:val="22"/>
                  <w:szCs w:val="22"/>
                </w:rPr>
                <w:delText>lt</w:delText>
              </w:r>
              <w:r w:rsidRPr="00E04B2A">
                <w:rPr>
                  <w:rStyle w:val="normaltextrun"/>
                  <w:b/>
                  <w:sz w:val="22"/>
                </w:rPr>
                <w:delText xml:space="preserve"> 160</w:delText>
              </w:r>
              <w:r>
                <w:rPr>
                  <w:rStyle w:val="normaltextrun"/>
                  <w:b/>
                  <w:sz w:val="22"/>
                </w:rPr>
                <w:delText> </w:delText>
              </w:r>
              <w:r w:rsidRPr="00E04B2A">
                <w:rPr>
                  <w:rStyle w:val="normaltextrun"/>
                  <w:b/>
                  <w:sz w:val="22"/>
                </w:rPr>
                <w:delText xml:space="preserve">mg </w:delText>
              </w:r>
              <w:r>
                <w:rPr>
                  <w:rStyle w:val="normaltextrun"/>
                  <w:b/>
                  <w:sz w:val="22"/>
                </w:rPr>
                <w:delText>ved</w:delText>
              </w:r>
              <w:r w:rsidRPr="00E04B2A">
                <w:rPr>
                  <w:rStyle w:val="normaltextrun"/>
                  <w:b/>
                  <w:sz w:val="22"/>
                </w:rPr>
                <w:delText xml:space="preserve"> uke 0/placebo </w:delText>
              </w:r>
              <w:r>
                <w:rPr>
                  <w:rStyle w:val="normaltextrun"/>
                  <w:b/>
                  <w:sz w:val="22"/>
                </w:rPr>
                <w:delText>ved</w:delText>
              </w:r>
              <w:r w:rsidRPr="00E04B2A">
                <w:rPr>
                  <w:rStyle w:val="normaltextrun"/>
                  <w:b/>
                  <w:sz w:val="22"/>
                </w:rPr>
                <w:delText xml:space="preserve"> uke 1</w:delText>
              </w:r>
              <w:r w:rsidRPr="00E04B2A">
                <w:rPr>
                  <w:rStyle w:val="eop"/>
                  <w:sz w:val="22"/>
                </w:rPr>
                <w:delText> </w:delText>
              </w:r>
            </w:del>
          </w:p>
          <w:p w14:paraId="17DACC5B" w14:textId="231A7EAD" w:rsidR="0015674E" w:rsidRPr="00E04B2A" w:rsidRDefault="00E453CD" w:rsidP="00DC6ED9">
            <w:pPr>
              <w:jc w:val="center"/>
              <w:rPr>
                <w:del w:id="3547" w:author="AbbVie02no" w:date="2025-05-15T12:36:00Z"/>
                <w:sz w:val="22"/>
              </w:rPr>
            </w:pPr>
            <w:del w:id="3548" w:author="AbbVie02no" w:date="2025-05-15T12:36:00Z">
              <w:r w:rsidRPr="00E04B2A">
                <w:rPr>
                  <w:rStyle w:val="eop"/>
                  <w:sz w:val="22"/>
                </w:rPr>
                <w:delText>N = 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DE8E7C" w14:textId="74EFB39B" w:rsidR="0015674E" w:rsidRPr="00501579" w:rsidRDefault="00E453CD" w:rsidP="00DC6ED9">
            <w:pPr>
              <w:pStyle w:val="paragraph0"/>
              <w:spacing w:before="0" w:beforeAutospacing="0" w:after="0" w:afterAutospacing="0"/>
              <w:jc w:val="center"/>
              <w:textAlignment w:val="baseline"/>
              <w:rPr>
                <w:del w:id="3549" w:author="AbbVie02no" w:date="2025-05-15T12:36:00Z"/>
                <w:sz w:val="22"/>
                <w:szCs w:val="22"/>
              </w:rPr>
            </w:pPr>
            <w:del w:id="3550" w:author="AbbVie02no" w:date="2025-05-15T12:36:00Z">
              <w:r w:rsidRPr="00EF5F5C">
                <w:rPr>
                  <w:rStyle w:val="spellingerror"/>
                  <w:b/>
                  <w:sz w:val="22"/>
                </w:rPr>
                <w:delText>Humira</w:delText>
              </w:r>
              <w:r w:rsidRPr="00EF5F5C">
                <w:rPr>
                  <w:rStyle w:val="spellingerror"/>
                  <w:b/>
                  <w:sz w:val="22"/>
                  <w:vertAlign w:val="superscript"/>
                </w:rPr>
                <w:delText>b</w:delText>
              </w:r>
              <w:r w:rsidRPr="00406612">
                <w:rPr>
                  <w:rStyle w:val="normaltextrun"/>
                  <w:b/>
                  <w:sz w:val="22"/>
                  <w:vertAlign w:val="superscript"/>
                </w:rPr>
                <w:delText>, c</w:delText>
              </w:r>
              <w:r w:rsidRPr="00501579">
                <w:rPr>
                  <w:rStyle w:val="eop"/>
                  <w:sz w:val="22"/>
                </w:rPr>
                <w:delText> </w:delText>
              </w:r>
            </w:del>
          </w:p>
          <w:p w14:paraId="580CF334" w14:textId="71DCBD31" w:rsidR="0015674E" w:rsidRPr="00E04B2A" w:rsidRDefault="00E453CD" w:rsidP="00DC6ED9">
            <w:pPr>
              <w:jc w:val="center"/>
              <w:rPr>
                <w:del w:id="3551" w:author="AbbVie02no" w:date="2025-05-15T12:36:00Z"/>
                <w:rStyle w:val="eop"/>
                <w:sz w:val="22"/>
              </w:rPr>
            </w:pPr>
            <w:del w:id="3552" w:author="AbbVie02no" w:date="2025-05-15T12:36:00Z">
              <w:r w:rsidRPr="00E04B2A">
                <w:rPr>
                  <w:rStyle w:val="normaltextrun"/>
                  <w:b/>
                  <w:sz w:val="22"/>
                </w:rPr>
                <w:delText>Maksim</w:delText>
              </w:r>
              <w:r>
                <w:rPr>
                  <w:rStyle w:val="normaltextrun"/>
                  <w:b/>
                  <w:sz w:val="22"/>
                </w:rPr>
                <w:delText>alt</w:delText>
              </w:r>
              <w:r w:rsidRPr="00E04B2A">
                <w:rPr>
                  <w:rStyle w:val="normaltextrun"/>
                  <w:b/>
                  <w:sz w:val="22"/>
                </w:rPr>
                <w:delText xml:space="preserve"> 160</w:delText>
              </w:r>
              <w:r>
                <w:rPr>
                  <w:rStyle w:val="normaltextrun"/>
                  <w:b/>
                  <w:sz w:val="22"/>
                </w:rPr>
                <w:delText> </w:delText>
              </w:r>
              <w:r w:rsidRPr="00E04B2A">
                <w:rPr>
                  <w:rStyle w:val="normaltextrun"/>
                  <w:b/>
                  <w:sz w:val="22"/>
                </w:rPr>
                <w:delText xml:space="preserve">mg </w:delText>
              </w:r>
              <w:r>
                <w:rPr>
                  <w:rStyle w:val="normaltextrun"/>
                  <w:b/>
                  <w:sz w:val="22"/>
                </w:rPr>
                <w:delText>ved</w:delText>
              </w:r>
              <w:r w:rsidRPr="00E04B2A">
                <w:rPr>
                  <w:rStyle w:val="normaltextrun"/>
                  <w:b/>
                  <w:sz w:val="22"/>
                </w:rPr>
                <w:delText xml:space="preserve"> uke 0 og uke 1</w:delText>
              </w:r>
              <w:r w:rsidRPr="00E04B2A">
                <w:rPr>
                  <w:rStyle w:val="eop"/>
                  <w:sz w:val="22"/>
                </w:rPr>
                <w:delText> </w:delText>
              </w:r>
            </w:del>
          </w:p>
          <w:p w14:paraId="03DAE8A9" w14:textId="564F0136" w:rsidR="0015674E" w:rsidRPr="00E04B2A" w:rsidRDefault="00E453CD" w:rsidP="00DC6ED9">
            <w:pPr>
              <w:jc w:val="center"/>
              <w:rPr>
                <w:del w:id="3553" w:author="AbbVie02no" w:date="2025-05-15T12:36:00Z"/>
                <w:sz w:val="22"/>
              </w:rPr>
            </w:pPr>
            <w:del w:id="3554" w:author="AbbVie02no" w:date="2025-05-15T12:36:00Z">
              <w:r w:rsidRPr="00E04B2A">
                <w:rPr>
                  <w:rStyle w:val="eop"/>
                  <w:sz w:val="22"/>
                </w:rPr>
                <w:delText>N = 47</w:delText>
              </w:r>
            </w:del>
          </w:p>
        </w:tc>
      </w:tr>
      <w:tr w:rsidR="004644D4" w14:paraId="5206B548" w14:textId="5EA7DFC8" w:rsidTr="00DC6ED9">
        <w:trPr>
          <w:jc w:val="center"/>
          <w:del w:id="3555" w:author="AbbVie02no" w:date="2025-05-15T12:36: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FEBC2E" w14:textId="1C49EA9B" w:rsidR="0015674E" w:rsidRPr="00E04B2A" w:rsidRDefault="00E453CD" w:rsidP="00DC6ED9">
            <w:pPr>
              <w:rPr>
                <w:del w:id="3556" w:author="AbbVie02no" w:date="2025-05-15T12:36:00Z"/>
                <w:sz w:val="22"/>
              </w:rPr>
            </w:pPr>
            <w:del w:id="3557" w:author="AbbVie02no" w:date="2025-05-15T12:36:00Z">
              <w:r w:rsidRPr="00E04B2A">
                <w:rPr>
                  <w:sz w:val="22"/>
                </w:rPr>
                <w:delText>Klinisk remisjon</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98615F0" w14:textId="1BD01CB4" w:rsidR="0015674E" w:rsidRPr="00E04B2A" w:rsidRDefault="00E453CD" w:rsidP="00DC6ED9">
            <w:pPr>
              <w:jc w:val="center"/>
              <w:rPr>
                <w:del w:id="3558" w:author="AbbVie02no" w:date="2025-05-15T12:36:00Z"/>
                <w:sz w:val="22"/>
              </w:rPr>
            </w:pPr>
            <w:del w:id="3559" w:author="AbbVie02no" w:date="2025-05-15T12:36:00Z">
              <w:r w:rsidRPr="00E04B2A">
                <w:rPr>
                  <w:sz w:val="22"/>
                </w:rPr>
                <w:delText>13/30 (43,3</w:delText>
              </w:r>
              <w:r>
                <w:rPr>
                  <w:sz w:val="22"/>
                </w:rPr>
                <w:delText> </w:delText>
              </w:r>
              <w:r w:rsidRPr="00E04B2A">
                <w:rPr>
                  <w:sz w:val="22"/>
                </w:rPr>
                <w:delText>%)</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048FA0" w14:textId="3E6C5FE6" w:rsidR="0015674E" w:rsidRPr="00E04B2A" w:rsidRDefault="00E453CD" w:rsidP="00DC6ED9">
            <w:pPr>
              <w:jc w:val="center"/>
              <w:rPr>
                <w:del w:id="3560" w:author="AbbVie02no" w:date="2025-05-15T12:36:00Z"/>
                <w:sz w:val="22"/>
                <w:vertAlign w:val="superscript"/>
              </w:rPr>
            </w:pPr>
            <w:del w:id="3561" w:author="AbbVie02no" w:date="2025-05-15T12:36:00Z">
              <w:r w:rsidRPr="00E04B2A">
                <w:rPr>
                  <w:sz w:val="22"/>
                </w:rPr>
                <w:delText>28/47 (59,6</w:delText>
              </w:r>
              <w:r>
                <w:rPr>
                  <w:sz w:val="22"/>
                </w:rPr>
                <w:delText> </w:delText>
              </w:r>
              <w:r w:rsidRPr="00E04B2A">
                <w:rPr>
                  <w:sz w:val="22"/>
                </w:rPr>
                <w:delText>%)</w:delText>
              </w:r>
            </w:del>
          </w:p>
        </w:tc>
      </w:tr>
      <w:tr w:rsidR="004644D4" w14:paraId="6B5701EA" w14:textId="3E5EBBFD" w:rsidTr="00DC6ED9">
        <w:trPr>
          <w:trHeight w:val="2517"/>
          <w:jc w:val="center"/>
          <w:del w:id="3562" w:author="AbbVie02no" w:date="2025-05-15T12:36: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66561EC" w14:textId="378D527A" w:rsidR="0015674E" w:rsidRPr="00501579" w:rsidRDefault="00E453CD" w:rsidP="00DC6ED9">
            <w:pPr>
              <w:pStyle w:val="paragraph0"/>
              <w:spacing w:before="0" w:beforeAutospacing="0" w:after="0" w:afterAutospacing="0"/>
              <w:textAlignment w:val="baseline"/>
              <w:rPr>
                <w:del w:id="3563" w:author="AbbVie02no" w:date="2025-05-15T12:36:00Z"/>
                <w:sz w:val="22"/>
                <w:szCs w:val="22"/>
              </w:rPr>
            </w:pPr>
            <w:del w:id="3564" w:author="AbbVie02no" w:date="2025-05-15T12:36:00Z">
              <w:r w:rsidRPr="00EF5F5C">
                <w:rPr>
                  <w:rStyle w:val="normaltextrun"/>
                  <w:sz w:val="22"/>
                  <w:vertAlign w:val="superscript"/>
                </w:rPr>
                <w:delText>a</w:delText>
              </w:r>
              <w:r w:rsidRPr="00EF5F5C">
                <w:rPr>
                  <w:rStyle w:val="normaltextrun"/>
                  <w:sz w:val="22"/>
                </w:rPr>
                <w:delText>Humira 2,4</w:delText>
              </w:r>
              <w:r>
                <w:rPr>
                  <w:rStyle w:val="normaltextrun"/>
                  <w:sz w:val="22"/>
                </w:rPr>
                <w:delText> </w:delText>
              </w:r>
              <w:r w:rsidRPr="00EF5F5C">
                <w:rPr>
                  <w:rStyle w:val="normaltextrun"/>
                  <w:sz w:val="22"/>
                </w:rPr>
                <w:delText>mg/kg (maksim</w:delText>
              </w:r>
              <w:r>
                <w:rPr>
                  <w:rStyle w:val="normaltextrun"/>
                  <w:sz w:val="22"/>
                </w:rPr>
                <w:delText>alt</w:delText>
              </w:r>
              <w:r w:rsidRPr="00EF5F5C">
                <w:rPr>
                  <w:rStyle w:val="normaltextrun"/>
                  <w:sz w:val="22"/>
                </w:rPr>
                <w:delText xml:space="preserve"> 160</w:delText>
              </w:r>
              <w:r>
                <w:rPr>
                  <w:rStyle w:val="normaltextrun"/>
                  <w:sz w:val="22"/>
                </w:rPr>
                <w:delText> </w:delText>
              </w:r>
              <w:r w:rsidRPr="00EF5F5C">
                <w:rPr>
                  <w:rStyle w:val="normaltextrun"/>
                  <w:sz w:val="22"/>
                </w:rPr>
                <w:delText>mg) i uke 0, placebo i uke 1 og 1,2</w:delText>
              </w:r>
              <w:r>
                <w:rPr>
                  <w:rStyle w:val="normaltextrun"/>
                  <w:sz w:val="22"/>
                </w:rPr>
                <w:delText> </w:delText>
              </w:r>
              <w:r w:rsidRPr="00EF5F5C">
                <w:rPr>
                  <w:rStyle w:val="normaltextrun"/>
                  <w:sz w:val="22"/>
                </w:rPr>
                <w:delText>mg/kg (maksim</w:delText>
              </w:r>
              <w:r>
                <w:rPr>
                  <w:rStyle w:val="normaltextrun"/>
                  <w:sz w:val="22"/>
                </w:rPr>
                <w:delText>alt</w:delText>
              </w:r>
              <w:r w:rsidRPr="00EF5F5C">
                <w:rPr>
                  <w:rStyle w:val="normaltextrun"/>
                  <w:sz w:val="22"/>
                </w:rPr>
                <w:delText xml:space="preserve"> 80</w:delText>
              </w:r>
              <w:r>
                <w:rPr>
                  <w:rStyle w:val="normaltextrun"/>
                  <w:sz w:val="22"/>
                </w:rPr>
                <w:delText> </w:delText>
              </w:r>
              <w:r w:rsidRPr="00EF5F5C">
                <w:rPr>
                  <w:rStyle w:val="normaltextrun"/>
                  <w:sz w:val="22"/>
                </w:rPr>
                <w:delText>mg)</w:delText>
              </w:r>
              <w:r w:rsidRPr="00406612">
                <w:rPr>
                  <w:rStyle w:val="normaltextrun"/>
                  <w:sz w:val="22"/>
                </w:rPr>
                <w:delText xml:space="preserve"> i uke 2</w:delText>
              </w:r>
            </w:del>
          </w:p>
          <w:p w14:paraId="5A6A819C" w14:textId="1655B3A1" w:rsidR="0015674E" w:rsidRPr="008F0D97" w:rsidRDefault="00E453CD" w:rsidP="00DC6ED9">
            <w:pPr>
              <w:pStyle w:val="paragraph0"/>
              <w:spacing w:before="0" w:beforeAutospacing="0" w:after="0" w:afterAutospacing="0"/>
              <w:textAlignment w:val="baseline"/>
              <w:rPr>
                <w:del w:id="3565" w:author="AbbVie02no" w:date="2025-05-15T12:36:00Z"/>
                <w:sz w:val="22"/>
                <w:szCs w:val="22"/>
              </w:rPr>
            </w:pPr>
            <w:del w:id="3566" w:author="AbbVie02no" w:date="2025-05-15T12:36:00Z">
              <w:r w:rsidRPr="0071729B">
                <w:rPr>
                  <w:rStyle w:val="normaltextrun"/>
                  <w:sz w:val="22"/>
                  <w:vertAlign w:val="superscript"/>
                </w:rPr>
                <w:delText>b</w:delText>
              </w:r>
              <w:r w:rsidRPr="00B61B62">
                <w:rPr>
                  <w:rStyle w:val="normaltextrun"/>
                  <w:sz w:val="22"/>
                </w:rPr>
                <w:delText>Humira 2,4</w:delText>
              </w:r>
              <w:r>
                <w:rPr>
                  <w:rStyle w:val="normaltextrun"/>
                  <w:sz w:val="22"/>
                </w:rPr>
                <w:delText> </w:delText>
              </w:r>
              <w:r w:rsidRPr="00B61B62">
                <w:rPr>
                  <w:rStyle w:val="normaltextrun"/>
                  <w:sz w:val="22"/>
                </w:rPr>
                <w:delText>mg/kg (maksim</w:delText>
              </w:r>
              <w:r>
                <w:rPr>
                  <w:rStyle w:val="normaltextrun"/>
                  <w:sz w:val="22"/>
                </w:rPr>
                <w:delText>alt</w:delText>
              </w:r>
              <w:r w:rsidRPr="00B61B62">
                <w:rPr>
                  <w:rStyle w:val="normaltextrun"/>
                  <w:sz w:val="22"/>
                </w:rPr>
                <w:delText xml:space="preserve"> 160</w:delText>
              </w:r>
              <w:r>
                <w:rPr>
                  <w:rStyle w:val="normaltextrun"/>
                  <w:sz w:val="22"/>
                </w:rPr>
                <w:delText> </w:delText>
              </w:r>
              <w:r w:rsidRPr="00B61B62">
                <w:rPr>
                  <w:rStyle w:val="normaltextrun"/>
                  <w:sz w:val="22"/>
                </w:rPr>
                <w:delText>mg) i uke 0 og uke 1 og 1,2</w:delText>
              </w:r>
              <w:r>
                <w:rPr>
                  <w:rStyle w:val="normaltextrun"/>
                  <w:sz w:val="22"/>
                </w:rPr>
                <w:delText> </w:delText>
              </w:r>
              <w:r w:rsidRPr="00B61B62">
                <w:rPr>
                  <w:rStyle w:val="normaltextrun"/>
                  <w:sz w:val="22"/>
                </w:rPr>
                <w:delText>mg/kg (maksim</w:delText>
              </w:r>
              <w:r>
                <w:rPr>
                  <w:rStyle w:val="normaltextrun"/>
                  <w:sz w:val="22"/>
                </w:rPr>
                <w:delText>alt</w:delText>
              </w:r>
              <w:r w:rsidRPr="00B61B62">
                <w:rPr>
                  <w:rStyle w:val="normaltextrun"/>
                  <w:sz w:val="22"/>
                </w:rPr>
                <w:delText xml:space="preserve"> 80</w:delText>
              </w:r>
              <w:r>
                <w:rPr>
                  <w:rStyle w:val="normaltextrun"/>
                  <w:sz w:val="22"/>
                </w:rPr>
                <w:delText> </w:delText>
              </w:r>
              <w:r w:rsidRPr="00B61B62">
                <w:rPr>
                  <w:rStyle w:val="normaltextrun"/>
                  <w:sz w:val="22"/>
                </w:rPr>
                <w:delText>mg) i uke 2</w:delText>
              </w:r>
              <w:r w:rsidRPr="00CA4509">
                <w:rPr>
                  <w:rStyle w:val="eop"/>
                  <w:sz w:val="22"/>
                </w:rPr>
                <w:delText> </w:delText>
              </w:r>
            </w:del>
          </w:p>
          <w:p w14:paraId="42FB2692" w14:textId="12681CE1" w:rsidR="0015674E" w:rsidRPr="0013423D" w:rsidRDefault="00E453CD" w:rsidP="00DC6ED9">
            <w:pPr>
              <w:pStyle w:val="paragraph0"/>
              <w:spacing w:before="0" w:beforeAutospacing="0" w:after="0" w:afterAutospacing="0"/>
              <w:textAlignment w:val="baseline"/>
              <w:rPr>
                <w:del w:id="3567" w:author="AbbVie02no" w:date="2025-05-15T12:36:00Z"/>
                <w:sz w:val="22"/>
                <w:szCs w:val="22"/>
              </w:rPr>
            </w:pPr>
            <w:del w:id="3568" w:author="AbbVie02no" w:date="2025-05-15T12:36:00Z">
              <w:r w:rsidRPr="00B3193F">
                <w:rPr>
                  <w:rStyle w:val="normaltextrun"/>
                  <w:sz w:val="22"/>
                  <w:vertAlign w:val="superscript"/>
                </w:rPr>
                <w:delText>c</w:delText>
              </w:r>
              <w:r w:rsidRPr="00205D90">
                <w:rPr>
                  <w:rStyle w:val="normaltextrun"/>
                  <w:sz w:val="22"/>
                </w:rPr>
                <w:delText xml:space="preserve">Inkluderer ikke åpen induksjonsdose </w:delText>
              </w:r>
              <w:r w:rsidRPr="00DD085C">
                <w:rPr>
                  <w:rStyle w:val="normaltextrun"/>
                  <w:sz w:val="22"/>
                  <w:szCs w:val="22"/>
                </w:rPr>
                <w:delText>m</w:delText>
              </w:r>
              <w:r w:rsidRPr="0015674E">
                <w:rPr>
                  <w:rStyle w:val="normaltextrun"/>
                  <w:sz w:val="22"/>
                  <w:szCs w:val="22"/>
                </w:rPr>
                <w:delText>ed</w:delText>
              </w:r>
              <w:r w:rsidRPr="00205D90">
                <w:rPr>
                  <w:rStyle w:val="normaltextrun"/>
                  <w:sz w:val="22"/>
                </w:rPr>
                <w:delText xml:space="preserve"> Humira 2,4</w:delText>
              </w:r>
              <w:r>
                <w:rPr>
                  <w:rStyle w:val="normaltextrun"/>
                  <w:sz w:val="22"/>
                </w:rPr>
                <w:delText> </w:delText>
              </w:r>
              <w:r w:rsidRPr="00205D90">
                <w:rPr>
                  <w:rStyle w:val="normaltextrun"/>
                  <w:sz w:val="22"/>
                </w:rPr>
                <w:delText>mg/kg (maksim</w:delText>
              </w:r>
              <w:r>
                <w:rPr>
                  <w:rStyle w:val="normaltextrun"/>
                  <w:sz w:val="22"/>
                </w:rPr>
                <w:delText>alt</w:delText>
              </w:r>
              <w:r w:rsidRPr="00205D90">
                <w:rPr>
                  <w:rStyle w:val="normaltextrun"/>
                  <w:sz w:val="22"/>
                </w:rPr>
                <w:delText xml:space="preserve"> 160</w:delText>
              </w:r>
              <w:r>
                <w:rPr>
                  <w:rStyle w:val="normaltextrun"/>
                  <w:sz w:val="22"/>
                </w:rPr>
                <w:delText> </w:delText>
              </w:r>
              <w:r w:rsidRPr="00205D90">
                <w:rPr>
                  <w:rStyle w:val="normaltextrun"/>
                  <w:sz w:val="22"/>
                </w:rPr>
                <w:delText>mg) i uke 0 og uke 1 og 1,2 mg/kg (maksim</w:delText>
              </w:r>
              <w:r>
                <w:rPr>
                  <w:rStyle w:val="normaltextrun"/>
                  <w:sz w:val="22"/>
                </w:rPr>
                <w:delText>alt</w:delText>
              </w:r>
              <w:r w:rsidRPr="00205D90">
                <w:rPr>
                  <w:rStyle w:val="normaltextrun"/>
                  <w:sz w:val="22"/>
                </w:rPr>
                <w:delText xml:space="preserve"> 80</w:delText>
              </w:r>
              <w:r>
                <w:rPr>
                  <w:rStyle w:val="normaltextrun"/>
                  <w:sz w:val="22"/>
                </w:rPr>
                <w:delText> </w:delText>
              </w:r>
              <w:r w:rsidRPr="00205D90">
                <w:rPr>
                  <w:rStyle w:val="normaltextrun"/>
                  <w:sz w:val="22"/>
                </w:rPr>
                <w:delText>mg) i uke 2</w:delText>
              </w:r>
            </w:del>
          </w:p>
          <w:p w14:paraId="38039445" w14:textId="6F4379AA" w:rsidR="0015674E" w:rsidRPr="00E54C66" w:rsidRDefault="00E453CD" w:rsidP="00DC6ED9">
            <w:pPr>
              <w:pStyle w:val="paragraph0"/>
              <w:spacing w:before="0" w:beforeAutospacing="0" w:after="0" w:afterAutospacing="0"/>
              <w:textAlignment w:val="baseline"/>
              <w:rPr>
                <w:del w:id="3569" w:author="AbbVie02no" w:date="2025-05-15T12:36:00Z"/>
                <w:sz w:val="22"/>
                <w:szCs w:val="22"/>
              </w:rPr>
            </w:pPr>
            <w:del w:id="3570" w:author="AbbVie02no" w:date="2025-05-15T12:36:00Z">
              <w:r w:rsidRPr="00480BF1">
                <w:rPr>
                  <w:rStyle w:val="normaltextrun"/>
                  <w:sz w:val="22"/>
                </w:rPr>
                <w:delText>Merknad 1: Begge induks</w:delText>
              </w:r>
              <w:r w:rsidRPr="00D479C1">
                <w:rPr>
                  <w:rStyle w:val="normaltextrun"/>
                  <w:sz w:val="22"/>
                </w:rPr>
                <w:delText>jonsgrupper fikk 0,6</w:delText>
              </w:r>
              <w:r>
                <w:rPr>
                  <w:rStyle w:val="normaltextrun"/>
                  <w:sz w:val="22"/>
                </w:rPr>
                <w:delText> </w:delText>
              </w:r>
              <w:r w:rsidRPr="00D479C1">
                <w:rPr>
                  <w:rStyle w:val="normaltextrun"/>
                  <w:sz w:val="22"/>
                </w:rPr>
                <w:delText>mg/kg (maksimalt 40</w:delText>
              </w:r>
              <w:r>
                <w:rPr>
                  <w:rStyle w:val="normaltextrun"/>
                  <w:sz w:val="22"/>
                </w:rPr>
                <w:delText> </w:delText>
              </w:r>
              <w:r w:rsidRPr="00D479C1">
                <w:rPr>
                  <w:rStyle w:val="normaltextrun"/>
                  <w:sz w:val="22"/>
                </w:rPr>
                <w:delText>mg) i uke 4 og uke 6</w:delText>
              </w:r>
            </w:del>
          </w:p>
          <w:p w14:paraId="7C5BDDC0" w14:textId="49F45B48" w:rsidR="0015674E" w:rsidRPr="005640DB" w:rsidRDefault="00E453CD" w:rsidP="00DC6ED9">
            <w:pPr>
              <w:pStyle w:val="paragraph0"/>
              <w:spacing w:before="0" w:beforeAutospacing="0" w:after="0" w:afterAutospacing="0"/>
              <w:textAlignment w:val="baseline"/>
              <w:rPr>
                <w:del w:id="3571" w:author="AbbVie02no" w:date="2025-05-15T12:36:00Z"/>
                <w:sz w:val="22"/>
                <w:szCs w:val="22"/>
              </w:rPr>
            </w:pPr>
            <w:del w:id="3572" w:author="AbbVie02no" w:date="2025-05-15T12:36:00Z">
              <w:r w:rsidRPr="00FA6C87">
                <w:rPr>
                  <w:rStyle w:val="normaltextrun"/>
                  <w:sz w:val="22"/>
                </w:rPr>
                <w:delText xml:space="preserve">Merknad 2: Pasienter med manglende verdier </w:delText>
              </w:r>
              <w:r>
                <w:rPr>
                  <w:rStyle w:val="normaltextrun"/>
                  <w:sz w:val="22"/>
                </w:rPr>
                <w:delText>ved</w:delText>
              </w:r>
              <w:r w:rsidRPr="00FA6C87">
                <w:rPr>
                  <w:rStyle w:val="normaltextrun"/>
                  <w:sz w:val="22"/>
                </w:rPr>
                <w:delText xml:space="preserve"> uke 8 ble ansett som ikke å ha </w:delText>
              </w:r>
              <w:r>
                <w:rPr>
                  <w:rStyle w:val="normaltextrun"/>
                  <w:sz w:val="22"/>
                </w:rPr>
                <w:delText>opp</w:delText>
              </w:r>
              <w:r w:rsidRPr="00FA6C87">
                <w:rPr>
                  <w:rStyle w:val="normaltextrun"/>
                  <w:sz w:val="22"/>
                </w:rPr>
                <w:delText>nådd endepunktet</w:delText>
              </w:r>
              <w:r w:rsidRPr="005640DB">
                <w:rPr>
                  <w:rStyle w:val="eop"/>
                  <w:sz w:val="22"/>
                </w:rPr>
                <w:delText> </w:delText>
              </w:r>
            </w:del>
          </w:p>
        </w:tc>
      </w:tr>
    </w:tbl>
    <w:p w14:paraId="03F14EE5" w14:textId="535EA2CA" w:rsidR="0015674E" w:rsidRPr="00E04B2A" w:rsidRDefault="0015674E" w:rsidP="0015674E">
      <w:pPr>
        <w:rPr>
          <w:del w:id="3573" w:author="AbbVie02no" w:date="2025-05-15T12:36:00Z"/>
          <w:rStyle w:val="normaltextrun"/>
          <w:sz w:val="22"/>
          <w:shd w:val="clear" w:color="auto" w:fill="FFFFFF"/>
        </w:rPr>
      </w:pPr>
    </w:p>
    <w:p w14:paraId="5B6C556C" w14:textId="5E0A78DD" w:rsidR="0015674E" w:rsidRPr="00E04B2A" w:rsidRDefault="00E453CD" w:rsidP="0015674E">
      <w:pPr>
        <w:rPr>
          <w:del w:id="3574" w:author="AbbVie02no" w:date="2025-05-15T12:36:00Z"/>
          <w:sz w:val="22"/>
        </w:rPr>
      </w:pPr>
      <w:del w:id="3575" w:author="AbbVie02no" w:date="2025-05-15T12:36:00Z">
        <w:r w:rsidRPr="006D23E7">
          <w:rPr>
            <w:sz w:val="22"/>
          </w:rPr>
          <w:delText>Hos pasienter som fikk Humira dobbeltblindede maksimale vedlikeholdsdoser på 40</w:delText>
        </w:r>
        <w:r w:rsidR="00994D65">
          <w:rPr>
            <w:sz w:val="22"/>
          </w:rPr>
          <w:delText> </w:delText>
        </w:r>
        <w:r w:rsidRPr="006D23E7">
          <w:rPr>
            <w:sz w:val="22"/>
          </w:rPr>
          <w:delText>mg annenhver uke (0,6</w:delText>
        </w:r>
        <w:r w:rsidR="00994D65">
          <w:rPr>
            <w:sz w:val="22"/>
          </w:rPr>
          <w:delText> </w:delText>
        </w:r>
        <w:r w:rsidRPr="006D23E7">
          <w:rPr>
            <w:sz w:val="22"/>
          </w:rPr>
          <w:delText>mg/kg) og 40</w:delText>
        </w:r>
        <w:r w:rsidR="00994D65">
          <w:rPr>
            <w:sz w:val="22"/>
          </w:rPr>
          <w:delText> </w:delText>
        </w:r>
        <w:r w:rsidRPr="006D23E7">
          <w:rPr>
            <w:sz w:val="22"/>
          </w:rPr>
          <w:delText>mg hver uke (0,6</w:delText>
        </w:r>
        <w:r w:rsidR="00994D65">
          <w:rPr>
            <w:sz w:val="22"/>
          </w:rPr>
          <w:delText> </w:delText>
        </w:r>
        <w:r w:rsidRPr="006D23E7">
          <w:rPr>
            <w:sz w:val="22"/>
          </w:rPr>
          <w:delText>mg/kg) ble klinisk remisjon iht. FMS hos pasienter med respons ved uke 8, klinisk respons iht. FMS (definert som en reduksjon i Mayo score ≥</w:delText>
        </w:r>
        <w:r w:rsidR="00994D65">
          <w:rPr>
            <w:sz w:val="22"/>
          </w:rPr>
          <w:delText> </w:delText>
        </w:r>
        <w:r w:rsidRPr="006D23E7">
          <w:rPr>
            <w:sz w:val="22"/>
          </w:rPr>
          <w:delText>3 poeng og ≥</w:delText>
        </w:r>
        <w:r w:rsidR="00994D65">
          <w:rPr>
            <w:sz w:val="22"/>
          </w:rPr>
          <w:delText> </w:delText>
        </w:r>
        <w:r w:rsidRPr="006D23E7">
          <w:rPr>
            <w:sz w:val="22"/>
          </w:rPr>
          <w:delText>30 % fra baseline) hos pasienter med respons ved uke 8, slimhinnetilheling (definert som Mayo</w:delText>
        </w:r>
        <w:r w:rsidR="005F1BCB">
          <w:rPr>
            <w:sz w:val="22"/>
          </w:rPr>
          <w:delText xml:space="preserve"> </w:delText>
        </w:r>
        <w:r w:rsidRPr="006D23E7">
          <w:rPr>
            <w:sz w:val="22"/>
          </w:rPr>
          <w:delText>endoskopi</w:delText>
        </w:r>
        <w:r w:rsidR="005F1BCB">
          <w:rPr>
            <w:sz w:val="22"/>
          </w:rPr>
          <w:delText xml:space="preserve"> sub</w:delText>
        </w:r>
        <w:r w:rsidRPr="006D23E7">
          <w:rPr>
            <w:sz w:val="22"/>
          </w:rPr>
          <w:delText>score ≤</w:delText>
        </w:r>
        <w:r w:rsidR="00994D65">
          <w:rPr>
            <w:sz w:val="22"/>
          </w:rPr>
          <w:delText> </w:delText>
        </w:r>
        <w:r w:rsidRPr="006D23E7">
          <w:rPr>
            <w:sz w:val="22"/>
          </w:rPr>
          <w:delText>1) hos pasienter med respons ved uke 8, klinisk remisjon iht. FMS hos pasienter i remisjon ved uke 8, og andelen pasienter i kortikosteroidfri remisjon iht. FMS hos pasienter med respons ved uke 8 vurdert ved uke 52 (tabell 27).</w:delText>
        </w:r>
      </w:del>
    </w:p>
    <w:p w14:paraId="6615ECD8" w14:textId="52CB8DF3" w:rsidR="0015674E" w:rsidRPr="00E04B2A" w:rsidRDefault="0015674E" w:rsidP="0015674E">
      <w:pPr>
        <w:rPr>
          <w:del w:id="3576" w:author="AbbVie02no" w:date="2025-05-15T12:36:00Z"/>
          <w:sz w:val="22"/>
        </w:rPr>
      </w:pPr>
    </w:p>
    <w:p w14:paraId="722C07C9" w14:textId="63D24E57" w:rsidR="0015674E" w:rsidRPr="00E04B2A" w:rsidRDefault="00E453CD" w:rsidP="0015674E">
      <w:pPr>
        <w:jc w:val="center"/>
        <w:textAlignment w:val="baseline"/>
        <w:rPr>
          <w:del w:id="3577" w:author="AbbVie02no" w:date="2025-05-15T12:36:00Z"/>
          <w:sz w:val="22"/>
        </w:rPr>
      </w:pPr>
      <w:del w:id="3578" w:author="AbbVie02no" w:date="2025-05-15T12:36:00Z">
        <w:r w:rsidRPr="00E04B2A">
          <w:rPr>
            <w:b/>
            <w:sz w:val="22"/>
          </w:rPr>
          <w:delText xml:space="preserve">Tabell 27: Effektresultater </w:delText>
        </w:r>
        <w:r w:rsidRPr="007031B5">
          <w:rPr>
            <w:b/>
            <w:sz w:val="22"/>
          </w:rPr>
          <w:delText xml:space="preserve">ved </w:delText>
        </w:r>
        <w:r>
          <w:rPr>
            <w:b/>
            <w:sz w:val="22"/>
          </w:rPr>
          <w:delText>uke 52</w:delText>
        </w:r>
        <w:r w:rsidRPr="00E04B2A">
          <w:rPr>
            <w:sz w:val="22"/>
          </w:rPr>
          <w:delText> </w:delText>
        </w:r>
      </w:del>
    </w:p>
    <w:p w14:paraId="1E33AAC0" w14:textId="161456F8" w:rsidR="0015674E" w:rsidRPr="00E04B2A" w:rsidRDefault="0015674E" w:rsidP="0015674E">
      <w:pPr>
        <w:jc w:val="center"/>
        <w:textAlignment w:val="baseline"/>
        <w:rPr>
          <w:del w:id="3579" w:author="AbbVie02no" w:date="2025-05-15T12:36:00Z"/>
          <w:sz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49"/>
        <w:gridCol w:w="2633"/>
      </w:tblGrid>
      <w:tr w:rsidR="004644D4" w14:paraId="1F1113C2" w14:textId="058503CF" w:rsidTr="00DC6ED9">
        <w:trPr>
          <w:trHeight w:val="912"/>
          <w:jc w:val="center"/>
          <w:del w:id="3580" w:author="AbbVie02no" w:date="2025-05-15T12:36:00Z"/>
        </w:trPr>
        <w:tc>
          <w:tcPr>
            <w:tcW w:w="2686" w:type="dxa"/>
            <w:tcBorders>
              <w:top w:val="single" w:sz="6" w:space="0" w:color="auto"/>
              <w:left w:val="single" w:sz="6" w:space="0" w:color="auto"/>
              <w:bottom w:val="single" w:sz="6" w:space="0" w:color="auto"/>
              <w:right w:val="single" w:sz="6" w:space="0" w:color="auto"/>
            </w:tcBorders>
            <w:hideMark/>
          </w:tcPr>
          <w:p w14:paraId="3F2A3DA0" w14:textId="25592922" w:rsidR="0015674E" w:rsidRPr="00E04B2A" w:rsidRDefault="0015674E" w:rsidP="00DC6ED9">
            <w:pPr>
              <w:jc w:val="center"/>
              <w:textAlignment w:val="baseline"/>
              <w:rPr>
                <w:del w:id="3581" w:author="AbbVie02no" w:date="2025-05-15T12:36:00Z"/>
                <w:sz w:val="22"/>
                <w:lang w:eastAsia="en-GB"/>
              </w:rPr>
            </w:pPr>
          </w:p>
        </w:tc>
        <w:tc>
          <w:tcPr>
            <w:tcW w:w="2249" w:type="dxa"/>
            <w:tcBorders>
              <w:top w:val="single" w:sz="6" w:space="0" w:color="auto"/>
              <w:left w:val="nil"/>
              <w:bottom w:val="single" w:sz="6" w:space="0" w:color="auto"/>
              <w:right w:val="single" w:sz="6" w:space="0" w:color="auto"/>
            </w:tcBorders>
            <w:vAlign w:val="center"/>
            <w:hideMark/>
          </w:tcPr>
          <w:p w14:paraId="528AED9A" w14:textId="60A3013C" w:rsidR="0015674E" w:rsidRPr="00E04B2A" w:rsidRDefault="00E453CD" w:rsidP="00DC6ED9">
            <w:pPr>
              <w:jc w:val="center"/>
              <w:textAlignment w:val="baseline"/>
              <w:rPr>
                <w:del w:id="3582" w:author="AbbVie02no" w:date="2025-05-15T12:36:00Z"/>
                <w:sz w:val="22"/>
              </w:rPr>
            </w:pPr>
            <w:del w:id="3583" w:author="AbbVie02no" w:date="2025-05-15T12:36:00Z">
              <w:r w:rsidRPr="00E04B2A">
                <w:rPr>
                  <w:b/>
                  <w:sz w:val="22"/>
                </w:rPr>
                <w:delText>Humira</w:delText>
              </w:r>
              <w:r w:rsidRPr="00E04B2A">
                <w:rPr>
                  <w:b/>
                  <w:sz w:val="22"/>
                  <w:vertAlign w:val="superscript"/>
                </w:rPr>
                <w:delText>a</w:delText>
              </w:r>
              <w:r w:rsidRPr="00E04B2A">
                <w:rPr>
                  <w:b/>
                  <w:sz w:val="22"/>
                </w:rPr>
                <w:delText> </w:delText>
              </w:r>
              <w:r w:rsidRPr="00E04B2A">
                <w:rPr>
                  <w:sz w:val="22"/>
                </w:rPr>
                <w:delText> </w:delText>
              </w:r>
            </w:del>
          </w:p>
          <w:p w14:paraId="36CA1BEA" w14:textId="006ADDDE" w:rsidR="0015674E" w:rsidRPr="00E04B2A" w:rsidRDefault="00E453CD" w:rsidP="00DC6ED9">
            <w:pPr>
              <w:jc w:val="center"/>
              <w:textAlignment w:val="baseline"/>
              <w:rPr>
                <w:del w:id="3584" w:author="AbbVie02no" w:date="2025-05-15T12:36:00Z"/>
                <w:sz w:val="22"/>
              </w:rPr>
            </w:pPr>
            <w:del w:id="3585" w:author="AbbVie02no" w:date="2025-05-15T12:36:00Z">
              <w:r>
                <w:rPr>
                  <w:b/>
                  <w:sz w:val="22"/>
                </w:rPr>
                <w:delText>Maksimalt</w:delText>
              </w:r>
              <w:r w:rsidRPr="00E04B2A">
                <w:rPr>
                  <w:b/>
                  <w:sz w:val="22"/>
                </w:rPr>
                <w:delText xml:space="preserve"> 40</w:delText>
              </w:r>
              <w:r>
                <w:rPr>
                  <w:b/>
                  <w:sz w:val="22"/>
                </w:rPr>
                <w:delText> </w:delText>
              </w:r>
              <w:r w:rsidRPr="00E04B2A">
                <w:rPr>
                  <w:b/>
                  <w:sz w:val="22"/>
                </w:rPr>
                <w:delText>mg</w:delText>
              </w:r>
              <w:r w:rsidRPr="00E04B2A">
                <w:rPr>
                  <w:sz w:val="22"/>
                </w:rPr>
                <w:delText xml:space="preserve"> </w:delText>
              </w:r>
              <w:r w:rsidRPr="0015674E">
                <w:rPr>
                  <w:b/>
                  <w:sz w:val="22"/>
                </w:rPr>
                <w:delText>annenhver uke</w:delText>
              </w:r>
            </w:del>
          </w:p>
          <w:p w14:paraId="029DBA3A" w14:textId="689146B6" w:rsidR="0015674E" w:rsidRPr="00E04B2A" w:rsidRDefault="00E453CD" w:rsidP="00DC6ED9">
            <w:pPr>
              <w:jc w:val="center"/>
              <w:textAlignment w:val="baseline"/>
              <w:rPr>
                <w:del w:id="3586" w:author="AbbVie02no" w:date="2025-05-15T12:36:00Z"/>
                <w:sz w:val="22"/>
              </w:rPr>
            </w:pPr>
            <w:del w:id="3587" w:author="AbbVie02no" w:date="2025-05-15T12:36:00Z">
              <w:r w:rsidRPr="00E04B2A">
                <w:rPr>
                  <w:sz w:val="22"/>
                </w:rPr>
                <w:delText>N = 31</w:delText>
              </w:r>
            </w:del>
          </w:p>
        </w:tc>
        <w:tc>
          <w:tcPr>
            <w:tcW w:w="2633" w:type="dxa"/>
            <w:tcBorders>
              <w:top w:val="single" w:sz="6" w:space="0" w:color="auto"/>
              <w:left w:val="nil"/>
              <w:bottom w:val="single" w:sz="6" w:space="0" w:color="auto"/>
              <w:right w:val="single" w:sz="6" w:space="0" w:color="auto"/>
            </w:tcBorders>
            <w:vAlign w:val="center"/>
            <w:hideMark/>
          </w:tcPr>
          <w:p w14:paraId="77FDEADB" w14:textId="2BD0A0C9" w:rsidR="0015674E" w:rsidRPr="0015674E" w:rsidRDefault="00E453CD" w:rsidP="00DC6ED9">
            <w:pPr>
              <w:jc w:val="center"/>
              <w:textAlignment w:val="baseline"/>
              <w:rPr>
                <w:del w:id="3588" w:author="AbbVie02no" w:date="2025-05-15T12:36:00Z"/>
                <w:sz w:val="22"/>
              </w:rPr>
            </w:pPr>
            <w:del w:id="3589" w:author="AbbVie02no" w:date="2025-05-15T12:36:00Z">
              <w:r w:rsidRPr="0015674E">
                <w:rPr>
                  <w:b/>
                  <w:sz w:val="22"/>
                </w:rPr>
                <w:delText>Humira</w:delText>
              </w:r>
              <w:r w:rsidRPr="0015674E">
                <w:rPr>
                  <w:b/>
                  <w:sz w:val="22"/>
                  <w:vertAlign w:val="superscript"/>
                </w:rPr>
                <w:delText>b</w:delText>
              </w:r>
              <w:r w:rsidRPr="0015674E">
                <w:rPr>
                  <w:b/>
                  <w:sz w:val="22"/>
                </w:rPr>
                <w:delText> </w:delText>
              </w:r>
              <w:r w:rsidRPr="0015674E">
                <w:rPr>
                  <w:sz w:val="22"/>
                </w:rPr>
                <w:delText> </w:delText>
              </w:r>
            </w:del>
          </w:p>
          <w:p w14:paraId="6327BEB5" w14:textId="2722E61F" w:rsidR="0015674E" w:rsidRPr="0015674E" w:rsidRDefault="00E453CD" w:rsidP="00DC6ED9">
            <w:pPr>
              <w:jc w:val="center"/>
              <w:textAlignment w:val="baseline"/>
              <w:rPr>
                <w:del w:id="3590" w:author="AbbVie02no" w:date="2025-05-15T12:36:00Z"/>
                <w:b/>
                <w:sz w:val="22"/>
              </w:rPr>
            </w:pPr>
            <w:del w:id="3591" w:author="AbbVie02no" w:date="2025-05-15T12:36:00Z">
              <w:r w:rsidRPr="0015674E">
                <w:rPr>
                  <w:b/>
                  <w:sz w:val="22"/>
                </w:rPr>
                <w:delText>Maksimalt 40 mg</w:delText>
              </w:r>
            </w:del>
          </w:p>
          <w:p w14:paraId="06CC0CEF" w14:textId="200A80AC" w:rsidR="0015674E" w:rsidRPr="0015674E" w:rsidRDefault="00E453CD" w:rsidP="00DC6ED9">
            <w:pPr>
              <w:jc w:val="center"/>
              <w:textAlignment w:val="baseline"/>
              <w:rPr>
                <w:del w:id="3592" w:author="AbbVie02no" w:date="2025-05-15T12:36:00Z"/>
                <w:b/>
                <w:bCs/>
                <w:sz w:val="22"/>
              </w:rPr>
            </w:pPr>
            <w:del w:id="3593" w:author="AbbVie02no" w:date="2025-05-15T12:36:00Z">
              <w:r w:rsidRPr="0015674E">
                <w:rPr>
                  <w:b/>
                  <w:bCs/>
                  <w:sz w:val="22"/>
                </w:rPr>
                <w:delText>hver uke</w:delText>
              </w:r>
            </w:del>
          </w:p>
          <w:p w14:paraId="5D18E4DE" w14:textId="1B1EBEA8" w:rsidR="0015674E" w:rsidRPr="0015674E" w:rsidRDefault="00E453CD" w:rsidP="00DC6ED9">
            <w:pPr>
              <w:jc w:val="center"/>
              <w:textAlignment w:val="baseline"/>
              <w:rPr>
                <w:del w:id="3594" w:author="AbbVie02no" w:date="2025-05-15T12:36:00Z"/>
                <w:sz w:val="22"/>
              </w:rPr>
            </w:pPr>
            <w:del w:id="3595" w:author="AbbVie02no" w:date="2025-05-15T12:36:00Z">
              <w:r w:rsidRPr="0015674E">
                <w:rPr>
                  <w:sz w:val="22"/>
                </w:rPr>
                <w:delText>N = 31</w:delText>
              </w:r>
            </w:del>
          </w:p>
        </w:tc>
      </w:tr>
      <w:tr w:rsidR="004644D4" w14:paraId="13D2F975" w14:textId="0B96E01A" w:rsidTr="00DC6ED9">
        <w:trPr>
          <w:trHeight w:val="570"/>
          <w:jc w:val="center"/>
          <w:del w:id="3596" w:author="AbbVie02no" w:date="2025-05-15T12:36:00Z"/>
        </w:trPr>
        <w:tc>
          <w:tcPr>
            <w:tcW w:w="2686" w:type="dxa"/>
            <w:tcBorders>
              <w:top w:val="nil"/>
              <w:left w:val="single" w:sz="6" w:space="0" w:color="auto"/>
              <w:bottom w:val="single" w:sz="6" w:space="0" w:color="auto"/>
              <w:right w:val="single" w:sz="6" w:space="0" w:color="auto"/>
            </w:tcBorders>
            <w:vAlign w:val="center"/>
            <w:hideMark/>
          </w:tcPr>
          <w:p w14:paraId="6D2FBDA9" w14:textId="3BE53E32" w:rsidR="0015674E" w:rsidRPr="00E04B2A" w:rsidRDefault="00E453CD" w:rsidP="00DC6ED9">
            <w:pPr>
              <w:textAlignment w:val="baseline"/>
              <w:rPr>
                <w:del w:id="3597" w:author="AbbVie02no" w:date="2025-05-15T12:36:00Z"/>
                <w:sz w:val="22"/>
              </w:rPr>
            </w:pPr>
            <w:del w:id="3598" w:author="AbbVie02no" w:date="2025-05-15T12:36:00Z">
              <w:r w:rsidRPr="00E04B2A">
                <w:rPr>
                  <w:sz w:val="22"/>
                </w:rPr>
                <w:delText>Klinisk remisjon hos uke 8 PMS-respondere </w:delText>
              </w:r>
            </w:del>
          </w:p>
        </w:tc>
        <w:tc>
          <w:tcPr>
            <w:tcW w:w="2249" w:type="dxa"/>
            <w:tcBorders>
              <w:top w:val="nil"/>
              <w:left w:val="nil"/>
              <w:bottom w:val="single" w:sz="6" w:space="0" w:color="auto"/>
              <w:right w:val="single" w:sz="6" w:space="0" w:color="auto"/>
            </w:tcBorders>
            <w:vAlign w:val="center"/>
            <w:hideMark/>
          </w:tcPr>
          <w:p w14:paraId="5B8BE179" w14:textId="0752A76A" w:rsidR="0015674E" w:rsidRPr="00E04B2A" w:rsidRDefault="00E453CD" w:rsidP="00DC6ED9">
            <w:pPr>
              <w:jc w:val="center"/>
              <w:textAlignment w:val="baseline"/>
              <w:rPr>
                <w:del w:id="3599" w:author="AbbVie02no" w:date="2025-05-15T12:36:00Z"/>
                <w:sz w:val="22"/>
              </w:rPr>
            </w:pPr>
            <w:del w:id="3600" w:author="AbbVie02no" w:date="2025-05-15T12:36:00Z">
              <w:r w:rsidRPr="00E04B2A">
                <w:rPr>
                  <w:sz w:val="22"/>
                </w:rPr>
                <w:delText>9/31 (29,0</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2055BA26" w14:textId="783104ED" w:rsidR="0015674E" w:rsidRPr="00E04B2A" w:rsidRDefault="00E453CD" w:rsidP="00DC6ED9">
            <w:pPr>
              <w:jc w:val="center"/>
              <w:textAlignment w:val="baseline"/>
              <w:rPr>
                <w:del w:id="3601" w:author="AbbVie02no" w:date="2025-05-15T12:36:00Z"/>
                <w:sz w:val="22"/>
              </w:rPr>
            </w:pPr>
            <w:del w:id="3602" w:author="AbbVie02no" w:date="2025-05-15T12:36:00Z">
              <w:r w:rsidRPr="00E04B2A">
                <w:rPr>
                  <w:sz w:val="22"/>
                </w:rPr>
                <w:delText>14/31 (45,2</w:delText>
              </w:r>
              <w:r>
                <w:rPr>
                  <w:sz w:val="22"/>
                </w:rPr>
                <w:delText> </w:delText>
              </w:r>
              <w:r w:rsidRPr="00E04B2A">
                <w:rPr>
                  <w:sz w:val="22"/>
                </w:rPr>
                <w:delText>%)</w:delText>
              </w:r>
            </w:del>
          </w:p>
        </w:tc>
      </w:tr>
      <w:tr w:rsidR="004644D4" w14:paraId="3E468E2E" w14:textId="267309BF" w:rsidTr="00DC6ED9">
        <w:trPr>
          <w:trHeight w:val="555"/>
          <w:jc w:val="center"/>
          <w:del w:id="3603" w:author="AbbVie02no" w:date="2025-05-15T12:36:00Z"/>
        </w:trPr>
        <w:tc>
          <w:tcPr>
            <w:tcW w:w="2686" w:type="dxa"/>
            <w:tcBorders>
              <w:top w:val="nil"/>
              <w:left w:val="single" w:sz="6" w:space="0" w:color="auto"/>
              <w:bottom w:val="single" w:sz="6" w:space="0" w:color="auto"/>
              <w:right w:val="single" w:sz="6" w:space="0" w:color="auto"/>
            </w:tcBorders>
            <w:vAlign w:val="center"/>
            <w:hideMark/>
          </w:tcPr>
          <w:p w14:paraId="1FB8B314" w14:textId="0449BFA7" w:rsidR="0015674E" w:rsidRPr="00E04B2A" w:rsidRDefault="00E453CD" w:rsidP="00DC6ED9">
            <w:pPr>
              <w:textAlignment w:val="baseline"/>
              <w:rPr>
                <w:del w:id="3604" w:author="AbbVie02no" w:date="2025-05-15T12:36:00Z"/>
                <w:sz w:val="22"/>
              </w:rPr>
            </w:pPr>
            <w:del w:id="3605" w:author="AbbVie02no" w:date="2025-05-15T12:36:00Z">
              <w:r w:rsidRPr="00E04B2A">
                <w:rPr>
                  <w:sz w:val="22"/>
                </w:rPr>
                <w:delText>Klinisk respons hos uke 8 PMS-respondere </w:delText>
              </w:r>
            </w:del>
          </w:p>
        </w:tc>
        <w:tc>
          <w:tcPr>
            <w:tcW w:w="2249" w:type="dxa"/>
            <w:tcBorders>
              <w:top w:val="nil"/>
              <w:left w:val="nil"/>
              <w:bottom w:val="single" w:sz="6" w:space="0" w:color="auto"/>
              <w:right w:val="single" w:sz="6" w:space="0" w:color="auto"/>
            </w:tcBorders>
            <w:vAlign w:val="center"/>
            <w:hideMark/>
          </w:tcPr>
          <w:p w14:paraId="0BBADB3D" w14:textId="082265E1" w:rsidR="0015674E" w:rsidRPr="00E04B2A" w:rsidRDefault="00E453CD" w:rsidP="00DC6ED9">
            <w:pPr>
              <w:jc w:val="center"/>
              <w:textAlignment w:val="baseline"/>
              <w:rPr>
                <w:del w:id="3606" w:author="AbbVie02no" w:date="2025-05-15T12:36:00Z"/>
                <w:sz w:val="22"/>
              </w:rPr>
            </w:pPr>
            <w:del w:id="3607" w:author="AbbVie02no" w:date="2025-05-15T12:36:00Z">
              <w:r w:rsidRPr="00E04B2A">
                <w:rPr>
                  <w:sz w:val="22"/>
                </w:rPr>
                <w:delText>19/31 (61,3</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1A7965E4" w14:textId="74C78CD7" w:rsidR="0015674E" w:rsidRPr="00E04B2A" w:rsidRDefault="00E453CD" w:rsidP="00DC6ED9">
            <w:pPr>
              <w:jc w:val="center"/>
              <w:textAlignment w:val="baseline"/>
              <w:rPr>
                <w:del w:id="3608" w:author="AbbVie02no" w:date="2025-05-15T12:36:00Z"/>
                <w:sz w:val="22"/>
              </w:rPr>
            </w:pPr>
            <w:del w:id="3609" w:author="AbbVie02no" w:date="2025-05-15T12:36:00Z">
              <w:r w:rsidRPr="00E04B2A">
                <w:rPr>
                  <w:sz w:val="22"/>
                </w:rPr>
                <w:delText>21/31 (67,7</w:delText>
              </w:r>
              <w:r>
                <w:rPr>
                  <w:sz w:val="22"/>
                </w:rPr>
                <w:delText> </w:delText>
              </w:r>
              <w:r w:rsidRPr="00E04B2A">
                <w:rPr>
                  <w:sz w:val="22"/>
                </w:rPr>
                <w:delText>%) </w:delText>
              </w:r>
            </w:del>
          </w:p>
        </w:tc>
      </w:tr>
      <w:tr w:rsidR="004644D4" w14:paraId="58EB10D7" w14:textId="4D87B812" w:rsidTr="00DC6ED9">
        <w:trPr>
          <w:jc w:val="center"/>
          <w:del w:id="3610" w:author="AbbVie02no" w:date="2025-05-15T12:36:00Z"/>
        </w:trPr>
        <w:tc>
          <w:tcPr>
            <w:tcW w:w="2686" w:type="dxa"/>
            <w:tcBorders>
              <w:top w:val="nil"/>
              <w:left w:val="single" w:sz="6" w:space="0" w:color="auto"/>
              <w:bottom w:val="single" w:sz="6" w:space="0" w:color="auto"/>
              <w:right w:val="single" w:sz="6" w:space="0" w:color="auto"/>
            </w:tcBorders>
            <w:vAlign w:val="center"/>
            <w:hideMark/>
          </w:tcPr>
          <w:p w14:paraId="33C956F3" w14:textId="4AD5ADA5" w:rsidR="0015674E" w:rsidRPr="00E04B2A" w:rsidRDefault="00E453CD" w:rsidP="00DC6ED9">
            <w:pPr>
              <w:textAlignment w:val="baseline"/>
              <w:rPr>
                <w:del w:id="3611" w:author="AbbVie02no" w:date="2025-05-15T12:36:00Z"/>
                <w:sz w:val="22"/>
              </w:rPr>
            </w:pPr>
            <w:del w:id="3612" w:author="AbbVie02no" w:date="2025-05-15T12:36:00Z">
              <w:r w:rsidRPr="00E04B2A">
                <w:rPr>
                  <w:sz w:val="22"/>
                </w:rPr>
                <w:delText>Slimhinne</w:delText>
              </w:r>
              <w:r>
                <w:rPr>
                  <w:sz w:val="22"/>
                </w:rPr>
                <w:delText>til</w:delText>
              </w:r>
              <w:r w:rsidRPr="00E04B2A">
                <w:rPr>
                  <w:sz w:val="22"/>
                </w:rPr>
                <w:delText>heling hos uke 8 PMS-respondere </w:delText>
              </w:r>
            </w:del>
          </w:p>
        </w:tc>
        <w:tc>
          <w:tcPr>
            <w:tcW w:w="2249" w:type="dxa"/>
            <w:tcBorders>
              <w:top w:val="nil"/>
              <w:left w:val="nil"/>
              <w:bottom w:val="single" w:sz="6" w:space="0" w:color="auto"/>
              <w:right w:val="single" w:sz="6" w:space="0" w:color="auto"/>
            </w:tcBorders>
            <w:vAlign w:val="center"/>
            <w:hideMark/>
          </w:tcPr>
          <w:p w14:paraId="4E1972C1" w14:textId="0AE6390A" w:rsidR="0015674E" w:rsidRPr="00E04B2A" w:rsidRDefault="00E453CD" w:rsidP="00DC6ED9">
            <w:pPr>
              <w:jc w:val="center"/>
              <w:textAlignment w:val="baseline"/>
              <w:rPr>
                <w:del w:id="3613" w:author="AbbVie02no" w:date="2025-05-15T12:36:00Z"/>
                <w:sz w:val="22"/>
              </w:rPr>
            </w:pPr>
            <w:del w:id="3614" w:author="AbbVie02no" w:date="2025-05-15T12:36:00Z">
              <w:r w:rsidRPr="00E04B2A">
                <w:rPr>
                  <w:sz w:val="22"/>
                </w:rPr>
                <w:delText>12/31 (38,7</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41544515" w14:textId="407E6F7C" w:rsidR="0015674E" w:rsidRPr="00E04B2A" w:rsidRDefault="00E453CD" w:rsidP="00DC6ED9">
            <w:pPr>
              <w:jc w:val="center"/>
              <w:textAlignment w:val="baseline"/>
              <w:rPr>
                <w:del w:id="3615" w:author="AbbVie02no" w:date="2025-05-15T12:36:00Z"/>
                <w:sz w:val="22"/>
              </w:rPr>
            </w:pPr>
            <w:del w:id="3616" w:author="AbbVie02no" w:date="2025-05-15T12:36:00Z">
              <w:r w:rsidRPr="00E04B2A">
                <w:rPr>
                  <w:sz w:val="22"/>
                </w:rPr>
                <w:delText>16/31 (51,6</w:delText>
              </w:r>
              <w:r>
                <w:rPr>
                  <w:sz w:val="22"/>
                </w:rPr>
                <w:delText> </w:delText>
              </w:r>
              <w:r w:rsidRPr="00E04B2A">
                <w:rPr>
                  <w:sz w:val="22"/>
                </w:rPr>
                <w:delText>%) </w:delText>
              </w:r>
            </w:del>
          </w:p>
        </w:tc>
      </w:tr>
      <w:tr w:rsidR="004644D4" w14:paraId="78013D95" w14:textId="70B33319" w:rsidTr="00DC6ED9">
        <w:trPr>
          <w:jc w:val="center"/>
          <w:del w:id="3617" w:author="AbbVie02no" w:date="2025-05-15T12:36:00Z"/>
        </w:trPr>
        <w:tc>
          <w:tcPr>
            <w:tcW w:w="2686" w:type="dxa"/>
            <w:tcBorders>
              <w:top w:val="nil"/>
              <w:left w:val="single" w:sz="6" w:space="0" w:color="auto"/>
              <w:bottom w:val="single" w:sz="6" w:space="0" w:color="auto"/>
              <w:right w:val="single" w:sz="6" w:space="0" w:color="auto"/>
            </w:tcBorders>
            <w:vAlign w:val="center"/>
            <w:hideMark/>
          </w:tcPr>
          <w:p w14:paraId="4CF1FC9E" w14:textId="2B595279" w:rsidR="0015674E" w:rsidRPr="00E04B2A" w:rsidRDefault="00E453CD" w:rsidP="00DC6ED9">
            <w:pPr>
              <w:textAlignment w:val="baseline"/>
              <w:rPr>
                <w:del w:id="3618" w:author="AbbVie02no" w:date="2025-05-15T12:36:00Z"/>
                <w:sz w:val="22"/>
              </w:rPr>
            </w:pPr>
            <w:del w:id="3619" w:author="AbbVie02no" w:date="2025-05-15T12:36:00Z">
              <w:r w:rsidRPr="00E04B2A">
                <w:rPr>
                  <w:sz w:val="22"/>
                </w:rPr>
                <w:delText>Klinisk remisjon hos uke 8 PMS-</w:delText>
              </w:r>
              <w:r>
                <w:rPr>
                  <w:sz w:val="22"/>
                </w:rPr>
                <w:delText>pasienter i remisjon</w:delText>
              </w:r>
            </w:del>
          </w:p>
        </w:tc>
        <w:tc>
          <w:tcPr>
            <w:tcW w:w="2249" w:type="dxa"/>
            <w:tcBorders>
              <w:top w:val="nil"/>
              <w:left w:val="nil"/>
              <w:bottom w:val="single" w:sz="6" w:space="0" w:color="auto"/>
              <w:right w:val="single" w:sz="6" w:space="0" w:color="auto"/>
            </w:tcBorders>
            <w:vAlign w:val="center"/>
            <w:hideMark/>
          </w:tcPr>
          <w:p w14:paraId="7A75248B" w14:textId="7E62A519" w:rsidR="0015674E" w:rsidRPr="00E04B2A" w:rsidRDefault="00E453CD" w:rsidP="00DC6ED9">
            <w:pPr>
              <w:jc w:val="center"/>
              <w:textAlignment w:val="baseline"/>
              <w:rPr>
                <w:del w:id="3620" w:author="AbbVie02no" w:date="2025-05-15T12:36:00Z"/>
                <w:sz w:val="22"/>
              </w:rPr>
            </w:pPr>
            <w:del w:id="3621" w:author="AbbVie02no" w:date="2025-05-15T12:36:00Z">
              <w:r w:rsidRPr="00E04B2A">
                <w:rPr>
                  <w:sz w:val="22"/>
                </w:rPr>
                <w:delText>9/21 (42,9</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7B07DEF4" w14:textId="07D4259A" w:rsidR="0015674E" w:rsidRPr="00E04B2A" w:rsidRDefault="00E453CD" w:rsidP="00DC6ED9">
            <w:pPr>
              <w:jc w:val="center"/>
              <w:textAlignment w:val="baseline"/>
              <w:rPr>
                <w:del w:id="3622" w:author="AbbVie02no" w:date="2025-05-15T12:36:00Z"/>
                <w:sz w:val="22"/>
              </w:rPr>
            </w:pPr>
            <w:del w:id="3623" w:author="AbbVie02no" w:date="2025-05-15T12:36:00Z">
              <w:r w:rsidRPr="00E04B2A">
                <w:rPr>
                  <w:sz w:val="22"/>
                </w:rPr>
                <w:delText>10/22 (45,5</w:delText>
              </w:r>
              <w:r>
                <w:rPr>
                  <w:sz w:val="22"/>
                </w:rPr>
                <w:delText> </w:delText>
              </w:r>
              <w:r w:rsidRPr="00E04B2A">
                <w:rPr>
                  <w:sz w:val="22"/>
                </w:rPr>
                <w:delText>%) </w:delText>
              </w:r>
            </w:del>
          </w:p>
        </w:tc>
      </w:tr>
      <w:tr w:rsidR="004644D4" w14:paraId="63816E58" w14:textId="5D5785F2" w:rsidTr="00DC6ED9">
        <w:trPr>
          <w:jc w:val="center"/>
          <w:del w:id="3624" w:author="AbbVie02no" w:date="2025-05-15T12:36:00Z"/>
        </w:trPr>
        <w:tc>
          <w:tcPr>
            <w:tcW w:w="2686" w:type="dxa"/>
            <w:tcBorders>
              <w:top w:val="nil"/>
              <w:left w:val="single" w:sz="6" w:space="0" w:color="auto"/>
              <w:bottom w:val="single" w:sz="6" w:space="0" w:color="auto"/>
              <w:right w:val="single" w:sz="6" w:space="0" w:color="auto"/>
            </w:tcBorders>
            <w:vAlign w:val="center"/>
            <w:hideMark/>
          </w:tcPr>
          <w:p w14:paraId="62A48293" w14:textId="050E42D7" w:rsidR="0015674E" w:rsidRPr="00E04B2A" w:rsidRDefault="00E453CD" w:rsidP="00DC6ED9">
            <w:pPr>
              <w:textAlignment w:val="baseline"/>
              <w:rPr>
                <w:del w:id="3625" w:author="AbbVie02no" w:date="2025-05-15T12:36:00Z"/>
                <w:sz w:val="22"/>
              </w:rPr>
            </w:pPr>
            <w:del w:id="3626" w:author="AbbVie02no" w:date="2025-05-15T12:36:00Z">
              <w:r w:rsidRPr="00F47FD5">
                <w:rPr>
                  <w:sz w:val="22"/>
                </w:rPr>
                <w:delText>Kortikosteroidfri remisjon</w:delText>
              </w:r>
              <w:r w:rsidRPr="00E04B2A">
                <w:rPr>
                  <w:sz w:val="22"/>
                </w:rPr>
                <w:delText xml:space="preserve"> hos uke 8 PMS-respondere</w:delText>
              </w:r>
              <w:r w:rsidRPr="0015674E">
                <w:rPr>
                  <w:szCs w:val="22"/>
                  <w:vertAlign w:val="superscript"/>
                  <w:lang w:eastAsia="en-GB"/>
                </w:rPr>
                <w:delText>c</w:delText>
              </w:r>
              <w:r w:rsidRPr="00E04B2A">
                <w:rPr>
                  <w:sz w:val="22"/>
                </w:rPr>
                <w:delText> </w:delText>
              </w:r>
            </w:del>
          </w:p>
        </w:tc>
        <w:tc>
          <w:tcPr>
            <w:tcW w:w="2249" w:type="dxa"/>
            <w:tcBorders>
              <w:top w:val="nil"/>
              <w:left w:val="nil"/>
              <w:bottom w:val="single" w:sz="6" w:space="0" w:color="auto"/>
              <w:right w:val="single" w:sz="6" w:space="0" w:color="auto"/>
            </w:tcBorders>
            <w:vAlign w:val="center"/>
            <w:hideMark/>
          </w:tcPr>
          <w:p w14:paraId="5C322E92" w14:textId="41DEF894" w:rsidR="0015674E" w:rsidRPr="00E04B2A" w:rsidRDefault="00E453CD" w:rsidP="00DC6ED9">
            <w:pPr>
              <w:jc w:val="center"/>
              <w:textAlignment w:val="baseline"/>
              <w:rPr>
                <w:del w:id="3627" w:author="AbbVie02no" w:date="2025-05-15T12:36:00Z"/>
                <w:sz w:val="22"/>
              </w:rPr>
            </w:pPr>
            <w:del w:id="3628" w:author="AbbVie02no" w:date="2025-05-15T12:36:00Z">
              <w:r w:rsidRPr="00E04B2A">
                <w:rPr>
                  <w:sz w:val="22"/>
                </w:rPr>
                <w:delText>4/13 (30,8</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0C3189D5" w14:textId="74B84C64" w:rsidR="0015674E" w:rsidRPr="00E04B2A" w:rsidRDefault="00E453CD" w:rsidP="00DC6ED9">
            <w:pPr>
              <w:jc w:val="center"/>
              <w:textAlignment w:val="baseline"/>
              <w:rPr>
                <w:del w:id="3629" w:author="AbbVie02no" w:date="2025-05-15T12:36:00Z"/>
                <w:sz w:val="22"/>
              </w:rPr>
            </w:pPr>
            <w:del w:id="3630" w:author="AbbVie02no" w:date="2025-05-15T12:36:00Z">
              <w:r w:rsidRPr="00E04B2A">
                <w:rPr>
                  <w:sz w:val="22"/>
                </w:rPr>
                <w:delText>5/16 (31,3</w:delText>
              </w:r>
              <w:r>
                <w:rPr>
                  <w:sz w:val="22"/>
                </w:rPr>
                <w:delText> </w:delText>
              </w:r>
              <w:r w:rsidRPr="00E04B2A">
                <w:rPr>
                  <w:sz w:val="22"/>
                </w:rPr>
                <w:delText>%) </w:delText>
              </w:r>
            </w:del>
          </w:p>
        </w:tc>
      </w:tr>
      <w:tr w:rsidR="004644D4" w14:paraId="01873B8C" w14:textId="4AFC313C" w:rsidTr="00DC6ED9">
        <w:trPr>
          <w:jc w:val="center"/>
          <w:del w:id="3631" w:author="AbbVie02no" w:date="2025-05-15T12:36:00Z"/>
        </w:trPr>
        <w:tc>
          <w:tcPr>
            <w:tcW w:w="7568" w:type="dxa"/>
            <w:gridSpan w:val="3"/>
            <w:tcBorders>
              <w:top w:val="nil"/>
              <w:left w:val="single" w:sz="6" w:space="0" w:color="auto"/>
              <w:bottom w:val="single" w:sz="6" w:space="0" w:color="auto"/>
              <w:right w:val="single" w:sz="6" w:space="0" w:color="auto"/>
            </w:tcBorders>
            <w:hideMark/>
          </w:tcPr>
          <w:p w14:paraId="7773081F" w14:textId="3CE17BED" w:rsidR="0015674E" w:rsidRPr="00E04B2A" w:rsidRDefault="00E453CD" w:rsidP="00DC6ED9">
            <w:pPr>
              <w:textAlignment w:val="baseline"/>
              <w:rPr>
                <w:del w:id="3632" w:author="AbbVie02no" w:date="2025-05-15T12:36:00Z"/>
                <w:sz w:val="22"/>
              </w:rPr>
            </w:pPr>
            <w:del w:id="3633" w:author="AbbVie02no" w:date="2025-05-15T12:36:00Z">
              <w:r w:rsidRPr="00E04B2A">
                <w:rPr>
                  <w:sz w:val="22"/>
                  <w:vertAlign w:val="superscript"/>
                </w:rPr>
                <w:delText>a</w:delText>
              </w:r>
              <w:r w:rsidRPr="00E04B2A">
                <w:rPr>
                  <w:sz w:val="22"/>
                </w:rPr>
                <w:delText>Humira 0,6</w:delText>
              </w:r>
              <w:r>
                <w:rPr>
                  <w:sz w:val="22"/>
                </w:rPr>
                <w:delText> </w:delText>
              </w:r>
              <w:r w:rsidRPr="00E04B2A">
                <w:rPr>
                  <w:sz w:val="22"/>
                </w:rPr>
                <w:delText>mg/kg (maksimalt 40</w:delText>
              </w:r>
              <w:r>
                <w:rPr>
                  <w:sz w:val="22"/>
                </w:rPr>
                <w:delText> </w:delText>
              </w:r>
              <w:r w:rsidRPr="00E04B2A">
                <w:rPr>
                  <w:sz w:val="22"/>
                </w:rPr>
                <w:delText>mg) annenhver uke </w:delText>
              </w:r>
            </w:del>
          </w:p>
          <w:p w14:paraId="130B8B85" w14:textId="0B712177" w:rsidR="0015674E" w:rsidRPr="00E04B2A" w:rsidRDefault="00E453CD" w:rsidP="00DC6ED9">
            <w:pPr>
              <w:textAlignment w:val="baseline"/>
              <w:rPr>
                <w:del w:id="3634" w:author="AbbVie02no" w:date="2025-05-15T12:36:00Z"/>
                <w:sz w:val="22"/>
              </w:rPr>
            </w:pPr>
            <w:del w:id="3635" w:author="AbbVie02no" w:date="2025-05-15T12:36:00Z">
              <w:r w:rsidRPr="00E04B2A">
                <w:rPr>
                  <w:sz w:val="22"/>
                  <w:vertAlign w:val="superscript"/>
                </w:rPr>
                <w:delText>b</w:delText>
              </w:r>
              <w:r w:rsidRPr="00E04B2A">
                <w:rPr>
                  <w:sz w:val="22"/>
                </w:rPr>
                <w:delText>Humira 0,6</w:delText>
              </w:r>
              <w:r>
                <w:rPr>
                  <w:sz w:val="22"/>
                </w:rPr>
                <w:delText> </w:delText>
              </w:r>
              <w:r w:rsidRPr="00E04B2A">
                <w:rPr>
                  <w:sz w:val="22"/>
                </w:rPr>
                <w:delText>mg/kg (maksimalt 40</w:delText>
              </w:r>
              <w:r>
                <w:rPr>
                  <w:sz w:val="22"/>
                </w:rPr>
                <w:delText> </w:delText>
              </w:r>
              <w:r w:rsidRPr="00E04B2A">
                <w:rPr>
                  <w:sz w:val="22"/>
                </w:rPr>
                <w:delText>mg) hver uke </w:delText>
              </w:r>
            </w:del>
          </w:p>
          <w:p w14:paraId="3CF42357" w14:textId="621EC4E5" w:rsidR="0015674E" w:rsidRPr="00E04B2A" w:rsidRDefault="00E453CD" w:rsidP="00DC6ED9">
            <w:pPr>
              <w:textAlignment w:val="baseline"/>
              <w:rPr>
                <w:del w:id="3636" w:author="AbbVie02no" w:date="2025-05-15T12:36:00Z"/>
                <w:sz w:val="22"/>
              </w:rPr>
            </w:pPr>
            <w:del w:id="3637" w:author="AbbVie02no" w:date="2025-05-15T12:36:00Z">
              <w:r w:rsidRPr="00E04B2A">
                <w:rPr>
                  <w:sz w:val="22"/>
                  <w:vertAlign w:val="superscript"/>
                </w:rPr>
                <w:delText>c</w:delText>
              </w:r>
              <w:r w:rsidRPr="00E04B2A">
                <w:rPr>
                  <w:sz w:val="22"/>
                </w:rPr>
                <w:delText>Hos pasienter som samtidig fikk kortikosteroider ved baseline </w:delText>
              </w:r>
            </w:del>
          </w:p>
          <w:p w14:paraId="7CFC9904" w14:textId="2934004C" w:rsidR="0015674E" w:rsidRPr="00E04B2A" w:rsidRDefault="00E453CD" w:rsidP="00DC6ED9">
            <w:pPr>
              <w:textAlignment w:val="baseline"/>
              <w:rPr>
                <w:del w:id="3638" w:author="AbbVie02no" w:date="2025-05-15T12:36:00Z"/>
                <w:sz w:val="22"/>
              </w:rPr>
            </w:pPr>
            <w:del w:id="3639" w:author="AbbVie02no" w:date="2025-05-15T12:36:00Z">
              <w:r w:rsidRPr="00E04B2A">
                <w:rPr>
                  <w:sz w:val="22"/>
                </w:rPr>
                <w:delText xml:space="preserve">Merknad: Pasienter med manglende verdier </w:delText>
              </w:r>
              <w:r>
                <w:rPr>
                  <w:sz w:val="22"/>
                </w:rPr>
                <w:delText>ved</w:delText>
              </w:r>
              <w:r w:rsidRPr="00E04B2A">
                <w:rPr>
                  <w:sz w:val="22"/>
                </w:rPr>
                <w:delText xml:space="preserve"> uke 52 eller som ble randomisert til å få gjentatt induksjons- eller vedlikeholdsbehandling ble ansett som ikke-responderende for endepunktene </w:delText>
              </w:r>
              <w:r>
                <w:rPr>
                  <w:sz w:val="22"/>
                </w:rPr>
                <w:delText>ved</w:delText>
              </w:r>
              <w:r w:rsidRPr="00E04B2A">
                <w:rPr>
                  <w:sz w:val="22"/>
                </w:rPr>
                <w:delText xml:space="preserve"> uke 52 </w:delText>
              </w:r>
            </w:del>
          </w:p>
        </w:tc>
      </w:tr>
    </w:tbl>
    <w:p w14:paraId="3C041E89" w14:textId="47F9AB87" w:rsidR="0015674E" w:rsidRPr="00E04B2A" w:rsidRDefault="0015674E" w:rsidP="0015674E">
      <w:pPr>
        <w:rPr>
          <w:del w:id="3640" w:author="AbbVie02no" w:date="2025-05-15T12:36:00Z"/>
          <w:sz w:val="22"/>
        </w:rPr>
      </w:pPr>
    </w:p>
    <w:p w14:paraId="05143BDA" w14:textId="22EB1F4D" w:rsidR="0015674E" w:rsidRPr="00F130A6" w:rsidRDefault="00E453CD" w:rsidP="0015674E">
      <w:pPr>
        <w:rPr>
          <w:del w:id="3641" w:author="AbbVie02no" w:date="2025-05-15T12:36:00Z"/>
          <w:sz w:val="22"/>
          <w:szCs w:val="22"/>
        </w:rPr>
      </w:pPr>
      <w:del w:id="3642" w:author="AbbVie02no" w:date="2025-05-15T12:36:00Z">
        <w:r w:rsidRPr="00047F3C">
          <w:rPr>
            <w:sz w:val="22"/>
            <w:szCs w:val="22"/>
          </w:rPr>
          <w:delText xml:space="preserve">Andre effektendepunkter inkluderte klinisk respons </w:delText>
        </w:r>
        <w:r w:rsidRPr="00F130A6">
          <w:rPr>
            <w:sz w:val="22"/>
            <w:szCs w:val="22"/>
          </w:rPr>
          <w:delText xml:space="preserve">iht. </w:delText>
        </w:r>
        <w:r w:rsidRPr="0015674E">
          <w:rPr>
            <w:sz w:val="22"/>
            <w:szCs w:val="22"/>
          </w:rPr>
          <w:delText>Paediatric Ulcerative Colitis Activity Index</w:delText>
        </w:r>
        <w:r w:rsidRPr="00F130A6">
          <w:rPr>
            <w:sz w:val="22"/>
            <w:szCs w:val="22"/>
          </w:rPr>
          <w:delText xml:space="preserve"> (PUCAI) (definert som en reduksjon i PUCAI ≥ 20 poeng fra baseline) og klinisk remisjon iht. PUCAI (definert som PUCAI &lt; 10) ved uke 8 og uke 52 (tabell 28). </w:delText>
        </w:r>
      </w:del>
    </w:p>
    <w:p w14:paraId="7448BD1C" w14:textId="311C9A60" w:rsidR="0015674E" w:rsidRPr="00E04B2A" w:rsidRDefault="0015674E" w:rsidP="0015674E">
      <w:pPr>
        <w:rPr>
          <w:del w:id="3643" w:author="AbbVie02no" w:date="2025-05-15T12:36:00Z"/>
          <w:sz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4644D4" w14:paraId="7F609B28" w14:textId="1E73C11A" w:rsidTr="00DC6ED9">
        <w:trPr>
          <w:trHeight w:val="60"/>
          <w:jc w:val="center"/>
          <w:del w:id="3644" w:author="AbbVie02no" w:date="2025-05-15T12:36:00Z"/>
        </w:trPr>
        <w:tc>
          <w:tcPr>
            <w:tcW w:w="8262" w:type="dxa"/>
            <w:gridSpan w:val="3"/>
            <w:tcMar>
              <w:top w:w="0" w:type="dxa"/>
              <w:left w:w="108" w:type="dxa"/>
              <w:bottom w:w="0" w:type="dxa"/>
              <w:right w:w="108" w:type="dxa"/>
            </w:tcMar>
            <w:hideMark/>
          </w:tcPr>
          <w:p w14:paraId="258BCDBD" w14:textId="358A8742" w:rsidR="0015674E" w:rsidRPr="00E04B2A" w:rsidRDefault="00E453CD" w:rsidP="00DC6ED9">
            <w:pPr>
              <w:jc w:val="center"/>
              <w:rPr>
                <w:del w:id="3645" w:author="AbbVie02no" w:date="2025-05-15T12:36:00Z"/>
                <w:b/>
                <w:bCs/>
                <w:sz w:val="22"/>
              </w:rPr>
            </w:pPr>
            <w:del w:id="3646" w:author="AbbVie02no" w:date="2025-05-15T12:36:00Z">
              <w:r w:rsidRPr="00E04B2A">
                <w:rPr>
                  <w:b/>
                  <w:sz w:val="22"/>
                </w:rPr>
                <w:delText xml:space="preserve">Tabell 28: </w:delText>
              </w:r>
              <w:r>
                <w:rPr>
                  <w:b/>
                  <w:sz w:val="22"/>
                </w:rPr>
                <w:delText>E</w:delText>
              </w:r>
              <w:r w:rsidRPr="00E04B2A">
                <w:rPr>
                  <w:b/>
                  <w:sz w:val="22"/>
                </w:rPr>
                <w:delText>ndepunktresultater iht. PUCAI</w:delText>
              </w:r>
            </w:del>
          </w:p>
        </w:tc>
      </w:tr>
      <w:tr w:rsidR="004644D4" w14:paraId="75B93B1E" w14:textId="0290B153" w:rsidTr="00DC6ED9">
        <w:trPr>
          <w:trHeight w:val="265"/>
          <w:jc w:val="center"/>
          <w:del w:id="3647" w:author="AbbVie02no" w:date="2025-05-15T12:36: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382D4305" w14:textId="59C3B8EB" w:rsidR="0015674E" w:rsidRPr="00E04B2A" w:rsidRDefault="0015674E" w:rsidP="00DC6ED9">
            <w:pPr>
              <w:rPr>
                <w:del w:id="3648" w:author="AbbVie02no" w:date="2025-05-15T12:36:00Z"/>
                <w:sz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70E977" w14:textId="5FE22ACC" w:rsidR="0015674E" w:rsidRPr="00E04B2A" w:rsidRDefault="00E453CD" w:rsidP="00DC6ED9">
            <w:pPr>
              <w:jc w:val="center"/>
              <w:rPr>
                <w:del w:id="3649" w:author="AbbVie02no" w:date="2025-05-15T12:36:00Z"/>
                <w:b/>
                <w:bCs/>
                <w:sz w:val="22"/>
              </w:rPr>
            </w:pPr>
            <w:del w:id="3650" w:author="AbbVie02no" w:date="2025-05-15T12:36:00Z">
              <w:r w:rsidRPr="00E04B2A">
                <w:rPr>
                  <w:b/>
                  <w:sz w:val="22"/>
                </w:rPr>
                <w:delText>Uke 8</w:delText>
              </w:r>
            </w:del>
          </w:p>
        </w:tc>
      </w:tr>
      <w:tr w:rsidR="004644D4" w14:paraId="0907B79D" w14:textId="54B6D83F" w:rsidTr="00DC6ED9">
        <w:trPr>
          <w:trHeight w:val="1042"/>
          <w:jc w:val="center"/>
          <w:del w:id="3651" w:author="AbbVie02no" w:date="2025-05-15T12:36: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5E1DD346" w14:textId="03EF6F22" w:rsidR="0015674E" w:rsidRPr="00E04B2A" w:rsidRDefault="0015674E" w:rsidP="00DC6ED9">
            <w:pPr>
              <w:rPr>
                <w:del w:id="3652" w:author="AbbVie02no" w:date="2025-05-15T12:36:00Z"/>
                <w:sz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3F1B7E" w14:textId="1C070F04" w:rsidR="0015674E" w:rsidRPr="00E04B2A" w:rsidRDefault="00E453CD" w:rsidP="00DC6ED9">
            <w:pPr>
              <w:jc w:val="center"/>
              <w:rPr>
                <w:del w:id="3653" w:author="AbbVie02no" w:date="2025-05-15T12:36:00Z"/>
                <w:b/>
                <w:bCs/>
                <w:sz w:val="22"/>
                <w:vertAlign w:val="superscript"/>
              </w:rPr>
            </w:pPr>
            <w:del w:id="3654" w:author="AbbVie02no" w:date="2025-05-15T12:36:00Z">
              <w:r w:rsidRPr="00E04B2A">
                <w:rPr>
                  <w:b/>
                  <w:sz w:val="22"/>
                </w:rPr>
                <w:delText>Humira</w:delText>
              </w:r>
              <w:r w:rsidRPr="00E04B2A">
                <w:rPr>
                  <w:b/>
                  <w:sz w:val="22"/>
                  <w:vertAlign w:val="superscript"/>
                </w:rPr>
                <w:delText>a</w:delText>
              </w:r>
            </w:del>
          </w:p>
          <w:p w14:paraId="450E7C4D" w14:textId="7CB600F8" w:rsidR="0015674E" w:rsidRPr="00E04B2A" w:rsidRDefault="00E453CD" w:rsidP="00DC6ED9">
            <w:pPr>
              <w:jc w:val="center"/>
              <w:rPr>
                <w:del w:id="3655" w:author="AbbVie02no" w:date="2025-05-15T12:36:00Z"/>
                <w:b/>
                <w:bCs/>
                <w:sz w:val="22"/>
              </w:rPr>
            </w:pPr>
            <w:del w:id="3656" w:author="AbbVie02no" w:date="2025-05-15T12:36:00Z">
              <w:r>
                <w:rPr>
                  <w:b/>
                  <w:sz w:val="22"/>
                </w:rPr>
                <w:delText>Maksimalt</w:delText>
              </w:r>
              <w:r w:rsidRPr="00E04B2A">
                <w:rPr>
                  <w:b/>
                  <w:sz w:val="22"/>
                </w:rPr>
                <w:delText xml:space="preserve"> 160</w:delText>
              </w:r>
              <w:r>
                <w:rPr>
                  <w:b/>
                  <w:sz w:val="22"/>
                </w:rPr>
                <w:delText> </w:delText>
              </w:r>
              <w:r w:rsidRPr="00E04B2A">
                <w:rPr>
                  <w:b/>
                  <w:sz w:val="22"/>
                </w:rPr>
                <w:delText xml:space="preserve">mg </w:delText>
              </w:r>
              <w:r w:rsidRPr="001D5C5A">
                <w:rPr>
                  <w:b/>
                  <w:sz w:val="22"/>
                </w:rPr>
                <w:delText>v</w:delText>
              </w:r>
              <w:r w:rsidRPr="0015674E">
                <w:rPr>
                  <w:b/>
                  <w:sz w:val="22"/>
                  <w:szCs w:val="22"/>
                </w:rPr>
                <w:delText>ed</w:delText>
              </w:r>
              <w:r w:rsidRPr="00E04B2A">
                <w:rPr>
                  <w:b/>
                  <w:sz w:val="22"/>
                </w:rPr>
                <w:delText xml:space="preserve"> uke 0/placebo</w:delText>
              </w:r>
              <w:r>
                <w:rPr>
                  <w:b/>
                  <w:sz w:val="22"/>
                </w:rPr>
                <w:delText xml:space="preserve"> ved</w:delText>
              </w:r>
              <w:r w:rsidRPr="00E04B2A">
                <w:rPr>
                  <w:b/>
                  <w:sz w:val="22"/>
                </w:rPr>
                <w:delText xml:space="preserve"> uke 1</w:delText>
              </w:r>
            </w:del>
          </w:p>
          <w:p w14:paraId="57C37368" w14:textId="38B568DF" w:rsidR="0015674E" w:rsidRPr="00E04B2A" w:rsidRDefault="00E453CD" w:rsidP="00DC6ED9">
            <w:pPr>
              <w:jc w:val="center"/>
              <w:rPr>
                <w:del w:id="3657" w:author="AbbVie02no" w:date="2025-05-15T12:36:00Z"/>
                <w:sz w:val="22"/>
              </w:rPr>
            </w:pPr>
            <w:del w:id="3658" w:author="AbbVie02no" w:date="2025-05-15T12:36:00Z">
              <w:r w:rsidRPr="00E04B2A">
                <w:rPr>
                  <w:sz w:val="22"/>
                </w:rPr>
                <w:delText>N = 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F4A08" w14:textId="073C5E2B" w:rsidR="0015674E" w:rsidRPr="00E04B2A" w:rsidRDefault="00E453CD" w:rsidP="00DC6ED9">
            <w:pPr>
              <w:jc w:val="center"/>
              <w:rPr>
                <w:del w:id="3659" w:author="AbbVie02no" w:date="2025-05-15T12:36:00Z"/>
                <w:b/>
                <w:bCs/>
                <w:sz w:val="22"/>
                <w:vertAlign w:val="superscript"/>
              </w:rPr>
            </w:pPr>
            <w:del w:id="3660" w:author="AbbVie02no" w:date="2025-05-15T12:36:00Z">
              <w:r w:rsidRPr="00E04B2A">
                <w:rPr>
                  <w:b/>
                  <w:sz w:val="22"/>
                </w:rPr>
                <w:delText>Humira</w:delText>
              </w:r>
              <w:r w:rsidRPr="00E04B2A">
                <w:rPr>
                  <w:b/>
                  <w:sz w:val="22"/>
                  <w:vertAlign w:val="superscript"/>
                </w:rPr>
                <w:delText>b,c</w:delText>
              </w:r>
            </w:del>
          </w:p>
          <w:p w14:paraId="3137C1F0" w14:textId="47ACF73E" w:rsidR="0015674E" w:rsidRPr="00E04B2A" w:rsidRDefault="00E453CD" w:rsidP="00DC6ED9">
            <w:pPr>
              <w:jc w:val="center"/>
              <w:rPr>
                <w:del w:id="3661" w:author="AbbVie02no" w:date="2025-05-15T12:36:00Z"/>
                <w:b/>
                <w:bCs/>
                <w:sz w:val="22"/>
              </w:rPr>
            </w:pPr>
            <w:del w:id="3662" w:author="AbbVie02no" w:date="2025-05-15T12:36:00Z">
              <w:r>
                <w:rPr>
                  <w:b/>
                  <w:sz w:val="22"/>
                </w:rPr>
                <w:delText>Maksimalt</w:delText>
              </w:r>
              <w:r w:rsidRPr="00E04B2A">
                <w:rPr>
                  <w:b/>
                  <w:sz w:val="22"/>
                </w:rPr>
                <w:delText xml:space="preserve"> 160</w:delText>
              </w:r>
              <w:r>
                <w:rPr>
                  <w:b/>
                  <w:sz w:val="22"/>
                </w:rPr>
                <w:delText> </w:delText>
              </w:r>
              <w:r w:rsidRPr="00E04B2A">
                <w:rPr>
                  <w:b/>
                  <w:sz w:val="22"/>
                </w:rPr>
                <w:delText xml:space="preserve">mg </w:delText>
              </w:r>
              <w:r>
                <w:rPr>
                  <w:b/>
                  <w:sz w:val="22"/>
                </w:rPr>
                <w:delText>ved</w:delText>
              </w:r>
              <w:r w:rsidRPr="00E04B2A">
                <w:rPr>
                  <w:b/>
                  <w:sz w:val="22"/>
                </w:rPr>
                <w:delText xml:space="preserve"> uke 0 og uke 1</w:delText>
              </w:r>
            </w:del>
          </w:p>
          <w:p w14:paraId="4317F466" w14:textId="7C61F311" w:rsidR="0015674E" w:rsidRPr="00E04B2A" w:rsidRDefault="00E453CD" w:rsidP="00DC6ED9">
            <w:pPr>
              <w:jc w:val="center"/>
              <w:rPr>
                <w:del w:id="3663" w:author="AbbVie02no" w:date="2025-05-15T12:36:00Z"/>
                <w:sz w:val="22"/>
              </w:rPr>
            </w:pPr>
            <w:del w:id="3664" w:author="AbbVie02no" w:date="2025-05-15T12:36:00Z">
              <w:r w:rsidRPr="00E04B2A">
                <w:rPr>
                  <w:sz w:val="22"/>
                </w:rPr>
                <w:delText>N = 47</w:delText>
              </w:r>
            </w:del>
          </w:p>
        </w:tc>
      </w:tr>
      <w:tr w:rsidR="004644D4" w14:paraId="1FA83362" w14:textId="38C989B9" w:rsidTr="00DC6ED9">
        <w:trPr>
          <w:trHeight w:val="202"/>
          <w:jc w:val="center"/>
          <w:del w:id="3665" w:author="AbbVie02no" w:date="2025-05-15T12:36: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BAB40" w14:textId="6DAF03ED" w:rsidR="0015674E" w:rsidRPr="00E04B2A" w:rsidRDefault="00E453CD" w:rsidP="00DC6ED9">
            <w:pPr>
              <w:rPr>
                <w:del w:id="3666" w:author="AbbVie02no" w:date="2025-05-15T12:36:00Z"/>
                <w:sz w:val="22"/>
              </w:rPr>
            </w:pPr>
            <w:del w:id="3667" w:author="AbbVie02no" w:date="2025-05-15T12:36:00Z">
              <w:r w:rsidRPr="00E04B2A">
                <w:rPr>
                  <w:sz w:val="22"/>
                </w:rPr>
                <w:delText>Klinisk remisjon iht.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88565FB" w14:textId="495F9085" w:rsidR="0015674E" w:rsidRPr="00E04B2A" w:rsidRDefault="00E453CD" w:rsidP="00DC6ED9">
            <w:pPr>
              <w:jc w:val="center"/>
              <w:rPr>
                <w:del w:id="3668" w:author="AbbVie02no" w:date="2025-05-15T12:36:00Z"/>
                <w:sz w:val="22"/>
              </w:rPr>
            </w:pPr>
            <w:del w:id="3669" w:author="AbbVie02no" w:date="2025-05-15T12:36:00Z">
              <w:r w:rsidRPr="00E04B2A">
                <w:rPr>
                  <w:sz w:val="22"/>
                </w:rPr>
                <w:delText>10/30 (33,3</w:delText>
              </w:r>
              <w:r>
                <w:rPr>
                  <w:sz w:val="22"/>
                </w:rPr>
                <w:delText> </w:delText>
              </w:r>
              <w:r w:rsidRPr="00E04B2A">
                <w:rPr>
                  <w:sz w:val="22"/>
                </w:rPr>
                <w:delText>%)</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20A61CB6" w14:textId="36676CE6" w:rsidR="0015674E" w:rsidRPr="00E04B2A" w:rsidRDefault="00E453CD" w:rsidP="00DC6ED9">
            <w:pPr>
              <w:jc w:val="center"/>
              <w:rPr>
                <w:del w:id="3670" w:author="AbbVie02no" w:date="2025-05-15T12:36:00Z"/>
                <w:sz w:val="22"/>
              </w:rPr>
            </w:pPr>
            <w:del w:id="3671" w:author="AbbVie02no" w:date="2025-05-15T12:36:00Z">
              <w:r w:rsidRPr="00E04B2A">
                <w:rPr>
                  <w:sz w:val="22"/>
                </w:rPr>
                <w:delText>22/47 (46,8</w:delText>
              </w:r>
              <w:r>
                <w:rPr>
                  <w:sz w:val="22"/>
                </w:rPr>
                <w:delText> </w:delText>
              </w:r>
              <w:r w:rsidRPr="00E04B2A">
                <w:rPr>
                  <w:sz w:val="22"/>
                </w:rPr>
                <w:delText>%)</w:delText>
              </w:r>
            </w:del>
          </w:p>
        </w:tc>
      </w:tr>
      <w:tr w:rsidR="004644D4" w14:paraId="2255F3B0" w14:textId="59188146" w:rsidTr="00DC6ED9">
        <w:trPr>
          <w:trHeight w:val="238"/>
          <w:jc w:val="center"/>
          <w:del w:id="3672" w:author="AbbVie02no" w:date="2025-05-15T12: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2C7F219" w14:textId="1558DD89" w:rsidR="0015674E" w:rsidRPr="00E04B2A" w:rsidRDefault="00E453CD" w:rsidP="00DC6ED9">
            <w:pPr>
              <w:rPr>
                <w:del w:id="3673" w:author="AbbVie02no" w:date="2025-05-15T12:36:00Z"/>
                <w:sz w:val="22"/>
              </w:rPr>
            </w:pPr>
            <w:del w:id="3674" w:author="AbbVie02no" w:date="2025-05-15T12:36:00Z">
              <w:r w:rsidRPr="00E04B2A">
                <w:rPr>
                  <w:sz w:val="22"/>
                </w:rPr>
                <w:delText>Klinisk respons iht.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B9F651A" w14:textId="5CE41F8A" w:rsidR="0015674E" w:rsidRPr="00E04B2A" w:rsidRDefault="00E453CD" w:rsidP="00DC6ED9">
            <w:pPr>
              <w:jc w:val="center"/>
              <w:rPr>
                <w:del w:id="3675" w:author="AbbVie02no" w:date="2025-05-15T12:36:00Z"/>
                <w:sz w:val="22"/>
              </w:rPr>
            </w:pPr>
            <w:del w:id="3676" w:author="AbbVie02no" w:date="2025-05-15T12:36:00Z">
              <w:r w:rsidRPr="00E04B2A">
                <w:rPr>
                  <w:sz w:val="22"/>
                </w:rPr>
                <w:delText>15/30 (50,0</w:delText>
              </w:r>
              <w:r>
                <w:rPr>
                  <w:sz w:val="22"/>
                </w:rPr>
                <w:delText> </w:delText>
              </w:r>
              <w:r w:rsidRPr="00E04B2A">
                <w:rPr>
                  <w:sz w:val="22"/>
                </w:rPr>
                <w:delText>%)</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CF65CE1" w14:textId="1EA91F0A" w:rsidR="0015674E" w:rsidRPr="00E04B2A" w:rsidRDefault="00E453CD" w:rsidP="00DC6ED9">
            <w:pPr>
              <w:jc w:val="center"/>
              <w:rPr>
                <w:del w:id="3677" w:author="AbbVie02no" w:date="2025-05-15T12:36:00Z"/>
                <w:sz w:val="22"/>
              </w:rPr>
            </w:pPr>
            <w:del w:id="3678" w:author="AbbVie02no" w:date="2025-05-15T12:36:00Z">
              <w:r w:rsidRPr="00E04B2A">
                <w:rPr>
                  <w:sz w:val="22"/>
                </w:rPr>
                <w:delText>32/47 (68,1</w:delText>
              </w:r>
              <w:r>
                <w:rPr>
                  <w:sz w:val="22"/>
                </w:rPr>
                <w:delText> </w:delText>
              </w:r>
              <w:r w:rsidRPr="00E04B2A">
                <w:rPr>
                  <w:sz w:val="22"/>
                </w:rPr>
                <w:delText>%)</w:delText>
              </w:r>
            </w:del>
          </w:p>
        </w:tc>
      </w:tr>
      <w:tr w:rsidR="004644D4" w14:paraId="6D9974B9" w14:textId="01EF598B" w:rsidTr="00DC6ED9">
        <w:trPr>
          <w:trHeight w:val="238"/>
          <w:jc w:val="center"/>
          <w:del w:id="3679" w:author="AbbVie02no" w:date="2025-05-15T12:36: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56727982" w14:textId="1C242E94" w:rsidR="0015674E" w:rsidRPr="00E04B2A" w:rsidRDefault="0015674E" w:rsidP="00DC6ED9">
            <w:pPr>
              <w:rPr>
                <w:del w:id="3680" w:author="AbbVie02no" w:date="2025-05-15T12:36:00Z"/>
                <w:sz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0AC5083" w14:textId="446C185C" w:rsidR="0015674E" w:rsidRPr="00E04B2A" w:rsidRDefault="00E453CD" w:rsidP="00DC6ED9">
            <w:pPr>
              <w:jc w:val="center"/>
              <w:rPr>
                <w:del w:id="3681" w:author="AbbVie02no" w:date="2025-05-15T12:36:00Z"/>
                <w:b/>
                <w:bCs/>
                <w:sz w:val="22"/>
              </w:rPr>
            </w:pPr>
            <w:del w:id="3682" w:author="AbbVie02no" w:date="2025-05-15T12:36:00Z">
              <w:r w:rsidRPr="00E04B2A">
                <w:rPr>
                  <w:b/>
                  <w:sz w:val="22"/>
                </w:rPr>
                <w:delText>Uke 52</w:delText>
              </w:r>
            </w:del>
          </w:p>
        </w:tc>
      </w:tr>
      <w:tr w:rsidR="004644D4" w14:paraId="6C71686A" w14:textId="49E9C006" w:rsidTr="00DC6ED9">
        <w:trPr>
          <w:trHeight w:val="238"/>
          <w:jc w:val="center"/>
          <w:del w:id="3683" w:author="AbbVie02no" w:date="2025-05-15T12:36:00Z"/>
        </w:trPr>
        <w:tc>
          <w:tcPr>
            <w:tcW w:w="0" w:type="auto"/>
            <w:vMerge/>
            <w:tcBorders>
              <w:top w:val="nil"/>
              <w:left w:val="single" w:sz="8" w:space="0" w:color="auto"/>
              <w:bottom w:val="single" w:sz="4" w:space="0" w:color="auto"/>
              <w:right w:val="single" w:sz="8" w:space="0" w:color="auto"/>
            </w:tcBorders>
            <w:vAlign w:val="center"/>
            <w:hideMark/>
          </w:tcPr>
          <w:p w14:paraId="331FD3D2" w14:textId="564ACDFC" w:rsidR="0015674E" w:rsidRPr="00E04B2A" w:rsidRDefault="0015674E" w:rsidP="00DC6ED9">
            <w:pPr>
              <w:rPr>
                <w:del w:id="3684" w:author="AbbVie02no" w:date="2025-05-15T12:36:00Z"/>
                <w:sz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70DF2FB" w14:textId="3F54E435" w:rsidR="0015674E" w:rsidRPr="00E04B2A" w:rsidRDefault="00E453CD" w:rsidP="00DC6ED9">
            <w:pPr>
              <w:jc w:val="center"/>
              <w:rPr>
                <w:del w:id="3685" w:author="AbbVie02no" w:date="2025-05-15T12:36:00Z"/>
                <w:b/>
                <w:bCs/>
                <w:sz w:val="22"/>
                <w:vertAlign w:val="superscript"/>
              </w:rPr>
            </w:pPr>
            <w:del w:id="3686" w:author="AbbVie02no" w:date="2025-05-15T12:36:00Z">
              <w:r w:rsidRPr="00E04B2A">
                <w:rPr>
                  <w:b/>
                  <w:sz w:val="22"/>
                </w:rPr>
                <w:delText>Humira</w:delText>
              </w:r>
              <w:r w:rsidRPr="00E04B2A">
                <w:rPr>
                  <w:b/>
                  <w:sz w:val="22"/>
                  <w:vertAlign w:val="superscript"/>
                </w:rPr>
                <w:delText>d</w:delText>
              </w:r>
            </w:del>
          </w:p>
          <w:p w14:paraId="1D2F8344" w14:textId="6F12943E" w:rsidR="0015674E" w:rsidRPr="00E04B2A" w:rsidRDefault="00E453CD" w:rsidP="00DC6ED9">
            <w:pPr>
              <w:jc w:val="center"/>
              <w:rPr>
                <w:del w:id="3687" w:author="AbbVie02no" w:date="2025-05-15T12:36:00Z"/>
                <w:b/>
                <w:bCs/>
                <w:sz w:val="22"/>
              </w:rPr>
            </w:pPr>
            <w:del w:id="3688" w:author="AbbVie02no" w:date="2025-05-15T12:36:00Z">
              <w:r w:rsidRPr="00E04B2A">
                <w:rPr>
                  <w:b/>
                  <w:sz w:val="22"/>
                </w:rPr>
                <w:delText>Maksimalt 40</w:delText>
              </w:r>
              <w:r>
                <w:rPr>
                  <w:b/>
                  <w:sz w:val="22"/>
                </w:rPr>
                <w:delText> </w:delText>
              </w:r>
              <w:r w:rsidRPr="00E04B2A">
                <w:rPr>
                  <w:b/>
                  <w:sz w:val="22"/>
                </w:rPr>
                <w:delText xml:space="preserve">mg </w:delText>
              </w:r>
              <w:r>
                <w:rPr>
                  <w:b/>
                  <w:sz w:val="22"/>
                </w:rPr>
                <w:delText>annenhver uke</w:delText>
              </w:r>
            </w:del>
          </w:p>
          <w:p w14:paraId="42CB99C0" w14:textId="164F12FA" w:rsidR="0015674E" w:rsidRPr="00E04B2A" w:rsidRDefault="00E453CD" w:rsidP="00DC6ED9">
            <w:pPr>
              <w:jc w:val="center"/>
              <w:rPr>
                <w:del w:id="3689" w:author="AbbVie02no" w:date="2025-05-15T12:36:00Z"/>
                <w:sz w:val="22"/>
              </w:rPr>
            </w:pPr>
            <w:del w:id="3690" w:author="AbbVie02no" w:date="2025-05-15T12:36:00Z">
              <w:r w:rsidRPr="00E04B2A">
                <w:rPr>
                  <w:sz w:val="22"/>
                </w:rPr>
                <w:delText>N = 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7D6309F" w14:textId="379847AE" w:rsidR="0015674E" w:rsidRPr="00E04B2A" w:rsidRDefault="00E453CD" w:rsidP="00DC6ED9">
            <w:pPr>
              <w:jc w:val="center"/>
              <w:rPr>
                <w:del w:id="3691" w:author="AbbVie02no" w:date="2025-05-15T12:36:00Z"/>
                <w:b/>
                <w:bCs/>
                <w:sz w:val="22"/>
                <w:vertAlign w:val="superscript"/>
              </w:rPr>
            </w:pPr>
            <w:del w:id="3692" w:author="AbbVie02no" w:date="2025-05-15T12:36:00Z">
              <w:r w:rsidRPr="00E04B2A">
                <w:rPr>
                  <w:b/>
                  <w:sz w:val="22"/>
                </w:rPr>
                <w:delText>Humira</w:delText>
              </w:r>
              <w:r w:rsidRPr="00E04B2A">
                <w:rPr>
                  <w:b/>
                  <w:sz w:val="22"/>
                  <w:vertAlign w:val="superscript"/>
                </w:rPr>
                <w:delText>e</w:delText>
              </w:r>
            </w:del>
          </w:p>
          <w:p w14:paraId="0F13FD63" w14:textId="25BFD7C9" w:rsidR="0015674E" w:rsidRDefault="00E453CD" w:rsidP="00DC6ED9">
            <w:pPr>
              <w:jc w:val="center"/>
              <w:rPr>
                <w:del w:id="3693" w:author="AbbVie02no" w:date="2025-05-15T12:36:00Z"/>
                <w:b/>
                <w:sz w:val="22"/>
              </w:rPr>
            </w:pPr>
            <w:del w:id="3694" w:author="AbbVie02no" w:date="2025-05-15T12:36:00Z">
              <w:r w:rsidRPr="00E04B2A">
                <w:rPr>
                  <w:b/>
                  <w:sz w:val="22"/>
                </w:rPr>
                <w:delText>Maksimalt 40</w:delText>
              </w:r>
              <w:r>
                <w:rPr>
                  <w:b/>
                  <w:sz w:val="22"/>
                </w:rPr>
                <w:delText> </w:delText>
              </w:r>
              <w:r w:rsidRPr="00E04B2A">
                <w:rPr>
                  <w:b/>
                  <w:sz w:val="22"/>
                </w:rPr>
                <w:delText>mg</w:delText>
              </w:r>
              <w:r>
                <w:rPr>
                  <w:b/>
                  <w:sz w:val="22"/>
                </w:rPr>
                <w:delText xml:space="preserve"> </w:delText>
              </w:r>
            </w:del>
          </w:p>
          <w:p w14:paraId="0CEC663B" w14:textId="088D3541" w:rsidR="0015674E" w:rsidRPr="00E04B2A" w:rsidRDefault="00E453CD" w:rsidP="00DC6ED9">
            <w:pPr>
              <w:jc w:val="center"/>
              <w:rPr>
                <w:del w:id="3695" w:author="AbbVie02no" w:date="2025-05-15T12:36:00Z"/>
                <w:b/>
                <w:bCs/>
                <w:sz w:val="22"/>
              </w:rPr>
            </w:pPr>
            <w:del w:id="3696" w:author="AbbVie02no" w:date="2025-05-15T12:36:00Z">
              <w:r>
                <w:rPr>
                  <w:b/>
                  <w:sz w:val="22"/>
                </w:rPr>
                <w:delText>hver uke</w:delText>
              </w:r>
            </w:del>
          </w:p>
          <w:p w14:paraId="641A9FCD" w14:textId="48283799" w:rsidR="0015674E" w:rsidRPr="00E04B2A" w:rsidRDefault="00E453CD" w:rsidP="00DC6ED9">
            <w:pPr>
              <w:jc w:val="center"/>
              <w:rPr>
                <w:del w:id="3697" w:author="AbbVie02no" w:date="2025-05-15T12:36:00Z"/>
                <w:sz w:val="22"/>
              </w:rPr>
            </w:pPr>
            <w:del w:id="3698" w:author="AbbVie02no" w:date="2025-05-15T12:36:00Z">
              <w:r w:rsidRPr="00E04B2A">
                <w:rPr>
                  <w:sz w:val="22"/>
                </w:rPr>
                <w:delText>N = 31</w:delText>
              </w:r>
            </w:del>
          </w:p>
        </w:tc>
      </w:tr>
      <w:tr w:rsidR="004644D4" w14:paraId="1CAB15FF" w14:textId="2CCBCC55" w:rsidTr="00DC6ED9">
        <w:trPr>
          <w:trHeight w:val="238"/>
          <w:jc w:val="center"/>
          <w:del w:id="3699" w:author="AbbVie02no" w:date="2025-05-15T12: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5BFAEC1" w14:textId="54AEB32B" w:rsidR="0015674E" w:rsidRPr="00E04B2A" w:rsidRDefault="00E453CD" w:rsidP="00DC6ED9">
            <w:pPr>
              <w:rPr>
                <w:del w:id="3700" w:author="AbbVie02no" w:date="2025-05-15T12:36:00Z"/>
                <w:sz w:val="22"/>
              </w:rPr>
            </w:pPr>
            <w:del w:id="3701" w:author="AbbVie02no" w:date="2025-05-15T12:36:00Z">
              <w:r w:rsidRPr="00E04B2A">
                <w:rPr>
                  <w:sz w:val="22"/>
                </w:rPr>
                <w:delText>Klinisk remisjon iht. PUCAI hos uke 8 PMS-respondere</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5A012E2" w14:textId="0122BFDB" w:rsidR="0015674E" w:rsidRPr="00E04B2A" w:rsidRDefault="00E453CD" w:rsidP="00DC6ED9">
            <w:pPr>
              <w:jc w:val="center"/>
              <w:rPr>
                <w:del w:id="3702" w:author="AbbVie02no" w:date="2025-05-15T12:36:00Z"/>
                <w:sz w:val="22"/>
              </w:rPr>
            </w:pPr>
            <w:del w:id="3703" w:author="AbbVie02no" w:date="2025-05-15T12:36:00Z">
              <w:r w:rsidRPr="00E04B2A">
                <w:rPr>
                  <w:sz w:val="22"/>
                </w:rPr>
                <w:delText>14/31 (45,2</w:delText>
              </w:r>
              <w:r>
                <w:rPr>
                  <w:sz w:val="22"/>
                </w:rPr>
                <w:delText> </w:delText>
              </w:r>
              <w:r w:rsidRPr="00E04B2A">
                <w:rPr>
                  <w:sz w:val="22"/>
                </w:rPr>
                <w:delText>%)</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90129BD" w14:textId="53CAF953" w:rsidR="0015674E" w:rsidRPr="00E04B2A" w:rsidRDefault="00E453CD" w:rsidP="00DC6ED9">
            <w:pPr>
              <w:jc w:val="center"/>
              <w:rPr>
                <w:del w:id="3704" w:author="AbbVie02no" w:date="2025-05-15T12:36:00Z"/>
                <w:sz w:val="22"/>
              </w:rPr>
            </w:pPr>
            <w:del w:id="3705" w:author="AbbVie02no" w:date="2025-05-15T12:36:00Z">
              <w:r w:rsidRPr="00E04B2A">
                <w:rPr>
                  <w:sz w:val="22"/>
                </w:rPr>
                <w:delText>18/31 (58,1</w:delText>
              </w:r>
              <w:r>
                <w:rPr>
                  <w:sz w:val="22"/>
                </w:rPr>
                <w:delText> </w:delText>
              </w:r>
              <w:r w:rsidRPr="00E04B2A">
                <w:rPr>
                  <w:sz w:val="22"/>
                </w:rPr>
                <w:delText>%)</w:delText>
              </w:r>
            </w:del>
          </w:p>
        </w:tc>
      </w:tr>
      <w:tr w:rsidR="004644D4" w14:paraId="59BA9256" w14:textId="50E3A3AB" w:rsidTr="00DC6ED9">
        <w:trPr>
          <w:trHeight w:val="238"/>
          <w:jc w:val="center"/>
          <w:del w:id="3706" w:author="AbbVie02no" w:date="2025-05-15T12:36: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A77A569" w14:textId="77192DBE" w:rsidR="0015674E" w:rsidRPr="00E04B2A" w:rsidRDefault="00E453CD" w:rsidP="00DC6ED9">
            <w:pPr>
              <w:rPr>
                <w:del w:id="3707" w:author="AbbVie02no" w:date="2025-05-15T12:36:00Z"/>
                <w:sz w:val="22"/>
              </w:rPr>
            </w:pPr>
            <w:del w:id="3708" w:author="AbbVie02no" w:date="2025-05-15T12:36:00Z">
              <w:r w:rsidRPr="00E04B2A">
                <w:rPr>
                  <w:sz w:val="22"/>
                </w:rPr>
                <w:delText xml:space="preserve">Klinisk </w:delText>
              </w:r>
              <w:r>
                <w:rPr>
                  <w:sz w:val="22"/>
                </w:rPr>
                <w:delText>respons</w:delText>
              </w:r>
              <w:r w:rsidRPr="00E04B2A">
                <w:rPr>
                  <w:sz w:val="22"/>
                </w:rPr>
                <w:delText xml:space="preserve"> iht. PUCAI hos uke 8 PMS-respondere</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B119BD1" w14:textId="48F16081" w:rsidR="0015674E" w:rsidRPr="00E04B2A" w:rsidRDefault="00E453CD" w:rsidP="00DC6ED9">
            <w:pPr>
              <w:jc w:val="center"/>
              <w:rPr>
                <w:del w:id="3709" w:author="AbbVie02no" w:date="2025-05-15T12:36:00Z"/>
                <w:sz w:val="22"/>
              </w:rPr>
            </w:pPr>
            <w:del w:id="3710" w:author="AbbVie02no" w:date="2025-05-15T12:36:00Z">
              <w:r w:rsidRPr="00E04B2A">
                <w:rPr>
                  <w:sz w:val="22"/>
                </w:rPr>
                <w:delText>18/31 (58,1</w:delText>
              </w:r>
              <w:r>
                <w:rPr>
                  <w:sz w:val="22"/>
                </w:rPr>
                <w:delText> </w:delText>
              </w:r>
              <w:r w:rsidRPr="00E04B2A">
                <w:rPr>
                  <w:sz w:val="22"/>
                </w:rPr>
                <w:delText>%)</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D935F44" w14:textId="2291DD4D" w:rsidR="0015674E" w:rsidRPr="00E04B2A" w:rsidRDefault="00E453CD" w:rsidP="00DC6ED9">
            <w:pPr>
              <w:jc w:val="center"/>
              <w:rPr>
                <w:del w:id="3711" w:author="AbbVie02no" w:date="2025-05-15T12:36:00Z"/>
                <w:sz w:val="22"/>
              </w:rPr>
            </w:pPr>
            <w:del w:id="3712" w:author="AbbVie02no" w:date="2025-05-15T12:36:00Z">
              <w:r w:rsidRPr="00E04B2A">
                <w:rPr>
                  <w:sz w:val="22"/>
                </w:rPr>
                <w:delText>16/31 (51,6</w:delText>
              </w:r>
              <w:r>
                <w:rPr>
                  <w:sz w:val="22"/>
                </w:rPr>
                <w:delText> </w:delText>
              </w:r>
              <w:r w:rsidRPr="00E04B2A">
                <w:rPr>
                  <w:sz w:val="22"/>
                </w:rPr>
                <w:delText>%)</w:delText>
              </w:r>
            </w:del>
          </w:p>
        </w:tc>
      </w:tr>
      <w:tr w:rsidR="004644D4" w14:paraId="696C17F9" w14:textId="6FB11843" w:rsidTr="00DC6ED9">
        <w:trPr>
          <w:trHeight w:val="533"/>
          <w:jc w:val="center"/>
          <w:del w:id="3713" w:author="AbbVie02no" w:date="2025-05-15T12:36: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58CD6E4" w14:textId="018D819A" w:rsidR="0015674E" w:rsidRPr="00F130A6" w:rsidRDefault="00E453CD" w:rsidP="00DC6ED9">
            <w:pPr>
              <w:rPr>
                <w:del w:id="3714" w:author="AbbVie02no" w:date="2025-05-15T12:36:00Z"/>
                <w:rStyle w:val="eop"/>
                <w:sz w:val="22"/>
                <w:szCs w:val="22"/>
              </w:rPr>
            </w:pPr>
            <w:del w:id="3715" w:author="AbbVie02no" w:date="2025-05-15T12:36:00Z">
              <w:r w:rsidRPr="00047F3C">
                <w:rPr>
                  <w:sz w:val="22"/>
                  <w:szCs w:val="22"/>
                  <w:vertAlign w:val="superscript"/>
                </w:rPr>
                <w:delText>a</w:delText>
              </w:r>
              <w:r w:rsidRPr="00047F3C">
                <w:rPr>
                  <w:rStyle w:val="normaltextrun"/>
                  <w:sz w:val="22"/>
                  <w:szCs w:val="22"/>
                </w:rPr>
                <w:delText>Humira 2,4</w:delText>
              </w:r>
              <w:r w:rsidRPr="00387C74">
                <w:rPr>
                  <w:rStyle w:val="normaltextrun"/>
                  <w:sz w:val="22"/>
                  <w:szCs w:val="22"/>
                </w:rPr>
                <w:delText> </w:delText>
              </w:r>
              <w:r w:rsidRPr="00F130A6">
                <w:rPr>
                  <w:rStyle w:val="normaltextrun"/>
                  <w:sz w:val="22"/>
                  <w:szCs w:val="22"/>
                </w:rPr>
                <w:delText>mg/kg (maksima</w:delText>
              </w:r>
              <w:r w:rsidRPr="0015674E">
                <w:rPr>
                  <w:rStyle w:val="normaltextrun"/>
                  <w:sz w:val="22"/>
                  <w:szCs w:val="22"/>
                </w:rPr>
                <w:delText>lt</w:delText>
              </w:r>
              <w:r w:rsidRPr="00F130A6">
                <w:rPr>
                  <w:rStyle w:val="normaltextrun"/>
                  <w:sz w:val="22"/>
                  <w:szCs w:val="22"/>
                </w:rPr>
                <w:delText xml:space="preserve"> 160</w:delText>
              </w:r>
              <w:r>
                <w:rPr>
                  <w:rStyle w:val="normaltextrun"/>
                  <w:sz w:val="22"/>
                  <w:szCs w:val="22"/>
                </w:rPr>
                <w:delText> </w:delText>
              </w:r>
              <w:r w:rsidRPr="00F130A6">
                <w:rPr>
                  <w:rStyle w:val="normaltextrun"/>
                  <w:sz w:val="22"/>
                  <w:szCs w:val="22"/>
                </w:rPr>
                <w:delText>mg) i uke 0, placebo i uke 1 og 1,2 mg/kg (maksima</w:delText>
              </w:r>
              <w:r w:rsidRPr="0015674E">
                <w:rPr>
                  <w:rStyle w:val="normaltextrun"/>
                  <w:sz w:val="22"/>
                  <w:szCs w:val="22"/>
                </w:rPr>
                <w:delText>lt</w:delText>
              </w:r>
              <w:r w:rsidRPr="00F130A6">
                <w:rPr>
                  <w:rStyle w:val="normaltextrun"/>
                  <w:sz w:val="22"/>
                  <w:szCs w:val="22"/>
                </w:rPr>
                <w:delText xml:space="preserve"> 80</w:delText>
              </w:r>
              <w:r>
                <w:rPr>
                  <w:rStyle w:val="normaltextrun"/>
                  <w:sz w:val="22"/>
                  <w:szCs w:val="22"/>
                </w:rPr>
                <w:delText> </w:delText>
              </w:r>
              <w:r w:rsidRPr="00F130A6">
                <w:rPr>
                  <w:rStyle w:val="normaltextrun"/>
                  <w:sz w:val="22"/>
                  <w:szCs w:val="22"/>
                </w:rPr>
                <w:delText>mg) i uke 2</w:delText>
              </w:r>
              <w:r w:rsidRPr="00F130A6">
                <w:rPr>
                  <w:sz w:val="22"/>
                  <w:szCs w:val="22"/>
                </w:rPr>
                <w:delText> </w:delText>
              </w:r>
              <w:r w:rsidRPr="00F130A6">
                <w:rPr>
                  <w:rStyle w:val="eop"/>
                  <w:sz w:val="22"/>
                  <w:szCs w:val="22"/>
                </w:rPr>
                <w:delText> </w:delText>
              </w:r>
            </w:del>
          </w:p>
          <w:p w14:paraId="671CC703" w14:textId="0C99055E" w:rsidR="0015674E" w:rsidRPr="00047F3C" w:rsidRDefault="00E453CD" w:rsidP="00DC6ED9">
            <w:pPr>
              <w:pStyle w:val="paragraph0"/>
              <w:spacing w:before="0" w:beforeAutospacing="0" w:after="0" w:afterAutospacing="0"/>
              <w:textAlignment w:val="baseline"/>
              <w:rPr>
                <w:del w:id="3716" w:author="AbbVie02no" w:date="2025-05-15T12:36:00Z"/>
                <w:rStyle w:val="eop"/>
                <w:sz w:val="22"/>
                <w:szCs w:val="22"/>
              </w:rPr>
            </w:pPr>
            <w:del w:id="3717" w:author="AbbVie02no" w:date="2025-05-15T12:36:00Z">
              <w:r w:rsidRPr="00F130A6">
                <w:rPr>
                  <w:sz w:val="22"/>
                  <w:szCs w:val="22"/>
                  <w:vertAlign w:val="superscript"/>
                </w:rPr>
                <w:delText>b</w:delText>
              </w:r>
              <w:r w:rsidRPr="00F130A6">
                <w:rPr>
                  <w:rStyle w:val="normaltextrun"/>
                  <w:sz w:val="22"/>
                  <w:szCs w:val="22"/>
                </w:rPr>
                <w:delText>Humira 2,4 mg/kg (maksima</w:delText>
              </w:r>
              <w:r w:rsidRPr="0015674E">
                <w:rPr>
                  <w:rStyle w:val="normaltextrun"/>
                  <w:sz w:val="22"/>
                  <w:szCs w:val="22"/>
                </w:rPr>
                <w:delText>lt</w:delText>
              </w:r>
              <w:r w:rsidRPr="00F130A6">
                <w:rPr>
                  <w:rStyle w:val="normaltextrun"/>
                  <w:sz w:val="22"/>
                  <w:szCs w:val="22"/>
                </w:rPr>
                <w:delText xml:space="preserve"> 160</w:delText>
              </w:r>
              <w:r>
                <w:rPr>
                  <w:rStyle w:val="normaltextrun"/>
                  <w:sz w:val="22"/>
                  <w:szCs w:val="22"/>
                </w:rPr>
                <w:delText> </w:delText>
              </w:r>
              <w:r w:rsidRPr="00F130A6">
                <w:rPr>
                  <w:rStyle w:val="normaltextrun"/>
                  <w:sz w:val="22"/>
                  <w:szCs w:val="22"/>
                </w:rPr>
                <w:delText>mg) i uke 0 og uke 1 og 1,2 mg/kg (maksima</w:delText>
              </w:r>
              <w:r w:rsidRPr="0015674E">
                <w:rPr>
                  <w:rStyle w:val="normaltextrun"/>
                  <w:sz w:val="22"/>
                  <w:szCs w:val="22"/>
                </w:rPr>
                <w:delText>lt</w:delText>
              </w:r>
              <w:r w:rsidRPr="00F130A6">
                <w:rPr>
                  <w:rStyle w:val="normaltextrun"/>
                  <w:sz w:val="22"/>
                  <w:szCs w:val="22"/>
                </w:rPr>
                <w:delText xml:space="preserve"> 80</w:delText>
              </w:r>
              <w:r>
                <w:rPr>
                  <w:rStyle w:val="normaltextrun"/>
                  <w:sz w:val="22"/>
                  <w:szCs w:val="22"/>
                </w:rPr>
                <w:delText> </w:delText>
              </w:r>
              <w:r w:rsidRPr="00F130A6">
                <w:rPr>
                  <w:rStyle w:val="normaltextrun"/>
                  <w:sz w:val="22"/>
                  <w:szCs w:val="22"/>
                </w:rPr>
                <w:delText>mg) i uke 2</w:delText>
              </w:r>
              <w:r w:rsidRPr="00F130A6">
                <w:rPr>
                  <w:rStyle w:val="eop"/>
                  <w:sz w:val="22"/>
                  <w:szCs w:val="22"/>
                </w:rPr>
                <w:delText> </w:delText>
              </w:r>
            </w:del>
          </w:p>
          <w:p w14:paraId="560BA44A" w14:textId="762F6986" w:rsidR="0015674E" w:rsidRPr="00047F3C" w:rsidRDefault="00E453CD" w:rsidP="00DC6ED9">
            <w:pPr>
              <w:pStyle w:val="paragraph0"/>
              <w:spacing w:before="0" w:beforeAutospacing="0" w:after="0" w:afterAutospacing="0"/>
              <w:textAlignment w:val="baseline"/>
              <w:rPr>
                <w:del w:id="3718" w:author="AbbVie02no" w:date="2025-05-15T12:36:00Z"/>
                <w:rStyle w:val="normaltextrun"/>
                <w:sz w:val="22"/>
                <w:szCs w:val="22"/>
              </w:rPr>
            </w:pPr>
            <w:del w:id="3719" w:author="AbbVie02no" w:date="2025-05-15T12:36:00Z">
              <w:r w:rsidRPr="005A0BB3">
                <w:rPr>
                  <w:rStyle w:val="normaltextrun"/>
                  <w:sz w:val="22"/>
                  <w:szCs w:val="22"/>
                  <w:vertAlign w:val="superscript"/>
                </w:rPr>
                <w:delText>c</w:delText>
              </w:r>
              <w:r w:rsidRPr="005A0BB3">
                <w:rPr>
                  <w:rStyle w:val="normaltextrun"/>
                  <w:sz w:val="22"/>
                  <w:szCs w:val="22"/>
                </w:rPr>
                <w:delText xml:space="preserve">Inkluderer ikke åpen induksjonsdose </w:delText>
              </w:r>
              <w:r w:rsidRPr="00F130A6">
                <w:rPr>
                  <w:rStyle w:val="normaltextrun"/>
                  <w:sz w:val="22"/>
                  <w:szCs w:val="22"/>
                </w:rPr>
                <w:delText>m</w:delText>
              </w:r>
              <w:r w:rsidRPr="0015674E">
                <w:rPr>
                  <w:rStyle w:val="normaltextrun"/>
                  <w:sz w:val="22"/>
                  <w:szCs w:val="22"/>
                </w:rPr>
                <w:delText>ed</w:delText>
              </w:r>
              <w:r w:rsidRPr="00047F3C">
                <w:rPr>
                  <w:rStyle w:val="normaltextrun"/>
                  <w:sz w:val="22"/>
                  <w:szCs w:val="22"/>
                </w:rPr>
                <w:delText xml:space="preserve"> Humira 2,4 </w:delText>
              </w:r>
              <w:r w:rsidRPr="00F130A6">
                <w:rPr>
                  <w:rStyle w:val="normaltextrun"/>
                  <w:sz w:val="22"/>
                  <w:szCs w:val="22"/>
                </w:rPr>
                <w:delText>mg/kg (maksima</w:delText>
              </w:r>
              <w:r w:rsidRPr="0015674E">
                <w:rPr>
                  <w:rStyle w:val="normaltextrun"/>
                  <w:sz w:val="22"/>
                  <w:szCs w:val="22"/>
                </w:rPr>
                <w:delText>lt</w:delText>
              </w:r>
              <w:r w:rsidRPr="00F130A6">
                <w:rPr>
                  <w:rStyle w:val="normaltextrun"/>
                  <w:sz w:val="22"/>
                  <w:szCs w:val="22"/>
                </w:rPr>
                <w:delText xml:space="preserve"> 160</w:delText>
              </w:r>
              <w:r>
                <w:rPr>
                  <w:rStyle w:val="normaltextrun"/>
                  <w:sz w:val="22"/>
                  <w:szCs w:val="22"/>
                </w:rPr>
                <w:delText> </w:delText>
              </w:r>
              <w:r w:rsidRPr="00F130A6">
                <w:rPr>
                  <w:rStyle w:val="normaltextrun"/>
                  <w:sz w:val="22"/>
                  <w:szCs w:val="22"/>
                </w:rPr>
                <w:delText>mg) i uke 0 og uke 1 og 1,2 mg/kg (maksima</w:delText>
              </w:r>
              <w:r w:rsidRPr="0015674E">
                <w:rPr>
                  <w:rStyle w:val="normaltextrun"/>
                  <w:sz w:val="22"/>
                  <w:szCs w:val="22"/>
                </w:rPr>
                <w:delText>lt</w:delText>
              </w:r>
              <w:r w:rsidRPr="00F130A6">
                <w:rPr>
                  <w:rStyle w:val="normaltextrun"/>
                  <w:sz w:val="22"/>
                  <w:szCs w:val="22"/>
                </w:rPr>
                <w:delText xml:space="preserve"> 80</w:delText>
              </w:r>
              <w:r>
                <w:rPr>
                  <w:rStyle w:val="normaltextrun"/>
                  <w:sz w:val="22"/>
                  <w:szCs w:val="22"/>
                </w:rPr>
                <w:delText> </w:delText>
              </w:r>
              <w:r w:rsidRPr="00F130A6">
                <w:rPr>
                  <w:rStyle w:val="normaltextrun"/>
                  <w:sz w:val="22"/>
                  <w:szCs w:val="22"/>
                </w:rPr>
                <w:delText>mg) i uke 2</w:delText>
              </w:r>
            </w:del>
          </w:p>
          <w:p w14:paraId="17AAA1CC" w14:textId="7C8B9425" w:rsidR="0015674E" w:rsidRPr="00047F3C" w:rsidRDefault="00E453CD" w:rsidP="00DC6ED9">
            <w:pPr>
              <w:pStyle w:val="paragraph0"/>
              <w:spacing w:before="0" w:beforeAutospacing="0" w:after="0" w:afterAutospacing="0"/>
              <w:textAlignment w:val="baseline"/>
              <w:rPr>
                <w:del w:id="3720" w:author="AbbVie02no" w:date="2025-05-15T12:36:00Z"/>
                <w:sz w:val="22"/>
                <w:szCs w:val="22"/>
              </w:rPr>
            </w:pPr>
            <w:del w:id="3721" w:author="AbbVie02no" w:date="2025-05-15T12:36:00Z">
              <w:r w:rsidRPr="005A0BB3">
                <w:rPr>
                  <w:rStyle w:val="normaltextrun"/>
                  <w:sz w:val="22"/>
                  <w:szCs w:val="22"/>
                  <w:vertAlign w:val="superscript"/>
                </w:rPr>
                <w:delText>d</w:delText>
              </w:r>
              <w:r w:rsidRPr="00F130A6">
                <w:rPr>
                  <w:sz w:val="22"/>
                  <w:szCs w:val="22"/>
                </w:rPr>
                <w:delText>Humira 0,6 mg/kg (maksimalt 40</w:delText>
              </w:r>
              <w:r>
                <w:rPr>
                  <w:sz w:val="22"/>
                  <w:szCs w:val="22"/>
                </w:rPr>
                <w:delText> </w:delText>
              </w:r>
              <w:r w:rsidRPr="00F130A6">
                <w:rPr>
                  <w:sz w:val="22"/>
                  <w:szCs w:val="22"/>
                </w:rPr>
                <w:delText>mg) annenhver uke</w:delText>
              </w:r>
            </w:del>
          </w:p>
          <w:p w14:paraId="080DCCB4" w14:textId="77BB42CB" w:rsidR="0015674E" w:rsidRPr="00F130A6" w:rsidRDefault="00E453CD" w:rsidP="00DC6ED9">
            <w:pPr>
              <w:rPr>
                <w:del w:id="3722" w:author="AbbVie02no" w:date="2025-05-15T12:36:00Z"/>
                <w:sz w:val="22"/>
                <w:szCs w:val="22"/>
              </w:rPr>
            </w:pPr>
            <w:del w:id="3723" w:author="AbbVie02no" w:date="2025-05-15T12:36:00Z">
              <w:r w:rsidRPr="005A0BB3">
                <w:rPr>
                  <w:sz w:val="22"/>
                  <w:szCs w:val="22"/>
                  <w:vertAlign w:val="superscript"/>
                </w:rPr>
                <w:delText>e</w:delText>
              </w:r>
              <w:r w:rsidRPr="00F130A6">
                <w:rPr>
                  <w:sz w:val="22"/>
                  <w:szCs w:val="22"/>
                </w:rPr>
                <w:delText>Humira 0,6 mg/kg (maksimalt 40</w:delText>
              </w:r>
              <w:r>
                <w:rPr>
                  <w:sz w:val="22"/>
                  <w:szCs w:val="22"/>
                </w:rPr>
                <w:delText> </w:delText>
              </w:r>
              <w:r w:rsidRPr="00F130A6">
                <w:rPr>
                  <w:sz w:val="22"/>
                  <w:szCs w:val="22"/>
                </w:rPr>
                <w:delText>mg) hver uke</w:delText>
              </w:r>
            </w:del>
          </w:p>
          <w:p w14:paraId="1472D4B5" w14:textId="4102A647" w:rsidR="0015674E" w:rsidRPr="00047F3C" w:rsidRDefault="00E453CD" w:rsidP="00DC6ED9">
            <w:pPr>
              <w:pStyle w:val="paragraph0"/>
              <w:spacing w:before="0" w:beforeAutospacing="0" w:after="0" w:afterAutospacing="0"/>
              <w:textAlignment w:val="baseline"/>
              <w:rPr>
                <w:del w:id="3724" w:author="AbbVie02no" w:date="2025-05-15T12:36:00Z"/>
                <w:sz w:val="22"/>
                <w:szCs w:val="22"/>
              </w:rPr>
            </w:pPr>
            <w:del w:id="3725" w:author="AbbVie02no" w:date="2025-05-15T12:36:00Z">
              <w:r w:rsidRPr="00F130A6">
                <w:rPr>
                  <w:rStyle w:val="normaltextrun"/>
                  <w:sz w:val="22"/>
                  <w:szCs w:val="22"/>
                </w:rPr>
                <w:delText>Merknad 1: Begge induksjonsgrupper fikk 0,6 mg/kg (maksimalt 40</w:delText>
              </w:r>
              <w:r>
                <w:rPr>
                  <w:rStyle w:val="normaltextrun"/>
                  <w:sz w:val="22"/>
                  <w:szCs w:val="22"/>
                </w:rPr>
                <w:delText> </w:delText>
              </w:r>
              <w:r w:rsidRPr="00F130A6">
                <w:rPr>
                  <w:rStyle w:val="normaltextrun"/>
                  <w:sz w:val="22"/>
                  <w:szCs w:val="22"/>
                </w:rPr>
                <w:delText>mg) i uke 4 og uke 6</w:delText>
              </w:r>
              <w:r w:rsidRPr="00F130A6">
                <w:rPr>
                  <w:rStyle w:val="eop"/>
                  <w:sz w:val="22"/>
                  <w:szCs w:val="22"/>
                </w:rPr>
                <w:delText> </w:delText>
              </w:r>
            </w:del>
          </w:p>
          <w:p w14:paraId="1456E9E4" w14:textId="3E09998C" w:rsidR="0015674E" w:rsidRPr="00047F3C" w:rsidRDefault="00E453CD" w:rsidP="00DC6ED9">
            <w:pPr>
              <w:pStyle w:val="paragraph0"/>
              <w:spacing w:before="0" w:beforeAutospacing="0" w:after="0" w:afterAutospacing="0"/>
              <w:textAlignment w:val="baseline"/>
              <w:rPr>
                <w:del w:id="3726" w:author="AbbVie02no" w:date="2025-05-15T12:36:00Z"/>
                <w:rStyle w:val="eop"/>
                <w:sz w:val="22"/>
                <w:szCs w:val="22"/>
              </w:rPr>
            </w:pPr>
            <w:del w:id="3727" w:author="AbbVie02no" w:date="2025-05-15T12:36:00Z">
              <w:r w:rsidRPr="005A0BB3">
                <w:rPr>
                  <w:rStyle w:val="normaltextrun"/>
                  <w:sz w:val="22"/>
                  <w:szCs w:val="22"/>
                </w:rPr>
                <w:lastRenderedPageBreak/>
                <w:delText xml:space="preserve">Merknad 2: Pasienter med manglende verdier </w:delText>
              </w:r>
              <w:r w:rsidRPr="00F130A6">
                <w:rPr>
                  <w:rStyle w:val="normaltextrun"/>
                  <w:sz w:val="22"/>
                  <w:szCs w:val="22"/>
                </w:rPr>
                <w:delText>v</w:delText>
              </w:r>
              <w:r w:rsidRPr="0015674E">
                <w:rPr>
                  <w:rStyle w:val="normaltextrun"/>
                  <w:sz w:val="22"/>
                  <w:szCs w:val="22"/>
                </w:rPr>
                <w:delText>ed</w:delText>
              </w:r>
              <w:r w:rsidRPr="00047F3C">
                <w:rPr>
                  <w:rStyle w:val="normaltextrun"/>
                  <w:sz w:val="22"/>
                  <w:szCs w:val="22"/>
                </w:rPr>
                <w:delText xml:space="preserve"> uke 8 ble ansett som ikke å ha o</w:delText>
              </w:r>
              <w:r w:rsidRPr="0015674E">
                <w:rPr>
                  <w:rStyle w:val="normaltextrun"/>
                  <w:sz w:val="22"/>
                  <w:szCs w:val="22"/>
                </w:rPr>
                <w:delText>pp</w:delText>
              </w:r>
              <w:r w:rsidRPr="00047F3C">
                <w:rPr>
                  <w:rStyle w:val="normaltextrun"/>
                  <w:sz w:val="22"/>
                  <w:szCs w:val="22"/>
                </w:rPr>
                <w:delText>nådd endepunktene</w:delText>
              </w:r>
              <w:r w:rsidRPr="005A0BB3">
                <w:rPr>
                  <w:rStyle w:val="eop"/>
                  <w:sz w:val="22"/>
                  <w:szCs w:val="22"/>
                </w:rPr>
                <w:delText> </w:delText>
              </w:r>
            </w:del>
          </w:p>
          <w:p w14:paraId="655783E7" w14:textId="52F3D7F8" w:rsidR="0015674E" w:rsidRPr="00480BF1" w:rsidRDefault="00E453CD" w:rsidP="00DC6ED9">
            <w:pPr>
              <w:pStyle w:val="paragraph0"/>
              <w:spacing w:before="0" w:beforeAutospacing="0" w:after="0" w:afterAutospacing="0"/>
              <w:textAlignment w:val="baseline"/>
              <w:rPr>
                <w:del w:id="3728" w:author="AbbVie02no" w:date="2025-05-15T12:36:00Z"/>
                <w:sz w:val="22"/>
                <w:szCs w:val="22"/>
              </w:rPr>
            </w:pPr>
            <w:del w:id="3729" w:author="AbbVie02no" w:date="2025-05-15T12:36:00Z">
              <w:r w:rsidRPr="005A0BB3">
                <w:rPr>
                  <w:rStyle w:val="eop"/>
                  <w:sz w:val="22"/>
                  <w:szCs w:val="22"/>
                </w:rPr>
                <w:delText xml:space="preserve">Merknad 3: </w:delText>
              </w:r>
              <w:r w:rsidRPr="005A0BB3">
                <w:rPr>
                  <w:sz w:val="22"/>
                  <w:szCs w:val="22"/>
                </w:rPr>
                <w:delText>Pasienter med manglende verdier ved</w:delText>
              </w:r>
              <w:r w:rsidRPr="00F130A6">
                <w:rPr>
                  <w:sz w:val="22"/>
                  <w:szCs w:val="22"/>
                </w:rPr>
                <w:delText xml:space="preserve"> uke 52 eller som ble randomisert til å få gjentatt induksjons- eller vedlikeholdsbehandling ble ansett som ikke-responderende for endepunktene ved uke 52</w:delText>
              </w:r>
            </w:del>
          </w:p>
        </w:tc>
      </w:tr>
    </w:tbl>
    <w:p w14:paraId="72E08A3D" w14:textId="77FCB401" w:rsidR="0015674E" w:rsidRPr="00E04B2A" w:rsidRDefault="0015674E" w:rsidP="0015674E">
      <w:pPr>
        <w:rPr>
          <w:del w:id="3730" w:author="AbbVie02no" w:date="2025-05-15T12:36:00Z"/>
          <w:sz w:val="22"/>
        </w:rPr>
      </w:pPr>
    </w:p>
    <w:p w14:paraId="2B243DBF" w14:textId="528493B0" w:rsidR="0015674E" w:rsidRPr="00E04B2A" w:rsidRDefault="00E453CD" w:rsidP="0015674E">
      <w:pPr>
        <w:rPr>
          <w:del w:id="3731" w:author="AbbVie02no" w:date="2025-05-15T12:36:00Z"/>
          <w:sz w:val="22"/>
        </w:rPr>
      </w:pPr>
      <w:del w:id="3732" w:author="AbbVie02no" w:date="2025-05-15T12:36:00Z">
        <w:r w:rsidRPr="00E04B2A">
          <w:rPr>
            <w:sz w:val="22"/>
          </w:rPr>
          <w:delText xml:space="preserve">Av de Humirabehandlede pasientene som fikk gjentatt induksjonsbehandling i vedlikeholdsperioden oppnådde 2/6 (33 %) klinisk respons iht. FMS </w:delText>
        </w:r>
        <w:r>
          <w:rPr>
            <w:sz w:val="22"/>
          </w:rPr>
          <w:delText>ved</w:delText>
        </w:r>
        <w:r w:rsidRPr="00E04B2A">
          <w:rPr>
            <w:sz w:val="22"/>
          </w:rPr>
          <w:delText xml:space="preserve"> uke 52.</w:delText>
        </w:r>
      </w:del>
    </w:p>
    <w:p w14:paraId="28619E55" w14:textId="4322977C" w:rsidR="0015674E" w:rsidRPr="00E04B2A" w:rsidRDefault="0015674E" w:rsidP="0015674E">
      <w:pPr>
        <w:rPr>
          <w:del w:id="3733" w:author="AbbVie02no" w:date="2025-05-15T12:36:00Z"/>
          <w:sz w:val="22"/>
        </w:rPr>
      </w:pPr>
    </w:p>
    <w:p w14:paraId="4403E378" w14:textId="0A1569AE" w:rsidR="0015674E" w:rsidRPr="00E04B2A" w:rsidRDefault="00E453CD" w:rsidP="0015674E">
      <w:pPr>
        <w:keepNext/>
        <w:rPr>
          <w:del w:id="3734" w:author="AbbVie02no" w:date="2025-05-15T12:36:00Z"/>
          <w:bCs/>
          <w:i/>
          <w:sz w:val="22"/>
          <w:u w:val="single"/>
        </w:rPr>
      </w:pPr>
      <w:del w:id="3735" w:author="AbbVie02no" w:date="2025-05-15T12:36:00Z">
        <w:r w:rsidRPr="00E04B2A">
          <w:rPr>
            <w:i/>
            <w:sz w:val="22"/>
            <w:u w:val="single"/>
          </w:rPr>
          <w:delText>Livskvalitet</w:delText>
        </w:r>
      </w:del>
    </w:p>
    <w:p w14:paraId="643A3C19" w14:textId="7283FE57" w:rsidR="0015674E" w:rsidRPr="00E04B2A" w:rsidRDefault="0015674E" w:rsidP="0015674E">
      <w:pPr>
        <w:keepNext/>
        <w:rPr>
          <w:del w:id="3736" w:author="AbbVie02no" w:date="2025-05-15T12:36:00Z"/>
          <w:bCs/>
          <w:i/>
          <w:sz w:val="22"/>
          <w:u w:val="single"/>
        </w:rPr>
      </w:pPr>
    </w:p>
    <w:p w14:paraId="29206C31" w14:textId="16A5B8AC" w:rsidR="0015674E" w:rsidRDefault="00E453CD" w:rsidP="0015674E">
      <w:pPr>
        <w:keepNext/>
        <w:rPr>
          <w:del w:id="3737" w:author="AbbVie02no" w:date="2025-05-15T12:36:00Z"/>
          <w:sz w:val="22"/>
        </w:rPr>
      </w:pPr>
      <w:del w:id="3738" w:author="AbbVie02no" w:date="2025-05-15T12:36:00Z">
        <w:r w:rsidRPr="008A23C0">
          <w:rPr>
            <w:sz w:val="22"/>
          </w:rPr>
          <w:delText xml:space="preserve">Kliniske forbedringer av betydning fra baseline ble observert i </w:delText>
        </w:r>
        <w:r>
          <w:rPr>
            <w:sz w:val="22"/>
          </w:rPr>
          <w:delText xml:space="preserve">score fra </w:delText>
        </w:r>
        <w:r w:rsidRPr="00127826">
          <w:rPr>
            <w:sz w:val="22"/>
          </w:rPr>
          <w:delText xml:space="preserve">IMPACT III </w:delText>
        </w:r>
        <w:r>
          <w:rPr>
            <w:sz w:val="22"/>
          </w:rPr>
          <w:delText xml:space="preserve">og </w:delText>
        </w:r>
        <w:r w:rsidRPr="008A23C0">
          <w:rPr>
            <w:sz w:val="22"/>
          </w:rPr>
          <w:delText>Work Productivity and Activity</w:delText>
        </w:r>
        <w:r w:rsidRPr="00E04B2A">
          <w:rPr>
            <w:sz w:val="22"/>
          </w:rPr>
          <w:delText xml:space="preserve"> Impairment (WPAI)</w:delText>
        </w:r>
        <w:r>
          <w:rPr>
            <w:sz w:val="22"/>
          </w:rPr>
          <w:delText xml:space="preserve"> for omsorgsperson</w:delText>
        </w:r>
        <w:r w:rsidR="00470FA0">
          <w:rPr>
            <w:sz w:val="22"/>
          </w:rPr>
          <w:delText>,</w:delText>
        </w:r>
        <w:r>
          <w:rPr>
            <w:sz w:val="22"/>
          </w:rPr>
          <w:delText xml:space="preserve"> </w:delText>
        </w:r>
        <w:r w:rsidRPr="00E04B2A">
          <w:rPr>
            <w:sz w:val="22"/>
          </w:rPr>
          <w:delText>for gruppene behandlet med Humira.</w:delText>
        </w:r>
      </w:del>
    </w:p>
    <w:p w14:paraId="5BE356DC" w14:textId="6EAA5B8C" w:rsidR="0015674E" w:rsidRPr="00E04B2A" w:rsidRDefault="0015674E" w:rsidP="0015674E">
      <w:pPr>
        <w:keepNext/>
        <w:rPr>
          <w:del w:id="3739" w:author="AbbVie02no" w:date="2025-05-15T12:36:00Z"/>
          <w:sz w:val="22"/>
        </w:rPr>
      </w:pPr>
    </w:p>
    <w:p w14:paraId="3B882591" w14:textId="4F524BF9" w:rsidR="0015674E" w:rsidRPr="00E04B2A" w:rsidRDefault="00E453CD" w:rsidP="0015674E">
      <w:pPr>
        <w:rPr>
          <w:del w:id="3740" w:author="AbbVie02no" w:date="2025-05-15T12:36:00Z"/>
          <w:sz w:val="22"/>
        </w:rPr>
      </w:pPr>
      <w:del w:id="3741" w:author="AbbVie02no" w:date="2025-05-15T12:36:00Z">
        <w:r w:rsidRPr="00E04B2A">
          <w:rPr>
            <w:sz w:val="22"/>
          </w:rPr>
          <w:delText>Klinisk</w:delText>
        </w:r>
        <w:r>
          <w:rPr>
            <w:sz w:val="22"/>
          </w:rPr>
          <w:delText>e</w:delText>
        </w:r>
        <w:r w:rsidRPr="00E04B2A">
          <w:rPr>
            <w:sz w:val="22"/>
          </w:rPr>
          <w:delText xml:space="preserve"> </w:delText>
        </w:r>
        <w:r>
          <w:rPr>
            <w:sz w:val="22"/>
          </w:rPr>
          <w:delText>forbedringer</w:delText>
        </w:r>
        <w:r w:rsidR="00470FA0">
          <w:rPr>
            <w:sz w:val="22"/>
          </w:rPr>
          <w:delText xml:space="preserve"> (økninger)</w:delText>
        </w:r>
        <w:r>
          <w:rPr>
            <w:sz w:val="22"/>
          </w:rPr>
          <w:delText xml:space="preserve"> av betydning</w:delText>
        </w:r>
        <w:r w:rsidRPr="00E04B2A">
          <w:rPr>
            <w:sz w:val="22"/>
          </w:rPr>
          <w:delText xml:space="preserve"> fra baseline i </w:delText>
        </w:r>
        <w:r>
          <w:rPr>
            <w:sz w:val="22"/>
          </w:rPr>
          <w:delText>vekst</w:delText>
        </w:r>
        <w:r w:rsidRPr="002B4237">
          <w:rPr>
            <w:sz w:val="22"/>
          </w:rPr>
          <w:delText>hastighet</w:delText>
        </w:r>
        <w:r w:rsidRPr="00E04B2A">
          <w:rPr>
            <w:sz w:val="22"/>
          </w:rPr>
          <w:delText xml:space="preserve"> ble observert </w:delText>
        </w:r>
        <w:r>
          <w:rPr>
            <w:sz w:val="22"/>
          </w:rPr>
          <w:delText>i</w:delText>
        </w:r>
        <w:r w:rsidRPr="00E04B2A">
          <w:rPr>
            <w:sz w:val="22"/>
          </w:rPr>
          <w:delText xml:space="preserve"> gruppene behandlet med adalimumab, og klinisk</w:delText>
        </w:r>
        <w:r>
          <w:rPr>
            <w:sz w:val="22"/>
          </w:rPr>
          <w:delText>e</w:delText>
        </w:r>
        <w:r w:rsidRPr="00E04B2A">
          <w:rPr>
            <w:sz w:val="22"/>
          </w:rPr>
          <w:delText xml:space="preserve"> </w:delText>
        </w:r>
        <w:r>
          <w:rPr>
            <w:sz w:val="22"/>
          </w:rPr>
          <w:delText>forbedringer</w:delText>
        </w:r>
        <w:r w:rsidR="00470FA0">
          <w:rPr>
            <w:sz w:val="22"/>
          </w:rPr>
          <w:delText xml:space="preserve"> (økninger)</w:delText>
        </w:r>
        <w:r w:rsidRPr="00E04B2A">
          <w:rPr>
            <w:sz w:val="22"/>
          </w:rPr>
          <w:delText xml:space="preserve"> </w:delText>
        </w:r>
        <w:r>
          <w:rPr>
            <w:sz w:val="22"/>
          </w:rPr>
          <w:delText xml:space="preserve">av betydning </w:delText>
        </w:r>
        <w:r w:rsidRPr="00E04B2A">
          <w:rPr>
            <w:sz w:val="22"/>
          </w:rPr>
          <w:delText xml:space="preserve">fra baseline i </w:delText>
        </w:r>
        <w:r>
          <w:rPr>
            <w:sz w:val="22"/>
          </w:rPr>
          <w:delText>Body Mass Index</w:delText>
        </w:r>
        <w:r w:rsidRPr="00E04B2A">
          <w:rPr>
            <w:sz w:val="22"/>
          </w:rPr>
          <w:delText xml:space="preserve"> ble observert </w:delText>
        </w:r>
        <w:r>
          <w:rPr>
            <w:sz w:val="22"/>
          </w:rPr>
          <w:delText>hos</w:delText>
        </w:r>
        <w:r w:rsidRPr="00E04B2A">
          <w:rPr>
            <w:sz w:val="22"/>
          </w:rPr>
          <w:delText xml:space="preserve"> </w:delText>
        </w:r>
        <w:r>
          <w:rPr>
            <w:sz w:val="22"/>
          </w:rPr>
          <w:delText>pasienter som fikk</w:delText>
        </w:r>
        <w:r w:rsidRPr="00E04B2A">
          <w:rPr>
            <w:sz w:val="22"/>
          </w:rPr>
          <w:delText xml:space="preserve"> høy vedlikeholdsdose på maksimalt 40</w:delText>
        </w:r>
        <w:r>
          <w:rPr>
            <w:sz w:val="22"/>
          </w:rPr>
          <w:delText> </w:delText>
        </w:r>
        <w:r w:rsidRPr="00E04B2A">
          <w:rPr>
            <w:sz w:val="22"/>
          </w:rPr>
          <w:delText>mg (0,6</w:delText>
        </w:r>
        <w:r>
          <w:rPr>
            <w:sz w:val="22"/>
          </w:rPr>
          <w:delText> </w:delText>
        </w:r>
        <w:r w:rsidRPr="00E04B2A">
          <w:rPr>
            <w:sz w:val="22"/>
          </w:rPr>
          <w:delText xml:space="preserve">mg/kg) </w:delText>
        </w:r>
        <w:r>
          <w:rPr>
            <w:sz w:val="22"/>
          </w:rPr>
          <w:delText>hver uke</w:delText>
        </w:r>
        <w:r w:rsidRPr="00E04B2A">
          <w:rPr>
            <w:sz w:val="22"/>
          </w:rPr>
          <w:delText>.</w:delText>
        </w:r>
      </w:del>
    </w:p>
    <w:p w14:paraId="7115F7E0" w14:textId="2339603B" w:rsidR="00EF5F5C" w:rsidRPr="001440C4" w:rsidRDefault="00EF5F5C" w:rsidP="00DC39C9">
      <w:pPr>
        <w:rPr>
          <w:del w:id="3742" w:author="AbbVie02no" w:date="2025-05-15T12:36:00Z"/>
          <w:szCs w:val="22"/>
        </w:rPr>
      </w:pPr>
    </w:p>
    <w:p w14:paraId="72D34229" w14:textId="4D1148C6" w:rsidR="002F0483" w:rsidRPr="00974950" w:rsidRDefault="00E453CD" w:rsidP="002F0483">
      <w:pPr>
        <w:keepNext/>
        <w:rPr>
          <w:del w:id="3743" w:author="AbbVie02no" w:date="2025-05-15T12:36:00Z"/>
          <w:i/>
          <w:szCs w:val="22"/>
        </w:rPr>
      </w:pPr>
      <w:del w:id="3744" w:author="AbbVie02no" w:date="2025-05-15T12:36:00Z">
        <w:r w:rsidRPr="00B3311E">
          <w:rPr>
            <w:i/>
            <w:sz w:val="22"/>
            <w:szCs w:val="22"/>
          </w:rPr>
          <w:delText>Pediatrisk uveitt</w:delText>
        </w:r>
      </w:del>
    </w:p>
    <w:p w14:paraId="2D9E0D6A" w14:textId="2B21C18D" w:rsidR="002F0483" w:rsidRPr="00974950" w:rsidRDefault="002F0483" w:rsidP="002F0483">
      <w:pPr>
        <w:keepNext/>
        <w:rPr>
          <w:del w:id="3745" w:author="AbbVie02no" w:date="2025-05-15T12:36:00Z"/>
          <w:szCs w:val="22"/>
        </w:rPr>
      </w:pPr>
    </w:p>
    <w:p w14:paraId="2375725A" w14:textId="51817FAF" w:rsidR="002F0483" w:rsidRDefault="00E453CD" w:rsidP="002F0483">
      <w:pPr>
        <w:rPr>
          <w:del w:id="3746" w:author="AbbVie02no" w:date="2025-05-15T12:36:00Z"/>
          <w:bCs/>
        </w:rPr>
      </w:pPr>
      <w:del w:id="3747" w:author="AbbVie02no" w:date="2025-05-15T12:36:00Z">
        <w:r w:rsidRPr="00B3311E">
          <w:rPr>
            <w:sz w:val="22"/>
            <w:szCs w:val="22"/>
          </w:rPr>
          <w:delText xml:space="preserve">Sikkerhet og effekt </w:delText>
        </w:r>
        <w:r>
          <w:rPr>
            <w:sz w:val="22"/>
            <w:szCs w:val="22"/>
          </w:rPr>
          <w:delText xml:space="preserve">av Humira ble undersøkt i en randomisert, dobbeltblindet, kontrollert studie med 90 pediatriske pasienter mellom 2 og &lt; 18 år med aktiv JIA-assosiert ikke-infeksiøs fremre uveitt, som ikke responderte på behandling etter minst 12 ukers behandling med metotreksat. Pasientene fikk enten placebo eller 20 mg adalimumab (hvis &lt; 30 kg) eller 40 mg adalimumab (hvis </w:delText>
        </w:r>
        <w:r w:rsidRPr="00B3311E">
          <w:rPr>
            <w:bCs/>
            <w:sz w:val="22"/>
            <w:szCs w:val="20"/>
          </w:rPr>
          <w:delText>≥</w:delText>
        </w:r>
        <w:r>
          <w:rPr>
            <w:bCs/>
            <w:sz w:val="22"/>
            <w:szCs w:val="20"/>
          </w:rPr>
          <w:delText> 30 kg) annenhver uke i kombinasjon med deres baselinedose av metotreksat.</w:delText>
        </w:r>
      </w:del>
    </w:p>
    <w:p w14:paraId="6BB0AE2D" w14:textId="700C3942" w:rsidR="002F0483" w:rsidRDefault="002F0483" w:rsidP="002F0483">
      <w:pPr>
        <w:rPr>
          <w:del w:id="3748" w:author="AbbVie02no" w:date="2025-05-15T12:36:00Z"/>
          <w:bCs/>
        </w:rPr>
      </w:pPr>
    </w:p>
    <w:p w14:paraId="7416D920" w14:textId="5F9F0360" w:rsidR="002F0483" w:rsidRDefault="00E453CD" w:rsidP="002F0483">
      <w:pPr>
        <w:rPr>
          <w:del w:id="3749" w:author="AbbVie02no" w:date="2025-05-15T12:36:00Z"/>
          <w:bCs/>
        </w:rPr>
      </w:pPr>
      <w:del w:id="3750" w:author="AbbVie02no" w:date="2025-05-15T12:36:00Z">
        <w:r>
          <w:rPr>
            <w:bCs/>
            <w:sz w:val="22"/>
            <w:szCs w:val="20"/>
          </w:rPr>
          <w:delTex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delText>
        </w:r>
      </w:del>
    </w:p>
    <w:p w14:paraId="2B94864E" w14:textId="72515942" w:rsidR="002F0483" w:rsidRDefault="002F0483" w:rsidP="002F0483">
      <w:pPr>
        <w:rPr>
          <w:del w:id="3751" w:author="AbbVie02no" w:date="2025-05-15T12:36:00Z"/>
          <w:bCs/>
        </w:rPr>
      </w:pPr>
    </w:p>
    <w:p w14:paraId="7BF1248A" w14:textId="0B60FE78" w:rsidR="002F0483" w:rsidRDefault="00E453CD" w:rsidP="002F0483">
      <w:pPr>
        <w:keepNext/>
        <w:rPr>
          <w:del w:id="3752" w:author="AbbVie02no" w:date="2025-05-15T12:36:00Z"/>
          <w:i/>
          <w:szCs w:val="22"/>
        </w:rPr>
      </w:pPr>
      <w:del w:id="3753" w:author="AbbVie02no" w:date="2025-05-15T12:36:00Z">
        <w:r>
          <w:rPr>
            <w:i/>
            <w:sz w:val="22"/>
            <w:szCs w:val="22"/>
            <w:u w:val="single"/>
          </w:rPr>
          <w:delText>Klinisk respons</w:delText>
        </w:r>
      </w:del>
    </w:p>
    <w:p w14:paraId="6D13C9E7" w14:textId="230F052E" w:rsidR="002F0483" w:rsidRDefault="002F0483" w:rsidP="002F0483">
      <w:pPr>
        <w:keepNext/>
        <w:rPr>
          <w:del w:id="3754" w:author="AbbVie02no" w:date="2025-05-15T12:36:00Z"/>
          <w:i/>
          <w:szCs w:val="22"/>
        </w:rPr>
      </w:pPr>
    </w:p>
    <w:p w14:paraId="2B3581DB" w14:textId="4FDB708C" w:rsidR="002F0483" w:rsidRDefault="00E453CD" w:rsidP="002F0483">
      <w:pPr>
        <w:rPr>
          <w:del w:id="3755" w:author="AbbVie02no" w:date="2025-05-15T12:36:00Z"/>
          <w:szCs w:val="22"/>
        </w:rPr>
      </w:pPr>
      <w:del w:id="3756" w:author="AbbVie02no" w:date="2025-05-15T12:36:00Z">
        <w:r>
          <w:rPr>
            <w:sz w:val="22"/>
            <w:szCs w:val="22"/>
          </w:rPr>
          <w:delText>Adalimumab forlenget tiden til behandlingssvikt signifikant, sammenlignet med placebo (se figur 1,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delText>
        </w:r>
      </w:del>
    </w:p>
    <w:p w14:paraId="3EC3676E" w14:textId="307980BA" w:rsidR="002F0483" w:rsidRDefault="002F0483" w:rsidP="002F0483">
      <w:pPr>
        <w:rPr>
          <w:del w:id="3757" w:author="AbbVie02no" w:date="2025-05-15T12:36:00Z"/>
          <w:szCs w:val="22"/>
        </w:rPr>
      </w:pPr>
    </w:p>
    <w:p w14:paraId="6963BBA1" w14:textId="482EF836" w:rsidR="002F0483" w:rsidRDefault="00E453CD" w:rsidP="00BA47BC">
      <w:pPr>
        <w:keepNext/>
        <w:jc w:val="center"/>
        <w:rPr>
          <w:del w:id="3758" w:author="AbbVie02no" w:date="2025-05-15T12:36:00Z"/>
          <w:b/>
          <w:sz w:val="22"/>
          <w:szCs w:val="22"/>
        </w:rPr>
      </w:pPr>
      <w:del w:id="3759" w:author="AbbVie02no" w:date="2025-05-15T12:36:00Z">
        <w:r>
          <w:rPr>
            <w:b/>
            <w:sz w:val="22"/>
            <w:szCs w:val="22"/>
          </w:rPr>
          <w:lastRenderedPageBreak/>
          <w:delText>Figur 2: Kaplan-Meier-kurve som viser tid til behandlingssvikt i studien med pediatrisk uveitt</w:delText>
        </w:r>
      </w:del>
    </w:p>
    <w:p w14:paraId="3221F312" w14:textId="4CF51059" w:rsidR="002F0483" w:rsidRPr="0015674E" w:rsidRDefault="002F0483" w:rsidP="00BA47BC">
      <w:pPr>
        <w:keepNext/>
        <w:jc w:val="center"/>
        <w:rPr>
          <w:del w:id="3760" w:author="AbbVie02no" w:date="2025-05-15T12:36:00Z"/>
          <w:b/>
          <w:sz w:val="22"/>
          <w:szCs w:val="20"/>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4644D4" w14:paraId="3C1D249A" w14:textId="2A3AA6B3" w:rsidTr="002F0483">
        <w:trPr>
          <w:cantSplit/>
          <w:trHeight w:val="3806"/>
          <w:del w:id="3761" w:author="AbbVie02no" w:date="2025-05-15T12:36:00Z"/>
        </w:trPr>
        <w:tc>
          <w:tcPr>
            <w:tcW w:w="468" w:type="dxa"/>
            <w:textDirection w:val="btLr"/>
            <w:vAlign w:val="bottom"/>
          </w:tcPr>
          <w:p w14:paraId="5B76BC60" w14:textId="22CD68AE" w:rsidR="002F0483" w:rsidRPr="00DD5322" w:rsidRDefault="00E453CD" w:rsidP="00E04B2A">
            <w:pPr>
              <w:pStyle w:val="EMEANormal"/>
              <w:ind w:left="113" w:right="113"/>
              <w:jc w:val="center"/>
              <w:rPr>
                <w:del w:id="3762" w:author="AbbVie02no" w:date="2025-05-15T12:36:00Z"/>
                <w:b/>
                <w:szCs w:val="22"/>
                <w:lang w:val="nb-NO"/>
              </w:rPr>
            </w:pPr>
            <w:del w:id="3763" w:author="AbbVie02no" w:date="2025-05-15T12:36:00Z">
              <w:r w:rsidRPr="00DD5322">
                <w:rPr>
                  <w:b/>
                  <w:szCs w:val="22"/>
                  <w:lang w:val="nb-NO"/>
                </w:rPr>
                <w:delText>SANNSYNLIGHET FOR BEHANDLINGSSVIKT</w:delText>
              </w:r>
            </w:del>
          </w:p>
        </w:tc>
        <w:tc>
          <w:tcPr>
            <w:tcW w:w="8820" w:type="dxa"/>
            <w:gridSpan w:val="5"/>
            <w:vAlign w:val="bottom"/>
          </w:tcPr>
          <w:p w14:paraId="7525899C" w14:textId="12964751" w:rsidR="002F0483" w:rsidRPr="00DD5322" w:rsidRDefault="00E453CD" w:rsidP="00E04B2A">
            <w:pPr>
              <w:pStyle w:val="EMEANormal"/>
              <w:rPr>
                <w:del w:id="3764" w:author="AbbVie02no" w:date="2025-05-15T12:36:00Z"/>
                <w:szCs w:val="22"/>
                <w:lang w:val="nb-NO"/>
              </w:rPr>
            </w:pPr>
            <w:del w:id="3765" w:author="AbbVie02no" w:date="2025-05-15T12:36:00Z">
              <w:r w:rsidRPr="000653BE">
                <w:rPr>
                  <w:noProof/>
                  <w:szCs w:val="22"/>
                  <w:lang w:val="en-GB" w:eastAsia="en-GB"/>
                </w:rPr>
                <w:drawing>
                  <wp:inline distT="0" distB="0" distL="0" distR="0" wp14:anchorId="6B231F6A" wp14:editId="3D7908A3">
                    <wp:extent cx="5486400" cy="4552950"/>
                    <wp:effectExtent l="0" t="0" r="0" b="0"/>
                    <wp:docPr id="166" name="Bilde 5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3"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4644D4" w14:paraId="24717950" w14:textId="31EC44E8" w:rsidTr="002F0483">
        <w:trPr>
          <w:del w:id="3766" w:author="AbbVie02no" w:date="2025-05-15T12:36:00Z"/>
        </w:trPr>
        <w:tc>
          <w:tcPr>
            <w:tcW w:w="468" w:type="dxa"/>
          </w:tcPr>
          <w:p w14:paraId="4511F665" w14:textId="2719E451" w:rsidR="002F0483" w:rsidRPr="00DD5322" w:rsidRDefault="002F0483" w:rsidP="002F0483">
            <w:pPr>
              <w:pStyle w:val="EMEANormal"/>
              <w:keepNext/>
              <w:rPr>
                <w:del w:id="3767" w:author="AbbVie02no" w:date="2025-05-15T12:36:00Z"/>
                <w:szCs w:val="22"/>
                <w:lang w:val="nb-NO"/>
              </w:rPr>
            </w:pPr>
          </w:p>
        </w:tc>
        <w:tc>
          <w:tcPr>
            <w:tcW w:w="8820" w:type="dxa"/>
            <w:gridSpan w:val="5"/>
          </w:tcPr>
          <w:p w14:paraId="5D266159" w14:textId="1047EA18" w:rsidR="002F0483" w:rsidRPr="00DD5322" w:rsidRDefault="00E453CD" w:rsidP="002F0483">
            <w:pPr>
              <w:pStyle w:val="EMEANormal"/>
              <w:keepNext/>
              <w:jc w:val="center"/>
              <w:rPr>
                <w:del w:id="3768" w:author="AbbVie02no" w:date="2025-05-15T12:36:00Z"/>
                <w:b/>
                <w:szCs w:val="22"/>
                <w:lang w:val="nb-NO"/>
              </w:rPr>
            </w:pPr>
            <w:del w:id="3769" w:author="AbbVie02no" w:date="2025-05-15T12:36:00Z">
              <w:r w:rsidRPr="00DD5322">
                <w:rPr>
                  <w:b/>
                  <w:szCs w:val="22"/>
                  <w:lang w:val="nb-NO"/>
                </w:rPr>
                <w:delText>TID (UKER)</w:delText>
              </w:r>
            </w:del>
          </w:p>
        </w:tc>
      </w:tr>
      <w:tr w:rsidR="004644D4" w14:paraId="79DA238E" w14:textId="555526E2" w:rsidTr="002F0483">
        <w:trPr>
          <w:del w:id="3770" w:author="AbbVie02no" w:date="2025-05-15T12:36:00Z"/>
        </w:trPr>
        <w:tc>
          <w:tcPr>
            <w:tcW w:w="468" w:type="dxa"/>
          </w:tcPr>
          <w:p w14:paraId="3047ADB5" w14:textId="501C35DF" w:rsidR="002F0483" w:rsidRPr="00DD5322" w:rsidRDefault="002F0483" w:rsidP="002F0483">
            <w:pPr>
              <w:pStyle w:val="EMEANormal"/>
              <w:keepNext/>
              <w:rPr>
                <w:del w:id="3771" w:author="AbbVie02no" w:date="2025-05-15T12:36:00Z"/>
                <w:szCs w:val="22"/>
                <w:lang w:val="nb-NO"/>
              </w:rPr>
            </w:pPr>
          </w:p>
        </w:tc>
        <w:tc>
          <w:tcPr>
            <w:tcW w:w="3510" w:type="dxa"/>
          </w:tcPr>
          <w:p w14:paraId="48DFC2B5" w14:textId="1F20F970" w:rsidR="002F0483" w:rsidRPr="00DD5322" w:rsidRDefault="00E453CD" w:rsidP="002F0483">
            <w:pPr>
              <w:pStyle w:val="EMEANormal"/>
              <w:keepNext/>
              <w:rPr>
                <w:del w:id="3772" w:author="AbbVie02no" w:date="2025-05-15T12:36:00Z"/>
                <w:szCs w:val="22"/>
                <w:lang w:val="nb-NO"/>
              </w:rPr>
            </w:pPr>
            <w:del w:id="3773" w:author="AbbVie02no" w:date="2025-05-15T12:36:00Z">
              <w:r w:rsidRPr="00DD5322">
                <w:rPr>
                  <w:szCs w:val="22"/>
                  <w:lang w:val="nb-NO"/>
                </w:rPr>
                <w:delText>Behandling</w:delText>
              </w:r>
            </w:del>
          </w:p>
        </w:tc>
        <w:tc>
          <w:tcPr>
            <w:tcW w:w="1170" w:type="dxa"/>
            <w:vAlign w:val="bottom"/>
          </w:tcPr>
          <w:p w14:paraId="4B3D7E4F" w14:textId="221D2824" w:rsidR="002F0483" w:rsidRPr="00DD5322" w:rsidRDefault="00E453CD" w:rsidP="002F0483">
            <w:pPr>
              <w:pStyle w:val="EMEANormal"/>
              <w:keepNext/>
              <w:jc w:val="center"/>
              <w:rPr>
                <w:del w:id="3774" w:author="AbbVie02no" w:date="2025-05-15T12:36:00Z"/>
                <w:szCs w:val="22"/>
                <w:lang w:val="nb-NO"/>
              </w:rPr>
            </w:pPr>
            <w:del w:id="3775" w:author="AbbVie02no" w:date="2025-05-15T12:36:00Z">
              <w:r>
                <w:rPr>
                  <w:noProof/>
                  <w:szCs w:val="22"/>
                  <w:lang w:val="en-GB" w:eastAsia="en-GB"/>
                </w:rPr>
                <w:drawing>
                  <wp:inline distT="0" distB="0" distL="0" distR="0" wp14:anchorId="674D3B0A" wp14:editId="18DEE911">
                    <wp:extent cx="457200" cy="123825"/>
                    <wp:effectExtent l="0" t="0" r="0" b="9525"/>
                    <wp:docPr id="167" name="Bilde 5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4"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tcPr>
          <w:p w14:paraId="11236D66" w14:textId="4AFE533C" w:rsidR="002F0483" w:rsidRPr="00DD5322" w:rsidRDefault="00E453CD" w:rsidP="002F0483">
            <w:pPr>
              <w:pStyle w:val="EMEANormal"/>
              <w:keepNext/>
              <w:rPr>
                <w:del w:id="3776" w:author="AbbVie02no" w:date="2025-05-15T12:36:00Z"/>
                <w:szCs w:val="22"/>
                <w:lang w:val="nb-NO"/>
              </w:rPr>
            </w:pPr>
            <w:del w:id="3777" w:author="AbbVie02no" w:date="2025-05-15T12:36:00Z">
              <w:r w:rsidRPr="00DD5322">
                <w:rPr>
                  <w:szCs w:val="22"/>
                  <w:lang w:val="nb-NO"/>
                </w:rPr>
                <w:delText>placebo</w:delText>
              </w:r>
            </w:del>
          </w:p>
        </w:tc>
        <w:tc>
          <w:tcPr>
            <w:tcW w:w="900" w:type="dxa"/>
            <w:vAlign w:val="center"/>
          </w:tcPr>
          <w:p w14:paraId="1728AD96" w14:textId="5716C272" w:rsidR="002F0483" w:rsidRPr="00DD5322" w:rsidRDefault="00E453CD" w:rsidP="002F0483">
            <w:pPr>
              <w:pStyle w:val="EMEANormal"/>
              <w:keepNext/>
              <w:rPr>
                <w:del w:id="3778" w:author="AbbVie02no" w:date="2025-05-15T12:36:00Z"/>
                <w:szCs w:val="22"/>
                <w:lang w:val="nb-NO"/>
              </w:rPr>
            </w:pPr>
            <w:del w:id="3779" w:author="AbbVie02no" w:date="2025-05-15T12:36:00Z">
              <w:r>
                <w:rPr>
                  <w:noProof/>
                  <w:szCs w:val="22"/>
                  <w:lang w:val="en-GB" w:eastAsia="en-GB"/>
                </w:rPr>
                <w:drawing>
                  <wp:inline distT="0" distB="0" distL="0" distR="0" wp14:anchorId="3AA0035F" wp14:editId="27AE3751">
                    <wp:extent cx="457200" cy="85725"/>
                    <wp:effectExtent l="0" t="0" r="0" b="9525"/>
                    <wp:docPr id="168" name="Bilde 4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5"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tcPr>
          <w:p w14:paraId="0E980A91" w14:textId="547CDDC8" w:rsidR="002F0483" w:rsidRPr="00DD5322" w:rsidRDefault="00E453CD" w:rsidP="002F0483">
            <w:pPr>
              <w:pStyle w:val="EMEANormal"/>
              <w:keepNext/>
              <w:rPr>
                <w:del w:id="3780" w:author="AbbVie02no" w:date="2025-05-15T12:36:00Z"/>
                <w:szCs w:val="22"/>
                <w:lang w:val="nb-NO"/>
              </w:rPr>
            </w:pPr>
            <w:del w:id="3781" w:author="AbbVie02no" w:date="2025-05-15T12:36:00Z">
              <w:r w:rsidRPr="00DD5322">
                <w:rPr>
                  <w:szCs w:val="22"/>
                  <w:lang w:val="nb-NO"/>
                </w:rPr>
                <w:delText>adalimumab</w:delText>
              </w:r>
            </w:del>
          </w:p>
        </w:tc>
      </w:tr>
      <w:tr w:rsidR="004644D4" w14:paraId="0E6B08C1" w14:textId="7040F166" w:rsidTr="002F0483">
        <w:trPr>
          <w:del w:id="3782" w:author="AbbVie02no" w:date="2025-05-15T12:36:00Z"/>
        </w:trPr>
        <w:tc>
          <w:tcPr>
            <w:tcW w:w="468" w:type="dxa"/>
          </w:tcPr>
          <w:p w14:paraId="4092F858" w14:textId="3EC19527" w:rsidR="002F0483" w:rsidRPr="00DD5322" w:rsidRDefault="002F0483" w:rsidP="002F0483">
            <w:pPr>
              <w:pStyle w:val="EMEANormal"/>
              <w:rPr>
                <w:del w:id="3783" w:author="AbbVie02no" w:date="2025-05-15T12:36:00Z"/>
                <w:szCs w:val="22"/>
                <w:lang w:val="nb-NO"/>
              </w:rPr>
            </w:pPr>
          </w:p>
        </w:tc>
        <w:tc>
          <w:tcPr>
            <w:tcW w:w="8820" w:type="dxa"/>
            <w:gridSpan w:val="5"/>
          </w:tcPr>
          <w:p w14:paraId="614E2840" w14:textId="11CC9370" w:rsidR="002F0483" w:rsidRPr="00B3311E" w:rsidRDefault="00E453CD" w:rsidP="002F0483">
            <w:pPr>
              <w:pStyle w:val="EMEANormal"/>
              <w:rPr>
                <w:del w:id="3784" w:author="AbbVie02no" w:date="2025-05-15T12:36:00Z"/>
                <w:szCs w:val="22"/>
                <w:lang w:val="nb-NO"/>
              </w:rPr>
            </w:pPr>
            <w:del w:id="3785" w:author="AbbVie02no" w:date="2025-05-15T12:36:00Z">
              <w:r w:rsidRPr="00B3311E">
                <w:rPr>
                  <w:szCs w:val="22"/>
                  <w:lang w:val="nb-NO"/>
                </w:rPr>
                <w:delText>Merk: P = </w:delText>
              </w:r>
              <w:r w:rsidRPr="006B49BD">
                <w:rPr>
                  <w:szCs w:val="22"/>
                  <w:lang w:val="nb-NO"/>
                </w:rPr>
                <w:delText>p</w:delText>
              </w:r>
              <w:r w:rsidRPr="00B3311E">
                <w:rPr>
                  <w:szCs w:val="22"/>
                  <w:lang w:val="nb-NO"/>
                </w:rPr>
                <w:delText xml:space="preserve">lacebo (antall </w:delText>
              </w:r>
              <w:r>
                <w:rPr>
                  <w:szCs w:val="22"/>
                  <w:lang w:val="nb-NO"/>
                </w:rPr>
                <w:delText>med</w:delText>
              </w:r>
              <w:r w:rsidRPr="00B3311E">
                <w:rPr>
                  <w:szCs w:val="22"/>
                  <w:lang w:val="nb-NO"/>
                </w:rPr>
                <w:delText xml:space="preserve"> </w:delText>
              </w:r>
              <w:r>
                <w:rPr>
                  <w:szCs w:val="22"/>
                  <w:lang w:val="nb-NO"/>
                </w:rPr>
                <w:delText>risiko</w:delText>
              </w:r>
              <w:r w:rsidRPr="00B3311E">
                <w:rPr>
                  <w:szCs w:val="22"/>
                  <w:lang w:val="nb-NO"/>
                </w:rPr>
                <w:delText xml:space="preserve">); H = HUMIRA (antall </w:delText>
              </w:r>
              <w:r>
                <w:rPr>
                  <w:szCs w:val="22"/>
                  <w:lang w:val="nb-NO"/>
                </w:rPr>
                <w:delText>med</w:delText>
              </w:r>
              <w:r w:rsidRPr="00B3311E">
                <w:rPr>
                  <w:szCs w:val="22"/>
                  <w:lang w:val="nb-NO"/>
                </w:rPr>
                <w:delText xml:space="preserve"> </w:delText>
              </w:r>
              <w:r>
                <w:rPr>
                  <w:szCs w:val="22"/>
                  <w:lang w:val="nb-NO"/>
                </w:rPr>
                <w:delText>risiko</w:delText>
              </w:r>
              <w:r w:rsidRPr="00B3311E">
                <w:rPr>
                  <w:szCs w:val="22"/>
                  <w:lang w:val="nb-NO"/>
                </w:rPr>
                <w:delText>).</w:delText>
              </w:r>
            </w:del>
          </w:p>
        </w:tc>
      </w:tr>
    </w:tbl>
    <w:p w14:paraId="3B3B7E00" w14:textId="0679BB5D" w:rsidR="002F0483" w:rsidRPr="00974950" w:rsidRDefault="002F0483" w:rsidP="002F0483">
      <w:pPr>
        <w:tabs>
          <w:tab w:val="left" w:pos="3090"/>
        </w:tabs>
        <w:rPr>
          <w:del w:id="3786" w:author="AbbVie02no" w:date="2025-05-15T12:36:00Z"/>
        </w:rPr>
      </w:pPr>
    </w:p>
    <w:p w14:paraId="745D8E14" w14:textId="07158215" w:rsidR="00DE3458" w:rsidRPr="009C5EFD" w:rsidRDefault="00DE3458" w:rsidP="009C5EFD">
      <w:pPr>
        <w:rPr>
          <w:del w:id="3787" w:author="AbbVie02no" w:date="2025-05-15T12:36:00Z"/>
          <w:sz w:val="22"/>
          <w:szCs w:val="22"/>
        </w:rPr>
      </w:pPr>
    </w:p>
    <w:p w14:paraId="44208B6D" w14:textId="36538219" w:rsidR="00DE3458" w:rsidRPr="009C5EFD" w:rsidRDefault="00E453CD" w:rsidP="00776A84">
      <w:pPr>
        <w:keepNext/>
        <w:suppressAutoHyphens/>
        <w:ind w:left="576" w:hanging="576"/>
        <w:rPr>
          <w:del w:id="3788" w:author="AbbVie02no" w:date="2025-05-15T12:36:00Z"/>
          <w:b/>
          <w:sz w:val="22"/>
          <w:szCs w:val="22"/>
        </w:rPr>
      </w:pPr>
      <w:del w:id="3789" w:author="AbbVie02no" w:date="2025-05-15T12:36:00Z">
        <w:r w:rsidRPr="009C5EFD">
          <w:rPr>
            <w:b/>
            <w:sz w:val="22"/>
            <w:szCs w:val="22"/>
          </w:rPr>
          <w:delText>5.2</w:delText>
        </w:r>
        <w:r w:rsidRPr="009C5EFD">
          <w:rPr>
            <w:b/>
            <w:sz w:val="22"/>
            <w:szCs w:val="22"/>
          </w:rPr>
          <w:tab/>
          <w:delText>Farmakokinetiske egenskaper</w:delText>
        </w:r>
      </w:del>
    </w:p>
    <w:p w14:paraId="2F91BFAC" w14:textId="3CB2C31D" w:rsidR="00DE3458" w:rsidRPr="009C5EFD" w:rsidRDefault="00DE3458" w:rsidP="00776A84">
      <w:pPr>
        <w:keepNext/>
        <w:suppressAutoHyphens/>
        <w:rPr>
          <w:del w:id="3790" w:author="AbbVie02no" w:date="2025-05-15T12:36:00Z"/>
          <w:sz w:val="22"/>
          <w:szCs w:val="22"/>
        </w:rPr>
      </w:pPr>
    </w:p>
    <w:p w14:paraId="0572F29E" w14:textId="6B119F6C" w:rsidR="002179B8" w:rsidRPr="009C5EFD" w:rsidRDefault="00E453CD" w:rsidP="00776A84">
      <w:pPr>
        <w:keepNext/>
        <w:suppressAutoHyphens/>
        <w:rPr>
          <w:del w:id="3791" w:author="AbbVie02no" w:date="2025-05-15T12:36:00Z"/>
          <w:sz w:val="22"/>
          <w:szCs w:val="22"/>
          <w:u w:val="single"/>
        </w:rPr>
      </w:pPr>
      <w:del w:id="3792" w:author="AbbVie02no" w:date="2025-05-15T12:36:00Z">
        <w:r w:rsidRPr="009C5EFD">
          <w:rPr>
            <w:sz w:val="22"/>
            <w:szCs w:val="22"/>
            <w:u w:val="single"/>
          </w:rPr>
          <w:delText>Absorpsjon og distribusjon</w:delText>
        </w:r>
      </w:del>
    </w:p>
    <w:p w14:paraId="25D255AA" w14:textId="1E1DF284" w:rsidR="002179B8" w:rsidRPr="009C5EFD" w:rsidRDefault="002179B8" w:rsidP="00776A84">
      <w:pPr>
        <w:keepNext/>
        <w:suppressAutoHyphens/>
        <w:rPr>
          <w:del w:id="3793" w:author="AbbVie02no" w:date="2025-05-15T12:36:00Z"/>
          <w:sz w:val="22"/>
          <w:szCs w:val="22"/>
          <w:u w:val="single"/>
        </w:rPr>
      </w:pPr>
    </w:p>
    <w:p w14:paraId="112D326D" w14:textId="7E7C9E90" w:rsidR="00225C9C" w:rsidRPr="009C5EFD" w:rsidRDefault="00E453CD" w:rsidP="009C5EFD">
      <w:pPr>
        <w:suppressAutoHyphens/>
        <w:rPr>
          <w:del w:id="3794" w:author="AbbVie02no" w:date="2025-05-15T12:36:00Z"/>
          <w:sz w:val="22"/>
          <w:szCs w:val="22"/>
        </w:rPr>
      </w:pPr>
      <w:del w:id="3795" w:author="AbbVie02no" w:date="2025-05-15T12:36:00Z">
        <w:r w:rsidRPr="009C5EFD">
          <w:rPr>
            <w:sz w:val="22"/>
            <w:szCs w:val="22"/>
          </w:rPr>
          <w:delText xml:space="preserve">Etter </w:delText>
        </w:r>
        <w:r w:rsidR="00B8124C">
          <w:rPr>
            <w:sz w:val="22"/>
            <w:szCs w:val="22"/>
          </w:rPr>
          <w:delText>administrasjon</w:delText>
        </w:r>
        <w:r w:rsidRPr="009C5EFD">
          <w:rPr>
            <w:sz w:val="22"/>
            <w:szCs w:val="22"/>
          </w:rPr>
          <w:delText xml:space="preserve"> av 24 mg/m</w:delText>
        </w:r>
        <w:r w:rsidRPr="009C5EFD">
          <w:rPr>
            <w:sz w:val="22"/>
            <w:szCs w:val="22"/>
            <w:vertAlign w:val="superscript"/>
          </w:rPr>
          <w:delText>2</w:delText>
        </w:r>
        <w:r w:rsidRPr="009C5EFD">
          <w:rPr>
            <w:sz w:val="22"/>
            <w:szCs w:val="22"/>
          </w:rPr>
          <w:delText xml:space="preserve"> (maksimum 40</w:delText>
        </w:r>
        <w:r w:rsidR="002179B8" w:rsidRPr="009C5EFD">
          <w:rPr>
            <w:sz w:val="22"/>
            <w:szCs w:val="22"/>
          </w:rPr>
          <w:delText xml:space="preserve"> </w:delText>
        </w:r>
        <w:r w:rsidRPr="009C5EFD">
          <w:rPr>
            <w:sz w:val="22"/>
            <w:szCs w:val="22"/>
          </w:rPr>
          <w:delText xml:space="preserve">mg) subkutant annenhver uke hos pasienter med polyartikulær juvenil idiopatisk artritt (JIA) </w:delText>
        </w:r>
        <w:r w:rsidR="002179B8" w:rsidRPr="009C5EFD">
          <w:rPr>
            <w:sz w:val="22"/>
            <w:szCs w:val="22"/>
          </w:rPr>
          <w:delText>i alderen 4 til 17 år</w:delText>
        </w:r>
        <w:r w:rsidR="00AF3035" w:rsidRPr="009C5EFD">
          <w:rPr>
            <w:sz w:val="22"/>
            <w:szCs w:val="22"/>
          </w:rPr>
          <w:delText>,</w:delText>
        </w:r>
        <w:r w:rsidR="002179B8" w:rsidRPr="009C5EFD">
          <w:rPr>
            <w:sz w:val="22"/>
            <w:szCs w:val="22"/>
          </w:rPr>
          <w:delText xml:space="preserve"> </w:delText>
        </w:r>
        <w:r w:rsidRPr="009C5EFD">
          <w:rPr>
            <w:sz w:val="22"/>
            <w:szCs w:val="22"/>
          </w:rPr>
          <w:delText xml:space="preserve">var gjennomsnittlig </w:delText>
        </w:r>
        <w:r w:rsidR="00B125D2">
          <w:rPr>
            <w:sz w:val="22"/>
            <w:szCs w:val="22"/>
          </w:rPr>
          <w:delText>bunn</w:delText>
        </w:r>
        <w:r w:rsidR="00A37D33" w:rsidRPr="009C5EFD">
          <w:rPr>
            <w:sz w:val="22"/>
            <w:szCs w:val="22"/>
          </w:rPr>
          <w:delText xml:space="preserve">konsentrasjon av adalimumab i serum ved </w:delText>
        </w:r>
        <w:r w:rsidRPr="009C5EFD">
          <w:rPr>
            <w:sz w:val="22"/>
            <w:szCs w:val="22"/>
          </w:rPr>
          <w:delText xml:space="preserve">steady-state (verdier målt fra uke 20 til 48) </w:delText>
        </w:r>
        <w:r w:rsidR="00C355A8" w:rsidRPr="009C5EFD">
          <w:rPr>
            <w:sz w:val="22"/>
            <w:szCs w:val="22"/>
          </w:rPr>
          <w:delText xml:space="preserve">på </w:delText>
        </w:r>
        <w:r w:rsidRPr="009C5EFD">
          <w:rPr>
            <w:sz w:val="22"/>
            <w:szCs w:val="22"/>
          </w:rPr>
          <w:delText xml:space="preserve">5,6 ± 5,6 </w:delText>
        </w:r>
        <w:r w:rsidR="000568A5" w:rsidRPr="009C5EFD">
          <w:rPr>
            <w:sz w:val="22"/>
            <w:szCs w:val="22"/>
          </w:rPr>
          <w:delText>mikro</w:delText>
        </w:r>
        <w:r w:rsidRPr="009C5EFD">
          <w:rPr>
            <w:sz w:val="22"/>
            <w:szCs w:val="22"/>
          </w:rPr>
          <w:delText xml:space="preserve">g/ml (102 % CV) </w:delText>
        </w:r>
        <w:r w:rsidR="00DC6124" w:rsidRPr="009C5EFD">
          <w:rPr>
            <w:sz w:val="22"/>
            <w:szCs w:val="22"/>
          </w:rPr>
          <w:delText>uten samtidig bruk av metotreksat</w:delText>
        </w:r>
        <w:r w:rsidRPr="009C5EFD">
          <w:rPr>
            <w:sz w:val="22"/>
            <w:szCs w:val="22"/>
          </w:rPr>
          <w:delText xml:space="preserve"> og 10,9 ± 5,2 </w:delText>
        </w:r>
        <w:r w:rsidR="000568A5" w:rsidRPr="009C5EFD">
          <w:rPr>
            <w:sz w:val="22"/>
            <w:szCs w:val="22"/>
          </w:rPr>
          <w:delText>mikro</w:delText>
        </w:r>
        <w:r w:rsidRPr="009C5EFD">
          <w:rPr>
            <w:sz w:val="22"/>
            <w:szCs w:val="22"/>
          </w:rPr>
          <w:delText>g/ml (47,7 % CV) ved samtidig bruk av metotreksat.</w:delText>
        </w:r>
      </w:del>
    </w:p>
    <w:p w14:paraId="0DF44702" w14:textId="0DDBE4B7" w:rsidR="0074758F" w:rsidRPr="009C5EFD" w:rsidRDefault="0074758F" w:rsidP="009C5EFD">
      <w:pPr>
        <w:suppressAutoHyphens/>
        <w:rPr>
          <w:del w:id="3796" w:author="AbbVie02no" w:date="2025-05-15T12:36:00Z"/>
          <w:sz w:val="22"/>
          <w:szCs w:val="22"/>
        </w:rPr>
      </w:pPr>
    </w:p>
    <w:p w14:paraId="6F54CF2C" w14:textId="4FFD34D1" w:rsidR="0074758F" w:rsidRPr="009C5EFD" w:rsidRDefault="00E453CD" w:rsidP="009C5EFD">
      <w:pPr>
        <w:suppressAutoHyphens/>
        <w:rPr>
          <w:del w:id="3797" w:author="AbbVie02no" w:date="2025-05-15T12:36:00Z"/>
          <w:sz w:val="22"/>
          <w:szCs w:val="22"/>
        </w:rPr>
      </w:pPr>
      <w:del w:id="3798" w:author="AbbVie02no" w:date="2025-05-15T12:36:00Z">
        <w:r w:rsidRPr="009C5EFD">
          <w:rPr>
            <w:sz w:val="22"/>
            <w:szCs w:val="22"/>
          </w:rPr>
          <w:delText xml:space="preserve">Hos pasienter med </w:delText>
        </w:r>
        <w:r w:rsidR="00DC6124" w:rsidRPr="009C5EFD">
          <w:rPr>
            <w:sz w:val="22"/>
            <w:szCs w:val="22"/>
          </w:rPr>
          <w:delText xml:space="preserve">polyartikulær </w:delText>
        </w:r>
        <w:r w:rsidRPr="009C5EFD">
          <w:rPr>
            <w:sz w:val="22"/>
            <w:szCs w:val="22"/>
          </w:rPr>
          <w:delText xml:space="preserve">JIA i alderen 2 </w:delText>
        </w:r>
        <w:r w:rsidR="00DC6124" w:rsidRPr="009C5EFD">
          <w:rPr>
            <w:sz w:val="22"/>
            <w:szCs w:val="22"/>
          </w:rPr>
          <w:delText>til</w:delText>
        </w:r>
        <w:r w:rsidRPr="009C5EFD">
          <w:rPr>
            <w:sz w:val="22"/>
            <w:szCs w:val="22"/>
          </w:rPr>
          <w:delText xml:space="preserve"> &lt; 4 år eller fra 4 år og oppover og med kroppsvekt &lt; 15 kg dosert med 24 mg/m</w:delText>
        </w:r>
        <w:r w:rsidRPr="009C5EFD">
          <w:rPr>
            <w:sz w:val="22"/>
            <w:szCs w:val="22"/>
            <w:vertAlign w:val="superscript"/>
          </w:rPr>
          <w:delText>2</w:delText>
        </w:r>
        <w:r w:rsidR="00AF3035" w:rsidRPr="009C5EFD">
          <w:rPr>
            <w:sz w:val="22"/>
            <w:szCs w:val="22"/>
          </w:rPr>
          <w:delText>,</w:delText>
        </w:r>
        <w:r w:rsidRPr="009C5EFD">
          <w:rPr>
            <w:sz w:val="22"/>
            <w:szCs w:val="22"/>
          </w:rPr>
          <w:delText xml:space="preserve"> var gjennomsnittlig </w:delText>
        </w:r>
        <w:r w:rsidR="00B125D2">
          <w:rPr>
            <w:sz w:val="22"/>
            <w:szCs w:val="22"/>
          </w:rPr>
          <w:delText>bunn</w:delText>
        </w:r>
        <w:r w:rsidR="00A37D33" w:rsidRPr="009C5EFD">
          <w:rPr>
            <w:sz w:val="22"/>
            <w:szCs w:val="22"/>
          </w:rPr>
          <w:delText xml:space="preserve">konsentrasjon av adalimumab i serum ved </w:delText>
        </w:r>
        <w:r w:rsidRPr="009C5EFD">
          <w:rPr>
            <w:sz w:val="22"/>
            <w:szCs w:val="22"/>
          </w:rPr>
          <w:delText xml:space="preserve">steady-state </w:delText>
        </w:r>
        <w:r w:rsidR="00C355A8" w:rsidRPr="009C5EFD">
          <w:rPr>
            <w:sz w:val="22"/>
            <w:szCs w:val="22"/>
          </w:rPr>
          <w:delText xml:space="preserve">på </w:delText>
        </w:r>
        <w:r w:rsidRPr="009C5EFD">
          <w:rPr>
            <w:sz w:val="22"/>
            <w:szCs w:val="22"/>
          </w:rPr>
          <w:delText xml:space="preserve">6,0 ± 6,1 </w:delText>
        </w:r>
        <w:r w:rsidR="000568A5" w:rsidRPr="009C5EFD">
          <w:rPr>
            <w:sz w:val="22"/>
            <w:szCs w:val="22"/>
          </w:rPr>
          <w:delText>mikro</w:delText>
        </w:r>
        <w:r w:rsidRPr="009C5EFD">
          <w:rPr>
            <w:sz w:val="22"/>
            <w:szCs w:val="22"/>
          </w:rPr>
          <w:delText xml:space="preserve">g/ml (101 % CV) </w:delText>
        </w:r>
        <w:r w:rsidR="00D571D8" w:rsidRPr="009C5EFD">
          <w:rPr>
            <w:sz w:val="22"/>
            <w:szCs w:val="22"/>
          </w:rPr>
          <w:delText>ut</w:delText>
        </w:r>
        <w:r w:rsidR="003C68BA" w:rsidRPr="009C5EFD">
          <w:rPr>
            <w:sz w:val="22"/>
            <w:szCs w:val="22"/>
          </w:rPr>
          <w:delText>en samtidig bruk av metotreksat</w:delText>
        </w:r>
        <w:r w:rsidRPr="009C5EFD">
          <w:rPr>
            <w:sz w:val="22"/>
            <w:szCs w:val="22"/>
          </w:rPr>
          <w:delText xml:space="preserve"> og 7,9 ± 5,6 </w:delText>
        </w:r>
        <w:r w:rsidR="000568A5" w:rsidRPr="009C5EFD">
          <w:rPr>
            <w:sz w:val="22"/>
            <w:szCs w:val="22"/>
          </w:rPr>
          <w:delText>mikro</w:delText>
        </w:r>
        <w:r w:rsidRPr="009C5EFD">
          <w:rPr>
            <w:sz w:val="22"/>
            <w:szCs w:val="22"/>
          </w:rPr>
          <w:delText>g/ml (71,2 % CV) ved samtidig bruk av metotreksat.</w:delText>
        </w:r>
      </w:del>
    </w:p>
    <w:p w14:paraId="239CB4B6" w14:textId="3FE016A9" w:rsidR="00020C8C" w:rsidRPr="009C5EFD" w:rsidRDefault="00020C8C" w:rsidP="009C5EFD">
      <w:pPr>
        <w:suppressAutoHyphens/>
        <w:rPr>
          <w:del w:id="3799" w:author="AbbVie02no" w:date="2025-05-15T12:36:00Z"/>
          <w:sz w:val="22"/>
          <w:szCs w:val="22"/>
        </w:rPr>
      </w:pPr>
    </w:p>
    <w:p w14:paraId="4DCD68FB" w14:textId="09837435" w:rsidR="00D571D8" w:rsidRDefault="00E453CD" w:rsidP="009C5EFD">
      <w:pPr>
        <w:suppressAutoHyphens/>
        <w:rPr>
          <w:del w:id="3800" w:author="AbbVie02no" w:date="2025-05-15T12:36:00Z"/>
          <w:sz w:val="22"/>
          <w:szCs w:val="22"/>
        </w:rPr>
      </w:pPr>
      <w:del w:id="3801" w:author="AbbVie02no" w:date="2025-05-15T12:36:00Z">
        <w:r w:rsidRPr="009C5EFD">
          <w:rPr>
            <w:sz w:val="22"/>
            <w:szCs w:val="22"/>
          </w:rPr>
          <w:delText xml:space="preserve">Etter </w:delText>
        </w:r>
        <w:r w:rsidR="00B8124C">
          <w:rPr>
            <w:sz w:val="22"/>
            <w:szCs w:val="22"/>
          </w:rPr>
          <w:delText>administrasjon</w:delText>
        </w:r>
        <w:r w:rsidRPr="009C5EFD">
          <w:rPr>
            <w:sz w:val="22"/>
            <w:szCs w:val="22"/>
          </w:rPr>
          <w:delText xml:space="preserve"> av 24 mg/m</w:delText>
        </w:r>
        <w:r w:rsidRPr="009C5EFD">
          <w:rPr>
            <w:sz w:val="22"/>
            <w:szCs w:val="22"/>
            <w:vertAlign w:val="superscript"/>
          </w:rPr>
          <w:delText>2</w:delText>
        </w:r>
        <w:r w:rsidRPr="009C5EFD">
          <w:rPr>
            <w:sz w:val="22"/>
            <w:szCs w:val="22"/>
          </w:rPr>
          <w:delText xml:space="preserve"> (maksimum 40 mg) subkutant annenhver uke hos pasienter med entesittrelatert artritt i alderen 6 til 17 år</w:delText>
        </w:r>
        <w:r w:rsidR="00AF3035" w:rsidRPr="009C5EFD">
          <w:rPr>
            <w:sz w:val="22"/>
            <w:szCs w:val="22"/>
          </w:rPr>
          <w:delText>,</w:delText>
        </w:r>
        <w:r w:rsidRPr="009C5EFD">
          <w:delText xml:space="preserve"> </w:delText>
        </w:r>
        <w:r w:rsidRPr="009C5EFD">
          <w:rPr>
            <w:sz w:val="22"/>
            <w:szCs w:val="22"/>
          </w:rPr>
          <w:delText xml:space="preserve">var gjennomsnittlig </w:delText>
        </w:r>
        <w:r w:rsidR="00B125D2">
          <w:rPr>
            <w:sz w:val="22"/>
            <w:szCs w:val="22"/>
          </w:rPr>
          <w:delText>bunn</w:delText>
        </w:r>
        <w:r w:rsidR="00A37D33" w:rsidRPr="009C5EFD">
          <w:rPr>
            <w:sz w:val="22"/>
            <w:szCs w:val="22"/>
          </w:rPr>
          <w:delText>konsentrasjon av adalimumab i serum ved</w:delText>
        </w:r>
        <w:r w:rsidRPr="009C5EFD">
          <w:rPr>
            <w:sz w:val="22"/>
            <w:szCs w:val="22"/>
          </w:rPr>
          <w:delText xml:space="preserve"> steady-state (verdier målt ved uke 24) </w:delText>
        </w:r>
        <w:r w:rsidR="00C355A8" w:rsidRPr="009C5EFD">
          <w:rPr>
            <w:sz w:val="22"/>
            <w:szCs w:val="22"/>
          </w:rPr>
          <w:delText xml:space="preserve">på </w:delText>
        </w:r>
        <w:r w:rsidRPr="009C5EFD">
          <w:rPr>
            <w:sz w:val="22"/>
            <w:szCs w:val="22"/>
          </w:rPr>
          <w:delText xml:space="preserve">8,8 ± 6,6 </w:delText>
        </w:r>
        <w:r w:rsidR="000568A5" w:rsidRPr="009C5EFD">
          <w:rPr>
            <w:sz w:val="22"/>
            <w:szCs w:val="22"/>
          </w:rPr>
          <w:delText>mikro</w:delText>
        </w:r>
        <w:r w:rsidRPr="009C5EFD">
          <w:rPr>
            <w:sz w:val="22"/>
            <w:szCs w:val="22"/>
          </w:rPr>
          <w:delText xml:space="preserve">g/ml uten samtidig bruk av metotreksat og 11,8 ± 4,3 </w:delText>
        </w:r>
        <w:r w:rsidR="000568A5" w:rsidRPr="009C5EFD">
          <w:rPr>
            <w:sz w:val="22"/>
            <w:szCs w:val="22"/>
          </w:rPr>
          <w:delText>mikro</w:delText>
        </w:r>
        <w:r w:rsidRPr="009C5EFD">
          <w:rPr>
            <w:sz w:val="22"/>
            <w:szCs w:val="22"/>
          </w:rPr>
          <w:delText>g/ml ved samtidig bruk av metotreksat.</w:delText>
        </w:r>
      </w:del>
    </w:p>
    <w:p w14:paraId="5C414E3B" w14:textId="130DC031" w:rsidR="007C0E7C" w:rsidRDefault="007C0E7C" w:rsidP="009C5EFD">
      <w:pPr>
        <w:suppressAutoHyphens/>
        <w:rPr>
          <w:del w:id="3802" w:author="AbbVie02no" w:date="2025-05-15T12:36:00Z"/>
          <w:sz w:val="22"/>
          <w:szCs w:val="22"/>
        </w:rPr>
      </w:pPr>
    </w:p>
    <w:p w14:paraId="50632099" w14:textId="027051CB" w:rsidR="00D571D8" w:rsidRDefault="00E453CD" w:rsidP="009C5EFD">
      <w:pPr>
        <w:suppressAutoHyphens/>
        <w:rPr>
          <w:del w:id="3803" w:author="AbbVie02no" w:date="2025-05-15T12:36:00Z"/>
          <w:sz w:val="22"/>
          <w:szCs w:val="22"/>
        </w:rPr>
      </w:pPr>
      <w:del w:id="3804" w:author="AbbVie02no" w:date="2025-05-15T12:36:00Z">
        <w:r w:rsidRPr="009C5EFD">
          <w:rPr>
            <w:rFonts w:eastAsia="Arial Unicode MS"/>
            <w:sz w:val="22"/>
            <w:szCs w:val="22"/>
          </w:rPr>
          <w:lastRenderedPageBreak/>
          <w:delText xml:space="preserve">Etter subkutan </w:delText>
        </w:r>
        <w:r w:rsidR="00B8124C">
          <w:rPr>
            <w:rFonts w:eastAsia="Arial Unicode MS"/>
            <w:sz w:val="22"/>
            <w:szCs w:val="22"/>
          </w:rPr>
          <w:delText>administrasjon</w:delText>
        </w:r>
        <w:r w:rsidRPr="009C5EFD">
          <w:rPr>
            <w:rFonts w:eastAsia="Arial Unicode MS"/>
            <w:sz w:val="22"/>
            <w:szCs w:val="22"/>
          </w:rPr>
          <w:delText xml:space="preserve"> av 0,8 mg/kg (maksimum 40 mg) annenhver uke hos pediatriske pasienter med kronisk plakkpsoriasis, var gjennomsnittlig </w:delText>
        </w:r>
        <w:r w:rsidR="00B125D2">
          <w:rPr>
            <w:rFonts w:eastAsia="Arial Unicode MS"/>
            <w:sz w:val="22"/>
            <w:szCs w:val="22"/>
          </w:rPr>
          <w:delText>bunn</w:delText>
        </w:r>
        <w:r w:rsidRPr="009C5EFD">
          <w:rPr>
            <w:rFonts w:eastAsia="Arial Unicode MS"/>
            <w:sz w:val="22"/>
            <w:szCs w:val="22"/>
          </w:rPr>
          <w:delText>konsentra</w:delText>
        </w:r>
        <w:r w:rsidR="00B52137">
          <w:rPr>
            <w:rFonts w:eastAsia="Arial Unicode MS"/>
            <w:sz w:val="22"/>
            <w:szCs w:val="22"/>
          </w:rPr>
          <w:delText>s</w:delText>
        </w:r>
        <w:r w:rsidRPr="009C5EFD">
          <w:rPr>
            <w:rFonts w:eastAsia="Arial Unicode MS"/>
            <w:sz w:val="22"/>
            <w:szCs w:val="22"/>
          </w:rPr>
          <w:delText xml:space="preserve">jon av adalimumab ved steady-state ca. 7,4 </w:delText>
        </w:r>
        <w:r w:rsidRPr="009C5EFD">
          <w:rPr>
            <w:sz w:val="22"/>
            <w:szCs w:val="22"/>
          </w:rPr>
          <w:delText>± 5,8 mikrog/ml (79 % CV).</w:delText>
        </w:r>
      </w:del>
    </w:p>
    <w:p w14:paraId="05E66E65" w14:textId="29FE7DD6" w:rsidR="001E5448" w:rsidRDefault="001E5448" w:rsidP="009C5EFD">
      <w:pPr>
        <w:suppressAutoHyphens/>
        <w:rPr>
          <w:del w:id="3805" w:author="AbbVie02no" w:date="2025-05-15T12:36:00Z"/>
          <w:sz w:val="22"/>
          <w:szCs w:val="22"/>
        </w:rPr>
      </w:pPr>
    </w:p>
    <w:p w14:paraId="7425BFE0" w14:textId="008C3271" w:rsidR="007C0E7C" w:rsidRDefault="00E453CD" w:rsidP="009C5EFD">
      <w:pPr>
        <w:suppressAutoHyphens/>
        <w:rPr>
          <w:del w:id="3806" w:author="AbbVie02no" w:date="2025-05-15T12:36:00Z"/>
          <w:sz w:val="22"/>
          <w:szCs w:val="22"/>
        </w:rPr>
      </w:pPr>
      <w:del w:id="3807" w:author="AbbVie02no" w:date="2025-05-15T12:36:00Z">
        <w:r w:rsidRPr="007C0E7C">
          <w:rPr>
            <w:sz w:val="22"/>
            <w:szCs w:val="22"/>
          </w:rPr>
          <w:delText xml:space="preserve">Eksponering </w:delText>
        </w:r>
        <w:r w:rsidR="00F12D9C">
          <w:rPr>
            <w:sz w:val="22"/>
            <w:szCs w:val="22"/>
          </w:rPr>
          <w:delText>for</w:delText>
        </w:r>
        <w:r w:rsidRPr="007C0E7C">
          <w:rPr>
            <w:sz w:val="22"/>
            <w:szCs w:val="22"/>
          </w:rPr>
          <w:delText xml:space="preserve"> adalimumab hos ungdom med HS ble estimert ved å benytte </w:delText>
        </w:r>
        <w:r w:rsidR="008138BF">
          <w:rPr>
            <w:sz w:val="22"/>
            <w:szCs w:val="22"/>
          </w:rPr>
          <w:delText>farmakokinetisk populasjonsmodellering</w:delText>
        </w:r>
        <w:r w:rsidRPr="007C0E7C">
          <w:rPr>
            <w:sz w:val="22"/>
            <w:szCs w:val="22"/>
          </w:rPr>
          <w:delText xml:space="preserve"> og simulering, basert på farmakokinetikk observert på tvers av indikasjoner ved bruk hos andre pediatriske pasienter (pediatrisk psoriasis, juvenil idiopatisk artritt, pediatrisk Crohns sykdom og entesittrelatert artritt). Anbefalt dosering hos ungdom med HS er 40 mg annenhver uke. Siden eksponeringen av adalimumab  kan påvirkes av kroppsstørrelse, kan ungdom med høyere kroppsvekt og utilstrekkelig respons ha fordel av å bli behandlet med anbefalt dosering for voksne på 40 mg hver uke.</w:delText>
        </w:r>
      </w:del>
    </w:p>
    <w:p w14:paraId="673EF480" w14:textId="1D77D020" w:rsidR="007C0E7C" w:rsidRPr="009C5EFD" w:rsidRDefault="007C0E7C" w:rsidP="009C5EFD">
      <w:pPr>
        <w:suppressAutoHyphens/>
        <w:rPr>
          <w:del w:id="3808" w:author="AbbVie02no" w:date="2025-05-15T12:36:00Z"/>
          <w:sz w:val="22"/>
          <w:szCs w:val="22"/>
        </w:rPr>
      </w:pPr>
    </w:p>
    <w:p w14:paraId="7536C3B7" w14:textId="21FAFA15" w:rsidR="00020C8C" w:rsidRPr="009C5EFD" w:rsidRDefault="00E453CD" w:rsidP="009C5EFD">
      <w:pPr>
        <w:suppressAutoHyphens/>
        <w:rPr>
          <w:del w:id="3809" w:author="AbbVie02no" w:date="2025-05-15T12:36:00Z"/>
          <w:rFonts w:eastAsia="Arial Unicode MS"/>
          <w:sz w:val="22"/>
          <w:szCs w:val="22"/>
        </w:rPr>
      </w:pPr>
      <w:del w:id="3810" w:author="AbbVie02no" w:date="2025-05-15T12:36:00Z">
        <w:r w:rsidRPr="009C5EFD">
          <w:rPr>
            <w:sz w:val="22"/>
            <w:szCs w:val="22"/>
          </w:rPr>
          <w:delText xml:space="preserve">Hos pediatriske pasienter med moderat til alvorlig Crohns sykdom var den åpne adalimumab </w:delText>
        </w:r>
        <w:r w:rsidR="00892FD0" w:rsidRPr="009C5EFD">
          <w:rPr>
            <w:sz w:val="22"/>
            <w:szCs w:val="22"/>
          </w:rPr>
          <w:delText>induksjons</w:delText>
        </w:r>
        <w:r w:rsidRPr="009C5EFD">
          <w:rPr>
            <w:sz w:val="22"/>
            <w:szCs w:val="22"/>
          </w:rPr>
          <w:delText>dosen 160/80 mg eller 80/40 mg ved henholdsvis uke 0 og 2 avhengig av en kroppsvekt avskåret ved 40 kg. Ved uke 4 ble pasienter randomisert til vedlikeholdsbehandlingsgrupper 1:1 til enten standard dose (40/20 mg annenhver uke) eller lav dose (20/10 mg annenhver uke) basert på deres kroppsvekt. Gjennomsnitt</w:delText>
        </w:r>
        <w:r w:rsidR="007B4646" w:rsidRPr="009C5EFD">
          <w:rPr>
            <w:sz w:val="22"/>
            <w:szCs w:val="22"/>
          </w:rPr>
          <w:delText>lig</w:delText>
        </w:r>
        <w:r w:rsidR="005850EC" w:rsidRPr="009C5EFD">
          <w:rPr>
            <w:sz w:val="22"/>
            <w:szCs w:val="22"/>
          </w:rPr>
          <w:delText>e</w:delText>
        </w:r>
        <w:r w:rsidRPr="009C5EFD">
          <w:rPr>
            <w:sz w:val="22"/>
            <w:szCs w:val="22"/>
          </w:rPr>
          <w:delText xml:space="preserve"> </w:delText>
        </w:r>
        <w:r w:rsidRPr="009C5EFD">
          <w:rPr>
            <w:sz w:val="22"/>
            <w:szCs w:val="22"/>
            <w:lang w:eastAsia="en-GB"/>
          </w:rPr>
          <w:delText>(</w:delText>
        </w:r>
        <w:r w:rsidRPr="009C5EFD">
          <w:rPr>
            <w:rFonts w:eastAsia="Arial Unicode MS"/>
            <w:sz w:val="22"/>
            <w:szCs w:val="22"/>
          </w:rPr>
          <w:delText>±SD</w:delText>
        </w:r>
        <w:r w:rsidRPr="00AB7697">
          <w:rPr>
            <w:rFonts w:eastAsia="Arial Unicode MS"/>
            <w:sz w:val="22"/>
          </w:rPr>
          <w:delText xml:space="preserve">) </w:delText>
        </w:r>
        <w:r w:rsidR="00B125D2">
          <w:rPr>
            <w:sz w:val="22"/>
            <w:szCs w:val="22"/>
          </w:rPr>
          <w:delText>bunn</w:delText>
        </w:r>
        <w:r w:rsidRPr="009C5EFD">
          <w:rPr>
            <w:sz w:val="22"/>
            <w:szCs w:val="22"/>
          </w:rPr>
          <w:delText xml:space="preserve">konsentrasjoner </w:delText>
        </w:r>
        <w:r w:rsidR="00A37D33" w:rsidRPr="009C5EFD">
          <w:rPr>
            <w:sz w:val="22"/>
            <w:szCs w:val="22"/>
          </w:rPr>
          <w:delText xml:space="preserve">av </w:delText>
        </w:r>
        <w:r w:rsidR="004E013A" w:rsidRPr="009C5EFD">
          <w:rPr>
            <w:sz w:val="22"/>
            <w:szCs w:val="22"/>
          </w:rPr>
          <w:delText xml:space="preserve">adalimumab </w:delText>
        </w:r>
        <w:r w:rsidR="00A37D33" w:rsidRPr="009C5EFD">
          <w:rPr>
            <w:sz w:val="22"/>
            <w:szCs w:val="22"/>
          </w:rPr>
          <w:delText xml:space="preserve">i serum </w:delText>
        </w:r>
        <w:r w:rsidRPr="009C5EFD">
          <w:rPr>
            <w:sz w:val="22"/>
            <w:szCs w:val="22"/>
          </w:rPr>
          <w:delText xml:space="preserve">oppnådd ved uke 4 var 15,7 </w:delText>
        </w:r>
        <w:r w:rsidRPr="009C5EFD">
          <w:rPr>
            <w:rFonts w:eastAsia="Arial Unicode MS"/>
            <w:sz w:val="22"/>
            <w:szCs w:val="22"/>
          </w:rPr>
          <w:delText xml:space="preserve">± 6,6 </w:delText>
        </w:r>
        <w:r w:rsidR="000568A5" w:rsidRPr="009C5EFD">
          <w:rPr>
            <w:rFonts w:eastAsia="Arial Unicode MS"/>
            <w:sz w:val="22"/>
            <w:szCs w:val="22"/>
          </w:rPr>
          <w:delText>mikro</w:delText>
        </w:r>
        <w:r w:rsidRPr="009C5EFD">
          <w:rPr>
            <w:rFonts w:eastAsia="Arial Unicode MS"/>
            <w:sz w:val="22"/>
            <w:szCs w:val="22"/>
          </w:rPr>
          <w:delText xml:space="preserve">g/ml for pasienter ≥ 40 kg (160/80 mg) og 10,6 ± 6,1 </w:delText>
        </w:r>
        <w:r w:rsidR="000568A5" w:rsidRPr="009C5EFD">
          <w:rPr>
            <w:rFonts w:eastAsia="Arial Unicode MS"/>
            <w:sz w:val="22"/>
            <w:szCs w:val="22"/>
          </w:rPr>
          <w:delText>mikro</w:delText>
        </w:r>
        <w:r w:rsidRPr="009C5EFD">
          <w:rPr>
            <w:rFonts w:eastAsia="Arial Unicode MS"/>
            <w:sz w:val="22"/>
            <w:szCs w:val="22"/>
          </w:rPr>
          <w:delText>g/ml for pasienter &lt; 40 kg (80/40 mg)</w:delText>
        </w:r>
        <w:r w:rsidR="007B4646" w:rsidRPr="009C5EFD">
          <w:rPr>
            <w:rFonts w:eastAsia="Arial Unicode MS"/>
            <w:sz w:val="22"/>
            <w:szCs w:val="22"/>
          </w:rPr>
          <w:delText>.</w:delText>
        </w:r>
      </w:del>
    </w:p>
    <w:p w14:paraId="50FF2EED" w14:textId="3458AC9B" w:rsidR="007B4646" w:rsidRPr="007C0E7C" w:rsidRDefault="007B4646" w:rsidP="009C5EFD">
      <w:pPr>
        <w:suppressAutoHyphens/>
        <w:rPr>
          <w:del w:id="3811" w:author="AbbVie02no" w:date="2025-05-15T12:36:00Z"/>
          <w:rFonts w:eastAsia="Arial Unicode MS"/>
          <w:sz w:val="22"/>
          <w:szCs w:val="22"/>
        </w:rPr>
      </w:pPr>
    </w:p>
    <w:p w14:paraId="68B82638" w14:textId="39421284" w:rsidR="007B4646" w:rsidRPr="007C0E7C" w:rsidRDefault="00E453CD" w:rsidP="009C5EFD">
      <w:pPr>
        <w:suppressAutoHyphens/>
        <w:rPr>
          <w:del w:id="3812" w:author="AbbVie02no" w:date="2025-05-15T12:36:00Z"/>
          <w:rFonts w:eastAsia="Arial Unicode MS"/>
          <w:sz w:val="22"/>
          <w:szCs w:val="22"/>
        </w:rPr>
      </w:pPr>
      <w:del w:id="3813" w:author="AbbVie02no" w:date="2025-05-15T12:36:00Z">
        <w:r w:rsidRPr="007C0E7C">
          <w:rPr>
            <w:rFonts w:eastAsia="Arial Unicode MS"/>
            <w:sz w:val="22"/>
            <w:szCs w:val="22"/>
          </w:rPr>
          <w:delText>For pasienter som fortsatte på deres randomiserte behandling var gjennomsnittlig</w:delText>
        </w:r>
        <w:r w:rsidR="005850EC" w:rsidRPr="007C0E7C">
          <w:rPr>
            <w:rFonts w:eastAsia="Arial Unicode MS"/>
            <w:sz w:val="22"/>
            <w:szCs w:val="22"/>
          </w:rPr>
          <w:delText>e</w:delText>
        </w:r>
        <w:r w:rsidRPr="007C0E7C">
          <w:rPr>
            <w:rFonts w:eastAsia="Arial Unicode MS"/>
            <w:sz w:val="22"/>
            <w:szCs w:val="22"/>
          </w:rPr>
          <w:delText xml:space="preserve"> </w:delText>
        </w:r>
        <w:r w:rsidRPr="007C0E7C">
          <w:rPr>
            <w:sz w:val="22"/>
            <w:szCs w:val="22"/>
            <w:lang w:eastAsia="en-GB"/>
          </w:rPr>
          <w:delText>(</w:delText>
        </w:r>
        <w:r w:rsidRPr="007C0E7C">
          <w:rPr>
            <w:rFonts w:eastAsia="Arial Unicode MS"/>
            <w:sz w:val="22"/>
            <w:szCs w:val="22"/>
          </w:rPr>
          <w:delText xml:space="preserve">±SD) </w:delText>
        </w:r>
        <w:r w:rsidR="00B125D2">
          <w:rPr>
            <w:sz w:val="22"/>
            <w:szCs w:val="22"/>
          </w:rPr>
          <w:delText>bunn</w:delText>
        </w:r>
        <w:r w:rsidRPr="007C0E7C">
          <w:rPr>
            <w:sz w:val="22"/>
            <w:szCs w:val="22"/>
          </w:rPr>
          <w:delText xml:space="preserve">konsentrasjoner </w:delText>
        </w:r>
        <w:r w:rsidR="00CD5B0C" w:rsidRPr="007C0E7C">
          <w:rPr>
            <w:sz w:val="22"/>
            <w:szCs w:val="22"/>
          </w:rPr>
          <w:delText xml:space="preserve">av adalimumab </w:delText>
        </w:r>
        <w:r w:rsidRPr="007C0E7C">
          <w:rPr>
            <w:sz w:val="22"/>
            <w:szCs w:val="22"/>
          </w:rPr>
          <w:delText xml:space="preserve">ved uke 52 9,5 </w:delText>
        </w:r>
        <w:r w:rsidRPr="007C0E7C">
          <w:rPr>
            <w:rFonts w:eastAsia="Arial Unicode MS"/>
            <w:sz w:val="22"/>
            <w:szCs w:val="22"/>
          </w:rPr>
          <w:delText xml:space="preserve">± 5,6 </w:delText>
        </w:r>
        <w:r w:rsidR="000568A5" w:rsidRPr="007C0E7C">
          <w:rPr>
            <w:rFonts w:eastAsia="Arial Unicode MS"/>
            <w:sz w:val="22"/>
            <w:szCs w:val="22"/>
          </w:rPr>
          <w:delText>mikro</w:delText>
        </w:r>
        <w:r w:rsidRPr="007C0E7C">
          <w:rPr>
            <w:rFonts w:eastAsia="Arial Unicode MS"/>
            <w:sz w:val="22"/>
            <w:szCs w:val="22"/>
          </w:rPr>
          <w:delText xml:space="preserve">g/ml for </w:delText>
        </w:r>
        <w:r w:rsidR="00ED7ED5">
          <w:rPr>
            <w:rFonts w:eastAsia="Arial Unicode MS"/>
            <w:sz w:val="22"/>
            <w:szCs w:val="22"/>
          </w:rPr>
          <w:delText xml:space="preserve">gruppen som fikk </w:delText>
        </w:r>
        <w:r w:rsidRPr="007C0E7C">
          <w:rPr>
            <w:rFonts w:eastAsia="Arial Unicode MS"/>
            <w:sz w:val="22"/>
            <w:szCs w:val="22"/>
          </w:rPr>
          <w:delText xml:space="preserve">standard dose og </w:delText>
        </w:r>
        <w:r w:rsidRPr="007C0E7C">
          <w:rPr>
            <w:sz w:val="22"/>
            <w:szCs w:val="22"/>
          </w:rPr>
          <w:delText xml:space="preserve">3,5 </w:delText>
        </w:r>
        <w:r w:rsidRPr="007C0E7C">
          <w:rPr>
            <w:rFonts w:eastAsia="Arial Unicode MS"/>
            <w:sz w:val="22"/>
            <w:szCs w:val="22"/>
          </w:rPr>
          <w:delText xml:space="preserve">± 2,2 </w:delText>
        </w:r>
        <w:r w:rsidR="000568A5" w:rsidRPr="007C0E7C">
          <w:rPr>
            <w:rFonts w:eastAsia="Arial Unicode MS"/>
            <w:sz w:val="22"/>
            <w:szCs w:val="22"/>
          </w:rPr>
          <w:delText>mikro</w:delText>
        </w:r>
        <w:r w:rsidRPr="007C0E7C">
          <w:rPr>
            <w:rFonts w:eastAsia="Arial Unicode MS"/>
            <w:sz w:val="22"/>
            <w:szCs w:val="22"/>
          </w:rPr>
          <w:delText>g/ml for</w:delText>
        </w:r>
        <w:r w:rsidR="00ED7ED5">
          <w:rPr>
            <w:rFonts w:eastAsia="Arial Unicode MS"/>
            <w:sz w:val="22"/>
            <w:szCs w:val="22"/>
          </w:rPr>
          <w:delText xml:space="preserve"> gruppen som fikk</w:delText>
        </w:r>
        <w:r w:rsidRPr="007C0E7C">
          <w:rPr>
            <w:rFonts w:eastAsia="Arial Unicode MS"/>
            <w:sz w:val="22"/>
            <w:szCs w:val="22"/>
          </w:rPr>
          <w:delText xml:space="preserve"> lav dose. Gjennomsnittlig</w:delText>
        </w:r>
        <w:r w:rsidR="005850EC" w:rsidRPr="007C0E7C">
          <w:rPr>
            <w:rFonts w:eastAsia="Arial Unicode MS"/>
            <w:sz w:val="22"/>
            <w:szCs w:val="22"/>
          </w:rPr>
          <w:delText>e</w:delText>
        </w:r>
        <w:r w:rsidRPr="007C0E7C">
          <w:rPr>
            <w:rFonts w:eastAsia="Arial Unicode MS"/>
            <w:sz w:val="22"/>
            <w:szCs w:val="22"/>
          </w:rPr>
          <w:delText xml:space="preserve"> </w:delText>
        </w:r>
        <w:r w:rsidR="00B125D2">
          <w:rPr>
            <w:rFonts w:eastAsia="Arial Unicode MS"/>
            <w:sz w:val="22"/>
            <w:szCs w:val="22"/>
          </w:rPr>
          <w:delText>bunn</w:delText>
        </w:r>
        <w:r w:rsidRPr="007C0E7C">
          <w:rPr>
            <w:rFonts w:eastAsia="Arial Unicode MS"/>
            <w:sz w:val="22"/>
            <w:szCs w:val="22"/>
          </w:rPr>
          <w:delText>konsentrasjoner ble vedlikeholdt hos pasienter som fortsatte på adalimumab behandling annenhver uke i 52 uker. For pasienter som økte dosen fra annenhver uke til ukentlig regime var gjennomsnittlig</w:delText>
        </w:r>
        <w:r w:rsidR="00FE4252" w:rsidRPr="007C0E7C">
          <w:rPr>
            <w:rFonts w:eastAsia="Arial Unicode MS"/>
            <w:sz w:val="22"/>
            <w:szCs w:val="22"/>
          </w:rPr>
          <w:delText>e</w:delText>
        </w:r>
        <w:r w:rsidRPr="007C0E7C">
          <w:rPr>
            <w:rFonts w:eastAsia="Arial Unicode MS"/>
            <w:sz w:val="22"/>
            <w:szCs w:val="22"/>
          </w:rPr>
          <w:delText xml:space="preserve"> </w:delText>
        </w:r>
        <w:r w:rsidRPr="007C0E7C">
          <w:rPr>
            <w:sz w:val="22"/>
            <w:szCs w:val="22"/>
            <w:lang w:eastAsia="en-GB"/>
          </w:rPr>
          <w:delText>(</w:delText>
        </w:r>
        <w:r w:rsidRPr="007C0E7C">
          <w:rPr>
            <w:rFonts w:eastAsia="Arial Unicode MS"/>
            <w:sz w:val="22"/>
            <w:szCs w:val="22"/>
          </w:rPr>
          <w:delText xml:space="preserve">±SD) serum konsentrasjoner av adalimumab ved uke 52 </w:delText>
        </w:r>
        <w:r w:rsidRPr="007C0E7C">
          <w:rPr>
            <w:sz w:val="22"/>
            <w:szCs w:val="22"/>
          </w:rPr>
          <w:delText xml:space="preserve">15,3 </w:delText>
        </w:r>
        <w:r w:rsidRPr="007C0E7C">
          <w:rPr>
            <w:rFonts w:eastAsia="Arial Unicode MS"/>
            <w:sz w:val="22"/>
            <w:szCs w:val="22"/>
          </w:rPr>
          <w:delText xml:space="preserve">± 11,4 </w:delText>
        </w:r>
        <w:r w:rsidR="000568A5" w:rsidRPr="007C0E7C">
          <w:rPr>
            <w:rFonts w:eastAsia="Arial Unicode MS"/>
            <w:sz w:val="22"/>
            <w:szCs w:val="22"/>
          </w:rPr>
          <w:delText>mikro</w:delText>
        </w:r>
        <w:r w:rsidRPr="007C0E7C">
          <w:rPr>
            <w:rFonts w:eastAsia="Arial Unicode MS"/>
            <w:sz w:val="22"/>
            <w:szCs w:val="22"/>
          </w:rPr>
          <w:delText xml:space="preserve">g/ml (40/20 mg, ukentlig) og </w:delText>
        </w:r>
        <w:r w:rsidRPr="007C0E7C">
          <w:rPr>
            <w:sz w:val="22"/>
            <w:szCs w:val="22"/>
          </w:rPr>
          <w:delText xml:space="preserve">6,7 </w:delText>
        </w:r>
        <w:r w:rsidRPr="007C0E7C">
          <w:rPr>
            <w:rFonts w:eastAsia="Arial Unicode MS"/>
            <w:sz w:val="22"/>
            <w:szCs w:val="22"/>
          </w:rPr>
          <w:delText xml:space="preserve">± 3,5 </w:delText>
        </w:r>
        <w:r w:rsidR="000568A5" w:rsidRPr="007C0E7C">
          <w:rPr>
            <w:rFonts w:eastAsia="Arial Unicode MS"/>
            <w:sz w:val="22"/>
            <w:szCs w:val="22"/>
          </w:rPr>
          <w:delText>mikro</w:delText>
        </w:r>
        <w:r w:rsidRPr="007C0E7C">
          <w:rPr>
            <w:rFonts w:eastAsia="Arial Unicode MS"/>
            <w:sz w:val="22"/>
            <w:szCs w:val="22"/>
          </w:rPr>
          <w:delText>g/ml (20/10</w:delText>
        </w:r>
        <w:r w:rsidR="00B52137">
          <w:rPr>
            <w:rFonts w:eastAsia="Arial Unicode MS"/>
            <w:sz w:val="22"/>
            <w:szCs w:val="22"/>
          </w:rPr>
          <w:delText> </w:delText>
        </w:r>
        <w:r w:rsidRPr="007C0E7C">
          <w:rPr>
            <w:rFonts w:eastAsia="Arial Unicode MS"/>
            <w:sz w:val="22"/>
            <w:szCs w:val="22"/>
          </w:rPr>
          <w:delText>mg, ukentlig)</w:delText>
        </w:r>
        <w:r w:rsidR="00D71742" w:rsidRPr="007C0E7C">
          <w:rPr>
            <w:rFonts w:eastAsia="Arial Unicode MS"/>
            <w:sz w:val="22"/>
            <w:szCs w:val="22"/>
          </w:rPr>
          <w:delText>.</w:delText>
        </w:r>
      </w:del>
    </w:p>
    <w:p w14:paraId="7B9F104D" w14:textId="36CD20EE" w:rsidR="006B49BD" w:rsidRDefault="006B49BD">
      <w:pPr>
        <w:rPr>
          <w:del w:id="3814" w:author="AbbVie02no" w:date="2025-05-15T12:36:00Z"/>
          <w:sz w:val="22"/>
          <w:szCs w:val="22"/>
        </w:rPr>
      </w:pPr>
    </w:p>
    <w:p w14:paraId="204151A3" w14:textId="0475BA26" w:rsidR="006B49BD" w:rsidRDefault="00E453CD">
      <w:pPr>
        <w:rPr>
          <w:del w:id="3815" w:author="AbbVie02no" w:date="2025-05-15T12:36:00Z"/>
          <w:sz w:val="22"/>
          <w:szCs w:val="22"/>
        </w:rPr>
      </w:pPr>
      <w:del w:id="3816" w:author="AbbVie02no" w:date="2025-05-15T12:36:00Z">
        <w:r>
          <w:rPr>
            <w:sz w:val="22"/>
            <w:szCs w:val="22"/>
          </w:rPr>
          <w:delText xml:space="preserve">Adalimumab-eksponeringer hos pasienter med pediatrisk uveitt ble estimert ved å benytte </w:delText>
        </w:r>
        <w:r w:rsidR="008138BF">
          <w:rPr>
            <w:sz w:val="22"/>
            <w:szCs w:val="22"/>
          </w:rPr>
          <w:delText>farmakokinetisk populasjonsmodellering</w:delText>
        </w:r>
        <w:r>
          <w:rPr>
            <w:sz w:val="22"/>
            <w:szCs w:val="22"/>
          </w:rPr>
          <w:delText xml:space="preserve"> og simulering basert på </w:delText>
        </w:r>
        <w:r w:rsidR="000F7366">
          <w:rPr>
            <w:sz w:val="22"/>
            <w:szCs w:val="22"/>
          </w:rPr>
          <w:delText xml:space="preserve">farmakokinetikk observert på tvers av indikasjoner ved bruk hos andre pediatriske pasienter (pediatrisk psoriasis, juvenil idiopatisk artritt, pediatrisk Crohns sykdom og entesittrelatert artritt). Det foreligger ingen kliniske eksponeringsdata vedrørende bruk av </w:delText>
        </w:r>
        <w:r w:rsidR="005207CC" w:rsidRPr="005207CC">
          <w:rPr>
            <w:sz w:val="22"/>
            <w:szCs w:val="22"/>
          </w:rPr>
          <w:delText>induksjonsdose</w:delText>
        </w:r>
        <w:r w:rsidR="000F7366">
          <w:rPr>
            <w:sz w:val="22"/>
            <w:szCs w:val="22"/>
          </w:rPr>
          <w:delText xml:space="preserve"> hos barn &lt; 6 år. De forventede eksponeringene indikerer at </w:delText>
        </w:r>
        <w:r w:rsidR="003970F2">
          <w:rPr>
            <w:sz w:val="22"/>
            <w:szCs w:val="22"/>
          </w:rPr>
          <w:delText xml:space="preserve">i fravær av metotreksat kan </w:delText>
        </w:r>
        <w:r w:rsidR="000F7366">
          <w:rPr>
            <w:sz w:val="22"/>
            <w:szCs w:val="22"/>
          </w:rPr>
          <w:delText xml:space="preserve">en </w:delText>
        </w:r>
        <w:r w:rsidR="005207CC" w:rsidRPr="005207CC">
          <w:rPr>
            <w:sz w:val="22"/>
            <w:szCs w:val="22"/>
          </w:rPr>
          <w:delText>induksjonsdose</w:delText>
        </w:r>
        <w:r w:rsidR="000F7366">
          <w:rPr>
            <w:sz w:val="22"/>
            <w:szCs w:val="22"/>
          </w:rPr>
          <w:delText xml:space="preserve"> føre til en initial økning i systemisk eksponering.</w:delText>
        </w:r>
      </w:del>
    </w:p>
    <w:p w14:paraId="04E590D7" w14:textId="3372FF99" w:rsidR="0068657A" w:rsidRDefault="0068657A">
      <w:pPr>
        <w:rPr>
          <w:del w:id="3817" w:author="AbbVie02no" w:date="2025-05-15T12:36:00Z"/>
          <w:sz w:val="22"/>
          <w:szCs w:val="22"/>
        </w:rPr>
      </w:pPr>
    </w:p>
    <w:p w14:paraId="75F24B8A" w14:textId="52E8C645" w:rsidR="0068657A" w:rsidRPr="00AF70AD" w:rsidRDefault="00E453CD">
      <w:pPr>
        <w:rPr>
          <w:del w:id="3818" w:author="AbbVie02no" w:date="2025-05-15T12:36:00Z"/>
          <w:sz w:val="22"/>
          <w:u w:val="single"/>
        </w:rPr>
      </w:pPr>
      <w:del w:id="3819" w:author="AbbVie02no" w:date="2025-05-15T12:36:00Z">
        <w:r w:rsidRPr="00AF70AD">
          <w:rPr>
            <w:sz w:val="22"/>
            <w:u w:val="single"/>
          </w:rPr>
          <w:delText>Eksponering-responsforhold i pediatrisk populasjon</w:delText>
        </w:r>
      </w:del>
    </w:p>
    <w:p w14:paraId="6B48D941" w14:textId="60FC593A" w:rsidR="0068657A" w:rsidRPr="00DB4B30" w:rsidRDefault="00E453CD" w:rsidP="0068657A">
      <w:pPr>
        <w:rPr>
          <w:del w:id="3820" w:author="AbbVie02no" w:date="2025-05-15T12:36:00Z"/>
          <w:sz w:val="22"/>
        </w:rPr>
      </w:pPr>
      <w:del w:id="3821" w:author="AbbVie02no" w:date="2025-05-15T12:36:00Z">
        <w:r>
          <w:rPr>
            <w:sz w:val="22"/>
          </w:rPr>
          <w:delText xml:space="preserve">På bakgrunn av data fra </w:delText>
        </w:r>
        <w:r w:rsidR="00581310">
          <w:rPr>
            <w:sz w:val="22"/>
          </w:rPr>
          <w:delText>kliniske studier</w:delText>
        </w:r>
        <w:r>
          <w:rPr>
            <w:sz w:val="22"/>
          </w:rPr>
          <w:delText xml:space="preserve"> hos pasienter med </w:delText>
        </w:r>
        <w:r w:rsidRPr="00C5656D">
          <w:rPr>
            <w:sz w:val="22"/>
          </w:rPr>
          <w:delText xml:space="preserve">JIA (pJIA </w:delText>
        </w:r>
        <w:r w:rsidR="00222143">
          <w:rPr>
            <w:sz w:val="22"/>
          </w:rPr>
          <w:delText>og</w:delText>
        </w:r>
        <w:r w:rsidR="00222143" w:rsidRPr="00C5656D">
          <w:rPr>
            <w:sz w:val="22"/>
          </w:rPr>
          <w:delText xml:space="preserve"> </w:delText>
        </w:r>
        <w:r w:rsidRPr="00C5656D">
          <w:rPr>
            <w:sz w:val="22"/>
          </w:rPr>
          <w:delText>ERA)</w:delText>
        </w:r>
        <w:r>
          <w:rPr>
            <w:sz w:val="22"/>
          </w:rPr>
          <w:delText>, ble et forhold mellom eksponering og respons etablert mellom plasmakonsentrasjoner og PedACR 50-respons. Den plasmakonsentrasjonen av adalimumab som tilsynelatende gir halvparten av maksimal PedACR</w:delText>
        </w:r>
        <w:r w:rsidR="003F1F81">
          <w:rPr>
            <w:sz w:val="22"/>
          </w:rPr>
          <w:delText> </w:delText>
        </w:r>
        <w:r>
          <w:rPr>
            <w:sz w:val="22"/>
          </w:rPr>
          <w:delText>50</w:delText>
        </w:r>
        <w:r w:rsidR="003F1F81">
          <w:rPr>
            <w:sz w:val="22"/>
          </w:rPr>
          <w:noBreakHyphen/>
        </w:r>
        <w:r>
          <w:rPr>
            <w:sz w:val="22"/>
          </w:rPr>
          <w:delText xml:space="preserve">respons (EC50) var </w:delText>
        </w:r>
        <w:r w:rsidRPr="003443A0">
          <w:rPr>
            <w:sz w:val="22"/>
          </w:rPr>
          <w:delText>3</w:delText>
        </w:r>
        <w:r w:rsidR="003F1F81">
          <w:rPr>
            <w:sz w:val="22"/>
          </w:rPr>
          <w:delText> </w:delText>
        </w:r>
        <w:r>
          <w:rPr>
            <w:sz w:val="22"/>
          </w:rPr>
          <w:delText>mikro</w:delText>
        </w:r>
        <w:r w:rsidRPr="003443A0">
          <w:rPr>
            <w:sz w:val="22"/>
          </w:rPr>
          <w:delText>g/ml (95</w:delText>
        </w:r>
        <w:r>
          <w:rPr>
            <w:sz w:val="22"/>
          </w:rPr>
          <w:delText> </w:delText>
        </w:r>
        <w:r w:rsidRPr="003443A0">
          <w:rPr>
            <w:sz w:val="22"/>
          </w:rPr>
          <w:delText xml:space="preserve">% </w:delText>
        </w:r>
        <w:r>
          <w:rPr>
            <w:sz w:val="22"/>
          </w:rPr>
          <w:delText>K</w:delText>
        </w:r>
        <w:r w:rsidRPr="003443A0">
          <w:rPr>
            <w:sz w:val="22"/>
          </w:rPr>
          <w:delText>I: 1</w:delText>
        </w:r>
        <w:r>
          <w:rPr>
            <w:sz w:val="22"/>
          </w:rPr>
          <w:noBreakHyphen/>
        </w:r>
        <w:r w:rsidRPr="003443A0">
          <w:rPr>
            <w:sz w:val="22"/>
          </w:rPr>
          <w:delText>6</w:delText>
        </w:r>
        <w:r w:rsidR="003F1F81">
          <w:rPr>
            <w:sz w:val="22"/>
          </w:rPr>
          <w:delText> </w:delText>
        </w:r>
        <w:r>
          <w:rPr>
            <w:sz w:val="22"/>
          </w:rPr>
          <w:delText>mikro</w:delText>
        </w:r>
        <w:r w:rsidRPr="003443A0">
          <w:rPr>
            <w:sz w:val="22"/>
          </w:rPr>
          <w:delText>g/ml).</w:delText>
        </w:r>
      </w:del>
    </w:p>
    <w:p w14:paraId="64C370A5" w14:textId="4BF7FB2F" w:rsidR="0068657A" w:rsidRDefault="0068657A" w:rsidP="0068657A">
      <w:pPr>
        <w:rPr>
          <w:del w:id="3822" w:author="AbbVie02no" w:date="2025-05-15T12:36:00Z"/>
          <w:sz w:val="22"/>
        </w:rPr>
      </w:pPr>
    </w:p>
    <w:p w14:paraId="38C568A5" w14:textId="0CF2EC5F" w:rsidR="00D124ED" w:rsidRPr="00DB4B30" w:rsidRDefault="00E453CD" w:rsidP="00D124ED">
      <w:pPr>
        <w:rPr>
          <w:del w:id="3823" w:author="AbbVie02no" w:date="2025-05-15T12:36:00Z"/>
          <w:sz w:val="22"/>
        </w:rPr>
      </w:pPr>
      <w:del w:id="3824" w:author="AbbVie02no" w:date="2025-05-15T12:36:00Z">
        <w:r>
          <w:rPr>
            <w:sz w:val="22"/>
          </w:rPr>
          <w:delText>Eksponering-responsforhold mellom adalimumabkonsentrasjon og effekt hos pediatriske pasienter med alvorlig</w:delText>
        </w:r>
        <w:r w:rsidR="003F1F81">
          <w:rPr>
            <w:sz w:val="22"/>
          </w:rPr>
          <w:delText xml:space="preserve"> kronisk</w:delText>
        </w:r>
        <w:r>
          <w:rPr>
            <w:sz w:val="22"/>
          </w:rPr>
          <w:delText xml:space="preserve"> plakkpsoriasis, ble etablert for henholdsvis PASI 75 og PGA klar eller minimal. PASI 75 og PGA klar eller minimal økte med økte adalimumabkonsentrasjoner, begge med lignende tilsynelatende EC50 på omtrent </w:delText>
        </w:r>
        <w:r w:rsidRPr="00570333">
          <w:rPr>
            <w:sz w:val="22"/>
          </w:rPr>
          <w:delText>4</w:delText>
        </w:r>
        <w:r>
          <w:rPr>
            <w:sz w:val="22"/>
          </w:rPr>
          <w:delText>,5 mikrog/ml (95 % KI 0,4-47,6 og 1,9-10,</w:delText>
        </w:r>
        <w:r w:rsidRPr="00570333">
          <w:rPr>
            <w:sz w:val="22"/>
          </w:rPr>
          <w:delText>5</w:delText>
        </w:r>
        <w:r>
          <w:rPr>
            <w:sz w:val="22"/>
          </w:rPr>
          <w:delText>, respektivt)</w:delText>
        </w:r>
      </w:del>
    </w:p>
    <w:p w14:paraId="084C61B4" w14:textId="5E62BE7E" w:rsidR="00FE4252" w:rsidRPr="009C5EFD" w:rsidRDefault="00FE4252" w:rsidP="009C5EFD">
      <w:pPr>
        <w:rPr>
          <w:del w:id="3825" w:author="AbbVie02no" w:date="2025-05-15T12:36:00Z"/>
          <w:sz w:val="22"/>
        </w:rPr>
      </w:pPr>
    </w:p>
    <w:p w14:paraId="754CEF1C" w14:textId="72FA8A82" w:rsidR="00225C9C" w:rsidRPr="009C5EFD" w:rsidRDefault="00E453CD">
      <w:pPr>
        <w:rPr>
          <w:del w:id="3826" w:author="AbbVie02no" w:date="2025-05-15T12:36:00Z"/>
          <w:sz w:val="22"/>
          <w:szCs w:val="22"/>
          <w:u w:val="single"/>
        </w:rPr>
      </w:pPr>
      <w:del w:id="3827" w:author="AbbVie02no" w:date="2025-05-15T12:36:00Z">
        <w:r w:rsidRPr="009C5EFD">
          <w:rPr>
            <w:sz w:val="22"/>
            <w:szCs w:val="22"/>
            <w:u w:val="single"/>
          </w:rPr>
          <w:delText>Voksne</w:delText>
        </w:r>
      </w:del>
    </w:p>
    <w:p w14:paraId="237DF245" w14:textId="10A0A1A1" w:rsidR="00225C9C" w:rsidRPr="009C5EFD" w:rsidRDefault="00225C9C">
      <w:pPr>
        <w:rPr>
          <w:del w:id="3828" w:author="AbbVie02no" w:date="2025-05-15T12:36:00Z"/>
          <w:sz w:val="22"/>
          <w:szCs w:val="22"/>
        </w:rPr>
      </w:pPr>
    </w:p>
    <w:p w14:paraId="31C40687" w14:textId="267E34B5" w:rsidR="00DE3458" w:rsidRPr="009C5EFD" w:rsidRDefault="00E453CD" w:rsidP="009C5EFD">
      <w:pPr>
        <w:rPr>
          <w:del w:id="3829" w:author="AbbVie02no" w:date="2025-05-15T12:36:00Z"/>
          <w:sz w:val="22"/>
          <w:szCs w:val="22"/>
        </w:rPr>
      </w:pPr>
      <w:del w:id="3830" w:author="AbbVie02no" w:date="2025-05-15T12:36:00Z">
        <w:r w:rsidRPr="009C5EFD">
          <w:rPr>
            <w:sz w:val="22"/>
            <w:szCs w:val="22"/>
          </w:rPr>
          <w:delText xml:space="preserve">Etter subkutan administrasjon av </w:delText>
        </w:r>
        <w:r w:rsidR="00ED7ED5">
          <w:rPr>
            <w:sz w:val="22"/>
            <w:szCs w:val="22"/>
          </w:rPr>
          <w:delText xml:space="preserve">en enkeltdose på </w:delText>
        </w:r>
        <w:r w:rsidRPr="009C5EFD">
          <w:rPr>
            <w:sz w:val="22"/>
            <w:szCs w:val="22"/>
          </w:rPr>
          <w:delText xml:space="preserve">40 mg er absorpsjonen og distribusjonen av adalimumab langsom, med </w:delText>
        </w:r>
        <w:r w:rsidR="00BE64DB">
          <w:rPr>
            <w:sz w:val="22"/>
            <w:szCs w:val="22"/>
          </w:rPr>
          <w:delText xml:space="preserve">maksimale </w:delText>
        </w:r>
        <w:r w:rsidRPr="009C5EFD">
          <w:rPr>
            <w:sz w:val="22"/>
            <w:szCs w:val="22"/>
          </w:rPr>
          <w:delText xml:space="preserve">serumkonsentrasjoner etter omkring 5 dager. Den gjennomsnittlige absolutte biotilgjengeligheten for adalimumab </w:delText>
        </w:r>
        <w:r w:rsidR="00BE64DB">
          <w:rPr>
            <w:sz w:val="22"/>
            <w:szCs w:val="22"/>
          </w:rPr>
          <w:delText>estimert</w:delText>
        </w:r>
        <w:r w:rsidRPr="009C5EFD">
          <w:rPr>
            <w:sz w:val="22"/>
            <w:szCs w:val="22"/>
          </w:rPr>
          <w:delText xml:space="preserve"> fra tre studier etter en enkelt</w:delText>
        </w:r>
        <w:r w:rsidR="00BE64DB">
          <w:rPr>
            <w:sz w:val="22"/>
            <w:szCs w:val="22"/>
          </w:rPr>
          <w:delText>dose på</w:delText>
        </w:r>
        <w:r w:rsidRPr="009C5EFD">
          <w:rPr>
            <w:sz w:val="22"/>
            <w:szCs w:val="22"/>
          </w:rPr>
          <w:delText xml:space="preserve"> 40 mg</w:delText>
        </w:r>
        <w:r w:rsidR="00BE64DB">
          <w:rPr>
            <w:sz w:val="22"/>
            <w:szCs w:val="22"/>
          </w:rPr>
          <w:delText xml:space="preserve"> gitt</w:delText>
        </w:r>
        <w:r w:rsidRPr="009C5EFD">
          <w:rPr>
            <w:sz w:val="22"/>
            <w:szCs w:val="22"/>
          </w:rPr>
          <w:delText xml:space="preserve"> subkutan</w:delText>
        </w:r>
        <w:r w:rsidR="00BE64DB">
          <w:rPr>
            <w:sz w:val="22"/>
            <w:szCs w:val="22"/>
          </w:rPr>
          <w:delText>t</w:delText>
        </w:r>
        <w:r w:rsidRPr="009C5EFD">
          <w:rPr>
            <w:sz w:val="22"/>
            <w:szCs w:val="22"/>
          </w:rPr>
          <w:delText xml:space="preserve"> var 64</w:delText>
        </w:r>
        <w:r w:rsidR="00BE64DB">
          <w:rPr>
            <w:sz w:val="22"/>
            <w:szCs w:val="22"/>
          </w:rPr>
          <w:delText> </w:delText>
        </w:r>
        <w:r w:rsidR="00E51AA9" w:rsidRPr="009C5EFD">
          <w:rPr>
            <w:sz w:val="22"/>
            <w:szCs w:val="22"/>
          </w:rPr>
          <w:delText>%</w:delText>
        </w:r>
        <w:r w:rsidRPr="009C5EFD">
          <w:rPr>
            <w:sz w:val="22"/>
            <w:szCs w:val="22"/>
          </w:rPr>
          <w:delText>. Etter enkeltdoser administrert</w:delText>
        </w:r>
        <w:r w:rsidR="00BE64DB">
          <w:rPr>
            <w:sz w:val="22"/>
            <w:szCs w:val="22"/>
          </w:rPr>
          <w:delText xml:space="preserve"> intravenøst</w:delText>
        </w:r>
        <w:r w:rsidRPr="009C5EFD">
          <w:rPr>
            <w:sz w:val="22"/>
            <w:szCs w:val="22"/>
          </w:rPr>
          <w:delText xml:space="preserve"> i området 0,25 til 10 mg/kg, var konsentrasjonene proporsjonale med dosen. Etter doser på 0,5 mg/kg (</w:delText>
        </w:r>
        <w:r w:rsidR="00814D0E" w:rsidRPr="00814D0E">
          <w:rPr>
            <w:sz w:val="22"/>
            <w:szCs w:val="22"/>
          </w:rPr>
          <w:delText>~</w:delText>
        </w:r>
        <w:r w:rsidRPr="009C5EFD">
          <w:rPr>
            <w:sz w:val="22"/>
            <w:szCs w:val="22"/>
          </w:rPr>
          <w:delText>40 mg) varier</w:delText>
        </w:r>
        <w:r w:rsidR="00A3198C" w:rsidRPr="009C5EFD">
          <w:rPr>
            <w:sz w:val="22"/>
            <w:szCs w:val="22"/>
          </w:rPr>
          <w:delText>t</w:delText>
        </w:r>
        <w:r w:rsidRPr="009C5EFD">
          <w:rPr>
            <w:sz w:val="22"/>
            <w:szCs w:val="22"/>
          </w:rPr>
          <w:delText>e clearance fra 11 til 15 ml/time</w:delText>
        </w:r>
        <w:r w:rsidR="00A3198C" w:rsidRPr="009C5EFD">
          <w:rPr>
            <w:sz w:val="22"/>
            <w:szCs w:val="22"/>
          </w:rPr>
          <w:delText>,</w:delText>
        </w:r>
        <w:r w:rsidRPr="009C5EFD">
          <w:rPr>
            <w:sz w:val="22"/>
            <w:szCs w:val="22"/>
          </w:rPr>
          <w:delText xml:space="preserve"> </w:delText>
        </w:r>
        <w:r w:rsidR="00A3198C" w:rsidRPr="009C5EFD">
          <w:rPr>
            <w:sz w:val="22"/>
            <w:szCs w:val="22"/>
          </w:rPr>
          <w:delText>d</w:delText>
        </w:r>
        <w:r w:rsidRPr="009C5EFD">
          <w:rPr>
            <w:sz w:val="22"/>
            <w:szCs w:val="22"/>
          </w:rPr>
          <w:delText>istribusjonsvolumet (V</w:delText>
        </w:r>
        <w:r w:rsidRPr="009C5EFD">
          <w:rPr>
            <w:sz w:val="22"/>
            <w:szCs w:val="22"/>
            <w:vertAlign w:val="subscript"/>
          </w:rPr>
          <w:delText>ss</w:delText>
        </w:r>
        <w:r w:rsidRPr="009C5EFD">
          <w:rPr>
            <w:sz w:val="22"/>
            <w:szCs w:val="22"/>
          </w:rPr>
          <w:delText xml:space="preserve">) varierte fra 5 til 6 liter, og den </w:delText>
        </w:r>
        <w:r w:rsidR="00A83337">
          <w:rPr>
            <w:sz w:val="22"/>
            <w:szCs w:val="22"/>
          </w:rPr>
          <w:delText>gjennomsnittlige halveringstiden ved terminalfase</w:delText>
        </w:r>
        <w:r w:rsidRPr="009C5EFD">
          <w:rPr>
            <w:sz w:val="22"/>
            <w:szCs w:val="22"/>
          </w:rPr>
          <w:delText xml:space="preserve">var </w:delText>
        </w:r>
        <w:r w:rsidR="00A3198C" w:rsidRPr="009C5EFD">
          <w:rPr>
            <w:sz w:val="22"/>
            <w:szCs w:val="22"/>
          </w:rPr>
          <w:delText>ca.</w:delText>
        </w:r>
        <w:r w:rsidRPr="009C5EFD">
          <w:rPr>
            <w:sz w:val="22"/>
            <w:szCs w:val="22"/>
          </w:rPr>
          <w:delText xml:space="preserve"> to uker. Adalimumab</w:delText>
        </w:r>
        <w:r w:rsidR="00D17C1A" w:rsidRPr="009C5EFD">
          <w:rPr>
            <w:sz w:val="22"/>
            <w:szCs w:val="22"/>
          </w:rPr>
          <w:delText>-</w:delText>
        </w:r>
        <w:r w:rsidRPr="009C5EFD">
          <w:rPr>
            <w:sz w:val="22"/>
            <w:szCs w:val="22"/>
          </w:rPr>
          <w:delText>konsentrasjonene i synovialvæsken hos flere pasienter med revmatoid artritt varierte fra 31 til 96</w:delText>
        </w:r>
        <w:r w:rsidR="00E51AA9" w:rsidRPr="009C5EFD">
          <w:rPr>
            <w:sz w:val="22"/>
            <w:szCs w:val="22"/>
          </w:rPr>
          <w:delText xml:space="preserve"> %</w:delText>
        </w:r>
        <w:r w:rsidRPr="009C5EFD">
          <w:rPr>
            <w:sz w:val="22"/>
            <w:szCs w:val="22"/>
          </w:rPr>
          <w:delText xml:space="preserve"> av konsentrasjonen i serum.</w:delText>
        </w:r>
      </w:del>
    </w:p>
    <w:p w14:paraId="483B2B21" w14:textId="52B8CFA8" w:rsidR="00DE3458" w:rsidRPr="009C5EFD" w:rsidRDefault="00DE3458" w:rsidP="009C5EFD">
      <w:pPr>
        <w:rPr>
          <w:del w:id="3831" w:author="AbbVie02no" w:date="2025-05-15T12:36:00Z"/>
          <w:sz w:val="22"/>
          <w:szCs w:val="22"/>
        </w:rPr>
      </w:pPr>
    </w:p>
    <w:p w14:paraId="20F272C6" w14:textId="5689E532" w:rsidR="00DE3458" w:rsidRPr="009C5EFD" w:rsidRDefault="00E453CD" w:rsidP="009C5EFD">
      <w:pPr>
        <w:rPr>
          <w:del w:id="3832" w:author="AbbVie02no" w:date="2025-05-15T12:36:00Z"/>
          <w:sz w:val="22"/>
          <w:szCs w:val="22"/>
        </w:rPr>
      </w:pPr>
      <w:del w:id="3833" w:author="AbbVie02no" w:date="2025-05-15T12:36:00Z">
        <w:r w:rsidRPr="009C5EFD">
          <w:rPr>
            <w:sz w:val="22"/>
            <w:szCs w:val="22"/>
          </w:rPr>
          <w:delText xml:space="preserve">Etter subkutan administrasjon av 40 mg </w:delText>
        </w:r>
        <w:r w:rsidR="0046107B" w:rsidRPr="009C5EFD">
          <w:rPr>
            <w:sz w:val="22"/>
            <w:szCs w:val="22"/>
          </w:rPr>
          <w:delText>adalimumab</w:delText>
        </w:r>
        <w:r w:rsidRPr="009C5EFD">
          <w:rPr>
            <w:sz w:val="22"/>
            <w:szCs w:val="22"/>
          </w:rPr>
          <w:delText xml:space="preserve"> annenhver uke hos voksne pasienter med revmatoid artritt (RA), var gjennomsnittlig</w:delText>
        </w:r>
        <w:r w:rsidR="0021328F" w:rsidRPr="009C5EFD">
          <w:rPr>
            <w:sz w:val="22"/>
            <w:szCs w:val="22"/>
          </w:rPr>
          <w:delText xml:space="preserve"> </w:delText>
        </w:r>
        <w:r w:rsidR="00B125D2">
          <w:rPr>
            <w:sz w:val="22"/>
            <w:szCs w:val="22"/>
          </w:rPr>
          <w:delText>bunn</w:delText>
        </w:r>
        <w:r w:rsidRPr="009C5EFD">
          <w:rPr>
            <w:sz w:val="22"/>
            <w:szCs w:val="22"/>
          </w:rPr>
          <w:delText>konsentrasjon</w:delText>
        </w:r>
        <w:r w:rsidR="00A37D33" w:rsidRPr="009C5EFD">
          <w:rPr>
            <w:sz w:val="22"/>
            <w:szCs w:val="22"/>
          </w:rPr>
          <w:delText xml:space="preserve"> ved</w:delText>
        </w:r>
        <w:r w:rsidRPr="009C5EFD">
          <w:rPr>
            <w:sz w:val="22"/>
            <w:szCs w:val="22"/>
          </w:rPr>
          <w:delText xml:space="preserve"> </w:delText>
        </w:r>
        <w:r w:rsidR="00A37D33" w:rsidRPr="009C5EFD">
          <w:rPr>
            <w:sz w:val="22"/>
            <w:szCs w:val="22"/>
          </w:rPr>
          <w:delText xml:space="preserve">steady-state </w:delText>
        </w:r>
        <w:r w:rsidRPr="009C5EFD">
          <w:rPr>
            <w:sz w:val="22"/>
            <w:szCs w:val="22"/>
          </w:rPr>
          <w:delText xml:space="preserve">på henholdsvis omkring 5 </w:delText>
        </w:r>
        <w:r w:rsidR="00E05B6B" w:rsidRPr="009C5EFD">
          <w:rPr>
            <w:sz w:val="22"/>
            <w:szCs w:val="22"/>
          </w:rPr>
          <w:delText>mikro</w:delText>
        </w:r>
        <w:r w:rsidRPr="009C5EFD">
          <w:rPr>
            <w:sz w:val="22"/>
            <w:szCs w:val="22"/>
          </w:rPr>
          <w:delText xml:space="preserve">g/ml (uten samtidig metotreksat) og 8 til 9 </w:delText>
        </w:r>
        <w:r w:rsidR="00E05B6B" w:rsidRPr="009C5EFD">
          <w:rPr>
            <w:sz w:val="22"/>
            <w:szCs w:val="22"/>
          </w:rPr>
          <w:delText>mikro</w:delText>
        </w:r>
        <w:r w:rsidRPr="009C5EFD">
          <w:rPr>
            <w:sz w:val="22"/>
            <w:szCs w:val="22"/>
          </w:rPr>
          <w:delText xml:space="preserve">g/ml (med samtidig metotreksat). </w:delText>
        </w:r>
        <w:r w:rsidR="00B125D2">
          <w:rPr>
            <w:sz w:val="22"/>
            <w:szCs w:val="22"/>
          </w:rPr>
          <w:delText>Bunn</w:delText>
        </w:r>
        <w:r w:rsidRPr="009C5EFD">
          <w:rPr>
            <w:color w:val="000000"/>
            <w:sz w:val="22"/>
            <w:szCs w:val="22"/>
          </w:rPr>
          <w:delText>nivåene av adalimumab i s</w:delText>
        </w:r>
        <w:r w:rsidRPr="009C5EFD">
          <w:rPr>
            <w:sz w:val="22"/>
            <w:szCs w:val="22"/>
          </w:rPr>
          <w:delText>erum ved steady-state økte omtrent proporsjonalt med dosen etter 20, 40 og 80 mg administ</w:delText>
        </w:r>
        <w:r w:rsidR="00A400EC" w:rsidRPr="009C5EFD">
          <w:rPr>
            <w:sz w:val="22"/>
            <w:szCs w:val="22"/>
          </w:rPr>
          <w:delText>rert</w:delText>
        </w:r>
        <w:r w:rsidR="00FA3AFC">
          <w:rPr>
            <w:sz w:val="22"/>
            <w:szCs w:val="22"/>
          </w:rPr>
          <w:delText xml:space="preserve"> subkutant</w:delText>
        </w:r>
        <w:r w:rsidR="00A400EC" w:rsidRPr="009C5EFD">
          <w:rPr>
            <w:sz w:val="22"/>
            <w:szCs w:val="22"/>
          </w:rPr>
          <w:delText xml:space="preserve"> annenhver uke og hver uke.</w:delText>
        </w:r>
      </w:del>
    </w:p>
    <w:p w14:paraId="1029CAFB" w14:textId="032AA1CF" w:rsidR="000F422B" w:rsidRPr="009C5EFD" w:rsidRDefault="000F422B" w:rsidP="009C5EFD">
      <w:pPr>
        <w:rPr>
          <w:del w:id="3834" w:author="AbbVie02no" w:date="2025-05-15T12:36:00Z"/>
          <w:sz w:val="22"/>
          <w:szCs w:val="22"/>
        </w:rPr>
      </w:pPr>
    </w:p>
    <w:p w14:paraId="2E5CC9BD" w14:textId="1C28DAB8" w:rsidR="008B484F" w:rsidRDefault="00E453CD" w:rsidP="009C5EFD">
      <w:pPr>
        <w:rPr>
          <w:del w:id="3835" w:author="AbbVie02no" w:date="2025-05-15T12:36:00Z"/>
          <w:sz w:val="22"/>
          <w:szCs w:val="22"/>
        </w:rPr>
      </w:pPr>
      <w:del w:id="3836" w:author="AbbVie02no" w:date="2025-05-15T12:36:00Z">
        <w:r w:rsidRPr="009C5EFD">
          <w:rPr>
            <w:sz w:val="22"/>
            <w:szCs w:val="22"/>
          </w:rPr>
          <w:delText xml:space="preserve">Hos voksne pasienter med psoriasis var gjennomsnittlig </w:delText>
        </w:r>
        <w:r w:rsidR="00B125D2">
          <w:rPr>
            <w:sz w:val="22"/>
            <w:szCs w:val="22"/>
          </w:rPr>
          <w:delText>bunn</w:delText>
        </w:r>
        <w:r w:rsidRPr="009C5EFD">
          <w:rPr>
            <w:sz w:val="22"/>
            <w:szCs w:val="22"/>
          </w:rPr>
          <w:delText xml:space="preserve">konsentrasjon ved steady-state 5 mikrog/ml under monoterapibehandling med </w:delText>
        </w:r>
        <w:r w:rsidR="00F7312C" w:rsidRPr="009C5EFD">
          <w:rPr>
            <w:sz w:val="22"/>
            <w:szCs w:val="22"/>
          </w:rPr>
          <w:delText xml:space="preserve">40 mg </w:delText>
        </w:r>
        <w:r w:rsidRPr="009C5EFD">
          <w:rPr>
            <w:sz w:val="22"/>
            <w:szCs w:val="22"/>
          </w:rPr>
          <w:delText>adalimumab annenhver uke.</w:delText>
        </w:r>
      </w:del>
    </w:p>
    <w:p w14:paraId="38B4273C" w14:textId="665B9551" w:rsidR="000C343B" w:rsidRDefault="000C343B" w:rsidP="009C5EFD">
      <w:pPr>
        <w:rPr>
          <w:del w:id="3837" w:author="AbbVie02no" w:date="2025-05-15T12:36:00Z"/>
          <w:sz w:val="22"/>
          <w:szCs w:val="22"/>
        </w:rPr>
      </w:pPr>
    </w:p>
    <w:p w14:paraId="7251FEE3" w14:textId="0F67D695" w:rsidR="0092410A" w:rsidRDefault="00E453CD" w:rsidP="00AB7697">
      <w:pPr>
        <w:autoSpaceDE w:val="0"/>
        <w:autoSpaceDN w:val="0"/>
        <w:adjustRightInd w:val="0"/>
        <w:rPr>
          <w:del w:id="3838" w:author="AbbVie02no" w:date="2025-05-15T12:36:00Z"/>
          <w:rFonts w:eastAsia="TimesNewRoman"/>
          <w:sz w:val="22"/>
          <w:szCs w:val="22"/>
        </w:rPr>
      </w:pPr>
      <w:del w:id="3839" w:author="AbbVie02no" w:date="2025-05-15T12:36:00Z">
        <w:r w:rsidRPr="009C5EFD">
          <w:rPr>
            <w:rFonts w:eastAsia="TimesNewRoman"/>
            <w:sz w:val="22"/>
            <w:szCs w:val="22"/>
          </w:rPr>
          <w:delText xml:space="preserve">Hos </w:delText>
        </w:r>
        <w:r>
          <w:rPr>
            <w:rFonts w:eastAsia="TimesNewRoman"/>
            <w:sz w:val="22"/>
            <w:szCs w:val="22"/>
          </w:rPr>
          <w:delText xml:space="preserve">voksne </w:delText>
        </w:r>
        <w:r w:rsidRPr="009C5EFD">
          <w:rPr>
            <w:rFonts w:eastAsia="TimesNewRoman"/>
            <w:sz w:val="22"/>
            <w:szCs w:val="22"/>
          </w:rPr>
          <w:delText xml:space="preserve">pasienter med hidrosadenitt gir en dose på 160 mg Humira ved uke 0 etterfulgt av 80 mg ved uke 2 en </w:delText>
        </w:r>
        <w:r w:rsidR="00357C88">
          <w:rPr>
            <w:rFonts w:eastAsia="TimesNewRoman"/>
            <w:sz w:val="22"/>
            <w:szCs w:val="22"/>
          </w:rPr>
          <w:delText>bunn</w:delText>
        </w:r>
        <w:r w:rsidRPr="009C5EFD">
          <w:rPr>
            <w:rFonts w:eastAsia="TimesNewRoman"/>
            <w:sz w:val="22"/>
            <w:szCs w:val="22"/>
          </w:rPr>
          <w:delText xml:space="preserve">konsentrasjon av adalimumab i serum på ca. 7 til 8 mikrog/ml ved uke 2 og uke 4. Gjennomsnittlig </w:delText>
        </w:r>
        <w:r w:rsidR="00B125D2">
          <w:rPr>
            <w:rFonts w:eastAsia="TimesNewRoman"/>
            <w:sz w:val="22"/>
            <w:szCs w:val="22"/>
          </w:rPr>
          <w:delText>bunn</w:delText>
        </w:r>
        <w:r w:rsidRPr="009C5EFD">
          <w:rPr>
            <w:rFonts w:eastAsia="TimesNewRoman"/>
            <w:sz w:val="22"/>
            <w:szCs w:val="22"/>
          </w:rPr>
          <w:delText xml:space="preserve">konsentrasjon i serum ved steady-state </w:delText>
        </w:r>
        <w:r>
          <w:rPr>
            <w:rFonts w:eastAsia="TimesNewRoman"/>
            <w:sz w:val="22"/>
            <w:szCs w:val="22"/>
          </w:rPr>
          <w:delText>fra</w:delText>
        </w:r>
        <w:r w:rsidRPr="009C5EFD">
          <w:rPr>
            <w:rFonts w:eastAsia="TimesNewRoman"/>
            <w:sz w:val="22"/>
            <w:szCs w:val="22"/>
          </w:rPr>
          <w:delText xml:space="preserve"> uke 12 </w:delText>
        </w:r>
        <w:r w:rsidR="008138BF">
          <w:rPr>
            <w:rFonts w:eastAsia="TimesNewRoman"/>
            <w:sz w:val="22"/>
            <w:szCs w:val="22"/>
          </w:rPr>
          <w:delText>til og med uke 36</w:delText>
        </w:r>
        <w:r w:rsidRPr="009C5EFD">
          <w:rPr>
            <w:rFonts w:eastAsia="TimesNewRoman"/>
            <w:sz w:val="22"/>
            <w:szCs w:val="22"/>
          </w:rPr>
          <w:delText xml:space="preserve"> var ca. 8 til 10 mikrog/ml under behandling med 40 mg adalimumab hver uke.</w:delText>
        </w:r>
      </w:del>
    </w:p>
    <w:p w14:paraId="4EAC3F5A" w14:textId="1D9FCE39" w:rsidR="002A085C" w:rsidRDefault="002A085C" w:rsidP="00AB7697">
      <w:pPr>
        <w:autoSpaceDE w:val="0"/>
        <w:autoSpaceDN w:val="0"/>
        <w:adjustRightInd w:val="0"/>
        <w:rPr>
          <w:del w:id="3840" w:author="AbbVie02no" w:date="2025-05-15T12:36:00Z"/>
          <w:rFonts w:eastAsia="TimesNewRoman"/>
          <w:sz w:val="22"/>
          <w:szCs w:val="22"/>
        </w:rPr>
      </w:pPr>
    </w:p>
    <w:p w14:paraId="41074752" w14:textId="0627A5A7" w:rsidR="002A085C" w:rsidRDefault="00E453CD" w:rsidP="002A085C">
      <w:pPr>
        <w:rPr>
          <w:del w:id="3841" w:author="AbbVie02no" w:date="2025-05-15T12:36:00Z"/>
          <w:sz w:val="22"/>
          <w:szCs w:val="22"/>
        </w:rPr>
      </w:pPr>
      <w:del w:id="3842" w:author="AbbVie02no" w:date="2025-05-15T12:36:00Z">
        <w:r w:rsidRPr="009C5EFD">
          <w:rPr>
            <w:sz w:val="22"/>
            <w:szCs w:val="22"/>
          </w:rPr>
          <w:delText xml:space="preserve">Hos pasienter med Crohns sykdom </w:delText>
        </w:r>
        <w:r w:rsidR="00F44166">
          <w:rPr>
            <w:sz w:val="22"/>
            <w:szCs w:val="22"/>
          </w:rPr>
          <w:delText>gir en</w:delText>
        </w:r>
        <w:r w:rsidR="00A90260">
          <w:rPr>
            <w:sz w:val="22"/>
            <w:szCs w:val="22"/>
          </w:rPr>
          <w:delText xml:space="preserve"> induksjonsdose på 80 mg ved uke 0 etterfulgt</w:delText>
        </w:r>
        <w:r w:rsidR="00F44166">
          <w:rPr>
            <w:sz w:val="22"/>
            <w:szCs w:val="22"/>
          </w:rPr>
          <w:delText xml:space="preserve"> av 40 mg Humira ved uke 2</w:delText>
        </w:r>
        <w:r w:rsidRPr="009C5EFD">
          <w:rPr>
            <w:sz w:val="22"/>
            <w:szCs w:val="22"/>
          </w:rPr>
          <w:delText xml:space="preserve"> </w:delText>
        </w:r>
        <w:r w:rsidR="000322BD">
          <w:rPr>
            <w:sz w:val="22"/>
            <w:szCs w:val="22"/>
          </w:rPr>
          <w:delText xml:space="preserve">en </w:delText>
        </w:r>
        <w:r w:rsidR="00B125D2">
          <w:rPr>
            <w:sz w:val="22"/>
            <w:szCs w:val="22"/>
          </w:rPr>
          <w:delText>bunn</w:delText>
        </w:r>
        <w:r w:rsidR="00F44166">
          <w:rPr>
            <w:sz w:val="22"/>
            <w:szCs w:val="22"/>
          </w:rPr>
          <w:delText xml:space="preserve">konsentrasjon </w:delText>
        </w:r>
        <w:r w:rsidRPr="009C5EFD">
          <w:rPr>
            <w:sz w:val="22"/>
            <w:szCs w:val="22"/>
          </w:rPr>
          <w:delText xml:space="preserve"> av adalimumab i</w:delText>
        </w:r>
        <w:r w:rsidRPr="009C5EFD">
          <w:rPr>
            <w:color w:val="000000"/>
            <w:sz w:val="22"/>
            <w:szCs w:val="22"/>
          </w:rPr>
          <w:delText xml:space="preserve"> </w:delText>
        </w:r>
        <w:r w:rsidR="00F44166">
          <w:rPr>
            <w:color w:val="000000"/>
            <w:sz w:val="22"/>
            <w:szCs w:val="22"/>
          </w:rPr>
          <w:delText xml:space="preserve">serum på omtrent </w:delText>
        </w:r>
        <w:r w:rsidRPr="009C5EFD">
          <w:rPr>
            <w:sz w:val="22"/>
            <w:szCs w:val="22"/>
          </w:rPr>
          <w:delText xml:space="preserve">5,5 mikrog/ml </w:delText>
        </w:r>
        <w:r w:rsidR="00F44166">
          <w:rPr>
            <w:sz w:val="22"/>
            <w:szCs w:val="22"/>
          </w:rPr>
          <w:delText xml:space="preserve">under </w:delText>
        </w:r>
        <w:r w:rsidRPr="009C5EFD">
          <w:rPr>
            <w:sz w:val="22"/>
            <w:szCs w:val="22"/>
          </w:rPr>
          <w:delText>induksjons</w:delText>
        </w:r>
        <w:r w:rsidR="00F44166">
          <w:rPr>
            <w:sz w:val="22"/>
            <w:szCs w:val="22"/>
          </w:rPr>
          <w:delText>perioden</w:delText>
        </w:r>
        <w:r w:rsidRPr="009C5EFD">
          <w:rPr>
            <w:sz w:val="22"/>
            <w:szCs w:val="22"/>
          </w:rPr>
          <w:delText xml:space="preserve">. </w:delText>
        </w:r>
        <w:r w:rsidR="008326C2">
          <w:rPr>
            <w:sz w:val="22"/>
            <w:szCs w:val="22"/>
          </w:rPr>
          <w:delText>En</w:delText>
        </w:r>
        <w:r w:rsidRPr="009C5EFD">
          <w:rPr>
            <w:sz w:val="22"/>
            <w:szCs w:val="22"/>
          </w:rPr>
          <w:delText xml:space="preserve"> induksjons</w:delText>
        </w:r>
        <w:r w:rsidRPr="009C5EFD">
          <w:rPr>
            <w:color w:val="000000"/>
            <w:sz w:val="22"/>
            <w:szCs w:val="22"/>
          </w:rPr>
          <w:delText>dose</w:delText>
        </w:r>
        <w:r w:rsidRPr="009C5EFD">
          <w:rPr>
            <w:sz w:val="22"/>
            <w:szCs w:val="22"/>
          </w:rPr>
          <w:delText xml:space="preserve"> </w:delText>
        </w:r>
        <w:r w:rsidR="008326C2">
          <w:rPr>
            <w:sz w:val="22"/>
            <w:szCs w:val="22"/>
          </w:rPr>
          <w:delText xml:space="preserve">på </w:delText>
        </w:r>
        <w:r w:rsidRPr="009C5EFD">
          <w:rPr>
            <w:sz w:val="22"/>
            <w:szCs w:val="22"/>
          </w:rPr>
          <w:delText xml:space="preserve">160 mg Humira ved uke 0 etterfulgt av 80 mg Humira ved uke 2 </w:delText>
        </w:r>
        <w:r w:rsidR="0092410A">
          <w:rPr>
            <w:sz w:val="22"/>
            <w:szCs w:val="22"/>
          </w:rPr>
          <w:delText>gav en</w:delText>
        </w:r>
        <w:r w:rsidRPr="009C5EFD">
          <w:rPr>
            <w:sz w:val="22"/>
            <w:szCs w:val="22"/>
          </w:rPr>
          <w:delText xml:space="preserve"> </w:delText>
        </w:r>
        <w:r w:rsidR="00B125D2">
          <w:rPr>
            <w:sz w:val="22"/>
            <w:szCs w:val="22"/>
          </w:rPr>
          <w:delText>bunn</w:delText>
        </w:r>
        <w:r w:rsidR="00F44166">
          <w:rPr>
            <w:sz w:val="22"/>
            <w:szCs w:val="22"/>
          </w:rPr>
          <w:delText>konsentrasjon</w:delText>
        </w:r>
        <w:r w:rsidRPr="009C5EFD">
          <w:rPr>
            <w:sz w:val="22"/>
            <w:szCs w:val="22"/>
          </w:rPr>
          <w:delText xml:space="preserve"> av adalimumab</w:delText>
        </w:r>
        <w:r w:rsidR="00F44166">
          <w:rPr>
            <w:sz w:val="22"/>
            <w:szCs w:val="22"/>
          </w:rPr>
          <w:delText xml:space="preserve"> i serum</w:delText>
        </w:r>
        <w:r w:rsidRPr="009C5EFD">
          <w:rPr>
            <w:sz w:val="22"/>
            <w:szCs w:val="22"/>
          </w:rPr>
          <w:delText xml:space="preserve"> </w:delText>
        </w:r>
        <w:r w:rsidR="0092410A">
          <w:rPr>
            <w:sz w:val="22"/>
            <w:szCs w:val="22"/>
          </w:rPr>
          <w:delText xml:space="preserve">på </w:delText>
        </w:r>
        <w:r w:rsidRPr="009C5EFD">
          <w:rPr>
            <w:sz w:val="22"/>
            <w:szCs w:val="22"/>
          </w:rPr>
          <w:delText>ca. 12 mikrog/ml</w:delText>
        </w:r>
        <w:r w:rsidRPr="009C5EFD">
          <w:rPr>
            <w:color w:val="000000"/>
            <w:sz w:val="22"/>
            <w:szCs w:val="22"/>
          </w:rPr>
          <w:delText xml:space="preserve"> i induksjonsperioden</w:delText>
        </w:r>
        <w:r w:rsidRPr="009C5EFD">
          <w:rPr>
            <w:sz w:val="22"/>
            <w:szCs w:val="22"/>
          </w:rPr>
          <w:delText xml:space="preserve">. Gjennomsnittlige </w:delText>
        </w:r>
        <w:r w:rsidR="00B125D2">
          <w:rPr>
            <w:sz w:val="22"/>
            <w:szCs w:val="22"/>
          </w:rPr>
          <w:delText>bunn</w:delText>
        </w:r>
        <w:r w:rsidRPr="009C5EFD">
          <w:rPr>
            <w:sz w:val="22"/>
            <w:szCs w:val="22"/>
          </w:rPr>
          <w:delText xml:space="preserve">nivåer ved steady-state på ca. 7 mikrog/ml ble observert hos pasienter med Crohns sykdom som fikk </w:delText>
        </w:r>
        <w:r w:rsidR="0092410A">
          <w:rPr>
            <w:sz w:val="22"/>
            <w:szCs w:val="22"/>
          </w:rPr>
          <w:delText xml:space="preserve">en </w:delText>
        </w:r>
        <w:r w:rsidRPr="009C5EFD">
          <w:rPr>
            <w:sz w:val="22"/>
            <w:szCs w:val="22"/>
          </w:rPr>
          <w:delText xml:space="preserve">vedlikeholdsdose </w:delText>
        </w:r>
        <w:r w:rsidR="0092410A">
          <w:rPr>
            <w:sz w:val="22"/>
            <w:szCs w:val="22"/>
          </w:rPr>
          <w:delText xml:space="preserve">på </w:delText>
        </w:r>
        <w:r w:rsidRPr="009C5EFD">
          <w:rPr>
            <w:sz w:val="22"/>
            <w:szCs w:val="22"/>
          </w:rPr>
          <w:delText>40 mg Humira annenhver uke.</w:delText>
        </w:r>
      </w:del>
    </w:p>
    <w:p w14:paraId="4F47F6A5" w14:textId="3A0AA85F" w:rsidR="00501579" w:rsidRDefault="00501579" w:rsidP="002A085C">
      <w:pPr>
        <w:rPr>
          <w:del w:id="3843" w:author="AbbVie02no" w:date="2025-05-15T12:36:00Z"/>
          <w:sz w:val="22"/>
          <w:szCs w:val="22"/>
        </w:rPr>
      </w:pPr>
    </w:p>
    <w:p w14:paraId="16CDFA53" w14:textId="674869CF" w:rsidR="0015674E" w:rsidRPr="00501579" w:rsidRDefault="00E453CD" w:rsidP="0015674E">
      <w:pPr>
        <w:rPr>
          <w:del w:id="3844" w:author="AbbVie02no" w:date="2025-05-15T12:36:00Z"/>
          <w:sz w:val="22"/>
          <w:szCs w:val="22"/>
        </w:rPr>
      </w:pPr>
      <w:del w:id="3845" w:author="AbbVie02no" w:date="2025-05-15T12:36:00Z">
        <w:r w:rsidRPr="00E04B2A">
          <w:rPr>
            <w:sz w:val="22"/>
          </w:rPr>
          <w:delText>Etter subkutan administr</w:delText>
        </w:r>
        <w:r w:rsidR="00327C7A">
          <w:rPr>
            <w:sz w:val="22"/>
          </w:rPr>
          <w:delText>asjon</w:delText>
        </w:r>
        <w:r w:rsidRPr="00E04B2A">
          <w:rPr>
            <w:sz w:val="22"/>
          </w:rPr>
          <w:delText xml:space="preserve"> av </w:delText>
        </w:r>
        <w:r>
          <w:rPr>
            <w:sz w:val="22"/>
          </w:rPr>
          <w:delText>en dose</w:delText>
        </w:r>
        <w:r w:rsidR="00327C7A">
          <w:rPr>
            <w:sz w:val="22"/>
          </w:rPr>
          <w:delText xml:space="preserve"> basert på kroppsvekten</w:delText>
        </w:r>
        <w:r>
          <w:rPr>
            <w:sz w:val="22"/>
          </w:rPr>
          <w:delText xml:space="preserve"> </w:delText>
        </w:r>
        <w:r w:rsidRPr="00E04B2A">
          <w:rPr>
            <w:sz w:val="22"/>
          </w:rPr>
          <w:delText>på 0,6</w:delText>
        </w:r>
        <w:r>
          <w:rPr>
            <w:sz w:val="22"/>
          </w:rPr>
          <w:delText> </w:delText>
        </w:r>
        <w:r w:rsidRPr="00E04B2A">
          <w:rPr>
            <w:sz w:val="22"/>
          </w:rPr>
          <w:delText>mg/kg (maksimalt 40</w:delText>
        </w:r>
        <w:r>
          <w:rPr>
            <w:sz w:val="22"/>
          </w:rPr>
          <w:delText> </w:delText>
        </w:r>
        <w:r w:rsidRPr="00E04B2A">
          <w:rPr>
            <w:sz w:val="22"/>
          </w:rPr>
          <w:delText>mg) annenhver uke</w:delText>
        </w:r>
        <w:r>
          <w:rPr>
            <w:sz w:val="22"/>
          </w:rPr>
          <w:delText xml:space="preserve"> </w:delText>
        </w:r>
        <w:r w:rsidRPr="00E04B2A">
          <w:rPr>
            <w:sz w:val="22"/>
          </w:rPr>
          <w:delText>til pediatriske pasienter med ulcerøs kolitt, var</w:delText>
        </w:r>
        <w:r>
          <w:rPr>
            <w:sz w:val="22"/>
          </w:rPr>
          <w:delText xml:space="preserve"> </w:delText>
        </w:r>
        <w:r w:rsidRPr="00E04B2A">
          <w:rPr>
            <w:sz w:val="22"/>
          </w:rPr>
          <w:delText>gjennomsnittlig</w:delText>
        </w:r>
        <w:r>
          <w:rPr>
            <w:sz w:val="22"/>
          </w:rPr>
          <w:delText xml:space="preserve"> bunn</w:delText>
        </w:r>
        <w:r w:rsidRPr="00E04B2A">
          <w:rPr>
            <w:sz w:val="22"/>
          </w:rPr>
          <w:delText>konsentrasjon av adalimumab</w:delText>
        </w:r>
        <w:r>
          <w:rPr>
            <w:sz w:val="22"/>
          </w:rPr>
          <w:delText xml:space="preserve"> i serum </w:delText>
        </w:r>
        <w:r w:rsidRPr="009C5EFD">
          <w:rPr>
            <w:sz w:val="22"/>
            <w:szCs w:val="22"/>
          </w:rPr>
          <w:delText>ved steady-state</w:delText>
        </w:r>
        <w:r w:rsidRPr="00E04B2A">
          <w:rPr>
            <w:sz w:val="22"/>
          </w:rPr>
          <w:delText xml:space="preserve"> 5,01</w:delText>
        </w:r>
        <w:r>
          <w:rPr>
            <w:sz w:val="22"/>
          </w:rPr>
          <w:delText> </w:delText>
        </w:r>
        <w:r w:rsidRPr="00E04B2A">
          <w:rPr>
            <w:sz w:val="22"/>
          </w:rPr>
          <w:delText>±</w:delText>
        </w:r>
        <w:r>
          <w:rPr>
            <w:sz w:val="22"/>
          </w:rPr>
          <w:delText> </w:delText>
        </w:r>
        <w:r w:rsidRPr="00E04B2A">
          <w:rPr>
            <w:sz w:val="22"/>
          </w:rPr>
          <w:delText>3,28 </w:delText>
        </w:r>
        <w:r>
          <w:rPr>
            <w:sz w:val="22"/>
          </w:rPr>
          <w:delText>mikrog</w:delText>
        </w:r>
        <w:r w:rsidRPr="00E04B2A">
          <w:rPr>
            <w:sz w:val="22"/>
          </w:rPr>
          <w:delText xml:space="preserve">/ml </w:delText>
        </w:r>
        <w:r>
          <w:rPr>
            <w:sz w:val="22"/>
          </w:rPr>
          <w:delText>ved</w:delText>
        </w:r>
        <w:r w:rsidRPr="00E04B2A">
          <w:rPr>
            <w:sz w:val="22"/>
          </w:rPr>
          <w:delText xml:space="preserve"> uke 52. For pasienter som fikk 0,6</w:delText>
        </w:r>
        <w:r>
          <w:rPr>
            <w:sz w:val="22"/>
          </w:rPr>
          <w:delText> </w:delText>
        </w:r>
        <w:r w:rsidRPr="00E04B2A">
          <w:rPr>
            <w:sz w:val="22"/>
          </w:rPr>
          <w:delText>mg/kg (maksimalt 40</w:delText>
        </w:r>
        <w:r>
          <w:rPr>
            <w:sz w:val="22"/>
          </w:rPr>
          <w:delText> </w:delText>
        </w:r>
        <w:r w:rsidRPr="00E04B2A">
          <w:rPr>
            <w:sz w:val="22"/>
          </w:rPr>
          <w:delText>mg) hver uke var gjennomsnittlig (± SD)</w:delText>
        </w:r>
        <w:r>
          <w:rPr>
            <w:sz w:val="22"/>
          </w:rPr>
          <w:delText xml:space="preserve"> bunn</w:delText>
        </w:r>
        <w:r w:rsidRPr="00E04B2A">
          <w:rPr>
            <w:sz w:val="22"/>
          </w:rPr>
          <w:delText xml:space="preserve">konsentrasjon </w:delText>
        </w:r>
        <w:r>
          <w:rPr>
            <w:sz w:val="22"/>
          </w:rPr>
          <w:delText xml:space="preserve">av </w:delText>
        </w:r>
        <w:r w:rsidRPr="00E04B2A">
          <w:rPr>
            <w:sz w:val="22"/>
          </w:rPr>
          <w:delText>adalimumab</w:delText>
        </w:r>
        <w:r>
          <w:rPr>
            <w:sz w:val="22"/>
          </w:rPr>
          <w:delText xml:space="preserve"> </w:delText>
        </w:r>
        <w:r w:rsidRPr="009C5EFD">
          <w:rPr>
            <w:sz w:val="22"/>
            <w:szCs w:val="22"/>
          </w:rPr>
          <w:delText xml:space="preserve">ved steady-state </w:delText>
        </w:r>
        <w:r w:rsidRPr="00E04B2A">
          <w:rPr>
            <w:sz w:val="22"/>
          </w:rPr>
          <w:delText>15,7 ±</w:delText>
        </w:r>
        <w:r>
          <w:rPr>
            <w:sz w:val="22"/>
          </w:rPr>
          <w:delText> </w:delText>
        </w:r>
        <w:r w:rsidRPr="00E04B2A">
          <w:rPr>
            <w:sz w:val="22"/>
          </w:rPr>
          <w:delText>5,60 </w:delText>
        </w:r>
        <w:r>
          <w:rPr>
            <w:sz w:val="22"/>
          </w:rPr>
          <w:delText>mikro</w:delText>
        </w:r>
        <w:r w:rsidRPr="00E04B2A">
          <w:rPr>
            <w:sz w:val="22"/>
          </w:rPr>
          <w:delText xml:space="preserve">g/ml </w:delText>
        </w:r>
        <w:r>
          <w:rPr>
            <w:sz w:val="22"/>
          </w:rPr>
          <w:delText>ved</w:delText>
        </w:r>
        <w:r w:rsidRPr="00E04B2A">
          <w:rPr>
            <w:sz w:val="22"/>
          </w:rPr>
          <w:delText xml:space="preserve"> uke 52.</w:delText>
        </w:r>
      </w:del>
    </w:p>
    <w:p w14:paraId="77090895" w14:textId="60101D23" w:rsidR="002A085C" w:rsidRDefault="002A085C" w:rsidP="00AB7697">
      <w:pPr>
        <w:autoSpaceDE w:val="0"/>
        <w:autoSpaceDN w:val="0"/>
        <w:adjustRightInd w:val="0"/>
        <w:rPr>
          <w:del w:id="3846" w:author="AbbVie02no" w:date="2025-05-15T12:36:00Z"/>
          <w:rFonts w:eastAsia="TimesNewRoman"/>
          <w:sz w:val="22"/>
          <w:szCs w:val="22"/>
        </w:rPr>
      </w:pPr>
    </w:p>
    <w:p w14:paraId="309B3271" w14:textId="4F2BE9FF" w:rsidR="002A085C" w:rsidRDefault="00E453CD" w:rsidP="002A085C">
      <w:pPr>
        <w:autoSpaceDE w:val="0"/>
        <w:autoSpaceDN w:val="0"/>
        <w:adjustRightInd w:val="0"/>
        <w:rPr>
          <w:del w:id="3847" w:author="AbbVie02no" w:date="2025-05-15T12:36:00Z"/>
          <w:sz w:val="22"/>
          <w:szCs w:val="22"/>
        </w:rPr>
      </w:pPr>
      <w:del w:id="3848" w:author="AbbVie02no" w:date="2025-05-15T12:36:00Z">
        <w:r>
          <w:rPr>
            <w:sz w:val="22"/>
            <w:szCs w:val="22"/>
          </w:rPr>
          <w:delText xml:space="preserve">En </w:delText>
        </w:r>
        <w:r w:rsidR="0092410A">
          <w:rPr>
            <w:sz w:val="22"/>
            <w:szCs w:val="22"/>
          </w:rPr>
          <w:delText>induksjon</w:delText>
        </w:r>
        <w:r>
          <w:rPr>
            <w:sz w:val="22"/>
            <w:szCs w:val="22"/>
          </w:rPr>
          <w:delText>sdose på 80 mg adalimumab ved uke 0 etterfulgt av 40 mg adalimumab annenhver uke med start fra uke 1 hos voksne pasienter med uveitt, resulterte i g</w:delText>
        </w:r>
        <w:r w:rsidRPr="00994C9E">
          <w:rPr>
            <w:sz w:val="22"/>
            <w:szCs w:val="22"/>
          </w:rPr>
          <w:delText xml:space="preserve">jennomsnittlige steady-state </w:delText>
        </w:r>
        <w:r>
          <w:rPr>
            <w:sz w:val="22"/>
            <w:szCs w:val="22"/>
          </w:rPr>
          <w:delText xml:space="preserve">konsentrasjoner </w:delText>
        </w:r>
        <w:r w:rsidRPr="00994C9E">
          <w:rPr>
            <w:sz w:val="22"/>
            <w:szCs w:val="22"/>
          </w:rPr>
          <w:delText>på ca. 8</w:delText>
        </w:r>
        <w:r>
          <w:rPr>
            <w:sz w:val="22"/>
            <w:szCs w:val="22"/>
          </w:rPr>
          <w:delText xml:space="preserve">-10 </w:delText>
        </w:r>
        <w:r w:rsidRPr="00994C9E">
          <w:rPr>
            <w:sz w:val="22"/>
            <w:szCs w:val="22"/>
          </w:rPr>
          <w:delText>mikrog/ml</w:delText>
        </w:r>
        <w:r>
          <w:rPr>
            <w:sz w:val="22"/>
            <w:szCs w:val="22"/>
          </w:rPr>
          <w:delText>.</w:delText>
        </w:r>
      </w:del>
    </w:p>
    <w:p w14:paraId="4CEAEBB2" w14:textId="62BCB014" w:rsidR="002A085C" w:rsidRDefault="002A085C" w:rsidP="00AB7697">
      <w:pPr>
        <w:autoSpaceDE w:val="0"/>
        <w:autoSpaceDN w:val="0"/>
        <w:adjustRightInd w:val="0"/>
        <w:rPr>
          <w:del w:id="3849" w:author="AbbVie02no" w:date="2025-05-15T12:36:00Z"/>
          <w:rFonts w:eastAsia="TimesNewRoman"/>
          <w:sz w:val="22"/>
          <w:szCs w:val="22"/>
        </w:rPr>
      </w:pPr>
    </w:p>
    <w:p w14:paraId="6B60F2EA" w14:textId="2367A46F" w:rsidR="009421F3" w:rsidRPr="009421F3" w:rsidRDefault="00E453CD">
      <w:pPr>
        <w:rPr>
          <w:del w:id="3850" w:author="AbbVie02no" w:date="2025-05-15T12:36:00Z"/>
          <w:sz w:val="22"/>
          <w:szCs w:val="22"/>
        </w:rPr>
      </w:pPr>
      <w:del w:id="3851" w:author="AbbVie02no" w:date="2025-05-15T12:36:00Z">
        <w:r w:rsidRPr="00AF70AD">
          <w:rPr>
            <w:sz w:val="22"/>
            <w:szCs w:val="22"/>
          </w:rPr>
          <w:delText>Farmakokinetisk populasjons- og farmakokinetisk/farmakodynamisk modellering og simulering antar sammenlignbar eksponering og effekt av adalimumab hos pasienter behandlet med 80</w:delText>
        </w:r>
        <w:r w:rsidR="003F1F81">
          <w:rPr>
            <w:sz w:val="22"/>
            <w:szCs w:val="22"/>
          </w:rPr>
          <w:delText> </w:delText>
        </w:r>
        <w:r w:rsidRPr="00AF70AD">
          <w:rPr>
            <w:sz w:val="22"/>
            <w:szCs w:val="22"/>
          </w:rPr>
          <w:delText>mg annenhver uke sammenlignet med 40</w:delText>
        </w:r>
        <w:r w:rsidR="003F1F81">
          <w:rPr>
            <w:sz w:val="22"/>
            <w:szCs w:val="22"/>
          </w:rPr>
          <w:delText> </w:delText>
        </w:r>
        <w:r w:rsidRPr="00AF70AD">
          <w:rPr>
            <w:sz w:val="22"/>
            <w:szCs w:val="22"/>
          </w:rPr>
          <w:delText>mg hver uke (inkludert voksne pasienter med RA, HS, UC, CD eller Ps, ungdom med HS, og pediatriske pasienter ≥</w:delText>
        </w:r>
        <w:r w:rsidR="003F1F81">
          <w:rPr>
            <w:sz w:val="22"/>
            <w:szCs w:val="22"/>
          </w:rPr>
          <w:delText> </w:delText>
        </w:r>
        <w:r w:rsidRPr="00AF70AD">
          <w:rPr>
            <w:sz w:val="22"/>
            <w:szCs w:val="22"/>
          </w:rPr>
          <w:delText>40</w:delText>
        </w:r>
        <w:r w:rsidR="003F1F81">
          <w:rPr>
            <w:sz w:val="22"/>
            <w:szCs w:val="22"/>
          </w:rPr>
          <w:delText> </w:delText>
        </w:r>
        <w:r w:rsidRPr="00AF70AD">
          <w:rPr>
            <w:sz w:val="22"/>
            <w:szCs w:val="22"/>
          </w:rPr>
          <w:delText>kg med CD</w:delText>
        </w:r>
        <w:r w:rsidR="00501579">
          <w:rPr>
            <w:sz w:val="22"/>
            <w:szCs w:val="22"/>
          </w:rPr>
          <w:delText xml:space="preserve"> og UC</w:delText>
        </w:r>
        <w:r w:rsidRPr="00AF70AD">
          <w:rPr>
            <w:sz w:val="22"/>
            <w:szCs w:val="22"/>
          </w:rPr>
          <w:delText>).</w:delText>
        </w:r>
      </w:del>
    </w:p>
    <w:p w14:paraId="0153E064" w14:textId="5A1C0718" w:rsidR="00717E3B" w:rsidRPr="009C5EFD" w:rsidRDefault="00717E3B" w:rsidP="009C5EFD">
      <w:pPr>
        <w:rPr>
          <w:del w:id="3852" w:author="AbbVie02no" w:date="2025-05-15T12:36:00Z"/>
          <w:sz w:val="22"/>
          <w:szCs w:val="22"/>
          <w:u w:val="single"/>
        </w:rPr>
      </w:pPr>
    </w:p>
    <w:p w14:paraId="09D406AB" w14:textId="40E673E3" w:rsidR="008B484F" w:rsidRPr="009C5EFD" w:rsidRDefault="00E453CD" w:rsidP="00D61E9B">
      <w:pPr>
        <w:keepNext/>
        <w:rPr>
          <w:del w:id="3853" w:author="AbbVie02no" w:date="2025-05-15T12:36:00Z"/>
          <w:sz w:val="22"/>
          <w:szCs w:val="22"/>
          <w:u w:val="single"/>
        </w:rPr>
      </w:pPr>
      <w:del w:id="3854" w:author="AbbVie02no" w:date="2025-05-15T12:36:00Z">
        <w:r w:rsidRPr="009C5EFD">
          <w:rPr>
            <w:sz w:val="22"/>
            <w:szCs w:val="22"/>
            <w:u w:val="single"/>
          </w:rPr>
          <w:delText>Elimin</w:delText>
        </w:r>
        <w:r w:rsidR="00FC5790" w:rsidRPr="009C5EFD">
          <w:rPr>
            <w:sz w:val="22"/>
            <w:szCs w:val="22"/>
            <w:u w:val="single"/>
          </w:rPr>
          <w:delText>asjon</w:delText>
        </w:r>
      </w:del>
    </w:p>
    <w:p w14:paraId="2610734A" w14:textId="63F8A9B4" w:rsidR="00DE3458" w:rsidRPr="009C5EFD" w:rsidRDefault="00DE3458" w:rsidP="00D61E9B">
      <w:pPr>
        <w:keepNext/>
        <w:rPr>
          <w:del w:id="3855" w:author="AbbVie02no" w:date="2025-05-15T12:36:00Z"/>
          <w:sz w:val="22"/>
          <w:szCs w:val="22"/>
        </w:rPr>
      </w:pPr>
    </w:p>
    <w:p w14:paraId="6023A074" w14:textId="5A3C9144" w:rsidR="008B484F" w:rsidRPr="009C5EFD" w:rsidRDefault="00E453CD" w:rsidP="00776A84">
      <w:pPr>
        <w:rPr>
          <w:del w:id="3856" w:author="AbbVie02no" w:date="2025-05-15T12:36:00Z"/>
          <w:sz w:val="22"/>
          <w:szCs w:val="22"/>
        </w:rPr>
      </w:pPr>
      <w:del w:id="3857" w:author="AbbVie02no" w:date="2025-05-15T12:36:00Z">
        <w:r w:rsidRPr="009C5EFD">
          <w:rPr>
            <w:sz w:val="22"/>
            <w:szCs w:val="22"/>
          </w:rPr>
          <w:delText>F</w:delText>
        </w:r>
        <w:r w:rsidR="00DE3458" w:rsidRPr="009C5EFD">
          <w:rPr>
            <w:sz w:val="22"/>
            <w:szCs w:val="22"/>
          </w:rPr>
          <w:delText xml:space="preserve">armakokinetiske </w:delText>
        </w:r>
        <w:r w:rsidRPr="009C5EFD">
          <w:rPr>
            <w:sz w:val="22"/>
            <w:szCs w:val="22"/>
          </w:rPr>
          <w:delText>populasjons</w:delText>
        </w:r>
        <w:r w:rsidR="00DE3458" w:rsidRPr="009C5EFD">
          <w:rPr>
            <w:sz w:val="22"/>
            <w:szCs w:val="22"/>
          </w:rPr>
          <w:delText xml:space="preserve">analyser med data fra over 1300 RA-pasienter </w:delText>
        </w:r>
        <w:r w:rsidR="00FA0A10" w:rsidRPr="009C5EFD">
          <w:rPr>
            <w:sz w:val="22"/>
            <w:szCs w:val="22"/>
          </w:rPr>
          <w:delText>vis</w:delText>
        </w:r>
        <w:r w:rsidR="00DE3458" w:rsidRPr="009C5EFD">
          <w:rPr>
            <w:sz w:val="22"/>
            <w:szCs w:val="22"/>
          </w:rPr>
          <w:delText>te en tendens mot høyere tilsynelatende clearance av adalimumab med økende kroppsvekt. Etter korrigering for vektforskjeller, s</w:delText>
        </w:r>
        <w:r w:rsidR="004C082B" w:rsidRPr="009C5EFD">
          <w:rPr>
            <w:sz w:val="22"/>
            <w:szCs w:val="22"/>
          </w:rPr>
          <w:delText>yntes</w:delText>
        </w:r>
        <w:r w:rsidR="00DE3458" w:rsidRPr="009C5EFD">
          <w:rPr>
            <w:sz w:val="22"/>
            <w:szCs w:val="22"/>
          </w:rPr>
          <w:delText xml:space="preserve"> kjønn og alder å ha minimal effekt på clearance av adalimumab. Serumnivåene av fritt adalimumab (ikke bundet til antistoff</w:delText>
        </w:r>
        <w:r w:rsidR="00086CEC" w:rsidRPr="009C5EFD">
          <w:rPr>
            <w:sz w:val="22"/>
            <w:szCs w:val="22"/>
          </w:rPr>
          <w:delText>er</w:delText>
        </w:r>
        <w:r w:rsidR="00DE3458" w:rsidRPr="009C5EFD">
          <w:rPr>
            <w:sz w:val="22"/>
            <w:szCs w:val="22"/>
          </w:rPr>
          <w:delText xml:space="preserve"> mot adalimumab, AAA) ble observert å være lavere hos pasienter med målbart AAA. </w:delText>
        </w:r>
      </w:del>
    </w:p>
    <w:p w14:paraId="51CF7E09" w14:textId="609DB30B" w:rsidR="00F7312C" w:rsidRPr="009C5EFD" w:rsidRDefault="00F7312C" w:rsidP="009C5EFD">
      <w:pPr>
        <w:rPr>
          <w:del w:id="3858" w:author="AbbVie02no" w:date="2025-05-15T12:36:00Z"/>
          <w:sz w:val="22"/>
          <w:szCs w:val="22"/>
        </w:rPr>
      </w:pPr>
    </w:p>
    <w:p w14:paraId="2022F30B" w14:textId="715F7691" w:rsidR="008B484F" w:rsidRPr="009C5EFD" w:rsidRDefault="00E453CD" w:rsidP="0053198B">
      <w:pPr>
        <w:keepNext/>
        <w:rPr>
          <w:del w:id="3859" w:author="AbbVie02no" w:date="2025-05-15T12:36:00Z"/>
          <w:sz w:val="22"/>
          <w:szCs w:val="22"/>
        </w:rPr>
      </w:pPr>
      <w:del w:id="3860" w:author="AbbVie02no" w:date="2025-05-15T12:36:00Z">
        <w:r w:rsidRPr="009C5EFD">
          <w:rPr>
            <w:sz w:val="22"/>
            <w:szCs w:val="22"/>
            <w:u w:val="single"/>
          </w:rPr>
          <w:delText>Nedsatt lever- eller nyrefunksjon</w:delText>
        </w:r>
      </w:del>
    </w:p>
    <w:p w14:paraId="77D2A351" w14:textId="76549D25" w:rsidR="008B484F" w:rsidRPr="009C5EFD" w:rsidRDefault="008B484F" w:rsidP="0053198B">
      <w:pPr>
        <w:keepNext/>
        <w:rPr>
          <w:del w:id="3861" w:author="AbbVie02no" w:date="2025-05-15T12:36:00Z"/>
          <w:sz w:val="22"/>
          <w:szCs w:val="22"/>
        </w:rPr>
      </w:pPr>
    </w:p>
    <w:p w14:paraId="66D04EB6" w14:textId="06B7BB6D" w:rsidR="008B484F" w:rsidRPr="009C5EFD" w:rsidRDefault="00E453CD" w:rsidP="00776A84">
      <w:pPr>
        <w:rPr>
          <w:del w:id="3862" w:author="AbbVie02no" w:date="2025-05-15T12:36:00Z"/>
          <w:sz w:val="22"/>
          <w:szCs w:val="22"/>
        </w:rPr>
      </w:pPr>
      <w:del w:id="3863" w:author="AbbVie02no" w:date="2025-05-15T12:36:00Z">
        <w:r w:rsidRPr="009C5EFD">
          <w:rPr>
            <w:sz w:val="22"/>
            <w:szCs w:val="22"/>
          </w:rPr>
          <w:delText>Humira har ikke blitt undersøkt hos pasienter med nedsatt lever- eller nyrefunksjon.</w:delText>
        </w:r>
      </w:del>
    </w:p>
    <w:p w14:paraId="606898B9" w14:textId="519E0350" w:rsidR="001D34FE" w:rsidRPr="001F5D4B" w:rsidRDefault="001D34FE" w:rsidP="009C5EFD">
      <w:pPr>
        <w:suppressAutoHyphens/>
        <w:rPr>
          <w:del w:id="3864" w:author="AbbVie02no" w:date="2025-05-15T12:36:00Z"/>
          <w:sz w:val="22"/>
          <w:szCs w:val="22"/>
        </w:rPr>
      </w:pPr>
    </w:p>
    <w:p w14:paraId="27B7CDAC" w14:textId="1D716665" w:rsidR="00DE3458" w:rsidRPr="00193D76" w:rsidRDefault="00E453CD" w:rsidP="00776A84">
      <w:pPr>
        <w:keepNext/>
        <w:suppressAutoHyphens/>
        <w:ind w:left="576" w:hanging="576"/>
        <w:rPr>
          <w:del w:id="3865" w:author="AbbVie02no" w:date="2025-05-15T12:36:00Z"/>
          <w:sz w:val="22"/>
          <w:szCs w:val="22"/>
        </w:rPr>
      </w:pPr>
      <w:del w:id="3866" w:author="AbbVie02no" w:date="2025-05-15T12:36:00Z">
        <w:r w:rsidRPr="007F67EE">
          <w:rPr>
            <w:b/>
            <w:sz w:val="22"/>
            <w:szCs w:val="22"/>
          </w:rPr>
          <w:delText>5.3</w:delText>
        </w:r>
        <w:r w:rsidRPr="007F67EE">
          <w:rPr>
            <w:b/>
            <w:sz w:val="22"/>
            <w:szCs w:val="22"/>
          </w:rPr>
          <w:tab/>
          <w:delText>Prekliniske sikkerhetsdata</w:delText>
        </w:r>
      </w:del>
    </w:p>
    <w:p w14:paraId="5159F881" w14:textId="2271EA63" w:rsidR="00DE3458" w:rsidRPr="002D0790" w:rsidRDefault="00DE3458" w:rsidP="00776A84">
      <w:pPr>
        <w:keepNext/>
        <w:rPr>
          <w:del w:id="3867" w:author="AbbVie02no" w:date="2025-05-15T12:36:00Z"/>
          <w:sz w:val="22"/>
          <w:szCs w:val="22"/>
        </w:rPr>
      </w:pPr>
    </w:p>
    <w:p w14:paraId="039F4F79" w14:textId="4A9DC68F" w:rsidR="00DE3458" w:rsidRPr="002D0790" w:rsidRDefault="00E453CD" w:rsidP="009C5EFD">
      <w:pPr>
        <w:rPr>
          <w:del w:id="3868" w:author="AbbVie02no" w:date="2025-05-15T12:36:00Z"/>
          <w:sz w:val="22"/>
          <w:szCs w:val="22"/>
        </w:rPr>
      </w:pPr>
      <w:del w:id="3869" w:author="AbbVie02no" w:date="2025-05-15T12:36:00Z">
        <w:r w:rsidRPr="002D0790">
          <w:rPr>
            <w:sz w:val="22"/>
            <w:szCs w:val="22"/>
          </w:rPr>
          <w:delText>Prekliniske data indikerer ingen spesiell fare for mennesker basert på toksisitetstester etter enkeltdosering, toksisitetstester ved gjentatt dosering eller gentoksisitet.</w:delText>
        </w:r>
      </w:del>
    </w:p>
    <w:p w14:paraId="11B889EF" w14:textId="21D74946" w:rsidR="00A21737" w:rsidRPr="00E14E58" w:rsidRDefault="00A21737" w:rsidP="009C5EFD">
      <w:pPr>
        <w:rPr>
          <w:del w:id="3870" w:author="AbbVie02no" w:date="2025-05-15T12:36:00Z"/>
          <w:sz w:val="22"/>
          <w:szCs w:val="22"/>
        </w:rPr>
      </w:pPr>
    </w:p>
    <w:p w14:paraId="6F905968" w14:textId="46D51014" w:rsidR="00DE3458" w:rsidRPr="009C5EFD" w:rsidRDefault="00E453CD" w:rsidP="009C5EFD">
      <w:pPr>
        <w:rPr>
          <w:del w:id="3871" w:author="AbbVie02no" w:date="2025-05-15T12:36:00Z"/>
          <w:sz w:val="22"/>
          <w:szCs w:val="22"/>
        </w:rPr>
      </w:pPr>
      <w:del w:id="3872" w:author="AbbVie02no" w:date="2025-05-15T12:36:00Z">
        <w:r w:rsidRPr="009C5EFD">
          <w:rPr>
            <w:sz w:val="22"/>
            <w:szCs w:val="22"/>
          </w:rPr>
          <w:delText xml:space="preserve">En studie på </w:delText>
        </w:r>
        <w:r w:rsidR="00581310">
          <w:rPr>
            <w:sz w:val="22"/>
            <w:szCs w:val="22"/>
          </w:rPr>
          <w:delText>embryo</w:delText>
        </w:r>
        <w:r w:rsidRPr="009C5EFD">
          <w:rPr>
            <w:sz w:val="22"/>
            <w:szCs w:val="22"/>
          </w:rPr>
          <w:delText xml:space="preserve">føtal utviklingstoksisitet og perinatal utvikling som </w:delText>
        </w:r>
        <w:r w:rsidR="00E16247" w:rsidRPr="009C5EFD">
          <w:rPr>
            <w:sz w:val="22"/>
            <w:szCs w:val="22"/>
          </w:rPr>
          <w:delText>ble</w:delText>
        </w:r>
        <w:r w:rsidRPr="009C5EFD">
          <w:rPr>
            <w:sz w:val="22"/>
            <w:szCs w:val="22"/>
          </w:rPr>
          <w:delText xml:space="preserve"> utført på </w:delText>
        </w:r>
        <w:r w:rsidR="006B250F">
          <w:rPr>
            <w:sz w:val="22"/>
            <w:szCs w:val="22"/>
          </w:rPr>
          <w:delText>cynomolgus</w:delText>
        </w:r>
        <w:r w:rsidRPr="009C5EFD">
          <w:rPr>
            <w:sz w:val="22"/>
            <w:szCs w:val="22"/>
          </w:rPr>
          <w:delText>-aper ved 0,30 og 100 mg/kg (9-17 aper/gruppe) vist</w:delText>
        </w:r>
        <w:r w:rsidR="00E16247" w:rsidRPr="009C5EFD">
          <w:rPr>
            <w:sz w:val="22"/>
            <w:szCs w:val="22"/>
          </w:rPr>
          <w:delText>e ingen</w:delText>
        </w:r>
        <w:r w:rsidRPr="009C5EFD">
          <w:rPr>
            <w:sz w:val="22"/>
            <w:szCs w:val="22"/>
          </w:rPr>
          <w:delText xml:space="preserve"> tegn til fosterskader som skyld</w:delText>
        </w:r>
        <w:r w:rsidR="00054C35" w:rsidRPr="009C5EFD">
          <w:rPr>
            <w:sz w:val="22"/>
            <w:szCs w:val="22"/>
          </w:rPr>
          <w:delText>t</w:delText>
        </w:r>
        <w:r w:rsidRPr="009C5EFD">
          <w:rPr>
            <w:sz w:val="22"/>
            <w:szCs w:val="22"/>
          </w:rPr>
          <w:delText xml:space="preserve">es adalimumab. Verken karsinogenitetsstudier eller en standardutredning av fertilitet og postnatal toksisitet </w:delText>
        </w:r>
        <w:r w:rsidR="00FA0A10" w:rsidRPr="009C5EFD">
          <w:rPr>
            <w:sz w:val="22"/>
            <w:szCs w:val="22"/>
          </w:rPr>
          <w:delText xml:space="preserve">er </w:delText>
        </w:r>
        <w:r w:rsidRPr="009C5EFD">
          <w:rPr>
            <w:sz w:val="22"/>
            <w:szCs w:val="22"/>
          </w:rPr>
          <w:lastRenderedPageBreak/>
          <w:delText xml:space="preserve">gjennomført med adalimumab på grunn av mangel på egnede modeller på antistoff med begrenset kryss-reaktivitet til TNF fra gnagere, samt utvikling av nøytraliserende antistoffer </w:delText>
        </w:r>
        <w:r w:rsidR="00453956" w:rsidRPr="009C5EFD">
          <w:rPr>
            <w:sz w:val="22"/>
            <w:szCs w:val="22"/>
          </w:rPr>
          <w:delText>hos</w:delText>
        </w:r>
        <w:r w:rsidRPr="009C5EFD">
          <w:rPr>
            <w:sz w:val="22"/>
            <w:szCs w:val="22"/>
          </w:rPr>
          <w:delText xml:space="preserve"> gnagere.</w:delText>
        </w:r>
      </w:del>
    </w:p>
    <w:p w14:paraId="0FC2E4D8" w14:textId="76D69C84" w:rsidR="00DE3458" w:rsidRPr="009C5EFD" w:rsidRDefault="00DE3458" w:rsidP="009C5EFD">
      <w:pPr>
        <w:rPr>
          <w:del w:id="3873" w:author="AbbVie02no" w:date="2025-05-15T12:36:00Z"/>
          <w:sz w:val="22"/>
          <w:szCs w:val="22"/>
        </w:rPr>
      </w:pPr>
    </w:p>
    <w:p w14:paraId="42D1E1E6" w14:textId="223F5836" w:rsidR="00DE3458" w:rsidRPr="009C5EFD" w:rsidRDefault="00DE3458" w:rsidP="009C5EFD">
      <w:pPr>
        <w:rPr>
          <w:del w:id="3874" w:author="AbbVie02no" w:date="2025-05-15T12:36:00Z"/>
          <w:sz w:val="22"/>
          <w:szCs w:val="22"/>
        </w:rPr>
      </w:pPr>
    </w:p>
    <w:p w14:paraId="08D40D93" w14:textId="57ADBECE" w:rsidR="00DE3458" w:rsidRPr="009C5EFD" w:rsidRDefault="00E453CD" w:rsidP="00776A84">
      <w:pPr>
        <w:keepNext/>
        <w:suppressAutoHyphens/>
        <w:ind w:left="562" w:hanging="562"/>
        <w:rPr>
          <w:del w:id="3875" w:author="AbbVie02no" w:date="2025-05-15T12:36:00Z"/>
          <w:sz w:val="22"/>
          <w:szCs w:val="22"/>
        </w:rPr>
      </w:pPr>
      <w:del w:id="3876" w:author="AbbVie02no" w:date="2025-05-15T12:36:00Z">
        <w:r w:rsidRPr="009C5EFD">
          <w:rPr>
            <w:b/>
            <w:sz w:val="22"/>
            <w:szCs w:val="22"/>
          </w:rPr>
          <w:delText>6.</w:delText>
        </w:r>
        <w:r w:rsidRPr="009C5EFD">
          <w:rPr>
            <w:b/>
            <w:sz w:val="22"/>
            <w:szCs w:val="22"/>
          </w:rPr>
          <w:tab/>
          <w:delText>FARMASØYTISKE OPPLYSNINGER</w:delText>
        </w:r>
      </w:del>
    </w:p>
    <w:p w14:paraId="4A196BC9" w14:textId="3F7DB8AE" w:rsidR="00DE3458" w:rsidRPr="009C5EFD" w:rsidRDefault="00DE3458" w:rsidP="00776A84">
      <w:pPr>
        <w:keepNext/>
        <w:rPr>
          <w:del w:id="3877" w:author="AbbVie02no" w:date="2025-05-15T12:36:00Z"/>
          <w:sz w:val="22"/>
          <w:szCs w:val="22"/>
        </w:rPr>
      </w:pPr>
    </w:p>
    <w:p w14:paraId="4C48DE60" w14:textId="5F91476A" w:rsidR="00DE3458" w:rsidRPr="009C5EFD" w:rsidRDefault="00E453CD" w:rsidP="00776A84">
      <w:pPr>
        <w:keepNext/>
        <w:suppressAutoHyphens/>
        <w:ind w:left="576" w:hanging="576"/>
        <w:rPr>
          <w:del w:id="3878" w:author="AbbVie02no" w:date="2025-05-15T12:36:00Z"/>
          <w:sz w:val="22"/>
          <w:szCs w:val="22"/>
        </w:rPr>
      </w:pPr>
      <w:del w:id="3879" w:author="AbbVie02no" w:date="2025-05-15T12:36:00Z">
        <w:r w:rsidRPr="009C5EFD">
          <w:rPr>
            <w:b/>
            <w:sz w:val="22"/>
            <w:szCs w:val="22"/>
          </w:rPr>
          <w:delText>6.1</w:delText>
        </w:r>
        <w:r w:rsidRPr="009C5EFD">
          <w:rPr>
            <w:b/>
            <w:sz w:val="22"/>
            <w:szCs w:val="22"/>
          </w:rPr>
          <w:tab/>
        </w:r>
        <w:r w:rsidR="001D434C">
          <w:rPr>
            <w:b/>
            <w:sz w:val="22"/>
            <w:szCs w:val="22"/>
          </w:rPr>
          <w:delText>H</w:delText>
        </w:r>
        <w:r w:rsidRPr="009C5EFD">
          <w:rPr>
            <w:b/>
            <w:sz w:val="22"/>
            <w:szCs w:val="22"/>
          </w:rPr>
          <w:delText>jelpestoffer</w:delText>
        </w:r>
      </w:del>
    </w:p>
    <w:p w14:paraId="2287F958" w14:textId="636D9EA6" w:rsidR="00DE3458" w:rsidRPr="009C5EFD" w:rsidRDefault="00DE3458" w:rsidP="00776A84">
      <w:pPr>
        <w:keepNext/>
        <w:rPr>
          <w:del w:id="3880" w:author="AbbVie02no" w:date="2025-05-15T12:36:00Z"/>
          <w:sz w:val="22"/>
          <w:szCs w:val="22"/>
        </w:rPr>
      </w:pPr>
    </w:p>
    <w:p w14:paraId="55757118" w14:textId="5B3A4130" w:rsidR="00DE3458" w:rsidRPr="009C5EFD" w:rsidRDefault="00E453CD" w:rsidP="009C5EFD">
      <w:pPr>
        <w:rPr>
          <w:del w:id="3881" w:author="AbbVie02no" w:date="2025-05-15T12:36:00Z"/>
          <w:sz w:val="22"/>
          <w:szCs w:val="22"/>
        </w:rPr>
      </w:pPr>
      <w:del w:id="3882" w:author="AbbVie02no" w:date="2025-05-15T12:36:00Z">
        <w:r>
          <w:rPr>
            <w:sz w:val="22"/>
            <w:szCs w:val="22"/>
          </w:rPr>
          <w:delText>M</w:delText>
        </w:r>
        <w:r w:rsidR="00E13F51" w:rsidRPr="009C5EFD">
          <w:rPr>
            <w:sz w:val="22"/>
            <w:szCs w:val="22"/>
          </w:rPr>
          <w:delText>annitol</w:delText>
        </w:r>
        <w:r w:rsidRPr="009C5EFD">
          <w:rPr>
            <w:sz w:val="22"/>
            <w:szCs w:val="22"/>
          </w:rPr>
          <w:delText xml:space="preserve"> </w:delText>
        </w:r>
      </w:del>
    </w:p>
    <w:p w14:paraId="1580948A" w14:textId="6F8821FE" w:rsidR="00DE3458" w:rsidRPr="009C5EFD" w:rsidRDefault="00E453CD" w:rsidP="009C5EFD">
      <w:pPr>
        <w:rPr>
          <w:del w:id="3883" w:author="AbbVie02no" w:date="2025-05-15T12:36:00Z"/>
          <w:sz w:val="22"/>
          <w:szCs w:val="22"/>
        </w:rPr>
      </w:pPr>
      <w:del w:id="3884" w:author="AbbVie02no" w:date="2025-05-15T12:36:00Z">
        <w:r>
          <w:rPr>
            <w:sz w:val="22"/>
            <w:szCs w:val="22"/>
          </w:rPr>
          <w:delText>S</w:delText>
        </w:r>
        <w:r w:rsidRPr="009C5EFD">
          <w:rPr>
            <w:sz w:val="22"/>
            <w:szCs w:val="22"/>
          </w:rPr>
          <w:delText xml:space="preserve">itronsyremonohydrat </w:delText>
        </w:r>
      </w:del>
    </w:p>
    <w:p w14:paraId="00CF3E6A" w14:textId="325A0A47" w:rsidR="00DE3458" w:rsidRPr="009C5EFD" w:rsidRDefault="00E453CD" w:rsidP="009C5EFD">
      <w:pPr>
        <w:rPr>
          <w:del w:id="3885" w:author="AbbVie02no" w:date="2025-05-15T12:36:00Z"/>
          <w:sz w:val="22"/>
          <w:szCs w:val="22"/>
        </w:rPr>
      </w:pPr>
      <w:del w:id="3886" w:author="AbbVie02no" w:date="2025-05-15T12:36:00Z">
        <w:r>
          <w:rPr>
            <w:sz w:val="22"/>
            <w:szCs w:val="22"/>
          </w:rPr>
          <w:delText>N</w:delText>
        </w:r>
        <w:r w:rsidRPr="009C5EFD">
          <w:rPr>
            <w:sz w:val="22"/>
            <w:szCs w:val="22"/>
          </w:rPr>
          <w:delText xml:space="preserve">atriumsitrat </w:delText>
        </w:r>
      </w:del>
    </w:p>
    <w:p w14:paraId="299A188A" w14:textId="104D81C8" w:rsidR="00DE3458" w:rsidRPr="009C5EFD" w:rsidRDefault="00E453CD" w:rsidP="009C5EFD">
      <w:pPr>
        <w:rPr>
          <w:del w:id="3887" w:author="AbbVie02no" w:date="2025-05-15T12:36:00Z"/>
          <w:sz w:val="22"/>
          <w:szCs w:val="22"/>
        </w:rPr>
      </w:pPr>
      <w:del w:id="3888" w:author="AbbVie02no" w:date="2025-05-15T12:36:00Z">
        <w:r>
          <w:rPr>
            <w:sz w:val="22"/>
            <w:szCs w:val="22"/>
          </w:rPr>
          <w:delText>N</w:delText>
        </w:r>
        <w:r w:rsidRPr="009C5EFD">
          <w:rPr>
            <w:sz w:val="22"/>
            <w:szCs w:val="22"/>
          </w:rPr>
          <w:delText xml:space="preserve">atriumdihydrogenfosfatdihydrat </w:delText>
        </w:r>
      </w:del>
    </w:p>
    <w:p w14:paraId="17AC2A2C" w14:textId="131E2521" w:rsidR="00DE3458" w:rsidRPr="009C5EFD" w:rsidRDefault="00E453CD" w:rsidP="009C5EFD">
      <w:pPr>
        <w:rPr>
          <w:del w:id="3889" w:author="AbbVie02no" w:date="2025-05-15T12:36:00Z"/>
          <w:sz w:val="22"/>
          <w:szCs w:val="22"/>
        </w:rPr>
      </w:pPr>
      <w:del w:id="3890" w:author="AbbVie02no" w:date="2025-05-15T12:36:00Z">
        <w:r>
          <w:rPr>
            <w:sz w:val="22"/>
            <w:szCs w:val="22"/>
          </w:rPr>
          <w:delText>D</w:delText>
        </w:r>
        <w:r w:rsidRPr="009C5EFD">
          <w:rPr>
            <w:sz w:val="22"/>
            <w:szCs w:val="22"/>
          </w:rPr>
          <w:delText xml:space="preserve">inatriumfosfatdihydrat </w:delText>
        </w:r>
      </w:del>
    </w:p>
    <w:p w14:paraId="42DA9644" w14:textId="0D077B00" w:rsidR="00DE3458" w:rsidRPr="009C5EFD" w:rsidRDefault="00E453CD" w:rsidP="009C5EFD">
      <w:pPr>
        <w:rPr>
          <w:del w:id="3891" w:author="AbbVie02no" w:date="2025-05-15T12:36:00Z"/>
          <w:sz w:val="22"/>
          <w:szCs w:val="22"/>
        </w:rPr>
      </w:pPr>
      <w:del w:id="3892" w:author="AbbVie02no" w:date="2025-05-15T12:36:00Z">
        <w:r>
          <w:rPr>
            <w:sz w:val="22"/>
            <w:szCs w:val="22"/>
          </w:rPr>
          <w:delText>N</w:delText>
        </w:r>
        <w:r w:rsidRPr="009C5EFD">
          <w:rPr>
            <w:sz w:val="22"/>
            <w:szCs w:val="22"/>
          </w:rPr>
          <w:delText xml:space="preserve">atriumklorid </w:delText>
        </w:r>
      </w:del>
    </w:p>
    <w:p w14:paraId="56C37A58" w14:textId="11BB6BF5" w:rsidR="00DE3458" w:rsidRPr="009C5EFD" w:rsidRDefault="00E453CD" w:rsidP="009C5EFD">
      <w:pPr>
        <w:rPr>
          <w:del w:id="3893" w:author="AbbVie02no" w:date="2025-05-15T12:36:00Z"/>
          <w:sz w:val="22"/>
          <w:szCs w:val="22"/>
        </w:rPr>
      </w:pPr>
      <w:del w:id="3894" w:author="AbbVie02no" w:date="2025-05-15T12:36:00Z">
        <w:r>
          <w:rPr>
            <w:sz w:val="22"/>
            <w:szCs w:val="22"/>
          </w:rPr>
          <w:delText>P</w:delText>
        </w:r>
        <w:r w:rsidRPr="009C5EFD">
          <w:rPr>
            <w:sz w:val="22"/>
            <w:szCs w:val="22"/>
          </w:rPr>
          <w:delText xml:space="preserve">olysorbat 80 </w:delText>
        </w:r>
      </w:del>
    </w:p>
    <w:p w14:paraId="243956A4" w14:textId="5DC9C8CE" w:rsidR="00DE3458" w:rsidRPr="009C5EFD" w:rsidRDefault="00E453CD" w:rsidP="009C5EFD">
      <w:pPr>
        <w:rPr>
          <w:del w:id="3895" w:author="AbbVie02no" w:date="2025-05-15T12:36:00Z"/>
          <w:sz w:val="22"/>
          <w:szCs w:val="22"/>
        </w:rPr>
      </w:pPr>
      <w:del w:id="3896" w:author="AbbVie02no" w:date="2025-05-15T12:36:00Z">
        <w:r>
          <w:rPr>
            <w:sz w:val="22"/>
            <w:szCs w:val="22"/>
          </w:rPr>
          <w:delText>N</w:delText>
        </w:r>
        <w:r w:rsidRPr="009C5EFD">
          <w:rPr>
            <w:sz w:val="22"/>
            <w:szCs w:val="22"/>
          </w:rPr>
          <w:delText xml:space="preserve">atriumhydroksid </w:delText>
        </w:r>
      </w:del>
    </w:p>
    <w:p w14:paraId="46BD8ECB" w14:textId="2C928176" w:rsidR="00DE3458" w:rsidRPr="009C5EFD" w:rsidRDefault="00E453CD" w:rsidP="009C5EFD">
      <w:pPr>
        <w:rPr>
          <w:del w:id="3897" w:author="AbbVie02no" w:date="2025-05-15T12:36:00Z"/>
          <w:sz w:val="22"/>
          <w:szCs w:val="22"/>
        </w:rPr>
      </w:pPr>
      <w:del w:id="3898" w:author="AbbVie02no" w:date="2025-05-15T12:36:00Z">
        <w:r>
          <w:rPr>
            <w:sz w:val="22"/>
            <w:szCs w:val="22"/>
          </w:rPr>
          <w:delText>V</w:delText>
        </w:r>
        <w:r w:rsidRPr="009C5EFD">
          <w:rPr>
            <w:sz w:val="22"/>
            <w:szCs w:val="22"/>
          </w:rPr>
          <w:delText>ann til injeksjonsvæsker</w:delText>
        </w:r>
      </w:del>
    </w:p>
    <w:p w14:paraId="711BEAF1" w14:textId="0B7D5DB1" w:rsidR="00DE3458" w:rsidRPr="009C5EFD" w:rsidRDefault="00DE3458" w:rsidP="009C5EFD">
      <w:pPr>
        <w:rPr>
          <w:del w:id="3899" w:author="AbbVie02no" w:date="2025-05-15T12:36:00Z"/>
          <w:sz w:val="22"/>
          <w:szCs w:val="22"/>
        </w:rPr>
      </w:pPr>
    </w:p>
    <w:p w14:paraId="571120A7" w14:textId="42FCC6B0" w:rsidR="00DE3458" w:rsidRPr="009C5EFD" w:rsidRDefault="00E453CD" w:rsidP="00776A84">
      <w:pPr>
        <w:keepNext/>
        <w:suppressAutoHyphens/>
        <w:ind w:left="576" w:hanging="576"/>
        <w:rPr>
          <w:del w:id="3900" w:author="AbbVie02no" w:date="2025-05-15T12:36:00Z"/>
          <w:sz w:val="22"/>
          <w:szCs w:val="22"/>
        </w:rPr>
      </w:pPr>
      <w:del w:id="3901" w:author="AbbVie02no" w:date="2025-05-15T12:36:00Z">
        <w:r w:rsidRPr="009C5EFD">
          <w:rPr>
            <w:b/>
            <w:sz w:val="22"/>
            <w:szCs w:val="22"/>
          </w:rPr>
          <w:delText>6.2</w:delText>
        </w:r>
        <w:r w:rsidRPr="009C5EFD">
          <w:rPr>
            <w:b/>
            <w:sz w:val="22"/>
            <w:szCs w:val="22"/>
          </w:rPr>
          <w:tab/>
          <w:delText>Uforlikeligheter</w:delText>
        </w:r>
      </w:del>
    </w:p>
    <w:p w14:paraId="471E7F4F" w14:textId="765F1A70" w:rsidR="00DE3458" w:rsidRPr="009C5EFD" w:rsidRDefault="00DE3458" w:rsidP="00776A84">
      <w:pPr>
        <w:keepNext/>
        <w:rPr>
          <w:del w:id="3902" w:author="AbbVie02no" w:date="2025-05-15T12:36:00Z"/>
          <w:sz w:val="22"/>
          <w:szCs w:val="22"/>
        </w:rPr>
      </w:pPr>
    </w:p>
    <w:p w14:paraId="7806CEF7" w14:textId="0DD166E4" w:rsidR="00DE3458" w:rsidRPr="009C5EFD" w:rsidRDefault="00E453CD" w:rsidP="009C5EFD">
      <w:pPr>
        <w:suppressAutoHyphens/>
        <w:rPr>
          <w:del w:id="3903" w:author="AbbVie02no" w:date="2025-05-15T12:36:00Z"/>
          <w:b/>
          <w:sz w:val="22"/>
          <w:szCs w:val="22"/>
        </w:rPr>
      </w:pPr>
      <w:del w:id="3904" w:author="AbbVie02no" w:date="2025-05-15T12:36:00Z">
        <w:r w:rsidRPr="001D434C">
          <w:rPr>
            <w:sz w:val="22"/>
            <w:szCs w:val="22"/>
          </w:rPr>
          <w:delText>Dette legemidlet skal ikke blandes med andre legemidler da det ikke er gjort studier på</w:delText>
        </w:r>
        <w:r>
          <w:rPr>
            <w:sz w:val="22"/>
            <w:szCs w:val="22"/>
          </w:rPr>
          <w:delText xml:space="preserve"> u</w:delText>
        </w:r>
        <w:r w:rsidRPr="001D434C">
          <w:rPr>
            <w:sz w:val="22"/>
            <w:szCs w:val="22"/>
          </w:rPr>
          <w:delText>forlikelighet</w:delText>
        </w:r>
        <w:r>
          <w:rPr>
            <w:sz w:val="22"/>
            <w:szCs w:val="22"/>
          </w:rPr>
          <w:delText>.</w:delText>
        </w:r>
      </w:del>
    </w:p>
    <w:p w14:paraId="383ECEB2" w14:textId="3564FF30" w:rsidR="003E0F76" w:rsidRDefault="003E0F76" w:rsidP="00776A84">
      <w:pPr>
        <w:keepNext/>
        <w:suppressAutoHyphens/>
        <w:ind w:left="576" w:hanging="576"/>
        <w:rPr>
          <w:del w:id="3905" w:author="AbbVie02no" w:date="2025-05-15T12:36:00Z"/>
          <w:b/>
          <w:sz w:val="22"/>
          <w:szCs w:val="22"/>
        </w:rPr>
      </w:pPr>
    </w:p>
    <w:p w14:paraId="5C8C4AF8" w14:textId="2609E891" w:rsidR="00DE3458" w:rsidRPr="009C5EFD" w:rsidRDefault="00E453CD" w:rsidP="00776A84">
      <w:pPr>
        <w:keepNext/>
        <w:suppressAutoHyphens/>
        <w:ind w:left="576" w:hanging="576"/>
        <w:rPr>
          <w:del w:id="3906" w:author="AbbVie02no" w:date="2025-05-15T12:36:00Z"/>
          <w:sz w:val="22"/>
          <w:szCs w:val="22"/>
        </w:rPr>
      </w:pPr>
      <w:del w:id="3907" w:author="AbbVie02no" w:date="2025-05-15T12:36:00Z">
        <w:r w:rsidRPr="009C5EFD">
          <w:rPr>
            <w:b/>
            <w:sz w:val="22"/>
            <w:szCs w:val="22"/>
          </w:rPr>
          <w:delText>6.3</w:delText>
        </w:r>
        <w:r w:rsidRPr="009C5EFD">
          <w:rPr>
            <w:b/>
            <w:sz w:val="22"/>
            <w:szCs w:val="22"/>
          </w:rPr>
          <w:tab/>
          <w:delText>Holdbarhet</w:delText>
        </w:r>
      </w:del>
    </w:p>
    <w:p w14:paraId="0D24F0CD" w14:textId="652BBC4B" w:rsidR="00DE3458" w:rsidRPr="009C5EFD" w:rsidRDefault="00DE3458" w:rsidP="00776A84">
      <w:pPr>
        <w:keepNext/>
        <w:rPr>
          <w:del w:id="3908" w:author="AbbVie02no" w:date="2025-05-15T12:36:00Z"/>
          <w:sz w:val="22"/>
          <w:szCs w:val="22"/>
        </w:rPr>
      </w:pPr>
    </w:p>
    <w:p w14:paraId="5D36A0BE" w14:textId="7AECF2FC" w:rsidR="00DE3458" w:rsidRPr="009C5EFD" w:rsidRDefault="00E453CD" w:rsidP="009C5EFD">
      <w:pPr>
        <w:rPr>
          <w:del w:id="3909" w:author="AbbVie02no" w:date="2025-05-15T12:36:00Z"/>
          <w:sz w:val="22"/>
          <w:szCs w:val="22"/>
        </w:rPr>
      </w:pPr>
      <w:del w:id="3910" w:author="AbbVie02no" w:date="2025-05-15T12:36:00Z">
        <w:r w:rsidRPr="009C5EFD">
          <w:rPr>
            <w:sz w:val="22"/>
            <w:szCs w:val="22"/>
          </w:rPr>
          <w:delText>2 år</w:delText>
        </w:r>
        <w:r w:rsidR="009A198E" w:rsidRPr="009C5EFD">
          <w:rPr>
            <w:sz w:val="22"/>
            <w:szCs w:val="22"/>
          </w:rPr>
          <w:delText>.</w:delText>
        </w:r>
      </w:del>
    </w:p>
    <w:p w14:paraId="13C182AD" w14:textId="6F32B1CB" w:rsidR="007C2137" w:rsidRPr="009C5EFD" w:rsidRDefault="007C2137" w:rsidP="009C5EFD">
      <w:pPr>
        <w:suppressAutoHyphens/>
        <w:rPr>
          <w:del w:id="3911" w:author="AbbVie02no" w:date="2025-05-15T12:36:00Z"/>
          <w:b/>
          <w:sz w:val="22"/>
          <w:szCs w:val="22"/>
        </w:rPr>
      </w:pPr>
    </w:p>
    <w:p w14:paraId="01BEDEAC" w14:textId="3402EEAB" w:rsidR="00DE3458" w:rsidRPr="009C5EFD" w:rsidRDefault="00E453CD" w:rsidP="00776A84">
      <w:pPr>
        <w:keepNext/>
        <w:suppressAutoHyphens/>
        <w:ind w:left="576" w:hanging="576"/>
        <w:rPr>
          <w:del w:id="3912" w:author="AbbVie02no" w:date="2025-05-15T12:36:00Z"/>
          <w:sz w:val="22"/>
          <w:szCs w:val="22"/>
        </w:rPr>
      </w:pPr>
      <w:del w:id="3913" w:author="AbbVie02no" w:date="2025-05-15T12:36:00Z">
        <w:r w:rsidRPr="009C5EFD">
          <w:rPr>
            <w:b/>
            <w:sz w:val="22"/>
            <w:szCs w:val="22"/>
          </w:rPr>
          <w:delText>6.4</w:delText>
        </w:r>
        <w:r w:rsidRPr="009C5EFD">
          <w:rPr>
            <w:b/>
            <w:sz w:val="22"/>
            <w:szCs w:val="22"/>
          </w:rPr>
          <w:tab/>
          <w:delText>Oppbevaringsbetingelser</w:delText>
        </w:r>
      </w:del>
    </w:p>
    <w:p w14:paraId="12712C54" w14:textId="6F8AD50F" w:rsidR="00DE3458" w:rsidRPr="009C5EFD" w:rsidRDefault="00DE3458" w:rsidP="00776A84">
      <w:pPr>
        <w:keepNext/>
        <w:rPr>
          <w:del w:id="3914" w:author="AbbVie02no" w:date="2025-05-15T12:36:00Z"/>
          <w:sz w:val="22"/>
          <w:szCs w:val="22"/>
        </w:rPr>
      </w:pPr>
    </w:p>
    <w:p w14:paraId="1ABE3CB5" w14:textId="0FDEBD1E" w:rsidR="00DE3458" w:rsidRPr="009C5EFD" w:rsidRDefault="00E453CD" w:rsidP="009C5EFD">
      <w:pPr>
        <w:rPr>
          <w:del w:id="3915" w:author="AbbVie02no" w:date="2025-05-15T12:36:00Z"/>
          <w:sz w:val="22"/>
          <w:szCs w:val="22"/>
        </w:rPr>
      </w:pPr>
      <w:del w:id="3916" w:author="AbbVie02no" w:date="2025-05-15T12:36:00Z">
        <w:r w:rsidRPr="009C5EFD">
          <w:rPr>
            <w:sz w:val="22"/>
            <w:szCs w:val="22"/>
          </w:rPr>
          <w:delText>Oppbevares i kjøleskap (</w:delText>
        </w:r>
        <w:r w:rsidR="002568DD" w:rsidRPr="009C5EFD">
          <w:rPr>
            <w:sz w:val="22"/>
            <w:szCs w:val="22"/>
          </w:rPr>
          <w:delText>2</w:delText>
        </w:r>
        <w:r w:rsidR="00D55A8E">
          <w:rPr>
            <w:sz w:val="22"/>
            <w:szCs w:val="22"/>
          </w:rPr>
          <w:delText> </w:delText>
        </w:r>
        <w:r w:rsidR="002568DD" w:rsidRPr="009C5EFD">
          <w:rPr>
            <w:sz w:val="22"/>
            <w:szCs w:val="22"/>
          </w:rPr>
          <w:delText>°C – 8</w:delText>
        </w:r>
        <w:r w:rsidR="00D55A8E">
          <w:rPr>
            <w:sz w:val="22"/>
            <w:szCs w:val="22"/>
          </w:rPr>
          <w:delText> </w:delText>
        </w:r>
        <w:r w:rsidR="002568DD" w:rsidRPr="009C5EFD">
          <w:rPr>
            <w:sz w:val="22"/>
            <w:szCs w:val="22"/>
          </w:rPr>
          <w:delText>°C</w:delText>
        </w:r>
        <w:r w:rsidRPr="009C5EFD">
          <w:rPr>
            <w:sz w:val="22"/>
            <w:szCs w:val="22"/>
          </w:rPr>
          <w:delText xml:space="preserve">). </w:delText>
        </w:r>
        <w:r w:rsidR="00551B55" w:rsidRPr="009C5EFD">
          <w:rPr>
            <w:sz w:val="22"/>
            <w:szCs w:val="22"/>
          </w:rPr>
          <w:delText xml:space="preserve">Skal </w:delText>
        </w:r>
        <w:r w:rsidRPr="009C5EFD">
          <w:rPr>
            <w:sz w:val="22"/>
            <w:szCs w:val="22"/>
          </w:rPr>
          <w:delText>ikke fryses. Oppbevar hetteglasset i ytteremballasjen</w:delText>
        </w:r>
        <w:r w:rsidR="00A50245" w:rsidRPr="009C5EFD">
          <w:rPr>
            <w:sz w:val="22"/>
            <w:szCs w:val="22"/>
          </w:rPr>
          <w:delText xml:space="preserve"> for å beskytte mot lys</w:delText>
        </w:r>
        <w:r w:rsidRPr="009C5EFD">
          <w:rPr>
            <w:sz w:val="22"/>
            <w:szCs w:val="22"/>
          </w:rPr>
          <w:delText xml:space="preserve">. </w:delText>
        </w:r>
      </w:del>
    </w:p>
    <w:p w14:paraId="0F2B99FD" w14:textId="6F09DCCC" w:rsidR="00DE3458" w:rsidRPr="009C5EFD" w:rsidRDefault="00DE3458" w:rsidP="009C5EFD">
      <w:pPr>
        <w:rPr>
          <w:del w:id="3917" w:author="AbbVie02no" w:date="2025-05-15T12:36:00Z"/>
          <w:sz w:val="22"/>
          <w:szCs w:val="22"/>
        </w:rPr>
      </w:pPr>
    </w:p>
    <w:p w14:paraId="16BF3529" w14:textId="07618740" w:rsidR="00DE3458" w:rsidRPr="009C5EFD" w:rsidRDefault="00E453CD" w:rsidP="00602A37">
      <w:pPr>
        <w:keepNext/>
        <w:ind w:left="576" w:hanging="576"/>
        <w:rPr>
          <w:del w:id="3918" w:author="AbbVie02no" w:date="2025-05-15T12:36:00Z"/>
          <w:b/>
          <w:sz w:val="22"/>
          <w:szCs w:val="22"/>
        </w:rPr>
      </w:pPr>
      <w:del w:id="3919" w:author="AbbVie02no" w:date="2025-05-15T12:36:00Z">
        <w:r w:rsidRPr="009C5EFD">
          <w:rPr>
            <w:b/>
            <w:sz w:val="22"/>
            <w:szCs w:val="22"/>
          </w:rPr>
          <w:delText>6.5</w:delText>
        </w:r>
        <w:r w:rsidRPr="009C5EFD">
          <w:rPr>
            <w:b/>
            <w:sz w:val="22"/>
            <w:szCs w:val="22"/>
          </w:rPr>
          <w:tab/>
          <w:delText>Emballasje (type og innhold)</w:delText>
        </w:r>
      </w:del>
    </w:p>
    <w:p w14:paraId="40672CDA" w14:textId="438E5833" w:rsidR="00DE3458" w:rsidRPr="009C5EFD" w:rsidRDefault="00DE3458" w:rsidP="000D7724">
      <w:pPr>
        <w:keepNext/>
        <w:rPr>
          <w:del w:id="3920" w:author="AbbVie02no" w:date="2025-05-15T12:36:00Z"/>
          <w:sz w:val="22"/>
          <w:szCs w:val="22"/>
        </w:rPr>
      </w:pPr>
    </w:p>
    <w:p w14:paraId="5130818F" w14:textId="44B9D44E" w:rsidR="00DE3458" w:rsidRPr="009C5EFD" w:rsidRDefault="00E453CD">
      <w:pPr>
        <w:keepNext/>
        <w:rPr>
          <w:del w:id="3921" w:author="AbbVie02no" w:date="2025-05-15T12:36:00Z"/>
          <w:sz w:val="22"/>
          <w:szCs w:val="22"/>
        </w:rPr>
      </w:pPr>
      <w:del w:id="3922" w:author="AbbVie02no" w:date="2025-05-15T12:36:00Z">
        <w:r w:rsidRPr="009C5EFD">
          <w:rPr>
            <w:sz w:val="22"/>
            <w:szCs w:val="22"/>
          </w:rPr>
          <w:delText>Humira 40 mg injeksjonsvæske, oppløsning i endose hetteglass (type I glass) med gummipropp, aluminiumskapsel og forsegling.</w:delText>
        </w:r>
      </w:del>
    </w:p>
    <w:p w14:paraId="4CE72709" w14:textId="28128EED" w:rsidR="00DE3458" w:rsidRPr="009C5EFD" w:rsidRDefault="00DE3458" w:rsidP="009C5EFD">
      <w:pPr>
        <w:rPr>
          <w:del w:id="3923" w:author="AbbVie02no" w:date="2025-05-15T12:36:00Z"/>
          <w:sz w:val="22"/>
          <w:szCs w:val="22"/>
        </w:rPr>
      </w:pPr>
    </w:p>
    <w:p w14:paraId="5AD1672C" w14:textId="2519C600" w:rsidR="00DE3458" w:rsidRPr="009C5EFD" w:rsidRDefault="00E453CD" w:rsidP="009C5EFD">
      <w:pPr>
        <w:rPr>
          <w:del w:id="3924" w:author="AbbVie02no" w:date="2025-05-15T12:36:00Z"/>
          <w:sz w:val="22"/>
          <w:szCs w:val="22"/>
        </w:rPr>
      </w:pPr>
      <w:del w:id="3925" w:author="AbbVie02no" w:date="2025-05-15T12:36:00Z">
        <w:r w:rsidRPr="009C5EFD">
          <w:rPr>
            <w:sz w:val="22"/>
            <w:szCs w:val="22"/>
          </w:rPr>
          <w:delText xml:space="preserve">1 </w:delText>
        </w:r>
        <w:r w:rsidR="00C524A8" w:rsidRPr="009C5EFD">
          <w:rPr>
            <w:sz w:val="22"/>
            <w:szCs w:val="22"/>
          </w:rPr>
          <w:delText>p</w:delText>
        </w:r>
        <w:r w:rsidRPr="009C5EFD">
          <w:rPr>
            <w:sz w:val="22"/>
            <w:szCs w:val="22"/>
          </w:rPr>
          <w:delText>akke med 2 esker som hver inneholder:</w:delText>
        </w:r>
      </w:del>
    </w:p>
    <w:p w14:paraId="2E6FFA32" w14:textId="042279D4" w:rsidR="00DE3458" w:rsidRPr="009C5EFD" w:rsidRDefault="00E453CD" w:rsidP="009C5EFD">
      <w:pPr>
        <w:rPr>
          <w:del w:id="3926" w:author="AbbVie02no" w:date="2025-05-15T12:36:00Z"/>
          <w:sz w:val="22"/>
          <w:szCs w:val="22"/>
        </w:rPr>
      </w:pPr>
      <w:del w:id="3927" w:author="AbbVie02no" w:date="2025-05-15T12:36:00Z">
        <w:r w:rsidRPr="009C5EFD">
          <w:rPr>
            <w:sz w:val="22"/>
            <w:szCs w:val="22"/>
          </w:rPr>
          <w:delText>1 hetteglass (0,8 ml steril oppløsning), 1 tom steril injeksjonssprøyte</w:delText>
        </w:r>
        <w:r w:rsidR="00B504E3" w:rsidRPr="009C5EFD">
          <w:rPr>
            <w:sz w:val="22"/>
            <w:szCs w:val="22"/>
          </w:rPr>
          <w:delText xml:space="preserve">, 1 </w:delText>
        </w:r>
        <w:r w:rsidR="008138BF">
          <w:rPr>
            <w:sz w:val="22"/>
            <w:szCs w:val="22"/>
          </w:rPr>
          <w:delText>kanyle</w:delText>
        </w:r>
        <w:r w:rsidR="00B504E3" w:rsidRPr="009C5EFD">
          <w:rPr>
            <w:sz w:val="22"/>
            <w:szCs w:val="22"/>
          </w:rPr>
          <w:delText>, 1 hetteglass</w:delText>
        </w:r>
        <w:r w:rsidR="0061585E" w:rsidRPr="009C5EFD">
          <w:rPr>
            <w:sz w:val="22"/>
            <w:szCs w:val="22"/>
          </w:rPr>
          <w:delText>adapter</w:delText>
        </w:r>
        <w:r w:rsidRPr="009C5EFD">
          <w:rPr>
            <w:sz w:val="22"/>
            <w:szCs w:val="22"/>
          </w:rPr>
          <w:delText xml:space="preserve"> og 2 injeksjonstørk.</w:delText>
        </w:r>
      </w:del>
    </w:p>
    <w:p w14:paraId="18DE29A2" w14:textId="39A8761C" w:rsidR="00D03039" w:rsidRPr="009C5EFD" w:rsidRDefault="00D03039" w:rsidP="009C5EFD">
      <w:pPr>
        <w:rPr>
          <w:del w:id="3928" w:author="AbbVie02no" w:date="2025-05-15T12:36:00Z"/>
          <w:sz w:val="22"/>
          <w:szCs w:val="22"/>
        </w:rPr>
      </w:pPr>
    </w:p>
    <w:p w14:paraId="1DEFDAAF" w14:textId="248C1C3B" w:rsidR="00DE3458" w:rsidRPr="009C5EFD" w:rsidRDefault="00E453CD" w:rsidP="00602A37">
      <w:pPr>
        <w:keepNext/>
        <w:ind w:left="576" w:hanging="576"/>
        <w:rPr>
          <w:del w:id="3929" w:author="AbbVie02no" w:date="2025-05-15T12:36:00Z"/>
          <w:sz w:val="22"/>
          <w:szCs w:val="22"/>
        </w:rPr>
      </w:pPr>
      <w:del w:id="3930" w:author="AbbVie02no" w:date="2025-05-15T12:36:00Z">
        <w:r w:rsidRPr="009C5EFD">
          <w:rPr>
            <w:b/>
            <w:sz w:val="22"/>
            <w:szCs w:val="22"/>
          </w:rPr>
          <w:delText>6.6</w:delText>
        </w:r>
        <w:r w:rsidRPr="009C5EFD">
          <w:rPr>
            <w:b/>
            <w:sz w:val="22"/>
            <w:szCs w:val="22"/>
          </w:rPr>
          <w:tab/>
          <w:delText>Spesielle forholdsregler for destruksjon</w:delText>
        </w:r>
      </w:del>
    </w:p>
    <w:p w14:paraId="15A53335" w14:textId="2E23D661" w:rsidR="00DE3458" w:rsidRPr="009C5EFD" w:rsidRDefault="00DE3458" w:rsidP="001F5D4B">
      <w:pPr>
        <w:keepNext/>
        <w:rPr>
          <w:del w:id="3931" w:author="AbbVie02no" w:date="2025-05-15T12:36:00Z"/>
          <w:sz w:val="22"/>
          <w:szCs w:val="22"/>
        </w:rPr>
      </w:pPr>
    </w:p>
    <w:p w14:paraId="7DAA449A" w14:textId="530575DF" w:rsidR="00DE3458" w:rsidRPr="009C5EFD" w:rsidRDefault="00E453CD" w:rsidP="007F67EE">
      <w:pPr>
        <w:rPr>
          <w:del w:id="3932" w:author="AbbVie02no" w:date="2025-05-15T12:36:00Z"/>
          <w:sz w:val="22"/>
          <w:szCs w:val="22"/>
        </w:rPr>
      </w:pPr>
      <w:del w:id="3933" w:author="AbbVie02no" w:date="2025-05-15T12:36:00Z">
        <w:r w:rsidRPr="009C5EFD">
          <w:rPr>
            <w:sz w:val="22"/>
            <w:szCs w:val="22"/>
          </w:rPr>
          <w:delText>Ikke</w:delText>
        </w:r>
        <w:r w:rsidR="00C34F9D" w:rsidRPr="009C5EFD">
          <w:rPr>
            <w:sz w:val="22"/>
            <w:szCs w:val="22"/>
          </w:rPr>
          <w:delText xml:space="preserve"> </w:delText>
        </w:r>
        <w:r w:rsidRPr="009C5EFD">
          <w:rPr>
            <w:sz w:val="22"/>
            <w:szCs w:val="22"/>
          </w:rPr>
          <w:delText xml:space="preserve">anvendt legemiddel samt avfall </w:delText>
        </w:r>
        <w:r w:rsidR="0059015F" w:rsidRPr="009C5EFD">
          <w:rPr>
            <w:sz w:val="22"/>
            <w:szCs w:val="22"/>
          </w:rPr>
          <w:delText xml:space="preserve">bør </w:delText>
        </w:r>
        <w:r w:rsidRPr="009C5EFD">
          <w:rPr>
            <w:sz w:val="22"/>
            <w:szCs w:val="22"/>
          </w:rPr>
          <w:delText>destrueres i overensstemmelse med lokale krav.</w:delText>
        </w:r>
      </w:del>
    </w:p>
    <w:p w14:paraId="0816CBAC" w14:textId="1387C93A" w:rsidR="00DE3458" w:rsidRPr="009C5EFD" w:rsidRDefault="00DE3458" w:rsidP="007F67EE">
      <w:pPr>
        <w:rPr>
          <w:del w:id="3934" w:author="AbbVie02no" w:date="2025-05-15T12:36:00Z"/>
          <w:sz w:val="22"/>
          <w:szCs w:val="22"/>
        </w:rPr>
      </w:pPr>
    </w:p>
    <w:p w14:paraId="6D90458C" w14:textId="5B3F680C" w:rsidR="00F244EF" w:rsidRPr="009C5EFD" w:rsidRDefault="00F244EF" w:rsidP="00193D76">
      <w:pPr>
        <w:rPr>
          <w:del w:id="3935" w:author="AbbVie02no" w:date="2025-05-15T12:36:00Z"/>
          <w:sz w:val="22"/>
          <w:szCs w:val="22"/>
        </w:rPr>
      </w:pPr>
    </w:p>
    <w:p w14:paraId="52C8F150" w14:textId="297E81FC" w:rsidR="00DE3458" w:rsidRPr="009C5EFD" w:rsidRDefault="00E453CD" w:rsidP="00776A84">
      <w:pPr>
        <w:keepNext/>
        <w:suppressAutoHyphens/>
        <w:ind w:left="562" w:hanging="562"/>
        <w:rPr>
          <w:del w:id="3936" w:author="AbbVie02no" w:date="2025-05-15T12:36:00Z"/>
          <w:sz w:val="22"/>
          <w:szCs w:val="22"/>
        </w:rPr>
      </w:pPr>
      <w:del w:id="3937" w:author="AbbVie02no" w:date="2025-05-15T12:36:00Z">
        <w:r w:rsidRPr="009C5EFD">
          <w:rPr>
            <w:b/>
            <w:sz w:val="22"/>
            <w:szCs w:val="22"/>
          </w:rPr>
          <w:delText>7.</w:delText>
        </w:r>
        <w:r w:rsidRPr="009C5EFD">
          <w:rPr>
            <w:b/>
            <w:sz w:val="22"/>
            <w:szCs w:val="22"/>
          </w:rPr>
          <w:tab/>
          <w:delText>INNEHAVER AV MARKEDSFØRINGSTILLATELSEN</w:delText>
        </w:r>
      </w:del>
    </w:p>
    <w:p w14:paraId="01DE61CF" w14:textId="754D6747" w:rsidR="00DE3458" w:rsidRPr="009C5EFD" w:rsidRDefault="00DE3458" w:rsidP="00776A84">
      <w:pPr>
        <w:keepNext/>
        <w:rPr>
          <w:del w:id="3938" w:author="AbbVie02no" w:date="2025-05-15T12:36:00Z"/>
          <w:sz w:val="22"/>
          <w:szCs w:val="22"/>
        </w:rPr>
      </w:pPr>
    </w:p>
    <w:p w14:paraId="4B5AEA36" w14:textId="09BE4190" w:rsidR="00851837" w:rsidRPr="00EF12DF" w:rsidRDefault="00E453CD" w:rsidP="00851837">
      <w:pPr>
        <w:rPr>
          <w:del w:id="3939" w:author="AbbVie02no" w:date="2025-05-15T12:36:00Z"/>
          <w:sz w:val="22"/>
          <w:szCs w:val="22"/>
        </w:rPr>
      </w:pPr>
      <w:del w:id="3940" w:author="AbbVie02no" w:date="2025-05-15T12:36:00Z">
        <w:r w:rsidRPr="00EF12DF">
          <w:rPr>
            <w:sz w:val="22"/>
            <w:szCs w:val="22"/>
          </w:rPr>
          <w:delText>AbbVie Deutschland GmbH &amp; Co. KG</w:delText>
        </w:r>
      </w:del>
    </w:p>
    <w:p w14:paraId="79D7F34E" w14:textId="2AC2F152" w:rsidR="00851837" w:rsidRPr="00EF12DF" w:rsidRDefault="00E453CD" w:rsidP="00851837">
      <w:pPr>
        <w:rPr>
          <w:del w:id="3941" w:author="AbbVie02no" w:date="2025-05-15T12:36:00Z"/>
          <w:sz w:val="22"/>
          <w:szCs w:val="22"/>
        </w:rPr>
      </w:pPr>
      <w:del w:id="3942" w:author="AbbVie02no" w:date="2025-05-15T12:36:00Z">
        <w:r w:rsidRPr="00EF12DF">
          <w:rPr>
            <w:sz w:val="22"/>
            <w:szCs w:val="22"/>
          </w:rPr>
          <w:delText>Knollstrasse</w:delText>
        </w:r>
      </w:del>
    </w:p>
    <w:p w14:paraId="6C9DF86F" w14:textId="7A38DBE5" w:rsidR="00851837" w:rsidRPr="00EF12DF" w:rsidRDefault="00E453CD" w:rsidP="00851837">
      <w:pPr>
        <w:rPr>
          <w:del w:id="3943" w:author="AbbVie02no" w:date="2025-05-15T12:36:00Z"/>
          <w:sz w:val="22"/>
          <w:szCs w:val="22"/>
        </w:rPr>
      </w:pPr>
      <w:del w:id="3944" w:author="AbbVie02no" w:date="2025-05-15T12:36:00Z">
        <w:r w:rsidRPr="00EF12DF">
          <w:rPr>
            <w:sz w:val="22"/>
            <w:szCs w:val="22"/>
          </w:rPr>
          <w:delText>67061 Ludwigshafen</w:delText>
        </w:r>
      </w:del>
    </w:p>
    <w:p w14:paraId="0350B955" w14:textId="52FF1E8B" w:rsidR="00DE3458" w:rsidRPr="009C5EFD" w:rsidRDefault="00E453CD" w:rsidP="009C5EFD">
      <w:pPr>
        <w:rPr>
          <w:del w:id="3945" w:author="AbbVie02no" w:date="2025-05-15T12:36:00Z"/>
          <w:sz w:val="22"/>
          <w:szCs w:val="22"/>
        </w:rPr>
      </w:pPr>
      <w:del w:id="3946" w:author="AbbVie02no" w:date="2025-05-15T12:36:00Z">
        <w:r>
          <w:rPr>
            <w:sz w:val="22"/>
            <w:szCs w:val="22"/>
          </w:rPr>
          <w:delText>Tyskland</w:delText>
        </w:r>
      </w:del>
    </w:p>
    <w:p w14:paraId="4AE2A0DC" w14:textId="20439E87" w:rsidR="00DE3458" w:rsidRPr="009C5EFD" w:rsidRDefault="00DE3458" w:rsidP="009C5EFD">
      <w:pPr>
        <w:rPr>
          <w:del w:id="3947" w:author="AbbVie02no" w:date="2025-05-15T12:36:00Z"/>
          <w:sz w:val="22"/>
          <w:szCs w:val="22"/>
        </w:rPr>
      </w:pPr>
    </w:p>
    <w:p w14:paraId="7341ED7D" w14:textId="7EF9C386" w:rsidR="00DE3458" w:rsidRPr="009C5EFD" w:rsidRDefault="00E453CD" w:rsidP="00602A37">
      <w:pPr>
        <w:keepNext/>
        <w:suppressAutoHyphens/>
        <w:ind w:left="562" w:hanging="562"/>
        <w:rPr>
          <w:del w:id="3948" w:author="AbbVie02no" w:date="2025-05-15T12:36:00Z"/>
          <w:sz w:val="22"/>
          <w:szCs w:val="22"/>
        </w:rPr>
      </w:pPr>
      <w:del w:id="3949" w:author="AbbVie02no" w:date="2025-05-15T12:36:00Z">
        <w:r w:rsidRPr="009C5EFD">
          <w:rPr>
            <w:b/>
            <w:sz w:val="22"/>
            <w:szCs w:val="22"/>
          </w:rPr>
          <w:delText>8.</w:delText>
        </w:r>
        <w:r w:rsidRPr="009C5EFD">
          <w:rPr>
            <w:b/>
            <w:sz w:val="22"/>
            <w:szCs w:val="22"/>
          </w:rPr>
          <w:tab/>
          <w:delText xml:space="preserve">MARKEDSFØRINGSTILLATELSESNUMMER (NUMRE) </w:delText>
        </w:r>
      </w:del>
    </w:p>
    <w:p w14:paraId="4340D5E3" w14:textId="4ECEECDB" w:rsidR="00DE3458" w:rsidRPr="009C5EFD" w:rsidRDefault="00DE3458" w:rsidP="00C11A9F">
      <w:pPr>
        <w:keepNext/>
        <w:rPr>
          <w:del w:id="3950" w:author="AbbVie02no" w:date="2025-05-15T12:36:00Z"/>
          <w:sz w:val="22"/>
          <w:szCs w:val="22"/>
        </w:rPr>
      </w:pPr>
    </w:p>
    <w:p w14:paraId="295A3A83" w14:textId="7BA2FBE5" w:rsidR="00DE3458" w:rsidRPr="009C5EFD" w:rsidRDefault="00E453CD">
      <w:pPr>
        <w:keepNext/>
        <w:rPr>
          <w:del w:id="3951" w:author="AbbVie02no" w:date="2025-05-15T12:36:00Z"/>
          <w:sz w:val="22"/>
          <w:szCs w:val="22"/>
        </w:rPr>
      </w:pPr>
      <w:del w:id="3952" w:author="AbbVie02no" w:date="2025-05-15T12:36:00Z">
        <w:r w:rsidRPr="009C5EFD">
          <w:rPr>
            <w:sz w:val="22"/>
            <w:szCs w:val="22"/>
          </w:rPr>
          <w:delText>EU/1/03/256/001</w:delText>
        </w:r>
      </w:del>
    </w:p>
    <w:p w14:paraId="05836D4A" w14:textId="36A679CD" w:rsidR="00DE3458" w:rsidRPr="009C5EFD" w:rsidRDefault="00DE3458" w:rsidP="009C5EFD">
      <w:pPr>
        <w:rPr>
          <w:del w:id="3953" w:author="AbbVie02no" w:date="2025-05-15T12:36:00Z"/>
          <w:sz w:val="22"/>
          <w:szCs w:val="22"/>
        </w:rPr>
      </w:pPr>
    </w:p>
    <w:p w14:paraId="1E045E1E" w14:textId="2B9B7FD2" w:rsidR="00DE3458" w:rsidRPr="009C5EFD" w:rsidRDefault="00DE3458" w:rsidP="009C5EFD">
      <w:pPr>
        <w:rPr>
          <w:del w:id="3954" w:author="AbbVie02no" w:date="2025-05-15T12:36:00Z"/>
          <w:sz w:val="22"/>
          <w:szCs w:val="22"/>
        </w:rPr>
      </w:pPr>
    </w:p>
    <w:p w14:paraId="289B5B26" w14:textId="57067D9E" w:rsidR="00DE3458" w:rsidRPr="009C5EFD" w:rsidRDefault="00E453CD" w:rsidP="00776A84">
      <w:pPr>
        <w:keepNext/>
        <w:suppressAutoHyphens/>
        <w:ind w:left="562" w:hanging="562"/>
        <w:rPr>
          <w:del w:id="3955" w:author="AbbVie02no" w:date="2025-05-15T12:36:00Z"/>
          <w:sz w:val="22"/>
          <w:szCs w:val="22"/>
        </w:rPr>
      </w:pPr>
      <w:del w:id="3956" w:author="AbbVie02no" w:date="2025-05-15T12:36:00Z">
        <w:r w:rsidRPr="009C5EFD">
          <w:rPr>
            <w:b/>
            <w:sz w:val="22"/>
            <w:szCs w:val="22"/>
          </w:rPr>
          <w:lastRenderedPageBreak/>
          <w:delText>9.</w:delText>
        </w:r>
        <w:r w:rsidRPr="009C5EFD">
          <w:rPr>
            <w:b/>
            <w:sz w:val="22"/>
            <w:szCs w:val="22"/>
          </w:rPr>
          <w:tab/>
          <w:delText>DATO FOR FØRSTE MARKEDSFØRINGSTILLATELSE/SISTE FORNYELSE</w:delText>
        </w:r>
      </w:del>
    </w:p>
    <w:p w14:paraId="6B0487C2" w14:textId="2F0E0BE3" w:rsidR="00DE3458" w:rsidRPr="009C5EFD" w:rsidRDefault="00DE3458" w:rsidP="00776A84">
      <w:pPr>
        <w:keepNext/>
        <w:rPr>
          <w:del w:id="3957" w:author="AbbVie02no" w:date="2025-05-15T12:36:00Z"/>
          <w:sz w:val="22"/>
          <w:szCs w:val="22"/>
        </w:rPr>
      </w:pPr>
    </w:p>
    <w:p w14:paraId="27D91E35" w14:textId="7424D76C" w:rsidR="00DE3458" w:rsidRPr="009C5EFD" w:rsidRDefault="00E453CD" w:rsidP="009C5EFD">
      <w:pPr>
        <w:rPr>
          <w:del w:id="3958" w:author="AbbVie02no" w:date="2025-05-15T12:36:00Z"/>
          <w:sz w:val="22"/>
          <w:szCs w:val="22"/>
        </w:rPr>
      </w:pPr>
      <w:del w:id="3959" w:author="AbbVie02no" w:date="2025-05-15T12:36:00Z">
        <w:r w:rsidRPr="009C5EFD">
          <w:rPr>
            <w:sz w:val="22"/>
            <w:szCs w:val="22"/>
          </w:rPr>
          <w:delText>Dato for første markedsføringstillatelse: 8. september 2003</w:delText>
        </w:r>
      </w:del>
    </w:p>
    <w:p w14:paraId="4F688D20" w14:textId="12546ABC" w:rsidR="0060547A" w:rsidRPr="009C5EFD" w:rsidRDefault="00E453CD" w:rsidP="009C5EFD">
      <w:pPr>
        <w:rPr>
          <w:del w:id="3960" w:author="AbbVie02no" w:date="2025-05-15T12:36:00Z"/>
          <w:sz w:val="22"/>
          <w:szCs w:val="22"/>
        </w:rPr>
      </w:pPr>
      <w:del w:id="3961" w:author="AbbVie02no" w:date="2025-05-15T12:36:00Z">
        <w:r w:rsidRPr="009C5EFD">
          <w:rPr>
            <w:sz w:val="22"/>
            <w:szCs w:val="22"/>
          </w:rPr>
          <w:delText>Dato for siste fornyelse: 8. september 2008</w:delText>
        </w:r>
      </w:del>
    </w:p>
    <w:p w14:paraId="78FAF577" w14:textId="4B8F79D3" w:rsidR="00DE3458" w:rsidRPr="009C5EFD" w:rsidRDefault="00DE3458" w:rsidP="009C5EFD">
      <w:pPr>
        <w:rPr>
          <w:del w:id="3962" w:author="AbbVie02no" w:date="2025-05-15T12:36:00Z"/>
          <w:sz w:val="22"/>
          <w:szCs w:val="22"/>
        </w:rPr>
      </w:pPr>
    </w:p>
    <w:p w14:paraId="4EA7C533" w14:textId="5A417116" w:rsidR="00DE3458" w:rsidRPr="009C5EFD" w:rsidRDefault="00DE3458" w:rsidP="009C5EFD">
      <w:pPr>
        <w:rPr>
          <w:del w:id="3963" w:author="AbbVie02no" w:date="2025-05-15T12:36:00Z"/>
          <w:sz w:val="22"/>
          <w:szCs w:val="22"/>
        </w:rPr>
      </w:pPr>
    </w:p>
    <w:p w14:paraId="15450FD2" w14:textId="553F658E" w:rsidR="00DE3458" w:rsidRPr="009C5EFD" w:rsidRDefault="00E453CD" w:rsidP="00776A84">
      <w:pPr>
        <w:keepNext/>
        <w:suppressAutoHyphens/>
        <w:ind w:left="562" w:hanging="562"/>
        <w:rPr>
          <w:del w:id="3964" w:author="AbbVie02no" w:date="2025-05-15T12:36:00Z"/>
          <w:sz w:val="22"/>
          <w:szCs w:val="22"/>
        </w:rPr>
      </w:pPr>
      <w:del w:id="3965" w:author="AbbVie02no" w:date="2025-05-15T12:36:00Z">
        <w:r w:rsidRPr="009C5EFD">
          <w:rPr>
            <w:b/>
            <w:sz w:val="22"/>
            <w:szCs w:val="22"/>
          </w:rPr>
          <w:delText>10.</w:delText>
        </w:r>
        <w:r w:rsidRPr="009C5EFD">
          <w:rPr>
            <w:b/>
            <w:sz w:val="22"/>
            <w:szCs w:val="22"/>
          </w:rPr>
          <w:tab/>
          <w:delText>OPPDATERINGSDATO</w:delText>
        </w:r>
      </w:del>
    </w:p>
    <w:p w14:paraId="157C9A0C" w14:textId="7C27D8CA" w:rsidR="00C26207" w:rsidRPr="009C5EFD" w:rsidRDefault="00C26207" w:rsidP="00776A84">
      <w:pPr>
        <w:keepNext/>
        <w:rPr>
          <w:del w:id="3966" w:author="AbbVie02no" w:date="2025-05-15T12:36:00Z"/>
          <w:sz w:val="22"/>
          <w:szCs w:val="22"/>
        </w:rPr>
      </w:pPr>
    </w:p>
    <w:p w14:paraId="682E7F05" w14:textId="16B5CEB0" w:rsidR="00A12610" w:rsidRPr="009C5EFD" w:rsidRDefault="00E453CD" w:rsidP="009C5EFD">
      <w:pPr>
        <w:suppressAutoHyphens/>
        <w:rPr>
          <w:del w:id="3967" w:author="AbbVie02no" w:date="2025-05-15T12:36:00Z"/>
          <w:sz w:val="22"/>
        </w:rPr>
      </w:pPr>
      <w:del w:id="3968" w:author="AbbVie02no" w:date="2025-05-15T12:36:00Z">
        <w:r w:rsidRPr="009C5EFD">
          <w:rPr>
            <w:sz w:val="22"/>
          </w:rPr>
          <w:delText xml:space="preserve">Detaljert informasjon om dette legemidlet er tilgjengelig på nettstedet til </w:delText>
        </w:r>
        <w:r w:rsidR="00FC5790" w:rsidRPr="009C5EFD">
          <w:rPr>
            <w:sz w:val="22"/>
          </w:rPr>
          <w:delText>D</w:delText>
        </w:r>
        <w:r w:rsidRPr="009C5EFD">
          <w:rPr>
            <w:sz w:val="22"/>
          </w:rPr>
          <w:delText>et europeiske legemiddelkontoret (</w:delText>
        </w:r>
        <w:r w:rsidR="001D434C">
          <w:rPr>
            <w:sz w:val="22"/>
          </w:rPr>
          <w:delText>t</w:delText>
        </w:r>
        <w:r w:rsidR="00FC5790" w:rsidRPr="009C5EFD">
          <w:rPr>
            <w:sz w:val="22"/>
          </w:rPr>
          <w:delText xml:space="preserve">he </w:delText>
        </w:r>
        <w:r w:rsidRPr="009C5EFD">
          <w:rPr>
            <w:sz w:val="22"/>
          </w:rPr>
          <w:delText>European Medicines Agency) http://www.ema.europa.eu</w:delText>
        </w:r>
        <w:r w:rsidR="00FC5790" w:rsidRPr="009C5EFD">
          <w:rPr>
            <w:sz w:val="22"/>
          </w:rPr>
          <w:delText>.</w:delText>
        </w:r>
      </w:del>
    </w:p>
    <w:p w14:paraId="5ACBD9A7" w14:textId="4CC71F25" w:rsidR="00DE3458" w:rsidRPr="009C5EFD" w:rsidRDefault="00E453CD">
      <w:pPr>
        <w:keepNext/>
        <w:suppressAutoHyphens/>
        <w:rPr>
          <w:del w:id="3969" w:author="AbbVie02no" w:date="2025-05-15T13:45:00Z"/>
          <w:sz w:val="22"/>
          <w:szCs w:val="22"/>
        </w:rPr>
        <w:pPrChange w:id="3970" w:author="AbbVie02no" w:date="2025-05-15T13:45:00Z">
          <w:pPr>
            <w:keepNext/>
            <w:suppressAutoHyphens/>
            <w:ind w:left="562" w:hanging="562"/>
          </w:pPr>
        </w:pPrChange>
      </w:pPr>
      <w:del w:id="3971" w:author="AbbVie02no" w:date="2025-05-15T12:36:00Z">
        <w:r w:rsidRPr="009C5EFD">
          <w:rPr>
            <w:sz w:val="22"/>
            <w:szCs w:val="22"/>
          </w:rPr>
          <w:br w:type="page"/>
        </w:r>
      </w:del>
      <w:del w:id="3972" w:author="AbbVie02no" w:date="2025-05-15T13:45:00Z">
        <w:r w:rsidRPr="009C5EFD">
          <w:rPr>
            <w:b/>
            <w:sz w:val="22"/>
            <w:szCs w:val="22"/>
          </w:rPr>
          <w:lastRenderedPageBreak/>
          <w:delText>1.</w:delText>
        </w:r>
        <w:r w:rsidRPr="009C5EFD">
          <w:rPr>
            <w:b/>
            <w:sz w:val="22"/>
            <w:szCs w:val="22"/>
          </w:rPr>
          <w:tab/>
          <w:delText>LEGEMIDLETS NAVN</w:delText>
        </w:r>
      </w:del>
    </w:p>
    <w:p w14:paraId="5969B8A7" w14:textId="0E02ABA8" w:rsidR="00DE3458" w:rsidRPr="009C5EFD" w:rsidRDefault="00DE3458" w:rsidP="004B57B4">
      <w:pPr>
        <w:keepNext/>
        <w:suppressAutoHyphens/>
        <w:rPr>
          <w:del w:id="3973" w:author="AbbVie02no" w:date="2025-05-15T13:45:00Z"/>
          <w:sz w:val="22"/>
          <w:szCs w:val="22"/>
        </w:rPr>
      </w:pPr>
    </w:p>
    <w:p w14:paraId="47DDC877" w14:textId="5774DE21" w:rsidR="00DE3458" w:rsidRPr="009C5EFD" w:rsidRDefault="00E453CD">
      <w:pPr>
        <w:keepNext/>
        <w:suppressAutoHyphens/>
        <w:rPr>
          <w:del w:id="3974" w:author="AbbVie02no" w:date="2025-05-15T13:45:00Z"/>
          <w:sz w:val="22"/>
          <w:szCs w:val="22"/>
        </w:rPr>
        <w:pPrChange w:id="3975" w:author="AbbVie02no" w:date="2025-05-15T13:45:00Z">
          <w:pPr>
            <w:suppressAutoHyphens/>
          </w:pPr>
        </w:pPrChange>
      </w:pPr>
      <w:del w:id="3976" w:author="AbbVie02no" w:date="2025-05-15T13:45:00Z">
        <w:r w:rsidRPr="009C5EFD">
          <w:rPr>
            <w:sz w:val="22"/>
            <w:szCs w:val="22"/>
          </w:rPr>
          <w:delText>Humira 40 mg injeksjonsvæske, oppløsning i ferdigfylt sprøyte</w:delText>
        </w:r>
      </w:del>
    </w:p>
    <w:p w14:paraId="2260695B" w14:textId="2C506274" w:rsidR="00935947" w:rsidRDefault="00E453CD">
      <w:pPr>
        <w:keepNext/>
        <w:suppressAutoHyphens/>
        <w:rPr>
          <w:del w:id="3977" w:author="AbbVie02no" w:date="2025-05-15T13:45:00Z"/>
          <w:sz w:val="22"/>
          <w:szCs w:val="22"/>
        </w:rPr>
        <w:pPrChange w:id="3978" w:author="AbbVie02no" w:date="2025-05-15T13:45:00Z">
          <w:pPr>
            <w:suppressAutoHyphens/>
          </w:pPr>
        </w:pPrChange>
      </w:pPr>
      <w:del w:id="3979" w:author="AbbVie02no" w:date="2025-05-15T13:45:00Z">
        <w:r w:rsidRPr="009C5EFD">
          <w:rPr>
            <w:sz w:val="22"/>
            <w:szCs w:val="22"/>
          </w:rPr>
          <w:delText>Humira 40 mg injeksjonsvæske, oppløsning i ferdigfylt penn</w:delText>
        </w:r>
      </w:del>
    </w:p>
    <w:p w14:paraId="67B67FA7" w14:textId="22DDBE3B" w:rsidR="00DE3458" w:rsidRPr="009C5EFD" w:rsidRDefault="00DE3458">
      <w:pPr>
        <w:keepNext/>
        <w:suppressAutoHyphens/>
        <w:rPr>
          <w:del w:id="3980" w:author="AbbVie02no" w:date="2025-05-15T13:45:00Z"/>
          <w:sz w:val="22"/>
          <w:szCs w:val="22"/>
        </w:rPr>
        <w:pPrChange w:id="3981" w:author="AbbVie02no" w:date="2025-05-15T13:45:00Z">
          <w:pPr>
            <w:suppressAutoHyphens/>
          </w:pPr>
        </w:pPrChange>
      </w:pPr>
    </w:p>
    <w:p w14:paraId="5F4C2154" w14:textId="2FD798DA" w:rsidR="00DE3458" w:rsidRPr="009C5EFD" w:rsidRDefault="00DE3458">
      <w:pPr>
        <w:keepNext/>
        <w:suppressAutoHyphens/>
        <w:rPr>
          <w:del w:id="3982" w:author="AbbVie02no" w:date="2025-05-15T13:45:00Z"/>
          <w:sz w:val="22"/>
          <w:szCs w:val="22"/>
        </w:rPr>
        <w:pPrChange w:id="3983" w:author="AbbVie02no" w:date="2025-05-15T13:45:00Z">
          <w:pPr>
            <w:tabs>
              <w:tab w:val="left" w:pos="-720"/>
            </w:tabs>
            <w:suppressAutoHyphens/>
          </w:pPr>
        </w:pPrChange>
      </w:pPr>
    </w:p>
    <w:p w14:paraId="06A7706E" w14:textId="60103139" w:rsidR="00DE3458" w:rsidRPr="009C5EFD" w:rsidRDefault="00E453CD">
      <w:pPr>
        <w:keepNext/>
        <w:suppressAutoHyphens/>
        <w:rPr>
          <w:del w:id="3984" w:author="AbbVie02no" w:date="2025-05-15T13:45:00Z"/>
          <w:sz w:val="22"/>
          <w:szCs w:val="22"/>
        </w:rPr>
        <w:pPrChange w:id="3985" w:author="AbbVie02no" w:date="2025-05-15T13:45:00Z">
          <w:pPr>
            <w:keepNext/>
            <w:suppressAutoHyphens/>
            <w:ind w:left="567" w:hanging="567"/>
          </w:pPr>
        </w:pPrChange>
      </w:pPr>
      <w:del w:id="3986" w:author="AbbVie02no" w:date="2025-05-15T13:45:00Z">
        <w:r w:rsidRPr="009C5EFD">
          <w:rPr>
            <w:b/>
            <w:sz w:val="22"/>
            <w:szCs w:val="22"/>
          </w:rPr>
          <w:delText>2.</w:delText>
        </w:r>
        <w:r w:rsidRPr="009C5EFD">
          <w:rPr>
            <w:b/>
            <w:sz w:val="22"/>
            <w:szCs w:val="22"/>
          </w:rPr>
          <w:tab/>
          <w:delText>KVALITATIV OG KVANTITATIV SAMMENSETNING</w:delText>
        </w:r>
      </w:del>
    </w:p>
    <w:p w14:paraId="6090E86D" w14:textId="683D4DB8" w:rsidR="00DE3458" w:rsidRPr="009C5EFD" w:rsidRDefault="00DE3458">
      <w:pPr>
        <w:keepNext/>
        <w:suppressAutoHyphens/>
        <w:rPr>
          <w:del w:id="3987" w:author="AbbVie02no" w:date="2025-05-15T13:45:00Z"/>
          <w:sz w:val="22"/>
          <w:szCs w:val="22"/>
        </w:rPr>
        <w:pPrChange w:id="3988" w:author="AbbVie02no" w:date="2025-05-15T13:45:00Z">
          <w:pPr>
            <w:keepNext/>
          </w:pPr>
        </w:pPrChange>
      </w:pPr>
    </w:p>
    <w:p w14:paraId="32318DD7" w14:textId="6C8E5F93" w:rsidR="00E379A3" w:rsidRDefault="00E453CD">
      <w:pPr>
        <w:keepNext/>
        <w:suppressAutoHyphens/>
        <w:rPr>
          <w:del w:id="3989" w:author="AbbVie02no" w:date="2025-05-15T13:45:00Z"/>
          <w:sz w:val="22"/>
          <w:szCs w:val="22"/>
        </w:rPr>
        <w:pPrChange w:id="3990" w:author="AbbVie02no" w:date="2025-05-15T13:45:00Z">
          <w:pPr>
            <w:keepNext/>
          </w:pPr>
        </w:pPrChange>
      </w:pPr>
      <w:del w:id="3991" w:author="AbbVie02no" w:date="2025-05-15T13:45:00Z">
        <w:r w:rsidRPr="007A3AEF">
          <w:rPr>
            <w:sz w:val="22"/>
            <w:szCs w:val="22"/>
            <w:u w:val="single"/>
          </w:rPr>
          <w:delText>Humira 40 mg injeksjonsvæske, oppløsning i ferdigfylt sprøyte</w:delText>
        </w:r>
        <w:r w:rsidRPr="009C5EFD">
          <w:rPr>
            <w:sz w:val="22"/>
            <w:szCs w:val="22"/>
          </w:rPr>
          <w:delText xml:space="preserve"> </w:delText>
        </w:r>
      </w:del>
    </w:p>
    <w:p w14:paraId="321B4EB1" w14:textId="5DBFE882" w:rsidR="00DE3458" w:rsidRPr="009C5EFD" w:rsidRDefault="00E453CD">
      <w:pPr>
        <w:keepNext/>
        <w:suppressAutoHyphens/>
        <w:rPr>
          <w:del w:id="3992" w:author="AbbVie02no" w:date="2025-05-15T13:45:00Z"/>
          <w:sz w:val="22"/>
          <w:szCs w:val="22"/>
        </w:rPr>
        <w:pPrChange w:id="3993" w:author="AbbVie02no" w:date="2025-05-15T13:45:00Z">
          <w:pPr/>
        </w:pPrChange>
      </w:pPr>
      <w:del w:id="3994" w:author="AbbVie02no" w:date="2025-05-15T13:45:00Z">
        <w:r w:rsidRPr="009C5EFD">
          <w:rPr>
            <w:sz w:val="22"/>
            <w:szCs w:val="22"/>
          </w:rPr>
          <w:delText>Hver 0,8 ml endose ferdigfylt sprøyte inneholder 40 mg adalimumab.</w:delText>
        </w:r>
      </w:del>
    </w:p>
    <w:p w14:paraId="5CA6B11E" w14:textId="2647B8DE" w:rsidR="00DE3458" w:rsidRPr="009C5EFD" w:rsidRDefault="00DE3458">
      <w:pPr>
        <w:keepNext/>
        <w:suppressAutoHyphens/>
        <w:rPr>
          <w:del w:id="3995" w:author="AbbVie02no" w:date="2025-05-15T13:45:00Z"/>
          <w:szCs w:val="22"/>
        </w:rPr>
        <w:pPrChange w:id="3996" w:author="AbbVie02no" w:date="2025-05-15T13:45:00Z">
          <w:pPr>
            <w:pStyle w:val="EndnoteText"/>
            <w:widowControl/>
            <w:tabs>
              <w:tab w:val="clear" w:pos="567"/>
            </w:tabs>
          </w:pPr>
        </w:pPrChange>
      </w:pPr>
    </w:p>
    <w:p w14:paraId="01E5BD6B" w14:textId="17BEE1A9" w:rsidR="00E379A3" w:rsidRPr="007A3AEF" w:rsidRDefault="00E453CD" w:rsidP="004B57B4">
      <w:pPr>
        <w:keepNext/>
        <w:suppressAutoHyphens/>
        <w:rPr>
          <w:del w:id="3997" w:author="AbbVie02no" w:date="2025-05-15T13:45:00Z"/>
          <w:sz w:val="22"/>
          <w:szCs w:val="22"/>
          <w:u w:val="single"/>
        </w:rPr>
      </w:pPr>
      <w:del w:id="3998" w:author="AbbVie02no" w:date="2025-05-15T13:45:00Z">
        <w:r w:rsidRPr="007A3AEF">
          <w:rPr>
            <w:sz w:val="22"/>
            <w:szCs w:val="22"/>
            <w:u w:val="single"/>
          </w:rPr>
          <w:delText>Humira 40 mg injeksjonsvæske, oppløsning i ferdigfylt penn</w:delText>
        </w:r>
      </w:del>
    </w:p>
    <w:p w14:paraId="65A06C77" w14:textId="1D56A836" w:rsidR="00E379A3" w:rsidRDefault="00E453CD">
      <w:pPr>
        <w:keepNext/>
        <w:suppressAutoHyphens/>
        <w:rPr>
          <w:del w:id="3999" w:author="AbbVie02no" w:date="2025-05-15T13:45:00Z"/>
          <w:sz w:val="22"/>
          <w:szCs w:val="22"/>
        </w:rPr>
        <w:pPrChange w:id="4000" w:author="AbbVie02no" w:date="2025-05-15T13:45:00Z">
          <w:pPr/>
        </w:pPrChange>
      </w:pPr>
      <w:del w:id="4001" w:author="AbbVie02no" w:date="2025-05-15T13:45:00Z">
        <w:r w:rsidRPr="009C5EFD">
          <w:rPr>
            <w:sz w:val="22"/>
            <w:szCs w:val="22"/>
          </w:rPr>
          <w:delText>Hver 0,8 ml end</w:delText>
        </w:r>
        <w:r>
          <w:rPr>
            <w:sz w:val="22"/>
            <w:szCs w:val="22"/>
          </w:rPr>
          <w:delText>ose ferdigfylt penn</w:delText>
        </w:r>
        <w:r w:rsidRPr="009C5EFD">
          <w:rPr>
            <w:sz w:val="22"/>
            <w:szCs w:val="22"/>
          </w:rPr>
          <w:delText xml:space="preserve"> inneholder 40 mg adalimumab.</w:delText>
        </w:r>
      </w:del>
    </w:p>
    <w:p w14:paraId="566DECB8" w14:textId="207FE946" w:rsidR="00E379A3" w:rsidRDefault="00E379A3">
      <w:pPr>
        <w:keepNext/>
        <w:suppressAutoHyphens/>
        <w:rPr>
          <w:del w:id="4002" w:author="AbbVie02no" w:date="2025-05-15T13:45:00Z"/>
          <w:sz w:val="22"/>
          <w:szCs w:val="22"/>
        </w:rPr>
        <w:pPrChange w:id="4003" w:author="AbbVie02no" w:date="2025-05-15T13:45:00Z">
          <w:pPr/>
        </w:pPrChange>
      </w:pPr>
    </w:p>
    <w:p w14:paraId="0F2B0147" w14:textId="6F975283" w:rsidR="00AB7A5D" w:rsidRDefault="00E453CD">
      <w:pPr>
        <w:keepNext/>
        <w:suppressAutoHyphens/>
        <w:rPr>
          <w:del w:id="4004" w:author="AbbVie02no" w:date="2025-05-15T13:42:00Z"/>
          <w:sz w:val="22"/>
          <w:szCs w:val="22"/>
        </w:rPr>
        <w:pPrChange w:id="4005" w:author="AbbVie02no" w:date="2025-05-15T13:45:00Z">
          <w:pPr/>
        </w:pPrChange>
      </w:pPr>
      <w:del w:id="4006" w:author="AbbVie02no" w:date="2025-05-15T13:45:00Z">
        <w:r w:rsidRPr="009C5EFD">
          <w:rPr>
            <w:sz w:val="22"/>
            <w:szCs w:val="22"/>
          </w:rPr>
          <w:delText xml:space="preserve">Adalimumab er et rekombinant humant monoklonalt antistoff </w:delText>
        </w:r>
        <w:r w:rsidR="00575254">
          <w:rPr>
            <w:sz w:val="22"/>
            <w:szCs w:val="22"/>
          </w:rPr>
          <w:delText xml:space="preserve">produsert </w:delText>
        </w:r>
        <w:r w:rsidRPr="009C5EFD">
          <w:rPr>
            <w:sz w:val="22"/>
            <w:szCs w:val="22"/>
          </w:rPr>
          <w:delText>i ovarieceller fra kinesisk hamster.</w:delText>
        </w:r>
      </w:del>
    </w:p>
    <w:p w14:paraId="129BF9E7" w14:textId="1B455E88" w:rsidR="00DE3458" w:rsidRPr="009C5EFD" w:rsidRDefault="00DE3458">
      <w:pPr>
        <w:keepNext/>
        <w:suppressAutoHyphens/>
        <w:rPr>
          <w:del w:id="4007" w:author="AbbVie02no" w:date="2025-05-15T13:45:00Z"/>
          <w:sz w:val="22"/>
          <w:szCs w:val="22"/>
        </w:rPr>
        <w:pPrChange w:id="4008" w:author="AbbVie02no" w:date="2025-05-15T13:45:00Z">
          <w:pPr/>
        </w:pPrChange>
      </w:pPr>
    </w:p>
    <w:p w14:paraId="04CEC3DA" w14:textId="6551403C" w:rsidR="00DE3458" w:rsidRPr="009C5EFD" w:rsidRDefault="00E453CD">
      <w:pPr>
        <w:keepNext/>
        <w:suppressAutoHyphens/>
        <w:rPr>
          <w:del w:id="4009" w:author="AbbVie02no" w:date="2025-05-15T13:45:00Z"/>
          <w:sz w:val="22"/>
          <w:szCs w:val="22"/>
        </w:rPr>
        <w:pPrChange w:id="4010" w:author="AbbVie02no" w:date="2025-05-15T13:45:00Z">
          <w:pPr/>
        </w:pPrChange>
      </w:pPr>
      <w:del w:id="4011" w:author="AbbVie02no" w:date="2025-05-15T13:45:00Z">
        <w:r w:rsidRPr="009C5EFD">
          <w:rPr>
            <w:sz w:val="22"/>
            <w:szCs w:val="22"/>
          </w:rPr>
          <w:delText>For fullstendig liste over hjelpestoffer</w:delText>
        </w:r>
        <w:r w:rsidR="00A21737" w:rsidRPr="009C5EFD">
          <w:rPr>
            <w:sz w:val="22"/>
            <w:szCs w:val="22"/>
          </w:rPr>
          <w:delText>,</w:delText>
        </w:r>
        <w:r w:rsidRPr="009C5EFD">
          <w:rPr>
            <w:sz w:val="22"/>
            <w:szCs w:val="22"/>
          </w:rPr>
          <w:delText xml:space="preserve"> se pkt. 6.1.</w:delText>
        </w:r>
      </w:del>
    </w:p>
    <w:p w14:paraId="0B3C26C4" w14:textId="791A298A" w:rsidR="00DE3458" w:rsidRPr="009C5EFD" w:rsidRDefault="00DE3458">
      <w:pPr>
        <w:keepNext/>
        <w:suppressAutoHyphens/>
        <w:rPr>
          <w:del w:id="4012" w:author="AbbVie02no" w:date="2025-05-15T13:45:00Z"/>
          <w:sz w:val="22"/>
          <w:szCs w:val="22"/>
        </w:rPr>
        <w:pPrChange w:id="4013" w:author="AbbVie02no" w:date="2025-05-15T13:45:00Z">
          <w:pPr>
            <w:suppressAutoHyphens/>
          </w:pPr>
        </w:pPrChange>
      </w:pPr>
    </w:p>
    <w:p w14:paraId="1DA7D2E5" w14:textId="7BB89AF9" w:rsidR="00DE3458" w:rsidRPr="009C5EFD" w:rsidRDefault="00DE3458">
      <w:pPr>
        <w:keepNext/>
        <w:suppressAutoHyphens/>
        <w:rPr>
          <w:del w:id="4014" w:author="AbbVie02no" w:date="2025-05-15T13:45:00Z"/>
          <w:sz w:val="22"/>
          <w:szCs w:val="22"/>
        </w:rPr>
        <w:pPrChange w:id="4015" w:author="AbbVie02no" w:date="2025-05-15T13:45:00Z">
          <w:pPr>
            <w:suppressAutoHyphens/>
          </w:pPr>
        </w:pPrChange>
      </w:pPr>
    </w:p>
    <w:p w14:paraId="4A525CAE" w14:textId="49C1CA31" w:rsidR="00DE3458" w:rsidRPr="009C5EFD" w:rsidRDefault="00E453CD">
      <w:pPr>
        <w:keepNext/>
        <w:suppressAutoHyphens/>
        <w:rPr>
          <w:del w:id="4016" w:author="AbbVie02no" w:date="2025-05-15T13:45:00Z"/>
          <w:sz w:val="22"/>
          <w:szCs w:val="22"/>
        </w:rPr>
        <w:pPrChange w:id="4017" w:author="AbbVie02no" w:date="2025-05-15T13:45:00Z">
          <w:pPr>
            <w:keepNext/>
            <w:suppressAutoHyphens/>
            <w:ind w:left="567" w:hanging="567"/>
          </w:pPr>
        </w:pPrChange>
      </w:pPr>
      <w:del w:id="4018" w:author="AbbVie02no" w:date="2025-05-15T13:45:00Z">
        <w:r w:rsidRPr="009C5EFD">
          <w:rPr>
            <w:b/>
            <w:sz w:val="22"/>
            <w:szCs w:val="22"/>
          </w:rPr>
          <w:delText>3.</w:delText>
        </w:r>
        <w:r w:rsidRPr="009C5EFD">
          <w:rPr>
            <w:b/>
            <w:sz w:val="22"/>
            <w:szCs w:val="22"/>
          </w:rPr>
          <w:tab/>
          <w:delText>LEGEMIDDELFORM</w:delText>
        </w:r>
      </w:del>
    </w:p>
    <w:p w14:paraId="54BA4F9C" w14:textId="2A768ACD" w:rsidR="00DE3458" w:rsidRPr="009C5EFD" w:rsidRDefault="00DE3458" w:rsidP="004B57B4">
      <w:pPr>
        <w:keepNext/>
        <w:suppressAutoHyphens/>
        <w:rPr>
          <w:del w:id="4019" w:author="AbbVie02no" w:date="2025-05-15T13:45:00Z"/>
          <w:sz w:val="22"/>
          <w:szCs w:val="22"/>
        </w:rPr>
      </w:pPr>
    </w:p>
    <w:p w14:paraId="0A8CE9B1" w14:textId="52002109" w:rsidR="00E60308" w:rsidRPr="009C5EFD" w:rsidRDefault="00E453CD">
      <w:pPr>
        <w:keepNext/>
        <w:suppressAutoHyphens/>
        <w:rPr>
          <w:del w:id="4020" w:author="AbbVie02no" w:date="2025-05-15T13:45:00Z"/>
          <w:sz w:val="22"/>
          <w:szCs w:val="22"/>
        </w:rPr>
        <w:pPrChange w:id="4021" w:author="AbbVie02no" w:date="2025-05-15T13:45:00Z">
          <w:pPr>
            <w:suppressAutoHyphens/>
          </w:pPr>
        </w:pPrChange>
      </w:pPr>
      <w:del w:id="4022" w:author="AbbVie02no" w:date="2025-05-15T13:45:00Z">
        <w:r w:rsidRPr="009C5EFD">
          <w:rPr>
            <w:sz w:val="22"/>
            <w:szCs w:val="22"/>
          </w:rPr>
          <w:delText>Injeksjonsvæske</w:delText>
        </w:r>
        <w:r w:rsidR="001C7F92" w:rsidRPr="009C5EFD">
          <w:rPr>
            <w:sz w:val="22"/>
            <w:szCs w:val="22"/>
          </w:rPr>
          <w:delText>, oppløsning</w:delText>
        </w:r>
        <w:r w:rsidR="00116B87">
          <w:rPr>
            <w:sz w:val="22"/>
            <w:szCs w:val="22"/>
          </w:rPr>
          <w:delText xml:space="preserve"> (injeksjon</w:delText>
        </w:r>
        <w:r w:rsidR="00D55A8E">
          <w:rPr>
            <w:sz w:val="22"/>
            <w:szCs w:val="22"/>
          </w:rPr>
          <w:delText>svæske</w:delText>
        </w:r>
        <w:r w:rsidR="00116B87">
          <w:rPr>
            <w:sz w:val="22"/>
            <w:szCs w:val="22"/>
          </w:rPr>
          <w:delText>)</w:delText>
        </w:r>
      </w:del>
    </w:p>
    <w:p w14:paraId="5AEDF2DB" w14:textId="6A0030EE" w:rsidR="00E60308" w:rsidRPr="009C5EFD" w:rsidRDefault="00E60308">
      <w:pPr>
        <w:keepNext/>
        <w:suppressAutoHyphens/>
        <w:rPr>
          <w:del w:id="4023" w:author="AbbVie02no" w:date="2025-05-15T13:45:00Z"/>
          <w:sz w:val="22"/>
          <w:szCs w:val="22"/>
        </w:rPr>
        <w:pPrChange w:id="4024" w:author="AbbVie02no" w:date="2025-05-15T13:45:00Z">
          <w:pPr>
            <w:suppressAutoHyphens/>
          </w:pPr>
        </w:pPrChange>
      </w:pPr>
    </w:p>
    <w:p w14:paraId="758AA74D" w14:textId="61698BA7" w:rsidR="00DE3458" w:rsidRPr="009C5EFD" w:rsidRDefault="00E453CD">
      <w:pPr>
        <w:keepNext/>
        <w:suppressAutoHyphens/>
        <w:rPr>
          <w:del w:id="4025" w:author="AbbVie02no" w:date="2025-05-15T13:45:00Z"/>
          <w:sz w:val="22"/>
          <w:szCs w:val="22"/>
        </w:rPr>
        <w:pPrChange w:id="4026" w:author="AbbVie02no" w:date="2025-05-15T13:45:00Z">
          <w:pPr>
            <w:suppressAutoHyphens/>
          </w:pPr>
        </w:pPrChange>
      </w:pPr>
      <w:del w:id="4027" w:author="AbbVie02no" w:date="2025-05-15T13:45:00Z">
        <w:r w:rsidRPr="009C5EFD">
          <w:rPr>
            <w:sz w:val="22"/>
            <w:szCs w:val="22"/>
          </w:rPr>
          <w:delText>Klar, fargeløs oppløsning.</w:delText>
        </w:r>
      </w:del>
    </w:p>
    <w:p w14:paraId="63413CD1" w14:textId="291F7E61" w:rsidR="00DE3458" w:rsidRPr="009C5EFD" w:rsidRDefault="00DE3458">
      <w:pPr>
        <w:keepNext/>
        <w:suppressAutoHyphens/>
        <w:rPr>
          <w:del w:id="4028" w:author="AbbVie02no" w:date="2025-05-15T13:45:00Z"/>
          <w:sz w:val="22"/>
          <w:szCs w:val="22"/>
        </w:rPr>
        <w:pPrChange w:id="4029" w:author="AbbVie02no" w:date="2025-05-15T13:45:00Z">
          <w:pPr>
            <w:suppressAutoHyphens/>
          </w:pPr>
        </w:pPrChange>
      </w:pPr>
    </w:p>
    <w:p w14:paraId="58C703E7" w14:textId="38401A9E" w:rsidR="00DE3458" w:rsidRPr="009C5EFD" w:rsidRDefault="00DE3458">
      <w:pPr>
        <w:keepNext/>
        <w:suppressAutoHyphens/>
        <w:rPr>
          <w:del w:id="4030" w:author="AbbVie02no" w:date="2025-05-15T13:45:00Z"/>
          <w:sz w:val="22"/>
          <w:szCs w:val="22"/>
        </w:rPr>
        <w:pPrChange w:id="4031" w:author="AbbVie02no" w:date="2025-05-15T13:45:00Z">
          <w:pPr>
            <w:suppressAutoHyphens/>
          </w:pPr>
        </w:pPrChange>
      </w:pPr>
    </w:p>
    <w:p w14:paraId="65ED96EC" w14:textId="455EBCAE" w:rsidR="00DE3458" w:rsidRPr="009C5EFD" w:rsidRDefault="00E453CD">
      <w:pPr>
        <w:keepNext/>
        <w:suppressAutoHyphens/>
        <w:rPr>
          <w:del w:id="4032" w:author="AbbVie02no" w:date="2025-05-15T13:45:00Z"/>
          <w:sz w:val="22"/>
          <w:szCs w:val="22"/>
        </w:rPr>
        <w:pPrChange w:id="4033" w:author="AbbVie02no" w:date="2025-05-15T13:45:00Z">
          <w:pPr>
            <w:keepNext/>
            <w:suppressAutoHyphens/>
            <w:ind w:left="540" w:hanging="540"/>
          </w:pPr>
        </w:pPrChange>
      </w:pPr>
      <w:del w:id="4034" w:author="AbbVie02no" w:date="2025-05-15T13:45:00Z">
        <w:r w:rsidRPr="009C5EFD">
          <w:rPr>
            <w:b/>
            <w:sz w:val="22"/>
            <w:szCs w:val="22"/>
          </w:rPr>
          <w:delText>4.</w:delText>
        </w:r>
        <w:r w:rsidRPr="009C5EFD">
          <w:rPr>
            <w:b/>
            <w:sz w:val="22"/>
            <w:szCs w:val="22"/>
          </w:rPr>
          <w:tab/>
          <w:delText>KLINISKE OPPLYSNINGER</w:delText>
        </w:r>
      </w:del>
    </w:p>
    <w:p w14:paraId="66C3CC0D" w14:textId="5E7931DB" w:rsidR="00DE3458" w:rsidRPr="009C5EFD" w:rsidRDefault="00DE3458" w:rsidP="004B57B4">
      <w:pPr>
        <w:keepNext/>
        <w:suppressAutoHyphens/>
        <w:rPr>
          <w:del w:id="4035" w:author="AbbVie02no" w:date="2025-05-15T13:45:00Z"/>
          <w:sz w:val="22"/>
          <w:szCs w:val="22"/>
        </w:rPr>
      </w:pPr>
    </w:p>
    <w:p w14:paraId="0077F348" w14:textId="796C3B93" w:rsidR="00DE3458" w:rsidRPr="009C5EFD" w:rsidRDefault="00E453CD">
      <w:pPr>
        <w:keepNext/>
        <w:suppressAutoHyphens/>
        <w:rPr>
          <w:del w:id="4036" w:author="AbbVie02no" w:date="2025-05-15T13:45:00Z"/>
          <w:sz w:val="22"/>
          <w:szCs w:val="22"/>
        </w:rPr>
        <w:pPrChange w:id="4037" w:author="AbbVie02no" w:date="2025-05-15T13:45:00Z">
          <w:pPr>
            <w:keepNext/>
            <w:suppressAutoHyphens/>
            <w:ind w:left="570" w:hanging="570"/>
          </w:pPr>
        </w:pPrChange>
      </w:pPr>
      <w:del w:id="4038" w:author="AbbVie02no" w:date="2025-05-15T13:45:00Z">
        <w:r w:rsidRPr="009C5EFD">
          <w:rPr>
            <w:b/>
            <w:sz w:val="22"/>
            <w:szCs w:val="22"/>
          </w:rPr>
          <w:delText>4.1</w:delText>
        </w:r>
        <w:r w:rsidRPr="009C5EFD">
          <w:rPr>
            <w:b/>
            <w:sz w:val="22"/>
            <w:szCs w:val="22"/>
          </w:rPr>
          <w:tab/>
          <w:delText>Indikasjoner</w:delText>
        </w:r>
      </w:del>
    </w:p>
    <w:p w14:paraId="14BCBB7E" w14:textId="48366D63" w:rsidR="00DE3458" w:rsidRPr="009C5EFD" w:rsidRDefault="00DE3458">
      <w:pPr>
        <w:keepNext/>
        <w:suppressAutoHyphens/>
        <w:rPr>
          <w:del w:id="4039" w:author="AbbVie02no" w:date="2025-05-15T13:45:00Z"/>
          <w:sz w:val="22"/>
          <w:szCs w:val="22"/>
        </w:rPr>
        <w:pPrChange w:id="4040" w:author="AbbVie02no" w:date="2025-05-15T13:45:00Z">
          <w:pPr>
            <w:keepNext/>
          </w:pPr>
        </w:pPrChange>
      </w:pPr>
    </w:p>
    <w:p w14:paraId="27719C4E" w14:textId="46F83B05" w:rsidR="00DE3458" w:rsidRPr="009C5EFD" w:rsidRDefault="00E453CD">
      <w:pPr>
        <w:keepNext/>
        <w:suppressAutoHyphens/>
        <w:rPr>
          <w:del w:id="4041" w:author="AbbVie02no" w:date="2025-05-15T13:45:00Z"/>
          <w:sz w:val="22"/>
          <w:szCs w:val="22"/>
          <w:u w:val="single"/>
        </w:rPr>
        <w:pPrChange w:id="4042" w:author="AbbVie02no" w:date="2025-05-15T13:45:00Z">
          <w:pPr>
            <w:keepNext/>
          </w:pPr>
        </w:pPrChange>
      </w:pPr>
      <w:del w:id="4043" w:author="AbbVie02no" w:date="2025-05-15T13:45:00Z">
        <w:r w:rsidRPr="009C5EFD">
          <w:rPr>
            <w:sz w:val="22"/>
            <w:szCs w:val="22"/>
            <w:u w:val="single"/>
          </w:rPr>
          <w:delText>Revmatoid artritt</w:delText>
        </w:r>
      </w:del>
    </w:p>
    <w:p w14:paraId="4C861EE9" w14:textId="3BFD1BD6" w:rsidR="00DE3458" w:rsidRPr="009C5EFD" w:rsidRDefault="00DE3458">
      <w:pPr>
        <w:keepNext/>
        <w:suppressAutoHyphens/>
        <w:rPr>
          <w:del w:id="4044" w:author="AbbVie02no" w:date="2025-05-15T13:45:00Z"/>
          <w:sz w:val="22"/>
          <w:szCs w:val="22"/>
        </w:rPr>
        <w:pPrChange w:id="4045" w:author="AbbVie02no" w:date="2025-05-15T13:45:00Z">
          <w:pPr>
            <w:keepNext/>
          </w:pPr>
        </w:pPrChange>
      </w:pPr>
    </w:p>
    <w:p w14:paraId="505CA62D" w14:textId="323E3630" w:rsidR="00DE3458" w:rsidRPr="009C5EFD" w:rsidRDefault="00E453CD">
      <w:pPr>
        <w:keepNext/>
        <w:suppressAutoHyphens/>
        <w:rPr>
          <w:del w:id="4046" w:author="AbbVie02no" w:date="2025-05-15T13:45:00Z"/>
          <w:sz w:val="22"/>
          <w:szCs w:val="22"/>
        </w:rPr>
        <w:pPrChange w:id="4047" w:author="AbbVie02no" w:date="2025-05-15T13:45:00Z">
          <w:pPr/>
        </w:pPrChange>
      </w:pPr>
      <w:del w:id="4048" w:author="AbbVie02no" w:date="2025-05-15T13:45:00Z">
        <w:r w:rsidRPr="009C5EFD">
          <w:rPr>
            <w:sz w:val="22"/>
            <w:szCs w:val="22"/>
          </w:rPr>
          <w:delText xml:space="preserve">Humira i kombinasjon med metotreksat er indisert </w:delText>
        </w:r>
        <w:r w:rsidR="00E07D52" w:rsidRPr="009C5EFD">
          <w:rPr>
            <w:sz w:val="22"/>
            <w:szCs w:val="22"/>
          </w:rPr>
          <w:delText>til</w:delText>
        </w:r>
        <w:r w:rsidRPr="009C5EFD">
          <w:rPr>
            <w:sz w:val="22"/>
            <w:szCs w:val="22"/>
          </w:rPr>
          <w:delText>:</w:delText>
        </w:r>
      </w:del>
    </w:p>
    <w:p w14:paraId="0D5FE01F" w14:textId="17B1AA7A" w:rsidR="00DE3458" w:rsidRPr="009C5EFD" w:rsidRDefault="00DE3458">
      <w:pPr>
        <w:keepNext/>
        <w:suppressAutoHyphens/>
        <w:rPr>
          <w:del w:id="4049" w:author="AbbVie02no" w:date="2025-05-15T13:45:00Z"/>
          <w:sz w:val="22"/>
          <w:szCs w:val="22"/>
        </w:rPr>
        <w:pPrChange w:id="4050" w:author="AbbVie02no" w:date="2025-05-15T13:45:00Z">
          <w:pPr/>
        </w:pPrChange>
      </w:pPr>
    </w:p>
    <w:p w14:paraId="3225BB96" w14:textId="2DAB7EDF" w:rsidR="00DE3458" w:rsidRPr="009C5EFD" w:rsidRDefault="00E453CD">
      <w:pPr>
        <w:keepNext/>
        <w:suppressAutoHyphens/>
        <w:rPr>
          <w:del w:id="4051" w:author="AbbVie02no" w:date="2025-05-15T13:45:00Z"/>
          <w:sz w:val="22"/>
          <w:szCs w:val="22"/>
        </w:rPr>
        <w:pPrChange w:id="4052" w:author="AbbVie02no" w:date="2025-05-15T13:45:00Z">
          <w:pPr>
            <w:numPr>
              <w:numId w:val="17"/>
            </w:numPr>
            <w:tabs>
              <w:tab w:val="num" w:pos="567"/>
            </w:tabs>
            <w:ind w:left="567" w:hanging="567"/>
          </w:pPr>
        </w:pPrChange>
      </w:pPr>
      <w:del w:id="4053" w:author="AbbVie02no" w:date="2025-05-15T13:45:00Z">
        <w:r w:rsidRPr="009C5EFD">
          <w:rPr>
            <w:sz w:val="22"/>
            <w:szCs w:val="22"/>
          </w:rPr>
          <w:delText>behandling av moderat til alvorlig aktiv revmatoid artritt hos voksne pasienter når responsen på sykdomsmodifiserende antireumatiske legemidler inkludert metotreksat ikke har vært tilstrekkelig.</w:delText>
        </w:r>
      </w:del>
    </w:p>
    <w:p w14:paraId="6C9A376A" w14:textId="51E88891" w:rsidR="00DE3458" w:rsidRPr="009C5EFD" w:rsidRDefault="00E453CD">
      <w:pPr>
        <w:keepNext/>
        <w:suppressAutoHyphens/>
        <w:rPr>
          <w:del w:id="4054" w:author="AbbVie02no" w:date="2025-05-15T13:45:00Z"/>
          <w:sz w:val="22"/>
          <w:szCs w:val="22"/>
        </w:rPr>
        <w:pPrChange w:id="4055" w:author="AbbVie02no" w:date="2025-05-15T13:45:00Z">
          <w:pPr>
            <w:numPr>
              <w:numId w:val="18"/>
            </w:numPr>
            <w:tabs>
              <w:tab w:val="num" w:pos="567"/>
            </w:tabs>
            <w:ind w:left="567" w:hanging="567"/>
          </w:pPr>
        </w:pPrChange>
      </w:pPr>
      <w:del w:id="4056" w:author="AbbVie02no" w:date="2025-05-15T13:45:00Z">
        <w:r w:rsidRPr="009C5EFD">
          <w:rPr>
            <w:sz w:val="22"/>
            <w:szCs w:val="22"/>
          </w:rPr>
          <w:delText>behandling av alvorlig, aktiv og progredierende revmatoid artritt hos voksne som ikke tidligere er behandlet med metotreksat.</w:delText>
        </w:r>
      </w:del>
    </w:p>
    <w:p w14:paraId="734CDA1C" w14:textId="60CBFE3D" w:rsidR="00DE3458" w:rsidRPr="009C5EFD" w:rsidRDefault="00DE3458">
      <w:pPr>
        <w:keepNext/>
        <w:suppressAutoHyphens/>
        <w:rPr>
          <w:del w:id="4057" w:author="AbbVie02no" w:date="2025-05-15T13:45:00Z"/>
          <w:sz w:val="22"/>
          <w:szCs w:val="22"/>
        </w:rPr>
        <w:pPrChange w:id="4058" w:author="AbbVie02no" w:date="2025-05-15T13:45:00Z">
          <w:pPr/>
        </w:pPrChange>
      </w:pPr>
    </w:p>
    <w:p w14:paraId="66586712" w14:textId="523AC800" w:rsidR="00DE3458" w:rsidRPr="009C5EFD" w:rsidRDefault="00E453CD">
      <w:pPr>
        <w:keepNext/>
        <w:suppressAutoHyphens/>
        <w:rPr>
          <w:del w:id="4059" w:author="AbbVie02no" w:date="2025-05-15T13:45:00Z"/>
          <w:sz w:val="22"/>
          <w:szCs w:val="22"/>
        </w:rPr>
        <w:pPrChange w:id="4060" w:author="AbbVie02no" w:date="2025-05-15T13:45:00Z">
          <w:pPr/>
        </w:pPrChange>
      </w:pPr>
      <w:del w:id="4061" w:author="AbbVie02no" w:date="2025-05-15T13:45:00Z">
        <w:r w:rsidRPr="009C5EFD">
          <w:rPr>
            <w:sz w:val="22"/>
            <w:szCs w:val="22"/>
          </w:rPr>
          <w:delText>Humira kan gis som monoterapi ved intoleranse overfor metotreksat eller når behandling med metotreksat ikke er egnet.</w:delText>
        </w:r>
      </w:del>
    </w:p>
    <w:p w14:paraId="687703F7" w14:textId="34177ED8" w:rsidR="00DE3458" w:rsidRPr="009C5EFD" w:rsidRDefault="00DE3458">
      <w:pPr>
        <w:keepNext/>
        <w:suppressAutoHyphens/>
        <w:rPr>
          <w:del w:id="4062" w:author="AbbVie02no" w:date="2025-05-15T13:45:00Z"/>
          <w:sz w:val="22"/>
          <w:szCs w:val="22"/>
        </w:rPr>
        <w:pPrChange w:id="4063" w:author="AbbVie02no" w:date="2025-05-15T13:45:00Z">
          <w:pPr/>
        </w:pPrChange>
      </w:pPr>
    </w:p>
    <w:p w14:paraId="38E0002F" w14:textId="62012977" w:rsidR="00DE3458" w:rsidRPr="009C5EFD" w:rsidRDefault="00E453CD">
      <w:pPr>
        <w:keepNext/>
        <w:suppressAutoHyphens/>
        <w:rPr>
          <w:del w:id="4064" w:author="AbbVie02no" w:date="2025-05-15T13:45:00Z"/>
          <w:sz w:val="22"/>
          <w:szCs w:val="22"/>
        </w:rPr>
        <w:pPrChange w:id="4065" w:author="AbbVie02no" w:date="2025-05-15T13:45:00Z">
          <w:pPr/>
        </w:pPrChange>
      </w:pPr>
      <w:del w:id="4066" w:author="AbbVie02no" w:date="2025-05-15T13:45:00Z">
        <w:r w:rsidRPr="009C5EFD">
          <w:rPr>
            <w:sz w:val="22"/>
            <w:szCs w:val="22"/>
          </w:rPr>
          <w:delText xml:space="preserve">Gitt i kombinasjon med metotreksat har Humira vist seg å redusere </w:delText>
        </w:r>
        <w:r w:rsidRPr="009C5EFD">
          <w:rPr>
            <w:color w:val="000000"/>
            <w:sz w:val="22"/>
            <w:szCs w:val="22"/>
          </w:rPr>
          <w:delText>progresjonshastighet</w:delText>
        </w:r>
        <w:r w:rsidRPr="009C5EFD">
          <w:rPr>
            <w:sz w:val="22"/>
            <w:szCs w:val="22"/>
          </w:rPr>
          <w:delText xml:space="preserve"> av leddskade, målt ved røntgenundersøkelser, og å forbedre fysisk funksjon.</w:delText>
        </w:r>
      </w:del>
    </w:p>
    <w:p w14:paraId="0473E2AB" w14:textId="61A098CA" w:rsidR="00DE3458" w:rsidRPr="009C5EFD" w:rsidRDefault="00DE3458">
      <w:pPr>
        <w:keepNext/>
        <w:suppressAutoHyphens/>
        <w:rPr>
          <w:del w:id="4067" w:author="AbbVie02no" w:date="2025-05-15T13:45:00Z"/>
          <w:szCs w:val="22"/>
          <w:u w:val="single"/>
        </w:rPr>
        <w:pPrChange w:id="4068" w:author="AbbVie02no" w:date="2025-05-15T13:45:00Z">
          <w:pPr>
            <w:pStyle w:val="EMEANormal"/>
          </w:pPr>
        </w:pPrChange>
      </w:pPr>
    </w:p>
    <w:p w14:paraId="6CCB7A8F" w14:textId="00FC281F" w:rsidR="004560D4" w:rsidRPr="009C5EFD" w:rsidRDefault="00E453CD">
      <w:pPr>
        <w:keepNext/>
        <w:suppressAutoHyphens/>
        <w:rPr>
          <w:del w:id="4069" w:author="AbbVie02no" w:date="2025-05-15T13:45:00Z"/>
          <w:szCs w:val="22"/>
          <w:u w:val="single"/>
        </w:rPr>
        <w:pPrChange w:id="4070" w:author="AbbVie02no" w:date="2025-05-15T13:45:00Z">
          <w:pPr>
            <w:pStyle w:val="EMEANormal"/>
            <w:keepNext/>
          </w:pPr>
        </w:pPrChange>
      </w:pPr>
      <w:del w:id="4071" w:author="AbbVie02no" w:date="2025-05-15T13:45:00Z">
        <w:r w:rsidRPr="009C5EFD">
          <w:rPr>
            <w:szCs w:val="22"/>
            <w:u w:val="single"/>
          </w:rPr>
          <w:delText>Juvenil idiopatisk artritt</w:delText>
        </w:r>
      </w:del>
    </w:p>
    <w:p w14:paraId="5529A1E1" w14:textId="649BECB9" w:rsidR="004560D4" w:rsidRPr="009C5EFD" w:rsidRDefault="004560D4">
      <w:pPr>
        <w:keepNext/>
        <w:suppressAutoHyphens/>
        <w:rPr>
          <w:del w:id="4072" w:author="AbbVie02no" w:date="2025-05-15T13:45:00Z"/>
          <w:szCs w:val="22"/>
          <w:u w:val="single"/>
        </w:rPr>
        <w:pPrChange w:id="4073" w:author="AbbVie02no" w:date="2025-05-15T13:45:00Z">
          <w:pPr>
            <w:pStyle w:val="EMEANormal"/>
            <w:keepNext/>
          </w:pPr>
        </w:pPrChange>
      </w:pPr>
    </w:p>
    <w:p w14:paraId="39341E2A" w14:textId="3328C43D" w:rsidR="00DE3458" w:rsidRPr="001F5D4B" w:rsidRDefault="00E453CD">
      <w:pPr>
        <w:keepNext/>
        <w:suppressAutoHyphens/>
        <w:rPr>
          <w:del w:id="4074" w:author="AbbVie02no" w:date="2025-05-15T13:45:00Z"/>
          <w:i/>
          <w:szCs w:val="22"/>
        </w:rPr>
        <w:pPrChange w:id="4075" w:author="AbbVie02no" w:date="2025-05-15T13:45:00Z">
          <w:pPr>
            <w:pStyle w:val="EMEANormal"/>
            <w:keepNext/>
          </w:pPr>
        </w:pPrChange>
      </w:pPr>
      <w:del w:id="4076" w:author="AbbVie02no" w:date="2025-05-15T13:45:00Z">
        <w:r w:rsidRPr="001F5D4B">
          <w:rPr>
            <w:i/>
            <w:szCs w:val="22"/>
          </w:rPr>
          <w:delText>Polyartikulær juvenil idiopatisk artritt</w:delText>
        </w:r>
      </w:del>
    </w:p>
    <w:p w14:paraId="1F75FA8A" w14:textId="3DFD33F3" w:rsidR="00DE3458" w:rsidRPr="007F67EE" w:rsidRDefault="00DE3458">
      <w:pPr>
        <w:keepNext/>
        <w:suppressAutoHyphens/>
        <w:rPr>
          <w:del w:id="4077" w:author="AbbVie02no" w:date="2025-05-15T13:45:00Z"/>
          <w:sz w:val="22"/>
          <w:szCs w:val="22"/>
        </w:rPr>
        <w:pPrChange w:id="4078" w:author="AbbVie02no" w:date="2025-05-15T13:45:00Z">
          <w:pPr>
            <w:keepNext/>
          </w:pPr>
        </w:pPrChange>
      </w:pPr>
    </w:p>
    <w:p w14:paraId="0C194C57" w14:textId="46187F0A" w:rsidR="00DE3458" w:rsidRPr="009C5EFD" w:rsidRDefault="00E453CD">
      <w:pPr>
        <w:keepNext/>
        <w:suppressAutoHyphens/>
        <w:rPr>
          <w:del w:id="4079" w:author="AbbVie02no" w:date="2025-05-15T13:45:00Z"/>
          <w:sz w:val="22"/>
          <w:szCs w:val="22"/>
        </w:rPr>
        <w:pPrChange w:id="4080" w:author="AbbVie02no" w:date="2025-05-15T13:45:00Z">
          <w:pPr/>
        </w:pPrChange>
      </w:pPr>
      <w:del w:id="4081" w:author="AbbVie02no" w:date="2025-05-15T13:45:00Z">
        <w:r w:rsidRPr="00193D76">
          <w:rPr>
            <w:sz w:val="22"/>
            <w:szCs w:val="22"/>
          </w:rPr>
          <w:delText xml:space="preserve">Humira i kombinasjon med metotreksat er indisert </w:delText>
        </w:r>
        <w:r w:rsidR="00E07D52" w:rsidRPr="002D0790">
          <w:rPr>
            <w:sz w:val="22"/>
            <w:szCs w:val="22"/>
          </w:rPr>
          <w:delText xml:space="preserve">til </w:delText>
        </w:r>
        <w:r w:rsidRPr="002D0790">
          <w:rPr>
            <w:sz w:val="22"/>
            <w:szCs w:val="22"/>
          </w:rPr>
          <w:delText xml:space="preserve">behandling av aktiv polyartikulær juvenil idiopatisk artritt hos </w:delText>
        </w:r>
        <w:r w:rsidR="004560D4" w:rsidRPr="002D0790">
          <w:rPr>
            <w:sz w:val="22"/>
            <w:szCs w:val="22"/>
          </w:rPr>
          <w:delText>pasienter</w:delText>
        </w:r>
        <w:r w:rsidRPr="00E14E58">
          <w:rPr>
            <w:sz w:val="22"/>
            <w:szCs w:val="22"/>
          </w:rPr>
          <w:delText xml:space="preserve"> </w:delText>
        </w:r>
        <w:r w:rsidR="00D55A8E">
          <w:rPr>
            <w:sz w:val="22"/>
            <w:szCs w:val="22"/>
          </w:rPr>
          <w:delText>over</w:delText>
        </w:r>
        <w:r w:rsidR="00643D47" w:rsidRPr="009C5EFD">
          <w:rPr>
            <w:szCs w:val="22"/>
          </w:rPr>
          <w:delText xml:space="preserve"> </w:delText>
        </w:r>
        <w:r w:rsidR="001C4C13" w:rsidRPr="009C5EFD">
          <w:rPr>
            <w:sz w:val="22"/>
            <w:szCs w:val="22"/>
          </w:rPr>
          <w:delText xml:space="preserve">2 </w:delText>
        </w:r>
        <w:r w:rsidRPr="009C5EFD">
          <w:rPr>
            <w:sz w:val="22"/>
            <w:szCs w:val="22"/>
          </w:rPr>
          <w:delText>år</w:delText>
        </w:r>
        <w:r w:rsidR="00CA5E9D" w:rsidRPr="009C5EFD">
          <w:rPr>
            <w:sz w:val="22"/>
            <w:szCs w:val="22"/>
          </w:rPr>
          <w:delText>,</w:delText>
        </w:r>
        <w:r w:rsidRPr="009C5EFD">
          <w:rPr>
            <w:sz w:val="22"/>
            <w:szCs w:val="22"/>
          </w:rPr>
          <w:delText xml:space="preserve"> som har respondert utilstrekkelig på et eller flere sykdomsmodifiserende antirevmatiske legemidler (DMARDs). Humira kan gis som monoterapi i </w:delText>
        </w:r>
        <w:r w:rsidRPr="009C5EFD">
          <w:rPr>
            <w:sz w:val="22"/>
            <w:szCs w:val="22"/>
          </w:rPr>
          <w:lastRenderedPageBreak/>
          <w:delText>tilfelle intoleranse mot metotreksat</w:delText>
        </w:r>
        <w:r w:rsidR="00CA5E9D" w:rsidRPr="009C5EFD">
          <w:rPr>
            <w:sz w:val="22"/>
            <w:szCs w:val="22"/>
          </w:rPr>
          <w:delText>,</w:delText>
        </w:r>
        <w:r w:rsidRPr="009C5EFD">
          <w:rPr>
            <w:sz w:val="22"/>
            <w:szCs w:val="22"/>
          </w:rPr>
          <w:delText xml:space="preserve"> eller når fortsettelse av behandling med metotreksat ikke er hensiktsmessig </w:delText>
        </w:r>
        <w:r w:rsidR="00F70C68" w:rsidRPr="009C5EFD">
          <w:rPr>
            <w:sz w:val="22"/>
            <w:szCs w:val="22"/>
          </w:rPr>
          <w:delText xml:space="preserve">(for effekt ved monoterapi se pkt. 5.1) Humira er ikke studert hos </w:delText>
        </w:r>
        <w:r w:rsidR="004560D4" w:rsidRPr="009C5EFD">
          <w:rPr>
            <w:sz w:val="22"/>
            <w:szCs w:val="22"/>
          </w:rPr>
          <w:delText>pasienter</w:delText>
        </w:r>
        <w:r w:rsidR="00F70C68" w:rsidRPr="009C5EFD">
          <w:rPr>
            <w:sz w:val="22"/>
            <w:szCs w:val="22"/>
          </w:rPr>
          <w:delText xml:space="preserve"> </w:delText>
        </w:r>
        <w:r w:rsidR="00D55A8E">
          <w:rPr>
            <w:sz w:val="22"/>
            <w:szCs w:val="22"/>
          </w:rPr>
          <w:delText>under</w:delText>
        </w:r>
        <w:r w:rsidR="00F70C68" w:rsidRPr="009C5EFD">
          <w:rPr>
            <w:sz w:val="22"/>
            <w:szCs w:val="22"/>
          </w:rPr>
          <w:delText xml:space="preserve"> </w:delText>
        </w:r>
        <w:r w:rsidR="001C4C13" w:rsidRPr="009C5EFD">
          <w:rPr>
            <w:sz w:val="22"/>
            <w:szCs w:val="22"/>
          </w:rPr>
          <w:delText xml:space="preserve">2 </w:delText>
        </w:r>
        <w:r w:rsidR="00F70C68" w:rsidRPr="009C5EFD">
          <w:rPr>
            <w:sz w:val="22"/>
            <w:szCs w:val="22"/>
          </w:rPr>
          <w:delText>år.</w:delText>
        </w:r>
      </w:del>
    </w:p>
    <w:p w14:paraId="41924EAB" w14:textId="34CE80F8" w:rsidR="004560D4" w:rsidRPr="009C5EFD" w:rsidRDefault="004560D4">
      <w:pPr>
        <w:keepNext/>
        <w:suppressAutoHyphens/>
        <w:rPr>
          <w:del w:id="4082" w:author="AbbVie02no" w:date="2025-05-15T13:45:00Z"/>
          <w:sz w:val="22"/>
          <w:szCs w:val="22"/>
        </w:rPr>
        <w:pPrChange w:id="4083" w:author="AbbVie02no" w:date="2025-05-15T13:45:00Z">
          <w:pPr/>
        </w:pPrChange>
      </w:pPr>
    </w:p>
    <w:p w14:paraId="24E0BE47" w14:textId="51A16E51" w:rsidR="004560D4" w:rsidRPr="001F5D4B" w:rsidRDefault="00E453CD">
      <w:pPr>
        <w:keepNext/>
        <w:suppressAutoHyphens/>
        <w:rPr>
          <w:del w:id="4084" w:author="AbbVie02no" w:date="2025-05-15T13:45:00Z"/>
          <w:i/>
        </w:rPr>
        <w:pPrChange w:id="4085" w:author="AbbVie02no" w:date="2025-05-15T13:45:00Z">
          <w:pPr>
            <w:pStyle w:val="EMEANormal"/>
            <w:keepNext/>
          </w:pPr>
        </w:pPrChange>
      </w:pPr>
      <w:del w:id="4086" w:author="AbbVie02no" w:date="2025-05-15T13:45:00Z">
        <w:r w:rsidRPr="001F5D4B">
          <w:rPr>
            <w:i/>
          </w:rPr>
          <w:delText>Entesittrelatert artritt</w:delText>
        </w:r>
      </w:del>
    </w:p>
    <w:p w14:paraId="5CF0808F" w14:textId="3911FE35" w:rsidR="004560D4" w:rsidRPr="007F67EE" w:rsidRDefault="004560D4">
      <w:pPr>
        <w:keepNext/>
        <w:suppressAutoHyphens/>
        <w:rPr>
          <w:del w:id="4087" w:author="AbbVie02no" w:date="2025-05-15T13:45:00Z"/>
        </w:rPr>
        <w:pPrChange w:id="4088" w:author="AbbVie02no" w:date="2025-05-15T13:45:00Z">
          <w:pPr>
            <w:pStyle w:val="EMEANormal"/>
            <w:keepNext/>
          </w:pPr>
        </w:pPrChange>
      </w:pPr>
    </w:p>
    <w:p w14:paraId="1180D4D4" w14:textId="053B5692" w:rsidR="004560D4" w:rsidRPr="009C5EFD" w:rsidRDefault="00E453CD">
      <w:pPr>
        <w:keepNext/>
        <w:suppressAutoHyphens/>
        <w:rPr>
          <w:del w:id="4089" w:author="AbbVie02no" w:date="2025-05-15T13:45:00Z"/>
        </w:rPr>
        <w:pPrChange w:id="4090" w:author="AbbVie02no" w:date="2025-05-15T13:45:00Z">
          <w:pPr>
            <w:pStyle w:val="EMEANormal"/>
          </w:pPr>
        </w:pPrChange>
      </w:pPr>
      <w:del w:id="4091" w:author="AbbVie02no" w:date="2025-05-15T13:45:00Z">
        <w:r w:rsidRPr="00193D76">
          <w:delText xml:space="preserve">Humira er indisert til behandling av aktiv entesittrelatert artritt hos pasienter </w:delText>
        </w:r>
        <w:r w:rsidR="00D55A8E">
          <w:delText>over</w:delText>
        </w:r>
        <w:r w:rsidRPr="002D0790">
          <w:delText xml:space="preserve"> 6 år, som har respondert utilstrekkelig på eller som er intolerante ove</w:delText>
        </w:r>
        <w:r w:rsidR="000E4F32" w:rsidRPr="002D0790">
          <w:delText>r</w:delText>
        </w:r>
        <w:r w:rsidRPr="00E14E58">
          <w:delText xml:space="preserve">for </w:delText>
        </w:r>
        <w:r w:rsidR="007A1E0A">
          <w:delText>konvensjonell behandling</w:delText>
        </w:r>
        <w:r w:rsidRPr="009C5EFD">
          <w:delText xml:space="preserve"> (se </w:delText>
        </w:r>
        <w:r w:rsidRPr="009C5EFD">
          <w:rPr>
            <w:szCs w:val="22"/>
          </w:rPr>
          <w:delText>pkt. 5.1).</w:delText>
        </w:r>
      </w:del>
    </w:p>
    <w:p w14:paraId="16718B8E" w14:textId="5074D00B" w:rsidR="00DE3458" w:rsidRPr="009C5EFD" w:rsidRDefault="00DE3458">
      <w:pPr>
        <w:keepNext/>
        <w:suppressAutoHyphens/>
        <w:rPr>
          <w:del w:id="4092" w:author="AbbVie02no" w:date="2025-05-15T13:45:00Z"/>
          <w:sz w:val="22"/>
          <w:szCs w:val="22"/>
        </w:rPr>
        <w:pPrChange w:id="4093" w:author="AbbVie02no" w:date="2025-05-15T13:45:00Z">
          <w:pPr/>
        </w:pPrChange>
      </w:pPr>
    </w:p>
    <w:p w14:paraId="1D038574" w14:textId="2E61A420" w:rsidR="00613B28" w:rsidRPr="009C5EFD" w:rsidRDefault="00E453CD">
      <w:pPr>
        <w:keepNext/>
        <w:suppressAutoHyphens/>
        <w:rPr>
          <w:del w:id="4094" w:author="AbbVie02no" w:date="2025-05-15T13:45:00Z"/>
          <w:szCs w:val="22"/>
        </w:rPr>
        <w:pPrChange w:id="4095" w:author="AbbVie02no" w:date="2025-05-15T13:45:00Z">
          <w:pPr>
            <w:pStyle w:val="EMEAHeadingUnderline"/>
            <w:keepNext/>
            <w:tabs>
              <w:tab w:val="clear" w:pos="562"/>
            </w:tabs>
            <w:suppressAutoHyphens w:val="0"/>
            <w:spacing w:beforeLines="0" w:before="0" w:afterLines="0" w:after="0"/>
          </w:pPr>
        </w:pPrChange>
      </w:pPr>
      <w:del w:id="4096" w:author="AbbVie02no" w:date="2025-05-15T13:45:00Z">
        <w:r w:rsidRPr="009C5EFD">
          <w:rPr>
            <w:szCs w:val="22"/>
          </w:rPr>
          <w:delText>Aksial spondylartritt</w:delText>
        </w:r>
      </w:del>
    </w:p>
    <w:p w14:paraId="2B2375D4" w14:textId="72E2217C" w:rsidR="00613B28" w:rsidRPr="009C5EFD" w:rsidRDefault="00613B28">
      <w:pPr>
        <w:keepNext/>
        <w:suppressAutoHyphens/>
        <w:rPr>
          <w:del w:id="4097" w:author="AbbVie02no" w:date="2025-05-15T13:45:00Z"/>
          <w:szCs w:val="22"/>
        </w:rPr>
        <w:pPrChange w:id="4098" w:author="AbbVie02no" w:date="2025-05-15T13:45:00Z">
          <w:pPr>
            <w:pStyle w:val="EMEAHeadingUnderline"/>
            <w:keepNext/>
            <w:tabs>
              <w:tab w:val="clear" w:pos="562"/>
            </w:tabs>
            <w:suppressAutoHyphens w:val="0"/>
            <w:spacing w:beforeLines="0" w:before="0" w:afterLines="0" w:after="0"/>
          </w:pPr>
        </w:pPrChange>
      </w:pPr>
    </w:p>
    <w:p w14:paraId="0A6C12D2" w14:textId="68A52971" w:rsidR="002A031C" w:rsidRPr="001F5D4B" w:rsidRDefault="00E453CD">
      <w:pPr>
        <w:keepNext/>
        <w:suppressAutoHyphens/>
        <w:rPr>
          <w:del w:id="4099" w:author="AbbVie02no" w:date="2025-05-15T13:45:00Z"/>
          <w:i/>
          <w:szCs w:val="22"/>
        </w:rPr>
        <w:pPrChange w:id="4100" w:author="AbbVie02no" w:date="2025-05-15T13:45:00Z">
          <w:pPr>
            <w:pStyle w:val="EMEAHeadingUnderline"/>
            <w:tabs>
              <w:tab w:val="clear" w:pos="562"/>
            </w:tabs>
            <w:suppressAutoHyphens w:val="0"/>
            <w:spacing w:beforeLines="0" w:before="0" w:afterLines="0" w:after="0"/>
          </w:pPr>
        </w:pPrChange>
      </w:pPr>
      <w:del w:id="4101" w:author="AbbVie02no" w:date="2025-05-15T13:45:00Z">
        <w:r w:rsidRPr="001F5D4B">
          <w:rPr>
            <w:i/>
            <w:szCs w:val="22"/>
          </w:rPr>
          <w:delText>Bekhterevs sykdom (ankyloserende spondylitt)</w:delText>
        </w:r>
      </w:del>
    </w:p>
    <w:p w14:paraId="6F1ABCBB" w14:textId="2333D1C8" w:rsidR="002A031C" w:rsidRPr="007F67EE" w:rsidRDefault="002A031C">
      <w:pPr>
        <w:keepNext/>
        <w:suppressAutoHyphens/>
        <w:rPr>
          <w:del w:id="4102" w:author="AbbVie02no" w:date="2025-05-15T13:45:00Z"/>
          <w:sz w:val="22"/>
          <w:szCs w:val="22"/>
        </w:rPr>
        <w:pPrChange w:id="4103" w:author="AbbVie02no" w:date="2025-05-15T13:45:00Z">
          <w:pPr/>
        </w:pPrChange>
      </w:pPr>
    </w:p>
    <w:p w14:paraId="6FC745D8" w14:textId="52597A0D" w:rsidR="002A031C" w:rsidRPr="009C5EFD" w:rsidRDefault="00E453CD">
      <w:pPr>
        <w:keepNext/>
        <w:suppressAutoHyphens/>
        <w:rPr>
          <w:del w:id="4104" w:author="AbbVie02no" w:date="2025-05-15T13:45:00Z"/>
          <w:sz w:val="22"/>
          <w:szCs w:val="22"/>
        </w:rPr>
        <w:pPrChange w:id="4105" w:author="AbbVie02no" w:date="2025-05-15T13:45:00Z">
          <w:pPr/>
        </w:pPrChange>
      </w:pPr>
      <w:del w:id="4106" w:author="AbbVie02no" w:date="2025-05-15T13:45:00Z">
        <w:r w:rsidRPr="00193D76">
          <w:rPr>
            <w:sz w:val="22"/>
            <w:szCs w:val="22"/>
          </w:rPr>
          <w:delText xml:space="preserve">Humira er indisert </w:delText>
        </w:r>
        <w:r w:rsidR="00E07D52" w:rsidRPr="002D0790">
          <w:rPr>
            <w:sz w:val="22"/>
            <w:szCs w:val="22"/>
          </w:rPr>
          <w:delText xml:space="preserve">til </w:delText>
        </w:r>
        <w:r w:rsidRPr="002D0790">
          <w:rPr>
            <w:sz w:val="22"/>
            <w:szCs w:val="22"/>
          </w:rPr>
          <w:delText>behandling av voksne med alvorlig aktiv Bekhterevs sykdom (ankyloserende spondylitt)</w:delText>
        </w:r>
        <w:r w:rsidR="00BD62F1" w:rsidRPr="002D0790">
          <w:rPr>
            <w:sz w:val="22"/>
            <w:szCs w:val="22"/>
          </w:rPr>
          <w:delText>, og</w:delText>
        </w:r>
        <w:r w:rsidRPr="00E14E58">
          <w:rPr>
            <w:sz w:val="22"/>
            <w:szCs w:val="22"/>
          </w:rPr>
          <w:delText xml:space="preserve"> som har respondert utilstrekkelig på </w:delText>
        </w:r>
        <w:r w:rsidR="007A1E0A">
          <w:rPr>
            <w:sz w:val="22"/>
            <w:szCs w:val="22"/>
          </w:rPr>
          <w:delText>konvensjonell behandling</w:delText>
        </w:r>
        <w:r w:rsidRPr="009C5EFD">
          <w:rPr>
            <w:sz w:val="22"/>
            <w:szCs w:val="22"/>
          </w:rPr>
          <w:delText>.</w:delText>
        </w:r>
      </w:del>
    </w:p>
    <w:p w14:paraId="4ACF6FAC" w14:textId="4DAC1499" w:rsidR="00BD1DC7" w:rsidRPr="009C5EFD" w:rsidRDefault="00BD1DC7">
      <w:pPr>
        <w:keepNext/>
        <w:suppressAutoHyphens/>
        <w:rPr>
          <w:del w:id="4107" w:author="AbbVie02no" w:date="2025-05-15T13:45:00Z"/>
          <w:sz w:val="22"/>
          <w:szCs w:val="22"/>
          <w:u w:val="single"/>
        </w:rPr>
        <w:pPrChange w:id="4108" w:author="AbbVie02no" w:date="2025-05-15T13:45:00Z">
          <w:pPr/>
        </w:pPrChange>
      </w:pPr>
    </w:p>
    <w:p w14:paraId="12FBEB3C" w14:textId="72954E2E" w:rsidR="00613B28" w:rsidRPr="001F5D4B" w:rsidRDefault="00E453CD">
      <w:pPr>
        <w:keepNext/>
        <w:suppressAutoHyphens/>
        <w:rPr>
          <w:del w:id="4109" w:author="AbbVie02no" w:date="2025-05-15T13:45:00Z"/>
          <w:i/>
          <w:sz w:val="22"/>
          <w:szCs w:val="22"/>
        </w:rPr>
        <w:pPrChange w:id="4110" w:author="AbbVie02no" w:date="2025-05-15T13:45:00Z">
          <w:pPr>
            <w:keepNext/>
          </w:pPr>
        </w:pPrChange>
      </w:pPr>
      <w:del w:id="4111" w:author="AbbVie02no" w:date="2025-05-15T13:45:00Z">
        <w:r w:rsidRPr="001F5D4B">
          <w:rPr>
            <w:i/>
            <w:sz w:val="22"/>
            <w:szCs w:val="22"/>
          </w:rPr>
          <w:delText xml:space="preserve">Aksial spondylartritt uten </w:delText>
        </w:r>
        <w:r w:rsidR="00677BE5" w:rsidRPr="001F5D4B">
          <w:rPr>
            <w:i/>
            <w:sz w:val="22"/>
            <w:szCs w:val="22"/>
          </w:rPr>
          <w:delText>radiografisk bekreftelse</w:delText>
        </w:r>
        <w:r w:rsidRPr="001F5D4B">
          <w:rPr>
            <w:i/>
            <w:sz w:val="22"/>
            <w:szCs w:val="22"/>
          </w:rPr>
          <w:delText xml:space="preserve"> på ankyloserende spondylitt</w:delText>
        </w:r>
      </w:del>
    </w:p>
    <w:p w14:paraId="657C16CA" w14:textId="64E53DC2" w:rsidR="00613B28" w:rsidRPr="007F67EE" w:rsidRDefault="00613B28">
      <w:pPr>
        <w:keepNext/>
        <w:suppressAutoHyphens/>
        <w:rPr>
          <w:del w:id="4112" w:author="AbbVie02no" w:date="2025-05-15T13:45:00Z"/>
          <w:sz w:val="22"/>
          <w:szCs w:val="22"/>
          <w:u w:val="single"/>
        </w:rPr>
        <w:pPrChange w:id="4113" w:author="AbbVie02no" w:date="2025-05-15T13:45:00Z">
          <w:pPr>
            <w:keepNext/>
          </w:pPr>
        </w:pPrChange>
      </w:pPr>
    </w:p>
    <w:p w14:paraId="648333D9" w14:textId="4382AD8B" w:rsidR="00613B28" w:rsidRPr="009C5EFD" w:rsidRDefault="00E453CD">
      <w:pPr>
        <w:keepNext/>
        <w:suppressAutoHyphens/>
        <w:rPr>
          <w:del w:id="4114" w:author="AbbVie02no" w:date="2025-05-15T13:45:00Z"/>
          <w:sz w:val="22"/>
          <w:szCs w:val="22"/>
        </w:rPr>
        <w:pPrChange w:id="4115" w:author="AbbVie02no" w:date="2025-05-15T13:45:00Z">
          <w:pPr/>
        </w:pPrChange>
      </w:pPr>
      <w:del w:id="4116" w:author="AbbVie02no" w:date="2025-05-15T13:45:00Z">
        <w:r w:rsidRPr="00193D76">
          <w:rPr>
            <w:sz w:val="22"/>
            <w:szCs w:val="22"/>
          </w:rPr>
          <w:delText xml:space="preserve">Humira er indisert </w:delText>
        </w:r>
        <w:r w:rsidR="00E07D52" w:rsidRPr="002D0790">
          <w:rPr>
            <w:sz w:val="22"/>
            <w:szCs w:val="22"/>
          </w:rPr>
          <w:delText xml:space="preserve">til </w:delText>
        </w:r>
        <w:r w:rsidRPr="002D0790">
          <w:rPr>
            <w:sz w:val="22"/>
            <w:szCs w:val="22"/>
          </w:rPr>
          <w:delText xml:space="preserve">behandling av voksne med alvorlig aksial spondylartritt uten </w:delText>
        </w:r>
        <w:r w:rsidR="00677BE5" w:rsidRPr="002D0790">
          <w:rPr>
            <w:sz w:val="22"/>
            <w:szCs w:val="22"/>
          </w:rPr>
          <w:delText>radiografisk bekreftelse</w:delText>
        </w:r>
        <w:r w:rsidRPr="002D0790">
          <w:rPr>
            <w:sz w:val="22"/>
            <w:szCs w:val="22"/>
          </w:rPr>
          <w:delText xml:space="preserve"> på ankyloserende spo</w:delText>
        </w:r>
        <w:r w:rsidR="00AA41D2" w:rsidRPr="00E14E58">
          <w:rPr>
            <w:sz w:val="22"/>
            <w:szCs w:val="22"/>
          </w:rPr>
          <w:delText>ndylitt, men med objektive tegn på inflam</w:delText>
        </w:r>
        <w:r w:rsidR="00AA41D2" w:rsidRPr="009C5EFD">
          <w:rPr>
            <w:sz w:val="22"/>
            <w:szCs w:val="22"/>
          </w:rPr>
          <w:delText xml:space="preserve">masjon vist ved økt CRP og/eller MRI, som har respondert utilstrekkelig eller er intolerante </w:delText>
        </w:r>
        <w:r w:rsidR="00B53068" w:rsidRPr="009C5EFD">
          <w:rPr>
            <w:sz w:val="22"/>
            <w:szCs w:val="22"/>
          </w:rPr>
          <w:delText>overfor</w:delText>
        </w:r>
        <w:r w:rsidR="00AA41D2" w:rsidRPr="009C5EFD">
          <w:rPr>
            <w:sz w:val="22"/>
            <w:szCs w:val="22"/>
          </w:rPr>
          <w:delText xml:space="preserve"> ikke-steroide anti</w:delText>
        </w:r>
        <w:r w:rsidR="00402715" w:rsidRPr="009C5EFD">
          <w:rPr>
            <w:sz w:val="22"/>
            <w:szCs w:val="22"/>
          </w:rPr>
          <w:delText>inflammatoriske midler</w:delText>
        </w:r>
        <w:r w:rsidR="00BE192A">
          <w:rPr>
            <w:sz w:val="22"/>
            <w:szCs w:val="22"/>
          </w:rPr>
          <w:delText xml:space="preserve"> </w:delText>
        </w:r>
        <w:r w:rsidR="003F10B3" w:rsidRPr="003F10B3">
          <w:rPr>
            <w:sz w:val="22"/>
            <w:szCs w:val="22"/>
          </w:rPr>
          <w:delText>(NSAIDs)</w:delText>
        </w:r>
        <w:r w:rsidR="00402715" w:rsidRPr="009C5EFD">
          <w:rPr>
            <w:sz w:val="22"/>
            <w:szCs w:val="22"/>
          </w:rPr>
          <w:delText>.</w:delText>
        </w:r>
        <w:r w:rsidR="00AA41D2" w:rsidRPr="009C5EFD">
          <w:rPr>
            <w:sz w:val="22"/>
            <w:szCs w:val="22"/>
          </w:rPr>
          <w:delText xml:space="preserve"> </w:delText>
        </w:r>
      </w:del>
    </w:p>
    <w:p w14:paraId="1868FE53" w14:textId="07487475" w:rsidR="00613B28" w:rsidRPr="009C5EFD" w:rsidRDefault="00613B28">
      <w:pPr>
        <w:keepNext/>
        <w:suppressAutoHyphens/>
        <w:rPr>
          <w:del w:id="4117" w:author="AbbVie02no" w:date="2025-05-15T13:45:00Z"/>
          <w:sz w:val="22"/>
          <w:szCs w:val="22"/>
          <w:u w:val="single"/>
        </w:rPr>
        <w:pPrChange w:id="4118" w:author="AbbVie02no" w:date="2025-05-15T13:45:00Z">
          <w:pPr/>
        </w:pPrChange>
      </w:pPr>
    </w:p>
    <w:p w14:paraId="0EF17E9C" w14:textId="338B10F4" w:rsidR="00DE3458" w:rsidRPr="009C5EFD" w:rsidRDefault="00E453CD">
      <w:pPr>
        <w:keepNext/>
        <w:suppressAutoHyphens/>
        <w:rPr>
          <w:del w:id="4119" w:author="AbbVie02no" w:date="2025-05-15T13:45:00Z"/>
          <w:sz w:val="22"/>
          <w:szCs w:val="22"/>
          <w:u w:val="single"/>
        </w:rPr>
        <w:pPrChange w:id="4120" w:author="AbbVie02no" w:date="2025-05-15T13:45:00Z">
          <w:pPr>
            <w:keepNext/>
          </w:pPr>
        </w:pPrChange>
      </w:pPr>
      <w:del w:id="4121" w:author="AbbVie02no" w:date="2025-05-15T13:45:00Z">
        <w:r w:rsidRPr="009C5EFD">
          <w:rPr>
            <w:sz w:val="22"/>
            <w:szCs w:val="22"/>
            <w:u w:val="single"/>
          </w:rPr>
          <w:delText>Psoriasisartritt</w:delText>
        </w:r>
      </w:del>
    </w:p>
    <w:p w14:paraId="6192F2F2" w14:textId="79161D2E" w:rsidR="00DE3458" w:rsidRPr="009C5EFD" w:rsidRDefault="00DE3458">
      <w:pPr>
        <w:keepNext/>
        <w:suppressAutoHyphens/>
        <w:rPr>
          <w:del w:id="4122" w:author="AbbVie02no" w:date="2025-05-15T13:45:00Z"/>
          <w:sz w:val="22"/>
          <w:szCs w:val="22"/>
        </w:rPr>
        <w:pPrChange w:id="4123" w:author="AbbVie02no" w:date="2025-05-15T13:45:00Z">
          <w:pPr>
            <w:keepNext/>
          </w:pPr>
        </w:pPrChange>
      </w:pPr>
    </w:p>
    <w:p w14:paraId="5D7F2AAB" w14:textId="55D3221E" w:rsidR="00DE3458" w:rsidRPr="009C5EFD" w:rsidRDefault="00E453CD">
      <w:pPr>
        <w:keepNext/>
        <w:suppressAutoHyphens/>
        <w:rPr>
          <w:del w:id="4124" w:author="AbbVie02no" w:date="2025-05-15T13:45:00Z"/>
          <w:sz w:val="22"/>
          <w:szCs w:val="22"/>
        </w:rPr>
        <w:pPrChange w:id="4125" w:author="AbbVie02no" w:date="2025-05-15T13:45:00Z">
          <w:pPr/>
        </w:pPrChange>
      </w:pPr>
      <w:del w:id="4126" w:author="AbbVie02no" w:date="2025-05-15T13:45:00Z">
        <w:r w:rsidRPr="009C5EFD">
          <w:rPr>
            <w:sz w:val="22"/>
            <w:szCs w:val="22"/>
          </w:rPr>
          <w:delText xml:space="preserve">Humira er indisert </w:delText>
        </w:r>
        <w:r w:rsidR="00E07D52" w:rsidRPr="009C5EFD">
          <w:rPr>
            <w:sz w:val="22"/>
            <w:szCs w:val="22"/>
          </w:rPr>
          <w:delText xml:space="preserve">til </w:delText>
        </w:r>
        <w:r w:rsidRPr="009C5EFD">
          <w:rPr>
            <w:sz w:val="22"/>
            <w:szCs w:val="22"/>
          </w:rPr>
          <w:delText xml:space="preserve">behandling av aktiv og progredierende </w:delText>
        </w:r>
        <w:r w:rsidR="00FA0A10" w:rsidRPr="009C5EFD">
          <w:rPr>
            <w:sz w:val="22"/>
            <w:szCs w:val="22"/>
          </w:rPr>
          <w:delText>psoriasisartritt</w:delText>
        </w:r>
        <w:r w:rsidRPr="009C5EFD">
          <w:rPr>
            <w:sz w:val="22"/>
            <w:szCs w:val="22"/>
          </w:rPr>
          <w:delText xml:space="preserve"> hos voksne når responsen på tidligere </w:delText>
        </w:r>
        <w:r w:rsidRPr="009C5EFD">
          <w:rPr>
            <w:color w:val="000000"/>
            <w:sz w:val="22"/>
            <w:szCs w:val="22"/>
          </w:rPr>
          <w:delText xml:space="preserve">behandling med </w:delText>
        </w:r>
        <w:r w:rsidRPr="009C5EFD">
          <w:rPr>
            <w:sz w:val="22"/>
            <w:szCs w:val="22"/>
          </w:rPr>
          <w:delText xml:space="preserve">sykdomsmodifiserende </w:delText>
        </w:r>
        <w:r w:rsidRPr="009C5EFD">
          <w:rPr>
            <w:color w:val="000000"/>
            <w:sz w:val="22"/>
            <w:szCs w:val="22"/>
          </w:rPr>
          <w:delText>antirevmatiske legemidler</w:delText>
        </w:r>
        <w:r w:rsidRPr="009C5EFD">
          <w:rPr>
            <w:sz w:val="22"/>
            <w:szCs w:val="22"/>
          </w:rPr>
          <w:delText xml:space="preserve"> ikke </w:delText>
        </w:r>
        <w:r w:rsidRPr="009C5EFD">
          <w:rPr>
            <w:color w:val="000000"/>
            <w:sz w:val="22"/>
            <w:szCs w:val="22"/>
          </w:rPr>
          <w:delText>har vært</w:delText>
        </w:r>
        <w:r w:rsidRPr="009C5EFD">
          <w:rPr>
            <w:sz w:val="22"/>
            <w:szCs w:val="22"/>
          </w:rPr>
          <w:delText xml:space="preserve"> tilfredsstillende. Humira har vist å redusere progresjonshastighet av perifer leddskade, målt ved røntgen, hos pasienter med polyartikulære, symmetriske undergrupper av sykdommen (se pkt. 5.1) og å forbedre fysisk funksjon.</w:delText>
        </w:r>
      </w:del>
    </w:p>
    <w:p w14:paraId="7294CC84" w14:textId="1FD0B6A3" w:rsidR="00FA0A10" w:rsidRPr="001F5D4B" w:rsidRDefault="00FA0A10">
      <w:pPr>
        <w:keepNext/>
        <w:suppressAutoHyphens/>
        <w:rPr>
          <w:del w:id="4127" w:author="AbbVie02no" w:date="2025-05-15T13:45:00Z"/>
          <w:sz w:val="22"/>
          <w:szCs w:val="22"/>
        </w:rPr>
        <w:pPrChange w:id="4128" w:author="AbbVie02no" w:date="2025-05-15T13:45:00Z">
          <w:pPr/>
        </w:pPrChange>
      </w:pPr>
    </w:p>
    <w:p w14:paraId="5176E175" w14:textId="56F6EE95" w:rsidR="00FA0A10" w:rsidRPr="007F67EE" w:rsidRDefault="00E453CD">
      <w:pPr>
        <w:keepNext/>
        <w:suppressAutoHyphens/>
        <w:rPr>
          <w:del w:id="4129" w:author="AbbVie02no" w:date="2025-05-15T13:45:00Z"/>
          <w:sz w:val="22"/>
          <w:szCs w:val="22"/>
          <w:u w:val="single"/>
        </w:rPr>
        <w:pPrChange w:id="4130" w:author="AbbVie02no" w:date="2025-05-15T13:45:00Z">
          <w:pPr>
            <w:keepNext/>
          </w:pPr>
        </w:pPrChange>
      </w:pPr>
      <w:del w:id="4131" w:author="AbbVie02no" w:date="2025-05-15T13:45:00Z">
        <w:r w:rsidRPr="007F67EE">
          <w:rPr>
            <w:sz w:val="22"/>
            <w:szCs w:val="22"/>
            <w:u w:val="single"/>
          </w:rPr>
          <w:delText>Psoriasis</w:delText>
        </w:r>
      </w:del>
    </w:p>
    <w:p w14:paraId="58B428EF" w14:textId="5A2BABD6" w:rsidR="00FA0A10" w:rsidRPr="001F5D4B" w:rsidRDefault="00FA0A10">
      <w:pPr>
        <w:keepNext/>
        <w:suppressAutoHyphens/>
        <w:rPr>
          <w:del w:id="4132" w:author="AbbVie02no" w:date="2025-05-15T13:45:00Z"/>
          <w:sz w:val="22"/>
          <w:szCs w:val="22"/>
        </w:rPr>
        <w:pPrChange w:id="4133" w:author="AbbVie02no" w:date="2025-05-15T13:45:00Z">
          <w:pPr>
            <w:keepNext/>
          </w:pPr>
        </w:pPrChange>
      </w:pPr>
    </w:p>
    <w:p w14:paraId="12933417" w14:textId="134F4EE7" w:rsidR="00FA0A10" w:rsidRPr="002D0790" w:rsidRDefault="00E453CD">
      <w:pPr>
        <w:keepNext/>
        <w:suppressAutoHyphens/>
        <w:rPr>
          <w:del w:id="4134" w:author="AbbVie02no" w:date="2025-05-15T13:45:00Z"/>
          <w:sz w:val="22"/>
          <w:szCs w:val="22"/>
        </w:rPr>
        <w:pPrChange w:id="4135" w:author="AbbVie02no" w:date="2025-05-15T13:45:00Z">
          <w:pPr/>
        </w:pPrChange>
      </w:pPr>
      <w:del w:id="4136" w:author="AbbVie02no" w:date="2025-05-15T13:45:00Z">
        <w:r w:rsidRPr="007F67EE">
          <w:rPr>
            <w:sz w:val="22"/>
            <w:szCs w:val="22"/>
          </w:rPr>
          <w:delText xml:space="preserve">Humira er indisert </w:delText>
        </w:r>
        <w:r w:rsidR="00E07D52" w:rsidRPr="00193D76">
          <w:rPr>
            <w:sz w:val="22"/>
            <w:szCs w:val="22"/>
          </w:rPr>
          <w:delText>til</w:delText>
        </w:r>
        <w:r w:rsidR="00E07D52" w:rsidRPr="002D0790">
          <w:rPr>
            <w:sz w:val="22"/>
            <w:szCs w:val="22"/>
          </w:rPr>
          <w:delText xml:space="preserve"> </w:delText>
        </w:r>
        <w:r w:rsidRPr="002D0790">
          <w:rPr>
            <w:sz w:val="22"/>
            <w:szCs w:val="22"/>
          </w:rPr>
          <w:delText xml:space="preserve">behandling av moderat til alvorlig kronisk plakkpsoriasis hos voksne pasienter som </w:delText>
        </w:r>
        <w:r w:rsidR="00792D70">
          <w:rPr>
            <w:sz w:val="22"/>
            <w:szCs w:val="22"/>
          </w:rPr>
          <w:delText xml:space="preserve">er kandidater for </w:delText>
        </w:r>
        <w:r w:rsidRPr="002D0790">
          <w:rPr>
            <w:sz w:val="22"/>
            <w:szCs w:val="22"/>
          </w:rPr>
          <w:delText xml:space="preserve">systemisk </w:delText>
        </w:r>
        <w:r w:rsidR="00B50BD1">
          <w:rPr>
            <w:sz w:val="22"/>
            <w:szCs w:val="22"/>
          </w:rPr>
          <w:delText>behandling</w:delText>
        </w:r>
        <w:r w:rsidRPr="002D0790">
          <w:rPr>
            <w:sz w:val="22"/>
            <w:szCs w:val="22"/>
          </w:rPr>
          <w:delText>.</w:delText>
        </w:r>
      </w:del>
    </w:p>
    <w:p w14:paraId="344212F9" w14:textId="6492BE78" w:rsidR="008B5F69" w:rsidRPr="00E14E58" w:rsidRDefault="008B5F69">
      <w:pPr>
        <w:keepNext/>
        <w:suppressAutoHyphens/>
        <w:rPr>
          <w:del w:id="4137" w:author="AbbVie02no" w:date="2025-05-15T13:45:00Z"/>
          <w:sz w:val="22"/>
          <w:szCs w:val="22"/>
          <w:u w:val="single"/>
        </w:rPr>
        <w:pPrChange w:id="4138" w:author="AbbVie02no" w:date="2025-05-15T13:45:00Z">
          <w:pPr/>
        </w:pPrChange>
      </w:pPr>
    </w:p>
    <w:p w14:paraId="65DEB245" w14:textId="1CA1F280" w:rsidR="00365FE6" w:rsidRPr="009C5EFD" w:rsidRDefault="00E453CD">
      <w:pPr>
        <w:keepNext/>
        <w:suppressAutoHyphens/>
        <w:rPr>
          <w:del w:id="4139" w:author="AbbVie02no" w:date="2025-05-15T13:45:00Z"/>
          <w:sz w:val="22"/>
          <w:szCs w:val="22"/>
          <w:u w:val="single"/>
        </w:rPr>
        <w:pPrChange w:id="4140" w:author="AbbVie02no" w:date="2025-05-15T13:45:00Z">
          <w:pPr>
            <w:keepNext/>
          </w:pPr>
        </w:pPrChange>
      </w:pPr>
      <w:del w:id="4141" w:author="AbbVie02no" w:date="2025-05-15T13:45:00Z">
        <w:r w:rsidRPr="009C5EFD">
          <w:rPr>
            <w:sz w:val="22"/>
            <w:szCs w:val="22"/>
            <w:u w:val="single"/>
          </w:rPr>
          <w:delText>Pediatrisk plakkpsoriasis</w:delText>
        </w:r>
      </w:del>
    </w:p>
    <w:p w14:paraId="2B69FCC6" w14:textId="0BE0E71A" w:rsidR="00365FE6" w:rsidRPr="009C5EFD" w:rsidRDefault="00365FE6">
      <w:pPr>
        <w:keepNext/>
        <w:suppressAutoHyphens/>
        <w:rPr>
          <w:del w:id="4142" w:author="AbbVie02no" w:date="2025-05-15T13:45:00Z"/>
          <w:sz w:val="22"/>
          <w:szCs w:val="22"/>
        </w:rPr>
        <w:pPrChange w:id="4143" w:author="AbbVie02no" w:date="2025-05-15T13:45:00Z">
          <w:pPr>
            <w:keepNext/>
          </w:pPr>
        </w:pPrChange>
      </w:pPr>
    </w:p>
    <w:p w14:paraId="1C130D80" w14:textId="769A1D53" w:rsidR="00365FE6" w:rsidRPr="009C5EFD" w:rsidRDefault="00E453CD">
      <w:pPr>
        <w:keepNext/>
        <w:suppressAutoHyphens/>
        <w:rPr>
          <w:del w:id="4144" w:author="AbbVie02no" w:date="2025-05-15T13:45:00Z"/>
          <w:sz w:val="22"/>
          <w:szCs w:val="22"/>
        </w:rPr>
        <w:pPrChange w:id="4145" w:author="AbbVie02no" w:date="2025-05-15T13:45:00Z">
          <w:pPr/>
        </w:pPrChange>
      </w:pPr>
      <w:del w:id="4146" w:author="AbbVie02no" w:date="2025-05-15T13:45:00Z">
        <w:r w:rsidRPr="009C5EFD">
          <w:rPr>
            <w:sz w:val="22"/>
            <w:szCs w:val="22"/>
          </w:rPr>
          <w:delText xml:space="preserve">Humira er indisert til behandling av alvorlig </w:delText>
        </w:r>
        <w:r w:rsidR="00FD7E64" w:rsidRPr="009C5EFD">
          <w:rPr>
            <w:sz w:val="22"/>
            <w:szCs w:val="22"/>
          </w:rPr>
          <w:delText xml:space="preserve">kronisk </w:delText>
        </w:r>
        <w:r w:rsidRPr="009C5EFD">
          <w:rPr>
            <w:sz w:val="22"/>
            <w:szCs w:val="22"/>
          </w:rPr>
          <w:delText xml:space="preserve">plakkpsoriasis hos barn og ungdom </w:delText>
        </w:r>
        <w:r w:rsidR="00D55A8E">
          <w:rPr>
            <w:sz w:val="22"/>
            <w:szCs w:val="22"/>
          </w:rPr>
          <w:delText>over</w:delText>
        </w:r>
        <w:r w:rsidRPr="009C5EFD">
          <w:rPr>
            <w:sz w:val="22"/>
            <w:szCs w:val="22"/>
          </w:rPr>
          <w:delText xml:space="preserve"> 4 år</w:delText>
        </w:r>
        <w:r w:rsidR="00CA5E9D" w:rsidRPr="009C5EFD">
          <w:rPr>
            <w:sz w:val="22"/>
            <w:szCs w:val="22"/>
          </w:rPr>
          <w:delText>,</w:delText>
        </w:r>
        <w:r w:rsidRPr="009C5EFD">
          <w:rPr>
            <w:sz w:val="22"/>
            <w:szCs w:val="22"/>
          </w:rPr>
          <w:delText xml:space="preserve"> som har respondert utilstrekkelig </w:delText>
        </w:r>
        <w:r w:rsidR="00FD7E64" w:rsidRPr="009C5EFD">
          <w:rPr>
            <w:sz w:val="22"/>
            <w:szCs w:val="22"/>
          </w:rPr>
          <w:delText>på</w:delText>
        </w:r>
        <w:r w:rsidR="009950A2" w:rsidRPr="009C5EFD">
          <w:rPr>
            <w:sz w:val="22"/>
            <w:szCs w:val="22"/>
          </w:rPr>
          <w:delText xml:space="preserve"> eller </w:delText>
        </w:r>
        <w:r w:rsidR="00B979C6" w:rsidRPr="009C5EFD">
          <w:rPr>
            <w:sz w:val="22"/>
            <w:szCs w:val="22"/>
          </w:rPr>
          <w:delText xml:space="preserve">som </w:delText>
        </w:r>
        <w:r w:rsidR="009950A2" w:rsidRPr="009C5EFD">
          <w:rPr>
            <w:sz w:val="22"/>
            <w:szCs w:val="22"/>
          </w:rPr>
          <w:delText>er uegne</w:delText>
        </w:r>
        <w:r w:rsidR="00B979C6" w:rsidRPr="009C5EFD">
          <w:rPr>
            <w:sz w:val="22"/>
            <w:szCs w:val="22"/>
          </w:rPr>
          <w:delText>de kandidater</w:delText>
        </w:r>
        <w:r w:rsidRPr="009C5EFD">
          <w:rPr>
            <w:sz w:val="22"/>
            <w:szCs w:val="22"/>
          </w:rPr>
          <w:delText xml:space="preserve"> for topikal behandling og </w:delText>
        </w:r>
        <w:r w:rsidR="00726E6B">
          <w:rPr>
            <w:sz w:val="22"/>
            <w:szCs w:val="22"/>
          </w:rPr>
          <w:delText>lysbehandling</w:delText>
        </w:r>
        <w:r w:rsidRPr="009C5EFD">
          <w:rPr>
            <w:sz w:val="22"/>
            <w:szCs w:val="22"/>
          </w:rPr>
          <w:delText xml:space="preserve">. </w:delText>
        </w:r>
      </w:del>
    </w:p>
    <w:p w14:paraId="21F9AB9D" w14:textId="1163E79A" w:rsidR="00365FE6" w:rsidRPr="009C5EFD" w:rsidRDefault="00365FE6">
      <w:pPr>
        <w:keepNext/>
        <w:suppressAutoHyphens/>
        <w:rPr>
          <w:del w:id="4147" w:author="AbbVie02no" w:date="2025-05-15T13:45:00Z"/>
          <w:sz w:val="22"/>
          <w:szCs w:val="22"/>
          <w:u w:val="single"/>
        </w:rPr>
        <w:pPrChange w:id="4148" w:author="AbbVie02no" w:date="2025-05-15T13:45:00Z">
          <w:pPr/>
        </w:pPrChange>
      </w:pPr>
    </w:p>
    <w:p w14:paraId="02395DC9" w14:textId="7616BA27" w:rsidR="00BD5FC8" w:rsidRPr="002D0790" w:rsidRDefault="00E453CD">
      <w:pPr>
        <w:keepNext/>
        <w:suppressAutoHyphens/>
        <w:rPr>
          <w:del w:id="4149" w:author="AbbVie02no" w:date="2025-05-15T13:45:00Z"/>
          <w:sz w:val="22"/>
          <w:szCs w:val="22"/>
          <w:u w:val="single"/>
        </w:rPr>
        <w:pPrChange w:id="4150" w:author="AbbVie02no" w:date="2025-05-15T13:45:00Z">
          <w:pPr>
            <w:keepNext/>
          </w:pPr>
        </w:pPrChange>
      </w:pPr>
      <w:del w:id="4151" w:author="AbbVie02no" w:date="2025-05-15T13:45:00Z">
        <w:r w:rsidRPr="009C5EFD">
          <w:rPr>
            <w:sz w:val="22"/>
            <w:szCs w:val="22"/>
            <w:u w:val="single"/>
          </w:rPr>
          <w:delText>Hidradenit</w:delText>
        </w:r>
        <w:r w:rsidR="00505F9D">
          <w:rPr>
            <w:sz w:val="22"/>
            <w:szCs w:val="22"/>
            <w:u w:val="single"/>
          </w:rPr>
          <w:delText>is</w:delText>
        </w:r>
        <w:r w:rsidRPr="009C5EFD">
          <w:rPr>
            <w:sz w:val="22"/>
            <w:szCs w:val="22"/>
            <w:u w:val="single"/>
          </w:rPr>
          <w:delText xml:space="preserve"> </w:delText>
        </w:r>
        <w:r w:rsidR="002D0790" w:rsidRPr="00776A84">
          <w:rPr>
            <w:iCs/>
            <w:u w:val="single"/>
          </w:rPr>
          <w:delText>suppurativa</w:delText>
        </w:r>
        <w:r w:rsidR="002D0790" w:rsidRPr="002D0790">
          <w:rPr>
            <w:sz w:val="22"/>
            <w:szCs w:val="22"/>
            <w:u w:val="single"/>
          </w:rPr>
          <w:delText xml:space="preserve"> </w:delText>
        </w:r>
        <w:r w:rsidR="009E6457">
          <w:rPr>
            <w:sz w:val="22"/>
            <w:szCs w:val="22"/>
            <w:u w:val="single"/>
          </w:rPr>
          <w:delText>(</w:delText>
        </w:r>
        <w:r w:rsidRPr="002D0790">
          <w:rPr>
            <w:sz w:val="22"/>
            <w:szCs w:val="22"/>
            <w:u w:val="single"/>
          </w:rPr>
          <w:delText>HS)</w:delText>
        </w:r>
      </w:del>
    </w:p>
    <w:p w14:paraId="6DCFA0E3" w14:textId="60F070D0" w:rsidR="005C3658" w:rsidRPr="002D0790" w:rsidRDefault="005C3658">
      <w:pPr>
        <w:keepNext/>
        <w:suppressAutoHyphens/>
        <w:rPr>
          <w:del w:id="4152" w:author="AbbVie02no" w:date="2025-05-15T13:45:00Z"/>
          <w:sz w:val="22"/>
          <w:szCs w:val="22"/>
          <w:u w:val="single"/>
        </w:rPr>
        <w:pPrChange w:id="4153" w:author="AbbVie02no" w:date="2025-05-15T13:45:00Z">
          <w:pPr>
            <w:keepNext/>
          </w:pPr>
        </w:pPrChange>
      </w:pPr>
    </w:p>
    <w:p w14:paraId="515C1F80" w14:textId="616316E0" w:rsidR="00A1249D" w:rsidRPr="009C5EFD" w:rsidRDefault="00E453CD">
      <w:pPr>
        <w:keepNext/>
        <w:suppressAutoHyphens/>
        <w:rPr>
          <w:del w:id="4154" w:author="AbbVie02no" w:date="2025-05-15T13:45:00Z"/>
          <w:sz w:val="22"/>
          <w:szCs w:val="22"/>
        </w:rPr>
        <w:pPrChange w:id="4155" w:author="AbbVie02no" w:date="2025-05-15T13:45:00Z">
          <w:pPr/>
        </w:pPrChange>
      </w:pPr>
      <w:del w:id="4156" w:author="AbbVie02no" w:date="2025-05-15T13:45:00Z">
        <w:r w:rsidRPr="00E14E58">
          <w:rPr>
            <w:sz w:val="22"/>
            <w:szCs w:val="22"/>
          </w:rPr>
          <w:delText xml:space="preserve">Humira er indisert til behandling av aktiv moderat til alvorlig </w:delText>
        </w:r>
        <w:r w:rsidR="007F67EE" w:rsidRPr="009C5EFD">
          <w:rPr>
            <w:sz w:val="22"/>
            <w:szCs w:val="22"/>
          </w:rPr>
          <w:delText>hidrosadenitt</w:delText>
        </w:r>
        <w:r w:rsidRPr="009C5EFD">
          <w:rPr>
            <w:sz w:val="22"/>
            <w:szCs w:val="22"/>
          </w:rPr>
          <w:delText xml:space="preserve"> (svettekjertelbetennelse) hos voksne </w:delText>
        </w:r>
        <w:r>
          <w:rPr>
            <w:sz w:val="22"/>
            <w:szCs w:val="22"/>
          </w:rPr>
          <w:delText xml:space="preserve">og ungdom </w:delText>
        </w:r>
        <w:r w:rsidR="00D55A8E">
          <w:rPr>
            <w:sz w:val="22"/>
            <w:szCs w:val="22"/>
          </w:rPr>
          <w:delText>over</w:delText>
        </w:r>
        <w:r>
          <w:rPr>
            <w:sz w:val="22"/>
            <w:szCs w:val="22"/>
          </w:rPr>
          <w:delText xml:space="preserve"> 12 år,</w:delText>
        </w:r>
        <w:r w:rsidRPr="009C5EFD">
          <w:rPr>
            <w:sz w:val="22"/>
            <w:szCs w:val="22"/>
          </w:rPr>
          <w:delText xml:space="preserve"> som har respondert utilstrekkelig på </w:delText>
        </w:r>
        <w:r w:rsidR="00267645" w:rsidRPr="009C5EFD">
          <w:rPr>
            <w:sz w:val="22"/>
            <w:szCs w:val="22"/>
          </w:rPr>
          <w:delText>konvensjonell systemisk behandling</w:delText>
        </w:r>
        <w:r w:rsidR="003A344C" w:rsidRPr="009C5EFD">
          <w:rPr>
            <w:sz w:val="22"/>
            <w:szCs w:val="22"/>
          </w:rPr>
          <w:delText xml:space="preserve"> av HS</w:delText>
        </w:r>
        <w:r>
          <w:rPr>
            <w:sz w:val="22"/>
            <w:szCs w:val="22"/>
          </w:rPr>
          <w:delText xml:space="preserve"> </w:delText>
        </w:r>
        <w:r w:rsidRPr="00A1249D">
          <w:rPr>
            <w:sz w:val="22"/>
            <w:szCs w:val="22"/>
          </w:rPr>
          <w:delText>(se pkt. 5.1 og 5.2)</w:delText>
        </w:r>
        <w:r w:rsidR="00267645" w:rsidRPr="009C5EFD">
          <w:rPr>
            <w:sz w:val="22"/>
            <w:szCs w:val="22"/>
          </w:rPr>
          <w:delText>.</w:delText>
        </w:r>
      </w:del>
    </w:p>
    <w:p w14:paraId="563145CB" w14:textId="31716B17" w:rsidR="005C3658" w:rsidRPr="009C5EFD" w:rsidRDefault="005C3658">
      <w:pPr>
        <w:keepNext/>
        <w:suppressAutoHyphens/>
        <w:rPr>
          <w:del w:id="4157" w:author="AbbVie02no" w:date="2025-05-15T13:45:00Z"/>
          <w:sz w:val="22"/>
          <w:szCs w:val="22"/>
          <w:u w:val="single"/>
        </w:rPr>
        <w:pPrChange w:id="4158" w:author="AbbVie02no" w:date="2025-05-15T13:45:00Z">
          <w:pPr/>
        </w:pPrChange>
      </w:pPr>
    </w:p>
    <w:p w14:paraId="3B4F63D9" w14:textId="3A771B53" w:rsidR="008B5F69" w:rsidRPr="009C5EFD" w:rsidRDefault="00E453CD">
      <w:pPr>
        <w:keepNext/>
        <w:suppressAutoHyphens/>
        <w:rPr>
          <w:del w:id="4159" w:author="AbbVie02no" w:date="2025-05-15T13:45:00Z"/>
          <w:sz w:val="22"/>
          <w:szCs w:val="22"/>
        </w:rPr>
        <w:pPrChange w:id="4160" w:author="AbbVie02no" w:date="2025-05-15T13:45:00Z">
          <w:pPr>
            <w:keepNext/>
          </w:pPr>
        </w:pPrChange>
      </w:pPr>
      <w:del w:id="4161" w:author="AbbVie02no" w:date="2025-05-15T13:45:00Z">
        <w:r w:rsidRPr="009C5EFD">
          <w:rPr>
            <w:sz w:val="22"/>
            <w:szCs w:val="22"/>
            <w:u w:val="single"/>
          </w:rPr>
          <w:delText>Crohns sykdom</w:delText>
        </w:r>
      </w:del>
    </w:p>
    <w:p w14:paraId="6FB65345" w14:textId="066016BF" w:rsidR="008B5F69" w:rsidRPr="009C5EFD" w:rsidRDefault="008B5F69">
      <w:pPr>
        <w:keepNext/>
        <w:suppressAutoHyphens/>
        <w:rPr>
          <w:del w:id="4162" w:author="AbbVie02no" w:date="2025-05-15T13:45:00Z"/>
          <w:sz w:val="22"/>
          <w:szCs w:val="22"/>
        </w:rPr>
        <w:pPrChange w:id="4163" w:author="AbbVie02no" w:date="2025-05-15T13:45:00Z">
          <w:pPr>
            <w:keepNext/>
          </w:pPr>
        </w:pPrChange>
      </w:pPr>
    </w:p>
    <w:p w14:paraId="40A57D4C" w14:textId="78BE9702" w:rsidR="00DE3458" w:rsidRPr="009C5EFD" w:rsidRDefault="00E453CD">
      <w:pPr>
        <w:keepNext/>
        <w:suppressAutoHyphens/>
        <w:rPr>
          <w:del w:id="4164" w:author="AbbVie02no" w:date="2025-05-15T13:45:00Z"/>
          <w:sz w:val="22"/>
          <w:szCs w:val="22"/>
        </w:rPr>
        <w:pPrChange w:id="4165" w:author="AbbVie02no" w:date="2025-05-15T13:45:00Z">
          <w:pPr/>
        </w:pPrChange>
      </w:pPr>
      <w:del w:id="4166" w:author="AbbVie02no" w:date="2025-05-15T13:45:00Z">
        <w:r w:rsidRPr="009C5EFD">
          <w:rPr>
            <w:sz w:val="22"/>
            <w:szCs w:val="22"/>
          </w:rPr>
          <w:delText xml:space="preserve">Humira er indisert </w:delText>
        </w:r>
        <w:r w:rsidR="00E07D52" w:rsidRPr="009C5EFD">
          <w:rPr>
            <w:sz w:val="22"/>
            <w:szCs w:val="22"/>
          </w:rPr>
          <w:delText xml:space="preserve">til </w:delText>
        </w:r>
        <w:r w:rsidRPr="009C5EFD">
          <w:rPr>
            <w:sz w:val="22"/>
            <w:szCs w:val="22"/>
          </w:rPr>
          <w:delText xml:space="preserve">behandling av </w:delText>
        </w:r>
        <w:r w:rsidR="00762B97" w:rsidRPr="009C5EFD">
          <w:rPr>
            <w:sz w:val="22"/>
            <w:szCs w:val="22"/>
          </w:rPr>
          <w:delText xml:space="preserve">moderat til </w:delText>
        </w:r>
        <w:r w:rsidRPr="009C5EFD">
          <w:rPr>
            <w:sz w:val="22"/>
            <w:szCs w:val="22"/>
          </w:rPr>
          <w:delText xml:space="preserve">alvorlig aktiv Crohns sykdom hos </w:delText>
        </w:r>
        <w:r w:rsidR="00762B97" w:rsidRPr="009C5EFD">
          <w:rPr>
            <w:sz w:val="22"/>
            <w:szCs w:val="22"/>
          </w:rPr>
          <w:delText xml:space="preserve">voksne </w:delText>
        </w:r>
        <w:r w:rsidRPr="009C5EFD">
          <w:rPr>
            <w:sz w:val="22"/>
            <w:szCs w:val="22"/>
          </w:rPr>
          <w:delText xml:space="preserve">pasienter som ikke har respondert på en fullstendig og adekvat behandling med kortikosteroid og/eller </w:delText>
        </w:r>
        <w:r w:rsidRPr="009C5EFD">
          <w:rPr>
            <w:sz w:val="22"/>
            <w:szCs w:val="22"/>
          </w:rPr>
          <w:lastRenderedPageBreak/>
          <w:delText xml:space="preserve">immunsuppressivt legemiddel, eller som </w:delText>
        </w:r>
        <w:r w:rsidR="00840036" w:rsidRPr="009C5EFD">
          <w:rPr>
            <w:sz w:val="22"/>
            <w:szCs w:val="22"/>
          </w:rPr>
          <w:delText>ikke tolererer</w:delText>
        </w:r>
        <w:r w:rsidRPr="009C5EFD">
          <w:rPr>
            <w:sz w:val="22"/>
            <w:szCs w:val="22"/>
          </w:rPr>
          <w:delText xml:space="preserve"> eller har kontraindikasjoner mot slik behandling.</w:delText>
        </w:r>
      </w:del>
    </w:p>
    <w:p w14:paraId="27C49092" w14:textId="42B42648" w:rsidR="003851C1" w:rsidRPr="009C5EFD" w:rsidRDefault="003851C1">
      <w:pPr>
        <w:keepNext/>
        <w:suppressAutoHyphens/>
        <w:rPr>
          <w:del w:id="4167" w:author="AbbVie02no" w:date="2025-05-15T13:45:00Z"/>
          <w:sz w:val="22"/>
          <w:szCs w:val="22"/>
        </w:rPr>
        <w:pPrChange w:id="4168" w:author="AbbVie02no" w:date="2025-05-15T13:45:00Z">
          <w:pPr/>
        </w:pPrChange>
      </w:pPr>
    </w:p>
    <w:p w14:paraId="3AEB0137" w14:textId="2D4A6305" w:rsidR="003851C1" w:rsidRPr="009C5EFD" w:rsidRDefault="00E453CD">
      <w:pPr>
        <w:keepNext/>
        <w:suppressAutoHyphens/>
        <w:rPr>
          <w:del w:id="4169" w:author="AbbVie02no" w:date="2025-05-15T13:45:00Z"/>
          <w:szCs w:val="22"/>
          <w:u w:val="single"/>
        </w:rPr>
        <w:pPrChange w:id="4170" w:author="AbbVie02no" w:date="2025-05-15T13:45:00Z">
          <w:pPr>
            <w:pStyle w:val="EMEANormal"/>
            <w:keepNext/>
          </w:pPr>
        </w:pPrChange>
      </w:pPr>
      <w:del w:id="4171" w:author="AbbVie02no" w:date="2025-05-15T13:45:00Z">
        <w:r w:rsidRPr="009C5EFD">
          <w:rPr>
            <w:szCs w:val="22"/>
            <w:u w:val="single"/>
          </w:rPr>
          <w:delText>Pediatrisk Crohns sykdom</w:delText>
        </w:r>
      </w:del>
    </w:p>
    <w:p w14:paraId="649A5C17" w14:textId="19C578AE" w:rsidR="003851C1" w:rsidRPr="009C5EFD" w:rsidRDefault="003851C1">
      <w:pPr>
        <w:keepNext/>
        <w:suppressAutoHyphens/>
        <w:rPr>
          <w:del w:id="4172" w:author="AbbVie02no" w:date="2025-05-15T13:45:00Z"/>
          <w:szCs w:val="22"/>
          <w:u w:val="single"/>
        </w:rPr>
        <w:pPrChange w:id="4173" w:author="AbbVie02no" w:date="2025-05-15T13:45:00Z">
          <w:pPr>
            <w:pStyle w:val="EMEANormal"/>
            <w:keepNext/>
          </w:pPr>
        </w:pPrChange>
      </w:pPr>
    </w:p>
    <w:p w14:paraId="10CBD8A4" w14:textId="2197CB78" w:rsidR="003851C1" w:rsidRPr="009C5EFD" w:rsidRDefault="00E453CD">
      <w:pPr>
        <w:keepNext/>
        <w:suppressAutoHyphens/>
        <w:rPr>
          <w:del w:id="4174" w:author="AbbVie02no" w:date="2025-05-15T13:45:00Z"/>
          <w:sz w:val="22"/>
          <w:szCs w:val="22"/>
        </w:rPr>
        <w:pPrChange w:id="4175" w:author="AbbVie02no" w:date="2025-05-15T13:45:00Z">
          <w:pPr/>
        </w:pPrChange>
      </w:pPr>
      <w:del w:id="4176" w:author="AbbVie02no" w:date="2025-05-15T13:45:00Z">
        <w:r w:rsidRPr="009C5EFD">
          <w:rPr>
            <w:sz w:val="22"/>
            <w:szCs w:val="22"/>
          </w:rPr>
          <w:delText xml:space="preserve">Humira er indisert </w:delText>
        </w:r>
        <w:r w:rsidR="00E07D52" w:rsidRPr="009C5EFD">
          <w:rPr>
            <w:sz w:val="22"/>
            <w:szCs w:val="22"/>
          </w:rPr>
          <w:delText xml:space="preserve">til </w:delText>
        </w:r>
        <w:r w:rsidRPr="009C5EFD">
          <w:rPr>
            <w:sz w:val="22"/>
            <w:szCs w:val="22"/>
          </w:rPr>
          <w:delText xml:space="preserve">behandling av </w:delText>
        </w:r>
        <w:r w:rsidR="002214FF">
          <w:rPr>
            <w:sz w:val="22"/>
            <w:szCs w:val="22"/>
          </w:rPr>
          <w:delText xml:space="preserve">moderat til </w:delText>
        </w:r>
        <w:r w:rsidRPr="009C5EFD">
          <w:rPr>
            <w:sz w:val="22"/>
            <w:szCs w:val="22"/>
          </w:rPr>
          <w:delText>alvorlig aktiv Crohns sykdom hos pediatriske pasienter (</w:delText>
        </w:r>
        <w:r w:rsidR="00D55A8E">
          <w:rPr>
            <w:sz w:val="22"/>
            <w:szCs w:val="22"/>
          </w:rPr>
          <w:delText>over</w:delText>
        </w:r>
        <w:r w:rsidRPr="009C5EFD">
          <w:rPr>
            <w:sz w:val="22"/>
            <w:szCs w:val="22"/>
          </w:rPr>
          <w:delText xml:space="preserve"> 6 år)</w:delText>
        </w:r>
        <w:r w:rsidR="00CA5E9D" w:rsidRPr="009C5EFD">
          <w:rPr>
            <w:sz w:val="22"/>
            <w:szCs w:val="22"/>
          </w:rPr>
          <w:delText>,</w:delText>
        </w:r>
        <w:r w:rsidRPr="009C5EFD">
          <w:rPr>
            <w:sz w:val="22"/>
            <w:szCs w:val="22"/>
          </w:rPr>
          <w:delText xml:space="preserve"> som har respondert utilstrekkelig på </w:delText>
        </w:r>
        <w:r w:rsidR="007A1E0A">
          <w:rPr>
            <w:sz w:val="22"/>
            <w:szCs w:val="22"/>
          </w:rPr>
          <w:delText>konvensjonell behandling</w:delText>
        </w:r>
        <w:r w:rsidRPr="009C5EFD">
          <w:rPr>
            <w:sz w:val="22"/>
            <w:szCs w:val="22"/>
          </w:rPr>
          <w:delText xml:space="preserve"> inkludert primær ernæringsterapi </w:delText>
        </w:r>
        <w:r w:rsidR="001440C4">
          <w:rPr>
            <w:sz w:val="22"/>
            <w:szCs w:val="22"/>
          </w:rPr>
          <w:delText xml:space="preserve">og </w:delText>
        </w:r>
        <w:r w:rsidRPr="009C5EFD">
          <w:rPr>
            <w:sz w:val="22"/>
            <w:szCs w:val="22"/>
          </w:rPr>
          <w:delText>et kortikosteroid og</w:delText>
        </w:r>
        <w:r w:rsidR="002214FF">
          <w:rPr>
            <w:sz w:val="22"/>
            <w:szCs w:val="22"/>
          </w:rPr>
          <w:delText>/eller</w:delText>
        </w:r>
        <w:r w:rsidRPr="009C5EFD">
          <w:rPr>
            <w:sz w:val="22"/>
            <w:szCs w:val="22"/>
          </w:rPr>
          <w:delText xml:space="preserve"> et immunmodulerende legemiddel, eller som ikke tolererer eller har kontraindikasjoner mot slike behandlinger.</w:delText>
        </w:r>
      </w:del>
    </w:p>
    <w:p w14:paraId="7742CFD6" w14:textId="576589F1" w:rsidR="008B5F69" w:rsidRPr="009C5EFD" w:rsidRDefault="008B5F69">
      <w:pPr>
        <w:keepNext/>
        <w:suppressAutoHyphens/>
        <w:rPr>
          <w:del w:id="4177" w:author="AbbVie02no" w:date="2025-05-15T13:45:00Z"/>
          <w:sz w:val="22"/>
          <w:szCs w:val="22"/>
        </w:rPr>
        <w:pPrChange w:id="4178" w:author="AbbVie02no" w:date="2025-05-15T13:45:00Z">
          <w:pPr/>
        </w:pPrChange>
      </w:pPr>
    </w:p>
    <w:p w14:paraId="592C30CA" w14:textId="0E7B2256" w:rsidR="008B5F69" w:rsidRPr="009C5EFD" w:rsidRDefault="00E453CD">
      <w:pPr>
        <w:keepNext/>
        <w:suppressAutoHyphens/>
        <w:rPr>
          <w:del w:id="4179" w:author="AbbVie02no" w:date="2025-05-15T13:45:00Z"/>
          <w:sz w:val="22"/>
          <w:szCs w:val="22"/>
          <w:u w:val="single"/>
        </w:rPr>
        <w:pPrChange w:id="4180" w:author="AbbVie02no" w:date="2025-05-15T13:45:00Z">
          <w:pPr>
            <w:keepNext/>
          </w:pPr>
        </w:pPrChange>
      </w:pPr>
      <w:del w:id="4181" w:author="AbbVie02no" w:date="2025-05-15T13:45:00Z">
        <w:r w:rsidRPr="009C5EFD">
          <w:rPr>
            <w:sz w:val="22"/>
            <w:szCs w:val="22"/>
            <w:u w:val="single"/>
          </w:rPr>
          <w:delText>Ulcerøs kolitt</w:delText>
        </w:r>
      </w:del>
    </w:p>
    <w:p w14:paraId="0F588C87" w14:textId="24E0FD75" w:rsidR="009F6528" w:rsidRPr="009C5EFD" w:rsidRDefault="009F6528">
      <w:pPr>
        <w:keepNext/>
        <w:suppressAutoHyphens/>
        <w:rPr>
          <w:del w:id="4182" w:author="AbbVie02no" w:date="2025-05-15T13:45:00Z"/>
          <w:sz w:val="22"/>
          <w:szCs w:val="22"/>
          <w:u w:val="single"/>
        </w:rPr>
        <w:pPrChange w:id="4183" w:author="AbbVie02no" w:date="2025-05-15T13:45:00Z">
          <w:pPr>
            <w:keepNext/>
          </w:pPr>
        </w:pPrChange>
      </w:pPr>
    </w:p>
    <w:p w14:paraId="5313D409" w14:textId="146F44CF" w:rsidR="00EA7EDC" w:rsidRDefault="00E453CD">
      <w:pPr>
        <w:keepNext/>
        <w:suppressAutoHyphens/>
        <w:rPr>
          <w:del w:id="4184" w:author="AbbVie02no" w:date="2025-05-15T13:45:00Z"/>
          <w:sz w:val="22"/>
          <w:szCs w:val="22"/>
        </w:rPr>
        <w:pPrChange w:id="4185" w:author="AbbVie02no" w:date="2025-05-15T13:45:00Z">
          <w:pPr/>
        </w:pPrChange>
      </w:pPr>
      <w:del w:id="4186" w:author="AbbVie02no" w:date="2025-05-15T13:45:00Z">
        <w:r w:rsidRPr="009C5EFD">
          <w:rPr>
            <w:sz w:val="22"/>
            <w:szCs w:val="22"/>
          </w:rPr>
          <w:delText xml:space="preserve">Humira er indisert </w:delText>
        </w:r>
        <w:r w:rsidR="00E07D52" w:rsidRPr="009C5EFD">
          <w:rPr>
            <w:sz w:val="22"/>
            <w:szCs w:val="22"/>
          </w:rPr>
          <w:delText xml:space="preserve">til </w:delText>
        </w:r>
        <w:r w:rsidRPr="009C5EFD">
          <w:rPr>
            <w:sz w:val="22"/>
            <w:szCs w:val="22"/>
          </w:rPr>
          <w:delText>behandling av moderat til alvorlig aktiv ulcerøs kolitt hos voksne pasienter som har hatt utilstrekkel</w:delText>
        </w:r>
        <w:r w:rsidR="00AA6619" w:rsidRPr="009C5EFD">
          <w:rPr>
            <w:sz w:val="22"/>
            <w:szCs w:val="22"/>
          </w:rPr>
          <w:delText>ig respons på</w:delText>
        </w:r>
        <w:r w:rsidRPr="009C5EFD">
          <w:rPr>
            <w:sz w:val="22"/>
            <w:szCs w:val="22"/>
          </w:rPr>
          <w:delText xml:space="preserve"> ko</w:delText>
        </w:r>
        <w:r w:rsidR="00AA6619" w:rsidRPr="009C5EFD">
          <w:rPr>
            <w:sz w:val="22"/>
            <w:szCs w:val="22"/>
          </w:rPr>
          <w:delText>nvensjonell behandling inklusive kortikosteroider og 6-merkaptopurin</w:delText>
        </w:r>
        <w:r w:rsidRPr="009C5EFD">
          <w:rPr>
            <w:sz w:val="22"/>
            <w:szCs w:val="22"/>
          </w:rPr>
          <w:delText xml:space="preserve"> (6-MP) eller azatioprin (AZA), eller som </w:delText>
        </w:r>
        <w:r w:rsidR="00AA6619" w:rsidRPr="009C5EFD">
          <w:rPr>
            <w:sz w:val="22"/>
            <w:szCs w:val="22"/>
          </w:rPr>
          <w:delText>ikke tolererer</w:delText>
        </w:r>
        <w:r w:rsidRPr="009C5EFD">
          <w:rPr>
            <w:sz w:val="22"/>
            <w:szCs w:val="22"/>
          </w:rPr>
          <w:delText xml:space="preserve"> </w:delText>
        </w:r>
        <w:r w:rsidR="00840036" w:rsidRPr="009C5EFD">
          <w:rPr>
            <w:sz w:val="22"/>
            <w:szCs w:val="22"/>
          </w:rPr>
          <w:delText>eller har kontraindikasjoner mot</w:delText>
        </w:r>
        <w:r w:rsidR="00AA6619" w:rsidRPr="009C5EFD">
          <w:rPr>
            <w:sz w:val="22"/>
            <w:szCs w:val="22"/>
          </w:rPr>
          <w:delText xml:space="preserve"> slike behandlinger.</w:delText>
        </w:r>
      </w:del>
    </w:p>
    <w:p w14:paraId="3ABA3191" w14:textId="0BAF7FB6" w:rsidR="00061CCF" w:rsidRDefault="00061CCF">
      <w:pPr>
        <w:keepNext/>
        <w:suppressAutoHyphens/>
        <w:rPr>
          <w:del w:id="4187" w:author="AbbVie02no" w:date="2025-05-15T13:45:00Z"/>
          <w:sz w:val="22"/>
          <w:szCs w:val="22"/>
        </w:rPr>
        <w:pPrChange w:id="4188" w:author="AbbVie02no" w:date="2025-05-15T13:45:00Z">
          <w:pPr/>
        </w:pPrChange>
      </w:pPr>
    </w:p>
    <w:p w14:paraId="140C486B" w14:textId="65BCA9EF" w:rsidR="00501579" w:rsidRPr="00E04B2A" w:rsidRDefault="00E453CD">
      <w:pPr>
        <w:keepNext/>
        <w:suppressAutoHyphens/>
        <w:rPr>
          <w:del w:id="4189" w:author="AbbVie02no" w:date="2025-05-15T13:45:00Z"/>
          <w:sz w:val="22"/>
          <w:u w:val="single"/>
        </w:rPr>
        <w:pPrChange w:id="4190" w:author="AbbVie02no" w:date="2025-05-15T13:45:00Z">
          <w:pPr/>
        </w:pPrChange>
      </w:pPr>
      <w:del w:id="4191" w:author="AbbVie02no" w:date="2025-05-15T13:45:00Z">
        <w:r w:rsidRPr="00E04B2A">
          <w:rPr>
            <w:sz w:val="22"/>
            <w:u w:val="single"/>
          </w:rPr>
          <w:delText>Pediatrisk ulcerøs kolitt</w:delText>
        </w:r>
      </w:del>
    </w:p>
    <w:p w14:paraId="3642E1F3" w14:textId="11D0167C" w:rsidR="00501579" w:rsidRPr="00E04B2A" w:rsidRDefault="00501579">
      <w:pPr>
        <w:keepNext/>
        <w:suppressAutoHyphens/>
        <w:rPr>
          <w:del w:id="4192" w:author="AbbVie02no" w:date="2025-05-15T13:45:00Z"/>
          <w:sz w:val="22"/>
          <w:u w:val="single"/>
        </w:rPr>
        <w:pPrChange w:id="4193" w:author="AbbVie02no" w:date="2025-05-15T13:45:00Z">
          <w:pPr/>
        </w:pPrChange>
      </w:pPr>
    </w:p>
    <w:p w14:paraId="3EE30025" w14:textId="6153E764" w:rsidR="00501579" w:rsidRPr="00E04B2A" w:rsidRDefault="00E453CD">
      <w:pPr>
        <w:keepNext/>
        <w:suppressAutoHyphens/>
        <w:rPr>
          <w:del w:id="4194" w:author="AbbVie02no" w:date="2025-05-15T13:45:00Z"/>
          <w:sz w:val="22"/>
        </w:rPr>
        <w:pPrChange w:id="4195" w:author="AbbVie02no" w:date="2025-05-15T13:45:00Z">
          <w:pPr/>
        </w:pPrChange>
      </w:pPr>
      <w:del w:id="4196" w:author="AbbVie02no" w:date="2025-05-15T13:45:00Z">
        <w:r w:rsidRPr="00E04B2A">
          <w:rPr>
            <w:sz w:val="22"/>
          </w:rPr>
          <w:delText xml:space="preserve">Humira er indisert </w:delText>
        </w:r>
        <w:r w:rsidR="004567EE">
          <w:rPr>
            <w:sz w:val="22"/>
          </w:rPr>
          <w:delText>til</w:delText>
        </w:r>
        <w:r w:rsidRPr="00E04B2A">
          <w:rPr>
            <w:sz w:val="22"/>
          </w:rPr>
          <w:delText xml:space="preserve"> behandling av moderat til alvorlig aktiv ulcerøs kolitt hos </w:delText>
        </w:r>
        <w:r w:rsidR="004567EE" w:rsidRPr="004567EE">
          <w:rPr>
            <w:sz w:val="22"/>
          </w:rPr>
          <w:delText>pediatriske pasienter</w:delText>
        </w:r>
        <w:r w:rsidRPr="00E04B2A">
          <w:rPr>
            <w:sz w:val="22"/>
          </w:rPr>
          <w:delText xml:space="preserve"> (</w:delText>
        </w:r>
        <w:r w:rsidR="004567EE">
          <w:rPr>
            <w:sz w:val="22"/>
          </w:rPr>
          <w:delText>over</w:delText>
        </w:r>
        <w:r w:rsidRPr="00E04B2A">
          <w:rPr>
            <w:sz w:val="22"/>
          </w:rPr>
          <w:delText xml:space="preserve"> 6 år) som har </w:delText>
        </w:r>
        <w:r w:rsidR="004567EE" w:rsidRPr="004567EE">
          <w:rPr>
            <w:sz w:val="22"/>
          </w:rPr>
          <w:delText>respondert</w:delText>
        </w:r>
        <w:r w:rsidRPr="00E04B2A">
          <w:rPr>
            <w:sz w:val="22"/>
          </w:rPr>
          <w:delText xml:space="preserve"> utilstrekkelig på konvensjonell behandling inkludert kortikosteroider og/eller 6-merkaptopurin (6-MP) eller azatioprin (AZA), eller som </w:delText>
        </w:r>
        <w:r w:rsidR="004567EE" w:rsidRPr="004567EE">
          <w:rPr>
            <w:sz w:val="22"/>
          </w:rPr>
          <w:delText>ikke tolererer</w:delText>
        </w:r>
        <w:r w:rsidRPr="00E04B2A">
          <w:rPr>
            <w:sz w:val="22"/>
          </w:rPr>
          <w:delText xml:space="preserve"> eller har medisinske kontraindikasjoner </w:delText>
        </w:r>
        <w:r w:rsidR="004567EE">
          <w:rPr>
            <w:sz w:val="22"/>
          </w:rPr>
          <w:delText>mot</w:delText>
        </w:r>
        <w:r w:rsidRPr="00E04B2A">
          <w:rPr>
            <w:sz w:val="22"/>
          </w:rPr>
          <w:delText xml:space="preserve"> slike behandlinger.</w:delText>
        </w:r>
      </w:del>
    </w:p>
    <w:p w14:paraId="25894F41" w14:textId="6AE0C2AA" w:rsidR="00501579" w:rsidRDefault="00501579">
      <w:pPr>
        <w:keepNext/>
        <w:suppressAutoHyphens/>
        <w:rPr>
          <w:del w:id="4197" w:author="AbbVie02no" w:date="2025-05-15T13:45:00Z"/>
          <w:sz w:val="22"/>
          <w:szCs w:val="22"/>
        </w:rPr>
        <w:pPrChange w:id="4198" w:author="AbbVie02no" w:date="2025-05-15T13:45:00Z">
          <w:pPr/>
        </w:pPrChange>
      </w:pPr>
    </w:p>
    <w:p w14:paraId="1FB232DA" w14:textId="7FE79D3C" w:rsidR="00061CCF" w:rsidRDefault="00E453CD">
      <w:pPr>
        <w:keepNext/>
        <w:suppressAutoHyphens/>
        <w:rPr>
          <w:del w:id="4199" w:author="AbbVie02no" w:date="2025-05-15T13:45:00Z"/>
          <w:sz w:val="22"/>
          <w:szCs w:val="22"/>
        </w:rPr>
        <w:pPrChange w:id="4200" w:author="AbbVie02no" w:date="2025-05-15T13:45:00Z">
          <w:pPr>
            <w:keepNext/>
          </w:pPr>
        </w:pPrChange>
      </w:pPr>
      <w:del w:id="4201" w:author="AbbVie02no" w:date="2025-05-15T13:45:00Z">
        <w:r w:rsidRPr="009C5EFD">
          <w:rPr>
            <w:sz w:val="22"/>
            <w:szCs w:val="22"/>
            <w:u w:val="single"/>
          </w:rPr>
          <w:delText>U</w:delText>
        </w:r>
        <w:r>
          <w:rPr>
            <w:sz w:val="22"/>
            <w:szCs w:val="22"/>
            <w:u w:val="single"/>
          </w:rPr>
          <w:delText>veitt</w:delText>
        </w:r>
      </w:del>
    </w:p>
    <w:p w14:paraId="12559E8E" w14:textId="7387F6F6" w:rsidR="00061CCF" w:rsidRDefault="00061CCF">
      <w:pPr>
        <w:keepNext/>
        <w:suppressAutoHyphens/>
        <w:rPr>
          <w:del w:id="4202" w:author="AbbVie02no" w:date="2025-05-15T13:45:00Z"/>
          <w:sz w:val="22"/>
          <w:szCs w:val="22"/>
        </w:rPr>
        <w:pPrChange w:id="4203" w:author="AbbVie02no" w:date="2025-05-15T13:45:00Z">
          <w:pPr>
            <w:keepNext/>
          </w:pPr>
        </w:pPrChange>
      </w:pPr>
    </w:p>
    <w:p w14:paraId="79B05A64" w14:textId="1485A120" w:rsidR="00061CCF" w:rsidRDefault="00E453CD">
      <w:pPr>
        <w:keepNext/>
        <w:suppressAutoHyphens/>
        <w:rPr>
          <w:del w:id="4204" w:author="AbbVie02no" w:date="2025-05-15T13:45:00Z"/>
          <w:sz w:val="22"/>
          <w:szCs w:val="22"/>
        </w:rPr>
        <w:pPrChange w:id="4205" w:author="AbbVie02no" w:date="2025-05-15T13:45:00Z">
          <w:pPr/>
        </w:pPrChange>
      </w:pPr>
      <w:del w:id="4206" w:author="AbbVie02no" w:date="2025-05-15T13:45:00Z">
        <w:r>
          <w:rPr>
            <w:sz w:val="22"/>
            <w:szCs w:val="22"/>
          </w:rPr>
          <w:delText xml:space="preserve">Humira er indisert til behandling </w:delText>
        </w:r>
        <w:r w:rsidR="00A43D0D">
          <w:rPr>
            <w:sz w:val="22"/>
            <w:szCs w:val="22"/>
          </w:rPr>
          <w:delText>av ikke-infeksiøs intermediær, posterior og panuveitt hos voksne</w:delText>
        </w:r>
        <w:r w:rsidR="00224390">
          <w:rPr>
            <w:sz w:val="22"/>
            <w:szCs w:val="22"/>
          </w:rPr>
          <w:delText xml:space="preserve"> pasienter</w:delText>
        </w:r>
        <w:r w:rsidR="00A43D0D">
          <w:rPr>
            <w:sz w:val="22"/>
            <w:szCs w:val="22"/>
          </w:rPr>
          <w:delText xml:space="preserve"> som har utilstrekkelig respons </w:delText>
        </w:r>
        <w:r w:rsidR="0014274C">
          <w:rPr>
            <w:sz w:val="22"/>
            <w:szCs w:val="22"/>
          </w:rPr>
          <w:delText>på</w:delText>
        </w:r>
        <w:r w:rsidR="00A43D0D">
          <w:rPr>
            <w:sz w:val="22"/>
            <w:szCs w:val="22"/>
          </w:rPr>
          <w:delText xml:space="preserve"> kortikosteroider, hos pasienter med behov for kortikosteroid-</w:delText>
        </w:r>
        <w:r w:rsidR="00224390">
          <w:rPr>
            <w:sz w:val="22"/>
            <w:szCs w:val="22"/>
          </w:rPr>
          <w:delText xml:space="preserve">sparende midler </w:delText>
        </w:r>
        <w:r w:rsidR="00A43D0D">
          <w:rPr>
            <w:sz w:val="22"/>
            <w:szCs w:val="22"/>
          </w:rPr>
          <w:delText xml:space="preserve">eller hos pasienter der behandling med kortikosteroid </w:delText>
        </w:r>
        <w:r w:rsidR="00AA30CD">
          <w:rPr>
            <w:sz w:val="22"/>
            <w:szCs w:val="22"/>
          </w:rPr>
          <w:delText xml:space="preserve">ikke </w:delText>
        </w:r>
        <w:r w:rsidR="00A43D0D">
          <w:rPr>
            <w:sz w:val="22"/>
            <w:szCs w:val="22"/>
          </w:rPr>
          <w:delText xml:space="preserve">er </w:delText>
        </w:r>
        <w:r w:rsidR="00AA30CD">
          <w:rPr>
            <w:sz w:val="22"/>
            <w:szCs w:val="22"/>
          </w:rPr>
          <w:delText>egnet</w:delText>
        </w:r>
        <w:r w:rsidR="00A43D0D">
          <w:rPr>
            <w:sz w:val="22"/>
            <w:szCs w:val="22"/>
          </w:rPr>
          <w:delText>.</w:delText>
        </w:r>
      </w:del>
    </w:p>
    <w:p w14:paraId="7D889FFE" w14:textId="65831619" w:rsidR="00F161EF" w:rsidRDefault="00F161EF">
      <w:pPr>
        <w:keepNext/>
        <w:suppressAutoHyphens/>
        <w:rPr>
          <w:del w:id="4207" w:author="AbbVie02no" w:date="2025-05-15T13:45:00Z"/>
          <w:sz w:val="22"/>
          <w:szCs w:val="22"/>
        </w:rPr>
        <w:pPrChange w:id="4208" w:author="AbbVie02no" w:date="2025-05-15T13:45:00Z">
          <w:pPr/>
        </w:pPrChange>
      </w:pPr>
    </w:p>
    <w:p w14:paraId="7D6EC23D" w14:textId="50A33759" w:rsidR="00F161EF" w:rsidRDefault="00E453CD">
      <w:pPr>
        <w:keepNext/>
        <w:suppressAutoHyphens/>
        <w:rPr>
          <w:del w:id="4209" w:author="AbbVie02no" w:date="2025-05-15T13:45:00Z"/>
          <w:szCs w:val="22"/>
          <w:u w:val="single"/>
        </w:rPr>
        <w:pPrChange w:id="4210" w:author="AbbVie02no" w:date="2025-05-15T13:45:00Z">
          <w:pPr>
            <w:pStyle w:val="EMEANormal"/>
            <w:keepNext/>
          </w:pPr>
        </w:pPrChange>
      </w:pPr>
      <w:del w:id="4211" w:author="AbbVie02no" w:date="2025-05-15T13:45:00Z">
        <w:r>
          <w:rPr>
            <w:szCs w:val="22"/>
            <w:u w:val="single"/>
          </w:rPr>
          <w:delText>Pediatrisk uveitt</w:delText>
        </w:r>
      </w:del>
    </w:p>
    <w:p w14:paraId="1D1E9ED1" w14:textId="208F2E78" w:rsidR="00F161EF" w:rsidRDefault="00F161EF">
      <w:pPr>
        <w:keepNext/>
        <w:suppressAutoHyphens/>
        <w:rPr>
          <w:del w:id="4212" w:author="AbbVie02no" w:date="2025-05-15T13:45:00Z"/>
          <w:u w:val="single"/>
        </w:rPr>
        <w:pPrChange w:id="4213" w:author="AbbVie02no" w:date="2025-05-15T13:45:00Z">
          <w:pPr>
            <w:pStyle w:val="EMEANormal"/>
            <w:keepNext/>
          </w:pPr>
        </w:pPrChange>
      </w:pPr>
    </w:p>
    <w:p w14:paraId="3ABF66C2" w14:textId="0EBA45DC" w:rsidR="00F161EF" w:rsidRPr="00C602BE" w:rsidRDefault="00E453CD">
      <w:pPr>
        <w:keepNext/>
        <w:suppressAutoHyphens/>
        <w:rPr>
          <w:del w:id="4214" w:author="AbbVie02no" w:date="2025-05-15T13:45:00Z"/>
        </w:rPr>
        <w:pPrChange w:id="4215" w:author="AbbVie02no" w:date="2025-05-15T13:45:00Z">
          <w:pPr>
            <w:pStyle w:val="EMEANormal"/>
          </w:pPr>
        </w:pPrChange>
      </w:pPr>
      <w:del w:id="4216" w:author="AbbVie02no" w:date="2025-05-15T13:45:00Z">
        <w:r>
          <w:delText xml:space="preserve">Humira er indisert til behandling av pediatrisk kronisk ikke-infeksiøs fremre uveitt hos pasienter </w:delText>
        </w:r>
        <w:r w:rsidR="00D55A8E">
          <w:delText>over</w:delText>
        </w:r>
        <w:r>
          <w:delText xml:space="preserve"> 2 år, som har respondert utilstrekkelig på eller er intolerante overfor konvensjonell behandling, eller der konvensjonell behandling ikke er hensiktsmessig.</w:delText>
        </w:r>
      </w:del>
    </w:p>
    <w:p w14:paraId="5BD5E81B" w14:textId="1B16BCA0" w:rsidR="009F6528" w:rsidRPr="001F5D4B" w:rsidRDefault="009F6528">
      <w:pPr>
        <w:keepNext/>
        <w:suppressAutoHyphens/>
        <w:rPr>
          <w:del w:id="4217" w:author="AbbVie02no" w:date="2025-05-15T13:45:00Z"/>
          <w:sz w:val="22"/>
          <w:szCs w:val="22"/>
        </w:rPr>
        <w:pPrChange w:id="4218" w:author="AbbVie02no" w:date="2025-05-15T13:45:00Z">
          <w:pPr/>
        </w:pPrChange>
      </w:pPr>
    </w:p>
    <w:p w14:paraId="38364686" w14:textId="4753AE14" w:rsidR="00DE3458" w:rsidRPr="002D0790" w:rsidRDefault="00E453CD">
      <w:pPr>
        <w:keepNext/>
        <w:suppressAutoHyphens/>
        <w:rPr>
          <w:del w:id="4219" w:author="AbbVie02no" w:date="2025-05-15T13:45:00Z"/>
          <w:b/>
          <w:sz w:val="22"/>
          <w:szCs w:val="22"/>
        </w:rPr>
        <w:pPrChange w:id="4220" w:author="AbbVie02no" w:date="2025-05-15T13:45:00Z">
          <w:pPr>
            <w:keepNext/>
            <w:suppressAutoHyphens/>
            <w:ind w:left="570" w:hanging="570"/>
          </w:pPr>
        </w:pPrChange>
      </w:pPr>
      <w:del w:id="4221" w:author="AbbVie02no" w:date="2025-05-15T13:45:00Z">
        <w:r w:rsidRPr="007F67EE">
          <w:rPr>
            <w:b/>
            <w:sz w:val="22"/>
            <w:szCs w:val="22"/>
          </w:rPr>
          <w:delText>4.2</w:delText>
        </w:r>
        <w:r w:rsidR="00566CEB" w:rsidRPr="00193D76">
          <w:rPr>
            <w:b/>
            <w:sz w:val="22"/>
            <w:szCs w:val="22"/>
          </w:rPr>
          <w:tab/>
        </w:r>
        <w:r w:rsidRPr="002D0790">
          <w:rPr>
            <w:b/>
            <w:sz w:val="22"/>
            <w:szCs w:val="22"/>
          </w:rPr>
          <w:delText>Dosering og administrasjonsmåte</w:delText>
        </w:r>
      </w:del>
    </w:p>
    <w:p w14:paraId="153C600B" w14:textId="704A1027" w:rsidR="001C4C13" w:rsidRPr="009C5EFD" w:rsidRDefault="001C4C13">
      <w:pPr>
        <w:keepNext/>
        <w:suppressAutoHyphens/>
        <w:rPr>
          <w:del w:id="4222" w:author="AbbVie02no" w:date="2025-05-15T13:45:00Z"/>
          <w:szCs w:val="22"/>
        </w:rPr>
        <w:pPrChange w:id="4223" w:author="AbbVie02no" w:date="2025-05-15T13:45:00Z">
          <w:pPr>
            <w:pStyle w:val="EndnoteText"/>
            <w:keepNext/>
            <w:tabs>
              <w:tab w:val="clear" w:pos="567"/>
            </w:tabs>
          </w:pPr>
        </w:pPrChange>
      </w:pPr>
    </w:p>
    <w:p w14:paraId="483D45E9" w14:textId="6A426D30" w:rsidR="00FA0A10" w:rsidRPr="009C5EFD" w:rsidRDefault="00E453CD">
      <w:pPr>
        <w:keepNext/>
        <w:suppressAutoHyphens/>
        <w:rPr>
          <w:del w:id="4224" w:author="AbbVie02no" w:date="2025-05-15T13:45:00Z"/>
          <w:szCs w:val="22"/>
        </w:rPr>
        <w:pPrChange w:id="4225" w:author="AbbVie02no" w:date="2025-05-15T13:45:00Z">
          <w:pPr>
            <w:pStyle w:val="EndnoteText"/>
            <w:tabs>
              <w:tab w:val="clear" w:pos="567"/>
            </w:tabs>
          </w:pPr>
        </w:pPrChange>
      </w:pPr>
      <w:del w:id="4226" w:author="AbbVie02no" w:date="2025-05-15T13:45:00Z">
        <w:r w:rsidRPr="009C5EFD">
          <w:rPr>
            <w:szCs w:val="22"/>
          </w:rPr>
          <w:delText xml:space="preserve">Behandling med Humira bør </w:delText>
        </w:r>
        <w:r w:rsidR="00020B96" w:rsidRPr="009C5EFD">
          <w:rPr>
            <w:szCs w:val="22"/>
          </w:rPr>
          <w:delText>startes opp</w:delText>
        </w:r>
        <w:r w:rsidRPr="009C5EFD">
          <w:rPr>
            <w:szCs w:val="22"/>
          </w:rPr>
          <w:delText xml:space="preserve"> og overvåkes av </w:delText>
        </w:r>
        <w:r w:rsidR="00652FC9" w:rsidRPr="009C5EFD">
          <w:rPr>
            <w:szCs w:val="22"/>
          </w:rPr>
          <w:delText>spesialist</w:delText>
        </w:r>
        <w:r w:rsidRPr="009C5EFD">
          <w:rPr>
            <w:szCs w:val="22"/>
          </w:rPr>
          <w:delText xml:space="preserve">lege med erfaring i diagnostikk og behandling av </w:delText>
        </w:r>
        <w:r w:rsidR="00AA6619" w:rsidRPr="009C5EFD">
          <w:rPr>
            <w:szCs w:val="22"/>
          </w:rPr>
          <w:delText>tilstander der Humira er indisert.</w:delText>
        </w:r>
        <w:r w:rsidRPr="009C5EFD">
          <w:rPr>
            <w:szCs w:val="22"/>
          </w:rPr>
          <w:delText xml:space="preserve"> </w:delText>
        </w:r>
        <w:r w:rsidR="00956F91">
          <w:rPr>
            <w:szCs w:val="22"/>
          </w:rPr>
          <w:delText>Ofta</w:delText>
        </w:r>
        <w:r w:rsidR="00097E59">
          <w:rPr>
            <w:szCs w:val="22"/>
          </w:rPr>
          <w:delText>l</w:delText>
        </w:r>
        <w:r w:rsidR="00956F91">
          <w:rPr>
            <w:szCs w:val="22"/>
          </w:rPr>
          <w:delText xml:space="preserve">mologer rådes til å </w:delText>
        </w:r>
        <w:r w:rsidR="00956F91">
          <w:rPr>
            <w:szCs w:val="22"/>
          </w:rPr>
          <w:lastRenderedPageBreak/>
          <w:delText>konsultere</w:delText>
        </w:r>
        <w:r w:rsidR="004C65CC">
          <w:rPr>
            <w:szCs w:val="22"/>
          </w:rPr>
          <w:delText xml:space="preserve"> </w:delText>
        </w:r>
        <w:r w:rsidR="00956F91">
          <w:rPr>
            <w:szCs w:val="22"/>
          </w:rPr>
          <w:delText xml:space="preserve">en </w:delText>
        </w:r>
        <w:r w:rsidR="00097E59">
          <w:rPr>
            <w:szCs w:val="22"/>
          </w:rPr>
          <w:delText xml:space="preserve">passende </w:delText>
        </w:r>
        <w:r w:rsidR="00956F91">
          <w:rPr>
            <w:szCs w:val="22"/>
          </w:rPr>
          <w:delText xml:space="preserve">spesialist før oppstart av behandling med Humira (se pkt. 4.4). </w:delText>
        </w:r>
        <w:r w:rsidRPr="009C5EFD">
          <w:rPr>
            <w:szCs w:val="22"/>
          </w:rPr>
          <w:delText xml:space="preserve">Pasienter som behandles med Humira </w:delText>
        </w:r>
        <w:r w:rsidRPr="009C5EFD">
          <w:rPr>
            <w:color w:val="000000"/>
            <w:szCs w:val="22"/>
          </w:rPr>
          <w:delText>bør gis</w:delText>
        </w:r>
        <w:r w:rsidRPr="009C5EFD">
          <w:rPr>
            <w:szCs w:val="22"/>
          </w:rPr>
          <w:delText xml:space="preserve"> et </w:delText>
        </w:r>
        <w:r w:rsidR="009C3D6B" w:rsidRPr="009C5EFD">
          <w:rPr>
            <w:szCs w:val="22"/>
          </w:rPr>
          <w:delText>pasient</w:delText>
        </w:r>
        <w:r w:rsidRPr="009C5EFD">
          <w:rPr>
            <w:szCs w:val="22"/>
          </w:rPr>
          <w:delText>kort med sikkerhetsinformasjon.</w:delText>
        </w:r>
      </w:del>
    </w:p>
    <w:p w14:paraId="71AFD328" w14:textId="1163BB5C" w:rsidR="00FA0A10" w:rsidRPr="009C5EFD" w:rsidRDefault="00FA0A10">
      <w:pPr>
        <w:keepNext/>
        <w:suppressAutoHyphens/>
        <w:rPr>
          <w:del w:id="4227" w:author="AbbVie02no" w:date="2025-05-15T13:45:00Z"/>
          <w:szCs w:val="22"/>
        </w:rPr>
        <w:pPrChange w:id="4228" w:author="AbbVie02no" w:date="2025-05-15T13:45:00Z">
          <w:pPr>
            <w:pStyle w:val="EndnoteText"/>
            <w:tabs>
              <w:tab w:val="clear" w:pos="567"/>
            </w:tabs>
          </w:pPr>
        </w:pPrChange>
      </w:pPr>
    </w:p>
    <w:p w14:paraId="0144ABBB" w14:textId="2E0959F2" w:rsidR="00FA0A10" w:rsidRPr="009C5EFD" w:rsidRDefault="00E453CD">
      <w:pPr>
        <w:keepNext/>
        <w:suppressAutoHyphens/>
        <w:rPr>
          <w:del w:id="4229" w:author="AbbVie02no" w:date="2025-05-15T13:45:00Z"/>
          <w:sz w:val="22"/>
          <w:szCs w:val="22"/>
        </w:rPr>
        <w:pPrChange w:id="4230" w:author="AbbVie02no" w:date="2025-05-15T13:45:00Z">
          <w:pPr/>
        </w:pPrChange>
      </w:pPr>
      <w:del w:id="4231" w:author="AbbVie02no" w:date="2025-05-15T13:45:00Z">
        <w:r w:rsidRPr="009C5EFD">
          <w:rPr>
            <w:sz w:val="22"/>
            <w:szCs w:val="22"/>
          </w:rPr>
          <w:delText>Etter opplæring i injeksjonsteknikk kan pasientene selv injisere Humira dersom legen mener det er forsvarlig, og med den nødvendige medisinske oppfølging.</w:delText>
        </w:r>
      </w:del>
    </w:p>
    <w:p w14:paraId="427CE4B3" w14:textId="37CC6771" w:rsidR="00FA0A10" w:rsidRPr="009C5EFD" w:rsidRDefault="00FA0A10">
      <w:pPr>
        <w:keepNext/>
        <w:suppressAutoHyphens/>
        <w:rPr>
          <w:del w:id="4232" w:author="AbbVie02no" w:date="2025-05-15T13:45:00Z"/>
          <w:sz w:val="22"/>
          <w:szCs w:val="22"/>
        </w:rPr>
        <w:pPrChange w:id="4233" w:author="AbbVie02no" w:date="2025-05-15T13:45:00Z">
          <w:pPr/>
        </w:pPrChange>
      </w:pPr>
    </w:p>
    <w:p w14:paraId="4C5E709C" w14:textId="55E1F2C0" w:rsidR="00FA0A10" w:rsidRPr="009C5EFD" w:rsidRDefault="00E453CD">
      <w:pPr>
        <w:keepNext/>
        <w:suppressAutoHyphens/>
        <w:rPr>
          <w:del w:id="4234" w:author="AbbVie02no" w:date="2025-05-15T13:45:00Z"/>
          <w:sz w:val="22"/>
          <w:szCs w:val="22"/>
        </w:rPr>
        <w:pPrChange w:id="4235" w:author="AbbVie02no" w:date="2025-05-15T13:45:00Z">
          <w:pPr/>
        </w:pPrChange>
      </w:pPr>
      <w:del w:id="4236" w:author="AbbVie02no" w:date="2025-05-15T13:45:00Z">
        <w:r w:rsidRPr="009C5EFD">
          <w:rPr>
            <w:sz w:val="22"/>
            <w:szCs w:val="22"/>
          </w:rPr>
          <w:delText>Under behandling med Humira bør annen samtidig terapi (f.eks. kortikosteroider og/eller immunmodulerende midler) være optimalisert.</w:delText>
        </w:r>
      </w:del>
    </w:p>
    <w:p w14:paraId="5E12DDD9" w14:textId="582A9C9F" w:rsidR="00FA0A10" w:rsidRPr="009C5EFD" w:rsidRDefault="00FA0A10">
      <w:pPr>
        <w:keepNext/>
        <w:suppressAutoHyphens/>
        <w:rPr>
          <w:del w:id="4237" w:author="AbbVie02no" w:date="2025-05-15T13:45:00Z"/>
          <w:sz w:val="22"/>
          <w:szCs w:val="22"/>
        </w:rPr>
        <w:pPrChange w:id="4238" w:author="AbbVie02no" w:date="2025-05-15T13:45:00Z">
          <w:pPr/>
        </w:pPrChange>
      </w:pPr>
    </w:p>
    <w:p w14:paraId="14D5AB1F" w14:textId="7B551FA8" w:rsidR="00E60308" w:rsidRPr="001F5D4B" w:rsidRDefault="00E453CD">
      <w:pPr>
        <w:keepNext/>
        <w:suppressAutoHyphens/>
        <w:rPr>
          <w:del w:id="4239" w:author="AbbVie02no" w:date="2025-05-15T13:45:00Z"/>
          <w:sz w:val="22"/>
          <w:szCs w:val="22"/>
          <w:u w:val="single"/>
        </w:rPr>
        <w:pPrChange w:id="4240" w:author="AbbVie02no" w:date="2025-05-15T13:45:00Z">
          <w:pPr>
            <w:keepNext/>
          </w:pPr>
        </w:pPrChange>
      </w:pPr>
      <w:del w:id="4241" w:author="AbbVie02no" w:date="2025-05-15T13:45:00Z">
        <w:r w:rsidRPr="001F5D4B">
          <w:rPr>
            <w:sz w:val="22"/>
            <w:szCs w:val="22"/>
            <w:u w:val="single"/>
          </w:rPr>
          <w:delText>Dosering</w:delText>
        </w:r>
      </w:del>
    </w:p>
    <w:p w14:paraId="64127D35" w14:textId="0BAC7721" w:rsidR="00E60308" w:rsidRPr="007F67EE" w:rsidRDefault="00E60308">
      <w:pPr>
        <w:keepNext/>
        <w:suppressAutoHyphens/>
        <w:rPr>
          <w:del w:id="4242" w:author="AbbVie02no" w:date="2025-05-15T13:45:00Z"/>
          <w:sz w:val="22"/>
          <w:szCs w:val="22"/>
        </w:rPr>
        <w:pPrChange w:id="4243" w:author="AbbVie02no" w:date="2025-05-15T13:45:00Z">
          <w:pPr>
            <w:keepNext/>
          </w:pPr>
        </w:pPrChange>
      </w:pPr>
    </w:p>
    <w:p w14:paraId="345A35E4" w14:textId="5929E5CB" w:rsidR="00FA0A10" w:rsidRPr="001F5D4B" w:rsidRDefault="00E453CD">
      <w:pPr>
        <w:keepNext/>
        <w:suppressAutoHyphens/>
        <w:rPr>
          <w:del w:id="4244" w:author="AbbVie02no" w:date="2025-05-15T13:45:00Z"/>
          <w:i/>
          <w:sz w:val="22"/>
          <w:szCs w:val="22"/>
        </w:rPr>
        <w:pPrChange w:id="4245" w:author="AbbVie02no" w:date="2025-05-15T13:45:00Z">
          <w:pPr>
            <w:keepNext/>
          </w:pPr>
        </w:pPrChange>
      </w:pPr>
      <w:del w:id="4246" w:author="AbbVie02no" w:date="2025-05-15T13:45:00Z">
        <w:r w:rsidRPr="001F5D4B">
          <w:rPr>
            <w:i/>
            <w:sz w:val="22"/>
            <w:szCs w:val="22"/>
          </w:rPr>
          <w:delText>Revmatoid artritt</w:delText>
        </w:r>
      </w:del>
    </w:p>
    <w:p w14:paraId="03D24B4A" w14:textId="37618978" w:rsidR="00F52536" w:rsidRPr="007F67EE" w:rsidRDefault="00F52536">
      <w:pPr>
        <w:keepNext/>
        <w:suppressAutoHyphens/>
        <w:rPr>
          <w:del w:id="4247" w:author="AbbVie02no" w:date="2025-05-15T13:45:00Z"/>
          <w:sz w:val="22"/>
          <w:szCs w:val="22"/>
        </w:rPr>
        <w:pPrChange w:id="4248" w:author="AbbVie02no" w:date="2025-05-15T13:45:00Z">
          <w:pPr>
            <w:keepNext/>
          </w:pPr>
        </w:pPrChange>
      </w:pPr>
    </w:p>
    <w:p w14:paraId="359F1918" w14:textId="2A4AC24C" w:rsidR="00DE3458" w:rsidRPr="002D0790" w:rsidRDefault="00E453CD">
      <w:pPr>
        <w:keepNext/>
        <w:suppressAutoHyphens/>
        <w:rPr>
          <w:del w:id="4249" w:author="AbbVie02no" w:date="2025-05-15T13:45:00Z"/>
          <w:sz w:val="22"/>
          <w:szCs w:val="22"/>
        </w:rPr>
        <w:pPrChange w:id="4250" w:author="AbbVie02no" w:date="2025-05-15T13:45:00Z">
          <w:pPr/>
        </w:pPrChange>
      </w:pPr>
      <w:del w:id="4251" w:author="AbbVie02no" w:date="2025-05-15T13:45:00Z">
        <w:r w:rsidRPr="00193D76">
          <w:rPr>
            <w:sz w:val="22"/>
            <w:szCs w:val="22"/>
          </w:rPr>
          <w:delText>Anbefalt dose av Humira til voksne pasienter med revmatoid artritt er en enkeltdose 40 mg adalimumab gitt som subkutan</w:delText>
        </w:r>
        <w:r w:rsidRPr="002D0790">
          <w:rPr>
            <w:sz w:val="22"/>
            <w:szCs w:val="22"/>
          </w:rPr>
          <w:delText xml:space="preserve"> injeksjon annen</w:delText>
        </w:r>
        <w:r w:rsidR="005D10BA">
          <w:rPr>
            <w:sz w:val="22"/>
            <w:szCs w:val="22"/>
          </w:rPr>
          <w:delText>hver</w:delText>
        </w:r>
        <w:r w:rsidRPr="002D0790">
          <w:rPr>
            <w:sz w:val="22"/>
            <w:szCs w:val="22"/>
          </w:rPr>
          <w:delText xml:space="preserve"> uke. Det bør fortsettes med metotreksat under behandling med Humira.</w:delText>
        </w:r>
      </w:del>
    </w:p>
    <w:p w14:paraId="339284F0" w14:textId="110CA3D2" w:rsidR="00DE3458" w:rsidRPr="00E14E58" w:rsidRDefault="00DE3458">
      <w:pPr>
        <w:keepNext/>
        <w:suppressAutoHyphens/>
        <w:rPr>
          <w:del w:id="4252" w:author="AbbVie02no" w:date="2025-05-15T13:45:00Z"/>
          <w:sz w:val="22"/>
          <w:szCs w:val="22"/>
        </w:rPr>
        <w:pPrChange w:id="4253" w:author="AbbVie02no" w:date="2025-05-15T13:45:00Z">
          <w:pPr/>
        </w:pPrChange>
      </w:pPr>
    </w:p>
    <w:p w14:paraId="1702AF26" w14:textId="5DFD1DD0" w:rsidR="00DE3458" w:rsidRPr="009C5EFD" w:rsidRDefault="00E453CD">
      <w:pPr>
        <w:keepNext/>
        <w:suppressAutoHyphens/>
        <w:rPr>
          <w:del w:id="4254" w:author="AbbVie02no" w:date="2025-05-15T13:45:00Z"/>
          <w:sz w:val="22"/>
          <w:szCs w:val="22"/>
        </w:rPr>
        <w:pPrChange w:id="4255" w:author="AbbVie02no" w:date="2025-05-15T13:45:00Z">
          <w:pPr/>
        </w:pPrChange>
      </w:pPr>
      <w:del w:id="4256" w:author="AbbVie02no" w:date="2025-05-15T13:45:00Z">
        <w:r w:rsidRPr="009C5EFD">
          <w:rPr>
            <w:sz w:val="22"/>
            <w:szCs w:val="22"/>
          </w:rPr>
          <w:delText>Glukokortikoider, salisylater, ikke-steroide antiinflammatoriske midler eller smertestillende midler kan fortsatt gis under behandling med Humira. Når det gjelder kombinasjon med andre sykdomsmodifiserende legemidler enn metotreksat se pkt. 4.4 og 5.1.</w:delText>
        </w:r>
      </w:del>
    </w:p>
    <w:p w14:paraId="5D0614FA" w14:textId="526D93B8" w:rsidR="00DE3458" w:rsidRPr="009C5EFD" w:rsidRDefault="00DE3458">
      <w:pPr>
        <w:keepNext/>
        <w:suppressAutoHyphens/>
        <w:rPr>
          <w:del w:id="4257" w:author="AbbVie02no" w:date="2025-05-15T13:45:00Z"/>
          <w:szCs w:val="22"/>
        </w:rPr>
        <w:pPrChange w:id="4258" w:author="AbbVie02no" w:date="2025-05-15T13:45:00Z">
          <w:pPr>
            <w:pStyle w:val="EndnoteText"/>
            <w:widowControl/>
            <w:tabs>
              <w:tab w:val="clear" w:pos="567"/>
            </w:tabs>
          </w:pPr>
        </w:pPrChange>
      </w:pPr>
    </w:p>
    <w:p w14:paraId="4D5FA24C" w14:textId="00BC4D53" w:rsidR="00DE3458" w:rsidRDefault="00E453CD">
      <w:pPr>
        <w:keepNext/>
        <w:suppressAutoHyphens/>
        <w:rPr>
          <w:del w:id="4259" w:author="AbbVie02no" w:date="2025-05-15T13:45:00Z"/>
          <w:sz w:val="22"/>
          <w:szCs w:val="22"/>
        </w:rPr>
        <w:pPrChange w:id="4260" w:author="AbbVie02no" w:date="2025-05-15T13:45:00Z">
          <w:pPr/>
        </w:pPrChange>
      </w:pPr>
      <w:del w:id="4261" w:author="AbbVie02no" w:date="2025-05-15T13:45:00Z">
        <w:r>
          <w:rPr>
            <w:sz w:val="22"/>
            <w:szCs w:val="22"/>
          </w:rPr>
          <w:delText>Ved</w:delText>
        </w:r>
        <w:r w:rsidRPr="009C5EFD">
          <w:rPr>
            <w:sz w:val="22"/>
            <w:szCs w:val="22"/>
          </w:rPr>
          <w:delText xml:space="preserve"> monoterapi, kan noen pasienter som </w:delText>
        </w:r>
        <w:r w:rsidR="00914A8F" w:rsidRPr="009C5EFD">
          <w:rPr>
            <w:color w:val="000000"/>
            <w:sz w:val="22"/>
            <w:szCs w:val="22"/>
          </w:rPr>
          <w:delText>opplev</w:delText>
        </w:r>
        <w:r w:rsidRPr="009C5EFD">
          <w:rPr>
            <w:color w:val="000000"/>
            <w:sz w:val="22"/>
            <w:szCs w:val="22"/>
          </w:rPr>
          <w:delText>er en reduksjon i</w:delText>
        </w:r>
        <w:r w:rsidRPr="009C5EFD">
          <w:rPr>
            <w:sz w:val="22"/>
            <w:szCs w:val="22"/>
          </w:rPr>
          <w:delText xml:space="preserve"> respons på Humira </w:delText>
        </w:r>
        <w:r w:rsidR="009421F3">
          <w:rPr>
            <w:sz w:val="22"/>
            <w:szCs w:val="22"/>
          </w:rPr>
          <w:delText>40</w:delText>
        </w:r>
        <w:r w:rsidR="009102AB">
          <w:rPr>
            <w:sz w:val="22"/>
            <w:szCs w:val="22"/>
          </w:rPr>
          <w:delText> </w:delText>
        </w:r>
        <w:r w:rsidR="009421F3">
          <w:rPr>
            <w:sz w:val="22"/>
            <w:szCs w:val="22"/>
          </w:rPr>
          <w:delText xml:space="preserve">mg annenhver uke </w:delText>
        </w:r>
        <w:r w:rsidRPr="009C5EFD">
          <w:rPr>
            <w:sz w:val="22"/>
            <w:szCs w:val="22"/>
          </w:rPr>
          <w:delText xml:space="preserve">ha nytte av en økning i </w:delText>
        </w:r>
        <w:r w:rsidR="009421F3" w:rsidRPr="009C5EFD">
          <w:rPr>
            <w:sz w:val="22"/>
            <w:szCs w:val="22"/>
          </w:rPr>
          <w:delText>dose</w:delText>
        </w:r>
        <w:r w:rsidR="009421F3">
          <w:rPr>
            <w:sz w:val="22"/>
            <w:szCs w:val="22"/>
          </w:rPr>
          <w:delText>ring</w:delText>
        </w:r>
        <w:r w:rsidR="009421F3" w:rsidRPr="009C5EFD">
          <w:rPr>
            <w:sz w:val="22"/>
            <w:szCs w:val="22"/>
          </w:rPr>
          <w:delText xml:space="preserve"> </w:delText>
        </w:r>
        <w:r w:rsidRPr="009C5EFD">
          <w:rPr>
            <w:sz w:val="22"/>
            <w:szCs w:val="22"/>
          </w:rPr>
          <w:delText>til 40</w:delText>
        </w:r>
        <w:r w:rsidR="009102AB">
          <w:rPr>
            <w:sz w:val="22"/>
            <w:szCs w:val="22"/>
          </w:rPr>
          <w:delText> </w:delText>
        </w:r>
        <w:r w:rsidRPr="009C5EFD">
          <w:rPr>
            <w:sz w:val="22"/>
            <w:szCs w:val="22"/>
          </w:rPr>
          <w:delText>mg adalimumab hver uke</w:delText>
        </w:r>
        <w:r w:rsidR="009421F3">
          <w:rPr>
            <w:sz w:val="22"/>
            <w:szCs w:val="22"/>
          </w:rPr>
          <w:delText xml:space="preserve"> eller 80</w:delText>
        </w:r>
        <w:r w:rsidR="009102AB">
          <w:rPr>
            <w:sz w:val="22"/>
            <w:szCs w:val="22"/>
          </w:rPr>
          <w:delText> </w:delText>
        </w:r>
        <w:r w:rsidR="009421F3">
          <w:rPr>
            <w:sz w:val="22"/>
            <w:szCs w:val="22"/>
          </w:rPr>
          <w:delText>mg annenhver uke</w:delText>
        </w:r>
        <w:r w:rsidRPr="009C5EFD">
          <w:rPr>
            <w:sz w:val="22"/>
            <w:szCs w:val="22"/>
          </w:rPr>
          <w:delText>.</w:delText>
        </w:r>
      </w:del>
    </w:p>
    <w:p w14:paraId="68E21187" w14:textId="52EF07F2" w:rsidR="001C6F6F" w:rsidRDefault="001C6F6F">
      <w:pPr>
        <w:keepNext/>
        <w:suppressAutoHyphens/>
        <w:rPr>
          <w:del w:id="4262" w:author="AbbVie02no" w:date="2025-05-15T13:45:00Z"/>
          <w:sz w:val="22"/>
          <w:szCs w:val="22"/>
        </w:rPr>
        <w:pPrChange w:id="4263" w:author="AbbVie02no" w:date="2025-05-15T13:45:00Z">
          <w:pPr/>
        </w:pPrChange>
      </w:pPr>
    </w:p>
    <w:p w14:paraId="43C752AB" w14:textId="74F76701" w:rsidR="001C6F6F" w:rsidRDefault="00E453CD">
      <w:pPr>
        <w:keepNext/>
        <w:suppressAutoHyphens/>
        <w:rPr>
          <w:del w:id="4264" w:author="AbbVie02no" w:date="2025-05-15T13:45:00Z"/>
          <w:sz w:val="22"/>
          <w:szCs w:val="22"/>
        </w:rPr>
        <w:pPrChange w:id="4265" w:author="AbbVie02no" w:date="2025-05-15T13:45:00Z">
          <w:pPr/>
        </w:pPrChange>
      </w:pPr>
      <w:del w:id="4266" w:author="AbbVie02no" w:date="2025-05-15T13:45:00Z">
        <w:r w:rsidRPr="009C5EFD">
          <w:rPr>
            <w:sz w:val="22"/>
            <w:szCs w:val="22"/>
          </w:rPr>
          <w:delText xml:space="preserve">Tilgjengelig data </w:delText>
        </w:r>
        <w:r w:rsidR="00180EA6">
          <w:rPr>
            <w:sz w:val="22"/>
            <w:szCs w:val="22"/>
          </w:rPr>
          <w:delText>an</w:delText>
        </w:r>
        <w:r w:rsidRPr="009C5EFD">
          <w:rPr>
            <w:sz w:val="22"/>
            <w:szCs w:val="22"/>
          </w:rPr>
          <w:delText xml:space="preserve">tyder at klinisk respons vanligvis oppnås innen </w:delText>
        </w:r>
        <w:r>
          <w:rPr>
            <w:sz w:val="22"/>
            <w:szCs w:val="22"/>
          </w:rPr>
          <w:delText>12</w:delText>
        </w:r>
        <w:r w:rsidRPr="009C5EFD">
          <w:rPr>
            <w:sz w:val="22"/>
            <w:szCs w:val="22"/>
          </w:rPr>
          <w:delText xml:space="preserve"> ukers behandling. </w:delText>
        </w:r>
        <w:r w:rsidR="00261501">
          <w:rPr>
            <w:sz w:val="22"/>
            <w:szCs w:val="22"/>
          </w:rPr>
          <w:delText>Videre</w:delText>
        </w:r>
        <w:r>
          <w:rPr>
            <w:sz w:val="22"/>
            <w:szCs w:val="22"/>
          </w:rPr>
          <w:delText xml:space="preserve"> b</w:delText>
        </w:r>
        <w:r w:rsidRPr="009C5EFD">
          <w:rPr>
            <w:sz w:val="22"/>
            <w:szCs w:val="22"/>
          </w:rPr>
          <w:delText xml:space="preserve">ehandling </w:delText>
        </w:r>
        <w:r w:rsidR="00261501">
          <w:rPr>
            <w:sz w:val="22"/>
            <w:szCs w:val="22"/>
          </w:rPr>
          <w:delText>av</w:delText>
        </w:r>
        <w:r w:rsidRPr="009C5EFD">
          <w:rPr>
            <w:sz w:val="22"/>
            <w:szCs w:val="22"/>
          </w:rPr>
          <w:delText xml:space="preserve"> </w:delText>
        </w:r>
        <w:r>
          <w:rPr>
            <w:sz w:val="22"/>
            <w:szCs w:val="22"/>
          </w:rPr>
          <w:delText xml:space="preserve">en </w:delText>
        </w:r>
        <w:r w:rsidRPr="009C5EFD">
          <w:rPr>
            <w:sz w:val="22"/>
            <w:szCs w:val="22"/>
          </w:rPr>
          <w:delText xml:space="preserve">pasient som ikke </w:delText>
        </w:r>
        <w:r w:rsidR="00261501">
          <w:rPr>
            <w:sz w:val="22"/>
            <w:szCs w:val="22"/>
          </w:rPr>
          <w:delText xml:space="preserve">har </w:delText>
        </w:r>
        <w:r w:rsidRPr="009C5EFD">
          <w:rPr>
            <w:sz w:val="22"/>
            <w:szCs w:val="22"/>
          </w:rPr>
          <w:delText>re</w:delText>
        </w:r>
        <w:r w:rsidR="00261501">
          <w:rPr>
            <w:sz w:val="22"/>
            <w:szCs w:val="22"/>
          </w:rPr>
          <w:delText>spondert</w:delText>
        </w:r>
        <w:r w:rsidRPr="009C5EFD">
          <w:rPr>
            <w:sz w:val="22"/>
            <w:szCs w:val="22"/>
          </w:rPr>
          <w:delText xml:space="preserve"> i</w:delText>
        </w:r>
        <w:r w:rsidR="00261501">
          <w:rPr>
            <w:sz w:val="22"/>
            <w:szCs w:val="22"/>
          </w:rPr>
          <w:delText>nnen denne perioden bør overveies</w:delText>
        </w:r>
        <w:r w:rsidRPr="009C5EFD">
          <w:rPr>
            <w:sz w:val="22"/>
            <w:szCs w:val="22"/>
          </w:rPr>
          <w:delText>.</w:delText>
        </w:r>
      </w:del>
    </w:p>
    <w:p w14:paraId="50BB2FCE" w14:textId="52378A39" w:rsidR="009421F3" w:rsidRDefault="009421F3">
      <w:pPr>
        <w:keepNext/>
        <w:suppressAutoHyphens/>
        <w:rPr>
          <w:del w:id="4267" w:author="AbbVie02no" w:date="2025-05-15T13:45:00Z"/>
          <w:sz w:val="22"/>
          <w:szCs w:val="22"/>
        </w:rPr>
        <w:pPrChange w:id="4268" w:author="AbbVie02no" w:date="2025-05-15T13:45:00Z">
          <w:pPr/>
        </w:pPrChange>
      </w:pPr>
    </w:p>
    <w:p w14:paraId="3825C8D4" w14:textId="232B3B4F" w:rsidR="009421F3" w:rsidRPr="009C5EFD" w:rsidRDefault="00E453CD">
      <w:pPr>
        <w:keepNext/>
        <w:suppressAutoHyphens/>
        <w:rPr>
          <w:del w:id="4269" w:author="AbbVie02no" w:date="2025-05-15T13:45:00Z"/>
          <w:sz w:val="22"/>
          <w:szCs w:val="22"/>
        </w:rPr>
        <w:pPrChange w:id="4270" w:author="AbbVie02no" w:date="2025-05-15T13:45:00Z">
          <w:pPr/>
        </w:pPrChange>
      </w:pPr>
      <w:del w:id="4271" w:author="AbbVie02no" w:date="2025-05-15T13:45:00Z">
        <w:r>
          <w:rPr>
            <w:sz w:val="22"/>
            <w:szCs w:val="22"/>
          </w:rPr>
          <w:delText>Humira kan være tilgjengelig i andre styrker og/eller formuleringer avhengig av individuelle behandlingsbehov.</w:delText>
        </w:r>
      </w:del>
    </w:p>
    <w:p w14:paraId="1C964270" w14:textId="4C8F1174" w:rsidR="00DE3458" w:rsidRPr="009C5EFD" w:rsidRDefault="00DE3458">
      <w:pPr>
        <w:keepNext/>
        <w:suppressAutoHyphens/>
        <w:rPr>
          <w:del w:id="4272" w:author="AbbVie02no" w:date="2025-05-15T13:45:00Z"/>
          <w:sz w:val="22"/>
          <w:szCs w:val="22"/>
        </w:rPr>
        <w:pPrChange w:id="4273" w:author="AbbVie02no" w:date="2025-05-15T13:45:00Z">
          <w:pPr/>
        </w:pPrChange>
      </w:pPr>
    </w:p>
    <w:p w14:paraId="4B7F78DC" w14:textId="5ABD6EC8" w:rsidR="00045C15" w:rsidRPr="001F5D4B" w:rsidRDefault="00E453CD">
      <w:pPr>
        <w:keepNext/>
        <w:suppressAutoHyphens/>
        <w:rPr>
          <w:del w:id="4274" w:author="AbbVie02no" w:date="2025-05-15T13:45:00Z"/>
          <w:i/>
          <w:sz w:val="22"/>
          <w:szCs w:val="22"/>
          <w:u w:val="single"/>
        </w:rPr>
        <w:pPrChange w:id="4275" w:author="AbbVie02no" w:date="2025-05-15T13:45:00Z">
          <w:pPr>
            <w:keepNext/>
          </w:pPr>
        </w:pPrChange>
      </w:pPr>
      <w:del w:id="4276" w:author="AbbVie02no" w:date="2025-05-15T13:45:00Z">
        <w:r w:rsidRPr="001F5D4B">
          <w:rPr>
            <w:i/>
            <w:sz w:val="22"/>
            <w:szCs w:val="22"/>
            <w:u w:val="single"/>
          </w:rPr>
          <w:delText>Doseopphold</w:delText>
        </w:r>
      </w:del>
    </w:p>
    <w:p w14:paraId="744C7645" w14:textId="304FC32D" w:rsidR="00045C15" w:rsidRPr="007F67EE" w:rsidRDefault="00045C15">
      <w:pPr>
        <w:keepNext/>
        <w:suppressAutoHyphens/>
        <w:rPr>
          <w:del w:id="4277" w:author="AbbVie02no" w:date="2025-05-15T13:45:00Z"/>
          <w:sz w:val="22"/>
          <w:szCs w:val="22"/>
        </w:rPr>
        <w:pPrChange w:id="4278" w:author="AbbVie02no" w:date="2025-05-15T13:45:00Z">
          <w:pPr>
            <w:keepNext/>
          </w:pPr>
        </w:pPrChange>
      </w:pPr>
    </w:p>
    <w:p w14:paraId="346239EA" w14:textId="27B85D5A" w:rsidR="00045C15" w:rsidRPr="00193D76" w:rsidRDefault="00E453CD">
      <w:pPr>
        <w:keepNext/>
        <w:suppressAutoHyphens/>
        <w:rPr>
          <w:del w:id="4279" w:author="AbbVie02no" w:date="2025-05-15T13:45:00Z"/>
          <w:sz w:val="22"/>
          <w:szCs w:val="22"/>
        </w:rPr>
        <w:pPrChange w:id="4280" w:author="AbbVie02no" w:date="2025-05-15T13:45:00Z">
          <w:pPr/>
        </w:pPrChange>
      </w:pPr>
      <w:del w:id="4281" w:author="AbbVie02no" w:date="2025-05-15T13:45:00Z">
        <w:r w:rsidRPr="00193D76">
          <w:rPr>
            <w:sz w:val="22"/>
            <w:szCs w:val="22"/>
          </w:rPr>
          <w:delText>Et doseopphold kan være nødvendig, for eksempel før operasjon eller hvis alvorlige infeksjoner oppstår.</w:delText>
        </w:r>
      </w:del>
    </w:p>
    <w:p w14:paraId="3754A1CC" w14:textId="66E21FD5" w:rsidR="00893C4F" w:rsidRPr="002D0790" w:rsidRDefault="00893C4F">
      <w:pPr>
        <w:keepNext/>
        <w:suppressAutoHyphens/>
        <w:rPr>
          <w:del w:id="4282" w:author="AbbVie02no" w:date="2025-05-15T13:45:00Z"/>
          <w:sz w:val="22"/>
          <w:szCs w:val="22"/>
        </w:rPr>
        <w:pPrChange w:id="4283" w:author="AbbVie02no" w:date="2025-05-15T13:45:00Z">
          <w:pPr/>
        </w:pPrChange>
      </w:pPr>
    </w:p>
    <w:p w14:paraId="44CFD624" w14:textId="2F2355DA" w:rsidR="00045C15" w:rsidRPr="009C5EFD" w:rsidRDefault="00E453CD">
      <w:pPr>
        <w:keepNext/>
        <w:suppressAutoHyphens/>
        <w:rPr>
          <w:del w:id="4284" w:author="AbbVie02no" w:date="2025-05-15T13:45:00Z"/>
          <w:sz w:val="22"/>
          <w:szCs w:val="22"/>
        </w:rPr>
        <w:pPrChange w:id="4285" w:author="AbbVie02no" w:date="2025-05-15T13:45:00Z">
          <w:pPr/>
        </w:pPrChange>
      </w:pPr>
      <w:del w:id="4286" w:author="AbbVie02no" w:date="2025-05-15T13:45:00Z">
        <w:r w:rsidRPr="002D0790">
          <w:rPr>
            <w:sz w:val="22"/>
            <w:szCs w:val="22"/>
          </w:rPr>
          <w:delText xml:space="preserve">Tilgjengelig data </w:delText>
        </w:r>
        <w:r w:rsidR="00755A7F">
          <w:rPr>
            <w:sz w:val="22"/>
            <w:szCs w:val="22"/>
          </w:rPr>
          <w:delText>antyder</w:delText>
        </w:r>
        <w:r w:rsidR="00755A7F" w:rsidRPr="002D0790">
          <w:rPr>
            <w:sz w:val="22"/>
            <w:szCs w:val="22"/>
          </w:rPr>
          <w:delText xml:space="preserve"> </w:delText>
        </w:r>
        <w:r w:rsidRPr="002D0790">
          <w:rPr>
            <w:sz w:val="22"/>
            <w:szCs w:val="22"/>
          </w:rPr>
          <w:delText xml:space="preserve">at </w:delText>
        </w:r>
        <w:r w:rsidR="00B8124C">
          <w:rPr>
            <w:sz w:val="22"/>
            <w:szCs w:val="22"/>
          </w:rPr>
          <w:delText>administrasjon</w:delText>
        </w:r>
        <w:r w:rsidR="00BA554D">
          <w:rPr>
            <w:sz w:val="22"/>
            <w:szCs w:val="22"/>
          </w:rPr>
          <w:delText xml:space="preserve"> på nytt</w:delText>
        </w:r>
        <w:r w:rsidRPr="009C5EFD">
          <w:rPr>
            <w:sz w:val="22"/>
            <w:szCs w:val="22"/>
          </w:rPr>
          <w:delText xml:space="preserve"> med Humira etter et opphold på 70 dager eller lenger vil føre til </w:delText>
        </w:r>
        <w:r w:rsidR="00046093" w:rsidRPr="009C5EFD">
          <w:rPr>
            <w:sz w:val="22"/>
            <w:szCs w:val="22"/>
          </w:rPr>
          <w:delText>samme</w:delText>
        </w:r>
        <w:r w:rsidRPr="009C5EFD">
          <w:rPr>
            <w:sz w:val="22"/>
            <w:szCs w:val="22"/>
          </w:rPr>
          <w:delText xml:space="preserve"> klinisk respons og sikkerhetsprofil som før oppholdet.</w:delText>
        </w:r>
      </w:del>
    </w:p>
    <w:p w14:paraId="74570468" w14:textId="79A152C6" w:rsidR="00045C15" w:rsidRPr="009C5EFD" w:rsidRDefault="00045C15">
      <w:pPr>
        <w:keepNext/>
        <w:suppressAutoHyphens/>
        <w:rPr>
          <w:del w:id="4287" w:author="AbbVie02no" w:date="2025-05-15T13:45:00Z"/>
          <w:sz w:val="22"/>
          <w:szCs w:val="22"/>
        </w:rPr>
        <w:pPrChange w:id="4288" w:author="AbbVie02no" w:date="2025-05-15T13:45:00Z">
          <w:pPr/>
        </w:pPrChange>
      </w:pPr>
    </w:p>
    <w:p w14:paraId="4951081C" w14:textId="76772C95" w:rsidR="00DE3458" w:rsidRPr="001F5D4B" w:rsidRDefault="00E453CD">
      <w:pPr>
        <w:keepNext/>
        <w:suppressAutoHyphens/>
        <w:rPr>
          <w:del w:id="4289" w:author="AbbVie02no" w:date="2025-05-15T13:45:00Z"/>
          <w:i/>
          <w:sz w:val="22"/>
          <w:szCs w:val="22"/>
        </w:rPr>
        <w:pPrChange w:id="4290" w:author="AbbVie02no" w:date="2025-05-15T13:45:00Z">
          <w:pPr/>
        </w:pPrChange>
      </w:pPr>
      <w:del w:id="4291" w:author="AbbVie02no" w:date="2025-05-15T13:45:00Z">
        <w:r w:rsidRPr="001F5D4B">
          <w:rPr>
            <w:i/>
            <w:sz w:val="22"/>
            <w:szCs w:val="22"/>
          </w:rPr>
          <w:delText>Bekhterevs sykdom (ankyloserende spondylitt)</w:delText>
        </w:r>
        <w:r w:rsidR="00DC0B34" w:rsidRPr="001F5D4B">
          <w:rPr>
            <w:i/>
            <w:sz w:val="22"/>
            <w:szCs w:val="22"/>
          </w:rPr>
          <w:delText xml:space="preserve">, aksial spondylartritt uten </w:delText>
        </w:r>
        <w:r w:rsidR="00677BE5" w:rsidRPr="001F5D4B">
          <w:rPr>
            <w:i/>
            <w:sz w:val="22"/>
            <w:szCs w:val="22"/>
          </w:rPr>
          <w:delText>radiografisk bekreftelse</w:delText>
        </w:r>
        <w:r w:rsidR="00DC0B34" w:rsidRPr="001F5D4B">
          <w:rPr>
            <w:i/>
            <w:sz w:val="22"/>
            <w:szCs w:val="22"/>
          </w:rPr>
          <w:delText xml:space="preserve"> på ankyloserende spondylitt og psoriasisartritt</w:delText>
        </w:r>
      </w:del>
    </w:p>
    <w:p w14:paraId="44B0FD9A" w14:textId="54F63ECC" w:rsidR="00DE3458" w:rsidRPr="007F67EE" w:rsidRDefault="00DE3458">
      <w:pPr>
        <w:keepNext/>
        <w:suppressAutoHyphens/>
        <w:rPr>
          <w:del w:id="4292" w:author="AbbVie02no" w:date="2025-05-15T13:45:00Z"/>
          <w:sz w:val="22"/>
          <w:szCs w:val="22"/>
        </w:rPr>
        <w:pPrChange w:id="4293" w:author="AbbVie02no" w:date="2025-05-15T13:45:00Z">
          <w:pPr/>
        </w:pPrChange>
      </w:pPr>
    </w:p>
    <w:p w14:paraId="54FDD835" w14:textId="045BA70F" w:rsidR="00FA0A10" w:rsidRPr="009C5EFD" w:rsidRDefault="00E453CD">
      <w:pPr>
        <w:keepNext/>
        <w:suppressAutoHyphens/>
        <w:rPr>
          <w:del w:id="4294" w:author="AbbVie02no" w:date="2025-05-15T13:45:00Z"/>
          <w:sz w:val="22"/>
          <w:szCs w:val="22"/>
        </w:rPr>
        <w:pPrChange w:id="4295" w:author="AbbVie02no" w:date="2025-05-15T13:45:00Z">
          <w:pPr/>
        </w:pPrChange>
      </w:pPr>
      <w:del w:id="4296" w:author="AbbVie02no" w:date="2025-05-15T13:45:00Z">
        <w:r w:rsidRPr="00193D76">
          <w:rPr>
            <w:sz w:val="22"/>
            <w:szCs w:val="22"/>
          </w:rPr>
          <w:delText>Anbefalt dose av Humira til pasienter med Bekhterevs sykdom (ankyloserende spondylitt)</w:delText>
        </w:r>
        <w:r w:rsidR="00DC0B34" w:rsidRPr="002D0790">
          <w:rPr>
            <w:sz w:val="22"/>
            <w:szCs w:val="22"/>
          </w:rPr>
          <w:delText xml:space="preserve">, aksial spondylartritt uten </w:delText>
        </w:r>
        <w:r w:rsidR="00677BE5" w:rsidRPr="002D0790">
          <w:rPr>
            <w:sz w:val="22"/>
            <w:szCs w:val="22"/>
          </w:rPr>
          <w:delText>radiografisk bekreftelse</w:delText>
        </w:r>
        <w:r w:rsidR="00DC0B34" w:rsidRPr="00E14E58">
          <w:rPr>
            <w:sz w:val="22"/>
            <w:szCs w:val="22"/>
          </w:rPr>
          <w:delText xml:space="preserve"> på ankyloserende spondylitt</w:delText>
        </w:r>
        <w:r w:rsidR="00106938" w:rsidRPr="009C5EFD">
          <w:rPr>
            <w:sz w:val="22"/>
            <w:szCs w:val="22"/>
          </w:rPr>
          <w:delText xml:space="preserve"> og psoriasisartritt</w:delText>
        </w:r>
        <w:r w:rsidRPr="009C5EFD">
          <w:rPr>
            <w:sz w:val="22"/>
            <w:szCs w:val="22"/>
          </w:rPr>
          <w:delText xml:space="preserve"> er en enkeltdose 40 mg adalimumab gitt </w:delText>
        </w:r>
        <w:r w:rsidR="00FA356D" w:rsidRPr="009C5EFD">
          <w:rPr>
            <w:sz w:val="22"/>
            <w:szCs w:val="22"/>
          </w:rPr>
          <w:delText>som</w:delText>
        </w:r>
        <w:r w:rsidRPr="009C5EFD">
          <w:rPr>
            <w:sz w:val="22"/>
            <w:szCs w:val="22"/>
          </w:rPr>
          <w:delText xml:space="preserve"> subkutan injeksjon </w:delText>
        </w:r>
        <w:r w:rsidR="008D4CB9">
          <w:rPr>
            <w:sz w:val="22"/>
            <w:szCs w:val="22"/>
          </w:rPr>
          <w:delText>annenhver</w:delText>
        </w:r>
        <w:r w:rsidRPr="009C5EFD">
          <w:rPr>
            <w:sz w:val="22"/>
            <w:szCs w:val="22"/>
          </w:rPr>
          <w:delText xml:space="preserve"> uke.</w:delText>
        </w:r>
      </w:del>
    </w:p>
    <w:p w14:paraId="295C4C3C" w14:textId="4B248F17" w:rsidR="00FA0A10" w:rsidRPr="009C5EFD" w:rsidRDefault="00FA0A10">
      <w:pPr>
        <w:keepNext/>
        <w:suppressAutoHyphens/>
        <w:rPr>
          <w:del w:id="4297" w:author="AbbVie02no" w:date="2025-05-15T13:45:00Z"/>
          <w:sz w:val="22"/>
          <w:szCs w:val="22"/>
        </w:rPr>
        <w:pPrChange w:id="4298" w:author="AbbVie02no" w:date="2025-05-15T13:45:00Z">
          <w:pPr/>
        </w:pPrChange>
      </w:pPr>
    </w:p>
    <w:p w14:paraId="54E5719D" w14:textId="59951ECB" w:rsidR="00FA0A10" w:rsidRPr="009C5EFD" w:rsidRDefault="00E453CD">
      <w:pPr>
        <w:keepNext/>
        <w:suppressAutoHyphens/>
        <w:rPr>
          <w:del w:id="4299" w:author="AbbVie02no" w:date="2025-05-15T13:45:00Z"/>
          <w:sz w:val="22"/>
          <w:szCs w:val="22"/>
        </w:rPr>
        <w:pPrChange w:id="4300" w:author="AbbVie02no" w:date="2025-05-15T13:45:00Z">
          <w:pPr/>
        </w:pPrChange>
      </w:pPr>
      <w:del w:id="4301" w:author="AbbVie02no" w:date="2025-05-15T13:45:00Z">
        <w:r>
          <w:rPr>
            <w:sz w:val="22"/>
            <w:szCs w:val="22"/>
          </w:rPr>
          <w:delText>T</w:delText>
        </w:r>
        <w:r w:rsidRPr="009C5EFD">
          <w:rPr>
            <w:sz w:val="22"/>
            <w:szCs w:val="22"/>
          </w:rPr>
          <w:delText xml:space="preserve">ilgjengelig data </w:delText>
        </w:r>
        <w:r w:rsidR="00B061AD">
          <w:rPr>
            <w:sz w:val="22"/>
            <w:szCs w:val="22"/>
          </w:rPr>
          <w:delText>an</w:delText>
        </w:r>
        <w:r w:rsidRPr="009C5EFD">
          <w:rPr>
            <w:sz w:val="22"/>
            <w:szCs w:val="22"/>
          </w:rPr>
          <w:delText>tyder at klinisk respons vanligvis oppnås innen 12 uker</w:delText>
        </w:r>
        <w:r w:rsidR="00261501">
          <w:rPr>
            <w:sz w:val="22"/>
            <w:szCs w:val="22"/>
          </w:rPr>
          <w:delText>s</w:delText>
        </w:r>
        <w:r w:rsidRPr="009C5EFD">
          <w:rPr>
            <w:sz w:val="22"/>
            <w:szCs w:val="22"/>
          </w:rPr>
          <w:delText xml:space="preserve"> behandling. Videre behandling av en pasient som ikke har respondert innen denne perioden bør overveies.</w:delText>
        </w:r>
        <w:r w:rsidR="000B07A9" w:rsidRPr="009C5EFD">
          <w:rPr>
            <w:sz w:val="22"/>
            <w:szCs w:val="22"/>
          </w:rPr>
          <w:delText xml:space="preserve"> </w:delText>
        </w:r>
      </w:del>
    </w:p>
    <w:p w14:paraId="01446962" w14:textId="48CB2C69" w:rsidR="00FA0A10" w:rsidRPr="009C5EFD" w:rsidRDefault="00FA0A10">
      <w:pPr>
        <w:keepNext/>
        <w:suppressAutoHyphens/>
        <w:rPr>
          <w:del w:id="4302" w:author="AbbVie02no" w:date="2025-05-15T13:45:00Z"/>
          <w:sz w:val="22"/>
          <w:szCs w:val="22"/>
        </w:rPr>
        <w:pPrChange w:id="4303" w:author="AbbVie02no" w:date="2025-05-15T13:45:00Z">
          <w:pPr/>
        </w:pPrChange>
      </w:pPr>
    </w:p>
    <w:p w14:paraId="388B83CF" w14:textId="2C781072" w:rsidR="0048567B" w:rsidRPr="001F5D4B" w:rsidRDefault="00E453CD">
      <w:pPr>
        <w:keepNext/>
        <w:suppressAutoHyphens/>
        <w:rPr>
          <w:del w:id="4304" w:author="AbbVie02no" w:date="2025-05-15T13:45:00Z"/>
          <w:i/>
          <w:szCs w:val="22"/>
        </w:rPr>
        <w:pPrChange w:id="4305" w:author="AbbVie02no" w:date="2025-05-15T13:45:00Z">
          <w:pPr>
            <w:pStyle w:val="Heading8"/>
          </w:pPr>
        </w:pPrChange>
      </w:pPr>
      <w:del w:id="4306" w:author="AbbVie02no" w:date="2025-05-15T13:45:00Z">
        <w:r w:rsidRPr="001F5D4B">
          <w:rPr>
            <w:i/>
            <w:szCs w:val="22"/>
          </w:rPr>
          <w:delText>Psoriasis</w:delText>
        </w:r>
      </w:del>
    </w:p>
    <w:p w14:paraId="5B4C604F" w14:textId="151BB7C3" w:rsidR="0048567B" w:rsidRPr="007F67EE" w:rsidRDefault="0048567B">
      <w:pPr>
        <w:keepNext/>
        <w:suppressAutoHyphens/>
        <w:rPr>
          <w:del w:id="4307" w:author="AbbVie02no" w:date="2025-05-15T13:45:00Z"/>
          <w:sz w:val="22"/>
          <w:szCs w:val="22"/>
        </w:rPr>
        <w:pPrChange w:id="4308" w:author="AbbVie02no" w:date="2025-05-15T13:45:00Z">
          <w:pPr>
            <w:keepNext/>
          </w:pPr>
        </w:pPrChange>
      </w:pPr>
    </w:p>
    <w:p w14:paraId="1C17A047" w14:textId="7FBB9D88" w:rsidR="0048567B" w:rsidRPr="00193D76" w:rsidRDefault="00E453CD">
      <w:pPr>
        <w:keepNext/>
        <w:suppressAutoHyphens/>
        <w:rPr>
          <w:del w:id="4309" w:author="AbbVie02no" w:date="2025-05-15T13:45:00Z"/>
          <w:sz w:val="22"/>
          <w:szCs w:val="22"/>
        </w:rPr>
        <w:pPrChange w:id="4310" w:author="AbbVie02no" w:date="2025-05-15T13:45:00Z">
          <w:pPr/>
        </w:pPrChange>
      </w:pPr>
      <w:del w:id="4311" w:author="AbbVie02no" w:date="2025-05-15T13:45:00Z">
        <w:r w:rsidRPr="007F67EE">
          <w:rPr>
            <w:sz w:val="22"/>
            <w:szCs w:val="22"/>
          </w:rPr>
          <w:delText xml:space="preserve">Anbefalt </w:delText>
        </w:r>
        <w:r w:rsidR="008D4CB9">
          <w:rPr>
            <w:sz w:val="22"/>
            <w:szCs w:val="22"/>
          </w:rPr>
          <w:delText>start</w:delText>
        </w:r>
        <w:r w:rsidRPr="007F67EE">
          <w:rPr>
            <w:sz w:val="22"/>
            <w:szCs w:val="22"/>
          </w:rPr>
          <w:delText>dose av Humira til voksne pasienter er 80 mg gitt subkutant et</w:delText>
        </w:r>
        <w:r w:rsidRPr="00193D76">
          <w:rPr>
            <w:sz w:val="22"/>
            <w:szCs w:val="22"/>
          </w:rPr>
          <w:delText>terfulgt av 40 mg subkutant etter en uke, og deretter 40 mg annenhver uke.</w:delText>
        </w:r>
      </w:del>
    </w:p>
    <w:p w14:paraId="516C74A5" w14:textId="5B977625" w:rsidR="0048567B" w:rsidRPr="002D0790" w:rsidRDefault="0048567B">
      <w:pPr>
        <w:keepNext/>
        <w:suppressAutoHyphens/>
        <w:rPr>
          <w:del w:id="4312" w:author="AbbVie02no" w:date="2025-05-15T13:45:00Z"/>
          <w:sz w:val="22"/>
          <w:szCs w:val="22"/>
        </w:rPr>
        <w:pPrChange w:id="4313" w:author="AbbVie02no" w:date="2025-05-15T13:45:00Z">
          <w:pPr/>
        </w:pPrChange>
      </w:pPr>
    </w:p>
    <w:p w14:paraId="48C3C844" w14:textId="186F7611" w:rsidR="0048567B" w:rsidRDefault="00E453CD">
      <w:pPr>
        <w:keepNext/>
        <w:suppressAutoHyphens/>
        <w:rPr>
          <w:del w:id="4314" w:author="AbbVie02no" w:date="2025-05-15T13:45:00Z"/>
          <w:sz w:val="22"/>
          <w:szCs w:val="22"/>
        </w:rPr>
        <w:pPrChange w:id="4315" w:author="AbbVie02no" w:date="2025-05-15T13:45:00Z">
          <w:pPr/>
        </w:pPrChange>
      </w:pPr>
      <w:del w:id="4316" w:author="AbbVie02no" w:date="2025-05-15T13:45:00Z">
        <w:r w:rsidRPr="002D0790">
          <w:rPr>
            <w:sz w:val="22"/>
            <w:szCs w:val="22"/>
          </w:rPr>
          <w:delText>Videre b</w:delText>
        </w:r>
        <w:r w:rsidRPr="00E14E58">
          <w:rPr>
            <w:sz w:val="22"/>
            <w:szCs w:val="22"/>
          </w:rPr>
          <w:delText xml:space="preserve">ehandling </w:delText>
        </w:r>
        <w:r w:rsidR="008D4CB9">
          <w:rPr>
            <w:sz w:val="22"/>
            <w:szCs w:val="22"/>
          </w:rPr>
          <w:delText>ut</w:delText>
        </w:r>
        <w:r w:rsidRPr="00E14E58">
          <w:rPr>
            <w:sz w:val="22"/>
            <w:szCs w:val="22"/>
          </w:rPr>
          <w:delText>over 16 uker bør nøye overveies hos pasienter som ikke re</w:delText>
        </w:r>
        <w:r w:rsidRPr="009C5EFD">
          <w:rPr>
            <w:sz w:val="22"/>
            <w:szCs w:val="22"/>
          </w:rPr>
          <w:delText>sponderer innen denne perioden.</w:delText>
        </w:r>
      </w:del>
    </w:p>
    <w:p w14:paraId="19E6A8E1" w14:textId="071126B9" w:rsidR="00884304" w:rsidRDefault="00884304">
      <w:pPr>
        <w:keepNext/>
        <w:suppressAutoHyphens/>
        <w:rPr>
          <w:del w:id="4317" w:author="AbbVie02no" w:date="2025-05-15T13:45:00Z"/>
          <w:sz w:val="22"/>
          <w:szCs w:val="22"/>
        </w:rPr>
        <w:pPrChange w:id="4318" w:author="AbbVie02no" w:date="2025-05-15T13:45:00Z">
          <w:pPr/>
        </w:pPrChange>
      </w:pPr>
    </w:p>
    <w:p w14:paraId="40E980DA" w14:textId="152C748C" w:rsidR="00884304" w:rsidRDefault="00E453CD">
      <w:pPr>
        <w:keepNext/>
        <w:suppressAutoHyphens/>
        <w:rPr>
          <w:del w:id="4319" w:author="AbbVie02no" w:date="2025-05-15T13:45:00Z"/>
          <w:sz w:val="22"/>
          <w:szCs w:val="22"/>
        </w:rPr>
        <w:pPrChange w:id="4320" w:author="AbbVie02no" w:date="2025-05-15T13:45:00Z">
          <w:pPr/>
        </w:pPrChange>
      </w:pPr>
      <w:del w:id="4321" w:author="AbbVie02no" w:date="2025-05-15T13:45:00Z">
        <w:r w:rsidRPr="00884304">
          <w:rPr>
            <w:sz w:val="22"/>
            <w:szCs w:val="22"/>
          </w:rPr>
          <w:lastRenderedPageBreak/>
          <w:delText>Utover 16</w:delText>
        </w:r>
        <w:r w:rsidR="009102AB">
          <w:rPr>
            <w:sz w:val="22"/>
            <w:szCs w:val="22"/>
          </w:rPr>
          <w:delText> </w:delText>
        </w:r>
        <w:r w:rsidRPr="00884304">
          <w:rPr>
            <w:sz w:val="22"/>
            <w:szCs w:val="22"/>
          </w:rPr>
          <w:delText xml:space="preserve">uker, kan pasienter med utilstrekkelig respons </w:delText>
        </w:r>
        <w:r w:rsidR="007250BA">
          <w:rPr>
            <w:sz w:val="22"/>
            <w:szCs w:val="22"/>
          </w:rPr>
          <w:delText>på</w:delText>
        </w:r>
        <w:r w:rsidR="009421F3">
          <w:rPr>
            <w:sz w:val="22"/>
            <w:szCs w:val="22"/>
          </w:rPr>
          <w:delText xml:space="preserve"> Humira 40</w:delText>
        </w:r>
        <w:r w:rsidR="009102AB">
          <w:rPr>
            <w:sz w:val="22"/>
            <w:szCs w:val="22"/>
          </w:rPr>
          <w:delText> </w:delText>
        </w:r>
        <w:r w:rsidR="009421F3">
          <w:rPr>
            <w:sz w:val="22"/>
            <w:szCs w:val="22"/>
          </w:rPr>
          <w:delText xml:space="preserve">mg annenhver uke </w:delText>
        </w:r>
        <w:r>
          <w:rPr>
            <w:sz w:val="22"/>
            <w:szCs w:val="22"/>
          </w:rPr>
          <w:delText xml:space="preserve">ha </w:delText>
        </w:r>
        <w:r w:rsidRPr="00884304">
          <w:rPr>
            <w:sz w:val="22"/>
            <w:szCs w:val="22"/>
          </w:rPr>
          <w:delText>nytte av en økning i dosering til 40</w:delText>
        </w:r>
        <w:r w:rsidR="009102AB">
          <w:rPr>
            <w:sz w:val="22"/>
            <w:szCs w:val="22"/>
          </w:rPr>
          <w:delText> </w:delText>
        </w:r>
        <w:r w:rsidRPr="00884304">
          <w:rPr>
            <w:sz w:val="22"/>
            <w:szCs w:val="22"/>
          </w:rPr>
          <w:delText>mg hver uke</w:delText>
        </w:r>
        <w:r w:rsidR="009421F3">
          <w:rPr>
            <w:sz w:val="22"/>
            <w:szCs w:val="22"/>
          </w:rPr>
          <w:delText xml:space="preserve"> eller 80</w:delText>
        </w:r>
        <w:r w:rsidR="009102AB">
          <w:rPr>
            <w:sz w:val="22"/>
            <w:szCs w:val="22"/>
          </w:rPr>
          <w:delText> </w:delText>
        </w:r>
        <w:r w:rsidR="009421F3">
          <w:rPr>
            <w:sz w:val="22"/>
            <w:szCs w:val="22"/>
          </w:rPr>
          <w:delText>mg annenhver uke</w:delText>
        </w:r>
        <w:r w:rsidRPr="00884304">
          <w:rPr>
            <w:sz w:val="22"/>
            <w:szCs w:val="22"/>
          </w:rPr>
          <w:delText xml:space="preserve">. </w:delText>
        </w:r>
        <w:r w:rsidR="00666CFA">
          <w:rPr>
            <w:sz w:val="22"/>
            <w:szCs w:val="22"/>
          </w:rPr>
          <w:delText>Nytte</w:delText>
        </w:r>
        <w:r w:rsidRPr="00884304">
          <w:rPr>
            <w:sz w:val="22"/>
            <w:szCs w:val="22"/>
          </w:rPr>
          <w:delText xml:space="preserve"> og risiko ved fortsatt ukentlig behandling med </w:delText>
        </w:r>
        <w:r w:rsidR="009421F3">
          <w:rPr>
            <w:sz w:val="22"/>
            <w:szCs w:val="22"/>
          </w:rPr>
          <w:delText>40</w:delText>
        </w:r>
        <w:r w:rsidR="009102AB">
          <w:rPr>
            <w:sz w:val="22"/>
            <w:szCs w:val="22"/>
          </w:rPr>
          <w:delText> </w:delText>
        </w:r>
        <w:r w:rsidR="009421F3">
          <w:rPr>
            <w:sz w:val="22"/>
            <w:szCs w:val="22"/>
          </w:rPr>
          <w:delText>mg eller 80</w:delText>
        </w:r>
        <w:r w:rsidR="009102AB">
          <w:rPr>
            <w:sz w:val="22"/>
            <w:szCs w:val="22"/>
          </w:rPr>
          <w:delText> </w:delText>
        </w:r>
        <w:r w:rsidR="009421F3">
          <w:rPr>
            <w:sz w:val="22"/>
            <w:szCs w:val="22"/>
          </w:rPr>
          <w:delText>mg annenhver uke</w:delText>
        </w:r>
        <w:r w:rsidR="009421F3" w:rsidRPr="00884304">
          <w:rPr>
            <w:sz w:val="22"/>
            <w:szCs w:val="22"/>
          </w:rPr>
          <w:delText xml:space="preserve"> </w:delText>
        </w:r>
        <w:r w:rsidRPr="00884304">
          <w:rPr>
            <w:sz w:val="22"/>
            <w:szCs w:val="22"/>
          </w:rPr>
          <w:delText>bør revurderes nøye hos en pasient med en utilstrekkelig respons ett</w:delText>
        </w:r>
        <w:r>
          <w:rPr>
            <w:sz w:val="22"/>
            <w:szCs w:val="22"/>
          </w:rPr>
          <w:delText>er økningen i dosering</w:delText>
        </w:r>
        <w:r w:rsidR="009649D1">
          <w:rPr>
            <w:sz w:val="22"/>
            <w:szCs w:val="22"/>
          </w:rPr>
          <w:delText xml:space="preserve"> (se p</w:delText>
        </w:r>
        <w:r w:rsidRPr="00884304">
          <w:rPr>
            <w:sz w:val="22"/>
            <w:szCs w:val="22"/>
          </w:rPr>
          <w:delText>kt</w:delText>
        </w:r>
        <w:r w:rsidR="009649D1">
          <w:rPr>
            <w:sz w:val="22"/>
            <w:szCs w:val="22"/>
          </w:rPr>
          <w:delText>.</w:delText>
        </w:r>
        <w:r w:rsidR="009102AB">
          <w:rPr>
            <w:sz w:val="22"/>
            <w:szCs w:val="22"/>
          </w:rPr>
          <w:delText> </w:delText>
        </w:r>
        <w:r w:rsidR="00547B09">
          <w:rPr>
            <w:sz w:val="22"/>
            <w:szCs w:val="22"/>
          </w:rPr>
          <w:delText xml:space="preserve">5.1). </w:delText>
        </w:r>
        <w:r w:rsidRPr="00884304">
          <w:rPr>
            <w:sz w:val="22"/>
            <w:szCs w:val="22"/>
          </w:rPr>
          <w:delText xml:space="preserve">Dersom tilstrekkelig respons oppnås med </w:delText>
        </w:r>
        <w:r w:rsidR="00547B09">
          <w:rPr>
            <w:sz w:val="22"/>
            <w:szCs w:val="22"/>
          </w:rPr>
          <w:delText>40</w:delText>
        </w:r>
        <w:r w:rsidR="009102AB">
          <w:rPr>
            <w:sz w:val="22"/>
            <w:szCs w:val="22"/>
          </w:rPr>
          <w:delText> </w:delText>
        </w:r>
        <w:r w:rsidR="00547B09">
          <w:rPr>
            <w:sz w:val="22"/>
            <w:szCs w:val="22"/>
          </w:rPr>
          <w:delText xml:space="preserve">mg hver uke eller </w:delText>
        </w:r>
        <w:r w:rsidR="00BA5FEC">
          <w:rPr>
            <w:sz w:val="22"/>
            <w:szCs w:val="22"/>
          </w:rPr>
          <w:delText>80</w:delText>
        </w:r>
        <w:r w:rsidR="009102AB">
          <w:rPr>
            <w:sz w:val="22"/>
            <w:szCs w:val="22"/>
          </w:rPr>
          <w:delText> </w:delText>
        </w:r>
        <w:r w:rsidR="00BA5FEC">
          <w:rPr>
            <w:sz w:val="22"/>
            <w:szCs w:val="22"/>
          </w:rPr>
          <w:delText>mg annenhver uke</w:delText>
        </w:r>
        <w:r w:rsidRPr="00884304">
          <w:rPr>
            <w:sz w:val="22"/>
            <w:szCs w:val="22"/>
          </w:rPr>
          <w:delText>, kan dose</w:delText>
        </w:r>
        <w:r w:rsidR="007250BA">
          <w:rPr>
            <w:sz w:val="22"/>
            <w:szCs w:val="22"/>
          </w:rPr>
          <w:delText>ringen</w:delText>
        </w:r>
        <w:r w:rsidRPr="00884304">
          <w:rPr>
            <w:sz w:val="22"/>
            <w:szCs w:val="22"/>
          </w:rPr>
          <w:delText xml:space="preserve"> deretter reduseres til 40</w:delText>
        </w:r>
        <w:r w:rsidR="009102AB">
          <w:rPr>
            <w:sz w:val="22"/>
            <w:szCs w:val="22"/>
          </w:rPr>
          <w:delText> </w:delText>
        </w:r>
        <w:r w:rsidRPr="00884304">
          <w:rPr>
            <w:sz w:val="22"/>
            <w:szCs w:val="22"/>
          </w:rPr>
          <w:delText>mg annenhver uke.</w:delText>
        </w:r>
      </w:del>
    </w:p>
    <w:p w14:paraId="5900FF1D" w14:textId="657FE477" w:rsidR="009421F3" w:rsidRDefault="009421F3">
      <w:pPr>
        <w:keepNext/>
        <w:suppressAutoHyphens/>
        <w:rPr>
          <w:del w:id="4322" w:author="AbbVie02no" w:date="2025-05-15T13:45:00Z"/>
          <w:sz w:val="22"/>
          <w:szCs w:val="22"/>
        </w:rPr>
        <w:pPrChange w:id="4323" w:author="AbbVie02no" w:date="2025-05-15T13:45:00Z">
          <w:pPr/>
        </w:pPrChange>
      </w:pPr>
    </w:p>
    <w:p w14:paraId="1647E629" w14:textId="403449F0" w:rsidR="009421F3" w:rsidRPr="009C5EFD" w:rsidRDefault="00E453CD">
      <w:pPr>
        <w:keepNext/>
        <w:suppressAutoHyphens/>
        <w:rPr>
          <w:del w:id="4324" w:author="AbbVie02no" w:date="2025-05-15T13:45:00Z"/>
          <w:sz w:val="22"/>
          <w:szCs w:val="22"/>
        </w:rPr>
        <w:pPrChange w:id="4325" w:author="AbbVie02no" w:date="2025-05-15T13:45:00Z">
          <w:pPr/>
        </w:pPrChange>
      </w:pPr>
      <w:del w:id="4326" w:author="AbbVie02no" w:date="2025-05-15T13:45:00Z">
        <w:r>
          <w:rPr>
            <w:sz w:val="22"/>
            <w:szCs w:val="22"/>
          </w:rPr>
          <w:delText>Humira kan være tilgjengelig i andre styrker og/eller formuleringer avhengig av individuelle behandlingsbehov.</w:delText>
        </w:r>
      </w:del>
    </w:p>
    <w:p w14:paraId="5F557894" w14:textId="3105586D" w:rsidR="0048567B" w:rsidRPr="009C5EFD" w:rsidRDefault="0048567B">
      <w:pPr>
        <w:keepNext/>
        <w:suppressAutoHyphens/>
        <w:rPr>
          <w:del w:id="4327" w:author="AbbVie02no" w:date="2025-05-15T13:45:00Z"/>
          <w:sz w:val="22"/>
          <w:szCs w:val="22"/>
        </w:rPr>
        <w:pPrChange w:id="4328" w:author="AbbVie02no" w:date="2025-05-15T13:45:00Z">
          <w:pPr/>
        </w:pPrChange>
      </w:pPr>
    </w:p>
    <w:p w14:paraId="6CFF9CC1" w14:textId="5E8E7FDF" w:rsidR="00267645" w:rsidRPr="009C5EFD" w:rsidRDefault="00E453CD">
      <w:pPr>
        <w:keepNext/>
        <w:suppressAutoHyphens/>
        <w:rPr>
          <w:del w:id="4329" w:author="AbbVie02no" w:date="2025-05-15T13:45:00Z"/>
          <w:i/>
          <w:sz w:val="22"/>
          <w:szCs w:val="22"/>
        </w:rPr>
        <w:pPrChange w:id="4330" w:author="AbbVie02no" w:date="2025-05-15T13:45:00Z">
          <w:pPr/>
        </w:pPrChange>
      </w:pPr>
      <w:del w:id="4331" w:author="AbbVie02no" w:date="2025-05-15T13:45:00Z">
        <w:r w:rsidRPr="009C5EFD">
          <w:rPr>
            <w:i/>
            <w:sz w:val="22"/>
            <w:szCs w:val="22"/>
          </w:rPr>
          <w:delText>Hidrosadenitt</w:delText>
        </w:r>
      </w:del>
    </w:p>
    <w:p w14:paraId="252D93E6" w14:textId="1BCC683A" w:rsidR="00267645" w:rsidRPr="009C5EFD" w:rsidRDefault="00267645">
      <w:pPr>
        <w:keepNext/>
        <w:suppressAutoHyphens/>
        <w:rPr>
          <w:del w:id="4332" w:author="AbbVie02no" w:date="2025-05-15T13:45:00Z"/>
          <w:sz w:val="22"/>
          <w:szCs w:val="22"/>
        </w:rPr>
        <w:pPrChange w:id="4333" w:author="AbbVie02no" w:date="2025-05-15T13:45:00Z">
          <w:pPr/>
        </w:pPrChange>
      </w:pPr>
    </w:p>
    <w:p w14:paraId="608F94BA" w14:textId="555AEF8F" w:rsidR="00267645" w:rsidRPr="009C5EFD" w:rsidRDefault="00E453CD">
      <w:pPr>
        <w:keepNext/>
        <w:suppressAutoHyphens/>
        <w:rPr>
          <w:del w:id="4334" w:author="AbbVie02no" w:date="2025-05-15T13:45:00Z"/>
          <w:sz w:val="22"/>
          <w:szCs w:val="22"/>
        </w:rPr>
        <w:pPrChange w:id="4335" w:author="AbbVie02no" w:date="2025-05-15T13:45:00Z">
          <w:pPr/>
        </w:pPrChange>
      </w:pPr>
      <w:del w:id="4336" w:author="AbbVie02no" w:date="2025-05-15T13:45:00Z">
        <w:r w:rsidRPr="009C5EFD">
          <w:rPr>
            <w:sz w:val="22"/>
            <w:szCs w:val="22"/>
          </w:rPr>
          <w:delText xml:space="preserve">Anbefalt dosering </w:delText>
        </w:r>
        <w:r w:rsidR="000944CD">
          <w:rPr>
            <w:sz w:val="22"/>
            <w:szCs w:val="22"/>
          </w:rPr>
          <w:delText>av</w:delText>
        </w:r>
        <w:r w:rsidRPr="009C5EFD">
          <w:rPr>
            <w:sz w:val="22"/>
            <w:szCs w:val="22"/>
          </w:rPr>
          <w:delText xml:space="preserve"> Humira hos voksne pasienter med </w:delText>
        </w:r>
        <w:r w:rsidR="007F67EE" w:rsidRPr="009C5EFD">
          <w:rPr>
            <w:sz w:val="22"/>
            <w:szCs w:val="22"/>
          </w:rPr>
          <w:delText>hidrosadenitt</w:delText>
        </w:r>
        <w:r w:rsidRPr="009C5EFD">
          <w:rPr>
            <w:sz w:val="22"/>
            <w:szCs w:val="22"/>
          </w:rPr>
          <w:delText xml:space="preserve"> (HS) er 160</w:delText>
        </w:r>
        <w:r w:rsidR="00015FC4">
          <w:rPr>
            <w:sz w:val="22"/>
            <w:szCs w:val="22"/>
          </w:rPr>
          <w:delText> </w:delText>
        </w:r>
        <w:r w:rsidRPr="009C5EFD">
          <w:rPr>
            <w:sz w:val="22"/>
            <w:szCs w:val="22"/>
          </w:rPr>
          <w:delText>mg initialt ved dag 1 (dosen kan gis som fire 40</w:delText>
        </w:r>
        <w:r w:rsidR="00015FC4">
          <w:rPr>
            <w:sz w:val="22"/>
            <w:szCs w:val="22"/>
          </w:rPr>
          <w:delText> </w:delText>
        </w:r>
        <w:r w:rsidRPr="009C5EFD">
          <w:rPr>
            <w:sz w:val="22"/>
            <w:szCs w:val="22"/>
          </w:rPr>
          <w:delText xml:space="preserve">mg injeksjoner </w:delText>
        </w:r>
        <w:r w:rsidR="00593397">
          <w:rPr>
            <w:sz w:val="22"/>
            <w:szCs w:val="22"/>
          </w:rPr>
          <w:delText>på</w:delText>
        </w:r>
        <w:r w:rsidRPr="009C5EFD">
          <w:rPr>
            <w:sz w:val="22"/>
            <w:szCs w:val="22"/>
          </w:rPr>
          <w:delText xml:space="preserve"> en dag eller som to 40</w:delText>
        </w:r>
        <w:r w:rsidR="00015FC4">
          <w:rPr>
            <w:sz w:val="22"/>
            <w:szCs w:val="22"/>
          </w:rPr>
          <w:delText> </w:delText>
        </w:r>
        <w:r w:rsidRPr="009C5EFD">
          <w:rPr>
            <w:sz w:val="22"/>
            <w:szCs w:val="22"/>
          </w:rPr>
          <w:delText>mg injeksjoner dag</w:delText>
        </w:r>
        <w:r w:rsidR="00EF5E79">
          <w:rPr>
            <w:sz w:val="22"/>
            <w:szCs w:val="22"/>
          </w:rPr>
          <w:delText>lig</w:delText>
        </w:r>
        <w:r w:rsidRPr="009C5EFD">
          <w:rPr>
            <w:sz w:val="22"/>
            <w:szCs w:val="22"/>
          </w:rPr>
          <w:delText xml:space="preserve"> </w:delText>
        </w:r>
        <w:r w:rsidR="00326F9C">
          <w:rPr>
            <w:sz w:val="22"/>
            <w:szCs w:val="22"/>
          </w:rPr>
          <w:delText>i</w:delText>
        </w:r>
        <w:r w:rsidRPr="009C5EFD">
          <w:rPr>
            <w:sz w:val="22"/>
            <w:szCs w:val="22"/>
          </w:rPr>
          <w:delText xml:space="preserve"> to påfølgende dager), etterfulgt av 80 mg to uker senere ved dag 15 (</w:delText>
        </w:r>
        <w:r w:rsidR="00E11119">
          <w:rPr>
            <w:sz w:val="22"/>
            <w:szCs w:val="22"/>
          </w:rPr>
          <w:delText>gitt</w:delText>
        </w:r>
        <w:r w:rsidRPr="009C5EFD">
          <w:rPr>
            <w:sz w:val="22"/>
            <w:szCs w:val="22"/>
          </w:rPr>
          <w:delText xml:space="preserve"> som to 40</w:delText>
        </w:r>
        <w:r w:rsidR="00015FC4">
          <w:rPr>
            <w:sz w:val="22"/>
            <w:szCs w:val="22"/>
          </w:rPr>
          <w:delText> </w:delText>
        </w:r>
        <w:r w:rsidRPr="009C5EFD">
          <w:rPr>
            <w:sz w:val="22"/>
            <w:szCs w:val="22"/>
          </w:rPr>
          <w:delText xml:space="preserve">mg injeksjoner </w:delText>
        </w:r>
        <w:r w:rsidR="00217DA0">
          <w:rPr>
            <w:sz w:val="22"/>
            <w:szCs w:val="22"/>
          </w:rPr>
          <w:delText>på</w:delText>
        </w:r>
        <w:r w:rsidRPr="009C5EFD">
          <w:rPr>
            <w:sz w:val="22"/>
            <w:szCs w:val="22"/>
          </w:rPr>
          <w:delText xml:space="preserve"> en dag). To uker senere (dag 29) fortsettes behandlingen med </w:delText>
        </w:r>
        <w:r w:rsidR="004E37EB">
          <w:rPr>
            <w:sz w:val="22"/>
            <w:szCs w:val="22"/>
          </w:rPr>
          <w:delText xml:space="preserve">én </w:delText>
        </w:r>
        <w:r w:rsidRPr="009C5EFD">
          <w:rPr>
            <w:sz w:val="22"/>
            <w:szCs w:val="22"/>
          </w:rPr>
          <w:delText>dose på 40</w:delText>
        </w:r>
        <w:r w:rsidR="00015FC4">
          <w:rPr>
            <w:sz w:val="22"/>
            <w:szCs w:val="22"/>
          </w:rPr>
          <w:delText> </w:delText>
        </w:r>
        <w:r w:rsidRPr="009C5EFD">
          <w:rPr>
            <w:sz w:val="22"/>
            <w:szCs w:val="22"/>
          </w:rPr>
          <w:delText>mg hver uke</w:delText>
        </w:r>
        <w:r w:rsidR="00BA5FEC">
          <w:rPr>
            <w:sz w:val="22"/>
            <w:szCs w:val="22"/>
          </w:rPr>
          <w:delText xml:space="preserve"> eller 80</w:delText>
        </w:r>
        <w:r w:rsidR="00015FC4">
          <w:rPr>
            <w:sz w:val="22"/>
            <w:szCs w:val="22"/>
          </w:rPr>
          <w:delText> </w:delText>
        </w:r>
        <w:r w:rsidR="00BA5FEC">
          <w:rPr>
            <w:sz w:val="22"/>
            <w:szCs w:val="22"/>
          </w:rPr>
          <w:delText>mg annenhver uke (gitt som to 40</w:delText>
        </w:r>
        <w:r w:rsidR="00015FC4">
          <w:rPr>
            <w:sz w:val="22"/>
            <w:szCs w:val="22"/>
          </w:rPr>
          <w:delText> </w:delText>
        </w:r>
        <w:r w:rsidR="00BA5FEC">
          <w:rPr>
            <w:sz w:val="22"/>
            <w:szCs w:val="22"/>
          </w:rPr>
          <w:delText>mg injeksjoner på en dag)</w:delText>
        </w:r>
        <w:r w:rsidRPr="009C5EFD">
          <w:rPr>
            <w:sz w:val="22"/>
            <w:szCs w:val="22"/>
          </w:rPr>
          <w:delText>. Behandling med antibiotika kan fortsette under behandling med Humira om nødvendig. Det anbefales at pasienten bruke</w:delText>
        </w:r>
        <w:r w:rsidR="00CD050C">
          <w:rPr>
            <w:sz w:val="22"/>
            <w:szCs w:val="22"/>
          </w:rPr>
          <w:delText>r</w:delText>
        </w:r>
        <w:r w:rsidRPr="009C5EFD">
          <w:rPr>
            <w:sz w:val="22"/>
            <w:szCs w:val="22"/>
          </w:rPr>
          <w:delText xml:space="preserve"> en topikal antiseptisk vask på sine HS sår daglig under behandling med Humira.</w:delText>
        </w:r>
      </w:del>
    </w:p>
    <w:p w14:paraId="7F4989EB" w14:textId="1CA52295" w:rsidR="00267645" w:rsidRPr="009C5EFD" w:rsidRDefault="00267645">
      <w:pPr>
        <w:keepNext/>
        <w:suppressAutoHyphens/>
        <w:rPr>
          <w:del w:id="4337" w:author="AbbVie02no" w:date="2025-05-15T13:45:00Z"/>
          <w:sz w:val="22"/>
          <w:szCs w:val="22"/>
        </w:rPr>
        <w:pPrChange w:id="4338" w:author="AbbVie02no" w:date="2025-05-15T13:45:00Z">
          <w:pPr/>
        </w:pPrChange>
      </w:pPr>
    </w:p>
    <w:p w14:paraId="433D0138" w14:textId="0116D60A" w:rsidR="00267645" w:rsidRPr="009C5EFD" w:rsidRDefault="00E453CD">
      <w:pPr>
        <w:keepNext/>
        <w:suppressAutoHyphens/>
        <w:rPr>
          <w:del w:id="4339" w:author="AbbVie02no" w:date="2025-05-15T13:45:00Z"/>
          <w:sz w:val="22"/>
          <w:szCs w:val="22"/>
        </w:rPr>
        <w:pPrChange w:id="4340" w:author="AbbVie02no" w:date="2025-05-15T13:45:00Z">
          <w:pPr/>
        </w:pPrChange>
      </w:pPr>
      <w:del w:id="4341" w:author="AbbVie02no" w:date="2025-05-15T13:45:00Z">
        <w:r w:rsidRPr="009C5EFD">
          <w:rPr>
            <w:sz w:val="22"/>
            <w:szCs w:val="22"/>
          </w:rPr>
          <w:delText xml:space="preserve">Videre behandling utover 12 uker bør nøye overveies hos pasienter </w:delText>
        </w:r>
        <w:r w:rsidR="001C14EB">
          <w:rPr>
            <w:sz w:val="22"/>
            <w:szCs w:val="22"/>
          </w:rPr>
          <w:delText>uten</w:delText>
        </w:r>
        <w:r w:rsidRPr="009C5EFD">
          <w:rPr>
            <w:sz w:val="22"/>
            <w:szCs w:val="22"/>
          </w:rPr>
          <w:delText xml:space="preserve"> forbedring </w:delText>
        </w:r>
        <w:r w:rsidR="001C14EB">
          <w:rPr>
            <w:sz w:val="22"/>
            <w:szCs w:val="22"/>
          </w:rPr>
          <w:delText>i løpet av</w:delText>
        </w:r>
        <w:r w:rsidRPr="009C5EFD">
          <w:rPr>
            <w:sz w:val="22"/>
            <w:szCs w:val="22"/>
          </w:rPr>
          <w:delText xml:space="preserve"> denne perioden. </w:delText>
        </w:r>
      </w:del>
    </w:p>
    <w:p w14:paraId="16649D22" w14:textId="641DF5FA" w:rsidR="00267645" w:rsidRPr="009C5EFD" w:rsidRDefault="00267645">
      <w:pPr>
        <w:keepNext/>
        <w:suppressAutoHyphens/>
        <w:rPr>
          <w:del w:id="4342" w:author="AbbVie02no" w:date="2025-05-15T13:45:00Z"/>
          <w:sz w:val="22"/>
          <w:szCs w:val="22"/>
        </w:rPr>
        <w:pPrChange w:id="4343" w:author="AbbVie02no" w:date="2025-05-15T13:45:00Z">
          <w:pPr/>
        </w:pPrChange>
      </w:pPr>
    </w:p>
    <w:p w14:paraId="2CECE863" w14:textId="39A6E1F0" w:rsidR="00717E3B" w:rsidRPr="009C5EFD" w:rsidRDefault="00E453CD">
      <w:pPr>
        <w:keepNext/>
        <w:suppressAutoHyphens/>
        <w:rPr>
          <w:del w:id="4344" w:author="AbbVie02no" w:date="2025-05-15T13:45:00Z"/>
          <w:sz w:val="22"/>
          <w:szCs w:val="22"/>
        </w:rPr>
        <w:pPrChange w:id="4345" w:author="AbbVie02no" w:date="2025-05-15T13:45:00Z">
          <w:pPr/>
        </w:pPrChange>
      </w:pPr>
      <w:del w:id="4346" w:author="AbbVie02no" w:date="2025-05-15T13:45:00Z">
        <w:r w:rsidRPr="009C5EFD">
          <w:rPr>
            <w:sz w:val="22"/>
            <w:szCs w:val="22"/>
          </w:rPr>
          <w:delText>Skulle det være nødvendig å avbryte behandlingen</w:delText>
        </w:r>
        <w:r w:rsidR="00607588" w:rsidRPr="009C5EFD">
          <w:rPr>
            <w:sz w:val="22"/>
            <w:szCs w:val="22"/>
          </w:rPr>
          <w:delText>,</w:delText>
        </w:r>
        <w:r w:rsidRPr="009C5EFD">
          <w:rPr>
            <w:sz w:val="22"/>
            <w:szCs w:val="22"/>
          </w:rPr>
          <w:delText xml:space="preserve"> kan </w:delText>
        </w:r>
        <w:r w:rsidR="000A06A7" w:rsidRPr="009C5EFD">
          <w:rPr>
            <w:sz w:val="22"/>
            <w:szCs w:val="22"/>
          </w:rPr>
          <w:delText xml:space="preserve">ukentlig </w:delText>
        </w:r>
        <w:r w:rsidRPr="009C5EFD">
          <w:rPr>
            <w:sz w:val="22"/>
            <w:szCs w:val="22"/>
          </w:rPr>
          <w:delText xml:space="preserve">behandling med </w:delText>
        </w:r>
        <w:r w:rsidR="00607588" w:rsidRPr="009C5EFD">
          <w:rPr>
            <w:sz w:val="22"/>
            <w:szCs w:val="22"/>
          </w:rPr>
          <w:delText xml:space="preserve">40 mg </w:delText>
        </w:r>
        <w:r w:rsidRPr="009C5EFD">
          <w:rPr>
            <w:sz w:val="22"/>
            <w:szCs w:val="22"/>
          </w:rPr>
          <w:delText xml:space="preserve">Humira </w:delText>
        </w:r>
        <w:r w:rsidR="00BA5FEC">
          <w:rPr>
            <w:sz w:val="22"/>
            <w:szCs w:val="22"/>
          </w:rPr>
          <w:delText>eller 80</w:delText>
        </w:r>
        <w:r w:rsidR="00015FC4">
          <w:rPr>
            <w:sz w:val="22"/>
            <w:szCs w:val="22"/>
          </w:rPr>
          <w:delText> </w:delText>
        </w:r>
        <w:r w:rsidR="00BA5FEC">
          <w:rPr>
            <w:sz w:val="22"/>
            <w:szCs w:val="22"/>
          </w:rPr>
          <w:delText xml:space="preserve">mg annenhver uke </w:delText>
        </w:r>
        <w:r w:rsidRPr="009C5EFD">
          <w:rPr>
            <w:sz w:val="22"/>
            <w:szCs w:val="22"/>
          </w:rPr>
          <w:delText>startes igjen</w:delText>
        </w:r>
        <w:r w:rsidR="004431E1" w:rsidRPr="009C5EFD">
          <w:rPr>
            <w:sz w:val="22"/>
            <w:szCs w:val="22"/>
          </w:rPr>
          <w:delText xml:space="preserve"> (se pkt. 5.1)</w:delText>
        </w:r>
        <w:r w:rsidR="00704396">
          <w:rPr>
            <w:sz w:val="22"/>
            <w:szCs w:val="22"/>
          </w:rPr>
          <w:delText>.</w:delText>
        </w:r>
      </w:del>
    </w:p>
    <w:p w14:paraId="179BD8F0" w14:textId="52368E8D" w:rsidR="00717E3B" w:rsidRPr="009C5EFD" w:rsidRDefault="00717E3B">
      <w:pPr>
        <w:keepNext/>
        <w:suppressAutoHyphens/>
        <w:rPr>
          <w:del w:id="4347" w:author="AbbVie02no" w:date="2025-05-15T13:45:00Z"/>
          <w:sz w:val="22"/>
          <w:szCs w:val="22"/>
        </w:rPr>
        <w:pPrChange w:id="4348" w:author="AbbVie02no" w:date="2025-05-15T13:45:00Z">
          <w:pPr/>
        </w:pPrChange>
      </w:pPr>
    </w:p>
    <w:p w14:paraId="50DE20CA" w14:textId="41C0D803" w:rsidR="00267645" w:rsidRDefault="00E453CD">
      <w:pPr>
        <w:keepNext/>
        <w:suppressAutoHyphens/>
        <w:rPr>
          <w:del w:id="4349" w:author="AbbVie02no" w:date="2025-05-15T13:45:00Z"/>
          <w:sz w:val="22"/>
          <w:szCs w:val="22"/>
        </w:rPr>
        <w:pPrChange w:id="4350" w:author="AbbVie02no" w:date="2025-05-15T13:45:00Z">
          <w:pPr/>
        </w:pPrChange>
      </w:pPr>
      <w:del w:id="4351" w:author="AbbVie02no" w:date="2025-05-15T13:45:00Z">
        <w:r w:rsidRPr="009C5EFD">
          <w:rPr>
            <w:sz w:val="22"/>
            <w:szCs w:val="22"/>
          </w:rPr>
          <w:delText xml:space="preserve">Nytte og risiko ved videre langvarig behandling bør </w:delText>
        </w:r>
        <w:r w:rsidR="00421CF7">
          <w:rPr>
            <w:sz w:val="22"/>
            <w:szCs w:val="22"/>
          </w:rPr>
          <w:delText>vurderes</w:delText>
        </w:r>
        <w:r w:rsidRPr="009C5EFD">
          <w:rPr>
            <w:sz w:val="22"/>
            <w:szCs w:val="22"/>
          </w:rPr>
          <w:delText xml:space="preserve"> regelmessig (se pkt.</w:delText>
        </w:r>
        <w:r w:rsidR="00015FC4">
          <w:rPr>
            <w:sz w:val="22"/>
            <w:szCs w:val="22"/>
          </w:rPr>
          <w:delText> </w:delText>
        </w:r>
        <w:r w:rsidRPr="009C5EFD">
          <w:rPr>
            <w:sz w:val="22"/>
            <w:szCs w:val="22"/>
          </w:rPr>
          <w:delText>5.1).</w:delText>
        </w:r>
      </w:del>
    </w:p>
    <w:p w14:paraId="749CC8A9" w14:textId="1E2BB772" w:rsidR="00BA5FEC" w:rsidRDefault="00BA5FEC">
      <w:pPr>
        <w:keepNext/>
        <w:suppressAutoHyphens/>
        <w:rPr>
          <w:del w:id="4352" w:author="AbbVie02no" w:date="2025-05-15T13:45:00Z"/>
          <w:sz w:val="22"/>
          <w:szCs w:val="22"/>
        </w:rPr>
        <w:pPrChange w:id="4353" w:author="AbbVie02no" w:date="2025-05-15T13:45:00Z">
          <w:pPr/>
        </w:pPrChange>
      </w:pPr>
    </w:p>
    <w:p w14:paraId="3DCAEF16" w14:textId="60A56D6C" w:rsidR="00BA5FEC" w:rsidRPr="009C5EFD" w:rsidRDefault="00E453CD">
      <w:pPr>
        <w:keepNext/>
        <w:suppressAutoHyphens/>
        <w:rPr>
          <w:del w:id="4354" w:author="AbbVie02no" w:date="2025-05-15T13:45:00Z"/>
          <w:sz w:val="22"/>
          <w:szCs w:val="22"/>
        </w:rPr>
        <w:pPrChange w:id="4355" w:author="AbbVie02no" w:date="2025-05-15T13:45:00Z">
          <w:pPr/>
        </w:pPrChange>
      </w:pPr>
      <w:del w:id="4356" w:author="AbbVie02no" w:date="2025-05-15T13:45:00Z">
        <w:r>
          <w:rPr>
            <w:sz w:val="22"/>
            <w:szCs w:val="22"/>
          </w:rPr>
          <w:delText>Humira kan være tilgjengelig i andre styrker og/eller formuleringer avhengig av individuelle behandlingsbehov.</w:delText>
        </w:r>
      </w:del>
    </w:p>
    <w:p w14:paraId="2D42E3DA" w14:textId="45639FC0" w:rsidR="00267645" w:rsidRPr="009C5EFD" w:rsidRDefault="00267645">
      <w:pPr>
        <w:keepNext/>
        <w:suppressAutoHyphens/>
        <w:rPr>
          <w:del w:id="4357" w:author="AbbVie02no" w:date="2025-05-15T13:45:00Z"/>
          <w:sz w:val="22"/>
          <w:szCs w:val="22"/>
        </w:rPr>
        <w:pPrChange w:id="4358" w:author="AbbVie02no" w:date="2025-05-15T13:45:00Z">
          <w:pPr>
            <w:tabs>
              <w:tab w:val="left" w:pos="3060"/>
            </w:tabs>
          </w:pPr>
        </w:pPrChange>
      </w:pPr>
    </w:p>
    <w:p w14:paraId="7A2BF942" w14:textId="505D022E" w:rsidR="00FA0A10" w:rsidRPr="001F5D4B" w:rsidRDefault="00E453CD">
      <w:pPr>
        <w:keepNext/>
        <w:suppressAutoHyphens/>
        <w:rPr>
          <w:del w:id="4359" w:author="AbbVie02no" w:date="2025-05-15T13:45:00Z"/>
          <w:i/>
          <w:sz w:val="22"/>
          <w:szCs w:val="22"/>
        </w:rPr>
        <w:pPrChange w:id="4360" w:author="AbbVie02no" w:date="2025-05-15T13:45:00Z">
          <w:pPr/>
        </w:pPrChange>
      </w:pPr>
      <w:del w:id="4361" w:author="AbbVie02no" w:date="2025-05-15T13:45:00Z">
        <w:r w:rsidRPr="009C5EFD">
          <w:rPr>
            <w:i/>
            <w:sz w:val="22"/>
            <w:szCs w:val="22"/>
          </w:rPr>
          <w:delText>Crohns sykdom</w:delText>
        </w:r>
      </w:del>
    </w:p>
    <w:p w14:paraId="04065BBB" w14:textId="1B2987B0" w:rsidR="00FA0A10" w:rsidRPr="007F67EE" w:rsidRDefault="00FA0A10">
      <w:pPr>
        <w:keepNext/>
        <w:suppressAutoHyphens/>
        <w:rPr>
          <w:del w:id="4362" w:author="AbbVie02no" w:date="2025-05-15T13:45:00Z"/>
          <w:sz w:val="22"/>
          <w:szCs w:val="22"/>
        </w:rPr>
        <w:pPrChange w:id="4363" w:author="AbbVie02no" w:date="2025-05-15T13:45:00Z">
          <w:pPr/>
        </w:pPrChange>
      </w:pPr>
    </w:p>
    <w:p w14:paraId="02F9C711" w14:textId="412E44DC" w:rsidR="00FA0A10" w:rsidRPr="009C5EFD" w:rsidRDefault="00E453CD">
      <w:pPr>
        <w:keepNext/>
        <w:suppressAutoHyphens/>
        <w:rPr>
          <w:del w:id="4364" w:author="AbbVie02no" w:date="2025-05-15T13:45:00Z"/>
          <w:sz w:val="22"/>
          <w:szCs w:val="22"/>
        </w:rPr>
        <w:pPrChange w:id="4365" w:author="AbbVie02no" w:date="2025-05-15T13:45:00Z">
          <w:pPr/>
        </w:pPrChange>
      </w:pPr>
      <w:del w:id="4366" w:author="AbbVie02no" w:date="2025-05-15T13:45:00Z">
        <w:r w:rsidRPr="00193D76">
          <w:rPr>
            <w:sz w:val="22"/>
            <w:szCs w:val="22"/>
          </w:rPr>
          <w:delText>Anbefalt induksjonsr</w:delText>
        </w:r>
        <w:r w:rsidRPr="002D0790">
          <w:rPr>
            <w:sz w:val="22"/>
            <w:szCs w:val="22"/>
          </w:rPr>
          <w:delText xml:space="preserve">egime med Humira hos voksne pasienter med </w:delText>
        </w:r>
        <w:r w:rsidR="00762B97" w:rsidRPr="002D0790">
          <w:rPr>
            <w:sz w:val="22"/>
            <w:szCs w:val="22"/>
          </w:rPr>
          <w:delText xml:space="preserve">moderat til </w:delText>
        </w:r>
        <w:r w:rsidRPr="00E14E58">
          <w:rPr>
            <w:sz w:val="22"/>
            <w:szCs w:val="22"/>
          </w:rPr>
          <w:delText xml:space="preserve">alvorlig </w:delText>
        </w:r>
        <w:r w:rsidR="00762B97" w:rsidRPr="009C5EFD">
          <w:rPr>
            <w:sz w:val="22"/>
            <w:szCs w:val="22"/>
          </w:rPr>
          <w:delText xml:space="preserve">aktiv </w:delText>
        </w:r>
        <w:r w:rsidRPr="009C5EFD">
          <w:rPr>
            <w:sz w:val="22"/>
            <w:szCs w:val="22"/>
          </w:rPr>
          <w:delText>Crohns sykdom er 80</w:delText>
        </w:r>
        <w:r w:rsidR="004E37EB">
          <w:rPr>
            <w:sz w:val="22"/>
            <w:szCs w:val="22"/>
          </w:rPr>
          <w:delText> </w:delText>
        </w:r>
        <w:r w:rsidRPr="009C5EFD">
          <w:rPr>
            <w:sz w:val="22"/>
            <w:szCs w:val="22"/>
          </w:rPr>
          <w:delText>mg initialt (ved uke 0) etterfulgt av 40</w:delText>
        </w:r>
        <w:r w:rsidR="004E37EB">
          <w:rPr>
            <w:sz w:val="22"/>
            <w:szCs w:val="22"/>
          </w:rPr>
          <w:delText> </w:delText>
        </w:r>
        <w:r w:rsidRPr="009C5EFD">
          <w:rPr>
            <w:sz w:val="22"/>
            <w:szCs w:val="22"/>
          </w:rPr>
          <w:delText xml:space="preserve">mg </w:delText>
        </w:r>
        <w:r w:rsidR="009B5460" w:rsidRPr="009C5EFD">
          <w:rPr>
            <w:sz w:val="22"/>
            <w:szCs w:val="22"/>
          </w:rPr>
          <w:delText>ved uke 2</w:delText>
        </w:r>
        <w:r w:rsidRPr="009C5EFD">
          <w:rPr>
            <w:sz w:val="22"/>
            <w:szCs w:val="22"/>
          </w:rPr>
          <w:delText xml:space="preserve">. Dersom det er behov for </w:delText>
        </w:r>
        <w:r w:rsidR="00A94269">
          <w:rPr>
            <w:sz w:val="22"/>
            <w:szCs w:val="22"/>
          </w:rPr>
          <w:delText xml:space="preserve">en </w:delText>
        </w:r>
        <w:r w:rsidRPr="009C5EFD">
          <w:rPr>
            <w:sz w:val="22"/>
            <w:szCs w:val="22"/>
          </w:rPr>
          <w:delText>rask</w:delText>
        </w:r>
        <w:r w:rsidR="00A94269">
          <w:rPr>
            <w:sz w:val="22"/>
            <w:szCs w:val="22"/>
          </w:rPr>
          <w:delText>ere</w:delText>
        </w:r>
        <w:r w:rsidRPr="009C5EFD">
          <w:rPr>
            <w:sz w:val="22"/>
            <w:szCs w:val="22"/>
          </w:rPr>
          <w:delText xml:space="preserve"> behandlingsrespons kan </w:delText>
        </w:r>
        <w:r w:rsidR="009B5460" w:rsidRPr="009C5EFD">
          <w:rPr>
            <w:sz w:val="22"/>
            <w:szCs w:val="22"/>
          </w:rPr>
          <w:delText>et regime med</w:delText>
        </w:r>
        <w:r w:rsidRPr="009C5EFD">
          <w:rPr>
            <w:sz w:val="22"/>
            <w:szCs w:val="22"/>
          </w:rPr>
          <w:delText xml:space="preserve"> 160</w:delText>
        </w:r>
        <w:r w:rsidR="004E37EB">
          <w:rPr>
            <w:sz w:val="22"/>
            <w:szCs w:val="22"/>
          </w:rPr>
          <w:delText> </w:delText>
        </w:r>
        <w:r w:rsidRPr="009C5EFD">
          <w:rPr>
            <w:sz w:val="22"/>
            <w:szCs w:val="22"/>
          </w:rPr>
          <w:delText xml:space="preserve">mg </w:delText>
        </w:r>
        <w:r w:rsidR="008D0102">
          <w:rPr>
            <w:sz w:val="22"/>
            <w:szCs w:val="22"/>
          </w:rPr>
          <w:delText>ved</w:delText>
        </w:r>
        <w:r w:rsidRPr="009C5EFD">
          <w:rPr>
            <w:sz w:val="22"/>
            <w:szCs w:val="22"/>
          </w:rPr>
          <w:delText xml:space="preserve"> uke</w:delText>
        </w:r>
        <w:r w:rsidR="004E37EB">
          <w:rPr>
            <w:sz w:val="22"/>
            <w:szCs w:val="22"/>
          </w:rPr>
          <w:delText> </w:delText>
        </w:r>
        <w:r w:rsidRPr="009C5EFD">
          <w:rPr>
            <w:sz w:val="22"/>
            <w:szCs w:val="22"/>
          </w:rPr>
          <w:delText>0 (</w:delText>
        </w:r>
        <w:r w:rsidR="00BA5FEC">
          <w:rPr>
            <w:sz w:val="22"/>
            <w:szCs w:val="22"/>
          </w:rPr>
          <w:delText>gitt</w:delText>
        </w:r>
        <w:r w:rsidRPr="009C5EFD">
          <w:rPr>
            <w:sz w:val="22"/>
            <w:szCs w:val="22"/>
          </w:rPr>
          <w:delText xml:space="preserve"> som fire </w:delText>
        </w:r>
        <w:r w:rsidR="00BA5FEC">
          <w:rPr>
            <w:sz w:val="22"/>
            <w:szCs w:val="22"/>
          </w:rPr>
          <w:delText>40</w:delText>
        </w:r>
        <w:r w:rsidR="004E37EB">
          <w:rPr>
            <w:sz w:val="22"/>
            <w:szCs w:val="22"/>
          </w:rPr>
          <w:delText> </w:delText>
        </w:r>
        <w:r w:rsidR="00BA5FEC">
          <w:rPr>
            <w:sz w:val="22"/>
            <w:szCs w:val="22"/>
          </w:rPr>
          <w:delText xml:space="preserve">mg </w:delText>
        </w:r>
        <w:r w:rsidRPr="009C5EFD">
          <w:rPr>
            <w:sz w:val="22"/>
            <w:szCs w:val="22"/>
          </w:rPr>
          <w:delText xml:space="preserve">injeksjoner </w:delText>
        </w:r>
        <w:r w:rsidR="00BA5FEC">
          <w:rPr>
            <w:sz w:val="22"/>
            <w:szCs w:val="22"/>
          </w:rPr>
          <w:delText>på</w:delText>
        </w:r>
        <w:r w:rsidRPr="009C5EFD">
          <w:rPr>
            <w:sz w:val="22"/>
            <w:szCs w:val="22"/>
          </w:rPr>
          <w:delText xml:space="preserve"> en dag eller to </w:delText>
        </w:r>
        <w:r w:rsidR="00BA5FEC">
          <w:rPr>
            <w:sz w:val="22"/>
            <w:szCs w:val="22"/>
          </w:rPr>
          <w:delText>40</w:delText>
        </w:r>
        <w:r w:rsidR="004E37EB">
          <w:rPr>
            <w:sz w:val="22"/>
            <w:szCs w:val="22"/>
          </w:rPr>
          <w:delText> </w:delText>
        </w:r>
        <w:r w:rsidR="00BA5FEC">
          <w:rPr>
            <w:sz w:val="22"/>
            <w:szCs w:val="22"/>
          </w:rPr>
          <w:delText xml:space="preserve">mg </w:delText>
        </w:r>
        <w:r w:rsidRPr="009C5EFD">
          <w:rPr>
            <w:sz w:val="22"/>
            <w:szCs w:val="22"/>
          </w:rPr>
          <w:delText>injeksjoner dag</w:delText>
        </w:r>
        <w:r w:rsidR="00EF5E79">
          <w:rPr>
            <w:sz w:val="22"/>
            <w:szCs w:val="22"/>
          </w:rPr>
          <w:delText>lig</w:delText>
        </w:r>
        <w:r w:rsidRPr="009C5EFD">
          <w:rPr>
            <w:sz w:val="22"/>
            <w:szCs w:val="22"/>
          </w:rPr>
          <w:delText xml:space="preserve"> </w:delText>
        </w:r>
        <w:r w:rsidR="00326F9C">
          <w:rPr>
            <w:sz w:val="22"/>
            <w:szCs w:val="22"/>
          </w:rPr>
          <w:delText>i</w:delText>
        </w:r>
        <w:r w:rsidR="007250BA">
          <w:rPr>
            <w:sz w:val="22"/>
            <w:szCs w:val="22"/>
          </w:rPr>
          <w:delText xml:space="preserve"> </w:delText>
        </w:r>
        <w:r w:rsidRPr="009C5EFD">
          <w:rPr>
            <w:sz w:val="22"/>
            <w:szCs w:val="22"/>
          </w:rPr>
          <w:delText xml:space="preserve">to påfølgende dager), </w:delText>
        </w:r>
        <w:r w:rsidR="00501579">
          <w:rPr>
            <w:sz w:val="22"/>
            <w:szCs w:val="22"/>
          </w:rPr>
          <w:delText xml:space="preserve">etterfulgt av </w:delText>
        </w:r>
        <w:r w:rsidRPr="009C5EFD">
          <w:rPr>
            <w:sz w:val="22"/>
            <w:szCs w:val="22"/>
          </w:rPr>
          <w:delText>80</w:delText>
        </w:r>
        <w:r w:rsidR="004E37EB">
          <w:rPr>
            <w:sz w:val="22"/>
            <w:szCs w:val="22"/>
          </w:rPr>
          <w:delText> </w:delText>
        </w:r>
        <w:r w:rsidRPr="009C5EFD">
          <w:rPr>
            <w:sz w:val="22"/>
            <w:szCs w:val="22"/>
          </w:rPr>
          <w:delText>mg i uke</w:delText>
        </w:r>
        <w:r w:rsidR="004E37EB">
          <w:rPr>
            <w:sz w:val="22"/>
            <w:szCs w:val="22"/>
          </w:rPr>
          <w:delText> </w:delText>
        </w:r>
        <w:r w:rsidRPr="009C5EFD">
          <w:rPr>
            <w:sz w:val="22"/>
            <w:szCs w:val="22"/>
          </w:rPr>
          <w:delText>2</w:delText>
        </w:r>
        <w:r w:rsidR="00E11119">
          <w:rPr>
            <w:sz w:val="22"/>
            <w:szCs w:val="22"/>
          </w:rPr>
          <w:delText xml:space="preserve"> (gitt som to </w:delText>
        </w:r>
        <w:r w:rsidR="00E11119">
          <w:rPr>
            <w:sz w:val="22"/>
            <w:szCs w:val="22"/>
          </w:rPr>
          <w:lastRenderedPageBreak/>
          <w:delText>40</w:delText>
        </w:r>
        <w:r w:rsidR="004E37EB">
          <w:rPr>
            <w:sz w:val="22"/>
            <w:szCs w:val="22"/>
          </w:rPr>
          <w:delText> </w:delText>
        </w:r>
        <w:r w:rsidR="00E11119">
          <w:rPr>
            <w:sz w:val="22"/>
            <w:szCs w:val="22"/>
          </w:rPr>
          <w:delText>mg injeksjoner på en dag)</w:delText>
        </w:r>
        <w:r w:rsidR="009B5460" w:rsidRPr="009C5EFD">
          <w:rPr>
            <w:sz w:val="22"/>
            <w:szCs w:val="22"/>
          </w:rPr>
          <w:delText xml:space="preserve">, brukes med </w:delText>
        </w:r>
        <w:r w:rsidR="00742566" w:rsidRPr="009C5EFD">
          <w:rPr>
            <w:sz w:val="22"/>
            <w:szCs w:val="22"/>
          </w:rPr>
          <w:delText>viten om</w:delText>
        </w:r>
        <w:r w:rsidR="009B5460" w:rsidRPr="009C5EFD">
          <w:rPr>
            <w:sz w:val="22"/>
            <w:szCs w:val="22"/>
          </w:rPr>
          <w:delText xml:space="preserve"> at risikoen for bivirkninger er høyere under induksjonen</w:delText>
        </w:r>
        <w:r w:rsidR="000624CD">
          <w:rPr>
            <w:sz w:val="22"/>
            <w:szCs w:val="22"/>
          </w:rPr>
          <w:delText>.</w:delText>
        </w:r>
      </w:del>
    </w:p>
    <w:p w14:paraId="43567825" w14:textId="27147774" w:rsidR="00FA0A10" w:rsidRPr="009C5EFD" w:rsidRDefault="00FA0A10">
      <w:pPr>
        <w:keepNext/>
        <w:suppressAutoHyphens/>
        <w:rPr>
          <w:del w:id="4367" w:author="AbbVie02no" w:date="2025-05-15T13:45:00Z"/>
          <w:sz w:val="22"/>
          <w:szCs w:val="22"/>
          <w:u w:val="single"/>
        </w:rPr>
        <w:pPrChange w:id="4368" w:author="AbbVie02no" w:date="2025-05-15T13:45:00Z">
          <w:pPr/>
        </w:pPrChange>
      </w:pPr>
    </w:p>
    <w:p w14:paraId="674BFA49" w14:textId="390F66F9" w:rsidR="00FA0A10" w:rsidRPr="009C5EFD" w:rsidRDefault="00E453CD">
      <w:pPr>
        <w:keepNext/>
        <w:suppressAutoHyphens/>
        <w:rPr>
          <w:del w:id="4369" w:author="AbbVie02no" w:date="2025-05-15T13:45:00Z"/>
          <w:sz w:val="22"/>
          <w:szCs w:val="22"/>
        </w:rPr>
        <w:pPrChange w:id="4370" w:author="AbbVie02no" w:date="2025-05-15T13:45:00Z">
          <w:pPr/>
        </w:pPrChange>
      </w:pPr>
      <w:del w:id="4371" w:author="AbbVie02no" w:date="2025-05-15T13:45:00Z">
        <w:r w:rsidRPr="009C5EFD">
          <w:rPr>
            <w:sz w:val="22"/>
            <w:szCs w:val="22"/>
          </w:rPr>
          <w:delText>Etter induksjon er anbefalt dose 40 mg annenhver uke via subkutan injeksjon. Hvis en pasient har seponert Humira og sykdoms</w:delText>
        </w:r>
        <w:r w:rsidR="005C4746">
          <w:rPr>
            <w:sz w:val="22"/>
            <w:szCs w:val="22"/>
          </w:rPr>
          <w:delText xml:space="preserve">tegn og </w:delText>
        </w:r>
        <w:r w:rsidRPr="009C5EFD">
          <w:rPr>
            <w:sz w:val="22"/>
            <w:szCs w:val="22"/>
          </w:rPr>
          <w:delText>symptomer kommer tilbake, kan Humira reintroduseres. Det er lite erfaring med reintroduksjon av Humira mer</w:delText>
        </w:r>
        <w:r w:rsidR="000624CD">
          <w:rPr>
            <w:sz w:val="22"/>
            <w:szCs w:val="22"/>
          </w:rPr>
          <w:delText xml:space="preserve"> enn 8 uker etter forrige dose.</w:delText>
        </w:r>
      </w:del>
    </w:p>
    <w:p w14:paraId="68CDA100" w14:textId="1EEE3D3E" w:rsidR="00FA0A10" w:rsidRPr="009C5EFD" w:rsidRDefault="00FA0A10">
      <w:pPr>
        <w:keepNext/>
        <w:suppressAutoHyphens/>
        <w:rPr>
          <w:del w:id="4372" w:author="AbbVie02no" w:date="2025-05-15T13:45:00Z"/>
          <w:sz w:val="22"/>
          <w:szCs w:val="22"/>
        </w:rPr>
        <w:pPrChange w:id="4373" w:author="AbbVie02no" w:date="2025-05-15T13:45:00Z">
          <w:pPr/>
        </w:pPrChange>
      </w:pPr>
    </w:p>
    <w:p w14:paraId="33A67F14" w14:textId="694A2954" w:rsidR="00FA0A10" w:rsidRPr="009C5EFD" w:rsidRDefault="00E453CD">
      <w:pPr>
        <w:keepNext/>
        <w:suppressAutoHyphens/>
        <w:rPr>
          <w:del w:id="4374" w:author="AbbVie02no" w:date="2025-05-15T13:45:00Z"/>
          <w:sz w:val="22"/>
          <w:szCs w:val="22"/>
        </w:rPr>
        <w:pPrChange w:id="4375" w:author="AbbVie02no" w:date="2025-05-15T13:45:00Z">
          <w:pPr/>
        </w:pPrChange>
      </w:pPr>
      <w:del w:id="4376" w:author="AbbVie02no" w:date="2025-05-15T13:45:00Z">
        <w:r w:rsidRPr="009C5EFD">
          <w:rPr>
            <w:sz w:val="22"/>
            <w:szCs w:val="22"/>
          </w:rPr>
          <w:delText>I løpet av vedlikeholdsbehandling kan kortikosteroider gradvis seponeres i henhold til kliniske retningslinjer.</w:delText>
        </w:r>
      </w:del>
    </w:p>
    <w:p w14:paraId="1565E255" w14:textId="5D206277" w:rsidR="00FA0A10" w:rsidRPr="009C5EFD" w:rsidRDefault="00FA0A10">
      <w:pPr>
        <w:keepNext/>
        <w:suppressAutoHyphens/>
        <w:rPr>
          <w:del w:id="4377" w:author="AbbVie02no" w:date="2025-05-15T13:45:00Z"/>
          <w:sz w:val="22"/>
          <w:szCs w:val="22"/>
        </w:rPr>
        <w:pPrChange w:id="4378" w:author="AbbVie02no" w:date="2025-05-15T13:45:00Z">
          <w:pPr/>
        </w:pPrChange>
      </w:pPr>
    </w:p>
    <w:p w14:paraId="00A895F9" w14:textId="21345B53" w:rsidR="00FA0A10" w:rsidRPr="009C5EFD" w:rsidRDefault="00E453CD">
      <w:pPr>
        <w:keepNext/>
        <w:suppressAutoHyphens/>
        <w:rPr>
          <w:del w:id="4379" w:author="AbbVie02no" w:date="2025-05-15T13:45:00Z"/>
          <w:sz w:val="22"/>
          <w:szCs w:val="22"/>
        </w:rPr>
        <w:pPrChange w:id="4380" w:author="AbbVie02no" w:date="2025-05-15T13:45:00Z">
          <w:pPr/>
        </w:pPrChange>
      </w:pPr>
      <w:del w:id="4381" w:author="AbbVie02no" w:date="2025-05-15T13:45:00Z">
        <w:r w:rsidRPr="009C5EFD">
          <w:rPr>
            <w:sz w:val="22"/>
            <w:szCs w:val="22"/>
          </w:rPr>
          <w:delText xml:space="preserve">Enkelte pasienter som </w:delText>
        </w:r>
        <w:r w:rsidR="000B07A9" w:rsidRPr="009C5EFD">
          <w:rPr>
            <w:sz w:val="22"/>
            <w:szCs w:val="22"/>
          </w:rPr>
          <w:delText>opplever</w:delText>
        </w:r>
        <w:r w:rsidRPr="009C5EFD">
          <w:rPr>
            <w:sz w:val="22"/>
            <w:szCs w:val="22"/>
          </w:rPr>
          <w:delText xml:space="preserve"> en reduksjon i respons </w:delText>
        </w:r>
        <w:r w:rsidR="007250BA">
          <w:rPr>
            <w:sz w:val="22"/>
            <w:szCs w:val="22"/>
          </w:rPr>
          <w:delText>på</w:delText>
        </w:r>
        <w:r w:rsidR="00E11119">
          <w:rPr>
            <w:sz w:val="22"/>
            <w:szCs w:val="22"/>
          </w:rPr>
          <w:delText xml:space="preserve"> Humira 40</w:delText>
        </w:r>
        <w:r w:rsidR="004E37EB">
          <w:rPr>
            <w:sz w:val="22"/>
            <w:szCs w:val="22"/>
          </w:rPr>
          <w:delText> </w:delText>
        </w:r>
        <w:r w:rsidR="00E11119">
          <w:rPr>
            <w:sz w:val="22"/>
            <w:szCs w:val="22"/>
          </w:rPr>
          <w:delText xml:space="preserve">mg annenhver uke </w:delText>
        </w:r>
        <w:r w:rsidRPr="009C5EFD">
          <w:rPr>
            <w:sz w:val="22"/>
            <w:szCs w:val="22"/>
          </w:rPr>
          <w:delText xml:space="preserve">kan ha nytte av en økning </w:delText>
        </w:r>
        <w:r w:rsidR="0048567B" w:rsidRPr="009C5EFD">
          <w:rPr>
            <w:sz w:val="22"/>
            <w:szCs w:val="22"/>
          </w:rPr>
          <w:delText xml:space="preserve">i dosering </w:delText>
        </w:r>
        <w:r w:rsidRPr="009C5EFD">
          <w:rPr>
            <w:sz w:val="22"/>
            <w:szCs w:val="22"/>
          </w:rPr>
          <w:delText>til 40</w:delText>
        </w:r>
        <w:r w:rsidR="004E37EB">
          <w:rPr>
            <w:sz w:val="22"/>
            <w:szCs w:val="22"/>
          </w:rPr>
          <w:delText> </w:delText>
        </w:r>
        <w:r w:rsidRPr="009C5EFD">
          <w:rPr>
            <w:sz w:val="22"/>
            <w:szCs w:val="22"/>
          </w:rPr>
          <w:delText>mg Humira hver uke</w:delText>
        </w:r>
        <w:r w:rsidR="00E11119">
          <w:rPr>
            <w:sz w:val="22"/>
            <w:szCs w:val="22"/>
          </w:rPr>
          <w:delText xml:space="preserve"> eller 80</w:delText>
        </w:r>
        <w:r w:rsidR="004E37EB">
          <w:rPr>
            <w:sz w:val="22"/>
            <w:szCs w:val="22"/>
          </w:rPr>
          <w:delText> </w:delText>
        </w:r>
        <w:r w:rsidR="00E11119">
          <w:rPr>
            <w:sz w:val="22"/>
            <w:szCs w:val="22"/>
          </w:rPr>
          <w:delText>mg annenhver uke</w:delText>
        </w:r>
        <w:r w:rsidR="000624CD">
          <w:rPr>
            <w:sz w:val="22"/>
            <w:szCs w:val="22"/>
          </w:rPr>
          <w:delText>.</w:delText>
        </w:r>
      </w:del>
    </w:p>
    <w:p w14:paraId="5E8E22AF" w14:textId="70A04E33" w:rsidR="00FA0A10" w:rsidRPr="009C5EFD" w:rsidRDefault="00FA0A10">
      <w:pPr>
        <w:keepNext/>
        <w:suppressAutoHyphens/>
        <w:rPr>
          <w:del w:id="4382" w:author="AbbVie02no" w:date="2025-05-15T13:45:00Z"/>
          <w:sz w:val="22"/>
          <w:szCs w:val="22"/>
        </w:rPr>
        <w:pPrChange w:id="4383" w:author="AbbVie02no" w:date="2025-05-15T13:45:00Z">
          <w:pPr/>
        </w:pPrChange>
      </w:pPr>
    </w:p>
    <w:p w14:paraId="0DD57A61" w14:textId="27DED6DD" w:rsidR="00E52C3A" w:rsidRDefault="00E453CD">
      <w:pPr>
        <w:keepNext/>
        <w:suppressAutoHyphens/>
        <w:rPr>
          <w:del w:id="4384" w:author="AbbVie02no" w:date="2025-05-15T13:45:00Z"/>
          <w:sz w:val="22"/>
          <w:szCs w:val="22"/>
        </w:rPr>
        <w:pPrChange w:id="4385" w:author="AbbVie02no" w:date="2025-05-15T13:45:00Z">
          <w:pPr/>
        </w:pPrChange>
      </w:pPr>
      <w:del w:id="4386" w:author="AbbVie02no" w:date="2025-05-15T13:45:00Z">
        <w:r w:rsidRPr="009C5EFD">
          <w:rPr>
            <w:sz w:val="22"/>
            <w:szCs w:val="22"/>
          </w:rPr>
          <w:delText xml:space="preserve">Noen pasienter som ikke responderer innen uke 4 kan ha nytte av fortsatt behandling til og med uke 12. Fortsettelse av behandling bør overveies nøye hos pasienter som </w:delText>
        </w:r>
        <w:r w:rsidR="00B22155" w:rsidRPr="009C5EFD">
          <w:rPr>
            <w:sz w:val="22"/>
            <w:szCs w:val="22"/>
          </w:rPr>
          <w:delText xml:space="preserve">ikke </w:delText>
        </w:r>
        <w:r w:rsidRPr="009C5EFD">
          <w:rPr>
            <w:sz w:val="22"/>
            <w:szCs w:val="22"/>
          </w:rPr>
          <w:delText>responderer i løpet av denne tiden.</w:delText>
        </w:r>
      </w:del>
    </w:p>
    <w:p w14:paraId="51C4A245" w14:textId="2AE59DC6" w:rsidR="00E11119" w:rsidRDefault="00E11119">
      <w:pPr>
        <w:keepNext/>
        <w:suppressAutoHyphens/>
        <w:rPr>
          <w:del w:id="4387" w:author="AbbVie02no" w:date="2025-05-15T13:45:00Z"/>
          <w:sz w:val="22"/>
          <w:szCs w:val="22"/>
        </w:rPr>
        <w:pPrChange w:id="4388" w:author="AbbVie02no" w:date="2025-05-15T13:45:00Z">
          <w:pPr/>
        </w:pPrChange>
      </w:pPr>
    </w:p>
    <w:p w14:paraId="7F921265" w14:textId="1E21BD89" w:rsidR="00E11119" w:rsidRPr="009C5EFD" w:rsidRDefault="00E453CD">
      <w:pPr>
        <w:keepNext/>
        <w:suppressAutoHyphens/>
        <w:rPr>
          <w:del w:id="4389" w:author="AbbVie02no" w:date="2025-05-15T13:45:00Z"/>
          <w:sz w:val="22"/>
          <w:szCs w:val="22"/>
          <w:u w:val="single"/>
        </w:rPr>
        <w:pPrChange w:id="4390" w:author="AbbVie02no" w:date="2025-05-15T13:45:00Z">
          <w:pPr/>
        </w:pPrChange>
      </w:pPr>
      <w:del w:id="4391" w:author="AbbVie02no" w:date="2025-05-15T13:45:00Z">
        <w:r>
          <w:rPr>
            <w:sz w:val="22"/>
            <w:szCs w:val="22"/>
          </w:rPr>
          <w:delText>Humira kan være tilgjengelig i andre styrker og/eller formuleringer avhengig av individuelle behandlingsbehov.</w:delText>
        </w:r>
      </w:del>
    </w:p>
    <w:p w14:paraId="21D8AB06" w14:textId="0F70F854" w:rsidR="00AA005F" w:rsidRPr="009C5EFD" w:rsidRDefault="00AA005F">
      <w:pPr>
        <w:keepNext/>
        <w:suppressAutoHyphens/>
        <w:rPr>
          <w:del w:id="4392" w:author="AbbVie02no" w:date="2025-05-15T13:45:00Z"/>
          <w:sz w:val="22"/>
          <w:szCs w:val="22"/>
          <w:u w:val="single"/>
        </w:rPr>
        <w:pPrChange w:id="4393" w:author="AbbVie02no" w:date="2025-05-15T13:45:00Z">
          <w:pPr/>
        </w:pPrChange>
      </w:pPr>
    </w:p>
    <w:p w14:paraId="1025C240" w14:textId="45B22009" w:rsidR="0048567B" w:rsidRPr="001F5D4B" w:rsidRDefault="00E453CD">
      <w:pPr>
        <w:keepNext/>
        <w:suppressAutoHyphens/>
        <w:rPr>
          <w:del w:id="4394" w:author="AbbVie02no" w:date="2025-05-15T13:45:00Z"/>
          <w:i/>
          <w:sz w:val="22"/>
          <w:szCs w:val="22"/>
        </w:rPr>
        <w:pPrChange w:id="4395" w:author="AbbVie02no" w:date="2025-05-15T13:45:00Z">
          <w:pPr>
            <w:keepNext/>
          </w:pPr>
        </w:pPrChange>
      </w:pPr>
      <w:del w:id="4396" w:author="AbbVie02no" w:date="2025-05-15T13:45:00Z">
        <w:r w:rsidRPr="001F5D4B">
          <w:rPr>
            <w:i/>
            <w:sz w:val="22"/>
            <w:szCs w:val="22"/>
          </w:rPr>
          <w:delText>Ulcerøs kolitt</w:delText>
        </w:r>
      </w:del>
    </w:p>
    <w:p w14:paraId="1399C627" w14:textId="5D83DF3F" w:rsidR="0048567B" w:rsidRPr="007F67EE" w:rsidRDefault="0048567B">
      <w:pPr>
        <w:keepNext/>
        <w:suppressAutoHyphens/>
        <w:rPr>
          <w:del w:id="4397" w:author="AbbVie02no" w:date="2025-05-15T13:45:00Z"/>
          <w:sz w:val="22"/>
          <w:szCs w:val="22"/>
          <w:u w:val="single"/>
        </w:rPr>
        <w:pPrChange w:id="4398" w:author="AbbVie02no" w:date="2025-05-15T13:45:00Z">
          <w:pPr>
            <w:keepNext/>
          </w:pPr>
        </w:pPrChange>
      </w:pPr>
    </w:p>
    <w:p w14:paraId="0D5382CA" w14:textId="378750A5" w:rsidR="0048567B" w:rsidRPr="009C5EFD" w:rsidRDefault="00E453CD">
      <w:pPr>
        <w:keepNext/>
        <w:suppressAutoHyphens/>
        <w:rPr>
          <w:del w:id="4399" w:author="AbbVie02no" w:date="2025-05-15T13:45:00Z"/>
          <w:sz w:val="22"/>
          <w:szCs w:val="22"/>
        </w:rPr>
        <w:pPrChange w:id="4400" w:author="AbbVie02no" w:date="2025-05-15T13:45:00Z">
          <w:pPr/>
        </w:pPrChange>
      </w:pPr>
      <w:del w:id="4401" w:author="AbbVie02no" w:date="2025-05-15T13:45:00Z">
        <w:r w:rsidRPr="00193D76">
          <w:rPr>
            <w:sz w:val="22"/>
            <w:szCs w:val="22"/>
          </w:rPr>
          <w:delText xml:space="preserve">Anbefalt induksjonsregime med Humira hos voksne pasienter med </w:delText>
        </w:r>
        <w:r w:rsidRPr="002D0790">
          <w:rPr>
            <w:sz w:val="22"/>
            <w:szCs w:val="22"/>
          </w:rPr>
          <w:delText>moderat til alvorlig ulcerøs kolitt er 160</w:delText>
        </w:r>
        <w:r w:rsidR="007C67B0">
          <w:rPr>
            <w:sz w:val="22"/>
            <w:szCs w:val="22"/>
          </w:rPr>
          <w:delText> </w:delText>
        </w:r>
        <w:r w:rsidRPr="002D0790">
          <w:rPr>
            <w:sz w:val="22"/>
            <w:szCs w:val="22"/>
          </w:rPr>
          <w:delText>mg ved uke</w:delText>
        </w:r>
        <w:r w:rsidR="007C67B0">
          <w:rPr>
            <w:sz w:val="22"/>
            <w:szCs w:val="22"/>
          </w:rPr>
          <w:delText> </w:delText>
        </w:r>
        <w:r w:rsidRPr="002D0790">
          <w:rPr>
            <w:sz w:val="22"/>
            <w:szCs w:val="22"/>
          </w:rPr>
          <w:delText>0 (</w:delText>
        </w:r>
        <w:r w:rsidR="00E11119">
          <w:rPr>
            <w:sz w:val="22"/>
            <w:szCs w:val="22"/>
          </w:rPr>
          <w:delText>gitt</w:delText>
        </w:r>
        <w:r w:rsidRPr="002D0790">
          <w:rPr>
            <w:sz w:val="22"/>
            <w:szCs w:val="22"/>
          </w:rPr>
          <w:delText xml:space="preserve"> som fire </w:delText>
        </w:r>
        <w:r w:rsidR="00E11119">
          <w:rPr>
            <w:sz w:val="22"/>
            <w:szCs w:val="22"/>
          </w:rPr>
          <w:delText>40</w:delText>
        </w:r>
        <w:r w:rsidR="004E37EB">
          <w:rPr>
            <w:sz w:val="22"/>
            <w:szCs w:val="22"/>
          </w:rPr>
          <w:delText> </w:delText>
        </w:r>
        <w:r w:rsidR="00E11119">
          <w:rPr>
            <w:sz w:val="22"/>
            <w:szCs w:val="22"/>
          </w:rPr>
          <w:delText xml:space="preserve">mg </w:delText>
        </w:r>
        <w:r w:rsidRPr="002D0790">
          <w:rPr>
            <w:sz w:val="22"/>
            <w:szCs w:val="22"/>
          </w:rPr>
          <w:delText xml:space="preserve">injeksjoner </w:delText>
        </w:r>
        <w:r w:rsidR="00593397">
          <w:rPr>
            <w:sz w:val="22"/>
            <w:szCs w:val="22"/>
          </w:rPr>
          <w:delText>på</w:delText>
        </w:r>
        <w:r w:rsidRPr="002D0790">
          <w:rPr>
            <w:sz w:val="22"/>
            <w:szCs w:val="22"/>
          </w:rPr>
          <w:delText xml:space="preserve"> en dag eller </w:delText>
        </w:r>
        <w:r w:rsidR="005D0446" w:rsidRPr="00E14E58">
          <w:rPr>
            <w:sz w:val="22"/>
            <w:szCs w:val="22"/>
          </w:rPr>
          <w:delText xml:space="preserve">som </w:delText>
        </w:r>
        <w:r w:rsidRPr="009C5EFD">
          <w:rPr>
            <w:sz w:val="22"/>
            <w:szCs w:val="22"/>
          </w:rPr>
          <w:delText xml:space="preserve">to </w:delText>
        </w:r>
        <w:r w:rsidR="00E11119">
          <w:rPr>
            <w:sz w:val="22"/>
            <w:szCs w:val="22"/>
          </w:rPr>
          <w:delText>40</w:delText>
        </w:r>
        <w:r w:rsidR="004E37EB">
          <w:rPr>
            <w:sz w:val="22"/>
            <w:szCs w:val="22"/>
          </w:rPr>
          <w:delText> </w:delText>
        </w:r>
        <w:r w:rsidR="00E11119">
          <w:rPr>
            <w:sz w:val="22"/>
            <w:szCs w:val="22"/>
          </w:rPr>
          <w:delText xml:space="preserve">mg </w:delText>
        </w:r>
        <w:r w:rsidRPr="009C5EFD">
          <w:rPr>
            <w:sz w:val="22"/>
            <w:szCs w:val="22"/>
          </w:rPr>
          <w:delText xml:space="preserve">injeksjoner </w:delText>
        </w:r>
        <w:r w:rsidR="005D0446" w:rsidRPr="009C5EFD">
          <w:rPr>
            <w:sz w:val="22"/>
            <w:szCs w:val="22"/>
          </w:rPr>
          <w:delText>dag</w:delText>
        </w:r>
        <w:r w:rsidR="00EF5E79">
          <w:rPr>
            <w:sz w:val="22"/>
            <w:szCs w:val="22"/>
          </w:rPr>
          <w:delText>lig</w:delText>
        </w:r>
        <w:r w:rsidR="005D0446" w:rsidRPr="009C5EFD">
          <w:rPr>
            <w:sz w:val="22"/>
            <w:szCs w:val="22"/>
          </w:rPr>
          <w:delText xml:space="preserve"> </w:delText>
        </w:r>
        <w:r w:rsidR="00326F9C">
          <w:rPr>
            <w:sz w:val="22"/>
            <w:szCs w:val="22"/>
          </w:rPr>
          <w:delText>i</w:delText>
        </w:r>
        <w:r w:rsidR="005D0446" w:rsidRPr="009C5EFD">
          <w:rPr>
            <w:sz w:val="22"/>
            <w:szCs w:val="22"/>
          </w:rPr>
          <w:delText xml:space="preserve"> </w:delText>
        </w:r>
        <w:r w:rsidRPr="009C5EFD">
          <w:rPr>
            <w:sz w:val="22"/>
            <w:szCs w:val="22"/>
          </w:rPr>
          <w:delText>to påfølgende dager), etterfulgt av 80</w:delText>
        </w:r>
        <w:r w:rsidR="004E37EB">
          <w:rPr>
            <w:sz w:val="22"/>
            <w:szCs w:val="22"/>
          </w:rPr>
          <w:delText> </w:delText>
        </w:r>
        <w:r w:rsidRPr="009C5EFD">
          <w:rPr>
            <w:sz w:val="22"/>
            <w:szCs w:val="22"/>
          </w:rPr>
          <w:delText>mg ved uke 2</w:delText>
        </w:r>
        <w:r w:rsidR="00E11119">
          <w:rPr>
            <w:sz w:val="22"/>
            <w:szCs w:val="22"/>
          </w:rPr>
          <w:delText xml:space="preserve"> (gitt som to 40</w:delText>
        </w:r>
        <w:r w:rsidR="004E37EB">
          <w:rPr>
            <w:sz w:val="22"/>
            <w:szCs w:val="22"/>
          </w:rPr>
          <w:delText> </w:delText>
        </w:r>
        <w:r w:rsidR="00E11119">
          <w:rPr>
            <w:sz w:val="22"/>
            <w:szCs w:val="22"/>
          </w:rPr>
          <w:delText>mg injeksjoner på en dag)</w:delText>
        </w:r>
        <w:r w:rsidRPr="009C5EFD">
          <w:rPr>
            <w:sz w:val="22"/>
            <w:szCs w:val="22"/>
          </w:rPr>
          <w:delText>.</w:delText>
        </w:r>
        <w:r w:rsidR="00B22155" w:rsidRPr="009C5EFD">
          <w:rPr>
            <w:sz w:val="22"/>
            <w:szCs w:val="22"/>
          </w:rPr>
          <w:delText xml:space="preserve"> </w:delText>
        </w:r>
        <w:r w:rsidRPr="009C5EFD">
          <w:rPr>
            <w:sz w:val="22"/>
            <w:szCs w:val="22"/>
          </w:rPr>
          <w:delText>Etter induksjon er anbefalt dose 40</w:delText>
        </w:r>
        <w:r w:rsidR="004E37EB">
          <w:rPr>
            <w:sz w:val="22"/>
            <w:szCs w:val="22"/>
          </w:rPr>
          <w:delText> </w:delText>
        </w:r>
        <w:r w:rsidRPr="009C5EFD">
          <w:rPr>
            <w:sz w:val="22"/>
            <w:szCs w:val="22"/>
          </w:rPr>
          <w:delText>mg annenh</w:delText>
        </w:r>
        <w:r w:rsidR="00B22155" w:rsidRPr="009C5EFD">
          <w:rPr>
            <w:sz w:val="22"/>
            <w:szCs w:val="22"/>
          </w:rPr>
          <w:delText>ver uke via subkutan injeksjon.</w:delText>
        </w:r>
      </w:del>
    </w:p>
    <w:p w14:paraId="57CD30D6" w14:textId="5D2DA979" w:rsidR="00893C4F" w:rsidRPr="009C5EFD" w:rsidRDefault="00893C4F">
      <w:pPr>
        <w:keepNext/>
        <w:suppressAutoHyphens/>
        <w:rPr>
          <w:del w:id="4402" w:author="AbbVie02no" w:date="2025-05-15T13:45:00Z"/>
          <w:sz w:val="22"/>
          <w:szCs w:val="22"/>
        </w:rPr>
        <w:pPrChange w:id="4403" w:author="AbbVie02no" w:date="2025-05-15T13:45:00Z">
          <w:pPr/>
        </w:pPrChange>
      </w:pPr>
    </w:p>
    <w:p w14:paraId="75D75715" w14:textId="07B43C99" w:rsidR="0048567B" w:rsidRPr="009C5EFD" w:rsidRDefault="00E453CD">
      <w:pPr>
        <w:keepNext/>
        <w:suppressAutoHyphens/>
        <w:rPr>
          <w:del w:id="4404" w:author="AbbVie02no" w:date="2025-05-15T13:45:00Z"/>
          <w:sz w:val="22"/>
          <w:szCs w:val="22"/>
        </w:rPr>
        <w:pPrChange w:id="4405" w:author="AbbVie02no" w:date="2025-05-15T13:45:00Z">
          <w:pPr/>
        </w:pPrChange>
      </w:pPr>
      <w:del w:id="4406" w:author="AbbVie02no" w:date="2025-05-15T13:45:00Z">
        <w:r w:rsidRPr="009C5EFD">
          <w:rPr>
            <w:sz w:val="22"/>
            <w:szCs w:val="22"/>
          </w:rPr>
          <w:delText>I løpet av vedlikeholdsbehandling kan kortikosteroider gradvis seponeres i henhold til kliniske retningslinjer.</w:delText>
        </w:r>
      </w:del>
    </w:p>
    <w:p w14:paraId="6134BC8F" w14:textId="28857DEB" w:rsidR="0048567B" w:rsidRPr="009C5EFD" w:rsidRDefault="0048567B">
      <w:pPr>
        <w:keepNext/>
        <w:suppressAutoHyphens/>
        <w:rPr>
          <w:del w:id="4407" w:author="AbbVie02no" w:date="2025-05-15T13:45:00Z"/>
          <w:sz w:val="22"/>
          <w:szCs w:val="22"/>
        </w:rPr>
        <w:pPrChange w:id="4408" w:author="AbbVie02no" w:date="2025-05-15T13:45:00Z">
          <w:pPr/>
        </w:pPrChange>
      </w:pPr>
    </w:p>
    <w:p w14:paraId="3F32A493" w14:textId="084DF8E1" w:rsidR="00B22155" w:rsidRPr="009C5EFD" w:rsidRDefault="00E453CD">
      <w:pPr>
        <w:keepNext/>
        <w:suppressAutoHyphens/>
        <w:rPr>
          <w:del w:id="4409" w:author="AbbVie02no" w:date="2025-05-15T13:45:00Z"/>
          <w:sz w:val="22"/>
          <w:szCs w:val="22"/>
        </w:rPr>
        <w:pPrChange w:id="4410" w:author="AbbVie02no" w:date="2025-05-15T13:45:00Z">
          <w:pPr/>
        </w:pPrChange>
      </w:pPr>
      <w:del w:id="4411" w:author="AbbVie02no" w:date="2025-05-15T13:45:00Z">
        <w:r w:rsidRPr="009C5EFD">
          <w:rPr>
            <w:sz w:val="22"/>
            <w:szCs w:val="22"/>
          </w:rPr>
          <w:delText>Enkelte pasienter som opplever en reduksjon i respons</w:delText>
        </w:r>
        <w:r w:rsidR="007250BA">
          <w:rPr>
            <w:sz w:val="22"/>
            <w:szCs w:val="22"/>
          </w:rPr>
          <w:delText xml:space="preserve"> på</w:delText>
        </w:r>
        <w:r w:rsidR="00E11119">
          <w:rPr>
            <w:sz w:val="22"/>
            <w:szCs w:val="22"/>
          </w:rPr>
          <w:delText xml:space="preserve"> Humira 40</w:delText>
        </w:r>
        <w:r w:rsidR="007C67B0">
          <w:rPr>
            <w:sz w:val="22"/>
            <w:szCs w:val="22"/>
          </w:rPr>
          <w:delText> </w:delText>
        </w:r>
        <w:r w:rsidR="00E11119">
          <w:rPr>
            <w:sz w:val="22"/>
            <w:szCs w:val="22"/>
          </w:rPr>
          <w:delText>mg annenhver uke</w:delText>
        </w:r>
        <w:r w:rsidR="00C76466" w:rsidRPr="009C5EFD">
          <w:rPr>
            <w:sz w:val="22"/>
            <w:szCs w:val="22"/>
          </w:rPr>
          <w:delText>,</w:delText>
        </w:r>
        <w:r w:rsidRPr="009C5EFD">
          <w:rPr>
            <w:sz w:val="22"/>
            <w:szCs w:val="22"/>
          </w:rPr>
          <w:delText xml:space="preserve"> kan ha nytte av en økning i dosering til 40</w:delText>
        </w:r>
        <w:r w:rsidR="007C67B0">
          <w:rPr>
            <w:sz w:val="22"/>
            <w:szCs w:val="22"/>
          </w:rPr>
          <w:delText> </w:delText>
        </w:r>
        <w:r w:rsidRPr="009C5EFD">
          <w:rPr>
            <w:sz w:val="22"/>
            <w:szCs w:val="22"/>
          </w:rPr>
          <w:delText>mg Humira hver uke</w:delText>
        </w:r>
        <w:r w:rsidR="00E11119">
          <w:rPr>
            <w:sz w:val="22"/>
            <w:szCs w:val="22"/>
          </w:rPr>
          <w:delText xml:space="preserve"> eller 80</w:delText>
        </w:r>
        <w:r w:rsidR="007C67B0">
          <w:rPr>
            <w:sz w:val="22"/>
            <w:szCs w:val="22"/>
          </w:rPr>
          <w:delText> </w:delText>
        </w:r>
        <w:r w:rsidR="00E11119">
          <w:rPr>
            <w:sz w:val="22"/>
            <w:szCs w:val="22"/>
          </w:rPr>
          <w:delText>mg annenhver uke</w:delText>
        </w:r>
        <w:r w:rsidRPr="009C5EFD">
          <w:rPr>
            <w:sz w:val="22"/>
            <w:szCs w:val="22"/>
          </w:rPr>
          <w:delText>.</w:delText>
        </w:r>
      </w:del>
    </w:p>
    <w:p w14:paraId="14E06117" w14:textId="325195CD" w:rsidR="00B22155" w:rsidRPr="009C5EFD" w:rsidRDefault="00B22155">
      <w:pPr>
        <w:keepNext/>
        <w:suppressAutoHyphens/>
        <w:rPr>
          <w:del w:id="4412" w:author="AbbVie02no" w:date="2025-05-15T13:45:00Z"/>
          <w:sz w:val="22"/>
          <w:szCs w:val="22"/>
        </w:rPr>
        <w:pPrChange w:id="4413" w:author="AbbVie02no" w:date="2025-05-15T13:45:00Z">
          <w:pPr/>
        </w:pPrChange>
      </w:pPr>
    </w:p>
    <w:p w14:paraId="7EF95FFB" w14:textId="48C3F461" w:rsidR="0048567B" w:rsidRDefault="00E453CD">
      <w:pPr>
        <w:keepNext/>
        <w:suppressAutoHyphens/>
        <w:rPr>
          <w:del w:id="4414" w:author="AbbVie02no" w:date="2025-05-15T13:45:00Z"/>
          <w:sz w:val="22"/>
          <w:szCs w:val="22"/>
        </w:rPr>
        <w:pPrChange w:id="4415" w:author="AbbVie02no" w:date="2025-05-15T13:45:00Z">
          <w:pPr/>
        </w:pPrChange>
      </w:pPr>
      <w:del w:id="4416" w:author="AbbVie02no" w:date="2025-05-15T13:45:00Z">
        <w:r w:rsidRPr="009C5EFD">
          <w:rPr>
            <w:sz w:val="22"/>
            <w:szCs w:val="22"/>
          </w:rPr>
          <w:delText xml:space="preserve">Tilgjengelig data </w:delText>
        </w:r>
        <w:r w:rsidR="00180EA6">
          <w:rPr>
            <w:sz w:val="22"/>
            <w:szCs w:val="22"/>
          </w:rPr>
          <w:delText>an</w:delText>
        </w:r>
        <w:r w:rsidRPr="009C5EFD">
          <w:rPr>
            <w:sz w:val="22"/>
            <w:szCs w:val="22"/>
          </w:rPr>
          <w:delText>tyder at klinisk respons vanligvis oppnås innen 2-8 ukers behandling. Behandling med Humira bør ikke fortsette hos pasienter som ikke responderer i løpet av denne tiden.</w:delText>
        </w:r>
      </w:del>
    </w:p>
    <w:p w14:paraId="3FE41BF7" w14:textId="2082F7F2" w:rsidR="00E11119" w:rsidRDefault="00E11119">
      <w:pPr>
        <w:keepNext/>
        <w:suppressAutoHyphens/>
        <w:rPr>
          <w:del w:id="4417" w:author="AbbVie02no" w:date="2025-05-15T13:45:00Z"/>
          <w:sz w:val="22"/>
          <w:szCs w:val="22"/>
        </w:rPr>
        <w:pPrChange w:id="4418" w:author="AbbVie02no" w:date="2025-05-15T13:45:00Z">
          <w:pPr/>
        </w:pPrChange>
      </w:pPr>
    </w:p>
    <w:p w14:paraId="2D11AF45" w14:textId="0188B609" w:rsidR="00E11119" w:rsidRDefault="00E453CD">
      <w:pPr>
        <w:keepNext/>
        <w:suppressAutoHyphens/>
        <w:rPr>
          <w:del w:id="4419" w:author="AbbVie02no" w:date="2025-05-15T13:45:00Z"/>
          <w:sz w:val="22"/>
          <w:szCs w:val="22"/>
        </w:rPr>
        <w:pPrChange w:id="4420" w:author="AbbVie02no" w:date="2025-05-15T13:45:00Z">
          <w:pPr/>
        </w:pPrChange>
      </w:pPr>
      <w:del w:id="4421" w:author="AbbVie02no" w:date="2025-05-15T13:45:00Z">
        <w:r>
          <w:rPr>
            <w:sz w:val="22"/>
            <w:szCs w:val="22"/>
          </w:rPr>
          <w:delText>Humira kan være tilgjengelig i andre styrker og/eller formuleringer avhengig av individuelle behandlingsbehov.</w:delText>
        </w:r>
      </w:del>
    </w:p>
    <w:p w14:paraId="1A7DAA0F" w14:textId="74BC317C" w:rsidR="00FE3CA6" w:rsidRDefault="00FE3CA6">
      <w:pPr>
        <w:keepNext/>
        <w:suppressAutoHyphens/>
        <w:rPr>
          <w:del w:id="4422" w:author="AbbVie02no" w:date="2025-05-15T13:45:00Z"/>
          <w:sz w:val="22"/>
          <w:szCs w:val="22"/>
        </w:rPr>
        <w:pPrChange w:id="4423" w:author="AbbVie02no" w:date="2025-05-15T13:45:00Z">
          <w:pPr/>
        </w:pPrChange>
      </w:pPr>
    </w:p>
    <w:p w14:paraId="61F1B992" w14:textId="793B27BC" w:rsidR="00FE3CA6" w:rsidRDefault="00E453CD">
      <w:pPr>
        <w:keepNext/>
        <w:suppressAutoHyphens/>
        <w:rPr>
          <w:del w:id="4424" w:author="AbbVie02no" w:date="2025-05-15T13:45:00Z"/>
          <w:i/>
          <w:sz w:val="22"/>
          <w:szCs w:val="22"/>
        </w:rPr>
        <w:pPrChange w:id="4425" w:author="AbbVie02no" w:date="2025-05-15T13:45:00Z">
          <w:pPr>
            <w:keepNext/>
          </w:pPr>
        </w:pPrChange>
      </w:pPr>
      <w:del w:id="4426" w:author="AbbVie02no" w:date="2025-05-15T13:45:00Z">
        <w:r w:rsidRPr="001F5D4B">
          <w:rPr>
            <w:i/>
            <w:sz w:val="22"/>
            <w:szCs w:val="22"/>
          </w:rPr>
          <w:delText>U</w:delText>
        </w:r>
        <w:r>
          <w:rPr>
            <w:i/>
            <w:sz w:val="22"/>
            <w:szCs w:val="22"/>
          </w:rPr>
          <w:delText>veitt</w:delText>
        </w:r>
      </w:del>
    </w:p>
    <w:p w14:paraId="1168F1C1" w14:textId="6D7057DF" w:rsidR="00FE3CA6" w:rsidRDefault="00FE3CA6">
      <w:pPr>
        <w:keepNext/>
        <w:suppressAutoHyphens/>
        <w:rPr>
          <w:del w:id="4427" w:author="AbbVie02no" w:date="2025-05-15T13:45:00Z"/>
          <w:i/>
          <w:sz w:val="22"/>
          <w:szCs w:val="22"/>
        </w:rPr>
        <w:pPrChange w:id="4428" w:author="AbbVie02no" w:date="2025-05-15T13:45:00Z">
          <w:pPr>
            <w:keepNext/>
          </w:pPr>
        </w:pPrChange>
      </w:pPr>
    </w:p>
    <w:p w14:paraId="020F392E" w14:textId="2689F604" w:rsidR="00FE3CA6" w:rsidRDefault="00E453CD">
      <w:pPr>
        <w:keepNext/>
        <w:suppressAutoHyphens/>
        <w:rPr>
          <w:del w:id="4429" w:author="AbbVie02no" w:date="2025-05-15T13:45:00Z"/>
          <w:sz w:val="22"/>
          <w:szCs w:val="22"/>
        </w:rPr>
        <w:pPrChange w:id="4430" w:author="AbbVie02no" w:date="2025-05-15T13:45:00Z">
          <w:pPr/>
        </w:pPrChange>
      </w:pPr>
      <w:del w:id="4431" w:author="AbbVie02no" w:date="2025-05-15T13:45:00Z">
        <w:r w:rsidRPr="009C5EFD">
          <w:rPr>
            <w:sz w:val="22"/>
            <w:szCs w:val="22"/>
          </w:rPr>
          <w:delText xml:space="preserve">Anbefalt </w:delText>
        </w:r>
        <w:r w:rsidRPr="00FE3CA6">
          <w:rPr>
            <w:sz w:val="22"/>
            <w:szCs w:val="22"/>
          </w:rPr>
          <w:delText>startdose</w:delText>
        </w:r>
        <w:r w:rsidRPr="009C5EFD">
          <w:rPr>
            <w:sz w:val="22"/>
            <w:szCs w:val="22"/>
          </w:rPr>
          <w:delText xml:space="preserve"> </w:delText>
        </w:r>
        <w:r>
          <w:rPr>
            <w:sz w:val="22"/>
            <w:szCs w:val="22"/>
          </w:rPr>
          <w:delText>av</w:delText>
        </w:r>
        <w:r w:rsidRPr="009C5EFD">
          <w:rPr>
            <w:sz w:val="22"/>
            <w:szCs w:val="22"/>
          </w:rPr>
          <w:delText xml:space="preserve"> Humira </w:delText>
        </w:r>
        <w:r>
          <w:rPr>
            <w:sz w:val="22"/>
            <w:szCs w:val="22"/>
          </w:rPr>
          <w:delText>til</w:delText>
        </w:r>
        <w:r w:rsidRPr="009C5EFD">
          <w:rPr>
            <w:sz w:val="22"/>
            <w:szCs w:val="22"/>
          </w:rPr>
          <w:delText xml:space="preserve"> voksne pasienter</w:delText>
        </w:r>
        <w:r>
          <w:rPr>
            <w:sz w:val="22"/>
            <w:szCs w:val="22"/>
          </w:rPr>
          <w:delText xml:space="preserve"> med uveitt er </w:delText>
        </w:r>
        <w:r w:rsidRPr="00FE3CA6">
          <w:rPr>
            <w:sz w:val="22"/>
            <w:szCs w:val="22"/>
          </w:rPr>
          <w:delText>80 mg etterfulgt av 40 mg etter en uke, og deretter 40 mg annenhver uke.</w:delText>
        </w:r>
        <w:r>
          <w:rPr>
            <w:sz w:val="22"/>
            <w:szCs w:val="22"/>
          </w:rPr>
          <w:delText xml:space="preserve"> Det er begrenset </w:delText>
        </w:r>
        <w:r w:rsidR="00574932">
          <w:rPr>
            <w:sz w:val="22"/>
            <w:szCs w:val="22"/>
          </w:rPr>
          <w:delText>erfaring med oppstart av behandling med Humira alene. Behandling med Humira kan starte</w:delText>
        </w:r>
        <w:r w:rsidR="002C5303">
          <w:rPr>
            <w:sz w:val="22"/>
            <w:szCs w:val="22"/>
          </w:rPr>
          <w:delText>s i kombinasjon med kortikoster</w:delText>
        </w:r>
        <w:r w:rsidR="00574932">
          <w:rPr>
            <w:sz w:val="22"/>
            <w:szCs w:val="22"/>
          </w:rPr>
          <w:delText xml:space="preserve">oider og/eller med andre </w:delText>
        </w:r>
        <w:r w:rsidR="00574932">
          <w:rPr>
            <w:sz w:val="22"/>
            <w:szCs w:val="22"/>
          </w:rPr>
          <w:lastRenderedPageBreak/>
          <w:delText xml:space="preserve">ikke-biologiske immunmodulerende midler. </w:delText>
        </w:r>
        <w:r w:rsidR="00E50949">
          <w:rPr>
            <w:sz w:val="22"/>
            <w:szCs w:val="22"/>
          </w:rPr>
          <w:delText>To uker etter oppstart av behandling med Humira kan s</w:delText>
        </w:r>
        <w:r w:rsidR="00574932">
          <w:rPr>
            <w:sz w:val="22"/>
            <w:szCs w:val="22"/>
          </w:rPr>
          <w:delText xml:space="preserve">amtidig </w:delText>
        </w:r>
        <w:r w:rsidR="00E50949">
          <w:rPr>
            <w:sz w:val="22"/>
            <w:szCs w:val="22"/>
          </w:rPr>
          <w:delText>behandling med</w:delText>
        </w:r>
        <w:r w:rsidR="00574932">
          <w:rPr>
            <w:sz w:val="22"/>
            <w:szCs w:val="22"/>
          </w:rPr>
          <w:delText xml:space="preserve"> kortikosteroider trappes ned i henhold til klinisk praksis.</w:delText>
        </w:r>
      </w:del>
    </w:p>
    <w:p w14:paraId="1D1158CE" w14:textId="15AFB14D" w:rsidR="00574932" w:rsidRDefault="00574932">
      <w:pPr>
        <w:keepNext/>
        <w:suppressAutoHyphens/>
        <w:rPr>
          <w:del w:id="4432" w:author="AbbVie02no" w:date="2025-05-15T13:45:00Z"/>
          <w:sz w:val="22"/>
          <w:szCs w:val="22"/>
        </w:rPr>
        <w:pPrChange w:id="4433" w:author="AbbVie02no" w:date="2025-05-15T13:45:00Z">
          <w:pPr/>
        </w:pPrChange>
      </w:pPr>
    </w:p>
    <w:p w14:paraId="3D888811" w14:textId="244CDDFA" w:rsidR="00574932" w:rsidRDefault="00E453CD">
      <w:pPr>
        <w:keepNext/>
        <w:suppressAutoHyphens/>
        <w:rPr>
          <w:del w:id="4434" w:author="AbbVie02no" w:date="2025-05-15T13:45:00Z"/>
          <w:sz w:val="22"/>
          <w:szCs w:val="22"/>
        </w:rPr>
        <w:pPrChange w:id="4435" w:author="AbbVie02no" w:date="2025-05-15T13:45:00Z">
          <w:pPr/>
        </w:pPrChange>
      </w:pPr>
      <w:del w:id="4436" w:author="AbbVie02no" w:date="2025-05-15T13:45:00Z">
        <w:r>
          <w:rPr>
            <w:sz w:val="22"/>
            <w:szCs w:val="22"/>
          </w:rPr>
          <w:delText xml:space="preserve">Det </w:delText>
        </w:r>
        <w:r w:rsidR="00E50949">
          <w:rPr>
            <w:sz w:val="22"/>
            <w:szCs w:val="22"/>
          </w:rPr>
          <w:delText>anbefales</w:delText>
        </w:r>
        <w:r>
          <w:rPr>
            <w:sz w:val="22"/>
            <w:szCs w:val="22"/>
          </w:rPr>
          <w:delText xml:space="preserve"> at nytte og risiko ved </w:delText>
        </w:r>
        <w:r w:rsidR="00E50949">
          <w:rPr>
            <w:sz w:val="22"/>
            <w:szCs w:val="22"/>
          </w:rPr>
          <w:delText xml:space="preserve">fortsatt </w:delText>
        </w:r>
        <w:r>
          <w:rPr>
            <w:sz w:val="22"/>
            <w:szCs w:val="22"/>
          </w:rPr>
          <w:delText>lang</w:delText>
        </w:r>
        <w:r w:rsidR="00E50949">
          <w:rPr>
            <w:sz w:val="22"/>
            <w:szCs w:val="22"/>
          </w:rPr>
          <w:delText>tids</w:delText>
        </w:r>
        <w:r>
          <w:rPr>
            <w:sz w:val="22"/>
            <w:szCs w:val="22"/>
          </w:rPr>
          <w:delText xml:space="preserve">behandling </w:delText>
        </w:r>
        <w:r w:rsidR="00E50949">
          <w:rPr>
            <w:sz w:val="22"/>
            <w:szCs w:val="22"/>
          </w:rPr>
          <w:delText>vurderes</w:delText>
        </w:r>
        <w:r>
          <w:rPr>
            <w:sz w:val="22"/>
            <w:szCs w:val="22"/>
          </w:rPr>
          <w:delText xml:space="preserve"> årlig (se pkt. 5.1).</w:delText>
        </w:r>
      </w:del>
    </w:p>
    <w:p w14:paraId="39D8CB9E" w14:textId="33EC91B8" w:rsidR="00E11119" w:rsidRDefault="00E11119">
      <w:pPr>
        <w:keepNext/>
        <w:suppressAutoHyphens/>
        <w:rPr>
          <w:del w:id="4437" w:author="AbbVie02no" w:date="2025-05-15T13:45:00Z"/>
          <w:sz w:val="22"/>
          <w:szCs w:val="22"/>
        </w:rPr>
        <w:pPrChange w:id="4438" w:author="AbbVie02no" w:date="2025-05-15T13:45:00Z">
          <w:pPr/>
        </w:pPrChange>
      </w:pPr>
    </w:p>
    <w:p w14:paraId="4D084543" w14:textId="146C9774" w:rsidR="00E11119" w:rsidRDefault="00E453CD">
      <w:pPr>
        <w:keepNext/>
        <w:suppressAutoHyphens/>
        <w:rPr>
          <w:del w:id="4439" w:author="AbbVie02no" w:date="2025-05-15T13:45:00Z"/>
          <w:sz w:val="22"/>
          <w:szCs w:val="22"/>
        </w:rPr>
        <w:pPrChange w:id="4440" w:author="AbbVie02no" w:date="2025-05-15T13:45:00Z">
          <w:pPr/>
        </w:pPrChange>
      </w:pPr>
      <w:del w:id="4441" w:author="AbbVie02no" w:date="2025-05-15T13:45:00Z">
        <w:r>
          <w:rPr>
            <w:sz w:val="22"/>
            <w:szCs w:val="22"/>
          </w:rPr>
          <w:delText>Humira kan være tilgjengelig i andre styrker og/eller formuleringer avhengig av individuelle behandlingsbehov.</w:delText>
        </w:r>
      </w:del>
    </w:p>
    <w:p w14:paraId="51560583" w14:textId="24FB0AD8" w:rsidR="004532D9" w:rsidRDefault="004532D9">
      <w:pPr>
        <w:keepNext/>
        <w:suppressAutoHyphens/>
        <w:rPr>
          <w:del w:id="4442" w:author="AbbVie02no" w:date="2025-05-15T13:45:00Z"/>
          <w:sz w:val="22"/>
          <w:szCs w:val="22"/>
        </w:rPr>
        <w:pPrChange w:id="4443" w:author="AbbVie02no" w:date="2025-05-15T13:45:00Z">
          <w:pPr/>
        </w:pPrChange>
      </w:pPr>
    </w:p>
    <w:p w14:paraId="6C1E5B30" w14:textId="02A6E4AA" w:rsidR="004532D9" w:rsidRPr="00AB7697" w:rsidRDefault="00E453CD">
      <w:pPr>
        <w:keepNext/>
        <w:suppressAutoHyphens/>
        <w:rPr>
          <w:del w:id="4444" w:author="AbbVie02no" w:date="2025-05-15T13:45:00Z"/>
          <w:sz w:val="22"/>
          <w:szCs w:val="22"/>
          <w:u w:val="single"/>
        </w:rPr>
        <w:pPrChange w:id="4445" w:author="AbbVie02no" w:date="2025-05-15T13:45:00Z">
          <w:pPr>
            <w:keepNext/>
          </w:pPr>
        </w:pPrChange>
      </w:pPr>
      <w:del w:id="4446" w:author="AbbVie02no" w:date="2025-05-15T13:45:00Z">
        <w:r w:rsidRPr="00AB7697">
          <w:rPr>
            <w:sz w:val="22"/>
            <w:szCs w:val="22"/>
            <w:u w:val="single"/>
          </w:rPr>
          <w:delText>Spesielle populasjoner</w:delText>
        </w:r>
      </w:del>
    </w:p>
    <w:p w14:paraId="639D3027" w14:textId="579F05A7" w:rsidR="00FA0A10" w:rsidRPr="009C5EFD" w:rsidRDefault="00FA0A10">
      <w:pPr>
        <w:keepNext/>
        <w:suppressAutoHyphens/>
        <w:rPr>
          <w:del w:id="4447" w:author="AbbVie02no" w:date="2025-05-15T13:45:00Z"/>
          <w:sz w:val="22"/>
          <w:szCs w:val="22"/>
        </w:rPr>
        <w:pPrChange w:id="4448" w:author="AbbVie02no" w:date="2025-05-15T13:45:00Z">
          <w:pPr>
            <w:keepNext/>
          </w:pPr>
        </w:pPrChange>
      </w:pPr>
    </w:p>
    <w:p w14:paraId="204D41C7" w14:textId="07944F8A" w:rsidR="00FA0A10" w:rsidRPr="00AB7697" w:rsidRDefault="00E453CD">
      <w:pPr>
        <w:keepNext/>
        <w:suppressAutoHyphens/>
        <w:rPr>
          <w:del w:id="4449" w:author="AbbVie02no" w:date="2025-05-15T13:45:00Z"/>
          <w:sz w:val="22"/>
          <w:szCs w:val="22"/>
        </w:rPr>
        <w:pPrChange w:id="4450" w:author="AbbVie02no" w:date="2025-05-15T13:45:00Z">
          <w:pPr>
            <w:keepNext/>
          </w:pPr>
        </w:pPrChange>
      </w:pPr>
      <w:del w:id="4451" w:author="AbbVie02no" w:date="2025-05-15T13:45:00Z">
        <w:r w:rsidRPr="00AB7697">
          <w:rPr>
            <w:sz w:val="22"/>
            <w:szCs w:val="22"/>
          </w:rPr>
          <w:delText>Eldre</w:delText>
        </w:r>
      </w:del>
    </w:p>
    <w:p w14:paraId="4EE14190" w14:textId="5FBC1608" w:rsidR="00FA0A10" w:rsidRPr="009C5EFD" w:rsidRDefault="00FA0A10">
      <w:pPr>
        <w:keepNext/>
        <w:suppressAutoHyphens/>
        <w:rPr>
          <w:del w:id="4452" w:author="AbbVie02no" w:date="2025-05-15T13:45:00Z"/>
          <w:sz w:val="22"/>
          <w:szCs w:val="22"/>
        </w:rPr>
        <w:pPrChange w:id="4453" w:author="AbbVie02no" w:date="2025-05-15T13:45:00Z">
          <w:pPr>
            <w:keepNext/>
          </w:pPr>
        </w:pPrChange>
      </w:pPr>
    </w:p>
    <w:p w14:paraId="329D1C16" w14:textId="7755C347" w:rsidR="00FA0A10" w:rsidRPr="009C5EFD" w:rsidRDefault="00E453CD">
      <w:pPr>
        <w:keepNext/>
        <w:suppressAutoHyphens/>
        <w:rPr>
          <w:del w:id="4454" w:author="AbbVie02no" w:date="2025-05-15T13:45:00Z"/>
          <w:sz w:val="22"/>
          <w:szCs w:val="22"/>
        </w:rPr>
        <w:pPrChange w:id="4455" w:author="AbbVie02no" w:date="2025-05-15T13:45:00Z">
          <w:pPr/>
        </w:pPrChange>
      </w:pPr>
      <w:del w:id="4456" w:author="AbbVie02no" w:date="2025-05-15T13:45:00Z">
        <w:r w:rsidRPr="009C5EFD">
          <w:rPr>
            <w:sz w:val="22"/>
            <w:szCs w:val="22"/>
          </w:rPr>
          <w:delText>Det er ikke nødvendig med justering av dosen.</w:delText>
        </w:r>
      </w:del>
    </w:p>
    <w:p w14:paraId="504B4B9D" w14:textId="30317680" w:rsidR="00C122FA" w:rsidRPr="009C5EFD" w:rsidRDefault="00C122FA">
      <w:pPr>
        <w:keepNext/>
        <w:suppressAutoHyphens/>
        <w:rPr>
          <w:del w:id="4457" w:author="AbbVie02no" w:date="2025-05-15T13:45:00Z"/>
          <w:sz w:val="22"/>
          <w:szCs w:val="22"/>
        </w:rPr>
        <w:pPrChange w:id="4458" w:author="AbbVie02no" w:date="2025-05-15T13:45:00Z">
          <w:pPr/>
        </w:pPrChange>
      </w:pPr>
    </w:p>
    <w:p w14:paraId="73A094C8" w14:textId="1B3F7086" w:rsidR="00C122FA" w:rsidRPr="00AF70AD" w:rsidRDefault="00E453CD">
      <w:pPr>
        <w:keepNext/>
        <w:suppressAutoHyphens/>
        <w:rPr>
          <w:del w:id="4459" w:author="AbbVie02no" w:date="2025-05-15T13:45:00Z"/>
          <w:szCs w:val="22"/>
        </w:rPr>
        <w:pPrChange w:id="4460" w:author="AbbVie02no" w:date="2025-05-15T13:45:00Z">
          <w:pPr>
            <w:pStyle w:val="Heading8"/>
          </w:pPr>
        </w:pPrChange>
      </w:pPr>
      <w:del w:id="4461" w:author="AbbVie02no" w:date="2025-05-15T13:45:00Z">
        <w:r w:rsidRPr="00AF70AD">
          <w:rPr>
            <w:szCs w:val="22"/>
          </w:rPr>
          <w:delText>Nedsatt nyre- og/eller leverfunksjon</w:delText>
        </w:r>
      </w:del>
    </w:p>
    <w:p w14:paraId="7278B92F" w14:textId="6BCC7874" w:rsidR="00C122FA" w:rsidRPr="009C5EFD" w:rsidRDefault="00C122FA">
      <w:pPr>
        <w:keepNext/>
        <w:suppressAutoHyphens/>
        <w:rPr>
          <w:del w:id="4462" w:author="AbbVie02no" w:date="2025-05-15T13:45:00Z"/>
          <w:b/>
          <w:bCs/>
          <w:i/>
          <w:iCs/>
          <w:sz w:val="22"/>
          <w:szCs w:val="22"/>
        </w:rPr>
        <w:pPrChange w:id="4463" w:author="AbbVie02no" w:date="2025-05-15T13:45:00Z">
          <w:pPr>
            <w:keepNext/>
          </w:pPr>
        </w:pPrChange>
      </w:pPr>
    </w:p>
    <w:p w14:paraId="1C653C15" w14:textId="03D59A32" w:rsidR="00C122FA" w:rsidRPr="009C5EFD" w:rsidRDefault="00E453CD">
      <w:pPr>
        <w:keepNext/>
        <w:suppressAutoHyphens/>
        <w:rPr>
          <w:del w:id="4464" w:author="AbbVie02no" w:date="2025-05-15T13:45:00Z"/>
          <w:sz w:val="22"/>
          <w:szCs w:val="22"/>
        </w:rPr>
        <w:pPrChange w:id="4465" w:author="AbbVie02no" w:date="2025-05-15T13:45:00Z">
          <w:pPr/>
        </w:pPrChange>
      </w:pPr>
      <w:del w:id="4466" w:author="AbbVie02no" w:date="2025-05-15T13:45:00Z">
        <w:r w:rsidRPr="009C5EFD">
          <w:rPr>
            <w:sz w:val="22"/>
            <w:szCs w:val="22"/>
          </w:rPr>
          <w:delText xml:space="preserve">Humira er ikke </w:delText>
        </w:r>
        <w:r w:rsidR="009929AB">
          <w:rPr>
            <w:sz w:val="22"/>
            <w:szCs w:val="22"/>
          </w:rPr>
          <w:delText>undersøkt hos</w:delText>
        </w:r>
        <w:r w:rsidRPr="009C5EFD">
          <w:rPr>
            <w:sz w:val="22"/>
            <w:szCs w:val="22"/>
          </w:rPr>
          <w:delText xml:space="preserve"> disse pasientpopulasjonene</w:delText>
        </w:r>
        <w:r w:rsidRPr="009C5EFD">
          <w:rPr>
            <w:b/>
            <w:bCs/>
            <w:i/>
            <w:iCs/>
            <w:sz w:val="22"/>
            <w:szCs w:val="22"/>
          </w:rPr>
          <w:delText>.</w:delText>
        </w:r>
        <w:r w:rsidRPr="009C5EFD">
          <w:rPr>
            <w:i/>
            <w:iCs/>
            <w:sz w:val="22"/>
            <w:szCs w:val="22"/>
          </w:rPr>
          <w:delText xml:space="preserve"> </w:delText>
        </w:r>
        <w:r w:rsidRPr="009C5EFD">
          <w:rPr>
            <w:sz w:val="22"/>
            <w:szCs w:val="22"/>
          </w:rPr>
          <w:delText>Ingen doseanbefaling kan gis.</w:delText>
        </w:r>
      </w:del>
    </w:p>
    <w:p w14:paraId="72BEBCC7" w14:textId="34892D15" w:rsidR="00FA0A10" w:rsidRPr="009C5EFD" w:rsidRDefault="00FA0A10">
      <w:pPr>
        <w:keepNext/>
        <w:suppressAutoHyphens/>
        <w:rPr>
          <w:del w:id="4467" w:author="AbbVie02no" w:date="2025-05-15T13:45:00Z"/>
          <w:sz w:val="22"/>
          <w:szCs w:val="22"/>
        </w:rPr>
        <w:pPrChange w:id="4468" w:author="AbbVie02no" w:date="2025-05-15T13:45:00Z">
          <w:pPr/>
        </w:pPrChange>
      </w:pPr>
    </w:p>
    <w:p w14:paraId="1A5D259E" w14:textId="66D5BADC" w:rsidR="00FA7E69" w:rsidRPr="00AB7697" w:rsidRDefault="00E453CD">
      <w:pPr>
        <w:keepNext/>
        <w:suppressAutoHyphens/>
        <w:rPr>
          <w:del w:id="4469" w:author="AbbVie02no" w:date="2025-05-15T13:45:00Z"/>
          <w:sz w:val="22"/>
          <w:szCs w:val="22"/>
        </w:rPr>
        <w:pPrChange w:id="4470" w:author="AbbVie02no" w:date="2025-05-15T13:45:00Z">
          <w:pPr>
            <w:keepNext/>
          </w:pPr>
        </w:pPrChange>
      </w:pPr>
      <w:del w:id="4471" w:author="AbbVie02no" w:date="2025-05-15T13:45:00Z">
        <w:r w:rsidRPr="00AB7697">
          <w:rPr>
            <w:sz w:val="22"/>
            <w:szCs w:val="22"/>
          </w:rPr>
          <w:delText>Pediatrisk populasjon</w:delText>
        </w:r>
      </w:del>
    </w:p>
    <w:p w14:paraId="0278D3AD" w14:textId="306E875A" w:rsidR="004560D4" w:rsidRPr="009C5EFD" w:rsidRDefault="004560D4">
      <w:pPr>
        <w:keepNext/>
        <w:suppressAutoHyphens/>
        <w:rPr>
          <w:del w:id="4472" w:author="AbbVie02no" w:date="2025-05-15T13:45:00Z"/>
          <w:sz w:val="22"/>
          <w:szCs w:val="22"/>
          <w:u w:val="single"/>
        </w:rPr>
        <w:pPrChange w:id="4473" w:author="AbbVie02no" w:date="2025-05-15T13:45:00Z">
          <w:pPr>
            <w:keepNext/>
          </w:pPr>
        </w:pPrChange>
      </w:pPr>
    </w:p>
    <w:p w14:paraId="705D4CF1" w14:textId="364B520C" w:rsidR="004560D4" w:rsidRPr="001F5D4B" w:rsidRDefault="00E453CD">
      <w:pPr>
        <w:keepNext/>
        <w:suppressAutoHyphens/>
        <w:rPr>
          <w:del w:id="4474" w:author="AbbVie02no" w:date="2025-05-15T13:45:00Z"/>
          <w:i/>
          <w:szCs w:val="22"/>
        </w:rPr>
        <w:pPrChange w:id="4475" w:author="AbbVie02no" w:date="2025-05-15T13:45:00Z">
          <w:pPr>
            <w:pStyle w:val="EMEANormal"/>
            <w:keepNext/>
          </w:pPr>
        </w:pPrChange>
      </w:pPr>
      <w:del w:id="4476" w:author="AbbVie02no" w:date="2025-05-15T13:45:00Z">
        <w:r w:rsidRPr="001F5D4B">
          <w:rPr>
            <w:i/>
            <w:szCs w:val="22"/>
          </w:rPr>
          <w:delText>Juvenil idiopatisk artritt</w:delText>
        </w:r>
      </w:del>
    </w:p>
    <w:p w14:paraId="465DA321" w14:textId="029756BA" w:rsidR="00FA7E69" w:rsidRPr="007F67EE" w:rsidRDefault="00FA7E69">
      <w:pPr>
        <w:keepNext/>
        <w:suppressAutoHyphens/>
        <w:rPr>
          <w:del w:id="4477" w:author="AbbVie02no" w:date="2025-05-15T13:45:00Z"/>
          <w:sz w:val="22"/>
          <w:szCs w:val="22"/>
        </w:rPr>
        <w:pPrChange w:id="4478" w:author="AbbVie02no" w:date="2025-05-15T13:45:00Z">
          <w:pPr>
            <w:keepNext/>
          </w:pPr>
        </w:pPrChange>
      </w:pPr>
    </w:p>
    <w:p w14:paraId="1147F0D9" w14:textId="3F5C57BE" w:rsidR="00FA7E69" w:rsidRPr="001F5D4B" w:rsidRDefault="00E453CD">
      <w:pPr>
        <w:keepNext/>
        <w:suppressAutoHyphens/>
        <w:rPr>
          <w:del w:id="4479" w:author="AbbVie02no" w:date="2025-05-15T13:45:00Z"/>
          <w:i/>
          <w:sz w:val="22"/>
          <w:szCs w:val="22"/>
          <w:u w:val="single"/>
        </w:rPr>
        <w:pPrChange w:id="4480" w:author="AbbVie02no" w:date="2025-05-15T13:45:00Z">
          <w:pPr>
            <w:keepNext/>
          </w:pPr>
        </w:pPrChange>
      </w:pPr>
      <w:del w:id="4481" w:author="AbbVie02no" w:date="2025-05-15T13:45:00Z">
        <w:r w:rsidRPr="001F5D4B">
          <w:rPr>
            <w:i/>
            <w:sz w:val="22"/>
            <w:szCs w:val="22"/>
            <w:u w:val="single"/>
          </w:rPr>
          <w:delText xml:space="preserve">Polyartikulær juvenil idiopatisk artritt </w:delText>
        </w:r>
        <w:r w:rsidR="009818CD">
          <w:rPr>
            <w:i/>
            <w:sz w:val="22"/>
            <w:szCs w:val="22"/>
            <w:u w:val="single"/>
          </w:rPr>
          <w:delText xml:space="preserve">fra </w:delText>
        </w:r>
        <w:r w:rsidRPr="001F5D4B">
          <w:rPr>
            <w:i/>
            <w:sz w:val="22"/>
            <w:szCs w:val="22"/>
            <w:u w:val="single"/>
          </w:rPr>
          <w:delText>2 år</w:delText>
        </w:r>
        <w:r w:rsidR="00DB0B92">
          <w:rPr>
            <w:i/>
            <w:sz w:val="22"/>
            <w:szCs w:val="22"/>
            <w:u w:val="single"/>
          </w:rPr>
          <w:delText>s alder</w:delText>
        </w:r>
      </w:del>
    </w:p>
    <w:p w14:paraId="0FEF6FBB" w14:textId="549ED7FC" w:rsidR="00FA7E69" w:rsidRPr="007F67EE" w:rsidRDefault="00FA7E69">
      <w:pPr>
        <w:keepNext/>
        <w:suppressAutoHyphens/>
        <w:rPr>
          <w:del w:id="4482" w:author="AbbVie02no" w:date="2025-05-15T13:45:00Z"/>
          <w:sz w:val="22"/>
          <w:szCs w:val="22"/>
        </w:rPr>
        <w:pPrChange w:id="4483" w:author="AbbVie02no" w:date="2025-05-15T13:45:00Z">
          <w:pPr>
            <w:keepNext/>
          </w:pPr>
        </w:pPrChange>
      </w:pPr>
    </w:p>
    <w:p w14:paraId="6F9E0391" w14:textId="69A00B8A" w:rsidR="009818CD" w:rsidRDefault="00E453CD">
      <w:pPr>
        <w:keepNext/>
        <w:suppressAutoHyphens/>
        <w:rPr>
          <w:del w:id="4484" w:author="AbbVie02no" w:date="2025-05-15T13:45:00Z"/>
          <w:sz w:val="22"/>
          <w:szCs w:val="22"/>
        </w:rPr>
        <w:pPrChange w:id="4485" w:author="AbbVie02no" w:date="2025-05-15T13:45:00Z">
          <w:pPr/>
        </w:pPrChange>
      </w:pPr>
      <w:del w:id="4486" w:author="AbbVie02no" w:date="2025-05-15T13:45:00Z">
        <w:r w:rsidRPr="00193D76">
          <w:rPr>
            <w:sz w:val="22"/>
            <w:szCs w:val="22"/>
          </w:rPr>
          <w:delText xml:space="preserve">Anbefalt dose av Humira til pasienter </w:delText>
        </w:r>
        <w:r w:rsidR="00DB0B92">
          <w:rPr>
            <w:sz w:val="22"/>
            <w:szCs w:val="22"/>
          </w:rPr>
          <w:delText xml:space="preserve">over 2 år </w:delText>
        </w:r>
        <w:r w:rsidRPr="00193D76">
          <w:rPr>
            <w:sz w:val="22"/>
            <w:szCs w:val="22"/>
          </w:rPr>
          <w:delText>med polyartikulær juvenil idiopa</w:delText>
        </w:r>
        <w:r w:rsidRPr="002D0790">
          <w:rPr>
            <w:sz w:val="22"/>
            <w:szCs w:val="22"/>
          </w:rPr>
          <w:delText>tisk artritt</w:delText>
        </w:r>
        <w:r w:rsidRPr="009C5EFD">
          <w:rPr>
            <w:sz w:val="22"/>
            <w:szCs w:val="22"/>
          </w:rPr>
          <w:delText>, er</w:delText>
        </w:r>
        <w:r>
          <w:rPr>
            <w:sz w:val="22"/>
            <w:szCs w:val="22"/>
          </w:rPr>
          <w:delText xml:space="preserve"> basert på kroppsvekt (</w:delText>
        </w:r>
        <w:r w:rsidR="0036529C">
          <w:rPr>
            <w:sz w:val="22"/>
            <w:szCs w:val="22"/>
          </w:rPr>
          <w:delText>t</w:delText>
        </w:r>
        <w:r>
          <w:rPr>
            <w:sz w:val="22"/>
            <w:szCs w:val="22"/>
          </w:rPr>
          <w:delText>abell 1). Humira</w:delText>
        </w:r>
        <w:r w:rsidRPr="009C5EFD">
          <w:rPr>
            <w:sz w:val="22"/>
            <w:szCs w:val="22"/>
          </w:rPr>
          <w:delText xml:space="preserve"> </w:delText>
        </w:r>
        <w:r w:rsidR="00E11119">
          <w:rPr>
            <w:sz w:val="22"/>
            <w:szCs w:val="22"/>
          </w:rPr>
          <w:delText xml:space="preserve">administreres som </w:delText>
        </w:r>
        <w:r w:rsidRPr="009C5EFD">
          <w:rPr>
            <w:sz w:val="22"/>
            <w:szCs w:val="22"/>
          </w:rPr>
          <w:delText>subkutan</w:delText>
        </w:r>
        <w:r w:rsidR="006C4775">
          <w:rPr>
            <w:sz w:val="22"/>
            <w:szCs w:val="22"/>
          </w:rPr>
          <w:delText xml:space="preserve"> injeksjon </w:delText>
        </w:r>
        <w:r w:rsidRPr="009C5EFD">
          <w:rPr>
            <w:sz w:val="22"/>
            <w:szCs w:val="22"/>
          </w:rPr>
          <w:delText>annenhver uke.</w:delText>
        </w:r>
      </w:del>
    </w:p>
    <w:p w14:paraId="1BFBB914" w14:textId="3BE7A1A6" w:rsidR="00E11119" w:rsidRDefault="00E11119">
      <w:pPr>
        <w:keepNext/>
        <w:suppressAutoHyphens/>
        <w:rPr>
          <w:del w:id="4487" w:author="AbbVie02no" w:date="2025-05-15T13:45:00Z"/>
          <w:sz w:val="22"/>
          <w:szCs w:val="22"/>
        </w:rPr>
        <w:pPrChange w:id="4488" w:author="AbbVie02no" w:date="2025-05-15T13:45:00Z">
          <w:pPr/>
        </w:pPrChange>
      </w:pPr>
    </w:p>
    <w:p w14:paraId="22F80138" w14:textId="647FEEA5" w:rsidR="009818CD" w:rsidRPr="000624CD" w:rsidRDefault="00E453CD">
      <w:pPr>
        <w:keepNext/>
        <w:suppressAutoHyphens/>
        <w:rPr>
          <w:del w:id="4489" w:author="AbbVie02no" w:date="2025-05-15T13:45:00Z"/>
          <w:sz w:val="22"/>
          <w:szCs w:val="22"/>
        </w:rPr>
        <w:pPrChange w:id="4490" w:author="AbbVie02no" w:date="2025-05-15T13:45:00Z">
          <w:pPr>
            <w:keepNext/>
            <w:jc w:val="center"/>
          </w:pPr>
        </w:pPrChange>
      </w:pPr>
      <w:del w:id="4491" w:author="AbbVie02no" w:date="2025-05-15T13:45:00Z">
        <w:r w:rsidRPr="00AB7697">
          <w:rPr>
            <w:b/>
            <w:sz w:val="22"/>
            <w:szCs w:val="22"/>
          </w:rPr>
          <w:delText>Tabell 1. Humiradosering for pasienter med polyartik</w:delText>
        </w:r>
        <w:r w:rsidR="000624CD">
          <w:rPr>
            <w:b/>
            <w:sz w:val="22"/>
            <w:szCs w:val="22"/>
          </w:rPr>
          <w:delText>ulær juvenil idiopatisk artritt</w:delText>
        </w:r>
      </w:del>
    </w:p>
    <w:p w14:paraId="1F5389BA" w14:textId="1AF32E59" w:rsidR="009818CD" w:rsidRPr="00AB7697" w:rsidRDefault="009818CD">
      <w:pPr>
        <w:keepNext/>
        <w:suppressAutoHyphens/>
        <w:rPr>
          <w:del w:id="4492" w:author="AbbVie02no" w:date="2025-05-15T13:45:00Z"/>
          <w:szCs w:val="22"/>
        </w:rPr>
        <w:pPrChange w:id="4493" w:author="AbbVie02no" w:date="2025-05-15T13:45:00Z">
          <w:pPr>
            <w:keepNext/>
          </w:pPr>
        </w:pPrChange>
      </w:pPr>
    </w:p>
    <w:tbl>
      <w:tblPr>
        <w:tblW w:w="6795" w:type="dxa"/>
        <w:jc w:val="center"/>
        <w:tblLayout w:type="fixed"/>
        <w:tblLook w:val="04A0" w:firstRow="1" w:lastRow="0" w:firstColumn="1" w:lastColumn="0" w:noHBand="0" w:noVBand="1"/>
      </w:tblPr>
      <w:tblGrid>
        <w:gridCol w:w="3401"/>
        <w:gridCol w:w="3394"/>
      </w:tblGrid>
      <w:tr w:rsidR="004644D4" w14:paraId="5F53FC46" w14:textId="2AB0D765" w:rsidTr="00875D02">
        <w:trPr>
          <w:tblHeader/>
          <w:jc w:val="center"/>
          <w:del w:id="4494" w:author="AbbVie02no" w:date="2025-05-15T13:45:00Z"/>
        </w:trPr>
        <w:tc>
          <w:tcPr>
            <w:tcW w:w="3401" w:type="dxa"/>
            <w:tcBorders>
              <w:top w:val="single" w:sz="4" w:space="0" w:color="auto"/>
              <w:left w:val="nil"/>
              <w:bottom w:val="single" w:sz="4" w:space="0" w:color="auto"/>
              <w:right w:val="nil"/>
            </w:tcBorders>
            <w:hideMark/>
          </w:tcPr>
          <w:p w14:paraId="62D769E1" w14:textId="5751BD8C" w:rsidR="009818CD" w:rsidRDefault="00E453CD">
            <w:pPr>
              <w:keepNext/>
              <w:suppressAutoHyphens/>
              <w:rPr>
                <w:del w:id="4495" w:author="AbbVie02no" w:date="2025-05-15T13:45:00Z"/>
                <w:b/>
                <w:sz w:val="22"/>
                <w:szCs w:val="22"/>
              </w:rPr>
              <w:pPrChange w:id="4496" w:author="AbbVie02no" w:date="2025-05-15T13:45:00Z">
                <w:pPr>
                  <w:pStyle w:val="TableLeft"/>
                  <w:jc w:val="center"/>
                </w:pPr>
              </w:pPrChange>
            </w:pPr>
            <w:del w:id="4497" w:author="AbbVie02no" w:date="2025-05-15T13:45:00Z">
              <w:r>
                <w:rPr>
                  <w:b/>
                  <w:sz w:val="22"/>
                  <w:szCs w:val="22"/>
                </w:rPr>
                <w:delText>Kroppsvekt</w:delText>
              </w:r>
            </w:del>
          </w:p>
        </w:tc>
        <w:tc>
          <w:tcPr>
            <w:tcW w:w="3394" w:type="dxa"/>
            <w:tcBorders>
              <w:top w:val="single" w:sz="4" w:space="0" w:color="auto"/>
              <w:left w:val="nil"/>
              <w:bottom w:val="single" w:sz="4" w:space="0" w:color="auto"/>
              <w:right w:val="nil"/>
            </w:tcBorders>
            <w:hideMark/>
          </w:tcPr>
          <w:p w14:paraId="7D05B740" w14:textId="694C2EEB" w:rsidR="009818CD" w:rsidRDefault="00E453CD">
            <w:pPr>
              <w:keepNext/>
              <w:suppressAutoHyphens/>
              <w:rPr>
                <w:del w:id="4498" w:author="AbbVie02no" w:date="2025-05-15T13:45:00Z"/>
                <w:b/>
                <w:sz w:val="22"/>
                <w:szCs w:val="22"/>
              </w:rPr>
              <w:pPrChange w:id="4499" w:author="AbbVie02no" w:date="2025-05-15T13:45:00Z">
                <w:pPr>
                  <w:pStyle w:val="TableLeft"/>
                  <w:jc w:val="center"/>
                </w:pPr>
              </w:pPrChange>
            </w:pPr>
            <w:del w:id="4500" w:author="AbbVie02no" w:date="2025-05-15T13:45:00Z">
              <w:r>
                <w:rPr>
                  <w:b/>
                  <w:sz w:val="22"/>
                  <w:szCs w:val="22"/>
                </w:rPr>
                <w:delText>Dosering</w:delText>
              </w:r>
            </w:del>
          </w:p>
        </w:tc>
      </w:tr>
      <w:tr w:rsidR="004644D4" w14:paraId="24E1E5BD" w14:textId="684C7DC9" w:rsidTr="00875D02">
        <w:trPr>
          <w:tblHeader/>
          <w:jc w:val="center"/>
          <w:del w:id="4501" w:author="AbbVie02no" w:date="2025-05-15T13:45:00Z"/>
        </w:trPr>
        <w:tc>
          <w:tcPr>
            <w:tcW w:w="3401" w:type="dxa"/>
            <w:tcBorders>
              <w:top w:val="single" w:sz="4" w:space="0" w:color="auto"/>
              <w:left w:val="nil"/>
              <w:bottom w:val="single" w:sz="4" w:space="0" w:color="auto"/>
              <w:right w:val="nil"/>
            </w:tcBorders>
            <w:hideMark/>
          </w:tcPr>
          <w:p w14:paraId="3401E42B" w14:textId="18672CA9" w:rsidR="009818CD" w:rsidRDefault="00E453CD">
            <w:pPr>
              <w:keepNext/>
              <w:suppressAutoHyphens/>
              <w:rPr>
                <w:del w:id="4502" w:author="AbbVie02no" w:date="2025-05-15T13:45:00Z"/>
                <w:b/>
                <w:sz w:val="22"/>
                <w:szCs w:val="22"/>
              </w:rPr>
              <w:pPrChange w:id="4503" w:author="AbbVie02no" w:date="2025-05-15T13:45:00Z">
                <w:pPr>
                  <w:pStyle w:val="TableLeft"/>
                  <w:jc w:val="center"/>
                </w:pPr>
              </w:pPrChange>
            </w:pPr>
            <w:del w:id="4504" w:author="AbbVie02no" w:date="2025-05-15T13:45:00Z">
              <w:r>
                <w:rPr>
                  <w:sz w:val="22"/>
                  <w:szCs w:val="22"/>
                </w:rPr>
                <w:delText>10 kg til &lt; 30 kg</w:delText>
              </w:r>
            </w:del>
          </w:p>
        </w:tc>
        <w:tc>
          <w:tcPr>
            <w:tcW w:w="3394" w:type="dxa"/>
            <w:tcBorders>
              <w:top w:val="single" w:sz="4" w:space="0" w:color="auto"/>
              <w:left w:val="nil"/>
              <w:bottom w:val="single" w:sz="4" w:space="0" w:color="auto"/>
              <w:right w:val="nil"/>
            </w:tcBorders>
            <w:hideMark/>
          </w:tcPr>
          <w:p w14:paraId="479B1E30" w14:textId="4443637D" w:rsidR="009818CD" w:rsidRDefault="00E453CD">
            <w:pPr>
              <w:keepNext/>
              <w:suppressAutoHyphens/>
              <w:rPr>
                <w:del w:id="4505" w:author="AbbVie02no" w:date="2025-05-15T13:45:00Z"/>
                <w:b/>
                <w:sz w:val="22"/>
                <w:szCs w:val="22"/>
              </w:rPr>
              <w:pPrChange w:id="4506" w:author="AbbVie02no" w:date="2025-05-15T13:45:00Z">
                <w:pPr>
                  <w:pStyle w:val="TableLeft"/>
                  <w:jc w:val="center"/>
                </w:pPr>
              </w:pPrChange>
            </w:pPr>
            <w:del w:id="4507" w:author="AbbVie02no" w:date="2025-05-15T13:45:00Z">
              <w:r>
                <w:rPr>
                  <w:sz w:val="22"/>
                  <w:szCs w:val="22"/>
                </w:rPr>
                <w:delText>20 mg annenhver uke</w:delText>
              </w:r>
            </w:del>
          </w:p>
        </w:tc>
      </w:tr>
      <w:tr w:rsidR="004644D4" w14:paraId="48B32AC3" w14:textId="53FA60B3" w:rsidTr="00875D02">
        <w:trPr>
          <w:tblHeader/>
          <w:jc w:val="center"/>
          <w:del w:id="4508" w:author="AbbVie02no" w:date="2025-05-15T13:45:00Z"/>
        </w:trPr>
        <w:tc>
          <w:tcPr>
            <w:tcW w:w="3401" w:type="dxa"/>
            <w:tcBorders>
              <w:top w:val="single" w:sz="4" w:space="0" w:color="auto"/>
              <w:left w:val="nil"/>
              <w:bottom w:val="single" w:sz="4" w:space="0" w:color="auto"/>
              <w:right w:val="nil"/>
            </w:tcBorders>
            <w:hideMark/>
          </w:tcPr>
          <w:p w14:paraId="09375662" w14:textId="7E241639" w:rsidR="009818CD" w:rsidRDefault="00E453CD">
            <w:pPr>
              <w:keepNext/>
              <w:suppressAutoHyphens/>
              <w:rPr>
                <w:del w:id="4509" w:author="AbbVie02no" w:date="2025-05-15T13:45:00Z"/>
                <w:b/>
                <w:sz w:val="22"/>
                <w:szCs w:val="22"/>
              </w:rPr>
              <w:pPrChange w:id="4510" w:author="AbbVie02no" w:date="2025-05-15T13:45:00Z">
                <w:pPr>
                  <w:pStyle w:val="TableLeft"/>
                  <w:jc w:val="center"/>
                </w:pPr>
              </w:pPrChange>
            </w:pPr>
            <w:del w:id="4511" w:author="AbbVie02no" w:date="2025-05-15T13:45:00Z">
              <w:r>
                <w:rPr>
                  <w:sz w:val="22"/>
                  <w:szCs w:val="22"/>
                </w:rPr>
                <w:delText>≥ 30 kg</w:delText>
              </w:r>
            </w:del>
          </w:p>
        </w:tc>
        <w:tc>
          <w:tcPr>
            <w:tcW w:w="3394" w:type="dxa"/>
            <w:tcBorders>
              <w:top w:val="single" w:sz="4" w:space="0" w:color="auto"/>
              <w:left w:val="nil"/>
              <w:bottom w:val="single" w:sz="4" w:space="0" w:color="auto"/>
              <w:right w:val="nil"/>
            </w:tcBorders>
            <w:hideMark/>
          </w:tcPr>
          <w:p w14:paraId="2AF9B576" w14:textId="0E224694" w:rsidR="009818CD" w:rsidRDefault="00E453CD">
            <w:pPr>
              <w:keepNext/>
              <w:suppressAutoHyphens/>
              <w:rPr>
                <w:del w:id="4512" w:author="AbbVie02no" w:date="2025-05-15T13:45:00Z"/>
                <w:b/>
                <w:sz w:val="22"/>
                <w:szCs w:val="22"/>
              </w:rPr>
              <w:pPrChange w:id="4513" w:author="AbbVie02no" w:date="2025-05-15T13:45:00Z">
                <w:pPr>
                  <w:pStyle w:val="TableLeft"/>
                  <w:jc w:val="center"/>
                </w:pPr>
              </w:pPrChange>
            </w:pPr>
            <w:del w:id="4514" w:author="AbbVie02no" w:date="2025-05-15T13:45:00Z">
              <w:r>
                <w:rPr>
                  <w:sz w:val="22"/>
                  <w:szCs w:val="22"/>
                </w:rPr>
                <w:delText>40 mg an</w:delText>
              </w:r>
              <w:r w:rsidR="00473144">
                <w:rPr>
                  <w:sz w:val="22"/>
                  <w:szCs w:val="22"/>
                </w:rPr>
                <w:delText>n</w:delText>
              </w:r>
              <w:r>
                <w:rPr>
                  <w:sz w:val="22"/>
                  <w:szCs w:val="22"/>
                </w:rPr>
                <w:delText>enhver uke</w:delText>
              </w:r>
            </w:del>
          </w:p>
        </w:tc>
      </w:tr>
    </w:tbl>
    <w:p w14:paraId="1C7C4BD7" w14:textId="475C9110" w:rsidR="00FA0A10" w:rsidRPr="009C5EFD" w:rsidRDefault="00FA0A10">
      <w:pPr>
        <w:keepNext/>
        <w:suppressAutoHyphens/>
        <w:rPr>
          <w:del w:id="4515" w:author="AbbVie02no" w:date="2025-05-15T13:45:00Z"/>
          <w:sz w:val="22"/>
          <w:szCs w:val="22"/>
        </w:rPr>
        <w:pPrChange w:id="4516" w:author="AbbVie02no" w:date="2025-05-15T13:45:00Z">
          <w:pPr/>
        </w:pPrChange>
      </w:pPr>
    </w:p>
    <w:p w14:paraId="67763824" w14:textId="6D7FBE9A" w:rsidR="00C977E5" w:rsidRPr="009C5EFD" w:rsidRDefault="00E453CD">
      <w:pPr>
        <w:keepNext/>
        <w:suppressAutoHyphens/>
        <w:rPr>
          <w:del w:id="4517" w:author="AbbVie02no" w:date="2025-05-15T13:45:00Z"/>
          <w:sz w:val="22"/>
          <w:szCs w:val="22"/>
        </w:rPr>
        <w:pPrChange w:id="4518" w:author="AbbVie02no" w:date="2025-05-15T13:45:00Z">
          <w:pPr/>
        </w:pPrChange>
      </w:pPr>
      <w:del w:id="4519" w:author="AbbVie02no" w:date="2025-05-15T13:45:00Z">
        <w:r w:rsidRPr="009C5EFD">
          <w:rPr>
            <w:sz w:val="22"/>
            <w:szCs w:val="22"/>
          </w:rPr>
          <w:delText xml:space="preserve">Tilgjengelig data </w:delText>
        </w:r>
        <w:r w:rsidR="0084764A">
          <w:rPr>
            <w:sz w:val="22"/>
            <w:szCs w:val="22"/>
          </w:rPr>
          <w:delText>antyder</w:delText>
        </w:r>
        <w:r w:rsidRPr="009C5EFD">
          <w:rPr>
            <w:sz w:val="22"/>
            <w:szCs w:val="22"/>
          </w:rPr>
          <w:delText xml:space="preserve"> at klinisk respons oppnås vanligvis innen 12 uker. Fortsettelse av behandlingen hos pasienter som ikke responderer innen denne perioden, bør vurderes nøye.</w:delText>
        </w:r>
      </w:del>
    </w:p>
    <w:p w14:paraId="3D54B065" w14:textId="58C0094A" w:rsidR="00BE453F" w:rsidRPr="009C5EFD" w:rsidRDefault="00BE453F">
      <w:pPr>
        <w:keepNext/>
        <w:suppressAutoHyphens/>
        <w:rPr>
          <w:del w:id="4520" w:author="AbbVie02no" w:date="2025-05-15T13:45:00Z"/>
          <w:sz w:val="22"/>
          <w:szCs w:val="22"/>
        </w:rPr>
        <w:pPrChange w:id="4521" w:author="AbbVie02no" w:date="2025-05-15T13:45:00Z">
          <w:pPr/>
        </w:pPrChange>
      </w:pPr>
    </w:p>
    <w:p w14:paraId="74FFDB12" w14:textId="2A539C91" w:rsidR="00BE453F" w:rsidRDefault="00E453CD">
      <w:pPr>
        <w:keepNext/>
        <w:suppressAutoHyphens/>
        <w:rPr>
          <w:del w:id="4522" w:author="AbbVie02no" w:date="2025-05-15T13:45:00Z"/>
          <w:sz w:val="22"/>
          <w:szCs w:val="22"/>
        </w:rPr>
        <w:pPrChange w:id="4523" w:author="AbbVie02no" w:date="2025-05-15T13:45:00Z">
          <w:pPr/>
        </w:pPrChange>
      </w:pPr>
      <w:del w:id="4524" w:author="AbbVie02no" w:date="2025-05-15T13:45:00Z">
        <w:r w:rsidRPr="009C5EFD">
          <w:rPr>
            <w:sz w:val="22"/>
            <w:szCs w:val="22"/>
          </w:rPr>
          <w:delText xml:space="preserve">Det er </w:delText>
        </w:r>
        <w:r w:rsidR="00CC186E" w:rsidRPr="009C5EFD">
          <w:rPr>
            <w:sz w:val="22"/>
            <w:szCs w:val="22"/>
          </w:rPr>
          <w:delText>ikke relevant å bruke</w:delText>
        </w:r>
        <w:r w:rsidRPr="009C5EFD">
          <w:rPr>
            <w:sz w:val="22"/>
            <w:szCs w:val="22"/>
          </w:rPr>
          <w:delText xml:space="preserve"> Humira hos </w:delText>
        </w:r>
        <w:r w:rsidR="00244742" w:rsidRPr="009C5EFD">
          <w:rPr>
            <w:sz w:val="22"/>
            <w:szCs w:val="22"/>
          </w:rPr>
          <w:delText>pasienter</w:delText>
        </w:r>
        <w:r w:rsidRPr="009C5EFD">
          <w:rPr>
            <w:sz w:val="22"/>
            <w:szCs w:val="22"/>
          </w:rPr>
          <w:delText xml:space="preserve"> </w:delText>
        </w:r>
        <w:r w:rsidR="00DB0B92">
          <w:rPr>
            <w:sz w:val="22"/>
            <w:szCs w:val="22"/>
          </w:rPr>
          <w:delText>under</w:delText>
        </w:r>
        <w:r w:rsidR="00327603" w:rsidRPr="009C5EFD">
          <w:rPr>
            <w:sz w:val="22"/>
            <w:szCs w:val="22"/>
          </w:rPr>
          <w:delText xml:space="preserve"> </w:delText>
        </w:r>
        <w:r w:rsidRPr="009C5EFD">
          <w:rPr>
            <w:sz w:val="22"/>
            <w:szCs w:val="22"/>
          </w:rPr>
          <w:delText>2 år ved denne indikasjonen.</w:delText>
        </w:r>
      </w:del>
    </w:p>
    <w:p w14:paraId="16842D37" w14:textId="64AA20BE" w:rsidR="006C4775" w:rsidRDefault="006C4775">
      <w:pPr>
        <w:keepNext/>
        <w:suppressAutoHyphens/>
        <w:rPr>
          <w:del w:id="4525" w:author="AbbVie02no" w:date="2025-05-15T13:45:00Z"/>
          <w:sz w:val="22"/>
          <w:szCs w:val="22"/>
        </w:rPr>
        <w:pPrChange w:id="4526" w:author="AbbVie02no" w:date="2025-05-15T13:45:00Z">
          <w:pPr/>
        </w:pPrChange>
      </w:pPr>
    </w:p>
    <w:p w14:paraId="67C74B34" w14:textId="22FF46E0" w:rsidR="006C4775" w:rsidRPr="009C5EFD" w:rsidRDefault="00E453CD">
      <w:pPr>
        <w:keepNext/>
        <w:suppressAutoHyphens/>
        <w:rPr>
          <w:del w:id="4527" w:author="AbbVie02no" w:date="2025-05-15T13:45:00Z"/>
          <w:sz w:val="22"/>
          <w:szCs w:val="22"/>
        </w:rPr>
        <w:pPrChange w:id="4528" w:author="AbbVie02no" w:date="2025-05-15T13:45:00Z">
          <w:pPr/>
        </w:pPrChange>
      </w:pPr>
      <w:del w:id="4529" w:author="AbbVie02no" w:date="2025-05-15T13:45:00Z">
        <w:r w:rsidRPr="009818CD">
          <w:rPr>
            <w:sz w:val="22"/>
            <w:szCs w:val="22"/>
          </w:rPr>
          <w:delText>Humira kan være tilgjengelig i andre styrker og/eller formuleringer avhengig av individuelle behandlingsbehov.</w:delText>
        </w:r>
      </w:del>
    </w:p>
    <w:p w14:paraId="639CFAE1" w14:textId="364EC848" w:rsidR="00244742" w:rsidRPr="009C5EFD" w:rsidRDefault="00244742">
      <w:pPr>
        <w:keepNext/>
        <w:suppressAutoHyphens/>
        <w:rPr>
          <w:del w:id="4530" w:author="AbbVie02no" w:date="2025-05-15T13:45:00Z"/>
          <w:sz w:val="22"/>
          <w:szCs w:val="22"/>
        </w:rPr>
        <w:pPrChange w:id="4531" w:author="AbbVie02no" w:date="2025-05-15T13:45:00Z">
          <w:pPr/>
        </w:pPrChange>
      </w:pPr>
    </w:p>
    <w:p w14:paraId="185186A6" w14:textId="78FA38C4" w:rsidR="00244742" w:rsidRPr="001F5D4B" w:rsidRDefault="00E453CD">
      <w:pPr>
        <w:keepNext/>
        <w:suppressAutoHyphens/>
        <w:rPr>
          <w:del w:id="4532" w:author="AbbVie02no" w:date="2025-05-15T13:45:00Z"/>
          <w:i/>
          <w:sz w:val="22"/>
          <w:szCs w:val="22"/>
          <w:u w:val="single"/>
        </w:rPr>
        <w:pPrChange w:id="4533" w:author="AbbVie02no" w:date="2025-05-15T13:45:00Z">
          <w:pPr>
            <w:keepNext/>
          </w:pPr>
        </w:pPrChange>
      </w:pPr>
      <w:del w:id="4534" w:author="AbbVie02no" w:date="2025-05-15T13:45:00Z">
        <w:r w:rsidRPr="001F5D4B">
          <w:rPr>
            <w:i/>
            <w:sz w:val="22"/>
            <w:szCs w:val="22"/>
            <w:u w:val="single"/>
          </w:rPr>
          <w:delText>Entesittrelatert artritt</w:delText>
        </w:r>
      </w:del>
    </w:p>
    <w:p w14:paraId="0AA739EB" w14:textId="3260A3DA" w:rsidR="00244742" w:rsidRPr="007F67EE" w:rsidRDefault="00244742">
      <w:pPr>
        <w:keepNext/>
        <w:suppressAutoHyphens/>
        <w:rPr>
          <w:del w:id="4535" w:author="AbbVie02no" w:date="2025-05-15T13:45:00Z"/>
          <w:sz w:val="22"/>
          <w:szCs w:val="22"/>
        </w:rPr>
        <w:pPrChange w:id="4536" w:author="AbbVie02no" w:date="2025-05-15T13:45:00Z">
          <w:pPr>
            <w:keepNext/>
          </w:pPr>
        </w:pPrChange>
      </w:pPr>
    </w:p>
    <w:p w14:paraId="4C6594E8" w14:textId="50B2BB5E" w:rsidR="000C7AC0" w:rsidRPr="009C5EFD" w:rsidRDefault="00E453CD">
      <w:pPr>
        <w:keepNext/>
        <w:suppressAutoHyphens/>
        <w:rPr>
          <w:del w:id="4537" w:author="AbbVie02no" w:date="2025-05-15T13:45:00Z"/>
          <w:sz w:val="22"/>
          <w:szCs w:val="22"/>
        </w:rPr>
        <w:pPrChange w:id="4538" w:author="AbbVie02no" w:date="2025-05-15T13:45:00Z">
          <w:pPr/>
        </w:pPrChange>
      </w:pPr>
      <w:del w:id="4539" w:author="AbbVie02no" w:date="2025-05-15T13:45:00Z">
        <w:r w:rsidRPr="002D0790">
          <w:rPr>
            <w:sz w:val="22"/>
            <w:szCs w:val="22"/>
          </w:rPr>
          <w:delText xml:space="preserve">Anbefalt dose av Humira </w:delText>
        </w:r>
        <w:r w:rsidRPr="00E14E58">
          <w:rPr>
            <w:sz w:val="22"/>
            <w:szCs w:val="22"/>
          </w:rPr>
          <w:delText>til</w:delText>
        </w:r>
        <w:r w:rsidRPr="009C5EFD">
          <w:rPr>
            <w:sz w:val="22"/>
            <w:szCs w:val="22"/>
          </w:rPr>
          <w:delText xml:space="preserve"> pasienter med entesittrelatert artritt </w:delText>
        </w:r>
        <w:r w:rsidR="00DB0B92">
          <w:rPr>
            <w:sz w:val="22"/>
            <w:szCs w:val="22"/>
          </w:rPr>
          <w:delText>over</w:delText>
        </w:r>
        <w:r w:rsidRPr="009C5EFD">
          <w:rPr>
            <w:sz w:val="22"/>
            <w:szCs w:val="22"/>
          </w:rPr>
          <w:delText xml:space="preserve"> 6 år</w:delText>
        </w:r>
        <w:r>
          <w:rPr>
            <w:sz w:val="22"/>
            <w:szCs w:val="22"/>
          </w:rPr>
          <w:delText xml:space="preserve"> er basert på kroppsvekt (</w:delText>
        </w:r>
        <w:r w:rsidR="0036529C">
          <w:rPr>
            <w:sz w:val="22"/>
            <w:szCs w:val="22"/>
          </w:rPr>
          <w:delText>t</w:delText>
        </w:r>
        <w:r>
          <w:rPr>
            <w:sz w:val="22"/>
            <w:szCs w:val="22"/>
          </w:rPr>
          <w:delText>abell 2).</w:delText>
        </w:r>
        <w:r w:rsidRPr="009C5EFD">
          <w:rPr>
            <w:sz w:val="22"/>
            <w:szCs w:val="22"/>
          </w:rPr>
          <w:delText xml:space="preserve"> </w:delText>
        </w:r>
        <w:r>
          <w:rPr>
            <w:sz w:val="22"/>
            <w:szCs w:val="22"/>
          </w:rPr>
          <w:delText xml:space="preserve">Humira </w:delText>
        </w:r>
        <w:r w:rsidR="006C4775">
          <w:rPr>
            <w:sz w:val="22"/>
            <w:szCs w:val="22"/>
          </w:rPr>
          <w:delText>administreres som</w:delText>
        </w:r>
        <w:r w:rsidR="006C4775" w:rsidRPr="009C5EFD">
          <w:rPr>
            <w:sz w:val="22"/>
            <w:szCs w:val="22"/>
          </w:rPr>
          <w:delText xml:space="preserve"> </w:delText>
        </w:r>
        <w:r w:rsidRPr="009C5EFD">
          <w:rPr>
            <w:sz w:val="22"/>
            <w:szCs w:val="22"/>
          </w:rPr>
          <w:delText>subkutan</w:delText>
        </w:r>
        <w:r w:rsidR="006C4775">
          <w:rPr>
            <w:sz w:val="22"/>
            <w:szCs w:val="22"/>
          </w:rPr>
          <w:delText xml:space="preserve"> injeksjon</w:delText>
        </w:r>
        <w:r w:rsidRPr="009C5EFD">
          <w:rPr>
            <w:sz w:val="22"/>
            <w:szCs w:val="22"/>
          </w:rPr>
          <w:delText xml:space="preserve"> annenhver uke.</w:delText>
        </w:r>
      </w:del>
    </w:p>
    <w:p w14:paraId="700E6C62" w14:textId="478ED074" w:rsidR="000C7AC0" w:rsidRDefault="00E453CD">
      <w:pPr>
        <w:keepNext/>
        <w:suppressAutoHyphens/>
        <w:rPr>
          <w:del w:id="4540" w:author="AbbVie02no" w:date="2025-05-15T13:45:00Z"/>
          <w:sz w:val="22"/>
          <w:szCs w:val="22"/>
        </w:rPr>
        <w:pPrChange w:id="4541" w:author="AbbVie02no" w:date="2025-05-15T13:45:00Z">
          <w:pPr/>
        </w:pPrChange>
      </w:pPr>
      <w:del w:id="4542" w:author="AbbVie02no" w:date="2025-05-15T13:45:00Z">
        <w:r w:rsidRPr="009C5EFD">
          <w:rPr>
            <w:sz w:val="22"/>
            <w:szCs w:val="22"/>
          </w:rPr>
          <w:delText xml:space="preserve"> </w:delText>
        </w:r>
      </w:del>
    </w:p>
    <w:p w14:paraId="7460DF37" w14:textId="56407330" w:rsidR="000C7AC0" w:rsidRPr="00AB7697" w:rsidRDefault="00E453CD">
      <w:pPr>
        <w:keepNext/>
        <w:suppressAutoHyphens/>
        <w:rPr>
          <w:del w:id="4543" w:author="AbbVie02no" w:date="2025-05-15T13:45:00Z"/>
          <w:b/>
          <w:sz w:val="22"/>
          <w:szCs w:val="22"/>
        </w:rPr>
        <w:pPrChange w:id="4544" w:author="AbbVie02no" w:date="2025-05-15T13:45:00Z">
          <w:pPr>
            <w:jc w:val="center"/>
          </w:pPr>
        </w:pPrChange>
      </w:pPr>
      <w:del w:id="4545" w:author="AbbVie02no" w:date="2025-05-15T13:45:00Z">
        <w:r w:rsidRPr="00AB7697">
          <w:rPr>
            <w:b/>
            <w:sz w:val="22"/>
            <w:szCs w:val="22"/>
          </w:rPr>
          <w:delText>Tabell 2. Humiradosering for pasienter med</w:delText>
        </w:r>
        <w:r w:rsidRPr="00AB7697">
          <w:rPr>
            <w:sz w:val="22"/>
            <w:szCs w:val="22"/>
          </w:rPr>
          <w:delText xml:space="preserve"> </w:delText>
        </w:r>
        <w:r w:rsidRPr="00AB7697">
          <w:rPr>
            <w:b/>
            <w:sz w:val="22"/>
            <w:szCs w:val="22"/>
          </w:rPr>
          <w:delText>entesittrelatert artritt</w:delText>
        </w:r>
      </w:del>
    </w:p>
    <w:p w14:paraId="4360254F" w14:textId="018FE490" w:rsidR="000C7AC0" w:rsidRPr="00406E1B" w:rsidRDefault="000C7AC0">
      <w:pPr>
        <w:keepNext/>
        <w:suppressAutoHyphens/>
        <w:rPr>
          <w:del w:id="4546" w:author="AbbVie02no" w:date="2025-05-15T13:45:00Z"/>
          <w:szCs w:val="22"/>
        </w:rPr>
        <w:pPrChange w:id="4547" w:author="AbbVie02no" w:date="2025-05-15T13:45:00Z">
          <w:pPr>
            <w:jc w:val="center"/>
          </w:pPr>
        </w:pPrChange>
      </w:pPr>
    </w:p>
    <w:tbl>
      <w:tblPr>
        <w:tblW w:w="6795" w:type="dxa"/>
        <w:jc w:val="center"/>
        <w:tblLayout w:type="fixed"/>
        <w:tblLook w:val="04A0" w:firstRow="1" w:lastRow="0" w:firstColumn="1" w:lastColumn="0" w:noHBand="0" w:noVBand="1"/>
      </w:tblPr>
      <w:tblGrid>
        <w:gridCol w:w="3401"/>
        <w:gridCol w:w="3394"/>
      </w:tblGrid>
      <w:tr w:rsidR="004644D4" w14:paraId="6B1A17FA" w14:textId="01E00821" w:rsidTr="00875D02">
        <w:trPr>
          <w:tblHeader/>
          <w:jc w:val="center"/>
          <w:del w:id="4548" w:author="AbbVie02no" w:date="2025-05-15T13:45:00Z"/>
        </w:trPr>
        <w:tc>
          <w:tcPr>
            <w:tcW w:w="3401" w:type="dxa"/>
            <w:tcBorders>
              <w:top w:val="single" w:sz="4" w:space="0" w:color="auto"/>
              <w:left w:val="nil"/>
              <w:bottom w:val="single" w:sz="4" w:space="0" w:color="auto"/>
              <w:right w:val="nil"/>
            </w:tcBorders>
            <w:hideMark/>
          </w:tcPr>
          <w:p w14:paraId="5A8429EE" w14:textId="1F14FEF2" w:rsidR="000C7AC0" w:rsidRDefault="00E453CD">
            <w:pPr>
              <w:keepNext/>
              <w:suppressAutoHyphens/>
              <w:rPr>
                <w:del w:id="4549" w:author="AbbVie02no" w:date="2025-05-15T13:45:00Z"/>
                <w:b/>
                <w:sz w:val="22"/>
                <w:szCs w:val="22"/>
              </w:rPr>
              <w:pPrChange w:id="4550" w:author="AbbVie02no" w:date="2025-05-15T13:45:00Z">
                <w:pPr>
                  <w:pStyle w:val="TableLeft"/>
                  <w:jc w:val="center"/>
                </w:pPr>
              </w:pPrChange>
            </w:pPr>
            <w:del w:id="4551" w:author="AbbVie02no" w:date="2025-05-15T13:45:00Z">
              <w:r>
                <w:rPr>
                  <w:b/>
                  <w:sz w:val="22"/>
                  <w:szCs w:val="22"/>
                </w:rPr>
                <w:delText>Kroppsvekt</w:delText>
              </w:r>
            </w:del>
          </w:p>
        </w:tc>
        <w:tc>
          <w:tcPr>
            <w:tcW w:w="3394" w:type="dxa"/>
            <w:tcBorders>
              <w:top w:val="single" w:sz="4" w:space="0" w:color="auto"/>
              <w:left w:val="nil"/>
              <w:bottom w:val="single" w:sz="4" w:space="0" w:color="auto"/>
              <w:right w:val="nil"/>
            </w:tcBorders>
            <w:hideMark/>
          </w:tcPr>
          <w:p w14:paraId="1B496E53" w14:textId="2BC00DD9" w:rsidR="000C7AC0" w:rsidRDefault="00E453CD">
            <w:pPr>
              <w:keepNext/>
              <w:suppressAutoHyphens/>
              <w:rPr>
                <w:del w:id="4552" w:author="AbbVie02no" w:date="2025-05-15T13:45:00Z"/>
                <w:b/>
                <w:sz w:val="22"/>
                <w:szCs w:val="22"/>
              </w:rPr>
              <w:pPrChange w:id="4553" w:author="AbbVie02no" w:date="2025-05-15T13:45:00Z">
                <w:pPr>
                  <w:pStyle w:val="TableLeft"/>
                  <w:jc w:val="center"/>
                </w:pPr>
              </w:pPrChange>
            </w:pPr>
            <w:del w:id="4554" w:author="AbbVie02no" w:date="2025-05-15T13:45:00Z">
              <w:r>
                <w:rPr>
                  <w:b/>
                  <w:sz w:val="22"/>
                  <w:szCs w:val="22"/>
                </w:rPr>
                <w:delText>Dosering</w:delText>
              </w:r>
            </w:del>
          </w:p>
        </w:tc>
      </w:tr>
      <w:tr w:rsidR="004644D4" w14:paraId="34D99F49" w14:textId="6FE17F55" w:rsidTr="00875D02">
        <w:trPr>
          <w:tblHeader/>
          <w:jc w:val="center"/>
          <w:del w:id="4555" w:author="AbbVie02no" w:date="2025-05-15T13:45:00Z"/>
        </w:trPr>
        <w:tc>
          <w:tcPr>
            <w:tcW w:w="3401" w:type="dxa"/>
            <w:tcBorders>
              <w:top w:val="single" w:sz="4" w:space="0" w:color="auto"/>
              <w:left w:val="nil"/>
              <w:bottom w:val="single" w:sz="4" w:space="0" w:color="auto"/>
              <w:right w:val="nil"/>
            </w:tcBorders>
            <w:hideMark/>
          </w:tcPr>
          <w:p w14:paraId="6316CA01" w14:textId="63824A9C" w:rsidR="000C7AC0" w:rsidRDefault="00E453CD">
            <w:pPr>
              <w:keepNext/>
              <w:suppressAutoHyphens/>
              <w:rPr>
                <w:del w:id="4556" w:author="AbbVie02no" w:date="2025-05-15T13:45:00Z"/>
                <w:b/>
                <w:sz w:val="22"/>
                <w:szCs w:val="22"/>
              </w:rPr>
              <w:pPrChange w:id="4557" w:author="AbbVie02no" w:date="2025-05-15T13:45:00Z">
                <w:pPr>
                  <w:pStyle w:val="TableLeft"/>
                  <w:jc w:val="center"/>
                </w:pPr>
              </w:pPrChange>
            </w:pPr>
            <w:del w:id="4558" w:author="AbbVie02no" w:date="2025-05-15T13:45:00Z">
              <w:r>
                <w:rPr>
                  <w:sz w:val="22"/>
                  <w:szCs w:val="22"/>
                </w:rPr>
                <w:delText>15 kg til &lt; 30 kg</w:delText>
              </w:r>
            </w:del>
          </w:p>
        </w:tc>
        <w:tc>
          <w:tcPr>
            <w:tcW w:w="3394" w:type="dxa"/>
            <w:tcBorders>
              <w:top w:val="single" w:sz="4" w:space="0" w:color="auto"/>
              <w:left w:val="nil"/>
              <w:bottom w:val="single" w:sz="4" w:space="0" w:color="auto"/>
              <w:right w:val="nil"/>
            </w:tcBorders>
            <w:hideMark/>
          </w:tcPr>
          <w:p w14:paraId="7C506FB0" w14:textId="61616160" w:rsidR="000C7AC0" w:rsidRDefault="00E453CD">
            <w:pPr>
              <w:keepNext/>
              <w:suppressAutoHyphens/>
              <w:rPr>
                <w:del w:id="4559" w:author="AbbVie02no" w:date="2025-05-15T13:45:00Z"/>
                <w:b/>
                <w:sz w:val="22"/>
                <w:szCs w:val="22"/>
              </w:rPr>
              <w:pPrChange w:id="4560" w:author="AbbVie02no" w:date="2025-05-15T13:45:00Z">
                <w:pPr>
                  <w:pStyle w:val="TableLeft"/>
                  <w:jc w:val="center"/>
                </w:pPr>
              </w:pPrChange>
            </w:pPr>
            <w:del w:id="4561" w:author="AbbVie02no" w:date="2025-05-15T13:45:00Z">
              <w:r>
                <w:rPr>
                  <w:sz w:val="22"/>
                  <w:szCs w:val="22"/>
                </w:rPr>
                <w:delText>20 mg annenhver uke</w:delText>
              </w:r>
            </w:del>
          </w:p>
        </w:tc>
      </w:tr>
      <w:tr w:rsidR="004644D4" w14:paraId="3B9BA95A" w14:textId="711FF19B" w:rsidTr="00875D02">
        <w:trPr>
          <w:tblHeader/>
          <w:jc w:val="center"/>
          <w:del w:id="4562" w:author="AbbVie02no" w:date="2025-05-15T13:45:00Z"/>
        </w:trPr>
        <w:tc>
          <w:tcPr>
            <w:tcW w:w="3401" w:type="dxa"/>
            <w:tcBorders>
              <w:top w:val="single" w:sz="4" w:space="0" w:color="auto"/>
              <w:left w:val="nil"/>
              <w:bottom w:val="single" w:sz="4" w:space="0" w:color="auto"/>
              <w:right w:val="nil"/>
            </w:tcBorders>
            <w:hideMark/>
          </w:tcPr>
          <w:p w14:paraId="1BC0802C" w14:textId="55E33E6E" w:rsidR="000C7AC0" w:rsidRDefault="00E453CD">
            <w:pPr>
              <w:keepNext/>
              <w:suppressAutoHyphens/>
              <w:rPr>
                <w:del w:id="4563" w:author="AbbVie02no" w:date="2025-05-15T13:45:00Z"/>
                <w:b/>
                <w:sz w:val="22"/>
                <w:szCs w:val="22"/>
              </w:rPr>
              <w:pPrChange w:id="4564" w:author="AbbVie02no" w:date="2025-05-15T13:45:00Z">
                <w:pPr>
                  <w:pStyle w:val="TableLeft"/>
                  <w:jc w:val="center"/>
                </w:pPr>
              </w:pPrChange>
            </w:pPr>
            <w:del w:id="4565" w:author="AbbVie02no" w:date="2025-05-15T13:45:00Z">
              <w:r>
                <w:rPr>
                  <w:sz w:val="22"/>
                  <w:szCs w:val="22"/>
                </w:rPr>
                <w:delText>≥ 30 kg</w:delText>
              </w:r>
            </w:del>
          </w:p>
        </w:tc>
        <w:tc>
          <w:tcPr>
            <w:tcW w:w="3394" w:type="dxa"/>
            <w:tcBorders>
              <w:top w:val="single" w:sz="4" w:space="0" w:color="auto"/>
              <w:left w:val="nil"/>
              <w:bottom w:val="single" w:sz="4" w:space="0" w:color="auto"/>
              <w:right w:val="nil"/>
            </w:tcBorders>
            <w:hideMark/>
          </w:tcPr>
          <w:p w14:paraId="4301EADB" w14:textId="4926D0AA" w:rsidR="000C7AC0" w:rsidRDefault="00E453CD">
            <w:pPr>
              <w:keepNext/>
              <w:suppressAutoHyphens/>
              <w:rPr>
                <w:del w:id="4566" w:author="AbbVie02no" w:date="2025-05-15T13:45:00Z"/>
                <w:b/>
                <w:sz w:val="22"/>
                <w:szCs w:val="22"/>
              </w:rPr>
              <w:pPrChange w:id="4567" w:author="AbbVie02no" w:date="2025-05-15T13:45:00Z">
                <w:pPr>
                  <w:pStyle w:val="TableLeft"/>
                  <w:jc w:val="center"/>
                </w:pPr>
              </w:pPrChange>
            </w:pPr>
            <w:del w:id="4568" w:author="AbbVie02no" w:date="2025-05-15T13:45:00Z">
              <w:r>
                <w:rPr>
                  <w:sz w:val="22"/>
                  <w:szCs w:val="22"/>
                </w:rPr>
                <w:delText>40 mg annenhver uke</w:delText>
              </w:r>
            </w:del>
          </w:p>
        </w:tc>
      </w:tr>
    </w:tbl>
    <w:p w14:paraId="5DBCBAB5" w14:textId="7184BE11" w:rsidR="000C7AC0" w:rsidRPr="009C5EFD" w:rsidRDefault="000C7AC0">
      <w:pPr>
        <w:keepNext/>
        <w:suppressAutoHyphens/>
        <w:rPr>
          <w:del w:id="4569" w:author="AbbVie02no" w:date="2025-05-15T13:45:00Z"/>
          <w:sz w:val="22"/>
          <w:szCs w:val="22"/>
        </w:rPr>
        <w:pPrChange w:id="4570" w:author="AbbVie02no" w:date="2025-05-15T13:45:00Z">
          <w:pPr>
            <w:keepNext/>
          </w:pPr>
        </w:pPrChange>
      </w:pPr>
    </w:p>
    <w:p w14:paraId="2C53A9DE" w14:textId="69C47ADA" w:rsidR="000C7AC0" w:rsidRDefault="00E453CD">
      <w:pPr>
        <w:keepNext/>
        <w:suppressAutoHyphens/>
        <w:rPr>
          <w:del w:id="4571" w:author="AbbVie02no" w:date="2025-05-15T13:45:00Z"/>
          <w:sz w:val="22"/>
          <w:szCs w:val="22"/>
        </w:rPr>
        <w:pPrChange w:id="4572" w:author="AbbVie02no" w:date="2025-05-15T13:45:00Z">
          <w:pPr/>
        </w:pPrChange>
      </w:pPr>
      <w:del w:id="4573" w:author="AbbVie02no" w:date="2025-05-15T13:45:00Z">
        <w:r w:rsidRPr="009C5EFD">
          <w:rPr>
            <w:sz w:val="22"/>
            <w:szCs w:val="22"/>
          </w:rPr>
          <w:delText xml:space="preserve">Humira er ikke </w:delText>
        </w:r>
        <w:r>
          <w:rPr>
            <w:sz w:val="22"/>
            <w:szCs w:val="22"/>
          </w:rPr>
          <w:delText>undersøkt</w:delText>
        </w:r>
        <w:r w:rsidRPr="009C5EFD">
          <w:rPr>
            <w:sz w:val="22"/>
            <w:szCs w:val="22"/>
          </w:rPr>
          <w:delText xml:space="preserve"> hos pasienter </w:delText>
        </w:r>
        <w:r w:rsidR="003730C7">
          <w:rPr>
            <w:sz w:val="22"/>
            <w:szCs w:val="22"/>
          </w:rPr>
          <w:delText xml:space="preserve">under 6 år </w:delText>
        </w:r>
        <w:r w:rsidRPr="009C5EFD">
          <w:rPr>
            <w:sz w:val="22"/>
            <w:szCs w:val="22"/>
          </w:rPr>
          <w:delText>med entesittrelatert artritt.</w:delText>
        </w:r>
      </w:del>
    </w:p>
    <w:p w14:paraId="20A863A5" w14:textId="31A9DEE7" w:rsidR="006C4775" w:rsidRDefault="006C4775">
      <w:pPr>
        <w:keepNext/>
        <w:suppressAutoHyphens/>
        <w:rPr>
          <w:del w:id="4574" w:author="AbbVie02no" w:date="2025-05-15T13:45:00Z"/>
          <w:sz w:val="22"/>
          <w:szCs w:val="22"/>
        </w:rPr>
        <w:pPrChange w:id="4575" w:author="AbbVie02no" w:date="2025-05-15T13:45:00Z">
          <w:pPr/>
        </w:pPrChange>
      </w:pPr>
    </w:p>
    <w:p w14:paraId="77037B0B" w14:textId="0F887677" w:rsidR="006C4775" w:rsidRPr="009C5EFD" w:rsidRDefault="00E453CD">
      <w:pPr>
        <w:keepNext/>
        <w:suppressAutoHyphens/>
        <w:rPr>
          <w:del w:id="4576" w:author="AbbVie02no" w:date="2025-05-15T13:45:00Z"/>
          <w:sz w:val="22"/>
          <w:szCs w:val="22"/>
        </w:rPr>
        <w:pPrChange w:id="4577" w:author="AbbVie02no" w:date="2025-05-15T13:45:00Z">
          <w:pPr/>
        </w:pPrChange>
      </w:pPr>
      <w:del w:id="4578" w:author="AbbVie02no" w:date="2025-05-15T13:45:00Z">
        <w:r>
          <w:rPr>
            <w:sz w:val="22"/>
            <w:szCs w:val="22"/>
          </w:rPr>
          <w:delText>Humira kan være tilgjengelig i andre styrker og/eller formuleringer avhengig av individuelle behandlingsbehov.</w:delText>
        </w:r>
      </w:del>
    </w:p>
    <w:p w14:paraId="5B94477C" w14:textId="01355C12" w:rsidR="000C7AC0" w:rsidRDefault="000C7AC0">
      <w:pPr>
        <w:keepNext/>
        <w:suppressAutoHyphens/>
        <w:rPr>
          <w:del w:id="4579" w:author="AbbVie02no" w:date="2025-05-15T13:45:00Z"/>
          <w:sz w:val="22"/>
          <w:szCs w:val="22"/>
        </w:rPr>
        <w:pPrChange w:id="4580" w:author="AbbVie02no" w:date="2025-05-15T13:45:00Z">
          <w:pPr/>
        </w:pPrChange>
      </w:pPr>
    </w:p>
    <w:p w14:paraId="62874EDD" w14:textId="34921584" w:rsidR="002F0483" w:rsidRPr="001F5D4B" w:rsidRDefault="00E453CD">
      <w:pPr>
        <w:keepNext/>
        <w:suppressAutoHyphens/>
        <w:rPr>
          <w:del w:id="4581" w:author="AbbVie02no" w:date="2025-05-15T13:45:00Z"/>
          <w:i/>
          <w:sz w:val="22"/>
          <w:szCs w:val="22"/>
        </w:rPr>
        <w:pPrChange w:id="4582" w:author="AbbVie02no" w:date="2025-05-15T13:45:00Z">
          <w:pPr>
            <w:keepNext/>
          </w:pPr>
        </w:pPrChange>
      </w:pPr>
      <w:del w:id="4583" w:author="AbbVie02no" w:date="2025-05-15T13:45:00Z">
        <w:r w:rsidRPr="001F5D4B">
          <w:rPr>
            <w:i/>
            <w:sz w:val="22"/>
            <w:szCs w:val="22"/>
          </w:rPr>
          <w:delText>Psoriasisartritt og aksial spondylartritt inkludert ankyloserende spondylitt</w:delText>
        </w:r>
      </w:del>
    </w:p>
    <w:p w14:paraId="7BE966EC" w14:textId="635033F4" w:rsidR="002F0483" w:rsidRPr="007F67EE" w:rsidRDefault="002F0483">
      <w:pPr>
        <w:keepNext/>
        <w:suppressAutoHyphens/>
        <w:rPr>
          <w:del w:id="4584" w:author="AbbVie02no" w:date="2025-05-15T13:45:00Z"/>
          <w:sz w:val="22"/>
          <w:szCs w:val="22"/>
        </w:rPr>
        <w:pPrChange w:id="4585" w:author="AbbVie02no" w:date="2025-05-15T13:45:00Z">
          <w:pPr>
            <w:keepNext/>
          </w:pPr>
        </w:pPrChange>
      </w:pPr>
    </w:p>
    <w:p w14:paraId="441E687D" w14:textId="31991F8A" w:rsidR="002F0483" w:rsidRPr="009C5EFD" w:rsidRDefault="00E453CD">
      <w:pPr>
        <w:keepNext/>
        <w:suppressAutoHyphens/>
        <w:rPr>
          <w:del w:id="4586" w:author="AbbVie02no" w:date="2025-05-15T13:45:00Z"/>
          <w:sz w:val="22"/>
          <w:szCs w:val="22"/>
        </w:rPr>
        <w:pPrChange w:id="4587" w:author="AbbVie02no" w:date="2025-05-15T13:45:00Z">
          <w:pPr>
            <w:suppressAutoHyphens/>
          </w:pPr>
        </w:pPrChange>
      </w:pPr>
      <w:del w:id="4588" w:author="AbbVie02no" w:date="2025-05-15T13:45:00Z">
        <w:r w:rsidRPr="00193D76">
          <w:rPr>
            <w:sz w:val="22"/>
            <w:szCs w:val="22"/>
          </w:rPr>
          <w:delText xml:space="preserve">Det er </w:delText>
        </w:r>
        <w:r w:rsidRPr="002D0790">
          <w:rPr>
            <w:sz w:val="22"/>
            <w:szCs w:val="22"/>
          </w:rPr>
          <w:delText xml:space="preserve">ikke relevant å bruke Humira </w:delText>
        </w:r>
        <w:r w:rsidR="00003C89">
          <w:rPr>
            <w:sz w:val="22"/>
            <w:szCs w:val="22"/>
          </w:rPr>
          <w:delText>i</w:delText>
        </w:r>
        <w:r w:rsidRPr="002D0790">
          <w:rPr>
            <w:sz w:val="22"/>
            <w:szCs w:val="22"/>
          </w:rPr>
          <w:delText xml:space="preserve"> den pediatriske populasjonen ved indikasjonene ankyloserende spondylitt og psoriasisartritt.</w:delText>
        </w:r>
      </w:del>
    </w:p>
    <w:p w14:paraId="5D9B6DE2" w14:textId="5A5BBF5B" w:rsidR="00B61B62" w:rsidRPr="009C5EFD" w:rsidRDefault="00B61B62">
      <w:pPr>
        <w:keepNext/>
        <w:suppressAutoHyphens/>
        <w:rPr>
          <w:del w:id="4589" w:author="AbbVie02no" w:date="2025-05-15T13:45:00Z"/>
          <w:sz w:val="22"/>
          <w:szCs w:val="22"/>
        </w:rPr>
        <w:pPrChange w:id="4590" w:author="AbbVie02no" w:date="2025-05-15T13:45:00Z">
          <w:pPr/>
        </w:pPrChange>
      </w:pPr>
    </w:p>
    <w:p w14:paraId="2ED35536" w14:textId="14E5A254" w:rsidR="000C7AC0" w:rsidRPr="007F67EE" w:rsidRDefault="00E453CD">
      <w:pPr>
        <w:keepNext/>
        <w:suppressAutoHyphens/>
        <w:rPr>
          <w:del w:id="4591" w:author="AbbVie02no" w:date="2025-05-15T13:45:00Z"/>
          <w:sz w:val="22"/>
          <w:szCs w:val="22"/>
          <w:u w:val="single"/>
        </w:rPr>
        <w:pPrChange w:id="4592" w:author="AbbVie02no" w:date="2025-05-15T13:45:00Z">
          <w:pPr>
            <w:keepNext/>
          </w:pPr>
        </w:pPrChange>
      </w:pPr>
      <w:del w:id="4593" w:author="AbbVie02no" w:date="2025-05-15T13:45:00Z">
        <w:r w:rsidRPr="001F5D4B">
          <w:rPr>
            <w:i/>
            <w:sz w:val="22"/>
            <w:szCs w:val="22"/>
          </w:rPr>
          <w:delText>Pediatrisk plakkpsoriasis</w:delText>
        </w:r>
      </w:del>
    </w:p>
    <w:p w14:paraId="7C78D7D9" w14:textId="48912B09" w:rsidR="000C7AC0" w:rsidRPr="00193D76" w:rsidRDefault="000C7AC0">
      <w:pPr>
        <w:keepNext/>
        <w:suppressAutoHyphens/>
        <w:rPr>
          <w:del w:id="4594" w:author="AbbVie02no" w:date="2025-05-15T13:45:00Z"/>
          <w:sz w:val="22"/>
          <w:szCs w:val="22"/>
        </w:rPr>
        <w:pPrChange w:id="4595" w:author="AbbVie02no" w:date="2025-05-15T13:45:00Z">
          <w:pPr>
            <w:keepNext/>
          </w:pPr>
        </w:pPrChange>
      </w:pPr>
    </w:p>
    <w:p w14:paraId="42FD9ADD" w14:textId="4963CFCF" w:rsidR="000C7AC0" w:rsidRDefault="00E453CD">
      <w:pPr>
        <w:keepNext/>
        <w:suppressAutoHyphens/>
        <w:rPr>
          <w:del w:id="4596" w:author="AbbVie02no" w:date="2025-05-15T13:45:00Z"/>
          <w:sz w:val="22"/>
          <w:szCs w:val="22"/>
        </w:rPr>
        <w:pPrChange w:id="4597" w:author="AbbVie02no" w:date="2025-05-15T13:45:00Z">
          <w:pPr/>
        </w:pPrChange>
      </w:pPr>
      <w:del w:id="4598" w:author="AbbVie02no" w:date="2025-05-15T13:45:00Z">
        <w:r>
          <w:rPr>
            <w:sz w:val="22"/>
          </w:rPr>
          <w:delText>Den anbefalte Humiradoseringen for pasienter fra 4 til 17</w:delText>
        </w:r>
        <w:r w:rsidR="007C67B0">
          <w:rPr>
            <w:sz w:val="22"/>
          </w:rPr>
          <w:delText> </w:delText>
        </w:r>
        <w:r>
          <w:rPr>
            <w:sz w:val="22"/>
          </w:rPr>
          <w:delText>år med plakkpsoriasis er basert på kroppsvekt (</w:delText>
        </w:r>
        <w:r w:rsidR="0036529C">
          <w:rPr>
            <w:sz w:val="22"/>
          </w:rPr>
          <w:delText>t</w:delText>
        </w:r>
        <w:r>
          <w:rPr>
            <w:sz w:val="22"/>
          </w:rPr>
          <w:delText xml:space="preserve">abell 3). </w:delText>
        </w:r>
        <w:r>
          <w:rPr>
            <w:sz w:val="22"/>
            <w:szCs w:val="22"/>
          </w:rPr>
          <w:delText xml:space="preserve">Humira administreres </w:delText>
        </w:r>
        <w:r w:rsidR="006C4775">
          <w:rPr>
            <w:sz w:val="22"/>
            <w:szCs w:val="22"/>
          </w:rPr>
          <w:delText xml:space="preserve">som </w:delText>
        </w:r>
        <w:r>
          <w:rPr>
            <w:sz w:val="22"/>
            <w:szCs w:val="22"/>
          </w:rPr>
          <w:delText>subkutan</w:delText>
        </w:r>
        <w:r w:rsidR="006C4775">
          <w:rPr>
            <w:sz w:val="22"/>
            <w:szCs w:val="22"/>
          </w:rPr>
          <w:delText xml:space="preserve"> injeksjon</w:delText>
        </w:r>
        <w:r>
          <w:rPr>
            <w:sz w:val="22"/>
            <w:szCs w:val="22"/>
          </w:rPr>
          <w:delText>.</w:delText>
        </w:r>
      </w:del>
    </w:p>
    <w:p w14:paraId="162AF405" w14:textId="15281EEE" w:rsidR="000C7AC0" w:rsidRPr="00AF70AD" w:rsidRDefault="000C7AC0">
      <w:pPr>
        <w:keepNext/>
        <w:suppressAutoHyphens/>
        <w:rPr>
          <w:del w:id="4599" w:author="AbbVie02no" w:date="2025-05-15T13:45:00Z"/>
          <w:szCs w:val="22"/>
        </w:rPr>
        <w:pPrChange w:id="4600" w:author="AbbVie02no" w:date="2025-05-15T13:45:00Z">
          <w:pPr/>
        </w:pPrChange>
      </w:pPr>
    </w:p>
    <w:p w14:paraId="08E00E3B" w14:textId="46613DEB" w:rsidR="000C7AC0" w:rsidRPr="00AB7697" w:rsidRDefault="00E453CD">
      <w:pPr>
        <w:keepNext/>
        <w:suppressAutoHyphens/>
        <w:rPr>
          <w:del w:id="4601" w:author="AbbVie02no" w:date="2025-05-15T13:45:00Z"/>
          <w:b/>
          <w:sz w:val="22"/>
          <w:szCs w:val="22"/>
        </w:rPr>
        <w:pPrChange w:id="4602" w:author="AbbVie02no" w:date="2025-05-15T13:45:00Z">
          <w:pPr>
            <w:keepNext/>
            <w:jc w:val="center"/>
          </w:pPr>
        </w:pPrChange>
      </w:pPr>
      <w:del w:id="4603" w:author="AbbVie02no" w:date="2025-05-15T13:45:00Z">
        <w:r w:rsidRPr="00AB7697">
          <w:rPr>
            <w:b/>
            <w:sz w:val="22"/>
            <w:szCs w:val="22"/>
          </w:rPr>
          <w:delText>Tabell 3. Humiradosering for pediatriske pasienter med plakkpsoriasis</w:delText>
        </w:r>
      </w:del>
    </w:p>
    <w:p w14:paraId="168E9992" w14:textId="1B9148AC" w:rsidR="000C7AC0" w:rsidRPr="00536B95" w:rsidRDefault="000C7AC0">
      <w:pPr>
        <w:keepNext/>
        <w:suppressAutoHyphens/>
        <w:rPr>
          <w:del w:id="4604" w:author="AbbVie02no" w:date="2025-05-15T13:45:00Z"/>
          <w:szCs w:val="22"/>
        </w:rPr>
        <w:pPrChange w:id="4605" w:author="AbbVie02no" w:date="2025-05-15T13:45:00Z">
          <w:pPr>
            <w:keepNext/>
          </w:pPr>
        </w:pPrChange>
      </w:pPr>
    </w:p>
    <w:tbl>
      <w:tblPr>
        <w:tblW w:w="6795" w:type="dxa"/>
        <w:jc w:val="center"/>
        <w:tblLayout w:type="fixed"/>
        <w:tblLook w:val="04A0" w:firstRow="1" w:lastRow="0" w:firstColumn="1" w:lastColumn="0" w:noHBand="0" w:noVBand="1"/>
      </w:tblPr>
      <w:tblGrid>
        <w:gridCol w:w="3401"/>
        <w:gridCol w:w="3394"/>
      </w:tblGrid>
      <w:tr w:rsidR="004644D4" w14:paraId="7D80B45A" w14:textId="655AF1F0" w:rsidTr="00875D02">
        <w:trPr>
          <w:tblHeader/>
          <w:jc w:val="center"/>
          <w:del w:id="4606" w:author="AbbVie02no" w:date="2025-05-15T13:45:00Z"/>
        </w:trPr>
        <w:tc>
          <w:tcPr>
            <w:tcW w:w="3401" w:type="dxa"/>
            <w:tcBorders>
              <w:top w:val="single" w:sz="4" w:space="0" w:color="auto"/>
              <w:left w:val="nil"/>
              <w:bottom w:val="single" w:sz="4" w:space="0" w:color="auto"/>
              <w:right w:val="nil"/>
            </w:tcBorders>
            <w:hideMark/>
          </w:tcPr>
          <w:p w14:paraId="77A628FD" w14:textId="5234F42B" w:rsidR="000C7AC0" w:rsidRDefault="00E453CD">
            <w:pPr>
              <w:keepNext/>
              <w:suppressAutoHyphens/>
              <w:rPr>
                <w:del w:id="4607" w:author="AbbVie02no" w:date="2025-05-15T13:45:00Z"/>
                <w:b/>
                <w:sz w:val="22"/>
                <w:szCs w:val="22"/>
              </w:rPr>
              <w:pPrChange w:id="4608" w:author="AbbVie02no" w:date="2025-05-15T13:45:00Z">
                <w:pPr>
                  <w:pStyle w:val="TableLeft"/>
                  <w:jc w:val="center"/>
                </w:pPr>
              </w:pPrChange>
            </w:pPr>
            <w:del w:id="4609" w:author="AbbVie02no" w:date="2025-05-15T13:45:00Z">
              <w:r>
                <w:rPr>
                  <w:b/>
                  <w:sz w:val="22"/>
                  <w:szCs w:val="22"/>
                </w:rPr>
                <w:delText>Kroppsvekt</w:delText>
              </w:r>
            </w:del>
          </w:p>
        </w:tc>
        <w:tc>
          <w:tcPr>
            <w:tcW w:w="3394" w:type="dxa"/>
            <w:tcBorders>
              <w:top w:val="single" w:sz="4" w:space="0" w:color="auto"/>
              <w:left w:val="nil"/>
              <w:bottom w:val="single" w:sz="4" w:space="0" w:color="auto"/>
              <w:right w:val="nil"/>
            </w:tcBorders>
            <w:hideMark/>
          </w:tcPr>
          <w:p w14:paraId="3C7F5F88" w14:textId="0152ED01" w:rsidR="000C7AC0" w:rsidRDefault="00E453CD">
            <w:pPr>
              <w:keepNext/>
              <w:suppressAutoHyphens/>
              <w:rPr>
                <w:del w:id="4610" w:author="AbbVie02no" w:date="2025-05-15T13:45:00Z"/>
                <w:b/>
                <w:sz w:val="22"/>
                <w:szCs w:val="22"/>
              </w:rPr>
              <w:pPrChange w:id="4611" w:author="AbbVie02no" w:date="2025-05-15T13:45:00Z">
                <w:pPr>
                  <w:pStyle w:val="TableLeft"/>
                  <w:jc w:val="center"/>
                </w:pPr>
              </w:pPrChange>
            </w:pPr>
            <w:del w:id="4612" w:author="AbbVie02no" w:date="2025-05-15T13:45:00Z">
              <w:r>
                <w:rPr>
                  <w:b/>
                  <w:sz w:val="22"/>
                  <w:szCs w:val="22"/>
                </w:rPr>
                <w:delText>Dosering</w:delText>
              </w:r>
            </w:del>
          </w:p>
        </w:tc>
      </w:tr>
      <w:tr w:rsidR="004644D4" w14:paraId="6CEB8FCE" w14:textId="4009B60B" w:rsidTr="00875D02">
        <w:trPr>
          <w:tblHeader/>
          <w:jc w:val="center"/>
          <w:del w:id="4613" w:author="AbbVie02no" w:date="2025-05-15T13:45:00Z"/>
        </w:trPr>
        <w:tc>
          <w:tcPr>
            <w:tcW w:w="3401" w:type="dxa"/>
            <w:tcBorders>
              <w:top w:val="single" w:sz="4" w:space="0" w:color="auto"/>
              <w:left w:val="nil"/>
              <w:bottom w:val="single" w:sz="4" w:space="0" w:color="auto"/>
              <w:right w:val="nil"/>
            </w:tcBorders>
            <w:hideMark/>
          </w:tcPr>
          <w:p w14:paraId="4D93D9A1" w14:textId="45A20775" w:rsidR="000C7AC0" w:rsidRDefault="00E453CD">
            <w:pPr>
              <w:keepNext/>
              <w:suppressAutoHyphens/>
              <w:rPr>
                <w:del w:id="4614" w:author="AbbVie02no" w:date="2025-05-15T13:45:00Z"/>
                <w:b/>
                <w:sz w:val="22"/>
                <w:szCs w:val="22"/>
              </w:rPr>
              <w:pPrChange w:id="4615" w:author="AbbVie02no" w:date="2025-05-15T13:45:00Z">
                <w:pPr>
                  <w:pStyle w:val="TableLeft"/>
                  <w:jc w:val="center"/>
                </w:pPr>
              </w:pPrChange>
            </w:pPr>
            <w:del w:id="4616" w:author="AbbVie02no" w:date="2025-05-15T13:45:00Z">
              <w:r>
                <w:rPr>
                  <w:sz w:val="22"/>
                  <w:szCs w:val="22"/>
                </w:rPr>
                <w:delText>15 kg til &lt; 30 kg</w:delText>
              </w:r>
            </w:del>
          </w:p>
        </w:tc>
        <w:tc>
          <w:tcPr>
            <w:tcW w:w="3394" w:type="dxa"/>
            <w:tcBorders>
              <w:top w:val="single" w:sz="4" w:space="0" w:color="auto"/>
              <w:left w:val="nil"/>
              <w:bottom w:val="single" w:sz="4" w:space="0" w:color="auto"/>
              <w:right w:val="nil"/>
            </w:tcBorders>
            <w:hideMark/>
          </w:tcPr>
          <w:p w14:paraId="3C10D5EC" w14:textId="2C7C8511" w:rsidR="000C7AC0" w:rsidRPr="00BA33D6" w:rsidRDefault="00E453CD">
            <w:pPr>
              <w:keepNext/>
              <w:suppressAutoHyphens/>
              <w:rPr>
                <w:del w:id="4617" w:author="AbbVie02no" w:date="2025-05-15T13:45:00Z"/>
                <w:b/>
                <w:sz w:val="22"/>
                <w:szCs w:val="22"/>
              </w:rPr>
              <w:pPrChange w:id="4618" w:author="AbbVie02no" w:date="2025-05-15T13:45:00Z">
                <w:pPr>
                  <w:pStyle w:val="TableLeft"/>
                  <w:jc w:val="center"/>
                </w:pPr>
              </w:pPrChange>
            </w:pPr>
            <w:del w:id="4619" w:author="AbbVie02no" w:date="2025-05-15T13:45:00Z">
              <w:r w:rsidRPr="00BA33D6">
                <w:rPr>
                  <w:sz w:val="22"/>
                  <w:szCs w:val="22"/>
                </w:rPr>
                <w:delText>Startdose på 20 mg, etterfulgt av 20 mg gitt annenhver uke</w:delText>
              </w:r>
              <w:r>
                <w:rPr>
                  <w:sz w:val="22"/>
                  <w:szCs w:val="22"/>
                </w:rPr>
                <w:delText xml:space="preserve"> fra én uke etter startdosen</w:delText>
              </w:r>
            </w:del>
          </w:p>
        </w:tc>
      </w:tr>
      <w:tr w:rsidR="004644D4" w14:paraId="2945469F" w14:textId="463E9291" w:rsidTr="00875D02">
        <w:trPr>
          <w:tblHeader/>
          <w:jc w:val="center"/>
          <w:del w:id="4620" w:author="AbbVie02no" w:date="2025-05-15T13:45:00Z"/>
        </w:trPr>
        <w:tc>
          <w:tcPr>
            <w:tcW w:w="3401" w:type="dxa"/>
            <w:tcBorders>
              <w:top w:val="single" w:sz="4" w:space="0" w:color="auto"/>
              <w:left w:val="nil"/>
              <w:bottom w:val="single" w:sz="4" w:space="0" w:color="auto"/>
              <w:right w:val="nil"/>
            </w:tcBorders>
            <w:hideMark/>
          </w:tcPr>
          <w:p w14:paraId="23F8C035" w14:textId="4FFBD26F" w:rsidR="000C7AC0" w:rsidRPr="00BA33D6" w:rsidRDefault="00E453CD">
            <w:pPr>
              <w:keepNext/>
              <w:suppressAutoHyphens/>
              <w:rPr>
                <w:del w:id="4621" w:author="AbbVie02no" w:date="2025-05-15T13:45:00Z"/>
                <w:b/>
                <w:sz w:val="22"/>
                <w:szCs w:val="22"/>
              </w:rPr>
              <w:pPrChange w:id="4622" w:author="AbbVie02no" w:date="2025-05-15T13:45:00Z">
                <w:pPr>
                  <w:pStyle w:val="TableLeft"/>
                  <w:jc w:val="center"/>
                </w:pPr>
              </w:pPrChange>
            </w:pPr>
            <w:del w:id="4623" w:author="AbbVie02no" w:date="2025-05-15T13:45:00Z">
              <w:r w:rsidRPr="00BA33D6">
                <w:rPr>
                  <w:sz w:val="22"/>
                  <w:szCs w:val="22"/>
                </w:rPr>
                <w:delText>≥ 30 kg</w:delText>
              </w:r>
            </w:del>
          </w:p>
        </w:tc>
        <w:tc>
          <w:tcPr>
            <w:tcW w:w="3394" w:type="dxa"/>
            <w:tcBorders>
              <w:top w:val="single" w:sz="4" w:space="0" w:color="auto"/>
              <w:left w:val="nil"/>
              <w:bottom w:val="single" w:sz="4" w:space="0" w:color="auto"/>
              <w:right w:val="nil"/>
            </w:tcBorders>
            <w:hideMark/>
          </w:tcPr>
          <w:p w14:paraId="18F27A29" w14:textId="706AA4BB" w:rsidR="000C7AC0" w:rsidRPr="00BA33D6" w:rsidRDefault="00E453CD">
            <w:pPr>
              <w:keepNext/>
              <w:suppressAutoHyphens/>
              <w:rPr>
                <w:del w:id="4624" w:author="AbbVie02no" w:date="2025-05-15T13:45:00Z"/>
                <w:b/>
                <w:sz w:val="22"/>
                <w:szCs w:val="22"/>
              </w:rPr>
              <w:pPrChange w:id="4625" w:author="AbbVie02no" w:date="2025-05-15T13:45:00Z">
                <w:pPr>
                  <w:pStyle w:val="TableLeft"/>
                  <w:jc w:val="center"/>
                </w:pPr>
              </w:pPrChange>
            </w:pPr>
            <w:del w:id="4626" w:author="AbbVie02no" w:date="2025-05-15T13:45:00Z">
              <w:r w:rsidRPr="00536B95">
                <w:rPr>
                  <w:sz w:val="22"/>
                  <w:szCs w:val="22"/>
                </w:rPr>
                <w:delText>S</w:delText>
              </w:r>
              <w:r>
                <w:rPr>
                  <w:sz w:val="22"/>
                  <w:szCs w:val="22"/>
                </w:rPr>
                <w:delText>tartdose på 40 mg, etterfulgt av 4</w:delText>
              </w:r>
              <w:r w:rsidRPr="00536B95">
                <w:rPr>
                  <w:sz w:val="22"/>
                  <w:szCs w:val="22"/>
                </w:rPr>
                <w:delText xml:space="preserve">0 mg gitt annenhver uke fra </w:delText>
              </w:r>
              <w:r>
                <w:rPr>
                  <w:sz w:val="22"/>
                  <w:szCs w:val="22"/>
                </w:rPr>
                <w:delText>én uke etter startdosen</w:delText>
              </w:r>
            </w:del>
          </w:p>
        </w:tc>
      </w:tr>
    </w:tbl>
    <w:p w14:paraId="61B2FF6D" w14:textId="6989AF99" w:rsidR="000C7AC0" w:rsidRDefault="000C7AC0">
      <w:pPr>
        <w:keepNext/>
        <w:suppressAutoHyphens/>
        <w:rPr>
          <w:del w:id="4627" w:author="AbbVie02no" w:date="2025-05-15T13:45:00Z"/>
          <w:sz w:val="22"/>
          <w:szCs w:val="22"/>
        </w:rPr>
        <w:pPrChange w:id="4628" w:author="AbbVie02no" w:date="2025-05-15T13:45:00Z">
          <w:pPr>
            <w:keepNext/>
          </w:pPr>
        </w:pPrChange>
      </w:pPr>
    </w:p>
    <w:p w14:paraId="2AFDE53F" w14:textId="5C1BC596" w:rsidR="000C7AC0" w:rsidRPr="009C5EFD" w:rsidRDefault="00E453CD">
      <w:pPr>
        <w:keepNext/>
        <w:suppressAutoHyphens/>
        <w:rPr>
          <w:del w:id="4629" w:author="AbbVie02no" w:date="2025-05-15T13:45:00Z"/>
          <w:sz w:val="22"/>
          <w:szCs w:val="22"/>
        </w:rPr>
        <w:pPrChange w:id="4630" w:author="AbbVie02no" w:date="2025-05-15T13:45:00Z">
          <w:pPr>
            <w:keepNext/>
          </w:pPr>
        </w:pPrChange>
      </w:pPr>
      <w:del w:id="4631" w:author="AbbVie02no" w:date="2025-05-15T13:45:00Z">
        <w:r w:rsidRPr="009C5EFD">
          <w:rPr>
            <w:sz w:val="22"/>
            <w:szCs w:val="22"/>
          </w:rPr>
          <w:delText>Fortsettelse av behandlingen hos pasienter som ikke responderer innen 16 uker, bør vurderes nøye.</w:delText>
        </w:r>
      </w:del>
    </w:p>
    <w:p w14:paraId="695063E5" w14:textId="3077E269" w:rsidR="000C7AC0" w:rsidRPr="009C5EFD" w:rsidRDefault="000C7AC0">
      <w:pPr>
        <w:keepNext/>
        <w:suppressAutoHyphens/>
        <w:rPr>
          <w:del w:id="4632" w:author="AbbVie02no" w:date="2025-05-15T13:45:00Z"/>
          <w:sz w:val="22"/>
          <w:szCs w:val="22"/>
        </w:rPr>
        <w:pPrChange w:id="4633" w:author="AbbVie02no" w:date="2025-05-15T13:45:00Z">
          <w:pPr/>
        </w:pPrChange>
      </w:pPr>
    </w:p>
    <w:p w14:paraId="4C15495E" w14:textId="5EF83BE0" w:rsidR="000C7AC0" w:rsidRPr="009C5EFD" w:rsidRDefault="00E453CD">
      <w:pPr>
        <w:keepNext/>
        <w:suppressAutoHyphens/>
        <w:rPr>
          <w:del w:id="4634" w:author="AbbVie02no" w:date="2025-05-15T13:45:00Z"/>
          <w:sz w:val="22"/>
          <w:szCs w:val="22"/>
        </w:rPr>
        <w:pPrChange w:id="4635" w:author="AbbVie02no" w:date="2025-05-15T13:45:00Z">
          <w:pPr/>
        </w:pPrChange>
      </w:pPr>
      <w:del w:id="4636" w:author="AbbVie02no" w:date="2025-05-15T13:45:00Z">
        <w:r w:rsidRPr="009C5EFD">
          <w:rPr>
            <w:sz w:val="22"/>
            <w:szCs w:val="22"/>
          </w:rPr>
          <w:delText>Hvis re-behandling er indisert, bør doseringsanbefalinger overfor følges.</w:delText>
        </w:r>
      </w:del>
    </w:p>
    <w:p w14:paraId="67AC7AAE" w14:textId="741DE65A" w:rsidR="000C7AC0" w:rsidRPr="009C5EFD" w:rsidRDefault="000C7AC0">
      <w:pPr>
        <w:keepNext/>
        <w:suppressAutoHyphens/>
        <w:rPr>
          <w:del w:id="4637" w:author="AbbVie02no" w:date="2025-05-15T13:45:00Z"/>
          <w:sz w:val="22"/>
          <w:szCs w:val="22"/>
        </w:rPr>
        <w:pPrChange w:id="4638" w:author="AbbVie02no" w:date="2025-05-15T13:45:00Z">
          <w:pPr/>
        </w:pPrChange>
      </w:pPr>
    </w:p>
    <w:p w14:paraId="5EEB55C0" w14:textId="3969F7B8" w:rsidR="000C7AC0" w:rsidRPr="009C5EFD" w:rsidRDefault="00E453CD">
      <w:pPr>
        <w:keepNext/>
        <w:suppressAutoHyphens/>
        <w:rPr>
          <w:del w:id="4639" w:author="AbbVie02no" w:date="2025-05-15T13:45:00Z"/>
          <w:sz w:val="22"/>
          <w:szCs w:val="22"/>
        </w:rPr>
        <w:pPrChange w:id="4640" w:author="AbbVie02no" w:date="2025-05-15T13:45:00Z">
          <w:pPr/>
        </w:pPrChange>
      </w:pPr>
      <w:del w:id="4641" w:author="AbbVie02no" w:date="2025-05-15T13:45:00Z">
        <w:r w:rsidRPr="009C5EFD">
          <w:rPr>
            <w:sz w:val="22"/>
            <w:szCs w:val="22"/>
          </w:rPr>
          <w:delText>Sikkerhet ved bruk av Humira hos pediatriske pasienter med plakkpsoriasis er undersøkt i gjennomsnittlig 13 måneder.</w:delText>
        </w:r>
      </w:del>
    </w:p>
    <w:p w14:paraId="0545A036" w14:textId="315113D4" w:rsidR="000C7AC0" w:rsidRPr="009C5EFD" w:rsidRDefault="000C7AC0">
      <w:pPr>
        <w:keepNext/>
        <w:suppressAutoHyphens/>
        <w:rPr>
          <w:del w:id="4642" w:author="AbbVie02no" w:date="2025-05-15T13:45:00Z"/>
          <w:sz w:val="22"/>
          <w:szCs w:val="22"/>
        </w:rPr>
        <w:pPrChange w:id="4643" w:author="AbbVie02no" w:date="2025-05-15T13:45:00Z">
          <w:pPr/>
        </w:pPrChange>
      </w:pPr>
    </w:p>
    <w:p w14:paraId="5B1FFBF3" w14:textId="636E2CC9" w:rsidR="000C7AC0" w:rsidRDefault="00E453CD">
      <w:pPr>
        <w:keepNext/>
        <w:suppressAutoHyphens/>
        <w:rPr>
          <w:del w:id="4644" w:author="AbbVie02no" w:date="2025-05-15T13:45:00Z"/>
          <w:sz w:val="22"/>
          <w:szCs w:val="22"/>
        </w:rPr>
        <w:pPrChange w:id="4645" w:author="AbbVie02no" w:date="2025-05-15T13:45:00Z">
          <w:pPr/>
        </w:pPrChange>
      </w:pPr>
      <w:del w:id="4646" w:author="AbbVie02no" w:date="2025-05-15T13:45:00Z">
        <w:r w:rsidRPr="009C5EFD">
          <w:rPr>
            <w:sz w:val="22"/>
            <w:szCs w:val="22"/>
          </w:rPr>
          <w:delText xml:space="preserve">Det er ikke relevant å bruke Humira hos barn </w:delText>
        </w:r>
        <w:r w:rsidR="00DB0B92">
          <w:rPr>
            <w:sz w:val="22"/>
            <w:szCs w:val="22"/>
          </w:rPr>
          <w:delText>under</w:delText>
        </w:r>
        <w:r w:rsidRPr="009C5EFD">
          <w:rPr>
            <w:sz w:val="22"/>
            <w:szCs w:val="22"/>
          </w:rPr>
          <w:delText xml:space="preserve"> 4 år ved denne indikasjonen.</w:delText>
        </w:r>
      </w:del>
    </w:p>
    <w:p w14:paraId="75118C4A" w14:textId="14B8F3D0" w:rsidR="006C4775" w:rsidRDefault="006C4775">
      <w:pPr>
        <w:keepNext/>
        <w:suppressAutoHyphens/>
        <w:rPr>
          <w:del w:id="4647" w:author="AbbVie02no" w:date="2025-05-15T13:45:00Z"/>
          <w:sz w:val="22"/>
          <w:szCs w:val="22"/>
        </w:rPr>
        <w:pPrChange w:id="4648" w:author="AbbVie02no" w:date="2025-05-15T13:45:00Z">
          <w:pPr/>
        </w:pPrChange>
      </w:pPr>
    </w:p>
    <w:p w14:paraId="3D3FEC1E" w14:textId="1C1D6F24" w:rsidR="006C4775" w:rsidRPr="009C5EFD" w:rsidRDefault="00E453CD">
      <w:pPr>
        <w:keepNext/>
        <w:suppressAutoHyphens/>
        <w:rPr>
          <w:del w:id="4649" w:author="AbbVie02no" w:date="2025-05-15T13:45:00Z"/>
          <w:sz w:val="22"/>
          <w:szCs w:val="22"/>
        </w:rPr>
        <w:pPrChange w:id="4650" w:author="AbbVie02no" w:date="2025-05-15T13:45:00Z">
          <w:pPr/>
        </w:pPrChange>
      </w:pPr>
      <w:del w:id="4651" w:author="AbbVie02no" w:date="2025-05-15T13:45:00Z">
        <w:r>
          <w:rPr>
            <w:sz w:val="22"/>
            <w:szCs w:val="22"/>
          </w:rPr>
          <w:delText>Humira kan være tilgjengelig i andre styrker og/eller formuleringer avhengig av individuelle behandlingsbehov.</w:delText>
        </w:r>
      </w:del>
    </w:p>
    <w:p w14:paraId="585210D7" w14:textId="303D810F" w:rsidR="000C7AC0" w:rsidRPr="009C5EFD" w:rsidRDefault="000C7AC0">
      <w:pPr>
        <w:keepNext/>
        <w:suppressAutoHyphens/>
        <w:rPr>
          <w:del w:id="4652" w:author="AbbVie02no" w:date="2025-05-15T13:45:00Z"/>
          <w:sz w:val="22"/>
          <w:szCs w:val="22"/>
          <w:u w:val="single"/>
        </w:rPr>
        <w:pPrChange w:id="4653" w:author="AbbVie02no" w:date="2025-05-15T13:45:00Z">
          <w:pPr/>
        </w:pPrChange>
      </w:pPr>
    </w:p>
    <w:p w14:paraId="5F5CEF0E" w14:textId="745DD19C" w:rsidR="000C7AC0" w:rsidRPr="009C5EFD" w:rsidRDefault="00E453CD">
      <w:pPr>
        <w:keepNext/>
        <w:suppressAutoHyphens/>
        <w:rPr>
          <w:del w:id="4654" w:author="AbbVie02no" w:date="2025-05-15T13:45:00Z"/>
          <w:i/>
          <w:sz w:val="22"/>
          <w:szCs w:val="22"/>
        </w:rPr>
        <w:pPrChange w:id="4655" w:author="AbbVie02no" w:date="2025-05-15T13:45:00Z">
          <w:pPr>
            <w:keepNext/>
          </w:pPr>
        </w:pPrChange>
      </w:pPr>
      <w:del w:id="4656" w:author="AbbVie02no" w:date="2025-05-15T13:45:00Z">
        <w:r w:rsidRPr="009C5EFD">
          <w:rPr>
            <w:i/>
            <w:sz w:val="22"/>
            <w:szCs w:val="22"/>
          </w:rPr>
          <w:delText>Hidrosadenitt</w:delText>
        </w:r>
        <w:r>
          <w:rPr>
            <w:i/>
            <w:sz w:val="22"/>
            <w:szCs w:val="22"/>
          </w:rPr>
          <w:delText xml:space="preserve"> hos ungdom (</w:delText>
        </w:r>
        <w:r w:rsidR="00DB0B92">
          <w:rPr>
            <w:i/>
            <w:sz w:val="22"/>
            <w:szCs w:val="22"/>
          </w:rPr>
          <w:delText>over</w:delText>
        </w:r>
        <w:r>
          <w:rPr>
            <w:i/>
            <w:sz w:val="22"/>
            <w:szCs w:val="22"/>
          </w:rPr>
          <w:delText xml:space="preserve"> 12 år, kroppsvekt på minst 30 kg)</w:delText>
        </w:r>
      </w:del>
    </w:p>
    <w:p w14:paraId="0B4BDBF5" w14:textId="4E3F5571" w:rsidR="000C7AC0" w:rsidRPr="009C5EFD" w:rsidRDefault="000C7AC0">
      <w:pPr>
        <w:keepNext/>
        <w:suppressAutoHyphens/>
        <w:rPr>
          <w:del w:id="4657" w:author="AbbVie02no" w:date="2025-05-15T13:45:00Z"/>
          <w:sz w:val="22"/>
          <w:szCs w:val="22"/>
        </w:rPr>
        <w:pPrChange w:id="4658" w:author="AbbVie02no" w:date="2025-05-15T13:45:00Z">
          <w:pPr>
            <w:keepNext/>
          </w:pPr>
        </w:pPrChange>
      </w:pPr>
    </w:p>
    <w:p w14:paraId="784200BF" w14:textId="7DEED8B4" w:rsidR="000C7AC0" w:rsidRDefault="00E453CD">
      <w:pPr>
        <w:keepNext/>
        <w:suppressAutoHyphens/>
        <w:rPr>
          <w:del w:id="4659" w:author="AbbVie02no" w:date="2025-05-15T13:45:00Z"/>
          <w:sz w:val="22"/>
          <w:szCs w:val="22"/>
        </w:rPr>
        <w:pPrChange w:id="4660" w:author="AbbVie02no" w:date="2025-05-15T13:45:00Z">
          <w:pPr/>
        </w:pPrChange>
      </w:pPr>
      <w:del w:id="4661" w:author="AbbVie02no" w:date="2025-05-15T13:45:00Z">
        <w:r>
          <w:rPr>
            <w:sz w:val="22"/>
            <w:szCs w:val="22"/>
          </w:rPr>
          <w:delText>Det finnes ingen kliniske studier med Humira hos ungdom med HS. Doseringen av Humira hos disse pasientene har blitt bestemt fra farmakokinetisk modellering og simulering (se pkt. 5.2).</w:delText>
        </w:r>
      </w:del>
    </w:p>
    <w:p w14:paraId="172388D0" w14:textId="4EFC659B" w:rsidR="000C7AC0" w:rsidRDefault="000C7AC0">
      <w:pPr>
        <w:keepNext/>
        <w:suppressAutoHyphens/>
        <w:rPr>
          <w:del w:id="4662" w:author="AbbVie02no" w:date="2025-05-15T13:45:00Z"/>
          <w:sz w:val="22"/>
          <w:szCs w:val="22"/>
        </w:rPr>
        <w:pPrChange w:id="4663" w:author="AbbVie02no" w:date="2025-05-15T13:45:00Z">
          <w:pPr/>
        </w:pPrChange>
      </w:pPr>
    </w:p>
    <w:p w14:paraId="49445CEB" w14:textId="7E2BCA47" w:rsidR="000C7AC0" w:rsidRDefault="00E453CD">
      <w:pPr>
        <w:keepNext/>
        <w:suppressAutoHyphens/>
        <w:rPr>
          <w:del w:id="4664" w:author="AbbVie02no" w:date="2025-05-15T13:45:00Z"/>
          <w:sz w:val="22"/>
          <w:szCs w:val="22"/>
        </w:rPr>
        <w:pPrChange w:id="4665" w:author="AbbVie02no" w:date="2025-05-15T13:45:00Z">
          <w:pPr/>
        </w:pPrChange>
      </w:pPr>
      <w:del w:id="4666" w:author="AbbVie02no" w:date="2025-05-15T13:45:00Z">
        <w:r w:rsidRPr="009C5EFD">
          <w:rPr>
            <w:sz w:val="22"/>
            <w:szCs w:val="22"/>
          </w:rPr>
          <w:delText xml:space="preserve">Anbefalt dosering </w:delText>
        </w:r>
        <w:r>
          <w:rPr>
            <w:sz w:val="22"/>
            <w:szCs w:val="22"/>
          </w:rPr>
          <w:delText>av</w:delText>
        </w:r>
        <w:r w:rsidRPr="009C5EFD">
          <w:rPr>
            <w:sz w:val="22"/>
            <w:szCs w:val="22"/>
          </w:rPr>
          <w:delText xml:space="preserve"> Humira </w:delText>
        </w:r>
        <w:r>
          <w:rPr>
            <w:sz w:val="22"/>
            <w:szCs w:val="22"/>
          </w:rPr>
          <w:delText>er 80 mg ved uke 0, etterfulgt av 40 mg annenhver uke fra uke 1 via subkutan injeksjon.</w:delText>
        </w:r>
      </w:del>
    </w:p>
    <w:p w14:paraId="5EAD768A" w14:textId="70FC137B" w:rsidR="000C7AC0" w:rsidRDefault="000C7AC0">
      <w:pPr>
        <w:keepNext/>
        <w:suppressAutoHyphens/>
        <w:rPr>
          <w:del w:id="4667" w:author="AbbVie02no" w:date="2025-05-15T13:45:00Z"/>
          <w:sz w:val="22"/>
          <w:szCs w:val="22"/>
        </w:rPr>
        <w:pPrChange w:id="4668" w:author="AbbVie02no" w:date="2025-05-15T13:45:00Z">
          <w:pPr/>
        </w:pPrChange>
      </w:pPr>
    </w:p>
    <w:p w14:paraId="3FA97DCD" w14:textId="126E14CF" w:rsidR="000C7AC0" w:rsidRDefault="00E453CD">
      <w:pPr>
        <w:keepNext/>
        <w:suppressAutoHyphens/>
        <w:rPr>
          <w:del w:id="4669" w:author="AbbVie02no" w:date="2025-05-15T13:45:00Z"/>
          <w:sz w:val="22"/>
          <w:szCs w:val="22"/>
        </w:rPr>
        <w:pPrChange w:id="4670" w:author="AbbVie02no" w:date="2025-05-15T13:45:00Z">
          <w:pPr/>
        </w:pPrChange>
      </w:pPr>
      <w:del w:id="4671" w:author="AbbVie02no" w:date="2025-05-15T13:45:00Z">
        <w:r>
          <w:rPr>
            <w:sz w:val="22"/>
            <w:szCs w:val="22"/>
          </w:rPr>
          <w:delText>Hos ungdom med utilstrekkelig respons på Humira 40</w:delText>
        </w:r>
        <w:r w:rsidR="007C67B0">
          <w:rPr>
            <w:sz w:val="22"/>
            <w:szCs w:val="22"/>
          </w:rPr>
          <w:delText> </w:delText>
        </w:r>
        <w:r>
          <w:rPr>
            <w:sz w:val="22"/>
            <w:szCs w:val="22"/>
          </w:rPr>
          <w:delText>mg annenhver uke, kan en økning i dosering til 40</w:delText>
        </w:r>
        <w:r w:rsidR="007C67B0">
          <w:rPr>
            <w:sz w:val="22"/>
            <w:szCs w:val="22"/>
          </w:rPr>
          <w:delText> </w:delText>
        </w:r>
        <w:r>
          <w:rPr>
            <w:sz w:val="22"/>
            <w:szCs w:val="22"/>
          </w:rPr>
          <w:delText xml:space="preserve">mg hver uke </w:delText>
        </w:r>
        <w:r w:rsidR="006C4775">
          <w:rPr>
            <w:sz w:val="22"/>
            <w:szCs w:val="22"/>
          </w:rPr>
          <w:delText>eller 80</w:delText>
        </w:r>
        <w:r w:rsidR="007C67B0">
          <w:rPr>
            <w:sz w:val="22"/>
            <w:szCs w:val="22"/>
          </w:rPr>
          <w:delText> </w:delText>
        </w:r>
        <w:r w:rsidR="006C4775">
          <w:rPr>
            <w:sz w:val="22"/>
            <w:szCs w:val="22"/>
          </w:rPr>
          <w:delText xml:space="preserve">mg annenhver uke </w:delText>
        </w:r>
        <w:r>
          <w:rPr>
            <w:sz w:val="22"/>
            <w:szCs w:val="22"/>
          </w:rPr>
          <w:delText xml:space="preserve">vurderes.  </w:delText>
        </w:r>
      </w:del>
    </w:p>
    <w:p w14:paraId="644BEA00" w14:textId="242100CC" w:rsidR="000C7AC0" w:rsidRDefault="000C7AC0">
      <w:pPr>
        <w:keepNext/>
        <w:suppressAutoHyphens/>
        <w:rPr>
          <w:del w:id="4672" w:author="AbbVie02no" w:date="2025-05-15T13:45:00Z"/>
          <w:sz w:val="22"/>
          <w:szCs w:val="22"/>
        </w:rPr>
        <w:pPrChange w:id="4673" w:author="AbbVie02no" w:date="2025-05-15T13:45:00Z">
          <w:pPr/>
        </w:pPrChange>
      </w:pPr>
    </w:p>
    <w:p w14:paraId="4F5CFB9C" w14:textId="759A783A" w:rsidR="000C7AC0" w:rsidRPr="009C5EFD" w:rsidRDefault="00E453CD">
      <w:pPr>
        <w:keepNext/>
        <w:suppressAutoHyphens/>
        <w:rPr>
          <w:del w:id="4674" w:author="AbbVie02no" w:date="2025-05-15T13:45:00Z"/>
          <w:sz w:val="22"/>
          <w:szCs w:val="22"/>
        </w:rPr>
        <w:pPrChange w:id="4675" w:author="AbbVie02no" w:date="2025-05-15T13:45:00Z">
          <w:pPr/>
        </w:pPrChange>
      </w:pPr>
      <w:del w:id="4676" w:author="AbbVie02no" w:date="2025-05-15T13:45:00Z">
        <w:r w:rsidRPr="009C5EFD">
          <w:rPr>
            <w:sz w:val="22"/>
            <w:szCs w:val="22"/>
          </w:rPr>
          <w:delText>Behandling med antibiotika kan fortsette under behandling med Humira om nødvendig. Det anbefales at pasienten bruke</w:delText>
        </w:r>
        <w:r>
          <w:rPr>
            <w:sz w:val="22"/>
            <w:szCs w:val="22"/>
          </w:rPr>
          <w:delText>r</w:delText>
        </w:r>
        <w:r w:rsidRPr="009C5EFD">
          <w:rPr>
            <w:sz w:val="22"/>
            <w:szCs w:val="22"/>
          </w:rPr>
          <w:delText xml:space="preserve"> en topikal antiseptisk vask på sine HS sår daglig under behandling med Humira.</w:delText>
        </w:r>
      </w:del>
    </w:p>
    <w:p w14:paraId="3D2D61F2" w14:textId="42034D05" w:rsidR="000C7AC0" w:rsidRPr="009C5EFD" w:rsidRDefault="000C7AC0">
      <w:pPr>
        <w:keepNext/>
        <w:suppressAutoHyphens/>
        <w:rPr>
          <w:del w:id="4677" w:author="AbbVie02no" w:date="2025-05-15T13:45:00Z"/>
          <w:sz w:val="22"/>
          <w:szCs w:val="22"/>
        </w:rPr>
        <w:pPrChange w:id="4678" w:author="AbbVie02no" w:date="2025-05-15T13:45:00Z">
          <w:pPr/>
        </w:pPrChange>
      </w:pPr>
    </w:p>
    <w:p w14:paraId="11134554" w14:textId="22641BA7" w:rsidR="000C7AC0" w:rsidRDefault="00E453CD">
      <w:pPr>
        <w:keepNext/>
        <w:suppressAutoHyphens/>
        <w:rPr>
          <w:del w:id="4679" w:author="AbbVie02no" w:date="2025-05-15T13:45:00Z"/>
          <w:sz w:val="22"/>
          <w:szCs w:val="22"/>
        </w:rPr>
        <w:pPrChange w:id="4680" w:author="AbbVie02no" w:date="2025-05-15T13:45:00Z">
          <w:pPr/>
        </w:pPrChange>
      </w:pPr>
      <w:del w:id="4681" w:author="AbbVie02no" w:date="2025-05-15T13:45:00Z">
        <w:r w:rsidRPr="009C5EFD">
          <w:rPr>
            <w:sz w:val="22"/>
            <w:szCs w:val="22"/>
          </w:rPr>
          <w:delText xml:space="preserve">Videre behandling utover 12 uker bør nøye overveies hos pasienter </w:delText>
        </w:r>
        <w:r>
          <w:rPr>
            <w:sz w:val="22"/>
            <w:szCs w:val="22"/>
          </w:rPr>
          <w:delText>uten</w:delText>
        </w:r>
        <w:r w:rsidRPr="009C5EFD">
          <w:rPr>
            <w:sz w:val="22"/>
            <w:szCs w:val="22"/>
          </w:rPr>
          <w:delText xml:space="preserve"> f</w:delText>
        </w:r>
        <w:r>
          <w:rPr>
            <w:sz w:val="22"/>
            <w:szCs w:val="22"/>
          </w:rPr>
          <w:delText>orbedring i løpet av denne perioden.</w:delText>
        </w:r>
      </w:del>
    </w:p>
    <w:p w14:paraId="2B5754C6" w14:textId="75859A74" w:rsidR="000C7AC0" w:rsidRDefault="000C7AC0">
      <w:pPr>
        <w:keepNext/>
        <w:suppressAutoHyphens/>
        <w:rPr>
          <w:del w:id="4682" w:author="AbbVie02no" w:date="2025-05-15T13:45:00Z"/>
          <w:sz w:val="22"/>
          <w:szCs w:val="22"/>
        </w:rPr>
        <w:pPrChange w:id="4683" w:author="AbbVie02no" w:date="2025-05-15T13:45:00Z">
          <w:pPr/>
        </w:pPrChange>
      </w:pPr>
    </w:p>
    <w:p w14:paraId="505BFEAE" w14:textId="72BA2C98" w:rsidR="000C7AC0" w:rsidRDefault="00E453CD">
      <w:pPr>
        <w:keepNext/>
        <w:suppressAutoHyphens/>
        <w:rPr>
          <w:del w:id="4684" w:author="AbbVie02no" w:date="2025-05-15T13:45:00Z"/>
          <w:sz w:val="22"/>
          <w:szCs w:val="22"/>
        </w:rPr>
        <w:pPrChange w:id="4685" w:author="AbbVie02no" w:date="2025-05-15T13:45:00Z">
          <w:pPr/>
        </w:pPrChange>
      </w:pPr>
      <w:del w:id="4686" w:author="AbbVie02no" w:date="2025-05-15T13:45:00Z">
        <w:r w:rsidRPr="009C5EFD">
          <w:rPr>
            <w:sz w:val="22"/>
            <w:szCs w:val="22"/>
          </w:rPr>
          <w:delText>Skulle det være nødvendig å avbryte behandlingen,</w:delText>
        </w:r>
        <w:r>
          <w:rPr>
            <w:sz w:val="22"/>
            <w:szCs w:val="22"/>
          </w:rPr>
          <w:delText xml:space="preserve"> kan behandling med Humira startes igjen etter behov.</w:delText>
        </w:r>
      </w:del>
    </w:p>
    <w:p w14:paraId="74462F60" w14:textId="6B4DAD64" w:rsidR="000C7AC0" w:rsidRDefault="000C7AC0">
      <w:pPr>
        <w:keepNext/>
        <w:suppressAutoHyphens/>
        <w:rPr>
          <w:del w:id="4687" w:author="AbbVie02no" w:date="2025-05-15T13:45:00Z"/>
          <w:sz w:val="22"/>
          <w:szCs w:val="22"/>
        </w:rPr>
        <w:pPrChange w:id="4688" w:author="AbbVie02no" w:date="2025-05-15T13:45:00Z">
          <w:pPr/>
        </w:pPrChange>
      </w:pPr>
    </w:p>
    <w:p w14:paraId="439471BB" w14:textId="61842A87" w:rsidR="000C7AC0" w:rsidRDefault="00E453CD">
      <w:pPr>
        <w:keepNext/>
        <w:suppressAutoHyphens/>
        <w:rPr>
          <w:del w:id="4689" w:author="AbbVie02no" w:date="2025-05-15T13:45:00Z"/>
          <w:sz w:val="22"/>
          <w:szCs w:val="22"/>
        </w:rPr>
        <w:pPrChange w:id="4690" w:author="AbbVie02no" w:date="2025-05-15T13:45:00Z">
          <w:pPr/>
        </w:pPrChange>
      </w:pPr>
      <w:del w:id="4691" w:author="AbbVie02no" w:date="2025-05-15T13:45:00Z">
        <w:r w:rsidRPr="009C5EFD">
          <w:rPr>
            <w:sz w:val="22"/>
            <w:szCs w:val="22"/>
          </w:rPr>
          <w:delText xml:space="preserve">Nytte og risiko ved videre langvarig behandling bør </w:delText>
        </w:r>
        <w:r w:rsidR="00421CF7">
          <w:rPr>
            <w:sz w:val="22"/>
            <w:szCs w:val="22"/>
          </w:rPr>
          <w:delText>vurderes</w:delText>
        </w:r>
        <w:r w:rsidRPr="009C5EFD">
          <w:rPr>
            <w:sz w:val="22"/>
            <w:szCs w:val="22"/>
          </w:rPr>
          <w:delText xml:space="preserve"> regelmessig (se </w:delText>
        </w:r>
        <w:r>
          <w:rPr>
            <w:sz w:val="22"/>
            <w:szCs w:val="22"/>
          </w:rPr>
          <w:delText xml:space="preserve">data for voksne i </w:delText>
        </w:r>
        <w:r w:rsidRPr="009C5EFD">
          <w:rPr>
            <w:sz w:val="22"/>
            <w:szCs w:val="22"/>
          </w:rPr>
          <w:delText>pkt. 5.1).</w:delText>
        </w:r>
      </w:del>
    </w:p>
    <w:p w14:paraId="30DBF684" w14:textId="26605EFA" w:rsidR="00667448" w:rsidRDefault="00667448">
      <w:pPr>
        <w:keepNext/>
        <w:suppressAutoHyphens/>
        <w:rPr>
          <w:del w:id="4692" w:author="AbbVie02no" w:date="2025-05-15T13:45:00Z"/>
          <w:sz w:val="22"/>
          <w:szCs w:val="22"/>
        </w:rPr>
        <w:pPrChange w:id="4693" w:author="AbbVie02no" w:date="2025-05-15T13:45:00Z">
          <w:pPr/>
        </w:pPrChange>
      </w:pPr>
    </w:p>
    <w:p w14:paraId="018CE8CB" w14:textId="5A0114DE" w:rsidR="000C7AC0" w:rsidRDefault="00E453CD">
      <w:pPr>
        <w:keepNext/>
        <w:suppressAutoHyphens/>
        <w:rPr>
          <w:del w:id="4694" w:author="AbbVie02no" w:date="2025-05-15T13:45:00Z"/>
          <w:sz w:val="22"/>
          <w:szCs w:val="22"/>
        </w:rPr>
        <w:pPrChange w:id="4695" w:author="AbbVie02no" w:date="2025-05-15T13:45:00Z">
          <w:pPr/>
        </w:pPrChange>
      </w:pPr>
      <w:del w:id="4696" w:author="AbbVie02no" w:date="2025-05-15T13:45:00Z">
        <w:r w:rsidRPr="009C5EFD">
          <w:rPr>
            <w:sz w:val="22"/>
            <w:szCs w:val="22"/>
          </w:rPr>
          <w:delText xml:space="preserve">Det er ikke relevant å bruke Humira hos barn </w:delText>
        </w:r>
        <w:r w:rsidR="00DB0B92">
          <w:rPr>
            <w:sz w:val="22"/>
            <w:szCs w:val="22"/>
          </w:rPr>
          <w:delText>under</w:delText>
        </w:r>
        <w:r w:rsidRPr="009C5EFD">
          <w:rPr>
            <w:sz w:val="22"/>
            <w:szCs w:val="22"/>
          </w:rPr>
          <w:delText xml:space="preserve"> </w:delText>
        </w:r>
        <w:r>
          <w:rPr>
            <w:sz w:val="22"/>
            <w:szCs w:val="22"/>
          </w:rPr>
          <w:delText>12</w:delText>
        </w:r>
        <w:r w:rsidRPr="009C5EFD">
          <w:rPr>
            <w:sz w:val="22"/>
            <w:szCs w:val="22"/>
          </w:rPr>
          <w:delText xml:space="preserve"> år ved denne indikasjonen.</w:delText>
        </w:r>
      </w:del>
    </w:p>
    <w:p w14:paraId="15CB6820" w14:textId="768A7507" w:rsidR="006C4775" w:rsidRDefault="006C4775">
      <w:pPr>
        <w:keepNext/>
        <w:suppressAutoHyphens/>
        <w:rPr>
          <w:del w:id="4697" w:author="AbbVie02no" w:date="2025-05-15T13:45:00Z"/>
          <w:sz w:val="22"/>
          <w:szCs w:val="22"/>
        </w:rPr>
        <w:pPrChange w:id="4698" w:author="AbbVie02no" w:date="2025-05-15T13:45:00Z">
          <w:pPr/>
        </w:pPrChange>
      </w:pPr>
    </w:p>
    <w:p w14:paraId="376645D4" w14:textId="1C89F9E5" w:rsidR="006C4775" w:rsidRDefault="00E453CD">
      <w:pPr>
        <w:keepNext/>
        <w:suppressAutoHyphens/>
        <w:rPr>
          <w:del w:id="4699" w:author="AbbVie02no" w:date="2025-05-15T13:45:00Z"/>
          <w:i/>
          <w:sz w:val="22"/>
          <w:szCs w:val="22"/>
        </w:rPr>
        <w:pPrChange w:id="4700" w:author="AbbVie02no" w:date="2025-05-15T13:45:00Z">
          <w:pPr/>
        </w:pPrChange>
      </w:pPr>
      <w:del w:id="4701" w:author="AbbVie02no" w:date="2025-05-15T13:45:00Z">
        <w:r>
          <w:rPr>
            <w:sz w:val="22"/>
            <w:szCs w:val="22"/>
          </w:rPr>
          <w:delText>Humira kan være tilgjengelig i andre styrker og/eller formuleringer avhengig av individuelle behandlingsbehov.</w:delText>
        </w:r>
      </w:del>
    </w:p>
    <w:p w14:paraId="6991AFD1" w14:textId="74448F2B" w:rsidR="000C7AC0" w:rsidRDefault="000C7AC0">
      <w:pPr>
        <w:keepNext/>
        <w:suppressAutoHyphens/>
        <w:rPr>
          <w:del w:id="4702" w:author="AbbVie02no" w:date="2025-05-15T13:45:00Z"/>
          <w:i/>
          <w:sz w:val="22"/>
          <w:szCs w:val="22"/>
        </w:rPr>
        <w:pPrChange w:id="4703" w:author="AbbVie02no" w:date="2025-05-15T13:45:00Z">
          <w:pPr/>
        </w:pPrChange>
      </w:pPr>
    </w:p>
    <w:p w14:paraId="1512C656" w14:textId="6BF109D4" w:rsidR="000C7AC0" w:rsidRPr="00193D76" w:rsidRDefault="00E453CD">
      <w:pPr>
        <w:keepNext/>
        <w:suppressAutoHyphens/>
        <w:rPr>
          <w:del w:id="4704" w:author="AbbVie02no" w:date="2025-05-15T13:45:00Z"/>
          <w:sz w:val="22"/>
          <w:szCs w:val="22"/>
          <w:u w:val="single"/>
        </w:rPr>
        <w:pPrChange w:id="4705" w:author="AbbVie02no" w:date="2025-05-15T13:45:00Z">
          <w:pPr>
            <w:keepNext/>
          </w:pPr>
        </w:pPrChange>
      </w:pPr>
      <w:del w:id="4706" w:author="AbbVie02no" w:date="2025-05-15T13:45:00Z">
        <w:r w:rsidRPr="001F5D4B">
          <w:rPr>
            <w:i/>
            <w:sz w:val="22"/>
            <w:szCs w:val="22"/>
          </w:rPr>
          <w:delText>Pediatrisk Crohns sykdom</w:delText>
        </w:r>
      </w:del>
    </w:p>
    <w:p w14:paraId="0C4F89D1" w14:textId="1912FE02" w:rsidR="000C7AC0" w:rsidRDefault="000C7AC0">
      <w:pPr>
        <w:keepNext/>
        <w:suppressAutoHyphens/>
        <w:rPr>
          <w:del w:id="4707" w:author="AbbVie02no" w:date="2025-05-15T13:45:00Z"/>
          <w:sz w:val="22"/>
          <w:szCs w:val="22"/>
          <w:u w:val="single"/>
        </w:rPr>
        <w:pPrChange w:id="4708" w:author="AbbVie02no" w:date="2025-05-15T13:45:00Z">
          <w:pPr>
            <w:keepNext/>
          </w:pPr>
        </w:pPrChange>
      </w:pPr>
    </w:p>
    <w:p w14:paraId="6266CFB8" w14:textId="133A6D7F" w:rsidR="000C7AC0" w:rsidRDefault="00E453CD">
      <w:pPr>
        <w:keepNext/>
        <w:suppressAutoHyphens/>
        <w:rPr>
          <w:del w:id="4709" w:author="AbbVie02no" w:date="2025-05-15T13:45:00Z"/>
          <w:sz w:val="22"/>
          <w:szCs w:val="22"/>
        </w:rPr>
        <w:pPrChange w:id="4710" w:author="AbbVie02no" w:date="2025-05-15T13:45:00Z">
          <w:pPr/>
        </w:pPrChange>
      </w:pPr>
      <w:del w:id="4711" w:author="AbbVie02no" w:date="2025-05-15T13:45:00Z">
        <w:r>
          <w:rPr>
            <w:sz w:val="22"/>
            <w:szCs w:val="22"/>
          </w:rPr>
          <w:delText>Anbefalt dose av Humira</w:delText>
        </w:r>
        <w:r w:rsidRPr="00406E1B">
          <w:rPr>
            <w:sz w:val="22"/>
            <w:szCs w:val="22"/>
          </w:rPr>
          <w:delText xml:space="preserve"> </w:delText>
        </w:r>
        <w:r w:rsidRPr="00844FD5">
          <w:rPr>
            <w:sz w:val="22"/>
            <w:szCs w:val="22"/>
          </w:rPr>
          <w:delText xml:space="preserve">for pasienter fra </w:delText>
        </w:r>
        <w:r>
          <w:rPr>
            <w:sz w:val="22"/>
            <w:szCs w:val="22"/>
          </w:rPr>
          <w:delText>6</w:delText>
        </w:r>
        <w:r w:rsidRPr="00406E1B">
          <w:rPr>
            <w:sz w:val="22"/>
            <w:szCs w:val="22"/>
          </w:rPr>
          <w:delText xml:space="preserve"> til 17 år med </w:delText>
        </w:r>
        <w:r w:rsidR="006B55F0">
          <w:rPr>
            <w:sz w:val="22"/>
            <w:szCs w:val="22"/>
          </w:rPr>
          <w:delText>Crohns</w:delText>
        </w:r>
        <w:r>
          <w:rPr>
            <w:sz w:val="22"/>
            <w:szCs w:val="22"/>
          </w:rPr>
          <w:delText xml:space="preserve"> sykdom</w:delText>
        </w:r>
        <w:r w:rsidRPr="00406E1B">
          <w:rPr>
            <w:sz w:val="22"/>
            <w:szCs w:val="22"/>
          </w:rPr>
          <w:delText xml:space="preserve"> e</w:delText>
        </w:r>
        <w:r w:rsidRPr="00844FD5">
          <w:rPr>
            <w:sz w:val="22"/>
            <w:szCs w:val="22"/>
          </w:rPr>
          <w:delText>r basert på kroppsvekt (</w:delText>
        </w:r>
        <w:r w:rsidR="00FA3AFC">
          <w:rPr>
            <w:sz w:val="22"/>
            <w:szCs w:val="22"/>
          </w:rPr>
          <w:delText>t</w:delText>
        </w:r>
        <w:r w:rsidRPr="00844FD5">
          <w:rPr>
            <w:sz w:val="22"/>
            <w:szCs w:val="22"/>
          </w:rPr>
          <w:delText xml:space="preserve">abell </w:delText>
        </w:r>
        <w:r>
          <w:rPr>
            <w:sz w:val="22"/>
            <w:szCs w:val="22"/>
          </w:rPr>
          <w:delText>4</w:delText>
        </w:r>
        <w:r w:rsidRPr="00406E1B">
          <w:rPr>
            <w:sz w:val="22"/>
            <w:szCs w:val="22"/>
          </w:rPr>
          <w:delText>).</w:delText>
        </w:r>
        <w:r>
          <w:rPr>
            <w:sz w:val="22"/>
            <w:szCs w:val="22"/>
          </w:rPr>
          <w:delText xml:space="preserve"> </w:delText>
        </w:r>
        <w:r w:rsidRPr="006B1B0E">
          <w:rPr>
            <w:sz w:val="22"/>
            <w:szCs w:val="22"/>
          </w:rPr>
          <w:delText>Humira admini</w:delText>
        </w:r>
        <w:r>
          <w:rPr>
            <w:sz w:val="22"/>
            <w:szCs w:val="22"/>
          </w:rPr>
          <w:delText xml:space="preserve">streres </w:delText>
        </w:r>
        <w:r w:rsidR="006C4775">
          <w:rPr>
            <w:sz w:val="22"/>
            <w:szCs w:val="22"/>
          </w:rPr>
          <w:delText xml:space="preserve">som </w:delText>
        </w:r>
        <w:r>
          <w:rPr>
            <w:sz w:val="22"/>
            <w:szCs w:val="22"/>
          </w:rPr>
          <w:delText>subkutan</w:delText>
        </w:r>
        <w:r w:rsidR="006C4775">
          <w:rPr>
            <w:sz w:val="22"/>
            <w:szCs w:val="22"/>
          </w:rPr>
          <w:delText xml:space="preserve"> injeksjon</w:delText>
        </w:r>
        <w:r>
          <w:rPr>
            <w:sz w:val="22"/>
            <w:szCs w:val="22"/>
          </w:rPr>
          <w:delText>.</w:delText>
        </w:r>
      </w:del>
    </w:p>
    <w:p w14:paraId="1D3BB9E9" w14:textId="438765B2" w:rsidR="000C7AC0" w:rsidRDefault="000C7AC0">
      <w:pPr>
        <w:keepNext/>
        <w:suppressAutoHyphens/>
        <w:rPr>
          <w:del w:id="4712" w:author="AbbVie02no" w:date="2025-05-15T13:45:00Z"/>
          <w:sz w:val="22"/>
          <w:szCs w:val="22"/>
        </w:rPr>
        <w:pPrChange w:id="4713" w:author="AbbVie02no" w:date="2025-05-15T13:45:00Z">
          <w:pPr/>
        </w:pPrChange>
      </w:pPr>
    </w:p>
    <w:p w14:paraId="1757E0FC" w14:textId="363B5E01" w:rsidR="000C7AC0" w:rsidRPr="000624CD" w:rsidRDefault="00E453CD">
      <w:pPr>
        <w:keepNext/>
        <w:suppressAutoHyphens/>
        <w:rPr>
          <w:del w:id="4714" w:author="AbbVie02no" w:date="2025-05-15T13:45:00Z"/>
          <w:sz w:val="22"/>
          <w:szCs w:val="22"/>
        </w:rPr>
        <w:pPrChange w:id="4715" w:author="AbbVie02no" w:date="2025-05-15T13:45:00Z">
          <w:pPr>
            <w:keepNext/>
            <w:jc w:val="center"/>
          </w:pPr>
        </w:pPrChange>
      </w:pPr>
      <w:del w:id="4716" w:author="AbbVie02no" w:date="2025-05-15T13:45:00Z">
        <w:r w:rsidRPr="00AB7697">
          <w:rPr>
            <w:b/>
            <w:sz w:val="22"/>
            <w:szCs w:val="22"/>
          </w:rPr>
          <w:delText xml:space="preserve">Tabell 4. Humiradosering for pediatriske pasienter med </w:delText>
        </w:r>
        <w:r w:rsidR="006B55F0" w:rsidRPr="00AB7697">
          <w:rPr>
            <w:b/>
            <w:sz w:val="22"/>
            <w:szCs w:val="22"/>
          </w:rPr>
          <w:delText>Crohns</w:delText>
        </w:r>
        <w:r w:rsidRPr="00AB7697">
          <w:rPr>
            <w:b/>
            <w:sz w:val="22"/>
            <w:szCs w:val="22"/>
          </w:rPr>
          <w:delText xml:space="preserve"> sykdom</w:delText>
        </w:r>
      </w:del>
    </w:p>
    <w:p w14:paraId="215EE603" w14:textId="1E922D19" w:rsidR="000C7AC0" w:rsidRPr="00AB7697" w:rsidRDefault="000C7AC0">
      <w:pPr>
        <w:keepNext/>
        <w:suppressAutoHyphens/>
        <w:rPr>
          <w:del w:id="4717" w:author="AbbVie02no" w:date="2025-05-15T13:45:00Z"/>
          <w:sz w:val="22"/>
          <w:szCs w:val="22"/>
        </w:rPr>
        <w:pPrChange w:id="4718" w:author="AbbVie02no" w:date="2025-05-15T13:45:00Z">
          <w:pPr>
            <w:keepNext/>
          </w:pPr>
        </w:pPrChange>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3"/>
        <w:gridCol w:w="5951"/>
        <w:gridCol w:w="1955"/>
      </w:tblGrid>
      <w:tr w:rsidR="004644D4" w14:paraId="28AD8666" w14:textId="5D598098" w:rsidTr="00875D02">
        <w:trPr>
          <w:tblHeader/>
          <w:del w:id="4719" w:author="AbbVie02no" w:date="2025-05-15T13:45:00Z"/>
        </w:trPr>
        <w:tc>
          <w:tcPr>
            <w:tcW w:w="0" w:type="auto"/>
            <w:tcBorders>
              <w:top w:val="single" w:sz="6" w:space="0" w:color="000000"/>
              <w:left w:val="single" w:sz="6" w:space="0" w:color="000000"/>
              <w:bottom w:val="single" w:sz="6" w:space="0" w:color="000000"/>
              <w:right w:val="single" w:sz="6" w:space="0" w:color="000000"/>
            </w:tcBorders>
            <w:hideMark/>
          </w:tcPr>
          <w:p w14:paraId="50AAB8FC" w14:textId="62E2FDA4" w:rsidR="000C7AC0" w:rsidRPr="00AB7697" w:rsidRDefault="00E453CD">
            <w:pPr>
              <w:keepNext/>
              <w:suppressAutoHyphens/>
              <w:rPr>
                <w:del w:id="4720" w:author="AbbVie02no" w:date="2025-05-15T13:45:00Z"/>
                <w:sz w:val="22"/>
                <w:szCs w:val="22"/>
              </w:rPr>
              <w:pPrChange w:id="4721" w:author="AbbVie02no" w:date="2025-05-15T13:45:00Z">
                <w:pPr>
                  <w:jc w:val="center"/>
                </w:pPr>
              </w:pPrChange>
            </w:pPr>
            <w:del w:id="4722" w:author="AbbVie02no" w:date="2025-05-15T13:45:00Z">
              <w:r w:rsidRPr="00AB7697">
                <w:rPr>
                  <w:b/>
                  <w:sz w:val="22"/>
                  <w:szCs w:val="22"/>
                </w:rPr>
                <w:delText>Kroppsvekt</w:delText>
              </w:r>
            </w:del>
          </w:p>
        </w:tc>
        <w:tc>
          <w:tcPr>
            <w:tcW w:w="0" w:type="auto"/>
            <w:tcBorders>
              <w:top w:val="single" w:sz="6" w:space="0" w:color="000000"/>
              <w:left w:val="single" w:sz="6" w:space="0" w:color="000000"/>
              <w:bottom w:val="single" w:sz="6" w:space="0" w:color="000000"/>
              <w:right w:val="single" w:sz="6" w:space="0" w:color="000000"/>
            </w:tcBorders>
            <w:hideMark/>
          </w:tcPr>
          <w:p w14:paraId="408788B8" w14:textId="0551D11A" w:rsidR="000C7AC0" w:rsidRPr="00AB7697" w:rsidRDefault="00E453CD">
            <w:pPr>
              <w:keepNext/>
              <w:suppressAutoHyphens/>
              <w:rPr>
                <w:del w:id="4723" w:author="AbbVie02no" w:date="2025-05-15T13:45:00Z"/>
                <w:sz w:val="22"/>
                <w:szCs w:val="22"/>
              </w:rPr>
              <w:pPrChange w:id="4724" w:author="AbbVie02no" w:date="2025-05-15T13:45:00Z">
                <w:pPr>
                  <w:jc w:val="center"/>
                </w:pPr>
              </w:pPrChange>
            </w:pPr>
            <w:del w:id="4725" w:author="AbbVie02no" w:date="2025-05-15T13:45:00Z">
              <w:r w:rsidRPr="00AB7697">
                <w:rPr>
                  <w:b/>
                  <w:sz w:val="22"/>
                  <w:szCs w:val="22"/>
                </w:rPr>
                <w:delText>Startdose</w:delText>
              </w:r>
            </w:del>
          </w:p>
        </w:tc>
        <w:tc>
          <w:tcPr>
            <w:tcW w:w="0" w:type="auto"/>
            <w:tcBorders>
              <w:top w:val="single" w:sz="6" w:space="0" w:color="000000"/>
              <w:left w:val="single" w:sz="6" w:space="0" w:color="000000"/>
              <w:bottom w:val="single" w:sz="6" w:space="0" w:color="000000"/>
              <w:right w:val="single" w:sz="6" w:space="0" w:color="000000"/>
            </w:tcBorders>
            <w:hideMark/>
          </w:tcPr>
          <w:p w14:paraId="2A94C746" w14:textId="6B9C1188" w:rsidR="000C7AC0" w:rsidRPr="002C5CDB" w:rsidRDefault="00E453CD">
            <w:pPr>
              <w:keepNext/>
              <w:suppressAutoHyphens/>
              <w:rPr>
                <w:del w:id="4726" w:author="AbbVie02no" w:date="2025-05-15T13:45:00Z"/>
                <w:sz w:val="22"/>
                <w:szCs w:val="22"/>
                <w:rPrChange w:id="4727" w:author="AbbVie05no" w:date="2025-05-19T10:32:00Z">
                  <w:rPr>
                    <w:del w:id="4728" w:author="AbbVie02no" w:date="2025-05-15T13:45:00Z"/>
                    <w:sz w:val="22"/>
                    <w:szCs w:val="22"/>
                    <w:lang w:val="en-US"/>
                  </w:rPr>
                </w:rPrChange>
              </w:rPr>
              <w:pPrChange w:id="4729" w:author="AbbVie02no" w:date="2025-05-15T13:45:00Z">
                <w:pPr>
                  <w:jc w:val="center"/>
                </w:pPr>
              </w:pPrChange>
            </w:pPr>
            <w:del w:id="4730" w:author="AbbVie02no" w:date="2025-05-15T13:45:00Z">
              <w:r w:rsidRPr="002C5CDB">
                <w:rPr>
                  <w:b/>
                  <w:sz w:val="22"/>
                  <w:szCs w:val="22"/>
                  <w:rPrChange w:id="4731" w:author="AbbVie05no" w:date="2025-05-19T10:32:00Z">
                    <w:rPr>
                      <w:b/>
                      <w:sz w:val="22"/>
                      <w:szCs w:val="22"/>
                      <w:lang w:val="en-US"/>
                    </w:rPr>
                  </w:rPrChange>
                </w:rPr>
                <w:delText>Vedlikeholdsdose fra uke 4</w:delText>
              </w:r>
            </w:del>
          </w:p>
        </w:tc>
      </w:tr>
      <w:tr w:rsidR="004644D4" w14:paraId="5043CA6F" w14:textId="50087B7D" w:rsidTr="00875D02">
        <w:trPr>
          <w:del w:id="4732" w:author="AbbVie02no" w:date="2025-05-15T13:45:00Z"/>
        </w:trPr>
        <w:tc>
          <w:tcPr>
            <w:tcW w:w="0" w:type="auto"/>
            <w:tcBorders>
              <w:top w:val="single" w:sz="6" w:space="0" w:color="000000"/>
              <w:left w:val="single" w:sz="6" w:space="0" w:color="000000"/>
              <w:bottom w:val="single" w:sz="6" w:space="0" w:color="000000"/>
              <w:right w:val="single" w:sz="6" w:space="0" w:color="000000"/>
            </w:tcBorders>
            <w:hideMark/>
          </w:tcPr>
          <w:p w14:paraId="2409B2D9" w14:textId="246357CE" w:rsidR="000C7AC0" w:rsidRPr="00AB7697" w:rsidRDefault="00E453CD">
            <w:pPr>
              <w:keepNext/>
              <w:suppressAutoHyphens/>
              <w:rPr>
                <w:del w:id="4733" w:author="AbbVie02no" w:date="2025-05-15T13:45:00Z"/>
                <w:sz w:val="22"/>
                <w:szCs w:val="22"/>
              </w:rPr>
              <w:pPrChange w:id="4734" w:author="AbbVie02no" w:date="2025-05-15T13:45:00Z">
                <w:pPr>
                  <w:jc w:val="center"/>
                </w:pPr>
              </w:pPrChange>
            </w:pPr>
            <w:del w:id="4735" w:author="AbbVie02no" w:date="2025-05-15T13:45:00Z">
              <w:r w:rsidRPr="00AB7697">
                <w:rPr>
                  <w:sz w:val="22"/>
                  <w:szCs w:val="22"/>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231F06BA" w14:textId="48D52E0E" w:rsidR="000C7AC0" w:rsidRPr="00AB7697" w:rsidRDefault="00E453CD">
            <w:pPr>
              <w:keepNext/>
              <w:suppressAutoHyphens/>
              <w:rPr>
                <w:del w:id="4736" w:author="AbbVie02no" w:date="2025-05-15T13:45:00Z"/>
                <w:sz w:val="22"/>
                <w:szCs w:val="22"/>
              </w:rPr>
              <w:pPrChange w:id="4737" w:author="AbbVie02no" w:date="2025-05-15T13:45:00Z">
                <w:pPr>
                  <w:keepNext/>
                  <w:numPr>
                    <w:numId w:val="135"/>
                  </w:numPr>
                  <w:tabs>
                    <w:tab w:val="left" w:pos="720"/>
                  </w:tabs>
                  <w:ind w:left="317" w:hanging="187"/>
                </w:pPr>
              </w:pPrChange>
            </w:pPr>
            <w:del w:id="4738" w:author="AbbVie02no" w:date="2025-05-15T13:45:00Z">
              <w:r w:rsidRPr="00AB7697">
                <w:rPr>
                  <w:sz w:val="22"/>
                  <w:szCs w:val="22"/>
                </w:rPr>
                <w:delText>40 mg ved uke 0 og 20 mg ved uke 2</w:delText>
              </w:r>
            </w:del>
          </w:p>
          <w:p w14:paraId="7851C384" w14:textId="3554ABEC" w:rsidR="000C7AC0" w:rsidRPr="00AB7697" w:rsidRDefault="000C7AC0">
            <w:pPr>
              <w:keepNext/>
              <w:suppressAutoHyphens/>
              <w:rPr>
                <w:del w:id="4739" w:author="AbbVie02no" w:date="2025-05-15T13:45:00Z"/>
                <w:sz w:val="22"/>
                <w:szCs w:val="22"/>
              </w:rPr>
              <w:pPrChange w:id="4740" w:author="AbbVie02no" w:date="2025-05-15T13:45:00Z">
                <w:pPr>
                  <w:keepNext/>
                  <w:tabs>
                    <w:tab w:val="left" w:pos="720"/>
                  </w:tabs>
                  <w:ind w:left="337"/>
                </w:pPr>
              </w:pPrChange>
            </w:pPr>
          </w:p>
          <w:p w14:paraId="73C696C3" w14:textId="0FAB39F3" w:rsidR="000C7AC0" w:rsidRPr="00AB7697" w:rsidRDefault="00E453CD">
            <w:pPr>
              <w:keepNext/>
              <w:suppressAutoHyphens/>
              <w:rPr>
                <w:del w:id="4741" w:author="AbbVie02no" w:date="2025-05-15T13:45:00Z"/>
                <w:sz w:val="22"/>
                <w:szCs w:val="22"/>
              </w:rPr>
              <w:pPrChange w:id="4742" w:author="AbbVie02no" w:date="2025-05-15T13:45:00Z">
                <w:pPr>
                  <w:keepNext/>
                  <w:tabs>
                    <w:tab w:val="left" w:pos="720"/>
                  </w:tabs>
                  <w:ind w:left="150"/>
                </w:pPr>
              </w:pPrChange>
            </w:pPr>
            <w:del w:id="4743" w:author="AbbVie02no" w:date="2025-05-15T13:45:00Z">
              <w:r w:rsidRPr="00AB7697">
                <w:rPr>
                  <w:sz w:val="22"/>
                  <w:szCs w:val="22"/>
                </w:rPr>
                <w:delText xml:space="preserve">Dersom det er behov for raskere respons på </w:delText>
              </w:r>
              <w:r w:rsidR="00DB0B92">
                <w:rPr>
                  <w:sz w:val="22"/>
                  <w:szCs w:val="22"/>
                </w:rPr>
                <w:delText>behandlingen</w:delText>
              </w:r>
              <w:r w:rsidRPr="00AB7697">
                <w:rPr>
                  <w:sz w:val="22"/>
                  <w:szCs w:val="22"/>
                </w:rPr>
                <w:delText xml:space="preserve"> og med viten om at bivirkningsrisiko kan være høyere ved bruk av høyere startdose, kan følgende dosering benyttes:</w:delText>
              </w:r>
            </w:del>
          </w:p>
          <w:p w14:paraId="2492A1C4" w14:textId="04B71D93" w:rsidR="000C7AC0" w:rsidRPr="00AB7697" w:rsidRDefault="00E453CD">
            <w:pPr>
              <w:keepNext/>
              <w:suppressAutoHyphens/>
              <w:rPr>
                <w:del w:id="4744" w:author="AbbVie02no" w:date="2025-05-15T13:45:00Z"/>
                <w:iCs/>
                <w:sz w:val="22"/>
                <w:szCs w:val="22"/>
              </w:rPr>
              <w:pPrChange w:id="4745" w:author="AbbVie02no" w:date="2025-05-15T13:45:00Z">
                <w:pPr>
                  <w:numPr>
                    <w:numId w:val="135"/>
                  </w:numPr>
                  <w:ind w:left="317" w:hanging="187"/>
                </w:pPr>
              </w:pPrChange>
            </w:pPr>
            <w:del w:id="4746" w:author="AbbVie02no" w:date="2025-05-15T13:45:00Z">
              <w:r w:rsidRPr="00AB7697">
                <w:rPr>
                  <w:sz w:val="22"/>
                  <w:szCs w:val="22"/>
                </w:rPr>
                <w:delText>80 mg ved uke 0 og 40 mg ved uke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28549779" w14:textId="22B9E164" w:rsidR="000C7AC0" w:rsidRPr="00AB7697" w:rsidRDefault="00E453CD">
            <w:pPr>
              <w:keepNext/>
              <w:suppressAutoHyphens/>
              <w:rPr>
                <w:del w:id="4747" w:author="AbbVie02no" w:date="2025-05-15T13:45:00Z"/>
                <w:sz w:val="22"/>
                <w:szCs w:val="22"/>
              </w:rPr>
              <w:pPrChange w:id="4748" w:author="AbbVie02no" w:date="2025-05-15T13:45:00Z">
                <w:pPr>
                  <w:ind w:left="16"/>
                  <w:jc w:val="center"/>
                </w:pPr>
              </w:pPrChange>
            </w:pPr>
            <w:del w:id="4749" w:author="AbbVie02no" w:date="2025-05-15T13:45:00Z">
              <w:r w:rsidRPr="00AB7697">
                <w:rPr>
                  <w:sz w:val="22"/>
                  <w:szCs w:val="22"/>
                </w:rPr>
                <w:delText>20 mg annenhver uke</w:delText>
              </w:r>
            </w:del>
          </w:p>
        </w:tc>
      </w:tr>
      <w:tr w:rsidR="004644D4" w14:paraId="0FAF4BD5" w14:textId="239FC34E" w:rsidTr="00875D02">
        <w:trPr>
          <w:del w:id="4750" w:author="AbbVie02no" w:date="2025-05-15T13:45:00Z"/>
        </w:trPr>
        <w:tc>
          <w:tcPr>
            <w:tcW w:w="0" w:type="auto"/>
            <w:tcBorders>
              <w:top w:val="single" w:sz="6" w:space="0" w:color="000000"/>
              <w:left w:val="single" w:sz="6" w:space="0" w:color="000000"/>
              <w:bottom w:val="single" w:sz="6" w:space="0" w:color="000000"/>
              <w:right w:val="single" w:sz="6" w:space="0" w:color="000000"/>
            </w:tcBorders>
            <w:hideMark/>
          </w:tcPr>
          <w:p w14:paraId="53B9D71E" w14:textId="06612331" w:rsidR="000C7AC0" w:rsidRPr="00AB7697" w:rsidRDefault="00E453CD">
            <w:pPr>
              <w:keepNext/>
              <w:suppressAutoHyphens/>
              <w:rPr>
                <w:del w:id="4751" w:author="AbbVie02no" w:date="2025-05-15T13:45:00Z"/>
                <w:sz w:val="22"/>
                <w:szCs w:val="22"/>
              </w:rPr>
              <w:pPrChange w:id="4752" w:author="AbbVie02no" w:date="2025-05-15T13:45:00Z">
                <w:pPr>
                  <w:jc w:val="center"/>
                </w:pPr>
              </w:pPrChange>
            </w:pPr>
            <w:del w:id="4753" w:author="AbbVie02no" w:date="2025-05-15T13:45:00Z">
              <w:r w:rsidRPr="00AB7697">
                <w:rPr>
                  <w:sz w:val="22"/>
                  <w:szCs w:val="22"/>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1B7E8F17" w14:textId="43A59B45" w:rsidR="000C7AC0" w:rsidRPr="00AB7697" w:rsidRDefault="00E453CD">
            <w:pPr>
              <w:keepNext/>
              <w:suppressAutoHyphens/>
              <w:rPr>
                <w:del w:id="4754" w:author="AbbVie02no" w:date="2025-05-15T13:45:00Z"/>
                <w:sz w:val="22"/>
                <w:szCs w:val="22"/>
              </w:rPr>
              <w:pPrChange w:id="4755" w:author="AbbVie02no" w:date="2025-05-15T13:45:00Z">
                <w:pPr>
                  <w:keepNext/>
                  <w:numPr>
                    <w:numId w:val="137"/>
                  </w:numPr>
                  <w:tabs>
                    <w:tab w:val="left" w:pos="720"/>
                  </w:tabs>
                  <w:ind w:left="317" w:hanging="187"/>
                </w:pPr>
              </w:pPrChange>
            </w:pPr>
            <w:del w:id="4756" w:author="AbbVie02no" w:date="2025-05-15T13:45:00Z">
              <w:r>
                <w:rPr>
                  <w:sz w:val="22"/>
                  <w:szCs w:val="22"/>
                </w:rPr>
                <w:delText>80 mg ved uke 0 og 4</w:delText>
              </w:r>
              <w:r w:rsidRPr="00AB7697">
                <w:rPr>
                  <w:sz w:val="22"/>
                  <w:szCs w:val="22"/>
                </w:rPr>
                <w:delText>0 mg ved uke 2</w:delText>
              </w:r>
            </w:del>
          </w:p>
          <w:p w14:paraId="61441C20" w14:textId="434276D7" w:rsidR="000C7AC0" w:rsidRPr="00AB7697" w:rsidRDefault="000C7AC0">
            <w:pPr>
              <w:keepNext/>
              <w:suppressAutoHyphens/>
              <w:rPr>
                <w:del w:id="4757" w:author="AbbVie02no" w:date="2025-05-15T13:45:00Z"/>
                <w:sz w:val="22"/>
                <w:szCs w:val="22"/>
              </w:rPr>
              <w:pPrChange w:id="4758" w:author="AbbVie02no" w:date="2025-05-15T13:45:00Z">
                <w:pPr>
                  <w:keepNext/>
                  <w:tabs>
                    <w:tab w:val="left" w:pos="720"/>
                  </w:tabs>
                  <w:ind w:left="337"/>
                </w:pPr>
              </w:pPrChange>
            </w:pPr>
          </w:p>
          <w:p w14:paraId="0CF7EF5D" w14:textId="5A0F4774" w:rsidR="000C7AC0" w:rsidRPr="00AB7697" w:rsidRDefault="00E453CD">
            <w:pPr>
              <w:keepNext/>
              <w:suppressAutoHyphens/>
              <w:rPr>
                <w:del w:id="4759" w:author="AbbVie02no" w:date="2025-05-15T13:45:00Z"/>
                <w:sz w:val="22"/>
                <w:szCs w:val="22"/>
              </w:rPr>
              <w:pPrChange w:id="4760" w:author="AbbVie02no" w:date="2025-05-15T13:45:00Z">
                <w:pPr>
                  <w:keepNext/>
                  <w:tabs>
                    <w:tab w:val="left" w:pos="720"/>
                  </w:tabs>
                  <w:ind w:left="150"/>
                </w:pPr>
              </w:pPrChange>
            </w:pPr>
            <w:del w:id="4761" w:author="AbbVie02no" w:date="2025-05-15T13:45:00Z">
              <w:r w:rsidRPr="00AB7697">
                <w:rPr>
                  <w:sz w:val="22"/>
                  <w:szCs w:val="22"/>
                </w:rPr>
                <w:delText xml:space="preserve">Dersom det er behov for raskere respons på </w:delText>
              </w:r>
              <w:r w:rsidR="00DB0B92">
                <w:rPr>
                  <w:sz w:val="22"/>
                  <w:szCs w:val="22"/>
                </w:rPr>
                <w:delText>behandlingen</w:delText>
              </w:r>
              <w:r w:rsidRPr="00AB7697">
                <w:rPr>
                  <w:sz w:val="22"/>
                  <w:szCs w:val="22"/>
                </w:rPr>
                <w:delText xml:space="preserve"> og med viten om at bivirkningsrisiko kan være høyere ved bruk av høyere startdose, kan følgende dosering benyttes:</w:delText>
              </w:r>
            </w:del>
          </w:p>
          <w:p w14:paraId="1EA6804E" w14:textId="6BF73336" w:rsidR="000C7AC0" w:rsidRPr="00AB7697" w:rsidRDefault="00E453CD">
            <w:pPr>
              <w:keepNext/>
              <w:suppressAutoHyphens/>
              <w:rPr>
                <w:del w:id="4762" w:author="AbbVie02no" w:date="2025-05-15T13:45:00Z"/>
                <w:sz w:val="22"/>
                <w:szCs w:val="22"/>
              </w:rPr>
              <w:pPrChange w:id="4763" w:author="AbbVie02no" w:date="2025-05-15T13:45:00Z">
                <w:pPr>
                  <w:numPr>
                    <w:numId w:val="137"/>
                  </w:numPr>
                  <w:ind w:left="317" w:hanging="187"/>
                </w:pPr>
              </w:pPrChange>
            </w:pPr>
            <w:del w:id="4764" w:author="AbbVie02no" w:date="2025-05-15T13:45:00Z">
              <w:r w:rsidRPr="00AB7697">
                <w:rPr>
                  <w:sz w:val="22"/>
                  <w:szCs w:val="22"/>
                </w:rPr>
                <w:delText>160 mg ved uke 0 og 80 mg ved uke 2</w:delText>
              </w:r>
            </w:del>
          </w:p>
        </w:tc>
        <w:tc>
          <w:tcPr>
            <w:tcW w:w="0" w:type="auto"/>
            <w:tcBorders>
              <w:top w:val="single" w:sz="6" w:space="0" w:color="000000"/>
              <w:left w:val="single" w:sz="6" w:space="0" w:color="000000"/>
              <w:bottom w:val="single" w:sz="6" w:space="0" w:color="000000"/>
              <w:right w:val="single" w:sz="6" w:space="0" w:color="000000"/>
            </w:tcBorders>
            <w:hideMark/>
          </w:tcPr>
          <w:p w14:paraId="7494E8AE" w14:textId="628857DE" w:rsidR="000C7AC0" w:rsidRPr="00AB7697" w:rsidRDefault="00E453CD">
            <w:pPr>
              <w:keepNext/>
              <w:suppressAutoHyphens/>
              <w:rPr>
                <w:del w:id="4765" w:author="AbbVie02no" w:date="2025-05-15T13:45:00Z"/>
                <w:sz w:val="22"/>
                <w:szCs w:val="22"/>
              </w:rPr>
              <w:pPrChange w:id="4766" w:author="AbbVie02no" w:date="2025-05-15T13:45:00Z">
                <w:pPr>
                  <w:ind w:left="16"/>
                  <w:jc w:val="center"/>
                </w:pPr>
              </w:pPrChange>
            </w:pPr>
            <w:del w:id="4767" w:author="AbbVie02no" w:date="2025-05-15T13:45:00Z">
              <w:r w:rsidRPr="00AB7697">
                <w:rPr>
                  <w:sz w:val="22"/>
                  <w:szCs w:val="22"/>
                </w:rPr>
                <w:delText>40 mg annenhver uke</w:delText>
              </w:r>
            </w:del>
          </w:p>
        </w:tc>
      </w:tr>
    </w:tbl>
    <w:p w14:paraId="52FCDE27" w14:textId="43145124" w:rsidR="000C7AC0" w:rsidRPr="002C5CDB" w:rsidRDefault="000C7AC0">
      <w:pPr>
        <w:keepNext/>
        <w:suppressAutoHyphens/>
        <w:rPr>
          <w:del w:id="4768" w:author="AbbVie02no" w:date="2025-05-15T13:45:00Z"/>
          <w:rPrChange w:id="4769" w:author="AbbVie05no" w:date="2025-05-19T10:32:00Z">
            <w:rPr>
              <w:del w:id="4770" w:author="AbbVie02no" w:date="2025-05-15T13:45:00Z"/>
              <w:lang w:val="en-GB"/>
            </w:rPr>
          </w:rPrChange>
        </w:rPr>
        <w:pPrChange w:id="4771" w:author="AbbVie02no" w:date="2025-05-15T13:45:00Z">
          <w:pPr>
            <w:keepNext/>
          </w:pPr>
        </w:pPrChange>
      </w:pPr>
    </w:p>
    <w:p w14:paraId="49E36BB6" w14:textId="03CA3E2A" w:rsidR="000C7AC0" w:rsidRPr="0017427F" w:rsidRDefault="00E453CD">
      <w:pPr>
        <w:keepNext/>
        <w:suppressAutoHyphens/>
        <w:rPr>
          <w:del w:id="4772" w:author="AbbVie02no" w:date="2025-05-15T13:45:00Z"/>
          <w:sz w:val="22"/>
          <w:szCs w:val="22"/>
        </w:rPr>
        <w:pPrChange w:id="4773" w:author="AbbVie02no" w:date="2025-05-15T13:45:00Z">
          <w:pPr/>
        </w:pPrChange>
      </w:pPr>
      <w:del w:id="4774" w:author="AbbVie02no" w:date="2025-05-15T13:45:00Z">
        <w:r w:rsidRPr="0017427F">
          <w:rPr>
            <w:sz w:val="22"/>
            <w:szCs w:val="22"/>
          </w:rPr>
          <w:delText>Pasienter som opplever utilstrekkelig respons kan ha nytte av en økning i dosering:</w:delText>
        </w:r>
      </w:del>
    </w:p>
    <w:p w14:paraId="34A81463" w14:textId="50F77394" w:rsidR="000C7AC0" w:rsidRPr="002C5CDB" w:rsidRDefault="00E453CD">
      <w:pPr>
        <w:keepNext/>
        <w:suppressAutoHyphens/>
        <w:rPr>
          <w:del w:id="4775" w:author="AbbVie02no" w:date="2025-05-15T13:45:00Z"/>
          <w:sz w:val="22"/>
          <w:szCs w:val="22"/>
          <w:rPrChange w:id="4776" w:author="AbbVie05no" w:date="2025-05-19T10:32:00Z">
            <w:rPr>
              <w:del w:id="4777" w:author="AbbVie02no" w:date="2025-05-15T13:45:00Z"/>
              <w:sz w:val="22"/>
              <w:szCs w:val="22"/>
              <w:lang w:val="en-GB"/>
            </w:rPr>
          </w:rPrChange>
        </w:rPr>
        <w:pPrChange w:id="4778" w:author="AbbVie02no" w:date="2025-05-15T13:45:00Z">
          <w:pPr>
            <w:keepNext/>
            <w:numPr>
              <w:numId w:val="140"/>
            </w:numPr>
            <w:tabs>
              <w:tab w:val="left" w:pos="562"/>
            </w:tabs>
            <w:suppressAutoHyphens/>
            <w:ind w:left="540" w:hanging="540"/>
          </w:pPr>
        </w:pPrChange>
      </w:pPr>
      <w:del w:id="4779" w:author="AbbVie02no" w:date="2025-05-15T13:45:00Z">
        <w:r w:rsidRPr="002C5CDB">
          <w:rPr>
            <w:sz w:val="22"/>
            <w:szCs w:val="22"/>
            <w:rPrChange w:id="4780" w:author="AbbVie05no" w:date="2025-05-19T10:32:00Z">
              <w:rPr>
                <w:sz w:val="22"/>
                <w:szCs w:val="22"/>
                <w:lang w:val="en-GB"/>
              </w:rPr>
            </w:rPrChange>
          </w:rPr>
          <w:delText>&lt; 40 kg: 20 mg hver uke</w:delText>
        </w:r>
      </w:del>
    </w:p>
    <w:p w14:paraId="2F22E9B1" w14:textId="5B2648F4" w:rsidR="000C7AC0" w:rsidRPr="00AF70AD" w:rsidRDefault="00E453CD">
      <w:pPr>
        <w:keepNext/>
        <w:suppressAutoHyphens/>
        <w:rPr>
          <w:del w:id="4781" w:author="AbbVie02no" w:date="2025-05-15T13:45:00Z"/>
          <w:sz w:val="22"/>
          <w:szCs w:val="22"/>
        </w:rPr>
        <w:pPrChange w:id="4782" w:author="AbbVie02no" w:date="2025-05-15T13:45:00Z">
          <w:pPr>
            <w:keepNext/>
            <w:numPr>
              <w:numId w:val="140"/>
            </w:numPr>
            <w:tabs>
              <w:tab w:val="left" w:pos="562"/>
            </w:tabs>
            <w:suppressAutoHyphens/>
            <w:ind w:left="540" w:hanging="540"/>
          </w:pPr>
        </w:pPrChange>
      </w:pPr>
      <w:del w:id="4783" w:author="AbbVie02no" w:date="2025-05-15T13:45:00Z">
        <w:r w:rsidRPr="00AF70AD">
          <w:rPr>
            <w:sz w:val="22"/>
            <w:szCs w:val="22"/>
          </w:rPr>
          <w:delText>≥ 40 kg: 40 mg hver uke</w:delText>
        </w:r>
        <w:r w:rsidR="00501A63" w:rsidRPr="00AF70AD">
          <w:rPr>
            <w:sz w:val="22"/>
            <w:szCs w:val="22"/>
          </w:rPr>
          <w:delText xml:space="preserve"> eller 80</w:delText>
        </w:r>
        <w:r w:rsidR="005C4746">
          <w:rPr>
            <w:sz w:val="22"/>
            <w:szCs w:val="22"/>
          </w:rPr>
          <w:delText xml:space="preserve"> </w:delText>
        </w:r>
        <w:r w:rsidR="00501A63" w:rsidRPr="00AF70AD">
          <w:rPr>
            <w:sz w:val="22"/>
            <w:szCs w:val="22"/>
          </w:rPr>
          <w:delText>mg ann</w:delText>
        </w:r>
        <w:r w:rsidR="00501A63">
          <w:rPr>
            <w:sz w:val="22"/>
            <w:szCs w:val="22"/>
          </w:rPr>
          <w:delText>enhver uke</w:delText>
        </w:r>
      </w:del>
    </w:p>
    <w:p w14:paraId="696BE8F7" w14:textId="66C9A19D" w:rsidR="000C7AC0" w:rsidRPr="009C5EFD" w:rsidRDefault="000C7AC0">
      <w:pPr>
        <w:keepNext/>
        <w:suppressAutoHyphens/>
        <w:rPr>
          <w:del w:id="4784" w:author="AbbVie02no" w:date="2025-05-15T13:45:00Z"/>
          <w:sz w:val="22"/>
          <w:szCs w:val="22"/>
        </w:rPr>
        <w:pPrChange w:id="4785" w:author="AbbVie02no" w:date="2025-05-15T13:45:00Z">
          <w:pPr/>
        </w:pPrChange>
      </w:pPr>
    </w:p>
    <w:p w14:paraId="6BD53860" w14:textId="0F91EC5E" w:rsidR="000C7AC0" w:rsidRPr="009C5EFD" w:rsidRDefault="00E453CD">
      <w:pPr>
        <w:keepNext/>
        <w:suppressAutoHyphens/>
        <w:rPr>
          <w:del w:id="4786" w:author="AbbVie02no" w:date="2025-05-15T13:45:00Z"/>
          <w:sz w:val="22"/>
          <w:szCs w:val="22"/>
        </w:rPr>
        <w:pPrChange w:id="4787" w:author="AbbVie02no" w:date="2025-05-15T13:45:00Z">
          <w:pPr/>
        </w:pPrChange>
      </w:pPr>
      <w:del w:id="4788" w:author="AbbVie02no" w:date="2025-05-15T13:45:00Z">
        <w:r w:rsidRPr="009C5EFD">
          <w:rPr>
            <w:sz w:val="22"/>
            <w:szCs w:val="22"/>
          </w:rPr>
          <w:delText>Fortsettelse av behandlingen hos pasienter som ikke responderer innen uke 12, bør vurderes nøye.</w:delText>
        </w:r>
      </w:del>
    </w:p>
    <w:p w14:paraId="6DE0A33F" w14:textId="6C2578F5" w:rsidR="000C7AC0" w:rsidRPr="009C5EFD" w:rsidRDefault="000C7AC0">
      <w:pPr>
        <w:keepNext/>
        <w:suppressAutoHyphens/>
        <w:rPr>
          <w:del w:id="4789" w:author="AbbVie02no" w:date="2025-05-15T13:45:00Z"/>
          <w:sz w:val="22"/>
          <w:szCs w:val="22"/>
        </w:rPr>
        <w:pPrChange w:id="4790" w:author="AbbVie02no" w:date="2025-05-15T13:45:00Z">
          <w:pPr/>
        </w:pPrChange>
      </w:pPr>
    </w:p>
    <w:p w14:paraId="5DE3A923" w14:textId="15D4E2CD" w:rsidR="000C7AC0" w:rsidRDefault="00E453CD">
      <w:pPr>
        <w:keepNext/>
        <w:suppressAutoHyphens/>
        <w:rPr>
          <w:del w:id="4791" w:author="AbbVie02no" w:date="2025-05-15T13:45:00Z"/>
          <w:sz w:val="22"/>
          <w:szCs w:val="22"/>
        </w:rPr>
        <w:pPrChange w:id="4792" w:author="AbbVie02no" w:date="2025-05-15T13:45:00Z">
          <w:pPr/>
        </w:pPrChange>
      </w:pPr>
      <w:del w:id="4793" w:author="AbbVie02no" w:date="2025-05-15T13:45:00Z">
        <w:r w:rsidRPr="009C5EFD">
          <w:rPr>
            <w:sz w:val="22"/>
            <w:szCs w:val="22"/>
          </w:rPr>
          <w:delText xml:space="preserve">Det er ikke relevant å bruke Humira hos barn </w:delText>
        </w:r>
        <w:r w:rsidR="00FA3AFC">
          <w:rPr>
            <w:sz w:val="22"/>
            <w:szCs w:val="22"/>
          </w:rPr>
          <w:delText>under</w:delText>
        </w:r>
        <w:r w:rsidRPr="009C5EFD">
          <w:rPr>
            <w:sz w:val="22"/>
            <w:szCs w:val="22"/>
          </w:rPr>
          <w:delText xml:space="preserve"> 6 år ved denne indikasjonen.</w:delText>
        </w:r>
      </w:del>
    </w:p>
    <w:p w14:paraId="01DC8A4C" w14:textId="230D98E8" w:rsidR="006C4775" w:rsidRDefault="006C4775">
      <w:pPr>
        <w:keepNext/>
        <w:suppressAutoHyphens/>
        <w:rPr>
          <w:del w:id="4794" w:author="AbbVie02no" w:date="2025-05-15T13:45:00Z"/>
          <w:sz w:val="22"/>
          <w:szCs w:val="22"/>
        </w:rPr>
        <w:pPrChange w:id="4795" w:author="AbbVie02no" w:date="2025-05-15T13:45:00Z">
          <w:pPr/>
        </w:pPrChange>
      </w:pPr>
    </w:p>
    <w:p w14:paraId="04B22C47" w14:textId="023AC602" w:rsidR="006C4775" w:rsidRPr="009C5EFD" w:rsidRDefault="00E453CD">
      <w:pPr>
        <w:keepNext/>
        <w:suppressAutoHyphens/>
        <w:rPr>
          <w:del w:id="4796" w:author="AbbVie02no" w:date="2025-05-15T13:45:00Z"/>
          <w:sz w:val="22"/>
          <w:szCs w:val="22"/>
        </w:rPr>
        <w:pPrChange w:id="4797" w:author="AbbVie02no" w:date="2025-05-15T13:45:00Z">
          <w:pPr/>
        </w:pPrChange>
      </w:pPr>
      <w:del w:id="4798" w:author="AbbVie02no" w:date="2025-05-15T13:45:00Z">
        <w:r w:rsidRPr="006B1B0E">
          <w:rPr>
            <w:sz w:val="22"/>
            <w:szCs w:val="22"/>
          </w:rPr>
          <w:delText>Humira kan være tilgjengelig i andre styrker og/eller formuleringer avhengig av individuelle behandlingsbehov.</w:delText>
        </w:r>
      </w:del>
    </w:p>
    <w:p w14:paraId="425948C8" w14:textId="23CAF4A6" w:rsidR="000C7AC0" w:rsidRDefault="000C7AC0">
      <w:pPr>
        <w:keepNext/>
        <w:suppressAutoHyphens/>
        <w:rPr>
          <w:del w:id="4799" w:author="AbbVie02no" w:date="2025-05-15T13:45:00Z"/>
          <w:sz w:val="22"/>
          <w:szCs w:val="22"/>
        </w:rPr>
        <w:pPrChange w:id="4800" w:author="AbbVie02no" w:date="2025-05-15T13:45:00Z">
          <w:pPr>
            <w:tabs>
              <w:tab w:val="left" w:pos="705"/>
            </w:tabs>
            <w:suppressAutoHyphens/>
          </w:pPr>
        </w:pPrChange>
      </w:pPr>
    </w:p>
    <w:p w14:paraId="7649F8D6" w14:textId="772DEC59" w:rsidR="00B61B62" w:rsidRPr="00E04B2A" w:rsidRDefault="00E453CD">
      <w:pPr>
        <w:keepNext/>
        <w:suppressAutoHyphens/>
        <w:rPr>
          <w:del w:id="4801" w:author="AbbVie02no" w:date="2025-05-15T13:45:00Z"/>
          <w:b/>
          <w:bCs/>
          <w:iCs/>
          <w:sz w:val="22"/>
        </w:rPr>
        <w:pPrChange w:id="4802" w:author="AbbVie02no" w:date="2025-05-15T13:45:00Z">
          <w:pPr/>
        </w:pPrChange>
      </w:pPr>
      <w:del w:id="4803" w:author="AbbVie02no" w:date="2025-05-15T13:45:00Z">
        <w:r w:rsidRPr="00E04B2A">
          <w:rPr>
            <w:i/>
            <w:sz w:val="22"/>
          </w:rPr>
          <w:delText>Pediatrisk ulcerøs kolitt</w:delText>
        </w:r>
        <w:r w:rsidRPr="00E04B2A">
          <w:rPr>
            <w:b/>
            <w:sz w:val="22"/>
          </w:rPr>
          <w:delText xml:space="preserve"> </w:delText>
        </w:r>
      </w:del>
    </w:p>
    <w:p w14:paraId="0EDC12A5" w14:textId="37D10952" w:rsidR="00B61B62" w:rsidRPr="00E04B2A" w:rsidRDefault="00B61B62">
      <w:pPr>
        <w:keepNext/>
        <w:suppressAutoHyphens/>
        <w:rPr>
          <w:del w:id="4804" w:author="AbbVie02no" w:date="2025-05-15T13:45:00Z"/>
          <w:sz w:val="22"/>
        </w:rPr>
        <w:pPrChange w:id="4805" w:author="AbbVie02no" w:date="2025-05-15T13:45:00Z">
          <w:pPr/>
        </w:pPrChange>
      </w:pPr>
    </w:p>
    <w:p w14:paraId="2BC402CF" w14:textId="0B3D7B19" w:rsidR="00B61B62" w:rsidRPr="00E04B2A" w:rsidRDefault="00E453CD">
      <w:pPr>
        <w:keepNext/>
        <w:suppressAutoHyphens/>
        <w:rPr>
          <w:del w:id="4806" w:author="AbbVie02no" w:date="2025-05-15T13:45:00Z"/>
          <w:sz w:val="22"/>
        </w:rPr>
        <w:pPrChange w:id="4807" w:author="AbbVie02no" w:date="2025-05-15T13:45:00Z">
          <w:pPr/>
        </w:pPrChange>
      </w:pPr>
      <w:del w:id="4808" w:author="AbbVie02no" w:date="2025-05-15T13:45:00Z">
        <w:r>
          <w:rPr>
            <w:sz w:val="22"/>
          </w:rPr>
          <w:delText>A</w:delText>
        </w:r>
        <w:r w:rsidRPr="00E04B2A">
          <w:rPr>
            <w:sz w:val="22"/>
          </w:rPr>
          <w:delText>nbefalt dose</w:delText>
        </w:r>
        <w:r>
          <w:rPr>
            <w:sz w:val="22"/>
          </w:rPr>
          <w:delText xml:space="preserve"> av</w:delText>
        </w:r>
        <w:r w:rsidRPr="00E04B2A">
          <w:rPr>
            <w:sz w:val="22"/>
          </w:rPr>
          <w:delText xml:space="preserve"> Humira for pasienter </w:delText>
        </w:r>
        <w:r>
          <w:rPr>
            <w:sz w:val="22"/>
          </w:rPr>
          <w:delText>fra</w:delText>
        </w:r>
        <w:r w:rsidRPr="00E04B2A">
          <w:rPr>
            <w:sz w:val="22"/>
          </w:rPr>
          <w:delText xml:space="preserve"> 6 til 17 år med ulcerøs kolitt er basert på kroppsvekt (tabell 5). Humira administreres </w:delText>
        </w:r>
        <w:r>
          <w:rPr>
            <w:sz w:val="22"/>
          </w:rPr>
          <w:delText>som</w:delText>
        </w:r>
        <w:r w:rsidRPr="00E04B2A">
          <w:rPr>
            <w:sz w:val="22"/>
          </w:rPr>
          <w:delText xml:space="preserve"> subkutan injeksjon. </w:delText>
        </w:r>
      </w:del>
    </w:p>
    <w:p w14:paraId="19AC81E3" w14:textId="50A82C46" w:rsidR="00B61B62" w:rsidRPr="00E04B2A" w:rsidRDefault="00B61B62">
      <w:pPr>
        <w:keepNext/>
        <w:suppressAutoHyphens/>
        <w:rPr>
          <w:del w:id="4809" w:author="AbbVie02no" w:date="2025-05-15T13:45:00Z"/>
          <w:sz w:val="22"/>
        </w:rPr>
        <w:pPrChange w:id="4810" w:author="AbbVie02no" w:date="2025-05-15T13:45:00Z">
          <w:pPr/>
        </w:pPrChange>
      </w:pPr>
    </w:p>
    <w:p w14:paraId="09FFAE45" w14:textId="4B6A950A" w:rsidR="00B61B62" w:rsidRPr="00E04B2A" w:rsidRDefault="00E453CD">
      <w:pPr>
        <w:keepNext/>
        <w:suppressAutoHyphens/>
        <w:rPr>
          <w:del w:id="4811" w:author="AbbVie02no" w:date="2025-05-15T13:45:00Z"/>
          <w:sz w:val="22"/>
        </w:rPr>
        <w:pPrChange w:id="4812" w:author="AbbVie02no" w:date="2025-05-15T13:45:00Z">
          <w:pPr>
            <w:keepNext/>
            <w:jc w:val="center"/>
          </w:pPr>
        </w:pPrChange>
      </w:pPr>
      <w:del w:id="4813" w:author="AbbVie02no" w:date="2025-05-15T13:45:00Z">
        <w:r w:rsidRPr="00E04B2A">
          <w:rPr>
            <w:b/>
            <w:sz w:val="22"/>
          </w:rPr>
          <w:delText>Tabell 5. Humiradose</w:delText>
        </w:r>
        <w:r w:rsidR="00476983">
          <w:rPr>
            <w:b/>
            <w:sz w:val="22"/>
          </w:rPr>
          <w:delText>ring</w:delText>
        </w:r>
        <w:r w:rsidRPr="00E04B2A">
          <w:rPr>
            <w:b/>
            <w:sz w:val="22"/>
          </w:rPr>
          <w:delText xml:space="preserve"> for </w:delText>
        </w:r>
        <w:r w:rsidR="00476983" w:rsidRPr="00476983">
          <w:rPr>
            <w:b/>
            <w:sz w:val="22"/>
          </w:rPr>
          <w:delText>pediatriske pasienter</w:delText>
        </w:r>
        <w:r w:rsidRPr="00E04B2A">
          <w:rPr>
            <w:b/>
            <w:sz w:val="22"/>
          </w:rPr>
          <w:delText xml:space="preserve"> med ulcerøs kolitt </w:delText>
        </w:r>
      </w:del>
    </w:p>
    <w:tbl>
      <w:tblPr>
        <w:tblW w:w="4695"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3"/>
        <w:gridCol w:w="4425"/>
        <w:gridCol w:w="2269"/>
      </w:tblGrid>
      <w:tr w:rsidR="004644D4" w14:paraId="0DE6392D" w14:textId="3191F40C" w:rsidTr="00BA47BC">
        <w:trPr>
          <w:jc w:val="center"/>
          <w:del w:id="4814" w:author="AbbVie02no" w:date="2025-05-15T13:45: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0CD4783" w14:textId="6C918638" w:rsidR="00B61B62" w:rsidRPr="00E04B2A" w:rsidRDefault="00E453CD">
            <w:pPr>
              <w:keepNext/>
              <w:suppressAutoHyphens/>
              <w:rPr>
                <w:del w:id="4815" w:author="AbbVie02no" w:date="2025-05-15T13:45:00Z"/>
                <w:b/>
                <w:sz w:val="22"/>
              </w:rPr>
              <w:pPrChange w:id="4816" w:author="AbbVie02no" w:date="2025-05-15T13:45:00Z">
                <w:pPr>
                  <w:jc w:val="center"/>
                </w:pPr>
              </w:pPrChange>
            </w:pPr>
            <w:del w:id="4817" w:author="AbbVie02no" w:date="2025-05-15T13:45:00Z">
              <w:r>
                <w:rPr>
                  <w:b/>
                  <w:sz w:val="22"/>
                </w:rPr>
                <w:lastRenderedPageBreak/>
                <w:delText>Kropps</w:delText>
              </w:r>
              <w:r w:rsidRPr="00E04B2A">
                <w:rPr>
                  <w:b/>
                  <w:sz w:val="22"/>
                </w:rPr>
                <w:delText>vekt</w:delText>
              </w:r>
            </w:del>
          </w:p>
        </w:tc>
        <w:tc>
          <w:tcPr>
            <w:tcW w:w="2604" w:type="pct"/>
            <w:tcBorders>
              <w:top w:val="single" w:sz="6" w:space="0" w:color="000000"/>
              <w:left w:val="single" w:sz="6" w:space="0" w:color="000000"/>
              <w:bottom w:val="single" w:sz="6" w:space="0" w:color="000000"/>
              <w:right w:val="single" w:sz="6" w:space="0" w:color="000000"/>
            </w:tcBorders>
            <w:vAlign w:val="center"/>
            <w:hideMark/>
          </w:tcPr>
          <w:p w14:paraId="4E3D3A24" w14:textId="0E7B8435" w:rsidR="00B61B62" w:rsidRPr="00E04B2A" w:rsidRDefault="00E453CD">
            <w:pPr>
              <w:keepNext/>
              <w:suppressAutoHyphens/>
              <w:rPr>
                <w:del w:id="4818" w:author="AbbVie02no" w:date="2025-05-15T13:45:00Z"/>
                <w:b/>
                <w:sz w:val="22"/>
              </w:rPr>
              <w:pPrChange w:id="4819" w:author="AbbVie02no" w:date="2025-05-15T13:45:00Z">
                <w:pPr>
                  <w:jc w:val="center"/>
                </w:pPr>
              </w:pPrChange>
            </w:pPr>
            <w:del w:id="4820" w:author="AbbVie02no" w:date="2025-05-15T13:45:00Z">
              <w:r>
                <w:rPr>
                  <w:b/>
                  <w:sz w:val="22"/>
                </w:rPr>
                <w:delText>Start</w:delText>
              </w:r>
              <w:r w:rsidRPr="00E04B2A">
                <w:rPr>
                  <w:b/>
                  <w:sz w:val="22"/>
                </w:rPr>
                <w:delText>dose</w:delText>
              </w:r>
            </w:del>
          </w:p>
        </w:tc>
        <w:tc>
          <w:tcPr>
            <w:tcW w:w="1335" w:type="pct"/>
            <w:tcBorders>
              <w:top w:val="single" w:sz="6" w:space="0" w:color="000000"/>
              <w:left w:val="single" w:sz="6" w:space="0" w:color="000000"/>
              <w:bottom w:val="single" w:sz="6" w:space="0" w:color="000000"/>
              <w:right w:val="single" w:sz="6" w:space="0" w:color="000000"/>
            </w:tcBorders>
            <w:hideMark/>
          </w:tcPr>
          <w:p w14:paraId="1DEC50D8" w14:textId="0EF03E47" w:rsidR="00B61B62" w:rsidRPr="00E04B2A" w:rsidRDefault="00E453CD">
            <w:pPr>
              <w:keepNext/>
              <w:suppressAutoHyphens/>
              <w:rPr>
                <w:del w:id="4821" w:author="AbbVie02no" w:date="2025-05-15T13:45:00Z"/>
                <w:b/>
                <w:sz w:val="22"/>
              </w:rPr>
              <w:pPrChange w:id="4822" w:author="AbbVie02no" w:date="2025-05-15T13:45:00Z">
                <w:pPr>
                  <w:jc w:val="center"/>
                </w:pPr>
              </w:pPrChange>
            </w:pPr>
            <w:del w:id="4823" w:author="AbbVie02no" w:date="2025-05-15T13:45:00Z">
              <w:r w:rsidRPr="00E04B2A">
                <w:rPr>
                  <w:b/>
                  <w:sz w:val="22"/>
                </w:rPr>
                <w:delText xml:space="preserve">Vedlikeholdsdose </w:delText>
              </w:r>
              <w:r w:rsidRPr="00E04B2A">
                <w:rPr>
                  <w:b/>
                  <w:sz w:val="22"/>
                </w:rPr>
                <w:br/>
                <w:delText>fra uke 4*</w:delText>
              </w:r>
            </w:del>
          </w:p>
        </w:tc>
      </w:tr>
      <w:tr w:rsidR="004644D4" w14:paraId="6CA81F0A" w14:textId="76D84F6B" w:rsidTr="00BA47BC">
        <w:trPr>
          <w:jc w:val="center"/>
          <w:del w:id="4824" w:author="AbbVie02no" w:date="2025-05-15T13:45:00Z"/>
        </w:trPr>
        <w:tc>
          <w:tcPr>
            <w:tcW w:w="0" w:type="auto"/>
            <w:tcBorders>
              <w:top w:val="single" w:sz="6" w:space="0" w:color="000000"/>
              <w:left w:val="single" w:sz="6" w:space="0" w:color="000000"/>
              <w:bottom w:val="single" w:sz="6" w:space="0" w:color="000000"/>
              <w:right w:val="single" w:sz="6" w:space="0" w:color="000000"/>
            </w:tcBorders>
            <w:hideMark/>
          </w:tcPr>
          <w:p w14:paraId="542C2A7E" w14:textId="54CFF7CF" w:rsidR="00B61B62" w:rsidRPr="00E04B2A" w:rsidRDefault="00E453CD">
            <w:pPr>
              <w:keepNext/>
              <w:suppressAutoHyphens/>
              <w:rPr>
                <w:del w:id="4825" w:author="AbbVie02no" w:date="2025-05-15T13:45:00Z"/>
                <w:sz w:val="22"/>
              </w:rPr>
              <w:pPrChange w:id="4826" w:author="AbbVie02no" w:date="2025-05-15T13:45:00Z">
                <w:pPr>
                  <w:jc w:val="center"/>
                </w:pPr>
              </w:pPrChange>
            </w:pPr>
            <w:del w:id="4827" w:author="AbbVie02no" w:date="2025-05-15T13:45:00Z">
              <w:r w:rsidRPr="00E04B2A">
                <w:rPr>
                  <w:sz w:val="22"/>
                </w:rPr>
                <w:delText>&lt;40 kg</w:delText>
              </w:r>
            </w:del>
          </w:p>
        </w:tc>
        <w:tc>
          <w:tcPr>
            <w:tcW w:w="2604" w:type="pct"/>
            <w:tcBorders>
              <w:top w:val="single" w:sz="6" w:space="0" w:color="000000"/>
              <w:left w:val="single" w:sz="6" w:space="0" w:color="000000"/>
              <w:bottom w:val="single" w:sz="6" w:space="0" w:color="000000"/>
              <w:right w:val="single" w:sz="6" w:space="0" w:color="000000"/>
            </w:tcBorders>
            <w:hideMark/>
          </w:tcPr>
          <w:p w14:paraId="3D6717FD" w14:textId="67713D01" w:rsidR="00B61B62" w:rsidRPr="00E04B2A" w:rsidRDefault="00E453CD">
            <w:pPr>
              <w:keepNext/>
              <w:suppressAutoHyphens/>
              <w:rPr>
                <w:del w:id="4828" w:author="AbbVie02no" w:date="2025-05-15T13:45:00Z"/>
                <w:sz w:val="22"/>
              </w:rPr>
              <w:pPrChange w:id="4829" w:author="AbbVie02no" w:date="2025-05-15T13:45:00Z">
                <w:pPr>
                  <w:numPr>
                    <w:numId w:val="162"/>
                  </w:numPr>
                  <w:ind w:left="360" w:hanging="210"/>
                </w:pPr>
              </w:pPrChange>
            </w:pPr>
            <w:del w:id="4830" w:author="AbbVie02no" w:date="2025-05-15T13:45:00Z">
              <w:r w:rsidRPr="00E04B2A">
                <w:rPr>
                  <w:sz w:val="22"/>
                </w:rPr>
                <w:delText>80</w:delText>
              </w:r>
              <w:r w:rsidR="001B6BBF">
                <w:rPr>
                  <w:sz w:val="22"/>
                </w:rPr>
                <w:delText> </w:delText>
              </w:r>
              <w:r w:rsidRPr="00E04B2A">
                <w:rPr>
                  <w:sz w:val="22"/>
                </w:rPr>
                <w:delText xml:space="preserve">mg </w:delText>
              </w:r>
              <w:r w:rsidR="0061335A">
                <w:rPr>
                  <w:sz w:val="22"/>
                </w:rPr>
                <w:delText>ved</w:delText>
              </w:r>
              <w:r w:rsidRPr="00E04B2A">
                <w:rPr>
                  <w:sz w:val="22"/>
                </w:rPr>
                <w:delText xml:space="preserve"> uke 0 (gitt som to 40</w:delText>
              </w:r>
              <w:r w:rsidR="001B6BBF">
                <w:rPr>
                  <w:sz w:val="22"/>
                </w:rPr>
                <w:delText> </w:delText>
              </w:r>
              <w:r w:rsidRPr="00E04B2A">
                <w:rPr>
                  <w:sz w:val="22"/>
                </w:rPr>
                <w:delText>mg injeksjoner på én dag) og</w:delText>
              </w:r>
            </w:del>
          </w:p>
          <w:p w14:paraId="3710142F" w14:textId="519AB910" w:rsidR="00B61B62" w:rsidRPr="00E04B2A" w:rsidRDefault="00E453CD">
            <w:pPr>
              <w:keepNext/>
              <w:suppressAutoHyphens/>
              <w:rPr>
                <w:del w:id="4831" w:author="AbbVie02no" w:date="2025-05-15T13:45:00Z"/>
                <w:sz w:val="22"/>
              </w:rPr>
              <w:pPrChange w:id="4832" w:author="AbbVie02no" w:date="2025-05-15T13:45:00Z">
                <w:pPr>
                  <w:numPr>
                    <w:numId w:val="162"/>
                  </w:numPr>
                  <w:ind w:left="360" w:hanging="210"/>
                </w:pPr>
              </w:pPrChange>
            </w:pPr>
            <w:del w:id="4833" w:author="AbbVie02no" w:date="2025-05-15T13:45:00Z">
              <w:r w:rsidRPr="00E04B2A">
                <w:rPr>
                  <w:sz w:val="22"/>
                </w:rPr>
                <w:delText>40</w:delText>
              </w:r>
              <w:r w:rsidR="001B6BBF">
                <w:rPr>
                  <w:sz w:val="22"/>
                </w:rPr>
                <w:delText> </w:delText>
              </w:r>
              <w:r w:rsidRPr="00E04B2A">
                <w:rPr>
                  <w:sz w:val="22"/>
                </w:rPr>
                <w:delText xml:space="preserve">mg </w:delText>
              </w:r>
              <w:r w:rsidR="0061335A">
                <w:rPr>
                  <w:sz w:val="22"/>
                </w:rPr>
                <w:delText>ved</w:delText>
              </w:r>
              <w:r w:rsidRPr="00E04B2A">
                <w:rPr>
                  <w:sz w:val="22"/>
                </w:rPr>
                <w:delText xml:space="preserve"> uke 2 (gitt som </w:delText>
              </w:r>
              <w:r w:rsidR="00FB07C3">
                <w:rPr>
                  <w:sz w:val="22"/>
                </w:rPr>
                <w:delText>é</w:delText>
              </w:r>
              <w:r w:rsidRPr="00E04B2A">
                <w:rPr>
                  <w:sz w:val="22"/>
                </w:rPr>
                <w:delText>n 40</w:delText>
              </w:r>
              <w:r w:rsidR="001B6BBF">
                <w:rPr>
                  <w:sz w:val="22"/>
                </w:rPr>
                <w:delText> </w:delText>
              </w:r>
              <w:r w:rsidRPr="00E04B2A">
                <w:rPr>
                  <w:sz w:val="22"/>
                </w:rPr>
                <w:delText>mg injeksjon)</w:delText>
              </w:r>
            </w:del>
          </w:p>
        </w:tc>
        <w:tc>
          <w:tcPr>
            <w:tcW w:w="1335" w:type="pct"/>
            <w:tcBorders>
              <w:top w:val="single" w:sz="6" w:space="0" w:color="000000"/>
              <w:left w:val="single" w:sz="6" w:space="0" w:color="000000"/>
              <w:bottom w:val="single" w:sz="6" w:space="0" w:color="000000"/>
              <w:right w:val="single" w:sz="6" w:space="0" w:color="000000"/>
            </w:tcBorders>
            <w:hideMark/>
          </w:tcPr>
          <w:p w14:paraId="7EE32FA7" w14:textId="6E66BFC8" w:rsidR="00B61B62" w:rsidRPr="00E04B2A" w:rsidRDefault="00E453CD">
            <w:pPr>
              <w:keepNext/>
              <w:suppressAutoHyphens/>
              <w:rPr>
                <w:del w:id="4834" w:author="AbbVie02no" w:date="2025-05-15T13:45:00Z"/>
                <w:sz w:val="22"/>
              </w:rPr>
              <w:pPrChange w:id="4835" w:author="AbbVie02no" w:date="2025-05-15T13:45:00Z">
                <w:pPr>
                  <w:numPr>
                    <w:numId w:val="162"/>
                  </w:numPr>
                  <w:ind w:left="360" w:hanging="210"/>
                </w:pPr>
              </w:pPrChange>
            </w:pPr>
            <w:del w:id="4836" w:author="AbbVie02no" w:date="2025-05-15T13:45:00Z">
              <w:r w:rsidRPr="00E04B2A">
                <w:rPr>
                  <w:sz w:val="22"/>
                </w:rPr>
                <w:delText>40</w:delText>
              </w:r>
              <w:r w:rsidR="001B6BBF">
                <w:rPr>
                  <w:sz w:val="22"/>
                </w:rPr>
                <w:delText> </w:delText>
              </w:r>
              <w:r w:rsidRPr="00E04B2A">
                <w:rPr>
                  <w:sz w:val="22"/>
                </w:rPr>
                <w:delText>mg annenhver uke</w:delText>
              </w:r>
            </w:del>
          </w:p>
        </w:tc>
      </w:tr>
      <w:tr w:rsidR="004644D4" w14:paraId="236A0547" w14:textId="7B3343F7" w:rsidTr="00BA47BC">
        <w:trPr>
          <w:jc w:val="center"/>
          <w:del w:id="4837" w:author="AbbVie02no" w:date="2025-05-15T13:45:00Z"/>
        </w:trPr>
        <w:tc>
          <w:tcPr>
            <w:tcW w:w="0" w:type="auto"/>
            <w:tcBorders>
              <w:top w:val="single" w:sz="6" w:space="0" w:color="000000"/>
              <w:left w:val="single" w:sz="6" w:space="0" w:color="000000"/>
              <w:bottom w:val="single" w:sz="4" w:space="0" w:color="auto"/>
              <w:right w:val="single" w:sz="6" w:space="0" w:color="000000"/>
            </w:tcBorders>
            <w:hideMark/>
          </w:tcPr>
          <w:p w14:paraId="08BBA8C4" w14:textId="35044EB4" w:rsidR="00B61B62" w:rsidRPr="00E04B2A" w:rsidRDefault="00E453CD">
            <w:pPr>
              <w:keepNext/>
              <w:suppressAutoHyphens/>
              <w:rPr>
                <w:del w:id="4838" w:author="AbbVie02no" w:date="2025-05-15T13:45:00Z"/>
                <w:sz w:val="22"/>
              </w:rPr>
              <w:pPrChange w:id="4839" w:author="AbbVie02no" w:date="2025-05-15T13:45:00Z">
                <w:pPr>
                  <w:jc w:val="center"/>
                </w:pPr>
              </w:pPrChange>
            </w:pPr>
            <w:del w:id="4840" w:author="AbbVie02no" w:date="2025-05-15T13:45:00Z">
              <w:r w:rsidRPr="00E04B2A">
                <w:rPr>
                  <w:sz w:val="22"/>
                </w:rPr>
                <w:delText>≥ 40 kg</w:delText>
              </w:r>
            </w:del>
          </w:p>
        </w:tc>
        <w:tc>
          <w:tcPr>
            <w:tcW w:w="2604" w:type="pct"/>
            <w:tcBorders>
              <w:top w:val="single" w:sz="6" w:space="0" w:color="000000"/>
              <w:left w:val="single" w:sz="6" w:space="0" w:color="000000"/>
              <w:bottom w:val="single" w:sz="4" w:space="0" w:color="auto"/>
              <w:right w:val="single" w:sz="6" w:space="0" w:color="000000"/>
            </w:tcBorders>
            <w:hideMark/>
          </w:tcPr>
          <w:p w14:paraId="22460A7F" w14:textId="350CD63A" w:rsidR="00B61B62" w:rsidRPr="00E04B2A" w:rsidRDefault="00E453CD">
            <w:pPr>
              <w:keepNext/>
              <w:suppressAutoHyphens/>
              <w:rPr>
                <w:del w:id="4841" w:author="AbbVie02no" w:date="2025-05-15T13:45:00Z"/>
                <w:sz w:val="22"/>
              </w:rPr>
              <w:pPrChange w:id="4842" w:author="AbbVie02no" w:date="2025-05-15T13:45:00Z">
                <w:pPr>
                  <w:numPr>
                    <w:numId w:val="163"/>
                  </w:numPr>
                  <w:ind w:left="360" w:hanging="210"/>
                </w:pPr>
              </w:pPrChange>
            </w:pPr>
            <w:del w:id="4843" w:author="AbbVie02no" w:date="2025-05-15T13:45:00Z">
              <w:r w:rsidRPr="00E04B2A">
                <w:rPr>
                  <w:sz w:val="22"/>
                </w:rPr>
                <w:delText>160</w:delText>
              </w:r>
              <w:r w:rsidR="001B6BBF">
                <w:rPr>
                  <w:sz w:val="22"/>
                </w:rPr>
                <w:delText> </w:delText>
              </w:r>
              <w:r w:rsidRPr="00E04B2A">
                <w:rPr>
                  <w:sz w:val="22"/>
                </w:rPr>
                <w:delText xml:space="preserve">mg </w:delText>
              </w:r>
              <w:r w:rsidR="0061335A">
                <w:rPr>
                  <w:sz w:val="22"/>
                </w:rPr>
                <w:delText>ved</w:delText>
              </w:r>
              <w:r w:rsidRPr="00E04B2A">
                <w:rPr>
                  <w:sz w:val="22"/>
                </w:rPr>
                <w:delText xml:space="preserve"> uke 0 (gitt som fire 40</w:delText>
              </w:r>
              <w:r w:rsidR="001B6BBF">
                <w:rPr>
                  <w:sz w:val="22"/>
                </w:rPr>
                <w:delText> </w:delText>
              </w:r>
              <w:r w:rsidRPr="00E04B2A">
                <w:rPr>
                  <w:sz w:val="22"/>
                </w:rPr>
                <w:delText xml:space="preserve">mg injeksjoner på </w:delText>
              </w:r>
              <w:r w:rsidR="00FB07C3">
                <w:rPr>
                  <w:sz w:val="22"/>
                </w:rPr>
                <w:delText>é</w:delText>
              </w:r>
              <w:r w:rsidRPr="00E04B2A">
                <w:rPr>
                  <w:sz w:val="22"/>
                </w:rPr>
                <w:delText>n dag eller to 40</w:delText>
              </w:r>
              <w:r w:rsidR="001B6BBF">
                <w:rPr>
                  <w:sz w:val="22"/>
                </w:rPr>
                <w:delText> </w:delText>
              </w:r>
              <w:r w:rsidRPr="00E04B2A">
                <w:rPr>
                  <w:sz w:val="22"/>
                </w:rPr>
                <w:delText>mg injeksjoner dag</w:delText>
              </w:r>
              <w:r w:rsidR="0061335A">
                <w:rPr>
                  <w:sz w:val="22"/>
                </w:rPr>
                <w:delText>lig</w:delText>
              </w:r>
              <w:r w:rsidRPr="00E04B2A">
                <w:rPr>
                  <w:sz w:val="22"/>
                </w:rPr>
                <w:delText xml:space="preserve"> </w:delText>
              </w:r>
              <w:r w:rsidR="00326F9C">
                <w:rPr>
                  <w:sz w:val="22"/>
                </w:rPr>
                <w:delText>i</w:delText>
              </w:r>
              <w:r w:rsidRPr="00E04B2A">
                <w:rPr>
                  <w:sz w:val="22"/>
                </w:rPr>
                <w:delText xml:space="preserve"> to påfølgende dager) og</w:delText>
              </w:r>
            </w:del>
          </w:p>
          <w:p w14:paraId="740D72D0" w14:textId="7D3526CD" w:rsidR="00B61B62" w:rsidRPr="00E04B2A" w:rsidRDefault="00E453CD">
            <w:pPr>
              <w:keepNext/>
              <w:suppressAutoHyphens/>
              <w:rPr>
                <w:del w:id="4844" w:author="AbbVie02no" w:date="2025-05-15T13:45:00Z"/>
                <w:sz w:val="22"/>
              </w:rPr>
              <w:pPrChange w:id="4845" w:author="AbbVie02no" w:date="2025-05-15T13:45:00Z">
                <w:pPr>
                  <w:numPr>
                    <w:numId w:val="163"/>
                  </w:numPr>
                  <w:ind w:left="360" w:hanging="210"/>
                </w:pPr>
              </w:pPrChange>
            </w:pPr>
            <w:del w:id="4846" w:author="AbbVie02no" w:date="2025-05-15T13:45:00Z">
              <w:r w:rsidRPr="00E04B2A">
                <w:rPr>
                  <w:sz w:val="22"/>
                </w:rPr>
                <w:delText>80</w:delText>
              </w:r>
              <w:r w:rsidR="001B6BBF">
                <w:rPr>
                  <w:sz w:val="22"/>
                </w:rPr>
                <w:delText> </w:delText>
              </w:r>
              <w:r w:rsidRPr="00E04B2A">
                <w:rPr>
                  <w:sz w:val="22"/>
                </w:rPr>
                <w:delText xml:space="preserve">mg </w:delText>
              </w:r>
              <w:r w:rsidR="0061335A">
                <w:rPr>
                  <w:sz w:val="22"/>
                </w:rPr>
                <w:delText>ved</w:delText>
              </w:r>
              <w:r w:rsidRPr="00E04B2A">
                <w:rPr>
                  <w:sz w:val="22"/>
                </w:rPr>
                <w:delText xml:space="preserve"> uke 2 (gitt som to 40</w:delText>
              </w:r>
              <w:r w:rsidR="001B6BBF">
                <w:rPr>
                  <w:sz w:val="22"/>
                </w:rPr>
                <w:delText> </w:delText>
              </w:r>
              <w:r w:rsidRPr="00E04B2A">
                <w:rPr>
                  <w:sz w:val="22"/>
                </w:rPr>
                <w:delText>mg injeksjoner på én dag)</w:delText>
              </w:r>
            </w:del>
          </w:p>
        </w:tc>
        <w:tc>
          <w:tcPr>
            <w:tcW w:w="1335" w:type="pct"/>
            <w:tcBorders>
              <w:top w:val="single" w:sz="6" w:space="0" w:color="000000"/>
              <w:left w:val="single" w:sz="6" w:space="0" w:color="000000"/>
              <w:bottom w:val="single" w:sz="4" w:space="0" w:color="auto"/>
              <w:right w:val="single" w:sz="6" w:space="0" w:color="000000"/>
            </w:tcBorders>
            <w:hideMark/>
          </w:tcPr>
          <w:p w14:paraId="42FA9D1C" w14:textId="2DFDC31F" w:rsidR="00B61B62" w:rsidRPr="00E04B2A" w:rsidRDefault="00E453CD">
            <w:pPr>
              <w:keepNext/>
              <w:suppressAutoHyphens/>
              <w:rPr>
                <w:del w:id="4847" w:author="AbbVie02no" w:date="2025-05-15T13:45:00Z"/>
                <w:sz w:val="22"/>
              </w:rPr>
              <w:pPrChange w:id="4848" w:author="AbbVie02no" w:date="2025-05-15T13:45:00Z">
                <w:pPr>
                  <w:numPr>
                    <w:numId w:val="162"/>
                  </w:numPr>
                  <w:ind w:left="360" w:hanging="210"/>
                </w:pPr>
              </w:pPrChange>
            </w:pPr>
            <w:del w:id="4849" w:author="AbbVie02no" w:date="2025-05-15T13:45:00Z">
              <w:r w:rsidRPr="00E04B2A">
                <w:rPr>
                  <w:sz w:val="22"/>
                </w:rPr>
                <w:delText>80</w:delText>
              </w:r>
              <w:r w:rsidR="001B6BBF">
                <w:rPr>
                  <w:sz w:val="22"/>
                </w:rPr>
                <w:delText> </w:delText>
              </w:r>
              <w:r w:rsidRPr="00E04B2A">
                <w:rPr>
                  <w:sz w:val="22"/>
                </w:rPr>
                <w:delText>mg annenhver uke</w:delText>
              </w:r>
            </w:del>
          </w:p>
        </w:tc>
      </w:tr>
      <w:tr w:rsidR="004644D4" w14:paraId="3C1C6631" w14:textId="3C67CD7A" w:rsidTr="00BA47BC">
        <w:trPr>
          <w:jc w:val="center"/>
          <w:del w:id="4850" w:author="AbbVie02no" w:date="2025-05-15T13:45:00Z"/>
        </w:trPr>
        <w:tc>
          <w:tcPr>
            <w:tcW w:w="5000" w:type="pct"/>
            <w:gridSpan w:val="3"/>
            <w:tcBorders>
              <w:top w:val="single" w:sz="4" w:space="0" w:color="auto"/>
              <w:left w:val="nil"/>
              <w:bottom w:val="nil"/>
              <w:right w:val="nil"/>
            </w:tcBorders>
          </w:tcPr>
          <w:p w14:paraId="355940EC" w14:textId="59195892" w:rsidR="00B61B62" w:rsidRPr="00E04B2A" w:rsidRDefault="00E453CD">
            <w:pPr>
              <w:keepNext/>
              <w:suppressAutoHyphens/>
              <w:rPr>
                <w:del w:id="4851" w:author="AbbVie02no" w:date="2025-05-15T13:45:00Z"/>
                <w:sz w:val="22"/>
              </w:rPr>
              <w:pPrChange w:id="4852" w:author="AbbVie02no" w:date="2025-05-15T13:45:00Z">
                <w:pPr/>
              </w:pPrChange>
            </w:pPr>
            <w:del w:id="4853" w:author="AbbVie02no" w:date="2025-05-15T13:45:00Z">
              <w:r w:rsidRPr="00E04B2A">
                <w:rPr>
                  <w:sz w:val="22"/>
                  <w:vertAlign w:val="superscript"/>
                </w:rPr>
                <w:delText>*</w:delText>
              </w:r>
              <w:r w:rsidR="005640DB">
                <w:rPr>
                  <w:sz w:val="22"/>
                </w:rPr>
                <w:delText>Pediatriske pasienter som fyller 18</w:delText>
              </w:r>
              <w:r w:rsidRPr="00E04B2A">
                <w:rPr>
                  <w:sz w:val="22"/>
                </w:rPr>
                <w:delText xml:space="preserve"> år mens de bruker Humira, bør fortsette sin foreskrevne vedlikeholdsdose.</w:delText>
              </w:r>
            </w:del>
          </w:p>
        </w:tc>
      </w:tr>
    </w:tbl>
    <w:p w14:paraId="28893214" w14:textId="7542A57F" w:rsidR="00B61B62" w:rsidRPr="00E04B2A" w:rsidRDefault="00B61B62">
      <w:pPr>
        <w:keepNext/>
        <w:suppressAutoHyphens/>
        <w:rPr>
          <w:del w:id="4854" w:author="AbbVie02no" w:date="2025-05-15T13:45:00Z"/>
          <w:sz w:val="22"/>
          <w:szCs w:val="22"/>
        </w:rPr>
        <w:pPrChange w:id="4855" w:author="AbbVie02no" w:date="2025-05-15T13:45:00Z">
          <w:pPr>
            <w:pStyle w:val="gtctablespaceafter"/>
            <w:numPr>
              <w:numId w:val="164"/>
            </w:numPr>
            <w:spacing w:after="0"/>
            <w:ind w:hanging="360"/>
            <w:jc w:val="center"/>
          </w:pPr>
        </w:pPrChange>
      </w:pPr>
    </w:p>
    <w:p w14:paraId="3252FFA9" w14:textId="3FA08762" w:rsidR="00B61B62" w:rsidRPr="00E04B2A" w:rsidRDefault="00E453CD">
      <w:pPr>
        <w:keepNext/>
        <w:suppressAutoHyphens/>
        <w:rPr>
          <w:del w:id="4856" w:author="AbbVie02no" w:date="2025-05-15T13:45:00Z"/>
          <w:sz w:val="22"/>
        </w:rPr>
        <w:pPrChange w:id="4857" w:author="AbbVie02no" w:date="2025-05-15T13:45:00Z">
          <w:pPr/>
        </w:pPrChange>
      </w:pPr>
      <w:del w:id="4858" w:author="AbbVie02no" w:date="2025-05-15T13:45:00Z">
        <w:r>
          <w:rPr>
            <w:sz w:val="22"/>
          </w:rPr>
          <w:delText>Videre</w:delText>
        </w:r>
        <w:r w:rsidRPr="00E04B2A">
          <w:rPr>
            <w:sz w:val="22"/>
          </w:rPr>
          <w:delText xml:space="preserve"> behandling utover 8 uker bør vurderes nøye hos pasienter som ikke viser tegn til respons innen denne tidsperioden.</w:delText>
        </w:r>
      </w:del>
    </w:p>
    <w:p w14:paraId="3526BA6E" w14:textId="0C769318" w:rsidR="00B61B62" w:rsidRPr="00E04B2A" w:rsidRDefault="00B61B62">
      <w:pPr>
        <w:keepNext/>
        <w:suppressAutoHyphens/>
        <w:rPr>
          <w:del w:id="4859" w:author="AbbVie02no" w:date="2025-05-15T13:45:00Z"/>
          <w:sz w:val="22"/>
        </w:rPr>
        <w:pPrChange w:id="4860" w:author="AbbVie02no" w:date="2025-05-15T13:45:00Z">
          <w:pPr/>
        </w:pPrChange>
      </w:pPr>
    </w:p>
    <w:p w14:paraId="29CAE51B" w14:textId="33F59548" w:rsidR="00B61B62" w:rsidRPr="00E04B2A" w:rsidRDefault="00E453CD">
      <w:pPr>
        <w:keepNext/>
        <w:suppressAutoHyphens/>
        <w:rPr>
          <w:del w:id="4861" w:author="AbbVie02no" w:date="2025-05-15T13:45:00Z"/>
          <w:sz w:val="22"/>
        </w:rPr>
        <w:pPrChange w:id="4862" w:author="AbbVie02no" w:date="2025-05-15T13:45:00Z">
          <w:pPr/>
        </w:pPrChange>
      </w:pPr>
      <w:del w:id="4863" w:author="AbbVie02no" w:date="2025-05-15T13:45:00Z">
        <w:r w:rsidRPr="00E04B2A">
          <w:rPr>
            <w:sz w:val="22"/>
          </w:rPr>
          <w:delText xml:space="preserve">Det er </w:delText>
        </w:r>
        <w:r w:rsidR="002E27D2">
          <w:rPr>
            <w:sz w:val="22"/>
          </w:rPr>
          <w:delText>ikke</w:delText>
        </w:r>
        <w:r w:rsidRPr="00E04B2A">
          <w:rPr>
            <w:sz w:val="22"/>
          </w:rPr>
          <w:delText xml:space="preserve"> relevant </w:delText>
        </w:r>
        <w:r w:rsidR="002E27D2">
          <w:rPr>
            <w:sz w:val="22"/>
          </w:rPr>
          <w:delText xml:space="preserve">å </w:delText>
        </w:r>
        <w:r w:rsidRPr="00E04B2A">
          <w:rPr>
            <w:sz w:val="22"/>
          </w:rPr>
          <w:delText>bruk</w:delText>
        </w:r>
        <w:r w:rsidR="002E27D2">
          <w:rPr>
            <w:sz w:val="22"/>
          </w:rPr>
          <w:delText>e</w:delText>
        </w:r>
        <w:r w:rsidRPr="00E04B2A">
          <w:rPr>
            <w:sz w:val="22"/>
          </w:rPr>
          <w:delText xml:space="preserve"> Humira hos barn under 6 år </w:delText>
        </w:r>
        <w:r w:rsidR="002E27D2">
          <w:rPr>
            <w:sz w:val="22"/>
          </w:rPr>
          <w:delText>ved</w:delText>
        </w:r>
        <w:r w:rsidRPr="00E04B2A">
          <w:rPr>
            <w:sz w:val="22"/>
          </w:rPr>
          <w:delText xml:space="preserve"> denne indikasjonen.</w:delText>
        </w:r>
      </w:del>
    </w:p>
    <w:p w14:paraId="67C3F9CC" w14:textId="6F6CB2B6" w:rsidR="00B61B62" w:rsidRPr="00E04B2A" w:rsidRDefault="00B61B62">
      <w:pPr>
        <w:keepNext/>
        <w:suppressAutoHyphens/>
        <w:rPr>
          <w:del w:id="4864" w:author="AbbVie02no" w:date="2025-05-15T13:45:00Z"/>
          <w:sz w:val="22"/>
        </w:rPr>
        <w:pPrChange w:id="4865" w:author="AbbVie02no" w:date="2025-05-15T13:45:00Z">
          <w:pPr/>
        </w:pPrChange>
      </w:pPr>
    </w:p>
    <w:p w14:paraId="645301C4" w14:textId="1403D222" w:rsidR="00B61B62" w:rsidRPr="00E04B2A" w:rsidRDefault="00E453CD">
      <w:pPr>
        <w:keepNext/>
        <w:suppressAutoHyphens/>
        <w:rPr>
          <w:del w:id="4866" w:author="AbbVie02no" w:date="2025-05-15T13:45:00Z"/>
          <w:sz w:val="22"/>
        </w:rPr>
        <w:pPrChange w:id="4867" w:author="AbbVie02no" w:date="2025-05-15T13:45:00Z">
          <w:pPr/>
        </w:pPrChange>
      </w:pPr>
      <w:del w:id="4868" w:author="AbbVie02no" w:date="2025-05-15T13:45:00Z">
        <w:r w:rsidRPr="00E04B2A">
          <w:rPr>
            <w:sz w:val="22"/>
          </w:rPr>
          <w:delText xml:space="preserve">Humira kan være tilgjengelig i </w:delText>
        </w:r>
        <w:r w:rsidR="002E27D2">
          <w:rPr>
            <w:sz w:val="22"/>
          </w:rPr>
          <w:delText>andre</w:delText>
        </w:r>
        <w:r w:rsidRPr="00E04B2A">
          <w:rPr>
            <w:sz w:val="22"/>
          </w:rPr>
          <w:delText xml:space="preserve"> styrker og/eller </w:delText>
        </w:r>
        <w:r w:rsidR="002E27D2">
          <w:rPr>
            <w:sz w:val="22"/>
          </w:rPr>
          <w:delText>formuleringer</w:delText>
        </w:r>
        <w:r w:rsidRPr="00E04B2A">
          <w:rPr>
            <w:sz w:val="22"/>
          </w:rPr>
          <w:delText xml:space="preserve"> avhengig av individuelle behandlingsbehov.</w:delText>
        </w:r>
      </w:del>
    </w:p>
    <w:p w14:paraId="5F77A34E" w14:textId="71A11C0B" w:rsidR="00B61B62" w:rsidRDefault="00B61B62">
      <w:pPr>
        <w:keepNext/>
        <w:suppressAutoHyphens/>
        <w:rPr>
          <w:del w:id="4869" w:author="AbbVie02no" w:date="2025-05-15T13:45:00Z"/>
          <w:sz w:val="22"/>
          <w:szCs w:val="22"/>
        </w:rPr>
        <w:pPrChange w:id="4870" w:author="AbbVie02no" w:date="2025-05-15T13:45:00Z">
          <w:pPr>
            <w:tabs>
              <w:tab w:val="left" w:pos="705"/>
            </w:tabs>
            <w:suppressAutoHyphens/>
          </w:pPr>
        </w:pPrChange>
      </w:pPr>
    </w:p>
    <w:p w14:paraId="0BC0BEC8" w14:textId="286C8954" w:rsidR="000C7AC0" w:rsidRPr="00B3311E" w:rsidRDefault="00E453CD">
      <w:pPr>
        <w:keepNext/>
        <w:suppressAutoHyphens/>
        <w:rPr>
          <w:del w:id="4871" w:author="AbbVie02no" w:date="2025-05-15T13:45:00Z"/>
          <w:i/>
          <w:sz w:val="22"/>
          <w:szCs w:val="22"/>
        </w:rPr>
        <w:pPrChange w:id="4872" w:author="AbbVie02no" w:date="2025-05-15T13:45:00Z">
          <w:pPr>
            <w:keepNext/>
            <w:tabs>
              <w:tab w:val="left" w:pos="705"/>
            </w:tabs>
            <w:suppressAutoHyphens/>
          </w:pPr>
        </w:pPrChange>
      </w:pPr>
      <w:del w:id="4873" w:author="AbbVie02no" w:date="2025-05-15T13:45:00Z">
        <w:r w:rsidRPr="00B3311E">
          <w:rPr>
            <w:i/>
            <w:sz w:val="22"/>
            <w:szCs w:val="22"/>
          </w:rPr>
          <w:delText>Pediatrisk uveitt</w:delText>
        </w:r>
      </w:del>
    </w:p>
    <w:p w14:paraId="7C63B128" w14:textId="66DD2970" w:rsidR="000C7AC0" w:rsidRDefault="000C7AC0">
      <w:pPr>
        <w:keepNext/>
        <w:suppressAutoHyphens/>
        <w:rPr>
          <w:del w:id="4874" w:author="AbbVie02no" w:date="2025-05-15T13:45:00Z"/>
          <w:i/>
          <w:sz w:val="22"/>
          <w:szCs w:val="22"/>
          <w:u w:val="single"/>
        </w:rPr>
        <w:pPrChange w:id="4875" w:author="AbbVie02no" w:date="2025-05-15T13:45:00Z">
          <w:pPr>
            <w:keepNext/>
            <w:tabs>
              <w:tab w:val="left" w:pos="705"/>
            </w:tabs>
            <w:suppressAutoHyphens/>
          </w:pPr>
        </w:pPrChange>
      </w:pPr>
    </w:p>
    <w:p w14:paraId="179035B5" w14:textId="7AE9C41D" w:rsidR="000C7AC0" w:rsidRDefault="00E453CD">
      <w:pPr>
        <w:keepNext/>
        <w:suppressAutoHyphens/>
        <w:rPr>
          <w:del w:id="4876" w:author="AbbVie02no" w:date="2025-05-15T13:45:00Z"/>
          <w:sz w:val="22"/>
          <w:szCs w:val="22"/>
        </w:rPr>
        <w:pPrChange w:id="4877" w:author="AbbVie02no" w:date="2025-05-15T13:45:00Z">
          <w:pPr/>
        </w:pPrChange>
      </w:pPr>
      <w:del w:id="4878" w:author="AbbVie02no" w:date="2025-05-15T13:45:00Z">
        <w:r>
          <w:rPr>
            <w:sz w:val="22"/>
          </w:rPr>
          <w:delText xml:space="preserve">Anbefalt dose av Humira </w:delText>
        </w:r>
        <w:r w:rsidR="00DB0B92">
          <w:rPr>
            <w:sz w:val="22"/>
          </w:rPr>
          <w:delText>hos</w:delText>
        </w:r>
        <w:r>
          <w:rPr>
            <w:sz w:val="22"/>
          </w:rPr>
          <w:delText xml:space="preserve"> pedi</w:delText>
        </w:r>
        <w:r w:rsidR="00465D4D">
          <w:rPr>
            <w:sz w:val="22"/>
          </w:rPr>
          <w:delText>a</w:delText>
        </w:r>
        <w:r>
          <w:rPr>
            <w:sz w:val="22"/>
          </w:rPr>
          <w:delText xml:space="preserve">triske pasienter med uveitt </w:delText>
        </w:r>
        <w:r w:rsidR="00DB0B92">
          <w:rPr>
            <w:sz w:val="22"/>
          </w:rPr>
          <w:delText>over</w:delText>
        </w:r>
        <w:r>
          <w:rPr>
            <w:sz w:val="22"/>
          </w:rPr>
          <w:delText xml:space="preserve"> 2 år er basert på kroppsvekt (</w:delText>
        </w:r>
        <w:r w:rsidR="00FA3AFC">
          <w:rPr>
            <w:sz w:val="22"/>
          </w:rPr>
          <w:delText>t</w:delText>
        </w:r>
        <w:r>
          <w:rPr>
            <w:sz w:val="22"/>
          </w:rPr>
          <w:delText xml:space="preserve">abell </w:delText>
        </w:r>
        <w:r w:rsidR="00B61B62">
          <w:rPr>
            <w:sz w:val="22"/>
          </w:rPr>
          <w:delText>6</w:delText>
        </w:r>
        <w:r>
          <w:rPr>
            <w:sz w:val="22"/>
          </w:rPr>
          <w:delText>). Humira administreres som subkutan injeksjon.</w:delText>
        </w:r>
      </w:del>
    </w:p>
    <w:p w14:paraId="12692312" w14:textId="75157B80" w:rsidR="000C7AC0" w:rsidRDefault="000C7AC0">
      <w:pPr>
        <w:keepNext/>
        <w:suppressAutoHyphens/>
        <w:rPr>
          <w:del w:id="4879" w:author="AbbVie02no" w:date="2025-05-15T13:45:00Z"/>
          <w:sz w:val="22"/>
          <w:szCs w:val="22"/>
        </w:rPr>
        <w:pPrChange w:id="4880" w:author="AbbVie02no" w:date="2025-05-15T13:45:00Z">
          <w:pPr/>
        </w:pPrChange>
      </w:pPr>
    </w:p>
    <w:p w14:paraId="6673137F" w14:textId="4B6A535C" w:rsidR="000C7AC0" w:rsidRDefault="00E453CD">
      <w:pPr>
        <w:keepNext/>
        <w:suppressAutoHyphens/>
        <w:rPr>
          <w:del w:id="4881" w:author="AbbVie02no" w:date="2025-05-15T13:45:00Z"/>
          <w:sz w:val="22"/>
          <w:szCs w:val="22"/>
        </w:rPr>
        <w:pPrChange w:id="4882" w:author="AbbVie02no" w:date="2025-05-15T13:45:00Z">
          <w:pPr>
            <w:tabs>
              <w:tab w:val="left" w:pos="705"/>
            </w:tabs>
            <w:suppressAutoHyphens/>
          </w:pPr>
        </w:pPrChange>
      </w:pPr>
      <w:del w:id="4883" w:author="AbbVie02no" w:date="2025-05-15T13:45:00Z">
        <w:r>
          <w:rPr>
            <w:sz w:val="22"/>
            <w:szCs w:val="22"/>
          </w:rPr>
          <w:delText>Det foreligger ikke erfaring med behandling av pediatrisk uveitt med Humira uten samtidig behandling med metotreksat.</w:delText>
        </w:r>
      </w:del>
    </w:p>
    <w:p w14:paraId="67BFE48C" w14:textId="490CDE6B" w:rsidR="000C7AC0" w:rsidRDefault="000C7AC0">
      <w:pPr>
        <w:keepNext/>
        <w:suppressAutoHyphens/>
        <w:rPr>
          <w:del w:id="4884" w:author="AbbVie02no" w:date="2025-05-15T13:45:00Z"/>
          <w:sz w:val="22"/>
          <w:szCs w:val="22"/>
        </w:rPr>
        <w:pPrChange w:id="4885" w:author="AbbVie02no" w:date="2025-05-15T13:45:00Z">
          <w:pPr/>
        </w:pPrChange>
      </w:pPr>
    </w:p>
    <w:p w14:paraId="47AFC0E6" w14:textId="1208B2A9" w:rsidR="000C7AC0" w:rsidRPr="00AB7697" w:rsidRDefault="00E453CD">
      <w:pPr>
        <w:keepNext/>
        <w:suppressAutoHyphens/>
        <w:rPr>
          <w:del w:id="4886" w:author="AbbVie02no" w:date="2025-05-15T13:45:00Z"/>
          <w:b/>
          <w:sz w:val="22"/>
          <w:szCs w:val="22"/>
        </w:rPr>
        <w:pPrChange w:id="4887" w:author="AbbVie02no" w:date="2025-05-15T13:45:00Z">
          <w:pPr>
            <w:keepNext/>
            <w:jc w:val="center"/>
          </w:pPr>
        </w:pPrChange>
      </w:pPr>
      <w:del w:id="4888" w:author="AbbVie02no" w:date="2025-05-15T13:45:00Z">
        <w:r w:rsidRPr="00AB7697">
          <w:rPr>
            <w:b/>
            <w:sz w:val="22"/>
            <w:szCs w:val="22"/>
          </w:rPr>
          <w:delText xml:space="preserve">Tabell </w:delText>
        </w:r>
        <w:r w:rsidR="00B61B62">
          <w:rPr>
            <w:b/>
            <w:sz w:val="22"/>
            <w:szCs w:val="22"/>
          </w:rPr>
          <w:delText>6</w:delText>
        </w:r>
        <w:r w:rsidRPr="00AB7697">
          <w:rPr>
            <w:b/>
            <w:sz w:val="22"/>
            <w:szCs w:val="22"/>
          </w:rPr>
          <w:delText>. Humiradosering for pediatriske pasienter med uveitt</w:delText>
        </w:r>
      </w:del>
    </w:p>
    <w:p w14:paraId="3C8822ED" w14:textId="72BAB6DD" w:rsidR="000C7AC0" w:rsidRPr="00406E1B" w:rsidRDefault="000C7AC0">
      <w:pPr>
        <w:keepNext/>
        <w:suppressAutoHyphens/>
        <w:rPr>
          <w:del w:id="4889" w:author="AbbVie02no" w:date="2025-05-15T13:45:00Z"/>
        </w:rPr>
        <w:pPrChange w:id="4890" w:author="AbbVie02no" w:date="2025-05-15T13:45:00Z">
          <w:pPr>
            <w:keepNext/>
            <w:jc w:val="center"/>
          </w:pPr>
        </w:pPrChange>
      </w:pPr>
    </w:p>
    <w:tbl>
      <w:tblPr>
        <w:tblW w:w="6795" w:type="dxa"/>
        <w:jc w:val="center"/>
        <w:tblLayout w:type="fixed"/>
        <w:tblLook w:val="04A0" w:firstRow="1" w:lastRow="0" w:firstColumn="1" w:lastColumn="0" w:noHBand="0" w:noVBand="1"/>
      </w:tblPr>
      <w:tblGrid>
        <w:gridCol w:w="3401"/>
        <w:gridCol w:w="3394"/>
      </w:tblGrid>
      <w:tr w:rsidR="004644D4" w14:paraId="686CCA05" w14:textId="2D40E0CA" w:rsidTr="00875D02">
        <w:trPr>
          <w:tblHeader/>
          <w:jc w:val="center"/>
          <w:del w:id="4891" w:author="AbbVie02no" w:date="2025-05-15T13:45:00Z"/>
        </w:trPr>
        <w:tc>
          <w:tcPr>
            <w:tcW w:w="3401" w:type="dxa"/>
            <w:tcBorders>
              <w:top w:val="single" w:sz="4" w:space="0" w:color="auto"/>
              <w:left w:val="nil"/>
              <w:bottom w:val="single" w:sz="4" w:space="0" w:color="auto"/>
              <w:right w:val="nil"/>
            </w:tcBorders>
            <w:hideMark/>
          </w:tcPr>
          <w:p w14:paraId="4DB0C31A" w14:textId="0660265F" w:rsidR="000C7AC0" w:rsidRDefault="00E453CD">
            <w:pPr>
              <w:keepNext/>
              <w:suppressAutoHyphens/>
              <w:rPr>
                <w:del w:id="4892" w:author="AbbVie02no" w:date="2025-05-15T13:45:00Z"/>
                <w:b/>
                <w:sz w:val="22"/>
                <w:szCs w:val="22"/>
              </w:rPr>
              <w:pPrChange w:id="4893" w:author="AbbVie02no" w:date="2025-05-15T13:45:00Z">
                <w:pPr>
                  <w:pStyle w:val="TableLeft"/>
                  <w:jc w:val="center"/>
                </w:pPr>
              </w:pPrChange>
            </w:pPr>
            <w:del w:id="4894" w:author="AbbVie02no" w:date="2025-05-15T13:45:00Z">
              <w:r>
                <w:rPr>
                  <w:b/>
                  <w:sz w:val="22"/>
                  <w:szCs w:val="22"/>
                </w:rPr>
                <w:delText>Kroppsvekt</w:delText>
              </w:r>
            </w:del>
          </w:p>
        </w:tc>
        <w:tc>
          <w:tcPr>
            <w:tcW w:w="3394" w:type="dxa"/>
            <w:tcBorders>
              <w:top w:val="single" w:sz="4" w:space="0" w:color="auto"/>
              <w:left w:val="nil"/>
              <w:bottom w:val="single" w:sz="4" w:space="0" w:color="auto"/>
              <w:right w:val="nil"/>
            </w:tcBorders>
            <w:hideMark/>
          </w:tcPr>
          <w:p w14:paraId="11399098" w14:textId="4A189CB6" w:rsidR="000C7AC0" w:rsidRDefault="00E453CD">
            <w:pPr>
              <w:keepNext/>
              <w:suppressAutoHyphens/>
              <w:rPr>
                <w:del w:id="4895" w:author="AbbVie02no" w:date="2025-05-15T13:45:00Z"/>
                <w:b/>
                <w:sz w:val="22"/>
                <w:szCs w:val="22"/>
              </w:rPr>
              <w:pPrChange w:id="4896" w:author="AbbVie02no" w:date="2025-05-15T13:45:00Z">
                <w:pPr>
                  <w:pStyle w:val="TableLeft"/>
                  <w:jc w:val="center"/>
                </w:pPr>
              </w:pPrChange>
            </w:pPr>
            <w:del w:id="4897" w:author="AbbVie02no" w:date="2025-05-15T13:45:00Z">
              <w:r>
                <w:rPr>
                  <w:b/>
                  <w:sz w:val="22"/>
                  <w:szCs w:val="22"/>
                </w:rPr>
                <w:delText>Dosering</w:delText>
              </w:r>
            </w:del>
          </w:p>
        </w:tc>
      </w:tr>
      <w:tr w:rsidR="004644D4" w14:paraId="29AF6F41" w14:textId="49B74C20" w:rsidTr="00875D02">
        <w:trPr>
          <w:tblHeader/>
          <w:jc w:val="center"/>
          <w:del w:id="4898" w:author="AbbVie02no" w:date="2025-05-15T13:45:00Z"/>
        </w:trPr>
        <w:tc>
          <w:tcPr>
            <w:tcW w:w="3401" w:type="dxa"/>
            <w:tcBorders>
              <w:top w:val="single" w:sz="4" w:space="0" w:color="auto"/>
              <w:left w:val="nil"/>
              <w:bottom w:val="single" w:sz="4" w:space="0" w:color="auto"/>
              <w:right w:val="nil"/>
            </w:tcBorders>
            <w:hideMark/>
          </w:tcPr>
          <w:p w14:paraId="308F0180" w14:textId="698A8ED7" w:rsidR="000C7AC0" w:rsidRDefault="00E453CD">
            <w:pPr>
              <w:keepNext/>
              <w:suppressAutoHyphens/>
              <w:rPr>
                <w:del w:id="4899" w:author="AbbVie02no" w:date="2025-05-15T13:45:00Z"/>
                <w:b/>
                <w:sz w:val="22"/>
                <w:szCs w:val="22"/>
              </w:rPr>
              <w:pPrChange w:id="4900" w:author="AbbVie02no" w:date="2025-05-15T13:45:00Z">
                <w:pPr>
                  <w:pStyle w:val="TableLeft"/>
                  <w:jc w:val="center"/>
                </w:pPr>
              </w:pPrChange>
            </w:pPr>
            <w:del w:id="4901" w:author="AbbVie02no" w:date="2025-05-15T13:45:00Z">
              <w:r>
                <w:rPr>
                  <w:sz w:val="22"/>
                  <w:szCs w:val="22"/>
                </w:rPr>
                <w:delText>&lt; 30 kg</w:delText>
              </w:r>
            </w:del>
          </w:p>
        </w:tc>
        <w:tc>
          <w:tcPr>
            <w:tcW w:w="3394" w:type="dxa"/>
            <w:tcBorders>
              <w:top w:val="single" w:sz="4" w:space="0" w:color="auto"/>
              <w:left w:val="nil"/>
              <w:bottom w:val="single" w:sz="4" w:space="0" w:color="auto"/>
              <w:right w:val="nil"/>
            </w:tcBorders>
            <w:hideMark/>
          </w:tcPr>
          <w:p w14:paraId="7939639D" w14:textId="17AFAE1D" w:rsidR="000C7AC0" w:rsidRPr="0017427F" w:rsidRDefault="00E453CD">
            <w:pPr>
              <w:keepNext/>
              <w:suppressAutoHyphens/>
              <w:rPr>
                <w:del w:id="4902" w:author="AbbVie02no" w:date="2025-05-15T13:45:00Z"/>
                <w:b/>
                <w:sz w:val="22"/>
                <w:szCs w:val="22"/>
              </w:rPr>
              <w:pPrChange w:id="4903" w:author="AbbVie02no" w:date="2025-05-15T13:45:00Z">
                <w:pPr>
                  <w:pStyle w:val="TableLeft"/>
                  <w:jc w:val="center"/>
                </w:pPr>
              </w:pPrChange>
            </w:pPr>
            <w:del w:id="4904" w:author="AbbVie02no" w:date="2025-05-15T13:45:00Z">
              <w:r w:rsidRPr="0017427F">
                <w:rPr>
                  <w:sz w:val="22"/>
                  <w:szCs w:val="22"/>
                </w:rPr>
                <w:delText>20 mg annenhver uke i kombinasjon med metotreksat</w:delText>
              </w:r>
              <w:r>
                <w:rPr>
                  <w:sz w:val="22"/>
                  <w:szCs w:val="22"/>
                </w:rPr>
                <w:delText xml:space="preserve"> </w:delText>
              </w:r>
              <w:r w:rsidRPr="0017427F">
                <w:rPr>
                  <w:sz w:val="22"/>
                  <w:szCs w:val="22"/>
                </w:rPr>
                <w:delText xml:space="preserve"> </w:delText>
              </w:r>
            </w:del>
          </w:p>
        </w:tc>
      </w:tr>
      <w:tr w:rsidR="004644D4" w14:paraId="04291C22" w14:textId="4A21A948" w:rsidTr="00875D02">
        <w:trPr>
          <w:tblHeader/>
          <w:jc w:val="center"/>
          <w:del w:id="4905" w:author="AbbVie02no" w:date="2025-05-15T13:45:00Z"/>
        </w:trPr>
        <w:tc>
          <w:tcPr>
            <w:tcW w:w="3401" w:type="dxa"/>
            <w:tcBorders>
              <w:top w:val="single" w:sz="4" w:space="0" w:color="auto"/>
              <w:left w:val="nil"/>
              <w:bottom w:val="single" w:sz="4" w:space="0" w:color="auto"/>
              <w:right w:val="nil"/>
            </w:tcBorders>
            <w:hideMark/>
          </w:tcPr>
          <w:p w14:paraId="4A4BD5C6" w14:textId="78D26F77" w:rsidR="000C7AC0" w:rsidRDefault="00E453CD">
            <w:pPr>
              <w:keepNext/>
              <w:suppressAutoHyphens/>
              <w:rPr>
                <w:del w:id="4906" w:author="AbbVie02no" w:date="2025-05-15T13:45:00Z"/>
                <w:b/>
                <w:sz w:val="22"/>
                <w:szCs w:val="22"/>
              </w:rPr>
              <w:pPrChange w:id="4907" w:author="AbbVie02no" w:date="2025-05-15T13:45:00Z">
                <w:pPr>
                  <w:pStyle w:val="TableLeft"/>
                  <w:jc w:val="center"/>
                </w:pPr>
              </w:pPrChange>
            </w:pPr>
            <w:del w:id="4908" w:author="AbbVie02no" w:date="2025-05-15T13:45:00Z">
              <w:r>
                <w:rPr>
                  <w:sz w:val="22"/>
                  <w:szCs w:val="22"/>
                </w:rPr>
                <w:delText>≥ 30 kg</w:delText>
              </w:r>
            </w:del>
          </w:p>
        </w:tc>
        <w:tc>
          <w:tcPr>
            <w:tcW w:w="3394" w:type="dxa"/>
            <w:tcBorders>
              <w:top w:val="single" w:sz="4" w:space="0" w:color="auto"/>
              <w:left w:val="nil"/>
              <w:bottom w:val="single" w:sz="4" w:space="0" w:color="auto"/>
              <w:right w:val="nil"/>
            </w:tcBorders>
            <w:hideMark/>
          </w:tcPr>
          <w:p w14:paraId="5A54D981" w14:textId="7F786E05" w:rsidR="000C7AC0" w:rsidRPr="0017427F" w:rsidRDefault="00E453CD">
            <w:pPr>
              <w:keepNext/>
              <w:suppressAutoHyphens/>
              <w:rPr>
                <w:del w:id="4909" w:author="AbbVie02no" w:date="2025-05-15T13:45:00Z"/>
                <w:b/>
                <w:sz w:val="22"/>
                <w:szCs w:val="22"/>
              </w:rPr>
              <w:pPrChange w:id="4910" w:author="AbbVie02no" w:date="2025-05-15T13:45:00Z">
                <w:pPr>
                  <w:pStyle w:val="TableLeft"/>
                  <w:jc w:val="center"/>
                </w:pPr>
              </w:pPrChange>
            </w:pPr>
            <w:del w:id="4911" w:author="AbbVie02no" w:date="2025-05-15T13:45:00Z">
              <w:r>
                <w:rPr>
                  <w:sz w:val="22"/>
                  <w:szCs w:val="22"/>
                </w:rPr>
                <w:delText>4</w:delText>
              </w:r>
              <w:r w:rsidRPr="00BA33D6">
                <w:rPr>
                  <w:sz w:val="22"/>
                  <w:szCs w:val="22"/>
                </w:rPr>
                <w:delText>0 mg annenhver uke i kombinasjon med metotreksat</w:delText>
              </w:r>
            </w:del>
          </w:p>
        </w:tc>
      </w:tr>
    </w:tbl>
    <w:p w14:paraId="3828F7E7" w14:textId="0868058D" w:rsidR="000C7AC0" w:rsidRDefault="000C7AC0">
      <w:pPr>
        <w:keepNext/>
        <w:suppressAutoHyphens/>
        <w:rPr>
          <w:del w:id="4912" w:author="AbbVie02no" w:date="2025-05-15T13:45:00Z"/>
          <w:sz w:val="22"/>
          <w:szCs w:val="22"/>
        </w:rPr>
        <w:pPrChange w:id="4913" w:author="AbbVie02no" w:date="2025-05-15T13:45:00Z">
          <w:pPr>
            <w:tabs>
              <w:tab w:val="left" w:pos="705"/>
            </w:tabs>
            <w:suppressAutoHyphens/>
          </w:pPr>
        </w:pPrChange>
      </w:pPr>
    </w:p>
    <w:p w14:paraId="16BB3190" w14:textId="480B920B" w:rsidR="000C7AC0" w:rsidRDefault="00E453CD">
      <w:pPr>
        <w:keepNext/>
        <w:suppressAutoHyphens/>
        <w:rPr>
          <w:del w:id="4914" w:author="AbbVie02no" w:date="2025-05-15T13:45:00Z"/>
          <w:sz w:val="22"/>
          <w:szCs w:val="22"/>
        </w:rPr>
        <w:pPrChange w:id="4915" w:author="AbbVie02no" w:date="2025-05-15T13:45:00Z">
          <w:pPr>
            <w:tabs>
              <w:tab w:val="left" w:pos="705"/>
            </w:tabs>
            <w:suppressAutoHyphens/>
          </w:pPr>
        </w:pPrChange>
      </w:pPr>
      <w:del w:id="4916" w:author="AbbVie02no" w:date="2025-05-15T13:45:00Z">
        <w:r>
          <w:rPr>
            <w:sz w:val="22"/>
            <w:szCs w:val="22"/>
          </w:rPr>
          <w:delText xml:space="preserve">Når behandling med Humira startes opp, kan en </w:delText>
        </w:r>
        <w:r w:rsidR="005207CC" w:rsidRPr="005207CC">
          <w:rPr>
            <w:sz w:val="22"/>
            <w:szCs w:val="22"/>
          </w:rPr>
          <w:delText>induksjonsdose</w:delText>
        </w:r>
        <w:r>
          <w:rPr>
            <w:sz w:val="22"/>
            <w:szCs w:val="22"/>
          </w:rPr>
          <w:delText xml:space="preserve"> på 40 mg for pasienter &lt; 30 kg eller 80 mg for pasienter ≥ 30 kg administreres én uke før oppstart av vedlikeholdsbehandling. Det </w:delText>
        </w:r>
        <w:r>
          <w:rPr>
            <w:sz w:val="22"/>
            <w:szCs w:val="22"/>
          </w:rPr>
          <w:lastRenderedPageBreak/>
          <w:delText xml:space="preserve">foreligger ingen kliniske data vedrørende bruk av en </w:delText>
        </w:r>
        <w:r w:rsidR="005207CC" w:rsidRPr="005207CC">
          <w:rPr>
            <w:sz w:val="22"/>
            <w:szCs w:val="22"/>
          </w:rPr>
          <w:delText>induksjonsdose</w:delText>
        </w:r>
        <w:r>
          <w:rPr>
            <w:sz w:val="22"/>
            <w:szCs w:val="22"/>
          </w:rPr>
          <w:delText xml:space="preserve"> av Humira hos barn &lt; 6 år (se pkt. 5.2).</w:delText>
        </w:r>
      </w:del>
    </w:p>
    <w:p w14:paraId="26691038" w14:textId="7EEE88DC" w:rsidR="000C7AC0" w:rsidRDefault="000C7AC0">
      <w:pPr>
        <w:keepNext/>
        <w:suppressAutoHyphens/>
        <w:rPr>
          <w:del w:id="4917" w:author="AbbVie02no" w:date="2025-05-15T13:45:00Z"/>
          <w:bCs/>
          <w:iCs/>
          <w:sz w:val="22"/>
        </w:rPr>
        <w:pPrChange w:id="4918" w:author="AbbVie02no" w:date="2025-05-15T13:45:00Z">
          <w:pPr>
            <w:tabs>
              <w:tab w:val="left" w:pos="705"/>
            </w:tabs>
            <w:suppressAutoHyphens/>
          </w:pPr>
        </w:pPrChange>
      </w:pPr>
    </w:p>
    <w:p w14:paraId="27A002F2" w14:textId="05F86366" w:rsidR="000C7AC0" w:rsidRDefault="00E453CD">
      <w:pPr>
        <w:keepNext/>
        <w:suppressAutoHyphens/>
        <w:rPr>
          <w:del w:id="4919" w:author="AbbVie02no" w:date="2025-05-15T13:45:00Z"/>
          <w:bCs/>
          <w:iCs/>
          <w:sz w:val="22"/>
        </w:rPr>
        <w:pPrChange w:id="4920" w:author="AbbVie02no" w:date="2025-05-15T13:45:00Z">
          <w:pPr>
            <w:tabs>
              <w:tab w:val="left" w:pos="705"/>
            </w:tabs>
            <w:suppressAutoHyphens/>
          </w:pPr>
        </w:pPrChange>
      </w:pPr>
      <w:del w:id="4921" w:author="AbbVie02no" w:date="2025-05-15T13:45:00Z">
        <w:r>
          <w:rPr>
            <w:bCs/>
            <w:iCs/>
            <w:sz w:val="22"/>
          </w:rPr>
          <w:delText>Det er ikke relevant å bruke Humira hos barn under 2 år ved denne indikasjonen.</w:delText>
        </w:r>
      </w:del>
    </w:p>
    <w:p w14:paraId="409DC625" w14:textId="2509EA04" w:rsidR="000C7AC0" w:rsidRDefault="000C7AC0">
      <w:pPr>
        <w:keepNext/>
        <w:suppressAutoHyphens/>
        <w:rPr>
          <w:del w:id="4922" w:author="AbbVie02no" w:date="2025-05-15T13:45:00Z"/>
          <w:bCs/>
          <w:iCs/>
          <w:sz w:val="22"/>
        </w:rPr>
        <w:pPrChange w:id="4923" w:author="AbbVie02no" w:date="2025-05-15T13:45:00Z">
          <w:pPr>
            <w:tabs>
              <w:tab w:val="left" w:pos="705"/>
            </w:tabs>
            <w:suppressAutoHyphens/>
          </w:pPr>
        </w:pPrChange>
      </w:pPr>
    </w:p>
    <w:p w14:paraId="7FC7572C" w14:textId="09A500DF" w:rsidR="000C7AC0" w:rsidRDefault="00E453CD">
      <w:pPr>
        <w:keepNext/>
        <w:suppressAutoHyphens/>
        <w:rPr>
          <w:del w:id="4924" w:author="AbbVie02no" w:date="2025-05-15T13:45:00Z"/>
          <w:bCs/>
          <w:iCs/>
          <w:sz w:val="22"/>
        </w:rPr>
        <w:pPrChange w:id="4925" w:author="AbbVie02no" w:date="2025-05-15T13:45:00Z">
          <w:pPr>
            <w:tabs>
              <w:tab w:val="left" w:pos="705"/>
            </w:tabs>
            <w:suppressAutoHyphens/>
          </w:pPr>
        </w:pPrChange>
      </w:pPr>
      <w:del w:id="4926" w:author="AbbVie02no" w:date="2025-05-15T13:45:00Z">
        <w:r>
          <w:rPr>
            <w:bCs/>
            <w:iCs/>
            <w:sz w:val="22"/>
          </w:rPr>
          <w:delText xml:space="preserve">Det anbefales at nytte og risiko ved </w:delText>
        </w:r>
        <w:r w:rsidR="00C80F0C">
          <w:rPr>
            <w:bCs/>
            <w:iCs/>
            <w:sz w:val="22"/>
          </w:rPr>
          <w:delText>fortsettelse av</w:delText>
        </w:r>
        <w:r>
          <w:rPr>
            <w:bCs/>
            <w:iCs/>
            <w:sz w:val="22"/>
          </w:rPr>
          <w:delText xml:space="preserve"> langtidsbehandling vurderes årlig (se pkt. 5.1).</w:delText>
        </w:r>
      </w:del>
    </w:p>
    <w:p w14:paraId="1D683C1B" w14:textId="1A1F18CC" w:rsidR="00501A63" w:rsidRDefault="00501A63">
      <w:pPr>
        <w:keepNext/>
        <w:suppressAutoHyphens/>
        <w:rPr>
          <w:del w:id="4927" w:author="AbbVie02no" w:date="2025-05-15T13:45:00Z"/>
          <w:bCs/>
          <w:iCs/>
          <w:sz w:val="22"/>
        </w:rPr>
        <w:pPrChange w:id="4928" w:author="AbbVie02no" w:date="2025-05-15T13:45:00Z">
          <w:pPr>
            <w:tabs>
              <w:tab w:val="left" w:pos="705"/>
            </w:tabs>
            <w:suppressAutoHyphens/>
          </w:pPr>
        </w:pPrChange>
      </w:pPr>
    </w:p>
    <w:p w14:paraId="42D69ADF" w14:textId="45215654" w:rsidR="00501A63" w:rsidRPr="00C95067" w:rsidRDefault="00E453CD">
      <w:pPr>
        <w:keepNext/>
        <w:suppressAutoHyphens/>
        <w:rPr>
          <w:del w:id="4929" w:author="AbbVie02no" w:date="2025-05-15T13:45:00Z"/>
          <w:sz w:val="22"/>
          <w:szCs w:val="22"/>
        </w:rPr>
        <w:pPrChange w:id="4930" w:author="AbbVie02no" w:date="2025-05-15T13:45:00Z">
          <w:pPr>
            <w:tabs>
              <w:tab w:val="left" w:pos="705"/>
            </w:tabs>
            <w:suppressAutoHyphens/>
          </w:pPr>
        </w:pPrChange>
      </w:pPr>
      <w:del w:id="4931" w:author="AbbVie02no" w:date="2025-05-15T13:45:00Z">
        <w:r>
          <w:rPr>
            <w:sz w:val="22"/>
            <w:szCs w:val="22"/>
          </w:rPr>
          <w:delText>Humira kan være tilgjengelig i andre styrker og/eller formuleringer avhengig av individuelle behandlingsbehov.</w:delText>
        </w:r>
      </w:del>
    </w:p>
    <w:p w14:paraId="3E00264B" w14:textId="2AF9ACA2" w:rsidR="000C7AC0" w:rsidRPr="009C5EFD" w:rsidRDefault="000C7AC0">
      <w:pPr>
        <w:keepNext/>
        <w:suppressAutoHyphens/>
        <w:rPr>
          <w:del w:id="4932" w:author="AbbVie02no" w:date="2025-05-15T13:45:00Z"/>
          <w:sz w:val="22"/>
          <w:szCs w:val="22"/>
        </w:rPr>
        <w:pPrChange w:id="4933" w:author="AbbVie02no" w:date="2025-05-15T13:45:00Z">
          <w:pPr>
            <w:tabs>
              <w:tab w:val="left" w:pos="705"/>
            </w:tabs>
            <w:suppressAutoHyphens/>
          </w:pPr>
        </w:pPrChange>
      </w:pPr>
    </w:p>
    <w:p w14:paraId="26C9D773" w14:textId="5E291DD6" w:rsidR="000C7AC0" w:rsidRPr="009C5EFD" w:rsidRDefault="00E453CD" w:rsidP="004B57B4">
      <w:pPr>
        <w:keepNext/>
        <w:suppressAutoHyphens/>
        <w:rPr>
          <w:del w:id="4934" w:author="AbbVie02no" w:date="2025-05-15T13:45:00Z"/>
          <w:sz w:val="22"/>
          <w:szCs w:val="22"/>
        </w:rPr>
      </w:pPr>
      <w:del w:id="4935" w:author="AbbVie02no" w:date="2025-05-15T13:45:00Z">
        <w:r w:rsidRPr="009C5EFD">
          <w:rPr>
            <w:sz w:val="22"/>
            <w:szCs w:val="22"/>
            <w:u w:val="single"/>
          </w:rPr>
          <w:delText>Administrasjonsmåte</w:delText>
        </w:r>
      </w:del>
    </w:p>
    <w:p w14:paraId="285B2634" w14:textId="6A6A86B6" w:rsidR="000C7AC0" w:rsidRPr="009C5EFD" w:rsidRDefault="000C7AC0" w:rsidP="004B57B4">
      <w:pPr>
        <w:keepNext/>
        <w:suppressAutoHyphens/>
        <w:rPr>
          <w:del w:id="4936" w:author="AbbVie02no" w:date="2025-05-15T13:45:00Z"/>
          <w:sz w:val="22"/>
          <w:szCs w:val="22"/>
        </w:rPr>
      </w:pPr>
    </w:p>
    <w:p w14:paraId="4BD5610C" w14:textId="6F5106A3" w:rsidR="000C7AC0" w:rsidRPr="009C5EFD" w:rsidRDefault="00E453CD">
      <w:pPr>
        <w:keepNext/>
        <w:suppressAutoHyphens/>
        <w:rPr>
          <w:del w:id="4937" w:author="AbbVie02no" w:date="2025-05-15T13:45:00Z"/>
          <w:sz w:val="22"/>
          <w:szCs w:val="22"/>
        </w:rPr>
        <w:pPrChange w:id="4938" w:author="AbbVie02no" w:date="2025-05-15T13:45:00Z">
          <w:pPr>
            <w:suppressAutoHyphens/>
          </w:pPr>
        </w:pPrChange>
      </w:pPr>
      <w:del w:id="4939" w:author="AbbVie02no" w:date="2025-05-15T13:45:00Z">
        <w:r w:rsidRPr="009C5EFD">
          <w:rPr>
            <w:sz w:val="22"/>
            <w:szCs w:val="22"/>
          </w:rPr>
          <w:delText xml:space="preserve">Humira administreres ved subkutan injeksjon. Fullstendig </w:delText>
        </w:r>
        <w:r w:rsidR="00067DE7">
          <w:rPr>
            <w:sz w:val="22"/>
            <w:szCs w:val="22"/>
          </w:rPr>
          <w:delText>bruksanvisning</w:delText>
        </w:r>
        <w:r w:rsidRPr="009C5EFD">
          <w:rPr>
            <w:sz w:val="22"/>
            <w:szCs w:val="22"/>
          </w:rPr>
          <w:delText xml:space="preserve"> for riktig bruk finnes i pakningsvedlegget.</w:delText>
        </w:r>
      </w:del>
    </w:p>
    <w:p w14:paraId="53F8E020" w14:textId="12788E4F" w:rsidR="000C7AC0" w:rsidRPr="009C5EFD" w:rsidRDefault="000C7AC0">
      <w:pPr>
        <w:keepNext/>
        <w:suppressAutoHyphens/>
        <w:rPr>
          <w:del w:id="4940" w:author="AbbVie02no" w:date="2025-05-15T13:45:00Z"/>
          <w:sz w:val="22"/>
          <w:szCs w:val="22"/>
        </w:rPr>
        <w:pPrChange w:id="4941" w:author="AbbVie02no" w:date="2025-05-15T13:45:00Z">
          <w:pPr>
            <w:suppressAutoHyphens/>
          </w:pPr>
        </w:pPrChange>
      </w:pPr>
    </w:p>
    <w:p w14:paraId="0DBB1281" w14:textId="5E40047A" w:rsidR="000C7AC0" w:rsidRPr="009C5EFD" w:rsidRDefault="00E453CD">
      <w:pPr>
        <w:keepNext/>
        <w:suppressAutoHyphens/>
        <w:rPr>
          <w:del w:id="4942" w:author="AbbVie02no" w:date="2025-05-15T13:45:00Z"/>
          <w:sz w:val="22"/>
          <w:szCs w:val="22"/>
        </w:rPr>
        <w:pPrChange w:id="4943" w:author="AbbVie02no" w:date="2025-05-15T13:45:00Z">
          <w:pPr/>
        </w:pPrChange>
      </w:pPr>
      <w:del w:id="4944" w:author="AbbVie02no" w:date="2025-05-15T13:45:00Z">
        <w:r>
          <w:rPr>
            <w:sz w:val="22"/>
            <w:szCs w:val="22"/>
          </w:rPr>
          <w:delText xml:space="preserve">Humira </w:delText>
        </w:r>
        <w:r w:rsidR="00501A63">
          <w:rPr>
            <w:sz w:val="22"/>
            <w:szCs w:val="22"/>
          </w:rPr>
          <w:delText xml:space="preserve">er </w:delText>
        </w:r>
        <w:r>
          <w:rPr>
            <w:sz w:val="22"/>
            <w:szCs w:val="22"/>
          </w:rPr>
          <w:delText>tilgjengelig i andre styrker og formuleringer.</w:delText>
        </w:r>
      </w:del>
    </w:p>
    <w:p w14:paraId="5CC1A166" w14:textId="58F8AE6F" w:rsidR="00FA0A10" w:rsidRPr="009C5EFD" w:rsidRDefault="00FA0A10">
      <w:pPr>
        <w:keepNext/>
        <w:suppressAutoHyphens/>
        <w:rPr>
          <w:del w:id="4945" w:author="AbbVie02no" w:date="2025-05-15T13:45:00Z"/>
          <w:sz w:val="22"/>
          <w:szCs w:val="22"/>
        </w:rPr>
        <w:pPrChange w:id="4946" w:author="AbbVie02no" w:date="2025-05-15T13:45:00Z">
          <w:pPr>
            <w:suppressAutoHyphens/>
          </w:pPr>
        </w:pPrChange>
      </w:pPr>
    </w:p>
    <w:p w14:paraId="0B59AB49" w14:textId="1E93BCA4" w:rsidR="00DE3458" w:rsidRPr="009C5EFD" w:rsidRDefault="00E453CD">
      <w:pPr>
        <w:keepNext/>
        <w:suppressAutoHyphens/>
        <w:rPr>
          <w:del w:id="4947" w:author="AbbVie02no" w:date="2025-05-15T13:45:00Z"/>
          <w:sz w:val="22"/>
          <w:szCs w:val="22"/>
        </w:rPr>
        <w:pPrChange w:id="4948" w:author="AbbVie02no" w:date="2025-05-15T13:45:00Z">
          <w:pPr>
            <w:keepNext/>
            <w:suppressAutoHyphens/>
            <w:ind w:left="570" w:hanging="570"/>
          </w:pPr>
        </w:pPrChange>
      </w:pPr>
      <w:del w:id="4949" w:author="AbbVie02no" w:date="2025-05-15T13:45:00Z">
        <w:r w:rsidRPr="009C5EFD">
          <w:rPr>
            <w:b/>
            <w:sz w:val="22"/>
            <w:szCs w:val="22"/>
          </w:rPr>
          <w:delText>4.3</w:delText>
        </w:r>
        <w:r w:rsidRPr="009C5EFD">
          <w:rPr>
            <w:b/>
            <w:sz w:val="22"/>
            <w:szCs w:val="22"/>
          </w:rPr>
          <w:tab/>
          <w:delText>Kontraindikasjoner</w:delText>
        </w:r>
      </w:del>
    </w:p>
    <w:p w14:paraId="0A0CD236" w14:textId="24B8B419" w:rsidR="00DE3458" w:rsidRPr="009C5EFD" w:rsidRDefault="00DE3458">
      <w:pPr>
        <w:keepNext/>
        <w:suppressAutoHyphens/>
        <w:rPr>
          <w:del w:id="4950" w:author="AbbVie02no" w:date="2025-05-15T13:45:00Z"/>
          <w:sz w:val="22"/>
          <w:szCs w:val="22"/>
        </w:rPr>
        <w:pPrChange w:id="4951" w:author="AbbVie02no" w:date="2025-05-15T13:45:00Z">
          <w:pPr>
            <w:keepNext/>
          </w:pPr>
        </w:pPrChange>
      </w:pPr>
    </w:p>
    <w:p w14:paraId="28E9080F" w14:textId="71BCAC99" w:rsidR="00DE3458" w:rsidRPr="009C5EFD" w:rsidRDefault="00E453CD">
      <w:pPr>
        <w:keepNext/>
        <w:suppressAutoHyphens/>
        <w:rPr>
          <w:del w:id="4952" w:author="AbbVie02no" w:date="2025-05-15T13:45:00Z"/>
          <w:sz w:val="22"/>
          <w:szCs w:val="22"/>
        </w:rPr>
        <w:pPrChange w:id="4953" w:author="AbbVie02no" w:date="2025-05-15T13:45:00Z">
          <w:pPr/>
        </w:pPrChange>
      </w:pPr>
      <w:del w:id="4954" w:author="AbbVie02no" w:date="2025-05-15T13:45:00Z">
        <w:r w:rsidRPr="009C5EFD">
          <w:rPr>
            <w:sz w:val="22"/>
            <w:szCs w:val="22"/>
          </w:rPr>
          <w:delText xml:space="preserve">Overfølsomhet overfor virkestoffet eller overfor </w:delText>
        </w:r>
        <w:r w:rsidR="00BC2C71" w:rsidRPr="009C5EFD">
          <w:rPr>
            <w:sz w:val="22"/>
          </w:rPr>
          <w:delText>noen</w:delText>
        </w:r>
        <w:r w:rsidRPr="009C5EFD">
          <w:rPr>
            <w:sz w:val="22"/>
          </w:rPr>
          <w:delText xml:space="preserve"> </w:delText>
        </w:r>
        <w:r w:rsidRPr="009C5EFD">
          <w:rPr>
            <w:sz w:val="22"/>
            <w:szCs w:val="22"/>
          </w:rPr>
          <w:delText>av hjelpestoffene</w:delText>
        </w:r>
        <w:r w:rsidR="00CE204F" w:rsidRPr="009C5EFD">
          <w:rPr>
            <w:sz w:val="22"/>
            <w:szCs w:val="22"/>
          </w:rPr>
          <w:delText xml:space="preserve"> </w:delText>
        </w:r>
        <w:r w:rsidR="00BC2C71" w:rsidRPr="009C5EFD">
          <w:rPr>
            <w:sz w:val="22"/>
            <w:szCs w:val="22"/>
          </w:rPr>
          <w:delText xml:space="preserve">listet opp </w:delText>
        </w:r>
        <w:r w:rsidR="00CE204F" w:rsidRPr="009C5EFD">
          <w:rPr>
            <w:sz w:val="22"/>
            <w:szCs w:val="22"/>
          </w:rPr>
          <w:delText>i pkt. 6.1</w:delText>
        </w:r>
        <w:r w:rsidRPr="009C5EFD">
          <w:rPr>
            <w:sz w:val="22"/>
            <w:szCs w:val="22"/>
          </w:rPr>
          <w:delText>.</w:delText>
        </w:r>
      </w:del>
    </w:p>
    <w:p w14:paraId="0EE6E1E6" w14:textId="6E366789" w:rsidR="00DE3458" w:rsidRPr="009C5EFD" w:rsidRDefault="00DE3458">
      <w:pPr>
        <w:keepNext/>
        <w:suppressAutoHyphens/>
        <w:rPr>
          <w:del w:id="4955" w:author="AbbVie02no" w:date="2025-05-15T13:45:00Z"/>
          <w:sz w:val="22"/>
          <w:szCs w:val="22"/>
        </w:rPr>
        <w:pPrChange w:id="4956" w:author="AbbVie02no" w:date="2025-05-15T13:45:00Z">
          <w:pPr/>
        </w:pPrChange>
      </w:pPr>
    </w:p>
    <w:p w14:paraId="4A74DBBE" w14:textId="30A762FA" w:rsidR="00DE3458" w:rsidRPr="009C5EFD" w:rsidRDefault="00E453CD">
      <w:pPr>
        <w:keepNext/>
        <w:suppressAutoHyphens/>
        <w:rPr>
          <w:del w:id="4957" w:author="AbbVie02no" w:date="2025-05-15T13:45:00Z"/>
          <w:sz w:val="22"/>
          <w:szCs w:val="22"/>
        </w:rPr>
        <w:pPrChange w:id="4958" w:author="AbbVie02no" w:date="2025-05-15T13:45:00Z">
          <w:pPr/>
        </w:pPrChange>
      </w:pPr>
      <w:del w:id="4959" w:author="AbbVie02no" w:date="2025-05-15T13:45:00Z">
        <w:r w:rsidRPr="009C5EFD">
          <w:rPr>
            <w:sz w:val="22"/>
            <w:szCs w:val="22"/>
          </w:rPr>
          <w:delText xml:space="preserve">Aktiv tuberkulose eller annen </w:delText>
        </w:r>
        <w:r w:rsidR="00021903">
          <w:rPr>
            <w:sz w:val="22"/>
            <w:szCs w:val="22"/>
          </w:rPr>
          <w:delText>alvorlig</w:delText>
        </w:r>
        <w:r w:rsidRPr="009C5EFD">
          <w:rPr>
            <w:sz w:val="22"/>
            <w:szCs w:val="22"/>
          </w:rPr>
          <w:delText xml:space="preserve"> infeksjon som sepsis</w:delText>
        </w:r>
        <w:r w:rsidR="00CD65BF">
          <w:rPr>
            <w:sz w:val="22"/>
            <w:szCs w:val="22"/>
          </w:rPr>
          <w:delText>,</w:delText>
        </w:r>
        <w:r w:rsidRPr="009C5EFD">
          <w:rPr>
            <w:sz w:val="22"/>
            <w:szCs w:val="22"/>
          </w:rPr>
          <w:delText xml:space="preserve"> </w:delText>
        </w:r>
        <w:r w:rsidR="00880781" w:rsidRPr="009C5EFD">
          <w:rPr>
            <w:sz w:val="22"/>
            <w:szCs w:val="22"/>
          </w:rPr>
          <w:delText>og</w:delText>
        </w:r>
        <w:r w:rsidRPr="009C5EFD">
          <w:rPr>
            <w:sz w:val="22"/>
            <w:szCs w:val="22"/>
          </w:rPr>
          <w:delText xml:space="preserve"> opportunistiske infeksjoner (se pkt. 4.4).</w:delText>
        </w:r>
      </w:del>
    </w:p>
    <w:p w14:paraId="001EE1CB" w14:textId="208CF048" w:rsidR="00DE3458" w:rsidRPr="009C5EFD" w:rsidRDefault="00DE3458">
      <w:pPr>
        <w:keepNext/>
        <w:suppressAutoHyphens/>
        <w:rPr>
          <w:del w:id="4960" w:author="AbbVie02no" w:date="2025-05-15T13:45:00Z"/>
          <w:sz w:val="22"/>
          <w:szCs w:val="22"/>
        </w:rPr>
        <w:pPrChange w:id="4961" w:author="AbbVie02no" w:date="2025-05-15T13:45:00Z">
          <w:pPr/>
        </w:pPrChange>
      </w:pPr>
    </w:p>
    <w:p w14:paraId="3BC8CD16" w14:textId="1D6F965E" w:rsidR="00DE3458" w:rsidRPr="009C5EFD" w:rsidRDefault="00E453CD">
      <w:pPr>
        <w:keepNext/>
        <w:suppressAutoHyphens/>
        <w:rPr>
          <w:del w:id="4962" w:author="AbbVie02no" w:date="2025-05-15T13:45:00Z"/>
          <w:sz w:val="22"/>
          <w:szCs w:val="22"/>
        </w:rPr>
        <w:pPrChange w:id="4963" w:author="AbbVie02no" w:date="2025-05-15T13:45:00Z">
          <w:pPr/>
        </w:pPrChange>
      </w:pPr>
      <w:del w:id="4964" w:author="AbbVie02no" w:date="2025-05-15T13:45:00Z">
        <w:r w:rsidRPr="009C5EFD">
          <w:rPr>
            <w:sz w:val="22"/>
            <w:szCs w:val="22"/>
          </w:rPr>
          <w:delText>Moderat til alvorlig hjertesvikt (NYHA klasse III/IV) (se pkt. 4.4).</w:delText>
        </w:r>
      </w:del>
    </w:p>
    <w:p w14:paraId="2170A282" w14:textId="5CE8581B" w:rsidR="00DE3458" w:rsidRPr="009C5EFD" w:rsidRDefault="00DE3458">
      <w:pPr>
        <w:keepNext/>
        <w:suppressAutoHyphens/>
        <w:rPr>
          <w:del w:id="4965" w:author="AbbVie02no" w:date="2025-05-15T13:45:00Z"/>
          <w:sz w:val="22"/>
          <w:szCs w:val="22"/>
        </w:rPr>
        <w:pPrChange w:id="4966" w:author="AbbVie02no" w:date="2025-05-15T13:45:00Z">
          <w:pPr/>
        </w:pPrChange>
      </w:pPr>
    </w:p>
    <w:p w14:paraId="79170B19" w14:textId="19F8E973" w:rsidR="00DE3458" w:rsidRPr="009C5EFD" w:rsidRDefault="00E453CD">
      <w:pPr>
        <w:keepNext/>
        <w:suppressAutoHyphens/>
        <w:rPr>
          <w:del w:id="4967" w:author="AbbVie02no" w:date="2025-05-15T13:45:00Z"/>
          <w:sz w:val="22"/>
          <w:szCs w:val="22"/>
        </w:rPr>
        <w:pPrChange w:id="4968" w:author="AbbVie02no" w:date="2025-05-15T13:45:00Z">
          <w:pPr>
            <w:keepNext/>
            <w:suppressAutoHyphens/>
            <w:ind w:left="567" w:hanging="567"/>
          </w:pPr>
        </w:pPrChange>
      </w:pPr>
      <w:del w:id="4969" w:author="AbbVie02no" w:date="2025-05-15T13:45:00Z">
        <w:r w:rsidRPr="009C5EFD">
          <w:rPr>
            <w:b/>
            <w:sz w:val="22"/>
            <w:szCs w:val="22"/>
          </w:rPr>
          <w:delText>4.4</w:delText>
        </w:r>
        <w:r w:rsidRPr="009C5EFD">
          <w:rPr>
            <w:b/>
            <w:sz w:val="22"/>
            <w:szCs w:val="22"/>
          </w:rPr>
          <w:tab/>
          <w:delText>Advarsler og forsiktighetsregler</w:delText>
        </w:r>
      </w:del>
    </w:p>
    <w:p w14:paraId="0411AEEE" w14:textId="7D208E55" w:rsidR="000C7AC0" w:rsidRDefault="000C7AC0">
      <w:pPr>
        <w:keepNext/>
        <w:suppressAutoHyphens/>
        <w:rPr>
          <w:del w:id="4970" w:author="AbbVie02no" w:date="2025-05-15T13:45:00Z"/>
          <w:sz w:val="22"/>
        </w:rPr>
        <w:pPrChange w:id="4971" w:author="AbbVie02no" w:date="2025-05-15T13:45:00Z">
          <w:pPr>
            <w:keepNext/>
          </w:pPr>
        </w:pPrChange>
      </w:pPr>
    </w:p>
    <w:p w14:paraId="357082DB" w14:textId="7BA1439E" w:rsidR="000C7AC0" w:rsidRPr="00AB7697" w:rsidRDefault="00E453CD">
      <w:pPr>
        <w:keepNext/>
        <w:suppressAutoHyphens/>
        <w:rPr>
          <w:del w:id="4972" w:author="AbbVie02no" w:date="2025-05-15T13:45:00Z"/>
          <w:sz w:val="22"/>
          <w:u w:val="single"/>
        </w:rPr>
        <w:pPrChange w:id="4973" w:author="AbbVie02no" w:date="2025-05-15T13:45:00Z">
          <w:pPr>
            <w:keepNext/>
          </w:pPr>
        </w:pPrChange>
      </w:pPr>
      <w:del w:id="4974" w:author="AbbVie02no" w:date="2025-05-15T13:45:00Z">
        <w:r w:rsidRPr="00AB7697">
          <w:rPr>
            <w:sz w:val="22"/>
            <w:u w:val="single"/>
          </w:rPr>
          <w:delText>Sporbarhet</w:delText>
        </w:r>
      </w:del>
    </w:p>
    <w:p w14:paraId="3858CD59" w14:textId="74AC08B8" w:rsidR="000C7AC0" w:rsidRDefault="000C7AC0">
      <w:pPr>
        <w:keepNext/>
        <w:suppressAutoHyphens/>
        <w:rPr>
          <w:del w:id="4975" w:author="AbbVie02no" w:date="2025-05-15T13:45:00Z"/>
          <w:sz w:val="22"/>
        </w:rPr>
        <w:pPrChange w:id="4976" w:author="AbbVie02no" w:date="2025-05-15T13:45:00Z">
          <w:pPr>
            <w:keepNext/>
          </w:pPr>
        </w:pPrChange>
      </w:pPr>
    </w:p>
    <w:p w14:paraId="41CA953E" w14:textId="484B5604" w:rsidR="000C7AC0" w:rsidRPr="009C5EFD" w:rsidRDefault="00E453CD">
      <w:pPr>
        <w:keepNext/>
        <w:suppressAutoHyphens/>
        <w:rPr>
          <w:del w:id="4977" w:author="AbbVie02no" w:date="2025-05-15T13:45:00Z"/>
          <w:szCs w:val="22"/>
        </w:rPr>
        <w:pPrChange w:id="4978" w:author="AbbVie02no" w:date="2025-05-15T13:45:00Z">
          <w:pPr>
            <w:pStyle w:val="Heading8"/>
            <w:keepNext w:val="0"/>
          </w:pPr>
        </w:pPrChange>
      </w:pPr>
      <w:del w:id="4979" w:author="AbbVie02no" w:date="2025-05-15T13:45:00Z">
        <w:r w:rsidRPr="009C5EFD">
          <w:rPr>
            <w:szCs w:val="22"/>
          </w:rPr>
          <w:delText xml:space="preserve">For å bedre sporbarheten av biologiske legemidler, skal </w:delText>
        </w:r>
        <w:r>
          <w:rPr>
            <w:szCs w:val="22"/>
          </w:rPr>
          <w:delText xml:space="preserve">navnet </w:delText>
        </w:r>
        <w:r w:rsidRPr="009C5EFD">
          <w:rPr>
            <w:szCs w:val="22"/>
          </w:rPr>
          <w:delText>og batchnummeret for det administrerte legemidlet registreres tydelig.</w:delText>
        </w:r>
      </w:del>
    </w:p>
    <w:p w14:paraId="13CC310F" w14:textId="0D2FAE60" w:rsidR="004808CC" w:rsidRPr="009C5EFD" w:rsidRDefault="004808CC">
      <w:pPr>
        <w:keepNext/>
        <w:suppressAutoHyphens/>
        <w:rPr>
          <w:del w:id="4980" w:author="AbbVie02no" w:date="2025-05-15T13:45:00Z"/>
          <w:szCs w:val="22"/>
        </w:rPr>
        <w:pPrChange w:id="4981" w:author="AbbVie02no" w:date="2025-05-15T13:45:00Z">
          <w:pPr>
            <w:pStyle w:val="Heading8"/>
            <w:keepNext w:val="0"/>
          </w:pPr>
        </w:pPrChange>
      </w:pPr>
    </w:p>
    <w:p w14:paraId="1B82D582" w14:textId="5765FE06" w:rsidR="00DE3458" w:rsidRPr="009C5EFD" w:rsidRDefault="00E453CD">
      <w:pPr>
        <w:keepNext/>
        <w:suppressAutoHyphens/>
        <w:rPr>
          <w:del w:id="4982" w:author="AbbVie02no" w:date="2025-05-15T13:45:00Z"/>
          <w:szCs w:val="22"/>
        </w:rPr>
        <w:pPrChange w:id="4983" w:author="AbbVie02no" w:date="2025-05-15T13:45:00Z">
          <w:pPr>
            <w:pStyle w:val="Heading8"/>
          </w:pPr>
        </w:pPrChange>
      </w:pPr>
      <w:del w:id="4984" w:author="AbbVie02no" w:date="2025-05-15T13:45:00Z">
        <w:r w:rsidRPr="009C5EFD">
          <w:rPr>
            <w:szCs w:val="22"/>
          </w:rPr>
          <w:delText>Infeksjoner</w:delText>
        </w:r>
      </w:del>
    </w:p>
    <w:p w14:paraId="05459387" w14:textId="7ECF124E" w:rsidR="00DE3458" w:rsidRPr="009C5EFD" w:rsidRDefault="00DE3458">
      <w:pPr>
        <w:keepNext/>
        <w:suppressAutoHyphens/>
        <w:rPr>
          <w:del w:id="4985" w:author="AbbVie02no" w:date="2025-05-15T13:45:00Z"/>
          <w:sz w:val="22"/>
          <w:szCs w:val="22"/>
        </w:rPr>
        <w:pPrChange w:id="4986" w:author="AbbVie02no" w:date="2025-05-15T13:45:00Z">
          <w:pPr>
            <w:keepNext/>
          </w:pPr>
        </w:pPrChange>
      </w:pPr>
    </w:p>
    <w:p w14:paraId="59395777" w14:textId="497B083A" w:rsidR="00085BDB" w:rsidRPr="009C5EFD" w:rsidRDefault="00E453CD">
      <w:pPr>
        <w:keepNext/>
        <w:suppressAutoHyphens/>
        <w:rPr>
          <w:del w:id="4987" w:author="AbbVie02no" w:date="2025-05-15T13:45:00Z"/>
          <w:sz w:val="22"/>
          <w:szCs w:val="22"/>
        </w:rPr>
        <w:pPrChange w:id="4988" w:author="AbbVie02no" w:date="2025-05-15T13:45:00Z">
          <w:pPr/>
        </w:pPrChange>
      </w:pPr>
      <w:del w:id="4989" w:author="AbbVie02no" w:date="2025-05-15T13:45:00Z">
        <w:r w:rsidRPr="009C5EFD">
          <w:rPr>
            <w:sz w:val="22"/>
            <w:szCs w:val="22"/>
          </w:rPr>
          <w:delText xml:space="preserve">Pasienter som behandles med TNF-antagonister er mer mottagelige for alvorlige infeksjoner. Nedsatt lungefunksjon kan øke risikoen for å utvikle infeksjoner. Derfor må pasienter overvåkes nøye med henblikk på mulige infeksjoner - deriblant tuberkulose - før, under og etter behandling med Humira. Da eliminasjon av adalimumab kan ta opptil </w:delText>
        </w:r>
        <w:r w:rsidR="0048606A" w:rsidRPr="009C5EFD">
          <w:rPr>
            <w:sz w:val="22"/>
            <w:szCs w:val="22"/>
          </w:rPr>
          <w:delText>fire</w:delText>
        </w:r>
        <w:r w:rsidRPr="009C5EFD">
          <w:rPr>
            <w:sz w:val="22"/>
            <w:szCs w:val="22"/>
          </w:rPr>
          <w:delText xml:space="preserve"> måneder, bør overvåking fortsette ut denne perioden.</w:delText>
        </w:r>
      </w:del>
    </w:p>
    <w:p w14:paraId="07DD5DA1" w14:textId="0FF77071" w:rsidR="00717E3B" w:rsidRPr="009C5EFD" w:rsidRDefault="00717E3B">
      <w:pPr>
        <w:keepNext/>
        <w:suppressAutoHyphens/>
        <w:rPr>
          <w:del w:id="4990" w:author="AbbVie02no" w:date="2025-05-15T13:45:00Z"/>
          <w:sz w:val="22"/>
          <w:szCs w:val="22"/>
        </w:rPr>
        <w:pPrChange w:id="4991" w:author="AbbVie02no" w:date="2025-05-15T13:45:00Z">
          <w:pPr/>
        </w:pPrChange>
      </w:pPr>
    </w:p>
    <w:p w14:paraId="525DA475" w14:textId="46996CC2" w:rsidR="00085BDB" w:rsidRPr="009C5EFD" w:rsidRDefault="00E453CD">
      <w:pPr>
        <w:keepNext/>
        <w:suppressAutoHyphens/>
        <w:rPr>
          <w:del w:id="4992" w:author="AbbVie02no" w:date="2025-05-15T13:45:00Z"/>
          <w:sz w:val="22"/>
          <w:szCs w:val="22"/>
        </w:rPr>
        <w:pPrChange w:id="4993" w:author="AbbVie02no" w:date="2025-05-15T13:45:00Z">
          <w:pPr/>
        </w:pPrChange>
      </w:pPr>
      <w:del w:id="4994" w:author="AbbVie02no" w:date="2025-05-15T13:45:00Z">
        <w:r w:rsidRPr="009C5EFD">
          <w:rPr>
            <w:sz w:val="22"/>
            <w:szCs w:val="22"/>
          </w:rPr>
          <w:delText xml:space="preserve">Behandling med Humira bør ikke </w:delText>
        </w:r>
        <w:r w:rsidR="00020B96" w:rsidRPr="009C5EFD">
          <w:rPr>
            <w:sz w:val="22"/>
            <w:szCs w:val="22"/>
          </w:rPr>
          <w:delText>startes opp</w:delText>
        </w:r>
        <w:r w:rsidRPr="009C5EFD">
          <w:rPr>
            <w:sz w:val="22"/>
            <w:szCs w:val="22"/>
          </w:rPr>
          <w:delText xml:space="preserve"> hos pasienter med aktive infeksjoner, </w:delText>
        </w:r>
        <w:r w:rsidR="003675C8" w:rsidRPr="009C5EFD">
          <w:rPr>
            <w:sz w:val="22"/>
            <w:szCs w:val="22"/>
          </w:rPr>
          <w:delText>inkludert</w:delText>
        </w:r>
        <w:r w:rsidRPr="009C5EFD">
          <w:rPr>
            <w:sz w:val="22"/>
            <w:szCs w:val="22"/>
          </w:rPr>
          <w:delText xml:space="preserve">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Humira avveies før start av behandlingen (se </w:delText>
        </w:r>
        <w:r w:rsidR="00AD59D9" w:rsidRPr="009C5EFD">
          <w:rPr>
            <w:i/>
            <w:sz w:val="22"/>
            <w:szCs w:val="22"/>
          </w:rPr>
          <w:delText>Andre o</w:delText>
        </w:r>
        <w:r w:rsidRPr="009C5EFD">
          <w:rPr>
            <w:i/>
            <w:sz w:val="22"/>
            <w:szCs w:val="22"/>
          </w:rPr>
          <w:delText>pportunistiske infeksjoner</w:delText>
        </w:r>
        <w:r w:rsidRPr="009C5EFD">
          <w:rPr>
            <w:sz w:val="22"/>
            <w:szCs w:val="22"/>
          </w:rPr>
          <w:delText xml:space="preserve">).    </w:delText>
        </w:r>
      </w:del>
    </w:p>
    <w:p w14:paraId="6D7AF478" w14:textId="06EE1E34" w:rsidR="00085BDB" w:rsidRPr="009C5EFD" w:rsidRDefault="00085BDB">
      <w:pPr>
        <w:keepNext/>
        <w:suppressAutoHyphens/>
        <w:rPr>
          <w:del w:id="4995" w:author="AbbVie02no" w:date="2025-05-15T13:45:00Z"/>
          <w:sz w:val="22"/>
          <w:szCs w:val="22"/>
        </w:rPr>
        <w:pPrChange w:id="4996" w:author="AbbVie02no" w:date="2025-05-15T13:45:00Z">
          <w:pPr/>
        </w:pPrChange>
      </w:pPr>
    </w:p>
    <w:p w14:paraId="210182E0" w14:textId="46CECE8C" w:rsidR="00085BDB" w:rsidRPr="009C5EFD" w:rsidRDefault="00E453CD">
      <w:pPr>
        <w:keepNext/>
        <w:suppressAutoHyphens/>
        <w:rPr>
          <w:del w:id="4997" w:author="AbbVie02no" w:date="2025-05-15T13:45:00Z"/>
          <w:sz w:val="22"/>
          <w:szCs w:val="22"/>
        </w:rPr>
        <w:pPrChange w:id="4998" w:author="AbbVie02no" w:date="2025-05-15T13:45:00Z">
          <w:pPr/>
        </w:pPrChange>
      </w:pPr>
      <w:del w:id="4999" w:author="AbbVie02no" w:date="2025-05-15T13:45:00Z">
        <w:r w:rsidRPr="009C5EFD">
          <w:rPr>
            <w:sz w:val="22"/>
            <w:szCs w:val="22"/>
          </w:rPr>
          <w:delText xml:space="preserve">Pasienter som utvikler en ny infeksjon i løpet av behandling med Humira bør overvåkes nøye og gjennomgå en fullstendig diagnostisering. Dersom pasienten utvikler en ny alvorlig infeksjon eller sepsis, bør behandling med Humira seponeres og passende behandling med antimikrobielle eller antimykotiske </w:delText>
        </w:r>
        <w:r w:rsidR="00597A48" w:rsidRPr="009C5EFD">
          <w:rPr>
            <w:sz w:val="22"/>
            <w:szCs w:val="22"/>
          </w:rPr>
          <w:delText>lege</w:delText>
        </w:r>
        <w:r w:rsidRPr="009C5EFD">
          <w:rPr>
            <w:sz w:val="22"/>
            <w:szCs w:val="22"/>
          </w:rPr>
          <w:delText xml:space="preserve">midler bør startes inntil infeksjonen er under kontroll. Legen bør utvise varsomhet i </w:delText>
        </w:r>
        <w:r w:rsidR="00FB2118">
          <w:rPr>
            <w:sz w:val="22"/>
            <w:szCs w:val="22"/>
          </w:rPr>
          <w:delText>når det vurderes å bruke</w:delText>
        </w:r>
        <w:r w:rsidRPr="009C5EFD">
          <w:rPr>
            <w:sz w:val="22"/>
            <w:szCs w:val="22"/>
          </w:rPr>
          <w:delText xml:space="preserve"> Humira </w:delText>
        </w:r>
        <w:r w:rsidR="00FB2118">
          <w:rPr>
            <w:sz w:val="22"/>
            <w:szCs w:val="22"/>
          </w:rPr>
          <w:delText xml:space="preserve">hos </w:delText>
        </w:r>
        <w:r w:rsidRPr="009C5EFD">
          <w:rPr>
            <w:sz w:val="22"/>
            <w:szCs w:val="22"/>
          </w:rPr>
          <w:delText xml:space="preserve">pasienter som har hatt gjentatte infeksjoner eller som har </w:delText>
        </w:r>
        <w:r w:rsidRPr="009C5EFD">
          <w:rPr>
            <w:sz w:val="22"/>
            <w:szCs w:val="22"/>
          </w:rPr>
          <w:lastRenderedPageBreak/>
          <w:delText>underliggende lidelser som predisponerer for infeksjoner, inkludert samtidig bruk av immunsuppressive legemidler.</w:delText>
        </w:r>
      </w:del>
    </w:p>
    <w:p w14:paraId="520698C6" w14:textId="06D6A83B" w:rsidR="00085BDB" w:rsidRPr="009C5EFD" w:rsidRDefault="00085BDB">
      <w:pPr>
        <w:keepNext/>
        <w:suppressAutoHyphens/>
        <w:rPr>
          <w:del w:id="5000" w:author="AbbVie02no" w:date="2025-05-15T13:45:00Z"/>
          <w:i/>
          <w:sz w:val="22"/>
          <w:szCs w:val="22"/>
        </w:rPr>
        <w:pPrChange w:id="5001" w:author="AbbVie02no" w:date="2025-05-15T13:45:00Z">
          <w:pPr/>
        </w:pPrChange>
      </w:pPr>
    </w:p>
    <w:p w14:paraId="621FD61E" w14:textId="53E01406" w:rsidR="00085BDB" w:rsidRPr="009C5EFD" w:rsidRDefault="00E453CD">
      <w:pPr>
        <w:keepNext/>
        <w:suppressAutoHyphens/>
        <w:rPr>
          <w:del w:id="5002" w:author="AbbVie02no" w:date="2025-05-15T13:45:00Z"/>
          <w:i/>
          <w:sz w:val="22"/>
          <w:szCs w:val="22"/>
        </w:rPr>
        <w:pPrChange w:id="5003" w:author="AbbVie02no" w:date="2025-05-15T13:45:00Z">
          <w:pPr>
            <w:keepNext/>
          </w:pPr>
        </w:pPrChange>
      </w:pPr>
      <w:del w:id="5004" w:author="AbbVie02no" w:date="2025-05-15T13:45:00Z">
        <w:r w:rsidRPr="009C5EFD">
          <w:rPr>
            <w:i/>
            <w:sz w:val="22"/>
            <w:szCs w:val="22"/>
          </w:rPr>
          <w:delText>Alvorlige infeksjoner</w:delText>
        </w:r>
      </w:del>
    </w:p>
    <w:p w14:paraId="7A663634" w14:textId="566D1267" w:rsidR="00085BDB" w:rsidRPr="009C5EFD" w:rsidRDefault="00085BDB">
      <w:pPr>
        <w:keepNext/>
        <w:suppressAutoHyphens/>
        <w:rPr>
          <w:del w:id="5005" w:author="AbbVie02no" w:date="2025-05-15T13:45:00Z"/>
          <w:sz w:val="22"/>
          <w:szCs w:val="22"/>
        </w:rPr>
        <w:pPrChange w:id="5006" w:author="AbbVie02no" w:date="2025-05-15T13:45:00Z">
          <w:pPr>
            <w:keepNext/>
          </w:pPr>
        </w:pPrChange>
      </w:pPr>
    </w:p>
    <w:p w14:paraId="3E3A6C04" w14:textId="11E59A8B" w:rsidR="00085BDB" w:rsidRPr="009C5EFD" w:rsidRDefault="00E453CD">
      <w:pPr>
        <w:keepNext/>
        <w:suppressAutoHyphens/>
        <w:rPr>
          <w:del w:id="5007" w:author="AbbVie02no" w:date="2025-05-15T13:45:00Z"/>
          <w:sz w:val="22"/>
          <w:szCs w:val="22"/>
        </w:rPr>
        <w:pPrChange w:id="5008" w:author="AbbVie02no" w:date="2025-05-15T13:45:00Z">
          <w:pPr/>
        </w:pPrChange>
      </w:pPr>
      <w:del w:id="5009" w:author="AbbVie02no" w:date="2025-05-15T13:45:00Z">
        <w:r w:rsidRPr="009C5EFD">
          <w:rPr>
            <w:sz w:val="22"/>
            <w:szCs w:val="22"/>
          </w:rPr>
          <w:delText>Alvorlige infeksjoner, inkludert sepsis, pga</w:delText>
        </w:r>
        <w:r w:rsidR="00293F7B" w:rsidRPr="009C5EFD">
          <w:rPr>
            <w:sz w:val="22"/>
            <w:szCs w:val="22"/>
          </w:rPr>
          <w:delText>.</w:delText>
        </w:r>
        <w:r w:rsidRPr="009C5EFD">
          <w:rPr>
            <w:sz w:val="22"/>
            <w:szCs w:val="22"/>
          </w:rPr>
          <w:delText xml:space="preserve"> bakterielle, mykobakterielle, invasive sopp-, parasitt-, virus- og andre opportunistiske infeksjoner som listeriose, </w:delText>
        </w:r>
        <w:r w:rsidR="00A36902" w:rsidRPr="009C5EFD">
          <w:rPr>
            <w:sz w:val="22"/>
            <w:szCs w:val="22"/>
          </w:rPr>
          <w:delText xml:space="preserve">legionellose </w:delText>
        </w:r>
        <w:r w:rsidRPr="009C5EFD">
          <w:rPr>
            <w:sz w:val="22"/>
            <w:szCs w:val="22"/>
          </w:rPr>
          <w:delText xml:space="preserve">og pneumocystose, er rapportert hos pasienter som behandles med Humira. </w:delText>
        </w:r>
      </w:del>
    </w:p>
    <w:p w14:paraId="624EAA7F" w14:textId="30667DCB" w:rsidR="00085BDB" w:rsidRPr="009C5EFD" w:rsidRDefault="00085BDB">
      <w:pPr>
        <w:keepNext/>
        <w:suppressAutoHyphens/>
        <w:rPr>
          <w:del w:id="5010" w:author="AbbVie02no" w:date="2025-05-15T13:45:00Z"/>
          <w:sz w:val="22"/>
          <w:szCs w:val="22"/>
        </w:rPr>
        <w:pPrChange w:id="5011" w:author="AbbVie02no" w:date="2025-05-15T13:45:00Z">
          <w:pPr/>
        </w:pPrChange>
      </w:pPr>
    </w:p>
    <w:p w14:paraId="7EEFAA31" w14:textId="54253ECD" w:rsidR="00085BDB" w:rsidRPr="009C5EFD" w:rsidRDefault="00E453CD">
      <w:pPr>
        <w:keepNext/>
        <w:suppressAutoHyphens/>
        <w:rPr>
          <w:del w:id="5012" w:author="AbbVie02no" w:date="2025-05-15T13:45:00Z"/>
          <w:sz w:val="22"/>
          <w:szCs w:val="22"/>
        </w:rPr>
        <w:pPrChange w:id="5013" w:author="AbbVie02no" w:date="2025-05-15T13:45:00Z">
          <w:pPr/>
        </w:pPrChange>
      </w:pPr>
      <w:del w:id="5014" w:author="AbbVie02no" w:date="2025-05-15T13:45:00Z">
        <w:r w:rsidRPr="009C5EFD">
          <w:rPr>
            <w:sz w:val="22"/>
            <w:szCs w:val="22"/>
          </w:rPr>
          <w:delText>Andre alvorlige infeksjoner inklusive pneumoni, pyelonefritt, septisk artritt og septikemi er sett i kliniske studier. Sykehusinnleggelse eller fatale følger assosiert med infeksjoner er rapportert.</w:delText>
        </w:r>
      </w:del>
    </w:p>
    <w:p w14:paraId="4B6114C2" w14:textId="33E71FCE" w:rsidR="00085BDB" w:rsidRPr="009C5EFD" w:rsidRDefault="00085BDB">
      <w:pPr>
        <w:keepNext/>
        <w:suppressAutoHyphens/>
        <w:rPr>
          <w:del w:id="5015" w:author="AbbVie02no" w:date="2025-05-15T13:45:00Z"/>
          <w:sz w:val="22"/>
          <w:szCs w:val="22"/>
        </w:rPr>
        <w:pPrChange w:id="5016" w:author="AbbVie02no" w:date="2025-05-15T13:45:00Z">
          <w:pPr/>
        </w:pPrChange>
      </w:pPr>
    </w:p>
    <w:p w14:paraId="66663329" w14:textId="7A6B10C0" w:rsidR="00085BDB" w:rsidRPr="009C5EFD" w:rsidRDefault="00E453CD">
      <w:pPr>
        <w:keepNext/>
        <w:suppressAutoHyphens/>
        <w:rPr>
          <w:del w:id="5017" w:author="AbbVie02no" w:date="2025-05-15T13:45:00Z"/>
          <w:sz w:val="22"/>
          <w:szCs w:val="22"/>
        </w:rPr>
        <w:pPrChange w:id="5018" w:author="AbbVie02no" w:date="2025-05-15T13:45:00Z">
          <w:pPr/>
        </w:pPrChange>
      </w:pPr>
      <w:del w:id="5019" w:author="AbbVie02no" w:date="2025-05-15T13:45:00Z">
        <w:r w:rsidRPr="009C5EFD">
          <w:rPr>
            <w:i/>
            <w:sz w:val="22"/>
            <w:szCs w:val="22"/>
          </w:rPr>
          <w:delText>Tuberkulose</w:delText>
        </w:r>
      </w:del>
    </w:p>
    <w:p w14:paraId="79C5A02E" w14:textId="786E8970" w:rsidR="00085BDB" w:rsidRPr="009C5EFD" w:rsidRDefault="00085BDB">
      <w:pPr>
        <w:keepNext/>
        <w:suppressAutoHyphens/>
        <w:rPr>
          <w:del w:id="5020" w:author="AbbVie02no" w:date="2025-05-15T13:45:00Z"/>
          <w:sz w:val="22"/>
          <w:szCs w:val="22"/>
        </w:rPr>
        <w:pPrChange w:id="5021" w:author="AbbVie02no" w:date="2025-05-15T13:45:00Z">
          <w:pPr/>
        </w:pPrChange>
      </w:pPr>
    </w:p>
    <w:p w14:paraId="2D9F0151" w14:textId="3E7A59C9" w:rsidR="009245A0" w:rsidRPr="009C5EFD" w:rsidRDefault="00E453CD">
      <w:pPr>
        <w:keepNext/>
        <w:suppressAutoHyphens/>
        <w:rPr>
          <w:del w:id="5022" w:author="AbbVie02no" w:date="2025-05-15T13:45:00Z"/>
          <w:sz w:val="22"/>
          <w:szCs w:val="22"/>
        </w:rPr>
        <w:pPrChange w:id="5023" w:author="AbbVie02no" w:date="2025-05-15T13:45:00Z">
          <w:pPr/>
        </w:pPrChange>
      </w:pPr>
      <w:del w:id="5024" w:author="AbbVie02no" w:date="2025-05-15T13:45:00Z">
        <w:r w:rsidRPr="009C5EFD">
          <w:rPr>
            <w:sz w:val="22"/>
            <w:szCs w:val="22"/>
          </w:rPr>
          <w:delText xml:space="preserve">Det er rapportert tilfeller av tuberkulose, inkludert reaktivering og nyoppstått tuberkulose, hos pasienter som behandles med Humira. Rapporter inkluderte tilfeller av pulmonær og ekstrapulmonær (dvs. disseminert) tuberkulose. </w:delText>
        </w:r>
      </w:del>
    </w:p>
    <w:p w14:paraId="48025CF6" w14:textId="76D3575F" w:rsidR="009245A0" w:rsidRPr="009C5EFD" w:rsidRDefault="009245A0">
      <w:pPr>
        <w:keepNext/>
        <w:suppressAutoHyphens/>
        <w:rPr>
          <w:del w:id="5025" w:author="AbbVie02no" w:date="2025-05-15T13:45:00Z"/>
          <w:sz w:val="22"/>
          <w:szCs w:val="22"/>
        </w:rPr>
        <w:pPrChange w:id="5026" w:author="AbbVie02no" w:date="2025-05-15T13:45:00Z">
          <w:pPr/>
        </w:pPrChange>
      </w:pPr>
    </w:p>
    <w:p w14:paraId="1DB52FB9" w14:textId="41B81AFF" w:rsidR="00D0044B" w:rsidRDefault="00E453CD">
      <w:pPr>
        <w:keepNext/>
        <w:suppressAutoHyphens/>
        <w:rPr>
          <w:del w:id="5027" w:author="AbbVie02no" w:date="2025-05-15T13:45:00Z"/>
          <w:sz w:val="22"/>
          <w:szCs w:val="22"/>
        </w:rPr>
        <w:pPrChange w:id="5028" w:author="AbbVie02no" w:date="2025-05-15T13:45:00Z">
          <w:pPr/>
        </w:pPrChange>
      </w:pPr>
      <w:del w:id="5029" w:author="AbbVie02no" w:date="2025-05-15T13:45:00Z">
        <w:r w:rsidRPr="009C5EFD">
          <w:rPr>
            <w:sz w:val="22"/>
            <w:szCs w:val="22"/>
          </w:rPr>
          <w:delText xml:space="preserve">Alle pasienter må vurderes med henblikk på både aktiv eller inaktiv (’latent’) tuberkuløs infeksjon før behandling med Humira </w:delText>
        </w:r>
        <w:r w:rsidR="00020B96" w:rsidRPr="009C5EFD">
          <w:rPr>
            <w:sz w:val="22"/>
            <w:szCs w:val="22"/>
          </w:rPr>
          <w:delText>startes opp</w:delText>
        </w:r>
        <w:r w:rsidRPr="009C5EFD">
          <w:rPr>
            <w:sz w:val="22"/>
            <w:szCs w:val="22"/>
          </w:rPr>
          <w:delText xml:space="preserve">. Evalueringen bør omfatte en detaljert medisinsk vurdering av 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 </w:delText>
        </w:r>
      </w:del>
    </w:p>
    <w:p w14:paraId="4AF48454" w14:textId="4EF08DB7" w:rsidR="00D0044B" w:rsidRDefault="00D0044B">
      <w:pPr>
        <w:keepNext/>
        <w:suppressAutoHyphens/>
        <w:rPr>
          <w:del w:id="5030" w:author="AbbVie02no" w:date="2025-05-15T13:45:00Z"/>
          <w:sz w:val="22"/>
          <w:szCs w:val="22"/>
        </w:rPr>
        <w:pPrChange w:id="5031" w:author="AbbVie02no" w:date="2025-05-15T13:45:00Z">
          <w:pPr/>
        </w:pPrChange>
      </w:pPr>
    </w:p>
    <w:p w14:paraId="2185663B" w14:textId="35AEFB85" w:rsidR="009245A0" w:rsidRPr="009C5EFD" w:rsidRDefault="00E453CD">
      <w:pPr>
        <w:keepNext/>
        <w:suppressAutoHyphens/>
        <w:rPr>
          <w:del w:id="5032" w:author="AbbVie02no" w:date="2025-05-15T13:45:00Z"/>
          <w:sz w:val="22"/>
          <w:szCs w:val="22"/>
        </w:rPr>
        <w:pPrChange w:id="5033" w:author="AbbVie02no" w:date="2025-05-15T13:45:00Z">
          <w:pPr/>
        </w:pPrChange>
      </w:pPr>
      <w:del w:id="5034" w:author="AbbVie02no" w:date="2025-05-15T13:45:00Z">
        <w:r w:rsidRPr="009C5EFD">
          <w:rPr>
            <w:sz w:val="22"/>
            <w:szCs w:val="22"/>
          </w:rPr>
          <w:delText xml:space="preserve">Behandling med Humira skal ikke </w:delText>
        </w:r>
        <w:r w:rsidR="00020B96" w:rsidRPr="009C5EFD">
          <w:rPr>
            <w:sz w:val="22"/>
            <w:szCs w:val="22"/>
          </w:rPr>
          <w:delText>startes opp</w:delText>
        </w:r>
        <w:r w:rsidRPr="009C5EFD">
          <w:rPr>
            <w:sz w:val="22"/>
            <w:szCs w:val="22"/>
          </w:rPr>
          <w:delText xml:space="preserve"> dersom det diagnostiseres aktiv tuberkulose (se pkt. 4.3).</w:delText>
        </w:r>
      </w:del>
    </w:p>
    <w:p w14:paraId="15AFA580" w14:textId="14F3F5F6" w:rsidR="005C4746" w:rsidRPr="009C5EFD" w:rsidRDefault="005C4746">
      <w:pPr>
        <w:keepNext/>
        <w:suppressAutoHyphens/>
        <w:rPr>
          <w:del w:id="5035" w:author="AbbVie02no" w:date="2025-05-15T13:45:00Z"/>
          <w:sz w:val="22"/>
          <w:szCs w:val="22"/>
        </w:rPr>
        <w:pPrChange w:id="5036" w:author="AbbVie02no" w:date="2025-05-15T13:45:00Z">
          <w:pPr/>
        </w:pPrChange>
      </w:pPr>
    </w:p>
    <w:p w14:paraId="0E6CDE98" w14:textId="32E79852" w:rsidR="009245A0" w:rsidRPr="009C5EFD" w:rsidRDefault="00E453CD">
      <w:pPr>
        <w:keepNext/>
        <w:suppressAutoHyphens/>
        <w:rPr>
          <w:del w:id="5037" w:author="AbbVie02no" w:date="2025-05-15T13:45:00Z"/>
          <w:sz w:val="22"/>
          <w:szCs w:val="22"/>
        </w:rPr>
        <w:pPrChange w:id="5038" w:author="AbbVie02no" w:date="2025-05-15T13:45:00Z">
          <w:pPr/>
        </w:pPrChange>
      </w:pPr>
      <w:del w:id="5039" w:author="AbbVie02no" w:date="2025-05-15T13:45:00Z">
        <w:r w:rsidRPr="009C5EFD">
          <w:rPr>
            <w:sz w:val="22"/>
            <w:szCs w:val="22"/>
          </w:rPr>
          <w:delText>I alle situasjoner som er beskrevet under, bør behandlingens nytte</w:delText>
        </w:r>
        <w:r w:rsidR="002544F8">
          <w:rPr>
            <w:sz w:val="22"/>
            <w:szCs w:val="22"/>
          </w:rPr>
          <w:delText>-</w:delText>
        </w:r>
        <w:r w:rsidRPr="009C5EFD">
          <w:rPr>
            <w:sz w:val="22"/>
            <w:szCs w:val="22"/>
          </w:rPr>
          <w:delText>/risikoforhold vurderes nøye.</w:delText>
        </w:r>
      </w:del>
    </w:p>
    <w:p w14:paraId="01A41E73" w14:textId="79CB606C" w:rsidR="009245A0" w:rsidRPr="009C5EFD" w:rsidRDefault="009245A0">
      <w:pPr>
        <w:keepNext/>
        <w:suppressAutoHyphens/>
        <w:rPr>
          <w:del w:id="5040" w:author="AbbVie02no" w:date="2025-05-15T13:45:00Z"/>
          <w:sz w:val="22"/>
          <w:szCs w:val="22"/>
        </w:rPr>
        <w:pPrChange w:id="5041" w:author="AbbVie02no" w:date="2025-05-15T13:45:00Z">
          <w:pPr/>
        </w:pPrChange>
      </w:pPr>
    </w:p>
    <w:p w14:paraId="1030E238" w14:textId="429A8F89" w:rsidR="009245A0" w:rsidRPr="009C5EFD" w:rsidRDefault="00E453CD">
      <w:pPr>
        <w:keepNext/>
        <w:suppressAutoHyphens/>
        <w:rPr>
          <w:del w:id="5042" w:author="AbbVie02no" w:date="2025-05-15T13:45:00Z"/>
          <w:sz w:val="22"/>
          <w:szCs w:val="22"/>
        </w:rPr>
        <w:pPrChange w:id="5043" w:author="AbbVie02no" w:date="2025-05-15T13:45:00Z">
          <w:pPr/>
        </w:pPrChange>
      </w:pPr>
      <w:del w:id="5044" w:author="AbbVie02no" w:date="2025-05-15T13:45:00Z">
        <w:r w:rsidRPr="009C5EFD">
          <w:rPr>
            <w:sz w:val="22"/>
            <w:szCs w:val="22"/>
          </w:rPr>
          <w:delText xml:space="preserve">Hvis latent tuberkulose mistenkes, bør lege </w:delText>
        </w:r>
        <w:r w:rsidRPr="009C5EFD">
          <w:rPr>
            <w:color w:val="000000"/>
            <w:sz w:val="22"/>
            <w:szCs w:val="22"/>
          </w:rPr>
          <w:delText xml:space="preserve">som er </w:delText>
        </w:r>
        <w:r w:rsidRPr="009C5EFD">
          <w:rPr>
            <w:sz w:val="22"/>
            <w:szCs w:val="22"/>
          </w:rPr>
          <w:delText xml:space="preserve">ekspert på tuberkulose konsulteres. </w:delText>
        </w:r>
      </w:del>
    </w:p>
    <w:p w14:paraId="3E6339EA" w14:textId="3E815F8C" w:rsidR="009245A0" w:rsidRPr="009C5EFD" w:rsidRDefault="009245A0">
      <w:pPr>
        <w:keepNext/>
        <w:suppressAutoHyphens/>
        <w:rPr>
          <w:del w:id="5045" w:author="AbbVie02no" w:date="2025-05-15T13:45:00Z"/>
          <w:sz w:val="22"/>
          <w:szCs w:val="22"/>
        </w:rPr>
        <w:pPrChange w:id="5046" w:author="AbbVie02no" w:date="2025-05-15T13:45:00Z">
          <w:pPr/>
        </w:pPrChange>
      </w:pPr>
    </w:p>
    <w:p w14:paraId="7FB1947E" w14:textId="2EA175F7" w:rsidR="009245A0" w:rsidRPr="009C5EFD" w:rsidRDefault="00E453CD">
      <w:pPr>
        <w:keepNext/>
        <w:suppressAutoHyphens/>
        <w:rPr>
          <w:del w:id="5047" w:author="AbbVie02no" w:date="2025-05-15T13:45:00Z"/>
          <w:sz w:val="22"/>
          <w:szCs w:val="22"/>
        </w:rPr>
        <w:pPrChange w:id="5048" w:author="AbbVie02no" w:date="2025-05-15T13:45:00Z">
          <w:pPr/>
        </w:pPrChange>
      </w:pPr>
      <w:del w:id="5049" w:author="AbbVie02no" w:date="2025-05-15T13:45:00Z">
        <w:r w:rsidRPr="009C5EFD">
          <w:rPr>
            <w:sz w:val="22"/>
            <w:szCs w:val="22"/>
          </w:rPr>
          <w:delText>Hvis</w:delText>
        </w:r>
        <w:r w:rsidR="008A1EAC">
          <w:rPr>
            <w:sz w:val="22"/>
            <w:szCs w:val="22"/>
          </w:rPr>
          <w:delText xml:space="preserve"> </w:delText>
        </w:r>
        <w:r w:rsidRPr="009C5EFD">
          <w:rPr>
            <w:sz w:val="22"/>
            <w:szCs w:val="22"/>
          </w:rPr>
          <w:delText>latent tuberkulose er diagnostisert må passende anti</w:delText>
        </w:r>
        <w:r w:rsidR="008A1EAC">
          <w:rPr>
            <w:sz w:val="22"/>
            <w:szCs w:val="22"/>
          </w:rPr>
          <w:delText>-</w:delText>
        </w:r>
        <w:r w:rsidRPr="009C5EFD">
          <w:rPr>
            <w:sz w:val="22"/>
            <w:szCs w:val="22"/>
          </w:rPr>
          <w:delText xml:space="preserve">tuberkulose profylaksebehandling startes før behandling med Humira begynner, og i samsvar med lokale retningslinjer. </w:delText>
        </w:r>
      </w:del>
    </w:p>
    <w:p w14:paraId="5A9A9D0F" w14:textId="03374120" w:rsidR="009245A0" w:rsidRPr="009C5EFD" w:rsidRDefault="009245A0">
      <w:pPr>
        <w:keepNext/>
        <w:suppressAutoHyphens/>
        <w:rPr>
          <w:del w:id="5050" w:author="AbbVie02no" w:date="2025-05-15T13:45:00Z"/>
          <w:sz w:val="22"/>
          <w:szCs w:val="22"/>
        </w:rPr>
        <w:pPrChange w:id="5051" w:author="AbbVie02no" w:date="2025-05-15T13:45:00Z">
          <w:pPr>
            <w:autoSpaceDE w:val="0"/>
            <w:autoSpaceDN w:val="0"/>
            <w:adjustRightInd w:val="0"/>
          </w:pPr>
        </w:pPrChange>
      </w:pPr>
    </w:p>
    <w:p w14:paraId="788828E1" w14:textId="1D1CA442" w:rsidR="009245A0" w:rsidRPr="009C5EFD" w:rsidRDefault="00E453CD">
      <w:pPr>
        <w:keepNext/>
        <w:suppressAutoHyphens/>
        <w:rPr>
          <w:del w:id="5052" w:author="AbbVie02no" w:date="2025-05-15T13:45:00Z"/>
          <w:sz w:val="22"/>
          <w:szCs w:val="22"/>
        </w:rPr>
        <w:pPrChange w:id="5053" w:author="AbbVie02no" w:date="2025-05-15T13:45:00Z">
          <w:pPr/>
        </w:pPrChange>
      </w:pPr>
      <w:del w:id="5054" w:author="AbbVie02no" w:date="2025-05-15T13:45:00Z">
        <w:r w:rsidRPr="009C5EFD">
          <w:rPr>
            <w:sz w:val="22"/>
            <w:szCs w:val="22"/>
          </w:rPr>
          <w:delText>Bruk av anti</w:delText>
        </w:r>
        <w:r w:rsidR="008A1EAC">
          <w:rPr>
            <w:sz w:val="22"/>
            <w:szCs w:val="22"/>
          </w:rPr>
          <w:delText>-</w:delText>
        </w:r>
        <w:r w:rsidRPr="009C5EFD">
          <w:rPr>
            <w:sz w:val="22"/>
            <w:szCs w:val="22"/>
          </w:rPr>
          <w:delText>tuberkulose profylaksebehandling bør også vurderes før start av behandling med Humira hos pasienter med flere eller signifikante risikofaktorer for tuberkulose til tross for en negativ tuberkul</w:delText>
        </w:r>
        <w:r w:rsidR="006E36F4" w:rsidRPr="009C5EFD">
          <w:rPr>
            <w:sz w:val="22"/>
            <w:szCs w:val="22"/>
          </w:rPr>
          <w:delText>ose</w:delText>
        </w:r>
        <w:r w:rsidRPr="009C5EFD">
          <w:rPr>
            <w:sz w:val="22"/>
            <w:szCs w:val="22"/>
          </w:rPr>
          <w:delText xml:space="preserve">test, og hos pasienter med en tidligere historie med latent eller aktiv tuberkulose hvor tilstrekkelig behandling ikke kan bekreftes. </w:delText>
        </w:r>
      </w:del>
    </w:p>
    <w:p w14:paraId="1A95372D" w14:textId="6ED626F4" w:rsidR="009245A0" w:rsidRPr="009C5EFD" w:rsidRDefault="009245A0">
      <w:pPr>
        <w:keepNext/>
        <w:suppressAutoHyphens/>
        <w:rPr>
          <w:del w:id="5055" w:author="AbbVie02no" w:date="2025-05-15T13:45:00Z"/>
          <w:sz w:val="22"/>
          <w:szCs w:val="22"/>
        </w:rPr>
        <w:pPrChange w:id="5056" w:author="AbbVie02no" w:date="2025-05-15T13:45:00Z">
          <w:pPr/>
        </w:pPrChange>
      </w:pPr>
    </w:p>
    <w:p w14:paraId="69728180" w14:textId="2003CE0B" w:rsidR="009245A0" w:rsidRPr="009C5EFD" w:rsidRDefault="00E453CD">
      <w:pPr>
        <w:keepNext/>
        <w:suppressAutoHyphens/>
        <w:rPr>
          <w:del w:id="5057" w:author="AbbVie02no" w:date="2025-05-15T13:45:00Z"/>
          <w:sz w:val="22"/>
          <w:szCs w:val="22"/>
        </w:rPr>
        <w:pPrChange w:id="5058" w:author="AbbVie02no" w:date="2025-05-15T13:45:00Z">
          <w:pPr/>
        </w:pPrChange>
      </w:pPr>
      <w:del w:id="5059" w:author="AbbVie02no" w:date="2025-05-15T13:45:00Z">
        <w:r w:rsidRPr="009C5EFD">
          <w:rPr>
            <w:sz w:val="22"/>
            <w:szCs w:val="22"/>
          </w:rPr>
          <w:delText xml:space="preserve">Tilfeller av reaktivert tuberkulose har </w:delText>
        </w:r>
        <w:r w:rsidR="008A1EAC">
          <w:rPr>
            <w:sz w:val="22"/>
            <w:szCs w:val="22"/>
          </w:rPr>
          <w:delText>forekommet</w:delText>
        </w:r>
        <w:r w:rsidRPr="009C5EFD">
          <w:rPr>
            <w:sz w:val="22"/>
            <w:szCs w:val="22"/>
          </w:rPr>
          <w:delText xml:space="preserve"> hos pasienter behandlet med Humira til tross for tuberkulose profylaksebehandling. Noen pasienter med vellykket behandling for aktiv tuberkulose, har  igjen utviklet tuberkulose under behandling med Humira.</w:delText>
        </w:r>
      </w:del>
    </w:p>
    <w:p w14:paraId="68DF08A1" w14:textId="4D04516A" w:rsidR="009245A0" w:rsidRPr="009C5EFD" w:rsidRDefault="009245A0">
      <w:pPr>
        <w:keepNext/>
        <w:suppressAutoHyphens/>
        <w:rPr>
          <w:del w:id="5060" w:author="AbbVie02no" w:date="2025-05-15T13:45:00Z"/>
          <w:sz w:val="22"/>
          <w:szCs w:val="22"/>
        </w:rPr>
        <w:pPrChange w:id="5061" w:author="AbbVie02no" w:date="2025-05-15T13:45:00Z">
          <w:pPr/>
        </w:pPrChange>
      </w:pPr>
    </w:p>
    <w:p w14:paraId="4F5AEF5D" w14:textId="500A8859" w:rsidR="009245A0" w:rsidRPr="009C5EFD" w:rsidRDefault="00E453CD">
      <w:pPr>
        <w:keepNext/>
        <w:suppressAutoHyphens/>
        <w:rPr>
          <w:del w:id="5062" w:author="AbbVie02no" w:date="2025-05-15T13:45:00Z"/>
          <w:sz w:val="22"/>
          <w:szCs w:val="22"/>
        </w:rPr>
        <w:pPrChange w:id="5063" w:author="AbbVie02no" w:date="2025-05-15T13:45:00Z">
          <w:pPr/>
        </w:pPrChange>
      </w:pPr>
      <w:del w:id="5064" w:author="AbbVie02no" w:date="2025-05-15T13:45:00Z">
        <w:r w:rsidRPr="009C5EFD">
          <w:rPr>
            <w:sz w:val="22"/>
            <w:szCs w:val="22"/>
          </w:rPr>
          <w:delText>Pasienter bør instrueres til å oppsøke medisinsk hjelp dersom det oppstår tegn/symptomer som tyder på tuberkuløs infeksjon (f.eks. vedvarende hoste, vekttap, lavgradig feber, slapphet) under eller etter behandling med Humira.</w:delText>
        </w:r>
      </w:del>
    </w:p>
    <w:p w14:paraId="6E9DABAF" w14:textId="3F1D9CD1" w:rsidR="00085BDB" w:rsidRPr="009C5EFD" w:rsidRDefault="00085BDB">
      <w:pPr>
        <w:keepNext/>
        <w:suppressAutoHyphens/>
        <w:rPr>
          <w:del w:id="5065" w:author="AbbVie02no" w:date="2025-05-15T13:45:00Z"/>
          <w:sz w:val="22"/>
          <w:szCs w:val="22"/>
        </w:rPr>
        <w:pPrChange w:id="5066" w:author="AbbVie02no" w:date="2025-05-15T13:45:00Z">
          <w:pPr/>
        </w:pPrChange>
      </w:pPr>
    </w:p>
    <w:p w14:paraId="31D03DCE" w14:textId="574B28A4" w:rsidR="00085BDB" w:rsidRPr="009C5EFD" w:rsidRDefault="00E453CD">
      <w:pPr>
        <w:keepNext/>
        <w:suppressAutoHyphens/>
        <w:rPr>
          <w:del w:id="5067" w:author="AbbVie02no" w:date="2025-05-15T13:45:00Z"/>
          <w:szCs w:val="22"/>
        </w:rPr>
        <w:pPrChange w:id="5068" w:author="AbbVie02no" w:date="2025-05-15T13:45:00Z">
          <w:pPr>
            <w:pStyle w:val="Heading6"/>
          </w:pPr>
        </w:pPrChange>
      </w:pPr>
      <w:del w:id="5069" w:author="AbbVie02no" w:date="2025-05-15T13:45:00Z">
        <w:r w:rsidRPr="009C5EFD">
          <w:rPr>
            <w:szCs w:val="22"/>
          </w:rPr>
          <w:delText>Andre opportunistiske infeksjoner</w:delText>
        </w:r>
      </w:del>
    </w:p>
    <w:p w14:paraId="1CDFCA99" w14:textId="7963011A" w:rsidR="00085BDB" w:rsidRPr="009C5EFD" w:rsidRDefault="00085BDB">
      <w:pPr>
        <w:keepNext/>
        <w:suppressAutoHyphens/>
        <w:rPr>
          <w:del w:id="5070" w:author="AbbVie02no" w:date="2025-05-15T13:45:00Z"/>
          <w:sz w:val="22"/>
          <w:szCs w:val="22"/>
        </w:rPr>
        <w:pPrChange w:id="5071" w:author="AbbVie02no" w:date="2025-05-15T13:45:00Z">
          <w:pPr>
            <w:keepNext/>
          </w:pPr>
        </w:pPrChange>
      </w:pPr>
    </w:p>
    <w:p w14:paraId="506C235A" w14:textId="5DBD6D25" w:rsidR="00085BDB" w:rsidRPr="009C5EFD" w:rsidRDefault="00E453CD">
      <w:pPr>
        <w:keepNext/>
        <w:suppressAutoHyphens/>
        <w:rPr>
          <w:del w:id="5072" w:author="AbbVie02no" w:date="2025-05-15T13:45:00Z"/>
          <w:sz w:val="22"/>
          <w:szCs w:val="22"/>
        </w:rPr>
        <w:pPrChange w:id="5073" w:author="AbbVie02no" w:date="2025-05-15T13:45:00Z">
          <w:pPr/>
        </w:pPrChange>
      </w:pPr>
      <w:del w:id="5074" w:author="AbbVie02no" w:date="2025-05-15T13:45:00Z">
        <w:r w:rsidRPr="009C5EFD">
          <w:rPr>
            <w:sz w:val="22"/>
            <w:szCs w:val="22"/>
          </w:rPr>
          <w:delText xml:space="preserve">Opportunistiske infeksjoner, inkludert invasive soppinfeksjoner er observert hos pasienter som behandles med Humira. Disse infeksjonene </w:delText>
        </w:r>
        <w:r w:rsidR="0046347C" w:rsidRPr="009C5EFD">
          <w:rPr>
            <w:sz w:val="22"/>
            <w:szCs w:val="22"/>
          </w:rPr>
          <w:delText>har</w:delText>
        </w:r>
        <w:r w:rsidRPr="009C5EFD">
          <w:rPr>
            <w:sz w:val="22"/>
            <w:szCs w:val="22"/>
          </w:rPr>
          <w:delText xml:space="preserve"> ikke konsekvent</w:delText>
        </w:r>
        <w:r w:rsidR="0046347C" w:rsidRPr="009C5EFD">
          <w:rPr>
            <w:sz w:val="22"/>
            <w:szCs w:val="22"/>
          </w:rPr>
          <w:delText xml:space="preserve"> blitt</w:delText>
        </w:r>
        <w:r w:rsidRPr="009C5EFD">
          <w:rPr>
            <w:sz w:val="22"/>
            <w:szCs w:val="22"/>
          </w:rPr>
          <w:delText xml:space="preserve"> gjenkjent hos pasienter som tar </w:delText>
        </w:r>
        <w:r w:rsidRPr="009C5EFD">
          <w:rPr>
            <w:sz w:val="22"/>
            <w:szCs w:val="22"/>
          </w:rPr>
          <w:lastRenderedPageBreak/>
          <w:delText>TNF-antagonister, noe som har ført til forsinkelse</w:delText>
        </w:r>
        <w:r w:rsidR="0046347C" w:rsidRPr="009C5EFD">
          <w:rPr>
            <w:sz w:val="22"/>
            <w:szCs w:val="22"/>
          </w:rPr>
          <w:delText>r av hensiktsmessig</w:delText>
        </w:r>
        <w:r w:rsidRPr="009C5EFD">
          <w:rPr>
            <w:sz w:val="22"/>
            <w:szCs w:val="22"/>
          </w:rPr>
          <w:delText xml:space="preserve"> behandling</w:delText>
        </w:r>
        <w:r w:rsidR="0046347C" w:rsidRPr="009C5EFD">
          <w:rPr>
            <w:sz w:val="22"/>
            <w:szCs w:val="22"/>
          </w:rPr>
          <w:delText>, noen ganger med</w:delText>
        </w:r>
        <w:r w:rsidRPr="009C5EFD">
          <w:rPr>
            <w:sz w:val="22"/>
            <w:szCs w:val="22"/>
          </w:rPr>
          <w:delText xml:space="preserve"> fatale følger.</w:delText>
        </w:r>
      </w:del>
    </w:p>
    <w:p w14:paraId="5F951061" w14:textId="47111D27" w:rsidR="00310AE2" w:rsidRPr="009C5EFD" w:rsidRDefault="00310AE2">
      <w:pPr>
        <w:keepNext/>
        <w:suppressAutoHyphens/>
        <w:rPr>
          <w:del w:id="5075" w:author="AbbVie02no" w:date="2025-05-15T13:45:00Z"/>
          <w:sz w:val="22"/>
          <w:szCs w:val="22"/>
        </w:rPr>
        <w:pPrChange w:id="5076" w:author="AbbVie02no" w:date="2025-05-15T13:45:00Z">
          <w:pPr/>
        </w:pPrChange>
      </w:pPr>
    </w:p>
    <w:p w14:paraId="74A24D86" w14:textId="46F1C65C" w:rsidR="00085BDB" w:rsidRPr="009C5EFD" w:rsidRDefault="00E453CD">
      <w:pPr>
        <w:keepNext/>
        <w:suppressAutoHyphens/>
        <w:rPr>
          <w:del w:id="5077" w:author="AbbVie02no" w:date="2025-05-15T13:45:00Z"/>
          <w:sz w:val="22"/>
          <w:szCs w:val="22"/>
        </w:rPr>
        <w:pPrChange w:id="5078" w:author="AbbVie02no" w:date="2025-05-15T13:45:00Z">
          <w:pPr/>
        </w:pPrChange>
      </w:pPr>
      <w:del w:id="5079" w:author="AbbVie02no" w:date="2025-05-15T13:45:00Z">
        <w:r w:rsidRPr="009C5EFD">
          <w:rPr>
            <w:sz w:val="22"/>
            <w:szCs w:val="22"/>
          </w:rPr>
          <w:delText xml:space="preserve">Hos pasienter som utvikler symptomer som feber, malaise, vekttap, svette, hoste, dyspné og/eller lungeinfiltrat eller andre alvorlige systemiske sykdommer med eller uten samtidig sjokk bør en invasiv soppinfeksjon mistenkes og behandling med Humira avbrytes omgående. Diagnostisering og håndtering av empirisk behandling med antimykotika hos disse pasientene, bør skje i samråd med en lege som har erfaring med å behandle pasienter med invasive soppinfeksjoner. </w:delText>
        </w:r>
      </w:del>
    </w:p>
    <w:p w14:paraId="11850A4A" w14:textId="4453869F" w:rsidR="00085BDB" w:rsidRPr="009C5EFD" w:rsidRDefault="00085BDB">
      <w:pPr>
        <w:keepNext/>
        <w:suppressAutoHyphens/>
        <w:rPr>
          <w:del w:id="5080" w:author="AbbVie02no" w:date="2025-05-15T13:45:00Z"/>
          <w:sz w:val="22"/>
          <w:szCs w:val="22"/>
        </w:rPr>
        <w:pPrChange w:id="5081" w:author="AbbVie02no" w:date="2025-05-15T13:45:00Z">
          <w:pPr/>
        </w:pPrChange>
      </w:pPr>
    </w:p>
    <w:p w14:paraId="37E86F0F" w14:textId="329E5502" w:rsidR="00085BDB" w:rsidRPr="009C5EFD" w:rsidRDefault="00E453CD">
      <w:pPr>
        <w:keepNext/>
        <w:suppressAutoHyphens/>
        <w:rPr>
          <w:del w:id="5082" w:author="AbbVie02no" w:date="2025-05-15T13:45:00Z"/>
          <w:sz w:val="22"/>
          <w:szCs w:val="22"/>
        </w:rPr>
        <w:pPrChange w:id="5083" w:author="AbbVie02no" w:date="2025-05-15T13:45:00Z">
          <w:pPr>
            <w:pStyle w:val="Heading1"/>
          </w:pPr>
        </w:pPrChange>
      </w:pPr>
      <w:del w:id="5084" w:author="AbbVie02no" w:date="2025-05-15T13:45:00Z">
        <w:r w:rsidRPr="009C5EFD">
          <w:rPr>
            <w:sz w:val="22"/>
            <w:szCs w:val="22"/>
          </w:rPr>
          <w:delText>Reaktivering av hepatitt B</w:delText>
        </w:r>
      </w:del>
    </w:p>
    <w:p w14:paraId="6AF95270" w14:textId="7F2FED1D" w:rsidR="00085BDB" w:rsidRPr="009C5EFD" w:rsidRDefault="00085BDB">
      <w:pPr>
        <w:keepNext/>
        <w:suppressAutoHyphens/>
        <w:rPr>
          <w:del w:id="5085" w:author="AbbVie02no" w:date="2025-05-15T13:45:00Z"/>
          <w:sz w:val="22"/>
          <w:szCs w:val="22"/>
          <w:u w:val="single"/>
        </w:rPr>
        <w:pPrChange w:id="5086" w:author="AbbVie02no" w:date="2025-05-15T13:45:00Z">
          <w:pPr>
            <w:keepNext/>
            <w:autoSpaceDE w:val="0"/>
            <w:autoSpaceDN w:val="0"/>
            <w:adjustRightInd w:val="0"/>
            <w:spacing w:line="240" w:lineRule="atLeast"/>
          </w:pPr>
        </w:pPrChange>
      </w:pPr>
    </w:p>
    <w:p w14:paraId="79DC712B" w14:textId="6A4EC674" w:rsidR="00AC577C" w:rsidRPr="009C5EFD" w:rsidRDefault="00E453CD">
      <w:pPr>
        <w:keepNext/>
        <w:suppressAutoHyphens/>
        <w:rPr>
          <w:del w:id="5087" w:author="AbbVie02no" w:date="2025-05-15T13:45:00Z"/>
          <w:sz w:val="22"/>
          <w:szCs w:val="22"/>
        </w:rPr>
        <w:pPrChange w:id="5088" w:author="AbbVie02no" w:date="2025-05-15T13:45:00Z">
          <w:pPr/>
        </w:pPrChange>
      </w:pPr>
      <w:del w:id="5089" w:author="AbbVie02no" w:date="2025-05-15T13:45:00Z">
        <w:r w:rsidRPr="009C5EFD">
          <w:rPr>
            <w:sz w:val="22"/>
            <w:szCs w:val="22"/>
          </w:rPr>
          <w:delText xml:space="preserve">Reaktivering av hepatitt B har forekommet hos pasienter som behandles med TNF-antagonister inklusive Humira, og som er kroniske bærere av viruset og </w:delText>
        </w:r>
        <w:r w:rsidR="004D6567" w:rsidRPr="009C5EFD">
          <w:rPr>
            <w:sz w:val="22"/>
            <w:szCs w:val="22"/>
          </w:rPr>
          <w:delText>(dvs. overflateantigen-</w:delText>
        </w:r>
        <w:r w:rsidRPr="009C5EFD">
          <w:rPr>
            <w:sz w:val="22"/>
            <w:szCs w:val="22"/>
          </w:rPr>
          <w:delText xml:space="preserve">positive). Noen tilfeller var fatale. Pasienter bør testes for HBV-infeksjon før oppstart </w:delText>
        </w:r>
        <w:r w:rsidR="004D6567" w:rsidRPr="009C5EFD">
          <w:rPr>
            <w:sz w:val="22"/>
            <w:szCs w:val="22"/>
          </w:rPr>
          <w:delText xml:space="preserve">av </w:delText>
        </w:r>
        <w:r w:rsidRPr="009C5EFD">
          <w:rPr>
            <w:sz w:val="22"/>
            <w:szCs w:val="22"/>
          </w:rPr>
          <w:delText xml:space="preserve">Humira-behandling. For pasienter som testes positiv for hepatitt B-infeksjon, anbefales det å konsultere en lege med ekspertise på behandling av hepatitt B. </w:delText>
        </w:r>
      </w:del>
    </w:p>
    <w:p w14:paraId="18EE80C6" w14:textId="6B2033DE" w:rsidR="00AC577C" w:rsidRPr="009C5EFD" w:rsidRDefault="00AC577C">
      <w:pPr>
        <w:keepNext/>
        <w:suppressAutoHyphens/>
        <w:rPr>
          <w:del w:id="5090" w:author="AbbVie02no" w:date="2025-05-15T13:45:00Z"/>
          <w:sz w:val="22"/>
          <w:szCs w:val="22"/>
        </w:rPr>
        <w:pPrChange w:id="5091" w:author="AbbVie02no" w:date="2025-05-15T13:45:00Z">
          <w:pPr/>
        </w:pPrChange>
      </w:pPr>
    </w:p>
    <w:p w14:paraId="10CEF30A" w14:textId="46A76BAA" w:rsidR="00085BDB" w:rsidRPr="009C5EFD" w:rsidRDefault="00E453CD">
      <w:pPr>
        <w:keepNext/>
        <w:suppressAutoHyphens/>
        <w:rPr>
          <w:del w:id="5092" w:author="AbbVie02no" w:date="2025-05-15T13:45:00Z"/>
          <w:sz w:val="22"/>
          <w:szCs w:val="22"/>
        </w:rPr>
        <w:pPrChange w:id="5093" w:author="AbbVie02no" w:date="2025-05-15T13:45:00Z">
          <w:pPr/>
        </w:pPrChange>
      </w:pPr>
      <w:del w:id="5094" w:author="AbbVie02no" w:date="2025-05-15T13:45:00Z">
        <w:r w:rsidRPr="009C5EFD">
          <w:rPr>
            <w:sz w:val="22"/>
            <w:szCs w:val="22"/>
          </w:rPr>
          <w:delText>HBV-bærere som krever behandling med Humira bør overvåkes nøye med hensyn på sykdomstegn og symptomer på aktiv HBV-infeksjon under behandlingen og flere måneder etter avsluttet behandling. Tilstrekkelig data om behandling av pasienter som er HBV-bærere med antiviralterapi for å forebygge HBV-reaktivering, samtidig med TNF-antagonistterapi, er ikke tilgjengelig. Humira bør seponeres hos pasienter som utvikler HBV-reaktivering og effektiv antiviralterapi med passende støttebehandling bør startes.</w:delText>
        </w:r>
      </w:del>
    </w:p>
    <w:p w14:paraId="6E4E8891" w14:textId="1FDA4003" w:rsidR="00E52C3A" w:rsidRPr="009C5EFD" w:rsidRDefault="00E52C3A">
      <w:pPr>
        <w:keepNext/>
        <w:suppressAutoHyphens/>
        <w:rPr>
          <w:del w:id="5095" w:author="AbbVie02no" w:date="2025-05-15T13:45:00Z"/>
          <w:szCs w:val="22"/>
        </w:rPr>
        <w:pPrChange w:id="5096" w:author="AbbVie02no" w:date="2025-05-15T13:45:00Z">
          <w:pPr>
            <w:pStyle w:val="Heading8"/>
            <w:keepNext w:val="0"/>
          </w:pPr>
        </w:pPrChange>
      </w:pPr>
    </w:p>
    <w:p w14:paraId="55DA1CE2" w14:textId="47E4466E" w:rsidR="00085BDB" w:rsidRPr="009C5EFD" w:rsidRDefault="00E453CD">
      <w:pPr>
        <w:keepNext/>
        <w:suppressAutoHyphens/>
        <w:rPr>
          <w:del w:id="5097" w:author="AbbVie02no" w:date="2025-05-15T13:45:00Z"/>
          <w:szCs w:val="22"/>
        </w:rPr>
        <w:pPrChange w:id="5098" w:author="AbbVie02no" w:date="2025-05-15T13:45:00Z">
          <w:pPr>
            <w:pStyle w:val="Heading8"/>
          </w:pPr>
        </w:pPrChange>
      </w:pPr>
      <w:del w:id="5099" w:author="AbbVie02no" w:date="2025-05-15T13:45:00Z">
        <w:r w:rsidRPr="009C5EFD">
          <w:rPr>
            <w:szCs w:val="22"/>
          </w:rPr>
          <w:delText>Nevrologiske hendelser</w:delText>
        </w:r>
      </w:del>
    </w:p>
    <w:p w14:paraId="2B92EDD5" w14:textId="1B6ED4E3" w:rsidR="00085BDB" w:rsidRPr="009C5EFD" w:rsidRDefault="00085BDB">
      <w:pPr>
        <w:keepNext/>
        <w:suppressAutoHyphens/>
        <w:rPr>
          <w:del w:id="5100" w:author="AbbVie02no" w:date="2025-05-15T13:45:00Z"/>
          <w:sz w:val="22"/>
          <w:szCs w:val="22"/>
        </w:rPr>
        <w:pPrChange w:id="5101" w:author="AbbVie02no" w:date="2025-05-15T13:45:00Z">
          <w:pPr>
            <w:keepNext/>
          </w:pPr>
        </w:pPrChange>
      </w:pPr>
    </w:p>
    <w:p w14:paraId="3EBAD527" w14:textId="5038AD69" w:rsidR="00085BDB" w:rsidRPr="009C5EFD" w:rsidRDefault="00E453CD">
      <w:pPr>
        <w:keepNext/>
        <w:suppressAutoHyphens/>
        <w:rPr>
          <w:del w:id="5102" w:author="AbbVie02no" w:date="2025-05-15T13:45:00Z"/>
          <w:sz w:val="22"/>
          <w:szCs w:val="22"/>
        </w:rPr>
        <w:pPrChange w:id="5103" w:author="AbbVie02no" w:date="2025-05-15T13:45:00Z">
          <w:pPr/>
        </w:pPrChange>
      </w:pPr>
      <w:del w:id="5104" w:author="AbbVie02no" w:date="2025-05-15T13:45:00Z">
        <w:r w:rsidRPr="009C5EFD">
          <w:rPr>
            <w:sz w:val="22"/>
            <w:szCs w:val="22"/>
          </w:rPr>
          <w:delText xml:space="preserve">TNF-antagonister, også Humira, er i sjeldne tilfeller satt i sammenheng med oppblussing eller forverring av kliniske symptomer og/eller radiografisk </w:delText>
        </w:r>
        <w:r w:rsidR="00BF0D99" w:rsidRPr="009C5EFD">
          <w:rPr>
            <w:sz w:val="22"/>
            <w:szCs w:val="22"/>
          </w:rPr>
          <w:delText>indikasjon</w:delText>
        </w:r>
        <w:r w:rsidRPr="009C5EFD">
          <w:rPr>
            <w:sz w:val="22"/>
            <w:szCs w:val="22"/>
          </w:rPr>
          <w:delText xml:space="preserve"> på demyeliniserende sykdom</w:delText>
        </w:r>
        <w:r w:rsidR="00C95C75" w:rsidRPr="009C5EFD">
          <w:rPr>
            <w:sz w:val="22"/>
            <w:szCs w:val="22"/>
          </w:rPr>
          <w:delText xml:space="preserve"> i sentralnervesystemet</w:delText>
        </w:r>
        <w:r w:rsidRPr="009C5EFD">
          <w:rPr>
            <w:sz w:val="22"/>
            <w:szCs w:val="22"/>
          </w:rPr>
          <w:delText xml:space="preserve">, </w:delText>
        </w:r>
        <w:r w:rsidRPr="009C5EFD">
          <w:rPr>
            <w:color w:val="000000"/>
            <w:sz w:val="22"/>
            <w:szCs w:val="22"/>
          </w:rPr>
          <w:delText>inkludert</w:delText>
        </w:r>
        <w:r w:rsidRPr="009C5EFD">
          <w:rPr>
            <w:sz w:val="22"/>
            <w:szCs w:val="22"/>
          </w:rPr>
          <w:delText xml:space="preserve"> multippel sklerose</w:delText>
        </w:r>
        <w:r w:rsidR="00C95C75" w:rsidRPr="009C5EFD">
          <w:rPr>
            <w:sz w:val="22"/>
            <w:szCs w:val="22"/>
          </w:rPr>
          <w:delText xml:space="preserve"> og optikusneuritt, </w:delText>
        </w:r>
        <w:r w:rsidRPr="009C5EFD">
          <w:rPr>
            <w:sz w:val="22"/>
            <w:szCs w:val="22"/>
          </w:rPr>
          <w:delText>og perifer demyeliniserende sykdom, inkludert Guillain-Barré sy</w:delText>
        </w:r>
        <w:r w:rsidR="000E5110" w:rsidRPr="009C5EFD">
          <w:rPr>
            <w:sz w:val="22"/>
            <w:szCs w:val="22"/>
          </w:rPr>
          <w:delText>n</w:delText>
        </w:r>
        <w:r w:rsidRPr="009C5EFD">
          <w:rPr>
            <w:sz w:val="22"/>
            <w:szCs w:val="22"/>
          </w:rPr>
          <w:delText>d</w:delText>
        </w:r>
        <w:r w:rsidR="000E5110" w:rsidRPr="009C5EFD">
          <w:rPr>
            <w:sz w:val="22"/>
            <w:szCs w:val="22"/>
          </w:rPr>
          <w:delText>r</w:delText>
        </w:r>
        <w:r w:rsidRPr="009C5EFD">
          <w:rPr>
            <w:sz w:val="22"/>
            <w:szCs w:val="22"/>
          </w:rPr>
          <w:delText xml:space="preserve">om. Forskrivende lege bør utvise varsomhet når Humira vurderes til pasienter med tidligere eksisterende eller nylig oppståtte demyeliniserende sykdommer i </w:delText>
        </w:r>
        <w:r w:rsidR="00993330" w:rsidRPr="009C5EFD">
          <w:rPr>
            <w:sz w:val="22"/>
            <w:szCs w:val="22"/>
          </w:rPr>
          <w:delText xml:space="preserve">det </w:delText>
        </w:r>
        <w:r w:rsidRPr="009C5EFD">
          <w:rPr>
            <w:sz w:val="22"/>
            <w:szCs w:val="22"/>
          </w:rPr>
          <w:delText>sentral</w:delText>
        </w:r>
        <w:r w:rsidR="00993330" w:rsidRPr="009C5EFD">
          <w:rPr>
            <w:sz w:val="22"/>
            <w:szCs w:val="22"/>
          </w:rPr>
          <w:delText>e</w:delText>
        </w:r>
        <w:r w:rsidRPr="009C5EFD">
          <w:rPr>
            <w:sz w:val="22"/>
            <w:szCs w:val="22"/>
          </w:rPr>
          <w:delText>- eller perifer</w:delText>
        </w:r>
        <w:r w:rsidR="00993330" w:rsidRPr="009C5EFD">
          <w:rPr>
            <w:sz w:val="22"/>
            <w:szCs w:val="22"/>
          </w:rPr>
          <w:delText>e</w:delText>
        </w:r>
        <w:r w:rsidRPr="009C5EFD">
          <w:rPr>
            <w:sz w:val="22"/>
            <w:szCs w:val="22"/>
          </w:rPr>
          <w:delText xml:space="preserve"> nervesystemet.</w:delText>
        </w:r>
        <w:r w:rsidR="005C6A76">
          <w:rPr>
            <w:sz w:val="22"/>
            <w:szCs w:val="22"/>
          </w:rPr>
          <w:delText xml:space="preserve"> Seponering av Humira bør vurderes dersom noen av disse sykdommene utvikles. Det er en kjent sammenheng mellom intermediær uveitt og demyeliniserende sykdom</w:delText>
        </w:r>
        <w:r w:rsidR="009632BF">
          <w:rPr>
            <w:sz w:val="22"/>
            <w:szCs w:val="22"/>
          </w:rPr>
          <w:delText xml:space="preserve"> i </w:delText>
        </w:r>
        <w:r w:rsidR="00D45DE7">
          <w:rPr>
            <w:sz w:val="22"/>
            <w:szCs w:val="22"/>
          </w:rPr>
          <w:delText>sentral</w:delText>
        </w:r>
        <w:r w:rsidR="009632BF">
          <w:rPr>
            <w:sz w:val="22"/>
            <w:szCs w:val="22"/>
          </w:rPr>
          <w:delText>nervesystemet</w:delText>
        </w:r>
        <w:r w:rsidR="005C6A76">
          <w:rPr>
            <w:sz w:val="22"/>
            <w:szCs w:val="22"/>
          </w:rPr>
          <w:delText>. Nevrologisk undersøkelse bør gjennomføres hos pasienter med ikke-infeksiøs intermediær uveitt før oppstart av behandling med Humira og regelmessig under behandlingen</w:delText>
        </w:r>
        <w:r w:rsidR="009632BF">
          <w:rPr>
            <w:sz w:val="22"/>
            <w:szCs w:val="22"/>
          </w:rPr>
          <w:delText>,</w:delText>
        </w:r>
        <w:r w:rsidR="005C6A76">
          <w:rPr>
            <w:sz w:val="22"/>
            <w:szCs w:val="22"/>
          </w:rPr>
          <w:delText xml:space="preserve"> for å</w:delText>
        </w:r>
        <w:r w:rsidR="009632BF">
          <w:rPr>
            <w:sz w:val="22"/>
            <w:szCs w:val="22"/>
          </w:rPr>
          <w:delText xml:space="preserve"> sjekke</w:delText>
        </w:r>
        <w:r w:rsidR="005C6A76">
          <w:rPr>
            <w:sz w:val="22"/>
            <w:szCs w:val="22"/>
          </w:rPr>
          <w:delText xml:space="preserve"> for pre-eksisterende eller utviklende </w:delText>
        </w:r>
        <w:r w:rsidR="005C6A76" w:rsidRPr="005C6A76">
          <w:rPr>
            <w:sz w:val="22"/>
            <w:szCs w:val="22"/>
          </w:rPr>
          <w:delText>demyeliniserende sykdom</w:delText>
        </w:r>
        <w:r w:rsidR="009632BF">
          <w:rPr>
            <w:sz w:val="22"/>
            <w:szCs w:val="22"/>
          </w:rPr>
          <w:delText xml:space="preserve"> i sentralnervesystemet</w:delText>
        </w:r>
        <w:r w:rsidR="00644A9B">
          <w:rPr>
            <w:sz w:val="22"/>
            <w:szCs w:val="22"/>
          </w:rPr>
          <w:delText>.</w:delText>
        </w:r>
      </w:del>
    </w:p>
    <w:p w14:paraId="20900BAB" w14:textId="296182B1" w:rsidR="00085BDB" w:rsidRPr="009C5EFD" w:rsidRDefault="00085BDB">
      <w:pPr>
        <w:keepNext/>
        <w:suppressAutoHyphens/>
        <w:rPr>
          <w:del w:id="5105" w:author="AbbVie02no" w:date="2025-05-15T13:45:00Z"/>
          <w:sz w:val="22"/>
          <w:szCs w:val="22"/>
        </w:rPr>
        <w:pPrChange w:id="5106" w:author="AbbVie02no" w:date="2025-05-15T13:45:00Z">
          <w:pPr/>
        </w:pPrChange>
      </w:pPr>
    </w:p>
    <w:p w14:paraId="511C5212" w14:textId="469F85FA" w:rsidR="00085BDB" w:rsidRPr="009C5EFD" w:rsidRDefault="00E453CD">
      <w:pPr>
        <w:keepNext/>
        <w:suppressAutoHyphens/>
        <w:rPr>
          <w:del w:id="5107" w:author="AbbVie02no" w:date="2025-05-15T13:45:00Z"/>
          <w:szCs w:val="22"/>
        </w:rPr>
        <w:pPrChange w:id="5108" w:author="AbbVie02no" w:date="2025-05-15T13:45:00Z">
          <w:pPr>
            <w:pStyle w:val="Heading8"/>
          </w:pPr>
        </w:pPrChange>
      </w:pPr>
      <w:del w:id="5109" w:author="AbbVie02no" w:date="2025-05-15T13:45:00Z">
        <w:r w:rsidRPr="009C5EFD">
          <w:rPr>
            <w:szCs w:val="22"/>
          </w:rPr>
          <w:delText>Allergiske reaksjoner</w:delText>
        </w:r>
      </w:del>
    </w:p>
    <w:p w14:paraId="46856A29" w14:textId="70E3ABD9" w:rsidR="001D34FE" w:rsidRPr="009C5EFD" w:rsidRDefault="001D34FE">
      <w:pPr>
        <w:keepNext/>
        <w:suppressAutoHyphens/>
        <w:rPr>
          <w:del w:id="5110" w:author="AbbVie02no" w:date="2025-05-15T13:45:00Z"/>
          <w:sz w:val="22"/>
          <w:szCs w:val="22"/>
        </w:rPr>
        <w:pPrChange w:id="5111" w:author="AbbVie02no" w:date="2025-05-15T13:45:00Z">
          <w:pPr>
            <w:keepNext/>
          </w:pPr>
        </w:pPrChange>
      </w:pPr>
    </w:p>
    <w:p w14:paraId="074676C6" w14:textId="519AE624" w:rsidR="00085BDB" w:rsidRPr="009C5EFD" w:rsidRDefault="00E453CD">
      <w:pPr>
        <w:keepNext/>
        <w:suppressAutoHyphens/>
        <w:rPr>
          <w:del w:id="5112" w:author="AbbVie02no" w:date="2025-05-15T13:45:00Z"/>
          <w:sz w:val="22"/>
          <w:szCs w:val="22"/>
        </w:rPr>
        <w:pPrChange w:id="5113" w:author="AbbVie02no" w:date="2025-05-15T13:45:00Z">
          <w:pPr/>
        </w:pPrChange>
      </w:pPr>
      <w:del w:id="5114" w:author="AbbVie02no" w:date="2025-05-15T13:45:00Z">
        <w:r w:rsidRPr="009C5EFD">
          <w:rPr>
            <w:sz w:val="22"/>
            <w:szCs w:val="22"/>
          </w:rPr>
          <w:delText xml:space="preserve">Alvorlige allergiske reaksjoner forbundet med  Humira var sjelden i kliniske studier. Ikke-alvorlige allergiske reaksjoner forbundet med Humira var mindre vanlige i kliniske studier. Rapporter på alvorlige allergiske reaksjoner, inklusive anafylaksi, har blitt mottatt etter administrasjon av Humira. Hvis det oppstår anafylaktiske reaksjoner eller annen alvorlig allergisk reaksjon, må </w:delText>
        </w:r>
        <w:r w:rsidR="00B8124C">
          <w:rPr>
            <w:sz w:val="22"/>
            <w:szCs w:val="22"/>
          </w:rPr>
          <w:delText>administrasjon</w:delText>
        </w:r>
        <w:r w:rsidR="00797AFC" w:rsidRPr="00797AFC">
          <w:rPr>
            <w:sz w:val="22"/>
            <w:szCs w:val="22"/>
          </w:rPr>
          <w:delText>en</w:delText>
        </w:r>
        <w:r w:rsidRPr="009C5EFD">
          <w:rPr>
            <w:sz w:val="22"/>
            <w:szCs w:val="22"/>
          </w:rPr>
          <w:delText>av Humira seponeres umiddelbart og nødvendig behandling initieres.</w:delText>
        </w:r>
      </w:del>
    </w:p>
    <w:p w14:paraId="35472F2C" w14:textId="3E7BE57E" w:rsidR="00085BDB" w:rsidRPr="009C5EFD" w:rsidRDefault="00085BDB">
      <w:pPr>
        <w:keepNext/>
        <w:suppressAutoHyphens/>
        <w:rPr>
          <w:del w:id="5115" w:author="AbbVie02no" w:date="2025-05-15T13:45:00Z"/>
          <w:szCs w:val="22"/>
        </w:rPr>
        <w:pPrChange w:id="5116" w:author="AbbVie02no" w:date="2025-05-15T13:45:00Z">
          <w:pPr>
            <w:pStyle w:val="Heading8"/>
            <w:keepNext w:val="0"/>
          </w:pPr>
        </w:pPrChange>
      </w:pPr>
    </w:p>
    <w:p w14:paraId="06E96907" w14:textId="0FDE9C87" w:rsidR="00085BDB" w:rsidRPr="009C5EFD" w:rsidRDefault="00E453CD">
      <w:pPr>
        <w:keepNext/>
        <w:suppressAutoHyphens/>
        <w:rPr>
          <w:del w:id="5117" w:author="AbbVie02no" w:date="2025-05-15T13:45:00Z"/>
          <w:szCs w:val="22"/>
        </w:rPr>
        <w:pPrChange w:id="5118" w:author="AbbVie02no" w:date="2025-05-15T13:45:00Z">
          <w:pPr>
            <w:pStyle w:val="Heading8"/>
          </w:pPr>
        </w:pPrChange>
      </w:pPr>
      <w:del w:id="5119" w:author="AbbVie02no" w:date="2025-05-15T13:45:00Z">
        <w:r w:rsidRPr="009C5EFD">
          <w:rPr>
            <w:szCs w:val="22"/>
          </w:rPr>
          <w:delText>Immunsuppresjon</w:delText>
        </w:r>
      </w:del>
    </w:p>
    <w:p w14:paraId="436EF44E" w14:textId="6A2796B2" w:rsidR="00085BDB" w:rsidRPr="009C5EFD" w:rsidRDefault="00085BDB">
      <w:pPr>
        <w:keepNext/>
        <w:suppressAutoHyphens/>
        <w:rPr>
          <w:del w:id="5120" w:author="AbbVie02no" w:date="2025-05-15T13:45:00Z"/>
          <w:sz w:val="22"/>
          <w:szCs w:val="22"/>
        </w:rPr>
        <w:pPrChange w:id="5121" w:author="AbbVie02no" w:date="2025-05-15T13:45:00Z">
          <w:pPr>
            <w:keepNext/>
          </w:pPr>
        </w:pPrChange>
      </w:pPr>
    </w:p>
    <w:p w14:paraId="129F281C" w14:textId="7533E76E" w:rsidR="00085BDB" w:rsidRPr="009C5EFD" w:rsidRDefault="00E453CD">
      <w:pPr>
        <w:keepNext/>
        <w:suppressAutoHyphens/>
        <w:rPr>
          <w:del w:id="5122" w:author="AbbVie02no" w:date="2025-05-15T13:45:00Z"/>
          <w:sz w:val="22"/>
          <w:szCs w:val="22"/>
        </w:rPr>
        <w:pPrChange w:id="5123" w:author="AbbVie02no" w:date="2025-05-15T13:45:00Z">
          <w:pPr/>
        </w:pPrChange>
      </w:pPr>
      <w:del w:id="5124" w:author="AbbVie02no" w:date="2025-05-15T13:45:00Z">
        <w:r w:rsidRPr="009C5EFD">
          <w:rPr>
            <w:sz w:val="22"/>
            <w:szCs w:val="22"/>
          </w:rPr>
          <w:delText xml:space="preserve">I en studie med 64 pasienter med revmatoid artritt som ble behandlet med Humira, ble det ikke funnet bevis for nedsettelse av forsinket hypersensitivitet, nedsettelse av immunglobulinnivåer eller forandring av </w:delText>
        </w:r>
        <w:r w:rsidR="007527E2">
          <w:rPr>
            <w:sz w:val="22"/>
            <w:szCs w:val="22"/>
          </w:rPr>
          <w:delText>telte</w:delText>
        </w:r>
        <w:r w:rsidRPr="009C5EFD">
          <w:rPr>
            <w:sz w:val="22"/>
            <w:szCs w:val="22"/>
          </w:rPr>
          <w:delText xml:space="preserve"> effektor T-, B-, NK-celler, monocytter/makrofager og </w:delText>
        </w:r>
        <w:r w:rsidRPr="009C5EFD">
          <w:rPr>
            <w:sz w:val="22"/>
          </w:rPr>
          <w:delText>nøytrofile</w:delText>
        </w:r>
        <w:r w:rsidRPr="009C5EFD">
          <w:rPr>
            <w:sz w:val="22"/>
            <w:szCs w:val="22"/>
          </w:rPr>
          <w:delText xml:space="preserve">. </w:delText>
        </w:r>
      </w:del>
    </w:p>
    <w:p w14:paraId="7ED2707E" w14:textId="6342521B" w:rsidR="00F52536" w:rsidRPr="009C5EFD" w:rsidRDefault="00F52536">
      <w:pPr>
        <w:keepNext/>
        <w:suppressAutoHyphens/>
        <w:rPr>
          <w:del w:id="5125" w:author="AbbVie02no" w:date="2025-05-15T13:45:00Z"/>
          <w:sz w:val="22"/>
          <w:szCs w:val="22"/>
          <w:u w:val="single"/>
        </w:rPr>
        <w:pPrChange w:id="5126" w:author="AbbVie02no" w:date="2025-05-15T13:45:00Z">
          <w:pPr/>
        </w:pPrChange>
      </w:pPr>
    </w:p>
    <w:p w14:paraId="6A32860F" w14:textId="0A331352" w:rsidR="00085BDB" w:rsidRPr="009C5EFD" w:rsidRDefault="00E453CD">
      <w:pPr>
        <w:keepNext/>
        <w:suppressAutoHyphens/>
        <w:rPr>
          <w:del w:id="5127" w:author="AbbVie02no" w:date="2025-05-15T13:45:00Z"/>
          <w:sz w:val="22"/>
          <w:szCs w:val="22"/>
          <w:u w:val="single"/>
        </w:rPr>
        <w:pPrChange w:id="5128" w:author="AbbVie02no" w:date="2025-05-15T13:45:00Z">
          <w:pPr>
            <w:keepNext/>
          </w:pPr>
        </w:pPrChange>
      </w:pPr>
      <w:del w:id="5129" w:author="AbbVie02no" w:date="2025-05-15T13:45:00Z">
        <w:r w:rsidRPr="009C5EFD">
          <w:rPr>
            <w:sz w:val="22"/>
            <w:szCs w:val="22"/>
            <w:u w:val="single"/>
          </w:rPr>
          <w:delText>Maligniteter og lymfoproliferative sykdommer</w:delText>
        </w:r>
      </w:del>
    </w:p>
    <w:p w14:paraId="2F4DEA0E" w14:textId="6478DA3A" w:rsidR="00085BDB" w:rsidRPr="009C5EFD" w:rsidRDefault="00085BDB">
      <w:pPr>
        <w:keepNext/>
        <w:suppressAutoHyphens/>
        <w:rPr>
          <w:del w:id="5130" w:author="AbbVie02no" w:date="2025-05-15T13:45:00Z"/>
          <w:sz w:val="22"/>
          <w:szCs w:val="22"/>
        </w:rPr>
        <w:pPrChange w:id="5131" w:author="AbbVie02no" w:date="2025-05-15T13:45:00Z">
          <w:pPr>
            <w:keepNext/>
          </w:pPr>
        </w:pPrChange>
      </w:pPr>
    </w:p>
    <w:p w14:paraId="5B18F78C" w14:textId="4E6BBFC7" w:rsidR="00085BDB" w:rsidRPr="009C5EFD" w:rsidRDefault="00E453CD">
      <w:pPr>
        <w:keepNext/>
        <w:suppressAutoHyphens/>
        <w:rPr>
          <w:del w:id="5132" w:author="AbbVie02no" w:date="2025-05-15T13:45:00Z"/>
          <w:sz w:val="22"/>
          <w:szCs w:val="22"/>
        </w:rPr>
        <w:pPrChange w:id="5133" w:author="AbbVie02no" w:date="2025-05-15T13:45:00Z">
          <w:pPr>
            <w:keepNext/>
          </w:pPr>
        </w:pPrChange>
      </w:pPr>
      <w:del w:id="5134" w:author="AbbVie02no" w:date="2025-05-15T13:45:00Z">
        <w:r w:rsidRPr="009C5EFD">
          <w:rPr>
            <w:sz w:val="22"/>
            <w:szCs w:val="22"/>
          </w:rPr>
          <w:delText xml:space="preserve">I kontrollerte kliniske studier med TNF-antagonister ble det observert flere tilfeller med maligniteter inkludert lymfom hos pasienter behandlet med TNF-antagonister sammenlignet med pasienter i kontrollgruppen. Forekomsten var likevel lav. Etter markedsføring er tilfeller med leukemi hos </w:delText>
        </w:r>
        <w:r w:rsidRPr="009C5EFD">
          <w:rPr>
            <w:sz w:val="22"/>
            <w:szCs w:val="22"/>
          </w:rPr>
          <w:lastRenderedPageBreak/>
          <w:delText>pasienter som ble behandlet med en TNF-an</w:delText>
        </w:r>
        <w:r w:rsidR="00123B69" w:rsidRPr="009C5EFD">
          <w:rPr>
            <w:sz w:val="22"/>
            <w:szCs w:val="22"/>
          </w:rPr>
          <w:delText>ta</w:delText>
        </w:r>
        <w:r w:rsidRPr="009C5EFD">
          <w:rPr>
            <w:sz w:val="22"/>
            <w:szCs w:val="22"/>
          </w:rPr>
          <w:delText xml:space="preserve">gonist, rapportert. Pasienter med revmatoid artritt med langvarig, svært aktiv, inflammatorisk sykdom har økt risiko for lymfomer og leukemi. Dette kompliserer estimering av risiko. Med nåværende kunnskap kan det ikke utelukkes at pasienter som behandles med TNF-antagonister har en mulig risiko for utvikling av lymfomer, leukemi og andre maligniteter. </w:delText>
        </w:r>
      </w:del>
    </w:p>
    <w:p w14:paraId="67DD953E" w14:textId="16A92158" w:rsidR="00085BDB" w:rsidRPr="009C5EFD" w:rsidRDefault="00085BDB">
      <w:pPr>
        <w:keepNext/>
        <w:suppressAutoHyphens/>
        <w:rPr>
          <w:del w:id="5135" w:author="AbbVie02no" w:date="2025-05-15T13:45:00Z"/>
          <w:sz w:val="22"/>
          <w:szCs w:val="22"/>
        </w:rPr>
        <w:pPrChange w:id="5136" w:author="AbbVie02no" w:date="2025-05-15T13:45:00Z">
          <w:pPr/>
        </w:pPrChange>
      </w:pPr>
    </w:p>
    <w:p w14:paraId="3AB34E21" w14:textId="6EFF4F96" w:rsidR="00085BDB" w:rsidRPr="009C5EFD" w:rsidRDefault="00E453CD">
      <w:pPr>
        <w:keepNext/>
        <w:suppressAutoHyphens/>
        <w:rPr>
          <w:del w:id="5137" w:author="AbbVie02no" w:date="2025-05-15T13:45:00Z"/>
          <w:sz w:val="22"/>
          <w:szCs w:val="22"/>
        </w:rPr>
        <w:pPrChange w:id="5138" w:author="AbbVie02no" w:date="2025-05-15T13:45:00Z">
          <w:pPr/>
        </w:pPrChange>
      </w:pPr>
      <w:del w:id="5139" w:author="AbbVie02no" w:date="2025-05-15T13:45:00Z">
        <w:r w:rsidRPr="009C5EFD">
          <w:rPr>
            <w:sz w:val="22"/>
            <w:szCs w:val="22"/>
          </w:rPr>
          <w:delText>Etter markedsføring</w:delText>
        </w:r>
        <w:r w:rsidR="00D244B6">
          <w:rPr>
            <w:sz w:val="22"/>
            <w:szCs w:val="22"/>
          </w:rPr>
          <w:delText xml:space="preserve"> har det blitt rapportert om</w:delText>
        </w:r>
        <w:r w:rsidRPr="009C5EFD">
          <w:rPr>
            <w:sz w:val="22"/>
            <w:szCs w:val="22"/>
          </w:rPr>
          <w:delText xml:space="preserve"> maligniteter, noen fatale, hos barn</w:delText>
        </w:r>
        <w:r w:rsidR="006B28C1">
          <w:rPr>
            <w:sz w:val="22"/>
            <w:szCs w:val="22"/>
          </w:rPr>
          <w:delText>,</w:delText>
        </w:r>
        <w:r w:rsidRPr="009C5EFD">
          <w:rPr>
            <w:sz w:val="22"/>
            <w:szCs w:val="22"/>
          </w:rPr>
          <w:delText xml:space="preserve"> ungdom og </w:delText>
        </w:r>
        <w:r w:rsidR="006B28C1">
          <w:rPr>
            <w:sz w:val="22"/>
            <w:szCs w:val="22"/>
          </w:rPr>
          <w:delText>unge voksne</w:delText>
        </w:r>
        <w:r w:rsidRPr="009C5EFD">
          <w:rPr>
            <w:sz w:val="22"/>
            <w:szCs w:val="22"/>
          </w:rPr>
          <w:delText xml:space="preserve"> (opptil 22 år) som ble behandlet med TNF-</w:delText>
        </w:r>
        <w:r w:rsidR="00A36902" w:rsidRPr="009C5EFD">
          <w:rPr>
            <w:sz w:val="22"/>
            <w:szCs w:val="22"/>
          </w:rPr>
          <w:delText>antagonister</w:delText>
        </w:r>
        <w:r w:rsidRPr="009C5EFD">
          <w:rPr>
            <w:sz w:val="22"/>
            <w:szCs w:val="22"/>
          </w:rPr>
          <w:delText xml:space="preserve">, inkludert adalimumab (start av behandling ≤ 18 år). </w:delText>
        </w:r>
        <w:r w:rsidR="006B28C1">
          <w:rPr>
            <w:sz w:val="22"/>
            <w:szCs w:val="22"/>
          </w:rPr>
          <w:delText>Omtrent</w:delText>
        </w:r>
        <w:r w:rsidRPr="009C5EFD">
          <w:rPr>
            <w:sz w:val="22"/>
            <w:szCs w:val="22"/>
          </w:rPr>
          <w:delText xml:space="preserve"> halvparten av tilfellene var lymfomer. Andre tilfeller representerte forskjellige maligniteter og inkluderte sjeldne maligniteter som vanligvis er assosiert med immunsuppresjon. Risiko for utvikling av maligniteter hos barn og ungdom som er behandlet med TNF-</w:delText>
        </w:r>
        <w:r w:rsidR="00A36902" w:rsidRPr="009C5EFD">
          <w:rPr>
            <w:sz w:val="22"/>
            <w:szCs w:val="22"/>
          </w:rPr>
          <w:delText>antagonister</w:delText>
        </w:r>
        <w:r w:rsidRPr="009C5EFD">
          <w:rPr>
            <w:sz w:val="22"/>
            <w:szCs w:val="22"/>
          </w:rPr>
          <w:delText>, kan ikke utelukkes.</w:delText>
        </w:r>
      </w:del>
    </w:p>
    <w:p w14:paraId="0BC92354" w14:textId="539D1AD0" w:rsidR="00717E3B" w:rsidRPr="009C5EFD" w:rsidRDefault="00717E3B">
      <w:pPr>
        <w:keepNext/>
        <w:suppressAutoHyphens/>
        <w:rPr>
          <w:del w:id="5140" w:author="AbbVie02no" w:date="2025-05-15T13:45:00Z"/>
          <w:sz w:val="22"/>
          <w:szCs w:val="22"/>
        </w:rPr>
        <w:pPrChange w:id="5141" w:author="AbbVie02no" w:date="2025-05-15T13:45:00Z">
          <w:pPr/>
        </w:pPrChange>
      </w:pPr>
    </w:p>
    <w:p w14:paraId="3E5D111A" w14:textId="5B97D148" w:rsidR="00085BDB" w:rsidRPr="009C5EFD" w:rsidRDefault="00E453CD">
      <w:pPr>
        <w:keepNext/>
        <w:suppressAutoHyphens/>
        <w:rPr>
          <w:del w:id="5142" w:author="AbbVie02no" w:date="2025-05-15T13:45:00Z"/>
          <w:sz w:val="22"/>
          <w:szCs w:val="22"/>
        </w:rPr>
        <w:pPrChange w:id="5143" w:author="AbbVie02no" w:date="2025-05-15T13:45:00Z">
          <w:pPr/>
        </w:pPrChange>
      </w:pPr>
      <w:del w:id="5144" w:author="AbbVie02no" w:date="2025-05-15T13:45:00Z">
        <w:r w:rsidRPr="009C5EFD">
          <w:rPr>
            <w:sz w:val="22"/>
            <w:szCs w:val="22"/>
          </w:rPr>
          <w:delText xml:space="preserve">Sjeldne tilfeller av hepatosplenisk T-cellelymfom hos pasienter behandlet med adalimumab er sett etter markedsføring. Denne sjeldne typen T-cellelymfom har en meget aggressiv sykdomsprogresjon og er vanligvis fatal. Noen av tilfellene med hepatosplenisk T-cellelymfom med Humira har skjedd hos unge voksne som samtidig ble behandlet med azatioprin eller 6-merkaptopurin for </w:delText>
        </w:r>
        <w:r w:rsidR="00606701" w:rsidRPr="009C5EFD">
          <w:rPr>
            <w:sz w:val="22"/>
            <w:szCs w:val="22"/>
          </w:rPr>
          <w:delText>inflammatorisk tarmsykdom</w:delText>
        </w:r>
        <w:r w:rsidRPr="009C5EFD">
          <w:rPr>
            <w:sz w:val="22"/>
            <w:szCs w:val="22"/>
          </w:rPr>
          <w:delText xml:space="preserve">. </w:delText>
        </w:r>
        <w:r w:rsidR="00AC577C" w:rsidRPr="009C5EFD">
          <w:rPr>
            <w:sz w:val="22"/>
          </w:rPr>
          <w:delText>Den potensiel</w:delText>
        </w:r>
        <w:r w:rsidR="00137590" w:rsidRPr="009C5EFD">
          <w:rPr>
            <w:sz w:val="22"/>
          </w:rPr>
          <w:delText>le</w:delText>
        </w:r>
        <w:r w:rsidR="00AC577C" w:rsidRPr="009C5EFD">
          <w:rPr>
            <w:sz w:val="22"/>
          </w:rPr>
          <w:delText xml:space="preserve"> risikoen ved samtidig bruk av azatioprin eller 6-merkaptopurin og Humira bør vurderes </w:delText>
        </w:r>
        <w:r w:rsidR="00137590" w:rsidRPr="009C5EFD">
          <w:rPr>
            <w:sz w:val="22"/>
          </w:rPr>
          <w:delText>nøye</w:delText>
        </w:r>
        <w:r w:rsidR="00AC577C" w:rsidRPr="009C5EFD">
          <w:rPr>
            <w:sz w:val="22"/>
          </w:rPr>
          <w:delText>.</w:delText>
        </w:r>
        <w:r w:rsidRPr="009C5EFD">
          <w:rPr>
            <w:sz w:val="22"/>
          </w:rPr>
          <w:delText xml:space="preserve"> </w:delText>
        </w:r>
        <w:r w:rsidRPr="009C5EFD">
          <w:rPr>
            <w:sz w:val="22"/>
            <w:szCs w:val="22"/>
          </w:rPr>
          <w:delText>Man kan ikke utelukke en risiko for å utvikle hepatosplenisk T-cellelymfom hos pasienter som behandles med Humira (se pkt. 4.8).</w:delText>
        </w:r>
      </w:del>
    </w:p>
    <w:p w14:paraId="1365E625" w14:textId="6A449484" w:rsidR="00085BDB" w:rsidRPr="009C5EFD" w:rsidRDefault="00085BDB">
      <w:pPr>
        <w:keepNext/>
        <w:suppressAutoHyphens/>
        <w:rPr>
          <w:del w:id="5145" w:author="AbbVie02no" w:date="2025-05-15T13:45:00Z"/>
          <w:sz w:val="22"/>
          <w:szCs w:val="22"/>
        </w:rPr>
        <w:pPrChange w:id="5146" w:author="AbbVie02no" w:date="2025-05-15T13:45:00Z">
          <w:pPr/>
        </w:pPrChange>
      </w:pPr>
    </w:p>
    <w:p w14:paraId="473AC8CC" w14:textId="4CE518F3" w:rsidR="00085BDB" w:rsidRPr="009C5EFD" w:rsidRDefault="00E453CD">
      <w:pPr>
        <w:keepNext/>
        <w:suppressAutoHyphens/>
        <w:rPr>
          <w:del w:id="5147" w:author="AbbVie02no" w:date="2025-05-15T13:45:00Z"/>
          <w:sz w:val="22"/>
          <w:szCs w:val="22"/>
        </w:rPr>
        <w:pPrChange w:id="5148" w:author="AbbVie02no" w:date="2025-05-15T13:45:00Z">
          <w:pPr/>
        </w:pPrChange>
      </w:pPr>
      <w:del w:id="5149" w:author="AbbVie02no" w:date="2025-05-15T13:45:00Z">
        <w:r w:rsidRPr="009C5EFD">
          <w:rPr>
            <w:sz w:val="22"/>
            <w:szCs w:val="22"/>
          </w:rPr>
          <w:delText>Det er ikke utført studier som inkluderer pasienter med tidligere malignitet eller hos pasienter som fortsetter med behandling av Humira etter utvikling av malignitet. Ekstra varsomhet bør derfor utvises når behandling med Humira vurderes hos disse pasientene (se pkt. 4.8).</w:delText>
        </w:r>
      </w:del>
    </w:p>
    <w:p w14:paraId="35360C28" w14:textId="0BFB021D" w:rsidR="00085BDB" w:rsidRPr="009C5EFD" w:rsidRDefault="00085BDB">
      <w:pPr>
        <w:keepNext/>
        <w:suppressAutoHyphens/>
        <w:rPr>
          <w:del w:id="5150" w:author="AbbVie02no" w:date="2025-05-15T13:45:00Z"/>
          <w:sz w:val="22"/>
          <w:szCs w:val="22"/>
        </w:rPr>
        <w:pPrChange w:id="5151" w:author="AbbVie02no" w:date="2025-05-15T13:45:00Z">
          <w:pPr/>
        </w:pPrChange>
      </w:pPr>
    </w:p>
    <w:p w14:paraId="757D3065" w14:textId="1B3A27B8" w:rsidR="00085BDB" w:rsidRPr="009C5EFD" w:rsidRDefault="00E453CD">
      <w:pPr>
        <w:keepNext/>
        <w:suppressAutoHyphens/>
        <w:rPr>
          <w:del w:id="5152" w:author="AbbVie02no" w:date="2025-05-15T13:45:00Z"/>
          <w:szCs w:val="22"/>
        </w:rPr>
        <w:pPrChange w:id="5153" w:author="AbbVie02no" w:date="2025-05-15T13:45:00Z">
          <w:pPr>
            <w:pStyle w:val="EMEAFigureTitle"/>
            <w:tabs>
              <w:tab w:val="clear" w:pos="562"/>
            </w:tabs>
            <w:suppressAutoHyphens w:val="0"/>
          </w:pPr>
        </w:pPrChange>
      </w:pPr>
      <w:del w:id="5154" w:author="AbbVie02no" w:date="2025-05-15T13:45:00Z">
        <w:r w:rsidRPr="009C5EFD">
          <w:rPr>
            <w:szCs w:val="22"/>
          </w:rPr>
          <w:delText xml:space="preserve">Alle pasienter, særlig de med en tidligere omfattende </w:delText>
        </w:r>
        <w:r w:rsidR="007527E2">
          <w:rPr>
            <w:szCs w:val="22"/>
          </w:rPr>
          <w:delText>immunsuppressiv behandling</w:delText>
        </w:r>
        <w:r w:rsidRPr="009C5EFD">
          <w:rPr>
            <w:szCs w:val="22"/>
          </w:rPr>
          <w:delText xml:space="preserve"> eller psoriasispasienter med en tidligere PUVA-behandling bør undersøkes for </w:delText>
        </w:r>
        <w:r w:rsidR="00A50B35">
          <w:rPr>
            <w:szCs w:val="22"/>
          </w:rPr>
          <w:delText>tilstedeværelse</w:delText>
        </w:r>
        <w:r w:rsidRPr="009C5EFD">
          <w:rPr>
            <w:szCs w:val="22"/>
          </w:rPr>
          <w:delText xml:space="preserve"> av ikke-melanom hudkreft før og under behandling med Humira.</w:delText>
        </w:r>
        <w:r w:rsidR="005A02B4" w:rsidRPr="009C5EFD">
          <w:rPr>
            <w:szCs w:val="22"/>
          </w:rPr>
          <w:delText xml:space="preserve"> Melanom og merkelcellekarsinom har også blitt rapportert hos pasienter behandlet med TNF-antagonister, inkludert adalimumab (se pkt. 4.8).</w:delText>
        </w:r>
      </w:del>
    </w:p>
    <w:p w14:paraId="5EB69909" w14:textId="2112731F" w:rsidR="00310AE2" w:rsidRPr="009C5EFD" w:rsidRDefault="00310AE2">
      <w:pPr>
        <w:keepNext/>
        <w:suppressAutoHyphens/>
        <w:rPr>
          <w:del w:id="5155" w:author="AbbVie02no" w:date="2025-05-15T13:45:00Z"/>
          <w:sz w:val="22"/>
          <w:szCs w:val="22"/>
        </w:rPr>
        <w:pPrChange w:id="5156" w:author="AbbVie02no" w:date="2025-05-15T13:45:00Z">
          <w:pPr/>
        </w:pPrChange>
      </w:pPr>
    </w:p>
    <w:p w14:paraId="1E19E256" w14:textId="401AEFBC" w:rsidR="00085BDB" w:rsidRPr="009C5EFD" w:rsidRDefault="00E453CD">
      <w:pPr>
        <w:keepNext/>
        <w:suppressAutoHyphens/>
        <w:rPr>
          <w:del w:id="5157" w:author="AbbVie02no" w:date="2025-05-15T13:45:00Z"/>
          <w:sz w:val="22"/>
          <w:szCs w:val="22"/>
        </w:rPr>
        <w:pPrChange w:id="5158" w:author="AbbVie02no" w:date="2025-05-15T13:45:00Z">
          <w:pPr/>
        </w:pPrChange>
      </w:pPr>
      <w:del w:id="5159" w:author="AbbVie02no" w:date="2025-05-15T13:45:00Z">
        <w:r w:rsidRPr="009C5EFD">
          <w:rPr>
            <w:sz w:val="22"/>
            <w:szCs w:val="22"/>
          </w:rPr>
          <w:delText>I en klinisk studie som undersøkte bruken av e</w:delText>
        </w:r>
        <w:r w:rsidR="00606701" w:rsidRPr="009C5EFD">
          <w:rPr>
            <w:sz w:val="22"/>
            <w:szCs w:val="22"/>
          </w:rPr>
          <w:delText>n</w:delText>
        </w:r>
        <w:r w:rsidRPr="009C5EFD">
          <w:rPr>
            <w:sz w:val="22"/>
            <w:szCs w:val="22"/>
          </w:rPr>
          <w:delText xml:space="preserve"> anne</w:delText>
        </w:r>
        <w:r w:rsidR="00606701" w:rsidRPr="009C5EFD">
          <w:rPr>
            <w:sz w:val="22"/>
            <w:szCs w:val="22"/>
          </w:rPr>
          <w:delText>n</w:delText>
        </w:r>
        <w:r w:rsidRPr="009C5EFD">
          <w:rPr>
            <w:sz w:val="22"/>
            <w:szCs w:val="22"/>
          </w:rPr>
          <w:delText xml:space="preserve"> TNF-</w:delText>
        </w:r>
        <w:r w:rsidR="00606701" w:rsidRPr="009C5EFD">
          <w:rPr>
            <w:sz w:val="22"/>
            <w:szCs w:val="22"/>
          </w:rPr>
          <w:delText>antagonist</w:delText>
        </w:r>
        <w:r w:rsidRPr="009C5EFD">
          <w:rPr>
            <w:sz w:val="22"/>
            <w:szCs w:val="22"/>
          </w:rPr>
          <w:delText xml:space="preserve">, </w:delText>
        </w:r>
        <w:r w:rsidR="007527E2">
          <w:rPr>
            <w:sz w:val="22"/>
            <w:szCs w:val="22"/>
          </w:rPr>
          <w:delText>infliksimab</w:delText>
        </w:r>
        <w:r w:rsidRPr="009C5EFD">
          <w:rPr>
            <w:sz w:val="22"/>
            <w:szCs w:val="22"/>
          </w:rPr>
          <w:delText xml:space="preserve">, hos pasienter med moderat til alvorlig kronisk obstruktiv lungesykdom (KOLS), ble flere maligniteter, mest i lungene eller hode og nakke, rapportert hos pasienter som fikk infliksimab sammenlignet med kontrollgruppen. Alle pasientene var tidligere storrøykere. Derfor skal forsiktighet </w:delText>
        </w:r>
        <w:r w:rsidR="003D2C8B" w:rsidRPr="009C5EFD">
          <w:rPr>
            <w:sz w:val="22"/>
            <w:szCs w:val="22"/>
          </w:rPr>
          <w:delText>ut</w:delText>
        </w:r>
        <w:r w:rsidRPr="009C5EFD">
          <w:rPr>
            <w:sz w:val="22"/>
            <w:szCs w:val="22"/>
          </w:rPr>
          <w:delText xml:space="preserve">vises når en TNF-antagonist brukes hos KOLS-pasienter, </w:delText>
        </w:r>
        <w:r w:rsidR="00947491">
          <w:rPr>
            <w:sz w:val="22"/>
            <w:szCs w:val="22"/>
          </w:rPr>
          <w:delText>o</w:delText>
        </w:r>
        <w:r w:rsidR="00C40CB6">
          <w:rPr>
            <w:sz w:val="22"/>
            <w:szCs w:val="22"/>
          </w:rPr>
          <w:delText>g</w:delText>
        </w:r>
        <w:r w:rsidRPr="009C5EFD">
          <w:rPr>
            <w:sz w:val="22"/>
            <w:szCs w:val="22"/>
          </w:rPr>
          <w:delText xml:space="preserve"> hos pasienter som pga. storrøyking har økt risiko for malignitet.   </w:delText>
        </w:r>
      </w:del>
    </w:p>
    <w:p w14:paraId="620CBE94" w14:textId="646BD550" w:rsidR="00085BDB" w:rsidRPr="009C5EFD" w:rsidRDefault="00085BDB">
      <w:pPr>
        <w:keepNext/>
        <w:suppressAutoHyphens/>
        <w:rPr>
          <w:del w:id="5160" w:author="AbbVie02no" w:date="2025-05-15T13:45:00Z"/>
          <w:sz w:val="22"/>
          <w:szCs w:val="22"/>
        </w:rPr>
        <w:pPrChange w:id="5161" w:author="AbbVie02no" w:date="2025-05-15T13:45:00Z">
          <w:pPr/>
        </w:pPrChange>
      </w:pPr>
    </w:p>
    <w:p w14:paraId="1DF81C98" w14:textId="6C33276D" w:rsidR="00606701" w:rsidRPr="009C5EFD" w:rsidRDefault="00E453CD">
      <w:pPr>
        <w:keepNext/>
        <w:suppressAutoHyphens/>
        <w:rPr>
          <w:del w:id="5162" w:author="AbbVie02no" w:date="2025-05-15T13:45:00Z"/>
          <w:sz w:val="22"/>
          <w:szCs w:val="22"/>
        </w:rPr>
        <w:pPrChange w:id="5163" w:author="AbbVie02no" w:date="2025-05-15T13:45:00Z">
          <w:pPr/>
        </w:pPrChange>
      </w:pPr>
      <w:del w:id="5164" w:author="AbbVie02no" w:date="2025-05-15T13:45:00Z">
        <w:r>
          <w:rPr>
            <w:rStyle w:val="hps"/>
            <w:sz w:val="22"/>
            <w:szCs w:val="22"/>
          </w:rPr>
          <w:delText>Baser</w:delText>
        </w:r>
        <w:r w:rsidR="005C4746">
          <w:rPr>
            <w:rStyle w:val="hps"/>
            <w:sz w:val="22"/>
            <w:szCs w:val="22"/>
          </w:rPr>
          <w:delText>t</w:delText>
        </w:r>
        <w:r>
          <w:rPr>
            <w:rStyle w:val="hps"/>
            <w:sz w:val="22"/>
            <w:szCs w:val="22"/>
          </w:rPr>
          <w:delText xml:space="preserve"> på</w:delText>
        </w:r>
        <w:r w:rsidRPr="009C5EFD">
          <w:rPr>
            <w:sz w:val="22"/>
            <w:szCs w:val="22"/>
          </w:rPr>
          <w:delText xml:space="preserve"> </w:delText>
        </w:r>
        <w:r w:rsidR="00DB17A2" w:rsidRPr="009C5EFD">
          <w:rPr>
            <w:rStyle w:val="hps"/>
            <w:sz w:val="22"/>
            <w:szCs w:val="22"/>
          </w:rPr>
          <w:delText>nåværende</w:delText>
        </w:r>
        <w:r w:rsidRPr="009C5EFD">
          <w:rPr>
            <w:sz w:val="22"/>
            <w:szCs w:val="22"/>
          </w:rPr>
          <w:delText xml:space="preserve"> </w:delText>
        </w:r>
        <w:r w:rsidRPr="009C5EFD">
          <w:rPr>
            <w:rStyle w:val="hps"/>
            <w:sz w:val="22"/>
            <w:szCs w:val="22"/>
          </w:rPr>
          <w:delText>data</w:delText>
        </w:r>
        <w:r w:rsidRPr="009C5EFD">
          <w:rPr>
            <w:sz w:val="22"/>
            <w:szCs w:val="22"/>
          </w:rPr>
          <w:delText xml:space="preserve"> </w:delText>
        </w:r>
        <w:r w:rsidRPr="009C5EFD">
          <w:rPr>
            <w:rStyle w:val="hps"/>
            <w:sz w:val="22"/>
            <w:szCs w:val="22"/>
          </w:rPr>
          <w:delText>er det ikke</w:delText>
        </w:r>
        <w:r w:rsidRPr="009C5EFD">
          <w:rPr>
            <w:sz w:val="22"/>
            <w:szCs w:val="22"/>
          </w:rPr>
          <w:delText xml:space="preserve"> </w:delText>
        </w:r>
        <w:r w:rsidRPr="009C5EFD">
          <w:rPr>
            <w:rStyle w:val="hps"/>
            <w:sz w:val="22"/>
            <w:szCs w:val="22"/>
          </w:rPr>
          <w:delText>kjent om</w:delText>
        </w:r>
        <w:r w:rsidRPr="009C5EFD">
          <w:rPr>
            <w:sz w:val="22"/>
            <w:szCs w:val="22"/>
          </w:rPr>
          <w:delText xml:space="preserve"> </w:delText>
        </w:r>
        <w:r w:rsidRPr="009C5EFD">
          <w:rPr>
            <w:rStyle w:val="hps"/>
            <w:sz w:val="22"/>
            <w:szCs w:val="22"/>
          </w:rPr>
          <w:delText>adalimumabbehandling</w:delText>
        </w:r>
        <w:r w:rsidRPr="009C5EFD">
          <w:rPr>
            <w:sz w:val="22"/>
            <w:szCs w:val="22"/>
          </w:rPr>
          <w:delText xml:space="preserve"> </w:delText>
        </w:r>
        <w:r w:rsidRPr="009C5EFD">
          <w:rPr>
            <w:rStyle w:val="hps"/>
            <w:sz w:val="22"/>
            <w:szCs w:val="22"/>
          </w:rPr>
          <w:delText>påvirker</w:delText>
        </w:r>
        <w:r w:rsidRPr="009C5EFD">
          <w:rPr>
            <w:sz w:val="22"/>
            <w:szCs w:val="22"/>
          </w:rPr>
          <w:delText xml:space="preserve"> </w:delText>
        </w:r>
        <w:r w:rsidRPr="009C5EFD">
          <w:rPr>
            <w:rStyle w:val="hps"/>
            <w:sz w:val="22"/>
            <w:szCs w:val="22"/>
          </w:rPr>
          <w:delText>risikoen</w:delText>
        </w:r>
        <w:r w:rsidRPr="009C5EFD">
          <w:rPr>
            <w:sz w:val="22"/>
            <w:szCs w:val="22"/>
          </w:rPr>
          <w:delText xml:space="preserve"> </w:delText>
        </w:r>
        <w:r w:rsidRPr="009C5EFD">
          <w:rPr>
            <w:rStyle w:val="hps"/>
            <w:sz w:val="22"/>
            <w:szCs w:val="22"/>
          </w:rPr>
          <w:delText>for å utvikle</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eller tykktarmskreft</w:delText>
        </w:r>
        <w:r w:rsidRPr="009C5EFD">
          <w:rPr>
            <w:sz w:val="22"/>
            <w:szCs w:val="22"/>
          </w:rPr>
          <w:delText xml:space="preserve">. </w:delText>
        </w:r>
        <w:r w:rsidRPr="009C5EFD">
          <w:rPr>
            <w:rStyle w:val="hps"/>
            <w:sz w:val="22"/>
            <w:szCs w:val="22"/>
          </w:rPr>
          <w:delText>Alle pasienter med</w:delText>
        </w:r>
        <w:r w:rsidRPr="009C5EFD">
          <w:rPr>
            <w:sz w:val="22"/>
            <w:szCs w:val="22"/>
          </w:rPr>
          <w:delText xml:space="preserve"> </w:delText>
        </w:r>
        <w:r w:rsidRPr="009C5EFD">
          <w:rPr>
            <w:rStyle w:val="hps"/>
            <w:sz w:val="22"/>
            <w:szCs w:val="22"/>
          </w:rPr>
          <w:delText>ulcerøs</w:delText>
        </w:r>
        <w:r w:rsidRPr="009C5EFD">
          <w:rPr>
            <w:sz w:val="22"/>
            <w:szCs w:val="22"/>
          </w:rPr>
          <w:delText xml:space="preserve"> </w:delText>
        </w:r>
        <w:r w:rsidRPr="009C5EFD">
          <w:rPr>
            <w:rStyle w:val="hps"/>
            <w:sz w:val="22"/>
            <w:szCs w:val="22"/>
          </w:rPr>
          <w:delText>kolitt</w:delText>
        </w:r>
        <w:r w:rsidRPr="009C5EFD">
          <w:rPr>
            <w:sz w:val="22"/>
            <w:szCs w:val="22"/>
          </w:rPr>
          <w:delText xml:space="preserve"> </w:delText>
        </w:r>
        <w:r w:rsidRPr="009C5EFD">
          <w:rPr>
            <w:rStyle w:val="hps"/>
            <w:sz w:val="22"/>
            <w:szCs w:val="22"/>
          </w:rPr>
          <w:delText>som</w:delText>
        </w:r>
        <w:r w:rsidRPr="009C5EFD">
          <w:rPr>
            <w:sz w:val="22"/>
            <w:szCs w:val="22"/>
          </w:rPr>
          <w:delText xml:space="preserve"> </w:delText>
        </w:r>
        <w:r w:rsidRPr="009C5EFD">
          <w:rPr>
            <w:rStyle w:val="hps"/>
            <w:sz w:val="22"/>
            <w:szCs w:val="22"/>
          </w:rPr>
          <w:delText>har økt risiko</w:delText>
        </w:r>
        <w:r w:rsidRPr="009C5EFD">
          <w:rPr>
            <w:sz w:val="22"/>
            <w:szCs w:val="22"/>
          </w:rPr>
          <w:delText xml:space="preserve"> </w:delText>
        </w:r>
        <w:r w:rsidRPr="009C5EFD">
          <w:rPr>
            <w:rStyle w:val="hps"/>
            <w:sz w:val="22"/>
            <w:szCs w:val="22"/>
          </w:rPr>
          <w:delText>for</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eller</w:delText>
        </w:r>
        <w:r w:rsidRPr="009C5EFD">
          <w:rPr>
            <w:sz w:val="22"/>
            <w:szCs w:val="22"/>
          </w:rPr>
          <w:delText xml:space="preserve"> </w:delText>
        </w:r>
        <w:r w:rsidRPr="009C5EFD">
          <w:rPr>
            <w:rStyle w:val="hps"/>
            <w:sz w:val="22"/>
            <w:szCs w:val="22"/>
          </w:rPr>
          <w:delText>kolonkarsinom</w:delText>
        </w:r>
        <w:r w:rsidRPr="009C5EFD">
          <w:rPr>
            <w:sz w:val="22"/>
            <w:szCs w:val="22"/>
          </w:rPr>
          <w:delText xml:space="preserve"> </w:delText>
        </w:r>
        <w:r w:rsidRPr="009C5EFD">
          <w:rPr>
            <w:rStyle w:val="hpsatn"/>
            <w:sz w:val="22"/>
            <w:szCs w:val="22"/>
          </w:rPr>
          <w:delText>(</w:delText>
        </w:r>
        <w:r w:rsidRPr="009C5EFD">
          <w:rPr>
            <w:sz w:val="22"/>
            <w:szCs w:val="22"/>
          </w:rPr>
          <w:delText xml:space="preserve">for </w:delText>
        </w:r>
        <w:r w:rsidRPr="009C5EFD">
          <w:rPr>
            <w:rStyle w:val="hps"/>
            <w:sz w:val="22"/>
            <w:szCs w:val="22"/>
          </w:rPr>
          <w:delText>eksempel</w:delText>
        </w:r>
        <w:r w:rsidRPr="009C5EFD">
          <w:rPr>
            <w:sz w:val="22"/>
            <w:szCs w:val="22"/>
          </w:rPr>
          <w:delText xml:space="preserve"> </w:delText>
        </w:r>
        <w:r w:rsidRPr="009C5EFD">
          <w:rPr>
            <w:rStyle w:val="hps"/>
            <w:sz w:val="22"/>
            <w:szCs w:val="22"/>
          </w:rPr>
          <w:delText>pasienter med</w:delText>
        </w:r>
        <w:r w:rsidRPr="009C5EFD">
          <w:rPr>
            <w:sz w:val="22"/>
            <w:szCs w:val="22"/>
          </w:rPr>
          <w:delText xml:space="preserve"> </w:delText>
        </w:r>
        <w:r w:rsidRPr="009C5EFD">
          <w:rPr>
            <w:rStyle w:val="hps"/>
            <w:sz w:val="22"/>
            <w:szCs w:val="22"/>
          </w:rPr>
          <w:delText>langvarig</w:delText>
        </w:r>
        <w:r w:rsidRPr="009C5EFD">
          <w:rPr>
            <w:sz w:val="22"/>
            <w:szCs w:val="22"/>
          </w:rPr>
          <w:delText xml:space="preserve"> </w:delText>
        </w:r>
        <w:r w:rsidRPr="009C5EFD">
          <w:rPr>
            <w:rStyle w:val="hps"/>
            <w:sz w:val="22"/>
            <w:szCs w:val="22"/>
          </w:rPr>
          <w:delText>ulcerøs</w:delText>
        </w:r>
        <w:r w:rsidRPr="009C5EFD">
          <w:rPr>
            <w:sz w:val="22"/>
            <w:szCs w:val="22"/>
          </w:rPr>
          <w:delText xml:space="preserve"> </w:delText>
        </w:r>
        <w:r w:rsidRPr="009C5EFD">
          <w:rPr>
            <w:rStyle w:val="hps"/>
            <w:sz w:val="22"/>
            <w:szCs w:val="22"/>
          </w:rPr>
          <w:delText>kolitt eller</w:delText>
        </w:r>
        <w:r w:rsidRPr="009C5EFD">
          <w:rPr>
            <w:sz w:val="22"/>
            <w:szCs w:val="22"/>
          </w:rPr>
          <w:delText xml:space="preserve"> </w:delText>
        </w:r>
        <w:r w:rsidRPr="009C5EFD">
          <w:rPr>
            <w:rStyle w:val="hps"/>
            <w:sz w:val="22"/>
            <w:szCs w:val="22"/>
          </w:rPr>
          <w:delText>primær</w:delText>
        </w:r>
        <w:r w:rsidRPr="009C5EFD">
          <w:rPr>
            <w:sz w:val="22"/>
            <w:szCs w:val="22"/>
          </w:rPr>
          <w:delText xml:space="preserve"> </w:delText>
        </w:r>
        <w:r w:rsidRPr="009C5EFD">
          <w:rPr>
            <w:rStyle w:val="hps"/>
            <w:sz w:val="22"/>
            <w:szCs w:val="22"/>
          </w:rPr>
          <w:delText>skleroserende</w:delText>
        </w:r>
        <w:r w:rsidRPr="009C5EFD">
          <w:rPr>
            <w:sz w:val="22"/>
            <w:szCs w:val="22"/>
          </w:rPr>
          <w:delText xml:space="preserve"> </w:delText>
        </w:r>
        <w:r w:rsidRPr="009C5EFD">
          <w:rPr>
            <w:rStyle w:val="hps"/>
            <w:sz w:val="22"/>
            <w:szCs w:val="22"/>
          </w:rPr>
          <w:delText>kolangitt</w:delText>
        </w:r>
        <w:r w:rsidRPr="009C5EFD">
          <w:rPr>
            <w:sz w:val="22"/>
            <w:szCs w:val="22"/>
          </w:rPr>
          <w:delText xml:space="preserve">), </w:delText>
        </w:r>
        <w:r w:rsidRPr="009C5EFD">
          <w:rPr>
            <w:rStyle w:val="hps"/>
            <w:sz w:val="22"/>
            <w:szCs w:val="22"/>
          </w:rPr>
          <w:delText>eller som ha</w:delText>
        </w:r>
        <w:r w:rsidR="00B04A94" w:rsidRPr="009C5EFD">
          <w:rPr>
            <w:rStyle w:val="hps"/>
            <w:sz w:val="22"/>
            <w:szCs w:val="22"/>
          </w:rPr>
          <w:delText>r</w:delText>
        </w:r>
        <w:r w:rsidRPr="009C5EFD">
          <w:rPr>
            <w:sz w:val="22"/>
            <w:szCs w:val="22"/>
          </w:rPr>
          <w:delText xml:space="preserve"> </w:delText>
        </w:r>
        <w:r w:rsidRPr="009C5EFD">
          <w:rPr>
            <w:rStyle w:val="hps"/>
            <w:sz w:val="22"/>
            <w:szCs w:val="22"/>
          </w:rPr>
          <w:delText>en forhistorie med</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eller</w:delText>
        </w:r>
        <w:r w:rsidRPr="009C5EFD">
          <w:rPr>
            <w:sz w:val="22"/>
            <w:szCs w:val="22"/>
          </w:rPr>
          <w:delText xml:space="preserve"> </w:delText>
        </w:r>
        <w:r w:rsidRPr="009C5EFD">
          <w:rPr>
            <w:rStyle w:val="hps"/>
            <w:sz w:val="22"/>
            <w:szCs w:val="22"/>
          </w:rPr>
          <w:delText>kolonkarsinom</w:delText>
        </w:r>
        <w:r w:rsidR="00DB17A2" w:rsidRPr="009C5EFD">
          <w:rPr>
            <w:rStyle w:val="hps"/>
            <w:sz w:val="22"/>
            <w:szCs w:val="22"/>
          </w:rPr>
          <w:delText>,</w:delText>
        </w:r>
        <w:r w:rsidRPr="009C5EFD">
          <w:rPr>
            <w:sz w:val="22"/>
            <w:szCs w:val="22"/>
          </w:rPr>
          <w:delText xml:space="preserve"> </w:delText>
        </w:r>
        <w:r w:rsidRPr="009C5EFD">
          <w:rPr>
            <w:rStyle w:val="hps"/>
            <w:sz w:val="22"/>
            <w:szCs w:val="22"/>
          </w:rPr>
          <w:delText xml:space="preserve">bør </w:delText>
        </w:r>
        <w:r w:rsidR="00DB17A2" w:rsidRPr="009C5EFD">
          <w:rPr>
            <w:rStyle w:val="hps"/>
            <w:sz w:val="22"/>
            <w:szCs w:val="22"/>
          </w:rPr>
          <w:delText xml:space="preserve">regelmessig </w:delText>
        </w:r>
        <w:r w:rsidRPr="009C5EFD">
          <w:rPr>
            <w:rStyle w:val="hps"/>
            <w:sz w:val="22"/>
            <w:szCs w:val="22"/>
          </w:rPr>
          <w:delText>screenes</w:delText>
        </w:r>
        <w:r w:rsidRPr="009C5EFD">
          <w:rPr>
            <w:sz w:val="22"/>
            <w:szCs w:val="22"/>
          </w:rPr>
          <w:delText xml:space="preserve"> </w:delText>
        </w:r>
        <w:r w:rsidRPr="009C5EFD">
          <w:rPr>
            <w:rStyle w:val="hps"/>
            <w:sz w:val="22"/>
            <w:szCs w:val="22"/>
          </w:rPr>
          <w:delText>for</w:delText>
        </w:r>
        <w:r w:rsidRPr="009C5EFD">
          <w:rPr>
            <w:sz w:val="22"/>
            <w:szCs w:val="22"/>
          </w:rPr>
          <w:delText xml:space="preserve"> </w:delText>
        </w:r>
        <w:r w:rsidRPr="009C5EFD">
          <w:rPr>
            <w:rStyle w:val="hps"/>
            <w:sz w:val="22"/>
            <w:szCs w:val="22"/>
          </w:rPr>
          <w:delText>dysplasi</w:delText>
        </w:r>
        <w:r w:rsidRPr="009C5EFD">
          <w:rPr>
            <w:sz w:val="22"/>
            <w:szCs w:val="22"/>
          </w:rPr>
          <w:delText xml:space="preserve"> </w:delText>
        </w:r>
        <w:r w:rsidRPr="009C5EFD">
          <w:rPr>
            <w:rStyle w:val="hps"/>
            <w:sz w:val="22"/>
            <w:szCs w:val="22"/>
          </w:rPr>
          <w:delText>før</w:delText>
        </w:r>
        <w:r w:rsidRPr="009C5EFD">
          <w:rPr>
            <w:sz w:val="22"/>
            <w:szCs w:val="22"/>
          </w:rPr>
          <w:delText xml:space="preserve"> </w:delText>
        </w:r>
        <w:r w:rsidRPr="009C5EFD">
          <w:rPr>
            <w:rStyle w:val="hps"/>
            <w:sz w:val="22"/>
            <w:szCs w:val="22"/>
          </w:rPr>
          <w:delText xml:space="preserve">terapi </w:delText>
        </w:r>
        <w:r w:rsidR="00DB17A2" w:rsidRPr="009C5EFD">
          <w:rPr>
            <w:rStyle w:val="hps"/>
            <w:sz w:val="22"/>
            <w:szCs w:val="22"/>
          </w:rPr>
          <w:delText xml:space="preserve">initieres </w:delText>
        </w:r>
        <w:r w:rsidRPr="009C5EFD">
          <w:rPr>
            <w:rStyle w:val="hps"/>
            <w:sz w:val="22"/>
            <w:szCs w:val="22"/>
          </w:rPr>
          <w:delText>og</w:delText>
        </w:r>
        <w:r w:rsidRPr="009C5EFD">
          <w:rPr>
            <w:sz w:val="22"/>
            <w:szCs w:val="22"/>
          </w:rPr>
          <w:delText xml:space="preserve"> </w:delText>
        </w:r>
        <w:r w:rsidRPr="009C5EFD">
          <w:rPr>
            <w:rStyle w:val="hps"/>
            <w:sz w:val="22"/>
            <w:szCs w:val="22"/>
          </w:rPr>
          <w:delText>gjennom hele</w:delText>
        </w:r>
        <w:r w:rsidRPr="009C5EFD">
          <w:rPr>
            <w:sz w:val="22"/>
            <w:szCs w:val="22"/>
          </w:rPr>
          <w:delText xml:space="preserve"> </w:delText>
        </w:r>
        <w:r w:rsidRPr="009C5EFD">
          <w:rPr>
            <w:rStyle w:val="hps"/>
            <w:sz w:val="22"/>
            <w:szCs w:val="22"/>
          </w:rPr>
          <w:delText>sykdomsforløpet.</w:delText>
        </w:r>
        <w:r w:rsidRPr="009C5EFD">
          <w:rPr>
            <w:sz w:val="22"/>
            <w:szCs w:val="22"/>
          </w:rPr>
          <w:delText xml:space="preserve"> </w:delText>
        </w:r>
        <w:r w:rsidRPr="009C5EFD">
          <w:rPr>
            <w:rStyle w:val="hps"/>
            <w:sz w:val="22"/>
            <w:szCs w:val="22"/>
          </w:rPr>
          <w:delText xml:space="preserve">Denne </w:delText>
        </w:r>
        <w:r w:rsidR="00BF02E7">
          <w:rPr>
            <w:rStyle w:val="hps"/>
            <w:sz w:val="22"/>
            <w:szCs w:val="22"/>
          </w:rPr>
          <w:delText>vurdering</w:delText>
        </w:r>
        <w:r w:rsidRPr="009C5EFD">
          <w:rPr>
            <w:rStyle w:val="hps"/>
            <w:sz w:val="22"/>
            <w:szCs w:val="22"/>
          </w:rPr>
          <w:delText>en</w:delText>
        </w:r>
        <w:r w:rsidRPr="009C5EFD">
          <w:rPr>
            <w:sz w:val="22"/>
            <w:szCs w:val="22"/>
          </w:rPr>
          <w:delText xml:space="preserve"> </w:delText>
        </w:r>
        <w:r w:rsidRPr="009C5EFD">
          <w:rPr>
            <w:rStyle w:val="hps"/>
            <w:sz w:val="22"/>
            <w:szCs w:val="22"/>
          </w:rPr>
          <w:delText>skal</w:delText>
        </w:r>
        <w:r w:rsidRPr="009C5EFD">
          <w:rPr>
            <w:sz w:val="22"/>
            <w:szCs w:val="22"/>
          </w:rPr>
          <w:delText xml:space="preserve"> </w:delText>
        </w:r>
        <w:r w:rsidRPr="009C5EFD">
          <w:rPr>
            <w:rStyle w:val="hps"/>
            <w:sz w:val="22"/>
            <w:szCs w:val="22"/>
          </w:rPr>
          <w:delText>omfatte</w:delText>
        </w:r>
        <w:r w:rsidRPr="009C5EFD">
          <w:rPr>
            <w:sz w:val="22"/>
            <w:szCs w:val="22"/>
          </w:rPr>
          <w:delText xml:space="preserve"> </w:delText>
        </w:r>
        <w:r w:rsidRPr="009C5EFD">
          <w:rPr>
            <w:rStyle w:val="hps"/>
            <w:sz w:val="22"/>
            <w:szCs w:val="22"/>
          </w:rPr>
          <w:delText>koloskopi</w:delText>
        </w:r>
        <w:r w:rsidRPr="009C5EFD">
          <w:rPr>
            <w:sz w:val="22"/>
            <w:szCs w:val="22"/>
          </w:rPr>
          <w:delText xml:space="preserve"> </w:delText>
        </w:r>
        <w:r w:rsidRPr="009C5EFD">
          <w:rPr>
            <w:rStyle w:val="hps"/>
            <w:sz w:val="22"/>
            <w:szCs w:val="22"/>
          </w:rPr>
          <w:delText>og</w:delText>
        </w:r>
        <w:r w:rsidRPr="009C5EFD">
          <w:rPr>
            <w:sz w:val="22"/>
            <w:szCs w:val="22"/>
          </w:rPr>
          <w:delText xml:space="preserve"> </w:delText>
        </w:r>
        <w:r w:rsidRPr="009C5EFD">
          <w:rPr>
            <w:rStyle w:val="hps"/>
            <w:sz w:val="22"/>
            <w:szCs w:val="22"/>
          </w:rPr>
          <w:delText>biopsi</w:delText>
        </w:r>
        <w:r w:rsidRPr="009C5EFD">
          <w:rPr>
            <w:sz w:val="22"/>
            <w:szCs w:val="22"/>
          </w:rPr>
          <w:delText xml:space="preserve"> </w:delText>
        </w:r>
        <w:r w:rsidRPr="009C5EFD">
          <w:rPr>
            <w:rStyle w:val="hps"/>
            <w:sz w:val="22"/>
            <w:szCs w:val="22"/>
          </w:rPr>
          <w:delText>etter</w:delText>
        </w:r>
        <w:r w:rsidRPr="009C5EFD">
          <w:rPr>
            <w:sz w:val="22"/>
            <w:szCs w:val="22"/>
          </w:rPr>
          <w:delText xml:space="preserve"> </w:delText>
        </w:r>
        <w:r w:rsidRPr="009C5EFD">
          <w:rPr>
            <w:rStyle w:val="hps"/>
            <w:sz w:val="22"/>
            <w:szCs w:val="22"/>
          </w:rPr>
          <w:delText>lokale anbefalinger.</w:delText>
        </w:r>
      </w:del>
    </w:p>
    <w:p w14:paraId="526DAB1D" w14:textId="017C8320" w:rsidR="00606701" w:rsidRPr="009C5EFD" w:rsidRDefault="00606701">
      <w:pPr>
        <w:keepNext/>
        <w:suppressAutoHyphens/>
        <w:rPr>
          <w:del w:id="5165" w:author="AbbVie02no" w:date="2025-05-15T13:45:00Z"/>
          <w:sz w:val="22"/>
          <w:szCs w:val="22"/>
        </w:rPr>
        <w:pPrChange w:id="5166" w:author="AbbVie02no" w:date="2025-05-15T13:45:00Z">
          <w:pPr/>
        </w:pPrChange>
      </w:pPr>
    </w:p>
    <w:p w14:paraId="544A64B4" w14:textId="602C992F" w:rsidR="00085BDB" w:rsidRPr="009C5EFD" w:rsidRDefault="00E453CD">
      <w:pPr>
        <w:keepNext/>
        <w:suppressAutoHyphens/>
        <w:rPr>
          <w:del w:id="5167" w:author="AbbVie02no" w:date="2025-05-15T13:45:00Z"/>
          <w:sz w:val="22"/>
          <w:szCs w:val="22"/>
          <w:u w:val="single"/>
        </w:rPr>
        <w:pPrChange w:id="5168" w:author="AbbVie02no" w:date="2025-05-15T13:45:00Z">
          <w:pPr>
            <w:keepNext/>
          </w:pPr>
        </w:pPrChange>
      </w:pPr>
      <w:del w:id="5169" w:author="AbbVie02no" w:date="2025-05-15T13:45:00Z">
        <w:r w:rsidRPr="009C5EFD">
          <w:rPr>
            <w:sz w:val="22"/>
            <w:szCs w:val="22"/>
            <w:u w:val="single"/>
          </w:rPr>
          <w:delText>Hematologiske reaksjoner</w:delText>
        </w:r>
      </w:del>
    </w:p>
    <w:p w14:paraId="4506402E" w14:textId="29FD7D2D" w:rsidR="00085BDB" w:rsidRPr="009C5EFD" w:rsidRDefault="00085BDB">
      <w:pPr>
        <w:keepNext/>
        <w:suppressAutoHyphens/>
        <w:rPr>
          <w:del w:id="5170" w:author="AbbVie02no" w:date="2025-05-15T13:45:00Z"/>
          <w:sz w:val="22"/>
          <w:szCs w:val="22"/>
        </w:rPr>
        <w:pPrChange w:id="5171" w:author="AbbVie02no" w:date="2025-05-15T13:45:00Z">
          <w:pPr>
            <w:keepNext/>
          </w:pPr>
        </w:pPrChange>
      </w:pPr>
    </w:p>
    <w:p w14:paraId="1BD9090B" w14:textId="54F03DAB" w:rsidR="00085BDB" w:rsidRPr="009C5EFD" w:rsidRDefault="00E453CD">
      <w:pPr>
        <w:keepNext/>
        <w:suppressAutoHyphens/>
        <w:rPr>
          <w:del w:id="5172" w:author="AbbVie02no" w:date="2025-05-15T13:45:00Z"/>
          <w:sz w:val="22"/>
          <w:szCs w:val="22"/>
        </w:rPr>
        <w:pPrChange w:id="5173" w:author="AbbVie02no" w:date="2025-05-15T13:45:00Z">
          <w:pPr/>
        </w:pPrChange>
      </w:pPr>
      <w:del w:id="5174" w:author="AbbVie02no" w:date="2025-05-15T13:45:00Z">
        <w:r w:rsidRPr="009C5EFD">
          <w:rPr>
            <w:sz w:val="22"/>
            <w:szCs w:val="22"/>
          </w:rPr>
          <w:delText>Sjeldne tilfeller av pancytopeni inkludert aplastisk anemi er rapportert med TNF-antagonister. Bivirkninger i form av hematologiske reaksjoner, inkludert klinisk signifikant cytopeni (f. eks. trombocytopeni, le</w:delText>
        </w:r>
        <w:r w:rsidR="00827E81" w:rsidRPr="009C5EFD">
          <w:rPr>
            <w:sz w:val="22"/>
            <w:szCs w:val="22"/>
          </w:rPr>
          <w:delText>u</w:delText>
        </w:r>
        <w:r w:rsidRPr="009C5EFD">
          <w:rPr>
            <w:sz w:val="22"/>
            <w:szCs w:val="22"/>
          </w:rPr>
          <w:delText xml:space="preserve">kopeni) er rapportert ved bruk av Humira. Alle pasienter bør rådes til øyeblikkelig å søke medisinsk hjelp hvis de utvikler tegn og symptomer på bloddyskrasier (f. eks. vedvarende </w:delText>
        </w:r>
        <w:r w:rsidRPr="009C5EFD">
          <w:rPr>
            <w:sz w:val="22"/>
            <w:szCs w:val="22"/>
          </w:rPr>
          <w:lastRenderedPageBreak/>
          <w:delText>feber, bloduttredelser, blødninger, blekhet) under behandling med Humira. Seponering av behandling med Humira bør vurderes hos pasienter med bekrefte</w:delText>
        </w:r>
        <w:r w:rsidR="00FA79D6" w:rsidRPr="009C5EFD">
          <w:rPr>
            <w:sz w:val="22"/>
            <w:szCs w:val="22"/>
          </w:rPr>
          <w:delText>t signifikante</w:delText>
        </w:r>
        <w:r w:rsidRPr="009C5EFD">
          <w:rPr>
            <w:sz w:val="22"/>
            <w:szCs w:val="22"/>
          </w:rPr>
          <w:delText xml:space="preserve"> hematologiske </w:delText>
        </w:r>
        <w:r w:rsidR="00FA79D6" w:rsidRPr="009C5EFD">
          <w:rPr>
            <w:sz w:val="22"/>
            <w:szCs w:val="22"/>
          </w:rPr>
          <w:delText>abnormaliteter</w:delText>
        </w:r>
        <w:r w:rsidRPr="009C5EFD">
          <w:rPr>
            <w:sz w:val="22"/>
            <w:szCs w:val="22"/>
          </w:rPr>
          <w:delText xml:space="preserve">. </w:delText>
        </w:r>
      </w:del>
    </w:p>
    <w:p w14:paraId="703CA6C9" w14:textId="1F7A9CBE" w:rsidR="00085BDB" w:rsidRPr="009C5EFD" w:rsidRDefault="00085BDB">
      <w:pPr>
        <w:keepNext/>
        <w:suppressAutoHyphens/>
        <w:rPr>
          <w:del w:id="5175" w:author="AbbVie02no" w:date="2025-05-15T13:45:00Z"/>
          <w:szCs w:val="22"/>
        </w:rPr>
        <w:pPrChange w:id="5176" w:author="AbbVie02no" w:date="2025-05-15T13:45:00Z">
          <w:pPr>
            <w:pStyle w:val="Heading8"/>
            <w:keepNext w:val="0"/>
          </w:pPr>
        </w:pPrChange>
      </w:pPr>
    </w:p>
    <w:p w14:paraId="61D76B46" w14:textId="3A23C919" w:rsidR="00085BDB" w:rsidRPr="009C5EFD" w:rsidRDefault="00E453CD">
      <w:pPr>
        <w:keepNext/>
        <w:suppressAutoHyphens/>
        <w:rPr>
          <w:del w:id="5177" w:author="AbbVie02no" w:date="2025-05-15T13:45:00Z"/>
          <w:szCs w:val="22"/>
        </w:rPr>
        <w:pPrChange w:id="5178" w:author="AbbVie02no" w:date="2025-05-15T13:45:00Z">
          <w:pPr>
            <w:pStyle w:val="Heading8"/>
          </w:pPr>
        </w:pPrChange>
      </w:pPr>
      <w:del w:id="5179" w:author="AbbVie02no" w:date="2025-05-15T13:45:00Z">
        <w:r w:rsidRPr="009C5EFD">
          <w:rPr>
            <w:szCs w:val="22"/>
          </w:rPr>
          <w:delText>Vaksinasjoner</w:delText>
        </w:r>
      </w:del>
    </w:p>
    <w:p w14:paraId="203B38D2" w14:textId="09E69994" w:rsidR="00085BDB" w:rsidRPr="009C5EFD" w:rsidRDefault="00085BDB">
      <w:pPr>
        <w:keepNext/>
        <w:suppressAutoHyphens/>
        <w:rPr>
          <w:del w:id="5180" w:author="AbbVie02no" w:date="2025-05-15T13:45:00Z"/>
          <w:sz w:val="22"/>
          <w:szCs w:val="22"/>
        </w:rPr>
        <w:pPrChange w:id="5181" w:author="AbbVie02no" w:date="2025-05-15T13:45:00Z">
          <w:pPr>
            <w:keepNext/>
          </w:pPr>
        </w:pPrChange>
      </w:pPr>
    </w:p>
    <w:p w14:paraId="1AFF8258" w14:textId="519DC983" w:rsidR="00085BDB" w:rsidRPr="009C5EFD" w:rsidRDefault="00E453CD">
      <w:pPr>
        <w:keepNext/>
        <w:suppressAutoHyphens/>
        <w:rPr>
          <w:del w:id="5182" w:author="AbbVie02no" w:date="2025-05-15T13:45:00Z"/>
          <w:szCs w:val="22"/>
        </w:rPr>
        <w:pPrChange w:id="5183" w:author="AbbVie02no" w:date="2025-05-15T13:45:00Z">
          <w:pPr>
            <w:pStyle w:val="Heading8"/>
            <w:keepNext w:val="0"/>
          </w:pPr>
        </w:pPrChange>
      </w:pPr>
      <w:del w:id="5184" w:author="AbbVie02no" w:date="2025-05-15T13:45:00Z">
        <w:r w:rsidRPr="009C5EFD">
          <w:rPr>
            <w:szCs w:val="22"/>
          </w:rPr>
          <w:delText xml:space="preserve">Like antistoffresponser på standard 23-valent pneumokokkvaksinasjon og influensatrivalent-virusvaksinasjon ble observert i en studie med 226 voksne pasienter med revmatoid artritt som ble behandlet med adalimumab eller placebo. Ingen data om sekundær overføring av infeksjon med levende vaksiner hos pasienter som får Humira er tilgjengelig. </w:delText>
        </w:r>
      </w:del>
    </w:p>
    <w:p w14:paraId="57382A55" w14:textId="2D488587" w:rsidR="00085BDB" w:rsidRPr="009C5EFD" w:rsidRDefault="00085BDB">
      <w:pPr>
        <w:keepNext/>
        <w:suppressAutoHyphens/>
        <w:rPr>
          <w:del w:id="5185" w:author="AbbVie02no" w:date="2025-05-15T13:45:00Z"/>
          <w:sz w:val="22"/>
          <w:szCs w:val="22"/>
        </w:rPr>
        <w:pPrChange w:id="5186" w:author="AbbVie02no" w:date="2025-05-15T13:45:00Z">
          <w:pPr/>
        </w:pPrChange>
      </w:pPr>
    </w:p>
    <w:p w14:paraId="20BCD9D8" w14:textId="1BAA9F99" w:rsidR="00085BDB" w:rsidRPr="009C5EFD" w:rsidRDefault="00E453CD">
      <w:pPr>
        <w:keepNext/>
        <w:suppressAutoHyphens/>
        <w:rPr>
          <w:del w:id="5187" w:author="AbbVie02no" w:date="2025-05-15T13:45:00Z"/>
          <w:szCs w:val="22"/>
        </w:rPr>
        <w:pPrChange w:id="5188" w:author="AbbVie02no" w:date="2025-05-15T13:45:00Z">
          <w:pPr>
            <w:pStyle w:val="Heading8"/>
            <w:keepNext w:val="0"/>
          </w:pPr>
        </w:pPrChange>
      </w:pPr>
      <w:del w:id="5189" w:author="AbbVie02no" w:date="2025-05-15T13:45:00Z">
        <w:r w:rsidRPr="009C5EFD">
          <w:rPr>
            <w:szCs w:val="22"/>
          </w:rPr>
          <w:delText xml:space="preserve">Det anbefales, hvis mulig, at </w:delText>
        </w:r>
        <w:r w:rsidR="00E818A0" w:rsidRPr="009C5EFD">
          <w:rPr>
            <w:szCs w:val="22"/>
          </w:rPr>
          <w:delText xml:space="preserve">pediatriske </w:delText>
        </w:r>
        <w:r w:rsidRPr="009C5EFD">
          <w:rPr>
            <w:szCs w:val="22"/>
          </w:rPr>
          <w:delText>pasienter vaksineres i tråd med gjeldende vaksinasjonsveiledninger før behandling med Humira startes.</w:delText>
        </w:r>
      </w:del>
    </w:p>
    <w:p w14:paraId="07FDFA94" w14:textId="7BB9687A" w:rsidR="00085BDB" w:rsidRPr="009C5EFD" w:rsidRDefault="00085BDB">
      <w:pPr>
        <w:keepNext/>
        <w:suppressAutoHyphens/>
        <w:rPr>
          <w:del w:id="5190" w:author="AbbVie02no" w:date="2025-05-15T13:45:00Z"/>
          <w:sz w:val="22"/>
          <w:szCs w:val="22"/>
        </w:rPr>
        <w:pPrChange w:id="5191" w:author="AbbVie02no" w:date="2025-05-15T13:45:00Z">
          <w:pPr/>
        </w:pPrChange>
      </w:pPr>
    </w:p>
    <w:p w14:paraId="3582C1B4" w14:textId="7177172D" w:rsidR="00085BDB" w:rsidRPr="009C5EFD" w:rsidRDefault="00E453CD">
      <w:pPr>
        <w:keepNext/>
        <w:suppressAutoHyphens/>
        <w:rPr>
          <w:del w:id="5192" w:author="AbbVie02no" w:date="2025-05-15T13:45:00Z"/>
          <w:szCs w:val="22"/>
        </w:rPr>
        <w:pPrChange w:id="5193" w:author="AbbVie02no" w:date="2025-05-15T13:45:00Z">
          <w:pPr>
            <w:pStyle w:val="Heading8"/>
            <w:keepNext w:val="0"/>
          </w:pPr>
        </w:pPrChange>
      </w:pPr>
      <w:del w:id="5194" w:author="AbbVie02no" w:date="2025-05-15T13:45:00Z">
        <w:r w:rsidRPr="009C5EFD">
          <w:rPr>
            <w:szCs w:val="22"/>
          </w:rPr>
          <w:delText xml:space="preserve">Pasienter som behandles med Humira </w:delText>
        </w:r>
        <w:r w:rsidR="00E014A5" w:rsidRPr="009C5EFD">
          <w:rPr>
            <w:szCs w:val="22"/>
          </w:rPr>
          <w:delText xml:space="preserve">kan </w:delText>
        </w:r>
        <w:r w:rsidR="00EB5530" w:rsidRPr="009C5EFD">
          <w:rPr>
            <w:szCs w:val="22"/>
          </w:rPr>
          <w:delText>få kombinerte vaksinasjoner</w:delText>
        </w:r>
        <w:r w:rsidRPr="009C5EFD">
          <w:rPr>
            <w:szCs w:val="22"/>
          </w:rPr>
          <w:delText xml:space="preserve">, </w:delText>
        </w:r>
        <w:r w:rsidR="00E014A5" w:rsidRPr="009C5EFD">
          <w:rPr>
            <w:szCs w:val="22"/>
          </w:rPr>
          <w:delText xml:space="preserve">med </w:delText>
        </w:r>
        <w:r w:rsidRPr="009C5EFD">
          <w:rPr>
            <w:szCs w:val="22"/>
          </w:rPr>
          <w:delText>unnta</w:delText>
        </w:r>
        <w:r w:rsidR="00E014A5" w:rsidRPr="009C5EFD">
          <w:rPr>
            <w:szCs w:val="22"/>
          </w:rPr>
          <w:delText>k</w:delText>
        </w:r>
        <w:r w:rsidRPr="009C5EFD">
          <w:rPr>
            <w:szCs w:val="22"/>
          </w:rPr>
          <w:delText xml:space="preserve"> </w:delText>
        </w:r>
        <w:r w:rsidR="00E014A5" w:rsidRPr="009C5EFD">
          <w:rPr>
            <w:szCs w:val="22"/>
          </w:rPr>
          <w:delText xml:space="preserve">av </w:delText>
        </w:r>
        <w:r w:rsidRPr="009C5EFD">
          <w:rPr>
            <w:szCs w:val="22"/>
          </w:rPr>
          <w:delText>levende vaksiner.</w:delText>
        </w:r>
        <w:r w:rsidR="00B80CF1" w:rsidRPr="009C5EFD">
          <w:rPr>
            <w:szCs w:val="22"/>
          </w:rPr>
          <w:delText xml:space="preserve"> </w:delText>
        </w:r>
        <w:r w:rsidR="00B80CF1" w:rsidRPr="009C5EFD">
          <w:delText xml:space="preserve">Administrasjon av levende vaksiner </w:delText>
        </w:r>
        <w:r w:rsidR="00552339">
          <w:rPr>
            <w:szCs w:val="22"/>
          </w:rPr>
          <w:delText>(f.eks. BCG vaksine)</w:delText>
        </w:r>
        <w:r w:rsidR="00C31262">
          <w:rPr>
            <w:szCs w:val="22"/>
          </w:rPr>
          <w:delText xml:space="preserve"> </w:delText>
        </w:r>
        <w:r w:rsidR="00B80CF1" w:rsidRPr="009C5EFD">
          <w:delText>på spedbarn eksponert for adalimumab intrauterint anbefales ikke før 5 måneder etter morens siste injeksjon med adalimumab under graviditeten.</w:delText>
        </w:r>
      </w:del>
    </w:p>
    <w:p w14:paraId="744DEA3C" w14:textId="00C11EE0" w:rsidR="00407CBC" w:rsidRPr="009C5EFD" w:rsidRDefault="00407CBC">
      <w:pPr>
        <w:keepNext/>
        <w:suppressAutoHyphens/>
        <w:rPr>
          <w:del w:id="5195" w:author="AbbVie02no" w:date="2025-05-15T13:45:00Z"/>
          <w:szCs w:val="22"/>
        </w:rPr>
        <w:pPrChange w:id="5196" w:author="AbbVie02no" w:date="2025-05-15T13:45:00Z">
          <w:pPr>
            <w:pStyle w:val="Heading8"/>
            <w:keepNext w:val="0"/>
          </w:pPr>
        </w:pPrChange>
      </w:pPr>
    </w:p>
    <w:p w14:paraId="6C1FE373" w14:textId="640ED38F" w:rsidR="00085BDB" w:rsidRPr="009C5EFD" w:rsidRDefault="00E453CD">
      <w:pPr>
        <w:keepNext/>
        <w:suppressAutoHyphens/>
        <w:rPr>
          <w:del w:id="5197" w:author="AbbVie02no" w:date="2025-05-15T13:45:00Z"/>
          <w:szCs w:val="22"/>
        </w:rPr>
        <w:pPrChange w:id="5198" w:author="AbbVie02no" w:date="2025-05-15T13:45:00Z">
          <w:pPr>
            <w:pStyle w:val="Heading8"/>
          </w:pPr>
        </w:pPrChange>
      </w:pPr>
      <w:del w:id="5199" w:author="AbbVie02no" w:date="2025-05-15T13:45:00Z">
        <w:r w:rsidRPr="009C5EFD">
          <w:rPr>
            <w:szCs w:val="22"/>
          </w:rPr>
          <w:delText>Kongestiv hjertesvikt</w:delText>
        </w:r>
      </w:del>
    </w:p>
    <w:p w14:paraId="1E65A319" w14:textId="27D70109" w:rsidR="00085BDB" w:rsidRPr="009C5EFD" w:rsidRDefault="00085BDB">
      <w:pPr>
        <w:keepNext/>
        <w:suppressAutoHyphens/>
        <w:rPr>
          <w:del w:id="5200" w:author="AbbVie02no" w:date="2025-05-15T13:45:00Z"/>
          <w:sz w:val="22"/>
          <w:szCs w:val="22"/>
        </w:rPr>
        <w:pPrChange w:id="5201" w:author="AbbVie02no" w:date="2025-05-15T13:45:00Z">
          <w:pPr>
            <w:keepNext/>
          </w:pPr>
        </w:pPrChange>
      </w:pPr>
    </w:p>
    <w:p w14:paraId="3C2EB459" w14:textId="1BDB49C0" w:rsidR="00085BDB" w:rsidRPr="009C5EFD" w:rsidRDefault="00E453CD">
      <w:pPr>
        <w:keepNext/>
        <w:suppressAutoHyphens/>
        <w:rPr>
          <w:del w:id="5202" w:author="AbbVie02no" w:date="2025-05-15T13:45:00Z"/>
          <w:sz w:val="22"/>
          <w:szCs w:val="22"/>
        </w:rPr>
        <w:pPrChange w:id="5203" w:author="AbbVie02no" w:date="2025-05-15T13:45:00Z">
          <w:pPr>
            <w:keepNext/>
          </w:pPr>
        </w:pPrChange>
      </w:pPr>
      <w:del w:id="5204" w:author="AbbVie02no" w:date="2025-05-15T13:45:00Z">
        <w:r w:rsidRPr="009C5EFD">
          <w:rPr>
            <w:sz w:val="22"/>
            <w:szCs w:val="22"/>
          </w:rPr>
          <w:delText xml:space="preserve">I en klinisk studie med en annen TNF-antagonist er det observert forverret </w:delText>
        </w:r>
        <w:r w:rsidR="002E716F" w:rsidRPr="009C5EFD">
          <w:rPr>
            <w:sz w:val="22"/>
            <w:szCs w:val="22"/>
          </w:rPr>
          <w:delText xml:space="preserve">kongestiv </w:delText>
        </w:r>
        <w:r w:rsidRPr="009C5EFD">
          <w:rPr>
            <w:sz w:val="22"/>
            <w:szCs w:val="22"/>
          </w:rPr>
          <w:delText xml:space="preserve">hjertesvikt og økt mortalitet på grunn av </w:delText>
        </w:r>
        <w:r w:rsidR="002E716F" w:rsidRPr="009C5EFD">
          <w:rPr>
            <w:sz w:val="22"/>
            <w:szCs w:val="22"/>
          </w:rPr>
          <w:delText xml:space="preserve">kongestiv </w:delText>
        </w:r>
        <w:r w:rsidRPr="009C5EFD">
          <w:rPr>
            <w:sz w:val="22"/>
            <w:szCs w:val="22"/>
          </w:rPr>
          <w:delText xml:space="preserve">hjertesvikt. Tilfeller med forverret </w:delText>
        </w:r>
        <w:r w:rsidR="002E716F" w:rsidRPr="009C5EFD">
          <w:rPr>
            <w:sz w:val="22"/>
            <w:szCs w:val="22"/>
          </w:rPr>
          <w:delText xml:space="preserve">kongestiv </w:delText>
        </w:r>
        <w:r w:rsidRPr="009C5EFD">
          <w:rPr>
            <w:sz w:val="22"/>
            <w:szCs w:val="22"/>
          </w:rPr>
          <w:delText>hjertesvikt er også rapportert hos pasienter som f</w:delText>
        </w:r>
        <w:r w:rsidR="002E716F" w:rsidRPr="009C5EFD">
          <w:rPr>
            <w:sz w:val="22"/>
            <w:szCs w:val="22"/>
          </w:rPr>
          <w:delText>ikk</w:delText>
        </w:r>
        <w:r w:rsidRPr="009C5EFD">
          <w:rPr>
            <w:sz w:val="22"/>
            <w:szCs w:val="22"/>
          </w:rPr>
          <w:delText xml:space="preserve"> Humira. Det bør utvises varsomhet ved bruk av Humira hos pasienter med lett hjertesvikt (NYHA klasse I/II). Humira er kontraindisert ved moderat eller alvorlig hjertesvikt (se pkt. 4.3). Behandling med Humira skal seponeres hos pasienter som utvikler nye eller forverrede symptomer på </w:delText>
        </w:r>
        <w:r w:rsidR="00AF08E7" w:rsidRPr="009C5EFD">
          <w:rPr>
            <w:sz w:val="22"/>
            <w:szCs w:val="22"/>
          </w:rPr>
          <w:delText xml:space="preserve">kongestiv </w:delText>
        </w:r>
        <w:r w:rsidRPr="009C5EFD">
          <w:rPr>
            <w:sz w:val="22"/>
            <w:szCs w:val="22"/>
          </w:rPr>
          <w:delText>hjertesvikt.</w:delText>
        </w:r>
      </w:del>
    </w:p>
    <w:p w14:paraId="66C991FF" w14:textId="46A90A84" w:rsidR="008957C9" w:rsidRPr="009C5EFD" w:rsidRDefault="008957C9">
      <w:pPr>
        <w:keepNext/>
        <w:suppressAutoHyphens/>
        <w:rPr>
          <w:del w:id="5205" w:author="AbbVie02no" w:date="2025-05-15T13:45:00Z"/>
          <w:szCs w:val="22"/>
        </w:rPr>
        <w:pPrChange w:id="5206" w:author="AbbVie02no" w:date="2025-05-15T13:45:00Z">
          <w:pPr>
            <w:pStyle w:val="Heading8"/>
            <w:keepNext w:val="0"/>
          </w:pPr>
        </w:pPrChange>
      </w:pPr>
    </w:p>
    <w:p w14:paraId="5DF2D168" w14:textId="0896D07C" w:rsidR="00085BDB" w:rsidRPr="009C5EFD" w:rsidRDefault="00E453CD">
      <w:pPr>
        <w:keepNext/>
        <w:suppressAutoHyphens/>
        <w:rPr>
          <w:del w:id="5207" w:author="AbbVie02no" w:date="2025-05-15T13:45:00Z"/>
          <w:szCs w:val="22"/>
        </w:rPr>
        <w:pPrChange w:id="5208" w:author="AbbVie02no" w:date="2025-05-15T13:45:00Z">
          <w:pPr>
            <w:pStyle w:val="Heading8"/>
          </w:pPr>
        </w:pPrChange>
      </w:pPr>
      <w:del w:id="5209" w:author="AbbVie02no" w:date="2025-05-15T13:45:00Z">
        <w:r w:rsidRPr="009C5EFD">
          <w:rPr>
            <w:szCs w:val="22"/>
          </w:rPr>
          <w:delText>Autoimmun aktivitet</w:delText>
        </w:r>
      </w:del>
    </w:p>
    <w:p w14:paraId="47586097" w14:textId="1CC8E3FD" w:rsidR="00085BDB" w:rsidRPr="009C5EFD" w:rsidRDefault="00085BDB">
      <w:pPr>
        <w:keepNext/>
        <w:suppressAutoHyphens/>
        <w:rPr>
          <w:del w:id="5210" w:author="AbbVie02no" w:date="2025-05-15T13:45:00Z"/>
          <w:sz w:val="22"/>
          <w:szCs w:val="22"/>
        </w:rPr>
        <w:pPrChange w:id="5211" w:author="AbbVie02no" w:date="2025-05-15T13:45:00Z">
          <w:pPr>
            <w:keepNext/>
          </w:pPr>
        </w:pPrChange>
      </w:pPr>
    </w:p>
    <w:p w14:paraId="247E6A95" w14:textId="4970C55B" w:rsidR="00085BDB" w:rsidRPr="009C5EFD" w:rsidRDefault="00E453CD">
      <w:pPr>
        <w:keepNext/>
        <w:suppressAutoHyphens/>
        <w:rPr>
          <w:del w:id="5212" w:author="AbbVie02no" w:date="2025-05-15T13:45:00Z"/>
          <w:sz w:val="22"/>
          <w:szCs w:val="22"/>
        </w:rPr>
        <w:pPrChange w:id="5213" w:author="AbbVie02no" w:date="2025-05-15T13:45:00Z">
          <w:pPr/>
        </w:pPrChange>
      </w:pPr>
      <w:del w:id="5214" w:author="AbbVie02no" w:date="2025-05-15T13:45:00Z">
        <w:r w:rsidRPr="009C5EFD">
          <w:rPr>
            <w:sz w:val="22"/>
            <w:szCs w:val="22"/>
          </w:rPr>
          <w:delText>Behandling med Humira kan forårsake dannelse av autoimmune antistoffer. Effekten av langtidsbehandling med Humira med hensyn til utvikling av autoimmune sykdommer er ukjent. Dersom en pasient etter behandling med Humira utvikler symptomer på lupuslignende syndrom og er positiv for antistoffer mot dobbelkjedet DNA, skal videre behandling med Humira stoppes (se pkt. 4.8).</w:delText>
        </w:r>
      </w:del>
    </w:p>
    <w:p w14:paraId="20CB94EC" w14:textId="0650153F" w:rsidR="00085BDB" w:rsidRPr="009C5EFD" w:rsidRDefault="00085BDB">
      <w:pPr>
        <w:keepNext/>
        <w:suppressAutoHyphens/>
        <w:rPr>
          <w:del w:id="5215" w:author="AbbVie02no" w:date="2025-05-15T13:45:00Z"/>
          <w:sz w:val="22"/>
          <w:szCs w:val="22"/>
          <w:u w:val="single"/>
        </w:rPr>
        <w:pPrChange w:id="5216" w:author="AbbVie02no" w:date="2025-05-15T13:45:00Z">
          <w:pPr/>
        </w:pPrChange>
      </w:pPr>
    </w:p>
    <w:p w14:paraId="3D1CDD74" w14:textId="0BAD69EF" w:rsidR="00085BDB" w:rsidRPr="009C5EFD" w:rsidRDefault="00E453CD">
      <w:pPr>
        <w:keepNext/>
        <w:suppressAutoHyphens/>
        <w:rPr>
          <w:del w:id="5217" w:author="AbbVie02no" w:date="2025-05-15T13:45:00Z"/>
          <w:sz w:val="22"/>
          <w:szCs w:val="22"/>
          <w:u w:val="single"/>
        </w:rPr>
        <w:pPrChange w:id="5218" w:author="AbbVie02no" w:date="2025-05-15T13:45:00Z">
          <w:pPr>
            <w:keepNext/>
          </w:pPr>
        </w:pPrChange>
      </w:pPr>
      <w:del w:id="5219" w:author="AbbVie02no" w:date="2025-05-15T13:45:00Z">
        <w:r w:rsidRPr="009C5EFD">
          <w:rPr>
            <w:sz w:val="22"/>
            <w:szCs w:val="22"/>
            <w:u w:val="single"/>
          </w:rPr>
          <w:delText xml:space="preserve">Samtidig </w:delText>
        </w:r>
        <w:r w:rsidR="00462D2F">
          <w:rPr>
            <w:sz w:val="22"/>
            <w:szCs w:val="22"/>
            <w:u w:val="single"/>
          </w:rPr>
          <w:delText>bruk</w:delText>
        </w:r>
        <w:r w:rsidRPr="009C5EFD">
          <w:rPr>
            <w:sz w:val="22"/>
            <w:szCs w:val="22"/>
            <w:u w:val="single"/>
          </w:rPr>
          <w:delText xml:space="preserve"> av </w:delText>
        </w:r>
        <w:r w:rsidR="00B52C5B" w:rsidRPr="009C5EFD">
          <w:rPr>
            <w:sz w:val="22"/>
            <w:szCs w:val="22"/>
            <w:u w:val="single"/>
          </w:rPr>
          <w:delText>biologisk</w:delText>
        </w:r>
        <w:r w:rsidR="00C40CB6">
          <w:rPr>
            <w:sz w:val="22"/>
            <w:szCs w:val="22"/>
            <w:u w:val="single"/>
          </w:rPr>
          <w:delText>e</w:delText>
        </w:r>
        <w:r w:rsidR="00B52C5B" w:rsidRPr="009C5EFD">
          <w:rPr>
            <w:sz w:val="22"/>
            <w:szCs w:val="22"/>
            <w:u w:val="single"/>
          </w:rPr>
          <w:delText xml:space="preserve"> DMARD</w:delText>
        </w:r>
        <w:r w:rsidR="002544F8">
          <w:rPr>
            <w:sz w:val="22"/>
            <w:szCs w:val="22"/>
            <w:u w:val="single"/>
          </w:rPr>
          <w:delText>s</w:delText>
        </w:r>
        <w:r w:rsidR="00B52C5B" w:rsidRPr="009C5EFD">
          <w:rPr>
            <w:sz w:val="22"/>
            <w:szCs w:val="22"/>
            <w:u w:val="single"/>
          </w:rPr>
          <w:delText xml:space="preserve"> eller </w:delText>
        </w:r>
        <w:r w:rsidRPr="009C5EFD">
          <w:rPr>
            <w:sz w:val="22"/>
            <w:szCs w:val="22"/>
            <w:u w:val="single"/>
          </w:rPr>
          <w:delText>TNF-antagonister</w:delText>
        </w:r>
      </w:del>
    </w:p>
    <w:p w14:paraId="17687C11" w14:textId="16C5B092" w:rsidR="00085BDB" w:rsidRPr="009C5EFD" w:rsidRDefault="00085BDB">
      <w:pPr>
        <w:keepNext/>
        <w:suppressAutoHyphens/>
        <w:rPr>
          <w:del w:id="5220" w:author="AbbVie02no" w:date="2025-05-15T13:45:00Z"/>
          <w:sz w:val="22"/>
          <w:szCs w:val="22"/>
        </w:rPr>
        <w:pPrChange w:id="5221" w:author="AbbVie02no" w:date="2025-05-15T13:45:00Z">
          <w:pPr>
            <w:keepNext/>
          </w:pPr>
        </w:pPrChange>
      </w:pPr>
    </w:p>
    <w:p w14:paraId="1E6C523F" w14:textId="728CEFBF" w:rsidR="00085BDB" w:rsidRPr="009C5EFD" w:rsidRDefault="00E453CD">
      <w:pPr>
        <w:keepNext/>
        <w:suppressAutoHyphens/>
        <w:rPr>
          <w:del w:id="5222" w:author="AbbVie02no" w:date="2025-05-15T13:45:00Z"/>
          <w:sz w:val="22"/>
          <w:szCs w:val="22"/>
        </w:rPr>
        <w:pPrChange w:id="5223" w:author="AbbVie02no" w:date="2025-05-15T13:45:00Z">
          <w:pPr/>
        </w:pPrChange>
      </w:pPr>
      <w:del w:id="5224" w:author="AbbVie02no" w:date="2025-05-15T13:45:00Z">
        <w:r w:rsidRPr="009C5EFD">
          <w:rPr>
            <w:sz w:val="22"/>
            <w:szCs w:val="22"/>
          </w:rPr>
          <w:delText xml:space="preserve">Alvorlige infeksjoner ble observert i kliniske studier med samtidig bruk av anakinra og en annen TNF-antagonist, etanercept, uten å gi </w:delText>
        </w:r>
        <w:r w:rsidR="00C40CB6">
          <w:rPr>
            <w:sz w:val="22"/>
            <w:szCs w:val="22"/>
          </w:rPr>
          <w:delText>tillegg av klinisk effekt</w:delText>
        </w:r>
        <w:r w:rsidRPr="009C5EFD">
          <w:rPr>
            <w:sz w:val="22"/>
            <w:szCs w:val="22"/>
          </w:rPr>
          <w:delText xml:space="preserve"> sammenlignet med etanercept alene. På grunn av egenskapene til de bivirkningene som er sett med kombinasjonsbehandling med etanercept og anakinra, kan kombinasjonen med anakinra og andre TNF-antagonister også resultere i </w:delText>
        </w:r>
        <w:r w:rsidR="00C40CB6">
          <w:rPr>
            <w:sz w:val="22"/>
            <w:szCs w:val="22"/>
          </w:rPr>
          <w:delText>lignende toksisitet</w:delText>
        </w:r>
        <w:r w:rsidRPr="009C5EFD">
          <w:rPr>
            <w:sz w:val="22"/>
            <w:szCs w:val="22"/>
          </w:rPr>
          <w:delText xml:space="preserve">. Kombinasjonen av adalimumab og anakinra anbefales derfor ikke (se pkt. 4.5). </w:delText>
        </w:r>
      </w:del>
    </w:p>
    <w:p w14:paraId="3C9C0BF6" w14:textId="23D65944" w:rsidR="00D53A04" w:rsidRPr="009C5EFD" w:rsidRDefault="00D53A04">
      <w:pPr>
        <w:keepNext/>
        <w:suppressAutoHyphens/>
        <w:rPr>
          <w:del w:id="5225" w:author="AbbVie02no" w:date="2025-05-15T13:45:00Z"/>
          <w:sz w:val="22"/>
          <w:szCs w:val="22"/>
        </w:rPr>
        <w:pPrChange w:id="5226" w:author="AbbVie02no" w:date="2025-05-15T13:45:00Z">
          <w:pPr/>
        </w:pPrChange>
      </w:pPr>
    </w:p>
    <w:p w14:paraId="4983A45F" w14:textId="0C5277B2" w:rsidR="00085BDB" w:rsidRPr="009C5EFD" w:rsidRDefault="00E453CD">
      <w:pPr>
        <w:keepNext/>
        <w:suppressAutoHyphens/>
        <w:rPr>
          <w:del w:id="5227" w:author="AbbVie02no" w:date="2025-05-15T13:45:00Z"/>
          <w:sz w:val="22"/>
          <w:szCs w:val="22"/>
        </w:rPr>
        <w:pPrChange w:id="5228" w:author="AbbVie02no" w:date="2025-05-15T13:45:00Z">
          <w:pPr/>
        </w:pPrChange>
      </w:pPr>
      <w:del w:id="5229" w:author="AbbVie02no" w:date="2025-05-15T13:45:00Z">
        <w:r w:rsidRPr="009C5EFD">
          <w:rPr>
            <w:sz w:val="22"/>
            <w:szCs w:val="22"/>
          </w:rPr>
          <w:delText xml:space="preserve">Samtidig </w:delText>
        </w:r>
        <w:r w:rsidR="00462D2F">
          <w:rPr>
            <w:sz w:val="22"/>
            <w:szCs w:val="22"/>
          </w:rPr>
          <w:delText>bruk</w:delText>
        </w:r>
        <w:r w:rsidRPr="009C5EFD">
          <w:rPr>
            <w:sz w:val="22"/>
            <w:szCs w:val="22"/>
          </w:rPr>
          <w:delText xml:space="preserve"> av adalimumab med andre biologiske DMARD</w:delText>
        </w:r>
        <w:r w:rsidR="002544F8">
          <w:rPr>
            <w:sz w:val="22"/>
            <w:szCs w:val="22"/>
          </w:rPr>
          <w:delText>s</w:delText>
        </w:r>
        <w:r w:rsidRPr="009C5EFD">
          <w:rPr>
            <w:sz w:val="22"/>
            <w:szCs w:val="22"/>
          </w:rPr>
          <w:delText xml:space="preserve"> (f.eks. anakinra og abatacept) eller andre TNF-antagonister anbefales ikke basert på mulig økt risiko for infeksjoner, inkludert alvorlige infeksjoner og andre potensielle farmakologiske interaksjoner (se pkt. 4.5).</w:delText>
        </w:r>
      </w:del>
    </w:p>
    <w:p w14:paraId="5A45BFB4" w14:textId="52C69CF0" w:rsidR="00D53A04" w:rsidRPr="009C5EFD" w:rsidRDefault="00D53A04">
      <w:pPr>
        <w:keepNext/>
        <w:suppressAutoHyphens/>
        <w:rPr>
          <w:del w:id="5230" w:author="AbbVie02no" w:date="2025-05-15T13:45:00Z"/>
          <w:sz w:val="22"/>
          <w:szCs w:val="22"/>
          <w:u w:val="single"/>
        </w:rPr>
        <w:pPrChange w:id="5231" w:author="AbbVie02no" w:date="2025-05-15T13:45:00Z">
          <w:pPr/>
        </w:pPrChange>
      </w:pPr>
    </w:p>
    <w:p w14:paraId="40D84B82" w14:textId="3EC3DD84" w:rsidR="00085BDB" w:rsidRPr="009C5EFD" w:rsidRDefault="00E453CD">
      <w:pPr>
        <w:keepNext/>
        <w:suppressAutoHyphens/>
        <w:rPr>
          <w:del w:id="5232" w:author="AbbVie02no" w:date="2025-05-15T13:45:00Z"/>
          <w:sz w:val="22"/>
          <w:szCs w:val="22"/>
          <w:u w:val="single"/>
        </w:rPr>
        <w:pPrChange w:id="5233" w:author="AbbVie02no" w:date="2025-05-15T13:45:00Z">
          <w:pPr>
            <w:keepNext/>
          </w:pPr>
        </w:pPrChange>
      </w:pPr>
      <w:del w:id="5234" w:author="AbbVie02no" w:date="2025-05-15T13:45:00Z">
        <w:r w:rsidRPr="009C5EFD">
          <w:rPr>
            <w:sz w:val="22"/>
            <w:szCs w:val="22"/>
            <w:u w:val="single"/>
          </w:rPr>
          <w:delText>Kirurgi</w:delText>
        </w:r>
      </w:del>
    </w:p>
    <w:p w14:paraId="44D5A260" w14:textId="7B15E82B" w:rsidR="00085BDB" w:rsidRPr="009C5EFD" w:rsidRDefault="00085BDB">
      <w:pPr>
        <w:keepNext/>
        <w:suppressAutoHyphens/>
        <w:rPr>
          <w:del w:id="5235" w:author="AbbVie02no" w:date="2025-05-15T13:45:00Z"/>
          <w:sz w:val="22"/>
          <w:szCs w:val="22"/>
        </w:rPr>
        <w:pPrChange w:id="5236" w:author="AbbVie02no" w:date="2025-05-15T13:45:00Z">
          <w:pPr>
            <w:keepNext/>
          </w:pPr>
        </w:pPrChange>
      </w:pPr>
    </w:p>
    <w:p w14:paraId="52C32925" w14:textId="3BD9A368" w:rsidR="00085BDB" w:rsidRPr="009C5EFD" w:rsidRDefault="00E453CD">
      <w:pPr>
        <w:keepNext/>
        <w:suppressAutoHyphens/>
        <w:rPr>
          <w:del w:id="5237" w:author="AbbVie02no" w:date="2025-05-15T13:45:00Z"/>
          <w:sz w:val="22"/>
          <w:szCs w:val="22"/>
        </w:rPr>
        <w:pPrChange w:id="5238" w:author="AbbVie02no" w:date="2025-05-15T13:45:00Z">
          <w:pPr/>
        </w:pPrChange>
      </w:pPr>
      <w:del w:id="5239" w:author="AbbVie02no" w:date="2025-05-15T13:45:00Z">
        <w:r w:rsidRPr="009C5EFD">
          <w:rPr>
            <w:sz w:val="22"/>
            <w:szCs w:val="22"/>
          </w:rPr>
          <w:delText xml:space="preserve">Det er begrenset erfaring med hensyn til sikkerhet ved kirurgiske inngrep hos pasienter behandlet med Humira. Den lange halveringstiden for adalimumab bør tas med i vurderingen når det planlegges kirurgiske inngrep. En pasient som må opereres </w:delText>
        </w:r>
        <w:r w:rsidRPr="009C5EFD">
          <w:rPr>
            <w:color w:val="000000"/>
            <w:sz w:val="22"/>
            <w:szCs w:val="22"/>
          </w:rPr>
          <w:delText xml:space="preserve">under behandling med </w:delText>
        </w:r>
        <w:r w:rsidRPr="009C5EFD">
          <w:rPr>
            <w:sz w:val="22"/>
            <w:szCs w:val="22"/>
          </w:rPr>
          <w:delText xml:space="preserve">Humira skal følges nøye opp </w:delText>
        </w:r>
        <w:r w:rsidRPr="009C5EFD">
          <w:rPr>
            <w:sz w:val="22"/>
            <w:szCs w:val="22"/>
          </w:rPr>
          <w:lastRenderedPageBreak/>
          <w:delText>med tanke på infeksjoner, og nødvendige tiltak må iverksettes. Det er begrenset erfaring med hensyn til sikkerhet hos pasienter som får artroplastikk mens de behandles med Humira.</w:delText>
        </w:r>
      </w:del>
    </w:p>
    <w:p w14:paraId="240E5C57" w14:textId="275E917E" w:rsidR="001D6D95" w:rsidRPr="009C5EFD" w:rsidRDefault="001D6D95">
      <w:pPr>
        <w:keepNext/>
        <w:suppressAutoHyphens/>
        <w:rPr>
          <w:del w:id="5240" w:author="AbbVie02no" w:date="2025-05-15T13:45:00Z"/>
          <w:sz w:val="22"/>
          <w:szCs w:val="22"/>
          <w:u w:val="single"/>
        </w:rPr>
        <w:pPrChange w:id="5241" w:author="AbbVie02no" w:date="2025-05-15T13:45:00Z">
          <w:pPr/>
        </w:pPrChange>
      </w:pPr>
    </w:p>
    <w:p w14:paraId="55F93EA9" w14:textId="12391D8D" w:rsidR="00085BDB" w:rsidRPr="009C5EFD" w:rsidRDefault="00E453CD">
      <w:pPr>
        <w:keepNext/>
        <w:suppressAutoHyphens/>
        <w:rPr>
          <w:del w:id="5242" w:author="AbbVie02no" w:date="2025-05-15T13:45:00Z"/>
          <w:sz w:val="22"/>
          <w:szCs w:val="22"/>
        </w:rPr>
        <w:pPrChange w:id="5243" w:author="AbbVie02no" w:date="2025-05-15T13:45:00Z">
          <w:pPr>
            <w:keepNext/>
          </w:pPr>
        </w:pPrChange>
      </w:pPr>
      <w:del w:id="5244" w:author="AbbVie02no" w:date="2025-05-15T13:45:00Z">
        <w:r w:rsidRPr="009C5EFD">
          <w:rPr>
            <w:sz w:val="22"/>
            <w:szCs w:val="22"/>
            <w:u w:val="single"/>
          </w:rPr>
          <w:delText>Tynntarmobstruksjon</w:delText>
        </w:r>
      </w:del>
    </w:p>
    <w:p w14:paraId="55E5B70E" w14:textId="342F5B9A" w:rsidR="00085BDB" w:rsidRPr="009C5EFD" w:rsidRDefault="00085BDB">
      <w:pPr>
        <w:keepNext/>
        <w:suppressAutoHyphens/>
        <w:rPr>
          <w:del w:id="5245" w:author="AbbVie02no" w:date="2025-05-15T13:45:00Z"/>
          <w:sz w:val="22"/>
          <w:szCs w:val="22"/>
        </w:rPr>
        <w:pPrChange w:id="5246" w:author="AbbVie02no" w:date="2025-05-15T13:45:00Z">
          <w:pPr>
            <w:keepNext/>
          </w:pPr>
        </w:pPrChange>
      </w:pPr>
    </w:p>
    <w:p w14:paraId="68AC6FDF" w14:textId="67FB4480" w:rsidR="00085BDB" w:rsidRPr="009C5EFD" w:rsidRDefault="00E453CD">
      <w:pPr>
        <w:keepNext/>
        <w:suppressAutoHyphens/>
        <w:rPr>
          <w:del w:id="5247" w:author="AbbVie02no" w:date="2025-05-15T13:45:00Z"/>
          <w:szCs w:val="22"/>
        </w:rPr>
        <w:pPrChange w:id="5248" w:author="AbbVie02no" w:date="2025-05-15T13:45:00Z">
          <w:pPr>
            <w:pStyle w:val="BodyText2"/>
            <w:autoSpaceDE/>
            <w:autoSpaceDN/>
            <w:adjustRightInd/>
          </w:pPr>
        </w:pPrChange>
      </w:pPr>
      <w:del w:id="5249" w:author="AbbVie02no" w:date="2025-05-15T13:45:00Z">
        <w:r w:rsidRPr="009C5EFD">
          <w:rPr>
            <w:szCs w:val="22"/>
          </w:rPr>
          <w:delText xml:space="preserve">Manglende respons på behandling av Crohns sykdom kan indikere </w:delText>
        </w:r>
        <w:r w:rsidR="00056A03" w:rsidRPr="009C5EFD">
          <w:rPr>
            <w:szCs w:val="22"/>
          </w:rPr>
          <w:delText>forekomst av</w:delText>
        </w:r>
        <w:r w:rsidRPr="009C5EFD">
          <w:rPr>
            <w:szCs w:val="22"/>
          </w:rPr>
          <w:delText xml:space="preserve"> fibrotisk striktur som kan kreve kirurgisk behandling. Tilgjengelig data antyder at Humira ikke forverrer eller forårsaker strikturer.</w:delText>
        </w:r>
      </w:del>
    </w:p>
    <w:p w14:paraId="3A4CAB68" w14:textId="2D7FD657" w:rsidR="00085BDB" w:rsidRPr="009C5EFD" w:rsidRDefault="00085BDB">
      <w:pPr>
        <w:keepNext/>
        <w:suppressAutoHyphens/>
        <w:rPr>
          <w:del w:id="5250" w:author="AbbVie02no" w:date="2025-05-15T13:45:00Z"/>
          <w:sz w:val="22"/>
          <w:szCs w:val="22"/>
        </w:rPr>
        <w:pPrChange w:id="5251" w:author="AbbVie02no" w:date="2025-05-15T13:45:00Z">
          <w:pPr/>
        </w:pPrChange>
      </w:pPr>
    </w:p>
    <w:p w14:paraId="2A58961D" w14:textId="0E86303F" w:rsidR="00085BDB" w:rsidRPr="009C5EFD" w:rsidRDefault="00E453CD">
      <w:pPr>
        <w:keepNext/>
        <w:suppressAutoHyphens/>
        <w:rPr>
          <w:del w:id="5252" w:author="AbbVie02no" w:date="2025-05-15T13:45:00Z"/>
          <w:sz w:val="22"/>
          <w:szCs w:val="22"/>
        </w:rPr>
        <w:pPrChange w:id="5253" w:author="AbbVie02no" w:date="2025-05-15T13:45:00Z">
          <w:pPr>
            <w:keepNext/>
          </w:pPr>
        </w:pPrChange>
      </w:pPr>
      <w:del w:id="5254" w:author="AbbVie02no" w:date="2025-05-15T13:45:00Z">
        <w:r w:rsidRPr="009C5EFD">
          <w:rPr>
            <w:sz w:val="22"/>
            <w:szCs w:val="22"/>
            <w:u w:val="single"/>
          </w:rPr>
          <w:delText>Eldre</w:delText>
        </w:r>
      </w:del>
    </w:p>
    <w:p w14:paraId="2383AE81" w14:textId="4CF597A9" w:rsidR="00085BDB" w:rsidRPr="009C5EFD" w:rsidRDefault="00085BDB">
      <w:pPr>
        <w:keepNext/>
        <w:suppressAutoHyphens/>
        <w:rPr>
          <w:del w:id="5255" w:author="AbbVie02no" w:date="2025-05-15T13:45:00Z"/>
          <w:sz w:val="22"/>
          <w:szCs w:val="22"/>
        </w:rPr>
        <w:pPrChange w:id="5256" w:author="AbbVie02no" w:date="2025-05-15T13:45:00Z">
          <w:pPr>
            <w:keepNext/>
          </w:pPr>
        </w:pPrChange>
      </w:pPr>
    </w:p>
    <w:p w14:paraId="0DCA47C9" w14:textId="1ABBBFA5" w:rsidR="00D745AF" w:rsidRPr="009C5EFD" w:rsidRDefault="00E453CD">
      <w:pPr>
        <w:keepNext/>
        <w:suppressAutoHyphens/>
        <w:rPr>
          <w:del w:id="5257" w:author="AbbVie02no" w:date="2025-05-15T13:45:00Z"/>
          <w:szCs w:val="22"/>
        </w:rPr>
        <w:pPrChange w:id="5258" w:author="AbbVie02no" w:date="2025-05-15T13:45:00Z">
          <w:pPr>
            <w:pStyle w:val="BodyText2"/>
            <w:autoSpaceDE/>
            <w:autoSpaceDN/>
            <w:adjustRightInd/>
          </w:pPr>
        </w:pPrChange>
      </w:pPr>
      <w:del w:id="5259" w:author="AbbVie02no" w:date="2025-05-15T13:45:00Z">
        <w:r w:rsidRPr="009C5EFD">
          <w:rPr>
            <w:szCs w:val="22"/>
          </w:rPr>
          <w:delText>Forekomsten av alvorlige infeksjoner hos pasienter over 65 år (3,</w:delText>
        </w:r>
        <w:r w:rsidR="00256192">
          <w:rPr>
            <w:szCs w:val="22"/>
          </w:rPr>
          <w:delText>7</w:delText>
        </w:r>
        <w:r w:rsidR="00256192" w:rsidRPr="009C5EFD">
          <w:rPr>
            <w:szCs w:val="22"/>
          </w:rPr>
          <w:delText xml:space="preserve"> </w:delText>
        </w:r>
        <w:r w:rsidRPr="009C5EFD">
          <w:rPr>
            <w:szCs w:val="22"/>
          </w:rPr>
          <w:delText xml:space="preserve">%) som ble behandlet med Humira var </w:delText>
        </w:r>
        <w:r w:rsidR="007B4A5E" w:rsidRPr="009C5EFD">
          <w:rPr>
            <w:szCs w:val="22"/>
          </w:rPr>
          <w:delText>høyere</w:delText>
        </w:r>
        <w:r w:rsidRPr="009C5EFD">
          <w:rPr>
            <w:szCs w:val="22"/>
          </w:rPr>
          <w:delText xml:space="preserve"> enn hos pasienter under 65 år (1,</w:delText>
        </w:r>
        <w:r w:rsidR="00256192">
          <w:rPr>
            <w:szCs w:val="22"/>
          </w:rPr>
          <w:delText>5</w:delText>
        </w:r>
        <w:r w:rsidR="00256192" w:rsidRPr="009C5EFD">
          <w:rPr>
            <w:szCs w:val="22"/>
          </w:rPr>
          <w:delText xml:space="preserve"> </w:delText>
        </w:r>
        <w:r w:rsidRPr="009C5EFD">
          <w:rPr>
            <w:szCs w:val="22"/>
          </w:rPr>
          <w:delText>%). Noen av disse hadde dødelig utgang. Man skal være særlig oppmerksom på risiko for infeksjoner når eldre pasienter behandles.</w:delText>
        </w:r>
      </w:del>
    </w:p>
    <w:p w14:paraId="243090FC" w14:textId="2FB3E360" w:rsidR="00B07B6B" w:rsidRPr="009C5EFD" w:rsidRDefault="00B07B6B">
      <w:pPr>
        <w:keepNext/>
        <w:suppressAutoHyphens/>
        <w:rPr>
          <w:del w:id="5260" w:author="AbbVie02no" w:date="2025-05-15T13:45:00Z"/>
          <w:szCs w:val="22"/>
        </w:rPr>
        <w:pPrChange w:id="5261" w:author="AbbVie02no" w:date="2025-05-15T13:45:00Z">
          <w:pPr>
            <w:pStyle w:val="BodyText2"/>
            <w:autoSpaceDE/>
            <w:autoSpaceDN/>
            <w:adjustRightInd/>
          </w:pPr>
        </w:pPrChange>
      </w:pPr>
    </w:p>
    <w:p w14:paraId="7636D867" w14:textId="1D4DD63A" w:rsidR="00B07B6B" w:rsidRPr="009C5EFD" w:rsidRDefault="00E453CD">
      <w:pPr>
        <w:keepNext/>
        <w:suppressAutoHyphens/>
        <w:rPr>
          <w:del w:id="5262" w:author="AbbVie02no" w:date="2025-05-15T13:45:00Z"/>
          <w:sz w:val="22"/>
          <w:szCs w:val="22"/>
          <w:u w:val="single"/>
        </w:rPr>
        <w:pPrChange w:id="5263" w:author="AbbVie02no" w:date="2025-05-15T13:45:00Z">
          <w:pPr>
            <w:keepNext/>
          </w:pPr>
        </w:pPrChange>
      </w:pPr>
      <w:del w:id="5264" w:author="AbbVie02no" w:date="2025-05-15T13:45:00Z">
        <w:r w:rsidRPr="009C5EFD">
          <w:rPr>
            <w:sz w:val="22"/>
            <w:szCs w:val="22"/>
            <w:u w:val="single"/>
          </w:rPr>
          <w:delText>Pediatrisk populasjon</w:delText>
        </w:r>
      </w:del>
    </w:p>
    <w:p w14:paraId="3118E4D9" w14:textId="4E2028FD" w:rsidR="00B07B6B" w:rsidRPr="009C5EFD" w:rsidRDefault="00B07B6B">
      <w:pPr>
        <w:keepNext/>
        <w:suppressAutoHyphens/>
        <w:rPr>
          <w:del w:id="5265" w:author="AbbVie02no" w:date="2025-05-15T13:45:00Z"/>
          <w:sz w:val="22"/>
          <w:szCs w:val="22"/>
          <w:u w:val="single"/>
        </w:rPr>
        <w:pPrChange w:id="5266" w:author="AbbVie02no" w:date="2025-05-15T13:45:00Z">
          <w:pPr>
            <w:keepNext/>
          </w:pPr>
        </w:pPrChange>
      </w:pPr>
    </w:p>
    <w:p w14:paraId="2310355F" w14:textId="1CD239C6" w:rsidR="00B07B6B" w:rsidRDefault="00E453CD">
      <w:pPr>
        <w:keepNext/>
        <w:suppressAutoHyphens/>
        <w:rPr>
          <w:del w:id="5267" w:author="AbbVie02no" w:date="2025-05-15T13:45:00Z"/>
          <w:szCs w:val="22"/>
        </w:rPr>
        <w:pPrChange w:id="5268" w:author="AbbVie02no" w:date="2025-05-15T13:45:00Z">
          <w:pPr>
            <w:pStyle w:val="BodyText2"/>
            <w:keepNext/>
            <w:autoSpaceDE/>
            <w:autoSpaceDN/>
            <w:adjustRightInd/>
          </w:pPr>
        </w:pPrChange>
      </w:pPr>
      <w:del w:id="5269" w:author="AbbVie02no" w:date="2025-05-15T13:45:00Z">
        <w:r w:rsidRPr="009C5EFD">
          <w:rPr>
            <w:szCs w:val="22"/>
          </w:rPr>
          <w:delText>Se Vaksinasjoner over</w:delText>
        </w:r>
        <w:r w:rsidR="0098577E" w:rsidRPr="009C5EFD">
          <w:rPr>
            <w:szCs w:val="22"/>
          </w:rPr>
          <w:delText>.</w:delText>
        </w:r>
      </w:del>
    </w:p>
    <w:p w14:paraId="3FDC3D80" w14:textId="47FF30E1" w:rsidR="000C7AC0" w:rsidRDefault="000C7AC0">
      <w:pPr>
        <w:keepNext/>
        <w:suppressAutoHyphens/>
        <w:rPr>
          <w:del w:id="5270" w:author="AbbVie02no" w:date="2025-05-15T13:45:00Z"/>
          <w:szCs w:val="22"/>
        </w:rPr>
        <w:pPrChange w:id="5271" w:author="AbbVie02no" w:date="2025-05-15T13:45:00Z">
          <w:pPr>
            <w:pStyle w:val="BodyText2"/>
            <w:keepNext/>
            <w:autoSpaceDE/>
            <w:autoSpaceDN/>
            <w:adjustRightInd/>
          </w:pPr>
        </w:pPrChange>
      </w:pPr>
    </w:p>
    <w:p w14:paraId="7F3035FB" w14:textId="1D18EEAF" w:rsidR="000C7AC0" w:rsidRDefault="00E453CD">
      <w:pPr>
        <w:keepNext/>
        <w:suppressAutoHyphens/>
        <w:rPr>
          <w:del w:id="5272" w:author="AbbVie02no" w:date="2025-05-15T13:45:00Z"/>
          <w:sz w:val="22"/>
          <w:szCs w:val="22"/>
          <w:u w:val="single"/>
        </w:rPr>
        <w:pPrChange w:id="5273" w:author="AbbVie02no" w:date="2025-05-15T13:45:00Z">
          <w:pPr>
            <w:keepNext/>
          </w:pPr>
        </w:pPrChange>
      </w:pPr>
      <w:del w:id="5274" w:author="AbbVie02no" w:date="2025-05-15T13:45:00Z">
        <w:r>
          <w:rPr>
            <w:sz w:val="22"/>
            <w:szCs w:val="22"/>
            <w:u w:val="single"/>
          </w:rPr>
          <w:delText>Hjelpestoffer</w:delText>
        </w:r>
        <w:r w:rsidR="002E462E">
          <w:rPr>
            <w:sz w:val="22"/>
            <w:szCs w:val="22"/>
            <w:u w:val="single"/>
          </w:rPr>
          <w:delText xml:space="preserve"> med kjent effekt</w:delText>
        </w:r>
      </w:del>
    </w:p>
    <w:p w14:paraId="7793E042" w14:textId="60897FD2" w:rsidR="000C7AC0" w:rsidRDefault="000C7AC0">
      <w:pPr>
        <w:keepNext/>
        <w:suppressAutoHyphens/>
        <w:rPr>
          <w:del w:id="5275" w:author="AbbVie02no" w:date="2025-05-15T13:45:00Z"/>
          <w:sz w:val="22"/>
          <w:szCs w:val="22"/>
          <w:u w:val="single"/>
        </w:rPr>
        <w:pPrChange w:id="5276" w:author="AbbVie02no" w:date="2025-05-15T13:45:00Z">
          <w:pPr>
            <w:keepNext/>
          </w:pPr>
        </w:pPrChange>
      </w:pPr>
    </w:p>
    <w:p w14:paraId="7F0F2A66" w14:textId="1DE2B9F8" w:rsidR="000C7AC0" w:rsidRPr="009C5EFD" w:rsidRDefault="00E453CD">
      <w:pPr>
        <w:keepNext/>
        <w:suppressAutoHyphens/>
        <w:rPr>
          <w:del w:id="5277" w:author="AbbVie02no" w:date="2025-05-15T13:45:00Z"/>
          <w:szCs w:val="22"/>
        </w:rPr>
        <w:pPrChange w:id="5278" w:author="AbbVie02no" w:date="2025-05-15T13:45:00Z">
          <w:pPr>
            <w:pStyle w:val="EndnoteText"/>
            <w:widowControl/>
            <w:tabs>
              <w:tab w:val="clear" w:pos="567"/>
            </w:tabs>
            <w:suppressAutoHyphens/>
          </w:pPr>
        </w:pPrChange>
      </w:pPr>
      <w:del w:id="5279" w:author="AbbVie02no" w:date="2025-05-15T13:45:00Z">
        <w:r w:rsidRPr="009C5EFD">
          <w:rPr>
            <w:szCs w:val="22"/>
          </w:rPr>
          <w:delText>Dette legemidlet inneholder mindre enn 1 mmol natrium (23 mg) per 0,8 ml dose, dvs</w:delText>
        </w:r>
        <w:r>
          <w:rPr>
            <w:szCs w:val="22"/>
          </w:rPr>
          <w:delText>.</w:delText>
        </w:r>
        <w:r w:rsidRPr="009C5EFD">
          <w:rPr>
            <w:szCs w:val="22"/>
          </w:rPr>
          <w:delText xml:space="preserve"> så godt som </w:delText>
        </w:r>
        <w:r w:rsidR="00D57009">
          <w:rPr>
            <w:szCs w:val="22"/>
          </w:rPr>
          <w:delText>«</w:delText>
        </w:r>
        <w:r w:rsidRPr="009C5EFD">
          <w:rPr>
            <w:szCs w:val="22"/>
          </w:rPr>
          <w:delText>natriumfritt</w:delText>
        </w:r>
        <w:r w:rsidR="00D57009">
          <w:rPr>
            <w:szCs w:val="22"/>
          </w:rPr>
          <w:delText>»</w:delText>
        </w:r>
        <w:r>
          <w:rPr>
            <w:szCs w:val="22"/>
          </w:rPr>
          <w:delText>.</w:delText>
        </w:r>
      </w:del>
    </w:p>
    <w:p w14:paraId="03DA96F3" w14:textId="1E052095" w:rsidR="00307E7D" w:rsidRPr="001F5D4B" w:rsidRDefault="00307E7D">
      <w:pPr>
        <w:keepNext/>
        <w:suppressAutoHyphens/>
        <w:rPr>
          <w:del w:id="5280" w:author="AbbVie02no" w:date="2025-05-15T13:45:00Z"/>
          <w:sz w:val="22"/>
          <w:szCs w:val="22"/>
        </w:rPr>
        <w:pPrChange w:id="5281" w:author="AbbVie02no" w:date="2025-05-15T13:45:00Z">
          <w:pPr>
            <w:suppressAutoHyphens/>
            <w:ind w:left="567" w:hanging="567"/>
          </w:pPr>
        </w:pPrChange>
      </w:pPr>
    </w:p>
    <w:p w14:paraId="73DDA08C" w14:textId="71DD3E5E" w:rsidR="00DE3458" w:rsidRPr="00193D76" w:rsidRDefault="00E453CD">
      <w:pPr>
        <w:keepNext/>
        <w:suppressAutoHyphens/>
        <w:rPr>
          <w:del w:id="5282" w:author="AbbVie02no" w:date="2025-05-15T13:45:00Z"/>
          <w:sz w:val="22"/>
          <w:szCs w:val="22"/>
        </w:rPr>
        <w:pPrChange w:id="5283" w:author="AbbVie02no" w:date="2025-05-15T13:45:00Z">
          <w:pPr>
            <w:keepNext/>
            <w:suppressAutoHyphens/>
            <w:ind w:left="576" w:hanging="576"/>
          </w:pPr>
        </w:pPrChange>
      </w:pPr>
      <w:del w:id="5284" w:author="AbbVie02no" w:date="2025-05-15T13:45:00Z">
        <w:r w:rsidRPr="007F67EE">
          <w:rPr>
            <w:b/>
            <w:sz w:val="22"/>
            <w:szCs w:val="22"/>
          </w:rPr>
          <w:delText>4.5</w:delText>
        </w:r>
        <w:r w:rsidRPr="007F67EE">
          <w:rPr>
            <w:b/>
            <w:sz w:val="22"/>
            <w:szCs w:val="22"/>
          </w:rPr>
          <w:tab/>
          <w:delText>Interaksjon med andre legemidler og andre former for interaksjon</w:delText>
        </w:r>
      </w:del>
    </w:p>
    <w:p w14:paraId="18650483" w14:textId="4FAE87E5" w:rsidR="00DE3458" w:rsidRPr="002D0790" w:rsidRDefault="00DE3458">
      <w:pPr>
        <w:keepNext/>
        <w:suppressAutoHyphens/>
        <w:rPr>
          <w:del w:id="5285" w:author="AbbVie02no" w:date="2025-05-15T13:45:00Z"/>
          <w:sz w:val="22"/>
          <w:szCs w:val="22"/>
        </w:rPr>
        <w:pPrChange w:id="5286" w:author="AbbVie02no" w:date="2025-05-15T13:45:00Z">
          <w:pPr>
            <w:keepNext/>
          </w:pPr>
        </w:pPrChange>
      </w:pPr>
    </w:p>
    <w:p w14:paraId="766ACD8F" w14:textId="0C22DE97" w:rsidR="00DE3458" w:rsidRPr="009C5EFD" w:rsidRDefault="00E453CD">
      <w:pPr>
        <w:keepNext/>
        <w:suppressAutoHyphens/>
        <w:rPr>
          <w:del w:id="5287" w:author="AbbVie02no" w:date="2025-05-15T13:45:00Z"/>
          <w:sz w:val="22"/>
          <w:szCs w:val="22"/>
        </w:rPr>
        <w:pPrChange w:id="5288" w:author="AbbVie02no" w:date="2025-05-15T13:45:00Z">
          <w:pPr/>
        </w:pPrChange>
      </w:pPr>
      <w:del w:id="5289" w:author="AbbVie02no" w:date="2025-05-15T13:45:00Z">
        <w:r w:rsidRPr="002D0790">
          <w:rPr>
            <w:sz w:val="22"/>
            <w:szCs w:val="22"/>
          </w:rPr>
          <w:delText xml:space="preserve">Humira har vært undersøkt hos pasienter med revmatoid artritt, polyartikulær juvenil idiopatisk artritt og </w:delText>
        </w:r>
        <w:r w:rsidR="00FA0A10" w:rsidRPr="00E14E58">
          <w:rPr>
            <w:sz w:val="22"/>
            <w:szCs w:val="22"/>
          </w:rPr>
          <w:delText>psoriasisartritt</w:delText>
        </w:r>
        <w:r w:rsidRPr="009C5EFD">
          <w:rPr>
            <w:sz w:val="22"/>
            <w:szCs w:val="22"/>
          </w:rPr>
          <w:delText xml:space="preserve"> som får Humira som monoterapi og hos de som samtidig får metotreksat. Antistoffdannelsen var lavere når Humira ble gitt sammen med metotreksat sammenlignet med bruk som monoterapi. Administrasjon av Humira uten metotreksat ga økt dannelse av antistoffer, økt clearance og redusert effekt av adalimumab (se pkt. 5.1).</w:delText>
        </w:r>
      </w:del>
    </w:p>
    <w:p w14:paraId="7A5CDB16" w14:textId="30C1F563" w:rsidR="00DE3458" w:rsidRPr="009C5EFD" w:rsidRDefault="00DE3458">
      <w:pPr>
        <w:keepNext/>
        <w:suppressAutoHyphens/>
        <w:rPr>
          <w:del w:id="5290" w:author="AbbVie02no" w:date="2025-05-15T13:45:00Z"/>
          <w:sz w:val="22"/>
          <w:szCs w:val="22"/>
        </w:rPr>
        <w:pPrChange w:id="5291" w:author="AbbVie02no" w:date="2025-05-15T13:45:00Z">
          <w:pPr/>
        </w:pPrChange>
      </w:pPr>
    </w:p>
    <w:p w14:paraId="574DC9CF" w14:textId="6AC24B96" w:rsidR="00DE3458" w:rsidRPr="009C5EFD" w:rsidRDefault="00E453CD">
      <w:pPr>
        <w:keepNext/>
        <w:suppressAutoHyphens/>
        <w:rPr>
          <w:del w:id="5292" w:author="AbbVie02no" w:date="2025-05-15T13:45:00Z"/>
          <w:sz w:val="22"/>
          <w:szCs w:val="22"/>
        </w:rPr>
        <w:pPrChange w:id="5293" w:author="AbbVie02no" w:date="2025-05-15T13:45:00Z">
          <w:pPr>
            <w:autoSpaceDE w:val="0"/>
            <w:autoSpaceDN w:val="0"/>
            <w:adjustRightInd w:val="0"/>
          </w:pPr>
        </w:pPrChange>
      </w:pPr>
      <w:del w:id="5294" w:author="AbbVie02no" w:date="2025-05-15T13:45:00Z">
        <w:r w:rsidRPr="009C5EFD">
          <w:rPr>
            <w:sz w:val="22"/>
            <w:szCs w:val="22"/>
          </w:rPr>
          <w:delText>Kombinasjonen av Humira og anakinra er ikke anbefalt (se pkt.</w:delText>
        </w:r>
        <w:r w:rsidR="001D2054" w:rsidRPr="009C5EFD">
          <w:rPr>
            <w:sz w:val="22"/>
            <w:szCs w:val="22"/>
          </w:rPr>
          <w:delText> </w:delText>
        </w:r>
        <w:r w:rsidR="008C0EB9" w:rsidRPr="009C5EFD">
          <w:rPr>
            <w:sz w:val="22"/>
            <w:szCs w:val="22"/>
          </w:rPr>
          <w:delText>4.4</w:delText>
        </w:r>
        <w:r w:rsidRPr="009C5EFD">
          <w:rPr>
            <w:sz w:val="22"/>
            <w:szCs w:val="22"/>
          </w:rPr>
          <w:delText xml:space="preserve"> </w:delText>
        </w:r>
        <w:r w:rsidR="00D57009">
          <w:rPr>
            <w:sz w:val="22"/>
            <w:szCs w:val="22"/>
          </w:rPr>
          <w:delText>«</w:delText>
        </w:r>
        <w:r w:rsidRPr="009C5EFD">
          <w:rPr>
            <w:sz w:val="22"/>
            <w:szCs w:val="22"/>
          </w:rPr>
          <w:delText xml:space="preserve">Samtidig </w:delText>
        </w:r>
        <w:r w:rsidR="00462D2F">
          <w:rPr>
            <w:sz w:val="22"/>
            <w:szCs w:val="22"/>
          </w:rPr>
          <w:delText>bruk</w:delText>
        </w:r>
        <w:r w:rsidRPr="009C5EFD">
          <w:rPr>
            <w:sz w:val="22"/>
            <w:szCs w:val="22"/>
          </w:rPr>
          <w:delText xml:space="preserve"> av </w:delText>
        </w:r>
        <w:r w:rsidR="00B07B6B" w:rsidRPr="009C5EFD">
          <w:rPr>
            <w:sz w:val="22"/>
            <w:szCs w:val="22"/>
          </w:rPr>
          <w:delText>biologisk</w:delText>
        </w:r>
        <w:r w:rsidR="00C40CB6">
          <w:rPr>
            <w:sz w:val="22"/>
            <w:szCs w:val="22"/>
          </w:rPr>
          <w:delText>e</w:delText>
        </w:r>
        <w:r w:rsidR="00B07B6B" w:rsidRPr="009C5EFD">
          <w:rPr>
            <w:sz w:val="22"/>
            <w:szCs w:val="22"/>
          </w:rPr>
          <w:delText xml:space="preserve"> DMARD</w:delText>
        </w:r>
        <w:r w:rsidR="002544F8">
          <w:rPr>
            <w:sz w:val="22"/>
            <w:szCs w:val="22"/>
          </w:rPr>
          <w:delText>s</w:delText>
        </w:r>
        <w:r w:rsidR="00B07B6B" w:rsidRPr="009C5EFD">
          <w:rPr>
            <w:sz w:val="22"/>
            <w:szCs w:val="22"/>
          </w:rPr>
          <w:delText xml:space="preserve"> eller </w:delText>
        </w:r>
        <w:r w:rsidRPr="009C5EFD">
          <w:rPr>
            <w:sz w:val="22"/>
            <w:szCs w:val="22"/>
          </w:rPr>
          <w:delText>TNF-antagonister</w:delText>
        </w:r>
        <w:r w:rsidR="00D57009">
          <w:rPr>
            <w:sz w:val="22"/>
            <w:szCs w:val="22"/>
          </w:rPr>
          <w:delText>»</w:delText>
        </w:r>
        <w:r w:rsidRPr="009C5EFD">
          <w:rPr>
            <w:sz w:val="22"/>
            <w:szCs w:val="22"/>
          </w:rPr>
          <w:delText>).</w:delText>
        </w:r>
      </w:del>
    </w:p>
    <w:p w14:paraId="5E43FCEA" w14:textId="3ADAA816" w:rsidR="00DE3458" w:rsidRPr="009C5EFD" w:rsidRDefault="00DE3458">
      <w:pPr>
        <w:keepNext/>
        <w:suppressAutoHyphens/>
        <w:rPr>
          <w:del w:id="5295" w:author="AbbVie02no" w:date="2025-05-15T13:45:00Z"/>
          <w:szCs w:val="22"/>
        </w:rPr>
        <w:pPrChange w:id="5296" w:author="AbbVie02no" w:date="2025-05-15T13:45:00Z">
          <w:pPr>
            <w:pStyle w:val="EndnoteText"/>
            <w:widowControl/>
            <w:tabs>
              <w:tab w:val="clear" w:pos="567"/>
            </w:tabs>
            <w:autoSpaceDE w:val="0"/>
            <w:autoSpaceDN w:val="0"/>
            <w:adjustRightInd w:val="0"/>
          </w:pPr>
        </w:pPrChange>
      </w:pPr>
    </w:p>
    <w:p w14:paraId="714A7A5E" w14:textId="659BEAC6" w:rsidR="00DE3458" w:rsidRPr="009C5EFD" w:rsidRDefault="00E453CD">
      <w:pPr>
        <w:keepNext/>
        <w:suppressAutoHyphens/>
        <w:rPr>
          <w:del w:id="5297" w:author="AbbVie02no" w:date="2025-05-15T13:45:00Z"/>
          <w:sz w:val="22"/>
          <w:szCs w:val="22"/>
        </w:rPr>
        <w:pPrChange w:id="5298" w:author="AbbVie02no" w:date="2025-05-15T13:45:00Z">
          <w:pPr/>
        </w:pPrChange>
      </w:pPr>
      <w:del w:id="5299" w:author="AbbVie02no" w:date="2025-05-15T13:45:00Z">
        <w:r w:rsidRPr="009C5EFD">
          <w:rPr>
            <w:sz w:val="22"/>
            <w:szCs w:val="22"/>
          </w:rPr>
          <w:delText>Kombinasjonen av Humira og abatacept er ikke anbefalt (se pkt.</w:delText>
        </w:r>
        <w:r w:rsidR="008C0EB9" w:rsidRPr="009C5EFD">
          <w:rPr>
            <w:sz w:val="22"/>
            <w:szCs w:val="22"/>
          </w:rPr>
          <w:delText> 4.4</w:delText>
        </w:r>
        <w:r w:rsidRPr="009C5EFD">
          <w:rPr>
            <w:sz w:val="22"/>
            <w:szCs w:val="22"/>
          </w:rPr>
          <w:delText xml:space="preserve"> </w:delText>
        </w:r>
        <w:r w:rsidR="00D57009">
          <w:rPr>
            <w:sz w:val="22"/>
            <w:szCs w:val="22"/>
          </w:rPr>
          <w:delText>«</w:delText>
        </w:r>
        <w:r w:rsidRPr="009C5EFD">
          <w:rPr>
            <w:sz w:val="22"/>
            <w:szCs w:val="22"/>
          </w:rPr>
          <w:delText xml:space="preserve">Samtidig </w:delText>
        </w:r>
        <w:r w:rsidR="00462D2F">
          <w:rPr>
            <w:sz w:val="22"/>
            <w:szCs w:val="22"/>
          </w:rPr>
          <w:delText>bruk</w:delText>
        </w:r>
        <w:r w:rsidRPr="009C5EFD">
          <w:rPr>
            <w:sz w:val="22"/>
            <w:szCs w:val="22"/>
          </w:rPr>
          <w:delText xml:space="preserve"> av</w:delText>
        </w:r>
        <w:r w:rsidR="00B07B6B" w:rsidRPr="009C5EFD">
          <w:rPr>
            <w:sz w:val="22"/>
            <w:szCs w:val="22"/>
          </w:rPr>
          <w:delText xml:space="preserve"> biologisk</w:delText>
        </w:r>
        <w:r w:rsidR="00C40CB6">
          <w:rPr>
            <w:sz w:val="22"/>
            <w:szCs w:val="22"/>
          </w:rPr>
          <w:delText>e</w:delText>
        </w:r>
        <w:r w:rsidR="00B07B6B" w:rsidRPr="009C5EFD">
          <w:rPr>
            <w:sz w:val="22"/>
            <w:szCs w:val="22"/>
          </w:rPr>
          <w:delText xml:space="preserve"> DMARD</w:delText>
        </w:r>
        <w:r w:rsidR="002544F8">
          <w:rPr>
            <w:sz w:val="22"/>
            <w:szCs w:val="22"/>
          </w:rPr>
          <w:delText>s</w:delText>
        </w:r>
        <w:r w:rsidR="00B07B6B" w:rsidRPr="009C5EFD">
          <w:rPr>
            <w:sz w:val="22"/>
            <w:szCs w:val="22"/>
          </w:rPr>
          <w:delText xml:space="preserve"> eller</w:delText>
        </w:r>
        <w:r w:rsidRPr="009C5EFD">
          <w:rPr>
            <w:sz w:val="22"/>
            <w:szCs w:val="22"/>
          </w:rPr>
          <w:delText xml:space="preserve"> TNF-antagonister</w:delText>
        </w:r>
        <w:r w:rsidR="00D57009">
          <w:rPr>
            <w:sz w:val="22"/>
            <w:szCs w:val="22"/>
          </w:rPr>
          <w:delText>»</w:delText>
        </w:r>
        <w:r w:rsidRPr="009C5EFD">
          <w:rPr>
            <w:sz w:val="22"/>
            <w:szCs w:val="22"/>
          </w:rPr>
          <w:delText>).</w:delText>
        </w:r>
      </w:del>
    </w:p>
    <w:p w14:paraId="51454E6D" w14:textId="298AA870" w:rsidR="008957C9" w:rsidRPr="009C5EFD" w:rsidRDefault="008957C9">
      <w:pPr>
        <w:keepNext/>
        <w:suppressAutoHyphens/>
        <w:rPr>
          <w:del w:id="5300" w:author="AbbVie02no" w:date="2025-05-15T13:45:00Z"/>
          <w:sz w:val="22"/>
          <w:szCs w:val="22"/>
        </w:rPr>
        <w:pPrChange w:id="5301" w:author="AbbVie02no" w:date="2025-05-15T13:45:00Z">
          <w:pPr/>
        </w:pPrChange>
      </w:pPr>
    </w:p>
    <w:p w14:paraId="6ADE8330" w14:textId="641C3669" w:rsidR="00DE3458" w:rsidRPr="009C5EFD" w:rsidRDefault="00E453CD">
      <w:pPr>
        <w:keepNext/>
        <w:suppressAutoHyphens/>
        <w:rPr>
          <w:del w:id="5302" w:author="AbbVie02no" w:date="2025-05-15T13:45:00Z"/>
          <w:sz w:val="22"/>
          <w:szCs w:val="22"/>
        </w:rPr>
        <w:pPrChange w:id="5303" w:author="AbbVie02no" w:date="2025-05-15T13:45:00Z">
          <w:pPr>
            <w:keepNext/>
            <w:suppressAutoHyphens/>
            <w:ind w:left="576" w:hanging="576"/>
          </w:pPr>
        </w:pPrChange>
      </w:pPr>
      <w:del w:id="5304" w:author="AbbVie02no" w:date="2025-05-15T13:45:00Z">
        <w:r w:rsidRPr="009C5EFD">
          <w:rPr>
            <w:b/>
            <w:sz w:val="22"/>
            <w:szCs w:val="22"/>
          </w:rPr>
          <w:delText>4.6</w:delText>
        </w:r>
        <w:r w:rsidRPr="009C5EFD">
          <w:rPr>
            <w:b/>
            <w:sz w:val="22"/>
            <w:szCs w:val="22"/>
          </w:rPr>
          <w:tab/>
        </w:r>
        <w:r w:rsidR="00B07B6B" w:rsidRPr="009C5EFD">
          <w:rPr>
            <w:b/>
            <w:sz w:val="22"/>
            <w:szCs w:val="22"/>
          </w:rPr>
          <w:delText>Fertilitet, g</w:delText>
        </w:r>
        <w:r w:rsidRPr="009C5EFD">
          <w:rPr>
            <w:b/>
            <w:sz w:val="22"/>
            <w:szCs w:val="22"/>
          </w:rPr>
          <w:delText>raviditet og amming</w:delText>
        </w:r>
      </w:del>
    </w:p>
    <w:p w14:paraId="755BAF3C" w14:textId="29604598" w:rsidR="001A7CE5" w:rsidRPr="009C5EFD" w:rsidRDefault="001A7CE5">
      <w:pPr>
        <w:keepNext/>
        <w:suppressAutoHyphens/>
        <w:rPr>
          <w:del w:id="5305" w:author="AbbVie02no" w:date="2025-05-15T13:45:00Z"/>
          <w:sz w:val="22"/>
          <w:szCs w:val="22"/>
        </w:rPr>
        <w:pPrChange w:id="5306" w:author="AbbVie02no" w:date="2025-05-15T13:45:00Z">
          <w:pPr>
            <w:keepNext/>
          </w:pPr>
        </w:pPrChange>
      </w:pPr>
    </w:p>
    <w:p w14:paraId="595E9917" w14:textId="7D6CBF2B" w:rsidR="001A7CE5" w:rsidRPr="009C5EFD" w:rsidRDefault="00E453CD">
      <w:pPr>
        <w:keepNext/>
        <w:suppressAutoHyphens/>
        <w:rPr>
          <w:del w:id="5307" w:author="AbbVie02no" w:date="2025-05-15T13:45:00Z"/>
          <w:sz w:val="22"/>
          <w:szCs w:val="22"/>
        </w:rPr>
        <w:pPrChange w:id="5308" w:author="AbbVie02no" w:date="2025-05-15T13:45:00Z">
          <w:pPr>
            <w:keepNext/>
          </w:pPr>
        </w:pPrChange>
      </w:pPr>
      <w:del w:id="5309" w:author="AbbVie02no" w:date="2025-05-15T13:45:00Z">
        <w:r w:rsidRPr="009C5EFD">
          <w:rPr>
            <w:sz w:val="22"/>
            <w:szCs w:val="22"/>
            <w:u w:val="single"/>
          </w:rPr>
          <w:delText>Kvinner i fertil alder</w:delText>
        </w:r>
      </w:del>
    </w:p>
    <w:p w14:paraId="1D23F0C8" w14:textId="4FEED725" w:rsidR="001A7CE5" w:rsidRPr="009C5EFD" w:rsidRDefault="001A7CE5">
      <w:pPr>
        <w:keepNext/>
        <w:suppressAutoHyphens/>
        <w:rPr>
          <w:del w:id="5310" w:author="AbbVie02no" w:date="2025-05-15T13:45:00Z"/>
          <w:sz w:val="22"/>
          <w:szCs w:val="22"/>
        </w:rPr>
        <w:pPrChange w:id="5311" w:author="AbbVie02no" w:date="2025-05-15T13:45:00Z">
          <w:pPr>
            <w:keepNext/>
          </w:pPr>
        </w:pPrChange>
      </w:pPr>
    </w:p>
    <w:p w14:paraId="06D8F1F1" w14:textId="19E3A8CE" w:rsidR="001A7CE5" w:rsidRPr="009C5EFD" w:rsidRDefault="00E453CD">
      <w:pPr>
        <w:keepNext/>
        <w:suppressAutoHyphens/>
        <w:rPr>
          <w:del w:id="5312" w:author="AbbVie02no" w:date="2025-05-15T13:45:00Z"/>
          <w:sz w:val="22"/>
          <w:szCs w:val="22"/>
        </w:rPr>
        <w:pPrChange w:id="5313" w:author="AbbVie02no" w:date="2025-05-15T13:45:00Z">
          <w:pPr/>
        </w:pPrChange>
      </w:pPr>
      <w:del w:id="5314" w:author="AbbVie02no" w:date="2025-05-15T13:45:00Z">
        <w:r w:rsidRPr="009C5EFD">
          <w:rPr>
            <w:sz w:val="22"/>
            <w:szCs w:val="22"/>
          </w:rPr>
          <w:delText xml:space="preserve">Kvinner i fertil alder </w:delText>
        </w:r>
        <w:r w:rsidR="00552339">
          <w:rPr>
            <w:sz w:val="22"/>
            <w:szCs w:val="22"/>
          </w:rPr>
          <w:delText>bør vurdere</w:delText>
        </w:r>
        <w:r w:rsidRPr="009C5EFD">
          <w:rPr>
            <w:sz w:val="22"/>
            <w:szCs w:val="22"/>
          </w:rPr>
          <w:delText xml:space="preserve"> å benytte sikker prevensjon for å forhindre graviditet og fortsette å bruke det i minst fem måneder etter siste Humira-behandling.</w:delText>
        </w:r>
      </w:del>
    </w:p>
    <w:p w14:paraId="4BC65064" w14:textId="4DCFB92E" w:rsidR="001A7CE5" w:rsidRPr="009C5EFD" w:rsidRDefault="001A7CE5">
      <w:pPr>
        <w:keepNext/>
        <w:suppressAutoHyphens/>
        <w:rPr>
          <w:del w:id="5315" w:author="AbbVie02no" w:date="2025-05-15T13:45:00Z"/>
          <w:sz w:val="22"/>
          <w:u w:val="single"/>
        </w:rPr>
        <w:pPrChange w:id="5316" w:author="AbbVie02no" w:date="2025-05-15T13:45:00Z">
          <w:pPr/>
        </w:pPrChange>
      </w:pPr>
    </w:p>
    <w:p w14:paraId="1206DBC1" w14:textId="5DC430A3" w:rsidR="00AC577C" w:rsidRPr="009C5EFD" w:rsidRDefault="00E453CD">
      <w:pPr>
        <w:keepNext/>
        <w:suppressAutoHyphens/>
        <w:rPr>
          <w:del w:id="5317" w:author="AbbVie02no" w:date="2025-05-15T13:45:00Z"/>
          <w:sz w:val="22"/>
          <w:u w:val="single"/>
        </w:rPr>
        <w:pPrChange w:id="5318" w:author="AbbVie02no" w:date="2025-05-15T13:45:00Z">
          <w:pPr>
            <w:keepNext/>
          </w:pPr>
        </w:pPrChange>
      </w:pPr>
      <w:del w:id="5319" w:author="AbbVie02no" w:date="2025-05-15T13:45:00Z">
        <w:r w:rsidRPr="009C5EFD">
          <w:rPr>
            <w:sz w:val="22"/>
            <w:u w:val="single"/>
          </w:rPr>
          <w:delText>Graviditet</w:delText>
        </w:r>
      </w:del>
    </w:p>
    <w:p w14:paraId="2C294345" w14:textId="4A8AD2B4" w:rsidR="00AC577C" w:rsidRPr="009C5EFD" w:rsidRDefault="00AC577C">
      <w:pPr>
        <w:keepNext/>
        <w:suppressAutoHyphens/>
        <w:rPr>
          <w:del w:id="5320" w:author="AbbVie02no" w:date="2025-05-15T13:45:00Z"/>
          <w:sz w:val="22"/>
        </w:rPr>
        <w:pPrChange w:id="5321" w:author="AbbVie02no" w:date="2025-05-15T13:45:00Z">
          <w:pPr>
            <w:keepNext/>
          </w:pPr>
        </w:pPrChange>
      </w:pPr>
    </w:p>
    <w:p w14:paraId="460684D5" w14:textId="736F59B1" w:rsidR="00552339" w:rsidRPr="009C5EFD" w:rsidRDefault="00E453CD">
      <w:pPr>
        <w:keepNext/>
        <w:suppressAutoHyphens/>
        <w:rPr>
          <w:del w:id="5322" w:author="AbbVie02no" w:date="2025-05-15T13:45:00Z"/>
          <w:sz w:val="22"/>
          <w:szCs w:val="22"/>
        </w:rPr>
        <w:pPrChange w:id="5323" w:author="AbbVie02no" w:date="2025-05-15T13:45:00Z">
          <w:pPr/>
        </w:pPrChange>
      </w:pPr>
      <w:del w:id="5324" w:author="AbbVie02no" w:date="2025-05-15T13:45:00Z">
        <w:r>
          <w:rPr>
            <w:sz w:val="22"/>
            <w:szCs w:val="22"/>
          </w:rPr>
          <w:delText>Et stort antall (omtrent 2100) av prospektivt innsamlede graviditeter eksponert for adalimumab som resulterte i levende fødsel med kjent utfall, inkludert mer enn 1500 eksponert i første trimester, indikerer ikke en økning i forekomsten av misdannelser hos nyfødte.</w:delText>
        </w:r>
      </w:del>
    </w:p>
    <w:p w14:paraId="0322C642" w14:textId="11D0D24A" w:rsidR="00552339" w:rsidRDefault="00552339">
      <w:pPr>
        <w:keepNext/>
        <w:suppressAutoHyphens/>
        <w:rPr>
          <w:del w:id="5325" w:author="AbbVie02no" w:date="2025-05-15T13:45:00Z"/>
          <w:sz w:val="22"/>
          <w:szCs w:val="22"/>
        </w:rPr>
        <w:pPrChange w:id="5326" w:author="AbbVie02no" w:date="2025-05-15T13:45:00Z">
          <w:pPr/>
        </w:pPrChange>
      </w:pPr>
    </w:p>
    <w:p w14:paraId="681C9483" w14:textId="23A84A9C" w:rsidR="00C31262" w:rsidRPr="009C5EFD" w:rsidRDefault="00E453CD">
      <w:pPr>
        <w:keepNext/>
        <w:suppressAutoHyphens/>
        <w:rPr>
          <w:del w:id="5327" w:author="AbbVie02no" w:date="2025-05-15T13:45:00Z"/>
          <w:sz w:val="22"/>
          <w:szCs w:val="22"/>
        </w:rPr>
        <w:pPrChange w:id="5328" w:author="AbbVie02no" w:date="2025-05-15T13:45:00Z">
          <w:pPr/>
        </w:pPrChange>
      </w:pPr>
      <w:del w:id="5329" w:author="AbbVie02no" w:date="2025-05-15T13:45:00Z">
        <w:r>
          <w:rPr>
            <w:sz w:val="22"/>
            <w:szCs w:val="22"/>
          </w:rPr>
          <w:delText xml:space="preserve">I en prospektiv kohort registerstudie, ble det inkludert 257 kvinner med revmatoid artritt (RA) eller Crohns sykdom (CD) behandlet med adalimumab i minimum første trimester og 120 kvinner med RA eller CD som ikke var behandlet med adalimumab. Det primære endepunktet var prevalensen av alvorlig fødselsdefekt. Forekomsten av graviditeter med minst en levende nyfødt med alvorlig </w:delText>
        </w:r>
        <w:r>
          <w:rPr>
            <w:sz w:val="22"/>
            <w:szCs w:val="22"/>
          </w:rPr>
          <w:lastRenderedPageBreak/>
          <w:delText>fødselsdefekt var 6/69 (8,7 %) hos kvinner med RA behandlet med adalimumab og 5/74 (6,8 %) hos ubehandlede kvinner med RA (ikke</w:delText>
        </w:r>
        <w:r>
          <w:rPr>
            <w:sz w:val="22"/>
            <w:szCs w:val="22"/>
          </w:rPr>
          <w:noBreakHyphen/>
          <w:delText>justert OR 1,</w:delText>
        </w:r>
        <w:r w:rsidRPr="00B2265A">
          <w:rPr>
            <w:sz w:val="22"/>
            <w:szCs w:val="22"/>
          </w:rPr>
          <w:delText>31, 95</w:delText>
        </w:r>
        <w:r>
          <w:rPr>
            <w:sz w:val="22"/>
            <w:szCs w:val="22"/>
          </w:rPr>
          <w:delText> % KI 0,38</w:delText>
        </w:r>
        <w:r>
          <w:rPr>
            <w:sz w:val="22"/>
            <w:szCs w:val="22"/>
          </w:rPr>
          <w:noBreakHyphen/>
          <w:delText>4,</w:delText>
        </w:r>
        <w:r w:rsidRPr="00B2265A">
          <w:rPr>
            <w:sz w:val="22"/>
            <w:szCs w:val="22"/>
          </w:rPr>
          <w:delText>52)</w:delText>
        </w:r>
        <w:r>
          <w:rPr>
            <w:sz w:val="22"/>
            <w:szCs w:val="22"/>
          </w:rPr>
          <w:delText xml:space="preserve"> og</w:delText>
        </w:r>
        <w:r w:rsidRPr="00B2265A">
          <w:rPr>
            <w:sz w:val="22"/>
            <w:szCs w:val="22"/>
          </w:rPr>
          <w:delText xml:space="preserve"> </w:delText>
        </w:r>
        <w:r>
          <w:rPr>
            <w:sz w:val="22"/>
            <w:szCs w:val="22"/>
          </w:rPr>
          <w:delText>16/152 (10,5 %) hos kvinner med CD behandlet med adalimumab og 3/32 (9,4 %) hos ubehandlede kvinner med CD (ikke</w:delText>
        </w:r>
        <w:r>
          <w:rPr>
            <w:sz w:val="22"/>
            <w:szCs w:val="22"/>
          </w:rPr>
          <w:noBreakHyphen/>
          <w:delText>justert OR</w:delText>
        </w:r>
        <w:r w:rsidRPr="00B2265A">
          <w:rPr>
            <w:sz w:val="22"/>
            <w:szCs w:val="22"/>
          </w:rPr>
          <w:delText xml:space="preserve"> 1</w:delText>
        </w:r>
        <w:r>
          <w:rPr>
            <w:sz w:val="22"/>
            <w:szCs w:val="22"/>
          </w:rPr>
          <w:delText>,</w:delText>
        </w:r>
        <w:r w:rsidRPr="00B2265A">
          <w:rPr>
            <w:sz w:val="22"/>
            <w:szCs w:val="22"/>
          </w:rPr>
          <w:delText>14, 95</w:delText>
        </w:r>
        <w:r>
          <w:rPr>
            <w:sz w:val="22"/>
            <w:szCs w:val="22"/>
          </w:rPr>
          <w:delText> </w:delText>
        </w:r>
        <w:r w:rsidRPr="00B2265A">
          <w:rPr>
            <w:sz w:val="22"/>
            <w:szCs w:val="22"/>
          </w:rPr>
          <w:delText xml:space="preserve">% </w:delText>
        </w:r>
        <w:r>
          <w:rPr>
            <w:sz w:val="22"/>
            <w:szCs w:val="22"/>
          </w:rPr>
          <w:delText>K</w:delText>
        </w:r>
        <w:r w:rsidRPr="00B2265A">
          <w:rPr>
            <w:sz w:val="22"/>
            <w:szCs w:val="22"/>
          </w:rPr>
          <w:delText>I 0</w:delText>
        </w:r>
        <w:r>
          <w:rPr>
            <w:sz w:val="22"/>
            <w:szCs w:val="22"/>
          </w:rPr>
          <w:delText>,</w:delText>
        </w:r>
        <w:r w:rsidRPr="00B2265A">
          <w:rPr>
            <w:sz w:val="22"/>
            <w:szCs w:val="22"/>
          </w:rPr>
          <w:delText>31</w:delText>
        </w:r>
        <w:r>
          <w:rPr>
            <w:sz w:val="22"/>
            <w:szCs w:val="22"/>
          </w:rPr>
          <w:noBreakHyphen/>
        </w:r>
        <w:r w:rsidRPr="00B2265A">
          <w:rPr>
            <w:sz w:val="22"/>
            <w:szCs w:val="22"/>
          </w:rPr>
          <w:delText>4</w:delText>
        </w:r>
        <w:r>
          <w:rPr>
            <w:sz w:val="22"/>
            <w:szCs w:val="22"/>
          </w:rPr>
          <w:delText>,</w:delText>
        </w:r>
        <w:r w:rsidRPr="00B2265A">
          <w:rPr>
            <w:sz w:val="22"/>
            <w:szCs w:val="22"/>
          </w:rPr>
          <w:delText>16).</w:delText>
        </w:r>
        <w:r>
          <w:rPr>
            <w:sz w:val="22"/>
            <w:szCs w:val="22"/>
          </w:rPr>
          <w:delText xml:space="preserve"> Den justerte OR (tatt hensyn til forskjeller ved baseline) var </w:delText>
        </w:r>
        <w:r w:rsidRPr="00A63CE3">
          <w:rPr>
            <w:sz w:val="22"/>
            <w:szCs w:val="22"/>
          </w:rPr>
          <w:delText>1</w:delText>
        </w:r>
        <w:r>
          <w:rPr>
            <w:sz w:val="22"/>
            <w:szCs w:val="22"/>
          </w:rPr>
          <w:delText>,</w:delText>
        </w:r>
        <w:r w:rsidRPr="00A63CE3">
          <w:rPr>
            <w:sz w:val="22"/>
            <w:szCs w:val="22"/>
          </w:rPr>
          <w:delText>10 (95</w:delText>
        </w:r>
        <w:r>
          <w:rPr>
            <w:sz w:val="22"/>
            <w:szCs w:val="22"/>
          </w:rPr>
          <w:delText> </w:delText>
        </w:r>
        <w:r w:rsidRPr="00A63CE3">
          <w:rPr>
            <w:sz w:val="22"/>
            <w:szCs w:val="22"/>
          </w:rPr>
          <w:delText xml:space="preserve">% </w:delText>
        </w:r>
        <w:r>
          <w:rPr>
            <w:sz w:val="22"/>
            <w:szCs w:val="22"/>
          </w:rPr>
          <w:delText>KI 0,45</w:delText>
        </w:r>
        <w:r>
          <w:rPr>
            <w:sz w:val="22"/>
            <w:szCs w:val="22"/>
          </w:rPr>
          <w:noBreakHyphen/>
        </w:r>
        <w:r w:rsidRPr="00A63CE3">
          <w:rPr>
            <w:sz w:val="22"/>
            <w:szCs w:val="22"/>
          </w:rPr>
          <w:delText>2</w:delText>
        </w:r>
        <w:r>
          <w:rPr>
            <w:sz w:val="22"/>
            <w:szCs w:val="22"/>
          </w:rPr>
          <w:delText>,</w:delText>
        </w:r>
        <w:r w:rsidRPr="00A63CE3">
          <w:rPr>
            <w:sz w:val="22"/>
            <w:szCs w:val="22"/>
          </w:rPr>
          <w:delText>73)</w:delText>
        </w:r>
        <w:r>
          <w:rPr>
            <w:sz w:val="22"/>
            <w:szCs w:val="22"/>
          </w:rPr>
          <w:delText xml:space="preserve"> ved kombinasjon av RA og CD. Det var ingen distinkte forskjeller mellom adalimumab-behandlede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ikke-randomisert design.</w:delText>
        </w:r>
      </w:del>
    </w:p>
    <w:p w14:paraId="2B7A4AD2" w14:textId="0A43030A" w:rsidR="00085BDB" w:rsidRPr="009C5EFD" w:rsidRDefault="00085BDB">
      <w:pPr>
        <w:keepNext/>
        <w:suppressAutoHyphens/>
        <w:rPr>
          <w:del w:id="5330" w:author="AbbVie02no" w:date="2025-05-15T13:45:00Z"/>
          <w:sz w:val="22"/>
          <w:szCs w:val="22"/>
        </w:rPr>
        <w:pPrChange w:id="5331" w:author="AbbVie02no" w:date="2025-05-15T13:45:00Z">
          <w:pPr/>
        </w:pPrChange>
      </w:pPr>
    </w:p>
    <w:p w14:paraId="0D9533FB" w14:textId="4DD94130" w:rsidR="00085BDB" w:rsidRPr="009C5EFD" w:rsidRDefault="00E453CD">
      <w:pPr>
        <w:keepNext/>
        <w:suppressAutoHyphens/>
        <w:rPr>
          <w:del w:id="5332" w:author="AbbVie02no" w:date="2025-05-15T13:45:00Z"/>
          <w:sz w:val="22"/>
          <w:szCs w:val="22"/>
        </w:rPr>
        <w:pPrChange w:id="5333" w:author="AbbVie02no" w:date="2025-05-15T13:45:00Z">
          <w:pPr/>
        </w:pPrChange>
      </w:pPr>
      <w:del w:id="5334" w:author="AbbVie02no" w:date="2025-05-15T13:45:00Z">
        <w:r w:rsidRPr="009C5EFD">
          <w:rPr>
            <w:sz w:val="22"/>
            <w:szCs w:val="22"/>
          </w:rPr>
          <w:delText xml:space="preserve">I en toksisitetsstudie av fosterutvikling hos aper var det ingen indikasjon på </w:delText>
        </w:r>
        <w:r w:rsidR="003D3915" w:rsidRPr="009C5EFD">
          <w:rPr>
            <w:sz w:val="22"/>
            <w:szCs w:val="22"/>
          </w:rPr>
          <w:delText xml:space="preserve">maternell </w:delText>
        </w:r>
        <w:r w:rsidRPr="009C5EFD">
          <w:rPr>
            <w:sz w:val="22"/>
            <w:szCs w:val="22"/>
          </w:rPr>
          <w:delText>toksisitet, embryotoksisitet eller teratogenisitet. Prekliniske data vedrørende postnatal toksisitet på grunn av adalimumab er ikke tilgjengelige (se pkt. 5.3).</w:delText>
        </w:r>
      </w:del>
    </w:p>
    <w:p w14:paraId="2FF7E7EC" w14:textId="22A6B218" w:rsidR="00085BDB" w:rsidRPr="009C5EFD" w:rsidRDefault="00085BDB">
      <w:pPr>
        <w:keepNext/>
        <w:suppressAutoHyphens/>
        <w:rPr>
          <w:del w:id="5335" w:author="AbbVie02no" w:date="2025-05-15T13:45:00Z"/>
          <w:b/>
          <w:sz w:val="22"/>
          <w:szCs w:val="22"/>
        </w:rPr>
        <w:pPrChange w:id="5336" w:author="AbbVie02no" w:date="2025-05-15T13:45:00Z">
          <w:pPr/>
        </w:pPrChange>
      </w:pPr>
    </w:p>
    <w:p w14:paraId="54890400" w14:textId="48D2FF6D" w:rsidR="00103041" w:rsidRDefault="00E453CD">
      <w:pPr>
        <w:keepNext/>
        <w:suppressAutoHyphens/>
        <w:rPr>
          <w:del w:id="5337" w:author="AbbVie02no" w:date="2025-05-15T13:45:00Z"/>
          <w:sz w:val="22"/>
          <w:szCs w:val="22"/>
        </w:rPr>
        <w:pPrChange w:id="5338" w:author="AbbVie02no" w:date="2025-05-15T13:45:00Z">
          <w:pPr/>
        </w:pPrChange>
      </w:pPr>
      <w:del w:id="5339" w:author="AbbVie02no" w:date="2025-05-15T13:45:00Z">
        <w:r w:rsidRPr="009C5EFD">
          <w:rPr>
            <w:sz w:val="22"/>
            <w:szCs w:val="22"/>
          </w:rPr>
          <w:delText xml:space="preserve">På grunn av hemming av TNFα kan adalimumab som gis i løpet av </w:delText>
        </w:r>
        <w:r w:rsidR="003D3915" w:rsidRPr="009C5EFD">
          <w:rPr>
            <w:sz w:val="22"/>
            <w:szCs w:val="22"/>
          </w:rPr>
          <w:delText xml:space="preserve">graviditeten </w:delText>
        </w:r>
        <w:r w:rsidRPr="009C5EFD">
          <w:rPr>
            <w:sz w:val="22"/>
            <w:szCs w:val="22"/>
          </w:rPr>
          <w:delText xml:space="preserve">påvirke den normale immunresponsen hos nyfødte. </w:delText>
        </w:r>
        <w:r w:rsidR="00A81956">
          <w:rPr>
            <w:sz w:val="22"/>
            <w:szCs w:val="22"/>
          </w:rPr>
          <w:delText>Adalimumab skal kun brukes under graviditet dersom det er helt nødvendig.</w:delText>
        </w:r>
      </w:del>
    </w:p>
    <w:p w14:paraId="276B67D7" w14:textId="619DC52C" w:rsidR="00085BDB" w:rsidRPr="009C5EFD" w:rsidRDefault="00085BDB">
      <w:pPr>
        <w:keepNext/>
        <w:suppressAutoHyphens/>
        <w:rPr>
          <w:del w:id="5340" w:author="AbbVie02no" w:date="2025-05-15T13:45:00Z"/>
          <w:sz w:val="22"/>
          <w:szCs w:val="22"/>
        </w:rPr>
        <w:pPrChange w:id="5341" w:author="AbbVie02no" w:date="2025-05-15T13:45:00Z">
          <w:pPr/>
        </w:pPrChange>
      </w:pPr>
    </w:p>
    <w:p w14:paraId="5E7B75E6" w14:textId="5FFF4F7D" w:rsidR="00AC577C" w:rsidRPr="009C5EFD" w:rsidRDefault="00E453CD">
      <w:pPr>
        <w:keepNext/>
        <w:suppressAutoHyphens/>
        <w:rPr>
          <w:del w:id="5342" w:author="AbbVie02no" w:date="2025-05-15T13:45:00Z"/>
          <w:sz w:val="22"/>
        </w:rPr>
        <w:pPrChange w:id="5343" w:author="AbbVie02no" w:date="2025-05-15T13:45:00Z">
          <w:pPr/>
        </w:pPrChange>
      </w:pPr>
      <w:del w:id="5344" w:author="AbbVie02no" w:date="2025-05-15T13:45:00Z">
        <w:r w:rsidRPr="009C5EFD">
          <w:rPr>
            <w:sz w:val="22"/>
          </w:rPr>
          <w:delText xml:space="preserve">Adalimumab kan </w:delText>
        </w:r>
        <w:r w:rsidR="00CA01DF">
          <w:rPr>
            <w:sz w:val="22"/>
          </w:rPr>
          <w:delText>passere</w:delText>
        </w:r>
        <w:r w:rsidRPr="009C5EFD">
          <w:rPr>
            <w:sz w:val="22"/>
          </w:rPr>
          <w:delText xml:space="preserve"> placenta og </w:delText>
        </w:r>
        <w:r w:rsidR="00CA01DF">
          <w:rPr>
            <w:sz w:val="22"/>
          </w:rPr>
          <w:delText>over</w:delText>
        </w:r>
        <w:r w:rsidRPr="009C5EFD">
          <w:rPr>
            <w:sz w:val="22"/>
          </w:rPr>
          <w:delText xml:space="preserve"> i serumet hos spedbarn født av kvinner behandlet med adalimumab under graviditet. Som konsekvens kan slike spedbarn ha høyere risiko for infeksjon. Administrasjon av levende vaksiner </w:delText>
        </w:r>
        <w:r w:rsidR="00A81956" w:rsidRPr="004849ED">
          <w:rPr>
            <w:sz w:val="22"/>
            <w:szCs w:val="22"/>
          </w:rPr>
          <w:delText>(f.eks. BCG vaksine)</w:delText>
        </w:r>
        <w:r w:rsidR="00A81956">
          <w:rPr>
            <w:sz w:val="22"/>
            <w:szCs w:val="22"/>
          </w:rPr>
          <w:delText xml:space="preserve"> </w:delText>
        </w:r>
        <w:r w:rsidRPr="009C5EFD">
          <w:rPr>
            <w:sz w:val="22"/>
          </w:rPr>
          <w:delText>på spedbarn eksponert for adalimumab intrauterint anbefales ikke før 5 måneder etter morens siste injeksjon med adalimumab under graviditeten.</w:delText>
        </w:r>
      </w:del>
    </w:p>
    <w:p w14:paraId="4166EDBE" w14:textId="609963BF" w:rsidR="00A12610" w:rsidRPr="009C5EFD" w:rsidRDefault="00A12610">
      <w:pPr>
        <w:keepNext/>
        <w:suppressAutoHyphens/>
        <w:rPr>
          <w:del w:id="5345" w:author="AbbVie02no" w:date="2025-05-15T13:45:00Z"/>
          <w:sz w:val="22"/>
          <w:u w:val="single"/>
        </w:rPr>
        <w:pPrChange w:id="5346" w:author="AbbVie02no" w:date="2025-05-15T13:45:00Z">
          <w:pPr/>
        </w:pPrChange>
      </w:pPr>
    </w:p>
    <w:p w14:paraId="24BB6F29" w14:textId="17375500" w:rsidR="00AC577C" w:rsidRPr="009C5EFD" w:rsidRDefault="00E453CD">
      <w:pPr>
        <w:keepNext/>
        <w:suppressAutoHyphens/>
        <w:rPr>
          <w:del w:id="5347" w:author="AbbVie02no" w:date="2025-05-15T13:45:00Z"/>
          <w:sz w:val="22"/>
          <w:u w:val="single"/>
        </w:rPr>
        <w:pPrChange w:id="5348" w:author="AbbVie02no" w:date="2025-05-15T13:45:00Z">
          <w:pPr>
            <w:keepNext/>
          </w:pPr>
        </w:pPrChange>
      </w:pPr>
      <w:del w:id="5349" w:author="AbbVie02no" w:date="2025-05-15T13:45:00Z">
        <w:r w:rsidRPr="009C5EFD">
          <w:rPr>
            <w:sz w:val="22"/>
            <w:u w:val="single"/>
          </w:rPr>
          <w:delText>Amming</w:delText>
        </w:r>
      </w:del>
    </w:p>
    <w:p w14:paraId="45A44944" w14:textId="40C49F44" w:rsidR="00085BDB" w:rsidRPr="009C5EFD" w:rsidRDefault="00085BDB">
      <w:pPr>
        <w:keepNext/>
        <w:suppressAutoHyphens/>
        <w:rPr>
          <w:del w:id="5350" w:author="AbbVie02no" w:date="2025-05-15T13:45:00Z"/>
          <w:sz w:val="22"/>
        </w:rPr>
        <w:pPrChange w:id="5351" w:author="AbbVie02no" w:date="2025-05-15T13:45:00Z">
          <w:pPr>
            <w:keepNext/>
          </w:pPr>
        </w:pPrChange>
      </w:pPr>
    </w:p>
    <w:p w14:paraId="4A9B9995" w14:textId="217E8F2F" w:rsidR="001529FD" w:rsidRPr="009C5EFD" w:rsidRDefault="00E453CD">
      <w:pPr>
        <w:keepNext/>
        <w:suppressAutoHyphens/>
        <w:rPr>
          <w:del w:id="5352" w:author="AbbVie02no" w:date="2025-05-15T13:45:00Z"/>
          <w:sz w:val="22"/>
          <w:szCs w:val="22"/>
        </w:rPr>
        <w:pPrChange w:id="5353" w:author="AbbVie02no" w:date="2025-05-15T13:45:00Z">
          <w:pPr/>
        </w:pPrChange>
      </w:pPr>
      <w:del w:id="5354" w:author="AbbVie02no" w:date="2025-05-15T13:45:00Z">
        <w:r>
          <w:rPr>
            <w:sz w:val="22"/>
            <w:szCs w:val="22"/>
          </w:rPr>
          <w:delText>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og har dårlig biotilgjengelighet. Det forventes ingen effekter på den nyfødte/spedbarn som ammes. Humira kan derfor benyttes ved</w:delText>
        </w:r>
        <w:r w:rsidR="00C31262">
          <w:rPr>
            <w:sz w:val="22"/>
            <w:szCs w:val="22"/>
          </w:rPr>
          <w:delText xml:space="preserve"> amming.</w:delText>
        </w:r>
      </w:del>
    </w:p>
    <w:p w14:paraId="4E5FC7D6" w14:textId="0F47C171" w:rsidR="00C31262" w:rsidRDefault="00C31262">
      <w:pPr>
        <w:keepNext/>
        <w:suppressAutoHyphens/>
        <w:rPr>
          <w:del w:id="5355" w:author="AbbVie02no" w:date="2025-05-15T13:45:00Z"/>
          <w:sz w:val="22"/>
          <w:szCs w:val="22"/>
          <w:u w:val="single"/>
        </w:rPr>
        <w:pPrChange w:id="5356" w:author="AbbVie02no" w:date="2025-05-15T13:45:00Z">
          <w:pPr/>
        </w:pPrChange>
      </w:pPr>
    </w:p>
    <w:p w14:paraId="4B824D5C" w14:textId="522936B3" w:rsidR="001529FD" w:rsidRPr="009C5EFD" w:rsidRDefault="00E453CD">
      <w:pPr>
        <w:keepNext/>
        <w:suppressAutoHyphens/>
        <w:rPr>
          <w:del w:id="5357" w:author="AbbVie02no" w:date="2025-05-15T13:45:00Z"/>
          <w:sz w:val="22"/>
          <w:szCs w:val="22"/>
        </w:rPr>
        <w:pPrChange w:id="5358" w:author="AbbVie02no" w:date="2025-05-15T13:45:00Z">
          <w:pPr>
            <w:keepNext/>
          </w:pPr>
        </w:pPrChange>
      </w:pPr>
      <w:del w:id="5359" w:author="AbbVie02no" w:date="2025-05-15T13:45:00Z">
        <w:r w:rsidRPr="009C5EFD">
          <w:rPr>
            <w:sz w:val="22"/>
            <w:szCs w:val="22"/>
            <w:u w:val="single"/>
          </w:rPr>
          <w:delText>Fertilitet</w:delText>
        </w:r>
      </w:del>
    </w:p>
    <w:p w14:paraId="60DE9C7C" w14:textId="122442C7" w:rsidR="001529FD" w:rsidRPr="009C5EFD" w:rsidRDefault="001529FD">
      <w:pPr>
        <w:keepNext/>
        <w:suppressAutoHyphens/>
        <w:rPr>
          <w:del w:id="5360" w:author="AbbVie02no" w:date="2025-05-15T13:45:00Z"/>
          <w:sz w:val="22"/>
          <w:szCs w:val="22"/>
        </w:rPr>
        <w:pPrChange w:id="5361" w:author="AbbVie02no" w:date="2025-05-15T13:45:00Z">
          <w:pPr>
            <w:keepNext/>
          </w:pPr>
        </w:pPrChange>
      </w:pPr>
    </w:p>
    <w:p w14:paraId="5726279F" w14:textId="58F9E416" w:rsidR="001529FD" w:rsidRPr="009C5EFD" w:rsidRDefault="00E453CD">
      <w:pPr>
        <w:keepNext/>
        <w:suppressAutoHyphens/>
        <w:rPr>
          <w:del w:id="5362" w:author="AbbVie02no" w:date="2025-05-15T13:45:00Z"/>
          <w:sz w:val="22"/>
          <w:szCs w:val="22"/>
        </w:rPr>
        <w:pPrChange w:id="5363" w:author="AbbVie02no" w:date="2025-05-15T13:45:00Z">
          <w:pPr/>
        </w:pPrChange>
      </w:pPr>
      <w:del w:id="5364" w:author="AbbVie02no" w:date="2025-05-15T13:45:00Z">
        <w:r w:rsidRPr="009C5EFD">
          <w:rPr>
            <w:sz w:val="22"/>
            <w:szCs w:val="22"/>
          </w:rPr>
          <w:delText xml:space="preserve">Prekliniske data vedrørende </w:delText>
        </w:r>
        <w:r w:rsidR="003D3915" w:rsidRPr="009C5EFD">
          <w:rPr>
            <w:sz w:val="22"/>
            <w:szCs w:val="22"/>
          </w:rPr>
          <w:delText xml:space="preserve">påvirkning på </w:delText>
        </w:r>
        <w:r w:rsidRPr="009C5EFD">
          <w:rPr>
            <w:sz w:val="22"/>
            <w:szCs w:val="22"/>
          </w:rPr>
          <w:delText>fertilitet av adalimumab er ikke tilgjengelig.</w:delText>
        </w:r>
      </w:del>
    </w:p>
    <w:p w14:paraId="6DCAF226" w14:textId="05B012A3" w:rsidR="006763B9" w:rsidRPr="001F5D4B" w:rsidRDefault="006763B9">
      <w:pPr>
        <w:keepNext/>
        <w:suppressAutoHyphens/>
        <w:rPr>
          <w:del w:id="5365" w:author="AbbVie02no" w:date="2025-05-15T13:45:00Z"/>
          <w:sz w:val="22"/>
          <w:szCs w:val="22"/>
        </w:rPr>
        <w:pPrChange w:id="5366" w:author="AbbVie02no" w:date="2025-05-15T13:45:00Z">
          <w:pPr/>
        </w:pPrChange>
      </w:pPr>
    </w:p>
    <w:p w14:paraId="1DB89185" w14:textId="419A6FBB" w:rsidR="00DE3458" w:rsidRPr="002D0790" w:rsidRDefault="00E453CD">
      <w:pPr>
        <w:keepNext/>
        <w:suppressAutoHyphens/>
        <w:rPr>
          <w:del w:id="5367" w:author="AbbVie02no" w:date="2025-05-15T13:45:00Z"/>
          <w:sz w:val="22"/>
          <w:szCs w:val="22"/>
        </w:rPr>
        <w:pPrChange w:id="5368" w:author="AbbVie02no" w:date="2025-05-15T13:45:00Z">
          <w:pPr>
            <w:keepNext/>
            <w:suppressAutoHyphens/>
            <w:ind w:left="570" w:hanging="570"/>
          </w:pPr>
        </w:pPrChange>
      </w:pPr>
      <w:del w:id="5369" w:author="AbbVie02no" w:date="2025-05-15T13:45:00Z">
        <w:r w:rsidRPr="007F67EE">
          <w:rPr>
            <w:b/>
            <w:sz w:val="22"/>
            <w:szCs w:val="22"/>
          </w:rPr>
          <w:delText>4.7</w:delText>
        </w:r>
        <w:r w:rsidRPr="007F67EE">
          <w:rPr>
            <w:b/>
            <w:sz w:val="22"/>
            <w:szCs w:val="22"/>
          </w:rPr>
          <w:tab/>
          <w:delText xml:space="preserve">Påvirkning av evnen til å kjøre bil </w:delText>
        </w:r>
        <w:r w:rsidR="004A62A3" w:rsidRPr="00193D76">
          <w:rPr>
            <w:b/>
            <w:sz w:val="22"/>
            <w:szCs w:val="22"/>
          </w:rPr>
          <w:delText xml:space="preserve">og </w:delText>
        </w:r>
        <w:r w:rsidRPr="002D0790">
          <w:rPr>
            <w:b/>
            <w:sz w:val="22"/>
            <w:szCs w:val="22"/>
          </w:rPr>
          <w:delText>bruke maskiner</w:delText>
        </w:r>
      </w:del>
    </w:p>
    <w:p w14:paraId="4CB35C94" w14:textId="5CBD2D3A" w:rsidR="00DE3458" w:rsidRPr="00E14E58" w:rsidRDefault="00DE3458">
      <w:pPr>
        <w:keepNext/>
        <w:suppressAutoHyphens/>
        <w:rPr>
          <w:del w:id="5370" w:author="AbbVie02no" w:date="2025-05-15T13:45:00Z"/>
          <w:sz w:val="22"/>
          <w:szCs w:val="22"/>
        </w:rPr>
        <w:pPrChange w:id="5371" w:author="AbbVie02no" w:date="2025-05-15T13:45:00Z">
          <w:pPr>
            <w:keepNext/>
          </w:pPr>
        </w:pPrChange>
      </w:pPr>
    </w:p>
    <w:p w14:paraId="17F37BA0" w14:textId="09F2B570" w:rsidR="00DE3458" w:rsidRPr="009C5EFD" w:rsidRDefault="00E453CD">
      <w:pPr>
        <w:keepNext/>
        <w:suppressAutoHyphens/>
        <w:rPr>
          <w:del w:id="5372" w:author="AbbVie02no" w:date="2025-05-15T13:45:00Z"/>
          <w:sz w:val="22"/>
          <w:szCs w:val="22"/>
        </w:rPr>
        <w:pPrChange w:id="5373" w:author="AbbVie02no" w:date="2025-05-15T13:45:00Z">
          <w:pPr/>
        </w:pPrChange>
      </w:pPr>
      <w:del w:id="5374" w:author="AbbVie02no" w:date="2025-05-15T13:45:00Z">
        <w:r w:rsidRPr="009C5EFD">
          <w:rPr>
            <w:sz w:val="22"/>
            <w:szCs w:val="22"/>
          </w:rPr>
          <w:delText xml:space="preserve">Humira kan ha </w:delText>
        </w:r>
        <w:r w:rsidR="00FB337F">
          <w:rPr>
            <w:sz w:val="22"/>
            <w:szCs w:val="22"/>
          </w:rPr>
          <w:delText>en liten</w:delText>
        </w:r>
        <w:r w:rsidRPr="009C5EFD">
          <w:rPr>
            <w:sz w:val="22"/>
            <w:szCs w:val="22"/>
          </w:rPr>
          <w:delText xml:space="preserve"> </w:delText>
        </w:r>
        <w:r w:rsidR="00465D0F" w:rsidRPr="009C5EFD">
          <w:rPr>
            <w:sz w:val="22"/>
            <w:szCs w:val="22"/>
          </w:rPr>
          <w:delText xml:space="preserve">påvirkning </w:delText>
        </w:r>
        <w:r w:rsidRPr="009C5EFD">
          <w:rPr>
            <w:sz w:val="22"/>
            <w:szCs w:val="22"/>
          </w:rPr>
          <w:delText xml:space="preserve">på evnen til å kjøre bil </w:delText>
        </w:r>
        <w:r w:rsidR="004A62A3" w:rsidRPr="009C5EFD">
          <w:rPr>
            <w:sz w:val="22"/>
            <w:szCs w:val="22"/>
          </w:rPr>
          <w:delText xml:space="preserve">og </w:delText>
        </w:r>
        <w:r w:rsidRPr="009C5EFD">
          <w:rPr>
            <w:sz w:val="22"/>
            <w:szCs w:val="22"/>
          </w:rPr>
          <w:delText xml:space="preserve">bruke maskiner. </w:delText>
        </w:r>
        <w:r w:rsidR="00CF5F0B" w:rsidRPr="009C5EFD">
          <w:rPr>
            <w:sz w:val="22"/>
            <w:szCs w:val="22"/>
          </w:rPr>
          <w:delText>V</w:delText>
        </w:r>
        <w:r w:rsidRPr="009C5EFD">
          <w:rPr>
            <w:sz w:val="22"/>
            <w:szCs w:val="22"/>
          </w:rPr>
          <w:delText>ertigo</w:delText>
        </w:r>
        <w:r w:rsidR="00CF5F0B" w:rsidRPr="009C5EFD">
          <w:rPr>
            <w:sz w:val="22"/>
            <w:szCs w:val="22"/>
          </w:rPr>
          <w:delText xml:space="preserve"> og svekket</w:delText>
        </w:r>
        <w:r w:rsidRPr="009C5EFD">
          <w:rPr>
            <w:sz w:val="22"/>
            <w:szCs w:val="22"/>
          </w:rPr>
          <w:delText xml:space="preserve"> syn</w:delText>
        </w:r>
        <w:r w:rsidR="00CF5F0B" w:rsidRPr="009C5EFD">
          <w:rPr>
            <w:sz w:val="22"/>
            <w:szCs w:val="22"/>
          </w:rPr>
          <w:delText xml:space="preserve"> </w:delText>
        </w:r>
        <w:r w:rsidRPr="009C5EFD">
          <w:rPr>
            <w:sz w:val="22"/>
            <w:szCs w:val="22"/>
          </w:rPr>
          <w:delText xml:space="preserve">kan oppstå etter </w:delText>
        </w:r>
        <w:r w:rsidR="00B8124C">
          <w:rPr>
            <w:sz w:val="22"/>
            <w:szCs w:val="22"/>
          </w:rPr>
          <w:delText>administrasjon</w:delText>
        </w:r>
        <w:r w:rsidRPr="009C5EFD">
          <w:rPr>
            <w:sz w:val="22"/>
            <w:szCs w:val="22"/>
          </w:rPr>
          <w:delText xml:space="preserve"> av Humira, se pkt. 4.8.</w:delText>
        </w:r>
      </w:del>
    </w:p>
    <w:p w14:paraId="72DA6524" w14:textId="3F2743AF" w:rsidR="00DE3458" w:rsidRPr="009C5EFD" w:rsidRDefault="00DE3458">
      <w:pPr>
        <w:keepNext/>
        <w:suppressAutoHyphens/>
        <w:rPr>
          <w:del w:id="5375" w:author="AbbVie02no" w:date="2025-05-15T13:45:00Z"/>
          <w:sz w:val="22"/>
          <w:szCs w:val="22"/>
        </w:rPr>
        <w:pPrChange w:id="5376" w:author="AbbVie02no" w:date="2025-05-15T13:45:00Z">
          <w:pPr/>
        </w:pPrChange>
      </w:pPr>
    </w:p>
    <w:p w14:paraId="3F6702E0" w14:textId="520F9156" w:rsidR="00DE3458" w:rsidRPr="009C5EFD" w:rsidRDefault="00E453CD">
      <w:pPr>
        <w:keepNext/>
        <w:suppressAutoHyphens/>
        <w:rPr>
          <w:del w:id="5377" w:author="AbbVie02no" w:date="2025-05-15T13:45:00Z"/>
          <w:sz w:val="22"/>
          <w:szCs w:val="22"/>
        </w:rPr>
        <w:pPrChange w:id="5378" w:author="AbbVie02no" w:date="2025-05-15T13:45:00Z">
          <w:pPr>
            <w:keepNext/>
            <w:suppressAutoHyphens/>
            <w:ind w:left="576" w:hanging="576"/>
          </w:pPr>
        </w:pPrChange>
      </w:pPr>
      <w:del w:id="5379" w:author="AbbVie02no" w:date="2025-05-15T13:45:00Z">
        <w:r w:rsidRPr="009C5EFD">
          <w:rPr>
            <w:b/>
            <w:sz w:val="22"/>
            <w:szCs w:val="22"/>
          </w:rPr>
          <w:delText>4.8</w:delText>
        </w:r>
        <w:r w:rsidRPr="009C5EFD">
          <w:rPr>
            <w:b/>
            <w:sz w:val="22"/>
            <w:szCs w:val="22"/>
          </w:rPr>
          <w:tab/>
          <w:delText>Bivirkninger</w:delText>
        </w:r>
      </w:del>
    </w:p>
    <w:p w14:paraId="6DE61B52" w14:textId="3A477F10" w:rsidR="00985304" w:rsidRPr="009C5EFD" w:rsidRDefault="00985304">
      <w:pPr>
        <w:keepNext/>
        <w:suppressAutoHyphens/>
        <w:rPr>
          <w:del w:id="5380" w:author="AbbVie02no" w:date="2025-05-15T13:45:00Z"/>
          <w:sz w:val="22"/>
          <w:szCs w:val="22"/>
          <w:u w:val="single"/>
        </w:rPr>
        <w:pPrChange w:id="5381" w:author="AbbVie02no" w:date="2025-05-15T13:45:00Z">
          <w:pPr>
            <w:keepNext/>
          </w:pPr>
        </w:pPrChange>
      </w:pPr>
    </w:p>
    <w:p w14:paraId="2FB311BA" w14:textId="7CE729BF" w:rsidR="00985304" w:rsidRPr="009C5EFD" w:rsidRDefault="00E453CD">
      <w:pPr>
        <w:keepNext/>
        <w:suppressAutoHyphens/>
        <w:rPr>
          <w:del w:id="5382" w:author="AbbVie02no" w:date="2025-05-15T13:45:00Z"/>
          <w:sz w:val="22"/>
          <w:szCs w:val="22"/>
          <w:u w:val="single"/>
        </w:rPr>
        <w:pPrChange w:id="5383" w:author="AbbVie02no" w:date="2025-05-15T13:45:00Z">
          <w:pPr>
            <w:keepNext/>
          </w:pPr>
        </w:pPrChange>
      </w:pPr>
      <w:del w:id="5384" w:author="AbbVie02no" w:date="2025-05-15T13:45:00Z">
        <w:r w:rsidRPr="009C5EFD">
          <w:rPr>
            <w:sz w:val="22"/>
            <w:szCs w:val="22"/>
            <w:u w:val="single"/>
          </w:rPr>
          <w:delText>Oppsummering av sikkerhetsprofilen</w:delText>
        </w:r>
      </w:del>
    </w:p>
    <w:p w14:paraId="03BBC6A5" w14:textId="4B396EC9" w:rsidR="001A7CE5" w:rsidRPr="009C5EFD" w:rsidRDefault="001A7CE5">
      <w:pPr>
        <w:keepNext/>
        <w:suppressAutoHyphens/>
        <w:rPr>
          <w:del w:id="5385" w:author="AbbVie02no" w:date="2025-05-15T13:45:00Z"/>
          <w:sz w:val="22"/>
          <w:szCs w:val="22"/>
        </w:rPr>
        <w:pPrChange w:id="5386" w:author="AbbVie02no" w:date="2025-05-15T13:45:00Z">
          <w:pPr>
            <w:keepNext/>
          </w:pPr>
        </w:pPrChange>
      </w:pPr>
    </w:p>
    <w:p w14:paraId="55C052A6" w14:textId="6D97B5F5" w:rsidR="00606701" w:rsidRPr="009C5EFD" w:rsidRDefault="00E453CD">
      <w:pPr>
        <w:keepNext/>
        <w:suppressAutoHyphens/>
        <w:rPr>
          <w:del w:id="5387" w:author="AbbVie02no" w:date="2025-05-15T13:45:00Z"/>
          <w:sz w:val="22"/>
          <w:szCs w:val="22"/>
        </w:rPr>
        <w:pPrChange w:id="5388" w:author="AbbVie02no" w:date="2025-05-15T13:45:00Z">
          <w:pPr/>
        </w:pPrChange>
      </w:pPr>
      <w:del w:id="5389" w:author="AbbVie02no" w:date="2025-05-15T13:45:00Z">
        <w:r w:rsidRPr="009C5EFD">
          <w:rPr>
            <w:sz w:val="22"/>
            <w:szCs w:val="22"/>
          </w:rPr>
          <w:delText xml:space="preserve">Humira er undersøkt hos </w:delText>
        </w:r>
        <w:r w:rsidR="0055679E">
          <w:rPr>
            <w:sz w:val="22"/>
            <w:szCs w:val="22"/>
          </w:rPr>
          <w:delText>9506</w:delText>
        </w:r>
        <w:r w:rsidR="0055679E" w:rsidRPr="009C5EFD">
          <w:rPr>
            <w:sz w:val="22"/>
            <w:szCs w:val="22"/>
          </w:rPr>
          <w:delText xml:space="preserve"> </w:delText>
        </w:r>
        <w:r w:rsidRPr="009C5EFD">
          <w:rPr>
            <w:sz w:val="22"/>
            <w:szCs w:val="22"/>
          </w:rPr>
          <w:delText xml:space="preserve">pasienter i pivotale kontrollerte og åpne studier i opptil 60 måneder eller mer. Disse studiene inkluderte pasienter med nydiagnostisert og langvarig revmatoid artritt, juvenil idiopatisk artritt </w:delText>
        </w:r>
        <w:r w:rsidR="00244742" w:rsidRPr="009C5EFD">
          <w:rPr>
            <w:sz w:val="22"/>
            <w:szCs w:val="22"/>
          </w:rPr>
          <w:delText xml:space="preserve">(polyartikulær juvenil idiopatisk artritt og entesittrelatert artritt) </w:delText>
        </w:r>
        <w:r w:rsidRPr="009C5EFD">
          <w:rPr>
            <w:sz w:val="22"/>
            <w:szCs w:val="22"/>
          </w:rPr>
          <w:delText xml:space="preserve">og pasienter med </w:delText>
        </w:r>
        <w:r w:rsidR="00244742" w:rsidRPr="009C5EFD">
          <w:rPr>
            <w:sz w:val="22"/>
            <w:szCs w:val="22"/>
          </w:rPr>
          <w:delText>aksial spondylartritt (</w:delText>
        </w:r>
        <w:r w:rsidRPr="009C5EFD">
          <w:rPr>
            <w:sz w:val="22"/>
            <w:szCs w:val="22"/>
          </w:rPr>
          <w:delText>Bekhterevs sykdom</w:delText>
        </w:r>
        <w:r w:rsidR="00244742" w:rsidRPr="009C5EFD">
          <w:rPr>
            <w:sz w:val="22"/>
            <w:szCs w:val="22"/>
          </w:rPr>
          <w:delText>/</w:delText>
        </w:r>
        <w:r w:rsidRPr="009C5EFD">
          <w:rPr>
            <w:sz w:val="22"/>
            <w:szCs w:val="22"/>
          </w:rPr>
          <w:delText>ankyloserende spondylitt</w:delText>
        </w:r>
        <w:r w:rsidR="00244742" w:rsidRPr="009C5EFD">
          <w:rPr>
            <w:sz w:val="22"/>
            <w:szCs w:val="22"/>
          </w:rPr>
          <w:delText xml:space="preserve"> og</w:delText>
        </w:r>
        <w:r w:rsidRPr="009C5EFD">
          <w:rPr>
            <w:sz w:val="22"/>
            <w:szCs w:val="22"/>
          </w:rPr>
          <w:delText xml:space="preserve"> </w:delText>
        </w:r>
        <w:r w:rsidR="00AC7167" w:rsidRPr="009C5EFD">
          <w:rPr>
            <w:sz w:val="22"/>
            <w:szCs w:val="22"/>
          </w:rPr>
          <w:delText xml:space="preserve">aksial spondylartritt uten </w:delText>
        </w:r>
        <w:r w:rsidR="00677BE5" w:rsidRPr="009C5EFD">
          <w:rPr>
            <w:sz w:val="22"/>
            <w:szCs w:val="22"/>
          </w:rPr>
          <w:delText>radiografisk bekreftelse</w:delText>
        </w:r>
        <w:r w:rsidR="00AC7167" w:rsidRPr="009C5EFD">
          <w:rPr>
            <w:sz w:val="22"/>
            <w:szCs w:val="22"/>
          </w:rPr>
          <w:delText xml:space="preserve"> på ankyloserende spondylitt</w:delText>
        </w:r>
        <w:r w:rsidR="00244742" w:rsidRPr="009C5EFD">
          <w:rPr>
            <w:sz w:val="22"/>
            <w:szCs w:val="22"/>
          </w:rPr>
          <w:delText>)</w:delText>
        </w:r>
        <w:r w:rsidR="00AC7167" w:rsidRPr="009C5EFD">
          <w:rPr>
            <w:sz w:val="22"/>
            <w:szCs w:val="22"/>
          </w:rPr>
          <w:delText xml:space="preserve">, psoriasisartritt, </w:delText>
        </w:r>
        <w:r w:rsidRPr="009C5EFD">
          <w:rPr>
            <w:sz w:val="22"/>
            <w:szCs w:val="22"/>
          </w:rPr>
          <w:delText>Crohns sykdom</w:delText>
        </w:r>
        <w:r w:rsidR="009E4EEE" w:rsidRPr="009C5EFD">
          <w:rPr>
            <w:sz w:val="22"/>
            <w:szCs w:val="22"/>
          </w:rPr>
          <w:delText>, ulcerøs kolitt</w:delText>
        </w:r>
        <w:r w:rsidR="00607588" w:rsidRPr="009C5EFD">
          <w:rPr>
            <w:sz w:val="22"/>
            <w:szCs w:val="22"/>
          </w:rPr>
          <w:delText xml:space="preserve">, </w:delText>
        </w:r>
        <w:r w:rsidRPr="009C5EFD">
          <w:rPr>
            <w:sz w:val="22"/>
            <w:szCs w:val="22"/>
          </w:rPr>
          <w:delText>psoriasis</w:delText>
        </w:r>
        <w:r w:rsidR="0055679E">
          <w:rPr>
            <w:sz w:val="22"/>
            <w:szCs w:val="22"/>
          </w:rPr>
          <w:delText>,</w:delText>
        </w:r>
        <w:r w:rsidR="00607588" w:rsidRPr="009C5EFD">
          <w:rPr>
            <w:sz w:val="22"/>
            <w:szCs w:val="22"/>
          </w:rPr>
          <w:delText xml:space="preserve"> </w:delText>
        </w:r>
        <w:r w:rsidR="007F67EE" w:rsidRPr="009C5EFD">
          <w:rPr>
            <w:sz w:val="22"/>
            <w:szCs w:val="22"/>
          </w:rPr>
          <w:delText>hidrosadenitt</w:delText>
        </w:r>
        <w:r w:rsidR="0055679E">
          <w:rPr>
            <w:sz w:val="22"/>
            <w:szCs w:val="22"/>
          </w:rPr>
          <w:delText xml:space="preserve"> og uveitt</w:delText>
        </w:r>
        <w:r w:rsidRPr="009C5EFD">
          <w:rPr>
            <w:sz w:val="22"/>
            <w:szCs w:val="22"/>
          </w:rPr>
          <w:delText xml:space="preserve">. De pivotale kontrollerte studiene som inkluderer </w:delText>
        </w:r>
        <w:r w:rsidR="0055679E">
          <w:rPr>
            <w:sz w:val="22"/>
            <w:szCs w:val="22"/>
          </w:rPr>
          <w:delText>6089</w:delText>
        </w:r>
        <w:r w:rsidR="0055679E" w:rsidRPr="009C5EFD">
          <w:rPr>
            <w:sz w:val="22"/>
            <w:szCs w:val="22"/>
          </w:rPr>
          <w:delText xml:space="preserve"> </w:delText>
        </w:r>
        <w:r w:rsidRPr="009C5EFD">
          <w:rPr>
            <w:sz w:val="22"/>
            <w:szCs w:val="22"/>
          </w:rPr>
          <w:delText xml:space="preserve">pasienter som </w:delText>
        </w:r>
        <w:r w:rsidRPr="009C5EFD">
          <w:rPr>
            <w:sz w:val="22"/>
            <w:szCs w:val="22"/>
          </w:rPr>
          <w:lastRenderedPageBreak/>
          <w:delText xml:space="preserve">ble behandlet med Humira og </w:delText>
        </w:r>
        <w:r w:rsidR="0055679E">
          <w:rPr>
            <w:sz w:val="22"/>
            <w:szCs w:val="22"/>
          </w:rPr>
          <w:delText>3801</w:delText>
        </w:r>
        <w:r w:rsidR="0055679E" w:rsidRPr="009C5EFD">
          <w:rPr>
            <w:sz w:val="22"/>
            <w:szCs w:val="22"/>
          </w:rPr>
          <w:delText xml:space="preserve"> </w:delText>
        </w:r>
        <w:r w:rsidRPr="009C5EFD">
          <w:rPr>
            <w:sz w:val="22"/>
            <w:szCs w:val="22"/>
          </w:rPr>
          <w:delText>pasienter som fikk placebo eller aktiv kontroll i løpet av kontrollperioden.</w:delText>
        </w:r>
      </w:del>
    </w:p>
    <w:p w14:paraId="4E2F98AC" w14:textId="702C72A9" w:rsidR="00606701" w:rsidRPr="009C5EFD" w:rsidRDefault="00606701">
      <w:pPr>
        <w:keepNext/>
        <w:suppressAutoHyphens/>
        <w:rPr>
          <w:del w:id="5390" w:author="AbbVie02no" w:date="2025-05-15T13:45:00Z"/>
          <w:sz w:val="22"/>
          <w:szCs w:val="22"/>
        </w:rPr>
        <w:pPrChange w:id="5391" w:author="AbbVie02no" w:date="2025-05-15T13:45:00Z">
          <w:pPr/>
        </w:pPrChange>
      </w:pPr>
    </w:p>
    <w:p w14:paraId="1300EDAE" w14:textId="7B33B63F" w:rsidR="001E0A99" w:rsidRPr="009C5EFD" w:rsidRDefault="00E453CD">
      <w:pPr>
        <w:keepNext/>
        <w:suppressAutoHyphens/>
        <w:rPr>
          <w:del w:id="5392" w:author="AbbVie02no" w:date="2025-05-15T13:45:00Z"/>
          <w:sz w:val="22"/>
        </w:rPr>
        <w:pPrChange w:id="5393" w:author="AbbVie02no" w:date="2025-05-15T13:45:00Z">
          <w:pPr/>
        </w:pPrChange>
      </w:pPr>
      <w:del w:id="5394" w:author="AbbVie02no" w:date="2025-05-15T13:45:00Z">
        <w:r w:rsidRPr="009C5EFD">
          <w:rPr>
            <w:sz w:val="22"/>
            <w:szCs w:val="22"/>
          </w:rPr>
          <w:delText xml:space="preserve">Andelen pasienter som fikk seponert behandlingen på grunn av bivirkninger under den dobbeltblinde, kontrollerte delen av pivotale studier, var </w:delText>
        </w:r>
        <w:r w:rsidR="00607588" w:rsidRPr="009C5EFD">
          <w:rPr>
            <w:sz w:val="22"/>
            <w:szCs w:val="22"/>
          </w:rPr>
          <w:delText>5,</w:delText>
        </w:r>
        <w:r w:rsidR="0055679E">
          <w:rPr>
            <w:sz w:val="22"/>
            <w:szCs w:val="22"/>
          </w:rPr>
          <w:delText>9</w:delText>
        </w:r>
        <w:r w:rsidR="0055679E" w:rsidRPr="009C5EFD">
          <w:rPr>
            <w:sz w:val="22"/>
            <w:szCs w:val="22"/>
          </w:rPr>
          <w:delText xml:space="preserve"> </w:delText>
        </w:r>
        <w:r w:rsidRPr="009C5EFD">
          <w:rPr>
            <w:sz w:val="22"/>
            <w:szCs w:val="22"/>
          </w:rPr>
          <w:delText xml:space="preserve">% for pasienter som fikk Humira og </w:delText>
        </w:r>
        <w:r w:rsidR="00244742" w:rsidRPr="009C5EFD">
          <w:rPr>
            <w:sz w:val="22"/>
            <w:szCs w:val="22"/>
          </w:rPr>
          <w:delText>5,</w:delText>
        </w:r>
        <w:r w:rsidR="00607588" w:rsidRPr="009C5EFD">
          <w:rPr>
            <w:sz w:val="22"/>
            <w:szCs w:val="22"/>
          </w:rPr>
          <w:delText>4</w:delText>
        </w:r>
        <w:r w:rsidRPr="009C5EFD">
          <w:rPr>
            <w:sz w:val="22"/>
            <w:szCs w:val="22"/>
          </w:rPr>
          <w:delText xml:space="preserve"> % for pasienter i kontrollgrupper.</w:delText>
        </w:r>
      </w:del>
    </w:p>
    <w:p w14:paraId="25AAF4F8" w14:textId="09E38C52" w:rsidR="00520138" w:rsidRPr="009C5EFD" w:rsidRDefault="00520138">
      <w:pPr>
        <w:keepNext/>
        <w:suppressAutoHyphens/>
        <w:rPr>
          <w:del w:id="5395" w:author="AbbVie02no" w:date="2025-05-15T13:45:00Z"/>
          <w:sz w:val="22"/>
          <w:szCs w:val="22"/>
        </w:rPr>
        <w:pPrChange w:id="5396" w:author="AbbVie02no" w:date="2025-05-15T13:45:00Z">
          <w:pPr/>
        </w:pPrChange>
      </w:pPr>
    </w:p>
    <w:p w14:paraId="2A848FE2" w14:textId="7FA711FE" w:rsidR="00520138" w:rsidRPr="009C5EFD" w:rsidRDefault="00E453CD">
      <w:pPr>
        <w:keepNext/>
        <w:suppressAutoHyphens/>
        <w:rPr>
          <w:del w:id="5397" w:author="AbbVie02no" w:date="2025-05-15T13:45:00Z"/>
          <w:sz w:val="22"/>
          <w:szCs w:val="22"/>
        </w:rPr>
        <w:pPrChange w:id="5398" w:author="AbbVie02no" w:date="2025-05-15T13:45:00Z">
          <w:pPr/>
        </w:pPrChange>
      </w:pPr>
      <w:del w:id="5399" w:author="AbbVie02no" w:date="2025-05-15T13:45:00Z">
        <w:r w:rsidRPr="009C5EFD">
          <w:rPr>
            <w:sz w:val="22"/>
            <w:szCs w:val="22"/>
          </w:rPr>
          <w:delText>De mest vanlig rapporterte bivirkninger er infeksjoner (som nasofaryngitt, øvre luftveisinfeksjon og sinusitt), reaksjoner på injeksjonssted (erytem, kløe, blødning, smerte</w:delText>
        </w:r>
        <w:r w:rsidR="00CE78B5">
          <w:rPr>
            <w:sz w:val="22"/>
            <w:szCs w:val="22"/>
          </w:rPr>
          <w:delText>r</w:delText>
        </w:r>
        <w:r w:rsidRPr="009C5EFD">
          <w:rPr>
            <w:sz w:val="22"/>
            <w:szCs w:val="22"/>
          </w:rPr>
          <w:delText xml:space="preserve"> eller hevelse), hodepine og smerter i skjelett og muskulat</w:delText>
        </w:r>
        <w:r w:rsidR="00344CC3" w:rsidRPr="009C5EFD">
          <w:rPr>
            <w:sz w:val="22"/>
            <w:szCs w:val="22"/>
          </w:rPr>
          <w:delText>u</w:delText>
        </w:r>
        <w:r w:rsidRPr="009C5EFD">
          <w:rPr>
            <w:sz w:val="22"/>
            <w:szCs w:val="22"/>
          </w:rPr>
          <w:delText xml:space="preserve">r. </w:delText>
        </w:r>
      </w:del>
    </w:p>
    <w:p w14:paraId="3A909703" w14:textId="476A342F" w:rsidR="00520138" w:rsidRPr="009C5EFD" w:rsidRDefault="00520138">
      <w:pPr>
        <w:keepNext/>
        <w:suppressAutoHyphens/>
        <w:rPr>
          <w:del w:id="5400" w:author="AbbVie02no" w:date="2025-05-15T13:45:00Z"/>
          <w:sz w:val="22"/>
          <w:szCs w:val="22"/>
        </w:rPr>
        <w:pPrChange w:id="5401" w:author="AbbVie02no" w:date="2025-05-15T13:45:00Z">
          <w:pPr/>
        </w:pPrChange>
      </w:pPr>
    </w:p>
    <w:p w14:paraId="57FE139F" w14:textId="567093BF" w:rsidR="00520138" w:rsidRPr="009C5EFD" w:rsidRDefault="00E453CD">
      <w:pPr>
        <w:keepNext/>
        <w:suppressAutoHyphens/>
        <w:rPr>
          <w:del w:id="5402" w:author="AbbVie02no" w:date="2025-05-15T13:45:00Z"/>
          <w:sz w:val="22"/>
          <w:szCs w:val="22"/>
        </w:rPr>
        <w:pPrChange w:id="5403" w:author="AbbVie02no" w:date="2025-05-15T13:45:00Z">
          <w:pPr/>
        </w:pPrChange>
      </w:pPr>
      <w:del w:id="5404" w:author="AbbVie02no" w:date="2025-05-15T13:45:00Z">
        <w:r w:rsidRPr="009C5EFD">
          <w:rPr>
            <w:sz w:val="22"/>
            <w:szCs w:val="22"/>
          </w:rPr>
          <w:delText>Alvorlige bivirkninger er rapportert for Humira. TNF-antagonister som Humira påvirker immunsystemet og bruk av dem kan påvirke kroppens</w:delText>
        </w:r>
        <w:r w:rsidR="004768F2" w:rsidRPr="009C5EFD">
          <w:rPr>
            <w:sz w:val="22"/>
            <w:szCs w:val="22"/>
          </w:rPr>
          <w:delText xml:space="preserve"> </w:delText>
        </w:r>
        <w:r w:rsidRPr="009C5EFD">
          <w:rPr>
            <w:sz w:val="22"/>
            <w:szCs w:val="22"/>
          </w:rPr>
          <w:delText xml:space="preserve">forsvar mot infeksjon og kreft. </w:delText>
        </w:r>
      </w:del>
    </w:p>
    <w:p w14:paraId="4943AA2E" w14:textId="174319A7" w:rsidR="00520138" w:rsidRPr="009C5EFD" w:rsidRDefault="00E453CD">
      <w:pPr>
        <w:keepNext/>
        <w:suppressAutoHyphens/>
        <w:rPr>
          <w:del w:id="5405" w:author="AbbVie02no" w:date="2025-05-15T13:45:00Z"/>
          <w:sz w:val="22"/>
          <w:szCs w:val="22"/>
        </w:rPr>
        <w:pPrChange w:id="5406" w:author="AbbVie02no" w:date="2025-05-15T13:45:00Z">
          <w:pPr/>
        </w:pPrChange>
      </w:pPr>
      <w:del w:id="5407" w:author="AbbVie02no" w:date="2025-05-15T13:45:00Z">
        <w:r w:rsidRPr="009C5EFD">
          <w:rPr>
            <w:sz w:val="22"/>
            <w:szCs w:val="22"/>
          </w:rPr>
          <w:delText xml:space="preserve">Fatale og livstruende </w:delText>
        </w:r>
        <w:r w:rsidR="00257EC7">
          <w:rPr>
            <w:sz w:val="22"/>
            <w:szCs w:val="22"/>
          </w:rPr>
          <w:delText>infeksjoner</w:delText>
        </w:r>
        <w:r w:rsidRPr="009C5EFD">
          <w:rPr>
            <w:sz w:val="22"/>
            <w:szCs w:val="22"/>
          </w:rPr>
          <w:delText xml:space="preserve"> (inklusive sepsis, opportunistiske infeksjoner og TB), HBV-reaktivering og for</w:delText>
        </w:r>
        <w:r w:rsidR="00587E60" w:rsidRPr="009C5EFD">
          <w:rPr>
            <w:sz w:val="22"/>
            <w:szCs w:val="22"/>
          </w:rPr>
          <w:delText>s</w:delText>
        </w:r>
        <w:r w:rsidRPr="009C5EFD">
          <w:rPr>
            <w:sz w:val="22"/>
            <w:szCs w:val="22"/>
          </w:rPr>
          <w:delText>kjellige maligniteter (inklusive leukemi, lymfom og HSTCL) er også rapportert ved bruk av Humira.</w:delText>
        </w:r>
      </w:del>
    </w:p>
    <w:p w14:paraId="43E4845F" w14:textId="043BCE53" w:rsidR="00D53A04" w:rsidRPr="009C5EFD" w:rsidRDefault="00D53A04">
      <w:pPr>
        <w:keepNext/>
        <w:suppressAutoHyphens/>
        <w:rPr>
          <w:del w:id="5408" w:author="AbbVie02no" w:date="2025-05-15T13:45:00Z"/>
          <w:sz w:val="22"/>
          <w:szCs w:val="22"/>
        </w:rPr>
        <w:pPrChange w:id="5409" w:author="AbbVie02no" w:date="2025-05-15T13:45:00Z">
          <w:pPr/>
        </w:pPrChange>
      </w:pPr>
    </w:p>
    <w:p w14:paraId="30B70C4D" w14:textId="014E62FF" w:rsidR="00520138" w:rsidRPr="009C5EFD" w:rsidRDefault="00E453CD">
      <w:pPr>
        <w:keepNext/>
        <w:suppressAutoHyphens/>
        <w:rPr>
          <w:del w:id="5410" w:author="AbbVie02no" w:date="2025-05-15T13:45:00Z"/>
          <w:sz w:val="22"/>
          <w:szCs w:val="22"/>
        </w:rPr>
        <w:pPrChange w:id="5411" w:author="AbbVie02no" w:date="2025-05-15T13:45:00Z">
          <w:pPr/>
        </w:pPrChange>
      </w:pPr>
      <w:del w:id="5412" w:author="AbbVie02no" w:date="2025-05-15T13:45:00Z">
        <w:r w:rsidRPr="009C5EFD">
          <w:rPr>
            <w:sz w:val="22"/>
            <w:szCs w:val="22"/>
          </w:rPr>
          <w:delText>Alvorlige hematologiske, nevrologiske og autoimmune reaksjoner er også rapportert. Disse inkluderer sjeldne tilfeller av pancytopeni, aplastisk anemi, sentral</w:delText>
        </w:r>
        <w:r w:rsidR="00344CC3" w:rsidRPr="009C5EFD">
          <w:rPr>
            <w:sz w:val="22"/>
            <w:szCs w:val="22"/>
          </w:rPr>
          <w:delText>e</w:delText>
        </w:r>
        <w:r w:rsidRPr="009C5EFD">
          <w:rPr>
            <w:sz w:val="22"/>
            <w:szCs w:val="22"/>
          </w:rPr>
          <w:delText xml:space="preserve"> og perifer</w:delText>
        </w:r>
        <w:r w:rsidR="00344CC3" w:rsidRPr="009C5EFD">
          <w:rPr>
            <w:sz w:val="22"/>
            <w:szCs w:val="22"/>
          </w:rPr>
          <w:delText>e</w:delText>
        </w:r>
        <w:r w:rsidRPr="009C5EFD">
          <w:rPr>
            <w:sz w:val="22"/>
            <w:szCs w:val="22"/>
          </w:rPr>
          <w:delText xml:space="preserve"> demyeliniseringsforstyrrelser og tilfeller av lupus, lupusrelaterte tilstander og Stevens-Johnson</w:delText>
        </w:r>
        <w:r w:rsidR="00344CC3" w:rsidRPr="009C5EFD">
          <w:rPr>
            <w:sz w:val="22"/>
            <w:szCs w:val="22"/>
          </w:rPr>
          <w:delText xml:space="preserve"> </w:delText>
        </w:r>
        <w:r w:rsidRPr="009C5EFD">
          <w:rPr>
            <w:sz w:val="22"/>
            <w:szCs w:val="22"/>
          </w:rPr>
          <w:delText>syndrom.</w:delText>
        </w:r>
      </w:del>
    </w:p>
    <w:p w14:paraId="795FAD00" w14:textId="37388876" w:rsidR="00732C86" w:rsidRPr="009C5EFD" w:rsidRDefault="00732C86">
      <w:pPr>
        <w:keepNext/>
        <w:suppressAutoHyphens/>
        <w:rPr>
          <w:del w:id="5413" w:author="AbbVie02no" w:date="2025-05-15T13:45:00Z"/>
          <w:sz w:val="22"/>
          <w:szCs w:val="22"/>
        </w:rPr>
        <w:pPrChange w:id="5414" w:author="AbbVie02no" w:date="2025-05-15T13:45:00Z">
          <w:pPr/>
        </w:pPrChange>
      </w:pPr>
    </w:p>
    <w:p w14:paraId="667CE0B1" w14:textId="0954B9C5" w:rsidR="00732C86" w:rsidRPr="009C5EFD" w:rsidRDefault="00E453CD">
      <w:pPr>
        <w:keepNext/>
        <w:suppressAutoHyphens/>
        <w:rPr>
          <w:del w:id="5415" w:author="AbbVie02no" w:date="2025-05-15T13:45:00Z"/>
          <w:sz w:val="22"/>
          <w:szCs w:val="22"/>
          <w:u w:val="single"/>
        </w:rPr>
        <w:pPrChange w:id="5416" w:author="AbbVie02no" w:date="2025-05-15T13:45:00Z">
          <w:pPr>
            <w:keepNext/>
          </w:pPr>
        </w:pPrChange>
      </w:pPr>
      <w:del w:id="5417" w:author="AbbVie02no" w:date="2025-05-15T13:45:00Z">
        <w:r w:rsidRPr="009C5EFD">
          <w:rPr>
            <w:sz w:val="22"/>
            <w:szCs w:val="22"/>
            <w:u w:val="single"/>
          </w:rPr>
          <w:delText>Pediatrisk populasjon</w:delText>
        </w:r>
      </w:del>
    </w:p>
    <w:p w14:paraId="5FC4E4B4" w14:textId="12677025" w:rsidR="00DE3458" w:rsidRPr="009C5EFD" w:rsidRDefault="00DE3458">
      <w:pPr>
        <w:keepNext/>
        <w:suppressAutoHyphens/>
        <w:rPr>
          <w:del w:id="5418" w:author="AbbVie02no" w:date="2025-05-15T13:45:00Z"/>
          <w:sz w:val="22"/>
          <w:szCs w:val="22"/>
        </w:rPr>
        <w:pPrChange w:id="5419" w:author="AbbVie02no" w:date="2025-05-15T13:45:00Z">
          <w:pPr>
            <w:keepNext/>
          </w:pPr>
        </w:pPrChange>
      </w:pPr>
    </w:p>
    <w:p w14:paraId="1F86B7A4" w14:textId="0630A774" w:rsidR="00DE3458" w:rsidRPr="009C5EFD" w:rsidRDefault="00E453CD">
      <w:pPr>
        <w:keepNext/>
        <w:suppressAutoHyphens/>
        <w:rPr>
          <w:del w:id="5420" w:author="AbbVie02no" w:date="2025-05-15T13:45:00Z"/>
          <w:sz w:val="22"/>
          <w:szCs w:val="22"/>
        </w:rPr>
        <w:pPrChange w:id="5421" w:author="AbbVie02no" w:date="2025-05-15T13:45:00Z">
          <w:pPr/>
        </w:pPrChange>
      </w:pPr>
      <w:del w:id="5422" w:author="AbbVie02no" w:date="2025-05-15T13:45:00Z">
        <w:r w:rsidRPr="009C5EFD">
          <w:rPr>
            <w:sz w:val="22"/>
            <w:szCs w:val="22"/>
          </w:rPr>
          <w:delText>Generelt hadde bivirkninger hos barn samme frekvens og type som hos voksne pasienter.</w:delText>
        </w:r>
      </w:del>
    </w:p>
    <w:p w14:paraId="0E3FD7C9" w14:textId="1394BF7F" w:rsidR="00732C86" w:rsidRPr="009C5EFD" w:rsidRDefault="00732C86">
      <w:pPr>
        <w:keepNext/>
        <w:suppressAutoHyphens/>
        <w:rPr>
          <w:del w:id="5423" w:author="AbbVie02no" w:date="2025-05-15T13:45:00Z"/>
          <w:sz w:val="22"/>
          <w:szCs w:val="22"/>
        </w:rPr>
        <w:pPrChange w:id="5424" w:author="AbbVie02no" w:date="2025-05-15T13:45:00Z">
          <w:pPr/>
        </w:pPrChange>
      </w:pPr>
    </w:p>
    <w:p w14:paraId="4245FF41" w14:textId="5D963A91" w:rsidR="00732C86" w:rsidRPr="009C5EFD" w:rsidRDefault="00E453CD">
      <w:pPr>
        <w:keepNext/>
        <w:suppressAutoHyphens/>
        <w:rPr>
          <w:del w:id="5425" w:author="AbbVie02no" w:date="2025-05-15T13:45:00Z"/>
          <w:sz w:val="22"/>
          <w:szCs w:val="22"/>
          <w:u w:val="single"/>
        </w:rPr>
        <w:pPrChange w:id="5426" w:author="AbbVie02no" w:date="2025-05-15T13:45:00Z">
          <w:pPr>
            <w:keepNext/>
          </w:pPr>
        </w:pPrChange>
      </w:pPr>
      <w:del w:id="5427" w:author="AbbVie02no" w:date="2025-05-15T13:45:00Z">
        <w:r>
          <w:rPr>
            <w:sz w:val="22"/>
            <w:szCs w:val="22"/>
            <w:u w:val="single"/>
          </w:rPr>
          <w:delText>Bivirkningstabell</w:delText>
        </w:r>
      </w:del>
    </w:p>
    <w:p w14:paraId="125E3429" w14:textId="6751BBA4" w:rsidR="00DE3458" w:rsidRPr="009C5EFD" w:rsidRDefault="00DE3458">
      <w:pPr>
        <w:keepNext/>
        <w:suppressAutoHyphens/>
        <w:rPr>
          <w:del w:id="5428" w:author="AbbVie02no" w:date="2025-05-15T13:45:00Z"/>
          <w:sz w:val="22"/>
          <w:szCs w:val="22"/>
        </w:rPr>
        <w:pPrChange w:id="5429" w:author="AbbVie02no" w:date="2025-05-15T13:45:00Z">
          <w:pPr>
            <w:keepNext/>
          </w:pPr>
        </w:pPrChange>
      </w:pPr>
    </w:p>
    <w:p w14:paraId="4303D0AD" w14:textId="727399C5" w:rsidR="00A7644F" w:rsidRPr="009C5EFD" w:rsidRDefault="00E453CD">
      <w:pPr>
        <w:keepNext/>
        <w:suppressAutoHyphens/>
        <w:rPr>
          <w:del w:id="5430" w:author="AbbVie02no" w:date="2025-05-15T13:45:00Z"/>
          <w:iCs/>
          <w:color w:val="000000"/>
          <w:sz w:val="22"/>
          <w:szCs w:val="22"/>
          <w:lang w:eastAsia="en-GB"/>
        </w:rPr>
        <w:pPrChange w:id="5431" w:author="AbbVie02no" w:date="2025-05-15T13:45:00Z">
          <w:pPr/>
        </w:pPrChange>
      </w:pPr>
      <w:del w:id="5432" w:author="AbbVie02no" w:date="2025-05-15T13:45:00Z">
        <w:r w:rsidRPr="009C5EFD">
          <w:rPr>
            <w:sz w:val="22"/>
            <w:szCs w:val="22"/>
          </w:rPr>
          <w:delText xml:space="preserve">Følgende liste av bivirkninger er basert på erfaring fra kliniske studier og </w:delText>
        </w:r>
        <w:r w:rsidR="00344CC3" w:rsidRPr="009C5EFD">
          <w:rPr>
            <w:sz w:val="22"/>
            <w:szCs w:val="22"/>
          </w:rPr>
          <w:delText>erfaring</w:delText>
        </w:r>
        <w:r w:rsidRPr="009C5EFD">
          <w:rPr>
            <w:sz w:val="22"/>
            <w:szCs w:val="22"/>
          </w:rPr>
          <w:delText xml:space="preserve"> etter markedsføring og </w:delText>
        </w:r>
        <w:r w:rsidR="00DE3458" w:rsidRPr="009C5EFD">
          <w:rPr>
            <w:sz w:val="22"/>
            <w:szCs w:val="22"/>
          </w:rPr>
          <w:delText>er vist i henhold til organ</w:delText>
        </w:r>
        <w:r w:rsidR="00344CC3" w:rsidRPr="009C5EFD">
          <w:rPr>
            <w:sz w:val="22"/>
            <w:szCs w:val="22"/>
          </w:rPr>
          <w:delText>klasse</w:delText>
        </w:r>
        <w:r w:rsidR="00DE3458" w:rsidRPr="009C5EFD">
          <w:rPr>
            <w:sz w:val="22"/>
            <w:szCs w:val="22"/>
          </w:rPr>
          <w:delText xml:space="preserve">system og forekomst </w:delText>
        </w:r>
        <w:r w:rsidR="00985304" w:rsidRPr="009C5EFD">
          <w:rPr>
            <w:sz w:val="22"/>
            <w:szCs w:val="22"/>
          </w:rPr>
          <w:delText xml:space="preserve">i tabell </w:delText>
        </w:r>
        <w:r w:rsidR="00B61B62">
          <w:rPr>
            <w:sz w:val="22"/>
            <w:szCs w:val="22"/>
          </w:rPr>
          <w:delText>7</w:delText>
        </w:r>
        <w:r w:rsidR="00B61B62" w:rsidRPr="009C5EFD">
          <w:rPr>
            <w:sz w:val="22"/>
            <w:szCs w:val="22"/>
          </w:rPr>
          <w:delText xml:space="preserve"> </w:delText>
        </w:r>
        <w:r w:rsidR="00985304" w:rsidRPr="009C5EFD">
          <w:rPr>
            <w:sz w:val="22"/>
            <w:szCs w:val="22"/>
          </w:rPr>
          <w:delText>nedenfor: S</w:delText>
        </w:r>
        <w:r w:rsidR="00DE3458" w:rsidRPr="009C5EFD">
          <w:rPr>
            <w:sz w:val="22"/>
            <w:szCs w:val="22"/>
          </w:rPr>
          <w:delText xml:space="preserve">vært vanlige </w:delText>
        </w:r>
        <w:r w:rsidR="00985304" w:rsidRPr="009C5EFD">
          <w:rPr>
            <w:sz w:val="22"/>
            <w:szCs w:val="22"/>
          </w:rPr>
          <w:delText>(</w:delText>
        </w:r>
        <w:r w:rsidR="00DE3458" w:rsidRPr="007F67EE">
          <w:rPr>
            <w:rFonts w:ascii="Symbol" w:hAnsi="Symbol"/>
            <w:sz w:val="22"/>
            <w:szCs w:val="22"/>
          </w:rPr>
          <w:sym w:font="Symbol" w:char="F0B3"/>
        </w:r>
        <w:r w:rsidR="00985304" w:rsidRPr="007F67EE">
          <w:rPr>
            <w:sz w:val="22"/>
            <w:szCs w:val="22"/>
          </w:rPr>
          <w:delText> </w:delText>
        </w:r>
        <w:r w:rsidR="00DE3458" w:rsidRPr="00193D76">
          <w:rPr>
            <w:sz w:val="22"/>
            <w:szCs w:val="22"/>
          </w:rPr>
          <w:delText>1/10</w:delText>
        </w:r>
        <w:r w:rsidR="00985304" w:rsidRPr="002D0790">
          <w:rPr>
            <w:sz w:val="22"/>
            <w:szCs w:val="22"/>
          </w:rPr>
          <w:delText>)</w:delText>
        </w:r>
        <w:r w:rsidR="00DE3458" w:rsidRPr="002D0790">
          <w:rPr>
            <w:sz w:val="22"/>
            <w:szCs w:val="22"/>
          </w:rPr>
          <w:delText>; vanlige</w:delText>
        </w:r>
        <w:r w:rsidR="00DE3458" w:rsidRPr="009C5EFD">
          <w:rPr>
            <w:sz w:val="22"/>
            <w:szCs w:val="22"/>
          </w:rPr>
          <w:delText xml:space="preserve"> </w:delText>
        </w:r>
        <w:r w:rsidR="00985304" w:rsidRPr="009C5EFD">
          <w:rPr>
            <w:sz w:val="22"/>
            <w:szCs w:val="22"/>
          </w:rPr>
          <w:delText>(</w:delText>
        </w:r>
        <w:r w:rsidR="00DE3458" w:rsidRPr="007F67EE">
          <w:rPr>
            <w:rFonts w:ascii="Symbol" w:hAnsi="Symbol"/>
            <w:sz w:val="22"/>
            <w:szCs w:val="22"/>
          </w:rPr>
          <w:sym w:font="Symbol" w:char="F0B3"/>
        </w:r>
        <w:r w:rsidR="00985304" w:rsidRPr="007F67EE">
          <w:rPr>
            <w:sz w:val="22"/>
            <w:szCs w:val="22"/>
          </w:rPr>
          <w:delText> </w:delText>
        </w:r>
        <w:r w:rsidR="00DE3458" w:rsidRPr="00193D76">
          <w:rPr>
            <w:sz w:val="22"/>
            <w:szCs w:val="22"/>
          </w:rPr>
          <w:delText>1/100</w:delText>
        </w:r>
        <w:r w:rsidR="00985304" w:rsidRPr="002D0790">
          <w:rPr>
            <w:sz w:val="22"/>
            <w:szCs w:val="22"/>
          </w:rPr>
          <w:delText> </w:delText>
        </w:r>
        <w:r w:rsidR="00DE3458" w:rsidRPr="00E14E58">
          <w:rPr>
            <w:sz w:val="22"/>
            <w:szCs w:val="22"/>
          </w:rPr>
          <w:delText>til &lt;</w:delText>
        </w:r>
        <w:r w:rsidR="00985304" w:rsidRPr="009C5EFD">
          <w:rPr>
            <w:sz w:val="22"/>
            <w:szCs w:val="22"/>
          </w:rPr>
          <w:delText> </w:delText>
        </w:r>
        <w:r w:rsidR="00DE3458" w:rsidRPr="009C5EFD">
          <w:rPr>
            <w:sz w:val="22"/>
            <w:szCs w:val="22"/>
          </w:rPr>
          <w:delText>1/10</w:delText>
        </w:r>
        <w:r w:rsidR="00985304" w:rsidRPr="009C5EFD">
          <w:rPr>
            <w:sz w:val="22"/>
            <w:szCs w:val="22"/>
          </w:rPr>
          <w:delText>)</w:delText>
        </w:r>
        <w:r w:rsidR="00DE3458" w:rsidRPr="009C5EFD">
          <w:rPr>
            <w:sz w:val="22"/>
            <w:szCs w:val="22"/>
          </w:rPr>
          <w:delText xml:space="preserve">; mindre vanlige </w:delText>
        </w:r>
        <w:r w:rsidR="00985304" w:rsidRPr="009C5EFD">
          <w:rPr>
            <w:sz w:val="22"/>
            <w:szCs w:val="22"/>
          </w:rPr>
          <w:delText>(</w:delText>
        </w:r>
        <w:r w:rsidR="00DE3458" w:rsidRPr="007F67EE">
          <w:rPr>
            <w:rFonts w:ascii="Symbol" w:hAnsi="Symbol"/>
            <w:sz w:val="22"/>
            <w:szCs w:val="22"/>
          </w:rPr>
          <w:sym w:font="Symbol" w:char="F0B3"/>
        </w:r>
        <w:r w:rsidR="00985304" w:rsidRPr="007F67EE">
          <w:rPr>
            <w:sz w:val="22"/>
            <w:szCs w:val="22"/>
          </w:rPr>
          <w:delText> </w:delText>
        </w:r>
        <w:r w:rsidRPr="00193D76">
          <w:rPr>
            <w:sz w:val="22"/>
            <w:szCs w:val="22"/>
          </w:rPr>
          <w:delText>1/1000 til &lt;</w:delText>
        </w:r>
        <w:r w:rsidR="00985304" w:rsidRPr="002D0790">
          <w:rPr>
            <w:sz w:val="22"/>
            <w:szCs w:val="22"/>
          </w:rPr>
          <w:delText> </w:delText>
        </w:r>
        <w:r w:rsidRPr="00E14E58">
          <w:rPr>
            <w:sz w:val="22"/>
            <w:szCs w:val="22"/>
          </w:rPr>
          <w:delText>1/100</w:delText>
        </w:r>
        <w:r w:rsidR="00985304" w:rsidRPr="009C5EFD">
          <w:rPr>
            <w:sz w:val="22"/>
            <w:szCs w:val="22"/>
          </w:rPr>
          <w:delText>)</w:delText>
        </w:r>
        <w:r w:rsidR="00465D4D">
          <w:rPr>
            <w:sz w:val="22"/>
            <w:szCs w:val="22"/>
          </w:rPr>
          <w:delText>;</w:delText>
        </w:r>
        <w:r w:rsidRPr="009C5EFD">
          <w:rPr>
            <w:sz w:val="22"/>
            <w:szCs w:val="22"/>
          </w:rPr>
          <w:delText xml:space="preserve"> sjeldne </w:delText>
        </w:r>
        <w:r w:rsidR="00985304" w:rsidRPr="009C5EFD">
          <w:rPr>
            <w:sz w:val="22"/>
            <w:szCs w:val="22"/>
          </w:rPr>
          <w:delText>(</w:delText>
        </w:r>
        <w:r w:rsidRPr="007F67EE">
          <w:rPr>
            <w:rFonts w:ascii="Symbol" w:hAnsi="Symbol"/>
            <w:sz w:val="22"/>
            <w:szCs w:val="22"/>
          </w:rPr>
          <w:sym w:font="Symbol" w:char="F0B3"/>
        </w:r>
        <w:r w:rsidR="00985304" w:rsidRPr="007F67EE">
          <w:rPr>
            <w:sz w:val="22"/>
            <w:szCs w:val="22"/>
          </w:rPr>
          <w:delText> </w:delText>
        </w:r>
        <w:r w:rsidRPr="00193D76">
          <w:rPr>
            <w:sz w:val="22"/>
            <w:szCs w:val="22"/>
          </w:rPr>
          <w:delText>1/10</w:delText>
        </w:r>
        <w:r w:rsidR="004768F2" w:rsidRPr="002D0790">
          <w:rPr>
            <w:sz w:val="22"/>
            <w:szCs w:val="22"/>
          </w:rPr>
          <w:delText xml:space="preserve"> </w:delText>
        </w:r>
        <w:r w:rsidRPr="002D0790">
          <w:rPr>
            <w:sz w:val="22"/>
            <w:szCs w:val="22"/>
          </w:rPr>
          <w:delText>000 til</w:delText>
        </w:r>
        <w:r w:rsidRPr="00E14E58">
          <w:rPr>
            <w:sz w:val="22"/>
            <w:szCs w:val="22"/>
          </w:rPr>
          <w:delText xml:space="preserve"> &lt;</w:delText>
        </w:r>
        <w:r w:rsidR="00985304" w:rsidRPr="009C5EFD">
          <w:rPr>
            <w:sz w:val="22"/>
            <w:szCs w:val="22"/>
          </w:rPr>
          <w:delText> </w:delText>
        </w:r>
        <w:r w:rsidRPr="009C5EFD">
          <w:rPr>
            <w:sz w:val="22"/>
            <w:szCs w:val="22"/>
          </w:rPr>
          <w:delText>1/1000</w:delText>
        </w:r>
        <w:r w:rsidR="00985304" w:rsidRPr="009C5EFD">
          <w:rPr>
            <w:sz w:val="22"/>
            <w:szCs w:val="22"/>
          </w:rPr>
          <w:delText>)</w:delText>
        </w:r>
        <w:r w:rsidR="00AC6428" w:rsidRPr="009C5EFD">
          <w:rPr>
            <w:sz w:val="22"/>
            <w:szCs w:val="22"/>
          </w:rPr>
          <w:delText>;</w:delText>
        </w:r>
        <w:r w:rsidRPr="009C5EFD">
          <w:rPr>
            <w:sz w:val="22"/>
            <w:szCs w:val="22"/>
          </w:rPr>
          <w:delText xml:space="preserve"> og </w:delText>
        </w:r>
        <w:r w:rsidR="00344CC3" w:rsidRPr="009C5EFD">
          <w:rPr>
            <w:sz w:val="22"/>
            <w:szCs w:val="22"/>
          </w:rPr>
          <w:delText xml:space="preserve">ikke </w:delText>
        </w:r>
        <w:r w:rsidRPr="009C5EFD">
          <w:rPr>
            <w:sz w:val="22"/>
            <w:szCs w:val="22"/>
          </w:rPr>
          <w:delText xml:space="preserve">kjent </w:delText>
        </w:r>
        <w:r w:rsidR="00985304" w:rsidRPr="009C5EFD">
          <w:rPr>
            <w:sz w:val="22"/>
            <w:szCs w:val="22"/>
          </w:rPr>
          <w:delText>(</w:delText>
        </w:r>
        <w:r w:rsidRPr="009C5EFD">
          <w:rPr>
            <w:sz w:val="22"/>
            <w:szCs w:val="22"/>
          </w:rPr>
          <w:delText xml:space="preserve">kan ikke anslås ut </w:delText>
        </w:r>
        <w:r w:rsidR="00860FA9" w:rsidRPr="009C5EFD">
          <w:rPr>
            <w:sz w:val="22"/>
            <w:szCs w:val="22"/>
          </w:rPr>
          <w:delText>i</w:delText>
        </w:r>
        <w:r w:rsidRPr="009C5EFD">
          <w:rPr>
            <w:sz w:val="22"/>
            <w:szCs w:val="22"/>
          </w:rPr>
          <w:delText>fra tilgjengelig data)</w:delText>
        </w:r>
        <w:r w:rsidR="00DE3458" w:rsidRPr="009C5EFD">
          <w:rPr>
            <w:sz w:val="22"/>
            <w:szCs w:val="22"/>
          </w:rPr>
          <w:delText>. Innenfor hver frekvensgruppering er bivirkninger presentert etter synkende alvorlighetsgrad.</w:delText>
        </w:r>
        <w:r w:rsidRPr="009C5EFD">
          <w:rPr>
            <w:sz w:val="22"/>
            <w:szCs w:val="22"/>
          </w:rPr>
          <w:delText xml:space="preserve"> </w:delText>
        </w:r>
        <w:r w:rsidR="00066E51" w:rsidRPr="009C5EFD">
          <w:rPr>
            <w:sz w:val="22"/>
            <w:szCs w:val="22"/>
          </w:rPr>
          <w:delText xml:space="preserve">Den høyeste frekvens som er sett blant de </w:delText>
        </w:r>
        <w:r w:rsidR="00066E51" w:rsidRPr="009C5EFD">
          <w:rPr>
            <w:sz w:val="22"/>
            <w:szCs w:val="22"/>
          </w:rPr>
          <w:lastRenderedPageBreak/>
          <w:delText xml:space="preserve">forskjellige indikasjonene er inkludert. Dersom det finnes ytterligere informasjon et annet sted i </w:delText>
        </w:r>
        <w:r w:rsidR="00ED6DD4">
          <w:rPr>
            <w:sz w:val="22"/>
            <w:szCs w:val="22"/>
          </w:rPr>
          <w:delText>pkt.</w:delText>
        </w:r>
        <w:r w:rsidR="00066E51" w:rsidRPr="009C5EFD">
          <w:rPr>
            <w:sz w:val="22"/>
            <w:szCs w:val="22"/>
          </w:rPr>
          <w:delText xml:space="preserve"> 4.3, 4.4. og 4.8 vil denne bli merket med stjerne </w:delText>
        </w:r>
        <w:r w:rsidR="002E1902">
          <w:rPr>
            <w:sz w:val="22"/>
            <w:szCs w:val="22"/>
          </w:rPr>
          <w:delText>(*)</w:delText>
        </w:r>
        <w:r w:rsidR="00066E51" w:rsidRPr="009C5EFD">
          <w:rPr>
            <w:sz w:val="22"/>
            <w:szCs w:val="22"/>
          </w:rPr>
          <w:delText xml:space="preserve"> i organ</w:delText>
        </w:r>
        <w:r w:rsidR="00257EC7">
          <w:rPr>
            <w:sz w:val="22"/>
            <w:szCs w:val="22"/>
          </w:rPr>
          <w:delText>klasse</w:delText>
        </w:r>
        <w:r w:rsidR="00066E51" w:rsidRPr="009C5EFD">
          <w:rPr>
            <w:sz w:val="22"/>
            <w:szCs w:val="22"/>
          </w:rPr>
          <w:delText>system kolonnen.</w:delText>
        </w:r>
      </w:del>
    </w:p>
    <w:p w14:paraId="04695724" w14:textId="57DF173F" w:rsidR="0094707B" w:rsidRPr="009C5EFD" w:rsidRDefault="0094707B">
      <w:pPr>
        <w:keepNext/>
        <w:suppressAutoHyphens/>
        <w:rPr>
          <w:del w:id="5433" w:author="AbbVie02no" w:date="2025-05-15T13:45:00Z"/>
          <w:b/>
          <w:sz w:val="22"/>
          <w:szCs w:val="22"/>
        </w:rPr>
        <w:pPrChange w:id="5434" w:author="AbbVie02no" w:date="2025-05-15T13:45:00Z">
          <w:pPr>
            <w:jc w:val="center"/>
          </w:pPr>
        </w:pPrChange>
      </w:pPr>
    </w:p>
    <w:p w14:paraId="5840AED5" w14:textId="0BCEEFEC" w:rsidR="00DE3458" w:rsidRPr="009C5EFD" w:rsidRDefault="00E453CD">
      <w:pPr>
        <w:keepNext/>
        <w:suppressAutoHyphens/>
        <w:rPr>
          <w:del w:id="5435" w:author="AbbVie02no" w:date="2025-05-15T13:45:00Z"/>
          <w:b/>
          <w:sz w:val="22"/>
          <w:szCs w:val="22"/>
        </w:rPr>
        <w:pPrChange w:id="5436" w:author="AbbVie02no" w:date="2025-05-15T13:45:00Z">
          <w:pPr>
            <w:keepNext/>
            <w:jc w:val="center"/>
          </w:pPr>
        </w:pPrChange>
      </w:pPr>
      <w:del w:id="5437" w:author="AbbVie02no" w:date="2025-05-15T13:45:00Z">
        <w:r w:rsidRPr="009C5EFD">
          <w:rPr>
            <w:b/>
            <w:sz w:val="22"/>
            <w:szCs w:val="22"/>
          </w:rPr>
          <w:delText xml:space="preserve">Tabell </w:delText>
        </w:r>
        <w:r w:rsidR="00B61B62">
          <w:rPr>
            <w:b/>
            <w:sz w:val="22"/>
            <w:szCs w:val="22"/>
          </w:rPr>
          <w:delText>7</w:delText>
        </w:r>
      </w:del>
    </w:p>
    <w:p w14:paraId="44800868" w14:textId="7AB020C7" w:rsidR="00DE3458" w:rsidRPr="009C5EFD" w:rsidRDefault="00E453CD">
      <w:pPr>
        <w:keepNext/>
        <w:suppressAutoHyphens/>
        <w:rPr>
          <w:del w:id="5438" w:author="AbbVie02no" w:date="2025-05-15T13:45:00Z"/>
          <w:b/>
          <w:sz w:val="22"/>
          <w:szCs w:val="22"/>
        </w:rPr>
        <w:pPrChange w:id="5439" w:author="AbbVie02no" w:date="2025-05-15T13:45:00Z">
          <w:pPr>
            <w:keepNext/>
            <w:jc w:val="center"/>
          </w:pPr>
        </w:pPrChange>
      </w:pPr>
      <w:del w:id="5440" w:author="AbbVie02no" w:date="2025-05-15T13:45:00Z">
        <w:r w:rsidRPr="009C5EFD">
          <w:rPr>
            <w:b/>
            <w:sz w:val="22"/>
            <w:szCs w:val="22"/>
          </w:rPr>
          <w:delText xml:space="preserve">Bivirkninger </w:delText>
        </w:r>
      </w:del>
    </w:p>
    <w:p w14:paraId="7ECF4E40" w14:textId="51E66E39" w:rsidR="006A62C4" w:rsidRPr="009C5EFD" w:rsidRDefault="006A62C4">
      <w:pPr>
        <w:keepNext/>
        <w:suppressAutoHyphens/>
        <w:rPr>
          <w:del w:id="5441" w:author="AbbVie02no" w:date="2025-05-15T13:45:00Z"/>
          <w:sz w:val="22"/>
          <w:szCs w:val="22"/>
        </w:rPr>
        <w:pPrChange w:id="5442" w:author="AbbVie02no" w:date="2025-05-15T13:45:00Z">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9"/>
        <w:gridCol w:w="1682"/>
        <w:gridCol w:w="4294"/>
      </w:tblGrid>
      <w:tr w:rsidR="004644D4" w14:paraId="70FBF124" w14:textId="0558C2AB" w:rsidTr="00032240">
        <w:trPr>
          <w:del w:id="5443" w:author="AbbVie02no" w:date="2025-05-15T13:45:00Z"/>
        </w:trPr>
        <w:tc>
          <w:tcPr>
            <w:tcW w:w="3079" w:type="dxa"/>
          </w:tcPr>
          <w:p w14:paraId="71F9F099" w14:textId="20656191" w:rsidR="000C7DCB" w:rsidRPr="009C5EFD" w:rsidRDefault="00E453CD">
            <w:pPr>
              <w:keepNext/>
              <w:suppressAutoHyphens/>
              <w:rPr>
                <w:del w:id="5444" w:author="AbbVie02no" w:date="2025-05-15T13:45:00Z"/>
                <w:b/>
                <w:szCs w:val="22"/>
              </w:rPr>
              <w:pPrChange w:id="5445" w:author="AbbVie02no" w:date="2025-05-15T13:45:00Z">
                <w:pPr>
                  <w:pStyle w:val="EndnoteText"/>
                  <w:keepNext/>
                  <w:tabs>
                    <w:tab w:val="clear" w:pos="567"/>
                  </w:tabs>
                  <w:jc w:val="center"/>
                </w:pPr>
              </w:pPrChange>
            </w:pPr>
            <w:del w:id="5446" w:author="AbbVie02no" w:date="2025-05-15T13:45:00Z">
              <w:r w:rsidRPr="009C5EFD">
                <w:rPr>
                  <w:b/>
                  <w:szCs w:val="22"/>
                </w:rPr>
                <w:lastRenderedPageBreak/>
                <w:delText>Organklassesystem</w:delText>
              </w:r>
            </w:del>
          </w:p>
        </w:tc>
        <w:tc>
          <w:tcPr>
            <w:tcW w:w="1682" w:type="dxa"/>
          </w:tcPr>
          <w:p w14:paraId="1C900775" w14:textId="39B18DC1" w:rsidR="000C7DCB" w:rsidRPr="009C5EFD" w:rsidRDefault="00E453CD">
            <w:pPr>
              <w:keepNext/>
              <w:suppressAutoHyphens/>
              <w:rPr>
                <w:del w:id="5447" w:author="AbbVie02no" w:date="2025-05-15T13:45:00Z"/>
                <w:b/>
                <w:szCs w:val="22"/>
              </w:rPr>
              <w:pPrChange w:id="5448" w:author="AbbVie02no" w:date="2025-05-15T13:45:00Z">
                <w:pPr>
                  <w:pStyle w:val="EndnoteText"/>
                  <w:keepNext/>
                  <w:tabs>
                    <w:tab w:val="clear" w:pos="567"/>
                  </w:tabs>
                  <w:jc w:val="center"/>
                </w:pPr>
              </w:pPrChange>
            </w:pPr>
            <w:del w:id="5449" w:author="AbbVie02no" w:date="2025-05-15T13:45:00Z">
              <w:r w:rsidRPr="009C5EFD">
                <w:rPr>
                  <w:b/>
                  <w:szCs w:val="22"/>
                </w:rPr>
                <w:delText>Frekvens</w:delText>
              </w:r>
            </w:del>
          </w:p>
        </w:tc>
        <w:tc>
          <w:tcPr>
            <w:tcW w:w="4294" w:type="dxa"/>
          </w:tcPr>
          <w:p w14:paraId="5C7AE04E" w14:textId="418423A8" w:rsidR="000C7DCB" w:rsidRPr="009C5EFD" w:rsidRDefault="00E453CD">
            <w:pPr>
              <w:keepNext/>
              <w:suppressAutoHyphens/>
              <w:rPr>
                <w:del w:id="5450" w:author="AbbVie02no" w:date="2025-05-15T13:45:00Z"/>
                <w:b/>
                <w:szCs w:val="22"/>
              </w:rPr>
              <w:pPrChange w:id="5451" w:author="AbbVie02no" w:date="2025-05-15T13:45:00Z">
                <w:pPr>
                  <w:pStyle w:val="EndnoteText"/>
                  <w:keepNext/>
                  <w:tabs>
                    <w:tab w:val="clear" w:pos="567"/>
                  </w:tabs>
                  <w:jc w:val="center"/>
                </w:pPr>
              </w:pPrChange>
            </w:pPr>
            <w:del w:id="5452" w:author="AbbVie02no" w:date="2025-05-15T13:45:00Z">
              <w:r w:rsidRPr="009C5EFD">
                <w:rPr>
                  <w:b/>
                  <w:szCs w:val="22"/>
                </w:rPr>
                <w:delText>Bivirkninger</w:delText>
              </w:r>
            </w:del>
          </w:p>
        </w:tc>
      </w:tr>
      <w:tr w:rsidR="004644D4" w14:paraId="253D1C60" w14:textId="411B9BB7" w:rsidTr="00032240">
        <w:trPr>
          <w:trHeight w:val="1061"/>
          <w:del w:id="5453" w:author="AbbVie02no" w:date="2025-05-15T13:45:00Z"/>
        </w:trPr>
        <w:tc>
          <w:tcPr>
            <w:tcW w:w="3079" w:type="dxa"/>
            <w:vMerge w:val="restart"/>
          </w:tcPr>
          <w:p w14:paraId="0C5EE5FF" w14:textId="0B2035F0" w:rsidR="000C7DCB" w:rsidRPr="00193D76" w:rsidRDefault="00E453CD">
            <w:pPr>
              <w:keepNext/>
              <w:suppressAutoHyphens/>
              <w:rPr>
                <w:del w:id="5454" w:author="AbbVie02no" w:date="2025-05-15T13:45:00Z"/>
                <w:szCs w:val="22"/>
              </w:rPr>
              <w:pPrChange w:id="5455" w:author="AbbVie02no" w:date="2025-05-15T13:45:00Z">
                <w:pPr>
                  <w:pStyle w:val="EndnoteText"/>
                  <w:keepNext/>
                  <w:tabs>
                    <w:tab w:val="clear" w:pos="567"/>
                  </w:tabs>
                </w:pPr>
              </w:pPrChange>
            </w:pPr>
            <w:del w:id="5456" w:author="AbbVie02no" w:date="2025-05-15T13:45:00Z">
              <w:r w:rsidRPr="007F67EE">
                <w:rPr>
                  <w:szCs w:val="22"/>
                </w:rPr>
                <w:delText>Infeksiøse og par</w:delText>
              </w:r>
              <w:r w:rsidRPr="00193D76">
                <w:rPr>
                  <w:szCs w:val="22"/>
                </w:rPr>
                <w:delText>asittære sykdommer*</w:delText>
              </w:r>
            </w:del>
          </w:p>
        </w:tc>
        <w:tc>
          <w:tcPr>
            <w:tcW w:w="1682" w:type="dxa"/>
          </w:tcPr>
          <w:p w14:paraId="2FAA1B1D" w14:textId="42163A77" w:rsidR="000C7DCB" w:rsidRPr="00E14E58" w:rsidRDefault="00E453CD">
            <w:pPr>
              <w:keepNext/>
              <w:suppressAutoHyphens/>
              <w:rPr>
                <w:del w:id="5457" w:author="AbbVie02no" w:date="2025-05-15T13:45:00Z"/>
                <w:szCs w:val="22"/>
              </w:rPr>
              <w:pPrChange w:id="5458" w:author="AbbVie02no" w:date="2025-05-15T13:45:00Z">
                <w:pPr>
                  <w:pStyle w:val="EndnoteText"/>
                  <w:keepNext/>
                  <w:tabs>
                    <w:tab w:val="clear" w:pos="567"/>
                  </w:tabs>
                </w:pPr>
              </w:pPrChange>
            </w:pPr>
            <w:del w:id="5459" w:author="AbbVie02no" w:date="2025-05-15T13:45:00Z">
              <w:r w:rsidRPr="00E14E58">
                <w:rPr>
                  <w:szCs w:val="22"/>
                </w:rPr>
                <w:delText>Svært vanlige</w:delText>
              </w:r>
            </w:del>
          </w:p>
          <w:p w14:paraId="2BDEF935" w14:textId="69CDCD0E" w:rsidR="000C7DCB" w:rsidRPr="009C5EFD" w:rsidRDefault="000C7DCB">
            <w:pPr>
              <w:keepNext/>
              <w:suppressAutoHyphens/>
              <w:rPr>
                <w:del w:id="5460" w:author="AbbVie02no" w:date="2025-05-15T13:45:00Z"/>
                <w:szCs w:val="22"/>
              </w:rPr>
              <w:pPrChange w:id="5461" w:author="AbbVie02no" w:date="2025-05-15T13:45:00Z">
                <w:pPr>
                  <w:pStyle w:val="EndnoteText"/>
                  <w:keepNext/>
                  <w:tabs>
                    <w:tab w:val="clear" w:pos="567"/>
                  </w:tabs>
                </w:pPr>
              </w:pPrChange>
            </w:pPr>
          </w:p>
        </w:tc>
        <w:tc>
          <w:tcPr>
            <w:tcW w:w="4294" w:type="dxa"/>
          </w:tcPr>
          <w:p w14:paraId="240B3FA5" w14:textId="49C3C76F" w:rsidR="000C7DCB" w:rsidRPr="009C5EFD" w:rsidRDefault="00E453CD">
            <w:pPr>
              <w:keepNext/>
              <w:suppressAutoHyphens/>
              <w:rPr>
                <w:del w:id="5462" w:author="AbbVie02no" w:date="2025-05-15T13:45:00Z"/>
                <w:szCs w:val="22"/>
              </w:rPr>
              <w:pPrChange w:id="5463" w:author="AbbVie02no" w:date="2025-05-15T13:45:00Z">
                <w:pPr>
                  <w:pStyle w:val="EMEAFigureTitle"/>
                  <w:keepNext/>
                  <w:tabs>
                    <w:tab w:val="clear" w:pos="562"/>
                  </w:tabs>
                  <w:suppressAutoHyphens w:val="0"/>
                </w:pPr>
              </w:pPrChange>
            </w:pPr>
            <w:del w:id="5464" w:author="AbbVie02no" w:date="2025-05-15T13:45:00Z">
              <w:r w:rsidRPr="009C5EFD">
                <w:rPr>
                  <w:szCs w:val="22"/>
                </w:rPr>
                <w:delText xml:space="preserve">Luftveisinfeksjon (inkludert nedre og øvre luftveisinfeksjon, </w:delText>
              </w:r>
              <w:r w:rsidR="002544F8">
                <w:rPr>
                  <w:szCs w:val="22"/>
                </w:rPr>
                <w:delText>pneumoni</w:delText>
              </w:r>
              <w:r w:rsidRPr="009C5EFD">
                <w:rPr>
                  <w:szCs w:val="22"/>
                </w:rPr>
                <w:delText>, sinusitt, faryngitt, nasofaryngitt og herpesvirus pneumoni)</w:delText>
              </w:r>
            </w:del>
          </w:p>
          <w:p w14:paraId="5E956B2A" w14:textId="76C6BBB2" w:rsidR="000C7DCB" w:rsidRPr="009C5EFD" w:rsidRDefault="000C7DCB">
            <w:pPr>
              <w:keepNext/>
              <w:suppressAutoHyphens/>
              <w:rPr>
                <w:del w:id="5465" w:author="AbbVie02no" w:date="2025-05-15T13:45:00Z"/>
                <w:szCs w:val="22"/>
              </w:rPr>
              <w:pPrChange w:id="5466" w:author="AbbVie02no" w:date="2025-05-15T13:45:00Z">
                <w:pPr>
                  <w:pStyle w:val="EMEAFigureTitle"/>
                  <w:keepNext/>
                  <w:tabs>
                    <w:tab w:val="clear" w:pos="562"/>
                  </w:tabs>
                  <w:suppressAutoHyphens w:val="0"/>
                </w:pPr>
              </w:pPrChange>
            </w:pPr>
          </w:p>
        </w:tc>
      </w:tr>
      <w:tr w:rsidR="004644D4" w14:paraId="355FD09A" w14:textId="0088403E" w:rsidTr="00032240">
        <w:trPr>
          <w:trHeight w:val="3116"/>
          <w:del w:id="5467" w:author="AbbVie02no" w:date="2025-05-15T13:45:00Z"/>
        </w:trPr>
        <w:tc>
          <w:tcPr>
            <w:tcW w:w="3079" w:type="dxa"/>
            <w:vMerge/>
          </w:tcPr>
          <w:p w14:paraId="34765ADA" w14:textId="5B31A5A7" w:rsidR="000C7DCB" w:rsidRPr="009C5EFD" w:rsidRDefault="000C7DCB">
            <w:pPr>
              <w:keepNext/>
              <w:suppressAutoHyphens/>
              <w:rPr>
                <w:del w:id="5468" w:author="AbbVie02no" w:date="2025-05-15T13:45:00Z"/>
                <w:szCs w:val="22"/>
              </w:rPr>
              <w:pPrChange w:id="5469" w:author="AbbVie02no" w:date="2025-05-15T13:45:00Z">
                <w:pPr>
                  <w:pStyle w:val="EndnoteText"/>
                  <w:tabs>
                    <w:tab w:val="clear" w:pos="567"/>
                  </w:tabs>
                </w:pPr>
              </w:pPrChange>
            </w:pPr>
          </w:p>
        </w:tc>
        <w:tc>
          <w:tcPr>
            <w:tcW w:w="1682" w:type="dxa"/>
          </w:tcPr>
          <w:p w14:paraId="3B883E14" w14:textId="7524806B" w:rsidR="000C7DCB" w:rsidRPr="009C5EFD" w:rsidRDefault="00E453CD">
            <w:pPr>
              <w:keepNext/>
              <w:suppressAutoHyphens/>
              <w:rPr>
                <w:del w:id="5470" w:author="AbbVie02no" w:date="2025-05-15T13:45:00Z"/>
                <w:szCs w:val="22"/>
              </w:rPr>
              <w:pPrChange w:id="5471" w:author="AbbVie02no" w:date="2025-05-15T13:45:00Z">
                <w:pPr>
                  <w:pStyle w:val="EndnoteText"/>
                  <w:tabs>
                    <w:tab w:val="clear" w:pos="567"/>
                  </w:tabs>
                </w:pPr>
              </w:pPrChange>
            </w:pPr>
            <w:del w:id="5472" w:author="AbbVie02no" w:date="2025-05-15T13:45:00Z">
              <w:r w:rsidRPr="009C5EFD">
                <w:rPr>
                  <w:szCs w:val="22"/>
                </w:rPr>
                <w:delText>Vanlige</w:delText>
              </w:r>
            </w:del>
          </w:p>
          <w:p w14:paraId="74C259C8" w14:textId="145F8268" w:rsidR="000C7DCB" w:rsidRPr="009C5EFD" w:rsidRDefault="000C7DCB">
            <w:pPr>
              <w:keepNext/>
              <w:suppressAutoHyphens/>
              <w:rPr>
                <w:del w:id="5473" w:author="AbbVie02no" w:date="2025-05-15T13:45:00Z"/>
                <w:szCs w:val="22"/>
              </w:rPr>
              <w:pPrChange w:id="5474" w:author="AbbVie02no" w:date="2025-05-15T13:45:00Z">
                <w:pPr>
                  <w:pStyle w:val="EndnoteText"/>
                  <w:tabs>
                    <w:tab w:val="clear" w:pos="567"/>
                  </w:tabs>
                </w:pPr>
              </w:pPrChange>
            </w:pPr>
          </w:p>
        </w:tc>
        <w:tc>
          <w:tcPr>
            <w:tcW w:w="4294" w:type="dxa"/>
          </w:tcPr>
          <w:p w14:paraId="5EFB49A9" w14:textId="7349AB1D" w:rsidR="000C7DCB" w:rsidRPr="009C5EFD" w:rsidRDefault="00E453CD">
            <w:pPr>
              <w:keepNext/>
              <w:suppressAutoHyphens/>
              <w:rPr>
                <w:del w:id="5475" w:author="AbbVie02no" w:date="2025-05-15T13:45:00Z"/>
                <w:sz w:val="22"/>
                <w:szCs w:val="22"/>
              </w:rPr>
              <w:pPrChange w:id="5476" w:author="AbbVie02no" w:date="2025-05-15T13:45:00Z">
                <w:pPr>
                  <w:widowControl w:val="0"/>
                </w:pPr>
              </w:pPrChange>
            </w:pPr>
            <w:del w:id="5477" w:author="AbbVie02no" w:date="2025-05-15T13:45:00Z">
              <w:r w:rsidRPr="009C5EFD">
                <w:rPr>
                  <w:sz w:val="22"/>
                  <w:szCs w:val="22"/>
                </w:rPr>
                <w:delText xml:space="preserve">Systemiske infeksjoner (inkludert </w:delText>
              </w:r>
              <w:r w:rsidR="002544F8">
                <w:rPr>
                  <w:sz w:val="22"/>
                  <w:szCs w:val="22"/>
                </w:rPr>
                <w:delText>sepsis</w:delText>
              </w:r>
              <w:r w:rsidRPr="009C5EFD">
                <w:rPr>
                  <w:sz w:val="22"/>
                  <w:szCs w:val="22"/>
                </w:rPr>
                <w:delText>, candidiasis og influensa), intestinale infeksjoner (inkludert viral gastroenteritt), hud- og bløtvevsinfeksjoner (inkludert paronyki, cellulitt, impetigo, nekrotiserende fasciitt og herpes zoster), øreinfeksjoner, orale infeksjoner (inkludert herpes simplex, oral herpes, tanninfeksjoner), infeksjoner i reproduksjonsorgan (inkludert vulvovaginal soppinfeksjon), urinveisinfeksjoner (inkludert pyelonefritt), soppinfeksjoner</w:delText>
              </w:r>
              <w:r w:rsidR="00783CEF" w:rsidRPr="009C5EFD">
                <w:rPr>
                  <w:sz w:val="22"/>
                  <w:szCs w:val="22"/>
                </w:rPr>
                <w:delText xml:space="preserve">, </w:delText>
              </w:r>
              <w:r w:rsidR="00783CEF" w:rsidRPr="009C5EFD">
                <w:rPr>
                  <w:szCs w:val="22"/>
                </w:rPr>
                <w:delText>leddinfeksjoner</w:delText>
              </w:r>
            </w:del>
          </w:p>
          <w:p w14:paraId="6945C9E9" w14:textId="6C367736" w:rsidR="000C7DCB" w:rsidRPr="009C5EFD" w:rsidRDefault="000C7DCB">
            <w:pPr>
              <w:keepNext/>
              <w:suppressAutoHyphens/>
              <w:rPr>
                <w:del w:id="5478" w:author="AbbVie02no" w:date="2025-05-15T13:45:00Z"/>
                <w:szCs w:val="22"/>
              </w:rPr>
              <w:pPrChange w:id="5479" w:author="AbbVie02no" w:date="2025-05-15T13:45:00Z">
                <w:pPr>
                  <w:pStyle w:val="EndnoteText"/>
                  <w:tabs>
                    <w:tab w:val="clear" w:pos="567"/>
                  </w:tabs>
                </w:pPr>
              </w:pPrChange>
            </w:pPr>
          </w:p>
        </w:tc>
      </w:tr>
      <w:tr w:rsidR="004644D4" w14:paraId="6B3B60E9" w14:textId="46AF0908" w:rsidTr="00032240">
        <w:trPr>
          <w:trHeight w:val="1594"/>
          <w:del w:id="5480" w:author="AbbVie02no" w:date="2025-05-15T13:45:00Z"/>
        </w:trPr>
        <w:tc>
          <w:tcPr>
            <w:tcW w:w="3079" w:type="dxa"/>
            <w:vMerge/>
          </w:tcPr>
          <w:p w14:paraId="37D27F6F" w14:textId="0615341D" w:rsidR="000C7DCB" w:rsidRPr="009C5EFD" w:rsidRDefault="000C7DCB">
            <w:pPr>
              <w:keepNext/>
              <w:suppressAutoHyphens/>
              <w:rPr>
                <w:del w:id="5481" w:author="AbbVie02no" w:date="2025-05-15T13:45:00Z"/>
                <w:szCs w:val="22"/>
              </w:rPr>
              <w:pPrChange w:id="5482" w:author="AbbVie02no" w:date="2025-05-15T13:45:00Z">
                <w:pPr>
                  <w:pStyle w:val="EndnoteText"/>
                  <w:tabs>
                    <w:tab w:val="clear" w:pos="567"/>
                  </w:tabs>
                </w:pPr>
              </w:pPrChange>
            </w:pPr>
          </w:p>
        </w:tc>
        <w:tc>
          <w:tcPr>
            <w:tcW w:w="1682" w:type="dxa"/>
          </w:tcPr>
          <w:p w14:paraId="216F96D9" w14:textId="30F9ACCE" w:rsidR="000C7DCB" w:rsidRPr="009C5EFD" w:rsidRDefault="00E453CD">
            <w:pPr>
              <w:keepNext/>
              <w:suppressAutoHyphens/>
              <w:rPr>
                <w:del w:id="5483" w:author="AbbVie02no" w:date="2025-05-15T13:45:00Z"/>
                <w:szCs w:val="22"/>
              </w:rPr>
              <w:pPrChange w:id="5484" w:author="AbbVie02no" w:date="2025-05-15T13:45:00Z">
                <w:pPr>
                  <w:pStyle w:val="EndnoteText"/>
                  <w:tabs>
                    <w:tab w:val="clear" w:pos="567"/>
                  </w:tabs>
                </w:pPr>
              </w:pPrChange>
            </w:pPr>
            <w:del w:id="5485" w:author="AbbVie02no" w:date="2025-05-15T13:45:00Z">
              <w:r w:rsidRPr="009C5EFD">
                <w:rPr>
                  <w:szCs w:val="22"/>
                </w:rPr>
                <w:delText>Mindre vanlige</w:delText>
              </w:r>
            </w:del>
          </w:p>
        </w:tc>
        <w:tc>
          <w:tcPr>
            <w:tcW w:w="4294" w:type="dxa"/>
          </w:tcPr>
          <w:p w14:paraId="50FACE49" w14:textId="1AF4008C" w:rsidR="000C7DCB" w:rsidRPr="009C5EFD" w:rsidRDefault="00E453CD">
            <w:pPr>
              <w:keepNext/>
              <w:suppressAutoHyphens/>
              <w:rPr>
                <w:del w:id="5486" w:author="AbbVie02no" w:date="2025-05-15T13:45:00Z"/>
                <w:szCs w:val="22"/>
                <w:vertAlign w:val="superscript"/>
              </w:rPr>
              <w:pPrChange w:id="5487" w:author="AbbVie02no" w:date="2025-05-15T13:45:00Z">
                <w:pPr>
                  <w:pStyle w:val="EMEANormal"/>
                  <w:widowControl w:val="0"/>
                </w:pPr>
              </w:pPrChange>
            </w:pPr>
            <w:del w:id="5488" w:author="AbbVie02no" w:date="2025-05-15T13:45:00Z">
              <w:r w:rsidRPr="009C5EFD">
                <w:rPr>
                  <w:szCs w:val="22"/>
                </w:rPr>
                <w:delText>Nevrologiske infeksjoner (inkludert viral meningitt), opportunistiske infeksjoner og tuberkulose (inkludert koksidioidomykose, histoplamose og mycobactrium avium kompleks-infeksjon), bakterieinfeksjoner, øyeinfeksjoner, divertikulitt</w:delText>
              </w:r>
              <w:r w:rsidRPr="009C5EFD">
                <w:rPr>
                  <w:szCs w:val="22"/>
                  <w:vertAlign w:val="superscript"/>
                </w:rPr>
                <w:delText>1)</w:delText>
              </w:r>
            </w:del>
          </w:p>
          <w:p w14:paraId="40C89CFD" w14:textId="1DC5C1F8" w:rsidR="000C7DCB" w:rsidRPr="009C5EFD" w:rsidRDefault="000C7DCB">
            <w:pPr>
              <w:keepNext/>
              <w:suppressAutoHyphens/>
              <w:rPr>
                <w:del w:id="5489" w:author="AbbVie02no" w:date="2025-05-15T13:45:00Z"/>
                <w:szCs w:val="22"/>
                <w:vertAlign w:val="superscript"/>
              </w:rPr>
              <w:pPrChange w:id="5490" w:author="AbbVie02no" w:date="2025-05-15T13:45:00Z">
                <w:pPr>
                  <w:pStyle w:val="EMEANormal"/>
                  <w:widowControl w:val="0"/>
                </w:pPr>
              </w:pPrChange>
            </w:pPr>
          </w:p>
        </w:tc>
      </w:tr>
      <w:tr w:rsidR="004644D4" w14:paraId="7D734345" w14:textId="52CD0C1C" w:rsidTr="00032240">
        <w:trPr>
          <w:del w:id="5491" w:author="AbbVie02no" w:date="2025-05-15T13:45:00Z"/>
        </w:trPr>
        <w:tc>
          <w:tcPr>
            <w:tcW w:w="3079" w:type="dxa"/>
            <w:vMerge w:val="restart"/>
          </w:tcPr>
          <w:p w14:paraId="6001C407" w14:textId="7438E867" w:rsidR="000C7DCB" w:rsidRPr="009C5EFD" w:rsidRDefault="00E453CD">
            <w:pPr>
              <w:keepNext/>
              <w:suppressAutoHyphens/>
              <w:rPr>
                <w:del w:id="5492" w:author="AbbVie02no" w:date="2025-05-15T13:45:00Z"/>
                <w:sz w:val="22"/>
                <w:szCs w:val="22"/>
              </w:rPr>
              <w:pPrChange w:id="5493" w:author="AbbVie02no" w:date="2025-05-15T13:45:00Z">
                <w:pPr/>
              </w:pPrChange>
            </w:pPr>
            <w:del w:id="5494" w:author="AbbVie02no" w:date="2025-05-15T13:45:00Z">
              <w:r w:rsidRPr="009C5EFD">
                <w:rPr>
                  <w:sz w:val="22"/>
                  <w:szCs w:val="22"/>
                </w:rPr>
                <w:delText>Godartede, ondartede og uspesifiserte svulster (inkludert cyster og polypper)*</w:delText>
              </w:r>
            </w:del>
          </w:p>
        </w:tc>
        <w:tc>
          <w:tcPr>
            <w:tcW w:w="1682" w:type="dxa"/>
          </w:tcPr>
          <w:p w14:paraId="3ECA2446" w14:textId="0681FC30" w:rsidR="000C7DCB" w:rsidRPr="009C5EFD" w:rsidRDefault="00E453CD">
            <w:pPr>
              <w:keepNext/>
              <w:suppressAutoHyphens/>
              <w:rPr>
                <w:del w:id="5495" w:author="AbbVie02no" w:date="2025-05-15T13:45:00Z"/>
                <w:sz w:val="22"/>
                <w:szCs w:val="22"/>
              </w:rPr>
              <w:pPrChange w:id="5496" w:author="AbbVie02no" w:date="2025-05-15T13:45:00Z">
                <w:pPr/>
              </w:pPrChange>
            </w:pPr>
            <w:del w:id="5497" w:author="AbbVie02no" w:date="2025-05-15T13:45:00Z">
              <w:r w:rsidRPr="009C5EFD">
                <w:rPr>
                  <w:sz w:val="22"/>
                  <w:szCs w:val="22"/>
                </w:rPr>
                <w:delText>Vanlige</w:delText>
              </w:r>
            </w:del>
          </w:p>
          <w:p w14:paraId="6BDE6233" w14:textId="43B476FC" w:rsidR="000C7DCB" w:rsidRPr="009C5EFD" w:rsidRDefault="000C7DCB">
            <w:pPr>
              <w:keepNext/>
              <w:suppressAutoHyphens/>
              <w:rPr>
                <w:del w:id="5498" w:author="AbbVie02no" w:date="2025-05-15T13:45:00Z"/>
                <w:sz w:val="22"/>
                <w:szCs w:val="22"/>
              </w:rPr>
              <w:pPrChange w:id="5499" w:author="AbbVie02no" w:date="2025-05-15T13:45:00Z">
                <w:pPr/>
              </w:pPrChange>
            </w:pPr>
          </w:p>
          <w:p w14:paraId="4D6A3763" w14:textId="7D456833" w:rsidR="000C7DCB" w:rsidRPr="009C5EFD" w:rsidRDefault="000C7DCB">
            <w:pPr>
              <w:keepNext/>
              <w:suppressAutoHyphens/>
              <w:rPr>
                <w:del w:id="5500" w:author="AbbVie02no" w:date="2025-05-15T13:45:00Z"/>
                <w:sz w:val="22"/>
                <w:szCs w:val="22"/>
              </w:rPr>
              <w:pPrChange w:id="5501" w:author="AbbVie02no" w:date="2025-05-15T13:45:00Z">
                <w:pPr/>
              </w:pPrChange>
            </w:pPr>
          </w:p>
        </w:tc>
        <w:tc>
          <w:tcPr>
            <w:tcW w:w="4294" w:type="dxa"/>
          </w:tcPr>
          <w:p w14:paraId="7EDBAA5A" w14:textId="7C4854D6" w:rsidR="000C7DCB" w:rsidRPr="009C5EFD" w:rsidRDefault="00E453CD">
            <w:pPr>
              <w:keepNext/>
              <w:suppressAutoHyphens/>
              <w:rPr>
                <w:del w:id="5502" w:author="AbbVie02no" w:date="2025-05-15T13:45:00Z"/>
                <w:sz w:val="22"/>
                <w:szCs w:val="22"/>
              </w:rPr>
              <w:pPrChange w:id="5503" w:author="AbbVie02no" w:date="2025-05-15T13:45:00Z">
                <w:pPr/>
              </w:pPrChange>
            </w:pPr>
            <w:del w:id="5504" w:author="AbbVie02no" w:date="2025-05-15T13:45:00Z">
              <w:r w:rsidRPr="009C5EFD">
                <w:rPr>
                  <w:sz w:val="22"/>
                  <w:szCs w:val="22"/>
                </w:rPr>
                <w:delText xml:space="preserve">Hudkreft unntatt melanom (inkludert basalcellekarsinom og </w:delText>
              </w:r>
              <w:r w:rsidRPr="009C5EFD">
                <w:rPr>
                  <w:rStyle w:val="equivalent"/>
                  <w:sz w:val="22"/>
                  <w:szCs w:val="22"/>
                </w:rPr>
                <w:delText>plateepitelkarsinom</w:delText>
              </w:r>
              <w:r w:rsidRPr="009C5EFD">
                <w:rPr>
                  <w:sz w:val="22"/>
                  <w:szCs w:val="22"/>
                </w:rPr>
                <w:delText xml:space="preserve">), godartet svulst </w:delText>
              </w:r>
            </w:del>
          </w:p>
          <w:p w14:paraId="4C233349" w14:textId="7DEB9C03" w:rsidR="000C7DCB" w:rsidRPr="009C5EFD" w:rsidRDefault="000C7DCB">
            <w:pPr>
              <w:keepNext/>
              <w:suppressAutoHyphens/>
              <w:rPr>
                <w:del w:id="5505" w:author="AbbVie02no" w:date="2025-05-15T13:45:00Z"/>
                <w:sz w:val="22"/>
                <w:szCs w:val="22"/>
              </w:rPr>
              <w:pPrChange w:id="5506" w:author="AbbVie02no" w:date="2025-05-15T13:45:00Z">
                <w:pPr/>
              </w:pPrChange>
            </w:pPr>
          </w:p>
        </w:tc>
      </w:tr>
      <w:tr w:rsidR="004644D4" w14:paraId="398E1FB6" w14:textId="77AF9B45" w:rsidTr="00032240">
        <w:trPr>
          <w:del w:id="5507" w:author="AbbVie02no" w:date="2025-05-15T13:45:00Z"/>
        </w:trPr>
        <w:tc>
          <w:tcPr>
            <w:tcW w:w="3079" w:type="dxa"/>
            <w:vMerge/>
          </w:tcPr>
          <w:p w14:paraId="49E8A068" w14:textId="1F56731A" w:rsidR="000C7DCB" w:rsidRPr="009C5EFD" w:rsidRDefault="000C7DCB">
            <w:pPr>
              <w:keepNext/>
              <w:suppressAutoHyphens/>
              <w:rPr>
                <w:del w:id="5508" w:author="AbbVie02no" w:date="2025-05-15T13:45:00Z"/>
                <w:sz w:val="22"/>
                <w:szCs w:val="22"/>
              </w:rPr>
              <w:pPrChange w:id="5509" w:author="AbbVie02no" w:date="2025-05-15T13:45:00Z">
                <w:pPr/>
              </w:pPrChange>
            </w:pPr>
          </w:p>
        </w:tc>
        <w:tc>
          <w:tcPr>
            <w:tcW w:w="1682" w:type="dxa"/>
          </w:tcPr>
          <w:p w14:paraId="7C5E96CF" w14:textId="2568A60D" w:rsidR="000C7DCB" w:rsidRPr="009C5EFD" w:rsidRDefault="00E453CD">
            <w:pPr>
              <w:keepNext/>
              <w:suppressAutoHyphens/>
              <w:rPr>
                <w:del w:id="5510" w:author="AbbVie02no" w:date="2025-05-15T13:45:00Z"/>
                <w:sz w:val="22"/>
                <w:szCs w:val="22"/>
              </w:rPr>
              <w:pPrChange w:id="5511" w:author="AbbVie02no" w:date="2025-05-15T13:45:00Z">
                <w:pPr/>
              </w:pPrChange>
            </w:pPr>
            <w:del w:id="5512" w:author="AbbVie02no" w:date="2025-05-15T13:45:00Z">
              <w:r w:rsidRPr="009C5EFD">
                <w:rPr>
                  <w:sz w:val="22"/>
                  <w:szCs w:val="22"/>
                </w:rPr>
                <w:delText>Mindre vanlige</w:delText>
              </w:r>
            </w:del>
          </w:p>
          <w:p w14:paraId="53CC8C04" w14:textId="3AB6F9AB" w:rsidR="000C7DCB" w:rsidRPr="009C5EFD" w:rsidRDefault="000C7DCB">
            <w:pPr>
              <w:keepNext/>
              <w:suppressAutoHyphens/>
              <w:rPr>
                <w:del w:id="5513" w:author="AbbVie02no" w:date="2025-05-15T13:45:00Z"/>
                <w:sz w:val="22"/>
                <w:szCs w:val="22"/>
              </w:rPr>
              <w:pPrChange w:id="5514" w:author="AbbVie02no" w:date="2025-05-15T13:45:00Z">
                <w:pPr/>
              </w:pPrChange>
            </w:pPr>
          </w:p>
        </w:tc>
        <w:tc>
          <w:tcPr>
            <w:tcW w:w="4294" w:type="dxa"/>
          </w:tcPr>
          <w:p w14:paraId="6924695D" w14:textId="24E521F0" w:rsidR="000C7DCB" w:rsidRPr="009C5EFD" w:rsidRDefault="00E453CD">
            <w:pPr>
              <w:keepNext/>
              <w:suppressAutoHyphens/>
              <w:rPr>
                <w:del w:id="5515" w:author="AbbVie02no" w:date="2025-05-15T13:45:00Z"/>
                <w:bCs/>
                <w:sz w:val="22"/>
                <w:szCs w:val="22"/>
              </w:rPr>
              <w:pPrChange w:id="5516" w:author="AbbVie02no" w:date="2025-05-15T13:45:00Z">
                <w:pPr/>
              </w:pPrChange>
            </w:pPr>
            <w:del w:id="5517" w:author="AbbVie02no" w:date="2025-05-15T13:45:00Z">
              <w:r w:rsidRPr="009C5EFD">
                <w:rPr>
                  <w:bCs/>
                  <w:sz w:val="22"/>
                  <w:szCs w:val="22"/>
                </w:rPr>
                <w:delText>Lymfom**, solid organneoplasme (inkludert brystkreft, svulst i lunge, svulst i skjoldbruskkjertel), melanom**</w:delText>
              </w:r>
            </w:del>
          </w:p>
          <w:p w14:paraId="34EB14EA" w14:textId="0553B767" w:rsidR="000C7DCB" w:rsidRPr="009C5EFD" w:rsidRDefault="000C7DCB">
            <w:pPr>
              <w:keepNext/>
              <w:suppressAutoHyphens/>
              <w:rPr>
                <w:del w:id="5518" w:author="AbbVie02no" w:date="2025-05-15T13:45:00Z"/>
                <w:sz w:val="22"/>
                <w:szCs w:val="22"/>
              </w:rPr>
              <w:pPrChange w:id="5519" w:author="AbbVie02no" w:date="2025-05-15T13:45:00Z">
                <w:pPr/>
              </w:pPrChange>
            </w:pPr>
          </w:p>
        </w:tc>
      </w:tr>
      <w:tr w:rsidR="004644D4" w14:paraId="75234C3C" w14:textId="7A381DC6" w:rsidTr="00032240">
        <w:trPr>
          <w:del w:id="5520" w:author="AbbVie02no" w:date="2025-05-15T13:45:00Z"/>
        </w:trPr>
        <w:tc>
          <w:tcPr>
            <w:tcW w:w="3079" w:type="dxa"/>
            <w:vMerge/>
          </w:tcPr>
          <w:p w14:paraId="1C6366A1" w14:textId="26E49064" w:rsidR="000C7DCB" w:rsidRPr="009C5EFD" w:rsidRDefault="000C7DCB">
            <w:pPr>
              <w:keepNext/>
              <w:suppressAutoHyphens/>
              <w:rPr>
                <w:del w:id="5521" w:author="AbbVie02no" w:date="2025-05-15T13:45:00Z"/>
                <w:sz w:val="22"/>
                <w:szCs w:val="22"/>
              </w:rPr>
              <w:pPrChange w:id="5522" w:author="AbbVie02no" w:date="2025-05-15T13:45:00Z">
                <w:pPr/>
              </w:pPrChange>
            </w:pPr>
          </w:p>
        </w:tc>
        <w:tc>
          <w:tcPr>
            <w:tcW w:w="1682" w:type="dxa"/>
          </w:tcPr>
          <w:p w14:paraId="2C64FC57" w14:textId="4C4921D9" w:rsidR="000C7DCB" w:rsidRPr="009C5EFD" w:rsidRDefault="00E453CD">
            <w:pPr>
              <w:keepNext/>
              <w:suppressAutoHyphens/>
              <w:rPr>
                <w:del w:id="5523" w:author="AbbVie02no" w:date="2025-05-15T13:45:00Z"/>
                <w:sz w:val="22"/>
                <w:szCs w:val="22"/>
              </w:rPr>
              <w:pPrChange w:id="5524" w:author="AbbVie02no" w:date="2025-05-15T13:45:00Z">
                <w:pPr/>
              </w:pPrChange>
            </w:pPr>
            <w:del w:id="5525" w:author="AbbVie02no" w:date="2025-05-15T13:45:00Z">
              <w:r w:rsidRPr="009C5EFD">
                <w:rPr>
                  <w:sz w:val="22"/>
                  <w:szCs w:val="22"/>
                </w:rPr>
                <w:delText>Sjeldne</w:delText>
              </w:r>
            </w:del>
          </w:p>
          <w:p w14:paraId="393164E1" w14:textId="2CA451A2" w:rsidR="000C7DCB" w:rsidRPr="009C5EFD" w:rsidRDefault="000C7DCB">
            <w:pPr>
              <w:keepNext/>
              <w:suppressAutoHyphens/>
              <w:rPr>
                <w:del w:id="5526" w:author="AbbVie02no" w:date="2025-05-15T13:45:00Z"/>
                <w:sz w:val="22"/>
                <w:szCs w:val="22"/>
              </w:rPr>
              <w:pPrChange w:id="5527" w:author="AbbVie02no" w:date="2025-05-15T13:45:00Z">
                <w:pPr/>
              </w:pPrChange>
            </w:pPr>
          </w:p>
        </w:tc>
        <w:tc>
          <w:tcPr>
            <w:tcW w:w="4294" w:type="dxa"/>
          </w:tcPr>
          <w:p w14:paraId="36F7EC52" w14:textId="01D36ACB" w:rsidR="000C7DCB" w:rsidRPr="009C5EFD" w:rsidRDefault="00E453CD">
            <w:pPr>
              <w:keepNext/>
              <w:suppressAutoHyphens/>
              <w:rPr>
                <w:del w:id="5528" w:author="AbbVie02no" w:date="2025-05-15T13:45:00Z"/>
                <w:sz w:val="22"/>
                <w:szCs w:val="22"/>
                <w:vertAlign w:val="superscript"/>
              </w:rPr>
              <w:pPrChange w:id="5529" w:author="AbbVie02no" w:date="2025-05-15T13:45:00Z">
                <w:pPr/>
              </w:pPrChange>
            </w:pPr>
            <w:del w:id="5530" w:author="AbbVie02no" w:date="2025-05-15T13:45:00Z">
              <w:r w:rsidRPr="009C5EFD">
                <w:rPr>
                  <w:sz w:val="22"/>
                  <w:szCs w:val="22"/>
                </w:rPr>
                <w:delText>Leukemi</w:delText>
              </w:r>
              <w:r w:rsidRPr="009C5EFD">
                <w:rPr>
                  <w:sz w:val="22"/>
                  <w:szCs w:val="22"/>
                  <w:vertAlign w:val="superscript"/>
                </w:rPr>
                <w:delText>1)</w:delText>
              </w:r>
            </w:del>
          </w:p>
          <w:p w14:paraId="6031E4CC" w14:textId="26B49EAD" w:rsidR="000C7DCB" w:rsidRPr="009C5EFD" w:rsidRDefault="000C7DCB">
            <w:pPr>
              <w:keepNext/>
              <w:suppressAutoHyphens/>
              <w:rPr>
                <w:del w:id="5531" w:author="AbbVie02no" w:date="2025-05-15T13:45:00Z"/>
                <w:sz w:val="22"/>
                <w:szCs w:val="22"/>
              </w:rPr>
              <w:pPrChange w:id="5532" w:author="AbbVie02no" w:date="2025-05-15T13:45:00Z">
                <w:pPr/>
              </w:pPrChange>
            </w:pPr>
          </w:p>
        </w:tc>
      </w:tr>
      <w:tr w:rsidR="004644D4" w14:paraId="609252D3" w14:textId="49494549" w:rsidTr="00032240">
        <w:trPr>
          <w:del w:id="5533" w:author="AbbVie02no" w:date="2025-05-15T13:45:00Z"/>
        </w:trPr>
        <w:tc>
          <w:tcPr>
            <w:tcW w:w="3079" w:type="dxa"/>
            <w:vMerge/>
          </w:tcPr>
          <w:p w14:paraId="663089BD" w14:textId="55DB3E59" w:rsidR="000C7DCB" w:rsidRPr="009C5EFD" w:rsidRDefault="000C7DCB">
            <w:pPr>
              <w:keepNext/>
              <w:suppressAutoHyphens/>
              <w:rPr>
                <w:del w:id="5534" w:author="AbbVie02no" w:date="2025-05-15T13:45:00Z"/>
                <w:sz w:val="22"/>
                <w:szCs w:val="22"/>
              </w:rPr>
              <w:pPrChange w:id="5535" w:author="AbbVie02no" w:date="2025-05-15T13:45:00Z">
                <w:pPr/>
              </w:pPrChange>
            </w:pPr>
          </w:p>
        </w:tc>
        <w:tc>
          <w:tcPr>
            <w:tcW w:w="1682" w:type="dxa"/>
          </w:tcPr>
          <w:p w14:paraId="6F20FFE2" w14:textId="5F63FEDC" w:rsidR="000C7DCB" w:rsidRPr="009C5EFD" w:rsidRDefault="00E453CD">
            <w:pPr>
              <w:keepNext/>
              <w:suppressAutoHyphens/>
              <w:rPr>
                <w:del w:id="5536" w:author="AbbVie02no" w:date="2025-05-15T13:45:00Z"/>
                <w:sz w:val="22"/>
                <w:szCs w:val="22"/>
              </w:rPr>
              <w:pPrChange w:id="5537" w:author="AbbVie02no" w:date="2025-05-15T13:45:00Z">
                <w:pPr/>
              </w:pPrChange>
            </w:pPr>
            <w:del w:id="5538" w:author="AbbVie02no" w:date="2025-05-15T13:45:00Z">
              <w:r w:rsidRPr="009C5EFD">
                <w:rPr>
                  <w:sz w:val="22"/>
                  <w:szCs w:val="22"/>
                </w:rPr>
                <w:delText>Ikke kjent</w:delText>
              </w:r>
            </w:del>
          </w:p>
        </w:tc>
        <w:tc>
          <w:tcPr>
            <w:tcW w:w="4294" w:type="dxa"/>
          </w:tcPr>
          <w:p w14:paraId="60057457" w14:textId="434FA1C9" w:rsidR="000C7DCB" w:rsidRDefault="00E453CD">
            <w:pPr>
              <w:keepNext/>
              <w:suppressAutoHyphens/>
              <w:rPr>
                <w:del w:id="5539" w:author="AbbVie02no" w:date="2025-05-15T13:45:00Z"/>
                <w:sz w:val="22"/>
                <w:szCs w:val="22"/>
                <w:lang w:val="sv-SE"/>
              </w:rPr>
              <w:pPrChange w:id="5540" w:author="AbbVie02no" w:date="2025-05-15T13:45:00Z">
                <w:pPr/>
              </w:pPrChange>
            </w:pPr>
            <w:del w:id="5541" w:author="AbbVie02no" w:date="2025-05-15T13:45:00Z">
              <w:r w:rsidRPr="009C5EFD">
                <w:rPr>
                  <w:sz w:val="22"/>
                  <w:szCs w:val="22"/>
                  <w:lang w:val="sv-SE"/>
                </w:rPr>
                <w:delText>Hepatosplenisk T-cellelymfom</w:delText>
              </w:r>
              <w:r w:rsidRPr="009C5EFD">
                <w:rPr>
                  <w:sz w:val="22"/>
                  <w:szCs w:val="22"/>
                  <w:vertAlign w:val="superscript"/>
                  <w:lang w:val="sv-SE"/>
                </w:rPr>
                <w:delText>1)</w:delText>
              </w:r>
              <w:r w:rsidR="00893AE8" w:rsidRPr="009C5EFD">
                <w:rPr>
                  <w:sz w:val="22"/>
                  <w:szCs w:val="22"/>
                  <w:lang w:val="sv-SE"/>
                </w:rPr>
                <w:delText>, merkelcellekarsinom (neuroendokrin karsinom av huden</w:delText>
              </w:r>
              <w:r w:rsidR="00893AE8" w:rsidRPr="009C5EFD">
                <w:rPr>
                  <w:sz w:val="22"/>
                  <w:szCs w:val="22"/>
                  <w:vertAlign w:val="superscript"/>
                  <w:lang w:val="sv-SE"/>
                </w:rPr>
                <w:delText>1)</w:delText>
              </w:r>
              <w:r w:rsidR="00C448C3">
                <w:rPr>
                  <w:sz w:val="22"/>
                  <w:szCs w:val="22"/>
                  <w:lang w:val="sv-SE"/>
                </w:rPr>
                <w:delText>,</w:delText>
              </w:r>
            </w:del>
          </w:p>
          <w:p w14:paraId="4C4D1588" w14:textId="1E8EB87E" w:rsidR="00C448C3" w:rsidRPr="00C448C3" w:rsidRDefault="00E453CD">
            <w:pPr>
              <w:keepNext/>
              <w:suppressAutoHyphens/>
              <w:rPr>
                <w:del w:id="5542" w:author="AbbVie02no" w:date="2025-05-15T13:45:00Z"/>
                <w:sz w:val="22"/>
                <w:szCs w:val="22"/>
                <w:lang w:val="sv-SE"/>
              </w:rPr>
              <w:pPrChange w:id="5543" w:author="AbbVie02no" w:date="2025-05-15T13:45:00Z">
                <w:pPr/>
              </w:pPrChange>
            </w:pPr>
            <w:del w:id="5544" w:author="AbbVie02no" w:date="2025-05-15T13:45:00Z">
              <w:r>
                <w:rPr>
                  <w:sz w:val="22"/>
                  <w:szCs w:val="22"/>
                  <w:lang w:val="sv-SE"/>
                </w:rPr>
                <w:delText>Kaposis sarkom</w:delText>
              </w:r>
            </w:del>
          </w:p>
          <w:p w14:paraId="443FD9C6" w14:textId="64486B4D" w:rsidR="000C7DCB" w:rsidRPr="009C5EFD" w:rsidRDefault="000C7DCB">
            <w:pPr>
              <w:keepNext/>
              <w:suppressAutoHyphens/>
              <w:rPr>
                <w:del w:id="5545" w:author="AbbVie02no" w:date="2025-05-15T13:45:00Z"/>
                <w:sz w:val="22"/>
                <w:szCs w:val="22"/>
                <w:vertAlign w:val="superscript"/>
                <w:lang w:val="sv-SE"/>
              </w:rPr>
              <w:pPrChange w:id="5546" w:author="AbbVie02no" w:date="2025-05-15T13:45:00Z">
                <w:pPr/>
              </w:pPrChange>
            </w:pPr>
          </w:p>
        </w:tc>
      </w:tr>
      <w:tr w:rsidR="004644D4" w14:paraId="319F651D" w14:textId="4009A6E2" w:rsidTr="00032240">
        <w:trPr>
          <w:del w:id="5547" w:author="AbbVie02no" w:date="2025-05-15T13:45:00Z"/>
        </w:trPr>
        <w:tc>
          <w:tcPr>
            <w:tcW w:w="3079" w:type="dxa"/>
            <w:vMerge w:val="restart"/>
          </w:tcPr>
          <w:p w14:paraId="688056F2" w14:textId="16F13895" w:rsidR="000C7DCB" w:rsidRPr="007F67EE" w:rsidRDefault="00E453CD">
            <w:pPr>
              <w:keepNext/>
              <w:suppressAutoHyphens/>
              <w:rPr>
                <w:del w:id="5548" w:author="AbbVie02no" w:date="2025-05-15T13:45:00Z"/>
                <w:szCs w:val="22"/>
              </w:rPr>
              <w:pPrChange w:id="5549" w:author="AbbVie02no" w:date="2025-05-15T13:45:00Z">
                <w:pPr>
                  <w:pStyle w:val="EndnoteText"/>
                </w:pPr>
              </w:pPrChange>
            </w:pPr>
            <w:del w:id="5550" w:author="AbbVie02no" w:date="2025-05-15T13:45:00Z">
              <w:r w:rsidRPr="007F67EE">
                <w:rPr>
                  <w:szCs w:val="22"/>
                </w:rPr>
                <w:delText>Sykdommer i blod og lymfatiske organer</w:delText>
              </w:r>
            </w:del>
          </w:p>
        </w:tc>
        <w:tc>
          <w:tcPr>
            <w:tcW w:w="1682" w:type="dxa"/>
          </w:tcPr>
          <w:p w14:paraId="1E946A24" w14:textId="0BC14DB1" w:rsidR="000C7DCB" w:rsidRPr="00193D76" w:rsidRDefault="00E453CD">
            <w:pPr>
              <w:keepNext/>
              <w:suppressAutoHyphens/>
              <w:rPr>
                <w:del w:id="5551" w:author="AbbVie02no" w:date="2025-05-15T13:45:00Z"/>
                <w:sz w:val="22"/>
                <w:szCs w:val="22"/>
              </w:rPr>
              <w:pPrChange w:id="5552" w:author="AbbVie02no" w:date="2025-05-15T13:45:00Z">
                <w:pPr/>
              </w:pPrChange>
            </w:pPr>
            <w:del w:id="5553" w:author="AbbVie02no" w:date="2025-05-15T13:45:00Z">
              <w:r w:rsidRPr="00193D76">
                <w:rPr>
                  <w:sz w:val="22"/>
                  <w:szCs w:val="22"/>
                </w:rPr>
                <w:delText>Svært vanlige</w:delText>
              </w:r>
            </w:del>
          </w:p>
          <w:p w14:paraId="3EB8B3F4" w14:textId="11CE2F7C" w:rsidR="000C7DCB" w:rsidRPr="00193D76" w:rsidRDefault="000C7DCB">
            <w:pPr>
              <w:keepNext/>
              <w:suppressAutoHyphens/>
              <w:rPr>
                <w:del w:id="5554" w:author="AbbVie02no" w:date="2025-05-15T13:45:00Z"/>
                <w:sz w:val="22"/>
                <w:szCs w:val="22"/>
              </w:rPr>
              <w:pPrChange w:id="5555" w:author="AbbVie02no" w:date="2025-05-15T13:45:00Z">
                <w:pPr/>
              </w:pPrChange>
            </w:pPr>
          </w:p>
        </w:tc>
        <w:tc>
          <w:tcPr>
            <w:tcW w:w="4294" w:type="dxa"/>
          </w:tcPr>
          <w:p w14:paraId="4EDC7F6A" w14:textId="60D4CFED" w:rsidR="000C7DCB" w:rsidRPr="00E14E58" w:rsidRDefault="00E453CD">
            <w:pPr>
              <w:keepNext/>
              <w:suppressAutoHyphens/>
              <w:rPr>
                <w:del w:id="5556" w:author="AbbVie02no" w:date="2025-05-15T13:45:00Z"/>
                <w:sz w:val="22"/>
                <w:szCs w:val="22"/>
              </w:rPr>
              <w:pPrChange w:id="5557" w:author="AbbVie02no" w:date="2025-05-15T13:45:00Z">
                <w:pPr/>
              </w:pPrChange>
            </w:pPr>
            <w:del w:id="5558" w:author="AbbVie02no" w:date="2025-05-15T13:45:00Z">
              <w:r w:rsidRPr="002D0790">
                <w:rPr>
                  <w:sz w:val="22"/>
                  <w:szCs w:val="22"/>
                </w:rPr>
                <w:delText>Le</w:delText>
              </w:r>
              <w:r w:rsidR="0086231F" w:rsidRPr="002D0790">
                <w:rPr>
                  <w:sz w:val="22"/>
                  <w:szCs w:val="22"/>
                </w:rPr>
                <w:delText>u</w:delText>
              </w:r>
              <w:r w:rsidRPr="00E14E58">
                <w:rPr>
                  <w:sz w:val="22"/>
                  <w:szCs w:val="22"/>
                </w:rPr>
                <w:delText>kopeni (inkludert nøytropeni og agranulocytose), anemi</w:delText>
              </w:r>
            </w:del>
          </w:p>
          <w:p w14:paraId="7C10F54C" w14:textId="5F399B5A" w:rsidR="000C7DCB" w:rsidRPr="009C5EFD" w:rsidRDefault="000C7DCB">
            <w:pPr>
              <w:keepNext/>
              <w:suppressAutoHyphens/>
              <w:rPr>
                <w:del w:id="5559" w:author="AbbVie02no" w:date="2025-05-15T13:45:00Z"/>
                <w:sz w:val="22"/>
                <w:szCs w:val="22"/>
              </w:rPr>
              <w:pPrChange w:id="5560" w:author="AbbVie02no" w:date="2025-05-15T13:45:00Z">
                <w:pPr/>
              </w:pPrChange>
            </w:pPr>
          </w:p>
        </w:tc>
      </w:tr>
      <w:tr w:rsidR="004644D4" w14:paraId="5991CC6E" w14:textId="42AD7D23" w:rsidTr="00032240">
        <w:trPr>
          <w:del w:id="5561" w:author="AbbVie02no" w:date="2025-05-15T13:45:00Z"/>
        </w:trPr>
        <w:tc>
          <w:tcPr>
            <w:tcW w:w="3079" w:type="dxa"/>
            <w:vMerge/>
          </w:tcPr>
          <w:p w14:paraId="4AF6D0CB" w14:textId="4D54081D" w:rsidR="000C7DCB" w:rsidRPr="009C5EFD" w:rsidRDefault="000C7DCB">
            <w:pPr>
              <w:keepNext/>
              <w:suppressAutoHyphens/>
              <w:rPr>
                <w:del w:id="5562" w:author="AbbVie02no" w:date="2025-05-15T13:45:00Z"/>
                <w:szCs w:val="22"/>
              </w:rPr>
              <w:pPrChange w:id="5563" w:author="AbbVie02no" w:date="2025-05-15T13:45:00Z">
                <w:pPr>
                  <w:pStyle w:val="EndnoteText"/>
                </w:pPr>
              </w:pPrChange>
            </w:pPr>
          </w:p>
        </w:tc>
        <w:tc>
          <w:tcPr>
            <w:tcW w:w="1682" w:type="dxa"/>
          </w:tcPr>
          <w:p w14:paraId="79B4CB9E" w14:textId="36F922ED" w:rsidR="000C7DCB" w:rsidRPr="009C5EFD" w:rsidRDefault="00E453CD">
            <w:pPr>
              <w:keepNext/>
              <w:suppressAutoHyphens/>
              <w:rPr>
                <w:del w:id="5564" w:author="AbbVie02no" w:date="2025-05-15T13:45:00Z"/>
                <w:sz w:val="22"/>
                <w:szCs w:val="22"/>
              </w:rPr>
              <w:pPrChange w:id="5565" w:author="AbbVie02no" w:date="2025-05-15T13:45:00Z">
                <w:pPr/>
              </w:pPrChange>
            </w:pPr>
            <w:del w:id="5566" w:author="AbbVie02no" w:date="2025-05-15T13:45:00Z">
              <w:r w:rsidRPr="009C5EFD">
                <w:rPr>
                  <w:sz w:val="22"/>
                  <w:szCs w:val="22"/>
                </w:rPr>
                <w:delText>Vanlige</w:delText>
              </w:r>
            </w:del>
          </w:p>
          <w:p w14:paraId="27F45E5E" w14:textId="0EBDB731" w:rsidR="000C7DCB" w:rsidRPr="009C5EFD" w:rsidRDefault="000C7DCB">
            <w:pPr>
              <w:keepNext/>
              <w:suppressAutoHyphens/>
              <w:rPr>
                <w:del w:id="5567" w:author="AbbVie02no" w:date="2025-05-15T13:45:00Z"/>
                <w:sz w:val="22"/>
                <w:szCs w:val="22"/>
              </w:rPr>
              <w:pPrChange w:id="5568" w:author="AbbVie02no" w:date="2025-05-15T13:45:00Z">
                <w:pPr/>
              </w:pPrChange>
            </w:pPr>
          </w:p>
        </w:tc>
        <w:tc>
          <w:tcPr>
            <w:tcW w:w="4294" w:type="dxa"/>
          </w:tcPr>
          <w:p w14:paraId="64D4FA43" w14:textId="7734E120" w:rsidR="000C7DCB" w:rsidRPr="009C5EFD" w:rsidRDefault="00E453CD">
            <w:pPr>
              <w:keepNext/>
              <w:suppressAutoHyphens/>
              <w:rPr>
                <w:del w:id="5569" w:author="AbbVie02no" w:date="2025-05-15T13:45:00Z"/>
                <w:sz w:val="22"/>
                <w:szCs w:val="22"/>
              </w:rPr>
              <w:pPrChange w:id="5570" w:author="AbbVie02no" w:date="2025-05-15T13:45:00Z">
                <w:pPr/>
              </w:pPrChange>
            </w:pPr>
            <w:del w:id="5571" w:author="AbbVie02no" w:date="2025-05-15T13:45:00Z">
              <w:r w:rsidRPr="009C5EFD">
                <w:rPr>
                  <w:sz w:val="22"/>
                  <w:szCs w:val="22"/>
                </w:rPr>
                <w:delText>Le</w:delText>
              </w:r>
              <w:r w:rsidR="00827E81" w:rsidRPr="009C5EFD">
                <w:rPr>
                  <w:sz w:val="22"/>
                  <w:szCs w:val="22"/>
                </w:rPr>
                <w:delText>u</w:delText>
              </w:r>
              <w:r w:rsidRPr="009C5EFD">
                <w:rPr>
                  <w:sz w:val="22"/>
                  <w:szCs w:val="22"/>
                </w:rPr>
                <w:delText>kocytose, trombocytopeni</w:delText>
              </w:r>
            </w:del>
          </w:p>
        </w:tc>
      </w:tr>
      <w:tr w:rsidR="004644D4" w14:paraId="4AF5E4AC" w14:textId="7AED32F2" w:rsidTr="00032240">
        <w:trPr>
          <w:del w:id="5572" w:author="AbbVie02no" w:date="2025-05-15T13:45:00Z"/>
        </w:trPr>
        <w:tc>
          <w:tcPr>
            <w:tcW w:w="3079" w:type="dxa"/>
            <w:vMerge/>
          </w:tcPr>
          <w:p w14:paraId="495C8DF9" w14:textId="14A692F1" w:rsidR="000C7DCB" w:rsidRPr="009C5EFD" w:rsidRDefault="000C7DCB">
            <w:pPr>
              <w:keepNext/>
              <w:suppressAutoHyphens/>
              <w:rPr>
                <w:del w:id="5573" w:author="AbbVie02no" w:date="2025-05-15T13:45:00Z"/>
                <w:szCs w:val="22"/>
              </w:rPr>
              <w:pPrChange w:id="5574" w:author="AbbVie02no" w:date="2025-05-15T13:45:00Z">
                <w:pPr>
                  <w:pStyle w:val="EndnoteText"/>
                </w:pPr>
              </w:pPrChange>
            </w:pPr>
          </w:p>
        </w:tc>
        <w:tc>
          <w:tcPr>
            <w:tcW w:w="1682" w:type="dxa"/>
          </w:tcPr>
          <w:p w14:paraId="7EBF6684" w14:textId="58F81200" w:rsidR="000C7DCB" w:rsidRPr="009C5EFD" w:rsidRDefault="00E453CD">
            <w:pPr>
              <w:keepNext/>
              <w:suppressAutoHyphens/>
              <w:rPr>
                <w:del w:id="5575" w:author="AbbVie02no" w:date="2025-05-15T13:45:00Z"/>
                <w:sz w:val="22"/>
                <w:szCs w:val="22"/>
              </w:rPr>
              <w:pPrChange w:id="5576" w:author="AbbVie02no" w:date="2025-05-15T13:45:00Z">
                <w:pPr/>
              </w:pPrChange>
            </w:pPr>
            <w:del w:id="5577" w:author="AbbVie02no" w:date="2025-05-15T13:45:00Z">
              <w:r w:rsidRPr="009C5EFD">
                <w:rPr>
                  <w:sz w:val="22"/>
                  <w:szCs w:val="22"/>
                </w:rPr>
                <w:delText>Mindre vanlige</w:delText>
              </w:r>
            </w:del>
          </w:p>
          <w:p w14:paraId="0FCCC6B9" w14:textId="3FD7626A" w:rsidR="000C7DCB" w:rsidRPr="009C5EFD" w:rsidRDefault="000C7DCB">
            <w:pPr>
              <w:keepNext/>
              <w:suppressAutoHyphens/>
              <w:rPr>
                <w:del w:id="5578" w:author="AbbVie02no" w:date="2025-05-15T13:45:00Z"/>
                <w:sz w:val="22"/>
                <w:szCs w:val="22"/>
              </w:rPr>
              <w:pPrChange w:id="5579" w:author="AbbVie02no" w:date="2025-05-15T13:45:00Z">
                <w:pPr/>
              </w:pPrChange>
            </w:pPr>
          </w:p>
        </w:tc>
        <w:tc>
          <w:tcPr>
            <w:tcW w:w="4294" w:type="dxa"/>
          </w:tcPr>
          <w:p w14:paraId="3DF068EB" w14:textId="7BD6CFC2" w:rsidR="000C7DCB" w:rsidRPr="009C5EFD" w:rsidRDefault="00E453CD">
            <w:pPr>
              <w:keepNext/>
              <w:suppressAutoHyphens/>
              <w:rPr>
                <w:del w:id="5580" w:author="AbbVie02no" w:date="2025-05-15T13:45:00Z"/>
                <w:sz w:val="22"/>
                <w:szCs w:val="22"/>
              </w:rPr>
              <w:pPrChange w:id="5581" w:author="AbbVie02no" w:date="2025-05-15T13:45:00Z">
                <w:pPr/>
              </w:pPrChange>
            </w:pPr>
            <w:del w:id="5582" w:author="AbbVie02no" w:date="2025-05-15T13:45:00Z">
              <w:r w:rsidRPr="009C5EFD">
                <w:rPr>
                  <w:sz w:val="22"/>
                  <w:szCs w:val="22"/>
                </w:rPr>
                <w:delText>Idiopatisk trombocytopenisk purpura</w:delText>
              </w:r>
            </w:del>
          </w:p>
        </w:tc>
      </w:tr>
      <w:tr w:rsidR="004644D4" w14:paraId="6C4BB0AE" w14:textId="59B49255" w:rsidTr="00032240">
        <w:trPr>
          <w:del w:id="5583" w:author="AbbVie02no" w:date="2025-05-15T13:45:00Z"/>
        </w:trPr>
        <w:tc>
          <w:tcPr>
            <w:tcW w:w="3079" w:type="dxa"/>
            <w:vMerge/>
          </w:tcPr>
          <w:p w14:paraId="56528A80" w14:textId="78C85649" w:rsidR="000C7DCB" w:rsidRPr="009C5EFD" w:rsidRDefault="000C7DCB">
            <w:pPr>
              <w:keepNext/>
              <w:suppressAutoHyphens/>
              <w:rPr>
                <w:del w:id="5584" w:author="AbbVie02no" w:date="2025-05-15T13:45:00Z"/>
                <w:szCs w:val="22"/>
              </w:rPr>
              <w:pPrChange w:id="5585" w:author="AbbVie02no" w:date="2025-05-15T13:45:00Z">
                <w:pPr>
                  <w:pStyle w:val="EndnoteText"/>
                  <w:tabs>
                    <w:tab w:val="clear" w:pos="567"/>
                  </w:tabs>
                </w:pPr>
              </w:pPrChange>
            </w:pPr>
          </w:p>
        </w:tc>
        <w:tc>
          <w:tcPr>
            <w:tcW w:w="1682" w:type="dxa"/>
          </w:tcPr>
          <w:p w14:paraId="37983F8B" w14:textId="676C7F24" w:rsidR="000C7DCB" w:rsidRPr="009C5EFD" w:rsidRDefault="00E453CD">
            <w:pPr>
              <w:keepNext/>
              <w:suppressAutoHyphens/>
              <w:rPr>
                <w:del w:id="5586" w:author="AbbVie02no" w:date="2025-05-15T13:45:00Z"/>
                <w:sz w:val="22"/>
                <w:szCs w:val="22"/>
              </w:rPr>
              <w:pPrChange w:id="5587" w:author="AbbVie02no" w:date="2025-05-15T13:45:00Z">
                <w:pPr/>
              </w:pPrChange>
            </w:pPr>
            <w:del w:id="5588" w:author="AbbVie02no" w:date="2025-05-15T13:45:00Z">
              <w:r w:rsidRPr="009C5EFD">
                <w:rPr>
                  <w:sz w:val="22"/>
                  <w:szCs w:val="22"/>
                </w:rPr>
                <w:delText>Sjeldne</w:delText>
              </w:r>
            </w:del>
          </w:p>
        </w:tc>
        <w:tc>
          <w:tcPr>
            <w:tcW w:w="4294" w:type="dxa"/>
          </w:tcPr>
          <w:p w14:paraId="66CA98AD" w14:textId="38CB79F2" w:rsidR="000C7DCB" w:rsidRPr="009C5EFD" w:rsidRDefault="00E453CD">
            <w:pPr>
              <w:keepNext/>
              <w:suppressAutoHyphens/>
              <w:rPr>
                <w:del w:id="5589" w:author="AbbVie02no" w:date="2025-05-15T13:45:00Z"/>
                <w:sz w:val="22"/>
                <w:szCs w:val="22"/>
              </w:rPr>
              <w:pPrChange w:id="5590" w:author="AbbVie02no" w:date="2025-05-15T13:45:00Z">
                <w:pPr/>
              </w:pPrChange>
            </w:pPr>
            <w:del w:id="5591" w:author="AbbVie02no" w:date="2025-05-15T13:45:00Z">
              <w:r w:rsidRPr="009C5EFD">
                <w:rPr>
                  <w:sz w:val="22"/>
                  <w:szCs w:val="22"/>
                </w:rPr>
                <w:delText>Pancytopeni</w:delText>
              </w:r>
            </w:del>
          </w:p>
          <w:p w14:paraId="0550153E" w14:textId="7111FA19" w:rsidR="000C7DCB" w:rsidRPr="009C5EFD" w:rsidRDefault="000C7DCB">
            <w:pPr>
              <w:keepNext/>
              <w:suppressAutoHyphens/>
              <w:rPr>
                <w:del w:id="5592" w:author="AbbVie02no" w:date="2025-05-15T13:45:00Z"/>
                <w:sz w:val="22"/>
                <w:szCs w:val="22"/>
              </w:rPr>
              <w:pPrChange w:id="5593" w:author="AbbVie02no" w:date="2025-05-15T13:45:00Z">
                <w:pPr/>
              </w:pPrChange>
            </w:pPr>
          </w:p>
        </w:tc>
      </w:tr>
      <w:tr w:rsidR="004644D4" w14:paraId="7F063611" w14:textId="36A22100" w:rsidTr="00032240">
        <w:trPr>
          <w:del w:id="5594" w:author="AbbVie02no" w:date="2025-05-15T13:45:00Z"/>
        </w:trPr>
        <w:tc>
          <w:tcPr>
            <w:tcW w:w="3079" w:type="dxa"/>
            <w:vMerge w:val="restart"/>
          </w:tcPr>
          <w:p w14:paraId="2EC5F627" w14:textId="6E312E87" w:rsidR="000C7DCB" w:rsidRPr="007F67EE" w:rsidRDefault="00E453CD">
            <w:pPr>
              <w:keepNext/>
              <w:suppressAutoHyphens/>
              <w:rPr>
                <w:del w:id="5595" w:author="AbbVie02no" w:date="2025-05-15T13:45:00Z"/>
                <w:szCs w:val="22"/>
              </w:rPr>
              <w:pPrChange w:id="5596" w:author="AbbVie02no" w:date="2025-05-15T13:45:00Z">
                <w:pPr>
                  <w:pStyle w:val="EndnoteText"/>
                  <w:tabs>
                    <w:tab w:val="clear" w:pos="567"/>
                  </w:tabs>
                </w:pPr>
              </w:pPrChange>
            </w:pPr>
            <w:del w:id="5597" w:author="AbbVie02no" w:date="2025-05-15T13:45:00Z">
              <w:r w:rsidRPr="007F67EE">
                <w:rPr>
                  <w:szCs w:val="22"/>
                </w:rPr>
                <w:delText>Forstyrrelser i immunsystemet*</w:delText>
              </w:r>
            </w:del>
          </w:p>
        </w:tc>
        <w:tc>
          <w:tcPr>
            <w:tcW w:w="1682" w:type="dxa"/>
          </w:tcPr>
          <w:p w14:paraId="7B810238" w14:textId="08EB61BE" w:rsidR="000C7DCB" w:rsidRPr="00193D76" w:rsidRDefault="00E453CD">
            <w:pPr>
              <w:keepNext/>
              <w:suppressAutoHyphens/>
              <w:rPr>
                <w:del w:id="5598" w:author="AbbVie02no" w:date="2025-05-15T13:45:00Z"/>
                <w:sz w:val="22"/>
                <w:szCs w:val="22"/>
              </w:rPr>
              <w:pPrChange w:id="5599" w:author="AbbVie02no" w:date="2025-05-15T13:45:00Z">
                <w:pPr/>
              </w:pPrChange>
            </w:pPr>
            <w:del w:id="5600" w:author="AbbVie02no" w:date="2025-05-15T13:45:00Z">
              <w:r w:rsidRPr="00193D76">
                <w:rPr>
                  <w:sz w:val="22"/>
                  <w:szCs w:val="22"/>
                </w:rPr>
                <w:delText>Vanlige</w:delText>
              </w:r>
            </w:del>
          </w:p>
        </w:tc>
        <w:tc>
          <w:tcPr>
            <w:tcW w:w="4294" w:type="dxa"/>
          </w:tcPr>
          <w:p w14:paraId="1F3F0632" w14:textId="3D3F9735" w:rsidR="000C7DCB" w:rsidRPr="00193D76" w:rsidRDefault="00E453CD">
            <w:pPr>
              <w:keepNext/>
              <w:suppressAutoHyphens/>
              <w:rPr>
                <w:del w:id="5601" w:author="AbbVie02no" w:date="2025-05-15T13:45:00Z"/>
                <w:sz w:val="22"/>
                <w:szCs w:val="22"/>
              </w:rPr>
              <w:pPrChange w:id="5602" w:author="AbbVie02no" w:date="2025-05-15T13:45:00Z">
                <w:pPr/>
              </w:pPrChange>
            </w:pPr>
            <w:del w:id="5603" w:author="AbbVie02no" w:date="2025-05-15T13:45:00Z">
              <w:r w:rsidRPr="00193D76">
                <w:rPr>
                  <w:sz w:val="22"/>
                  <w:szCs w:val="22"/>
                </w:rPr>
                <w:delText>Hypersensitivitet, allergier (inkludert sesongbetinget allergi)</w:delText>
              </w:r>
            </w:del>
          </w:p>
          <w:p w14:paraId="4FDD7CB6" w14:textId="4B988E91" w:rsidR="000C7DCB" w:rsidRPr="002D0790" w:rsidRDefault="000C7DCB">
            <w:pPr>
              <w:keepNext/>
              <w:suppressAutoHyphens/>
              <w:rPr>
                <w:del w:id="5604" w:author="AbbVie02no" w:date="2025-05-15T13:45:00Z"/>
                <w:sz w:val="22"/>
                <w:szCs w:val="22"/>
                <w:vertAlign w:val="superscript"/>
              </w:rPr>
              <w:pPrChange w:id="5605" w:author="AbbVie02no" w:date="2025-05-15T13:45:00Z">
                <w:pPr/>
              </w:pPrChange>
            </w:pPr>
          </w:p>
        </w:tc>
      </w:tr>
      <w:tr w:rsidR="004644D4" w14:paraId="17FF8F65" w14:textId="49AF4916" w:rsidTr="00032240">
        <w:trPr>
          <w:del w:id="5606" w:author="AbbVie02no" w:date="2025-05-15T13:45:00Z"/>
        </w:trPr>
        <w:tc>
          <w:tcPr>
            <w:tcW w:w="3079" w:type="dxa"/>
            <w:vMerge/>
          </w:tcPr>
          <w:p w14:paraId="2C553638" w14:textId="04D8CC0E" w:rsidR="000C7DCB" w:rsidRPr="009C5EFD" w:rsidRDefault="000C7DCB">
            <w:pPr>
              <w:keepNext/>
              <w:suppressAutoHyphens/>
              <w:rPr>
                <w:del w:id="5607" w:author="AbbVie02no" w:date="2025-05-15T13:45:00Z"/>
                <w:szCs w:val="22"/>
              </w:rPr>
              <w:pPrChange w:id="5608" w:author="AbbVie02no" w:date="2025-05-15T13:45:00Z">
                <w:pPr>
                  <w:pStyle w:val="EndnoteText"/>
                  <w:tabs>
                    <w:tab w:val="clear" w:pos="567"/>
                  </w:tabs>
                </w:pPr>
              </w:pPrChange>
            </w:pPr>
          </w:p>
        </w:tc>
        <w:tc>
          <w:tcPr>
            <w:tcW w:w="1682" w:type="dxa"/>
          </w:tcPr>
          <w:p w14:paraId="5C0DC88D" w14:textId="307F666E" w:rsidR="000C7DCB" w:rsidRPr="009C5EFD" w:rsidRDefault="00E453CD">
            <w:pPr>
              <w:keepNext/>
              <w:suppressAutoHyphens/>
              <w:rPr>
                <w:del w:id="5609" w:author="AbbVie02no" w:date="2025-05-15T13:45:00Z"/>
                <w:sz w:val="22"/>
                <w:szCs w:val="22"/>
              </w:rPr>
              <w:pPrChange w:id="5610" w:author="AbbVie02no" w:date="2025-05-15T13:45:00Z">
                <w:pPr/>
              </w:pPrChange>
            </w:pPr>
            <w:del w:id="5611" w:author="AbbVie02no" w:date="2025-05-15T13:45:00Z">
              <w:r w:rsidRPr="009C5EFD">
                <w:rPr>
                  <w:sz w:val="22"/>
                  <w:szCs w:val="22"/>
                </w:rPr>
                <w:delText>Mindre vanlige</w:delText>
              </w:r>
            </w:del>
          </w:p>
          <w:p w14:paraId="17D3AAA2" w14:textId="2289489A" w:rsidR="000C7DCB" w:rsidRPr="009C5EFD" w:rsidRDefault="000C7DCB">
            <w:pPr>
              <w:keepNext/>
              <w:suppressAutoHyphens/>
              <w:rPr>
                <w:del w:id="5612" w:author="AbbVie02no" w:date="2025-05-15T13:45:00Z"/>
                <w:sz w:val="22"/>
                <w:szCs w:val="22"/>
              </w:rPr>
              <w:pPrChange w:id="5613" w:author="AbbVie02no" w:date="2025-05-15T13:45:00Z">
                <w:pPr/>
              </w:pPrChange>
            </w:pPr>
          </w:p>
        </w:tc>
        <w:tc>
          <w:tcPr>
            <w:tcW w:w="4294" w:type="dxa"/>
          </w:tcPr>
          <w:p w14:paraId="2E45C16D" w14:textId="4BB4E131" w:rsidR="000C7DCB" w:rsidRPr="009C5EFD" w:rsidRDefault="00E453CD">
            <w:pPr>
              <w:keepNext/>
              <w:suppressAutoHyphens/>
              <w:rPr>
                <w:del w:id="5614" w:author="AbbVie02no" w:date="2025-05-15T13:45:00Z"/>
                <w:sz w:val="22"/>
                <w:szCs w:val="22"/>
              </w:rPr>
              <w:pPrChange w:id="5615" w:author="AbbVie02no" w:date="2025-05-15T13:45:00Z">
                <w:pPr/>
              </w:pPrChange>
            </w:pPr>
            <w:del w:id="5616" w:author="AbbVie02no" w:date="2025-05-15T13:45:00Z">
              <w:r w:rsidRPr="009C5EFD">
                <w:rPr>
                  <w:sz w:val="22"/>
                  <w:szCs w:val="22"/>
                </w:rPr>
                <w:delText>Sarkoidose</w:delText>
              </w:r>
              <w:r w:rsidRPr="009C5EFD">
                <w:rPr>
                  <w:sz w:val="22"/>
                  <w:szCs w:val="22"/>
                  <w:vertAlign w:val="superscript"/>
                </w:rPr>
                <w:delText>1)</w:delText>
              </w:r>
              <w:r w:rsidR="00C3739E" w:rsidRPr="009C5EFD">
                <w:rPr>
                  <w:sz w:val="22"/>
                  <w:szCs w:val="22"/>
                </w:rPr>
                <w:delText>, vaskulitt</w:delText>
              </w:r>
            </w:del>
          </w:p>
          <w:p w14:paraId="451A2B65" w14:textId="752FE69F" w:rsidR="000C7DCB" w:rsidRPr="009C5EFD" w:rsidRDefault="000C7DCB">
            <w:pPr>
              <w:keepNext/>
              <w:suppressAutoHyphens/>
              <w:rPr>
                <w:del w:id="5617" w:author="AbbVie02no" w:date="2025-05-15T13:45:00Z"/>
                <w:sz w:val="22"/>
                <w:szCs w:val="22"/>
              </w:rPr>
              <w:pPrChange w:id="5618" w:author="AbbVie02no" w:date="2025-05-15T13:45:00Z">
                <w:pPr/>
              </w:pPrChange>
            </w:pPr>
          </w:p>
        </w:tc>
      </w:tr>
      <w:tr w:rsidR="004644D4" w14:paraId="38F07B25" w14:textId="6A7470CE" w:rsidTr="00032240">
        <w:trPr>
          <w:del w:id="5619" w:author="AbbVie02no" w:date="2025-05-15T13:45:00Z"/>
        </w:trPr>
        <w:tc>
          <w:tcPr>
            <w:tcW w:w="3079" w:type="dxa"/>
            <w:vMerge/>
          </w:tcPr>
          <w:p w14:paraId="422CD707" w14:textId="6493BD69" w:rsidR="000C7DCB" w:rsidRPr="009C5EFD" w:rsidRDefault="000C7DCB">
            <w:pPr>
              <w:keepNext/>
              <w:suppressAutoHyphens/>
              <w:rPr>
                <w:del w:id="5620" w:author="AbbVie02no" w:date="2025-05-15T13:45:00Z"/>
                <w:szCs w:val="22"/>
              </w:rPr>
              <w:pPrChange w:id="5621" w:author="AbbVie02no" w:date="2025-05-15T13:45:00Z">
                <w:pPr>
                  <w:pStyle w:val="EndnoteText"/>
                  <w:tabs>
                    <w:tab w:val="clear" w:pos="567"/>
                  </w:tabs>
                </w:pPr>
              </w:pPrChange>
            </w:pPr>
          </w:p>
        </w:tc>
        <w:tc>
          <w:tcPr>
            <w:tcW w:w="1682" w:type="dxa"/>
          </w:tcPr>
          <w:p w14:paraId="4D42105E" w14:textId="450683FF" w:rsidR="000C7DCB" w:rsidRPr="009C5EFD" w:rsidRDefault="00E453CD">
            <w:pPr>
              <w:keepNext/>
              <w:suppressAutoHyphens/>
              <w:rPr>
                <w:del w:id="5622" w:author="AbbVie02no" w:date="2025-05-15T13:45:00Z"/>
                <w:sz w:val="22"/>
                <w:szCs w:val="22"/>
              </w:rPr>
              <w:pPrChange w:id="5623" w:author="AbbVie02no" w:date="2025-05-15T13:45:00Z">
                <w:pPr/>
              </w:pPrChange>
            </w:pPr>
            <w:del w:id="5624" w:author="AbbVie02no" w:date="2025-05-15T13:45:00Z">
              <w:r w:rsidRPr="009C5EFD">
                <w:rPr>
                  <w:sz w:val="22"/>
                  <w:szCs w:val="22"/>
                </w:rPr>
                <w:delText>Sjeldne</w:delText>
              </w:r>
            </w:del>
          </w:p>
          <w:p w14:paraId="7A7AC468" w14:textId="2602AC0C" w:rsidR="000C7DCB" w:rsidRPr="009C5EFD" w:rsidRDefault="000C7DCB">
            <w:pPr>
              <w:keepNext/>
              <w:suppressAutoHyphens/>
              <w:rPr>
                <w:del w:id="5625" w:author="AbbVie02no" w:date="2025-05-15T13:45:00Z"/>
                <w:sz w:val="22"/>
                <w:szCs w:val="22"/>
              </w:rPr>
              <w:pPrChange w:id="5626" w:author="AbbVie02no" w:date="2025-05-15T13:45:00Z">
                <w:pPr/>
              </w:pPrChange>
            </w:pPr>
          </w:p>
        </w:tc>
        <w:tc>
          <w:tcPr>
            <w:tcW w:w="4294" w:type="dxa"/>
          </w:tcPr>
          <w:p w14:paraId="52CDB6F3" w14:textId="31CEED5A" w:rsidR="000C7DCB" w:rsidRPr="009C5EFD" w:rsidRDefault="00E453CD">
            <w:pPr>
              <w:keepNext/>
              <w:suppressAutoHyphens/>
              <w:rPr>
                <w:del w:id="5627" w:author="AbbVie02no" w:date="2025-05-15T13:45:00Z"/>
                <w:sz w:val="22"/>
                <w:szCs w:val="22"/>
              </w:rPr>
              <w:pPrChange w:id="5628" w:author="AbbVie02no" w:date="2025-05-15T13:45:00Z">
                <w:pPr/>
              </w:pPrChange>
            </w:pPr>
            <w:del w:id="5629" w:author="AbbVie02no" w:date="2025-05-15T13:45:00Z">
              <w:r w:rsidRPr="009C5EFD">
                <w:rPr>
                  <w:sz w:val="22"/>
                  <w:szCs w:val="22"/>
                </w:rPr>
                <w:delText>Anafylaksi</w:delText>
              </w:r>
              <w:r w:rsidRPr="009C5EFD">
                <w:rPr>
                  <w:sz w:val="22"/>
                  <w:szCs w:val="22"/>
                  <w:vertAlign w:val="superscript"/>
                </w:rPr>
                <w:delText>1)</w:delText>
              </w:r>
            </w:del>
          </w:p>
        </w:tc>
      </w:tr>
      <w:tr w:rsidR="004644D4" w14:paraId="04FA00F8" w14:textId="3D4B6806" w:rsidTr="00032240">
        <w:trPr>
          <w:del w:id="5630" w:author="AbbVie02no" w:date="2025-05-15T13:45:00Z"/>
        </w:trPr>
        <w:tc>
          <w:tcPr>
            <w:tcW w:w="3079" w:type="dxa"/>
            <w:vMerge w:val="restart"/>
          </w:tcPr>
          <w:p w14:paraId="7CB0FF5F" w14:textId="7392C4B8" w:rsidR="000C7DCB" w:rsidRPr="00193D76" w:rsidRDefault="00E453CD">
            <w:pPr>
              <w:keepNext/>
              <w:suppressAutoHyphens/>
              <w:rPr>
                <w:del w:id="5631" w:author="AbbVie02no" w:date="2025-05-15T13:45:00Z"/>
                <w:szCs w:val="22"/>
              </w:rPr>
              <w:pPrChange w:id="5632" w:author="AbbVie02no" w:date="2025-05-15T13:45:00Z">
                <w:pPr>
                  <w:pStyle w:val="EndnoteText"/>
                </w:pPr>
              </w:pPrChange>
            </w:pPr>
            <w:del w:id="5633" w:author="AbbVie02no" w:date="2025-05-15T13:45:00Z">
              <w:r w:rsidRPr="007F67EE">
                <w:rPr>
                  <w:szCs w:val="22"/>
                </w:rPr>
                <w:delText>Stoffskifte- og</w:delText>
              </w:r>
              <w:r w:rsidRPr="00193D76">
                <w:rPr>
                  <w:szCs w:val="22"/>
                </w:rPr>
                <w:delText xml:space="preserve"> ernæringsbetingede sykdommer</w:delText>
              </w:r>
            </w:del>
          </w:p>
        </w:tc>
        <w:tc>
          <w:tcPr>
            <w:tcW w:w="1682" w:type="dxa"/>
          </w:tcPr>
          <w:p w14:paraId="2D41E3E9" w14:textId="53F8443F" w:rsidR="000C7DCB" w:rsidRPr="002D0790" w:rsidRDefault="00E453CD">
            <w:pPr>
              <w:keepNext/>
              <w:suppressAutoHyphens/>
              <w:rPr>
                <w:del w:id="5634" w:author="AbbVie02no" w:date="2025-05-15T13:45:00Z"/>
                <w:sz w:val="22"/>
                <w:szCs w:val="22"/>
              </w:rPr>
              <w:pPrChange w:id="5635" w:author="AbbVie02no" w:date="2025-05-15T13:45:00Z">
                <w:pPr/>
              </w:pPrChange>
            </w:pPr>
            <w:del w:id="5636" w:author="AbbVie02no" w:date="2025-05-15T13:45:00Z">
              <w:r w:rsidRPr="002D0790">
                <w:rPr>
                  <w:sz w:val="22"/>
                  <w:szCs w:val="22"/>
                </w:rPr>
                <w:delText>Svært vanlige</w:delText>
              </w:r>
            </w:del>
          </w:p>
          <w:p w14:paraId="53D139FC" w14:textId="765EFF3F" w:rsidR="000C7DCB" w:rsidRPr="002D0790" w:rsidRDefault="000C7DCB">
            <w:pPr>
              <w:keepNext/>
              <w:suppressAutoHyphens/>
              <w:rPr>
                <w:del w:id="5637" w:author="AbbVie02no" w:date="2025-05-15T13:45:00Z"/>
                <w:sz w:val="22"/>
                <w:szCs w:val="22"/>
              </w:rPr>
              <w:pPrChange w:id="5638" w:author="AbbVie02no" w:date="2025-05-15T13:45:00Z">
                <w:pPr/>
              </w:pPrChange>
            </w:pPr>
          </w:p>
        </w:tc>
        <w:tc>
          <w:tcPr>
            <w:tcW w:w="4294" w:type="dxa"/>
          </w:tcPr>
          <w:p w14:paraId="1CAA584F" w14:textId="1B2CC43A" w:rsidR="000C7DCB" w:rsidRPr="00E14E58" w:rsidRDefault="00E453CD">
            <w:pPr>
              <w:keepNext/>
              <w:suppressAutoHyphens/>
              <w:rPr>
                <w:del w:id="5639" w:author="AbbVie02no" w:date="2025-05-15T13:45:00Z"/>
                <w:sz w:val="22"/>
                <w:szCs w:val="22"/>
              </w:rPr>
              <w:pPrChange w:id="5640" w:author="AbbVie02no" w:date="2025-05-15T13:45:00Z">
                <w:pPr/>
              </w:pPrChange>
            </w:pPr>
            <w:del w:id="5641" w:author="AbbVie02no" w:date="2025-05-15T13:45:00Z">
              <w:r w:rsidRPr="00E14E58">
                <w:rPr>
                  <w:sz w:val="22"/>
                  <w:szCs w:val="22"/>
                </w:rPr>
                <w:delText>Lipidøkning</w:delText>
              </w:r>
            </w:del>
          </w:p>
          <w:p w14:paraId="4E0A876B" w14:textId="1F709686" w:rsidR="000C7DCB" w:rsidRPr="009C5EFD" w:rsidRDefault="000C7DCB">
            <w:pPr>
              <w:keepNext/>
              <w:suppressAutoHyphens/>
              <w:rPr>
                <w:del w:id="5642" w:author="AbbVie02no" w:date="2025-05-15T13:45:00Z"/>
                <w:sz w:val="22"/>
                <w:szCs w:val="22"/>
              </w:rPr>
              <w:pPrChange w:id="5643" w:author="AbbVie02no" w:date="2025-05-15T13:45:00Z">
                <w:pPr/>
              </w:pPrChange>
            </w:pPr>
          </w:p>
        </w:tc>
      </w:tr>
      <w:tr w:rsidR="004644D4" w14:paraId="3E8870B9" w14:textId="7BF52FFC" w:rsidTr="00032240">
        <w:trPr>
          <w:del w:id="5644" w:author="AbbVie02no" w:date="2025-05-15T13:45:00Z"/>
        </w:trPr>
        <w:tc>
          <w:tcPr>
            <w:tcW w:w="3079" w:type="dxa"/>
            <w:vMerge/>
          </w:tcPr>
          <w:p w14:paraId="0603EF8E" w14:textId="10E283C0" w:rsidR="000C7DCB" w:rsidRPr="009C5EFD" w:rsidRDefault="000C7DCB">
            <w:pPr>
              <w:keepNext/>
              <w:suppressAutoHyphens/>
              <w:rPr>
                <w:del w:id="5645" w:author="AbbVie02no" w:date="2025-05-15T13:45:00Z"/>
                <w:szCs w:val="22"/>
              </w:rPr>
              <w:pPrChange w:id="5646" w:author="AbbVie02no" w:date="2025-05-15T13:45:00Z">
                <w:pPr>
                  <w:pStyle w:val="EndnoteText"/>
                  <w:tabs>
                    <w:tab w:val="clear" w:pos="567"/>
                  </w:tabs>
                </w:pPr>
              </w:pPrChange>
            </w:pPr>
          </w:p>
        </w:tc>
        <w:tc>
          <w:tcPr>
            <w:tcW w:w="1682" w:type="dxa"/>
          </w:tcPr>
          <w:p w14:paraId="6009DCAC" w14:textId="5D2A7608" w:rsidR="000C7DCB" w:rsidRPr="009C5EFD" w:rsidRDefault="00E453CD">
            <w:pPr>
              <w:keepNext/>
              <w:suppressAutoHyphens/>
              <w:rPr>
                <w:del w:id="5647" w:author="AbbVie02no" w:date="2025-05-15T13:45:00Z"/>
                <w:sz w:val="22"/>
                <w:szCs w:val="22"/>
              </w:rPr>
              <w:pPrChange w:id="5648" w:author="AbbVie02no" w:date="2025-05-15T13:45:00Z">
                <w:pPr/>
              </w:pPrChange>
            </w:pPr>
            <w:del w:id="5649" w:author="AbbVie02no" w:date="2025-05-15T13:45:00Z">
              <w:r w:rsidRPr="009C5EFD">
                <w:rPr>
                  <w:sz w:val="22"/>
                  <w:szCs w:val="22"/>
                </w:rPr>
                <w:delText>Vanlige</w:delText>
              </w:r>
            </w:del>
          </w:p>
          <w:p w14:paraId="75639443" w14:textId="40FEF024" w:rsidR="000C7DCB" w:rsidRPr="009C5EFD" w:rsidRDefault="000C7DCB">
            <w:pPr>
              <w:keepNext/>
              <w:suppressAutoHyphens/>
              <w:rPr>
                <w:del w:id="5650" w:author="AbbVie02no" w:date="2025-05-15T13:45:00Z"/>
                <w:sz w:val="22"/>
                <w:szCs w:val="22"/>
              </w:rPr>
              <w:pPrChange w:id="5651" w:author="AbbVie02no" w:date="2025-05-15T13:45:00Z">
                <w:pPr/>
              </w:pPrChange>
            </w:pPr>
          </w:p>
          <w:p w14:paraId="083BD01F" w14:textId="0F4F69C0" w:rsidR="000C7DCB" w:rsidRPr="009C5EFD" w:rsidRDefault="000C7DCB">
            <w:pPr>
              <w:keepNext/>
              <w:suppressAutoHyphens/>
              <w:rPr>
                <w:del w:id="5652" w:author="AbbVie02no" w:date="2025-05-15T13:45:00Z"/>
                <w:sz w:val="22"/>
                <w:szCs w:val="22"/>
              </w:rPr>
              <w:pPrChange w:id="5653" w:author="AbbVie02no" w:date="2025-05-15T13:45:00Z">
                <w:pPr/>
              </w:pPrChange>
            </w:pPr>
          </w:p>
          <w:p w14:paraId="79ABD973" w14:textId="7498A7F7" w:rsidR="000C7DCB" w:rsidRPr="009C5EFD" w:rsidRDefault="000C7DCB">
            <w:pPr>
              <w:keepNext/>
              <w:suppressAutoHyphens/>
              <w:rPr>
                <w:del w:id="5654" w:author="AbbVie02no" w:date="2025-05-15T13:45:00Z"/>
                <w:sz w:val="22"/>
                <w:szCs w:val="22"/>
              </w:rPr>
              <w:pPrChange w:id="5655" w:author="AbbVie02no" w:date="2025-05-15T13:45:00Z">
                <w:pPr/>
              </w:pPrChange>
            </w:pPr>
          </w:p>
        </w:tc>
        <w:tc>
          <w:tcPr>
            <w:tcW w:w="4294" w:type="dxa"/>
          </w:tcPr>
          <w:p w14:paraId="50C206B7" w14:textId="6C330289" w:rsidR="000C7DCB" w:rsidRPr="009C5EFD" w:rsidRDefault="00E453CD">
            <w:pPr>
              <w:keepNext/>
              <w:suppressAutoHyphens/>
              <w:rPr>
                <w:del w:id="5656" w:author="AbbVie02no" w:date="2025-05-15T13:45:00Z"/>
                <w:sz w:val="22"/>
                <w:szCs w:val="22"/>
              </w:rPr>
              <w:pPrChange w:id="5657" w:author="AbbVie02no" w:date="2025-05-15T13:45:00Z">
                <w:pPr/>
              </w:pPrChange>
            </w:pPr>
            <w:del w:id="5658" w:author="AbbVie02no" w:date="2025-05-15T13:45:00Z">
              <w:r w:rsidRPr="009C5EFD">
                <w:rPr>
                  <w:sz w:val="22"/>
                  <w:szCs w:val="22"/>
                </w:rPr>
                <w:delText>Hypokalemi, forhøyet urinsyre, unormale natriumverdier i blod, hypokalsemi, hyperglykemi, hyp</w:delText>
              </w:r>
              <w:r w:rsidR="006E568B" w:rsidRPr="009C5EFD">
                <w:rPr>
                  <w:sz w:val="22"/>
                  <w:szCs w:val="22"/>
                </w:rPr>
                <w:delText>o</w:delText>
              </w:r>
              <w:r w:rsidRPr="009C5EFD">
                <w:rPr>
                  <w:sz w:val="22"/>
                  <w:szCs w:val="22"/>
                </w:rPr>
                <w:delText xml:space="preserve">fosfatemi, </w:delText>
              </w:r>
              <w:r w:rsidR="00606701" w:rsidRPr="009C5EFD">
                <w:rPr>
                  <w:sz w:val="22"/>
                  <w:szCs w:val="22"/>
                </w:rPr>
                <w:delText>dehydrering</w:delText>
              </w:r>
            </w:del>
          </w:p>
        </w:tc>
      </w:tr>
      <w:tr w:rsidR="004644D4" w14:paraId="585EFCD7" w14:textId="36EC61E4" w:rsidTr="00032240">
        <w:trPr>
          <w:del w:id="5659" w:author="AbbVie02no" w:date="2025-05-15T13:45:00Z"/>
        </w:trPr>
        <w:tc>
          <w:tcPr>
            <w:tcW w:w="3079" w:type="dxa"/>
          </w:tcPr>
          <w:p w14:paraId="135945AC" w14:textId="6EE0C890" w:rsidR="000C7DCB" w:rsidRPr="007F67EE" w:rsidRDefault="00E453CD">
            <w:pPr>
              <w:keepNext/>
              <w:suppressAutoHyphens/>
              <w:rPr>
                <w:del w:id="5660" w:author="AbbVie02no" w:date="2025-05-15T13:45:00Z"/>
                <w:szCs w:val="22"/>
              </w:rPr>
              <w:pPrChange w:id="5661" w:author="AbbVie02no" w:date="2025-05-15T13:45:00Z">
                <w:pPr>
                  <w:pStyle w:val="EndnoteText"/>
                  <w:tabs>
                    <w:tab w:val="clear" w:pos="567"/>
                  </w:tabs>
                </w:pPr>
              </w:pPrChange>
            </w:pPr>
            <w:del w:id="5662" w:author="AbbVie02no" w:date="2025-05-15T13:45:00Z">
              <w:r w:rsidRPr="007F67EE">
                <w:rPr>
                  <w:szCs w:val="22"/>
                </w:rPr>
                <w:delText>Psykiatriske lidelser</w:delText>
              </w:r>
            </w:del>
          </w:p>
        </w:tc>
        <w:tc>
          <w:tcPr>
            <w:tcW w:w="1682" w:type="dxa"/>
          </w:tcPr>
          <w:p w14:paraId="62D29081" w14:textId="4F832BAB" w:rsidR="000C7DCB" w:rsidRPr="00193D76" w:rsidRDefault="00E453CD">
            <w:pPr>
              <w:keepNext/>
              <w:suppressAutoHyphens/>
              <w:rPr>
                <w:del w:id="5663" w:author="AbbVie02no" w:date="2025-05-15T13:45:00Z"/>
                <w:sz w:val="22"/>
                <w:szCs w:val="22"/>
              </w:rPr>
              <w:pPrChange w:id="5664" w:author="AbbVie02no" w:date="2025-05-15T13:45:00Z">
                <w:pPr/>
              </w:pPrChange>
            </w:pPr>
            <w:del w:id="5665" w:author="AbbVie02no" w:date="2025-05-15T13:45:00Z">
              <w:r w:rsidRPr="00193D76">
                <w:rPr>
                  <w:sz w:val="22"/>
                  <w:szCs w:val="22"/>
                </w:rPr>
                <w:delText>Vanlige</w:delText>
              </w:r>
            </w:del>
          </w:p>
        </w:tc>
        <w:tc>
          <w:tcPr>
            <w:tcW w:w="4294" w:type="dxa"/>
          </w:tcPr>
          <w:p w14:paraId="42FE8778" w14:textId="7D4BF3D3" w:rsidR="00985304" w:rsidRPr="002D0790" w:rsidRDefault="00E453CD">
            <w:pPr>
              <w:keepNext/>
              <w:suppressAutoHyphens/>
              <w:rPr>
                <w:del w:id="5666" w:author="AbbVie02no" w:date="2025-05-15T13:45:00Z"/>
                <w:szCs w:val="22"/>
              </w:rPr>
              <w:pPrChange w:id="5667" w:author="AbbVie02no" w:date="2025-05-15T13:45:00Z">
                <w:pPr>
                  <w:pStyle w:val="EMEAFigureTitle"/>
                  <w:tabs>
                    <w:tab w:val="clear" w:pos="562"/>
                  </w:tabs>
                  <w:suppressAutoHyphens w:val="0"/>
                </w:pPr>
              </w:pPrChange>
            </w:pPr>
            <w:del w:id="5668" w:author="AbbVie02no" w:date="2025-05-15T13:45:00Z">
              <w:r w:rsidRPr="00193D76">
                <w:rPr>
                  <w:szCs w:val="22"/>
                </w:rPr>
                <w:delText>Humørforandringer (inkludert depresjo</w:delText>
              </w:r>
              <w:r w:rsidRPr="002D0790">
                <w:rPr>
                  <w:szCs w:val="22"/>
                </w:rPr>
                <w:delText>n), angst,</w:delText>
              </w:r>
            </w:del>
          </w:p>
          <w:p w14:paraId="399FE1EF" w14:textId="59EE3395" w:rsidR="000C7DCB" w:rsidRPr="009C5EFD" w:rsidRDefault="00E453CD">
            <w:pPr>
              <w:keepNext/>
              <w:suppressAutoHyphens/>
              <w:rPr>
                <w:del w:id="5669" w:author="AbbVie02no" w:date="2025-05-15T13:45:00Z"/>
                <w:szCs w:val="22"/>
              </w:rPr>
              <w:pPrChange w:id="5670" w:author="AbbVie02no" w:date="2025-05-15T13:45:00Z">
                <w:pPr>
                  <w:pStyle w:val="EMEAFigureTitle"/>
                  <w:tabs>
                    <w:tab w:val="clear" w:pos="562"/>
                  </w:tabs>
                  <w:suppressAutoHyphens w:val="0"/>
                </w:pPr>
              </w:pPrChange>
            </w:pPr>
            <w:del w:id="5671" w:author="AbbVie02no" w:date="2025-05-15T13:45:00Z">
              <w:r w:rsidRPr="009C5EFD">
                <w:rPr>
                  <w:szCs w:val="22"/>
                </w:rPr>
                <w:delText>søvnløshet</w:delText>
              </w:r>
            </w:del>
          </w:p>
          <w:p w14:paraId="45AB5169" w14:textId="223DC647" w:rsidR="000C7DCB" w:rsidRPr="009C5EFD" w:rsidRDefault="000C7DCB">
            <w:pPr>
              <w:keepNext/>
              <w:suppressAutoHyphens/>
              <w:rPr>
                <w:del w:id="5672" w:author="AbbVie02no" w:date="2025-05-15T13:45:00Z"/>
                <w:sz w:val="22"/>
                <w:szCs w:val="22"/>
              </w:rPr>
              <w:pPrChange w:id="5673" w:author="AbbVie02no" w:date="2025-05-15T13:45:00Z">
                <w:pPr/>
              </w:pPrChange>
            </w:pPr>
          </w:p>
        </w:tc>
      </w:tr>
      <w:tr w:rsidR="004644D4" w14:paraId="460959F9" w14:textId="2AF22254" w:rsidTr="00032240">
        <w:trPr>
          <w:del w:id="5674" w:author="AbbVie02no" w:date="2025-05-15T13:45:00Z"/>
        </w:trPr>
        <w:tc>
          <w:tcPr>
            <w:tcW w:w="3079" w:type="dxa"/>
            <w:vMerge w:val="restart"/>
          </w:tcPr>
          <w:p w14:paraId="4F1699D3" w14:textId="7907E348" w:rsidR="000C7DCB" w:rsidRPr="009C5EFD" w:rsidRDefault="00E453CD">
            <w:pPr>
              <w:keepNext/>
              <w:suppressAutoHyphens/>
              <w:rPr>
                <w:del w:id="5675" w:author="AbbVie02no" w:date="2025-05-15T13:45:00Z"/>
                <w:sz w:val="22"/>
                <w:szCs w:val="22"/>
              </w:rPr>
              <w:pPrChange w:id="5676" w:author="AbbVie02no" w:date="2025-05-15T13:45:00Z">
                <w:pPr/>
              </w:pPrChange>
            </w:pPr>
            <w:del w:id="5677" w:author="AbbVie02no" w:date="2025-05-15T13:45:00Z">
              <w:r w:rsidRPr="009C5EFD">
                <w:rPr>
                  <w:sz w:val="22"/>
                  <w:szCs w:val="22"/>
                </w:rPr>
                <w:delText xml:space="preserve">Nevrologiske sykdommer* </w:delText>
              </w:r>
            </w:del>
          </w:p>
        </w:tc>
        <w:tc>
          <w:tcPr>
            <w:tcW w:w="1682" w:type="dxa"/>
          </w:tcPr>
          <w:p w14:paraId="311805B3" w14:textId="2E38FE23" w:rsidR="000C7DCB" w:rsidRPr="009C5EFD" w:rsidRDefault="00E453CD">
            <w:pPr>
              <w:keepNext/>
              <w:suppressAutoHyphens/>
              <w:rPr>
                <w:del w:id="5678" w:author="AbbVie02no" w:date="2025-05-15T13:45:00Z"/>
                <w:sz w:val="22"/>
                <w:szCs w:val="22"/>
              </w:rPr>
              <w:pPrChange w:id="5679" w:author="AbbVie02no" w:date="2025-05-15T13:45:00Z">
                <w:pPr/>
              </w:pPrChange>
            </w:pPr>
            <w:del w:id="5680" w:author="AbbVie02no" w:date="2025-05-15T13:45:00Z">
              <w:r w:rsidRPr="009C5EFD">
                <w:rPr>
                  <w:sz w:val="22"/>
                  <w:szCs w:val="22"/>
                </w:rPr>
                <w:delText>Svært vanlige</w:delText>
              </w:r>
            </w:del>
          </w:p>
          <w:p w14:paraId="019F79E6" w14:textId="5B7A57E2" w:rsidR="000C7DCB" w:rsidRPr="009C5EFD" w:rsidRDefault="000C7DCB">
            <w:pPr>
              <w:keepNext/>
              <w:suppressAutoHyphens/>
              <w:rPr>
                <w:del w:id="5681" w:author="AbbVie02no" w:date="2025-05-15T13:45:00Z"/>
                <w:sz w:val="22"/>
                <w:szCs w:val="22"/>
              </w:rPr>
              <w:pPrChange w:id="5682" w:author="AbbVie02no" w:date="2025-05-15T13:45:00Z">
                <w:pPr/>
              </w:pPrChange>
            </w:pPr>
          </w:p>
        </w:tc>
        <w:tc>
          <w:tcPr>
            <w:tcW w:w="4294" w:type="dxa"/>
          </w:tcPr>
          <w:p w14:paraId="5E14262C" w14:textId="7C2ED018" w:rsidR="000C7DCB" w:rsidRPr="009C5EFD" w:rsidRDefault="00E453CD">
            <w:pPr>
              <w:keepNext/>
              <w:suppressAutoHyphens/>
              <w:rPr>
                <w:del w:id="5683" w:author="AbbVie02no" w:date="2025-05-15T13:45:00Z"/>
                <w:sz w:val="22"/>
                <w:szCs w:val="22"/>
              </w:rPr>
              <w:pPrChange w:id="5684" w:author="AbbVie02no" w:date="2025-05-15T13:45:00Z">
                <w:pPr/>
              </w:pPrChange>
            </w:pPr>
            <w:del w:id="5685" w:author="AbbVie02no" w:date="2025-05-15T13:45:00Z">
              <w:r w:rsidRPr="009C5EFD">
                <w:rPr>
                  <w:sz w:val="22"/>
                  <w:szCs w:val="22"/>
                </w:rPr>
                <w:delText>Hodepine</w:delText>
              </w:r>
            </w:del>
          </w:p>
        </w:tc>
      </w:tr>
      <w:tr w:rsidR="004644D4" w14:paraId="0B05570B" w14:textId="7C0A4F8F" w:rsidTr="00032240">
        <w:trPr>
          <w:del w:id="5686" w:author="AbbVie02no" w:date="2025-05-15T13:45:00Z"/>
        </w:trPr>
        <w:tc>
          <w:tcPr>
            <w:tcW w:w="3079" w:type="dxa"/>
            <w:vMerge/>
          </w:tcPr>
          <w:p w14:paraId="6FCD91A7" w14:textId="261BC2DD" w:rsidR="000C7DCB" w:rsidRPr="009C5EFD" w:rsidRDefault="000C7DCB">
            <w:pPr>
              <w:keepNext/>
              <w:suppressAutoHyphens/>
              <w:rPr>
                <w:del w:id="5687" w:author="AbbVie02no" w:date="2025-05-15T13:45:00Z"/>
                <w:sz w:val="22"/>
                <w:szCs w:val="22"/>
              </w:rPr>
              <w:pPrChange w:id="5688" w:author="AbbVie02no" w:date="2025-05-15T13:45:00Z">
                <w:pPr/>
              </w:pPrChange>
            </w:pPr>
          </w:p>
        </w:tc>
        <w:tc>
          <w:tcPr>
            <w:tcW w:w="1682" w:type="dxa"/>
          </w:tcPr>
          <w:p w14:paraId="3C599899" w14:textId="736F4041" w:rsidR="000C7DCB" w:rsidRPr="009C5EFD" w:rsidRDefault="00E453CD">
            <w:pPr>
              <w:keepNext/>
              <w:suppressAutoHyphens/>
              <w:rPr>
                <w:del w:id="5689" w:author="AbbVie02no" w:date="2025-05-15T13:45:00Z"/>
                <w:sz w:val="22"/>
                <w:szCs w:val="22"/>
              </w:rPr>
              <w:pPrChange w:id="5690" w:author="AbbVie02no" w:date="2025-05-15T13:45:00Z">
                <w:pPr/>
              </w:pPrChange>
            </w:pPr>
            <w:del w:id="5691" w:author="AbbVie02no" w:date="2025-05-15T13:45:00Z">
              <w:r w:rsidRPr="009C5EFD">
                <w:rPr>
                  <w:sz w:val="22"/>
                  <w:szCs w:val="22"/>
                </w:rPr>
                <w:delText>Vanlige</w:delText>
              </w:r>
            </w:del>
          </w:p>
          <w:p w14:paraId="543FF2D5" w14:textId="0E00F31B" w:rsidR="000C7DCB" w:rsidRPr="009C5EFD" w:rsidRDefault="000C7DCB">
            <w:pPr>
              <w:keepNext/>
              <w:suppressAutoHyphens/>
              <w:rPr>
                <w:del w:id="5692" w:author="AbbVie02no" w:date="2025-05-15T13:45:00Z"/>
                <w:sz w:val="22"/>
                <w:szCs w:val="22"/>
              </w:rPr>
              <w:pPrChange w:id="5693" w:author="AbbVie02no" w:date="2025-05-15T13:45:00Z">
                <w:pPr/>
              </w:pPrChange>
            </w:pPr>
          </w:p>
        </w:tc>
        <w:tc>
          <w:tcPr>
            <w:tcW w:w="4294" w:type="dxa"/>
          </w:tcPr>
          <w:p w14:paraId="3453B9A2" w14:textId="0A1FABB1" w:rsidR="000C7DCB" w:rsidRPr="009C5EFD" w:rsidRDefault="00E453CD">
            <w:pPr>
              <w:keepNext/>
              <w:suppressAutoHyphens/>
              <w:rPr>
                <w:del w:id="5694" w:author="AbbVie02no" w:date="2025-05-15T13:45:00Z"/>
                <w:sz w:val="22"/>
                <w:szCs w:val="22"/>
              </w:rPr>
              <w:pPrChange w:id="5695" w:author="AbbVie02no" w:date="2025-05-15T13:45:00Z">
                <w:pPr/>
              </w:pPrChange>
            </w:pPr>
            <w:del w:id="5696" w:author="AbbVie02no" w:date="2025-05-15T13:45:00Z">
              <w:r w:rsidRPr="009C5EFD">
                <w:rPr>
                  <w:sz w:val="22"/>
                  <w:szCs w:val="22"/>
                </w:rPr>
                <w:delText xml:space="preserve">Parestesier (inkludert hypoestesi), migrene, </w:delText>
              </w:r>
              <w:r w:rsidR="001A7778" w:rsidRPr="009C5EFD">
                <w:rPr>
                  <w:sz w:val="22"/>
                  <w:szCs w:val="22"/>
                </w:rPr>
                <w:delText xml:space="preserve">kompresjon av nerverot </w:delText>
              </w:r>
            </w:del>
          </w:p>
        </w:tc>
      </w:tr>
      <w:tr w:rsidR="004644D4" w14:paraId="4D62B94F" w14:textId="31414F48" w:rsidTr="00032240">
        <w:trPr>
          <w:del w:id="5697" w:author="AbbVie02no" w:date="2025-05-15T13:45:00Z"/>
        </w:trPr>
        <w:tc>
          <w:tcPr>
            <w:tcW w:w="3079" w:type="dxa"/>
            <w:vMerge/>
          </w:tcPr>
          <w:p w14:paraId="66E8F6A5" w14:textId="329B0BDF" w:rsidR="000C7DCB" w:rsidRPr="009C5EFD" w:rsidRDefault="000C7DCB">
            <w:pPr>
              <w:keepNext/>
              <w:suppressAutoHyphens/>
              <w:rPr>
                <w:del w:id="5698" w:author="AbbVie02no" w:date="2025-05-15T13:45:00Z"/>
                <w:sz w:val="22"/>
                <w:szCs w:val="22"/>
              </w:rPr>
              <w:pPrChange w:id="5699" w:author="AbbVie02no" w:date="2025-05-15T13:45:00Z">
                <w:pPr/>
              </w:pPrChange>
            </w:pPr>
          </w:p>
        </w:tc>
        <w:tc>
          <w:tcPr>
            <w:tcW w:w="1682" w:type="dxa"/>
          </w:tcPr>
          <w:p w14:paraId="124AF3E2" w14:textId="4219C66B" w:rsidR="000C7DCB" w:rsidRPr="009C5EFD" w:rsidRDefault="00E453CD">
            <w:pPr>
              <w:keepNext/>
              <w:suppressAutoHyphens/>
              <w:rPr>
                <w:del w:id="5700" w:author="AbbVie02no" w:date="2025-05-15T13:45:00Z"/>
                <w:sz w:val="22"/>
                <w:szCs w:val="22"/>
              </w:rPr>
              <w:pPrChange w:id="5701" w:author="AbbVie02no" w:date="2025-05-15T13:45:00Z">
                <w:pPr/>
              </w:pPrChange>
            </w:pPr>
            <w:del w:id="5702" w:author="AbbVie02no" w:date="2025-05-15T13:45:00Z">
              <w:r w:rsidRPr="009C5EFD">
                <w:rPr>
                  <w:sz w:val="22"/>
                  <w:szCs w:val="22"/>
                </w:rPr>
                <w:delText>Mindre vanlige</w:delText>
              </w:r>
            </w:del>
          </w:p>
          <w:p w14:paraId="607AD3B5" w14:textId="71DDC9AA" w:rsidR="000C7DCB" w:rsidRPr="009C5EFD" w:rsidRDefault="000C7DCB">
            <w:pPr>
              <w:keepNext/>
              <w:suppressAutoHyphens/>
              <w:rPr>
                <w:del w:id="5703" w:author="AbbVie02no" w:date="2025-05-15T13:45:00Z"/>
                <w:sz w:val="22"/>
                <w:szCs w:val="22"/>
              </w:rPr>
              <w:pPrChange w:id="5704" w:author="AbbVie02no" w:date="2025-05-15T13:45:00Z">
                <w:pPr/>
              </w:pPrChange>
            </w:pPr>
          </w:p>
        </w:tc>
        <w:tc>
          <w:tcPr>
            <w:tcW w:w="4294" w:type="dxa"/>
          </w:tcPr>
          <w:p w14:paraId="63189FD8" w14:textId="14BE8F8F" w:rsidR="000C7DCB" w:rsidRPr="009C5EFD" w:rsidRDefault="00E453CD">
            <w:pPr>
              <w:keepNext/>
              <w:suppressAutoHyphens/>
              <w:rPr>
                <w:del w:id="5705" w:author="AbbVie02no" w:date="2025-05-15T13:45:00Z"/>
              </w:rPr>
              <w:pPrChange w:id="5706" w:author="AbbVie02no" w:date="2025-05-15T13:45:00Z">
                <w:pPr>
                  <w:pStyle w:val="Heading9"/>
                  <w:spacing w:before="0" w:after="0"/>
                </w:pPr>
              </w:pPrChange>
            </w:pPr>
            <w:del w:id="5707" w:author="AbbVie02no" w:date="2025-05-15T13:45:00Z">
              <w:r w:rsidRPr="009C5EFD">
                <w:delText>Cerebrovaskulær sykdom</w:delText>
              </w:r>
              <w:r w:rsidRPr="009C5EFD">
                <w:rPr>
                  <w:vertAlign w:val="superscript"/>
                </w:rPr>
                <w:delText>1)</w:delText>
              </w:r>
              <w:r w:rsidRPr="009C5EFD">
                <w:delText>, tremor</w:delText>
              </w:r>
              <w:r w:rsidR="00C538C5" w:rsidRPr="009C5EFD">
                <w:delText>, neuropati</w:delText>
              </w:r>
            </w:del>
          </w:p>
          <w:p w14:paraId="42B8FA2F" w14:textId="6D96121A" w:rsidR="000C7DCB" w:rsidRPr="009C5EFD" w:rsidRDefault="000C7DCB">
            <w:pPr>
              <w:keepNext/>
              <w:suppressAutoHyphens/>
              <w:rPr>
                <w:del w:id="5708" w:author="AbbVie02no" w:date="2025-05-15T13:45:00Z"/>
                <w:sz w:val="22"/>
                <w:szCs w:val="22"/>
              </w:rPr>
              <w:pPrChange w:id="5709" w:author="AbbVie02no" w:date="2025-05-15T13:45:00Z">
                <w:pPr/>
              </w:pPrChange>
            </w:pPr>
          </w:p>
        </w:tc>
      </w:tr>
      <w:tr w:rsidR="004644D4" w14:paraId="7A710223" w14:textId="18F9084B" w:rsidTr="00032240">
        <w:trPr>
          <w:trHeight w:val="1012"/>
          <w:del w:id="5710" w:author="AbbVie02no" w:date="2025-05-15T13:45:00Z"/>
        </w:trPr>
        <w:tc>
          <w:tcPr>
            <w:tcW w:w="3079" w:type="dxa"/>
            <w:vMerge/>
          </w:tcPr>
          <w:p w14:paraId="5F6BFC8A" w14:textId="318B3CEC" w:rsidR="007866C9" w:rsidRPr="009C5EFD" w:rsidRDefault="007866C9">
            <w:pPr>
              <w:keepNext/>
              <w:suppressAutoHyphens/>
              <w:rPr>
                <w:del w:id="5711" w:author="AbbVie02no" w:date="2025-05-15T13:45:00Z"/>
                <w:sz w:val="22"/>
                <w:szCs w:val="22"/>
              </w:rPr>
              <w:pPrChange w:id="5712" w:author="AbbVie02no" w:date="2025-05-15T13:45:00Z">
                <w:pPr/>
              </w:pPrChange>
            </w:pPr>
          </w:p>
        </w:tc>
        <w:tc>
          <w:tcPr>
            <w:tcW w:w="1682" w:type="dxa"/>
          </w:tcPr>
          <w:p w14:paraId="4CC4291A" w14:textId="16FF2C24" w:rsidR="007866C9" w:rsidRPr="009C5EFD" w:rsidRDefault="00E453CD">
            <w:pPr>
              <w:keepNext/>
              <w:suppressAutoHyphens/>
              <w:rPr>
                <w:del w:id="5713" w:author="AbbVie02no" w:date="2025-05-15T13:45:00Z"/>
                <w:sz w:val="22"/>
                <w:szCs w:val="22"/>
              </w:rPr>
              <w:pPrChange w:id="5714" w:author="AbbVie02no" w:date="2025-05-15T13:45:00Z">
                <w:pPr/>
              </w:pPrChange>
            </w:pPr>
            <w:del w:id="5715" w:author="AbbVie02no" w:date="2025-05-15T13:45:00Z">
              <w:r w:rsidRPr="009C5EFD">
                <w:rPr>
                  <w:sz w:val="22"/>
                  <w:szCs w:val="22"/>
                </w:rPr>
                <w:delText>Sjeldne</w:delText>
              </w:r>
            </w:del>
          </w:p>
          <w:p w14:paraId="1C69A4A9" w14:textId="564D2004" w:rsidR="007866C9" w:rsidRPr="009C5EFD" w:rsidRDefault="007866C9">
            <w:pPr>
              <w:keepNext/>
              <w:suppressAutoHyphens/>
              <w:rPr>
                <w:del w:id="5716" w:author="AbbVie02no" w:date="2025-05-15T13:45:00Z"/>
                <w:sz w:val="22"/>
                <w:szCs w:val="22"/>
              </w:rPr>
              <w:pPrChange w:id="5717" w:author="AbbVie02no" w:date="2025-05-15T13:45:00Z">
                <w:pPr/>
              </w:pPrChange>
            </w:pPr>
          </w:p>
        </w:tc>
        <w:tc>
          <w:tcPr>
            <w:tcW w:w="4294" w:type="dxa"/>
          </w:tcPr>
          <w:p w14:paraId="1BDEB58C" w14:textId="048DCFA4" w:rsidR="007866C9" w:rsidRPr="009C5EFD" w:rsidRDefault="00E453CD">
            <w:pPr>
              <w:keepNext/>
              <w:suppressAutoHyphens/>
              <w:rPr>
                <w:del w:id="5718" w:author="AbbVie02no" w:date="2025-05-15T13:45:00Z"/>
                <w:sz w:val="22"/>
                <w:szCs w:val="22"/>
              </w:rPr>
              <w:pPrChange w:id="5719" w:author="AbbVie02no" w:date="2025-05-15T13:45:00Z">
                <w:pPr/>
              </w:pPrChange>
            </w:pPr>
            <w:del w:id="5720" w:author="AbbVie02no" w:date="2025-05-15T13:45:00Z">
              <w:r w:rsidRPr="009C5EFD">
                <w:rPr>
                  <w:sz w:val="22"/>
                  <w:szCs w:val="22"/>
                </w:rPr>
                <w:delText>Multippel sklerose</w:delText>
              </w:r>
            </w:del>
          </w:p>
          <w:p w14:paraId="49E780A5" w14:textId="29724127" w:rsidR="007866C9" w:rsidRPr="009C5EFD" w:rsidRDefault="00E453CD">
            <w:pPr>
              <w:keepNext/>
              <w:suppressAutoHyphens/>
              <w:rPr>
                <w:del w:id="5721" w:author="AbbVie02no" w:date="2025-05-15T13:45:00Z"/>
                <w:sz w:val="22"/>
                <w:szCs w:val="22"/>
                <w:vertAlign w:val="superscript"/>
              </w:rPr>
              <w:pPrChange w:id="5722" w:author="AbbVie02no" w:date="2025-05-15T13:45:00Z">
                <w:pPr/>
              </w:pPrChange>
            </w:pPr>
            <w:del w:id="5723" w:author="AbbVie02no" w:date="2025-05-15T13:45:00Z">
              <w:r w:rsidRPr="009C5EFD">
                <w:rPr>
                  <w:sz w:val="22"/>
                  <w:szCs w:val="22"/>
                </w:rPr>
                <w:delText>Demyeliniseringsforstyrrelser (f. eks. optisk nevritt, Guillain-Barré syndrom)</w:delText>
              </w:r>
              <w:r w:rsidRPr="009C5EFD">
                <w:rPr>
                  <w:sz w:val="22"/>
                  <w:szCs w:val="22"/>
                  <w:vertAlign w:val="superscript"/>
                </w:rPr>
                <w:delText>1)</w:delText>
              </w:r>
            </w:del>
          </w:p>
          <w:p w14:paraId="513F0A0A" w14:textId="1F3A41BF" w:rsidR="007866C9" w:rsidRPr="009C5EFD" w:rsidRDefault="007866C9">
            <w:pPr>
              <w:keepNext/>
              <w:suppressAutoHyphens/>
              <w:rPr>
                <w:del w:id="5724" w:author="AbbVie02no" w:date="2025-05-15T13:45:00Z"/>
                <w:sz w:val="22"/>
                <w:szCs w:val="22"/>
              </w:rPr>
              <w:pPrChange w:id="5725" w:author="AbbVie02no" w:date="2025-05-15T13:45:00Z">
                <w:pPr/>
              </w:pPrChange>
            </w:pPr>
          </w:p>
        </w:tc>
      </w:tr>
      <w:tr w:rsidR="004644D4" w14:paraId="04B932E7" w14:textId="52089462" w:rsidTr="00032240">
        <w:trPr>
          <w:del w:id="5726" w:author="AbbVie02no" w:date="2025-05-15T13:45:00Z"/>
        </w:trPr>
        <w:tc>
          <w:tcPr>
            <w:tcW w:w="3079" w:type="dxa"/>
            <w:vMerge w:val="restart"/>
          </w:tcPr>
          <w:p w14:paraId="5C6BF71E" w14:textId="6EECE2BF" w:rsidR="000C7DCB" w:rsidRPr="009C5EFD" w:rsidRDefault="00E453CD">
            <w:pPr>
              <w:keepNext/>
              <w:suppressAutoHyphens/>
              <w:rPr>
                <w:del w:id="5727" w:author="AbbVie02no" w:date="2025-05-15T13:45:00Z"/>
                <w:sz w:val="22"/>
                <w:szCs w:val="22"/>
              </w:rPr>
              <w:pPrChange w:id="5728" w:author="AbbVie02no" w:date="2025-05-15T13:45:00Z">
                <w:pPr/>
              </w:pPrChange>
            </w:pPr>
            <w:del w:id="5729" w:author="AbbVie02no" w:date="2025-05-15T13:45:00Z">
              <w:r w:rsidRPr="009C5EFD">
                <w:rPr>
                  <w:sz w:val="22"/>
                  <w:szCs w:val="22"/>
                </w:rPr>
                <w:delText>Øyesykdommer</w:delText>
              </w:r>
            </w:del>
          </w:p>
        </w:tc>
        <w:tc>
          <w:tcPr>
            <w:tcW w:w="1682" w:type="dxa"/>
          </w:tcPr>
          <w:p w14:paraId="34F42439" w14:textId="3F044F91" w:rsidR="000C7DCB" w:rsidRPr="009C5EFD" w:rsidRDefault="00E453CD">
            <w:pPr>
              <w:keepNext/>
              <w:suppressAutoHyphens/>
              <w:rPr>
                <w:del w:id="5730" w:author="AbbVie02no" w:date="2025-05-15T13:45:00Z"/>
                <w:szCs w:val="22"/>
              </w:rPr>
              <w:pPrChange w:id="5731" w:author="AbbVie02no" w:date="2025-05-15T13:45:00Z">
                <w:pPr>
                  <w:pStyle w:val="EndnoteText"/>
                  <w:tabs>
                    <w:tab w:val="clear" w:pos="567"/>
                  </w:tabs>
                </w:pPr>
              </w:pPrChange>
            </w:pPr>
            <w:del w:id="5732" w:author="AbbVie02no" w:date="2025-05-15T13:45:00Z">
              <w:r w:rsidRPr="009C5EFD">
                <w:rPr>
                  <w:szCs w:val="22"/>
                </w:rPr>
                <w:delText>Vanlige</w:delText>
              </w:r>
            </w:del>
          </w:p>
          <w:p w14:paraId="151E6EE2" w14:textId="236D43D8" w:rsidR="000C7DCB" w:rsidRPr="009C5EFD" w:rsidRDefault="000C7DCB">
            <w:pPr>
              <w:keepNext/>
              <w:suppressAutoHyphens/>
              <w:rPr>
                <w:del w:id="5733" w:author="AbbVie02no" w:date="2025-05-15T13:45:00Z"/>
                <w:szCs w:val="22"/>
              </w:rPr>
              <w:pPrChange w:id="5734" w:author="AbbVie02no" w:date="2025-05-15T13:45:00Z">
                <w:pPr>
                  <w:pStyle w:val="EndnoteText"/>
                  <w:tabs>
                    <w:tab w:val="clear" w:pos="567"/>
                  </w:tabs>
                </w:pPr>
              </w:pPrChange>
            </w:pPr>
          </w:p>
        </w:tc>
        <w:tc>
          <w:tcPr>
            <w:tcW w:w="4294" w:type="dxa"/>
          </w:tcPr>
          <w:p w14:paraId="4B909537" w14:textId="675F673E" w:rsidR="000C7DCB" w:rsidRPr="009C5EFD" w:rsidRDefault="00E453CD">
            <w:pPr>
              <w:keepNext/>
              <w:suppressAutoHyphens/>
              <w:rPr>
                <w:del w:id="5735" w:author="AbbVie02no" w:date="2025-05-15T13:45:00Z"/>
                <w:sz w:val="22"/>
                <w:szCs w:val="22"/>
              </w:rPr>
              <w:pPrChange w:id="5736" w:author="AbbVie02no" w:date="2025-05-15T13:45:00Z">
                <w:pPr/>
              </w:pPrChange>
            </w:pPr>
            <w:del w:id="5737" w:author="AbbVie02no" w:date="2025-05-15T13:45:00Z">
              <w:r w:rsidRPr="009C5EFD">
                <w:rPr>
                  <w:sz w:val="22"/>
                  <w:szCs w:val="22"/>
                </w:rPr>
                <w:delText>Synsforstyrrelser, konjunktivitt</w:delText>
              </w:r>
              <w:r w:rsidR="005A2805" w:rsidRPr="009C5EFD">
                <w:rPr>
                  <w:sz w:val="22"/>
                  <w:szCs w:val="22"/>
                </w:rPr>
                <w:delText>, blefaritt, hevelse i øye</w:delText>
              </w:r>
            </w:del>
          </w:p>
        </w:tc>
      </w:tr>
      <w:tr w:rsidR="004644D4" w14:paraId="5BBD21CF" w14:textId="74EE5D2D" w:rsidTr="00032240">
        <w:trPr>
          <w:del w:id="5738" w:author="AbbVie02no" w:date="2025-05-15T13:45:00Z"/>
        </w:trPr>
        <w:tc>
          <w:tcPr>
            <w:tcW w:w="3079" w:type="dxa"/>
            <w:vMerge/>
          </w:tcPr>
          <w:p w14:paraId="4FE28C2D" w14:textId="2E314BCB" w:rsidR="000C7DCB" w:rsidRPr="009C5EFD" w:rsidRDefault="000C7DCB">
            <w:pPr>
              <w:keepNext/>
              <w:suppressAutoHyphens/>
              <w:rPr>
                <w:del w:id="5739" w:author="AbbVie02no" w:date="2025-05-15T13:45:00Z"/>
                <w:sz w:val="22"/>
                <w:szCs w:val="22"/>
              </w:rPr>
              <w:pPrChange w:id="5740" w:author="AbbVie02no" w:date="2025-05-15T13:45:00Z">
                <w:pPr/>
              </w:pPrChange>
            </w:pPr>
          </w:p>
        </w:tc>
        <w:tc>
          <w:tcPr>
            <w:tcW w:w="1682" w:type="dxa"/>
          </w:tcPr>
          <w:p w14:paraId="41288665" w14:textId="02F8AE02" w:rsidR="000C7DCB" w:rsidRPr="009C5EFD" w:rsidRDefault="00E453CD">
            <w:pPr>
              <w:keepNext/>
              <w:suppressAutoHyphens/>
              <w:rPr>
                <w:del w:id="5741" w:author="AbbVie02no" w:date="2025-05-15T13:45:00Z"/>
                <w:szCs w:val="22"/>
              </w:rPr>
              <w:pPrChange w:id="5742" w:author="AbbVie02no" w:date="2025-05-15T13:45:00Z">
                <w:pPr>
                  <w:pStyle w:val="EndnoteText"/>
                  <w:tabs>
                    <w:tab w:val="clear" w:pos="567"/>
                  </w:tabs>
                </w:pPr>
              </w:pPrChange>
            </w:pPr>
            <w:del w:id="5743" w:author="AbbVie02no" w:date="2025-05-15T13:45:00Z">
              <w:r w:rsidRPr="009C5EFD">
                <w:rPr>
                  <w:szCs w:val="22"/>
                </w:rPr>
                <w:delText>Mindre vanlige</w:delText>
              </w:r>
            </w:del>
          </w:p>
        </w:tc>
        <w:tc>
          <w:tcPr>
            <w:tcW w:w="4294" w:type="dxa"/>
          </w:tcPr>
          <w:p w14:paraId="4AB8A7AF" w14:textId="198A7CD7" w:rsidR="000C7DCB" w:rsidRPr="009C5EFD" w:rsidRDefault="00E453CD">
            <w:pPr>
              <w:keepNext/>
              <w:suppressAutoHyphens/>
              <w:rPr>
                <w:del w:id="5744" w:author="AbbVie02no" w:date="2025-05-15T13:45:00Z"/>
                <w:sz w:val="22"/>
                <w:szCs w:val="22"/>
              </w:rPr>
              <w:pPrChange w:id="5745" w:author="AbbVie02no" w:date="2025-05-15T13:45:00Z">
                <w:pPr/>
              </w:pPrChange>
            </w:pPr>
            <w:del w:id="5746" w:author="AbbVie02no" w:date="2025-05-15T13:45:00Z">
              <w:r w:rsidRPr="009C5EFD">
                <w:rPr>
                  <w:sz w:val="22"/>
                  <w:szCs w:val="22"/>
                </w:rPr>
                <w:delText xml:space="preserve">Diplopi </w:delText>
              </w:r>
            </w:del>
          </w:p>
          <w:p w14:paraId="2905B9FF" w14:textId="70E3F9AD" w:rsidR="000C7DCB" w:rsidRPr="009C5EFD" w:rsidRDefault="000C7DCB">
            <w:pPr>
              <w:keepNext/>
              <w:suppressAutoHyphens/>
              <w:rPr>
                <w:del w:id="5747" w:author="AbbVie02no" w:date="2025-05-15T13:45:00Z"/>
                <w:sz w:val="22"/>
                <w:szCs w:val="22"/>
              </w:rPr>
              <w:pPrChange w:id="5748" w:author="AbbVie02no" w:date="2025-05-15T13:45:00Z">
                <w:pPr/>
              </w:pPrChange>
            </w:pPr>
          </w:p>
        </w:tc>
      </w:tr>
      <w:tr w:rsidR="004644D4" w14:paraId="1DFFA413" w14:textId="4194D57B" w:rsidTr="00032240">
        <w:trPr>
          <w:del w:id="5749" w:author="AbbVie02no" w:date="2025-05-15T13:45:00Z"/>
        </w:trPr>
        <w:tc>
          <w:tcPr>
            <w:tcW w:w="3079" w:type="dxa"/>
            <w:vMerge w:val="restart"/>
          </w:tcPr>
          <w:p w14:paraId="01C6E88E" w14:textId="4E55A467" w:rsidR="000C7DCB" w:rsidRPr="009C5EFD" w:rsidRDefault="00E453CD">
            <w:pPr>
              <w:keepNext/>
              <w:suppressAutoHyphens/>
              <w:rPr>
                <w:del w:id="5750" w:author="AbbVie02no" w:date="2025-05-15T13:45:00Z"/>
                <w:sz w:val="22"/>
                <w:szCs w:val="22"/>
              </w:rPr>
              <w:pPrChange w:id="5751" w:author="AbbVie02no" w:date="2025-05-15T13:45:00Z">
                <w:pPr/>
              </w:pPrChange>
            </w:pPr>
            <w:del w:id="5752" w:author="AbbVie02no" w:date="2025-05-15T13:45:00Z">
              <w:r w:rsidRPr="009C5EFD">
                <w:rPr>
                  <w:sz w:val="22"/>
                  <w:szCs w:val="22"/>
                </w:rPr>
                <w:delText>Sykdommer i øre og labyrint</w:delText>
              </w:r>
            </w:del>
          </w:p>
        </w:tc>
        <w:tc>
          <w:tcPr>
            <w:tcW w:w="1682" w:type="dxa"/>
          </w:tcPr>
          <w:p w14:paraId="46D447B5" w14:textId="3CC1B2F4" w:rsidR="000C7DCB" w:rsidRPr="009C5EFD" w:rsidRDefault="00E453CD">
            <w:pPr>
              <w:keepNext/>
              <w:suppressAutoHyphens/>
              <w:rPr>
                <w:del w:id="5753" w:author="AbbVie02no" w:date="2025-05-15T13:45:00Z"/>
                <w:szCs w:val="22"/>
              </w:rPr>
              <w:pPrChange w:id="5754" w:author="AbbVie02no" w:date="2025-05-15T13:45:00Z">
                <w:pPr>
                  <w:pStyle w:val="EndnoteText"/>
                  <w:tabs>
                    <w:tab w:val="clear" w:pos="567"/>
                  </w:tabs>
                </w:pPr>
              </w:pPrChange>
            </w:pPr>
            <w:del w:id="5755" w:author="AbbVie02no" w:date="2025-05-15T13:45:00Z">
              <w:r w:rsidRPr="009C5EFD">
                <w:rPr>
                  <w:szCs w:val="22"/>
                </w:rPr>
                <w:delText>Vanlige</w:delText>
              </w:r>
            </w:del>
          </w:p>
          <w:p w14:paraId="58CFC678" w14:textId="6DFB0EDC" w:rsidR="000C7DCB" w:rsidRPr="009C5EFD" w:rsidRDefault="000C7DCB">
            <w:pPr>
              <w:keepNext/>
              <w:suppressAutoHyphens/>
              <w:rPr>
                <w:del w:id="5756" w:author="AbbVie02no" w:date="2025-05-15T13:45:00Z"/>
                <w:szCs w:val="22"/>
              </w:rPr>
              <w:pPrChange w:id="5757" w:author="AbbVie02no" w:date="2025-05-15T13:45:00Z">
                <w:pPr>
                  <w:pStyle w:val="EndnoteText"/>
                  <w:tabs>
                    <w:tab w:val="clear" w:pos="567"/>
                  </w:tabs>
                </w:pPr>
              </w:pPrChange>
            </w:pPr>
          </w:p>
        </w:tc>
        <w:tc>
          <w:tcPr>
            <w:tcW w:w="4294" w:type="dxa"/>
          </w:tcPr>
          <w:p w14:paraId="35FDC0A9" w14:textId="6E3A6AB9" w:rsidR="000C7DCB" w:rsidRPr="009C5EFD" w:rsidRDefault="00E453CD">
            <w:pPr>
              <w:keepNext/>
              <w:suppressAutoHyphens/>
              <w:rPr>
                <w:del w:id="5758" w:author="AbbVie02no" w:date="2025-05-15T13:45:00Z"/>
                <w:sz w:val="22"/>
                <w:szCs w:val="22"/>
              </w:rPr>
              <w:pPrChange w:id="5759" w:author="AbbVie02no" w:date="2025-05-15T13:45:00Z">
                <w:pPr/>
              </w:pPrChange>
            </w:pPr>
            <w:del w:id="5760" w:author="AbbVie02no" w:date="2025-05-15T13:45:00Z">
              <w:r w:rsidRPr="009C5EFD">
                <w:rPr>
                  <w:sz w:val="22"/>
                  <w:szCs w:val="22"/>
                </w:rPr>
                <w:delText>Svimmelhet</w:delText>
              </w:r>
            </w:del>
          </w:p>
          <w:p w14:paraId="62D4EFC8" w14:textId="521D1AAA" w:rsidR="000C7DCB" w:rsidRPr="009C5EFD" w:rsidRDefault="000C7DCB">
            <w:pPr>
              <w:keepNext/>
              <w:suppressAutoHyphens/>
              <w:rPr>
                <w:del w:id="5761" w:author="AbbVie02no" w:date="2025-05-15T13:45:00Z"/>
                <w:sz w:val="22"/>
                <w:szCs w:val="22"/>
              </w:rPr>
              <w:pPrChange w:id="5762" w:author="AbbVie02no" w:date="2025-05-15T13:45:00Z">
                <w:pPr/>
              </w:pPrChange>
            </w:pPr>
          </w:p>
        </w:tc>
      </w:tr>
      <w:tr w:rsidR="004644D4" w14:paraId="18D94C24" w14:textId="1A99CDBB" w:rsidTr="00032240">
        <w:trPr>
          <w:del w:id="5763" w:author="AbbVie02no" w:date="2025-05-15T13:45:00Z"/>
        </w:trPr>
        <w:tc>
          <w:tcPr>
            <w:tcW w:w="3079" w:type="dxa"/>
            <w:vMerge/>
          </w:tcPr>
          <w:p w14:paraId="73462D43" w14:textId="05CEB4D7" w:rsidR="000C7DCB" w:rsidRPr="009C5EFD" w:rsidRDefault="000C7DCB">
            <w:pPr>
              <w:keepNext/>
              <w:suppressAutoHyphens/>
              <w:rPr>
                <w:del w:id="5764" w:author="AbbVie02no" w:date="2025-05-15T13:45:00Z"/>
                <w:sz w:val="22"/>
                <w:szCs w:val="22"/>
              </w:rPr>
              <w:pPrChange w:id="5765" w:author="AbbVie02no" w:date="2025-05-15T13:45:00Z">
                <w:pPr/>
              </w:pPrChange>
            </w:pPr>
          </w:p>
        </w:tc>
        <w:tc>
          <w:tcPr>
            <w:tcW w:w="1682" w:type="dxa"/>
          </w:tcPr>
          <w:p w14:paraId="664364AA" w14:textId="1CC20A94" w:rsidR="000C7DCB" w:rsidRPr="009C5EFD" w:rsidRDefault="00E453CD">
            <w:pPr>
              <w:keepNext/>
              <w:suppressAutoHyphens/>
              <w:rPr>
                <w:del w:id="5766" w:author="AbbVie02no" w:date="2025-05-15T13:45:00Z"/>
                <w:szCs w:val="22"/>
              </w:rPr>
              <w:pPrChange w:id="5767" w:author="AbbVie02no" w:date="2025-05-15T13:45:00Z">
                <w:pPr>
                  <w:pStyle w:val="EndnoteText"/>
                  <w:tabs>
                    <w:tab w:val="clear" w:pos="567"/>
                  </w:tabs>
                </w:pPr>
              </w:pPrChange>
            </w:pPr>
            <w:del w:id="5768" w:author="AbbVie02no" w:date="2025-05-15T13:45:00Z">
              <w:r w:rsidRPr="009C5EFD">
                <w:rPr>
                  <w:szCs w:val="22"/>
                </w:rPr>
                <w:delText>Mindre vanlige</w:delText>
              </w:r>
            </w:del>
          </w:p>
        </w:tc>
        <w:tc>
          <w:tcPr>
            <w:tcW w:w="4294" w:type="dxa"/>
          </w:tcPr>
          <w:p w14:paraId="4279BB61" w14:textId="70E0A7D0" w:rsidR="000C7DCB" w:rsidRPr="009C5EFD" w:rsidRDefault="00E453CD">
            <w:pPr>
              <w:keepNext/>
              <w:suppressAutoHyphens/>
              <w:rPr>
                <w:del w:id="5769" w:author="AbbVie02no" w:date="2025-05-15T13:45:00Z"/>
                <w:sz w:val="22"/>
                <w:szCs w:val="22"/>
              </w:rPr>
              <w:pPrChange w:id="5770" w:author="AbbVie02no" w:date="2025-05-15T13:45:00Z">
                <w:pPr/>
              </w:pPrChange>
            </w:pPr>
            <w:del w:id="5771" w:author="AbbVie02no" w:date="2025-05-15T13:45:00Z">
              <w:r w:rsidRPr="009C5EFD">
                <w:rPr>
                  <w:sz w:val="22"/>
                  <w:szCs w:val="22"/>
                </w:rPr>
                <w:delText>Døvhet, øresus</w:delText>
              </w:r>
            </w:del>
          </w:p>
          <w:p w14:paraId="5316481C" w14:textId="7592C4EE" w:rsidR="000C7DCB" w:rsidRPr="009C5EFD" w:rsidRDefault="000C7DCB">
            <w:pPr>
              <w:keepNext/>
              <w:suppressAutoHyphens/>
              <w:rPr>
                <w:del w:id="5772" w:author="AbbVie02no" w:date="2025-05-15T13:45:00Z"/>
                <w:sz w:val="22"/>
                <w:szCs w:val="22"/>
              </w:rPr>
              <w:pPrChange w:id="5773" w:author="AbbVie02no" w:date="2025-05-15T13:45:00Z">
                <w:pPr/>
              </w:pPrChange>
            </w:pPr>
          </w:p>
        </w:tc>
      </w:tr>
      <w:tr w:rsidR="004644D4" w14:paraId="0E4D77A9" w14:textId="44D60BF4" w:rsidTr="00032240">
        <w:trPr>
          <w:del w:id="5774" w:author="AbbVie02no" w:date="2025-05-15T13:45:00Z"/>
        </w:trPr>
        <w:tc>
          <w:tcPr>
            <w:tcW w:w="3079" w:type="dxa"/>
            <w:vMerge w:val="restart"/>
          </w:tcPr>
          <w:p w14:paraId="634ABF1E" w14:textId="6AB746EE" w:rsidR="000C7DCB" w:rsidRPr="009C5EFD" w:rsidRDefault="00E453CD">
            <w:pPr>
              <w:keepNext/>
              <w:suppressAutoHyphens/>
              <w:rPr>
                <w:del w:id="5775" w:author="AbbVie02no" w:date="2025-05-15T13:45:00Z"/>
                <w:sz w:val="22"/>
                <w:szCs w:val="22"/>
              </w:rPr>
              <w:pPrChange w:id="5776" w:author="AbbVie02no" w:date="2025-05-15T13:45:00Z">
                <w:pPr/>
              </w:pPrChange>
            </w:pPr>
            <w:del w:id="5777" w:author="AbbVie02no" w:date="2025-05-15T13:45:00Z">
              <w:r w:rsidRPr="009C5EFD">
                <w:rPr>
                  <w:sz w:val="22"/>
                  <w:szCs w:val="22"/>
                </w:rPr>
                <w:delText>Hjertesykdommer*</w:delText>
              </w:r>
            </w:del>
          </w:p>
        </w:tc>
        <w:tc>
          <w:tcPr>
            <w:tcW w:w="1682" w:type="dxa"/>
          </w:tcPr>
          <w:p w14:paraId="4592CB06" w14:textId="0417AC4D" w:rsidR="000C7DCB" w:rsidRPr="009C5EFD" w:rsidRDefault="00E453CD">
            <w:pPr>
              <w:keepNext/>
              <w:suppressAutoHyphens/>
              <w:rPr>
                <w:del w:id="5778" w:author="AbbVie02no" w:date="2025-05-15T13:45:00Z"/>
                <w:sz w:val="22"/>
                <w:szCs w:val="22"/>
              </w:rPr>
              <w:pPrChange w:id="5779" w:author="AbbVie02no" w:date="2025-05-15T13:45:00Z">
                <w:pPr/>
              </w:pPrChange>
            </w:pPr>
            <w:del w:id="5780" w:author="AbbVie02no" w:date="2025-05-15T13:45:00Z">
              <w:r w:rsidRPr="009C5EFD">
                <w:rPr>
                  <w:sz w:val="22"/>
                  <w:szCs w:val="22"/>
                </w:rPr>
                <w:delText>Vanlige</w:delText>
              </w:r>
            </w:del>
          </w:p>
          <w:p w14:paraId="2B8378F3" w14:textId="1B39B6E7" w:rsidR="000C7DCB" w:rsidRPr="009C5EFD" w:rsidRDefault="000C7DCB">
            <w:pPr>
              <w:keepNext/>
              <w:suppressAutoHyphens/>
              <w:rPr>
                <w:del w:id="5781" w:author="AbbVie02no" w:date="2025-05-15T13:45:00Z"/>
                <w:sz w:val="22"/>
                <w:szCs w:val="22"/>
              </w:rPr>
              <w:pPrChange w:id="5782" w:author="AbbVie02no" w:date="2025-05-15T13:45:00Z">
                <w:pPr/>
              </w:pPrChange>
            </w:pPr>
          </w:p>
        </w:tc>
        <w:tc>
          <w:tcPr>
            <w:tcW w:w="4294" w:type="dxa"/>
          </w:tcPr>
          <w:p w14:paraId="6DC3DEF6" w14:textId="4A83FEE2" w:rsidR="000C7DCB" w:rsidRPr="009C5EFD" w:rsidRDefault="00E453CD">
            <w:pPr>
              <w:keepNext/>
              <w:suppressAutoHyphens/>
              <w:rPr>
                <w:del w:id="5783" w:author="AbbVie02no" w:date="2025-05-15T13:45:00Z"/>
                <w:sz w:val="22"/>
                <w:szCs w:val="22"/>
              </w:rPr>
              <w:pPrChange w:id="5784" w:author="AbbVie02no" w:date="2025-05-15T13:45:00Z">
                <w:pPr/>
              </w:pPrChange>
            </w:pPr>
            <w:del w:id="5785" w:author="AbbVie02no" w:date="2025-05-15T13:45:00Z">
              <w:r w:rsidRPr="009C5EFD">
                <w:rPr>
                  <w:sz w:val="22"/>
                  <w:szCs w:val="22"/>
                </w:rPr>
                <w:delText>Takykardi</w:delText>
              </w:r>
            </w:del>
          </w:p>
        </w:tc>
      </w:tr>
      <w:tr w:rsidR="004644D4" w14:paraId="4D4228F2" w14:textId="2A609D8F" w:rsidTr="00032240">
        <w:trPr>
          <w:del w:id="5786" w:author="AbbVie02no" w:date="2025-05-15T13:45:00Z"/>
        </w:trPr>
        <w:tc>
          <w:tcPr>
            <w:tcW w:w="3079" w:type="dxa"/>
            <w:vMerge/>
          </w:tcPr>
          <w:p w14:paraId="4CF43E46" w14:textId="62956009" w:rsidR="000C7DCB" w:rsidRPr="009C5EFD" w:rsidRDefault="000C7DCB">
            <w:pPr>
              <w:keepNext/>
              <w:suppressAutoHyphens/>
              <w:rPr>
                <w:del w:id="5787" w:author="AbbVie02no" w:date="2025-05-15T13:45:00Z"/>
                <w:sz w:val="22"/>
                <w:szCs w:val="22"/>
              </w:rPr>
              <w:pPrChange w:id="5788" w:author="AbbVie02no" w:date="2025-05-15T13:45:00Z">
                <w:pPr/>
              </w:pPrChange>
            </w:pPr>
          </w:p>
        </w:tc>
        <w:tc>
          <w:tcPr>
            <w:tcW w:w="1682" w:type="dxa"/>
          </w:tcPr>
          <w:p w14:paraId="5105DFE4" w14:textId="5F210F39" w:rsidR="000C7DCB" w:rsidRPr="009C5EFD" w:rsidRDefault="00E453CD">
            <w:pPr>
              <w:keepNext/>
              <w:suppressAutoHyphens/>
              <w:rPr>
                <w:del w:id="5789" w:author="AbbVie02no" w:date="2025-05-15T13:45:00Z"/>
                <w:sz w:val="22"/>
                <w:szCs w:val="22"/>
              </w:rPr>
              <w:pPrChange w:id="5790" w:author="AbbVie02no" w:date="2025-05-15T13:45:00Z">
                <w:pPr/>
              </w:pPrChange>
            </w:pPr>
            <w:del w:id="5791" w:author="AbbVie02no" w:date="2025-05-15T13:45:00Z">
              <w:r w:rsidRPr="009C5EFD">
                <w:rPr>
                  <w:sz w:val="22"/>
                  <w:szCs w:val="22"/>
                </w:rPr>
                <w:delText>Mindre vanlige</w:delText>
              </w:r>
            </w:del>
          </w:p>
          <w:p w14:paraId="696B0D36" w14:textId="1251E975" w:rsidR="000C7DCB" w:rsidRPr="009C5EFD" w:rsidRDefault="000C7DCB">
            <w:pPr>
              <w:keepNext/>
              <w:suppressAutoHyphens/>
              <w:rPr>
                <w:del w:id="5792" w:author="AbbVie02no" w:date="2025-05-15T13:45:00Z"/>
                <w:sz w:val="22"/>
                <w:szCs w:val="22"/>
              </w:rPr>
              <w:pPrChange w:id="5793" w:author="AbbVie02no" w:date="2025-05-15T13:45:00Z">
                <w:pPr/>
              </w:pPrChange>
            </w:pPr>
          </w:p>
        </w:tc>
        <w:tc>
          <w:tcPr>
            <w:tcW w:w="4294" w:type="dxa"/>
          </w:tcPr>
          <w:p w14:paraId="4AE6B339" w14:textId="6913F992" w:rsidR="000C7DCB" w:rsidRPr="009C5EFD" w:rsidRDefault="00E453CD">
            <w:pPr>
              <w:keepNext/>
              <w:suppressAutoHyphens/>
              <w:rPr>
                <w:del w:id="5794" w:author="AbbVie02no" w:date="2025-05-15T13:45:00Z"/>
                <w:sz w:val="22"/>
                <w:szCs w:val="22"/>
              </w:rPr>
              <w:pPrChange w:id="5795" w:author="AbbVie02no" w:date="2025-05-15T13:45:00Z">
                <w:pPr/>
              </w:pPrChange>
            </w:pPr>
            <w:del w:id="5796" w:author="AbbVie02no" w:date="2025-05-15T13:45:00Z">
              <w:r w:rsidRPr="009C5EFD">
                <w:rPr>
                  <w:sz w:val="22"/>
                  <w:szCs w:val="22"/>
                </w:rPr>
                <w:delText>Hjerteinfarkt</w:delText>
              </w:r>
              <w:r w:rsidRPr="009C5EFD">
                <w:rPr>
                  <w:sz w:val="22"/>
                  <w:szCs w:val="22"/>
                  <w:vertAlign w:val="superscript"/>
                </w:rPr>
                <w:delText>1)</w:delText>
              </w:r>
              <w:r w:rsidRPr="009C5EFD">
                <w:rPr>
                  <w:sz w:val="22"/>
                  <w:szCs w:val="22"/>
                </w:rPr>
                <w:delText xml:space="preserve">, arytmi, </w:delText>
              </w:r>
              <w:r w:rsidR="000C75CC" w:rsidRPr="009C5EFD">
                <w:rPr>
                  <w:sz w:val="22"/>
                  <w:szCs w:val="22"/>
                </w:rPr>
                <w:delText xml:space="preserve">kongestiv </w:delText>
              </w:r>
              <w:r w:rsidRPr="009C5EFD">
                <w:rPr>
                  <w:sz w:val="22"/>
                  <w:szCs w:val="22"/>
                </w:rPr>
                <w:delText>hjertesvikt</w:delText>
              </w:r>
            </w:del>
          </w:p>
          <w:p w14:paraId="0F766D0C" w14:textId="3E5A544B" w:rsidR="000C7DCB" w:rsidRPr="009C5EFD" w:rsidRDefault="000C7DCB">
            <w:pPr>
              <w:keepNext/>
              <w:suppressAutoHyphens/>
              <w:rPr>
                <w:del w:id="5797" w:author="AbbVie02no" w:date="2025-05-15T13:45:00Z"/>
                <w:sz w:val="22"/>
                <w:szCs w:val="22"/>
              </w:rPr>
              <w:pPrChange w:id="5798" w:author="AbbVie02no" w:date="2025-05-15T13:45:00Z">
                <w:pPr/>
              </w:pPrChange>
            </w:pPr>
          </w:p>
        </w:tc>
      </w:tr>
      <w:tr w:rsidR="004644D4" w14:paraId="73204C01" w14:textId="61C0DA8B" w:rsidTr="00032240">
        <w:trPr>
          <w:del w:id="5799" w:author="AbbVie02no" w:date="2025-05-15T13:45:00Z"/>
        </w:trPr>
        <w:tc>
          <w:tcPr>
            <w:tcW w:w="3079" w:type="dxa"/>
            <w:vMerge/>
          </w:tcPr>
          <w:p w14:paraId="7E299F9B" w14:textId="57894865" w:rsidR="000C7DCB" w:rsidRPr="009C5EFD" w:rsidRDefault="000C7DCB">
            <w:pPr>
              <w:keepNext/>
              <w:suppressAutoHyphens/>
              <w:rPr>
                <w:del w:id="5800" w:author="AbbVie02no" w:date="2025-05-15T13:45:00Z"/>
                <w:sz w:val="22"/>
                <w:szCs w:val="22"/>
              </w:rPr>
              <w:pPrChange w:id="5801" w:author="AbbVie02no" w:date="2025-05-15T13:45:00Z">
                <w:pPr/>
              </w:pPrChange>
            </w:pPr>
          </w:p>
        </w:tc>
        <w:tc>
          <w:tcPr>
            <w:tcW w:w="1682" w:type="dxa"/>
          </w:tcPr>
          <w:p w14:paraId="1DDCF964" w14:textId="6B31C9B8" w:rsidR="000C7DCB" w:rsidRPr="009C5EFD" w:rsidRDefault="00E453CD">
            <w:pPr>
              <w:keepNext/>
              <w:suppressAutoHyphens/>
              <w:rPr>
                <w:del w:id="5802" w:author="AbbVie02no" w:date="2025-05-15T13:45:00Z"/>
                <w:sz w:val="22"/>
                <w:szCs w:val="22"/>
              </w:rPr>
              <w:pPrChange w:id="5803" w:author="AbbVie02no" w:date="2025-05-15T13:45:00Z">
                <w:pPr/>
              </w:pPrChange>
            </w:pPr>
            <w:del w:id="5804" w:author="AbbVie02no" w:date="2025-05-15T13:45:00Z">
              <w:r w:rsidRPr="009C5EFD">
                <w:rPr>
                  <w:sz w:val="22"/>
                  <w:szCs w:val="22"/>
                </w:rPr>
                <w:delText>Sjeldne</w:delText>
              </w:r>
            </w:del>
          </w:p>
          <w:p w14:paraId="41584360" w14:textId="701488D5" w:rsidR="000C7DCB" w:rsidRPr="009C5EFD" w:rsidRDefault="000C7DCB">
            <w:pPr>
              <w:keepNext/>
              <w:suppressAutoHyphens/>
              <w:rPr>
                <w:del w:id="5805" w:author="AbbVie02no" w:date="2025-05-15T13:45:00Z"/>
                <w:sz w:val="22"/>
                <w:szCs w:val="22"/>
              </w:rPr>
              <w:pPrChange w:id="5806" w:author="AbbVie02no" w:date="2025-05-15T13:45:00Z">
                <w:pPr/>
              </w:pPrChange>
            </w:pPr>
          </w:p>
        </w:tc>
        <w:tc>
          <w:tcPr>
            <w:tcW w:w="4294" w:type="dxa"/>
          </w:tcPr>
          <w:p w14:paraId="721D8FBD" w14:textId="455ED291" w:rsidR="000C7DCB" w:rsidRPr="009C5EFD" w:rsidRDefault="00E453CD">
            <w:pPr>
              <w:keepNext/>
              <w:suppressAutoHyphens/>
              <w:rPr>
                <w:del w:id="5807" w:author="AbbVie02no" w:date="2025-05-15T13:45:00Z"/>
                <w:sz w:val="22"/>
                <w:szCs w:val="22"/>
              </w:rPr>
              <w:pPrChange w:id="5808" w:author="AbbVie02no" w:date="2025-05-15T13:45:00Z">
                <w:pPr/>
              </w:pPrChange>
            </w:pPr>
            <w:del w:id="5809" w:author="AbbVie02no" w:date="2025-05-15T13:45:00Z">
              <w:r w:rsidRPr="009C5EFD">
                <w:rPr>
                  <w:sz w:val="22"/>
                  <w:szCs w:val="22"/>
                </w:rPr>
                <w:delText>Hjertestans</w:delText>
              </w:r>
            </w:del>
          </w:p>
        </w:tc>
      </w:tr>
      <w:tr w:rsidR="004644D4" w14:paraId="796F8480" w14:textId="70BE8227" w:rsidTr="00032240">
        <w:trPr>
          <w:del w:id="5810" w:author="AbbVie02no" w:date="2025-05-15T13:45:00Z"/>
        </w:trPr>
        <w:tc>
          <w:tcPr>
            <w:tcW w:w="3079" w:type="dxa"/>
            <w:vMerge w:val="restart"/>
          </w:tcPr>
          <w:p w14:paraId="3910B66E" w14:textId="3E72CA4F" w:rsidR="000C7DCB" w:rsidRPr="009C5EFD" w:rsidRDefault="00E453CD">
            <w:pPr>
              <w:keepNext/>
              <w:suppressAutoHyphens/>
              <w:rPr>
                <w:del w:id="5811" w:author="AbbVie02no" w:date="2025-05-15T13:45:00Z"/>
                <w:sz w:val="22"/>
                <w:szCs w:val="22"/>
              </w:rPr>
              <w:pPrChange w:id="5812" w:author="AbbVie02no" w:date="2025-05-15T13:45:00Z">
                <w:pPr/>
              </w:pPrChange>
            </w:pPr>
            <w:del w:id="5813" w:author="AbbVie02no" w:date="2025-05-15T13:45:00Z">
              <w:r w:rsidRPr="009C5EFD">
                <w:rPr>
                  <w:sz w:val="22"/>
                  <w:szCs w:val="22"/>
                </w:rPr>
                <w:delText>Karsykdommer</w:delText>
              </w:r>
            </w:del>
          </w:p>
        </w:tc>
        <w:tc>
          <w:tcPr>
            <w:tcW w:w="1682" w:type="dxa"/>
          </w:tcPr>
          <w:p w14:paraId="51335B5F" w14:textId="1B847DE9" w:rsidR="000C7DCB" w:rsidRPr="009C5EFD" w:rsidRDefault="00E453CD">
            <w:pPr>
              <w:keepNext/>
              <w:suppressAutoHyphens/>
              <w:rPr>
                <w:del w:id="5814" w:author="AbbVie02no" w:date="2025-05-15T13:45:00Z"/>
                <w:szCs w:val="22"/>
              </w:rPr>
              <w:pPrChange w:id="5815" w:author="AbbVie02no" w:date="2025-05-15T13:45:00Z">
                <w:pPr>
                  <w:pStyle w:val="EndnoteText"/>
                  <w:tabs>
                    <w:tab w:val="clear" w:pos="567"/>
                  </w:tabs>
                  <w:jc w:val="both"/>
                </w:pPr>
              </w:pPrChange>
            </w:pPr>
            <w:del w:id="5816" w:author="AbbVie02no" w:date="2025-05-15T13:45:00Z">
              <w:r w:rsidRPr="009C5EFD">
                <w:rPr>
                  <w:szCs w:val="22"/>
                </w:rPr>
                <w:delText>Vanlige</w:delText>
              </w:r>
            </w:del>
          </w:p>
          <w:p w14:paraId="3A453B4E" w14:textId="44DF0B2B" w:rsidR="000C7DCB" w:rsidRPr="009C5EFD" w:rsidRDefault="000C7DCB">
            <w:pPr>
              <w:keepNext/>
              <w:suppressAutoHyphens/>
              <w:rPr>
                <w:del w:id="5817" w:author="AbbVie02no" w:date="2025-05-15T13:45:00Z"/>
                <w:sz w:val="22"/>
                <w:szCs w:val="22"/>
              </w:rPr>
              <w:pPrChange w:id="5818" w:author="AbbVie02no" w:date="2025-05-15T13:45:00Z">
                <w:pPr/>
              </w:pPrChange>
            </w:pPr>
          </w:p>
        </w:tc>
        <w:tc>
          <w:tcPr>
            <w:tcW w:w="4294" w:type="dxa"/>
          </w:tcPr>
          <w:p w14:paraId="0D00F97A" w14:textId="3F2E5D4F" w:rsidR="000C7DCB" w:rsidRPr="009C5EFD" w:rsidRDefault="00E453CD">
            <w:pPr>
              <w:keepNext/>
              <w:suppressAutoHyphens/>
              <w:rPr>
                <w:del w:id="5819" w:author="AbbVie02no" w:date="2025-05-15T13:45:00Z"/>
                <w:sz w:val="22"/>
                <w:szCs w:val="22"/>
              </w:rPr>
              <w:pPrChange w:id="5820" w:author="AbbVie02no" w:date="2025-05-15T13:45:00Z">
                <w:pPr/>
              </w:pPrChange>
            </w:pPr>
            <w:del w:id="5821" w:author="AbbVie02no" w:date="2025-05-15T13:45:00Z">
              <w:r w:rsidRPr="009C5EFD">
                <w:rPr>
                  <w:sz w:val="22"/>
                  <w:szCs w:val="22"/>
                </w:rPr>
                <w:delText>Hypertensjon, flushing, hematom</w:delText>
              </w:r>
            </w:del>
          </w:p>
        </w:tc>
      </w:tr>
      <w:tr w:rsidR="004644D4" w14:paraId="7B603E75" w14:textId="2EC916AE" w:rsidTr="00032240">
        <w:trPr>
          <w:del w:id="5822" w:author="AbbVie02no" w:date="2025-05-15T13:45:00Z"/>
        </w:trPr>
        <w:tc>
          <w:tcPr>
            <w:tcW w:w="3079" w:type="dxa"/>
            <w:vMerge/>
          </w:tcPr>
          <w:p w14:paraId="463B11C5" w14:textId="579405EE" w:rsidR="000C7DCB" w:rsidRPr="009C5EFD" w:rsidRDefault="000C7DCB">
            <w:pPr>
              <w:keepNext/>
              <w:suppressAutoHyphens/>
              <w:rPr>
                <w:del w:id="5823" w:author="AbbVie02no" w:date="2025-05-15T13:45:00Z"/>
                <w:sz w:val="22"/>
                <w:szCs w:val="22"/>
              </w:rPr>
              <w:pPrChange w:id="5824" w:author="AbbVie02no" w:date="2025-05-15T13:45:00Z">
                <w:pPr/>
              </w:pPrChange>
            </w:pPr>
          </w:p>
        </w:tc>
        <w:tc>
          <w:tcPr>
            <w:tcW w:w="1682" w:type="dxa"/>
          </w:tcPr>
          <w:p w14:paraId="6325825D" w14:textId="78E2527B" w:rsidR="000C7DCB" w:rsidRPr="009C5EFD" w:rsidRDefault="00E453CD">
            <w:pPr>
              <w:keepNext/>
              <w:suppressAutoHyphens/>
              <w:rPr>
                <w:del w:id="5825" w:author="AbbVie02no" w:date="2025-05-15T13:45:00Z"/>
                <w:szCs w:val="22"/>
              </w:rPr>
              <w:pPrChange w:id="5826" w:author="AbbVie02no" w:date="2025-05-15T13:45:00Z">
                <w:pPr>
                  <w:pStyle w:val="EndnoteText"/>
                  <w:tabs>
                    <w:tab w:val="clear" w:pos="567"/>
                  </w:tabs>
                  <w:jc w:val="both"/>
                </w:pPr>
              </w:pPrChange>
            </w:pPr>
            <w:del w:id="5827" w:author="AbbVie02no" w:date="2025-05-15T13:45:00Z">
              <w:r w:rsidRPr="009C5EFD">
                <w:rPr>
                  <w:szCs w:val="22"/>
                </w:rPr>
                <w:delText>Mindre vanlige</w:delText>
              </w:r>
            </w:del>
          </w:p>
        </w:tc>
        <w:tc>
          <w:tcPr>
            <w:tcW w:w="4294" w:type="dxa"/>
          </w:tcPr>
          <w:p w14:paraId="310714C9" w14:textId="4DFC3048" w:rsidR="000C7DCB" w:rsidRPr="009C5EFD" w:rsidRDefault="00E453CD">
            <w:pPr>
              <w:keepNext/>
              <w:suppressAutoHyphens/>
              <w:rPr>
                <w:del w:id="5828" w:author="AbbVie02no" w:date="2025-05-15T13:45:00Z"/>
                <w:sz w:val="22"/>
                <w:szCs w:val="22"/>
              </w:rPr>
              <w:pPrChange w:id="5829" w:author="AbbVie02no" w:date="2025-05-15T13:45:00Z">
                <w:pPr/>
              </w:pPrChange>
            </w:pPr>
            <w:del w:id="5830" w:author="AbbVie02no" w:date="2025-05-15T13:45:00Z">
              <w:r w:rsidRPr="009C5EFD">
                <w:rPr>
                  <w:sz w:val="22"/>
                  <w:szCs w:val="22"/>
                </w:rPr>
                <w:delText>Aortaaneurisme, vaskulær arteriell okklusjon, tromboflebitt</w:delText>
              </w:r>
            </w:del>
          </w:p>
          <w:p w14:paraId="77B5252E" w14:textId="5ED50FB9" w:rsidR="000C7DCB" w:rsidRPr="009C5EFD" w:rsidRDefault="000C7DCB">
            <w:pPr>
              <w:keepNext/>
              <w:suppressAutoHyphens/>
              <w:rPr>
                <w:del w:id="5831" w:author="AbbVie02no" w:date="2025-05-15T13:45:00Z"/>
                <w:sz w:val="22"/>
                <w:szCs w:val="22"/>
              </w:rPr>
              <w:pPrChange w:id="5832" w:author="AbbVie02no" w:date="2025-05-15T13:45:00Z">
                <w:pPr/>
              </w:pPrChange>
            </w:pPr>
          </w:p>
        </w:tc>
      </w:tr>
      <w:tr w:rsidR="004644D4" w14:paraId="2F3587DD" w14:textId="6EB33BFE" w:rsidTr="00032240">
        <w:trPr>
          <w:del w:id="5833" w:author="AbbVie02no" w:date="2025-05-15T13:45:00Z"/>
        </w:trPr>
        <w:tc>
          <w:tcPr>
            <w:tcW w:w="3079" w:type="dxa"/>
            <w:vMerge w:val="restart"/>
          </w:tcPr>
          <w:p w14:paraId="36490C4F" w14:textId="5B24FC06" w:rsidR="000C7DCB" w:rsidRPr="009C5EFD" w:rsidRDefault="00E453CD">
            <w:pPr>
              <w:keepNext/>
              <w:suppressAutoHyphens/>
              <w:rPr>
                <w:del w:id="5834" w:author="AbbVie02no" w:date="2025-05-15T13:45:00Z"/>
                <w:sz w:val="22"/>
                <w:szCs w:val="22"/>
              </w:rPr>
              <w:pPrChange w:id="5835" w:author="AbbVie02no" w:date="2025-05-15T13:45:00Z">
                <w:pPr/>
              </w:pPrChange>
            </w:pPr>
            <w:del w:id="5836" w:author="AbbVie02no" w:date="2025-05-15T13:45:00Z">
              <w:r w:rsidRPr="009C5EFD">
                <w:rPr>
                  <w:sz w:val="22"/>
                  <w:szCs w:val="22"/>
                </w:rPr>
                <w:delText>Sykdommer i respirasjonsorganer, thorax og mediastinum*</w:delText>
              </w:r>
            </w:del>
          </w:p>
        </w:tc>
        <w:tc>
          <w:tcPr>
            <w:tcW w:w="1682" w:type="dxa"/>
          </w:tcPr>
          <w:p w14:paraId="2B6A0BA4" w14:textId="5ADEB648" w:rsidR="000C7DCB" w:rsidRPr="009C5EFD" w:rsidRDefault="00E453CD">
            <w:pPr>
              <w:keepNext/>
              <w:suppressAutoHyphens/>
              <w:rPr>
                <w:del w:id="5837" w:author="AbbVie02no" w:date="2025-05-15T13:45:00Z"/>
                <w:sz w:val="22"/>
                <w:szCs w:val="22"/>
              </w:rPr>
              <w:pPrChange w:id="5838" w:author="AbbVie02no" w:date="2025-05-15T13:45:00Z">
                <w:pPr/>
              </w:pPrChange>
            </w:pPr>
            <w:del w:id="5839" w:author="AbbVie02no" w:date="2025-05-15T13:45:00Z">
              <w:r w:rsidRPr="009C5EFD">
                <w:rPr>
                  <w:sz w:val="22"/>
                  <w:szCs w:val="22"/>
                </w:rPr>
                <w:delText>Vanlige</w:delText>
              </w:r>
            </w:del>
          </w:p>
          <w:p w14:paraId="1E4D5D5C" w14:textId="2D03CD3C" w:rsidR="000C7DCB" w:rsidRPr="009C5EFD" w:rsidRDefault="000C7DCB">
            <w:pPr>
              <w:keepNext/>
              <w:suppressAutoHyphens/>
              <w:rPr>
                <w:del w:id="5840" w:author="AbbVie02no" w:date="2025-05-15T13:45:00Z"/>
                <w:szCs w:val="22"/>
              </w:rPr>
              <w:pPrChange w:id="5841" w:author="AbbVie02no" w:date="2025-05-15T13:45:00Z">
                <w:pPr>
                  <w:pStyle w:val="EndnoteText"/>
                  <w:tabs>
                    <w:tab w:val="clear" w:pos="567"/>
                  </w:tabs>
                  <w:jc w:val="both"/>
                </w:pPr>
              </w:pPrChange>
            </w:pPr>
          </w:p>
        </w:tc>
        <w:tc>
          <w:tcPr>
            <w:tcW w:w="4294" w:type="dxa"/>
          </w:tcPr>
          <w:p w14:paraId="1903508A" w14:textId="49842CB0" w:rsidR="000C7DCB" w:rsidRPr="009C5EFD" w:rsidRDefault="00E453CD">
            <w:pPr>
              <w:keepNext/>
              <w:suppressAutoHyphens/>
              <w:rPr>
                <w:del w:id="5842" w:author="AbbVie02no" w:date="2025-05-15T13:45:00Z"/>
                <w:sz w:val="22"/>
                <w:szCs w:val="22"/>
              </w:rPr>
              <w:pPrChange w:id="5843" w:author="AbbVie02no" w:date="2025-05-15T13:45:00Z">
                <w:pPr>
                  <w:autoSpaceDE w:val="0"/>
                  <w:autoSpaceDN w:val="0"/>
                  <w:adjustRightInd w:val="0"/>
                </w:pPr>
              </w:pPrChange>
            </w:pPr>
            <w:del w:id="5844" w:author="AbbVie02no" w:date="2025-05-15T13:45:00Z">
              <w:r w:rsidRPr="009C5EFD">
                <w:rPr>
                  <w:sz w:val="22"/>
                  <w:szCs w:val="22"/>
                </w:rPr>
                <w:delText>Astma, dyspné, hoste</w:delText>
              </w:r>
            </w:del>
          </w:p>
        </w:tc>
      </w:tr>
      <w:tr w:rsidR="004644D4" w14:paraId="1694213D" w14:textId="216FC872" w:rsidTr="00032240">
        <w:trPr>
          <w:del w:id="5845" w:author="AbbVie02no" w:date="2025-05-15T13:45:00Z"/>
        </w:trPr>
        <w:tc>
          <w:tcPr>
            <w:tcW w:w="3079" w:type="dxa"/>
            <w:vMerge/>
          </w:tcPr>
          <w:p w14:paraId="33A9F8EF" w14:textId="6D117A3A" w:rsidR="000C7DCB" w:rsidRPr="009C5EFD" w:rsidRDefault="000C7DCB">
            <w:pPr>
              <w:keepNext/>
              <w:suppressAutoHyphens/>
              <w:rPr>
                <w:del w:id="5846" w:author="AbbVie02no" w:date="2025-05-15T13:45:00Z"/>
                <w:sz w:val="22"/>
                <w:szCs w:val="22"/>
              </w:rPr>
              <w:pPrChange w:id="5847" w:author="AbbVie02no" w:date="2025-05-15T13:45:00Z">
                <w:pPr/>
              </w:pPrChange>
            </w:pPr>
          </w:p>
        </w:tc>
        <w:tc>
          <w:tcPr>
            <w:tcW w:w="1682" w:type="dxa"/>
          </w:tcPr>
          <w:p w14:paraId="1ABFC5E3" w14:textId="3A76A143" w:rsidR="000C7DCB" w:rsidRPr="009C5EFD" w:rsidRDefault="00E453CD">
            <w:pPr>
              <w:keepNext/>
              <w:suppressAutoHyphens/>
              <w:rPr>
                <w:del w:id="5848" w:author="AbbVie02no" w:date="2025-05-15T13:45:00Z"/>
                <w:szCs w:val="22"/>
              </w:rPr>
              <w:pPrChange w:id="5849" w:author="AbbVie02no" w:date="2025-05-15T13:45:00Z">
                <w:pPr>
                  <w:pStyle w:val="EndnoteText"/>
                  <w:tabs>
                    <w:tab w:val="clear" w:pos="567"/>
                  </w:tabs>
                  <w:jc w:val="both"/>
                </w:pPr>
              </w:pPrChange>
            </w:pPr>
            <w:del w:id="5850" w:author="AbbVie02no" w:date="2025-05-15T13:45:00Z">
              <w:r w:rsidRPr="009C5EFD">
                <w:rPr>
                  <w:szCs w:val="22"/>
                </w:rPr>
                <w:delText>Mindre vanlige</w:delText>
              </w:r>
            </w:del>
          </w:p>
          <w:p w14:paraId="4A175FDE" w14:textId="7415648C" w:rsidR="000C7DCB" w:rsidRPr="009C5EFD" w:rsidRDefault="000C7DCB">
            <w:pPr>
              <w:keepNext/>
              <w:suppressAutoHyphens/>
              <w:rPr>
                <w:del w:id="5851" w:author="AbbVie02no" w:date="2025-05-15T13:45:00Z"/>
                <w:sz w:val="22"/>
                <w:szCs w:val="22"/>
              </w:rPr>
              <w:pPrChange w:id="5852" w:author="AbbVie02no" w:date="2025-05-15T13:45:00Z">
                <w:pPr/>
              </w:pPrChange>
            </w:pPr>
          </w:p>
        </w:tc>
        <w:tc>
          <w:tcPr>
            <w:tcW w:w="4294" w:type="dxa"/>
          </w:tcPr>
          <w:p w14:paraId="7DC5AFA5" w14:textId="25314C9F" w:rsidR="000C7DCB" w:rsidRPr="009C5EFD" w:rsidRDefault="00E453CD">
            <w:pPr>
              <w:keepNext/>
              <w:suppressAutoHyphens/>
              <w:rPr>
                <w:del w:id="5853" w:author="AbbVie02no" w:date="2025-05-15T13:45:00Z"/>
                <w:sz w:val="22"/>
                <w:szCs w:val="22"/>
              </w:rPr>
              <w:pPrChange w:id="5854" w:author="AbbVie02no" w:date="2025-05-15T13:45:00Z">
                <w:pPr/>
              </w:pPrChange>
            </w:pPr>
            <w:del w:id="5855" w:author="AbbVie02no" w:date="2025-05-15T13:45:00Z">
              <w:r w:rsidRPr="009C5EFD">
                <w:rPr>
                  <w:sz w:val="22"/>
                  <w:szCs w:val="22"/>
                </w:rPr>
                <w:delText>Lungeemboli</w:delText>
              </w:r>
              <w:r w:rsidRPr="009C5EFD">
                <w:rPr>
                  <w:sz w:val="22"/>
                  <w:szCs w:val="22"/>
                  <w:vertAlign w:val="superscript"/>
                </w:rPr>
                <w:delText>1)</w:delText>
              </w:r>
              <w:r w:rsidRPr="009C5EFD">
                <w:rPr>
                  <w:sz w:val="22"/>
                  <w:szCs w:val="22"/>
                </w:rPr>
                <w:delText xml:space="preserve">, interstitiell lungesykdom, kronisk obstruktiv lungesykdom, pneumonitt, </w:delText>
              </w:r>
            </w:del>
          </w:p>
          <w:p w14:paraId="23F051A4" w14:textId="60491A51" w:rsidR="000C7DCB" w:rsidRPr="009C5EFD" w:rsidRDefault="00E453CD">
            <w:pPr>
              <w:keepNext/>
              <w:suppressAutoHyphens/>
              <w:rPr>
                <w:del w:id="5856" w:author="AbbVie02no" w:date="2025-05-15T13:45:00Z"/>
                <w:sz w:val="22"/>
                <w:szCs w:val="22"/>
              </w:rPr>
              <w:pPrChange w:id="5857" w:author="AbbVie02no" w:date="2025-05-15T13:45:00Z">
                <w:pPr/>
              </w:pPrChange>
            </w:pPr>
            <w:del w:id="5858" w:author="AbbVie02no" w:date="2025-05-15T13:45:00Z">
              <w:r>
                <w:rPr>
                  <w:sz w:val="22"/>
                  <w:szCs w:val="22"/>
                </w:rPr>
                <w:delText>hydrothorax</w:delText>
              </w:r>
              <w:r w:rsidRPr="009C5EFD">
                <w:rPr>
                  <w:sz w:val="22"/>
                  <w:szCs w:val="22"/>
                  <w:vertAlign w:val="superscript"/>
                </w:rPr>
                <w:delText>1)</w:delText>
              </w:r>
              <w:r w:rsidRPr="009C5EFD">
                <w:rPr>
                  <w:sz w:val="22"/>
                  <w:szCs w:val="22"/>
                </w:rPr>
                <w:delText xml:space="preserve"> </w:delText>
              </w:r>
            </w:del>
          </w:p>
          <w:p w14:paraId="5578CE6D" w14:textId="6F8376C1" w:rsidR="000C7DCB" w:rsidRPr="009C5EFD" w:rsidRDefault="000C7DCB">
            <w:pPr>
              <w:keepNext/>
              <w:suppressAutoHyphens/>
              <w:rPr>
                <w:del w:id="5859" w:author="AbbVie02no" w:date="2025-05-15T13:45:00Z"/>
                <w:sz w:val="22"/>
                <w:szCs w:val="22"/>
              </w:rPr>
              <w:pPrChange w:id="5860" w:author="AbbVie02no" w:date="2025-05-15T13:45:00Z">
                <w:pPr>
                  <w:autoSpaceDE w:val="0"/>
                  <w:autoSpaceDN w:val="0"/>
                  <w:adjustRightInd w:val="0"/>
                </w:pPr>
              </w:pPrChange>
            </w:pPr>
          </w:p>
        </w:tc>
      </w:tr>
      <w:tr w:rsidR="004644D4" w14:paraId="06B63423" w14:textId="22490216" w:rsidTr="00032240">
        <w:trPr>
          <w:del w:id="5861" w:author="AbbVie02no" w:date="2025-05-15T13:45:00Z"/>
        </w:trPr>
        <w:tc>
          <w:tcPr>
            <w:tcW w:w="3079" w:type="dxa"/>
            <w:vMerge/>
          </w:tcPr>
          <w:p w14:paraId="4BCBDB61" w14:textId="58697A7B" w:rsidR="000C7DCB" w:rsidRPr="009C5EFD" w:rsidRDefault="000C7DCB">
            <w:pPr>
              <w:keepNext/>
              <w:suppressAutoHyphens/>
              <w:rPr>
                <w:del w:id="5862" w:author="AbbVie02no" w:date="2025-05-15T13:45:00Z"/>
                <w:sz w:val="22"/>
                <w:szCs w:val="22"/>
              </w:rPr>
              <w:pPrChange w:id="5863" w:author="AbbVie02no" w:date="2025-05-15T13:45:00Z">
                <w:pPr/>
              </w:pPrChange>
            </w:pPr>
          </w:p>
        </w:tc>
        <w:tc>
          <w:tcPr>
            <w:tcW w:w="1682" w:type="dxa"/>
          </w:tcPr>
          <w:p w14:paraId="66ABF73F" w14:textId="6A4775E4" w:rsidR="000C7DCB" w:rsidRPr="009C5EFD" w:rsidRDefault="00E453CD">
            <w:pPr>
              <w:keepNext/>
              <w:suppressAutoHyphens/>
              <w:rPr>
                <w:del w:id="5864" w:author="AbbVie02no" w:date="2025-05-15T13:45:00Z"/>
                <w:szCs w:val="22"/>
              </w:rPr>
              <w:pPrChange w:id="5865" w:author="AbbVie02no" w:date="2025-05-15T13:45:00Z">
                <w:pPr>
                  <w:pStyle w:val="EndnoteText"/>
                  <w:tabs>
                    <w:tab w:val="clear" w:pos="567"/>
                  </w:tabs>
                  <w:jc w:val="both"/>
                </w:pPr>
              </w:pPrChange>
            </w:pPr>
            <w:del w:id="5866" w:author="AbbVie02no" w:date="2025-05-15T13:45:00Z">
              <w:r w:rsidRPr="009C5EFD">
                <w:rPr>
                  <w:szCs w:val="22"/>
                </w:rPr>
                <w:delText>Sjeldne</w:delText>
              </w:r>
            </w:del>
          </w:p>
          <w:p w14:paraId="6E391203" w14:textId="5282AA02" w:rsidR="000C7DCB" w:rsidRPr="009C5EFD" w:rsidRDefault="000C7DCB">
            <w:pPr>
              <w:keepNext/>
              <w:suppressAutoHyphens/>
              <w:rPr>
                <w:del w:id="5867" w:author="AbbVie02no" w:date="2025-05-15T13:45:00Z"/>
                <w:sz w:val="22"/>
                <w:szCs w:val="22"/>
              </w:rPr>
              <w:pPrChange w:id="5868" w:author="AbbVie02no" w:date="2025-05-15T13:45:00Z">
                <w:pPr/>
              </w:pPrChange>
            </w:pPr>
          </w:p>
        </w:tc>
        <w:tc>
          <w:tcPr>
            <w:tcW w:w="4294" w:type="dxa"/>
          </w:tcPr>
          <w:p w14:paraId="1E74ED09" w14:textId="5AAC626E" w:rsidR="000C7DCB" w:rsidRPr="009C5EFD" w:rsidRDefault="00E453CD">
            <w:pPr>
              <w:keepNext/>
              <w:suppressAutoHyphens/>
              <w:rPr>
                <w:del w:id="5869" w:author="AbbVie02no" w:date="2025-05-15T13:45:00Z"/>
                <w:sz w:val="22"/>
                <w:szCs w:val="22"/>
              </w:rPr>
              <w:pPrChange w:id="5870" w:author="AbbVie02no" w:date="2025-05-15T13:45:00Z">
                <w:pPr>
                  <w:autoSpaceDE w:val="0"/>
                  <w:autoSpaceDN w:val="0"/>
                  <w:adjustRightInd w:val="0"/>
                </w:pPr>
              </w:pPrChange>
            </w:pPr>
            <w:del w:id="5871" w:author="AbbVie02no" w:date="2025-05-15T13:45:00Z">
              <w:r w:rsidRPr="009C5EFD">
                <w:rPr>
                  <w:sz w:val="22"/>
                  <w:szCs w:val="22"/>
                </w:rPr>
                <w:delText>Lungefibrose</w:delText>
              </w:r>
              <w:r w:rsidRPr="009C5EFD">
                <w:rPr>
                  <w:sz w:val="22"/>
                  <w:szCs w:val="22"/>
                  <w:vertAlign w:val="superscript"/>
                </w:rPr>
                <w:delText>1)</w:delText>
              </w:r>
            </w:del>
          </w:p>
        </w:tc>
      </w:tr>
      <w:tr w:rsidR="004644D4" w14:paraId="7213058D" w14:textId="2D564339" w:rsidTr="00032240">
        <w:trPr>
          <w:del w:id="5872" w:author="AbbVie02no" w:date="2025-05-15T13:45:00Z"/>
        </w:trPr>
        <w:tc>
          <w:tcPr>
            <w:tcW w:w="3079" w:type="dxa"/>
            <w:vMerge w:val="restart"/>
          </w:tcPr>
          <w:p w14:paraId="16FAC93B" w14:textId="20331B28" w:rsidR="000C7DCB" w:rsidRPr="009C5EFD" w:rsidRDefault="00E453CD">
            <w:pPr>
              <w:keepNext/>
              <w:suppressAutoHyphens/>
              <w:rPr>
                <w:del w:id="5873" w:author="AbbVie02no" w:date="2025-05-15T13:45:00Z"/>
                <w:sz w:val="22"/>
                <w:szCs w:val="22"/>
              </w:rPr>
              <w:pPrChange w:id="5874" w:author="AbbVie02no" w:date="2025-05-15T13:45:00Z">
                <w:pPr/>
              </w:pPrChange>
            </w:pPr>
            <w:del w:id="5875" w:author="AbbVie02no" w:date="2025-05-15T13:45:00Z">
              <w:r w:rsidRPr="009C5EFD">
                <w:rPr>
                  <w:sz w:val="22"/>
                  <w:szCs w:val="22"/>
                </w:rPr>
                <w:delText>Gastrointestinale sykdommer</w:delText>
              </w:r>
            </w:del>
          </w:p>
        </w:tc>
        <w:tc>
          <w:tcPr>
            <w:tcW w:w="1682" w:type="dxa"/>
          </w:tcPr>
          <w:p w14:paraId="2E069DD9" w14:textId="5FC8D618" w:rsidR="000C7DCB" w:rsidRPr="009C5EFD" w:rsidRDefault="00E453CD">
            <w:pPr>
              <w:keepNext/>
              <w:suppressAutoHyphens/>
              <w:rPr>
                <w:del w:id="5876" w:author="AbbVie02no" w:date="2025-05-15T13:45:00Z"/>
                <w:sz w:val="22"/>
                <w:szCs w:val="22"/>
              </w:rPr>
              <w:pPrChange w:id="5877" w:author="AbbVie02no" w:date="2025-05-15T13:45:00Z">
                <w:pPr/>
              </w:pPrChange>
            </w:pPr>
            <w:del w:id="5878" w:author="AbbVie02no" w:date="2025-05-15T13:45:00Z">
              <w:r w:rsidRPr="009C5EFD">
                <w:rPr>
                  <w:sz w:val="22"/>
                  <w:szCs w:val="22"/>
                </w:rPr>
                <w:delText>Svært vanlige</w:delText>
              </w:r>
            </w:del>
          </w:p>
          <w:p w14:paraId="4EE25743" w14:textId="36CA46F6" w:rsidR="000C7DCB" w:rsidRPr="009C5EFD" w:rsidRDefault="000C7DCB">
            <w:pPr>
              <w:keepNext/>
              <w:suppressAutoHyphens/>
              <w:rPr>
                <w:del w:id="5879" w:author="AbbVie02no" w:date="2025-05-15T13:45:00Z"/>
                <w:sz w:val="22"/>
                <w:szCs w:val="22"/>
              </w:rPr>
              <w:pPrChange w:id="5880" w:author="AbbVie02no" w:date="2025-05-15T13:45:00Z">
                <w:pPr/>
              </w:pPrChange>
            </w:pPr>
          </w:p>
        </w:tc>
        <w:tc>
          <w:tcPr>
            <w:tcW w:w="4294" w:type="dxa"/>
          </w:tcPr>
          <w:p w14:paraId="5C3A7F7A" w14:textId="2AD6AE28" w:rsidR="000C7DCB" w:rsidRPr="009C5EFD" w:rsidRDefault="00E453CD">
            <w:pPr>
              <w:keepNext/>
              <w:suppressAutoHyphens/>
              <w:rPr>
                <w:del w:id="5881" w:author="AbbVie02no" w:date="2025-05-15T13:45:00Z"/>
                <w:sz w:val="22"/>
                <w:szCs w:val="22"/>
              </w:rPr>
              <w:pPrChange w:id="5882" w:author="AbbVie02no" w:date="2025-05-15T13:45:00Z">
                <w:pPr/>
              </w:pPrChange>
            </w:pPr>
            <w:del w:id="5883" w:author="AbbVie02no" w:date="2025-05-15T13:45:00Z">
              <w:r w:rsidRPr="009C5EFD">
                <w:rPr>
                  <w:sz w:val="22"/>
                  <w:szCs w:val="22"/>
                </w:rPr>
                <w:delText>Abdominal</w:delText>
              </w:r>
              <w:r w:rsidR="00CE78B5">
                <w:rPr>
                  <w:sz w:val="22"/>
                  <w:szCs w:val="22"/>
                </w:rPr>
                <w:delText>e</w:delText>
              </w:r>
              <w:r w:rsidRPr="009C5EFD">
                <w:rPr>
                  <w:sz w:val="22"/>
                  <w:szCs w:val="22"/>
                </w:rPr>
                <w:delText xml:space="preserve"> smerte</w:delText>
              </w:r>
              <w:r w:rsidR="00CE78B5">
                <w:rPr>
                  <w:sz w:val="22"/>
                  <w:szCs w:val="22"/>
                </w:rPr>
                <w:delText>r</w:delText>
              </w:r>
              <w:r w:rsidRPr="009C5EFD">
                <w:rPr>
                  <w:sz w:val="22"/>
                  <w:szCs w:val="22"/>
                </w:rPr>
                <w:delText>, kvalme og oppkast</w:delText>
              </w:r>
            </w:del>
          </w:p>
          <w:p w14:paraId="4B3958DD" w14:textId="08E3FC64" w:rsidR="000C7DCB" w:rsidRPr="009C5EFD" w:rsidRDefault="000C7DCB">
            <w:pPr>
              <w:keepNext/>
              <w:suppressAutoHyphens/>
              <w:rPr>
                <w:del w:id="5884" w:author="AbbVie02no" w:date="2025-05-15T13:45:00Z"/>
                <w:sz w:val="22"/>
                <w:szCs w:val="22"/>
                <w:vertAlign w:val="superscript"/>
              </w:rPr>
              <w:pPrChange w:id="5885" w:author="AbbVie02no" w:date="2025-05-15T13:45:00Z">
                <w:pPr/>
              </w:pPrChange>
            </w:pPr>
          </w:p>
        </w:tc>
      </w:tr>
      <w:tr w:rsidR="004644D4" w14:paraId="7498076A" w14:textId="5C470F0A" w:rsidTr="00032240">
        <w:trPr>
          <w:del w:id="5886" w:author="AbbVie02no" w:date="2025-05-15T13:45:00Z"/>
        </w:trPr>
        <w:tc>
          <w:tcPr>
            <w:tcW w:w="3079" w:type="dxa"/>
            <w:vMerge/>
          </w:tcPr>
          <w:p w14:paraId="5EC8E84F" w14:textId="615DB2B4" w:rsidR="000C7DCB" w:rsidRPr="009C5EFD" w:rsidRDefault="000C7DCB">
            <w:pPr>
              <w:keepNext/>
              <w:suppressAutoHyphens/>
              <w:rPr>
                <w:del w:id="5887" w:author="AbbVie02no" w:date="2025-05-15T13:45:00Z"/>
                <w:sz w:val="22"/>
                <w:szCs w:val="22"/>
              </w:rPr>
              <w:pPrChange w:id="5888" w:author="AbbVie02no" w:date="2025-05-15T13:45:00Z">
                <w:pPr/>
              </w:pPrChange>
            </w:pPr>
          </w:p>
        </w:tc>
        <w:tc>
          <w:tcPr>
            <w:tcW w:w="1682" w:type="dxa"/>
          </w:tcPr>
          <w:p w14:paraId="5C8502BA" w14:textId="50E25AB2" w:rsidR="000C7DCB" w:rsidRPr="009C5EFD" w:rsidRDefault="00E453CD">
            <w:pPr>
              <w:keepNext/>
              <w:suppressAutoHyphens/>
              <w:rPr>
                <w:del w:id="5889" w:author="AbbVie02no" w:date="2025-05-15T13:45:00Z"/>
                <w:sz w:val="22"/>
                <w:szCs w:val="22"/>
              </w:rPr>
              <w:pPrChange w:id="5890" w:author="AbbVie02no" w:date="2025-05-15T13:45:00Z">
                <w:pPr/>
              </w:pPrChange>
            </w:pPr>
            <w:del w:id="5891" w:author="AbbVie02no" w:date="2025-05-15T13:45:00Z">
              <w:r w:rsidRPr="009C5EFD">
                <w:rPr>
                  <w:sz w:val="22"/>
                  <w:szCs w:val="22"/>
                </w:rPr>
                <w:delText>Vanlige</w:delText>
              </w:r>
            </w:del>
          </w:p>
          <w:p w14:paraId="75C68637" w14:textId="16BE4D69" w:rsidR="000C7DCB" w:rsidRPr="009C5EFD" w:rsidRDefault="000C7DCB">
            <w:pPr>
              <w:keepNext/>
              <w:suppressAutoHyphens/>
              <w:rPr>
                <w:del w:id="5892" w:author="AbbVie02no" w:date="2025-05-15T13:45:00Z"/>
                <w:sz w:val="22"/>
                <w:szCs w:val="22"/>
              </w:rPr>
              <w:pPrChange w:id="5893" w:author="AbbVie02no" w:date="2025-05-15T13:45:00Z">
                <w:pPr/>
              </w:pPrChange>
            </w:pPr>
          </w:p>
        </w:tc>
        <w:tc>
          <w:tcPr>
            <w:tcW w:w="4294" w:type="dxa"/>
          </w:tcPr>
          <w:p w14:paraId="5C17D45B" w14:textId="7CE28EA7" w:rsidR="000C7DCB" w:rsidRPr="009C5EFD" w:rsidRDefault="00E453CD">
            <w:pPr>
              <w:keepNext/>
              <w:suppressAutoHyphens/>
              <w:rPr>
                <w:del w:id="5894" w:author="AbbVie02no" w:date="2025-05-15T13:45:00Z"/>
                <w:sz w:val="22"/>
                <w:szCs w:val="22"/>
              </w:rPr>
              <w:pPrChange w:id="5895" w:author="AbbVie02no" w:date="2025-05-15T13:45:00Z">
                <w:pPr>
                  <w:autoSpaceDE w:val="0"/>
                  <w:autoSpaceDN w:val="0"/>
                  <w:adjustRightInd w:val="0"/>
                </w:pPr>
              </w:pPrChange>
            </w:pPr>
            <w:del w:id="5896" w:author="AbbVie02no" w:date="2025-05-15T13:45:00Z">
              <w:r w:rsidRPr="009C5EFD">
                <w:rPr>
                  <w:sz w:val="22"/>
                  <w:szCs w:val="22"/>
                </w:rPr>
                <w:delText xml:space="preserve">Gastrointestinal blødning, dyspepsi, refluksøsofagitt (GERD), Sjøgrens syndrom </w:delText>
              </w:r>
            </w:del>
          </w:p>
          <w:p w14:paraId="193A81F3" w14:textId="1A8786B2" w:rsidR="000C7DCB" w:rsidRPr="009C5EFD" w:rsidRDefault="000C7DCB">
            <w:pPr>
              <w:keepNext/>
              <w:suppressAutoHyphens/>
              <w:rPr>
                <w:del w:id="5897" w:author="AbbVie02no" w:date="2025-05-15T13:45:00Z"/>
                <w:sz w:val="22"/>
                <w:szCs w:val="22"/>
              </w:rPr>
              <w:pPrChange w:id="5898" w:author="AbbVie02no" w:date="2025-05-15T13:45:00Z">
                <w:pPr/>
              </w:pPrChange>
            </w:pPr>
          </w:p>
        </w:tc>
      </w:tr>
      <w:tr w:rsidR="004644D4" w14:paraId="64000690" w14:textId="5587CEA3" w:rsidTr="00032240">
        <w:trPr>
          <w:del w:id="5899" w:author="AbbVie02no" w:date="2025-05-15T13:45:00Z"/>
        </w:trPr>
        <w:tc>
          <w:tcPr>
            <w:tcW w:w="3079" w:type="dxa"/>
            <w:vMerge/>
          </w:tcPr>
          <w:p w14:paraId="076159EF" w14:textId="2D18CB33" w:rsidR="000C7DCB" w:rsidRPr="009C5EFD" w:rsidRDefault="000C7DCB">
            <w:pPr>
              <w:keepNext/>
              <w:suppressAutoHyphens/>
              <w:rPr>
                <w:del w:id="5900" w:author="AbbVie02no" w:date="2025-05-15T13:45:00Z"/>
                <w:sz w:val="22"/>
                <w:szCs w:val="22"/>
              </w:rPr>
              <w:pPrChange w:id="5901" w:author="AbbVie02no" w:date="2025-05-15T13:45:00Z">
                <w:pPr/>
              </w:pPrChange>
            </w:pPr>
          </w:p>
        </w:tc>
        <w:tc>
          <w:tcPr>
            <w:tcW w:w="1682" w:type="dxa"/>
          </w:tcPr>
          <w:p w14:paraId="3CC3D302" w14:textId="25DC64BD" w:rsidR="000C7DCB" w:rsidRPr="009C5EFD" w:rsidRDefault="00E453CD">
            <w:pPr>
              <w:keepNext/>
              <w:suppressAutoHyphens/>
              <w:rPr>
                <w:del w:id="5902" w:author="AbbVie02no" w:date="2025-05-15T13:45:00Z"/>
                <w:sz w:val="22"/>
                <w:szCs w:val="22"/>
              </w:rPr>
              <w:pPrChange w:id="5903" w:author="AbbVie02no" w:date="2025-05-15T13:45:00Z">
                <w:pPr/>
              </w:pPrChange>
            </w:pPr>
            <w:del w:id="5904" w:author="AbbVie02no" w:date="2025-05-15T13:45:00Z">
              <w:r w:rsidRPr="009C5EFD">
                <w:rPr>
                  <w:sz w:val="22"/>
                  <w:szCs w:val="22"/>
                </w:rPr>
                <w:delText>Mindre vanlige</w:delText>
              </w:r>
            </w:del>
          </w:p>
          <w:p w14:paraId="3F82BB82" w14:textId="13116E85" w:rsidR="000C7DCB" w:rsidRPr="009C5EFD" w:rsidRDefault="000C7DCB">
            <w:pPr>
              <w:keepNext/>
              <w:suppressAutoHyphens/>
              <w:rPr>
                <w:del w:id="5905" w:author="AbbVie02no" w:date="2025-05-15T13:45:00Z"/>
                <w:sz w:val="22"/>
                <w:szCs w:val="22"/>
              </w:rPr>
              <w:pPrChange w:id="5906" w:author="AbbVie02no" w:date="2025-05-15T13:45:00Z">
                <w:pPr/>
              </w:pPrChange>
            </w:pPr>
          </w:p>
        </w:tc>
        <w:tc>
          <w:tcPr>
            <w:tcW w:w="4294" w:type="dxa"/>
          </w:tcPr>
          <w:p w14:paraId="15604485" w14:textId="37EDAB9E" w:rsidR="000C7DCB" w:rsidRPr="009C5EFD" w:rsidRDefault="00E453CD">
            <w:pPr>
              <w:keepNext/>
              <w:suppressAutoHyphens/>
              <w:rPr>
                <w:del w:id="5907" w:author="AbbVie02no" w:date="2025-05-15T13:45:00Z"/>
                <w:sz w:val="22"/>
                <w:szCs w:val="22"/>
              </w:rPr>
              <w:pPrChange w:id="5908" w:author="AbbVie02no" w:date="2025-05-15T13:45:00Z">
                <w:pPr/>
              </w:pPrChange>
            </w:pPr>
            <w:del w:id="5909" w:author="AbbVie02no" w:date="2025-05-15T13:45:00Z">
              <w:r w:rsidRPr="009C5EFD">
                <w:rPr>
                  <w:sz w:val="22"/>
                  <w:szCs w:val="22"/>
                </w:rPr>
                <w:delText xml:space="preserve">Pankreatitt, dysfagi, ansiktsødem </w:delText>
              </w:r>
            </w:del>
          </w:p>
          <w:p w14:paraId="29315113" w14:textId="33DD8D70" w:rsidR="000C7DCB" w:rsidRPr="009C5EFD" w:rsidRDefault="000C7DCB">
            <w:pPr>
              <w:keepNext/>
              <w:suppressAutoHyphens/>
              <w:rPr>
                <w:del w:id="5910" w:author="AbbVie02no" w:date="2025-05-15T13:45:00Z"/>
                <w:sz w:val="22"/>
                <w:szCs w:val="22"/>
              </w:rPr>
              <w:pPrChange w:id="5911" w:author="AbbVie02no" w:date="2025-05-15T13:45:00Z">
                <w:pPr/>
              </w:pPrChange>
            </w:pPr>
          </w:p>
        </w:tc>
      </w:tr>
      <w:tr w:rsidR="004644D4" w14:paraId="41FB793B" w14:textId="263A571A" w:rsidTr="00032240">
        <w:trPr>
          <w:del w:id="5912" w:author="AbbVie02no" w:date="2025-05-15T13:45:00Z"/>
        </w:trPr>
        <w:tc>
          <w:tcPr>
            <w:tcW w:w="3079" w:type="dxa"/>
            <w:vMerge/>
          </w:tcPr>
          <w:p w14:paraId="7008B925" w14:textId="560F31F5" w:rsidR="000C7DCB" w:rsidRPr="009C5EFD" w:rsidRDefault="000C7DCB">
            <w:pPr>
              <w:keepNext/>
              <w:suppressAutoHyphens/>
              <w:rPr>
                <w:del w:id="5913" w:author="AbbVie02no" w:date="2025-05-15T13:45:00Z"/>
                <w:sz w:val="22"/>
                <w:szCs w:val="22"/>
              </w:rPr>
              <w:pPrChange w:id="5914" w:author="AbbVie02no" w:date="2025-05-15T13:45:00Z">
                <w:pPr/>
              </w:pPrChange>
            </w:pPr>
          </w:p>
        </w:tc>
        <w:tc>
          <w:tcPr>
            <w:tcW w:w="1682" w:type="dxa"/>
          </w:tcPr>
          <w:p w14:paraId="19B3C3CB" w14:textId="32551A5D" w:rsidR="000C7DCB" w:rsidRPr="009C5EFD" w:rsidRDefault="00E453CD">
            <w:pPr>
              <w:keepNext/>
              <w:suppressAutoHyphens/>
              <w:rPr>
                <w:del w:id="5915" w:author="AbbVie02no" w:date="2025-05-15T13:45:00Z"/>
                <w:sz w:val="22"/>
                <w:szCs w:val="22"/>
              </w:rPr>
              <w:pPrChange w:id="5916" w:author="AbbVie02no" w:date="2025-05-15T13:45:00Z">
                <w:pPr/>
              </w:pPrChange>
            </w:pPr>
            <w:del w:id="5917" w:author="AbbVie02no" w:date="2025-05-15T13:45:00Z">
              <w:r w:rsidRPr="009C5EFD">
                <w:rPr>
                  <w:sz w:val="22"/>
                  <w:szCs w:val="22"/>
                </w:rPr>
                <w:delText>Sjeldne</w:delText>
              </w:r>
            </w:del>
          </w:p>
          <w:p w14:paraId="206B0642" w14:textId="05E12573" w:rsidR="000C7DCB" w:rsidRPr="009C5EFD" w:rsidRDefault="000C7DCB">
            <w:pPr>
              <w:keepNext/>
              <w:suppressAutoHyphens/>
              <w:rPr>
                <w:del w:id="5918" w:author="AbbVie02no" w:date="2025-05-15T13:45:00Z"/>
                <w:sz w:val="22"/>
                <w:szCs w:val="22"/>
              </w:rPr>
              <w:pPrChange w:id="5919" w:author="AbbVie02no" w:date="2025-05-15T13:45:00Z">
                <w:pPr/>
              </w:pPrChange>
            </w:pPr>
          </w:p>
        </w:tc>
        <w:tc>
          <w:tcPr>
            <w:tcW w:w="4294" w:type="dxa"/>
          </w:tcPr>
          <w:p w14:paraId="44DBDEB4" w14:textId="3ECBA9B5" w:rsidR="000C7DCB" w:rsidRPr="009C5EFD" w:rsidRDefault="00E453CD">
            <w:pPr>
              <w:keepNext/>
              <w:suppressAutoHyphens/>
              <w:rPr>
                <w:del w:id="5920" w:author="AbbVie02no" w:date="2025-05-15T13:45:00Z"/>
                <w:sz w:val="22"/>
                <w:szCs w:val="22"/>
              </w:rPr>
              <w:pPrChange w:id="5921" w:author="AbbVie02no" w:date="2025-05-15T13:45:00Z">
                <w:pPr/>
              </w:pPrChange>
            </w:pPr>
            <w:del w:id="5922" w:author="AbbVie02no" w:date="2025-05-15T13:45:00Z">
              <w:r w:rsidRPr="009C5EFD">
                <w:rPr>
                  <w:sz w:val="22"/>
                  <w:szCs w:val="22"/>
                </w:rPr>
                <w:delText>Intestinal perforasjon</w:delText>
              </w:r>
              <w:r w:rsidRPr="009C5EFD">
                <w:rPr>
                  <w:sz w:val="22"/>
                  <w:szCs w:val="22"/>
                  <w:vertAlign w:val="superscript"/>
                </w:rPr>
                <w:delText>1)</w:delText>
              </w:r>
            </w:del>
          </w:p>
        </w:tc>
      </w:tr>
      <w:tr w:rsidR="004644D4" w14:paraId="014C84A1" w14:textId="026B0E71" w:rsidTr="00032240">
        <w:trPr>
          <w:del w:id="5923" w:author="AbbVie02no" w:date="2025-05-15T13:45:00Z"/>
        </w:trPr>
        <w:tc>
          <w:tcPr>
            <w:tcW w:w="3079" w:type="dxa"/>
            <w:vMerge w:val="restart"/>
          </w:tcPr>
          <w:p w14:paraId="67669E1A" w14:textId="6965AD26" w:rsidR="000C7DCB" w:rsidRPr="009C5EFD" w:rsidRDefault="00E453CD">
            <w:pPr>
              <w:keepNext/>
              <w:suppressAutoHyphens/>
              <w:rPr>
                <w:del w:id="5924" w:author="AbbVie02no" w:date="2025-05-15T13:45:00Z"/>
                <w:sz w:val="22"/>
                <w:szCs w:val="22"/>
              </w:rPr>
              <w:pPrChange w:id="5925" w:author="AbbVie02no" w:date="2025-05-15T13:45:00Z">
                <w:pPr/>
              </w:pPrChange>
            </w:pPr>
            <w:del w:id="5926" w:author="AbbVie02no" w:date="2025-05-15T13:45:00Z">
              <w:r w:rsidRPr="009C5EFD">
                <w:rPr>
                  <w:sz w:val="22"/>
                  <w:szCs w:val="22"/>
                </w:rPr>
                <w:delText>Sykdommer i lever og galleveier*</w:delText>
              </w:r>
            </w:del>
          </w:p>
        </w:tc>
        <w:tc>
          <w:tcPr>
            <w:tcW w:w="1682" w:type="dxa"/>
          </w:tcPr>
          <w:p w14:paraId="66CC4B32" w14:textId="1A368FE5" w:rsidR="000C7DCB" w:rsidRPr="009C5EFD" w:rsidRDefault="00E453CD">
            <w:pPr>
              <w:keepNext/>
              <w:suppressAutoHyphens/>
              <w:rPr>
                <w:del w:id="5927" w:author="AbbVie02no" w:date="2025-05-15T13:45:00Z"/>
                <w:sz w:val="22"/>
                <w:szCs w:val="22"/>
              </w:rPr>
              <w:pPrChange w:id="5928" w:author="AbbVie02no" w:date="2025-05-15T13:45:00Z">
                <w:pPr/>
              </w:pPrChange>
            </w:pPr>
            <w:del w:id="5929" w:author="AbbVie02no" w:date="2025-05-15T13:45:00Z">
              <w:r w:rsidRPr="009C5EFD">
                <w:rPr>
                  <w:sz w:val="22"/>
                  <w:szCs w:val="22"/>
                </w:rPr>
                <w:delText>Svært vanlige</w:delText>
              </w:r>
            </w:del>
          </w:p>
          <w:p w14:paraId="466DB1C1" w14:textId="3A3B0528" w:rsidR="000C7DCB" w:rsidRPr="009C5EFD" w:rsidRDefault="000C7DCB">
            <w:pPr>
              <w:keepNext/>
              <w:suppressAutoHyphens/>
              <w:rPr>
                <w:del w:id="5930" w:author="AbbVie02no" w:date="2025-05-15T13:45:00Z"/>
                <w:sz w:val="22"/>
                <w:szCs w:val="22"/>
              </w:rPr>
              <w:pPrChange w:id="5931" w:author="AbbVie02no" w:date="2025-05-15T13:45:00Z">
                <w:pPr/>
              </w:pPrChange>
            </w:pPr>
          </w:p>
        </w:tc>
        <w:tc>
          <w:tcPr>
            <w:tcW w:w="4294" w:type="dxa"/>
          </w:tcPr>
          <w:p w14:paraId="794904DD" w14:textId="4011B575" w:rsidR="000C7DCB" w:rsidRPr="009C5EFD" w:rsidRDefault="00E453CD">
            <w:pPr>
              <w:keepNext/>
              <w:suppressAutoHyphens/>
              <w:rPr>
                <w:del w:id="5932" w:author="AbbVie02no" w:date="2025-05-15T13:45:00Z"/>
                <w:sz w:val="22"/>
                <w:szCs w:val="22"/>
              </w:rPr>
              <w:pPrChange w:id="5933" w:author="AbbVie02no" w:date="2025-05-15T13:45:00Z">
                <w:pPr/>
              </w:pPrChange>
            </w:pPr>
            <w:del w:id="5934" w:author="AbbVie02no" w:date="2025-05-15T13:45:00Z">
              <w:r w:rsidRPr="009C5EFD">
                <w:rPr>
                  <w:sz w:val="22"/>
                  <w:szCs w:val="22"/>
                </w:rPr>
                <w:delText>Stigning i leverenzymer</w:delText>
              </w:r>
            </w:del>
          </w:p>
        </w:tc>
      </w:tr>
      <w:tr w:rsidR="004644D4" w14:paraId="11D0443B" w14:textId="3F8400D0" w:rsidTr="00032240">
        <w:trPr>
          <w:del w:id="5935" w:author="AbbVie02no" w:date="2025-05-15T13:45:00Z"/>
        </w:trPr>
        <w:tc>
          <w:tcPr>
            <w:tcW w:w="3079" w:type="dxa"/>
            <w:vMerge/>
          </w:tcPr>
          <w:p w14:paraId="6F88CF28" w14:textId="6015BCB9" w:rsidR="000C7DCB" w:rsidRPr="009C5EFD" w:rsidRDefault="000C7DCB">
            <w:pPr>
              <w:keepNext/>
              <w:suppressAutoHyphens/>
              <w:rPr>
                <w:del w:id="5936" w:author="AbbVie02no" w:date="2025-05-15T13:45:00Z"/>
                <w:sz w:val="22"/>
                <w:szCs w:val="22"/>
              </w:rPr>
              <w:pPrChange w:id="5937" w:author="AbbVie02no" w:date="2025-05-15T13:45:00Z">
                <w:pPr/>
              </w:pPrChange>
            </w:pPr>
          </w:p>
        </w:tc>
        <w:tc>
          <w:tcPr>
            <w:tcW w:w="1682" w:type="dxa"/>
          </w:tcPr>
          <w:p w14:paraId="6E8013FC" w14:textId="3F3E5AC0" w:rsidR="000C7DCB" w:rsidRPr="009C5EFD" w:rsidRDefault="00E453CD">
            <w:pPr>
              <w:keepNext/>
              <w:suppressAutoHyphens/>
              <w:rPr>
                <w:del w:id="5938" w:author="AbbVie02no" w:date="2025-05-15T13:45:00Z"/>
                <w:sz w:val="22"/>
                <w:szCs w:val="22"/>
              </w:rPr>
              <w:pPrChange w:id="5939" w:author="AbbVie02no" w:date="2025-05-15T13:45:00Z">
                <w:pPr/>
              </w:pPrChange>
            </w:pPr>
            <w:del w:id="5940" w:author="AbbVie02no" w:date="2025-05-15T13:45:00Z">
              <w:r w:rsidRPr="009C5EFD">
                <w:rPr>
                  <w:sz w:val="22"/>
                  <w:szCs w:val="22"/>
                </w:rPr>
                <w:delText xml:space="preserve">Mindre vanlige </w:delText>
              </w:r>
            </w:del>
          </w:p>
          <w:p w14:paraId="428BA9DA" w14:textId="562C51E3" w:rsidR="000C7DCB" w:rsidRPr="009C5EFD" w:rsidRDefault="000C7DCB">
            <w:pPr>
              <w:keepNext/>
              <w:suppressAutoHyphens/>
              <w:rPr>
                <w:del w:id="5941" w:author="AbbVie02no" w:date="2025-05-15T13:45:00Z"/>
                <w:sz w:val="22"/>
                <w:szCs w:val="22"/>
              </w:rPr>
              <w:pPrChange w:id="5942" w:author="AbbVie02no" w:date="2025-05-15T13:45:00Z">
                <w:pPr/>
              </w:pPrChange>
            </w:pPr>
          </w:p>
        </w:tc>
        <w:tc>
          <w:tcPr>
            <w:tcW w:w="4294" w:type="dxa"/>
          </w:tcPr>
          <w:p w14:paraId="02FFDB0D" w14:textId="429FBEFF" w:rsidR="000C7DCB" w:rsidRPr="009C5EFD" w:rsidRDefault="00E453CD">
            <w:pPr>
              <w:keepNext/>
              <w:suppressAutoHyphens/>
              <w:rPr>
                <w:del w:id="5943" w:author="AbbVie02no" w:date="2025-05-15T13:45:00Z"/>
                <w:szCs w:val="22"/>
              </w:rPr>
              <w:pPrChange w:id="5944" w:author="AbbVie02no" w:date="2025-05-15T13:45:00Z">
                <w:pPr>
                  <w:pStyle w:val="EMEAFigureTitle"/>
                  <w:tabs>
                    <w:tab w:val="clear" w:pos="562"/>
                  </w:tabs>
                  <w:suppressAutoHyphens w:val="0"/>
                </w:pPr>
              </w:pPrChange>
            </w:pPr>
            <w:del w:id="5945" w:author="AbbVie02no" w:date="2025-05-15T13:45:00Z">
              <w:r w:rsidRPr="009C5EFD">
                <w:rPr>
                  <w:szCs w:val="22"/>
                </w:rPr>
                <w:delText>Kolecystitt og kolelitiasis, hepatisk steatose</w:delText>
              </w:r>
            </w:del>
          </w:p>
          <w:p w14:paraId="2C8346CF" w14:textId="103CE953" w:rsidR="000C7DCB" w:rsidRPr="009C5EFD" w:rsidRDefault="00E453CD">
            <w:pPr>
              <w:keepNext/>
              <w:suppressAutoHyphens/>
              <w:rPr>
                <w:del w:id="5946" w:author="AbbVie02no" w:date="2025-05-15T13:45:00Z"/>
                <w:szCs w:val="22"/>
              </w:rPr>
              <w:pPrChange w:id="5947" w:author="AbbVie02no" w:date="2025-05-15T13:45:00Z">
                <w:pPr>
                  <w:pStyle w:val="EMEAFigureTitle"/>
                  <w:tabs>
                    <w:tab w:val="clear" w:pos="562"/>
                  </w:tabs>
                  <w:suppressAutoHyphens w:val="0"/>
                </w:pPr>
              </w:pPrChange>
            </w:pPr>
            <w:del w:id="5948" w:author="AbbVie02no" w:date="2025-05-15T13:45:00Z">
              <w:r w:rsidRPr="009C5EFD">
                <w:rPr>
                  <w:szCs w:val="22"/>
                </w:rPr>
                <w:delText>forhøyet bilirubin i blod</w:delText>
              </w:r>
            </w:del>
          </w:p>
          <w:p w14:paraId="434038CF" w14:textId="0BCFD751" w:rsidR="000C7DCB" w:rsidRPr="009C5EFD" w:rsidRDefault="000C7DCB">
            <w:pPr>
              <w:keepNext/>
              <w:suppressAutoHyphens/>
              <w:rPr>
                <w:del w:id="5949" w:author="AbbVie02no" w:date="2025-05-15T13:45:00Z"/>
                <w:sz w:val="22"/>
                <w:szCs w:val="22"/>
              </w:rPr>
              <w:pPrChange w:id="5950" w:author="AbbVie02no" w:date="2025-05-15T13:45:00Z">
                <w:pPr/>
              </w:pPrChange>
            </w:pPr>
          </w:p>
        </w:tc>
      </w:tr>
      <w:tr w:rsidR="004644D4" w14:paraId="47A2F39C" w14:textId="491D5B82" w:rsidTr="00032240">
        <w:trPr>
          <w:del w:id="5951" w:author="AbbVie02no" w:date="2025-05-15T13:45:00Z"/>
        </w:trPr>
        <w:tc>
          <w:tcPr>
            <w:tcW w:w="3079" w:type="dxa"/>
            <w:vMerge/>
          </w:tcPr>
          <w:p w14:paraId="7DD6358A" w14:textId="462002DB" w:rsidR="006C4FDE" w:rsidRPr="009C5EFD" w:rsidRDefault="006C4FDE">
            <w:pPr>
              <w:keepNext/>
              <w:suppressAutoHyphens/>
              <w:rPr>
                <w:del w:id="5952" w:author="AbbVie02no" w:date="2025-05-15T13:45:00Z"/>
                <w:sz w:val="22"/>
                <w:szCs w:val="22"/>
              </w:rPr>
              <w:pPrChange w:id="5953" w:author="AbbVie02no" w:date="2025-05-15T13:45:00Z">
                <w:pPr/>
              </w:pPrChange>
            </w:pPr>
          </w:p>
        </w:tc>
        <w:tc>
          <w:tcPr>
            <w:tcW w:w="1682" w:type="dxa"/>
          </w:tcPr>
          <w:p w14:paraId="1DD0F27C" w14:textId="6E74C576" w:rsidR="006C4FDE" w:rsidRPr="009C5EFD" w:rsidRDefault="00E453CD">
            <w:pPr>
              <w:keepNext/>
              <w:suppressAutoHyphens/>
              <w:rPr>
                <w:del w:id="5954" w:author="AbbVie02no" w:date="2025-05-15T13:45:00Z"/>
                <w:sz w:val="22"/>
                <w:szCs w:val="22"/>
              </w:rPr>
              <w:pPrChange w:id="5955" w:author="AbbVie02no" w:date="2025-05-15T13:45:00Z">
                <w:pPr/>
              </w:pPrChange>
            </w:pPr>
            <w:del w:id="5956" w:author="AbbVie02no" w:date="2025-05-15T13:45:00Z">
              <w:r w:rsidRPr="009C5EFD">
                <w:rPr>
                  <w:sz w:val="22"/>
                  <w:szCs w:val="22"/>
                </w:rPr>
                <w:delText>Sjeldne</w:delText>
              </w:r>
            </w:del>
          </w:p>
          <w:p w14:paraId="73F3428E" w14:textId="10C827B9" w:rsidR="006C4FDE" w:rsidRPr="009C5EFD" w:rsidRDefault="006C4FDE">
            <w:pPr>
              <w:keepNext/>
              <w:suppressAutoHyphens/>
              <w:rPr>
                <w:del w:id="5957" w:author="AbbVie02no" w:date="2025-05-15T13:45:00Z"/>
                <w:sz w:val="22"/>
                <w:szCs w:val="22"/>
              </w:rPr>
              <w:pPrChange w:id="5958" w:author="AbbVie02no" w:date="2025-05-15T13:45:00Z">
                <w:pPr/>
              </w:pPrChange>
            </w:pPr>
          </w:p>
        </w:tc>
        <w:tc>
          <w:tcPr>
            <w:tcW w:w="4294" w:type="dxa"/>
          </w:tcPr>
          <w:p w14:paraId="564D34AD" w14:textId="377752E4" w:rsidR="006C4FDE" w:rsidRPr="009C5EFD" w:rsidRDefault="00E453CD">
            <w:pPr>
              <w:keepNext/>
              <w:suppressAutoHyphens/>
              <w:rPr>
                <w:del w:id="5959" w:author="AbbVie02no" w:date="2025-05-15T13:45:00Z"/>
                <w:sz w:val="22"/>
                <w:szCs w:val="22"/>
              </w:rPr>
              <w:pPrChange w:id="5960" w:author="AbbVie02no" w:date="2025-05-15T13:45:00Z">
                <w:pPr/>
              </w:pPrChange>
            </w:pPr>
            <w:del w:id="5961" w:author="AbbVie02no" w:date="2025-05-15T13:45:00Z">
              <w:r w:rsidRPr="009C5EFD">
                <w:rPr>
                  <w:sz w:val="22"/>
                  <w:szCs w:val="22"/>
                </w:rPr>
                <w:delText>Hepatitt, reaktivering av Hepatitt B</w:delText>
              </w:r>
              <w:r w:rsidRPr="009C5EFD">
                <w:rPr>
                  <w:sz w:val="22"/>
                  <w:szCs w:val="22"/>
                  <w:vertAlign w:val="superscript"/>
                </w:rPr>
                <w:delText>1)</w:delText>
              </w:r>
              <w:r w:rsidRPr="009C5EFD">
                <w:rPr>
                  <w:sz w:val="22"/>
                  <w:szCs w:val="22"/>
                </w:rPr>
                <w:delText>, autoimmun hepatitt</w:delText>
              </w:r>
              <w:r w:rsidRPr="009C5EFD">
                <w:rPr>
                  <w:sz w:val="22"/>
                  <w:szCs w:val="22"/>
                  <w:vertAlign w:val="superscript"/>
                </w:rPr>
                <w:delText>1)</w:delText>
              </w:r>
            </w:del>
          </w:p>
          <w:p w14:paraId="6AEAAAAF" w14:textId="77B3D5C8" w:rsidR="006C4FDE" w:rsidRPr="009C5EFD" w:rsidRDefault="006C4FDE">
            <w:pPr>
              <w:keepNext/>
              <w:suppressAutoHyphens/>
              <w:rPr>
                <w:del w:id="5962" w:author="AbbVie02no" w:date="2025-05-15T13:45:00Z"/>
                <w:szCs w:val="22"/>
              </w:rPr>
              <w:pPrChange w:id="5963" w:author="AbbVie02no" w:date="2025-05-15T13:45:00Z">
                <w:pPr>
                  <w:pStyle w:val="EMEAFigureTitle"/>
                  <w:tabs>
                    <w:tab w:val="clear" w:pos="562"/>
                  </w:tabs>
                  <w:suppressAutoHyphens w:val="0"/>
                </w:pPr>
              </w:pPrChange>
            </w:pPr>
          </w:p>
        </w:tc>
      </w:tr>
      <w:tr w:rsidR="004644D4" w14:paraId="22A903A9" w14:textId="3CCE9D8F" w:rsidTr="00032240">
        <w:trPr>
          <w:del w:id="5964" w:author="AbbVie02no" w:date="2025-05-15T13:45:00Z"/>
        </w:trPr>
        <w:tc>
          <w:tcPr>
            <w:tcW w:w="3079" w:type="dxa"/>
            <w:vMerge/>
          </w:tcPr>
          <w:p w14:paraId="51688136" w14:textId="064C5BD4" w:rsidR="000C7DCB" w:rsidRPr="009C5EFD" w:rsidRDefault="000C7DCB">
            <w:pPr>
              <w:keepNext/>
              <w:suppressAutoHyphens/>
              <w:rPr>
                <w:del w:id="5965" w:author="AbbVie02no" w:date="2025-05-15T13:45:00Z"/>
                <w:sz w:val="22"/>
                <w:szCs w:val="22"/>
              </w:rPr>
              <w:pPrChange w:id="5966" w:author="AbbVie02no" w:date="2025-05-15T13:45:00Z">
                <w:pPr/>
              </w:pPrChange>
            </w:pPr>
          </w:p>
        </w:tc>
        <w:tc>
          <w:tcPr>
            <w:tcW w:w="1682" w:type="dxa"/>
          </w:tcPr>
          <w:p w14:paraId="3131D0C8" w14:textId="491D2B40" w:rsidR="009455A9" w:rsidRPr="009C5EFD" w:rsidRDefault="00E453CD">
            <w:pPr>
              <w:keepNext/>
              <w:suppressAutoHyphens/>
              <w:rPr>
                <w:del w:id="5967" w:author="AbbVie02no" w:date="2025-05-15T13:45:00Z"/>
                <w:sz w:val="22"/>
                <w:szCs w:val="22"/>
              </w:rPr>
              <w:pPrChange w:id="5968" w:author="AbbVie02no" w:date="2025-05-15T13:45:00Z">
                <w:pPr/>
              </w:pPrChange>
            </w:pPr>
            <w:del w:id="5969" w:author="AbbVie02no" w:date="2025-05-15T13:45:00Z">
              <w:r w:rsidRPr="009C5EFD">
                <w:rPr>
                  <w:sz w:val="22"/>
                  <w:szCs w:val="22"/>
                </w:rPr>
                <w:delText>Ikke kjent</w:delText>
              </w:r>
            </w:del>
          </w:p>
          <w:p w14:paraId="5F234C2A" w14:textId="7F1101A0" w:rsidR="000C7DCB" w:rsidRPr="009C5EFD" w:rsidRDefault="000C7DCB">
            <w:pPr>
              <w:keepNext/>
              <w:suppressAutoHyphens/>
              <w:rPr>
                <w:del w:id="5970" w:author="AbbVie02no" w:date="2025-05-15T13:45:00Z"/>
                <w:sz w:val="22"/>
                <w:szCs w:val="22"/>
              </w:rPr>
              <w:pPrChange w:id="5971" w:author="AbbVie02no" w:date="2025-05-15T13:45:00Z">
                <w:pPr/>
              </w:pPrChange>
            </w:pPr>
          </w:p>
        </w:tc>
        <w:tc>
          <w:tcPr>
            <w:tcW w:w="4294" w:type="dxa"/>
          </w:tcPr>
          <w:p w14:paraId="682DDA58" w14:textId="0083ECCA" w:rsidR="009455A9" w:rsidRPr="009C5EFD" w:rsidRDefault="00E453CD">
            <w:pPr>
              <w:keepNext/>
              <w:suppressAutoHyphens/>
              <w:rPr>
                <w:del w:id="5972" w:author="AbbVie02no" w:date="2025-05-15T13:45:00Z"/>
                <w:sz w:val="22"/>
                <w:szCs w:val="22"/>
              </w:rPr>
              <w:pPrChange w:id="5973" w:author="AbbVie02no" w:date="2025-05-15T13:45:00Z">
                <w:pPr/>
              </w:pPrChange>
            </w:pPr>
            <w:del w:id="5974" w:author="AbbVie02no" w:date="2025-05-15T13:45:00Z">
              <w:r w:rsidRPr="009C5EFD">
                <w:rPr>
                  <w:sz w:val="22"/>
                  <w:szCs w:val="22"/>
                </w:rPr>
                <w:delText>Leversvikt</w:delText>
              </w:r>
              <w:r w:rsidRPr="009C5EFD">
                <w:rPr>
                  <w:sz w:val="22"/>
                  <w:szCs w:val="22"/>
                  <w:vertAlign w:val="superscript"/>
                </w:rPr>
                <w:delText>1)</w:delText>
              </w:r>
            </w:del>
          </w:p>
          <w:p w14:paraId="421E622C" w14:textId="601FBE26" w:rsidR="009455A9" w:rsidRPr="009C5EFD" w:rsidRDefault="009455A9">
            <w:pPr>
              <w:keepNext/>
              <w:suppressAutoHyphens/>
              <w:rPr>
                <w:del w:id="5975" w:author="AbbVie02no" w:date="2025-05-15T13:45:00Z"/>
                <w:sz w:val="22"/>
                <w:szCs w:val="22"/>
              </w:rPr>
              <w:pPrChange w:id="5976" w:author="AbbVie02no" w:date="2025-05-15T13:45:00Z">
                <w:pPr/>
              </w:pPrChange>
            </w:pPr>
          </w:p>
        </w:tc>
      </w:tr>
      <w:tr w:rsidR="004644D4" w14:paraId="48B9CF04" w14:textId="2317D1F7" w:rsidTr="00032240">
        <w:trPr>
          <w:del w:id="5977" w:author="AbbVie02no" w:date="2025-05-15T13:45:00Z"/>
        </w:trPr>
        <w:tc>
          <w:tcPr>
            <w:tcW w:w="3079" w:type="dxa"/>
            <w:vMerge w:val="restart"/>
          </w:tcPr>
          <w:p w14:paraId="48FE1D6C" w14:textId="781A4940" w:rsidR="000C7DCB" w:rsidRPr="009C5EFD" w:rsidRDefault="00E453CD">
            <w:pPr>
              <w:keepNext/>
              <w:suppressAutoHyphens/>
              <w:rPr>
                <w:del w:id="5978" w:author="AbbVie02no" w:date="2025-05-15T13:45:00Z"/>
                <w:sz w:val="22"/>
                <w:szCs w:val="22"/>
              </w:rPr>
              <w:pPrChange w:id="5979" w:author="AbbVie02no" w:date="2025-05-15T13:45:00Z">
                <w:pPr/>
              </w:pPrChange>
            </w:pPr>
            <w:del w:id="5980" w:author="AbbVie02no" w:date="2025-05-15T13:45:00Z">
              <w:r w:rsidRPr="009C5EFD">
                <w:rPr>
                  <w:sz w:val="22"/>
                  <w:szCs w:val="22"/>
                </w:rPr>
                <w:delText>Hud- og underhudssykdommer</w:delText>
              </w:r>
            </w:del>
          </w:p>
        </w:tc>
        <w:tc>
          <w:tcPr>
            <w:tcW w:w="1682" w:type="dxa"/>
          </w:tcPr>
          <w:p w14:paraId="57BB8675" w14:textId="77344C18" w:rsidR="000C7DCB" w:rsidRPr="009C5EFD" w:rsidRDefault="00E453CD">
            <w:pPr>
              <w:keepNext/>
              <w:suppressAutoHyphens/>
              <w:rPr>
                <w:del w:id="5981" w:author="AbbVie02no" w:date="2025-05-15T13:45:00Z"/>
                <w:sz w:val="22"/>
                <w:szCs w:val="22"/>
              </w:rPr>
              <w:pPrChange w:id="5982" w:author="AbbVie02no" w:date="2025-05-15T13:45:00Z">
                <w:pPr/>
              </w:pPrChange>
            </w:pPr>
            <w:del w:id="5983" w:author="AbbVie02no" w:date="2025-05-15T13:45:00Z">
              <w:r w:rsidRPr="009C5EFD">
                <w:rPr>
                  <w:sz w:val="22"/>
                  <w:szCs w:val="22"/>
                </w:rPr>
                <w:delText>Svært vanlige</w:delText>
              </w:r>
            </w:del>
          </w:p>
          <w:p w14:paraId="5022289E" w14:textId="2C583C57" w:rsidR="000C7DCB" w:rsidRPr="009C5EFD" w:rsidRDefault="000C7DCB">
            <w:pPr>
              <w:keepNext/>
              <w:suppressAutoHyphens/>
              <w:rPr>
                <w:del w:id="5984" w:author="AbbVie02no" w:date="2025-05-15T13:45:00Z"/>
                <w:sz w:val="22"/>
                <w:szCs w:val="22"/>
              </w:rPr>
              <w:pPrChange w:id="5985" w:author="AbbVie02no" w:date="2025-05-15T13:45:00Z">
                <w:pPr/>
              </w:pPrChange>
            </w:pPr>
          </w:p>
        </w:tc>
        <w:tc>
          <w:tcPr>
            <w:tcW w:w="4294" w:type="dxa"/>
          </w:tcPr>
          <w:p w14:paraId="497D27BD" w14:textId="6ED27C10" w:rsidR="000C7DCB" w:rsidRPr="009C5EFD" w:rsidRDefault="00E453CD">
            <w:pPr>
              <w:keepNext/>
              <w:suppressAutoHyphens/>
              <w:rPr>
                <w:del w:id="5986" w:author="AbbVie02no" w:date="2025-05-15T13:45:00Z"/>
                <w:sz w:val="22"/>
                <w:szCs w:val="22"/>
              </w:rPr>
              <w:pPrChange w:id="5987" w:author="AbbVie02no" w:date="2025-05-15T13:45:00Z">
                <w:pPr/>
              </w:pPrChange>
            </w:pPr>
            <w:del w:id="5988" w:author="AbbVie02no" w:date="2025-05-15T13:45:00Z">
              <w:r w:rsidRPr="009C5EFD">
                <w:rPr>
                  <w:sz w:val="22"/>
                  <w:szCs w:val="22"/>
                </w:rPr>
                <w:delText>Utslett (inkludert eksfoliativt utslett)</w:delText>
              </w:r>
            </w:del>
          </w:p>
          <w:p w14:paraId="616A5E8A" w14:textId="1BEE614F" w:rsidR="000C7DCB" w:rsidRPr="009C5EFD" w:rsidRDefault="000C7DCB">
            <w:pPr>
              <w:keepNext/>
              <w:suppressAutoHyphens/>
              <w:rPr>
                <w:del w:id="5989" w:author="AbbVie02no" w:date="2025-05-15T13:45:00Z"/>
                <w:sz w:val="22"/>
                <w:szCs w:val="22"/>
              </w:rPr>
              <w:pPrChange w:id="5990" w:author="AbbVie02no" w:date="2025-05-15T13:45:00Z">
                <w:pPr/>
              </w:pPrChange>
            </w:pPr>
          </w:p>
        </w:tc>
      </w:tr>
      <w:tr w:rsidR="004644D4" w14:paraId="786B59AD" w14:textId="5854BC87" w:rsidTr="00032240">
        <w:trPr>
          <w:del w:id="5991" w:author="AbbVie02no" w:date="2025-05-15T13:45:00Z"/>
        </w:trPr>
        <w:tc>
          <w:tcPr>
            <w:tcW w:w="3079" w:type="dxa"/>
            <w:vMerge/>
          </w:tcPr>
          <w:p w14:paraId="1B47A219" w14:textId="63DEC865" w:rsidR="000C7DCB" w:rsidRPr="009C5EFD" w:rsidRDefault="000C7DCB">
            <w:pPr>
              <w:keepNext/>
              <w:suppressAutoHyphens/>
              <w:rPr>
                <w:del w:id="5992" w:author="AbbVie02no" w:date="2025-05-15T13:45:00Z"/>
                <w:sz w:val="22"/>
                <w:szCs w:val="22"/>
              </w:rPr>
              <w:pPrChange w:id="5993" w:author="AbbVie02no" w:date="2025-05-15T13:45:00Z">
                <w:pPr/>
              </w:pPrChange>
            </w:pPr>
          </w:p>
        </w:tc>
        <w:tc>
          <w:tcPr>
            <w:tcW w:w="1682" w:type="dxa"/>
          </w:tcPr>
          <w:p w14:paraId="26226429" w14:textId="3A4364AE" w:rsidR="000C7DCB" w:rsidRPr="009C5EFD" w:rsidRDefault="00E453CD">
            <w:pPr>
              <w:keepNext/>
              <w:suppressAutoHyphens/>
              <w:rPr>
                <w:del w:id="5994" w:author="AbbVie02no" w:date="2025-05-15T13:45:00Z"/>
                <w:sz w:val="22"/>
                <w:szCs w:val="22"/>
              </w:rPr>
              <w:pPrChange w:id="5995" w:author="AbbVie02no" w:date="2025-05-15T13:45:00Z">
                <w:pPr/>
              </w:pPrChange>
            </w:pPr>
            <w:del w:id="5996" w:author="AbbVie02no" w:date="2025-05-15T13:45:00Z">
              <w:r w:rsidRPr="009C5EFD">
                <w:rPr>
                  <w:sz w:val="22"/>
                  <w:szCs w:val="22"/>
                </w:rPr>
                <w:delText>Vanlige</w:delText>
              </w:r>
            </w:del>
          </w:p>
          <w:p w14:paraId="106952E3" w14:textId="467A2A92" w:rsidR="000C7DCB" w:rsidRPr="009C5EFD" w:rsidRDefault="000C7DCB">
            <w:pPr>
              <w:keepNext/>
              <w:suppressAutoHyphens/>
              <w:rPr>
                <w:del w:id="5997" w:author="AbbVie02no" w:date="2025-05-15T13:45:00Z"/>
                <w:sz w:val="22"/>
                <w:szCs w:val="22"/>
              </w:rPr>
              <w:pPrChange w:id="5998" w:author="AbbVie02no" w:date="2025-05-15T13:45:00Z">
                <w:pPr/>
              </w:pPrChange>
            </w:pPr>
          </w:p>
        </w:tc>
        <w:tc>
          <w:tcPr>
            <w:tcW w:w="4294" w:type="dxa"/>
          </w:tcPr>
          <w:p w14:paraId="339D87B6" w14:textId="68052E08" w:rsidR="000C7DCB" w:rsidRPr="009C5EFD" w:rsidRDefault="00E453CD">
            <w:pPr>
              <w:keepNext/>
              <w:suppressAutoHyphens/>
              <w:rPr>
                <w:del w:id="5999" w:author="AbbVie02no" w:date="2025-05-15T13:45:00Z"/>
                <w:sz w:val="22"/>
                <w:szCs w:val="22"/>
              </w:rPr>
              <w:pPrChange w:id="6000" w:author="AbbVie02no" w:date="2025-05-15T13:45:00Z">
                <w:pPr/>
              </w:pPrChange>
            </w:pPr>
            <w:del w:id="6001" w:author="AbbVie02no" w:date="2025-05-15T13:45:00Z">
              <w:r w:rsidRPr="009C5EFD">
                <w:rPr>
                  <w:sz w:val="22"/>
                  <w:szCs w:val="22"/>
                </w:rPr>
                <w:delText>Forverring eller nytt tilfelle av psoriasis (inkludert palmoplantar pustul</w:delText>
              </w:r>
              <w:r w:rsidR="003F0835">
                <w:rPr>
                  <w:sz w:val="22"/>
                  <w:szCs w:val="22"/>
                </w:rPr>
                <w:delText>øs</w:delText>
              </w:r>
              <w:r w:rsidRPr="009C5EFD">
                <w:rPr>
                  <w:sz w:val="22"/>
                  <w:szCs w:val="22"/>
                </w:rPr>
                <w:delText xml:space="preserve"> psoriasis)</w:delText>
              </w:r>
              <w:r w:rsidRPr="009C5EFD">
                <w:rPr>
                  <w:sz w:val="22"/>
                  <w:szCs w:val="22"/>
                  <w:vertAlign w:val="superscript"/>
                </w:rPr>
                <w:delText>1)</w:delText>
              </w:r>
              <w:r w:rsidRPr="009C5EFD">
                <w:rPr>
                  <w:sz w:val="22"/>
                  <w:szCs w:val="22"/>
                </w:rPr>
                <w:delText>, urtikaria, blåmerker (inkludert purpura), dermatitt (inkludert eksem), onychoclasis, hyperhidrose, alopeci</w:delText>
              </w:r>
              <w:r w:rsidRPr="009C5EFD">
                <w:rPr>
                  <w:sz w:val="22"/>
                  <w:szCs w:val="22"/>
                  <w:vertAlign w:val="superscript"/>
                </w:rPr>
                <w:delText>1)</w:delText>
              </w:r>
              <w:r w:rsidRPr="009C5EFD">
                <w:rPr>
                  <w:sz w:val="22"/>
                  <w:szCs w:val="22"/>
                </w:rPr>
                <w:delText>, pruritus</w:delText>
              </w:r>
            </w:del>
          </w:p>
          <w:p w14:paraId="3D6C2244" w14:textId="29C3D1CF" w:rsidR="000C7DCB" w:rsidRPr="009C5EFD" w:rsidRDefault="000C7DCB">
            <w:pPr>
              <w:keepNext/>
              <w:suppressAutoHyphens/>
              <w:rPr>
                <w:del w:id="6002" w:author="AbbVie02no" w:date="2025-05-15T13:45:00Z"/>
                <w:sz w:val="22"/>
                <w:szCs w:val="22"/>
              </w:rPr>
              <w:pPrChange w:id="6003" w:author="AbbVie02no" w:date="2025-05-15T13:45:00Z">
                <w:pPr/>
              </w:pPrChange>
            </w:pPr>
          </w:p>
        </w:tc>
      </w:tr>
      <w:tr w:rsidR="004644D4" w14:paraId="0017CACC" w14:textId="682A2074" w:rsidTr="00032240">
        <w:trPr>
          <w:del w:id="6004" w:author="AbbVie02no" w:date="2025-05-15T13:45:00Z"/>
        </w:trPr>
        <w:tc>
          <w:tcPr>
            <w:tcW w:w="3079" w:type="dxa"/>
            <w:vMerge/>
          </w:tcPr>
          <w:p w14:paraId="495C2CEC" w14:textId="45D16813" w:rsidR="000C7DCB" w:rsidRPr="009C5EFD" w:rsidRDefault="000C7DCB">
            <w:pPr>
              <w:keepNext/>
              <w:suppressAutoHyphens/>
              <w:rPr>
                <w:del w:id="6005" w:author="AbbVie02no" w:date="2025-05-15T13:45:00Z"/>
                <w:sz w:val="22"/>
                <w:szCs w:val="22"/>
              </w:rPr>
              <w:pPrChange w:id="6006" w:author="AbbVie02no" w:date="2025-05-15T13:45:00Z">
                <w:pPr/>
              </w:pPrChange>
            </w:pPr>
          </w:p>
        </w:tc>
        <w:tc>
          <w:tcPr>
            <w:tcW w:w="1682" w:type="dxa"/>
          </w:tcPr>
          <w:p w14:paraId="703422F0" w14:textId="48C62DD3" w:rsidR="000C7DCB" w:rsidRPr="009C5EFD" w:rsidRDefault="00E453CD">
            <w:pPr>
              <w:keepNext/>
              <w:suppressAutoHyphens/>
              <w:rPr>
                <w:del w:id="6007" w:author="AbbVie02no" w:date="2025-05-15T13:45:00Z"/>
                <w:sz w:val="22"/>
                <w:szCs w:val="22"/>
              </w:rPr>
              <w:pPrChange w:id="6008" w:author="AbbVie02no" w:date="2025-05-15T13:45:00Z">
                <w:pPr/>
              </w:pPrChange>
            </w:pPr>
            <w:del w:id="6009" w:author="AbbVie02no" w:date="2025-05-15T13:45:00Z">
              <w:r w:rsidRPr="009C5EFD">
                <w:rPr>
                  <w:sz w:val="22"/>
                  <w:szCs w:val="22"/>
                </w:rPr>
                <w:delText>Mindre vanlige</w:delText>
              </w:r>
            </w:del>
          </w:p>
          <w:p w14:paraId="1B2D3CC9" w14:textId="75D8C37A" w:rsidR="000C7DCB" w:rsidRPr="009C5EFD" w:rsidRDefault="000C7DCB">
            <w:pPr>
              <w:keepNext/>
              <w:suppressAutoHyphens/>
              <w:rPr>
                <w:del w:id="6010" w:author="AbbVie02no" w:date="2025-05-15T13:45:00Z"/>
                <w:sz w:val="22"/>
                <w:szCs w:val="22"/>
              </w:rPr>
              <w:pPrChange w:id="6011" w:author="AbbVie02no" w:date="2025-05-15T13:45:00Z">
                <w:pPr/>
              </w:pPrChange>
            </w:pPr>
          </w:p>
        </w:tc>
        <w:tc>
          <w:tcPr>
            <w:tcW w:w="4294" w:type="dxa"/>
          </w:tcPr>
          <w:p w14:paraId="3181BE91" w14:textId="254DB554" w:rsidR="000C7DCB" w:rsidRPr="009C5EFD" w:rsidRDefault="00E453CD">
            <w:pPr>
              <w:keepNext/>
              <w:suppressAutoHyphens/>
              <w:rPr>
                <w:del w:id="6012" w:author="AbbVie02no" w:date="2025-05-15T13:45:00Z"/>
                <w:sz w:val="22"/>
                <w:szCs w:val="22"/>
              </w:rPr>
              <w:pPrChange w:id="6013" w:author="AbbVie02no" w:date="2025-05-15T13:45:00Z">
                <w:pPr/>
              </w:pPrChange>
            </w:pPr>
            <w:del w:id="6014" w:author="AbbVie02no" w:date="2025-05-15T13:45:00Z">
              <w:r w:rsidRPr="009C5EFD">
                <w:rPr>
                  <w:sz w:val="22"/>
                  <w:szCs w:val="22"/>
                </w:rPr>
                <w:delText xml:space="preserve">Nattesvette, arrdannelse </w:delText>
              </w:r>
            </w:del>
          </w:p>
          <w:p w14:paraId="59788875" w14:textId="31320D04" w:rsidR="000C7DCB" w:rsidRPr="009C5EFD" w:rsidRDefault="000C7DCB">
            <w:pPr>
              <w:keepNext/>
              <w:suppressAutoHyphens/>
              <w:rPr>
                <w:del w:id="6015" w:author="AbbVie02no" w:date="2025-05-15T13:45:00Z"/>
                <w:sz w:val="22"/>
                <w:szCs w:val="22"/>
              </w:rPr>
              <w:pPrChange w:id="6016" w:author="AbbVie02no" w:date="2025-05-15T13:45:00Z">
                <w:pPr/>
              </w:pPrChange>
            </w:pPr>
          </w:p>
        </w:tc>
      </w:tr>
      <w:tr w:rsidR="004644D4" w14:paraId="7D02D0AB" w14:textId="41A7EF59" w:rsidTr="00032240">
        <w:trPr>
          <w:del w:id="6017" w:author="AbbVie02no" w:date="2025-05-15T13:45:00Z"/>
        </w:trPr>
        <w:tc>
          <w:tcPr>
            <w:tcW w:w="3079" w:type="dxa"/>
            <w:vMerge/>
          </w:tcPr>
          <w:p w14:paraId="2BCBA2DE" w14:textId="332BDF5A" w:rsidR="006C4FDE" w:rsidRPr="009C5EFD" w:rsidRDefault="006C4FDE">
            <w:pPr>
              <w:keepNext/>
              <w:suppressAutoHyphens/>
              <w:rPr>
                <w:del w:id="6018" w:author="AbbVie02no" w:date="2025-05-15T13:45:00Z"/>
                <w:sz w:val="22"/>
                <w:szCs w:val="22"/>
              </w:rPr>
              <w:pPrChange w:id="6019" w:author="AbbVie02no" w:date="2025-05-15T13:45:00Z">
                <w:pPr/>
              </w:pPrChange>
            </w:pPr>
          </w:p>
        </w:tc>
        <w:tc>
          <w:tcPr>
            <w:tcW w:w="1682" w:type="dxa"/>
          </w:tcPr>
          <w:p w14:paraId="3E33DF50" w14:textId="4E523107" w:rsidR="006C4FDE" w:rsidRPr="009C5EFD" w:rsidRDefault="00E453CD">
            <w:pPr>
              <w:keepNext/>
              <w:suppressAutoHyphens/>
              <w:rPr>
                <w:del w:id="6020" w:author="AbbVie02no" w:date="2025-05-15T13:45:00Z"/>
                <w:sz w:val="22"/>
                <w:szCs w:val="22"/>
              </w:rPr>
              <w:pPrChange w:id="6021" w:author="AbbVie02no" w:date="2025-05-15T13:45:00Z">
                <w:pPr/>
              </w:pPrChange>
            </w:pPr>
            <w:del w:id="6022" w:author="AbbVie02no" w:date="2025-05-15T13:45:00Z">
              <w:r w:rsidRPr="009C5EFD">
                <w:rPr>
                  <w:sz w:val="22"/>
                  <w:szCs w:val="22"/>
                </w:rPr>
                <w:delText>Sjeldne</w:delText>
              </w:r>
            </w:del>
          </w:p>
          <w:p w14:paraId="670ADE2C" w14:textId="422FB8A1" w:rsidR="006C4FDE" w:rsidRPr="009C5EFD" w:rsidRDefault="006C4FDE">
            <w:pPr>
              <w:keepNext/>
              <w:suppressAutoHyphens/>
              <w:rPr>
                <w:del w:id="6023" w:author="AbbVie02no" w:date="2025-05-15T13:45:00Z"/>
                <w:sz w:val="22"/>
                <w:szCs w:val="22"/>
              </w:rPr>
              <w:pPrChange w:id="6024" w:author="AbbVie02no" w:date="2025-05-15T13:45:00Z">
                <w:pPr/>
              </w:pPrChange>
            </w:pPr>
          </w:p>
        </w:tc>
        <w:tc>
          <w:tcPr>
            <w:tcW w:w="4294" w:type="dxa"/>
          </w:tcPr>
          <w:p w14:paraId="26FA1D38" w14:textId="642611B1" w:rsidR="006C4FDE" w:rsidRPr="006936CB" w:rsidRDefault="00E453CD">
            <w:pPr>
              <w:keepNext/>
              <w:suppressAutoHyphens/>
              <w:rPr>
                <w:del w:id="6025" w:author="AbbVie02no" w:date="2025-05-15T13:45:00Z"/>
                <w:sz w:val="22"/>
                <w:szCs w:val="22"/>
              </w:rPr>
              <w:pPrChange w:id="6026" w:author="AbbVie02no" w:date="2025-05-15T13:45:00Z">
                <w:pPr>
                  <w:spacing w:after="120"/>
                </w:pPr>
              </w:pPrChange>
            </w:pPr>
            <w:del w:id="6027" w:author="AbbVie02no" w:date="2025-05-15T13:45:00Z">
              <w:r w:rsidRPr="009C5EFD">
                <w:rPr>
                  <w:sz w:val="22"/>
                  <w:szCs w:val="22"/>
                </w:rPr>
                <w:delText>Erythema multiforme</w:delText>
              </w:r>
              <w:r w:rsidRPr="009C5EFD">
                <w:rPr>
                  <w:sz w:val="22"/>
                  <w:szCs w:val="22"/>
                  <w:vertAlign w:val="superscript"/>
                </w:rPr>
                <w:delText>1)</w:delText>
              </w:r>
              <w:r w:rsidRPr="009C5EFD">
                <w:rPr>
                  <w:sz w:val="22"/>
                  <w:szCs w:val="22"/>
                </w:rPr>
                <w:delText>, Stevens-Johnson syndrom</w:delText>
              </w:r>
              <w:r w:rsidRPr="009C5EFD">
                <w:rPr>
                  <w:sz w:val="22"/>
                  <w:szCs w:val="22"/>
                  <w:vertAlign w:val="superscript"/>
                </w:rPr>
                <w:delText>1)</w:delText>
              </w:r>
              <w:r w:rsidRPr="009C5EFD">
                <w:rPr>
                  <w:sz w:val="22"/>
                  <w:szCs w:val="22"/>
                </w:rPr>
                <w:delText>, angioødem</w:delText>
              </w:r>
              <w:r w:rsidRPr="009C5EFD">
                <w:rPr>
                  <w:sz w:val="22"/>
                  <w:szCs w:val="22"/>
                  <w:vertAlign w:val="superscript"/>
                </w:rPr>
                <w:delText>1)</w:delText>
              </w:r>
              <w:r w:rsidRPr="009C5EFD">
                <w:rPr>
                  <w:sz w:val="22"/>
                  <w:szCs w:val="22"/>
                </w:rPr>
                <w:delText>, kutan vaskulitt</w:delText>
              </w:r>
              <w:r w:rsidRPr="009C5EFD">
                <w:rPr>
                  <w:sz w:val="22"/>
                  <w:szCs w:val="22"/>
                  <w:vertAlign w:val="superscript"/>
                </w:rPr>
                <w:delText>1)</w:delText>
              </w:r>
              <w:r w:rsidR="00486C52">
                <w:rPr>
                  <w:sz w:val="22"/>
                  <w:szCs w:val="22"/>
                </w:rPr>
                <w:delText>, lichenoid</w:delText>
              </w:r>
              <w:r w:rsidR="00E60B3F">
                <w:rPr>
                  <w:sz w:val="22"/>
                  <w:szCs w:val="22"/>
                </w:rPr>
                <w:delText xml:space="preserve"> hudreaksjon</w:delText>
              </w:r>
              <w:r w:rsidR="00E60B3F" w:rsidRPr="009C5EFD">
                <w:rPr>
                  <w:sz w:val="22"/>
                  <w:szCs w:val="22"/>
                  <w:vertAlign w:val="superscript"/>
                </w:rPr>
                <w:delText>1)</w:delText>
              </w:r>
            </w:del>
          </w:p>
          <w:p w14:paraId="643FC203" w14:textId="2381B275" w:rsidR="006C4FDE" w:rsidRPr="009C5EFD" w:rsidRDefault="006C4FDE">
            <w:pPr>
              <w:keepNext/>
              <w:suppressAutoHyphens/>
              <w:rPr>
                <w:del w:id="6028" w:author="AbbVie02no" w:date="2025-05-15T13:45:00Z"/>
                <w:sz w:val="22"/>
                <w:szCs w:val="22"/>
              </w:rPr>
              <w:pPrChange w:id="6029" w:author="AbbVie02no" w:date="2025-05-15T13:45:00Z">
                <w:pPr/>
              </w:pPrChange>
            </w:pPr>
          </w:p>
        </w:tc>
      </w:tr>
      <w:tr w:rsidR="004644D4" w14:paraId="78FD4B11" w14:textId="214D6403" w:rsidTr="00032240">
        <w:trPr>
          <w:del w:id="6030" w:author="AbbVie02no" w:date="2025-05-15T13:45:00Z"/>
        </w:trPr>
        <w:tc>
          <w:tcPr>
            <w:tcW w:w="3079" w:type="dxa"/>
            <w:vMerge/>
          </w:tcPr>
          <w:p w14:paraId="700C1951" w14:textId="6295EFB0" w:rsidR="006C4FDE" w:rsidRPr="009C5EFD" w:rsidRDefault="006C4FDE">
            <w:pPr>
              <w:keepNext/>
              <w:suppressAutoHyphens/>
              <w:rPr>
                <w:del w:id="6031" w:author="AbbVie02no" w:date="2025-05-15T13:45:00Z"/>
                <w:sz w:val="22"/>
                <w:szCs w:val="22"/>
              </w:rPr>
              <w:pPrChange w:id="6032" w:author="AbbVie02no" w:date="2025-05-15T13:45:00Z">
                <w:pPr/>
              </w:pPrChange>
            </w:pPr>
          </w:p>
        </w:tc>
        <w:tc>
          <w:tcPr>
            <w:tcW w:w="1682" w:type="dxa"/>
          </w:tcPr>
          <w:p w14:paraId="1B343988" w14:textId="3844FAD9" w:rsidR="006C4FDE" w:rsidRPr="009C5EFD" w:rsidRDefault="00E453CD">
            <w:pPr>
              <w:keepNext/>
              <w:suppressAutoHyphens/>
              <w:rPr>
                <w:del w:id="6033" w:author="AbbVie02no" w:date="2025-05-15T13:45:00Z"/>
                <w:sz w:val="22"/>
                <w:szCs w:val="22"/>
              </w:rPr>
              <w:pPrChange w:id="6034" w:author="AbbVie02no" w:date="2025-05-15T13:45:00Z">
                <w:pPr/>
              </w:pPrChange>
            </w:pPr>
            <w:del w:id="6035" w:author="AbbVie02no" w:date="2025-05-15T13:45:00Z">
              <w:r w:rsidRPr="009C5EFD">
                <w:rPr>
                  <w:sz w:val="22"/>
                  <w:szCs w:val="22"/>
                </w:rPr>
                <w:delText>Ikke kjent</w:delText>
              </w:r>
            </w:del>
          </w:p>
        </w:tc>
        <w:tc>
          <w:tcPr>
            <w:tcW w:w="4294" w:type="dxa"/>
          </w:tcPr>
          <w:p w14:paraId="3D8FC8AF" w14:textId="189D4111" w:rsidR="006C4FDE" w:rsidRPr="009C5EFD" w:rsidRDefault="00E453CD">
            <w:pPr>
              <w:keepNext/>
              <w:suppressAutoHyphens/>
              <w:rPr>
                <w:del w:id="6036" w:author="AbbVie02no" w:date="2025-05-15T13:45:00Z"/>
                <w:sz w:val="22"/>
                <w:szCs w:val="22"/>
              </w:rPr>
              <w:pPrChange w:id="6037" w:author="AbbVie02no" w:date="2025-05-15T13:45:00Z">
                <w:pPr/>
              </w:pPrChange>
            </w:pPr>
            <w:del w:id="6038" w:author="AbbVie02no" w:date="2025-05-15T13:45:00Z">
              <w:r w:rsidRPr="009C5EFD">
                <w:rPr>
                  <w:sz w:val="22"/>
                  <w:szCs w:val="22"/>
                </w:rPr>
                <w:delText>Forverring av dermatomyositt symptomer</w:delText>
              </w:r>
              <w:r w:rsidRPr="009C5EFD">
                <w:rPr>
                  <w:sz w:val="22"/>
                  <w:szCs w:val="22"/>
                  <w:vertAlign w:val="superscript"/>
                </w:rPr>
                <w:delText>1)</w:delText>
              </w:r>
            </w:del>
          </w:p>
          <w:p w14:paraId="5012B6D8" w14:textId="63D5EF62" w:rsidR="006C4FDE" w:rsidRPr="009C5EFD" w:rsidRDefault="006C4FDE">
            <w:pPr>
              <w:keepNext/>
              <w:suppressAutoHyphens/>
              <w:rPr>
                <w:del w:id="6039" w:author="AbbVie02no" w:date="2025-05-15T13:45:00Z"/>
                <w:sz w:val="22"/>
                <w:szCs w:val="22"/>
              </w:rPr>
              <w:pPrChange w:id="6040" w:author="AbbVie02no" w:date="2025-05-15T13:45:00Z">
                <w:pPr/>
              </w:pPrChange>
            </w:pPr>
          </w:p>
        </w:tc>
      </w:tr>
      <w:tr w:rsidR="004644D4" w14:paraId="380DAC2D" w14:textId="1C186D2E" w:rsidTr="00032240">
        <w:trPr>
          <w:del w:id="6041" w:author="AbbVie02no" w:date="2025-05-15T13:45:00Z"/>
        </w:trPr>
        <w:tc>
          <w:tcPr>
            <w:tcW w:w="3079" w:type="dxa"/>
            <w:vMerge w:val="restart"/>
          </w:tcPr>
          <w:p w14:paraId="2835B9C6" w14:textId="6CC33638" w:rsidR="006C4FDE" w:rsidRPr="002D0790" w:rsidRDefault="00E453CD">
            <w:pPr>
              <w:keepNext/>
              <w:suppressAutoHyphens/>
              <w:rPr>
                <w:del w:id="6042" w:author="AbbVie02no" w:date="2025-05-15T13:45:00Z"/>
                <w:szCs w:val="22"/>
              </w:rPr>
              <w:pPrChange w:id="6043" w:author="AbbVie02no" w:date="2025-05-15T13:45:00Z">
                <w:pPr>
                  <w:pStyle w:val="EndnoteText"/>
                  <w:widowControl/>
                  <w:tabs>
                    <w:tab w:val="clear" w:pos="567"/>
                  </w:tabs>
                </w:pPr>
              </w:pPrChange>
            </w:pPr>
            <w:del w:id="6044" w:author="AbbVie02no" w:date="2025-05-15T13:45:00Z">
              <w:r w:rsidRPr="007F67EE">
                <w:rPr>
                  <w:szCs w:val="22"/>
                </w:rPr>
                <w:delText>Sykdommer i muskler</w:delText>
              </w:r>
              <w:r w:rsidRPr="00193D76">
                <w:rPr>
                  <w:szCs w:val="22"/>
                </w:rPr>
                <w:delText xml:space="preserve"> og </w:delText>
              </w:r>
              <w:r w:rsidRPr="002D0790">
                <w:rPr>
                  <w:szCs w:val="22"/>
                </w:rPr>
                <w:delText>bindevev</w:delText>
              </w:r>
            </w:del>
          </w:p>
        </w:tc>
        <w:tc>
          <w:tcPr>
            <w:tcW w:w="1682" w:type="dxa"/>
          </w:tcPr>
          <w:p w14:paraId="3024984E" w14:textId="6961AEF4" w:rsidR="006C4FDE" w:rsidRPr="002D0790" w:rsidRDefault="00E453CD">
            <w:pPr>
              <w:keepNext/>
              <w:suppressAutoHyphens/>
              <w:rPr>
                <w:del w:id="6045" w:author="AbbVie02no" w:date="2025-05-15T13:45:00Z"/>
                <w:sz w:val="22"/>
                <w:szCs w:val="22"/>
              </w:rPr>
              <w:pPrChange w:id="6046" w:author="AbbVie02no" w:date="2025-05-15T13:45:00Z">
                <w:pPr/>
              </w:pPrChange>
            </w:pPr>
            <w:del w:id="6047" w:author="AbbVie02no" w:date="2025-05-15T13:45:00Z">
              <w:r w:rsidRPr="002D0790">
                <w:rPr>
                  <w:sz w:val="22"/>
                  <w:szCs w:val="22"/>
                </w:rPr>
                <w:delText>Svært vanlige</w:delText>
              </w:r>
            </w:del>
          </w:p>
          <w:p w14:paraId="06F3A4BB" w14:textId="6381BAC7" w:rsidR="006C4FDE" w:rsidRPr="00E14E58" w:rsidRDefault="006C4FDE">
            <w:pPr>
              <w:keepNext/>
              <w:suppressAutoHyphens/>
              <w:rPr>
                <w:del w:id="6048" w:author="AbbVie02no" w:date="2025-05-15T13:45:00Z"/>
                <w:sz w:val="22"/>
                <w:szCs w:val="22"/>
              </w:rPr>
              <w:pPrChange w:id="6049" w:author="AbbVie02no" w:date="2025-05-15T13:45:00Z">
                <w:pPr/>
              </w:pPrChange>
            </w:pPr>
          </w:p>
        </w:tc>
        <w:tc>
          <w:tcPr>
            <w:tcW w:w="4294" w:type="dxa"/>
          </w:tcPr>
          <w:p w14:paraId="4C035CD8" w14:textId="7F668C11" w:rsidR="006C4FDE" w:rsidRPr="009C5EFD" w:rsidRDefault="00E453CD">
            <w:pPr>
              <w:keepNext/>
              <w:suppressAutoHyphens/>
              <w:rPr>
                <w:del w:id="6050" w:author="AbbVie02no" w:date="2025-05-15T13:45:00Z"/>
                <w:sz w:val="22"/>
                <w:szCs w:val="22"/>
              </w:rPr>
              <w:pPrChange w:id="6051" w:author="AbbVie02no" w:date="2025-05-15T13:45:00Z">
                <w:pPr/>
              </w:pPrChange>
            </w:pPr>
            <w:del w:id="6052" w:author="AbbVie02no" w:date="2025-05-15T13:45:00Z">
              <w:r w:rsidRPr="009C5EFD">
                <w:rPr>
                  <w:sz w:val="22"/>
                  <w:szCs w:val="22"/>
                </w:rPr>
                <w:delText>Smerter i skjelett og muskulatur</w:delText>
              </w:r>
            </w:del>
          </w:p>
        </w:tc>
      </w:tr>
      <w:tr w:rsidR="004644D4" w14:paraId="0DCEB496" w14:textId="553513E2" w:rsidTr="00032240">
        <w:trPr>
          <w:del w:id="6053" w:author="AbbVie02no" w:date="2025-05-15T13:45:00Z"/>
        </w:trPr>
        <w:tc>
          <w:tcPr>
            <w:tcW w:w="3079" w:type="dxa"/>
            <w:vMerge/>
          </w:tcPr>
          <w:p w14:paraId="7F930ECA" w14:textId="702131A2" w:rsidR="006C4FDE" w:rsidRPr="009C5EFD" w:rsidRDefault="006C4FDE">
            <w:pPr>
              <w:keepNext/>
              <w:suppressAutoHyphens/>
              <w:rPr>
                <w:del w:id="6054" w:author="AbbVie02no" w:date="2025-05-15T13:45:00Z"/>
                <w:szCs w:val="22"/>
              </w:rPr>
              <w:pPrChange w:id="6055" w:author="AbbVie02no" w:date="2025-05-15T13:45:00Z">
                <w:pPr>
                  <w:pStyle w:val="EndnoteText"/>
                  <w:widowControl/>
                  <w:tabs>
                    <w:tab w:val="clear" w:pos="567"/>
                  </w:tabs>
                </w:pPr>
              </w:pPrChange>
            </w:pPr>
          </w:p>
        </w:tc>
        <w:tc>
          <w:tcPr>
            <w:tcW w:w="1682" w:type="dxa"/>
          </w:tcPr>
          <w:p w14:paraId="47AB506C" w14:textId="19AB16E8" w:rsidR="006C4FDE" w:rsidRPr="009C5EFD" w:rsidRDefault="00E453CD">
            <w:pPr>
              <w:keepNext/>
              <w:suppressAutoHyphens/>
              <w:rPr>
                <w:del w:id="6056" w:author="AbbVie02no" w:date="2025-05-15T13:45:00Z"/>
                <w:sz w:val="22"/>
                <w:szCs w:val="22"/>
              </w:rPr>
              <w:pPrChange w:id="6057" w:author="AbbVie02no" w:date="2025-05-15T13:45:00Z">
                <w:pPr/>
              </w:pPrChange>
            </w:pPr>
            <w:del w:id="6058" w:author="AbbVie02no" w:date="2025-05-15T13:45:00Z">
              <w:r w:rsidRPr="009C5EFD">
                <w:rPr>
                  <w:sz w:val="22"/>
                  <w:szCs w:val="22"/>
                </w:rPr>
                <w:delText>Vanlige</w:delText>
              </w:r>
            </w:del>
          </w:p>
          <w:p w14:paraId="12390E96" w14:textId="539A92C1" w:rsidR="006C4FDE" w:rsidRPr="009C5EFD" w:rsidRDefault="006C4FDE">
            <w:pPr>
              <w:keepNext/>
              <w:suppressAutoHyphens/>
              <w:rPr>
                <w:del w:id="6059" w:author="AbbVie02no" w:date="2025-05-15T13:45:00Z"/>
                <w:sz w:val="22"/>
                <w:szCs w:val="22"/>
              </w:rPr>
              <w:pPrChange w:id="6060" w:author="AbbVie02no" w:date="2025-05-15T13:45:00Z">
                <w:pPr/>
              </w:pPrChange>
            </w:pPr>
          </w:p>
        </w:tc>
        <w:tc>
          <w:tcPr>
            <w:tcW w:w="4294" w:type="dxa"/>
          </w:tcPr>
          <w:p w14:paraId="31F151AE" w14:textId="5D3B4FE1" w:rsidR="006C4FDE" w:rsidRPr="009C5EFD" w:rsidRDefault="00E453CD">
            <w:pPr>
              <w:keepNext/>
              <w:suppressAutoHyphens/>
              <w:rPr>
                <w:del w:id="6061" w:author="AbbVie02no" w:date="2025-05-15T13:45:00Z"/>
                <w:sz w:val="22"/>
                <w:szCs w:val="22"/>
              </w:rPr>
              <w:pPrChange w:id="6062" w:author="AbbVie02no" w:date="2025-05-15T13:45:00Z">
                <w:pPr/>
              </w:pPrChange>
            </w:pPr>
            <w:del w:id="6063" w:author="AbbVie02no" w:date="2025-05-15T13:45:00Z">
              <w:r w:rsidRPr="009C5EFD">
                <w:rPr>
                  <w:sz w:val="22"/>
                  <w:szCs w:val="22"/>
                </w:rPr>
                <w:delText xml:space="preserve">Muskelspasmer (inkludert forhøyet kreatinfosfokinase i blod) </w:delText>
              </w:r>
            </w:del>
          </w:p>
          <w:p w14:paraId="11D75B1A" w14:textId="477456DC" w:rsidR="006C4FDE" w:rsidRPr="009C5EFD" w:rsidRDefault="006C4FDE">
            <w:pPr>
              <w:keepNext/>
              <w:suppressAutoHyphens/>
              <w:rPr>
                <w:del w:id="6064" w:author="AbbVie02no" w:date="2025-05-15T13:45:00Z"/>
                <w:sz w:val="22"/>
                <w:szCs w:val="22"/>
              </w:rPr>
              <w:pPrChange w:id="6065" w:author="AbbVie02no" w:date="2025-05-15T13:45:00Z">
                <w:pPr/>
              </w:pPrChange>
            </w:pPr>
          </w:p>
        </w:tc>
      </w:tr>
      <w:tr w:rsidR="004644D4" w14:paraId="6A067249" w14:textId="1D7694F2" w:rsidTr="00032240">
        <w:trPr>
          <w:del w:id="6066" w:author="AbbVie02no" w:date="2025-05-15T13:45:00Z"/>
        </w:trPr>
        <w:tc>
          <w:tcPr>
            <w:tcW w:w="3079" w:type="dxa"/>
            <w:vMerge/>
          </w:tcPr>
          <w:p w14:paraId="4DF2A48D" w14:textId="70489665" w:rsidR="006C4FDE" w:rsidRPr="009C5EFD" w:rsidRDefault="006C4FDE">
            <w:pPr>
              <w:keepNext/>
              <w:suppressAutoHyphens/>
              <w:rPr>
                <w:del w:id="6067" w:author="AbbVie02no" w:date="2025-05-15T13:45:00Z"/>
                <w:szCs w:val="22"/>
              </w:rPr>
              <w:pPrChange w:id="6068" w:author="AbbVie02no" w:date="2025-05-15T13:45:00Z">
                <w:pPr>
                  <w:pStyle w:val="EndnoteText"/>
                  <w:widowControl/>
                  <w:tabs>
                    <w:tab w:val="clear" w:pos="567"/>
                  </w:tabs>
                </w:pPr>
              </w:pPrChange>
            </w:pPr>
          </w:p>
        </w:tc>
        <w:tc>
          <w:tcPr>
            <w:tcW w:w="1682" w:type="dxa"/>
          </w:tcPr>
          <w:p w14:paraId="709F88B1" w14:textId="4BA51D8F" w:rsidR="006C4FDE" w:rsidRPr="009C5EFD" w:rsidRDefault="00E453CD">
            <w:pPr>
              <w:keepNext/>
              <w:suppressAutoHyphens/>
              <w:rPr>
                <w:del w:id="6069" w:author="AbbVie02no" w:date="2025-05-15T13:45:00Z"/>
                <w:sz w:val="22"/>
                <w:szCs w:val="22"/>
              </w:rPr>
              <w:pPrChange w:id="6070" w:author="AbbVie02no" w:date="2025-05-15T13:45:00Z">
                <w:pPr/>
              </w:pPrChange>
            </w:pPr>
            <w:del w:id="6071" w:author="AbbVie02no" w:date="2025-05-15T13:45:00Z">
              <w:r w:rsidRPr="009C5EFD">
                <w:rPr>
                  <w:sz w:val="22"/>
                  <w:szCs w:val="22"/>
                </w:rPr>
                <w:delText>Mindre vanlige</w:delText>
              </w:r>
            </w:del>
          </w:p>
          <w:p w14:paraId="334BD57A" w14:textId="186BE732" w:rsidR="006C4FDE" w:rsidRPr="009C5EFD" w:rsidRDefault="006C4FDE">
            <w:pPr>
              <w:keepNext/>
              <w:suppressAutoHyphens/>
              <w:rPr>
                <w:del w:id="6072" w:author="AbbVie02no" w:date="2025-05-15T13:45:00Z"/>
                <w:sz w:val="22"/>
                <w:szCs w:val="22"/>
              </w:rPr>
              <w:pPrChange w:id="6073" w:author="AbbVie02no" w:date="2025-05-15T13:45:00Z">
                <w:pPr/>
              </w:pPrChange>
            </w:pPr>
          </w:p>
        </w:tc>
        <w:tc>
          <w:tcPr>
            <w:tcW w:w="4294" w:type="dxa"/>
          </w:tcPr>
          <w:p w14:paraId="7F4987CD" w14:textId="20944AC9" w:rsidR="006C4FDE" w:rsidRPr="009C5EFD" w:rsidRDefault="00E453CD">
            <w:pPr>
              <w:keepNext/>
              <w:suppressAutoHyphens/>
              <w:rPr>
                <w:del w:id="6074" w:author="AbbVie02no" w:date="2025-05-15T13:45:00Z"/>
                <w:sz w:val="22"/>
                <w:szCs w:val="22"/>
              </w:rPr>
              <w:pPrChange w:id="6075" w:author="AbbVie02no" w:date="2025-05-15T13:45:00Z">
                <w:pPr/>
              </w:pPrChange>
            </w:pPr>
            <w:del w:id="6076" w:author="AbbVie02no" w:date="2025-05-15T13:45:00Z">
              <w:r w:rsidRPr="009C5EFD">
                <w:rPr>
                  <w:sz w:val="22"/>
                  <w:szCs w:val="22"/>
                </w:rPr>
                <w:delText>Rabdomyolyse, systemisk lupus erythematosus</w:delText>
              </w:r>
            </w:del>
          </w:p>
          <w:p w14:paraId="42EBC58C" w14:textId="7405CC2B" w:rsidR="006C4FDE" w:rsidRPr="009C5EFD" w:rsidRDefault="006C4FDE">
            <w:pPr>
              <w:keepNext/>
              <w:suppressAutoHyphens/>
              <w:rPr>
                <w:del w:id="6077" w:author="AbbVie02no" w:date="2025-05-15T13:45:00Z"/>
                <w:sz w:val="22"/>
                <w:szCs w:val="22"/>
              </w:rPr>
              <w:pPrChange w:id="6078" w:author="AbbVie02no" w:date="2025-05-15T13:45:00Z">
                <w:pPr/>
              </w:pPrChange>
            </w:pPr>
          </w:p>
        </w:tc>
      </w:tr>
      <w:tr w:rsidR="004644D4" w14:paraId="4DBD7800" w14:textId="79379ED6" w:rsidTr="00032240">
        <w:trPr>
          <w:del w:id="6079" w:author="AbbVie02no" w:date="2025-05-15T13:45:00Z"/>
        </w:trPr>
        <w:tc>
          <w:tcPr>
            <w:tcW w:w="3079" w:type="dxa"/>
            <w:vMerge/>
          </w:tcPr>
          <w:p w14:paraId="145B3FFA" w14:textId="693CBD30" w:rsidR="006C4FDE" w:rsidRPr="009C5EFD" w:rsidRDefault="006C4FDE">
            <w:pPr>
              <w:keepNext/>
              <w:suppressAutoHyphens/>
              <w:rPr>
                <w:del w:id="6080" w:author="AbbVie02no" w:date="2025-05-15T13:45:00Z"/>
                <w:szCs w:val="22"/>
              </w:rPr>
              <w:pPrChange w:id="6081" w:author="AbbVie02no" w:date="2025-05-15T13:45:00Z">
                <w:pPr>
                  <w:pStyle w:val="EndnoteText"/>
                  <w:widowControl/>
                  <w:tabs>
                    <w:tab w:val="clear" w:pos="567"/>
                  </w:tabs>
                </w:pPr>
              </w:pPrChange>
            </w:pPr>
          </w:p>
        </w:tc>
        <w:tc>
          <w:tcPr>
            <w:tcW w:w="1682" w:type="dxa"/>
          </w:tcPr>
          <w:p w14:paraId="0BB20B0D" w14:textId="67126FC3" w:rsidR="006C4FDE" w:rsidRPr="009C5EFD" w:rsidRDefault="00E453CD">
            <w:pPr>
              <w:keepNext/>
              <w:suppressAutoHyphens/>
              <w:rPr>
                <w:del w:id="6082" w:author="AbbVie02no" w:date="2025-05-15T13:45:00Z"/>
                <w:sz w:val="22"/>
                <w:szCs w:val="22"/>
              </w:rPr>
              <w:pPrChange w:id="6083" w:author="AbbVie02no" w:date="2025-05-15T13:45:00Z">
                <w:pPr/>
              </w:pPrChange>
            </w:pPr>
            <w:del w:id="6084" w:author="AbbVie02no" w:date="2025-05-15T13:45:00Z">
              <w:r w:rsidRPr="009C5EFD">
                <w:rPr>
                  <w:sz w:val="22"/>
                  <w:szCs w:val="22"/>
                </w:rPr>
                <w:delText>Sjeldne</w:delText>
              </w:r>
            </w:del>
          </w:p>
        </w:tc>
        <w:tc>
          <w:tcPr>
            <w:tcW w:w="4294" w:type="dxa"/>
          </w:tcPr>
          <w:p w14:paraId="485EB229" w14:textId="6FC12656" w:rsidR="006C4FDE" w:rsidRPr="009C5EFD" w:rsidRDefault="00E453CD">
            <w:pPr>
              <w:keepNext/>
              <w:suppressAutoHyphens/>
              <w:rPr>
                <w:del w:id="6085" w:author="AbbVie02no" w:date="2025-05-15T13:45:00Z"/>
                <w:sz w:val="22"/>
                <w:szCs w:val="22"/>
                <w:vertAlign w:val="superscript"/>
              </w:rPr>
              <w:pPrChange w:id="6086" w:author="AbbVie02no" w:date="2025-05-15T13:45:00Z">
                <w:pPr/>
              </w:pPrChange>
            </w:pPr>
            <w:del w:id="6087" w:author="AbbVie02no" w:date="2025-05-15T13:45:00Z">
              <w:r w:rsidRPr="009C5EFD">
                <w:rPr>
                  <w:sz w:val="22"/>
                  <w:szCs w:val="22"/>
                </w:rPr>
                <w:delText>Lupus-lignende syndrom</w:delText>
              </w:r>
              <w:r w:rsidRPr="009C5EFD">
                <w:rPr>
                  <w:sz w:val="22"/>
                  <w:szCs w:val="22"/>
                  <w:vertAlign w:val="superscript"/>
                </w:rPr>
                <w:delText>1)</w:delText>
              </w:r>
            </w:del>
          </w:p>
          <w:p w14:paraId="73E5B0D3" w14:textId="5FE898B7" w:rsidR="006C4FDE" w:rsidRPr="009C5EFD" w:rsidRDefault="006C4FDE">
            <w:pPr>
              <w:keepNext/>
              <w:suppressAutoHyphens/>
              <w:rPr>
                <w:del w:id="6088" w:author="AbbVie02no" w:date="2025-05-15T13:45:00Z"/>
                <w:sz w:val="22"/>
                <w:szCs w:val="22"/>
              </w:rPr>
              <w:pPrChange w:id="6089" w:author="AbbVie02no" w:date="2025-05-15T13:45:00Z">
                <w:pPr/>
              </w:pPrChange>
            </w:pPr>
          </w:p>
        </w:tc>
      </w:tr>
      <w:tr w:rsidR="004644D4" w14:paraId="6694D5CE" w14:textId="08DE591F" w:rsidTr="00032240">
        <w:trPr>
          <w:del w:id="6090" w:author="AbbVie02no" w:date="2025-05-15T13:45:00Z"/>
        </w:trPr>
        <w:tc>
          <w:tcPr>
            <w:tcW w:w="3079" w:type="dxa"/>
            <w:vMerge w:val="restart"/>
          </w:tcPr>
          <w:p w14:paraId="78B180D2" w14:textId="1BE8BB34" w:rsidR="006C4FDE" w:rsidRPr="009C5EFD" w:rsidRDefault="00E453CD">
            <w:pPr>
              <w:keepNext/>
              <w:suppressAutoHyphens/>
              <w:rPr>
                <w:del w:id="6091" w:author="AbbVie02no" w:date="2025-05-15T13:45:00Z"/>
                <w:sz w:val="22"/>
                <w:szCs w:val="22"/>
              </w:rPr>
              <w:pPrChange w:id="6092" w:author="AbbVie02no" w:date="2025-05-15T13:45:00Z">
                <w:pPr/>
              </w:pPrChange>
            </w:pPr>
            <w:del w:id="6093" w:author="AbbVie02no" w:date="2025-05-15T13:45:00Z">
              <w:r w:rsidRPr="009C5EFD">
                <w:rPr>
                  <w:sz w:val="22"/>
                  <w:szCs w:val="22"/>
                </w:rPr>
                <w:delText>Sykdommer i nyre og urinveier</w:delText>
              </w:r>
            </w:del>
          </w:p>
        </w:tc>
        <w:tc>
          <w:tcPr>
            <w:tcW w:w="1682" w:type="dxa"/>
          </w:tcPr>
          <w:p w14:paraId="4CA7FCE9" w14:textId="41998C50" w:rsidR="006C4FDE" w:rsidRPr="009C5EFD" w:rsidRDefault="00E453CD">
            <w:pPr>
              <w:keepNext/>
              <w:suppressAutoHyphens/>
              <w:rPr>
                <w:del w:id="6094" w:author="AbbVie02no" w:date="2025-05-15T13:45:00Z"/>
                <w:sz w:val="22"/>
                <w:szCs w:val="22"/>
              </w:rPr>
              <w:pPrChange w:id="6095" w:author="AbbVie02no" w:date="2025-05-15T13:45:00Z">
                <w:pPr/>
              </w:pPrChange>
            </w:pPr>
            <w:del w:id="6096" w:author="AbbVie02no" w:date="2025-05-15T13:45:00Z">
              <w:r w:rsidRPr="009C5EFD">
                <w:rPr>
                  <w:sz w:val="22"/>
                  <w:szCs w:val="22"/>
                </w:rPr>
                <w:delText>Vanlige</w:delText>
              </w:r>
            </w:del>
          </w:p>
          <w:p w14:paraId="639E63F7" w14:textId="3AA8C14A" w:rsidR="006C4FDE" w:rsidRPr="009C5EFD" w:rsidRDefault="006C4FDE">
            <w:pPr>
              <w:keepNext/>
              <w:suppressAutoHyphens/>
              <w:rPr>
                <w:del w:id="6097" w:author="AbbVie02no" w:date="2025-05-15T13:45:00Z"/>
                <w:sz w:val="22"/>
                <w:szCs w:val="22"/>
              </w:rPr>
              <w:pPrChange w:id="6098" w:author="AbbVie02no" w:date="2025-05-15T13:45:00Z">
                <w:pPr/>
              </w:pPrChange>
            </w:pPr>
          </w:p>
        </w:tc>
        <w:tc>
          <w:tcPr>
            <w:tcW w:w="4294" w:type="dxa"/>
          </w:tcPr>
          <w:p w14:paraId="4E6DD518" w14:textId="2285FA41" w:rsidR="006C4FDE" w:rsidRPr="009C5EFD" w:rsidRDefault="00E453CD">
            <w:pPr>
              <w:keepNext/>
              <w:suppressAutoHyphens/>
              <w:rPr>
                <w:del w:id="6099" w:author="AbbVie02no" w:date="2025-05-15T13:45:00Z"/>
                <w:sz w:val="22"/>
                <w:szCs w:val="22"/>
              </w:rPr>
              <w:pPrChange w:id="6100" w:author="AbbVie02no" w:date="2025-05-15T13:45:00Z">
                <w:pPr/>
              </w:pPrChange>
            </w:pPr>
            <w:del w:id="6101" w:author="AbbVie02no" w:date="2025-05-15T13:45:00Z">
              <w:r w:rsidRPr="009C5EFD">
                <w:rPr>
                  <w:sz w:val="22"/>
                  <w:szCs w:val="22"/>
                </w:rPr>
                <w:delText>Nedsatt nyrefunksjon, hematuri</w:delText>
              </w:r>
            </w:del>
          </w:p>
        </w:tc>
      </w:tr>
      <w:tr w:rsidR="004644D4" w14:paraId="24F5157A" w14:textId="19605EB0" w:rsidTr="00032240">
        <w:trPr>
          <w:del w:id="6102" w:author="AbbVie02no" w:date="2025-05-15T13:45:00Z"/>
        </w:trPr>
        <w:tc>
          <w:tcPr>
            <w:tcW w:w="3079" w:type="dxa"/>
            <w:vMerge/>
          </w:tcPr>
          <w:p w14:paraId="76DB22BD" w14:textId="550DB501" w:rsidR="006C4FDE" w:rsidRPr="009C5EFD" w:rsidRDefault="006C4FDE">
            <w:pPr>
              <w:keepNext/>
              <w:suppressAutoHyphens/>
              <w:rPr>
                <w:del w:id="6103" w:author="AbbVie02no" w:date="2025-05-15T13:45:00Z"/>
                <w:sz w:val="22"/>
                <w:szCs w:val="22"/>
              </w:rPr>
              <w:pPrChange w:id="6104" w:author="AbbVie02no" w:date="2025-05-15T13:45:00Z">
                <w:pPr/>
              </w:pPrChange>
            </w:pPr>
          </w:p>
        </w:tc>
        <w:tc>
          <w:tcPr>
            <w:tcW w:w="1682" w:type="dxa"/>
          </w:tcPr>
          <w:p w14:paraId="4FD0A3DF" w14:textId="50879EA9" w:rsidR="006C4FDE" w:rsidRPr="009C5EFD" w:rsidRDefault="00E453CD">
            <w:pPr>
              <w:keepNext/>
              <w:suppressAutoHyphens/>
              <w:rPr>
                <w:del w:id="6105" w:author="AbbVie02no" w:date="2025-05-15T13:45:00Z"/>
                <w:sz w:val="22"/>
                <w:szCs w:val="22"/>
              </w:rPr>
              <w:pPrChange w:id="6106" w:author="AbbVie02no" w:date="2025-05-15T13:45:00Z">
                <w:pPr/>
              </w:pPrChange>
            </w:pPr>
            <w:del w:id="6107" w:author="AbbVie02no" w:date="2025-05-15T13:45:00Z">
              <w:r w:rsidRPr="009C5EFD">
                <w:rPr>
                  <w:sz w:val="22"/>
                  <w:szCs w:val="22"/>
                </w:rPr>
                <w:delText>Mindre vanlige</w:delText>
              </w:r>
            </w:del>
          </w:p>
        </w:tc>
        <w:tc>
          <w:tcPr>
            <w:tcW w:w="4294" w:type="dxa"/>
          </w:tcPr>
          <w:p w14:paraId="122B7B8E" w14:textId="6277CBCA" w:rsidR="006C4FDE" w:rsidRPr="009C5EFD" w:rsidRDefault="00E453CD">
            <w:pPr>
              <w:keepNext/>
              <w:suppressAutoHyphens/>
              <w:rPr>
                <w:del w:id="6108" w:author="AbbVie02no" w:date="2025-05-15T13:45:00Z"/>
                <w:sz w:val="22"/>
                <w:szCs w:val="22"/>
              </w:rPr>
              <w:pPrChange w:id="6109" w:author="AbbVie02no" w:date="2025-05-15T13:45:00Z">
                <w:pPr/>
              </w:pPrChange>
            </w:pPr>
            <w:del w:id="6110" w:author="AbbVie02no" w:date="2025-05-15T13:45:00Z">
              <w:r w:rsidRPr="009C5EFD">
                <w:rPr>
                  <w:sz w:val="22"/>
                  <w:szCs w:val="22"/>
                </w:rPr>
                <w:delText>Nokturi</w:delText>
              </w:r>
            </w:del>
          </w:p>
          <w:p w14:paraId="292FAC63" w14:textId="28D1F2E7" w:rsidR="006C4FDE" w:rsidRPr="009C5EFD" w:rsidRDefault="006C4FDE">
            <w:pPr>
              <w:keepNext/>
              <w:suppressAutoHyphens/>
              <w:rPr>
                <w:del w:id="6111" w:author="AbbVie02no" w:date="2025-05-15T13:45:00Z"/>
                <w:sz w:val="22"/>
                <w:szCs w:val="22"/>
              </w:rPr>
              <w:pPrChange w:id="6112" w:author="AbbVie02no" w:date="2025-05-15T13:45:00Z">
                <w:pPr/>
              </w:pPrChange>
            </w:pPr>
          </w:p>
        </w:tc>
      </w:tr>
      <w:tr w:rsidR="004644D4" w14:paraId="6D7AE898" w14:textId="5055F917" w:rsidTr="00032240">
        <w:trPr>
          <w:del w:id="6113" w:author="AbbVie02no" w:date="2025-05-15T13:45:00Z"/>
        </w:trPr>
        <w:tc>
          <w:tcPr>
            <w:tcW w:w="3079" w:type="dxa"/>
          </w:tcPr>
          <w:p w14:paraId="6945B60B" w14:textId="7B2492AC" w:rsidR="006C4FDE" w:rsidRPr="009C5EFD" w:rsidRDefault="00E453CD">
            <w:pPr>
              <w:keepNext/>
              <w:suppressAutoHyphens/>
              <w:rPr>
                <w:del w:id="6114" w:author="AbbVie02no" w:date="2025-05-15T13:45:00Z"/>
                <w:sz w:val="22"/>
                <w:szCs w:val="22"/>
              </w:rPr>
              <w:pPrChange w:id="6115" w:author="AbbVie02no" w:date="2025-05-15T13:45:00Z">
                <w:pPr/>
              </w:pPrChange>
            </w:pPr>
            <w:del w:id="6116" w:author="AbbVie02no" w:date="2025-05-15T13:45:00Z">
              <w:r w:rsidRPr="009C5EFD">
                <w:rPr>
                  <w:sz w:val="22"/>
                  <w:szCs w:val="22"/>
                </w:rPr>
                <w:delText>Lidelser i kjønnsorganer og brystsykdommer</w:delText>
              </w:r>
            </w:del>
          </w:p>
          <w:p w14:paraId="3265C433" w14:textId="451BDC13" w:rsidR="006C4FDE" w:rsidRPr="009C5EFD" w:rsidRDefault="006C4FDE">
            <w:pPr>
              <w:keepNext/>
              <w:suppressAutoHyphens/>
              <w:rPr>
                <w:del w:id="6117" w:author="AbbVie02no" w:date="2025-05-15T13:45:00Z"/>
                <w:sz w:val="22"/>
                <w:szCs w:val="22"/>
              </w:rPr>
              <w:pPrChange w:id="6118" w:author="AbbVie02no" w:date="2025-05-15T13:45:00Z">
                <w:pPr/>
              </w:pPrChange>
            </w:pPr>
          </w:p>
        </w:tc>
        <w:tc>
          <w:tcPr>
            <w:tcW w:w="1682" w:type="dxa"/>
          </w:tcPr>
          <w:p w14:paraId="0524AA34" w14:textId="3EDF1650" w:rsidR="006C4FDE" w:rsidRPr="009C5EFD" w:rsidRDefault="00E453CD">
            <w:pPr>
              <w:keepNext/>
              <w:suppressAutoHyphens/>
              <w:rPr>
                <w:del w:id="6119" w:author="AbbVie02no" w:date="2025-05-15T13:45:00Z"/>
                <w:sz w:val="22"/>
                <w:szCs w:val="22"/>
              </w:rPr>
              <w:pPrChange w:id="6120" w:author="AbbVie02no" w:date="2025-05-15T13:45:00Z">
                <w:pPr/>
              </w:pPrChange>
            </w:pPr>
            <w:del w:id="6121" w:author="AbbVie02no" w:date="2025-05-15T13:45:00Z">
              <w:r w:rsidRPr="009C5EFD">
                <w:rPr>
                  <w:sz w:val="22"/>
                  <w:szCs w:val="22"/>
                </w:rPr>
                <w:delText>Mindre vanlige</w:delText>
              </w:r>
            </w:del>
          </w:p>
        </w:tc>
        <w:tc>
          <w:tcPr>
            <w:tcW w:w="4294" w:type="dxa"/>
          </w:tcPr>
          <w:p w14:paraId="6AA23FEA" w14:textId="1DCCAEAE" w:rsidR="006C4FDE" w:rsidRPr="009C5EFD" w:rsidRDefault="00E453CD">
            <w:pPr>
              <w:keepNext/>
              <w:suppressAutoHyphens/>
              <w:rPr>
                <w:del w:id="6122" w:author="AbbVie02no" w:date="2025-05-15T13:45:00Z"/>
                <w:sz w:val="22"/>
                <w:szCs w:val="22"/>
              </w:rPr>
              <w:pPrChange w:id="6123" w:author="AbbVie02no" w:date="2025-05-15T13:45:00Z">
                <w:pPr/>
              </w:pPrChange>
            </w:pPr>
            <w:del w:id="6124" w:author="AbbVie02no" w:date="2025-05-15T13:45:00Z">
              <w:r w:rsidRPr="009C5EFD">
                <w:rPr>
                  <w:sz w:val="22"/>
                  <w:szCs w:val="22"/>
                </w:rPr>
                <w:delText>Erektil dysfunksjon</w:delText>
              </w:r>
            </w:del>
          </w:p>
        </w:tc>
      </w:tr>
      <w:tr w:rsidR="004644D4" w14:paraId="320787E1" w14:textId="6872A0C2" w:rsidTr="00032240">
        <w:trPr>
          <w:del w:id="6125" w:author="AbbVie02no" w:date="2025-05-15T13:45:00Z"/>
        </w:trPr>
        <w:tc>
          <w:tcPr>
            <w:tcW w:w="3079" w:type="dxa"/>
            <w:vMerge w:val="restart"/>
          </w:tcPr>
          <w:p w14:paraId="1F3A0156" w14:textId="2F020850" w:rsidR="006C4FDE" w:rsidRPr="009C5EFD" w:rsidRDefault="00E453CD">
            <w:pPr>
              <w:keepNext/>
              <w:suppressAutoHyphens/>
              <w:rPr>
                <w:del w:id="6126" w:author="AbbVie02no" w:date="2025-05-15T13:45:00Z"/>
                <w:sz w:val="22"/>
                <w:szCs w:val="22"/>
              </w:rPr>
              <w:pPrChange w:id="6127" w:author="AbbVie02no" w:date="2025-05-15T13:45:00Z">
                <w:pPr/>
              </w:pPrChange>
            </w:pPr>
            <w:del w:id="6128" w:author="AbbVie02no" w:date="2025-05-15T13:45:00Z">
              <w:r w:rsidRPr="009C5EFD">
                <w:rPr>
                  <w:sz w:val="22"/>
                  <w:szCs w:val="22"/>
                </w:rPr>
                <w:delText>Generelle lidelser og reaksjoner på administrasjonsstedet*</w:delText>
              </w:r>
            </w:del>
          </w:p>
          <w:p w14:paraId="0F520C4C" w14:textId="7C05A14D" w:rsidR="006C4FDE" w:rsidRPr="009C5EFD" w:rsidRDefault="006C4FDE">
            <w:pPr>
              <w:keepNext/>
              <w:suppressAutoHyphens/>
              <w:rPr>
                <w:del w:id="6129" w:author="AbbVie02no" w:date="2025-05-15T13:45:00Z"/>
                <w:sz w:val="22"/>
                <w:szCs w:val="22"/>
              </w:rPr>
              <w:pPrChange w:id="6130" w:author="AbbVie02no" w:date="2025-05-15T13:45:00Z">
                <w:pPr/>
              </w:pPrChange>
            </w:pPr>
          </w:p>
        </w:tc>
        <w:tc>
          <w:tcPr>
            <w:tcW w:w="1682" w:type="dxa"/>
          </w:tcPr>
          <w:p w14:paraId="59AE8118" w14:textId="3EFB9882" w:rsidR="006C4FDE" w:rsidRPr="009C5EFD" w:rsidRDefault="00E453CD">
            <w:pPr>
              <w:keepNext/>
              <w:suppressAutoHyphens/>
              <w:rPr>
                <w:del w:id="6131" w:author="AbbVie02no" w:date="2025-05-15T13:45:00Z"/>
                <w:sz w:val="22"/>
                <w:szCs w:val="22"/>
              </w:rPr>
              <w:pPrChange w:id="6132" w:author="AbbVie02no" w:date="2025-05-15T13:45:00Z">
                <w:pPr/>
              </w:pPrChange>
            </w:pPr>
            <w:del w:id="6133" w:author="AbbVie02no" w:date="2025-05-15T13:45:00Z">
              <w:r w:rsidRPr="009C5EFD">
                <w:rPr>
                  <w:sz w:val="22"/>
                  <w:szCs w:val="22"/>
                </w:rPr>
                <w:delText>Svært vanlige</w:delText>
              </w:r>
            </w:del>
          </w:p>
          <w:p w14:paraId="169B6C7C" w14:textId="55168DF7" w:rsidR="006C4FDE" w:rsidRPr="009C5EFD" w:rsidRDefault="006C4FDE">
            <w:pPr>
              <w:keepNext/>
              <w:suppressAutoHyphens/>
              <w:rPr>
                <w:del w:id="6134" w:author="AbbVie02no" w:date="2025-05-15T13:45:00Z"/>
                <w:sz w:val="22"/>
                <w:szCs w:val="22"/>
              </w:rPr>
              <w:pPrChange w:id="6135" w:author="AbbVie02no" w:date="2025-05-15T13:45:00Z">
                <w:pPr/>
              </w:pPrChange>
            </w:pPr>
          </w:p>
          <w:p w14:paraId="639D80B3" w14:textId="5D51154B" w:rsidR="006C4FDE" w:rsidRPr="009C5EFD" w:rsidRDefault="006C4FDE">
            <w:pPr>
              <w:keepNext/>
              <w:suppressAutoHyphens/>
              <w:rPr>
                <w:del w:id="6136" w:author="AbbVie02no" w:date="2025-05-15T13:45:00Z"/>
                <w:sz w:val="22"/>
                <w:szCs w:val="22"/>
              </w:rPr>
              <w:pPrChange w:id="6137" w:author="AbbVie02no" w:date="2025-05-15T13:45:00Z">
                <w:pPr/>
              </w:pPrChange>
            </w:pPr>
          </w:p>
        </w:tc>
        <w:tc>
          <w:tcPr>
            <w:tcW w:w="4294" w:type="dxa"/>
          </w:tcPr>
          <w:p w14:paraId="2C5F40F3" w14:textId="3CA96901" w:rsidR="006C4FDE" w:rsidRPr="009C5EFD" w:rsidRDefault="00E453CD">
            <w:pPr>
              <w:keepNext/>
              <w:suppressAutoHyphens/>
              <w:rPr>
                <w:del w:id="6138" w:author="AbbVie02no" w:date="2025-05-15T13:45:00Z"/>
                <w:sz w:val="22"/>
                <w:szCs w:val="22"/>
              </w:rPr>
              <w:pPrChange w:id="6139" w:author="AbbVie02no" w:date="2025-05-15T13:45:00Z">
                <w:pPr>
                  <w:autoSpaceDE w:val="0"/>
                  <w:autoSpaceDN w:val="0"/>
                  <w:adjustRightInd w:val="0"/>
                </w:pPr>
              </w:pPrChange>
            </w:pPr>
            <w:del w:id="6140" w:author="AbbVie02no" w:date="2025-05-15T13:45:00Z">
              <w:r w:rsidRPr="009C5EFD">
                <w:rPr>
                  <w:sz w:val="22"/>
                  <w:szCs w:val="22"/>
                </w:rPr>
                <w:delText>Reaksjoner på injeksjonsstedet (inkludert erytem på injeksjonsstedet)</w:delText>
              </w:r>
            </w:del>
          </w:p>
          <w:p w14:paraId="5D4B6FA9" w14:textId="4A2E2C9F" w:rsidR="006C4FDE" w:rsidRPr="001F5D4B" w:rsidRDefault="006C4FDE">
            <w:pPr>
              <w:keepNext/>
              <w:suppressAutoHyphens/>
              <w:rPr>
                <w:del w:id="6141" w:author="AbbVie02no" w:date="2025-05-15T13:45:00Z"/>
              </w:rPr>
              <w:pPrChange w:id="6142" w:author="AbbVie02no" w:date="2025-05-15T13:45:00Z">
                <w:pPr>
                  <w:pStyle w:val="Heading9"/>
                  <w:spacing w:before="0" w:after="0"/>
                </w:pPr>
              </w:pPrChange>
            </w:pPr>
          </w:p>
        </w:tc>
      </w:tr>
      <w:tr w:rsidR="004644D4" w14:paraId="7CBF9182" w14:textId="093D2C25" w:rsidTr="00032240">
        <w:trPr>
          <w:del w:id="6143" w:author="AbbVie02no" w:date="2025-05-15T13:45:00Z"/>
        </w:trPr>
        <w:tc>
          <w:tcPr>
            <w:tcW w:w="3079" w:type="dxa"/>
            <w:vMerge/>
          </w:tcPr>
          <w:p w14:paraId="65F48247" w14:textId="108E19E1" w:rsidR="006C4FDE" w:rsidRPr="009C5EFD" w:rsidRDefault="006C4FDE">
            <w:pPr>
              <w:keepNext/>
              <w:suppressAutoHyphens/>
              <w:rPr>
                <w:del w:id="6144" w:author="AbbVie02no" w:date="2025-05-15T13:45:00Z"/>
                <w:sz w:val="22"/>
                <w:szCs w:val="22"/>
              </w:rPr>
              <w:pPrChange w:id="6145" w:author="AbbVie02no" w:date="2025-05-15T13:45:00Z">
                <w:pPr/>
              </w:pPrChange>
            </w:pPr>
          </w:p>
        </w:tc>
        <w:tc>
          <w:tcPr>
            <w:tcW w:w="1682" w:type="dxa"/>
          </w:tcPr>
          <w:p w14:paraId="7036B8D4" w14:textId="71ABE3AE" w:rsidR="006C4FDE" w:rsidRPr="009C5EFD" w:rsidRDefault="00E453CD">
            <w:pPr>
              <w:keepNext/>
              <w:suppressAutoHyphens/>
              <w:rPr>
                <w:del w:id="6146" w:author="AbbVie02no" w:date="2025-05-15T13:45:00Z"/>
                <w:sz w:val="22"/>
                <w:szCs w:val="22"/>
              </w:rPr>
              <w:pPrChange w:id="6147" w:author="AbbVie02no" w:date="2025-05-15T13:45:00Z">
                <w:pPr/>
              </w:pPrChange>
            </w:pPr>
            <w:del w:id="6148" w:author="AbbVie02no" w:date="2025-05-15T13:45:00Z">
              <w:r w:rsidRPr="009C5EFD">
                <w:rPr>
                  <w:sz w:val="22"/>
                  <w:szCs w:val="22"/>
                </w:rPr>
                <w:delText>Vanlige</w:delText>
              </w:r>
            </w:del>
          </w:p>
          <w:p w14:paraId="7E5D9173" w14:textId="6A4A75E1" w:rsidR="006C4FDE" w:rsidRPr="009C5EFD" w:rsidRDefault="006C4FDE">
            <w:pPr>
              <w:keepNext/>
              <w:suppressAutoHyphens/>
              <w:rPr>
                <w:del w:id="6149" w:author="AbbVie02no" w:date="2025-05-15T13:45:00Z"/>
                <w:sz w:val="22"/>
                <w:szCs w:val="22"/>
              </w:rPr>
              <w:pPrChange w:id="6150" w:author="AbbVie02no" w:date="2025-05-15T13:45:00Z">
                <w:pPr/>
              </w:pPrChange>
            </w:pPr>
          </w:p>
        </w:tc>
        <w:tc>
          <w:tcPr>
            <w:tcW w:w="4294" w:type="dxa"/>
          </w:tcPr>
          <w:p w14:paraId="66A1F378" w14:textId="19BB5201" w:rsidR="006C4FDE" w:rsidRPr="009C5EFD" w:rsidRDefault="00E453CD">
            <w:pPr>
              <w:keepNext/>
              <w:suppressAutoHyphens/>
              <w:rPr>
                <w:del w:id="6151" w:author="AbbVie02no" w:date="2025-05-15T13:45:00Z"/>
                <w:sz w:val="22"/>
                <w:szCs w:val="22"/>
              </w:rPr>
              <w:pPrChange w:id="6152" w:author="AbbVie02no" w:date="2025-05-15T13:45:00Z">
                <w:pPr>
                  <w:autoSpaceDE w:val="0"/>
                  <w:autoSpaceDN w:val="0"/>
                  <w:adjustRightInd w:val="0"/>
                </w:pPr>
              </w:pPrChange>
            </w:pPr>
            <w:del w:id="6153" w:author="AbbVie02no" w:date="2025-05-15T13:45:00Z">
              <w:r w:rsidRPr="009C5EFD">
                <w:rPr>
                  <w:sz w:val="22"/>
                  <w:szCs w:val="22"/>
                </w:rPr>
                <w:delText>Brystsmerter, ødem, pyreksi</w:delText>
              </w:r>
              <w:r w:rsidRPr="009C5EFD">
                <w:rPr>
                  <w:sz w:val="22"/>
                  <w:szCs w:val="22"/>
                  <w:vertAlign w:val="superscript"/>
                </w:rPr>
                <w:delText>1)</w:delText>
              </w:r>
            </w:del>
          </w:p>
          <w:p w14:paraId="6E0624D2" w14:textId="4245C256" w:rsidR="006C4FDE" w:rsidRPr="009C5EFD" w:rsidRDefault="006C4FDE">
            <w:pPr>
              <w:keepNext/>
              <w:suppressAutoHyphens/>
              <w:rPr>
                <w:del w:id="6154" w:author="AbbVie02no" w:date="2025-05-15T13:45:00Z"/>
                <w:sz w:val="22"/>
                <w:szCs w:val="22"/>
              </w:rPr>
              <w:pPrChange w:id="6155" w:author="AbbVie02no" w:date="2025-05-15T13:45:00Z">
                <w:pPr>
                  <w:autoSpaceDE w:val="0"/>
                  <w:autoSpaceDN w:val="0"/>
                  <w:adjustRightInd w:val="0"/>
                </w:pPr>
              </w:pPrChange>
            </w:pPr>
          </w:p>
        </w:tc>
      </w:tr>
      <w:tr w:rsidR="004644D4" w14:paraId="04D30F54" w14:textId="18848E5C" w:rsidTr="00032240">
        <w:trPr>
          <w:del w:id="6156" w:author="AbbVie02no" w:date="2025-05-15T13:45:00Z"/>
        </w:trPr>
        <w:tc>
          <w:tcPr>
            <w:tcW w:w="3079" w:type="dxa"/>
            <w:vMerge/>
          </w:tcPr>
          <w:p w14:paraId="5C3E26EE" w14:textId="0AD34530" w:rsidR="006C4FDE" w:rsidRPr="009C5EFD" w:rsidRDefault="006C4FDE">
            <w:pPr>
              <w:keepNext/>
              <w:suppressAutoHyphens/>
              <w:rPr>
                <w:del w:id="6157" w:author="AbbVie02no" w:date="2025-05-15T13:45:00Z"/>
                <w:sz w:val="22"/>
                <w:szCs w:val="22"/>
              </w:rPr>
              <w:pPrChange w:id="6158" w:author="AbbVie02no" w:date="2025-05-15T13:45:00Z">
                <w:pPr/>
              </w:pPrChange>
            </w:pPr>
          </w:p>
        </w:tc>
        <w:tc>
          <w:tcPr>
            <w:tcW w:w="1682" w:type="dxa"/>
          </w:tcPr>
          <w:p w14:paraId="5768584B" w14:textId="5830F968" w:rsidR="006C4FDE" w:rsidRPr="009C5EFD" w:rsidRDefault="00E453CD">
            <w:pPr>
              <w:keepNext/>
              <w:suppressAutoHyphens/>
              <w:rPr>
                <w:del w:id="6159" w:author="AbbVie02no" w:date="2025-05-15T13:45:00Z"/>
                <w:sz w:val="22"/>
                <w:szCs w:val="22"/>
              </w:rPr>
              <w:pPrChange w:id="6160" w:author="AbbVie02no" w:date="2025-05-15T13:45:00Z">
                <w:pPr/>
              </w:pPrChange>
            </w:pPr>
            <w:del w:id="6161" w:author="AbbVie02no" w:date="2025-05-15T13:45:00Z">
              <w:r w:rsidRPr="009C5EFD">
                <w:rPr>
                  <w:sz w:val="22"/>
                  <w:szCs w:val="22"/>
                </w:rPr>
                <w:delText>Mindre vanlige</w:delText>
              </w:r>
            </w:del>
          </w:p>
        </w:tc>
        <w:tc>
          <w:tcPr>
            <w:tcW w:w="4294" w:type="dxa"/>
          </w:tcPr>
          <w:p w14:paraId="59101B4C" w14:textId="5A6F371B" w:rsidR="006C4FDE" w:rsidRPr="009C5EFD" w:rsidRDefault="00E453CD">
            <w:pPr>
              <w:keepNext/>
              <w:suppressAutoHyphens/>
              <w:rPr>
                <w:del w:id="6162" w:author="AbbVie02no" w:date="2025-05-15T13:45:00Z"/>
              </w:rPr>
              <w:pPrChange w:id="6163" w:author="AbbVie02no" w:date="2025-05-15T13:45:00Z">
                <w:pPr>
                  <w:pStyle w:val="Heading9"/>
                  <w:spacing w:before="0" w:after="0"/>
                </w:pPr>
              </w:pPrChange>
            </w:pPr>
            <w:del w:id="6164" w:author="AbbVie02no" w:date="2025-05-15T13:45:00Z">
              <w:r w:rsidRPr="009C5EFD">
                <w:delText xml:space="preserve">Inflammasjon </w:delText>
              </w:r>
            </w:del>
          </w:p>
          <w:p w14:paraId="59F41B95" w14:textId="77A1E2BE" w:rsidR="006C4FDE" w:rsidRPr="009C5EFD" w:rsidRDefault="006C4FDE">
            <w:pPr>
              <w:keepNext/>
              <w:suppressAutoHyphens/>
              <w:rPr>
                <w:del w:id="6165" w:author="AbbVie02no" w:date="2025-05-15T13:45:00Z"/>
                <w:sz w:val="22"/>
                <w:szCs w:val="22"/>
              </w:rPr>
              <w:pPrChange w:id="6166" w:author="AbbVie02no" w:date="2025-05-15T13:45:00Z">
                <w:pPr>
                  <w:autoSpaceDE w:val="0"/>
                  <w:autoSpaceDN w:val="0"/>
                  <w:adjustRightInd w:val="0"/>
                </w:pPr>
              </w:pPrChange>
            </w:pPr>
          </w:p>
        </w:tc>
      </w:tr>
      <w:tr w:rsidR="004644D4" w14:paraId="6D1D3EA0" w14:textId="4D0CCABC" w:rsidTr="00032240">
        <w:trPr>
          <w:del w:id="6167" w:author="AbbVie02no" w:date="2025-05-15T13:45:00Z"/>
        </w:trPr>
        <w:tc>
          <w:tcPr>
            <w:tcW w:w="3079" w:type="dxa"/>
            <w:vMerge w:val="restart"/>
          </w:tcPr>
          <w:p w14:paraId="2FFFC815" w14:textId="7108D442" w:rsidR="00915892" w:rsidRPr="009C5EFD" w:rsidRDefault="00E453CD">
            <w:pPr>
              <w:keepNext/>
              <w:suppressAutoHyphens/>
              <w:rPr>
                <w:del w:id="6168" w:author="AbbVie02no" w:date="2025-05-15T13:45:00Z"/>
                <w:sz w:val="22"/>
                <w:szCs w:val="22"/>
              </w:rPr>
              <w:pPrChange w:id="6169" w:author="AbbVie02no" w:date="2025-05-15T13:45:00Z">
                <w:pPr/>
              </w:pPrChange>
            </w:pPr>
            <w:del w:id="6170" w:author="AbbVie02no" w:date="2025-05-15T13:45:00Z">
              <w:r w:rsidRPr="009C5EFD">
                <w:rPr>
                  <w:sz w:val="22"/>
                  <w:szCs w:val="22"/>
                </w:rPr>
                <w:delText>Undersøkelser*</w:delText>
              </w:r>
            </w:del>
          </w:p>
        </w:tc>
        <w:tc>
          <w:tcPr>
            <w:tcW w:w="1682" w:type="dxa"/>
          </w:tcPr>
          <w:p w14:paraId="02AB9ACF" w14:textId="47CEC88C" w:rsidR="00915892" w:rsidRPr="009C5EFD" w:rsidRDefault="00E453CD">
            <w:pPr>
              <w:keepNext/>
              <w:suppressAutoHyphens/>
              <w:rPr>
                <w:del w:id="6171" w:author="AbbVie02no" w:date="2025-05-15T13:45:00Z"/>
                <w:szCs w:val="22"/>
              </w:rPr>
              <w:pPrChange w:id="6172" w:author="AbbVie02no" w:date="2025-05-15T13:45:00Z">
                <w:pPr>
                  <w:pStyle w:val="EndnoteText"/>
                  <w:tabs>
                    <w:tab w:val="clear" w:pos="567"/>
                  </w:tabs>
                </w:pPr>
              </w:pPrChange>
            </w:pPr>
            <w:del w:id="6173" w:author="AbbVie02no" w:date="2025-05-15T13:45:00Z">
              <w:r w:rsidRPr="009C5EFD">
                <w:rPr>
                  <w:szCs w:val="22"/>
                </w:rPr>
                <w:delText>Vanlige</w:delText>
              </w:r>
            </w:del>
          </w:p>
          <w:p w14:paraId="0C5EAE20" w14:textId="62F06B77" w:rsidR="00915892" w:rsidRPr="009C5EFD" w:rsidRDefault="00915892">
            <w:pPr>
              <w:keepNext/>
              <w:suppressAutoHyphens/>
              <w:rPr>
                <w:del w:id="6174" w:author="AbbVie02no" w:date="2025-05-15T13:45:00Z"/>
                <w:sz w:val="22"/>
                <w:szCs w:val="22"/>
              </w:rPr>
              <w:pPrChange w:id="6175" w:author="AbbVie02no" w:date="2025-05-15T13:45:00Z">
                <w:pPr/>
              </w:pPrChange>
            </w:pPr>
          </w:p>
        </w:tc>
        <w:tc>
          <w:tcPr>
            <w:tcW w:w="4294" w:type="dxa"/>
          </w:tcPr>
          <w:p w14:paraId="274ABA93" w14:textId="429048C7" w:rsidR="00915892" w:rsidRPr="009C5EFD" w:rsidRDefault="00E453CD">
            <w:pPr>
              <w:keepNext/>
              <w:suppressAutoHyphens/>
              <w:rPr>
                <w:del w:id="6176" w:author="AbbVie02no" w:date="2025-05-15T13:45:00Z"/>
                <w:sz w:val="22"/>
                <w:szCs w:val="22"/>
              </w:rPr>
              <w:pPrChange w:id="6177" w:author="AbbVie02no" w:date="2025-05-15T13:45:00Z">
                <w:pPr>
                  <w:autoSpaceDE w:val="0"/>
                  <w:autoSpaceDN w:val="0"/>
                  <w:adjustRightInd w:val="0"/>
                </w:pPr>
              </w:pPrChange>
            </w:pPr>
            <w:del w:id="6178" w:author="AbbVie02no" w:date="2025-05-15T13:45:00Z">
              <w:r w:rsidRPr="009C5EFD">
                <w:rPr>
                  <w:sz w:val="22"/>
                  <w:szCs w:val="22"/>
                </w:rPr>
                <w:delText>Koagulasjons- og blødningsforstyrrelser (inkludert forlenget aktivert partiell tromboplastintid), positiv test på autoantistoff (inkludert dobbel</w:delText>
              </w:r>
              <w:r>
                <w:rPr>
                  <w:sz w:val="22"/>
                  <w:szCs w:val="22"/>
                </w:rPr>
                <w:delText>t</w:delText>
              </w:r>
              <w:r w:rsidRPr="009C5EFD">
                <w:rPr>
                  <w:sz w:val="22"/>
                  <w:szCs w:val="22"/>
                </w:rPr>
                <w:delText>kjedet DNA</w:delText>
              </w:r>
              <w:r>
                <w:rPr>
                  <w:sz w:val="22"/>
                  <w:szCs w:val="22"/>
                </w:rPr>
                <w:delText xml:space="preserve"> antistoff</w:delText>
              </w:r>
              <w:r w:rsidRPr="009C5EFD">
                <w:rPr>
                  <w:sz w:val="22"/>
                  <w:szCs w:val="22"/>
                </w:rPr>
                <w:delText xml:space="preserve">), forhøyet laktatdehydrogenase i blod </w:delText>
              </w:r>
            </w:del>
          </w:p>
          <w:p w14:paraId="78E465AB" w14:textId="3444C380" w:rsidR="00915892" w:rsidRPr="009C5EFD" w:rsidRDefault="00915892">
            <w:pPr>
              <w:keepNext/>
              <w:suppressAutoHyphens/>
              <w:rPr>
                <w:del w:id="6179" w:author="AbbVie02no" w:date="2025-05-15T13:45:00Z"/>
                <w:szCs w:val="22"/>
              </w:rPr>
              <w:pPrChange w:id="6180" w:author="AbbVie02no" w:date="2025-05-15T13:45:00Z">
                <w:pPr>
                  <w:pStyle w:val="EndnoteText"/>
                  <w:tabs>
                    <w:tab w:val="clear" w:pos="567"/>
                  </w:tabs>
                </w:pPr>
              </w:pPrChange>
            </w:pPr>
          </w:p>
        </w:tc>
      </w:tr>
      <w:tr w:rsidR="004644D4" w14:paraId="5706C409" w14:textId="2AD5456E" w:rsidTr="00915892">
        <w:trPr>
          <w:del w:id="6181" w:author="AbbVie02no" w:date="2025-05-15T13:45:00Z"/>
        </w:trPr>
        <w:tc>
          <w:tcPr>
            <w:tcW w:w="3079" w:type="dxa"/>
            <w:vMerge/>
          </w:tcPr>
          <w:p w14:paraId="15F87F22" w14:textId="7ECA61D7" w:rsidR="00915892" w:rsidRPr="009C5EFD" w:rsidRDefault="00915892">
            <w:pPr>
              <w:keepNext/>
              <w:suppressAutoHyphens/>
              <w:rPr>
                <w:del w:id="6182" w:author="AbbVie02no" w:date="2025-05-15T13:45:00Z"/>
                <w:sz w:val="22"/>
                <w:szCs w:val="22"/>
              </w:rPr>
              <w:pPrChange w:id="6183" w:author="AbbVie02no" w:date="2025-05-15T13:45:00Z">
                <w:pPr/>
              </w:pPrChange>
            </w:pPr>
          </w:p>
        </w:tc>
        <w:tc>
          <w:tcPr>
            <w:tcW w:w="1682" w:type="dxa"/>
          </w:tcPr>
          <w:p w14:paraId="7931EA54" w14:textId="03A468B1" w:rsidR="00915892" w:rsidRPr="009C5EFD" w:rsidRDefault="00E453CD">
            <w:pPr>
              <w:keepNext/>
              <w:suppressAutoHyphens/>
              <w:rPr>
                <w:del w:id="6184" w:author="AbbVie02no" w:date="2025-05-15T13:45:00Z"/>
                <w:szCs w:val="22"/>
              </w:rPr>
              <w:pPrChange w:id="6185" w:author="AbbVie02no" w:date="2025-05-15T13:45:00Z">
                <w:pPr>
                  <w:pStyle w:val="EndnoteText"/>
                  <w:tabs>
                    <w:tab w:val="clear" w:pos="567"/>
                  </w:tabs>
                </w:pPr>
              </w:pPrChange>
            </w:pPr>
            <w:del w:id="6186" w:author="AbbVie02no" w:date="2025-05-15T13:45:00Z">
              <w:r>
                <w:rPr>
                  <w:szCs w:val="22"/>
                </w:rPr>
                <w:delText>Ikke kjent</w:delText>
              </w:r>
            </w:del>
          </w:p>
        </w:tc>
        <w:tc>
          <w:tcPr>
            <w:tcW w:w="4294" w:type="dxa"/>
          </w:tcPr>
          <w:p w14:paraId="0AF79473" w14:textId="530CBDAC" w:rsidR="00915892" w:rsidRPr="009C5EFD" w:rsidRDefault="00E453CD">
            <w:pPr>
              <w:keepNext/>
              <w:suppressAutoHyphens/>
              <w:rPr>
                <w:del w:id="6187" w:author="AbbVie02no" w:date="2025-05-15T13:45:00Z"/>
                <w:sz w:val="22"/>
                <w:szCs w:val="22"/>
              </w:rPr>
              <w:pPrChange w:id="6188" w:author="AbbVie02no" w:date="2025-05-15T13:45:00Z">
                <w:pPr>
                  <w:autoSpaceDE w:val="0"/>
                  <w:autoSpaceDN w:val="0"/>
                  <w:adjustRightInd w:val="0"/>
                </w:pPr>
              </w:pPrChange>
            </w:pPr>
            <w:del w:id="6189" w:author="AbbVie02no" w:date="2025-05-15T13:45:00Z">
              <w:r>
                <w:rPr>
                  <w:sz w:val="22"/>
                  <w:szCs w:val="22"/>
                </w:rPr>
                <w:delText>Økt vekt</w:delText>
              </w:r>
              <w:r w:rsidRPr="00910EAF">
                <w:rPr>
                  <w:sz w:val="22"/>
                  <w:szCs w:val="22"/>
                  <w:vertAlign w:val="superscript"/>
                </w:rPr>
                <w:delText>2)</w:delText>
              </w:r>
            </w:del>
          </w:p>
        </w:tc>
      </w:tr>
      <w:tr w:rsidR="004644D4" w14:paraId="0ADC2F4D" w14:textId="1998B8DA" w:rsidTr="00032240">
        <w:trPr>
          <w:del w:id="6190" w:author="AbbVie02no" w:date="2025-05-15T13:45:00Z"/>
        </w:trPr>
        <w:tc>
          <w:tcPr>
            <w:tcW w:w="3079" w:type="dxa"/>
          </w:tcPr>
          <w:p w14:paraId="399B7951" w14:textId="5C0CE3BA" w:rsidR="006C4FDE" w:rsidRPr="009C5EFD" w:rsidRDefault="00E453CD">
            <w:pPr>
              <w:keepNext/>
              <w:suppressAutoHyphens/>
              <w:rPr>
                <w:del w:id="6191" w:author="AbbVie02no" w:date="2025-05-15T13:45:00Z"/>
                <w:sz w:val="22"/>
                <w:szCs w:val="22"/>
              </w:rPr>
              <w:pPrChange w:id="6192" w:author="AbbVie02no" w:date="2025-05-15T13:45:00Z">
                <w:pPr>
                  <w:keepNext/>
                </w:pPr>
              </w:pPrChange>
            </w:pPr>
            <w:del w:id="6193" w:author="AbbVie02no" w:date="2025-05-15T13:45:00Z">
              <w:r w:rsidRPr="009C5EFD">
                <w:rPr>
                  <w:sz w:val="22"/>
                  <w:szCs w:val="22"/>
                </w:rPr>
                <w:delText>Skader, forgiftninger og prosedyrerelaterte bivirkninger</w:delText>
              </w:r>
            </w:del>
          </w:p>
        </w:tc>
        <w:tc>
          <w:tcPr>
            <w:tcW w:w="1682" w:type="dxa"/>
          </w:tcPr>
          <w:p w14:paraId="1C89EF6C" w14:textId="2C29D146" w:rsidR="006C4FDE" w:rsidRPr="009C5EFD" w:rsidRDefault="00E453CD">
            <w:pPr>
              <w:keepNext/>
              <w:suppressAutoHyphens/>
              <w:rPr>
                <w:del w:id="6194" w:author="AbbVie02no" w:date="2025-05-15T13:45:00Z"/>
                <w:sz w:val="22"/>
                <w:szCs w:val="22"/>
              </w:rPr>
              <w:pPrChange w:id="6195" w:author="AbbVie02no" w:date="2025-05-15T13:45:00Z">
                <w:pPr/>
              </w:pPrChange>
            </w:pPr>
            <w:del w:id="6196" w:author="AbbVie02no" w:date="2025-05-15T13:45:00Z">
              <w:r w:rsidRPr="009C5EFD">
                <w:rPr>
                  <w:sz w:val="22"/>
                  <w:szCs w:val="22"/>
                </w:rPr>
                <w:delText>Vanlige</w:delText>
              </w:r>
            </w:del>
          </w:p>
        </w:tc>
        <w:tc>
          <w:tcPr>
            <w:tcW w:w="4294" w:type="dxa"/>
          </w:tcPr>
          <w:p w14:paraId="72B2B149" w14:textId="52A7181A" w:rsidR="006C4FDE" w:rsidRPr="009C5EFD" w:rsidRDefault="00E453CD">
            <w:pPr>
              <w:keepNext/>
              <w:suppressAutoHyphens/>
              <w:rPr>
                <w:del w:id="6197" w:author="AbbVie02no" w:date="2025-05-15T13:45:00Z"/>
                <w:sz w:val="22"/>
                <w:szCs w:val="22"/>
              </w:rPr>
              <w:pPrChange w:id="6198" w:author="AbbVie02no" w:date="2025-05-15T13:45:00Z">
                <w:pPr>
                  <w:autoSpaceDE w:val="0"/>
                  <w:autoSpaceDN w:val="0"/>
                  <w:adjustRightInd w:val="0"/>
                </w:pPr>
              </w:pPrChange>
            </w:pPr>
            <w:del w:id="6199" w:author="AbbVie02no" w:date="2025-05-15T13:45:00Z">
              <w:r>
                <w:rPr>
                  <w:sz w:val="22"/>
                  <w:szCs w:val="22"/>
                </w:rPr>
                <w:delText>Nedsatt</w:delText>
              </w:r>
              <w:r w:rsidRPr="009C5EFD">
                <w:rPr>
                  <w:sz w:val="22"/>
                  <w:szCs w:val="22"/>
                </w:rPr>
                <w:delText xml:space="preserve"> tilhelning </w:delText>
              </w:r>
            </w:del>
          </w:p>
          <w:p w14:paraId="4C48406B" w14:textId="6F548C56" w:rsidR="006C4FDE" w:rsidRPr="009C5EFD" w:rsidRDefault="006C4FDE">
            <w:pPr>
              <w:keepNext/>
              <w:suppressAutoHyphens/>
              <w:rPr>
                <w:del w:id="6200" w:author="AbbVie02no" w:date="2025-05-15T13:45:00Z"/>
                <w:sz w:val="22"/>
                <w:szCs w:val="22"/>
              </w:rPr>
              <w:pPrChange w:id="6201" w:author="AbbVie02no" w:date="2025-05-15T13:45:00Z">
                <w:pPr/>
              </w:pPrChange>
            </w:pPr>
          </w:p>
        </w:tc>
      </w:tr>
    </w:tbl>
    <w:p w14:paraId="3C0F5C10" w14:textId="0EC88FB2" w:rsidR="002303FD" w:rsidRPr="009C5EFD" w:rsidRDefault="00E453CD">
      <w:pPr>
        <w:keepNext/>
        <w:suppressAutoHyphens/>
        <w:rPr>
          <w:del w:id="6202" w:author="AbbVie02no" w:date="2025-05-15T13:45:00Z"/>
          <w:sz w:val="22"/>
          <w:szCs w:val="22"/>
        </w:rPr>
        <w:pPrChange w:id="6203" w:author="AbbVie02no" w:date="2025-05-15T13:45:00Z">
          <w:pPr/>
        </w:pPrChange>
      </w:pPr>
      <w:del w:id="6204" w:author="AbbVie02no" w:date="2025-05-15T13:45:00Z">
        <w:r w:rsidRPr="009C5EFD">
          <w:rPr>
            <w:sz w:val="22"/>
            <w:szCs w:val="22"/>
          </w:rPr>
          <w:delText xml:space="preserve">* ytterligere informasjon </w:delText>
        </w:r>
        <w:r w:rsidR="00EB064E" w:rsidRPr="009C5EFD">
          <w:rPr>
            <w:sz w:val="22"/>
            <w:szCs w:val="22"/>
          </w:rPr>
          <w:delText xml:space="preserve">finnes </w:delText>
        </w:r>
        <w:r w:rsidRPr="009C5EFD">
          <w:rPr>
            <w:sz w:val="22"/>
            <w:szCs w:val="22"/>
          </w:rPr>
          <w:delText xml:space="preserve">i </w:delText>
        </w:r>
        <w:r w:rsidR="00ED6DD4">
          <w:rPr>
            <w:sz w:val="22"/>
            <w:szCs w:val="22"/>
          </w:rPr>
          <w:delText>pkt.</w:delText>
        </w:r>
        <w:r w:rsidRPr="009C5EFD">
          <w:rPr>
            <w:sz w:val="22"/>
            <w:szCs w:val="22"/>
          </w:rPr>
          <w:delText xml:space="preserve"> 4.3, 4.4. og 4.8</w:delText>
        </w:r>
      </w:del>
    </w:p>
    <w:p w14:paraId="344BA968" w14:textId="4E5BE8A7" w:rsidR="002303FD" w:rsidRPr="009C5EFD" w:rsidRDefault="00E453CD">
      <w:pPr>
        <w:keepNext/>
        <w:suppressAutoHyphens/>
        <w:rPr>
          <w:del w:id="6205" w:author="AbbVie02no" w:date="2025-05-15T13:45:00Z"/>
          <w:sz w:val="22"/>
          <w:szCs w:val="22"/>
        </w:rPr>
        <w:pPrChange w:id="6206" w:author="AbbVie02no" w:date="2025-05-15T13:45:00Z">
          <w:pPr/>
        </w:pPrChange>
      </w:pPr>
      <w:del w:id="6207" w:author="AbbVie02no" w:date="2025-05-15T13:45:00Z">
        <w:r w:rsidRPr="009C5EFD">
          <w:rPr>
            <w:sz w:val="22"/>
            <w:szCs w:val="22"/>
          </w:rPr>
          <w:delText xml:space="preserve">** </w:delText>
        </w:r>
        <w:r w:rsidR="00F4792F" w:rsidRPr="009C5EFD">
          <w:rPr>
            <w:sz w:val="22"/>
            <w:szCs w:val="22"/>
          </w:rPr>
          <w:delText>inkludert</w:delText>
        </w:r>
        <w:r w:rsidRPr="009C5EFD">
          <w:rPr>
            <w:sz w:val="22"/>
            <w:szCs w:val="22"/>
          </w:rPr>
          <w:delText xml:space="preserve"> </w:delText>
        </w:r>
        <w:r w:rsidR="00ED6DD4">
          <w:rPr>
            <w:sz w:val="22"/>
            <w:szCs w:val="22"/>
          </w:rPr>
          <w:delText>åpne forlengelsesstudier</w:delText>
        </w:r>
      </w:del>
    </w:p>
    <w:p w14:paraId="55AEBB38" w14:textId="0A2D7B5E" w:rsidR="002303FD" w:rsidRPr="009C5EFD" w:rsidRDefault="00E453CD">
      <w:pPr>
        <w:keepNext/>
        <w:suppressAutoHyphens/>
        <w:rPr>
          <w:del w:id="6208" w:author="AbbVie02no" w:date="2025-05-15T13:45:00Z"/>
          <w:sz w:val="22"/>
          <w:szCs w:val="22"/>
        </w:rPr>
        <w:pPrChange w:id="6209" w:author="AbbVie02no" w:date="2025-05-15T13:45:00Z">
          <w:pPr/>
        </w:pPrChange>
      </w:pPr>
      <w:del w:id="6210" w:author="AbbVie02no" w:date="2025-05-15T13:45:00Z">
        <w:r w:rsidRPr="009C5EFD">
          <w:rPr>
            <w:sz w:val="22"/>
            <w:szCs w:val="22"/>
            <w:vertAlign w:val="superscript"/>
          </w:rPr>
          <w:delText>1)</w:delText>
        </w:r>
        <w:r w:rsidRPr="009C5EFD">
          <w:rPr>
            <w:sz w:val="22"/>
            <w:szCs w:val="22"/>
          </w:rPr>
          <w:delText xml:space="preserve"> inkluderer data fra spontanrapportering</w:delText>
        </w:r>
      </w:del>
    </w:p>
    <w:p w14:paraId="2B513547" w14:textId="195DD10D" w:rsidR="0094707B" w:rsidRPr="00E57788" w:rsidRDefault="00E453CD">
      <w:pPr>
        <w:keepNext/>
        <w:suppressAutoHyphens/>
        <w:rPr>
          <w:del w:id="6211" w:author="AbbVie02no" w:date="2025-05-15T13:45:00Z"/>
          <w:sz w:val="20"/>
        </w:rPr>
        <w:pPrChange w:id="6212" w:author="AbbVie02no" w:date="2025-05-15T13:45:00Z">
          <w:pPr>
            <w:pStyle w:val="Heading8"/>
            <w:keepNext w:val="0"/>
          </w:pPr>
        </w:pPrChange>
      </w:pPr>
      <w:del w:id="6213" w:author="AbbVie02no" w:date="2025-05-15T13:45:00Z">
        <w:r w:rsidRPr="00E57788">
          <w:rPr>
            <w:szCs w:val="22"/>
            <w:vertAlign w:val="superscript"/>
          </w:rPr>
          <w:delText>2)</w:delText>
        </w:r>
        <w:r w:rsidRPr="00E57788">
          <w:rPr>
            <w:szCs w:val="22"/>
          </w:rPr>
          <w:delText xml:space="preserve"> I løpet av en behandlingsperiode på 4-6 uker lå den gjennomsnittlige vektendringen fra utgangspunktet på mellom 0,3 kg og 1,0 kg for adalimumab sammenlignet med mellom -0,4 kg og 0,4 kg for placebo ved indikasjoner til voksne. En vektøkning på 5-6 kg er også observert i langtids utvidelsesstudier med gjennomsnittlig eksponeringstid på omtrent 1-2 år uten kontrollgruppe, spesielt hos pasienter med Crohns sykdom og ulcerøs kolitt. Mekanismen bak denne effekten er uklar, men kan ha sammenheng med adalimumabs antiinflammatoriske virkning.</w:delText>
        </w:r>
      </w:del>
    </w:p>
    <w:p w14:paraId="6575A7C7" w14:textId="3F299AFE" w:rsidR="00B64797" w:rsidRPr="00B64797" w:rsidRDefault="00B64797">
      <w:pPr>
        <w:keepNext/>
        <w:suppressAutoHyphens/>
        <w:rPr>
          <w:del w:id="6214" w:author="AbbVie02no" w:date="2025-05-15T13:45:00Z"/>
        </w:rPr>
        <w:pPrChange w:id="6215" w:author="AbbVie02no" w:date="2025-05-15T13:45:00Z">
          <w:pPr/>
        </w:pPrChange>
      </w:pPr>
    </w:p>
    <w:p w14:paraId="6DB265F7" w14:textId="3DCDCB8C" w:rsidR="00607588" w:rsidRPr="001F5D4B" w:rsidRDefault="00E453CD">
      <w:pPr>
        <w:keepNext/>
        <w:suppressAutoHyphens/>
        <w:rPr>
          <w:del w:id="6216" w:author="AbbVie02no" w:date="2025-05-15T13:45:00Z"/>
          <w:szCs w:val="22"/>
          <w:u w:val="single"/>
        </w:rPr>
        <w:pPrChange w:id="6217" w:author="AbbVie02no" w:date="2025-05-15T13:45:00Z">
          <w:pPr>
            <w:pStyle w:val="EMEANormal"/>
            <w:keepNext/>
          </w:pPr>
        </w:pPrChange>
      </w:pPr>
      <w:del w:id="6218" w:author="AbbVie02no" w:date="2025-05-15T13:45:00Z">
        <w:r w:rsidRPr="007F67EE">
          <w:rPr>
            <w:szCs w:val="22"/>
            <w:u w:val="single"/>
          </w:rPr>
          <w:delText>Hidrosadenitt</w:delText>
        </w:r>
      </w:del>
    </w:p>
    <w:p w14:paraId="6FFEAB6A" w14:textId="1B0688B0" w:rsidR="00607588" w:rsidRPr="007F67EE" w:rsidRDefault="00607588">
      <w:pPr>
        <w:keepNext/>
        <w:suppressAutoHyphens/>
        <w:rPr>
          <w:del w:id="6219" w:author="AbbVie02no" w:date="2025-05-15T13:45:00Z"/>
          <w:sz w:val="22"/>
          <w:szCs w:val="22"/>
        </w:rPr>
        <w:pPrChange w:id="6220" w:author="AbbVie02no" w:date="2025-05-15T13:45:00Z">
          <w:pPr>
            <w:keepNext/>
          </w:pPr>
        </w:pPrChange>
      </w:pPr>
    </w:p>
    <w:p w14:paraId="1802F6EC" w14:textId="3C68E84A" w:rsidR="00607588" w:rsidRDefault="00E453CD">
      <w:pPr>
        <w:keepNext/>
        <w:suppressAutoHyphens/>
        <w:rPr>
          <w:del w:id="6221" w:author="AbbVie02no" w:date="2025-05-15T13:45:00Z"/>
          <w:sz w:val="22"/>
          <w:szCs w:val="22"/>
        </w:rPr>
        <w:pPrChange w:id="6222" w:author="AbbVie02no" w:date="2025-05-15T13:45:00Z">
          <w:pPr/>
        </w:pPrChange>
      </w:pPr>
      <w:del w:id="6223" w:author="AbbVie02no" w:date="2025-05-15T13:45:00Z">
        <w:r w:rsidRPr="00193D76">
          <w:rPr>
            <w:sz w:val="22"/>
            <w:szCs w:val="22"/>
          </w:rPr>
          <w:delText>Sikkerhetsprofilen for pasienter med HS</w:delText>
        </w:r>
        <w:r w:rsidRPr="002D0790">
          <w:rPr>
            <w:sz w:val="22"/>
            <w:szCs w:val="22"/>
          </w:rPr>
          <w:delText xml:space="preserve"> behandlet med Humira ukentlig er i overensstemmelse med den kjente sikkerhetsprofilen til Humira.</w:delText>
        </w:r>
      </w:del>
    </w:p>
    <w:p w14:paraId="44C7877D" w14:textId="1FA43D98" w:rsidR="002B1E38" w:rsidRDefault="002B1E38">
      <w:pPr>
        <w:keepNext/>
        <w:suppressAutoHyphens/>
        <w:rPr>
          <w:del w:id="6224" w:author="AbbVie02no" w:date="2025-05-15T13:45:00Z"/>
          <w:sz w:val="22"/>
          <w:szCs w:val="22"/>
        </w:rPr>
        <w:pPrChange w:id="6225" w:author="AbbVie02no" w:date="2025-05-15T13:45:00Z">
          <w:pPr/>
        </w:pPrChange>
      </w:pPr>
    </w:p>
    <w:p w14:paraId="35A59263" w14:textId="5A8D8E05" w:rsidR="002B1E38" w:rsidRPr="001F5D4B" w:rsidRDefault="00E453CD">
      <w:pPr>
        <w:keepNext/>
        <w:suppressAutoHyphens/>
        <w:rPr>
          <w:del w:id="6226" w:author="AbbVie02no" w:date="2025-05-15T13:45:00Z"/>
          <w:szCs w:val="22"/>
          <w:u w:val="single"/>
        </w:rPr>
        <w:pPrChange w:id="6227" w:author="AbbVie02no" w:date="2025-05-15T13:45:00Z">
          <w:pPr>
            <w:pStyle w:val="EMEANormal"/>
            <w:keepNext/>
          </w:pPr>
        </w:pPrChange>
      </w:pPr>
      <w:del w:id="6228" w:author="AbbVie02no" w:date="2025-05-15T13:45:00Z">
        <w:r>
          <w:rPr>
            <w:szCs w:val="22"/>
            <w:u w:val="single"/>
          </w:rPr>
          <w:delText>Uveitt</w:delText>
        </w:r>
      </w:del>
    </w:p>
    <w:p w14:paraId="2BEDC0D9" w14:textId="038E3C8C" w:rsidR="002B1E38" w:rsidRPr="007F67EE" w:rsidRDefault="002B1E38">
      <w:pPr>
        <w:keepNext/>
        <w:suppressAutoHyphens/>
        <w:rPr>
          <w:del w:id="6229" w:author="AbbVie02no" w:date="2025-05-15T13:45:00Z"/>
          <w:sz w:val="22"/>
          <w:szCs w:val="22"/>
        </w:rPr>
        <w:pPrChange w:id="6230" w:author="AbbVie02no" w:date="2025-05-15T13:45:00Z">
          <w:pPr>
            <w:keepNext/>
          </w:pPr>
        </w:pPrChange>
      </w:pPr>
    </w:p>
    <w:p w14:paraId="5B0C195A" w14:textId="104E6578" w:rsidR="002B1E38" w:rsidRPr="00E14E58" w:rsidRDefault="00E453CD">
      <w:pPr>
        <w:keepNext/>
        <w:suppressAutoHyphens/>
        <w:rPr>
          <w:del w:id="6231" w:author="AbbVie02no" w:date="2025-05-15T13:45:00Z"/>
          <w:sz w:val="22"/>
          <w:szCs w:val="22"/>
        </w:rPr>
        <w:pPrChange w:id="6232" w:author="AbbVie02no" w:date="2025-05-15T13:45:00Z">
          <w:pPr/>
        </w:pPrChange>
      </w:pPr>
      <w:del w:id="6233" w:author="AbbVie02no" w:date="2025-05-15T13:45:00Z">
        <w:r w:rsidRPr="00193D76">
          <w:rPr>
            <w:sz w:val="22"/>
            <w:szCs w:val="22"/>
          </w:rPr>
          <w:delText xml:space="preserve">Sikkerhetsprofilen for pasienter med </w:delText>
        </w:r>
        <w:r>
          <w:rPr>
            <w:sz w:val="22"/>
            <w:szCs w:val="22"/>
          </w:rPr>
          <w:delText>uveitt</w:delText>
        </w:r>
        <w:r w:rsidRPr="002D0790">
          <w:rPr>
            <w:sz w:val="22"/>
            <w:szCs w:val="22"/>
          </w:rPr>
          <w:delText xml:space="preserve"> behandlet med Humira </w:delText>
        </w:r>
        <w:r>
          <w:rPr>
            <w:sz w:val="22"/>
            <w:szCs w:val="22"/>
          </w:rPr>
          <w:delText>annenhver uke</w:delText>
        </w:r>
        <w:r w:rsidRPr="002D0790">
          <w:rPr>
            <w:sz w:val="22"/>
            <w:szCs w:val="22"/>
          </w:rPr>
          <w:delText xml:space="preserve"> er i overensstemmelse med den kjente sikkerhetsprofilen til Humira.</w:delText>
        </w:r>
      </w:del>
    </w:p>
    <w:p w14:paraId="7A356756" w14:textId="2A97597A" w:rsidR="00607588" w:rsidRPr="009C5EFD" w:rsidRDefault="00607588">
      <w:pPr>
        <w:keepNext/>
        <w:suppressAutoHyphens/>
        <w:rPr>
          <w:del w:id="6234" w:author="AbbVie02no" w:date="2025-05-15T13:45:00Z"/>
          <w:sz w:val="22"/>
          <w:szCs w:val="22"/>
        </w:rPr>
        <w:pPrChange w:id="6235" w:author="AbbVie02no" w:date="2025-05-15T13:45:00Z">
          <w:pPr/>
        </w:pPrChange>
      </w:pPr>
    </w:p>
    <w:p w14:paraId="6DCA3FAE" w14:textId="27D5DEA1" w:rsidR="003F7E45" w:rsidRPr="009C5EFD" w:rsidRDefault="00E453CD">
      <w:pPr>
        <w:keepNext/>
        <w:suppressAutoHyphens/>
        <w:rPr>
          <w:del w:id="6236" w:author="AbbVie02no" w:date="2025-05-15T13:45:00Z"/>
          <w:szCs w:val="22"/>
        </w:rPr>
        <w:pPrChange w:id="6237" w:author="AbbVie02no" w:date="2025-05-15T13:45:00Z">
          <w:pPr>
            <w:pStyle w:val="Heading8"/>
          </w:pPr>
        </w:pPrChange>
      </w:pPr>
      <w:del w:id="6238" w:author="AbbVie02no" w:date="2025-05-15T13:45:00Z">
        <w:r w:rsidRPr="009C5EFD">
          <w:rPr>
            <w:szCs w:val="22"/>
          </w:rPr>
          <w:delText>Beskrivelse av utvalgte bivirkninger</w:delText>
        </w:r>
      </w:del>
    </w:p>
    <w:p w14:paraId="02F9F6B8" w14:textId="52CA9A1C" w:rsidR="003F7E45" w:rsidRPr="009C5EFD" w:rsidRDefault="003F7E45">
      <w:pPr>
        <w:keepNext/>
        <w:suppressAutoHyphens/>
        <w:rPr>
          <w:del w:id="6239" w:author="AbbVie02no" w:date="2025-05-15T13:45:00Z"/>
          <w:szCs w:val="22"/>
        </w:rPr>
        <w:pPrChange w:id="6240" w:author="AbbVie02no" w:date="2025-05-15T13:45:00Z">
          <w:pPr>
            <w:pStyle w:val="Heading8"/>
          </w:pPr>
        </w:pPrChange>
      </w:pPr>
    </w:p>
    <w:p w14:paraId="4A7A91BD" w14:textId="71221DE6" w:rsidR="00DE3458" w:rsidRPr="001F5D4B" w:rsidRDefault="00E453CD">
      <w:pPr>
        <w:keepNext/>
        <w:suppressAutoHyphens/>
        <w:rPr>
          <w:del w:id="6241" w:author="AbbVie02no" w:date="2025-05-15T13:45:00Z"/>
          <w:i/>
          <w:szCs w:val="22"/>
        </w:rPr>
        <w:pPrChange w:id="6242" w:author="AbbVie02no" w:date="2025-05-15T13:45:00Z">
          <w:pPr>
            <w:pStyle w:val="Heading8"/>
          </w:pPr>
        </w:pPrChange>
      </w:pPr>
      <w:del w:id="6243" w:author="AbbVie02no" w:date="2025-05-15T13:45:00Z">
        <w:r w:rsidRPr="001F5D4B">
          <w:rPr>
            <w:i/>
            <w:szCs w:val="22"/>
          </w:rPr>
          <w:delText>Reaksjoner på injeksjonsstedet</w:delText>
        </w:r>
      </w:del>
    </w:p>
    <w:p w14:paraId="5B35CF89" w14:textId="44E1FC69" w:rsidR="00DE3458" w:rsidRPr="007F67EE" w:rsidRDefault="00DE3458">
      <w:pPr>
        <w:keepNext/>
        <w:suppressAutoHyphens/>
        <w:rPr>
          <w:del w:id="6244" w:author="AbbVie02no" w:date="2025-05-15T13:45:00Z"/>
          <w:sz w:val="22"/>
          <w:szCs w:val="22"/>
        </w:rPr>
        <w:pPrChange w:id="6245" w:author="AbbVie02no" w:date="2025-05-15T13:45:00Z">
          <w:pPr>
            <w:keepNext/>
          </w:pPr>
        </w:pPrChange>
      </w:pPr>
    </w:p>
    <w:p w14:paraId="3A679D60" w14:textId="13F0C5A8" w:rsidR="00085BDB" w:rsidRPr="009C5EFD" w:rsidRDefault="00E453CD">
      <w:pPr>
        <w:keepNext/>
        <w:suppressAutoHyphens/>
        <w:rPr>
          <w:del w:id="6246" w:author="AbbVie02no" w:date="2025-05-15T13:45:00Z"/>
          <w:sz w:val="22"/>
          <w:szCs w:val="22"/>
        </w:rPr>
        <w:pPrChange w:id="6247" w:author="AbbVie02no" w:date="2025-05-15T13:45:00Z">
          <w:pPr/>
        </w:pPrChange>
      </w:pPr>
      <w:del w:id="6248" w:author="AbbVie02no" w:date="2025-05-15T13:45:00Z">
        <w:r w:rsidRPr="00193D76">
          <w:rPr>
            <w:sz w:val="22"/>
            <w:szCs w:val="22"/>
          </w:rPr>
          <w:delText xml:space="preserve">I de pivotale kontrollerte studiene </w:delText>
        </w:r>
        <w:r w:rsidR="009E68D4" w:rsidRPr="002D0790">
          <w:rPr>
            <w:sz w:val="22"/>
            <w:szCs w:val="22"/>
          </w:rPr>
          <w:delText xml:space="preserve">hos voksne og barn </w:delText>
        </w:r>
        <w:r w:rsidRPr="002D0790">
          <w:rPr>
            <w:sz w:val="22"/>
            <w:szCs w:val="22"/>
          </w:rPr>
          <w:delText xml:space="preserve">fikk </w:delText>
        </w:r>
        <w:r w:rsidR="00607588" w:rsidRPr="009C5EFD">
          <w:rPr>
            <w:sz w:val="22"/>
            <w:szCs w:val="22"/>
          </w:rPr>
          <w:delText>12,9</w:delText>
        </w:r>
        <w:r w:rsidR="009E68D4" w:rsidRPr="009C5EFD">
          <w:rPr>
            <w:sz w:val="22"/>
            <w:szCs w:val="22"/>
          </w:rPr>
          <w:delText xml:space="preserve"> </w:delText>
        </w:r>
        <w:r w:rsidRPr="009C5EFD">
          <w:rPr>
            <w:sz w:val="22"/>
            <w:szCs w:val="22"/>
          </w:rPr>
          <w:delText>% av pasientene som ble behandlet med Humira reaksjoner på injeksjonsstedet (erytem og/eller kløe, blødning, smerte</w:delText>
        </w:r>
        <w:r w:rsidR="0050576A">
          <w:rPr>
            <w:sz w:val="22"/>
            <w:szCs w:val="22"/>
          </w:rPr>
          <w:delText>r</w:delText>
        </w:r>
        <w:r w:rsidRPr="009C5EFD">
          <w:rPr>
            <w:sz w:val="22"/>
            <w:szCs w:val="22"/>
          </w:rPr>
          <w:delText xml:space="preserve"> eller hevelse), sammenlignet med </w:delText>
        </w:r>
        <w:r w:rsidR="006C4C99" w:rsidRPr="009C5EFD">
          <w:rPr>
            <w:sz w:val="22"/>
            <w:szCs w:val="22"/>
          </w:rPr>
          <w:delText>7,</w:delText>
        </w:r>
        <w:r w:rsidR="00BF29C0">
          <w:rPr>
            <w:sz w:val="22"/>
            <w:szCs w:val="22"/>
          </w:rPr>
          <w:delText>2</w:delText>
        </w:r>
        <w:r w:rsidR="00BF29C0" w:rsidRPr="009C5EFD">
          <w:rPr>
            <w:sz w:val="22"/>
            <w:szCs w:val="22"/>
          </w:rPr>
          <w:delText xml:space="preserve"> </w:delText>
        </w:r>
        <w:r w:rsidRPr="009C5EFD">
          <w:rPr>
            <w:sz w:val="22"/>
            <w:szCs w:val="22"/>
          </w:rPr>
          <w:delText xml:space="preserve">% av pasientene som fikk placebo eller aktiv kontroll. Det var oftest ikke nødvendig å seponere </w:delText>
        </w:r>
        <w:r w:rsidRPr="009C5EFD">
          <w:rPr>
            <w:color w:val="000000"/>
            <w:sz w:val="22"/>
            <w:szCs w:val="22"/>
          </w:rPr>
          <w:delText>legemidlet</w:delText>
        </w:r>
        <w:r w:rsidRPr="009C5EFD">
          <w:rPr>
            <w:sz w:val="22"/>
            <w:szCs w:val="22"/>
          </w:rPr>
          <w:delText xml:space="preserve"> på grunn av reaksjonen på injeksjonsstedet.</w:delText>
        </w:r>
      </w:del>
    </w:p>
    <w:p w14:paraId="340D4737" w14:textId="16DB67C5" w:rsidR="00085BDB" w:rsidRPr="009C5EFD" w:rsidRDefault="00085BDB">
      <w:pPr>
        <w:keepNext/>
        <w:suppressAutoHyphens/>
        <w:rPr>
          <w:del w:id="6249" w:author="AbbVie02no" w:date="2025-05-15T13:45:00Z"/>
          <w:sz w:val="22"/>
          <w:szCs w:val="22"/>
        </w:rPr>
        <w:pPrChange w:id="6250" w:author="AbbVie02no" w:date="2025-05-15T13:45:00Z">
          <w:pPr/>
        </w:pPrChange>
      </w:pPr>
    </w:p>
    <w:p w14:paraId="7C71CC90" w14:textId="0529E029" w:rsidR="00085BDB" w:rsidRPr="001F5D4B" w:rsidRDefault="00E453CD">
      <w:pPr>
        <w:keepNext/>
        <w:suppressAutoHyphens/>
        <w:rPr>
          <w:del w:id="6251" w:author="AbbVie02no" w:date="2025-05-15T13:45:00Z"/>
          <w:i/>
          <w:szCs w:val="22"/>
        </w:rPr>
        <w:pPrChange w:id="6252" w:author="AbbVie02no" w:date="2025-05-15T13:45:00Z">
          <w:pPr>
            <w:pStyle w:val="Heading8"/>
          </w:pPr>
        </w:pPrChange>
      </w:pPr>
      <w:del w:id="6253" w:author="AbbVie02no" w:date="2025-05-15T13:45:00Z">
        <w:r w:rsidRPr="001F5D4B">
          <w:rPr>
            <w:i/>
            <w:szCs w:val="22"/>
          </w:rPr>
          <w:delText>Infeksjoner</w:delText>
        </w:r>
      </w:del>
    </w:p>
    <w:p w14:paraId="34C1AA5F" w14:textId="328948DB" w:rsidR="00085BDB" w:rsidRPr="007F67EE" w:rsidRDefault="00085BDB">
      <w:pPr>
        <w:keepNext/>
        <w:suppressAutoHyphens/>
        <w:rPr>
          <w:del w:id="6254" w:author="AbbVie02no" w:date="2025-05-15T13:45:00Z"/>
          <w:sz w:val="22"/>
          <w:szCs w:val="22"/>
        </w:rPr>
        <w:pPrChange w:id="6255" w:author="AbbVie02no" w:date="2025-05-15T13:45:00Z">
          <w:pPr>
            <w:keepNext/>
          </w:pPr>
        </w:pPrChange>
      </w:pPr>
    </w:p>
    <w:p w14:paraId="04B1D44F" w14:textId="4677FF80" w:rsidR="00085BDB" w:rsidRPr="009C5EFD" w:rsidRDefault="00E453CD">
      <w:pPr>
        <w:keepNext/>
        <w:suppressAutoHyphens/>
        <w:rPr>
          <w:del w:id="6256" w:author="AbbVie02no" w:date="2025-05-15T13:45:00Z"/>
          <w:sz w:val="22"/>
          <w:szCs w:val="22"/>
        </w:rPr>
        <w:pPrChange w:id="6257" w:author="AbbVie02no" w:date="2025-05-15T13:45:00Z">
          <w:pPr/>
        </w:pPrChange>
      </w:pPr>
      <w:del w:id="6258" w:author="AbbVie02no" w:date="2025-05-15T13:45:00Z">
        <w:r w:rsidRPr="00193D76">
          <w:rPr>
            <w:sz w:val="22"/>
            <w:szCs w:val="22"/>
          </w:rPr>
          <w:delText xml:space="preserve">I de pivotale kontrollerte studiene </w:delText>
        </w:r>
        <w:r w:rsidR="009E68D4" w:rsidRPr="002D0790">
          <w:rPr>
            <w:sz w:val="22"/>
            <w:szCs w:val="22"/>
          </w:rPr>
          <w:delText xml:space="preserve">hos voksne og barn </w:delText>
        </w:r>
        <w:r w:rsidRPr="002D0790">
          <w:rPr>
            <w:sz w:val="22"/>
            <w:szCs w:val="22"/>
          </w:rPr>
          <w:delText xml:space="preserve">var </w:delText>
        </w:r>
        <w:r w:rsidRPr="00E14E58">
          <w:rPr>
            <w:color w:val="000000"/>
            <w:sz w:val="22"/>
            <w:szCs w:val="22"/>
          </w:rPr>
          <w:delText>infeksj</w:delText>
        </w:r>
        <w:r w:rsidRPr="009C5EFD">
          <w:rPr>
            <w:color w:val="000000"/>
            <w:sz w:val="22"/>
            <w:szCs w:val="22"/>
          </w:rPr>
          <w:delText>onsfrekvensen</w:delText>
        </w:r>
        <w:r w:rsidRPr="009C5EFD">
          <w:rPr>
            <w:sz w:val="22"/>
            <w:szCs w:val="22"/>
          </w:rPr>
          <w:delText xml:space="preserve"> 1,</w:delText>
        </w:r>
        <w:r w:rsidR="00682E30" w:rsidRPr="009C5EFD">
          <w:rPr>
            <w:sz w:val="22"/>
            <w:szCs w:val="22"/>
          </w:rPr>
          <w:delText>5</w:delText>
        </w:r>
        <w:r w:rsidR="00E3269E" w:rsidRPr="009C5EFD">
          <w:rPr>
            <w:sz w:val="22"/>
            <w:szCs w:val="22"/>
          </w:rPr>
          <w:delText>1</w:delText>
        </w:r>
        <w:r w:rsidR="00682E30" w:rsidRPr="009C5EFD">
          <w:rPr>
            <w:sz w:val="22"/>
            <w:szCs w:val="22"/>
          </w:rPr>
          <w:delText xml:space="preserve"> </w:delText>
        </w:r>
        <w:r w:rsidR="003721B0">
          <w:rPr>
            <w:sz w:val="22"/>
            <w:szCs w:val="22"/>
          </w:rPr>
          <w:delText>per</w:delText>
        </w:r>
        <w:r w:rsidRPr="009C5EFD">
          <w:rPr>
            <w:sz w:val="22"/>
            <w:szCs w:val="22"/>
          </w:rPr>
          <w:delText xml:space="preserve"> pasientår blant pasienter behandlet med Humira og 1,</w:delText>
        </w:r>
        <w:r w:rsidR="00682E30" w:rsidRPr="009C5EFD">
          <w:rPr>
            <w:sz w:val="22"/>
            <w:szCs w:val="22"/>
          </w:rPr>
          <w:delText>4</w:delText>
        </w:r>
        <w:r w:rsidR="00542916" w:rsidRPr="009C5EFD">
          <w:rPr>
            <w:sz w:val="22"/>
            <w:szCs w:val="22"/>
          </w:rPr>
          <w:delText>6</w:delText>
        </w:r>
        <w:r w:rsidR="00682E30" w:rsidRPr="009C5EFD">
          <w:rPr>
            <w:sz w:val="22"/>
            <w:szCs w:val="22"/>
          </w:rPr>
          <w:delText xml:space="preserve"> </w:delText>
        </w:r>
        <w:r w:rsidR="003721B0">
          <w:rPr>
            <w:sz w:val="22"/>
            <w:szCs w:val="22"/>
          </w:rPr>
          <w:delText>per</w:delText>
        </w:r>
        <w:r w:rsidRPr="009C5EFD">
          <w:rPr>
            <w:sz w:val="22"/>
            <w:szCs w:val="22"/>
          </w:rPr>
          <w:delText xml:space="preserve"> pasientår for </w:delText>
        </w:r>
        <w:r w:rsidR="003B49EC">
          <w:rPr>
            <w:sz w:val="22"/>
            <w:szCs w:val="22"/>
          </w:rPr>
          <w:delText>pasienter som fikk</w:delText>
        </w:r>
        <w:r w:rsidRPr="009C5EFD">
          <w:rPr>
            <w:sz w:val="22"/>
            <w:szCs w:val="22"/>
          </w:rPr>
          <w:delText xml:space="preserve"> placebo eller aktiv kontroll. Infeksjonene var primært nasofaryngitt, øvre luftveisinfeksjoner og </w:delText>
        </w:r>
        <w:r w:rsidR="00542916" w:rsidRPr="009C5EFD">
          <w:rPr>
            <w:sz w:val="22"/>
            <w:szCs w:val="22"/>
          </w:rPr>
          <w:delText>sinusitt</w:delText>
        </w:r>
        <w:r w:rsidRPr="009C5EFD">
          <w:rPr>
            <w:sz w:val="22"/>
            <w:szCs w:val="22"/>
          </w:rPr>
          <w:delText>. De fleste pasientene fortsatte behandling med Humira etter at infeksjonen var over.</w:delText>
        </w:r>
      </w:del>
    </w:p>
    <w:p w14:paraId="352A8D5A" w14:textId="0491BD2D" w:rsidR="00085BDB" w:rsidRPr="009C5EFD" w:rsidRDefault="00085BDB">
      <w:pPr>
        <w:keepNext/>
        <w:suppressAutoHyphens/>
        <w:rPr>
          <w:del w:id="6259" w:author="AbbVie02no" w:date="2025-05-15T13:45:00Z"/>
          <w:sz w:val="22"/>
          <w:szCs w:val="22"/>
        </w:rPr>
        <w:pPrChange w:id="6260" w:author="AbbVie02no" w:date="2025-05-15T13:45:00Z">
          <w:pPr/>
        </w:pPrChange>
      </w:pPr>
    </w:p>
    <w:p w14:paraId="3C7D8771" w14:textId="63B73642" w:rsidR="00085BDB" w:rsidRPr="009C5EFD" w:rsidRDefault="00E453CD">
      <w:pPr>
        <w:keepNext/>
        <w:suppressAutoHyphens/>
        <w:rPr>
          <w:del w:id="6261" w:author="AbbVie02no" w:date="2025-05-15T13:45:00Z"/>
          <w:sz w:val="22"/>
          <w:szCs w:val="22"/>
        </w:rPr>
        <w:pPrChange w:id="6262" w:author="AbbVie02no" w:date="2025-05-15T13:45:00Z">
          <w:pPr/>
        </w:pPrChange>
      </w:pPr>
      <w:del w:id="6263" w:author="AbbVie02no" w:date="2025-05-15T13:45:00Z">
        <w:r w:rsidRPr="009C5EFD">
          <w:rPr>
            <w:sz w:val="22"/>
            <w:szCs w:val="22"/>
          </w:rPr>
          <w:delText>Forekomsten av alvorlige infeksjoner var 0,0</w:delText>
        </w:r>
        <w:r w:rsidR="009E68D4" w:rsidRPr="009C5EFD">
          <w:rPr>
            <w:sz w:val="22"/>
            <w:szCs w:val="22"/>
          </w:rPr>
          <w:delText>4</w:delText>
        </w:r>
        <w:r w:rsidRPr="009C5EFD">
          <w:rPr>
            <w:sz w:val="22"/>
            <w:szCs w:val="22"/>
          </w:rPr>
          <w:delText xml:space="preserve"> </w:delText>
        </w:r>
        <w:r w:rsidR="003721B0">
          <w:rPr>
            <w:sz w:val="22"/>
            <w:szCs w:val="22"/>
          </w:rPr>
          <w:delText>per</w:delText>
        </w:r>
        <w:r w:rsidRPr="009C5EFD">
          <w:rPr>
            <w:sz w:val="22"/>
            <w:szCs w:val="22"/>
          </w:rPr>
          <w:delText xml:space="preserve"> pasientår blant Humira-behandlede pasienter og 0,03 </w:delText>
        </w:r>
        <w:r w:rsidR="003721B0">
          <w:rPr>
            <w:sz w:val="22"/>
            <w:szCs w:val="22"/>
          </w:rPr>
          <w:delText>per</w:delText>
        </w:r>
        <w:r w:rsidRPr="009C5EFD">
          <w:rPr>
            <w:sz w:val="22"/>
            <w:szCs w:val="22"/>
          </w:rPr>
          <w:delText xml:space="preserve"> pasientår blant </w:delText>
        </w:r>
        <w:r w:rsidR="003B49EC">
          <w:rPr>
            <w:sz w:val="22"/>
            <w:szCs w:val="22"/>
          </w:rPr>
          <w:delText>pasienter som fikk</w:delText>
        </w:r>
        <w:r w:rsidRPr="009C5EFD">
          <w:rPr>
            <w:sz w:val="22"/>
            <w:szCs w:val="22"/>
          </w:rPr>
          <w:delText xml:space="preserve"> placebo eller aktiv kontroll. </w:delText>
        </w:r>
      </w:del>
    </w:p>
    <w:p w14:paraId="36C1DA69" w14:textId="06A96CAE" w:rsidR="00085BDB" w:rsidRPr="009C5EFD" w:rsidRDefault="00085BDB">
      <w:pPr>
        <w:keepNext/>
        <w:suppressAutoHyphens/>
        <w:rPr>
          <w:del w:id="6264" w:author="AbbVie02no" w:date="2025-05-15T13:45:00Z"/>
          <w:sz w:val="22"/>
          <w:szCs w:val="22"/>
        </w:rPr>
        <w:pPrChange w:id="6265" w:author="AbbVie02no" w:date="2025-05-15T13:45:00Z">
          <w:pPr/>
        </w:pPrChange>
      </w:pPr>
    </w:p>
    <w:p w14:paraId="45E4B840" w14:textId="311CC653" w:rsidR="00085BDB" w:rsidRPr="009C5EFD" w:rsidRDefault="00E453CD">
      <w:pPr>
        <w:keepNext/>
        <w:suppressAutoHyphens/>
        <w:rPr>
          <w:del w:id="6266" w:author="AbbVie02no" w:date="2025-05-15T13:45:00Z"/>
          <w:sz w:val="22"/>
          <w:szCs w:val="22"/>
        </w:rPr>
        <w:pPrChange w:id="6267" w:author="AbbVie02no" w:date="2025-05-15T13:45:00Z">
          <w:pPr/>
        </w:pPrChange>
      </w:pPr>
      <w:del w:id="6268" w:author="AbbVie02no" w:date="2025-05-15T13:45:00Z">
        <w:r w:rsidRPr="009C5EFD">
          <w:rPr>
            <w:sz w:val="22"/>
            <w:szCs w:val="22"/>
          </w:rPr>
          <w:delText xml:space="preserve">I kontrollerte og åpne </w:delText>
        </w:r>
        <w:r w:rsidR="006E5C37">
          <w:rPr>
            <w:sz w:val="22"/>
            <w:szCs w:val="22"/>
          </w:rPr>
          <w:delText>studier hos</w:delText>
        </w:r>
        <w:r w:rsidRPr="009C5EFD">
          <w:rPr>
            <w:sz w:val="22"/>
            <w:szCs w:val="22"/>
          </w:rPr>
          <w:delText xml:space="preserve"> </w:delText>
        </w:r>
        <w:r w:rsidR="009E68D4" w:rsidRPr="009C5EFD">
          <w:rPr>
            <w:sz w:val="22"/>
            <w:szCs w:val="22"/>
          </w:rPr>
          <w:delText xml:space="preserve">voksne og pediatriske </w:delText>
        </w:r>
        <w:r w:rsidRPr="009C5EFD">
          <w:rPr>
            <w:sz w:val="22"/>
            <w:szCs w:val="22"/>
          </w:rPr>
          <w:delText xml:space="preserve">studier med Humira er det rapportert alvorlige infeksjoner (inkludert fatale reaksjoner, hvilket forekom sjeldent); tuberkulose (inkludert miliær og ekstrapulmonær lokalisasjon) og invasive opportunistiske infeksjoner (f eks disseminert eller ekstrapulmonal histoplasmose, blastomykose, koksidioidomykose, pneumocystose, </w:delText>
        </w:r>
        <w:r w:rsidR="00EB064E" w:rsidRPr="009C5EFD">
          <w:rPr>
            <w:sz w:val="22"/>
            <w:szCs w:val="22"/>
          </w:rPr>
          <w:delText>c</w:delText>
        </w:r>
        <w:r w:rsidRPr="009C5EFD">
          <w:rPr>
            <w:sz w:val="22"/>
            <w:szCs w:val="22"/>
          </w:rPr>
          <w:delText xml:space="preserve">andidiasis, </w:delText>
        </w:r>
        <w:r w:rsidRPr="009C5EFD">
          <w:rPr>
            <w:sz w:val="22"/>
            <w:szCs w:val="22"/>
          </w:rPr>
          <w:lastRenderedPageBreak/>
          <w:delText xml:space="preserve">aspergillose og listeriose). De fleste tilfellene av tuberkulose oppsto i løpet av de første åtte månedene etter behandlingsstart og kan reflektere </w:delText>
        </w:r>
        <w:r w:rsidR="00EB064E" w:rsidRPr="009C5EFD">
          <w:rPr>
            <w:sz w:val="22"/>
            <w:szCs w:val="22"/>
          </w:rPr>
          <w:delText>gjenoppblussing</w:delText>
        </w:r>
        <w:r w:rsidRPr="009C5EFD">
          <w:rPr>
            <w:sz w:val="22"/>
            <w:szCs w:val="22"/>
          </w:rPr>
          <w:delText xml:space="preserve"> av latent sykdom.</w:delText>
        </w:r>
      </w:del>
    </w:p>
    <w:p w14:paraId="727D3B60" w14:textId="37F12DBA" w:rsidR="00085BDB" w:rsidRPr="009C5EFD" w:rsidRDefault="00085BDB">
      <w:pPr>
        <w:keepNext/>
        <w:suppressAutoHyphens/>
        <w:rPr>
          <w:del w:id="6269" w:author="AbbVie02no" w:date="2025-05-15T13:45:00Z"/>
          <w:sz w:val="22"/>
          <w:szCs w:val="22"/>
        </w:rPr>
        <w:pPrChange w:id="6270" w:author="AbbVie02no" w:date="2025-05-15T13:45:00Z">
          <w:pPr/>
        </w:pPrChange>
      </w:pPr>
    </w:p>
    <w:p w14:paraId="495BC0B2" w14:textId="11635E49" w:rsidR="00085BDB" w:rsidRPr="001F5D4B" w:rsidRDefault="00E453CD">
      <w:pPr>
        <w:keepNext/>
        <w:suppressAutoHyphens/>
        <w:rPr>
          <w:del w:id="6271" w:author="AbbVie02no" w:date="2025-05-15T13:45:00Z"/>
          <w:i/>
          <w:szCs w:val="22"/>
        </w:rPr>
        <w:pPrChange w:id="6272" w:author="AbbVie02no" w:date="2025-05-15T13:45:00Z">
          <w:pPr>
            <w:pStyle w:val="Heading8"/>
          </w:pPr>
        </w:pPrChange>
      </w:pPr>
      <w:del w:id="6273" w:author="AbbVie02no" w:date="2025-05-15T13:45:00Z">
        <w:r w:rsidRPr="001F5D4B">
          <w:rPr>
            <w:i/>
            <w:szCs w:val="22"/>
          </w:rPr>
          <w:delText>Maligniteter og lymfoproliferative sykdommer</w:delText>
        </w:r>
      </w:del>
    </w:p>
    <w:p w14:paraId="5FFC3904" w14:textId="2C24D7C9" w:rsidR="00085BDB" w:rsidRPr="007F67EE" w:rsidRDefault="00085BDB">
      <w:pPr>
        <w:keepNext/>
        <w:suppressAutoHyphens/>
        <w:rPr>
          <w:del w:id="6274" w:author="AbbVie02no" w:date="2025-05-15T13:45:00Z"/>
          <w:sz w:val="22"/>
          <w:szCs w:val="22"/>
        </w:rPr>
        <w:pPrChange w:id="6275" w:author="AbbVie02no" w:date="2025-05-15T13:45:00Z">
          <w:pPr>
            <w:keepNext/>
          </w:pPr>
        </w:pPrChange>
      </w:pPr>
    </w:p>
    <w:p w14:paraId="6A242BD0" w14:textId="43D84B8D" w:rsidR="00F04C04" w:rsidRPr="009C5EFD" w:rsidRDefault="00E453CD">
      <w:pPr>
        <w:keepNext/>
        <w:suppressAutoHyphens/>
        <w:rPr>
          <w:del w:id="6276" w:author="AbbVie02no" w:date="2025-05-15T13:45:00Z"/>
          <w:sz w:val="22"/>
          <w:szCs w:val="22"/>
        </w:rPr>
        <w:pPrChange w:id="6277" w:author="AbbVie02no" w:date="2025-05-15T13:45:00Z">
          <w:pPr/>
        </w:pPrChange>
      </w:pPr>
      <w:del w:id="6278" w:author="AbbVie02no" w:date="2025-05-15T13:45:00Z">
        <w:r w:rsidRPr="00193D76">
          <w:rPr>
            <w:sz w:val="22"/>
            <w:szCs w:val="22"/>
          </w:rPr>
          <w:delText xml:space="preserve">Ingen maligniteter ble sett hos </w:delText>
        </w:r>
        <w:r w:rsidR="00244742" w:rsidRPr="002D0790">
          <w:rPr>
            <w:sz w:val="22"/>
            <w:szCs w:val="22"/>
          </w:rPr>
          <w:delText>249</w:delText>
        </w:r>
        <w:r w:rsidR="00F45B5C" w:rsidRPr="002D0790">
          <w:rPr>
            <w:sz w:val="22"/>
            <w:szCs w:val="22"/>
          </w:rPr>
          <w:delText xml:space="preserve"> </w:delText>
        </w:r>
        <w:r w:rsidR="00244742" w:rsidRPr="00E14E58">
          <w:rPr>
            <w:sz w:val="22"/>
            <w:szCs w:val="22"/>
          </w:rPr>
          <w:delText xml:space="preserve">pediatriske </w:delText>
        </w:r>
        <w:r w:rsidRPr="009C5EFD">
          <w:rPr>
            <w:sz w:val="22"/>
            <w:szCs w:val="22"/>
          </w:rPr>
          <w:delText xml:space="preserve">pasienter med en eksponering på </w:delText>
        </w:r>
        <w:r w:rsidR="00244742" w:rsidRPr="009C5EFD">
          <w:rPr>
            <w:sz w:val="22"/>
            <w:szCs w:val="22"/>
          </w:rPr>
          <w:delText>655,6</w:delText>
        </w:r>
        <w:r w:rsidRPr="009C5EFD">
          <w:rPr>
            <w:sz w:val="22"/>
            <w:szCs w:val="22"/>
          </w:rPr>
          <w:delText xml:space="preserve"> pasientår under klinisk</w:delText>
        </w:r>
        <w:r w:rsidR="00F45B5C" w:rsidRPr="009C5EFD">
          <w:rPr>
            <w:sz w:val="22"/>
            <w:szCs w:val="22"/>
          </w:rPr>
          <w:delText>e</w:delText>
        </w:r>
        <w:r w:rsidRPr="009C5EFD">
          <w:rPr>
            <w:sz w:val="22"/>
            <w:szCs w:val="22"/>
          </w:rPr>
          <w:delText xml:space="preserve"> studie</w:delText>
        </w:r>
        <w:r w:rsidR="00F45B5C" w:rsidRPr="009C5EFD">
          <w:rPr>
            <w:sz w:val="22"/>
            <w:szCs w:val="22"/>
          </w:rPr>
          <w:delText>r</w:delText>
        </w:r>
        <w:r w:rsidRPr="009C5EFD">
          <w:rPr>
            <w:sz w:val="22"/>
            <w:szCs w:val="22"/>
          </w:rPr>
          <w:delText xml:space="preserve"> med Humira hos pasienter med juvenil idiopatisk artritt</w:delText>
        </w:r>
        <w:r w:rsidR="00244742" w:rsidRPr="009C5EFD">
          <w:rPr>
            <w:sz w:val="22"/>
            <w:szCs w:val="22"/>
          </w:rPr>
          <w:delText xml:space="preserve"> (polyartikulær juvenil idiopatisk artritt og entesittrelatert artritt)</w:delText>
        </w:r>
        <w:r w:rsidRPr="009C5EFD">
          <w:rPr>
            <w:sz w:val="22"/>
            <w:szCs w:val="22"/>
          </w:rPr>
          <w:delText>.</w:delText>
        </w:r>
        <w:r w:rsidR="00997F34" w:rsidRPr="009C5EFD">
          <w:rPr>
            <w:sz w:val="22"/>
            <w:szCs w:val="22"/>
          </w:rPr>
          <w:delText xml:space="preserve"> I tillegg ble ingen maligniteter sett hos 192 pediatriske pasienter med en eksponering på </w:delText>
        </w:r>
        <w:r w:rsidR="002214FF">
          <w:rPr>
            <w:sz w:val="22"/>
            <w:szCs w:val="22"/>
          </w:rPr>
          <w:delText>498</w:delText>
        </w:r>
        <w:r w:rsidR="001440C4">
          <w:rPr>
            <w:sz w:val="22"/>
            <w:szCs w:val="22"/>
          </w:rPr>
          <w:delText>,1</w:delText>
        </w:r>
        <w:r w:rsidR="00997F34" w:rsidRPr="009C5EFD">
          <w:rPr>
            <w:sz w:val="22"/>
            <w:szCs w:val="22"/>
          </w:rPr>
          <w:delText xml:space="preserve"> pasientår under klinisk</w:delText>
        </w:r>
        <w:r w:rsidR="002214FF">
          <w:rPr>
            <w:sz w:val="22"/>
            <w:szCs w:val="22"/>
          </w:rPr>
          <w:delText>e</w:delText>
        </w:r>
        <w:r w:rsidR="00997F34" w:rsidRPr="009C5EFD">
          <w:rPr>
            <w:sz w:val="22"/>
            <w:szCs w:val="22"/>
          </w:rPr>
          <w:delText xml:space="preserve"> studie</w:delText>
        </w:r>
        <w:r w:rsidR="002214FF">
          <w:rPr>
            <w:sz w:val="22"/>
            <w:szCs w:val="22"/>
          </w:rPr>
          <w:delText>r</w:delText>
        </w:r>
        <w:r w:rsidR="00997F34" w:rsidRPr="009C5EFD">
          <w:rPr>
            <w:sz w:val="22"/>
            <w:szCs w:val="22"/>
          </w:rPr>
          <w:delText xml:space="preserve"> med Humira hos pediatriske pasienter med Crohns sykdom.</w:delText>
        </w:r>
        <w:r w:rsidR="00E3269E" w:rsidRPr="009C5EFD">
          <w:rPr>
            <w:sz w:val="22"/>
            <w:szCs w:val="22"/>
          </w:rPr>
          <w:delText xml:space="preserve"> Ingen maligniteter ble sett hos 77 pediatriske pasienter med en ekspon</w:delText>
        </w:r>
        <w:r w:rsidR="00E3269E" w:rsidRPr="008F0D97">
          <w:rPr>
            <w:sz w:val="22"/>
            <w:szCs w:val="22"/>
          </w:rPr>
          <w:delText>ering på 80,0 pasientår</w:delText>
        </w:r>
        <w:r w:rsidR="00122F38" w:rsidRPr="008F0D97">
          <w:rPr>
            <w:sz w:val="22"/>
            <w:szCs w:val="22"/>
          </w:rPr>
          <w:delText>,</w:delText>
        </w:r>
        <w:r w:rsidR="00E3269E" w:rsidRPr="008F0D97">
          <w:rPr>
            <w:sz w:val="22"/>
            <w:szCs w:val="22"/>
          </w:rPr>
          <w:delText xml:space="preserve"> under kliniske studier med Humira hos pediatriske pasienter med kronisk plakkpsoriasis.</w:delText>
        </w:r>
        <w:r w:rsidR="00F161EF" w:rsidRPr="008F0D97">
          <w:rPr>
            <w:sz w:val="22"/>
            <w:szCs w:val="22"/>
          </w:rPr>
          <w:delText xml:space="preserve"> </w:delText>
        </w:r>
        <w:r w:rsidR="00F47FD5">
          <w:rPr>
            <w:rStyle w:val="normaltextrun"/>
            <w:sz w:val="22"/>
            <w:shd w:val="clear" w:color="auto" w:fill="FFFFFF"/>
          </w:rPr>
          <w:delText>Det ble ikke observert</w:delText>
        </w:r>
        <w:r w:rsidR="00453936" w:rsidRPr="00E04B2A">
          <w:rPr>
            <w:rStyle w:val="normaltextrun"/>
            <w:sz w:val="22"/>
            <w:shd w:val="clear" w:color="auto" w:fill="FFFFFF"/>
          </w:rPr>
          <w:delText xml:space="preserve"> maligniteter hos 93 pediatriske pasienter med en eksponering på 65,3 pasientår under en Humira-studie </w:delText>
        </w:r>
        <w:r w:rsidR="00B1016F">
          <w:rPr>
            <w:rStyle w:val="normaltextrun"/>
            <w:sz w:val="22"/>
            <w:shd w:val="clear" w:color="auto" w:fill="FFFFFF"/>
          </w:rPr>
          <w:delText>hos</w:delText>
        </w:r>
        <w:r w:rsidR="00453936" w:rsidRPr="00E04B2A">
          <w:rPr>
            <w:rStyle w:val="normaltextrun"/>
            <w:sz w:val="22"/>
            <w:shd w:val="clear" w:color="auto" w:fill="FFFFFF"/>
          </w:rPr>
          <w:delText xml:space="preserve"> pediatriske pasienter med ulcerøs kolitt.</w:delText>
        </w:r>
        <w:r w:rsidR="008F0D97" w:rsidRPr="00E04B2A">
          <w:rPr>
            <w:rStyle w:val="normaltextrun"/>
            <w:sz w:val="22"/>
            <w:shd w:val="clear" w:color="auto" w:fill="FFFFFF"/>
          </w:rPr>
          <w:delText xml:space="preserve"> </w:delText>
        </w:r>
        <w:r w:rsidR="00F161EF">
          <w:rPr>
            <w:sz w:val="22"/>
            <w:szCs w:val="22"/>
          </w:rPr>
          <w:delText>Det ble ikke observert maligniteter hos 60 pediatriske pasienter med en eksponering på 58,4 pasientår under en Humira-studie hos pediatriske pasienter med uveitt.</w:delText>
        </w:r>
      </w:del>
    </w:p>
    <w:p w14:paraId="08B1B0D8" w14:textId="5BD7484C" w:rsidR="00542916" w:rsidRPr="009C5EFD" w:rsidRDefault="00542916">
      <w:pPr>
        <w:keepNext/>
        <w:suppressAutoHyphens/>
        <w:rPr>
          <w:del w:id="6279" w:author="AbbVie02no" w:date="2025-05-15T13:45:00Z"/>
          <w:sz w:val="22"/>
          <w:szCs w:val="22"/>
        </w:rPr>
        <w:pPrChange w:id="6280" w:author="AbbVie02no" w:date="2025-05-15T13:45:00Z">
          <w:pPr/>
        </w:pPrChange>
      </w:pPr>
    </w:p>
    <w:p w14:paraId="23D9FFA0" w14:textId="7BE35D77" w:rsidR="00C538C5" w:rsidRPr="009C5EFD" w:rsidRDefault="00E453CD">
      <w:pPr>
        <w:keepNext/>
        <w:suppressAutoHyphens/>
        <w:rPr>
          <w:del w:id="6281" w:author="AbbVie02no" w:date="2025-05-15T13:45:00Z"/>
          <w:sz w:val="22"/>
          <w:szCs w:val="22"/>
        </w:rPr>
        <w:pPrChange w:id="6282" w:author="AbbVie02no" w:date="2025-05-15T13:45:00Z">
          <w:pPr/>
        </w:pPrChange>
      </w:pPr>
      <w:del w:id="6283" w:author="AbbVie02no" w:date="2025-05-15T13:45:00Z">
        <w:r w:rsidRPr="009C5EFD">
          <w:rPr>
            <w:sz w:val="22"/>
            <w:szCs w:val="22"/>
          </w:rPr>
          <w:delText xml:space="preserve">Under de kontrollerte delene av pivotale kliniske studier </w:delText>
        </w:r>
        <w:r w:rsidRPr="009C5EFD">
          <w:rPr>
            <w:color w:val="000000"/>
            <w:sz w:val="22"/>
            <w:szCs w:val="22"/>
          </w:rPr>
          <w:delText xml:space="preserve">med Humira </w:delText>
        </w:r>
        <w:r w:rsidR="00997F34" w:rsidRPr="009C5EFD">
          <w:rPr>
            <w:color w:val="000000"/>
            <w:sz w:val="22"/>
            <w:szCs w:val="22"/>
          </w:rPr>
          <w:delText xml:space="preserve">hos voksne, </w:delText>
        </w:r>
        <w:r w:rsidRPr="009C5EFD">
          <w:rPr>
            <w:sz w:val="22"/>
            <w:szCs w:val="22"/>
          </w:rPr>
          <w:delText xml:space="preserve">som varte </w:delText>
        </w:r>
        <w:r w:rsidR="002E1902">
          <w:rPr>
            <w:sz w:val="22"/>
            <w:szCs w:val="22"/>
          </w:rPr>
          <w:delText>i</w:delText>
        </w:r>
        <w:r w:rsidRPr="009C5EFD">
          <w:rPr>
            <w:sz w:val="22"/>
            <w:szCs w:val="22"/>
          </w:rPr>
          <w:delText xml:space="preserve"> minimum 12 uker hos pasienter med moderat til alvorlig aktiv revmatoid artritt, ankyloserende spondylitt, </w:delText>
        </w:r>
        <w:r w:rsidR="003F21F6" w:rsidRPr="009C5EFD">
          <w:rPr>
            <w:sz w:val="22"/>
            <w:szCs w:val="22"/>
          </w:rPr>
          <w:delText xml:space="preserve">aksial spondylartritt uten </w:delText>
        </w:r>
        <w:r w:rsidR="00677BE5" w:rsidRPr="009C5EFD">
          <w:rPr>
            <w:sz w:val="22"/>
            <w:szCs w:val="22"/>
          </w:rPr>
          <w:delText>radiografisk bekreftelse</w:delText>
        </w:r>
        <w:r w:rsidR="003F21F6" w:rsidRPr="009C5EFD">
          <w:rPr>
            <w:sz w:val="22"/>
            <w:szCs w:val="22"/>
          </w:rPr>
          <w:delText xml:space="preserve"> på ankyloserende spondylitt, </w:delText>
        </w:r>
        <w:r w:rsidRPr="009C5EFD">
          <w:rPr>
            <w:sz w:val="22"/>
            <w:szCs w:val="22"/>
          </w:rPr>
          <w:delText xml:space="preserve">psoriasisartritt, psoriasis, </w:delText>
        </w:r>
        <w:r w:rsidR="007F67EE" w:rsidRPr="009C5EFD">
          <w:rPr>
            <w:sz w:val="22"/>
            <w:szCs w:val="22"/>
          </w:rPr>
          <w:delText>hidrosadenitt</w:delText>
        </w:r>
        <w:r w:rsidR="00542916" w:rsidRPr="009C5EFD">
          <w:rPr>
            <w:sz w:val="22"/>
            <w:szCs w:val="22"/>
          </w:rPr>
          <w:delText xml:space="preserve">, </w:delText>
        </w:r>
        <w:r w:rsidRPr="009C5EFD">
          <w:rPr>
            <w:sz w:val="22"/>
            <w:szCs w:val="22"/>
          </w:rPr>
          <w:delText>Crohns sykdom</w:delText>
        </w:r>
        <w:r w:rsidR="002838F8">
          <w:rPr>
            <w:sz w:val="22"/>
            <w:szCs w:val="22"/>
          </w:rPr>
          <w:delText>,</w:delText>
        </w:r>
        <w:r w:rsidRPr="009C5EFD">
          <w:rPr>
            <w:sz w:val="22"/>
            <w:szCs w:val="22"/>
          </w:rPr>
          <w:delText xml:space="preserve"> ulcerøs kolitt</w:delText>
        </w:r>
        <w:r w:rsidR="002838F8">
          <w:rPr>
            <w:sz w:val="22"/>
            <w:szCs w:val="22"/>
          </w:rPr>
          <w:delText xml:space="preserve"> og uveitt</w:delText>
        </w:r>
        <w:r w:rsidRPr="009C5EFD">
          <w:rPr>
            <w:sz w:val="22"/>
            <w:szCs w:val="22"/>
          </w:rPr>
          <w:delText xml:space="preserve">, var forekomsten (95 % konfidensintervall) av de observerte maligniteter, andre enn lymfomer og ikke-melanom hudkreft, </w:delText>
        </w:r>
        <w:r w:rsidR="002838F8">
          <w:rPr>
            <w:sz w:val="22"/>
            <w:szCs w:val="22"/>
          </w:rPr>
          <w:delText>6,8 (4,4, 10,</w:delText>
        </w:r>
        <w:r w:rsidR="002838F8" w:rsidRPr="002838F8">
          <w:rPr>
            <w:sz w:val="22"/>
            <w:szCs w:val="22"/>
          </w:rPr>
          <w:delText>5)</w:delText>
        </w:r>
        <w:r w:rsidRPr="009C5EFD">
          <w:rPr>
            <w:sz w:val="22"/>
            <w:szCs w:val="22"/>
          </w:rPr>
          <w:delText xml:space="preserve"> per 1000 pasientår blant </w:delText>
        </w:r>
        <w:r w:rsidR="002838F8">
          <w:rPr>
            <w:sz w:val="22"/>
            <w:szCs w:val="22"/>
          </w:rPr>
          <w:delText>5291</w:delText>
        </w:r>
        <w:r w:rsidR="00542916" w:rsidRPr="009C5EFD">
          <w:rPr>
            <w:sz w:val="22"/>
            <w:szCs w:val="22"/>
          </w:rPr>
          <w:delText xml:space="preserve"> </w:delText>
        </w:r>
        <w:r w:rsidRPr="009C5EFD">
          <w:rPr>
            <w:sz w:val="22"/>
            <w:szCs w:val="22"/>
          </w:rPr>
          <w:delText xml:space="preserve">pasienter som ble behandlet med Humira </w:delText>
        </w:r>
        <w:r w:rsidRPr="009C5EFD">
          <w:rPr>
            <w:i/>
            <w:sz w:val="22"/>
            <w:szCs w:val="22"/>
          </w:rPr>
          <w:delText>versus</w:delText>
        </w:r>
        <w:r w:rsidRPr="009C5EFD">
          <w:rPr>
            <w:sz w:val="22"/>
            <w:szCs w:val="22"/>
          </w:rPr>
          <w:delText xml:space="preserve"> </w:delText>
        </w:r>
        <w:r w:rsidR="002838F8">
          <w:rPr>
            <w:sz w:val="22"/>
            <w:szCs w:val="22"/>
          </w:rPr>
          <w:delText>6,</w:delText>
        </w:r>
        <w:r w:rsidR="002838F8" w:rsidRPr="002838F8">
          <w:rPr>
            <w:sz w:val="22"/>
            <w:szCs w:val="22"/>
          </w:rPr>
          <w:delText>3 (3</w:delText>
        </w:r>
        <w:r w:rsidR="002838F8">
          <w:rPr>
            <w:sz w:val="22"/>
            <w:szCs w:val="22"/>
          </w:rPr>
          <w:delText>,4, 11,</w:delText>
        </w:r>
        <w:r w:rsidR="002838F8" w:rsidRPr="002838F8">
          <w:rPr>
            <w:sz w:val="22"/>
            <w:szCs w:val="22"/>
          </w:rPr>
          <w:delText>8)</w:delText>
        </w:r>
        <w:r w:rsidRPr="009C5EFD">
          <w:rPr>
            <w:sz w:val="22"/>
            <w:szCs w:val="22"/>
          </w:rPr>
          <w:delText xml:space="preserve"> per 1000 pasientår blant </w:delText>
        </w:r>
        <w:r w:rsidR="002838F8">
          <w:rPr>
            <w:sz w:val="22"/>
            <w:szCs w:val="22"/>
          </w:rPr>
          <w:delText>3444</w:delText>
        </w:r>
        <w:r w:rsidR="00542916" w:rsidRPr="009C5EFD">
          <w:rPr>
            <w:sz w:val="22"/>
            <w:szCs w:val="22"/>
          </w:rPr>
          <w:delText xml:space="preserve"> </w:delText>
        </w:r>
        <w:r w:rsidRPr="009C5EFD">
          <w:rPr>
            <w:sz w:val="22"/>
            <w:szCs w:val="22"/>
          </w:rPr>
          <w:delText xml:space="preserve">pasienter i kontrollgruppen (gjennomsnittsvarighet for behandlingen var </w:delText>
        </w:r>
        <w:r w:rsidR="00162098" w:rsidRPr="009C5EFD">
          <w:rPr>
            <w:sz w:val="22"/>
            <w:szCs w:val="22"/>
          </w:rPr>
          <w:delText>4</w:delText>
        </w:r>
        <w:r w:rsidRPr="009C5EFD">
          <w:rPr>
            <w:sz w:val="22"/>
            <w:szCs w:val="22"/>
          </w:rPr>
          <w:delText>,</w:delText>
        </w:r>
        <w:r w:rsidR="00542916" w:rsidRPr="009C5EFD">
          <w:rPr>
            <w:sz w:val="22"/>
            <w:szCs w:val="22"/>
          </w:rPr>
          <w:delText>0</w:delText>
        </w:r>
        <w:r w:rsidRPr="009C5EFD">
          <w:rPr>
            <w:sz w:val="22"/>
            <w:szCs w:val="22"/>
          </w:rPr>
          <w:delText xml:space="preserve"> måneder for Humira og </w:delText>
        </w:r>
        <w:r w:rsidR="00542916" w:rsidRPr="009C5EFD">
          <w:rPr>
            <w:sz w:val="22"/>
            <w:szCs w:val="22"/>
          </w:rPr>
          <w:delText>3,</w:delText>
        </w:r>
        <w:r w:rsidR="002838F8">
          <w:rPr>
            <w:sz w:val="22"/>
            <w:szCs w:val="22"/>
          </w:rPr>
          <w:delText>8</w:delText>
        </w:r>
        <w:r w:rsidRPr="009C5EFD">
          <w:rPr>
            <w:sz w:val="22"/>
            <w:szCs w:val="22"/>
          </w:rPr>
          <w:delText xml:space="preserve"> måneder for pasienter i kontrollgruppen). Forekomsten (95 % konfidensintervall) for ikke-melanom hudkreft var </w:delText>
        </w:r>
        <w:r w:rsidR="002838F8">
          <w:rPr>
            <w:sz w:val="22"/>
            <w:szCs w:val="22"/>
          </w:rPr>
          <w:delText>8,8 (6,0, 13,</w:delText>
        </w:r>
        <w:r w:rsidR="002838F8" w:rsidRPr="002838F8">
          <w:rPr>
            <w:sz w:val="22"/>
            <w:szCs w:val="22"/>
          </w:rPr>
          <w:delText>0)</w:delText>
        </w:r>
        <w:r w:rsidRPr="009C5EFD">
          <w:rPr>
            <w:sz w:val="22"/>
            <w:szCs w:val="22"/>
          </w:rPr>
          <w:delText xml:space="preserve"> per 1000 pasientår blant pasienter som fikk Humira og </w:delText>
        </w:r>
        <w:r w:rsidR="00B700AF">
          <w:rPr>
            <w:sz w:val="22"/>
            <w:szCs w:val="22"/>
          </w:rPr>
          <w:delText>3,2 (1,3, 7,</w:delText>
        </w:r>
        <w:r w:rsidR="00B700AF" w:rsidRPr="00B700AF">
          <w:rPr>
            <w:sz w:val="22"/>
            <w:szCs w:val="22"/>
          </w:rPr>
          <w:delText>6)</w:delText>
        </w:r>
        <w:r w:rsidRPr="009C5EFD">
          <w:rPr>
            <w:sz w:val="22"/>
            <w:szCs w:val="22"/>
          </w:rPr>
          <w:delText xml:space="preserve"> per 1000 pasientår blant pasienter i kontrollgruppen. Av disse hudkrefttypene forekom (95 % konfidensintervall) plateepitelkarsinom med frekvensen </w:delText>
        </w:r>
        <w:r w:rsidR="00B700AF">
          <w:rPr>
            <w:sz w:val="22"/>
            <w:szCs w:val="22"/>
          </w:rPr>
          <w:delText>2,</w:delText>
        </w:r>
        <w:r w:rsidR="00B700AF" w:rsidRPr="00B700AF">
          <w:rPr>
            <w:sz w:val="22"/>
            <w:szCs w:val="22"/>
          </w:rPr>
          <w:delText>7 (1</w:delText>
        </w:r>
        <w:r w:rsidR="00B700AF">
          <w:rPr>
            <w:sz w:val="22"/>
            <w:szCs w:val="22"/>
          </w:rPr>
          <w:delText>,</w:delText>
        </w:r>
        <w:r w:rsidR="00B700AF" w:rsidRPr="00B700AF">
          <w:rPr>
            <w:sz w:val="22"/>
            <w:szCs w:val="22"/>
          </w:rPr>
          <w:delText>4, 5</w:delText>
        </w:r>
        <w:r w:rsidR="00B700AF">
          <w:rPr>
            <w:sz w:val="22"/>
            <w:szCs w:val="22"/>
          </w:rPr>
          <w:delText>,</w:delText>
        </w:r>
        <w:r w:rsidR="00B700AF" w:rsidRPr="00B700AF">
          <w:rPr>
            <w:sz w:val="22"/>
            <w:szCs w:val="22"/>
          </w:rPr>
          <w:delText>4)</w:delText>
        </w:r>
        <w:r w:rsidRPr="009C5EFD">
          <w:rPr>
            <w:sz w:val="22"/>
            <w:szCs w:val="22"/>
          </w:rPr>
          <w:delText xml:space="preserve"> per 1000 pasientår blant pasienter som fikk Humira og </w:delText>
        </w:r>
        <w:r w:rsidR="00B700AF">
          <w:rPr>
            <w:sz w:val="22"/>
            <w:szCs w:val="22"/>
          </w:rPr>
          <w:delText>0,</w:delText>
        </w:r>
        <w:r w:rsidR="00B700AF" w:rsidRPr="00B700AF">
          <w:rPr>
            <w:sz w:val="22"/>
            <w:szCs w:val="22"/>
          </w:rPr>
          <w:delText>6 (0</w:delText>
        </w:r>
        <w:r w:rsidR="00B700AF">
          <w:rPr>
            <w:sz w:val="22"/>
            <w:szCs w:val="22"/>
          </w:rPr>
          <w:delText>,</w:delText>
        </w:r>
        <w:r w:rsidR="00B700AF" w:rsidRPr="00B700AF">
          <w:rPr>
            <w:sz w:val="22"/>
            <w:szCs w:val="22"/>
          </w:rPr>
          <w:delText>1, 4</w:delText>
        </w:r>
        <w:r w:rsidR="00B700AF">
          <w:rPr>
            <w:sz w:val="22"/>
            <w:szCs w:val="22"/>
          </w:rPr>
          <w:delText>,</w:delText>
        </w:r>
        <w:r w:rsidR="00B700AF" w:rsidRPr="00B700AF">
          <w:rPr>
            <w:sz w:val="22"/>
            <w:szCs w:val="22"/>
          </w:rPr>
          <w:delText>5)</w:delText>
        </w:r>
        <w:r w:rsidRPr="009C5EFD">
          <w:rPr>
            <w:sz w:val="22"/>
            <w:szCs w:val="22"/>
          </w:rPr>
          <w:delText xml:space="preserve"> per </w:delText>
        </w:r>
        <w:r w:rsidR="00505EC9" w:rsidRPr="009C5EFD">
          <w:rPr>
            <w:sz w:val="22"/>
            <w:szCs w:val="22"/>
          </w:rPr>
          <w:delText xml:space="preserve">1000 </w:delText>
        </w:r>
        <w:r w:rsidRPr="009C5EFD">
          <w:rPr>
            <w:sz w:val="22"/>
            <w:szCs w:val="22"/>
          </w:rPr>
          <w:delText>pasientår blant pasienter i kontrollgruppen. Forekomsten (95 % konfidensintervall) for lymfomer var 0,</w:delText>
        </w:r>
        <w:r w:rsidR="00F04C04" w:rsidRPr="009C5EFD">
          <w:rPr>
            <w:sz w:val="22"/>
            <w:szCs w:val="22"/>
          </w:rPr>
          <w:delText xml:space="preserve">7 </w:delText>
        </w:r>
        <w:r w:rsidRPr="009C5EFD">
          <w:rPr>
            <w:sz w:val="22"/>
            <w:szCs w:val="22"/>
          </w:rPr>
          <w:delText>(</w:delText>
        </w:r>
        <w:r w:rsidR="00061CCF">
          <w:rPr>
            <w:sz w:val="22"/>
            <w:szCs w:val="22"/>
          </w:rPr>
          <w:delText>0,</w:delText>
        </w:r>
        <w:r w:rsidR="00061CCF" w:rsidRPr="00B700AF">
          <w:rPr>
            <w:sz w:val="22"/>
            <w:szCs w:val="22"/>
          </w:rPr>
          <w:delText>2, 2</w:delText>
        </w:r>
        <w:r w:rsidR="00061CCF">
          <w:rPr>
            <w:sz w:val="22"/>
            <w:szCs w:val="22"/>
          </w:rPr>
          <w:delText>,</w:delText>
        </w:r>
        <w:r w:rsidR="00061CCF" w:rsidRPr="00B700AF">
          <w:rPr>
            <w:sz w:val="22"/>
            <w:szCs w:val="22"/>
          </w:rPr>
          <w:delText>7</w:delText>
        </w:r>
        <w:r w:rsidRPr="009C5EFD">
          <w:rPr>
            <w:sz w:val="22"/>
            <w:szCs w:val="22"/>
          </w:rPr>
          <w:delText xml:space="preserve">) per 1000 pasientår blant pasienter som ble behandlet med Humira og </w:delText>
        </w:r>
        <w:r w:rsidR="00061CCF">
          <w:rPr>
            <w:sz w:val="22"/>
            <w:szCs w:val="22"/>
          </w:rPr>
          <w:delText>0,6 (0,1, 4,</w:delText>
        </w:r>
        <w:r w:rsidR="00061CCF" w:rsidRPr="00061CCF">
          <w:rPr>
            <w:sz w:val="22"/>
            <w:szCs w:val="22"/>
          </w:rPr>
          <w:delText>5)</w:delText>
        </w:r>
        <w:r w:rsidRPr="009C5EFD">
          <w:rPr>
            <w:sz w:val="22"/>
            <w:szCs w:val="22"/>
          </w:rPr>
          <w:delText xml:space="preserve"> per 1000 pasientår blant pasienter i kontrollgruppen.</w:delText>
        </w:r>
      </w:del>
    </w:p>
    <w:p w14:paraId="7D305697" w14:textId="5C858C73" w:rsidR="00F04C04" w:rsidRPr="009C5EFD" w:rsidRDefault="00F04C04">
      <w:pPr>
        <w:keepNext/>
        <w:suppressAutoHyphens/>
        <w:rPr>
          <w:del w:id="6284" w:author="AbbVie02no" w:date="2025-05-15T13:45:00Z"/>
          <w:sz w:val="22"/>
          <w:szCs w:val="22"/>
        </w:rPr>
        <w:pPrChange w:id="6285" w:author="AbbVie02no" w:date="2025-05-15T13:45:00Z">
          <w:pPr/>
        </w:pPrChange>
      </w:pPr>
    </w:p>
    <w:p w14:paraId="4276EB45" w14:textId="463F1210" w:rsidR="00C538C5" w:rsidRPr="009C5EFD" w:rsidRDefault="00E453CD">
      <w:pPr>
        <w:keepNext/>
        <w:suppressAutoHyphens/>
        <w:rPr>
          <w:del w:id="6286" w:author="AbbVie02no" w:date="2025-05-15T13:45:00Z"/>
          <w:sz w:val="22"/>
          <w:szCs w:val="22"/>
        </w:rPr>
        <w:pPrChange w:id="6287" w:author="AbbVie02no" w:date="2025-05-15T13:45:00Z">
          <w:pPr/>
        </w:pPrChange>
      </w:pPr>
      <w:del w:id="6288" w:author="AbbVie02no" w:date="2025-05-15T13:45:00Z">
        <w:r w:rsidRPr="009C5EFD">
          <w:rPr>
            <w:sz w:val="22"/>
            <w:szCs w:val="22"/>
          </w:rPr>
          <w:delText>Når man kombinerer de kontrollerte delene til disse studiene og pågående og avsluttede åpne studier, med en gjennomsnittsvarighet på ca. 3,</w:delText>
        </w:r>
        <w:r w:rsidR="00061CCF">
          <w:rPr>
            <w:sz w:val="22"/>
            <w:szCs w:val="22"/>
          </w:rPr>
          <w:delText>3</w:delText>
        </w:r>
        <w:r w:rsidR="00061CCF" w:rsidRPr="009C5EFD">
          <w:rPr>
            <w:sz w:val="22"/>
            <w:szCs w:val="22"/>
          </w:rPr>
          <w:delText xml:space="preserve"> </w:delText>
        </w:r>
        <w:r w:rsidRPr="009C5EFD">
          <w:rPr>
            <w:sz w:val="22"/>
            <w:szCs w:val="22"/>
          </w:rPr>
          <w:delText xml:space="preserve">år, inkludert </w:delText>
        </w:r>
        <w:r w:rsidR="00061CCF">
          <w:rPr>
            <w:sz w:val="22"/>
            <w:szCs w:val="22"/>
          </w:rPr>
          <w:delText>6427</w:delText>
        </w:r>
        <w:r w:rsidR="00542916" w:rsidRPr="009C5EFD">
          <w:rPr>
            <w:sz w:val="22"/>
            <w:szCs w:val="22"/>
          </w:rPr>
          <w:delText xml:space="preserve"> </w:delText>
        </w:r>
        <w:r w:rsidRPr="009C5EFD">
          <w:rPr>
            <w:sz w:val="22"/>
            <w:szCs w:val="22"/>
          </w:rPr>
          <w:delText xml:space="preserve">pasienter og mer enn </w:delText>
        </w:r>
        <w:r w:rsidR="00061CCF">
          <w:rPr>
            <w:sz w:val="22"/>
            <w:szCs w:val="22"/>
          </w:rPr>
          <w:delText>26 439</w:delText>
        </w:r>
        <w:r w:rsidR="00061CCF" w:rsidRPr="009C5EFD">
          <w:rPr>
            <w:sz w:val="22"/>
            <w:szCs w:val="22"/>
          </w:rPr>
          <w:delText xml:space="preserve"> </w:delText>
        </w:r>
        <w:r w:rsidRPr="009C5EFD">
          <w:rPr>
            <w:sz w:val="22"/>
            <w:szCs w:val="22"/>
          </w:rPr>
          <w:delText xml:space="preserve">pasientår, </w:delText>
        </w:r>
        <w:r w:rsidRPr="009C5EFD">
          <w:rPr>
            <w:color w:val="000000"/>
            <w:sz w:val="22"/>
            <w:szCs w:val="22"/>
          </w:rPr>
          <w:delText xml:space="preserve">er den observerte </w:delText>
        </w:r>
        <w:r w:rsidRPr="009C5EFD">
          <w:rPr>
            <w:sz w:val="22"/>
            <w:szCs w:val="22"/>
          </w:rPr>
          <w:delText>forekomsten av maligniteter, foruten lymfomer og ikke-melanom hudkreft</w:delText>
        </w:r>
        <w:r w:rsidR="00DE2C89" w:rsidRPr="009C5EFD">
          <w:rPr>
            <w:sz w:val="22"/>
            <w:szCs w:val="22"/>
          </w:rPr>
          <w:delText>,</w:delText>
        </w:r>
        <w:r w:rsidRPr="009C5EFD">
          <w:rPr>
            <w:sz w:val="22"/>
            <w:szCs w:val="22"/>
          </w:rPr>
          <w:delText xml:space="preserve"> ca. </w:delText>
        </w:r>
        <w:r w:rsidR="00997F34" w:rsidRPr="009C5EFD">
          <w:rPr>
            <w:sz w:val="22"/>
            <w:szCs w:val="22"/>
          </w:rPr>
          <w:delText>8,</w:delText>
        </w:r>
        <w:r w:rsidR="00542916" w:rsidRPr="009C5EFD">
          <w:rPr>
            <w:sz w:val="22"/>
            <w:szCs w:val="22"/>
          </w:rPr>
          <w:delText>5</w:delText>
        </w:r>
        <w:r w:rsidR="00F04C04" w:rsidRPr="009C5EFD">
          <w:rPr>
            <w:sz w:val="22"/>
            <w:szCs w:val="22"/>
          </w:rPr>
          <w:delText xml:space="preserve"> </w:delText>
        </w:r>
        <w:r w:rsidRPr="009C5EFD">
          <w:rPr>
            <w:sz w:val="22"/>
            <w:szCs w:val="22"/>
          </w:rPr>
          <w:delText xml:space="preserve">per 1000 pasientår. Den observerte forekomsten for ikke-melanom hudkreft er på ca. </w:delText>
        </w:r>
        <w:r w:rsidR="00542916" w:rsidRPr="009C5EFD">
          <w:rPr>
            <w:sz w:val="22"/>
            <w:szCs w:val="22"/>
          </w:rPr>
          <w:delText>9,</w:delText>
        </w:r>
        <w:r w:rsidR="00061CCF">
          <w:rPr>
            <w:sz w:val="22"/>
            <w:szCs w:val="22"/>
          </w:rPr>
          <w:delText>6</w:delText>
        </w:r>
        <w:r w:rsidR="00F04C04" w:rsidRPr="009C5EFD">
          <w:rPr>
            <w:sz w:val="22"/>
            <w:szCs w:val="22"/>
          </w:rPr>
          <w:delText xml:space="preserve"> </w:delText>
        </w:r>
        <w:r w:rsidRPr="009C5EFD">
          <w:rPr>
            <w:sz w:val="22"/>
            <w:szCs w:val="22"/>
          </w:rPr>
          <w:delText>per 1000 pasientår, og den observerte forekomsten for lymfomer er ca. 1,</w:delText>
        </w:r>
        <w:r w:rsidR="00542916" w:rsidRPr="009C5EFD">
          <w:rPr>
            <w:sz w:val="22"/>
            <w:szCs w:val="22"/>
          </w:rPr>
          <w:delText>3</w:delText>
        </w:r>
        <w:r w:rsidR="00F04C04" w:rsidRPr="009C5EFD">
          <w:rPr>
            <w:sz w:val="22"/>
            <w:szCs w:val="22"/>
          </w:rPr>
          <w:delText xml:space="preserve"> </w:delText>
        </w:r>
        <w:r w:rsidRPr="009C5EFD">
          <w:rPr>
            <w:sz w:val="22"/>
            <w:szCs w:val="22"/>
          </w:rPr>
          <w:delText>per 1000 pasientår.</w:delText>
        </w:r>
      </w:del>
    </w:p>
    <w:p w14:paraId="672C9F30" w14:textId="7CA4D543" w:rsidR="00C538C5" w:rsidRPr="009C5EFD" w:rsidRDefault="00C538C5">
      <w:pPr>
        <w:keepNext/>
        <w:suppressAutoHyphens/>
        <w:rPr>
          <w:del w:id="6289" w:author="AbbVie02no" w:date="2025-05-15T13:45:00Z"/>
          <w:sz w:val="22"/>
          <w:szCs w:val="22"/>
        </w:rPr>
        <w:pPrChange w:id="6290" w:author="AbbVie02no" w:date="2025-05-15T13:45:00Z">
          <w:pPr/>
        </w:pPrChange>
      </w:pPr>
    </w:p>
    <w:p w14:paraId="35E3EE92" w14:textId="239CD0D2" w:rsidR="00E40BA7" w:rsidRPr="009C5EFD" w:rsidRDefault="00E453CD">
      <w:pPr>
        <w:keepNext/>
        <w:suppressAutoHyphens/>
        <w:rPr>
          <w:del w:id="6291" w:author="AbbVie02no" w:date="2025-05-15T13:45:00Z"/>
          <w:sz w:val="22"/>
          <w:szCs w:val="22"/>
        </w:rPr>
        <w:pPrChange w:id="6292" w:author="AbbVie02no" w:date="2025-05-15T13:45:00Z">
          <w:pPr/>
        </w:pPrChange>
      </w:pPr>
      <w:del w:id="6293" w:author="AbbVie02no" w:date="2025-05-15T13:45:00Z">
        <w:r w:rsidRPr="009C5EFD">
          <w:rPr>
            <w:sz w:val="22"/>
            <w:szCs w:val="22"/>
          </w:rPr>
          <w:delText xml:space="preserve">I perioden etter markedsføring fra januar 2003 til desember </w:delText>
        </w:r>
        <w:r w:rsidR="00997F34" w:rsidRPr="009C5EFD">
          <w:rPr>
            <w:sz w:val="22"/>
            <w:szCs w:val="22"/>
          </w:rPr>
          <w:delText>2010</w:delText>
        </w:r>
        <w:r w:rsidRPr="009C5EFD">
          <w:rPr>
            <w:sz w:val="22"/>
            <w:szCs w:val="22"/>
          </w:rPr>
          <w:delText xml:space="preserve">, hovedsakelig hos pasienter med revmatoid artritt, er den </w:delText>
        </w:r>
        <w:r>
          <w:rPr>
            <w:sz w:val="22"/>
            <w:szCs w:val="22"/>
          </w:rPr>
          <w:delText>spontant rapporterte</w:delText>
        </w:r>
        <w:r w:rsidRPr="009C5EFD">
          <w:rPr>
            <w:sz w:val="22"/>
            <w:szCs w:val="22"/>
          </w:rPr>
          <w:delText xml:space="preserve"> forekomsten for maligniteter ca. 2,</w:delText>
        </w:r>
        <w:r w:rsidR="00997F34" w:rsidRPr="009C5EFD">
          <w:rPr>
            <w:sz w:val="22"/>
            <w:szCs w:val="22"/>
          </w:rPr>
          <w:delText>7</w:delText>
        </w:r>
        <w:r w:rsidRPr="009C5EFD">
          <w:rPr>
            <w:sz w:val="22"/>
            <w:szCs w:val="22"/>
          </w:rPr>
          <w:delText xml:space="preserve"> per</w:delText>
        </w:r>
        <w:r w:rsidR="00E66EFF" w:rsidRPr="009C5EFD">
          <w:rPr>
            <w:sz w:val="22"/>
            <w:szCs w:val="22"/>
          </w:rPr>
          <w:delText xml:space="preserve"> 1000 pasient</w:delText>
        </w:r>
        <w:r w:rsidRPr="009C5EFD">
          <w:rPr>
            <w:sz w:val="22"/>
            <w:szCs w:val="22"/>
          </w:rPr>
          <w:delText xml:space="preserve">år. De </w:delText>
        </w:r>
        <w:r>
          <w:rPr>
            <w:sz w:val="22"/>
            <w:szCs w:val="22"/>
          </w:rPr>
          <w:delText>spontant rapporterte</w:delText>
        </w:r>
        <w:r w:rsidRPr="009C5EFD">
          <w:rPr>
            <w:sz w:val="22"/>
            <w:szCs w:val="22"/>
          </w:rPr>
          <w:delText xml:space="preserve"> forekomstene for ikke-melanom hudkreft og lymfomer er henholdsvis ca. 0,2 og</w:delText>
        </w:r>
        <w:r w:rsidR="00E66EFF" w:rsidRPr="009C5EFD">
          <w:rPr>
            <w:sz w:val="22"/>
            <w:szCs w:val="22"/>
          </w:rPr>
          <w:delText xml:space="preserve"> 0,3 per 1000 pasient</w:delText>
        </w:r>
        <w:r w:rsidRPr="009C5EFD">
          <w:rPr>
            <w:sz w:val="22"/>
            <w:szCs w:val="22"/>
          </w:rPr>
          <w:delText>år (se pkt. 4.4).</w:delText>
        </w:r>
      </w:del>
    </w:p>
    <w:p w14:paraId="044433BB" w14:textId="5203E0EE" w:rsidR="00BE5F26" w:rsidRDefault="00BE5F26">
      <w:pPr>
        <w:keepNext/>
        <w:suppressAutoHyphens/>
        <w:rPr>
          <w:del w:id="6294" w:author="AbbVie02no" w:date="2025-05-15T13:45:00Z"/>
          <w:sz w:val="22"/>
          <w:szCs w:val="22"/>
        </w:rPr>
        <w:pPrChange w:id="6295" w:author="AbbVie02no" w:date="2025-05-15T13:45:00Z">
          <w:pPr/>
        </w:pPrChange>
      </w:pPr>
    </w:p>
    <w:p w14:paraId="4781347F" w14:textId="100BD789" w:rsidR="00085BDB" w:rsidRPr="009C5EFD" w:rsidRDefault="00E453CD">
      <w:pPr>
        <w:keepNext/>
        <w:suppressAutoHyphens/>
        <w:rPr>
          <w:del w:id="6296" w:author="AbbVie02no" w:date="2025-05-15T13:45:00Z"/>
          <w:sz w:val="22"/>
          <w:szCs w:val="22"/>
        </w:rPr>
        <w:pPrChange w:id="6297" w:author="AbbVie02no" w:date="2025-05-15T13:45:00Z">
          <w:pPr/>
        </w:pPrChange>
      </w:pPr>
      <w:del w:id="6298" w:author="AbbVie02no" w:date="2025-05-15T13:45:00Z">
        <w:r w:rsidRPr="009C5EFD">
          <w:rPr>
            <w:sz w:val="22"/>
            <w:szCs w:val="22"/>
          </w:rPr>
          <w:delText>Sjeldne tilfeller av hepatosplenisk T-cellelymfom hos pasienter behandlet med adalimumab er rapportert etter markedsføring (se pkt. 4.4).</w:delText>
        </w:r>
      </w:del>
    </w:p>
    <w:p w14:paraId="42C7C261" w14:textId="31586B14" w:rsidR="008067A2" w:rsidRPr="009C5EFD" w:rsidRDefault="008067A2">
      <w:pPr>
        <w:keepNext/>
        <w:suppressAutoHyphens/>
        <w:rPr>
          <w:del w:id="6299" w:author="AbbVie02no" w:date="2025-05-15T13:45:00Z"/>
          <w:szCs w:val="22"/>
        </w:rPr>
        <w:pPrChange w:id="6300" w:author="AbbVie02no" w:date="2025-05-15T13:45:00Z">
          <w:pPr>
            <w:pStyle w:val="Heading8"/>
            <w:keepNext w:val="0"/>
          </w:pPr>
        </w:pPrChange>
      </w:pPr>
    </w:p>
    <w:p w14:paraId="0478DFB4" w14:textId="2054C4F2" w:rsidR="00085BDB" w:rsidRPr="001F5D4B" w:rsidRDefault="00E453CD">
      <w:pPr>
        <w:keepNext/>
        <w:suppressAutoHyphens/>
        <w:rPr>
          <w:del w:id="6301" w:author="AbbVie02no" w:date="2025-05-15T13:45:00Z"/>
          <w:i/>
          <w:szCs w:val="22"/>
        </w:rPr>
        <w:pPrChange w:id="6302" w:author="AbbVie02no" w:date="2025-05-15T13:45:00Z">
          <w:pPr>
            <w:pStyle w:val="Heading8"/>
          </w:pPr>
        </w:pPrChange>
      </w:pPr>
      <w:del w:id="6303" w:author="AbbVie02no" w:date="2025-05-15T13:45:00Z">
        <w:r w:rsidRPr="001F5D4B">
          <w:rPr>
            <w:i/>
            <w:szCs w:val="22"/>
          </w:rPr>
          <w:delText>Autoantistoffer</w:delText>
        </w:r>
      </w:del>
    </w:p>
    <w:p w14:paraId="2C2AB56A" w14:textId="6F143B32" w:rsidR="00085BDB" w:rsidRPr="007F67EE" w:rsidRDefault="00085BDB">
      <w:pPr>
        <w:keepNext/>
        <w:suppressAutoHyphens/>
        <w:rPr>
          <w:del w:id="6304" w:author="AbbVie02no" w:date="2025-05-15T13:45:00Z"/>
          <w:sz w:val="22"/>
          <w:szCs w:val="22"/>
        </w:rPr>
        <w:pPrChange w:id="6305" w:author="AbbVie02no" w:date="2025-05-15T13:45:00Z">
          <w:pPr>
            <w:keepNext/>
          </w:pPr>
        </w:pPrChange>
      </w:pPr>
    </w:p>
    <w:p w14:paraId="7D7E5FBF" w14:textId="41A8EE4E" w:rsidR="00085BDB" w:rsidRPr="009C5EFD" w:rsidRDefault="00E453CD">
      <w:pPr>
        <w:keepNext/>
        <w:suppressAutoHyphens/>
        <w:rPr>
          <w:del w:id="6306" w:author="AbbVie02no" w:date="2025-05-15T13:45:00Z"/>
          <w:sz w:val="22"/>
          <w:szCs w:val="22"/>
        </w:rPr>
        <w:pPrChange w:id="6307" w:author="AbbVie02no" w:date="2025-05-15T13:45:00Z">
          <w:pPr/>
        </w:pPrChange>
      </w:pPr>
      <w:del w:id="6308" w:author="AbbVie02no" w:date="2025-05-15T13:45:00Z">
        <w:r w:rsidRPr="00193D76">
          <w:rPr>
            <w:sz w:val="22"/>
            <w:szCs w:val="22"/>
          </w:rPr>
          <w:delText xml:space="preserve">Serumprøver fra pasienter ble analysert for autoantistoffer på flere tidspunkter i studiene I – V ved revmatoid artritt. Blant pasienter med negative </w:delText>
        </w:r>
        <w:r w:rsidRPr="002D0790">
          <w:rPr>
            <w:color w:val="000000"/>
            <w:sz w:val="22"/>
            <w:szCs w:val="22"/>
          </w:rPr>
          <w:delText xml:space="preserve">verdier </w:delText>
        </w:r>
        <w:r w:rsidR="001646EE">
          <w:rPr>
            <w:sz w:val="22"/>
            <w:szCs w:val="22"/>
          </w:rPr>
          <w:delText>ved baseline</w:delText>
        </w:r>
        <w:r w:rsidR="00C27926">
          <w:rPr>
            <w:sz w:val="22"/>
            <w:szCs w:val="22"/>
          </w:rPr>
          <w:delText xml:space="preserve"> </w:delText>
        </w:r>
        <w:r w:rsidRPr="002D0790">
          <w:rPr>
            <w:sz w:val="22"/>
            <w:szCs w:val="22"/>
          </w:rPr>
          <w:delText xml:space="preserve">for antinukleære antistoff </w:delText>
        </w:r>
        <w:r w:rsidRPr="00E14E58">
          <w:rPr>
            <w:sz w:val="22"/>
            <w:szCs w:val="22"/>
          </w:rPr>
          <w:delText>i disse studiene ble 11,9 % av pasientene som ble behandlet med Humira og 8,1 % av pasientene i kontrollgruppene angitt å ha positive verdier ved uke 24. To pasienter av de 3441 som ble behandlet med Humira i alle studiene av revmatoid artritt og psoriasis</w:delText>
        </w:r>
        <w:r w:rsidRPr="009C5EFD">
          <w:rPr>
            <w:sz w:val="22"/>
            <w:szCs w:val="22"/>
          </w:rPr>
          <w:delText xml:space="preserve">artritt utviklet kliniske tegn på nyutviklet </w:delText>
        </w:r>
        <w:r w:rsidRPr="009C5EFD">
          <w:rPr>
            <w:sz w:val="22"/>
            <w:szCs w:val="22"/>
          </w:rPr>
          <w:lastRenderedPageBreak/>
          <w:delText xml:space="preserve">lupuslignende syndrom. Pasientene </w:delText>
        </w:r>
        <w:r w:rsidR="007A322A" w:rsidRPr="009C5EFD">
          <w:rPr>
            <w:sz w:val="22"/>
            <w:szCs w:val="22"/>
          </w:rPr>
          <w:delText>ble bedre</w:delText>
        </w:r>
        <w:r w:rsidRPr="009C5EFD">
          <w:rPr>
            <w:sz w:val="22"/>
            <w:szCs w:val="22"/>
          </w:rPr>
          <w:delText xml:space="preserve"> etter at behandlingen ble avbrutt. Ingen pasienter utviklet lupusnefritt eller symptomer i sentralnervesystemet.</w:delText>
        </w:r>
      </w:del>
    </w:p>
    <w:p w14:paraId="742C2416" w14:textId="08CAEB46" w:rsidR="00085BDB" w:rsidRPr="009C5EFD" w:rsidRDefault="00085BDB">
      <w:pPr>
        <w:keepNext/>
        <w:suppressAutoHyphens/>
        <w:rPr>
          <w:del w:id="6309" w:author="AbbVie02no" w:date="2025-05-15T13:45:00Z"/>
          <w:sz w:val="22"/>
          <w:szCs w:val="22"/>
        </w:rPr>
        <w:pPrChange w:id="6310" w:author="AbbVie02no" w:date="2025-05-15T13:45:00Z">
          <w:pPr/>
        </w:pPrChange>
      </w:pPr>
    </w:p>
    <w:p w14:paraId="5C714A04" w14:textId="4332FC0F" w:rsidR="00085BDB" w:rsidRPr="001F5D4B" w:rsidRDefault="00E453CD">
      <w:pPr>
        <w:keepNext/>
        <w:suppressAutoHyphens/>
        <w:rPr>
          <w:del w:id="6311" w:author="AbbVie02no" w:date="2025-05-15T13:45:00Z"/>
          <w:i/>
          <w:sz w:val="22"/>
          <w:szCs w:val="22"/>
        </w:rPr>
        <w:pPrChange w:id="6312" w:author="AbbVie02no" w:date="2025-05-15T13:45:00Z">
          <w:pPr>
            <w:keepNext/>
          </w:pPr>
        </w:pPrChange>
      </w:pPr>
      <w:del w:id="6313" w:author="AbbVie02no" w:date="2025-05-15T13:45:00Z">
        <w:r w:rsidRPr="001F5D4B">
          <w:rPr>
            <w:i/>
            <w:sz w:val="22"/>
            <w:szCs w:val="22"/>
          </w:rPr>
          <w:delText>Bivirkninger</w:delText>
        </w:r>
        <w:r w:rsidR="00886F42" w:rsidRPr="001F5D4B">
          <w:rPr>
            <w:i/>
            <w:sz w:val="22"/>
            <w:szCs w:val="22"/>
          </w:rPr>
          <w:delText xml:space="preserve"> i lever og galleveier</w:delText>
        </w:r>
      </w:del>
    </w:p>
    <w:p w14:paraId="01315632" w14:textId="15FC964E" w:rsidR="00A17EBD" w:rsidRPr="007F67EE" w:rsidRDefault="00A17EBD">
      <w:pPr>
        <w:keepNext/>
        <w:suppressAutoHyphens/>
        <w:rPr>
          <w:del w:id="6314" w:author="AbbVie02no" w:date="2025-05-15T13:45:00Z"/>
          <w:i/>
          <w:sz w:val="22"/>
          <w:szCs w:val="22"/>
        </w:rPr>
        <w:pPrChange w:id="6315" w:author="AbbVie02no" w:date="2025-05-15T13:45:00Z">
          <w:pPr>
            <w:keepNext/>
          </w:pPr>
        </w:pPrChange>
      </w:pPr>
    </w:p>
    <w:p w14:paraId="5CC46E5D" w14:textId="459D9D7E" w:rsidR="00104542" w:rsidRPr="002D0790" w:rsidRDefault="00E453CD">
      <w:pPr>
        <w:keepNext/>
        <w:suppressAutoHyphens/>
        <w:rPr>
          <w:del w:id="6316" w:author="AbbVie02no" w:date="2025-05-15T13:45:00Z"/>
          <w:sz w:val="22"/>
          <w:szCs w:val="22"/>
        </w:rPr>
        <w:pPrChange w:id="6317" w:author="AbbVie02no" w:date="2025-05-15T13:45:00Z">
          <w:pPr/>
        </w:pPrChange>
      </w:pPr>
      <w:del w:id="6318" w:author="AbbVie02no" w:date="2025-05-15T13:45:00Z">
        <w:r w:rsidRPr="00193D76">
          <w:rPr>
            <w:sz w:val="22"/>
            <w:szCs w:val="22"/>
          </w:rPr>
          <w:delText>I kontrollerte fase 3 studi</w:delText>
        </w:r>
        <w:r w:rsidRPr="002D0790">
          <w:rPr>
            <w:sz w:val="22"/>
            <w:szCs w:val="22"/>
          </w:rPr>
          <w:delText xml:space="preserve">er med Humira hos pasienter med revmatoid artritt og psoriasisartritt med en varighet på kontrollperioden varierende fra 4 til 104 uker, oppstod stigninger i ALAT ≥ 3 x ULN hos 3,7 % av pasientene behandlet med Humira og hos 1,6 % av pasientene i kontrollgruppen.  </w:delText>
        </w:r>
      </w:del>
    </w:p>
    <w:p w14:paraId="76CADA72" w14:textId="4AAFC450" w:rsidR="00EF1BC7" w:rsidRPr="009C5EFD" w:rsidRDefault="00EF1BC7">
      <w:pPr>
        <w:keepNext/>
        <w:suppressAutoHyphens/>
        <w:rPr>
          <w:del w:id="6319" w:author="AbbVie02no" w:date="2025-05-15T13:45:00Z"/>
          <w:sz w:val="22"/>
          <w:szCs w:val="22"/>
        </w:rPr>
        <w:pPrChange w:id="6320" w:author="AbbVie02no" w:date="2025-05-15T13:45:00Z">
          <w:pPr/>
        </w:pPrChange>
      </w:pPr>
    </w:p>
    <w:p w14:paraId="5F2B4BF6" w14:textId="33ED5BEB" w:rsidR="00EF1BC7" w:rsidRPr="009C5EFD" w:rsidRDefault="00E453CD">
      <w:pPr>
        <w:keepNext/>
        <w:suppressAutoHyphens/>
        <w:rPr>
          <w:del w:id="6321" w:author="AbbVie02no" w:date="2025-05-15T13:45:00Z"/>
          <w:sz w:val="22"/>
          <w:szCs w:val="22"/>
        </w:rPr>
        <w:pPrChange w:id="6322" w:author="AbbVie02no" w:date="2025-05-15T13:45:00Z">
          <w:pPr/>
        </w:pPrChange>
      </w:pPr>
      <w:del w:id="6323" w:author="AbbVie02no" w:date="2025-05-15T13:45:00Z">
        <w:r w:rsidRPr="009C5EFD">
          <w:rPr>
            <w:sz w:val="22"/>
            <w:szCs w:val="22"/>
          </w:rPr>
          <w:delText>I kontrollerte fase 3 studier med Humira hos pasienter med polyartikulær juvenil idiopatisk artritt i alderen 4 til 17 år og entesittrelatert artritt i alderen 6 til 17 år, oppstod stigninger i ALAT ≥ 3 x ULN hos 6,1 % av pasientene behandlet med Humira og hos 1,3 % av pasientene i kontrollgruppen. De fleste stigninger i AL</w:delText>
        </w:r>
        <w:r w:rsidR="00CA0654" w:rsidRPr="009C5EFD">
          <w:rPr>
            <w:sz w:val="22"/>
            <w:szCs w:val="22"/>
          </w:rPr>
          <w:delText>A</w:delText>
        </w:r>
        <w:r w:rsidRPr="009C5EFD">
          <w:rPr>
            <w:sz w:val="22"/>
            <w:szCs w:val="22"/>
          </w:rPr>
          <w:delText xml:space="preserve">T oppstod ved samtidig bruk av metotreksat. Det var ingen stigninger i ALAT ≥ 3 x ULN i fase 3 studien med Humira hos pasienter med polyartikulær juvenil idiopatisk artritt </w:delText>
        </w:r>
        <w:r w:rsidR="00CA0654" w:rsidRPr="009C5EFD">
          <w:rPr>
            <w:sz w:val="22"/>
            <w:szCs w:val="22"/>
          </w:rPr>
          <w:delText>i</w:delText>
        </w:r>
        <w:r w:rsidRPr="009C5EFD">
          <w:rPr>
            <w:sz w:val="22"/>
            <w:szCs w:val="22"/>
          </w:rPr>
          <w:delText xml:space="preserve"> alderen 2 til </w:delText>
        </w:r>
        <w:r w:rsidR="00CA0654" w:rsidRPr="009C5EFD">
          <w:rPr>
            <w:sz w:val="22"/>
            <w:szCs w:val="22"/>
          </w:rPr>
          <w:delText xml:space="preserve">&lt; </w:delText>
        </w:r>
        <w:r w:rsidRPr="009C5EFD">
          <w:rPr>
            <w:sz w:val="22"/>
            <w:szCs w:val="22"/>
          </w:rPr>
          <w:delText>4 år.</w:delText>
        </w:r>
      </w:del>
    </w:p>
    <w:p w14:paraId="1B0E02A6" w14:textId="33EC06BC" w:rsidR="00104542" w:rsidRPr="009C5EFD" w:rsidRDefault="00104542">
      <w:pPr>
        <w:keepNext/>
        <w:suppressAutoHyphens/>
        <w:rPr>
          <w:del w:id="6324" w:author="AbbVie02no" w:date="2025-05-15T13:45:00Z"/>
          <w:i/>
          <w:sz w:val="22"/>
          <w:szCs w:val="22"/>
        </w:rPr>
        <w:pPrChange w:id="6325" w:author="AbbVie02no" w:date="2025-05-15T13:45:00Z">
          <w:pPr/>
        </w:pPrChange>
      </w:pPr>
    </w:p>
    <w:p w14:paraId="03884B76" w14:textId="061B87B8" w:rsidR="00104542" w:rsidRPr="009C5EFD" w:rsidRDefault="00E453CD">
      <w:pPr>
        <w:keepNext/>
        <w:suppressAutoHyphens/>
        <w:rPr>
          <w:del w:id="6326" w:author="AbbVie02no" w:date="2025-05-15T13:45:00Z"/>
          <w:sz w:val="22"/>
          <w:szCs w:val="22"/>
        </w:rPr>
        <w:pPrChange w:id="6327" w:author="AbbVie02no" w:date="2025-05-15T13:45:00Z">
          <w:pPr/>
        </w:pPrChange>
      </w:pPr>
      <w:del w:id="6328" w:author="AbbVie02no" w:date="2025-05-15T13:45:00Z">
        <w:r w:rsidRPr="009C5EFD">
          <w:rPr>
            <w:sz w:val="22"/>
            <w:szCs w:val="22"/>
          </w:rPr>
          <w:delText>I kontrollerte fase 3 studier med Humira hos pasienter med Crohns sykdom og ulcerøs kolitt med en varighet på kontrollperioden varierende fra 4 til 52 uker, oppstod stigninger i ALAT ≥ 3 x ULN hos 0,9 % av pasientene behandlet med Humira og hos 0,9 % av pasientene i kontrollgruppen.</w:delText>
        </w:r>
      </w:del>
    </w:p>
    <w:p w14:paraId="1EC3A757" w14:textId="693256D3" w:rsidR="00104542" w:rsidRPr="009C5EFD" w:rsidRDefault="00104542">
      <w:pPr>
        <w:keepNext/>
        <w:suppressAutoHyphens/>
        <w:rPr>
          <w:del w:id="6329" w:author="AbbVie02no" w:date="2025-05-15T13:45:00Z"/>
          <w:sz w:val="22"/>
          <w:szCs w:val="22"/>
        </w:rPr>
        <w:pPrChange w:id="6330" w:author="AbbVie02no" w:date="2025-05-15T13:45:00Z">
          <w:pPr/>
        </w:pPrChange>
      </w:pPr>
    </w:p>
    <w:p w14:paraId="52F7744B" w14:textId="2D355165" w:rsidR="001D3E04" w:rsidRPr="009C5EFD" w:rsidRDefault="00E453CD">
      <w:pPr>
        <w:keepNext/>
        <w:suppressAutoHyphens/>
        <w:rPr>
          <w:del w:id="6331" w:author="AbbVie02no" w:date="2025-05-15T13:45:00Z"/>
          <w:sz w:val="22"/>
          <w:szCs w:val="22"/>
        </w:rPr>
        <w:pPrChange w:id="6332" w:author="AbbVie02no" w:date="2025-05-15T13:45:00Z">
          <w:pPr/>
        </w:pPrChange>
      </w:pPr>
      <w:del w:id="6333" w:author="AbbVie02no" w:date="2025-05-15T13:45:00Z">
        <w:r w:rsidRPr="009C5EFD">
          <w:rPr>
            <w:sz w:val="22"/>
            <w:szCs w:val="22"/>
          </w:rPr>
          <w:delText xml:space="preserve">I fase 3 studien med Humira hos pasienter med pediatrisk Crohns sykdom som </w:delText>
        </w:r>
        <w:r w:rsidR="006B250F">
          <w:rPr>
            <w:sz w:val="22"/>
            <w:szCs w:val="22"/>
          </w:rPr>
          <w:delText>vurderte</w:delText>
        </w:r>
        <w:r w:rsidRPr="009C5EFD">
          <w:rPr>
            <w:sz w:val="22"/>
            <w:szCs w:val="22"/>
          </w:rPr>
          <w:delText xml:space="preserve"> effekt og sikkerhet av to kroppsvektjusterte vedlikeholdsdoseregimer etter kroppsvektjustert </w:delText>
        </w:r>
        <w:r w:rsidR="005C4746">
          <w:rPr>
            <w:sz w:val="22"/>
            <w:szCs w:val="22"/>
          </w:rPr>
          <w:delText>induksjonsbehandling</w:delText>
        </w:r>
        <w:r w:rsidRPr="009C5EFD">
          <w:rPr>
            <w:sz w:val="22"/>
            <w:szCs w:val="22"/>
          </w:rPr>
          <w:delText xml:space="preserve"> opptil 52 ukers behandling,</w:delText>
        </w:r>
        <w:r w:rsidR="00BA7F2F">
          <w:rPr>
            <w:sz w:val="22"/>
            <w:szCs w:val="22"/>
          </w:rPr>
          <w:delText xml:space="preserve"> </w:delText>
        </w:r>
        <w:r w:rsidRPr="009C5EFD">
          <w:rPr>
            <w:sz w:val="22"/>
            <w:szCs w:val="22"/>
          </w:rPr>
          <w:delText>oppstod stigninger i ALAT ≥ 3 x ULN hos 2,6 %</w:delText>
        </w:r>
        <w:r w:rsidR="00561ADD" w:rsidRPr="009C5EFD">
          <w:rPr>
            <w:sz w:val="22"/>
            <w:szCs w:val="22"/>
          </w:rPr>
          <w:delText xml:space="preserve"> (5/192)</w:delText>
        </w:r>
        <w:r w:rsidRPr="009C5EFD">
          <w:rPr>
            <w:sz w:val="22"/>
            <w:szCs w:val="22"/>
          </w:rPr>
          <w:delText xml:space="preserve"> av pasientene </w:delText>
        </w:r>
        <w:r w:rsidR="00561ADD" w:rsidRPr="009C5EFD">
          <w:rPr>
            <w:sz w:val="22"/>
            <w:szCs w:val="22"/>
          </w:rPr>
          <w:delText>hvor 4 av de fikk</w:delText>
        </w:r>
        <w:r w:rsidRPr="009C5EFD">
          <w:rPr>
            <w:sz w:val="22"/>
            <w:szCs w:val="22"/>
          </w:rPr>
          <w:delText xml:space="preserve"> samtidig immundempende behandling ved baseline.</w:delText>
        </w:r>
      </w:del>
    </w:p>
    <w:p w14:paraId="7A354A38" w14:textId="718069C1" w:rsidR="001D3E04" w:rsidRPr="009C5EFD" w:rsidRDefault="001D3E04">
      <w:pPr>
        <w:keepNext/>
        <w:suppressAutoHyphens/>
        <w:rPr>
          <w:del w:id="6334" w:author="AbbVie02no" w:date="2025-05-15T13:45:00Z"/>
          <w:sz w:val="22"/>
          <w:szCs w:val="22"/>
        </w:rPr>
        <w:pPrChange w:id="6335" w:author="AbbVie02no" w:date="2025-05-15T13:45:00Z">
          <w:pPr/>
        </w:pPrChange>
      </w:pPr>
    </w:p>
    <w:p w14:paraId="696D328A" w14:textId="2BC91EBA" w:rsidR="00E3269E" w:rsidRPr="009C5EFD" w:rsidRDefault="00E453CD">
      <w:pPr>
        <w:keepNext/>
        <w:suppressAutoHyphens/>
        <w:rPr>
          <w:del w:id="6336" w:author="AbbVie02no" w:date="2025-05-15T13:45:00Z"/>
          <w:sz w:val="22"/>
          <w:szCs w:val="22"/>
        </w:rPr>
        <w:pPrChange w:id="6337" w:author="AbbVie02no" w:date="2025-05-15T13:45:00Z">
          <w:pPr/>
        </w:pPrChange>
      </w:pPr>
      <w:del w:id="6338" w:author="AbbVie02no" w:date="2025-05-15T13:45:00Z">
        <w:r w:rsidRPr="009C5EFD">
          <w:rPr>
            <w:sz w:val="22"/>
            <w:szCs w:val="22"/>
          </w:rPr>
          <w:delText xml:space="preserve">I kontrollerte fase 3 studier med Humira hos pasienter med plakkpsoriasis med </w:delText>
        </w:r>
        <w:r w:rsidR="00E40BA7" w:rsidRPr="009C5EFD">
          <w:rPr>
            <w:sz w:val="22"/>
            <w:szCs w:val="22"/>
          </w:rPr>
          <w:delText xml:space="preserve">en </w:delText>
        </w:r>
        <w:r w:rsidRPr="009C5EFD">
          <w:rPr>
            <w:sz w:val="22"/>
            <w:szCs w:val="22"/>
          </w:rPr>
          <w:delText xml:space="preserve">kontrollperiode varierende fra 12 til 24 uker, oppstod stigninger i ALAT ≥ 3 x ULN hos 1,8 % av pasientene behandlet med Humira og hos 1,8 % av pasientene i kontrollgruppen. </w:delText>
        </w:r>
      </w:del>
    </w:p>
    <w:p w14:paraId="1D38BD10" w14:textId="5DACA0D5" w:rsidR="00E3269E" w:rsidRPr="009C5EFD" w:rsidRDefault="00E3269E">
      <w:pPr>
        <w:keepNext/>
        <w:suppressAutoHyphens/>
        <w:rPr>
          <w:del w:id="6339" w:author="AbbVie02no" w:date="2025-05-15T13:45:00Z"/>
          <w:sz w:val="22"/>
          <w:szCs w:val="22"/>
        </w:rPr>
        <w:pPrChange w:id="6340" w:author="AbbVie02no" w:date="2025-05-15T13:45:00Z">
          <w:pPr/>
        </w:pPrChange>
      </w:pPr>
    </w:p>
    <w:p w14:paraId="24B9DBFE" w14:textId="7F9F173C" w:rsidR="00E3269E" w:rsidRPr="009C5EFD" w:rsidRDefault="00E453CD">
      <w:pPr>
        <w:keepNext/>
        <w:suppressAutoHyphens/>
        <w:rPr>
          <w:del w:id="6341" w:author="AbbVie02no" w:date="2025-05-15T13:45:00Z"/>
          <w:sz w:val="22"/>
          <w:szCs w:val="22"/>
        </w:rPr>
        <w:pPrChange w:id="6342" w:author="AbbVie02no" w:date="2025-05-15T13:45:00Z">
          <w:pPr/>
        </w:pPrChange>
      </w:pPr>
      <w:del w:id="6343" w:author="AbbVie02no" w:date="2025-05-15T13:45:00Z">
        <w:r w:rsidRPr="009C5EFD">
          <w:rPr>
            <w:sz w:val="22"/>
            <w:szCs w:val="22"/>
          </w:rPr>
          <w:delText>Ingen stigninger i ALAT ≥ 3 x ULN ble sett i fase 3 studier med Humira hos pediatriske pasienter med plakkpsoriasis.</w:delText>
        </w:r>
      </w:del>
    </w:p>
    <w:p w14:paraId="09395633" w14:textId="154B5482" w:rsidR="00E3269E" w:rsidRPr="009C5EFD" w:rsidRDefault="00E3269E">
      <w:pPr>
        <w:keepNext/>
        <w:suppressAutoHyphens/>
        <w:rPr>
          <w:del w:id="6344" w:author="AbbVie02no" w:date="2025-05-15T13:45:00Z"/>
          <w:sz w:val="22"/>
          <w:szCs w:val="22"/>
        </w:rPr>
        <w:pPrChange w:id="6345" w:author="AbbVie02no" w:date="2025-05-15T13:45:00Z">
          <w:pPr/>
        </w:pPrChange>
      </w:pPr>
    </w:p>
    <w:p w14:paraId="77AC9B78" w14:textId="712696BA" w:rsidR="00542916" w:rsidRDefault="00E453CD">
      <w:pPr>
        <w:keepNext/>
        <w:suppressAutoHyphens/>
        <w:rPr>
          <w:del w:id="6346" w:author="AbbVie02no" w:date="2025-05-15T13:45:00Z"/>
          <w:sz w:val="22"/>
          <w:szCs w:val="22"/>
        </w:rPr>
        <w:pPrChange w:id="6347" w:author="AbbVie02no" w:date="2025-05-15T13:45:00Z">
          <w:pPr/>
        </w:pPrChange>
      </w:pPr>
      <w:del w:id="6348" w:author="AbbVie02no" w:date="2025-05-15T13:45:00Z">
        <w:r w:rsidRPr="009C5EFD">
          <w:rPr>
            <w:sz w:val="22"/>
            <w:szCs w:val="22"/>
          </w:rPr>
          <w:delText xml:space="preserve">I kontrollerte studier med Humira (startdoser på 160 mg ved uke 0 og 80 mg ved uke 2, etterfulgt av 40 mg hver uke </w:delText>
        </w:r>
        <w:r w:rsidR="00EE0275">
          <w:rPr>
            <w:sz w:val="22"/>
            <w:szCs w:val="22"/>
          </w:rPr>
          <w:delText>fra</w:delText>
        </w:r>
        <w:r w:rsidR="00EE0275" w:rsidRPr="009C5EFD">
          <w:rPr>
            <w:sz w:val="22"/>
            <w:szCs w:val="22"/>
          </w:rPr>
          <w:delText xml:space="preserve"> </w:delText>
        </w:r>
        <w:r w:rsidRPr="009C5EFD">
          <w:rPr>
            <w:sz w:val="22"/>
            <w:szCs w:val="22"/>
          </w:rPr>
          <w:delText xml:space="preserve">uke 4) hos pasienter med </w:delText>
        </w:r>
        <w:r w:rsidR="007F67EE" w:rsidRPr="009C5EFD">
          <w:rPr>
            <w:sz w:val="22"/>
            <w:szCs w:val="22"/>
          </w:rPr>
          <w:delText>hidrosadenitt</w:delText>
        </w:r>
        <w:r w:rsidRPr="009C5EFD">
          <w:rPr>
            <w:sz w:val="22"/>
            <w:szCs w:val="22"/>
          </w:rPr>
          <w:delText xml:space="preserve"> med en kontrollperiode </w:delText>
        </w:r>
        <w:r w:rsidR="000B26D9">
          <w:rPr>
            <w:sz w:val="22"/>
            <w:szCs w:val="22"/>
          </w:rPr>
          <w:delText>mellom</w:delText>
        </w:r>
        <w:r w:rsidRPr="009C5EFD">
          <w:rPr>
            <w:sz w:val="22"/>
            <w:szCs w:val="22"/>
          </w:rPr>
          <w:delText xml:space="preserve"> 12 til 16 uker, oppstod stigninger i ALAT ≥ 3 x ULN hos 0,3 % av pasientene behandlet med Humira og hos 0,6 % av pasientene i kontrollgruppen.</w:delText>
        </w:r>
      </w:del>
    </w:p>
    <w:p w14:paraId="33D54C98" w14:textId="70715C6C" w:rsidR="007E3312" w:rsidRDefault="007E3312">
      <w:pPr>
        <w:keepNext/>
        <w:suppressAutoHyphens/>
        <w:rPr>
          <w:del w:id="6349" w:author="AbbVie02no" w:date="2025-05-15T13:45:00Z"/>
          <w:sz w:val="22"/>
          <w:szCs w:val="22"/>
        </w:rPr>
        <w:pPrChange w:id="6350" w:author="AbbVie02no" w:date="2025-05-15T13:45:00Z">
          <w:pPr/>
        </w:pPrChange>
      </w:pPr>
    </w:p>
    <w:p w14:paraId="18E842C1" w14:textId="523EE6D2" w:rsidR="007E3312" w:rsidRPr="009C5EFD" w:rsidRDefault="00E453CD">
      <w:pPr>
        <w:keepNext/>
        <w:suppressAutoHyphens/>
        <w:rPr>
          <w:del w:id="6351" w:author="AbbVie02no" w:date="2025-05-15T13:45:00Z"/>
          <w:sz w:val="22"/>
          <w:szCs w:val="22"/>
        </w:rPr>
        <w:pPrChange w:id="6352" w:author="AbbVie02no" w:date="2025-05-15T13:45:00Z">
          <w:pPr/>
        </w:pPrChange>
      </w:pPr>
      <w:del w:id="6353" w:author="AbbVie02no" w:date="2025-05-15T13:45:00Z">
        <w:r w:rsidRPr="009C5EFD">
          <w:rPr>
            <w:sz w:val="22"/>
            <w:szCs w:val="22"/>
          </w:rPr>
          <w:delText xml:space="preserve">I kontrollerte studier med Humira (startdoser på </w:delText>
        </w:r>
        <w:r>
          <w:rPr>
            <w:sz w:val="22"/>
            <w:szCs w:val="22"/>
          </w:rPr>
          <w:delText>8</w:delText>
        </w:r>
        <w:r w:rsidRPr="009C5EFD">
          <w:rPr>
            <w:sz w:val="22"/>
            <w:szCs w:val="22"/>
          </w:rPr>
          <w:delText xml:space="preserve">0 mg ved uke 0 </w:delText>
        </w:r>
        <w:r>
          <w:rPr>
            <w:sz w:val="22"/>
            <w:szCs w:val="22"/>
          </w:rPr>
          <w:delText>etterfulgt av</w:delText>
        </w:r>
        <w:r w:rsidRPr="009C5EFD">
          <w:rPr>
            <w:sz w:val="22"/>
            <w:szCs w:val="22"/>
          </w:rPr>
          <w:delText xml:space="preserve"> </w:delText>
        </w:r>
        <w:r>
          <w:rPr>
            <w:sz w:val="22"/>
            <w:szCs w:val="22"/>
          </w:rPr>
          <w:delText>4</w:delText>
        </w:r>
        <w:r w:rsidRPr="009C5EFD">
          <w:rPr>
            <w:sz w:val="22"/>
            <w:szCs w:val="22"/>
          </w:rPr>
          <w:delText xml:space="preserve">0 mg </w:delText>
        </w:r>
        <w:r>
          <w:rPr>
            <w:sz w:val="22"/>
            <w:szCs w:val="22"/>
          </w:rPr>
          <w:delText>annenhver</w:delText>
        </w:r>
        <w:r w:rsidRPr="009C5EFD">
          <w:rPr>
            <w:sz w:val="22"/>
            <w:szCs w:val="22"/>
          </w:rPr>
          <w:delText xml:space="preserve"> uke </w:delText>
        </w:r>
        <w:r>
          <w:rPr>
            <w:sz w:val="22"/>
            <w:szCs w:val="22"/>
          </w:rPr>
          <w:delText>fra og med uke 1</w:delText>
        </w:r>
        <w:r w:rsidRPr="009C5EFD">
          <w:rPr>
            <w:sz w:val="22"/>
            <w:szCs w:val="22"/>
          </w:rPr>
          <w:delText xml:space="preserve">) hos </w:delText>
        </w:r>
        <w:r w:rsidR="00875D02">
          <w:rPr>
            <w:sz w:val="22"/>
            <w:szCs w:val="22"/>
          </w:rPr>
          <w:delText xml:space="preserve">voksne </w:delText>
        </w:r>
        <w:r w:rsidRPr="009C5EFD">
          <w:rPr>
            <w:sz w:val="22"/>
            <w:szCs w:val="22"/>
          </w:rPr>
          <w:delText xml:space="preserve">pasienter med </w:delText>
        </w:r>
        <w:r>
          <w:rPr>
            <w:sz w:val="22"/>
            <w:szCs w:val="22"/>
          </w:rPr>
          <w:delText>uveitt opptil 80 uker</w:delText>
        </w:r>
        <w:r w:rsidR="00D3125E">
          <w:rPr>
            <w:sz w:val="22"/>
            <w:szCs w:val="22"/>
          </w:rPr>
          <w:delText>,</w:delText>
        </w:r>
        <w:r>
          <w:rPr>
            <w:sz w:val="22"/>
            <w:szCs w:val="22"/>
          </w:rPr>
          <w:delText xml:space="preserve"> med en median eksponering på henholdsvis 166,5 dager og 105,0 dager hos pasienter behandlet med Humira og</w:delText>
        </w:r>
        <w:r w:rsidR="00B873CB">
          <w:rPr>
            <w:sz w:val="22"/>
            <w:szCs w:val="22"/>
          </w:rPr>
          <w:delText xml:space="preserve"> pasientene</w:delText>
        </w:r>
        <w:r>
          <w:rPr>
            <w:sz w:val="22"/>
            <w:szCs w:val="22"/>
          </w:rPr>
          <w:delText xml:space="preserve"> i kontrollgruppen</w:delText>
        </w:r>
        <w:r w:rsidRPr="009C5EFD">
          <w:rPr>
            <w:sz w:val="22"/>
            <w:szCs w:val="22"/>
          </w:rPr>
          <w:delText xml:space="preserve">, oppstod stigninger i ALAT ≥ 3 x ULN hos </w:delText>
        </w:r>
        <w:r>
          <w:rPr>
            <w:sz w:val="22"/>
            <w:szCs w:val="22"/>
          </w:rPr>
          <w:delText>2,4</w:delText>
        </w:r>
        <w:r w:rsidRPr="009C5EFD">
          <w:rPr>
            <w:sz w:val="22"/>
            <w:szCs w:val="22"/>
          </w:rPr>
          <w:delText xml:space="preserve"> % av pasientene behandlet med Humira og hos </w:delText>
        </w:r>
        <w:r>
          <w:rPr>
            <w:sz w:val="22"/>
            <w:szCs w:val="22"/>
          </w:rPr>
          <w:delText>2,4</w:delText>
        </w:r>
        <w:r w:rsidRPr="009C5EFD">
          <w:rPr>
            <w:sz w:val="22"/>
            <w:szCs w:val="22"/>
          </w:rPr>
          <w:delText xml:space="preserve"> % av pasientene i kontrollgruppen.</w:delText>
        </w:r>
      </w:del>
    </w:p>
    <w:p w14:paraId="2155B04B" w14:textId="5229E645" w:rsidR="00542916" w:rsidRDefault="00542916">
      <w:pPr>
        <w:keepNext/>
        <w:suppressAutoHyphens/>
        <w:rPr>
          <w:del w:id="6354" w:author="AbbVie02no" w:date="2025-05-15T13:45:00Z"/>
          <w:sz w:val="22"/>
          <w:szCs w:val="22"/>
        </w:rPr>
        <w:pPrChange w:id="6355" w:author="AbbVie02no" w:date="2025-05-15T13:45:00Z">
          <w:pPr/>
        </w:pPrChange>
      </w:pPr>
    </w:p>
    <w:p w14:paraId="6F590057" w14:textId="36AA0C08" w:rsidR="0015674E" w:rsidRPr="00E04B2A" w:rsidRDefault="00E453CD">
      <w:pPr>
        <w:keepNext/>
        <w:suppressAutoHyphens/>
        <w:rPr>
          <w:del w:id="6356" w:author="AbbVie02no" w:date="2025-05-15T13:45:00Z"/>
          <w:rStyle w:val="normaltextrun"/>
          <w:sz w:val="22"/>
          <w:shd w:val="clear" w:color="auto" w:fill="FFFFFF"/>
        </w:rPr>
        <w:pPrChange w:id="6357" w:author="AbbVie02no" w:date="2025-05-15T13:45:00Z">
          <w:pPr/>
        </w:pPrChange>
      </w:pPr>
      <w:del w:id="6358" w:author="AbbVie02no" w:date="2025-05-15T13:45:00Z">
        <w:r w:rsidRPr="00E04B2A">
          <w:rPr>
            <w:rStyle w:val="normaltextrun"/>
            <w:sz w:val="22"/>
            <w:shd w:val="clear" w:color="auto" w:fill="FFFFFF"/>
          </w:rPr>
          <w:delText>I den kontrollerte fase 3</w:delText>
        </w:r>
        <w:r>
          <w:rPr>
            <w:rStyle w:val="normaltextrun"/>
            <w:sz w:val="22"/>
            <w:shd w:val="clear" w:color="auto" w:fill="FFFFFF"/>
          </w:rPr>
          <w:delText xml:space="preserve"> </w:delText>
        </w:r>
        <w:r w:rsidRPr="00E04B2A">
          <w:rPr>
            <w:rStyle w:val="normaltextrun"/>
            <w:sz w:val="22"/>
            <w:shd w:val="clear" w:color="auto" w:fill="FFFFFF"/>
          </w:rPr>
          <w:delText xml:space="preserve">studien </w:delText>
        </w:r>
        <w:r>
          <w:rPr>
            <w:rStyle w:val="normaltextrun"/>
            <w:sz w:val="22"/>
            <w:shd w:val="clear" w:color="auto" w:fill="FFFFFF"/>
          </w:rPr>
          <w:delText>med</w:delText>
        </w:r>
        <w:r w:rsidRPr="00E04B2A">
          <w:rPr>
            <w:rStyle w:val="normaltextrun"/>
            <w:sz w:val="22"/>
            <w:shd w:val="clear" w:color="auto" w:fill="FFFFFF"/>
          </w:rPr>
          <w:delText xml:space="preserve"> Humira hos pasienter med pediatrisk ulcerøs kolitt (N = 93) som </w:delText>
        </w:r>
        <w:r w:rsidR="006B250F">
          <w:rPr>
            <w:rStyle w:val="normaltextrun"/>
            <w:sz w:val="22"/>
            <w:shd w:val="clear" w:color="auto" w:fill="FFFFFF"/>
          </w:rPr>
          <w:delText>vurderte</w:delText>
        </w:r>
        <w:r w:rsidRPr="00E04B2A">
          <w:rPr>
            <w:rStyle w:val="normaltextrun"/>
            <w:sz w:val="22"/>
            <w:shd w:val="clear" w:color="auto" w:fill="FFFFFF"/>
          </w:rPr>
          <w:delText xml:space="preserve"> effekt og sikkerhet av en vedlikeholdsdose på 0,6</w:delText>
        </w:r>
        <w:r>
          <w:rPr>
            <w:rStyle w:val="normaltextrun"/>
            <w:sz w:val="22"/>
            <w:shd w:val="clear" w:color="auto" w:fill="FFFFFF"/>
          </w:rPr>
          <w:delText> </w:delText>
        </w:r>
        <w:r w:rsidRPr="00E04B2A">
          <w:rPr>
            <w:rStyle w:val="normaltextrun"/>
            <w:sz w:val="22"/>
            <w:shd w:val="clear" w:color="auto" w:fill="FFFFFF"/>
          </w:rPr>
          <w:delText>mg/kg (maksimalt 40</w:delText>
        </w:r>
        <w:r>
          <w:rPr>
            <w:rStyle w:val="normaltextrun"/>
            <w:sz w:val="22"/>
            <w:shd w:val="clear" w:color="auto" w:fill="FFFFFF"/>
          </w:rPr>
          <w:delText> </w:delText>
        </w:r>
        <w:r w:rsidRPr="00E04B2A">
          <w:rPr>
            <w:rStyle w:val="normaltextrun"/>
            <w:sz w:val="22"/>
            <w:shd w:val="clear" w:color="auto" w:fill="FFFFFF"/>
          </w:rPr>
          <w:delText>mg) annenhver uke (N = 31) og en vedlikeholdsdose på 0,6</w:delText>
        </w:r>
        <w:r>
          <w:rPr>
            <w:rStyle w:val="normaltextrun"/>
            <w:sz w:val="22"/>
            <w:shd w:val="clear" w:color="auto" w:fill="FFFFFF"/>
          </w:rPr>
          <w:delText> </w:delText>
        </w:r>
        <w:r w:rsidRPr="00E04B2A">
          <w:rPr>
            <w:rStyle w:val="normaltextrun"/>
            <w:sz w:val="22"/>
            <w:shd w:val="clear" w:color="auto" w:fill="FFFFFF"/>
          </w:rPr>
          <w:delText>mg/kg (maksim</w:delText>
        </w:r>
        <w:r>
          <w:rPr>
            <w:rStyle w:val="normaltextrun"/>
            <w:sz w:val="22"/>
            <w:shd w:val="clear" w:color="auto" w:fill="FFFFFF"/>
          </w:rPr>
          <w:delText>alt</w:delText>
        </w:r>
        <w:r w:rsidRPr="00E04B2A">
          <w:rPr>
            <w:rStyle w:val="normaltextrun"/>
            <w:sz w:val="22"/>
            <w:shd w:val="clear" w:color="auto" w:fill="FFFFFF"/>
          </w:rPr>
          <w:delText xml:space="preserve"> 40</w:delText>
        </w:r>
        <w:r>
          <w:rPr>
            <w:rStyle w:val="normaltextrun"/>
            <w:sz w:val="22"/>
            <w:shd w:val="clear" w:color="auto" w:fill="FFFFFF"/>
          </w:rPr>
          <w:delText> </w:delText>
        </w:r>
        <w:r w:rsidRPr="00E04B2A">
          <w:rPr>
            <w:rStyle w:val="normaltextrun"/>
            <w:sz w:val="22"/>
            <w:shd w:val="clear" w:color="auto" w:fill="FFFFFF"/>
          </w:rPr>
          <w:delText>mg) hver uke (N = 32), etter kroppsvektjustert induksjonsdose på 2,4</w:delText>
        </w:r>
        <w:r>
          <w:rPr>
            <w:rStyle w:val="normaltextrun"/>
            <w:sz w:val="22"/>
            <w:shd w:val="clear" w:color="auto" w:fill="FFFFFF"/>
          </w:rPr>
          <w:delText> </w:delText>
        </w:r>
        <w:r w:rsidRPr="00E04B2A">
          <w:rPr>
            <w:rStyle w:val="normaltextrun"/>
            <w:sz w:val="22"/>
            <w:shd w:val="clear" w:color="auto" w:fill="FFFFFF"/>
          </w:rPr>
          <w:delText>mg/kg (maksim</w:delText>
        </w:r>
        <w:r>
          <w:rPr>
            <w:rStyle w:val="normaltextrun"/>
            <w:sz w:val="22"/>
            <w:shd w:val="clear" w:color="auto" w:fill="FFFFFF"/>
          </w:rPr>
          <w:delText>alt</w:delText>
        </w:r>
        <w:r w:rsidRPr="00E04B2A">
          <w:rPr>
            <w:rStyle w:val="normaltextrun"/>
            <w:sz w:val="22"/>
            <w:shd w:val="clear" w:color="auto" w:fill="FFFFFF"/>
          </w:rPr>
          <w:delText xml:space="preserve"> 160</w:delText>
        </w:r>
        <w:r>
          <w:rPr>
            <w:rStyle w:val="normaltextrun"/>
            <w:sz w:val="22"/>
            <w:shd w:val="clear" w:color="auto" w:fill="FFFFFF"/>
          </w:rPr>
          <w:delText> </w:delText>
        </w:r>
        <w:r w:rsidRPr="00E04B2A">
          <w:rPr>
            <w:rStyle w:val="normaltextrun"/>
            <w:sz w:val="22"/>
            <w:shd w:val="clear" w:color="auto" w:fill="FFFFFF"/>
          </w:rPr>
          <w:delText>mg) i uke 0 og uke 1 og 1,2</w:delText>
        </w:r>
        <w:r>
          <w:rPr>
            <w:rStyle w:val="normaltextrun"/>
            <w:sz w:val="22"/>
            <w:shd w:val="clear" w:color="auto" w:fill="FFFFFF"/>
          </w:rPr>
          <w:delText> </w:delText>
        </w:r>
        <w:r w:rsidRPr="00E04B2A">
          <w:rPr>
            <w:rStyle w:val="normaltextrun"/>
            <w:sz w:val="22"/>
            <w:shd w:val="clear" w:color="auto" w:fill="FFFFFF"/>
          </w:rPr>
          <w:delText>mg/kg ( maksimalt 80</w:delText>
        </w:r>
        <w:r>
          <w:rPr>
            <w:rStyle w:val="normaltextrun"/>
            <w:sz w:val="22"/>
            <w:shd w:val="clear" w:color="auto" w:fill="FFFFFF"/>
          </w:rPr>
          <w:delText> </w:delText>
        </w:r>
        <w:r w:rsidRPr="00E04B2A">
          <w:rPr>
            <w:rStyle w:val="normaltextrun"/>
            <w:sz w:val="22"/>
            <w:shd w:val="clear" w:color="auto" w:fill="FFFFFF"/>
          </w:rPr>
          <w:delText>mg) i uke 2 (N = 63), eller en induksjonsdose på 2,4</w:delText>
        </w:r>
        <w:r>
          <w:rPr>
            <w:rStyle w:val="normaltextrun"/>
            <w:sz w:val="22"/>
            <w:shd w:val="clear" w:color="auto" w:fill="FFFFFF"/>
          </w:rPr>
          <w:delText> </w:delText>
        </w:r>
        <w:r w:rsidRPr="00E04B2A">
          <w:rPr>
            <w:rStyle w:val="normaltextrun"/>
            <w:sz w:val="22"/>
            <w:shd w:val="clear" w:color="auto" w:fill="FFFFFF"/>
          </w:rPr>
          <w:delText>mg/kg (maksim</w:delText>
        </w:r>
        <w:r>
          <w:rPr>
            <w:rStyle w:val="normaltextrun"/>
            <w:sz w:val="22"/>
            <w:shd w:val="clear" w:color="auto" w:fill="FFFFFF"/>
          </w:rPr>
          <w:delText>alt</w:delText>
        </w:r>
        <w:r w:rsidRPr="00E04B2A">
          <w:rPr>
            <w:rStyle w:val="normaltextrun"/>
            <w:sz w:val="22"/>
            <w:shd w:val="clear" w:color="auto" w:fill="FFFFFF"/>
          </w:rPr>
          <w:delText xml:space="preserve"> 160</w:delText>
        </w:r>
        <w:r>
          <w:rPr>
            <w:rStyle w:val="normaltextrun"/>
            <w:sz w:val="22"/>
            <w:shd w:val="clear" w:color="auto" w:fill="FFFFFF"/>
          </w:rPr>
          <w:delText> </w:delText>
        </w:r>
        <w:r w:rsidRPr="00E04B2A">
          <w:rPr>
            <w:rStyle w:val="normaltextrun"/>
            <w:sz w:val="22"/>
            <w:shd w:val="clear" w:color="auto" w:fill="FFFFFF"/>
          </w:rPr>
          <w:delText>mg) i uke 0, placebo i uke 1 og 1,2</w:delText>
        </w:r>
        <w:r>
          <w:rPr>
            <w:rStyle w:val="normaltextrun"/>
            <w:sz w:val="22"/>
            <w:shd w:val="clear" w:color="auto" w:fill="FFFFFF"/>
          </w:rPr>
          <w:delText> </w:delText>
        </w:r>
        <w:r w:rsidRPr="00E04B2A">
          <w:rPr>
            <w:rStyle w:val="normaltextrun"/>
            <w:sz w:val="22"/>
            <w:shd w:val="clear" w:color="auto" w:fill="FFFFFF"/>
          </w:rPr>
          <w:delText>mg/kg (maksim</w:delText>
        </w:r>
        <w:r>
          <w:rPr>
            <w:rStyle w:val="normaltextrun"/>
            <w:sz w:val="22"/>
            <w:shd w:val="clear" w:color="auto" w:fill="FFFFFF"/>
          </w:rPr>
          <w:delText>alt</w:delText>
        </w:r>
        <w:r w:rsidRPr="00E04B2A">
          <w:rPr>
            <w:rStyle w:val="normaltextrun"/>
            <w:sz w:val="22"/>
            <w:shd w:val="clear" w:color="auto" w:fill="FFFFFF"/>
          </w:rPr>
          <w:delText xml:space="preserve"> 80</w:delText>
        </w:r>
        <w:r>
          <w:rPr>
            <w:rStyle w:val="normaltextrun"/>
            <w:sz w:val="22"/>
            <w:shd w:val="clear" w:color="auto" w:fill="FFFFFF"/>
          </w:rPr>
          <w:delText> </w:delText>
        </w:r>
        <w:r w:rsidRPr="00E04B2A">
          <w:rPr>
            <w:rStyle w:val="normaltextrun"/>
            <w:sz w:val="22"/>
            <w:shd w:val="clear" w:color="auto" w:fill="FFFFFF"/>
          </w:rPr>
          <w:delText xml:space="preserve">mg) </w:delText>
        </w:r>
        <w:r>
          <w:rPr>
            <w:rStyle w:val="normaltextrun"/>
            <w:sz w:val="22"/>
            <w:shd w:val="clear" w:color="auto" w:fill="FFFFFF"/>
          </w:rPr>
          <w:delText>i</w:delText>
        </w:r>
        <w:r w:rsidRPr="00E04B2A">
          <w:rPr>
            <w:rStyle w:val="normaltextrun"/>
            <w:sz w:val="22"/>
            <w:shd w:val="clear" w:color="auto" w:fill="FFFFFF"/>
          </w:rPr>
          <w:delText xml:space="preserve"> uke 2 (N = 30), </w:delText>
        </w:r>
        <w:r>
          <w:rPr>
            <w:rStyle w:val="normaltextrun"/>
            <w:sz w:val="22"/>
            <w:shd w:val="clear" w:color="auto" w:fill="FFFFFF"/>
          </w:rPr>
          <w:delText>oppstod</w:delText>
        </w:r>
        <w:r w:rsidRPr="00E04B2A">
          <w:rPr>
            <w:rStyle w:val="normaltextrun"/>
            <w:sz w:val="22"/>
            <w:shd w:val="clear" w:color="auto" w:fill="FFFFFF"/>
          </w:rPr>
          <w:delText xml:space="preserve"> </w:delText>
        </w:r>
        <w:r>
          <w:rPr>
            <w:rStyle w:val="normaltextrun"/>
            <w:sz w:val="22"/>
            <w:shd w:val="clear" w:color="auto" w:fill="FFFFFF"/>
          </w:rPr>
          <w:delText xml:space="preserve">stigninger i </w:delText>
        </w:r>
        <w:r w:rsidRPr="00E04B2A">
          <w:rPr>
            <w:rStyle w:val="normaltextrun"/>
            <w:sz w:val="22"/>
            <w:shd w:val="clear" w:color="auto" w:fill="FFFFFF"/>
          </w:rPr>
          <w:delText xml:space="preserve">ALAT ≥3 </w:delText>
        </w:r>
        <w:r>
          <w:rPr>
            <w:rStyle w:val="normaltextrun"/>
            <w:sz w:val="22"/>
            <w:shd w:val="clear" w:color="auto" w:fill="FFFFFF"/>
          </w:rPr>
          <w:delText>x</w:delText>
        </w:r>
        <w:r w:rsidRPr="00E04B2A">
          <w:rPr>
            <w:rStyle w:val="normaltextrun"/>
            <w:sz w:val="22"/>
            <w:shd w:val="clear" w:color="auto" w:fill="FFFFFF"/>
          </w:rPr>
          <w:delText xml:space="preserve"> ULN hos 1,1 % (1/93) av pasientene.</w:delText>
        </w:r>
      </w:del>
    </w:p>
    <w:p w14:paraId="446EF44E" w14:textId="349C6CA4" w:rsidR="008F0D97" w:rsidRPr="009C5EFD" w:rsidRDefault="008F0D97">
      <w:pPr>
        <w:keepNext/>
        <w:suppressAutoHyphens/>
        <w:rPr>
          <w:del w:id="6359" w:author="AbbVie02no" w:date="2025-05-15T13:45:00Z"/>
          <w:sz w:val="22"/>
          <w:szCs w:val="22"/>
        </w:rPr>
        <w:pPrChange w:id="6360" w:author="AbbVie02no" w:date="2025-05-15T13:45:00Z">
          <w:pPr/>
        </w:pPrChange>
      </w:pPr>
    </w:p>
    <w:p w14:paraId="6F9F20FC" w14:textId="06F2CB23" w:rsidR="00A17EBD" w:rsidRPr="009C5EFD" w:rsidRDefault="00E453CD">
      <w:pPr>
        <w:keepNext/>
        <w:suppressAutoHyphens/>
        <w:rPr>
          <w:del w:id="6361" w:author="AbbVie02no" w:date="2025-05-15T13:45:00Z"/>
          <w:sz w:val="22"/>
          <w:szCs w:val="22"/>
        </w:rPr>
        <w:pPrChange w:id="6362" w:author="AbbVie02no" w:date="2025-05-15T13:45:00Z">
          <w:pPr>
            <w:suppressAutoHyphens/>
          </w:pPr>
        </w:pPrChange>
      </w:pPr>
      <w:del w:id="6363" w:author="AbbVie02no" w:date="2025-05-15T13:45:00Z">
        <w:r w:rsidRPr="009C5EFD">
          <w:rPr>
            <w:sz w:val="22"/>
            <w:szCs w:val="22"/>
          </w:rPr>
          <w:delText>På tvers av alle indikasjoner i kliniske studier var pasienter med stigning i ALAT asymptomatiske</w:delText>
        </w:r>
        <w:r w:rsidR="000033CF" w:rsidRPr="009C5EFD">
          <w:rPr>
            <w:sz w:val="22"/>
            <w:szCs w:val="22"/>
          </w:rPr>
          <w:delText>,</w:delText>
        </w:r>
        <w:r w:rsidRPr="009C5EFD">
          <w:rPr>
            <w:sz w:val="22"/>
            <w:szCs w:val="22"/>
          </w:rPr>
          <w:delText xml:space="preserve"> og i de fleste tilfeller </w:delText>
        </w:r>
        <w:r w:rsidR="000033CF" w:rsidRPr="009C5EFD">
          <w:rPr>
            <w:sz w:val="22"/>
            <w:szCs w:val="22"/>
          </w:rPr>
          <w:delText xml:space="preserve">var stigningene </w:delText>
        </w:r>
        <w:r w:rsidRPr="009C5EFD">
          <w:rPr>
            <w:sz w:val="22"/>
            <w:szCs w:val="22"/>
          </w:rPr>
          <w:delText xml:space="preserve">forbigående ved fortsatt behandling. Imidlertid har det også etter </w:delText>
        </w:r>
        <w:r w:rsidRPr="009C5EFD">
          <w:rPr>
            <w:sz w:val="22"/>
            <w:szCs w:val="22"/>
          </w:rPr>
          <w:lastRenderedPageBreak/>
          <w:delText>markedsføring vært rapportert leversvikt samt mindre alvorlige leversykdommer som kan oppstå før leversvikt, for eksempel hepatitt inkludert autoimmun hepatitt hos pasienter som får adalimumab.</w:delText>
        </w:r>
      </w:del>
    </w:p>
    <w:p w14:paraId="46C15CC8" w14:textId="2B67AD72" w:rsidR="00762B97" w:rsidRPr="009C5EFD" w:rsidRDefault="00762B97">
      <w:pPr>
        <w:keepNext/>
        <w:suppressAutoHyphens/>
        <w:rPr>
          <w:del w:id="6364" w:author="AbbVie02no" w:date="2025-05-15T13:45:00Z"/>
          <w:sz w:val="22"/>
          <w:szCs w:val="22"/>
        </w:rPr>
        <w:pPrChange w:id="6365" w:author="AbbVie02no" w:date="2025-05-15T13:45:00Z">
          <w:pPr>
            <w:suppressAutoHyphens/>
          </w:pPr>
        </w:pPrChange>
      </w:pPr>
    </w:p>
    <w:p w14:paraId="03113A9A" w14:textId="16DE2AD1" w:rsidR="00762B97" w:rsidRPr="009C5EFD" w:rsidRDefault="00E453CD">
      <w:pPr>
        <w:keepNext/>
        <w:suppressAutoHyphens/>
        <w:rPr>
          <w:del w:id="6366" w:author="AbbVie02no" w:date="2025-05-15T13:45:00Z"/>
          <w:sz w:val="22"/>
          <w:szCs w:val="22"/>
          <w:u w:val="single"/>
        </w:rPr>
        <w:pPrChange w:id="6367" w:author="AbbVie02no" w:date="2025-05-15T13:45:00Z">
          <w:pPr>
            <w:keepNext/>
          </w:pPr>
        </w:pPrChange>
      </w:pPr>
      <w:del w:id="6368" w:author="AbbVie02no" w:date="2025-05-15T13:45:00Z">
        <w:r w:rsidRPr="009C5EFD">
          <w:rPr>
            <w:sz w:val="22"/>
            <w:szCs w:val="22"/>
            <w:u w:val="single"/>
          </w:rPr>
          <w:delText>Samtidig behandling med azatioprin/6-merkaptopurin</w:delText>
        </w:r>
      </w:del>
    </w:p>
    <w:p w14:paraId="4701E689" w14:textId="641D4F6B" w:rsidR="00762B97" w:rsidRPr="009C5EFD" w:rsidRDefault="00762B97">
      <w:pPr>
        <w:keepNext/>
        <w:suppressAutoHyphens/>
        <w:rPr>
          <w:del w:id="6369" w:author="AbbVie02no" w:date="2025-05-15T13:45:00Z"/>
          <w:sz w:val="22"/>
          <w:szCs w:val="22"/>
        </w:rPr>
        <w:pPrChange w:id="6370" w:author="AbbVie02no" w:date="2025-05-15T13:45:00Z">
          <w:pPr>
            <w:keepNext/>
          </w:pPr>
        </w:pPrChange>
      </w:pPr>
    </w:p>
    <w:p w14:paraId="2EF5DF47" w14:textId="2EB968E8" w:rsidR="00762B97" w:rsidRPr="009C5EFD" w:rsidRDefault="00E453CD">
      <w:pPr>
        <w:keepNext/>
        <w:suppressAutoHyphens/>
        <w:rPr>
          <w:del w:id="6371" w:author="AbbVie02no" w:date="2025-05-15T13:45:00Z"/>
          <w:sz w:val="22"/>
          <w:szCs w:val="22"/>
        </w:rPr>
        <w:pPrChange w:id="6372" w:author="AbbVie02no" w:date="2025-05-15T13:45:00Z">
          <w:pPr/>
        </w:pPrChange>
      </w:pPr>
      <w:del w:id="6373" w:author="AbbVie02no" w:date="2025-05-15T13:45:00Z">
        <w:r w:rsidRPr="009C5EFD">
          <w:rPr>
            <w:sz w:val="22"/>
            <w:szCs w:val="22"/>
          </w:rPr>
          <w:delText>I studier med Cro</w:delText>
        </w:r>
        <w:r w:rsidR="0099732C" w:rsidRPr="009C5EFD">
          <w:rPr>
            <w:sz w:val="22"/>
            <w:szCs w:val="22"/>
          </w:rPr>
          <w:delText>h</w:delText>
        </w:r>
        <w:r w:rsidRPr="009C5EFD">
          <w:rPr>
            <w:sz w:val="22"/>
            <w:szCs w:val="22"/>
          </w:rPr>
          <w:delText>ns sykdom hos voksne var forekomsten av maligne og alvorlige infeksjonsrelaterte bivirkninger høyere ved kombinasjon av Humira og azatioprin/6-merkaptopurin</w:delText>
        </w:r>
        <w:r w:rsidR="0099732C" w:rsidRPr="009C5EFD">
          <w:rPr>
            <w:sz w:val="22"/>
            <w:szCs w:val="22"/>
          </w:rPr>
          <w:delText>,</w:delText>
        </w:r>
        <w:r w:rsidRPr="009C5EFD">
          <w:rPr>
            <w:sz w:val="22"/>
            <w:szCs w:val="22"/>
          </w:rPr>
          <w:delText xml:space="preserve"> sammenlignet med Humira alene.</w:delText>
        </w:r>
      </w:del>
    </w:p>
    <w:p w14:paraId="2983788B" w14:textId="19FA57D0" w:rsidR="007D3805" w:rsidRPr="009C5EFD" w:rsidRDefault="007D3805">
      <w:pPr>
        <w:keepNext/>
        <w:suppressAutoHyphens/>
        <w:rPr>
          <w:del w:id="6374" w:author="AbbVie02no" w:date="2025-05-15T13:45:00Z"/>
          <w:sz w:val="22"/>
          <w:szCs w:val="22"/>
        </w:rPr>
        <w:pPrChange w:id="6375" w:author="AbbVie02no" w:date="2025-05-15T13:45:00Z">
          <w:pPr/>
        </w:pPrChange>
      </w:pPr>
    </w:p>
    <w:p w14:paraId="33B4267E" w14:textId="1E6B9D19" w:rsidR="007D3805" w:rsidRDefault="00E453CD">
      <w:pPr>
        <w:keepNext/>
        <w:suppressAutoHyphens/>
        <w:rPr>
          <w:del w:id="6376" w:author="AbbVie02no" w:date="2025-05-15T13:45:00Z"/>
          <w:sz w:val="22"/>
          <w:u w:val="single"/>
        </w:rPr>
        <w:pPrChange w:id="6377" w:author="AbbVie02no" w:date="2025-05-15T13:45:00Z">
          <w:pPr>
            <w:keepNext/>
          </w:pPr>
        </w:pPrChange>
      </w:pPr>
      <w:del w:id="6378" w:author="AbbVie02no" w:date="2025-05-15T13:45:00Z">
        <w:r w:rsidRPr="00EE4677">
          <w:rPr>
            <w:sz w:val="22"/>
            <w:u w:val="single"/>
          </w:rPr>
          <w:delText>Melding av mistenkte bivirkninger</w:delText>
        </w:r>
      </w:del>
    </w:p>
    <w:p w14:paraId="213579E1" w14:textId="21769B7B" w:rsidR="000F6651" w:rsidRPr="00460BE1" w:rsidRDefault="000F6651">
      <w:pPr>
        <w:keepNext/>
        <w:suppressAutoHyphens/>
        <w:rPr>
          <w:del w:id="6379" w:author="AbbVie02no" w:date="2025-05-15T13:45:00Z"/>
          <w:sz w:val="22"/>
          <w:szCs w:val="22"/>
          <w:u w:val="single"/>
        </w:rPr>
        <w:pPrChange w:id="6380" w:author="AbbVie02no" w:date="2025-05-15T13:45:00Z">
          <w:pPr>
            <w:keepNext/>
          </w:pPr>
        </w:pPrChange>
      </w:pPr>
    </w:p>
    <w:p w14:paraId="1B9178DE" w14:textId="252F2D2D" w:rsidR="007D3805" w:rsidRPr="007F67EE" w:rsidRDefault="00E453CD">
      <w:pPr>
        <w:keepNext/>
        <w:suppressAutoHyphens/>
        <w:rPr>
          <w:del w:id="6381" w:author="AbbVie02no" w:date="2025-05-15T13:45:00Z"/>
          <w:sz w:val="22"/>
          <w:szCs w:val="22"/>
        </w:rPr>
        <w:pPrChange w:id="6382" w:author="AbbVie02no" w:date="2025-05-15T13:45:00Z">
          <w:pPr/>
        </w:pPrChange>
      </w:pPr>
      <w:del w:id="6383" w:author="AbbVie02no" w:date="2025-05-15T13:45:00Z">
        <w:r w:rsidRPr="009C5EFD">
          <w:rPr>
            <w:sz w:val="22"/>
            <w:szCs w:val="22"/>
          </w:rPr>
          <w:delText xml:space="preserve">Melding av mistenkte bivirkninger etter godkjenning av legemidlet er viktig. Det gjør det mulig å overvåke forholdet mellom nytte og risiko for legemidlet kontinuerlig. Helsepersonell oppfordres til å melde enhver mistenkt bivirkning. Dette gjøres via </w:delText>
        </w:r>
        <w:r w:rsidR="00AB5EFC" w:rsidRPr="0053198B">
          <w:rPr>
            <w:noProof/>
            <w:sz w:val="22"/>
            <w:szCs w:val="22"/>
            <w:highlight w:val="lightGray"/>
          </w:rPr>
          <w:delText>det nasjonale meldesystemet som beskrevet i</w:delText>
        </w:r>
        <w:r w:rsidR="00AB5EFC" w:rsidRPr="0053198B">
          <w:rPr>
            <w:sz w:val="22"/>
            <w:szCs w:val="22"/>
            <w:highlight w:val="lightGray"/>
          </w:rPr>
          <w:delText xml:space="preserve"> </w:delText>
        </w:r>
        <w:r w:rsidR="008A5D92">
          <w:fldChar w:fldCharType="begin"/>
        </w:r>
        <w:r w:rsidR="008A5D92">
          <w:delInstrText>HYPERLINK "http://www.ema.europa.eu/docs/en_GB/document_library/Template_or_form/2013/03/WC500139752.doc"</w:delInstrText>
        </w:r>
        <w:r w:rsidR="008A5D92">
          <w:fldChar w:fldCharType="separate"/>
        </w:r>
        <w:r w:rsidR="008A5D92" w:rsidRPr="0053198B">
          <w:rPr>
            <w:color w:val="0000FF"/>
            <w:sz w:val="22"/>
            <w:szCs w:val="22"/>
            <w:highlight w:val="lightGray"/>
            <w:u w:val="single"/>
          </w:rPr>
          <w:delText>Appendix V</w:delText>
        </w:r>
        <w:r w:rsidR="008A5D92">
          <w:fldChar w:fldCharType="end"/>
        </w:r>
        <w:r w:rsidRPr="0053198B">
          <w:rPr>
            <w:sz w:val="22"/>
            <w:szCs w:val="22"/>
            <w:highlight w:val="lightGray"/>
          </w:rPr>
          <w:delText>.</w:delText>
        </w:r>
      </w:del>
    </w:p>
    <w:p w14:paraId="36D6A51B" w14:textId="1DE4E93F" w:rsidR="00A17EBD" w:rsidRPr="00193D76" w:rsidRDefault="00A17EBD">
      <w:pPr>
        <w:keepNext/>
        <w:suppressAutoHyphens/>
        <w:rPr>
          <w:del w:id="6384" w:author="AbbVie02no" w:date="2025-05-15T13:45:00Z"/>
          <w:sz w:val="22"/>
          <w:szCs w:val="22"/>
        </w:rPr>
        <w:pPrChange w:id="6385" w:author="AbbVie02no" w:date="2025-05-15T13:45:00Z">
          <w:pPr>
            <w:suppressAutoHyphens/>
          </w:pPr>
        </w:pPrChange>
      </w:pPr>
    </w:p>
    <w:p w14:paraId="6388C915" w14:textId="0E4E8328" w:rsidR="00DE3458" w:rsidRPr="002D0790" w:rsidRDefault="00E453CD">
      <w:pPr>
        <w:keepNext/>
        <w:suppressAutoHyphens/>
        <w:rPr>
          <w:del w:id="6386" w:author="AbbVie02no" w:date="2025-05-15T13:45:00Z"/>
          <w:sz w:val="22"/>
          <w:szCs w:val="22"/>
        </w:rPr>
        <w:pPrChange w:id="6387" w:author="AbbVie02no" w:date="2025-05-15T13:45:00Z">
          <w:pPr>
            <w:keepNext/>
            <w:suppressAutoHyphens/>
            <w:ind w:left="576" w:hanging="576"/>
          </w:pPr>
        </w:pPrChange>
      </w:pPr>
      <w:del w:id="6388" w:author="AbbVie02no" w:date="2025-05-15T13:45:00Z">
        <w:r w:rsidRPr="002D0790">
          <w:rPr>
            <w:b/>
            <w:sz w:val="22"/>
            <w:szCs w:val="22"/>
          </w:rPr>
          <w:delText>4.9</w:delText>
        </w:r>
        <w:r w:rsidRPr="002D0790">
          <w:rPr>
            <w:b/>
            <w:sz w:val="22"/>
            <w:szCs w:val="22"/>
          </w:rPr>
          <w:tab/>
          <w:delText>Overdosering</w:delText>
        </w:r>
      </w:del>
    </w:p>
    <w:p w14:paraId="11972763" w14:textId="750A3C1E" w:rsidR="00DE3458" w:rsidRPr="00E14E58" w:rsidRDefault="00DE3458">
      <w:pPr>
        <w:keepNext/>
        <w:suppressAutoHyphens/>
        <w:rPr>
          <w:del w:id="6389" w:author="AbbVie02no" w:date="2025-05-15T13:45:00Z"/>
          <w:sz w:val="22"/>
          <w:szCs w:val="22"/>
        </w:rPr>
        <w:pPrChange w:id="6390" w:author="AbbVie02no" w:date="2025-05-15T13:45:00Z">
          <w:pPr>
            <w:keepNext/>
          </w:pPr>
        </w:pPrChange>
      </w:pPr>
    </w:p>
    <w:p w14:paraId="6ECEC4FF" w14:textId="0AD5D7A6" w:rsidR="00DE3458" w:rsidRPr="009C5EFD" w:rsidRDefault="00E453CD">
      <w:pPr>
        <w:keepNext/>
        <w:suppressAutoHyphens/>
        <w:rPr>
          <w:del w:id="6391" w:author="AbbVie02no" w:date="2025-05-15T13:45:00Z"/>
          <w:sz w:val="22"/>
          <w:szCs w:val="22"/>
        </w:rPr>
        <w:pPrChange w:id="6392" w:author="AbbVie02no" w:date="2025-05-15T13:45:00Z">
          <w:pPr/>
        </w:pPrChange>
      </w:pPr>
      <w:del w:id="6393" w:author="AbbVie02no" w:date="2025-05-15T13:45:00Z">
        <w:r w:rsidRPr="009C5EFD">
          <w:rPr>
            <w:sz w:val="22"/>
            <w:szCs w:val="22"/>
          </w:rPr>
          <w:delText>Det ble ikke observert dosebegrensende toksisitet under kliniske utprøvninger. Høyeste doseringsnivå som har vært undersøkt er multiple intravenøse doser på 10 mg/kg som er ca</w:delText>
        </w:r>
        <w:r w:rsidR="00066950" w:rsidRPr="009C5EFD">
          <w:rPr>
            <w:sz w:val="22"/>
            <w:szCs w:val="22"/>
          </w:rPr>
          <w:delText>.</w:delText>
        </w:r>
        <w:r w:rsidRPr="009C5EFD">
          <w:rPr>
            <w:sz w:val="22"/>
            <w:szCs w:val="22"/>
          </w:rPr>
          <w:delText xml:space="preserve"> 15 ganger større enn anbefalt dose.</w:delText>
        </w:r>
      </w:del>
    </w:p>
    <w:p w14:paraId="0D686825" w14:textId="48BEB05B" w:rsidR="00320701" w:rsidRPr="009C5EFD" w:rsidRDefault="00320701">
      <w:pPr>
        <w:keepNext/>
        <w:suppressAutoHyphens/>
        <w:rPr>
          <w:del w:id="6394" w:author="AbbVie02no" w:date="2025-05-15T13:45:00Z"/>
          <w:sz w:val="22"/>
          <w:szCs w:val="22"/>
        </w:rPr>
        <w:pPrChange w:id="6395" w:author="AbbVie02no" w:date="2025-05-15T13:45:00Z">
          <w:pPr/>
        </w:pPrChange>
      </w:pPr>
    </w:p>
    <w:p w14:paraId="79701081" w14:textId="56805D9C" w:rsidR="00DE3458" w:rsidRPr="009C5EFD" w:rsidRDefault="00DE3458">
      <w:pPr>
        <w:keepNext/>
        <w:suppressAutoHyphens/>
        <w:rPr>
          <w:del w:id="6396" w:author="AbbVie02no" w:date="2025-05-15T13:45:00Z"/>
          <w:sz w:val="22"/>
          <w:szCs w:val="22"/>
        </w:rPr>
        <w:pPrChange w:id="6397" w:author="AbbVie02no" w:date="2025-05-15T13:45:00Z">
          <w:pPr/>
        </w:pPrChange>
      </w:pPr>
    </w:p>
    <w:p w14:paraId="5B36267D" w14:textId="6E8D79C3" w:rsidR="00DE3458" w:rsidRPr="009C5EFD" w:rsidRDefault="00E453CD">
      <w:pPr>
        <w:keepNext/>
        <w:suppressAutoHyphens/>
        <w:rPr>
          <w:del w:id="6398" w:author="AbbVie02no" w:date="2025-05-15T13:45:00Z"/>
          <w:sz w:val="22"/>
          <w:szCs w:val="22"/>
        </w:rPr>
        <w:pPrChange w:id="6399" w:author="AbbVie02no" w:date="2025-05-15T13:45:00Z">
          <w:pPr>
            <w:keepNext/>
            <w:suppressAutoHyphens/>
            <w:ind w:left="567" w:hanging="567"/>
          </w:pPr>
        </w:pPrChange>
      </w:pPr>
      <w:del w:id="6400" w:author="AbbVie02no" w:date="2025-05-15T13:45:00Z">
        <w:r w:rsidRPr="009C5EFD">
          <w:rPr>
            <w:b/>
            <w:sz w:val="22"/>
            <w:szCs w:val="22"/>
          </w:rPr>
          <w:delText>5.</w:delText>
        </w:r>
        <w:r w:rsidRPr="009C5EFD">
          <w:rPr>
            <w:b/>
            <w:sz w:val="22"/>
            <w:szCs w:val="22"/>
          </w:rPr>
          <w:tab/>
          <w:delText>FARMAKOLOGISKE EGENSKAPER</w:delText>
        </w:r>
      </w:del>
    </w:p>
    <w:p w14:paraId="476F6C8A" w14:textId="448522BA" w:rsidR="00DE3458" w:rsidRPr="009C5EFD" w:rsidRDefault="00DE3458">
      <w:pPr>
        <w:keepNext/>
        <w:suppressAutoHyphens/>
        <w:rPr>
          <w:del w:id="6401" w:author="AbbVie02no" w:date="2025-05-15T13:45:00Z"/>
          <w:sz w:val="22"/>
          <w:szCs w:val="22"/>
        </w:rPr>
        <w:pPrChange w:id="6402" w:author="AbbVie02no" w:date="2025-05-15T13:45:00Z">
          <w:pPr>
            <w:keepNext/>
          </w:pPr>
        </w:pPrChange>
      </w:pPr>
    </w:p>
    <w:p w14:paraId="18A3CFE3" w14:textId="7B105D04" w:rsidR="00DE3458" w:rsidRPr="009C5EFD" w:rsidRDefault="00E453CD">
      <w:pPr>
        <w:keepNext/>
        <w:suppressAutoHyphens/>
        <w:rPr>
          <w:del w:id="6403" w:author="AbbVie02no" w:date="2025-05-15T13:45:00Z"/>
          <w:sz w:val="22"/>
          <w:szCs w:val="22"/>
        </w:rPr>
        <w:pPrChange w:id="6404" w:author="AbbVie02no" w:date="2025-05-15T13:45:00Z">
          <w:pPr>
            <w:keepNext/>
            <w:suppressAutoHyphens/>
            <w:ind w:left="567" w:hanging="567"/>
          </w:pPr>
        </w:pPrChange>
      </w:pPr>
      <w:del w:id="6405" w:author="AbbVie02no" w:date="2025-05-15T13:45:00Z">
        <w:r w:rsidRPr="009C5EFD">
          <w:rPr>
            <w:b/>
            <w:sz w:val="22"/>
            <w:szCs w:val="22"/>
          </w:rPr>
          <w:delText>5.1</w:delText>
        </w:r>
        <w:r w:rsidRPr="009C5EFD">
          <w:rPr>
            <w:b/>
            <w:sz w:val="22"/>
            <w:szCs w:val="22"/>
          </w:rPr>
          <w:tab/>
          <w:delText>Farmakodynamiske egenskaper</w:delText>
        </w:r>
      </w:del>
    </w:p>
    <w:p w14:paraId="5F6B0491" w14:textId="3DCD6B33" w:rsidR="00DE3458" w:rsidRPr="009C5EFD" w:rsidRDefault="00DE3458">
      <w:pPr>
        <w:keepNext/>
        <w:suppressAutoHyphens/>
        <w:rPr>
          <w:del w:id="6406" w:author="AbbVie02no" w:date="2025-05-15T13:45:00Z"/>
          <w:sz w:val="22"/>
          <w:szCs w:val="22"/>
        </w:rPr>
        <w:pPrChange w:id="6407" w:author="AbbVie02no" w:date="2025-05-15T13:45:00Z">
          <w:pPr>
            <w:keepNext/>
          </w:pPr>
        </w:pPrChange>
      </w:pPr>
    </w:p>
    <w:p w14:paraId="279B04FF" w14:textId="1A5633A0" w:rsidR="00DE3458" w:rsidRPr="009C5EFD" w:rsidRDefault="00E453CD">
      <w:pPr>
        <w:keepNext/>
        <w:suppressAutoHyphens/>
        <w:rPr>
          <w:del w:id="6408" w:author="AbbVie02no" w:date="2025-05-15T13:45:00Z"/>
          <w:sz w:val="22"/>
          <w:szCs w:val="22"/>
        </w:rPr>
        <w:pPrChange w:id="6409" w:author="AbbVie02no" w:date="2025-05-15T13:45:00Z">
          <w:pPr>
            <w:suppressAutoHyphens/>
          </w:pPr>
        </w:pPrChange>
      </w:pPr>
      <w:del w:id="6410" w:author="AbbVie02no" w:date="2025-05-15T13:45:00Z">
        <w:r w:rsidRPr="009C5EFD">
          <w:rPr>
            <w:sz w:val="22"/>
            <w:szCs w:val="22"/>
          </w:rPr>
          <w:delText xml:space="preserve">Farmakoterapeutisk gruppe: </w:delText>
        </w:r>
        <w:r w:rsidR="00E3269E" w:rsidRPr="009C5EFD">
          <w:rPr>
            <w:sz w:val="22"/>
            <w:szCs w:val="22"/>
          </w:rPr>
          <w:delText>Immunsuppressiv</w:delText>
        </w:r>
        <w:r w:rsidR="00D245F6">
          <w:rPr>
            <w:sz w:val="22"/>
            <w:szCs w:val="22"/>
          </w:rPr>
          <w:delText>a</w:delText>
        </w:r>
        <w:r w:rsidR="00E3269E" w:rsidRPr="009C5EFD">
          <w:rPr>
            <w:sz w:val="22"/>
            <w:szCs w:val="22"/>
          </w:rPr>
          <w:delText xml:space="preserve">, tumornekrosefaktor alfa </w:delText>
        </w:r>
        <w:r w:rsidR="00E3269E" w:rsidRPr="009C5EFD">
          <w:delText>(TNF-</w:delText>
        </w:r>
        <w:r w:rsidR="00E3269E" w:rsidRPr="009C5EFD">
          <w:rPr>
            <w:lang w:val="en-GB"/>
          </w:rPr>
          <w:delText>α</w:delText>
        </w:r>
        <w:r w:rsidR="00E3269E" w:rsidRPr="009C5EFD">
          <w:delText>)</w:delText>
        </w:r>
        <w:r w:rsidR="00D76283" w:rsidRPr="009C5EFD">
          <w:delText>-</w:delText>
        </w:r>
        <w:r w:rsidR="00E3269E" w:rsidRPr="009C5EFD">
          <w:delText xml:space="preserve">hemmere. </w:delText>
        </w:r>
        <w:r w:rsidRPr="009C5EFD">
          <w:rPr>
            <w:sz w:val="22"/>
            <w:szCs w:val="22"/>
          </w:rPr>
          <w:delText>ATC-kode: L04AB04</w:delText>
        </w:r>
      </w:del>
    </w:p>
    <w:p w14:paraId="011B67B5" w14:textId="78072E14" w:rsidR="00F52536" w:rsidRPr="009C5EFD" w:rsidRDefault="00F52536">
      <w:pPr>
        <w:keepNext/>
        <w:suppressAutoHyphens/>
        <w:rPr>
          <w:del w:id="6411" w:author="AbbVie02no" w:date="2025-05-15T13:45:00Z"/>
          <w:sz w:val="22"/>
          <w:szCs w:val="22"/>
        </w:rPr>
        <w:pPrChange w:id="6412" w:author="AbbVie02no" w:date="2025-05-15T13:45:00Z">
          <w:pPr>
            <w:suppressAutoHyphens/>
          </w:pPr>
        </w:pPrChange>
      </w:pPr>
    </w:p>
    <w:p w14:paraId="13663FA8" w14:textId="2C4A8F60" w:rsidR="00DE3458" w:rsidRPr="009C5EFD" w:rsidRDefault="00E453CD">
      <w:pPr>
        <w:keepNext/>
        <w:suppressAutoHyphens/>
        <w:rPr>
          <w:del w:id="6413" w:author="AbbVie02no" w:date="2025-05-15T13:45:00Z"/>
          <w:sz w:val="22"/>
          <w:szCs w:val="22"/>
          <w:u w:val="single"/>
        </w:rPr>
        <w:pPrChange w:id="6414" w:author="AbbVie02no" w:date="2025-05-15T13:45:00Z">
          <w:pPr>
            <w:keepNext/>
            <w:suppressAutoHyphens/>
            <w:ind w:left="567" w:hanging="567"/>
          </w:pPr>
        </w:pPrChange>
      </w:pPr>
      <w:del w:id="6415" w:author="AbbVie02no" w:date="2025-05-15T13:45:00Z">
        <w:r w:rsidRPr="009C5EFD">
          <w:rPr>
            <w:sz w:val="22"/>
            <w:szCs w:val="22"/>
            <w:u w:val="single"/>
          </w:rPr>
          <w:delText>Virkningsmekanisme</w:delText>
        </w:r>
      </w:del>
    </w:p>
    <w:p w14:paraId="54A4CCA6" w14:textId="436B30D7" w:rsidR="00DE3458" w:rsidRPr="009C5EFD" w:rsidRDefault="00DE3458" w:rsidP="004B57B4">
      <w:pPr>
        <w:keepNext/>
        <w:suppressAutoHyphens/>
        <w:rPr>
          <w:del w:id="6416" w:author="AbbVie02no" w:date="2025-05-15T13:45:00Z"/>
          <w:sz w:val="22"/>
          <w:szCs w:val="22"/>
        </w:rPr>
      </w:pPr>
    </w:p>
    <w:p w14:paraId="514BDF9F" w14:textId="7DD9D537" w:rsidR="00D76283" w:rsidRPr="009C5EFD" w:rsidRDefault="00E453CD">
      <w:pPr>
        <w:keepNext/>
        <w:suppressAutoHyphens/>
        <w:rPr>
          <w:del w:id="6417" w:author="AbbVie02no" w:date="2025-05-15T13:45:00Z"/>
          <w:sz w:val="22"/>
          <w:szCs w:val="22"/>
        </w:rPr>
        <w:pPrChange w:id="6418" w:author="AbbVie02no" w:date="2025-05-15T13:45:00Z">
          <w:pPr>
            <w:suppressAutoHyphens/>
          </w:pPr>
        </w:pPrChange>
      </w:pPr>
      <w:del w:id="6419" w:author="AbbVie02no" w:date="2025-05-15T13:45:00Z">
        <w:r w:rsidRPr="009C5EFD">
          <w:rPr>
            <w:sz w:val="22"/>
            <w:szCs w:val="22"/>
          </w:rPr>
          <w:delText>Adalimumab binder seg spesifikt til TNF og nøytraliserer TNFs biologiske funksjon ved å blokkere interaksjonen med TNF-reseptorene p55 og p75 på celleoverflaten.</w:delText>
        </w:r>
      </w:del>
    </w:p>
    <w:p w14:paraId="66CEBAB7" w14:textId="28D599A1" w:rsidR="00C17ADC" w:rsidRPr="009C5EFD" w:rsidRDefault="00C17ADC">
      <w:pPr>
        <w:keepNext/>
        <w:suppressAutoHyphens/>
        <w:rPr>
          <w:del w:id="6420" w:author="AbbVie02no" w:date="2025-05-15T13:45:00Z"/>
          <w:sz w:val="22"/>
          <w:szCs w:val="22"/>
        </w:rPr>
        <w:pPrChange w:id="6421" w:author="AbbVie02no" w:date="2025-05-15T13:45:00Z">
          <w:pPr>
            <w:suppressAutoHyphens/>
          </w:pPr>
        </w:pPrChange>
      </w:pPr>
    </w:p>
    <w:p w14:paraId="23DDE429" w14:textId="6359524A" w:rsidR="00DE3458" w:rsidRPr="009C5EFD" w:rsidRDefault="00E453CD">
      <w:pPr>
        <w:keepNext/>
        <w:suppressAutoHyphens/>
        <w:rPr>
          <w:del w:id="6422" w:author="AbbVie02no" w:date="2025-05-15T13:45:00Z"/>
          <w:sz w:val="22"/>
          <w:szCs w:val="22"/>
        </w:rPr>
        <w:pPrChange w:id="6423" w:author="AbbVie02no" w:date="2025-05-15T13:45:00Z">
          <w:pPr>
            <w:suppressAutoHyphens/>
          </w:pPr>
        </w:pPrChange>
      </w:pPr>
      <w:del w:id="6424" w:author="AbbVie02no" w:date="2025-05-15T13:45:00Z">
        <w:r w:rsidRPr="009C5EFD">
          <w:rPr>
            <w:sz w:val="22"/>
            <w:szCs w:val="22"/>
          </w:rPr>
          <w:delText>Adalimumab modulerer også biologiske responser som induseres eller reguleres av TNF, deriblant endringer i mengden av adhesjonsmolekyler som er ansvarlig for le</w:delText>
        </w:r>
        <w:r w:rsidR="00827E81" w:rsidRPr="009C5EFD">
          <w:rPr>
            <w:sz w:val="22"/>
            <w:szCs w:val="22"/>
          </w:rPr>
          <w:delText>u</w:delText>
        </w:r>
        <w:r w:rsidRPr="009C5EFD">
          <w:rPr>
            <w:sz w:val="22"/>
            <w:szCs w:val="22"/>
          </w:rPr>
          <w:delText>kocyttmigrasjonen (ELAM</w:delText>
        </w:r>
        <w:r w:rsidR="009F138A" w:rsidRPr="009C5EFD">
          <w:rPr>
            <w:sz w:val="22"/>
            <w:szCs w:val="22"/>
          </w:rPr>
          <w:noBreakHyphen/>
          <w:delText>1</w:delText>
        </w:r>
        <w:r w:rsidRPr="009C5EFD">
          <w:rPr>
            <w:sz w:val="22"/>
            <w:szCs w:val="22"/>
          </w:rPr>
          <w:delText>, VCAM-1 og ICAM-1 med en IC</w:delText>
        </w:r>
        <w:r w:rsidRPr="009C5EFD">
          <w:rPr>
            <w:sz w:val="22"/>
            <w:szCs w:val="22"/>
            <w:vertAlign w:val="subscript"/>
          </w:rPr>
          <w:delText>50</w:delText>
        </w:r>
        <w:r w:rsidRPr="009C5EFD">
          <w:rPr>
            <w:sz w:val="22"/>
            <w:szCs w:val="22"/>
          </w:rPr>
          <w:delText xml:space="preserve"> på</w:delText>
        </w:r>
        <w:r w:rsidR="009F138A" w:rsidRPr="009C5EFD">
          <w:rPr>
            <w:sz w:val="22"/>
            <w:szCs w:val="22"/>
          </w:rPr>
          <w:delText xml:space="preserve"> </w:delText>
        </w:r>
        <w:r w:rsidRPr="009C5EFD">
          <w:rPr>
            <w:sz w:val="22"/>
            <w:szCs w:val="22"/>
          </w:rPr>
          <w:delText>0,1-0,2 nM).</w:delText>
        </w:r>
      </w:del>
    </w:p>
    <w:p w14:paraId="1286BF08" w14:textId="74B6C91B" w:rsidR="00DE3458" w:rsidRPr="009C5EFD" w:rsidRDefault="00DE3458">
      <w:pPr>
        <w:keepNext/>
        <w:suppressAutoHyphens/>
        <w:rPr>
          <w:del w:id="6425" w:author="AbbVie02no" w:date="2025-05-15T13:45:00Z"/>
          <w:sz w:val="22"/>
          <w:szCs w:val="22"/>
        </w:rPr>
        <w:pPrChange w:id="6426" w:author="AbbVie02no" w:date="2025-05-15T13:45:00Z">
          <w:pPr>
            <w:suppressAutoHyphens/>
          </w:pPr>
        </w:pPrChange>
      </w:pPr>
    </w:p>
    <w:p w14:paraId="565B49FB" w14:textId="6B5C4FE2" w:rsidR="00DE3458" w:rsidRPr="009C5EFD" w:rsidRDefault="00E453CD">
      <w:pPr>
        <w:keepNext/>
        <w:suppressAutoHyphens/>
        <w:rPr>
          <w:del w:id="6427" w:author="AbbVie02no" w:date="2025-05-15T13:45:00Z"/>
          <w:szCs w:val="22"/>
        </w:rPr>
        <w:pPrChange w:id="6428" w:author="AbbVie02no" w:date="2025-05-15T13:45:00Z">
          <w:pPr>
            <w:pStyle w:val="Heading8"/>
            <w:suppressAutoHyphens/>
          </w:pPr>
        </w:pPrChange>
      </w:pPr>
      <w:del w:id="6429" w:author="AbbVie02no" w:date="2025-05-15T13:45:00Z">
        <w:r w:rsidRPr="009C5EFD">
          <w:rPr>
            <w:szCs w:val="22"/>
          </w:rPr>
          <w:delText xml:space="preserve">Farmakodynamiske </w:delText>
        </w:r>
        <w:r w:rsidR="009F138A" w:rsidRPr="009C5EFD">
          <w:rPr>
            <w:szCs w:val="22"/>
          </w:rPr>
          <w:delText>effekter</w:delText>
        </w:r>
      </w:del>
    </w:p>
    <w:p w14:paraId="0732053E" w14:textId="4F71895D" w:rsidR="00DE3458" w:rsidRPr="009C5EFD" w:rsidRDefault="00DE3458" w:rsidP="004B57B4">
      <w:pPr>
        <w:keepNext/>
        <w:suppressAutoHyphens/>
        <w:rPr>
          <w:del w:id="6430" w:author="AbbVie02no" w:date="2025-05-15T13:45:00Z"/>
          <w:sz w:val="22"/>
          <w:szCs w:val="22"/>
        </w:rPr>
      </w:pPr>
    </w:p>
    <w:p w14:paraId="24FFD3F2" w14:textId="5C17814D" w:rsidR="00DE3458" w:rsidRPr="009C5EFD" w:rsidRDefault="00E453CD">
      <w:pPr>
        <w:keepNext/>
        <w:suppressAutoHyphens/>
        <w:rPr>
          <w:del w:id="6431" w:author="AbbVie02no" w:date="2025-05-15T13:45:00Z"/>
          <w:sz w:val="22"/>
          <w:szCs w:val="22"/>
        </w:rPr>
        <w:pPrChange w:id="6432" w:author="AbbVie02no" w:date="2025-05-15T13:45:00Z">
          <w:pPr>
            <w:suppressAutoHyphens/>
          </w:pPr>
        </w:pPrChange>
      </w:pPr>
      <w:del w:id="6433" w:author="AbbVie02no" w:date="2025-05-15T13:45:00Z">
        <w:r w:rsidRPr="009C5EFD">
          <w:rPr>
            <w:sz w:val="22"/>
            <w:szCs w:val="22"/>
          </w:rPr>
          <w:delText xml:space="preserve">Etter behandling med Humira, ble det hos pasienter med revmatoid artritt observert hurtig reduksjon i nivåene på akuttfase-reaktantene (C-reaktivt protein (CRP) og senkningsreaksjonen (SR)) og serumcytokinene (IL-6) sammenlignet med </w:delText>
        </w:r>
        <w:r w:rsidR="00085BDB" w:rsidRPr="009C5EFD">
          <w:rPr>
            <w:sz w:val="22"/>
            <w:szCs w:val="22"/>
          </w:rPr>
          <w:delText>verdier ved oppstart</w:delText>
        </w:r>
        <w:r w:rsidRPr="009C5EFD">
          <w:rPr>
            <w:sz w:val="22"/>
            <w:szCs w:val="22"/>
          </w:rPr>
          <w:delText>. Serumnivåene til matri</w:delText>
        </w:r>
        <w:r w:rsidR="003F0835">
          <w:rPr>
            <w:sz w:val="22"/>
            <w:szCs w:val="22"/>
          </w:rPr>
          <w:delText>k</w:delText>
        </w:r>
        <w:r w:rsidRPr="009C5EFD">
          <w:rPr>
            <w:sz w:val="22"/>
            <w:szCs w:val="22"/>
          </w:rPr>
          <w:delText xml:space="preserve">s metalloproteinaser (MMP-1 og MMP-3) som </w:delText>
        </w:r>
        <w:r w:rsidR="00291025" w:rsidRPr="009C5EFD">
          <w:rPr>
            <w:sz w:val="22"/>
            <w:szCs w:val="22"/>
          </w:rPr>
          <w:delText xml:space="preserve">forårsaker </w:delText>
        </w:r>
        <w:r w:rsidRPr="009C5EFD">
          <w:rPr>
            <w:sz w:val="22"/>
          </w:rPr>
          <w:delText>vevsremodelleringen</w:delText>
        </w:r>
        <w:r w:rsidRPr="009C5EFD">
          <w:rPr>
            <w:sz w:val="22"/>
            <w:szCs w:val="22"/>
          </w:rPr>
          <w:delText xml:space="preserve"> ansvarlig for bruskødeleggelse avtok også etter administrasjon av Humira. Pasienter behandlet med Humira opplevde vanligvis en bedring av disse hematologiske tegnene på kronisk inflammasjon.</w:delText>
        </w:r>
      </w:del>
    </w:p>
    <w:p w14:paraId="0572BC24" w14:textId="0CC84922" w:rsidR="00DE3458" w:rsidRPr="009C5EFD" w:rsidRDefault="00DE3458">
      <w:pPr>
        <w:keepNext/>
        <w:suppressAutoHyphens/>
        <w:rPr>
          <w:del w:id="6434" w:author="AbbVie02no" w:date="2025-05-15T13:45:00Z"/>
          <w:szCs w:val="22"/>
        </w:rPr>
        <w:pPrChange w:id="6435" w:author="AbbVie02no" w:date="2025-05-15T13:45:00Z">
          <w:pPr>
            <w:pStyle w:val="EndnoteText"/>
            <w:widowControl/>
            <w:tabs>
              <w:tab w:val="clear" w:pos="567"/>
            </w:tabs>
            <w:suppressAutoHyphens/>
          </w:pPr>
        </w:pPrChange>
      </w:pPr>
    </w:p>
    <w:p w14:paraId="1DA860A9" w14:textId="0BA32D48" w:rsidR="00BA3EDA" w:rsidRPr="009C5EFD" w:rsidRDefault="00E453CD">
      <w:pPr>
        <w:keepNext/>
        <w:suppressAutoHyphens/>
        <w:rPr>
          <w:del w:id="6436" w:author="AbbVie02no" w:date="2025-05-15T13:45:00Z"/>
          <w:szCs w:val="22"/>
        </w:rPr>
        <w:pPrChange w:id="6437" w:author="AbbVie02no" w:date="2025-05-15T13:45:00Z">
          <w:pPr>
            <w:pStyle w:val="EndnoteText"/>
            <w:widowControl/>
            <w:tabs>
              <w:tab w:val="clear" w:pos="567"/>
            </w:tabs>
            <w:suppressAutoHyphens/>
          </w:pPr>
        </w:pPrChange>
      </w:pPr>
      <w:del w:id="6438" w:author="AbbVie02no" w:date="2025-05-15T13:45:00Z">
        <w:r w:rsidRPr="009C5EFD">
          <w:delText>En rask reduksjon i CRP-nivå ble også observert hos pasienter med polyartikulær juvenil idiopatisk artritt, Crohns sykdom</w:delText>
        </w:r>
        <w:r w:rsidR="00542916" w:rsidRPr="009C5EFD">
          <w:delText>,</w:delText>
        </w:r>
        <w:r w:rsidRPr="009C5EFD">
          <w:delText xml:space="preserve"> ulcerøs kolitt</w:delText>
        </w:r>
        <w:r w:rsidR="00542916" w:rsidRPr="009C5EFD">
          <w:delText xml:space="preserve"> og </w:delText>
        </w:r>
        <w:r w:rsidR="007F67EE" w:rsidRPr="009C5EFD">
          <w:delText>hidrosadenitt</w:delText>
        </w:r>
        <w:r w:rsidRPr="009C5EFD">
          <w:delText xml:space="preserve"> etter behandling med Humira. </w:delText>
        </w:r>
        <w:r w:rsidRPr="009C5EFD">
          <w:rPr>
            <w:szCs w:val="22"/>
          </w:rPr>
          <w:delText xml:space="preserve">Hos pasienter med Crohns sykdom ble </w:delText>
        </w:r>
        <w:r w:rsidR="00322CFB" w:rsidRPr="009C5EFD">
          <w:rPr>
            <w:szCs w:val="22"/>
          </w:rPr>
          <w:delText>en</w:delText>
        </w:r>
        <w:r w:rsidRPr="009C5EFD">
          <w:rPr>
            <w:szCs w:val="22"/>
          </w:rPr>
          <w:delText xml:space="preserve"> reduksjon i antall celler som </w:delText>
        </w:r>
        <w:r w:rsidR="00CA1D4D" w:rsidRPr="009C5EFD">
          <w:rPr>
            <w:szCs w:val="22"/>
          </w:rPr>
          <w:delText xml:space="preserve">uttrykker </w:delText>
        </w:r>
        <w:r w:rsidRPr="009C5EFD">
          <w:rPr>
            <w:szCs w:val="22"/>
          </w:rPr>
          <w:delText xml:space="preserve">inflammasjonsmarkører i tykktarmen, inkludert </w:delText>
        </w:r>
        <w:r w:rsidR="000872CB" w:rsidRPr="009C5EFD">
          <w:rPr>
            <w:szCs w:val="22"/>
          </w:rPr>
          <w:delText xml:space="preserve">en signifikant </w:delText>
        </w:r>
        <w:r w:rsidRPr="009C5EFD">
          <w:rPr>
            <w:szCs w:val="22"/>
          </w:rPr>
          <w:delText xml:space="preserve">reduksjon i TNFα, observert. </w:delText>
        </w:r>
        <w:r w:rsidRPr="009C5EFD">
          <w:rPr>
            <w:szCs w:val="22"/>
          </w:rPr>
          <w:lastRenderedPageBreak/>
          <w:delText>Endoskopiske studier i intestinal muk</w:delText>
        </w:r>
        <w:r w:rsidR="00CA1D4D" w:rsidRPr="009C5EFD">
          <w:rPr>
            <w:szCs w:val="22"/>
          </w:rPr>
          <w:delText>o</w:delText>
        </w:r>
        <w:r w:rsidRPr="009C5EFD">
          <w:rPr>
            <w:szCs w:val="22"/>
          </w:rPr>
          <w:delText>s</w:delText>
        </w:r>
        <w:r w:rsidR="00CA1D4D" w:rsidRPr="009C5EFD">
          <w:rPr>
            <w:szCs w:val="22"/>
          </w:rPr>
          <w:delText>a</w:delText>
        </w:r>
        <w:r w:rsidRPr="009C5EFD">
          <w:rPr>
            <w:szCs w:val="22"/>
          </w:rPr>
          <w:delText xml:space="preserve"> har vist slimhinne</w:delText>
        </w:r>
        <w:r w:rsidR="00CA1D4D" w:rsidRPr="009C5EFD">
          <w:rPr>
            <w:szCs w:val="22"/>
          </w:rPr>
          <w:delText>til</w:delText>
        </w:r>
        <w:r w:rsidRPr="009C5EFD">
          <w:rPr>
            <w:szCs w:val="22"/>
          </w:rPr>
          <w:delText>heling hos pasienter som ble behandlet med adalimumab.</w:delText>
        </w:r>
      </w:del>
    </w:p>
    <w:p w14:paraId="5F90F3FB" w14:textId="0E0CD61C" w:rsidR="00DE3458" w:rsidRPr="009C5EFD" w:rsidRDefault="00DE3458">
      <w:pPr>
        <w:keepNext/>
        <w:suppressAutoHyphens/>
        <w:rPr>
          <w:del w:id="6439" w:author="AbbVie02no" w:date="2025-05-15T13:45:00Z"/>
          <w:szCs w:val="22"/>
        </w:rPr>
        <w:pPrChange w:id="6440" w:author="AbbVie02no" w:date="2025-05-15T13:45:00Z">
          <w:pPr>
            <w:pStyle w:val="EndnoteText"/>
            <w:widowControl/>
            <w:tabs>
              <w:tab w:val="clear" w:pos="567"/>
            </w:tabs>
            <w:suppressAutoHyphens/>
          </w:pPr>
        </w:pPrChange>
      </w:pPr>
    </w:p>
    <w:p w14:paraId="56ECD40D" w14:textId="0C8BCB59" w:rsidR="00DE3458" w:rsidRPr="009C5EFD" w:rsidRDefault="00E453CD">
      <w:pPr>
        <w:keepNext/>
        <w:suppressAutoHyphens/>
        <w:rPr>
          <w:del w:id="6441" w:author="AbbVie02no" w:date="2025-05-15T13:45:00Z"/>
          <w:szCs w:val="22"/>
          <w:u w:val="single"/>
        </w:rPr>
        <w:pPrChange w:id="6442" w:author="AbbVie02no" w:date="2025-05-15T13:45:00Z">
          <w:pPr>
            <w:pStyle w:val="EndnoteText"/>
            <w:keepNext/>
            <w:widowControl/>
            <w:tabs>
              <w:tab w:val="clear" w:pos="567"/>
            </w:tabs>
            <w:suppressAutoHyphens/>
          </w:pPr>
        </w:pPrChange>
      </w:pPr>
      <w:del w:id="6443" w:author="AbbVie02no" w:date="2025-05-15T13:45:00Z">
        <w:r w:rsidRPr="009C5EFD">
          <w:rPr>
            <w:szCs w:val="22"/>
            <w:u w:val="single"/>
          </w:rPr>
          <w:delText>Klinisk</w:delText>
        </w:r>
        <w:r w:rsidR="007711A6" w:rsidRPr="009C5EFD">
          <w:rPr>
            <w:szCs w:val="22"/>
            <w:u w:val="single"/>
          </w:rPr>
          <w:delText xml:space="preserve"> effekt og sikkerhet</w:delText>
        </w:r>
      </w:del>
    </w:p>
    <w:p w14:paraId="568FD7D4" w14:textId="6A04D35F" w:rsidR="00DE3458" w:rsidRPr="009C5EFD" w:rsidRDefault="00DE3458">
      <w:pPr>
        <w:keepNext/>
        <w:suppressAutoHyphens/>
        <w:rPr>
          <w:del w:id="6444" w:author="AbbVie02no" w:date="2025-05-15T13:45:00Z"/>
          <w:szCs w:val="22"/>
        </w:rPr>
        <w:pPrChange w:id="6445" w:author="AbbVie02no" w:date="2025-05-15T13:45:00Z">
          <w:pPr>
            <w:pStyle w:val="EndnoteText"/>
            <w:keepNext/>
            <w:widowControl/>
            <w:tabs>
              <w:tab w:val="clear" w:pos="567"/>
            </w:tabs>
            <w:suppressAutoHyphens/>
          </w:pPr>
        </w:pPrChange>
      </w:pPr>
    </w:p>
    <w:p w14:paraId="6757C970" w14:textId="36105CFC" w:rsidR="00DE3458" w:rsidRPr="001F5D4B" w:rsidRDefault="00E453CD">
      <w:pPr>
        <w:keepNext/>
        <w:suppressAutoHyphens/>
        <w:rPr>
          <w:del w:id="6446" w:author="AbbVie02no" w:date="2025-05-15T13:45:00Z"/>
          <w:i/>
          <w:szCs w:val="22"/>
        </w:rPr>
        <w:pPrChange w:id="6447" w:author="AbbVie02no" w:date="2025-05-15T13:45:00Z">
          <w:pPr>
            <w:pStyle w:val="EndnoteText"/>
            <w:keepNext/>
            <w:widowControl/>
            <w:tabs>
              <w:tab w:val="clear" w:pos="567"/>
            </w:tabs>
            <w:suppressAutoHyphens/>
          </w:pPr>
        </w:pPrChange>
      </w:pPr>
      <w:del w:id="6448" w:author="AbbVie02no" w:date="2025-05-15T13:45:00Z">
        <w:r w:rsidRPr="001F5D4B">
          <w:rPr>
            <w:i/>
            <w:szCs w:val="22"/>
          </w:rPr>
          <w:delText>Revmatoid artritt</w:delText>
        </w:r>
      </w:del>
    </w:p>
    <w:p w14:paraId="2DD7BD55" w14:textId="2CCC0C3C" w:rsidR="00DE3458" w:rsidRPr="007F67EE" w:rsidRDefault="00DE3458">
      <w:pPr>
        <w:keepNext/>
        <w:suppressAutoHyphens/>
        <w:rPr>
          <w:del w:id="6449" w:author="AbbVie02no" w:date="2025-05-15T13:45:00Z"/>
          <w:szCs w:val="22"/>
        </w:rPr>
        <w:pPrChange w:id="6450" w:author="AbbVie02no" w:date="2025-05-15T13:45:00Z">
          <w:pPr>
            <w:pStyle w:val="EndnoteText"/>
            <w:keepNext/>
            <w:widowControl/>
            <w:tabs>
              <w:tab w:val="clear" w:pos="567"/>
            </w:tabs>
            <w:suppressAutoHyphens/>
          </w:pPr>
        </w:pPrChange>
      </w:pPr>
    </w:p>
    <w:p w14:paraId="48873215" w14:textId="4BA76FE4" w:rsidR="00DE3458" w:rsidRPr="009C5EFD" w:rsidRDefault="00E453CD">
      <w:pPr>
        <w:keepNext/>
        <w:suppressAutoHyphens/>
        <w:rPr>
          <w:del w:id="6451" w:author="AbbVie02no" w:date="2025-05-15T13:45:00Z"/>
          <w:szCs w:val="22"/>
        </w:rPr>
        <w:pPrChange w:id="6452" w:author="AbbVie02no" w:date="2025-05-15T13:45:00Z">
          <w:pPr>
            <w:pStyle w:val="EndnoteText"/>
            <w:widowControl/>
            <w:tabs>
              <w:tab w:val="clear" w:pos="567"/>
            </w:tabs>
            <w:suppressAutoHyphens/>
          </w:pPr>
        </w:pPrChange>
      </w:pPr>
      <w:del w:id="6453" w:author="AbbVie02no" w:date="2025-05-15T13:45:00Z">
        <w:r w:rsidRPr="00193D76">
          <w:rPr>
            <w:szCs w:val="22"/>
          </w:rPr>
          <w:delText xml:space="preserve">Humira </w:delText>
        </w:r>
        <w:r w:rsidR="004C100E" w:rsidRPr="00E14E58">
          <w:rPr>
            <w:szCs w:val="22"/>
          </w:rPr>
          <w:delText>ble</w:delText>
        </w:r>
        <w:r w:rsidR="004C100E" w:rsidRPr="009C5EFD">
          <w:rPr>
            <w:szCs w:val="22"/>
          </w:rPr>
          <w:delText xml:space="preserve"> </w:delText>
        </w:r>
        <w:r w:rsidR="003D3CAB">
          <w:rPr>
            <w:szCs w:val="22"/>
          </w:rPr>
          <w:delText>vurdert</w:delText>
        </w:r>
        <w:r w:rsidR="004C100E" w:rsidRPr="009C5EFD">
          <w:rPr>
            <w:szCs w:val="22"/>
          </w:rPr>
          <w:delText xml:space="preserve"> </w:delText>
        </w:r>
        <w:r w:rsidR="00332884">
          <w:rPr>
            <w:szCs w:val="22"/>
          </w:rPr>
          <w:delText>hos</w:delText>
        </w:r>
        <w:r w:rsidRPr="00193D76">
          <w:rPr>
            <w:szCs w:val="22"/>
          </w:rPr>
          <w:delText xml:space="preserve"> mer enn 3000 pasienter </w:delText>
        </w:r>
        <w:r w:rsidR="00332884">
          <w:rPr>
            <w:szCs w:val="22"/>
          </w:rPr>
          <w:delText>i alle kliniske studier på</w:delText>
        </w:r>
        <w:r w:rsidRPr="00193D76">
          <w:rPr>
            <w:szCs w:val="22"/>
          </w:rPr>
          <w:delText xml:space="preserve"> revmatoid artritt. </w:delText>
        </w:r>
        <w:r w:rsidR="00E330AA" w:rsidRPr="002D0790">
          <w:rPr>
            <w:szCs w:val="22"/>
          </w:rPr>
          <w:delText xml:space="preserve">Effekt og sikkerhet </w:delText>
        </w:r>
        <w:r w:rsidR="00C34F9D" w:rsidRPr="002D0790">
          <w:rPr>
            <w:szCs w:val="22"/>
          </w:rPr>
          <w:delText>av</w:delText>
        </w:r>
        <w:r w:rsidR="00E330AA" w:rsidRPr="00E14E58">
          <w:rPr>
            <w:szCs w:val="22"/>
          </w:rPr>
          <w:delText xml:space="preserve"> Humira ble utredet i fem randomiserte, dobbeltblinde og velkontrollerte studier. </w:delText>
        </w:r>
        <w:r w:rsidRPr="009C5EFD">
          <w:rPr>
            <w:szCs w:val="22"/>
          </w:rPr>
          <w:delText xml:space="preserve">Enkelte pasienter fikk behandling som varte i inntil </w:delText>
        </w:r>
        <w:r w:rsidR="00E330AA" w:rsidRPr="009C5EFD">
          <w:rPr>
            <w:szCs w:val="22"/>
          </w:rPr>
          <w:delText>12</w:delText>
        </w:r>
        <w:r w:rsidRPr="009C5EFD">
          <w:rPr>
            <w:szCs w:val="22"/>
          </w:rPr>
          <w:delText xml:space="preserve">0 måneder. </w:delText>
        </w:r>
      </w:del>
    </w:p>
    <w:p w14:paraId="05991F0F" w14:textId="717C562A" w:rsidR="00DE3458" w:rsidRPr="009C5EFD" w:rsidRDefault="00DE3458">
      <w:pPr>
        <w:keepNext/>
        <w:suppressAutoHyphens/>
        <w:rPr>
          <w:del w:id="6454" w:author="AbbVie02no" w:date="2025-05-15T13:45:00Z"/>
          <w:szCs w:val="22"/>
        </w:rPr>
        <w:pPrChange w:id="6455" w:author="AbbVie02no" w:date="2025-05-15T13:45:00Z">
          <w:pPr>
            <w:pStyle w:val="EndnoteText"/>
            <w:widowControl/>
            <w:tabs>
              <w:tab w:val="clear" w:pos="567"/>
            </w:tabs>
            <w:suppressAutoHyphens/>
          </w:pPr>
        </w:pPrChange>
      </w:pPr>
    </w:p>
    <w:p w14:paraId="5E49243E" w14:textId="7590BB51" w:rsidR="00DE3458" w:rsidRPr="009C5EFD" w:rsidRDefault="00E453CD">
      <w:pPr>
        <w:keepNext/>
        <w:suppressAutoHyphens/>
        <w:rPr>
          <w:del w:id="6456" w:author="AbbVie02no" w:date="2025-05-15T13:45:00Z"/>
          <w:szCs w:val="22"/>
        </w:rPr>
        <w:pPrChange w:id="6457" w:author="AbbVie02no" w:date="2025-05-15T13:45:00Z">
          <w:pPr>
            <w:pStyle w:val="EndnoteText"/>
            <w:widowControl/>
            <w:tabs>
              <w:tab w:val="clear" w:pos="567"/>
            </w:tabs>
            <w:suppressAutoHyphens/>
          </w:pPr>
        </w:pPrChange>
      </w:pPr>
      <w:del w:id="6458" w:author="AbbVie02no" w:date="2025-05-15T13:45:00Z">
        <w:r w:rsidRPr="009C5EFD">
          <w:rPr>
            <w:szCs w:val="22"/>
          </w:rPr>
          <w:delText xml:space="preserve">RA-studie I </w:delText>
        </w:r>
        <w:r w:rsidR="003D3CAB">
          <w:rPr>
            <w:szCs w:val="22"/>
          </w:rPr>
          <w:delText>vurderte</w:delText>
        </w:r>
        <w:r w:rsidRPr="009C5EFD">
          <w:rPr>
            <w:szCs w:val="22"/>
          </w:rPr>
          <w:delText xml:space="preserve"> 271 pasienter med moderat til </w:delText>
        </w:r>
        <w:r w:rsidR="00021903">
          <w:rPr>
            <w:szCs w:val="22"/>
          </w:rPr>
          <w:delText>alvorlig</w:delText>
        </w:r>
        <w:r w:rsidRPr="009C5EFD">
          <w:rPr>
            <w:szCs w:val="22"/>
          </w:rPr>
          <w:delText xml:space="preserve"> aktiv revmatoid artritt som var </w:delText>
        </w:r>
        <w:r w:rsidR="00EA09FB" w:rsidRPr="009C5EFD">
          <w:rPr>
            <w:szCs w:val="22"/>
          </w:rPr>
          <w:delText>≥ </w:delText>
        </w:r>
        <w:r w:rsidRPr="009C5EFD">
          <w:rPr>
            <w:szCs w:val="22"/>
          </w:rPr>
          <w:delText>18 år, hvor behandlingen hadde mislyktes med minst ett sykdomsmodifiserende antirevmatisk legemiddel, hvor metotreksatdoser på 12,5 til 25 mg (10 mg ved metotreksatintoleranse) i uken ikke hadde hatt tilstrekkelig effekt, og hvor metotreksatdosen ble holdt konstant på 10 til 25 mg i uken. Doser på 20, 40 eller 80 mg Humira eller placebo ble gitt annenhver uke i 24 uker.</w:delText>
        </w:r>
      </w:del>
    </w:p>
    <w:p w14:paraId="3700354B" w14:textId="4C6F0B96" w:rsidR="00876A09" w:rsidRPr="009C5EFD" w:rsidRDefault="00876A09">
      <w:pPr>
        <w:keepNext/>
        <w:suppressAutoHyphens/>
        <w:rPr>
          <w:del w:id="6459" w:author="AbbVie02no" w:date="2025-05-15T13:45:00Z"/>
          <w:szCs w:val="22"/>
        </w:rPr>
        <w:pPrChange w:id="6460" w:author="AbbVie02no" w:date="2025-05-15T13:45:00Z">
          <w:pPr>
            <w:pStyle w:val="EndnoteText"/>
            <w:widowControl/>
            <w:tabs>
              <w:tab w:val="clear" w:pos="567"/>
            </w:tabs>
            <w:suppressAutoHyphens/>
          </w:pPr>
        </w:pPrChange>
      </w:pPr>
    </w:p>
    <w:p w14:paraId="1E093EC3" w14:textId="78C049A8" w:rsidR="00DE3458" w:rsidRPr="009C5EFD" w:rsidRDefault="00E453CD">
      <w:pPr>
        <w:keepNext/>
        <w:suppressAutoHyphens/>
        <w:rPr>
          <w:del w:id="6461" w:author="AbbVie02no" w:date="2025-05-15T13:45:00Z"/>
          <w:szCs w:val="22"/>
        </w:rPr>
        <w:pPrChange w:id="6462" w:author="AbbVie02no" w:date="2025-05-15T13:45:00Z">
          <w:pPr>
            <w:pStyle w:val="EndnoteText"/>
            <w:widowControl/>
            <w:tabs>
              <w:tab w:val="clear" w:pos="567"/>
            </w:tabs>
            <w:suppressAutoHyphens/>
          </w:pPr>
        </w:pPrChange>
      </w:pPr>
      <w:del w:id="6463" w:author="AbbVie02no" w:date="2025-05-15T13:45:00Z">
        <w:r w:rsidRPr="009C5EFD">
          <w:rPr>
            <w:szCs w:val="22"/>
          </w:rPr>
          <w:delText xml:space="preserve">RA-studie II </w:delText>
        </w:r>
        <w:r w:rsidR="003D3CAB">
          <w:rPr>
            <w:szCs w:val="22"/>
          </w:rPr>
          <w:delText>vurderte</w:delText>
        </w:r>
        <w:r w:rsidRPr="009C5EFD">
          <w:rPr>
            <w:szCs w:val="22"/>
          </w:rPr>
          <w:delText xml:space="preserve"> 544 pasienter med moderat til </w:delText>
        </w:r>
        <w:r w:rsidR="00021903">
          <w:rPr>
            <w:szCs w:val="22"/>
          </w:rPr>
          <w:delText>alvorlig</w:delText>
        </w:r>
        <w:r w:rsidRPr="009C5EFD">
          <w:rPr>
            <w:szCs w:val="22"/>
          </w:rPr>
          <w:delText xml:space="preserve"> aktiv revmatoid artritt som var</w:delText>
        </w:r>
        <w:r w:rsidR="00EA09FB" w:rsidRPr="009C5EFD">
          <w:rPr>
            <w:szCs w:val="22"/>
          </w:rPr>
          <w:delText xml:space="preserve"> ≥</w:delText>
        </w:r>
        <w:r w:rsidRPr="009C5EFD">
          <w:rPr>
            <w:szCs w:val="22"/>
          </w:rPr>
          <w:delText xml:space="preserve"> 18 år, hvor behandlingen hadde mislyktes med minst ett sykdomsmodifiserende antirevmatisk legemiddel. Doser på 20 og 40 mg Humira ble gitt subkutant annen</w:delText>
        </w:r>
        <w:r w:rsidR="00666CFA">
          <w:rPr>
            <w:szCs w:val="22"/>
          </w:rPr>
          <w:delText>hver</w:delText>
        </w:r>
        <w:r w:rsidRPr="009C5EFD">
          <w:rPr>
            <w:szCs w:val="22"/>
          </w:rPr>
          <w:delText xml:space="preserve"> uke med placebo i de mellomliggende ukene, eller hver uke i 26 uker; placebo ble gitt hver uke av samme varighet. Andre sykdomsmodifiserende antirevmatiske legemidler var ikke tillatt.</w:delText>
        </w:r>
      </w:del>
    </w:p>
    <w:p w14:paraId="63B98160" w14:textId="03D6B516" w:rsidR="00DE3458" w:rsidRPr="009C5EFD" w:rsidRDefault="00DE3458">
      <w:pPr>
        <w:keepNext/>
        <w:suppressAutoHyphens/>
        <w:rPr>
          <w:del w:id="6464" w:author="AbbVie02no" w:date="2025-05-15T13:45:00Z"/>
          <w:szCs w:val="22"/>
        </w:rPr>
        <w:pPrChange w:id="6465" w:author="AbbVie02no" w:date="2025-05-15T13:45:00Z">
          <w:pPr>
            <w:pStyle w:val="EndnoteText"/>
            <w:widowControl/>
            <w:tabs>
              <w:tab w:val="clear" w:pos="567"/>
            </w:tabs>
            <w:suppressAutoHyphens/>
          </w:pPr>
        </w:pPrChange>
      </w:pPr>
    </w:p>
    <w:p w14:paraId="5EA5251A" w14:textId="6FCCA6E4" w:rsidR="00DE3458" w:rsidRPr="009C5EFD" w:rsidRDefault="00E453CD">
      <w:pPr>
        <w:keepNext/>
        <w:suppressAutoHyphens/>
        <w:rPr>
          <w:del w:id="6466" w:author="AbbVie02no" w:date="2025-05-15T13:45:00Z"/>
          <w:szCs w:val="22"/>
        </w:rPr>
        <w:pPrChange w:id="6467" w:author="AbbVie02no" w:date="2025-05-15T13:45:00Z">
          <w:pPr>
            <w:pStyle w:val="EndnoteText"/>
            <w:widowControl/>
            <w:tabs>
              <w:tab w:val="clear" w:pos="567"/>
            </w:tabs>
            <w:suppressAutoHyphens/>
          </w:pPr>
        </w:pPrChange>
      </w:pPr>
      <w:del w:id="6468" w:author="AbbVie02no" w:date="2025-05-15T13:45:00Z">
        <w:r w:rsidRPr="009C5EFD">
          <w:rPr>
            <w:szCs w:val="22"/>
          </w:rPr>
          <w:delText xml:space="preserve">RA-studie III </w:delText>
        </w:r>
        <w:r w:rsidR="003D3CAB">
          <w:rPr>
            <w:szCs w:val="22"/>
          </w:rPr>
          <w:delText>vurderte</w:delText>
        </w:r>
        <w:r w:rsidRPr="009C5EFD">
          <w:rPr>
            <w:szCs w:val="22"/>
          </w:rPr>
          <w:delText xml:space="preserve"> 619 pasienter med moderat til </w:delText>
        </w:r>
        <w:r w:rsidR="00021903">
          <w:rPr>
            <w:szCs w:val="22"/>
          </w:rPr>
          <w:delText>alvorlig</w:delText>
        </w:r>
        <w:r w:rsidRPr="009C5EFD">
          <w:rPr>
            <w:szCs w:val="22"/>
          </w:rPr>
          <w:delText xml:space="preserve"> aktiv revmatoid artritt som var </w:delText>
        </w:r>
        <w:r w:rsidR="00DF70B0" w:rsidRPr="009C5EFD">
          <w:rPr>
            <w:szCs w:val="22"/>
          </w:rPr>
          <w:delText>≥ </w:delText>
        </w:r>
        <w:r w:rsidRPr="009C5EFD">
          <w:rPr>
            <w:szCs w:val="22"/>
          </w:rPr>
          <w:delText xml:space="preserve">18 år og som hadde en ineffektiv respons på metotreksat ved doser mellom 12,5 til 25 mg eller var intolerante overfor 10 mg metotreksat hver uke. I denne studien var det tre grupper. Den første fikk placebo-injeksjoner hver uke i 52 uker. Den andre fikk 20 mg Humira hver uke i 52 uker. Den tredje gruppen fikk 40 mg Humira annenhver uke med placebo-injeksjoner i de mellomliggende ukene. </w:delText>
        </w:r>
        <w:r w:rsidR="00E330AA" w:rsidRPr="009C5EFD">
          <w:rPr>
            <w:szCs w:val="22"/>
          </w:rPr>
          <w:delText>Etter avslutning av de første 52 uker b</w:delText>
        </w:r>
        <w:r w:rsidR="00855315" w:rsidRPr="009C5EFD">
          <w:rPr>
            <w:szCs w:val="22"/>
          </w:rPr>
          <w:delText>l</w:delText>
        </w:r>
        <w:r w:rsidR="00E330AA" w:rsidRPr="009C5EFD">
          <w:rPr>
            <w:szCs w:val="22"/>
          </w:rPr>
          <w:delText xml:space="preserve">e 457 </w:delText>
        </w:r>
        <w:r w:rsidRPr="009C5EFD">
          <w:rPr>
            <w:szCs w:val="22"/>
          </w:rPr>
          <w:delText>pasiente</w:delText>
        </w:r>
        <w:r w:rsidR="00E330AA" w:rsidRPr="009C5EFD">
          <w:rPr>
            <w:szCs w:val="22"/>
          </w:rPr>
          <w:delText>r</w:delText>
        </w:r>
        <w:r w:rsidRPr="009C5EFD">
          <w:rPr>
            <w:szCs w:val="22"/>
          </w:rPr>
          <w:delText xml:space="preserve"> inkludert i en åpen oppfølgingsstudie hvor det ble gitt 40 mg Humira</w:delText>
        </w:r>
        <w:r w:rsidR="00855315" w:rsidRPr="009C5EFD">
          <w:rPr>
            <w:szCs w:val="22"/>
          </w:rPr>
          <w:delText>/MTX</w:delText>
        </w:r>
        <w:r w:rsidRPr="009C5EFD">
          <w:rPr>
            <w:szCs w:val="22"/>
          </w:rPr>
          <w:delText xml:space="preserve"> annenhver uke i inntil </w:delText>
        </w:r>
        <w:r w:rsidR="00AA3335" w:rsidRPr="009C5EFD">
          <w:rPr>
            <w:szCs w:val="22"/>
          </w:rPr>
          <w:delText>10 år</w:delText>
        </w:r>
        <w:r w:rsidRPr="009C5EFD">
          <w:rPr>
            <w:szCs w:val="22"/>
          </w:rPr>
          <w:delText>.</w:delText>
        </w:r>
      </w:del>
    </w:p>
    <w:p w14:paraId="008D3F80" w14:textId="192B5EBC" w:rsidR="00E330AA" w:rsidRPr="009C5EFD" w:rsidRDefault="00E330AA">
      <w:pPr>
        <w:keepNext/>
        <w:suppressAutoHyphens/>
        <w:rPr>
          <w:del w:id="6469" w:author="AbbVie02no" w:date="2025-05-15T13:45:00Z"/>
          <w:sz w:val="22"/>
          <w:szCs w:val="22"/>
        </w:rPr>
        <w:pPrChange w:id="6470" w:author="AbbVie02no" w:date="2025-05-15T13:45:00Z">
          <w:pPr/>
        </w:pPrChange>
      </w:pPr>
    </w:p>
    <w:p w14:paraId="45C9B7F0" w14:textId="55B90395" w:rsidR="00085BDB" w:rsidRPr="009C5EFD" w:rsidRDefault="00E453CD">
      <w:pPr>
        <w:keepNext/>
        <w:suppressAutoHyphens/>
        <w:rPr>
          <w:del w:id="6471" w:author="AbbVie02no" w:date="2025-05-15T13:45:00Z"/>
          <w:sz w:val="22"/>
          <w:szCs w:val="22"/>
        </w:rPr>
        <w:pPrChange w:id="6472" w:author="AbbVie02no" w:date="2025-05-15T13:45:00Z">
          <w:pPr/>
        </w:pPrChange>
      </w:pPr>
      <w:del w:id="6473" w:author="AbbVie02no" w:date="2025-05-15T13:45:00Z">
        <w:r w:rsidRPr="009C5EFD">
          <w:rPr>
            <w:sz w:val="22"/>
            <w:szCs w:val="22"/>
          </w:rPr>
          <w:delText xml:space="preserve">RA-studie IV utredet først og fremst sikkerhet hos 636 pasienter med moderat til </w:delText>
        </w:r>
        <w:r w:rsidR="00021903">
          <w:rPr>
            <w:sz w:val="22"/>
            <w:szCs w:val="22"/>
          </w:rPr>
          <w:delText>alvorlig</w:delText>
        </w:r>
        <w:r w:rsidRPr="009C5EFD">
          <w:rPr>
            <w:sz w:val="22"/>
            <w:szCs w:val="22"/>
          </w:rPr>
          <w:delText xml:space="preserve"> aktiv revmatoid artritt og som var </w:delText>
        </w:r>
        <w:r w:rsidR="00DF70B0" w:rsidRPr="00776A84">
          <w:rPr>
            <w:sz w:val="22"/>
            <w:szCs w:val="22"/>
          </w:rPr>
          <w:delText>≥ </w:delText>
        </w:r>
        <w:r w:rsidRPr="009C5EFD">
          <w:rPr>
            <w:sz w:val="22"/>
            <w:szCs w:val="22"/>
          </w:rPr>
          <w:delText xml:space="preserve">18 år. Pasientene hadde </w:delText>
        </w:r>
        <w:r w:rsidR="008B3FDA" w:rsidRPr="009C5EFD">
          <w:rPr>
            <w:sz w:val="22"/>
            <w:szCs w:val="22"/>
          </w:rPr>
          <w:delText xml:space="preserve">enten </w:delText>
        </w:r>
        <w:r w:rsidRPr="009C5EFD">
          <w:rPr>
            <w:sz w:val="22"/>
            <w:szCs w:val="22"/>
          </w:rPr>
          <w:delText xml:space="preserve">aldri </w:delText>
        </w:r>
        <w:r w:rsidR="008B3FDA" w:rsidRPr="009C5EFD">
          <w:rPr>
            <w:sz w:val="22"/>
            <w:szCs w:val="22"/>
          </w:rPr>
          <w:delText>brukt</w:delText>
        </w:r>
        <w:r w:rsidRPr="009C5EFD">
          <w:rPr>
            <w:sz w:val="22"/>
            <w:szCs w:val="22"/>
          </w:rPr>
          <w:delText xml:space="preserve"> sykdomsmodifiserende, antirevmatiske midler eller</w:delText>
        </w:r>
        <w:r w:rsidR="008B3FDA" w:rsidRPr="009C5EFD">
          <w:rPr>
            <w:sz w:val="22"/>
            <w:szCs w:val="22"/>
          </w:rPr>
          <w:delText xml:space="preserve"> </w:delText>
        </w:r>
        <w:r w:rsidRPr="009C5EFD">
          <w:rPr>
            <w:sz w:val="22"/>
            <w:szCs w:val="22"/>
          </w:rPr>
          <w:delText xml:space="preserve">de </w:delText>
        </w:r>
        <w:r w:rsidRPr="009C5EFD">
          <w:rPr>
            <w:sz w:val="22"/>
          </w:rPr>
          <w:delText>forts</w:delText>
        </w:r>
        <w:r w:rsidR="00B14C1F" w:rsidRPr="009C5EFD">
          <w:rPr>
            <w:sz w:val="22"/>
          </w:rPr>
          <w:delText>a</w:delText>
        </w:r>
        <w:r w:rsidRPr="009C5EFD">
          <w:rPr>
            <w:sz w:val="22"/>
          </w:rPr>
          <w:delText>tte</w:delText>
        </w:r>
        <w:r w:rsidRPr="009C5EFD">
          <w:rPr>
            <w:sz w:val="22"/>
            <w:szCs w:val="22"/>
          </w:rPr>
          <w:delText xml:space="preserve"> med den revmatologiske behandling som allerede var innledet, forutsatt at behandlingen hadde vært stabil i minst 28 dager. Disse legemidlene inkluderer metotreksat, leflunomid, hydroksyklorokin, sulfasalazin og/eller gullsalter. Pasientene ble randomisert til behandling med enten 40 mg Humira eller placebo annenhver uke i 24 uker.</w:delText>
        </w:r>
      </w:del>
    </w:p>
    <w:p w14:paraId="66A252FE" w14:textId="35CB4245" w:rsidR="00E3269E" w:rsidRPr="009C5EFD" w:rsidRDefault="00E3269E">
      <w:pPr>
        <w:keepNext/>
        <w:suppressAutoHyphens/>
        <w:rPr>
          <w:del w:id="6474" w:author="AbbVie02no" w:date="2025-05-15T13:45:00Z"/>
          <w:sz w:val="22"/>
          <w:szCs w:val="22"/>
        </w:rPr>
        <w:pPrChange w:id="6475" w:author="AbbVie02no" w:date="2025-05-15T13:45:00Z">
          <w:pPr/>
        </w:pPrChange>
      </w:pPr>
    </w:p>
    <w:p w14:paraId="7C56D9A6" w14:textId="1DCA2DAD" w:rsidR="00085BDB" w:rsidRPr="009C5EFD" w:rsidRDefault="00E453CD">
      <w:pPr>
        <w:keepNext/>
        <w:suppressAutoHyphens/>
        <w:rPr>
          <w:del w:id="6476" w:author="AbbVie02no" w:date="2025-05-15T13:45:00Z"/>
          <w:sz w:val="22"/>
          <w:szCs w:val="22"/>
        </w:rPr>
        <w:pPrChange w:id="6477" w:author="AbbVie02no" w:date="2025-05-15T13:45:00Z">
          <w:pPr/>
        </w:pPrChange>
      </w:pPr>
      <w:del w:id="6478" w:author="AbbVie02no" w:date="2025-05-15T13:45:00Z">
        <w:r w:rsidRPr="009C5EFD">
          <w:rPr>
            <w:sz w:val="22"/>
            <w:szCs w:val="22"/>
          </w:rPr>
          <w:delText xml:space="preserve">RA-studie V </w:delText>
        </w:r>
        <w:r w:rsidR="003D3CAB">
          <w:rPr>
            <w:sz w:val="22"/>
            <w:szCs w:val="22"/>
          </w:rPr>
          <w:delText>vurderte</w:delText>
        </w:r>
        <w:r w:rsidRPr="009C5EFD">
          <w:rPr>
            <w:sz w:val="22"/>
            <w:szCs w:val="22"/>
          </w:rPr>
          <w:delText xml:space="preserve"> 799 voksne pasienter med moderat til alvorlig aktiv tidlig revmatoid artritt, som ikke hadde fått metotreksat tidligere (gjennomsnittlig sykdomsvarighet mindre enn 9 måneder). Denne studien </w:delText>
        </w:r>
        <w:r w:rsidR="006B250F">
          <w:rPr>
            <w:sz w:val="22"/>
            <w:szCs w:val="22"/>
          </w:rPr>
          <w:delText>vurderte</w:delText>
        </w:r>
        <w:r w:rsidRPr="009C5EFD">
          <w:rPr>
            <w:sz w:val="22"/>
            <w:szCs w:val="22"/>
          </w:rPr>
          <w:delText xml:space="preserve"> effekten av kombinasjonsbehandling Humira 40 mg annen</w:delText>
        </w:r>
        <w:r w:rsidR="00666CFA">
          <w:rPr>
            <w:sz w:val="22"/>
            <w:szCs w:val="22"/>
          </w:rPr>
          <w:delText>hver</w:delText>
        </w:r>
        <w:r w:rsidRPr="009C5EFD">
          <w:rPr>
            <w:sz w:val="22"/>
            <w:szCs w:val="22"/>
          </w:rPr>
          <w:delText xml:space="preserve"> uke/metotreksat, Humira 40 mg annen</w:delText>
        </w:r>
        <w:r w:rsidR="00666CFA">
          <w:rPr>
            <w:sz w:val="22"/>
            <w:szCs w:val="22"/>
          </w:rPr>
          <w:delText>hver</w:delText>
        </w:r>
        <w:r w:rsidRPr="009C5EFD">
          <w:rPr>
            <w:sz w:val="22"/>
            <w:szCs w:val="22"/>
          </w:rPr>
          <w:delText xml:space="preserve"> uke i monoterapi og metotreksat monoterapi, på reduksjon av tegn og symptomer og grad av progresjon i leddskade ved revmatoid artritt i 104 uker. </w:delText>
        </w:r>
        <w:r w:rsidR="0012315F">
          <w:rPr>
            <w:sz w:val="22"/>
            <w:szCs w:val="22"/>
          </w:rPr>
          <w:delText>Etter avslutning av de første 104 uke</w:delText>
        </w:r>
        <w:r w:rsidR="00620E3C">
          <w:rPr>
            <w:sz w:val="22"/>
            <w:szCs w:val="22"/>
          </w:rPr>
          <w:delText>ne</w:delText>
        </w:r>
        <w:r w:rsidR="0012315F">
          <w:rPr>
            <w:sz w:val="22"/>
            <w:szCs w:val="22"/>
          </w:rPr>
          <w:delText>, ble 497 pasienter inkludert i en åpen forlengelsesfase hvor Humira 40 mg ble gitt annenhver uke</w:delText>
        </w:r>
        <w:r w:rsidR="00620E3C">
          <w:rPr>
            <w:sz w:val="22"/>
            <w:szCs w:val="22"/>
          </w:rPr>
          <w:delText xml:space="preserve"> i</w:delText>
        </w:r>
        <w:r w:rsidR="0012315F">
          <w:rPr>
            <w:sz w:val="22"/>
            <w:szCs w:val="22"/>
          </w:rPr>
          <w:delText xml:space="preserve"> opptil 10 år.</w:delText>
        </w:r>
      </w:del>
    </w:p>
    <w:p w14:paraId="2AE8AD6B" w14:textId="7047114C" w:rsidR="00085BDB" w:rsidRPr="009C5EFD" w:rsidRDefault="00085BDB">
      <w:pPr>
        <w:keepNext/>
        <w:suppressAutoHyphens/>
        <w:rPr>
          <w:del w:id="6479" w:author="AbbVie02no" w:date="2025-05-15T13:45:00Z"/>
          <w:sz w:val="22"/>
          <w:szCs w:val="22"/>
        </w:rPr>
        <w:pPrChange w:id="6480" w:author="AbbVie02no" w:date="2025-05-15T13:45:00Z">
          <w:pPr/>
        </w:pPrChange>
      </w:pPr>
    </w:p>
    <w:p w14:paraId="3B519BF1" w14:textId="7D2BF2EB" w:rsidR="00085BDB" w:rsidRPr="009C5EFD" w:rsidRDefault="00E453CD">
      <w:pPr>
        <w:keepNext/>
        <w:suppressAutoHyphens/>
        <w:rPr>
          <w:del w:id="6481" w:author="AbbVie02no" w:date="2025-05-15T13:45:00Z"/>
          <w:sz w:val="22"/>
          <w:szCs w:val="22"/>
        </w:rPr>
        <w:pPrChange w:id="6482" w:author="AbbVie02no" w:date="2025-05-15T13:45:00Z">
          <w:pPr/>
        </w:pPrChange>
      </w:pPr>
      <w:del w:id="6483" w:author="AbbVie02no" w:date="2025-05-15T13:45:00Z">
        <w:r w:rsidRPr="009C5EFD">
          <w:rPr>
            <w:sz w:val="22"/>
            <w:szCs w:val="22"/>
          </w:rPr>
          <w:delText xml:space="preserve">Det primære endepunkt i RA-studiene I, II og III og det sekundære endepunkt i RA-studie IV var prosentandelen av pasientene som oppnådde en ACR (American College of Rheumatology) 20-respons ved uke 24 eller 26. Primært endepunkt i RA-studie V var andel pasienter som oppnådde ACR 50-respons ved uke 52. RA-studiene III og V hadde i tillegg et primært endepunkt ved uke 52 som </w:delText>
        </w:r>
        <w:r w:rsidRPr="009C5EFD">
          <w:rPr>
            <w:sz w:val="22"/>
            <w:szCs w:val="22"/>
          </w:rPr>
          <w:lastRenderedPageBreak/>
          <w:delText>gjaldt forsinkelse av sykdomsprogresjon (vurdert på grunnlag av røntgenundersøkelse). RA-studie III hadde også forandringer i livskvalitet som et primært endepunkt.</w:delText>
        </w:r>
      </w:del>
    </w:p>
    <w:p w14:paraId="44D83DA0" w14:textId="1A132A31" w:rsidR="009F5209" w:rsidRPr="009C5EFD" w:rsidRDefault="009F5209">
      <w:pPr>
        <w:keepNext/>
        <w:suppressAutoHyphens/>
        <w:rPr>
          <w:del w:id="6484" w:author="AbbVie02no" w:date="2025-05-15T13:45:00Z"/>
          <w:szCs w:val="22"/>
        </w:rPr>
        <w:pPrChange w:id="6485" w:author="AbbVie02no" w:date="2025-05-15T13:45:00Z">
          <w:pPr>
            <w:pStyle w:val="Heading8"/>
            <w:keepNext w:val="0"/>
          </w:pPr>
        </w:pPrChange>
      </w:pPr>
    </w:p>
    <w:p w14:paraId="36C0EB22" w14:textId="63F7C175" w:rsidR="00085BDB" w:rsidRPr="001F5D4B" w:rsidRDefault="00E453CD">
      <w:pPr>
        <w:keepNext/>
        <w:suppressAutoHyphens/>
        <w:rPr>
          <w:del w:id="6486" w:author="AbbVie02no" w:date="2025-05-15T13:45:00Z"/>
          <w:i/>
          <w:szCs w:val="22"/>
        </w:rPr>
        <w:pPrChange w:id="6487" w:author="AbbVie02no" w:date="2025-05-15T13:45:00Z">
          <w:pPr>
            <w:pStyle w:val="Heading8"/>
          </w:pPr>
        </w:pPrChange>
      </w:pPr>
      <w:del w:id="6488" w:author="AbbVie02no" w:date="2025-05-15T13:45:00Z">
        <w:r w:rsidRPr="001F5D4B">
          <w:rPr>
            <w:i/>
            <w:szCs w:val="22"/>
          </w:rPr>
          <w:delText>ACR-respons</w:delText>
        </w:r>
      </w:del>
    </w:p>
    <w:p w14:paraId="2209402F" w14:textId="32C596B9" w:rsidR="00085BDB" w:rsidRPr="007F67EE" w:rsidRDefault="00085BDB">
      <w:pPr>
        <w:keepNext/>
        <w:suppressAutoHyphens/>
        <w:rPr>
          <w:del w:id="6489" w:author="AbbVie02no" w:date="2025-05-15T13:45:00Z"/>
          <w:sz w:val="22"/>
          <w:szCs w:val="22"/>
        </w:rPr>
        <w:pPrChange w:id="6490" w:author="AbbVie02no" w:date="2025-05-15T13:45:00Z">
          <w:pPr>
            <w:keepNext/>
          </w:pPr>
        </w:pPrChange>
      </w:pPr>
    </w:p>
    <w:p w14:paraId="57F013D4" w14:textId="35904760" w:rsidR="001E0A99" w:rsidRPr="009C5EFD" w:rsidRDefault="00E453CD">
      <w:pPr>
        <w:keepNext/>
        <w:suppressAutoHyphens/>
        <w:rPr>
          <w:del w:id="6491" w:author="AbbVie02no" w:date="2025-05-15T13:45:00Z"/>
          <w:sz w:val="22"/>
        </w:rPr>
        <w:pPrChange w:id="6492" w:author="AbbVie02no" w:date="2025-05-15T13:45:00Z">
          <w:pPr/>
        </w:pPrChange>
      </w:pPr>
      <w:del w:id="6493" w:author="AbbVie02no" w:date="2025-05-15T13:45:00Z">
        <w:r w:rsidRPr="00193D76">
          <w:rPr>
            <w:sz w:val="22"/>
            <w:szCs w:val="22"/>
          </w:rPr>
          <w:delText>Prosentandelen av pasienter behandlet med Humira som oppnådde respons</w:delText>
        </w:r>
        <w:r w:rsidRPr="002D0790">
          <w:rPr>
            <w:sz w:val="22"/>
            <w:szCs w:val="22"/>
          </w:rPr>
          <w:delText xml:space="preserve"> på ACR 20, 50 eller 70 i RA-studiene I, II og III var samsvarende. Resultatene for doseringen på 40 mg annenhver uke er oppsummert i </w:delText>
        </w:r>
        <w:r w:rsidR="00EF2122" w:rsidRPr="002D0790">
          <w:rPr>
            <w:sz w:val="22"/>
            <w:szCs w:val="22"/>
          </w:rPr>
          <w:delText>t</w:delText>
        </w:r>
        <w:r w:rsidRPr="00E14E58">
          <w:rPr>
            <w:sz w:val="22"/>
            <w:szCs w:val="22"/>
          </w:rPr>
          <w:delText xml:space="preserve">abell </w:delText>
        </w:r>
        <w:r w:rsidR="008F0D97">
          <w:rPr>
            <w:sz w:val="22"/>
            <w:szCs w:val="22"/>
          </w:rPr>
          <w:delText>8</w:delText>
        </w:r>
        <w:r w:rsidRPr="009C5EFD">
          <w:rPr>
            <w:sz w:val="22"/>
            <w:szCs w:val="22"/>
          </w:rPr>
          <w:delText>.</w:delText>
        </w:r>
      </w:del>
    </w:p>
    <w:p w14:paraId="3035942B" w14:textId="7B0EFF78" w:rsidR="009D34A7" w:rsidRPr="009C5EFD" w:rsidRDefault="009D34A7">
      <w:pPr>
        <w:keepNext/>
        <w:suppressAutoHyphens/>
        <w:rPr>
          <w:del w:id="6494" w:author="AbbVie02no" w:date="2025-05-15T13:45:00Z"/>
        </w:rPr>
        <w:pPrChange w:id="6495" w:author="AbbVie02no" w:date="2025-05-15T13:45:00Z">
          <w:pPr/>
        </w:pPrChange>
      </w:pPr>
    </w:p>
    <w:tbl>
      <w:tblPr>
        <w:tblW w:w="0" w:type="auto"/>
        <w:tblInd w:w="98" w:type="dxa"/>
        <w:tblCellMar>
          <w:left w:w="0" w:type="dxa"/>
          <w:right w:w="0" w:type="dxa"/>
        </w:tblCellMar>
        <w:tblLook w:val="0000" w:firstRow="0" w:lastRow="0" w:firstColumn="0" w:lastColumn="0" w:noHBand="0" w:noVBand="0"/>
      </w:tblPr>
      <w:tblGrid>
        <w:gridCol w:w="1153"/>
        <w:gridCol w:w="875"/>
        <w:gridCol w:w="1723"/>
        <w:gridCol w:w="1051"/>
        <w:gridCol w:w="1552"/>
        <w:gridCol w:w="890"/>
        <w:gridCol w:w="1723"/>
      </w:tblGrid>
      <w:tr w:rsidR="004644D4" w14:paraId="27C262F9" w14:textId="56120081" w:rsidTr="001F5D4B">
        <w:trPr>
          <w:del w:id="6496" w:author="AbbVie02no" w:date="2025-05-15T13:45:00Z"/>
        </w:trPr>
        <w:tc>
          <w:tcPr>
            <w:tcW w:w="8977" w:type="dxa"/>
            <w:gridSpan w:val="7"/>
            <w:tcBorders>
              <w:bottom w:val="single" w:sz="4" w:space="0" w:color="auto"/>
            </w:tcBorders>
          </w:tcPr>
          <w:p w14:paraId="1281FB88" w14:textId="0089E3E0" w:rsidR="00BB4E98" w:rsidRPr="009C5EFD" w:rsidRDefault="00E453CD">
            <w:pPr>
              <w:keepNext/>
              <w:suppressAutoHyphens/>
              <w:rPr>
                <w:del w:id="6497" w:author="AbbVie02no" w:date="2025-05-15T13:45:00Z"/>
                <w:b/>
                <w:sz w:val="22"/>
                <w:szCs w:val="22"/>
              </w:rPr>
              <w:pPrChange w:id="6498" w:author="AbbVie02no" w:date="2025-05-15T13:45:00Z">
                <w:pPr>
                  <w:pStyle w:val="Brdtekst10"/>
                  <w:keepNext/>
                  <w:tabs>
                    <w:tab w:val="clear" w:pos="1152"/>
                    <w:tab w:val="clear" w:pos="1872"/>
                  </w:tabs>
                  <w:spacing w:after="0" w:line="240" w:lineRule="auto"/>
                  <w:ind w:left="0"/>
                  <w:jc w:val="center"/>
                </w:pPr>
              </w:pPrChange>
            </w:pPr>
            <w:del w:id="6499" w:author="AbbVie02no" w:date="2025-05-15T13:45:00Z">
              <w:r w:rsidRPr="009C5EFD">
                <w:rPr>
                  <w:b/>
                  <w:sz w:val="22"/>
                  <w:szCs w:val="22"/>
                </w:rPr>
                <w:delText xml:space="preserve">Tabell </w:delText>
              </w:r>
              <w:r w:rsidR="008F0D97">
                <w:rPr>
                  <w:b/>
                  <w:sz w:val="22"/>
                  <w:szCs w:val="22"/>
                </w:rPr>
                <w:delText>8</w:delText>
              </w:r>
            </w:del>
          </w:p>
          <w:p w14:paraId="1F9B55F1" w14:textId="6D677D74" w:rsidR="00C17ADC" w:rsidRPr="009C5EFD" w:rsidRDefault="00E453CD">
            <w:pPr>
              <w:keepNext/>
              <w:suppressAutoHyphens/>
              <w:rPr>
                <w:del w:id="6500" w:author="AbbVie02no" w:date="2025-05-15T13:45:00Z"/>
                <w:b/>
                <w:sz w:val="22"/>
                <w:szCs w:val="22"/>
              </w:rPr>
              <w:pPrChange w:id="6501" w:author="AbbVie02no" w:date="2025-05-15T13:45:00Z">
                <w:pPr>
                  <w:pStyle w:val="Brdtekst10"/>
                  <w:keepNext/>
                  <w:tabs>
                    <w:tab w:val="clear" w:pos="1152"/>
                    <w:tab w:val="clear" w:pos="1872"/>
                  </w:tabs>
                  <w:spacing w:after="0" w:line="240" w:lineRule="auto"/>
                  <w:ind w:left="0"/>
                  <w:jc w:val="center"/>
                </w:pPr>
              </w:pPrChange>
            </w:pPr>
            <w:del w:id="6502" w:author="AbbVie02no" w:date="2025-05-15T13:45:00Z">
              <w:r w:rsidRPr="009C5EFD">
                <w:rPr>
                  <w:b/>
                  <w:sz w:val="22"/>
                  <w:szCs w:val="22"/>
                </w:rPr>
                <w:delText>ACR-respons i placebokontrollerte studier</w:delText>
              </w:r>
            </w:del>
          </w:p>
          <w:p w14:paraId="253CC79C" w14:textId="07A167A6" w:rsidR="00DE3458" w:rsidRPr="009C5EFD" w:rsidRDefault="00E453CD">
            <w:pPr>
              <w:keepNext/>
              <w:suppressAutoHyphens/>
              <w:rPr>
                <w:del w:id="6503" w:author="AbbVie02no" w:date="2025-05-15T13:45:00Z"/>
                <w:b/>
                <w:sz w:val="22"/>
                <w:szCs w:val="22"/>
              </w:rPr>
              <w:pPrChange w:id="6504" w:author="AbbVie02no" w:date="2025-05-15T13:45:00Z">
                <w:pPr>
                  <w:pStyle w:val="Brdtekst10"/>
                  <w:keepNext/>
                  <w:tabs>
                    <w:tab w:val="clear" w:pos="1152"/>
                    <w:tab w:val="clear" w:pos="1872"/>
                  </w:tabs>
                  <w:spacing w:after="0" w:line="240" w:lineRule="auto"/>
                  <w:ind w:left="0"/>
                  <w:jc w:val="center"/>
                </w:pPr>
              </w:pPrChange>
            </w:pPr>
            <w:del w:id="6505" w:author="AbbVie02no" w:date="2025-05-15T13:45:00Z">
              <w:r w:rsidRPr="009C5EFD">
                <w:rPr>
                  <w:b/>
                  <w:sz w:val="22"/>
                  <w:szCs w:val="22"/>
                </w:rPr>
                <w:delText>(prosentandel av pasientene)</w:delText>
              </w:r>
            </w:del>
          </w:p>
        </w:tc>
      </w:tr>
      <w:tr w:rsidR="004644D4" w14:paraId="36FD7AD6" w14:textId="3252CB98" w:rsidTr="00AF70AD">
        <w:trPr>
          <w:cantSplit/>
          <w:del w:id="6506" w:author="AbbVie02no" w:date="2025-05-15T13:45:00Z"/>
        </w:trPr>
        <w:tc>
          <w:tcPr>
            <w:tcW w:w="1154" w:type="dxa"/>
            <w:vMerge w:val="restart"/>
            <w:tcBorders>
              <w:top w:val="single" w:sz="4" w:space="0" w:color="auto"/>
              <w:left w:val="single" w:sz="4" w:space="0" w:color="auto"/>
              <w:bottom w:val="single" w:sz="4" w:space="0" w:color="auto"/>
              <w:right w:val="single" w:sz="4" w:space="0" w:color="auto"/>
            </w:tcBorders>
          </w:tcPr>
          <w:p w14:paraId="675B9FE1" w14:textId="1A9AC365" w:rsidR="00944308" w:rsidRPr="007F67EE" w:rsidRDefault="00E453CD">
            <w:pPr>
              <w:keepNext/>
              <w:suppressAutoHyphens/>
              <w:rPr>
                <w:del w:id="6507" w:author="AbbVie02no" w:date="2025-05-15T13:45:00Z"/>
                <w:sz w:val="22"/>
                <w:szCs w:val="22"/>
              </w:rPr>
              <w:pPrChange w:id="6508" w:author="AbbVie02no" w:date="2025-05-15T13:45:00Z">
                <w:pPr>
                  <w:pStyle w:val="In-texttable"/>
                  <w:spacing w:line="240" w:lineRule="auto"/>
                </w:pPr>
              </w:pPrChange>
            </w:pPr>
            <w:del w:id="6509" w:author="AbbVie02no" w:date="2025-05-15T13:45:00Z">
              <w:r w:rsidRPr="007F67EE">
                <w:rPr>
                  <w:sz w:val="22"/>
                  <w:szCs w:val="22"/>
                </w:rPr>
                <w:delText>Respons</w:delText>
              </w:r>
            </w:del>
          </w:p>
        </w:tc>
        <w:tc>
          <w:tcPr>
            <w:tcW w:w="2601" w:type="dxa"/>
            <w:gridSpan w:val="2"/>
            <w:tcBorders>
              <w:top w:val="single" w:sz="4" w:space="0" w:color="auto"/>
              <w:left w:val="single" w:sz="4" w:space="0" w:color="auto"/>
              <w:bottom w:val="single" w:sz="4" w:space="0" w:color="auto"/>
              <w:right w:val="single" w:sz="4" w:space="0" w:color="auto"/>
            </w:tcBorders>
          </w:tcPr>
          <w:p w14:paraId="41116822" w14:textId="7F5CAD53" w:rsidR="00944308" w:rsidRPr="002D0790" w:rsidRDefault="00E453CD">
            <w:pPr>
              <w:keepNext/>
              <w:suppressAutoHyphens/>
              <w:rPr>
                <w:del w:id="6510" w:author="AbbVie02no" w:date="2025-05-15T13:45:00Z"/>
                <w:sz w:val="22"/>
                <w:szCs w:val="22"/>
              </w:rPr>
              <w:pPrChange w:id="6511" w:author="AbbVie02no" w:date="2025-05-15T13:45:00Z">
                <w:pPr>
                  <w:pStyle w:val="In-texttable"/>
                  <w:spacing w:line="240" w:lineRule="auto"/>
                  <w:jc w:val="center"/>
                </w:pPr>
              </w:pPrChange>
            </w:pPr>
            <w:del w:id="6512" w:author="AbbVie02no" w:date="2025-05-15T13:45:00Z">
              <w:r w:rsidRPr="00193D76">
                <w:rPr>
                  <w:sz w:val="22"/>
                  <w:szCs w:val="22"/>
                </w:rPr>
                <w:delText>RA-studie I</w:delText>
              </w:r>
              <w:r w:rsidRPr="002D0790">
                <w:rPr>
                  <w:sz w:val="22"/>
                  <w:szCs w:val="22"/>
                  <w:vertAlign w:val="superscript"/>
                </w:rPr>
                <w:delText>a</w:delText>
              </w:r>
              <w:r w:rsidRPr="002D0790">
                <w:rPr>
                  <w:sz w:val="22"/>
                  <w:szCs w:val="22"/>
                </w:rPr>
                <w:delText>**</w:delText>
              </w:r>
            </w:del>
          </w:p>
        </w:tc>
        <w:tc>
          <w:tcPr>
            <w:tcW w:w="2606" w:type="dxa"/>
            <w:gridSpan w:val="2"/>
            <w:tcBorders>
              <w:top w:val="single" w:sz="4" w:space="0" w:color="auto"/>
              <w:left w:val="single" w:sz="4" w:space="0" w:color="auto"/>
              <w:bottom w:val="single" w:sz="4" w:space="0" w:color="auto"/>
              <w:right w:val="single" w:sz="4" w:space="0" w:color="auto"/>
            </w:tcBorders>
          </w:tcPr>
          <w:p w14:paraId="53D4C1AF" w14:textId="58555CC1" w:rsidR="00944308" w:rsidRPr="009C5EFD" w:rsidRDefault="00E453CD">
            <w:pPr>
              <w:keepNext/>
              <w:suppressAutoHyphens/>
              <w:rPr>
                <w:del w:id="6513" w:author="AbbVie02no" w:date="2025-05-15T13:45:00Z"/>
                <w:sz w:val="22"/>
                <w:szCs w:val="22"/>
              </w:rPr>
              <w:pPrChange w:id="6514" w:author="AbbVie02no" w:date="2025-05-15T13:45:00Z">
                <w:pPr>
                  <w:pStyle w:val="In-texttable"/>
                  <w:spacing w:line="240" w:lineRule="auto"/>
                  <w:jc w:val="center"/>
                </w:pPr>
              </w:pPrChange>
            </w:pPr>
            <w:del w:id="6515" w:author="AbbVie02no" w:date="2025-05-15T13:45:00Z">
              <w:r w:rsidRPr="00E14E58">
                <w:rPr>
                  <w:sz w:val="22"/>
                  <w:szCs w:val="22"/>
                </w:rPr>
                <w:delText>RA-stu</w:delText>
              </w:r>
              <w:r w:rsidRPr="009C5EFD">
                <w:rPr>
                  <w:sz w:val="22"/>
                  <w:szCs w:val="22"/>
                </w:rPr>
                <w:delText>die II</w:delText>
              </w:r>
              <w:r w:rsidRPr="009C5EFD">
                <w:rPr>
                  <w:sz w:val="22"/>
                  <w:szCs w:val="22"/>
                  <w:vertAlign w:val="superscript"/>
                </w:rPr>
                <w:delText>a</w:delText>
              </w:r>
              <w:r w:rsidRPr="009C5EFD">
                <w:rPr>
                  <w:sz w:val="22"/>
                  <w:szCs w:val="22"/>
                </w:rPr>
                <w:delText>**</w:delText>
              </w:r>
            </w:del>
          </w:p>
        </w:tc>
        <w:tc>
          <w:tcPr>
            <w:tcW w:w="2616" w:type="dxa"/>
            <w:gridSpan w:val="2"/>
            <w:tcBorders>
              <w:top w:val="single" w:sz="4" w:space="0" w:color="auto"/>
              <w:left w:val="single" w:sz="4" w:space="0" w:color="auto"/>
              <w:bottom w:val="single" w:sz="4" w:space="0" w:color="auto"/>
              <w:right w:val="single" w:sz="6" w:space="0" w:color="auto"/>
            </w:tcBorders>
          </w:tcPr>
          <w:p w14:paraId="24172E8B" w14:textId="0E1E640B" w:rsidR="00944308" w:rsidRPr="009C5EFD" w:rsidRDefault="00E453CD">
            <w:pPr>
              <w:keepNext/>
              <w:suppressAutoHyphens/>
              <w:rPr>
                <w:del w:id="6516" w:author="AbbVie02no" w:date="2025-05-15T13:45:00Z"/>
                <w:sz w:val="22"/>
                <w:szCs w:val="22"/>
              </w:rPr>
              <w:pPrChange w:id="6517" w:author="AbbVie02no" w:date="2025-05-15T13:45:00Z">
                <w:pPr>
                  <w:pStyle w:val="In-texttable"/>
                  <w:spacing w:line="240" w:lineRule="auto"/>
                  <w:jc w:val="center"/>
                </w:pPr>
              </w:pPrChange>
            </w:pPr>
            <w:del w:id="6518" w:author="AbbVie02no" w:date="2025-05-15T13:45:00Z">
              <w:r w:rsidRPr="009C5EFD">
                <w:rPr>
                  <w:sz w:val="22"/>
                  <w:szCs w:val="22"/>
                </w:rPr>
                <w:delText>RA-studie III</w:delText>
              </w:r>
              <w:r w:rsidRPr="009C5EFD">
                <w:rPr>
                  <w:sz w:val="22"/>
                  <w:szCs w:val="22"/>
                  <w:vertAlign w:val="superscript"/>
                </w:rPr>
                <w:delText>a</w:delText>
              </w:r>
              <w:r w:rsidRPr="009C5EFD">
                <w:rPr>
                  <w:sz w:val="22"/>
                  <w:szCs w:val="22"/>
                </w:rPr>
                <w:delText>**</w:delText>
              </w:r>
            </w:del>
          </w:p>
          <w:p w14:paraId="2861476A" w14:textId="3EF0AE12" w:rsidR="00944308" w:rsidRPr="009C5EFD" w:rsidRDefault="00944308">
            <w:pPr>
              <w:keepNext/>
              <w:suppressAutoHyphens/>
              <w:rPr>
                <w:del w:id="6519" w:author="AbbVie02no" w:date="2025-05-15T13:45:00Z"/>
                <w:sz w:val="22"/>
                <w:szCs w:val="22"/>
              </w:rPr>
              <w:pPrChange w:id="6520" w:author="AbbVie02no" w:date="2025-05-15T13:45:00Z">
                <w:pPr>
                  <w:pStyle w:val="In-texttable"/>
                  <w:spacing w:line="240" w:lineRule="auto"/>
                  <w:jc w:val="center"/>
                </w:pPr>
              </w:pPrChange>
            </w:pPr>
          </w:p>
        </w:tc>
      </w:tr>
      <w:tr w:rsidR="004644D4" w14:paraId="71B7F852" w14:textId="1A6FC6B5" w:rsidTr="00AF70AD">
        <w:trPr>
          <w:cantSplit/>
          <w:del w:id="6521" w:author="AbbVie02no" w:date="2025-05-15T13:45:00Z"/>
        </w:trPr>
        <w:tc>
          <w:tcPr>
            <w:tcW w:w="1154" w:type="dxa"/>
            <w:vMerge/>
            <w:tcBorders>
              <w:top w:val="single" w:sz="4" w:space="0" w:color="auto"/>
              <w:left w:val="single" w:sz="4" w:space="0" w:color="auto"/>
              <w:bottom w:val="single" w:sz="4" w:space="0" w:color="auto"/>
              <w:right w:val="single" w:sz="4" w:space="0" w:color="auto"/>
            </w:tcBorders>
          </w:tcPr>
          <w:p w14:paraId="355E289A" w14:textId="2D596501" w:rsidR="00944308" w:rsidRPr="009C5EFD" w:rsidRDefault="00944308">
            <w:pPr>
              <w:keepNext/>
              <w:suppressAutoHyphens/>
              <w:rPr>
                <w:del w:id="6522" w:author="AbbVie02no" w:date="2025-05-15T13:45:00Z"/>
                <w:sz w:val="22"/>
                <w:szCs w:val="22"/>
              </w:rPr>
              <w:pPrChange w:id="6523" w:author="AbbVie02no" w:date="2025-05-15T13:45:00Z">
                <w:pPr>
                  <w:pStyle w:val="In-texttable"/>
                  <w:spacing w:line="240" w:lineRule="auto"/>
                  <w:jc w:val="center"/>
                </w:pPr>
              </w:pPrChange>
            </w:pPr>
          </w:p>
        </w:tc>
        <w:tc>
          <w:tcPr>
            <w:tcW w:w="875" w:type="dxa"/>
            <w:tcBorders>
              <w:top w:val="single" w:sz="4" w:space="0" w:color="auto"/>
              <w:left w:val="single" w:sz="4" w:space="0" w:color="auto"/>
              <w:bottom w:val="single" w:sz="4" w:space="0" w:color="auto"/>
              <w:right w:val="single" w:sz="4" w:space="0" w:color="auto"/>
            </w:tcBorders>
          </w:tcPr>
          <w:p w14:paraId="78487302" w14:textId="46018147" w:rsidR="00944308" w:rsidRPr="009C5EFD" w:rsidRDefault="00E453CD">
            <w:pPr>
              <w:keepNext/>
              <w:suppressAutoHyphens/>
              <w:rPr>
                <w:del w:id="6524" w:author="AbbVie02no" w:date="2025-05-15T13:45:00Z"/>
                <w:sz w:val="22"/>
                <w:szCs w:val="22"/>
              </w:rPr>
              <w:pPrChange w:id="6525" w:author="AbbVie02no" w:date="2025-05-15T13:45:00Z">
                <w:pPr>
                  <w:pStyle w:val="In-texttable"/>
                  <w:spacing w:line="240" w:lineRule="auto"/>
                  <w:jc w:val="center"/>
                </w:pPr>
              </w:pPrChange>
            </w:pPr>
            <w:del w:id="6526" w:author="AbbVie02no" w:date="2025-05-15T13:45:00Z">
              <w:r w:rsidRPr="009C5EFD">
                <w:rPr>
                  <w:sz w:val="22"/>
                  <w:szCs w:val="22"/>
                </w:rPr>
                <w:delText>Placebo/ MTX</w:delText>
              </w:r>
              <w:r w:rsidRPr="009C5EFD">
                <w:rPr>
                  <w:sz w:val="22"/>
                  <w:szCs w:val="22"/>
                  <w:vertAlign w:val="superscript"/>
                </w:rPr>
                <w:delText>c</w:delText>
              </w:r>
            </w:del>
          </w:p>
          <w:p w14:paraId="0E71167B" w14:textId="3F3426B8" w:rsidR="00944308" w:rsidRPr="009C5EFD" w:rsidRDefault="00E453CD">
            <w:pPr>
              <w:keepNext/>
              <w:suppressAutoHyphens/>
              <w:rPr>
                <w:del w:id="6527" w:author="AbbVie02no" w:date="2025-05-15T13:45:00Z"/>
                <w:sz w:val="22"/>
                <w:szCs w:val="22"/>
              </w:rPr>
              <w:pPrChange w:id="6528" w:author="AbbVie02no" w:date="2025-05-15T13:45:00Z">
                <w:pPr>
                  <w:pStyle w:val="In-texttable"/>
                  <w:spacing w:line="240" w:lineRule="auto"/>
                  <w:jc w:val="center"/>
                </w:pPr>
              </w:pPrChange>
            </w:pPr>
            <w:del w:id="6529" w:author="AbbVie02no" w:date="2025-05-15T13:45:00Z">
              <w:r w:rsidRPr="009C5EFD">
                <w:rPr>
                  <w:sz w:val="22"/>
                  <w:szCs w:val="22"/>
                </w:rPr>
                <w:delText>n=60</w:delText>
              </w:r>
            </w:del>
          </w:p>
        </w:tc>
        <w:tc>
          <w:tcPr>
            <w:tcW w:w="1726" w:type="dxa"/>
            <w:tcBorders>
              <w:top w:val="single" w:sz="4" w:space="0" w:color="auto"/>
              <w:left w:val="single" w:sz="4" w:space="0" w:color="auto"/>
              <w:bottom w:val="single" w:sz="4" w:space="0" w:color="auto"/>
              <w:right w:val="single" w:sz="4" w:space="0" w:color="auto"/>
            </w:tcBorders>
          </w:tcPr>
          <w:p w14:paraId="23781ED0" w14:textId="29A1C044" w:rsidR="00944308" w:rsidRPr="009C5EFD" w:rsidRDefault="00E453CD">
            <w:pPr>
              <w:keepNext/>
              <w:suppressAutoHyphens/>
              <w:rPr>
                <w:del w:id="6530" w:author="AbbVie02no" w:date="2025-05-15T13:45:00Z"/>
                <w:sz w:val="22"/>
                <w:szCs w:val="22"/>
              </w:rPr>
              <w:pPrChange w:id="6531" w:author="AbbVie02no" w:date="2025-05-15T13:45:00Z">
                <w:pPr>
                  <w:pStyle w:val="In-texttable"/>
                  <w:spacing w:line="240" w:lineRule="auto"/>
                  <w:jc w:val="center"/>
                </w:pPr>
              </w:pPrChange>
            </w:pPr>
            <w:del w:id="6532" w:author="AbbVie02no" w:date="2025-05-15T13:45:00Z">
              <w:r w:rsidRPr="009C5EFD">
                <w:rPr>
                  <w:sz w:val="22"/>
                  <w:szCs w:val="22"/>
                </w:rPr>
                <w:delText>Humira</w:delText>
              </w:r>
              <w:r w:rsidRPr="009C5EFD">
                <w:rPr>
                  <w:sz w:val="22"/>
                  <w:szCs w:val="22"/>
                  <w:vertAlign w:val="superscript"/>
                </w:rPr>
                <w:delText>b</w:delText>
              </w:r>
              <w:r w:rsidRPr="009C5EFD">
                <w:rPr>
                  <w:sz w:val="22"/>
                  <w:szCs w:val="22"/>
                </w:rPr>
                <w:delText>/ MTX</w:delText>
              </w:r>
              <w:r w:rsidRPr="009C5EFD">
                <w:rPr>
                  <w:sz w:val="22"/>
                  <w:szCs w:val="22"/>
                  <w:vertAlign w:val="superscript"/>
                </w:rPr>
                <w:delText>c</w:delText>
              </w:r>
            </w:del>
          </w:p>
          <w:p w14:paraId="5242D8E5" w14:textId="37A81496" w:rsidR="00944308" w:rsidRPr="009C5EFD" w:rsidRDefault="00E453CD">
            <w:pPr>
              <w:keepNext/>
              <w:suppressAutoHyphens/>
              <w:rPr>
                <w:del w:id="6533" w:author="AbbVie02no" w:date="2025-05-15T13:45:00Z"/>
                <w:sz w:val="22"/>
                <w:szCs w:val="22"/>
              </w:rPr>
              <w:pPrChange w:id="6534" w:author="AbbVie02no" w:date="2025-05-15T13:45:00Z">
                <w:pPr>
                  <w:pStyle w:val="In-texttable"/>
                  <w:spacing w:line="240" w:lineRule="auto"/>
                  <w:jc w:val="center"/>
                </w:pPr>
              </w:pPrChange>
            </w:pPr>
            <w:del w:id="6535" w:author="AbbVie02no" w:date="2025-05-15T13:45:00Z">
              <w:r w:rsidRPr="009C5EFD">
                <w:rPr>
                  <w:sz w:val="22"/>
                  <w:szCs w:val="22"/>
                </w:rPr>
                <w:delText>n=63</w:delText>
              </w:r>
            </w:del>
          </w:p>
        </w:tc>
        <w:tc>
          <w:tcPr>
            <w:tcW w:w="1052" w:type="dxa"/>
            <w:tcBorders>
              <w:top w:val="single" w:sz="4" w:space="0" w:color="auto"/>
              <w:left w:val="single" w:sz="4" w:space="0" w:color="auto"/>
              <w:bottom w:val="single" w:sz="4" w:space="0" w:color="auto"/>
              <w:right w:val="single" w:sz="4" w:space="0" w:color="auto"/>
            </w:tcBorders>
          </w:tcPr>
          <w:p w14:paraId="6987A008" w14:textId="671DB4D9" w:rsidR="00944308" w:rsidRPr="009C5EFD" w:rsidRDefault="00E453CD">
            <w:pPr>
              <w:keepNext/>
              <w:suppressAutoHyphens/>
              <w:rPr>
                <w:del w:id="6536" w:author="AbbVie02no" w:date="2025-05-15T13:45:00Z"/>
                <w:sz w:val="22"/>
                <w:szCs w:val="22"/>
              </w:rPr>
              <w:pPrChange w:id="6537" w:author="AbbVie02no" w:date="2025-05-15T13:45:00Z">
                <w:pPr>
                  <w:pStyle w:val="In-texttable"/>
                  <w:spacing w:line="240" w:lineRule="auto"/>
                  <w:jc w:val="center"/>
                </w:pPr>
              </w:pPrChange>
            </w:pPr>
            <w:del w:id="6538" w:author="AbbVie02no" w:date="2025-05-15T13:45:00Z">
              <w:r w:rsidRPr="009C5EFD">
                <w:rPr>
                  <w:sz w:val="22"/>
                  <w:szCs w:val="22"/>
                </w:rPr>
                <w:delText>Placebo</w:delText>
              </w:r>
            </w:del>
          </w:p>
          <w:p w14:paraId="131340C1" w14:textId="695B74AB" w:rsidR="00944308" w:rsidRPr="009C5EFD" w:rsidRDefault="00E453CD">
            <w:pPr>
              <w:keepNext/>
              <w:suppressAutoHyphens/>
              <w:rPr>
                <w:del w:id="6539" w:author="AbbVie02no" w:date="2025-05-15T13:45:00Z"/>
                <w:sz w:val="22"/>
                <w:szCs w:val="22"/>
              </w:rPr>
              <w:pPrChange w:id="6540" w:author="AbbVie02no" w:date="2025-05-15T13:45:00Z">
                <w:pPr>
                  <w:pStyle w:val="In-texttable"/>
                  <w:spacing w:line="240" w:lineRule="auto"/>
                  <w:jc w:val="center"/>
                </w:pPr>
              </w:pPrChange>
            </w:pPr>
            <w:del w:id="6541" w:author="AbbVie02no" w:date="2025-05-15T13:45:00Z">
              <w:r w:rsidRPr="009C5EFD">
                <w:rPr>
                  <w:sz w:val="22"/>
                  <w:szCs w:val="22"/>
                </w:rPr>
                <w:delText>n=110</w:delText>
              </w:r>
            </w:del>
          </w:p>
        </w:tc>
        <w:tc>
          <w:tcPr>
            <w:tcW w:w="1554" w:type="dxa"/>
            <w:tcBorders>
              <w:top w:val="single" w:sz="4" w:space="0" w:color="auto"/>
              <w:left w:val="single" w:sz="4" w:space="0" w:color="auto"/>
              <w:bottom w:val="single" w:sz="4" w:space="0" w:color="auto"/>
              <w:right w:val="single" w:sz="4" w:space="0" w:color="auto"/>
            </w:tcBorders>
          </w:tcPr>
          <w:p w14:paraId="64A7EA87" w14:textId="3F72152F" w:rsidR="00944308" w:rsidRPr="009C5EFD" w:rsidRDefault="00E453CD">
            <w:pPr>
              <w:keepNext/>
              <w:suppressAutoHyphens/>
              <w:rPr>
                <w:del w:id="6542" w:author="AbbVie02no" w:date="2025-05-15T13:45:00Z"/>
                <w:sz w:val="22"/>
                <w:szCs w:val="22"/>
              </w:rPr>
              <w:pPrChange w:id="6543" w:author="AbbVie02no" w:date="2025-05-15T13:45:00Z">
                <w:pPr>
                  <w:pStyle w:val="In-texttable"/>
                  <w:spacing w:line="240" w:lineRule="auto"/>
                  <w:jc w:val="center"/>
                </w:pPr>
              </w:pPrChange>
            </w:pPr>
            <w:del w:id="6544" w:author="AbbVie02no" w:date="2025-05-15T13:45:00Z">
              <w:r w:rsidRPr="009C5EFD">
                <w:rPr>
                  <w:sz w:val="22"/>
                  <w:szCs w:val="22"/>
                </w:rPr>
                <w:delText>Humira</w:delText>
              </w:r>
              <w:r w:rsidRPr="009C5EFD">
                <w:rPr>
                  <w:sz w:val="22"/>
                  <w:szCs w:val="22"/>
                  <w:vertAlign w:val="superscript"/>
                </w:rPr>
                <w:delText>b</w:delText>
              </w:r>
            </w:del>
          </w:p>
          <w:p w14:paraId="18DD22A6" w14:textId="17D150A7" w:rsidR="00944308" w:rsidRPr="009C5EFD" w:rsidRDefault="00E453CD">
            <w:pPr>
              <w:keepNext/>
              <w:suppressAutoHyphens/>
              <w:rPr>
                <w:del w:id="6545" w:author="AbbVie02no" w:date="2025-05-15T13:45:00Z"/>
                <w:sz w:val="22"/>
                <w:szCs w:val="22"/>
              </w:rPr>
              <w:pPrChange w:id="6546" w:author="AbbVie02no" w:date="2025-05-15T13:45:00Z">
                <w:pPr>
                  <w:pStyle w:val="In-texttable"/>
                  <w:spacing w:line="240" w:lineRule="auto"/>
                  <w:jc w:val="center"/>
                </w:pPr>
              </w:pPrChange>
            </w:pPr>
            <w:del w:id="6547" w:author="AbbVie02no" w:date="2025-05-15T13:45:00Z">
              <w:r w:rsidRPr="009C5EFD">
                <w:rPr>
                  <w:sz w:val="22"/>
                  <w:szCs w:val="22"/>
                </w:rPr>
                <w:delText>n=113</w:delText>
              </w:r>
            </w:del>
          </w:p>
        </w:tc>
        <w:tc>
          <w:tcPr>
            <w:tcW w:w="890" w:type="dxa"/>
            <w:tcBorders>
              <w:top w:val="single" w:sz="4" w:space="0" w:color="auto"/>
              <w:left w:val="single" w:sz="4" w:space="0" w:color="auto"/>
              <w:bottom w:val="single" w:sz="4" w:space="0" w:color="auto"/>
              <w:right w:val="single" w:sz="4" w:space="0" w:color="auto"/>
            </w:tcBorders>
          </w:tcPr>
          <w:p w14:paraId="7686F977" w14:textId="3C395615" w:rsidR="00944308" w:rsidRPr="009C5EFD" w:rsidRDefault="00E453CD">
            <w:pPr>
              <w:keepNext/>
              <w:suppressAutoHyphens/>
              <w:rPr>
                <w:del w:id="6548" w:author="AbbVie02no" w:date="2025-05-15T13:45:00Z"/>
                <w:sz w:val="22"/>
                <w:szCs w:val="22"/>
              </w:rPr>
              <w:pPrChange w:id="6549" w:author="AbbVie02no" w:date="2025-05-15T13:45:00Z">
                <w:pPr>
                  <w:pStyle w:val="In-texttable"/>
                  <w:spacing w:line="240" w:lineRule="auto"/>
                  <w:jc w:val="center"/>
                </w:pPr>
              </w:pPrChange>
            </w:pPr>
            <w:del w:id="6550" w:author="AbbVie02no" w:date="2025-05-15T13:45:00Z">
              <w:r w:rsidRPr="009C5EFD">
                <w:rPr>
                  <w:sz w:val="22"/>
                  <w:szCs w:val="22"/>
                </w:rPr>
                <w:delText>Placebo/ MTX</w:delText>
              </w:r>
              <w:r w:rsidRPr="009C5EFD">
                <w:rPr>
                  <w:sz w:val="22"/>
                  <w:szCs w:val="22"/>
                  <w:vertAlign w:val="superscript"/>
                </w:rPr>
                <w:delText>c</w:delText>
              </w:r>
            </w:del>
          </w:p>
          <w:p w14:paraId="331D4F28" w14:textId="1705F95F" w:rsidR="00944308" w:rsidRPr="009C5EFD" w:rsidRDefault="00E453CD">
            <w:pPr>
              <w:keepNext/>
              <w:suppressAutoHyphens/>
              <w:rPr>
                <w:del w:id="6551" w:author="AbbVie02no" w:date="2025-05-15T13:45:00Z"/>
                <w:sz w:val="22"/>
                <w:szCs w:val="22"/>
              </w:rPr>
              <w:pPrChange w:id="6552" w:author="AbbVie02no" w:date="2025-05-15T13:45:00Z">
                <w:pPr>
                  <w:pStyle w:val="In-texttable"/>
                  <w:spacing w:line="240" w:lineRule="auto"/>
                  <w:jc w:val="center"/>
                </w:pPr>
              </w:pPrChange>
            </w:pPr>
            <w:del w:id="6553" w:author="AbbVie02no" w:date="2025-05-15T13:45:00Z">
              <w:r w:rsidRPr="009C5EFD">
                <w:rPr>
                  <w:sz w:val="22"/>
                  <w:szCs w:val="22"/>
                </w:rPr>
                <w:delText>n=200</w:delText>
              </w:r>
            </w:del>
          </w:p>
        </w:tc>
        <w:tc>
          <w:tcPr>
            <w:tcW w:w="1726" w:type="dxa"/>
            <w:tcBorders>
              <w:top w:val="single" w:sz="4" w:space="0" w:color="auto"/>
              <w:left w:val="single" w:sz="4" w:space="0" w:color="auto"/>
              <w:bottom w:val="single" w:sz="4" w:space="0" w:color="auto"/>
              <w:right w:val="single" w:sz="6" w:space="0" w:color="auto"/>
            </w:tcBorders>
          </w:tcPr>
          <w:p w14:paraId="06726E01" w14:textId="4EDA33FF" w:rsidR="00944308" w:rsidRPr="009C5EFD" w:rsidRDefault="00E453CD">
            <w:pPr>
              <w:keepNext/>
              <w:suppressAutoHyphens/>
              <w:rPr>
                <w:del w:id="6554" w:author="AbbVie02no" w:date="2025-05-15T13:45:00Z"/>
                <w:sz w:val="22"/>
                <w:szCs w:val="22"/>
              </w:rPr>
              <w:pPrChange w:id="6555" w:author="AbbVie02no" w:date="2025-05-15T13:45:00Z">
                <w:pPr>
                  <w:pStyle w:val="In-texttable"/>
                  <w:spacing w:line="240" w:lineRule="auto"/>
                  <w:jc w:val="center"/>
                </w:pPr>
              </w:pPrChange>
            </w:pPr>
            <w:del w:id="6556" w:author="AbbVie02no" w:date="2025-05-15T13:45:00Z">
              <w:r w:rsidRPr="009C5EFD">
                <w:rPr>
                  <w:sz w:val="22"/>
                  <w:szCs w:val="22"/>
                </w:rPr>
                <w:delText>Humira</w:delText>
              </w:r>
              <w:r w:rsidRPr="009C5EFD">
                <w:rPr>
                  <w:sz w:val="22"/>
                  <w:szCs w:val="22"/>
                  <w:vertAlign w:val="superscript"/>
                </w:rPr>
                <w:delText>b</w:delText>
              </w:r>
              <w:r w:rsidRPr="009C5EFD">
                <w:rPr>
                  <w:sz w:val="22"/>
                  <w:szCs w:val="22"/>
                </w:rPr>
                <w:delText>/ MTX</w:delText>
              </w:r>
              <w:r w:rsidRPr="009C5EFD">
                <w:rPr>
                  <w:sz w:val="22"/>
                  <w:szCs w:val="22"/>
                  <w:vertAlign w:val="superscript"/>
                </w:rPr>
                <w:delText>c</w:delText>
              </w:r>
            </w:del>
          </w:p>
          <w:p w14:paraId="6EF2BFE0" w14:textId="1DE2A20E" w:rsidR="00944308" w:rsidRPr="009C5EFD" w:rsidRDefault="00E453CD">
            <w:pPr>
              <w:keepNext/>
              <w:suppressAutoHyphens/>
              <w:rPr>
                <w:del w:id="6557" w:author="AbbVie02no" w:date="2025-05-15T13:45:00Z"/>
                <w:sz w:val="22"/>
                <w:szCs w:val="22"/>
              </w:rPr>
              <w:pPrChange w:id="6558" w:author="AbbVie02no" w:date="2025-05-15T13:45:00Z">
                <w:pPr>
                  <w:pStyle w:val="In-texttable"/>
                  <w:spacing w:line="240" w:lineRule="auto"/>
                  <w:jc w:val="center"/>
                </w:pPr>
              </w:pPrChange>
            </w:pPr>
            <w:del w:id="6559" w:author="AbbVie02no" w:date="2025-05-15T13:45:00Z">
              <w:r w:rsidRPr="009C5EFD">
                <w:rPr>
                  <w:sz w:val="22"/>
                  <w:szCs w:val="22"/>
                </w:rPr>
                <w:delText>n=207</w:delText>
              </w:r>
            </w:del>
          </w:p>
        </w:tc>
      </w:tr>
      <w:tr w:rsidR="004644D4" w14:paraId="01629842" w14:textId="799ABBB8" w:rsidTr="00AF70AD">
        <w:trPr>
          <w:cantSplit/>
          <w:del w:id="6560"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39BE5D0C" w14:textId="66E61707" w:rsidR="00DE3458" w:rsidRPr="007F67EE" w:rsidRDefault="00E453CD">
            <w:pPr>
              <w:keepNext/>
              <w:suppressAutoHyphens/>
              <w:rPr>
                <w:del w:id="6561" w:author="AbbVie02no" w:date="2025-05-15T13:45:00Z"/>
                <w:sz w:val="22"/>
                <w:szCs w:val="22"/>
              </w:rPr>
              <w:pPrChange w:id="6562" w:author="AbbVie02no" w:date="2025-05-15T13:45:00Z">
                <w:pPr>
                  <w:pStyle w:val="In-texttable"/>
                  <w:tabs>
                    <w:tab w:val="left" w:pos="144"/>
                  </w:tabs>
                  <w:spacing w:line="240" w:lineRule="auto"/>
                </w:pPr>
              </w:pPrChange>
            </w:pPr>
            <w:del w:id="6563" w:author="AbbVie02no" w:date="2025-05-15T13:45:00Z">
              <w:r w:rsidRPr="007F67EE">
                <w:rPr>
                  <w:sz w:val="22"/>
                  <w:szCs w:val="22"/>
                </w:rPr>
                <w:delText>ACR 20</w:delText>
              </w:r>
            </w:del>
          </w:p>
        </w:tc>
        <w:tc>
          <w:tcPr>
            <w:tcW w:w="875" w:type="dxa"/>
            <w:tcBorders>
              <w:top w:val="single" w:sz="4" w:space="0" w:color="auto"/>
              <w:left w:val="single" w:sz="4" w:space="0" w:color="auto"/>
              <w:bottom w:val="single" w:sz="4" w:space="0" w:color="auto"/>
              <w:right w:val="single" w:sz="4" w:space="0" w:color="auto"/>
            </w:tcBorders>
          </w:tcPr>
          <w:p w14:paraId="5704678E" w14:textId="240E6367" w:rsidR="00DE3458" w:rsidRPr="00193D76" w:rsidRDefault="00DE3458">
            <w:pPr>
              <w:keepNext/>
              <w:suppressAutoHyphens/>
              <w:rPr>
                <w:del w:id="6564" w:author="AbbVie02no" w:date="2025-05-15T13:45:00Z"/>
                <w:sz w:val="22"/>
                <w:szCs w:val="22"/>
              </w:rPr>
              <w:pPrChange w:id="6565" w:author="AbbVie02no" w:date="2025-05-15T13:45:00Z">
                <w:pPr>
                  <w:pStyle w:val="In-texttable"/>
                  <w:spacing w:line="240" w:lineRule="auto"/>
                  <w:jc w:val="both"/>
                </w:pPr>
              </w:pPrChange>
            </w:pPr>
          </w:p>
        </w:tc>
        <w:tc>
          <w:tcPr>
            <w:tcW w:w="1726" w:type="dxa"/>
            <w:tcBorders>
              <w:top w:val="single" w:sz="4" w:space="0" w:color="auto"/>
              <w:left w:val="single" w:sz="4" w:space="0" w:color="auto"/>
              <w:bottom w:val="single" w:sz="4" w:space="0" w:color="auto"/>
              <w:right w:val="single" w:sz="4" w:space="0" w:color="auto"/>
            </w:tcBorders>
          </w:tcPr>
          <w:p w14:paraId="5F059664" w14:textId="5708238F" w:rsidR="00DE3458" w:rsidRPr="00E14E58" w:rsidRDefault="00DE3458">
            <w:pPr>
              <w:keepNext/>
              <w:suppressAutoHyphens/>
              <w:rPr>
                <w:del w:id="6566" w:author="AbbVie02no" w:date="2025-05-15T13:45:00Z"/>
                <w:sz w:val="22"/>
                <w:szCs w:val="22"/>
              </w:rPr>
              <w:pPrChange w:id="6567" w:author="AbbVie02no" w:date="2025-05-15T13:45:00Z">
                <w:pPr>
                  <w:pStyle w:val="In-texttable"/>
                  <w:spacing w:line="240" w:lineRule="auto"/>
                  <w:jc w:val="both"/>
                </w:pPr>
              </w:pPrChange>
            </w:pPr>
          </w:p>
        </w:tc>
        <w:tc>
          <w:tcPr>
            <w:tcW w:w="1052" w:type="dxa"/>
            <w:tcBorders>
              <w:top w:val="single" w:sz="4" w:space="0" w:color="auto"/>
              <w:left w:val="single" w:sz="4" w:space="0" w:color="auto"/>
              <w:bottom w:val="single" w:sz="4" w:space="0" w:color="auto"/>
              <w:right w:val="single" w:sz="4" w:space="0" w:color="auto"/>
            </w:tcBorders>
          </w:tcPr>
          <w:p w14:paraId="74675211" w14:textId="6E49072D" w:rsidR="00DE3458" w:rsidRPr="009C5EFD" w:rsidRDefault="00DE3458">
            <w:pPr>
              <w:keepNext/>
              <w:suppressAutoHyphens/>
              <w:rPr>
                <w:del w:id="6568" w:author="AbbVie02no" w:date="2025-05-15T13:45:00Z"/>
                <w:sz w:val="22"/>
                <w:szCs w:val="22"/>
              </w:rPr>
              <w:pPrChange w:id="6569" w:author="AbbVie02no" w:date="2025-05-15T13:45:00Z">
                <w:pPr>
                  <w:pStyle w:val="In-texttable"/>
                  <w:spacing w:line="240" w:lineRule="auto"/>
                  <w:jc w:val="both"/>
                </w:pPr>
              </w:pPrChange>
            </w:pPr>
          </w:p>
        </w:tc>
        <w:tc>
          <w:tcPr>
            <w:tcW w:w="1554" w:type="dxa"/>
            <w:tcBorders>
              <w:top w:val="single" w:sz="4" w:space="0" w:color="auto"/>
              <w:left w:val="single" w:sz="4" w:space="0" w:color="auto"/>
              <w:bottom w:val="single" w:sz="4" w:space="0" w:color="auto"/>
              <w:right w:val="single" w:sz="4" w:space="0" w:color="auto"/>
            </w:tcBorders>
          </w:tcPr>
          <w:p w14:paraId="3AC44AEA" w14:textId="02A54E93" w:rsidR="00DE3458" w:rsidRPr="009C5EFD" w:rsidRDefault="00DE3458">
            <w:pPr>
              <w:keepNext/>
              <w:suppressAutoHyphens/>
              <w:rPr>
                <w:del w:id="6570" w:author="AbbVie02no" w:date="2025-05-15T13:45:00Z"/>
                <w:sz w:val="22"/>
                <w:szCs w:val="22"/>
              </w:rPr>
              <w:pPrChange w:id="6571" w:author="AbbVie02no" w:date="2025-05-15T13:45:00Z">
                <w:pPr>
                  <w:pStyle w:val="In-texttable"/>
                  <w:spacing w:line="240" w:lineRule="auto"/>
                  <w:jc w:val="both"/>
                </w:pPr>
              </w:pPrChange>
            </w:pPr>
          </w:p>
        </w:tc>
        <w:tc>
          <w:tcPr>
            <w:tcW w:w="890" w:type="dxa"/>
            <w:tcBorders>
              <w:top w:val="single" w:sz="4" w:space="0" w:color="auto"/>
              <w:left w:val="single" w:sz="4" w:space="0" w:color="auto"/>
              <w:bottom w:val="single" w:sz="4" w:space="0" w:color="auto"/>
              <w:right w:val="single" w:sz="4" w:space="0" w:color="auto"/>
            </w:tcBorders>
          </w:tcPr>
          <w:p w14:paraId="177ACCDA" w14:textId="1AC40F62" w:rsidR="00DE3458" w:rsidRPr="009C5EFD" w:rsidRDefault="00DE3458">
            <w:pPr>
              <w:keepNext/>
              <w:suppressAutoHyphens/>
              <w:rPr>
                <w:del w:id="6572" w:author="AbbVie02no" w:date="2025-05-15T13:45:00Z"/>
                <w:sz w:val="22"/>
                <w:szCs w:val="22"/>
              </w:rPr>
              <w:pPrChange w:id="6573" w:author="AbbVie02no" w:date="2025-05-15T13:45:00Z">
                <w:pPr>
                  <w:pStyle w:val="In-texttable"/>
                  <w:spacing w:line="240" w:lineRule="auto"/>
                  <w:jc w:val="both"/>
                </w:pPr>
              </w:pPrChange>
            </w:pPr>
          </w:p>
        </w:tc>
        <w:tc>
          <w:tcPr>
            <w:tcW w:w="1726" w:type="dxa"/>
            <w:tcBorders>
              <w:top w:val="single" w:sz="4" w:space="0" w:color="auto"/>
              <w:left w:val="single" w:sz="4" w:space="0" w:color="auto"/>
              <w:bottom w:val="single" w:sz="4" w:space="0" w:color="auto"/>
              <w:right w:val="single" w:sz="6" w:space="0" w:color="auto"/>
            </w:tcBorders>
          </w:tcPr>
          <w:p w14:paraId="5D117281" w14:textId="6E8EDBFF" w:rsidR="00DE3458" w:rsidRPr="009C5EFD" w:rsidRDefault="00DE3458">
            <w:pPr>
              <w:keepNext/>
              <w:suppressAutoHyphens/>
              <w:rPr>
                <w:del w:id="6574" w:author="AbbVie02no" w:date="2025-05-15T13:45:00Z"/>
                <w:sz w:val="22"/>
                <w:szCs w:val="22"/>
              </w:rPr>
              <w:pPrChange w:id="6575" w:author="AbbVie02no" w:date="2025-05-15T13:45:00Z">
                <w:pPr>
                  <w:pStyle w:val="In-texttable"/>
                  <w:spacing w:line="240" w:lineRule="auto"/>
                  <w:jc w:val="both"/>
                </w:pPr>
              </w:pPrChange>
            </w:pPr>
          </w:p>
        </w:tc>
      </w:tr>
      <w:tr w:rsidR="004644D4" w14:paraId="13694787" w14:textId="182953B9" w:rsidTr="00AF70AD">
        <w:trPr>
          <w:cantSplit/>
          <w:del w:id="6576"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3E77C3D7" w14:textId="3BB0C685" w:rsidR="00DE3458" w:rsidRPr="007F67EE" w:rsidRDefault="00E453CD">
            <w:pPr>
              <w:keepNext/>
              <w:suppressAutoHyphens/>
              <w:rPr>
                <w:del w:id="6577" w:author="AbbVie02no" w:date="2025-05-15T13:45:00Z"/>
                <w:sz w:val="22"/>
                <w:szCs w:val="22"/>
              </w:rPr>
              <w:pPrChange w:id="6578" w:author="AbbVie02no" w:date="2025-05-15T13:45:00Z">
                <w:pPr>
                  <w:pStyle w:val="In-texttable"/>
                  <w:tabs>
                    <w:tab w:val="left" w:pos="144"/>
                  </w:tabs>
                  <w:spacing w:line="240" w:lineRule="auto"/>
                </w:pPr>
              </w:pPrChange>
            </w:pPr>
            <w:del w:id="6579" w:author="AbbVie02no" w:date="2025-05-15T13:45:00Z">
              <w:r w:rsidRPr="007F67EE">
                <w:rPr>
                  <w:sz w:val="22"/>
                  <w:szCs w:val="22"/>
                </w:rPr>
                <w:tab/>
                <w:delText>6 måneder</w:delText>
              </w:r>
            </w:del>
          </w:p>
        </w:tc>
        <w:tc>
          <w:tcPr>
            <w:tcW w:w="875" w:type="dxa"/>
            <w:tcBorders>
              <w:top w:val="single" w:sz="4" w:space="0" w:color="auto"/>
              <w:left w:val="single" w:sz="4" w:space="0" w:color="auto"/>
              <w:bottom w:val="single" w:sz="4" w:space="0" w:color="auto"/>
              <w:right w:val="single" w:sz="4" w:space="0" w:color="auto"/>
            </w:tcBorders>
          </w:tcPr>
          <w:p w14:paraId="13A0DADD" w14:textId="7F7008E1" w:rsidR="00DE3458" w:rsidRPr="009C5EFD" w:rsidRDefault="00E453CD">
            <w:pPr>
              <w:keepNext/>
              <w:suppressAutoHyphens/>
              <w:rPr>
                <w:del w:id="6580" w:author="AbbVie02no" w:date="2025-05-15T13:45:00Z"/>
                <w:sz w:val="22"/>
                <w:szCs w:val="22"/>
              </w:rPr>
              <w:pPrChange w:id="6581" w:author="AbbVie02no" w:date="2025-05-15T13:45:00Z">
                <w:pPr>
                  <w:pStyle w:val="In-texttable"/>
                  <w:spacing w:line="240" w:lineRule="auto"/>
                  <w:jc w:val="center"/>
                </w:pPr>
              </w:pPrChange>
            </w:pPr>
            <w:del w:id="6582" w:author="AbbVie02no" w:date="2025-05-15T13:45:00Z">
              <w:r w:rsidRPr="00193D76">
                <w:rPr>
                  <w:sz w:val="22"/>
                  <w:szCs w:val="22"/>
                </w:rPr>
                <w:delText>13,3</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4" w:space="0" w:color="auto"/>
            </w:tcBorders>
          </w:tcPr>
          <w:p w14:paraId="1CF9015E" w14:textId="722809F4" w:rsidR="00DE3458" w:rsidRPr="009C5EFD" w:rsidRDefault="00E453CD">
            <w:pPr>
              <w:keepNext/>
              <w:suppressAutoHyphens/>
              <w:rPr>
                <w:del w:id="6583" w:author="AbbVie02no" w:date="2025-05-15T13:45:00Z"/>
                <w:sz w:val="22"/>
                <w:szCs w:val="22"/>
              </w:rPr>
              <w:pPrChange w:id="6584" w:author="AbbVie02no" w:date="2025-05-15T13:45:00Z">
                <w:pPr>
                  <w:pStyle w:val="In-texttable"/>
                  <w:spacing w:line="240" w:lineRule="auto"/>
                  <w:jc w:val="center"/>
                </w:pPr>
              </w:pPrChange>
            </w:pPr>
            <w:del w:id="6585" w:author="AbbVie02no" w:date="2025-05-15T13:45:00Z">
              <w:r w:rsidRPr="009C5EFD">
                <w:rPr>
                  <w:sz w:val="22"/>
                  <w:szCs w:val="22"/>
                </w:rPr>
                <w:delText>65,1</w:delText>
              </w:r>
              <w:r w:rsidR="00E51AA9" w:rsidRPr="009C5EFD">
                <w:rPr>
                  <w:sz w:val="22"/>
                  <w:szCs w:val="22"/>
                </w:rPr>
                <w:delText xml:space="preserve"> %</w:delText>
              </w:r>
            </w:del>
          </w:p>
        </w:tc>
        <w:tc>
          <w:tcPr>
            <w:tcW w:w="1052" w:type="dxa"/>
            <w:tcBorders>
              <w:top w:val="single" w:sz="4" w:space="0" w:color="auto"/>
              <w:left w:val="single" w:sz="4" w:space="0" w:color="auto"/>
              <w:bottom w:val="single" w:sz="4" w:space="0" w:color="auto"/>
              <w:right w:val="single" w:sz="4" w:space="0" w:color="auto"/>
            </w:tcBorders>
          </w:tcPr>
          <w:p w14:paraId="17B625A7" w14:textId="4E50D24F" w:rsidR="00DE3458" w:rsidRPr="009C5EFD" w:rsidRDefault="00E453CD">
            <w:pPr>
              <w:keepNext/>
              <w:suppressAutoHyphens/>
              <w:rPr>
                <w:del w:id="6586" w:author="AbbVie02no" w:date="2025-05-15T13:45:00Z"/>
                <w:sz w:val="22"/>
                <w:szCs w:val="22"/>
              </w:rPr>
              <w:pPrChange w:id="6587" w:author="AbbVie02no" w:date="2025-05-15T13:45:00Z">
                <w:pPr>
                  <w:pStyle w:val="In-texttable"/>
                  <w:spacing w:line="240" w:lineRule="auto"/>
                  <w:jc w:val="center"/>
                </w:pPr>
              </w:pPrChange>
            </w:pPr>
            <w:del w:id="6588" w:author="AbbVie02no" w:date="2025-05-15T13:45:00Z">
              <w:r w:rsidRPr="009C5EFD">
                <w:rPr>
                  <w:sz w:val="22"/>
                  <w:szCs w:val="22"/>
                </w:rPr>
                <w:delText>19,1</w:delText>
              </w:r>
              <w:r w:rsidR="00E51AA9" w:rsidRPr="009C5EFD">
                <w:rPr>
                  <w:sz w:val="22"/>
                  <w:szCs w:val="22"/>
                </w:rPr>
                <w:delText xml:space="preserve"> %</w:delText>
              </w:r>
            </w:del>
          </w:p>
        </w:tc>
        <w:tc>
          <w:tcPr>
            <w:tcW w:w="1554" w:type="dxa"/>
            <w:tcBorders>
              <w:top w:val="single" w:sz="4" w:space="0" w:color="auto"/>
              <w:left w:val="single" w:sz="4" w:space="0" w:color="auto"/>
              <w:bottom w:val="single" w:sz="4" w:space="0" w:color="auto"/>
              <w:right w:val="single" w:sz="4" w:space="0" w:color="auto"/>
            </w:tcBorders>
          </w:tcPr>
          <w:p w14:paraId="41CF3B7A" w14:textId="1EA76B0B" w:rsidR="00DE3458" w:rsidRPr="009C5EFD" w:rsidRDefault="00E453CD">
            <w:pPr>
              <w:keepNext/>
              <w:suppressAutoHyphens/>
              <w:rPr>
                <w:del w:id="6589" w:author="AbbVie02no" w:date="2025-05-15T13:45:00Z"/>
                <w:sz w:val="22"/>
                <w:szCs w:val="22"/>
              </w:rPr>
              <w:pPrChange w:id="6590" w:author="AbbVie02no" w:date="2025-05-15T13:45:00Z">
                <w:pPr>
                  <w:pStyle w:val="In-texttable"/>
                  <w:spacing w:line="240" w:lineRule="auto"/>
                  <w:jc w:val="center"/>
                </w:pPr>
              </w:pPrChange>
            </w:pPr>
            <w:del w:id="6591" w:author="AbbVie02no" w:date="2025-05-15T13:45:00Z">
              <w:r w:rsidRPr="009C5EFD">
                <w:rPr>
                  <w:sz w:val="22"/>
                  <w:szCs w:val="22"/>
                </w:rPr>
                <w:delText>46,0</w:delText>
              </w:r>
              <w:r w:rsidR="00E51AA9" w:rsidRPr="009C5EFD">
                <w:rPr>
                  <w:sz w:val="22"/>
                  <w:szCs w:val="22"/>
                </w:rPr>
                <w:delText xml:space="preserve"> %</w:delText>
              </w:r>
            </w:del>
          </w:p>
        </w:tc>
        <w:tc>
          <w:tcPr>
            <w:tcW w:w="890" w:type="dxa"/>
            <w:tcBorders>
              <w:top w:val="single" w:sz="4" w:space="0" w:color="auto"/>
              <w:left w:val="single" w:sz="4" w:space="0" w:color="auto"/>
              <w:bottom w:val="single" w:sz="4" w:space="0" w:color="auto"/>
              <w:right w:val="single" w:sz="4" w:space="0" w:color="auto"/>
            </w:tcBorders>
          </w:tcPr>
          <w:p w14:paraId="46299FEC" w14:textId="1D70E2C9" w:rsidR="00DE3458" w:rsidRPr="009C5EFD" w:rsidRDefault="00E453CD">
            <w:pPr>
              <w:keepNext/>
              <w:suppressAutoHyphens/>
              <w:rPr>
                <w:del w:id="6592" w:author="AbbVie02no" w:date="2025-05-15T13:45:00Z"/>
                <w:sz w:val="22"/>
                <w:szCs w:val="22"/>
              </w:rPr>
              <w:pPrChange w:id="6593" w:author="AbbVie02no" w:date="2025-05-15T13:45:00Z">
                <w:pPr>
                  <w:pStyle w:val="In-texttable"/>
                  <w:spacing w:line="240" w:lineRule="auto"/>
                  <w:jc w:val="center"/>
                </w:pPr>
              </w:pPrChange>
            </w:pPr>
            <w:del w:id="6594" w:author="AbbVie02no" w:date="2025-05-15T13:45:00Z">
              <w:r w:rsidRPr="009C5EFD">
                <w:rPr>
                  <w:sz w:val="22"/>
                  <w:szCs w:val="22"/>
                </w:rPr>
                <w:delText>29,5</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6" w:space="0" w:color="auto"/>
            </w:tcBorders>
          </w:tcPr>
          <w:p w14:paraId="45E8EA17" w14:textId="534EFC13" w:rsidR="00DE3458" w:rsidRPr="009C5EFD" w:rsidRDefault="00E453CD">
            <w:pPr>
              <w:keepNext/>
              <w:suppressAutoHyphens/>
              <w:rPr>
                <w:del w:id="6595" w:author="AbbVie02no" w:date="2025-05-15T13:45:00Z"/>
                <w:sz w:val="22"/>
                <w:szCs w:val="22"/>
              </w:rPr>
              <w:pPrChange w:id="6596" w:author="AbbVie02no" w:date="2025-05-15T13:45:00Z">
                <w:pPr>
                  <w:pStyle w:val="In-texttable"/>
                  <w:spacing w:line="240" w:lineRule="auto"/>
                  <w:jc w:val="center"/>
                </w:pPr>
              </w:pPrChange>
            </w:pPr>
            <w:del w:id="6597" w:author="AbbVie02no" w:date="2025-05-15T13:45:00Z">
              <w:r w:rsidRPr="009C5EFD">
                <w:rPr>
                  <w:sz w:val="22"/>
                  <w:szCs w:val="22"/>
                </w:rPr>
                <w:delText>63,3</w:delText>
              </w:r>
              <w:r w:rsidR="00E51AA9" w:rsidRPr="009C5EFD">
                <w:rPr>
                  <w:sz w:val="22"/>
                  <w:szCs w:val="22"/>
                </w:rPr>
                <w:delText xml:space="preserve"> %</w:delText>
              </w:r>
            </w:del>
          </w:p>
        </w:tc>
      </w:tr>
      <w:tr w:rsidR="004644D4" w14:paraId="42553DDD" w14:textId="2C6F52A4" w:rsidTr="00AF70AD">
        <w:trPr>
          <w:cantSplit/>
          <w:del w:id="6598"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48E9D158" w14:textId="644EE770" w:rsidR="00DE3458" w:rsidRPr="007F67EE" w:rsidRDefault="00E453CD">
            <w:pPr>
              <w:keepNext/>
              <w:suppressAutoHyphens/>
              <w:rPr>
                <w:del w:id="6599" w:author="AbbVie02no" w:date="2025-05-15T13:45:00Z"/>
                <w:sz w:val="22"/>
                <w:szCs w:val="22"/>
              </w:rPr>
              <w:pPrChange w:id="6600" w:author="AbbVie02no" w:date="2025-05-15T13:45:00Z">
                <w:pPr>
                  <w:pStyle w:val="In-texttable"/>
                  <w:tabs>
                    <w:tab w:val="left" w:pos="144"/>
                  </w:tabs>
                  <w:spacing w:line="240" w:lineRule="auto"/>
                </w:pPr>
              </w:pPrChange>
            </w:pPr>
            <w:del w:id="6601" w:author="AbbVie02no" w:date="2025-05-15T13:45:00Z">
              <w:r w:rsidRPr="007F67EE">
                <w:rPr>
                  <w:sz w:val="22"/>
                  <w:szCs w:val="22"/>
                </w:rPr>
                <w:tab/>
                <w:delText>12 måneder</w:delText>
              </w:r>
            </w:del>
          </w:p>
        </w:tc>
        <w:tc>
          <w:tcPr>
            <w:tcW w:w="875" w:type="dxa"/>
            <w:tcBorders>
              <w:top w:val="single" w:sz="4" w:space="0" w:color="auto"/>
              <w:left w:val="single" w:sz="4" w:space="0" w:color="auto"/>
              <w:bottom w:val="single" w:sz="4" w:space="0" w:color="auto"/>
              <w:right w:val="single" w:sz="4" w:space="0" w:color="auto"/>
            </w:tcBorders>
          </w:tcPr>
          <w:p w14:paraId="4D110BDD" w14:textId="38EA8922" w:rsidR="00DE3458" w:rsidRPr="00193D76" w:rsidRDefault="00E453CD">
            <w:pPr>
              <w:keepNext/>
              <w:suppressAutoHyphens/>
              <w:rPr>
                <w:del w:id="6602" w:author="AbbVie02no" w:date="2025-05-15T13:45:00Z"/>
                <w:sz w:val="22"/>
                <w:szCs w:val="22"/>
              </w:rPr>
              <w:pPrChange w:id="6603" w:author="AbbVie02no" w:date="2025-05-15T13:45:00Z">
                <w:pPr>
                  <w:pStyle w:val="In-texttable"/>
                  <w:spacing w:line="240" w:lineRule="auto"/>
                  <w:jc w:val="center"/>
                </w:pPr>
              </w:pPrChange>
            </w:pPr>
            <w:del w:id="6604" w:author="AbbVie02no" w:date="2025-05-15T13:45:00Z">
              <w:r w:rsidRPr="00193D76">
                <w:rPr>
                  <w:sz w:val="22"/>
                  <w:szCs w:val="22"/>
                </w:rPr>
                <w:delText>NA</w:delText>
              </w:r>
            </w:del>
          </w:p>
        </w:tc>
        <w:tc>
          <w:tcPr>
            <w:tcW w:w="1726" w:type="dxa"/>
            <w:tcBorders>
              <w:top w:val="single" w:sz="4" w:space="0" w:color="auto"/>
              <w:left w:val="single" w:sz="4" w:space="0" w:color="auto"/>
              <w:bottom w:val="single" w:sz="4" w:space="0" w:color="auto"/>
              <w:right w:val="single" w:sz="4" w:space="0" w:color="auto"/>
            </w:tcBorders>
          </w:tcPr>
          <w:p w14:paraId="2200F088" w14:textId="2A3CB40D" w:rsidR="00DE3458" w:rsidRPr="009C5EFD" w:rsidRDefault="00E453CD">
            <w:pPr>
              <w:keepNext/>
              <w:suppressAutoHyphens/>
              <w:rPr>
                <w:del w:id="6605" w:author="AbbVie02no" w:date="2025-05-15T13:45:00Z"/>
                <w:sz w:val="22"/>
                <w:szCs w:val="22"/>
              </w:rPr>
              <w:pPrChange w:id="6606" w:author="AbbVie02no" w:date="2025-05-15T13:45:00Z">
                <w:pPr>
                  <w:pStyle w:val="In-texttable"/>
                  <w:spacing w:line="240" w:lineRule="auto"/>
                  <w:jc w:val="center"/>
                </w:pPr>
              </w:pPrChange>
            </w:pPr>
            <w:del w:id="6607" w:author="AbbVie02no" w:date="2025-05-15T13:45:00Z">
              <w:r w:rsidRPr="009C5EFD">
                <w:rPr>
                  <w:sz w:val="22"/>
                  <w:szCs w:val="22"/>
                </w:rPr>
                <w:delText>NA</w:delText>
              </w:r>
            </w:del>
          </w:p>
        </w:tc>
        <w:tc>
          <w:tcPr>
            <w:tcW w:w="1052" w:type="dxa"/>
            <w:tcBorders>
              <w:top w:val="single" w:sz="4" w:space="0" w:color="auto"/>
              <w:left w:val="single" w:sz="4" w:space="0" w:color="auto"/>
              <w:bottom w:val="single" w:sz="4" w:space="0" w:color="auto"/>
              <w:right w:val="single" w:sz="4" w:space="0" w:color="auto"/>
            </w:tcBorders>
          </w:tcPr>
          <w:p w14:paraId="191863AE" w14:textId="6494E14E" w:rsidR="00DE3458" w:rsidRPr="009C5EFD" w:rsidRDefault="00E453CD">
            <w:pPr>
              <w:keepNext/>
              <w:suppressAutoHyphens/>
              <w:rPr>
                <w:del w:id="6608" w:author="AbbVie02no" w:date="2025-05-15T13:45:00Z"/>
                <w:sz w:val="22"/>
                <w:szCs w:val="22"/>
              </w:rPr>
              <w:pPrChange w:id="6609" w:author="AbbVie02no" w:date="2025-05-15T13:45:00Z">
                <w:pPr>
                  <w:pStyle w:val="In-texttable"/>
                  <w:spacing w:line="240" w:lineRule="auto"/>
                  <w:jc w:val="center"/>
                </w:pPr>
              </w:pPrChange>
            </w:pPr>
            <w:del w:id="6610" w:author="AbbVie02no" w:date="2025-05-15T13:45:00Z">
              <w:r w:rsidRPr="009C5EFD">
                <w:rPr>
                  <w:sz w:val="22"/>
                  <w:szCs w:val="22"/>
                </w:rPr>
                <w:delText>NA</w:delText>
              </w:r>
            </w:del>
          </w:p>
        </w:tc>
        <w:tc>
          <w:tcPr>
            <w:tcW w:w="1554" w:type="dxa"/>
            <w:tcBorders>
              <w:top w:val="single" w:sz="4" w:space="0" w:color="auto"/>
              <w:left w:val="single" w:sz="4" w:space="0" w:color="auto"/>
              <w:bottom w:val="single" w:sz="4" w:space="0" w:color="auto"/>
              <w:right w:val="single" w:sz="4" w:space="0" w:color="auto"/>
            </w:tcBorders>
          </w:tcPr>
          <w:p w14:paraId="57B4CE9F" w14:textId="5F189A5B" w:rsidR="00DE3458" w:rsidRPr="009C5EFD" w:rsidRDefault="00E453CD">
            <w:pPr>
              <w:keepNext/>
              <w:suppressAutoHyphens/>
              <w:rPr>
                <w:del w:id="6611" w:author="AbbVie02no" w:date="2025-05-15T13:45:00Z"/>
                <w:sz w:val="22"/>
                <w:szCs w:val="22"/>
              </w:rPr>
              <w:pPrChange w:id="6612" w:author="AbbVie02no" w:date="2025-05-15T13:45:00Z">
                <w:pPr>
                  <w:pStyle w:val="In-texttable"/>
                  <w:spacing w:line="240" w:lineRule="auto"/>
                  <w:jc w:val="center"/>
                </w:pPr>
              </w:pPrChange>
            </w:pPr>
            <w:del w:id="6613" w:author="AbbVie02no" w:date="2025-05-15T13:45:00Z">
              <w:r w:rsidRPr="009C5EFD">
                <w:rPr>
                  <w:sz w:val="22"/>
                  <w:szCs w:val="22"/>
                </w:rPr>
                <w:delText>NA</w:delText>
              </w:r>
            </w:del>
          </w:p>
        </w:tc>
        <w:tc>
          <w:tcPr>
            <w:tcW w:w="890" w:type="dxa"/>
            <w:tcBorders>
              <w:top w:val="single" w:sz="4" w:space="0" w:color="auto"/>
              <w:left w:val="single" w:sz="4" w:space="0" w:color="auto"/>
              <w:bottom w:val="single" w:sz="4" w:space="0" w:color="auto"/>
              <w:right w:val="single" w:sz="4" w:space="0" w:color="auto"/>
            </w:tcBorders>
          </w:tcPr>
          <w:p w14:paraId="4E677D62" w14:textId="064A29F0" w:rsidR="00DE3458" w:rsidRPr="009C5EFD" w:rsidRDefault="00E453CD">
            <w:pPr>
              <w:keepNext/>
              <w:suppressAutoHyphens/>
              <w:rPr>
                <w:del w:id="6614" w:author="AbbVie02no" w:date="2025-05-15T13:45:00Z"/>
                <w:sz w:val="22"/>
                <w:szCs w:val="22"/>
              </w:rPr>
              <w:pPrChange w:id="6615" w:author="AbbVie02no" w:date="2025-05-15T13:45:00Z">
                <w:pPr>
                  <w:pStyle w:val="In-texttable"/>
                  <w:spacing w:line="240" w:lineRule="auto"/>
                  <w:jc w:val="center"/>
                </w:pPr>
              </w:pPrChange>
            </w:pPr>
            <w:del w:id="6616" w:author="AbbVie02no" w:date="2025-05-15T13:45:00Z">
              <w:r w:rsidRPr="009C5EFD">
                <w:rPr>
                  <w:sz w:val="22"/>
                  <w:szCs w:val="22"/>
                </w:rPr>
                <w:delText>24,0</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6" w:space="0" w:color="auto"/>
            </w:tcBorders>
          </w:tcPr>
          <w:p w14:paraId="7341E759" w14:textId="242EA4A7" w:rsidR="00DE3458" w:rsidRPr="009C5EFD" w:rsidRDefault="00E453CD">
            <w:pPr>
              <w:keepNext/>
              <w:suppressAutoHyphens/>
              <w:rPr>
                <w:del w:id="6617" w:author="AbbVie02no" w:date="2025-05-15T13:45:00Z"/>
                <w:sz w:val="22"/>
                <w:szCs w:val="22"/>
              </w:rPr>
              <w:pPrChange w:id="6618" w:author="AbbVie02no" w:date="2025-05-15T13:45:00Z">
                <w:pPr>
                  <w:pStyle w:val="In-texttable"/>
                  <w:spacing w:line="240" w:lineRule="auto"/>
                  <w:jc w:val="center"/>
                </w:pPr>
              </w:pPrChange>
            </w:pPr>
            <w:del w:id="6619" w:author="AbbVie02no" w:date="2025-05-15T13:45:00Z">
              <w:r w:rsidRPr="009C5EFD">
                <w:rPr>
                  <w:sz w:val="22"/>
                  <w:szCs w:val="22"/>
                </w:rPr>
                <w:delText>58,9</w:delText>
              </w:r>
              <w:r w:rsidR="00E51AA9" w:rsidRPr="009C5EFD">
                <w:rPr>
                  <w:sz w:val="22"/>
                  <w:szCs w:val="22"/>
                </w:rPr>
                <w:delText xml:space="preserve"> %</w:delText>
              </w:r>
            </w:del>
          </w:p>
        </w:tc>
      </w:tr>
      <w:tr w:rsidR="004644D4" w14:paraId="60ECF156" w14:textId="12B86158" w:rsidTr="00AF70AD">
        <w:trPr>
          <w:cantSplit/>
          <w:del w:id="6620"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5B331CED" w14:textId="45060A5D" w:rsidR="00DE3458" w:rsidRPr="007F67EE" w:rsidRDefault="00E453CD">
            <w:pPr>
              <w:keepNext/>
              <w:suppressAutoHyphens/>
              <w:rPr>
                <w:del w:id="6621" w:author="AbbVie02no" w:date="2025-05-15T13:45:00Z"/>
                <w:sz w:val="22"/>
                <w:szCs w:val="22"/>
              </w:rPr>
              <w:pPrChange w:id="6622" w:author="AbbVie02no" w:date="2025-05-15T13:45:00Z">
                <w:pPr>
                  <w:pStyle w:val="In-texttable"/>
                  <w:tabs>
                    <w:tab w:val="left" w:pos="144"/>
                  </w:tabs>
                  <w:spacing w:line="240" w:lineRule="auto"/>
                </w:pPr>
              </w:pPrChange>
            </w:pPr>
            <w:del w:id="6623" w:author="AbbVie02no" w:date="2025-05-15T13:45:00Z">
              <w:r w:rsidRPr="007F67EE">
                <w:rPr>
                  <w:sz w:val="22"/>
                  <w:szCs w:val="22"/>
                </w:rPr>
                <w:delText>ACR 50</w:delText>
              </w:r>
            </w:del>
          </w:p>
        </w:tc>
        <w:tc>
          <w:tcPr>
            <w:tcW w:w="875" w:type="dxa"/>
            <w:tcBorders>
              <w:top w:val="single" w:sz="4" w:space="0" w:color="auto"/>
              <w:left w:val="single" w:sz="4" w:space="0" w:color="auto"/>
              <w:bottom w:val="single" w:sz="4" w:space="0" w:color="auto"/>
              <w:right w:val="single" w:sz="4" w:space="0" w:color="auto"/>
            </w:tcBorders>
          </w:tcPr>
          <w:p w14:paraId="52E9A18A" w14:textId="13C8767E" w:rsidR="00DE3458" w:rsidRPr="00193D76" w:rsidRDefault="00DE3458">
            <w:pPr>
              <w:keepNext/>
              <w:suppressAutoHyphens/>
              <w:rPr>
                <w:del w:id="6624" w:author="AbbVie02no" w:date="2025-05-15T13:45:00Z"/>
                <w:sz w:val="22"/>
                <w:szCs w:val="22"/>
              </w:rPr>
              <w:pPrChange w:id="6625" w:author="AbbVie02no" w:date="2025-05-15T13:45:00Z">
                <w:pPr>
                  <w:pStyle w:val="In-texttable"/>
                  <w:spacing w:line="240" w:lineRule="auto"/>
                  <w:jc w:val="center"/>
                </w:pPr>
              </w:pPrChange>
            </w:pPr>
          </w:p>
        </w:tc>
        <w:tc>
          <w:tcPr>
            <w:tcW w:w="1726" w:type="dxa"/>
            <w:tcBorders>
              <w:top w:val="single" w:sz="4" w:space="0" w:color="auto"/>
              <w:left w:val="single" w:sz="4" w:space="0" w:color="auto"/>
              <w:bottom w:val="single" w:sz="4" w:space="0" w:color="auto"/>
              <w:right w:val="single" w:sz="4" w:space="0" w:color="auto"/>
            </w:tcBorders>
          </w:tcPr>
          <w:p w14:paraId="67E7051F" w14:textId="0C76780C" w:rsidR="00DE3458" w:rsidRPr="009C5EFD" w:rsidRDefault="00DE3458">
            <w:pPr>
              <w:keepNext/>
              <w:suppressAutoHyphens/>
              <w:rPr>
                <w:del w:id="6626" w:author="AbbVie02no" w:date="2025-05-15T13:45:00Z"/>
                <w:sz w:val="22"/>
                <w:szCs w:val="22"/>
              </w:rPr>
              <w:pPrChange w:id="6627" w:author="AbbVie02no" w:date="2025-05-15T13:45:00Z">
                <w:pPr>
                  <w:pStyle w:val="In-texttable"/>
                  <w:spacing w:line="240" w:lineRule="auto"/>
                  <w:jc w:val="center"/>
                </w:pPr>
              </w:pPrChange>
            </w:pPr>
          </w:p>
        </w:tc>
        <w:tc>
          <w:tcPr>
            <w:tcW w:w="1052" w:type="dxa"/>
            <w:tcBorders>
              <w:top w:val="single" w:sz="4" w:space="0" w:color="auto"/>
              <w:left w:val="single" w:sz="4" w:space="0" w:color="auto"/>
              <w:bottom w:val="single" w:sz="4" w:space="0" w:color="auto"/>
              <w:right w:val="single" w:sz="4" w:space="0" w:color="auto"/>
            </w:tcBorders>
          </w:tcPr>
          <w:p w14:paraId="24BC55DF" w14:textId="37E827A5" w:rsidR="00DE3458" w:rsidRPr="009C5EFD" w:rsidRDefault="00DE3458">
            <w:pPr>
              <w:keepNext/>
              <w:suppressAutoHyphens/>
              <w:rPr>
                <w:del w:id="6628" w:author="AbbVie02no" w:date="2025-05-15T13:45:00Z"/>
                <w:sz w:val="22"/>
                <w:szCs w:val="22"/>
              </w:rPr>
              <w:pPrChange w:id="6629" w:author="AbbVie02no" w:date="2025-05-15T13:45:00Z">
                <w:pPr>
                  <w:pStyle w:val="In-texttable"/>
                  <w:spacing w:line="240" w:lineRule="auto"/>
                  <w:jc w:val="center"/>
                </w:pPr>
              </w:pPrChange>
            </w:pPr>
          </w:p>
        </w:tc>
        <w:tc>
          <w:tcPr>
            <w:tcW w:w="1554" w:type="dxa"/>
            <w:tcBorders>
              <w:top w:val="single" w:sz="4" w:space="0" w:color="auto"/>
              <w:left w:val="single" w:sz="4" w:space="0" w:color="auto"/>
              <w:bottom w:val="single" w:sz="4" w:space="0" w:color="auto"/>
              <w:right w:val="single" w:sz="4" w:space="0" w:color="auto"/>
            </w:tcBorders>
          </w:tcPr>
          <w:p w14:paraId="68371D28" w14:textId="6045C320" w:rsidR="00DE3458" w:rsidRPr="009C5EFD" w:rsidRDefault="00DE3458">
            <w:pPr>
              <w:keepNext/>
              <w:suppressAutoHyphens/>
              <w:rPr>
                <w:del w:id="6630" w:author="AbbVie02no" w:date="2025-05-15T13:45:00Z"/>
                <w:sz w:val="22"/>
                <w:szCs w:val="22"/>
              </w:rPr>
              <w:pPrChange w:id="6631" w:author="AbbVie02no" w:date="2025-05-15T13:45:00Z">
                <w:pPr>
                  <w:pStyle w:val="In-texttable"/>
                  <w:spacing w:line="240" w:lineRule="auto"/>
                  <w:jc w:val="center"/>
                </w:pPr>
              </w:pPrChange>
            </w:pPr>
          </w:p>
        </w:tc>
        <w:tc>
          <w:tcPr>
            <w:tcW w:w="890" w:type="dxa"/>
            <w:tcBorders>
              <w:top w:val="single" w:sz="4" w:space="0" w:color="auto"/>
              <w:left w:val="single" w:sz="4" w:space="0" w:color="auto"/>
              <w:bottom w:val="single" w:sz="4" w:space="0" w:color="auto"/>
              <w:right w:val="single" w:sz="4" w:space="0" w:color="auto"/>
            </w:tcBorders>
          </w:tcPr>
          <w:p w14:paraId="25667CDF" w14:textId="6F5B88D3" w:rsidR="00DE3458" w:rsidRPr="009C5EFD" w:rsidRDefault="00DE3458">
            <w:pPr>
              <w:keepNext/>
              <w:suppressAutoHyphens/>
              <w:rPr>
                <w:del w:id="6632" w:author="AbbVie02no" w:date="2025-05-15T13:45:00Z"/>
                <w:sz w:val="22"/>
                <w:szCs w:val="22"/>
              </w:rPr>
              <w:pPrChange w:id="6633" w:author="AbbVie02no" w:date="2025-05-15T13:45:00Z">
                <w:pPr>
                  <w:pStyle w:val="In-texttable"/>
                  <w:spacing w:line="240" w:lineRule="auto"/>
                  <w:jc w:val="center"/>
                </w:pPr>
              </w:pPrChange>
            </w:pPr>
          </w:p>
        </w:tc>
        <w:tc>
          <w:tcPr>
            <w:tcW w:w="1726" w:type="dxa"/>
            <w:tcBorders>
              <w:top w:val="single" w:sz="4" w:space="0" w:color="auto"/>
              <w:left w:val="single" w:sz="4" w:space="0" w:color="auto"/>
              <w:bottom w:val="single" w:sz="4" w:space="0" w:color="auto"/>
              <w:right w:val="single" w:sz="6" w:space="0" w:color="auto"/>
            </w:tcBorders>
          </w:tcPr>
          <w:p w14:paraId="67D13BB8" w14:textId="259CFD91" w:rsidR="00DE3458" w:rsidRPr="009C5EFD" w:rsidRDefault="00DE3458">
            <w:pPr>
              <w:keepNext/>
              <w:suppressAutoHyphens/>
              <w:rPr>
                <w:del w:id="6634" w:author="AbbVie02no" w:date="2025-05-15T13:45:00Z"/>
                <w:sz w:val="22"/>
                <w:szCs w:val="22"/>
              </w:rPr>
              <w:pPrChange w:id="6635" w:author="AbbVie02no" w:date="2025-05-15T13:45:00Z">
                <w:pPr>
                  <w:pStyle w:val="In-texttable"/>
                  <w:spacing w:line="240" w:lineRule="auto"/>
                  <w:jc w:val="center"/>
                </w:pPr>
              </w:pPrChange>
            </w:pPr>
          </w:p>
        </w:tc>
      </w:tr>
      <w:tr w:rsidR="004644D4" w14:paraId="5EDF86DE" w14:textId="02B10F69" w:rsidTr="00AF70AD">
        <w:trPr>
          <w:cantSplit/>
          <w:del w:id="6636"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7CF354DE" w14:textId="7F6A069F" w:rsidR="00DE3458" w:rsidRPr="007F67EE" w:rsidRDefault="00E453CD">
            <w:pPr>
              <w:keepNext/>
              <w:suppressAutoHyphens/>
              <w:rPr>
                <w:del w:id="6637" w:author="AbbVie02no" w:date="2025-05-15T13:45:00Z"/>
                <w:sz w:val="22"/>
                <w:szCs w:val="22"/>
              </w:rPr>
              <w:pPrChange w:id="6638" w:author="AbbVie02no" w:date="2025-05-15T13:45:00Z">
                <w:pPr>
                  <w:pStyle w:val="In-texttable"/>
                  <w:tabs>
                    <w:tab w:val="left" w:pos="144"/>
                  </w:tabs>
                  <w:spacing w:line="240" w:lineRule="auto"/>
                </w:pPr>
              </w:pPrChange>
            </w:pPr>
            <w:del w:id="6639" w:author="AbbVie02no" w:date="2025-05-15T13:45:00Z">
              <w:r w:rsidRPr="007F67EE">
                <w:rPr>
                  <w:sz w:val="22"/>
                  <w:szCs w:val="22"/>
                </w:rPr>
                <w:tab/>
                <w:delText>6 måneder</w:delText>
              </w:r>
            </w:del>
          </w:p>
        </w:tc>
        <w:tc>
          <w:tcPr>
            <w:tcW w:w="875" w:type="dxa"/>
            <w:tcBorders>
              <w:top w:val="single" w:sz="4" w:space="0" w:color="auto"/>
              <w:left w:val="single" w:sz="4" w:space="0" w:color="auto"/>
              <w:bottom w:val="single" w:sz="4" w:space="0" w:color="auto"/>
              <w:right w:val="single" w:sz="4" w:space="0" w:color="auto"/>
            </w:tcBorders>
          </w:tcPr>
          <w:p w14:paraId="1E0BC6AE" w14:textId="2BDAD363" w:rsidR="00DE3458" w:rsidRPr="009C5EFD" w:rsidRDefault="00E453CD">
            <w:pPr>
              <w:keepNext/>
              <w:suppressAutoHyphens/>
              <w:rPr>
                <w:del w:id="6640" w:author="AbbVie02no" w:date="2025-05-15T13:45:00Z"/>
                <w:sz w:val="22"/>
                <w:szCs w:val="22"/>
              </w:rPr>
              <w:pPrChange w:id="6641" w:author="AbbVie02no" w:date="2025-05-15T13:45:00Z">
                <w:pPr>
                  <w:pStyle w:val="In-texttable"/>
                  <w:spacing w:line="240" w:lineRule="auto"/>
                  <w:jc w:val="center"/>
                </w:pPr>
              </w:pPrChange>
            </w:pPr>
            <w:del w:id="6642" w:author="AbbVie02no" w:date="2025-05-15T13:45:00Z">
              <w:r w:rsidRPr="00193D76">
                <w:rPr>
                  <w:sz w:val="22"/>
                  <w:szCs w:val="22"/>
                </w:rPr>
                <w:delText>6,7</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4" w:space="0" w:color="auto"/>
            </w:tcBorders>
          </w:tcPr>
          <w:p w14:paraId="44D1C8C4" w14:textId="346B9075" w:rsidR="00DE3458" w:rsidRPr="009C5EFD" w:rsidRDefault="00E453CD">
            <w:pPr>
              <w:keepNext/>
              <w:suppressAutoHyphens/>
              <w:rPr>
                <w:del w:id="6643" w:author="AbbVie02no" w:date="2025-05-15T13:45:00Z"/>
                <w:sz w:val="22"/>
                <w:szCs w:val="22"/>
              </w:rPr>
              <w:pPrChange w:id="6644" w:author="AbbVie02no" w:date="2025-05-15T13:45:00Z">
                <w:pPr>
                  <w:pStyle w:val="In-texttable"/>
                  <w:spacing w:line="240" w:lineRule="auto"/>
                  <w:jc w:val="center"/>
                </w:pPr>
              </w:pPrChange>
            </w:pPr>
            <w:del w:id="6645" w:author="AbbVie02no" w:date="2025-05-15T13:45:00Z">
              <w:r w:rsidRPr="009C5EFD">
                <w:rPr>
                  <w:sz w:val="22"/>
                  <w:szCs w:val="22"/>
                </w:rPr>
                <w:delText>52,4</w:delText>
              </w:r>
              <w:r w:rsidR="00E51AA9" w:rsidRPr="009C5EFD">
                <w:rPr>
                  <w:sz w:val="22"/>
                  <w:szCs w:val="22"/>
                </w:rPr>
                <w:delText xml:space="preserve"> %</w:delText>
              </w:r>
            </w:del>
          </w:p>
        </w:tc>
        <w:tc>
          <w:tcPr>
            <w:tcW w:w="1052" w:type="dxa"/>
            <w:tcBorders>
              <w:top w:val="single" w:sz="4" w:space="0" w:color="auto"/>
              <w:left w:val="single" w:sz="4" w:space="0" w:color="auto"/>
              <w:bottom w:val="single" w:sz="4" w:space="0" w:color="auto"/>
              <w:right w:val="single" w:sz="4" w:space="0" w:color="auto"/>
            </w:tcBorders>
          </w:tcPr>
          <w:p w14:paraId="3F0FF2F3" w14:textId="443E7E07" w:rsidR="00DE3458" w:rsidRPr="009C5EFD" w:rsidRDefault="00E453CD">
            <w:pPr>
              <w:keepNext/>
              <w:suppressAutoHyphens/>
              <w:rPr>
                <w:del w:id="6646" w:author="AbbVie02no" w:date="2025-05-15T13:45:00Z"/>
                <w:sz w:val="22"/>
                <w:szCs w:val="22"/>
              </w:rPr>
              <w:pPrChange w:id="6647" w:author="AbbVie02no" w:date="2025-05-15T13:45:00Z">
                <w:pPr>
                  <w:pStyle w:val="In-texttable"/>
                  <w:spacing w:line="240" w:lineRule="auto"/>
                  <w:jc w:val="center"/>
                </w:pPr>
              </w:pPrChange>
            </w:pPr>
            <w:del w:id="6648" w:author="AbbVie02no" w:date="2025-05-15T13:45:00Z">
              <w:r w:rsidRPr="009C5EFD">
                <w:rPr>
                  <w:sz w:val="22"/>
                  <w:szCs w:val="22"/>
                </w:rPr>
                <w:delText>8,2</w:delText>
              </w:r>
              <w:r w:rsidR="00E51AA9" w:rsidRPr="009C5EFD">
                <w:rPr>
                  <w:sz w:val="22"/>
                  <w:szCs w:val="22"/>
                </w:rPr>
                <w:delText xml:space="preserve"> %</w:delText>
              </w:r>
            </w:del>
          </w:p>
        </w:tc>
        <w:tc>
          <w:tcPr>
            <w:tcW w:w="1554" w:type="dxa"/>
            <w:tcBorders>
              <w:top w:val="single" w:sz="4" w:space="0" w:color="auto"/>
              <w:left w:val="single" w:sz="4" w:space="0" w:color="auto"/>
              <w:bottom w:val="single" w:sz="4" w:space="0" w:color="auto"/>
              <w:right w:val="single" w:sz="4" w:space="0" w:color="auto"/>
            </w:tcBorders>
          </w:tcPr>
          <w:p w14:paraId="61E835C2" w14:textId="358D0EF9" w:rsidR="00DE3458" w:rsidRPr="009C5EFD" w:rsidRDefault="00E453CD">
            <w:pPr>
              <w:keepNext/>
              <w:suppressAutoHyphens/>
              <w:rPr>
                <w:del w:id="6649" w:author="AbbVie02no" w:date="2025-05-15T13:45:00Z"/>
                <w:sz w:val="22"/>
                <w:szCs w:val="22"/>
              </w:rPr>
              <w:pPrChange w:id="6650" w:author="AbbVie02no" w:date="2025-05-15T13:45:00Z">
                <w:pPr>
                  <w:pStyle w:val="In-texttable"/>
                  <w:spacing w:line="240" w:lineRule="auto"/>
                  <w:jc w:val="center"/>
                </w:pPr>
              </w:pPrChange>
            </w:pPr>
            <w:del w:id="6651" w:author="AbbVie02no" w:date="2025-05-15T13:45:00Z">
              <w:r w:rsidRPr="009C5EFD">
                <w:rPr>
                  <w:sz w:val="22"/>
                  <w:szCs w:val="22"/>
                </w:rPr>
                <w:delText>22,1</w:delText>
              </w:r>
              <w:r w:rsidR="00E51AA9" w:rsidRPr="009C5EFD">
                <w:rPr>
                  <w:sz w:val="22"/>
                  <w:szCs w:val="22"/>
                </w:rPr>
                <w:delText xml:space="preserve"> %</w:delText>
              </w:r>
            </w:del>
          </w:p>
        </w:tc>
        <w:tc>
          <w:tcPr>
            <w:tcW w:w="890" w:type="dxa"/>
            <w:tcBorders>
              <w:top w:val="single" w:sz="4" w:space="0" w:color="auto"/>
              <w:left w:val="single" w:sz="4" w:space="0" w:color="auto"/>
              <w:bottom w:val="single" w:sz="4" w:space="0" w:color="auto"/>
              <w:right w:val="single" w:sz="4" w:space="0" w:color="auto"/>
            </w:tcBorders>
          </w:tcPr>
          <w:p w14:paraId="24633962" w14:textId="24C1DB5A" w:rsidR="00DE3458" w:rsidRPr="009C5EFD" w:rsidRDefault="00E453CD">
            <w:pPr>
              <w:keepNext/>
              <w:suppressAutoHyphens/>
              <w:rPr>
                <w:del w:id="6652" w:author="AbbVie02no" w:date="2025-05-15T13:45:00Z"/>
                <w:sz w:val="22"/>
                <w:szCs w:val="22"/>
              </w:rPr>
              <w:pPrChange w:id="6653" w:author="AbbVie02no" w:date="2025-05-15T13:45:00Z">
                <w:pPr>
                  <w:pStyle w:val="In-texttable"/>
                  <w:spacing w:line="240" w:lineRule="auto"/>
                  <w:jc w:val="center"/>
                </w:pPr>
              </w:pPrChange>
            </w:pPr>
            <w:del w:id="6654" w:author="AbbVie02no" w:date="2025-05-15T13:45:00Z">
              <w:r w:rsidRPr="009C5EFD">
                <w:rPr>
                  <w:sz w:val="22"/>
                  <w:szCs w:val="22"/>
                </w:rPr>
                <w:delText>9,5</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6" w:space="0" w:color="auto"/>
            </w:tcBorders>
          </w:tcPr>
          <w:p w14:paraId="0D9D1948" w14:textId="47D99EE2" w:rsidR="00DE3458" w:rsidRPr="009C5EFD" w:rsidRDefault="00E453CD">
            <w:pPr>
              <w:keepNext/>
              <w:suppressAutoHyphens/>
              <w:rPr>
                <w:del w:id="6655" w:author="AbbVie02no" w:date="2025-05-15T13:45:00Z"/>
                <w:sz w:val="22"/>
                <w:szCs w:val="22"/>
              </w:rPr>
              <w:pPrChange w:id="6656" w:author="AbbVie02no" w:date="2025-05-15T13:45:00Z">
                <w:pPr>
                  <w:pStyle w:val="In-texttable"/>
                  <w:spacing w:line="240" w:lineRule="auto"/>
                  <w:jc w:val="center"/>
                </w:pPr>
              </w:pPrChange>
            </w:pPr>
            <w:del w:id="6657" w:author="AbbVie02no" w:date="2025-05-15T13:45:00Z">
              <w:r w:rsidRPr="009C5EFD">
                <w:rPr>
                  <w:sz w:val="22"/>
                  <w:szCs w:val="22"/>
                </w:rPr>
                <w:delText>39,1</w:delText>
              </w:r>
              <w:r w:rsidR="00E51AA9" w:rsidRPr="009C5EFD">
                <w:rPr>
                  <w:sz w:val="22"/>
                  <w:szCs w:val="22"/>
                </w:rPr>
                <w:delText xml:space="preserve"> %</w:delText>
              </w:r>
            </w:del>
          </w:p>
        </w:tc>
      </w:tr>
      <w:tr w:rsidR="004644D4" w14:paraId="63B7BE0C" w14:textId="23C39BD3" w:rsidTr="00AF70AD">
        <w:trPr>
          <w:cantSplit/>
          <w:del w:id="6658"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4045D6D4" w14:textId="3072BD50" w:rsidR="00DE3458" w:rsidRPr="007F67EE" w:rsidRDefault="00E453CD">
            <w:pPr>
              <w:keepNext/>
              <w:suppressAutoHyphens/>
              <w:rPr>
                <w:del w:id="6659" w:author="AbbVie02no" w:date="2025-05-15T13:45:00Z"/>
                <w:sz w:val="22"/>
                <w:szCs w:val="22"/>
              </w:rPr>
              <w:pPrChange w:id="6660" w:author="AbbVie02no" w:date="2025-05-15T13:45:00Z">
                <w:pPr>
                  <w:pStyle w:val="In-texttable"/>
                  <w:tabs>
                    <w:tab w:val="left" w:pos="144"/>
                  </w:tabs>
                  <w:spacing w:line="240" w:lineRule="auto"/>
                </w:pPr>
              </w:pPrChange>
            </w:pPr>
            <w:del w:id="6661" w:author="AbbVie02no" w:date="2025-05-15T13:45:00Z">
              <w:r w:rsidRPr="007F67EE">
                <w:rPr>
                  <w:sz w:val="22"/>
                  <w:szCs w:val="22"/>
                </w:rPr>
                <w:tab/>
                <w:delText>12 måneder</w:delText>
              </w:r>
            </w:del>
          </w:p>
        </w:tc>
        <w:tc>
          <w:tcPr>
            <w:tcW w:w="875" w:type="dxa"/>
            <w:tcBorders>
              <w:top w:val="single" w:sz="4" w:space="0" w:color="auto"/>
              <w:left w:val="single" w:sz="4" w:space="0" w:color="auto"/>
              <w:bottom w:val="single" w:sz="4" w:space="0" w:color="auto"/>
              <w:right w:val="single" w:sz="4" w:space="0" w:color="auto"/>
            </w:tcBorders>
          </w:tcPr>
          <w:p w14:paraId="524F573C" w14:textId="6228FA29" w:rsidR="00DE3458" w:rsidRPr="00193D76" w:rsidRDefault="00E453CD">
            <w:pPr>
              <w:keepNext/>
              <w:suppressAutoHyphens/>
              <w:rPr>
                <w:del w:id="6662" w:author="AbbVie02no" w:date="2025-05-15T13:45:00Z"/>
                <w:sz w:val="22"/>
                <w:szCs w:val="22"/>
              </w:rPr>
              <w:pPrChange w:id="6663" w:author="AbbVie02no" w:date="2025-05-15T13:45:00Z">
                <w:pPr>
                  <w:pStyle w:val="In-texttable"/>
                  <w:spacing w:line="240" w:lineRule="auto"/>
                  <w:jc w:val="center"/>
                </w:pPr>
              </w:pPrChange>
            </w:pPr>
            <w:del w:id="6664" w:author="AbbVie02no" w:date="2025-05-15T13:45:00Z">
              <w:r w:rsidRPr="00193D76">
                <w:rPr>
                  <w:sz w:val="22"/>
                  <w:szCs w:val="22"/>
                </w:rPr>
                <w:delText>NA</w:delText>
              </w:r>
            </w:del>
          </w:p>
        </w:tc>
        <w:tc>
          <w:tcPr>
            <w:tcW w:w="1726" w:type="dxa"/>
            <w:tcBorders>
              <w:top w:val="single" w:sz="4" w:space="0" w:color="auto"/>
              <w:left w:val="single" w:sz="4" w:space="0" w:color="auto"/>
              <w:bottom w:val="single" w:sz="4" w:space="0" w:color="auto"/>
              <w:right w:val="single" w:sz="4" w:space="0" w:color="auto"/>
            </w:tcBorders>
          </w:tcPr>
          <w:p w14:paraId="48D278EE" w14:textId="20725511" w:rsidR="00DE3458" w:rsidRPr="009C5EFD" w:rsidRDefault="00E453CD">
            <w:pPr>
              <w:keepNext/>
              <w:suppressAutoHyphens/>
              <w:rPr>
                <w:del w:id="6665" w:author="AbbVie02no" w:date="2025-05-15T13:45:00Z"/>
                <w:sz w:val="22"/>
                <w:szCs w:val="22"/>
              </w:rPr>
              <w:pPrChange w:id="6666" w:author="AbbVie02no" w:date="2025-05-15T13:45:00Z">
                <w:pPr>
                  <w:pStyle w:val="In-texttable"/>
                  <w:spacing w:line="240" w:lineRule="auto"/>
                  <w:jc w:val="center"/>
                </w:pPr>
              </w:pPrChange>
            </w:pPr>
            <w:del w:id="6667" w:author="AbbVie02no" w:date="2025-05-15T13:45:00Z">
              <w:r w:rsidRPr="009C5EFD">
                <w:rPr>
                  <w:sz w:val="22"/>
                  <w:szCs w:val="22"/>
                </w:rPr>
                <w:delText>NA</w:delText>
              </w:r>
            </w:del>
          </w:p>
        </w:tc>
        <w:tc>
          <w:tcPr>
            <w:tcW w:w="1052" w:type="dxa"/>
            <w:tcBorders>
              <w:top w:val="single" w:sz="4" w:space="0" w:color="auto"/>
              <w:left w:val="single" w:sz="4" w:space="0" w:color="auto"/>
              <w:bottom w:val="single" w:sz="4" w:space="0" w:color="auto"/>
              <w:right w:val="single" w:sz="4" w:space="0" w:color="auto"/>
            </w:tcBorders>
          </w:tcPr>
          <w:p w14:paraId="4D761E06" w14:textId="04B7087E" w:rsidR="00DE3458" w:rsidRPr="009C5EFD" w:rsidRDefault="00E453CD">
            <w:pPr>
              <w:keepNext/>
              <w:suppressAutoHyphens/>
              <w:rPr>
                <w:del w:id="6668" w:author="AbbVie02no" w:date="2025-05-15T13:45:00Z"/>
                <w:sz w:val="22"/>
                <w:szCs w:val="22"/>
              </w:rPr>
              <w:pPrChange w:id="6669" w:author="AbbVie02no" w:date="2025-05-15T13:45:00Z">
                <w:pPr>
                  <w:pStyle w:val="In-texttable"/>
                  <w:spacing w:line="240" w:lineRule="auto"/>
                  <w:jc w:val="center"/>
                </w:pPr>
              </w:pPrChange>
            </w:pPr>
            <w:del w:id="6670" w:author="AbbVie02no" w:date="2025-05-15T13:45:00Z">
              <w:r w:rsidRPr="009C5EFD">
                <w:rPr>
                  <w:sz w:val="22"/>
                  <w:szCs w:val="22"/>
                </w:rPr>
                <w:delText>NA</w:delText>
              </w:r>
            </w:del>
          </w:p>
        </w:tc>
        <w:tc>
          <w:tcPr>
            <w:tcW w:w="1554" w:type="dxa"/>
            <w:tcBorders>
              <w:top w:val="single" w:sz="4" w:space="0" w:color="auto"/>
              <w:left w:val="single" w:sz="4" w:space="0" w:color="auto"/>
              <w:bottom w:val="single" w:sz="4" w:space="0" w:color="auto"/>
              <w:right w:val="single" w:sz="4" w:space="0" w:color="auto"/>
            </w:tcBorders>
          </w:tcPr>
          <w:p w14:paraId="476AA4AB" w14:textId="73AF41E2" w:rsidR="00DE3458" w:rsidRPr="009C5EFD" w:rsidRDefault="00E453CD">
            <w:pPr>
              <w:keepNext/>
              <w:suppressAutoHyphens/>
              <w:rPr>
                <w:del w:id="6671" w:author="AbbVie02no" w:date="2025-05-15T13:45:00Z"/>
                <w:sz w:val="22"/>
                <w:szCs w:val="22"/>
              </w:rPr>
              <w:pPrChange w:id="6672" w:author="AbbVie02no" w:date="2025-05-15T13:45:00Z">
                <w:pPr>
                  <w:pStyle w:val="In-texttable"/>
                  <w:spacing w:line="240" w:lineRule="auto"/>
                  <w:jc w:val="center"/>
                </w:pPr>
              </w:pPrChange>
            </w:pPr>
            <w:del w:id="6673" w:author="AbbVie02no" w:date="2025-05-15T13:45:00Z">
              <w:r w:rsidRPr="009C5EFD">
                <w:rPr>
                  <w:sz w:val="22"/>
                  <w:szCs w:val="22"/>
                </w:rPr>
                <w:delText>NA</w:delText>
              </w:r>
            </w:del>
          </w:p>
        </w:tc>
        <w:tc>
          <w:tcPr>
            <w:tcW w:w="890" w:type="dxa"/>
            <w:tcBorders>
              <w:top w:val="single" w:sz="4" w:space="0" w:color="auto"/>
              <w:left w:val="single" w:sz="4" w:space="0" w:color="auto"/>
              <w:bottom w:val="single" w:sz="4" w:space="0" w:color="auto"/>
              <w:right w:val="single" w:sz="4" w:space="0" w:color="auto"/>
            </w:tcBorders>
          </w:tcPr>
          <w:p w14:paraId="613C21D0" w14:textId="0BF4555C" w:rsidR="00DE3458" w:rsidRPr="009C5EFD" w:rsidRDefault="00E453CD">
            <w:pPr>
              <w:keepNext/>
              <w:suppressAutoHyphens/>
              <w:rPr>
                <w:del w:id="6674" w:author="AbbVie02no" w:date="2025-05-15T13:45:00Z"/>
                <w:sz w:val="22"/>
                <w:szCs w:val="22"/>
              </w:rPr>
              <w:pPrChange w:id="6675" w:author="AbbVie02no" w:date="2025-05-15T13:45:00Z">
                <w:pPr>
                  <w:pStyle w:val="In-texttable"/>
                  <w:spacing w:line="240" w:lineRule="auto"/>
                  <w:jc w:val="center"/>
                </w:pPr>
              </w:pPrChange>
            </w:pPr>
            <w:del w:id="6676" w:author="AbbVie02no" w:date="2025-05-15T13:45:00Z">
              <w:r w:rsidRPr="009C5EFD">
                <w:rPr>
                  <w:sz w:val="22"/>
                  <w:szCs w:val="22"/>
                </w:rPr>
                <w:delText>9,5</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6" w:space="0" w:color="auto"/>
            </w:tcBorders>
          </w:tcPr>
          <w:p w14:paraId="5AEA25C4" w14:textId="5377534D" w:rsidR="00DE3458" w:rsidRPr="009C5EFD" w:rsidRDefault="00E453CD">
            <w:pPr>
              <w:keepNext/>
              <w:suppressAutoHyphens/>
              <w:rPr>
                <w:del w:id="6677" w:author="AbbVie02no" w:date="2025-05-15T13:45:00Z"/>
                <w:sz w:val="22"/>
                <w:szCs w:val="22"/>
              </w:rPr>
              <w:pPrChange w:id="6678" w:author="AbbVie02no" w:date="2025-05-15T13:45:00Z">
                <w:pPr>
                  <w:pStyle w:val="In-texttable"/>
                  <w:spacing w:line="240" w:lineRule="auto"/>
                  <w:jc w:val="center"/>
                </w:pPr>
              </w:pPrChange>
            </w:pPr>
            <w:del w:id="6679" w:author="AbbVie02no" w:date="2025-05-15T13:45:00Z">
              <w:r w:rsidRPr="009C5EFD">
                <w:rPr>
                  <w:sz w:val="22"/>
                  <w:szCs w:val="22"/>
                </w:rPr>
                <w:delText>41,5</w:delText>
              </w:r>
              <w:r w:rsidR="00E51AA9" w:rsidRPr="009C5EFD">
                <w:rPr>
                  <w:sz w:val="22"/>
                  <w:szCs w:val="22"/>
                </w:rPr>
                <w:delText xml:space="preserve"> %</w:delText>
              </w:r>
            </w:del>
          </w:p>
        </w:tc>
      </w:tr>
      <w:tr w:rsidR="004644D4" w14:paraId="77BCA95C" w14:textId="6B74C006" w:rsidTr="00AF70AD">
        <w:trPr>
          <w:cantSplit/>
          <w:del w:id="6680"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1B02B724" w14:textId="75D45557" w:rsidR="00DE3458" w:rsidRPr="007F67EE" w:rsidRDefault="00E453CD">
            <w:pPr>
              <w:keepNext/>
              <w:suppressAutoHyphens/>
              <w:rPr>
                <w:del w:id="6681" w:author="AbbVie02no" w:date="2025-05-15T13:45:00Z"/>
                <w:sz w:val="22"/>
                <w:szCs w:val="22"/>
              </w:rPr>
              <w:pPrChange w:id="6682" w:author="AbbVie02no" w:date="2025-05-15T13:45:00Z">
                <w:pPr>
                  <w:pStyle w:val="In-texttable"/>
                  <w:tabs>
                    <w:tab w:val="left" w:pos="144"/>
                  </w:tabs>
                  <w:spacing w:line="240" w:lineRule="auto"/>
                </w:pPr>
              </w:pPrChange>
            </w:pPr>
            <w:del w:id="6683" w:author="AbbVie02no" w:date="2025-05-15T13:45:00Z">
              <w:r>
                <w:rPr>
                  <w:noProof/>
                  <w:sz w:val="22"/>
                  <w:szCs w:val="22"/>
                  <w:lang w:val="en-GB" w:eastAsia="en-GB"/>
                </w:rPr>
                <mc:AlternateContent>
                  <mc:Choice Requires="wps">
                    <w:drawing>
                      <wp:anchor distT="0" distB="0" distL="114300" distR="114300" simplePos="0" relativeHeight="251658240" behindDoc="0" locked="0" layoutInCell="0" allowOverlap="1" wp14:anchorId="618CF62A" wp14:editId="77CC9DFE">
                        <wp:simplePos x="0" y="0"/>
                        <wp:positionH relativeFrom="column">
                          <wp:posOffset>-4972050</wp:posOffset>
                        </wp:positionH>
                        <wp:positionV relativeFrom="paragraph">
                          <wp:posOffset>38735</wp:posOffset>
                        </wp:positionV>
                        <wp:extent cx="3543300" cy="342900"/>
                        <wp:effectExtent l="0" t="0" r="0" b="0"/>
                        <wp:wrapNone/>
                        <wp:docPr id="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7917A" w14:textId="77777777" w:rsidR="001F4B85" w:rsidRDefault="001F4B85">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18CF62A" id="Text Box 10" o:spid="_x0000_s1033" type="#_x0000_t202" style="position:absolute;margin-left:-391.5pt;margin-top:3.05pt;width:27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VyJJ/rAQAAtwMAAA4AAAAAAAAAAAAAAAAALgIAAGRycy9lMm9Eb2Mu&#10;eG1sUEsBAi0AFAAGAAgAAAAhABUHtmveAAAACgEAAA8AAAAAAAAAAAAAAAAARQQAAGRycy9kb3du&#10;cmV2LnhtbFBLBQYAAAAABAAEAPMAAABQBQAAAAA=&#10;" o:allowincell="f" stroked="f">
                        <v:textbox>
                          <w:txbxContent>
                            <w:p w14:paraId="1CE7917A" w14:textId="77777777" w:rsidR="001F4B85" w:rsidRDefault="001F4B85">
                              <w:pPr>
                                <w:rPr>
                                  <w:sz w:val="20"/>
                                </w:rPr>
                              </w:pPr>
                            </w:p>
                          </w:txbxContent>
                        </v:textbox>
                      </v:shape>
                    </w:pict>
                  </mc:Fallback>
                </mc:AlternateContent>
              </w:r>
              <w:r w:rsidR="00DE3458" w:rsidRPr="007F67EE">
                <w:rPr>
                  <w:sz w:val="22"/>
                  <w:szCs w:val="22"/>
                </w:rPr>
                <w:delText>ACR 70</w:delText>
              </w:r>
            </w:del>
          </w:p>
        </w:tc>
        <w:tc>
          <w:tcPr>
            <w:tcW w:w="875" w:type="dxa"/>
            <w:tcBorders>
              <w:top w:val="single" w:sz="4" w:space="0" w:color="auto"/>
              <w:left w:val="single" w:sz="4" w:space="0" w:color="auto"/>
              <w:bottom w:val="single" w:sz="4" w:space="0" w:color="auto"/>
              <w:right w:val="single" w:sz="4" w:space="0" w:color="auto"/>
            </w:tcBorders>
          </w:tcPr>
          <w:p w14:paraId="52389F51" w14:textId="6DDAEC27" w:rsidR="00DE3458" w:rsidRPr="00193D76" w:rsidRDefault="00DE3458">
            <w:pPr>
              <w:keepNext/>
              <w:suppressAutoHyphens/>
              <w:rPr>
                <w:del w:id="6684" w:author="AbbVie02no" w:date="2025-05-15T13:45:00Z"/>
                <w:sz w:val="22"/>
                <w:szCs w:val="22"/>
              </w:rPr>
              <w:pPrChange w:id="6685" w:author="AbbVie02no" w:date="2025-05-15T13:45:00Z">
                <w:pPr>
                  <w:pStyle w:val="In-texttable"/>
                  <w:spacing w:line="240" w:lineRule="auto"/>
                  <w:jc w:val="center"/>
                </w:pPr>
              </w:pPrChange>
            </w:pPr>
          </w:p>
        </w:tc>
        <w:tc>
          <w:tcPr>
            <w:tcW w:w="1726" w:type="dxa"/>
            <w:tcBorders>
              <w:top w:val="single" w:sz="4" w:space="0" w:color="auto"/>
              <w:left w:val="single" w:sz="4" w:space="0" w:color="auto"/>
              <w:bottom w:val="single" w:sz="4" w:space="0" w:color="auto"/>
              <w:right w:val="single" w:sz="4" w:space="0" w:color="auto"/>
            </w:tcBorders>
          </w:tcPr>
          <w:p w14:paraId="6144CBF4" w14:textId="02A2969F" w:rsidR="00DE3458" w:rsidRPr="009C5EFD" w:rsidRDefault="00DE3458">
            <w:pPr>
              <w:keepNext/>
              <w:suppressAutoHyphens/>
              <w:rPr>
                <w:del w:id="6686" w:author="AbbVie02no" w:date="2025-05-15T13:45:00Z"/>
                <w:sz w:val="22"/>
                <w:szCs w:val="22"/>
              </w:rPr>
              <w:pPrChange w:id="6687" w:author="AbbVie02no" w:date="2025-05-15T13:45:00Z">
                <w:pPr>
                  <w:pStyle w:val="In-texttable"/>
                  <w:spacing w:line="240" w:lineRule="auto"/>
                  <w:jc w:val="center"/>
                </w:pPr>
              </w:pPrChange>
            </w:pPr>
          </w:p>
        </w:tc>
        <w:tc>
          <w:tcPr>
            <w:tcW w:w="1052" w:type="dxa"/>
            <w:tcBorders>
              <w:top w:val="single" w:sz="4" w:space="0" w:color="auto"/>
              <w:left w:val="single" w:sz="4" w:space="0" w:color="auto"/>
              <w:bottom w:val="single" w:sz="4" w:space="0" w:color="auto"/>
              <w:right w:val="single" w:sz="4" w:space="0" w:color="auto"/>
            </w:tcBorders>
          </w:tcPr>
          <w:p w14:paraId="27512E34" w14:textId="32790E61" w:rsidR="00DE3458" w:rsidRPr="009C5EFD" w:rsidRDefault="00DE3458">
            <w:pPr>
              <w:keepNext/>
              <w:suppressAutoHyphens/>
              <w:rPr>
                <w:del w:id="6688" w:author="AbbVie02no" w:date="2025-05-15T13:45:00Z"/>
                <w:sz w:val="22"/>
                <w:szCs w:val="22"/>
              </w:rPr>
              <w:pPrChange w:id="6689" w:author="AbbVie02no" w:date="2025-05-15T13:45:00Z">
                <w:pPr>
                  <w:pStyle w:val="In-texttable"/>
                  <w:spacing w:line="240" w:lineRule="auto"/>
                  <w:jc w:val="center"/>
                </w:pPr>
              </w:pPrChange>
            </w:pPr>
          </w:p>
        </w:tc>
        <w:tc>
          <w:tcPr>
            <w:tcW w:w="1554" w:type="dxa"/>
            <w:tcBorders>
              <w:top w:val="single" w:sz="4" w:space="0" w:color="auto"/>
              <w:left w:val="single" w:sz="4" w:space="0" w:color="auto"/>
              <w:bottom w:val="single" w:sz="4" w:space="0" w:color="auto"/>
              <w:right w:val="single" w:sz="4" w:space="0" w:color="auto"/>
            </w:tcBorders>
          </w:tcPr>
          <w:p w14:paraId="70663D35" w14:textId="6929770E" w:rsidR="00DE3458" w:rsidRPr="009C5EFD" w:rsidRDefault="00DE3458">
            <w:pPr>
              <w:keepNext/>
              <w:suppressAutoHyphens/>
              <w:rPr>
                <w:del w:id="6690" w:author="AbbVie02no" w:date="2025-05-15T13:45:00Z"/>
                <w:sz w:val="22"/>
                <w:szCs w:val="22"/>
              </w:rPr>
              <w:pPrChange w:id="6691" w:author="AbbVie02no" w:date="2025-05-15T13:45:00Z">
                <w:pPr>
                  <w:pStyle w:val="In-texttable"/>
                  <w:spacing w:line="240" w:lineRule="auto"/>
                  <w:jc w:val="center"/>
                </w:pPr>
              </w:pPrChange>
            </w:pPr>
          </w:p>
        </w:tc>
        <w:tc>
          <w:tcPr>
            <w:tcW w:w="890" w:type="dxa"/>
            <w:tcBorders>
              <w:top w:val="single" w:sz="4" w:space="0" w:color="auto"/>
              <w:left w:val="single" w:sz="4" w:space="0" w:color="auto"/>
              <w:bottom w:val="single" w:sz="4" w:space="0" w:color="auto"/>
              <w:right w:val="single" w:sz="4" w:space="0" w:color="auto"/>
            </w:tcBorders>
          </w:tcPr>
          <w:p w14:paraId="1D46FC90" w14:textId="76C9406E" w:rsidR="00DE3458" w:rsidRPr="009C5EFD" w:rsidRDefault="00DE3458">
            <w:pPr>
              <w:keepNext/>
              <w:suppressAutoHyphens/>
              <w:rPr>
                <w:del w:id="6692" w:author="AbbVie02no" w:date="2025-05-15T13:45:00Z"/>
                <w:sz w:val="22"/>
                <w:szCs w:val="22"/>
              </w:rPr>
              <w:pPrChange w:id="6693" w:author="AbbVie02no" w:date="2025-05-15T13:45:00Z">
                <w:pPr>
                  <w:pStyle w:val="In-texttable"/>
                  <w:spacing w:line="240" w:lineRule="auto"/>
                  <w:jc w:val="center"/>
                </w:pPr>
              </w:pPrChange>
            </w:pPr>
          </w:p>
        </w:tc>
        <w:tc>
          <w:tcPr>
            <w:tcW w:w="1726" w:type="dxa"/>
            <w:tcBorders>
              <w:top w:val="single" w:sz="4" w:space="0" w:color="auto"/>
              <w:left w:val="single" w:sz="4" w:space="0" w:color="auto"/>
              <w:bottom w:val="single" w:sz="4" w:space="0" w:color="auto"/>
              <w:right w:val="single" w:sz="6" w:space="0" w:color="auto"/>
            </w:tcBorders>
          </w:tcPr>
          <w:p w14:paraId="4753DFC7" w14:textId="21B9AED4" w:rsidR="00DE3458" w:rsidRPr="009C5EFD" w:rsidRDefault="00DE3458">
            <w:pPr>
              <w:keepNext/>
              <w:suppressAutoHyphens/>
              <w:rPr>
                <w:del w:id="6694" w:author="AbbVie02no" w:date="2025-05-15T13:45:00Z"/>
                <w:sz w:val="22"/>
                <w:szCs w:val="22"/>
              </w:rPr>
              <w:pPrChange w:id="6695" w:author="AbbVie02no" w:date="2025-05-15T13:45:00Z">
                <w:pPr>
                  <w:pStyle w:val="In-texttable"/>
                  <w:spacing w:line="240" w:lineRule="auto"/>
                  <w:jc w:val="center"/>
                </w:pPr>
              </w:pPrChange>
            </w:pPr>
          </w:p>
        </w:tc>
      </w:tr>
      <w:tr w:rsidR="004644D4" w14:paraId="176F3A88" w14:textId="06A19AD5" w:rsidTr="00AF70AD">
        <w:trPr>
          <w:cantSplit/>
          <w:del w:id="6696"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1BBA26FC" w14:textId="4BA35E38" w:rsidR="00DE3458" w:rsidRPr="007F67EE" w:rsidRDefault="00E453CD">
            <w:pPr>
              <w:keepNext/>
              <w:suppressAutoHyphens/>
              <w:rPr>
                <w:del w:id="6697" w:author="AbbVie02no" w:date="2025-05-15T13:45:00Z"/>
                <w:sz w:val="22"/>
                <w:szCs w:val="22"/>
              </w:rPr>
              <w:pPrChange w:id="6698" w:author="AbbVie02no" w:date="2025-05-15T13:45:00Z">
                <w:pPr>
                  <w:pStyle w:val="In-texttable"/>
                  <w:tabs>
                    <w:tab w:val="left" w:pos="144"/>
                  </w:tabs>
                  <w:spacing w:line="240" w:lineRule="auto"/>
                </w:pPr>
              </w:pPrChange>
            </w:pPr>
            <w:del w:id="6699" w:author="AbbVie02no" w:date="2025-05-15T13:45:00Z">
              <w:r w:rsidRPr="007F67EE">
                <w:rPr>
                  <w:sz w:val="22"/>
                  <w:szCs w:val="22"/>
                </w:rPr>
                <w:tab/>
                <w:delText>6 måneder</w:delText>
              </w:r>
            </w:del>
          </w:p>
        </w:tc>
        <w:tc>
          <w:tcPr>
            <w:tcW w:w="875" w:type="dxa"/>
            <w:tcBorders>
              <w:top w:val="single" w:sz="4" w:space="0" w:color="auto"/>
              <w:left w:val="single" w:sz="4" w:space="0" w:color="auto"/>
              <w:bottom w:val="single" w:sz="4" w:space="0" w:color="auto"/>
              <w:right w:val="single" w:sz="4" w:space="0" w:color="auto"/>
            </w:tcBorders>
          </w:tcPr>
          <w:p w14:paraId="4F764F10" w14:textId="3BE999A7" w:rsidR="00DE3458" w:rsidRPr="009C5EFD" w:rsidRDefault="00E453CD">
            <w:pPr>
              <w:keepNext/>
              <w:suppressAutoHyphens/>
              <w:rPr>
                <w:del w:id="6700" w:author="AbbVie02no" w:date="2025-05-15T13:45:00Z"/>
                <w:sz w:val="22"/>
                <w:szCs w:val="22"/>
              </w:rPr>
              <w:pPrChange w:id="6701" w:author="AbbVie02no" w:date="2025-05-15T13:45:00Z">
                <w:pPr>
                  <w:pStyle w:val="In-texttable"/>
                  <w:spacing w:line="240" w:lineRule="auto"/>
                  <w:jc w:val="center"/>
                </w:pPr>
              </w:pPrChange>
            </w:pPr>
            <w:del w:id="6702" w:author="AbbVie02no" w:date="2025-05-15T13:45:00Z">
              <w:r w:rsidRPr="00193D76">
                <w:rPr>
                  <w:sz w:val="22"/>
                  <w:szCs w:val="22"/>
                </w:rPr>
                <w:delText>3,3</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4" w:space="0" w:color="auto"/>
            </w:tcBorders>
          </w:tcPr>
          <w:p w14:paraId="08C3F787" w14:textId="6EC52143" w:rsidR="00DE3458" w:rsidRPr="009C5EFD" w:rsidRDefault="00E453CD">
            <w:pPr>
              <w:keepNext/>
              <w:suppressAutoHyphens/>
              <w:rPr>
                <w:del w:id="6703" w:author="AbbVie02no" w:date="2025-05-15T13:45:00Z"/>
                <w:sz w:val="22"/>
                <w:szCs w:val="22"/>
              </w:rPr>
              <w:pPrChange w:id="6704" w:author="AbbVie02no" w:date="2025-05-15T13:45:00Z">
                <w:pPr>
                  <w:pStyle w:val="In-texttable"/>
                  <w:spacing w:line="240" w:lineRule="auto"/>
                  <w:jc w:val="center"/>
                </w:pPr>
              </w:pPrChange>
            </w:pPr>
            <w:del w:id="6705" w:author="AbbVie02no" w:date="2025-05-15T13:45:00Z">
              <w:r w:rsidRPr="009C5EFD">
                <w:rPr>
                  <w:sz w:val="22"/>
                  <w:szCs w:val="22"/>
                </w:rPr>
                <w:delText>23,8</w:delText>
              </w:r>
              <w:r w:rsidR="00E51AA9" w:rsidRPr="009C5EFD">
                <w:rPr>
                  <w:sz w:val="22"/>
                  <w:szCs w:val="22"/>
                </w:rPr>
                <w:delText xml:space="preserve"> %</w:delText>
              </w:r>
            </w:del>
          </w:p>
        </w:tc>
        <w:tc>
          <w:tcPr>
            <w:tcW w:w="1052" w:type="dxa"/>
            <w:tcBorders>
              <w:top w:val="single" w:sz="4" w:space="0" w:color="auto"/>
              <w:left w:val="single" w:sz="4" w:space="0" w:color="auto"/>
              <w:bottom w:val="single" w:sz="4" w:space="0" w:color="auto"/>
              <w:right w:val="single" w:sz="4" w:space="0" w:color="auto"/>
            </w:tcBorders>
          </w:tcPr>
          <w:p w14:paraId="60FB99EF" w14:textId="67E61F78" w:rsidR="00DE3458" w:rsidRPr="009C5EFD" w:rsidRDefault="00E453CD">
            <w:pPr>
              <w:keepNext/>
              <w:suppressAutoHyphens/>
              <w:rPr>
                <w:del w:id="6706" w:author="AbbVie02no" w:date="2025-05-15T13:45:00Z"/>
                <w:sz w:val="22"/>
                <w:szCs w:val="22"/>
              </w:rPr>
              <w:pPrChange w:id="6707" w:author="AbbVie02no" w:date="2025-05-15T13:45:00Z">
                <w:pPr>
                  <w:pStyle w:val="In-texttable"/>
                  <w:spacing w:line="240" w:lineRule="auto"/>
                  <w:jc w:val="center"/>
                </w:pPr>
              </w:pPrChange>
            </w:pPr>
            <w:del w:id="6708" w:author="AbbVie02no" w:date="2025-05-15T13:45:00Z">
              <w:r w:rsidRPr="009C5EFD">
                <w:rPr>
                  <w:sz w:val="22"/>
                  <w:szCs w:val="22"/>
                </w:rPr>
                <w:delText>1,8</w:delText>
              </w:r>
              <w:r w:rsidR="00E51AA9" w:rsidRPr="009C5EFD">
                <w:rPr>
                  <w:sz w:val="22"/>
                  <w:szCs w:val="22"/>
                </w:rPr>
                <w:delText xml:space="preserve"> %</w:delText>
              </w:r>
            </w:del>
          </w:p>
        </w:tc>
        <w:tc>
          <w:tcPr>
            <w:tcW w:w="1554" w:type="dxa"/>
            <w:tcBorders>
              <w:top w:val="single" w:sz="4" w:space="0" w:color="auto"/>
              <w:left w:val="single" w:sz="4" w:space="0" w:color="auto"/>
              <w:bottom w:val="single" w:sz="4" w:space="0" w:color="auto"/>
              <w:right w:val="single" w:sz="4" w:space="0" w:color="auto"/>
            </w:tcBorders>
          </w:tcPr>
          <w:p w14:paraId="2F4D3FE4" w14:textId="004227FB" w:rsidR="00DE3458" w:rsidRPr="009C5EFD" w:rsidRDefault="00E453CD">
            <w:pPr>
              <w:keepNext/>
              <w:suppressAutoHyphens/>
              <w:rPr>
                <w:del w:id="6709" w:author="AbbVie02no" w:date="2025-05-15T13:45:00Z"/>
                <w:sz w:val="22"/>
                <w:szCs w:val="22"/>
              </w:rPr>
              <w:pPrChange w:id="6710" w:author="AbbVie02no" w:date="2025-05-15T13:45:00Z">
                <w:pPr>
                  <w:pStyle w:val="In-texttable"/>
                  <w:spacing w:line="240" w:lineRule="auto"/>
                  <w:jc w:val="center"/>
                </w:pPr>
              </w:pPrChange>
            </w:pPr>
            <w:del w:id="6711" w:author="AbbVie02no" w:date="2025-05-15T13:45:00Z">
              <w:r w:rsidRPr="009C5EFD">
                <w:rPr>
                  <w:sz w:val="22"/>
                  <w:szCs w:val="22"/>
                </w:rPr>
                <w:delText>12,4</w:delText>
              </w:r>
              <w:r w:rsidR="00E51AA9" w:rsidRPr="009C5EFD">
                <w:rPr>
                  <w:sz w:val="22"/>
                  <w:szCs w:val="22"/>
                </w:rPr>
                <w:delText xml:space="preserve"> %</w:delText>
              </w:r>
            </w:del>
          </w:p>
        </w:tc>
        <w:tc>
          <w:tcPr>
            <w:tcW w:w="890" w:type="dxa"/>
            <w:tcBorders>
              <w:top w:val="single" w:sz="4" w:space="0" w:color="auto"/>
              <w:left w:val="single" w:sz="4" w:space="0" w:color="auto"/>
              <w:bottom w:val="single" w:sz="4" w:space="0" w:color="auto"/>
              <w:right w:val="single" w:sz="4" w:space="0" w:color="auto"/>
            </w:tcBorders>
          </w:tcPr>
          <w:p w14:paraId="4198CE0B" w14:textId="27A35C01" w:rsidR="00DE3458" w:rsidRPr="009C5EFD" w:rsidRDefault="00E453CD">
            <w:pPr>
              <w:keepNext/>
              <w:suppressAutoHyphens/>
              <w:rPr>
                <w:del w:id="6712" w:author="AbbVie02no" w:date="2025-05-15T13:45:00Z"/>
                <w:sz w:val="22"/>
                <w:szCs w:val="22"/>
              </w:rPr>
              <w:pPrChange w:id="6713" w:author="AbbVie02no" w:date="2025-05-15T13:45:00Z">
                <w:pPr>
                  <w:pStyle w:val="In-texttable"/>
                  <w:spacing w:line="240" w:lineRule="auto"/>
                  <w:jc w:val="center"/>
                </w:pPr>
              </w:pPrChange>
            </w:pPr>
            <w:del w:id="6714" w:author="AbbVie02no" w:date="2025-05-15T13:45:00Z">
              <w:r w:rsidRPr="009C5EFD">
                <w:rPr>
                  <w:sz w:val="22"/>
                  <w:szCs w:val="22"/>
                </w:rPr>
                <w:delText>2,5</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6" w:space="0" w:color="auto"/>
            </w:tcBorders>
          </w:tcPr>
          <w:p w14:paraId="1E254906" w14:textId="2B4B6655" w:rsidR="00DE3458" w:rsidRPr="009C5EFD" w:rsidRDefault="00E453CD">
            <w:pPr>
              <w:keepNext/>
              <w:suppressAutoHyphens/>
              <w:rPr>
                <w:del w:id="6715" w:author="AbbVie02no" w:date="2025-05-15T13:45:00Z"/>
                <w:sz w:val="22"/>
                <w:szCs w:val="22"/>
              </w:rPr>
              <w:pPrChange w:id="6716" w:author="AbbVie02no" w:date="2025-05-15T13:45:00Z">
                <w:pPr>
                  <w:pStyle w:val="In-texttable"/>
                  <w:spacing w:line="240" w:lineRule="auto"/>
                  <w:jc w:val="center"/>
                </w:pPr>
              </w:pPrChange>
            </w:pPr>
            <w:del w:id="6717" w:author="AbbVie02no" w:date="2025-05-15T13:45:00Z">
              <w:r w:rsidRPr="009C5EFD">
                <w:rPr>
                  <w:sz w:val="22"/>
                  <w:szCs w:val="22"/>
                </w:rPr>
                <w:delText>20,8</w:delText>
              </w:r>
              <w:r w:rsidR="00E51AA9" w:rsidRPr="009C5EFD">
                <w:rPr>
                  <w:sz w:val="22"/>
                  <w:szCs w:val="22"/>
                </w:rPr>
                <w:delText xml:space="preserve"> %</w:delText>
              </w:r>
            </w:del>
          </w:p>
        </w:tc>
      </w:tr>
      <w:tr w:rsidR="004644D4" w14:paraId="57A3312B" w14:textId="2F329175" w:rsidTr="00AF70AD">
        <w:trPr>
          <w:cantSplit/>
          <w:del w:id="6718" w:author="AbbVie02no" w:date="2025-05-15T13:45:00Z"/>
        </w:trPr>
        <w:tc>
          <w:tcPr>
            <w:tcW w:w="1154" w:type="dxa"/>
            <w:tcBorders>
              <w:top w:val="single" w:sz="4" w:space="0" w:color="auto"/>
              <w:left w:val="single" w:sz="4" w:space="0" w:color="auto"/>
              <w:bottom w:val="single" w:sz="4" w:space="0" w:color="auto"/>
              <w:right w:val="single" w:sz="4" w:space="0" w:color="auto"/>
            </w:tcBorders>
          </w:tcPr>
          <w:p w14:paraId="21253499" w14:textId="02541FC7" w:rsidR="00DE3458" w:rsidRPr="007F67EE" w:rsidRDefault="00E453CD">
            <w:pPr>
              <w:keepNext/>
              <w:suppressAutoHyphens/>
              <w:rPr>
                <w:del w:id="6719" w:author="AbbVie02no" w:date="2025-05-15T13:45:00Z"/>
                <w:sz w:val="22"/>
                <w:szCs w:val="22"/>
              </w:rPr>
              <w:pPrChange w:id="6720" w:author="AbbVie02no" w:date="2025-05-15T13:45:00Z">
                <w:pPr>
                  <w:pStyle w:val="In-texttable"/>
                  <w:tabs>
                    <w:tab w:val="left" w:pos="144"/>
                  </w:tabs>
                  <w:spacing w:line="240" w:lineRule="auto"/>
                </w:pPr>
              </w:pPrChange>
            </w:pPr>
            <w:del w:id="6721" w:author="AbbVie02no" w:date="2025-05-15T13:45:00Z">
              <w:r w:rsidRPr="007F67EE">
                <w:rPr>
                  <w:sz w:val="22"/>
                  <w:szCs w:val="22"/>
                </w:rPr>
                <w:tab/>
                <w:delText>12 måneder</w:delText>
              </w:r>
            </w:del>
          </w:p>
        </w:tc>
        <w:tc>
          <w:tcPr>
            <w:tcW w:w="875" w:type="dxa"/>
            <w:tcBorders>
              <w:top w:val="single" w:sz="4" w:space="0" w:color="auto"/>
              <w:left w:val="single" w:sz="4" w:space="0" w:color="auto"/>
              <w:bottom w:val="single" w:sz="4" w:space="0" w:color="auto"/>
              <w:right w:val="single" w:sz="4" w:space="0" w:color="auto"/>
            </w:tcBorders>
          </w:tcPr>
          <w:p w14:paraId="2B5F861C" w14:textId="5BA2CFB5" w:rsidR="00DE3458" w:rsidRPr="00193D76" w:rsidRDefault="00E453CD">
            <w:pPr>
              <w:keepNext/>
              <w:suppressAutoHyphens/>
              <w:rPr>
                <w:del w:id="6722" w:author="AbbVie02no" w:date="2025-05-15T13:45:00Z"/>
                <w:sz w:val="22"/>
                <w:szCs w:val="22"/>
              </w:rPr>
              <w:pPrChange w:id="6723" w:author="AbbVie02no" w:date="2025-05-15T13:45:00Z">
                <w:pPr>
                  <w:pStyle w:val="In-texttable"/>
                  <w:spacing w:line="240" w:lineRule="auto"/>
                  <w:jc w:val="center"/>
                </w:pPr>
              </w:pPrChange>
            </w:pPr>
            <w:del w:id="6724" w:author="AbbVie02no" w:date="2025-05-15T13:45:00Z">
              <w:r w:rsidRPr="00193D76">
                <w:rPr>
                  <w:sz w:val="22"/>
                  <w:szCs w:val="22"/>
                </w:rPr>
                <w:delText>NA</w:delText>
              </w:r>
            </w:del>
          </w:p>
        </w:tc>
        <w:tc>
          <w:tcPr>
            <w:tcW w:w="1726" w:type="dxa"/>
            <w:tcBorders>
              <w:top w:val="single" w:sz="4" w:space="0" w:color="auto"/>
              <w:left w:val="single" w:sz="4" w:space="0" w:color="auto"/>
              <w:bottom w:val="single" w:sz="4" w:space="0" w:color="auto"/>
              <w:right w:val="single" w:sz="4" w:space="0" w:color="auto"/>
            </w:tcBorders>
          </w:tcPr>
          <w:p w14:paraId="0AA8A050" w14:textId="001DFFAF" w:rsidR="00DE3458" w:rsidRPr="009C5EFD" w:rsidRDefault="00E453CD">
            <w:pPr>
              <w:keepNext/>
              <w:suppressAutoHyphens/>
              <w:rPr>
                <w:del w:id="6725" w:author="AbbVie02no" w:date="2025-05-15T13:45:00Z"/>
                <w:sz w:val="22"/>
                <w:szCs w:val="22"/>
              </w:rPr>
              <w:pPrChange w:id="6726" w:author="AbbVie02no" w:date="2025-05-15T13:45:00Z">
                <w:pPr>
                  <w:pStyle w:val="In-texttable"/>
                  <w:spacing w:line="240" w:lineRule="auto"/>
                  <w:jc w:val="center"/>
                </w:pPr>
              </w:pPrChange>
            </w:pPr>
            <w:del w:id="6727" w:author="AbbVie02no" w:date="2025-05-15T13:45:00Z">
              <w:r w:rsidRPr="009C5EFD">
                <w:rPr>
                  <w:sz w:val="22"/>
                  <w:szCs w:val="22"/>
                </w:rPr>
                <w:delText>NA</w:delText>
              </w:r>
            </w:del>
          </w:p>
        </w:tc>
        <w:tc>
          <w:tcPr>
            <w:tcW w:w="1052" w:type="dxa"/>
            <w:tcBorders>
              <w:top w:val="single" w:sz="4" w:space="0" w:color="auto"/>
              <w:left w:val="single" w:sz="4" w:space="0" w:color="auto"/>
              <w:bottom w:val="single" w:sz="4" w:space="0" w:color="auto"/>
              <w:right w:val="single" w:sz="4" w:space="0" w:color="auto"/>
            </w:tcBorders>
          </w:tcPr>
          <w:p w14:paraId="021AE320" w14:textId="3F533BD3" w:rsidR="00DE3458" w:rsidRPr="009C5EFD" w:rsidRDefault="00E453CD">
            <w:pPr>
              <w:keepNext/>
              <w:suppressAutoHyphens/>
              <w:rPr>
                <w:del w:id="6728" w:author="AbbVie02no" w:date="2025-05-15T13:45:00Z"/>
                <w:sz w:val="22"/>
                <w:szCs w:val="22"/>
              </w:rPr>
              <w:pPrChange w:id="6729" w:author="AbbVie02no" w:date="2025-05-15T13:45:00Z">
                <w:pPr>
                  <w:pStyle w:val="In-texttable"/>
                  <w:spacing w:line="240" w:lineRule="auto"/>
                  <w:jc w:val="center"/>
                </w:pPr>
              </w:pPrChange>
            </w:pPr>
            <w:del w:id="6730" w:author="AbbVie02no" w:date="2025-05-15T13:45:00Z">
              <w:r w:rsidRPr="009C5EFD">
                <w:rPr>
                  <w:sz w:val="22"/>
                  <w:szCs w:val="22"/>
                </w:rPr>
                <w:delText>NA</w:delText>
              </w:r>
            </w:del>
          </w:p>
        </w:tc>
        <w:tc>
          <w:tcPr>
            <w:tcW w:w="1554" w:type="dxa"/>
            <w:tcBorders>
              <w:top w:val="single" w:sz="4" w:space="0" w:color="auto"/>
              <w:left w:val="single" w:sz="4" w:space="0" w:color="auto"/>
              <w:bottom w:val="single" w:sz="4" w:space="0" w:color="auto"/>
              <w:right w:val="single" w:sz="4" w:space="0" w:color="auto"/>
            </w:tcBorders>
          </w:tcPr>
          <w:p w14:paraId="5C87EFBB" w14:textId="43B9E99A" w:rsidR="00DE3458" w:rsidRPr="009C5EFD" w:rsidRDefault="00E453CD">
            <w:pPr>
              <w:keepNext/>
              <w:suppressAutoHyphens/>
              <w:rPr>
                <w:del w:id="6731" w:author="AbbVie02no" w:date="2025-05-15T13:45:00Z"/>
                <w:sz w:val="22"/>
                <w:szCs w:val="22"/>
              </w:rPr>
              <w:pPrChange w:id="6732" w:author="AbbVie02no" w:date="2025-05-15T13:45:00Z">
                <w:pPr>
                  <w:pStyle w:val="In-texttable"/>
                  <w:spacing w:line="240" w:lineRule="auto"/>
                  <w:jc w:val="center"/>
                </w:pPr>
              </w:pPrChange>
            </w:pPr>
            <w:del w:id="6733" w:author="AbbVie02no" w:date="2025-05-15T13:45:00Z">
              <w:r w:rsidRPr="009C5EFD">
                <w:rPr>
                  <w:sz w:val="22"/>
                  <w:szCs w:val="22"/>
                </w:rPr>
                <w:delText>NA</w:delText>
              </w:r>
            </w:del>
          </w:p>
        </w:tc>
        <w:tc>
          <w:tcPr>
            <w:tcW w:w="890" w:type="dxa"/>
            <w:tcBorders>
              <w:top w:val="single" w:sz="4" w:space="0" w:color="auto"/>
              <w:left w:val="single" w:sz="4" w:space="0" w:color="auto"/>
              <w:bottom w:val="single" w:sz="4" w:space="0" w:color="auto"/>
              <w:right w:val="single" w:sz="4" w:space="0" w:color="auto"/>
            </w:tcBorders>
          </w:tcPr>
          <w:p w14:paraId="6604C01C" w14:textId="5A9C15CF" w:rsidR="00DE3458" w:rsidRPr="009C5EFD" w:rsidRDefault="00E453CD">
            <w:pPr>
              <w:keepNext/>
              <w:suppressAutoHyphens/>
              <w:rPr>
                <w:del w:id="6734" w:author="AbbVie02no" w:date="2025-05-15T13:45:00Z"/>
                <w:sz w:val="22"/>
                <w:szCs w:val="22"/>
              </w:rPr>
              <w:pPrChange w:id="6735" w:author="AbbVie02no" w:date="2025-05-15T13:45:00Z">
                <w:pPr>
                  <w:pStyle w:val="In-texttable"/>
                  <w:spacing w:line="240" w:lineRule="auto"/>
                  <w:jc w:val="center"/>
                </w:pPr>
              </w:pPrChange>
            </w:pPr>
            <w:del w:id="6736" w:author="AbbVie02no" w:date="2025-05-15T13:45:00Z">
              <w:r w:rsidRPr="009C5EFD">
                <w:rPr>
                  <w:sz w:val="22"/>
                  <w:szCs w:val="22"/>
                </w:rPr>
                <w:delText>4,5</w:delText>
              </w:r>
              <w:r w:rsidR="00E51AA9" w:rsidRPr="009C5EFD">
                <w:rPr>
                  <w:sz w:val="22"/>
                  <w:szCs w:val="22"/>
                </w:rPr>
                <w:delText xml:space="preserve"> %</w:delText>
              </w:r>
            </w:del>
          </w:p>
        </w:tc>
        <w:tc>
          <w:tcPr>
            <w:tcW w:w="1726" w:type="dxa"/>
            <w:tcBorders>
              <w:top w:val="single" w:sz="4" w:space="0" w:color="auto"/>
              <w:left w:val="single" w:sz="4" w:space="0" w:color="auto"/>
              <w:bottom w:val="single" w:sz="4" w:space="0" w:color="auto"/>
              <w:right w:val="single" w:sz="6" w:space="0" w:color="auto"/>
            </w:tcBorders>
          </w:tcPr>
          <w:p w14:paraId="5F4AE795" w14:textId="35D45E4D" w:rsidR="00DE3458" w:rsidRPr="009C5EFD" w:rsidRDefault="00E453CD">
            <w:pPr>
              <w:keepNext/>
              <w:suppressAutoHyphens/>
              <w:rPr>
                <w:del w:id="6737" w:author="AbbVie02no" w:date="2025-05-15T13:45:00Z"/>
                <w:sz w:val="22"/>
                <w:szCs w:val="22"/>
              </w:rPr>
              <w:pPrChange w:id="6738" w:author="AbbVie02no" w:date="2025-05-15T13:45:00Z">
                <w:pPr>
                  <w:pStyle w:val="In-texttable"/>
                  <w:spacing w:line="240" w:lineRule="auto"/>
                  <w:jc w:val="center"/>
                </w:pPr>
              </w:pPrChange>
            </w:pPr>
            <w:del w:id="6739" w:author="AbbVie02no" w:date="2025-05-15T13:45:00Z">
              <w:r w:rsidRPr="009C5EFD">
                <w:rPr>
                  <w:sz w:val="22"/>
                  <w:szCs w:val="22"/>
                </w:rPr>
                <w:delText>23,2</w:delText>
              </w:r>
              <w:r w:rsidR="00E51AA9" w:rsidRPr="009C5EFD">
                <w:rPr>
                  <w:sz w:val="22"/>
                  <w:szCs w:val="22"/>
                </w:rPr>
                <w:delText xml:space="preserve"> %</w:delText>
              </w:r>
            </w:del>
          </w:p>
        </w:tc>
      </w:tr>
      <w:tr w:rsidR="004644D4" w14:paraId="0F469D62" w14:textId="7B9C3A34" w:rsidTr="00944308">
        <w:trPr>
          <w:cantSplit/>
          <w:del w:id="6740" w:author="AbbVie02no" w:date="2025-05-15T13:45:00Z"/>
        </w:trPr>
        <w:tc>
          <w:tcPr>
            <w:tcW w:w="8977" w:type="dxa"/>
            <w:gridSpan w:val="7"/>
            <w:tcBorders>
              <w:top w:val="single" w:sz="4" w:space="0" w:color="auto"/>
            </w:tcBorders>
          </w:tcPr>
          <w:p w14:paraId="2AA229FF" w14:textId="441F5126" w:rsidR="00DE3458" w:rsidRPr="002D0790" w:rsidRDefault="00E453CD">
            <w:pPr>
              <w:keepNext/>
              <w:suppressAutoHyphens/>
              <w:rPr>
                <w:del w:id="6741" w:author="AbbVie02no" w:date="2025-05-15T13:45:00Z"/>
                <w:sz w:val="22"/>
                <w:szCs w:val="22"/>
              </w:rPr>
              <w:pPrChange w:id="6742" w:author="AbbVie02no" w:date="2025-05-15T13:45:00Z">
                <w:pPr>
                  <w:pStyle w:val="In-textfootnote"/>
                  <w:spacing w:before="0" w:line="240" w:lineRule="auto"/>
                  <w:ind w:left="144" w:hanging="144"/>
                </w:pPr>
              </w:pPrChange>
            </w:pPr>
            <w:del w:id="6743" w:author="AbbVie02no" w:date="2025-05-15T13:45:00Z">
              <w:r w:rsidRPr="007F67EE">
                <w:rPr>
                  <w:sz w:val="22"/>
                  <w:szCs w:val="22"/>
                  <w:vertAlign w:val="superscript"/>
                </w:rPr>
                <w:delText>a</w:delText>
              </w:r>
              <w:r w:rsidRPr="00193D76">
                <w:rPr>
                  <w:sz w:val="22"/>
                  <w:szCs w:val="22"/>
                </w:rPr>
                <w:tab/>
                <w:delText>RA-studie I ved 24 uker, RA-studie II ved 26 uker og RA-stu</w:delText>
              </w:r>
              <w:r w:rsidRPr="002D0790">
                <w:rPr>
                  <w:sz w:val="22"/>
                  <w:szCs w:val="22"/>
                </w:rPr>
                <w:delText>die III ved 24 og 52 uker</w:delText>
              </w:r>
            </w:del>
          </w:p>
          <w:p w14:paraId="2A31DA47" w14:textId="0F6E8B15" w:rsidR="00DE3458" w:rsidRPr="00E14E58" w:rsidRDefault="00E453CD">
            <w:pPr>
              <w:keepNext/>
              <w:suppressAutoHyphens/>
              <w:rPr>
                <w:del w:id="6744" w:author="AbbVie02no" w:date="2025-05-15T13:45:00Z"/>
                <w:sz w:val="22"/>
                <w:szCs w:val="22"/>
              </w:rPr>
              <w:pPrChange w:id="6745" w:author="AbbVie02no" w:date="2025-05-15T13:45:00Z">
                <w:pPr>
                  <w:pStyle w:val="In-textfootnote"/>
                  <w:spacing w:before="0" w:line="240" w:lineRule="auto"/>
                  <w:ind w:left="144" w:hanging="144"/>
                </w:pPr>
              </w:pPrChange>
            </w:pPr>
            <w:del w:id="6746" w:author="AbbVie02no" w:date="2025-05-15T13:45:00Z">
              <w:r w:rsidRPr="002D0790">
                <w:rPr>
                  <w:sz w:val="22"/>
                  <w:szCs w:val="22"/>
                  <w:vertAlign w:val="superscript"/>
                </w:rPr>
                <w:delText>b</w:delText>
              </w:r>
              <w:r w:rsidRPr="00E14E58">
                <w:rPr>
                  <w:sz w:val="22"/>
                  <w:szCs w:val="22"/>
                </w:rPr>
                <w:tab/>
                <w:delText>40 mg Humira administrert annenhver uke</w:delText>
              </w:r>
            </w:del>
          </w:p>
          <w:p w14:paraId="558FA9F0" w14:textId="7176D794" w:rsidR="00DE3458" w:rsidRPr="001F5D4B" w:rsidRDefault="00E453CD">
            <w:pPr>
              <w:keepNext/>
              <w:suppressAutoHyphens/>
              <w:rPr>
                <w:del w:id="6747" w:author="AbbVie02no" w:date="2025-05-15T13:45:00Z"/>
                <w:sz w:val="22"/>
                <w:szCs w:val="22"/>
                <w:lang w:val="sv-SE"/>
              </w:rPr>
              <w:pPrChange w:id="6748" w:author="AbbVie02no" w:date="2025-05-15T13:45:00Z">
                <w:pPr>
                  <w:pStyle w:val="In-textfootnote"/>
                  <w:spacing w:before="0" w:line="240" w:lineRule="auto"/>
                  <w:ind w:left="144" w:hanging="144"/>
                </w:pPr>
              </w:pPrChange>
            </w:pPr>
            <w:del w:id="6749" w:author="AbbVie02no" w:date="2025-05-15T13:45:00Z">
              <w:r w:rsidRPr="001F5D4B">
                <w:rPr>
                  <w:sz w:val="22"/>
                  <w:szCs w:val="22"/>
                  <w:vertAlign w:val="superscript"/>
                  <w:lang w:val="sv-SE"/>
                </w:rPr>
                <w:delText>c</w:delText>
              </w:r>
              <w:r w:rsidRPr="001F5D4B">
                <w:rPr>
                  <w:sz w:val="22"/>
                  <w:szCs w:val="22"/>
                  <w:lang w:val="sv-SE"/>
                </w:rPr>
                <w:delText xml:space="preserve"> MTX = metotreksat</w:delText>
              </w:r>
            </w:del>
          </w:p>
          <w:p w14:paraId="0377355B" w14:textId="4DBD8B77" w:rsidR="00DE3458" w:rsidRPr="001F5D4B" w:rsidRDefault="00E453CD">
            <w:pPr>
              <w:keepNext/>
              <w:suppressAutoHyphens/>
              <w:rPr>
                <w:del w:id="6750" w:author="AbbVie02no" w:date="2025-05-15T13:45:00Z"/>
                <w:sz w:val="22"/>
                <w:szCs w:val="22"/>
                <w:lang w:val="sv-SE"/>
              </w:rPr>
              <w:pPrChange w:id="6751" w:author="AbbVie02no" w:date="2025-05-15T13:45:00Z">
                <w:pPr>
                  <w:pStyle w:val="In-textfootnote"/>
                  <w:spacing w:before="0" w:line="240" w:lineRule="auto"/>
                  <w:ind w:left="144" w:hanging="144"/>
                </w:pPr>
              </w:pPrChange>
            </w:pPr>
            <w:del w:id="6752" w:author="AbbVie02no" w:date="2025-05-15T13:45:00Z">
              <w:r w:rsidRPr="001F5D4B">
                <w:rPr>
                  <w:sz w:val="22"/>
                  <w:szCs w:val="22"/>
                  <w:lang w:val="sv-SE"/>
                </w:rPr>
                <w:delText xml:space="preserve">**p &lt; 0,01, Humira </w:delText>
              </w:r>
              <w:r w:rsidRPr="001F5D4B">
                <w:rPr>
                  <w:i/>
                  <w:sz w:val="22"/>
                  <w:szCs w:val="22"/>
                  <w:lang w:val="sv-SE"/>
                </w:rPr>
                <w:delText>versus</w:delText>
              </w:r>
              <w:r w:rsidRPr="001F5D4B">
                <w:rPr>
                  <w:sz w:val="22"/>
                  <w:szCs w:val="22"/>
                  <w:lang w:val="sv-SE"/>
                </w:rPr>
                <w:delText xml:space="preserve"> placebo</w:delText>
              </w:r>
            </w:del>
          </w:p>
        </w:tc>
      </w:tr>
    </w:tbl>
    <w:p w14:paraId="23106A5B" w14:textId="3371E543" w:rsidR="00DE3458" w:rsidRPr="001F5D4B" w:rsidRDefault="00DE3458">
      <w:pPr>
        <w:keepNext/>
        <w:suppressAutoHyphens/>
        <w:rPr>
          <w:del w:id="6753" w:author="AbbVie02no" w:date="2025-05-15T13:45:00Z"/>
          <w:sz w:val="22"/>
          <w:szCs w:val="22"/>
          <w:lang w:val="sv-SE"/>
        </w:rPr>
        <w:pPrChange w:id="6754" w:author="AbbVie02no" w:date="2025-05-15T13:45:00Z">
          <w:pPr/>
        </w:pPrChange>
      </w:pPr>
    </w:p>
    <w:p w14:paraId="47CCEFE9" w14:textId="0E67732C" w:rsidR="00DE3458" w:rsidRPr="00E14E58" w:rsidRDefault="00E453CD">
      <w:pPr>
        <w:keepNext/>
        <w:suppressAutoHyphens/>
        <w:rPr>
          <w:del w:id="6755" w:author="AbbVie02no" w:date="2025-05-15T13:45:00Z"/>
          <w:sz w:val="22"/>
          <w:szCs w:val="22"/>
        </w:rPr>
        <w:pPrChange w:id="6756" w:author="AbbVie02no" w:date="2025-05-15T13:45:00Z">
          <w:pPr/>
        </w:pPrChange>
      </w:pPr>
      <w:del w:id="6757" w:author="AbbVie02no" w:date="2025-05-15T13:45:00Z">
        <w:r w:rsidRPr="002D0790">
          <w:rPr>
            <w:sz w:val="22"/>
            <w:szCs w:val="22"/>
          </w:rPr>
          <w:delText>I RA-studiene I-IV var det bedring etter 24 og 26 uker sammenlignet med placebo av alle individuelle komponenter for ACR-responskrit</w:delText>
        </w:r>
        <w:r w:rsidRPr="00E14E58">
          <w:rPr>
            <w:sz w:val="22"/>
            <w:szCs w:val="22"/>
          </w:rPr>
          <w:delText xml:space="preserve">eriene (antall ømme og hovne ledd, legens og pasientens vurdering av sykdomsaktivitet og smerte, uførhetsindeks (HAQ) og CRP-verdier (mg/dl)). I RA-studie III vedvarte disse forbedringene frem til uke 52. </w:delText>
        </w:r>
      </w:del>
    </w:p>
    <w:p w14:paraId="1C1CA918" w14:textId="31BA2A83" w:rsidR="000E3524" w:rsidRPr="009C5EFD" w:rsidRDefault="000E3524">
      <w:pPr>
        <w:keepNext/>
        <w:suppressAutoHyphens/>
        <w:rPr>
          <w:del w:id="6758" w:author="AbbVie02no" w:date="2025-05-15T13:45:00Z"/>
          <w:sz w:val="22"/>
          <w:szCs w:val="22"/>
        </w:rPr>
        <w:pPrChange w:id="6759" w:author="AbbVie02no" w:date="2025-05-15T13:45:00Z">
          <w:pPr/>
        </w:pPrChange>
      </w:pPr>
    </w:p>
    <w:p w14:paraId="128FC355" w14:textId="4B0964B4" w:rsidR="000E3524" w:rsidRPr="009C5EFD" w:rsidRDefault="00E453CD">
      <w:pPr>
        <w:keepNext/>
        <w:suppressAutoHyphens/>
        <w:rPr>
          <w:del w:id="6760" w:author="AbbVie02no" w:date="2025-05-15T13:45:00Z"/>
          <w:sz w:val="22"/>
          <w:szCs w:val="22"/>
        </w:rPr>
        <w:pPrChange w:id="6761" w:author="AbbVie02no" w:date="2025-05-15T13:45:00Z">
          <w:pPr/>
        </w:pPrChange>
      </w:pPr>
      <w:del w:id="6762" w:author="AbbVie02no" w:date="2025-05-15T13:45:00Z">
        <w:r w:rsidRPr="009C5EFD">
          <w:rPr>
            <w:sz w:val="22"/>
            <w:szCs w:val="22"/>
          </w:rPr>
          <w:delText xml:space="preserve">I den åpne forlengelsen av RA-studie III, vedlikeholdt de fleste pasientene som var ACR respondere sin respons ved oppfølging i opptil 10 år. Av 207 pasienter </w:delText>
        </w:r>
        <w:r w:rsidR="001332D9" w:rsidRPr="009C5EFD">
          <w:rPr>
            <w:sz w:val="22"/>
            <w:szCs w:val="22"/>
          </w:rPr>
          <w:delText xml:space="preserve">som ble </w:delText>
        </w:r>
        <w:r w:rsidR="00AD0806" w:rsidRPr="009C5EFD">
          <w:rPr>
            <w:sz w:val="22"/>
            <w:szCs w:val="22"/>
          </w:rPr>
          <w:delText xml:space="preserve">randomisert til </w:delText>
        </w:r>
        <w:r w:rsidR="00D76283" w:rsidRPr="009C5EFD">
          <w:rPr>
            <w:sz w:val="22"/>
            <w:szCs w:val="22"/>
          </w:rPr>
          <w:delText xml:space="preserve">40 mg </w:delText>
        </w:r>
        <w:r w:rsidR="00AD0806" w:rsidRPr="009C5EFD">
          <w:rPr>
            <w:sz w:val="22"/>
            <w:szCs w:val="22"/>
          </w:rPr>
          <w:delText xml:space="preserve">Humira annenhver uke </w:delText>
        </w:r>
        <w:r w:rsidRPr="009C5EFD">
          <w:rPr>
            <w:sz w:val="22"/>
            <w:szCs w:val="22"/>
          </w:rPr>
          <w:delText xml:space="preserve">fortsatte 114 pasienter behandling med </w:delText>
        </w:r>
        <w:r w:rsidR="00D76283" w:rsidRPr="009C5EFD">
          <w:rPr>
            <w:sz w:val="22"/>
            <w:szCs w:val="22"/>
          </w:rPr>
          <w:delText xml:space="preserve">40 mg </w:delText>
        </w:r>
        <w:r w:rsidRPr="009C5EFD">
          <w:rPr>
            <w:sz w:val="22"/>
            <w:szCs w:val="22"/>
          </w:rPr>
          <w:delText xml:space="preserve">Humira annenhver uke i 5 år. Blant disse hadde 86 pasienter (75,4 %) ACR </w:delText>
        </w:r>
        <w:r w:rsidR="00EC5A19">
          <w:rPr>
            <w:sz w:val="22"/>
            <w:szCs w:val="22"/>
          </w:rPr>
          <w:delText>20-respons</w:delText>
        </w:r>
        <w:r w:rsidRPr="009C5EFD">
          <w:rPr>
            <w:sz w:val="22"/>
            <w:szCs w:val="22"/>
          </w:rPr>
          <w:delText xml:space="preserve">, 72 pasienter (63,2 %) hadde ACR </w:delText>
        </w:r>
        <w:r w:rsidR="00EC5A19">
          <w:rPr>
            <w:sz w:val="22"/>
            <w:szCs w:val="22"/>
          </w:rPr>
          <w:delText>50-respons</w:delText>
        </w:r>
        <w:r w:rsidRPr="009C5EFD">
          <w:rPr>
            <w:sz w:val="22"/>
            <w:szCs w:val="22"/>
          </w:rPr>
          <w:delText xml:space="preserve"> og 41 pasienter (36,0 %) hadde ACR </w:delText>
        </w:r>
        <w:r w:rsidR="00366B6C">
          <w:rPr>
            <w:sz w:val="22"/>
            <w:szCs w:val="22"/>
          </w:rPr>
          <w:delText>70-respons</w:delText>
        </w:r>
        <w:r w:rsidRPr="009C5EFD">
          <w:rPr>
            <w:sz w:val="22"/>
            <w:szCs w:val="22"/>
          </w:rPr>
          <w:delText xml:space="preserve">. Av 207 pasienter fortsatte 81 </w:delText>
        </w:r>
        <w:r w:rsidR="003B49EC">
          <w:rPr>
            <w:sz w:val="22"/>
            <w:szCs w:val="22"/>
          </w:rPr>
          <w:delText xml:space="preserve">pasienter </w:delText>
        </w:r>
        <w:r w:rsidR="002353DA">
          <w:rPr>
            <w:sz w:val="22"/>
            <w:szCs w:val="22"/>
          </w:rPr>
          <w:delText>med</w:delText>
        </w:r>
        <w:r w:rsidRPr="009C5EFD">
          <w:rPr>
            <w:sz w:val="22"/>
            <w:szCs w:val="22"/>
          </w:rPr>
          <w:delText xml:space="preserve"> </w:delText>
        </w:r>
        <w:r w:rsidR="00D76283" w:rsidRPr="009C5EFD">
          <w:rPr>
            <w:sz w:val="22"/>
            <w:szCs w:val="22"/>
          </w:rPr>
          <w:delText xml:space="preserve">40 mg </w:delText>
        </w:r>
        <w:r w:rsidRPr="009C5EFD">
          <w:rPr>
            <w:sz w:val="22"/>
            <w:szCs w:val="22"/>
          </w:rPr>
          <w:delText xml:space="preserve">Humira </w:delText>
        </w:r>
        <w:r w:rsidRPr="009C5EFD">
          <w:rPr>
            <w:sz w:val="22"/>
            <w:szCs w:val="22"/>
          </w:rPr>
          <w:lastRenderedPageBreak/>
          <w:delText xml:space="preserve">annenhver uke i 10 år. Blant disse hadde 64 pasienter (79,0 %) ACR </w:delText>
        </w:r>
        <w:r w:rsidR="00EC5A19">
          <w:rPr>
            <w:sz w:val="22"/>
            <w:szCs w:val="22"/>
          </w:rPr>
          <w:delText>20-respons</w:delText>
        </w:r>
        <w:r w:rsidRPr="009C5EFD">
          <w:rPr>
            <w:sz w:val="22"/>
            <w:szCs w:val="22"/>
          </w:rPr>
          <w:delText xml:space="preserve">, 56 pasienter (69,1 %) hadde ACR </w:delText>
        </w:r>
        <w:r w:rsidR="00EC5A19">
          <w:rPr>
            <w:sz w:val="22"/>
            <w:szCs w:val="22"/>
          </w:rPr>
          <w:delText>50-respons</w:delText>
        </w:r>
        <w:r w:rsidRPr="009C5EFD">
          <w:rPr>
            <w:sz w:val="22"/>
            <w:szCs w:val="22"/>
          </w:rPr>
          <w:delText xml:space="preserve"> og 43 pasienter (53,1 %) hadde ACR </w:delText>
        </w:r>
        <w:r w:rsidR="00366B6C">
          <w:rPr>
            <w:sz w:val="22"/>
            <w:szCs w:val="22"/>
          </w:rPr>
          <w:delText>70-respons</w:delText>
        </w:r>
        <w:r w:rsidRPr="009C5EFD">
          <w:rPr>
            <w:sz w:val="22"/>
            <w:szCs w:val="22"/>
          </w:rPr>
          <w:delText>.</w:delText>
        </w:r>
      </w:del>
    </w:p>
    <w:p w14:paraId="30453D8A" w14:textId="42693D8F" w:rsidR="00DE3458" w:rsidRPr="009C5EFD" w:rsidRDefault="00DE3458">
      <w:pPr>
        <w:keepNext/>
        <w:suppressAutoHyphens/>
        <w:rPr>
          <w:del w:id="6763" w:author="AbbVie02no" w:date="2025-05-15T13:45:00Z"/>
          <w:sz w:val="22"/>
          <w:szCs w:val="22"/>
        </w:rPr>
        <w:pPrChange w:id="6764" w:author="AbbVie02no" w:date="2025-05-15T13:45:00Z">
          <w:pPr/>
        </w:pPrChange>
      </w:pPr>
    </w:p>
    <w:p w14:paraId="6B56B0AB" w14:textId="6B10C6D3" w:rsidR="00DE3458" w:rsidRPr="009C5EFD" w:rsidRDefault="00E453CD">
      <w:pPr>
        <w:keepNext/>
        <w:suppressAutoHyphens/>
        <w:rPr>
          <w:del w:id="6765" w:author="AbbVie02no" w:date="2025-05-15T13:45:00Z"/>
          <w:sz w:val="22"/>
          <w:szCs w:val="22"/>
        </w:rPr>
        <w:pPrChange w:id="6766" w:author="AbbVie02no" w:date="2025-05-15T13:45:00Z">
          <w:pPr/>
        </w:pPrChange>
      </w:pPr>
      <w:del w:id="6767" w:author="AbbVie02no" w:date="2025-05-15T13:45:00Z">
        <w:r w:rsidRPr="009C5EFD">
          <w:rPr>
            <w:sz w:val="22"/>
            <w:szCs w:val="22"/>
          </w:rPr>
          <w:delText>I RA-studie IV var ACR 20</w:delText>
        </w:r>
        <w:r w:rsidR="006F4E17" w:rsidRPr="009C5EFD">
          <w:rPr>
            <w:sz w:val="22"/>
            <w:szCs w:val="22"/>
          </w:rPr>
          <w:delText>-</w:delText>
        </w:r>
        <w:r w:rsidRPr="009C5EFD">
          <w:rPr>
            <w:sz w:val="22"/>
            <w:szCs w:val="22"/>
          </w:rPr>
          <w:delText xml:space="preserve">respons hos pasienter som fikk Humira samt standardomsorg statistisk signifikant bedre enn hos pasienter som fikk placebo samt standardomsorg (p &lt; 0,001). </w:delText>
        </w:r>
      </w:del>
    </w:p>
    <w:p w14:paraId="77C492A5" w14:textId="7DA87CBE" w:rsidR="00DE3458" w:rsidRPr="009C5EFD" w:rsidRDefault="00DE3458">
      <w:pPr>
        <w:keepNext/>
        <w:suppressAutoHyphens/>
        <w:rPr>
          <w:del w:id="6768" w:author="AbbVie02no" w:date="2025-05-15T13:45:00Z"/>
          <w:sz w:val="22"/>
          <w:szCs w:val="22"/>
        </w:rPr>
        <w:pPrChange w:id="6769" w:author="AbbVie02no" w:date="2025-05-15T13:45:00Z">
          <w:pPr/>
        </w:pPrChange>
      </w:pPr>
    </w:p>
    <w:p w14:paraId="4B3AADF7" w14:textId="306AE568" w:rsidR="00DE3458" w:rsidRPr="009C5EFD" w:rsidRDefault="00E453CD">
      <w:pPr>
        <w:keepNext/>
        <w:suppressAutoHyphens/>
        <w:rPr>
          <w:del w:id="6770" w:author="AbbVie02no" w:date="2025-05-15T13:45:00Z"/>
          <w:sz w:val="22"/>
          <w:szCs w:val="22"/>
        </w:rPr>
        <w:pPrChange w:id="6771" w:author="AbbVie02no" w:date="2025-05-15T13:45:00Z">
          <w:pPr/>
        </w:pPrChange>
      </w:pPr>
      <w:del w:id="6772" w:author="AbbVie02no" w:date="2025-05-15T13:45:00Z">
        <w:r w:rsidRPr="009C5EFD">
          <w:rPr>
            <w:sz w:val="22"/>
            <w:szCs w:val="22"/>
          </w:rPr>
          <w:delText xml:space="preserve">I RA-studiene I-IV oppnådde Humira-behandlede pasienter statistisk signifikant ACR 20- og 50-respons sammenlignet med placebo så tidlig som en til to uker etter at behandlingen var initiert. </w:delText>
        </w:r>
      </w:del>
    </w:p>
    <w:p w14:paraId="2530B778" w14:textId="0FEF9828" w:rsidR="00DE3458" w:rsidRPr="009C5EFD" w:rsidRDefault="00DE3458">
      <w:pPr>
        <w:keepNext/>
        <w:suppressAutoHyphens/>
        <w:rPr>
          <w:del w:id="6773" w:author="AbbVie02no" w:date="2025-05-15T13:45:00Z"/>
          <w:sz w:val="22"/>
          <w:szCs w:val="22"/>
        </w:rPr>
        <w:pPrChange w:id="6774" w:author="AbbVie02no" w:date="2025-05-15T13:45:00Z">
          <w:pPr/>
        </w:pPrChange>
      </w:pPr>
    </w:p>
    <w:p w14:paraId="58FB4F28" w14:textId="1BC1A6BB" w:rsidR="00DE3458" w:rsidRPr="009C5EFD" w:rsidRDefault="00E453CD">
      <w:pPr>
        <w:keepNext/>
        <w:suppressAutoHyphens/>
        <w:rPr>
          <w:del w:id="6775" w:author="AbbVie02no" w:date="2025-05-15T13:45:00Z"/>
          <w:sz w:val="22"/>
          <w:szCs w:val="22"/>
        </w:rPr>
        <w:pPrChange w:id="6776" w:author="AbbVie02no" w:date="2025-05-15T13:45:00Z">
          <w:pPr/>
        </w:pPrChange>
      </w:pPr>
      <w:del w:id="6777" w:author="AbbVie02no" w:date="2025-05-15T13:45:00Z">
        <w:r w:rsidRPr="009C5EFD">
          <w:rPr>
            <w:sz w:val="22"/>
            <w:szCs w:val="22"/>
          </w:rPr>
          <w:delText>I RA-studie V med pasienter med tidlig revmatoid artritt</w:delText>
        </w:r>
        <w:r w:rsidR="00085BDB" w:rsidRPr="009C5EFD">
          <w:rPr>
            <w:sz w:val="22"/>
            <w:szCs w:val="22"/>
          </w:rPr>
          <w:delText xml:space="preserve"> og</w:delText>
        </w:r>
        <w:r w:rsidRPr="009C5EFD">
          <w:rPr>
            <w:sz w:val="22"/>
            <w:szCs w:val="22"/>
          </w:rPr>
          <w:delText xml:space="preserve"> som ikke tidligere var behandlet med metotreksat, førte kombinasjonsbehandlingen med Humira og metotreksat til raskere og signifikant større ACR-responser enn metotreksat monoterapi </w:delText>
        </w:r>
        <w:r w:rsidR="00CB4543">
          <w:rPr>
            <w:sz w:val="22"/>
            <w:szCs w:val="22"/>
          </w:rPr>
          <w:delText xml:space="preserve">og Humira monoterapi </w:delText>
        </w:r>
        <w:r w:rsidRPr="009C5EFD">
          <w:rPr>
            <w:sz w:val="22"/>
            <w:szCs w:val="22"/>
          </w:rPr>
          <w:delText xml:space="preserve">ved uke 52, og responsene vedvarte ved uke 104 (se </w:delText>
        </w:r>
        <w:r w:rsidR="00EF2122" w:rsidRPr="009C5EFD">
          <w:rPr>
            <w:sz w:val="22"/>
            <w:szCs w:val="22"/>
          </w:rPr>
          <w:delText>t</w:delText>
        </w:r>
        <w:r w:rsidRPr="009C5EFD">
          <w:rPr>
            <w:sz w:val="22"/>
            <w:szCs w:val="22"/>
          </w:rPr>
          <w:delText xml:space="preserve">abell </w:delText>
        </w:r>
        <w:r w:rsidR="008F0D97">
          <w:rPr>
            <w:sz w:val="22"/>
            <w:szCs w:val="22"/>
          </w:rPr>
          <w:delText>9</w:delText>
        </w:r>
        <w:r w:rsidRPr="009C5EFD">
          <w:rPr>
            <w:sz w:val="22"/>
            <w:szCs w:val="22"/>
          </w:rPr>
          <w:delText>).</w:delText>
        </w:r>
      </w:del>
    </w:p>
    <w:p w14:paraId="3C18A632" w14:textId="6F260562" w:rsidR="009D34A7" w:rsidRPr="009C5EFD" w:rsidRDefault="009D34A7">
      <w:pPr>
        <w:keepNext/>
        <w:suppressAutoHyphens/>
        <w:rPr>
          <w:del w:id="6778" w:author="AbbVie02no" w:date="2025-05-15T13:45:00Z"/>
        </w:rPr>
        <w:pPrChange w:id="6779" w:author="AbbVie02no" w:date="2025-05-15T13:45:00Z">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1619"/>
        <w:gridCol w:w="1255"/>
        <w:gridCol w:w="1271"/>
        <w:gridCol w:w="1571"/>
        <w:gridCol w:w="1063"/>
        <w:gridCol w:w="1120"/>
        <w:gridCol w:w="1149"/>
        <w:gridCol w:w="11"/>
      </w:tblGrid>
      <w:tr w:rsidR="004644D4" w14:paraId="58BE7E5B" w14:textId="541C5651" w:rsidTr="001F5D4B">
        <w:trPr>
          <w:gridBefore w:val="1"/>
          <w:wBefore w:w="6" w:type="dxa"/>
          <w:cantSplit/>
          <w:jc w:val="center"/>
          <w:del w:id="6780" w:author="AbbVie02no" w:date="2025-05-15T13:45:00Z"/>
        </w:trPr>
        <w:tc>
          <w:tcPr>
            <w:tcW w:w="9429" w:type="dxa"/>
            <w:gridSpan w:val="8"/>
            <w:tcBorders>
              <w:top w:val="nil"/>
              <w:left w:val="nil"/>
              <w:bottom w:val="nil"/>
              <w:right w:val="nil"/>
            </w:tcBorders>
          </w:tcPr>
          <w:p w14:paraId="18AC9EE3" w14:textId="6636D30B" w:rsidR="00BB4E98" w:rsidRPr="009C5EFD" w:rsidRDefault="00E453CD">
            <w:pPr>
              <w:keepNext/>
              <w:suppressAutoHyphens/>
              <w:rPr>
                <w:del w:id="6781" w:author="AbbVie02no" w:date="2025-05-15T13:45:00Z"/>
                <w:szCs w:val="22"/>
              </w:rPr>
              <w:pPrChange w:id="6782" w:author="AbbVie02no" w:date="2025-05-15T13:45:00Z">
                <w:pPr>
                  <w:pStyle w:val="BodyText"/>
                  <w:keepNext/>
                  <w:tabs>
                    <w:tab w:val="left" w:pos="3600"/>
                    <w:tab w:val="center" w:pos="5760"/>
                  </w:tabs>
                  <w:jc w:val="center"/>
                </w:pPr>
              </w:pPrChange>
            </w:pPr>
            <w:del w:id="6783" w:author="AbbVie02no" w:date="2025-05-15T13:45:00Z">
              <w:r w:rsidRPr="009C5EFD">
                <w:rPr>
                  <w:szCs w:val="22"/>
                </w:rPr>
                <w:delText xml:space="preserve">Tabell </w:delText>
              </w:r>
              <w:r w:rsidR="008F0D97">
                <w:rPr>
                  <w:szCs w:val="22"/>
                </w:rPr>
                <w:delText>9</w:delText>
              </w:r>
            </w:del>
          </w:p>
          <w:p w14:paraId="31583253" w14:textId="43E32EF1" w:rsidR="00DE3458" w:rsidRPr="009C5EFD" w:rsidRDefault="00E453CD">
            <w:pPr>
              <w:keepNext/>
              <w:suppressAutoHyphens/>
              <w:rPr>
                <w:del w:id="6784" w:author="AbbVie02no" w:date="2025-05-15T13:45:00Z"/>
                <w:szCs w:val="22"/>
              </w:rPr>
              <w:pPrChange w:id="6785" w:author="AbbVie02no" w:date="2025-05-15T13:45:00Z">
                <w:pPr>
                  <w:pStyle w:val="BodyText"/>
                  <w:keepNext/>
                  <w:tabs>
                    <w:tab w:val="left" w:pos="3600"/>
                    <w:tab w:val="center" w:pos="5760"/>
                  </w:tabs>
                  <w:jc w:val="center"/>
                </w:pPr>
              </w:pPrChange>
            </w:pPr>
            <w:del w:id="6786" w:author="AbbVie02no" w:date="2025-05-15T13:45:00Z">
              <w:r w:rsidRPr="009C5EFD">
                <w:rPr>
                  <w:szCs w:val="22"/>
                </w:rPr>
                <w:delText>ACR-responser i RA-studie V</w:delText>
              </w:r>
            </w:del>
          </w:p>
          <w:p w14:paraId="1F8F550C" w14:textId="4C4026C6" w:rsidR="00DE3458" w:rsidRPr="009C5EFD" w:rsidRDefault="00E453CD">
            <w:pPr>
              <w:keepNext/>
              <w:suppressAutoHyphens/>
              <w:rPr>
                <w:del w:id="6787" w:author="AbbVie02no" w:date="2025-05-15T13:45:00Z"/>
                <w:i/>
                <w:szCs w:val="22"/>
              </w:rPr>
              <w:pPrChange w:id="6788" w:author="AbbVie02no" w:date="2025-05-15T13:45:00Z">
                <w:pPr>
                  <w:pStyle w:val="BodyText"/>
                  <w:keepNext/>
                  <w:tabs>
                    <w:tab w:val="left" w:pos="3600"/>
                    <w:tab w:val="center" w:pos="5760"/>
                  </w:tabs>
                  <w:jc w:val="center"/>
                </w:pPr>
              </w:pPrChange>
            </w:pPr>
            <w:del w:id="6789" w:author="AbbVie02no" w:date="2025-05-15T13:45:00Z">
              <w:r w:rsidRPr="009C5EFD">
                <w:rPr>
                  <w:szCs w:val="22"/>
                </w:rPr>
                <w:delText>(prosent av pasientene</w:delText>
              </w:r>
              <w:r w:rsidRPr="009C5EFD">
                <w:rPr>
                  <w:caps/>
                  <w:szCs w:val="22"/>
                </w:rPr>
                <w:delText>)</w:delText>
              </w:r>
              <w:r w:rsidRPr="009C5EFD">
                <w:rPr>
                  <w:i/>
                  <w:caps/>
                  <w:szCs w:val="22"/>
                </w:rPr>
                <w:delText xml:space="preserve"> </w:delText>
              </w:r>
            </w:del>
          </w:p>
        </w:tc>
      </w:tr>
      <w:tr w:rsidR="004644D4" w14:paraId="13EEFB4A" w14:textId="0B784256" w:rsidTr="001F5D4B">
        <w:trPr>
          <w:gridAfter w:val="1"/>
          <w:wAfter w:w="12" w:type="dxa"/>
          <w:cantSplit/>
          <w:jc w:val="center"/>
          <w:del w:id="6790" w:author="AbbVie02no" w:date="2025-05-15T13:45:00Z"/>
        </w:trPr>
        <w:tc>
          <w:tcPr>
            <w:tcW w:w="1724" w:type="dxa"/>
            <w:gridSpan w:val="2"/>
            <w:tcBorders>
              <w:top w:val="single" w:sz="4" w:space="0" w:color="auto"/>
              <w:left w:val="single" w:sz="4" w:space="0" w:color="auto"/>
              <w:bottom w:val="single" w:sz="4" w:space="0" w:color="auto"/>
            </w:tcBorders>
          </w:tcPr>
          <w:p w14:paraId="1F025076" w14:textId="483FD3D5" w:rsidR="00DE3458" w:rsidRPr="0015674E" w:rsidRDefault="00E453CD">
            <w:pPr>
              <w:keepNext/>
              <w:suppressAutoHyphens/>
              <w:rPr>
                <w:del w:id="6791" w:author="AbbVie02no" w:date="2025-05-15T13:45:00Z"/>
                <w:b/>
                <w:bCs/>
                <w:sz w:val="22"/>
                <w:szCs w:val="22"/>
              </w:rPr>
              <w:pPrChange w:id="6792" w:author="AbbVie02no" w:date="2025-05-15T13:45:00Z">
                <w:pPr>
                  <w:keepNext/>
                </w:pPr>
              </w:pPrChange>
            </w:pPr>
            <w:del w:id="6793" w:author="AbbVie02no" w:date="2025-05-15T13:45:00Z">
              <w:r w:rsidRPr="0015674E">
                <w:rPr>
                  <w:b/>
                  <w:bCs/>
                  <w:sz w:val="22"/>
                  <w:szCs w:val="22"/>
                </w:rPr>
                <w:delText>Respons</w:delText>
              </w:r>
            </w:del>
          </w:p>
        </w:tc>
        <w:tc>
          <w:tcPr>
            <w:tcW w:w="1320" w:type="dxa"/>
            <w:tcBorders>
              <w:top w:val="single" w:sz="4" w:space="0" w:color="auto"/>
              <w:bottom w:val="single" w:sz="4" w:space="0" w:color="auto"/>
            </w:tcBorders>
          </w:tcPr>
          <w:p w14:paraId="36D58BD2" w14:textId="65A59013" w:rsidR="00DE3458" w:rsidRPr="0015674E" w:rsidRDefault="00E453CD">
            <w:pPr>
              <w:keepNext/>
              <w:suppressAutoHyphens/>
              <w:rPr>
                <w:del w:id="6794" w:author="AbbVie02no" w:date="2025-05-15T13:45:00Z"/>
                <w:b/>
                <w:bCs/>
                <w:sz w:val="22"/>
                <w:szCs w:val="22"/>
              </w:rPr>
              <w:pPrChange w:id="6795" w:author="AbbVie02no" w:date="2025-05-15T13:45:00Z">
                <w:pPr>
                  <w:keepNext/>
                  <w:jc w:val="center"/>
                </w:pPr>
              </w:pPrChange>
            </w:pPr>
            <w:del w:id="6796" w:author="AbbVie02no" w:date="2025-05-15T13:45:00Z">
              <w:r w:rsidRPr="0015674E">
                <w:rPr>
                  <w:b/>
                  <w:bCs/>
                  <w:sz w:val="22"/>
                  <w:szCs w:val="22"/>
                </w:rPr>
                <w:delText>MTX</w:delText>
              </w:r>
            </w:del>
          </w:p>
          <w:p w14:paraId="3961BFAC" w14:textId="40C1CBBC" w:rsidR="00DE3458" w:rsidRPr="0015674E" w:rsidRDefault="00E453CD">
            <w:pPr>
              <w:keepNext/>
              <w:suppressAutoHyphens/>
              <w:rPr>
                <w:del w:id="6797" w:author="AbbVie02no" w:date="2025-05-15T13:45:00Z"/>
                <w:b/>
                <w:bCs/>
                <w:szCs w:val="22"/>
              </w:rPr>
              <w:pPrChange w:id="6798" w:author="AbbVie02no" w:date="2025-05-15T13:45:00Z">
                <w:pPr>
                  <w:pStyle w:val="EndnoteText"/>
                  <w:keepNext/>
                  <w:jc w:val="center"/>
                </w:pPr>
              </w:pPrChange>
            </w:pPr>
            <w:del w:id="6799" w:author="AbbVie02no" w:date="2025-05-15T13:45:00Z">
              <w:r w:rsidRPr="0015674E">
                <w:rPr>
                  <w:b/>
                  <w:bCs/>
                  <w:szCs w:val="22"/>
                </w:rPr>
                <w:delText>n=257</w:delText>
              </w:r>
            </w:del>
          </w:p>
        </w:tc>
        <w:tc>
          <w:tcPr>
            <w:tcW w:w="1320" w:type="dxa"/>
            <w:tcBorders>
              <w:top w:val="single" w:sz="4" w:space="0" w:color="auto"/>
              <w:bottom w:val="single" w:sz="4" w:space="0" w:color="auto"/>
            </w:tcBorders>
          </w:tcPr>
          <w:p w14:paraId="7602EECA" w14:textId="715D3071" w:rsidR="00DE3458" w:rsidRPr="0015674E" w:rsidRDefault="00E453CD">
            <w:pPr>
              <w:keepNext/>
              <w:suppressAutoHyphens/>
              <w:rPr>
                <w:del w:id="6800" w:author="AbbVie02no" w:date="2025-05-15T13:45:00Z"/>
                <w:b/>
                <w:bCs/>
                <w:sz w:val="22"/>
                <w:szCs w:val="22"/>
              </w:rPr>
              <w:pPrChange w:id="6801" w:author="AbbVie02no" w:date="2025-05-15T13:45:00Z">
                <w:pPr>
                  <w:keepNext/>
                  <w:jc w:val="center"/>
                </w:pPr>
              </w:pPrChange>
            </w:pPr>
            <w:del w:id="6802" w:author="AbbVie02no" w:date="2025-05-15T13:45:00Z">
              <w:r w:rsidRPr="0015674E">
                <w:rPr>
                  <w:b/>
                  <w:bCs/>
                  <w:sz w:val="22"/>
                  <w:szCs w:val="22"/>
                </w:rPr>
                <w:delText>Humira</w:delText>
              </w:r>
            </w:del>
          </w:p>
          <w:p w14:paraId="698FBC42" w14:textId="048F77DA" w:rsidR="00DE3458" w:rsidRPr="0015674E" w:rsidRDefault="00E453CD">
            <w:pPr>
              <w:keepNext/>
              <w:suppressAutoHyphens/>
              <w:rPr>
                <w:del w:id="6803" w:author="AbbVie02no" w:date="2025-05-15T13:45:00Z"/>
                <w:b/>
                <w:bCs/>
                <w:sz w:val="22"/>
                <w:szCs w:val="22"/>
              </w:rPr>
              <w:pPrChange w:id="6804" w:author="AbbVie02no" w:date="2025-05-15T13:45:00Z">
                <w:pPr>
                  <w:keepNext/>
                  <w:jc w:val="center"/>
                </w:pPr>
              </w:pPrChange>
            </w:pPr>
            <w:del w:id="6805" w:author="AbbVie02no" w:date="2025-05-15T13:45:00Z">
              <w:r w:rsidRPr="0015674E">
                <w:rPr>
                  <w:b/>
                  <w:bCs/>
                  <w:sz w:val="22"/>
                  <w:szCs w:val="22"/>
                </w:rPr>
                <w:delText>n=274</w:delText>
              </w:r>
            </w:del>
          </w:p>
        </w:tc>
        <w:tc>
          <w:tcPr>
            <w:tcW w:w="1576" w:type="dxa"/>
            <w:tcBorders>
              <w:top w:val="single" w:sz="4" w:space="0" w:color="auto"/>
              <w:bottom w:val="single" w:sz="4" w:space="0" w:color="auto"/>
            </w:tcBorders>
          </w:tcPr>
          <w:p w14:paraId="4A361A00" w14:textId="7CD36726" w:rsidR="00DE3458" w:rsidRPr="0015674E" w:rsidRDefault="00E453CD">
            <w:pPr>
              <w:keepNext/>
              <w:suppressAutoHyphens/>
              <w:rPr>
                <w:del w:id="6806" w:author="AbbVie02no" w:date="2025-05-15T13:45:00Z"/>
                <w:b/>
                <w:bCs/>
                <w:sz w:val="22"/>
                <w:szCs w:val="22"/>
              </w:rPr>
              <w:pPrChange w:id="6807" w:author="AbbVie02no" w:date="2025-05-15T13:45:00Z">
                <w:pPr>
                  <w:keepNext/>
                  <w:jc w:val="center"/>
                </w:pPr>
              </w:pPrChange>
            </w:pPr>
            <w:del w:id="6808" w:author="AbbVie02no" w:date="2025-05-15T13:45:00Z">
              <w:r w:rsidRPr="0015674E">
                <w:rPr>
                  <w:b/>
                  <w:bCs/>
                  <w:sz w:val="22"/>
                  <w:szCs w:val="22"/>
                </w:rPr>
                <w:delText>Humira/MTX</w:delText>
              </w:r>
            </w:del>
          </w:p>
          <w:p w14:paraId="18904CAA" w14:textId="22E0A335" w:rsidR="00DE3458" w:rsidRPr="0015674E" w:rsidRDefault="00E453CD">
            <w:pPr>
              <w:keepNext/>
              <w:suppressAutoHyphens/>
              <w:rPr>
                <w:del w:id="6809" w:author="AbbVie02no" w:date="2025-05-15T13:45:00Z"/>
                <w:b/>
                <w:bCs/>
                <w:sz w:val="22"/>
                <w:szCs w:val="22"/>
              </w:rPr>
              <w:pPrChange w:id="6810" w:author="AbbVie02no" w:date="2025-05-15T13:45:00Z">
                <w:pPr>
                  <w:keepNext/>
                  <w:jc w:val="center"/>
                </w:pPr>
              </w:pPrChange>
            </w:pPr>
            <w:del w:id="6811" w:author="AbbVie02no" w:date="2025-05-15T13:45:00Z">
              <w:r w:rsidRPr="0015674E">
                <w:rPr>
                  <w:b/>
                  <w:bCs/>
                  <w:sz w:val="22"/>
                  <w:szCs w:val="22"/>
                </w:rPr>
                <w:delText>n=268</w:delText>
              </w:r>
            </w:del>
          </w:p>
        </w:tc>
        <w:tc>
          <w:tcPr>
            <w:tcW w:w="1100" w:type="dxa"/>
            <w:tcBorders>
              <w:top w:val="single" w:sz="4" w:space="0" w:color="auto"/>
              <w:bottom w:val="single" w:sz="4" w:space="0" w:color="auto"/>
            </w:tcBorders>
          </w:tcPr>
          <w:p w14:paraId="72D9E75A" w14:textId="71BBEAFE" w:rsidR="00DE3458" w:rsidRPr="0015674E" w:rsidRDefault="00E453CD">
            <w:pPr>
              <w:keepNext/>
              <w:suppressAutoHyphens/>
              <w:rPr>
                <w:del w:id="6812" w:author="AbbVie02no" w:date="2025-05-15T13:45:00Z"/>
                <w:b/>
                <w:bCs/>
                <w:szCs w:val="22"/>
              </w:rPr>
              <w:pPrChange w:id="6813" w:author="AbbVie02no" w:date="2025-05-15T13:45:00Z">
                <w:pPr>
                  <w:pStyle w:val="EndnoteText"/>
                  <w:keepNext/>
                  <w:jc w:val="center"/>
                </w:pPr>
              </w:pPrChange>
            </w:pPr>
            <w:del w:id="6814" w:author="AbbVie02no" w:date="2025-05-15T13:45:00Z">
              <w:r w:rsidRPr="0015674E">
                <w:rPr>
                  <w:b/>
                  <w:bCs/>
                  <w:szCs w:val="22"/>
                </w:rPr>
                <w:delText>p-verdi</w:delText>
              </w:r>
              <w:r w:rsidRPr="0015674E">
                <w:rPr>
                  <w:b/>
                  <w:bCs/>
                  <w:szCs w:val="22"/>
                  <w:vertAlign w:val="superscript"/>
                </w:rPr>
                <w:delText>a</w:delText>
              </w:r>
            </w:del>
          </w:p>
        </w:tc>
        <w:tc>
          <w:tcPr>
            <w:tcW w:w="1173" w:type="dxa"/>
            <w:tcBorders>
              <w:top w:val="single" w:sz="4" w:space="0" w:color="auto"/>
              <w:bottom w:val="single" w:sz="4" w:space="0" w:color="auto"/>
            </w:tcBorders>
          </w:tcPr>
          <w:p w14:paraId="2C8D607B" w14:textId="4F1BD1F9" w:rsidR="00DE3458" w:rsidRPr="0015674E" w:rsidRDefault="00E453CD">
            <w:pPr>
              <w:keepNext/>
              <w:suppressAutoHyphens/>
              <w:rPr>
                <w:del w:id="6815" w:author="AbbVie02no" w:date="2025-05-15T13:45:00Z"/>
                <w:b/>
                <w:bCs/>
                <w:sz w:val="22"/>
                <w:szCs w:val="22"/>
              </w:rPr>
              <w:pPrChange w:id="6816" w:author="AbbVie02no" w:date="2025-05-15T13:45:00Z">
                <w:pPr>
                  <w:keepNext/>
                  <w:jc w:val="center"/>
                </w:pPr>
              </w:pPrChange>
            </w:pPr>
            <w:del w:id="6817" w:author="AbbVie02no" w:date="2025-05-15T13:45:00Z">
              <w:r w:rsidRPr="0015674E">
                <w:rPr>
                  <w:b/>
                  <w:bCs/>
                  <w:sz w:val="22"/>
                  <w:szCs w:val="22"/>
                </w:rPr>
                <w:delText>p-verdi</w:delText>
              </w:r>
              <w:r w:rsidRPr="0015674E">
                <w:rPr>
                  <w:b/>
                  <w:bCs/>
                  <w:sz w:val="22"/>
                  <w:szCs w:val="22"/>
                  <w:vertAlign w:val="superscript"/>
                </w:rPr>
                <w:delText>b</w:delText>
              </w:r>
            </w:del>
          </w:p>
        </w:tc>
        <w:tc>
          <w:tcPr>
            <w:tcW w:w="1210" w:type="dxa"/>
            <w:tcBorders>
              <w:top w:val="single" w:sz="4" w:space="0" w:color="auto"/>
              <w:bottom w:val="single" w:sz="4" w:space="0" w:color="auto"/>
              <w:right w:val="single" w:sz="4" w:space="0" w:color="auto"/>
            </w:tcBorders>
          </w:tcPr>
          <w:p w14:paraId="46BB2108" w14:textId="12BA2DB5" w:rsidR="00DE3458" w:rsidRPr="0015674E" w:rsidRDefault="00E453CD">
            <w:pPr>
              <w:keepNext/>
              <w:suppressAutoHyphens/>
              <w:rPr>
                <w:del w:id="6818" w:author="AbbVie02no" w:date="2025-05-15T13:45:00Z"/>
                <w:b/>
                <w:bCs/>
                <w:sz w:val="22"/>
                <w:szCs w:val="22"/>
              </w:rPr>
              <w:pPrChange w:id="6819" w:author="AbbVie02no" w:date="2025-05-15T13:45:00Z">
                <w:pPr>
                  <w:keepNext/>
                  <w:jc w:val="center"/>
                </w:pPr>
              </w:pPrChange>
            </w:pPr>
            <w:del w:id="6820" w:author="AbbVie02no" w:date="2025-05-15T13:45:00Z">
              <w:r w:rsidRPr="0015674E">
                <w:rPr>
                  <w:b/>
                  <w:bCs/>
                  <w:sz w:val="22"/>
                  <w:szCs w:val="22"/>
                </w:rPr>
                <w:delText>p-verdi</w:delText>
              </w:r>
              <w:r w:rsidRPr="0015674E">
                <w:rPr>
                  <w:b/>
                  <w:bCs/>
                  <w:sz w:val="22"/>
                  <w:szCs w:val="22"/>
                  <w:vertAlign w:val="superscript"/>
                </w:rPr>
                <w:delText>c</w:delText>
              </w:r>
            </w:del>
          </w:p>
        </w:tc>
      </w:tr>
      <w:tr w:rsidR="004644D4" w14:paraId="548F6EF8" w14:textId="37624478">
        <w:trPr>
          <w:gridAfter w:val="1"/>
          <w:wAfter w:w="12" w:type="dxa"/>
          <w:cantSplit/>
          <w:jc w:val="center"/>
          <w:del w:id="6821" w:author="AbbVie02no" w:date="2025-05-15T13:45:00Z"/>
        </w:trPr>
        <w:tc>
          <w:tcPr>
            <w:tcW w:w="1724" w:type="dxa"/>
            <w:gridSpan w:val="2"/>
            <w:tcBorders>
              <w:right w:val="single" w:sz="4" w:space="0" w:color="auto"/>
            </w:tcBorders>
          </w:tcPr>
          <w:p w14:paraId="522AEF05" w14:textId="49FFDBF2" w:rsidR="00DE3458" w:rsidRPr="009C5EFD" w:rsidRDefault="00E453CD">
            <w:pPr>
              <w:keepNext/>
              <w:suppressAutoHyphens/>
              <w:rPr>
                <w:del w:id="6822" w:author="AbbVie02no" w:date="2025-05-15T13:45:00Z"/>
                <w:sz w:val="22"/>
                <w:szCs w:val="22"/>
              </w:rPr>
              <w:pPrChange w:id="6823" w:author="AbbVie02no" w:date="2025-05-15T13:45:00Z">
                <w:pPr>
                  <w:keepNext/>
                </w:pPr>
              </w:pPrChange>
            </w:pPr>
            <w:del w:id="6824" w:author="AbbVie02no" w:date="2025-05-15T13:45:00Z">
              <w:r w:rsidRPr="009C5EFD">
                <w:rPr>
                  <w:sz w:val="22"/>
                  <w:szCs w:val="22"/>
                </w:rPr>
                <w:delText>ACR 20</w:delText>
              </w:r>
            </w:del>
          </w:p>
        </w:tc>
        <w:tc>
          <w:tcPr>
            <w:tcW w:w="1320" w:type="dxa"/>
            <w:tcBorders>
              <w:left w:val="single" w:sz="4" w:space="0" w:color="auto"/>
              <w:right w:val="single" w:sz="4" w:space="0" w:color="auto"/>
            </w:tcBorders>
          </w:tcPr>
          <w:p w14:paraId="542061F1" w14:textId="77A59C91" w:rsidR="00DE3458" w:rsidRPr="009C5EFD" w:rsidRDefault="00DE3458">
            <w:pPr>
              <w:keepNext/>
              <w:suppressAutoHyphens/>
              <w:rPr>
                <w:del w:id="6825" w:author="AbbVie02no" w:date="2025-05-15T13:45:00Z"/>
                <w:sz w:val="22"/>
                <w:szCs w:val="22"/>
              </w:rPr>
              <w:pPrChange w:id="6826" w:author="AbbVie02no" w:date="2025-05-15T13:45:00Z">
                <w:pPr>
                  <w:keepNext/>
                  <w:jc w:val="center"/>
                </w:pPr>
              </w:pPrChange>
            </w:pPr>
          </w:p>
        </w:tc>
        <w:tc>
          <w:tcPr>
            <w:tcW w:w="1320" w:type="dxa"/>
            <w:tcBorders>
              <w:left w:val="single" w:sz="4" w:space="0" w:color="auto"/>
              <w:right w:val="single" w:sz="4" w:space="0" w:color="auto"/>
            </w:tcBorders>
          </w:tcPr>
          <w:p w14:paraId="795A2D32" w14:textId="277455B9" w:rsidR="00DE3458" w:rsidRPr="009C5EFD" w:rsidRDefault="00DE3458">
            <w:pPr>
              <w:keepNext/>
              <w:suppressAutoHyphens/>
              <w:rPr>
                <w:del w:id="6827" w:author="AbbVie02no" w:date="2025-05-15T13:45:00Z"/>
                <w:sz w:val="22"/>
                <w:szCs w:val="22"/>
              </w:rPr>
              <w:pPrChange w:id="6828" w:author="AbbVie02no" w:date="2025-05-15T13:45:00Z">
                <w:pPr>
                  <w:keepNext/>
                  <w:jc w:val="center"/>
                </w:pPr>
              </w:pPrChange>
            </w:pPr>
          </w:p>
        </w:tc>
        <w:tc>
          <w:tcPr>
            <w:tcW w:w="1576" w:type="dxa"/>
            <w:tcBorders>
              <w:left w:val="single" w:sz="4" w:space="0" w:color="auto"/>
              <w:right w:val="single" w:sz="4" w:space="0" w:color="auto"/>
            </w:tcBorders>
          </w:tcPr>
          <w:p w14:paraId="1384BE6B" w14:textId="3509552D" w:rsidR="00DE3458" w:rsidRPr="009C5EFD" w:rsidRDefault="00DE3458">
            <w:pPr>
              <w:keepNext/>
              <w:suppressAutoHyphens/>
              <w:rPr>
                <w:del w:id="6829" w:author="AbbVie02no" w:date="2025-05-15T13:45:00Z"/>
                <w:sz w:val="22"/>
                <w:szCs w:val="22"/>
              </w:rPr>
              <w:pPrChange w:id="6830" w:author="AbbVie02no" w:date="2025-05-15T13:45:00Z">
                <w:pPr>
                  <w:keepNext/>
                  <w:jc w:val="center"/>
                </w:pPr>
              </w:pPrChange>
            </w:pPr>
          </w:p>
        </w:tc>
        <w:tc>
          <w:tcPr>
            <w:tcW w:w="1100" w:type="dxa"/>
            <w:tcBorders>
              <w:left w:val="single" w:sz="4" w:space="0" w:color="auto"/>
              <w:right w:val="single" w:sz="4" w:space="0" w:color="auto"/>
            </w:tcBorders>
          </w:tcPr>
          <w:p w14:paraId="6689CE09" w14:textId="42157750" w:rsidR="00DE3458" w:rsidRPr="009C5EFD" w:rsidRDefault="00DE3458">
            <w:pPr>
              <w:keepNext/>
              <w:suppressAutoHyphens/>
              <w:rPr>
                <w:del w:id="6831" w:author="AbbVie02no" w:date="2025-05-15T13:45:00Z"/>
                <w:sz w:val="22"/>
                <w:szCs w:val="22"/>
              </w:rPr>
              <w:pPrChange w:id="6832" w:author="AbbVie02no" w:date="2025-05-15T13:45:00Z">
                <w:pPr>
                  <w:keepNext/>
                  <w:jc w:val="center"/>
                </w:pPr>
              </w:pPrChange>
            </w:pPr>
          </w:p>
        </w:tc>
        <w:tc>
          <w:tcPr>
            <w:tcW w:w="1173" w:type="dxa"/>
            <w:tcBorders>
              <w:left w:val="single" w:sz="4" w:space="0" w:color="auto"/>
              <w:right w:val="single" w:sz="4" w:space="0" w:color="auto"/>
            </w:tcBorders>
          </w:tcPr>
          <w:p w14:paraId="4FB20DD4" w14:textId="4C8F1B58" w:rsidR="00DE3458" w:rsidRPr="009C5EFD" w:rsidRDefault="00DE3458">
            <w:pPr>
              <w:keepNext/>
              <w:suppressAutoHyphens/>
              <w:rPr>
                <w:del w:id="6833" w:author="AbbVie02no" w:date="2025-05-15T13:45:00Z"/>
                <w:sz w:val="22"/>
                <w:szCs w:val="22"/>
              </w:rPr>
              <w:pPrChange w:id="6834" w:author="AbbVie02no" w:date="2025-05-15T13:45:00Z">
                <w:pPr>
                  <w:keepNext/>
                  <w:jc w:val="center"/>
                </w:pPr>
              </w:pPrChange>
            </w:pPr>
          </w:p>
        </w:tc>
        <w:tc>
          <w:tcPr>
            <w:tcW w:w="1210" w:type="dxa"/>
            <w:tcBorders>
              <w:left w:val="single" w:sz="4" w:space="0" w:color="auto"/>
            </w:tcBorders>
          </w:tcPr>
          <w:p w14:paraId="7CC960B1" w14:textId="2918CC4C" w:rsidR="00DE3458" w:rsidRPr="009C5EFD" w:rsidRDefault="00DE3458">
            <w:pPr>
              <w:keepNext/>
              <w:suppressAutoHyphens/>
              <w:rPr>
                <w:del w:id="6835" w:author="AbbVie02no" w:date="2025-05-15T13:45:00Z"/>
                <w:sz w:val="22"/>
                <w:szCs w:val="22"/>
              </w:rPr>
              <w:pPrChange w:id="6836" w:author="AbbVie02no" w:date="2025-05-15T13:45:00Z">
                <w:pPr>
                  <w:keepNext/>
                  <w:jc w:val="center"/>
                </w:pPr>
              </w:pPrChange>
            </w:pPr>
          </w:p>
        </w:tc>
      </w:tr>
      <w:tr w:rsidR="004644D4" w14:paraId="5C027F24" w14:textId="36F94013">
        <w:trPr>
          <w:gridAfter w:val="1"/>
          <w:wAfter w:w="12" w:type="dxa"/>
          <w:cantSplit/>
          <w:jc w:val="center"/>
          <w:del w:id="6837" w:author="AbbVie02no" w:date="2025-05-15T13:45:00Z"/>
        </w:trPr>
        <w:tc>
          <w:tcPr>
            <w:tcW w:w="1724" w:type="dxa"/>
            <w:gridSpan w:val="2"/>
            <w:tcBorders>
              <w:right w:val="single" w:sz="4" w:space="0" w:color="auto"/>
            </w:tcBorders>
          </w:tcPr>
          <w:p w14:paraId="1DA105EC" w14:textId="4CDFDDC8" w:rsidR="00DE3458" w:rsidRPr="009C5EFD" w:rsidRDefault="00E453CD">
            <w:pPr>
              <w:keepNext/>
              <w:suppressAutoHyphens/>
              <w:rPr>
                <w:del w:id="6838" w:author="AbbVie02no" w:date="2025-05-15T13:45:00Z"/>
                <w:sz w:val="22"/>
                <w:szCs w:val="22"/>
              </w:rPr>
              <w:pPrChange w:id="6839" w:author="AbbVie02no" w:date="2025-05-15T13:45:00Z">
                <w:pPr>
                  <w:keepNext/>
                </w:pPr>
              </w:pPrChange>
            </w:pPr>
            <w:del w:id="6840" w:author="AbbVie02no" w:date="2025-05-15T13:45:00Z">
              <w:r w:rsidRPr="009C5EFD">
                <w:rPr>
                  <w:sz w:val="22"/>
                  <w:szCs w:val="22"/>
                </w:rPr>
                <w:delText>Uke 52</w:delText>
              </w:r>
            </w:del>
          </w:p>
        </w:tc>
        <w:tc>
          <w:tcPr>
            <w:tcW w:w="1320" w:type="dxa"/>
            <w:tcBorders>
              <w:left w:val="single" w:sz="4" w:space="0" w:color="auto"/>
              <w:right w:val="single" w:sz="4" w:space="0" w:color="auto"/>
            </w:tcBorders>
          </w:tcPr>
          <w:p w14:paraId="456D02CE" w14:textId="2C6A0AAB" w:rsidR="00DE3458" w:rsidRPr="009C5EFD" w:rsidRDefault="00E453CD">
            <w:pPr>
              <w:keepNext/>
              <w:suppressAutoHyphens/>
              <w:rPr>
                <w:del w:id="6841" w:author="AbbVie02no" w:date="2025-05-15T13:45:00Z"/>
                <w:sz w:val="22"/>
                <w:szCs w:val="22"/>
              </w:rPr>
              <w:pPrChange w:id="6842" w:author="AbbVie02no" w:date="2025-05-15T13:45:00Z">
                <w:pPr>
                  <w:keepNext/>
                  <w:jc w:val="center"/>
                </w:pPr>
              </w:pPrChange>
            </w:pPr>
            <w:del w:id="6843" w:author="AbbVie02no" w:date="2025-05-15T13:45:00Z">
              <w:r w:rsidRPr="009C5EFD">
                <w:rPr>
                  <w:sz w:val="22"/>
                  <w:szCs w:val="22"/>
                </w:rPr>
                <w:delText>62,6</w:delText>
              </w:r>
              <w:r w:rsidR="00E51AA9" w:rsidRPr="009C5EFD">
                <w:rPr>
                  <w:sz w:val="22"/>
                  <w:szCs w:val="22"/>
                </w:rPr>
                <w:delText xml:space="preserve"> %</w:delText>
              </w:r>
            </w:del>
          </w:p>
        </w:tc>
        <w:tc>
          <w:tcPr>
            <w:tcW w:w="1320" w:type="dxa"/>
            <w:tcBorders>
              <w:left w:val="single" w:sz="4" w:space="0" w:color="auto"/>
              <w:right w:val="single" w:sz="4" w:space="0" w:color="auto"/>
            </w:tcBorders>
          </w:tcPr>
          <w:p w14:paraId="02116B09" w14:textId="1EBDB65C" w:rsidR="00DE3458" w:rsidRPr="009C5EFD" w:rsidRDefault="00E453CD">
            <w:pPr>
              <w:keepNext/>
              <w:suppressAutoHyphens/>
              <w:rPr>
                <w:del w:id="6844" w:author="AbbVie02no" w:date="2025-05-15T13:45:00Z"/>
                <w:sz w:val="22"/>
                <w:szCs w:val="22"/>
              </w:rPr>
              <w:pPrChange w:id="6845" w:author="AbbVie02no" w:date="2025-05-15T13:45:00Z">
                <w:pPr>
                  <w:keepNext/>
                  <w:jc w:val="center"/>
                </w:pPr>
              </w:pPrChange>
            </w:pPr>
            <w:del w:id="6846" w:author="AbbVie02no" w:date="2025-05-15T13:45:00Z">
              <w:r w:rsidRPr="009C5EFD">
                <w:rPr>
                  <w:sz w:val="22"/>
                  <w:szCs w:val="22"/>
                </w:rPr>
                <w:delText>54,4</w:delText>
              </w:r>
              <w:r w:rsidR="00E51AA9" w:rsidRPr="009C5EFD">
                <w:rPr>
                  <w:sz w:val="22"/>
                  <w:szCs w:val="22"/>
                </w:rPr>
                <w:delText xml:space="preserve"> %</w:delText>
              </w:r>
            </w:del>
          </w:p>
        </w:tc>
        <w:tc>
          <w:tcPr>
            <w:tcW w:w="1576" w:type="dxa"/>
            <w:tcBorders>
              <w:left w:val="single" w:sz="4" w:space="0" w:color="auto"/>
              <w:right w:val="single" w:sz="4" w:space="0" w:color="auto"/>
            </w:tcBorders>
          </w:tcPr>
          <w:p w14:paraId="7143F5B5" w14:textId="195D2937" w:rsidR="00DE3458" w:rsidRPr="009C5EFD" w:rsidRDefault="00E453CD">
            <w:pPr>
              <w:keepNext/>
              <w:suppressAutoHyphens/>
              <w:rPr>
                <w:del w:id="6847" w:author="AbbVie02no" w:date="2025-05-15T13:45:00Z"/>
                <w:sz w:val="22"/>
                <w:szCs w:val="22"/>
              </w:rPr>
              <w:pPrChange w:id="6848" w:author="AbbVie02no" w:date="2025-05-15T13:45:00Z">
                <w:pPr>
                  <w:keepNext/>
                  <w:jc w:val="center"/>
                </w:pPr>
              </w:pPrChange>
            </w:pPr>
            <w:del w:id="6849" w:author="AbbVie02no" w:date="2025-05-15T13:45:00Z">
              <w:r w:rsidRPr="009C5EFD">
                <w:rPr>
                  <w:sz w:val="22"/>
                  <w:szCs w:val="22"/>
                </w:rPr>
                <w:delText>72,8</w:delText>
              </w:r>
              <w:r w:rsidR="00E51AA9" w:rsidRPr="009C5EFD">
                <w:rPr>
                  <w:sz w:val="22"/>
                  <w:szCs w:val="22"/>
                </w:rPr>
                <w:delText xml:space="preserve"> %</w:delText>
              </w:r>
            </w:del>
          </w:p>
        </w:tc>
        <w:tc>
          <w:tcPr>
            <w:tcW w:w="1100" w:type="dxa"/>
            <w:tcBorders>
              <w:left w:val="single" w:sz="4" w:space="0" w:color="auto"/>
              <w:right w:val="single" w:sz="4" w:space="0" w:color="auto"/>
            </w:tcBorders>
          </w:tcPr>
          <w:p w14:paraId="57361EDC" w14:textId="56D2EDB3" w:rsidR="00DE3458" w:rsidRPr="009C5EFD" w:rsidRDefault="00E453CD">
            <w:pPr>
              <w:keepNext/>
              <w:suppressAutoHyphens/>
              <w:rPr>
                <w:del w:id="6850" w:author="AbbVie02no" w:date="2025-05-15T13:45:00Z"/>
                <w:sz w:val="22"/>
                <w:szCs w:val="22"/>
              </w:rPr>
              <w:pPrChange w:id="6851" w:author="AbbVie02no" w:date="2025-05-15T13:45:00Z">
                <w:pPr>
                  <w:keepNext/>
                  <w:jc w:val="center"/>
                </w:pPr>
              </w:pPrChange>
            </w:pPr>
            <w:del w:id="6852" w:author="AbbVie02no" w:date="2025-05-15T13:45:00Z">
              <w:r w:rsidRPr="009C5EFD">
                <w:rPr>
                  <w:sz w:val="22"/>
                  <w:szCs w:val="22"/>
                </w:rPr>
                <w:delText>0,013</w:delText>
              </w:r>
            </w:del>
          </w:p>
        </w:tc>
        <w:tc>
          <w:tcPr>
            <w:tcW w:w="1173" w:type="dxa"/>
            <w:tcBorders>
              <w:left w:val="single" w:sz="4" w:space="0" w:color="auto"/>
              <w:right w:val="single" w:sz="4" w:space="0" w:color="auto"/>
            </w:tcBorders>
          </w:tcPr>
          <w:p w14:paraId="524AC34D" w14:textId="155B3450" w:rsidR="00DE3458" w:rsidRPr="009C5EFD" w:rsidRDefault="00E453CD">
            <w:pPr>
              <w:keepNext/>
              <w:suppressAutoHyphens/>
              <w:rPr>
                <w:del w:id="6853" w:author="AbbVie02no" w:date="2025-05-15T13:45:00Z"/>
                <w:sz w:val="22"/>
                <w:szCs w:val="22"/>
              </w:rPr>
              <w:pPrChange w:id="6854" w:author="AbbVie02no" w:date="2025-05-15T13:45:00Z">
                <w:pPr>
                  <w:keepNext/>
                  <w:jc w:val="center"/>
                </w:pPr>
              </w:pPrChange>
            </w:pPr>
            <w:del w:id="6855" w:author="AbbVie02no" w:date="2025-05-15T13:45:00Z">
              <w:r w:rsidRPr="009C5EFD">
                <w:rPr>
                  <w:sz w:val="22"/>
                  <w:szCs w:val="22"/>
                </w:rPr>
                <w:delText>&lt; 0,001</w:delText>
              </w:r>
            </w:del>
          </w:p>
        </w:tc>
        <w:tc>
          <w:tcPr>
            <w:tcW w:w="1210" w:type="dxa"/>
            <w:tcBorders>
              <w:left w:val="single" w:sz="4" w:space="0" w:color="auto"/>
            </w:tcBorders>
          </w:tcPr>
          <w:p w14:paraId="19333199" w14:textId="045E769E" w:rsidR="00DE3458" w:rsidRPr="009C5EFD" w:rsidRDefault="00E453CD">
            <w:pPr>
              <w:keepNext/>
              <w:suppressAutoHyphens/>
              <w:rPr>
                <w:del w:id="6856" w:author="AbbVie02no" w:date="2025-05-15T13:45:00Z"/>
                <w:sz w:val="22"/>
                <w:szCs w:val="22"/>
              </w:rPr>
              <w:pPrChange w:id="6857" w:author="AbbVie02no" w:date="2025-05-15T13:45:00Z">
                <w:pPr>
                  <w:keepNext/>
                  <w:jc w:val="center"/>
                </w:pPr>
              </w:pPrChange>
            </w:pPr>
            <w:del w:id="6858" w:author="AbbVie02no" w:date="2025-05-15T13:45:00Z">
              <w:r w:rsidRPr="009C5EFD">
                <w:rPr>
                  <w:sz w:val="22"/>
                  <w:szCs w:val="22"/>
                </w:rPr>
                <w:delText>0,043</w:delText>
              </w:r>
            </w:del>
          </w:p>
        </w:tc>
      </w:tr>
      <w:tr w:rsidR="004644D4" w14:paraId="1F652DA3" w14:textId="0C70F8B0">
        <w:trPr>
          <w:gridAfter w:val="1"/>
          <w:wAfter w:w="12" w:type="dxa"/>
          <w:cantSplit/>
          <w:jc w:val="center"/>
          <w:del w:id="6859" w:author="AbbVie02no" w:date="2025-05-15T13:45:00Z"/>
        </w:trPr>
        <w:tc>
          <w:tcPr>
            <w:tcW w:w="1724" w:type="dxa"/>
            <w:gridSpan w:val="2"/>
            <w:tcBorders>
              <w:right w:val="single" w:sz="4" w:space="0" w:color="auto"/>
            </w:tcBorders>
          </w:tcPr>
          <w:p w14:paraId="66D469A2" w14:textId="3078E900" w:rsidR="00DE3458" w:rsidRPr="009C5EFD" w:rsidRDefault="00E453CD">
            <w:pPr>
              <w:keepNext/>
              <w:suppressAutoHyphens/>
              <w:rPr>
                <w:del w:id="6860" w:author="AbbVie02no" w:date="2025-05-15T13:45:00Z"/>
                <w:sz w:val="22"/>
                <w:szCs w:val="22"/>
              </w:rPr>
              <w:pPrChange w:id="6861" w:author="AbbVie02no" w:date="2025-05-15T13:45:00Z">
                <w:pPr>
                  <w:keepNext/>
                </w:pPr>
              </w:pPrChange>
            </w:pPr>
            <w:del w:id="6862" w:author="AbbVie02no" w:date="2025-05-15T13:45:00Z">
              <w:r w:rsidRPr="009C5EFD">
                <w:rPr>
                  <w:sz w:val="22"/>
                  <w:szCs w:val="22"/>
                </w:rPr>
                <w:delText>Uke 104</w:delText>
              </w:r>
            </w:del>
          </w:p>
        </w:tc>
        <w:tc>
          <w:tcPr>
            <w:tcW w:w="1320" w:type="dxa"/>
            <w:tcBorders>
              <w:left w:val="single" w:sz="4" w:space="0" w:color="auto"/>
              <w:right w:val="single" w:sz="4" w:space="0" w:color="auto"/>
            </w:tcBorders>
          </w:tcPr>
          <w:p w14:paraId="7DE558B8" w14:textId="6EEBD8E1" w:rsidR="00DE3458" w:rsidRPr="009C5EFD" w:rsidRDefault="00E453CD">
            <w:pPr>
              <w:keepNext/>
              <w:suppressAutoHyphens/>
              <w:rPr>
                <w:del w:id="6863" w:author="AbbVie02no" w:date="2025-05-15T13:45:00Z"/>
                <w:sz w:val="22"/>
                <w:szCs w:val="22"/>
              </w:rPr>
              <w:pPrChange w:id="6864" w:author="AbbVie02no" w:date="2025-05-15T13:45:00Z">
                <w:pPr>
                  <w:keepNext/>
                  <w:jc w:val="center"/>
                </w:pPr>
              </w:pPrChange>
            </w:pPr>
            <w:del w:id="6865" w:author="AbbVie02no" w:date="2025-05-15T13:45:00Z">
              <w:r w:rsidRPr="009C5EFD">
                <w:rPr>
                  <w:sz w:val="22"/>
                  <w:szCs w:val="22"/>
                </w:rPr>
                <w:delText>56,0</w:delText>
              </w:r>
              <w:r w:rsidR="00E51AA9" w:rsidRPr="009C5EFD">
                <w:rPr>
                  <w:sz w:val="22"/>
                  <w:szCs w:val="22"/>
                </w:rPr>
                <w:delText xml:space="preserve"> %</w:delText>
              </w:r>
            </w:del>
          </w:p>
        </w:tc>
        <w:tc>
          <w:tcPr>
            <w:tcW w:w="1320" w:type="dxa"/>
            <w:tcBorders>
              <w:left w:val="single" w:sz="4" w:space="0" w:color="auto"/>
              <w:right w:val="single" w:sz="4" w:space="0" w:color="auto"/>
            </w:tcBorders>
          </w:tcPr>
          <w:p w14:paraId="6289881F" w14:textId="51B1731B" w:rsidR="00DE3458" w:rsidRPr="009C5EFD" w:rsidRDefault="00E453CD">
            <w:pPr>
              <w:keepNext/>
              <w:suppressAutoHyphens/>
              <w:rPr>
                <w:del w:id="6866" w:author="AbbVie02no" w:date="2025-05-15T13:45:00Z"/>
                <w:sz w:val="22"/>
                <w:szCs w:val="22"/>
              </w:rPr>
              <w:pPrChange w:id="6867" w:author="AbbVie02no" w:date="2025-05-15T13:45:00Z">
                <w:pPr>
                  <w:keepNext/>
                  <w:jc w:val="center"/>
                </w:pPr>
              </w:pPrChange>
            </w:pPr>
            <w:del w:id="6868" w:author="AbbVie02no" w:date="2025-05-15T13:45:00Z">
              <w:r w:rsidRPr="009C5EFD">
                <w:rPr>
                  <w:sz w:val="22"/>
                  <w:szCs w:val="22"/>
                </w:rPr>
                <w:delText>49,3</w:delText>
              </w:r>
              <w:r w:rsidR="00E51AA9" w:rsidRPr="009C5EFD">
                <w:rPr>
                  <w:sz w:val="22"/>
                  <w:szCs w:val="22"/>
                </w:rPr>
                <w:delText xml:space="preserve"> %</w:delText>
              </w:r>
            </w:del>
          </w:p>
        </w:tc>
        <w:tc>
          <w:tcPr>
            <w:tcW w:w="1576" w:type="dxa"/>
            <w:tcBorders>
              <w:left w:val="single" w:sz="4" w:space="0" w:color="auto"/>
              <w:right w:val="single" w:sz="4" w:space="0" w:color="auto"/>
            </w:tcBorders>
          </w:tcPr>
          <w:p w14:paraId="51380213" w14:textId="2218FD05" w:rsidR="00DE3458" w:rsidRPr="009C5EFD" w:rsidRDefault="00E453CD">
            <w:pPr>
              <w:keepNext/>
              <w:suppressAutoHyphens/>
              <w:rPr>
                <w:del w:id="6869" w:author="AbbVie02no" w:date="2025-05-15T13:45:00Z"/>
                <w:sz w:val="22"/>
                <w:szCs w:val="22"/>
              </w:rPr>
              <w:pPrChange w:id="6870" w:author="AbbVie02no" w:date="2025-05-15T13:45:00Z">
                <w:pPr>
                  <w:keepNext/>
                  <w:jc w:val="center"/>
                </w:pPr>
              </w:pPrChange>
            </w:pPr>
            <w:del w:id="6871" w:author="AbbVie02no" w:date="2025-05-15T13:45:00Z">
              <w:r w:rsidRPr="009C5EFD">
                <w:rPr>
                  <w:sz w:val="22"/>
                  <w:szCs w:val="22"/>
                </w:rPr>
                <w:delText>69,4</w:delText>
              </w:r>
              <w:r w:rsidR="00E51AA9" w:rsidRPr="009C5EFD">
                <w:rPr>
                  <w:sz w:val="22"/>
                  <w:szCs w:val="22"/>
                </w:rPr>
                <w:delText xml:space="preserve"> %</w:delText>
              </w:r>
            </w:del>
          </w:p>
        </w:tc>
        <w:tc>
          <w:tcPr>
            <w:tcW w:w="1100" w:type="dxa"/>
            <w:tcBorders>
              <w:left w:val="single" w:sz="4" w:space="0" w:color="auto"/>
              <w:right w:val="single" w:sz="4" w:space="0" w:color="auto"/>
            </w:tcBorders>
          </w:tcPr>
          <w:p w14:paraId="6CB4738F" w14:textId="6D26305E" w:rsidR="00DE3458" w:rsidRPr="009C5EFD" w:rsidRDefault="00E453CD">
            <w:pPr>
              <w:keepNext/>
              <w:suppressAutoHyphens/>
              <w:rPr>
                <w:del w:id="6872" w:author="AbbVie02no" w:date="2025-05-15T13:45:00Z"/>
                <w:sz w:val="22"/>
                <w:szCs w:val="22"/>
              </w:rPr>
              <w:pPrChange w:id="6873" w:author="AbbVie02no" w:date="2025-05-15T13:45:00Z">
                <w:pPr>
                  <w:keepNext/>
                  <w:jc w:val="center"/>
                </w:pPr>
              </w:pPrChange>
            </w:pPr>
            <w:del w:id="6874" w:author="AbbVie02no" w:date="2025-05-15T13:45:00Z">
              <w:r w:rsidRPr="009C5EFD">
                <w:rPr>
                  <w:sz w:val="22"/>
                  <w:szCs w:val="22"/>
                </w:rPr>
                <w:delText>0,002</w:delText>
              </w:r>
            </w:del>
          </w:p>
        </w:tc>
        <w:tc>
          <w:tcPr>
            <w:tcW w:w="1173" w:type="dxa"/>
            <w:tcBorders>
              <w:left w:val="single" w:sz="4" w:space="0" w:color="auto"/>
              <w:right w:val="single" w:sz="4" w:space="0" w:color="auto"/>
            </w:tcBorders>
          </w:tcPr>
          <w:p w14:paraId="61C21AED" w14:textId="2B98B3ED" w:rsidR="00DE3458" w:rsidRPr="009C5EFD" w:rsidRDefault="00E453CD">
            <w:pPr>
              <w:keepNext/>
              <w:suppressAutoHyphens/>
              <w:rPr>
                <w:del w:id="6875" w:author="AbbVie02no" w:date="2025-05-15T13:45:00Z"/>
                <w:sz w:val="22"/>
                <w:szCs w:val="22"/>
              </w:rPr>
              <w:pPrChange w:id="6876" w:author="AbbVie02no" w:date="2025-05-15T13:45:00Z">
                <w:pPr>
                  <w:keepNext/>
                  <w:jc w:val="center"/>
                </w:pPr>
              </w:pPrChange>
            </w:pPr>
            <w:del w:id="6877" w:author="AbbVie02no" w:date="2025-05-15T13:45:00Z">
              <w:r w:rsidRPr="009C5EFD">
                <w:rPr>
                  <w:sz w:val="22"/>
                  <w:szCs w:val="22"/>
                </w:rPr>
                <w:delText>&lt; 0,001</w:delText>
              </w:r>
            </w:del>
          </w:p>
        </w:tc>
        <w:tc>
          <w:tcPr>
            <w:tcW w:w="1210" w:type="dxa"/>
            <w:tcBorders>
              <w:left w:val="single" w:sz="4" w:space="0" w:color="auto"/>
            </w:tcBorders>
          </w:tcPr>
          <w:p w14:paraId="6E8FD82D" w14:textId="2C712A50" w:rsidR="00DE3458" w:rsidRPr="009C5EFD" w:rsidRDefault="00E453CD">
            <w:pPr>
              <w:keepNext/>
              <w:suppressAutoHyphens/>
              <w:rPr>
                <w:del w:id="6878" w:author="AbbVie02no" w:date="2025-05-15T13:45:00Z"/>
                <w:sz w:val="22"/>
                <w:szCs w:val="22"/>
              </w:rPr>
              <w:pPrChange w:id="6879" w:author="AbbVie02no" w:date="2025-05-15T13:45:00Z">
                <w:pPr>
                  <w:keepNext/>
                  <w:jc w:val="center"/>
                </w:pPr>
              </w:pPrChange>
            </w:pPr>
            <w:del w:id="6880" w:author="AbbVie02no" w:date="2025-05-15T13:45:00Z">
              <w:r w:rsidRPr="009C5EFD">
                <w:rPr>
                  <w:sz w:val="22"/>
                  <w:szCs w:val="22"/>
                </w:rPr>
                <w:delText>0,140</w:delText>
              </w:r>
            </w:del>
          </w:p>
        </w:tc>
      </w:tr>
      <w:tr w:rsidR="004644D4" w14:paraId="4994F8F9" w14:textId="6BE8B6DA">
        <w:trPr>
          <w:gridAfter w:val="1"/>
          <w:wAfter w:w="12" w:type="dxa"/>
          <w:cantSplit/>
          <w:jc w:val="center"/>
          <w:del w:id="6881" w:author="AbbVie02no" w:date="2025-05-15T13:45:00Z"/>
        </w:trPr>
        <w:tc>
          <w:tcPr>
            <w:tcW w:w="1724" w:type="dxa"/>
            <w:gridSpan w:val="2"/>
            <w:tcBorders>
              <w:right w:val="single" w:sz="4" w:space="0" w:color="auto"/>
            </w:tcBorders>
          </w:tcPr>
          <w:p w14:paraId="0794804A" w14:textId="7716C842" w:rsidR="00DE3458" w:rsidRPr="009C5EFD" w:rsidRDefault="00E453CD">
            <w:pPr>
              <w:keepNext/>
              <w:suppressAutoHyphens/>
              <w:rPr>
                <w:del w:id="6882" w:author="AbbVie02no" w:date="2025-05-15T13:45:00Z"/>
                <w:sz w:val="22"/>
                <w:szCs w:val="22"/>
              </w:rPr>
              <w:pPrChange w:id="6883" w:author="AbbVie02no" w:date="2025-05-15T13:45:00Z">
                <w:pPr>
                  <w:keepNext/>
                </w:pPr>
              </w:pPrChange>
            </w:pPr>
            <w:del w:id="6884" w:author="AbbVie02no" w:date="2025-05-15T13:45:00Z">
              <w:r w:rsidRPr="009C5EFD">
                <w:rPr>
                  <w:sz w:val="22"/>
                  <w:szCs w:val="22"/>
                </w:rPr>
                <w:delText>ACR 50</w:delText>
              </w:r>
            </w:del>
          </w:p>
        </w:tc>
        <w:tc>
          <w:tcPr>
            <w:tcW w:w="1320" w:type="dxa"/>
            <w:tcBorders>
              <w:left w:val="single" w:sz="4" w:space="0" w:color="auto"/>
              <w:right w:val="single" w:sz="4" w:space="0" w:color="auto"/>
            </w:tcBorders>
          </w:tcPr>
          <w:p w14:paraId="670A4197" w14:textId="400D78EC" w:rsidR="00DE3458" w:rsidRPr="009C5EFD" w:rsidRDefault="00DE3458">
            <w:pPr>
              <w:keepNext/>
              <w:suppressAutoHyphens/>
              <w:rPr>
                <w:del w:id="6885" w:author="AbbVie02no" w:date="2025-05-15T13:45:00Z"/>
                <w:sz w:val="22"/>
                <w:szCs w:val="22"/>
              </w:rPr>
              <w:pPrChange w:id="6886" w:author="AbbVie02no" w:date="2025-05-15T13:45:00Z">
                <w:pPr>
                  <w:keepNext/>
                  <w:jc w:val="center"/>
                </w:pPr>
              </w:pPrChange>
            </w:pPr>
          </w:p>
        </w:tc>
        <w:tc>
          <w:tcPr>
            <w:tcW w:w="1320" w:type="dxa"/>
            <w:tcBorders>
              <w:left w:val="single" w:sz="4" w:space="0" w:color="auto"/>
              <w:right w:val="single" w:sz="4" w:space="0" w:color="auto"/>
            </w:tcBorders>
          </w:tcPr>
          <w:p w14:paraId="0F832C3A" w14:textId="5FE4D3C5" w:rsidR="00DE3458" w:rsidRPr="009C5EFD" w:rsidRDefault="00DE3458">
            <w:pPr>
              <w:keepNext/>
              <w:suppressAutoHyphens/>
              <w:rPr>
                <w:del w:id="6887" w:author="AbbVie02no" w:date="2025-05-15T13:45:00Z"/>
                <w:sz w:val="22"/>
                <w:szCs w:val="22"/>
              </w:rPr>
              <w:pPrChange w:id="6888" w:author="AbbVie02no" w:date="2025-05-15T13:45:00Z">
                <w:pPr>
                  <w:keepNext/>
                  <w:jc w:val="center"/>
                </w:pPr>
              </w:pPrChange>
            </w:pPr>
          </w:p>
        </w:tc>
        <w:tc>
          <w:tcPr>
            <w:tcW w:w="1576" w:type="dxa"/>
            <w:tcBorders>
              <w:left w:val="single" w:sz="4" w:space="0" w:color="auto"/>
              <w:right w:val="single" w:sz="4" w:space="0" w:color="auto"/>
            </w:tcBorders>
          </w:tcPr>
          <w:p w14:paraId="364475E7" w14:textId="689D04D4" w:rsidR="00DE3458" w:rsidRPr="009C5EFD" w:rsidRDefault="00DE3458">
            <w:pPr>
              <w:keepNext/>
              <w:suppressAutoHyphens/>
              <w:rPr>
                <w:del w:id="6889" w:author="AbbVie02no" w:date="2025-05-15T13:45:00Z"/>
                <w:sz w:val="22"/>
                <w:szCs w:val="22"/>
              </w:rPr>
              <w:pPrChange w:id="6890" w:author="AbbVie02no" w:date="2025-05-15T13:45:00Z">
                <w:pPr>
                  <w:keepNext/>
                  <w:jc w:val="center"/>
                </w:pPr>
              </w:pPrChange>
            </w:pPr>
          </w:p>
        </w:tc>
        <w:tc>
          <w:tcPr>
            <w:tcW w:w="1100" w:type="dxa"/>
            <w:tcBorders>
              <w:left w:val="single" w:sz="4" w:space="0" w:color="auto"/>
              <w:right w:val="single" w:sz="4" w:space="0" w:color="auto"/>
            </w:tcBorders>
          </w:tcPr>
          <w:p w14:paraId="7B6BE7AC" w14:textId="6ACF382B" w:rsidR="00DE3458" w:rsidRPr="009C5EFD" w:rsidRDefault="00DE3458">
            <w:pPr>
              <w:keepNext/>
              <w:suppressAutoHyphens/>
              <w:rPr>
                <w:del w:id="6891" w:author="AbbVie02no" w:date="2025-05-15T13:45:00Z"/>
                <w:sz w:val="22"/>
                <w:szCs w:val="22"/>
              </w:rPr>
              <w:pPrChange w:id="6892" w:author="AbbVie02no" w:date="2025-05-15T13:45:00Z">
                <w:pPr>
                  <w:keepNext/>
                  <w:jc w:val="center"/>
                </w:pPr>
              </w:pPrChange>
            </w:pPr>
          </w:p>
        </w:tc>
        <w:tc>
          <w:tcPr>
            <w:tcW w:w="1173" w:type="dxa"/>
            <w:tcBorders>
              <w:left w:val="single" w:sz="4" w:space="0" w:color="auto"/>
              <w:right w:val="single" w:sz="4" w:space="0" w:color="auto"/>
            </w:tcBorders>
          </w:tcPr>
          <w:p w14:paraId="75A399A2" w14:textId="2AAAACD4" w:rsidR="00DE3458" w:rsidRPr="009C5EFD" w:rsidRDefault="00DE3458">
            <w:pPr>
              <w:keepNext/>
              <w:suppressAutoHyphens/>
              <w:rPr>
                <w:del w:id="6893" w:author="AbbVie02no" w:date="2025-05-15T13:45:00Z"/>
                <w:sz w:val="22"/>
                <w:szCs w:val="22"/>
              </w:rPr>
              <w:pPrChange w:id="6894" w:author="AbbVie02no" w:date="2025-05-15T13:45:00Z">
                <w:pPr>
                  <w:keepNext/>
                  <w:jc w:val="center"/>
                </w:pPr>
              </w:pPrChange>
            </w:pPr>
          </w:p>
        </w:tc>
        <w:tc>
          <w:tcPr>
            <w:tcW w:w="1210" w:type="dxa"/>
            <w:tcBorders>
              <w:left w:val="single" w:sz="4" w:space="0" w:color="auto"/>
            </w:tcBorders>
          </w:tcPr>
          <w:p w14:paraId="2049C846" w14:textId="70B5075F" w:rsidR="00DE3458" w:rsidRPr="009C5EFD" w:rsidRDefault="00DE3458">
            <w:pPr>
              <w:keepNext/>
              <w:suppressAutoHyphens/>
              <w:rPr>
                <w:del w:id="6895" w:author="AbbVie02no" w:date="2025-05-15T13:45:00Z"/>
                <w:sz w:val="22"/>
                <w:szCs w:val="22"/>
              </w:rPr>
              <w:pPrChange w:id="6896" w:author="AbbVie02no" w:date="2025-05-15T13:45:00Z">
                <w:pPr>
                  <w:keepNext/>
                  <w:jc w:val="center"/>
                </w:pPr>
              </w:pPrChange>
            </w:pPr>
          </w:p>
        </w:tc>
      </w:tr>
      <w:tr w:rsidR="004644D4" w14:paraId="3E4FCC99" w14:textId="38C1FE29">
        <w:trPr>
          <w:gridAfter w:val="1"/>
          <w:wAfter w:w="12" w:type="dxa"/>
          <w:cantSplit/>
          <w:jc w:val="center"/>
          <w:del w:id="6897" w:author="AbbVie02no" w:date="2025-05-15T13:45:00Z"/>
        </w:trPr>
        <w:tc>
          <w:tcPr>
            <w:tcW w:w="1724" w:type="dxa"/>
            <w:gridSpan w:val="2"/>
          </w:tcPr>
          <w:p w14:paraId="73205699" w14:textId="13B724FA" w:rsidR="00DE3458" w:rsidRPr="009C5EFD" w:rsidRDefault="00E453CD">
            <w:pPr>
              <w:keepNext/>
              <w:suppressAutoHyphens/>
              <w:rPr>
                <w:del w:id="6898" w:author="AbbVie02no" w:date="2025-05-15T13:45:00Z"/>
                <w:sz w:val="22"/>
                <w:szCs w:val="22"/>
              </w:rPr>
              <w:pPrChange w:id="6899" w:author="AbbVie02no" w:date="2025-05-15T13:45:00Z">
                <w:pPr>
                  <w:keepNext/>
                </w:pPr>
              </w:pPrChange>
            </w:pPr>
            <w:del w:id="6900" w:author="AbbVie02no" w:date="2025-05-15T13:45:00Z">
              <w:r w:rsidRPr="009C5EFD">
                <w:rPr>
                  <w:sz w:val="22"/>
                  <w:szCs w:val="22"/>
                </w:rPr>
                <w:delText>Uke 52</w:delText>
              </w:r>
            </w:del>
          </w:p>
        </w:tc>
        <w:tc>
          <w:tcPr>
            <w:tcW w:w="1320" w:type="dxa"/>
          </w:tcPr>
          <w:p w14:paraId="3AA72C3C" w14:textId="5A966E7D" w:rsidR="00DE3458" w:rsidRPr="009C5EFD" w:rsidRDefault="00E453CD">
            <w:pPr>
              <w:keepNext/>
              <w:suppressAutoHyphens/>
              <w:rPr>
                <w:del w:id="6901" w:author="AbbVie02no" w:date="2025-05-15T13:45:00Z"/>
                <w:sz w:val="22"/>
                <w:szCs w:val="22"/>
              </w:rPr>
              <w:pPrChange w:id="6902" w:author="AbbVie02no" w:date="2025-05-15T13:45:00Z">
                <w:pPr>
                  <w:keepNext/>
                  <w:jc w:val="center"/>
                </w:pPr>
              </w:pPrChange>
            </w:pPr>
            <w:del w:id="6903" w:author="AbbVie02no" w:date="2025-05-15T13:45:00Z">
              <w:r w:rsidRPr="009C5EFD">
                <w:rPr>
                  <w:sz w:val="22"/>
                  <w:szCs w:val="22"/>
                </w:rPr>
                <w:delText>45,9</w:delText>
              </w:r>
              <w:r w:rsidR="00E51AA9" w:rsidRPr="009C5EFD">
                <w:rPr>
                  <w:sz w:val="22"/>
                  <w:szCs w:val="22"/>
                </w:rPr>
                <w:delText xml:space="preserve"> %</w:delText>
              </w:r>
            </w:del>
          </w:p>
        </w:tc>
        <w:tc>
          <w:tcPr>
            <w:tcW w:w="1320" w:type="dxa"/>
          </w:tcPr>
          <w:p w14:paraId="3A58CEFE" w14:textId="64B2A218" w:rsidR="00DE3458" w:rsidRPr="009C5EFD" w:rsidRDefault="00E453CD">
            <w:pPr>
              <w:keepNext/>
              <w:suppressAutoHyphens/>
              <w:rPr>
                <w:del w:id="6904" w:author="AbbVie02no" w:date="2025-05-15T13:45:00Z"/>
                <w:sz w:val="22"/>
                <w:szCs w:val="22"/>
              </w:rPr>
              <w:pPrChange w:id="6905" w:author="AbbVie02no" w:date="2025-05-15T13:45:00Z">
                <w:pPr>
                  <w:keepNext/>
                  <w:jc w:val="center"/>
                </w:pPr>
              </w:pPrChange>
            </w:pPr>
            <w:del w:id="6906" w:author="AbbVie02no" w:date="2025-05-15T13:45:00Z">
              <w:r w:rsidRPr="009C5EFD">
                <w:rPr>
                  <w:sz w:val="22"/>
                  <w:szCs w:val="22"/>
                </w:rPr>
                <w:delText>41,2</w:delText>
              </w:r>
              <w:r w:rsidR="00E51AA9" w:rsidRPr="009C5EFD">
                <w:rPr>
                  <w:sz w:val="22"/>
                  <w:szCs w:val="22"/>
                </w:rPr>
                <w:delText xml:space="preserve"> %</w:delText>
              </w:r>
            </w:del>
          </w:p>
        </w:tc>
        <w:tc>
          <w:tcPr>
            <w:tcW w:w="1576" w:type="dxa"/>
          </w:tcPr>
          <w:p w14:paraId="7C09ADE7" w14:textId="30B59EF7" w:rsidR="00DE3458" w:rsidRPr="009C5EFD" w:rsidRDefault="00E453CD">
            <w:pPr>
              <w:keepNext/>
              <w:suppressAutoHyphens/>
              <w:rPr>
                <w:del w:id="6907" w:author="AbbVie02no" w:date="2025-05-15T13:45:00Z"/>
                <w:sz w:val="22"/>
                <w:szCs w:val="22"/>
              </w:rPr>
              <w:pPrChange w:id="6908" w:author="AbbVie02no" w:date="2025-05-15T13:45:00Z">
                <w:pPr>
                  <w:keepNext/>
                  <w:jc w:val="center"/>
                </w:pPr>
              </w:pPrChange>
            </w:pPr>
            <w:del w:id="6909" w:author="AbbVie02no" w:date="2025-05-15T13:45:00Z">
              <w:r w:rsidRPr="009C5EFD">
                <w:rPr>
                  <w:sz w:val="22"/>
                  <w:szCs w:val="22"/>
                </w:rPr>
                <w:delText>61,6</w:delText>
              </w:r>
              <w:r w:rsidR="00E51AA9" w:rsidRPr="009C5EFD">
                <w:rPr>
                  <w:sz w:val="22"/>
                  <w:szCs w:val="22"/>
                </w:rPr>
                <w:delText xml:space="preserve"> %</w:delText>
              </w:r>
            </w:del>
          </w:p>
        </w:tc>
        <w:tc>
          <w:tcPr>
            <w:tcW w:w="1100" w:type="dxa"/>
          </w:tcPr>
          <w:p w14:paraId="1A6169A3" w14:textId="16BDA733" w:rsidR="00DE3458" w:rsidRPr="009C5EFD" w:rsidRDefault="00E453CD">
            <w:pPr>
              <w:keepNext/>
              <w:suppressAutoHyphens/>
              <w:rPr>
                <w:del w:id="6910" w:author="AbbVie02no" w:date="2025-05-15T13:45:00Z"/>
                <w:sz w:val="22"/>
                <w:szCs w:val="22"/>
              </w:rPr>
              <w:pPrChange w:id="6911" w:author="AbbVie02no" w:date="2025-05-15T13:45:00Z">
                <w:pPr>
                  <w:keepNext/>
                  <w:jc w:val="center"/>
                </w:pPr>
              </w:pPrChange>
            </w:pPr>
            <w:del w:id="6912" w:author="AbbVie02no" w:date="2025-05-15T13:45:00Z">
              <w:r w:rsidRPr="009C5EFD">
                <w:rPr>
                  <w:sz w:val="22"/>
                  <w:szCs w:val="22"/>
                </w:rPr>
                <w:delText>&lt; 0,001</w:delText>
              </w:r>
            </w:del>
          </w:p>
        </w:tc>
        <w:tc>
          <w:tcPr>
            <w:tcW w:w="1173" w:type="dxa"/>
          </w:tcPr>
          <w:p w14:paraId="261E494A" w14:textId="71772F38" w:rsidR="00DE3458" w:rsidRPr="009C5EFD" w:rsidRDefault="00E453CD">
            <w:pPr>
              <w:keepNext/>
              <w:suppressAutoHyphens/>
              <w:rPr>
                <w:del w:id="6913" w:author="AbbVie02no" w:date="2025-05-15T13:45:00Z"/>
                <w:sz w:val="22"/>
                <w:szCs w:val="22"/>
              </w:rPr>
              <w:pPrChange w:id="6914" w:author="AbbVie02no" w:date="2025-05-15T13:45:00Z">
                <w:pPr>
                  <w:keepNext/>
                  <w:jc w:val="center"/>
                </w:pPr>
              </w:pPrChange>
            </w:pPr>
            <w:del w:id="6915" w:author="AbbVie02no" w:date="2025-05-15T13:45:00Z">
              <w:r w:rsidRPr="009C5EFD">
                <w:rPr>
                  <w:sz w:val="22"/>
                  <w:szCs w:val="22"/>
                </w:rPr>
                <w:delText>&lt; 0,001</w:delText>
              </w:r>
            </w:del>
          </w:p>
        </w:tc>
        <w:tc>
          <w:tcPr>
            <w:tcW w:w="1210" w:type="dxa"/>
          </w:tcPr>
          <w:p w14:paraId="72EE62C3" w14:textId="41822493" w:rsidR="00DE3458" w:rsidRPr="009C5EFD" w:rsidRDefault="00E453CD">
            <w:pPr>
              <w:keepNext/>
              <w:suppressAutoHyphens/>
              <w:rPr>
                <w:del w:id="6916" w:author="AbbVie02no" w:date="2025-05-15T13:45:00Z"/>
                <w:sz w:val="22"/>
                <w:szCs w:val="22"/>
              </w:rPr>
              <w:pPrChange w:id="6917" w:author="AbbVie02no" w:date="2025-05-15T13:45:00Z">
                <w:pPr>
                  <w:keepNext/>
                  <w:jc w:val="center"/>
                </w:pPr>
              </w:pPrChange>
            </w:pPr>
            <w:del w:id="6918" w:author="AbbVie02no" w:date="2025-05-15T13:45:00Z">
              <w:r w:rsidRPr="009C5EFD">
                <w:rPr>
                  <w:sz w:val="22"/>
                  <w:szCs w:val="22"/>
                </w:rPr>
                <w:delText>0,317</w:delText>
              </w:r>
            </w:del>
          </w:p>
        </w:tc>
      </w:tr>
      <w:tr w:rsidR="004644D4" w14:paraId="47FD40BA" w14:textId="0F55FDA6">
        <w:trPr>
          <w:gridAfter w:val="1"/>
          <w:wAfter w:w="12" w:type="dxa"/>
          <w:cantSplit/>
          <w:jc w:val="center"/>
          <w:del w:id="6919" w:author="AbbVie02no" w:date="2025-05-15T13:45:00Z"/>
        </w:trPr>
        <w:tc>
          <w:tcPr>
            <w:tcW w:w="1724" w:type="dxa"/>
            <w:gridSpan w:val="2"/>
          </w:tcPr>
          <w:p w14:paraId="1668E9DE" w14:textId="0A2A198C" w:rsidR="00DE3458" w:rsidRPr="009C5EFD" w:rsidRDefault="00E453CD">
            <w:pPr>
              <w:keepNext/>
              <w:suppressAutoHyphens/>
              <w:rPr>
                <w:del w:id="6920" w:author="AbbVie02no" w:date="2025-05-15T13:45:00Z"/>
                <w:sz w:val="22"/>
                <w:szCs w:val="22"/>
              </w:rPr>
              <w:pPrChange w:id="6921" w:author="AbbVie02no" w:date="2025-05-15T13:45:00Z">
                <w:pPr>
                  <w:keepNext/>
                </w:pPr>
              </w:pPrChange>
            </w:pPr>
            <w:del w:id="6922" w:author="AbbVie02no" w:date="2025-05-15T13:45:00Z">
              <w:r w:rsidRPr="009C5EFD">
                <w:rPr>
                  <w:sz w:val="22"/>
                  <w:szCs w:val="22"/>
                </w:rPr>
                <w:delText>Uke 104</w:delText>
              </w:r>
            </w:del>
          </w:p>
        </w:tc>
        <w:tc>
          <w:tcPr>
            <w:tcW w:w="1320" w:type="dxa"/>
            <w:tcBorders>
              <w:bottom w:val="single" w:sz="4" w:space="0" w:color="auto"/>
            </w:tcBorders>
          </w:tcPr>
          <w:p w14:paraId="51E0ACC9" w14:textId="6EB2A144" w:rsidR="00DE3458" w:rsidRPr="009C5EFD" w:rsidRDefault="00E453CD">
            <w:pPr>
              <w:keepNext/>
              <w:suppressAutoHyphens/>
              <w:rPr>
                <w:del w:id="6923" w:author="AbbVie02no" w:date="2025-05-15T13:45:00Z"/>
                <w:sz w:val="22"/>
                <w:szCs w:val="22"/>
              </w:rPr>
              <w:pPrChange w:id="6924" w:author="AbbVie02no" w:date="2025-05-15T13:45:00Z">
                <w:pPr>
                  <w:keepNext/>
                  <w:jc w:val="center"/>
                </w:pPr>
              </w:pPrChange>
            </w:pPr>
            <w:del w:id="6925" w:author="AbbVie02no" w:date="2025-05-15T13:45:00Z">
              <w:r w:rsidRPr="009C5EFD">
                <w:rPr>
                  <w:sz w:val="22"/>
                  <w:szCs w:val="22"/>
                </w:rPr>
                <w:delText>42,8</w:delText>
              </w:r>
              <w:r w:rsidR="00E51AA9" w:rsidRPr="009C5EFD">
                <w:rPr>
                  <w:sz w:val="22"/>
                  <w:szCs w:val="22"/>
                </w:rPr>
                <w:delText xml:space="preserve"> %</w:delText>
              </w:r>
            </w:del>
          </w:p>
        </w:tc>
        <w:tc>
          <w:tcPr>
            <w:tcW w:w="1320" w:type="dxa"/>
            <w:tcBorders>
              <w:bottom w:val="single" w:sz="4" w:space="0" w:color="auto"/>
            </w:tcBorders>
          </w:tcPr>
          <w:p w14:paraId="33516B45" w14:textId="5EAF225B" w:rsidR="00DE3458" w:rsidRPr="009C5EFD" w:rsidRDefault="00E453CD">
            <w:pPr>
              <w:keepNext/>
              <w:suppressAutoHyphens/>
              <w:rPr>
                <w:del w:id="6926" w:author="AbbVie02no" w:date="2025-05-15T13:45:00Z"/>
                <w:sz w:val="22"/>
                <w:szCs w:val="22"/>
              </w:rPr>
              <w:pPrChange w:id="6927" w:author="AbbVie02no" w:date="2025-05-15T13:45:00Z">
                <w:pPr>
                  <w:keepNext/>
                  <w:jc w:val="center"/>
                </w:pPr>
              </w:pPrChange>
            </w:pPr>
            <w:del w:id="6928" w:author="AbbVie02no" w:date="2025-05-15T13:45:00Z">
              <w:r w:rsidRPr="009C5EFD">
                <w:rPr>
                  <w:sz w:val="22"/>
                  <w:szCs w:val="22"/>
                </w:rPr>
                <w:delText>36,9</w:delText>
              </w:r>
              <w:r w:rsidR="00E51AA9" w:rsidRPr="009C5EFD">
                <w:rPr>
                  <w:sz w:val="22"/>
                  <w:szCs w:val="22"/>
                </w:rPr>
                <w:delText xml:space="preserve"> %</w:delText>
              </w:r>
            </w:del>
          </w:p>
        </w:tc>
        <w:tc>
          <w:tcPr>
            <w:tcW w:w="1576" w:type="dxa"/>
            <w:tcBorders>
              <w:bottom w:val="single" w:sz="4" w:space="0" w:color="auto"/>
            </w:tcBorders>
          </w:tcPr>
          <w:p w14:paraId="558CFE25" w14:textId="5D7D8C11" w:rsidR="00DE3458" w:rsidRPr="009C5EFD" w:rsidRDefault="00E453CD">
            <w:pPr>
              <w:keepNext/>
              <w:suppressAutoHyphens/>
              <w:rPr>
                <w:del w:id="6929" w:author="AbbVie02no" w:date="2025-05-15T13:45:00Z"/>
                <w:sz w:val="22"/>
                <w:szCs w:val="22"/>
              </w:rPr>
              <w:pPrChange w:id="6930" w:author="AbbVie02no" w:date="2025-05-15T13:45:00Z">
                <w:pPr>
                  <w:keepNext/>
                  <w:jc w:val="center"/>
                </w:pPr>
              </w:pPrChange>
            </w:pPr>
            <w:del w:id="6931" w:author="AbbVie02no" w:date="2025-05-15T13:45:00Z">
              <w:r w:rsidRPr="009C5EFD">
                <w:rPr>
                  <w:sz w:val="22"/>
                  <w:szCs w:val="22"/>
                </w:rPr>
                <w:delText>59,0</w:delText>
              </w:r>
              <w:r w:rsidR="00E51AA9" w:rsidRPr="009C5EFD">
                <w:rPr>
                  <w:sz w:val="22"/>
                  <w:szCs w:val="22"/>
                </w:rPr>
                <w:delText xml:space="preserve"> %</w:delText>
              </w:r>
            </w:del>
          </w:p>
        </w:tc>
        <w:tc>
          <w:tcPr>
            <w:tcW w:w="1100" w:type="dxa"/>
            <w:tcBorders>
              <w:bottom w:val="single" w:sz="4" w:space="0" w:color="auto"/>
            </w:tcBorders>
          </w:tcPr>
          <w:p w14:paraId="1CFEC79B" w14:textId="44EF02AB" w:rsidR="00DE3458" w:rsidRPr="009C5EFD" w:rsidRDefault="00E453CD">
            <w:pPr>
              <w:keepNext/>
              <w:suppressAutoHyphens/>
              <w:rPr>
                <w:del w:id="6932" w:author="AbbVie02no" w:date="2025-05-15T13:45:00Z"/>
                <w:sz w:val="22"/>
                <w:szCs w:val="22"/>
              </w:rPr>
              <w:pPrChange w:id="6933" w:author="AbbVie02no" w:date="2025-05-15T13:45:00Z">
                <w:pPr>
                  <w:keepNext/>
                  <w:jc w:val="center"/>
                </w:pPr>
              </w:pPrChange>
            </w:pPr>
            <w:del w:id="6934" w:author="AbbVie02no" w:date="2025-05-15T13:45:00Z">
              <w:r w:rsidRPr="009C5EFD">
                <w:rPr>
                  <w:sz w:val="22"/>
                  <w:szCs w:val="22"/>
                </w:rPr>
                <w:delText>&lt; 0,001</w:delText>
              </w:r>
            </w:del>
          </w:p>
        </w:tc>
        <w:tc>
          <w:tcPr>
            <w:tcW w:w="1173" w:type="dxa"/>
            <w:tcBorders>
              <w:bottom w:val="single" w:sz="4" w:space="0" w:color="auto"/>
            </w:tcBorders>
          </w:tcPr>
          <w:p w14:paraId="753C49F1" w14:textId="3FF69988" w:rsidR="00DE3458" w:rsidRPr="009C5EFD" w:rsidRDefault="00E453CD">
            <w:pPr>
              <w:keepNext/>
              <w:suppressAutoHyphens/>
              <w:rPr>
                <w:del w:id="6935" w:author="AbbVie02no" w:date="2025-05-15T13:45:00Z"/>
                <w:sz w:val="22"/>
                <w:szCs w:val="22"/>
              </w:rPr>
              <w:pPrChange w:id="6936" w:author="AbbVie02no" w:date="2025-05-15T13:45:00Z">
                <w:pPr>
                  <w:keepNext/>
                  <w:jc w:val="center"/>
                </w:pPr>
              </w:pPrChange>
            </w:pPr>
            <w:del w:id="6937" w:author="AbbVie02no" w:date="2025-05-15T13:45:00Z">
              <w:r w:rsidRPr="009C5EFD">
                <w:rPr>
                  <w:sz w:val="22"/>
                  <w:szCs w:val="22"/>
                </w:rPr>
                <w:delText>&lt; 0,001</w:delText>
              </w:r>
            </w:del>
          </w:p>
        </w:tc>
        <w:tc>
          <w:tcPr>
            <w:tcW w:w="1210" w:type="dxa"/>
          </w:tcPr>
          <w:p w14:paraId="24ED8B14" w14:textId="52D9F9EE" w:rsidR="00DE3458" w:rsidRPr="009C5EFD" w:rsidRDefault="00E453CD">
            <w:pPr>
              <w:keepNext/>
              <w:suppressAutoHyphens/>
              <w:rPr>
                <w:del w:id="6938" w:author="AbbVie02no" w:date="2025-05-15T13:45:00Z"/>
                <w:sz w:val="22"/>
                <w:szCs w:val="22"/>
              </w:rPr>
              <w:pPrChange w:id="6939" w:author="AbbVie02no" w:date="2025-05-15T13:45:00Z">
                <w:pPr>
                  <w:keepNext/>
                  <w:jc w:val="center"/>
                </w:pPr>
              </w:pPrChange>
            </w:pPr>
            <w:del w:id="6940" w:author="AbbVie02no" w:date="2025-05-15T13:45:00Z">
              <w:r w:rsidRPr="009C5EFD">
                <w:rPr>
                  <w:sz w:val="22"/>
                  <w:szCs w:val="22"/>
                </w:rPr>
                <w:delText>0,162</w:delText>
              </w:r>
            </w:del>
          </w:p>
        </w:tc>
      </w:tr>
      <w:tr w:rsidR="004644D4" w14:paraId="2BE0E47C" w14:textId="270EDB01">
        <w:trPr>
          <w:gridAfter w:val="1"/>
          <w:wAfter w:w="12" w:type="dxa"/>
          <w:cantSplit/>
          <w:jc w:val="center"/>
          <w:del w:id="6941" w:author="AbbVie02no" w:date="2025-05-15T13:45:00Z"/>
        </w:trPr>
        <w:tc>
          <w:tcPr>
            <w:tcW w:w="1724" w:type="dxa"/>
            <w:gridSpan w:val="2"/>
            <w:tcBorders>
              <w:right w:val="single" w:sz="4" w:space="0" w:color="auto"/>
            </w:tcBorders>
          </w:tcPr>
          <w:p w14:paraId="59A8FDD4" w14:textId="56CA20FD" w:rsidR="00DE3458" w:rsidRPr="009C5EFD" w:rsidRDefault="00E453CD">
            <w:pPr>
              <w:keepNext/>
              <w:suppressAutoHyphens/>
              <w:rPr>
                <w:del w:id="6942" w:author="AbbVie02no" w:date="2025-05-15T13:45:00Z"/>
                <w:sz w:val="22"/>
                <w:szCs w:val="22"/>
              </w:rPr>
              <w:pPrChange w:id="6943" w:author="AbbVie02no" w:date="2025-05-15T13:45:00Z">
                <w:pPr>
                  <w:keepNext/>
                </w:pPr>
              </w:pPrChange>
            </w:pPr>
            <w:del w:id="6944" w:author="AbbVie02no" w:date="2025-05-15T13:45:00Z">
              <w:r w:rsidRPr="009C5EFD">
                <w:rPr>
                  <w:sz w:val="22"/>
                  <w:szCs w:val="22"/>
                </w:rPr>
                <w:delText>ACR 70</w:delText>
              </w:r>
            </w:del>
          </w:p>
        </w:tc>
        <w:tc>
          <w:tcPr>
            <w:tcW w:w="1320" w:type="dxa"/>
            <w:tcBorders>
              <w:left w:val="single" w:sz="4" w:space="0" w:color="auto"/>
              <w:right w:val="single" w:sz="4" w:space="0" w:color="auto"/>
            </w:tcBorders>
          </w:tcPr>
          <w:p w14:paraId="431E9B30" w14:textId="23606DF1" w:rsidR="00DE3458" w:rsidRPr="009C5EFD" w:rsidRDefault="00DE3458">
            <w:pPr>
              <w:keepNext/>
              <w:suppressAutoHyphens/>
              <w:rPr>
                <w:del w:id="6945" w:author="AbbVie02no" w:date="2025-05-15T13:45:00Z"/>
                <w:sz w:val="22"/>
                <w:szCs w:val="22"/>
              </w:rPr>
              <w:pPrChange w:id="6946" w:author="AbbVie02no" w:date="2025-05-15T13:45:00Z">
                <w:pPr>
                  <w:keepNext/>
                  <w:jc w:val="center"/>
                </w:pPr>
              </w:pPrChange>
            </w:pPr>
          </w:p>
        </w:tc>
        <w:tc>
          <w:tcPr>
            <w:tcW w:w="1320" w:type="dxa"/>
            <w:tcBorders>
              <w:left w:val="single" w:sz="4" w:space="0" w:color="auto"/>
              <w:right w:val="single" w:sz="4" w:space="0" w:color="auto"/>
            </w:tcBorders>
          </w:tcPr>
          <w:p w14:paraId="08344CDE" w14:textId="45667CD5" w:rsidR="00DE3458" w:rsidRPr="009C5EFD" w:rsidRDefault="00DE3458">
            <w:pPr>
              <w:keepNext/>
              <w:suppressAutoHyphens/>
              <w:rPr>
                <w:del w:id="6947" w:author="AbbVie02no" w:date="2025-05-15T13:45:00Z"/>
                <w:sz w:val="22"/>
                <w:szCs w:val="22"/>
              </w:rPr>
              <w:pPrChange w:id="6948" w:author="AbbVie02no" w:date="2025-05-15T13:45:00Z">
                <w:pPr>
                  <w:keepNext/>
                  <w:jc w:val="center"/>
                </w:pPr>
              </w:pPrChange>
            </w:pPr>
          </w:p>
        </w:tc>
        <w:tc>
          <w:tcPr>
            <w:tcW w:w="1576" w:type="dxa"/>
            <w:tcBorders>
              <w:left w:val="single" w:sz="4" w:space="0" w:color="auto"/>
              <w:right w:val="single" w:sz="4" w:space="0" w:color="auto"/>
            </w:tcBorders>
          </w:tcPr>
          <w:p w14:paraId="59759E9D" w14:textId="07CFDFC2" w:rsidR="00DE3458" w:rsidRPr="009C5EFD" w:rsidRDefault="00DE3458">
            <w:pPr>
              <w:keepNext/>
              <w:suppressAutoHyphens/>
              <w:rPr>
                <w:del w:id="6949" w:author="AbbVie02no" w:date="2025-05-15T13:45:00Z"/>
                <w:sz w:val="22"/>
                <w:szCs w:val="22"/>
              </w:rPr>
              <w:pPrChange w:id="6950" w:author="AbbVie02no" w:date="2025-05-15T13:45:00Z">
                <w:pPr>
                  <w:keepNext/>
                  <w:jc w:val="center"/>
                </w:pPr>
              </w:pPrChange>
            </w:pPr>
          </w:p>
        </w:tc>
        <w:tc>
          <w:tcPr>
            <w:tcW w:w="1100" w:type="dxa"/>
            <w:tcBorders>
              <w:left w:val="single" w:sz="4" w:space="0" w:color="auto"/>
              <w:right w:val="single" w:sz="4" w:space="0" w:color="auto"/>
            </w:tcBorders>
          </w:tcPr>
          <w:p w14:paraId="1052CF32" w14:textId="4CC7C9ED" w:rsidR="00DE3458" w:rsidRPr="009C5EFD" w:rsidRDefault="00DE3458">
            <w:pPr>
              <w:keepNext/>
              <w:suppressAutoHyphens/>
              <w:rPr>
                <w:del w:id="6951" w:author="AbbVie02no" w:date="2025-05-15T13:45:00Z"/>
                <w:sz w:val="22"/>
                <w:szCs w:val="22"/>
              </w:rPr>
              <w:pPrChange w:id="6952" w:author="AbbVie02no" w:date="2025-05-15T13:45:00Z">
                <w:pPr>
                  <w:keepNext/>
                  <w:jc w:val="center"/>
                </w:pPr>
              </w:pPrChange>
            </w:pPr>
          </w:p>
        </w:tc>
        <w:tc>
          <w:tcPr>
            <w:tcW w:w="1173" w:type="dxa"/>
            <w:tcBorders>
              <w:left w:val="single" w:sz="4" w:space="0" w:color="auto"/>
              <w:right w:val="single" w:sz="4" w:space="0" w:color="auto"/>
            </w:tcBorders>
          </w:tcPr>
          <w:p w14:paraId="53E362B1" w14:textId="279A68A2" w:rsidR="00DE3458" w:rsidRPr="009C5EFD" w:rsidRDefault="00DE3458">
            <w:pPr>
              <w:keepNext/>
              <w:suppressAutoHyphens/>
              <w:rPr>
                <w:del w:id="6953" w:author="AbbVie02no" w:date="2025-05-15T13:45:00Z"/>
                <w:sz w:val="22"/>
                <w:szCs w:val="22"/>
              </w:rPr>
              <w:pPrChange w:id="6954" w:author="AbbVie02no" w:date="2025-05-15T13:45:00Z">
                <w:pPr>
                  <w:keepNext/>
                  <w:jc w:val="center"/>
                </w:pPr>
              </w:pPrChange>
            </w:pPr>
          </w:p>
        </w:tc>
        <w:tc>
          <w:tcPr>
            <w:tcW w:w="1210" w:type="dxa"/>
            <w:tcBorders>
              <w:left w:val="single" w:sz="4" w:space="0" w:color="auto"/>
            </w:tcBorders>
          </w:tcPr>
          <w:p w14:paraId="554DFC9D" w14:textId="69ACD907" w:rsidR="00DE3458" w:rsidRPr="009C5EFD" w:rsidRDefault="00DE3458">
            <w:pPr>
              <w:keepNext/>
              <w:suppressAutoHyphens/>
              <w:rPr>
                <w:del w:id="6955" w:author="AbbVie02no" w:date="2025-05-15T13:45:00Z"/>
                <w:sz w:val="22"/>
                <w:szCs w:val="22"/>
              </w:rPr>
              <w:pPrChange w:id="6956" w:author="AbbVie02no" w:date="2025-05-15T13:45:00Z">
                <w:pPr>
                  <w:keepNext/>
                  <w:jc w:val="center"/>
                </w:pPr>
              </w:pPrChange>
            </w:pPr>
          </w:p>
        </w:tc>
      </w:tr>
      <w:tr w:rsidR="004644D4" w14:paraId="67FE76EC" w14:textId="0842E26B">
        <w:trPr>
          <w:gridAfter w:val="1"/>
          <w:wAfter w:w="12" w:type="dxa"/>
          <w:cantSplit/>
          <w:trHeight w:val="70"/>
          <w:jc w:val="center"/>
          <w:del w:id="6957" w:author="AbbVie02no" w:date="2025-05-15T13:45:00Z"/>
        </w:trPr>
        <w:tc>
          <w:tcPr>
            <w:tcW w:w="1724" w:type="dxa"/>
            <w:gridSpan w:val="2"/>
          </w:tcPr>
          <w:p w14:paraId="6DAA2D87" w14:textId="60ED94AD" w:rsidR="00DE3458" w:rsidRPr="009C5EFD" w:rsidRDefault="00E453CD">
            <w:pPr>
              <w:keepNext/>
              <w:suppressAutoHyphens/>
              <w:rPr>
                <w:del w:id="6958" w:author="AbbVie02no" w:date="2025-05-15T13:45:00Z"/>
                <w:sz w:val="22"/>
                <w:szCs w:val="22"/>
              </w:rPr>
              <w:pPrChange w:id="6959" w:author="AbbVie02no" w:date="2025-05-15T13:45:00Z">
                <w:pPr>
                  <w:keepNext/>
                </w:pPr>
              </w:pPrChange>
            </w:pPr>
            <w:del w:id="6960" w:author="AbbVie02no" w:date="2025-05-15T13:45:00Z">
              <w:r w:rsidRPr="009C5EFD">
                <w:rPr>
                  <w:sz w:val="22"/>
                  <w:szCs w:val="22"/>
                </w:rPr>
                <w:delText>Uke 52</w:delText>
              </w:r>
            </w:del>
          </w:p>
        </w:tc>
        <w:tc>
          <w:tcPr>
            <w:tcW w:w="1320" w:type="dxa"/>
          </w:tcPr>
          <w:p w14:paraId="34A194FF" w14:textId="5D101B23" w:rsidR="00DE3458" w:rsidRPr="009C5EFD" w:rsidRDefault="00E453CD">
            <w:pPr>
              <w:keepNext/>
              <w:suppressAutoHyphens/>
              <w:rPr>
                <w:del w:id="6961" w:author="AbbVie02no" w:date="2025-05-15T13:45:00Z"/>
                <w:sz w:val="22"/>
                <w:szCs w:val="22"/>
              </w:rPr>
              <w:pPrChange w:id="6962" w:author="AbbVie02no" w:date="2025-05-15T13:45:00Z">
                <w:pPr>
                  <w:keepNext/>
                  <w:jc w:val="center"/>
                </w:pPr>
              </w:pPrChange>
            </w:pPr>
            <w:del w:id="6963" w:author="AbbVie02no" w:date="2025-05-15T13:45:00Z">
              <w:r w:rsidRPr="009C5EFD">
                <w:rPr>
                  <w:sz w:val="22"/>
                  <w:szCs w:val="22"/>
                </w:rPr>
                <w:delText>27,2</w:delText>
              </w:r>
              <w:r w:rsidR="00E51AA9" w:rsidRPr="009C5EFD">
                <w:rPr>
                  <w:sz w:val="22"/>
                  <w:szCs w:val="22"/>
                </w:rPr>
                <w:delText xml:space="preserve"> %</w:delText>
              </w:r>
            </w:del>
          </w:p>
        </w:tc>
        <w:tc>
          <w:tcPr>
            <w:tcW w:w="1320" w:type="dxa"/>
          </w:tcPr>
          <w:p w14:paraId="35DDC557" w14:textId="61045EA5" w:rsidR="00DE3458" w:rsidRPr="009C5EFD" w:rsidRDefault="00E453CD">
            <w:pPr>
              <w:keepNext/>
              <w:suppressAutoHyphens/>
              <w:rPr>
                <w:del w:id="6964" w:author="AbbVie02no" w:date="2025-05-15T13:45:00Z"/>
                <w:sz w:val="22"/>
                <w:szCs w:val="22"/>
              </w:rPr>
              <w:pPrChange w:id="6965" w:author="AbbVie02no" w:date="2025-05-15T13:45:00Z">
                <w:pPr>
                  <w:keepNext/>
                  <w:jc w:val="center"/>
                </w:pPr>
              </w:pPrChange>
            </w:pPr>
            <w:del w:id="6966" w:author="AbbVie02no" w:date="2025-05-15T13:45:00Z">
              <w:r w:rsidRPr="009C5EFD">
                <w:rPr>
                  <w:sz w:val="22"/>
                  <w:szCs w:val="22"/>
                </w:rPr>
                <w:delText>25,9</w:delText>
              </w:r>
              <w:r w:rsidR="00E51AA9" w:rsidRPr="009C5EFD">
                <w:rPr>
                  <w:sz w:val="22"/>
                  <w:szCs w:val="22"/>
                </w:rPr>
                <w:delText xml:space="preserve"> %</w:delText>
              </w:r>
            </w:del>
          </w:p>
        </w:tc>
        <w:tc>
          <w:tcPr>
            <w:tcW w:w="1576" w:type="dxa"/>
          </w:tcPr>
          <w:p w14:paraId="17E8781E" w14:textId="548C8033" w:rsidR="00DE3458" w:rsidRPr="009C5EFD" w:rsidRDefault="00E453CD">
            <w:pPr>
              <w:keepNext/>
              <w:suppressAutoHyphens/>
              <w:rPr>
                <w:del w:id="6967" w:author="AbbVie02no" w:date="2025-05-15T13:45:00Z"/>
                <w:sz w:val="22"/>
                <w:szCs w:val="22"/>
              </w:rPr>
              <w:pPrChange w:id="6968" w:author="AbbVie02no" w:date="2025-05-15T13:45:00Z">
                <w:pPr>
                  <w:keepNext/>
                  <w:jc w:val="center"/>
                </w:pPr>
              </w:pPrChange>
            </w:pPr>
            <w:del w:id="6969" w:author="AbbVie02no" w:date="2025-05-15T13:45:00Z">
              <w:r w:rsidRPr="009C5EFD">
                <w:rPr>
                  <w:sz w:val="22"/>
                  <w:szCs w:val="22"/>
                </w:rPr>
                <w:delText>45,5</w:delText>
              </w:r>
              <w:r w:rsidR="00E51AA9" w:rsidRPr="009C5EFD">
                <w:rPr>
                  <w:sz w:val="22"/>
                  <w:szCs w:val="22"/>
                </w:rPr>
                <w:delText xml:space="preserve"> %</w:delText>
              </w:r>
            </w:del>
          </w:p>
        </w:tc>
        <w:tc>
          <w:tcPr>
            <w:tcW w:w="1100" w:type="dxa"/>
          </w:tcPr>
          <w:p w14:paraId="4C54E4C0" w14:textId="19F4439B" w:rsidR="00DE3458" w:rsidRPr="009C5EFD" w:rsidRDefault="00E453CD">
            <w:pPr>
              <w:keepNext/>
              <w:suppressAutoHyphens/>
              <w:rPr>
                <w:del w:id="6970" w:author="AbbVie02no" w:date="2025-05-15T13:45:00Z"/>
                <w:sz w:val="22"/>
                <w:szCs w:val="22"/>
              </w:rPr>
              <w:pPrChange w:id="6971" w:author="AbbVie02no" w:date="2025-05-15T13:45:00Z">
                <w:pPr>
                  <w:keepNext/>
                  <w:jc w:val="center"/>
                </w:pPr>
              </w:pPrChange>
            </w:pPr>
            <w:del w:id="6972" w:author="AbbVie02no" w:date="2025-05-15T13:45:00Z">
              <w:r w:rsidRPr="009C5EFD">
                <w:rPr>
                  <w:sz w:val="22"/>
                  <w:szCs w:val="22"/>
                </w:rPr>
                <w:delText>&lt; 0,001</w:delText>
              </w:r>
            </w:del>
          </w:p>
        </w:tc>
        <w:tc>
          <w:tcPr>
            <w:tcW w:w="1173" w:type="dxa"/>
          </w:tcPr>
          <w:p w14:paraId="6FD86906" w14:textId="455C4197" w:rsidR="00DE3458" w:rsidRPr="009C5EFD" w:rsidRDefault="00E453CD">
            <w:pPr>
              <w:keepNext/>
              <w:suppressAutoHyphens/>
              <w:rPr>
                <w:del w:id="6973" w:author="AbbVie02no" w:date="2025-05-15T13:45:00Z"/>
                <w:sz w:val="22"/>
                <w:szCs w:val="22"/>
              </w:rPr>
              <w:pPrChange w:id="6974" w:author="AbbVie02no" w:date="2025-05-15T13:45:00Z">
                <w:pPr>
                  <w:keepNext/>
                  <w:jc w:val="center"/>
                </w:pPr>
              </w:pPrChange>
            </w:pPr>
            <w:del w:id="6975" w:author="AbbVie02no" w:date="2025-05-15T13:45:00Z">
              <w:r w:rsidRPr="009C5EFD">
                <w:rPr>
                  <w:sz w:val="22"/>
                  <w:szCs w:val="22"/>
                </w:rPr>
                <w:delText>&lt; 0,001</w:delText>
              </w:r>
            </w:del>
          </w:p>
        </w:tc>
        <w:tc>
          <w:tcPr>
            <w:tcW w:w="1210" w:type="dxa"/>
          </w:tcPr>
          <w:p w14:paraId="5C41EBC3" w14:textId="4CC3A2A1" w:rsidR="00DE3458" w:rsidRPr="009C5EFD" w:rsidRDefault="00E453CD">
            <w:pPr>
              <w:keepNext/>
              <w:suppressAutoHyphens/>
              <w:rPr>
                <w:del w:id="6976" w:author="AbbVie02no" w:date="2025-05-15T13:45:00Z"/>
                <w:sz w:val="22"/>
                <w:szCs w:val="22"/>
              </w:rPr>
              <w:pPrChange w:id="6977" w:author="AbbVie02no" w:date="2025-05-15T13:45:00Z">
                <w:pPr>
                  <w:keepNext/>
                  <w:jc w:val="center"/>
                </w:pPr>
              </w:pPrChange>
            </w:pPr>
            <w:del w:id="6978" w:author="AbbVie02no" w:date="2025-05-15T13:45:00Z">
              <w:r w:rsidRPr="009C5EFD">
                <w:rPr>
                  <w:sz w:val="22"/>
                  <w:szCs w:val="22"/>
                </w:rPr>
                <w:delText>0,656</w:delText>
              </w:r>
            </w:del>
          </w:p>
        </w:tc>
      </w:tr>
      <w:tr w:rsidR="004644D4" w14:paraId="45DFE8DA" w14:textId="20FF6645">
        <w:trPr>
          <w:gridAfter w:val="1"/>
          <w:wAfter w:w="12" w:type="dxa"/>
          <w:cantSplit/>
          <w:jc w:val="center"/>
          <w:del w:id="6979" w:author="AbbVie02no" w:date="2025-05-15T13:45:00Z"/>
        </w:trPr>
        <w:tc>
          <w:tcPr>
            <w:tcW w:w="1724" w:type="dxa"/>
            <w:gridSpan w:val="2"/>
          </w:tcPr>
          <w:p w14:paraId="282528D5" w14:textId="33710A46" w:rsidR="00DE3458" w:rsidRPr="009C5EFD" w:rsidRDefault="00E453CD">
            <w:pPr>
              <w:keepNext/>
              <w:suppressAutoHyphens/>
              <w:rPr>
                <w:del w:id="6980" w:author="AbbVie02no" w:date="2025-05-15T13:45:00Z"/>
                <w:sz w:val="22"/>
                <w:szCs w:val="22"/>
              </w:rPr>
              <w:pPrChange w:id="6981" w:author="AbbVie02no" w:date="2025-05-15T13:45:00Z">
                <w:pPr>
                  <w:keepNext/>
                </w:pPr>
              </w:pPrChange>
            </w:pPr>
            <w:del w:id="6982" w:author="AbbVie02no" w:date="2025-05-15T13:45:00Z">
              <w:r w:rsidRPr="009C5EFD">
                <w:rPr>
                  <w:sz w:val="22"/>
                  <w:szCs w:val="22"/>
                </w:rPr>
                <w:delText>Uke 104</w:delText>
              </w:r>
            </w:del>
          </w:p>
        </w:tc>
        <w:tc>
          <w:tcPr>
            <w:tcW w:w="1320" w:type="dxa"/>
          </w:tcPr>
          <w:p w14:paraId="349C38D7" w14:textId="6759592E" w:rsidR="00DE3458" w:rsidRPr="009C5EFD" w:rsidRDefault="00E453CD">
            <w:pPr>
              <w:keepNext/>
              <w:suppressAutoHyphens/>
              <w:rPr>
                <w:del w:id="6983" w:author="AbbVie02no" w:date="2025-05-15T13:45:00Z"/>
                <w:sz w:val="22"/>
                <w:szCs w:val="22"/>
              </w:rPr>
              <w:pPrChange w:id="6984" w:author="AbbVie02no" w:date="2025-05-15T13:45:00Z">
                <w:pPr>
                  <w:keepNext/>
                  <w:jc w:val="center"/>
                </w:pPr>
              </w:pPrChange>
            </w:pPr>
            <w:del w:id="6985" w:author="AbbVie02no" w:date="2025-05-15T13:45:00Z">
              <w:r w:rsidRPr="009C5EFD">
                <w:rPr>
                  <w:sz w:val="22"/>
                  <w:szCs w:val="22"/>
                </w:rPr>
                <w:delText>28,4</w:delText>
              </w:r>
              <w:r w:rsidR="00E51AA9" w:rsidRPr="009C5EFD">
                <w:rPr>
                  <w:sz w:val="22"/>
                  <w:szCs w:val="22"/>
                </w:rPr>
                <w:delText xml:space="preserve"> %</w:delText>
              </w:r>
            </w:del>
          </w:p>
        </w:tc>
        <w:tc>
          <w:tcPr>
            <w:tcW w:w="1320" w:type="dxa"/>
          </w:tcPr>
          <w:p w14:paraId="683D5231" w14:textId="64A5EF3E" w:rsidR="00DE3458" w:rsidRPr="009C5EFD" w:rsidRDefault="00E453CD">
            <w:pPr>
              <w:keepNext/>
              <w:suppressAutoHyphens/>
              <w:rPr>
                <w:del w:id="6986" w:author="AbbVie02no" w:date="2025-05-15T13:45:00Z"/>
                <w:sz w:val="22"/>
                <w:szCs w:val="22"/>
              </w:rPr>
              <w:pPrChange w:id="6987" w:author="AbbVie02no" w:date="2025-05-15T13:45:00Z">
                <w:pPr>
                  <w:keepNext/>
                  <w:jc w:val="center"/>
                </w:pPr>
              </w:pPrChange>
            </w:pPr>
            <w:del w:id="6988" w:author="AbbVie02no" w:date="2025-05-15T13:45:00Z">
              <w:r w:rsidRPr="009C5EFD">
                <w:rPr>
                  <w:sz w:val="22"/>
                  <w:szCs w:val="22"/>
                </w:rPr>
                <w:delText>28,1</w:delText>
              </w:r>
              <w:r w:rsidR="00E51AA9" w:rsidRPr="009C5EFD">
                <w:rPr>
                  <w:sz w:val="22"/>
                  <w:szCs w:val="22"/>
                </w:rPr>
                <w:delText xml:space="preserve"> %</w:delText>
              </w:r>
            </w:del>
          </w:p>
        </w:tc>
        <w:tc>
          <w:tcPr>
            <w:tcW w:w="1576" w:type="dxa"/>
          </w:tcPr>
          <w:p w14:paraId="13870396" w14:textId="46BF3723" w:rsidR="00DE3458" w:rsidRPr="009C5EFD" w:rsidRDefault="00E453CD">
            <w:pPr>
              <w:keepNext/>
              <w:suppressAutoHyphens/>
              <w:rPr>
                <w:del w:id="6989" w:author="AbbVie02no" w:date="2025-05-15T13:45:00Z"/>
                <w:sz w:val="22"/>
                <w:szCs w:val="22"/>
              </w:rPr>
              <w:pPrChange w:id="6990" w:author="AbbVie02no" w:date="2025-05-15T13:45:00Z">
                <w:pPr>
                  <w:keepNext/>
                  <w:jc w:val="center"/>
                </w:pPr>
              </w:pPrChange>
            </w:pPr>
            <w:del w:id="6991" w:author="AbbVie02no" w:date="2025-05-15T13:45:00Z">
              <w:r w:rsidRPr="009C5EFD">
                <w:rPr>
                  <w:sz w:val="22"/>
                  <w:szCs w:val="22"/>
                </w:rPr>
                <w:delText>46,6</w:delText>
              </w:r>
              <w:r w:rsidR="00E51AA9" w:rsidRPr="009C5EFD">
                <w:rPr>
                  <w:sz w:val="22"/>
                  <w:szCs w:val="22"/>
                </w:rPr>
                <w:delText xml:space="preserve"> %</w:delText>
              </w:r>
            </w:del>
          </w:p>
        </w:tc>
        <w:tc>
          <w:tcPr>
            <w:tcW w:w="1100" w:type="dxa"/>
          </w:tcPr>
          <w:p w14:paraId="3DA1468B" w14:textId="6288EEAB" w:rsidR="00DE3458" w:rsidRPr="009C5EFD" w:rsidRDefault="00E453CD">
            <w:pPr>
              <w:keepNext/>
              <w:suppressAutoHyphens/>
              <w:rPr>
                <w:del w:id="6992" w:author="AbbVie02no" w:date="2025-05-15T13:45:00Z"/>
                <w:sz w:val="22"/>
                <w:szCs w:val="22"/>
              </w:rPr>
              <w:pPrChange w:id="6993" w:author="AbbVie02no" w:date="2025-05-15T13:45:00Z">
                <w:pPr>
                  <w:keepNext/>
                  <w:jc w:val="center"/>
                </w:pPr>
              </w:pPrChange>
            </w:pPr>
            <w:del w:id="6994" w:author="AbbVie02no" w:date="2025-05-15T13:45:00Z">
              <w:r w:rsidRPr="009C5EFD">
                <w:rPr>
                  <w:sz w:val="22"/>
                  <w:szCs w:val="22"/>
                </w:rPr>
                <w:delText>&lt; 0,001</w:delText>
              </w:r>
            </w:del>
          </w:p>
        </w:tc>
        <w:tc>
          <w:tcPr>
            <w:tcW w:w="1173" w:type="dxa"/>
          </w:tcPr>
          <w:p w14:paraId="6F1C0D0C" w14:textId="378828F3" w:rsidR="00DE3458" w:rsidRPr="009C5EFD" w:rsidRDefault="00E453CD">
            <w:pPr>
              <w:keepNext/>
              <w:suppressAutoHyphens/>
              <w:rPr>
                <w:del w:id="6995" w:author="AbbVie02no" w:date="2025-05-15T13:45:00Z"/>
                <w:sz w:val="22"/>
                <w:szCs w:val="22"/>
              </w:rPr>
              <w:pPrChange w:id="6996" w:author="AbbVie02no" w:date="2025-05-15T13:45:00Z">
                <w:pPr>
                  <w:keepNext/>
                  <w:jc w:val="center"/>
                </w:pPr>
              </w:pPrChange>
            </w:pPr>
            <w:del w:id="6997" w:author="AbbVie02no" w:date="2025-05-15T13:45:00Z">
              <w:r w:rsidRPr="009C5EFD">
                <w:rPr>
                  <w:sz w:val="22"/>
                  <w:szCs w:val="22"/>
                </w:rPr>
                <w:delText>&lt; 0,001</w:delText>
              </w:r>
            </w:del>
          </w:p>
        </w:tc>
        <w:tc>
          <w:tcPr>
            <w:tcW w:w="1210" w:type="dxa"/>
          </w:tcPr>
          <w:p w14:paraId="222D7B4C" w14:textId="4458E2BE" w:rsidR="00DE3458" w:rsidRPr="009C5EFD" w:rsidRDefault="00E453CD">
            <w:pPr>
              <w:keepNext/>
              <w:suppressAutoHyphens/>
              <w:rPr>
                <w:del w:id="6998" w:author="AbbVie02no" w:date="2025-05-15T13:45:00Z"/>
                <w:sz w:val="22"/>
                <w:szCs w:val="22"/>
              </w:rPr>
              <w:pPrChange w:id="6999" w:author="AbbVie02no" w:date="2025-05-15T13:45:00Z">
                <w:pPr>
                  <w:keepNext/>
                  <w:jc w:val="center"/>
                </w:pPr>
              </w:pPrChange>
            </w:pPr>
            <w:del w:id="7000" w:author="AbbVie02no" w:date="2025-05-15T13:45:00Z">
              <w:r w:rsidRPr="009C5EFD">
                <w:rPr>
                  <w:sz w:val="22"/>
                  <w:szCs w:val="22"/>
                </w:rPr>
                <w:delText>0,864</w:delText>
              </w:r>
            </w:del>
          </w:p>
        </w:tc>
      </w:tr>
      <w:tr w:rsidR="004644D4" w14:paraId="15FE3BE0" w14:textId="3C4F81B6">
        <w:trPr>
          <w:gridBefore w:val="1"/>
          <w:wBefore w:w="6" w:type="dxa"/>
          <w:cantSplit/>
          <w:jc w:val="center"/>
          <w:del w:id="7001" w:author="AbbVie02no" w:date="2025-05-15T13:45:00Z"/>
        </w:trPr>
        <w:tc>
          <w:tcPr>
            <w:tcW w:w="9429" w:type="dxa"/>
            <w:gridSpan w:val="8"/>
          </w:tcPr>
          <w:p w14:paraId="39F4CFA8" w14:textId="7C227212" w:rsidR="00DE3458" w:rsidRPr="00193D76" w:rsidRDefault="00E453CD">
            <w:pPr>
              <w:keepNext/>
              <w:suppressAutoHyphens/>
              <w:rPr>
                <w:del w:id="7002" w:author="AbbVie02no" w:date="2025-05-15T13:45:00Z"/>
                <w:szCs w:val="22"/>
              </w:rPr>
              <w:pPrChange w:id="7003" w:author="AbbVie02no" w:date="2025-05-15T13:45:00Z">
                <w:pPr>
                  <w:pStyle w:val="BodyTextIndent2"/>
                  <w:keepNext/>
                  <w:tabs>
                    <w:tab w:val="left" w:pos="330"/>
                  </w:tabs>
                  <w:ind w:left="330" w:hanging="330"/>
                </w:pPr>
              </w:pPrChange>
            </w:pPr>
            <w:del w:id="7004" w:author="AbbVie02no" w:date="2025-05-15T13:45:00Z">
              <w:r w:rsidRPr="007F67EE">
                <w:rPr>
                  <w:szCs w:val="22"/>
                </w:rPr>
                <w:delText>a.</w:delText>
              </w:r>
              <w:r w:rsidRPr="007F67EE">
                <w:rPr>
                  <w:szCs w:val="22"/>
                </w:rPr>
                <w:tab/>
                <w:delText>p-verdien er fr</w:delText>
              </w:r>
              <w:r w:rsidRPr="00193D76">
                <w:rPr>
                  <w:szCs w:val="22"/>
                </w:rPr>
                <w:delText>a den parvise sammenligningen av metotreksat monoterapi og Humira/metotreksat kombinasjonsbehandling med Mann-Whitney U testen.</w:delText>
              </w:r>
            </w:del>
          </w:p>
          <w:p w14:paraId="7FCF3F69" w14:textId="1F45BF45" w:rsidR="00DE3458" w:rsidRPr="002D0790" w:rsidRDefault="00E453CD">
            <w:pPr>
              <w:keepNext/>
              <w:suppressAutoHyphens/>
              <w:rPr>
                <w:del w:id="7005" w:author="AbbVie02no" w:date="2025-05-15T13:45:00Z"/>
                <w:szCs w:val="22"/>
              </w:rPr>
              <w:pPrChange w:id="7006" w:author="AbbVie02no" w:date="2025-05-15T13:45:00Z">
                <w:pPr>
                  <w:pStyle w:val="BodyTextIndent2"/>
                  <w:keepNext/>
                  <w:tabs>
                    <w:tab w:val="left" w:pos="330"/>
                  </w:tabs>
                  <w:ind w:left="330" w:hanging="330"/>
                </w:pPr>
              </w:pPrChange>
            </w:pPr>
            <w:del w:id="7007" w:author="AbbVie02no" w:date="2025-05-15T13:45:00Z">
              <w:r w:rsidRPr="002D0790">
                <w:rPr>
                  <w:szCs w:val="22"/>
                </w:rPr>
                <w:delText>b.</w:delText>
              </w:r>
              <w:r w:rsidRPr="002D0790">
                <w:rPr>
                  <w:szCs w:val="22"/>
                </w:rPr>
                <w:tab/>
                <w:delText>p-verdien er fra den parvise sammenligningen av Humira monoterapi og Humira/metotreksat kombinasjonsbehandling med Mann-Whitney U testen.</w:delText>
              </w:r>
            </w:del>
          </w:p>
          <w:p w14:paraId="4CC0A81D" w14:textId="6E7C943B" w:rsidR="00DE3458" w:rsidRPr="009C5EFD" w:rsidRDefault="00E453CD">
            <w:pPr>
              <w:keepNext/>
              <w:suppressAutoHyphens/>
              <w:rPr>
                <w:del w:id="7008" w:author="AbbVie02no" w:date="2025-05-15T13:45:00Z"/>
                <w:b/>
                <w:sz w:val="22"/>
                <w:szCs w:val="22"/>
              </w:rPr>
              <w:pPrChange w:id="7009" w:author="AbbVie02no" w:date="2025-05-15T13:45:00Z">
                <w:pPr>
                  <w:pStyle w:val="BodyTextIndent"/>
                  <w:keepNext/>
                  <w:ind w:left="330" w:hanging="330"/>
                </w:pPr>
              </w:pPrChange>
            </w:pPr>
            <w:del w:id="7010" w:author="AbbVie02no" w:date="2025-05-15T13:45:00Z">
              <w:r w:rsidRPr="00E14E58">
                <w:rPr>
                  <w:sz w:val="22"/>
                  <w:szCs w:val="22"/>
                </w:rPr>
                <w:delText>c.   p-verdien er fra den parvise sammenligningen av Humira monoterapi og metotreksat monoterapi med Mann-Whitney U testen.</w:delText>
              </w:r>
            </w:del>
          </w:p>
        </w:tc>
      </w:tr>
    </w:tbl>
    <w:p w14:paraId="554BC3F6" w14:textId="512FFAB5" w:rsidR="00DE3458" w:rsidRPr="009C5EFD" w:rsidRDefault="00DE3458">
      <w:pPr>
        <w:keepNext/>
        <w:suppressAutoHyphens/>
        <w:rPr>
          <w:del w:id="7011" w:author="AbbVie02no" w:date="2025-05-15T13:45:00Z"/>
          <w:sz w:val="22"/>
          <w:szCs w:val="22"/>
        </w:rPr>
        <w:pPrChange w:id="7012" w:author="AbbVie02no" w:date="2025-05-15T13:45:00Z">
          <w:pPr>
            <w:ind w:left="54"/>
          </w:pPr>
        </w:pPrChange>
      </w:pPr>
    </w:p>
    <w:p w14:paraId="56A98810" w14:textId="21875D2D" w:rsidR="00635DEA" w:rsidRDefault="00E453CD">
      <w:pPr>
        <w:keepNext/>
        <w:suppressAutoHyphens/>
        <w:rPr>
          <w:del w:id="7013" w:author="AbbVie02no" w:date="2025-05-15T13:45:00Z"/>
          <w:sz w:val="22"/>
          <w:szCs w:val="22"/>
        </w:rPr>
        <w:pPrChange w:id="7014" w:author="AbbVie02no" w:date="2025-05-15T13:45:00Z">
          <w:pPr/>
        </w:pPrChange>
      </w:pPr>
      <w:del w:id="7015" w:author="AbbVie02no" w:date="2025-05-15T13:45:00Z">
        <w:r>
          <w:rPr>
            <w:sz w:val="22"/>
            <w:szCs w:val="22"/>
          </w:rPr>
          <w:delText xml:space="preserve">I den åpne forlengelsesfasen for RA studie V, ble ACR-responsrater vedlikeholdt </w:delText>
        </w:r>
        <w:r w:rsidR="00404321">
          <w:rPr>
            <w:sz w:val="22"/>
            <w:szCs w:val="22"/>
          </w:rPr>
          <w:delText xml:space="preserve">i </w:delText>
        </w:r>
        <w:r>
          <w:rPr>
            <w:sz w:val="22"/>
            <w:szCs w:val="22"/>
          </w:rPr>
          <w:delText>opptil 10 år. Av 542 pasienter randomisert til Humira 40 mg annenhver uke</w:delText>
        </w:r>
        <w:r w:rsidR="00404321">
          <w:rPr>
            <w:sz w:val="22"/>
            <w:szCs w:val="22"/>
          </w:rPr>
          <w:delText>,</w:delText>
        </w:r>
        <w:r>
          <w:rPr>
            <w:sz w:val="22"/>
            <w:szCs w:val="22"/>
          </w:rPr>
          <w:delText xml:space="preserve"> fortsatte 170 </w:delText>
        </w:r>
        <w:r w:rsidR="003B49EC">
          <w:rPr>
            <w:sz w:val="22"/>
            <w:szCs w:val="22"/>
          </w:rPr>
          <w:delText xml:space="preserve">pasienter </w:delText>
        </w:r>
        <w:r w:rsidR="00505F9D">
          <w:rPr>
            <w:sz w:val="22"/>
            <w:szCs w:val="22"/>
          </w:rPr>
          <w:delText>med</w:delText>
        </w:r>
        <w:r>
          <w:rPr>
            <w:sz w:val="22"/>
            <w:szCs w:val="22"/>
          </w:rPr>
          <w:delText xml:space="preserve"> Humira 40 mg annenhver uke i 10 år. Av disse hadde 154 pasienter (90,6 %) ACR </w:delText>
        </w:r>
        <w:r w:rsidR="00EC5A19">
          <w:rPr>
            <w:sz w:val="22"/>
            <w:szCs w:val="22"/>
          </w:rPr>
          <w:delText>20-respons</w:delText>
        </w:r>
        <w:r>
          <w:rPr>
            <w:sz w:val="22"/>
            <w:szCs w:val="22"/>
          </w:rPr>
          <w:delText xml:space="preserve">, 127 pasienter (74,7 %) hadde ACR </w:delText>
        </w:r>
        <w:r w:rsidR="00EC5A19">
          <w:rPr>
            <w:sz w:val="22"/>
            <w:szCs w:val="22"/>
          </w:rPr>
          <w:delText>50-respons</w:delText>
        </w:r>
        <w:r>
          <w:rPr>
            <w:sz w:val="22"/>
            <w:szCs w:val="22"/>
          </w:rPr>
          <w:delText xml:space="preserve"> og 102 pasienter (60,0 %) hadde ACR </w:delText>
        </w:r>
        <w:r w:rsidR="00366B6C">
          <w:rPr>
            <w:sz w:val="22"/>
            <w:szCs w:val="22"/>
          </w:rPr>
          <w:delText>70-respons</w:delText>
        </w:r>
        <w:r>
          <w:rPr>
            <w:sz w:val="22"/>
            <w:szCs w:val="22"/>
          </w:rPr>
          <w:delText>.</w:delText>
        </w:r>
      </w:del>
    </w:p>
    <w:p w14:paraId="40D5A388" w14:textId="610E4922" w:rsidR="00635DEA" w:rsidRDefault="00635DEA">
      <w:pPr>
        <w:keepNext/>
        <w:suppressAutoHyphens/>
        <w:rPr>
          <w:del w:id="7016" w:author="AbbVie02no" w:date="2025-05-15T13:45:00Z"/>
          <w:sz w:val="22"/>
          <w:szCs w:val="22"/>
        </w:rPr>
        <w:pPrChange w:id="7017" w:author="AbbVie02no" w:date="2025-05-15T13:45:00Z">
          <w:pPr/>
        </w:pPrChange>
      </w:pPr>
    </w:p>
    <w:p w14:paraId="5EEF6A73" w14:textId="7A2D8DB0" w:rsidR="00DE3458" w:rsidRPr="009C5EFD" w:rsidRDefault="00E453CD">
      <w:pPr>
        <w:keepNext/>
        <w:suppressAutoHyphens/>
        <w:rPr>
          <w:del w:id="7018" w:author="AbbVie02no" w:date="2025-05-15T13:45:00Z"/>
          <w:sz w:val="22"/>
          <w:szCs w:val="22"/>
        </w:rPr>
        <w:pPrChange w:id="7019" w:author="AbbVie02no" w:date="2025-05-15T13:45:00Z">
          <w:pPr/>
        </w:pPrChange>
      </w:pPr>
      <w:del w:id="7020" w:author="AbbVie02no" w:date="2025-05-15T13:45:00Z">
        <w:r w:rsidRPr="009C5EFD">
          <w:rPr>
            <w:sz w:val="22"/>
            <w:szCs w:val="22"/>
          </w:rPr>
          <w:delText>Ved uke 52 oppnådde 42,9</w:delText>
        </w:r>
        <w:r w:rsidR="00E51AA9" w:rsidRPr="009C5EFD">
          <w:rPr>
            <w:sz w:val="22"/>
            <w:szCs w:val="22"/>
          </w:rPr>
          <w:delText xml:space="preserve"> %</w:delText>
        </w:r>
        <w:r w:rsidRPr="009C5EFD">
          <w:rPr>
            <w:sz w:val="22"/>
            <w:szCs w:val="22"/>
          </w:rPr>
          <w:delText xml:space="preserve"> av pasientene som fikk kombinasjonsbehandling med Humira/metotreksat klinisk remisjon (DAS28 </w:delText>
        </w:r>
        <w:r w:rsidR="00635DEA">
          <w:rPr>
            <w:sz w:val="22"/>
            <w:szCs w:val="22"/>
          </w:rPr>
          <w:delText xml:space="preserve">(CRP) </w:delText>
        </w:r>
        <w:r w:rsidRPr="009C5EFD">
          <w:rPr>
            <w:sz w:val="22"/>
            <w:szCs w:val="22"/>
          </w:rPr>
          <w:delText>&lt; 2,6) sammenlignet med 20,6</w:delText>
        </w:r>
        <w:r w:rsidR="00E51AA9" w:rsidRPr="009C5EFD">
          <w:rPr>
            <w:sz w:val="22"/>
            <w:szCs w:val="22"/>
          </w:rPr>
          <w:delText xml:space="preserve"> %</w:delText>
        </w:r>
        <w:r w:rsidRPr="009C5EFD">
          <w:rPr>
            <w:sz w:val="22"/>
            <w:szCs w:val="22"/>
          </w:rPr>
          <w:delText xml:space="preserve"> av pasientene som fikk metotreksat monoterapi og 23,4</w:delText>
        </w:r>
        <w:r w:rsidR="00E51AA9" w:rsidRPr="009C5EFD">
          <w:rPr>
            <w:sz w:val="22"/>
            <w:szCs w:val="22"/>
          </w:rPr>
          <w:delText xml:space="preserve"> %</w:delText>
        </w:r>
        <w:r w:rsidRPr="009C5EFD">
          <w:rPr>
            <w:sz w:val="22"/>
            <w:szCs w:val="22"/>
          </w:rPr>
          <w:delText xml:space="preserve"> av pasientene som fikk Humira monoterapi. Kombinasjonsbehandling med Humira/metotreksat var klinisk og statistisk bedre enn metotreksat (p &lt; 0,001) og </w:delText>
        </w:r>
        <w:r w:rsidR="0091492E" w:rsidRPr="009C5EFD">
          <w:rPr>
            <w:sz w:val="22"/>
            <w:szCs w:val="22"/>
          </w:rPr>
          <w:delText>Humira</w:delText>
        </w:r>
        <w:r w:rsidR="0076776D" w:rsidRPr="009C5EFD">
          <w:rPr>
            <w:sz w:val="22"/>
            <w:szCs w:val="22"/>
          </w:rPr>
          <w:delText xml:space="preserve"> </w:delText>
        </w:r>
        <w:r w:rsidRPr="009C5EFD">
          <w:rPr>
            <w:sz w:val="22"/>
            <w:szCs w:val="22"/>
          </w:rPr>
          <w:delText>monoterapi (p &lt; 0,001), for å oppnå en l</w:delText>
        </w:r>
        <w:r w:rsidR="0076776D" w:rsidRPr="009C5EFD">
          <w:rPr>
            <w:sz w:val="22"/>
            <w:szCs w:val="22"/>
          </w:rPr>
          <w:delText>ettere</w:delText>
        </w:r>
        <w:r w:rsidRPr="009C5EFD">
          <w:rPr>
            <w:sz w:val="22"/>
            <w:szCs w:val="22"/>
          </w:rPr>
          <w:delText xml:space="preserve"> sykdomstilstand, for pasienter som nylig var diagnostisert med moderat til alvorlig revmatoid artritt. Responsen for de to monoterapiarmene var lik (p = 0,447). </w:delText>
        </w:r>
        <w:r w:rsidR="00635DEA">
          <w:rPr>
            <w:sz w:val="22"/>
            <w:szCs w:val="22"/>
          </w:rPr>
          <w:delText xml:space="preserve">Av 342 pasienter </w:delText>
        </w:r>
        <w:r w:rsidR="000E3D8A">
          <w:rPr>
            <w:sz w:val="22"/>
            <w:szCs w:val="22"/>
          </w:rPr>
          <w:delText xml:space="preserve">opprinnelig </w:delText>
        </w:r>
        <w:r w:rsidR="00635DEA">
          <w:rPr>
            <w:sz w:val="22"/>
            <w:szCs w:val="22"/>
          </w:rPr>
          <w:delText>randomisert til Humira monoterapi eller Humira/metotreksat kombinasjonsbehandling, som ble inkludert i den åpne forlengelsesfasen, fullførte 171 pasienter 10 år med Humira-behandling. Blant disse ble 109 pasienter (63,7 %) rapportert til å være i remisjon etter 10 år.</w:delText>
        </w:r>
      </w:del>
    </w:p>
    <w:p w14:paraId="21D3BA03" w14:textId="40A196E4" w:rsidR="00DE3458" w:rsidRPr="009C5EFD" w:rsidRDefault="00DE3458">
      <w:pPr>
        <w:keepNext/>
        <w:suppressAutoHyphens/>
        <w:rPr>
          <w:del w:id="7021" w:author="AbbVie02no" w:date="2025-05-15T13:45:00Z"/>
          <w:sz w:val="22"/>
          <w:szCs w:val="22"/>
        </w:rPr>
        <w:pPrChange w:id="7022" w:author="AbbVie02no" w:date="2025-05-15T13:45:00Z">
          <w:pPr/>
        </w:pPrChange>
      </w:pPr>
    </w:p>
    <w:p w14:paraId="5293BEB5" w14:textId="0DFEA607" w:rsidR="00DE3458" w:rsidRPr="001F5D4B" w:rsidRDefault="00E453CD">
      <w:pPr>
        <w:keepNext/>
        <w:suppressAutoHyphens/>
        <w:rPr>
          <w:del w:id="7023" w:author="AbbVie02no" w:date="2025-05-15T13:45:00Z"/>
          <w:szCs w:val="22"/>
          <w:u w:val="single"/>
        </w:rPr>
        <w:pPrChange w:id="7024" w:author="AbbVie02no" w:date="2025-05-15T13:45:00Z">
          <w:pPr>
            <w:pStyle w:val="Heading7"/>
          </w:pPr>
        </w:pPrChange>
      </w:pPr>
      <w:del w:id="7025" w:author="AbbVie02no" w:date="2025-05-15T13:45:00Z">
        <w:r>
          <w:rPr>
            <w:noProof/>
            <w:szCs w:val="22"/>
            <w:u w:val="single"/>
            <w:lang w:val="en-GB" w:eastAsia="en-GB"/>
          </w:rPr>
          <mc:AlternateContent>
            <mc:Choice Requires="wps">
              <w:drawing>
                <wp:anchor distT="0" distB="0" distL="114300" distR="114300" simplePos="0" relativeHeight="251658244" behindDoc="0" locked="0" layoutInCell="0" allowOverlap="1" wp14:anchorId="7FD61953" wp14:editId="53966F53">
                  <wp:simplePos x="0" y="0"/>
                  <wp:positionH relativeFrom="column">
                    <wp:posOffset>-1943100</wp:posOffset>
                  </wp:positionH>
                  <wp:positionV relativeFrom="paragraph">
                    <wp:posOffset>67310</wp:posOffset>
                  </wp:positionV>
                  <wp:extent cx="571500" cy="335280"/>
                  <wp:effectExtent l="0" t="0" r="0" b="0"/>
                  <wp:wrapNone/>
                  <wp:docPr id="4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0D9D3" w14:textId="77777777" w:rsidR="001F4B85" w:rsidRDefault="001F4B85">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FD61953" id="Text Box 57" o:spid="_x0000_s1034" type="#_x0000_t202" style="position:absolute;margin-left:-153pt;margin-top:5.3pt;width:45pt;height:26.4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" o:allowincell="f" stroked="f">
                  <v:textbox>
                    <w:txbxContent>
                      <w:p w14:paraId="7470D9D3" w14:textId="77777777" w:rsidR="001F4B85" w:rsidRDefault="001F4B85">
                        <w:pPr>
                          <w:rPr>
                            <w:sz w:val="20"/>
                          </w:rPr>
                        </w:pPr>
                      </w:p>
                    </w:txbxContent>
                  </v:textbox>
                </v:shape>
              </w:pict>
            </mc:Fallback>
          </mc:AlternateContent>
        </w:r>
        <w:r w:rsidR="00DE3458" w:rsidRPr="001F5D4B">
          <w:rPr>
            <w:szCs w:val="22"/>
            <w:u w:val="single"/>
          </w:rPr>
          <w:delText>Radiografisk respons</w:delText>
        </w:r>
      </w:del>
    </w:p>
    <w:p w14:paraId="090819BF" w14:textId="7D340A6B" w:rsidR="00E50355" w:rsidRPr="007F67EE" w:rsidRDefault="00E50355">
      <w:pPr>
        <w:keepNext/>
        <w:suppressAutoHyphens/>
        <w:rPr>
          <w:del w:id="7026" w:author="AbbVie02no" w:date="2025-05-15T13:45:00Z"/>
          <w:sz w:val="22"/>
          <w:szCs w:val="22"/>
        </w:rPr>
        <w:pPrChange w:id="7027" w:author="AbbVie02no" w:date="2025-05-15T13:45:00Z">
          <w:pPr>
            <w:keepNext/>
          </w:pPr>
        </w:pPrChange>
      </w:pPr>
    </w:p>
    <w:p w14:paraId="16D06EC2" w14:textId="037D98BB" w:rsidR="00E50355" w:rsidRPr="009C5EFD" w:rsidRDefault="00E453CD">
      <w:pPr>
        <w:keepNext/>
        <w:suppressAutoHyphens/>
        <w:rPr>
          <w:del w:id="7028" w:author="AbbVie02no" w:date="2025-05-15T13:45:00Z"/>
          <w:sz w:val="22"/>
          <w:szCs w:val="22"/>
        </w:rPr>
        <w:pPrChange w:id="7029" w:author="AbbVie02no" w:date="2025-05-15T13:45:00Z">
          <w:pPr/>
        </w:pPrChange>
      </w:pPr>
      <w:del w:id="7030" w:author="AbbVie02no" w:date="2025-05-15T13:45:00Z">
        <w:r w:rsidRPr="00193D76">
          <w:rPr>
            <w:sz w:val="22"/>
            <w:szCs w:val="22"/>
          </w:rPr>
          <w:delText xml:space="preserve">I RA-studie III, der pasienter </w:delText>
        </w:r>
        <w:r w:rsidRPr="002D0790">
          <w:rPr>
            <w:sz w:val="22"/>
            <w:szCs w:val="22"/>
          </w:rPr>
          <w:delText xml:space="preserve">behandlet med Humira hadde hatt revmatoid artritt i gjennomsnittlig 11 år, ble den strukturelle leddskaden vurdert radiografisk og uttrykt som endringer i den modifiserte Total Sharp Score (TSS) og dens delkomponenter, erosjonsscoren og leddspaltescoren. </w:delText>
        </w:r>
        <w:r w:rsidRPr="002D0790">
          <w:rPr>
            <w:sz w:val="22"/>
            <w:szCs w:val="22"/>
          </w:rPr>
          <w:lastRenderedPageBreak/>
          <w:delText>Humira/</w:delText>
        </w:r>
        <w:r w:rsidR="0091492E" w:rsidRPr="00E14E58">
          <w:rPr>
            <w:sz w:val="22"/>
            <w:szCs w:val="22"/>
          </w:rPr>
          <w:delText>m</w:delText>
        </w:r>
        <w:r w:rsidRPr="009C5EFD">
          <w:rPr>
            <w:sz w:val="22"/>
            <w:szCs w:val="22"/>
          </w:rPr>
          <w:delText xml:space="preserve">etotreksat pasienter viste signifikant mindre radiografisk progresjon enn pasienter som kun fikk metotreksat ved 6 og 12 måneder (se tabell </w:delText>
        </w:r>
        <w:r w:rsidR="008F0D97">
          <w:rPr>
            <w:sz w:val="22"/>
            <w:szCs w:val="22"/>
          </w:rPr>
          <w:delText>10</w:delText>
        </w:r>
        <w:r w:rsidRPr="009C5EFD">
          <w:rPr>
            <w:sz w:val="22"/>
            <w:szCs w:val="22"/>
          </w:rPr>
          <w:delText xml:space="preserve">). </w:delText>
        </w:r>
      </w:del>
    </w:p>
    <w:p w14:paraId="5535CF0F" w14:textId="0458E653" w:rsidR="00E50355" w:rsidRPr="009C5EFD" w:rsidRDefault="00E50355">
      <w:pPr>
        <w:keepNext/>
        <w:suppressAutoHyphens/>
        <w:rPr>
          <w:del w:id="7031" w:author="AbbVie02no" w:date="2025-05-15T13:45:00Z"/>
          <w:sz w:val="22"/>
          <w:szCs w:val="22"/>
        </w:rPr>
        <w:pPrChange w:id="7032" w:author="AbbVie02no" w:date="2025-05-15T13:45:00Z">
          <w:pPr/>
        </w:pPrChange>
      </w:pPr>
    </w:p>
    <w:p w14:paraId="0C555056" w14:textId="44775561" w:rsidR="00DE3458" w:rsidRPr="009C5EFD" w:rsidRDefault="00E453CD">
      <w:pPr>
        <w:keepNext/>
        <w:suppressAutoHyphens/>
        <w:rPr>
          <w:del w:id="7033" w:author="AbbVie02no" w:date="2025-05-15T13:45:00Z"/>
          <w:sz w:val="22"/>
          <w:szCs w:val="22"/>
        </w:rPr>
        <w:pPrChange w:id="7034" w:author="AbbVie02no" w:date="2025-05-15T13:45:00Z">
          <w:pPr/>
        </w:pPrChange>
      </w:pPr>
      <w:del w:id="7035" w:author="AbbVie02no" w:date="2025-05-15T13:45:00Z">
        <w:r w:rsidRPr="009C5EFD">
          <w:rPr>
            <w:sz w:val="22"/>
            <w:szCs w:val="22"/>
          </w:rPr>
          <w:delText>I</w:delText>
        </w:r>
        <w:r w:rsidR="00E50355" w:rsidRPr="009C5EFD">
          <w:rPr>
            <w:sz w:val="22"/>
            <w:szCs w:val="22"/>
          </w:rPr>
          <w:delText xml:space="preserve"> den åpne oppfølgingsstudien </w:delText>
        </w:r>
        <w:r w:rsidRPr="009C5EFD">
          <w:rPr>
            <w:sz w:val="22"/>
            <w:szCs w:val="22"/>
          </w:rPr>
          <w:delText>av RA-studie III opprettholdes</w:delText>
        </w:r>
        <w:r w:rsidR="00E50355" w:rsidRPr="009C5EFD">
          <w:rPr>
            <w:sz w:val="22"/>
            <w:szCs w:val="22"/>
          </w:rPr>
          <w:delText xml:space="preserve"> reduksjonen i progresjonshastighet på strukturell skade hos en gruppe av pasienter i 8 og 10 år. 81 av 207 pasienter opprinnelig behandlet med 40 mg Humira annenhver uke ble radiografisk undersøkt etter 8 år. Blant disse viste 48 pasienter ingen progresjon på strukturell skade, definert ved forandring fra baseline i mTSS på 0,5 eller lavere. 79 av 207 pasienter opprinnelig behandlet med 40 mg Humira annenhver uke ble radiografisk undersøkt etter 10 år. Blant disse viste 40 pasienter ingen progresjon på strukturell skade, definert ved forandring fra baseline i mTSS på 0,5 eller lavere.</w:delText>
        </w:r>
        <w:r w:rsidR="00085BDB" w:rsidRPr="009C5EFD">
          <w:rPr>
            <w:sz w:val="22"/>
            <w:szCs w:val="22"/>
          </w:rPr>
          <w:delText xml:space="preserve"> </w:delText>
        </w:r>
        <w:r w:rsidRPr="009C5EFD">
          <w:rPr>
            <w:sz w:val="22"/>
            <w:szCs w:val="22"/>
          </w:rPr>
          <w:delText xml:space="preserve"> </w:delText>
        </w:r>
      </w:del>
    </w:p>
    <w:p w14:paraId="3FF7BD92" w14:textId="31135696" w:rsidR="009D34A7" w:rsidRPr="009C5EFD" w:rsidRDefault="009D34A7">
      <w:pPr>
        <w:keepNext/>
        <w:suppressAutoHyphens/>
        <w:rPr>
          <w:del w:id="7036" w:author="AbbVie02no" w:date="2025-05-15T13:45:00Z"/>
        </w:rPr>
        <w:pPrChange w:id="7037" w:author="AbbVie02no" w:date="2025-05-15T13:45:00Z">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4644D4" w14:paraId="56380A76" w14:textId="7CA6C70D" w:rsidTr="001F5D4B">
        <w:trPr>
          <w:cantSplit/>
          <w:del w:id="7038" w:author="AbbVie02no" w:date="2025-05-15T13:45:00Z"/>
        </w:trPr>
        <w:tc>
          <w:tcPr>
            <w:tcW w:w="8856" w:type="dxa"/>
            <w:gridSpan w:val="5"/>
            <w:tcBorders>
              <w:top w:val="nil"/>
              <w:left w:val="nil"/>
              <w:bottom w:val="single" w:sz="4" w:space="0" w:color="auto"/>
              <w:right w:val="nil"/>
            </w:tcBorders>
          </w:tcPr>
          <w:p w14:paraId="1E306B13" w14:textId="13DA9214" w:rsidR="00BB4E98" w:rsidRPr="009C5EFD" w:rsidRDefault="00E453CD">
            <w:pPr>
              <w:keepNext/>
              <w:suppressAutoHyphens/>
              <w:rPr>
                <w:del w:id="7039" w:author="AbbVie02no" w:date="2025-05-15T13:45:00Z"/>
                <w:b/>
                <w:bCs/>
              </w:rPr>
              <w:pPrChange w:id="7040" w:author="AbbVie02no" w:date="2025-05-15T13:45:00Z">
                <w:pPr>
                  <w:pStyle w:val="Heading9"/>
                  <w:keepNext/>
                  <w:spacing w:before="0" w:after="0"/>
                  <w:jc w:val="center"/>
                </w:pPr>
              </w:pPrChange>
            </w:pPr>
            <w:del w:id="7041" w:author="AbbVie02no" w:date="2025-05-15T13:45:00Z">
              <w:r w:rsidRPr="009C5EFD">
                <w:rPr>
                  <w:b/>
                  <w:bCs/>
                </w:rPr>
                <w:delText xml:space="preserve">Tabell </w:delText>
              </w:r>
              <w:r w:rsidR="008F0D97">
                <w:rPr>
                  <w:b/>
                  <w:bCs/>
                </w:rPr>
                <w:delText>10</w:delText>
              </w:r>
            </w:del>
          </w:p>
          <w:p w14:paraId="428873FF" w14:textId="2673396A" w:rsidR="00DE3458" w:rsidRPr="009C5EFD" w:rsidRDefault="00E453CD">
            <w:pPr>
              <w:keepNext/>
              <w:suppressAutoHyphens/>
              <w:rPr>
                <w:del w:id="7042" w:author="AbbVie02no" w:date="2025-05-15T13:45:00Z"/>
                <w:b/>
                <w:bCs/>
              </w:rPr>
              <w:pPrChange w:id="7043" w:author="AbbVie02no" w:date="2025-05-15T13:45:00Z">
                <w:pPr>
                  <w:pStyle w:val="Heading9"/>
                  <w:keepNext/>
                  <w:spacing w:before="0" w:after="0"/>
                  <w:jc w:val="center"/>
                </w:pPr>
              </w:pPrChange>
            </w:pPr>
            <w:del w:id="7044" w:author="AbbVie02no" w:date="2025-05-15T13:45:00Z">
              <w:r w:rsidRPr="009C5EFD">
                <w:rPr>
                  <w:b/>
                  <w:bCs/>
                </w:rPr>
                <w:delText>Radiografisk gjennomsnittlig endring over 12 måneder i RA-studie III</w:delText>
              </w:r>
            </w:del>
          </w:p>
          <w:p w14:paraId="07D6CB0B" w14:textId="2D6E545A" w:rsidR="00C17ADC" w:rsidRPr="009C5EFD" w:rsidRDefault="00C17ADC">
            <w:pPr>
              <w:keepNext/>
              <w:suppressAutoHyphens/>
              <w:rPr>
                <w:del w:id="7045" w:author="AbbVie02no" w:date="2025-05-15T13:45:00Z"/>
              </w:rPr>
              <w:pPrChange w:id="7046" w:author="AbbVie02no" w:date="2025-05-15T13:45:00Z">
                <w:pPr/>
              </w:pPrChange>
            </w:pPr>
          </w:p>
        </w:tc>
      </w:tr>
      <w:tr w:rsidR="004644D4" w14:paraId="592D6454" w14:textId="329D5154" w:rsidTr="001F5D4B">
        <w:trPr>
          <w:del w:id="7047" w:author="AbbVie02no" w:date="2025-05-15T13:45:00Z"/>
        </w:trPr>
        <w:tc>
          <w:tcPr>
            <w:tcW w:w="2088" w:type="dxa"/>
            <w:tcBorders>
              <w:top w:val="single" w:sz="4" w:space="0" w:color="auto"/>
            </w:tcBorders>
          </w:tcPr>
          <w:p w14:paraId="3EF623D0" w14:textId="252F2D11" w:rsidR="00DE3458" w:rsidRPr="009C5EFD" w:rsidRDefault="00DE3458">
            <w:pPr>
              <w:keepNext/>
              <w:suppressAutoHyphens/>
              <w:rPr>
                <w:del w:id="7048" w:author="AbbVie02no" w:date="2025-05-15T13:45:00Z"/>
                <w:sz w:val="22"/>
                <w:szCs w:val="22"/>
              </w:rPr>
              <w:pPrChange w:id="7049" w:author="AbbVie02no" w:date="2025-05-15T13:45:00Z">
                <w:pPr>
                  <w:keepNext/>
                  <w:jc w:val="center"/>
                </w:pPr>
              </w:pPrChange>
            </w:pPr>
          </w:p>
        </w:tc>
        <w:tc>
          <w:tcPr>
            <w:tcW w:w="1430" w:type="dxa"/>
            <w:tcBorders>
              <w:top w:val="single" w:sz="4" w:space="0" w:color="auto"/>
            </w:tcBorders>
          </w:tcPr>
          <w:p w14:paraId="03C8BF54" w14:textId="5199D34C" w:rsidR="00DE3458" w:rsidRPr="009C5EFD" w:rsidRDefault="00E453CD">
            <w:pPr>
              <w:keepNext/>
              <w:suppressAutoHyphens/>
              <w:rPr>
                <w:del w:id="7050" w:author="AbbVie02no" w:date="2025-05-15T13:45:00Z"/>
                <w:sz w:val="22"/>
                <w:szCs w:val="22"/>
              </w:rPr>
              <w:pPrChange w:id="7051" w:author="AbbVie02no" w:date="2025-05-15T13:45:00Z">
                <w:pPr>
                  <w:keepNext/>
                </w:pPr>
              </w:pPrChange>
            </w:pPr>
            <w:del w:id="7052" w:author="AbbVie02no" w:date="2025-05-15T13:45:00Z">
              <w:r w:rsidRPr="009C5EFD">
                <w:rPr>
                  <w:sz w:val="22"/>
                  <w:szCs w:val="22"/>
                </w:rPr>
                <w:delText>Placebo/</w:delText>
              </w:r>
            </w:del>
          </w:p>
          <w:p w14:paraId="4760A80C" w14:textId="2B093635" w:rsidR="00DE3458" w:rsidRPr="009C5EFD" w:rsidRDefault="00E453CD">
            <w:pPr>
              <w:keepNext/>
              <w:suppressAutoHyphens/>
              <w:rPr>
                <w:del w:id="7053" w:author="AbbVie02no" w:date="2025-05-15T13:45:00Z"/>
                <w:sz w:val="22"/>
                <w:szCs w:val="22"/>
                <w:vertAlign w:val="superscript"/>
              </w:rPr>
              <w:pPrChange w:id="7054" w:author="AbbVie02no" w:date="2025-05-15T13:45:00Z">
                <w:pPr>
                  <w:keepNext/>
                </w:pPr>
              </w:pPrChange>
            </w:pPr>
            <w:del w:id="7055" w:author="AbbVie02no" w:date="2025-05-15T13:45:00Z">
              <w:r w:rsidRPr="009C5EFD">
                <w:rPr>
                  <w:sz w:val="22"/>
                  <w:szCs w:val="22"/>
                </w:rPr>
                <w:delText>MTX</w:delText>
              </w:r>
              <w:r w:rsidRPr="009C5EFD">
                <w:rPr>
                  <w:sz w:val="22"/>
                  <w:szCs w:val="22"/>
                  <w:vertAlign w:val="superscript"/>
                </w:rPr>
                <w:delText>a</w:delText>
              </w:r>
            </w:del>
          </w:p>
        </w:tc>
        <w:tc>
          <w:tcPr>
            <w:tcW w:w="1790" w:type="dxa"/>
            <w:tcBorders>
              <w:top w:val="single" w:sz="4" w:space="0" w:color="auto"/>
            </w:tcBorders>
          </w:tcPr>
          <w:p w14:paraId="621BA67B" w14:textId="6F6E5E06" w:rsidR="00DE3458" w:rsidRPr="009C5EFD" w:rsidRDefault="00E453CD">
            <w:pPr>
              <w:keepNext/>
              <w:suppressAutoHyphens/>
              <w:rPr>
                <w:del w:id="7056" w:author="AbbVie02no" w:date="2025-05-15T13:45:00Z"/>
                <w:sz w:val="22"/>
                <w:szCs w:val="22"/>
              </w:rPr>
              <w:pPrChange w:id="7057" w:author="AbbVie02no" w:date="2025-05-15T13:45:00Z">
                <w:pPr>
                  <w:keepNext/>
                  <w:jc w:val="center"/>
                </w:pPr>
              </w:pPrChange>
            </w:pPr>
            <w:del w:id="7058" w:author="AbbVie02no" w:date="2025-05-15T13:45:00Z">
              <w:r w:rsidRPr="009C5EFD">
                <w:rPr>
                  <w:sz w:val="22"/>
                  <w:szCs w:val="22"/>
                </w:rPr>
                <w:delText>H</w:delText>
              </w:r>
              <w:r w:rsidR="006C7BDE" w:rsidRPr="009C5EFD">
                <w:rPr>
                  <w:sz w:val="22"/>
                  <w:szCs w:val="22"/>
                </w:rPr>
                <w:delText>umira</w:delText>
              </w:r>
              <w:r w:rsidRPr="009C5EFD">
                <w:rPr>
                  <w:sz w:val="22"/>
                  <w:szCs w:val="22"/>
                </w:rPr>
                <w:delText>/MTX</w:delText>
              </w:r>
            </w:del>
          </w:p>
          <w:p w14:paraId="59CE9985" w14:textId="33BD9D8E" w:rsidR="00DE3458" w:rsidRPr="009C5EFD" w:rsidRDefault="00E453CD">
            <w:pPr>
              <w:keepNext/>
              <w:suppressAutoHyphens/>
              <w:rPr>
                <w:del w:id="7059" w:author="AbbVie02no" w:date="2025-05-15T13:45:00Z"/>
                <w:sz w:val="22"/>
                <w:szCs w:val="22"/>
              </w:rPr>
              <w:pPrChange w:id="7060" w:author="AbbVie02no" w:date="2025-05-15T13:45:00Z">
                <w:pPr>
                  <w:keepNext/>
                  <w:jc w:val="center"/>
                </w:pPr>
              </w:pPrChange>
            </w:pPr>
            <w:del w:id="7061" w:author="AbbVie02no" w:date="2025-05-15T13:45:00Z">
              <w:r w:rsidRPr="009C5EFD">
                <w:rPr>
                  <w:sz w:val="22"/>
                  <w:szCs w:val="22"/>
                </w:rPr>
                <w:delText>40 mg annen</w:delText>
              </w:r>
              <w:r w:rsidR="005D10BA">
                <w:rPr>
                  <w:sz w:val="22"/>
                  <w:szCs w:val="22"/>
                </w:rPr>
                <w:delText>hver</w:delText>
              </w:r>
              <w:r w:rsidRPr="009C5EFD">
                <w:rPr>
                  <w:sz w:val="22"/>
                  <w:szCs w:val="22"/>
                </w:rPr>
                <w:delText xml:space="preserve"> uke </w:delText>
              </w:r>
            </w:del>
          </w:p>
        </w:tc>
        <w:tc>
          <w:tcPr>
            <w:tcW w:w="2000" w:type="dxa"/>
            <w:tcBorders>
              <w:top w:val="single" w:sz="4" w:space="0" w:color="auto"/>
            </w:tcBorders>
          </w:tcPr>
          <w:p w14:paraId="65E45F2D" w14:textId="55258C92" w:rsidR="00DE3458" w:rsidRPr="009C5EFD" w:rsidRDefault="00E453CD">
            <w:pPr>
              <w:keepNext/>
              <w:suppressAutoHyphens/>
              <w:rPr>
                <w:del w:id="7062" w:author="AbbVie02no" w:date="2025-05-15T13:45:00Z"/>
                <w:sz w:val="22"/>
                <w:szCs w:val="22"/>
                <w:lang w:val="sv-SE"/>
              </w:rPr>
              <w:pPrChange w:id="7063" w:author="AbbVie02no" w:date="2025-05-15T13:45:00Z">
                <w:pPr>
                  <w:keepNext/>
                  <w:jc w:val="center"/>
                </w:pPr>
              </w:pPrChange>
            </w:pPr>
            <w:del w:id="7064" w:author="AbbVie02no" w:date="2025-05-15T13:45:00Z">
              <w:r w:rsidRPr="009C5EFD">
                <w:rPr>
                  <w:sz w:val="22"/>
                  <w:szCs w:val="22"/>
                  <w:lang w:val="sv-SE"/>
                </w:rPr>
                <w:delText>Placebo/MTX-H</w:delText>
              </w:r>
              <w:r w:rsidR="006C7BDE" w:rsidRPr="009C5EFD">
                <w:rPr>
                  <w:sz w:val="22"/>
                  <w:szCs w:val="22"/>
                  <w:lang w:val="sv-SE"/>
                </w:rPr>
                <w:delText>umira</w:delText>
              </w:r>
              <w:r w:rsidRPr="009C5EFD">
                <w:rPr>
                  <w:sz w:val="22"/>
                  <w:szCs w:val="22"/>
                  <w:lang w:val="sv-SE"/>
                </w:rPr>
                <w:delText>/MTX (95</w:delText>
              </w:r>
              <w:r w:rsidR="00E51AA9" w:rsidRPr="009C5EFD">
                <w:rPr>
                  <w:sz w:val="22"/>
                  <w:szCs w:val="22"/>
                  <w:lang w:val="sv-SE"/>
                </w:rPr>
                <w:delText xml:space="preserve"> %</w:delText>
              </w:r>
              <w:r w:rsidRPr="009C5EFD">
                <w:rPr>
                  <w:sz w:val="22"/>
                  <w:szCs w:val="22"/>
                  <w:lang w:val="sv-SE"/>
                </w:rPr>
                <w:delText xml:space="preserve"> konfidens intervall</w:delText>
              </w:r>
              <w:r w:rsidRPr="009C5EFD">
                <w:rPr>
                  <w:sz w:val="22"/>
                  <w:szCs w:val="22"/>
                  <w:vertAlign w:val="superscript"/>
                  <w:lang w:val="sv-SE"/>
                </w:rPr>
                <w:delText>b</w:delText>
              </w:r>
              <w:r w:rsidRPr="009C5EFD">
                <w:rPr>
                  <w:sz w:val="22"/>
                  <w:szCs w:val="22"/>
                  <w:lang w:val="sv-SE"/>
                </w:rPr>
                <w:delText>)</w:delText>
              </w:r>
            </w:del>
          </w:p>
        </w:tc>
        <w:tc>
          <w:tcPr>
            <w:tcW w:w="1548" w:type="dxa"/>
            <w:tcBorders>
              <w:top w:val="single" w:sz="4" w:space="0" w:color="auto"/>
            </w:tcBorders>
          </w:tcPr>
          <w:p w14:paraId="052435B7" w14:textId="28DC9DC5" w:rsidR="00DE3458" w:rsidRPr="009C5EFD" w:rsidRDefault="00E453CD">
            <w:pPr>
              <w:keepNext/>
              <w:suppressAutoHyphens/>
              <w:rPr>
                <w:del w:id="7065" w:author="AbbVie02no" w:date="2025-05-15T13:45:00Z"/>
                <w:sz w:val="22"/>
                <w:szCs w:val="22"/>
              </w:rPr>
              <w:pPrChange w:id="7066" w:author="AbbVie02no" w:date="2025-05-15T13:45:00Z">
                <w:pPr>
                  <w:keepNext/>
                  <w:jc w:val="center"/>
                </w:pPr>
              </w:pPrChange>
            </w:pPr>
            <w:del w:id="7067" w:author="AbbVie02no" w:date="2025-05-15T13:45:00Z">
              <w:r w:rsidRPr="009C5EFD">
                <w:rPr>
                  <w:sz w:val="22"/>
                  <w:szCs w:val="22"/>
                </w:rPr>
                <w:delText>p-verdi</w:delText>
              </w:r>
            </w:del>
          </w:p>
        </w:tc>
      </w:tr>
      <w:tr w:rsidR="004644D4" w14:paraId="7DF76E1F" w14:textId="5C56E7CE">
        <w:trPr>
          <w:del w:id="7068" w:author="AbbVie02no" w:date="2025-05-15T13:45:00Z"/>
        </w:trPr>
        <w:tc>
          <w:tcPr>
            <w:tcW w:w="2088" w:type="dxa"/>
          </w:tcPr>
          <w:p w14:paraId="3D6EC2DB" w14:textId="0A60E836" w:rsidR="00DE3458" w:rsidRPr="009C5EFD" w:rsidRDefault="00E453CD">
            <w:pPr>
              <w:keepNext/>
              <w:suppressAutoHyphens/>
              <w:rPr>
                <w:del w:id="7069" w:author="AbbVie02no" w:date="2025-05-15T13:45:00Z"/>
                <w:sz w:val="22"/>
                <w:szCs w:val="22"/>
              </w:rPr>
              <w:pPrChange w:id="7070" w:author="AbbVie02no" w:date="2025-05-15T13:45:00Z">
                <w:pPr>
                  <w:keepNext/>
                  <w:jc w:val="center"/>
                </w:pPr>
              </w:pPrChange>
            </w:pPr>
            <w:del w:id="7071" w:author="AbbVie02no" w:date="2025-05-15T13:45:00Z">
              <w:r w:rsidRPr="009C5EFD">
                <w:rPr>
                  <w:sz w:val="22"/>
                  <w:szCs w:val="22"/>
                </w:rPr>
                <w:delText>Total Sharp Score</w:delText>
              </w:r>
            </w:del>
          </w:p>
        </w:tc>
        <w:tc>
          <w:tcPr>
            <w:tcW w:w="1430" w:type="dxa"/>
          </w:tcPr>
          <w:p w14:paraId="5D362B51" w14:textId="4F5545F4" w:rsidR="00DE3458" w:rsidRPr="009C5EFD" w:rsidRDefault="00E453CD">
            <w:pPr>
              <w:keepNext/>
              <w:suppressAutoHyphens/>
              <w:rPr>
                <w:del w:id="7072" w:author="AbbVie02no" w:date="2025-05-15T13:45:00Z"/>
                <w:sz w:val="22"/>
                <w:szCs w:val="22"/>
              </w:rPr>
              <w:pPrChange w:id="7073" w:author="AbbVie02no" w:date="2025-05-15T13:45:00Z">
                <w:pPr>
                  <w:keepNext/>
                  <w:jc w:val="center"/>
                </w:pPr>
              </w:pPrChange>
            </w:pPr>
            <w:del w:id="7074" w:author="AbbVie02no" w:date="2025-05-15T13:45:00Z">
              <w:r w:rsidRPr="009C5EFD">
                <w:rPr>
                  <w:sz w:val="22"/>
                  <w:szCs w:val="22"/>
                </w:rPr>
                <w:delText>2,7</w:delText>
              </w:r>
            </w:del>
          </w:p>
        </w:tc>
        <w:tc>
          <w:tcPr>
            <w:tcW w:w="1790" w:type="dxa"/>
          </w:tcPr>
          <w:p w14:paraId="0228A184" w14:textId="0B178AD5" w:rsidR="00DE3458" w:rsidRPr="009C5EFD" w:rsidRDefault="00E453CD">
            <w:pPr>
              <w:keepNext/>
              <w:suppressAutoHyphens/>
              <w:rPr>
                <w:del w:id="7075" w:author="AbbVie02no" w:date="2025-05-15T13:45:00Z"/>
                <w:sz w:val="22"/>
                <w:szCs w:val="22"/>
              </w:rPr>
              <w:pPrChange w:id="7076" w:author="AbbVie02no" w:date="2025-05-15T13:45:00Z">
                <w:pPr>
                  <w:keepNext/>
                  <w:jc w:val="center"/>
                </w:pPr>
              </w:pPrChange>
            </w:pPr>
            <w:del w:id="7077" w:author="AbbVie02no" w:date="2025-05-15T13:45:00Z">
              <w:r w:rsidRPr="009C5EFD">
                <w:rPr>
                  <w:sz w:val="22"/>
                  <w:szCs w:val="22"/>
                </w:rPr>
                <w:delText>0,1</w:delText>
              </w:r>
            </w:del>
          </w:p>
        </w:tc>
        <w:tc>
          <w:tcPr>
            <w:tcW w:w="2000" w:type="dxa"/>
          </w:tcPr>
          <w:p w14:paraId="6BC8E552" w14:textId="2784B41A" w:rsidR="00DE3458" w:rsidRPr="009C5EFD" w:rsidRDefault="00E453CD">
            <w:pPr>
              <w:keepNext/>
              <w:suppressAutoHyphens/>
              <w:rPr>
                <w:del w:id="7078" w:author="AbbVie02no" w:date="2025-05-15T13:45:00Z"/>
                <w:sz w:val="22"/>
                <w:szCs w:val="22"/>
              </w:rPr>
              <w:pPrChange w:id="7079" w:author="AbbVie02no" w:date="2025-05-15T13:45:00Z">
                <w:pPr>
                  <w:keepNext/>
                  <w:jc w:val="center"/>
                </w:pPr>
              </w:pPrChange>
            </w:pPr>
            <w:del w:id="7080" w:author="AbbVie02no" w:date="2025-05-15T13:45:00Z">
              <w:r w:rsidRPr="009C5EFD">
                <w:rPr>
                  <w:sz w:val="22"/>
                  <w:szCs w:val="22"/>
                </w:rPr>
                <w:delText xml:space="preserve">2,6 (1,4, 3,8) </w:delText>
              </w:r>
            </w:del>
          </w:p>
        </w:tc>
        <w:tc>
          <w:tcPr>
            <w:tcW w:w="1548" w:type="dxa"/>
          </w:tcPr>
          <w:p w14:paraId="1512669E" w14:textId="76314CA9" w:rsidR="00DE3458" w:rsidRPr="009C5EFD" w:rsidRDefault="00E453CD">
            <w:pPr>
              <w:keepNext/>
              <w:suppressAutoHyphens/>
              <w:rPr>
                <w:del w:id="7081" w:author="AbbVie02no" w:date="2025-05-15T13:45:00Z"/>
                <w:sz w:val="22"/>
                <w:szCs w:val="22"/>
                <w:vertAlign w:val="superscript"/>
              </w:rPr>
              <w:pPrChange w:id="7082" w:author="AbbVie02no" w:date="2025-05-15T13:45:00Z">
                <w:pPr>
                  <w:keepNext/>
                  <w:jc w:val="center"/>
                </w:pPr>
              </w:pPrChange>
            </w:pPr>
            <w:del w:id="7083" w:author="AbbVie02no" w:date="2025-05-15T13:45:00Z">
              <w:r w:rsidRPr="009C5EFD">
                <w:rPr>
                  <w:sz w:val="22"/>
                  <w:szCs w:val="22"/>
                </w:rPr>
                <w:delText>&lt; 0,001</w:delText>
              </w:r>
              <w:r w:rsidRPr="009C5EFD">
                <w:rPr>
                  <w:sz w:val="22"/>
                  <w:szCs w:val="22"/>
                  <w:vertAlign w:val="superscript"/>
                </w:rPr>
                <w:delText>c</w:delText>
              </w:r>
            </w:del>
          </w:p>
        </w:tc>
      </w:tr>
      <w:tr w:rsidR="004644D4" w14:paraId="4EA35A93" w14:textId="1B4CBADA">
        <w:trPr>
          <w:del w:id="7084" w:author="AbbVie02no" w:date="2025-05-15T13:45:00Z"/>
        </w:trPr>
        <w:tc>
          <w:tcPr>
            <w:tcW w:w="2088" w:type="dxa"/>
          </w:tcPr>
          <w:p w14:paraId="18489A58" w14:textId="78897C3E" w:rsidR="00DE3458" w:rsidRPr="009C5EFD" w:rsidRDefault="00E453CD">
            <w:pPr>
              <w:keepNext/>
              <w:suppressAutoHyphens/>
              <w:rPr>
                <w:del w:id="7085" w:author="AbbVie02no" w:date="2025-05-15T13:45:00Z"/>
                <w:sz w:val="22"/>
                <w:szCs w:val="22"/>
              </w:rPr>
              <w:pPrChange w:id="7086" w:author="AbbVie02no" w:date="2025-05-15T13:45:00Z">
                <w:pPr>
                  <w:keepNext/>
                  <w:jc w:val="center"/>
                </w:pPr>
              </w:pPrChange>
            </w:pPr>
            <w:del w:id="7087" w:author="AbbVie02no" w:date="2025-05-15T13:45:00Z">
              <w:r w:rsidRPr="009C5EFD">
                <w:rPr>
                  <w:sz w:val="22"/>
                  <w:szCs w:val="22"/>
                </w:rPr>
                <w:delText>Erosjonsscore</w:delText>
              </w:r>
            </w:del>
          </w:p>
        </w:tc>
        <w:tc>
          <w:tcPr>
            <w:tcW w:w="1430" w:type="dxa"/>
          </w:tcPr>
          <w:p w14:paraId="3455D7D8" w14:textId="67494B82" w:rsidR="00DE3458" w:rsidRPr="009C5EFD" w:rsidRDefault="00E453CD">
            <w:pPr>
              <w:keepNext/>
              <w:suppressAutoHyphens/>
              <w:rPr>
                <w:del w:id="7088" w:author="AbbVie02no" w:date="2025-05-15T13:45:00Z"/>
                <w:sz w:val="22"/>
                <w:szCs w:val="22"/>
              </w:rPr>
              <w:pPrChange w:id="7089" w:author="AbbVie02no" w:date="2025-05-15T13:45:00Z">
                <w:pPr>
                  <w:keepNext/>
                  <w:jc w:val="center"/>
                </w:pPr>
              </w:pPrChange>
            </w:pPr>
            <w:del w:id="7090" w:author="AbbVie02no" w:date="2025-05-15T13:45:00Z">
              <w:r w:rsidRPr="009C5EFD">
                <w:rPr>
                  <w:sz w:val="22"/>
                  <w:szCs w:val="22"/>
                </w:rPr>
                <w:delText>1,6</w:delText>
              </w:r>
            </w:del>
          </w:p>
        </w:tc>
        <w:tc>
          <w:tcPr>
            <w:tcW w:w="1790" w:type="dxa"/>
          </w:tcPr>
          <w:p w14:paraId="5C4643F2" w14:textId="6FB85AEB" w:rsidR="00DE3458" w:rsidRPr="009C5EFD" w:rsidRDefault="00E453CD">
            <w:pPr>
              <w:keepNext/>
              <w:suppressAutoHyphens/>
              <w:rPr>
                <w:del w:id="7091" w:author="AbbVie02no" w:date="2025-05-15T13:45:00Z"/>
                <w:sz w:val="22"/>
                <w:szCs w:val="22"/>
              </w:rPr>
              <w:pPrChange w:id="7092" w:author="AbbVie02no" w:date="2025-05-15T13:45:00Z">
                <w:pPr>
                  <w:keepNext/>
                  <w:jc w:val="center"/>
                </w:pPr>
              </w:pPrChange>
            </w:pPr>
            <w:del w:id="7093" w:author="AbbVie02no" w:date="2025-05-15T13:45:00Z">
              <w:r w:rsidRPr="009C5EFD">
                <w:rPr>
                  <w:sz w:val="22"/>
                  <w:szCs w:val="22"/>
                </w:rPr>
                <w:delText>0,0</w:delText>
              </w:r>
            </w:del>
          </w:p>
        </w:tc>
        <w:tc>
          <w:tcPr>
            <w:tcW w:w="2000" w:type="dxa"/>
          </w:tcPr>
          <w:p w14:paraId="0EA989E3" w14:textId="1A04CC0C" w:rsidR="00DE3458" w:rsidRPr="009C5EFD" w:rsidRDefault="00E453CD">
            <w:pPr>
              <w:keepNext/>
              <w:suppressAutoHyphens/>
              <w:rPr>
                <w:del w:id="7094" w:author="AbbVie02no" w:date="2025-05-15T13:45:00Z"/>
                <w:sz w:val="22"/>
                <w:szCs w:val="22"/>
              </w:rPr>
              <w:pPrChange w:id="7095" w:author="AbbVie02no" w:date="2025-05-15T13:45:00Z">
                <w:pPr>
                  <w:keepNext/>
                  <w:jc w:val="center"/>
                </w:pPr>
              </w:pPrChange>
            </w:pPr>
            <w:del w:id="7096" w:author="AbbVie02no" w:date="2025-05-15T13:45:00Z">
              <w:r w:rsidRPr="009C5EFD">
                <w:rPr>
                  <w:sz w:val="22"/>
                  <w:szCs w:val="22"/>
                </w:rPr>
                <w:delText>1,6 (0,9, 2,2)</w:delText>
              </w:r>
            </w:del>
          </w:p>
        </w:tc>
        <w:tc>
          <w:tcPr>
            <w:tcW w:w="1548" w:type="dxa"/>
          </w:tcPr>
          <w:p w14:paraId="191B7D51" w14:textId="425D95E8" w:rsidR="00DE3458" w:rsidRPr="009C5EFD" w:rsidRDefault="00E453CD">
            <w:pPr>
              <w:keepNext/>
              <w:suppressAutoHyphens/>
              <w:rPr>
                <w:del w:id="7097" w:author="AbbVie02no" w:date="2025-05-15T13:45:00Z"/>
                <w:sz w:val="22"/>
                <w:szCs w:val="22"/>
              </w:rPr>
              <w:pPrChange w:id="7098" w:author="AbbVie02no" w:date="2025-05-15T13:45:00Z">
                <w:pPr>
                  <w:keepNext/>
                  <w:jc w:val="center"/>
                </w:pPr>
              </w:pPrChange>
            </w:pPr>
            <w:del w:id="7099" w:author="AbbVie02no" w:date="2025-05-15T13:45:00Z">
              <w:r w:rsidRPr="009C5EFD">
                <w:rPr>
                  <w:sz w:val="22"/>
                  <w:szCs w:val="22"/>
                </w:rPr>
                <w:delText>&lt; 0,001</w:delText>
              </w:r>
            </w:del>
          </w:p>
        </w:tc>
      </w:tr>
      <w:tr w:rsidR="004644D4" w14:paraId="70DA7CFE" w14:textId="1A801EF1">
        <w:trPr>
          <w:del w:id="7100" w:author="AbbVie02no" w:date="2025-05-15T13:45:00Z"/>
        </w:trPr>
        <w:tc>
          <w:tcPr>
            <w:tcW w:w="2088" w:type="dxa"/>
          </w:tcPr>
          <w:p w14:paraId="6BD6A48C" w14:textId="2C71DBFA" w:rsidR="00DE3458" w:rsidRPr="009C5EFD" w:rsidRDefault="00E453CD">
            <w:pPr>
              <w:keepNext/>
              <w:suppressAutoHyphens/>
              <w:rPr>
                <w:del w:id="7101" w:author="AbbVie02no" w:date="2025-05-15T13:45:00Z"/>
                <w:sz w:val="22"/>
                <w:szCs w:val="22"/>
              </w:rPr>
              <w:pPrChange w:id="7102" w:author="AbbVie02no" w:date="2025-05-15T13:45:00Z">
                <w:pPr>
                  <w:keepNext/>
                  <w:jc w:val="center"/>
                </w:pPr>
              </w:pPrChange>
            </w:pPr>
            <w:del w:id="7103" w:author="AbbVie02no" w:date="2025-05-15T13:45:00Z">
              <w:r w:rsidRPr="009C5EFD">
                <w:rPr>
                  <w:sz w:val="22"/>
                  <w:szCs w:val="22"/>
                </w:rPr>
                <w:delText>JSN</w:delText>
              </w:r>
              <w:r w:rsidRPr="009C5EFD">
                <w:rPr>
                  <w:sz w:val="22"/>
                  <w:szCs w:val="22"/>
                  <w:vertAlign w:val="superscript"/>
                </w:rPr>
                <w:delText>d</w:delText>
              </w:r>
              <w:r w:rsidRPr="009C5EFD">
                <w:rPr>
                  <w:sz w:val="22"/>
                  <w:szCs w:val="22"/>
                </w:rPr>
                <w:delText xml:space="preserve"> score</w:delText>
              </w:r>
            </w:del>
          </w:p>
        </w:tc>
        <w:tc>
          <w:tcPr>
            <w:tcW w:w="1430" w:type="dxa"/>
          </w:tcPr>
          <w:p w14:paraId="24738553" w14:textId="49171978" w:rsidR="00DE3458" w:rsidRPr="009C5EFD" w:rsidRDefault="00E453CD">
            <w:pPr>
              <w:keepNext/>
              <w:suppressAutoHyphens/>
              <w:rPr>
                <w:del w:id="7104" w:author="AbbVie02no" w:date="2025-05-15T13:45:00Z"/>
                <w:sz w:val="22"/>
                <w:szCs w:val="22"/>
              </w:rPr>
              <w:pPrChange w:id="7105" w:author="AbbVie02no" w:date="2025-05-15T13:45:00Z">
                <w:pPr>
                  <w:keepNext/>
                  <w:jc w:val="center"/>
                </w:pPr>
              </w:pPrChange>
            </w:pPr>
            <w:del w:id="7106" w:author="AbbVie02no" w:date="2025-05-15T13:45:00Z">
              <w:r w:rsidRPr="009C5EFD">
                <w:rPr>
                  <w:sz w:val="22"/>
                  <w:szCs w:val="22"/>
                </w:rPr>
                <w:delText>1,0</w:delText>
              </w:r>
            </w:del>
          </w:p>
        </w:tc>
        <w:tc>
          <w:tcPr>
            <w:tcW w:w="1790" w:type="dxa"/>
          </w:tcPr>
          <w:p w14:paraId="7ECE7B5E" w14:textId="20A8F472" w:rsidR="00DE3458" w:rsidRPr="009C5EFD" w:rsidRDefault="00E453CD">
            <w:pPr>
              <w:keepNext/>
              <w:suppressAutoHyphens/>
              <w:rPr>
                <w:del w:id="7107" w:author="AbbVie02no" w:date="2025-05-15T13:45:00Z"/>
                <w:sz w:val="22"/>
                <w:szCs w:val="22"/>
              </w:rPr>
              <w:pPrChange w:id="7108" w:author="AbbVie02no" w:date="2025-05-15T13:45:00Z">
                <w:pPr>
                  <w:keepNext/>
                  <w:jc w:val="center"/>
                </w:pPr>
              </w:pPrChange>
            </w:pPr>
            <w:del w:id="7109" w:author="AbbVie02no" w:date="2025-05-15T13:45:00Z">
              <w:r w:rsidRPr="009C5EFD">
                <w:rPr>
                  <w:sz w:val="22"/>
                  <w:szCs w:val="22"/>
                </w:rPr>
                <w:delText>0,1</w:delText>
              </w:r>
            </w:del>
          </w:p>
        </w:tc>
        <w:tc>
          <w:tcPr>
            <w:tcW w:w="2000" w:type="dxa"/>
          </w:tcPr>
          <w:p w14:paraId="525FCA85" w14:textId="51814A33" w:rsidR="00DE3458" w:rsidRPr="009C5EFD" w:rsidRDefault="00E453CD">
            <w:pPr>
              <w:keepNext/>
              <w:suppressAutoHyphens/>
              <w:rPr>
                <w:del w:id="7110" w:author="AbbVie02no" w:date="2025-05-15T13:45:00Z"/>
                <w:sz w:val="22"/>
                <w:szCs w:val="22"/>
              </w:rPr>
              <w:pPrChange w:id="7111" w:author="AbbVie02no" w:date="2025-05-15T13:45:00Z">
                <w:pPr>
                  <w:keepNext/>
                  <w:jc w:val="center"/>
                </w:pPr>
              </w:pPrChange>
            </w:pPr>
            <w:del w:id="7112" w:author="AbbVie02no" w:date="2025-05-15T13:45:00Z">
              <w:r w:rsidRPr="009C5EFD">
                <w:rPr>
                  <w:sz w:val="22"/>
                  <w:szCs w:val="22"/>
                </w:rPr>
                <w:delText>0,9 (0,3, 1,4)</w:delText>
              </w:r>
            </w:del>
          </w:p>
        </w:tc>
        <w:tc>
          <w:tcPr>
            <w:tcW w:w="1548" w:type="dxa"/>
          </w:tcPr>
          <w:p w14:paraId="3FE93672" w14:textId="2773A4A5" w:rsidR="00DE3458" w:rsidRPr="009C5EFD" w:rsidRDefault="00E453CD">
            <w:pPr>
              <w:keepNext/>
              <w:suppressAutoHyphens/>
              <w:rPr>
                <w:del w:id="7113" w:author="AbbVie02no" w:date="2025-05-15T13:45:00Z"/>
                <w:sz w:val="22"/>
                <w:szCs w:val="22"/>
              </w:rPr>
              <w:pPrChange w:id="7114" w:author="AbbVie02no" w:date="2025-05-15T13:45:00Z">
                <w:pPr>
                  <w:keepNext/>
                  <w:jc w:val="center"/>
                </w:pPr>
              </w:pPrChange>
            </w:pPr>
            <w:del w:id="7115" w:author="AbbVie02no" w:date="2025-05-15T13:45:00Z">
              <w:r w:rsidRPr="009C5EFD">
                <w:rPr>
                  <w:sz w:val="22"/>
                  <w:szCs w:val="22"/>
                </w:rPr>
                <w:delText xml:space="preserve">  0,002</w:delText>
              </w:r>
            </w:del>
          </w:p>
        </w:tc>
      </w:tr>
    </w:tbl>
    <w:p w14:paraId="08FA045A" w14:textId="1E6D4A95" w:rsidR="00DE3458" w:rsidRPr="00193D76" w:rsidRDefault="00E453CD">
      <w:pPr>
        <w:keepNext/>
        <w:suppressAutoHyphens/>
        <w:rPr>
          <w:del w:id="7116" w:author="AbbVie02no" w:date="2025-05-15T13:45:00Z"/>
          <w:sz w:val="22"/>
          <w:szCs w:val="22"/>
        </w:rPr>
        <w:pPrChange w:id="7117" w:author="AbbVie02no" w:date="2025-05-15T13:45:00Z">
          <w:pPr>
            <w:pStyle w:val="In-textfootnote"/>
            <w:spacing w:before="0"/>
          </w:pPr>
        </w:pPrChange>
      </w:pPr>
      <w:del w:id="7118" w:author="AbbVie02no" w:date="2025-05-15T13:45:00Z">
        <w:r w:rsidRPr="007F67EE">
          <w:rPr>
            <w:sz w:val="22"/>
            <w:szCs w:val="22"/>
            <w:vertAlign w:val="superscript"/>
          </w:rPr>
          <w:delText>a</w:delText>
        </w:r>
        <w:r w:rsidRPr="00193D76">
          <w:rPr>
            <w:sz w:val="22"/>
            <w:szCs w:val="22"/>
          </w:rPr>
          <w:delText>metotreksat</w:delText>
        </w:r>
      </w:del>
    </w:p>
    <w:p w14:paraId="7A85AFB5" w14:textId="0BED7CF0" w:rsidR="00DE3458" w:rsidRPr="009C5EFD" w:rsidRDefault="00E453CD">
      <w:pPr>
        <w:keepNext/>
        <w:suppressAutoHyphens/>
        <w:rPr>
          <w:del w:id="7119" w:author="AbbVie02no" w:date="2025-05-15T13:45:00Z"/>
          <w:sz w:val="22"/>
          <w:szCs w:val="22"/>
        </w:rPr>
        <w:pPrChange w:id="7120" w:author="AbbVie02no" w:date="2025-05-15T13:45:00Z">
          <w:pPr>
            <w:pStyle w:val="In-textfootnote"/>
            <w:spacing w:before="0"/>
          </w:pPr>
        </w:pPrChange>
      </w:pPr>
      <w:del w:id="7121" w:author="AbbVie02no" w:date="2025-05-15T13:45:00Z">
        <w:r w:rsidRPr="002D0790">
          <w:rPr>
            <w:sz w:val="22"/>
            <w:szCs w:val="22"/>
            <w:vertAlign w:val="superscript"/>
          </w:rPr>
          <w:delText>b</w:delText>
        </w:r>
        <w:r w:rsidRPr="002D0790">
          <w:rPr>
            <w:sz w:val="22"/>
            <w:szCs w:val="22"/>
          </w:rPr>
          <w:delText>95</w:delText>
        </w:r>
        <w:r w:rsidR="00E51AA9" w:rsidRPr="00E14E58">
          <w:rPr>
            <w:sz w:val="22"/>
            <w:szCs w:val="22"/>
          </w:rPr>
          <w:delText xml:space="preserve"> %</w:delText>
        </w:r>
        <w:r w:rsidRPr="009C5EFD">
          <w:rPr>
            <w:sz w:val="22"/>
            <w:szCs w:val="22"/>
          </w:rPr>
          <w:delText xml:space="preserve"> konfidensintervall for forskjellen i score mellom metotreksat og Humira. </w:delText>
        </w:r>
      </w:del>
    </w:p>
    <w:p w14:paraId="75B2A9BD" w14:textId="6607C730" w:rsidR="00DE3458" w:rsidRPr="009C5EFD" w:rsidRDefault="00E453CD">
      <w:pPr>
        <w:keepNext/>
        <w:suppressAutoHyphens/>
        <w:rPr>
          <w:del w:id="7122" w:author="AbbVie02no" w:date="2025-05-15T13:45:00Z"/>
          <w:sz w:val="22"/>
          <w:szCs w:val="22"/>
        </w:rPr>
        <w:pPrChange w:id="7123" w:author="AbbVie02no" w:date="2025-05-15T13:45:00Z">
          <w:pPr>
            <w:pStyle w:val="In-textfootnote"/>
            <w:spacing w:before="0"/>
          </w:pPr>
        </w:pPrChange>
      </w:pPr>
      <w:del w:id="7124" w:author="AbbVie02no" w:date="2025-05-15T13:45:00Z">
        <w:r w:rsidRPr="009C5EFD">
          <w:rPr>
            <w:sz w:val="22"/>
            <w:szCs w:val="22"/>
            <w:vertAlign w:val="superscript"/>
          </w:rPr>
          <w:delText>c</w:delText>
        </w:r>
        <w:r w:rsidRPr="009C5EFD">
          <w:rPr>
            <w:sz w:val="22"/>
            <w:szCs w:val="22"/>
          </w:rPr>
          <w:delText>Basert på rankanalyse</w:delText>
        </w:r>
      </w:del>
    </w:p>
    <w:p w14:paraId="6226A295" w14:textId="6DB7A8CB" w:rsidR="00DE3458" w:rsidRPr="009C5EFD" w:rsidRDefault="00E453CD">
      <w:pPr>
        <w:keepNext/>
        <w:suppressAutoHyphens/>
        <w:rPr>
          <w:del w:id="7125" w:author="AbbVie02no" w:date="2025-05-15T13:45:00Z"/>
          <w:sz w:val="22"/>
          <w:szCs w:val="22"/>
        </w:rPr>
        <w:pPrChange w:id="7126" w:author="AbbVie02no" w:date="2025-05-15T13:45:00Z">
          <w:pPr/>
        </w:pPrChange>
      </w:pPr>
      <w:del w:id="7127" w:author="AbbVie02no" w:date="2025-05-15T13:45:00Z">
        <w:r w:rsidRPr="009C5EFD">
          <w:rPr>
            <w:sz w:val="22"/>
            <w:szCs w:val="22"/>
            <w:vertAlign w:val="superscript"/>
          </w:rPr>
          <w:delText>d</w:delText>
        </w:r>
        <w:r w:rsidRPr="009C5EFD">
          <w:rPr>
            <w:sz w:val="22"/>
            <w:szCs w:val="22"/>
          </w:rPr>
          <w:delText>Joint Space Narrowing</w:delText>
        </w:r>
      </w:del>
    </w:p>
    <w:p w14:paraId="7F380FC2" w14:textId="39D36710" w:rsidR="002E62EC" w:rsidRPr="009C5EFD" w:rsidRDefault="002E62EC">
      <w:pPr>
        <w:keepNext/>
        <w:suppressAutoHyphens/>
        <w:rPr>
          <w:del w:id="7128" w:author="AbbVie02no" w:date="2025-05-15T13:45:00Z"/>
          <w:sz w:val="22"/>
          <w:szCs w:val="22"/>
        </w:rPr>
        <w:pPrChange w:id="7129" w:author="AbbVie02no" w:date="2025-05-15T13:45:00Z">
          <w:pPr/>
        </w:pPrChange>
      </w:pPr>
    </w:p>
    <w:p w14:paraId="24C17951" w14:textId="6FC885C1" w:rsidR="00DE3458" w:rsidRPr="009C5EFD" w:rsidRDefault="00E453CD">
      <w:pPr>
        <w:keepNext/>
        <w:suppressAutoHyphens/>
        <w:rPr>
          <w:del w:id="7130" w:author="AbbVie02no" w:date="2025-05-15T13:45:00Z"/>
          <w:sz w:val="22"/>
          <w:szCs w:val="22"/>
        </w:rPr>
        <w:pPrChange w:id="7131" w:author="AbbVie02no" w:date="2025-05-15T13:45:00Z">
          <w:pPr/>
        </w:pPrChange>
      </w:pPr>
      <w:del w:id="7132" w:author="AbbVie02no" w:date="2025-05-15T13:45:00Z">
        <w:r w:rsidRPr="009C5EFD">
          <w:rPr>
            <w:sz w:val="22"/>
            <w:szCs w:val="22"/>
          </w:rPr>
          <w:delText xml:space="preserve">I RA-studie V ble strukturell leddskade vurderte radiografisk og uttrykt som en endring </w:delText>
        </w:r>
        <w:r w:rsidR="00235BDE" w:rsidRPr="009C5EFD">
          <w:rPr>
            <w:sz w:val="22"/>
            <w:szCs w:val="22"/>
          </w:rPr>
          <w:delText>i</w:delText>
        </w:r>
        <w:r w:rsidRPr="009C5EFD">
          <w:rPr>
            <w:sz w:val="22"/>
            <w:szCs w:val="22"/>
          </w:rPr>
          <w:delText xml:space="preserve"> modifisert Total Sharp Score (se </w:delText>
        </w:r>
        <w:r w:rsidR="00EF2122" w:rsidRPr="009C5EFD">
          <w:rPr>
            <w:sz w:val="22"/>
            <w:szCs w:val="22"/>
          </w:rPr>
          <w:delText>t</w:delText>
        </w:r>
        <w:r w:rsidRPr="009C5EFD">
          <w:rPr>
            <w:sz w:val="22"/>
            <w:szCs w:val="22"/>
          </w:rPr>
          <w:delText xml:space="preserve">abell </w:delText>
        </w:r>
        <w:r w:rsidR="008F0D97">
          <w:rPr>
            <w:sz w:val="22"/>
            <w:szCs w:val="22"/>
          </w:rPr>
          <w:delText>11</w:delText>
        </w:r>
        <w:r w:rsidRPr="009C5EFD">
          <w:rPr>
            <w:sz w:val="22"/>
            <w:szCs w:val="22"/>
          </w:rPr>
          <w:delText>).</w:delText>
        </w:r>
      </w:del>
    </w:p>
    <w:p w14:paraId="2D57EB5F" w14:textId="7AC03EA9" w:rsidR="00DE3458" w:rsidRPr="009C5EFD" w:rsidRDefault="00DE3458">
      <w:pPr>
        <w:keepNext/>
        <w:suppressAutoHyphens/>
        <w:rPr>
          <w:del w:id="7133" w:author="AbbVie02no" w:date="2025-05-15T13:45:00Z"/>
          <w:sz w:val="22"/>
          <w:szCs w:val="22"/>
        </w:rPr>
        <w:pPrChange w:id="7134" w:author="AbbVie02no" w:date="2025-05-15T13:45:00Z">
          <w:pPr/>
        </w:pPrChange>
      </w:pPr>
    </w:p>
    <w:tbl>
      <w:tblPr>
        <w:tblW w:w="9008" w:type="dxa"/>
        <w:tblInd w:w="64" w:type="dxa"/>
        <w:tblLayout w:type="fixed"/>
        <w:tblLook w:val="0000" w:firstRow="0" w:lastRow="0" w:firstColumn="0" w:lastColumn="0" w:noHBand="0" w:noVBand="0"/>
      </w:tblPr>
      <w:tblGrid>
        <w:gridCol w:w="1429"/>
        <w:gridCol w:w="1484"/>
        <w:gridCol w:w="1559"/>
        <w:gridCol w:w="1560"/>
        <w:gridCol w:w="992"/>
        <w:gridCol w:w="992"/>
        <w:gridCol w:w="992"/>
      </w:tblGrid>
      <w:tr w:rsidR="004644D4" w14:paraId="704D0E43" w14:textId="74CF9201" w:rsidTr="00BA47BC">
        <w:trPr>
          <w:del w:id="7135" w:author="AbbVie02no" w:date="2025-05-15T13:45:00Z"/>
        </w:trPr>
        <w:tc>
          <w:tcPr>
            <w:tcW w:w="9008" w:type="dxa"/>
            <w:gridSpan w:val="7"/>
            <w:tcBorders>
              <w:bottom w:val="single" w:sz="4" w:space="0" w:color="auto"/>
            </w:tcBorders>
          </w:tcPr>
          <w:p w14:paraId="20ED7846" w14:textId="0373D391" w:rsidR="00BB4E98" w:rsidRPr="009C5EFD" w:rsidRDefault="00E453CD">
            <w:pPr>
              <w:keepNext/>
              <w:suppressAutoHyphens/>
              <w:rPr>
                <w:del w:id="7136" w:author="AbbVie02no" w:date="2025-05-15T13:45:00Z"/>
                <w:b/>
                <w:sz w:val="22"/>
                <w:szCs w:val="22"/>
              </w:rPr>
              <w:pPrChange w:id="7137" w:author="AbbVie02no" w:date="2025-05-15T13:45:00Z">
                <w:pPr>
                  <w:pStyle w:val="CommentText"/>
                  <w:keepNext/>
                  <w:tabs>
                    <w:tab w:val="left" w:pos="330"/>
                  </w:tabs>
                  <w:suppressAutoHyphens/>
                  <w:ind w:left="329" w:hanging="329"/>
                  <w:jc w:val="center"/>
                </w:pPr>
              </w:pPrChange>
            </w:pPr>
            <w:del w:id="7138" w:author="AbbVie02no" w:date="2025-05-15T13:45:00Z">
              <w:r w:rsidRPr="009C5EFD">
                <w:rPr>
                  <w:b/>
                  <w:sz w:val="22"/>
                  <w:szCs w:val="22"/>
                </w:rPr>
                <w:delText xml:space="preserve">Tabell </w:delText>
              </w:r>
              <w:r w:rsidR="00875D02">
                <w:rPr>
                  <w:b/>
                  <w:sz w:val="22"/>
                  <w:szCs w:val="22"/>
                </w:rPr>
                <w:delText>1</w:delText>
              </w:r>
              <w:r w:rsidR="008F0D97">
                <w:rPr>
                  <w:b/>
                  <w:sz w:val="22"/>
                  <w:szCs w:val="22"/>
                </w:rPr>
                <w:delText>1</w:delText>
              </w:r>
            </w:del>
          </w:p>
          <w:p w14:paraId="512BEA53" w14:textId="37FF5215" w:rsidR="00DE3458" w:rsidRPr="009C5EFD" w:rsidRDefault="00E453CD">
            <w:pPr>
              <w:keepNext/>
              <w:suppressAutoHyphens/>
              <w:rPr>
                <w:del w:id="7139" w:author="AbbVie02no" w:date="2025-05-15T13:45:00Z"/>
                <w:b/>
                <w:sz w:val="22"/>
                <w:szCs w:val="22"/>
              </w:rPr>
              <w:pPrChange w:id="7140" w:author="AbbVie02no" w:date="2025-05-15T13:45:00Z">
                <w:pPr>
                  <w:pStyle w:val="CommentText"/>
                  <w:keepNext/>
                  <w:tabs>
                    <w:tab w:val="left" w:pos="330"/>
                  </w:tabs>
                  <w:suppressAutoHyphens/>
                  <w:ind w:left="329" w:hanging="329"/>
                  <w:jc w:val="center"/>
                </w:pPr>
              </w:pPrChange>
            </w:pPr>
            <w:del w:id="7141" w:author="AbbVie02no" w:date="2025-05-15T13:45:00Z">
              <w:r w:rsidRPr="009C5EFD">
                <w:rPr>
                  <w:b/>
                  <w:sz w:val="22"/>
                  <w:szCs w:val="22"/>
                </w:rPr>
                <w:delText>Radiografisk gjennomsnittlig endring ved uke 52 i RA-studie V</w:delText>
              </w:r>
            </w:del>
          </w:p>
          <w:p w14:paraId="1CC94447" w14:textId="58FCC99E" w:rsidR="00C17ADC" w:rsidRPr="009C5EFD" w:rsidRDefault="00C17ADC">
            <w:pPr>
              <w:keepNext/>
              <w:suppressAutoHyphens/>
              <w:rPr>
                <w:del w:id="7142" w:author="AbbVie02no" w:date="2025-05-15T13:45:00Z"/>
                <w:b/>
                <w:sz w:val="22"/>
                <w:szCs w:val="22"/>
              </w:rPr>
              <w:pPrChange w:id="7143" w:author="AbbVie02no" w:date="2025-05-15T13:45:00Z">
                <w:pPr>
                  <w:pStyle w:val="CommentText"/>
                  <w:keepNext/>
                  <w:tabs>
                    <w:tab w:val="left" w:pos="330"/>
                  </w:tabs>
                  <w:suppressAutoHyphens/>
                  <w:ind w:left="329" w:hanging="329"/>
                  <w:jc w:val="center"/>
                </w:pPr>
              </w:pPrChange>
            </w:pPr>
          </w:p>
        </w:tc>
      </w:tr>
      <w:tr w:rsidR="004644D4" w14:paraId="240246DA" w14:textId="54CCC45A" w:rsidTr="00BA47BC">
        <w:trPr>
          <w:del w:id="7144" w:author="AbbVie02no" w:date="2025-05-15T13:45:00Z"/>
        </w:trPr>
        <w:tc>
          <w:tcPr>
            <w:tcW w:w="1429" w:type="dxa"/>
            <w:tcBorders>
              <w:top w:val="single" w:sz="4" w:space="0" w:color="auto"/>
              <w:left w:val="single" w:sz="4" w:space="0" w:color="auto"/>
              <w:bottom w:val="single" w:sz="4" w:space="0" w:color="auto"/>
              <w:right w:val="single" w:sz="4" w:space="0" w:color="auto"/>
            </w:tcBorders>
          </w:tcPr>
          <w:p w14:paraId="57292290" w14:textId="5A2127DF" w:rsidR="00DE3458" w:rsidRPr="009C5EFD" w:rsidRDefault="00DE3458">
            <w:pPr>
              <w:keepNext/>
              <w:suppressAutoHyphens/>
              <w:rPr>
                <w:del w:id="7145" w:author="AbbVie02no" w:date="2025-05-15T13:45:00Z"/>
                <w:sz w:val="22"/>
                <w:szCs w:val="22"/>
              </w:rPr>
              <w:pPrChange w:id="7146" w:author="AbbVie02no" w:date="2025-05-15T13:45:00Z">
                <w:pPr/>
              </w:pPrChange>
            </w:pPr>
          </w:p>
        </w:tc>
        <w:tc>
          <w:tcPr>
            <w:tcW w:w="1484" w:type="dxa"/>
            <w:tcBorders>
              <w:top w:val="single" w:sz="4" w:space="0" w:color="auto"/>
              <w:left w:val="single" w:sz="4" w:space="0" w:color="auto"/>
              <w:bottom w:val="single" w:sz="4" w:space="0" w:color="auto"/>
              <w:right w:val="single" w:sz="4" w:space="0" w:color="auto"/>
            </w:tcBorders>
          </w:tcPr>
          <w:p w14:paraId="601FE2D3" w14:textId="3408A047" w:rsidR="00DE3458" w:rsidRPr="009C5EFD" w:rsidRDefault="00E453CD">
            <w:pPr>
              <w:keepNext/>
              <w:suppressAutoHyphens/>
              <w:rPr>
                <w:del w:id="7147" w:author="AbbVie02no" w:date="2025-05-15T13:45:00Z"/>
                <w:sz w:val="22"/>
                <w:szCs w:val="22"/>
              </w:rPr>
              <w:pPrChange w:id="7148" w:author="AbbVie02no" w:date="2025-05-15T13:45:00Z">
                <w:pPr>
                  <w:jc w:val="center"/>
                </w:pPr>
              </w:pPrChange>
            </w:pPr>
            <w:del w:id="7149" w:author="AbbVie02no" w:date="2025-05-15T13:45:00Z">
              <w:r w:rsidRPr="009C5EFD">
                <w:rPr>
                  <w:sz w:val="22"/>
                  <w:szCs w:val="22"/>
                </w:rPr>
                <w:delText>MTX</w:delText>
              </w:r>
            </w:del>
          </w:p>
          <w:p w14:paraId="424DA3CD" w14:textId="0502057B" w:rsidR="00DE3458" w:rsidRPr="009C5EFD" w:rsidRDefault="00E453CD">
            <w:pPr>
              <w:keepNext/>
              <w:suppressAutoHyphens/>
              <w:rPr>
                <w:del w:id="7150" w:author="AbbVie02no" w:date="2025-05-15T13:45:00Z"/>
                <w:sz w:val="22"/>
                <w:szCs w:val="22"/>
              </w:rPr>
              <w:pPrChange w:id="7151" w:author="AbbVie02no" w:date="2025-05-15T13:45:00Z">
                <w:pPr>
                  <w:jc w:val="center"/>
                </w:pPr>
              </w:pPrChange>
            </w:pPr>
            <w:del w:id="7152" w:author="AbbVie02no" w:date="2025-05-15T13:45:00Z">
              <w:r w:rsidRPr="009C5EFD">
                <w:rPr>
                  <w:sz w:val="22"/>
                  <w:szCs w:val="22"/>
                </w:rPr>
                <w:delText>n=257</w:delText>
              </w:r>
            </w:del>
          </w:p>
          <w:p w14:paraId="3791BF92" w14:textId="33095113" w:rsidR="00DE3458" w:rsidRPr="009C5EFD" w:rsidRDefault="00E453CD">
            <w:pPr>
              <w:keepNext/>
              <w:suppressAutoHyphens/>
              <w:rPr>
                <w:del w:id="7153" w:author="AbbVie02no" w:date="2025-05-15T13:45:00Z"/>
                <w:sz w:val="22"/>
                <w:szCs w:val="22"/>
              </w:rPr>
              <w:pPrChange w:id="7154" w:author="AbbVie02no" w:date="2025-05-15T13:45:00Z">
                <w:pPr>
                  <w:jc w:val="center"/>
                </w:pPr>
              </w:pPrChange>
            </w:pPr>
            <w:del w:id="7155" w:author="AbbVie02no" w:date="2025-05-15T13:45:00Z">
              <w:r w:rsidRPr="009C5EFD">
                <w:rPr>
                  <w:sz w:val="22"/>
                  <w:szCs w:val="22"/>
                </w:rPr>
                <w:delText>(95</w:delText>
              </w:r>
              <w:r w:rsidR="00E51AA9" w:rsidRPr="009C5EFD">
                <w:rPr>
                  <w:sz w:val="22"/>
                  <w:szCs w:val="22"/>
                </w:rPr>
                <w:delText xml:space="preserve"> %</w:delText>
              </w:r>
              <w:r w:rsidRPr="009C5EFD">
                <w:rPr>
                  <w:sz w:val="22"/>
                  <w:szCs w:val="22"/>
                </w:rPr>
                <w:delText xml:space="preserve"> </w:delText>
              </w:r>
              <w:r w:rsidR="00D76283" w:rsidRPr="009C5EFD">
                <w:rPr>
                  <w:sz w:val="22"/>
                  <w:szCs w:val="22"/>
                </w:rPr>
                <w:delText>KI</w:delText>
              </w:r>
              <w:r w:rsidRPr="009C5EFD">
                <w:rPr>
                  <w:sz w:val="22"/>
                  <w:szCs w:val="22"/>
                </w:rPr>
                <w:delText>)</w:delText>
              </w:r>
            </w:del>
          </w:p>
        </w:tc>
        <w:tc>
          <w:tcPr>
            <w:tcW w:w="1559" w:type="dxa"/>
            <w:tcBorders>
              <w:top w:val="single" w:sz="4" w:space="0" w:color="auto"/>
              <w:left w:val="single" w:sz="4" w:space="0" w:color="auto"/>
              <w:bottom w:val="single" w:sz="4" w:space="0" w:color="auto"/>
              <w:right w:val="single" w:sz="4" w:space="0" w:color="auto"/>
            </w:tcBorders>
          </w:tcPr>
          <w:p w14:paraId="6D6F248B" w14:textId="235E709E" w:rsidR="00DE3458" w:rsidRPr="009C5EFD" w:rsidRDefault="00E453CD">
            <w:pPr>
              <w:keepNext/>
              <w:suppressAutoHyphens/>
              <w:rPr>
                <w:del w:id="7156" w:author="AbbVie02no" w:date="2025-05-15T13:45:00Z"/>
                <w:sz w:val="22"/>
                <w:szCs w:val="22"/>
              </w:rPr>
              <w:pPrChange w:id="7157" w:author="AbbVie02no" w:date="2025-05-15T13:45:00Z">
                <w:pPr>
                  <w:jc w:val="center"/>
                </w:pPr>
              </w:pPrChange>
            </w:pPr>
            <w:del w:id="7158" w:author="AbbVie02no" w:date="2025-05-15T13:45:00Z">
              <w:r w:rsidRPr="009C5EFD">
                <w:rPr>
                  <w:sz w:val="22"/>
                  <w:szCs w:val="22"/>
                </w:rPr>
                <w:delText>Humira</w:delText>
              </w:r>
            </w:del>
          </w:p>
          <w:p w14:paraId="5BD9E6E6" w14:textId="6B6FB390" w:rsidR="00DE3458" w:rsidRPr="009C5EFD" w:rsidRDefault="00E453CD">
            <w:pPr>
              <w:keepNext/>
              <w:suppressAutoHyphens/>
              <w:rPr>
                <w:del w:id="7159" w:author="AbbVie02no" w:date="2025-05-15T13:45:00Z"/>
                <w:szCs w:val="22"/>
              </w:rPr>
              <w:pPrChange w:id="7160" w:author="AbbVie02no" w:date="2025-05-15T13:45:00Z">
                <w:pPr>
                  <w:pStyle w:val="EMEAFigureTitle"/>
                  <w:jc w:val="center"/>
                </w:pPr>
              </w:pPrChange>
            </w:pPr>
            <w:del w:id="7161" w:author="AbbVie02no" w:date="2025-05-15T13:45:00Z">
              <w:r w:rsidRPr="009C5EFD">
                <w:rPr>
                  <w:szCs w:val="22"/>
                </w:rPr>
                <w:delText>n=274</w:delText>
              </w:r>
            </w:del>
          </w:p>
          <w:p w14:paraId="517BEFE1" w14:textId="42740CEC" w:rsidR="00DE3458" w:rsidRPr="009C5EFD" w:rsidRDefault="00E453CD">
            <w:pPr>
              <w:keepNext/>
              <w:suppressAutoHyphens/>
              <w:rPr>
                <w:del w:id="7162" w:author="AbbVie02no" w:date="2025-05-15T13:45:00Z"/>
                <w:sz w:val="22"/>
                <w:szCs w:val="22"/>
              </w:rPr>
              <w:pPrChange w:id="7163" w:author="AbbVie02no" w:date="2025-05-15T13:45:00Z">
                <w:pPr>
                  <w:jc w:val="center"/>
                </w:pPr>
              </w:pPrChange>
            </w:pPr>
            <w:del w:id="7164" w:author="AbbVie02no" w:date="2025-05-15T13:45:00Z">
              <w:r w:rsidRPr="009C5EFD">
                <w:rPr>
                  <w:sz w:val="22"/>
                  <w:szCs w:val="22"/>
                </w:rPr>
                <w:delText>(95</w:delText>
              </w:r>
              <w:r w:rsidR="00E51AA9" w:rsidRPr="009C5EFD">
                <w:rPr>
                  <w:sz w:val="22"/>
                  <w:szCs w:val="22"/>
                </w:rPr>
                <w:delText xml:space="preserve"> %</w:delText>
              </w:r>
              <w:r w:rsidRPr="009C5EFD">
                <w:rPr>
                  <w:sz w:val="22"/>
                  <w:szCs w:val="22"/>
                </w:rPr>
                <w:delText xml:space="preserve"> </w:delText>
              </w:r>
              <w:r w:rsidR="00D76283" w:rsidRPr="009C5EFD">
                <w:rPr>
                  <w:sz w:val="22"/>
                  <w:szCs w:val="22"/>
                </w:rPr>
                <w:delText>KI</w:delText>
              </w:r>
              <w:r w:rsidRPr="009C5EFD">
                <w:rPr>
                  <w:sz w:val="22"/>
                  <w:szCs w:val="22"/>
                </w:rPr>
                <w:delText>)</w:delText>
              </w:r>
            </w:del>
          </w:p>
        </w:tc>
        <w:tc>
          <w:tcPr>
            <w:tcW w:w="1560" w:type="dxa"/>
            <w:tcBorders>
              <w:top w:val="single" w:sz="4" w:space="0" w:color="auto"/>
              <w:left w:val="single" w:sz="4" w:space="0" w:color="auto"/>
              <w:bottom w:val="single" w:sz="4" w:space="0" w:color="auto"/>
              <w:right w:val="single" w:sz="4" w:space="0" w:color="auto"/>
            </w:tcBorders>
          </w:tcPr>
          <w:p w14:paraId="1AAE5AEA" w14:textId="72657916" w:rsidR="00DE3458" w:rsidRPr="009C5EFD" w:rsidRDefault="00E453CD">
            <w:pPr>
              <w:keepNext/>
              <w:suppressAutoHyphens/>
              <w:rPr>
                <w:del w:id="7165" w:author="AbbVie02no" w:date="2025-05-15T13:45:00Z"/>
                <w:sz w:val="22"/>
                <w:szCs w:val="22"/>
              </w:rPr>
              <w:pPrChange w:id="7166" w:author="AbbVie02no" w:date="2025-05-15T13:45:00Z">
                <w:pPr>
                  <w:jc w:val="center"/>
                </w:pPr>
              </w:pPrChange>
            </w:pPr>
            <w:del w:id="7167" w:author="AbbVie02no" w:date="2025-05-15T13:45:00Z">
              <w:r w:rsidRPr="009C5EFD">
                <w:rPr>
                  <w:sz w:val="22"/>
                  <w:szCs w:val="22"/>
                </w:rPr>
                <w:delText>Humira/MTX</w:delText>
              </w:r>
            </w:del>
          </w:p>
          <w:p w14:paraId="2DE2841F" w14:textId="5F5CE07E" w:rsidR="00DE3458" w:rsidRPr="009C5EFD" w:rsidRDefault="00E453CD">
            <w:pPr>
              <w:keepNext/>
              <w:suppressAutoHyphens/>
              <w:rPr>
                <w:del w:id="7168" w:author="AbbVie02no" w:date="2025-05-15T13:45:00Z"/>
                <w:szCs w:val="22"/>
              </w:rPr>
              <w:pPrChange w:id="7169" w:author="AbbVie02no" w:date="2025-05-15T13:45:00Z">
                <w:pPr>
                  <w:pStyle w:val="EMEAFigureTitle"/>
                  <w:jc w:val="center"/>
                </w:pPr>
              </w:pPrChange>
            </w:pPr>
            <w:del w:id="7170" w:author="AbbVie02no" w:date="2025-05-15T13:45:00Z">
              <w:r w:rsidRPr="009C5EFD">
                <w:rPr>
                  <w:szCs w:val="22"/>
                </w:rPr>
                <w:delText>n=268</w:delText>
              </w:r>
            </w:del>
          </w:p>
          <w:p w14:paraId="65F36D2E" w14:textId="76A88D47" w:rsidR="00DE3458" w:rsidRPr="009C5EFD" w:rsidRDefault="00E453CD">
            <w:pPr>
              <w:keepNext/>
              <w:suppressAutoHyphens/>
              <w:rPr>
                <w:del w:id="7171" w:author="AbbVie02no" w:date="2025-05-15T13:45:00Z"/>
                <w:szCs w:val="22"/>
              </w:rPr>
              <w:pPrChange w:id="7172" w:author="AbbVie02no" w:date="2025-05-15T13:45:00Z">
                <w:pPr>
                  <w:pStyle w:val="EMEANormal"/>
                  <w:jc w:val="center"/>
                </w:pPr>
              </w:pPrChange>
            </w:pPr>
            <w:del w:id="7173" w:author="AbbVie02no" w:date="2025-05-15T13:45:00Z">
              <w:r w:rsidRPr="009C5EFD">
                <w:rPr>
                  <w:szCs w:val="22"/>
                </w:rPr>
                <w:delText>(95</w:delText>
              </w:r>
              <w:r w:rsidR="00E51AA9" w:rsidRPr="009C5EFD">
                <w:rPr>
                  <w:szCs w:val="22"/>
                </w:rPr>
                <w:delText xml:space="preserve"> %</w:delText>
              </w:r>
              <w:r w:rsidRPr="009C5EFD">
                <w:rPr>
                  <w:szCs w:val="22"/>
                </w:rPr>
                <w:delText xml:space="preserve"> </w:delText>
              </w:r>
              <w:r w:rsidR="00D76283" w:rsidRPr="009C5EFD">
                <w:rPr>
                  <w:szCs w:val="22"/>
                </w:rPr>
                <w:delText>KI</w:delText>
              </w:r>
              <w:r w:rsidRPr="009C5EFD">
                <w:rPr>
                  <w:szCs w:val="22"/>
                </w:rPr>
                <w:delText>)</w:delText>
              </w:r>
            </w:del>
          </w:p>
        </w:tc>
        <w:tc>
          <w:tcPr>
            <w:tcW w:w="992" w:type="dxa"/>
            <w:tcBorders>
              <w:top w:val="single" w:sz="4" w:space="0" w:color="auto"/>
              <w:left w:val="single" w:sz="4" w:space="0" w:color="auto"/>
              <w:bottom w:val="single" w:sz="4" w:space="0" w:color="auto"/>
              <w:right w:val="single" w:sz="4" w:space="0" w:color="auto"/>
            </w:tcBorders>
          </w:tcPr>
          <w:p w14:paraId="46B06855" w14:textId="1C88AB69" w:rsidR="00DE3458" w:rsidRPr="009C5EFD" w:rsidRDefault="00E453CD">
            <w:pPr>
              <w:keepNext/>
              <w:suppressAutoHyphens/>
              <w:rPr>
                <w:del w:id="7174" w:author="AbbVie02no" w:date="2025-05-15T13:45:00Z"/>
                <w:szCs w:val="22"/>
              </w:rPr>
              <w:pPrChange w:id="7175" w:author="AbbVie02no" w:date="2025-05-15T13:45:00Z">
                <w:pPr>
                  <w:pStyle w:val="EMEANormal"/>
                  <w:jc w:val="center"/>
                </w:pPr>
              </w:pPrChange>
            </w:pPr>
            <w:del w:id="7176" w:author="AbbVie02no" w:date="2025-05-15T13:45:00Z">
              <w:r w:rsidRPr="009C5EFD">
                <w:rPr>
                  <w:szCs w:val="22"/>
                </w:rPr>
                <w:delText>p-verdi</w:delText>
              </w:r>
              <w:r w:rsidRPr="009C5EFD">
                <w:rPr>
                  <w:szCs w:val="22"/>
                  <w:vertAlign w:val="superscript"/>
                </w:rPr>
                <w:delText>a</w:delText>
              </w:r>
            </w:del>
          </w:p>
        </w:tc>
        <w:tc>
          <w:tcPr>
            <w:tcW w:w="992" w:type="dxa"/>
            <w:tcBorders>
              <w:top w:val="single" w:sz="4" w:space="0" w:color="auto"/>
              <w:left w:val="single" w:sz="4" w:space="0" w:color="auto"/>
              <w:bottom w:val="single" w:sz="4" w:space="0" w:color="auto"/>
              <w:right w:val="single" w:sz="4" w:space="0" w:color="auto"/>
            </w:tcBorders>
          </w:tcPr>
          <w:p w14:paraId="789F70EC" w14:textId="2920DA53" w:rsidR="00DE3458" w:rsidRPr="009C5EFD" w:rsidRDefault="00E453CD">
            <w:pPr>
              <w:keepNext/>
              <w:suppressAutoHyphens/>
              <w:rPr>
                <w:del w:id="7177" w:author="AbbVie02no" w:date="2025-05-15T13:45:00Z"/>
                <w:sz w:val="22"/>
                <w:szCs w:val="22"/>
              </w:rPr>
              <w:pPrChange w:id="7178" w:author="AbbVie02no" w:date="2025-05-15T13:45:00Z">
                <w:pPr>
                  <w:jc w:val="center"/>
                </w:pPr>
              </w:pPrChange>
            </w:pPr>
            <w:del w:id="7179" w:author="AbbVie02no" w:date="2025-05-15T13:45:00Z">
              <w:r w:rsidRPr="009C5EFD">
                <w:rPr>
                  <w:sz w:val="22"/>
                  <w:szCs w:val="22"/>
                </w:rPr>
                <w:delText>p-verdi</w:delText>
              </w:r>
              <w:r w:rsidRPr="009C5EFD">
                <w:rPr>
                  <w:sz w:val="22"/>
                  <w:szCs w:val="22"/>
                  <w:vertAlign w:val="superscript"/>
                </w:rPr>
                <w:delText>b</w:delText>
              </w:r>
            </w:del>
          </w:p>
        </w:tc>
        <w:tc>
          <w:tcPr>
            <w:tcW w:w="992" w:type="dxa"/>
            <w:tcBorders>
              <w:top w:val="single" w:sz="4" w:space="0" w:color="auto"/>
              <w:left w:val="single" w:sz="4" w:space="0" w:color="auto"/>
              <w:bottom w:val="single" w:sz="4" w:space="0" w:color="auto"/>
              <w:right w:val="single" w:sz="4" w:space="0" w:color="auto"/>
            </w:tcBorders>
          </w:tcPr>
          <w:p w14:paraId="17BC0B18" w14:textId="1330DE4C" w:rsidR="00DE3458" w:rsidRPr="009C5EFD" w:rsidRDefault="00E453CD">
            <w:pPr>
              <w:keepNext/>
              <w:suppressAutoHyphens/>
              <w:rPr>
                <w:del w:id="7180" w:author="AbbVie02no" w:date="2025-05-15T13:45:00Z"/>
                <w:sz w:val="22"/>
                <w:szCs w:val="22"/>
              </w:rPr>
              <w:pPrChange w:id="7181" w:author="AbbVie02no" w:date="2025-05-15T13:45:00Z">
                <w:pPr>
                  <w:jc w:val="center"/>
                </w:pPr>
              </w:pPrChange>
            </w:pPr>
            <w:del w:id="7182" w:author="AbbVie02no" w:date="2025-05-15T13:45:00Z">
              <w:r w:rsidRPr="009C5EFD">
                <w:rPr>
                  <w:sz w:val="22"/>
                  <w:szCs w:val="22"/>
                </w:rPr>
                <w:delText>p-verdi</w:delText>
              </w:r>
              <w:r w:rsidRPr="009C5EFD">
                <w:rPr>
                  <w:sz w:val="22"/>
                  <w:szCs w:val="22"/>
                  <w:vertAlign w:val="superscript"/>
                </w:rPr>
                <w:delText>c</w:delText>
              </w:r>
            </w:del>
          </w:p>
        </w:tc>
      </w:tr>
      <w:tr w:rsidR="004644D4" w14:paraId="30442E99" w14:textId="0E496ED7" w:rsidTr="00BA47BC">
        <w:trPr>
          <w:del w:id="7183" w:author="AbbVie02no" w:date="2025-05-15T13:45:00Z"/>
        </w:trPr>
        <w:tc>
          <w:tcPr>
            <w:tcW w:w="1429" w:type="dxa"/>
            <w:tcBorders>
              <w:top w:val="single" w:sz="4" w:space="0" w:color="auto"/>
              <w:left w:val="single" w:sz="4" w:space="0" w:color="auto"/>
              <w:bottom w:val="single" w:sz="4" w:space="0" w:color="auto"/>
              <w:right w:val="single" w:sz="4" w:space="0" w:color="auto"/>
            </w:tcBorders>
          </w:tcPr>
          <w:p w14:paraId="0664D657" w14:textId="5C46608A" w:rsidR="00DE3458" w:rsidRPr="007F67EE" w:rsidRDefault="00E453CD">
            <w:pPr>
              <w:keepNext/>
              <w:suppressAutoHyphens/>
              <w:rPr>
                <w:del w:id="7184" w:author="AbbVie02no" w:date="2025-05-15T13:45:00Z"/>
                <w:szCs w:val="22"/>
              </w:rPr>
              <w:pPrChange w:id="7185" w:author="AbbVie02no" w:date="2025-05-15T13:45:00Z">
                <w:pPr>
                  <w:pStyle w:val="EMEAFigureTitle"/>
                  <w:jc w:val="center"/>
                </w:pPr>
              </w:pPrChange>
            </w:pPr>
            <w:del w:id="7186" w:author="AbbVie02no" w:date="2025-05-15T13:45:00Z">
              <w:r w:rsidRPr="007F67EE">
                <w:rPr>
                  <w:szCs w:val="22"/>
                </w:rPr>
                <w:delText>Total Sharp Score</w:delText>
              </w:r>
            </w:del>
          </w:p>
        </w:tc>
        <w:tc>
          <w:tcPr>
            <w:tcW w:w="1484" w:type="dxa"/>
            <w:tcBorders>
              <w:top w:val="single" w:sz="4" w:space="0" w:color="auto"/>
              <w:left w:val="single" w:sz="4" w:space="0" w:color="auto"/>
              <w:bottom w:val="single" w:sz="4" w:space="0" w:color="auto"/>
              <w:right w:val="single" w:sz="4" w:space="0" w:color="auto"/>
            </w:tcBorders>
          </w:tcPr>
          <w:p w14:paraId="657F8379" w14:textId="7C402273" w:rsidR="00DE3458" w:rsidRPr="00193D76" w:rsidRDefault="00E453CD">
            <w:pPr>
              <w:keepNext/>
              <w:suppressAutoHyphens/>
              <w:rPr>
                <w:del w:id="7187" w:author="AbbVie02no" w:date="2025-05-15T13:45:00Z"/>
                <w:sz w:val="22"/>
                <w:szCs w:val="22"/>
              </w:rPr>
              <w:pPrChange w:id="7188" w:author="AbbVie02no" w:date="2025-05-15T13:45:00Z">
                <w:pPr>
                  <w:jc w:val="center"/>
                </w:pPr>
              </w:pPrChange>
            </w:pPr>
            <w:del w:id="7189" w:author="AbbVie02no" w:date="2025-05-15T13:45:00Z">
              <w:r w:rsidRPr="00193D76">
                <w:rPr>
                  <w:sz w:val="22"/>
                  <w:szCs w:val="22"/>
                </w:rPr>
                <w:delText>5,7 (4,2-7,3)</w:delText>
              </w:r>
            </w:del>
          </w:p>
        </w:tc>
        <w:tc>
          <w:tcPr>
            <w:tcW w:w="1559" w:type="dxa"/>
            <w:tcBorders>
              <w:top w:val="single" w:sz="4" w:space="0" w:color="auto"/>
              <w:left w:val="single" w:sz="4" w:space="0" w:color="auto"/>
              <w:bottom w:val="single" w:sz="4" w:space="0" w:color="auto"/>
              <w:right w:val="single" w:sz="4" w:space="0" w:color="auto"/>
            </w:tcBorders>
          </w:tcPr>
          <w:p w14:paraId="67E397D0" w14:textId="34BE2E74" w:rsidR="00DE3458" w:rsidRPr="002D0790" w:rsidRDefault="00E453CD">
            <w:pPr>
              <w:keepNext/>
              <w:suppressAutoHyphens/>
              <w:rPr>
                <w:del w:id="7190" w:author="AbbVie02no" w:date="2025-05-15T13:45:00Z"/>
                <w:szCs w:val="22"/>
              </w:rPr>
              <w:pPrChange w:id="7191" w:author="AbbVie02no" w:date="2025-05-15T13:45:00Z">
                <w:pPr>
                  <w:pStyle w:val="EndnoteText"/>
                  <w:jc w:val="center"/>
                </w:pPr>
              </w:pPrChange>
            </w:pPr>
            <w:del w:id="7192" w:author="AbbVie02no" w:date="2025-05-15T13:45:00Z">
              <w:r w:rsidRPr="002D0790">
                <w:rPr>
                  <w:szCs w:val="22"/>
                </w:rPr>
                <w:delText>3,0 (1,7-4,3)</w:delText>
              </w:r>
            </w:del>
          </w:p>
        </w:tc>
        <w:tc>
          <w:tcPr>
            <w:tcW w:w="1560" w:type="dxa"/>
            <w:tcBorders>
              <w:top w:val="single" w:sz="4" w:space="0" w:color="auto"/>
              <w:left w:val="single" w:sz="4" w:space="0" w:color="auto"/>
              <w:bottom w:val="single" w:sz="4" w:space="0" w:color="auto"/>
              <w:right w:val="single" w:sz="4" w:space="0" w:color="auto"/>
            </w:tcBorders>
          </w:tcPr>
          <w:p w14:paraId="2144051E" w14:textId="1277BB8B" w:rsidR="00DE3458" w:rsidRPr="002D0790" w:rsidRDefault="00E453CD">
            <w:pPr>
              <w:keepNext/>
              <w:suppressAutoHyphens/>
              <w:rPr>
                <w:del w:id="7193" w:author="AbbVie02no" w:date="2025-05-15T13:45:00Z"/>
                <w:szCs w:val="22"/>
              </w:rPr>
              <w:pPrChange w:id="7194" w:author="AbbVie02no" w:date="2025-05-15T13:45:00Z">
                <w:pPr>
                  <w:pStyle w:val="EndnoteText"/>
                  <w:jc w:val="center"/>
                </w:pPr>
              </w:pPrChange>
            </w:pPr>
            <w:del w:id="7195" w:author="AbbVie02no" w:date="2025-05-15T13:45:00Z">
              <w:r w:rsidRPr="002D0790">
                <w:rPr>
                  <w:szCs w:val="22"/>
                </w:rPr>
                <w:delText>1,3 (0,5-2,1)</w:delText>
              </w:r>
            </w:del>
          </w:p>
        </w:tc>
        <w:tc>
          <w:tcPr>
            <w:tcW w:w="992" w:type="dxa"/>
            <w:tcBorders>
              <w:top w:val="single" w:sz="4" w:space="0" w:color="auto"/>
              <w:left w:val="single" w:sz="4" w:space="0" w:color="auto"/>
              <w:bottom w:val="single" w:sz="4" w:space="0" w:color="auto"/>
              <w:right w:val="single" w:sz="4" w:space="0" w:color="auto"/>
            </w:tcBorders>
          </w:tcPr>
          <w:p w14:paraId="498521B8" w14:textId="5C412BB2" w:rsidR="00DE3458" w:rsidRPr="00E14E58" w:rsidRDefault="00E453CD">
            <w:pPr>
              <w:keepNext/>
              <w:suppressAutoHyphens/>
              <w:rPr>
                <w:del w:id="7196" w:author="AbbVie02no" w:date="2025-05-15T13:45:00Z"/>
                <w:szCs w:val="22"/>
              </w:rPr>
              <w:pPrChange w:id="7197" w:author="AbbVie02no" w:date="2025-05-15T13:45:00Z">
                <w:pPr>
                  <w:pStyle w:val="EndnoteText"/>
                  <w:jc w:val="center"/>
                </w:pPr>
              </w:pPrChange>
            </w:pPr>
            <w:del w:id="7198" w:author="AbbVie02no" w:date="2025-05-15T13:45:00Z">
              <w:r w:rsidRPr="00E14E58">
                <w:rPr>
                  <w:szCs w:val="22"/>
                </w:rPr>
                <w:delText>&lt; 0,001</w:delText>
              </w:r>
            </w:del>
          </w:p>
        </w:tc>
        <w:tc>
          <w:tcPr>
            <w:tcW w:w="992" w:type="dxa"/>
            <w:tcBorders>
              <w:top w:val="single" w:sz="4" w:space="0" w:color="auto"/>
              <w:left w:val="single" w:sz="4" w:space="0" w:color="auto"/>
              <w:bottom w:val="single" w:sz="4" w:space="0" w:color="auto"/>
              <w:right w:val="single" w:sz="4" w:space="0" w:color="auto"/>
            </w:tcBorders>
          </w:tcPr>
          <w:p w14:paraId="136B772C" w14:textId="7760967F" w:rsidR="00DE3458" w:rsidRPr="009C5EFD" w:rsidRDefault="00E453CD">
            <w:pPr>
              <w:keepNext/>
              <w:suppressAutoHyphens/>
              <w:rPr>
                <w:del w:id="7199" w:author="AbbVie02no" w:date="2025-05-15T13:45:00Z"/>
                <w:sz w:val="22"/>
                <w:szCs w:val="22"/>
              </w:rPr>
              <w:pPrChange w:id="7200" w:author="AbbVie02no" w:date="2025-05-15T13:45:00Z">
                <w:pPr>
                  <w:jc w:val="center"/>
                </w:pPr>
              </w:pPrChange>
            </w:pPr>
            <w:del w:id="7201" w:author="AbbVie02no" w:date="2025-05-15T13:45:00Z">
              <w:r w:rsidRPr="009C5EFD">
                <w:rPr>
                  <w:sz w:val="22"/>
                  <w:szCs w:val="22"/>
                </w:rPr>
                <w:delText>0,0020</w:delText>
              </w:r>
            </w:del>
          </w:p>
        </w:tc>
        <w:tc>
          <w:tcPr>
            <w:tcW w:w="992" w:type="dxa"/>
            <w:tcBorders>
              <w:top w:val="single" w:sz="4" w:space="0" w:color="auto"/>
              <w:left w:val="single" w:sz="4" w:space="0" w:color="auto"/>
              <w:bottom w:val="single" w:sz="4" w:space="0" w:color="auto"/>
              <w:right w:val="single" w:sz="4" w:space="0" w:color="auto"/>
            </w:tcBorders>
          </w:tcPr>
          <w:p w14:paraId="1CC798F8" w14:textId="2B3E40D1" w:rsidR="00DE3458" w:rsidRPr="009C5EFD" w:rsidRDefault="00E453CD">
            <w:pPr>
              <w:keepNext/>
              <w:suppressAutoHyphens/>
              <w:rPr>
                <w:del w:id="7202" w:author="AbbVie02no" w:date="2025-05-15T13:45:00Z"/>
                <w:sz w:val="22"/>
                <w:szCs w:val="22"/>
              </w:rPr>
              <w:pPrChange w:id="7203" w:author="AbbVie02no" w:date="2025-05-15T13:45:00Z">
                <w:pPr>
                  <w:jc w:val="center"/>
                </w:pPr>
              </w:pPrChange>
            </w:pPr>
            <w:del w:id="7204" w:author="AbbVie02no" w:date="2025-05-15T13:45:00Z">
              <w:r w:rsidRPr="009C5EFD">
                <w:rPr>
                  <w:sz w:val="22"/>
                  <w:szCs w:val="22"/>
                </w:rPr>
                <w:delText>&lt; 0,001</w:delText>
              </w:r>
            </w:del>
          </w:p>
        </w:tc>
      </w:tr>
      <w:tr w:rsidR="004644D4" w14:paraId="320555B8" w14:textId="13700CF2" w:rsidTr="00BA47BC">
        <w:trPr>
          <w:del w:id="7205" w:author="AbbVie02no" w:date="2025-05-15T13:45:00Z"/>
        </w:trPr>
        <w:tc>
          <w:tcPr>
            <w:tcW w:w="1429" w:type="dxa"/>
            <w:tcBorders>
              <w:top w:val="single" w:sz="4" w:space="0" w:color="auto"/>
              <w:left w:val="single" w:sz="4" w:space="0" w:color="auto"/>
              <w:bottom w:val="single" w:sz="4" w:space="0" w:color="auto"/>
              <w:right w:val="single" w:sz="4" w:space="0" w:color="auto"/>
            </w:tcBorders>
          </w:tcPr>
          <w:p w14:paraId="42BC6884" w14:textId="268CD349" w:rsidR="00DE3458" w:rsidRPr="009C5EFD" w:rsidRDefault="00E453CD">
            <w:pPr>
              <w:keepNext/>
              <w:suppressAutoHyphens/>
              <w:rPr>
                <w:del w:id="7206" w:author="AbbVie02no" w:date="2025-05-15T13:45:00Z"/>
                <w:sz w:val="22"/>
                <w:szCs w:val="22"/>
              </w:rPr>
              <w:pPrChange w:id="7207" w:author="AbbVie02no" w:date="2025-05-15T13:45:00Z">
                <w:pPr>
                  <w:jc w:val="center"/>
                </w:pPr>
              </w:pPrChange>
            </w:pPr>
            <w:del w:id="7208" w:author="AbbVie02no" w:date="2025-05-15T13:45:00Z">
              <w:r w:rsidRPr="009C5EFD">
                <w:rPr>
                  <w:sz w:val="22"/>
                  <w:szCs w:val="22"/>
                </w:rPr>
                <w:delText>Erosjons score</w:delText>
              </w:r>
            </w:del>
          </w:p>
        </w:tc>
        <w:tc>
          <w:tcPr>
            <w:tcW w:w="1484" w:type="dxa"/>
            <w:tcBorders>
              <w:top w:val="single" w:sz="4" w:space="0" w:color="auto"/>
              <w:left w:val="single" w:sz="4" w:space="0" w:color="auto"/>
              <w:bottom w:val="single" w:sz="4" w:space="0" w:color="auto"/>
              <w:right w:val="single" w:sz="4" w:space="0" w:color="auto"/>
            </w:tcBorders>
          </w:tcPr>
          <w:p w14:paraId="51026DFD" w14:textId="1EE3A3D8" w:rsidR="00DE3458" w:rsidRPr="009C5EFD" w:rsidRDefault="00E453CD">
            <w:pPr>
              <w:keepNext/>
              <w:suppressAutoHyphens/>
              <w:rPr>
                <w:del w:id="7209" w:author="AbbVie02no" w:date="2025-05-15T13:45:00Z"/>
                <w:sz w:val="22"/>
                <w:szCs w:val="22"/>
              </w:rPr>
              <w:pPrChange w:id="7210" w:author="AbbVie02no" w:date="2025-05-15T13:45:00Z">
                <w:pPr>
                  <w:jc w:val="center"/>
                </w:pPr>
              </w:pPrChange>
            </w:pPr>
            <w:del w:id="7211" w:author="AbbVie02no" w:date="2025-05-15T13:45:00Z">
              <w:r w:rsidRPr="009C5EFD">
                <w:rPr>
                  <w:sz w:val="22"/>
                  <w:szCs w:val="22"/>
                </w:rPr>
                <w:delText>3,7 (2,7-4,7)</w:delText>
              </w:r>
            </w:del>
          </w:p>
        </w:tc>
        <w:tc>
          <w:tcPr>
            <w:tcW w:w="1559" w:type="dxa"/>
            <w:tcBorders>
              <w:top w:val="single" w:sz="4" w:space="0" w:color="auto"/>
              <w:left w:val="single" w:sz="4" w:space="0" w:color="auto"/>
              <w:bottom w:val="single" w:sz="4" w:space="0" w:color="auto"/>
              <w:right w:val="single" w:sz="4" w:space="0" w:color="auto"/>
            </w:tcBorders>
          </w:tcPr>
          <w:p w14:paraId="65425B2C" w14:textId="1BB494B9" w:rsidR="00DE3458" w:rsidRPr="009C5EFD" w:rsidRDefault="00E453CD">
            <w:pPr>
              <w:keepNext/>
              <w:suppressAutoHyphens/>
              <w:rPr>
                <w:del w:id="7212" w:author="AbbVie02no" w:date="2025-05-15T13:45:00Z"/>
                <w:sz w:val="22"/>
                <w:szCs w:val="22"/>
              </w:rPr>
              <w:pPrChange w:id="7213" w:author="AbbVie02no" w:date="2025-05-15T13:45:00Z">
                <w:pPr>
                  <w:jc w:val="center"/>
                </w:pPr>
              </w:pPrChange>
            </w:pPr>
            <w:del w:id="7214" w:author="AbbVie02no" w:date="2025-05-15T13:45:00Z">
              <w:r w:rsidRPr="009C5EFD">
                <w:rPr>
                  <w:sz w:val="22"/>
                  <w:szCs w:val="22"/>
                </w:rPr>
                <w:delText>1,7 (1,0-2,4)</w:delText>
              </w:r>
            </w:del>
          </w:p>
        </w:tc>
        <w:tc>
          <w:tcPr>
            <w:tcW w:w="1560" w:type="dxa"/>
            <w:tcBorders>
              <w:top w:val="single" w:sz="4" w:space="0" w:color="auto"/>
              <w:left w:val="single" w:sz="4" w:space="0" w:color="auto"/>
              <w:bottom w:val="single" w:sz="4" w:space="0" w:color="auto"/>
              <w:right w:val="single" w:sz="4" w:space="0" w:color="auto"/>
            </w:tcBorders>
          </w:tcPr>
          <w:p w14:paraId="3DB0A623" w14:textId="7729B866" w:rsidR="00DE3458" w:rsidRPr="009C5EFD" w:rsidRDefault="00E453CD">
            <w:pPr>
              <w:keepNext/>
              <w:suppressAutoHyphens/>
              <w:rPr>
                <w:del w:id="7215" w:author="AbbVie02no" w:date="2025-05-15T13:45:00Z"/>
                <w:sz w:val="22"/>
                <w:szCs w:val="22"/>
              </w:rPr>
              <w:pPrChange w:id="7216" w:author="AbbVie02no" w:date="2025-05-15T13:45:00Z">
                <w:pPr>
                  <w:jc w:val="center"/>
                </w:pPr>
              </w:pPrChange>
            </w:pPr>
            <w:del w:id="7217" w:author="AbbVie02no" w:date="2025-05-15T13:45:00Z">
              <w:r w:rsidRPr="009C5EFD">
                <w:rPr>
                  <w:sz w:val="22"/>
                  <w:szCs w:val="22"/>
                </w:rPr>
                <w:delText>0,8 (0,4-1,2)</w:delText>
              </w:r>
            </w:del>
          </w:p>
        </w:tc>
        <w:tc>
          <w:tcPr>
            <w:tcW w:w="992" w:type="dxa"/>
            <w:tcBorders>
              <w:top w:val="single" w:sz="4" w:space="0" w:color="auto"/>
              <w:left w:val="single" w:sz="4" w:space="0" w:color="auto"/>
              <w:bottom w:val="single" w:sz="4" w:space="0" w:color="auto"/>
              <w:right w:val="single" w:sz="4" w:space="0" w:color="auto"/>
            </w:tcBorders>
          </w:tcPr>
          <w:p w14:paraId="3CE26FEC" w14:textId="49A4CB8E" w:rsidR="00DE3458" w:rsidRPr="009C5EFD" w:rsidRDefault="00E453CD">
            <w:pPr>
              <w:keepNext/>
              <w:suppressAutoHyphens/>
              <w:rPr>
                <w:del w:id="7218" w:author="AbbVie02no" w:date="2025-05-15T13:45:00Z"/>
                <w:sz w:val="22"/>
                <w:szCs w:val="22"/>
              </w:rPr>
              <w:pPrChange w:id="7219" w:author="AbbVie02no" w:date="2025-05-15T13:45:00Z">
                <w:pPr>
                  <w:jc w:val="center"/>
                </w:pPr>
              </w:pPrChange>
            </w:pPr>
            <w:del w:id="7220" w:author="AbbVie02no" w:date="2025-05-15T13:45:00Z">
              <w:r w:rsidRPr="009C5EFD">
                <w:rPr>
                  <w:sz w:val="22"/>
                  <w:szCs w:val="22"/>
                </w:rPr>
                <w:delText>&lt; 0,001</w:delText>
              </w:r>
            </w:del>
          </w:p>
        </w:tc>
        <w:tc>
          <w:tcPr>
            <w:tcW w:w="992" w:type="dxa"/>
            <w:tcBorders>
              <w:top w:val="single" w:sz="4" w:space="0" w:color="auto"/>
              <w:left w:val="single" w:sz="4" w:space="0" w:color="auto"/>
              <w:bottom w:val="single" w:sz="4" w:space="0" w:color="auto"/>
              <w:right w:val="single" w:sz="4" w:space="0" w:color="auto"/>
            </w:tcBorders>
          </w:tcPr>
          <w:p w14:paraId="55EC7717" w14:textId="777DB4D8" w:rsidR="00DE3458" w:rsidRPr="009C5EFD" w:rsidRDefault="00E453CD">
            <w:pPr>
              <w:keepNext/>
              <w:suppressAutoHyphens/>
              <w:rPr>
                <w:del w:id="7221" w:author="AbbVie02no" w:date="2025-05-15T13:45:00Z"/>
                <w:sz w:val="22"/>
                <w:szCs w:val="22"/>
              </w:rPr>
              <w:pPrChange w:id="7222" w:author="AbbVie02no" w:date="2025-05-15T13:45:00Z">
                <w:pPr>
                  <w:jc w:val="center"/>
                </w:pPr>
              </w:pPrChange>
            </w:pPr>
            <w:del w:id="7223" w:author="AbbVie02no" w:date="2025-05-15T13:45:00Z">
              <w:r w:rsidRPr="009C5EFD">
                <w:rPr>
                  <w:sz w:val="22"/>
                  <w:szCs w:val="22"/>
                </w:rPr>
                <w:delText>0,0082</w:delText>
              </w:r>
            </w:del>
          </w:p>
        </w:tc>
        <w:tc>
          <w:tcPr>
            <w:tcW w:w="992" w:type="dxa"/>
            <w:tcBorders>
              <w:top w:val="single" w:sz="4" w:space="0" w:color="auto"/>
              <w:left w:val="single" w:sz="4" w:space="0" w:color="auto"/>
              <w:bottom w:val="single" w:sz="4" w:space="0" w:color="auto"/>
              <w:right w:val="single" w:sz="4" w:space="0" w:color="auto"/>
            </w:tcBorders>
          </w:tcPr>
          <w:p w14:paraId="6BA19CB2" w14:textId="23B5E071" w:rsidR="00DE3458" w:rsidRPr="009C5EFD" w:rsidRDefault="00E453CD">
            <w:pPr>
              <w:keepNext/>
              <w:suppressAutoHyphens/>
              <w:rPr>
                <w:del w:id="7224" w:author="AbbVie02no" w:date="2025-05-15T13:45:00Z"/>
                <w:sz w:val="22"/>
                <w:szCs w:val="22"/>
              </w:rPr>
              <w:pPrChange w:id="7225" w:author="AbbVie02no" w:date="2025-05-15T13:45:00Z">
                <w:pPr>
                  <w:jc w:val="center"/>
                </w:pPr>
              </w:pPrChange>
            </w:pPr>
            <w:del w:id="7226" w:author="AbbVie02no" w:date="2025-05-15T13:45:00Z">
              <w:r w:rsidRPr="009C5EFD">
                <w:rPr>
                  <w:sz w:val="22"/>
                  <w:szCs w:val="22"/>
                </w:rPr>
                <w:delText>&lt; 0,001</w:delText>
              </w:r>
            </w:del>
          </w:p>
        </w:tc>
      </w:tr>
      <w:tr w:rsidR="004644D4" w14:paraId="7962F174" w14:textId="6DF18014" w:rsidTr="00BA47BC">
        <w:trPr>
          <w:del w:id="7227" w:author="AbbVie02no" w:date="2025-05-15T13:45:00Z"/>
        </w:trPr>
        <w:tc>
          <w:tcPr>
            <w:tcW w:w="1429" w:type="dxa"/>
            <w:tcBorders>
              <w:top w:val="single" w:sz="4" w:space="0" w:color="auto"/>
              <w:left w:val="single" w:sz="4" w:space="0" w:color="auto"/>
              <w:bottom w:val="single" w:sz="4" w:space="0" w:color="auto"/>
              <w:right w:val="single" w:sz="4" w:space="0" w:color="auto"/>
            </w:tcBorders>
          </w:tcPr>
          <w:p w14:paraId="11B653D4" w14:textId="3098B2AC" w:rsidR="00DE3458" w:rsidRPr="009C5EFD" w:rsidRDefault="00E453CD">
            <w:pPr>
              <w:keepNext/>
              <w:suppressAutoHyphens/>
              <w:rPr>
                <w:del w:id="7228" w:author="AbbVie02no" w:date="2025-05-15T13:45:00Z"/>
                <w:sz w:val="22"/>
                <w:szCs w:val="22"/>
              </w:rPr>
              <w:pPrChange w:id="7229" w:author="AbbVie02no" w:date="2025-05-15T13:45:00Z">
                <w:pPr>
                  <w:jc w:val="center"/>
                </w:pPr>
              </w:pPrChange>
            </w:pPr>
            <w:del w:id="7230" w:author="AbbVie02no" w:date="2025-05-15T13:45:00Z">
              <w:r w:rsidRPr="009C5EFD">
                <w:rPr>
                  <w:sz w:val="22"/>
                  <w:szCs w:val="22"/>
                </w:rPr>
                <w:delText>JSN score</w:delText>
              </w:r>
            </w:del>
          </w:p>
        </w:tc>
        <w:tc>
          <w:tcPr>
            <w:tcW w:w="1484" w:type="dxa"/>
            <w:tcBorders>
              <w:top w:val="single" w:sz="4" w:space="0" w:color="auto"/>
              <w:left w:val="single" w:sz="4" w:space="0" w:color="auto"/>
              <w:bottom w:val="single" w:sz="4" w:space="0" w:color="auto"/>
              <w:right w:val="single" w:sz="4" w:space="0" w:color="auto"/>
            </w:tcBorders>
          </w:tcPr>
          <w:p w14:paraId="1ABAB9A5" w14:textId="657FA033" w:rsidR="00DE3458" w:rsidRPr="009C5EFD" w:rsidRDefault="00E453CD">
            <w:pPr>
              <w:keepNext/>
              <w:suppressAutoHyphens/>
              <w:rPr>
                <w:del w:id="7231" w:author="AbbVie02no" w:date="2025-05-15T13:45:00Z"/>
                <w:sz w:val="22"/>
                <w:szCs w:val="22"/>
              </w:rPr>
              <w:pPrChange w:id="7232" w:author="AbbVie02no" w:date="2025-05-15T13:45:00Z">
                <w:pPr>
                  <w:jc w:val="center"/>
                </w:pPr>
              </w:pPrChange>
            </w:pPr>
            <w:del w:id="7233" w:author="AbbVie02no" w:date="2025-05-15T13:45:00Z">
              <w:r w:rsidRPr="009C5EFD">
                <w:rPr>
                  <w:sz w:val="22"/>
                  <w:szCs w:val="22"/>
                </w:rPr>
                <w:delText>2,0 (1,2-2,8)</w:delText>
              </w:r>
            </w:del>
          </w:p>
        </w:tc>
        <w:tc>
          <w:tcPr>
            <w:tcW w:w="1559" w:type="dxa"/>
            <w:tcBorders>
              <w:top w:val="single" w:sz="4" w:space="0" w:color="auto"/>
              <w:left w:val="single" w:sz="4" w:space="0" w:color="auto"/>
              <w:bottom w:val="single" w:sz="4" w:space="0" w:color="auto"/>
              <w:right w:val="single" w:sz="4" w:space="0" w:color="auto"/>
            </w:tcBorders>
          </w:tcPr>
          <w:p w14:paraId="0870A950" w14:textId="4C3E0CA4" w:rsidR="00DE3458" w:rsidRPr="009C5EFD" w:rsidRDefault="00E453CD">
            <w:pPr>
              <w:keepNext/>
              <w:suppressAutoHyphens/>
              <w:rPr>
                <w:del w:id="7234" w:author="AbbVie02no" w:date="2025-05-15T13:45:00Z"/>
                <w:sz w:val="22"/>
                <w:szCs w:val="22"/>
              </w:rPr>
              <w:pPrChange w:id="7235" w:author="AbbVie02no" w:date="2025-05-15T13:45:00Z">
                <w:pPr>
                  <w:jc w:val="center"/>
                </w:pPr>
              </w:pPrChange>
            </w:pPr>
            <w:del w:id="7236" w:author="AbbVie02no" w:date="2025-05-15T13:45:00Z">
              <w:r w:rsidRPr="009C5EFD">
                <w:rPr>
                  <w:sz w:val="22"/>
                  <w:szCs w:val="22"/>
                </w:rPr>
                <w:delText>1,3 (0,5-2,1)</w:delText>
              </w:r>
            </w:del>
          </w:p>
        </w:tc>
        <w:tc>
          <w:tcPr>
            <w:tcW w:w="1560" w:type="dxa"/>
            <w:tcBorders>
              <w:top w:val="single" w:sz="4" w:space="0" w:color="auto"/>
              <w:left w:val="single" w:sz="4" w:space="0" w:color="auto"/>
              <w:bottom w:val="single" w:sz="4" w:space="0" w:color="auto"/>
              <w:right w:val="single" w:sz="4" w:space="0" w:color="auto"/>
            </w:tcBorders>
          </w:tcPr>
          <w:p w14:paraId="651C28A5" w14:textId="249C6960" w:rsidR="00DE3458" w:rsidRPr="009C5EFD" w:rsidRDefault="00E453CD">
            <w:pPr>
              <w:keepNext/>
              <w:suppressAutoHyphens/>
              <w:rPr>
                <w:del w:id="7237" w:author="AbbVie02no" w:date="2025-05-15T13:45:00Z"/>
                <w:sz w:val="22"/>
                <w:szCs w:val="22"/>
              </w:rPr>
              <w:pPrChange w:id="7238" w:author="AbbVie02no" w:date="2025-05-15T13:45:00Z">
                <w:pPr>
                  <w:jc w:val="center"/>
                </w:pPr>
              </w:pPrChange>
            </w:pPr>
            <w:del w:id="7239" w:author="AbbVie02no" w:date="2025-05-15T13:45:00Z">
              <w:r w:rsidRPr="009C5EFD">
                <w:rPr>
                  <w:sz w:val="22"/>
                  <w:szCs w:val="22"/>
                </w:rPr>
                <w:delText>0,5 (0-1,0)</w:delText>
              </w:r>
            </w:del>
          </w:p>
        </w:tc>
        <w:tc>
          <w:tcPr>
            <w:tcW w:w="992" w:type="dxa"/>
            <w:tcBorders>
              <w:top w:val="single" w:sz="4" w:space="0" w:color="auto"/>
              <w:left w:val="single" w:sz="4" w:space="0" w:color="auto"/>
              <w:bottom w:val="single" w:sz="4" w:space="0" w:color="auto"/>
              <w:right w:val="single" w:sz="4" w:space="0" w:color="auto"/>
            </w:tcBorders>
          </w:tcPr>
          <w:p w14:paraId="04501FD5" w14:textId="0968F349" w:rsidR="00DE3458" w:rsidRPr="009C5EFD" w:rsidRDefault="00E453CD">
            <w:pPr>
              <w:keepNext/>
              <w:suppressAutoHyphens/>
              <w:rPr>
                <w:del w:id="7240" w:author="AbbVie02no" w:date="2025-05-15T13:45:00Z"/>
                <w:sz w:val="22"/>
                <w:szCs w:val="22"/>
              </w:rPr>
              <w:pPrChange w:id="7241" w:author="AbbVie02no" w:date="2025-05-15T13:45:00Z">
                <w:pPr>
                  <w:jc w:val="center"/>
                </w:pPr>
              </w:pPrChange>
            </w:pPr>
            <w:del w:id="7242" w:author="AbbVie02no" w:date="2025-05-15T13:45:00Z">
              <w:r w:rsidRPr="009C5EFD">
                <w:rPr>
                  <w:sz w:val="22"/>
                  <w:szCs w:val="22"/>
                </w:rPr>
                <w:delText>&lt; 0,001</w:delText>
              </w:r>
            </w:del>
          </w:p>
        </w:tc>
        <w:tc>
          <w:tcPr>
            <w:tcW w:w="992" w:type="dxa"/>
            <w:tcBorders>
              <w:top w:val="single" w:sz="4" w:space="0" w:color="auto"/>
              <w:left w:val="single" w:sz="4" w:space="0" w:color="auto"/>
              <w:bottom w:val="single" w:sz="4" w:space="0" w:color="auto"/>
              <w:right w:val="single" w:sz="4" w:space="0" w:color="auto"/>
            </w:tcBorders>
          </w:tcPr>
          <w:p w14:paraId="10E1D259" w14:textId="1E8A242D" w:rsidR="00DE3458" w:rsidRPr="009C5EFD" w:rsidRDefault="00E453CD">
            <w:pPr>
              <w:keepNext/>
              <w:suppressAutoHyphens/>
              <w:rPr>
                <w:del w:id="7243" w:author="AbbVie02no" w:date="2025-05-15T13:45:00Z"/>
                <w:sz w:val="22"/>
                <w:szCs w:val="22"/>
              </w:rPr>
              <w:pPrChange w:id="7244" w:author="AbbVie02no" w:date="2025-05-15T13:45:00Z">
                <w:pPr>
                  <w:jc w:val="center"/>
                </w:pPr>
              </w:pPrChange>
            </w:pPr>
            <w:del w:id="7245" w:author="AbbVie02no" w:date="2025-05-15T13:45:00Z">
              <w:r w:rsidRPr="009C5EFD">
                <w:rPr>
                  <w:sz w:val="22"/>
                  <w:szCs w:val="22"/>
                </w:rPr>
                <w:delText>0,0037</w:delText>
              </w:r>
            </w:del>
          </w:p>
        </w:tc>
        <w:tc>
          <w:tcPr>
            <w:tcW w:w="992" w:type="dxa"/>
            <w:tcBorders>
              <w:top w:val="single" w:sz="4" w:space="0" w:color="auto"/>
              <w:left w:val="single" w:sz="4" w:space="0" w:color="auto"/>
              <w:bottom w:val="single" w:sz="4" w:space="0" w:color="auto"/>
              <w:right w:val="single" w:sz="4" w:space="0" w:color="auto"/>
            </w:tcBorders>
          </w:tcPr>
          <w:p w14:paraId="424F5B00" w14:textId="29C46207" w:rsidR="00DE3458" w:rsidRPr="009C5EFD" w:rsidRDefault="00E453CD">
            <w:pPr>
              <w:keepNext/>
              <w:suppressAutoHyphens/>
              <w:rPr>
                <w:del w:id="7246" w:author="AbbVie02no" w:date="2025-05-15T13:45:00Z"/>
                <w:sz w:val="22"/>
                <w:szCs w:val="22"/>
              </w:rPr>
              <w:pPrChange w:id="7247" w:author="AbbVie02no" w:date="2025-05-15T13:45:00Z">
                <w:pPr>
                  <w:jc w:val="center"/>
                </w:pPr>
              </w:pPrChange>
            </w:pPr>
            <w:del w:id="7248" w:author="AbbVie02no" w:date="2025-05-15T13:45:00Z">
              <w:r w:rsidRPr="009C5EFD">
                <w:rPr>
                  <w:sz w:val="22"/>
                  <w:szCs w:val="22"/>
                </w:rPr>
                <w:delText>0,151</w:delText>
              </w:r>
            </w:del>
          </w:p>
        </w:tc>
      </w:tr>
      <w:tr w:rsidR="004644D4" w14:paraId="1CAA108E" w14:textId="085EF951" w:rsidTr="00BA47BC">
        <w:trPr>
          <w:trHeight w:val="1679"/>
          <w:del w:id="7249" w:author="AbbVie02no" w:date="2025-05-15T13:45:00Z"/>
        </w:trPr>
        <w:tc>
          <w:tcPr>
            <w:tcW w:w="9008" w:type="dxa"/>
            <w:gridSpan w:val="7"/>
            <w:tcBorders>
              <w:top w:val="single" w:sz="4" w:space="0" w:color="auto"/>
            </w:tcBorders>
          </w:tcPr>
          <w:p w14:paraId="63D5E2E7" w14:textId="09D91C42" w:rsidR="00DE3458" w:rsidRPr="007F67EE" w:rsidRDefault="00E453CD">
            <w:pPr>
              <w:keepNext/>
              <w:suppressAutoHyphens/>
              <w:rPr>
                <w:del w:id="7250" w:author="AbbVie02no" w:date="2025-05-15T13:45:00Z"/>
                <w:szCs w:val="22"/>
              </w:rPr>
              <w:pPrChange w:id="7251" w:author="AbbVie02no" w:date="2025-05-15T13:45:00Z">
                <w:pPr>
                  <w:pStyle w:val="BodyTextIndent2"/>
                  <w:tabs>
                    <w:tab w:val="left" w:pos="330"/>
                  </w:tabs>
                  <w:ind w:left="330" w:hanging="330"/>
                </w:pPr>
              </w:pPrChange>
            </w:pPr>
            <w:del w:id="7252" w:author="AbbVie02no" w:date="2025-05-15T13:45:00Z">
              <w:r w:rsidRPr="0015674E">
                <w:rPr>
                  <w:szCs w:val="22"/>
                  <w:vertAlign w:val="superscript"/>
                </w:rPr>
                <w:delText>a</w:delText>
              </w:r>
              <w:r w:rsidR="00D0044B">
                <w:rPr>
                  <w:szCs w:val="22"/>
                  <w:vertAlign w:val="superscript"/>
                </w:rPr>
                <w:delText xml:space="preserve"> </w:delText>
              </w:r>
              <w:r w:rsidRPr="007F67EE">
                <w:rPr>
                  <w:szCs w:val="22"/>
                </w:rPr>
                <w:delText>p-verdien er fra den parvise sammenligningen av metotreksat monoterapi og Humira/metotreksat kombinasjonsbehandling med Mann-Whitney U testen.</w:delText>
              </w:r>
            </w:del>
          </w:p>
          <w:p w14:paraId="1F6EAA30" w14:textId="03D3E111" w:rsidR="00DE3458" w:rsidRPr="002D0790" w:rsidRDefault="00E453CD">
            <w:pPr>
              <w:keepNext/>
              <w:suppressAutoHyphens/>
              <w:rPr>
                <w:del w:id="7253" w:author="AbbVie02no" w:date="2025-05-15T13:45:00Z"/>
                <w:szCs w:val="22"/>
              </w:rPr>
              <w:pPrChange w:id="7254" w:author="AbbVie02no" w:date="2025-05-15T13:45:00Z">
                <w:pPr>
                  <w:pStyle w:val="BodyTextIndent2"/>
                  <w:tabs>
                    <w:tab w:val="left" w:pos="330"/>
                  </w:tabs>
                  <w:ind w:left="330" w:hanging="330"/>
                </w:pPr>
              </w:pPrChange>
            </w:pPr>
            <w:del w:id="7255" w:author="AbbVie02no" w:date="2025-05-15T13:45:00Z">
              <w:r w:rsidRPr="0015674E">
                <w:rPr>
                  <w:szCs w:val="22"/>
                  <w:vertAlign w:val="superscript"/>
                </w:rPr>
                <w:delText>b</w:delText>
              </w:r>
              <w:r w:rsidR="00D0044B">
                <w:rPr>
                  <w:szCs w:val="22"/>
                  <w:vertAlign w:val="superscript"/>
                </w:rPr>
                <w:delText xml:space="preserve"> </w:delText>
              </w:r>
              <w:r w:rsidRPr="00193D76">
                <w:rPr>
                  <w:szCs w:val="22"/>
                </w:rPr>
                <w:delText>p-verdien er fra den parvise sammenligningen av Humira monoterapi og Humira/m</w:delText>
              </w:r>
              <w:r w:rsidRPr="002D0790">
                <w:rPr>
                  <w:szCs w:val="22"/>
                </w:rPr>
                <w:delText>etotreksat kombinasjonsbehandling med Mann-Whitney U testen.</w:delText>
              </w:r>
            </w:del>
          </w:p>
          <w:p w14:paraId="7383A6FC" w14:textId="3A5FCD97" w:rsidR="00DE3458" w:rsidRPr="002D0790" w:rsidRDefault="00E453CD">
            <w:pPr>
              <w:keepNext/>
              <w:suppressAutoHyphens/>
              <w:rPr>
                <w:del w:id="7256" w:author="AbbVie02no" w:date="2025-05-15T13:45:00Z"/>
                <w:sz w:val="22"/>
                <w:szCs w:val="22"/>
              </w:rPr>
              <w:pPrChange w:id="7257" w:author="AbbVie02no" w:date="2025-05-15T13:45:00Z">
                <w:pPr>
                  <w:tabs>
                    <w:tab w:val="left" w:pos="330"/>
                  </w:tabs>
                  <w:ind w:left="360" w:hanging="360"/>
                </w:pPr>
              </w:pPrChange>
            </w:pPr>
            <w:del w:id="7258" w:author="AbbVie02no" w:date="2025-05-15T13:45:00Z">
              <w:r w:rsidRPr="0015674E">
                <w:rPr>
                  <w:sz w:val="22"/>
                  <w:szCs w:val="22"/>
                  <w:vertAlign w:val="superscript"/>
                </w:rPr>
                <w:delText>c</w:delText>
              </w:r>
              <w:r w:rsidR="00D0044B">
                <w:rPr>
                  <w:sz w:val="22"/>
                  <w:szCs w:val="22"/>
                  <w:vertAlign w:val="superscript"/>
                </w:rPr>
                <w:delText xml:space="preserve"> </w:delText>
              </w:r>
              <w:r w:rsidRPr="002D0790">
                <w:rPr>
                  <w:sz w:val="22"/>
                  <w:szCs w:val="22"/>
                </w:rPr>
                <w:delText>p-verdien er fra den parvise sammenligningen av Humira monoterapi og metotreksat monoterapi med Mann-Whitney U testen.</w:delText>
              </w:r>
            </w:del>
          </w:p>
        </w:tc>
      </w:tr>
    </w:tbl>
    <w:p w14:paraId="4349C691" w14:textId="25A7C037" w:rsidR="00DE3458" w:rsidRDefault="00E453CD">
      <w:pPr>
        <w:keepNext/>
        <w:suppressAutoHyphens/>
        <w:rPr>
          <w:del w:id="7259" w:author="AbbVie02no" w:date="2025-05-15T13:45:00Z"/>
          <w:szCs w:val="22"/>
        </w:rPr>
        <w:pPrChange w:id="7260" w:author="AbbVie02no" w:date="2025-05-15T13:45:00Z">
          <w:pPr>
            <w:pStyle w:val="EMEANormal"/>
          </w:pPr>
        </w:pPrChange>
      </w:pPr>
      <w:del w:id="7261" w:author="AbbVie02no" w:date="2025-05-15T13:45:00Z">
        <w:r w:rsidRPr="002D0790">
          <w:rPr>
            <w:szCs w:val="22"/>
          </w:rPr>
          <w:delText>Etter behandling i 52 uker og 104 uker var andelen pasienter uten pro</w:delText>
        </w:r>
        <w:r w:rsidRPr="00E14E58">
          <w:rPr>
            <w:szCs w:val="22"/>
          </w:rPr>
          <w:delText xml:space="preserve">gresjon (forandring i den modifiserte totale Sharp score </w:delText>
        </w:r>
        <w:r w:rsidRPr="007F67EE">
          <w:rPr>
            <w:rFonts w:ascii="Symbol" w:hAnsi="Symbol"/>
            <w:szCs w:val="22"/>
          </w:rPr>
          <w:sym w:font="Symbol" w:char="F0A3"/>
        </w:r>
        <w:r w:rsidRPr="007F67EE">
          <w:rPr>
            <w:szCs w:val="22"/>
          </w:rPr>
          <w:delText> 0,5 siden oppstart) signifikant høyere med kombinasjonsbehandling med Humira/metotreksat (henholdsvis 63,8 % og 61,2 %) sammenlignet med metotreksat monoterapi (henholdsvis 37,4 % og 33,5 %, p &lt; 0,</w:delText>
        </w:r>
        <w:r w:rsidRPr="00193D76">
          <w:rPr>
            <w:szCs w:val="22"/>
          </w:rPr>
          <w:delText>001) og Humira monoterapi (henholdsvis 50,7 %, p &lt; 0,002 og 44,5 %, p &lt; 0,001).</w:delText>
        </w:r>
      </w:del>
    </w:p>
    <w:p w14:paraId="00537E40" w14:textId="2F85C23E" w:rsidR="008F5114" w:rsidRDefault="008F5114">
      <w:pPr>
        <w:keepNext/>
        <w:suppressAutoHyphens/>
        <w:rPr>
          <w:del w:id="7262" w:author="AbbVie02no" w:date="2025-05-15T13:45:00Z"/>
          <w:szCs w:val="22"/>
        </w:rPr>
        <w:pPrChange w:id="7263" w:author="AbbVie02no" w:date="2025-05-15T13:45:00Z">
          <w:pPr>
            <w:pStyle w:val="EMEANormal"/>
          </w:pPr>
        </w:pPrChange>
      </w:pPr>
    </w:p>
    <w:p w14:paraId="1E1EFB00" w14:textId="68DD5D4B" w:rsidR="008F5114" w:rsidRPr="002D0790" w:rsidRDefault="00E453CD">
      <w:pPr>
        <w:keepNext/>
        <w:suppressAutoHyphens/>
        <w:rPr>
          <w:del w:id="7264" w:author="AbbVie02no" w:date="2025-05-15T13:45:00Z"/>
          <w:szCs w:val="22"/>
        </w:rPr>
        <w:pPrChange w:id="7265" w:author="AbbVie02no" w:date="2025-05-15T13:45:00Z">
          <w:pPr>
            <w:pStyle w:val="EMEANormal"/>
          </w:pPr>
        </w:pPrChange>
      </w:pPr>
      <w:del w:id="7266" w:author="AbbVie02no" w:date="2025-05-15T13:45:00Z">
        <w:r>
          <w:rPr>
            <w:szCs w:val="22"/>
          </w:rPr>
          <w:delText>I den åpne forlengelsesfasen av</w:delText>
        </w:r>
        <w:r w:rsidRPr="00635DEA">
          <w:rPr>
            <w:szCs w:val="22"/>
          </w:rPr>
          <w:delText xml:space="preserve"> RA studie V, </w:delText>
        </w:r>
        <w:r>
          <w:rPr>
            <w:szCs w:val="22"/>
          </w:rPr>
          <w:delText xml:space="preserve">var gjennomsnittlig endring fra baseline ved år 10 i den  </w:delText>
        </w:r>
        <w:r w:rsidRPr="00635DEA">
          <w:rPr>
            <w:szCs w:val="22"/>
          </w:rPr>
          <w:delText>modifiserte totale Sharp score</w:delText>
        </w:r>
        <w:r>
          <w:rPr>
            <w:szCs w:val="22"/>
          </w:rPr>
          <w:delText xml:space="preserve"> 10,8, 9,2 og 3,9 hos pasienter henholdsvis opprinnelig </w:delText>
        </w:r>
        <w:r>
          <w:rPr>
            <w:szCs w:val="22"/>
          </w:rPr>
          <w:lastRenderedPageBreak/>
          <w:delText xml:space="preserve">randomisert til metotreksat monoterapi, Humira monoterapi og </w:delText>
        </w:r>
        <w:r w:rsidRPr="00453752">
          <w:rPr>
            <w:szCs w:val="22"/>
          </w:rPr>
          <w:delText>Humira/metotreksat kombinasjonsbehandling</w:delText>
        </w:r>
        <w:r>
          <w:rPr>
            <w:szCs w:val="22"/>
          </w:rPr>
          <w:delText>. De tilsvarende andeler pasienter uten radiografisk progresjon var henholdsvis 31,3 %, 23,7 % og 36,7 %.</w:delText>
        </w:r>
      </w:del>
    </w:p>
    <w:p w14:paraId="258FE6C0" w14:textId="0F510434" w:rsidR="00DE3458" w:rsidRPr="002D0790" w:rsidRDefault="00DE3458">
      <w:pPr>
        <w:keepNext/>
        <w:suppressAutoHyphens/>
        <w:rPr>
          <w:del w:id="7267" w:author="AbbVie02no" w:date="2025-05-15T13:45:00Z"/>
          <w:sz w:val="22"/>
          <w:szCs w:val="22"/>
        </w:rPr>
        <w:pPrChange w:id="7268" w:author="AbbVie02no" w:date="2025-05-15T13:45:00Z">
          <w:pPr/>
        </w:pPrChange>
      </w:pPr>
    </w:p>
    <w:p w14:paraId="1C941B02" w14:textId="50C21B72" w:rsidR="00DE3458" w:rsidRPr="001F5D4B" w:rsidRDefault="00E453CD">
      <w:pPr>
        <w:keepNext/>
        <w:suppressAutoHyphens/>
        <w:rPr>
          <w:del w:id="7269" w:author="AbbVie02no" w:date="2025-05-15T13:45:00Z"/>
          <w:i/>
          <w:sz w:val="22"/>
          <w:szCs w:val="22"/>
          <w:u w:val="single"/>
        </w:rPr>
        <w:pPrChange w:id="7270" w:author="AbbVie02no" w:date="2025-05-15T13:45:00Z">
          <w:pPr>
            <w:keepNext/>
          </w:pPr>
        </w:pPrChange>
      </w:pPr>
      <w:del w:id="7271" w:author="AbbVie02no" w:date="2025-05-15T13:45:00Z">
        <w:r w:rsidRPr="001F5D4B">
          <w:rPr>
            <w:i/>
            <w:sz w:val="22"/>
            <w:szCs w:val="22"/>
            <w:u w:val="single"/>
          </w:rPr>
          <w:delText>Livskvalitet og fysisk funksjon</w:delText>
        </w:r>
      </w:del>
    </w:p>
    <w:p w14:paraId="78DCEB99" w14:textId="41A3CDC3" w:rsidR="00DE3458" w:rsidRPr="007F67EE" w:rsidRDefault="00DE3458">
      <w:pPr>
        <w:keepNext/>
        <w:suppressAutoHyphens/>
        <w:rPr>
          <w:del w:id="7272" w:author="AbbVie02no" w:date="2025-05-15T13:45:00Z"/>
          <w:sz w:val="22"/>
          <w:szCs w:val="22"/>
        </w:rPr>
        <w:pPrChange w:id="7273" w:author="AbbVie02no" w:date="2025-05-15T13:45:00Z">
          <w:pPr>
            <w:keepNext/>
          </w:pPr>
        </w:pPrChange>
      </w:pPr>
    </w:p>
    <w:p w14:paraId="4E473E8C" w14:textId="2A140EF8" w:rsidR="00DE3458" w:rsidRPr="009C5EFD" w:rsidRDefault="00E453CD">
      <w:pPr>
        <w:keepNext/>
        <w:suppressAutoHyphens/>
        <w:rPr>
          <w:del w:id="7274" w:author="AbbVie02no" w:date="2025-05-15T13:45:00Z"/>
          <w:sz w:val="22"/>
          <w:szCs w:val="22"/>
        </w:rPr>
        <w:pPrChange w:id="7275" w:author="AbbVie02no" w:date="2025-05-15T13:45:00Z">
          <w:pPr/>
        </w:pPrChange>
      </w:pPr>
      <w:del w:id="7276" w:author="AbbVie02no" w:date="2025-05-15T13:45:00Z">
        <w:r w:rsidRPr="00193D76">
          <w:rPr>
            <w:sz w:val="22"/>
            <w:szCs w:val="22"/>
          </w:rPr>
          <w:delText>Helserelatert livskvalitet og fysisk funksjon ble vurdert ved hjelp av uførhetsindeksen i spørreskjemaet for helseutredning (Health Assessment</w:delText>
        </w:r>
        <w:r w:rsidRPr="002D0790">
          <w:rPr>
            <w:sz w:val="22"/>
            <w:szCs w:val="22"/>
          </w:rPr>
          <w:delText xml:space="preserve"> Questionnaire HAQ) i de fire opprinnelige, veldefinerte og kontrollerte studiene, som var et </w:delText>
        </w:r>
        <w:r w:rsidR="000C60BC" w:rsidRPr="002D0790">
          <w:rPr>
            <w:sz w:val="22"/>
            <w:szCs w:val="22"/>
          </w:rPr>
          <w:delText>forhånds</w:delText>
        </w:r>
        <w:r w:rsidRPr="00E14E58">
          <w:rPr>
            <w:sz w:val="22"/>
            <w:szCs w:val="22"/>
          </w:rPr>
          <w:delText>spesifisert primærendepunkt ved uke 52 i RA-studie III. Alle doseringer/regimer for Humira i alle fire studie</w:delText>
        </w:r>
        <w:r w:rsidR="008B5519">
          <w:rPr>
            <w:sz w:val="22"/>
            <w:szCs w:val="22"/>
          </w:rPr>
          <w:delText>r</w:delText>
        </w:r>
        <w:r w:rsidRPr="00E14E58">
          <w:rPr>
            <w:sz w:val="22"/>
            <w:szCs w:val="22"/>
          </w:rPr>
          <w:delText xml:space="preserve"> viste statistisk signifikant større forbed</w:delText>
        </w:r>
        <w:r w:rsidRPr="009C5EFD">
          <w:rPr>
            <w:sz w:val="22"/>
            <w:szCs w:val="22"/>
          </w:rPr>
          <w:delText>ring i uførhetsindeksen til HAQ fra</w:delText>
        </w:r>
        <w:r w:rsidR="008A216F" w:rsidRPr="009C5EFD">
          <w:rPr>
            <w:sz w:val="22"/>
            <w:szCs w:val="22"/>
          </w:rPr>
          <w:delText xml:space="preserve"> oppstart</w:delText>
        </w:r>
        <w:r w:rsidRPr="009C5EFD">
          <w:rPr>
            <w:sz w:val="22"/>
            <w:szCs w:val="22"/>
          </w:rPr>
          <w:delText xml:space="preserve"> til 6. måned sammenlignet med placebo og i RA-studie III ble det samme observert ved uke 52. Resultater fra </w:delText>
        </w:r>
        <w:r w:rsidR="00D57009">
          <w:rPr>
            <w:sz w:val="22"/>
            <w:szCs w:val="22"/>
          </w:rPr>
          <w:delText>«</w:delText>
        </w:r>
        <w:r w:rsidRPr="009C5EFD">
          <w:rPr>
            <w:sz w:val="22"/>
            <w:szCs w:val="22"/>
          </w:rPr>
          <w:delText>Short Form Health Survey</w:delText>
        </w:r>
        <w:r w:rsidR="00D57009">
          <w:rPr>
            <w:sz w:val="22"/>
            <w:szCs w:val="22"/>
          </w:rPr>
          <w:delText>»</w:delText>
        </w:r>
        <w:r w:rsidRPr="009C5EFD">
          <w:rPr>
            <w:sz w:val="22"/>
            <w:szCs w:val="22"/>
          </w:rPr>
          <w:delText xml:space="preserve"> (SF36) ved alle doseringer/regimer av Humira i alle de fire studiene støtter disse funnene, med statistisk signifikante poengverdier for </w:delText>
        </w:r>
        <w:r w:rsidR="00D57009">
          <w:rPr>
            <w:sz w:val="22"/>
            <w:szCs w:val="22"/>
          </w:rPr>
          <w:delText>«</w:delText>
        </w:r>
        <w:r w:rsidRPr="009C5EFD">
          <w:rPr>
            <w:sz w:val="22"/>
            <w:szCs w:val="22"/>
          </w:rPr>
          <w:delText>Physical Component Summary</w:delText>
        </w:r>
        <w:r w:rsidR="00D57009">
          <w:rPr>
            <w:sz w:val="22"/>
            <w:szCs w:val="22"/>
          </w:rPr>
          <w:delText>»</w:delText>
        </w:r>
        <w:r w:rsidRPr="009C5EFD">
          <w:rPr>
            <w:sz w:val="22"/>
            <w:szCs w:val="22"/>
          </w:rPr>
          <w:delText xml:space="preserve"> (PCS), og dessuten statistisk signifikante poengverdier for smerte- og vitalitetsområdet ved 40 mg dosert annenhver uke. </w:delText>
        </w:r>
        <w:r w:rsidR="008A3F2F" w:rsidRPr="009C5EFD">
          <w:rPr>
            <w:sz w:val="22"/>
            <w:szCs w:val="22"/>
          </w:rPr>
          <w:delText>S</w:delText>
        </w:r>
        <w:r w:rsidRPr="009C5EFD">
          <w:rPr>
            <w:sz w:val="22"/>
            <w:szCs w:val="22"/>
          </w:rPr>
          <w:delText xml:space="preserve">tatistisk signifikant reduksjon i tretthet </w:delText>
        </w:r>
        <w:r w:rsidR="00F92509" w:rsidRPr="009C5EFD">
          <w:rPr>
            <w:sz w:val="22"/>
            <w:szCs w:val="22"/>
          </w:rPr>
          <w:delText xml:space="preserve">(fatigue) </w:delText>
        </w:r>
        <w:r w:rsidRPr="009C5EFD">
          <w:rPr>
            <w:sz w:val="22"/>
            <w:szCs w:val="22"/>
          </w:rPr>
          <w:delText>målt med poengverdier for funksjonell vurdering av behandling av kronisk sykdom (Functional assessment of chronic illness therapy – FACIT) ble observert i alle tre studier hvor det ble vurdert (RA-studiene I, III, IV).</w:delText>
        </w:r>
      </w:del>
    </w:p>
    <w:p w14:paraId="1E376557" w14:textId="5E8EFDAF" w:rsidR="00DE3458" w:rsidRPr="009C5EFD" w:rsidRDefault="00DE3458">
      <w:pPr>
        <w:keepNext/>
        <w:suppressAutoHyphens/>
        <w:rPr>
          <w:del w:id="7277" w:author="AbbVie02no" w:date="2025-05-15T13:45:00Z"/>
          <w:sz w:val="22"/>
          <w:szCs w:val="22"/>
        </w:rPr>
        <w:pPrChange w:id="7278" w:author="AbbVie02no" w:date="2025-05-15T13:45:00Z">
          <w:pPr/>
        </w:pPrChange>
      </w:pPr>
    </w:p>
    <w:p w14:paraId="4E378456" w14:textId="58F46BBF" w:rsidR="00DE3458" w:rsidRPr="009C5EFD" w:rsidRDefault="00E453CD">
      <w:pPr>
        <w:keepNext/>
        <w:suppressAutoHyphens/>
        <w:rPr>
          <w:del w:id="7279" w:author="AbbVie02no" w:date="2025-05-15T13:45:00Z"/>
          <w:sz w:val="22"/>
          <w:szCs w:val="22"/>
        </w:rPr>
        <w:pPrChange w:id="7280" w:author="AbbVie02no" w:date="2025-05-15T13:45:00Z">
          <w:pPr/>
        </w:pPrChange>
      </w:pPr>
      <w:del w:id="7281" w:author="AbbVie02no" w:date="2025-05-15T13:45:00Z">
        <w:r w:rsidRPr="009C5EFD">
          <w:rPr>
            <w:sz w:val="22"/>
            <w:szCs w:val="22"/>
          </w:rPr>
          <w:delText>I RA-studie III, vedvarte forbedringene i fysisk funksjon gjennom 520 uker (120 måneder) med åpen behandling hos de fleste pasienter som oppnådde forbedring i fysisk funksjon og fortsatte behandlingen. Forbedring i livskvalitet ble målt opptil 156 uker (36 måneder) og forbedringen vedvarte gjennom denne perioden.</w:delText>
        </w:r>
      </w:del>
    </w:p>
    <w:p w14:paraId="42DCA6E4" w14:textId="33D658D4" w:rsidR="00DE3458" w:rsidRPr="009C5EFD" w:rsidRDefault="00DE3458">
      <w:pPr>
        <w:keepNext/>
        <w:suppressAutoHyphens/>
        <w:rPr>
          <w:del w:id="7282" w:author="AbbVie02no" w:date="2025-05-15T13:45:00Z"/>
          <w:sz w:val="22"/>
          <w:szCs w:val="22"/>
        </w:rPr>
        <w:pPrChange w:id="7283" w:author="AbbVie02no" w:date="2025-05-15T13:45:00Z">
          <w:pPr/>
        </w:pPrChange>
      </w:pPr>
    </w:p>
    <w:p w14:paraId="25FB55E4" w14:textId="7F427749" w:rsidR="00DE3458" w:rsidRPr="009C5EFD" w:rsidRDefault="00E453CD">
      <w:pPr>
        <w:keepNext/>
        <w:suppressAutoHyphens/>
        <w:rPr>
          <w:del w:id="7284" w:author="AbbVie02no" w:date="2025-05-15T13:45:00Z"/>
          <w:sz w:val="22"/>
          <w:szCs w:val="22"/>
        </w:rPr>
        <w:pPrChange w:id="7285" w:author="AbbVie02no" w:date="2025-05-15T13:45:00Z">
          <w:pPr/>
        </w:pPrChange>
      </w:pPr>
      <w:del w:id="7286" w:author="AbbVie02no" w:date="2025-05-15T13:45:00Z">
        <w:r w:rsidRPr="009C5EFD">
          <w:rPr>
            <w:sz w:val="22"/>
            <w:szCs w:val="22"/>
          </w:rPr>
          <w:delText>I R</w:delText>
        </w:r>
        <w:r w:rsidR="003906C8">
          <w:rPr>
            <w:sz w:val="22"/>
            <w:szCs w:val="22"/>
          </w:rPr>
          <w:delText>A</w:delText>
        </w:r>
        <w:r w:rsidRPr="009C5EFD">
          <w:rPr>
            <w:sz w:val="22"/>
            <w:szCs w:val="22"/>
          </w:rPr>
          <w:delText xml:space="preserve">-studie V viste forbedring i uførhetsindeksen til HAQ og den fysiske delen av SF 36, større forbedring (p &lt; 0,001) for kombinasjonsbehandling med Humira/metotreksat i forhold til metotreksat monoterapi </w:delText>
        </w:r>
        <w:r w:rsidR="004D618A">
          <w:rPr>
            <w:sz w:val="22"/>
            <w:szCs w:val="22"/>
          </w:rPr>
          <w:delText xml:space="preserve">og Humira monoterapi </w:delText>
        </w:r>
        <w:r w:rsidRPr="009C5EFD">
          <w:rPr>
            <w:sz w:val="22"/>
            <w:szCs w:val="22"/>
          </w:rPr>
          <w:delText>ved uke 52, noe som ble vedlikeholdt gjennom uke 104.</w:delText>
        </w:r>
        <w:r w:rsidR="0097762C">
          <w:rPr>
            <w:sz w:val="22"/>
            <w:szCs w:val="22"/>
          </w:rPr>
          <w:delText xml:space="preserve"> Blant de 250 pasientene som fullførte den åpne forlengelsesstudien, ble forbedringer i fysisk funksjon opprettholdt gjennom 10 år med behandling.</w:delText>
        </w:r>
      </w:del>
    </w:p>
    <w:p w14:paraId="361AD63C" w14:textId="33E73311" w:rsidR="00AD0DA3" w:rsidRDefault="00AD0DA3">
      <w:pPr>
        <w:keepNext/>
        <w:suppressAutoHyphens/>
        <w:rPr>
          <w:del w:id="7287" w:author="AbbVie02no" w:date="2025-05-15T13:45:00Z"/>
          <w:i/>
          <w:sz w:val="22"/>
          <w:szCs w:val="22"/>
        </w:rPr>
        <w:pPrChange w:id="7288" w:author="AbbVie02no" w:date="2025-05-15T13:45:00Z">
          <w:pPr>
            <w:keepNext/>
          </w:pPr>
        </w:pPrChange>
      </w:pPr>
    </w:p>
    <w:p w14:paraId="3E997D6F" w14:textId="349BDF49" w:rsidR="00A65C61" w:rsidRPr="001F5D4B" w:rsidRDefault="00E453CD">
      <w:pPr>
        <w:keepNext/>
        <w:suppressAutoHyphens/>
        <w:rPr>
          <w:del w:id="7289" w:author="AbbVie02no" w:date="2025-05-15T13:45:00Z"/>
          <w:i/>
          <w:sz w:val="22"/>
          <w:szCs w:val="22"/>
        </w:rPr>
        <w:pPrChange w:id="7290" w:author="AbbVie02no" w:date="2025-05-15T13:45:00Z">
          <w:pPr>
            <w:keepNext/>
          </w:pPr>
        </w:pPrChange>
      </w:pPr>
      <w:del w:id="7291" w:author="AbbVie02no" w:date="2025-05-15T13:45:00Z">
        <w:r w:rsidRPr="001F5D4B">
          <w:rPr>
            <w:i/>
            <w:sz w:val="22"/>
            <w:szCs w:val="22"/>
          </w:rPr>
          <w:delText>Aksial spondylartritt</w:delText>
        </w:r>
      </w:del>
    </w:p>
    <w:p w14:paraId="216DE9A9" w14:textId="5AD1BBF9" w:rsidR="00A65C61" w:rsidRPr="007F67EE" w:rsidRDefault="00A65C61">
      <w:pPr>
        <w:keepNext/>
        <w:suppressAutoHyphens/>
        <w:rPr>
          <w:del w:id="7292" w:author="AbbVie02no" w:date="2025-05-15T13:45:00Z"/>
          <w:sz w:val="22"/>
          <w:szCs w:val="22"/>
          <w:u w:val="single"/>
        </w:rPr>
        <w:pPrChange w:id="7293" w:author="AbbVie02no" w:date="2025-05-15T13:45:00Z">
          <w:pPr>
            <w:keepNext/>
          </w:pPr>
        </w:pPrChange>
      </w:pPr>
    </w:p>
    <w:p w14:paraId="10A9C62C" w14:textId="1CFFBF7A" w:rsidR="008A3F2F" w:rsidRPr="001F5D4B" w:rsidRDefault="00E453CD">
      <w:pPr>
        <w:keepNext/>
        <w:suppressAutoHyphens/>
        <w:rPr>
          <w:del w:id="7294" w:author="AbbVie02no" w:date="2025-05-15T13:45:00Z"/>
          <w:i/>
        </w:rPr>
        <w:pPrChange w:id="7295" w:author="AbbVie02no" w:date="2025-05-15T13:45:00Z">
          <w:pPr>
            <w:keepNext/>
          </w:pPr>
        </w:pPrChange>
      </w:pPr>
      <w:del w:id="7296" w:author="AbbVie02no" w:date="2025-05-15T13:45:00Z">
        <w:r w:rsidRPr="001F5D4B">
          <w:rPr>
            <w:i/>
            <w:sz w:val="22"/>
            <w:szCs w:val="22"/>
            <w:u w:val="single"/>
          </w:rPr>
          <w:delText>Bekhterevs sykdom (ankyloserende spondylitt)</w:delText>
        </w:r>
      </w:del>
    </w:p>
    <w:p w14:paraId="5C244E4A" w14:textId="1A616F5C" w:rsidR="008A3F2F" w:rsidRPr="007F67EE" w:rsidRDefault="008A3F2F">
      <w:pPr>
        <w:keepNext/>
        <w:suppressAutoHyphens/>
        <w:rPr>
          <w:del w:id="7297" w:author="AbbVie02no" w:date="2025-05-15T13:45:00Z"/>
          <w:sz w:val="22"/>
          <w:szCs w:val="22"/>
        </w:rPr>
        <w:pPrChange w:id="7298" w:author="AbbVie02no" w:date="2025-05-15T13:45:00Z">
          <w:pPr>
            <w:keepNext/>
          </w:pPr>
        </w:pPrChange>
      </w:pPr>
    </w:p>
    <w:p w14:paraId="77DC5195" w14:textId="06A1674C" w:rsidR="008A3F2F" w:rsidRPr="009C5EFD" w:rsidRDefault="00E453CD">
      <w:pPr>
        <w:keepNext/>
        <w:suppressAutoHyphens/>
        <w:rPr>
          <w:del w:id="7299" w:author="AbbVie02no" w:date="2025-05-15T13:45:00Z"/>
          <w:szCs w:val="22"/>
        </w:rPr>
        <w:pPrChange w:id="7300" w:author="AbbVie02no" w:date="2025-05-15T13:45:00Z">
          <w:pPr>
            <w:pStyle w:val="EMEAFigureTitle"/>
            <w:tabs>
              <w:tab w:val="clear" w:pos="562"/>
            </w:tabs>
            <w:suppressAutoHyphens w:val="0"/>
          </w:pPr>
        </w:pPrChange>
      </w:pPr>
      <w:del w:id="7301" w:author="AbbVie02no" w:date="2025-05-15T13:45:00Z">
        <w:r w:rsidRPr="00193D76">
          <w:rPr>
            <w:szCs w:val="22"/>
          </w:rPr>
          <w:delText xml:space="preserve">Humira 40 mg annenhver uke </w:delText>
        </w:r>
        <w:r w:rsidR="006E4DAE" w:rsidRPr="002D0790">
          <w:rPr>
            <w:szCs w:val="22"/>
          </w:rPr>
          <w:delText>ble</w:delText>
        </w:r>
        <w:r w:rsidRPr="002D0790">
          <w:rPr>
            <w:szCs w:val="22"/>
          </w:rPr>
          <w:delText xml:space="preserve"> vurdert i to randomiserte, 24 ukers, dobbeltblinde, placebokontrollerte studier med 393 pasiente</w:delText>
        </w:r>
        <w:r w:rsidRPr="00E14E58">
          <w:rPr>
            <w:szCs w:val="22"/>
          </w:rPr>
          <w:delText xml:space="preserve">r </w:delText>
        </w:r>
        <w:r w:rsidR="00303B08" w:rsidRPr="009C5EFD">
          <w:rPr>
            <w:szCs w:val="22"/>
          </w:rPr>
          <w:delText xml:space="preserve">som hadde </w:delText>
        </w:r>
        <w:r w:rsidRPr="009C5EFD">
          <w:rPr>
            <w:szCs w:val="22"/>
          </w:rPr>
          <w:delText>aktiv Bekhterevs sykdom (ankyloserende spondol</w:delText>
        </w:r>
        <w:r w:rsidR="007866C9">
          <w:rPr>
            <w:szCs w:val="22"/>
          </w:rPr>
          <w:delText>i</w:delText>
        </w:r>
        <w:r w:rsidRPr="009C5EFD">
          <w:rPr>
            <w:szCs w:val="22"/>
          </w:rPr>
          <w:delText xml:space="preserve">tt) (gjennomsnittlig score for sykdomsaktivitet </w:delText>
        </w:r>
        <w:r w:rsidRPr="007F67EE">
          <w:rPr>
            <w:rFonts w:ascii="Symbol" w:hAnsi="Symbol"/>
            <w:szCs w:val="22"/>
          </w:rPr>
          <w:sym w:font="Symbol" w:char="F05B"/>
        </w:r>
        <w:r w:rsidRPr="007F67EE">
          <w:rPr>
            <w:szCs w:val="22"/>
          </w:rPr>
          <w:delText>Bath Ankylosing Spondylitis Disease Activity Index (BASDAI)</w:delText>
        </w:r>
        <w:r w:rsidRPr="007F67EE">
          <w:rPr>
            <w:rFonts w:ascii="Symbol" w:hAnsi="Symbol"/>
            <w:szCs w:val="22"/>
          </w:rPr>
          <w:sym w:font="Symbol" w:char="F05D"/>
        </w:r>
        <w:r w:rsidRPr="007F67EE">
          <w:rPr>
            <w:szCs w:val="22"/>
          </w:rPr>
          <w:delText xml:space="preserve"> var 6,3 i alle gruppene ved behandlingsstart)</w:delText>
        </w:r>
        <w:r w:rsidR="00D34706" w:rsidRPr="00193D76">
          <w:rPr>
            <w:szCs w:val="22"/>
          </w:rPr>
          <w:delText>,</w:delText>
        </w:r>
        <w:r w:rsidRPr="002D0790">
          <w:rPr>
            <w:szCs w:val="22"/>
          </w:rPr>
          <w:delText xml:space="preserve"> og som hadde respondert utilstrekkelig på </w:delText>
        </w:r>
        <w:r w:rsidR="007A1E0A">
          <w:rPr>
            <w:szCs w:val="22"/>
          </w:rPr>
          <w:delText>konvensjonell behandling</w:delText>
        </w:r>
        <w:r w:rsidRPr="002D0790">
          <w:rPr>
            <w:szCs w:val="22"/>
          </w:rPr>
          <w:delText>. 79 (20,1 %) av pasientene ble behandlet samtidig med sykdomsmodifiserende antirevmat</w:delText>
        </w:r>
        <w:r w:rsidRPr="00E14E58">
          <w:rPr>
            <w:color w:val="000000"/>
            <w:szCs w:val="22"/>
          </w:rPr>
          <w:delText>iske</w:delText>
        </w:r>
        <w:r w:rsidRPr="009C5EFD">
          <w:rPr>
            <w:szCs w:val="22"/>
          </w:rPr>
          <w:delText xml:space="preserve"> legemidler (DMARDS), og 37 (9,4 %) av pasientene ble behandlet samtidig med glukokortikoider. Den blinde perioden ble etterfulgt av en åpen behandlingsperiode hvor pasientene fikk Humira 40 mg annenhver uke subkutant i inntil 28 uker. Pasienter (n=215, 54,7 %) som ikke klarte å oppnå ASAS 20 i uke 12 eller 16 eller 20 fikk behandling med adalimumab 40 mg annenhver uke subkutant og ble deretter regnet som ikke-responderende i de dobbeltblinde statistiske analysene. </w:delText>
        </w:r>
      </w:del>
    </w:p>
    <w:p w14:paraId="5A32C620" w14:textId="79047FC2" w:rsidR="008A3F2F" w:rsidRPr="009C5EFD" w:rsidRDefault="008A3F2F">
      <w:pPr>
        <w:keepNext/>
        <w:suppressAutoHyphens/>
        <w:rPr>
          <w:del w:id="7302" w:author="AbbVie02no" w:date="2025-05-15T13:45:00Z"/>
          <w:sz w:val="22"/>
          <w:szCs w:val="22"/>
        </w:rPr>
        <w:pPrChange w:id="7303" w:author="AbbVie02no" w:date="2025-05-15T13:45:00Z">
          <w:pPr/>
        </w:pPrChange>
      </w:pPr>
    </w:p>
    <w:p w14:paraId="68E7A359" w14:textId="63812EF9" w:rsidR="008A3F2F" w:rsidRPr="009C5EFD" w:rsidRDefault="00E453CD">
      <w:pPr>
        <w:keepNext/>
        <w:suppressAutoHyphens/>
        <w:rPr>
          <w:del w:id="7304" w:author="AbbVie02no" w:date="2025-05-15T13:45:00Z"/>
          <w:sz w:val="22"/>
          <w:szCs w:val="22"/>
        </w:rPr>
        <w:pPrChange w:id="7305" w:author="AbbVie02no" w:date="2025-05-15T13:45:00Z">
          <w:pPr/>
        </w:pPrChange>
      </w:pPr>
      <w:del w:id="7306" w:author="AbbVie02no" w:date="2025-05-15T13:45:00Z">
        <w:r w:rsidRPr="009C5EFD">
          <w:rPr>
            <w:sz w:val="22"/>
            <w:szCs w:val="22"/>
          </w:rPr>
          <w:delText xml:space="preserve">I en større AS-studie I med 315 pasienter viste resultatene en statistisk signifikant forbedring av sykdomstegn og symptomene på Bekhterevs sykdom (ankyloserende spondylitt) hos de pasientene </w:delText>
        </w:r>
        <w:r w:rsidRPr="009C5EFD">
          <w:rPr>
            <w:sz w:val="22"/>
            <w:szCs w:val="22"/>
          </w:rPr>
          <w:lastRenderedPageBreak/>
          <w:delText>som fikk Humira sammenlignet med placebo. Signifikant respons ble observert først i uke 2 og vedvarte i 24 uker (</w:delText>
        </w:r>
        <w:r w:rsidR="00EF2122" w:rsidRPr="009C5EFD">
          <w:rPr>
            <w:sz w:val="22"/>
            <w:szCs w:val="22"/>
          </w:rPr>
          <w:delText>t</w:delText>
        </w:r>
        <w:r w:rsidRPr="009C5EFD">
          <w:rPr>
            <w:sz w:val="22"/>
            <w:szCs w:val="22"/>
          </w:rPr>
          <w:delText xml:space="preserve">abell </w:delText>
        </w:r>
        <w:r w:rsidR="00BB3E88">
          <w:rPr>
            <w:sz w:val="22"/>
            <w:szCs w:val="22"/>
          </w:rPr>
          <w:delText>12</w:delText>
        </w:r>
        <w:r w:rsidRPr="009C5EFD">
          <w:rPr>
            <w:sz w:val="22"/>
            <w:szCs w:val="22"/>
          </w:rPr>
          <w:delText>).</w:delText>
        </w:r>
      </w:del>
    </w:p>
    <w:p w14:paraId="1972727D" w14:textId="6DF3F593" w:rsidR="00646216" w:rsidRPr="009C5EFD" w:rsidRDefault="00646216">
      <w:pPr>
        <w:keepNext/>
        <w:suppressAutoHyphens/>
        <w:rPr>
          <w:del w:id="7307" w:author="AbbVie02no" w:date="2025-05-15T13:45:00Z"/>
        </w:rPr>
        <w:pPrChange w:id="7308" w:author="AbbVie02no" w:date="2025-05-15T13:45:00Z">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5"/>
      </w:tblGrid>
      <w:tr w:rsidR="004644D4" w14:paraId="729C4656" w14:textId="6D813449" w:rsidTr="00646216">
        <w:trPr>
          <w:jc w:val="center"/>
          <w:del w:id="7309" w:author="AbbVie02no" w:date="2025-05-15T13:45:00Z"/>
        </w:trPr>
        <w:tc>
          <w:tcPr>
            <w:tcW w:w="9205" w:type="dxa"/>
            <w:tcBorders>
              <w:top w:val="nil"/>
              <w:left w:val="nil"/>
              <w:bottom w:val="nil"/>
              <w:right w:val="nil"/>
            </w:tcBorders>
          </w:tcPr>
          <w:p w14:paraId="569EE121" w14:textId="1A7EB66A" w:rsidR="00E658A8" w:rsidRPr="009C5EFD" w:rsidRDefault="00E453CD">
            <w:pPr>
              <w:keepNext/>
              <w:suppressAutoHyphens/>
              <w:rPr>
                <w:del w:id="7310" w:author="AbbVie02no" w:date="2025-05-15T13:45:00Z"/>
                <w:b/>
                <w:szCs w:val="22"/>
              </w:rPr>
              <w:pPrChange w:id="7311" w:author="AbbVie02no" w:date="2025-05-15T13:45:00Z">
                <w:pPr>
                  <w:pStyle w:val="EMEANormal"/>
                  <w:keepNext/>
                  <w:jc w:val="center"/>
                </w:pPr>
              </w:pPrChange>
            </w:pPr>
            <w:del w:id="7312" w:author="AbbVie02no" w:date="2025-05-15T13:45:00Z">
              <w:r w:rsidRPr="009C5EFD">
                <w:rPr>
                  <w:b/>
                  <w:szCs w:val="22"/>
                </w:rPr>
                <w:delText xml:space="preserve">Tabell </w:delText>
              </w:r>
              <w:r w:rsidR="00BB3E88">
                <w:rPr>
                  <w:b/>
                  <w:szCs w:val="22"/>
                </w:rPr>
                <w:delText>12</w:delText>
              </w:r>
            </w:del>
          </w:p>
          <w:p w14:paraId="282F7FEA" w14:textId="49B7F164" w:rsidR="00DE3458" w:rsidRPr="009C5EFD" w:rsidRDefault="00E453CD">
            <w:pPr>
              <w:keepNext/>
              <w:suppressAutoHyphens/>
              <w:rPr>
                <w:del w:id="7313" w:author="AbbVie02no" w:date="2025-05-15T13:45:00Z"/>
                <w:b/>
                <w:szCs w:val="22"/>
              </w:rPr>
              <w:pPrChange w:id="7314" w:author="AbbVie02no" w:date="2025-05-15T13:45:00Z">
                <w:pPr>
                  <w:pStyle w:val="EMEANormal"/>
                  <w:keepNext/>
                  <w:jc w:val="center"/>
                </w:pPr>
              </w:pPrChange>
            </w:pPr>
            <w:del w:id="7315" w:author="AbbVie02no" w:date="2025-05-15T13:45:00Z">
              <w:r>
                <w:rPr>
                  <w:b/>
                  <w:szCs w:val="22"/>
                </w:rPr>
                <w:delText>Effektr</w:delText>
              </w:r>
              <w:r w:rsidRPr="009C5EFD">
                <w:rPr>
                  <w:b/>
                  <w:szCs w:val="22"/>
                </w:rPr>
                <w:delText xml:space="preserve">espons hos pasienter </w:delText>
              </w:r>
              <w:r w:rsidRPr="0021106E">
                <w:rPr>
                  <w:b/>
                  <w:szCs w:val="22"/>
                </w:rPr>
                <w:delText>med ankyloserende spondylitt (AS)</w:delText>
              </w:r>
              <w:r>
                <w:rPr>
                  <w:b/>
                  <w:szCs w:val="22"/>
                </w:rPr>
                <w:delText xml:space="preserve"> </w:delText>
              </w:r>
              <w:r w:rsidRPr="009C5EFD">
                <w:rPr>
                  <w:b/>
                  <w:szCs w:val="22"/>
                </w:rPr>
                <w:delText xml:space="preserve">i placebokontrollert </w:delText>
              </w:r>
              <w:r>
                <w:rPr>
                  <w:b/>
                  <w:szCs w:val="22"/>
                </w:rPr>
                <w:delText xml:space="preserve"> </w:delText>
              </w:r>
              <w:r w:rsidRPr="009C5EFD">
                <w:rPr>
                  <w:b/>
                  <w:szCs w:val="22"/>
                </w:rPr>
                <w:delText>studie – Studie I</w:delText>
              </w:r>
            </w:del>
          </w:p>
          <w:p w14:paraId="414AEE14" w14:textId="12840359" w:rsidR="00DE3458" w:rsidRPr="009C5EFD" w:rsidRDefault="00E453CD">
            <w:pPr>
              <w:keepNext/>
              <w:suppressAutoHyphens/>
              <w:rPr>
                <w:del w:id="7316" w:author="AbbVie02no" w:date="2025-05-15T13:45:00Z"/>
                <w:b/>
                <w:szCs w:val="22"/>
              </w:rPr>
              <w:pPrChange w:id="7317" w:author="AbbVie02no" w:date="2025-05-15T13:45:00Z">
                <w:pPr>
                  <w:pStyle w:val="EMEANormal"/>
                  <w:keepNext/>
                  <w:jc w:val="center"/>
                </w:pPr>
              </w:pPrChange>
            </w:pPr>
            <w:del w:id="7318" w:author="AbbVie02no" w:date="2025-05-15T13:45:00Z">
              <w:r w:rsidRPr="009C5EFD">
                <w:rPr>
                  <w:b/>
                  <w:szCs w:val="22"/>
                </w:rPr>
                <w:delText>Reduksjon av sykdomstegn og symptomer</w:delText>
              </w:r>
            </w:del>
          </w:p>
        </w:tc>
      </w:tr>
    </w:tbl>
    <w:p w14:paraId="70433F9C" w14:textId="10BFD540" w:rsidR="00DE3458" w:rsidRPr="009C5EFD" w:rsidRDefault="00DE3458">
      <w:pPr>
        <w:keepNext/>
        <w:suppressAutoHyphens/>
        <w:rPr>
          <w:del w:id="7319" w:author="AbbVie02no" w:date="2025-05-15T13:45:00Z"/>
          <w:sz w:val="22"/>
          <w:szCs w:val="22"/>
        </w:rPr>
        <w:pPrChange w:id="7320" w:author="AbbVie02no" w:date="2025-05-15T13:45:00Z">
          <w:pPr>
            <w:keepNext/>
            <w:ind w:left="57"/>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160"/>
        <w:gridCol w:w="2203"/>
      </w:tblGrid>
      <w:tr w:rsidR="004644D4" w14:paraId="5E8BF1C3" w14:textId="3055184F" w:rsidTr="00DE1175">
        <w:trPr>
          <w:jc w:val="center"/>
          <w:del w:id="7321"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5EEC32F0" w14:textId="7378CC1A" w:rsidR="00DE3458" w:rsidRPr="00DD19BD" w:rsidRDefault="00E453CD">
            <w:pPr>
              <w:keepNext/>
              <w:suppressAutoHyphens/>
              <w:rPr>
                <w:del w:id="7322" w:author="AbbVie02no" w:date="2025-05-15T13:45:00Z"/>
                <w:b/>
                <w:szCs w:val="22"/>
              </w:rPr>
              <w:pPrChange w:id="7323" w:author="AbbVie02no" w:date="2025-05-15T13:45:00Z">
                <w:pPr>
                  <w:pStyle w:val="EMEANormal"/>
                  <w:keepNext/>
                </w:pPr>
              </w:pPrChange>
            </w:pPr>
            <w:del w:id="7324" w:author="AbbVie02no" w:date="2025-05-15T13:45:00Z">
              <w:r w:rsidRPr="00DD19BD">
                <w:rPr>
                  <w:b/>
                  <w:szCs w:val="22"/>
                </w:rPr>
                <w:delText>Respons</w:delText>
              </w:r>
            </w:del>
          </w:p>
        </w:tc>
        <w:tc>
          <w:tcPr>
            <w:tcW w:w="2160" w:type="dxa"/>
            <w:tcBorders>
              <w:top w:val="single" w:sz="4" w:space="0" w:color="auto"/>
              <w:left w:val="single" w:sz="4" w:space="0" w:color="auto"/>
              <w:bottom w:val="single" w:sz="4" w:space="0" w:color="auto"/>
              <w:right w:val="single" w:sz="4" w:space="0" w:color="auto"/>
            </w:tcBorders>
          </w:tcPr>
          <w:p w14:paraId="266B175A" w14:textId="7C25ECCB" w:rsidR="00DE3458" w:rsidRPr="00DD19BD" w:rsidRDefault="00E453CD">
            <w:pPr>
              <w:keepNext/>
              <w:suppressAutoHyphens/>
              <w:rPr>
                <w:del w:id="7325" w:author="AbbVie02no" w:date="2025-05-15T13:45:00Z"/>
                <w:b/>
                <w:szCs w:val="22"/>
              </w:rPr>
              <w:pPrChange w:id="7326" w:author="AbbVie02no" w:date="2025-05-15T13:45:00Z">
                <w:pPr>
                  <w:pStyle w:val="EMEANormal"/>
                  <w:keepNext/>
                  <w:jc w:val="center"/>
                </w:pPr>
              </w:pPrChange>
            </w:pPr>
            <w:del w:id="7327" w:author="AbbVie02no" w:date="2025-05-15T13:45:00Z">
              <w:r w:rsidRPr="00DD19BD">
                <w:rPr>
                  <w:b/>
                  <w:szCs w:val="22"/>
                </w:rPr>
                <w:delText>Placebo</w:delText>
              </w:r>
            </w:del>
          </w:p>
          <w:p w14:paraId="756B9C54" w14:textId="78292F0A" w:rsidR="00DE3458" w:rsidRPr="00DD19BD" w:rsidRDefault="00E453CD">
            <w:pPr>
              <w:keepNext/>
              <w:suppressAutoHyphens/>
              <w:rPr>
                <w:del w:id="7328" w:author="AbbVie02no" w:date="2025-05-15T13:45:00Z"/>
                <w:b/>
                <w:szCs w:val="22"/>
              </w:rPr>
              <w:pPrChange w:id="7329" w:author="AbbVie02no" w:date="2025-05-15T13:45:00Z">
                <w:pPr>
                  <w:pStyle w:val="EMEANormal"/>
                  <w:keepNext/>
                  <w:jc w:val="center"/>
                </w:pPr>
              </w:pPrChange>
            </w:pPr>
            <w:del w:id="7330" w:author="AbbVie02no" w:date="2025-05-15T13:45:00Z">
              <w:r w:rsidRPr="00DD19BD">
                <w:rPr>
                  <w:b/>
                  <w:szCs w:val="22"/>
                </w:rPr>
                <w:delText>N=107</w:delText>
              </w:r>
            </w:del>
          </w:p>
        </w:tc>
        <w:tc>
          <w:tcPr>
            <w:tcW w:w="2203" w:type="dxa"/>
            <w:tcBorders>
              <w:top w:val="single" w:sz="4" w:space="0" w:color="auto"/>
              <w:left w:val="single" w:sz="4" w:space="0" w:color="auto"/>
              <w:bottom w:val="single" w:sz="4" w:space="0" w:color="auto"/>
              <w:right w:val="single" w:sz="4" w:space="0" w:color="auto"/>
            </w:tcBorders>
          </w:tcPr>
          <w:p w14:paraId="3C592B0B" w14:textId="6659D8AA" w:rsidR="00DE3458" w:rsidRPr="00DD19BD" w:rsidRDefault="00E453CD">
            <w:pPr>
              <w:keepNext/>
              <w:suppressAutoHyphens/>
              <w:rPr>
                <w:del w:id="7331" w:author="AbbVie02no" w:date="2025-05-15T13:45:00Z"/>
                <w:b/>
                <w:szCs w:val="22"/>
              </w:rPr>
              <w:pPrChange w:id="7332" w:author="AbbVie02no" w:date="2025-05-15T13:45:00Z">
                <w:pPr>
                  <w:pStyle w:val="EMEANormal"/>
                  <w:keepNext/>
                  <w:jc w:val="center"/>
                </w:pPr>
              </w:pPrChange>
            </w:pPr>
            <w:del w:id="7333" w:author="AbbVie02no" w:date="2025-05-15T13:45:00Z">
              <w:r w:rsidRPr="00DD19BD">
                <w:rPr>
                  <w:b/>
                  <w:szCs w:val="22"/>
                </w:rPr>
                <w:delText>Humira</w:delText>
              </w:r>
            </w:del>
          </w:p>
          <w:p w14:paraId="43D50775" w14:textId="03500825" w:rsidR="00DE3458" w:rsidRPr="00DD19BD" w:rsidRDefault="00E453CD">
            <w:pPr>
              <w:keepNext/>
              <w:suppressAutoHyphens/>
              <w:rPr>
                <w:del w:id="7334" w:author="AbbVie02no" w:date="2025-05-15T13:45:00Z"/>
                <w:b/>
                <w:szCs w:val="22"/>
              </w:rPr>
              <w:pPrChange w:id="7335" w:author="AbbVie02no" w:date="2025-05-15T13:45:00Z">
                <w:pPr>
                  <w:pStyle w:val="EMEANormal"/>
                  <w:keepNext/>
                  <w:jc w:val="center"/>
                </w:pPr>
              </w:pPrChange>
            </w:pPr>
            <w:del w:id="7336" w:author="AbbVie02no" w:date="2025-05-15T13:45:00Z">
              <w:r w:rsidRPr="00DD19BD">
                <w:rPr>
                  <w:b/>
                  <w:szCs w:val="22"/>
                </w:rPr>
                <w:delText>N=208</w:delText>
              </w:r>
            </w:del>
          </w:p>
        </w:tc>
      </w:tr>
      <w:tr w:rsidR="004644D4" w14:paraId="3B211E50" w14:textId="562067F4" w:rsidTr="00DE1175">
        <w:trPr>
          <w:jc w:val="center"/>
          <w:del w:id="7337"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39C6B303" w14:textId="654E9108" w:rsidR="00DE3458" w:rsidRPr="00E14E58" w:rsidRDefault="00E453CD">
            <w:pPr>
              <w:keepNext/>
              <w:suppressAutoHyphens/>
              <w:rPr>
                <w:del w:id="7338" w:author="AbbVie02no" w:date="2025-05-15T13:45:00Z"/>
                <w:szCs w:val="22"/>
              </w:rPr>
              <w:pPrChange w:id="7339" w:author="AbbVie02no" w:date="2025-05-15T13:45:00Z">
                <w:pPr>
                  <w:pStyle w:val="EMEANormal"/>
                  <w:keepNext/>
                </w:pPr>
              </w:pPrChange>
            </w:pPr>
            <w:del w:id="7340" w:author="AbbVie02no" w:date="2025-05-15T13:45:00Z">
              <w:r w:rsidRPr="007F67EE">
                <w:rPr>
                  <w:szCs w:val="22"/>
                </w:rPr>
                <w:delText>ASAS</w:delText>
              </w:r>
              <w:r w:rsidRPr="00193D76">
                <w:rPr>
                  <w:szCs w:val="22"/>
                  <w:vertAlign w:val="superscript"/>
                </w:rPr>
                <w:delText>a</w:delText>
              </w:r>
              <w:r w:rsidRPr="00E14E58">
                <w:rPr>
                  <w:szCs w:val="22"/>
                </w:rPr>
                <w:delText xml:space="preserve"> 20 </w:delText>
              </w:r>
            </w:del>
          </w:p>
        </w:tc>
        <w:tc>
          <w:tcPr>
            <w:tcW w:w="2160" w:type="dxa"/>
            <w:tcBorders>
              <w:top w:val="single" w:sz="4" w:space="0" w:color="auto"/>
              <w:left w:val="single" w:sz="4" w:space="0" w:color="auto"/>
              <w:bottom w:val="single" w:sz="4" w:space="0" w:color="auto"/>
              <w:right w:val="single" w:sz="4" w:space="0" w:color="auto"/>
            </w:tcBorders>
          </w:tcPr>
          <w:p w14:paraId="16CE4685" w14:textId="121EC80F" w:rsidR="00DE3458" w:rsidRPr="009C5EFD" w:rsidRDefault="00DE3458">
            <w:pPr>
              <w:keepNext/>
              <w:suppressAutoHyphens/>
              <w:rPr>
                <w:del w:id="7341" w:author="AbbVie02no" w:date="2025-05-15T13:45:00Z"/>
                <w:szCs w:val="22"/>
              </w:rPr>
              <w:pPrChange w:id="7342" w:author="AbbVie02no" w:date="2025-05-15T13:45:00Z">
                <w:pPr>
                  <w:pStyle w:val="EMEANormal"/>
                  <w:keepNext/>
                  <w:jc w:val="center"/>
                </w:pPr>
              </w:pPrChange>
            </w:pPr>
          </w:p>
        </w:tc>
        <w:tc>
          <w:tcPr>
            <w:tcW w:w="2203" w:type="dxa"/>
            <w:tcBorders>
              <w:top w:val="single" w:sz="4" w:space="0" w:color="auto"/>
              <w:left w:val="single" w:sz="4" w:space="0" w:color="auto"/>
              <w:bottom w:val="single" w:sz="4" w:space="0" w:color="auto"/>
              <w:right w:val="single" w:sz="4" w:space="0" w:color="auto"/>
            </w:tcBorders>
          </w:tcPr>
          <w:p w14:paraId="02741A49" w14:textId="41EDAD5C" w:rsidR="00DE3458" w:rsidRPr="009C5EFD" w:rsidRDefault="00DE3458">
            <w:pPr>
              <w:keepNext/>
              <w:suppressAutoHyphens/>
              <w:rPr>
                <w:del w:id="7343" w:author="AbbVie02no" w:date="2025-05-15T13:45:00Z"/>
                <w:szCs w:val="22"/>
              </w:rPr>
              <w:pPrChange w:id="7344" w:author="AbbVie02no" w:date="2025-05-15T13:45:00Z">
                <w:pPr>
                  <w:pStyle w:val="EMEANormal"/>
                  <w:keepNext/>
                  <w:jc w:val="center"/>
                </w:pPr>
              </w:pPrChange>
            </w:pPr>
          </w:p>
        </w:tc>
      </w:tr>
      <w:tr w:rsidR="004644D4" w14:paraId="7BBF46BC" w14:textId="39F77A06" w:rsidTr="00DE1175">
        <w:trPr>
          <w:jc w:val="center"/>
          <w:del w:id="7345"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0094BAF6" w14:textId="39867C1C" w:rsidR="00DE3458" w:rsidRPr="007F67EE" w:rsidRDefault="00E453CD">
            <w:pPr>
              <w:keepNext/>
              <w:suppressAutoHyphens/>
              <w:rPr>
                <w:del w:id="7346" w:author="AbbVie02no" w:date="2025-05-15T13:45:00Z"/>
                <w:szCs w:val="22"/>
              </w:rPr>
              <w:pPrChange w:id="7347" w:author="AbbVie02no" w:date="2025-05-15T13:45:00Z">
                <w:pPr>
                  <w:pStyle w:val="EMEANormal"/>
                  <w:keepNext/>
                </w:pPr>
              </w:pPrChange>
            </w:pPr>
            <w:del w:id="7348" w:author="AbbVie02no" w:date="2025-05-15T13:45:00Z">
              <w:r w:rsidRPr="007F67EE">
                <w:rPr>
                  <w:szCs w:val="22"/>
                </w:rPr>
                <w:tab/>
                <w:delText>Uke 2</w:delText>
              </w:r>
            </w:del>
          </w:p>
        </w:tc>
        <w:tc>
          <w:tcPr>
            <w:tcW w:w="2160" w:type="dxa"/>
            <w:tcBorders>
              <w:top w:val="single" w:sz="4" w:space="0" w:color="auto"/>
              <w:left w:val="single" w:sz="4" w:space="0" w:color="auto"/>
              <w:bottom w:val="single" w:sz="4" w:space="0" w:color="auto"/>
              <w:right w:val="single" w:sz="4" w:space="0" w:color="auto"/>
            </w:tcBorders>
          </w:tcPr>
          <w:p w14:paraId="64D515F4" w14:textId="48F95F63" w:rsidR="00DE3458" w:rsidRPr="002D0790" w:rsidRDefault="00E453CD">
            <w:pPr>
              <w:keepNext/>
              <w:suppressAutoHyphens/>
              <w:rPr>
                <w:del w:id="7349" w:author="AbbVie02no" w:date="2025-05-15T13:45:00Z"/>
                <w:szCs w:val="22"/>
              </w:rPr>
              <w:pPrChange w:id="7350" w:author="AbbVie02no" w:date="2025-05-15T13:45:00Z">
                <w:pPr>
                  <w:pStyle w:val="EMEANormal"/>
                  <w:keepNext/>
                  <w:jc w:val="center"/>
                </w:pPr>
              </w:pPrChange>
            </w:pPr>
            <w:del w:id="7351" w:author="AbbVie02no" w:date="2025-05-15T13:45:00Z">
              <w:r w:rsidRPr="00193D76">
                <w:rPr>
                  <w:szCs w:val="22"/>
                </w:rPr>
                <w:delText>16</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5DB82062" w14:textId="0782A4C3" w:rsidR="00DE3458" w:rsidRPr="009C5EFD" w:rsidRDefault="00E453CD">
            <w:pPr>
              <w:keepNext/>
              <w:suppressAutoHyphens/>
              <w:rPr>
                <w:del w:id="7352" w:author="AbbVie02no" w:date="2025-05-15T13:45:00Z"/>
                <w:szCs w:val="22"/>
              </w:rPr>
              <w:pPrChange w:id="7353" w:author="AbbVie02no" w:date="2025-05-15T13:45:00Z">
                <w:pPr>
                  <w:pStyle w:val="EMEANormal"/>
                  <w:keepNext/>
                  <w:jc w:val="center"/>
                </w:pPr>
              </w:pPrChange>
            </w:pPr>
            <w:del w:id="7354" w:author="AbbVie02no" w:date="2025-05-15T13:45:00Z">
              <w:r w:rsidRPr="00E14E58">
                <w:rPr>
                  <w:szCs w:val="22"/>
                </w:rPr>
                <w:delText>42</w:delText>
              </w:r>
              <w:r w:rsidR="00E51AA9" w:rsidRPr="009C5EFD">
                <w:rPr>
                  <w:szCs w:val="22"/>
                </w:rPr>
                <w:delText xml:space="preserve"> %</w:delText>
              </w:r>
              <w:r w:rsidRPr="009C5EFD">
                <w:rPr>
                  <w:szCs w:val="22"/>
                </w:rPr>
                <w:delText>***</w:delText>
              </w:r>
            </w:del>
          </w:p>
        </w:tc>
      </w:tr>
      <w:tr w:rsidR="004644D4" w14:paraId="1DA3D5FE" w14:textId="4C357A6A" w:rsidTr="00DE1175">
        <w:trPr>
          <w:jc w:val="center"/>
          <w:del w:id="7355"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74099327" w14:textId="35385AA8" w:rsidR="00DE3458" w:rsidRPr="007F67EE" w:rsidRDefault="00E453CD">
            <w:pPr>
              <w:keepNext/>
              <w:suppressAutoHyphens/>
              <w:rPr>
                <w:del w:id="7356" w:author="AbbVie02no" w:date="2025-05-15T13:45:00Z"/>
                <w:szCs w:val="22"/>
              </w:rPr>
              <w:pPrChange w:id="7357" w:author="AbbVie02no" w:date="2025-05-15T13:45:00Z">
                <w:pPr>
                  <w:pStyle w:val="EMEANormal"/>
                  <w:keepNext/>
                </w:pPr>
              </w:pPrChange>
            </w:pPr>
            <w:del w:id="7358" w:author="AbbVie02no" w:date="2025-05-15T13:45:00Z">
              <w:r w:rsidRPr="007F67EE">
                <w:rPr>
                  <w:szCs w:val="22"/>
                </w:rPr>
                <w:tab/>
                <w:delText>Uke 12</w:delText>
              </w:r>
            </w:del>
          </w:p>
        </w:tc>
        <w:tc>
          <w:tcPr>
            <w:tcW w:w="2160" w:type="dxa"/>
            <w:tcBorders>
              <w:top w:val="single" w:sz="4" w:space="0" w:color="auto"/>
              <w:left w:val="single" w:sz="4" w:space="0" w:color="auto"/>
              <w:bottom w:val="single" w:sz="4" w:space="0" w:color="auto"/>
              <w:right w:val="single" w:sz="4" w:space="0" w:color="auto"/>
            </w:tcBorders>
          </w:tcPr>
          <w:p w14:paraId="2E5F3EEC" w14:textId="503947DA" w:rsidR="00DE3458" w:rsidRPr="002D0790" w:rsidRDefault="00E453CD">
            <w:pPr>
              <w:keepNext/>
              <w:suppressAutoHyphens/>
              <w:rPr>
                <w:del w:id="7359" w:author="AbbVie02no" w:date="2025-05-15T13:45:00Z"/>
                <w:szCs w:val="22"/>
              </w:rPr>
              <w:pPrChange w:id="7360" w:author="AbbVie02no" w:date="2025-05-15T13:45:00Z">
                <w:pPr>
                  <w:pStyle w:val="EMEANormal"/>
                  <w:keepNext/>
                  <w:jc w:val="center"/>
                </w:pPr>
              </w:pPrChange>
            </w:pPr>
            <w:del w:id="7361" w:author="AbbVie02no" w:date="2025-05-15T13:45:00Z">
              <w:r w:rsidRPr="00193D76">
                <w:rPr>
                  <w:szCs w:val="22"/>
                </w:rPr>
                <w:delText>21</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16FDB20A" w14:textId="7543FC5D" w:rsidR="00DE3458" w:rsidRPr="009C5EFD" w:rsidRDefault="00E453CD">
            <w:pPr>
              <w:keepNext/>
              <w:suppressAutoHyphens/>
              <w:rPr>
                <w:del w:id="7362" w:author="AbbVie02no" w:date="2025-05-15T13:45:00Z"/>
                <w:szCs w:val="22"/>
              </w:rPr>
              <w:pPrChange w:id="7363" w:author="AbbVie02no" w:date="2025-05-15T13:45:00Z">
                <w:pPr>
                  <w:pStyle w:val="EMEANormal"/>
                  <w:keepNext/>
                  <w:jc w:val="center"/>
                </w:pPr>
              </w:pPrChange>
            </w:pPr>
            <w:del w:id="7364" w:author="AbbVie02no" w:date="2025-05-15T13:45:00Z">
              <w:r w:rsidRPr="00E14E58">
                <w:rPr>
                  <w:szCs w:val="22"/>
                </w:rPr>
                <w:delText>58</w:delText>
              </w:r>
              <w:r w:rsidR="00E51AA9" w:rsidRPr="009C5EFD">
                <w:rPr>
                  <w:szCs w:val="22"/>
                </w:rPr>
                <w:delText xml:space="preserve"> %</w:delText>
              </w:r>
              <w:r w:rsidRPr="009C5EFD">
                <w:rPr>
                  <w:szCs w:val="22"/>
                </w:rPr>
                <w:delText>***</w:delText>
              </w:r>
            </w:del>
          </w:p>
        </w:tc>
      </w:tr>
      <w:tr w:rsidR="004644D4" w14:paraId="1CE22A81" w14:textId="6CFD986D" w:rsidTr="00DE1175">
        <w:trPr>
          <w:jc w:val="center"/>
          <w:del w:id="7365"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31553922" w14:textId="0F5EBF8F" w:rsidR="00DE3458" w:rsidRPr="007F67EE" w:rsidRDefault="00E453CD">
            <w:pPr>
              <w:keepNext/>
              <w:suppressAutoHyphens/>
              <w:rPr>
                <w:del w:id="7366" w:author="AbbVie02no" w:date="2025-05-15T13:45:00Z"/>
                <w:szCs w:val="22"/>
              </w:rPr>
              <w:pPrChange w:id="7367" w:author="AbbVie02no" w:date="2025-05-15T13:45:00Z">
                <w:pPr>
                  <w:pStyle w:val="EMEANormal"/>
                  <w:keepNext/>
                </w:pPr>
              </w:pPrChange>
            </w:pPr>
            <w:del w:id="7368" w:author="AbbVie02no" w:date="2025-05-15T13:45:00Z">
              <w:r w:rsidRPr="007F67EE">
                <w:rPr>
                  <w:szCs w:val="22"/>
                </w:rPr>
                <w:tab/>
                <w:delText>Uke 24</w:delText>
              </w:r>
            </w:del>
          </w:p>
        </w:tc>
        <w:tc>
          <w:tcPr>
            <w:tcW w:w="2160" w:type="dxa"/>
            <w:tcBorders>
              <w:top w:val="single" w:sz="4" w:space="0" w:color="auto"/>
              <w:left w:val="single" w:sz="4" w:space="0" w:color="auto"/>
              <w:bottom w:val="single" w:sz="4" w:space="0" w:color="auto"/>
              <w:right w:val="single" w:sz="4" w:space="0" w:color="auto"/>
            </w:tcBorders>
          </w:tcPr>
          <w:p w14:paraId="2D7D883F" w14:textId="51C1BBEE" w:rsidR="00DE3458" w:rsidRPr="002D0790" w:rsidRDefault="00E453CD">
            <w:pPr>
              <w:keepNext/>
              <w:suppressAutoHyphens/>
              <w:rPr>
                <w:del w:id="7369" w:author="AbbVie02no" w:date="2025-05-15T13:45:00Z"/>
                <w:szCs w:val="22"/>
              </w:rPr>
              <w:pPrChange w:id="7370" w:author="AbbVie02no" w:date="2025-05-15T13:45:00Z">
                <w:pPr>
                  <w:pStyle w:val="EMEANormal"/>
                  <w:keepNext/>
                  <w:jc w:val="center"/>
                </w:pPr>
              </w:pPrChange>
            </w:pPr>
            <w:del w:id="7371" w:author="AbbVie02no" w:date="2025-05-15T13:45:00Z">
              <w:r w:rsidRPr="00193D76">
                <w:rPr>
                  <w:szCs w:val="22"/>
                </w:rPr>
                <w:delText>19</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43E0A9E2" w14:textId="0C2B1CD4" w:rsidR="00DE3458" w:rsidRPr="009C5EFD" w:rsidRDefault="00E453CD">
            <w:pPr>
              <w:keepNext/>
              <w:suppressAutoHyphens/>
              <w:rPr>
                <w:del w:id="7372" w:author="AbbVie02no" w:date="2025-05-15T13:45:00Z"/>
                <w:szCs w:val="22"/>
              </w:rPr>
              <w:pPrChange w:id="7373" w:author="AbbVie02no" w:date="2025-05-15T13:45:00Z">
                <w:pPr>
                  <w:pStyle w:val="EMEANormal"/>
                  <w:keepNext/>
                  <w:jc w:val="center"/>
                </w:pPr>
              </w:pPrChange>
            </w:pPr>
            <w:del w:id="7374" w:author="AbbVie02no" w:date="2025-05-15T13:45:00Z">
              <w:r w:rsidRPr="00E14E58">
                <w:rPr>
                  <w:szCs w:val="22"/>
                </w:rPr>
                <w:delText>51</w:delText>
              </w:r>
              <w:r w:rsidR="00E51AA9" w:rsidRPr="009C5EFD">
                <w:rPr>
                  <w:szCs w:val="22"/>
                </w:rPr>
                <w:delText xml:space="preserve"> %</w:delText>
              </w:r>
              <w:r w:rsidRPr="009C5EFD">
                <w:rPr>
                  <w:szCs w:val="22"/>
                </w:rPr>
                <w:delText>***</w:delText>
              </w:r>
            </w:del>
          </w:p>
        </w:tc>
      </w:tr>
      <w:tr w:rsidR="004644D4" w14:paraId="0CEB2C3E" w14:textId="4F9A0D6B" w:rsidTr="00DE1175">
        <w:trPr>
          <w:jc w:val="center"/>
          <w:del w:id="7375"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2B8563D1" w14:textId="0125217C" w:rsidR="00DE3458" w:rsidRPr="007F67EE" w:rsidRDefault="00E453CD">
            <w:pPr>
              <w:keepNext/>
              <w:suppressAutoHyphens/>
              <w:rPr>
                <w:del w:id="7376" w:author="AbbVie02no" w:date="2025-05-15T13:45:00Z"/>
                <w:szCs w:val="22"/>
              </w:rPr>
              <w:pPrChange w:id="7377" w:author="AbbVie02no" w:date="2025-05-15T13:45:00Z">
                <w:pPr>
                  <w:pStyle w:val="EMEANormal"/>
                  <w:keepNext/>
                </w:pPr>
              </w:pPrChange>
            </w:pPr>
            <w:del w:id="7378" w:author="AbbVie02no" w:date="2025-05-15T13:45:00Z">
              <w:r w:rsidRPr="007F67EE">
                <w:rPr>
                  <w:szCs w:val="22"/>
                </w:rPr>
                <w:delText xml:space="preserve">ASAS 50 </w:delText>
              </w:r>
            </w:del>
          </w:p>
        </w:tc>
        <w:tc>
          <w:tcPr>
            <w:tcW w:w="2160" w:type="dxa"/>
            <w:tcBorders>
              <w:top w:val="single" w:sz="4" w:space="0" w:color="auto"/>
              <w:left w:val="single" w:sz="4" w:space="0" w:color="auto"/>
              <w:bottom w:val="single" w:sz="4" w:space="0" w:color="auto"/>
              <w:right w:val="single" w:sz="4" w:space="0" w:color="auto"/>
            </w:tcBorders>
          </w:tcPr>
          <w:p w14:paraId="3753114F" w14:textId="0882514A" w:rsidR="00DE3458" w:rsidRPr="00193D76" w:rsidRDefault="00DE3458">
            <w:pPr>
              <w:keepNext/>
              <w:suppressAutoHyphens/>
              <w:rPr>
                <w:del w:id="7379" w:author="AbbVie02no" w:date="2025-05-15T13:45:00Z"/>
                <w:szCs w:val="22"/>
              </w:rPr>
              <w:pPrChange w:id="7380" w:author="AbbVie02no" w:date="2025-05-15T13:45:00Z">
                <w:pPr>
                  <w:pStyle w:val="EMEANormal"/>
                  <w:keepNext/>
                  <w:jc w:val="center"/>
                </w:pPr>
              </w:pPrChange>
            </w:pPr>
          </w:p>
        </w:tc>
        <w:tc>
          <w:tcPr>
            <w:tcW w:w="2203" w:type="dxa"/>
            <w:tcBorders>
              <w:top w:val="single" w:sz="4" w:space="0" w:color="auto"/>
              <w:left w:val="single" w:sz="4" w:space="0" w:color="auto"/>
              <w:bottom w:val="single" w:sz="4" w:space="0" w:color="auto"/>
              <w:right w:val="single" w:sz="4" w:space="0" w:color="auto"/>
            </w:tcBorders>
          </w:tcPr>
          <w:p w14:paraId="08CBC903" w14:textId="0A75430D" w:rsidR="00DE3458" w:rsidRPr="002D0790" w:rsidRDefault="00DE3458">
            <w:pPr>
              <w:keepNext/>
              <w:suppressAutoHyphens/>
              <w:rPr>
                <w:del w:id="7381" w:author="AbbVie02no" w:date="2025-05-15T13:45:00Z"/>
                <w:szCs w:val="22"/>
              </w:rPr>
              <w:pPrChange w:id="7382" w:author="AbbVie02no" w:date="2025-05-15T13:45:00Z">
                <w:pPr>
                  <w:pStyle w:val="EMEANormal"/>
                  <w:keepNext/>
                  <w:jc w:val="center"/>
                </w:pPr>
              </w:pPrChange>
            </w:pPr>
          </w:p>
        </w:tc>
      </w:tr>
      <w:tr w:rsidR="004644D4" w14:paraId="5921C965" w14:textId="33279DDA" w:rsidTr="00DE1175">
        <w:trPr>
          <w:jc w:val="center"/>
          <w:del w:id="7383"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350D0A2F" w14:textId="30448E49" w:rsidR="00DE3458" w:rsidRPr="007F67EE" w:rsidRDefault="00E453CD">
            <w:pPr>
              <w:keepNext/>
              <w:suppressAutoHyphens/>
              <w:rPr>
                <w:del w:id="7384" w:author="AbbVie02no" w:date="2025-05-15T13:45:00Z"/>
                <w:szCs w:val="22"/>
              </w:rPr>
              <w:pPrChange w:id="7385" w:author="AbbVie02no" w:date="2025-05-15T13:45:00Z">
                <w:pPr>
                  <w:pStyle w:val="EMEANormal"/>
                  <w:keepNext/>
                </w:pPr>
              </w:pPrChange>
            </w:pPr>
            <w:del w:id="7386" w:author="AbbVie02no" w:date="2025-05-15T13:45:00Z">
              <w:r w:rsidRPr="007F67EE">
                <w:rPr>
                  <w:szCs w:val="22"/>
                </w:rPr>
                <w:tab/>
                <w:delText>Uke 2</w:delText>
              </w:r>
            </w:del>
          </w:p>
        </w:tc>
        <w:tc>
          <w:tcPr>
            <w:tcW w:w="2160" w:type="dxa"/>
            <w:tcBorders>
              <w:top w:val="single" w:sz="4" w:space="0" w:color="auto"/>
              <w:left w:val="single" w:sz="4" w:space="0" w:color="auto"/>
              <w:bottom w:val="single" w:sz="4" w:space="0" w:color="auto"/>
              <w:right w:val="single" w:sz="4" w:space="0" w:color="auto"/>
            </w:tcBorders>
          </w:tcPr>
          <w:p w14:paraId="504C87BD" w14:textId="2CA88E91" w:rsidR="00DE3458" w:rsidRPr="002D0790" w:rsidRDefault="00E453CD">
            <w:pPr>
              <w:keepNext/>
              <w:suppressAutoHyphens/>
              <w:rPr>
                <w:del w:id="7387" w:author="AbbVie02no" w:date="2025-05-15T13:45:00Z"/>
                <w:szCs w:val="22"/>
              </w:rPr>
              <w:pPrChange w:id="7388" w:author="AbbVie02no" w:date="2025-05-15T13:45:00Z">
                <w:pPr>
                  <w:pStyle w:val="EMEANormal"/>
                  <w:keepNext/>
                  <w:jc w:val="center"/>
                </w:pPr>
              </w:pPrChange>
            </w:pPr>
            <w:del w:id="7389" w:author="AbbVie02no" w:date="2025-05-15T13:45:00Z">
              <w:r w:rsidRPr="00193D76">
                <w:rPr>
                  <w:szCs w:val="22"/>
                </w:rPr>
                <w:delText>3</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23002F42" w14:textId="194CD22C" w:rsidR="00DE3458" w:rsidRPr="009C5EFD" w:rsidRDefault="00E453CD">
            <w:pPr>
              <w:keepNext/>
              <w:suppressAutoHyphens/>
              <w:rPr>
                <w:del w:id="7390" w:author="AbbVie02no" w:date="2025-05-15T13:45:00Z"/>
                <w:szCs w:val="22"/>
              </w:rPr>
              <w:pPrChange w:id="7391" w:author="AbbVie02no" w:date="2025-05-15T13:45:00Z">
                <w:pPr>
                  <w:pStyle w:val="EMEANormal"/>
                  <w:keepNext/>
                  <w:jc w:val="center"/>
                </w:pPr>
              </w:pPrChange>
            </w:pPr>
            <w:del w:id="7392" w:author="AbbVie02no" w:date="2025-05-15T13:45:00Z">
              <w:r w:rsidRPr="00E14E58">
                <w:rPr>
                  <w:szCs w:val="22"/>
                </w:rPr>
                <w:delText>16</w:delText>
              </w:r>
              <w:r w:rsidR="00E51AA9" w:rsidRPr="009C5EFD">
                <w:rPr>
                  <w:szCs w:val="22"/>
                </w:rPr>
                <w:delText xml:space="preserve"> %</w:delText>
              </w:r>
              <w:r w:rsidRPr="009C5EFD">
                <w:rPr>
                  <w:szCs w:val="22"/>
                </w:rPr>
                <w:delText>***</w:delText>
              </w:r>
            </w:del>
          </w:p>
        </w:tc>
      </w:tr>
      <w:tr w:rsidR="004644D4" w14:paraId="0A60A52C" w14:textId="71ABCDE7" w:rsidTr="00DE1175">
        <w:trPr>
          <w:jc w:val="center"/>
          <w:del w:id="7393"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00382068" w14:textId="49195847" w:rsidR="00DE3458" w:rsidRPr="007F67EE" w:rsidRDefault="00E453CD">
            <w:pPr>
              <w:keepNext/>
              <w:suppressAutoHyphens/>
              <w:rPr>
                <w:del w:id="7394" w:author="AbbVie02no" w:date="2025-05-15T13:45:00Z"/>
                <w:szCs w:val="22"/>
              </w:rPr>
              <w:pPrChange w:id="7395" w:author="AbbVie02no" w:date="2025-05-15T13:45:00Z">
                <w:pPr>
                  <w:pStyle w:val="EMEANormal"/>
                  <w:keepNext/>
                </w:pPr>
              </w:pPrChange>
            </w:pPr>
            <w:del w:id="7396" w:author="AbbVie02no" w:date="2025-05-15T13:45:00Z">
              <w:r w:rsidRPr="007F67EE">
                <w:rPr>
                  <w:szCs w:val="22"/>
                </w:rPr>
                <w:tab/>
                <w:delText>Uke 12</w:delText>
              </w:r>
            </w:del>
          </w:p>
        </w:tc>
        <w:tc>
          <w:tcPr>
            <w:tcW w:w="2160" w:type="dxa"/>
            <w:tcBorders>
              <w:top w:val="single" w:sz="4" w:space="0" w:color="auto"/>
              <w:left w:val="single" w:sz="4" w:space="0" w:color="auto"/>
              <w:bottom w:val="single" w:sz="4" w:space="0" w:color="auto"/>
              <w:right w:val="single" w:sz="4" w:space="0" w:color="auto"/>
            </w:tcBorders>
          </w:tcPr>
          <w:p w14:paraId="043FDACD" w14:textId="03B540D9" w:rsidR="00DE3458" w:rsidRPr="002D0790" w:rsidRDefault="00E453CD">
            <w:pPr>
              <w:keepNext/>
              <w:suppressAutoHyphens/>
              <w:rPr>
                <w:del w:id="7397" w:author="AbbVie02no" w:date="2025-05-15T13:45:00Z"/>
                <w:szCs w:val="22"/>
              </w:rPr>
              <w:pPrChange w:id="7398" w:author="AbbVie02no" w:date="2025-05-15T13:45:00Z">
                <w:pPr>
                  <w:pStyle w:val="EMEANormal"/>
                  <w:keepNext/>
                  <w:jc w:val="center"/>
                </w:pPr>
              </w:pPrChange>
            </w:pPr>
            <w:del w:id="7399" w:author="AbbVie02no" w:date="2025-05-15T13:45:00Z">
              <w:r w:rsidRPr="00193D76">
                <w:rPr>
                  <w:szCs w:val="22"/>
                </w:rPr>
                <w:delText>10</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20B9939D" w14:textId="2A8CABE9" w:rsidR="00DE3458" w:rsidRPr="009C5EFD" w:rsidRDefault="00E453CD">
            <w:pPr>
              <w:keepNext/>
              <w:suppressAutoHyphens/>
              <w:rPr>
                <w:del w:id="7400" w:author="AbbVie02no" w:date="2025-05-15T13:45:00Z"/>
                <w:szCs w:val="22"/>
              </w:rPr>
              <w:pPrChange w:id="7401" w:author="AbbVie02no" w:date="2025-05-15T13:45:00Z">
                <w:pPr>
                  <w:pStyle w:val="EMEANormal"/>
                  <w:keepNext/>
                  <w:jc w:val="center"/>
                </w:pPr>
              </w:pPrChange>
            </w:pPr>
            <w:del w:id="7402" w:author="AbbVie02no" w:date="2025-05-15T13:45:00Z">
              <w:r w:rsidRPr="00E14E58">
                <w:rPr>
                  <w:szCs w:val="22"/>
                </w:rPr>
                <w:delText>38</w:delText>
              </w:r>
              <w:r w:rsidR="00E51AA9" w:rsidRPr="009C5EFD">
                <w:rPr>
                  <w:szCs w:val="22"/>
                </w:rPr>
                <w:delText xml:space="preserve"> %</w:delText>
              </w:r>
              <w:r w:rsidRPr="009C5EFD">
                <w:rPr>
                  <w:szCs w:val="22"/>
                </w:rPr>
                <w:delText>***</w:delText>
              </w:r>
            </w:del>
          </w:p>
        </w:tc>
      </w:tr>
      <w:tr w:rsidR="004644D4" w14:paraId="7F6B9B44" w14:textId="6AB554AC" w:rsidTr="00DE1175">
        <w:trPr>
          <w:jc w:val="center"/>
          <w:del w:id="7403"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38AD3FF2" w14:textId="130994E0" w:rsidR="00DE3458" w:rsidRPr="007F67EE" w:rsidRDefault="00E453CD">
            <w:pPr>
              <w:keepNext/>
              <w:suppressAutoHyphens/>
              <w:rPr>
                <w:del w:id="7404" w:author="AbbVie02no" w:date="2025-05-15T13:45:00Z"/>
                <w:szCs w:val="22"/>
              </w:rPr>
              <w:pPrChange w:id="7405" w:author="AbbVie02no" w:date="2025-05-15T13:45:00Z">
                <w:pPr>
                  <w:pStyle w:val="EMEANormal"/>
                  <w:keepNext/>
                </w:pPr>
              </w:pPrChange>
            </w:pPr>
            <w:del w:id="7406" w:author="AbbVie02no" w:date="2025-05-15T13:45:00Z">
              <w:r w:rsidRPr="007F67EE">
                <w:rPr>
                  <w:szCs w:val="22"/>
                </w:rPr>
                <w:tab/>
                <w:delText>Uke 24</w:delText>
              </w:r>
            </w:del>
          </w:p>
        </w:tc>
        <w:tc>
          <w:tcPr>
            <w:tcW w:w="2160" w:type="dxa"/>
            <w:tcBorders>
              <w:top w:val="single" w:sz="4" w:space="0" w:color="auto"/>
              <w:left w:val="single" w:sz="4" w:space="0" w:color="auto"/>
              <w:bottom w:val="single" w:sz="4" w:space="0" w:color="auto"/>
              <w:right w:val="single" w:sz="4" w:space="0" w:color="auto"/>
            </w:tcBorders>
          </w:tcPr>
          <w:p w14:paraId="697AF686" w14:textId="0261FA3B" w:rsidR="00DE3458" w:rsidRPr="002D0790" w:rsidRDefault="00E453CD">
            <w:pPr>
              <w:keepNext/>
              <w:suppressAutoHyphens/>
              <w:rPr>
                <w:del w:id="7407" w:author="AbbVie02no" w:date="2025-05-15T13:45:00Z"/>
                <w:szCs w:val="22"/>
              </w:rPr>
              <w:pPrChange w:id="7408" w:author="AbbVie02no" w:date="2025-05-15T13:45:00Z">
                <w:pPr>
                  <w:pStyle w:val="EMEANormal"/>
                  <w:keepNext/>
                  <w:jc w:val="center"/>
                </w:pPr>
              </w:pPrChange>
            </w:pPr>
            <w:del w:id="7409" w:author="AbbVie02no" w:date="2025-05-15T13:45:00Z">
              <w:r w:rsidRPr="00193D76">
                <w:rPr>
                  <w:szCs w:val="22"/>
                </w:rPr>
                <w:delText>11</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2D505F7A" w14:textId="065E4CCF" w:rsidR="00DE3458" w:rsidRPr="009C5EFD" w:rsidRDefault="00E453CD">
            <w:pPr>
              <w:keepNext/>
              <w:suppressAutoHyphens/>
              <w:rPr>
                <w:del w:id="7410" w:author="AbbVie02no" w:date="2025-05-15T13:45:00Z"/>
                <w:szCs w:val="22"/>
              </w:rPr>
              <w:pPrChange w:id="7411" w:author="AbbVie02no" w:date="2025-05-15T13:45:00Z">
                <w:pPr>
                  <w:pStyle w:val="EMEANormal"/>
                  <w:keepNext/>
                  <w:jc w:val="center"/>
                </w:pPr>
              </w:pPrChange>
            </w:pPr>
            <w:del w:id="7412" w:author="AbbVie02no" w:date="2025-05-15T13:45:00Z">
              <w:r w:rsidRPr="00E14E58">
                <w:rPr>
                  <w:szCs w:val="22"/>
                </w:rPr>
                <w:delText>35</w:delText>
              </w:r>
              <w:r w:rsidR="00E51AA9" w:rsidRPr="009C5EFD">
                <w:rPr>
                  <w:szCs w:val="22"/>
                </w:rPr>
                <w:delText xml:space="preserve"> %</w:delText>
              </w:r>
              <w:r w:rsidRPr="009C5EFD">
                <w:rPr>
                  <w:szCs w:val="22"/>
                </w:rPr>
                <w:delText>***</w:delText>
              </w:r>
            </w:del>
          </w:p>
        </w:tc>
      </w:tr>
      <w:tr w:rsidR="004644D4" w14:paraId="79E76B3E" w14:textId="4C00653D" w:rsidTr="00DE1175">
        <w:trPr>
          <w:jc w:val="center"/>
          <w:del w:id="7413"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5E3078A3" w14:textId="0BCAC1B6" w:rsidR="00DE3458" w:rsidRPr="007F67EE" w:rsidRDefault="00E453CD">
            <w:pPr>
              <w:keepNext/>
              <w:suppressAutoHyphens/>
              <w:rPr>
                <w:del w:id="7414" w:author="AbbVie02no" w:date="2025-05-15T13:45:00Z"/>
                <w:szCs w:val="22"/>
              </w:rPr>
              <w:pPrChange w:id="7415" w:author="AbbVie02no" w:date="2025-05-15T13:45:00Z">
                <w:pPr>
                  <w:pStyle w:val="EMEANormal"/>
                  <w:keepNext/>
                </w:pPr>
              </w:pPrChange>
            </w:pPr>
            <w:del w:id="7416" w:author="AbbVie02no" w:date="2025-05-15T13:45:00Z">
              <w:r w:rsidRPr="007F67EE">
                <w:rPr>
                  <w:szCs w:val="22"/>
                </w:rPr>
                <w:delText xml:space="preserve">ASAS 70 </w:delText>
              </w:r>
            </w:del>
          </w:p>
        </w:tc>
        <w:tc>
          <w:tcPr>
            <w:tcW w:w="2160" w:type="dxa"/>
            <w:tcBorders>
              <w:top w:val="single" w:sz="4" w:space="0" w:color="auto"/>
              <w:left w:val="single" w:sz="4" w:space="0" w:color="auto"/>
              <w:bottom w:val="single" w:sz="4" w:space="0" w:color="auto"/>
              <w:right w:val="single" w:sz="4" w:space="0" w:color="auto"/>
            </w:tcBorders>
          </w:tcPr>
          <w:p w14:paraId="0490E5A7" w14:textId="7C760AFA" w:rsidR="00DE3458" w:rsidRPr="00193D76" w:rsidRDefault="00DE3458">
            <w:pPr>
              <w:keepNext/>
              <w:suppressAutoHyphens/>
              <w:rPr>
                <w:del w:id="7417" w:author="AbbVie02no" w:date="2025-05-15T13:45:00Z"/>
                <w:szCs w:val="22"/>
              </w:rPr>
              <w:pPrChange w:id="7418" w:author="AbbVie02no" w:date="2025-05-15T13:45:00Z">
                <w:pPr>
                  <w:pStyle w:val="EMEANormal"/>
                  <w:keepNext/>
                  <w:jc w:val="center"/>
                </w:pPr>
              </w:pPrChange>
            </w:pPr>
          </w:p>
        </w:tc>
        <w:tc>
          <w:tcPr>
            <w:tcW w:w="2203" w:type="dxa"/>
            <w:tcBorders>
              <w:top w:val="single" w:sz="4" w:space="0" w:color="auto"/>
              <w:left w:val="single" w:sz="4" w:space="0" w:color="auto"/>
              <w:bottom w:val="single" w:sz="4" w:space="0" w:color="auto"/>
              <w:right w:val="single" w:sz="4" w:space="0" w:color="auto"/>
            </w:tcBorders>
          </w:tcPr>
          <w:p w14:paraId="45C6E261" w14:textId="57900AEF" w:rsidR="00DE3458" w:rsidRPr="002D0790" w:rsidRDefault="00DE3458">
            <w:pPr>
              <w:keepNext/>
              <w:suppressAutoHyphens/>
              <w:rPr>
                <w:del w:id="7419" w:author="AbbVie02no" w:date="2025-05-15T13:45:00Z"/>
                <w:szCs w:val="22"/>
              </w:rPr>
              <w:pPrChange w:id="7420" w:author="AbbVie02no" w:date="2025-05-15T13:45:00Z">
                <w:pPr>
                  <w:pStyle w:val="EMEANormal"/>
                  <w:keepNext/>
                  <w:jc w:val="center"/>
                </w:pPr>
              </w:pPrChange>
            </w:pPr>
          </w:p>
        </w:tc>
      </w:tr>
      <w:tr w:rsidR="004644D4" w14:paraId="2C9C3E35" w14:textId="654107F6" w:rsidTr="00DE1175">
        <w:trPr>
          <w:jc w:val="center"/>
          <w:del w:id="7421"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3E0A18B8" w14:textId="09B7EC7E" w:rsidR="00DE3458" w:rsidRPr="007F67EE" w:rsidRDefault="00E453CD">
            <w:pPr>
              <w:keepNext/>
              <w:suppressAutoHyphens/>
              <w:rPr>
                <w:del w:id="7422" w:author="AbbVie02no" w:date="2025-05-15T13:45:00Z"/>
                <w:szCs w:val="22"/>
              </w:rPr>
              <w:pPrChange w:id="7423" w:author="AbbVie02no" w:date="2025-05-15T13:45:00Z">
                <w:pPr>
                  <w:pStyle w:val="EMEANormal"/>
                  <w:keepNext/>
                </w:pPr>
              </w:pPrChange>
            </w:pPr>
            <w:del w:id="7424" w:author="AbbVie02no" w:date="2025-05-15T13:45:00Z">
              <w:r w:rsidRPr="007F67EE">
                <w:rPr>
                  <w:szCs w:val="22"/>
                </w:rPr>
                <w:tab/>
                <w:delText>Uke 2</w:delText>
              </w:r>
            </w:del>
          </w:p>
        </w:tc>
        <w:tc>
          <w:tcPr>
            <w:tcW w:w="2160" w:type="dxa"/>
            <w:tcBorders>
              <w:top w:val="single" w:sz="4" w:space="0" w:color="auto"/>
              <w:left w:val="single" w:sz="4" w:space="0" w:color="auto"/>
              <w:bottom w:val="single" w:sz="4" w:space="0" w:color="auto"/>
              <w:right w:val="single" w:sz="4" w:space="0" w:color="auto"/>
            </w:tcBorders>
          </w:tcPr>
          <w:p w14:paraId="2463139A" w14:textId="7A817FC6" w:rsidR="00DE3458" w:rsidRPr="002D0790" w:rsidRDefault="00E453CD">
            <w:pPr>
              <w:keepNext/>
              <w:suppressAutoHyphens/>
              <w:rPr>
                <w:del w:id="7425" w:author="AbbVie02no" w:date="2025-05-15T13:45:00Z"/>
                <w:szCs w:val="22"/>
              </w:rPr>
              <w:pPrChange w:id="7426" w:author="AbbVie02no" w:date="2025-05-15T13:45:00Z">
                <w:pPr>
                  <w:pStyle w:val="EMEANormal"/>
                  <w:keepNext/>
                  <w:jc w:val="center"/>
                </w:pPr>
              </w:pPrChange>
            </w:pPr>
            <w:del w:id="7427" w:author="AbbVie02no" w:date="2025-05-15T13:45:00Z">
              <w:r w:rsidRPr="00193D76">
                <w:rPr>
                  <w:szCs w:val="22"/>
                </w:rPr>
                <w:delText>0</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07F3BCBC" w14:textId="71625AC4" w:rsidR="00DE3458" w:rsidRPr="009C5EFD" w:rsidRDefault="00E453CD">
            <w:pPr>
              <w:keepNext/>
              <w:suppressAutoHyphens/>
              <w:rPr>
                <w:del w:id="7428" w:author="AbbVie02no" w:date="2025-05-15T13:45:00Z"/>
                <w:szCs w:val="22"/>
              </w:rPr>
              <w:pPrChange w:id="7429" w:author="AbbVie02no" w:date="2025-05-15T13:45:00Z">
                <w:pPr>
                  <w:pStyle w:val="EMEANormal"/>
                  <w:keepNext/>
                  <w:jc w:val="center"/>
                </w:pPr>
              </w:pPrChange>
            </w:pPr>
            <w:del w:id="7430" w:author="AbbVie02no" w:date="2025-05-15T13:45:00Z">
              <w:r w:rsidRPr="00E14E58">
                <w:rPr>
                  <w:szCs w:val="22"/>
                </w:rPr>
                <w:delText>7</w:delText>
              </w:r>
              <w:r w:rsidR="00E51AA9" w:rsidRPr="009C5EFD">
                <w:rPr>
                  <w:szCs w:val="22"/>
                </w:rPr>
                <w:delText xml:space="preserve"> %</w:delText>
              </w:r>
              <w:r w:rsidRPr="009C5EFD">
                <w:rPr>
                  <w:szCs w:val="22"/>
                </w:rPr>
                <w:delText>**</w:delText>
              </w:r>
            </w:del>
          </w:p>
        </w:tc>
      </w:tr>
      <w:tr w:rsidR="004644D4" w14:paraId="2BBFB59F" w14:textId="2E2F2445" w:rsidTr="00DE1175">
        <w:trPr>
          <w:jc w:val="center"/>
          <w:del w:id="7431"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010B3CCB" w14:textId="1DB7C12E" w:rsidR="00DE3458" w:rsidRPr="007F67EE" w:rsidRDefault="00E453CD">
            <w:pPr>
              <w:keepNext/>
              <w:suppressAutoHyphens/>
              <w:rPr>
                <w:del w:id="7432" w:author="AbbVie02no" w:date="2025-05-15T13:45:00Z"/>
                <w:szCs w:val="22"/>
              </w:rPr>
              <w:pPrChange w:id="7433" w:author="AbbVie02no" w:date="2025-05-15T13:45:00Z">
                <w:pPr>
                  <w:pStyle w:val="EMEANormal"/>
                  <w:keepNext/>
                </w:pPr>
              </w:pPrChange>
            </w:pPr>
            <w:del w:id="7434" w:author="AbbVie02no" w:date="2025-05-15T13:45:00Z">
              <w:r w:rsidRPr="007F67EE">
                <w:rPr>
                  <w:szCs w:val="22"/>
                </w:rPr>
                <w:tab/>
                <w:delText>Uke 12</w:delText>
              </w:r>
            </w:del>
          </w:p>
        </w:tc>
        <w:tc>
          <w:tcPr>
            <w:tcW w:w="2160" w:type="dxa"/>
            <w:tcBorders>
              <w:top w:val="single" w:sz="4" w:space="0" w:color="auto"/>
              <w:left w:val="single" w:sz="4" w:space="0" w:color="auto"/>
              <w:bottom w:val="single" w:sz="4" w:space="0" w:color="auto"/>
              <w:right w:val="single" w:sz="4" w:space="0" w:color="auto"/>
            </w:tcBorders>
          </w:tcPr>
          <w:p w14:paraId="2727DA71" w14:textId="045D5B73" w:rsidR="00DE3458" w:rsidRPr="002D0790" w:rsidRDefault="00E453CD">
            <w:pPr>
              <w:keepNext/>
              <w:suppressAutoHyphens/>
              <w:rPr>
                <w:del w:id="7435" w:author="AbbVie02no" w:date="2025-05-15T13:45:00Z"/>
                <w:szCs w:val="22"/>
              </w:rPr>
              <w:pPrChange w:id="7436" w:author="AbbVie02no" w:date="2025-05-15T13:45:00Z">
                <w:pPr>
                  <w:pStyle w:val="EMEANormal"/>
                  <w:keepNext/>
                  <w:jc w:val="center"/>
                </w:pPr>
              </w:pPrChange>
            </w:pPr>
            <w:del w:id="7437" w:author="AbbVie02no" w:date="2025-05-15T13:45:00Z">
              <w:r w:rsidRPr="00193D76">
                <w:rPr>
                  <w:szCs w:val="22"/>
                </w:rPr>
                <w:delText>5</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3EF3D859" w14:textId="28DFD65B" w:rsidR="00DE3458" w:rsidRPr="009C5EFD" w:rsidRDefault="00E453CD">
            <w:pPr>
              <w:keepNext/>
              <w:suppressAutoHyphens/>
              <w:rPr>
                <w:del w:id="7438" w:author="AbbVie02no" w:date="2025-05-15T13:45:00Z"/>
                <w:szCs w:val="22"/>
              </w:rPr>
              <w:pPrChange w:id="7439" w:author="AbbVie02no" w:date="2025-05-15T13:45:00Z">
                <w:pPr>
                  <w:pStyle w:val="EMEANormal"/>
                  <w:keepNext/>
                  <w:jc w:val="center"/>
                </w:pPr>
              </w:pPrChange>
            </w:pPr>
            <w:del w:id="7440" w:author="AbbVie02no" w:date="2025-05-15T13:45:00Z">
              <w:r w:rsidRPr="00E14E58">
                <w:rPr>
                  <w:szCs w:val="22"/>
                </w:rPr>
                <w:delText>23</w:delText>
              </w:r>
              <w:r w:rsidR="00E51AA9" w:rsidRPr="009C5EFD">
                <w:rPr>
                  <w:szCs w:val="22"/>
                </w:rPr>
                <w:delText xml:space="preserve"> %</w:delText>
              </w:r>
              <w:r w:rsidRPr="009C5EFD">
                <w:rPr>
                  <w:szCs w:val="22"/>
                </w:rPr>
                <w:delText>***</w:delText>
              </w:r>
            </w:del>
          </w:p>
        </w:tc>
      </w:tr>
      <w:tr w:rsidR="004644D4" w14:paraId="17665954" w14:textId="46EAA530" w:rsidTr="00DE1175">
        <w:trPr>
          <w:jc w:val="center"/>
          <w:del w:id="7441"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74A76A7A" w14:textId="4FEEAE7B" w:rsidR="00DE3458" w:rsidRPr="007F67EE" w:rsidRDefault="00E453CD">
            <w:pPr>
              <w:keepNext/>
              <w:suppressAutoHyphens/>
              <w:rPr>
                <w:del w:id="7442" w:author="AbbVie02no" w:date="2025-05-15T13:45:00Z"/>
                <w:szCs w:val="22"/>
              </w:rPr>
              <w:pPrChange w:id="7443" w:author="AbbVie02no" w:date="2025-05-15T13:45:00Z">
                <w:pPr>
                  <w:pStyle w:val="EMEANormal"/>
                  <w:keepNext/>
                </w:pPr>
              </w:pPrChange>
            </w:pPr>
            <w:del w:id="7444" w:author="AbbVie02no" w:date="2025-05-15T13:45:00Z">
              <w:r w:rsidRPr="007F67EE">
                <w:rPr>
                  <w:szCs w:val="22"/>
                </w:rPr>
                <w:tab/>
                <w:delText>Uke 24</w:delText>
              </w:r>
            </w:del>
          </w:p>
        </w:tc>
        <w:tc>
          <w:tcPr>
            <w:tcW w:w="2160" w:type="dxa"/>
            <w:tcBorders>
              <w:top w:val="single" w:sz="4" w:space="0" w:color="auto"/>
              <w:left w:val="single" w:sz="4" w:space="0" w:color="auto"/>
              <w:bottom w:val="single" w:sz="4" w:space="0" w:color="auto"/>
              <w:right w:val="single" w:sz="4" w:space="0" w:color="auto"/>
            </w:tcBorders>
          </w:tcPr>
          <w:p w14:paraId="55ACC2BB" w14:textId="54077630" w:rsidR="00DE3458" w:rsidRPr="002D0790" w:rsidRDefault="00E453CD">
            <w:pPr>
              <w:keepNext/>
              <w:suppressAutoHyphens/>
              <w:rPr>
                <w:del w:id="7445" w:author="AbbVie02no" w:date="2025-05-15T13:45:00Z"/>
                <w:szCs w:val="22"/>
              </w:rPr>
              <w:pPrChange w:id="7446" w:author="AbbVie02no" w:date="2025-05-15T13:45:00Z">
                <w:pPr>
                  <w:pStyle w:val="EMEANormal"/>
                  <w:keepNext/>
                  <w:jc w:val="center"/>
                </w:pPr>
              </w:pPrChange>
            </w:pPr>
            <w:del w:id="7447" w:author="AbbVie02no" w:date="2025-05-15T13:45:00Z">
              <w:r w:rsidRPr="00193D76">
                <w:rPr>
                  <w:szCs w:val="22"/>
                </w:rPr>
                <w:delText>8</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5FB755E0" w14:textId="633D6F7B" w:rsidR="00DE3458" w:rsidRPr="009C5EFD" w:rsidRDefault="00E453CD">
            <w:pPr>
              <w:keepNext/>
              <w:suppressAutoHyphens/>
              <w:rPr>
                <w:del w:id="7448" w:author="AbbVie02no" w:date="2025-05-15T13:45:00Z"/>
                <w:szCs w:val="22"/>
              </w:rPr>
              <w:pPrChange w:id="7449" w:author="AbbVie02no" w:date="2025-05-15T13:45:00Z">
                <w:pPr>
                  <w:pStyle w:val="EMEANormal"/>
                  <w:keepNext/>
                  <w:jc w:val="center"/>
                </w:pPr>
              </w:pPrChange>
            </w:pPr>
            <w:del w:id="7450" w:author="AbbVie02no" w:date="2025-05-15T13:45:00Z">
              <w:r w:rsidRPr="00E14E58">
                <w:rPr>
                  <w:szCs w:val="22"/>
                </w:rPr>
                <w:delText>24</w:delText>
              </w:r>
              <w:r w:rsidR="00E51AA9" w:rsidRPr="009C5EFD">
                <w:rPr>
                  <w:szCs w:val="22"/>
                </w:rPr>
                <w:delText xml:space="preserve"> %</w:delText>
              </w:r>
              <w:r w:rsidRPr="009C5EFD">
                <w:rPr>
                  <w:szCs w:val="22"/>
                </w:rPr>
                <w:delText>***</w:delText>
              </w:r>
            </w:del>
          </w:p>
        </w:tc>
      </w:tr>
      <w:tr w:rsidR="004644D4" w14:paraId="35D5E22D" w14:textId="053CB7C7" w:rsidTr="00DE1175">
        <w:trPr>
          <w:jc w:val="center"/>
          <w:del w:id="7451"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4C7DB505" w14:textId="32D004AB" w:rsidR="00DE3458" w:rsidRPr="007F67EE" w:rsidRDefault="00DE3458">
            <w:pPr>
              <w:keepNext/>
              <w:suppressAutoHyphens/>
              <w:rPr>
                <w:del w:id="7452" w:author="AbbVie02no" w:date="2025-05-15T13:45:00Z"/>
                <w:szCs w:val="22"/>
              </w:rPr>
              <w:pPrChange w:id="7453" w:author="AbbVie02no" w:date="2025-05-15T13:45:00Z">
                <w:pPr>
                  <w:pStyle w:val="EMEANormal"/>
                  <w:keepNext/>
                </w:pPr>
              </w:pPrChange>
            </w:pPr>
          </w:p>
        </w:tc>
        <w:tc>
          <w:tcPr>
            <w:tcW w:w="2160" w:type="dxa"/>
            <w:tcBorders>
              <w:top w:val="single" w:sz="4" w:space="0" w:color="auto"/>
              <w:left w:val="single" w:sz="4" w:space="0" w:color="auto"/>
              <w:bottom w:val="single" w:sz="4" w:space="0" w:color="auto"/>
              <w:right w:val="single" w:sz="4" w:space="0" w:color="auto"/>
            </w:tcBorders>
          </w:tcPr>
          <w:p w14:paraId="0D9661ED" w14:textId="714FF2FA" w:rsidR="00DE3458" w:rsidRPr="00193D76" w:rsidRDefault="00DE3458">
            <w:pPr>
              <w:keepNext/>
              <w:suppressAutoHyphens/>
              <w:rPr>
                <w:del w:id="7454" w:author="AbbVie02no" w:date="2025-05-15T13:45:00Z"/>
                <w:szCs w:val="22"/>
              </w:rPr>
              <w:pPrChange w:id="7455" w:author="AbbVie02no" w:date="2025-05-15T13:45:00Z">
                <w:pPr>
                  <w:pStyle w:val="EMEANormal"/>
                  <w:keepNext/>
                  <w:jc w:val="center"/>
                </w:pPr>
              </w:pPrChange>
            </w:pPr>
          </w:p>
        </w:tc>
        <w:tc>
          <w:tcPr>
            <w:tcW w:w="2203" w:type="dxa"/>
            <w:tcBorders>
              <w:top w:val="single" w:sz="4" w:space="0" w:color="auto"/>
              <w:left w:val="single" w:sz="4" w:space="0" w:color="auto"/>
              <w:bottom w:val="single" w:sz="4" w:space="0" w:color="auto"/>
              <w:right w:val="single" w:sz="4" w:space="0" w:color="auto"/>
            </w:tcBorders>
          </w:tcPr>
          <w:p w14:paraId="5D378428" w14:textId="23295F60" w:rsidR="00DE3458" w:rsidRPr="002D0790" w:rsidRDefault="00DE3458">
            <w:pPr>
              <w:keepNext/>
              <w:suppressAutoHyphens/>
              <w:rPr>
                <w:del w:id="7456" w:author="AbbVie02no" w:date="2025-05-15T13:45:00Z"/>
                <w:szCs w:val="22"/>
              </w:rPr>
              <w:pPrChange w:id="7457" w:author="AbbVie02no" w:date="2025-05-15T13:45:00Z">
                <w:pPr>
                  <w:pStyle w:val="EMEANormal"/>
                  <w:keepNext/>
                  <w:jc w:val="center"/>
                </w:pPr>
              </w:pPrChange>
            </w:pPr>
          </w:p>
        </w:tc>
      </w:tr>
      <w:tr w:rsidR="004644D4" w14:paraId="454F31A2" w14:textId="1D17C692" w:rsidTr="00DE1175">
        <w:trPr>
          <w:jc w:val="center"/>
          <w:del w:id="7458"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6952A48C" w14:textId="13D646FD" w:rsidR="00DE3458" w:rsidRPr="002D0790" w:rsidRDefault="00E453CD">
            <w:pPr>
              <w:keepNext/>
              <w:suppressAutoHyphens/>
              <w:rPr>
                <w:del w:id="7459" w:author="AbbVie02no" w:date="2025-05-15T13:45:00Z"/>
                <w:szCs w:val="22"/>
              </w:rPr>
              <w:pPrChange w:id="7460" w:author="AbbVie02no" w:date="2025-05-15T13:45:00Z">
                <w:pPr>
                  <w:pStyle w:val="EMEANormal"/>
                  <w:keepNext/>
                </w:pPr>
              </w:pPrChange>
            </w:pPr>
            <w:del w:id="7461" w:author="AbbVie02no" w:date="2025-05-15T13:45:00Z">
              <w:r w:rsidRPr="007F67EE">
                <w:rPr>
                  <w:szCs w:val="22"/>
                </w:rPr>
                <w:delText>BASDAI</w:delText>
              </w:r>
              <w:r w:rsidRPr="00193D76">
                <w:rPr>
                  <w:szCs w:val="22"/>
                  <w:vertAlign w:val="superscript"/>
                </w:rPr>
                <w:delText>b</w:delText>
              </w:r>
              <w:r w:rsidRPr="002D0790">
                <w:rPr>
                  <w:szCs w:val="22"/>
                </w:rPr>
                <w:delText xml:space="preserve"> 50</w:delText>
              </w:r>
            </w:del>
          </w:p>
        </w:tc>
        <w:tc>
          <w:tcPr>
            <w:tcW w:w="2160" w:type="dxa"/>
            <w:tcBorders>
              <w:top w:val="single" w:sz="4" w:space="0" w:color="auto"/>
              <w:left w:val="single" w:sz="4" w:space="0" w:color="auto"/>
              <w:bottom w:val="single" w:sz="4" w:space="0" w:color="auto"/>
              <w:right w:val="single" w:sz="4" w:space="0" w:color="auto"/>
            </w:tcBorders>
          </w:tcPr>
          <w:p w14:paraId="227F84A6" w14:textId="1E6E2158" w:rsidR="00DE3458" w:rsidRPr="002D0790" w:rsidRDefault="00DE3458">
            <w:pPr>
              <w:keepNext/>
              <w:suppressAutoHyphens/>
              <w:rPr>
                <w:del w:id="7462" w:author="AbbVie02no" w:date="2025-05-15T13:45:00Z"/>
                <w:szCs w:val="22"/>
              </w:rPr>
              <w:pPrChange w:id="7463" w:author="AbbVie02no" w:date="2025-05-15T13:45:00Z">
                <w:pPr>
                  <w:pStyle w:val="EMEANormal"/>
                  <w:keepNext/>
                  <w:jc w:val="center"/>
                </w:pPr>
              </w:pPrChange>
            </w:pPr>
          </w:p>
        </w:tc>
        <w:tc>
          <w:tcPr>
            <w:tcW w:w="2203" w:type="dxa"/>
            <w:tcBorders>
              <w:top w:val="single" w:sz="4" w:space="0" w:color="auto"/>
              <w:left w:val="single" w:sz="4" w:space="0" w:color="auto"/>
              <w:bottom w:val="single" w:sz="4" w:space="0" w:color="auto"/>
              <w:right w:val="single" w:sz="4" w:space="0" w:color="auto"/>
            </w:tcBorders>
          </w:tcPr>
          <w:p w14:paraId="11109C77" w14:textId="0201E0C0" w:rsidR="00DE3458" w:rsidRPr="00E14E58" w:rsidRDefault="00DE3458">
            <w:pPr>
              <w:keepNext/>
              <w:suppressAutoHyphens/>
              <w:rPr>
                <w:del w:id="7464" w:author="AbbVie02no" w:date="2025-05-15T13:45:00Z"/>
                <w:szCs w:val="22"/>
              </w:rPr>
              <w:pPrChange w:id="7465" w:author="AbbVie02no" w:date="2025-05-15T13:45:00Z">
                <w:pPr>
                  <w:pStyle w:val="EMEANormal"/>
                  <w:keepNext/>
                  <w:jc w:val="center"/>
                </w:pPr>
              </w:pPrChange>
            </w:pPr>
          </w:p>
        </w:tc>
      </w:tr>
      <w:tr w:rsidR="004644D4" w14:paraId="6D90AB69" w14:textId="75837307" w:rsidTr="00DE1175">
        <w:trPr>
          <w:jc w:val="center"/>
          <w:del w:id="7466"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0A2FFABB" w14:textId="3AB705A4" w:rsidR="00DE3458" w:rsidRPr="007F67EE" w:rsidRDefault="00E453CD">
            <w:pPr>
              <w:keepNext/>
              <w:suppressAutoHyphens/>
              <w:rPr>
                <w:del w:id="7467" w:author="AbbVie02no" w:date="2025-05-15T13:45:00Z"/>
                <w:szCs w:val="22"/>
              </w:rPr>
              <w:pPrChange w:id="7468" w:author="AbbVie02no" w:date="2025-05-15T13:45:00Z">
                <w:pPr>
                  <w:pStyle w:val="EMEANormal"/>
                  <w:keepNext/>
                </w:pPr>
              </w:pPrChange>
            </w:pPr>
            <w:del w:id="7469" w:author="AbbVie02no" w:date="2025-05-15T13:45:00Z">
              <w:r w:rsidRPr="007F67EE">
                <w:rPr>
                  <w:szCs w:val="22"/>
                </w:rPr>
                <w:tab/>
                <w:delText>Uke 2</w:delText>
              </w:r>
            </w:del>
          </w:p>
        </w:tc>
        <w:tc>
          <w:tcPr>
            <w:tcW w:w="2160" w:type="dxa"/>
            <w:tcBorders>
              <w:top w:val="single" w:sz="4" w:space="0" w:color="auto"/>
              <w:left w:val="single" w:sz="4" w:space="0" w:color="auto"/>
              <w:bottom w:val="single" w:sz="4" w:space="0" w:color="auto"/>
              <w:right w:val="single" w:sz="4" w:space="0" w:color="auto"/>
            </w:tcBorders>
          </w:tcPr>
          <w:p w14:paraId="6DB29A78" w14:textId="386FC23F" w:rsidR="00DE3458" w:rsidRPr="002D0790" w:rsidRDefault="00E453CD">
            <w:pPr>
              <w:keepNext/>
              <w:suppressAutoHyphens/>
              <w:rPr>
                <w:del w:id="7470" w:author="AbbVie02no" w:date="2025-05-15T13:45:00Z"/>
                <w:szCs w:val="22"/>
              </w:rPr>
              <w:pPrChange w:id="7471" w:author="AbbVie02no" w:date="2025-05-15T13:45:00Z">
                <w:pPr>
                  <w:pStyle w:val="EMEANormal"/>
                  <w:keepNext/>
                  <w:jc w:val="center"/>
                </w:pPr>
              </w:pPrChange>
            </w:pPr>
            <w:del w:id="7472" w:author="AbbVie02no" w:date="2025-05-15T13:45:00Z">
              <w:r w:rsidRPr="00193D76">
                <w:rPr>
                  <w:szCs w:val="22"/>
                </w:rPr>
                <w:delText>4</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77DCD2D2" w14:textId="59BE5303" w:rsidR="00DE3458" w:rsidRPr="009C5EFD" w:rsidRDefault="00E453CD">
            <w:pPr>
              <w:keepNext/>
              <w:suppressAutoHyphens/>
              <w:rPr>
                <w:del w:id="7473" w:author="AbbVie02no" w:date="2025-05-15T13:45:00Z"/>
                <w:szCs w:val="22"/>
              </w:rPr>
              <w:pPrChange w:id="7474" w:author="AbbVie02no" w:date="2025-05-15T13:45:00Z">
                <w:pPr>
                  <w:pStyle w:val="EMEANormal"/>
                  <w:keepNext/>
                  <w:jc w:val="center"/>
                </w:pPr>
              </w:pPrChange>
            </w:pPr>
            <w:del w:id="7475" w:author="AbbVie02no" w:date="2025-05-15T13:45:00Z">
              <w:r w:rsidRPr="00E14E58">
                <w:rPr>
                  <w:szCs w:val="22"/>
                </w:rPr>
                <w:delText>20</w:delText>
              </w:r>
              <w:r w:rsidR="00E51AA9" w:rsidRPr="009C5EFD">
                <w:rPr>
                  <w:szCs w:val="22"/>
                </w:rPr>
                <w:delText xml:space="preserve"> %</w:delText>
              </w:r>
              <w:r w:rsidRPr="009C5EFD">
                <w:rPr>
                  <w:szCs w:val="22"/>
                </w:rPr>
                <w:delText>***</w:delText>
              </w:r>
            </w:del>
          </w:p>
        </w:tc>
      </w:tr>
      <w:tr w:rsidR="004644D4" w14:paraId="28936602" w14:textId="283A60FA" w:rsidTr="00DE1175">
        <w:trPr>
          <w:jc w:val="center"/>
          <w:del w:id="7476"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620CD55A" w14:textId="1FE65235" w:rsidR="00DE3458" w:rsidRPr="007F67EE" w:rsidRDefault="00E453CD">
            <w:pPr>
              <w:keepNext/>
              <w:suppressAutoHyphens/>
              <w:rPr>
                <w:del w:id="7477" w:author="AbbVie02no" w:date="2025-05-15T13:45:00Z"/>
                <w:szCs w:val="22"/>
              </w:rPr>
              <w:pPrChange w:id="7478" w:author="AbbVie02no" w:date="2025-05-15T13:45:00Z">
                <w:pPr>
                  <w:pStyle w:val="EMEANormal"/>
                  <w:keepNext/>
                </w:pPr>
              </w:pPrChange>
            </w:pPr>
            <w:del w:id="7479" w:author="AbbVie02no" w:date="2025-05-15T13:45:00Z">
              <w:r w:rsidRPr="007F67EE">
                <w:rPr>
                  <w:szCs w:val="22"/>
                </w:rPr>
                <w:tab/>
                <w:delText>Uke 12</w:delText>
              </w:r>
            </w:del>
          </w:p>
        </w:tc>
        <w:tc>
          <w:tcPr>
            <w:tcW w:w="2160" w:type="dxa"/>
            <w:tcBorders>
              <w:top w:val="single" w:sz="4" w:space="0" w:color="auto"/>
              <w:left w:val="single" w:sz="4" w:space="0" w:color="auto"/>
              <w:bottom w:val="single" w:sz="4" w:space="0" w:color="auto"/>
              <w:right w:val="single" w:sz="4" w:space="0" w:color="auto"/>
            </w:tcBorders>
          </w:tcPr>
          <w:p w14:paraId="2161C16D" w14:textId="0CC28DDF" w:rsidR="00DE3458" w:rsidRPr="002D0790" w:rsidRDefault="00E453CD">
            <w:pPr>
              <w:keepNext/>
              <w:suppressAutoHyphens/>
              <w:rPr>
                <w:del w:id="7480" w:author="AbbVie02no" w:date="2025-05-15T13:45:00Z"/>
                <w:szCs w:val="22"/>
              </w:rPr>
              <w:pPrChange w:id="7481" w:author="AbbVie02no" w:date="2025-05-15T13:45:00Z">
                <w:pPr>
                  <w:pStyle w:val="EMEANormal"/>
                  <w:keepNext/>
                  <w:jc w:val="center"/>
                </w:pPr>
              </w:pPrChange>
            </w:pPr>
            <w:del w:id="7482" w:author="AbbVie02no" w:date="2025-05-15T13:45:00Z">
              <w:r w:rsidRPr="00193D76">
                <w:rPr>
                  <w:szCs w:val="22"/>
                </w:rPr>
                <w:delText>16</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3E46435F" w14:textId="6FAF0407" w:rsidR="00DE3458" w:rsidRPr="009C5EFD" w:rsidRDefault="00E453CD">
            <w:pPr>
              <w:keepNext/>
              <w:suppressAutoHyphens/>
              <w:rPr>
                <w:del w:id="7483" w:author="AbbVie02no" w:date="2025-05-15T13:45:00Z"/>
                <w:szCs w:val="22"/>
              </w:rPr>
              <w:pPrChange w:id="7484" w:author="AbbVie02no" w:date="2025-05-15T13:45:00Z">
                <w:pPr>
                  <w:pStyle w:val="EMEANormal"/>
                  <w:keepNext/>
                  <w:jc w:val="center"/>
                </w:pPr>
              </w:pPrChange>
            </w:pPr>
            <w:del w:id="7485" w:author="AbbVie02no" w:date="2025-05-15T13:45:00Z">
              <w:r w:rsidRPr="00E14E58">
                <w:rPr>
                  <w:szCs w:val="22"/>
                </w:rPr>
                <w:delText>45</w:delText>
              </w:r>
              <w:r w:rsidR="00E51AA9" w:rsidRPr="009C5EFD">
                <w:rPr>
                  <w:szCs w:val="22"/>
                </w:rPr>
                <w:delText xml:space="preserve"> %</w:delText>
              </w:r>
              <w:r w:rsidRPr="009C5EFD">
                <w:rPr>
                  <w:szCs w:val="22"/>
                </w:rPr>
                <w:delText>***</w:delText>
              </w:r>
            </w:del>
          </w:p>
        </w:tc>
      </w:tr>
      <w:tr w:rsidR="004644D4" w14:paraId="505D5903" w14:textId="160FC820" w:rsidTr="00DE1175">
        <w:trPr>
          <w:jc w:val="center"/>
          <w:del w:id="7486" w:author="AbbVie02no" w:date="2025-05-15T13:45:00Z"/>
        </w:trPr>
        <w:tc>
          <w:tcPr>
            <w:tcW w:w="2700" w:type="dxa"/>
            <w:tcBorders>
              <w:top w:val="single" w:sz="4" w:space="0" w:color="auto"/>
              <w:left w:val="single" w:sz="4" w:space="0" w:color="auto"/>
              <w:bottom w:val="single" w:sz="4" w:space="0" w:color="auto"/>
              <w:right w:val="single" w:sz="4" w:space="0" w:color="auto"/>
            </w:tcBorders>
          </w:tcPr>
          <w:p w14:paraId="39BD340B" w14:textId="41B52412" w:rsidR="00DE3458" w:rsidRPr="007F67EE" w:rsidRDefault="00E453CD">
            <w:pPr>
              <w:keepNext/>
              <w:suppressAutoHyphens/>
              <w:rPr>
                <w:del w:id="7487" w:author="AbbVie02no" w:date="2025-05-15T13:45:00Z"/>
                <w:szCs w:val="22"/>
              </w:rPr>
              <w:pPrChange w:id="7488" w:author="AbbVie02no" w:date="2025-05-15T13:45:00Z">
                <w:pPr>
                  <w:pStyle w:val="EMEANormal"/>
                  <w:keepNext/>
                </w:pPr>
              </w:pPrChange>
            </w:pPr>
            <w:del w:id="7489" w:author="AbbVie02no" w:date="2025-05-15T13:45:00Z">
              <w:r w:rsidRPr="007F67EE">
                <w:rPr>
                  <w:szCs w:val="22"/>
                </w:rPr>
                <w:tab/>
                <w:delText>Uke 24</w:delText>
              </w:r>
            </w:del>
          </w:p>
        </w:tc>
        <w:tc>
          <w:tcPr>
            <w:tcW w:w="2160" w:type="dxa"/>
            <w:tcBorders>
              <w:top w:val="single" w:sz="4" w:space="0" w:color="auto"/>
              <w:left w:val="single" w:sz="4" w:space="0" w:color="auto"/>
              <w:bottom w:val="single" w:sz="4" w:space="0" w:color="auto"/>
              <w:right w:val="single" w:sz="4" w:space="0" w:color="auto"/>
            </w:tcBorders>
          </w:tcPr>
          <w:p w14:paraId="2A825141" w14:textId="302570DE" w:rsidR="00DE3458" w:rsidRPr="002D0790" w:rsidRDefault="00E453CD">
            <w:pPr>
              <w:keepNext/>
              <w:suppressAutoHyphens/>
              <w:rPr>
                <w:del w:id="7490" w:author="AbbVie02no" w:date="2025-05-15T13:45:00Z"/>
                <w:szCs w:val="22"/>
              </w:rPr>
              <w:pPrChange w:id="7491" w:author="AbbVie02no" w:date="2025-05-15T13:45:00Z">
                <w:pPr>
                  <w:pStyle w:val="EMEANormal"/>
                  <w:keepNext/>
                  <w:jc w:val="center"/>
                </w:pPr>
              </w:pPrChange>
            </w:pPr>
            <w:del w:id="7492" w:author="AbbVie02no" w:date="2025-05-15T13:45:00Z">
              <w:r w:rsidRPr="00193D76">
                <w:rPr>
                  <w:szCs w:val="22"/>
                </w:rPr>
                <w:delText>15</w:delText>
              </w:r>
              <w:r w:rsidR="00E51AA9" w:rsidRPr="002D0790">
                <w:rPr>
                  <w:szCs w:val="22"/>
                </w:rPr>
                <w:delText xml:space="preserve"> %</w:delText>
              </w:r>
            </w:del>
          </w:p>
        </w:tc>
        <w:tc>
          <w:tcPr>
            <w:tcW w:w="2203" w:type="dxa"/>
            <w:tcBorders>
              <w:top w:val="single" w:sz="4" w:space="0" w:color="auto"/>
              <w:left w:val="single" w:sz="4" w:space="0" w:color="auto"/>
              <w:bottom w:val="single" w:sz="4" w:space="0" w:color="auto"/>
              <w:right w:val="single" w:sz="4" w:space="0" w:color="auto"/>
            </w:tcBorders>
          </w:tcPr>
          <w:p w14:paraId="6473FA7C" w14:textId="61E7D629" w:rsidR="00DE3458" w:rsidRPr="009C5EFD" w:rsidRDefault="00E453CD">
            <w:pPr>
              <w:keepNext/>
              <w:suppressAutoHyphens/>
              <w:rPr>
                <w:del w:id="7493" w:author="AbbVie02no" w:date="2025-05-15T13:45:00Z"/>
                <w:szCs w:val="22"/>
              </w:rPr>
              <w:pPrChange w:id="7494" w:author="AbbVie02no" w:date="2025-05-15T13:45:00Z">
                <w:pPr>
                  <w:pStyle w:val="EMEANormal"/>
                  <w:keepNext/>
                  <w:jc w:val="center"/>
                </w:pPr>
              </w:pPrChange>
            </w:pPr>
            <w:del w:id="7495" w:author="AbbVie02no" w:date="2025-05-15T13:45:00Z">
              <w:r w:rsidRPr="00E14E58">
                <w:rPr>
                  <w:szCs w:val="22"/>
                </w:rPr>
                <w:delText>42</w:delText>
              </w:r>
              <w:r w:rsidR="00E51AA9" w:rsidRPr="009C5EFD">
                <w:rPr>
                  <w:szCs w:val="22"/>
                </w:rPr>
                <w:delText xml:space="preserve"> %</w:delText>
              </w:r>
              <w:r w:rsidRPr="009C5EFD">
                <w:rPr>
                  <w:szCs w:val="22"/>
                </w:rPr>
                <w:delText>***</w:delText>
              </w:r>
            </w:del>
          </w:p>
        </w:tc>
      </w:tr>
      <w:tr w:rsidR="004644D4" w14:paraId="6DC081D6" w14:textId="650B852B">
        <w:trPr>
          <w:cantSplit/>
          <w:jc w:val="center"/>
          <w:del w:id="7496" w:author="AbbVie02no" w:date="2025-05-15T13:45:00Z"/>
        </w:trPr>
        <w:tc>
          <w:tcPr>
            <w:tcW w:w="7063" w:type="dxa"/>
            <w:gridSpan w:val="3"/>
            <w:tcBorders>
              <w:top w:val="single" w:sz="4" w:space="0" w:color="auto"/>
              <w:left w:val="nil"/>
              <w:bottom w:val="nil"/>
              <w:right w:val="nil"/>
            </w:tcBorders>
          </w:tcPr>
          <w:p w14:paraId="282CAC7F" w14:textId="64326A2A" w:rsidR="00DE3458" w:rsidRPr="007F67EE" w:rsidRDefault="00E453CD">
            <w:pPr>
              <w:keepNext/>
              <w:suppressAutoHyphens/>
              <w:rPr>
                <w:del w:id="7497" w:author="AbbVie02no" w:date="2025-05-15T13:45:00Z"/>
                <w:szCs w:val="22"/>
              </w:rPr>
              <w:pPrChange w:id="7498" w:author="AbbVie02no" w:date="2025-05-15T13:45:00Z">
                <w:pPr>
                  <w:pStyle w:val="EMEANormal"/>
                </w:pPr>
              </w:pPrChange>
            </w:pPr>
            <w:del w:id="7499" w:author="AbbVie02no" w:date="2025-05-15T13:45:00Z">
              <w:r w:rsidRPr="007F67EE">
                <w:rPr>
                  <w:szCs w:val="22"/>
                </w:rPr>
                <w:delText>***,** Statistisk signifikant ved p &lt; 0,001, &lt; 0,01 for alle sammenligninger mellom Humira og placebo ved ukene 2, 12 og 24</w:delText>
              </w:r>
            </w:del>
          </w:p>
          <w:p w14:paraId="54E246E6" w14:textId="11FF9E5D" w:rsidR="00DE3458" w:rsidRPr="001F5D4B" w:rsidRDefault="00E453CD">
            <w:pPr>
              <w:keepNext/>
              <w:suppressAutoHyphens/>
              <w:rPr>
                <w:del w:id="7500" w:author="AbbVie02no" w:date="2025-05-15T13:45:00Z"/>
                <w:szCs w:val="22"/>
              </w:rPr>
              <w:pPrChange w:id="7501" w:author="AbbVie02no" w:date="2025-05-15T13:45:00Z">
                <w:pPr>
                  <w:pStyle w:val="EMEANormal"/>
                </w:pPr>
              </w:pPrChange>
            </w:pPr>
            <w:del w:id="7502" w:author="AbbVie02no" w:date="2025-05-15T13:45:00Z">
              <w:r w:rsidRPr="001F5D4B">
                <w:rPr>
                  <w:szCs w:val="22"/>
                  <w:vertAlign w:val="superscript"/>
                </w:rPr>
                <w:delText xml:space="preserve">a </w:delText>
              </w:r>
              <w:r w:rsidRPr="001F5D4B">
                <w:rPr>
                  <w:szCs w:val="22"/>
                </w:rPr>
                <w:delText>Assessments in Ankylosing Spondylitis</w:delText>
              </w:r>
            </w:del>
          </w:p>
          <w:p w14:paraId="07C6B954" w14:textId="19D39518" w:rsidR="00DE3458" w:rsidRPr="001F5D4B" w:rsidRDefault="00E453CD">
            <w:pPr>
              <w:keepNext/>
              <w:suppressAutoHyphens/>
              <w:rPr>
                <w:del w:id="7503" w:author="AbbVie02no" w:date="2025-05-15T13:45:00Z"/>
                <w:szCs w:val="22"/>
              </w:rPr>
              <w:pPrChange w:id="7504" w:author="AbbVie02no" w:date="2025-05-15T13:45:00Z">
                <w:pPr>
                  <w:pStyle w:val="EMEANormal"/>
                </w:pPr>
              </w:pPrChange>
            </w:pPr>
            <w:del w:id="7505" w:author="AbbVie02no" w:date="2025-05-15T13:45:00Z">
              <w:r w:rsidRPr="001F5D4B">
                <w:rPr>
                  <w:szCs w:val="22"/>
                  <w:vertAlign w:val="superscript"/>
                </w:rPr>
                <w:delText xml:space="preserve">b </w:delText>
              </w:r>
              <w:r w:rsidRPr="001F5D4B">
                <w:rPr>
                  <w:szCs w:val="22"/>
                </w:rPr>
                <w:delText>Bath Ankylosing Spondylitis Disease Activity Index</w:delText>
              </w:r>
            </w:del>
          </w:p>
        </w:tc>
      </w:tr>
    </w:tbl>
    <w:p w14:paraId="0D41E309" w14:textId="0600BF75" w:rsidR="00DE3458" w:rsidRPr="002C5CDB" w:rsidRDefault="00DE3458">
      <w:pPr>
        <w:keepNext/>
        <w:suppressAutoHyphens/>
        <w:rPr>
          <w:del w:id="7506" w:author="AbbVie02no" w:date="2025-05-15T13:45:00Z"/>
          <w:sz w:val="22"/>
          <w:szCs w:val="22"/>
          <w:rPrChange w:id="7507" w:author="AbbVie05no" w:date="2025-05-19T10:32:00Z">
            <w:rPr>
              <w:del w:id="7508" w:author="AbbVie02no" w:date="2025-05-15T13:45:00Z"/>
              <w:sz w:val="22"/>
              <w:szCs w:val="22"/>
              <w:lang w:val="en-US"/>
            </w:rPr>
          </w:rPrChange>
        </w:rPr>
        <w:pPrChange w:id="7509" w:author="AbbVie02no" w:date="2025-05-15T13:45:00Z">
          <w:pPr/>
        </w:pPrChange>
      </w:pPr>
    </w:p>
    <w:p w14:paraId="33AF8026" w14:textId="36F0665B" w:rsidR="008A3F2F" w:rsidRPr="009C5EFD" w:rsidRDefault="00E453CD">
      <w:pPr>
        <w:keepNext/>
        <w:suppressAutoHyphens/>
        <w:rPr>
          <w:del w:id="7510" w:author="AbbVie02no" w:date="2025-05-15T13:45:00Z"/>
          <w:sz w:val="22"/>
          <w:szCs w:val="22"/>
        </w:rPr>
        <w:pPrChange w:id="7511" w:author="AbbVie02no" w:date="2025-05-15T13:45:00Z">
          <w:pPr/>
        </w:pPrChange>
      </w:pPr>
      <w:del w:id="7512" w:author="AbbVie02no" w:date="2025-05-15T13:45:00Z">
        <w:r w:rsidRPr="009C5EFD">
          <w:rPr>
            <w:sz w:val="22"/>
            <w:szCs w:val="22"/>
          </w:rPr>
          <w:delText>Pasientene som ble behandlet med Humira hadde signifikant større forbedring i både SF36 og Ankylosing Spondylitis Quality of Life Questionnaire (ASQoL) ved uke 12</w:delText>
        </w:r>
        <w:r w:rsidR="00A400EC" w:rsidRPr="009C5EFD">
          <w:rPr>
            <w:sz w:val="22"/>
            <w:szCs w:val="22"/>
          </w:rPr>
          <w:delText>, og dette vedvarte til uke 24.</w:delText>
        </w:r>
      </w:del>
    </w:p>
    <w:p w14:paraId="6ED40E43" w14:textId="3F9383B4" w:rsidR="008A3F2F" w:rsidRPr="009C5EFD" w:rsidRDefault="008A3F2F">
      <w:pPr>
        <w:keepNext/>
        <w:suppressAutoHyphens/>
        <w:rPr>
          <w:del w:id="7513" w:author="AbbVie02no" w:date="2025-05-15T13:45:00Z"/>
          <w:sz w:val="22"/>
          <w:szCs w:val="22"/>
        </w:rPr>
        <w:pPrChange w:id="7514" w:author="AbbVie02no" w:date="2025-05-15T13:45:00Z">
          <w:pPr/>
        </w:pPrChange>
      </w:pPr>
    </w:p>
    <w:p w14:paraId="58342616" w14:textId="0BCC69E2" w:rsidR="00913F1F" w:rsidRPr="009C5EFD" w:rsidRDefault="00E453CD">
      <w:pPr>
        <w:keepNext/>
        <w:suppressAutoHyphens/>
        <w:rPr>
          <w:del w:id="7515" w:author="AbbVie02no" w:date="2025-05-15T13:45:00Z"/>
          <w:sz w:val="22"/>
          <w:szCs w:val="22"/>
        </w:rPr>
        <w:pPrChange w:id="7516" w:author="AbbVie02no" w:date="2025-05-15T13:45:00Z">
          <w:pPr/>
        </w:pPrChange>
      </w:pPr>
      <w:del w:id="7517" w:author="AbbVie02no" w:date="2025-05-15T13:45:00Z">
        <w:r w:rsidRPr="009C5EFD">
          <w:rPr>
            <w:sz w:val="22"/>
            <w:szCs w:val="22"/>
          </w:rPr>
          <w:delText xml:space="preserve">Lignende tendenser (ikke alle statistisk signifikante) </w:delText>
        </w:r>
        <w:r w:rsidR="00347BEF" w:rsidRPr="009C5EFD">
          <w:rPr>
            <w:sz w:val="22"/>
            <w:szCs w:val="22"/>
          </w:rPr>
          <w:delText>ble</w:delText>
        </w:r>
        <w:r w:rsidRPr="009C5EFD">
          <w:rPr>
            <w:sz w:val="22"/>
            <w:szCs w:val="22"/>
          </w:rPr>
          <w:delText xml:space="preserve"> sett i en mindre randomisert, dobbeltblind, placebokontrollert AS-studie II med 82 voksne pasienter med a</w:delText>
        </w:r>
        <w:r w:rsidR="000E4C21" w:rsidRPr="009C5EFD">
          <w:rPr>
            <w:sz w:val="22"/>
            <w:szCs w:val="22"/>
          </w:rPr>
          <w:delText>ktiv</w:delText>
        </w:r>
        <w:r w:rsidRPr="009C5EFD">
          <w:rPr>
            <w:sz w:val="22"/>
            <w:szCs w:val="22"/>
          </w:rPr>
          <w:delText xml:space="preserve"> Bekhterevs sykdom (ankyloserende spondylitt).</w:delText>
        </w:r>
      </w:del>
    </w:p>
    <w:p w14:paraId="63A5FCAC" w14:textId="3C06B3A8" w:rsidR="003A15AE" w:rsidRPr="009C5EFD" w:rsidRDefault="003A15AE">
      <w:pPr>
        <w:keepNext/>
        <w:suppressAutoHyphens/>
        <w:rPr>
          <w:del w:id="7518" w:author="AbbVie02no" w:date="2025-05-15T13:45:00Z"/>
          <w:sz w:val="22"/>
          <w:szCs w:val="22"/>
          <w:u w:val="single"/>
        </w:rPr>
        <w:pPrChange w:id="7519" w:author="AbbVie02no" w:date="2025-05-15T13:45:00Z">
          <w:pPr/>
        </w:pPrChange>
      </w:pPr>
    </w:p>
    <w:p w14:paraId="71DB34CA" w14:textId="4F441A22" w:rsidR="00A65C61" w:rsidRPr="001F5D4B" w:rsidRDefault="00E453CD">
      <w:pPr>
        <w:keepNext/>
        <w:suppressAutoHyphens/>
        <w:rPr>
          <w:del w:id="7520" w:author="AbbVie02no" w:date="2025-05-15T13:45:00Z"/>
          <w:i/>
          <w:sz w:val="22"/>
          <w:szCs w:val="22"/>
        </w:rPr>
        <w:pPrChange w:id="7521" w:author="AbbVie02no" w:date="2025-05-15T13:45:00Z">
          <w:pPr>
            <w:keepNext/>
          </w:pPr>
        </w:pPrChange>
      </w:pPr>
      <w:del w:id="7522" w:author="AbbVie02no" w:date="2025-05-15T13:45:00Z">
        <w:r w:rsidRPr="001F5D4B">
          <w:rPr>
            <w:i/>
            <w:sz w:val="22"/>
            <w:szCs w:val="22"/>
            <w:u w:val="single"/>
          </w:rPr>
          <w:delText xml:space="preserve">Aksial spondylartritt uten </w:delText>
        </w:r>
        <w:r w:rsidR="00677BE5" w:rsidRPr="001F5D4B">
          <w:rPr>
            <w:i/>
            <w:sz w:val="22"/>
            <w:szCs w:val="22"/>
            <w:u w:val="single"/>
          </w:rPr>
          <w:delText>radiografisk bekreftelse</w:delText>
        </w:r>
        <w:r w:rsidRPr="001F5D4B">
          <w:rPr>
            <w:i/>
            <w:sz w:val="22"/>
            <w:szCs w:val="22"/>
            <w:u w:val="single"/>
          </w:rPr>
          <w:delText xml:space="preserve"> på ankyloserende spondylitt</w:delText>
        </w:r>
      </w:del>
    </w:p>
    <w:p w14:paraId="01850F37" w14:textId="02AB7AAC" w:rsidR="00E06E37" w:rsidRPr="007F67EE" w:rsidRDefault="00E06E37">
      <w:pPr>
        <w:keepNext/>
        <w:suppressAutoHyphens/>
        <w:rPr>
          <w:del w:id="7523" w:author="AbbVie02no" w:date="2025-05-15T13:45:00Z"/>
          <w:sz w:val="22"/>
          <w:szCs w:val="22"/>
        </w:rPr>
        <w:pPrChange w:id="7524" w:author="AbbVie02no" w:date="2025-05-15T13:45:00Z">
          <w:pPr>
            <w:keepNext/>
          </w:pPr>
        </w:pPrChange>
      </w:pPr>
    </w:p>
    <w:p w14:paraId="68A55EC2" w14:textId="0FC67A66" w:rsidR="002F4BB3" w:rsidRDefault="00E453CD">
      <w:pPr>
        <w:keepNext/>
        <w:suppressAutoHyphens/>
        <w:rPr>
          <w:del w:id="7525" w:author="AbbVie02no" w:date="2025-05-15T13:45:00Z"/>
          <w:sz w:val="22"/>
          <w:szCs w:val="22"/>
        </w:rPr>
        <w:pPrChange w:id="7526" w:author="AbbVie02no" w:date="2025-05-15T13:45:00Z">
          <w:pPr/>
        </w:pPrChange>
      </w:pPr>
      <w:del w:id="7527" w:author="AbbVie02no" w:date="2025-05-15T13:45:00Z">
        <w:r>
          <w:rPr>
            <w:sz w:val="22"/>
            <w:szCs w:val="22"/>
          </w:rPr>
          <w:delText>Sikkerhet og effekt av</w:delText>
        </w:r>
        <w:r w:rsidRPr="009C5EFD">
          <w:rPr>
            <w:sz w:val="22"/>
            <w:szCs w:val="22"/>
          </w:rPr>
          <w:delText xml:space="preserve"> Humira ble vurdert </w:delText>
        </w:r>
        <w:r>
          <w:rPr>
            <w:sz w:val="22"/>
            <w:szCs w:val="22"/>
          </w:rPr>
          <w:delText xml:space="preserve">i to randomiserte, dobbeltblinde placebokontrollerte studier hos pasienter med </w:delText>
        </w:r>
        <w:r w:rsidRPr="002D0790">
          <w:rPr>
            <w:sz w:val="22"/>
            <w:szCs w:val="22"/>
          </w:rPr>
          <w:delText>ikke-radiografisk aksial spondylartritt</w:delText>
        </w:r>
        <w:r>
          <w:rPr>
            <w:sz w:val="22"/>
            <w:szCs w:val="22"/>
          </w:rPr>
          <w:delText xml:space="preserve"> (nr</w:delText>
        </w:r>
        <w:r w:rsidR="001857A5">
          <w:rPr>
            <w:sz w:val="22"/>
            <w:szCs w:val="22"/>
          </w:rPr>
          <w:delText>-ax</w:delText>
        </w:r>
        <w:r>
          <w:rPr>
            <w:sz w:val="22"/>
            <w:szCs w:val="22"/>
          </w:rPr>
          <w:delText xml:space="preserve">SpA). Studie </w:delText>
        </w:r>
        <w:r w:rsidR="001857A5">
          <w:rPr>
            <w:sz w:val="22"/>
            <w:szCs w:val="22"/>
          </w:rPr>
          <w:delText xml:space="preserve">nr-axSpA I </w:delText>
        </w:r>
        <w:r w:rsidR="003D3CAB">
          <w:rPr>
            <w:sz w:val="22"/>
            <w:szCs w:val="22"/>
          </w:rPr>
          <w:delText>vurderte</w:delText>
        </w:r>
        <w:r w:rsidR="001857A5">
          <w:rPr>
            <w:sz w:val="22"/>
            <w:szCs w:val="22"/>
          </w:rPr>
          <w:delText xml:space="preserve"> pasienter med aktiv nr-axSpA. Studie nr-axSpA II </w:delText>
        </w:r>
        <w:r w:rsidR="001857A5" w:rsidRPr="001857A5">
          <w:rPr>
            <w:sz w:val="22"/>
            <w:szCs w:val="22"/>
          </w:rPr>
          <w:delText xml:space="preserve">var en </w:delText>
        </w:r>
        <w:r w:rsidR="00070F1E">
          <w:rPr>
            <w:sz w:val="22"/>
            <w:szCs w:val="22"/>
          </w:rPr>
          <w:delText>seponerings</w:delText>
        </w:r>
        <w:r w:rsidR="001857A5" w:rsidRPr="001857A5">
          <w:rPr>
            <w:sz w:val="22"/>
            <w:szCs w:val="22"/>
          </w:rPr>
          <w:delText>studie hos aktive nr-axSpA-pasienter som oppnådde remisjon under behandling med Humira</w:delText>
        </w:r>
        <w:r w:rsidRPr="00B511AB">
          <w:rPr>
            <w:sz w:val="22"/>
            <w:szCs w:val="22"/>
          </w:rPr>
          <w:delText xml:space="preserve"> </w:delText>
        </w:r>
        <w:r>
          <w:rPr>
            <w:sz w:val="22"/>
            <w:szCs w:val="22"/>
          </w:rPr>
          <w:delText xml:space="preserve">i </w:delText>
        </w:r>
        <w:r w:rsidRPr="001857A5">
          <w:rPr>
            <w:sz w:val="22"/>
            <w:szCs w:val="22"/>
          </w:rPr>
          <w:delText>åpen</w:delText>
        </w:r>
        <w:r>
          <w:rPr>
            <w:sz w:val="22"/>
            <w:szCs w:val="22"/>
          </w:rPr>
          <w:delText xml:space="preserve"> studieperiode</w:delText>
        </w:r>
        <w:r w:rsidR="001857A5" w:rsidRPr="001857A5">
          <w:rPr>
            <w:sz w:val="22"/>
            <w:szCs w:val="22"/>
          </w:rPr>
          <w:delText>.</w:delText>
        </w:r>
      </w:del>
    </w:p>
    <w:p w14:paraId="2B313802" w14:textId="4C5253ED" w:rsidR="002F4BB3" w:rsidRPr="001857A5" w:rsidRDefault="002F4BB3">
      <w:pPr>
        <w:keepNext/>
        <w:suppressAutoHyphens/>
        <w:rPr>
          <w:del w:id="7528" w:author="AbbVie02no" w:date="2025-05-15T13:45:00Z"/>
          <w:sz w:val="22"/>
          <w:szCs w:val="22"/>
        </w:rPr>
        <w:pPrChange w:id="7529" w:author="AbbVie02no" w:date="2025-05-15T13:45:00Z">
          <w:pPr/>
        </w:pPrChange>
      </w:pPr>
    </w:p>
    <w:p w14:paraId="1A3E6983" w14:textId="28B192DB" w:rsidR="001857A5" w:rsidRPr="001857A5" w:rsidRDefault="00E453CD">
      <w:pPr>
        <w:keepNext/>
        <w:suppressAutoHyphens/>
        <w:rPr>
          <w:del w:id="7530" w:author="AbbVie02no" w:date="2025-05-15T13:45:00Z"/>
          <w:sz w:val="22"/>
          <w:szCs w:val="22"/>
        </w:rPr>
        <w:pPrChange w:id="7531" w:author="AbbVie02no" w:date="2025-05-15T13:45:00Z">
          <w:pPr>
            <w:keepNext/>
          </w:pPr>
        </w:pPrChange>
      </w:pPr>
      <w:del w:id="7532" w:author="AbbVie02no" w:date="2025-05-15T13:45:00Z">
        <w:r w:rsidRPr="00926F2E">
          <w:rPr>
            <w:sz w:val="22"/>
            <w:szCs w:val="22"/>
          </w:rPr>
          <w:delText>Studie nr-axSpA I</w:delText>
        </w:r>
        <w:r w:rsidRPr="001857A5">
          <w:rPr>
            <w:sz w:val="22"/>
            <w:szCs w:val="22"/>
          </w:rPr>
          <w:delText xml:space="preserve"> </w:delText>
        </w:r>
      </w:del>
    </w:p>
    <w:p w14:paraId="676296B0" w14:textId="3F5BB64C" w:rsidR="001857A5" w:rsidRPr="001857A5" w:rsidRDefault="001857A5">
      <w:pPr>
        <w:keepNext/>
        <w:suppressAutoHyphens/>
        <w:rPr>
          <w:del w:id="7533" w:author="AbbVie02no" w:date="2025-05-15T13:45:00Z"/>
          <w:sz w:val="22"/>
          <w:szCs w:val="22"/>
        </w:rPr>
        <w:pPrChange w:id="7534" w:author="AbbVie02no" w:date="2025-05-15T13:45:00Z">
          <w:pPr>
            <w:keepNext/>
          </w:pPr>
        </w:pPrChange>
      </w:pPr>
    </w:p>
    <w:p w14:paraId="4C3BBE72" w14:textId="232E6D75" w:rsidR="00624CFB" w:rsidRDefault="00E453CD">
      <w:pPr>
        <w:keepNext/>
        <w:suppressAutoHyphens/>
        <w:rPr>
          <w:del w:id="7535" w:author="AbbVie02no" w:date="2025-05-15T13:45:00Z"/>
          <w:sz w:val="22"/>
          <w:szCs w:val="22"/>
        </w:rPr>
        <w:pPrChange w:id="7536" w:author="AbbVie02no" w:date="2025-05-15T13:45:00Z">
          <w:pPr/>
        </w:pPrChange>
      </w:pPr>
      <w:del w:id="7537" w:author="AbbVie02no" w:date="2025-05-15T13:45:00Z">
        <w:r>
          <w:rPr>
            <w:sz w:val="22"/>
            <w:szCs w:val="22"/>
          </w:rPr>
          <w:delText>I s</w:delText>
        </w:r>
        <w:r w:rsidRPr="003C7851">
          <w:rPr>
            <w:sz w:val="22"/>
            <w:szCs w:val="22"/>
          </w:rPr>
          <w:delText>tudie nr-axSpA I</w:delText>
        </w:r>
        <w:r w:rsidRPr="00193D76">
          <w:rPr>
            <w:sz w:val="22"/>
            <w:szCs w:val="22"/>
          </w:rPr>
          <w:delText xml:space="preserve"> </w:delText>
        </w:r>
        <w:r>
          <w:rPr>
            <w:sz w:val="22"/>
            <w:szCs w:val="22"/>
          </w:rPr>
          <w:delText xml:space="preserve">ble </w:delText>
        </w:r>
        <w:r w:rsidR="00E06E37" w:rsidRPr="00193D76">
          <w:rPr>
            <w:sz w:val="22"/>
            <w:szCs w:val="22"/>
          </w:rPr>
          <w:delText>Humira 40</w:delText>
        </w:r>
        <w:r w:rsidR="00070F1E">
          <w:rPr>
            <w:sz w:val="22"/>
            <w:szCs w:val="22"/>
          </w:rPr>
          <w:delText> </w:delText>
        </w:r>
        <w:r w:rsidR="00E06E37" w:rsidRPr="00193D76">
          <w:rPr>
            <w:sz w:val="22"/>
            <w:szCs w:val="22"/>
          </w:rPr>
          <w:delText>mg annen</w:delText>
        </w:r>
        <w:r w:rsidR="005D10BA">
          <w:rPr>
            <w:sz w:val="22"/>
            <w:szCs w:val="22"/>
          </w:rPr>
          <w:delText>hver</w:delText>
        </w:r>
        <w:r w:rsidR="00E06E37" w:rsidRPr="00193D76">
          <w:rPr>
            <w:sz w:val="22"/>
            <w:szCs w:val="22"/>
          </w:rPr>
          <w:delText xml:space="preserve"> uke </w:delText>
        </w:r>
        <w:r w:rsidR="00E06E37" w:rsidRPr="002D0790">
          <w:rPr>
            <w:sz w:val="22"/>
            <w:szCs w:val="22"/>
          </w:rPr>
          <w:delText xml:space="preserve">undersøkt </w:delText>
        </w:r>
        <w:r w:rsidR="007866C9">
          <w:rPr>
            <w:sz w:val="22"/>
            <w:szCs w:val="22"/>
          </w:rPr>
          <w:delText>hos</w:delText>
        </w:r>
        <w:r w:rsidR="00E06E37" w:rsidRPr="002D0790">
          <w:rPr>
            <w:sz w:val="22"/>
            <w:szCs w:val="22"/>
          </w:rPr>
          <w:delText xml:space="preserve"> 185 pasienter i en randomisert, 12</w:delText>
        </w:r>
        <w:r w:rsidR="00070F1E">
          <w:rPr>
            <w:sz w:val="22"/>
            <w:szCs w:val="22"/>
          </w:rPr>
          <w:delText> </w:delText>
        </w:r>
        <w:r w:rsidR="00E06E37" w:rsidRPr="002D0790">
          <w:rPr>
            <w:sz w:val="22"/>
            <w:szCs w:val="22"/>
          </w:rPr>
          <w:delText xml:space="preserve">ukers dobbeltblind, placebokontrollert studie hos pasienter med aktiv </w:delText>
        </w:r>
        <w:r w:rsidRPr="003C7851">
          <w:rPr>
            <w:sz w:val="22"/>
            <w:szCs w:val="22"/>
          </w:rPr>
          <w:delText>nr-axSpA</w:delText>
        </w:r>
        <w:r w:rsidR="000C5D51">
          <w:rPr>
            <w:sz w:val="22"/>
            <w:szCs w:val="22"/>
          </w:rPr>
          <w:delText xml:space="preserve"> </w:delText>
        </w:r>
        <w:r w:rsidR="00E06E37" w:rsidRPr="00391042">
          <w:rPr>
            <w:sz w:val="22"/>
            <w:szCs w:val="22"/>
          </w:rPr>
          <w:delText xml:space="preserve">(gjennomsnittlig </w:delText>
        </w:r>
        <w:r w:rsidR="000E4E62" w:rsidRPr="00391042">
          <w:rPr>
            <w:sz w:val="22"/>
            <w:szCs w:val="22"/>
          </w:rPr>
          <w:delText xml:space="preserve">baseline </w:delText>
        </w:r>
        <w:r w:rsidR="00E06E37" w:rsidRPr="00391042">
          <w:rPr>
            <w:sz w:val="22"/>
            <w:szCs w:val="22"/>
          </w:rPr>
          <w:delText xml:space="preserve">score for sykdomsaktivitet </w:delText>
        </w:r>
        <w:r w:rsidR="00E06E37" w:rsidRPr="00391042">
          <w:rPr>
            <w:rFonts w:ascii="Symbol" w:hAnsi="Symbol"/>
            <w:sz w:val="22"/>
            <w:szCs w:val="22"/>
          </w:rPr>
          <w:sym w:font="Symbol" w:char="F05B"/>
        </w:r>
        <w:r w:rsidR="00E06E37" w:rsidRPr="00391042">
          <w:rPr>
            <w:sz w:val="22"/>
            <w:szCs w:val="22"/>
          </w:rPr>
          <w:delText>Bath Ankylosing Spondylitis Disease Activity Index (BASDAI)</w:delText>
        </w:r>
        <w:r w:rsidR="00E06E37" w:rsidRPr="00391042">
          <w:rPr>
            <w:rFonts w:ascii="Symbol" w:hAnsi="Symbol"/>
            <w:sz w:val="22"/>
            <w:szCs w:val="22"/>
          </w:rPr>
          <w:sym w:font="Symbol" w:char="F05D"/>
        </w:r>
        <w:r w:rsidR="00E06E37" w:rsidRPr="00391042">
          <w:rPr>
            <w:sz w:val="22"/>
            <w:szCs w:val="22"/>
          </w:rPr>
          <w:delText xml:space="preserve"> </w:delText>
        </w:r>
        <w:r w:rsidR="00E06E37" w:rsidRPr="00391042">
          <w:rPr>
            <w:sz w:val="22"/>
            <w:szCs w:val="22"/>
          </w:rPr>
          <w:lastRenderedPageBreak/>
          <w:delText xml:space="preserve">var 6,4 for pasienter behandlet med Humira og 6,5 for </w:delText>
        </w:r>
        <w:r w:rsidR="003B49EC">
          <w:rPr>
            <w:sz w:val="22"/>
            <w:szCs w:val="22"/>
          </w:rPr>
          <w:delText>pasienter som fikk</w:delText>
        </w:r>
        <w:r w:rsidR="00E06E37" w:rsidRPr="00391042">
          <w:rPr>
            <w:sz w:val="22"/>
            <w:szCs w:val="22"/>
          </w:rPr>
          <w:delText xml:space="preserve"> placebo) som har hatt utilstrekkelig respons </w:delText>
        </w:r>
        <w:r w:rsidR="000E4E62" w:rsidRPr="00391042">
          <w:rPr>
            <w:sz w:val="22"/>
            <w:szCs w:val="22"/>
          </w:rPr>
          <w:delText xml:space="preserve">på </w:delText>
        </w:r>
        <w:r w:rsidR="00E06E37" w:rsidRPr="00391042">
          <w:rPr>
            <w:sz w:val="22"/>
            <w:szCs w:val="22"/>
          </w:rPr>
          <w:delText>eller</w:delText>
        </w:r>
        <w:r w:rsidR="000E4E62" w:rsidRPr="00391042">
          <w:rPr>
            <w:sz w:val="22"/>
            <w:szCs w:val="22"/>
          </w:rPr>
          <w:delText xml:space="preserve"> intoleranse overfor</w:delText>
        </w:r>
        <w:r w:rsidRPr="00391042">
          <w:rPr>
            <w:sz w:val="22"/>
            <w:szCs w:val="22"/>
          </w:rPr>
          <w:delText xml:space="preserve"> ≥ 1 NSAIDs, eller en kontraindikasjon for NSAIDs.</w:delText>
        </w:r>
      </w:del>
    </w:p>
    <w:p w14:paraId="2B05F375" w14:textId="4729D834" w:rsidR="002F4BB3" w:rsidRPr="00391042" w:rsidRDefault="002F4BB3">
      <w:pPr>
        <w:keepNext/>
        <w:suppressAutoHyphens/>
        <w:rPr>
          <w:del w:id="7538" w:author="AbbVie02no" w:date="2025-05-15T13:45:00Z"/>
          <w:sz w:val="22"/>
          <w:szCs w:val="22"/>
        </w:rPr>
        <w:pPrChange w:id="7539" w:author="AbbVie02no" w:date="2025-05-15T13:45:00Z">
          <w:pPr/>
        </w:pPrChange>
      </w:pPr>
    </w:p>
    <w:p w14:paraId="1E599364" w14:textId="2CE509C8" w:rsidR="00E06E37" w:rsidRPr="00391042" w:rsidRDefault="00E453CD">
      <w:pPr>
        <w:keepNext/>
        <w:suppressAutoHyphens/>
        <w:rPr>
          <w:del w:id="7540" w:author="AbbVie02no" w:date="2025-05-15T13:45:00Z"/>
          <w:sz w:val="22"/>
          <w:szCs w:val="22"/>
        </w:rPr>
        <w:pPrChange w:id="7541" w:author="AbbVie02no" w:date="2025-05-15T13:45:00Z">
          <w:pPr/>
        </w:pPrChange>
      </w:pPr>
      <w:del w:id="7542" w:author="AbbVie02no" w:date="2025-05-15T13:45:00Z">
        <w:r w:rsidRPr="00391042">
          <w:rPr>
            <w:sz w:val="22"/>
            <w:szCs w:val="22"/>
          </w:rPr>
          <w:delText>33 (18</w:delText>
        </w:r>
        <w:r w:rsidR="005D54C1">
          <w:rPr>
            <w:sz w:val="22"/>
            <w:szCs w:val="22"/>
          </w:rPr>
          <w:delText> </w:delText>
        </w:r>
        <w:r w:rsidRPr="00391042">
          <w:rPr>
            <w:sz w:val="22"/>
            <w:szCs w:val="22"/>
          </w:rPr>
          <w:delText>%) pasiente</w:delText>
        </w:r>
        <w:r w:rsidR="001857A5">
          <w:rPr>
            <w:sz w:val="22"/>
            <w:szCs w:val="22"/>
          </w:rPr>
          <w:delText>r</w:delText>
        </w:r>
        <w:r w:rsidRPr="00391042">
          <w:rPr>
            <w:sz w:val="22"/>
            <w:szCs w:val="22"/>
          </w:rPr>
          <w:delText xml:space="preserve"> ble samtidig behandlet med sykdomsmodifiserende anti-revmatiske legemidler, og 146 (79</w:delText>
        </w:r>
        <w:r w:rsidR="00070F1E">
          <w:rPr>
            <w:sz w:val="22"/>
            <w:szCs w:val="22"/>
          </w:rPr>
          <w:delText> </w:delText>
        </w:r>
        <w:r w:rsidRPr="00391042">
          <w:rPr>
            <w:sz w:val="22"/>
            <w:szCs w:val="22"/>
          </w:rPr>
          <w:delText>%) pasiente</w:delText>
        </w:r>
        <w:r w:rsidR="001857A5">
          <w:rPr>
            <w:sz w:val="22"/>
            <w:szCs w:val="22"/>
          </w:rPr>
          <w:delText>r</w:delText>
        </w:r>
        <w:r w:rsidRPr="00391042">
          <w:rPr>
            <w:sz w:val="22"/>
            <w:szCs w:val="22"/>
          </w:rPr>
          <w:delText xml:space="preserve"> med NSAIDs ved baseline.</w:delText>
        </w:r>
        <w:r w:rsidR="003F3E54" w:rsidRPr="00391042">
          <w:rPr>
            <w:sz w:val="22"/>
            <w:szCs w:val="22"/>
          </w:rPr>
          <w:delText xml:space="preserve"> Den dobbeltblinde perioden ble</w:delText>
        </w:r>
        <w:r w:rsidRPr="00391042">
          <w:rPr>
            <w:sz w:val="22"/>
            <w:szCs w:val="22"/>
          </w:rPr>
          <w:delText xml:space="preserve"> etterfulgt av en </w:delText>
        </w:r>
        <w:r w:rsidR="000E4E62" w:rsidRPr="00391042">
          <w:rPr>
            <w:sz w:val="22"/>
            <w:szCs w:val="22"/>
          </w:rPr>
          <w:delText>åpen behandlingsperiode hvor pasientene får Humira 40 mg annen</w:delText>
        </w:r>
        <w:r w:rsidR="005D10BA">
          <w:rPr>
            <w:sz w:val="22"/>
            <w:szCs w:val="22"/>
          </w:rPr>
          <w:delText>hver</w:delText>
        </w:r>
        <w:r w:rsidR="000E4E62" w:rsidRPr="00391042">
          <w:rPr>
            <w:sz w:val="22"/>
            <w:szCs w:val="22"/>
          </w:rPr>
          <w:delText xml:space="preserve"> uke subkutant i</w:delText>
        </w:r>
        <w:r w:rsidR="003F3E54" w:rsidRPr="00391042">
          <w:rPr>
            <w:sz w:val="22"/>
            <w:szCs w:val="22"/>
          </w:rPr>
          <w:delText xml:space="preserve"> inntil ytterligere</w:delText>
        </w:r>
        <w:r w:rsidR="000E4E62" w:rsidRPr="00391042">
          <w:rPr>
            <w:sz w:val="22"/>
            <w:szCs w:val="22"/>
          </w:rPr>
          <w:delText xml:space="preserve"> 144 uker. Resultatene ved uke 12 viste statistisk signifikant forbedring av </w:delText>
        </w:r>
        <w:r w:rsidR="009A27F0" w:rsidRPr="00391042">
          <w:rPr>
            <w:sz w:val="22"/>
            <w:szCs w:val="22"/>
          </w:rPr>
          <w:delText>sykdoms</w:delText>
        </w:r>
        <w:r w:rsidR="000E4E62" w:rsidRPr="00391042">
          <w:rPr>
            <w:sz w:val="22"/>
            <w:szCs w:val="22"/>
          </w:rPr>
          <w:delText xml:space="preserve">tegn og symptomer </w:delText>
        </w:r>
        <w:r w:rsidR="003F3E54" w:rsidRPr="00391042">
          <w:rPr>
            <w:sz w:val="22"/>
            <w:szCs w:val="22"/>
          </w:rPr>
          <w:delText>på</w:delText>
        </w:r>
        <w:r w:rsidR="000E4E62" w:rsidRPr="00391042">
          <w:rPr>
            <w:sz w:val="22"/>
            <w:szCs w:val="22"/>
          </w:rPr>
          <w:delText xml:space="preserve"> aktiv </w:delText>
        </w:r>
        <w:r w:rsidR="001857A5" w:rsidRPr="003C7851">
          <w:rPr>
            <w:sz w:val="22"/>
            <w:szCs w:val="22"/>
          </w:rPr>
          <w:delText>nr-axSpA</w:delText>
        </w:r>
        <w:r w:rsidR="000E4E62" w:rsidRPr="00391042">
          <w:rPr>
            <w:sz w:val="22"/>
            <w:szCs w:val="22"/>
          </w:rPr>
          <w:delText xml:space="preserve"> hos pasienter behandlet med Humira sammenlignet med placebo (</w:delText>
        </w:r>
        <w:r w:rsidR="00EF2122" w:rsidRPr="00391042">
          <w:rPr>
            <w:sz w:val="22"/>
            <w:szCs w:val="22"/>
          </w:rPr>
          <w:delText>t</w:delText>
        </w:r>
        <w:r w:rsidR="000E4E62" w:rsidRPr="00391042">
          <w:rPr>
            <w:sz w:val="22"/>
            <w:szCs w:val="22"/>
          </w:rPr>
          <w:delText xml:space="preserve">abell </w:delText>
        </w:r>
        <w:r w:rsidR="00875D02">
          <w:rPr>
            <w:sz w:val="22"/>
            <w:szCs w:val="22"/>
          </w:rPr>
          <w:delText>1</w:delText>
        </w:r>
        <w:r w:rsidR="00BB3E88">
          <w:rPr>
            <w:sz w:val="22"/>
            <w:szCs w:val="22"/>
          </w:rPr>
          <w:delText>3</w:delText>
        </w:r>
        <w:r w:rsidR="000E4E62" w:rsidRPr="00391042">
          <w:rPr>
            <w:sz w:val="22"/>
            <w:szCs w:val="22"/>
          </w:rPr>
          <w:delText>).</w:delText>
        </w:r>
      </w:del>
    </w:p>
    <w:p w14:paraId="6D782C88" w14:textId="69B50942" w:rsidR="009A27F0" w:rsidRPr="00391042" w:rsidRDefault="009A27F0">
      <w:pPr>
        <w:keepNext/>
        <w:suppressAutoHyphens/>
        <w:rPr>
          <w:del w:id="7543" w:author="AbbVie02no" w:date="2025-05-15T13:45:00Z"/>
          <w:sz w:val="22"/>
          <w:szCs w:val="22"/>
        </w:rPr>
        <w:pPrChange w:id="7544" w:author="AbbVie02no" w:date="2025-05-15T13:45:00Z">
          <w:pPr/>
        </w:pPrChange>
      </w:pPr>
    </w:p>
    <w:p w14:paraId="36514901" w14:textId="75A0BE45" w:rsidR="009A27F0" w:rsidRPr="00A81D79" w:rsidRDefault="00E453CD">
      <w:pPr>
        <w:keepNext/>
        <w:suppressAutoHyphens/>
        <w:rPr>
          <w:del w:id="7545" w:author="AbbVie02no" w:date="2025-05-15T13:45:00Z"/>
          <w:szCs w:val="22"/>
          <w:lang w:val="sv-SE"/>
        </w:rPr>
        <w:pPrChange w:id="7546" w:author="AbbVie02no" w:date="2025-05-15T13:45:00Z">
          <w:pPr>
            <w:pStyle w:val="EMEANormal"/>
            <w:keepNext/>
            <w:jc w:val="center"/>
          </w:pPr>
        </w:pPrChange>
      </w:pPr>
      <w:del w:id="7547" w:author="AbbVie02no" w:date="2025-05-15T13:45:00Z">
        <w:r w:rsidRPr="00A81D79">
          <w:rPr>
            <w:b/>
            <w:szCs w:val="22"/>
            <w:lang w:val="sv-SE"/>
          </w:rPr>
          <w:delText xml:space="preserve">Tabell </w:delText>
        </w:r>
        <w:r w:rsidR="00BB3E88" w:rsidRPr="00A81D79">
          <w:rPr>
            <w:b/>
            <w:szCs w:val="22"/>
            <w:lang w:val="sv-SE"/>
          </w:rPr>
          <w:delText>1</w:delText>
        </w:r>
        <w:r w:rsidR="00BB3E88">
          <w:rPr>
            <w:b/>
            <w:szCs w:val="22"/>
            <w:lang w:val="sv-SE"/>
          </w:rPr>
          <w:delText>3</w:delText>
        </w:r>
      </w:del>
    </w:p>
    <w:p w14:paraId="676A7EE8" w14:textId="41836BC2" w:rsidR="009A27F0" w:rsidRPr="00A81D79" w:rsidRDefault="00E453CD">
      <w:pPr>
        <w:keepNext/>
        <w:suppressAutoHyphens/>
        <w:rPr>
          <w:del w:id="7548" w:author="AbbVie02no" w:date="2025-05-15T13:45:00Z"/>
          <w:szCs w:val="22"/>
          <w:lang w:val="sv-SE"/>
        </w:rPr>
        <w:pPrChange w:id="7549" w:author="AbbVie02no" w:date="2025-05-15T13:45:00Z">
          <w:pPr>
            <w:pStyle w:val="EMEANormal"/>
            <w:keepNext/>
            <w:jc w:val="center"/>
          </w:pPr>
        </w:pPrChange>
      </w:pPr>
      <w:del w:id="7550" w:author="AbbVie02no" w:date="2025-05-15T13:45:00Z">
        <w:r w:rsidRPr="00A81D79">
          <w:rPr>
            <w:b/>
            <w:szCs w:val="22"/>
            <w:lang w:val="sv-SE"/>
          </w:rPr>
          <w:delText>Effektrespons</w:delText>
        </w:r>
        <w:r w:rsidR="00C654E1" w:rsidRPr="00A81D79">
          <w:rPr>
            <w:b/>
            <w:szCs w:val="22"/>
            <w:lang w:val="sv-SE"/>
          </w:rPr>
          <w:delText xml:space="preserve"> </w:delText>
        </w:r>
        <w:r w:rsidRPr="00A81D79">
          <w:rPr>
            <w:b/>
            <w:szCs w:val="22"/>
            <w:lang w:val="sv-SE"/>
          </w:rPr>
          <w:delText>i placebokont</w:delText>
        </w:r>
        <w:r w:rsidR="00D014D5" w:rsidRPr="00A81D79">
          <w:rPr>
            <w:b/>
            <w:szCs w:val="22"/>
            <w:lang w:val="sv-SE"/>
          </w:rPr>
          <w:delText>r</w:delText>
        </w:r>
        <w:r w:rsidRPr="00A81D79">
          <w:rPr>
            <w:b/>
            <w:szCs w:val="22"/>
            <w:lang w:val="sv-SE"/>
          </w:rPr>
          <w:delText>ollert studie nr-axSpA I</w:delText>
        </w:r>
      </w:del>
    </w:p>
    <w:p w14:paraId="7B93786C" w14:textId="69C9DB6C" w:rsidR="009A27F0" w:rsidRPr="00A81D79" w:rsidRDefault="009A27F0">
      <w:pPr>
        <w:keepNext/>
        <w:suppressAutoHyphens/>
        <w:rPr>
          <w:del w:id="7551" w:author="AbbVie02no" w:date="2025-05-15T13:45:00Z"/>
          <w:szCs w:val="22"/>
          <w:lang w:val="sv-SE"/>
        </w:rPr>
        <w:pPrChange w:id="7552" w:author="AbbVie02no" w:date="2025-05-15T13:45:00Z">
          <w:pPr>
            <w:pStyle w:val="EMEANormal"/>
            <w:keepNext/>
          </w:pPr>
        </w:pPrChange>
      </w:pPr>
    </w:p>
    <w:tbl>
      <w:tblPr>
        <w:tblW w:w="8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2"/>
        <w:gridCol w:w="1555"/>
        <w:gridCol w:w="1849"/>
      </w:tblGrid>
      <w:tr w:rsidR="004644D4" w14:paraId="3D6B4604" w14:textId="55FCE5E0" w:rsidTr="001A7F98">
        <w:trPr>
          <w:trHeight w:val="459"/>
          <w:jc w:val="center"/>
          <w:del w:id="7553" w:author="AbbVie02no" w:date="2025-05-15T13:45:00Z"/>
        </w:trPr>
        <w:tc>
          <w:tcPr>
            <w:tcW w:w="0" w:type="auto"/>
          </w:tcPr>
          <w:p w14:paraId="637FC7E2" w14:textId="0E6CDBE2" w:rsidR="009A27F0" w:rsidRPr="002C5CDB" w:rsidRDefault="00E453CD">
            <w:pPr>
              <w:keepNext/>
              <w:suppressAutoHyphens/>
              <w:rPr>
                <w:del w:id="7554" w:author="AbbVie02no" w:date="2025-05-15T13:45:00Z"/>
                <w:b/>
                <w:bCs/>
                <w:sz w:val="22"/>
                <w:szCs w:val="22"/>
                <w:rPrChange w:id="7555" w:author="AbbVie05no" w:date="2025-05-19T10:32:00Z">
                  <w:rPr>
                    <w:del w:id="7556" w:author="AbbVie02no" w:date="2025-05-15T13:45:00Z"/>
                    <w:b/>
                    <w:bCs/>
                    <w:sz w:val="22"/>
                    <w:szCs w:val="22"/>
                    <w:lang w:val="en-GB"/>
                  </w:rPr>
                </w:rPrChange>
              </w:rPr>
              <w:pPrChange w:id="7557" w:author="AbbVie02no" w:date="2025-05-15T13:45:00Z">
                <w:pPr>
                  <w:keepNext/>
                </w:pPr>
              </w:pPrChange>
            </w:pPr>
            <w:del w:id="7558" w:author="AbbVie02no" w:date="2025-05-15T13:45:00Z">
              <w:r w:rsidRPr="002C5CDB">
                <w:rPr>
                  <w:b/>
                  <w:bCs/>
                  <w:sz w:val="22"/>
                  <w:szCs w:val="22"/>
                  <w:rPrChange w:id="7559" w:author="AbbVie05no" w:date="2025-05-19T10:32:00Z">
                    <w:rPr>
                      <w:b/>
                      <w:bCs/>
                      <w:sz w:val="22"/>
                      <w:szCs w:val="22"/>
                      <w:lang w:val="en-GB"/>
                    </w:rPr>
                  </w:rPrChange>
                </w:rPr>
                <w:delText>Dobbel</w:delText>
              </w:r>
              <w:r w:rsidR="000344BB" w:rsidRPr="002C5CDB">
                <w:rPr>
                  <w:b/>
                  <w:bCs/>
                  <w:sz w:val="22"/>
                  <w:szCs w:val="22"/>
                  <w:rPrChange w:id="7560" w:author="AbbVie05no" w:date="2025-05-19T10:32:00Z">
                    <w:rPr>
                      <w:b/>
                      <w:bCs/>
                      <w:sz w:val="22"/>
                      <w:szCs w:val="22"/>
                      <w:lang w:val="en-GB"/>
                    </w:rPr>
                  </w:rPrChange>
                </w:rPr>
                <w:delText>t</w:delText>
              </w:r>
              <w:r w:rsidRPr="002C5CDB">
                <w:rPr>
                  <w:b/>
                  <w:bCs/>
                  <w:sz w:val="22"/>
                  <w:szCs w:val="22"/>
                  <w:rPrChange w:id="7561" w:author="AbbVie05no" w:date="2025-05-19T10:32:00Z">
                    <w:rPr>
                      <w:b/>
                      <w:bCs/>
                      <w:sz w:val="22"/>
                      <w:szCs w:val="22"/>
                      <w:lang w:val="en-GB"/>
                    </w:rPr>
                  </w:rPrChange>
                </w:rPr>
                <w:delText>blind</w:delText>
              </w:r>
              <w:r w:rsidR="002214FF" w:rsidRPr="002C5CDB">
                <w:rPr>
                  <w:b/>
                  <w:bCs/>
                  <w:sz w:val="22"/>
                  <w:szCs w:val="22"/>
                  <w:rPrChange w:id="7562" w:author="AbbVie05no" w:date="2025-05-19T10:32:00Z">
                    <w:rPr>
                      <w:b/>
                      <w:bCs/>
                      <w:sz w:val="22"/>
                      <w:szCs w:val="22"/>
                      <w:lang w:val="en-GB"/>
                    </w:rPr>
                  </w:rPrChange>
                </w:rPr>
                <w:delText>et</w:delText>
              </w:r>
            </w:del>
          </w:p>
          <w:p w14:paraId="382424A9" w14:textId="063278FC" w:rsidR="009A27F0" w:rsidRPr="002C5CDB" w:rsidRDefault="00E453CD">
            <w:pPr>
              <w:keepNext/>
              <w:suppressAutoHyphens/>
              <w:rPr>
                <w:del w:id="7563" w:author="AbbVie02no" w:date="2025-05-15T13:45:00Z"/>
                <w:b/>
                <w:bCs/>
                <w:sz w:val="22"/>
                <w:szCs w:val="22"/>
                <w:rPrChange w:id="7564" w:author="AbbVie05no" w:date="2025-05-19T10:32:00Z">
                  <w:rPr>
                    <w:del w:id="7565" w:author="AbbVie02no" w:date="2025-05-15T13:45:00Z"/>
                    <w:b/>
                    <w:bCs/>
                    <w:sz w:val="22"/>
                    <w:szCs w:val="22"/>
                    <w:lang w:val="en-GB"/>
                  </w:rPr>
                </w:rPrChange>
              </w:rPr>
              <w:pPrChange w:id="7566" w:author="AbbVie02no" w:date="2025-05-15T13:45:00Z">
                <w:pPr>
                  <w:keepNext/>
                </w:pPr>
              </w:pPrChange>
            </w:pPr>
            <w:del w:id="7567" w:author="AbbVie02no" w:date="2025-05-15T13:45:00Z">
              <w:r w:rsidRPr="002C5CDB">
                <w:rPr>
                  <w:b/>
                  <w:bCs/>
                  <w:sz w:val="22"/>
                  <w:szCs w:val="22"/>
                  <w:rPrChange w:id="7568" w:author="AbbVie05no" w:date="2025-05-19T10:32:00Z">
                    <w:rPr>
                      <w:b/>
                      <w:bCs/>
                      <w:sz w:val="22"/>
                      <w:szCs w:val="22"/>
                      <w:lang w:val="en-GB"/>
                    </w:rPr>
                  </w:rPrChange>
                </w:rPr>
                <w:delText xml:space="preserve">Respons </w:delText>
              </w:r>
              <w:r w:rsidR="00164962" w:rsidRPr="002C5CDB">
                <w:rPr>
                  <w:b/>
                  <w:bCs/>
                  <w:sz w:val="22"/>
                  <w:szCs w:val="22"/>
                  <w:rPrChange w:id="7569" w:author="AbbVie05no" w:date="2025-05-19T10:32:00Z">
                    <w:rPr>
                      <w:b/>
                      <w:bCs/>
                      <w:sz w:val="22"/>
                      <w:szCs w:val="22"/>
                      <w:lang w:val="en-GB"/>
                    </w:rPr>
                  </w:rPrChange>
                </w:rPr>
                <w:delText>ved uke</w:delText>
              </w:r>
              <w:r w:rsidRPr="002C5CDB">
                <w:rPr>
                  <w:b/>
                  <w:bCs/>
                  <w:sz w:val="22"/>
                  <w:szCs w:val="22"/>
                  <w:rPrChange w:id="7570" w:author="AbbVie05no" w:date="2025-05-19T10:32:00Z">
                    <w:rPr>
                      <w:b/>
                      <w:bCs/>
                      <w:sz w:val="22"/>
                      <w:szCs w:val="22"/>
                      <w:lang w:val="en-GB"/>
                    </w:rPr>
                  </w:rPrChange>
                </w:rPr>
                <w:delText xml:space="preserve"> 12</w:delText>
              </w:r>
            </w:del>
          </w:p>
        </w:tc>
        <w:tc>
          <w:tcPr>
            <w:tcW w:w="0" w:type="auto"/>
          </w:tcPr>
          <w:p w14:paraId="5D9F2F06" w14:textId="1FC9E76F" w:rsidR="009A27F0" w:rsidRPr="00AF2DE1" w:rsidRDefault="00E453CD">
            <w:pPr>
              <w:keepNext/>
              <w:suppressAutoHyphens/>
              <w:rPr>
                <w:del w:id="7571" w:author="AbbVie02no" w:date="2025-05-15T13:45:00Z"/>
                <w:b/>
                <w:bCs/>
                <w:sz w:val="22"/>
                <w:szCs w:val="22"/>
                <w:lang w:val="fr-FR"/>
              </w:rPr>
              <w:pPrChange w:id="7572" w:author="AbbVie02no" w:date="2025-05-15T13:45:00Z">
                <w:pPr>
                  <w:keepNext/>
                  <w:jc w:val="center"/>
                </w:pPr>
              </w:pPrChange>
            </w:pPr>
            <w:del w:id="7573" w:author="AbbVie02no" w:date="2025-05-15T13:45:00Z">
              <w:r w:rsidRPr="00AF2DE1">
                <w:rPr>
                  <w:b/>
                  <w:bCs/>
                  <w:sz w:val="22"/>
                  <w:szCs w:val="22"/>
                  <w:lang w:val="fr-FR"/>
                </w:rPr>
                <w:delText>Placebo</w:delText>
              </w:r>
            </w:del>
          </w:p>
          <w:p w14:paraId="3EDBEBE5" w14:textId="31B2F9E8" w:rsidR="009A27F0" w:rsidRPr="00AF2DE1" w:rsidRDefault="00E453CD">
            <w:pPr>
              <w:keepNext/>
              <w:suppressAutoHyphens/>
              <w:rPr>
                <w:del w:id="7574" w:author="AbbVie02no" w:date="2025-05-15T13:45:00Z"/>
                <w:b/>
                <w:bCs/>
                <w:sz w:val="22"/>
                <w:szCs w:val="22"/>
                <w:lang w:val="fr-FR"/>
              </w:rPr>
              <w:pPrChange w:id="7575" w:author="AbbVie02no" w:date="2025-05-15T13:45:00Z">
                <w:pPr>
                  <w:keepNext/>
                  <w:jc w:val="center"/>
                </w:pPr>
              </w:pPrChange>
            </w:pPr>
            <w:del w:id="7576" w:author="AbbVie02no" w:date="2025-05-15T13:45:00Z">
              <w:r w:rsidRPr="00AF2DE1">
                <w:rPr>
                  <w:b/>
                  <w:bCs/>
                  <w:sz w:val="22"/>
                  <w:szCs w:val="22"/>
                  <w:lang w:val="fr-FR"/>
                </w:rPr>
                <w:delText>N=94</w:delText>
              </w:r>
            </w:del>
          </w:p>
        </w:tc>
        <w:tc>
          <w:tcPr>
            <w:tcW w:w="0" w:type="auto"/>
          </w:tcPr>
          <w:p w14:paraId="15F58D8E" w14:textId="7AB6833C" w:rsidR="009A27F0" w:rsidRPr="00AF2DE1" w:rsidRDefault="00E453CD">
            <w:pPr>
              <w:keepNext/>
              <w:suppressAutoHyphens/>
              <w:rPr>
                <w:del w:id="7577" w:author="AbbVie02no" w:date="2025-05-15T13:45:00Z"/>
                <w:b/>
                <w:bCs/>
                <w:sz w:val="22"/>
                <w:szCs w:val="22"/>
                <w:lang w:val="fr-FR"/>
              </w:rPr>
              <w:pPrChange w:id="7578" w:author="AbbVie02no" w:date="2025-05-15T13:45:00Z">
                <w:pPr>
                  <w:keepNext/>
                  <w:jc w:val="center"/>
                </w:pPr>
              </w:pPrChange>
            </w:pPr>
            <w:del w:id="7579" w:author="AbbVie02no" w:date="2025-05-15T13:45:00Z">
              <w:r w:rsidRPr="00AF2DE1">
                <w:rPr>
                  <w:b/>
                  <w:bCs/>
                  <w:sz w:val="22"/>
                  <w:szCs w:val="22"/>
                  <w:lang w:val="fr-FR"/>
                </w:rPr>
                <w:delText>Humira</w:delText>
              </w:r>
            </w:del>
          </w:p>
          <w:p w14:paraId="08444081" w14:textId="0743FAE5" w:rsidR="009A27F0" w:rsidRPr="00AF2DE1" w:rsidRDefault="00E453CD">
            <w:pPr>
              <w:keepNext/>
              <w:suppressAutoHyphens/>
              <w:rPr>
                <w:del w:id="7580" w:author="AbbVie02no" w:date="2025-05-15T13:45:00Z"/>
                <w:b/>
                <w:bCs/>
                <w:sz w:val="22"/>
                <w:szCs w:val="22"/>
                <w:lang w:val="fr-FR"/>
              </w:rPr>
              <w:pPrChange w:id="7581" w:author="AbbVie02no" w:date="2025-05-15T13:45:00Z">
                <w:pPr>
                  <w:keepNext/>
                  <w:jc w:val="center"/>
                </w:pPr>
              </w:pPrChange>
            </w:pPr>
            <w:del w:id="7582" w:author="AbbVie02no" w:date="2025-05-15T13:45:00Z">
              <w:r w:rsidRPr="002C5CDB">
                <w:rPr>
                  <w:b/>
                  <w:bCs/>
                  <w:sz w:val="22"/>
                  <w:szCs w:val="22"/>
                  <w:rPrChange w:id="7583" w:author="AbbVie05no" w:date="2025-05-19T10:32:00Z">
                    <w:rPr>
                      <w:b/>
                      <w:bCs/>
                      <w:sz w:val="22"/>
                      <w:szCs w:val="22"/>
                      <w:lang w:val="en-GB"/>
                    </w:rPr>
                  </w:rPrChange>
                </w:rPr>
                <w:delText>N=91</w:delText>
              </w:r>
            </w:del>
          </w:p>
        </w:tc>
      </w:tr>
      <w:tr w:rsidR="004644D4" w14:paraId="7FEB4A48" w14:textId="44FE50BD" w:rsidTr="001A7F98">
        <w:trPr>
          <w:trHeight w:val="236"/>
          <w:jc w:val="center"/>
          <w:del w:id="7584" w:author="AbbVie02no" w:date="2025-05-15T13:45:00Z"/>
        </w:trPr>
        <w:tc>
          <w:tcPr>
            <w:tcW w:w="0" w:type="auto"/>
          </w:tcPr>
          <w:p w14:paraId="5769E749" w14:textId="0289254A" w:rsidR="009A27F0" w:rsidRPr="002C5CDB" w:rsidRDefault="00E453CD">
            <w:pPr>
              <w:keepNext/>
              <w:suppressAutoHyphens/>
              <w:rPr>
                <w:del w:id="7585" w:author="AbbVie02no" w:date="2025-05-15T13:45:00Z"/>
                <w:sz w:val="22"/>
                <w:szCs w:val="22"/>
                <w:rPrChange w:id="7586" w:author="AbbVie05no" w:date="2025-05-19T10:32:00Z">
                  <w:rPr>
                    <w:del w:id="7587" w:author="AbbVie02no" w:date="2025-05-15T13:45:00Z"/>
                    <w:sz w:val="22"/>
                    <w:szCs w:val="22"/>
                    <w:lang w:val="en-GB"/>
                  </w:rPr>
                </w:rPrChange>
              </w:rPr>
              <w:pPrChange w:id="7588" w:author="AbbVie02no" w:date="2025-05-15T13:45:00Z">
                <w:pPr>
                  <w:keepNext/>
                </w:pPr>
              </w:pPrChange>
            </w:pPr>
            <w:del w:id="7589" w:author="AbbVie02no" w:date="2025-05-15T13:45:00Z">
              <w:r w:rsidRPr="002C5CDB">
                <w:rPr>
                  <w:sz w:val="22"/>
                  <w:szCs w:val="22"/>
                  <w:rPrChange w:id="7590" w:author="AbbVie05no" w:date="2025-05-19T10:32:00Z">
                    <w:rPr>
                      <w:sz w:val="22"/>
                      <w:szCs w:val="22"/>
                      <w:lang w:val="en-GB"/>
                    </w:rPr>
                  </w:rPrChange>
                </w:rPr>
                <w:delText>ASAS</w:delText>
              </w:r>
              <w:r w:rsidRPr="002C5CDB">
                <w:rPr>
                  <w:sz w:val="22"/>
                  <w:szCs w:val="22"/>
                  <w:vertAlign w:val="superscript"/>
                  <w:rPrChange w:id="7591" w:author="AbbVie05no" w:date="2025-05-19T10:32:00Z">
                    <w:rPr>
                      <w:sz w:val="22"/>
                      <w:szCs w:val="22"/>
                      <w:vertAlign w:val="superscript"/>
                      <w:lang w:val="en-GB"/>
                    </w:rPr>
                  </w:rPrChange>
                </w:rPr>
                <w:delText>a</w:delText>
              </w:r>
              <w:r w:rsidRPr="002C5CDB">
                <w:rPr>
                  <w:sz w:val="22"/>
                  <w:szCs w:val="22"/>
                  <w:rPrChange w:id="7592" w:author="AbbVie05no" w:date="2025-05-19T10:32:00Z">
                    <w:rPr>
                      <w:sz w:val="22"/>
                      <w:szCs w:val="22"/>
                      <w:lang w:val="en-GB"/>
                    </w:rPr>
                  </w:rPrChange>
                </w:rPr>
                <w:delText xml:space="preserve"> 40</w:delText>
              </w:r>
            </w:del>
          </w:p>
        </w:tc>
        <w:tc>
          <w:tcPr>
            <w:tcW w:w="0" w:type="auto"/>
          </w:tcPr>
          <w:p w14:paraId="14DAC193" w14:textId="095E9699" w:rsidR="009A27F0" w:rsidRPr="002C5CDB" w:rsidRDefault="00E453CD">
            <w:pPr>
              <w:keepNext/>
              <w:suppressAutoHyphens/>
              <w:rPr>
                <w:del w:id="7593" w:author="AbbVie02no" w:date="2025-05-15T13:45:00Z"/>
                <w:sz w:val="22"/>
                <w:szCs w:val="22"/>
                <w:rPrChange w:id="7594" w:author="AbbVie05no" w:date="2025-05-19T10:32:00Z">
                  <w:rPr>
                    <w:del w:id="7595" w:author="AbbVie02no" w:date="2025-05-15T13:45:00Z"/>
                    <w:sz w:val="22"/>
                    <w:szCs w:val="22"/>
                    <w:lang w:val="en-GB"/>
                  </w:rPr>
                </w:rPrChange>
              </w:rPr>
              <w:pPrChange w:id="7596" w:author="AbbVie02no" w:date="2025-05-15T13:45:00Z">
                <w:pPr>
                  <w:keepNext/>
                  <w:jc w:val="center"/>
                </w:pPr>
              </w:pPrChange>
            </w:pPr>
            <w:del w:id="7597" w:author="AbbVie02no" w:date="2025-05-15T13:45:00Z">
              <w:r w:rsidRPr="002C5CDB">
                <w:rPr>
                  <w:sz w:val="22"/>
                  <w:szCs w:val="22"/>
                  <w:rPrChange w:id="7598" w:author="AbbVie05no" w:date="2025-05-19T10:32:00Z">
                    <w:rPr>
                      <w:sz w:val="22"/>
                      <w:szCs w:val="22"/>
                      <w:lang w:val="en-GB"/>
                    </w:rPr>
                  </w:rPrChange>
                </w:rPr>
                <w:delText>15</w:delText>
              </w:r>
              <w:r w:rsidR="00164962" w:rsidRPr="002C5CDB">
                <w:rPr>
                  <w:sz w:val="22"/>
                  <w:szCs w:val="22"/>
                  <w:rPrChange w:id="7599" w:author="AbbVie05no" w:date="2025-05-19T10:32:00Z">
                    <w:rPr>
                      <w:sz w:val="22"/>
                      <w:szCs w:val="22"/>
                      <w:lang w:val="en-GB"/>
                    </w:rPr>
                  </w:rPrChange>
                </w:rPr>
                <w:delText xml:space="preserve"> </w:delText>
              </w:r>
              <w:r w:rsidRPr="002C5CDB">
                <w:rPr>
                  <w:sz w:val="22"/>
                  <w:szCs w:val="22"/>
                  <w:rPrChange w:id="7600" w:author="AbbVie05no" w:date="2025-05-19T10:32:00Z">
                    <w:rPr>
                      <w:sz w:val="22"/>
                      <w:szCs w:val="22"/>
                      <w:lang w:val="en-GB"/>
                    </w:rPr>
                  </w:rPrChange>
                </w:rPr>
                <w:delText>%</w:delText>
              </w:r>
            </w:del>
          </w:p>
        </w:tc>
        <w:tc>
          <w:tcPr>
            <w:tcW w:w="0" w:type="auto"/>
          </w:tcPr>
          <w:p w14:paraId="2740E704" w14:textId="5DC40B9C" w:rsidR="009A27F0" w:rsidRPr="002C5CDB" w:rsidRDefault="00E453CD">
            <w:pPr>
              <w:keepNext/>
              <w:suppressAutoHyphens/>
              <w:rPr>
                <w:del w:id="7601" w:author="AbbVie02no" w:date="2025-05-15T13:45:00Z"/>
                <w:sz w:val="22"/>
                <w:szCs w:val="22"/>
                <w:rPrChange w:id="7602" w:author="AbbVie05no" w:date="2025-05-19T10:32:00Z">
                  <w:rPr>
                    <w:del w:id="7603" w:author="AbbVie02no" w:date="2025-05-15T13:45:00Z"/>
                    <w:sz w:val="22"/>
                    <w:szCs w:val="22"/>
                    <w:lang w:val="en-GB"/>
                  </w:rPr>
                </w:rPrChange>
              </w:rPr>
              <w:pPrChange w:id="7604" w:author="AbbVie02no" w:date="2025-05-15T13:45:00Z">
                <w:pPr>
                  <w:keepNext/>
                  <w:jc w:val="center"/>
                </w:pPr>
              </w:pPrChange>
            </w:pPr>
            <w:del w:id="7605" w:author="AbbVie02no" w:date="2025-05-15T13:45:00Z">
              <w:r w:rsidRPr="002C5CDB">
                <w:rPr>
                  <w:sz w:val="22"/>
                  <w:szCs w:val="22"/>
                  <w:rPrChange w:id="7606" w:author="AbbVie05no" w:date="2025-05-19T10:32:00Z">
                    <w:rPr>
                      <w:sz w:val="22"/>
                      <w:szCs w:val="22"/>
                      <w:lang w:val="en-GB"/>
                    </w:rPr>
                  </w:rPrChange>
                </w:rPr>
                <w:delText>36</w:delText>
              </w:r>
              <w:r w:rsidR="00164962" w:rsidRPr="002C5CDB">
                <w:rPr>
                  <w:sz w:val="22"/>
                  <w:szCs w:val="22"/>
                  <w:rPrChange w:id="7607" w:author="AbbVie05no" w:date="2025-05-19T10:32:00Z">
                    <w:rPr>
                      <w:sz w:val="22"/>
                      <w:szCs w:val="22"/>
                      <w:lang w:val="en-GB"/>
                    </w:rPr>
                  </w:rPrChange>
                </w:rPr>
                <w:delText xml:space="preserve"> </w:delText>
              </w:r>
              <w:r w:rsidRPr="002C5CDB">
                <w:rPr>
                  <w:sz w:val="22"/>
                  <w:szCs w:val="22"/>
                  <w:rPrChange w:id="7608" w:author="AbbVie05no" w:date="2025-05-19T10:32:00Z">
                    <w:rPr>
                      <w:sz w:val="22"/>
                      <w:szCs w:val="22"/>
                      <w:lang w:val="en-GB"/>
                    </w:rPr>
                  </w:rPrChange>
                </w:rPr>
                <w:delText>%***</w:delText>
              </w:r>
            </w:del>
          </w:p>
        </w:tc>
      </w:tr>
      <w:tr w:rsidR="004644D4" w14:paraId="3DD24CC3" w14:textId="770CCD57" w:rsidTr="001A7F98">
        <w:trPr>
          <w:trHeight w:val="222"/>
          <w:jc w:val="center"/>
          <w:del w:id="7609" w:author="AbbVie02no" w:date="2025-05-15T13:45:00Z"/>
        </w:trPr>
        <w:tc>
          <w:tcPr>
            <w:tcW w:w="0" w:type="auto"/>
          </w:tcPr>
          <w:p w14:paraId="008DB774" w14:textId="32E6A5D6" w:rsidR="009A27F0" w:rsidRPr="002C5CDB" w:rsidRDefault="00E453CD">
            <w:pPr>
              <w:keepNext/>
              <w:suppressAutoHyphens/>
              <w:rPr>
                <w:del w:id="7610" w:author="AbbVie02no" w:date="2025-05-15T13:45:00Z"/>
                <w:sz w:val="22"/>
                <w:szCs w:val="22"/>
                <w:rPrChange w:id="7611" w:author="AbbVie05no" w:date="2025-05-19T10:32:00Z">
                  <w:rPr>
                    <w:del w:id="7612" w:author="AbbVie02no" w:date="2025-05-15T13:45:00Z"/>
                    <w:sz w:val="22"/>
                    <w:szCs w:val="22"/>
                    <w:lang w:val="en-GB"/>
                  </w:rPr>
                </w:rPrChange>
              </w:rPr>
              <w:pPrChange w:id="7613" w:author="AbbVie02no" w:date="2025-05-15T13:45:00Z">
                <w:pPr>
                  <w:keepNext/>
                </w:pPr>
              </w:pPrChange>
            </w:pPr>
            <w:del w:id="7614" w:author="AbbVie02no" w:date="2025-05-15T13:45:00Z">
              <w:r w:rsidRPr="002C5CDB">
                <w:rPr>
                  <w:sz w:val="22"/>
                  <w:szCs w:val="22"/>
                  <w:rPrChange w:id="7615" w:author="AbbVie05no" w:date="2025-05-19T10:32:00Z">
                    <w:rPr>
                      <w:sz w:val="22"/>
                      <w:szCs w:val="22"/>
                      <w:lang w:val="en-GB"/>
                    </w:rPr>
                  </w:rPrChange>
                </w:rPr>
                <w:delText>ASAS 20</w:delText>
              </w:r>
            </w:del>
          </w:p>
        </w:tc>
        <w:tc>
          <w:tcPr>
            <w:tcW w:w="0" w:type="auto"/>
          </w:tcPr>
          <w:p w14:paraId="57C38407" w14:textId="4ADD1633" w:rsidR="009A27F0" w:rsidRPr="002C5CDB" w:rsidRDefault="00E453CD">
            <w:pPr>
              <w:keepNext/>
              <w:suppressAutoHyphens/>
              <w:rPr>
                <w:del w:id="7616" w:author="AbbVie02no" w:date="2025-05-15T13:45:00Z"/>
                <w:sz w:val="22"/>
                <w:szCs w:val="22"/>
                <w:rPrChange w:id="7617" w:author="AbbVie05no" w:date="2025-05-19T10:32:00Z">
                  <w:rPr>
                    <w:del w:id="7618" w:author="AbbVie02no" w:date="2025-05-15T13:45:00Z"/>
                    <w:sz w:val="22"/>
                    <w:szCs w:val="22"/>
                    <w:lang w:val="en-GB"/>
                  </w:rPr>
                </w:rPrChange>
              </w:rPr>
              <w:pPrChange w:id="7619" w:author="AbbVie02no" w:date="2025-05-15T13:45:00Z">
                <w:pPr>
                  <w:keepNext/>
                  <w:jc w:val="center"/>
                </w:pPr>
              </w:pPrChange>
            </w:pPr>
            <w:del w:id="7620" w:author="AbbVie02no" w:date="2025-05-15T13:45:00Z">
              <w:r w:rsidRPr="002C5CDB">
                <w:rPr>
                  <w:sz w:val="22"/>
                  <w:szCs w:val="22"/>
                  <w:rPrChange w:id="7621" w:author="AbbVie05no" w:date="2025-05-19T10:32:00Z">
                    <w:rPr>
                      <w:sz w:val="22"/>
                      <w:szCs w:val="22"/>
                      <w:lang w:val="en-GB"/>
                    </w:rPr>
                  </w:rPrChange>
                </w:rPr>
                <w:delText>31</w:delText>
              </w:r>
              <w:r w:rsidR="00164962" w:rsidRPr="002C5CDB">
                <w:rPr>
                  <w:sz w:val="22"/>
                  <w:szCs w:val="22"/>
                  <w:rPrChange w:id="7622" w:author="AbbVie05no" w:date="2025-05-19T10:32:00Z">
                    <w:rPr>
                      <w:sz w:val="22"/>
                      <w:szCs w:val="22"/>
                      <w:lang w:val="en-GB"/>
                    </w:rPr>
                  </w:rPrChange>
                </w:rPr>
                <w:delText xml:space="preserve"> </w:delText>
              </w:r>
              <w:r w:rsidRPr="002C5CDB">
                <w:rPr>
                  <w:sz w:val="22"/>
                  <w:szCs w:val="22"/>
                  <w:rPrChange w:id="7623" w:author="AbbVie05no" w:date="2025-05-19T10:32:00Z">
                    <w:rPr>
                      <w:sz w:val="22"/>
                      <w:szCs w:val="22"/>
                      <w:lang w:val="en-GB"/>
                    </w:rPr>
                  </w:rPrChange>
                </w:rPr>
                <w:delText>%</w:delText>
              </w:r>
            </w:del>
          </w:p>
        </w:tc>
        <w:tc>
          <w:tcPr>
            <w:tcW w:w="0" w:type="auto"/>
          </w:tcPr>
          <w:p w14:paraId="02ACE4CD" w14:textId="0E2686C4" w:rsidR="009A27F0" w:rsidRPr="002C5CDB" w:rsidRDefault="00E453CD">
            <w:pPr>
              <w:keepNext/>
              <w:suppressAutoHyphens/>
              <w:rPr>
                <w:del w:id="7624" w:author="AbbVie02no" w:date="2025-05-15T13:45:00Z"/>
                <w:sz w:val="22"/>
                <w:szCs w:val="22"/>
                <w:rPrChange w:id="7625" w:author="AbbVie05no" w:date="2025-05-19T10:32:00Z">
                  <w:rPr>
                    <w:del w:id="7626" w:author="AbbVie02no" w:date="2025-05-15T13:45:00Z"/>
                    <w:sz w:val="22"/>
                    <w:szCs w:val="22"/>
                    <w:lang w:val="en-GB"/>
                  </w:rPr>
                </w:rPrChange>
              </w:rPr>
              <w:pPrChange w:id="7627" w:author="AbbVie02no" w:date="2025-05-15T13:45:00Z">
                <w:pPr>
                  <w:keepNext/>
                  <w:jc w:val="center"/>
                </w:pPr>
              </w:pPrChange>
            </w:pPr>
            <w:del w:id="7628" w:author="AbbVie02no" w:date="2025-05-15T13:45:00Z">
              <w:r w:rsidRPr="002C5CDB">
                <w:rPr>
                  <w:sz w:val="22"/>
                  <w:szCs w:val="22"/>
                  <w:rPrChange w:id="7629" w:author="AbbVie05no" w:date="2025-05-19T10:32:00Z">
                    <w:rPr>
                      <w:sz w:val="22"/>
                      <w:szCs w:val="22"/>
                      <w:lang w:val="en-GB"/>
                    </w:rPr>
                  </w:rPrChange>
                </w:rPr>
                <w:delText>52</w:delText>
              </w:r>
              <w:r w:rsidR="00164962" w:rsidRPr="002C5CDB">
                <w:rPr>
                  <w:sz w:val="22"/>
                  <w:szCs w:val="22"/>
                  <w:rPrChange w:id="7630" w:author="AbbVie05no" w:date="2025-05-19T10:32:00Z">
                    <w:rPr>
                      <w:sz w:val="22"/>
                      <w:szCs w:val="22"/>
                      <w:lang w:val="en-GB"/>
                    </w:rPr>
                  </w:rPrChange>
                </w:rPr>
                <w:delText xml:space="preserve"> </w:delText>
              </w:r>
              <w:r w:rsidRPr="002C5CDB">
                <w:rPr>
                  <w:sz w:val="22"/>
                  <w:szCs w:val="22"/>
                  <w:rPrChange w:id="7631" w:author="AbbVie05no" w:date="2025-05-19T10:32:00Z">
                    <w:rPr>
                      <w:sz w:val="22"/>
                      <w:szCs w:val="22"/>
                      <w:lang w:val="en-GB"/>
                    </w:rPr>
                  </w:rPrChange>
                </w:rPr>
                <w:delText>%**</w:delText>
              </w:r>
            </w:del>
          </w:p>
        </w:tc>
      </w:tr>
      <w:tr w:rsidR="004644D4" w14:paraId="1C76219E" w14:textId="6CE93645" w:rsidTr="001A7F98">
        <w:trPr>
          <w:trHeight w:val="236"/>
          <w:jc w:val="center"/>
          <w:del w:id="7632" w:author="AbbVie02no" w:date="2025-05-15T13:45:00Z"/>
        </w:trPr>
        <w:tc>
          <w:tcPr>
            <w:tcW w:w="0" w:type="auto"/>
          </w:tcPr>
          <w:p w14:paraId="47D7A8D6" w14:textId="2F1F6F46" w:rsidR="009A27F0" w:rsidRPr="002C5CDB" w:rsidRDefault="00E453CD">
            <w:pPr>
              <w:keepNext/>
              <w:suppressAutoHyphens/>
              <w:rPr>
                <w:del w:id="7633" w:author="AbbVie02no" w:date="2025-05-15T13:45:00Z"/>
                <w:sz w:val="22"/>
                <w:szCs w:val="22"/>
                <w:rPrChange w:id="7634" w:author="AbbVie05no" w:date="2025-05-19T10:32:00Z">
                  <w:rPr>
                    <w:del w:id="7635" w:author="AbbVie02no" w:date="2025-05-15T13:45:00Z"/>
                    <w:sz w:val="22"/>
                    <w:szCs w:val="22"/>
                    <w:lang w:val="en-GB"/>
                  </w:rPr>
                </w:rPrChange>
              </w:rPr>
              <w:pPrChange w:id="7636" w:author="AbbVie02no" w:date="2025-05-15T13:45:00Z">
                <w:pPr>
                  <w:keepNext/>
                </w:pPr>
              </w:pPrChange>
            </w:pPr>
            <w:del w:id="7637" w:author="AbbVie02no" w:date="2025-05-15T13:45:00Z">
              <w:r w:rsidRPr="002C5CDB">
                <w:rPr>
                  <w:sz w:val="22"/>
                  <w:szCs w:val="22"/>
                  <w:rPrChange w:id="7638" w:author="AbbVie05no" w:date="2025-05-19T10:32:00Z">
                    <w:rPr>
                      <w:sz w:val="22"/>
                      <w:szCs w:val="22"/>
                      <w:lang w:val="en-GB"/>
                    </w:rPr>
                  </w:rPrChange>
                </w:rPr>
                <w:delText>ASAS 5/6</w:delText>
              </w:r>
            </w:del>
          </w:p>
        </w:tc>
        <w:tc>
          <w:tcPr>
            <w:tcW w:w="0" w:type="auto"/>
          </w:tcPr>
          <w:p w14:paraId="3774FBF9" w14:textId="1EFA7489" w:rsidR="009A27F0" w:rsidRPr="002C5CDB" w:rsidRDefault="00E453CD">
            <w:pPr>
              <w:keepNext/>
              <w:suppressAutoHyphens/>
              <w:rPr>
                <w:del w:id="7639" w:author="AbbVie02no" w:date="2025-05-15T13:45:00Z"/>
                <w:sz w:val="22"/>
                <w:szCs w:val="22"/>
                <w:rPrChange w:id="7640" w:author="AbbVie05no" w:date="2025-05-19T10:32:00Z">
                  <w:rPr>
                    <w:del w:id="7641" w:author="AbbVie02no" w:date="2025-05-15T13:45:00Z"/>
                    <w:sz w:val="22"/>
                    <w:szCs w:val="22"/>
                    <w:lang w:val="en-GB"/>
                  </w:rPr>
                </w:rPrChange>
              </w:rPr>
              <w:pPrChange w:id="7642" w:author="AbbVie02no" w:date="2025-05-15T13:45:00Z">
                <w:pPr>
                  <w:keepNext/>
                  <w:jc w:val="center"/>
                </w:pPr>
              </w:pPrChange>
            </w:pPr>
            <w:del w:id="7643" w:author="AbbVie02no" w:date="2025-05-15T13:45:00Z">
              <w:r w:rsidRPr="002C5CDB">
                <w:rPr>
                  <w:sz w:val="22"/>
                  <w:szCs w:val="22"/>
                  <w:rPrChange w:id="7644" w:author="AbbVie05no" w:date="2025-05-19T10:32:00Z">
                    <w:rPr>
                      <w:sz w:val="22"/>
                      <w:szCs w:val="22"/>
                      <w:lang w:val="en-GB"/>
                    </w:rPr>
                  </w:rPrChange>
                </w:rPr>
                <w:delText>6</w:delText>
              </w:r>
              <w:r w:rsidR="00164962" w:rsidRPr="002C5CDB">
                <w:rPr>
                  <w:sz w:val="22"/>
                  <w:szCs w:val="22"/>
                  <w:rPrChange w:id="7645" w:author="AbbVie05no" w:date="2025-05-19T10:32:00Z">
                    <w:rPr>
                      <w:sz w:val="22"/>
                      <w:szCs w:val="22"/>
                      <w:lang w:val="en-GB"/>
                    </w:rPr>
                  </w:rPrChange>
                </w:rPr>
                <w:delText xml:space="preserve"> </w:delText>
              </w:r>
              <w:r w:rsidRPr="002C5CDB">
                <w:rPr>
                  <w:sz w:val="22"/>
                  <w:szCs w:val="22"/>
                  <w:rPrChange w:id="7646" w:author="AbbVie05no" w:date="2025-05-19T10:32:00Z">
                    <w:rPr>
                      <w:sz w:val="22"/>
                      <w:szCs w:val="22"/>
                      <w:lang w:val="en-GB"/>
                    </w:rPr>
                  </w:rPrChange>
                </w:rPr>
                <w:delText>%</w:delText>
              </w:r>
            </w:del>
          </w:p>
        </w:tc>
        <w:tc>
          <w:tcPr>
            <w:tcW w:w="0" w:type="auto"/>
          </w:tcPr>
          <w:p w14:paraId="1DF35E52" w14:textId="5ACFB1EA" w:rsidR="009A27F0" w:rsidRPr="002C5CDB" w:rsidRDefault="00E453CD">
            <w:pPr>
              <w:keepNext/>
              <w:suppressAutoHyphens/>
              <w:rPr>
                <w:del w:id="7647" w:author="AbbVie02no" w:date="2025-05-15T13:45:00Z"/>
                <w:sz w:val="22"/>
                <w:szCs w:val="22"/>
                <w:rPrChange w:id="7648" w:author="AbbVie05no" w:date="2025-05-19T10:32:00Z">
                  <w:rPr>
                    <w:del w:id="7649" w:author="AbbVie02no" w:date="2025-05-15T13:45:00Z"/>
                    <w:sz w:val="22"/>
                    <w:szCs w:val="22"/>
                    <w:lang w:val="en-GB"/>
                  </w:rPr>
                </w:rPrChange>
              </w:rPr>
              <w:pPrChange w:id="7650" w:author="AbbVie02no" w:date="2025-05-15T13:45:00Z">
                <w:pPr>
                  <w:keepNext/>
                  <w:jc w:val="center"/>
                </w:pPr>
              </w:pPrChange>
            </w:pPr>
            <w:del w:id="7651" w:author="AbbVie02no" w:date="2025-05-15T13:45:00Z">
              <w:r w:rsidRPr="002C5CDB">
                <w:rPr>
                  <w:sz w:val="22"/>
                  <w:szCs w:val="22"/>
                  <w:rPrChange w:id="7652" w:author="AbbVie05no" w:date="2025-05-19T10:32:00Z">
                    <w:rPr>
                      <w:sz w:val="22"/>
                      <w:szCs w:val="22"/>
                      <w:lang w:val="en-GB"/>
                    </w:rPr>
                  </w:rPrChange>
                </w:rPr>
                <w:delText>31</w:delText>
              </w:r>
              <w:r w:rsidR="00164962" w:rsidRPr="002C5CDB">
                <w:rPr>
                  <w:sz w:val="22"/>
                  <w:szCs w:val="22"/>
                  <w:rPrChange w:id="7653" w:author="AbbVie05no" w:date="2025-05-19T10:32:00Z">
                    <w:rPr>
                      <w:sz w:val="22"/>
                      <w:szCs w:val="22"/>
                      <w:lang w:val="en-GB"/>
                    </w:rPr>
                  </w:rPrChange>
                </w:rPr>
                <w:delText xml:space="preserve"> </w:delText>
              </w:r>
              <w:r w:rsidRPr="002C5CDB">
                <w:rPr>
                  <w:sz w:val="22"/>
                  <w:szCs w:val="22"/>
                  <w:rPrChange w:id="7654" w:author="AbbVie05no" w:date="2025-05-19T10:32:00Z">
                    <w:rPr>
                      <w:sz w:val="22"/>
                      <w:szCs w:val="22"/>
                      <w:lang w:val="en-GB"/>
                    </w:rPr>
                  </w:rPrChange>
                </w:rPr>
                <w:delText>%***</w:delText>
              </w:r>
            </w:del>
          </w:p>
        </w:tc>
      </w:tr>
      <w:tr w:rsidR="004644D4" w14:paraId="3DA7D2F7" w14:textId="3C4A97CF" w:rsidTr="001A7F98">
        <w:trPr>
          <w:trHeight w:val="236"/>
          <w:jc w:val="center"/>
          <w:del w:id="7655" w:author="AbbVie02no" w:date="2025-05-15T13:45:00Z"/>
        </w:trPr>
        <w:tc>
          <w:tcPr>
            <w:tcW w:w="0" w:type="auto"/>
          </w:tcPr>
          <w:p w14:paraId="7AF47C38" w14:textId="634CEB9F" w:rsidR="009A27F0" w:rsidRPr="002C5CDB" w:rsidRDefault="00E453CD">
            <w:pPr>
              <w:keepNext/>
              <w:suppressAutoHyphens/>
              <w:rPr>
                <w:del w:id="7656" w:author="AbbVie02no" w:date="2025-05-15T13:45:00Z"/>
                <w:sz w:val="22"/>
                <w:szCs w:val="22"/>
                <w:rPrChange w:id="7657" w:author="AbbVie05no" w:date="2025-05-19T10:32:00Z">
                  <w:rPr>
                    <w:del w:id="7658" w:author="AbbVie02no" w:date="2025-05-15T13:45:00Z"/>
                    <w:sz w:val="22"/>
                    <w:szCs w:val="22"/>
                    <w:lang w:val="en-GB"/>
                  </w:rPr>
                </w:rPrChange>
              </w:rPr>
              <w:pPrChange w:id="7659" w:author="AbbVie02no" w:date="2025-05-15T13:45:00Z">
                <w:pPr>
                  <w:keepNext/>
                </w:pPr>
              </w:pPrChange>
            </w:pPr>
            <w:del w:id="7660" w:author="AbbVie02no" w:date="2025-05-15T13:45:00Z">
              <w:r w:rsidRPr="002C5CDB">
                <w:rPr>
                  <w:sz w:val="22"/>
                  <w:szCs w:val="22"/>
                  <w:rPrChange w:id="7661" w:author="AbbVie05no" w:date="2025-05-19T10:32:00Z">
                    <w:rPr>
                      <w:sz w:val="22"/>
                      <w:szCs w:val="22"/>
                      <w:lang w:val="en-GB"/>
                    </w:rPr>
                  </w:rPrChange>
                </w:rPr>
                <w:delText>ASAS delvis remisjon</w:delText>
              </w:r>
            </w:del>
          </w:p>
        </w:tc>
        <w:tc>
          <w:tcPr>
            <w:tcW w:w="0" w:type="auto"/>
          </w:tcPr>
          <w:p w14:paraId="104E57AC" w14:textId="29A3E091" w:rsidR="009A27F0" w:rsidRPr="002C5CDB" w:rsidRDefault="00E453CD">
            <w:pPr>
              <w:keepNext/>
              <w:suppressAutoHyphens/>
              <w:rPr>
                <w:del w:id="7662" w:author="AbbVie02no" w:date="2025-05-15T13:45:00Z"/>
                <w:sz w:val="22"/>
                <w:szCs w:val="22"/>
                <w:rPrChange w:id="7663" w:author="AbbVie05no" w:date="2025-05-19T10:32:00Z">
                  <w:rPr>
                    <w:del w:id="7664" w:author="AbbVie02no" w:date="2025-05-15T13:45:00Z"/>
                    <w:sz w:val="22"/>
                    <w:szCs w:val="22"/>
                    <w:lang w:val="en-GB"/>
                  </w:rPr>
                </w:rPrChange>
              </w:rPr>
              <w:pPrChange w:id="7665" w:author="AbbVie02no" w:date="2025-05-15T13:45:00Z">
                <w:pPr>
                  <w:keepNext/>
                  <w:jc w:val="center"/>
                </w:pPr>
              </w:pPrChange>
            </w:pPr>
            <w:del w:id="7666" w:author="AbbVie02no" w:date="2025-05-15T13:45:00Z">
              <w:r w:rsidRPr="002C5CDB">
                <w:rPr>
                  <w:sz w:val="22"/>
                  <w:szCs w:val="22"/>
                  <w:rPrChange w:id="7667" w:author="AbbVie05no" w:date="2025-05-19T10:32:00Z">
                    <w:rPr>
                      <w:sz w:val="22"/>
                      <w:szCs w:val="22"/>
                      <w:lang w:val="en-GB"/>
                    </w:rPr>
                  </w:rPrChange>
                </w:rPr>
                <w:delText>5</w:delText>
              </w:r>
              <w:r w:rsidR="00164962" w:rsidRPr="002C5CDB">
                <w:rPr>
                  <w:sz w:val="22"/>
                  <w:szCs w:val="22"/>
                  <w:rPrChange w:id="7668" w:author="AbbVie05no" w:date="2025-05-19T10:32:00Z">
                    <w:rPr>
                      <w:sz w:val="22"/>
                      <w:szCs w:val="22"/>
                      <w:lang w:val="en-GB"/>
                    </w:rPr>
                  </w:rPrChange>
                </w:rPr>
                <w:delText xml:space="preserve"> </w:delText>
              </w:r>
              <w:r w:rsidRPr="002C5CDB">
                <w:rPr>
                  <w:sz w:val="22"/>
                  <w:szCs w:val="22"/>
                  <w:rPrChange w:id="7669" w:author="AbbVie05no" w:date="2025-05-19T10:32:00Z">
                    <w:rPr>
                      <w:sz w:val="22"/>
                      <w:szCs w:val="22"/>
                      <w:lang w:val="en-GB"/>
                    </w:rPr>
                  </w:rPrChange>
                </w:rPr>
                <w:delText>%</w:delText>
              </w:r>
            </w:del>
          </w:p>
        </w:tc>
        <w:tc>
          <w:tcPr>
            <w:tcW w:w="0" w:type="auto"/>
          </w:tcPr>
          <w:p w14:paraId="2886278B" w14:textId="05D0F4C3" w:rsidR="009A27F0" w:rsidRPr="002C5CDB" w:rsidRDefault="00E453CD">
            <w:pPr>
              <w:keepNext/>
              <w:suppressAutoHyphens/>
              <w:rPr>
                <w:del w:id="7670" w:author="AbbVie02no" w:date="2025-05-15T13:45:00Z"/>
                <w:sz w:val="22"/>
                <w:szCs w:val="22"/>
                <w:rPrChange w:id="7671" w:author="AbbVie05no" w:date="2025-05-19T10:32:00Z">
                  <w:rPr>
                    <w:del w:id="7672" w:author="AbbVie02no" w:date="2025-05-15T13:45:00Z"/>
                    <w:sz w:val="22"/>
                    <w:szCs w:val="22"/>
                    <w:lang w:val="en-GB"/>
                  </w:rPr>
                </w:rPrChange>
              </w:rPr>
              <w:pPrChange w:id="7673" w:author="AbbVie02no" w:date="2025-05-15T13:45:00Z">
                <w:pPr>
                  <w:keepNext/>
                  <w:jc w:val="center"/>
                </w:pPr>
              </w:pPrChange>
            </w:pPr>
            <w:del w:id="7674" w:author="AbbVie02no" w:date="2025-05-15T13:45:00Z">
              <w:r w:rsidRPr="002C5CDB">
                <w:rPr>
                  <w:sz w:val="22"/>
                  <w:szCs w:val="22"/>
                  <w:rPrChange w:id="7675" w:author="AbbVie05no" w:date="2025-05-19T10:32:00Z">
                    <w:rPr>
                      <w:sz w:val="22"/>
                      <w:szCs w:val="22"/>
                      <w:lang w:val="en-GB"/>
                    </w:rPr>
                  </w:rPrChange>
                </w:rPr>
                <w:delText xml:space="preserve">  16</w:delText>
              </w:r>
              <w:r w:rsidR="00164962" w:rsidRPr="002C5CDB">
                <w:rPr>
                  <w:sz w:val="22"/>
                  <w:szCs w:val="22"/>
                  <w:rPrChange w:id="7676" w:author="AbbVie05no" w:date="2025-05-19T10:32:00Z">
                    <w:rPr>
                      <w:sz w:val="22"/>
                      <w:szCs w:val="22"/>
                      <w:lang w:val="en-GB"/>
                    </w:rPr>
                  </w:rPrChange>
                </w:rPr>
                <w:delText xml:space="preserve"> </w:delText>
              </w:r>
              <w:r w:rsidRPr="002C5CDB">
                <w:rPr>
                  <w:sz w:val="22"/>
                  <w:szCs w:val="22"/>
                  <w:rPrChange w:id="7677" w:author="AbbVie05no" w:date="2025-05-19T10:32:00Z">
                    <w:rPr>
                      <w:sz w:val="22"/>
                      <w:szCs w:val="22"/>
                      <w:lang w:val="en-GB"/>
                    </w:rPr>
                  </w:rPrChange>
                </w:rPr>
                <w:delText>%***</w:delText>
              </w:r>
            </w:del>
          </w:p>
        </w:tc>
      </w:tr>
      <w:tr w:rsidR="004644D4" w14:paraId="3126D58C" w14:textId="3AAD3904" w:rsidTr="001A7F98">
        <w:trPr>
          <w:trHeight w:val="222"/>
          <w:jc w:val="center"/>
          <w:del w:id="7678" w:author="AbbVie02no" w:date="2025-05-15T13:45:00Z"/>
        </w:trPr>
        <w:tc>
          <w:tcPr>
            <w:tcW w:w="0" w:type="auto"/>
            <w:tcBorders>
              <w:bottom w:val="single" w:sz="4" w:space="0" w:color="auto"/>
            </w:tcBorders>
          </w:tcPr>
          <w:p w14:paraId="6A5534E8" w14:textId="3AB8D8BA" w:rsidR="009A27F0" w:rsidRPr="002C5CDB" w:rsidRDefault="00E453CD">
            <w:pPr>
              <w:keepNext/>
              <w:suppressAutoHyphens/>
              <w:rPr>
                <w:del w:id="7679" w:author="AbbVie02no" w:date="2025-05-15T13:45:00Z"/>
                <w:sz w:val="22"/>
                <w:szCs w:val="22"/>
                <w:rPrChange w:id="7680" w:author="AbbVie05no" w:date="2025-05-19T10:32:00Z">
                  <w:rPr>
                    <w:del w:id="7681" w:author="AbbVie02no" w:date="2025-05-15T13:45:00Z"/>
                    <w:sz w:val="22"/>
                    <w:szCs w:val="22"/>
                    <w:lang w:val="en-GB"/>
                  </w:rPr>
                </w:rPrChange>
              </w:rPr>
              <w:pPrChange w:id="7682" w:author="AbbVie02no" w:date="2025-05-15T13:45:00Z">
                <w:pPr>
                  <w:keepNext/>
                </w:pPr>
              </w:pPrChange>
            </w:pPr>
            <w:del w:id="7683" w:author="AbbVie02no" w:date="2025-05-15T13:45:00Z">
              <w:r w:rsidRPr="002C5CDB">
                <w:rPr>
                  <w:sz w:val="22"/>
                  <w:szCs w:val="22"/>
                  <w:rPrChange w:id="7684" w:author="AbbVie05no" w:date="2025-05-19T10:32:00Z">
                    <w:rPr>
                      <w:sz w:val="22"/>
                      <w:szCs w:val="22"/>
                      <w:lang w:val="en-GB"/>
                    </w:rPr>
                  </w:rPrChange>
                </w:rPr>
                <w:delText>BASDAI</w:delText>
              </w:r>
              <w:r w:rsidRPr="002C5CDB">
                <w:rPr>
                  <w:sz w:val="22"/>
                  <w:szCs w:val="22"/>
                  <w:vertAlign w:val="superscript"/>
                  <w:rPrChange w:id="7685" w:author="AbbVie05no" w:date="2025-05-19T10:32:00Z">
                    <w:rPr>
                      <w:sz w:val="22"/>
                      <w:szCs w:val="22"/>
                      <w:vertAlign w:val="superscript"/>
                      <w:lang w:val="en-GB"/>
                    </w:rPr>
                  </w:rPrChange>
                </w:rPr>
                <w:delText>b</w:delText>
              </w:r>
              <w:r w:rsidRPr="002C5CDB">
                <w:rPr>
                  <w:sz w:val="22"/>
                  <w:szCs w:val="22"/>
                  <w:rPrChange w:id="7686" w:author="AbbVie05no" w:date="2025-05-19T10:32:00Z">
                    <w:rPr>
                      <w:sz w:val="22"/>
                      <w:szCs w:val="22"/>
                      <w:lang w:val="en-GB"/>
                    </w:rPr>
                  </w:rPrChange>
                </w:rPr>
                <w:delText xml:space="preserve"> 50</w:delText>
              </w:r>
            </w:del>
          </w:p>
        </w:tc>
        <w:tc>
          <w:tcPr>
            <w:tcW w:w="0" w:type="auto"/>
            <w:tcBorders>
              <w:bottom w:val="single" w:sz="4" w:space="0" w:color="auto"/>
            </w:tcBorders>
          </w:tcPr>
          <w:p w14:paraId="61DB86B0" w14:textId="4226A326" w:rsidR="009A27F0" w:rsidRPr="002C5CDB" w:rsidRDefault="00E453CD">
            <w:pPr>
              <w:keepNext/>
              <w:suppressAutoHyphens/>
              <w:rPr>
                <w:del w:id="7687" w:author="AbbVie02no" w:date="2025-05-15T13:45:00Z"/>
                <w:sz w:val="22"/>
                <w:szCs w:val="22"/>
                <w:rPrChange w:id="7688" w:author="AbbVie05no" w:date="2025-05-19T10:32:00Z">
                  <w:rPr>
                    <w:del w:id="7689" w:author="AbbVie02no" w:date="2025-05-15T13:45:00Z"/>
                    <w:sz w:val="22"/>
                    <w:szCs w:val="22"/>
                    <w:lang w:val="en-GB"/>
                  </w:rPr>
                </w:rPrChange>
              </w:rPr>
              <w:pPrChange w:id="7690" w:author="AbbVie02no" w:date="2025-05-15T13:45:00Z">
                <w:pPr>
                  <w:keepNext/>
                  <w:jc w:val="center"/>
                </w:pPr>
              </w:pPrChange>
            </w:pPr>
            <w:del w:id="7691" w:author="AbbVie02no" w:date="2025-05-15T13:45:00Z">
              <w:r w:rsidRPr="002C5CDB">
                <w:rPr>
                  <w:sz w:val="22"/>
                  <w:szCs w:val="22"/>
                  <w:rPrChange w:id="7692" w:author="AbbVie05no" w:date="2025-05-19T10:32:00Z">
                    <w:rPr>
                      <w:sz w:val="22"/>
                      <w:szCs w:val="22"/>
                      <w:lang w:val="en-GB"/>
                    </w:rPr>
                  </w:rPrChange>
                </w:rPr>
                <w:delText>15</w:delText>
              </w:r>
              <w:r w:rsidR="00164962" w:rsidRPr="002C5CDB">
                <w:rPr>
                  <w:sz w:val="22"/>
                  <w:szCs w:val="22"/>
                  <w:rPrChange w:id="7693" w:author="AbbVie05no" w:date="2025-05-19T10:32:00Z">
                    <w:rPr>
                      <w:sz w:val="22"/>
                      <w:szCs w:val="22"/>
                      <w:lang w:val="en-GB"/>
                    </w:rPr>
                  </w:rPrChange>
                </w:rPr>
                <w:delText xml:space="preserve"> </w:delText>
              </w:r>
              <w:r w:rsidRPr="002C5CDB">
                <w:rPr>
                  <w:sz w:val="22"/>
                  <w:szCs w:val="22"/>
                  <w:rPrChange w:id="7694" w:author="AbbVie05no" w:date="2025-05-19T10:32:00Z">
                    <w:rPr>
                      <w:sz w:val="22"/>
                      <w:szCs w:val="22"/>
                      <w:lang w:val="en-GB"/>
                    </w:rPr>
                  </w:rPrChange>
                </w:rPr>
                <w:delText>%</w:delText>
              </w:r>
            </w:del>
          </w:p>
        </w:tc>
        <w:tc>
          <w:tcPr>
            <w:tcW w:w="0" w:type="auto"/>
            <w:tcBorders>
              <w:bottom w:val="single" w:sz="4" w:space="0" w:color="auto"/>
            </w:tcBorders>
          </w:tcPr>
          <w:p w14:paraId="3DCB090C" w14:textId="4E3AA3DD" w:rsidR="009A27F0" w:rsidRPr="002C5CDB" w:rsidRDefault="00E453CD">
            <w:pPr>
              <w:keepNext/>
              <w:suppressAutoHyphens/>
              <w:rPr>
                <w:del w:id="7695" w:author="AbbVie02no" w:date="2025-05-15T13:45:00Z"/>
                <w:sz w:val="22"/>
                <w:szCs w:val="22"/>
                <w:rPrChange w:id="7696" w:author="AbbVie05no" w:date="2025-05-19T10:32:00Z">
                  <w:rPr>
                    <w:del w:id="7697" w:author="AbbVie02no" w:date="2025-05-15T13:45:00Z"/>
                    <w:sz w:val="22"/>
                    <w:szCs w:val="22"/>
                    <w:lang w:val="en-GB"/>
                  </w:rPr>
                </w:rPrChange>
              </w:rPr>
              <w:pPrChange w:id="7698" w:author="AbbVie02no" w:date="2025-05-15T13:45:00Z">
                <w:pPr>
                  <w:keepNext/>
                  <w:jc w:val="center"/>
                </w:pPr>
              </w:pPrChange>
            </w:pPr>
            <w:del w:id="7699" w:author="AbbVie02no" w:date="2025-05-15T13:45:00Z">
              <w:r w:rsidRPr="002C5CDB">
                <w:rPr>
                  <w:sz w:val="22"/>
                  <w:szCs w:val="22"/>
                  <w:rPrChange w:id="7700" w:author="AbbVie05no" w:date="2025-05-19T10:32:00Z">
                    <w:rPr>
                      <w:sz w:val="22"/>
                      <w:szCs w:val="22"/>
                      <w:lang w:val="en-GB"/>
                    </w:rPr>
                  </w:rPrChange>
                </w:rPr>
                <w:delText xml:space="preserve">   35</w:delText>
              </w:r>
              <w:r w:rsidR="00164962" w:rsidRPr="002C5CDB">
                <w:rPr>
                  <w:sz w:val="22"/>
                  <w:szCs w:val="22"/>
                  <w:rPrChange w:id="7701" w:author="AbbVie05no" w:date="2025-05-19T10:32:00Z">
                    <w:rPr>
                      <w:sz w:val="22"/>
                      <w:szCs w:val="22"/>
                      <w:lang w:val="en-GB"/>
                    </w:rPr>
                  </w:rPrChange>
                </w:rPr>
                <w:delText xml:space="preserve"> </w:delText>
              </w:r>
              <w:r w:rsidRPr="002C5CDB">
                <w:rPr>
                  <w:sz w:val="22"/>
                  <w:szCs w:val="22"/>
                  <w:rPrChange w:id="7702" w:author="AbbVie05no" w:date="2025-05-19T10:32:00Z">
                    <w:rPr>
                      <w:sz w:val="22"/>
                      <w:szCs w:val="22"/>
                      <w:lang w:val="en-GB"/>
                    </w:rPr>
                  </w:rPrChange>
                </w:rPr>
                <w:delText>%**</w:delText>
              </w:r>
            </w:del>
          </w:p>
        </w:tc>
      </w:tr>
      <w:tr w:rsidR="004644D4" w14:paraId="3608B6B2" w14:textId="52072801" w:rsidTr="001A7F98">
        <w:trPr>
          <w:trHeight w:val="236"/>
          <w:jc w:val="center"/>
          <w:del w:id="7703" w:author="AbbVie02no" w:date="2025-05-15T13:45:00Z"/>
        </w:trPr>
        <w:tc>
          <w:tcPr>
            <w:tcW w:w="0" w:type="auto"/>
            <w:tcBorders>
              <w:bottom w:val="single" w:sz="4" w:space="0" w:color="auto"/>
            </w:tcBorders>
          </w:tcPr>
          <w:p w14:paraId="39DB1A93" w14:textId="531981FD" w:rsidR="00030F24" w:rsidRPr="002C5CDB" w:rsidRDefault="00E453CD">
            <w:pPr>
              <w:keepNext/>
              <w:suppressAutoHyphens/>
              <w:rPr>
                <w:del w:id="7704" w:author="AbbVie02no" w:date="2025-05-15T13:45:00Z"/>
                <w:sz w:val="22"/>
                <w:szCs w:val="22"/>
                <w:rPrChange w:id="7705" w:author="AbbVie05no" w:date="2025-05-19T10:32:00Z">
                  <w:rPr>
                    <w:del w:id="7706" w:author="AbbVie02no" w:date="2025-05-15T13:45:00Z"/>
                    <w:sz w:val="22"/>
                    <w:szCs w:val="22"/>
                    <w:lang w:val="en-GB"/>
                  </w:rPr>
                </w:rPrChange>
              </w:rPr>
              <w:pPrChange w:id="7707" w:author="AbbVie02no" w:date="2025-05-15T13:45:00Z">
                <w:pPr>
                  <w:keepNext/>
                </w:pPr>
              </w:pPrChange>
            </w:pPr>
            <w:del w:id="7708" w:author="AbbVie02no" w:date="2025-05-15T13:45:00Z">
              <w:r w:rsidRPr="002C5CDB">
                <w:rPr>
                  <w:sz w:val="22"/>
                  <w:szCs w:val="22"/>
                  <w:rPrChange w:id="7709" w:author="AbbVie05no" w:date="2025-05-19T10:32:00Z">
                    <w:rPr>
                      <w:sz w:val="22"/>
                      <w:szCs w:val="22"/>
                      <w:lang w:val="en-GB"/>
                    </w:rPr>
                  </w:rPrChange>
                </w:rPr>
                <w:delText>ASDAS</w:delText>
              </w:r>
              <w:r w:rsidRPr="002C5CDB">
                <w:rPr>
                  <w:sz w:val="22"/>
                  <w:szCs w:val="22"/>
                  <w:vertAlign w:val="superscript"/>
                  <w:rPrChange w:id="7710" w:author="AbbVie05no" w:date="2025-05-19T10:32:00Z">
                    <w:rPr>
                      <w:sz w:val="22"/>
                      <w:szCs w:val="22"/>
                      <w:vertAlign w:val="superscript"/>
                      <w:lang w:val="en-GB"/>
                    </w:rPr>
                  </w:rPrChange>
                </w:rPr>
                <w:delText>c,d,e</w:delText>
              </w:r>
            </w:del>
          </w:p>
        </w:tc>
        <w:tc>
          <w:tcPr>
            <w:tcW w:w="0" w:type="auto"/>
            <w:tcBorders>
              <w:bottom w:val="single" w:sz="4" w:space="0" w:color="auto"/>
            </w:tcBorders>
          </w:tcPr>
          <w:p w14:paraId="25975484" w14:textId="7FC514E0" w:rsidR="00030F24" w:rsidRPr="002C5CDB" w:rsidRDefault="00E453CD">
            <w:pPr>
              <w:keepNext/>
              <w:suppressAutoHyphens/>
              <w:rPr>
                <w:del w:id="7711" w:author="AbbVie02no" w:date="2025-05-15T13:45:00Z"/>
                <w:sz w:val="22"/>
                <w:szCs w:val="22"/>
                <w:rPrChange w:id="7712" w:author="AbbVie05no" w:date="2025-05-19T10:32:00Z">
                  <w:rPr>
                    <w:del w:id="7713" w:author="AbbVie02no" w:date="2025-05-15T13:45:00Z"/>
                    <w:sz w:val="22"/>
                    <w:szCs w:val="22"/>
                    <w:lang w:val="en-GB"/>
                  </w:rPr>
                </w:rPrChange>
              </w:rPr>
              <w:pPrChange w:id="7714" w:author="AbbVie02no" w:date="2025-05-15T13:45:00Z">
                <w:pPr>
                  <w:keepNext/>
                  <w:jc w:val="center"/>
                </w:pPr>
              </w:pPrChange>
            </w:pPr>
            <w:del w:id="7715" w:author="AbbVie02no" w:date="2025-05-15T13:45:00Z">
              <w:r w:rsidRPr="002C5CDB">
                <w:rPr>
                  <w:sz w:val="22"/>
                  <w:szCs w:val="22"/>
                  <w:rPrChange w:id="7716" w:author="AbbVie05no" w:date="2025-05-19T10:32:00Z">
                    <w:rPr>
                      <w:sz w:val="22"/>
                      <w:szCs w:val="22"/>
                      <w:lang w:val="en-GB"/>
                    </w:rPr>
                  </w:rPrChange>
                </w:rPr>
                <w:delText>-0</w:delText>
              </w:r>
              <w:r w:rsidR="00942281" w:rsidRPr="002C5CDB">
                <w:rPr>
                  <w:sz w:val="22"/>
                  <w:szCs w:val="22"/>
                  <w:rPrChange w:id="7717" w:author="AbbVie05no" w:date="2025-05-19T10:32:00Z">
                    <w:rPr>
                      <w:sz w:val="22"/>
                      <w:szCs w:val="22"/>
                      <w:lang w:val="en-GB"/>
                    </w:rPr>
                  </w:rPrChange>
                </w:rPr>
                <w:delText>,</w:delText>
              </w:r>
              <w:r w:rsidRPr="002C5CDB">
                <w:rPr>
                  <w:sz w:val="22"/>
                  <w:szCs w:val="22"/>
                  <w:rPrChange w:id="7718" w:author="AbbVie05no" w:date="2025-05-19T10:32:00Z">
                    <w:rPr>
                      <w:sz w:val="22"/>
                      <w:szCs w:val="22"/>
                      <w:lang w:val="en-GB"/>
                    </w:rPr>
                  </w:rPrChange>
                </w:rPr>
                <w:delText>3</w:delText>
              </w:r>
            </w:del>
          </w:p>
        </w:tc>
        <w:tc>
          <w:tcPr>
            <w:tcW w:w="0" w:type="auto"/>
            <w:tcBorders>
              <w:bottom w:val="single" w:sz="4" w:space="0" w:color="auto"/>
            </w:tcBorders>
          </w:tcPr>
          <w:p w14:paraId="399220FF" w14:textId="56D55ABF" w:rsidR="00030F24" w:rsidRPr="002C5CDB" w:rsidRDefault="00E453CD">
            <w:pPr>
              <w:keepNext/>
              <w:suppressAutoHyphens/>
              <w:rPr>
                <w:del w:id="7719" w:author="AbbVie02no" w:date="2025-05-15T13:45:00Z"/>
                <w:sz w:val="22"/>
                <w:szCs w:val="22"/>
                <w:rPrChange w:id="7720" w:author="AbbVie05no" w:date="2025-05-19T10:32:00Z">
                  <w:rPr>
                    <w:del w:id="7721" w:author="AbbVie02no" w:date="2025-05-15T13:45:00Z"/>
                    <w:sz w:val="22"/>
                    <w:szCs w:val="22"/>
                    <w:lang w:val="en-GB"/>
                  </w:rPr>
                </w:rPrChange>
              </w:rPr>
              <w:pPrChange w:id="7722" w:author="AbbVie02no" w:date="2025-05-15T13:45:00Z">
                <w:pPr>
                  <w:keepNext/>
                  <w:jc w:val="center"/>
                </w:pPr>
              </w:pPrChange>
            </w:pPr>
            <w:del w:id="7723" w:author="AbbVie02no" w:date="2025-05-15T13:45:00Z">
              <w:r w:rsidRPr="002C5CDB">
                <w:rPr>
                  <w:sz w:val="22"/>
                  <w:szCs w:val="22"/>
                  <w:rPrChange w:id="7724" w:author="AbbVie05no" w:date="2025-05-19T10:32:00Z">
                    <w:rPr>
                      <w:sz w:val="22"/>
                      <w:szCs w:val="22"/>
                      <w:lang w:val="en-GB"/>
                    </w:rPr>
                  </w:rPrChange>
                </w:rPr>
                <w:delText>-1</w:delText>
              </w:r>
              <w:r w:rsidR="00942281" w:rsidRPr="002C5CDB">
                <w:rPr>
                  <w:sz w:val="22"/>
                  <w:szCs w:val="22"/>
                  <w:rPrChange w:id="7725" w:author="AbbVie05no" w:date="2025-05-19T10:32:00Z">
                    <w:rPr>
                      <w:sz w:val="22"/>
                      <w:szCs w:val="22"/>
                      <w:lang w:val="en-GB"/>
                    </w:rPr>
                  </w:rPrChange>
                </w:rPr>
                <w:delText>,</w:delText>
              </w:r>
              <w:r w:rsidRPr="002C5CDB">
                <w:rPr>
                  <w:sz w:val="22"/>
                  <w:szCs w:val="22"/>
                  <w:rPrChange w:id="7726" w:author="AbbVie05no" w:date="2025-05-19T10:32:00Z">
                    <w:rPr>
                      <w:sz w:val="22"/>
                      <w:szCs w:val="22"/>
                      <w:lang w:val="en-GB"/>
                    </w:rPr>
                  </w:rPrChange>
                </w:rPr>
                <w:delText>0***</w:delText>
              </w:r>
            </w:del>
          </w:p>
        </w:tc>
      </w:tr>
      <w:tr w:rsidR="004644D4" w14:paraId="1ED34C01" w14:textId="31DC23B0" w:rsidTr="001A7F98">
        <w:trPr>
          <w:trHeight w:val="222"/>
          <w:jc w:val="center"/>
          <w:del w:id="7727" w:author="AbbVie02no" w:date="2025-05-15T13:45:00Z"/>
        </w:trPr>
        <w:tc>
          <w:tcPr>
            <w:tcW w:w="0" w:type="auto"/>
            <w:tcBorders>
              <w:bottom w:val="single" w:sz="4" w:space="0" w:color="auto"/>
            </w:tcBorders>
          </w:tcPr>
          <w:p w14:paraId="07559F43" w14:textId="64D1861D" w:rsidR="00030F24" w:rsidRPr="002C5CDB" w:rsidRDefault="00E453CD">
            <w:pPr>
              <w:keepNext/>
              <w:suppressAutoHyphens/>
              <w:rPr>
                <w:del w:id="7728" w:author="AbbVie02no" w:date="2025-05-15T13:45:00Z"/>
                <w:sz w:val="22"/>
                <w:szCs w:val="22"/>
                <w:rPrChange w:id="7729" w:author="AbbVie05no" w:date="2025-05-19T10:32:00Z">
                  <w:rPr>
                    <w:del w:id="7730" w:author="AbbVie02no" w:date="2025-05-15T13:45:00Z"/>
                    <w:sz w:val="22"/>
                    <w:szCs w:val="22"/>
                    <w:lang w:val="en-GB"/>
                  </w:rPr>
                </w:rPrChange>
              </w:rPr>
              <w:pPrChange w:id="7731" w:author="AbbVie02no" w:date="2025-05-15T13:45:00Z">
                <w:pPr>
                  <w:keepNext/>
                </w:pPr>
              </w:pPrChange>
            </w:pPr>
            <w:del w:id="7732" w:author="AbbVie02no" w:date="2025-05-15T13:45:00Z">
              <w:r w:rsidRPr="002C5CDB">
                <w:rPr>
                  <w:sz w:val="22"/>
                  <w:szCs w:val="22"/>
                  <w:rPrChange w:id="7733" w:author="AbbVie05no" w:date="2025-05-19T10:32:00Z">
                    <w:rPr>
                      <w:sz w:val="22"/>
                      <w:szCs w:val="22"/>
                      <w:lang w:val="en-GB"/>
                    </w:rPr>
                  </w:rPrChange>
                </w:rPr>
                <w:delText>ASDAS inaktiv sykdom</w:delText>
              </w:r>
            </w:del>
          </w:p>
        </w:tc>
        <w:tc>
          <w:tcPr>
            <w:tcW w:w="0" w:type="auto"/>
            <w:tcBorders>
              <w:bottom w:val="single" w:sz="4" w:space="0" w:color="auto"/>
            </w:tcBorders>
          </w:tcPr>
          <w:p w14:paraId="7ACB8396" w14:textId="08E3BAAD" w:rsidR="00030F24" w:rsidRPr="002C5CDB" w:rsidRDefault="00E453CD">
            <w:pPr>
              <w:keepNext/>
              <w:suppressAutoHyphens/>
              <w:rPr>
                <w:del w:id="7734" w:author="AbbVie02no" w:date="2025-05-15T13:45:00Z"/>
                <w:sz w:val="22"/>
                <w:szCs w:val="22"/>
                <w:rPrChange w:id="7735" w:author="AbbVie05no" w:date="2025-05-19T10:32:00Z">
                  <w:rPr>
                    <w:del w:id="7736" w:author="AbbVie02no" w:date="2025-05-15T13:45:00Z"/>
                    <w:sz w:val="22"/>
                    <w:szCs w:val="22"/>
                    <w:lang w:val="en-GB"/>
                  </w:rPr>
                </w:rPrChange>
              </w:rPr>
              <w:pPrChange w:id="7737" w:author="AbbVie02no" w:date="2025-05-15T13:45:00Z">
                <w:pPr>
                  <w:keepNext/>
                  <w:jc w:val="center"/>
                </w:pPr>
              </w:pPrChange>
            </w:pPr>
            <w:del w:id="7738" w:author="AbbVie02no" w:date="2025-05-15T13:45:00Z">
              <w:r w:rsidRPr="002C5CDB">
                <w:rPr>
                  <w:sz w:val="22"/>
                  <w:szCs w:val="22"/>
                  <w:rPrChange w:id="7739" w:author="AbbVie05no" w:date="2025-05-19T10:32:00Z">
                    <w:rPr>
                      <w:sz w:val="22"/>
                      <w:szCs w:val="22"/>
                      <w:lang w:val="en-GB"/>
                    </w:rPr>
                  </w:rPrChange>
                </w:rPr>
                <w:delText>4</w:delText>
              </w:r>
              <w:r w:rsidR="00942281" w:rsidRPr="002C5CDB">
                <w:rPr>
                  <w:sz w:val="22"/>
                  <w:szCs w:val="22"/>
                  <w:rPrChange w:id="7740" w:author="AbbVie05no" w:date="2025-05-19T10:32:00Z">
                    <w:rPr>
                      <w:sz w:val="22"/>
                      <w:szCs w:val="22"/>
                      <w:lang w:val="en-GB"/>
                    </w:rPr>
                  </w:rPrChange>
                </w:rPr>
                <w:delText xml:space="preserve"> </w:delText>
              </w:r>
              <w:r w:rsidRPr="002C5CDB">
                <w:rPr>
                  <w:sz w:val="22"/>
                  <w:szCs w:val="22"/>
                  <w:rPrChange w:id="7741" w:author="AbbVie05no" w:date="2025-05-19T10:32:00Z">
                    <w:rPr>
                      <w:sz w:val="22"/>
                      <w:szCs w:val="22"/>
                      <w:lang w:val="en-GB"/>
                    </w:rPr>
                  </w:rPrChange>
                </w:rPr>
                <w:delText>%</w:delText>
              </w:r>
            </w:del>
          </w:p>
        </w:tc>
        <w:tc>
          <w:tcPr>
            <w:tcW w:w="0" w:type="auto"/>
            <w:tcBorders>
              <w:bottom w:val="single" w:sz="4" w:space="0" w:color="auto"/>
            </w:tcBorders>
          </w:tcPr>
          <w:p w14:paraId="6C83FECF" w14:textId="708B7A34" w:rsidR="00030F24" w:rsidRPr="002C5CDB" w:rsidRDefault="00E453CD">
            <w:pPr>
              <w:keepNext/>
              <w:suppressAutoHyphens/>
              <w:rPr>
                <w:del w:id="7742" w:author="AbbVie02no" w:date="2025-05-15T13:45:00Z"/>
                <w:sz w:val="22"/>
                <w:szCs w:val="22"/>
                <w:rPrChange w:id="7743" w:author="AbbVie05no" w:date="2025-05-19T10:32:00Z">
                  <w:rPr>
                    <w:del w:id="7744" w:author="AbbVie02no" w:date="2025-05-15T13:45:00Z"/>
                    <w:sz w:val="22"/>
                    <w:szCs w:val="22"/>
                    <w:lang w:val="en-GB"/>
                  </w:rPr>
                </w:rPrChange>
              </w:rPr>
              <w:pPrChange w:id="7745" w:author="AbbVie02no" w:date="2025-05-15T13:45:00Z">
                <w:pPr>
                  <w:keepNext/>
                  <w:jc w:val="center"/>
                </w:pPr>
              </w:pPrChange>
            </w:pPr>
            <w:del w:id="7746" w:author="AbbVie02no" w:date="2025-05-15T13:45:00Z">
              <w:r w:rsidRPr="002C5CDB">
                <w:rPr>
                  <w:sz w:val="22"/>
                  <w:szCs w:val="22"/>
                  <w:rPrChange w:id="7747" w:author="AbbVie05no" w:date="2025-05-19T10:32:00Z">
                    <w:rPr>
                      <w:sz w:val="22"/>
                      <w:szCs w:val="22"/>
                      <w:lang w:val="en-GB"/>
                    </w:rPr>
                  </w:rPrChange>
                </w:rPr>
                <w:delText>24</w:delText>
              </w:r>
              <w:r w:rsidR="00942281" w:rsidRPr="002C5CDB">
                <w:rPr>
                  <w:sz w:val="22"/>
                  <w:szCs w:val="22"/>
                  <w:rPrChange w:id="7748" w:author="AbbVie05no" w:date="2025-05-19T10:32:00Z">
                    <w:rPr>
                      <w:sz w:val="22"/>
                      <w:szCs w:val="22"/>
                      <w:lang w:val="en-GB"/>
                    </w:rPr>
                  </w:rPrChange>
                </w:rPr>
                <w:delText xml:space="preserve"> </w:delText>
              </w:r>
              <w:r w:rsidRPr="002C5CDB">
                <w:rPr>
                  <w:sz w:val="22"/>
                  <w:szCs w:val="22"/>
                  <w:rPrChange w:id="7749" w:author="AbbVie05no" w:date="2025-05-19T10:32:00Z">
                    <w:rPr>
                      <w:sz w:val="22"/>
                      <w:szCs w:val="22"/>
                      <w:lang w:val="en-GB"/>
                    </w:rPr>
                  </w:rPrChange>
                </w:rPr>
                <w:delText>%***</w:delText>
              </w:r>
            </w:del>
          </w:p>
        </w:tc>
      </w:tr>
      <w:tr w:rsidR="004644D4" w14:paraId="4EDE59F1" w14:textId="4AE9A21F" w:rsidTr="001A7F98">
        <w:trPr>
          <w:trHeight w:val="236"/>
          <w:jc w:val="center"/>
          <w:del w:id="7750" w:author="AbbVie02no" w:date="2025-05-15T13:45:00Z"/>
        </w:trPr>
        <w:tc>
          <w:tcPr>
            <w:tcW w:w="0" w:type="auto"/>
            <w:tcBorders>
              <w:bottom w:val="single" w:sz="4" w:space="0" w:color="auto"/>
            </w:tcBorders>
          </w:tcPr>
          <w:p w14:paraId="2B177F22" w14:textId="717E88CD" w:rsidR="00030F24" w:rsidRPr="002C5CDB" w:rsidRDefault="00E453CD">
            <w:pPr>
              <w:keepNext/>
              <w:suppressAutoHyphens/>
              <w:rPr>
                <w:del w:id="7751" w:author="AbbVie02no" w:date="2025-05-15T13:45:00Z"/>
                <w:sz w:val="22"/>
                <w:szCs w:val="22"/>
                <w:rPrChange w:id="7752" w:author="AbbVie05no" w:date="2025-05-19T10:32:00Z">
                  <w:rPr>
                    <w:del w:id="7753" w:author="AbbVie02no" w:date="2025-05-15T13:45:00Z"/>
                    <w:sz w:val="22"/>
                    <w:szCs w:val="22"/>
                    <w:lang w:val="en-GB"/>
                  </w:rPr>
                </w:rPrChange>
              </w:rPr>
              <w:pPrChange w:id="7754" w:author="AbbVie02no" w:date="2025-05-15T13:45:00Z">
                <w:pPr>
                  <w:keepNext/>
                </w:pPr>
              </w:pPrChange>
            </w:pPr>
            <w:del w:id="7755" w:author="AbbVie02no" w:date="2025-05-15T13:45:00Z">
              <w:r w:rsidRPr="002C5CDB">
                <w:rPr>
                  <w:sz w:val="22"/>
                  <w:szCs w:val="22"/>
                  <w:rPrChange w:id="7756" w:author="AbbVie05no" w:date="2025-05-19T10:32:00Z">
                    <w:rPr>
                      <w:sz w:val="22"/>
                      <w:szCs w:val="22"/>
                      <w:lang w:val="en-GB"/>
                    </w:rPr>
                  </w:rPrChange>
                </w:rPr>
                <w:delText>hs-CRP</w:delText>
              </w:r>
              <w:r w:rsidRPr="002C5CDB">
                <w:rPr>
                  <w:sz w:val="22"/>
                  <w:szCs w:val="22"/>
                  <w:vertAlign w:val="superscript"/>
                  <w:rPrChange w:id="7757" w:author="AbbVie05no" w:date="2025-05-19T10:32:00Z">
                    <w:rPr>
                      <w:sz w:val="22"/>
                      <w:szCs w:val="22"/>
                      <w:vertAlign w:val="superscript"/>
                      <w:lang w:val="en-GB"/>
                    </w:rPr>
                  </w:rPrChange>
                </w:rPr>
                <w:delText>d,f,g</w:delText>
              </w:r>
            </w:del>
          </w:p>
        </w:tc>
        <w:tc>
          <w:tcPr>
            <w:tcW w:w="0" w:type="auto"/>
            <w:tcBorders>
              <w:bottom w:val="single" w:sz="4" w:space="0" w:color="auto"/>
            </w:tcBorders>
          </w:tcPr>
          <w:p w14:paraId="3F74FABE" w14:textId="0A7129EA" w:rsidR="00030F24" w:rsidRPr="002C5CDB" w:rsidRDefault="00E453CD">
            <w:pPr>
              <w:keepNext/>
              <w:suppressAutoHyphens/>
              <w:rPr>
                <w:del w:id="7758" w:author="AbbVie02no" w:date="2025-05-15T13:45:00Z"/>
                <w:sz w:val="22"/>
                <w:szCs w:val="22"/>
                <w:rPrChange w:id="7759" w:author="AbbVie05no" w:date="2025-05-19T10:32:00Z">
                  <w:rPr>
                    <w:del w:id="7760" w:author="AbbVie02no" w:date="2025-05-15T13:45:00Z"/>
                    <w:sz w:val="22"/>
                    <w:szCs w:val="22"/>
                    <w:lang w:val="en-GB"/>
                  </w:rPr>
                </w:rPrChange>
              </w:rPr>
              <w:pPrChange w:id="7761" w:author="AbbVie02no" w:date="2025-05-15T13:45:00Z">
                <w:pPr>
                  <w:keepNext/>
                  <w:jc w:val="center"/>
                </w:pPr>
              </w:pPrChange>
            </w:pPr>
            <w:del w:id="7762" w:author="AbbVie02no" w:date="2025-05-15T13:45:00Z">
              <w:r w:rsidRPr="002C5CDB">
                <w:rPr>
                  <w:sz w:val="22"/>
                  <w:szCs w:val="22"/>
                  <w:rPrChange w:id="7763" w:author="AbbVie05no" w:date="2025-05-19T10:32:00Z">
                    <w:rPr>
                      <w:sz w:val="22"/>
                      <w:szCs w:val="22"/>
                      <w:lang w:val="en-GB"/>
                    </w:rPr>
                  </w:rPrChange>
                </w:rPr>
                <w:delText>-0</w:delText>
              </w:r>
              <w:r w:rsidR="00942281" w:rsidRPr="002C5CDB">
                <w:rPr>
                  <w:sz w:val="22"/>
                  <w:szCs w:val="22"/>
                  <w:rPrChange w:id="7764" w:author="AbbVie05no" w:date="2025-05-19T10:32:00Z">
                    <w:rPr>
                      <w:sz w:val="22"/>
                      <w:szCs w:val="22"/>
                      <w:lang w:val="en-GB"/>
                    </w:rPr>
                  </w:rPrChange>
                </w:rPr>
                <w:delText>,</w:delText>
              </w:r>
              <w:r w:rsidRPr="002C5CDB">
                <w:rPr>
                  <w:sz w:val="22"/>
                  <w:szCs w:val="22"/>
                  <w:rPrChange w:id="7765" w:author="AbbVie05no" w:date="2025-05-19T10:32:00Z">
                    <w:rPr>
                      <w:sz w:val="22"/>
                      <w:szCs w:val="22"/>
                      <w:lang w:val="en-GB"/>
                    </w:rPr>
                  </w:rPrChange>
                </w:rPr>
                <w:delText>3</w:delText>
              </w:r>
            </w:del>
          </w:p>
        </w:tc>
        <w:tc>
          <w:tcPr>
            <w:tcW w:w="0" w:type="auto"/>
            <w:tcBorders>
              <w:bottom w:val="single" w:sz="4" w:space="0" w:color="auto"/>
            </w:tcBorders>
          </w:tcPr>
          <w:p w14:paraId="05C41821" w14:textId="33F14B7C" w:rsidR="00030F24" w:rsidRPr="002C5CDB" w:rsidRDefault="00E453CD">
            <w:pPr>
              <w:keepNext/>
              <w:suppressAutoHyphens/>
              <w:rPr>
                <w:del w:id="7766" w:author="AbbVie02no" w:date="2025-05-15T13:45:00Z"/>
                <w:sz w:val="22"/>
                <w:szCs w:val="22"/>
                <w:rPrChange w:id="7767" w:author="AbbVie05no" w:date="2025-05-19T10:32:00Z">
                  <w:rPr>
                    <w:del w:id="7768" w:author="AbbVie02no" w:date="2025-05-15T13:45:00Z"/>
                    <w:sz w:val="22"/>
                    <w:szCs w:val="22"/>
                    <w:lang w:val="en-GB"/>
                  </w:rPr>
                </w:rPrChange>
              </w:rPr>
              <w:pPrChange w:id="7769" w:author="AbbVie02no" w:date="2025-05-15T13:45:00Z">
                <w:pPr>
                  <w:keepNext/>
                  <w:jc w:val="center"/>
                </w:pPr>
              </w:pPrChange>
            </w:pPr>
            <w:del w:id="7770" w:author="AbbVie02no" w:date="2025-05-15T13:45:00Z">
              <w:r w:rsidRPr="002C5CDB">
                <w:rPr>
                  <w:sz w:val="22"/>
                  <w:szCs w:val="22"/>
                  <w:rPrChange w:id="7771" w:author="AbbVie05no" w:date="2025-05-19T10:32:00Z">
                    <w:rPr>
                      <w:sz w:val="22"/>
                      <w:szCs w:val="22"/>
                      <w:lang w:val="en-GB"/>
                    </w:rPr>
                  </w:rPrChange>
                </w:rPr>
                <w:delText>-4</w:delText>
              </w:r>
              <w:r w:rsidR="00942281" w:rsidRPr="002C5CDB">
                <w:rPr>
                  <w:sz w:val="22"/>
                  <w:szCs w:val="22"/>
                  <w:rPrChange w:id="7772" w:author="AbbVie05no" w:date="2025-05-19T10:32:00Z">
                    <w:rPr>
                      <w:sz w:val="22"/>
                      <w:szCs w:val="22"/>
                      <w:lang w:val="en-GB"/>
                    </w:rPr>
                  </w:rPrChange>
                </w:rPr>
                <w:delText>,</w:delText>
              </w:r>
              <w:r w:rsidRPr="002C5CDB">
                <w:rPr>
                  <w:sz w:val="22"/>
                  <w:szCs w:val="22"/>
                  <w:rPrChange w:id="7773" w:author="AbbVie05no" w:date="2025-05-19T10:32:00Z">
                    <w:rPr>
                      <w:sz w:val="22"/>
                      <w:szCs w:val="22"/>
                      <w:lang w:val="en-GB"/>
                    </w:rPr>
                  </w:rPrChange>
                </w:rPr>
                <w:delText>7***</w:delText>
              </w:r>
            </w:del>
          </w:p>
        </w:tc>
      </w:tr>
      <w:tr w:rsidR="004644D4" w14:paraId="5651F382" w14:textId="5CE48A45" w:rsidTr="001A7F98">
        <w:trPr>
          <w:trHeight w:val="222"/>
          <w:jc w:val="center"/>
          <w:del w:id="7774" w:author="AbbVie02no" w:date="2025-05-15T13:45:00Z"/>
        </w:trPr>
        <w:tc>
          <w:tcPr>
            <w:tcW w:w="0" w:type="auto"/>
            <w:tcBorders>
              <w:bottom w:val="single" w:sz="4" w:space="0" w:color="auto"/>
            </w:tcBorders>
          </w:tcPr>
          <w:p w14:paraId="432D55FB" w14:textId="5FA77119" w:rsidR="00030F24" w:rsidRPr="002C5CDB" w:rsidRDefault="00E453CD">
            <w:pPr>
              <w:keepNext/>
              <w:suppressAutoHyphens/>
              <w:rPr>
                <w:del w:id="7775" w:author="AbbVie02no" w:date="2025-05-15T13:45:00Z"/>
                <w:sz w:val="22"/>
                <w:szCs w:val="22"/>
                <w:rPrChange w:id="7776" w:author="AbbVie05no" w:date="2025-05-19T10:32:00Z">
                  <w:rPr>
                    <w:del w:id="7777" w:author="AbbVie02no" w:date="2025-05-15T13:45:00Z"/>
                    <w:sz w:val="22"/>
                    <w:szCs w:val="22"/>
                    <w:lang w:val="en-GB"/>
                  </w:rPr>
                </w:rPrChange>
              </w:rPr>
              <w:pPrChange w:id="7778" w:author="AbbVie02no" w:date="2025-05-15T13:45:00Z">
                <w:pPr>
                  <w:keepNext/>
                </w:pPr>
              </w:pPrChange>
            </w:pPr>
            <w:del w:id="7779" w:author="AbbVie02no" w:date="2025-05-15T13:45:00Z">
              <w:r w:rsidRPr="002C5CDB">
                <w:rPr>
                  <w:sz w:val="22"/>
                  <w:szCs w:val="22"/>
                  <w:rPrChange w:id="7780" w:author="AbbVie05no" w:date="2025-05-19T10:32:00Z">
                    <w:rPr>
                      <w:sz w:val="22"/>
                      <w:szCs w:val="22"/>
                      <w:lang w:val="en-GB"/>
                    </w:rPr>
                  </w:rPrChange>
                </w:rPr>
                <w:delText>SPARCC</w:delText>
              </w:r>
              <w:r w:rsidRPr="002C5CDB">
                <w:rPr>
                  <w:sz w:val="22"/>
                  <w:szCs w:val="22"/>
                  <w:vertAlign w:val="superscript"/>
                  <w:rPrChange w:id="7781" w:author="AbbVie05no" w:date="2025-05-19T10:32:00Z">
                    <w:rPr>
                      <w:sz w:val="22"/>
                      <w:szCs w:val="22"/>
                      <w:vertAlign w:val="superscript"/>
                      <w:lang w:val="en-GB"/>
                    </w:rPr>
                  </w:rPrChange>
                </w:rPr>
                <w:delText>h</w:delText>
              </w:r>
              <w:r w:rsidRPr="002C5CDB">
                <w:rPr>
                  <w:sz w:val="22"/>
                  <w:szCs w:val="22"/>
                  <w:rPrChange w:id="7782" w:author="AbbVie05no" w:date="2025-05-19T10:32:00Z">
                    <w:rPr>
                      <w:sz w:val="22"/>
                      <w:szCs w:val="22"/>
                      <w:lang w:val="en-GB"/>
                    </w:rPr>
                  </w:rPrChange>
                </w:rPr>
                <w:delText xml:space="preserve"> MRI sakroili</w:delText>
              </w:r>
              <w:r w:rsidR="00125382" w:rsidRPr="002C5CDB">
                <w:rPr>
                  <w:sz w:val="22"/>
                  <w:szCs w:val="22"/>
                  <w:rPrChange w:id="7783" w:author="AbbVie05no" w:date="2025-05-19T10:32:00Z">
                    <w:rPr>
                      <w:sz w:val="22"/>
                      <w:szCs w:val="22"/>
                      <w:lang w:val="en-GB"/>
                    </w:rPr>
                  </w:rPrChange>
                </w:rPr>
                <w:delText>k</w:delText>
              </w:r>
              <w:r w:rsidRPr="002C5CDB">
                <w:rPr>
                  <w:sz w:val="22"/>
                  <w:szCs w:val="22"/>
                  <w:rPrChange w:id="7784" w:author="AbbVie05no" w:date="2025-05-19T10:32:00Z">
                    <w:rPr>
                      <w:sz w:val="22"/>
                      <w:szCs w:val="22"/>
                      <w:lang w:val="en-GB"/>
                    </w:rPr>
                  </w:rPrChange>
                </w:rPr>
                <w:delText>alledd</w:delText>
              </w:r>
              <w:r w:rsidRPr="002C5CDB">
                <w:rPr>
                  <w:sz w:val="22"/>
                  <w:szCs w:val="22"/>
                  <w:vertAlign w:val="superscript"/>
                  <w:rPrChange w:id="7785" w:author="AbbVie05no" w:date="2025-05-19T10:32:00Z">
                    <w:rPr>
                      <w:sz w:val="22"/>
                      <w:szCs w:val="22"/>
                      <w:vertAlign w:val="superscript"/>
                      <w:lang w:val="en-GB"/>
                    </w:rPr>
                  </w:rPrChange>
                </w:rPr>
                <w:delText>d,i</w:delText>
              </w:r>
            </w:del>
          </w:p>
        </w:tc>
        <w:tc>
          <w:tcPr>
            <w:tcW w:w="0" w:type="auto"/>
            <w:tcBorders>
              <w:bottom w:val="single" w:sz="4" w:space="0" w:color="auto"/>
            </w:tcBorders>
          </w:tcPr>
          <w:p w14:paraId="3D485972" w14:textId="763E7F58" w:rsidR="00030F24" w:rsidRPr="002C5CDB" w:rsidRDefault="00E453CD">
            <w:pPr>
              <w:keepNext/>
              <w:suppressAutoHyphens/>
              <w:rPr>
                <w:del w:id="7786" w:author="AbbVie02no" w:date="2025-05-15T13:45:00Z"/>
                <w:sz w:val="22"/>
                <w:szCs w:val="22"/>
                <w:rPrChange w:id="7787" w:author="AbbVie05no" w:date="2025-05-19T10:32:00Z">
                  <w:rPr>
                    <w:del w:id="7788" w:author="AbbVie02no" w:date="2025-05-15T13:45:00Z"/>
                    <w:sz w:val="22"/>
                    <w:szCs w:val="22"/>
                    <w:lang w:val="en-GB"/>
                  </w:rPr>
                </w:rPrChange>
              </w:rPr>
              <w:pPrChange w:id="7789" w:author="AbbVie02no" w:date="2025-05-15T13:45:00Z">
                <w:pPr>
                  <w:keepNext/>
                  <w:jc w:val="center"/>
                </w:pPr>
              </w:pPrChange>
            </w:pPr>
            <w:del w:id="7790" w:author="AbbVie02no" w:date="2025-05-15T13:45:00Z">
              <w:r w:rsidRPr="002C5CDB">
                <w:rPr>
                  <w:sz w:val="22"/>
                  <w:szCs w:val="22"/>
                  <w:rPrChange w:id="7791" w:author="AbbVie05no" w:date="2025-05-19T10:32:00Z">
                    <w:rPr>
                      <w:sz w:val="22"/>
                      <w:szCs w:val="22"/>
                      <w:lang w:val="en-GB"/>
                    </w:rPr>
                  </w:rPrChange>
                </w:rPr>
                <w:delText>-0</w:delText>
              </w:r>
              <w:r w:rsidR="00942281" w:rsidRPr="002C5CDB">
                <w:rPr>
                  <w:sz w:val="22"/>
                  <w:szCs w:val="22"/>
                  <w:rPrChange w:id="7792" w:author="AbbVie05no" w:date="2025-05-19T10:32:00Z">
                    <w:rPr>
                      <w:sz w:val="22"/>
                      <w:szCs w:val="22"/>
                      <w:lang w:val="en-GB"/>
                    </w:rPr>
                  </w:rPrChange>
                </w:rPr>
                <w:delText>,</w:delText>
              </w:r>
              <w:r w:rsidRPr="002C5CDB">
                <w:rPr>
                  <w:sz w:val="22"/>
                  <w:szCs w:val="22"/>
                  <w:rPrChange w:id="7793" w:author="AbbVie05no" w:date="2025-05-19T10:32:00Z">
                    <w:rPr>
                      <w:sz w:val="22"/>
                      <w:szCs w:val="22"/>
                      <w:lang w:val="en-GB"/>
                    </w:rPr>
                  </w:rPrChange>
                </w:rPr>
                <w:delText>6</w:delText>
              </w:r>
            </w:del>
          </w:p>
        </w:tc>
        <w:tc>
          <w:tcPr>
            <w:tcW w:w="0" w:type="auto"/>
            <w:tcBorders>
              <w:bottom w:val="single" w:sz="4" w:space="0" w:color="auto"/>
            </w:tcBorders>
          </w:tcPr>
          <w:p w14:paraId="1B9C4D66" w14:textId="5209CC04" w:rsidR="00030F24" w:rsidRPr="002C5CDB" w:rsidRDefault="00E453CD">
            <w:pPr>
              <w:keepNext/>
              <w:suppressAutoHyphens/>
              <w:rPr>
                <w:del w:id="7794" w:author="AbbVie02no" w:date="2025-05-15T13:45:00Z"/>
                <w:sz w:val="22"/>
                <w:szCs w:val="22"/>
                <w:rPrChange w:id="7795" w:author="AbbVie05no" w:date="2025-05-19T10:32:00Z">
                  <w:rPr>
                    <w:del w:id="7796" w:author="AbbVie02no" w:date="2025-05-15T13:45:00Z"/>
                    <w:sz w:val="22"/>
                    <w:szCs w:val="22"/>
                    <w:lang w:val="en-GB"/>
                  </w:rPr>
                </w:rPrChange>
              </w:rPr>
              <w:pPrChange w:id="7797" w:author="AbbVie02no" w:date="2025-05-15T13:45:00Z">
                <w:pPr>
                  <w:keepNext/>
                  <w:jc w:val="center"/>
                </w:pPr>
              </w:pPrChange>
            </w:pPr>
            <w:del w:id="7798" w:author="AbbVie02no" w:date="2025-05-15T13:45:00Z">
              <w:r w:rsidRPr="002C5CDB">
                <w:rPr>
                  <w:sz w:val="22"/>
                  <w:szCs w:val="22"/>
                  <w:rPrChange w:id="7799" w:author="AbbVie05no" w:date="2025-05-19T10:32:00Z">
                    <w:rPr>
                      <w:sz w:val="22"/>
                      <w:szCs w:val="22"/>
                      <w:lang w:val="en-GB"/>
                    </w:rPr>
                  </w:rPrChange>
                </w:rPr>
                <w:delText>-3</w:delText>
              </w:r>
              <w:r w:rsidR="00942281" w:rsidRPr="002C5CDB">
                <w:rPr>
                  <w:sz w:val="22"/>
                  <w:szCs w:val="22"/>
                  <w:rPrChange w:id="7800" w:author="AbbVie05no" w:date="2025-05-19T10:32:00Z">
                    <w:rPr>
                      <w:sz w:val="22"/>
                      <w:szCs w:val="22"/>
                      <w:lang w:val="en-GB"/>
                    </w:rPr>
                  </w:rPrChange>
                </w:rPr>
                <w:delText>,</w:delText>
              </w:r>
              <w:r w:rsidRPr="002C5CDB">
                <w:rPr>
                  <w:sz w:val="22"/>
                  <w:szCs w:val="22"/>
                  <w:rPrChange w:id="7801" w:author="AbbVie05no" w:date="2025-05-19T10:32:00Z">
                    <w:rPr>
                      <w:sz w:val="22"/>
                      <w:szCs w:val="22"/>
                      <w:lang w:val="en-GB"/>
                    </w:rPr>
                  </w:rPrChange>
                </w:rPr>
                <w:delText>2**</w:delText>
              </w:r>
            </w:del>
          </w:p>
        </w:tc>
      </w:tr>
      <w:tr w:rsidR="004644D4" w14:paraId="1510C3C5" w14:textId="3D0CBE82" w:rsidTr="001A7F98">
        <w:trPr>
          <w:trHeight w:val="222"/>
          <w:jc w:val="center"/>
          <w:del w:id="7802" w:author="AbbVie02no" w:date="2025-05-15T13:45:00Z"/>
        </w:trPr>
        <w:tc>
          <w:tcPr>
            <w:tcW w:w="0" w:type="auto"/>
            <w:tcBorders>
              <w:bottom w:val="single" w:sz="4" w:space="0" w:color="auto"/>
            </w:tcBorders>
          </w:tcPr>
          <w:p w14:paraId="20F79792" w14:textId="786EA27A" w:rsidR="00030F24" w:rsidRPr="002C5CDB" w:rsidRDefault="00E453CD">
            <w:pPr>
              <w:keepNext/>
              <w:suppressAutoHyphens/>
              <w:rPr>
                <w:del w:id="7803" w:author="AbbVie02no" w:date="2025-05-15T13:45:00Z"/>
                <w:sz w:val="22"/>
                <w:szCs w:val="22"/>
                <w:rPrChange w:id="7804" w:author="AbbVie05no" w:date="2025-05-19T10:32:00Z">
                  <w:rPr>
                    <w:del w:id="7805" w:author="AbbVie02no" w:date="2025-05-15T13:45:00Z"/>
                    <w:sz w:val="22"/>
                    <w:szCs w:val="22"/>
                    <w:lang w:val="en-GB"/>
                  </w:rPr>
                </w:rPrChange>
              </w:rPr>
              <w:pPrChange w:id="7806" w:author="AbbVie02no" w:date="2025-05-15T13:45:00Z">
                <w:pPr>
                  <w:keepNext/>
                </w:pPr>
              </w:pPrChange>
            </w:pPr>
            <w:del w:id="7807" w:author="AbbVie02no" w:date="2025-05-15T13:45:00Z">
              <w:r w:rsidRPr="002C5CDB">
                <w:rPr>
                  <w:sz w:val="22"/>
                  <w:szCs w:val="22"/>
                  <w:rPrChange w:id="7808" w:author="AbbVie05no" w:date="2025-05-19T10:32:00Z">
                    <w:rPr>
                      <w:sz w:val="22"/>
                      <w:szCs w:val="22"/>
                      <w:lang w:val="en-GB"/>
                    </w:rPr>
                  </w:rPrChange>
                </w:rPr>
                <w:delText>SPARCC MRI ryggrad</w:delText>
              </w:r>
              <w:r w:rsidRPr="002C5CDB">
                <w:rPr>
                  <w:sz w:val="22"/>
                  <w:szCs w:val="22"/>
                  <w:vertAlign w:val="superscript"/>
                  <w:rPrChange w:id="7809" w:author="AbbVie05no" w:date="2025-05-19T10:32:00Z">
                    <w:rPr>
                      <w:sz w:val="22"/>
                      <w:szCs w:val="22"/>
                      <w:vertAlign w:val="superscript"/>
                      <w:lang w:val="en-GB"/>
                    </w:rPr>
                  </w:rPrChange>
                </w:rPr>
                <w:delText>d,j</w:delText>
              </w:r>
            </w:del>
          </w:p>
        </w:tc>
        <w:tc>
          <w:tcPr>
            <w:tcW w:w="0" w:type="auto"/>
            <w:tcBorders>
              <w:bottom w:val="single" w:sz="4" w:space="0" w:color="auto"/>
            </w:tcBorders>
          </w:tcPr>
          <w:p w14:paraId="557E919B" w14:textId="044DD1B7" w:rsidR="00030F24" w:rsidRPr="002C5CDB" w:rsidRDefault="00E453CD">
            <w:pPr>
              <w:keepNext/>
              <w:suppressAutoHyphens/>
              <w:rPr>
                <w:del w:id="7810" w:author="AbbVie02no" w:date="2025-05-15T13:45:00Z"/>
                <w:sz w:val="22"/>
                <w:szCs w:val="22"/>
                <w:rPrChange w:id="7811" w:author="AbbVie05no" w:date="2025-05-19T10:32:00Z">
                  <w:rPr>
                    <w:del w:id="7812" w:author="AbbVie02no" w:date="2025-05-15T13:45:00Z"/>
                    <w:sz w:val="22"/>
                    <w:szCs w:val="22"/>
                    <w:lang w:val="en-GB"/>
                  </w:rPr>
                </w:rPrChange>
              </w:rPr>
              <w:pPrChange w:id="7813" w:author="AbbVie02no" w:date="2025-05-15T13:45:00Z">
                <w:pPr>
                  <w:keepNext/>
                  <w:jc w:val="center"/>
                </w:pPr>
              </w:pPrChange>
            </w:pPr>
            <w:del w:id="7814" w:author="AbbVie02no" w:date="2025-05-15T13:45:00Z">
              <w:r w:rsidRPr="002C5CDB">
                <w:rPr>
                  <w:sz w:val="22"/>
                  <w:szCs w:val="22"/>
                  <w:rPrChange w:id="7815" w:author="AbbVie05no" w:date="2025-05-19T10:32:00Z">
                    <w:rPr>
                      <w:sz w:val="22"/>
                      <w:szCs w:val="22"/>
                      <w:lang w:val="en-GB"/>
                    </w:rPr>
                  </w:rPrChange>
                </w:rPr>
                <w:delText>-0</w:delText>
              </w:r>
              <w:r w:rsidR="00942281" w:rsidRPr="002C5CDB">
                <w:rPr>
                  <w:sz w:val="22"/>
                  <w:szCs w:val="22"/>
                  <w:rPrChange w:id="7816" w:author="AbbVie05no" w:date="2025-05-19T10:32:00Z">
                    <w:rPr>
                      <w:sz w:val="22"/>
                      <w:szCs w:val="22"/>
                      <w:lang w:val="en-GB"/>
                    </w:rPr>
                  </w:rPrChange>
                </w:rPr>
                <w:delText>,</w:delText>
              </w:r>
              <w:r w:rsidRPr="002C5CDB">
                <w:rPr>
                  <w:sz w:val="22"/>
                  <w:szCs w:val="22"/>
                  <w:rPrChange w:id="7817" w:author="AbbVie05no" w:date="2025-05-19T10:32:00Z">
                    <w:rPr>
                      <w:sz w:val="22"/>
                      <w:szCs w:val="22"/>
                      <w:lang w:val="en-GB"/>
                    </w:rPr>
                  </w:rPrChange>
                </w:rPr>
                <w:delText>2</w:delText>
              </w:r>
            </w:del>
          </w:p>
        </w:tc>
        <w:tc>
          <w:tcPr>
            <w:tcW w:w="0" w:type="auto"/>
            <w:tcBorders>
              <w:bottom w:val="single" w:sz="4" w:space="0" w:color="auto"/>
            </w:tcBorders>
          </w:tcPr>
          <w:p w14:paraId="73A4D1C7" w14:textId="53A6B223" w:rsidR="00030F24" w:rsidRPr="002C5CDB" w:rsidRDefault="00E453CD">
            <w:pPr>
              <w:keepNext/>
              <w:suppressAutoHyphens/>
              <w:rPr>
                <w:del w:id="7818" w:author="AbbVie02no" w:date="2025-05-15T13:45:00Z"/>
                <w:sz w:val="22"/>
                <w:szCs w:val="22"/>
                <w:rPrChange w:id="7819" w:author="AbbVie05no" w:date="2025-05-19T10:32:00Z">
                  <w:rPr>
                    <w:del w:id="7820" w:author="AbbVie02no" w:date="2025-05-15T13:45:00Z"/>
                    <w:sz w:val="22"/>
                    <w:szCs w:val="22"/>
                    <w:lang w:val="en-GB"/>
                  </w:rPr>
                </w:rPrChange>
              </w:rPr>
              <w:pPrChange w:id="7821" w:author="AbbVie02no" w:date="2025-05-15T13:45:00Z">
                <w:pPr>
                  <w:keepNext/>
                  <w:jc w:val="center"/>
                </w:pPr>
              </w:pPrChange>
            </w:pPr>
            <w:del w:id="7822" w:author="AbbVie02no" w:date="2025-05-15T13:45:00Z">
              <w:r w:rsidRPr="002C5CDB">
                <w:rPr>
                  <w:sz w:val="22"/>
                  <w:szCs w:val="22"/>
                  <w:rPrChange w:id="7823" w:author="AbbVie05no" w:date="2025-05-19T10:32:00Z">
                    <w:rPr>
                      <w:sz w:val="22"/>
                      <w:szCs w:val="22"/>
                      <w:lang w:val="en-GB"/>
                    </w:rPr>
                  </w:rPrChange>
                </w:rPr>
                <w:delText>-1</w:delText>
              </w:r>
              <w:r w:rsidR="00942281" w:rsidRPr="002C5CDB">
                <w:rPr>
                  <w:sz w:val="22"/>
                  <w:szCs w:val="22"/>
                  <w:rPrChange w:id="7824" w:author="AbbVie05no" w:date="2025-05-19T10:32:00Z">
                    <w:rPr>
                      <w:sz w:val="22"/>
                      <w:szCs w:val="22"/>
                      <w:lang w:val="en-GB"/>
                    </w:rPr>
                  </w:rPrChange>
                </w:rPr>
                <w:delText>,</w:delText>
              </w:r>
              <w:r w:rsidRPr="002C5CDB">
                <w:rPr>
                  <w:sz w:val="22"/>
                  <w:szCs w:val="22"/>
                  <w:rPrChange w:id="7825" w:author="AbbVie05no" w:date="2025-05-19T10:32:00Z">
                    <w:rPr>
                      <w:sz w:val="22"/>
                      <w:szCs w:val="22"/>
                      <w:lang w:val="en-GB"/>
                    </w:rPr>
                  </w:rPrChange>
                </w:rPr>
                <w:delText>8**</w:delText>
              </w:r>
            </w:del>
          </w:p>
        </w:tc>
      </w:tr>
    </w:tbl>
    <w:p w14:paraId="3F331570" w14:textId="45FE3D85" w:rsidR="001A52BF" w:rsidRPr="002C5CDB" w:rsidRDefault="00E453CD">
      <w:pPr>
        <w:keepNext/>
        <w:suppressAutoHyphens/>
        <w:rPr>
          <w:del w:id="7826" w:author="AbbVie02no" w:date="2025-05-15T13:45:00Z"/>
          <w:sz w:val="22"/>
          <w:szCs w:val="22"/>
          <w:rPrChange w:id="7827" w:author="AbbVie05no" w:date="2025-05-19T10:32:00Z">
            <w:rPr>
              <w:del w:id="7828" w:author="AbbVie02no" w:date="2025-05-15T13:45:00Z"/>
              <w:sz w:val="22"/>
              <w:szCs w:val="22"/>
              <w:lang w:val="en-GB"/>
            </w:rPr>
          </w:rPrChange>
        </w:rPr>
        <w:pPrChange w:id="7829" w:author="AbbVie02no" w:date="2025-05-15T13:45:00Z">
          <w:pPr>
            <w:autoSpaceDE w:val="0"/>
            <w:autoSpaceDN w:val="0"/>
            <w:adjustRightInd w:val="0"/>
          </w:pPr>
        </w:pPrChange>
      </w:pPr>
      <w:del w:id="7830" w:author="AbbVie02no" w:date="2025-05-15T13:45:00Z">
        <w:r w:rsidRPr="002C5CDB">
          <w:rPr>
            <w:sz w:val="22"/>
            <w:szCs w:val="22"/>
            <w:vertAlign w:val="superscript"/>
            <w:rPrChange w:id="7831" w:author="AbbVie05no" w:date="2025-05-19T10:32:00Z">
              <w:rPr>
                <w:sz w:val="22"/>
                <w:szCs w:val="22"/>
                <w:vertAlign w:val="superscript"/>
                <w:lang w:val="en-GB"/>
              </w:rPr>
            </w:rPrChange>
          </w:rPr>
          <w:delText>a</w:delText>
        </w:r>
        <w:r w:rsidRPr="002C5CDB">
          <w:rPr>
            <w:sz w:val="22"/>
            <w:szCs w:val="22"/>
            <w:rPrChange w:id="7832" w:author="AbbVie05no" w:date="2025-05-19T10:32:00Z">
              <w:rPr>
                <w:sz w:val="22"/>
                <w:szCs w:val="22"/>
                <w:lang w:val="en-GB"/>
              </w:rPr>
            </w:rPrChange>
          </w:rPr>
          <w:delText xml:space="preserve"> Assessment of SpondyloArthritis International Society</w:delText>
        </w:r>
      </w:del>
    </w:p>
    <w:p w14:paraId="25CA3E5C" w14:textId="48FE76A5" w:rsidR="001A52BF" w:rsidRPr="00090EDA" w:rsidRDefault="00E453CD">
      <w:pPr>
        <w:keepNext/>
        <w:suppressAutoHyphens/>
        <w:rPr>
          <w:del w:id="7833" w:author="AbbVie02no" w:date="2025-05-15T13:45:00Z"/>
          <w:szCs w:val="22"/>
          <w:rPrChange w:id="7834" w:author="AbbVie04no" w:date="2025-09-09T10:16:00Z" w16du:dateUtc="2025-09-09T08:16:00Z">
            <w:rPr>
              <w:del w:id="7835" w:author="AbbVie02no" w:date="2025-05-15T13:45:00Z"/>
              <w:szCs w:val="22"/>
              <w:lang w:val="en-GB"/>
            </w:rPr>
          </w:rPrChange>
        </w:rPr>
        <w:pPrChange w:id="7836" w:author="AbbVie02no" w:date="2025-05-15T13:45:00Z">
          <w:pPr>
            <w:pStyle w:val="EMEANormal"/>
            <w:ind w:left="20"/>
          </w:pPr>
        </w:pPrChange>
      </w:pPr>
      <w:del w:id="7837" w:author="AbbVie02no" w:date="2025-05-15T13:45:00Z">
        <w:r w:rsidRPr="00090EDA">
          <w:rPr>
            <w:szCs w:val="22"/>
            <w:vertAlign w:val="superscript"/>
            <w:rPrChange w:id="7838" w:author="AbbVie04no" w:date="2025-09-09T10:16:00Z" w16du:dateUtc="2025-09-09T08:16:00Z">
              <w:rPr>
                <w:szCs w:val="22"/>
                <w:vertAlign w:val="superscript"/>
                <w:lang w:val="en-GB"/>
              </w:rPr>
            </w:rPrChange>
          </w:rPr>
          <w:delText>b</w:delText>
        </w:r>
        <w:r w:rsidRPr="00090EDA">
          <w:rPr>
            <w:szCs w:val="22"/>
            <w:rPrChange w:id="7839" w:author="AbbVie04no" w:date="2025-09-09T10:16:00Z" w16du:dateUtc="2025-09-09T08:16:00Z">
              <w:rPr>
                <w:szCs w:val="22"/>
                <w:lang w:val="en-GB"/>
              </w:rPr>
            </w:rPrChange>
          </w:rPr>
          <w:delText xml:space="preserve"> Bath Ankylosing Spondylitis Disease Activity Index</w:delText>
        </w:r>
      </w:del>
    </w:p>
    <w:p w14:paraId="5AC70CA3" w14:textId="2AE05EA2" w:rsidR="001A52BF" w:rsidRPr="00090EDA" w:rsidRDefault="00E453CD">
      <w:pPr>
        <w:keepNext/>
        <w:suppressAutoHyphens/>
        <w:rPr>
          <w:del w:id="7840" w:author="AbbVie02no" w:date="2025-05-15T13:45:00Z"/>
          <w:rPrChange w:id="7841" w:author="AbbVie04no" w:date="2025-09-09T10:16:00Z" w16du:dateUtc="2025-09-09T08:16:00Z">
            <w:rPr>
              <w:del w:id="7842" w:author="AbbVie02no" w:date="2025-05-15T13:45:00Z"/>
              <w:lang w:val="en-GB"/>
            </w:rPr>
          </w:rPrChange>
        </w:rPr>
        <w:pPrChange w:id="7843" w:author="AbbVie02no" w:date="2025-05-15T13:45:00Z">
          <w:pPr>
            <w:pStyle w:val="EMEANormal"/>
            <w:ind w:left="20"/>
          </w:pPr>
        </w:pPrChange>
      </w:pPr>
      <w:del w:id="7844" w:author="AbbVie02no" w:date="2025-05-15T13:45:00Z">
        <w:r w:rsidRPr="00090EDA">
          <w:rPr>
            <w:vertAlign w:val="superscript"/>
            <w:rPrChange w:id="7845" w:author="AbbVie04no" w:date="2025-09-09T10:16:00Z" w16du:dateUtc="2025-09-09T08:16:00Z">
              <w:rPr>
                <w:vertAlign w:val="superscript"/>
                <w:lang w:val="en-GB"/>
              </w:rPr>
            </w:rPrChange>
          </w:rPr>
          <w:delText>c</w:delText>
        </w:r>
        <w:r w:rsidRPr="00090EDA">
          <w:rPr>
            <w:rPrChange w:id="7846" w:author="AbbVie04no" w:date="2025-09-09T10:16:00Z" w16du:dateUtc="2025-09-09T08:16:00Z">
              <w:rPr>
                <w:lang w:val="en-GB"/>
              </w:rPr>
            </w:rPrChange>
          </w:rPr>
          <w:delText xml:space="preserve"> Ankylosing Spondylitis Disease Activity Score</w:delText>
        </w:r>
      </w:del>
    </w:p>
    <w:p w14:paraId="213CB26B" w14:textId="40C42703" w:rsidR="001A52BF" w:rsidRPr="00193D76" w:rsidRDefault="00E453CD">
      <w:pPr>
        <w:keepNext/>
        <w:suppressAutoHyphens/>
        <w:rPr>
          <w:del w:id="7847" w:author="AbbVie02no" w:date="2025-05-15T13:45:00Z"/>
        </w:rPr>
        <w:pPrChange w:id="7848" w:author="AbbVie02no" w:date="2025-05-15T13:45:00Z">
          <w:pPr>
            <w:pStyle w:val="EMEANormal"/>
            <w:ind w:left="20"/>
          </w:pPr>
        </w:pPrChange>
      </w:pPr>
      <w:del w:id="7849" w:author="AbbVie02no" w:date="2025-05-15T13:45:00Z">
        <w:r w:rsidRPr="001F5D4B">
          <w:rPr>
            <w:vertAlign w:val="superscript"/>
          </w:rPr>
          <w:delText>d</w:delText>
        </w:r>
        <w:r w:rsidRPr="007F67EE">
          <w:delText xml:space="preserve"> gjennomsnittl</w:delText>
        </w:r>
        <w:r w:rsidRPr="00193D76">
          <w:delText>ig endring fra baseline</w:delText>
        </w:r>
      </w:del>
    </w:p>
    <w:p w14:paraId="3095673F" w14:textId="23B71C72" w:rsidR="001A52BF" w:rsidRPr="002D0790" w:rsidRDefault="00E453CD">
      <w:pPr>
        <w:keepNext/>
        <w:suppressAutoHyphens/>
        <w:rPr>
          <w:del w:id="7850" w:author="AbbVie02no" w:date="2025-05-15T13:45:00Z"/>
        </w:rPr>
        <w:pPrChange w:id="7851" w:author="AbbVie02no" w:date="2025-05-15T13:45:00Z">
          <w:pPr>
            <w:pStyle w:val="EMEANormal"/>
            <w:ind w:left="20"/>
          </w:pPr>
        </w:pPrChange>
      </w:pPr>
      <w:del w:id="7852" w:author="AbbVie02no" w:date="2025-05-15T13:45:00Z">
        <w:r w:rsidRPr="002D0790">
          <w:rPr>
            <w:vertAlign w:val="superscript"/>
          </w:rPr>
          <w:delText>e</w:delText>
        </w:r>
        <w:r w:rsidRPr="002D0790">
          <w:delText xml:space="preserve"> n=91 placebo og n=87 Humira</w:delText>
        </w:r>
      </w:del>
    </w:p>
    <w:p w14:paraId="6EA6B473" w14:textId="4B2A4160" w:rsidR="001A52BF" w:rsidRPr="00392F01" w:rsidRDefault="00E453CD">
      <w:pPr>
        <w:keepNext/>
        <w:suppressAutoHyphens/>
        <w:rPr>
          <w:del w:id="7853" w:author="AbbVie02no" w:date="2025-05-15T13:45:00Z"/>
        </w:rPr>
        <w:pPrChange w:id="7854" w:author="AbbVie02no" w:date="2025-05-15T13:45:00Z">
          <w:pPr>
            <w:pStyle w:val="EMEANormal"/>
            <w:ind w:left="20"/>
          </w:pPr>
        </w:pPrChange>
      </w:pPr>
      <w:del w:id="7855" w:author="AbbVie02no" w:date="2025-05-15T13:45:00Z">
        <w:r w:rsidRPr="00392F01">
          <w:rPr>
            <w:vertAlign w:val="superscript"/>
          </w:rPr>
          <w:delText>f</w:delText>
        </w:r>
        <w:r w:rsidRPr="00392F01">
          <w:delText xml:space="preserve"> høysensitivt C-reaktivt protein (mg/l)</w:delText>
        </w:r>
      </w:del>
    </w:p>
    <w:p w14:paraId="0C659472" w14:textId="3E9CDADC" w:rsidR="001A52BF" w:rsidRPr="00392F01" w:rsidRDefault="00E453CD">
      <w:pPr>
        <w:keepNext/>
        <w:suppressAutoHyphens/>
        <w:rPr>
          <w:del w:id="7856" w:author="AbbVie02no" w:date="2025-05-15T13:45:00Z"/>
        </w:rPr>
        <w:pPrChange w:id="7857" w:author="AbbVie02no" w:date="2025-05-15T13:45:00Z">
          <w:pPr>
            <w:pStyle w:val="EMEANormal"/>
            <w:ind w:left="20"/>
          </w:pPr>
        </w:pPrChange>
      </w:pPr>
      <w:del w:id="7858" w:author="AbbVie02no" w:date="2025-05-15T13:45:00Z">
        <w:r w:rsidRPr="00392F01">
          <w:rPr>
            <w:vertAlign w:val="superscript"/>
          </w:rPr>
          <w:delText>g</w:delText>
        </w:r>
        <w:r w:rsidRPr="00392F01">
          <w:delText xml:space="preserve"> n=73 placebo og n=70 Humira</w:delText>
        </w:r>
      </w:del>
    </w:p>
    <w:p w14:paraId="2FFC85D9" w14:textId="6539DE69" w:rsidR="001A52BF" w:rsidRPr="00090EDA" w:rsidRDefault="00E453CD">
      <w:pPr>
        <w:keepNext/>
        <w:suppressAutoHyphens/>
        <w:rPr>
          <w:del w:id="7859" w:author="AbbVie02no" w:date="2025-05-15T13:45:00Z"/>
          <w:rPrChange w:id="7860" w:author="AbbVie04no" w:date="2025-09-09T10:16:00Z" w16du:dateUtc="2025-09-09T08:16:00Z">
            <w:rPr>
              <w:del w:id="7861" w:author="AbbVie02no" w:date="2025-05-15T13:45:00Z"/>
              <w:lang w:val="en-GB"/>
            </w:rPr>
          </w:rPrChange>
        </w:rPr>
        <w:pPrChange w:id="7862" w:author="AbbVie02no" w:date="2025-05-15T13:45:00Z">
          <w:pPr>
            <w:pStyle w:val="EMEANormal"/>
            <w:ind w:left="20"/>
          </w:pPr>
        </w:pPrChange>
      </w:pPr>
      <w:del w:id="7863" w:author="AbbVie02no" w:date="2025-05-15T13:45:00Z">
        <w:r w:rsidRPr="00090EDA">
          <w:rPr>
            <w:vertAlign w:val="superscript"/>
            <w:rPrChange w:id="7864" w:author="AbbVie04no" w:date="2025-09-09T10:16:00Z" w16du:dateUtc="2025-09-09T08:16:00Z">
              <w:rPr>
                <w:vertAlign w:val="superscript"/>
                <w:lang w:val="en-GB"/>
              </w:rPr>
            </w:rPrChange>
          </w:rPr>
          <w:delText>h</w:delText>
        </w:r>
        <w:r w:rsidRPr="00090EDA">
          <w:rPr>
            <w:rPrChange w:id="7865" w:author="AbbVie04no" w:date="2025-09-09T10:16:00Z" w16du:dateUtc="2025-09-09T08:16:00Z">
              <w:rPr>
                <w:lang w:val="en-GB"/>
              </w:rPr>
            </w:rPrChange>
          </w:rPr>
          <w:delText xml:space="preserve"> Spondyloarthritis Research Consortium of Canada</w:delText>
        </w:r>
      </w:del>
    </w:p>
    <w:p w14:paraId="05A7A4A9" w14:textId="3E1324F5" w:rsidR="001A52BF" w:rsidRPr="00392F01" w:rsidRDefault="00E453CD">
      <w:pPr>
        <w:keepNext/>
        <w:suppressAutoHyphens/>
        <w:rPr>
          <w:del w:id="7866" w:author="AbbVie02no" w:date="2025-05-15T13:45:00Z"/>
        </w:rPr>
        <w:pPrChange w:id="7867" w:author="AbbVie02no" w:date="2025-05-15T13:45:00Z">
          <w:pPr>
            <w:pStyle w:val="EMEANormal"/>
            <w:ind w:left="20"/>
          </w:pPr>
        </w:pPrChange>
      </w:pPr>
      <w:del w:id="7868" w:author="AbbVie02no" w:date="2025-05-15T13:45:00Z">
        <w:r w:rsidRPr="00392F01">
          <w:rPr>
            <w:vertAlign w:val="superscript"/>
          </w:rPr>
          <w:delText>i</w:delText>
        </w:r>
        <w:r w:rsidRPr="00392F01">
          <w:delText xml:space="preserve"> n=84 placebo og Humira</w:delText>
        </w:r>
      </w:del>
    </w:p>
    <w:p w14:paraId="0B649E2C" w14:textId="3E0F7D07" w:rsidR="001A52BF" w:rsidRDefault="00E453CD">
      <w:pPr>
        <w:keepNext/>
        <w:suppressAutoHyphens/>
        <w:rPr>
          <w:del w:id="7869" w:author="AbbVie02no" w:date="2025-05-15T13:45:00Z"/>
        </w:rPr>
        <w:pPrChange w:id="7870" w:author="AbbVie02no" w:date="2025-05-15T13:45:00Z">
          <w:pPr>
            <w:pStyle w:val="EMEANormal"/>
          </w:pPr>
        </w:pPrChange>
      </w:pPr>
      <w:del w:id="7871" w:author="AbbVie02no" w:date="2025-05-15T13:45:00Z">
        <w:r w:rsidRPr="00392F01">
          <w:rPr>
            <w:vertAlign w:val="superscript"/>
          </w:rPr>
          <w:delText>j</w:delText>
        </w:r>
        <w:r w:rsidRPr="00392F01">
          <w:delText xml:space="preserve"> n=82 placebo og n=85 Humira</w:delText>
        </w:r>
      </w:del>
    </w:p>
    <w:p w14:paraId="2E14A8FF" w14:textId="7777CA15" w:rsidR="001A52BF" w:rsidRPr="00392F01" w:rsidRDefault="00E453CD">
      <w:pPr>
        <w:keepNext/>
        <w:suppressAutoHyphens/>
        <w:rPr>
          <w:del w:id="7872" w:author="AbbVie02no" w:date="2025-05-15T13:45:00Z"/>
          <w:szCs w:val="22"/>
        </w:rPr>
        <w:pPrChange w:id="7873" w:author="AbbVie02no" w:date="2025-05-15T13:45:00Z">
          <w:pPr>
            <w:pStyle w:val="EMEANormal"/>
          </w:pPr>
        </w:pPrChange>
      </w:pPr>
      <w:del w:id="7874" w:author="AbbVie02no" w:date="2025-05-15T13:45:00Z">
        <w:r w:rsidRPr="00392F01">
          <w:rPr>
            <w:szCs w:val="22"/>
          </w:rPr>
          <w:delText>***, **, * Statistisk signifikant ved p &lt; 0,001, &lt; 0,01 og &lt; 0,05 for alle sammenligninger mellom Humira og placebo.</w:delText>
        </w:r>
      </w:del>
    </w:p>
    <w:p w14:paraId="69A3FC27" w14:textId="4990923F" w:rsidR="001A52BF" w:rsidRDefault="001A52BF">
      <w:pPr>
        <w:keepNext/>
        <w:suppressAutoHyphens/>
        <w:rPr>
          <w:del w:id="7875" w:author="AbbVie02no" w:date="2025-05-15T13:45:00Z"/>
          <w:sz w:val="22"/>
          <w:szCs w:val="22"/>
        </w:rPr>
        <w:pPrChange w:id="7876" w:author="AbbVie02no" w:date="2025-05-15T13:45:00Z">
          <w:pPr/>
        </w:pPrChange>
      </w:pPr>
    </w:p>
    <w:p w14:paraId="530D42E0" w14:textId="223186E6" w:rsidR="005A290E" w:rsidRPr="009C5EFD" w:rsidRDefault="00E453CD">
      <w:pPr>
        <w:keepNext/>
        <w:suppressAutoHyphens/>
        <w:rPr>
          <w:del w:id="7877" w:author="AbbVie02no" w:date="2025-05-15T13:45:00Z"/>
          <w:sz w:val="22"/>
          <w:szCs w:val="22"/>
        </w:rPr>
        <w:pPrChange w:id="7878" w:author="AbbVie02no" w:date="2025-05-15T13:45:00Z">
          <w:pPr/>
        </w:pPrChange>
      </w:pPr>
      <w:del w:id="7879" w:author="AbbVie02no" w:date="2025-05-15T13:45:00Z">
        <w:r w:rsidRPr="002D0790">
          <w:rPr>
            <w:sz w:val="22"/>
            <w:szCs w:val="22"/>
          </w:rPr>
          <w:delText xml:space="preserve">I den åpne forlengelsesstudien ble forbedringer i tegn og symptomer opprettholdt </w:delText>
        </w:r>
        <w:r w:rsidR="00125382" w:rsidRPr="002D0790">
          <w:rPr>
            <w:sz w:val="22"/>
            <w:szCs w:val="22"/>
          </w:rPr>
          <w:delText>ved behandling med</w:delText>
        </w:r>
        <w:r w:rsidRPr="00E14E58">
          <w:rPr>
            <w:sz w:val="22"/>
            <w:szCs w:val="22"/>
          </w:rPr>
          <w:delText xml:space="preserve"> Humira</w:delText>
        </w:r>
        <w:r w:rsidR="00125382" w:rsidRPr="009C5EFD">
          <w:rPr>
            <w:sz w:val="22"/>
            <w:szCs w:val="22"/>
          </w:rPr>
          <w:delText xml:space="preserve"> </w:delText>
        </w:r>
        <w:r w:rsidRPr="009C5EFD">
          <w:rPr>
            <w:sz w:val="22"/>
            <w:szCs w:val="22"/>
          </w:rPr>
          <w:delText>fr</w:delText>
        </w:r>
        <w:r w:rsidR="00855D5C" w:rsidRPr="009C5EFD">
          <w:rPr>
            <w:sz w:val="22"/>
            <w:szCs w:val="22"/>
          </w:rPr>
          <w:delText>a</w:delText>
        </w:r>
        <w:r w:rsidRPr="009C5EFD">
          <w:rPr>
            <w:sz w:val="22"/>
            <w:szCs w:val="22"/>
          </w:rPr>
          <w:delText xml:space="preserve">m til </w:delText>
        </w:r>
        <w:r w:rsidR="00304694" w:rsidRPr="009C5EFD">
          <w:rPr>
            <w:sz w:val="22"/>
            <w:szCs w:val="22"/>
          </w:rPr>
          <w:delText xml:space="preserve">og med </w:delText>
        </w:r>
        <w:r w:rsidRPr="009C5EFD">
          <w:rPr>
            <w:sz w:val="22"/>
            <w:szCs w:val="22"/>
          </w:rPr>
          <w:delText>uke 156.</w:delText>
        </w:r>
      </w:del>
    </w:p>
    <w:p w14:paraId="3ECB7BFE" w14:textId="6110DD73" w:rsidR="005A290E" w:rsidRPr="009C5EFD" w:rsidRDefault="005A290E">
      <w:pPr>
        <w:keepNext/>
        <w:suppressAutoHyphens/>
        <w:rPr>
          <w:del w:id="7880" w:author="AbbVie02no" w:date="2025-05-15T13:45:00Z"/>
          <w:sz w:val="22"/>
          <w:szCs w:val="22"/>
        </w:rPr>
        <w:pPrChange w:id="7881" w:author="AbbVie02no" w:date="2025-05-15T13:45:00Z">
          <w:pPr/>
        </w:pPrChange>
      </w:pPr>
    </w:p>
    <w:p w14:paraId="1F609957" w14:textId="7B7C43B3" w:rsidR="005A290E" w:rsidRPr="009C5EFD" w:rsidRDefault="00E453CD">
      <w:pPr>
        <w:keepNext/>
        <w:suppressAutoHyphens/>
        <w:rPr>
          <w:del w:id="7882" w:author="AbbVie02no" w:date="2025-05-15T13:45:00Z"/>
          <w:sz w:val="22"/>
          <w:szCs w:val="22"/>
        </w:rPr>
        <w:pPrChange w:id="7883" w:author="AbbVie02no" w:date="2025-05-15T13:45:00Z">
          <w:pPr>
            <w:keepNext/>
          </w:pPr>
        </w:pPrChange>
      </w:pPr>
      <w:del w:id="7884" w:author="AbbVie02no" w:date="2025-05-15T13:45:00Z">
        <w:r w:rsidRPr="009C5EFD">
          <w:rPr>
            <w:sz w:val="22"/>
            <w:szCs w:val="22"/>
          </w:rPr>
          <w:delText>Hemming av inflammasjon</w:delText>
        </w:r>
      </w:del>
    </w:p>
    <w:p w14:paraId="57E75ED1" w14:textId="693E34B8" w:rsidR="005A290E" w:rsidRPr="009C5EFD" w:rsidRDefault="005A290E">
      <w:pPr>
        <w:keepNext/>
        <w:suppressAutoHyphens/>
        <w:rPr>
          <w:del w:id="7885" w:author="AbbVie02no" w:date="2025-05-15T13:45:00Z"/>
          <w:sz w:val="22"/>
          <w:szCs w:val="22"/>
        </w:rPr>
        <w:pPrChange w:id="7886" w:author="AbbVie02no" w:date="2025-05-15T13:45:00Z">
          <w:pPr>
            <w:keepNext/>
          </w:pPr>
        </w:pPrChange>
      </w:pPr>
    </w:p>
    <w:p w14:paraId="622D6B50" w14:textId="5EE8E396" w:rsidR="005A290E" w:rsidRPr="009C5EFD" w:rsidRDefault="00E453CD">
      <w:pPr>
        <w:keepNext/>
        <w:suppressAutoHyphens/>
        <w:rPr>
          <w:del w:id="7887" w:author="AbbVie02no" w:date="2025-05-15T13:45:00Z"/>
          <w:sz w:val="22"/>
          <w:szCs w:val="22"/>
        </w:rPr>
        <w:pPrChange w:id="7888" w:author="AbbVie02no" w:date="2025-05-15T13:45:00Z">
          <w:pPr/>
        </w:pPrChange>
      </w:pPr>
      <w:del w:id="7889" w:author="AbbVie02no" w:date="2025-05-15T13:45:00Z">
        <w:r w:rsidRPr="009C5EFD">
          <w:rPr>
            <w:sz w:val="22"/>
            <w:szCs w:val="22"/>
          </w:rPr>
          <w:delText>Signifikante forbedringer i tegn på inflammasjon målt ved hs-CRP og MRI av både sakroili</w:delText>
        </w:r>
        <w:r w:rsidR="00125382" w:rsidRPr="009C5EFD">
          <w:rPr>
            <w:sz w:val="22"/>
            <w:szCs w:val="22"/>
          </w:rPr>
          <w:delText>k</w:delText>
        </w:r>
        <w:r w:rsidRPr="009C5EFD">
          <w:rPr>
            <w:sz w:val="22"/>
            <w:szCs w:val="22"/>
          </w:rPr>
          <w:delText>alledd og ryggrad ble opprettholdt hos pas</w:delText>
        </w:r>
        <w:r w:rsidR="00304694" w:rsidRPr="009C5EFD">
          <w:rPr>
            <w:sz w:val="22"/>
            <w:szCs w:val="22"/>
          </w:rPr>
          <w:delText>ienter behandlet med Humira</w:delText>
        </w:r>
        <w:r w:rsidRPr="009C5EFD">
          <w:rPr>
            <w:sz w:val="22"/>
            <w:szCs w:val="22"/>
          </w:rPr>
          <w:delText xml:space="preserve"> til </w:delText>
        </w:r>
        <w:r w:rsidR="00304694" w:rsidRPr="009C5EFD">
          <w:rPr>
            <w:sz w:val="22"/>
            <w:szCs w:val="22"/>
          </w:rPr>
          <w:delText xml:space="preserve">og med </w:delText>
        </w:r>
        <w:r w:rsidRPr="009C5EFD">
          <w:rPr>
            <w:sz w:val="22"/>
            <w:szCs w:val="22"/>
          </w:rPr>
          <w:delText>henholdsvis uke 156 og uke</w:delText>
        </w:r>
        <w:r w:rsidR="00710A33" w:rsidRPr="009C5EFD">
          <w:rPr>
            <w:sz w:val="22"/>
            <w:szCs w:val="22"/>
          </w:rPr>
          <w:delText> </w:delText>
        </w:r>
        <w:r w:rsidRPr="009C5EFD">
          <w:rPr>
            <w:sz w:val="22"/>
            <w:szCs w:val="22"/>
          </w:rPr>
          <w:delText>104.</w:delText>
        </w:r>
      </w:del>
    </w:p>
    <w:p w14:paraId="037AD1C7" w14:textId="276FD094" w:rsidR="00710A33" w:rsidRPr="009C5EFD" w:rsidRDefault="00710A33">
      <w:pPr>
        <w:keepNext/>
        <w:suppressAutoHyphens/>
        <w:rPr>
          <w:del w:id="7890" w:author="AbbVie02no" w:date="2025-05-15T13:45:00Z"/>
          <w:sz w:val="22"/>
          <w:szCs w:val="22"/>
        </w:rPr>
        <w:pPrChange w:id="7891" w:author="AbbVie02no" w:date="2025-05-15T13:45:00Z">
          <w:pPr/>
        </w:pPrChange>
      </w:pPr>
    </w:p>
    <w:p w14:paraId="19CE807C" w14:textId="5A64E7F5" w:rsidR="00A27D3D" w:rsidRPr="009C5EFD" w:rsidRDefault="00E453CD">
      <w:pPr>
        <w:keepNext/>
        <w:suppressAutoHyphens/>
        <w:rPr>
          <w:del w:id="7892" w:author="AbbVie02no" w:date="2025-05-15T13:45:00Z"/>
          <w:sz w:val="22"/>
          <w:szCs w:val="22"/>
        </w:rPr>
        <w:pPrChange w:id="7893" w:author="AbbVie02no" w:date="2025-05-15T13:45:00Z">
          <w:pPr>
            <w:keepNext/>
          </w:pPr>
        </w:pPrChange>
      </w:pPr>
      <w:del w:id="7894" w:author="AbbVie02no" w:date="2025-05-15T13:45:00Z">
        <w:r w:rsidRPr="009C5EFD">
          <w:rPr>
            <w:sz w:val="22"/>
            <w:szCs w:val="22"/>
          </w:rPr>
          <w:delText>Livskvalitet og fysisk funksjon</w:delText>
        </w:r>
      </w:del>
    </w:p>
    <w:p w14:paraId="2223C993" w14:textId="6C238A74" w:rsidR="00A27D3D" w:rsidRPr="009C5EFD" w:rsidRDefault="00A27D3D">
      <w:pPr>
        <w:keepNext/>
        <w:suppressAutoHyphens/>
        <w:rPr>
          <w:del w:id="7895" w:author="AbbVie02no" w:date="2025-05-15T13:45:00Z"/>
          <w:sz w:val="22"/>
          <w:szCs w:val="22"/>
        </w:rPr>
        <w:pPrChange w:id="7896" w:author="AbbVie02no" w:date="2025-05-15T13:45:00Z">
          <w:pPr>
            <w:keepNext/>
          </w:pPr>
        </w:pPrChange>
      </w:pPr>
    </w:p>
    <w:p w14:paraId="51F8CC8A" w14:textId="17E0BEFD" w:rsidR="009A27F0" w:rsidRDefault="00E453CD">
      <w:pPr>
        <w:keepNext/>
        <w:suppressAutoHyphens/>
        <w:rPr>
          <w:del w:id="7897" w:author="AbbVie02no" w:date="2025-05-15T13:45:00Z"/>
          <w:sz w:val="22"/>
          <w:szCs w:val="22"/>
        </w:rPr>
        <w:pPrChange w:id="7898" w:author="AbbVie02no" w:date="2025-05-15T13:45:00Z">
          <w:pPr/>
        </w:pPrChange>
      </w:pPr>
      <w:del w:id="7899" w:author="AbbVie02no" w:date="2025-05-15T13:45:00Z">
        <w:r w:rsidRPr="009C5EFD">
          <w:rPr>
            <w:sz w:val="22"/>
            <w:szCs w:val="22"/>
          </w:rPr>
          <w:delText xml:space="preserve">Helserelatert livskvalitet og fysisk funksjon ble vurdert ved hjelp av spørreskjemaene HAQ-S og SF-36. Humira viste statistisk signifikant større forbedring i HAQ-S total score og SF-36 </w:delText>
        </w:r>
        <w:r w:rsidR="00D57009">
          <w:rPr>
            <w:sz w:val="22"/>
            <w:szCs w:val="22"/>
          </w:rPr>
          <w:delText>«</w:delText>
        </w:r>
        <w:r w:rsidRPr="009C5EFD">
          <w:rPr>
            <w:sz w:val="22"/>
            <w:szCs w:val="22"/>
          </w:rPr>
          <w:delText xml:space="preserve">Physical </w:delText>
        </w:r>
        <w:r w:rsidRPr="009C5EFD">
          <w:rPr>
            <w:sz w:val="22"/>
            <w:szCs w:val="22"/>
          </w:rPr>
          <w:lastRenderedPageBreak/>
          <w:delText>Component Score</w:delText>
        </w:r>
        <w:r w:rsidR="00D57009">
          <w:rPr>
            <w:sz w:val="22"/>
            <w:szCs w:val="22"/>
          </w:rPr>
          <w:delText>»</w:delText>
        </w:r>
        <w:r w:rsidRPr="009C5EFD">
          <w:rPr>
            <w:sz w:val="22"/>
            <w:szCs w:val="22"/>
          </w:rPr>
          <w:delText xml:space="preserve"> (PCS) fra baseline til uke 12 sammenlignet med placebo. </w:delText>
        </w:r>
        <w:r w:rsidR="005A290E" w:rsidRPr="009C5EFD">
          <w:rPr>
            <w:sz w:val="22"/>
            <w:szCs w:val="22"/>
          </w:rPr>
          <w:delText>Forbedring i helserelatert livskvalitet og fysisk funksjon ble opprettholdt unde</w:delText>
        </w:r>
        <w:r w:rsidR="00304694" w:rsidRPr="009C5EFD">
          <w:rPr>
            <w:sz w:val="22"/>
            <w:szCs w:val="22"/>
          </w:rPr>
          <w:delText xml:space="preserve">r den åpne forlengelsen </w:delText>
        </w:r>
        <w:r w:rsidR="005A290E" w:rsidRPr="009C5EFD">
          <w:rPr>
            <w:sz w:val="22"/>
            <w:szCs w:val="22"/>
          </w:rPr>
          <w:delText xml:space="preserve">til </w:delText>
        </w:r>
        <w:r w:rsidR="00304694" w:rsidRPr="009C5EFD">
          <w:rPr>
            <w:sz w:val="22"/>
            <w:szCs w:val="22"/>
          </w:rPr>
          <w:delText xml:space="preserve">og med </w:delText>
        </w:r>
        <w:r w:rsidR="005A290E" w:rsidRPr="009C5EFD">
          <w:rPr>
            <w:sz w:val="22"/>
            <w:szCs w:val="22"/>
          </w:rPr>
          <w:delText>uke 156.</w:delText>
        </w:r>
      </w:del>
    </w:p>
    <w:p w14:paraId="50CBB68E" w14:textId="240BBE23" w:rsidR="00A374EC" w:rsidRPr="00926F2E" w:rsidRDefault="00A374EC">
      <w:pPr>
        <w:keepNext/>
        <w:suppressAutoHyphens/>
        <w:rPr>
          <w:del w:id="7900" w:author="AbbVie02no" w:date="2025-05-15T13:45:00Z"/>
          <w:szCs w:val="22"/>
        </w:rPr>
        <w:pPrChange w:id="7901" w:author="AbbVie02no" w:date="2025-05-15T13:45:00Z">
          <w:pPr>
            <w:pStyle w:val="EMEANormal"/>
          </w:pPr>
        </w:pPrChange>
      </w:pPr>
    </w:p>
    <w:p w14:paraId="3227390F" w14:textId="58A69792" w:rsidR="00A374EC" w:rsidRPr="00926F2E" w:rsidRDefault="00E453CD">
      <w:pPr>
        <w:keepNext/>
        <w:suppressAutoHyphens/>
        <w:rPr>
          <w:del w:id="7902" w:author="AbbVie02no" w:date="2025-05-15T13:45:00Z"/>
          <w:szCs w:val="22"/>
        </w:rPr>
        <w:pPrChange w:id="7903" w:author="AbbVie02no" w:date="2025-05-15T13:45:00Z">
          <w:pPr>
            <w:pStyle w:val="EMEANormal"/>
            <w:keepNext/>
          </w:pPr>
        </w:pPrChange>
      </w:pPr>
      <w:del w:id="7904" w:author="AbbVie02no" w:date="2025-05-15T13:45:00Z">
        <w:r w:rsidRPr="00926F2E">
          <w:rPr>
            <w:szCs w:val="22"/>
          </w:rPr>
          <w:delText>Studie nr-axSpA II</w:delText>
        </w:r>
      </w:del>
    </w:p>
    <w:p w14:paraId="25C4B544" w14:textId="0A119D13" w:rsidR="00A374EC" w:rsidRPr="00926F2E" w:rsidRDefault="00A374EC">
      <w:pPr>
        <w:keepNext/>
        <w:suppressAutoHyphens/>
        <w:rPr>
          <w:del w:id="7905" w:author="AbbVie02no" w:date="2025-05-15T13:45:00Z"/>
          <w:szCs w:val="22"/>
        </w:rPr>
        <w:pPrChange w:id="7906" w:author="AbbVie02no" w:date="2025-05-15T13:45:00Z">
          <w:pPr>
            <w:pStyle w:val="EMEANormal"/>
            <w:keepNext/>
          </w:pPr>
        </w:pPrChange>
      </w:pPr>
    </w:p>
    <w:p w14:paraId="066AA9C1" w14:textId="2209B03B" w:rsidR="00A374EC" w:rsidRPr="00926F2E" w:rsidRDefault="00E453CD">
      <w:pPr>
        <w:keepNext/>
        <w:suppressAutoHyphens/>
        <w:rPr>
          <w:del w:id="7907" w:author="AbbVie02no" w:date="2025-05-15T13:45:00Z"/>
          <w:szCs w:val="22"/>
        </w:rPr>
        <w:pPrChange w:id="7908" w:author="AbbVie02no" w:date="2025-05-15T13:45:00Z">
          <w:pPr>
            <w:pStyle w:val="EMEANormal"/>
          </w:pPr>
        </w:pPrChange>
      </w:pPr>
      <w:del w:id="7909" w:author="AbbVie02no" w:date="2025-05-15T13:45:00Z">
        <w:r w:rsidRPr="00926F2E">
          <w:rPr>
            <w:szCs w:val="22"/>
          </w:rPr>
          <w:delText xml:space="preserve">673 pasienter med aktiv nr-axSpA (gjennomsnittlig baseline sykdomsaktivitet [BASDAI] var 7,0) som hadde </w:delText>
        </w:r>
        <w:r w:rsidR="001E2DC4" w:rsidRPr="00926F2E">
          <w:rPr>
            <w:szCs w:val="22"/>
          </w:rPr>
          <w:delText xml:space="preserve">en </w:delText>
        </w:r>
        <w:r w:rsidRPr="00926F2E">
          <w:rPr>
            <w:szCs w:val="22"/>
          </w:rPr>
          <w:delText xml:space="preserve">utilstrekkelig respons til </w:delText>
        </w:r>
        <w:r w:rsidRPr="00A374EC">
          <w:rPr>
            <w:rFonts w:ascii="Symbol" w:hAnsi="Symbol"/>
            <w:szCs w:val="22"/>
          </w:rPr>
          <w:sym w:font="Symbol" w:char="F0B3"/>
        </w:r>
        <w:r w:rsidRPr="00926F2E">
          <w:rPr>
            <w:szCs w:val="22"/>
          </w:rPr>
          <w:delText xml:space="preserve"> 2 NSAIDs, </w:delText>
        </w:r>
        <w:r w:rsidR="001E2DC4" w:rsidRPr="00926F2E">
          <w:rPr>
            <w:szCs w:val="22"/>
          </w:rPr>
          <w:delText xml:space="preserve">eller </w:delText>
        </w:r>
        <w:r w:rsidR="001E2DC4">
          <w:rPr>
            <w:szCs w:val="22"/>
          </w:rPr>
          <w:delText xml:space="preserve">en </w:delText>
        </w:r>
        <w:r w:rsidR="001E2DC4" w:rsidRPr="00926F2E">
          <w:rPr>
            <w:szCs w:val="22"/>
          </w:rPr>
          <w:delText xml:space="preserve">intoleranse for eller </w:delText>
        </w:r>
        <w:r w:rsidR="001E2DC4">
          <w:rPr>
            <w:szCs w:val="22"/>
          </w:rPr>
          <w:delText xml:space="preserve">en </w:delText>
        </w:r>
        <w:r w:rsidR="001E2DC4" w:rsidRPr="00926F2E">
          <w:rPr>
            <w:szCs w:val="22"/>
          </w:rPr>
          <w:delText xml:space="preserve">kontraindikasjon </w:delText>
        </w:r>
        <w:r w:rsidRPr="00926F2E">
          <w:rPr>
            <w:szCs w:val="22"/>
          </w:rPr>
          <w:delText xml:space="preserve">for NSAIDs </w:delText>
        </w:r>
        <w:r w:rsidR="003E3053">
          <w:rPr>
            <w:szCs w:val="22"/>
          </w:rPr>
          <w:delText>ble inkludert</w:delText>
        </w:r>
        <w:r w:rsidR="001E2DC4">
          <w:rPr>
            <w:szCs w:val="22"/>
          </w:rPr>
          <w:delText xml:space="preserve"> i den åpne </w:delText>
        </w:r>
        <w:r w:rsidR="005C7087">
          <w:rPr>
            <w:szCs w:val="22"/>
          </w:rPr>
          <w:delText>studie</w:delText>
        </w:r>
        <w:r w:rsidR="001E2DC4">
          <w:rPr>
            <w:szCs w:val="22"/>
          </w:rPr>
          <w:delText xml:space="preserve">perioden av </w:delText>
        </w:r>
        <w:r w:rsidRPr="00926F2E">
          <w:rPr>
            <w:szCs w:val="22"/>
          </w:rPr>
          <w:delText xml:space="preserve">nr-axSpA II </w:delText>
        </w:r>
        <w:r w:rsidR="001E2DC4">
          <w:rPr>
            <w:szCs w:val="22"/>
          </w:rPr>
          <w:delText xml:space="preserve">hvor de fikk </w:delText>
        </w:r>
        <w:r w:rsidRPr="00926F2E">
          <w:rPr>
            <w:szCs w:val="22"/>
          </w:rPr>
          <w:delText xml:space="preserve">Humira 40 mg </w:delText>
        </w:r>
        <w:r w:rsidR="001E2DC4">
          <w:rPr>
            <w:szCs w:val="22"/>
          </w:rPr>
          <w:delText>annenhver uke i</w:delText>
        </w:r>
        <w:r w:rsidRPr="00926F2E">
          <w:rPr>
            <w:szCs w:val="22"/>
          </w:rPr>
          <w:delText xml:space="preserve"> 28 </w:delText>
        </w:r>
        <w:r w:rsidR="001E2DC4">
          <w:rPr>
            <w:szCs w:val="22"/>
          </w:rPr>
          <w:delText>uker</w:delText>
        </w:r>
        <w:r w:rsidRPr="00926F2E">
          <w:rPr>
            <w:szCs w:val="22"/>
          </w:rPr>
          <w:delText xml:space="preserve">. </w:delText>
        </w:r>
        <w:r w:rsidR="001E2DC4" w:rsidRPr="001E2DC4">
          <w:rPr>
            <w:szCs w:val="22"/>
          </w:rPr>
          <w:delText xml:space="preserve">Disse pasientene hadde også objektive bevis på inflammasjon i </w:delText>
        </w:r>
        <w:r w:rsidR="00D47536" w:rsidRPr="00926F2E">
          <w:rPr>
            <w:szCs w:val="22"/>
          </w:rPr>
          <w:delText>sakroilikalledd</w:delText>
        </w:r>
        <w:r w:rsidR="00D14465">
          <w:rPr>
            <w:szCs w:val="22"/>
          </w:rPr>
          <w:delText>ene</w:delText>
        </w:r>
        <w:r w:rsidR="001E2DC4" w:rsidRPr="00926F2E">
          <w:rPr>
            <w:szCs w:val="22"/>
          </w:rPr>
          <w:delText xml:space="preserve"> eller ryggraden vist ved MR eller forhøyet </w:delText>
        </w:r>
        <w:r w:rsidRPr="00926F2E">
          <w:rPr>
            <w:szCs w:val="22"/>
          </w:rPr>
          <w:delText xml:space="preserve">hs-CRP. </w:delText>
        </w:r>
        <w:r w:rsidR="001E2DC4" w:rsidRPr="00926F2E">
          <w:rPr>
            <w:szCs w:val="22"/>
          </w:rPr>
          <w:delText>Pasientene som oppnådde vedvarende remisjo</w:delText>
        </w:r>
        <w:r w:rsidR="00D47536" w:rsidRPr="00926F2E">
          <w:rPr>
            <w:szCs w:val="22"/>
          </w:rPr>
          <w:delText xml:space="preserve">n i minst </w:delText>
        </w:r>
        <w:r w:rsidRPr="00926F2E">
          <w:rPr>
            <w:szCs w:val="22"/>
          </w:rPr>
          <w:delText xml:space="preserve">12 </w:delText>
        </w:r>
        <w:r w:rsidR="00D47536" w:rsidRPr="00926F2E">
          <w:rPr>
            <w:szCs w:val="22"/>
          </w:rPr>
          <w:delText>uker</w:delText>
        </w:r>
        <w:r w:rsidRPr="00926F2E">
          <w:rPr>
            <w:szCs w:val="22"/>
          </w:rPr>
          <w:delText xml:space="preserve"> (N=305) (ASDAS &lt; </w:delText>
        </w:r>
        <w:r w:rsidR="00D47536" w:rsidRPr="00926F2E">
          <w:rPr>
            <w:szCs w:val="22"/>
          </w:rPr>
          <w:delText>1,</w:delText>
        </w:r>
        <w:r w:rsidRPr="00926F2E">
          <w:rPr>
            <w:szCs w:val="22"/>
          </w:rPr>
          <w:delText xml:space="preserve">3 </w:delText>
        </w:r>
        <w:r w:rsidR="00D47536" w:rsidRPr="00926F2E">
          <w:rPr>
            <w:szCs w:val="22"/>
          </w:rPr>
          <w:delText>ved uke</w:delText>
        </w:r>
        <w:r w:rsidR="00D14465">
          <w:rPr>
            <w:szCs w:val="22"/>
          </w:rPr>
          <w:delText>ne</w:delText>
        </w:r>
        <w:r w:rsidR="00D47536" w:rsidRPr="00926F2E">
          <w:rPr>
            <w:szCs w:val="22"/>
          </w:rPr>
          <w:delText xml:space="preserve"> 16, 20, 24 og</w:delText>
        </w:r>
        <w:r w:rsidRPr="00926F2E">
          <w:rPr>
            <w:szCs w:val="22"/>
          </w:rPr>
          <w:delText xml:space="preserve"> 28) </w:delText>
        </w:r>
        <w:r w:rsidR="00D47536" w:rsidRPr="00926F2E">
          <w:rPr>
            <w:szCs w:val="22"/>
          </w:rPr>
          <w:delText xml:space="preserve">i løpet av den åpne studieperioden ble randomisert til å få enten fortsatt behandling med </w:delText>
        </w:r>
        <w:r w:rsidRPr="00926F2E">
          <w:rPr>
            <w:szCs w:val="22"/>
          </w:rPr>
          <w:delText xml:space="preserve">Humira 40 mg </w:delText>
        </w:r>
        <w:r w:rsidR="00D47536" w:rsidRPr="00926F2E">
          <w:rPr>
            <w:szCs w:val="22"/>
          </w:rPr>
          <w:delText>annenhver uke</w:delText>
        </w:r>
        <w:r w:rsidRPr="00926F2E">
          <w:rPr>
            <w:szCs w:val="22"/>
          </w:rPr>
          <w:delText xml:space="preserve"> (N=152) </w:delText>
        </w:r>
        <w:r w:rsidR="00D47536">
          <w:rPr>
            <w:szCs w:val="22"/>
          </w:rPr>
          <w:delText>elle</w:delText>
        </w:r>
        <w:r w:rsidRPr="00926F2E">
          <w:rPr>
            <w:szCs w:val="22"/>
          </w:rPr>
          <w:delText xml:space="preserve">r placebo (N=153) </w:delText>
        </w:r>
        <w:r w:rsidR="00D47536">
          <w:rPr>
            <w:szCs w:val="22"/>
          </w:rPr>
          <w:delText xml:space="preserve">i ytterligere </w:delText>
        </w:r>
        <w:r w:rsidRPr="00926F2E">
          <w:rPr>
            <w:szCs w:val="22"/>
          </w:rPr>
          <w:delText xml:space="preserve">40 </w:delText>
        </w:r>
        <w:r w:rsidR="00D47536">
          <w:rPr>
            <w:szCs w:val="22"/>
          </w:rPr>
          <w:delText>uker i en dobbeltblind</w:delText>
        </w:r>
        <w:r w:rsidRPr="00926F2E">
          <w:rPr>
            <w:szCs w:val="22"/>
          </w:rPr>
          <w:delText>, placebo</w:delText>
        </w:r>
        <w:r w:rsidR="00D47536">
          <w:rPr>
            <w:szCs w:val="22"/>
          </w:rPr>
          <w:delText>kontrollert</w:delText>
        </w:r>
        <w:r w:rsidRPr="00926F2E">
          <w:rPr>
            <w:szCs w:val="22"/>
          </w:rPr>
          <w:delText xml:space="preserve"> period</w:delText>
        </w:r>
        <w:r w:rsidR="00D47536">
          <w:rPr>
            <w:szCs w:val="22"/>
          </w:rPr>
          <w:delText xml:space="preserve">e (total studievarighet på </w:delText>
        </w:r>
        <w:r w:rsidRPr="00926F2E">
          <w:rPr>
            <w:szCs w:val="22"/>
          </w:rPr>
          <w:delText xml:space="preserve">68 </w:delText>
        </w:r>
        <w:r w:rsidR="00D47536">
          <w:rPr>
            <w:szCs w:val="22"/>
          </w:rPr>
          <w:delText>uker</w:delText>
        </w:r>
        <w:r w:rsidRPr="00926F2E">
          <w:rPr>
            <w:szCs w:val="22"/>
          </w:rPr>
          <w:delText xml:space="preserve">). </w:delText>
        </w:r>
        <w:r w:rsidR="00D47536">
          <w:rPr>
            <w:szCs w:val="22"/>
          </w:rPr>
          <w:delText xml:space="preserve">Pasienter som fikk </w:delText>
        </w:r>
        <w:r w:rsidR="00B26421">
          <w:rPr>
            <w:szCs w:val="22"/>
          </w:rPr>
          <w:delText>sykdomsoppbluss</w:delText>
        </w:r>
        <w:r w:rsidR="00D47536">
          <w:rPr>
            <w:szCs w:val="22"/>
          </w:rPr>
          <w:delText xml:space="preserve"> i løpet av den dobbeltblinde perioden fikk </w:delText>
        </w:r>
        <w:r w:rsidRPr="00926F2E">
          <w:rPr>
            <w:szCs w:val="22"/>
          </w:rPr>
          <w:delText xml:space="preserve">Humira 40 mg </w:delText>
        </w:r>
        <w:r w:rsidR="00D47536">
          <w:rPr>
            <w:szCs w:val="22"/>
          </w:rPr>
          <w:delText xml:space="preserve">annenhver uke </w:delText>
        </w:r>
        <w:r w:rsidR="00180886">
          <w:rPr>
            <w:szCs w:val="22"/>
          </w:rPr>
          <w:delText xml:space="preserve">som </w:delText>
        </w:r>
        <w:r w:rsidR="005D4A42">
          <w:rPr>
            <w:szCs w:val="22"/>
          </w:rPr>
          <w:delText>«rescue»-</w:delText>
        </w:r>
        <w:r w:rsidR="00D47536">
          <w:rPr>
            <w:szCs w:val="22"/>
          </w:rPr>
          <w:delText xml:space="preserve">behandling i minst </w:delText>
        </w:r>
        <w:r w:rsidRPr="00926F2E">
          <w:rPr>
            <w:szCs w:val="22"/>
          </w:rPr>
          <w:delText>12</w:delText>
        </w:r>
        <w:r w:rsidR="00D14465">
          <w:rPr>
            <w:szCs w:val="22"/>
          </w:rPr>
          <w:delText> </w:delText>
        </w:r>
        <w:r w:rsidR="007F1B30">
          <w:rPr>
            <w:szCs w:val="22"/>
          </w:rPr>
          <w:delText>uker</w:delText>
        </w:r>
        <w:r w:rsidRPr="00926F2E">
          <w:rPr>
            <w:szCs w:val="22"/>
          </w:rPr>
          <w:delText>.</w:delText>
        </w:r>
      </w:del>
    </w:p>
    <w:p w14:paraId="44FEFF7E" w14:textId="68BA7E34" w:rsidR="00A374EC" w:rsidRPr="00926F2E" w:rsidRDefault="00A374EC">
      <w:pPr>
        <w:keepNext/>
        <w:suppressAutoHyphens/>
        <w:rPr>
          <w:del w:id="7910" w:author="AbbVie02no" w:date="2025-05-15T13:45:00Z"/>
          <w:szCs w:val="22"/>
        </w:rPr>
        <w:pPrChange w:id="7911" w:author="AbbVie02no" w:date="2025-05-15T13:45:00Z">
          <w:pPr>
            <w:pStyle w:val="EMEANormal"/>
          </w:pPr>
        </w:pPrChange>
      </w:pPr>
    </w:p>
    <w:p w14:paraId="059C6F53" w14:textId="0D7C21F8" w:rsidR="00A374EC" w:rsidRPr="00926F2E" w:rsidRDefault="00E453CD">
      <w:pPr>
        <w:keepNext/>
        <w:suppressAutoHyphens/>
        <w:rPr>
          <w:del w:id="7912" w:author="AbbVie02no" w:date="2025-05-15T13:45:00Z"/>
          <w:szCs w:val="22"/>
        </w:rPr>
        <w:pPrChange w:id="7913" w:author="AbbVie02no" w:date="2025-05-15T13:45:00Z">
          <w:pPr>
            <w:pStyle w:val="EMEANormal"/>
          </w:pPr>
        </w:pPrChange>
      </w:pPr>
      <w:del w:id="7914" w:author="AbbVie02no" w:date="2025-05-15T13:45:00Z">
        <w:r w:rsidRPr="00926F2E">
          <w:rPr>
            <w:szCs w:val="22"/>
          </w:rPr>
          <w:delText xml:space="preserve">Primærendepunktet var andel pasienter som ikke hadde </w:delText>
        </w:r>
        <w:r w:rsidR="00B26421">
          <w:rPr>
            <w:szCs w:val="22"/>
          </w:rPr>
          <w:delText>sykdomsoppbluss</w:delText>
        </w:r>
        <w:r w:rsidRPr="00926F2E">
          <w:rPr>
            <w:szCs w:val="22"/>
          </w:rPr>
          <w:delText xml:space="preserve"> ved uke 68 av studien. </w:delText>
        </w:r>
        <w:r w:rsidRPr="00B26421">
          <w:rPr>
            <w:szCs w:val="22"/>
          </w:rPr>
          <w:delText xml:space="preserve">Oppbluss var definert som </w:delText>
        </w:r>
        <w:r w:rsidR="00B26421" w:rsidRPr="00926F2E">
          <w:rPr>
            <w:szCs w:val="22"/>
          </w:rPr>
          <w:delText>ASDAS ≥ 2,</w:delText>
        </w:r>
        <w:r w:rsidRPr="00926F2E">
          <w:rPr>
            <w:szCs w:val="22"/>
          </w:rPr>
          <w:delText xml:space="preserve">1 </w:delText>
        </w:r>
        <w:r w:rsidR="00B26421" w:rsidRPr="00926F2E">
          <w:rPr>
            <w:szCs w:val="22"/>
          </w:rPr>
          <w:delText>på to etterfølgende studiebesøk med fire ukers mellomrom</w:delText>
        </w:r>
        <w:r w:rsidRPr="00926F2E">
          <w:rPr>
            <w:szCs w:val="22"/>
          </w:rPr>
          <w:delText xml:space="preserve">. </w:delText>
        </w:r>
        <w:r w:rsidR="00B26421">
          <w:rPr>
            <w:szCs w:val="22"/>
          </w:rPr>
          <w:delText xml:space="preserve">En større andel av pasientene som fikk Humira hadde ikke </w:delText>
        </w:r>
        <w:r w:rsidR="00B26421">
          <w:rPr>
            <w:szCs w:val="22"/>
          </w:rPr>
          <w:lastRenderedPageBreak/>
          <w:delText xml:space="preserve">sykdomsoppbluss i løpet av den dobbeltblinde perioden sammenlignet med de som fikk </w:delText>
        </w:r>
        <w:r w:rsidRPr="00926F2E">
          <w:rPr>
            <w:szCs w:val="22"/>
          </w:rPr>
          <w:delText>placebo (</w:delText>
        </w:r>
        <w:r w:rsidR="00B26421" w:rsidRPr="00926F2E">
          <w:rPr>
            <w:szCs w:val="22"/>
          </w:rPr>
          <w:delText>70,</w:delText>
        </w:r>
        <w:r w:rsidRPr="00926F2E">
          <w:rPr>
            <w:szCs w:val="22"/>
          </w:rPr>
          <w:delText>4</w:delText>
        </w:r>
        <w:r w:rsidR="000F508A">
          <w:rPr>
            <w:szCs w:val="22"/>
          </w:rPr>
          <w:delText> </w:delText>
        </w:r>
        <w:r w:rsidRPr="00926F2E">
          <w:rPr>
            <w:szCs w:val="22"/>
          </w:rPr>
          <w:delText>%</w:delText>
        </w:r>
        <w:r w:rsidR="00B26421">
          <w:rPr>
            <w:szCs w:val="22"/>
          </w:rPr>
          <w:delText xml:space="preserve"> vs. 47,</w:delText>
        </w:r>
        <w:r w:rsidRPr="00926F2E">
          <w:rPr>
            <w:szCs w:val="22"/>
          </w:rPr>
          <w:delText>1</w:delText>
        </w:r>
        <w:r w:rsidR="000F508A">
          <w:rPr>
            <w:szCs w:val="22"/>
          </w:rPr>
          <w:delText> </w:delText>
        </w:r>
        <w:r w:rsidRPr="00926F2E">
          <w:rPr>
            <w:szCs w:val="22"/>
          </w:rPr>
          <w:delText>%, p</w:delText>
        </w:r>
        <w:r w:rsidR="00B26421">
          <w:rPr>
            <w:szCs w:val="22"/>
          </w:rPr>
          <w:delText xml:space="preserve"> </w:delText>
        </w:r>
        <w:r w:rsidRPr="00926F2E">
          <w:rPr>
            <w:szCs w:val="22"/>
          </w:rPr>
          <w:delText>&lt;</w:delText>
        </w:r>
        <w:r w:rsidR="00B26421">
          <w:rPr>
            <w:szCs w:val="22"/>
          </w:rPr>
          <w:delText xml:space="preserve"> </w:delText>
        </w:r>
        <w:r w:rsidRPr="00926F2E">
          <w:rPr>
            <w:szCs w:val="22"/>
          </w:rPr>
          <w:delText>0</w:delText>
        </w:r>
        <w:r w:rsidR="00B26421">
          <w:rPr>
            <w:szCs w:val="22"/>
          </w:rPr>
          <w:delText>,</w:delText>
        </w:r>
        <w:r w:rsidRPr="00926F2E">
          <w:rPr>
            <w:szCs w:val="22"/>
          </w:rPr>
          <w:delText xml:space="preserve">001) (Figur 1). </w:delText>
        </w:r>
      </w:del>
    </w:p>
    <w:p w14:paraId="5D6781DE" w14:textId="6E2FDF5D" w:rsidR="00A374EC" w:rsidRPr="005304DA" w:rsidRDefault="00A374EC">
      <w:pPr>
        <w:keepNext/>
        <w:suppressAutoHyphens/>
        <w:rPr>
          <w:del w:id="7915" w:author="AbbVie02no" w:date="2025-05-15T13:45:00Z"/>
          <w:szCs w:val="22"/>
        </w:rPr>
        <w:pPrChange w:id="7916" w:author="AbbVie02no" w:date="2025-05-15T13:45:00Z">
          <w:pPr>
            <w:pStyle w:val="EMEANormal"/>
            <w:keepNext/>
            <w:jc w:val="center"/>
          </w:pPr>
        </w:pPrChange>
      </w:pPr>
    </w:p>
    <w:p w14:paraId="66EDFCC2" w14:textId="314E5D2C" w:rsidR="00A374EC" w:rsidRPr="005304DA" w:rsidRDefault="00E453CD">
      <w:pPr>
        <w:keepNext/>
        <w:suppressAutoHyphens/>
        <w:rPr>
          <w:del w:id="7917" w:author="AbbVie02no" w:date="2025-05-15T13:45:00Z"/>
          <w:szCs w:val="22"/>
        </w:rPr>
        <w:pPrChange w:id="7918" w:author="AbbVie02no" w:date="2025-05-15T13:45:00Z">
          <w:pPr>
            <w:pStyle w:val="EMEANormal"/>
            <w:keepNext/>
            <w:jc w:val="center"/>
          </w:pPr>
        </w:pPrChange>
      </w:pPr>
      <w:del w:id="7919" w:author="AbbVie02no" w:date="2025-05-15T13:45:00Z">
        <w:r w:rsidRPr="00926F2E">
          <w:rPr>
            <w:b/>
            <w:szCs w:val="22"/>
          </w:rPr>
          <w:delText xml:space="preserve">Figur 1: Kaplan-Meier kurver som oppsummerer tid til sykdomsoppbluss </w:delText>
        </w:r>
        <w:r w:rsidR="000F508A">
          <w:rPr>
            <w:b/>
            <w:szCs w:val="22"/>
          </w:rPr>
          <w:delText>i</w:delText>
        </w:r>
      </w:del>
    </w:p>
    <w:p w14:paraId="530699E2" w14:textId="4591E096" w:rsidR="00A374EC" w:rsidRPr="00E04B2A" w:rsidRDefault="00E453CD">
      <w:pPr>
        <w:keepNext/>
        <w:suppressAutoHyphens/>
        <w:rPr>
          <w:del w:id="7920" w:author="AbbVie02no" w:date="2025-05-15T13:45:00Z"/>
          <w:szCs w:val="22"/>
        </w:rPr>
        <w:pPrChange w:id="7921" w:author="AbbVie02no" w:date="2025-05-15T13:45:00Z">
          <w:pPr>
            <w:pStyle w:val="EMEANormal"/>
            <w:keepNext/>
            <w:jc w:val="center"/>
          </w:pPr>
        </w:pPrChange>
      </w:pPr>
      <w:del w:id="7922" w:author="AbbVie02no" w:date="2025-05-15T13:45:00Z">
        <w:r w:rsidRPr="00E04B2A">
          <w:rPr>
            <w:b/>
            <w:szCs w:val="22"/>
          </w:rPr>
          <w:delText>Studie nr-axSpA II</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
        <w:gridCol w:w="199"/>
        <w:gridCol w:w="8606"/>
      </w:tblGrid>
      <w:tr w:rsidR="004644D4" w14:paraId="3F9C3806" w14:textId="2D313118" w:rsidTr="00776A84">
        <w:trPr>
          <w:cantSplit/>
          <w:trHeight w:val="1134"/>
          <w:del w:id="7923" w:author="AbbVie02no" w:date="2025-05-15T13:45:00Z"/>
        </w:trPr>
        <w:tc>
          <w:tcPr>
            <w:tcW w:w="675" w:type="dxa"/>
            <w:gridSpan w:val="2"/>
            <w:textDirection w:val="btLr"/>
            <w:vAlign w:val="center"/>
          </w:tcPr>
          <w:p w14:paraId="3F4A5329" w14:textId="461B363D" w:rsidR="00A374EC" w:rsidRPr="00926F2E" w:rsidRDefault="00E453CD">
            <w:pPr>
              <w:keepNext/>
              <w:rPr>
                <w:del w:id="7924" w:author="AbbVie02no" w:date="2025-05-15T13:45:00Z"/>
                <w:b/>
                <w:sz w:val="22"/>
                <w:szCs w:val="22"/>
              </w:rPr>
              <w:pPrChange w:id="7925" w:author="AbbVie02no" w:date="2025-05-15T13:45:00Z">
                <w:pPr>
                  <w:keepNext/>
                  <w:ind w:left="113" w:right="113"/>
                  <w:jc w:val="center"/>
                </w:pPr>
              </w:pPrChange>
            </w:pPr>
            <w:del w:id="7926" w:author="AbbVie02no" w:date="2025-05-15T13:45:00Z">
              <w:r>
                <w:rPr>
                  <w:b/>
                  <w:sz w:val="22"/>
                  <w:szCs w:val="22"/>
                </w:rPr>
                <w:delText xml:space="preserve">SANNSYNLIGHETEN FOR </w:delText>
              </w:r>
              <w:r w:rsidR="000F508A">
                <w:rPr>
                  <w:b/>
                  <w:sz w:val="22"/>
                  <w:szCs w:val="22"/>
                </w:rPr>
                <w:delText xml:space="preserve">INGEN </w:delText>
              </w:r>
              <w:r>
                <w:rPr>
                  <w:b/>
                  <w:sz w:val="22"/>
                  <w:szCs w:val="22"/>
                </w:rPr>
                <w:delText>SYKDOMSOPPBLUSS</w:delText>
              </w:r>
            </w:del>
          </w:p>
        </w:tc>
        <w:tc>
          <w:tcPr>
            <w:tcW w:w="8606" w:type="dxa"/>
          </w:tcPr>
          <w:p w14:paraId="2165207E" w14:textId="2C3FF89C" w:rsidR="00A374EC" w:rsidRPr="00926F2E" w:rsidRDefault="00E453CD" w:rsidP="004B57B4">
            <w:pPr>
              <w:keepNext/>
              <w:rPr>
                <w:del w:id="7927" w:author="AbbVie02no" w:date="2025-05-15T13:45:00Z"/>
                <w:sz w:val="22"/>
                <w:szCs w:val="22"/>
              </w:rPr>
            </w:pPr>
            <w:del w:id="7928" w:author="AbbVie02no" w:date="2025-05-15T13:45:00Z">
              <w:r w:rsidRPr="00926F2E">
                <w:rPr>
                  <w:noProof/>
                  <w:sz w:val="22"/>
                  <w:szCs w:val="22"/>
                  <w:lang w:val="en-GB" w:eastAsia="en-GB"/>
                </w:rPr>
                <w:drawing>
                  <wp:inline distT="0" distB="0" distL="0" distR="0" wp14:anchorId="4D39ABD4" wp14:editId="2523815F">
                    <wp:extent cx="5460521" cy="3005261"/>
                    <wp:effectExtent l="0" t="0" r="6985"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m13375_flare_km_db_f.14.2_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69694" cy="3010310"/>
                            </a:xfrm>
                            <a:prstGeom prst="rect">
                              <a:avLst/>
                            </a:prstGeom>
                          </pic:spPr>
                        </pic:pic>
                      </a:graphicData>
                    </a:graphic>
                  </wp:inline>
                </w:drawing>
              </w:r>
            </w:del>
          </w:p>
        </w:tc>
      </w:tr>
      <w:tr w:rsidR="004644D4" w14:paraId="7B9BDD59" w14:textId="3EA31B73" w:rsidTr="00776A84">
        <w:trPr>
          <w:del w:id="7929" w:author="AbbVie02no" w:date="2025-05-15T13:45:00Z"/>
        </w:trPr>
        <w:tc>
          <w:tcPr>
            <w:tcW w:w="476" w:type="dxa"/>
          </w:tcPr>
          <w:p w14:paraId="671E0522" w14:textId="533536F1" w:rsidR="00A374EC" w:rsidRPr="00926F2E" w:rsidRDefault="00A374EC" w:rsidP="004B57B4">
            <w:pPr>
              <w:keepNext/>
              <w:rPr>
                <w:del w:id="7930" w:author="AbbVie02no" w:date="2025-05-15T13:45:00Z"/>
                <w:sz w:val="22"/>
                <w:szCs w:val="22"/>
              </w:rPr>
            </w:pPr>
          </w:p>
        </w:tc>
        <w:tc>
          <w:tcPr>
            <w:tcW w:w="8805" w:type="dxa"/>
            <w:gridSpan w:val="2"/>
            <w:vAlign w:val="center"/>
          </w:tcPr>
          <w:p w14:paraId="05B7EA15" w14:textId="7C96C226" w:rsidR="00A374EC" w:rsidRPr="00926F2E" w:rsidRDefault="00E453CD">
            <w:pPr>
              <w:keepNext/>
              <w:rPr>
                <w:del w:id="7931" w:author="AbbVie02no" w:date="2025-05-15T13:45:00Z"/>
                <w:b/>
                <w:sz w:val="22"/>
                <w:szCs w:val="22"/>
              </w:rPr>
              <w:pPrChange w:id="7932" w:author="AbbVie02no" w:date="2025-05-15T13:45:00Z">
                <w:pPr>
                  <w:keepNext/>
                  <w:jc w:val="center"/>
                </w:pPr>
              </w:pPrChange>
            </w:pPr>
            <w:del w:id="7933" w:author="AbbVie02no" w:date="2025-05-15T13:45:00Z">
              <w:r>
                <w:rPr>
                  <w:b/>
                  <w:sz w:val="22"/>
                  <w:szCs w:val="22"/>
                </w:rPr>
                <w:delText>TID</w:delText>
              </w:r>
              <w:r w:rsidRPr="00926F2E">
                <w:rPr>
                  <w:b/>
                  <w:sz w:val="22"/>
                  <w:szCs w:val="22"/>
                </w:rPr>
                <w:delText xml:space="preserve"> (</w:delText>
              </w:r>
              <w:r>
                <w:rPr>
                  <w:b/>
                  <w:sz w:val="22"/>
                  <w:szCs w:val="22"/>
                </w:rPr>
                <w:delText>UKER</w:delText>
              </w:r>
              <w:r w:rsidRPr="00926F2E">
                <w:rPr>
                  <w:b/>
                  <w:sz w:val="22"/>
                  <w:szCs w:val="22"/>
                </w:rPr>
                <w:delText>)</w:delText>
              </w:r>
            </w:del>
          </w:p>
        </w:tc>
      </w:tr>
      <w:tr w:rsidR="004644D4" w14:paraId="605BECCB" w14:textId="615B857F" w:rsidTr="00776A84">
        <w:trPr>
          <w:del w:id="7934" w:author="AbbVie02no" w:date="2025-05-15T13:45:00Z"/>
        </w:trPr>
        <w:tc>
          <w:tcPr>
            <w:tcW w:w="9281" w:type="dxa"/>
            <w:gridSpan w:val="3"/>
          </w:tcPr>
          <w:p w14:paraId="2587A89A" w14:textId="3CAA03AB" w:rsidR="00A374EC" w:rsidRPr="00926F2E" w:rsidRDefault="00E453CD">
            <w:pPr>
              <w:keepNext/>
              <w:rPr>
                <w:del w:id="7935" w:author="AbbVie02no" w:date="2025-05-15T13:45:00Z"/>
                <w:sz w:val="22"/>
                <w:szCs w:val="22"/>
              </w:rPr>
              <w:pPrChange w:id="7936" w:author="AbbVie02no" w:date="2025-05-15T13:45:00Z">
                <w:pPr/>
              </w:pPrChange>
            </w:pPr>
            <w:del w:id="7937" w:author="AbbVie02no" w:date="2025-05-15T13:45:00Z">
              <w:r w:rsidRPr="00926F2E">
                <w:rPr>
                  <w:sz w:val="22"/>
                  <w:szCs w:val="22"/>
                </w:rPr>
                <w:delText xml:space="preserve">                                  </w:delText>
              </w:r>
              <w:r w:rsidR="00B26421">
                <w:rPr>
                  <w:sz w:val="22"/>
                  <w:szCs w:val="22"/>
                </w:rPr>
                <w:delText>Behandling</w:delText>
              </w:r>
              <w:r w:rsidRPr="00926F2E">
                <w:rPr>
                  <w:sz w:val="22"/>
                  <w:szCs w:val="22"/>
                </w:rPr>
                <w:delText xml:space="preserve">      </w:delText>
              </w:r>
              <w:r w:rsidRPr="00926F2E">
                <w:rPr>
                  <w:noProof/>
                  <w:sz w:val="22"/>
                  <w:szCs w:val="22"/>
                </w:rPr>
                <w:delText xml:space="preserve"> </w:delText>
              </w:r>
              <w:r w:rsidRPr="00926F2E">
                <w:rPr>
                  <w:noProof/>
                  <w:sz w:val="22"/>
                  <w:szCs w:val="22"/>
                  <w:lang w:val="en-GB" w:eastAsia="en-GB"/>
                </w:rPr>
                <mc:AlternateContent>
                  <mc:Choice Requires="wps">
                    <w:drawing>
                      <wp:inline distT="0" distB="0" distL="0" distR="0" wp14:anchorId="62F03CA7" wp14:editId="3553C4B6">
                        <wp:extent cx="381000" cy="0"/>
                        <wp:effectExtent l="0" t="19050" r="0" b="19050"/>
                        <wp:docPr id="20" name="Straight Connector 20"/>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chemeClr val="tx1">
                                      <a:lumMod val="65000"/>
                                      <a:lumOff val="3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20" o:spid="_x0000_i1034" style="mso-left-percent:-10001;mso-position-horizontal-relative:char;mso-position-vertical-relative:line;mso-top-percent:-10001;mso-wrap-style:square;visibility:visible" from="0,0" to="30pt,0" strokecolor="#5a5a5a" strokeweight="2.25pt">
                        <v:stroke joinstyle="miter" dashstyle="1 1"/>
                        <w10:anchorlock/>
                      </v:line>
                    </w:pict>
                  </mc:Fallback>
                </mc:AlternateContent>
              </w:r>
              <w:r w:rsidRPr="00926F2E">
                <w:rPr>
                  <w:noProof/>
                  <w:sz w:val="22"/>
                  <w:szCs w:val="22"/>
                </w:rPr>
                <w:delText xml:space="preserve"> </w:delText>
              </w:r>
              <w:r w:rsidRPr="00926F2E">
                <w:rPr>
                  <w:sz w:val="22"/>
                  <w:szCs w:val="22"/>
                </w:rPr>
                <w:delText xml:space="preserve">Placebo     </w:delText>
              </w:r>
              <w:r w:rsidRPr="00926F2E">
                <w:rPr>
                  <w:noProof/>
                  <w:sz w:val="22"/>
                  <w:szCs w:val="22"/>
                  <w:lang w:val="en-GB" w:eastAsia="en-GB"/>
                </w:rPr>
                <mc:AlternateContent>
                  <mc:Choice Requires="wps">
                    <w:drawing>
                      <wp:inline distT="0" distB="0" distL="0" distR="0" wp14:anchorId="69AE3F20" wp14:editId="5CB893A0">
                        <wp:extent cx="401320" cy="0"/>
                        <wp:effectExtent l="0" t="0" r="17780" b="19050"/>
                        <wp:docPr id="34" name="Straight Connector 34"/>
                        <wp:cNvGraphicFramePr/>
                        <a:graphic xmlns:a="http://schemas.openxmlformats.org/drawingml/2006/main">
                          <a:graphicData uri="http://schemas.microsoft.com/office/word/2010/wordprocessingShape">
                            <wps:wsp>
                              <wps:cNvCnPr/>
                              <wps:spPr>
                                <a:xfrm>
                                  <a:off x="0" y="0"/>
                                  <a:ext cx="401320" cy="0"/>
                                </a:xfrm>
                                <a:prstGeom prst="line">
                                  <a:avLst/>
                                </a:prstGeom>
                                <a:ln w="19050">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34" o:spid="_x0000_i1035" style="mso-left-percent:-10001;mso-position-horizontal-relative:char;mso-position-vertical-relative:line;mso-top-percent:-10001;mso-wrap-style:square;visibility:visible" from="0,0" to="31.6pt,0" strokecolor="#404040" strokeweight="1.5pt">
                        <v:stroke joinstyle="miter"/>
                        <w10:anchorlock/>
                      </v:line>
                    </w:pict>
                  </mc:Fallback>
                </mc:AlternateContent>
              </w:r>
              <w:r w:rsidRPr="00926F2E">
                <w:rPr>
                  <w:sz w:val="22"/>
                  <w:szCs w:val="22"/>
                </w:rPr>
                <w:delText xml:space="preserve"> Humira     ∆ </w:delText>
              </w:r>
              <w:r w:rsidR="00B26421">
                <w:rPr>
                  <w:sz w:val="22"/>
                  <w:szCs w:val="22"/>
                </w:rPr>
                <w:delText>Sensurert</w:delText>
              </w:r>
            </w:del>
          </w:p>
        </w:tc>
      </w:tr>
    </w:tbl>
    <w:p w14:paraId="41980136" w14:textId="0F1D32D4" w:rsidR="00A374EC" w:rsidRPr="00926F2E" w:rsidRDefault="00A374EC">
      <w:pPr>
        <w:keepNext/>
        <w:suppressAutoHyphens/>
        <w:rPr>
          <w:del w:id="7938" w:author="AbbVie02no" w:date="2025-05-15T13:45:00Z"/>
          <w:sz w:val="22"/>
          <w:szCs w:val="22"/>
        </w:rPr>
        <w:pPrChange w:id="7939" w:author="AbbVie02no" w:date="2025-05-15T13:45:00Z">
          <w:pPr/>
        </w:pPrChange>
      </w:pPr>
    </w:p>
    <w:p w14:paraId="7F7349CF" w14:textId="328C2027" w:rsidR="00A374EC" w:rsidRPr="00926F2E" w:rsidRDefault="00E453CD">
      <w:pPr>
        <w:keepNext/>
        <w:suppressAutoHyphens/>
        <w:rPr>
          <w:del w:id="7940" w:author="AbbVie02no" w:date="2025-05-15T13:45:00Z"/>
          <w:sz w:val="22"/>
          <w:szCs w:val="22"/>
        </w:rPr>
        <w:pPrChange w:id="7941" w:author="AbbVie02no" w:date="2025-05-15T13:45:00Z">
          <w:pPr/>
        </w:pPrChange>
      </w:pPr>
      <w:del w:id="7942" w:author="AbbVie02no" w:date="2025-05-15T13:45:00Z">
        <w:r w:rsidRPr="00926F2E">
          <w:rPr>
            <w:sz w:val="22"/>
            <w:szCs w:val="22"/>
          </w:rPr>
          <w:delText xml:space="preserve">Merk: P = Placebo (Antall </w:delText>
        </w:r>
        <w:r w:rsidR="002D7A45">
          <w:rPr>
            <w:sz w:val="22"/>
            <w:szCs w:val="22"/>
          </w:rPr>
          <w:delText>med</w:delText>
        </w:r>
        <w:r w:rsidRPr="00926F2E">
          <w:rPr>
            <w:sz w:val="22"/>
            <w:szCs w:val="22"/>
          </w:rPr>
          <w:delText xml:space="preserve"> risiko for oppbluss (har fått oppbluss)); A = HUMIRA (</w:delText>
        </w:r>
        <w:r w:rsidR="002D7A45">
          <w:rPr>
            <w:sz w:val="22"/>
            <w:szCs w:val="22"/>
          </w:rPr>
          <w:delText>Antall med</w:delText>
        </w:r>
        <w:r>
          <w:rPr>
            <w:sz w:val="22"/>
            <w:szCs w:val="22"/>
          </w:rPr>
          <w:delText xml:space="preserve"> risiko for oppbluss</w:delText>
        </w:r>
        <w:r w:rsidRPr="00926F2E">
          <w:rPr>
            <w:sz w:val="22"/>
            <w:szCs w:val="22"/>
          </w:rPr>
          <w:delText xml:space="preserve"> (</w:delText>
        </w:r>
        <w:r>
          <w:rPr>
            <w:sz w:val="22"/>
            <w:szCs w:val="22"/>
          </w:rPr>
          <w:delText>har fått oppbluss</w:delText>
        </w:r>
        <w:r w:rsidRPr="00926F2E">
          <w:rPr>
            <w:sz w:val="22"/>
            <w:szCs w:val="22"/>
          </w:rPr>
          <w:delText>)).</w:delText>
        </w:r>
      </w:del>
    </w:p>
    <w:p w14:paraId="04E37833" w14:textId="44BA53A8" w:rsidR="00A374EC" w:rsidRPr="00926F2E" w:rsidRDefault="00A374EC">
      <w:pPr>
        <w:keepNext/>
        <w:suppressAutoHyphens/>
        <w:rPr>
          <w:del w:id="7943" w:author="AbbVie02no" w:date="2025-05-15T13:45:00Z"/>
          <w:sz w:val="22"/>
          <w:szCs w:val="22"/>
        </w:rPr>
        <w:pPrChange w:id="7944" w:author="AbbVie02no" w:date="2025-05-15T13:45:00Z">
          <w:pPr/>
        </w:pPrChange>
      </w:pPr>
    </w:p>
    <w:p w14:paraId="2586E285" w14:textId="6A65EC1E" w:rsidR="00A374EC" w:rsidRPr="00926F2E" w:rsidRDefault="00E453CD">
      <w:pPr>
        <w:keepNext/>
        <w:suppressAutoHyphens/>
        <w:rPr>
          <w:del w:id="7945" w:author="AbbVie02no" w:date="2025-05-15T13:45:00Z"/>
          <w:szCs w:val="22"/>
        </w:rPr>
        <w:pPrChange w:id="7946" w:author="AbbVie02no" w:date="2025-05-15T13:45:00Z">
          <w:pPr>
            <w:pStyle w:val="EMEANormal"/>
          </w:pPr>
        </w:pPrChange>
      </w:pPr>
      <w:del w:id="7947" w:author="AbbVie02no" w:date="2025-05-15T13:45:00Z">
        <w:r w:rsidRPr="00926F2E">
          <w:rPr>
            <w:szCs w:val="22"/>
          </w:rPr>
          <w:delText xml:space="preserve">Blant de 68 pasientene som fikk sykdomsoppbluss i gruppen som fikk </w:delText>
        </w:r>
        <w:r w:rsidR="00C366BC">
          <w:rPr>
            <w:szCs w:val="22"/>
          </w:rPr>
          <w:delText xml:space="preserve">seponert </w:delText>
        </w:r>
        <w:r w:rsidRPr="00926F2E">
          <w:rPr>
            <w:szCs w:val="22"/>
          </w:rPr>
          <w:delText xml:space="preserve">behandling fullførte 65 12 uker </w:delText>
        </w:r>
        <w:r w:rsidR="005D4A42">
          <w:rPr>
            <w:szCs w:val="22"/>
          </w:rPr>
          <w:delText>«rescue»-</w:delText>
        </w:r>
        <w:r w:rsidR="007F1B30">
          <w:rPr>
            <w:szCs w:val="22"/>
          </w:rPr>
          <w:delText>behandling</w:delText>
        </w:r>
        <w:r>
          <w:rPr>
            <w:szCs w:val="22"/>
          </w:rPr>
          <w:delText xml:space="preserve"> med </w:delText>
        </w:r>
        <w:r w:rsidRPr="00926F2E">
          <w:rPr>
            <w:szCs w:val="22"/>
          </w:rPr>
          <w:delText xml:space="preserve">Humira, </w:delText>
        </w:r>
        <w:r>
          <w:rPr>
            <w:szCs w:val="22"/>
          </w:rPr>
          <w:delText xml:space="preserve">hvorav </w:delText>
        </w:r>
        <w:r w:rsidRPr="00926F2E">
          <w:rPr>
            <w:szCs w:val="22"/>
          </w:rPr>
          <w:delText>37 (56</w:delText>
        </w:r>
        <w:r w:rsidR="00AF2C24">
          <w:rPr>
            <w:szCs w:val="22"/>
          </w:rPr>
          <w:delText>,</w:delText>
        </w:r>
        <w:r w:rsidRPr="00926F2E">
          <w:rPr>
            <w:szCs w:val="22"/>
          </w:rPr>
          <w:delText>9</w:delText>
        </w:r>
        <w:r w:rsidR="000F508A">
          <w:rPr>
            <w:szCs w:val="22"/>
          </w:rPr>
          <w:delText> </w:delText>
        </w:r>
        <w:r w:rsidRPr="00926F2E">
          <w:rPr>
            <w:szCs w:val="22"/>
          </w:rPr>
          <w:delText xml:space="preserve">%) </w:delText>
        </w:r>
        <w:r w:rsidR="00AF2C24">
          <w:rPr>
            <w:szCs w:val="22"/>
          </w:rPr>
          <w:delText>gjenvant remisjon</w:delText>
        </w:r>
        <w:r w:rsidRPr="00926F2E">
          <w:rPr>
            <w:szCs w:val="22"/>
          </w:rPr>
          <w:delText xml:space="preserve"> (ASDAS &lt; 1.3) </w:delText>
        </w:r>
        <w:r w:rsidR="00AF2C24">
          <w:rPr>
            <w:szCs w:val="22"/>
          </w:rPr>
          <w:delText>etter</w:delText>
        </w:r>
        <w:r w:rsidRPr="00926F2E">
          <w:rPr>
            <w:szCs w:val="22"/>
          </w:rPr>
          <w:delText xml:space="preserve"> </w:delText>
        </w:r>
        <w:r w:rsidR="00AF2C24">
          <w:rPr>
            <w:szCs w:val="22"/>
          </w:rPr>
          <w:delText xml:space="preserve">å ha gjenopptatt </w:delText>
        </w:r>
        <w:r w:rsidRPr="00926F2E">
          <w:rPr>
            <w:szCs w:val="22"/>
          </w:rPr>
          <w:delText>12 </w:delText>
        </w:r>
        <w:r w:rsidR="00AF2C24">
          <w:rPr>
            <w:szCs w:val="22"/>
          </w:rPr>
          <w:delText>uker med åpen behandling</w:delText>
        </w:r>
        <w:r w:rsidRPr="00926F2E">
          <w:rPr>
            <w:szCs w:val="22"/>
          </w:rPr>
          <w:delText xml:space="preserve">. </w:delText>
        </w:r>
      </w:del>
    </w:p>
    <w:p w14:paraId="42ACBF50" w14:textId="63201EB3" w:rsidR="00A374EC" w:rsidRPr="00926F2E" w:rsidRDefault="00A374EC">
      <w:pPr>
        <w:keepNext/>
        <w:suppressAutoHyphens/>
        <w:rPr>
          <w:del w:id="7948" w:author="AbbVie02no" w:date="2025-05-15T13:45:00Z"/>
          <w:sz w:val="22"/>
          <w:szCs w:val="22"/>
        </w:rPr>
        <w:pPrChange w:id="7949" w:author="AbbVie02no" w:date="2025-05-15T13:45:00Z">
          <w:pPr/>
        </w:pPrChange>
      </w:pPr>
    </w:p>
    <w:p w14:paraId="78344656" w14:textId="00B57C67" w:rsidR="00A374EC" w:rsidRPr="00926F2E" w:rsidRDefault="00E453CD">
      <w:pPr>
        <w:keepNext/>
        <w:suppressAutoHyphens/>
        <w:rPr>
          <w:del w:id="7950" w:author="AbbVie02no" w:date="2025-05-15T13:45:00Z"/>
          <w:sz w:val="22"/>
          <w:szCs w:val="22"/>
        </w:rPr>
        <w:pPrChange w:id="7951" w:author="AbbVie02no" w:date="2025-05-15T13:45:00Z">
          <w:pPr/>
        </w:pPrChange>
      </w:pPr>
      <w:del w:id="7952" w:author="AbbVie02no" w:date="2025-05-15T13:45:00Z">
        <w:r w:rsidRPr="00926F2E">
          <w:rPr>
            <w:sz w:val="22"/>
            <w:szCs w:val="22"/>
          </w:rPr>
          <w:delText xml:space="preserve">Ved uke 68 viste pasienter som fikk kontinuerlig Humira-behandling statistisk signifikant større forbedring av tegn og symptomer på aktiv nr-axSpA sammenlignet med pasienter som fikk </w:delText>
        </w:r>
        <w:r w:rsidR="000E50C9">
          <w:rPr>
            <w:sz w:val="22"/>
            <w:szCs w:val="22"/>
          </w:rPr>
          <w:delText xml:space="preserve">seponert </w:delText>
        </w:r>
        <w:r w:rsidRPr="00926F2E">
          <w:rPr>
            <w:sz w:val="22"/>
            <w:szCs w:val="22"/>
          </w:rPr>
          <w:delText xml:space="preserve">behandling </w:delText>
        </w:r>
        <w:r>
          <w:rPr>
            <w:sz w:val="22"/>
            <w:szCs w:val="22"/>
          </w:rPr>
          <w:delText>i</w:delText>
        </w:r>
        <w:r w:rsidRPr="00926F2E">
          <w:rPr>
            <w:sz w:val="22"/>
            <w:szCs w:val="22"/>
          </w:rPr>
          <w:delText xml:space="preserve"> den dobbeltblinde </w:delText>
        </w:r>
        <w:r w:rsidR="000F508A">
          <w:rPr>
            <w:sz w:val="22"/>
            <w:szCs w:val="22"/>
          </w:rPr>
          <w:delText>studie</w:delText>
        </w:r>
        <w:r w:rsidRPr="00926F2E">
          <w:rPr>
            <w:sz w:val="22"/>
            <w:szCs w:val="22"/>
          </w:rPr>
          <w:delText>perioden</w:delText>
        </w:r>
        <w:r w:rsidR="004E4933">
          <w:rPr>
            <w:sz w:val="22"/>
            <w:szCs w:val="22"/>
          </w:rPr>
          <w:delText xml:space="preserve"> </w:delText>
        </w:r>
        <w:r>
          <w:rPr>
            <w:sz w:val="22"/>
            <w:szCs w:val="22"/>
          </w:rPr>
          <w:delText>(t</w:delText>
        </w:r>
        <w:r w:rsidRPr="00926F2E">
          <w:rPr>
            <w:sz w:val="22"/>
            <w:szCs w:val="22"/>
          </w:rPr>
          <w:delText xml:space="preserve">abell </w:delText>
        </w:r>
        <w:r w:rsidR="00BB3E88" w:rsidRPr="00926F2E">
          <w:rPr>
            <w:sz w:val="22"/>
            <w:szCs w:val="22"/>
          </w:rPr>
          <w:delText>1</w:delText>
        </w:r>
        <w:r w:rsidR="00BB3E88">
          <w:rPr>
            <w:sz w:val="22"/>
            <w:szCs w:val="22"/>
          </w:rPr>
          <w:delText>4</w:delText>
        </w:r>
        <w:r w:rsidRPr="00926F2E">
          <w:rPr>
            <w:sz w:val="22"/>
            <w:szCs w:val="22"/>
          </w:rPr>
          <w:delText>).</w:delText>
        </w:r>
      </w:del>
    </w:p>
    <w:p w14:paraId="087B4F20" w14:textId="4D72218E" w:rsidR="00A374EC" w:rsidRPr="00926F2E" w:rsidRDefault="00A374EC">
      <w:pPr>
        <w:keepNext/>
        <w:suppressAutoHyphens/>
        <w:rPr>
          <w:del w:id="7953" w:author="AbbVie02no" w:date="2025-05-15T13:45:00Z"/>
          <w:sz w:val="22"/>
          <w:szCs w:val="22"/>
        </w:rPr>
        <w:pPrChange w:id="7954" w:author="AbbVie02no" w:date="2025-05-15T13:45:00Z">
          <w:pPr/>
        </w:pPrChange>
      </w:pPr>
    </w:p>
    <w:p w14:paraId="7D973817" w14:textId="5ECA443E" w:rsidR="00A374EC" w:rsidRPr="005304DA" w:rsidRDefault="00E453CD">
      <w:pPr>
        <w:keepNext/>
        <w:suppressAutoHyphens/>
        <w:rPr>
          <w:del w:id="7955" w:author="AbbVie02no" w:date="2025-05-15T13:45:00Z"/>
          <w:szCs w:val="22"/>
        </w:rPr>
        <w:pPrChange w:id="7956" w:author="AbbVie02no" w:date="2025-05-15T13:45:00Z">
          <w:pPr>
            <w:pStyle w:val="EMEANormal"/>
            <w:keepNext/>
            <w:ind w:left="720"/>
            <w:jc w:val="center"/>
          </w:pPr>
        </w:pPrChange>
      </w:pPr>
      <w:del w:id="7957" w:author="AbbVie02no" w:date="2025-05-15T13:45:00Z">
        <w:r w:rsidRPr="00926F2E">
          <w:rPr>
            <w:b/>
            <w:szCs w:val="22"/>
          </w:rPr>
          <w:delText xml:space="preserve">Tabell </w:delText>
        </w:r>
        <w:r w:rsidR="00BB3E88" w:rsidRPr="00926F2E">
          <w:rPr>
            <w:b/>
            <w:szCs w:val="22"/>
          </w:rPr>
          <w:delText>1</w:delText>
        </w:r>
        <w:r w:rsidR="00BB3E88">
          <w:rPr>
            <w:b/>
            <w:szCs w:val="22"/>
          </w:rPr>
          <w:delText>4</w:delText>
        </w:r>
      </w:del>
    </w:p>
    <w:p w14:paraId="2D4FD6C6" w14:textId="4A521DCA" w:rsidR="00A374EC" w:rsidRPr="005304DA" w:rsidRDefault="00E453CD">
      <w:pPr>
        <w:keepNext/>
        <w:suppressAutoHyphens/>
        <w:rPr>
          <w:del w:id="7958" w:author="AbbVie02no" w:date="2025-05-15T13:45:00Z"/>
          <w:szCs w:val="22"/>
        </w:rPr>
        <w:pPrChange w:id="7959" w:author="AbbVie02no" w:date="2025-05-15T13:45:00Z">
          <w:pPr>
            <w:pStyle w:val="EMEANormal"/>
            <w:keepNext/>
            <w:ind w:left="720"/>
          </w:pPr>
        </w:pPrChange>
      </w:pPr>
      <w:del w:id="7960" w:author="AbbVie02no" w:date="2025-05-15T13:45:00Z">
        <w:r w:rsidRPr="00926F2E">
          <w:rPr>
            <w:b/>
            <w:szCs w:val="22"/>
          </w:rPr>
          <w:delText xml:space="preserve">Effektrespons </w:delText>
        </w:r>
        <w:r>
          <w:rPr>
            <w:b/>
            <w:szCs w:val="22"/>
          </w:rPr>
          <w:delText>i</w:delText>
        </w:r>
        <w:r w:rsidRPr="00926F2E">
          <w:rPr>
            <w:b/>
            <w:szCs w:val="22"/>
          </w:rPr>
          <w:delText xml:space="preserve"> den placebokontrollerte period</w:delText>
        </w:r>
        <w:r>
          <w:rPr>
            <w:b/>
            <w:szCs w:val="22"/>
          </w:rPr>
          <w:delText>en for</w:delText>
        </w:r>
        <w:r w:rsidRPr="00926F2E">
          <w:rPr>
            <w:b/>
            <w:szCs w:val="22"/>
          </w:rPr>
          <w:delText xml:space="preserve"> </w:delText>
        </w:r>
        <w:r>
          <w:rPr>
            <w:b/>
            <w:szCs w:val="22"/>
          </w:rPr>
          <w:delText>s</w:delText>
        </w:r>
        <w:r w:rsidRPr="00926F2E">
          <w:rPr>
            <w:b/>
            <w:szCs w:val="22"/>
          </w:rPr>
          <w:delText>tud</w:delText>
        </w:r>
        <w:r>
          <w:rPr>
            <w:b/>
            <w:szCs w:val="22"/>
          </w:rPr>
          <w:delText>ie</w:delText>
        </w:r>
        <w:r w:rsidRPr="00926F2E">
          <w:rPr>
            <w:b/>
            <w:szCs w:val="22"/>
          </w:rPr>
          <w:delText xml:space="preserve"> nr-axSpA II</w:delText>
        </w:r>
      </w:del>
    </w:p>
    <w:p w14:paraId="6AEF2CB0" w14:textId="4B4DBC4D" w:rsidR="00A374EC" w:rsidRPr="005304DA" w:rsidRDefault="00A374EC">
      <w:pPr>
        <w:keepNext/>
        <w:suppressAutoHyphens/>
        <w:rPr>
          <w:del w:id="7961" w:author="AbbVie02no" w:date="2025-05-15T13:45:00Z"/>
          <w:szCs w:val="22"/>
        </w:rPr>
        <w:pPrChange w:id="7962" w:author="AbbVie02no" w:date="2025-05-15T13:45:00Z">
          <w:pPr>
            <w:pStyle w:val="EMEANormal"/>
            <w:keepNext/>
            <w:ind w:left="720"/>
          </w:pPr>
        </w:pPrChang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4"/>
        <w:gridCol w:w="1681"/>
        <w:gridCol w:w="1820"/>
      </w:tblGrid>
      <w:tr w:rsidR="004644D4" w14:paraId="0A18AC38" w14:textId="55A73D96" w:rsidTr="00B511AB">
        <w:trPr>
          <w:jc w:val="center"/>
          <w:del w:id="7963" w:author="AbbVie02no" w:date="2025-05-15T13:45:00Z"/>
        </w:trPr>
        <w:tc>
          <w:tcPr>
            <w:tcW w:w="3067" w:type="pct"/>
          </w:tcPr>
          <w:p w14:paraId="74925611" w14:textId="5C3D9153" w:rsidR="00A374EC" w:rsidRPr="002C5CDB" w:rsidRDefault="00E453CD">
            <w:pPr>
              <w:keepNext/>
              <w:suppressAutoHyphens/>
              <w:rPr>
                <w:del w:id="7964" w:author="AbbVie02no" w:date="2025-05-15T13:45:00Z"/>
                <w:b/>
                <w:bCs/>
                <w:sz w:val="22"/>
                <w:szCs w:val="22"/>
                <w:rPrChange w:id="7965" w:author="AbbVie05no" w:date="2025-05-19T10:32:00Z">
                  <w:rPr>
                    <w:del w:id="7966" w:author="AbbVie02no" w:date="2025-05-15T13:45:00Z"/>
                    <w:b/>
                    <w:bCs/>
                    <w:sz w:val="22"/>
                    <w:szCs w:val="22"/>
                    <w:lang w:val="en-GB"/>
                  </w:rPr>
                </w:rPrChange>
              </w:rPr>
              <w:pPrChange w:id="7967" w:author="AbbVie02no" w:date="2025-05-15T13:45:00Z">
                <w:pPr>
                  <w:keepNext/>
                </w:pPr>
              </w:pPrChange>
            </w:pPr>
            <w:del w:id="7968" w:author="AbbVie02no" w:date="2025-05-15T13:45:00Z">
              <w:r w:rsidRPr="002C5CDB">
                <w:rPr>
                  <w:b/>
                  <w:bCs/>
                  <w:sz w:val="22"/>
                  <w:szCs w:val="22"/>
                  <w:rPrChange w:id="7969" w:author="AbbVie05no" w:date="2025-05-19T10:32:00Z">
                    <w:rPr>
                      <w:b/>
                      <w:bCs/>
                      <w:sz w:val="22"/>
                      <w:szCs w:val="22"/>
                      <w:lang w:val="en-GB"/>
                    </w:rPr>
                  </w:rPrChange>
                </w:rPr>
                <w:delText>Dobbeltblind</w:delText>
              </w:r>
            </w:del>
          </w:p>
          <w:p w14:paraId="2CFCCD60" w14:textId="7BEA8DF3" w:rsidR="00A374EC" w:rsidRPr="002C5CDB" w:rsidRDefault="00E453CD">
            <w:pPr>
              <w:keepNext/>
              <w:suppressAutoHyphens/>
              <w:rPr>
                <w:del w:id="7970" w:author="AbbVie02no" w:date="2025-05-15T13:45:00Z"/>
                <w:b/>
                <w:bCs/>
                <w:sz w:val="22"/>
                <w:szCs w:val="22"/>
                <w:rPrChange w:id="7971" w:author="AbbVie05no" w:date="2025-05-19T10:32:00Z">
                  <w:rPr>
                    <w:del w:id="7972" w:author="AbbVie02no" w:date="2025-05-15T13:45:00Z"/>
                    <w:b/>
                    <w:bCs/>
                    <w:sz w:val="22"/>
                    <w:szCs w:val="22"/>
                    <w:lang w:val="en-GB"/>
                  </w:rPr>
                </w:rPrChange>
              </w:rPr>
              <w:pPrChange w:id="7973" w:author="AbbVie02no" w:date="2025-05-15T13:45:00Z">
                <w:pPr>
                  <w:keepNext/>
                </w:pPr>
              </w:pPrChange>
            </w:pPr>
            <w:del w:id="7974" w:author="AbbVie02no" w:date="2025-05-15T13:45:00Z">
              <w:r w:rsidRPr="002C5CDB">
                <w:rPr>
                  <w:b/>
                  <w:bCs/>
                  <w:sz w:val="22"/>
                  <w:szCs w:val="22"/>
                  <w:rPrChange w:id="7975" w:author="AbbVie05no" w:date="2025-05-19T10:32:00Z">
                    <w:rPr>
                      <w:b/>
                      <w:bCs/>
                      <w:sz w:val="22"/>
                      <w:szCs w:val="22"/>
                      <w:lang w:val="en-GB"/>
                    </w:rPr>
                  </w:rPrChange>
                </w:rPr>
                <w:delText>Respons ved uke 68</w:delText>
              </w:r>
            </w:del>
          </w:p>
        </w:tc>
        <w:tc>
          <w:tcPr>
            <w:tcW w:w="928" w:type="pct"/>
          </w:tcPr>
          <w:p w14:paraId="795FB7CF" w14:textId="7C04A0ED" w:rsidR="00A374EC" w:rsidRPr="00926F2E" w:rsidRDefault="00E453CD">
            <w:pPr>
              <w:keepNext/>
              <w:suppressAutoHyphens/>
              <w:rPr>
                <w:del w:id="7976" w:author="AbbVie02no" w:date="2025-05-15T13:45:00Z"/>
                <w:b/>
                <w:bCs/>
                <w:sz w:val="22"/>
                <w:szCs w:val="22"/>
                <w:lang w:val="fr-FR"/>
              </w:rPr>
              <w:pPrChange w:id="7977" w:author="AbbVie02no" w:date="2025-05-15T13:45:00Z">
                <w:pPr>
                  <w:keepNext/>
                  <w:jc w:val="center"/>
                </w:pPr>
              </w:pPrChange>
            </w:pPr>
            <w:del w:id="7978" w:author="AbbVie02no" w:date="2025-05-15T13:45:00Z">
              <w:r w:rsidRPr="00926F2E">
                <w:rPr>
                  <w:b/>
                  <w:bCs/>
                  <w:sz w:val="22"/>
                  <w:szCs w:val="22"/>
                  <w:lang w:val="fr-FR"/>
                </w:rPr>
                <w:delText>Placebo</w:delText>
              </w:r>
            </w:del>
          </w:p>
          <w:p w14:paraId="681B7B87" w14:textId="5615521E" w:rsidR="00A374EC" w:rsidRPr="00926F2E" w:rsidRDefault="00E453CD">
            <w:pPr>
              <w:keepNext/>
              <w:suppressAutoHyphens/>
              <w:rPr>
                <w:del w:id="7979" w:author="AbbVie02no" w:date="2025-05-15T13:45:00Z"/>
                <w:b/>
                <w:bCs/>
                <w:sz w:val="22"/>
                <w:szCs w:val="22"/>
                <w:lang w:val="fr-FR"/>
              </w:rPr>
              <w:pPrChange w:id="7980" w:author="AbbVie02no" w:date="2025-05-15T13:45:00Z">
                <w:pPr>
                  <w:keepNext/>
                  <w:jc w:val="center"/>
                </w:pPr>
              </w:pPrChange>
            </w:pPr>
            <w:del w:id="7981" w:author="AbbVie02no" w:date="2025-05-15T13:45:00Z">
              <w:r w:rsidRPr="00926F2E">
                <w:rPr>
                  <w:b/>
                  <w:bCs/>
                  <w:sz w:val="22"/>
                  <w:szCs w:val="22"/>
                  <w:lang w:val="fr-FR"/>
                </w:rPr>
                <w:delText>N=153</w:delText>
              </w:r>
            </w:del>
          </w:p>
        </w:tc>
        <w:tc>
          <w:tcPr>
            <w:tcW w:w="1005" w:type="pct"/>
          </w:tcPr>
          <w:p w14:paraId="015EE9A6" w14:textId="0A14AD10" w:rsidR="00A374EC" w:rsidRPr="00926F2E" w:rsidRDefault="00E453CD">
            <w:pPr>
              <w:keepNext/>
              <w:suppressAutoHyphens/>
              <w:rPr>
                <w:del w:id="7982" w:author="AbbVie02no" w:date="2025-05-15T13:45:00Z"/>
                <w:b/>
                <w:bCs/>
                <w:sz w:val="22"/>
                <w:szCs w:val="22"/>
                <w:lang w:val="fr-FR"/>
              </w:rPr>
              <w:pPrChange w:id="7983" w:author="AbbVie02no" w:date="2025-05-15T13:45:00Z">
                <w:pPr>
                  <w:keepNext/>
                  <w:jc w:val="center"/>
                </w:pPr>
              </w:pPrChange>
            </w:pPr>
            <w:del w:id="7984" w:author="AbbVie02no" w:date="2025-05-15T13:45:00Z">
              <w:r w:rsidRPr="00926F2E">
                <w:rPr>
                  <w:b/>
                  <w:bCs/>
                  <w:sz w:val="22"/>
                  <w:szCs w:val="22"/>
                  <w:lang w:val="fr-FR"/>
                </w:rPr>
                <w:delText>Humira</w:delText>
              </w:r>
            </w:del>
          </w:p>
          <w:p w14:paraId="31364598" w14:textId="6E97EE8B" w:rsidR="00A374EC" w:rsidRPr="00926F2E" w:rsidRDefault="00E453CD">
            <w:pPr>
              <w:keepNext/>
              <w:suppressAutoHyphens/>
              <w:rPr>
                <w:del w:id="7985" w:author="AbbVie02no" w:date="2025-05-15T13:45:00Z"/>
                <w:b/>
                <w:bCs/>
                <w:sz w:val="22"/>
                <w:szCs w:val="22"/>
                <w:lang w:val="fr-FR"/>
              </w:rPr>
              <w:pPrChange w:id="7986" w:author="AbbVie02no" w:date="2025-05-15T13:45:00Z">
                <w:pPr>
                  <w:keepNext/>
                  <w:jc w:val="center"/>
                </w:pPr>
              </w:pPrChange>
            </w:pPr>
            <w:del w:id="7987" w:author="AbbVie02no" w:date="2025-05-15T13:45:00Z">
              <w:r w:rsidRPr="002C5CDB">
                <w:rPr>
                  <w:b/>
                  <w:bCs/>
                  <w:sz w:val="22"/>
                  <w:szCs w:val="22"/>
                  <w:rPrChange w:id="7988" w:author="AbbVie05no" w:date="2025-05-19T10:32:00Z">
                    <w:rPr>
                      <w:b/>
                      <w:bCs/>
                      <w:sz w:val="22"/>
                      <w:szCs w:val="22"/>
                      <w:lang w:val="en-GB"/>
                    </w:rPr>
                  </w:rPrChange>
                </w:rPr>
                <w:delText>N=152</w:delText>
              </w:r>
            </w:del>
          </w:p>
        </w:tc>
      </w:tr>
      <w:tr w:rsidR="004644D4" w14:paraId="34C67E18" w14:textId="362AEDDE" w:rsidTr="00B511AB">
        <w:trPr>
          <w:jc w:val="center"/>
          <w:del w:id="7989" w:author="AbbVie02no" w:date="2025-05-15T13:45:00Z"/>
        </w:trPr>
        <w:tc>
          <w:tcPr>
            <w:tcW w:w="3067" w:type="pct"/>
          </w:tcPr>
          <w:p w14:paraId="6F9390B5" w14:textId="4CE31656" w:rsidR="00A374EC" w:rsidRPr="002C5CDB" w:rsidRDefault="00E453CD">
            <w:pPr>
              <w:keepNext/>
              <w:suppressAutoHyphens/>
              <w:rPr>
                <w:del w:id="7990" w:author="AbbVie02no" w:date="2025-05-15T13:45:00Z"/>
                <w:sz w:val="22"/>
                <w:szCs w:val="22"/>
                <w:rPrChange w:id="7991" w:author="AbbVie05no" w:date="2025-05-19T10:32:00Z">
                  <w:rPr>
                    <w:del w:id="7992" w:author="AbbVie02no" w:date="2025-05-15T13:45:00Z"/>
                    <w:sz w:val="22"/>
                    <w:szCs w:val="22"/>
                    <w:lang w:val="en-GB"/>
                  </w:rPr>
                </w:rPrChange>
              </w:rPr>
              <w:pPrChange w:id="7993" w:author="AbbVie02no" w:date="2025-05-15T13:45:00Z">
                <w:pPr>
                  <w:keepNext/>
                </w:pPr>
              </w:pPrChange>
            </w:pPr>
            <w:del w:id="7994" w:author="AbbVie02no" w:date="2025-05-15T13:45:00Z">
              <w:r w:rsidRPr="002C5CDB">
                <w:rPr>
                  <w:sz w:val="22"/>
                  <w:szCs w:val="22"/>
                  <w:rPrChange w:id="7995" w:author="AbbVie05no" w:date="2025-05-19T10:32:00Z">
                    <w:rPr>
                      <w:sz w:val="22"/>
                      <w:szCs w:val="22"/>
                      <w:lang w:val="en-GB"/>
                    </w:rPr>
                  </w:rPrChange>
                </w:rPr>
                <w:delText>ASAS</w:delText>
              </w:r>
              <w:r w:rsidRPr="002C5CDB">
                <w:rPr>
                  <w:sz w:val="22"/>
                  <w:szCs w:val="22"/>
                  <w:vertAlign w:val="superscript"/>
                  <w:rPrChange w:id="7996" w:author="AbbVie05no" w:date="2025-05-19T10:32:00Z">
                    <w:rPr>
                      <w:sz w:val="22"/>
                      <w:szCs w:val="22"/>
                      <w:vertAlign w:val="superscript"/>
                      <w:lang w:val="en-GB"/>
                    </w:rPr>
                  </w:rPrChange>
                </w:rPr>
                <w:delText>a,b</w:delText>
              </w:r>
              <w:r w:rsidRPr="002C5CDB">
                <w:rPr>
                  <w:sz w:val="22"/>
                  <w:szCs w:val="22"/>
                  <w:rPrChange w:id="7997" w:author="AbbVie05no" w:date="2025-05-19T10:32:00Z">
                    <w:rPr>
                      <w:sz w:val="22"/>
                      <w:szCs w:val="22"/>
                      <w:lang w:val="en-GB"/>
                    </w:rPr>
                  </w:rPrChange>
                </w:rPr>
                <w:delText xml:space="preserve"> 20</w:delText>
              </w:r>
            </w:del>
          </w:p>
        </w:tc>
        <w:tc>
          <w:tcPr>
            <w:tcW w:w="928" w:type="pct"/>
          </w:tcPr>
          <w:p w14:paraId="0B236655" w14:textId="313E91CA" w:rsidR="00A374EC" w:rsidRPr="002C5CDB" w:rsidRDefault="00E453CD">
            <w:pPr>
              <w:keepNext/>
              <w:suppressAutoHyphens/>
              <w:rPr>
                <w:del w:id="7998" w:author="AbbVie02no" w:date="2025-05-15T13:45:00Z"/>
                <w:sz w:val="22"/>
                <w:szCs w:val="22"/>
                <w:rPrChange w:id="7999" w:author="AbbVie05no" w:date="2025-05-19T10:32:00Z">
                  <w:rPr>
                    <w:del w:id="8000" w:author="AbbVie02no" w:date="2025-05-15T13:45:00Z"/>
                    <w:sz w:val="22"/>
                    <w:szCs w:val="22"/>
                    <w:lang w:val="en-GB"/>
                  </w:rPr>
                </w:rPrChange>
              </w:rPr>
              <w:pPrChange w:id="8001" w:author="AbbVie02no" w:date="2025-05-15T13:45:00Z">
                <w:pPr>
                  <w:keepNext/>
                  <w:jc w:val="center"/>
                </w:pPr>
              </w:pPrChange>
            </w:pPr>
            <w:del w:id="8002" w:author="AbbVie02no" w:date="2025-05-15T13:45:00Z">
              <w:r w:rsidRPr="002C5CDB">
                <w:rPr>
                  <w:sz w:val="22"/>
                  <w:szCs w:val="22"/>
                  <w:rPrChange w:id="8003" w:author="AbbVie05no" w:date="2025-05-19T10:32:00Z">
                    <w:rPr>
                      <w:sz w:val="22"/>
                      <w:szCs w:val="22"/>
                      <w:lang w:val="en-GB"/>
                    </w:rPr>
                  </w:rPrChange>
                </w:rPr>
                <w:delText>47,1</w:delText>
              </w:r>
              <w:r w:rsidR="000E50C9" w:rsidRPr="002C5CDB">
                <w:rPr>
                  <w:sz w:val="22"/>
                  <w:szCs w:val="22"/>
                  <w:rPrChange w:id="8004" w:author="AbbVie05no" w:date="2025-05-19T10:32:00Z">
                    <w:rPr>
                      <w:sz w:val="22"/>
                      <w:szCs w:val="22"/>
                      <w:lang w:val="en-GB"/>
                    </w:rPr>
                  </w:rPrChange>
                </w:rPr>
                <w:delText> </w:delText>
              </w:r>
              <w:r w:rsidRPr="002C5CDB">
                <w:rPr>
                  <w:sz w:val="22"/>
                  <w:szCs w:val="22"/>
                  <w:rPrChange w:id="8005" w:author="AbbVie05no" w:date="2025-05-19T10:32:00Z">
                    <w:rPr>
                      <w:sz w:val="22"/>
                      <w:szCs w:val="22"/>
                      <w:lang w:val="en-GB"/>
                    </w:rPr>
                  </w:rPrChange>
                </w:rPr>
                <w:delText>%</w:delText>
              </w:r>
            </w:del>
          </w:p>
        </w:tc>
        <w:tc>
          <w:tcPr>
            <w:tcW w:w="1005" w:type="pct"/>
          </w:tcPr>
          <w:p w14:paraId="68197C68" w14:textId="271044C4" w:rsidR="00A374EC" w:rsidRPr="002C5CDB" w:rsidRDefault="00E453CD">
            <w:pPr>
              <w:keepNext/>
              <w:suppressAutoHyphens/>
              <w:rPr>
                <w:del w:id="8006" w:author="AbbVie02no" w:date="2025-05-15T13:45:00Z"/>
                <w:sz w:val="22"/>
                <w:szCs w:val="22"/>
                <w:rPrChange w:id="8007" w:author="AbbVie05no" w:date="2025-05-19T10:32:00Z">
                  <w:rPr>
                    <w:del w:id="8008" w:author="AbbVie02no" w:date="2025-05-15T13:45:00Z"/>
                    <w:sz w:val="22"/>
                    <w:szCs w:val="22"/>
                    <w:lang w:val="en-GB"/>
                  </w:rPr>
                </w:rPrChange>
              </w:rPr>
              <w:pPrChange w:id="8009" w:author="AbbVie02no" w:date="2025-05-15T13:45:00Z">
                <w:pPr>
                  <w:keepNext/>
                  <w:jc w:val="center"/>
                </w:pPr>
              </w:pPrChange>
            </w:pPr>
            <w:del w:id="8010" w:author="AbbVie02no" w:date="2025-05-15T13:45:00Z">
              <w:r w:rsidRPr="002C5CDB">
                <w:rPr>
                  <w:sz w:val="22"/>
                  <w:szCs w:val="22"/>
                  <w:rPrChange w:id="8011" w:author="AbbVie05no" w:date="2025-05-19T10:32:00Z">
                    <w:rPr>
                      <w:sz w:val="22"/>
                      <w:szCs w:val="22"/>
                      <w:lang w:val="en-GB"/>
                    </w:rPr>
                  </w:rPrChange>
                </w:rPr>
                <w:delText>70,4 %***</w:delText>
              </w:r>
            </w:del>
          </w:p>
        </w:tc>
      </w:tr>
      <w:tr w:rsidR="004644D4" w14:paraId="1837F7B0" w14:textId="6DBD8CA6" w:rsidTr="00B511AB">
        <w:trPr>
          <w:jc w:val="center"/>
          <w:del w:id="8012" w:author="AbbVie02no" w:date="2025-05-15T13:45:00Z"/>
        </w:trPr>
        <w:tc>
          <w:tcPr>
            <w:tcW w:w="3067" w:type="pct"/>
          </w:tcPr>
          <w:p w14:paraId="3DE0302B" w14:textId="168882BD" w:rsidR="00A374EC" w:rsidRPr="002C5CDB" w:rsidRDefault="00E453CD">
            <w:pPr>
              <w:keepNext/>
              <w:suppressAutoHyphens/>
              <w:rPr>
                <w:del w:id="8013" w:author="AbbVie02no" w:date="2025-05-15T13:45:00Z"/>
                <w:sz w:val="22"/>
                <w:szCs w:val="22"/>
                <w:rPrChange w:id="8014" w:author="AbbVie05no" w:date="2025-05-19T10:32:00Z">
                  <w:rPr>
                    <w:del w:id="8015" w:author="AbbVie02no" w:date="2025-05-15T13:45:00Z"/>
                    <w:sz w:val="22"/>
                    <w:szCs w:val="22"/>
                    <w:lang w:val="en-GB"/>
                  </w:rPr>
                </w:rPrChange>
              </w:rPr>
              <w:pPrChange w:id="8016" w:author="AbbVie02no" w:date="2025-05-15T13:45:00Z">
                <w:pPr>
                  <w:keepNext/>
                </w:pPr>
              </w:pPrChange>
            </w:pPr>
            <w:del w:id="8017" w:author="AbbVie02no" w:date="2025-05-15T13:45:00Z">
              <w:r w:rsidRPr="002C5CDB">
                <w:rPr>
                  <w:sz w:val="22"/>
                  <w:szCs w:val="22"/>
                  <w:rPrChange w:id="8018" w:author="AbbVie05no" w:date="2025-05-19T10:32:00Z">
                    <w:rPr>
                      <w:sz w:val="22"/>
                      <w:szCs w:val="22"/>
                      <w:lang w:val="en-GB"/>
                    </w:rPr>
                  </w:rPrChange>
                </w:rPr>
                <w:delText>ASAS</w:delText>
              </w:r>
              <w:r w:rsidRPr="002C5CDB">
                <w:rPr>
                  <w:sz w:val="22"/>
                  <w:szCs w:val="22"/>
                  <w:vertAlign w:val="superscript"/>
                  <w:rPrChange w:id="8019" w:author="AbbVie05no" w:date="2025-05-19T10:32:00Z">
                    <w:rPr>
                      <w:sz w:val="22"/>
                      <w:szCs w:val="22"/>
                      <w:vertAlign w:val="superscript"/>
                      <w:lang w:val="en-GB"/>
                    </w:rPr>
                  </w:rPrChange>
                </w:rPr>
                <w:delText>a,b</w:delText>
              </w:r>
              <w:r w:rsidRPr="002C5CDB">
                <w:rPr>
                  <w:sz w:val="22"/>
                  <w:szCs w:val="22"/>
                  <w:rPrChange w:id="8020" w:author="AbbVie05no" w:date="2025-05-19T10:32:00Z">
                    <w:rPr>
                      <w:sz w:val="22"/>
                      <w:szCs w:val="22"/>
                      <w:lang w:val="en-GB"/>
                    </w:rPr>
                  </w:rPrChange>
                </w:rPr>
                <w:delText xml:space="preserve"> 40</w:delText>
              </w:r>
            </w:del>
          </w:p>
        </w:tc>
        <w:tc>
          <w:tcPr>
            <w:tcW w:w="928" w:type="pct"/>
          </w:tcPr>
          <w:p w14:paraId="5CA4A61B" w14:textId="203F1304" w:rsidR="00A374EC" w:rsidRPr="002C5CDB" w:rsidRDefault="00E453CD">
            <w:pPr>
              <w:keepNext/>
              <w:suppressAutoHyphens/>
              <w:rPr>
                <w:del w:id="8021" w:author="AbbVie02no" w:date="2025-05-15T13:45:00Z"/>
                <w:sz w:val="22"/>
                <w:szCs w:val="22"/>
                <w:rPrChange w:id="8022" w:author="AbbVie05no" w:date="2025-05-19T10:32:00Z">
                  <w:rPr>
                    <w:del w:id="8023" w:author="AbbVie02no" w:date="2025-05-15T13:45:00Z"/>
                    <w:sz w:val="22"/>
                    <w:szCs w:val="22"/>
                    <w:lang w:val="en-GB"/>
                  </w:rPr>
                </w:rPrChange>
              </w:rPr>
              <w:pPrChange w:id="8024" w:author="AbbVie02no" w:date="2025-05-15T13:45:00Z">
                <w:pPr>
                  <w:keepNext/>
                  <w:jc w:val="center"/>
                </w:pPr>
              </w:pPrChange>
            </w:pPr>
            <w:del w:id="8025" w:author="AbbVie02no" w:date="2025-05-15T13:45:00Z">
              <w:r w:rsidRPr="002C5CDB">
                <w:rPr>
                  <w:sz w:val="22"/>
                  <w:szCs w:val="22"/>
                  <w:rPrChange w:id="8026" w:author="AbbVie05no" w:date="2025-05-19T10:32:00Z">
                    <w:rPr>
                      <w:sz w:val="22"/>
                      <w:szCs w:val="22"/>
                      <w:lang w:val="en-GB"/>
                    </w:rPr>
                  </w:rPrChange>
                </w:rPr>
                <w:delText>45,8 %</w:delText>
              </w:r>
            </w:del>
          </w:p>
        </w:tc>
        <w:tc>
          <w:tcPr>
            <w:tcW w:w="1005" w:type="pct"/>
          </w:tcPr>
          <w:p w14:paraId="33853466" w14:textId="21C3C086" w:rsidR="00A374EC" w:rsidRPr="002C5CDB" w:rsidRDefault="00E453CD">
            <w:pPr>
              <w:keepNext/>
              <w:suppressAutoHyphens/>
              <w:rPr>
                <w:del w:id="8027" w:author="AbbVie02no" w:date="2025-05-15T13:45:00Z"/>
                <w:sz w:val="22"/>
                <w:szCs w:val="22"/>
                <w:rPrChange w:id="8028" w:author="AbbVie05no" w:date="2025-05-19T10:32:00Z">
                  <w:rPr>
                    <w:del w:id="8029" w:author="AbbVie02no" w:date="2025-05-15T13:45:00Z"/>
                    <w:sz w:val="22"/>
                    <w:szCs w:val="22"/>
                    <w:lang w:val="en-GB"/>
                  </w:rPr>
                </w:rPrChange>
              </w:rPr>
              <w:pPrChange w:id="8030" w:author="AbbVie02no" w:date="2025-05-15T13:45:00Z">
                <w:pPr>
                  <w:keepNext/>
                  <w:jc w:val="center"/>
                </w:pPr>
              </w:pPrChange>
            </w:pPr>
            <w:del w:id="8031" w:author="AbbVie02no" w:date="2025-05-15T13:45:00Z">
              <w:r w:rsidRPr="002C5CDB">
                <w:rPr>
                  <w:sz w:val="22"/>
                  <w:szCs w:val="22"/>
                  <w:rPrChange w:id="8032" w:author="AbbVie05no" w:date="2025-05-19T10:32:00Z">
                    <w:rPr>
                      <w:sz w:val="22"/>
                      <w:szCs w:val="22"/>
                      <w:lang w:val="en-GB"/>
                    </w:rPr>
                  </w:rPrChange>
                </w:rPr>
                <w:delText>65,8 %***</w:delText>
              </w:r>
            </w:del>
          </w:p>
        </w:tc>
      </w:tr>
      <w:tr w:rsidR="004644D4" w14:paraId="766D4ABF" w14:textId="3DA73AA6" w:rsidTr="00B511AB">
        <w:trPr>
          <w:jc w:val="center"/>
          <w:del w:id="8033" w:author="AbbVie02no" w:date="2025-05-15T13:45:00Z"/>
        </w:trPr>
        <w:tc>
          <w:tcPr>
            <w:tcW w:w="3067" w:type="pct"/>
          </w:tcPr>
          <w:p w14:paraId="3625CB1E" w14:textId="5790B0E7" w:rsidR="00A374EC" w:rsidRPr="002C5CDB" w:rsidRDefault="00E453CD">
            <w:pPr>
              <w:keepNext/>
              <w:suppressAutoHyphens/>
              <w:rPr>
                <w:del w:id="8034" w:author="AbbVie02no" w:date="2025-05-15T13:45:00Z"/>
                <w:sz w:val="22"/>
                <w:szCs w:val="22"/>
                <w:rPrChange w:id="8035" w:author="AbbVie05no" w:date="2025-05-19T10:32:00Z">
                  <w:rPr>
                    <w:del w:id="8036" w:author="AbbVie02no" w:date="2025-05-15T13:45:00Z"/>
                    <w:sz w:val="22"/>
                    <w:szCs w:val="22"/>
                    <w:lang w:val="en-GB"/>
                  </w:rPr>
                </w:rPrChange>
              </w:rPr>
              <w:pPrChange w:id="8037" w:author="AbbVie02no" w:date="2025-05-15T13:45:00Z">
                <w:pPr>
                  <w:keepNext/>
                </w:pPr>
              </w:pPrChange>
            </w:pPr>
            <w:del w:id="8038" w:author="AbbVie02no" w:date="2025-05-15T13:45:00Z">
              <w:r w:rsidRPr="002C5CDB">
                <w:rPr>
                  <w:sz w:val="22"/>
                  <w:szCs w:val="22"/>
                  <w:rPrChange w:id="8039" w:author="AbbVie05no" w:date="2025-05-19T10:32:00Z">
                    <w:rPr>
                      <w:sz w:val="22"/>
                      <w:szCs w:val="22"/>
                      <w:lang w:val="en-GB"/>
                    </w:rPr>
                  </w:rPrChange>
                </w:rPr>
                <w:delText>ASAS</w:delText>
              </w:r>
              <w:r w:rsidRPr="002C5CDB">
                <w:rPr>
                  <w:sz w:val="22"/>
                  <w:szCs w:val="22"/>
                  <w:vertAlign w:val="superscript"/>
                  <w:rPrChange w:id="8040" w:author="AbbVie05no" w:date="2025-05-19T10:32:00Z">
                    <w:rPr>
                      <w:sz w:val="22"/>
                      <w:szCs w:val="22"/>
                      <w:vertAlign w:val="superscript"/>
                      <w:lang w:val="en-GB"/>
                    </w:rPr>
                  </w:rPrChange>
                </w:rPr>
                <w:delText>a</w:delText>
              </w:r>
              <w:r w:rsidRPr="002C5CDB">
                <w:rPr>
                  <w:sz w:val="22"/>
                  <w:szCs w:val="22"/>
                  <w:rPrChange w:id="8041" w:author="AbbVie05no" w:date="2025-05-19T10:32:00Z">
                    <w:rPr>
                      <w:sz w:val="22"/>
                      <w:szCs w:val="22"/>
                      <w:lang w:val="en-GB"/>
                    </w:rPr>
                  </w:rPrChange>
                </w:rPr>
                <w:delText xml:space="preserve"> </w:delText>
              </w:r>
              <w:r w:rsidR="006A155B" w:rsidRPr="002C5CDB">
                <w:rPr>
                  <w:sz w:val="22"/>
                  <w:szCs w:val="22"/>
                  <w:rPrChange w:id="8042" w:author="AbbVie05no" w:date="2025-05-19T10:32:00Z">
                    <w:rPr>
                      <w:sz w:val="22"/>
                      <w:szCs w:val="22"/>
                      <w:lang w:val="en-GB"/>
                    </w:rPr>
                  </w:rPrChange>
                </w:rPr>
                <w:delText>delvis remisjon</w:delText>
              </w:r>
            </w:del>
          </w:p>
        </w:tc>
        <w:tc>
          <w:tcPr>
            <w:tcW w:w="928" w:type="pct"/>
          </w:tcPr>
          <w:p w14:paraId="62EE0FDE" w14:textId="6087061D" w:rsidR="00A374EC" w:rsidRPr="002C5CDB" w:rsidRDefault="00E453CD">
            <w:pPr>
              <w:keepNext/>
              <w:suppressAutoHyphens/>
              <w:rPr>
                <w:del w:id="8043" w:author="AbbVie02no" w:date="2025-05-15T13:45:00Z"/>
                <w:sz w:val="22"/>
                <w:szCs w:val="22"/>
                <w:rPrChange w:id="8044" w:author="AbbVie05no" w:date="2025-05-19T10:32:00Z">
                  <w:rPr>
                    <w:del w:id="8045" w:author="AbbVie02no" w:date="2025-05-15T13:45:00Z"/>
                    <w:sz w:val="22"/>
                    <w:szCs w:val="22"/>
                    <w:lang w:val="en-GB"/>
                  </w:rPr>
                </w:rPrChange>
              </w:rPr>
              <w:pPrChange w:id="8046" w:author="AbbVie02no" w:date="2025-05-15T13:45:00Z">
                <w:pPr>
                  <w:keepNext/>
                  <w:jc w:val="center"/>
                </w:pPr>
              </w:pPrChange>
            </w:pPr>
            <w:del w:id="8047" w:author="AbbVie02no" w:date="2025-05-15T13:45:00Z">
              <w:r w:rsidRPr="002C5CDB">
                <w:rPr>
                  <w:sz w:val="22"/>
                  <w:szCs w:val="22"/>
                  <w:rPrChange w:id="8048" w:author="AbbVie05no" w:date="2025-05-19T10:32:00Z">
                    <w:rPr>
                      <w:sz w:val="22"/>
                      <w:szCs w:val="22"/>
                      <w:lang w:val="en-GB"/>
                    </w:rPr>
                  </w:rPrChange>
                </w:rPr>
                <w:delText>26,8 %</w:delText>
              </w:r>
            </w:del>
          </w:p>
        </w:tc>
        <w:tc>
          <w:tcPr>
            <w:tcW w:w="1005" w:type="pct"/>
          </w:tcPr>
          <w:p w14:paraId="61E3ACE9" w14:textId="09989560" w:rsidR="00A374EC" w:rsidRPr="002C5CDB" w:rsidRDefault="00E453CD">
            <w:pPr>
              <w:keepNext/>
              <w:suppressAutoHyphens/>
              <w:rPr>
                <w:del w:id="8049" w:author="AbbVie02no" w:date="2025-05-15T13:45:00Z"/>
                <w:sz w:val="22"/>
                <w:szCs w:val="22"/>
                <w:rPrChange w:id="8050" w:author="AbbVie05no" w:date="2025-05-19T10:32:00Z">
                  <w:rPr>
                    <w:del w:id="8051" w:author="AbbVie02no" w:date="2025-05-15T13:45:00Z"/>
                    <w:sz w:val="22"/>
                    <w:szCs w:val="22"/>
                    <w:lang w:val="en-GB"/>
                  </w:rPr>
                </w:rPrChange>
              </w:rPr>
              <w:pPrChange w:id="8052" w:author="AbbVie02no" w:date="2025-05-15T13:45:00Z">
                <w:pPr>
                  <w:keepNext/>
                  <w:jc w:val="center"/>
                </w:pPr>
              </w:pPrChange>
            </w:pPr>
            <w:del w:id="8053" w:author="AbbVie02no" w:date="2025-05-15T13:45:00Z">
              <w:r w:rsidRPr="002C5CDB">
                <w:rPr>
                  <w:sz w:val="22"/>
                  <w:szCs w:val="22"/>
                  <w:rPrChange w:id="8054" w:author="AbbVie05no" w:date="2025-05-19T10:32:00Z">
                    <w:rPr>
                      <w:sz w:val="22"/>
                      <w:szCs w:val="22"/>
                      <w:lang w:val="en-GB"/>
                    </w:rPr>
                  </w:rPrChange>
                </w:rPr>
                <w:delText>42,1 %**</w:delText>
              </w:r>
            </w:del>
          </w:p>
        </w:tc>
      </w:tr>
      <w:tr w:rsidR="004644D4" w14:paraId="2C518360" w14:textId="442FC140" w:rsidTr="00926F2E">
        <w:trPr>
          <w:jc w:val="center"/>
          <w:del w:id="8055" w:author="AbbVie02no" w:date="2025-05-15T13:45:00Z"/>
        </w:trPr>
        <w:tc>
          <w:tcPr>
            <w:tcW w:w="3067" w:type="pct"/>
            <w:tcBorders>
              <w:bottom w:val="single" w:sz="4" w:space="0" w:color="auto"/>
            </w:tcBorders>
          </w:tcPr>
          <w:p w14:paraId="59D97500" w14:textId="6902B968" w:rsidR="00A374EC" w:rsidRPr="002C5CDB" w:rsidRDefault="00E453CD">
            <w:pPr>
              <w:keepNext/>
              <w:suppressAutoHyphens/>
              <w:rPr>
                <w:del w:id="8056" w:author="AbbVie02no" w:date="2025-05-15T13:45:00Z"/>
                <w:sz w:val="22"/>
                <w:szCs w:val="22"/>
                <w:rPrChange w:id="8057" w:author="AbbVie05no" w:date="2025-05-19T10:32:00Z">
                  <w:rPr>
                    <w:del w:id="8058" w:author="AbbVie02no" w:date="2025-05-15T13:45:00Z"/>
                    <w:sz w:val="22"/>
                    <w:szCs w:val="22"/>
                    <w:lang w:val="en-GB"/>
                  </w:rPr>
                </w:rPrChange>
              </w:rPr>
              <w:pPrChange w:id="8059" w:author="AbbVie02no" w:date="2025-05-15T13:45:00Z">
                <w:pPr>
                  <w:keepNext/>
                </w:pPr>
              </w:pPrChange>
            </w:pPr>
            <w:del w:id="8060" w:author="AbbVie02no" w:date="2025-05-15T13:45:00Z">
              <w:r w:rsidRPr="002C5CDB">
                <w:rPr>
                  <w:sz w:val="22"/>
                  <w:szCs w:val="22"/>
                  <w:rPrChange w:id="8061" w:author="AbbVie05no" w:date="2025-05-19T10:32:00Z">
                    <w:rPr>
                      <w:sz w:val="22"/>
                      <w:szCs w:val="22"/>
                      <w:lang w:val="en-GB"/>
                    </w:rPr>
                  </w:rPrChange>
                </w:rPr>
                <w:delText>ASDAS</w:delText>
              </w:r>
              <w:r w:rsidRPr="002C5CDB">
                <w:rPr>
                  <w:sz w:val="22"/>
                  <w:szCs w:val="22"/>
                  <w:vertAlign w:val="superscript"/>
                  <w:rPrChange w:id="8062" w:author="AbbVie05no" w:date="2025-05-19T10:32:00Z">
                    <w:rPr>
                      <w:sz w:val="22"/>
                      <w:szCs w:val="22"/>
                      <w:vertAlign w:val="superscript"/>
                      <w:lang w:val="en-GB"/>
                    </w:rPr>
                  </w:rPrChange>
                </w:rPr>
                <w:delText>c</w:delText>
              </w:r>
              <w:r w:rsidR="006A155B" w:rsidRPr="002C5CDB">
                <w:rPr>
                  <w:sz w:val="22"/>
                  <w:szCs w:val="22"/>
                  <w:rPrChange w:id="8063" w:author="AbbVie05no" w:date="2025-05-19T10:32:00Z">
                    <w:rPr>
                      <w:sz w:val="22"/>
                      <w:szCs w:val="22"/>
                      <w:lang w:val="en-GB"/>
                    </w:rPr>
                  </w:rPrChange>
                </w:rPr>
                <w:delText>inaktiv sykdom</w:delText>
              </w:r>
            </w:del>
          </w:p>
        </w:tc>
        <w:tc>
          <w:tcPr>
            <w:tcW w:w="928" w:type="pct"/>
            <w:tcBorders>
              <w:bottom w:val="single" w:sz="4" w:space="0" w:color="auto"/>
            </w:tcBorders>
          </w:tcPr>
          <w:p w14:paraId="066A6555" w14:textId="29C6F08B" w:rsidR="00A374EC" w:rsidRPr="002C5CDB" w:rsidRDefault="00E453CD">
            <w:pPr>
              <w:keepNext/>
              <w:suppressAutoHyphens/>
              <w:rPr>
                <w:del w:id="8064" w:author="AbbVie02no" w:date="2025-05-15T13:45:00Z"/>
                <w:sz w:val="22"/>
                <w:szCs w:val="22"/>
                <w:rPrChange w:id="8065" w:author="AbbVie05no" w:date="2025-05-19T10:32:00Z">
                  <w:rPr>
                    <w:del w:id="8066" w:author="AbbVie02no" w:date="2025-05-15T13:45:00Z"/>
                    <w:sz w:val="22"/>
                    <w:szCs w:val="22"/>
                    <w:lang w:val="en-GB"/>
                  </w:rPr>
                </w:rPrChange>
              </w:rPr>
              <w:pPrChange w:id="8067" w:author="AbbVie02no" w:date="2025-05-15T13:45:00Z">
                <w:pPr>
                  <w:keepNext/>
                  <w:jc w:val="center"/>
                </w:pPr>
              </w:pPrChange>
            </w:pPr>
            <w:del w:id="8068" w:author="AbbVie02no" w:date="2025-05-15T13:45:00Z">
              <w:r w:rsidRPr="002C5CDB">
                <w:rPr>
                  <w:sz w:val="22"/>
                  <w:szCs w:val="22"/>
                  <w:rPrChange w:id="8069" w:author="AbbVie05no" w:date="2025-05-19T10:32:00Z">
                    <w:rPr>
                      <w:sz w:val="22"/>
                      <w:szCs w:val="22"/>
                      <w:lang w:val="en-GB"/>
                    </w:rPr>
                  </w:rPrChange>
                </w:rPr>
                <w:delText>33,3 %</w:delText>
              </w:r>
            </w:del>
          </w:p>
        </w:tc>
        <w:tc>
          <w:tcPr>
            <w:tcW w:w="1005" w:type="pct"/>
            <w:tcBorders>
              <w:bottom w:val="single" w:sz="4" w:space="0" w:color="auto"/>
            </w:tcBorders>
          </w:tcPr>
          <w:p w14:paraId="3ABE29AC" w14:textId="1C8F6559" w:rsidR="00A374EC" w:rsidRPr="002C5CDB" w:rsidRDefault="00E453CD">
            <w:pPr>
              <w:keepNext/>
              <w:suppressAutoHyphens/>
              <w:rPr>
                <w:del w:id="8070" w:author="AbbVie02no" w:date="2025-05-15T13:45:00Z"/>
                <w:sz w:val="22"/>
                <w:szCs w:val="22"/>
                <w:rPrChange w:id="8071" w:author="AbbVie05no" w:date="2025-05-19T10:32:00Z">
                  <w:rPr>
                    <w:del w:id="8072" w:author="AbbVie02no" w:date="2025-05-15T13:45:00Z"/>
                    <w:sz w:val="22"/>
                    <w:szCs w:val="22"/>
                    <w:lang w:val="en-GB"/>
                  </w:rPr>
                </w:rPrChange>
              </w:rPr>
              <w:pPrChange w:id="8073" w:author="AbbVie02no" w:date="2025-05-15T13:45:00Z">
                <w:pPr>
                  <w:keepNext/>
                  <w:jc w:val="center"/>
                </w:pPr>
              </w:pPrChange>
            </w:pPr>
            <w:del w:id="8074" w:author="AbbVie02no" w:date="2025-05-15T13:45:00Z">
              <w:r w:rsidRPr="002C5CDB">
                <w:rPr>
                  <w:sz w:val="22"/>
                  <w:szCs w:val="22"/>
                  <w:rPrChange w:id="8075" w:author="AbbVie05no" w:date="2025-05-19T10:32:00Z">
                    <w:rPr>
                      <w:sz w:val="22"/>
                      <w:szCs w:val="22"/>
                      <w:lang w:val="en-GB"/>
                    </w:rPr>
                  </w:rPrChange>
                </w:rPr>
                <w:delText>57,2 %***</w:delText>
              </w:r>
            </w:del>
          </w:p>
        </w:tc>
      </w:tr>
      <w:tr w:rsidR="004644D4" w14:paraId="0B10ACDF" w14:textId="097D5145" w:rsidTr="00926F2E">
        <w:trPr>
          <w:jc w:val="center"/>
          <w:del w:id="8076" w:author="AbbVie02no" w:date="2025-05-15T13:45:00Z"/>
        </w:trPr>
        <w:tc>
          <w:tcPr>
            <w:tcW w:w="3067" w:type="pct"/>
            <w:tcBorders>
              <w:bottom w:val="single" w:sz="4" w:space="0" w:color="auto"/>
            </w:tcBorders>
          </w:tcPr>
          <w:p w14:paraId="4E29D630" w14:textId="530ECE7C" w:rsidR="00A374EC" w:rsidRPr="002C5CDB" w:rsidRDefault="00E453CD">
            <w:pPr>
              <w:keepNext/>
              <w:suppressAutoHyphens/>
              <w:rPr>
                <w:del w:id="8077" w:author="AbbVie02no" w:date="2025-05-15T13:45:00Z"/>
                <w:sz w:val="22"/>
                <w:szCs w:val="22"/>
                <w:rPrChange w:id="8078" w:author="AbbVie05no" w:date="2025-05-19T10:32:00Z">
                  <w:rPr>
                    <w:del w:id="8079" w:author="AbbVie02no" w:date="2025-05-15T13:45:00Z"/>
                    <w:sz w:val="22"/>
                    <w:szCs w:val="22"/>
                    <w:lang w:val="en-GB"/>
                  </w:rPr>
                </w:rPrChange>
              </w:rPr>
              <w:pPrChange w:id="8080" w:author="AbbVie02no" w:date="2025-05-15T13:45:00Z">
                <w:pPr>
                  <w:keepNext/>
                </w:pPr>
              </w:pPrChange>
            </w:pPr>
            <w:del w:id="8081" w:author="AbbVie02no" w:date="2025-05-15T13:45:00Z">
              <w:r w:rsidRPr="002C5CDB">
                <w:rPr>
                  <w:sz w:val="22"/>
                  <w:szCs w:val="22"/>
                  <w:rPrChange w:id="8082" w:author="AbbVie05no" w:date="2025-05-19T10:32:00Z">
                    <w:rPr>
                      <w:sz w:val="22"/>
                      <w:szCs w:val="22"/>
                      <w:lang w:val="en-GB"/>
                    </w:rPr>
                  </w:rPrChange>
                </w:rPr>
                <w:delText xml:space="preserve">Delvis </w:delText>
              </w:r>
              <w:r w:rsidR="000E50C9" w:rsidRPr="002C5CDB">
                <w:rPr>
                  <w:sz w:val="22"/>
                  <w:szCs w:val="22"/>
                  <w:rPrChange w:id="8083" w:author="AbbVie05no" w:date="2025-05-19T10:32:00Z">
                    <w:rPr>
                      <w:sz w:val="22"/>
                      <w:szCs w:val="22"/>
                      <w:lang w:val="en-GB"/>
                    </w:rPr>
                  </w:rPrChange>
                </w:rPr>
                <w:delText>sykdoms</w:delText>
              </w:r>
              <w:r w:rsidRPr="002C5CDB">
                <w:rPr>
                  <w:sz w:val="22"/>
                  <w:szCs w:val="22"/>
                  <w:rPrChange w:id="8084" w:author="AbbVie05no" w:date="2025-05-19T10:32:00Z">
                    <w:rPr>
                      <w:sz w:val="22"/>
                      <w:szCs w:val="22"/>
                      <w:lang w:val="en-GB"/>
                    </w:rPr>
                  </w:rPrChange>
                </w:rPr>
                <w:delText>oppbluss</w:delText>
              </w:r>
              <w:r w:rsidRPr="002C5CDB">
                <w:rPr>
                  <w:sz w:val="22"/>
                  <w:szCs w:val="22"/>
                  <w:vertAlign w:val="superscript"/>
                  <w:rPrChange w:id="8085" w:author="AbbVie05no" w:date="2025-05-19T10:32:00Z">
                    <w:rPr>
                      <w:sz w:val="22"/>
                      <w:szCs w:val="22"/>
                      <w:vertAlign w:val="superscript"/>
                      <w:lang w:val="en-GB"/>
                    </w:rPr>
                  </w:rPrChange>
                </w:rPr>
                <w:delText>d</w:delText>
              </w:r>
            </w:del>
          </w:p>
        </w:tc>
        <w:tc>
          <w:tcPr>
            <w:tcW w:w="928" w:type="pct"/>
            <w:tcBorders>
              <w:bottom w:val="single" w:sz="4" w:space="0" w:color="auto"/>
            </w:tcBorders>
          </w:tcPr>
          <w:p w14:paraId="360AC0E3" w14:textId="6B0A43F3" w:rsidR="00A374EC" w:rsidRPr="002C5CDB" w:rsidRDefault="00E453CD">
            <w:pPr>
              <w:keepNext/>
              <w:suppressAutoHyphens/>
              <w:rPr>
                <w:del w:id="8086" w:author="AbbVie02no" w:date="2025-05-15T13:45:00Z"/>
                <w:sz w:val="22"/>
                <w:szCs w:val="22"/>
                <w:rPrChange w:id="8087" w:author="AbbVie05no" w:date="2025-05-19T10:32:00Z">
                  <w:rPr>
                    <w:del w:id="8088" w:author="AbbVie02no" w:date="2025-05-15T13:45:00Z"/>
                    <w:sz w:val="22"/>
                    <w:szCs w:val="22"/>
                    <w:lang w:val="en-GB"/>
                  </w:rPr>
                </w:rPrChange>
              </w:rPr>
              <w:pPrChange w:id="8089" w:author="AbbVie02no" w:date="2025-05-15T13:45:00Z">
                <w:pPr>
                  <w:keepNext/>
                  <w:jc w:val="center"/>
                </w:pPr>
              </w:pPrChange>
            </w:pPr>
            <w:del w:id="8090" w:author="AbbVie02no" w:date="2025-05-15T13:45:00Z">
              <w:r w:rsidRPr="002C5CDB">
                <w:rPr>
                  <w:sz w:val="22"/>
                  <w:szCs w:val="22"/>
                  <w:rPrChange w:id="8091" w:author="AbbVie05no" w:date="2025-05-19T10:32:00Z">
                    <w:rPr>
                      <w:sz w:val="22"/>
                      <w:szCs w:val="22"/>
                      <w:lang w:val="en-GB"/>
                    </w:rPr>
                  </w:rPrChange>
                </w:rPr>
                <w:delText>64,1 %</w:delText>
              </w:r>
            </w:del>
          </w:p>
        </w:tc>
        <w:tc>
          <w:tcPr>
            <w:tcW w:w="1005" w:type="pct"/>
            <w:tcBorders>
              <w:bottom w:val="single" w:sz="4" w:space="0" w:color="auto"/>
            </w:tcBorders>
          </w:tcPr>
          <w:p w14:paraId="559688F3" w14:textId="6EF0085A" w:rsidR="00A374EC" w:rsidRPr="002C5CDB" w:rsidRDefault="00E453CD">
            <w:pPr>
              <w:keepNext/>
              <w:suppressAutoHyphens/>
              <w:rPr>
                <w:del w:id="8092" w:author="AbbVie02no" w:date="2025-05-15T13:45:00Z"/>
                <w:sz w:val="22"/>
                <w:szCs w:val="22"/>
                <w:rPrChange w:id="8093" w:author="AbbVie05no" w:date="2025-05-19T10:32:00Z">
                  <w:rPr>
                    <w:del w:id="8094" w:author="AbbVie02no" w:date="2025-05-15T13:45:00Z"/>
                    <w:sz w:val="22"/>
                    <w:szCs w:val="22"/>
                    <w:lang w:val="en-GB"/>
                  </w:rPr>
                </w:rPrChange>
              </w:rPr>
              <w:pPrChange w:id="8095" w:author="AbbVie02no" w:date="2025-05-15T13:45:00Z">
                <w:pPr>
                  <w:keepNext/>
                  <w:jc w:val="center"/>
                </w:pPr>
              </w:pPrChange>
            </w:pPr>
            <w:del w:id="8096" w:author="AbbVie02no" w:date="2025-05-15T13:45:00Z">
              <w:r w:rsidRPr="002C5CDB">
                <w:rPr>
                  <w:sz w:val="22"/>
                  <w:szCs w:val="22"/>
                  <w:rPrChange w:id="8097" w:author="AbbVie05no" w:date="2025-05-19T10:32:00Z">
                    <w:rPr>
                      <w:sz w:val="22"/>
                      <w:szCs w:val="22"/>
                      <w:lang w:val="en-GB"/>
                    </w:rPr>
                  </w:rPrChange>
                </w:rPr>
                <w:delText>40,8 %***</w:delText>
              </w:r>
            </w:del>
          </w:p>
        </w:tc>
      </w:tr>
      <w:tr w:rsidR="004644D4" w14:paraId="6EB49897" w14:textId="6148E563" w:rsidTr="00926F2E">
        <w:trPr>
          <w:jc w:val="center"/>
          <w:del w:id="8098" w:author="AbbVie02no" w:date="2025-05-15T13:45:00Z"/>
        </w:trPr>
        <w:tc>
          <w:tcPr>
            <w:tcW w:w="5000" w:type="pct"/>
            <w:gridSpan w:val="3"/>
            <w:tcBorders>
              <w:top w:val="single" w:sz="4" w:space="0" w:color="auto"/>
              <w:left w:val="nil"/>
              <w:bottom w:val="nil"/>
              <w:right w:val="nil"/>
            </w:tcBorders>
          </w:tcPr>
          <w:p w14:paraId="19C48B48" w14:textId="7C3238DB" w:rsidR="00A374EC" w:rsidRPr="002C5CDB" w:rsidRDefault="00E453CD">
            <w:pPr>
              <w:keepNext/>
              <w:suppressAutoHyphens/>
              <w:rPr>
                <w:del w:id="8099" w:author="AbbVie02no" w:date="2025-05-15T13:45:00Z"/>
                <w:sz w:val="22"/>
                <w:szCs w:val="22"/>
                <w:rPrChange w:id="8100" w:author="AbbVie05no" w:date="2025-05-19T10:32:00Z">
                  <w:rPr>
                    <w:del w:id="8101" w:author="AbbVie02no" w:date="2025-05-15T13:45:00Z"/>
                    <w:sz w:val="22"/>
                    <w:szCs w:val="22"/>
                    <w:lang w:val="en-US"/>
                  </w:rPr>
                </w:rPrChange>
              </w:rPr>
              <w:pPrChange w:id="8102" w:author="AbbVie02no" w:date="2025-05-15T13:45:00Z">
                <w:pPr>
                  <w:keepNext/>
                  <w:autoSpaceDE w:val="0"/>
                  <w:autoSpaceDN w:val="0"/>
                  <w:adjustRightInd w:val="0"/>
                </w:pPr>
              </w:pPrChange>
            </w:pPr>
            <w:del w:id="8103" w:author="AbbVie02no" w:date="2025-05-15T13:45:00Z">
              <w:r w:rsidRPr="002C5CDB">
                <w:rPr>
                  <w:sz w:val="22"/>
                  <w:szCs w:val="22"/>
                  <w:vertAlign w:val="superscript"/>
                  <w:rPrChange w:id="8104" w:author="AbbVie05no" w:date="2025-05-19T10:32:00Z">
                    <w:rPr>
                      <w:sz w:val="22"/>
                      <w:szCs w:val="22"/>
                      <w:vertAlign w:val="superscript"/>
                      <w:lang w:val="en-US"/>
                    </w:rPr>
                  </w:rPrChange>
                </w:rPr>
                <w:delText>a</w:delText>
              </w:r>
              <w:r w:rsidRPr="002C5CDB">
                <w:rPr>
                  <w:sz w:val="22"/>
                  <w:szCs w:val="22"/>
                  <w:rPrChange w:id="8105" w:author="AbbVie05no" w:date="2025-05-19T10:32:00Z">
                    <w:rPr>
                      <w:sz w:val="22"/>
                      <w:szCs w:val="22"/>
                      <w:lang w:val="en-US"/>
                    </w:rPr>
                  </w:rPrChange>
                </w:rPr>
                <w:delText xml:space="preserve"> Assessment of SpondyloArthritis international Society</w:delText>
              </w:r>
            </w:del>
          </w:p>
          <w:p w14:paraId="241FF956" w14:textId="37F53D07" w:rsidR="00A374EC" w:rsidRPr="00926F2E" w:rsidRDefault="00E453CD">
            <w:pPr>
              <w:keepNext/>
              <w:suppressAutoHyphens/>
              <w:rPr>
                <w:del w:id="8106" w:author="AbbVie02no" w:date="2025-05-15T13:45:00Z"/>
                <w:szCs w:val="22"/>
                <w:vertAlign w:val="superscript"/>
              </w:rPr>
              <w:pPrChange w:id="8107" w:author="AbbVie02no" w:date="2025-05-15T13:45:00Z">
                <w:pPr>
                  <w:pStyle w:val="EMEANormal"/>
                  <w:keepNext/>
                  <w:ind w:left="20"/>
                </w:pPr>
              </w:pPrChange>
            </w:pPr>
            <w:del w:id="8108" w:author="AbbVie02no" w:date="2025-05-15T13:45:00Z">
              <w:r w:rsidRPr="00926F2E">
                <w:rPr>
                  <w:szCs w:val="22"/>
                  <w:vertAlign w:val="superscript"/>
                </w:rPr>
                <w:delText>b</w:delText>
              </w:r>
              <w:r w:rsidRPr="00926F2E">
                <w:rPr>
                  <w:szCs w:val="22"/>
                </w:rPr>
                <w:delText xml:space="preserve"> Baseline </w:delText>
              </w:r>
              <w:r w:rsidR="006A155B" w:rsidRPr="00926F2E">
                <w:rPr>
                  <w:szCs w:val="22"/>
                </w:rPr>
                <w:delText>er definer</w:delText>
              </w:r>
              <w:r w:rsidR="006A155B">
                <w:rPr>
                  <w:szCs w:val="22"/>
                </w:rPr>
                <w:delText>t</w:delText>
              </w:r>
              <w:r w:rsidR="006A155B" w:rsidRPr="00926F2E">
                <w:rPr>
                  <w:szCs w:val="22"/>
                </w:rPr>
                <w:delText xml:space="preserve"> som</w:delText>
              </w:r>
              <w:r w:rsidRPr="00926F2E">
                <w:rPr>
                  <w:szCs w:val="22"/>
                </w:rPr>
                <w:delText xml:space="preserve"> </w:delText>
              </w:r>
              <w:r w:rsidR="006A155B" w:rsidRPr="00926F2E">
                <w:rPr>
                  <w:szCs w:val="22"/>
                </w:rPr>
                <w:delText>åpen studie</w:delText>
              </w:r>
              <w:r w:rsidR="002D7A45">
                <w:rPr>
                  <w:szCs w:val="22"/>
                </w:rPr>
                <w:delText>periode</w:delText>
              </w:r>
              <w:r w:rsidRPr="00926F2E">
                <w:rPr>
                  <w:szCs w:val="22"/>
                </w:rPr>
                <w:delText xml:space="preserve"> baseline </w:delText>
              </w:r>
              <w:r w:rsidR="006A155B" w:rsidRPr="00926F2E">
                <w:rPr>
                  <w:szCs w:val="22"/>
                </w:rPr>
                <w:delText>når pasienter har aktiv sykdom</w:delText>
              </w:r>
              <w:r w:rsidRPr="00926F2E">
                <w:rPr>
                  <w:szCs w:val="22"/>
                </w:rPr>
                <w:delText>.</w:delText>
              </w:r>
            </w:del>
          </w:p>
          <w:p w14:paraId="79AD2A36" w14:textId="02B87E4F" w:rsidR="00A374EC" w:rsidRPr="00090EDA" w:rsidRDefault="00E453CD">
            <w:pPr>
              <w:keepNext/>
              <w:suppressAutoHyphens/>
              <w:rPr>
                <w:del w:id="8109" w:author="AbbVie02no" w:date="2025-05-15T13:45:00Z"/>
                <w:szCs w:val="22"/>
                <w:vertAlign w:val="superscript"/>
                <w:rPrChange w:id="8110" w:author="AbbVie04no" w:date="2025-09-09T10:16:00Z" w16du:dateUtc="2025-09-09T08:16:00Z">
                  <w:rPr>
                    <w:del w:id="8111" w:author="AbbVie02no" w:date="2025-05-15T13:45:00Z"/>
                    <w:szCs w:val="22"/>
                    <w:vertAlign w:val="superscript"/>
                    <w:lang w:val="en-GB"/>
                  </w:rPr>
                </w:rPrChange>
              </w:rPr>
              <w:pPrChange w:id="8112" w:author="AbbVie02no" w:date="2025-05-15T13:45:00Z">
                <w:pPr>
                  <w:pStyle w:val="EMEANormal"/>
                  <w:keepNext/>
                  <w:ind w:left="20"/>
                </w:pPr>
              </w:pPrChange>
            </w:pPr>
            <w:del w:id="8113" w:author="AbbVie02no" w:date="2025-05-15T13:45:00Z">
              <w:r w:rsidRPr="00090EDA">
                <w:rPr>
                  <w:szCs w:val="22"/>
                  <w:vertAlign w:val="superscript"/>
                  <w:rPrChange w:id="8114" w:author="AbbVie04no" w:date="2025-09-09T10:16:00Z" w16du:dateUtc="2025-09-09T08:16:00Z">
                    <w:rPr>
                      <w:szCs w:val="22"/>
                      <w:vertAlign w:val="superscript"/>
                      <w:lang w:val="en-GB"/>
                    </w:rPr>
                  </w:rPrChange>
                </w:rPr>
                <w:delText>c</w:delText>
              </w:r>
              <w:r w:rsidRPr="00090EDA">
                <w:rPr>
                  <w:szCs w:val="22"/>
                  <w:rPrChange w:id="8115" w:author="AbbVie04no" w:date="2025-09-09T10:16:00Z" w16du:dateUtc="2025-09-09T08:16:00Z">
                    <w:rPr>
                      <w:szCs w:val="22"/>
                      <w:lang w:val="en-GB"/>
                    </w:rPr>
                  </w:rPrChange>
                </w:rPr>
                <w:delText xml:space="preserve"> Ankylosing Spondylitis Disease Activity Score</w:delText>
              </w:r>
            </w:del>
          </w:p>
          <w:p w14:paraId="03394EE2" w14:textId="7E7B9019" w:rsidR="00A374EC" w:rsidRPr="00926F2E" w:rsidRDefault="00E453CD">
            <w:pPr>
              <w:keepNext/>
              <w:suppressAutoHyphens/>
              <w:rPr>
                <w:del w:id="8116" w:author="AbbVie02no" w:date="2025-05-15T13:45:00Z"/>
                <w:sz w:val="22"/>
                <w:szCs w:val="22"/>
              </w:rPr>
              <w:pPrChange w:id="8117" w:author="AbbVie02no" w:date="2025-05-15T13:45:00Z">
                <w:pPr>
                  <w:keepNext/>
                  <w:autoSpaceDE w:val="0"/>
                  <w:autoSpaceDN w:val="0"/>
                  <w:adjustRightInd w:val="0"/>
                </w:pPr>
              </w:pPrChange>
            </w:pPr>
            <w:del w:id="8118" w:author="AbbVie02no" w:date="2025-05-15T13:45:00Z">
              <w:r w:rsidRPr="00926F2E">
                <w:rPr>
                  <w:sz w:val="22"/>
                  <w:szCs w:val="22"/>
                  <w:vertAlign w:val="superscript"/>
                </w:rPr>
                <w:delText>d</w:delText>
              </w:r>
              <w:r w:rsidRPr="00926F2E">
                <w:rPr>
                  <w:sz w:val="22"/>
                  <w:szCs w:val="22"/>
                </w:rPr>
                <w:delText xml:space="preserve"> </w:delText>
              </w:r>
              <w:r w:rsidR="006A155B" w:rsidRPr="00926F2E">
                <w:rPr>
                  <w:sz w:val="22"/>
                  <w:szCs w:val="22"/>
                </w:rPr>
                <w:delText>Delvis oppbluss er definer</w:delText>
              </w:r>
              <w:r w:rsidR="006A155B">
                <w:rPr>
                  <w:sz w:val="22"/>
                  <w:szCs w:val="22"/>
                </w:rPr>
                <w:delText>t</w:delText>
              </w:r>
              <w:r w:rsidR="006A155B" w:rsidRPr="00926F2E">
                <w:rPr>
                  <w:sz w:val="22"/>
                  <w:szCs w:val="22"/>
                </w:rPr>
                <w:delText xml:space="preserve"> som</w:delText>
              </w:r>
              <w:r w:rsidRPr="00926F2E">
                <w:rPr>
                  <w:sz w:val="22"/>
                  <w:szCs w:val="22"/>
                </w:rPr>
                <w:delText xml:space="preserve"> </w:delText>
              </w:r>
              <w:r w:rsidR="006A155B">
                <w:rPr>
                  <w:rFonts w:eastAsiaTheme="minorHAnsi"/>
                  <w:sz w:val="22"/>
                  <w:szCs w:val="22"/>
                </w:rPr>
                <w:delText>ASDAS ≥ 1,</w:delText>
              </w:r>
              <w:r w:rsidRPr="00926F2E">
                <w:rPr>
                  <w:rFonts w:eastAsiaTheme="minorHAnsi"/>
                  <w:sz w:val="22"/>
                  <w:szCs w:val="22"/>
                </w:rPr>
                <w:delText>3</w:delText>
              </w:r>
              <w:r w:rsidR="006A155B">
                <w:rPr>
                  <w:rFonts w:eastAsiaTheme="minorHAnsi"/>
                  <w:sz w:val="22"/>
                  <w:szCs w:val="22"/>
                </w:rPr>
                <w:delText>,</w:delText>
              </w:r>
              <w:r w:rsidRPr="00926F2E">
                <w:rPr>
                  <w:rFonts w:eastAsiaTheme="minorHAnsi"/>
                  <w:sz w:val="22"/>
                  <w:szCs w:val="22"/>
                </w:rPr>
                <w:delText xml:space="preserve"> </w:delText>
              </w:r>
              <w:r w:rsidR="006A155B">
                <w:rPr>
                  <w:rFonts w:eastAsiaTheme="minorHAnsi"/>
                  <w:sz w:val="22"/>
                  <w:szCs w:val="22"/>
                </w:rPr>
                <w:delText>men &lt; 2,</w:delText>
              </w:r>
              <w:r w:rsidRPr="00926F2E">
                <w:rPr>
                  <w:rFonts w:eastAsiaTheme="minorHAnsi"/>
                  <w:sz w:val="22"/>
                  <w:szCs w:val="22"/>
                </w:rPr>
                <w:delText xml:space="preserve">1 </w:delText>
              </w:r>
              <w:r w:rsidR="006A155B">
                <w:rPr>
                  <w:rFonts w:eastAsiaTheme="minorHAnsi"/>
                  <w:sz w:val="22"/>
                  <w:szCs w:val="22"/>
                </w:rPr>
                <w:delText>på</w:delText>
              </w:r>
              <w:r w:rsidRPr="00926F2E">
                <w:rPr>
                  <w:rFonts w:eastAsiaTheme="minorHAnsi"/>
                  <w:sz w:val="22"/>
                  <w:szCs w:val="22"/>
                </w:rPr>
                <w:delText xml:space="preserve"> 2 </w:delText>
              </w:r>
              <w:r w:rsidR="006A155B">
                <w:rPr>
                  <w:rFonts w:eastAsiaTheme="minorHAnsi"/>
                  <w:sz w:val="22"/>
                  <w:szCs w:val="22"/>
                </w:rPr>
                <w:delText>etterfølgende studiebesøk</w:delText>
              </w:r>
              <w:r w:rsidRPr="00926F2E">
                <w:rPr>
                  <w:rFonts w:eastAsiaTheme="minorHAnsi"/>
                  <w:sz w:val="22"/>
                  <w:szCs w:val="22"/>
                </w:rPr>
                <w:delText>.</w:delText>
              </w:r>
            </w:del>
          </w:p>
          <w:p w14:paraId="4893F1EB" w14:textId="07EE6FEF" w:rsidR="00A374EC" w:rsidRPr="00926F2E" w:rsidRDefault="00E453CD">
            <w:pPr>
              <w:keepNext/>
              <w:suppressAutoHyphens/>
              <w:rPr>
                <w:del w:id="8119" w:author="AbbVie02no" w:date="2025-05-15T13:45:00Z"/>
                <w:szCs w:val="22"/>
              </w:rPr>
              <w:pPrChange w:id="8120" w:author="AbbVie02no" w:date="2025-05-15T13:45:00Z">
                <w:pPr>
                  <w:pStyle w:val="EMEANormal"/>
                  <w:keepNext/>
                  <w:ind w:left="20"/>
                </w:pPr>
              </w:pPrChange>
            </w:pPr>
            <w:del w:id="8121" w:author="AbbVie02no" w:date="2025-05-15T13:45:00Z">
              <w:r w:rsidRPr="00926F2E">
                <w:rPr>
                  <w:szCs w:val="22"/>
                </w:rPr>
                <w:delText xml:space="preserve">***, ** </w:delText>
              </w:r>
              <w:r w:rsidR="006A155B" w:rsidRPr="00926F2E">
                <w:rPr>
                  <w:szCs w:val="22"/>
                </w:rPr>
                <w:delText>Statistisk signifikant ved</w:delText>
              </w:r>
              <w:r w:rsidRPr="00926F2E">
                <w:rPr>
                  <w:szCs w:val="22"/>
                </w:rPr>
                <w:delText xml:space="preserve"> </w:delText>
              </w:r>
              <w:r w:rsidR="006A155B" w:rsidRPr="00926F2E">
                <w:rPr>
                  <w:szCs w:val="22"/>
                </w:rPr>
                <w:delText xml:space="preserve">henholdsvis </w:delText>
              </w:r>
              <w:r w:rsidRPr="00926F2E">
                <w:rPr>
                  <w:szCs w:val="22"/>
                </w:rPr>
                <w:delText>p &lt; </w:delText>
              </w:r>
              <w:r w:rsidR="006A155B" w:rsidRPr="00926F2E">
                <w:rPr>
                  <w:szCs w:val="22"/>
                </w:rPr>
                <w:delText>0,</w:delText>
              </w:r>
              <w:r w:rsidRPr="00926F2E">
                <w:rPr>
                  <w:szCs w:val="22"/>
                </w:rPr>
                <w:delText xml:space="preserve">001 </w:delText>
              </w:r>
              <w:r w:rsidR="006A155B" w:rsidRPr="00926F2E">
                <w:rPr>
                  <w:szCs w:val="22"/>
                </w:rPr>
                <w:delText>og</w:delText>
              </w:r>
              <w:r w:rsidRPr="00926F2E">
                <w:rPr>
                  <w:szCs w:val="22"/>
                </w:rPr>
                <w:delText xml:space="preserve"> &lt; </w:delText>
              </w:r>
              <w:r w:rsidR="006A155B" w:rsidRPr="00926F2E">
                <w:rPr>
                  <w:szCs w:val="22"/>
                </w:rPr>
                <w:delText xml:space="preserve">0,01 </w:delText>
              </w:r>
              <w:r w:rsidRPr="00926F2E">
                <w:rPr>
                  <w:szCs w:val="22"/>
                </w:rPr>
                <w:delText>for all</w:delText>
              </w:r>
              <w:r w:rsidR="006A155B" w:rsidRPr="00926F2E">
                <w:rPr>
                  <w:szCs w:val="22"/>
                </w:rPr>
                <w:delText>e</w:delText>
              </w:r>
              <w:r w:rsidRPr="00926F2E">
                <w:rPr>
                  <w:szCs w:val="22"/>
                </w:rPr>
                <w:delText xml:space="preserve"> </w:delText>
              </w:r>
              <w:r w:rsidR="006A155B">
                <w:rPr>
                  <w:szCs w:val="22"/>
                </w:rPr>
                <w:delText xml:space="preserve">sammenligninger mellom </w:delText>
              </w:r>
              <w:r w:rsidRPr="00926F2E">
                <w:rPr>
                  <w:szCs w:val="22"/>
                </w:rPr>
                <w:delText xml:space="preserve">Humira </w:delText>
              </w:r>
              <w:r w:rsidR="006A155B">
                <w:rPr>
                  <w:szCs w:val="22"/>
                </w:rPr>
                <w:delText>og</w:delText>
              </w:r>
              <w:r w:rsidRPr="00926F2E">
                <w:rPr>
                  <w:szCs w:val="22"/>
                </w:rPr>
                <w:delText xml:space="preserve"> placebo.</w:delText>
              </w:r>
            </w:del>
          </w:p>
        </w:tc>
      </w:tr>
    </w:tbl>
    <w:p w14:paraId="214ECFFE" w14:textId="4494DE55" w:rsidR="00E06E37" w:rsidRPr="006A155B" w:rsidRDefault="00E06E37">
      <w:pPr>
        <w:keepNext/>
        <w:suppressAutoHyphens/>
        <w:rPr>
          <w:del w:id="8122" w:author="AbbVie02no" w:date="2025-05-15T13:45:00Z"/>
          <w:sz w:val="22"/>
          <w:szCs w:val="22"/>
          <w:u w:val="single"/>
        </w:rPr>
        <w:pPrChange w:id="8123" w:author="AbbVie02no" w:date="2025-05-15T13:45:00Z">
          <w:pPr/>
        </w:pPrChange>
      </w:pPr>
    </w:p>
    <w:p w14:paraId="678E15EB" w14:textId="214F7E3A" w:rsidR="00B334AF" w:rsidRPr="001F5D4B" w:rsidRDefault="00E453CD">
      <w:pPr>
        <w:keepNext/>
        <w:suppressAutoHyphens/>
        <w:rPr>
          <w:del w:id="8124" w:author="AbbVie02no" w:date="2025-05-15T13:45:00Z"/>
          <w:i/>
          <w:sz w:val="22"/>
          <w:szCs w:val="22"/>
        </w:rPr>
        <w:pPrChange w:id="8125" w:author="AbbVie02no" w:date="2025-05-15T13:45:00Z">
          <w:pPr>
            <w:keepNext/>
          </w:pPr>
        </w:pPrChange>
      </w:pPr>
      <w:del w:id="8126" w:author="AbbVie02no" w:date="2025-05-15T13:45:00Z">
        <w:r w:rsidRPr="001F5D4B">
          <w:rPr>
            <w:i/>
            <w:sz w:val="22"/>
            <w:szCs w:val="22"/>
          </w:rPr>
          <w:delText>Psoriasisartritt</w:delText>
        </w:r>
      </w:del>
    </w:p>
    <w:p w14:paraId="50EBBF9F" w14:textId="01AA38F0" w:rsidR="00B334AF" w:rsidRPr="007F67EE" w:rsidRDefault="00B334AF">
      <w:pPr>
        <w:keepNext/>
        <w:suppressAutoHyphens/>
        <w:rPr>
          <w:del w:id="8127" w:author="AbbVie02no" w:date="2025-05-15T13:45:00Z"/>
          <w:sz w:val="22"/>
          <w:szCs w:val="22"/>
        </w:rPr>
        <w:pPrChange w:id="8128" w:author="AbbVie02no" w:date="2025-05-15T13:45:00Z">
          <w:pPr>
            <w:keepNext/>
          </w:pPr>
        </w:pPrChange>
      </w:pPr>
    </w:p>
    <w:p w14:paraId="7F231C23" w14:textId="67A35392" w:rsidR="00B334AF" w:rsidRPr="002D0790" w:rsidRDefault="00E453CD">
      <w:pPr>
        <w:keepNext/>
        <w:suppressAutoHyphens/>
        <w:rPr>
          <w:del w:id="8129" w:author="AbbVie02no" w:date="2025-05-15T13:45:00Z"/>
          <w:sz w:val="22"/>
          <w:szCs w:val="22"/>
        </w:rPr>
        <w:pPrChange w:id="8130" w:author="AbbVie02no" w:date="2025-05-15T13:45:00Z">
          <w:pPr/>
        </w:pPrChange>
      </w:pPr>
      <w:del w:id="8131" w:author="AbbVie02no" w:date="2025-05-15T13:45:00Z">
        <w:r w:rsidRPr="00193D76">
          <w:rPr>
            <w:sz w:val="22"/>
            <w:szCs w:val="22"/>
          </w:rPr>
          <w:delText>Humira 40 mg annen</w:delText>
        </w:r>
        <w:r w:rsidR="00D51E4F">
          <w:rPr>
            <w:sz w:val="22"/>
            <w:szCs w:val="22"/>
          </w:rPr>
          <w:delText>hver</w:delText>
        </w:r>
        <w:r w:rsidRPr="00193D76">
          <w:rPr>
            <w:sz w:val="22"/>
            <w:szCs w:val="22"/>
          </w:rPr>
          <w:delText xml:space="preserve"> uke er undersøkt hos pasienter med moderat til alvorlig aktiv psoriasisartritt i to placebok</w:delText>
        </w:r>
        <w:r w:rsidRPr="002D0790">
          <w:rPr>
            <w:sz w:val="22"/>
            <w:szCs w:val="22"/>
          </w:rPr>
          <w:delText>ontrollerte studier, PsA-studiene I og II. PsA-studie I med 24 ukers varighet, behandlet 313 voksne pasienter som ikke hadde tilstrekkelig respons på ikke-steroid anti-inflammatorisk behandling, hvorav omtrent 50 % brukte metotreksat. PsA-studie II med 12 ukers varighet, behandlet 100 pasienter som ikke hadde tilstrekkelig respons på DMARD-behandling. Etter avslutning av begge studiene gikk 383 pasienter videre i en åpen forlengelsesstudie hvor 40 mg Humira ble gitt annenhver uke.</w:delText>
        </w:r>
      </w:del>
    </w:p>
    <w:p w14:paraId="00FB61B5" w14:textId="7FCA06E4" w:rsidR="00B334AF" w:rsidRPr="00E14E58" w:rsidRDefault="00B334AF">
      <w:pPr>
        <w:keepNext/>
        <w:suppressAutoHyphens/>
        <w:rPr>
          <w:del w:id="8132" w:author="AbbVie02no" w:date="2025-05-15T13:45:00Z"/>
          <w:sz w:val="22"/>
          <w:szCs w:val="22"/>
        </w:rPr>
        <w:pPrChange w:id="8133" w:author="AbbVie02no" w:date="2025-05-15T13:45:00Z">
          <w:pPr/>
        </w:pPrChange>
      </w:pPr>
    </w:p>
    <w:p w14:paraId="46DFFAF3" w14:textId="6ED95985" w:rsidR="00B334AF" w:rsidRPr="009C5EFD" w:rsidRDefault="00E453CD">
      <w:pPr>
        <w:keepNext/>
        <w:suppressAutoHyphens/>
        <w:rPr>
          <w:del w:id="8134" w:author="AbbVie02no" w:date="2025-05-15T13:45:00Z"/>
          <w:sz w:val="22"/>
          <w:szCs w:val="22"/>
        </w:rPr>
        <w:pPrChange w:id="8135" w:author="AbbVie02no" w:date="2025-05-15T13:45:00Z">
          <w:pPr/>
        </w:pPrChange>
      </w:pPr>
      <w:del w:id="8136" w:author="AbbVie02no" w:date="2025-05-15T13:45:00Z">
        <w:r w:rsidRPr="009C5EFD">
          <w:rPr>
            <w:sz w:val="22"/>
            <w:szCs w:val="22"/>
          </w:rPr>
          <w:delText>Det er utilstrekkelig dokumentasjon av effekten av Humira hos pasienter med ankyloserende spondylittlignende psoriasisleddskade på grunn av lavt antall pasienter i studien.</w:delText>
        </w:r>
      </w:del>
    </w:p>
    <w:p w14:paraId="19AB1DD6" w14:textId="234C312A" w:rsidR="0054186F" w:rsidRPr="009C5EFD" w:rsidRDefault="0054186F">
      <w:pPr>
        <w:keepNext/>
        <w:suppressAutoHyphens/>
        <w:rPr>
          <w:del w:id="8137" w:author="AbbVie02no" w:date="2025-05-15T13:45:00Z"/>
          <w:sz w:val="22"/>
          <w:szCs w:val="22"/>
        </w:rPr>
        <w:pPrChange w:id="8138" w:author="AbbVie02no" w:date="2025-05-15T13:45:00Z">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1324"/>
        <w:gridCol w:w="1315"/>
        <w:gridCol w:w="1342"/>
        <w:gridCol w:w="1315"/>
      </w:tblGrid>
      <w:tr w:rsidR="004644D4" w14:paraId="30FA0539" w14:textId="41B72A49" w:rsidTr="00913F1F">
        <w:trPr>
          <w:jc w:val="center"/>
          <w:del w:id="8139" w:author="AbbVie02no" w:date="2025-05-15T13:45:00Z"/>
        </w:trPr>
        <w:tc>
          <w:tcPr>
            <w:tcW w:w="7067" w:type="dxa"/>
            <w:gridSpan w:val="5"/>
            <w:tcBorders>
              <w:top w:val="nil"/>
              <w:left w:val="nil"/>
              <w:bottom w:val="single" w:sz="4" w:space="0" w:color="auto"/>
              <w:right w:val="nil"/>
            </w:tcBorders>
          </w:tcPr>
          <w:p w14:paraId="54A46CB6" w14:textId="328D874D" w:rsidR="00B334AF" w:rsidRPr="009C5EFD" w:rsidRDefault="00E453CD">
            <w:pPr>
              <w:keepNext/>
              <w:suppressAutoHyphens/>
              <w:rPr>
                <w:del w:id="8140" w:author="AbbVie02no" w:date="2025-05-15T13:45:00Z"/>
                <w:b/>
                <w:szCs w:val="22"/>
              </w:rPr>
              <w:pPrChange w:id="8141" w:author="AbbVie02no" w:date="2025-05-15T13:45:00Z">
                <w:pPr>
                  <w:pStyle w:val="EMEANormal"/>
                  <w:keepNext/>
                  <w:jc w:val="center"/>
                </w:pPr>
              </w:pPrChange>
            </w:pPr>
            <w:del w:id="8142" w:author="AbbVie02no" w:date="2025-05-15T13:45:00Z">
              <w:r w:rsidRPr="009C5EFD">
                <w:rPr>
                  <w:b/>
                  <w:szCs w:val="22"/>
                </w:rPr>
                <w:delText xml:space="preserve">Tabell </w:delText>
              </w:r>
              <w:r w:rsidR="00BB3E88">
                <w:rPr>
                  <w:b/>
                  <w:szCs w:val="22"/>
                </w:rPr>
                <w:delText>15</w:delText>
              </w:r>
            </w:del>
          </w:p>
          <w:p w14:paraId="42EB7761" w14:textId="7955C9CA" w:rsidR="00B334AF" w:rsidRPr="009C5EFD" w:rsidRDefault="00E453CD">
            <w:pPr>
              <w:keepNext/>
              <w:suppressAutoHyphens/>
              <w:rPr>
                <w:del w:id="8143" w:author="AbbVie02no" w:date="2025-05-15T13:45:00Z"/>
                <w:b/>
                <w:szCs w:val="22"/>
              </w:rPr>
              <w:pPrChange w:id="8144" w:author="AbbVie02no" w:date="2025-05-15T13:45:00Z">
                <w:pPr>
                  <w:pStyle w:val="EMEANormal"/>
                  <w:keepNext/>
                  <w:jc w:val="center"/>
                </w:pPr>
              </w:pPrChange>
            </w:pPr>
            <w:del w:id="8145" w:author="AbbVie02no" w:date="2025-05-15T13:45:00Z">
              <w:r w:rsidRPr="009C5EFD">
                <w:rPr>
                  <w:b/>
                  <w:szCs w:val="22"/>
                </w:rPr>
                <w:delText>ACR-respons i placebokontrollerte studier av psoriasisartritt</w:delText>
              </w:r>
            </w:del>
          </w:p>
          <w:p w14:paraId="5E4FA857" w14:textId="77B3A468" w:rsidR="00B334AF" w:rsidRPr="009C5EFD" w:rsidRDefault="00E453CD">
            <w:pPr>
              <w:keepNext/>
              <w:suppressAutoHyphens/>
              <w:rPr>
                <w:del w:id="8146" w:author="AbbVie02no" w:date="2025-05-15T13:45:00Z"/>
                <w:szCs w:val="22"/>
              </w:rPr>
              <w:pPrChange w:id="8147" w:author="AbbVie02no" w:date="2025-05-15T13:45:00Z">
                <w:pPr>
                  <w:pStyle w:val="EMEANormal"/>
                  <w:keepNext/>
                  <w:jc w:val="center"/>
                </w:pPr>
              </w:pPrChange>
            </w:pPr>
            <w:del w:id="8148" w:author="AbbVie02no" w:date="2025-05-15T13:45:00Z">
              <w:r w:rsidRPr="009C5EFD">
                <w:rPr>
                  <w:b/>
                  <w:szCs w:val="22"/>
                </w:rPr>
                <w:delText>(Prosent av pasientene)</w:delText>
              </w:r>
            </w:del>
          </w:p>
        </w:tc>
      </w:tr>
      <w:tr w:rsidR="004644D4" w14:paraId="6979E2B4" w14:textId="4541B6CC" w:rsidTr="00913F1F">
        <w:trPr>
          <w:jc w:val="center"/>
          <w:del w:id="8149" w:author="AbbVie02no" w:date="2025-05-15T13:45:00Z"/>
        </w:trPr>
        <w:tc>
          <w:tcPr>
            <w:tcW w:w="1771" w:type="dxa"/>
            <w:tcBorders>
              <w:top w:val="single" w:sz="4" w:space="0" w:color="auto"/>
              <w:left w:val="single" w:sz="4" w:space="0" w:color="auto"/>
              <w:bottom w:val="single" w:sz="4" w:space="0" w:color="auto"/>
              <w:right w:val="single" w:sz="4" w:space="0" w:color="auto"/>
            </w:tcBorders>
          </w:tcPr>
          <w:p w14:paraId="02A7199A" w14:textId="2ADDF9C7" w:rsidR="00B334AF" w:rsidRPr="007F67EE" w:rsidRDefault="00B334AF">
            <w:pPr>
              <w:keepNext/>
              <w:suppressAutoHyphens/>
              <w:rPr>
                <w:del w:id="8150" w:author="AbbVie02no" w:date="2025-05-15T13:45:00Z"/>
                <w:szCs w:val="22"/>
              </w:rPr>
              <w:pPrChange w:id="8151" w:author="AbbVie02no" w:date="2025-05-15T13:45:00Z">
                <w:pPr>
                  <w:pStyle w:val="EMEANormal"/>
                  <w:keepNext/>
                </w:pPr>
              </w:pPrChange>
            </w:pPr>
          </w:p>
        </w:tc>
        <w:tc>
          <w:tcPr>
            <w:tcW w:w="2639" w:type="dxa"/>
            <w:gridSpan w:val="2"/>
            <w:tcBorders>
              <w:top w:val="single" w:sz="4" w:space="0" w:color="auto"/>
              <w:left w:val="single" w:sz="4" w:space="0" w:color="auto"/>
              <w:bottom w:val="single" w:sz="4" w:space="0" w:color="auto"/>
              <w:right w:val="single" w:sz="4" w:space="0" w:color="auto"/>
            </w:tcBorders>
          </w:tcPr>
          <w:p w14:paraId="5F8DDDC5" w14:textId="7411A71C" w:rsidR="00B334AF" w:rsidRPr="002D0790" w:rsidRDefault="00E453CD">
            <w:pPr>
              <w:keepNext/>
              <w:suppressAutoHyphens/>
              <w:rPr>
                <w:del w:id="8152" w:author="AbbVie02no" w:date="2025-05-15T13:45:00Z"/>
                <w:szCs w:val="22"/>
              </w:rPr>
              <w:pPrChange w:id="8153" w:author="AbbVie02no" w:date="2025-05-15T13:45:00Z">
                <w:pPr>
                  <w:pStyle w:val="EMEANormal"/>
                  <w:jc w:val="center"/>
                </w:pPr>
              </w:pPrChange>
            </w:pPr>
            <w:del w:id="8154" w:author="AbbVie02no" w:date="2025-05-15T13:45:00Z">
              <w:r w:rsidRPr="00193D76">
                <w:rPr>
                  <w:szCs w:val="22"/>
                </w:rPr>
                <w:delText>PsA-studi</w:delText>
              </w:r>
              <w:r w:rsidRPr="002D0790">
                <w:rPr>
                  <w:szCs w:val="22"/>
                </w:rPr>
                <w:delText>e I</w:delText>
              </w:r>
            </w:del>
          </w:p>
        </w:tc>
        <w:tc>
          <w:tcPr>
            <w:tcW w:w="2657" w:type="dxa"/>
            <w:gridSpan w:val="2"/>
            <w:tcBorders>
              <w:top w:val="single" w:sz="4" w:space="0" w:color="auto"/>
              <w:left w:val="single" w:sz="4" w:space="0" w:color="auto"/>
              <w:bottom w:val="single" w:sz="4" w:space="0" w:color="auto"/>
              <w:right w:val="single" w:sz="4" w:space="0" w:color="auto"/>
            </w:tcBorders>
          </w:tcPr>
          <w:p w14:paraId="6081AA94" w14:textId="3D782574" w:rsidR="00B334AF" w:rsidRPr="002D0790" w:rsidRDefault="00E453CD">
            <w:pPr>
              <w:keepNext/>
              <w:suppressAutoHyphens/>
              <w:rPr>
                <w:del w:id="8155" w:author="AbbVie02no" w:date="2025-05-15T13:45:00Z"/>
                <w:szCs w:val="22"/>
              </w:rPr>
              <w:pPrChange w:id="8156" w:author="AbbVie02no" w:date="2025-05-15T13:45:00Z">
                <w:pPr>
                  <w:pStyle w:val="EMEANormal"/>
                  <w:jc w:val="center"/>
                </w:pPr>
              </w:pPrChange>
            </w:pPr>
            <w:del w:id="8157" w:author="AbbVie02no" w:date="2025-05-15T13:45:00Z">
              <w:r w:rsidRPr="002D0790">
                <w:rPr>
                  <w:szCs w:val="22"/>
                </w:rPr>
                <w:delText>PsA-studie II</w:delText>
              </w:r>
            </w:del>
          </w:p>
        </w:tc>
      </w:tr>
      <w:tr w:rsidR="004644D4" w14:paraId="0DD24CB6" w14:textId="44242285" w:rsidTr="00AB7697">
        <w:trPr>
          <w:jc w:val="center"/>
          <w:del w:id="8158" w:author="AbbVie02no" w:date="2025-05-15T13:45:00Z"/>
        </w:trPr>
        <w:tc>
          <w:tcPr>
            <w:tcW w:w="1771" w:type="dxa"/>
            <w:tcBorders>
              <w:top w:val="single" w:sz="4" w:space="0" w:color="auto"/>
              <w:left w:val="single" w:sz="4" w:space="0" w:color="auto"/>
              <w:bottom w:val="single" w:sz="4" w:space="0" w:color="auto"/>
              <w:right w:val="single" w:sz="4" w:space="0" w:color="auto"/>
            </w:tcBorders>
          </w:tcPr>
          <w:p w14:paraId="03FB05A9" w14:textId="1767DCA1" w:rsidR="00B334AF" w:rsidRPr="007F67EE" w:rsidRDefault="00E453CD">
            <w:pPr>
              <w:keepNext/>
              <w:suppressAutoHyphens/>
              <w:rPr>
                <w:del w:id="8159" w:author="AbbVie02no" w:date="2025-05-15T13:45:00Z"/>
                <w:szCs w:val="22"/>
              </w:rPr>
              <w:pPrChange w:id="8160" w:author="AbbVie02no" w:date="2025-05-15T13:45:00Z">
                <w:pPr>
                  <w:pStyle w:val="EMEANormal"/>
                  <w:keepNext/>
                </w:pPr>
              </w:pPrChange>
            </w:pPr>
            <w:del w:id="8161" w:author="AbbVie02no" w:date="2025-05-15T13:45:00Z">
              <w:r w:rsidRPr="007F67EE">
                <w:rPr>
                  <w:szCs w:val="22"/>
                </w:rPr>
                <w:delText>Respons</w:delText>
              </w:r>
            </w:del>
          </w:p>
        </w:tc>
        <w:tc>
          <w:tcPr>
            <w:tcW w:w="1324" w:type="dxa"/>
            <w:tcBorders>
              <w:top w:val="single" w:sz="4" w:space="0" w:color="auto"/>
              <w:left w:val="single" w:sz="4" w:space="0" w:color="auto"/>
              <w:bottom w:val="single" w:sz="4" w:space="0" w:color="auto"/>
              <w:right w:val="single" w:sz="4" w:space="0" w:color="auto"/>
            </w:tcBorders>
          </w:tcPr>
          <w:p w14:paraId="5014D7F2" w14:textId="20B9B9F5" w:rsidR="00B334AF" w:rsidRPr="00193D76" w:rsidRDefault="00E453CD">
            <w:pPr>
              <w:keepNext/>
              <w:suppressAutoHyphens/>
              <w:rPr>
                <w:del w:id="8162" w:author="AbbVie02no" w:date="2025-05-15T13:45:00Z"/>
                <w:szCs w:val="22"/>
              </w:rPr>
              <w:pPrChange w:id="8163" w:author="AbbVie02no" w:date="2025-05-15T13:45:00Z">
                <w:pPr>
                  <w:pStyle w:val="EMEANormal"/>
                  <w:jc w:val="center"/>
                </w:pPr>
              </w:pPrChange>
            </w:pPr>
            <w:del w:id="8164" w:author="AbbVie02no" w:date="2025-05-15T13:45:00Z">
              <w:r w:rsidRPr="00193D76">
                <w:rPr>
                  <w:szCs w:val="22"/>
                </w:rPr>
                <w:delText>Placebo</w:delText>
              </w:r>
            </w:del>
          </w:p>
          <w:p w14:paraId="4AAD378E" w14:textId="29CE30FE" w:rsidR="00B334AF" w:rsidRPr="002D0790" w:rsidRDefault="00E453CD">
            <w:pPr>
              <w:keepNext/>
              <w:suppressAutoHyphens/>
              <w:rPr>
                <w:del w:id="8165" w:author="AbbVie02no" w:date="2025-05-15T13:45:00Z"/>
                <w:szCs w:val="22"/>
              </w:rPr>
              <w:pPrChange w:id="8166" w:author="AbbVie02no" w:date="2025-05-15T13:45:00Z">
                <w:pPr>
                  <w:pStyle w:val="EMEANormal"/>
                  <w:jc w:val="center"/>
                </w:pPr>
              </w:pPrChange>
            </w:pPr>
            <w:del w:id="8167" w:author="AbbVie02no" w:date="2025-05-15T13:45:00Z">
              <w:r w:rsidRPr="002D0790">
                <w:rPr>
                  <w:szCs w:val="22"/>
                </w:rPr>
                <w:delText>N=162</w:delText>
              </w:r>
            </w:del>
          </w:p>
        </w:tc>
        <w:tc>
          <w:tcPr>
            <w:tcW w:w="1315" w:type="dxa"/>
            <w:tcBorders>
              <w:top w:val="single" w:sz="4" w:space="0" w:color="auto"/>
              <w:left w:val="single" w:sz="4" w:space="0" w:color="auto"/>
              <w:bottom w:val="single" w:sz="4" w:space="0" w:color="auto"/>
              <w:right w:val="nil"/>
            </w:tcBorders>
          </w:tcPr>
          <w:p w14:paraId="723917DA" w14:textId="6618EDCB" w:rsidR="00B334AF" w:rsidRPr="002D0790" w:rsidRDefault="00E453CD">
            <w:pPr>
              <w:keepNext/>
              <w:suppressAutoHyphens/>
              <w:rPr>
                <w:del w:id="8168" w:author="AbbVie02no" w:date="2025-05-15T13:45:00Z"/>
                <w:szCs w:val="22"/>
              </w:rPr>
              <w:pPrChange w:id="8169" w:author="AbbVie02no" w:date="2025-05-15T13:45:00Z">
                <w:pPr>
                  <w:pStyle w:val="EMEANormal"/>
                  <w:jc w:val="center"/>
                </w:pPr>
              </w:pPrChange>
            </w:pPr>
            <w:del w:id="8170" w:author="AbbVie02no" w:date="2025-05-15T13:45:00Z">
              <w:r w:rsidRPr="002D0790">
                <w:rPr>
                  <w:szCs w:val="22"/>
                </w:rPr>
                <w:delText>Humira</w:delText>
              </w:r>
            </w:del>
          </w:p>
          <w:p w14:paraId="1354FB29" w14:textId="4D140A97" w:rsidR="00B334AF" w:rsidRPr="00E14E58" w:rsidRDefault="00E453CD">
            <w:pPr>
              <w:keepNext/>
              <w:suppressAutoHyphens/>
              <w:rPr>
                <w:del w:id="8171" w:author="AbbVie02no" w:date="2025-05-15T13:45:00Z"/>
                <w:szCs w:val="22"/>
              </w:rPr>
              <w:pPrChange w:id="8172" w:author="AbbVie02no" w:date="2025-05-15T13:45:00Z">
                <w:pPr>
                  <w:pStyle w:val="EMEANormal"/>
                  <w:jc w:val="center"/>
                </w:pPr>
              </w:pPrChange>
            </w:pPr>
            <w:del w:id="8173" w:author="AbbVie02no" w:date="2025-05-15T13:45:00Z">
              <w:r w:rsidRPr="00E14E58">
                <w:rPr>
                  <w:szCs w:val="22"/>
                </w:rPr>
                <w:delText>N=151</w:delText>
              </w:r>
            </w:del>
          </w:p>
        </w:tc>
        <w:tc>
          <w:tcPr>
            <w:tcW w:w="1342" w:type="dxa"/>
            <w:tcBorders>
              <w:top w:val="single" w:sz="4" w:space="0" w:color="auto"/>
              <w:left w:val="single" w:sz="4" w:space="0" w:color="auto"/>
              <w:bottom w:val="single" w:sz="4" w:space="0" w:color="auto"/>
              <w:right w:val="single" w:sz="4" w:space="0" w:color="auto"/>
            </w:tcBorders>
          </w:tcPr>
          <w:p w14:paraId="3E341C33" w14:textId="01F12295" w:rsidR="00B334AF" w:rsidRPr="009C5EFD" w:rsidRDefault="00E453CD">
            <w:pPr>
              <w:keepNext/>
              <w:suppressAutoHyphens/>
              <w:rPr>
                <w:del w:id="8174" w:author="AbbVie02no" w:date="2025-05-15T13:45:00Z"/>
                <w:szCs w:val="22"/>
              </w:rPr>
              <w:pPrChange w:id="8175" w:author="AbbVie02no" w:date="2025-05-15T13:45:00Z">
                <w:pPr>
                  <w:pStyle w:val="EMEANormal"/>
                  <w:jc w:val="center"/>
                </w:pPr>
              </w:pPrChange>
            </w:pPr>
            <w:del w:id="8176" w:author="AbbVie02no" w:date="2025-05-15T13:45:00Z">
              <w:r w:rsidRPr="009C5EFD">
                <w:rPr>
                  <w:szCs w:val="22"/>
                </w:rPr>
                <w:delText>Placebo</w:delText>
              </w:r>
            </w:del>
          </w:p>
          <w:p w14:paraId="702AB53A" w14:textId="11B4A740" w:rsidR="00B334AF" w:rsidRPr="009C5EFD" w:rsidRDefault="00E453CD">
            <w:pPr>
              <w:keepNext/>
              <w:suppressAutoHyphens/>
              <w:rPr>
                <w:del w:id="8177" w:author="AbbVie02no" w:date="2025-05-15T13:45:00Z"/>
                <w:szCs w:val="22"/>
              </w:rPr>
              <w:pPrChange w:id="8178" w:author="AbbVie02no" w:date="2025-05-15T13:45:00Z">
                <w:pPr>
                  <w:pStyle w:val="EMEANormal"/>
                  <w:jc w:val="center"/>
                </w:pPr>
              </w:pPrChange>
            </w:pPr>
            <w:del w:id="8179" w:author="AbbVie02no" w:date="2025-05-15T13:45:00Z">
              <w:r w:rsidRPr="009C5EFD">
                <w:rPr>
                  <w:szCs w:val="22"/>
                </w:rPr>
                <w:delText>N=49</w:delText>
              </w:r>
            </w:del>
          </w:p>
        </w:tc>
        <w:tc>
          <w:tcPr>
            <w:tcW w:w="1315" w:type="dxa"/>
            <w:tcBorders>
              <w:top w:val="single" w:sz="4" w:space="0" w:color="auto"/>
              <w:left w:val="single" w:sz="4" w:space="0" w:color="auto"/>
              <w:bottom w:val="single" w:sz="4" w:space="0" w:color="auto"/>
              <w:right w:val="single" w:sz="4" w:space="0" w:color="auto"/>
            </w:tcBorders>
          </w:tcPr>
          <w:p w14:paraId="31777712" w14:textId="1ECA647B" w:rsidR="00B334AF" w:rsidRPr="009C5EFD" w:rsidRDefault="00E453CD">
            <w:pPr>
              <w:keepNext/>
              <w:suppressAutoHyphens/>
              <w:rPr>
                <w:del w:id="8180" w:author="AbbVie02no" w:date="2025-05-15T13:45:00Z"/>
                <w:szCs w:val="22"/>
              </w:rPr>
              <w:pPrChange w:id="8181" w:author="AbbVie02no" w:date="2025-05-15T13:45:00Z">
                <w:pPr>
                  <w:pStyle w:val="EMEANormal"/>
                  <w:jc w:val="center"/>
                </w:pPr>
              </w:pPrChange>
            </w:pPr>
            <w:del w:id="8182" w:author="AbbVie02no" w:date="2025-05-15T13:45:00Z">
              <w:r w:rsidRPr="009C5EFD">
                <w:rPr>
                  <w:szCs w:val="22"/>
                </w:rPr>
                <w:delText>Humira</w:delText>
              </w:r>
            </w:del>
          </w:p>
          <w:p w14:paraId="4F1FB0E6" w14:textId="49F12BA5" w:rsidR="00B334AF" w:rsidRPr="009C5EFD" w:rsidRDefault="00E453CD">
            <w:pPr>
              <w:keepNext/>
              <w:suppressAutoHyphens/>
              <w:rPr>
                <w:del w:id="8183" w:author="AbbVie02no" w:date="2025-05-15T13:45:00Z"/>
                <w:szCs w:val="22"/>
              </w:rPr>
              <w:pPrChange w:id="8184" w:author="AbbVie02no" w:date="2025-05-15T13:45:00Z">
                <w:pPr>
                  <w:pStyle w:val="EMEANormal"/>
                  <w:jc w:val="center"/>
                </w:pPr>
              </w:pPrChange>
            </w:pPr>
            <w:del w:id="8185" w:author="AbbVie02no" w:date="2025-05-15T13:45:00Z">
              <w:r w:rsidRPr="009C5EFD">
                <w:rPr>
                  <w:szCs w:val="22"/>
                </w:rPr>
                <w:delText>N=51</w:delText>
              </w:r>
            </w:del>
          </w:p>
        </w:tc>
      </w:tr>
      <w:tr w:rsidR="004644D4" w14:paraId="6939922C" w14:textId="684A7B7F" w:rsidTr="00AB7697">
        <w:trPr>
          <w:jc w:val="center"/>
          <w:del w:id="8186" w:author="AbbVie02no" w:date="2025-05-15T13:45:00Z"/>
        </w:trPr>
        <w:tc>
          <w:tcPr>
            <w:tcW w:w="1771" w:type="dxa"/>
            <w:tcBorders>
              <w:top w:val="single" w:sz="4" w:space="0" w:color="auto"/>
              <w:left w:val="single" w:sz="4" w:space="0" w:color="auto"/>
              <w:bottom w:val="nil"/>
              <w:right w:val="single" w:sz="4" w:space="0" w:color="auto"/>
            </w:tcBorders>
          </w:tcPr>
          <w:p w14:paraId="57D59DD5" w14:textId="614651A1" w:rsidR="00B334AF" w:rsidRPr="007F67EE" w:rsidRDefault="00E453CD">
            <w:pPr>
              <w:keepNext/>
              <w:suppressAutoHyphens/>
              <w:rPr>
                <w:del w:id="8187" w:author="AbbVie02no" w:date="2025-05-15T13:45:00Z"/>
                <w:szCs w:val="22"/>
              </w:rPr>
              <w:pPrChange w:id="8188" w:author="AbbVie02no" w:date="2025-05-15T13:45:00Z">
                <w:pPr>
                  <w:pStyle w:val="EMEANormal"/>
                  <w:keepNext/>
                </w:pPr>
              </w:pPrChange>
            </w:pPr>
            <w:del w:id="8189" w:author="AbbVie02no" w:date="2025-05-15T13:45:00Z">
              <w:r w:rsidRPr="007F67EE">
                <w:rPr>
                  <w:szCs w:val="22"/>
                </w:rPr>
                <w:delText xml:space="preserve">ACR 20 </w:delText>
              </w:r>
            </w:del>
          </w:p>
        </w:tc>
        <w:tc>
          <w:tcPr>
            <w:tcW w:w="1324" w:type="dxa"/>
            <w:tcBorders>
              <w:top w:val="single" w:sz="4" w:space="0" w:color="auto"/>
              <w:left w:val="single" w:sz="4" w:space="0" w:color="auto"/>
              <w:bottom w:val="nil"/>
              <w:right w:val="single" w:sz="4" w:space="0" w:color="auto"/>
            </w:tcBorders>
          </w:tcPr>
          <w:p w14:paraId="3914EBAA" w14:textId="61B67D81" w:rsidR="00B334AF" w:rsidRPr="00193D76" w:rsidRDefault="00B334AF">
            <w:pPr>
              <w:keepNext/>
              <w:suppressAutoHyphens/>
              <w:rPr>
                <w:del w:id="8190" w:author="AbbVie02no" w:date="2025-05-15T13:45:00Z"/>
                <w:szCs w:val="22"/>
              </w:rPr>
              <w:pPrChange w:id="8191" w:author="AbbVie02no" w:date="2025-05-15T13:45:00Z">
                <w:pPr>
                  <w:pStyle w:val="EMEANormal"/>
                  <w:jc w:val="center"/>
                </w:pPr>
              </w:pPrChange>
            </w:pPr>
          </w:p>
        </w:tc>
        <w:tc>
          <w:tcPr>
            <w:tcW w:w="1315" w:type="dxa"/>
            <w:tcBorders>
              <w:top w:val="single" w:sz="4" w:space="0" w:color="auto"/>
              <w:left w:val="single" w:sz="4" w:space="0" w:color="auto"/>
              <w:bottom w:val="nil"/>
              <w:right w:val="nil"/>
            </w:tcBorders>
          </w:tcPr>
          <w:p w14:paraId="72A1B930" w14:textId="30F9ACE9" w:rsidR="00B334AF" w:rsidRPr="009C5EFD" w:rsidRDefault="00B334AF">
            <w:pPr>
              <w:keepNext/>
              <w:suppressAutoHyphens/>
              <w:rPr>
                <w:del w:id="8192" w:author="AbbVie02no" w:date="2025-05-15T13:45:00Z"/>
                <w:szCs w:val="22"/>
              </w:rPr>
              <w:pPrChange w:id="8193" w:author="AbbVie02no" w:date="2025-05-15T13:45:00Z">
                <w:pPr>
                  <w:pStyle w:val="EMEANormal"/>
                  <w:jc w:val="center"/>
                </w:pPr>
              </w:pPrChange>
            </w:pPr>
          </w:p>
        </w:tc>
        <w:tc>
          <w:tcPr>
            <w:tcW w:w="1342" w:type="dxa"/>
            <w:tcBorders>
              <w:top w:val="single" w:sz="4" w:space="0" w:color="auto"/>
              <w:left w:val="single" w:sz="4" w:space="0" w:color="auto"/>
              <w:bottom w:val="nil"/>
              <w:right w:val="single" w:sz="4" w:space="0" w:color="auto"/>
            </w:tcBorders>
          </w:tcPr>
          <w:p w14:paraId="414A5DE0" w14:textId="756B2176" w:rsidR="00B334AF" w:rsidRPr="009C5EFD" w:rsidRDefault="00B334AF">
            <w:pPr>
              <w:keepNext/>
              <w:suppressAutoHyphens/>
              <w:rPr>
                <w:del w:id="8194" w:author="AbbVie02no" w:date="2025-05-15T13:45:00Z"/>
                <w:szCs w:val="22"/>
              </w:rPr>
              <w:pPrChange w:id="8195" w:author="AbbVie02no" w:date="2025-05-15T13:45:00Z">
                <w:pPr>
                  <w:pStyle w:val="EMEANormal"/>
                  <w:jc w:val="center"/>
                </w:pPr>
              </w:pPrChange>
            </w:pPr>
          </w:p>
        </w:tc>
        <w:tc>
          <w:tcPr>
            <w:tcW w:w="1315" w:type="dxa"/>
            <w:tcBorders>
              <w:top w:val="single" w:sz="4" w:space="0" w:color="auto"/>
              <w:left w:val="single" w:sz="4" w:space="0" w:color="auto"/>
              <w:bottom w:val="nil"/>
              <w:right w:val="single" w:sz="4" w:space="0" w:color="auto"/>
            </w:tcBorders>
          </w:tcPr>
          <w:p w14:paraId="5D002288" w14:textId="29EF9C43" w:rsidR="00B334AF" w:rsidRPr="009C5EFD" w:rsidRDefault="00B334AF">
            <w:pPr>
              <w:keepNext/>
              <w:suppressAutoHyphens/>
              <w:rPr>
                <w:del w:id="8196" w:author="AbbVie02no" w:date="2025-05-15T13:45:00Z"/>
                <w:szCs w:val="22"/>
              </w:rPr>
              <w:pPrChange w:id="8197" w:author="AbbVie02no" w:date="2025-05-15T13:45:00Z">
                <w:pPr>
                  <w:pStyle w:val="EMEANormal"/>
                  <w:jc w:val="center"/>
                </w:pPr>
              </w:pPrChange>
            </w:pPr>
          </w:p>
        </w:tc>
      </w:tr>
      <w:tr w:rsidR="004644D4" w14:paraId="431E0511" w14:textId="5553F253" w:rsidTr="00AB7697">
        <w:trPr>
          <w:jc w:val="center"/>
          <w:del w:id="8198" w:author="AbbVie02no" w:date="2025-05-15T13:45:00Z"/>
        </w:trPr>
        <w:tc>
          <w:tcPr>
            <w:tcW w:w="1771" w:type="dxa"/>
            <w:tcBorders>
              <w:top w:val="nil"/>
              <w:left w:val="single" w:sz="4" w:space="0" w:color="auto"/>
              <w:bottom w:val="nil"/>
              <w:right w:val="single" w:sz="4" w:space="0" w:color="auto"/>
            </w:tcBorders>
          </w:tcPr>
          <w:p w14:paraId="60A988DC" w14:textId="59398D2B" w:rsidR="00B334AF" w:rsidRPr="007F67EE" w:rsidRDefault="00E453CD">
            <w:pPr>
              <w:keepNext/>
              <w:suppressAutoHyphens/>
              <w:rPr>
                <w:del w:id="8199" w:author="AbbVie02no" w:date="2025-05-15T13:45:00Z"/>
                <w:szCs w:val="22"/>
              </w:rPr>
              <w:pPrChange w:id="8200" w:author="AbbVie02no" w:date="2025-05-15T13:45:00Z">
                <w:pPr>
                  <w:pStyle w:val="EMEANormal"/>
                  <w:keepNext/>
                </w:pPr>
              </w:pPrChange>
            </w:pPr>
            <w:del w:id="8201" w:author="AbbVie02no" w:date="2025-05-15T13:45:00Z">
              <w:r w:rsidRPr="007F67EE">
                <w:rPr>
                  <w:szCs w:val="22"/>
                </w:rPr>
                <w:tab/>
                <w:delText>Uke 12</w:delText>
              </w:r>
            </w:del>
          </w:p>
        </w:tc>
        <w:tc>
          <w:tcPr>
            <w:tcW w:w="1324" w:type="dxa"/>
            <w:tcBorders>
              <w:top w:val="nil"/>
              <w:left w:val="single" w:sz="4" w:space="0" w:color="auto"/>
              <w:bottom w:val="nil"/>
              <w:right w:val="single" w:sz="4" w:space="0" w:color="auto"/>
            </w:tcBorders>
          </w:tcPr>
          <w:p w14:paraId="62F448D2" w14:textId="0C8E546A" w:rsidR="00B334AF" w:rsidRPr="00193D76" w:rsidRDefault="00E453CD">
            <w:pPr>
              <w:keepNext/>
              <w:suppressAutoHyphens/>
              <w:rPr>
                <w:del w:id="8202" w:author="AbbVie02no" w:date="2025-05-15T13:45:00Z"/>
                <w:szCs w:val="22"/>
              </w:rPr>
              <w:pPrChange w:id="8203" w:author="AbbVie02no" w:date="2025-05-15T13:45:00Z">
                <w:pPr>
                  <w:pStyle w:val="EMEANormal"/>
                  <w:jc w:val="center"/>
                </w:pPr>
              </w:pPrChange>
            </w:pPr>
            <w:del w:id="8204" w:author="AbbVie02no" w:date="2025-05-15T13:45:00Z">
              <w:r w:rsidRPr="00193D76">
                <w:rPr>
                  <w:szCs w:val="22"/>
                </w:rPr>
                <w:delText>14 %</w:delText>
              </w:r>
            </w:del>
          </w:p>
        </w:tc>
        <w:tc>
          <w:tcPr>
            <w:tcW w:w="1315" w:type="dxa"/>
            <w:tcBorders>
              <w:top w:val="nil"/>
              <w:left w:val="single" w:sz="4" w:space="0" w:color="auto"/>
              <w:bottom w:val="nil"/>
              <w:right w:val="nil"/>
            </w:tcBorders>
          </w:tcPr>
          <w:p w14:paraId="509A8584" w14:textId="4DC7521B" w:rsidR="00B334AF" w:rsidRPr="00E14E58" w:rsidRDefault="00E453CD">
            <w:pPr>
              <w:keepNext/>
              <w:suppressAutoHyphens/>
              <w:rPr>
                <w:del w:id="8205" w:author="AbbVie02no" w:date="2025-05-15T13:45:00Z"/>
                <w:szCs w:val="22"/>
              </w:rPr>
              <w:pPrChange w:id="8206" w:author="AbbVie02no" w:date="2025-05-15T13:45:00Z">
                <w:pPr>
                  <w:pStyle w:val="EMEANormal"/>
                  <w:jc w:val="center"/>
                </w:pPr>
              </w:pPrChange>
            </w:pPr>
            <w:del w:id="8207" w:author="AbbVie02no" w:date="2025-05-15T13:45:00Z">
              <w:r w:rsidRPr="00E14E58">
                <w:rPr>
                  <w:szCs w:val="22"/>
                </w:rPr>
                <w:delText>58 %***</w:delText>
              </w:r>
            </w:del>
          </w:p>
        </w:tc>
        <w:tc>
          <w:tcPr>
            <w:tcW w:w="1342" w:type="dxa"/>
            <w:tcBorders>
              <w:top w:val="nil"/>
              <w:left w:val="single" w:sz="4" w:space="0" w:color="auto"/>
              <w:bottom w:val="nil"/>
              <w:right w:val="single" w:sz="4" w:space="0" w:color="auto"/>
            </w:tcBorders>
          </w:tcPr>
          <w:p w14:paraId="53010200" w14:textId="5C6C8127" w:rsidR="00B334AF" w:rsidRPr="009C5EFD" w:rsidRDefault="00E453CD">
            <w:pPr>
              <w:keepNext/>
              <w:suppressAutoHyphens/>
              <w:rPr>
                <w:del w:id="8208" w:author="AbbVie02no" w:date="2025-05-15T13:45:00Z"/>
                <w:szCs w:val="22"/>
              </w:rPr>
              <w:pPrChange w:id="8209" w:author="AbbVie02no" w:date="2025-05-15T13:45:00Z">
                <w:pPr>
                  <w:pStyle w:val="EMEANormal"/>
                  <w:jc w:val="center"/>
                </w:pPr>
              </w:pPrChange>
            </w:pPr>
            <w:del w:id="8210" w:author="AbbVie02no" w:date="2025-05-15T13:45:00Z">
              <w:r w:rsidRPr="009C5EFD">
                <w:rPr>
                  <w:szCs w:val="22"/>
                </w:rPr>
                <w:delText>16 %</w:delText>
              </w:r>
            </w:del>
          </w:p>
        </w:tc>
        <w:tc>
          <w:tcPr>
            <w:tcW w:w="1315" w:type="dxa"/>
            <w:tcBorders>
              <w:top w:val="nil"/>
              <w:left w:val="single" w:sz="4" w:space="0" w:color="auto"/>
              <w:bottom w:val="nil"/>
              <w:right w:val="single" w:sz="4" w:space="0" w:color="auto"/>
            </w:tcBorders>
          </w:tcPr>
          <w:p w14:paraId="68B6AD2A" w14:textId="240B01E2" w:rsidR="00B334AF" w:rsidRPr="009C5EFD" w:rsidRDefault="00E453CD">
            <w:pPr>
              <w:keepNext/>
              <w:suppressAutoHyphens/>
              <w:rPr>
                <w:del w:id="8211" w:author="AbbVie02no" w:date="2025-05-15T13:45:00Z"/>
                <w:szCs w:val="22"/>
              </w:rPr>
              <w:pPrChange w:id="8212" w:author="AbbVie02no" w:date="2025-05-15T13:45:00Z">
                <w:pPr>
                  <w:pStyle w:val="EMEANormal"/>
                  <w:jc w:val="center"/>
                </w:pPr>
              </w:pPrChange>
            </w:pPr>
            <w:del w:id="8213" w:author="AbbVie02no" w:date="2025-05-15T13:45:00Z">
              <w:r w:rsidRPr="009C5EFD">
                <w:rPr>
                  <w:szCs w:val="22"/>
                </w:rPr>
                <w:delText>39 %*</w:delText>
              </w:r>
            </w:del>
          </w:p>
        </w:tc>
      </w:tr>
      <w:tr w:rsidR="004644D4" w14:paraId="44549775" w14:textId="4E966C9B" w:rsidTr="00AB7697">
        <w:trPr>
          <w:jc w:val="center"/>
          <w:del w:id="8214" w:author="AbbVie02no" w:date="2025-05-15T13:45:00Z"/>
        </w:trPr>
        <w:tc>
          <w:tcPr>
            <w:tcW w:w="1771" w:type="dxa"/>
            <w:tcBorders>
              <w:top w:val="nil"/>
              <w:left w:val="single" w:sz="4" w:space="0" w:color="auto"/>
              <w:bottom w:val="nil"/>
              <w:right w:val="single" w:sz="4" w:space="0" w:color="auto"/>
            </w:tcBorders>
          </w:tcPr>
          <w:p w14:paraId="71B52AB9" w14:textId="3A0AD19C" w:rsidR="00B334AF" w:rsidRPr="007F67EE" w:rsidRDefault="00E453CD">
            <w:pPr>
              <w:keepNext/>
              <w:suppressAutoHyphens/>
              <w:rPr>
                <w:del w:id="8215" w:author="AbbVie02no" w:date="2025-05-15T13:45:00Z"/>
                <w:szCs w:val="22"/>
              </w:rPr>
              <w:pPrChange w:id="8216" w:author="AbbVie02no" w:date="2025-05-15T13:45:00Z">
                <w:pPr>
                  <w:pStyle w:val="EMEANormal"/>
                  <w:keepNext/>
                </w:pPr>
              </w:pPrChange>
            </w:pPr>
            <w:del w:id="8217" w:author="AbbVie02no" w:date="2025-05-15T13:45:00Z">
              <w:r w:rsidRPr="007F67EE">
                <w:rPr>
                  <w:szCs w:val="22"/>
                </w:rPr>
                <w:tab/>
                <w:delText>Uke 24</w:delText>
              </w:r>
            </w:del>
          </w:p>
        </w:tc>
        <w:tc>
          <w:tcPr>
            <w:tcW w:w="1324" w:type="dxa"/>
            <w:tcBorders>
              <w:top w:val="nil"/>
              <w:left w:val="single" w:sz="4" w:space="0" w:color="auto"/>
              <w:bottom w:val="nil"/>
              <w:right w:val="single" w:sz="4" w:space="0" w:color="auto"/>
            </w:tcBorders>
          </w:tcPr>
          <w:p w14:paraId="4E34FB55" w14:textId="56C1B1FA" w:rsidR="00B334AF" w:rsidRPr="00193D76" w:rsidRDefault="00E453CD">
            <w:pPr>
              <w:keepNext/>
              <w:suppressAutoHyphens/>
              <w:rPr>
                <w:del w:id="8218" w:author="AbbVie02no" w:date="2025-05-15T13:45:00Z"/>
                <w:szCs w:val="22"/>
              </w:rPr>
              <w:pPrChange w:id="8219" w:author="AbbVie02no" w:date="2025-05-15T13:45:00Z">
                <w:pPr>
                  <w:pStyle w:val="EMEANormal"/>
                  <w:jc w:val="center"/>
                </w:pPr>
              </w:pPrChange>
            </w:pPr>
            <w:del w:id="8220" w:author="AbbVie02no" w:date="2025-05-15T13:45:00Z">
              <w:r w:rsidRPr="00193D76">
                <w:rPr>
                  <w:szCs w:val="22"/>
                </w:rPr>
                <w:delText>15 %</w:delText>
              </w:r>
            </w:del>
          </w:p>
        </w:tc>
        <w:tc>
          <w:tcPr>
            <w:tcW w:w="1315" w:type="dxa"/>
            <w:tcBorders>
              <w:top w:val="nil"/>
              <w:left w:val="single" w:sz="4" w:space="0" w:color="auto"/>
              <w:bottom w:val="nil"/>
              <w:right w:val="nil"/>
            </w:tcBorders>
          </w:tcPr>
          <w:p w14:paraId="619ADD18" w14:textId="1FCF1C6D" w:rsidR="00B334AF" w:rsidRPr="00E14E58" w:rsidRDefault="00E453CD">
            <w:pPr>
              <w:keepNext/>
              <w:suppressAutoHyphens/>
              <w:rPr>
                <w:del w:id="8221" w:author="AbbVie02no" w:date="2025-05-15T13:45:00Z"/>
                <w:szCs w:val="22"/>
              </w:rPr>
              <w:pPrChange w:id="8222" w:author="AbbVie02no" w:date="2025-05-15T13:45:00Z">
                <w:pPr>
                  <w:pStyle w:val="EMEANormal"/>
                  <w:jc w:val="center"/>
                </w:pPr>
              </w:pPrChange>
            </w:pPr>
            <w:del w:id="8223" w:author="AbbVie02no" w:date="2025-05-15T13:45:00Z">
              <w:r w:rsidRPr="00E14E58">
                <w:rPr>
                  <w:szCs w:val="22"/>
                </w:rPr>
                <w:delText>57 %***</w:delText>
              </w:r>
            </w:del>
          </w:p>
        </w:tc>
        <w:tc>
          <w:tcPr>
            <w:tcW w:w="1342" w:type="dxa"/>
            <w:tcBorders>
              <w:top w:val="nil"/>
              <w:left w:val="single" w:sz="4" w:space="0" w:color="auto"/>
              <w:bottom w:val="nil"/>
              <w:right w:val="single" w:sz="4" w:space="0" w:color="auto"/>
            </w:tcBorders>
          </w:tcPr>
          <w:p w14:paraId="0D20CD2B" w14:textId="08B99166" w:rsidR="00B334AF" w:rsidRPr="009C5EFD" w:rsidRDefault="00E453CD">
            <w:pPr>
              <w:keepNext/>
              <w:suppressAutoHyphens/>
              <w:rPr>
                <w:del w:id="8224" w:author="AbbVie02no" w:date="2025-05-15T13:45:00Z"/>
                <w:szCs w:val="22"/>
              </w:rPr>
              <w:pPrChange w:id="8225" w:author="AbbVie02no" w:date="2025-05-15T13:45:00Z">
                <w:pPr>
                  <w:pStyle w:val="EMEANormal"/>
                  <w:jc w:val="center"/>
                </w:pPr>
              </w:pPrChange>
            </w:pPr>
            <w:del w:id="8226" w:author="AbbVie02no" w:date="2025-05-15T13:45:00Z">
              <w:r w:rsidRPr="009C5EFD">
                <w:rPr>
                  <w:szCs w:val="22"/>
                </w:rPr>
                <w:delText>N/A</w:delText>
              </w:r>
            </w:del>
          </w:p>
        </w:tc>
        <w:tc>
          <w:tcPr>
            <w:tcW w:w="1315" w:type="dxa"/>
            <w:tcBorders>
              <w:top w:val="nil"/>
              <w:left w:val="single" w:sz="4" w:space="0" w:color="auto"/>
              <w:bottom w:val="nil"/>
              <w:right w:val="single" w:sz="4" w:space="0" w:color="auto"/>
            </w:tcBorders>
          </w:tcPr>
          <w:p w14:paraId="3E6BB03B" w14:textId="236E03D9" w:rsidR="00B334AF" w:rsidRPr="009C5EFD" w:rsidRDefault="00E453CD">
            <w:pPr>
              <w:keepNext/>
              <w:suppressAutoHyphens/>
              <w:rPr>
                <w:del w:id="8227" w:author="AbbVie02no" w:date="2025-05-15T13:45:00Z"/>
                <w:szCs w:val="22"/>
              </w:rPr>
              <w:pPrChange w:id="8228" w:author="AbbVie02no" w:date="2025-05-15T13:45:00Z">
                <w:pPr>
                  <w:pStyle w:val="EMEANormal"/>
                  <w:jc w:val="center"/>
                </w:pPr>
              </w:pPrChange>
            </w:pPr>
            <w:del w:id="8229" w:author="AbbVie02no" w:date="2025-05-15T13:45:00Z">
              <w:r w:rsidRPr="009C5EFD">
                <w:rPr>
                  <w:szCs w:val="22"/>
                </w:rPr>
                <w:delText>N/A</w:delText>
              </w:r>
            </w:del>
          </w:p>
        </w:tc>
      </w:tr>
      <w:tr w:rsidR="004644D4" w14:paraId="3777F454" w14:textId="222F2CD2" w:rsidTr="00AB7697">
        <w:trPr>
          <w:jc w:val="center"/>
          <w:del w:id="8230" w:author="AbbVie02no" w:date="2025-05-15T13:45:00Z"/>
        </w:trPr>
        <w:tc>
          <w:tcPr>
            <w:tcW w:w="1771" w:type="dxa"/>
            <w:tcBorders>
              <w:top w:val="nil"/>
              <w:left w:val="single" w:sz="4" w:space="0" w:color="auto"/>
              <w:bottom w:val="nil"/>
              <w:right w:val="single" w:sz="4" w:space="0" w:color="auto"/>
            </w:tcBorders>
          </w:tcPr>
          <w:p w14:paraId="7C433D0A" w14:textId="26E2E027" w:rsidR="00B334AF" w:rsidRPr="007F67EE" w:rsidRDefault="00E453CD">
            <w:pPr>
              <w:keepNext/>
              <w:suppressAutoHyphens/>
              <w:rPr>
                <w:del w:id="8231" w:author="AbbVie02no" w:date="2025-05-15T13:45:00Z"/>
                <w:szCs w:val="22"/>
              </w:rPr>
              <w:pPrChange w:id="8232" w:author="AbbVie02no" w:date="2025-05-15T13:45:00Z">
                <w:pPr>
                  <w:pStyle w:val="EMEANormal"/>
                  <w:keepNext/>
                </w:pPr>
              </w:pPrChange>
            </w:pPr>
            <w:del w:id="8233" w:author="AbbVie02no" w:date="2025-05-15T13:45:00Z">
              <w:r w:rsidRPr="007F67EE">
                <w:rPr>
                  <w:szCs w:val="22"/>
                </w:rPr>
                <w:delText xml:space="preserve">ACR 50 </w:delText>
              </w:r>
            </w:del>
          </w:p>
        </w:tc>
        <w:tc>
          <w:tcPr>
            <w:tcW w:w="1324" w:type="dxa"/>
            <w:tcBorders>
              <w:top w:val="nil"/>
              <w:left w:val="single" w:sz="4" w:space="0" w:color="auto"/>
              <w:bottom w:val="nil"/>
              <w:right w:val="single" w:sz="4" w:space="0" w:color="auto"/>
            </w:tcBorders>
          </w:tcPr>
          <w:p w14:paraId="3A89AB29" w14:textId="68BDFF6C" w:rsidR="00B334AF" w:rsidRPr="00193D76" w:rsidRDefault="00B334AF">
            <w:pPr>
              <w:keepNext/>
              <w:suppressAutoHyphens/>
              <w:rPr>
                <w:del w:id="8234" w:author="AbbVie02no" w:date="2025-05-15T13:45:00Z"/>
                <w:szCs w:val="22"/>
              </w:rPr>
              <w:pPrChange w:id="8235" w:author="AbbVie02no" w:date="2025-05-15T13:45:00Z">
                <w:pPr>
                  <w:pStyle w:val="EMEANormal"/>
                  <w:jc w:val="center"/>
                </w:pPr>
              </w:pPrChange>
            </w:pPr>
          </w:p>
        </w:tc>
        <w:tc>
          <w:tcPr>
            <w:tcW w:w="1315" w:type="dxa"/>
            <w:tcBorders>
              <w:top w:val="nil"/>
              <w:left w:val="single" w:sz="4" w:space="0" w:color="auto"/>
              <w:bottom w:val="nil"/>
              <w:right w:val="nil"/>
            </w:tcBorders>
          </w:tcPr>
          <w:p w14:paraId="4E78078E" w14:textId="5BFCC878" w:rsidR="00B334AF" w:rsidRPr="00E14E58" w:rsidRDefault="00B334AF">
            <w:pPr>
              <w:keepNext/>
              <w:suppressAutoHyphens/>
              <w:rPr>
                <w:del w:id="8236" w:author="AbbVie02no" w:date="2025-05-15T13:45:00Z"/>
                <w:szCs w:val="22"/>
              </w:rPr>
              <w:pPrChange w:id="8237" w:author="AbbVie02no" w:date="2025-05-15T13:45:00Z">
                <w:pPr>
                  <w:pStyle w:val="EMEANormal"/>
                  <w:jc w:val="center"/>
                </w:pPr>
              </w:pPrChange>
            </w:pPr>
          </w:p>
        </w:tc>
        <w:tc>
          <w:tcPr>
            <w:tcW w:w="1342" w:type="dxa"/>
            <w:tcBorders>
              <w:top w:val="nil"/>
              <w:left w:val="single" w:sz="4" w:space="0" w:color="auto"/>
              <w:bottom w:val="nil"/>
              <w:right w:val="single" w:sz="4" w:space="0" w:color="auto"/>
            </w:tcBorders>
          </w:tcPr>
          <w:p w14:paraId="6DC6AD3F" w14:textId="0BA39590" w:rsidR="00B334AF" w:rsidRPr="009C5EFD" w:rsidRDefault="00B334AF">
            <w:pPr>
              <w:keepNext/>
              <w:suppressAutoHyphens/>
              <w:rPr>
                <w:del w:id="8238" w:author="AbbVie02no" w:date="2025-05-15T13:45:00Z"/>
                <w:szCs w:val="22"/>
              </w:rPr>
              <w:pPrChange w:id="8239" w:author="AbbVie02no" w:date="2025-05-15T13:45:00Z">
                <w:pPr>
                  <w:pStyle w:val="EMEANormal"/>
                  <w:jc w:val="center"/>
                </w:pPr>
              </w:pPrChange>
            </w:pPr>
          </w:p>
        </w:tc>
        <w:tc>
          <w:tcPr>
            <w:tcW w:w="1315" w:type="dxa"/>
            <w:tcBorders>
              <w:top w:val="nil"/>
              <w:left w:val="single" w:sz="4" w:space="0" w:color="auto"/>
              <w:bottom w:val="nil"/>
              <w:right w:val="single" w:sz="4" w:space="0" w:color="auto"/>
            </w:tcBorders>
          </w:tcPr>
          <w:p w14:paraId="79F141D8" w14:textId="1DAD735B" w:rsidR="00B334AF" w:rsidRPr="009C5EFD" w:rsidRDefault="00B334AF">
            <w:pPr>
              <w:keepNext/>
              <w:suppressAutoHyphens/>
              <w:rPr>
                <w:del w:id="8240" w:author="AbbVie02no" w:date="2025-05-15T13:45:00Z"/>
                <w:szCs w:val="22"/>
              </w:rPr>
              <w:pPrChange w:id="8241" w:author="AbbVie02no" w:date="2025-05-15T13:45:00Z">
                <w:pPr>
                  <w:pStyle w:val="EMEANormal"/>
                  <w:jc w:val="center"/>
                </w:pPr>
              </w:pPrChange>
            </w:pPr>
          </w:p>
        </w:tc>
      </w:tr>
      <w:tr w:rsidR="004644D4" w14:paraId="0DD70FD1" w14:textId="1D7A3F9E" w:rsidTr="00AB7697">
        <w:trPr>
          <w:jc w:val="center"/>
          <w:del w:id="8242" w:author="AbbVie02no" w:date="2025-05-15T13:45:00Z"/>
        </w:trPr>
        <w:tc>
          <w:tcPr>
            <w:tcW w:w="1771" w:type="dxa"/>
            <w:tcBorders>
              <w:top w:val="nil"/>
              <w:left w:val="single" w:sz="4" w:space="0" w:color="auto"/>
              <w:bottom w:val="nil"/>
              <w:right w:val="single" w:sz="4" w:space="0" w:color="auto"/>
            </w:tcBorders>
          </w:tcPr>
          <w:p w14:paraId="0FE513E9" w14:textId="0BF44424" w:rsidR="00B334AF" w:rsidRPr="007F67EE" w:rsidRDefault="00E453CD">
            <w:pPr>
              <w:keepNext/>
              <w:suppressAutoHyphens/>
              <w:rPr>
                <w:del w:id="8243" w:author="AbbVie02no" w:date="2025-05-15T13:45:00Z"/>
                <w:szCs w:val="22"/>
              </w:rPr>
              <w:pPrChange w:id="8244" w:author="AbbVie02no" w:date="2025-05-15T13:45:00Z">
                <w:pPr>
                  <w:pStyle w:val="EMEANormal"/>
                  <w:keepNext/>
                </w:pPr>
              </w:pPrChange>
            </w:pPr>
            <w:del w:id="8245" w:author="AbbVie02no" w:date="2025-05-15T13:45:00Z">
              <w:r w:rsidRPr="007F67EE">
                <w:rPr>
                  <w:szCs w:val="22"/>
                </w:rPr>
                <w:tab/>
                <w:delText>Uke 12</w:delText>
              </w:r>
            </w:del>
          </w:p>
        </w:tc>
        <w:tc>
          <w:tcPr>
            <w:tcW w:w="1324" w:type="dxa"/>
            <w:tcBorders>
              <w:top w:val="nil"/>
              <w:left w:val="single" w:sz="4" w:space="0" w:color="auto"/>
              <w:bottom w:val="nil"/>
              <w:right w:val="single" w:sz="4" w:space="0" w:color="auto"/>
            </w:tcBorders>
          </w:tcPr>
          <w:p w14:paraId="62397981" w14:textId="137929D3" w:rsidR="00B334AF" w:rsidRPr="00193D76" w:rsidRDefault="00E453CD">
            <w:pPr>
              <w:keepNext/>
              <w:suppressAutoHyphens/>
              <w:rPr>
                <w:del w:id="8246" w:author="AbbVie02no" w:date="2025-05-15T13:45:00Z"/>
                <w:szCs w:val="22"/>
              </w:rPr>
              <w:pPrChange w:id="8247" w:author="AbbVie02no" w:date="2025-05-15T13:45:00Z">
                <w:pPr>
                  <w:pStyle w:val="EMEANormal"/>
                  <w:jc w:val="center"/>
                </w:pPr>
              </w:pPrChange>
            </w:pPr>
            <w:del w:id="8248" w:author="AbbVie02no" w:date="2025-05-15T13:45:00Z">
              <w:r w:rsidRPr="00193D76">
                <w:rPr>
                  <w:szCs w:val="22"/>
                </w:rPr>
                <w:delText>4 %</w:delText>
              </w:r>
            </w:del>
          </w:p>
        </w:tc>
        <w:tc>
          <w:tcPr>
            <w:tcW w:w="1315" w:type="dxa"/>
            <w:tcBorders>
              <w:top w:val="nil"/>
              <w:left w:val="single" w:sz="4" w:space="0" w:color="auto"/>
              <w:bottom w:val="nil"/>
              <w:right w:val="nil"/>
            </w:tcBorders>
          </w:tcPr>
          <w:p w14:paraId="51F73BFA" w14:textId="63225A22" w:rsidR="00B334AF" w:rsidRPr="00E14E58" w:rsidRDefault="00E453CD">
            <w:pPr>
              <w:keepNext/>
              <w:suppressAutoHyphens/>
              <w:rPr>
                <w:del w:id="8249" w:author="AbbVie02no" w:date="2025-05-15T13:45:00Z"/>
                <w:szCs w:val="22"/>
              </w:rPr>
              <w:pPrChange w:id="8250" w:author="AbbVie02no" w:date="2025-05-15T13:45:00Z">
                <w:pPr>
                  <w:pStyle w:val="EMEANormal"/>
                  <w:jc w:val="center"/>
                </w:pPr>
              </w:pPrChange>
            </w:pPr>
            <w:del w:id="8251" w:author="AbbVie02no" w:date="2025-05-15T13:45:00Z">
              <w:r w:rsidRPr="00E14E58">
                <w:rPr>
                  <w:szCs w:val="22"/>
                </w:rPr>
                <w:delText>36 %***</w:delText>
              </w:r>
            </w:del>
          </w:p>
        </w:tc>
        <w:tc>
          <w:tcPr>
            <w:tcW w:w="1342" w:type="dxa"/>
            <w:tcBorders>
              <w:top w:val="nil"/>
              <w:left w:val="single" w:sz="4" w:space="0" w:color="auto"/>
              <w:bottom w:val="nil"/>
              <w:right w:val="single" w:sz="4" w:space="0" w:color="auto"/>
            </w:tcBorders>
          </w:tcPr>
          <w:p w14:paraId="14C4D82A" w14:textId="74400E57" w:rsidR="00B334AF" w:rsidRPr="009C5EFD" w:rsidRDefault="00E453CD">
            <w:pPr>
              <w:keepNext/>
              <w:suppressAutoHyphens/>
              <w:rPr>
                <w:del w:id="8252" w:author="AbbVie02no" w:date="2025-05-15T13:45:00Z"/>
                <w:szCs w:val="22"/>
              </w:rPr>
              <w:pPrChange w:id="8253" w:author="AbbVie02no" w:date="2025-05-15T13:45:00Z">
                <w:pPr>
                  <w:pStyle w:val="EMEANormal"/>
                  <w:jc w:val="center"/>
                </w:pPr>
              </w:pPrChange>
            </w:pPr>
            <w:del w:id="8254" w:author="AbbVie02no" w:date="2025-05-15T13:45:00Z">
              <w:r w:rsidRPr="009C5EFD">
                <w:rPr>
                  <w:szCs w:val="22"/>
                </w:rPr>
                <w:delText>2 %</w:delText>
              </w:r>
            </w:del>
          </w:p>
        </w:tc>
        <w:tc>
          <w:tcPr>
            <w:tcW w:w="1315" w:type="dxa"/>
            <w:tcBorders>
              <w:top w:val="nil"/>
              <w:left w:val="single" w:sz="4" w:space="0" w:color="auto"/>
              <w:bottom w:val="nil"/>
              <w:right w:val="single" w:sz="4" w:space="0" w:color="auto"/>
            </w:tcBorders>
          </w:tcPr>
          <w:p w14:paraId="5EA57DC6" w14:textId="5042606E" w:rsidR="00B334AF" w:rsidRPr="009C5EFD" w:rsidRDefault="00E453CD">
            <w:pPr>
              <w:keepNext/>
              <w:suppressAutoHyphens/>
              <w:rPr>
                <w:del w:id="8255" w:author="AbbVie02no" w:date="2025-05-15T13:45:00Z"/>
                <w:szCs w:val="22"/>
              </w:rPr>
              <w:pPrChange w:id="8256" w:author="AbbVie02no" w:date="2025-05-15T13:45:00Z">
                <w:pPr>
                  <w:pStyle w:val="EMEANormal"/>
                  <w:jc w:val="center"/>
                </w:pPr>
              </w:pPrChange>
            </w:pPr>
            <w:del w:id="8257" w:author="AbbVie02no" w:date="2025-05-15T13:45:00Z">
              <w:r w:rsidRPr="009C5EFD">
                <w:rPr>
                  <w:szCs w:val="22"/>
                </w:rPr>
                <w:delText>25 %***</w:delText>
              </w:r>
            </w:del>
          </w:p>
        </w:tc>
      </w:tr>
      <w:tr w:rsidR="004644D4" w14:paraId="36E86D9A" w14:textId="4CB15D8B" w:rsidTr="00AB7697">
        <w:trPr>
          <w:jc w:val="center"/>
          <w:del w:id="8258" w:author="AbbVie02no" w:date="2025-05-15T13:45:00Z"/>
        </w:trPr>
        <w:tc>
          <w:tcPr>
            <w:tcW w:w="1771" w:type="dxa"/>
            <w:tcBorders>
              <w:top w:val="nil"/>
              <w:left w:val="single" w:sz="4" w:space="0" w:color="auto"/>
              <w:bottom w:val="nil"/>
              <w:right w:val="single" w:sz="4" w:space="0" w:color="auto"/>
            </w:tcBorders>
          </w:tcPr>
          <w:p w14:paraId="0E867435" w14:textId="477C5382" w:rsidR="00B334AF" w:rsidRPr="007F67EE" w:rsidRDefault="00E453CD">
            <w:pPr>
              <w:keepNext/>
              <w:suppressAutoHyphens/>
              <w:rPr>
                <w:del w:id="8259" w:author="AbbVie02no" w:date="2025-05-15T13:45:00Z"/>
                <w:szCs w:val="22"/>
              </w:rPr>
              <w:pPrChange w:id="8260" w:author="AbbVie02no" w:date="2025-05-15T13:45:00Z">
                <w:pPr>
                  <w:pStyle w:val="EMEANormal"/>
                  <w:keepNext/>
                </w:pPr>
              </w:pPrChange>
            </w:pPr>
            <w:del w:id="8261" w:author="AbbVie02no" w:date="2025-05-15T13:45:00Z">
              <w:r w:rsidRPr="007F67EE">
                <w:rPr>
                  <w:szCs w:val="22"/>
                </w:rPr>
                <w:tab/>
                <w:delText>Uke 24</w:delText>
              </w:r>
            </w:del>
          </w:p>
        </w:tc>
        <w:tc>
          <w:tcPr>
            <w:tcW w:w="1324" w:type="dxa"/>
            <w:tcBorders>
              <w:top w:val="nil"/>
              <w:left w:val="single" w:sz="4" w:space="0" w:color="auto"/>
              <w:bottom w:val="nil"/>
              <w:right w:val="single" w:sz="4" w:space="0" w:color="auto"/>
            </w:tcBorders>
          </w:tcPr>
          <w:p w14:paraId="5724E055" w14:textId="192DEB67" w:rsidR="00B334AF" w:rsidRPr="00193D76" w:rsidRDefault="00E453CD">
            <w:pPr>
              <w:keepNext/>
              <w:suppressAutoHyphens/>
              <w:rPr>
                <w:del w:id="8262" w:author="AbbVie02no" w:date="2025-05-15T13:45:00Z"/>
                <w:szCs w:val="22"/>
              </w:rPr>
              <w:pPrChange w:id="8263" w:author="AbbVie02no" w:date="2025-05-15T13:45:00Z">
                <w:pPr>
                  <w:pStyle w:val="EMEANormal"/>
                  <w:jc w:val="center"/>
                </w:pPr>
              </w:pPrChange>
            </w:pPr>
            <w:del w:id="8264" w:author="AbbVie02no" w:date="2025-05-15T13:45:00Z">
              <w:r w:rsidRPr="00193D76">
                <w:rPr>
                  <w:szCs w:val="22"/>
                </w:rPr>
                <w:delText>6 %</w:delText>
              </w:r>
            </w:del>
          </w:p>
        </w:tc>
        <w:tc>
          <w:tcPr>
            <w:tcW w:w="1315" w:type="dxa"/>
            <w:tcBorders>
              <w:top w:val="nil"/>
              <w:left w:val="single" w:sz="4" w:space="0" w:color="auto"/>
              <w:bottom w:val="nil"/>
              <w:right w:val="nil"/>
            </w:tcBorders>
          </w:tcPr>
          <w:p w14:paraId="3CBEF6DE" w14:textId="23982D80" w:rsidR="00B334AF" w:rsidRPr="00E14E58" w:rsidRDefault="00E453CD">
            <w:pPr>
              <w:keepNext/>
              <w:suppressAutoHyphens/>
              <w:rPr>
                <w:del w:id="8265" w:author="AbbVie02no" w:date="2025-05-15T13:45:00Z"/>
                <w:szCs w:val="22"/>
              </w:rPr>
              <w:pPrChange w:id="8266" w:author="AbbVie02no" w:date="2025-05-15T13:45:00Z">
                <w:pPr>
                  <w:pStyle w:val="EMEANormal"/>
                  <w:jc w:val="center"/>
                </w:pPr>
              </w:pPrChange>
            </w:pPr>
            <w:del w:id="8267" w:author="AbbVie02no" w:date="2025-05-15T13:45:00Z">
              <w:r w:rsidRPr="00E14E58">
                <w:rPr>
                  <w:szCs w:val="22"/>
                </w:rPr>
                <w:delText>39 %***</w:delText>
              </w:r>
            </w:del>
          </w:p>
        </w:tc>
        <w:tc>
          <w:tcPr>
            <w:tcW w:w="1342" w:type="dxa"/>
            <w:tcBorders>
              <w:top w:val="nil"/>
              <w:left w:val="single" w:sz="4" w:space="0" w:color="auto"/>
              <w:bottom w:val="nil"/>
              <w:right w:val="single" w:sz="4" w:space="0" w:color="auto"/>
            </w:tcBorders>
          </w:tcPr>
          <w:p w14:paraId="05118243" w14:textId="141A29DE" w:rsidR="00B334AF" w:rsidRPr="009C5EFD" w:rsidRDefault="00E453CD">
            <w:pPr>
              <w:keepNext/>
              <w:suppressAutoHyphens/>
              <w:rPr>
                <w:del w:id="8268" w:author="AbbVie02no" w:date="2025-05-15T13:45:00Z"/>
                <w:szCs w:val="22"/>
              </w:rPr>
              <w:pPrChange w:id="8269" w:author="AbbVie02no" w:date="2025-05-15T13:45:00Z">
                <w:pPr>
                  <w:pStyle w:val="EMEANormal"/>
                  <w:jc w:val="center"/>
                </w:pPr>
              </w:pPrChange>
            </w:pPr>
            <w:del w:id="8270" w:author="AbbVie02no" w:date="2025-05-15T13:45:00Z">
              <w:r w:rsidRPr="009C5EFD">
                <w:rPr>
                  <w:szCs w:val="22"/>
                </w:rPr>
                <w:delText>N/A</w:delText>
              </w:r>
            </w:del>
          </w:p>
        </w:tc>
        <w:tc>
          <w:tcPr>
            <w:tcW w:w="1315" w:type="dxa"/>
            <w:tcBorders>
              <w:top w:val="nil"/>
              <w:left w:val="single" w:sz="4" w:space="0" w:color="auto"/>
              <w:bottom w:val="nil"/>
              <w:right w:val="single" w:sz="4" w:space="0" w:color="auto"/>
            </w:tcBorders>
          </w:tcPr>
          <w:p w14:paraId="0BBEEF21" w14:textId="00D37EBA" w:rsidR="00B334AF" w:rsidRPr="009C5EFD" w:rsidRDefault="00E453CD">
            <w:pPr>
              <w:keepNext/>
              <w:suppressAutoHyphens/>
              <w:rPr>
                <w:del w:id="8271" w:author="AbbVie02no" w:date="2025-05-15T13:45:00Z"/>
                <w:szCs w:val="22"/>
              </w:rPr>
              <w:pPrChange w:id="8272" w:author="AbbVie02no" w:date="2025-05-15T13:45:00Z">
                <w:pPr>
                  <w:pStyle w:val="EMEANormal"/>
                  <w:jc w:val="center"/>
                </w:pPr>
              </w:pPrChange>
            </w:pPr>
            <w:del w:id="8273" w:author="AbbVie02no" w:date="2025-05-15T13:45:00Z">
              <w:r w:rsidRPr="009C5EFD">
                <w:rPr>
                  <w:szCs w:val="22"/>
                </w:rPr>
                <w:delText>N/A</w:delText>
              </w:r>
            </w:del>
          </w:p>
        </w:tc>
      </w:tr>
      <w:tr w:rsidR="004644D4" w14:paraId="1D79A579" w14:textId="62911E78" w:rsidTr="00AB7697">
        <w:trPr>
          <w:jc w:val="center"/>
          <w:del w:id="8274" w:author="AbbVie02no" w:date="2025-05-15T13:45:00Z"/>
        </w:trPr>
        <w:tc>
          <w:tcPr>
            <w:tcW w:w="1771" w:type="dxa"/>
            <w:tcBorders>
              <w:top w:val="nil"/>
              <w:left w:val="single" w:sz="4" w:space="0" w:color="auto"/>
              <w:bottom w:val="nil"/>
              <w:right w:val="single" w:sz="4" w:space="0" w:color="auto"/>
            </w:tcBorders>
          </w:tcPr>
          <w:p w14:paraId="0DC171A8" w14:textId="00463034" w:rsidR="00B334AF" w:rsidRPr="007F67EE" w:rsidRDefault="00E453CD">
            <w:pPr>
              <w:keepNext/>
              <w:suppressAutoHyphens/>
              <w:rPr>
                <w:del w:id="8275" w:author="AbbVie02no" w:date="2025-05-15T13:45:00Z"/>
                <w:szCs w:val="22"/>
              </w:rPr>
              <w:pPrChange w:id="8276" w:author="AbbVie02no" w:date="2025-05-15T13:45:00Z">
                <w:pPr>
                  <w:pStyle w:val="EMEANormal"/>
                  <w:keepNext/>
                </w:pPr>
              </w:pPrChange>
            </w:pPr>
            <w:del w:id="8277" w:author="AbbVie02no" w:date="2025-05-15T13:45:00Z">
              <w:r w:rsidRPr="007F67EE">
                <w:rPr>
                  <w:szCs w:val="22"/>
                </w:rPr>
                <w:delText xml:space="preserve">ACR 70 </w:delText>
              </w:r>
            </w:del>
          </w:p>
        </w:tc>
        <w:tc>
          <w:tcPr>
            <w:tcW w:w="1324" w:type="dxa"/>
            <w:tcBorders>
              <w:top w:val="nil"/>
              <w:left w:val="single" w:sz="4" w:space="0" w:color="auto"/>
              <w:bottom w:val="nil"/>
              <w:right w:val="single" w:sz="4" w:space="0" w:color="auto"/>
            </w:tcBorders>
          </w:tcPr>
          <w:p w14:paraId="51320329" w14:textId="1FB3F137" w:rsidR="00B334AF" w:rsidRPr="00193D76" w:rsidRDefault="00B334AF">
            <w:pPr>
              <w:keepNext/>
              <w:suppressAutoHyphens/>
              <w:rPr>
                <w:del w:id="8278" w:author="AbbVie02no" w:date="2025-05-15T13:45:00Z"/>
                <w:szCs w:val="22"/>
              </w:rPr>
              <w:pPrChange w:id="8279" w:author="AbbVie02no" w:date="2025-05-15T13:45:00Z">
                <w:pPr>
                  <w:pStyle w:val="EMEANormal"/>
                  <w:jc w:val="center"/>
                </w:pPr>
              </w:pPrChange>
            </w:pPr>
          </w:p>
        </w:tc>
        <w:tc>
          <w:tcPr>
            <w:tcW w:w="1315" w:type="dxa"/>
            <w:tcBorders>
              <w:top w:val="nil"/>
              <w:left w:val="single" w:sz="4" w:space="0" w:color="auto"/>
              <w:bottom w:val="nil"/>
              <w:right w:val="nil"/>
            </w:tcBorders>
          </w:tcPr>
          <w:p w14:paraId="06B02087" w14:textId="553998E8" w:rsidR="00B334AF" w:rsidRPr="00E14E58" w:rsidRDefault="00B334AF">
            <w:pPr>
              <w:keepNext/>
              <w:suppressAutoHyphens/>
              <w:rPr>
                <w:del w:id="8280" w:author="AbbVie02no" w:date="2025-05-15T13:45:00Z"/>
                <w:szCs w:val="22"/>
              </w:rPr>
              <w:pPrChange w:id="8281" w:author="AbbVie02no" w:date="2025-05-15T13:45:00Z">
                <w:pPr>
                  <w:pStyle w:val="EMEANormal"/>
                  <w:jc w:val="center"/>
                </w:pPr>
              </w:pPrChange>
            </w:pPr>
          </w:p>
        </w:tc>
        <w:tc>
          <w:tcPr>
            <w:tcW w:w="1342" w:type="dxa"/>
            <w:tcBorders>
              <w:top w:val="nil"/>
              <w:left w:val="single" w:sz="4" w:space="0" w:color="auto"/>
              <w:bottom w:val="nil"/>
              <w:right w:val="single" w:sz="4" w:space="0" w:color="auto"/>
            </w:tcBorders>
          </w:tcPr>
          <w:p w14:paraId="2DDC8C59" w14:textId="1DABE0EA" w:rsidR="00B334AF" w:rsidRPr="009C5EFD" w:rsidRDefault="00B334AF">
            <w:pPr>
              <w:keepNext/>
              <w:suppressAutoHyphens/>
              <w:rPr>
                <w:del w:id="8282" w:author="AbbVie02no" w:date="2025-05-15T13:45:00Z"/>
                <w:szCs w:val="22"/>
              </w:rPr>
              <w:pPrChange w:id="8283" w:author="AbbVie02no" w:date="2025-05-15T13:45:00Z">
                <w:pPr>
                  <w:pStyle w:val="EMEANormal"/>
                  <w:jc w:val="center"/>
                </w:pPr>
              </w:pPrChange>
            </w:pPr>
          </w:p>
        </w:tc>
        <w:tc>
          <w:tcPr>
            <w:tcW w:w="1315" w:type="dxa"/>
            <w:tcBorders>
              <w:top w:val="nil"/>
              <w:left w:val="single" w:sz="4" w:space="0" w:color="auto"/>
              <w:bottom w:val="nil"/>
              <w:right w:val="single" w:sz="4" w:space="0" w:color="auto"/>
            </w:tcBorders>
          </w:tcPr>
          <w:p w14:paraId="0100F9BE" w14:textId="65E0224F" w:rsidR="00B334AF" w:rsidRPr="009C5EFD" w:rsidRDefault="00B334AF">
            <w:pPr>
              <w:keepNext/>
              <w:suppressAutoHyphens/>
              <w:rPr>
                <w:del w:id="8284" w:author="AbbVie02no" w:date="2025-05-15T13:45:00Z"/>
                <w:szCs w:val="22"/>
              </w:rPr>
              <w:pPrChange w:id="8285" w:author="AbbVie02no" w:date="2025-05-15T13:45:00Z">
                <w:pPr>
                  <w:pStyle w:val="EMEANormal"/>
                  <w:jc w:val="center"/>
                </w:pPr>
              </w:pPrChange>
            </w:pPr>
          </w:p>
        </w:tc>
      </w:tr>
      <w:tr w:rsidR="004644D4" w14:paraId="7A8290F8" w14:textId="2D17B00F" w:rsidTr="00AB7697">
        <w:trPr>
          <w:jc w:val="center"/>
          <w:del w:id="8286" w:author="AbbVie02no" w:date="2025-05-15T13:45:00Z"/>
        </w:trPr>
        <w:tc>
          <w:tcPr>
            <w:tcW w:w="1771" w:type="dxa"/>
            <w:tcBorders>
              <w:top w:val="nil"/>
              <w:left w:val="single" w:sz="4" w:space="0" w:color="auto"/>
              <w:bottom w:val="nil"/>
              <w:right w:val="single" w:sz="4" w:space="0" w:color="auto"/>
            </w:tcBorders>
          </w:tcPr>
          <w:p w14:paraId="5ECDD651" w14:textId="729DBC24" w:rsidR="00B334AF" w:rsidRPr="007F67EE" w:rsidRDefault="00E453CD">
            <w:pPr>
              <w:keepNext/>
              <w:suppressAutoHyphens/>
              <w:rPr>
                <w:del w:id="8287" w:author="AbbVie02no" w:date="2025-05-15T13:45:00Z"/>
                <w:szCs w:val="22"/>
              </w:rPr>
              <w:pPrChange w:id="8288" w:author="AbbVie02no" w:date="2025-05-15T13:45:00Z">
                <w:pPr>
                  <w:pStyle w:val="EMEANormal"/>
                  <w:keepNext/>
                </w:pPr>
              </w:pPrChange>
            </w:pPr>
            <w:del w:id="8289" w:author="AbbVie02no" w:date="2025-05-15T13:45:00Z">
              <w:r w:rsidRPr="007F67EE">
                <w:rPr>
                  <w:szCs w:val="22"/>
                </w:rPr>
                <w:tab/>
                <w:delText>Uke 12</w:delText>
              </w:r>
            </w:del>
          </w:p>
        </w:tc>
        <w:tc>
          <w:tcPr>
            <w:tcW w:w="1324" w:type="dxa"/>
            <w:tcBorders>
              <w:top w:val="nil"/>
              <w:left w:val="single" w:sz="4" w:space="0" w:color="auto"/>
              <w:bottom w:val="nil"/>
              <w:right w:val="single" w:sz="4" w:space="0" w:color="auto"/>
            </w:tcBorders>
          </w:tcPr>
          <w:p w14:paraId="19A3D215" w14:textId="5D5E1775" w:rsidR="00B334AF" w:rsidRPr="00193D76" w:rsidRDefault="00E453CD">
            <w:pPr>
              <w:keepNext/>
              <w:suppressAutoHyphens/>
              <w:rPr>
                <w:del w:id="8290" w:author="AbbVie02no" w:date="2025-05-15T13:45:00Z"/>
                <w:szCs w:val="22"/>
              </w:rPr>
              <w:pPrChange w:id="8291" w:author="AbbVie02no" w:date="2025-05-15T13:45:00Z">
                <w:pPr>
                  <w:pStyle w:val="EMEANormal"/>
                  <w:jc w:val="center"/>
                </w:pPr>
              </w:pPrChange>
            </w:pPr>
            <w:del w:id="8292" w:author="AbbVie02no" w:date="2025-05-15T13:45:00Z">
              <w:r w:rsidRPr="00193D76">
                <w:rPr>
                  <w:szCs w:val="22"/>
                </w:rPr>
                <w:delText>1 %</w:delText>
              </w:r>
            </w:del>
          </w:p>
        </w:tc>
        <w:tc>
          <w:tcPr>
            <w:tcW w:w="1315" w:type="dxa"/>
            <w:tcBorders>
              <w:top w:val="nil"/>
              <w:left w:val="single" w:sz="4" w:space="0" w:color="auto"/>
              <w:bottom w:val="nil"/>
              <w:right w:val="nil"/>
            </w:tcBorders>
          </w:tcPr>
          <w:p w14:paraId="3CBF39F5" w14:textId="6B6192E6" w:rsidR="00B334AF" w:rsidRPr="00E14E58" w:rsidRDefault="00E453CD">
            <w:pPr>
              <w:keepNext/>
              <w:suppressAutoHyphens/>
              <w:rPr>
                <w:del w:id="8293" w:author="AbbVie02no" w:date="2025-05-15T13:45:00Z"/>
                <w:szCs w:val="22"/>
              </w:rPr>
              <w:pPrChange w:id="8294" w:author="AbbVie02no" w:date="2025-05-15T13:45:00Z">
                <w:pPr>
                  <w:pStyle w:val="EMEANormal"/>
                  <w:jc w:val="center"/>
                </w:pPr>
              </w:pPrChange>
            </w:pPr>
            <w:del w:id="8295" w:author="AbbVie02no" w:date="2025-05-15T13:45:00Z">
              <w:r w:rsidRPr="00E14E58">
                <w:rPr>
                  <w:szCs w:val="22"/>
                </w:rPr>
                <w:delText>20 %***</w:delText>
              </w:r>
            </w:del>
          </w:p>
        </w:tc>
        <w:tc>
          <w:tcPr>
            <w:tcW w:w="1342" w:type="dxa"/>
            <w:tcBorders>
              <w:top w:val="nil"/>
              <w:left w:val="single" w:sz="4" w:space="0" w:color="auto"/>
              <w:bottom w:val="nil"/>
              <w:right w:val="single" w:sz="4" w:space="0" w:color="auto"/>
            </w:tcBorders>
          </w:tcPr>
          <w:p w14:paraId="0F1F4D0A" w14:textId="4BB195A8" w:rsidR="00B334AF" w:rsidRPr="009C5EFD" w:rsidRDefault="00E453CD">
            <w:pPr>
              <w:keepNext/>
              <w:suppressAutoHyphens/>
              <w:rPr>
                <w:del w:id="8296" w:author="AbbVie02no" w:date="2025-05-15T13:45:00Z"/>
                <w:szCs w:val="22"/>
              </w:rPr>
              <w:pPrChange w:id="8297" w:author="AbbVie02no" w:date="2025-05-15T13:45:00Z">
                <w:pPr>
                  <w:pStyle w:val="EMEANormal"/>
                  <w:jc w:val="center"/>
                </w:pPr>
              </w:pPrChange>
            </w:pPr>
            <w:del w:id="8298" w:author="AbbVie02no" w:date="2025-05-15T13:45:00Z">
              <w:r w:rsidRPr="009C5EFD">
                <w:rPr>
                  <w:szCs w:val="22"/>
                </w:rPr>
                <w:delText>0 %</w:delText>
              </w:r>
            </w:del>
          </w:p>
        </w:tc>
        <w:tc>
          <w:tcPr>
            <w:tcW w:w="1315" w:type="dxa"/>
            <w:tcBorders>
              <w:top w:val="nil"/>
              <w:left w:val="single" w:sz="4" w:space="0" w:color="auto"/>
              <w:bottom w:val="nil"/>
              <w:right w:val="single" w:sz="4" w:space="0" w:color="auto"/>
            </w:tcBorders>
          </w:tcPr>
          <w:p w14:paraId="3EDB34BA" w14:textId="52233E3E" w:rsidR="00B334AF" w:rsidRPr="009C5EFD" w:rsidRDefault="00E453CD">
            <w:pPr>
              <w:keepNext/>
              <w:suppressAutoHyphens/>
              <w:rPr>
                <w:del w:id="8299" w:author="AbbVie02no" w:date="2025-05-15T13:45:00Z"/>
                <w:szCs w:val="22"/>
              </w:rPr>
              <w:pPrChange w:id="8300" w:author="AbbVie02no" w:date="2025-05-15T13:45:00Z">
                <w:pPr>
                  <w:pStyle w:val="EMEANormal"/>
                  <w:jc w:val="center"/>
                </w:pPr>
              </w:pPrChange>
            </w:pPr>
            <w:del w:id="8301" w:author="AbbVie02no" w:date="2025-05-15T13:45:00Z">
              <w:r w:rsidRPr="009C5EFD">
                <w:rPr>
                  <w:szCs w:val="22"/>
                </w:rPr>
                <w:delText>14 %*</w:delText>
              </w:r>
            </w:del>
          </w:p>
        </w:tc>
      </w:tr>
      <w:tr w:rsidR="004644D4" w14:paraId="5824D7F4" w14:textId="3BB7E716" w:rsidTr="00AB7697">
        <w:trPr>
          <w:jc w:val="center"/>
          <w:del w:id="8302" w:author="AbbVie02no" w:date="2025-05-15T13:45:00Z"/>
        </w:trPr>
        <w:tc>
          <w:tcPr>
            <w:tcW w:w="1771" w:type="dxa"/>
            <w:tcBorders>
              <w:top w:val="nil"/>
              <w:left w:val="single" w:sz="4" w:space="0" w:color="auto"/>
              <w:bottom w:val="single" w:sz="4" w:space="0" w:color="auto"/>
              <w:right w:val="single" w:sz="4" w:space="0" w:color="auto"/>
            </w:tcBorders>
          </w:tcPr>
          <w:p w14:paraId="7E006C48" w14:textId="5F7A6895" w:rsidR="00B334AF" w:rsidRPr="007F67EE" w:rsidRDefault="00E453CD">
            <w:pPr>
              <w:keepNext/>
              <w:suppressAutoHyphens/>
              <w:rPr>
                <w:del w:id="8303" w:author="AbbVie02no" w:date="2025-05-15T13:45:00Z"/>
                <w:szCs w:val="22"/>
              </w:rPr>
              <w:pPrChange w:id="8304" w:author="AbbVie02no" w:date="2025-05-15T13:45:00Z">
                <w:pPr>
                  <w:pStyle w:val="EMEANormal"/>
                  <w:keepNext/>
                </w:pPr>
              </w:pPrChange>
            </w:pPr>
            <w:del w:id="8305" w:author="AbbVie02no" w:date="2025-05-15T13:45:00Z">
              <w:r w:rsidRPr="007F67EE">
                <w:rPr>
                  <w:szCs w:val="22"/>
                </w:rPr>
                <w:tab/>
                <w:delText>Uke 24</w:delText>
              </w:r>
            </w:del>
          </w:p>
        </w:tc>
        <w:tc>
          <w:tcPr>
            <w:tcW w:w="1324" w:type="dxa"/>
            <w:tcBorders>
              <w:top w:val="nil"/>
              <w:left w:val="single" w:sz="4" w:space="0" w:color="auto"/>
              <w:bottom w:val="single" w:sz="4" w:space="0" w:color="auto"/>
              <w:right w:val="single" w:sz="4" w:space="0" w:color="auto"/>
            </w:tcBorders>
          </w:tcPr>
          <w:p w14:paraId="7146FF76" w14:textId="2011CB22" w:rsidR="00B334AF" w:rsidRPr="00193D76" w:rsidRDefault="00E453CD">
            <w:pPr>
              <w:keepNext/>
              <w:suppressAutoHyphens/>
              <w:rPr>
                <w:del w:id="8306" w:author="AbbVie02no" w:date="2025-05-15T13:45:00Z"/>
                <w:szCs w:val="22"/>
              </w:rPr>
              <w:pPrChange w:id="8307" w:author="AbbVie02no" w:date="2025-05-15T13:45:00Z">
                <w:pPr>
                  <w:pStyle w:val="EMEANormal"/>
                  <w:jc w:val="center"/>
                </w:pPr>
              </w:pPrChange>
            </w:pPr>
            <w:del w:id="8308" w:author="AbbVie02no" w:date="2025-05-15T13:45:00Z">
              <w:r w:rsidRPr="00193D76">
                <w:rPr>
                  <w:szCs w:val="22"/>
                </w:rPr>
                <w:delText>1 %</w:delText>
              </w:r>
            </w:del>
          </w:p>
        </w:tc>
        <w:tc>
          <w:tcPr>
            <w:tcW w:w="1315" w:type="dxa"/>
            <w:tcBorders>
              <w:top w:val="nil"/>
              <w:left w:val="single" w:sz="4" w:space="0" w:color="auto"/>
              <w:bottom w:val="single" w:sz="4" w:space="0" w:color="auto"/>
              <w:right w:val="nil"/>
            </w:tcBorders>
          </w:tcPr>
          <w:p w14:paraId="4BC35511" w14:textId="5E1D9056" w:rsidR="00B334AF" w:rsidRPr="00E14E58" w:rsidRDefault="00E453CD">
            <w:pPr>
              <w:keepNext/>
              <w:suppressAutoHyphens/>
              <w:rPr>
                <w:del w:id="8309" w:author="AbbVie02no" w:date="2025-05-15T13:45:00Z"/>
                <w:szCs w:val="22"/>
              </w:rPr>
              <w:pPrChange w:id="8310" w:author="AbbVie02no" w:date="2025-05-15T13:45:00Z">
                <w:pPr>
                  <w:pStyle w:val="EMEANormal"/>
                  <w:jc w:val="center"/>
                </w:pPr>
              </w:pPrChange>
            </w:pPr>
            <w:del w:id="8311" w:author="AbbVie02no" w:date="2025-05-15T13:45:00Z">
              <w:r w:rsidRPr="00E14E58">
                <w:rPr>
                  <w:szCs w:val="22"/>
                </w:rPr>
                <w:delText>23 %***</w:delText>
              </w:r>
            </w:del>
          </w:p>
        </w:tc>
        <w:tc>
          <w:tcPr>
            <w:tcW w:w="1342" w:type="dxa"/>
            <w:tcBorders>
              <w:top w:val="nil"/>
              <w:left w:val="single" w:sz="4" w:space="0" w:color="auto"/>
              <w:bottom w:val="single" w:sz="4" w:space="0" w:color="auto"/>
              <w:right w:val="single" w:sz="4" w:space="0" w:color="auto"/>
            </w:tcBorders>
          </w:tcPr>
          <w:p w14:paraId="1FA3491D" w14:textId="70B55100" w:rsidR="00B334AF" w:rsidRPr="009C5EFD" w:rsidRDefault="00E453CD">
            <w:pPr>
              <w:keepNext/>
              <w:suppressAutoHyphens/>
              <w:rPr>
                <w:del w:id="8312" w:author="AbbVie02no" w:date="2025-05-15T13:45:00Z"/>
                <w:szCs w:val="22"/>
              </w:rPr>
              <w:pPrChange w:id="8313" w:author="AbbVie02no" w:date="2025-05-15T13:45:00Z">
                <w:pPr>
                  <w:pStyle w:val="EMEANormal"/>
                  <w:jc w:val="center"/>
                </w:pPr>
              </w:pPrChange>
            </w:pPr>
            <w:del w:id="8314" w:author="AbbVie02no" w:date="2025-05-15T13:45:00Z">
              <w:r w:rsidRPr="009C5EFD">
                <w:rPr>
                  <w:szCs w:val="22"/>
                </w:rPr>
                <w:delText>N/A</w:delText>
              </w:r>
            </w:del>
          </w:p>
        </w:tc>
        <w:tc>
          <w:tcPr>
            <w:tcW w:w="1315" w:type="dxa"/>
            <w:tcBorders>
              <w:top w:val="nil"/>
              <w:left w:val="single" w:sz="4" w:space="0" w:color="auto"/>
              <w:bottom w:val="single" w:sz="4" w:space="0" w:color="auto"/>
              <w:right w:val="single" w:sz="4" w:space="0" w:color="auto"/>
            </w:tcBorders>
          </w:tcPr>
          <w:p w14:paraId="5638B281" w14:textId="26EBB628" w:rsidR="00B334AF" w:rsidRPr="009C5EFD" w:rsidRDefault="00E453CD">
            <w:pPr>
              <w:keepNext/>
              <w:suppressAutoHyphens/>
              <w:rPr>
                <w:del w:id="8315" w:author="AbbVie02no" w:date="2025-05-15T13:45:00Z"/>
                <w:szCs w:val="22"/>
              </w:rPr>
              <w:pPrChange w:id="8316" w:author="AbbVie02no" w:date="2025-05-15T13:45:00Z">
                <w:pPr>
                  <w:pStyle w:val="EMEANormal"/>
                  <w:jc w:val="center"/>
                </w:pPr>
              </w:pPrChange>
            </w:pPr>
            <w:del w:id="8317" w:author="AbbVie02no" w:date="2025-05-15T13:45:00Z">
              <w:r w:rsidRPr="009C5EFD">
                <w:rPr>
                  <w:szCs w:val="22"/>
                </w:rPr>
                <w:delText>N/A</w:delText>
              </w:r>
            </w:del>
          </w:p>
        </w:tc>
      </w:tr>
      <w:tr w:rsidR="004644D4" w14:paraId="77D13BF5" w14:textId="7455FB8F" w:rsidTr="00BA47BC">
        <w:trPr>
          <w:jc w:val="center"/>
          <w:del w:id="8318" w:author="AbbVie02no" w:date="2025-05-15T13:45:00Z"/>
        </w:trPr>
        <w:tc>
          <w:tcPr>
            <w:tcW w:w="7067" w:type="dxa"/>
            <w:gridSpan w:val="5"/>
            <w:tcBorders>
              <w:top w:val="nil"/>
              <w:left w:val="nil"/>
              <w:bottom w:val="nil"/>
              <w:right w:val="nil"/>
            </w:tcBorders>
          </w:tcPr>
          <w:p w14:paraId="187D845C" w14:textId="55EDBEC4" w:rsidR="00B334AF" w:rsidRPr="007F67EE" w:rsidRDefault="00E453CD">
            <w:pPr>
              <w:keepNext/>
              <w:suppressAutoHyphens/>
              <w:rPr>
                <w:del w:id="8319" w:author="AbbVie02no" w:date="2025-05-15T13:45:00Z"/>
                <w:szCs w:val="22"/>
              </w:rPr>
              <w:pPrChange w:id="8320" w:author="AbbVie02no" w:date="2025-05-15T13:45:00Z">
                <w:pPr>
                  <w:pStyle w:val="EMEANormal"/>
                </w:pPr>
              </w:pPrChange>
            </w:pPr>
            <w:del w:id="8321" w:author="AbbVie02no" w:date="2025-05-15T13:45:00Z">
              <w:r w:rsidRPr="007F67EE">
                <w:rPr>
                  <w:szCs w:val="22"/>
                </w:rPr>
                <w:delText>***</w:delText>
              </w:r>
              <w:r w:rsidRPr="007F67EE">
                <w:rPr>
                  <w:szCs w:val="22"/>
                </w:rPr>
                <w:tab/>
                <w:delText>p &lt; 0,001 for alle sammenligninger mellom Humira og placebo</w:delText>
              </w:r>
            </w:del>
          </w:p>
          <w:p w14:paraId="224B734C" w14:textId="21AD7E0B" w:rsidR="00B334AF" w:rsidRPr="00193D76" w:rsidRDefault="00E453CD">
            <w:pPr>
              <w:keepNext/>
              <w:suppressAutoHyphens/>
              <w:rPr>
                <w:del w:id="8322" w:author="AbbVie02no" w:date="2025-05-15T13:45:00Z"/>
                <w:szCs w:val="22"/>
              </w:rPr>
              <w:pPrChange w:id="8323" w:author="AbbVie02no" w:date="2025-05-15T13:45:00Z">
                <w:pPr>
                  <w:pStyle w:val="EMEANormal"/>
                </w:pPr>
              </w:pPrChange>
            </w:pPr>
            <w:del w:id="8324" w:author="AbbVie02no" w:date="2025-05-15T13:45:00Z">
              <w:r w:rsidRPr="00193D76">
                <w:rPr>
                  <w:szCs w:val="22"/>
                </w:rPr>
                <w:delText>*</w:delText>
              </w:r>
              <w:r w:rsidRPr="00193D76">
                <w:rPr>
                  <w:szCs w:val="22"/>
                </w:rPr>
                <w:tab/>
                <w:delText>p &lt; 0,05 for alle sammenligninger mellom Humira og placebo</w:delText>
              </w:r>
            </w:del>
          </w:p>
          <w:p w14:paraId="4392F517" w14:textId="1B10F364" w:rsidR="00B334AF" w:rsidRPr="00E14E58" w:rsidRDefault="00E453CD">
            <w:pPr>
              <w:keepNext/>
              <w:suppressAutoHyphens/>
              <w:rPr>
                <w:del w:id="8325" w:author="AbbVie02no" w:date="2025-05-15T13:45:00Z"/>
                <w:szCs w:val="22"/>
              </w:rPr>
              <w:pPrChange w:id="8326" w:author="AbbVie02no" w:date="2025-05-15T13:45:00Z">
                <w:pPr>
                  <w:pStyle w:val="EMEANormal"/>
                </w:pPr>
              </w:pPrChange>
            </w:pPr>
            <w:del w:id="8327" w:author="AbbVie02no" w:date="2025-05-15T13:45:00Z">
              <w:r w:rsidRPr="00E14E58">
                <w:rPr>
                  <w:szCs w:val="22"/>
                </w:rPr>
                <w:delText>N/A   ikke aktuell</w:delText>
              </w:r>
            </w:del>
          </w:p>
        </w:tc>
      </w:tr>
    </w:tbl>
    <w:p w14:paraId="30F62695" w14:textId="21A0964C" w:rsidR="00B334AF" w:rsidRPr="009C5EFD" w:rsidRDefault="00B334AF">
      <w:pPr>
        <w:keepNext/>
        <w:suppressAutoHyphens/>
        <w:rPr>
          <w:del w:id="8328" w:author="AbbVie02no" w:date="2025-05-15T13:45:00Z"/>
          <w:sz w:val="22"/>
          <w:szCs w:val="22"/>
        </w:rPr>
        <w:pPrChange w:id="8329" w:author="AbbVie02no" w:date="2025-05-15T13:45:00Z">
          <w:pPr>
            <w:ind w:left="54"/>
          </w:pPr>
        </w:pPrChange>
      </w:pPr>
    </w:p>
    <w:p w14:paraId="6E32F047" w14:textId="69E5526F" w:rsidR="00B334AF" w:rsidRPr="009C5EFD" w:rsidRDefault="00E453CD">
      <w:pPr>
        <w:keepNext/>
        <w:suppressAutoHyphens/>
        <w:rPr>
          <w:del w:id="8330" w:author="AbbVie02no" w:date="2025-05-15T13:45:00Z"/>
          <w:sz w:val="22"/>
          <w:szCs w:val="22"/>
        </w:rPr>
        <w:pPrChange w:id="8331" w:author="AbbVie02no" w:date="2025-05-15T13:45:00Z">
          <w:pPr/>
        </w:pPrChange>
      </w:pPr>
      <w:del w:id="8332" w:author="AbbVie02no" w:date="2025-05-15T13:45:00Z">
        <w:r w:rsidRPr="009C5EFD">
          <w:rPr>
            <w:sz w:val="22"/>
            <w:szCs w:val="22"/>
          </w:rPr>
          <w:delText>ACR-responser i PsA-studie I var lik både med og uten samtidig metotreksatbehandling.</w:delText>
        </w:r>
      </w:del>
    </w:p>
    <w:p w14:paraId="3338BEF1" w14:textId="53BD8473" w:rsidR="00B334AF" w:rsidRPr="009C5EFD" w:rsidRDefault="00E453CD">
      <w:pPr>
        <w:keepNext/>
        <w:suppressAutoHyphens/>
        <w:rPr>
          <w:del w:id="8333" w:author="AbbVie02no" w:date="2025-05-15T13:45:00Z"/>
          <w:sz w:val="22"/>
          <w:szCs w:val="22"/>
        </w:rPr>
        <w:pPrChange w:id="8334" w:author="AbbVie02no" w:date="2025-05-15T13:45:00Z">
          <w:pPr/>
        </w:pPrChange>
      </w:pPr>
      <w:del w:id="8335" w:author="AbbVie02no" w:date="2025-05-15T13:45:00Z">
        <w:r w:rsidRPr="009C5EFD">
          <w:rPr>
            <w:sz w:val="22"/>
            <w:szCs w:val="22"/>
          </w:rPr>
          <w:delText xml:space="preserve">ACR-responser ble opprettholdt </w:delText>
        </w:r>
        <w:r w:rsidR="00F044FA" w:rsidRPr="009C5EFD">
          <w:rPr>
            <w:sz w:val="22"/>
            <w:szCs w:val="22"/>
          </w:rPr>
          <w:delText xml:space="preserve">i </w:delText>
        </w:r>
        <w:r w:rsidRPr="009C5EFD">
          <w:rPr>
            <w:sz w:val="22"/>
            <w:szCs w:val="22"/>
          </w:rPr>
          <w:delText>opptil 136 uker i den åpne forlengesesstudien.</w:delText>
        </w:r>
      </w:del>
    </w:p>
    <w:p w14:paraId="2301F3CD" w14:textId="288F0C17" w:rsidR="00A510F6" w:rsidRPr="009C5EFD" w:rsidRDefault="00A510F6">
      <w:pPr>
        <w:keepNext/>
        <w:suppressAutoHyphens/>
        <w:rPr>
          <w:del w:id="8336" w:author="AbbVie02no" w:date="2025-05-15T13:45:00Z"/>
          <w:sz w:val="22"/>
          <w:szCs w:val="22"/>
        </w:rPr>
        <w:pPrChange w:id="8337" w:author="AbbVie02no" w:date="2025-05-15T13:45:00Z">
          <w:pPr/>
        </w:pPrChange>
      </w:pPr>
    </w:p>
    <w:p w14:paraId="1CF2C78E" w14:textId="27C6281B" w:rsidR="00B334AF" w:rsidRPr="009C5EFD" w:rsidRDefault="00E453CD">
      <w:pPr>
        <w:keepNext/>
        <w:suppressAutoHyphens/>
        <w:rPr>
          <w:del w:id="8338" w:author="AbbVie02no" w:date="2025-05-15T13:45:00Z"/>
          <w:sz w:val="22"/>
          <w:szCs w:val="22"/>
        </w:rPr>
        <w:pPrChange w:id="8339" w:author="AbbVie02no" w:date="2025-05-15T13:45:00Z">
          <w:pPr/>
        </w:pPrChange>
      </w:pPr>
      <w:del w:id="8340" w:author="AbbVie02no" w:date="2025-05-15T13:45:00Z">
        <w:r w:rsidRPr="009C5EFD">
          <w:rPr>
            <w:sz w:val="22"/>
            <w:szCs w:val="22"/>
          </w:rPr>
          <w:delText xml:space="preserve">Radiografiske forandringer ble vurdert i studiene av psoriasisartritt. Røntgenbilder av hender, håndledd og føtter ble tatt ved oppstart og uke 24 i den dobbeltblinde delen av studien </w:delText>
        </w:r>
        <w:r w:rsidR="00F044FA" w:rsidRPr="009C5EFD">
          <w:rPr>
            <w:sz w:val="22"/>
            <w:szCs w:val="22"/>
          </w:rPr>
          <w:delText>da</w:delText>
        </w:r>
        <w:r w:rsidRPr="009C5EFD">
          <w:rPr>
            <w:sz w:val="22"/>
            <w:szCs w:val="22"/>
          </w:rPr>
          <w:delText xml:space="preserve"> pasientene </w:delText>
        </w:r>
        <w:r w:rsidRPr="009C5EFD">
          <w:rPr>
            <w:color w:val="000000"/>
            <w:sz w:val="22"/>
            <w:szCs w:val="22"/>
          </w:rPr>
          <w:delText xml:space="preserve">fikk </w:delText>
        </w:r>
        <w:r w:rsidRPr="009C5EFD">
          <w:rPr>
            <w:sz w:val="22"/>
            <w:szCs w:val="22"/>
          </w:rPr>
          <w:delText xml:space="preserve">Humira eller placebo, og ved uke 48 </w:delText>
        </w:r>
        <w:r w:rsidR="00F044FA" w:rsidRPr="009C5EFD">
          <w:rPr>
            <w:sz w:val="22"/>
            <w:szCs w:val="22"/>
          </w:rPr>
          <w:delText>da</w:delText>
        </w:r>
        <w:r w:rsidRPr="009C5EFD">
          <w:rPr>
            <w:sz w:val="22"/>
            <w:szCs w:val="22"/>
          </w:rPr>
          <w:delText xml:space="preserve"> alle pasienter var med i den åpne delen og fikk Humira. En modifisert </w:delText>
        </w:r>
        <w:r w:rsidRPr="009C5EFD">
          <w:rPr>
            <w:color w:val="000000"/>
            <w:sz w:val="22"/>
            <w:szCs w:val="22"/>
          </w:rPr>
          <w:delText>Total Sharp Score (mTSS)</w:delText>
        </w:r>
        <w:r w:rsidRPr="009C5EFD">
          <w:rPr>
            <w:sz w:val="22"/>
            <w:szCs w:val="22"/>
          </w:rPr>
          <w:delText xml:space="preserve"> som inkluderte distale interfalangeale ledd (dvs. ikke identisk til TSS brukt for revmatoid artritt)</w:delText>
        </w:r>
        <w:r w:rsidR="00F044FA" w:rsidRPr="009C5EFD">
          <w:rPr>
            <w:sz w:val="22"/>
            <w:szCs w:val="22"/>
          </w:rPr>
          <w:delText>,</w:delText>
        </w:r>
        <w:r w:rsidRPr="009C5EFD">
          <w:rPr>
            <w:sz w:val="22"/>
            <w:szCs w:val="22"/>
          </w:rPr>
          <w:delText xml:space="preserve"> var brukt. </w:delText>
        </w:r>
      </w:del>
    </w:p>
    <w:p w14:paraId="28DE6263" w14:textId="77FD6028" w:rsidR="00B334AF" w:rsidRPr="009C5EFD" w:rsidRDefault="00B334AF">
      <w:pPr>
        <w:keepNext/>
        <w:suppressAutoHyphens/>
        <w:rPr>
          <w:del w:id="8341" w:author="AbbVie02no" w:date="2025-05-15T13:45:00Z"/>
          <w:sz w:val="22"/>
          <w:szCs w:val="22"/>
        </w:rPr>
        <w:pPrChange w:id="8342" w:author="AbbVie02no" w:date="2025-05-15T13:45:00Z">
          <w:pPr/>
        </w:pPrChange>
      </w:pPr>
    </w:p>
    <w:p w14:paraId="76713499" w14:textId="04EFB2F6" w:rsidR="00B334AF" w:rsidRPr="00193D76" w:rsidRDefault="00E453CD">
      <w:pPr>
        <w:keepNext/>
        <w:suppressAutoHyphens/>
        <w:rPr>
          <w:del w:id="8343" w:author="AbbVie02no" w:date="2025-05-15T13:45:00Z"/>
          <w:sz w:val="22"/>
          <w:szCs w:val="22"/>
        </w:rPr>
        <w:pPrChange w:id="8344" w:author="AbbVie02no" w:date="2025-05-15T13:45:00Z">
          <w:pPr/>
        </w:pPrChange>
      </w:pPr>
      <w:del w:id="8345" w:author="AbbVie02no" w:date="2025-05-15T13:45:00Z">
        <w:r w:rsidRPr="009C5EFD">
          <w:rPr>
            <w:sz w:val="22"/>
            <w:szCs w:val="22"/>
          </w:rPr>
          <w:delText>Behandling med Humira reduserte progresjonshastigheten til perifer leddskade sammenlignet med placebo målt ved forandringer i mTSS</w:delText>
        </w:r>
        <w:r w:rsidR="00F044FA" w:rsidRPr="009C5EFD">
          <w:rPr>
            <w:sz w:val="22"/>
            <w:szCs w:val="22"/>
          </w:rPr>
          <w:delText xml:space="preserve"> fra behandlingsstart</w:delText>
        </w:r>
        <w:r w:rsidRPr="009C5EFD">
          <w:rPr>
            <w:sz w:val="22"/>
            <w:szCs w:val="22"/>
          </w:rPr>
          <w:delText xml:space="preserve"> (gjennomsnitt </w:delText>
        </w:r>
        <w:r w:rsidRPr="007F67EE">
          <w:rPr>
            <w:rFonts w:ascii="Symbol" w:hAnsi="Symbol"/>
            <w:sz w:val="22"/>
            <w:szCs w:val="22"/>
          </w:rPr>
          <w:sym w:font="Symbol" w:char="F0B1"/>
        </w:r>
        <w:r w:rsidRPr="007F67EE">
          <w:rPr>
            <w:sz w:val="22"/>
            <w:szCs w:val="22"/>
          </w:rPr>
          <w:delText xml:space="preserve"> SD) 0,8 ± 2,5 i placebogruppen (ved uke 2</w:delText>
        </w:r>
        <w:r w:rsidRPr="00193D76">
          <w:rPr>
            <w:sz w:val="22"/>
            <w:szCs w:val="22"/>
          </w:rPr>
          <w:delText>4) sammenlignet med 0,0 ± 1,9, (p&lt; 0,001) i Humira-gruppen (ved uke 48).</w:delText>
        </w:r>
      </w:del>
    </w:p>
    <w:p w14:paraId="6FFBBA1B" w14:textId="7AB13140" w:rsidR="00B334AF" w:rsidRPr="002D0790" w:rsidRDefault="00B334AF">
      <w:pPr>
        <w:keepNext/>
        <w:suppressAutoHyphens/>
        <w:rPr>
          <w:del w:id="8346" w:author="AbbVie02no" w:date="2025-05-15T13:45:00Z"/>
          <w:sz w:val="22"/>
          <w:szCs w:val="22"/>
        </w:rPr>
        <w:pPrChange w:id="8347" w:author="AbbVie02no" w:date="2025-05-15T13:45:00Z">
          <w:pPr/>
        </w:pPrChange>
      </w:pPr>
    </w:p>
    <w:p w14:paraId="271F86A3" w14:textId="3285E05A" w:rsidR="00B334AF" w:rsidRPr="009C5EFD" w:rsidRDefault="00E453CD">
      <w:pPr>
        <w:keepNext/>
        <w:suppressAutoHyphens/>
        <w:rPr>
          <w:del w:id="8348" w:author="AbbVie02no" w:date="2025-05-15T13:45:00Z"/>
          <w:sz w:val="22"/>
          <w:szCs w:val="22"/>
        </w:rPr>
        <w:pPrChange w:id="8349" w:author="AbbVie02no" w:date="2025-05-15T13:45:00Z">
          <w:pPr/>
        </w:pPrChange>
      </w:pPr>
      <w:del w:id="8350" w:author="AbbVie02no" w:date="2025-05-15T13:45:00Z">
        <w:r w:rsidRPr="002D0790">
          <w:rPr>
            <w:sz w:val="22"/>
            <w:szCs w:val="22"/>
          </w:rPr>
          <w:delText xml:space="preserve">Hos pasienter </w:delText>
        </w:r>
        <w:r w:rsidR="00F044FA" w:rsidRPr="00E14E58">
          <w:rPr>
            <w:sz w:val="22"/>
            <w:szCs w:val="22"/>
          </w:rPr>
          <w:delText>som var behandlet med Humira og som ikke viste</w:delText>
        </w:r>
        <w:r w:rsidRPr="009C5EFD">
          <w:rPr>
            <w:sz w:val="22"/>
            <w:szCs w:val="22"/>
          </w:rPr>
          <w:delText xml:space="preserve"> progresjon fra behandlingsstart til uke 48 (n = 102)</w:delText>
        </w:r>
        <w:r w:rsidR="00F044FA" w:rsidRPr="009C5EFD">
          <w:rPr>
            <w:sz w:val="22"/>
            <w:szCs w:val="22"/>
          </w:rPr>
          <w:delText>,</w:delText>
        </w:r>
        <w:r w:rsidRPr="009C5EFD">
          <w:rPr>
            <w:sz w:val="22"/>
            <w:szCs w:val="22"/>
          </w:rPr>
          <w:delText xml:space="preserve"> fortsatte 84 % å vise ingen radiografisk progresjon g</w:delText>
        </w:r>
        <w:r w:rsidR="00F044FA" w:rsidRPr="009C5EFD">
          <w:rPr>
            <w:sz w:val="22"/>
            <w:szCs w:val="22"/>
          </w:rPr>
          <w:delText>jennom 144 uker med behandling.</w:delText>
        </w:r>
      </w:del>
    </w:p>
    <w:p w14:paraId="7F7CD32F" w14:textId="05545FB6" w:rsidR="00B334AF" w:rsidRPr="009C5EFD" w:rsidRDefault="00E453CD">
      <w:pPr>
        <w:keepNext/>
        <w:suppressAutoHyphens/>
        <w:rPr>
          <w:del w:id="8351" w:author="AbbVie02no" w:date="2025-05-15T13:45:00Z"/>
          <w:sz w:val="22"/>
          <w:szCs w:val="22"/>
          <w:u w:val="single"/>
        </w:rPr>
        <w:pPrChange w:id="8352" w:author="AbbVie02no" w:date="2025-05-15T13:45:00Z">
          <w:pPr/>
        </w:pPrChange>
      </w:pPr>
      <w:del w:id="8353" w:author="AbbVie02no" w:date="2025-05-15T13:45:00Z">
        <w:r w:rsidRPr="009C5EFD">
          <w:rPr>
            <w:sz w:val="22"/>
            <w:szCs w:val="22"/>
          </w:rPr>
          <w:delText xml:space="preserve">Pasienter behandlet med Humira hadde statistisk signifikant forbedring i fysisk funksjon vurdert ved HAQ og Short Form Health Survey (SF 36), sammenlignet med placebo ved uke 24. Pasientene viste fortsatt forbedret fysisk funksjon </w:delText>
        </w:r>
        <w:r w:rsidR="00F044FA" w:rsidRPr="009C5EFD">
          <w:rPr>
            <w:sz w:val="22"/>
            <w:szCs w:val="22"/>
          </w:rPr>
          <w:delText xml:space="preserve">i </w:delText>
        </w:r>
        <w:r w:rsidRPr="009C5EFD">
          <w:rPr>
            <w:sz w:val="22"/>
            <w:szCs w:val="22"/>
          </w:rPr>
          <w:delText>opptil uke 136 i den åpne forlengelsesstudien.</w:delText>
        </w:r>
      </w:del>
    </w:p>
    <w:p w14:paraId="72BEA636" w14:textId="10E87015" w:rsidR="001D6D95" w:rsidRPr="009C5EFD" w:rsidRDefault="001D6D95">
      <w:pPr>
        <w:keepNext/>
        <w:suppressAutoHyphens/>
        <w:rPr>
          <w:del w:id="8354" w:author="AbbVie02no" w:date="2025-05-15T13:45:00Z"/>
          <w:szCs w:val="22"/>
        </w:rPr>
        <w:pPrChange w:id="8355" w:author="AbbVie02no" w:date="2025-05-15T13:45:00Z">
          <w:pPr>
            <w:pStyle w:val="Heading2"/>
            <w:keepNext w:val="0"/>
            <w:ind w:left="0"/>
          </w:pPr>
        </w:pPrChange>
      </w:pPr>
    </w:p>
    <w:p w14:paraId="16FB5470" w14:textId="3DD3847A" w:rsidR="00913F1F" w:rsidRPr="001F5D4B" w:rsidRDefault="00E453CD">
      <w:pPr>
        <w:keepNext/>
        <w:suppressAutoHyphens/>
        <w:rPr>
          <w:del w:id="8356" w:author="AbbVie02no" w:date="2025-05-15T13:45:00Z"/>
          <w:i/>
          <w:szCs w:val="22"/>
        </w:rPr>
        <w:pPrChange w:id="8357" w:author="AbbVie02no" w:date="2025-05-15T13:45:00Z">
          <w:pPr>
            <w:pStyle w:val="Heading2"/>
            <w:ind w:left="0"/>
          </w:pPr>
        </w:pPrChange>
      </w:pPr>
      <w:del w:id="8358" w:author="AbbVie02no" w:date="2025-05-15T13:45:00Z">
        <w:r w:rsidRPr="001F5D4B">
          <w:rPr>
            <w:i/>
            <w:szCs w:val="22"/>
          </w:rPr>
          <w:delText>Psoriasis</w:delText>
        </w:r>
      </w:del>
    </w:p>
    <w:p w14:paraId="42E3190A" w14:textId="768E18B4" w:rsidR="00913F1F" w:rsidRPr="007F67EE" w:rsidRDefault="00913F1F">
      <w:pPr>
        <w:keepNext/>
        <w:suppressAutoHyphens/>
        <w:rPr>
          <w:del w:id="8359" w:author="AbbVie02no" w:date="2025-05-15T13:45:00Z"/>
          <w:sz w:val="22"/>
          <w:szCs w:val="22"/>
          <w:u w:val="single"/>
        </w:rPr>
        <w:pPrChange w:id="8360" w:author="AbbVie02no" w:date="2025-05-15T13:45:00Z">
          <w:pPr>
            <w:keepNext/>
          </w:pPr>
        </w:pPrChange>
      </w:pPr>
    </w:p>
    <w:p w14:paraId="1D4471FF" w14:textId="281AAFC0" w:rsidR="00913F1F" w:rsidRPr="009C5EFD" w:rsidRDefault="00E453CD">
      <w:pPr>
        <w:keepNext/>
        <w:suppressAutoHyphens/>
        <w:rPr>
          <w:del w:id="8361" w:author="AbbVie02no" w:date="2025-05-15T13:45:00Z"/>
          <w:sz w:val="22"/>
          <w:szCs w:val="22"/>
        </w:rPr>
        <w:pPrChange w:id="8362" w:author="AbbVie02no" w:date="2025-05-15T13:45:00Z">
          <w:pPr/>
        </w:pPrChange>
      </w:pPr>
      <w:del w:id="8363" w:author="AbbVie02no" w:date="2025-05-15T13:45:00Z">
        <w:r w:rsidRPr="00193D76">
          <w:rPr>
            <w:sz w:val="22"/>
            <w:szCs w:val="22"/>
          </w:rPr>
          <w:delText>Sikkerhet og effekt av</w:delText>
        </w:r>
        <w:r w:rsidRPr="002D0790">
          <w:rPr>
            <w:sz w:val="22"/>
            <w:szCs w:val="22"/>
          </w:rPr>
          <w:delText xml:space="preserve"> Humira har vært undersøkt hos voksne pasienter med kronisk plakkpsoriasis (</w:delText>
        </w:r>
        <w:r w:rsidRPr="007F67EE">
          <w:rPr>
            <w:rFonts w:ascii="Symbol" w:hAnsi="Symbol"/>
            <w:sz w:val="22"/>
            <w:szCs w:val="22"/>
          </w:rPr>
          <w:sym w:font="Symbol" w:char="F0B3"/>
        </w:r>
        <w:r w:rsidRPr="007F67EE">
          <w:rPr>
            <w:sz w:val="22"/>
            <w:szCs w:val="22"/>
          </w:rPr>
          <w:delText xml:space="preserve"> 10 % BSA</w:delText>
        </w:r>
        <w:r w:rsidR="00432860" w:rsidRPr="00193D76">
          <w:rPr>
            <w:sz w:val="22"/>
            <w:szCs w:val="22"/>
          </w:rPr>
          <w:delText xml:space="preserve"> </w:delText>
        </w:r>
        <w:r w:rsidRPr="002D0790">
          <w:rPr>
            <w:sz w:val="22"/>
            <w:szCs w:val="22"/>
          </w:rPr>
          <w:delText xml:space="preserve">og </w:delText>
        </w:r>
        <w:r w:rsidRPr="002D0790">
          <w:rPr>
            <w:sz w:val="22"/>
            <w:szCs w:val="22"/>
            <w:lang w:eastAsia="nb-NO"/>
          </w:rPr>
          <w:delText>Psoriasis Area and Severity Index</w:delText>
        </w:r>
        <w:r w:rsidRPr="00E14E58">
          <w:rPr>
            <w:sz w:val="22"/>
            <w:szCs w:val="22"/>
          </w:rPr>
          <w:delText xml:space="preserve"> (PASI) </w:delText>
        </w:r>
        <w:r w:rsidRPr="007F67EE">
          <w:rPr>
            <w:rFonts w:ascii="Symbol" w:hAnsi="Symbol"/>
            <w:sz w:val="22"/>
            <w:szCs w:val="22"/>
          </w:rPr>
          <w:sym w:font="Symbol" w:char="F0B3"/>
        </w:r>
        <w:r w:rsidRPr="007F67EE">
          <w:rPr>
            <w:sz w:val="22"/>
            <w:szCs w:val="22"/>
          </w:rPr>
          <w:delText xml:space="preserve"> 12 eller </w:delText>
        </w:r>
        <w:r w:rsidRPr="007F67EE">
          <w:rPr>
            <w:rFonts w:ascii="Symbol" w:hAnsi="Symbol"/>
            <w:sz w:val="22"/>
            <w:szCs w:val="22"/>
          </w:rPr>
          <w:sym w:font="Symbol" w:char="F0B3"/>
        </w:r>
        <w:r w:rsidRPr="007F67EE">
          <w:rPr>
            <w:sz w:val="22"/>
            <w:szCs w:val="22"/>
          </w:rPr>
          <w:delText xml:space="preserve"> 10)</w:delText>
        </w:r>
        <w:r w:rsidR="00C211E7">
          <w:rPr>
            <w:sz w:val="22"/>
            <w:szCs w:val="22"/>
          </w:rPr>
          <w:delText xml:space="preserve"> </w:delText>
        </w:r>
        <w:r w:rsidRPr="007F67EE">
          <w:rPr>
            <w:sz w:val="22"/>
            <w:szCs w:val="22"/>
          </w:rPr>
          <w:delText xml:space="preserve">som var kandidater </w:delText>
        </w:r>
        <w:r w:rsidRPr="00193D76">
          <w:rPr>
            <w:sz w:val="22"/>
            <w:szCs w:val="22"/>
          </w:rPr>
          <w:delText>for</w:delText>
        </w:r>
        <w:r w:rsidRPr="002D0790">
          <w:rPr>
            <w:sz w:val="22"/>
            <w:szCs w:val="22"/>
          </w:rPr>
          <w:delText xml:space="preserve"> systemisk behandling eller </w:delText>
        </w:r>
        <w:r w:rsidR="00726E6B">
          <w:rPr>
            <w:sz w:val="22"/>
            <w:szCs w:val="22"/>
          </w:rPr>
          <w:delText>lysbehandling</w:delText>
        </w:r>
        <w:r w:rsidR="00EE63C4" w:rsidRPr="00E14E58">
          <w:rPr>
            <w:sz w:val="22"/>
            <w:szCs w:val="22"/>
          </w:rPr>
          <w:delText xml:space="preserve"> </w:delText>
        </w:r>
        <w:r w:rsidRPr="009C5EFD">
          <w:rPr>
            <w:sz w:val="22"/>
            <w:szCs w:val="22"/>
          </w:rPr>
          <w:delText xml:space="preserve">i randomiserte, dobbeltblinde studier. </w:delText>
        </w:r>
        <w:r w:rsidR="00C211E7">
          <w:rPr>
            <w:sz w:val="22"/>
            <w:szCs w:val="22"/>
          </w:rPr>
          <w:delText>I</w:delText>
        </w:r>
        <w:r w:rsidR="00C211E7" w:rsidRPr="009C5EFD">
          <w:rPr>
            <w:sz w:val="22"/>
            <w:szCs w:val="22"/>
          </w:rPr>
          <w:delText xml:space="preserve"> psoriasisstudiene I </w:delText>
        </w:r>
        <w:r w:rsidR="00C211E7" w:rsidRPr="009C5EFD">
          <w:rPr>
            <w:sz w:val="22"/>
            <w:szCs w:val="22"/>
          </w:rPr>
          <w:lastRenderedPageBreak/>
          <w:delText xml:space="preserve">og II var </w:delText>
        </w:r>
        <w:r w:rsidRPr="009C5EFD">
          <w:rPr>
            <w:sz w:val="22"/>
            <w:szCs w:val="22"/>
          </w:rPr>
          <w:delText xml:space="preserve">73 % av pasientene tidligere </w:delText>
        </w:r>
        <w:r w:rsidR="00432860" w:rsidRPr="009C5EFD">
          <w:rPr>
            <w:sz w:val="22"/>
            <w:szCs w:val="22"/>
          </w:rPr>
          <w:delText xml:space="preserve">behandlet med </w:delText>
        </w:r>
        <w:r w:rsidRPr="009C5EFD">
          <w:rPr>
            <w:sz w:val="22"/>
            <w:szCs w:val="22"/>
          </w:rPr>
          <w:delText xml:space="preserve">systemisk </w:delText>
        </w:r>
        <w:r w:rsidR="00432860" w:rsidRPr="009C5EFD">
          <w:rPr>
            <w:sz w:val="22"/>
            <w:szCs w:val="22"/>
          </w:rPr>
          <w:delText xml:space="preserve">behandling </w:delText>
        </w:r>
        <w:r w:rsidRPr="009C5EFD">
          <w:rPr>
            <w:sz w:val="22"/>
            <w:szCs w:val="22"/>
          </w:rPr>
          <w:delText xml:space="preserve">eller </w:delText>
        </w:r>
        <w:r w:rsidR="00726E6B">
          <w:rPr>
            <w:sz w:val="22"/>
            <w:szCs w:val="22"/>
          </w:rPr>
          <w:delText>lysbehandling</w:delText>
        </w:r>
        <w:r w:rsidRPr="009C5EFD">
          <w:rPr>
            <w:sz w:val="22"/>
            <w:szCs w:val="22"/>
          </w:rPr>
          <w:delText>.</w:delText>
        </w:r>
        <w:r w:rsidR="003235AC" w:rsidRPr="009C5EFD">
          <w:rPr>
            <w:sz w:val="22"/>
            <w:szCs w:val="22"/>
          </w:rPr>
          <w:delText xml:space="preserve"> Sikkerhet og effekt av Humira </w:delText>
        </w:r>
        <w:r w:rsidR="008663BB" w:rsidRPr="009C5EFD">
          <w:rPr>
            <w:sz w:val="22"/>
            <w:szCs w:val="22"/>
          </w:rPr>
          <w:delText xml:space="preserve">ble </w:delText>
        </w:r>
        <w:r w:rsidR="003235AC" w:rsidRPr="009C5EFD">
          <w:rPr>
            <w:sz w:val="22"/>
            <w:szCs w:val="22"/>
          </w:rPr>
          <w:delText>også undersøkt hos voksne pasienter med moderat til alvorlig kronisk plakkpsoriasis</w:delText>
        </w:r>
        <w:r w:rsidR="006F2F67" w:rsidRPr="009C5EFD">
          <w:rPr>
            <w:sz w:val="22"/>
            <w:szCs w:val="22"/>
          </w:rPr>
          <w:delText xml:space="preserve"> med samtidig hånd og/eller fot psoriasis, som var kandidater for systemisk </w:delText>
        </w:r>
        <w:r w:rsidR="00432860" w:rsidRPr="009C5EFD">
          <w:rPr>
            <w:sz w:val="22"/>
            <w:szCs w:val="22"/>
          </w:rPr>
          <w:delText xml:space="preserve">behandling </w:delText>
        </w:r>
        <w:r w:rsidR="006F2F67" w:rsidRPr="009C5EFD">
          <w:rPr>
            <w:sz w:val="22"/>
            <w:szCs w:val="22"/>
          </w:rPr>
          <w:delText>i en randomisert</w:delText>
        </w:r>
        <w:r w:rsidR="008A1C0C" w:rsidRPr="009C5EFD">
          <w:rPr>
            <w:sz w:val="22"/>
            <w:szCs w:val="22"/>
          </w:rPr>
          <w:delText>,</w:delText>
        </w:r>
        <w:r w:rsidR="006F2F67" w:rsidRPr="009C5EFD">
          <w:rPr>
            <w:sz w:val="22"/>
            <w:szCs w:val="22"/>
          </w:rPr>
          <w:delText xml:space="preserve"> dobbeltblind</w:delText>
        </w:r>
        <w:r w:rsidR="00432860" w:rsidRPr="009C5EFD">
          <w:rPr>
            <w:sz w:val="22"/>
            <w:szCs w:val="22"/>
          </w:rPr>
          <w:delText>et</w:delText>
        </w:r>
        <w:r w:rsidR="006F2F67" w:rsidRPr="009C5EFD">
          <w:rPr>
            <w:sz w:val="22"/>
            <w:szCs w:val="22"/>
          </w:rPr>
          <w:delText xml:space="preserve"> studie (Psoriasisstudie III).</w:delText>
        </w:r>
      </w:del>
    </w:p>
    <w:p w14:paraId="65D6038C" w14:textId="22D51B97" w:rsidR="003235AC" w:rsidRPr="009C5EFD" w:rsidRDefault="003235AC">
      <w:pPr>
        <w:keepNext/>
        <w:suppressAutoHyphens/>
        <w:rPr>
          <w:del w:id="8364" w:author="AbbVie02no" w:date="2025-05-15T13:45:00Z"/>
          <w:sz w:val="22"/>
          <w:szCs w:val="22"/>
        </w:rPr>
        <w:pPrChange w:id="8365" w:author="AbbVie02no" w:date="2025-05-15T13:45:00Z">
          <w:pPr/>
        </w:pPrChange>
      </w:pPr>
    </w:p>
    <w:p w14:paraId="5E530FBD" w14:textId="13471090" w:rsidR="00913F1F" w:rsidRPr="009C5EFD" w:rsidRDefault="00E453CD">
      <w:pPr>
        <w:keepNext/>
        <w:suppressAutoHyphens/>
        <w:rPr>
          <w:del w:id="8366" w:author="AbbVie02no" w:date="2025-05-15T13:45:00Z"/>
          <w:sz w:val="22"/>
          <w:szCs w:val="22"/>
        </w:rPr>
        <w:pPrChange w:id="8367" w:author="AbbVie02no" w:date="2025-05-15T13:45:00Z">
          <w:pPr/>
        </w:pPrChange>
      </w:pPr>
      <w:del w:id="8368" w:author="AbbVie02no" w:date="2025-05-15T13:45:00Z">
        <w:r w:rsidRPr="009C5EFD">
          <w:rPr>
            <w:sz w:val="22"/>
            <w:szCs w:val="22"/>
          </w:rPr>
          <w:delText xml:space="preserve">Psoriasisstudie I (REVEAL) </w:delText>
        </w:r>
        <w:r w:rsidR="00432860" w:rsidRPr="009C5EFD">
          <w:rPr>
            <w:sz w:val="22"/>
            <w:szCs w:val="22"/>
          </w:rPr>
          <w:delText xml:space="preserve">undersøkte </w:delText>
        </w:r>
        <w:r w:rsidRPr="009C5EFD">
          <w:rPr>
            <w:sz w:val="22"/>
            <w:szCs w:val="22"/>
          </w:rPr>
          <w:delText>1212 pasienter innen</w:delText>
        </w:r>
        <w:r w:rsidR="00F044FA" w:rsidRPr="009C5EFD">
          <w:rPr>
            <w:sz w:val="22"/>
            <w:szCs w:val="22"/>
          </w:rPr>
          <w:delText>for</w:delText>
        </w:r>
        <w:r w:rsidRPr="009C5EFD">
          <w:rPr>
            <w:sz w:val="22"/>
            <w:szCs w:val="22"/>
          </w:rPr>
          <w:delText xml:space="preserve"> tre behandlingsperioder. I periode A fikk pasientene placebo og Humira med en </w:delText>
        </w:r>
        <w:r w:rsidR="00BB61BB" w:rsidRPr="009C5EFD">
          <w:rPr>
            <w:sz w:val="22"/>
            <w:szCs w:val="22"/>
          </w:rPr>
          <w:delText>start</w:delText>
        </w:r>
        <w:r w:rsidRPr="009C5EFD">
          <w:rPr>
            <w:sz w:val="22"/>
            <w:szCs w:val="22"/>
          </w:rPr>
          <w:delText>dose på 80 mg</w:delText>
        </w:r>
        <w:r w:rsidR="00F044FA" w:rsidRPr="009C5EFD">
          <w:rPr>
            <w:sz w:val="22"/>
            <w:szCs w:val="22"/>
          </w:rPr>
          <w:delText>,</w:delText>
        </w:r>
        <w:r w:rsidRPr="009C5EFD">
          <w:rPr>
            <w:sz w:val="22"/>
            <w:szCs w:val="22"/>
          </w:rPr>
          <w:delText xml:space="preserve"> etterfulgt av 40 mg annen</w:delText>
        </w:r>
        <w:r w:rsidR="00BB61BB" w:rsidRPr="009C5EFD">
          <w:rPr>
            <w:sz w:val="22"/>
            <w:szCs w:val="22"/>
          </w:rPr>
          <w:delText>hver</w:delText>
        </w:r>
        <w:r w:rsidRPr="009C5EFD">
          <w:rPr>
            <w:sz w:val="22"/>
            <w:szCs w:val="22"/>
          </w:rPr>
          <w:delText xml:space="preserve"> uke </w:delText>
        </w:r>
        <w:r w:rsidR="00F044FA" w:rsidRPr="009C5EFD">
          <w:rPr>
            <w:sz w:val="22"/>
            <w:szCs w:val="22"/>
          </w:rPr>
          <w:delText>é</w:delText>
        </w:r>
        <w:r w:rsidRPr="009C5EFD">
          <w:rPr>
            <w:sz w:val="22"/>
            <w:szCs w:val="22"/>
          </w:rPr>
          <w:delText xml:space="preserve">n uke etter den </w:delText>
        </w:r>
        <w:r w:rsidR="00BB61BB" w:rsidRPr="009C5EFD">
          <w:rPr>
            <w:sz w:val="22"/>
            <w:szCs w:val="22"/>
          </w:rPr>
          <w:delText>første</w:delText>
        </w:r>
        <w:r w:rsidRPr="009C5EFD">
          <w:rPr>
            <w:sz w:val="22"/>
            <w:szCs w:val="22"/>
          </w:rPr>
          <w:delText xml:space="preserve"> dosen. Etter 16 uker med </w:delText>
        </w:r>
        <w:r w:rsidR="00BB61BB" w:rsidRPr="009C5EFD">
          <w:rPr>
            <w:sz w:val="22"/>
            <w:szCs w:val="22"/>
          </w:rPr>
          <w:delText>behandling</w:delText>
        </w:r>
        <w:r w:rsidRPr="009C5EFD">
          <w:rPr>
            <w:sz w:val="22"/>
            <w:szCs w:val="22"/>
          </w:rPr>
          <w:delText xml:space="preserve"> gikk pasienter som oppnådde minst en PASI-respons på 75 (PASI score forbedring minst 75 % i forhold til behandlingsstart)</w:delText>
        </w:r>
        <w:r w:rsidR="00F044FA" w:rsidRPr="009C5EFD">
          <w:rPr>
            <w:sz w:val="22"/>
            <w:szCs w:val="22"/>
          </w:rPr>
          <w:delText>,</w:delText>
        </w:r>
        <w:r w:rsidRPr="009C5EFD">
          <w:rPr>
            <w:sz w:val="22"/>
            <w:szCs w:val="22"/>
          </w:rPr>
          <w:delText xml:space="preserve"> </w:delText>
        </w:r>
        <w:r w:rsidR="00BB61BB" w:rsidRPr="009C5EFD">
          <w:rPr>
            <w:sz w:val="22"/>
            <w:szCs w:val="22"/>
          </w:rPr>
          <w:delText>videre til</w:delText>
        </w:r>
        <w:r w:rsidRPr="009C5EFD">
          <w:rPr>
            <w:sz w:val="22"/>
            <w:szCs w:val="22"/>
          </w:rPr>
          <w:delText xml:space="preserve"> periode B og fikk </w:delText>
        </w:r>
        <w:r w:rsidR="00D57009">
          <w:rPr>
            <w:sz w:val="22"/>
            <w:szCs w:val="22"/>
          </w:rPr>
          <w:delText>«</w:delText>
        </w:r>
        <w:r w:rsidR="00B06915" w:rsidRPr="009C5EFD">
          <w:rPr>
            <w:sz w:val="22"/>
            <w:szCs w:val="22"/>
          </w:rPr>
          <w:delText>open-label</w:delText>
        </w:r>
        <w:r w:rsidR="00D57009">
          <w:rPr>
            <w:sz w:val="22"/>
            <w:szCs w:val="22"/>
          </w:rPr>
          <w:delText>»</w:delText>
        </w:r>
        <w:r w:rsidRPr="009C5EFD">
          <w:rPr>
            <w:sz w:val="22"/>
            <w:szCs w:val="22"/>
          </w:rPr>
          <w:delText xml:space="preserve"> 40 mg Humira annen</w:delText>
        </w:r>
        <w:r w:rsidR="00BB61BB" w:rsidRPr="009C5EFD">
          <w:rPr>
            <w:sz w:val="22"/>
            <w:szCs w:val="22"/>
          </w:rPr>
          <w:delText>hver</w:delText>
        </w:r>
        <w:r w:rsidRPr="009C5EFD">
          <w:rPr>
            <w:sz w:val="22"/>
            <w:szCs w:val="22"/>
          </w:rPr>
          <w:delText xml:space="preserve"> uke. Pasienter som opprettholdt </w:delText>
        </w:r>
        <w:r w:rsidRPr="007F67EE">
          <w:rPr>
            <w:rFonts w:ascii="Symbol" w:hAnsi="Symbol"/>
            <w:sz w:val="22"/>
            <w:szCs w:val="22"/>
          </w:rPr>
          <w:sym w:font="Symbol" w:char="F0B3"/>
        </w:r>
        <w:r w:rsidRPr="007F67EE">
          <w:rPr>
            <w:sz w:val="22"/>
            <w:szCs w:val="22"/>
          </w:rPr>
          <w:delText xml:space="preserve"> PASI 75-respons ved uke 33 og </w:delText>
        </w:r>
        <w:r w:rsidR="00BB61BB" w:rsidRPr="00193D76">
          <w:rPr>
            <w:sz w:val="22"/>
            <w:szCs w:val="22"/>
          </w:rPr>
          <w:delText xml:space="preserve">som </w:delText>
        </w:r>
        <w:r w:rsidRPr="002D0790">
          <w:rPr>
            <w:sz w:val="22"/>
            <w:szCs w:val="22"/>
          </w:rPr>
          <w:delText xml:space="preserve">var opprinnelig randomiserte til aktiv </w:delText>
        </w:r>
        <w:r w:rsidR="00BB61BB" w:rsidRPr="002D0790">
          <w:rPr>
            <w:sz w:val="22"/>
            <w:szCs w:val="22"/>
          </w:rPr>
          <w:delText xml:space="preserve">behandling </w:delText>
        </w:r>
        <w:r w:rsidRPr="00E14E58">
          <w:rPr>
            <w:sz w:val="22"/>
            <w:szCs w:val="22"/>
          </w:rPr>
          <w:delText>i peri</w:delText>
        </w:r>
        <w:r w:rsidRPr="009C5EFD">
          <w:rPr>
            <w:sz w:val="22"/>
            <w:szCs w:val="22"/>
          </w:rPr>
          <w:delText>ode A</w:delText>
        </w:r>
        <w:r w:rsidR="00F044FA" w:rsidRPr="009C5EFD">
          <w:rPr>
            <w:sz w:val="22"/>
            <w:szCs w:val="22"/>
          </w:rPr>
          <w:delText>,</w:delText>
        </w:r>
        <w:r w:rsidRPr="009C5EFD">
          <w:rPr>
            <w:sz w:val="22"/>
            <w:szCs w:val="22"/>
          </w:rPr>
          <w:delText xml:space="preserve"> ble randomisert på nytt i periode C til å få </w:delText>
        </w:r>
        <w:r w:rsidR="00B06915" w:rsidRPr="009C5EFD">
          <w:rPr>
            <w:sz w:val="22"/>
            <w:szCs w:val="22"/>
          </w:rPr>
          <w:delText xml:space="preserve">40 mg </w:delText>
        </w:r>
        <w:r w:rsidRPr="009C5EFD">
          <w:rPr>
            <w:sz w:val="22"/>
            <w:szCs w:val="22"/>
          </w:rPr>
          <w:delText>Humira annen</w:delText>
        </w:r>
        <w:r w:rsidR="00BB61BB" w:rsidRPr="009C5EFD">
          <w:rPr>
            <w:sz w:val="22"/>
            <w:szCs w:val="22"/>
          </w:rPr>
          <w:delText>hver</w:delText>
        </w:r>
        <w:r w:rsidRPr="009C5EFD">
          <w:rPr>
            <w:sz w:val="22"/>
            <w:szCs w:val="22"/>
          </w:rPr>
          <w:delText xml:space="preserve"> uke eller placebo i </w:delText>
        </w:r>
        <w:r w:rsidR="00F044FA" w:rsidRPr="009C5EFD">
          <w:rPr>
            <w:sz w:val="22"/>
            <w:szCs w:val="22"/>
          </w:rPr>
          <w:delText xml:space="preserve">ytterligere </w:delText>
        </w:r>
        <w:r w:rsidRPr="009C5EFD">
          <w:rPr>
            <w:sz w:val="22"/>
            <w:szCs w:val="22"/>
          </w:rPr>
          <w:delText>19 uker. På tvers av alle behandl</w:delText>
        </w:r>
        <w:r w:rsidR="00B06915" w:rsidRPr="009C5EFD">
          <w:rPr>
            <w:sz w:val="22"/>
            <w:szCs w:val="22"/>
          </w:rPr>
          <w:delText>ings</w:delText>
        </w:r>
        <w:r w:rsidRPr="009C5EFD">
          <w:rPr>
            <w:sz w:val="22"/>
            <w:szCs w:val="22"/>
          </w:rPr>
          <w:delText xml:space="preserve">grupper var den gjennomsnittlige PASI score 18,9 ved </w:delText>
        </w:r>
        <w:r w:rsidR="00BB61BB" w:rsidRPr="009C5EFD">
          <w:rPr>
            <w:sz w:val="22"/>
            <w:szCs w:val="22"/>
          </w:rPr>
          <w:delText>behandlings</w:delText>
        </w:r>
        <w:r w:rsidRPr="009C5EFD">
          <w:rPr>
            <w:sz w:val="22"/>
            <w:szCs w:val="22"/>
          </w:rPr>
          <w:delText xml:space="preserve">start, og Physician’s Global Assessment (PGA) score var klassifisert fra </w:delText>
        </w:r>
        <w:r w:rsidR="00D57009">
          <w:rPr>
            <w:sz w:val="22"/>
            <w:szCs w:val="22"/>
          </w:rPr>
          <w:delText>«</w:delText>
        </w:r>
        <w:r w:rsidRPr="009C5EFD">
          <w:rPr>
            <w:sz w:val="22"/>
            <w:szCs w:val="22"/>
          </w:rPr>
          <w:delText>moderat</w:delText>
        </w:r>
        <w:r w:rsidR="00D57009">
          <w:rPr>
            <w:sz w:val="22"/>
            <w:szCs w:val="22"/>
          </w:rPr>
          <w:delText>»</w:delText>
        </w:r>
        <w:r w:rsidRPr="009C5EFD">
          <w:rPr>
            <w:sz w:val="22"/>
            <w:szCs w:val="22"/>
          </w:rPr>
          <w:delText xml:space="preserve"> (53 % av de inkluderte pasientene) til </w:delText>
        </w:r>
        <w:r w:rsidR="00D57009">
          <w:rPr>
            <w:sz w:val="22"/>
            <w:szCs w:val="22"/>
          </w:rPr>
          <w:delText>«</w:delText>
        </w:r>
        <w:r w:rsidRPr="009C5EFD">
          <w:rPr>
            <w:sz w:val="22"/>
            <w:szCs w:val="22"/>
          </w:rPr>
          <w:delText>alvorlig</w:delText>
        </w:r>
        <w:r w:rsidR="00D57009">
          <w:rPr>
            <w:sz w:val="22"/>
            <w:szCs w:val="22"/>
          </w:rPr>
          <w:delText>»</w:delText>
        </w:r>
        <w:r w:rsidRPr="009C5EFD">
          <w:rPr>
            <w:sz w:val="22"/>
            <w:szCs w:val="22"/>
          </w:rPr>
          <w:delText xml:space="preserve"> (41 %) eller </w:delText>
        </w:r>
        <w:r w:rsidR="00D57009">
          <w:rPr>
            <w:sz w:val="22"/>
            <w:szCs w:val="22"/>
          </w:rPr>
          <w:delText>«</w:delText>
        </w:r>
        <w:r w:rsidRPr="009C5EFD">
          <w:rPr>
            <w:sz w:val="22"/>
            <w:szCs w:val="22"/>
          </w:rPr>
          <w:delText>svært alvorlig</w:delText>
        </w:r>
        <w:r w:rsidR="00D57009">
          <w:rPr>
            <w:sz w:val="22"/>
            <w:szCs w:val="22"/>
          </w:rPr>
          <w:delText>»</w:delText>
        </w:r>
        <w:r w:rsidRPr="009C5EFD">
          <w:rPr>
            <w:sz w:val="22"/>
            <w:szCs w:val="22"/>
          </w:rPr>
          <w:delText xml:space="preserve"> (6 %).</w:delText>
        </w:r>
      </w:del>
    </w:p>
    <w:p w14:paraId="338FA57F" w14:textId="28532F78" w:rsidR="009A7AA8" w:rsidRPr="009C5EFD" w:rsidRDefault="009A7AA8">
      <w:pPr>
        <w:keepNext/>
        <w:suppressAutoHyphens/>
        <w:rPr>
          <w:del w:id="8369" w:author="AbbVie02no" w:date="2025-05-15T13:45:00Z"/>
          <w:sz w:val="22"/>
          <w:szCs w:val="22"/>
        </w:rPr>
        <w:pPrChange w:id="8370" w:author="AbbVie02no" w:date="2025-05-15T13:45:00Z">
          <w:pPr/>
        </w:pPrChange>
      </w:pPr>
    </w:p>
    <w:p w14:paraId="28CCB8D4" w14:textId="78C9528C" w:rsidR="00913F1F" w:rsidRPr="009C5EFD" w:rsidRDefault="00E453CD">
      <w:pPr>
        <w:keepNext/>
        <w:suppressAutoHyphens/>
        <w:rPr>
          <w:del w:id="8371" w:author="AbbVie02no" w:date="2025-05-15T13:45:00Z"/>
          <w:sz w:val="22"/>
          <w:szCs w:val="22"/>
        </w:rPr>
        <w:pPrChange w:id="8372" w:author="AbbVie02no" w:date="2025-05-15T13:45:00Z">
          <w:pPr/>
        </w:pPrChange>
      </w:pPr>
      <w:del w:id="8373" w:author="AbbVie02no" w:date="2025-05-15T13:45:00Z">
        <w:r w:rsidRPr="009C5EFD">
          <w:rPr>
            <w:sz w:val="22"/>
            <w:szCs w:val="22"/>
          </w:rPr>
          <w:delText xml:space="preserve">Psoriasisstudie II </w:delText>
        </w:r>
        <w:r w:rsidR="00F044FA" w:rsidRPr="009C5EFD">
          <w:rPr>
            <w:sz w:val="22"/>
            <w:szCs w:val="22"/>
          </w:rPr>
          <w:delText xml:space="preserve">(CHAMPION) sammenlignet effekt og sikkerhet av Humira </w:delText>
        </w:r>
        <w:r w:rsidR="00F044FA" w:rsidRPr="009C5EFD">
          <w:rPr>
            <w:i/>
            <w:sz w:val="22"/>
            <w:szCs w:val="22"/>
          </w:rPr>
          <w:delText>versus</w:delText>
        </w:r>
        <w:r w:rsidRPr="009C5EFD">
          <w:rPr>
            <w:sz w:val="22"/>
            <w:szCs w:val="22"/>
          </w:rPr>
          <w:delText xml:space="preserve"> metotreksat og placebo hos 271 pasienter. Pasientene fikk </w:delText>
        </w:r>
        <w:r w:rsidR="00F044FA" w:rsidRPr="009C5EFD">
          <w:rPr>
            <w:sz w:val="22"/>
            <w:szCs w:val="22"/>
          </w:rPr>
          <w:delText xml:space="preserve">enten </w:delText>
        </w:r>
        <w:r w:rsidRPr="009C5EFD">
          <w:rPr>
            <w:sz w:val="22"/>
            <w:szCs w:val="22"/>
          </w:rPr>
          <w:delText xml:space="preserve">placebo, en </w:delText>
        </w:r>
        <w:r w:rsidR="00BB61BB" w:rsidRPr="009C5EFD">
          <w:rPr>
            <w:sz w:val="22"/>
            <w:szCs w:val="22"/>
          </w:rPr>
          <w:delText>start</w:delText>
        </w:r>
        <w:r w:rsidRPr="009C5EFD">
          <w:rPr>
            <w:sz w:val="22"/>
            <w:szCs w:val="22"/>
          </w:rPr>
          <w:delText xml:space="preserve">dose </w:delText>
        </w:r>
        <w:r w:rsidR="00B06915" w:rsidRPr="009C5EFD">
          <w:rPr>
            <w:sz w:val="22"/>
            <w:szCs w:val="22"/>
          </w:rPr>
          <w:delText>på 7,5 mg</w:delText>
        </w:r>
        <w:r w:rsidRPr="009C5EFD">
          <w:rPr>
            <w:sz w:val="22"/>
            <w:szCs w:val="22"/>
          </w:rPr>
          <w:delText xml:space="preserve"> metotreksat og deretter </w:delText>
        </w:r>
        <w:r w:rsidR="00F044FA" w:rsidRPr="009C5EFD">
          <w:rPr>
            <w:sz w:val="22"/>
            <w:szCs w:val="22"/>
          </w:rPr>
          <w:delText>opptrapping av</w:delText>
        </w:r>
        <w:r w:rsidRPr="009C5EFD">
          <w:rPr>
            <w:sz w:val="22"/>
            <w:szCs w:val="22"/>
          </w:rPr>
          <w:delText xml:space="preserve"> dose</w:delText>
        </w:r>
        <w:r w:rsidR="00F044FA" w:rsidRPr="009C5EFD">
          <w:rPr>
            <w:sz w:val="22"/>
            <w:szCs w:val="22"/>
          </w:rPr>
          <w:delText>n</w:delText>
        </w:r>
        <w:r w:rsidRPr="009C5EFD">
          <w:rPr>
            <w:sz w:val="22"/>
            <w:szCs w:val="22"/>
          </w:rPr>
          <w:delText xml:space="preserve"> </w:delText>
        </w:r>
        <w:r w:rsidR="00F044FA" w:rsidRPr="009C5EFD">
          <w:rPr>
            <w:sz w:val="22"/>
            <w:szCs w:val="22"/>
          </w:rPr>
          <w:delText>frem til</w:delText>
        </w:r>
        <w:r w:rsidRPr="009C5EFD">
          <w:rPr>
            <w:sz w:val="22"/>
            <w:szCs w:val="22"/>
          </w:rPr>
          <w:delText xml:space="preserve"> uke 12</w:delText>
        </w:r>
        <w:r w:rsidR="00AE4407" w:rsidRPr="009C5EFD">
          <w:rPr>
            <w:sz w:val="22"/>
            <w:szCs w:val="22"/>
          </w:rPr>
          <w:delText xml:space="preserve"> </w:delText>
        </w:r>
        <w:r w:rsidRPr="009C5EFD">
          <w:rPr>
            <w:sz w:val="22"/>
            <w:szCs w:val="22"/>
          </w:rPr>
          <w:delText>med en maks</w:delText>
        </w:r>
        <w:r w:rsidR="00D808C7" w:rsidRPr="009C5EFD">
          <w:rPr>
            <w:sz w:val="22"/>
            <w:szCs w:val="22"/>
          </w:rPr>
          <w:delText>imums</w:delText>
        </w:r>
        <w:r w:rsidRPr="009C5EFD">
          <w:rPr>
            <w:sz w:val="22"/>
            <w:szCs w:val="22"/>
          </w:rPr>
          <w:delText>dose på 25 mg</w:delText>
        </w:r>
        <w:r w:rsidR="00D808C7" w:rsidRPr="009C5EFD">
          <w:rPr>
            <w:sz w:val="22"/>
            <w:szCs w:val="22"/>
          </w:rPr>
          <w:delText>,</w:delText>
        </w:r>
        <w:r w:rsidRPr="009C5EFD">
          <w:rPr>
            <w:sz w:val="22"/>
            <w:szCs w:val="22"/>
          </w:rPr>
          <w:delText xml:space="preserve"> eller en </w:delText>
        </w:r>
        <w:r w:rsidR="00BB61BB" w:rsidRPr="009C5EFD">
          <w:rPr>
            <w:sz w:val="22"/>
            <w:szCs w:val="22"/>
          </w:rPr>
          <w:delText>start</w:delText>
        </w:r>
        <w:r w:rsidRPr="009C5EFD">
          <w:rPr>
            <w:sz w:val="22"/>
            <w:szCs w:val="22"/>
          </w:rPr>
          <w:delText xml:space="preserve">dose </w:delText>
        </w:r>
        <w:r w:rsidR="00D808C7" w:rsidRPr="009C5EFD">
          <w:rPr>
            <w:sz w:val="22"/>
            <w:szCs w:val="22"/>
          </w:rPr>
          <w:delText xml:space="preserve">på 80 mg </w:delText>
        </w:r>
        <w:r w:rsidRPr="009C5EFD">
          <w:rPr>
            <w:sz w:val="22"/>
            <w:szCs w:val="22"/>
          </w:rPr>
          <w:delText>Humira etterfulgt av 40 mg annen</w:delText>
        </w:r>
        <w:r w:rsidR="00BB61BB" w:rsidRPr="009C5EFD">
          <w:rPr>
            <w:sz w:val="22"/>
            <w:szCs w:val="22"/>
          </w:rPr>
          <w:delText>hver</w:delText>
        </w:r>
        <w:r w:rsidRPr="009C5EFD">
          <w:rPr>
            <w:sz w:val="22"/>
            <w:szCs w:val="22"/>
          </w:rPr>
          <w:delText xml:space="preserve"> uke (starter en uke etter </w:delText>
        </w:r>
        <w:r w:rsidR="00BB61BB" w:rsidRPr="009C5EFD">
          <w:rPr>
            <w:sz w:val="22"/>
            <w:szCs w:val="22"/>
          </w:rPr>
          <w:delText xml:space="preserve">den første </w:delText>
        </w:r>
        <w:r w:rsidRPr="009C5EFD">
          <w:rPr>
            <w:sz w:val="22"/>
            <w:szCs w:val="22"/>
          </w:rPr>
          <w:delText xml:space="preserve">dosen) i 16 uker. Det finnes ingen data som sammenligner Humira og metotreksat utover 16 uker. Pasienter som fikk metotreksat og </w:delText>
        </w:r>
        <w:r w:rsidR="00F044FA" w:rsidRPr="009C5EFD">
          <w:rPr>
            <w:sz w:val="22"/>
            <w:szCs w:val="22"/>
          </w:rPr>
          <w:delText xml:space="preserve">som </w:delText>
        </w:r>
        <w:r w:rsidRPr="009C5EFD">
          <w:rPr>
            <w:sz w:val="22"/>
            <w:szCs w:val="22"/>
          </w:rPr>
          <w:delText xml:space="preserve">oppnådde </w:delText>
        </w:r>
        <w:r w:rsidRPr="007F67EE">
          <w:rPr>
            <w:rFonts w:ascii="Symbol" w:hAnsi="Symbol"/>
            <w:sz w:val="22"/>
            <w:szCs w:val="22"/>
          </w:rPr>
          <w:sym w:font="Symbol" w:char="F0B3"/>
        </w:r>
        <w:r w:rsidRPr="007F67EE">
          <w:rPr>
            <w:sz w:val="22"/>
            <w:szCs w:val="22"/>
          </w:rPr>
          <w:delText xml:space="preserve"> PASI 50-respons ved uke 8 og/eller 12</w:delText>
        </w:r>
        <w:r w:rsidR="00AE4407" w:rsidRPr="00193D76">
          <w:rPr>
            <w:sz w:val="22"/>
            <w:szCs w:val="22"/>
          </w:rPr>
          <w:delText>,</w:delText>
        </w:r>
        <w:r w:rsidRPr="002D0790">
          <w:rPr>
            <w:sz w:val="22"/>
            <w:szCs w:val="22"/>
          </w:rPr>
          <w:delText xml:space="preserve"> fikk</w:delText>
        </w:r>
        <w:r w:rsidR="00AE4407" w:rsidRPr="002D0790">
          <w:rPr>
            <w:sz w:val="22"/>
            <w:szCs w:val="22"/>
          </w:rPr>
          <w:delText xml:space="preserve"> ingen ytterligere doseøkning. </w:delText>
        </w:r>
        <w:r w:rsidRPr="00E14E58">
          <w:rPr>
            <w:sz w:val="22"/>
            <w:szCs w:val="22"/>
          </w:rPr>
          <w:delText>På tvers av</w:delText>
        </w:r>
        <w:r w:rsidR="00BB61BB" w:rsidRPr="009C5EFD">
          <w:rPr>
            <w:sz w:val="22"/>
            <w:szCs w:val="22"/>
          </w:rPr>
          <w:delText xml:space="preserve"> alle</w:delText>
        </w:r>
        <w:r w:rsidRPr="009C5EFD">
          <w:rPr>
            <w:sz w:val="22"/>
            <w:szCs w:val="22"/>
          </w:rPr>
          <w:delText xml:space="preserve"> behandl</w:delText>
        </w:r>
        <w:r w:rsidR="00D808C7" w:rsidRPr="009C5EFD">
          <w:rPr>
            <w:sz w:val="22"/>
            <w:szCs w:val="22"/>
          </w:rPr>
          <w:delText>ings</w:delText>
        </w:r>
        <w:r w:rsidRPr="009C5EFD">
          <w:rPr>
            <w:sz w:val="22"/>
            <w:szCs w:val="22"/>
          </w:rPr>
          <w:delText xml:space="preserve">grupper var den gjennomsnittlige PASI score 19,7 ved </w:delText>
        </w:r>
        <w:r w:rsidRPr="009C5EFD">
          <w:rPr>
            <w:sz w:val="22"/>
            <w:szCs w:val="22"/>
          </w:rPr>
          <w:lastRenderedPageBreak/>
          <w:delText xml:space="preserve">behandlingsstart, og PGA score var klassifisert fra </w:delText>
        </w:r>
        <w:r w:rsidR="00D57009">
          <w:rPr>
            <w:sz w:val="22"/>
            <w:szCs w:val="22"/>
          </w:rPr>
          <w:delText>«</w:delText>
        </w:r>
        <w:r w:rsidRPr="009C5EFD">
          <w:rPr>
            <w:sz w:val="22"/>
            <w:szCs w:val="22"/>
          </w:rPr>
          <w:delText>mild</w:delText>
        </w:r>
        <w:r w:rsidR="00D57009">
          <w:rPr>
            <w:sz w:val="22"/>
            <w:szCs w:val="22"/>
          </w:rPr>
          <w:delText>»</w:delText>
        </w:r>
        <w:r w:rsidRPr="009C5EFD">
          <w:rPr>
            <w:sz w:val="22"/>
            <w:szCs w:val="22"/>
          </w:rPr>
          <w:delText xml:space="preserve"> (&lt; 1 %) til </w:delText>
        </w:r>
        <w:r w:rsidR="00D57009">
          <w:rPr>
            <w:sz w:val="22"/>
            <w:szCs w:val="22"/>
          </w:rPr>
          <w:delText>«</w:delText>
        </w:r>
        <w:r w:rsidRPr="009C5EFD">
          <w:rPr>
            <w:sz w:val="22"/>
            <w:szCs w:val="22"/>
          </w:rPr>
          <w:delText>moderat</w:delText>
        </w:r>
        <w:r w:rsidR="00D57009">
          <w:rPr>
            <w:sz w:val="22"/>
            <w:szCs w:val="22"/>
          </w:rPr>
          <w:delText>»</w:delText>
        </w:r>
        <w:r w:rsidRPr="009C5EFD">
          <w:rPr>
            <w:sz w:val="22"/>
            <w:szCs w:val="22"/>
          </w:rPr>
          <w:delText xml:space="preserve"> (48 %) til </w:delText>
        </w:r>
        <w:r w:rsidR="00D57009">
          <w:rPr>
            <w:sz w:val="22"/>
            <w:szCs w:val="22"/>
          </w:rPr>
          <w:delText>«</w:delText>
        </w:r>
        <w:r w:rsidRPr="009C5EFD">
          <w:rPr>
            <w:sz w:val="22"/>
            <w:szCs w:val="22"/>
          </w:rPr>
          <w:delText>alvorlig</w:delText>
        </w:r>
        <w:r w:rsidR="00D57009">
          <w:rPr>
            <w:sz w:val="22"/>
            <w:szCs w:val="22"/>
          </w:rPr>
          <w:delText>»</w:delText>
        </w:r>
        <w:r w:rsidRPr="009C5EFD">
          <w:rPr>
            <w:sz w:val="22"/>
            <w:szCs w:val="22"/>
          </w:rPr>
          <w:delText xml:space="preserve"> (46 %) eller </w:delText>
        </w:r>
        <w:r w:rsidR="00D57009">
          <w:rPr>
            <w:sz w:val="22"/>
            <w:szCs w:val="22"/>
          </w:rPr>
          <w:delText>«</w:delText>
        </w:r>
        <w:r w:rsidRPr="009C5EFD">
          <w:rPr>
            <w:sz w:val="22"/>
            <w:szCs w:val="22"/>
          </w:rPr>
          <w:delText>svært alvorlig</w:delText>
        </w:r>
        <w:r w:rsidR="00D57009">
          <w:rPr>
            <w:sz w:val="22"/>
            <w:szCs w:val="22"/>
          </w:rPr>
          <w:delText>»</w:delText>
        </w:r>
        <w:r w:rsidRPr="009C5EFD">
          <w:rPr>
            <w:sz w:val="22"/>
            <w:szCs w:val="22"/>
          </w:rPr>
          <w:delText xml:space="preserve"> (6 %).</w:delText>
        </w:r>
      </w:del>
    </w:p>
    <w:p w14:paraId="50DB5FA0" w14:textId="5E70BCE5" w:rsidR="009D067E" w:rsidRPr="009C5EFD" w:rsidRDefault="009D067E">
      <w:pPr>
        <w:keepNext/>
        <w:suppressAutoHyphens/>
        <w:rPr>
          <w:del w:id="8374" w:author="AbbVie02no" w:date="2025-05-15T13:45:00Z"/>
          <w:sz w:val="22"/>
          <w:szCs w:val="22"/>
        </w:rPr>
        <w:pPrChange w:id="8375" w:author="AbbVie02no" w:date="2025-05-15T13:45:00Z">
          <w:pPr/>
        </w:pPrChange>
      </w:pPr>
    </w:p>
    <w:p w14:paraId="0AF06953" w14:textId="7E800747" w:rsidR="00913F1F" w:rsidRPr="009C5EFD" w:rsidRDefault="00E453CD">
      <w:pPr>
        <w:keepNext/>
        <w:suppressAutoHyphens/>
        <w:rPr>
          <w:del w:id="8376" w:author="AbbVie02no" w:date="2025-05-15T13:45:00Z"/>
          <w:sz w:val="22"/>
          <w:szCs w:val="22"/>
        </w:rPr>
        <w:pPrChange w:id="8377" w:author="AbbVie02no" w:date="2025-05-15T13:45:00Z">
          <w:pPr/>
        </w:pPrChange>
      </w:pPr>
      <w:del w:id="8378" w:author="AbbVie02no" w:date="2025-05-15T13:45:00Z">
        <w:r w:rsidRPr="009C5EFD">
          <w:rPr>
            <w:sz w:val="22"/>
            <w:szCs w:val="22"/>
          </w:rPr>
          <w:delText>Pasientene som deltok i alle fase 2 og fase 3 psoriasisstudier</w:delText>
        </w:r>
        <w:r w:rsidR="00AE4407" w:rsidRPr="009C5EFD">
          <w:rPr>
            <w:sz w:val="22"/>
            <w:szCs w:val="22"/>
          </w:rPr>
          <w:delText xml:space="preserve"> var kvalifisert</w:delText>
        </w:r>
        <w:r w:rsidR="00BB61BB" w:rsidRPr="009C5EFD">
          <w:rPr>
            <w:sz w:val="22"/>
            <w:szCs w:val="22"/>
          </w:rPr>
          <w:delText>e</w:delText>
        </w:r>
        <w:r w:rsidRPr="009C5EFD">
          <w:rPr>
            <w:sz w:val="22"/>
            <w:szCs w:val="22"/>
          </w:rPr>
          <w:delText xml:space="preserve"> til å delta i en åpen forlengelsesstudie</w:delText>
        </w:r>
        <w:r w:rsidR="008A1C0C" w:rsidRPr="009C5EFD">
          <w:rPr>
            <w:sz w:val="22"/>
            <w:szCs w:val="22"/>
          </w:rPr>
          <w:delText>,</w:delText>
        </w:r>
        <w:r w:rsidRPr="009C5EFD">
          <w:rPr>
            <w:sz w:val="22"/>
            <w:szCs w:val="22"/>
          </w:rPr>
          <w:delText xml:space="preserve"> hvor Humira ble gitt i en tilleggsperiode på minst 108 uker.</w:delText>
        </w:r>
      </w:del>
    </w:p>
    <w:p w14:paraId="440553B8" w14:textId="10A41F43" w:rsidR="00913F1F" w:rsidRPr="009C5EFD" w:rsidRDefault="00913F1F">
      <w:pPr>
        <w:keepNext/>
        <w:suppressAutoHyphens/>
        <w:rPr>
          <w:del w:id="8379" w:author="AbbVie02no" w:date="2025-05-15T13:45:00Z"/>
          <w:sz w:val="22"/>
          <w:szCs w:val="22"/>
        </w:rPr>
        <w:pPrChange w:id="8380" w:author="AbbVie02no" w:date="2025-05-15T13:45:00Z">
          <w:pPr/>
        </w:pPrChange>
      </w:pPr>
    </w:p>
    <w:p w14:paraId="1B698706" w14:textId="5617156D" w:rsidR="00913F1F" w:rsidRPr="009C5EFD" w:rsidRDefault="00E453CD">
      <w:pPr>
        <w:keepNext/>
        <w:suppressAutoHyphens/>
        <w:rPr>
          <w:del w:id="8381" w:author="AbbVie02no" w:date="2025-05-15T13:45:00Z"/>
          <w:sz w:val="22"/>
          <w:szCs w:val="22"/>
        </w:rPr>
        <w:pPrChange w:id="8382" w:author="AbbVie02no" w:date="2025-05-15T13:45:00Z">
          <w:pPr/>
        </w:pPrChange>
      </w:pPr>
      <w:del w:id="8383" w:author="AbbVie02no" w:date="2025-05-15T13:45:00Z">
        <w:r w:rsidRPr="009C5EFD">
          <w:rPr>
            <w:sz w:val="22"/>
            <w:szCs w:val="22"/>
          </w:rPr>
          <w:delText xml:space="preserve">I psoriasisstudiene I og II var </w:delText>
        </w:r>
        <w:r w:rsidR="00EE63C4" w:rsidRPr="009C5EFD">
          <w:rPr>
            <w:sz w:val="22"/>
            <w:szCs w:val="22"/>
          </w:rPr>
          <w:delText xml:space="preserve">et </w:delText>
        </w:r>
        <w:r w:rsidRPr="009C5EFD">
          <w:rPr>
            <w:sz w:val="22"/>
            <w:szCs w:val="22"/>
          </w:rPr>
          <w:delText xml:space="preserve">primærendepunkt andel pasienter som oppnådde PASI 75-respons fra behandlingsstart til uke 16 (se tabellene </w:delText>
        </w:r>
        <w:r w:rsidR="00BB3E88">
          <w:rPr>
            <w:sz w:val="22"/>
            <w:szCs w:val="22"/>
          </w:rPr>
          <w:delText>16</w:delText>
        </w:r>
        <w:r w:rsidR="00BB3E88" w:rsidRPr="009C5EFD">
          <w:rPr>
            <w:sz w:val="22"/>
            <w:szCs w:val="22"/>
          </w:rPr>
          <w:delText xml:space="preserve"> </w:delText>
        </w:r>
        <w:r w:rsidRPr="009C5EFD">
          <w:rPr>
            <w:sz w:val="22"/>
            <w:szCs w:val="22"/>
          </w:rPr>
          <w:delText xml:space="preserve">og </w:delText>
        </w:r>
        <w:r w:rsidR="00BB3E88">
          <w:rPr>
            <w:sz w:val="22"/>
            <w:szCs w:val="22"/>
          </w:rPr>
          <w:delText>17</w:delText>
        </w:r>
        <w:r w:rsidRPr="009C5EFD">
          <w:rPr>
            <w:sz w:val="22"/>
            <w:szCs w:val="22"/>
          </w:rPr>
          <w:delText xml:space="preserve">). </w:delText>
        </w:r>
      </w:del>
    </w:p>
    <w:p w14:paraId="3A6DA81A" w14:textId="4E9DD708" w:rsidR="00913F1F" w:rsidRPr="009C5EFD" w:rsidRDefault="00913F1F">
      <w:pPr>
        <w:keepNext/>
        <w:suppressAutoHyphens/>
        <w:rPr>
          <w:del w:id="8384" w:author="AbbVie02no" w:date="2025-05-15T13:45:00Z"/>
          <w:szCs w:val="22"/>
        </w:rPr>
        <w:pPrChange w:id="8385" w:author="AbbVie02no" w:date="2025-05-15T13:45:00Z">
          <w:pPr>
            <w:pStyle w:val="DefaultText"/>
          </w:pPr>
        </w:pPrChange>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4644D4" w14:paraId="4AFE06D4" w14:textId="514DE546" w:rsidTr="00913F1F">
        <w:trPr>
          <w:cantSplit/>
          <w:jc w:val="center"/>
          <w:del w:id="8386" w:author="AbbVie02no" w:date="2025-05-15T13:45:00Z"/>
        </w:trPr>
        <w:tc>
          <w:tcPr>
            <w:tcW w:w="6949" w:type="dxa"/>
            <w:gridSpan w:val="3"/>
            <w:tcBorders>
              <w:top w:val="nil"/>
              <w:left w:val="nil"/>
              <w:bottom w:val="single" w:sz="4" w:space="0" w:color="auto"/>
              <w:right w:val="nil"/>
            </w:tcBorders>
          </w:tcPr>
          <w:p w14:paraId="1BD6CCC2" w14:textId="58A55FA1" w:rsidR="00913F1F" w:rsidRPr="00DA6326" w:rsidRDefault="00E453CD">
            <w:pPr>
              <w:keepNext/>
              <w:suppressAutoHyphens/>
              <w:rPr>
                <w:del w:id="8387" w:author="AbbVie02no" w:date="2025-05-15T13:45:00Z"/>
                <w:b/>
                <w:szCs w:val="22"/>
                <w:lang w:val="nn-NO"/>
              </w:rPr>
              <w:pPrChange w:id="8388" w:author="AbbVie02no" w:date="2025-05-15T13:45:00Z">
                <w:pPr>
                  <w:pStyle w:val="DefaultText"/>
                  <w:keepNext/>
                  <w:ind w:left="57"/>
                  <w:jc w:val="center"/>
                </w:pPr>
              </w:pPrChange>
            </w:pPr>
            <w:del w:id="8389" w:author="AbbVie02no" w:date="2025-05-15T13:45:00Z">
              <w:r w:rsidRPr="00DA6326">
                <w:rPr>
                  <w:b/>
                  <w:szCs w:val="22"/>
                  <w:lang w:val="nn-NO"/>
                </w:rPr>
                <w:delText xml:space="preserve">Tabell </w:delText>
              </w:r>
              <w:r w:rsidR="00BB3E88">
                <w:rPr>
                  <w:b/>
                  <w:szCs w:val="22"/>
                  <w:lang w:val="nn-NO"/>
                </w:rPr>
                <w:delText>16</w:delText>
              </w:r>
            </w:del>
          </w:p>
          <w:p w14:paraId="1A79E3C1" w14:textId="09CF2C76" w:rsidR="00913F1F" w:rsidRPr="00DA6326" w:rsidRDefault="00E453CD">
            <w:pPr>
              <w:keepNext/>
              <w:suppressAutoHyphens/>
              <w:rPr>
                <w:del w:id="8390" w:author="AbbVie02no" w:date="2025-05-15T13:45:00Z"/>
                <w:b/>
                <w:szCs w:val="22"/>
                <w:lang w:val="nn-NO"/>
              </w:rPr>
              <w:pPrChange w:id="8391" w:author="AbbVie02no" w:date="2025-05-15T13:45:00Z">
                <w:pPr>
                  <w:pStyle w:val="DefaultText"/>
                  <w:keepNext/>
                  <w:ind w:left="57"/>
                  <w:jc w:val="center"/>
                </w:pPr>
              </w:pPrChange>
            </w:pPr>
            <w:del w:id="8392" w:author="AbbVie02no" w:date="2025-05-15T13:45:00Z">
              <w:r w:rsidRPr="00DA6326">
                <w:rPr>
                  <w:b/>
                  <w:szCs w:val="22"/>
                  <w:lang w:val="nn-NO"/>
                </w:rPr>
                <w:delText>Psoriasis Studie I (REVEAL)</w:delText>
              </w:r>
            </w:del>
          </w:p>
          <w:p w14:paraId="51231C35" w14:textId="6E085911" w:rsidR="00913F1F" w:rsidRPr="009C5EFD" w:rsidRDefault="00E453CD">
            <w:pPr>
              <w:keepNext/>
              <w:suppressAutoHyphens/>
              <w:rPr>
                <w:del w:id="8393" w:author="AbbVie02no" w:date="2025-05-15T13:45:00Z"/>
                <w:b/>
                <w:szCs w:val="22"/>
                <w:u w:val="single"/>
              </w:rPr>
              <w:pPrChange w:id="8394" w:author="AbbVie02no" w:date="2025-05-15T13:45:00Z">
                <w:pPr>
                  <w:pStyle w:val="DefaultText"/>
                  <w:keepNext/>
                  <w:ind w:left="57"/>
                  <w:jc w:val="center"/>
                </w:pPr>
              </w:pPrChange>
            </w:pPr>
            <w:del w:id="8395" w:author="AbbVie02no" w:date="2025-05-15T13:45:00Z">
              <w:r>
                <w:rPr>
                  <w:b/>
                  <w:szCs w:val="22"/>
                </w:rPr>
                <w:delText>Effektresultater</w:delText>
              </w:r>
              <w:r w:rsidRPr="009C5EFD">
                <w:rPr>
                  <w:b/>
                  <w:szCs w:val="22"/>
                </w:rPr>
                <w:delText xml:space="preserve"> ved uke 16 </w:delText>
              </w:r>
            </w:del>
          </w:p>
        </w:tc>
      </w:tr>
      <w:tr w:rsidR="004644D4" w14:paraId="390D9ACD" w14:textId="6721C1AD" w:rsidTr="00913F1F">
        <w:trPr>
          <w:cantSplit/>
          <w:jc w:val="center"/>
          <w:del w:id="8396" w:author="AbbVie02no" w:date="2025-05-15T13:45:00Z"/>
        </w:trPr>
        <w:tc>
          <w:tcPr>
            <w:tcW w:w="2977" w:type="dxa"/>
            <w:tcBorders>
              <w:top w:val="single" w:sz="4" w:space="0" w:color="auto"/>
            </w:tcBorders>
            <w:vAlign w:val="center"/>
          </w:tcPr>
          <w:p w14:paraId="0E58CA3C" w14:textId="34619143" w:rsidR="00913F1F" w:rsidRPr="007F67EE" w:rsidRDefault="00913F1F">
            <w:pPr>
              <w:keepNext/>
              <w:suppressAutoHyphens/>
              <w:rPr>
                <w:del w:id="8397" w:author="AbbVie02no" w:date="2025-05-15T13:45:00Z"/>
                <w:szCs w:val="22"/>
              </w:rPr>
              <w:pPrChange w:id="8398" w:author="AbbVie02no" w:date="2025-05-15T13:45:00Z">
                <w:pPr>
                  <w:pStyle w:val="DefaultText"/>
                  <w:keepNext/>
                  <w:ind w:left="57"/>
                </w:pPr>
              </w:pPrChange>
            </w:pPr>
          </w:p>
        </w:tc>
        <w:tc>
          <w:tcPr>
            <w:tcW w:w="1620" w:type="dxa"/>
            <w:tcBorders>
              <w:top w:val="single" w:sz="4" w:space="0" w:color="auto"/>
            </w:tcBorders>
            <w:vAlign w:val="center"/>
          </w:tcPr>
          <w:p w14:paraId="7F5323C1" w14:textId="2D801EEE" w:rsidR="00913F1F" w:rsidRPr="00193D76" w:rsidRDefault="00E453CD">
            <w:pPr>
              <w:keepNext/>
              <w:suppressAutoHyphens/>
              <w:rPr>
                <w:del w:id="8399" w:author="AbbVie02no" w:date="2025-05-15T13:45:00Z"/>
                <w:b/>
                <w:szCs w:val="22"/>
              </w:rPr>
              <w:pPrChange w:id="8400" w:author="AbbVie02no" w:date="2025-05-15T13:45:00Z">
                <w:pPr>
                  <w:pStyle w:val="DefaultText"/>
                  <w:keepNext/>
                  <w:ind w:left="57"/>
                  <w:jc w:val="center"/>
                </w:pPr>
              </w:pPrChange>
            </w:pPr>
            <w:del w:id="8401" w:author="AbbVie02no" w:date="2025-05-15T13:45:00Z">
              <w:r w:rsidRPr="00193D76">
                <w:rPr>
                  <w:b/>
                  <w:szCs w:val="22"/>
                </w:rPr>
                <w:delText>Placebo</w:delText>
              </w:r>
            </w:del>
          </w:p>
          <w:p w14:paraId="338F99A7" w14:textId="604D464F" w:rsidR="00913F1F" w:rsidRPr="002D0790" w:rsidRDefault="00E453CD">
            <w:pPr>
              <w:keepNext/>
              <w:suppressAutoHyphens/>
              <w:rPr>
                <w:del w:id="8402" w:author="AbbVie02no" w:date="2025-05-15T13:45:00Z"/>
                <w:b/>
                <w:szCs w:val="22"/>
              </w:rPr>
              <w:pPrChange w:id="8403" w:author="AbbVie02no" w:date="2025-05-15T13:45:00Z">
                <w:pPr>
                  <w:pStyle w:val="DefaultText"/>
                  <w:keepNext/>
                  <w:ind w:left="57"/>
                  <w:jc w:val="center"/>
                </w:pPr>
              </w:pPrChange>
            </w:pPr>
            <w:del w:id="8404" w:author="AbbVie02no" w:date="2025-05-15T13:45:00Z">
              <w:r w:rsidRPr="002D0790">
                <w:rPr>
                  <w:b/>
                  <w:szCs w:val="22"/>
                </w:rPr>
                <w:delText>N=398</w:delText>
              </w:r>
            </w:del>
          </w:p>
          <w:p w14:paraId="27065CEF" w14:textId="01A47986" w:rsidR="00913F1F" w:rsidRPr="002D0790" w:rsidRDefault="00E453CD">
            <w:pPr>
              <w:keepNext/>
              <w:suppressAutoHyphens/>
              <w:rPr>
                <w:del w:id="8405" w:author="AbbVie02no" w:date="2025-05-15T13:45:00Z"/>
                <w:b/>
                <w:szCs w:val="22"/>
              </w:rPr>
              <w:pPrChange w:id="8406" w:author="AbbVie02no" w:date="2025-05-15T13:45:00Z">
                <w:pPr>
                  <w:pStyle w:val="DefaultText"/>
                  <w:keepNext/>
                  <w:ind w:left="57"/>
                  <w:jc w:val="center"/>
                </w:pPr>
              </w:pPrChange>
            </w:pPr>
            <w:del w:id="8407" w:author="AbbVie02no" w:date="2025-05-15T13:45:00Z">
              <w:r w:rsidRPr="002D0790">
                <w:rPr>
                  <w:b/>
                  <w:szCs w:val="22"/>
                </w:rPr>
                <w:delText>n (%)</w:delText>
              </w:r>
            </w:del>
          </w:p>
        </w:tc>
        <w:tc>
          <w:tcPr>
            <w:tcW w:w="2352" w:type="dxa"/>
            <w:tcBorders>
              <w:top w:val="single" w:sz="4" w:space="0" w:color="auto"/>
            </w:tcBorders>
            <w:vAlign w:val="center"/>
          </w:tcPr>
          <w:p w14:paraId="3A27F851" w14:textId="6565BAEA" w:rsidR="00913F1F" w:rsidRPr="009C5EFD" w:rsidRDefault="00E453CD">
            <w:pPr>
              <w:keepNext/>
              <w:suppressAutoHyphens/>
              <w:rPr>
                <w:del w:id="8408" w:author="AbbVie02no" w:date="2025-05-15T13:45:00Z"/>
                <w:b/>
                <w:szCs w:val="22"/>
              </w:rPr>
              <w:pPrChange w:id="8409" w:author="AbbVie02no" w:date="2025-05-15T13:45:00Z">
                <w:pPr>
                  <w:pStyle w:val="DefaultText"/>
                  <w:ind w:left="54"/>
                  <w:jc w:val="center"/>
                </w:pPr>
              </w:pPrChange>
            </w:pPr>
            <w:del w:id="8410" w:author="AbbVie02no" w:date="2025-05-15T13:45:00Z">
              <w:r w:rsidRPr="00E14E58">
                <w:rPr>
                  <w:b/>
                  <w:szCs w:val="22"/>
                </w:rPr>
                <w:delText xml:space="preserve">Humira 40 mg </w:delText>
              </w:r>
              <w:r w:rsidR="009D067E" w:rsidRPr="009C5EFD">
                <w:rPr>
                  <w:b/>
                  <w:szCs w:val="22"/>
                </w:rPr>
                <w:delText>annenhver uke</w:delText>
              </w:r>
            </w:del>
          </w:p>
          <w:p w14:paraId="2A6E1DCF" w14:textId="1B3980AE" w:rsidR="00913F1F" w:rsidRPr="009C5EFD" w:rsidRDefault="00E453CD">
            <w:pPr>
              <w:keepNext/>
              <w:suppressAutoHyphens/>
              <w:rPr>
                <w:del w:id="8411" w:author="AbbVie02no" w:date="2025-05-15T13:45:00Z"/>
                <w:b/>
                <w:szCs w:val="22"/>
              </w:rPr>
              <w:pPrChange w:id="8412" w:author="AbbVie02no" w:date="2025-05-15T13:45:00Z">
                <w:pPr>
                  <w:pStyle w:val="DefaultText"/>
                  <w:ind w:left="54"/>
                  <w:jc w:val="center"/>
                </w:pPr>
              </w:pPrChange>
            </w:pPr>
            <w:del w:id="8413" w:author="AbbVie02no" w:date="2025-05-15T13:45:00Z">
              <w:r w:rsidRPr="009C5EFD">
                <w:rPr>
                  <w:b/>
                  <w:szCs w:val="22"/>
                </w:rPr>
                <w:delText>N=814</w:delText>
              </w:r>
            </w:del>
          </w:p>
          <w:p w14:paraId="5D7A54A1" w14:textId="0F0FAB0D" w:rsidR="00913F1F" w:rsidRPr="009C5EFD" w:rsidRDefault="00E453CD">
            <w:pPr>
              <w:keepNext/>
              <w:suppressAutoHyphens/>
              <w:rPr>
                <w:del w:id="8414" w:author="AbbVie02no" w:date="2025-05-15T13:45:00Z"/>
                <w:b/>
                <w:szCs w:val="22"/>
              </w:rPr>
              <w:pPrChange w:id="8415" w:author="AbbVie02no" w:date="2025-05-15T13:45:00Z">
                <w:pPr>
                  <w:pStyle w:val="DefaultText"/>
                  <w:ind w:left="54"/>
                  <w:jc w:val="center"/>
                </w:pPr>
              </w:pPrChange>
            </w:pPr>
            <w:del w:id="8416" w:author="AbbVie02no" w:date="2025-05-15T13:45:00Z">
              <w:r w:rsidRPr="009C5EFD">
                <w:rPr>
                  <w:b/>
                  <w:szCs w:val="22"/>
                </w:rPr>
                <w:delText>n (%)</w:delText>
              </w:r>
            </w:del>
          </w:p>
        </w:tc>
      </w:tr>
      <w:tr w:rsidR="004644D4" w14:paraId="4D6BED7E" w14:textId="199A7467" w:rsidTr="00913F1F">
        <w:trPr>
          <w:cantSplit/>
          <w:jc w:val="center"/>
          <w:del w:id="8417" w:author="AbbVie02no" w:date="2025-05-15T13:45:00Z"/>
        </w:trPr>
        <w:tc>
          <w:tcPr>
            <w:tcW w:w="2977" w:type="dxa"/>
          </w:tcPr>
          <w:p w14:paraId="59F87D0B" w14:textId="2D0872F8" w:rsidR="00913F1F" w:rsidRPr="002D0790" w:rsidRDefault="00E453CD">
            <w:pPr>
              <w:keepNext/>
              <w:suppressAutoHyphens/>
              <w:rPr>
                <w:del w:id="8418" w:author="AbbVie02no" w:date="2025-05-15T13:45:00Z"/>
                <w:b/>
                <w:szCs w:val="22"/>
              </w:rPr>
              <w:pPrChange w:id="8419" w:author="AbbVie02no" w:date="2025-05-15T13:45:00Z">
                <w:pPr>
                  <w:pStyle w:val="DefaultText"/>
                  <w:keepNext/>
                  <w:ind w:left="57"/>
                </w:pPr>
              </w:pPrChange>
            </w:pPr>
            <w:del w:id="8420" w:author="AbbVie02no" w:date="2025-05-15T13:45:00Z">
              <w:r w:rsidRPr="007F67EE">
                <w:rPr>
                  <w:b/>
                  <w:szCs w:val="22"/>
                </w:rPr>
                <w:delText xml:space="preserve">    </w:delText>
              </w:r>
              <w:r w:rsidRPr="007F67EE">
                <w:rPr>
                  <w:rFonts w:ascii="Symbol" w:hAnsi="Symbol"/>
                  <w:b/>
                  <w:szCs w:val="22"/>
                </w:rPr>
                <w:sym w:font="Symbol" w:char="F0B3"/>
              </w:r>
              <w:r w:rsidR="00717202" w:rsidRPr="007F67EE">
                <w:rPr>
                  <w:b/>
                  <w:szCs w:val="22"/>
                </w:rPr>
                <w:delText> </w:delText>
              </w:r>
              <w:r w:rsidRPr="00193D76">
                <w:rPr>
                  <w:b/>
                  <w:szCs w:val="22"/>
                </w:rPr>
                <w:delText>PASI 75</w:delText>
              </w:r>
              <w:r w:rsidRPr="002D0790">
                <w:rPr>
                  <w:b/>
                  <w:szCs w:val="22"/>
                  <w:vertAlign w:val="superscript"/>
                </w:rPr>
                <w:delText>a</w:delText>
              </w:r>
            </w:del>
          </w:p>
        </w:tc>
        <w:tc>
          <w:tcPr>
            <w:tcW w:w="1620" w:type="dxa"/>
          </w:tcPr>
          <w:p w14:paraId="2CE1EF48" w14:textId="0B57A101" w:rsidR="00913F1F" w:rsidRPr="00E14E58" w:rsidRDefault="00E453CD">
            <w:pPr>
              <w:keepNext/>
              <w:suppressAutoHyphens/>
              <w:rPr>
                <w:del w:id="8421" w:author="AbbVie02no" w:date="2025-05-15T13:45:00Z"/>
                <w:szCs w:val="22"/>
              </w:rPr>
              <w:pPrChange w:id="8422" w:author="AbbVie02no" w:date="2025-05-15T13:45:00Z">
                <w:pPr>
                  <w:pStyle w:val="DefaultText"/>
                  <w:keepNext/>
                  <w:ind w:left="57"/>
                  <w:jc w:val="center"/>
                </w:pPr>
              </w:pPrChange>
            </w:pPr>
            <w:del w:id="8423" w:author="AbbVie02no" w:date="2025-05-15T13:45:00Z">
              <w:r w:rsidRPr="00E14E58">
                <w:rPr>
                  <w:szCs w:val="22"/>
                </w:rPr>
                <w:delText>26 (6,5)</w:delText>
              </w:r>
            </w:del>
          </w:p>
        </w:tc>
        <w:tc>
          <w:tcPr>
            <w:tcW w:w="2352" w:type="dxa"/>
          </w:tcPr>
          <w:p w14:paraId="72A5604A" w14:textId="2F743ED0" w:rsidR="00913F1F" w:rsidRPr="009C5EFD" w:rsidRDefault="00E453CD">
            <w:pPr>
              <w:keepNext/>
              <w:suppressAutoHyphens/>
              <w:rPr>
                <w:del w:id="8424" w:author="AbbVie02no" w:date="2025-05-15T13:45:00Z"/>
                <w:szCs w:val="22"/>
              </w:rPr>
              <w:pPrChange w:id="8425" w:author="AbbVie02no" w:date="2025-05-15T13:45:00Z">
                <w:pPr>
                  <w:pStyle w:val="DefaultText"/>
                  <w:ind w:left="54"/>
                  <w:jc w:val="center"/>
                </w:pPr>
              </w:pPrChange>
            </w:pPr>
            <w:del w:id="8426" w:author="AbbVie02no" w:date="2025-05-15T13:45:00Z">
              <w:r w:rsidRPr="009C5EFD">
                <w:rPr>
                  <w:szCs w:val="22"/>
                </w:rPr>
                <w:delText>578 (70,9)</w:delText>
              </w:r>
              <w:r w:rsidRPr="009C5EFD">
                <w:rPr>
                  <w:szCs w:val="22"/>
                  <w:vertAlign w:val="superscript"/>
                </w:rPr>
                <w:delText>b</w:delText>
              </w:r>
            </w:del>
          </w:p>
        </w:tc>
      </w:tr>
      <w:tr w:rsidR="004644D4" w14:paraId="768382B4" w14:textId="2642C445" w:rsidTr="00913F1F">
        <w:trPr>
          <w:cantSplit/>
          <w:trHeight w:val="70"/>
          <w:jc w:val="center"/>
          <w:del w:id="8427" w:author="AbbVie02no" w:date="2025-05-15T13:45:00Z"/>
        </w:trPr>
        <w:tc>
          <w:tcPr>
            <w:tcW w:w="2977" w:type="dxa"/>
          </w:tcPr>
          <w:p w14:paraId="4082E94B" w14:textId="4F7F0F50" w:rsidR="00913F1F" w:rsidRPr="007F67EE" w:rsidRDefault="00E453CD">
            <w:pPr>
              <w:keepNext/>
              <w:suppressAutoHyphens/>
              <w:rPr>
                <w:del w:id="8428" w:author="AbbVie02no" w:date="2025-05-15T13:45:00Z"/>
                <w:b/>
                <w:szCs w:val="22"/>
              </w:rPr>
              <w:pPrChange w:id="8429" w:author="AbbVie02no" w:date="2025-05-15T13:45:00Z">
                <w:pPr>
                  <w:pStyle w:val="DefaultText"/>
                  <w:keepNext/>
                  <w:ind w:left="57"/>
                </w:pPr>
              </w:pPrChange>
            </w:pPr>
            <w:del w:id="8430" w:author="AbbVie02no" w:date="2025-05-15T13:45:00Z">
              <w:r w:rsidRPr="007F67EE">
                <w:rPr>
                  <w:b/>
                  <w:szCs w:val="22"/>
                </w:rPr>
                <w:delText xml:space="preserve">    PASI 100</w:delText>
              </w:r>
            </w:del>
          </w:p>
        </w:tc>
        <w:tc>
          <w:tcPr>
            <w:tcW w:w="1620" w:type="dxa"/>
          </w:tcPr>
          <w:p w14:paraId="793CB903" w14:textId="0B144882" w:rsidR="00913F1F" w:rsidRPr="00193D76" w:rsidRDefault="00E453CD">
            <w:pPr>
              <w:keepNext/>
              <w:suppressAutoHyphens/>
              <w:rPr>
                <w:del w:id="8431" w:author="AbbVie02no" w:date="2025-05-15T13:45:00Z"/>
                <w:szCs w:val="22"/>
              </w:rPr>
              <w:pPrChange w:id="8432" w:author="AbbVie02no" w:date="2025-05-15T13:45:00Z">
                <w:pPr>
                  <w:pStyle w:val="DefaultText"/>
                  <w:keepNext/>
                  <w:ind w:left="57"/>
                  <w:jc w:val="center"/>
                </w:pPr>
              </w:pPrChange>
            </w:pPr>
            <w:del w:id="8433" w:author="AbbVie02no" w:date="2025-05-15T13:45:00Z">
              <w:r w:rsidRPr="00193D76">
                <w:rPr>
                  <w:szCs w:val="22"/>
                </w:rPr>
                <w:delText>3 (0,8)</w:delText>
              </w:r>
            </w:del>
          </w:p>
        </w:tc>
        <w:tc>
          <w:tcPr>
            <w:tcW w:w="2352" w:type="dxa"/>
          </w:tcPr>
          <w:p w14:paraId="29928EF8" w14:textId="53560676" w:rsidR="00913F1F" w:rsidRPr="00E14E58" w:rsidRDefault="00E453CD">
            <w:pPr>
              <w:keepNext/>
              <w:suppressAutoHyphens/>
              <w:rPr>
                <w:del w:id="8434" w:author="AbbVie02no" w:date="2025-05-15T13:45:00Z"/>
                <w:szCs w:val="22"/>
              </w:rPr>
              <w:pPrChange w:id="8435" w:author="AbbVie02no" w:date="2025-05-15T13:45:00Z">
                <w:pPr>
                  <w:pStyle w:val="DefaultText"/>
                  <w:ind w:left="54"/>
                  <w:jc w:val="center"/>
                </w:pPr>
              </w:pPrChange>
            </w:pPr>
            <w:del w:id="8436" w:author="AbbVie02no" w:date="2025-05-15T13:45:00Z">
              <w:r w:rsidRPr="002D0790">
                <w:rPr>
                  <w:szCs w:val="22"/>
                </w:rPr>
                <w:delText>163 (20,0)</w:delText>
              </w:r>
              <w:r w:rsidRPr="002D0790">
                <w:rPr>
                  <w:szCs w:val="22"/>
                  <w:vertAlign w:val="superscript"/>
                </w:rPr>
                <w:delText>b</w:delText>
              </w:r>
            </w:del>
          </w:p>
        </w:tc>
      </w:tr>
      <w:tr w:rsidR="004644D4" w14:paraId="6B4F576E" w14:textId="3570A17C" w:rsidTr="00913F1F">
        <w:trPr>
          <w:cantSplit/>
          <w:jc w:val="center"/>
          <w:del w:id="8437" w:author="AbbVie02no" w:date="2025-05-15T13:45:00Z"/>
        </w:trPr>
        <w:tc>
          <w:tcPr>
            <w:tcW w:w="2977" w:type="dxa"/>
          </w:tcPr>
          <w:p w14:paraId="2E3A1F97" w14:textId="00AC988B" w:rsidR="00913F1F" w:rsidRPr="009C5EFD" w:rsidRDefault="00E453CD">
            <w:pPr>
              <w:keepNext/>
              <w:suppressAutoHyphens/>
              <w:rPr>
                <w:del w:id="8438" w:author="AbbVie02no" w:date="2025-05-15T13:45:00Z"/>
                <w:b/>
                <w:szCs w:val="22"/>
              </w:rPr>
              <w:pPrChange w:id="8439" w:author="AbbVie02no" w:date="2025-05-15T13:45:00Z">
                <w:pPr>
                  <w:pStyle w:val="DefaultText"/>
                  <w:keepNext/>
                  <w:ind w:left="57"/>
                </w:pPr>
              </w:pPrChange>
            </w:pPr>
            <w:del w:id="8440" w:author="AbbVie02no" w:date="2025-05-15T13:45:00Z">
              <w:r w:rsidRPr="007F67EE">
                <w:rPr>
                  <w:b/>
                  <w:szCs w:val="22"/>
                </w:rPr>
                <w:delText xml:space="preserve">    PGA: </w:delText>
              </w:r>
              <w:r w:rsidR="00D57009">
                <w:rPr>
                  <w:b/>
                  <w:szCs w:val="22"/>
                </w:rPr>
                <w:delText>«</w:delText>
              </w:r>
              <w:r w:rsidRPr="002D0790">
                <w:rPr>
                  <w:b/>
                  <w:szCs w:val="22"/>
                </w:rPr>
                <w:delText>Klar</w:delText>
              </w:r>
              <w:r w:rsidR="00D406F1">
                <w:rPr>
                  <w:b/>
                  <w:szCs w:val="22"/>
                </w:rPr>
                <w:delText>»</w:delText>
              </w:r>
              <w:r w:rsidRPr="00E14E58">
                <w:rPr>
                  <w:b/>
                  <w:szCs w:val="22"/>
                </w:rPr>
                <w:delText>/minim</w:delText>
              </w:r>
              <w:r w:rsidR="003A00B7" w:rsidRPr="009C5EFD">
                <w:rPr>
                  <w:b/>
                  <w:szCs w:val="22"/>
                </w:rPr>
                <w:delText>al</w:delText>
              </w:r>
            </w:del>
          </w:p>
        </w:tc>
        <w:tc>
          <w:tcPr>
            <w:tcW w:w="1620" w:type="dxa"/>
          </w:tcPr>
          <w:p w14:paraId="06DAA26D" w14:textId="4A81D803" w:rsidR="00913F1F" w:rsidRPr="009C5EFD" w:rsidRDefault="00E453CD">
            <w:pPr>
              <w:keepNext/>
              <w:suppressAutoHyphens/>
              <w:rPr>
                <w:del w:id="8441" w:author="AbbVie02no" w:date="2025-05-15T13:45:00Z"/>
                <w:szCs w:val="22"/>
              </w:rPr>
              <w:pPrChange w:id="8442" w:author="AbbVie02no" w:date="2025-05-15T13:45:00Z">
                <w:pPr>
                  <w:pStyle w:val="DefaultText"/>
                  <w:keepNext/>
                  <w:ind w:left="57"/>
                  <w:jc w:val="center"/>
                </w:pPr>
              </w:pPrChange>
            </w:pPr>
            <w:del w:id="8443" w:author="AbbVie02no" w:date="2025-05-15T13:45:00Z">
              <w:r w:rsidRPr="009C5EFD">
                <w:rPr>
                  <w:szCs w:val="22"/>
                </w:rPr>
                <w:delText>17 (4,3)</w:delText>
              </w:r>
            </w:del>
          </w:p>
        </w:tc>
        <w:tc>
          <w:tcPr>
            <w:tcW w:w="2352" w:type="dxa"/>
          </w:tcPr>
          <w:p w14:paraId="0C95D66A" w14:textId="56131745" w:rsidR="00913F1F" w:rsidRPr="009C5EFD" w:rsidRDefault="00E453CD">
            <w:pPr>
              <w:keepNext/>
              <w:suppressAutoHyphens/>
              <w:rPr>
                <w:del w:id="8444" w:author="AbbVie02no" w:date="2025-05-15T13:45:00Z"/>
                <w:szCs w:val="22"/>
              </w:rPr>
              <w:pPrChange w:id="8445" w:author="AbbVie02no" w:date="2025-05-15T13:45:00Z">
                <w:pPr>
                  <w:pStyle w:val="DefaultText"/>
                  <w:ind w:left="54"/>
                  <w:jc w:val="center"/>
                </w:pPr>
              </w:pPrChange>
            </w:pPr>
            <w:del w:id="8446" w:author="AbbVie02no" w:date="2025-05-15T13:45:00Z">
              <w:r w:rsidRPr="009C5EFD">
                <w:rPr>
                  <w:szCs w:val="22"/>
                </w:rPr>
                <w:delText>506 (62,2)</w:delText>
              </w:r>
              <w:r w:rsidRPr="009C5EFD">
                <w:rPr>
                  <w:szCs w:val="22"/>
                  <w:vertAlign w:val="superscript"/>
                </w:rPr>
                <w:delText>b</w:delText>
              </w:r>
            </w:del>
          </w:p>
        </w:tc>
      </w:tr>
      <w:tr w:rsidR="004644D4" w14:paraId="08C128DA" w14:textId="69ECC879" w:rsidTr="00913F1F">
        <w:trPr>
          <w:cantSplit/>
          <w:jc w:val="center"/>
          <w:del w:id="8447" w:author="AbbVie02no" w:date="2025-05-15T13:45:00Z"/>
        </w:trPr>
        <w:tc>
          <w:tcPr>
            <w:tcW w:w="6949" w:type="dxa"/>
            <w:gridSpan w:val="3"/>
          </w:tcPr>
          <w:p w14:paraId="5DD9F645" w14:textId="2F732960" w:rsidR="00913F1F" w:rsidRPr="002D0790" w:rsidRDefault="00E453CD">
            <w:pPr>
              <w:keepNext/>
              <w:suppressAutoHyphens/>
              <w:rPr>
                <w:del w:id="8448" w:author="AbbVie02no" w:date="2025-05-15T13:45:00Z"/>
                <w:szCs w:val="22"/>
              </w:rPr>
              <w:pPrChange w:id="8449" w:author="AbbVie02no" w:date="2025-05-15T13:45:00Z">
                <w:pPr>
                  <w:pStyle w:val="DefaultText"/>
                  <w:keepNext/>
                  <w:ind w:left="57"/>
                </w:pPr>
              </w:pPrChange>
            </w:pPr>
            <w:del w:id="8450" w:author="AbbVie02no" w:date="2025-05-15T13:45:00Z">
              <w:r w:rsidRPr="007F67EE">
                <w:rPr>
                  <w:szCs w:val="22"/>
                  <w:vertAlign w:val="superscript"/>
                </w:rPr>
                <w:delText>a</w:delText>
              </w:r>
              <w:r w:rsidRPr="00193D76">
                <w:rPr>
                  <w:szCs w:val="22"/>
                </w:rPr>
                <w:delText xml:space="preserve"> Prosent av p</w:delText>
              </w:r>
              <w:r w:rsidRPr="002D0790">
                <w:rPr>
                  <w:szCs w:val="22"/>
                </w:rPr>
                <w:delText>asienter som oppnådde PASI 75-respons ble regnet som senterjustert rate</w:delText>
              </w:r>
            </w:del>
          </w:p>
          <w:p w14:paraId="0DC990B5" w14:textId="3F278381" w:rsidR="00913F1F" w:rsidRPr="009C5EFD" w:rsidRDefault="00E453CD">
            <w:pPr>
              <w:keepNext/>
              <w:suppressAutoHyphens/>
              <w:rPr>
                <w:del w:id="8451" w:author="AbbVie02no" w:date="2025-05-15T13:45:00Z"/>
                <w:szCs w:val="22"/>
              </w:rPr>
              <w:pPrChange w:id="8452" w:author="AbbVie02no" w:date="2025-05-15T13:45:00Z">
                <w:pPr>
                  <w:pStyle w:val="DefaultText"/>
                  <w:keepNext/>
                  <w:ind w:left="57"/>
                </w:pPr>
              </w:pPrChange>
            </w:pPr>
            <w:del w:id="8453" w:author="AbbVie02no" w:date="2025-05-15T13:45:00Z">
              <w:r w:rsidRPr="002D0790">
                <w:rPr>
                  <w:szCs w:val="22"/>
                  <w:vertAlign w:val="superscript"/>
                </w:rPr>
                <w:delText>b</w:delText>
              </w:r>
              <w:r w:rsidRPr="00E14E58">
                <w:rPr>
                  <w:szCs w:val="22"/>
                </w:rPr>
                <w:delText xml:space="preserve"> p</w:delText>
              </w:r>
              <w:r w:rsidR="00717202" w:rsidRPr="009C5EFD">
                <w:rPr>
                  <w:szCs w:val="22"/>
                </w:rPr>
                <w:delText> </w:delText>
              </w:r>
              <w:r w:rsidRPr="009C5EFD">
                <w:rPr>
                  <w:szCs w:val="22"/>
                </w:rPr>
                <w:delText>&lt;</w:delText>
              </w:r>
              <w:r w:rsidR="00717202" w:rsidRPr="009C5EFD">
                <w:rPr>
                  <w:szCs w:val="22"/>
                </w:rPr>
                <w:delText> </w:delText>
              </w:r>
              <w:r w:rsidR="00AE4407" w:rsidRPr="009C5EFD">
                <w:rPr>
                  <w:szCs w:val="22"/>
                </w:rPr>
                <w:delText xml:space="preserve">0,001, Humira </w:delText>
              </w:r>
              <w:r w:rsidR="00AE4407" w:rsidRPr="009C5EFD">
                <w:rPr>
                  <w:i/>
                  <w:szCs w:val="22"/>
                </w:rPr>
                <w:delText>versus</w:delText>
              </w:r>
              <w:r w:rsidRPr="009C5EFD">
                <w:rPr>
                  <w:szCs w:val="22"/>
                </w:rPr>
                <w:delText xml:space="preserve"> placebo</w:delText>
              </w:r>
            </w:del>
          </w:p>
        </w:tc>
      </w:tr>
    </w:tbl>
    <w:p w14:paraId="7548F667" w14:textId="3BD3B747" w:rsidR="00646216" w:rsidRPr="002C5CDB" w:rsidRDefault="00646216">
      <w:pPr>
        <w:keepNext/>
        <w:suppressAutoHyphens/>
        <w:rPr>
          <w:del w:id="8454" w:author="AbbVie02no" w:date="2025-05-15T13:45:00Z"/>
          <w:rPrChange w:id="8455" w:author="AbbVie05no" w:date="2025-05-19T10:32:00Z">
            <w:rPr>
              <w:del w:id="8456" w:author="AbbVie02no" w:date="2025-05-15T13:45:00Z"/>
              <w:lang w:val="en-US"/>
            </w:rPr>
          </w:rPrChange>
        </w:rPr>
        <w:pPrChange w:id="8457" w:author="AbbVie02no" w:date="2025-05-15T13:45:00Z">
          <w:pPr/>
        </w:pPrChange>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6"/>
        <w:gridCol w:w="1515"/>
        <w:gridCol w:w="1469"/>
        <w:gridCol w:w="2206"/>
      </w:tblGrid>
      <w:tr w:rsidR="004644D4" w14:paraId="7118809B" w14:textId="47B61AE4" w:rsidTr="00913F1F">
        <w:trPr>
          <w:cantSplit/>
          <w:jc w:val="center"/>
          <w:del w:id="8458" w:author="AbbVie02no" w:date="2025-05-15T13:45:00Z"/>
        </w:trPr>
        <w:tc>
          <w:tcPr>
            <w:tcW w:w="7046" w:type="dxa"/>
            <w:gridSpan w:val="4"/>
            <w:tcBorders>
              <w:top w:val="nil"/>
              <w:left w:val="nil"/>
              <w:bottom w:val="single" w:sz="4" w:space="0" w:color="auto"/>
              <w:right w:val="nil"/>
            </w:tcBorders>
          </w:tcPr>
          <w:p w14:paraId="0B21CB00" w14:textId="43EC434E" w:rsidR="00913F1F" w:rsidRPr="003F000C" w:rsidRDefault="00E453CD">
            <w:pPr>
              <w:keepNext/>
              <w:suppressAutoHyphens/>
              <w:rPr>
                <w:del w:id="8459" w:author="AbbVie02no" w:date="2025-05-15T13:45:00Z"/>
                <w:b/>
                <w:szCs w:val="22"/>
                <w:lang w:val="sv-SE"/>
              </w:rPr>
              <w:pPrChange w:id="8460" w:author="AbbVie02no" w:date="2025-05-15T13:45:00Z">
                <w:pPr>
                  <w:pStyle w:val="DefaultText"/>
                  <w:keepNext/>
                  <w:ind w:left="57"/>
                  <w:jc w:val="center"/>
                </w:pPr>
              </w:pPrChange>
            </w:pPr>
            <w:del w:id="8461" w:author="AbbVie02no" w:date="2025-05-15T13:45:00Z">
              <w:r w:rsidRPr="003F000C">
                <w:rPr>
                  <w:b/>
                  <w:szCs w:val="22"/>
                  <w:lang w:val="sv-SE"/>
                </w:rPr>
                <w:delText xml:space="preserve">Tabell </w:delText>
              </w:r>
              <w:r w:rsidR="00BB3E88" w:rsidRPr="003F000C">
                <w:rPr>
                  <w:b/>
                  <w:szCs w:val="22"/>
                  <w:lang w:val="sv-SE"/>
                </w:rPr>
                <w:delText>17</w:delText>
              </w:r>
            </w:del>
          </w:p>
          <w:p w14:paraId="2A7582F6" w14:textId="55185C8A" w:rsidR="00913F1F" w:rsidRPr="003F000C" w:rsidRDefault="00E453CD">
            <w:pPr>
              <w:keepNext/>
              <w:suppressAutoHyphens/>
              <w:rPr>
                <w:del w:id="8462" w:author="AbbVie02no" w:date="2025-05-15T13:45:00Z"/>
                <w:b/>
                <w:szCs w:val="22"/>
                <w:lang w:val="sv-SE"/>
              </w:rPr>
              <w:pPrChange w:id="8463" w:author="AbbVie02no" w:date="2025-05-15T13:45:00Z">
                <w:pPr>
                  <w:pStyle w:val="DefaultText"/>
                  <w:keepNext/>
                  <w:ind w:left="57"/>
                  <w:jc w:val="center"/>
                </w:pPr>
              </w:pPrChange>
            </w:pPr>
            <w:del w:id="8464" w:author="AbbVie02no" w:date="2025-05-15T13:45:00Z">
              <w:r w:rsidRPr="003F000C">
                <w:rPr>
                  <w:b/>
                  <w:szCs w:val="22"/>
                  <w:lang w:val="sv-SE"/>
                </w:rPr>
                <w:delText>Psoriasis Studie II (CHAMPION)</w:delText>
              </w:r>
            </w:del>
          </w:p>
          <w:p w14:paraId="792DE78A" w14:textId="049E4B29" w:rsidR="00913F1F" w:rsidRPr="009C5EFD" w:rsidRDefault="00E453CD">
            <w:pPr>
              <w:keepNext/>
              <w:suppressAutoHyphens/>
              <w:rPr>
                <w:del w:id="8465" w:author="AbbVie02no" w:date="2025-05-15T13:45:00Z"/>
                <w:szCs w:val="22"/>
                <w:u w:val="single"/>
              </w:rPr>
              <w:pPrChange w:id="8466" w:author="AbbVie02no" w:date="2025-05-15T13:45:00Z">
                <w:pPr>
                  <w:pStyle w:val="DefaultText"/>
                  <w:keepNext/>
                  <w:ind w:left="57"/>
                  <w:jc w:val="center"/>
                </w:pPr>
              </w:pPrChange>
            </w:pPr>
            <w:del w:id="8467" w:author="AbbVie02no" w:date="2025-05-15T13:45:00Z">
              <w:r>
                <w:rPr>
                  <w:b/>
                  <w:szCs w:val="22"/>
                </w:rPr>
                <w:delText>Effektresultater</w:delText>
              </w:r>
              <w:r w:rsidRPr="009C5EFD">
                <w:rPr>
                  <w:b/>
                  <w:szCs w:val="22"/>
                </w:rPr>
                <w:delText xml:space="preserve"> ved uke 16</w:delText>
              </w:r>
            </w:del>
          </w:p>
        </w:tc>
      </w:tr>
      <w:tr w:rsidR="004644D4" w14:paraId="1912D191" w14:textId="3338A13B" w:rsidTr="00913F1F">
        <w:trPr>
          <w:cantSplit/>
          <w:jc w:val="center"/>
          <w:del w:id="8468" w:author="AbbVie02no" w:date="2025-05-15T13:45:00Z"/>
        </w:trPr>
        <w:tc>
          <w:tcPr>
            <w:tcW w:w="1691" w:type="dxa"/>
            <w:tcBorders>
              <w:top w:val="single" w:sz="4" w:space="0" w:color="auto"/>
            </w:tcBorders>
          </w:tcPr>
          <w:p w14:paraId="540AB4AA" w14:textId="3032831B" w:rsidR="00913F1F" w:rsidRPr="007F67EE" w:rsidRDefault="00913F1F">
            <w:pPr>
              <w:keepNext/>
              <w:suppressAutoHyphens/>
              <w:rPr>
                <w:del w:id="8469" w:author="AbbVie02no" w:date="2025-05-15T13:45:00Z"/>
                <w:b/>
                <w:szCs w:val="22"/>
              </w:rPr>
              <w:pPrChange w:id="8470" w:author="AbbVie02no" w:date="2025-05-15T13:45:00Z">
                <w:pPr>
                  <w:pStyle w:val="DefaultText"/>
                  <w:ind w:left="54"/>
                  <w:jc w:val="center"/>
                </w:pPr>
              </w:pPrChange>
            </w:pPr>
          </w:p>
        </w:tc>
        <w:tc>
          <w:tcPr>
            <w:tcW w:w="1592" w:type="dxa"/>
            <w:tcBorders>
              <w:top w:val="single" w:sz="4" w:space="0" w:color="auto"/>
            </w:tcBorders>
            <w:vAlign w:val="center"/>
          </w:tcPr>
          <w:p w14:paraId="39C1CF6D" w14:textId="514DA1FC" w:rsidR="00913F1F" w:rsidRPr="00193D76" w:rsidRDefault="00E453CD">
            <w:pPr>
              <w:keepNext/>
              <w:suppressAutoHyphens/>
              <w:rPr>
                <w:del w:id="8471" w:author="AbbVie02no" w:date="2025-05-15T13:45:00Z"/>
                <w:b/>
                <w:szCs w:val="22"/>
              </w:rPr>
              <w:pPrChange w:id="8472" w:author="AbbVie02no" w:date="2025-05-15T13:45:00Z">
                <w:pPr>
                  <w:pStyle w:val="DefaultText"/>
                  <w:ind w:left="54"/>
                  <w:jc w:val="center"/>
                </w:pPr>
              </w:pPrChange>
            </w:pPr>
            <w:del w:id="8473" w:author="AbbVie02no" w:date="2025-05-15T13:45:00Z">
              <w:r w:rsidRPr="00193D76">
                <w:rPr>
                  <w:b/>
                  <w:szCs w:val="22"/>
                </w:rPr>
                <w:delText>Placebo</w:delText>
              </w:r>
            </w:del>
          </w:p>
          <w:p w14:paraId="5B3F5120" w14:textId="4671A48E" w:rsidR="00913F1F" w:rsidRPr="00E14E58" w:rsidRDefault="00E453CD">
            <w:pPr>
              <w:keepNext/>
              <w:suppressAutoHyphens/>
              <w:rPr>
                <w:del w:id="8474" w:author="AbbVie02no" w:date="2025-05-15T13:45:00Z"/>
                <w:b/>
                <w:szCs w:val="22"/>
              </w:rPr>
              <w:pPrChange w:id="8475" w:author="AbbVie02no" w:date="2025-05-15T13:45:00Z">
                <w:pPr>
                  <w:pStyle w:val="DefaultText"/>
                  <w:ind w:left="54"/>
                  <w:jc w:val="center"/>
                </w:pPr>
              </w:pPrChange>
            </w:pPr>
            <w:del w:id="8476" w:author="AbbVie02no" w:date="2025-05-15T13:45:00Z">
              <w:r w:rsidRPr="00E14E58">
                <w:rPr>
                  <w:b/>
                  <w:szCs w:val="22"/>
                </w:rPr>
                <w:delText>N=53</w:delText>
              </w:r>
            </w:del>
          </w:p>
          <w:p w14:paraId="2718323C" w14:textId="1B772896" w:rsidR="00913F1F" w:rsidRPr="009C5EFD" w:rsidRDefault="00E453CD">
            <w:pPr>
              <w:keepNext/>
              <w:suppressAutoHyphens/>
              <w:rPr>
                <w:del w:id="8477" w:author="AbbVie02no" w:date="2025-05-15T13:45:00Z"/>
                <w:b/>
                <w:szCs w:val="22"/>
              </w:rPr>
              <w:pPrChange w:id="8478" w:author="AbbVie02no" w:date="2025-05-15T13:45:00Z">
                <w:pPr>
                  <w:pStyle w:val="DefaultText"/>
                  <w:ind w:left="54"/>
                  <w:jc w:val="center"/>
                </w:pPr>
              </w:pPrChange>
            </w:pPr>
            <w:del w:id="8479" w:author="AbbVie02no" w:date="2025-05-15T13:45:00Z">
              <w:r w:rsidRPr="009C5EFD">
                <w:rPr>
                  <w:b/>
                  <w:szCs w:val="22"/>
                </w:rPr>
                <w:delText>n (%)</w:delText>
              </w:r>
            </w:del>
          </w:p>
        </w:tc>
        <w:tc>
          <w:tcPr>
            <w:tcW w:w="1419" w:type="dxa"/>
            <w:tcBorders>
              <w:top w:val="single" w:sz="4" w:space="0" w:color="auto"/>
            </w:tcBorders>
            <w:vAlign w:val="center"/>
          </w:tcPr>
          <w:p w14:paraId="664BFA11" w14:textId="1497B069" w:rsidR="00913F1F" w:rsidRPr="009C5EFD" w:rsidRDefault="00E453CD">
            <w:pPr>
              <w:keepNext/>
              <w:suppressAutoHyphens/>
              <w:rPr>
                <w:del w:id="8480" w:author="AbbVie02no" w:date="2025-05-15T13:45:00Z"/>
                <w:b/>
                <w:szCs w:val="22"/>
              </w:rPr>
              <w:pPrChange w:id="8481" w:author="AbbVie02no" w:date="2025-05-15T13:45:00Z">
                <w:pPr>
                  <w:pStyle w:val="DefaultText"/>
                  <w:ind w:left="54"/>
                  <w:jc w:val="center"/>
                </w:pPr>
              </w:pPrChange>
            </w:pPr>
            <w:del w:id="8482" w:author="AbbVie02no" w:date="2025-05-15T13:45:00Z">
              <w:r w:rsidRPr="009C5EFD">
                <w:rPr>
                  <w:b/>
                  <w:szCs w:val="22"/>
                </w:rPr>
                <w:delText>Metotreksat</w:delText>
              </w:r>
            </w:del>
          </w:p>
          <w:p w14:paraId="0BC548F4" w14:textId="25CDFEFF" w:rsidR="00913F1F" w:rsidRPr="009C5EFD" w:rsidRDefault="00E453CD">
            <w:pPr>
              <w:keepNext/>
              <w:suppressAutoHyphens/>
              <w:rPr>
                <w:del w:id="8483" w:author="AbbVie02no" w:date="2025-05-15T13:45:00Z"/>
                <w:b/>
                <w:szCs w:val="22"/>
              </w:rPr>
              <w:pPrChange w:id="8484" w:author="AbbVie02no" w:date="2025-05-15T13:45:00Z">
                <w:pPr>
                  <w:pStyle w:val="DefaultText"/>
                  <w:ind w:left="54"/>
                  <w:jc w:val="center"/>
                </w:pPr>
              </w:pPrChange>
            </w:pPr>
            <w:del w:id="8485" w:author="AbbVie02no" w:date="2025-05-15T13:45:00Z">
              <w:r w:rsidRPr="009C5EFD">
                <w:rPr>
                  <w:b/>
                  <w:szCs w:val="22"/>
                </w:rPr>
                <w:delText>N=110</w:delText>
              </w:r>
            </w:del>
          </w:p>
          <w:p w14:paraId="2A8C65E6" w14:textId="51663082" w:rsidR="00913F1F" w:rsidRPr="009C5EFD" w:rsidRDefault="00E453CD">
            <w:pPr>
              <w:keepNext/>
              <w:suppressAutoHyphens/>
              <w:rPr>
                <w:del w:id="8486" w:author="AbbVie02no" w:date="2025-05-15T13:45:00Z"/>
                <w:b/>
                <w:szCs w:val="22"/>
              </w:rPr>
              <w:pPrChange w:id="8487" w:author="AbbVie02no" w:date="2025-05-15T13:45:00Z">
                <w:pPr>
                  <w:pStyle w:val="DefaultText"/>
                  <w:ind w:left="54"/>
                  <w:jc w:val="center"/>
                </w:pPr>
              </w:pPrChange>
            </w:pPr>
            <w:del w:id="8488" w:author="AbbVie02no" w:date="2025-05-15T13:45:00Z">
              <w:r w:rsidRPr="009C5EFD">
                <w:rPr>
                  <w:b/>
                  <w:szCs w:val="22"/>
                </w:rPr>
                <w:delText>n (%)</w:delText>
              </w:r>
            </w:del>
          </w:p>
        </w:tc>
        <w:tc>
          <w:tcPr>
            <w:tcW w:w="2344" w:type="dxa"/>
            <w:tcBorders>
              <w:top w:val="single" w:sz="4" w:space="0" w:color="auto"/>
            </w:tcBorders>
            <w:vAlign w:val="center"/>
          </w:tcPr>
          <w:p w14:paraId="672DF74D" w14:textId="36925A0D" w:rsidR="00913F1F" w:rsidRPr="009C5EFD" w:rsidRDefault="00E453CD">
            <w:pPr>
              <w:keepNext/>
              <w:suppressAutoHyphens/>
              <w:rPr>
                <w:del w:id="8489" w:author="AbbVie02no" w:date="2025-05-15T13:45:00Z"/>
                <w:b/>
                <w:szCs w:val="22"/>
              </w:rPr>
              <w:pPrChange w:id="8490" w:author="AbbVie02no" w:date="2025-05-15T13:45:00Z">
                <w:pPr>
                  <w:pStyle w:val="DefaultText"/>
                  <w:ind w:left="54"/>
                  <w:jc w:val="center"/>
                </w:pPr>
              </w:pPrChange>
            </w:pPr>
            <w:del w:id="8491" w:author="AbbVie02no" w:date="2025-05-15T13:45:00Z">
              <w:r w:rsidRPr="009C5EFD">
                <w:rPr>
                  <w:b/>
                  <w:szCs w:val="22"/>
                </w:rPr>
                <w:delText xml:space="preserve">Humira 40 mg </w:delText>
              </w:r>
              <w:r w:rsidR="009D067E" w:rsidRPr="009C5EFD">
                <w:rPr>
                  <w:b/>
                  <w:szCs w:val="22"/>
                </w:rPr>
                <w:delText>annenhver uke</w:delText>
              </w:r>
            </w:del>
          </w:p>
          <w:p w14:paraId="69754180" w14:textId="29765668" w:rsidR="00913F1F" w:rsidRPr="009C5EFD" w:rsidRDefault="00E453CD">
            <w:pPr>
              <w:keepNext/>
              <w:suppressAutoHyphens/>
              <w:rPr>
                <w:del w:id="8492" w:author="AbbVie02no" w:date="2025-05-15T13:45:00Z"/>
                <w:b/>
                <w:szCs w:val="22"/>
              </w:rPr>
              <w:pPrChange w:id="8493" w:author="AbbVie02no" w:date="2025-05-15T13:45:00Z">
                <w:pPr>
                  <w:pStyle w:val="DefaultText"/>
                  <w:ind w:left="54"/>
                  <w:jc w:val="center"/>
                </w:pPr>
              </w:pPrChange>
            </w:pPr>
            <w:del w:id="8494" w:author="AbbVie02no" w:date="2025-05-15T13:45:00Z">
              <w:r w:rsidRPr="009C5EFD">
                <w:rPr>
                  <w:b/>
                  <w:szCs w:val="22"/>
                </w:rPr>
                <w:delText>N=108</w:delText>
              </w:r>
            </w:del>
          </w:p>
          <w:p w14:paraId="525EC75B" w14:textId="3DE271E8" w:rsidR="00913F1F" w:rsidRPr="009C5EFD" w:rsidRDefault="00E453CD">
            <w:pPr>
              <w:keepNext/>
              <w:suppressAutoHyphens/>
              <w:rPr>
                <w:del w:id="8495" w:author="AbbVie02no" w:date="2025-05-15T13:45:00Z"/>
                <w:b/>
                <w:szCs w:val="22"/>
              </w:rPr>
              <w:pPrChange w:id="8496" w:author="AbbVie02no" w:date="2025-05-15T13:45:00Z">
                <w:pPr>
                  <w:pStyle w:val="DefaultText"/>
                  <w:ind w:left="54"/>
                  <w:jc w:val="center"/>
                </w:pPr>
              </w:pPrChange>
            </w:pPr>
            <w:del w:id="8497" w:author="AbbVie02no" w:date="2025-05-15T13:45:00Z">
              <w:r w:rsidRPr="009C5EFD">
                <w:rPr>
                  <w:b/>
                  <w:szCs w:val="22"/>
                </w:rPr>
                <w:delText>n (%)</w:delText>
              </w:r>
            </w:del>
          </w:p>
        </w:tc>
      </w:tr>
      <w:tr w:rsidR="004644D4" w14:paraId="21DA1C2A" w14:textId="2BA6E90B" w:rsidTr="00913F1F">
        <w:trPr>
          <w:cantSplit/>
          <w:jc w:val="center"/>
          <w:del w:id="8498" w:author="AbbVie02no" w:date="2025-05-15T13:45:00Z"/>
        </w:trPr>
        <w:tc>
          <w:tcPr>
            <w:tcW w:w="1691" w:type="dxa"/>
          </w:tcPr>
          <w:p w14:paraId="01FE638C" w14:textId="3FD4A50E" w:rsidR="00913F1F" w:rsidRPr="00193D76" w:rsidRDefault="00E453CD">
            <w:pPr>
              <w:keepNext/>
              <w:suppressAutoHyphens/>
              <w:rPr>
                <w:del w:id="8499" w:author="AbbVie02no" w:date="2025-05-15T13:45:00Z"/>
                <w:b/>
                <w:szCs w:val="22"/>
              </w:rPr>
              <w:pPrChange w:id="8500" w:author="AbbVie02no" w:date="2025-05-15T13:45:00Z">
                <w:pPr>
                  <w:pStyle w:val="DefaultText"/>
                  <w:ind w:left="54"/>
                </w:pPr>
              </w:pPrChange>
            </w:pPr>
            <w:del w:id="8501" w:author="AbbVie02no" w:date="2025-05-15T13:45:00Z">
              <w:r w:rsidRPr="007F67EE">
                <w:rPr>
                  <w:b/>
                  <w:szCs w:val="22"/>
                </w:rPr>
                <w:delText xml:space="preserve">    </w:delText>
              </w:r>
              <w:r w:rsidRPr="007F67EE">
                <w:rPr>
                  <w:rFonts w:ascii="Symbol" w:hAnsi="Symbol"/>
                  <w:b/>
                  <w:szCs w:val="22"/>
                </w:rPr>
                <w:sym w:font="Symbol" w:char="F0B3"/>
              </w:r>
              <w:r w:rsidR="003B60CD" w:rsidRPr="007F67EE">
                <w:rPr>
                  <w:b/>
                  <w:szCs w:val="22"/>
                </w:rPr>
                <w:delText> </w:delText>
              </w:r>
              <w:r w:rsidRPr="00193D76">
                <w:rPr>
                  <w:b/>
                  <w:szCs w:val="22"/>
                </w:rPr>
                <w:delText>PASI 75</w:delText>
              </w:r>
            </w:del>
          </w:p>
        </w:tc>
        <w:tc>
          <w:tcPr>
            <w:tcW w:w="1592" w:type="dxa"/>
          </w:tcPr>
          <w:p w14:paraId="173DAA5C" w14:textId="5CCF9E19" w:rsidR="00913F1F" w:rsidRPr="009C5EFD" w:rsidRDefault="00E453CD">
            <w:pPr>
              <w:keepNext/>
              <w:suppressAutoHyphens/>
              <w:rPr>
                <w:del w:id="8502" w:author="AbbVie02no" w:date="2025-05-15T13:45:00Z"/>
                <w:szCs w:val="22"/>
              </w:rPr>
              <w:pPrChange w:id="8503" w:author="AbbVie02no" w:date="2025-05-15T13:45:00Z">
                <w:pPr>
                  <w:pStyle w:val="DefaultText"/>
                  <w:ind w:left="54"/>
                  <w:jc w:val="center"/>
                </w:pPr>
              </w:pPrChange>
            </w:pPr>
            <w:del w:id="8504" w:author="AbbVie02no" w:date="2025-05-15T13:45:00Z">
              <w:r w:rsidRPr="009C5EFD">
                <w:rPr>
                  <w:szCs w:val="22"/>
                </w:rPr>
                <w:delText>10 (18,9)</w:delText>
              </w:r>
            </w:del>
          </w:p>
        </w:tc>
        <w:tc>
          <w:tcPr>
            <w:tcW w:w="1419" w:type="dxa"/>
          </w:tcPr>
          <w:p w14:paraId="33BD3D41" w14:textId="71A3DC0E" w:rsidR="00913F1F" w:rsidRPr="009C5EFD" w:rsidRDefault="00E453CD">
            <w:pPr>
              <w:keepNext/>
              <w:suppressAutoHyphens/>
              <w:rPr>
                <w:del w:id="8505" w:author="AbbVie02no" w:date="2025-05-15T13:45:00Z"/>
                <w:szCs w:val="22"/>
              </w:rPr>
              <w:pPrChange w:id="8506" w:author="AbbVie02no" w:date="2025-05-15T13:45:00Z">
                <w:pPr>
                  <w:pStyle w:val="DefaultText"/>
                  <w:ind w:left="54"/>
                  <w:jc w:val="center"/>
                </w:pPr>
              </w:pPrChange>
            </w:pPr>
            <w:del w:id="8507" w:author="AbbVie02no" w:date="2025-05-15T13:45:00Z">
              <w:r w:rsidRPr="009C5EFD">
                <w:rPr>
                  <w:szCs w:val="22"/>
                </w:rPr>
                <w:delText>39 (35,5)</w:delText>
              </w:r>
            </w:del>
          </w:p>
        </w:tc>
        <w:tc>
          <w:tcPr>
            <w:tcW w:w="2344" w:type="dxa"/>
          </w:tcPr>
          <w:p w14:paraId="7DE3A912" w14:textId="754D2590" w:rsidR="00913F1F" w:rsidRPr="009C5EFD" w:rsidRDefault="00E453CD">
            <w:pPr>
              <w:keepNext/>
              <w:suppressAutoHyphens/>
              <w:rPr>
                <w:del w:id="8508" w:author="AbbVie02no" w:date="2025-05-15T13:45:00Z"/>
                <w:szCs w:val="22"/>
              </w:rPr>
              <w:pPrChange w:id="8509" w:author="AbbVie02no" w:date="2025-05-15T13:45:00Z">
                <w:pPr>
                  <w:pStyle w:val="DefaultText"/>
                  <w:ind w:left="54"/>
                  <w:jc w:val="center"/>
                </w:pPr>
              </w:pPrChange>
            </w:pPr>
            <w:del w:id="8510" w:author="AbbVie02no" w:date="2025-05-15T13:45:00Z">
              <w:r w:rsidRPr="009C5EFD">
                <w:rPr>
                  <w:szCs w:val="22"/>
                </w:rPr>
                <w:delText>86 (79,6)</w:delText>
              </w:r>
              <w:r w:rsidRPr="009C5EFD">
                <w:rPr>
                  <w:szCs w:val="22"/>
                  <w:vertAlign w:val="superscript"/>
                </w:rPr>
                <w:delText xml:space="preserve"> a, b</w:delText>
              </w:r>
            </w:del>
          </w:p>
        </w:tc>
      </w:tr>
      <w:tr w:rsidR="004644D4" w14:paraId="7BAA921E" w14:textId="2E80628D" w:rsidTr="00913F1F">
        <w:trPr>
          <w:cantSplit/>
          <w:jc w:val="center"/>
          <w:del w:id="8511" w:author="AbbVie02no" w:date="2025-05-15T13:45:00Z"/>
        </w:trPr>
        <w:tc>
          <w:tcPr>
            <w:tcW w:w="1691" w:type="dxa"/>
          </w:tcPr>
          <w:p w14:paraId="47773E37" w14:textId="6C0406EE" w:rsidR="00913F1F" w:rsidRPr="007F67EE" w:rsidRDefault="00E453CD">
            <w:pPr>
              <w:keepNext/>
              <w:suppressAutoHyphens/>
              <w:rPr>
                <w:del w:id="8512" w:author="AbbVie02no" w:date="2025-05-15T13:45:00Z"/>
                <w:b/>
                <w:szCs w:val="22"/>
              </w:rPr>
              <w:pPrChange w:id="8513" w:author="AbbVie02no" w:date="2025-05-15T13:45:00Z">
                <w:pPr>
                  <w:pStyle w:val="DefaultText"/>
                  <w:ind w:left="54"/>
                </w:pPr>
              </w:pPrChange>
            </w:pPr>
            <w:del w:id="8514" w:author="AbbVie02no" w:date="2025-05-15T13:45:00Z">
              <w:r w:rsidRPr="007F67EE">
                <w:rPr>
                  <w:b/>
                  <w:szCs w:val="22"/>
                </w:rPr>
                <w:delText xml:space="preserve">    PASI 100</w:delText>
              </w:r>
            </w:del>
          </w:p>
        </w:tc>
        <w:tc>
          <w:tcPr>
            <w:tcW w:w="1592" w:type="dxa"/>
          </w:tcPr>
          <w:p w14:paraId="449A9E58" w14:textId="75F48B85" w:rsidR="00913F1F" w:rsidRPr="00193D76" w:rsidRDefault="00E453CD">
            <w:pPr>
              <w:keepNext/>
              <w:suppressAutoHyphens/>
              <w:rPr>
                <w:del w:id="8515" w:author="AbbVie02no" w:date="2025-05-15T13:45:00Z"/>
                <w:szCs w:val="22"/>
              </w:rPr>
              <w:pPrChange w:id="8516" w:author="AbbVie02no" w:date="2025-05-15T13:45:00Z">
                <w:pPr>
                  <w:pStyle w:val="DefaultText"/>
                  <w:ind w:left="54"/>
                  <w:jc w:val="center"/>
                </w:pPr>
              </w:pPrChange>
            </w:pPr>
            <w:del w:id="8517" w:author="AbbVie02no" w:date="2025-05-15T13:45:00Z">
              <w:r w:rsidRPr="00193D76">
                <w:rPr>
                  <w:szCs w:val="22"/>
                </w:rPr>
                <w:delText>1 (1,9)</w:delText>
              </w:r>
            </w:del>
          </w:p>
        </w:tc>
        <w:tc>
          <w:tcPr>
            <w:tcW w:w="1419" w:type="dxa"/>
          </w:tcPr>
          <w:p w14:paraId="7AB9720D" w14:textId="35142430" w:rsidR="00913F1F" w:rsidRPr="00E14E58" w:rsidRDefault="00E453CD">
            <w:pPr>
              <w:keepNext/>
              <w:suppressAutoHyphens/>
              <w:rPr>
                <w:del w:id="8518" w:author="AbbVie02no" w:date="2025-05-15T13:45:00Z"/>
                <w:szCs w:val="22"/>
              </w:rPr>
              <w:pPrChange w:id="8519" w:author="AbbVie02no" w:date="2025-05-15T13:45:00Z">
                <w:pPr>
                  <w:pStyle w:val="DefaultText"/>
                  <w:ind w:left="54"/>
                  <w:jc w:val="center"/>
                </w:pPr>
              </w:pPrChange>
            </w:pPr>
            <w:del w:id="8520" w:author="AbbVie02no" w:date="2025-05-15T13:45:00Z">
              <w:r w:rsidRPr="00E14E58">
                <w:rPr>
                  <w:szCs w:val="22"/>
                </w:rPr>
                <w:delText>8 (7,3)</w:delText>
              </w:r>
            </w:del>
          </w:p>
        </w:tc>
        <w:tc>
          <w:tcPr>
            <w:tcW w:w="2344" w:type="dxa"/>
          </w:tcPr>
          <w:p w14:paraId="375965FE" w14:textId="1E0B31C0" w:rsidR="00913F1F" w:rsidRPr="009C5EFD" w:rsidRDefault="00E453CD">
            <w:pPr>
              <w:keepNext/>
              <w:suppressAutoHyphens/>
              <w:rPr>
                <w:del w:id="8521" w:author="AbbVie02no" w:date="2025-05-15T13:45:00Z"/>
                <w:szCs w:val="22"/>
              </w:rPr>
              <w:pPrChange w:id="8522" w:author="AbbVie02no" w:date="2025-05-15T13:45:00Z">
                <w:pPr>
                  <w:pStyle w:val="DefaultText"/>
                  <w:ind w:left="54"/>
                  <w:jc w:val="center"/>
                </w:pPr>
              </w:pPrChange>
            </w:pPr>
            <w:del w:id="8523" w:author="AbbVie02no" w:date="2025-05-15T13:45:00Z">
              <w:r w:rsidRPr="009C5EFD">
                <w:rPr>
                  <w:szCs w:val="22"/>
                </w:rPr>
                <w:delText>18 (16,7)</w:delText>
              </w:r>
              <w:r w:rsidRPr="009C5EFD">
                <w:rPr>
                  <w:szCs w:val="22"/>
                  <w:vertAlign w:val="superscript"/>
                </w:rPr>
                <w:delText xml:space="preserve"> c, d</w:delText>
              </w:r>
            </w:del>
          </w:p>
        </w:tc>
      </w:tr>
      <w:tr w:rsidR="004644D4" w14:paraId="059BDE3B" w14:textId="5103D476" w:rsidTr="00913F1F">
        <w:trPr>
          <w:cantSplit/>
          <w:jc w:val="center"/>
          <w:del w:id="8524" w:author="AbbVie02no" w:date="2025-05-15T13:45:00Z"/>
        </w:trPr>
        <w:tc>
          <w:tcPr>
            <w:tcW w:w="1691" w:type="dxa"/>
          </w:tcPr>
          <w:p w14:paraId="59B488BA" w14:textId="60319E2A" w:rsidR="00913F1F" w:rsidRPr="009C5EFD" w:rsidRDefault="00E453CD">
            <w:pPr>
              <w:keepNext/>
              <w:suppressAutoHyphens/>
              <w:rPr>
                <w:del w:id="8525" w:author="AbbVie02no" w:date="2025-05-15T13:45:00Z"/>
                <w:b/>
                <w:szCs w:val="22"/>
              </w:rPr>
              <w:pPrChange w:id="8526" w:author="AbbVie02no" w:date="2025-05-15T13:45:00Z">
                <w:pPr>
                  <w:pStyle w:val="DefaultText"/>
                  <w:ind w:left="54"/>
                </w:pPr>
              </w:pPrChange>
            </w:pPr>
            <w:del w:id="8527" w:author="AbbVie02no" w:date="2025-05-15T13:45:00Z">
              <w:r w:rsidRPr="007F67EE">
                <w:rPr>
                  <w:b/>
                  <w:szCs w:val="22"/>
                </w:rPr>
                <w:delText xml:space="preserve">    PGA: </w:delText>
              </w:r>
              <w:r w:rsidR="00D57009">
                <w:rPr>
                  <w:b/>
                  <w:szCs w:val="22"/>
                </w:rPr>
                <w:delText>«</w:delText>
              </w:r>
              <w:r w:rsidRPr="00E14E58">
                <w:rPr>
                  <w:b/>
                  <w:szCs w:val="22"/>
                </w:rPr>
                <w:delText>Klar</w:delText>
              </w:r>
              <w:r w:rsidR="00D406F1">
                <w:rPr>
                  <w:b/>
                  <w:szCs w:val="22"/>
                </w:rPr>
                <w:delText>»</w:delText>
              </w:r>
              <w:r w:rsidRPr="009C5EFD">
                <w:rPr>
                  <w:b/>
                  <w:szCs w:val="22"/>
                </w:rPr>
                <w:delText>/minimal</w:delText>
              </w:r>
            </w:del>
          </w:p>
        </w:tc>
        <w:tc>
          <w:tcPr>
            <w:tcW w:w="1592" w:type="dxa"/>
          </w:tcPr>
          <w:p w14:paraId="7DEE1CE9" w14:textId="54997EAF" w:rsidR="00913F1F" w:rsidRPr="009C5EFD" w:rsidRDefault="00E453CD">
            <w:pPr>
              <w:keepNext/>
              <w:suppressAutoHyphens/>
              <w:rPr>
                <w:del w:id="8528" w:author="AbbVie02no" w:date="2025-05-15T13:45:00Z"/>
                <w:szCs w:val="22"/>
              </w:rPr>
              <w:pPrChange w:id="8529" w:author="AbbVie02no" w:date="2025-05-15T13:45:00Z">
                <w:pPr>
                  <w:pStyle w:val="DefaultText"/>
                  <w:ind w:left="54"/>
                  <w:jc w:val="center"/>
                </w:pPr>
              </w:pPrChange>
            </w:pPr>
            <w:del w:id="8530" w:author="AbbVie02no" w:date="2025-05-15T13:45:00Z">
              <w:r w:rsidRPr="009C5EFD">
                <w:rPr>
                  <w:szCs w:val="22"/>
                </w:rPr>
                <w:delText>6 (11,3)</w:delText>
              </w:r>
            </w:del>
          </w:p>
        </w:tc>
        <w:tc>
          <w:tcPr>
            <w:tcW w:w="1419" w:type="dxa"/>
          </w:tcPr>
          <w:p w14:paraId="32D81294" w14:textId="0490D5DC" w:rsidR="00913F1F" w:rsidRPr="009C5EFD" w:rsidRDefault="00E453CD">
            <w:pPr>
              <w:keepNext/>
              <w:suppressAutoHyphens/>
              <w:rPr>
                <w:del w:id="8531" w:author="AbbVie02no" w:date="2025-05-15T13:45:00Z"/>
                <w:szCs w:val="22"/>
              </w:rPr>
              <w:pPrChange w:id="8532" w:author="AbbVie02no" w:date="2025-05-15T13:45:00Z">
                <w:pPr>
                  <w:pStyle w:val="DefaultText"/>
                  <w:ind w:left="54"/>
                  <w:jc w:val="center"/>
                </w:pPr>
              </w:pPrChange>
            </w:pPr>
            <w:del w:id="8533" w:author="AbbVie02no" w:date="2025-05-15T13:45:00Z">
              <w:r w:rsidRPr="009C5EFD">
                <w:rPr>
                  <w:szCs w:val="22"/>
                </w:rPr>
                <w:delText>33 (30,0)</w:delText>
              </w:r>
            </w:del>
          </w:p>
        </w:tc>
        <w:tc>
          <w:tcPr>
            <w:tcW w:w="2344" w:type="dxa"/>
          </w:tcPr>
          <w:p w14:paraId="264D7C07" w14:textId="070E774F" w:rsidR="00913F1F" w:rsidRPr="009C5EFD" w:rsidRDefault="00E453CD">
            <w:pPr>
              <w:keepNext/>
              <w:suppressAutoHyphens/>
              <w:rPr>
                <w:del w:id="8534" w:author="AbbVie02no" w:date="2025-05-15T13:45:00Z"/>
                <w:szCs w:val="22"/>
              </w:rPr>
              <w:pPrChange w:id="8535" w:author="AbbVie02no" w:date="2025-05-15T13:45:00Z">
                <w:pPr>
                  <w:pStyle w:val="DefaultText"/>
                  <w:ind w:left="54"/>
                  <w:jc w:val="center"/>
                </w:pPr>
              </w:pPrChange>
            </w:pPr>
            <w:del w:id="8536" w:author="AbbVie02no" w:date="2025-05-15T13:45:00Z">
              <w:r w:rsidRPr="009C5EFD">
                <w:rPr>
                  <w:szCs w:val="22"/>
                </w:rPr>
                <w:delText>79 (73,1)</w:delText>
              </w:r>
              <w:r w:rsidRPr="009C5EFD">
                <w:rPr>
                  <w:szCs w:val="22"/>
                  <w:vertAlign w:val="superscript"/>
                </w:rPr>
                <w:delText xml:space="preserve"> a, b</w:delText>
              </w:r>
            </w:del>
          </w:p>
        </w:tc>
      </w:tr>
      <w:tr w:rsidR="004644D4" w14:paraId="21E303E7" w14:textId="4C8B71D5" w:rsidTr="00913F1F">
        <w:trPr>
          <w:cantSplit/>
          <w:jc w:val="center"/>
          <w:del w:id="8537" w:author="AbbVie02no" w:date="2025-05-15T13:45:00Z"/>
        </w:trPr>
        <w:tc>
          <w:tcPr>
            <w:tcW w:w="7046" w:type="dxa"/>
            <w:gridSpan w:val="4"/>
          </w:tcPr>
          <w:p w14:paraId="47A92E10" w14:textId="25FBCEB3" w:rsidR="00913F1F" w:rsidRPr="009C5EFD" w:rsidRDefault="00E453CD">
            <w:pPr>
              <w:keepNext/>
              <w:suppressAutoHyphens/>
              <w:rPr>
                <w:del w:id="8538" w:author="AbbVie02no" w:date="2025-05-15T13:45:00Z"/>
                <w:szCs w:val="22"/>
                <w:lang w:val="sv-SE"/>
              </w:rPr>
              <w:pPrChange w:id="8539" w:author="AbbVie02no" w:date="2025-05-15T13:45:00Z">
                <w:pPr>
                  <w:pStyle w:val="DefaultText"/>
                  <w:ind w:left="54"/>
                </w:pPr>
              </w:pPrChange>
            </w:pPr>
            <w:del w:id="8540" w:author="AbbVie02no" w:date="2025-05-15T13:45:00Z">
              <w:r w:rsidRPr="007F67EE">
                <w:rPr>
                  <w:szCs w:val="22"/>
                  <w:vertAlign w:val="superscript"/>
                  <w:lang w:val="sv-SE"/>
                </w:rPr>
                <w:delText>a</w:delText>
              </w:r>
              <w:r w:rsidRPr="00193D76">
                <w:rPr>
                  <w:szCs w:val="22"/>
                  <w:lang w:val="sv-SE"/>
                </w:rPr>
                <w:delText xml:space="preserve"> p</w:delText>
              </w:r>
              <w:r w:rsidR="003B60CD" w:rsidRPr="00E14E58">
                <w:rPr>
                  <w:szCs w:val="22"/>
                  <w:lang w:val="sv-SE"/>
                </w:rPr>
                <w:delText> </w:delText>
              </w:r>
              <w:r w:rsidRPr="009C5EFD">
                <w:rPr>
                  <w:szCs w:val="22"/>
                  <w:lang w:val="sv-SE"/>
                </w:rPr>
                <w:delText>&lt;</w:delText>
              </w:r>
              <w:r w:rsidR="003B60CD" w:rsidRPr="009C5EFD">
                <w:rPr>
                  <w:szCs w:val="22"/>
                  <w:lang w:val="sv-SE"/>
                </w:rPr>
                <w:delText> </w:delText>
              </w:r>
              <w:r w:rsidRPr="009C5EFD">
                <w:rPr>
                  <w:szCs w:val="22"/>
                  <w:lang w:val="sv-SE"/>
                </w:rPr>
                <w:delText>0,001 Humira</w:delText>
              </w:r>
              <w:r w:rsidR="00AE4407" w:rsidRPr="009C5EFD">
                <w:rPr>
                  <w:szCs w:val="22"/>
                  <w:lang w:val="sv-SE"/>
                </w:rPr>
                <w:delText xml:space="preserve"> </w:delText>
              </w:r>
              <w:r w:rsidR="00AE4407" w:rsidRPr="009C5EFD">
                <w:rPr>
                  <w:i/>
                  <w:szCs w:val="22"/>
                  <w:lang w:val="sv-SE"/>
                </w:rPr>
                <w:delText>versus</w:delText>
              </w:r>
              <w:r w:rsidRPr="009C5EFD">
                <w:rPr>
                  <w:szCs w:val="22"/>
                  <w:lang w:val="sv-SE"/>
                </w:rPr>
                <w:delText xml:space="preserve"> placebo</w:delText>
              </w:r>
            </w:del>
          </w:p>
          <w:p w14:paraId="4058F13B" w14:textId="38B29712" w:rsidR="00913F1F" w:rsidRPr="009C5EFD" w:rsidRDefault="00E453CD">
            <w:pPr>
              <w:keepNext/>
              <w:suppressAutoHyphens/>
              <w:rPr>
                <w:del w:id="8541" w:author="AbbVie02no" w:date="2025-05-15T13:45:00Z"/>
                <w:szCs w:val="22"/>
                <w:lang w:val="sv-SE"/>
              </w:rPr>
              <w:pPrChange w:id="8542" w:author="AbbVie02no" w:date="2025-05-15T13:45:00Z">
                <w:pPr>
                  <w:pStyle w:val="DefaultText"/>
                  <w:ind w:left="54"/>
                </w:pPr>
              </w:pPrChange>
            </w:pPr>
            <w:del w:id="8543" w:author="AbbVie02no" w:date="2025-05-15T13:45:00Z">
              <w:r w:rsidRPr="009C5EFD">
                <w:rPr>
                  <w:szCs w:val="22"/>
                  <w:vertAlign w:val="superscript"/>
                  <w:lang w:val="sv-SE"/>
                </w:rPr>
                <w:delText>b</w:delText>
              </w:r>
              <w:r w:rsidRPr="009C5EFD">
                <w:rPr>
                  <w:szCs w:val="22"/>
                  <w:lang w:val="sv-SE"/>
                </w:rPr>
                <w:delText xml:space="preserve"> p</w:delText>
              </w:r>
              <w:r w:rsidR="003B60CD" w:rsidRPr="009C5EFD">
                <w:rPr>
                  <w:szCs w:val="22"/>
                  <w:lang w:val="sv-SE"/>
                </w:rPr>
                <w:delText> </w:delText>
              </w:r>
              <w:r w:rsidRPr="009C5EFD">
                <w:rPr>
                  <w:szCs w:val="22"/>
                  <w:lang w:val="sv-SE"/>
                </w:rPr>
                <w:delText>&lt;</w:delText>
              </w:r>
              <w:r w:rsidR="003B60CD" w:rsidRPr="009C5EFD">
                <w:rPr>
                  <w:szCs w:val="22"/>
                  <w:lang w:val="sv-SE"/>
                </w:rPr>
                <w:delText> </w:delText>
              </w:r>
              <w:r w:rsidR="00AE4407" w:rsidRPr="009C5EFD">
                <w:rPr>
                  <w:szCs w:val="22"/>
                  <w:lang w:val="sv-SE"/>
                </w:rPr>
                <w:delText xml:space="preserve">0,001 Humira </w:delText>
              </w:r>
              <w:r w:rsidR="00AE4407" w:rsidRPr="009C5EFD">
                <w:rPr>
                  <w:i/>
                  <w:szCs w:val="22"/>
                  <w:lang w:val="sv-SE"/>
                </w:rPr>
                <w:delText>versus</w:delText>
              </w:r>
              <w:r w:rsidRPr="009C5EFD">
                <w:rPr>
                  <w:szCs w:val="22"/>
                  <w:lang w:val="sv-SE"/>
                </w:rPr>
                <w:delText xml:space="preserve"> metotreksat</w:delText>
              </w:r>
            </w:del>
          </w:p>
          <w:p w14:paraId="2F2B40F9" w14:textId="6565BA4E" w:rsidR="00913F1F" w:rsidRPr="009C5EFD" w:rsidRDefault="00E453CD">
            <w:pPr>
              <w:keepNext/>
              <w:suppressAutoHyphens/>
              <w:rPr>
                <w:del w:id="8544" w:author="AbbVie02no" w:date="2025-05-15T13:45:00Z"/>
                <w:szCs w:val="22"/>
                <w:lang w:val="sv-SE"/>
              </w:rPr>
              <w:pPrChange w:id="8545" w:author="AbbVie02no" w:date="2025-05-15T13:45:00Z">
                <w:pPr>
                  <w:pStyle w:val="DefaultText"/>
                  <w:ind w:left="54"/>
                </w:pPr>
              </w:pPrChange>
            </w:pPr>
            <w:del w:id="8546" w:author="AbbVie02no" w:date="2025-05-15T13:45:00Z">
              <w:r w:rsidRPr="009C5EFD">
                <w:rPr>
                  <w:szCs w:val="22"/>
                  <w:vertAlign w:val="superscript"/>
                  <w:lang w:val="sv-SE"/>
                </w:rPr>
                <w:delText>c</w:delText>
              </w:r>
              <w:r w:rsidRPr="009C5EFD">
                <w:rPr>
                  <w:szCs w:val="22"/>
                  <w:lang w:val="sv-SE"/>
                </w:rPr>
                <w:delText xml:space="preserve"> p</w:delText>
              </w:r>
              <w:r w:rsidR="003B60CD" w:rsidRPr="009C5EFD">
                <w:rPr>
                  <w:szCs w:val="22"/>
                  <w:lang w:val="sv-SE"/>
                </w:rPr>
                <w:delText> </w:delText>
              </w:r>
              <w:r w:rsidRPr="009C5EFD">
                <w:rPr>
                  <w:szCs w:val="22"/>
                  <w:lang w:val="sv-SE"/>
                </w:rPr>
                <w:delText>&lt;</w:delText>
              </w:r>
              <w:r w:rsidR="003B60CD" w:rsidRPr="009C5EFD">
                <w:rPr>
                  <w:szCs w:val="22"/>
                  <w:lang w:val="sv-SE"/>
                </w:rPr>
                <w:delText> </w:delText>
              </w:r>
              <w:r w:rsidR="00AE4407" w:rsidRPr="009C5EFD">
                <w:rPr>
                  <w:szCs w:val="22"/>
                  <w:lang w:val="sv-SE"/>
                </w:rPr>
                <w:delText xml:space="preserve">0,01 Humira </w:delText>
              </w:r>
              <w:r w:rsidR="00AE4407" w:rsidRPr="009C5EFD">
                <w:rPr>
                  <w:i/>
                  <w:szCs w:val="22"/>
                  <w:lang w:val="sv-SE"/>
                </w:rPr>
                <w:delText>versus</w:delText>
              </w:r>
              <w:r w:rsidRPr="009C5EFD">
                <w:rPr>
                  <w:szCs w:val="22"/>
                  <w:lang w:val="sv-SE"/>
                </w:rPr>
                <w:delText xml:space="preserve"> placebo</w:delText>
              </w:r>
            </w:del>
          </w:p>
          <w:p w14:paraId="29685073" w14:textId="51307F2B" w:rsidR="00913F1F" w:rsidRPr="009C5EFD" w:rsidRDefault="00E453CD">
            <w:pPr>
              <w:keepNext/>
              <w:suppressAutoHyphens/>
              <w:rPr>
                <w:del w:id="8547" w:author="AbbVie02no" w:date="2025-05-15T13:45:00Z"/>
                <w:szCs w:val="22"/>
                <w:lang w:val="sv-SE"/>
              </w:rPr>
              <w:pPrChange w:id="8548" w:author="AbbVie02no" w:date="2025-05-15T13:45:00Z">
                <w:pPr>
                  <w:pStyle w:val="DefaultText"/>
                  <w:ind w:left="54"/>
                </w:pPr>
              </w:pPrChange>
            </w:pPr>
            <w:del w:id="8549" w:author="AbbVie02no" w:date="2025-05-15T13:45:00Z">
              <w:r w:rsidRPr="009C5EFD">
                <w:rPr>
                  <w:szCs w:val="22"/>
                  <w:vertAlign w:val="superscript"/>
                  <w:lang w:val="sv-SE"/>
                </w:rPr>
                <w:delText>d</w:delText>
              </w:r>
              <w:r w:rsidRPr="009C5EFD">
                <w:rPr>
                  <w:szCs w:val="22"/>
                  <w:lang w:val="sv-SE"/>
                </w:rPr>
                <w:delText xml:space="preserve"> p</w:delText>
              </w:r>
              <w:r w:rsidR="003B60CD" w:rsidRPr="009C5EFD">
                <w:rPr>
                  <w:szCs w:val="22"/>
                  <w:lang w:val="sv-SE"/>
                </w:rPr>
                <w:delText> </w:delText>
              </w:r>
              <w:r w:rsidRPr="009C5EFD">
                <w:rPr>
                  <w:szCs w:val="22"/>
                  <w:lang w:val="sv-SE"/>
                </w:rPr>
                <w:delText>&lt;</w:delText>
              </w:r>
              <w:r w:rsidR="003B60CD" w:rsidRPr="009C5EFD">
                <w:rPr>
                  <w:szCs w:val="22"/>
                  <w:lang w:val="sv-SE"/>
                </w:rPr>
                <w:delText> </w:delText>
              </w:r>
              <w:r w:rsidR="00AE4407" w:rsidRPr="009C5EFD">
                <w:rPr>
                  <w:szCs w:val="22"/>
                  <w:lang w:val="sv-SE"/>
                </w:rPr>
                <w:delText xml:space="preserve">0,05 Humira </w:delText>
              </w:r>
              <w:r w:rsidR="00AE4407" w:rsidRPr="009C5EFD">
                <w:rPr>
                  <w:i/>
                  <w:szCs w:val="22"/>
                  <w:lang w:val="sv-SE"/>
                </w:rPr>
                <w:delText>versus</w:delText>
              </w:r>
              <w:r w:rsidRPr="009C5EFD">
                <w:rPr>
                  <w:szCs w:val="22"/>
                  <w:lang w:val="sv-SE"/>
                </w:rPr>
                <w:delText xml:space="preserve"> metotreksat</w:delText>
              </w:r>
            </w:del>
          </w:p>
        </w:tc>
      </w:tr>
    </w:tbl>
    <w:p w14:paraId="1D196A45" w14:textId="1C9AD0B9" w:rsidR="00913F1F" w:rsidRPr="002D0790" w:rsidRDefault="00913F1F">
      <w:pPr>
        <w:keepNext/>
        <w:suppressAutoHyphens/>
        <w:rPr>
          <w:del w:id="8550" w:author="AbbVie02no" w:date="2025-05-15T13:45:00Z"/>
          <w:sz w:val="22"/>
          <w:szCs w:val="22"/>
          <w:lang w:val="sv-SE"/>
        </w:rPr>
        <w:pPrChange w:id="8551" w:author="AbbVie02no" w:date="2025-05-15T13:45:00Z">
          <w:pPr>
            <w:ind w:left="54"/>
          </w:pPr>
        </w:pPrChange>
      </w:pPr>
    </w:p>
    <w:p w14:paraId="730E9921" w14:textId="0A114A9B" w:rsidR="00913F1F" w:rsidRPr="009C5EFD" w:rsidRDefault="00E453CD">
      <w:pPr>
        <w:keepNext/>
        <w:suppressAutoHyphens/>
        <w:rPr>
          <w:del w:id="8552" w:author="AbbVie02no" w:date="2025-05-15T13:45:00Z"/>
          <w:sz w:val="22"/>
          <w:szCs w:val="22"/>
        </w:rPr>
        <w:pPrChange w:id="8553" w:author="AbbVie02no" w:date="2025-05-15T13:45:00Z">
          <w:pPr/>
        </w:pPrChange>
      </w:pPr>
      <w:del w:id="8554" w:author="AbbVie02no" w:date="2025-05-15T13:45:00Z">
        <w:r w:rsidRPr="002D0790">
          <w:rPr>
            <w:sz w:val="22"/>
            <w:szCs w:val="22"/>
          </w:rPr>
          <w:delText xml:space="preserve">I psoriasisstudie I opplevde 28 % av pasientene som hadde PASI 75-respons og </w:delText>
        </w:r>
        <w:r w:rsidR="00AE4407" w:rsidRPr="00E14E58">
          <w:rPr>
            <w:sz w:val="22"/>
            <w:szCs w:val="22"/>
          </w:rPr>
          <w:delText xml:space="preserve">som </w:delText>
        </w:r>
        <w:r w:rsidRPr="009C5EFD">
          <w:rPr>
            <w:sz w:val="22"/>
            <w:szCs w:val="22"/>
          </w:rPr>
          <w:delText>var randomisert på nytt til placebo ved uke 33</w:delText>
        </w:r>
        <w:r w:rsidR="00AE4407" w:rsidRPr="009C5EFD">
          <w:rPr>
            <w:sz w:val="22"/>
            <w:szCs w:val="22"/>
          </w:rPr>
          <w:delText>,</w:delText>
        </w:r>
        <w:r w:rsidRPr="009C5EFD">
          <w:rPr>
            <w:sz w:val="22"/>
            <w:szCs w:val="22"/>
          </w:rPr>
          <w:delText xml:space="preserve"> </w:delText>
        </w:r>
        <w:r w:rsidR="00D57009">
          <w:rPr>
            <w:sz w:val="22"/>
            <w:szCs w:val="22"/>
          </w:rPr>
          <w:delText>«</w:delText>
        </w:r>
        <w:r w:rsidRPr="009C5EFD">
          <w:rPr>
            <w:sz w:val="22"/>
            <w:szCs w:val="22"/>
          </w:rPr>
          <w:delText>tap av tilfredsstillende respons</w:delText>
        </w:r>
        <w:r w:rsidR="00D57009">
          <w:rPr>
            <w:sz w:val="22"/>
            <w:szCs w:val="22"/>
          </w:rPr>
          <w:delText>»</w:delText>
        </w:r>
        <w:r w:rsidRPr="009C5EFD">
          <w:rPr>
            <w:sz w:val="22"/>
            <w:szCs w:val="22"/>
          </w:rPr>
          <w:delText xml:space="preserve"> (PASI score etter uke 33 og ved eller før uke 52 som resulterte i &lt; PASI 50-respons i forhold til baseline</w:delText>
        </w:r>
        <w:r w:rsidR="008A1C0C" w:rsidRPr="009C5EFD">
          <w:rPr>
            <w:sz w:val="22"/>
            <w:szCs w:val="22"/>
          </w:rPr>
          <w:delText>,</w:delText>
        </w:r>
        <w:r w:rsidRPr="009C5EFD">
          <w:rPr>
            <w:sz w:val="22"/>
            <w:szCs w:val="22"/>
          </w:rPr>
          <w:delText xml:space="preserve"> med en minimum 6-punkts økning i PASI score i forhold til uke 33). Tilsvarende for pasienter som fortsatte med Humira var 5 %, p</w:delText>
        </w:r>
        <w:r w:rsidR="00C455EA">
          <w:rPr>
            <w:sz w:val="22"/>
            <w:szCs w:val="22"/>
          </w:rPr>
          <w:delText> </w:delText>
        </w:r>
        <w:r w:rsidRPr="009C5EFD">
          <w:rPr>
            <w:sz w:val="22"/>
            <w:szCs w:val="22"/>
          </w:rPr>
          <w:delText>&lt;</w:delText>
        </w:r>
        <w:r w:rsidR="00C455EA">
          <w:rPr>
            <w:sz w:val="22"/>
            <w:szCs w:val="22"/>
          </w:rPr>
          <w:delText> </w:delText>
        </w:r>
        <w:r w:rsidRPr="009C5EFD">
          <w:rPr>
            <w:sz w:val="22"/>
            <w:szCs w:val="22"/>
          </w:rPr>
          <w:delText xml:space="preserve">0,001. Av de pasientene som opplevde tap av tilfredsstillende respons etter ny randomisering til placebo og som deretter ble inkludert i en </w:delText>
        </w:r>
        <w:r w:rsidR="00BB61BB" w:rsidRPr="009C5EFD">
          <w:rPr>
            <w:sz w:val="22"/>
            <w:szCs w:val="22"/>
          </w:rPr>
          <w:delText>åpen</w:delText>
        </w:r>
        <w:r w:rsidRPr="009C5EFD">
          <w:rPr>
            <w:sz w:val="22"/>
            <w:szCs w:val="22"/>
          </w:rPr>
          <w:delText xml:space="preserve"> forlengelsesstudie, gjenvant 38 % (25/66) og 55 % (36/66) PASI 75-respons etter henholdsvis 12 og 24 uker med </w:delText>
        </w:r>
        <w:r w:rsidR="000E5ABB" w:rsidRPr="009C5EFD">
          <w:rPr>
            <w:sz w:val="22"/>
            <w:szCs w:val="22"/>
          </w:rPr>
          <w:delText>re-</w:delText>
        </w:r>
        <w:r w:rsidRPr="009C5EFD">
          <w:rPr>
            <w:sz w:val="22"/>
            <w:szCs w:val="22"/>
          </w:rPr>
          <w:delText xml:space="preserve">behandling. </w:delText>
        </w:r>
      </w:del>
    </w:p>
    <w:p w14:paraId="12156C72" w14:textId="5467E37E" w:rsidR="009D067E" w:rsidRPr="009C5EFD" w:rsidRDefault="009D067E">
      <w:pPr>
        <w:keepNext/>
        <w:suppressAutoHyphens/>
        <w:rPr>
          <w:del w:id="8555" w:author="AbbVie02no" w:date="2025-05-15T13:45:00Z"/>
          <w:sz w:val="22"/>
          <w:szCs w:val="22"/>
        </w:rPr>
        <w:pPrChange w:id="8556" w:author="AbbVie02no" w:date="2025-05-15T13:45:00Z">
          <w:pPr/>
        </w:pPrChange>
      </w:pPr>
    </w:p>
    <w:p w14:paraId="5AEE02CA" w14:textId="6DE1F94B" w:rsidR="00913F1F" w:rsidRPr="009C5EFD" w:rsidRDefault="00E453CD">
      <w:pPr>
        <w:keepNext/>
        <w:suppressAutoHyphens/>
        <w:rPr>
          <w:del w:id="8557" w:author="AbbVie02no" w:date="2025-05-15T13:45:00Z"/>
          <w:sz w:val="22"/>
          <w:szCs w:val="22"/>
        </w:rPr>
        <w:pPrChange w:id="8558" w:author="AbbVie02no" w:date="2025-05-15T13:45:00Z">
          <w:pPr/>
        </w:pPrChange>
      </w:pPr>
      <w:del w:id="8559" w:author="AbbVie02no" w:date="2025-05-15T13:45:00Z">
        <w:r w:rsidRPr="009C5EFD">
          <w:rPr>
            <w:sz w:val="22"/>
            <w:szCs w:val="22"/>
          </w:rPr>
          <w:delText>Totalt 233 pasienter med PASI 75-respons ved uke 16 og 33 fikk kontinuerlig behandling med Humira i psoriasisstudie I i 52 uker</w:delText>
        </w:r>
        <w:r w:rsidR="008A1C0C" w:rsidRPr="009C5EFD">
          <w:rPr>
            <w:sz w:val="22"/>
            <w:szCs w:val="22"/>
          </w:rPr>
          <w:delText>,</w:delText>
        </w:r>
        <w:r w:rsidRPr="009C5EFD">
          <w:rPr>
            <w:sz w:val="22"/>
            <w:szCs w:val="22"/>
          </w:rPr>
          <w:delText xml:space="preserve"> og fortsatte med Humira i en åpen forlengelsesstudie. PASI 75 og PGA-</w:delText>
        </w:r>
        <w:r w:rsidR="00D57009">
          <w:rPr>
            <w:sz w:val="22"/>
            <w:szCs w:val="22"/>
          </w:rPr>
          <w:delText>«</w:delText>
        </w:r>
        <w:r w:rsidRPr="009C5EFD">
          <w:rPr>
            <w:sz w:val="22"/>
            <w:szCs w:val="22"/>
          </w:rPr>
          <w:delText>kla</w:delText>
        </w:r>
        <w:r w:rsidR="007C226A" w:rsidRPr="009C5EFD">
          <w:rPr>
            <w:sz w:val="22"/>
            <w:szCs w:val="22"/>
          </w:rPr>
          <w:delText>r</w:delText>
        </w:r>
        <w:r w:rsidR="006668D3" w:rsidRPr="009C5EFD">
          <w:rPr>
            <w:sz w:val="22"/>
            <w:szCs w:val="22"/>
          </w:rPr>
          <w:delText>’</w:delText>
        </w:r>
        <w:r w:rsidR="007C226A" w:rsidRPr="009C5EFD">
          <w:rPr>
            <w:sz w:val="22"/>
            <w:szCs w:val="22"/>
          </w:rPr>
          <w:delText xml:space="preserve"> eller -minimal responsrate</w:delText>
        </w:r>
        <w:r w:rsidRPr="009C5EFD">
          <w:rPr>
            <w:sz w:val="22"/>
            <w:szCs w:val="22"/>
          </w:rPr>
          <w:delText xml:space="preserve"> hos disse pasientene var henholdsvis 74,7 % og 59,0 % etter en periode på 108 uker i den åpne forlengelsesstudien (totalt 160 uker). </w:delText>
        </w:r>
        <w:r w:rsidR="0081682B" w:rsidRPr="009C5EFD">
          <w:rPr>
            <w:sz w:val="22"/>
            <w:szCs w:val="22"/>
          </w:rPr>
          <w:delText xml:space="preserve">I en analyse </w:delText>
        </w:r>
        <w:r w:rsidR="00805D79" w:rsidRPr="009C5EFD">
          <w:rPr>
            <w:sz w:val="22"/>
            <w:szCs w:val="22"/>
          </w:rPr>
          <w:delText>ble</w:delText>
        </w:r>
        <w:r w:rsidR="0081682B" w:rsidRPr="009C5EFD">
          <w:rPr>
            <w:sz w:val="22"/>
            <w:szCs w:val="22"/>
          </w:rPr>
          <w:delText xml:space="preserve"> a</w:delText>
        </w:r>
        <w:r w:rsidRPr="009C5EFD">
          <w:rPr>
            <w:sz w:val="22"/>
            <w:szCs w:val="22"/>
          </w:rPr>
          <w:delText>lle pasientene som hadde frafall pga</w:delText>
        </w:r>
        <w:r w:rsidR="00BB61BB" w:rsidRPr="009C5EFD">
          <w:rPr>
            <w:sz w:val="22"/>
            <w:szCs w:val="22"/>
          </w:rPr>
          <w:delText>.</w:delText>
        </w:r>
        <w:r w:rsidRPr="009C5EFD">
          <w:rPr>
            <w:sz w:val="22"/>
            <w:szCs w:val="22"/>
          </w:rPr>
          <w:delText xml:space="preserve"> bivirkninger, mangel på effekt eller som dose-eskalerte, ansett som ikke-</w:delText>
        </w:r>
        <w:r w:rsidRPr="009C5EFD">
          <w:rPr>
            <w:sz w:val="22"/>
            <w:szCs w:val="22"/>
          </w:rPr>
          <w:lastRenderedPageBreak/>
          <w:delText>respondere</w:delText>
        </w:r>
        <w:r w:rsidR="00805D79" w:rsidRPr="009C5EFD">
          <w:rPr>
            <w:sz w:val="22"/>
            <w:szCs w:val="22"/>
          </w:rPr>
          <w:delText xml:space="preserve">. Hos disse pasientene </w:delText>
        </w:r>
        <w:r w:rsidR="0081682B" w:rsidRPr="009C5EFD">
          <w:rPr>
            <w:sz w:val="22"/>
            <w:szCs w:val="22"/>
          </w:rPr>
          <w:delText xml:space="preserve">var </w:delText>
        </w:r>
        <w:r w:rsidRPr="009C5EFD">
          <w:rPr>
            <w:sz w:val="22"/>
            <w:szCs w:val="22"/>
          </w:rPr>
          <w:delText>PASI 75 og PGA-</w:delText>
        </w:r>
        <w:r w:rsidR="00D57009">
          <w:rPr>
            <w:sz w:val="22"/>
            <w:szCs w:val="22"/>
          </w:rPr>
          <w:delText>«</w:delText>
        </w:r>
        <w:r w:rsidRPr="009C5EFD">
          <w:rPr>
            <w:sz w:val="22"/>
            <w:szCs w:val="22"/>
          </w:rPr>
          <w:delText>klar</w:delText>
        </w:r>
        <w:r w:rsidR="006668D3" w:rsidRPr="009C5EFD">
          <w:rPr>
            <w:sz w:val="22"/>
            <w:szCs w:val="22"/>
          </w:rPr>
          <w:delText>’</w:delText>
        </w:r>
        <w:r w:rsidR="007C226A" w:rsidRPr="009C5EFD">
          <w:rPr>
            <w:sz w:val="22"/>
            <w:szCs w:val="22"/>
          </w:rPr>
          <w:delText xml:space="preserve"> eller -minimal responsrater</w:delText>
        </w:r>
        <w:r w:rsidRPr="009C5EFD">
          <w:rPr>
            <w:sz w:val="22"/>
            <w:szCs w:val="22"/>
          </w:rPr>
          <w:delText xml:space="preserve"> henholdsvis 69,6 % og 55,7 % etter en </w:delText>
        </w:r>
        <w:r w:rsidR="00BB61BB" w:rsidRPr="009C5EFD">
          <w:rPr>
            <w:sz w:val="22"/>
            <w:szCs w:val="22"/>
          </w:rPr>
          <w:delText>tilleggs</w:delText>
        </w:r>
        <w:r w:rsidRPr="009C5EFD">
          <w:rPr>
            <w:sz w:val="22"/>
            <w:szCs w:val="22"/>
          </w:rPr>
          <w:delText>periode på 108 uker i den åpne forlengelsesstudien (totalt 160 uker).</w:delText>
        </w:r>
      </w:del>
    </w:p>
    <w:p w14:paraId="77EDF41E" w14:textId="1125A3C4" w:rsidR="009D067E" w:rsidRPr="009C5EFD" w:rsidRDefault="009D067E">
      <w:pPr>
        <w:keepNext/>
        <w:suppressAutoHyphens/>
        <w:rPr>
          <w:del w:id="8560" w:author="AbbVie02no" w:date="2025-05-15T13:45:00Z"/>
          <w:sz w:val="22"/>
          <w:szCs w:val="22"/>
        </w:rPr>
        <w:pPrChange w:id="8561" w:author="AbbVie02no" w:date="2025-05-15T13:45:00Z">
          <w:pPr/>
        </w:pPrChange>
      </w:pPr>
    </w:p>
    <w:p w14:paraId="7EBB22F3" w14:textId="025DA3DA" w:rsidR="00913F1F" w:rsidRPr="009C5EFD" w:rsidRDefault="00E453CD">
      <w:pPr>
        <w:keepNext/>
        <w:suppressAutoHyphens/>
        <w:rPr>
          <w:del w:id="8562" w:author="AbbVie02no" w:date="2025-05-15T13:45:00Z"/>
          <w:sz w:val="22"/>
          <w:szCs w:val="22"/>
        </w:rPr>
        <w:pPrChange w:id="8563" w:author="AbbVie02no" w:date="2025-05-15T13:45:00Z">
          <w:pPr/>
        </w:pPrChange>
      </w:pPr>
      <w:del w:id="8564" w:author="AbbVie02no" w:date="2025-05-15T13:45:00Z">
        <w:r w:rsidRPr="009C5EFD">
          <w:rPr>
            <w:sz w:val="22"/>
            <w:szCs w:val="22"/>
          </w:rPr>
          <w:delText xml:space="preserve">Totalt 347 stabile respondere deltok i en åpen forlengelsesstudie der seponering og re-behandling ble </w:delText>
        </w:r>
        <w:r w:rsidR="003D3CAB" w:rsidRPr="003D3CAB">
          <w:rPr>
            <w:sz w:val="22"/>
            <w:szCs w:val="22"/>
          </w:rPr>
          <w:delText>vurdert</w:delText>
        </w:r>
        <w:r w:rsidRPr="009C5EFD">
          <w:rPr>
            <w:sz w:val="22"/>
            <w:szCs w:val="22"/>
          </w:rPr>
          <w:delText xml:space="preserve">. Under </w:delText>
        </w:r>
        <w:r w:rsidR="00BB61BB" w:rsidRPr="009C5EFD">
          <w:rPr>
            <w:sz w:val="22"/>
            <w:szCs w:val="22"/>
          </w:rPr>
          <w:delText>seponering</w:delText>
        </w:r>
        <w:r w:rsidRPr="009C5EFD">
          <w:rPr>
            <w:sz w:val="22"/>
            <w:szCs w:val="22"/>
          </w:rPr>
          <w:delText>sperioden kom symptomene på psoriasis tilbake over tid med</w:delText>
        </w:r>
        <w:r w:rsidR="00805D79" w:rsidRPr="009C5EFD">
          <w:rPr>
            <w:sz w:val="22"/>
            <w:szCs w:val="22"/>
          </w:rPr>
          <w:delText xml:space="preserve"> en</w:delText>
        </w:r>
        <w:r w:rsidRPr="009C5EFD">
          <w:rPr>
            <w:sz w:val="22"/>
            <w:szCs w:val="22"/>
          </w:rPr>
          <w:delText xml:space="preserve"> mediantid for tilbakefall (nedgang i PGA </w:delText>
        </w:r>
        <w:r w:rsidR="00D57009">
          <w:rPr>
            <w:sz w:val="22"/>
            <w:szCs w:val="22"/>
          </w:rPr>
          <w:delText>«</w:delText>
        </w:r>
        <w:r w:rsidRPr="009C5EFD">
          <w:rPr>
            <w:sz w:val="22"/>
            <w:szCs w:val="22"/>
          </w:rPr>
          <w:delText>moderat</w:delText>
        </w:r>
        <w:r w:rsidR="00D57009">
          <w:rPr>
            <w:sz w:val="22"/>
            <w:szCs w:val="22"/>
          </w:rPr>
          <w:delText>»</w:delText>
        </w:r>
        <w:r w:rsidRPr="009C5EFD">
          <w:rPr>
            <w:sz w:val="22"/>
            <w:szCs w:val="22"/>
          </w:rPr>
          <w:delText xml:space="preserve"> eller verre) på ca. 5 måneder. Ingen av disse pasientene opplevde </w:delText>
        </w:r>
        <w:r w:rsidR="00805D79" w:rsidRPr="009C5EFD">
          <w:rPr>
            <w:sz w:val="22"/>
            <w:szCs w:val="22"/>
          </w:rPr>
          <w:delText>tilbakefall (</w:delText>
        </w:r>
        <w:r w:rsidR="00D57009">
          <w:rPr>
            <w:sz w:val="22"/>
            <w:szCs w:val="22"/>
          </w:rPr>
          <w:delText>«</w:delText>
        </w:r>
        <w:r w:rsidR="00805D79" w:rsidRPr="009C5EFD">
          <w:rPr>
            <w:sz w:val="22"/>
            <w:szCs w:val="22"/>
          </w:rPr>
          <w:delText>rebound</w:delText>
        </w:r>
        <w:r w:rsidR="00D57009">
          <w:rPr>
            <w:sz w:val="22"/>
            <w:szCs w:val="22"/>
          </w:rPr>
          <w:delText>»</w:delText>
        </w:r>
        <w:r w:rsidR="00805D79" w:rsidRPr="009C5EFD">
          <w:rPr>
            <w:sz w:val="22"/>
            <w:szCs w:val="22"/>
          </w:rPr>
          <w:delText>)</w:delText>
        </w:r>
        <w:r w:rsidRPr="009C5EFD">
          <w:rPr>
            <w:sz w:val="22"/>
            <w:szCs w:val="22"/>
          </w:rPr>
          <w:delText xml:space="preserve"> under </w:delText>
        </w:r>
        <w:r w:rsidR="00BB61BB" w:rsidRPr="009C5EFD">
          <w:rPr>
            <w:sz w:val="22"/>
            <w:szCs w:val="22"/>
          </w:rPr>
          <w:delText>seponering</w:delText>
        </w:r>
        <w:r w:rsidRPr="009C5EFD">
          <w:rPr>
            <w:sz w:val="22"/>
            <w:szCs w:val="22"/>
          </w:rPr>
          <w:delText>sperioden. Totalt 76,5 % (218/285) av pasientene som startet behandlingen på nytt hadde en PGA</w:delText>
        </w:r>
        <w:r w:rsidR="006668D3" w:rsidRPr="009C5EFD">
          <w:rPr>
            <w:sz w:val="22"/>
            <w:szCs w:val="22"/>
          </w:rPr>
          <w:delText>-</w:delText>
        </w:r>
        <w:r w:rsidR="00D57009">
          <w:rPr>
            <w:sz w:val="22"/>
            <w:szCs w:val="22"/>
          </w:rPr>
          <w:delText>«</w:delText>
        </w:r>
        <w:r w:rsidRPr="009C5EFD">
          <w:rPr>
            <w:sz w:val="22"/>
            <w:szCs w:val="22"/>
          </w:rPr>
          <w:delText>klar</w:delText>
        </w:r>
        <w:r w:rsidR="00D57009">
          <w:rPr>
            <w:sz w:val="22"/>
            <w:szCs w:val="22"/>
          </w:rPr>
          <w:delText>»</w:delText>
        </w:r>
        <w:r w:rsidR="006668D3" w:rsidRPr="009C5EFD">
          <w:rPr>
            <w:sz w:val="22"/>
            <w:szCs w:val="22"/>
          </w:rPr>
          <w:delText xml:space="preserve"> </w:delText>
        </w:r>
        <w:r w:rsidRPr="009C5EFD">
          <w:rPr>
            <w:sz w:val="22"/>
            <w:szCs w:val="22"/>
          </w:rPr>
          <w:delText xml:space="preserve">eller -minimal respons etter 16 uker med behandling, uavhengig om de hadde tilbakefall under </w:delText>
        </w:r>
        <w:r w:rsidR="00BB61BB" w:rsidRPr="009C5EFD">
          <w:rPr>
            <w:sz w:val="22"/>
            <w:szCs w:val="22"/>
          </w:rPr>
          <w:delText>seponering</w:delText>
        </w:r>
        <w:r w:rsidRPr="009C5EFD">
          <w:rPr>
            <w:sz w:val="22"/>
            <w:szCs w:val="22"/>
          </w:rPr>
          <w:delText xml:space="preserve">sperioden (69,1 % [123/178] og 88,8 % [95/107] henholdsvis for pasienter som hadde tilbakefall eller ikke hadde tilbakefall under </w:delText>
        </w:r>
        <w:r w:rsidR="00BB61BB" w:rsidRPr="009C5EFD">
          <w:rPr>
            <w:sz w:val="22"/>
            <w:szCs w:val="22"/>
          </w:rPr>
          <w:delText>seponering</w:delText>
        </w:r>
        <w:r w:rsidRPr="009C5EFD">
          <w:rPr>
            <w:sz w:val="22"/>
            <w:szCs w:val="22"/>
          </w:rPr>
          <w:delText xml:space="preserve">sperioden). En tilsvarende sikkerhetsprofil ble observert under gjenopptagelse av behandlingen som før </w:delText>
        </w:r>
        <w:r w:rsidR="00BB61BB" w:rsidRPr="009C5EFD">
          <w:rPr>
            <w:sz w:val="22"/>
            <w:szCs w:val="22"/>
          </w:rPr>
          <w:delText>seponering</w:delText>
        </w:r>
        <w:r w:rsidRPr="009C5EFD">
          <w:rPr>
            <w:sz w:val="22"/>
            <w:szCs w:val="22"/>
          </w:rPr>
          <w:delText>.</w:delText>
        </w:r>
      </w:del>
    </w:p>
    <w:p w14:paraId="6C38AE73" w14:textId="5D63A1F5" w:rsidR="00913F1F" w:rsidRPr="009C5EFD" w:rsidRDefault="00913F1F">
      <w:pPr>
        <w:keepNext/>
        <w:suppressAutoHyphens/>
        <w:rPr>
          <w:del w:id="8565" w:author="AbbVie02no" w:date="2025-05-15T13:45:00Z"/>
          <w:sz w:val="22"/>
          <w:szCs w:val="22"/>
        </w:rPr>
        <w:pPrChange w:id="8566" w:author="AbbVie02no" w:date="2025-05-15T13:45:00Z">
          <w:pPr/>
        </w:pPrChange>
      </w:pPr>
    </w:p>
    <w:p w14:paraId="55895A74" w14:textId="0097A84C" w:rsidR="00913F1F" w:rsidRPr="009C5EFD" w:rsidRDefault="00E453CD">
      <w:pPr>
        <w:keepNext/>
        <w:suppressAutoHyphens/>
        <w:rPr>
          <w:del w:id="8567" w:author="AbbVie02no" w:date="2025-05-15T13:45:00Z"/>
          <w:sz w:val="22"/>
          <w:szCs w:val="22"/>
        </w:rPr>
        <w:pPrChange w:id="8568" w:author="AbbVie02no" w:date="2025-05-15T13:45:00Z">
          <w:pPr/>
        </w:pPrChange>
      </w:pPr>
      <w:del w:id="8569" w:author="AbbVie02no" w:date="2025-05-15T13:45:00Z">
        <w:r w:rsidRPr="009C5EFD">
          <w:rPr>
            <w:sz w:val="22"/>
            <w:szCs w:val="22"/>
          </w:rPr>
          <w:delText>Signifikant forbedring ved uke 16 fra behandlingsstart sammenlignet med placebo (studiene I og II) og metotreksat (studie II) ble vist i DLQI (Dermatolog</w:delText>
        </w:r>
        <w:r w:rsidR="002370EC" w:rsidRPr="009C5EFD">
          <w:rPr>
            <w:sz w:val="22"/>
            <w:szCs w:val="22"/>
          </w:rPr>
          <w:delText>y Life Quality Index). I studie I</w:delText>
        </w:r>
        <w:r w:rsidRPr="009C5EFD">
          <w:rPr>
            <w:sz w:val="22"/>
            <w:szCs w:val="22"/>
          </w:rPr>
          <w:delText xml:space="preserve"> var også forbedringer i </w:delText>
        </w:r>
        <w:r w:rsidR="00805D79" w:rsidRPr="009C5EFD">
          <w:rPr>
            <w:sz w:val="22"/>
            <w:szCs w:val="22"/>
          </w:rPr>
          <w:delText xml:space="preserve">sammenlagt score for </w:delText>
        </w:r>
        <w:r w:rsidRPr="009C5EFD">
          <w:rPr>
            <w:sz w:val="22"/>
            <w:szCs w:val="22"/>
          </w:rPr>
          <w:delText>de fysiske og mentale komponent</w:delText>
        </w:r>
        <w:r w:rsidR="00670CE5" w:rsidRPr="009C5EFD">
          <w:rPr>
            <w:sz w:val="22"/>
            <w:szCs w:val="22"/>
          </w:rPr>
          <w:delText>ene</w:delText>
        </w:r>
        <w:r w:rsidRPr="009C5EFD">
          <w:rPr>
            <w:sz w:val="22"/>
            <w:szCs w:val="22"/>
          </w:rPr>
          <w:delText xml:space="preserve"> i SF-36 signifikante sammenlignet med placebo.</w:delText>
        </w:r>
      </w:del>
    </w:p>
    <w:p w14:paraId="115FE48B" w14:textId="55201545" w:rsidR="00913F1F" w:rsidRPr="009C5EFD" w:rsidRDefault="00913F1F">
      <w:pPr>
        <w:keepNext/>
        <w:suppressAutoHyphens/>
        <w:rPr>
          <w:del w:id="8570" w:author="AbbVie02no" w:date="2025-05-15T13:45:00Z"/>
          <w:sz w:val="22"/>
          <w:szCs w:val="22"/>
        </w:rPr>
        <w:pPrChange w:id="8571" w:author="AbbVie02no" w:date="2025-05-15T13:45:00Z">
          <w:pPr/>
        </w:pPrChange>
      </w:pPr>
    </w:p>
    <w:p w14:paraId="26CF5827" w14:textId="21FC2161" w:rsidR="00913F1F" w:rsidRPr="009C5EFD" w:rsidRDefault="00E453CD">
      <w:pPr>
        <w:keepNext/>
        <w:suppressAutoHyphens/>
        <w:rPr>
          <w:del w:id="8572" w:author="AbbVie02no" w:date="2025-05-15T13:45:00Z"/>
          <w:sz w:val="22"/>
          <w:szCs w:val="22"/>
        </w:rPr>
        <w:pPrChange w:id="8573" w:author="AbbVie02no" w:date="2025-05-15T13:45:00Z">
          <w:pPr/>
        </w:pPrChange>
      </w:pPr>
      <w:del w:id="8574" w:author="AbbVie02no" w:date="2025-05-15T13:45:00Z">
        <w:r w:rsidRPr="005A2FD7">
          <w:rPr>
            <w:sz w:val="22"/>
            <w:szCs w:val="22"/>
          </w:rPr>
          <w:delText xml:space="preserve">I en åpen forlengelsesstudie hos pasienter som økte dosen fra 40 mg </w:delText>
        </w:r>
        <w:r>
          <w:rPr>
            <w:sz w:val="22"/>
            <w:szCs w:val="22"/>
          </w:rPr>
          <w:delText xml:space="preserve">annenhver uke til 40 mg </w:delText>
        </w:r>
        <w:r w:rsidR="003721B0">
          <w:rPr>
            <w:sz w:val="22"/>
            <w:szCs w:val="22"/>
          </w:rPr>
          <w:delText>per</w:delText>
        </w:r>
        <w:r>
          <w:rPr>
            <w:sz w:val="22"/>
            <w:szCs w:val="22"/>
          </w:rPr>
          <w:delText xml:space="preserve"> uke</w:delText>
        </w:r>
        <w:r w:rsidRPr="005A2FD7">
          <w:rPr>
            <w:sz w:val="22"/>
            <w:szCs w:val="22"/>
          </w:rPr>
          <w:delText xml:space="preserve"> på grunn av PASI respons under 50 %</w:delText>
        </w:r>
        <w:r>
          <w:rPr>
            <w:sz w:val="22"/>
            <w:szCs w:val="22"/>
          </w:rPr>
          <w:delText>,</w:delText>
        </w:r>
        <w:r w:rsidRPr="005A2FD7">
          <w:rPr>
            <w:sz w:val="22"/>
            <w:szCs w:val="22"/>
          </w:rPr>
          <w:delText xml:space="preserve"> oppnådde 26,4 % (92/349) og 37,8 % (132/349) av pasientene PASI 75-respons ved henholdsvis uke 12 og 24.</w:delText>
        </w:r>
      </w:del>
    </w:p>
    <w:p w14:paraId="7B7597B9" w14:textId="6099495F" w:rsidR="0071295A" w:rsidRPr="009C5EFD" w:rsidRDefault="0071295A">
      <w:pPr>
        <w:keepNext/>
        <w:suppressAutoHyphens/>
        <w:rPr>
          <w:del w:id="8575" w:author="AbbVie02no" w:date="2025-05-15T13:45:00Z"/>
          <w:sz w:val="22"/>
          <w:szCs w:val="22"/>
        </w:rPr>
        <w:pPrChange w:id="8576" w:author="AbbVie02no" w:date="2025-05-15T13:45:00Z">
          <w:pPr/>
        </w:pPrChange>
      </w:pPr>
    </w:p>
    <w:p w14:paraId="694A7FF4" w14:textId="6C3BF922" w:rsidR="0071295A" w:rsidRDefault="00E453CD">
      <w:pPr>
        <w:keepNext/>
        <w:suppressAutoHyphens/>
        <w:rPr>
          <w:del w:id="8577" w:author="AbbVie02no" w:date="2025-05-15T13:45:00Z"/>
          <w:sz w:val="22"/>
          <w:szCs w:val="22"/>
        </w:rPr>
        <w:pPrChange w:id="8578" w:author="AbbVie02no" w:date="2025-05-15T13:45:00Z">
          <w:pPr/>
        </w:pPrChange>
      </w:pPr>
      <w:del w:id="8579" w:author="AbbVie02no" w:date="2025-05-15T13:45:00Z">
        <w:r w:rsidRPr="009C5EFD">
          <w:rPr>
            <w:sz w:val="22"/>
            <w:szCs w:val="22"/>
          </w:rPr>
          <w:delText xml:space="preserve">Psoriasisstudie III (REACH) sammenlignet effekt og sikkerhet av Humira </w:delText>
        </w:r>
        <w:r w:rsidRPr="009C5EFD">
          <w:rPr>
            <w:i/>
            <w:sz w:val="22"/>
            <w:szCs w:val="22"/>
          </w:rPr>
          <w:delText xml:space="preserve">versus </w:delText>
        </w:r>
        <w:r w:rsidRPr="009C5EFD">
          <w:rPr>
            <w:sz w:val="22"/>
            <w:szCs w:val="22"/>
          </w:rPr>
          <w:delText>placebo hos 7</w:delText>
        </w:r>
        <w:r w:rsidR="0027123A">
          <w:rPr>
            <w:sz w:val="22"/>
            <w:szCs w:val="22"/>
          </w:rPr>
          <w:delText>2</w:delText>
        </w:r>
        <w:r w:rsidRPr="009C5EFD">
          <w:rPr>
            <w:sz w:val="22"/>
            <w:szCs w:val="22"/>
          </w:rPr>
          <w:delText xml:space="preserve"> pasienter med moderat til alvorlig kronisk plakkpsoriasis og hånd og/eller fot psoriasis. Pasientene fikk en </w:delText>
        </w:r>
        <w:r w:rsidR="00BB61BB" w:rsidRPr="009C5EFD">
          <w:rPr>
            <w:sz w:val="22"/>
            <w:szCs w:val="22"/>
          </w:rPr>
          <w:delText>start</w:delText>
        </w:r>
        <w:r w:rsidRPr="009C5EFD">
          <w:rPr>
            <w:sz w:val="22"/>
            <w:szCs w:val="22"/>
          </w:rPr>
          <w:delText>dose på 80 mg Humira etterfulgt av 40 mg annen</w:delText>
        </w:r>
        <w:r w:rsidR="00BB61BB" w:rsidRPr="009C5EFD">
          <w:rPr>
            <w:sz w:val="22"/>
            <w:szCs w:val="22"/>
          </w:rPr>
          <w:delText>hver</w:delText>
        </w:r>
        <w:r w:rsidRPr="009C5EFD">
          <w:rPr>
            <w:sz w:val="22"/>
            <w:szCs w:val="22"/>
          </w:rPr>
          <w:delText xml:space="preserve"> uke (med oppstar</w:delText>
        </w:r>
        <w:r w:rsidR="005F154C" w:rsidRPr="009C5EFD">
          <w:rPr>
            <w:sz w:val="22"/>
            <w:szCs w:val="22"/>
          </w:rPr>
          <w:delText xml:space="preserve">t </w:delText>
        </w:r>
        <w:r w:rsidR="00805D79" w:rsidRPr="009C5EFD">
          <w:rPr>
            <w:sz w:val="22"/>
            <w:szCs w:val="22"/>
          </w:rPr>
          <w:delText>é</w:delText>
        </w:r>
        <w:r w:rsidR="005F154C" w:rsidRPr="009C5EFD">
          <w:rPr>
            <w:sz w:val="22"/>
            <w:szCs w:val="22"/>
          </w:rPr>
          <w:delText xml:space="preserve">n uke etter den </w:delText>
        </w:r>
        <w:r w:rsidR="00BB61BB" w:rsidRPr="009C5EFD">
          <w:rPr>
            <w:sz w:val="22"/>
            <w:szCs w:val="22"/>
          </w:rPr>
          <w:delText>første</w:delText>
        </w:r>
        <w:r w:rsidRPr="009C5EFD">
          <w:rPr>
            <w:sz w:val="22"/>
            <w:szCs w:val="22"/>
          </w:rPr>
          <w:delText xml:space="preserve"> dosen) eller placebo i 16 uker. Ved uke 16 hadde en statistisk signifikant større andel av pasientene som fikk Humira oppnådd PGA</w:delText>
        </w:r>
        <w:r w:rsidR="0048507B" w:rsidRPr="009C5EFD">
          <w:rPr>
            <w:sz w:val="22"/>
            <w:szCs w:val="22"/>
          </w:rPr>
          <w:delText xml:space="preserve"> score </w:delText>
        </w:r>
        <w:r w:rsidR="00D57009">
          <w:rPr>
            <w:sz w:val="22"/>
            <w:szCs w:val="22"/>
          </w:rPr>
          <w:delText>«</w:delText>
        </w:r>
        <w:r w:rsidR="0048507B" w:rsidRPr="009C5EFD">
          <w:rPr>
            <w:sz w:val="22"/>
            <w:szCs w:val="22"/>
          </w:rPr>
          <w:delText xml:space="preserve">klar’ eller </w:delText>
        </w:r>
        <w:r w:rsidR="00D57009">
          <w:rPr>
            <w:sz w:val="22"/>
            <w:szCs w:val="22"/>
          </w:rPr>
          <w:delText>«</w:delText>
        </w:r>
        <w:r w:rsidR="0048507B" w:rsidRPr="009C5EFD">
          <w:rPr>
            <w:sz w:val="22"/>
            <w:szCs w:val="22"/>
          </w:rPr>
          <w:delText>nesten klar’ for hender og/eller føtter</w:delText>
        </w:r>
        <w:r w:rsidR="00670CE5" w:rsidRPr="009C5EFD">
          <w:rPr>
            <w:sz w:val="22"/>
            <w:szCs w:val="22"/>
          </w:rPr>
          <w:delText>,</w:delText>
        </w:r>
        <w:r w:rsidR="0048507B" w:rsidRPr="009C5EFD">
          <w:rPr>
            <w:sz w:val="22"/>
            <w:szCs w:val="22"/>
          </w:rPr>
          <w:delText xml:space="preserve"> sammenlignet med pasientene som fikk placebo (henholdsvis 30,6 %</w:delText>
        </w:r>
        <w:r w:rsidRPr="009C5EFD">
          <w:rPr>
            <w:sz w:val="22"/>
            <w:szCs w:val="22"/>
          </w:rPr>
          <w:delText xml:space="preserve"> </w:delText>
        </w:r>
        <w:r w:rsidR="0048507B" w:rsidRPr="009C5EFD">
          <w:rPr>
            <w:i/>
            <w:sz w:val="22"/>
            <w:szCs w:val="22"/>
          </w:rPr>
          <w:delText>versus</w:delText>
        </w:r>
        <w:r w:rsidR="0048507B" w:rsidRPr="009C5EFD">
          <w:rPr>
            <w:sz w:val="22"/>
            <w:szCs w:val="22"/>
          </w:rPr>
          <w:delText xml:space="preserve"> 4,3 %, [</w:delText>
        </w:r>
        <w:r w:rsidR="006A4D41" w:rsidRPr="009C5EFD">
          <w:rPr>
            <w:sz w:val="22"/>
            <w:szCs w:val="22"/>
          </w:rPr>
          <w:delText>p</w:delText>
        </w:r>
        <w:r w:rsidR="0048507B" w:rsidRPr="009C5EFD">
          <w:rPr>
            <w:sz w:val="22"/>
            <w:szCs w:val="22"/>
          </w:rPr>
          <w:delText xml:space="preserve"> = 0,014]</w:delText>
        </w:r>
        <w:r w:rsidR="009754D3" w:rsidRPr="009C5EFD">
          <w:rPr>
            <w:sz w:val="22"/>
            <w:szCs w:val="22"/>
          </w:rPr>
          <w:delText>)</w:delText>
        </w:r>
        <w:r w:rsidR="0048507B" w:rsidRPr="009C5EFD">
          <w:rPr>
            <w:sz w:val="22"/>
            <w:szCs w:val="22"/>
          </w:rPr>
          <w:delText>.</w:delText>
        </w:r>
      </w:del>
    </w:p>
    <w:p w14:paraId="6A1B9545" w14:textId="53D17BDF" w:rsidR="00E379A3" w:rsidRDefault="00E379A3">
      <w:pPr>
        <w:keepNext/>
        <w:suppressAutoHyphens/>
        <w:rPr>
          <w:del w:id="8580" w:author="AbbVie02no" w:date="2025-05-15T13:45:00Z"/>
          <w:sz w:val="22"/>
          <w:szCs w:val="22"/>
        </w:rPr>
        <w:pPrChange w:id="8581" w:author="AbbVie02no" w:date="2025-05-15T13:45:00Z">
          <w:pPr/>
        </w:pPrChange>
      </w:pPr>
    </w:p>
    <w:p w14:paraId="3F3A6BE8" w14:textId="1641AAE9" w:rsidR="00E379A3" w:rsidRDefault="00E453CD">
      <w:pPr>
        <w:keepNext/>
        <w:suppressAutoHyphens/>
        <w:rPr>
          <w:del w:id="8582" w:author="AbbVie02no" w:date="2025-05-15T13:45:00Z"/>
          <w:sz w:val="22"/>
          <w:szCs w:val="22"/>
        </w:rPr>
        <w:pPrChange w:id="8583" w:author="AbbVie02no" w:date="2025-05-15T13:45:00Z">
          <w:pPr/>
        </w:pPrChange>
      </w:pPr>
      <w:del w:id="8584" w:author="AbbVie02no" w:date="2025-05-15T13:45:00Z">
        <w:r w:rsidRPr="00553387">
          <w:rPr>
            <w:sz w:val="22"/>
            <w:szCs w:val="22"/>
          </w:rPr>
          <w:delText xml:space="preserve">Psoriasisstudie IV sammenlignet effekt og sikkerhet av Humira versus placebo hos 217 </w:delText>
        </w:r>
        <w:r>
          <w:rPr>
            <w:sz w:val="22"/>
            <w:szCs w:val="22"/>
          </w:rPr>
          <w:delText>voksne</w:delText>
        </w:r>
        <w:r w:rsidRPr="00553387">
          <w:rPr>
            <w:sz w:val="22"/>
            <w:szCs w:val="22"/>
          </w:rPr>
          <w:delText xml:space="preserve"> pasienter med moderat til alvorlig neglepsoriasis. Pasientene fikk en startdose på 80 mg Humira etterfulgt av 40 mg annenhver uke (med oppstart én uke etter den første dosen) eller placebo i 26 uker, etterfulgt av en åpen forlengelses</w:delText>
        </w:r>
        <w:r>
          <w:rPr>
            <w:sz w:val="22"/>
            <w:szCs w:val="22"/>
          </w:rPr>
          <w:delText xml:space="preserve">periode </w:delText>
        </w:r>
        <w:r w:rsidRPr="00553387">
          <w:rPr>
            <w:sz w:val="22"/>
            <w:szCs w:val="22"/>
          </w:rPr>
          <w:delText>med Humirabehandling i ytterligere 26 uker. Vurdering av neglepsoriasis inkluderte Modified Nail Psoriasis Severity Index (mNAPSI), Physician’s Global Assessment of Fingernail Psoriasis (PGA-F) og Nail Psoriasis Severity Index (NAPSI</w:delText>
        </w:r>
        <w:r>
          <w:rPr>
            <w:sz w:val="22"/>
            <w:szCs w:val="22"/>
          </w:rPr>
          <w:delText xml:space="preserve">) (se tabell </w:delText>
        </w:r>
        <w:r w:rsidR="006A155B">
          <w:rPr>
            <w:sz w:val="22"/>
            <w:szCs w:val="22"/>
          </w:rPr>
          <w:delText>1</w:delText>
        </w:r>
        <w:r w:rsidR="00F85DF9">
          <w:rPr>
            <w:sz w:val="22"/>
            <w:szCs w:val="22"/>
          </w:rPr>
          <w:delText>8</w:delText>
        </w:r>
        <w:r>
          <w:rPr>
            <w:sz w:val="22"/>
            <w:szCs w:val="22"/>
          </w:rPr>
          <w:delText xml:space="preserve">). </w:delText>
        </w:r>
        <w:r>
          <w:rPr>
            <w:sz w:val="22"/>
            <w:szCs w:val="22"/>
          </w:rPr>
          <w:lastRenderedPageBreak/>
          <w:delText>Behandling med Humira viste en behandlingsfordel hos pasienter med neglepsoriasis med ulik grad av hudpåvirkning (BSA ≥ 10 % (60 % av pasientene) og BSA &lt; 10</w:delText>
        </w:r>
        <w:r w:rsidR="00814D0E">
          <w:rPr>
            <w:sz w:val="22"/>
            <w:szCs w:val="22"/>
          </w:rPr>
          <w:delText xml:space="preserve"> </w:delText>
        </w:r>
        <w:r>
          <w:rPr>
            <w:sz w:val="22"/>
            <w:szCs w:val="22"/>
          </w:rPr>
          <w:delText>% og ≥ 5 % (40 % av pasientene)).</w:delText>
        </w:r>
      </w:del>
    </w:p>
    <w:p w14:paraId="3F4A7614" w14:textId="70467C24" w:rsidR="00E379A3" w:rsidRDefault="00E379A3">
      <w:pPr>
        <w:keepNext/>
        <w:suppressAutoHyphens/>
        <w:rPr>
          <w:del w:id="8585" w:author="AbbVie02no" w:date="2025-05-15T13:45:00Z"/>
          <w:sz w:val="22"/>
          <w:szCs w:val="22"/>
        </w:rPr>
        <w:pPrChange w:id="8586" w:author="AbbVie02no" w:date="2025-05-15T13:45:00Z">
          <w:pPr/>
        </w:pPrChange>
      </w:pPr>
    </w:p>
    <w:p w14:paraId="26A0AC18" w14:textId="44CFE503" w:rsidR="00E379A3" w:rsidRPr="00FB0DDE" w:rsidRDefault="00E453CD">
      <w:pPr>
        <w:keepNext/>
        <w:suppressAutoHyphens/>
        <w:rPr>
          <w:del w:id="8587" w:author="AbbVie02no" w:date="2025-05-15T13:45:00Z"/>
          <w:sz w:val="22"/>
          <w:szCs w:val="22"/>
        </w:rPr>
        <w:pPrChange w:id="8588" w:author="AbbVie02no" w:date="2025-05-15T13:45:00Z">
          <w:pPr>
            <w:pStyle w:val="gtctabletitleotherwise"/>
            <w:keepNext/>
            <w:spacing w:before="0"/>
          </w:pPr>
        </w:pPrChange>
      </w:pPr>
      <w:del w:id="8589" w:author="AbbVie02no" w:date="2025-05-15T13:45:00Z">
        <w:r w:rsidRPr="00FB0DDE">
          <w:rPr>
            <w:sz w:val="22"/>
            <w:szCs w:val="22"/>
          </w:rPr>
          <w:delText>Tabell</w:delText>
        </w:r>
        <w:r>
          <w:rPr>
            <w:sz w:val="22"/>
            <w:szCs w:val="22"/>
          </w:rPr>
          <w:delText xml:space="preserve"> </w:delText>
        </w:r>
        <w:r w:rsidR="00BB3E88">
          <w:rPr>
            <w:sz w:val="22"/>
            <w:szCs w:val="22"/>
          </w:rPr>
          <w:delText>18</w:delText>
        </w:r>
      </w:del>
    </w:p>
    <w:p w14:paraId="7CF6CB7D" w14:textId="247B0029" w:rsidR="00E379A3" w:rsidRPr="00FB0DDE" w:rsidRDefault="00E453CD">
      <w:pPr>
        <w:keepNext/>
        <w:suppressAutoHyphens/>
        <w:rPr>
          <w:del w:id="8590" w:author="AbbVie02no" w:date="2025-05-15T13:45:00Z"/>
          <w:sz w:val="22"/>
          <w:szCs w:val="22"/>
        </w:rPr>
        <w:pPrChange w:id="8591" w:author="AbbVie02no" w:date="2025-05-15T13:45:00Z">
          <w:pPr>
            <w:pStyle w:val="gtctabletitleotherwise"/>
            <w:keepNext/>
            <w:spacing w:before="0"/>
          </w:pPr>
        </w:pPrChange>
      </w:pPr>
      <w:del w:id="8592" w:author="AbbVie02no" w:date="2025-05-15T13:45:00Z">
        <w:r w:rsidRPr="00FB0DDE">
          <w:rPr>
            <w:sz w:val="22"/>
            <w:szCs w:val="22"/>
          </w:rPr>
          <w:delText>Ps</w:delText>
        </w:r>
        <w:r>
          <w:rPr>
            <w:sz w:val="22"/>
            <w:szCs w:val="22"/>
          </w:rPr>
          <w:delText>oriasis</w:delText>
        </w:r>
        <w:r w:rsidRPr="00FB0DDE">
          <w:rPr>
            <w:sz w:val="22"/>
            <w:szCs w:val="22"/>
          </w:rPr>
          <w:delText xml:space="preserve">studie IV </w:delText>
        </w:r>
        <w:r w:rsidR="00F33557">
          <w:rPr>
            <w:sz w:val="22"/>
            <w:szCs w:val="22"/>
          </w:rPr>
          <w:delText>Effektresultater</w:delText>
        </w:r>
        <w:r w:rsidRPr="00FB0DDE">
          <w:rPr>
            <w:sz w:val="22"/>
            <w:szCs w:val="22"/>
          </w:rPr>
          <w:delText xml:space="preserve"> ved 16, 26 og 52 </w:delText>
        </w:r>
        <w:r>
          <w:rPr>
            <w:sz w:val="22"/>
            <w:szCs w:val="22"/>
          </w:rPr>
          <w:delText>uker</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4644D4" w14:paraId="1C39DA3A" w14:textId="12DC04F6" w:rsidTr="00F43D01">
        <w:trPr>
          <w:del w:id="8593" w:author="AbbVie02no" w:date="2025-05-15T13:45:00Z"/>
        </w:trPr>
        <w:tc>
          <w:tcPr>
            <w:tcW w:w="2718" w:type="dxa"/>
            <w:vMerge w:val="restart"/>
          </w:tcPr>
          <w:p w14:paraId="22E97226" w14:textId="77826EB5" w:rsidR="00E379A3" w:rsidRPr="00901AFA" w:rsidRDefault="00E453CD">
            <w:pPr>
              <w:keepNext/>
              <w:suppressAutoHyphens/>
              <w:rPr>
                <w:del w:id="8594" w:author="AbbVie02no" w:date="2025-05-15T13:45:00Z"/>
                <w:sz w:val="22"/>
                <w:szCs w:val="22"/>
              </w:rPr>
              <w:pPrChange w:id="8595" w:author="AbbVie02no" w:date="2025-05-15T13:45:00Z">
                <w:pPr>
                  <w:pStyle w:val="gtctablespaceafter"/>
                  <w:keepNext/>
                  <w:spacing w:after="0"/>
                </w:pPr>
              </w:pPrChange>
            </w:pPr>
            <w:del w:id="8596" w:author="AbbVie02no" w:date="2025-05-15T13:45:00Z">
              <w:r w:rsidRPr="00901AFA">
                <w:rPr>
                  <w:sz w:val="22"/>
                  <w:szCs w:val="22"/>
                </w:rPr>
                <w:delText>End</w:delText>
              </w:r>
              <w:r>
                <w:rPr>
                  <w:sz w:val="22"/>
                  <w:szCs w:val="22"/>
                </w:rPr>
                <w:delText>e</w:delText>
              </w:r>
              <w:r w:rsidRPr="00901AFA">
                <w:rPr>
                  <w:sz w:val="22"/>
                  <w:szCs w:val="22"/>
                </w:rPr>
                <w:delText>p</w:delText>
              </w:r>
              <w:r>
                <w:rPr>
                  <w:sz w:val="22"/>
                  <w:szCs w:val="22"/>
                </w:rPr>
                <w:delText>unkt</w:delText>
              </w:r>
            </w:del>
          </w:p>
        </w:tc>
        <w:tc>
          <w:tcPr>
            <w:tcW w:w="2340" w:type="dxa"/>
            <w:gridSpan w:val="2"/>
          </w:tcPr>
          <w:p w14:paraId="70CCD978" w14:textId="3C429AA8" w:rsidR="00E379A3" w:rsidRPr="00901AFA" w:rsidRDefault="00E453CD">
            <w:pPr>
              <w:keepNext/>
              <w:suppressAutoHyphens/>
              <w:rPr>
                <w:del w:id="8597" w:author="AbbVie02no" w:date="2025-05-15T13:45:00Z"/>
                <w:sz w:val="22"/>
                <w:szCs w:val="22"/>
              </w:rPr>
              <w:pPrChange w:id="8598" w:author="AbbVie02no" w:date="2025-05-15T13:45:00Z">
                <w:pPr>
                  <w:pStyle w:val="gtctablespaceafter"/>
                  <w:keepNext/>
                  <w:spacing w:after="0"/>
                  <w:jc w:val="center"/>
                </w:pPr>
              </w:pPrChange>
            </w:pPr>
            <w:del w:id="8599" w:author="AbbVie02no" w:date="2025-05-15T13:45:00Z">
              <w:r>
                <w:rPr>
                  <w:sz w:val="22"/>
                  <w:szCs w:val="22"/>
                </w:rPr>
                <w:delText>Uke</w:delText>
              </w:r>
              <w:r w:rsidRPr="00901AFA">
                <w:rPr>
                  <w:sz w:val="22"/>
                  <w:szCs w:val="22"/>
                </w:rPr>
                <w:delText xml:space="preserve"> 16</w:delText>
              </w:r>
            </w:del>
          </w:p>
          <w:p w14:paraId="7DBFBD3D" w14:textId="4B32204D" w:rsidR="00E379A3" w:rsidRPr="00901AFA" w:rsidRDefault="00E453CD">
            <w:pPr>
              <w:keepNext/>
              <w:suppressAutoHyphens/>
              <w:rPr>
                <w:del w:id="8600" w:author="AbbVie02no" w:date="2025-05-15T13:45:00Z"/>
                <w:sz w:val="22"/>
                <w:szCs w:val="22"/>
              </w:rPr>
              <w:pPrChange w:id="8601" w:author="AbbVie02no" w:date="2025-05-15T13:45:00Z">
                <w:pPr>
                  <w:pStyle w:val="gtctablespaceafter"/>
                  <w:keepNext/>
                  <w:spacing w:after="0"/>
                  <w:jc w:val="center"/>
                </w:pPr>
              </w:pPrChange>
            </w:pPr>
            <w:del w:id="8602" w:author="AbbVie02no" w:date="2025-05-15T13:45:00Z">
              <w:r w:rsidRPr="00901AFA">
                <w:rPr>
                  <w:sz w:val="22"/>
                  <w:szCs w:val="22"/>
                </w:rPr>
                <w:delText>Placebo</w:delText>
              </w:r>
              <w:r>
                <w:rPr>
                  <w:sz w:val="22"/>
                  <w:szCs w:val="22"/>
                </w:rPr>
                <w:delText>kontrollert</w:delText>
              </w:r>
            </w:del>
          </w:p>
        </w:tc>
        <w:tc>
          <w:tcPr>
            <w:tcW w:w="2250" w:type="dxa"/>
            <w:gridSpan w:val="2"/>
          </w:tcPr>
          <w:p w14:paraId="3FCBB5AF" w14:textId="2659A6C3" w:rsidR="00E379A3" w:rsidRPr="00901AFA" w:rsidRDefault="00E453CD">
            <w:pPr>
              <w:keepNext/>
              <w:suppressAutoHyphens/>
              <w:rPr>
                <w:del w:id="8603" w:author="AbbVie02no" w:date="2025-05-15T13:45:00Z"/>
                <w:sz w:val="22"/>
                <w:szCs w:val="22"/>
              </w:rPr>
              <w:pPrChange w:id="8604" w:author="AbbVie02no" w:date="2025-05-15T13:45:00Z">
                <w:pPr>
                  <w:pStyle w:val="gtctablespaceafter"/>
                  <w:keepNext/>
                  <w:spacing w:after="0"/>
                  <w:jc w:val="center"/>
                </w:pPr>
              </w:pPrChange>
            </w:pPr>
            <w:del w:id="8605" w:author="AbbVie02no" w:date="2025-05-15T13:45:00Z">
              <w:r>
                <w:rPr>
                  <w:sz w:val="22"/>
                  <w:szCs w:val="22"/>
                </w:rPr>
                <w:delText>Uke</w:delText>
              </w:r>
              <w:r w:rsidRPr="00901AFA">
                <w:rPr>
                  <w:sz w:val="22"/>
                  <w:szCs w:val="22"/>
                </w:rPr>
                <w:delText xml:space="preserve"> 26</w:delText>
              </w:r>
            </w:del>
          </w:p>
          <w:p w14:paraId="0505E367" w14:textId="3F176C6E" w:rsidR="00E379A3" w:rsidRPr="00901AFA" w:rsidRDefault="00E453CD">
            <w:pPr>
              <w:keepNext/>
              <w:suppressAutoHyphens/>
              <w:rPr>
                <w:del w:id="8606" w:author="AbbVie02no" w:date="2025-05-15T13:45:00Z"/>
                <w:sz w:val="22"/>
                <w:szCs w:val="22"/>
              </w:rPr>
              <w:pPrChange w:id="8607" w:author="AbbVie02no" w:date="2025-05-15T13:45:00Z">
                <w:pPr>
                  <w:pStyle w:val="gtctablespaceafter"/>
                  <w:keepNext/>
                  <w:spacing w:after="0"/>
                  <w:jc w:val="center"/>
                </w:pPr>
              </w:pPrChange>
            </w:pPr>
            <w:del w:id="8608" w:author="AbbVie02no" w:date="2025-05-15T13:45:00Z">
              <w:r w:rsidRPr="00901AFA">
                <w:rPr>
                  <w:sz w:val="22"/>
                  <w:szCs w:val="22"/>
                </w:rPr>
                <w:delText>Placebo</w:delText>
              </w:r>
              <w:r>
                <w:rPr>
                  <w:sz w:val="22"/>
                  <w:szCs w:val="22"/>
                </w:rPr>
                <w:delText>kontrollert</w:delText>
              </w:r>
            </w:del>
          </w:p>
        </w:tc>
        <w:tc>
          <w:tcPr>
            <w:tcW w:w="2268" w:type="dxa"/>
          </w:tcPr>
          <w:p w14:paraId="4DF19E50" w14:textId="43D358EA" w:rsidR="00E379A3" w:rsidRPr="00901AFA" w:rsidRDefault="00E453CD">
            <w:pPr>
              <w:keepNext/>
              <w:suppressAutoHyphens/>
              <w:rPr>
                <w:del w:id="8609" w:author="AbbVie02no" w:date="2025-05-15T13:45:00Z"/>
                <w:sz w:val="22"/>
                <w:szCs w:val="22"/>
              </w:rPr>
              <w:pPrChange w:id="8610" w:author="AbbVie02no" w:date="2025-05-15T13:45:00Z">
                <w:pPr>
                  <w:pStyle w:val="gtctablespaceafter"/>
                  <w:keepNext/>
                  <w:spacing w:after="0"/>
                  <w:jc w:val="center"/>
                </w:pPr>
              </w:pPrChange>
            </w:pPr>
            <w:del w:id="8611" w:author="AbbVie02no" w:date="2025-05-15T13:45:00Z">
              <w:r>
                <w:rPr>
                  <w:sz w:val="22"/>
                  <w:szCs w:val="22"/>
                </w:rPr>
                <w:delText>Uke</w:delText>
              </w:r>
              <w:r w:rsidRPr="00901AFA">
                <w:rPr>
                  <w:sz w:val="22"/>
                  <w:szCs w:val="22"/>
                </w:rPr>
                <w:delText xml:space="preserve"> 52</w:delText>
              </w:r>
            </w:del>
          </w:p>
          <w:p w14:paraId="4953503C" w14:textId="0B854606" w:rsidR="00E379A3" w:rsidRPr="00901AFA" w:rsidRDefault="00E453CD">
            <w:pPr>
              <w:keepNext/>
              <w:suppressAutoHyphens/>
              <w:rPr>
                <w:del w:id="8612" w:author="AbbVie02no" w:date="2025-05-15T13:45:00Z"/>
                <w:sz w:val="22"/>
                <w:szCs w:val="22"/>
              </w:rPr>
              <w:pPrChange w:id="8613" w:author="AbbVie02no" w:date="2025-05-15T13:45:00Z">
                <w:pPr>
                  <w:pStyle w:val="gtctablespaceafter"/>
                  <w:keepNext/>
                  <w:spacing w:after="0"/>
                  <w:jc w:val="center"/>
                </w:pPr>
              </w:pPrChange>
            </w:pPr>
            <w:del w:id="8614" w:author="AbbVie02no" w:date="2025-05-15T13:45:00Z">
              <w:r>
                <w:rPr>
                  <w:sz w:val="22"/>
                  <w:szCs w:val="22"/>
                </w:rPr>
                <w:delText>Åpen studie</w:delText>
              </w:r>
            </w:del>
          </w:p>
        </w:tc>
      </w:tr>
      <w:tr w:rsidR="004644D4" w14:paraId="22432371" w14:textId="195DE596" w:rsidTr="00F43D01">
        <w:trPr>
          <w:del w:id="8615" w:author="AbbVie02no" w:date="2025-05-15T13:45:00Z"/>
        </w:trPr>
        <w:tc>
          <w:tcPr>
            <w:tcW w:w="2718" w:type="dxa"/>
            <w:vMerge/>
          </w:tcPr>
          <w:p w14:paraId="7275A109" w14:textId="1DB70E5C" w:rsidR="00E379A3" w:rsidRPr="00901AFA" w:rsidRDefault="00E379A3">
            <w:pPr>
              <w:keepNext/>
              <w:suppressAutoHyphens/>
              <w:rPr>
                <w:del w:id="8616" w:author="AbbVie02no" w:date="2025-05-15T13:45:00Z"/>
                <w:sz w:val="22"/>
                <w:szCs w:val="22"/>
              </w:rPr>
              <w:pPrChange w:id="8617" w:author="AbbVie02no" w:date="2025-05-15T13:45:00Z">
                <w:pPr>
                  <w:pStyle w:val="gtctablespaceafter"/>
                  <w:keepNext/>
                  <w:spacing w:after="0"/>
                </w:pPr>
              </w:pPrChange>
            </w:pPr>
          </w:p>
        </w:tc>
        <w:tc>
          <w:tcPr>
            <w:tcW w:w="1080" w:type="dxa"/>
          </w:tcPr>
          <w:p w14:paraId="25AFB86D" w14:textId="53315A95" w:rsidR="00E379A3" w:rsidRPr="00901AFA" w:rsidRDefault="00E453CD">
            <w:pPr>
              <w:keepNext/>
              <w:suppressAutoHyphens/>
              <w:rPr>
                <w:del w:id="8618" w:author="AbbVie02no" w:date="2025-05-15T13:45:00Z"/>
                <w:sz w:val="22"/>
                <w:szCs w:val="22"/>
              </w:rPr>
              <w:pPrChange w:id="8619" w:author="AbbVie02no" w:date="2025-05-15T13:45:00Z">
                <w:pPr>
                  <w:pStyle w:val="gtctablespaceafter"/>
                  <w:keepNext/>
                  <w:spacing w:after="0"/>
                  <w:jc w:val="center"/>
                </w:pPr>
              </w:pPrChange>
            </w:pPr>
            <w:del w:id="8620" w:author="AbbVie02no" w:date="2025-05-15T13:45:00Z">
              <w:r w:rsidRPr="00901AFA">
                <w:rPr>
                  <w:sz w:val="22"/>
                </w:rPr>
                <w:delText>Placebo</w:delText>
              </w:r>
              <w:r w:rsidRPr="00901AFA">
                <w:rPr>
                  <w:sz w:val="22"/>
                </w:rPr>
                <w:br/>
                <w:delText>N=108</w:delText>
              </w:r>
            </w:del>
          </w:p>
        </w:tc>
        <w:tc>
          <w:tcPr>
            <w:tcW w:w="1260" w:type="dxa"/>
          </w:tcPr>
          <w:p w14:paraId="614305A3" w14:textId="167D02E8" w:rsidR="00E379A3" w:rsidRPr="007A3AEF" w:rsidRDefault="00E453CD">
            <w:pPr>
              <w:keepNext/>
              <w:suppressAutoHyphens/>
              <w:rPr>
                <w:del w:id="8621" w:author="AbbVie02no" w:date="2025-05-15T13:45:00Z"/>
                <w:sz w:val="22"/>
              </w:rPr>
              <w:pPrChange w:id="8622" w:author="AbbVie02no" w:date="2025-05-15T13:45:00Z">
                <w:pPr>
                  <w:pStyle w:val="In-texttable"/>
                  <w:spacing w:line="240" w:lineRule="auto"/>
                  <w:jc w:val="center"/>
                </w:pPr>
              </w:pPrChange>
            </w:pPr>
            <w:del w:id="8623" w:author="AbbVie02no" w:date="2025-05-15T13:45:00Z">
              <w:r w:rsidRPr="007A3AEF">
                <w:rPr>
                  <w:sz w:val="22"/>
                </w:rPr>
                <w:delText>Humira</w:delText>
              </w:r>
            </w:del>
          </w:p>
          <w:p w14:paraId="633C2876" w14:textId="7A2554F4" w:rsidR="00E379A3" w:rsidRPr="007A3AEF" w:rsidRDefault="00E453CD">
            <w:pPr>
              <w:keepNext/>
              <w:suppressAutoHyphens/>
              <w:rPr>
                <w:del w:id="8624" w:author="AbbVie02no" w:date="2025-05-15T13:45:00Z"/>
                <w:sz w:val="22"/>
                <w:szCs w:val="22"/>
              </w:rPr>
              <w:pPrChange w:id="8625" w:author="AbbVie02no" w:date="2025-05-15T13:45:00Z">
                <w:pPr>
                  <w:pStyle w:val="gtctablespaceafter"/>
                  <w:keepNext/>
                  <w:spacing w:after="0"/>
                  <w:jc w:val="center"/>
                </w:pPr>
              </w:pPrChange>
            </w:pPr>
            <w:del w:id="8626" w:author="AbbVie02no" w:date="2025-05-15T13:45:00Z">
              <w:r w:rsidRPr="007A3AEF">
                <w:rPr>
                  <w:sz w:val="22"/>
                </w:rPr>
                <w:delText xml:space="preserve">40 mg annenhver uke </w:delText>
              </w:r>
              <w:r w:rsidRPr="007A3AEF">
                <w:rPr>
                  <w:sz w:val="22"/>
                </w:rPr>
                <w:br/>
                <w:delText>N=109</w:delText>
              </w:r>
            </w:del>
          </w:p>
        </w:tc>
        <w:tc>
          <w:tcPr>
            <w:tcW w:w="990" w:type="dxa"/>
          </w:tcPr>
          <w:p w14:paraId="15E92670" w14:textId="776910AA" w:rsidR="00E379A3" w:rsidRPr="00901AFA" w:rsidRDefault="00E453CD">
            <w:pPr>
              <w:keepNext/>
              <w:suppressAutoHyphens/>
              <w:rPr>
                <w:del w:id="8627" w:author="AbbVie02no" w:date="2025-05-15T13:45:00Z"/>
                <w:sz w:val="22"/>
                <w:szCs w:val="22"/>
              </w:rPr>
              <w:pPrChange w:id="8628" w:author="AbbVie02no" w:date="2025-05-15T13:45:00Z">
                <w:pPr>
                  <w:pStyle w:val="gtctablespaceafter"/>
                  <w:keepNext/>
                  <w:spacing w:after="0"/>
                  <w:jc w:val="center"/>
                </w:pPr>
              </w:pPrChange>
            </w:pPr>
            <w:del w:id="8629" w:author="AbbVie02no" w:date="2025-05-15T13:45:00Z">
              <w:r w:rsidRPr="00901AFA">
                <w:rPr>
                  <w:sz w:val="22"/>
                </w:rPr>
                <w:delText>Placebo</w:delText>
              </w:r>
              <w:r w:rsidRPr="00901AFA">
                <w:rPr>
                  <w:sz w:val="22"/>
                </w:rPr>
                <w:br/>
                <w:delText>N=108</w:delText>
              </w:r>
            </w:del>
          </w:p>
        </w:tc>
        <w:tc>
          <w:tcPr>
            <w:tcW w:w="1260" w:type="dxa"/>
          </w:tcPr>
          <w:p w14:paraId="2C745BEC" w14:textId="6F4CE140" w:rsidR="00E379A3" w:rsidRPr="007A3AEF" w:rsidRDefault="00E453CD">
            <w:pPr>
              <w:keepNext/>
              <w:suppressAutoHyphens/>
              <w:rPr>
                <w:del w:id="8630" w:author="AbbVie02no" w:date="2025-05-15T13:45:00Z"/>
                <w:sz w:val="22"/>
              </w:rPr>
              <w:pPrChange w:id="8631" w:author="AbbVie02no" w:date="2025-05-15T13:45:00Z">
                <w:pPr>
                  <w:pStyle w:val="In-texttable"/>
                  <w:spacing w:line="240" w:lineRule="auto"/>
                  <w:jc w:val="center"/>
                </w:pPr>
              </w:pPrChange>
            </w:pPr>
            <w:del w:id="8632" w:author="AbbVie02no" w:date="2025-05-15T13:45:00Z">
              <w:r w:rsidRPr="007A3AEF">
                <w:rPr>
                  <w:sz w:val="22"/>
                </w:rPr>
                <w:delText>Humira</w:delText>
              </w:r>
            </w:del>
          </w:p>
          <w:p w14:paraId="06F74049" w14:textId="4C9F0CDB" w:rsidR="00E379A3" w:rsidRPr="007A3AEF" w:rsidRDefault="00E453CD">
            <w:pPr>
              <w:keepNext/>
              <w:suppressAutoHyphens/>
              <w:rPr>
                <w:del w:id="8633" w:author="AbbVie02no" w:date="2025-05-15T13:45:00Z"/>
                <w:sz w:val="22"/>
                <w:szCs w:val="22"/>
              </w:rPr>
              <w:pPrChange w:id="8634" w:author="AbbVie02no" w:date="2025-05-15T13:45:00Z">
                <w:pPr>
                  <w:pStyle w:val="gtctablespaceafter"/>
                  <w:keepNext/>
                  <w:spacing w:after="0"/>
                  <w:jc w:val="center"/>
                </w:pPr>
              </w:pPrChange>
            </w:pPr>
            <w:del w:id="8635" w:author="AbbVie02no" w:date="2025-05-15T13:45:00Z">
              <w:r w:rsidRPr="007A3AEF">
                <w:rPr>
                  <w:sz w:val="22"/>
                </w:rPr>
                <w:delText xml:space="preserve">40 mg annenhver uke </w:delText>
              </w:r>
              <w:r w:rsidRPr="007A3AEF">
                <w:rPr>
                  <w:sz w:val="22"/>
                </w:rPr>
                <w:br/>
                <w:delText>N=109</w:delText>
              </w:r>
            </w:del>
          </w:p>
        </w:tc>
        <w:tc>
          <w:tcPr>
            <w:tcW w:w="2268" w:type="dxa"/>
          </w:tcPr>
          <w:p w14:paraId="5669D1F0" w14:textId="4C7B1296" w:rsidR="00E379A3" w:rsidRPr="007A3AEF" w:rsidRDefault="00E453CD">
            <w:pPr>
              <w:keepNext/>
              <w:suppressAutoHyphens/>
              <w:rPr>
                <w:del w:id="8636" w:author="AbbVie02no" w:date="2025-05-15T13:45:00Z"/>
                <w:sz w:val="22"/>
              </w:rPr>
              <w:pPrChange w:id="8637" w:author="AbbVie02no" w:date="2025-05-15T13:45:00Z">
                <w:pPr>
                  <w:pStyle w:val="In-texttable"/>
                  <w:spacing w:line="240" w:lineRule="auto"/>
                  <w:jc w:val="center"/>
                </w:pPr>
              </w:pPrChange>
            </w:pPr>
            <w:del w:id="8638" w:author="AbbVie02no" w:date="2025-05-15T13:45:00Z">
              <w:r w:rsidRPr="007A3AEF">
                <w:rPr>
                  <w:sz w:val="22"/>
                </w:rPr>
                <w:delText>Humira</w:delText>
              </w:r>
            </w:del>
          </w:p>
          <w:p w14:paraId="34A7BE7A" w14:textId="0CD66E9B" w:rsidR="00E379A3" w:rsidRPr="007A3AEF" w:rsidRDefault="00E453CD">
            <w:pPr>
              <w:keepNext/>
              <w:suppressAutoHyphens/>
              <w:rPr>
                <w:del w:id="8639" w:author="AbbVie02no" w:date="2025-05-15T13:45:00Z"/>
                <w:sz w:val="22"/>
                <w:szCs w:val="22"/>
              </w:rPr>
              <w:pPrChange w:id="8640" w:author="AbbVie02no" w:date="2025-05-15T13:45:00Z">
                <w:pPr>
                  <w:pStyle w:val="gtctablespaceafter"/>
                  <w:keepNext/>
                  <w:spacing w:after="0"/>
                  <w:jc w:val="center"/>
                </w:pPr>
              </w:pPrChange>
            </w:pPr>
            <w:del w:id="8641" w:author="AbbVie02no" w:date="2025-05-15T13:45:00Z">
              <w:r w:rsidRPr="007A3AEF">
                <w:rPr>
                  <w:sz w:val="22"/>
                </w:rPr>
                <w:delText xml:space="preserve">40 mg annenhver uke </w:delText>
              </w:r>
              <w:r w:rsidRPr="007A3AEF">
                <w:rPr>
                  <w:sz w:val="22"/>
                </w:rPr>
                <w:br/>
                <w:delText>N=80</w:delText>
              </w:r>
            </w:del>
          </w:p>
        </w:tc>
      </w:tr>
      <w:tr w:rsidR="004644D4" w14:paraId="12C7E1D2" w14:textId="1E64AB86" w:rsidTr="00F43D01">
        <w:trPr>
          <w:del w:id="8642" w:author="AbbVie02no" w:date="2025-05-15T13:45:00Z"/>
        </w:trPr>
        <w:tc>
          <w:tcPr>
            <w:tcW w:w="2718" w:type="dxa"/>
          </w:tcPr>
          <w:p w14:paraId="04B366B8" w14:textId="4848B811" w:rsidR="00E379A3" w:rsidRPr="00901AFA" w:rsidRDefault="00E453CD">
            <w:pPr>
              <w:keepNext/>
              <w:suppressAutoHyphens/>
              <w:rPr>
                <w:del w:id="8643" w:author="AbbVie02no" w:date="2025-05-15T13:45:00Z"/>
                <w:sz w:val="22"/>
                <w:szCs w:val="22"/>
              </w:rPr>
              <w:pPrChange w:id="8644" w:author="AbbVie02no" w:date="2025-05-15T13:45:00Z">
                <w:pPr>
                  <w:pStyle w:val="gtctablespaceafter"/>
                  <w:keepNext/>
                  <w:spacing w:after="0"/>
                </w:pPr>
              </w:pPrChange>
            </w:pPr>
            <w:del w:id="8645" w:author="AbbVie02no" w:date="2025-05-15T13:45:00Z">
              <w:r w:rsidRPr="00901AFA">
                <w:rPr>
                  <w:sz w:val="22"/>
                </w:rPr>
                <w:delText>≥ mNAPSI 75 (%)</w:delText>
              </w:r>
            </w:del>
          </w:p>
        </w:tc>
        <w:tc>
          <w:tcPr>
            <w:tcW w:w="1080" w:type="dxa"/>
          </w:tcPr>
          <w:p w14:paraId="71784AF3" w14:textId="7C709ABA" w:rsidR="00E379A3" w:rsidRPr="00901AFA" w:rsidRDefault="00E453CD">
            <w:pPr>
              <w:keepNext/>
              <w:suppressAutoHyphens/>
              <w:rPr>
                <w:del w:id="8646" w:author="AbbVie02no" w:date="2025-05-15T13:45:00Z"/>
                <w:sz w:val="22"/>
                <w:szCs w:val="22"/>
              </w:rPr>
              <w:pPrChange w:id="8647" w:author="AbbVie02no" w:date="2025-05-15T13:45:00Z">
                <w:pPr>
                  <w:pStyle w:val="gtctablespaceafter"/>
                  <w:keepNext/>
                  <w:spacing w:after="0"/>
                  <w:jc w:val="center"/>
                </w:pPr>
              </w:pPrChange>
            </w:pPr>
            <w:del w:id="8648" w:author="AbbVie02no" w:date="2025-05-15T13:45:00Z">
              <w:r w:rsidRPr="00901AFA">
                <w:rPr>
                  <w:sz w:val="22"/>
                  <w:szCs w:val="22"/>
                </w:rPr>
                <w:delText>2</w:delText>
              </w:r>
              <w:r>
                <w:rPr>
                  <w:sz w:val="22"/>
                  <w:szCs w:val="22"/>
                </w:rPr>
                <w:delText>,</w:delText>
              </w:r>
              <w:r w:rsidRPr="00901AFA">
                <w:rPr>
                  <w:sz w:val="22"/>
                  <w:szCs w:val="22"/>
                </w:rPr>
                <w:delText>9</w:delText>
              </w:r>
            </w:del>
          </w:p>
        </w:tc>
        <w:tc>
          <w:tcPr>
            <w:tcW w:w="1260" w:type="dxa"/>
          </w:tcPr>
          <w:p w14:paraId="2EE04FA1" w14:textId="0AF96768" w:rsidR="00E379A3" w:rsidRPr="00901AFA" w:rsidRDefault="00E453CD">
            <w:pPr>
              <w:keepNext/>
              <w:suppressAutoHyphens/>
              <w:rPr>
                <w:del w:id="8649" w:author="AbbVie02no" w:date="2025-05-15T13:45:00Z"/>
                <w:sz w:val="22"/>
                <w:szCs w:val="22"/>
              </w:rPr>
              <w:pPrChange w:id="8650" w:author="AbbVie02no" w:date="2025-05-15T13:45:00Z">
                <w:pPr>
                  <w:pStyle w:val="gtctablespaceafter"/>
                  <w:keepNext/>
                  <w:spacing w:after="0"/>
                  <w:jc w:val="center"/>
                </w:pPr>
              </w:pPrChange>
            </w:pPr>
            <w:del w:id="8651" w:author="AbbVie02no" w:date="2025-05-15T13:45:00Z">
              <w:r w:rsidRPr="00901AFA">
                <w:rPr>
                  <w:sz w:val="22"/>
                  <w:szCs w:val="22"/>
                </w:rPr>
                <w:delText>26</w:delText>
              </w:r>
              <w:r>
                <w:rPr>
                  <w:sz w:val="22"/>
                  <w:szCs w:val="22"/>
                </w:rPr>
                <w:delText>,</w:delText>
              </w:r>
              <w:r w:rsidRPr="00901AFA">
                <w:rPr>
                  <w:sz w:val="22"/>
                  <w:szCs w:val="22"/>
                </w:rPr>
                <w:delText>0</w:delText>
              </w:r>
              <w:r w:rsidRPr="00B752E2">
                <w:rPr>
                  <w:sz w:val="22"/>
                  <w:szCs w:val="22"/>
                  <w:vertAlign w:val="superscript"/>
                </w:rPr>
                <w:delText>a</w:delText>
              </w:r>
            </w:del>
          </w:p>
        </w:tc>
        <w:tc>
          <w:tcPr>
            <w:tcW w:w="990" w:type="dxa"/>
          </w:tcPr>
          <w:p w14:paraId="6E5B96FF" w14:textId="0BE0DF7E" w:rsidR="00E379A3" w:rsidRPr="00901AFA" w:rsidRDefault="00E453CD">
            <w:pPr>
              <w:keepNext/>
              <w:suppressAutoHyphens/>
              <w:rPr>
                <w:del w:id="8652" w:author="AbbVie02no" w:date="2025-05-15T13:45:00Z"/>
                <w:szCs w:val="22"/>
              </w:rPr>
              <w:pPrChange w:id="8653" w:author="AbbVie02no" w:date="2025-05-15T13:45:00Z">
                <w:pPr>
                  <w:keepNext/>
                  <w:jc w:val="center"/>
                </w:pPr>
              </w:pPrChange>
            </w:pPr>
            <w:del w:id="8654" w:author="AbbVie02no" w:date="2025-05-15T13:45:00Z">
              <w:r w:rsidRPr="00901AFA">
                <w:rPr>
                  <w:szCs w:val="22"/>
                </w:rPr>
                <w:delText>3</w:delText>
              </w:r>
              <w:r>
                <w:rPr>
                  <w:szCs w:val="22"/>
                </w:rPr>
                <w:delText>,</w:delText>
              </w:r>
              <w:r w:rsidRPr="00901AFA">
                <w:rPr>
                  <w:szCs w:val="22"/>
                </w:rPr>
                <w:delText>4</w:delText>
              </w:r>
            </w:del>
          </w:p>
        </w:tc>
        <w:tc>
          <w:tcPr>
            <w:tcW w:w="1260" w:type="dxa"/>
          </w:tcPr>
          <w:p w14:paraId="4ABCA7BA" w14:textId="46A67360" w:rsidR="00E379A3" w:rsidRPr="00901AFA" w:rsidRDefault="00E453CD">
            <w:pPr>
              <w:keepNext/>
              <w:suppressAutoHyphens/>
              <w:rPr>
                <w:del w:id="8655" w:author="AbbVie02no" w:date="2025-05-15T13:45:00Z"/>
                <w:szCs w:val="22"/>
              </w:rPr>
              <w:pPrChange w:id="8656" w:author="AbbVie02no" w:date="2025-05-15T13:45:00Z">
                <w:pPr>
                  <w:keepNext/>
                  <w:jc w:val="center"/>
                </w:pPr>
              </w:pPrChange>
            </w:pPr>
            <w:del w:id="8657" w:author="AbbVie02no" w:date="2025-05-15T13:45:00Z">
              <w:r w:rsidRPr="00901AFA">
                <w:rPr>
                  <w:szCs w:val="22"/>
                </w:rPr>
                <w:delText>46</w:delText>
              </w:r>
              <w:r>
                <w:rPr>
                  <w:szCs w:val="22"/>
                </w:rPr>
                <w:delText>,</w:delText>
              </w:r>
              <w:r w:rsidRPr="00901AFA">
                <w:rPr>
                  <w:szCs w:val="22"/>
                </w:rPr>
                <w:delText>6</w:delText>
              </w:r>
              <w:r w:rsidRPr="00901AFA">
                <w:rPr>
                  <w:szCs w:val="22"/>
                  <w:vertAlign w:val="superscript"/>
                </w:rPr>
                <w:delText>a</w:delText>
              </w:r>
            </w:del>
          </w:p>
        </w:tc>
        <w:tc>
          <w:tcPr>
            <w:tcW w:w="2268" w:type="dxa"/>
          </w:tcPr>
          <w:p w14:paraId="427B6469" w14:textId="10A82A1F" w:rsidR="00E379A3" w:rsidRPr="00901AFA" w:rsidRDefault="00E453CD">
            <w:pPr>
              <w:keepNext/>
              <w:suppressAutoHyphens/>
              <w:rPr>
                <w:del w:id="8658" w:author="AbbVie02no" w:date="2025-05-15T13:45:00Z"/>
                <w:sz w:val="22"/>
                <w:szCs w:val="22"/>
              </w:rPr>
              <w:pPrChange w:id="8659" w:author="AbbVie02no" w:date="2025-05-15T13:45:00Z">
                <w:pPr>
                  <w:pStyle w:val="gtctablespaceafter"/>
                  <w:keepNext/>
                  <w:spacing w:after="0"/>
                  <w:jc w:val="center"/>
                </w:pPr>
              </w:pPrChange>
            </w:pPr>
            <w:del w:id="8660" w:author="AbbVie02no" w:date="2025-05-15T13:45:00Z">
              <w:r w:rsidRPr="00901AFA">
                <w:rPr>
                  <w:sz w:val="22"/>
                  <w:szCs w:val="22"/>
                </w:rPr>
                <w:delText>65</w:delText>
              </w:r>
              <w:r>
                <w:rPr>
                  <w:sz w:val="22"/>
                  <w:szCs w:val="22"/>
                </w:rPr>
                <w:delText>,</w:delText>
              </w:r>
              <w:r w:rsidRPr="00901AFA">
                <w:rPr>
                  <w:sz w:val="22"/>
                  <w:szCs w:val="22"/>
                </w:rPr>
                <w:delText>0</w:delText>
              </w:r>
            </w:del>
          </w:p>
        </w:tc>
      </w:tr>
      <w:tr w:rsidR="004644D4" w14:paraId="79E16254" w14:textId="25AE470F" w:rsidTr="00F43D01">
        <w:trPr>
          <w:del w:id="8661" w:author="AbbVie02no" w:date="2025-05-15T13:45:00Z"/>
        </w:trPr>
        <w:tc>
          <w:tcPr>
            <w:tcW w:w="2718" w:type="dxa"/>
          </w:tcPr>
          <w:p w14:paraId="192EE851" w14:textId="259520A8" w:rsidR="00E379A3" w:rsidRPr="00FB0DDE" w:rsidRDefault="00E453CD">
            <w:pPr>
              <w:keepNext/>
              <w:suppressAutoHyphens/>
              <w:rPr>
                <w:del w:id="8662" w:author="AbbVie02no" w:date="2025-05-15T13:45:00Z"/>
                <w:sz w:val="22"/>
                <w:szCs w:val="22"/>
              </w:rPr>
              <w:pPrChange w:id="8663" w:author="AbbVie02no" w:date="2025-05-15T13:45:00Z">
                <w:pPr>
                  <w:pStyle w:val="gtctablespaceafter"/>
                  <w:keepNext/>
                  <w:spacing w:after="0"/>
                </w:pPr>
              </w:pPrChange>
            </w:pPr>
            <w:del w:id="8664" w:author="AbbVie02no" w:date="2025-05-15T13:45:00Z">
              <w:r w:rsidRPr="00FB0DDE">
                <w:rPr>
                  <w:sz w:val="22"/>
                  <w:szCs w:val="22"/>
                </w:rPr>
                <w:delText>PGA-F klar/minimal og  ≥</w:delText>
              </w:r>
              <w:r>
                <w:rPr>
                  <w:sz w:val="22"/>
                  <w:szCs w:val="22"/>
                </w:rPr>
                <w:delText xml:space="preserve"> </w:delText>
              </w:r>
              <w:r w:rsidRPr="00FB0DDE">
                <w:rPr>
                  <w:sz w:val="22"/>
                  <w:szCs w:val="22"/>
                </w:rPr>
                <w:delText>2-grad forbedring (%)</w:delText>
              </w:r>
            </w:del>
          </w:p>
        </w:tc>
        <w:tc>
          <w:tcPr>
            <w:tcW w:w="1080" w:type="dxa"/>
          </w:tcPr>
          <w:p w14:paraId="379339A7" w14:textId="6DDDA000" w:rsidR="00E379A3" w:rsidRPr="00901AFA" w:rsidRDefault="00E453CD">
            <w:pPr>
              <w:keepNext/>
              <w:suppressAutoHyphens/>
              <w:rPr>
                <w:del w:id="8665" w:author="AbbVie02no" w:date="2025-05-15T13:45:00Z"/>
                <w:sz w:val="22"/>
                <w:szCs w:val="22"/>
              </w:rPr>
              <w:pPrChange w:id="8666" w:author="AbbVie02no" w:date="2025-05-15T13:45:00Z">
                <w:pPr>
                  <w:pStyle w:val="gtctablespaceafter"/>
                  <w:keepNext/>
                  <w:spacing w:after="0"/>
                  <w:jc w:val="center"/>
                </w:pPr>
              </w:pPrChange>
            </w:pPr>
            <w:del w:id="8667" w:author="AbbVie02no" w:date="2025-05-15T13:45:00Z">
              <w:r w:rsidRPr="00901AFA">
                <w:rPr>
                  <w:sz w:val="22"/>
                  <w:szCs w:val="22"/>
                </w:rPr>
                <w:delText>2</w:delText>
              </w:r>
              <w:r>
                <w:rPr>
                  <w:sz w:val="22"/>
                  <w:szCs w:val="22"/>
                </w:rPr>
                <w:delText>,</w:delText>
              </w:r>
              <w:r w:rsidRPr="00901AFA">
                <w:rPr>
                  <w:sz w:val="22"/>
                  <w:szCs w:val="22"/>
                </w:rPr>
                <w:delText>9</w:delText>
              </w:r>
            </w:del>
          </w:p>
        </w:tc>
        <w:tc>
          <w:tcPr>
            <w:tcW w:w="1260" w:type="dxa"/>
          </w:tcPr>
          <w:p w14:paraId="2617876C" w14:textId="717FCED3" w:rsidR="00E379A3" w:rsidRPr="00901AFA" w:rsidRDefault="00E453CD">
            <w:pPr>
              <w:keepNext/>
              <w:suppressAutoHyphens/>
              <w:rPr>
                <w:del w:id="8668" w:author="AbbVie02no" w:date="2025-05-15T13:45:00Z"/>
                <w:sz w:val="22"/>
                <w:szCs w:val="22"/>
              </w:rPr>
              <w:pPrChange w:id="8669" w:author="AbbVie02no" w:date="2025-05-15T13:45:00Z">
                <w:pPr>
                  <w:pStyle w:val="gtctablespaceafter"/>
                  <w:keepNext/>
                  <w:spacing w:after="0"/>
                  <w:jc w:val="center"/>
                </w:pPr>
              </w:pPrChange>
            </w:pPr>
            <w:del w:id="8670" w:author="AbbVie02no" w:date="2025-05-15T13:45:00Z">
              <w:r w:rsidRPr="00901AFA">
                <w:rPr>
                  <w:sz w:val="22"/>
                  <w:szCs w:val="22"/>
                </w:rPr>
                <w:delText>29</w:delText>
              </w:r>
              <w:r>
                <w:rPr>
                  <w:sz w:val="22"/>
                  <w:szCs w:val="22"/>
                </w:rPr>
                <w:delText>,</w:delText>
              </w:r>
              <w:r w:rsidRPr="00901AFA">
                <w:rPr>
                  <w:sz w:val="22"/>
                  <w:szCs w:val="22"/>
                </w:rPr>
                <w:delText>7</w:delText>
              </w:r>
              <w:r w:rsidRPr="00901AFA">
                <w:rPr>
                  <w:sz w:val="22"/>
                  <w:szCs w:val="22"/>
                  <w:vertAlign w:val="superscript"/>
                </w:rPr>
                <w:delText>a</w:delText>
              </w:r>
            </w:del>
          </w:p>
        </w:tc>
        <w:tc>
          <w:tcPr>
            <w:tcW w:w="990" w:type="dxa"/>
          </w:tcPr>
          <w:p w14:paraId="6FB30636" w14:textId="6E883309" w:rsidR="00E379A3" w:rsidRPr="00901AFA" w:rsidRDefault="00E453CD">
            <w:pPr>
              <w:keepNext/>
              <w:suppressAutoHyphens/>
              <w:rPr>
                <w:del w:id="8671" w:author="AbbVie02no" w:date="2025-05-15T13:45:00Z"/>
                <w:szCs w:val="22"/>
              </w:rPr>
              <w:pPrChange w:id="8672" w:author="AbbVie02no" w:date="2025-05-15T13:45:00Z">
                <w:pPr>
                  <w:keepNext/>
                  <w:jc w:val="center"/>
                </w:pPr>
              </w:pPrChange>
            </w:pPr>
            <w:del w:id="8673" w:author="AbbVie02no" w:date="2025-05-15T13:45:00Z">
              <w:r w:rsidRPr="00901AFA">
                <w:rPr>
                  <w:szCs w:val="22"/>
                </w:rPr>
                <w:delText>6</w:delText>
              </w:r>
              <w:r>
                <w:rPr>
                  <w:szCs w:val="22"/>
                </w:rPr>
                <w:delText>,</w:delText>
              </w:r>
              <w:r w:rsidRPr="00901AFA">
                <w:rPr>
                  <w:szCs w:val="22"/>
                </w:rPr>
                <w:delText>9</w:delText>
              </w:r>
            </w:del>
          </w:p>
        </w:tc>
        <w:tc>
          <w:tcPr>
            <w:tcW w:w="1260" w:type="dxa"/>
          </w:tcPr>
          <w:p w14:paraId="42022680" w14:textId="7748C366" w:rsidR="00E379A3" w:rsidRPr="00901AFA" w:rsidRDefault="00E453CD">
            <w:pPr>
              <w:keepNext/>
              <w:suppressAutoHyphens/>
              <w:rPr>
                <w:del w:id="8674" w:author="AbbVie02no" w:date="2025-05-15T13:45:00Z"/>
                <w:szCs w:val="22"/>
              </w:rPr>
              <w:pPrChange w:id="8675" w:author="AbbVie02no" w:date="2025-05-15T13:45:00Z">
                <w:pPr>
                  <w:keepNext/>
                  <w:jc w:val="center"/>
                </w:pPr>
              </w:pPrChange>
            </w:pPr>
            <w:del w:id="8676" w:author="AbbVie02no" w:date="2025-05-15T13:45:00Z">
              <w:r w:rsidRPr="00901AFA">
                <w:rPr>
                  <w:szCs w:val="22"/>
                </w:rPr>
                <w:delText>48</w:delText>
              </w:r>
              <w:r>
                <w:rPr>
                  <w:szCs w:val="22"/>
                </w:rPr>
                <w:delText>,</w:delText>
              </w:r>
              <w:r w:rsidRPr="00901AFA">
                <w:rPr>
                  <w:szCs w:val="22"/>
                </w:rPr>
                <w:delText>9</w:delText>
              </w:r>
              <w:r w:rsidRPr="00901AFA">
                <w:rPr>
                  <w:szCs w:val="22"/>
                  <w:vertAlign w:val="superscript"/>
                </w:rPr>
                <w:delText>a</w:delText>
              </w:r>
            </w:del>
          </w:p>
        </w:tc>
        <w:tc>
          <w:tcPr>
            <w:tcW w:w="2268" w:type="dxa"/>
          </w:tcPr>
          <w:p w14:paraId="678BD118" w14:textId="67D9B2D3" w:rsidR="00E379A3" w:rsidRPr="00901AFA" w:rsidRDefault="00E453CD">
            <w:pPr>
              <w:keepNext/>
              <w:suppressAutoHyphens/>
              <w:rPr>
                <w:del w:id="8677" w:author="AbbVie02no" w:date="2025-05-15T13:45:00Z"/>
                <w:sz w:val="22"/>
                <w:szCs w:val="22"/>
              </w:rPr>
              <w:pPrChange w:id="8678" w:author="AbbVie02no" w:date="2025-05-15T13:45:00Z">
                <w:pPr>
                  <w:pStyle w:val="gtctablespaceafter"/>
                  <w:keepNext/>
                  <w:spacing w:after="0"/>
                  <w:jc w:val="center"/>
                </w:pPr>
              </w:pPrChange>
            </w:pPr>
            <w:del w:id="8679" w:author="AbbVie02no" w:date="2025-05-15T13:45:00Z">
              <w:r w:rsidRPr="00901AFA">
                <w:rPr>
                  <w:sz w:val="22"/>
                  <w:szCs w:val="22"/>
                </w:rPr>
                <w:delText>61</w:delText>
              </w:r>
              <w:r>
                <w:rPr>
                  <w:sz w:val="22"/>
                  <w:szCs w:val="22"/>
                </w:rPr>
                <w:delText>,</w:delText>
              </w:r>
              <w:r w:rsidRPr="00901AFA">
                <w:rPr>
                  <w:sz w:val="22"/>
                  <w:szCs w:val="22"/>
                </w:rPr>
                <w:delText>3</w:delText>
              </w:r>
            </w:del>
          </w:p>
        </w:tc>
      </w:tr>
      <w:tr w:rsidR="004644D4" w14:paraId="3CAD06AE" w14:textId="54635F6E" w:rsidTr="00F43D01">
        <w:trPr>
          <w:del w:id="8680" w:author="AbbVie02no" w:date="2025-05-15T13:45:00Z"/>
        </w:trPr>
        <w:tc>
          <w:tcPr>
            <w:tcW w:w="2718" w:type="dxa"/>
          </w:tcPr>
          <w:p w14:paraId="56861DD6" w14:textId="63408272" w:rsidR="00E379A3" w:rsidRPr="00FB0DDE" w:rsidRDefault="00E453CD">
            <w:pPr>
              <w:keepNext/>
              <w:suppressAutoHyphens/>
              <w:rPr>
                <w:del w:id="8681" w:author="AbbVie02no" w:date="2025-05-15T13:45:00Z"/>
                <w:sz w:val="22"/>
                <w:szCs w:val="22"/>
              </w:rPr>
              <w:pPrChange w:id="8682" w:author="AbbVie02no" w:date="2025-05-15T13:45:00Z">
                <w:pPr>
                  <w:pStyle w:val="gtctablespaceafter"/>
                  <w:keepNext/>
                  <w:spacing w:after="0"/>
                </w:pPr>
              </w:pPrChange>
            </w:pPr>
            <w:del w:id="8683" w:author="AbbVie02no" w:date="2025-05-15T13:45:00Z">
              <w:r w:rsidRPr="00FB0DDE">
                <w:rPr>
                  <w:sz w:val="22"/>
                  <w:szCs w:val="22"/>
                </w:rPr>
                <w:delText>Prosentvis endring i total fingernegl NAPSI (%)</w:delText>
              </w:r>
            </w:del>
          </w:p>
        </w:tc>
        <w:tc>
          <w:tcPr>
            <w:tcW w:w="1080" w:type="dxa"/>
          </w:tcPr>
          <w:p w14:paraId="7233752E" w14:textId="48DF1213" w:rsidR="00E379A3" w:rsidRPr="00901AFA" w:rsidRDefault="00E453CD">
            <w:pPr>
              <w:keepNext/>
              <w:suppressAutoHyphens/>
              <w:rPr>
                <w:del w:id="8684" w:author="AbbVie02no" w:date="2025-05-15T13:45:00Z"/>
                <w:sz w:val="22"/>
                <w:szCs w:val="22"/>
              </w:rPr>
              <w:pPrChange w:id="8685" w:author="AbbVie02no" w:date="2025-05-15T13:45:00Z">
                <w:pPr>
                  <w:pStyle w:val="gtctablespaceafter"/>
                  <w:keepNext/>
                  <w:spacing w:after="0"/>
                  <w:jc w:val="center"/>
                </w:pPr>
              </w:pPrChange>
            </w:pPr>
            <w:del w:id="8686" w:author="AbbVie02no" w:date="2025-05-15T13:45:00Z">
              <w:r w:rsidRPr="00901AFA">
                <w:rPr>
                  <w:sz w:val="22"/>
                  <w:szCs w:val="22"/>
                </w:rPr>
                <w:delText>-7</w:delText>
              </w:r>
              <w:r>
                <w:rPr>
                  <w:sz w:val="22"/>
                  <w:szCs w:val="22"/>
                </w:rPr>
                <w:delText>,</w:delText>
              </w:r>
              <w:r w:rsidRPr="00901AFA">
                <w:rPr>
                  <w:sz w:val="22"/>
                  <w:szCs w:val="22"/>
                </w:rPr>
                <w:delText>8</w:delText>
              </w:r>
            </w:del>
          </w:p>
        </w:tc>
        <w:tc>
          <w:tcPr>
            <w:tcW w:w="1260" w:type="dxa"/>
          </w:tcPr>
          <w:p w14:paraId="3B2348C4" w14:textId="42D2D234" w:rsidR="00E379A3" w:rsidRPr="00901AFA" w:rsidRDefault="00E453CD">
            <w:pPr>
              <w:keepNext/>
              <w:suppressAutoHyphens/>
              <w:rPr>
                <w:del w:id="8687" w:author="AbbVie02no" w:date="2025-05-15T13:45:00Z"/>
                <w:sz w:val="22"/>
                <w:szCs w:val="22"/>
              </w:rPr>
              <w:pPrChange w:id="8688" w:author="AbbVie02no" w:date="2025-05-15T13:45:00Z">
                <w:pPr>
                  <w:pStyle w:val="gtctablespaceafter"/>
                  <w:keepNext/>
                  <w:spacing w:after="0"/>
                  <w:jc w:val="center"/>
                </w:pPr>
              </w:pPrChange>
            </w:pPr>
            <w:del w:id="8689" w:author="AbbVie02no" w:date="2025-05-15T13:45:00Z">
              <w:r w:rsidRPr="00901AFA">
                <w:rPr>
                  <w:sz w:val="22"/>
                  <w:szCs w:val="22"/>
                </w:rPr>
                <w:delText>-44</w:delText>
              </w:r>
              <w:r>
                <w:rPr>
                  <w:sz w:val="22"/>
                  <w:szCs w:val="22"/>
                </w:rPr>
                <w:delText>,</w:delText>
              </w:r>
              <w:r w:rsidRPr="00901AFA">
                <w:rPr>
                  <w:sz w:val="22"/>
                  <w:szCs w:val="22"/>
                </w:rPr>
                <w:delText>2</w:delText>
              </w:r>
              <w:r w:rsidRPr="00901AFA">
                <w:rPr>
                  <w:sz w:val="22"/>
                  <w:szCs w:val="22"/>
                  <w:vertAlign w:val="superscript"/>
                </w:rPr>
                <w:delText xml:space="preserve"> a</w:delText>
              </w:r>
            </w:del>
          </w:p>
        </w:tc>
        <w:tc>
          <w:tcPr>
            <w:tcW w:w="990" w:type="dxa"/>
          </w:tcPr>
          <w:p w14:paraId="53AB6623" w14:textId="609F5174" w:rsidR="00E379A3" w:rsidRPr="00901AFA" w:rsidRDefault="00E453CD">
            <w:pPr>
              <w:keepNext/>
              <w:suppressAutoHyphens/>
              <w:rPr>
                <w:del w:id="8690" w:author="AbbVie02no" w:date="2025-05-15T13:45:00Z"/>
                <w:szCs w:val="22"/>
              </w:rPr>
              <w:pPrChange w:id="8691" w:author="AbbVie02no" w:date="2025-05-15T13:45:00Z">
                <w:pPr>
                  <w:keepNext/>
                  <w:jc w:val="center"/>
                </w:pPr>
              </w:pPrChange>
            </w:pPr>
            <w:del w:id="8692" w:author="AbbVie02no" w:date="2025-05-15T13:45:00Z">
              <w:r w:rsidRPr="00901AFA">
                <w:rPr>
                  <w:szCs w:val="22"/>
                </w:rPr>
                <w:delText>-11</w:delText>
              </w:r>
              <w:r>
                <w:rPr>
                  <w:szCs w:val="22"/>
                </w:rPr>
                <w:delText>,</w:delText>
              </w:r>
              <w:r w:rsidRPr="00901AFA">
                <w:rPr>
                  <w:szCs w:val="22"/>
                </w:rPr>
                <w:delText>5</w:delText>
              </w:r>
            </w:del>
          </w:p>
        </w:tc>
        <w:tc>
          <w:tcPr>
            <w:tcW w:w="1260" w:type="dxa"/>
          </w:tcPr>
          <w:p w14:paraId="717A2BDF" w14:textId="1045CBB4" w:rsidR="00E379A3" w:rsidRPr="00901AFA" w:rsidRDefault="00E453CD">
            <w:pPr>
              <w:keepNext/>
              <w:suppressAutoHyphens/>
              <w:rPr>
                <w:del w:id="8693" w:author="AbbVie02no" w:date="2025-05-15T13:45:00Z"/>
                <w:szCs w:val="22"/>
              </w:rPr>
              <w:pPrChange w:id="8694" w:author="AbbVie02no" w:date="2025-05-15T13:45:00Z">
                <w:pPr>
                  <w:keepNext/>
                  <w:jc w:val="center"/>
                </w:pPr>
              </w:pPrChange>
            </w:pPr>
            <w:del w:id="8695" w:author="AbbVie02no" w:date="2025-05-15T13:45:00Z">
              <w:r w:rsidRPr="00901AFA">
                <w:rPr>
                  <w:szCs w:val="22"/>
                </w:rPr>
                <w:delText>-56</w:delText>
              </w:r>
              <w:r>
                <w:rPr>
                  <w:szCs w:val="22"/>
                </w:rPr>
                <w:delText>,</w:delText>
              </w:r>
              <w:r w:rsidRPr="00901AFA">
                <w:rPr>
                  <w:szCs w:val="22"/>
                </w:rPr>
                <w:delText>2</w:delText>
              </w:r>
              <w:r w:rsidRPr="00901AFA">
                <w:rPr>
                  <w:szCs w:val="22"/>
                  <w:vertAlign w:val="superscript"/>
                </w:rPr>
                <w:delText>a</w:delText>
              </w:r>
            </w:del>
          </w:p>
        </w:tc>
        <w:tc>
          <w:tcPr>
            <w:tcW w:w="2268" w:type="dxa"/>
          </w:tcPr>
          <w:p w14:paraId="76F1FE13" w14:textId="3473AA91" w:rsidR="00E379A3" w:rsidRPr="00901AFA" w:rsidRDefault="00E453CD">
            <w:pPr>
              <w:keepNext/>
              <w:suppressAutoHyphens/>
              <w:rPr>
                <w:del w:id="8696" w:author="AbbVie02no" w:date="2025-05-15T13:45:00Z"/>
                <w:sz w:val="22"/>
                <w:szCs w:val="22"/>
              </w:rPr>
              <w:pPrChange w:id="8697" w:author="AbbVie02no" w:date="2025-05-15T13:45:00Z">
                <w:pPr>
                  <w:pStyle w:val="gtctablespaceafter"/>
                  <w:keepNext/>
                  <w:spacing w:after="0"/>
                  <w:jc w:val="center"/>
                </w:pPr>
              </w:pPrChange>
            </w:pPr>
            <w:del w:id="8698" w:author="AbbVie02no" w:date="2025-05-15T13:45:00Z">
              <w:r w:rsidRPr="00901AFA">
                <w:rPr>
                  <w:sz w:val="22"/>
                  <w:szCs w:val="22"/>
                </w:rPr>
                <w:delText>-72</w:delText>
              </w:r>
              <w:r>
                <w:rPr>
                  <w:sz w:val="22"/>
                  <w:szCs w:val="22"/>
                </w:rPr>
                <w:delText>,</w:delText>
              </w:r>
              <w:r w:rsidRPr="00901AFA">
                <w:rPr>
                  <w:sz w:val="22"/>
                  <w:szCs w:val="22"/>
                </w:rPr>
                <w:delText>2</w:delText>
              </w:r>
            </w:del>
          </w:p>
        </w:tc>
      </w:tr>
      <w:tr w:rsidR="004644D4" w14:paraId="1835EF97" w14:textId="377C09F3" w:rsidTr="00F43D01">
        <w:trPr>
          <w:del w:id="8699" w:author="AbbVie02no" w:date="2025-05-15T13:45:00Z"/>
        </w:trPr>
        <w:tc>
          <w:tcPr>
            <w:tcW w:w="9576" w:type="dxa"/>
            <w:gridSpan w:val="6"/>
          </w:tcPr>
          <w:p w14:paraId="54E60AB7" w14:textId="6D8F8F5E" w:rsidR="00E379A3" w:rsidRPr="00E04B2A" w:rsidRDefault="00E453CD">
            <w:pPr>
              <w:keepNext/>
              <w:suppressAutoHyphens/>
              <w:rPr>
                <w:del w:id="8700" w:author="AbbVie02no" w:date="2025-05-15T13:45:00Z"/>
                <w:sz w:val="22"/>
                <w:szCs w:val="22"/>
                <w:lang w:val="pt-PT"/>
              </w:rPr>
              <w:pPrChange w:id="8701" w:author="AbbVie02no" w:date="2025-05-15T13:45:00Z">
                <w:pPr>
                  <w:pStyle w:val="gtctablespaceafter"/>
                  <w:keepNext/>
                  <w:spacing w:after="0"/>
                </w:pPr>
              </w:pPrChange>
            </w:pPr>
            <w:del w:id="8702" w:author="AbbVie02no" w:date="2025-05-15T13:45:00Z">
              <w:r w:rsidRPr="00E04B2A">
                <w:rPr>
                  <w:sz w:val="22"/>
                  <w:szCs w:val="22"/>
                  <w:vertAlign w:val="superscript"/>
                  <w:lang w:val="pt-PT"/>
                </w:rPr>
                <w:delText>a</w:delText>
              </w:r>
              <w:r w:rsidRPr="00E04B2A">
                <w:rPr>
                  <w:sz w:val="22"/>
                  <w:szCs w:val="22"/>
                  <w:lang w:val="pt-PT"/>
                </w:rPr>
                <w:delText xml:space="preserve"> p &lt; 0,001, Humira </w:delText>
              </w:r>
              <w:r w:rsidRPr="00E04B2A">
                <w:rPr>
                  <w:i/>
                  <w:sz w:val="22"/>
                  <w:szCs w:val="22"/>
                  <w:lang w:val="pt-PT"/>
                </w:rPr>
                <w:delText>vs.</w:delText>
              </w:r>
              <w:r w:rsidRPr="00E04B2A">
                <w:rPr>
                  <w:sz w:val="22"/>
                  <w:szCs w:val="22"/>
                  <w:lang w:val="pt-PT"/>
                </w:rPr>
                <w:delText xml:space="preserve"> placebo </w:delText>
              </w:r>
            </w:del>
          </w:p>
        </w:tc>
      </w:tr>
    </w:tbl>
    <w:p w14:paraId="683536EA" w14:textId="2C969269" w:rsidR="00E379A3" w:rsidRPr="00E04B2A" w:rsidRDefault="00E379A3">
      <w:pPr>
        <w:keepNext/>
        <w:suppressAutoHyphens/>
        <w:rPr>
          <w:del w:id="8703" w:author="AbbVie02no" w:date="2025-05-15T13:45:00Z"/>
          <w:sz w:val="22"/>
          <w:szCs w:val="22"/>
          <w:lang w:val="pt-PT"/>
        </w:rPr>
        <w:pPrChange w:id="8704" w:author="AbbVie02no" w:date="2025-05-15T13:45:00Z">
          <w:pPr/>
        </w:pPrChange>
      </w:pPr>
    </w:p>
    <w:p w14:paraId="5C889EA6" w14:textId="2F317155" w:rsidR="00E379A3" w:rsidRPr="009C5EFD" w:rsidRDefault="00E453CD">
      <w:pPr>
        <w:keepNext/>
        <w:suppressAutoHyphens/>
        <w:rPr>
          <w:del w:id="8705" w:author="AbbVie02no" w:date="2025-05-15T13:45:00Z"/>
          <w:sz w:val="22"/>
          <w:szCs w:val="22"/>
        </w:rPr>
        <w:pPrChange w:id="8706" w:author="AbbVie02no" w:date="2025-05-15T13:45:00Z">
          <w:pPr/>
        </w:pPrChange>
      </w:pPr>
      <w:del w:id="8707" w:author="AbbVie02no" w:date="2025-05-15T13:45:00Z">
        <w:r w:rsidRPr="00FB0DDE">
          <w:rPr>
            <w:sz w:val="22"/>
            <w:szCs w:val="22"/>
          </w:rPr>
          <w:delText>Pasienter behandlet med Humira viste ved uke 26</w:delText>
        </w:r>
        <w:r w:rsidRPr="00350661">
          <w:rPr>
            <w:sz w:val="22"/>
            <w:szCs w:val="22"/>
          </w:rPr>
          <w:delText xml:space="preserve"> </w:delText>
        </w:r>
        <w:r w:rsidRPr="00FB0DDE">
          <w:rPr>
            <w:sz w:val="22"/>
            <w:szCs w:val="22"/>
          </w:rPr>
          <w:delText>statistisk signifikant</w:delText>
        </w:r>
        <w:r>
          <w:rPr>
            <w:sz w:val="22"/>
            <w:szCs w:val="22"/>
          </w:rPr>
          <w:delText xml:space="preserve">e forbedringer sammenlignet med pasienter behandlet med </w:delText>
        </w:r>
        <w:r w:rsidRPr="00AD50BB">
          <w:rPr>
            <w:sz w:val="22"/>
            <w:szCs w:val="22"/>
          </w:rPr>
          <w:delText xml:space="preserve">placebo </w:delText>
        </w:r>
        <w:r w:rsidRPr="007A3AEF">
          <w:rPr>
            <w:sz w:val="22"/>
            <w:szCs w:val="22"/>
          </w:rPr>
          <w:delText>i DLQI.</w:delText>
        </w:r>
      </w:del>
    </w:p>
    <w:p w14:paraId="003B38E0" w14:textId="16D59F3A" w:rsidR="00913F1F" w:rsidRPr="009C5EFD" w:rsidRDefault="00913F1F">
      <w:pPr>
        <w:keepNext/>
        <w:suppressAutoHyphens/>
        <w:rPr>
          <w:del w:id="8708" w:author="AbbVie02no" w:date="2025-05-15T13:45:00Z"/>
          <w:sz w:val="22"/>
          <w:szCs w:val="22"/>
          <w:u w:val="single"/>
        </w:rPr>
        <w:pPrChange w:id="8709" w:author="AbbVie02no" w:date="2025-05-15T13:45:00Z">
          <w:pPr/>
        </w:pPrChange>
      </w:pPr>
    </w:p>
    <w:p w14:paraId="7B01926F" w14:textId="63381EE7" w:rsidR="00542916" w:rsidRPr="009C5EFD" w:rsidRDefault="00E453CD">
      <w:pPr>
        <w:keepNext/>
        <w:suppressAutoHyphens/>
        <w:rPr>
          <w:del w:id="8710" w:author="AbbVie02no" w:date="2025-05-15T13:45:00Z"/>
          <w:rFonts w:eastAsia="TimesNewRoman"/>
          <w:i/>
          <w:sz w:val="22"/>
          <w:szCs w:val="22"/>
        </w:rPr>
        <w:pPrChange w:id="8711" w:author="AbbVie02no" w:date="2025-05-15T13:45:00Z">
          <w:pPr>
            <w:keepNext/>
            <w:autoSpaceDE w:val="0"/>
            <w:autoSpaceDN w:val="0"/>
            <w:adjustRightInd w:val="0"/>
          </w:pPr>
        </w:pPrChange>
      </w:pPr>
      <w:del w:id="8712" w:author="AbbVie02no" w:date="2025-05-15T13:45:00Z">
        <w:r w:rsidRPr="009C5EFD">
          <w:rPr>
            <w:rFonts w:eastAsia="TimesNewRoman"/>
            <w:i/>
            <w:sz w:val="22"/>
            <w:szCs w:val="22"/>
          </w:rPr>
          <w:delText>Hidrosadenitt</w:delText>
        </w:r>
      </w:del>
    </w:p>
    <w:p w14:paraId="065B9AD9" w14:textId="7B066206" w:rsidR="00542916" w:rsidRPr="009C5EFD" w:rsidRDefault="00542916">
      <w:pPr>
        <w:keepNext/>
        <w:suppressAutoHyphens/>
        <w:rPr>
          <w:del w:id="8713" w:author="AbbVie02no" w:date="2025-05-15T13:45:00Z"/>
          <w:rFonts w:eastAsia="TimesNewRoman"/>
          <w:sz w:val="22"/>
          <w:szCs w:val="22"/>
        </w:rPr>
        <w:pPrChange w:id="8714" w:author="AbbVie02no" w:date="2025-05-15T13:45:00Z">
          <w:pPr>
            <w:keepNext/>
            <w:autoSpaceDE w:val="0"/>
            <w:autoSpaceDN w:val="0"/>
            <w:adjustRightInd w:val="0"/>
          </w:pPr>
        </w:pPrChange>
      </w:pPr>
    </w:p>
    <w:p w14:paraId="035035B3" w14:textId="20678AF6" w:rsidR="00542916" w:rsidRPr="009C5EFD" w:rsidRDefault="00E453CD">
      <w:pPr>
        <w:keepNext/>
        <w:suppressAutoHyphens/>
        <w:rPr>
          <w:del w:id="8715" w:author="AbbVie02no" w:date="2025-05-15T13:45:00Z"/>
          <w:rFonts w:eastAsia="TimesNewRoman"/>
          <w:sz w:val="22"/>
          <w:szCs w:val="22"/>
        </w:rPr>
        <w:pPrChange w:id="8716" w:author="AbbVie02no" w:date="2025-05-15T13:45:00Z">
          <w:pPr>
            <w:autoSpaceDE w:val="0"/>
            <w:autoSpaceDN w:val="0"/>
            <w:adjustRightInd w:val="0"/>
          </w:pPr>
        </w:pPrChange>
      </w:pPr>
      <w:del w:id="8717" w:author="AbbVie02no" w:date="2025-05-15T13:45:00Z">
        <w:r w:rsidRPr="009C5EFD">
          <w:rPr>
            <w:rFonts w:eastAsia="TimesNewRoman"/>
            <w:sz w:val="22"/>
            <w:szCs w:val="22"/>
          </w:rPr>
          <w:delText xml:space="preserve">Sikkerhet og effekt av Humira ble vurdert i randomiserte, dobbeltblinde, placebo-kontrollerte studier og en </w:delText>
        </w:r>
        <w:r w:rsidR="00F12AE5">
          <w:rPr>
            <w:rFonts w:eastAsia="TimesNewRoman"/>
            <w:sz w:val="22"/>
            <w:szCs w:val="22"/>
          </w:rPr>
          <w:delText>åpen</w:delText>
        </w:r>
        <w:r w:rsidRPr="009C5EFD">
          <w:rPr>
            <w:rFonts w:eastAsia="TimesNewRoman"/>
            <w:sz w:val="22"/>
            <w:szCs w:val="22"/>
          </w:rPr>
          <w:delText xml:space="preserve"> forlengelsesstudie hos voksne pasienter med moderat til alvorlig </w:delText>
        </w:r>
        <w:r w:rsidR="007F67EE" w:rsidRPr="009C5EFD">
          <w:rPr>
            <w:rFonts w:eastAsia="TimesNewRoman"/>
            <w:sz w:val="22"/>
            <w:szCs w:val="22"/>
          </w:rPr>
          <w:delText>hidrosadenitt</w:delText>
        </w:r>
        <w:r w:rsidRPr="009C5EFD">
          <w:rPr>
            <w:rFonts w:eastAsia="TimesNewRoman"/>
            <w:sz w:val="22"/>
            <w:szCs w:val="22"/>
          </w:rPr>
          <w:delText xml:space="preserve"> (HS) som var intolerante, hadde en kontraindikasjon eller en utilstrekkelig respons </w:delText>
        </w:r>
        <w:r w:rsidR="00F12AE5">
          <w:rPr>
            <w:rFonts w:eastAsia="TimesNewRoman"/>
            <w:sz w:val="22"/>
            <w:szCs w:val="22"/>
          </w:rPr>
          <w:delText>over</w:delText>
        </w:r>
        <w:r w:rsidRPr="009C5EFD">
          <w:rPr>
            <w:rFonts w:eastAsia="TimesNewRoman"/>
            <w:sz w:val="22"/>
            <w:szCs w:val="22"/>
          </w:rPr>
          <w:delText xml:space="preserve"> minst en tre måneders </w:delText>
        </w:r>
        <w:r w:rsidR="006528F9">
          <w:rPr>
            <w:rFonts w:eastAsia="TimesNewRoman"/>
            <w:sz w:val="22"/>
            <w:szCs w:val="22"/>
          </w:rPr>
          <w:delText>behandlingsperiode</w:delText>
        </w:r>
        <w:r w:rsidR="006528F9" w:rsidRPr="009C5EFD">
          <w:rPr>
            <w:rFonts w:eastAsia="TimesNewRoman"/>
            <w:sz w:val="22"/>
            <w:szCs w:val="22"/>
          </w:rPr>
          <w:delText xml:space="preserve"> </w:delText>
        </w:r>
        <w:r w:rsidR="006528F9">
          <w:rPr>
            <w:rFonts w:eastAsia="TimesNewRoman"/>
            <w:sz w:val="22"/>
            <w:szCs w:val="22"/>
          </w:rPr>
          <w:delText xml:space="preserve">med </w:delText>
        </w:r>
        <w:r w:rsidRPr="009C5EFD">
          <w:rPr>
            <w:rFonts w:eastAsia="TimesNewRoman"/>
            <w:sz w:val="22"/>
            <w:szCs w:val="22"/>
          </w:rPr>
          <w:delText>systemisk antibiotikabehandling. Pasientene i HS-I og HS-II hadde sykdomsgrad «Hurley Stage» II eller III med minst 3 abscesser eller inflammatoriske knuter/byller.</w:delText>
        </w:r>
      </w:del>
    </w:p>
    <w:p w14:paraId="3728D6B7" w14:textId="3F4ACEA4" w:rsidR="00542916" w:rsidRPr="009C5EFD" w:rsidRDefault="00542916">
      <w:pPr>
        <w:keepNext/>
        <w:suppressAutoHyphens/>
        <w:rPr>
          <w:del w:id="8718" w:author="AbbVie02no" w:date="2025-05-15T13:45:00Z"/>
          <w:sz w:val="22"/>
          <w:szCs w:val="22"/>
          <w:u w:val="single"/>
        </w:rPr>
        <w:pPrChange w:id="8719" w:author="AbbVie02no" w:date="2025-05-15T13:45:00Z">
          <w:pPr/>
        </w:pPrChange>
      </w:pPr>
    </w:p>
    <w:p w14:paraId="34C1F749" w14:textId="7C5D56F0" w:rsidR="00583C6C" w:rsidRPr="009C5EFD" w:rsidRDefault="00E453CD">
      <w:pPr>
        <w:keepNext/>
        <w:suppressAutoHyphens/>
        <w:rPr>
          <w:del w:id="8720" w:author="AbbVie02no" w:date="2025-05-15T13:45:00Z"/>
          <w:rFonts w:eastAsia="TimesNewRoman"/>
          <w:sz w:val="22"/>
          <w:szCs w:val="22"/>
        </w:rPr>
        <w:pPrChange w:id="8721" w:author="AbbVie02no" w:date="2025-05-15T13:45:00Z">
          <w:pPr>
            <w:autoSpaceDE w:val="0"/>
            <w:autoSpaceDN w:val="0"/>
            <w:adjustRightInd w:val="0"/>
          </w:pPr>
        </w:pPrChange>
      </w:pPr>
      <w:del w:id="8722" w:author="AbbVie02no" w:date="2025-05-15T13:45:00Z">
        <w:r w:rsidRPr="009C5EFD">
          <w:rPr>
            <w:rFonts w:eastAsia="TimesNewRoman"/>
            <w:sz w:val="22"/>
            <w:szCs w:val="22"/>
          </w:rPr>
          <w:delText xml:space="preserve">Studie HS-I (PIONEER I) undersøkte 307 pasienter innenfor to behandlingsperioder. I periode A fikk pasientene placebo eller Humira med en startdose på 160 mg ved uke 0, 80 mg ved uke 2 og 40 mg hver uke ved uke 4 til uke 11. Samtidig behandling med antibiotika ble ikke tillatt under studien. Etter 12 ukers behandling ble pasientene som fikk Humira i periode A re-randomisert i periode B til </w:delText>
        </w:r>
        <w:r w:rsidR="00AC3628">
          <w:rPr>
            <w:rFonts w:eastAsia="TimesNewRoman"/>
            <w:sz w:val="22"/>
            <w:szCs w:val="22"/>
          </w:rPr>
          <w:delText>é</w:delText>
        </w:r>
        <w:r w:rsidRPr="009C5EFD">
          <w:rPr>
            <w:rFonts w:eastAsia="TimesNewRoman"/>
            <w:sz w:val="22"/>
            <w:szCs w:val="22"/>
          </w:rPr>
          <w:delText>n av tre behandlingsgrupper (40 mg Humira hver uke, 40 mg Humira annenhver uke, eller placebo fra uke 12 til uke 35). Pasientene som fikk placebo i periode A ble gitt Humira 40 mg hver uke i periode B.</w:delText>
        </w:r>
      </w:del>
    </w:p>
    <w:p w14:paraId="10387CF8" w14:textId="23DD1D44" w:rsidR="00583C6C" w:rsidRPr="009C5EFD" w:rsidRDefault="00583C6C">
      <w:pPr>
        <w:keepNext/>
        <w:suppressAutoHyphens/>
        <w:rPr>
          <w:del w:id="8723" w:author="AbbVie02no" w:date="2025-05-15T13:45:00Z"/>
          <w:rFonts w:eastAsia="TimesNewRoman"/>
          <w:sz w:val="22"/>
          <w:szCs w:val="22"/>
        </w:rPr>
        <w:pPrChange w:id="8724" w:author="AbbVie02no" w:date="2025-05-15T13:45:00Z">
          <w:pPr>
            <w:autoSpaceDE w:val="0"/>
            <w:autoSpaceDN w:val="0"/>
            <w:adjustRightInd w:val="0"/>
          </w:pPr>
        </w:pPrChange>
      </w:pPr>
    </w:p>
    <w:p w14:paraId="621EFA94" w14:textId="53E58CB9" w:rsidR="00583C6C" w:rsidRPr="009C5EFD" w:rsidRDefault="00E453CD">
      <w:pPr>
        <w:keepNext/>
        <w:suppressAutoHyphens/>
        <w:rPr>
          <w:del w:id="8725" w:author="AbbVie02no" w:date="2025-05-15T13:45:00Z"/>
          <w:rFonts w:eastAsia="TimesNewRoman"/>
          <w:sz w:val="22"/>
          <w:szCs w:val="22"/>
        </w:rPr>
        <w:pPrChange w:id="8726" w:author="AbbVie02no" w:date="2025-05-15T13:45:00Z">
          <w:pPr>
            <w:autoSpaceDE w:val="0"/>
            <w:autoSpaceDN w:val="0"/>
            <w:adjustRightInd w:val="0"/>
          </w:pPr>
        </w:pPrChange>
      </w:pPr>
      <w:del w:id="8727" w:author="AbbVie02no" w:date="2025-05-15T13:45:00Z">
        <w:r w:rsidRPr="009C5EFD">
          <w:rPr>
            <w:rFonts w:eastAsia="TimesNewRoman"/>
            <w:sz w:val="22"/>
            <w:szCs w:val="22"/>
          </w:rPr>
          <w:delText xml:space="preserve">Studie HS-II (PIONEER II) undersøkte 326 pasienter innenfor to behandlingsperioder. I periode A fikk pasientene placebo eller Humira med en startdose på 160 mg ved uke 0, 80 mg ved uke 2 og 40 mg hver uke ved uke 4 til uke 11. I løpet av studien fortsatte 19,3 % av pasientene med samtidig oral antiobiotikabehandling. Etter 12 ukers behandling ble pasientene som fikk Humira i periode A re-randomisert i periode B til </w:delText>
        </w:r>
        <w:r w:rsidR="00AC3628">
          <w:rPr>
            <w:rFonts w:eastAsia="TimesNewRoman"/>
            <w:sz w:val="22"/>
            <w:szCs w:val="22"/>
          </w:rPr>
          <w:delText>é</w:delText>
        </w:r>
        <w:r w:rsidRPr="009C5EFD">
          <w:rPr>
            <w:rFonts w:eastAsia="TimesNewRoman"/>
            <w:sz w:val="22"/>
            <w:szCs w:val="22"/>
          </w:rPr>
          <w:delText>n av tre behandlingsgrupper (40 mg Humira hver uke, 40 mg Humira annenhver uke, eller placebo fra uke 12 til uke 35). Pasientene som fikk placebo i periode A ble gitt placebo i periode B.</w:delText>
        </w:r>
      </w:del>
    </w:p>
    <w:p w14:paraId="597FDA5A" w14:textId="28548214" w:rsidR="00583C6C" w:rsidRPr="009C5EFD" w:rsidRDefault="00583C6C">
      <w:pPr>
        <w:keepNext/>
        <w:suppressAutoHyphens/>
        <w:rPr>
          <w:del w:id="8728" w:author="AbbVie02no" w:date="2025-05-15T13:45:00Z"/>
          <w:rFonts w:eastAsia="TimesNewRoman"/>
          <w:sz w:val="22"/>
          <w:szCs w:val="22"/>
        </w:rPr>
        <w:pPrChange w:id="8729" w:author="AbbVie02no" w:date="2025-05-15T13:45:00Z">
          <w:pPr>
            <w:autoSpaceDE w:val="0"/>
            <w:autoSpaceDN w:val="0"/>
            <w:adjustRightInd w:val="0"/>
          </w:pPr>
        </w:pPrChange>
      </w:pPr>
    </w:p>
    <w:p w14:paraId="18E89FB1" w14:textId="16212786" w:rsidR="00583C6C" w:rsidRPr="009C5EFD" w:rsidRDefault="00E453CD">
      <w:pPr>
        <w:keepNext/>
        <w:suppressAutoHyphens/>
        <w:rPr>
          <w:del w:id="8730" w:author="AbbVie02no" w:date="2025-05-15T13:45:00Z"/>
          <w:rFonts w:eastAsia="TimesNewRoman"/>
          <w:sz w:val="22"/>
          <w:szCs w:val="22"/>
        </w:rPr>
        <w:pPrChange w:id="8731" w:author="AbbVie02no" w:date="2025-05-15T13:45:00Z">
          <w:pPr>
            <w:autoSpaceDE w:val="0"/>
            <w:autoSpaceDN w:val="0"/>
            <w:adjustRightInd w:val="0"/>
          </w:pPr>
        </w:pPrChange>
      </w:pPr>
      <w:del w:id="8732" w:author="AbbVie02no" w:date="2025-05-15T13:45:00Z">
        <w:r w:rsidRPr="009C5EFD">
          <w:rPr>
            <w:rFonts w:eastAsia="TimesNewRoman"/>
            <w:sz w:val="22"/>
            <w:szCs w:val="22"/>
          </w:rPr>
          <w:delText xml:space="preserve">Pasientene som deltok i studiene HS-I og HS-II var kvalifisert til å være med i en </w:delText>
        </w:r>
        <w:r w:rsidR="00AC3628">
          <w:rPr>
            <w:rFonts w:eastAsia="TimesNewRoman"/>
            <w:sz w:val="22"/>
            <w:szCs w:val="22"/>
          </w:rPr>
          <w:delText>åpen</w:delText>
        </w:r>
        <w:r w:rsidRPr="009C5EFD">
          <w:rPr>
            <w:rFonts w:eastAsia="TimesNewRoman"/>
            <w:sz w:val="22"/>
            <w:szCs w:val="22"/>
          </w:rPr>
          <w:delText xml:space="preserve"> forlengelsesstudie hvor 40 mg Humira ble administrert hver uke. </w:delText>
        </w:r>
        <w:r w:rsidR="00F161EF">
          <w:rPr>
            <w:rFonts w:eastAsia="TimesNewRoman"/>
            <w:sz w:val="22"/>
            <w:szCs w:val="22"/>
          </w:rPr>
          <w:delText xml:space="preserve">Gjennomsnittlig eksponering i alle adalimumab-populasjoner var 762 dager. </w:delText>
        </w:r>
        <w:r w:rsidRPr="009C5EFD">
          <w:rPr>
            <w:rFonts w:eastAsia="TimesNewRoman"/>
            <w:sz w:val="22"/>
            <w:szCs w:val="22"/>
          </w:rPr>
          <w:delText>Pasientene brukte topikal antiseptisk vask daglig gjennom alle de tre studiene.</w:delText>
        </w:r>
      </w:del>
    </w:p>
    <w:p w14:paraId="2F42F97B" w14:textId="10F5F9C1" w:rsidR="00583C6C" w:rsidRPr="009C5EFD" w:rsidRDefault="00583C6C">
      <w:pPr>
        <w:keepNext/>
        <w:suppressAutoHyphens/>
        <w:rPr>
          <w:del w:id="8733" w:author="AbbVie02no" w:date="2025-05-15T13:45:00Z"/>
          <w:rFonts w:eastAsia="TimesNewRoman"/>
          <w:sz w:val="22"/>
          <w:szCs w:val="22"/>
        </w:rPr>
        <w:pPrChange w:id="8734" w:author="AbbVie02no" w:date="2025-05-15T13:45:00Z">
          <w:pPr>
            <w:autoSpaceDE w:val="0"/>
            <w:autoSpaceDN w:val="0"/>
            <w:adjustRightInd w:val="0"/>
          </w:pPr>
        </w:pPrChange>
      </w:pPr>
    </w:p>
    <w:p w14:paraId="3769B5A8" w14:textId="568165A8" w:rsidR="00583C6C" w:rsidRPr="009C5EFD" w:rsidRDefault="00E453CD">
      <w:pPr>
        <w:keepNext/>
        <w:suppressAutoHyphens/>
        <w:rPr>
          <w:del w:id="8735" w:author="AbbVie02no" w:date="2025-05-15T13:45:00Z"/>
          <w:rFonts w:eastAsia="TimesNewRoman"/>
          <w:i/>
          <w:sz w:val="22"/>
          <w:szCs w:val="22"/>
          <w:u w:val="single"/>
        </w:rPr>
        <w:pPrChange w:id="8736" w:author="AbbVie02no" w:date="2025-05-15T13:45:00Z">
          <w:pPr>
            <w:keepNext/>
            <w:autoSpaceDE w:val="0"/>
            <w:autoSpaceDN w:val="0"/>
            <w:adjustRightInd w:val="0"/>
          </w:pPr>
        </w:pPrChange>
      </w:pPr>
      <w:del w:id="8737" w:author="AbbVie02no" w:date="2025-05-15T13:45:00Z">
        <w:r w:rsidRPr="009C5EFD">
          <w:rPr>
            <w:rFonts w:eastAsia="TimesNewRoman"/>
            <w:i/>
            <w:sz w:val="22"/>
            <w:szCs w:val="22"/>
            <w:u w:val="single"/>
          </w:rPr>
          <w:delText>Klinisk respons</w:delText>
        </w:r>
      </w:del>
    </w:p>
    <w:p w14:paraId="6D6ABCEE" w14:textId="3D25CD3A" w:rsidR="00583C6C" w:rsidRPr="009C5EFD" w:rsidRDefault="00583C6C">
      <w:pPr>
        <w:keepNext/>
        <w:suppressAutoHyphens/>
        <w:rPr>
          <w:del w:id="8738" w:author="AbbVie02no" w:date="2025-05-15T13:45:00Z"/>
          <w:rFonts w:eastAsia="TimesNewRoman"/>
          <w:sz w:val="22"/>
          <w:szCs w:val="22"/>
        </w:rPr>
        <w:pPrChange w:id="8739" w:author="AbbVie02no" w:date="2025-05-15T13:45:00Z">
          <w:pPr>
            <w:keepNext/>
            <w:autoSpaceDE w:val="0"/>
            <w:autoSpaceDN w:val="0"/>
            <w:adjustRightInd w:val="0"/>
          </w:pPr>
        </w:pPrChange>
      </w:pPr>
    </w:p>
    <w:p w14:paraId="32DEDA91" w14:textId="36D4952A" w:rsidR="00583C6C" w:rsidRPr="009C5EFD" w:rsidRDefault="00E453CD">
      <w:pPr>
        <w:keepNext/>
        <w:suppressAutoHyphens/>
        <w:rPr>
          <w:del w:id="8740" w:author="AbbVie02no" w:date="2025-05-15T13:45:00Z"/>
          <w:rFonts w:eastAsia="TimesNewRoman"/>
          <w:sz w:val="22"/>
          <w:szCs w:val="22"/>
        </w:rPr>
        <w:pPrChange w:id="8741" w:author="AbbVie02no" w:date="2025-05-15T13:45:00Z">
          <w:pPr>
            <w:autoSpaceDE w:val="0"/>
            <w:autoSpaceDN w:val="0"/>
            <w:adjustRightInd w:val="0"/>
          </w:pPr>
        </w:pPrChange>
      </w:pPr>
      <w:del w:id="8742" w:author="AbbVie02no" w:date="2025-05-15T13:45:00Z">
        <w:r w:rsidRPr="009C5EFD">
          <w:rPr>
            <w:rFonts w:eastAsia="TimesNewRoman"/>
            <w:sz w:val="22"/>
            <w:szCs w:val="22"/>
          </w:rPr>
          <w:delText>Reduksjon av inflammatoriske sår og hindring av forverrelse av abscesser og rennende fistler ble undersøkt ved å bruke «</w:delText>
        </w:r>
        <w:r w:rsidR="003A3FDB" w:rsidRPr="003A3FDB">
          <w:rPr>
            <w:rFonts w:eastAsia="TimesNewRoman"/>
            <w:sz w:val="22"/>
            <w:szCs w:val="22"/>
          </w:rPr>
          <w:delText>Hidradenitis Suppurativa</w:delText>
        </w:r>
        <w:r w:rsidRPr="009C5EFD">
          <w:rPr>
            <w:rFonts w:eastAsia="TimesNewRoman"/>
            <w:sz w:val="22"/>
            <w:szCs w:val="22"/>
          </w:rPr>
          <w:delText xml:space="preserve"> Clinical Response» (HiSCR; </w:delText>
        </w:r>
        <w:r w:rsidR="00E53515">
          <w:rPr>
            <w:rFonts w:eastAsia="TimesNewRoman"/>
            <w:sz w:val="22"/>
            <w:szCs w:val="22"/>
          </w:rPr>
          <w:delText xml:space="preserve">minst en </w:delText>
        </w:r>
        <w:r w:rsidRPr="009C5EFD">
          <w:rPr>
            <w:rFonts w:eastAsia="TimesNewRoman"/>
            <w:sz w:val="22"/>
            <w:szCs w:val="22"/>
          </w:rPr>
          <w:delText xml:space="preserve">50 % reduksjon i total antall abscesser og inflammatoriske byller/knuter uten økning i antall abscesser og ingen økning av antall rennende fistler i forhold til start). Reduksjon i HS-relaterte hudsmerter ble </w:delText>
        </w:r>
        <w:r w:rsidRPr="009C5EFD">
          <w:rPr>
            <w:rFonts w:eastAsia="TimesNewRoman"/>
            <w:sz w:val="22"/>
            <w:szCs w:val="22"/>
          </w:rPr>
          <w:lastRenderedPageBreak/>
          <w:delText xml:space="preserve">undersøkt ved bruk av «Numerisk Rating Scale» hos pasienter som gikk inn i studien med </w:delText>
        </w:r>
        <w:r w:rsidR="00CB194F" w:rsidRPr="009C5EFD">
          <w:rPr>
            <w:rFonts w:eastAsia="TimesNewRoman"/>
            <w:sz w:val="22"/>
            <w:szCs w:val="22"/>
          </w:rPr>
          <w:delText xml:space="preserve">en </w:delText>
        </w:r>
        <w:r w:rsidRPr="009C5EFD">
          <w:rPr>
            <w:rFonts w:eastAsia="TimesNewRoman"/>
            <w:sz w:val="22"/>
            <w:szCs w:val="22"/>
          </w:rPr>
          <w:delText>startscore på 3 eller høyere på en 11-punkts skala.</w:delText>
        </w:r>
      </w:del>
    </w:p>
    <w:p w14:paraId="2A73B9EE" w14:textId="146B4B6B" w:rsidR="00583C6C" w:rsidRPr="009C5EFD" w:rsidRDefault="00583C6C">
      <w:pPr>
        <w:keepNext/>
        <w:suppressAutoHyphens/>
        <w:rPr>
          <w:del w:id="8743" w:author="AbbVie02no" w:date="2025-05-15T13:45:00Z"/>
          <w:rFonts w:eastAsia="TimesNewRoman"/>
          <w:sz w:val="22"/>
          <w:szCs w:val="22"/>
        </w:rPr>
        <w:pPrChange w:id="8744" w:author="AbbVie02no" w:date="2025-05-15T13:45:00Z">
          <w:pPr>
            <w:autoSpaceDE w:val="0"/>
            <w:autoSpaceDN w:val="0"/>
            <w:adjustRightInd w:val="0"/>
          </w:pPr>
        </w:pPrChange>
      </w:pPr>
    </w:p>
    <w:p w14:paraId="34B09D5A" w14:textId="123F2B8E" w:rsidR="00CB194F" w:rsidRPr="009C5EFD" w:rsidRDefault="00E453CD">
      <w:pPr>
        <w:keepNext/>
        <w:suppressAutoHyphens/>
        <w:rPr>
          <w:del w:id="8745" w:author="AbbVie02no" w:date="2025-05-15T13:45:00Z"/>
          <w:rFonts w:eastAsia="TimesNewRoman"/>
          <w:sz w:val="22"/>
          <w:szCs w:val="22"/>
        </w:rPr>
        <w:pPrChange w:id="8746" w:author="AbbVie02no" w:date="2025-05-15T13:45:00Z">
          <w:pPr>
            <w:autoSpaceDE w:val="0"/>
            <w:autoSpaceDN w:val="0"/>
            <w:adjustRightInd w:val="0"/>
          </w:pPr>
        </w:pPrChange>
      </w:pPr>
      <w:del w:id="8747" w:author="AbbVie02no" w:date="2025-05-15T13:45:00Z">
        <w:r w:rsidRPr="009C5EFD">
          <w:rPr>
            <w:rFonts w:eastAsia="TimesNewRoman"/>
            <w:sz w:val="22"/>
            <w:szCs w:val="22"/>
          </w:rPr>
          <w:delText>Ved uke 12 oppnådde en signifikant høyere andel pasiente</w:delText>
        </w:r>
        <w:r w:rsidR="00845965" w:rsidRPr="009C5EFD">
          <w:rPr>
            <w:rFonts w:eastAsia="TimesNewRoman"/>
            <w:sz w:val="22"/>
            <w:szCs w:val="22"/>
          </w:rPr>
          <w:delText>r</w:delText>
        </w:r>
        <w:r w:rsidRPr="009C5EFD">
          <w:rPr>
            <w:rFonts w:eastAsia="TimesNewRoman"/>
            <w:sz w:val="22"/>
            <w:szCs w:val="22"/>
          </w:rPr>
          <w:delText xml:space="preserve"> behandlet med Humira HiSCR versus </w:delText>
        </w:r>
        <w:r w:rsidR="000969F2" w:rsidRPr="009C5EFD">
          <w:rPr>
            <w:rFonts w:eastAsia="TimesNewRoman"/>
            <w:sz w:val="22"/>
            <w:szCs w:val="22"/>
          </w:rPr>
          <w:delText xml:space="preserve">de behandlet </w:delText>
        </w:r>
        <w:r w:rsidR="00845965" w:rsidRPr="009C5EFD">
          <w:rPr>
            <w:rFonts w:eastAsia="TimesNewRoman"/>
            <w:sz w:val="22"/>
            <w:szCs w:val="22"/>
          </w:rPr>
          <w:delText xml:space="preserve">med </w:delText>
        </w:r>
        <w:r w:rsidRPr="009C5EFD">
          <w:rPr>
            <w:rFonts w:eastAsia="TimesNewRoman"/>
            <w:sz w:val="22"/>
            <w:szCs w:val="22"/>
          </w:rPr>
          <w:delText>placebo. Ved uke 12 opplevde en signifikant høyere andel pasiente</w:delText>
        </w:r>
        <w:r w:rsidR="00845965" w:rsidRPr="009C5EFD">
          <w:rPr>
            <w:rFonts w:eastAsia="TimesNewRoman"/>
            <w:sz w:val="22"/>
            <w:szCs w:val="22"/>
          </w:rPr>
          <w:delText>r</w:delText>
        </w:r>
        <w:r w:rsidRPr="009C5EFD">
          <w:rPr>
            <w:rFonts w:eastAsia="TimesNewRoman"/>
            <w:sz w:val="22"/>
            <w:szCs w:val="22"/>
          </w:rPr>
          <w:delText xml:space="preserve"> i studien HS-II en klinisk relevant reduksjon av HS-relatert</w:delText>
        </w:r>
        <w:r w:rsidR="00367518">
          <w:rPr>
            <w:rFonts w:eastAsia="TimesNewRoman"/>
            <w:sz w:val="22"/>
            <w:szCs w:val="22"/>
          </w:rPr>
          <w:delText>e</w:delText>
        </w:r>
        <w:r w:rsidRPr="009C5EFD">
          <w:rPr>
            <w:rFonts w:eastAsia="TimesNewRoman"/>
            <w:sz w:val="22"/>
            <w:szCs w:val="22"/>
          </w:rPr>
          <w:delText xml:space="preserve"> hudsmerte</w:delText>
        </w:r>
        <w:r w:rsidR="00367518">
          <w:rPr>
            <w:rFonts w:eastAsia="TimesNewRoman"/>
            <w:sz w:val="22"/>
            <w:szCs w:val="22"/>
          </w:rPr>
          <w:delText>r</w:delText>
        </w:r>
        <w:r w:rsidRPr="009C5EFD">
          <w:rPr>
            <w:rFonts w:eastAsia="TimesNewRoman"/>
            <w:sz w:val="22"/>
            <w:szCs w:val="22"/>
          </w:rPr>
          <w:delText xml:space="preserve"> (se tabell </w:delText>
        </w:r>
        <w:r w:rsidR="00205D90">
          <w:rPr>
            <w:rFonts w:eastAsia="TimesNewRoman"/>
            <w:sz w:val="22"/>
            <w:szCs w:val="22"/>
          </w:rPr>
          <w:delText>19</w:delText>
        </w:r>
        <w:r w:rsidRPr="009C5EFD">
          <w:rPr>
            <w:rFonts w:eastAsia="TimesNewRoman"/>
            <w:sz w:val="22"/>
            <w:szCs w:val="22"/>
          </w:rPr>
          <w:delText>). Pasienter behandlet med Humira hadde signifikant redusert risiko for sykdomsoppbluss i løpet av de første 12 ukene med behandling.</w:delText>
        </w:r>
      </w:del>
    </w:p>
    <w:p w14:paraId="769160E1" w14:textId="1C76A35B" w:rsidR="00CB194F" w:rsidRPr="009C5EFD" w:rsidRDefault="00CB194F">
      <w:pPr>
        <w:keepNext/>
        <w:suppressAutoHyphens/>
        <w:rPr>
          <w:del w:id="8748" w:author="AbbVie02no" w:date="2025-05-15T13:45:00Z"/>
          <w:rFonts w:eastAsia="TimesNewRoman"/>
          <w:sz w:val="22"/>
          <w:szCs w:val="22"/>
        </w:rPr>
        <w:pPrChange w:id="8749" w:author="AbbVie02no" w:date="2025-05-15T13:45:00Z">
          <w:pPr>
            <w:autoSpaceDE w:val="0"/>
            <w:autoSpaceDN w:val="0"/>
            <w:adjustRightInd w:val="0"/>
          </w:pPr>
        </w:pPrChange>
      </w:pPr>
    </w:p>
    <w:p w14:paraId="423E9A1D" w14:textId="3CCD832F" w:rsidR="00CB194F" w:rsidRPr="001F5D4B" w:rsidRDefault="00E453CD">
      <w:pPr>
        <w:keepNext/>
        <w:suppressAutoHyphens/>
        <w:rPr>
          <w:del w:id="8750" w:author="AbbVie02no" w:date="2025-05-15T13:45:00Z"/>
          <w:rFonts w:eastAsia="MS Mincho"/>
          <w:b/>
          <w:sz w:val="22"/>
          <w:szCs w:val="22"/>
          <w:lang w:eastAsia="ja-JP"/>
        </w:rPr>
        <w:pPrChange w:id="8751" w:author="AbbVie02no" w:date="2025-05-15T13:45:00Z">
          <w:pPr>
            <w:keepNext/>
            <w:keepLines/>
            <w:widowControl w:val="0"/>
            <w:spacing w:after="200" w:line="320" w:lineRule="exact"/>
            <w:ind w:left="360"/>
            <w:jc w:val="center"/>
          </w:pPr>
        </w:pPrChange>
      </w:pPr>
      <w:del w:id="8752" w:author="AbbVie02no" w:date="2025-05-15T13:45:00Z">
        <w:r w:rsidRPr="009C5EFD">
          <w:rPr>
            <w:rFonts w:eastAsia="MS Mincho"/>
            <w:b/>
            <w:sz w:val="22"/>
            <w:szCs w:val="22"/>
            <w:lang w:eastAsia="ja-JP"/>
          </w:rPr>
          <w:delText xml:space="preserve">Tabell </w:delText>
        </w:r>
        <w:r w:rsidR="00205D90">
          <w:rPr>
            <w:rFonts w:eastAsia="MS Mincho"/>
            <w:b/>
            <w:sz w:val="22"/>
            <w:szCs w:val="22"/>
            <w:lang w:eastAsia="ja-JP"/>
          </w:rPr>
          <w:delText>19</w:delText>
        </w:r>
        <w:r w:rsidRPr="009C5EFD">
          <w:rPr>
            <w:rFonts w:eastAsia="MS Mincho"/>
            <w:b/>
            <w:sz w:val="22"/>
            <w:szCs w:val="22"/>
            <w:lang w:eastAsia="ja-JP"/>
          </w:rPr>
          <w:delText xml:space="preserve">: </w:delText>
        </w:r>
        <w:r w:rsidR="008406E9">
          <w:rPr>
            <w:rFonts w:eastAsia="MS Mincho"/>
            <w:b/>
            <w:sz w:val="22"/>
            <w:szCs w:val="22"/>
            <w:lang w:eastAsia="ja-JP"/>
          </w:rPr>
          <w:delText>Effektresultater</w:delText>
        </w:r>
        <w:r w:rsidRPr="009C5EFD">
          <w:rPr>
            <w:rFonts w:eastAsia="MS Mincho"/>
            <w:b/>
            <w:sz w:val="22"/>
            <w:szCs w:val="22"/>
            <w:lang w:eastAsia="ja-JP"/>
          </w:rPr>
          <w:delText xml:space="preserve"> etter </w:delText>
        </w:r>
        <w:r w:rsidRPr="009C5EFD">
          <w:rPr>
            <w:rFonts w:eastAsia="MS Mincho"/>
            <w:b/>
            <w:bCs/>
            <w:iCs/>
            <w:sz w:val="22"/>
            <w:szCs w:val="22"/>
            <w:lang w:eastAsia="ja-JP"/>
          </w:rPr>
          <w:delText>12 uker, HS Studier I og II</w:delText>
        </w:r>
      </w:del>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4644D4" w14:paraId="336E76E5" w14:textId="2A9A4FFA" w:rsidTr="00CB194F">
        <w:trPr>
          <w:jc w:val="center"/>
          <w:del w:id="8753" w:author="AbbVie02no" w:date="2025-05-15T13:45:00Z"/>
        </w:trPr>
        <w:tc>
          <w:tcPr>
            <w:tcW w:w="2847" w:type="dxa"/>
            <w:vMerge w:val="restart"/>
            <w:tcMar>
              <w:top w:w="0" w:type="dxa"/>
              <w:left w:w="115" w:type="dxa"/>
              <w:bottom w:w="0" w:type="dxa"/>
              <w:right w:w="115" w:type="dxa"/>
            </w:tcMar>
            <w:vAlign w:val="bottom"/>
          </w:tcPr>
          <w:p w14:paraId="76AB2678" w14:textId="332E776B" w:rsidR="00CB194F" w:rsidRPr="007F67EE" w:rsidRDefault="00CB194F">
            <w:pPr>
              <w:keepNext/>
              <w:suppressAutoHyphens/>
              <w:rPr>
                <w:del w:id="8754" w:author="AbbVie02no" w:date="2025-05-15T13:45:00Z"/>
                <w:b/>
                <w:sz w:val="22"/>
                <w:szCs w:val="22"/>
              </w:rPr>
              <w:pPrChange w:id="8755" w:author="AbbVie02no" w:date="2025-05-15T13:45:00Z">
                <w:pPr>
                  <w:widowControl w:val="0"/>
                </w:pPr>
              </w:pPrChange>
            </w:pPr>
          </w:p>
        </w:tc>
        <w:tc>
          <w:tcPr>
            <w:tcW w:w="3186" w:type="dxa"/>
            <w:gridSpan w:val="2"/>
            <w:tcMar>
              <w:top w:w="0" w:type="dxa"/>
              <w:left w:w="115" w:type="dxa"/>
              <w:bottom w:w="0" w:type="dxa"/>
              <w:right w:w="115" w:type="dxa"/>
            </w:tcMar>
            <w:vAlign w:val="bottom"/>
          </w:tcPr>
          <w:p w14:paraId="1EEFC4EE" w14:textId="7ADFAB00" w:rsidR="00CB194F" w:rsidRPr="002D0790" w:rsidRDefault="00E453CD">
            <w:pPr>
              <w:keepNext/>
              <w:suppressAutoHyphens/>
              <w:rPr>
                <w:del w:id="8756" w:author="AbbVie02no" w:date="2025-05-15T13:45:00Z"/>
                <w:b/>
                <w:bCs/>
                <w:sz w:val="22"/>
                <w:szCs w:val="22"/>
              </w:rPr>
              <w:pPrChange w:id="8757" w:author="AbbVie02no" w:date="2025-05-15T13:45:00Z">
                <w:pPr>
                  <w:widowControl w:val="0"/>
                  <w:jc w:val="center"/>
                </w:pPr>
              </w:pPrChange>
            </w:pPr>
            <w:del w:id="8758" w:author="AbbVie02no" w:date="2025-05-15T13:45:00Z">
              <w:r w:rsidRPr="00193D76">
                <w:rPr>
                  <w:b/>
                  <w:bCs/>
                  <w:sz w:val="22"/>
                  <w:szCs w:val="22"/>
                </w:rPr>
                <w:delText>HS Stud</w:delText>
              </w:r>
              <w:r w:rsidRPr="002D0790">
                <w:rPr>
                  <w:b/>
                  <w:bCs/>
                  <w:sz w:val="22"/>
                  <w:szCs w:val="22"/>
                </w:rPr>
                <w:delText>ie I</w:delText>
              </w:r>
            </w:del>
          </w:p>
        </w:tc>
        <w:tc>
          <w:tcPr>
            <w:tcW w:w="3260" w:type="dxa"/>
            <w:gridSpan w:val="2"/>
            <w:tcMar>
              <w:top w:w="0" w:type="dxa"/>
              <w:left w:w="115" w:type="dxa"/>
              <w:bottom w:w="0" w:type="dxa"/>
              <w:right w:w="115" w:type="dxa"/>
            </w:tcMar>
            <w:vAlign w:val="bottom"/>
          </w:tcPr>
          <w:p w14:paraId="6F629156" w14:textId="6FC318C6" w:rsidR="00CB194F" w:rsidRPr="009C5EFD" w:rsidRDefault="00E453CD">
            <w:pPr>
              <w:keepNext/>
              <w:suppressAutoHyphens/>
              <w:rPr>
                <w:del w:id="8759" w:author="AbbVie02no" w:date="2025-05-15T13:45:00Z"/>
                <w:b/>
                <w:bCs/>
                <w:sz w:val="22"/>
                <w:szCs w:val="22"/>
              </w:rPr>
              <w:pPrChange w:id="8760" w:author="AbbVie02no" w:date="2025-05-15T13:45:00Z">
                <w:pPr>
                  <w:widowControl w:val="0"/>
                  <w:jc w:val="center"/>
                </w:pPr>
              </w:pPrChange>
            </w:pPr>
            <w:del w:id="8761" w:author="AbbVie02no" w:date="2025-05-15T13:45:00Z">
              <w:r w:rsidRPr="00E14E58">
                <w:rPr>
                  <w:b/>
                  <w:bCs/>
                  <w:sz w:val="22"/>
                  <w:szCs w:val="22"/>
                </w:rPr>
                <w:delText>HS Stud</w:delText>
              </w:r>
              <w:r w:rsidRPr="009C5EFD">
                <w:rPr>
                  <w:b/>
                  <w:bCs/>
                  <w:sz w:val="22"/>
                  <w:szCs w:val="22"/>
                </w:rPr>
                <w:delText>ie II</w:delText>
              </w:r>
            </w:del>
          </w:p>
        </w:tc>
      </w:tr>
      <w:tr w:rsidR="004644D4" w14:paraId="76A4BE69" w14:textId="52150F00" w:rsidTr="00CB194F">
        <w:trPr>
          <w:jc w:val="center"/>
          <w:del w:id="8762" w:author="AbbVie02no" w:date="2025-05-15T13:45:00Z"/>
        </w:trPr>
        <w:tc>
          <w:tcPr>
            <w:tcW w:w="2847" w:type="dxa"/>
            <w:vMerge/>
            <w:tcMar>
              <w:top w:w="0" w:type="dxa"/>
              <w:left w:w="115" w:type="dxa"/>
              <w:bottom w:w="0" w:type="dxa"/>
              <w:right w:w="115" w:type="dxa"/>
            </w:tcMar>
            <w:vAlign w:val="center"/>
            <w:hideMark/>
          </w:tcPr>
          <w:p w14:paraId="2FD40356" w14:textId="7CFB00F5" w:rsidR="00CB194F" w:rsidRPr="009C5EFD" w:rsidRDefault="00CB194F">
            <w:pPr>
              <w:keepNext/>
              <w:suppressAutoHyphens/>
              <w:rPr>
                <w:del w:id="8763" w:author="AbbVie02no" w:date="2025-05-15T13:45:00Z"/>
                <w:sz w:val="22"/>
                <w:szCs w:val="22"/>
              </w:rPr>
              <w:pPrChange w:id="8764" w:author="AbbVie02no" w:date="2025-05-15T13:45:00Z">
                <w:pPr>
                  <w:widowControl w:val="0"/>
                </w:pPr>
              </w:pPrChange>
            </w:pPr>
          </w:p>
        </w:tc>
        <w:tc>
          <w:tcPr>
            <w:tcW w:w="1440" w:type="dxa"/>
            <w:tcMar>
              <w:top w:w="0" w:type="dxa"/>
              <w:left w:w="115" w:type="dxa"/>
              <w:bottom w:w="0" w:type="dxa"/>
              <w:right w:w="115" w:type="dxa"/>
            </w:tcMar>
            <w:vAlign w:val="bottom"/>
            <w:hideMark/>
          </w:tcPr>
          <w:p w14:paraId="7390D367" w14:textId="4ECE4DA7" w:rsidR="00CB194F" w:rsidRPr="009C5EFD" w:rsidRDefault="00E453CD">
            <w:pPr>
              <w:keepNext/>
              <w:suppressAutoHyphens/>
              <w:rPr>
                <w:del w:id="8765" w:author="AbbVie02no" w:date="2025-05-15T13:45:00Z"/>
                <w:sz w:val="22"/>
                <w:szCs w:val="22"/>
              </w:rPr>
              <w:pPrChange w:id="8766" w:author="AbbVie02no" w:date="2025-05-15T13:45:00Z">
                <w:pPr>
                  <w:widowControl w:val="0"/>
                  <w:jc w:val="center"/>
                </w:pPr>
              </w:pPrChange>
            </w:pPr>
            <w:del w:id="8767" w:author="AbbVie02no" w:date="2025-05-15T13:45:00Z">
              <w:r w:rsidRPr="009C5EFD">
                <w:rPr>
                  <w:b/>
                  <w:bCs/>
                  <w:sz w:val="22"/>
                  <w:szCs w:val="22"/>
                </w:rPr>
                <w:delText>Placebo</w:delText>
              </w:r>
            </w:del>
          </w:p>
        </w:tc>
        <w:tc>
          <w:tcPr>
            <w:tcW w:w="1746" w:type="dxa"/>
            <w:tcMar>
              <w:top w:w="0" w:type="dxa"/>
              <w:left w:w="115" w:type="dxa"/>
              <w:bottom w:w="0" w:type="dxa"/>
              <w:right w:w="115" w:type="dxa"/>
            </w:tcMar>
            <w:vAlign w:val="bottom"/>
            <w:hideMark/>
          </w:tcPr>
          <w:p w14:paraId="160B1C78" w14:textId="3749D52B" w:rsidR="00CB194F" w:rsidRPr="009C5EFD" w:rsidRDefault="00E453CD">
            <w:pPr>
              <w:keepNext/>
              <w:suppressAutoHyphens/>
              <w:rPr>
                <w:del w:id="8768" w:author="AbbVie02no" w:date="2025-05-15T13:45:00Z"/>
                <w:b/>
                <w:bCs/>
                <w:sz w:val="22"/>
                <w:szCs w:val="22"/>
              </w:rPr>
              <w:pPrChange w:id="8769" w:author="AbbVie02no" w:date="2025-05-15T13:45:00Z">
                <w:pPr>
                  <w:widowControl w:val="0"/>
                  <w:jc w:val="center"/>
                </w:pPr>
              </w:pPrChange>
            </w:pPr>
            <w:del w:id="8770" w:author="AbbVie02no" w:date="2025-05-15T13:45:00Z">
              <w:r w:rsidRPr="009C5EFD">
                <w:rPr>
                  <w:b/>
                  <w:bCs/>
                  <w:sz w:val="22"/>
                  <w:szCs w:val="22"/>
                </w:rPr>
                <w:delText>Humira 40 mg Ukentlig</w:delText>
              </w:r>
            </w:del>
          </w:p>
        </w:tc>
        <w:tc>
          <w:tcPr>
            <w:tcW w:w="1404" w:type="dxa"/>
            <w:tcMar>
              <w:top w:w="0" w:type="dxa"/>
              <w:left w:w="115" w:type="dxa"/>
              <w:bottom w:w="0" w:type="dxa"/>
              <w:right w:w="115" w:type="dxa"/>
            </w:tcMar>
            <w:vAlign w:val="bottom"/>
            <w:hideMark/>
          </w:tcPr>
          <w:p w14:paraId="434FD96C" w14:textId="24735CEE" w:rsidR="00CB194F" w:rsidRPr="009C5EFD" w:rsidRDefault="00E453CD">
            <w:pPr>
              <w:keepNext/>
              <w:suppressAutoHyphens/>
              <w:rPr>
                <w:del w:id="8771" w:author="AbbVie02no" w:date="2025-05-15T13:45:00Z"/>
                <w:b/>
                <w:bCs/>
                <w:sz w:val="22"/>
                <w:szCs w:val="22"/>
              </w:rPr>
              <w:pPrChange w:id="8772" w:author="AbbVie02no" w:date="2025-05-15T13:45:00Z">
                <w:pPr>
                  <w:widowControl w:val="0"/>
                  <w:jc w:val="center"/>
                </w:pPr>
              </w:pPrChange>
            </w:pPr>
            <w:del w:id="8773" w:author="AbbVie02no" w:date="2025-05-15T13:45:00Z">
              <w:r w:rsidRPr="009C5EFD">
                <w:rPr>
                  <w:b/>
                  <w:bCs/>
                  <w:sz w:val="22"/>
                  <w:szCs w:val="22"/>
                </w:rPr>
                <w:delText xml:space="preserve">Placebo </w:delText>
              </w:r>
            </w:del>
          </w:p>
        </w:tc>
        <w:tc>
          <w:tcPr>
            <w:tcW w:w="1856" w:type="dxa"/>
            <w:tcMar>
              <w:top w:w="0" w:type="dxa"/>
              <w:left w:w="115" w:type="dxa"/>
              <w:bottom w:w="0" w:type="dxa"/>
              <w:right w:w="115" w:type="dxa"/>
            </w:tcMar>
            <w:vAlign w:val="bottom"/>
            <w:hideMark/>
          </w:tcPr>
          <w:p w14:paraId="6954D60E" w14:textId="18D8D94D" w:rsidR="00CB194F" w:rsidRPr="009C5EFD" w:rsidRDefault="00E453CD">
            <w:pPr>
              <w:keepNext/>
              <w:suppressAutoHyphens/>
              <w:rPr>
                <w:del w:id="8774" w:author="AbbVie02no" w:date="2025-05-15T13:45:00Z"/>
                <w:b/>
                <w:bCs/>
                <w:sz w:val="22"/>
                <w:szCs w:val="22"/>
              </w:rPr>
              <w:pPrChange w:id="8775" w:author="AbbVie02no" w:date="2025-05-15T13:45:00Z">
                <w:pPr>
                  <w:widowControl w:val="0"/>
                  <w:jc w:val="center"/>
                </w:pPr>
              </w:pPrChange>
            </w:pPr>
            <w:del w:id="8776" w:author="AbbVie02no" w:date="2025-05-15T13:45:00Z">
              <w:r w:rsidRPr="009C5EFD">
                <w:rPr>
                  <w:b/>
                  <w:bCs/>
                  <w:sz w:val="22"/>
                  <w:szCs w:val="22"/>
                </w:rPr>
                <w:delText>Humira 40 mg Ukentlig</w:delText>
              </w:r>
            </w:del>
          </w:p>
        </w:tc>
      </w:tr>
      <w:tr w:rsidR="004644D4" w14:paraId="3F649A12" w14:textId="2AB97488" w:rsidTr="00CB194F">
        <w:trPr>
          <w:trHeight w:val="755"/>
          <w:jc w:val="center"/>
          <w:del w:id="8777" w:author="AbbVie02no" w:date="2025-05-15T13:45:00Z"/>
        </w:trPr>
        <w:tc>
          <w:tcPr>
            <w:tcW w:w="2847" w:type="dxa"/>
            <w:tcMar>
              <w:top w:w="0" w:type="dxa"/>
              <w:left w:w="115" w:type="dxa"/>
              <w:bottom w:w="0" w:type="dxa"/>
              <w:right w:w="115" w:type="dxa"/>
            </w:tcMar>
            <w:vAlign w:val="center"/>
            <w:hideMark/>
          </w:tcPr>
          <w:p w14:paraId="2929AE7E" w14:textId="0924E933" w:rsidR="00CB194F" w:rsidRPr="009C5EFD" w:rsidRDefault="00E453CD">
            <w:pPr>
              <w:keepNext/>
              <w:suppressAutoHyphens/>
              <w:rPr>
                <w:del w:id="8778" w:author="AbbVie02no" w:date="2025-05-15T13:45:00Z"/>
                <w:sz w:val="22"/>
                <w:szCs w:val="22"/>
              </w:rPr>
              <w:pPrChange w:id="8779" w:author="AbbVie02no" w:date="2025-05-15T13:45:00Z">
                <w:pPr>
                  <w:widowControl w:val="0"/>
                </w:pPr>
              </w:pPrChange>
            </w:pPr>
            <w:del w:id="8780" w:author="AbbVie02no" w:date="2025-05-15T13:45:00Z">
              <w:r w:rsidRPr="002C5CDB">
                <w:rPr>
                  <w:sz w:val="22"/>
                  <w:szCs w:val="22"/>
                  <w:rPrChange w:id="8781" w:author="AbbVie05no" w:date="2025-05-19T10:32:00Z">
                    <w:rPr>
                      <w:sz w:val="22"/>
                      <w:szCs w:val="22"/>
                      <w:lang w:val="en-US"/>
                    </w:rPr>
                  </w:rPrChange>
                </w:rPr>
                <w:delText>Hidrosadenitt</w:delText>
              </w:r>
            </w:del>
          </w:p>
          <w:p w14:paraId="3F17E46D" w14:textId="3E0B1B61" w:rsidR="00CB194F" w:rsidRPr="009C5EFD" w:rsidRDefault="00E453CD">
            <w:pPr>
              <w:keepNext/>
              <w:suppressAutoHyphens/>
              <w:rPr>
                <w:del w:id="8782" w:author="AbbVie02no" w:date="2025-05-15T13:45:00Z"/>
                <w:sz w:val="22"/>
                <w:szCs w:val="22"/>
              </w:rPr>
              <w:pPrChange w:id="8783" w:author="AbbVie02no" w:date="2025-05-15T13:45:00Z">
                <w:pPr>
                  <w:widowControl w:val="0"/>
                </w:pPr>
              </w:pPrChange>
            </w:pPr>
            <w:del w:id="8784" w:author="AbbVie02no" w:date="2025-05-15T13:45:00Z">
              <w:r w:rsidRPr="002C5CDB">
                <w:rPr>
                  <w:sz w:val="22"/>
                  <w:szCs w:val="22"/>
                  <w:rPrChange w:id="8785" w:author="AbbVie05no" w:date="2025-05-19T10:32:00Z">
                    <w:rPr>
                      <w:sz w:val="22"/>
                      <w:szCs w:val="22"/>
                      <w:lang w:val="en-US"/>
                    </w:rPr>
                  </w:rPrChange>
                </w:rPr>
                <w:delText>Klinisk respons</w:delText>
              </w:r>
              <w:r w:rsidRPr="009C5EFD">
                <w:rPr>
                  <w:sz w:val="22"/>
                  <w:szCs w:val="22"/>
                </w:rPr>
                <w:delText xml:space="preserve"> (HiSCR)</w:delText>
              </w:r>
              <w:r w:rsidRPr="009C5EFD">
                <w:rPr>
                  <w:sz w:val="22"/>
                  <w:szCs w:val="22"/>
                  <w:vertAlign w:val="superscript"/>
                </w:rPr>
                <w:delText>a</w:delText>
              </w:r>
              <w:r w:rsidRPr="009C5EFD">
                <w:rPr>
                  <w:sz w:val="22"/>
                  <w:szCs w:val="22"/>
                </w:rPr>
                <w:delText xml:space="preserve"> </w:delText>
              </w:r>
            </w:del>
          </w:p>
          <w:p w14:paraId="12A2FC79" w14:textId="4B261C33" w:rsidR="00CB194F" w:rsidRPr="009C5EFD" w:rsidRDefault="00CB194F">
            <w:pPr>
              <w:keepNext/>
              <w:suppressAutoHyphens/>
              <w:rPr>
                <w:del w:id="8786" w:author="AbbVie02no" w:date="2025-05-15T13:45:00Z"/>
                <w:sz w:val="22"/>
                <w:szCs w:val="22"/>
              </w:rPr>
              <w:pPrChange w:id="8787" w:author="AbbVie02no" w:date="2025-05-15T13:45:00Z">
                <w:pPr>
                  <w:widowControl w:val="0"/>
                </w:pPr>
              </w:pPrChange>
            </w:pPr>
          </w:p>
        </w:tc>
        <w:tc>
          <w:tcPr>
            <w:tcW w:w="1440" w:type="dxa"/>
            <w:tcMar>
              <w:top w:w="0" w:type="dxa"/>
              <w:left w:w="115" w:type="dxa"/>
              <w:bottom w:w="0" w:type="dxa"/>
              <w:right w:w="115" w:type="dxa"/>
            </w:tcMar>
            <w:hideMark/>
          </w:tcPr>
          <w:p w14:paraId="11BC5D64" w14:textId="75B39547" w:rsidR="00CB194F" w:rsidRPr="009C5EFD" w:rsidRDefault="00E453CD">
            <w:pPr>
              <w:keepNext/>
              <w:suppressAutoHyphens/>
              <w:rPr>
                <w:del w:id="8788" w:author="AbbVie02no" w:date="2025-05-15T13:45:00Z"/>
                <w:sz w:val="22"/>
                <w:szCs w:val="22"/>
              </w:rPr>
              <w:pPrChange w:id="8789" w:author="AbbVie02no" w:date="2025-05-15T13:45:00Z">
                <w:pPr>
                  <w:widowControl w:val="0"/>
                  <w:jc w:val="center"/>
                </w:pPr>
              </w:pPrChange>
            </w:pPr>
            <w:del w:id="8790" w:author="AbbVie02no" w:date="2025-05-15T13:45:00Z">
              <w:r w:rsidRPr="009C5EFD">
                <w:rPr>
                  <w:sz w:val="22"/>
                  <w:szCs w:val="22"/>
                </w:rPr>
                <w:delText>N = 154</w:delText>
              </w:r>
              <w:r w:rsidRPr="009C5EFD">
                <w:rPr>
                  <w:sz w:val="22"/>
                  <w:szCs w:val="22"/>
                </w:rPr>
                <w:br/>
                <w:delText>40 (2</w:delText>
              </w:r>
              <w:r w:rsidR="0002499F" w:rsidRPr="009C5EFD">
                <w:rPr>
                  <w:sz w:val="22"/>
                  <w:szCs w:val="22"/>
                </w:rPr>
                <w:delText>6</w:delText>
              </w:r>
              <w:r w:rsidRPr="009C5EFD">
                <w:rPr>
                  <w:sz w:val="22"/>
                  <w:szCs w:val="22"/>
                </w:rPr>
                <w:delText>,0 %)</w:delText>
              </w:r>
            </w:del>
          </w:p>
        </w:tc>
        <w:tc>
          <w:tcPr>
            <w:tcW w:w="1746" w:type="dxa"/>
            <w:tcMar>
              <w:top w:w="0" w:type="dxa"/>
              <w:left w:w="115" w:type="dxa"/>
              <w:bottom w:w="0" w:type="dxa"/>
              <w:right w:w="115" w:type="dxa"/>
            </w:tcMar>
            <w:hideMark/>
          </w:tcPr>
          <w:p w14:paraId="025777FC" w14:textId="2C1913CE" w:rsidR="00CB194F" w:rsidRPr="009C5EFD" w:rsidRDefault="00E453CD">
            <w:pPr>
              <w:keepNext/>
              <w:suppressAutoHyphens/>
              <w:rPr>
                <w:del w:id="8791" w:author="AbbVie02no" w:date="2025-05-15T13:45:00Z"/>
                <w:sz w:val="22"/>
                <w:szCs w:val="22"/>
              </w:rPr>
              <w:pPrChange w:id="8792" w:author="AbbVie02no" w:date="2025-05-15T13:45:00Z">
                <w:pPr>
                  <w:widowControl w:val="0"/>
                  <w:jc w:val="center"/>
                </w:pPr>
              </w:pPrChange>
            </w:pPr>
            <w:del w:id="8793" w:author="AbbVie02no" w:date="2025-05-15T13:45:00Z">
              <w:r w:rsidRPr="009C5EFD">
                <w:rPr>
                  <w:sz w:val="22"/>
                  <w:szCs w:val="22"/>
                </w:rPr>
                <w:delText>N = 153</w:delText>
              </w:r>
              <w:r w:rsidRPr="009C5EFD">
                <w:rPr>
                  <w:sz w:val="22"/>
                  <w:szCs w:val="22"/>
                </w:rPr>
                <w:br/>
                <w:delText>64 (41,8 %)</w:delText>
              </w:r>
              <w:r w:rsidRPr="009C5EFD">
                <w:rPr>
                  <w:sz w:val="22"/>
                  <w:szCs w:val="22"/>
                  <w:vertAlign w:val="superscript"/>
                </w:rPr>
                <w:delText>*</w:delText>
              </w:r>
            </w:del>
          </w:p>
        </w:tc>
        <w:tc>
          <w:tcPr>
            <w:tcW w:w="1404" w:type="dxa"/>
            <w:tcMar>
              <w:top w:w="0" w:type="dxa"/>
              <w:left w:w="115" w:type="dxa"/>
              <w:bottom w:w="0" w:type="dxa"/>
              <w:right w:w="115" w:type="dxa"/>
            </w:tcMar>
          </w:tcPr>
          <w:p w14:paraId="70A2A9ED" w14:textId="46D6041B" w:rsidR="00CB194F" w:rsidRPr="009C5EFD" w:rsidRDefault="00E453CD">
            <w:pPr>
              <w:keepNext/>
              <w:suppressAutoHyphens/>
              <w:rPr>
                <w:del w:id="8794" w:author="AbbVie02no" w:date="2025-05-15T13:45:00Z"/>
                <w:sz w:val="22"/>
                <w:szCs w:val="22"/>
              </w:rPr>
              <w:pPrChange w:id="8795" w:author="AbbVie02no" w:date="2025-05-15T13:45:00Z">
                <w:pPr>
                  <w:widowControl w:val="0"/>
                  <w:jc w:val="center"/>
                </w:pPr>
              </w:pPrChange>
            </w:pPr>
            <w:del w:id="8796" w:author="AbbVie02no" w:date="2025-05-15T13:45:00Z">
              <w:r w:rsidRPr="009C5EFD">
                <w:rPr>
                  <w:sz w:val="22"/>
                  <w:szCs w:val="22"/>
                </w:rPr>
                <w:delText>N=163</w:delText>
              </w:r>
            </w:del>
          </w:p>
          <w:p w14:paraId="2B5DEFD3" w14:textId="0E0D3DED" w:rsidR="00CB194F" w:rsidRPr="009C5EFD" w:rsidRDefault="00E453CD">
            <w:pPr>
              <w:keepNext/>
              <w:suppressAutoHyphens/>
              <w:rPr>
                <w:del w:id="8797" w:author="AbbVie02no" w:date="2025-05-15T13:45:00Z"/>
                <w:sz w:val="22"/>
                <w:szCs w:val="22"/>
              </w:rPr>
              <w:pPrChange w:id="8798" w:author="AbbVie02no" w:date="2025-05-15T13:45:00Z">
                <w:pPr>
                  <w:widowControl w:val="0"/>
                  <w:jc w:val="center"/>
                </w:pPr>
              </w:pPrChange>
            </w:pPr>
            <w:del w:id="8799" w:author="AbbVie02no" w:date="2025-05-15T13:45:00Z">
              <w:r w:rsidRPr="009C5EFD">
                <w:rPr>
                  <w:sz w:val="22"/>
                  <w:szCs w:val="22"/>
                </w:rPr>
                <w:delText>45 (27,6 %)</w:delText>
              </w:r>
            </w:del>
          </w:p>
        </w:tc>
        <w:tc>
          <w:tcPr>
            <w:tcW w:w="1856" w:type="dxa"/>
            <w:tcMar>
              <w:top w:w="0" w:type="dxa"/>
              <w:left w:w="115" w:type="dxa"/>
              <w:bottom w:w="0" w:type="dxa"/>
              <w:right w:w="115" w:type="dxa"/>
            </w:tcMar>
          </w:tcPr>
          <w:p w14:paraId="4DC62C78" w14:textId="77F09A08" w:rsidR="00CB194F" w:rsidRPr="009C5EFD" w:rsidRDefault="00E453CD">
            <w:pPr>
              <w:keepNext/>
              <w:suppressAutoHyphens/>
              <w:rPr>
                <w:del w:id="8800" w:author="AbbVie02no" w:date="2025-05-15T13:45:00Z"/>
                <w:sz w:val="22"/>
                <w:szCs w:val="22"/>
              </w:rPr>
              <w:pPrChange w:id="8801" w:author="AbbVie02no" w:date="2025-05-15T13:45:00Z">
                <w:pPr>
                  <w:widowControl w:val="0"/>
                  <w:jc w:val="center"/>
                </w:pPr>
              </w:pPrChange>
            </w:pPr>
            <w:del w:id="8802" w:author="AbbVie02no" w:date="2025-05-15T13:45:00Z">
              <w:r w:rsidRPr="009C5EFD">
                <w:rPr>
                  <w:sz w:val="22"/>
                  <w:szCs w:val="22"/>
                </w:rPr>
                <w:delText>N=163</w:delText>
              </w:r>
            </w:del>
          </w:p>
          <w:p w14:paraId="46A4E7FC" w14:textId="24C81424" w:rsidR="00CB194F" w:rsidRPr="009C5EFD" w:rsidRDefault="00E453CD">
            <w:pPr>
              <w:keepNext/>
              <w:suppressAutoHyphens/>
              <w:rPr>
                <w:del w:id="8803" w:author="AbbVie02no" w:date="2025-05-15T13:45:00Z"/>
                <w:sz w:val="22"/>
                <w:szCs w:val="22"/>
              </w:rPr>
              <w:pPrChange w:id="8804" w:author="AbbVie02no" w:date="2025-05-15T13:45:00Z">
                <w:pPr>
                  <w:widowControl w:val="0"/>
                  <w:jc w:val="center"/>
                </w:pPr>
              </w:pPrChange>
            </w:pPr>
            <w:del w:id="8805" w:author="AbbVie02no" w:date="2025-05-15T13:45:00Z">
              <w:r w:rsidRPr="009C5EFD">
                <w:rPr>
                  <w:sz w:val="22"/>
                  <w:szCs w:val="22"/>
                </w:rPr>
                <w:delText>96 (58,9 %)</w:delText>
              </w:r>
              <w:r w:rsidRPr="009C5EFD">
                <w:rPr>
                  <w:sz w:val="22"/>
                  <w:szCs w:val="22"/>
                  <w:vertAlign w:val="superscript"/>
                </w:rPr>
                <w:delText>***</w:delText>
              </w:r>
            </w:del>
          </w:p>
        </w:tc>
      </w:tr>
      <w:tr w:rsidR="004644D4" w14:paraId="58F69EA0" w14:textId="623E90E0" w:rsidTr="00CB194F">
        <w:trPr>
          <w:jc w:val="center"/>
          <w:del w:id="8806" w:author="AbbVie02no" w:date="2025-05-15T13:45:00Z"/>
        </w:trPr>
        <w:tc>
          <w:tcPr>
            <w:tcW w:w="2847" w:type="dxa"/>
            <w:tcMar>
              <w:top w:w="0" w:type="dxa"/>
              <w:left w:w="115" w:type="dxa"/>
              <w:bottom w:w="0" w:type="dxa"/>
              <w:right w:w="115" w:type="dxa"/>
            </w:tcMar>
            <w:vAlign w:val="center"/>
            <w:hideMark/>
          </w:tcPr>
          <w:p w14:paraId="1177711E" w14:textId="07B336B6" w:rsidR="00CB194F" w:rsidRPr="009C5EFD" w:rsidRDefault="00E453CD">
            <w:pPr>
              <w:keepNext/>
              <w:suppressAutoHyphens/>
              <w:rPr>
                <w:del w:id="8807" w:author="AbbVie02no" w:date="2025-05-15T13:45:00Z"/>
                <w:sz w:val="22"/>
                <w:szCs w:val="22"/>
              </w:rPr>
              <w:pPrChange w:id="8808" w:author="AbbVie02no" w:date="2025-05-15T13:45:00Z">
                <w:pPr>
                  <w:widowControl w:val="0"/>
                </w:pPr>
              </w:pPrChange>
            </w:pPr>
            <w:del w:id="8809" w:author="AbbVie02no" w:date="2025-05-15T13:45:00Z">
              <w:r w:rsidRPr="009C5EFD">
                <w:rPr>
                  <w:sz w:val="22"/>
                  <w:szCs w:val="22"/>
                </w:rPr>
                <w:delText>≥ 30 % Reduksjon i hudsmerter</w:delText>
              </w:r>
              <w:r w:rsidRPr="009C5EFD">
                <w:rPr>
                  <w:sz w:val="22"/>
                  <w:szCs w:val="22"/>
                  <w:vertAlign w:val="superscript"/>
                </w:rPr>
                <w:delText>b</w:delText>
              </w:r>
            </w:del>
          </w:p>
        </w:tc>
        <w:tc>
          <w:tcPr>
            <w:tcW w:w="1440" w:type="dxa"/>
            <w:tcMar>
              <w:top w:w="0" w:type="dxa"/>
              <w:left w:w="115" w:type="dxa"/>
              <w:bottom w:w="0" w:type="dxa"/>
              <w:right w:w="115" w:type="dxa"/>
            </w:tcMar>
            <w:hideMark/>
          </w:tcPr>
          <w:p w14:paraId="2E3B57CD" w14:textId="0AD6A38B" w:rsidR="00CB194F" w:rsidRPr="009C5EFD" w:rsidRDefault="00E453CD">
            <w:pPr>
              <w:keepNext/>
              <w:suppressAutoHyphens/>
              <w:rPr>
                <w:del w:id="8810" w:author="AbbVie02no" w:date="2025-05-15T13:45:00Z"/>
                <w:sz w:val="22"/>
                <w:szCs w:val="22"/>
              </w:rPr>
              <w:pPrChange w:id="8811" w:author="AbbVie02no" w:date="2025-05-15T13:45:00Z">
                <w:pPr>
                  <w:widowControl w:val="0"/>
                  <w:jc w:val="center"/>
                </w:pPr>
              </w:pPrChange>
            </w:pPr>
            <w:del w:id="8812" w:author="AbbVie02no" w:date="2025-05-15T13:45:00Z">
              <w:r w:rsidRPr="009C5EFD">
                <w:rPr>
                  <w:sz w:val="22"/>
                  <w:szCs w:val="22"/>
                </w:rPr>
                <w:delText>N = 109</w:delText>
              </w:r>
              <w:r w:rsidRPr="009C5EFD">
                <w:rPr>
                  <w:sz w:val="22"/>
                  <w:szCs w:val="22"/>
                </w:rPr>
                <w:br/>
                <w:delText>27 (24,8 %)</w:delText>
              </w:r>
            </w:del>
          </w:p>
        </w:tc>
        <w:tc>
          <w:tcPr>
            <w:tcW w:w="1746" w:type="dxa"/>
            <w:tcMar>
              <w:top w:w="0" w:type="dxa"/>
              <w:left w:w="115" w:type="dxa"/>
              <w:bottom w:w="0" w:type="dxa"/>
              <w:right w:w="115" w:type="dxa"/>
            </w:tcMar>
            <w:hideMark/>
          </w:tcPr>
          <w:p w14:paraId="35A42D63" w14:textId="0633148A" w:rsidR="00CB194F" w:rsidRPr="009C5EFD" w:rsidRDefault="00E453CD">
            <w:pPr>
              <w:keepNext/>
              <w:suppressAutoHyphens/>
              <w:rPr>
                <w:del w:id="8813" w:author="AbbVie02no" w:date="2025-05-15T13:45:00Z"/>
                <w:sz w:val="22"/>
                <w:szCs w:val="22"/>
              </w:rPr>
              <w:pPrChange w:id="8814" w:author="AbbVie02no" w:date="2025-05-15T13:45:00Z">
                <w:pPr>
                  <w:widowControl w:val="0"/>
                  <w:jc w:val="center"/>
                </w:pPr>
              </w:pPrChange>
            </w:pPr>
            <w:del w:id="8815" w:author="AbbVie02no" w:date="2025-05-15T13:45:00Z">
              <w:r w:rsidRPr="009C5EFD">
                <w:rPr>
                  <w:sz w:val="22"/>
                  <w:szCs w:val="22"/>
                </w:rPr>
                <w:delText>N = 122</w:delText>
              </w:r>
              <w:r w:rsidRPr="009C5EFD">
                <w:rPr>
                  <w:sz w:val="22"/>
                  <w:szCs w:val="22"/>
                </w:rPr>
                <w:br/>
                <w:delText>34 (27,9 %)</w:delText>
              </w:r>
            </w:del>
          </w:p>
        </w:tc>
        <w:tc>
          <w:tcPr>
            <w:tcW w:w="1404" w:type="dxa"/>
            <w:tcMar>
              <w:top w:w="0" w:type="dxa"/>
              <w:left w:w="115" w:type="dxa"/>
              <w:bottom w:w="0" w:type="dxa"/>
              <w:right w:w="115" w:type="dxa"/>
            </w:tcMar>
          </w:tcPr>
          <w:p w14:paraId="766E079A" w14:textId="6B3E3B32" w:rsidR="00CB194F" w:rsidRPr="009C5EFD" w:rsidRDefault="00E453CD">
            <w:pPr>
              <w:keepNext/>
              <w:suppressAutoHyphens/>
              <w:rPr>
                <w:del w:id="8816" w:author="AbbVie02no" w:date="2025-05-15T13:45:00Z"/>
                <w:sz w:val="22"/>
                <w:szCs w:val="22"/>
              </w:rPr>
              <w:pPrChange w:id="8817" w:author="AbbVie02no" w:date="2025-05-15T13:45:00Z">
                <w:pPr>
                  <w:widowControl w:val="0"/>
                  <w:jc w:val="center"/>
                </w:pPr>
              </w:pPrChange>
            </w:pPr>
            <w:del w:id="8818" w:author="AbbVie02no" w:date="2025-05-15T13:45:00Z">
              <w:r w:rsidRPr="009C5EFD">
                <w:rPr>
                  <w:sz w:val="22"/>
                  <w:szCs w:val="22"/>
                </w:rPr>
                <w:delText>N=111</w:delText>
              </w:r>
            </w:del>
          </w:p>
          <w:p w14:paraId="76269A93" w14:textId="2233F45E" w:rsidR="00CB194F" w:rsidRPr="009C5EFD" w:rsidRDefault="00E453CD">
            <w:pPr>
              <w:keepNext/>
              <w:suppressAutoHyphens/>
              <w:rPr>
                <w:del w:id="8819" w:author="AbbVie02no" w:date="2025-05-15T13:45:00Z"/>
                <w:sz w:val="22"/>
                <w:szCs w:val="22"/>
              </w:rPr>
              <w:pPrChange w:id="8820" w:author="AbbVie02no" w:date="2025-05-15T13:45:00Z">
                <w:pPr>
                  <w:widowControl w:val="0"/>
                  <w:jc w:val="center"/>
                </w:pPr>
              </w:pPrChange>
            </w:pPr>
            <w:del w:id="8821" w:author="AbbVie02no" w:date="2025-05-15T13:45:00Z">
              <w:r w:rsidRPr="009C5EFD">
                <w:rPr>
                  <w:sz w:val="22"/>
                  <w:szCs w:val="22"/>
                </w:rPr>
                <w:delText>23 (20,7 %)</w:delText>
              </w:r>
            </w:del>
          </w:p>
        </w:tc>
        <w:tc>
          <w:tcPr>
            <w:tcW w:w="1856" w:type="dxa"/>
            <w:tcMar>
              <w:top w:w="0" w:type="dxa"/>
              <w:left w:w="115" w:type="dxa"/>
              <w:bottom w:w="0" w:type="dxa"/>
              <w:right w:w="115" w:type="dxa"/>
            </w:tcMar>
          </w:tcPr>
          <w:p w14:paraId="4204EE84" w14:textId="34F407A0" w:rsidR="00CB194F" w:rsidRPr="009C5EFD" w:rsidRDefault="00E453CD">
            <w:pPr>
              <w:keepNext/>
              <w:suppressAutoHyphens/>
              <w:rPr>
                <w:del w:id="8822" w:author="AbbVie02no" w:date="2025-05-15T13:45:00Z"/>
                <w:sz w:val="22"/>
                <w:szCs w:val="22"/>
              </w:rPr>
              <w:pPrChange w:id="8823" w:author="AbbVie02no" w:date="2025-05-15T13:45:00Z">
                <w:pPr>
                  <w:widowControl w:val="0"/>
                  <w:jc w:val="center"/>
                </w:pPr>
              </w:pPrChange>
            </w:pPr>
            <w:del w:id="8824" w:author="AbbVie02no" w:date="2025-05-15T13:45:00Z">
              <w:r w:rsidRPr="009C5EFD">
                <w:rPr>
                  <w:sz w:val="22"/>
                  <w:szCs w:val="22"/>
                </w:rPr>
                <w:delText>N=105</w:delText>
              </w:r>
            </w:del>
          </w:p>
          <w:p w14:paraId="523F1432" w14:textId="74C91BDB" w:rsidR="00CB194F" w:rsidRPr="009C5EFD" w:rsidRDefault="00E453CD">
            <w:pPr>
              <w:keepNext/>
              <w:suppressAutoHyphens/>
              <w:rPr>
                <w:del w:id="8825" w:author="AbbVie02no" w:date="2025-05-15T13:45:00Z"/>
                <w:sz w:val="22"/>
                <w:szCs w:val="22"/>
              </w:rPr>
              <w:pPrChange w:id="8826" w:author="AbbVie02no" w:date="2025-05-15T13:45:00Z">
                <w:pPr>
                  <w:widowControl w:val="0"/>
                  <w:jc w:val="center"/>
                </w:pPr>
              </w:pPrChange>
            </w:pPr>
            <w:del w:id="8827" w:author="AbbVie02no" w:date="2025-05-15T13:45:00Z">
              <w:r w:rsidRPr="009C5EFD">
                <w:rPr>
                  <w:sz w:val="22"/>
                  <w:szCs w:val="22"/>
                </w:rPr>
                <w:delText>48 (45,7 %)</w:delText>
              </w:r>
              <w:r w:rsidRPr="009C5EFD">
                <w:rPr>
                  <w:sz w:val="22"/>
                  <w:szCs w:val="22"/>
                  <w:vertAlign w:val="superscript"/>
                </w:rPr>
                <w:delText>***</w:delText>
              </w:r>
            </w:del>
          </w:p>
        </w:tc>
      </w:tr>
      <w:tr w:rsidR="004644D4" w14:paraId="7B0B846D" w14:textId="4BC5E45F" w:rsidTr="00CB194F">
        <w:trPr>
          <w:jc w:val="center"/>
          <w:del w:id="8828" w:author="AbbVie02no" w:date="2025-05-15T13:45:00Z"/>
        </w:trPr>
        <w:tc>
          <w:tcPr>
            <w:tcW w:w="9293" w:type="dxa"/>
            <w:gridSpan w:val="5"/>
            <w:tcMar>
              <w:top w:w="0" w:type="dxa"/>
              <w:left w:w="115" w:type="dxa"/>
              <w:bottom w:w="0" w:type="dxa"/>
              <w:right w:w="115" w:type="dxa"/>
            </w:tcMar>
            <w:vAlign w:val="center"/>
          </w:tcPr>
          <w:p w14:paraId="08303F83" w14:textId="2B4916DC" w:rsidR="00CB194F" w:rsidRPr="001F5D4B" w:rsidRDefault="00E453CD">
            <w:pPr>
              <w:keepNext/>
              <w:suppressAutoHyphens/>
              <w:rPr>
                <w:del w:id="8829" w:author="AbbVie02no" w:date="2025-05-15T13:45:00Z"/>
                <w:sz w:val="22"/>
                <w:szCs w:val="22"/>
                <w:lang w:val="sv-SE"/>
              </w:rPr>
              <w:pPrChange w:id="8830" w:author="AbbVie02no" w:date="2025-05-15T13:45:00Z">
                <w:pPr>
                  <w:keepNext/>
                  <w:widowControl w:val="0"/>
                  <w:ind w:left="360"/>
                </w:pPr>
              </w:pPrChange>
            </w:pPr>
            <w:del w:id="8831" w:author="AbbVie02no" w:date="2025-05-15T13:45:00Z">
              <w:r w:rsidRPr="002C5CDB">
                <w:rPr>
                  <w:sz w:val="22"/>
                  <w:szCs w:val="22"/>
                  <w:rPrChange w:id="8832" w:author="AbbVie05no" w:date="2025-05-19T10:32:00Z">
                    <w:rPr>
                      <w:sz w:val="22"/>
                      <w:szCs w:val="22"/>
                      <w:lang w:val="en-US"/>
                    </w:rPr>
                  </w:rPrChange>
                </w:rPr>
                <w:delText>*</w:delText>
              </w:r>
              <w:r w:rsidR="00367518" w:rsidRPr="002C5CDB">
                <w:rPr>
                  <w:i/>
                  <w:sz w:val="22"/>
                  <w:szCs w:val="22"/>
                  <w:rPrChange w:id="8833" w:author="AbbVie05no" w:date="2025-05-19T10:32:00Z">
                    <w:rPr>
                      <w:i/>
                      <w:sz w:val="22"/>
                      <w:szCs w:val="22"/>
                      <w:lang w:val="en-US"/>
                    </w:rPr>
                  </w:rPrChange>
                </w:rPr>
                <w:delText>p</w:delText>
              </w:r>
              <w:r w:rsidRPr="002C5CDB">
                <w:rPr>
                  <w:sz w:val="22"/>
                  <w:szCs w:val="22"/>
                  <w:rPrChange w:id="8834" w:author="AbbVie05no" w:date="2025-05-19T10:32:00Z">
                    <w:rPr>
                      <w:sz w:val="22"/>
                      <w:szCs w:val="22"/>
                      <w:lang w:val="en-US"/>
                    </w:rPr>
                  </w:rPrChange>
                </w:rPr>
                <w:delText xml:space="preserve"> &lt; 0,05, ***</w:delText>
              </w:r>
              <w:r w:rsidR="00367518" w:rsidRPr="002C5CDB">
                <w:rPr>
                  <w:i/>
                  <w:sz w:val="22"/>
                  <w:szCs w:val="22"/>
                  <w:rPrChange w:id="8835" w:author="AbbVie05no" w:date="2025-05-19T10:32:00Z">
                    <w:rPr>
                      <w:i/>
                      <w:sz w:val="22"/>
                      <w:szCs w:val="22"/>
                      <w:lang w:val="en-US"/>
                    </w:rPr>
                  </w:rPrChange>
                </w:rPr>
                <w:delText>p</w:delText>
              </w:r>
              <w:r w:rsidRPr="002C5CDB">
                <w:rPr>
                  <w:i/>
                  <w:sz w:val="22"/>
                  <w:szCs w:val="22"/>
                  <w:rPrChange w:id="8836" w:author="AbbVie05no" w:date="2025-05-19T10:32:00Z">
                    <w:rPr>
                      <w:i/>
                      <w:sz w:val="22"/>
                      <w:szCs w:val="22"/>
                      <w:lang w:val="en-US"/>
                    </w:rPr>
                  </w:rPrChange>
                </w:rPr>
                <w:delText xml:space="preserve"> </w:delText>
              </w:r>
              <w:r w:rsidRPr="002C5CDB">
                <w:rPr>
                  <w:sz w:val="22"/>
                  <w:szCs w:val="22"/>
                  <w:rPrChange w:id="8837" w:author="AbbVie05no" w:date="2025-05-19T10:32:00Z">
                    <w:rPr>
                      <w:sz w:val="22"/>
                      <w:szCs w:val="22"/>
                      <w:lang w:val="en-US"/>
                    </w:rPr>
                  </w:rPrChange>
                </w:rPr>
                <w:delText xml:space="preserve">&lt; 0,001, Humira versus placebo </w:delText>
              </w:r>
            </w:del>
          </w:p>
          <w:p w14:paraId="3E0140D5" w14:textId="22220CC6" w:rsidR="00CB194F" w:rsidRPr="009C5EFD" w:rsidRDefault="00E453CD">
            <w:pPr>
              <w:keepNext/>
              <w:suppressAutoHyphens/>
              <w:rPr>
                <w:del w:id="8838" w:author="AbbVie02no" w:date="2025-05-15T13:45:00Z"/>
                <w:sz w:val="22"/>
                <w:szCs w:val="22"/>
              </w:rPr>
              <w:pPrChange w:id="8839" w:author="AbbVie02no" w:date="2025-05-15T13:45:00Z">
                <w:pPr>
                  <w:keepNext/>
                  <w:keepLines/>
                  <w:widowControl w:val="0"/>
                  <w:numPr>
                    <w:numId w:val="159"/>
                  </w:numPr>
                  <w:spacing w:before="40" w:line="240" w:lineRule="exact"/>
                  <w:ind w:left="360" w:hanging="360"/>
                </w:pPr>
              </w:pPrChange>
            </w:pPr>
            <w:del w:id="8840" w:author="AbbVie02no" w:date="2025-05-15T13:45:00Z">
              <w:r w:rsidRPr="009C5EFD">
                <w:rPr>
                  <w:sz w:val="22"/>
                  <w:szCs w:val="22"/>
                </w:rPr>
                <w:delText>Blant alle randomiserte pasienter.</w:delText>
              </w:r>
            </w:del>
          </w:p>
          <w:p w14:paraId="512106B7" w14:textId="007CB8B0" w:rsidR="00CB194F" w:rsidRPr="009C5EFD" w:rsidRDefault="00E453CD">
            <w:pPr>
              <w:keepNext/>
              <w:suppressAutoHyphens/>
              <w:rPr>
                <w:del w:id="8841" w:author="AbbVie02no" w:date="2025-05-15T13:45:00Z"/>
                <w:sz w:val="22"/>
                <w:szCs w:val="22"/>
              </w:rPr>
              <w:pPrChange w:id="8842" w:author="AbbVie02no" w:date="2025-05-15T13:45:00Z">
                <w:pPr>
                  <w:keepNext/>
                  <w:keepLines/>
                  <w:widowControl w:val="0"/>
                  <w:numPr>
                    <w:numId w:val="159"/>
                  </w:numPr>
                  <w:spacing w:before="40" w:line="240" w:lineRule="exact"/>
                  <w:ind w:left="360" w:hanging="360"/>
                </w:pPr>
              </w:pPrChange>
            </w:pPr>
            <w:del w:id="8843" w:author="AbbVie02no" w:date="2025-05-15T13:45:00Z">
              <w:r w:rsidRPr="009C5EFD">
                <w:rPr>
                  <w:sz w:val="22"/>
                  <w:szCs w:val="22"/>
                </w:rPr>
                <w:delText>Blant pasienter med HS-relaterte hudsmerter vurdert til ≥ 3</w:delText>
              </w:r>
              <w:r w:rsidR="005B64BC">
                <w:rPr>
                  <w:sz w:val="22"/>
                  <w:szCs w:val="22"/>
                </w:rPr>
                <w:delText xml:space="preserve"> ved baseline</w:delText>
              </w:r>
              <w:r w:rsidRPr="009C5EFD">
                <w:rPr>
                  <w:sz w:val="22"/>
                  <w:szCs w:val="22"/>
                </w:rPr>
                <w:delText>, basert på «Numerisk Rating Scale» 0</w:delText>
              </w:r>
              <w:r w:rsidR="0071551A">
                <w:rPr>
                  <w:sz w:val="22"/>
                  <w:szCs w:val="22"/>
                </w:rPr>
                <w:noBreakHyphen/>
              </w:r>
              <w:r w:rsidRPr="009C5EFD">
                <w:rPr>
                  <w:sz w:val="22"/>
                  <w:szCs w:val="22"/>
                </w:rPr>
                <w:delText xml:space="preserve">10; 0 = ingen hudsmerter, 10 = </w:delText>
              </w:r>
              <w:r w:rsidR="001C6444" w:rsidRPr="009C5EFD">
                <w:rPr>
                  <w:sz w:val="22"/>
                  <w:szCs w:val="22"/>
                </w:rPr>
                <w:delText>hudsmerter så sterke man kan forestille seg</w:delText>
              </w:r>
              <w:r w:rsidRPr="009C5EFD">
                <w:rPr>
                  <w:sz w:val="22"/>
                  <w:szCs w:val="22"/>
                </w:rPr>
                <w:delText>.</w:delText>
              </w:r>
            </w:del>
          </w:p>
        </w:tc>
      </w:tr>
    </w:tbl>
    <w:p w14:paraId="03E443A9" w14:textId="01D6DF57" w:rsidR="001C6444" w:rsidRPr="009C5EFD" w:rsidRDefault="001C6444">
      <w:pPr>
        <w:keepNext/>
        <w:suppressAutoHyphens/>
        <w:rPr>
          <w:del w:id="8844" w:author="AbbVie02no" w:date="2025-05-15T13:45:00Z"/>
          <w:rFonts w:eastAsia="TimesNewRoman"/>
          <w:sz w:val="22"/>
          <w:szCs w:val="22"/>
        </w:rPr>
        <w:pPrChange w:id="8845" w:author="AbbVie02no" w:date="2025-05-15T13:45:00Z">
          <w:pPr/>
        </w:pPrChange>
      </w:pPr>
    </w:p>
    <w:p w14:paraId="670459D2" w14:textId="7CE2B854" w:rsidR="00CB194F" w:rsidRPr="009C5EFD" w:rsidRDefault="00E453CD">
      <w:pPr>
        <w:keepNext/>
        <w:suppressAutoHyphens/>
        <w:rPr>
          <w:del w:id="8846" w:author="AbbVie02no" w:date="2025-05-15T13:45:00Z"/>
          <w:rFonts w:eastAsia="TimesNewRoman"/>
          <w:sz w:val="22"/>
          <w:szCs w:val="22"/>
        </w:rPr>
        <w:pPrChange w:id="8847" w:author="AbbVie02no" w:date="2025-05-15T13:45:00Z">
          <w:pPr>
            <w:autoSpaceDE w:val="0"/>
            <w:autoSpaceDN w:val="0"/>
            <w:adjustRightInd w:val="0"/>
          </w:pPr>
        </w:pPrChange>
      </w:pPr>
      <w:del w:id="8848" w:author="AbbVie02no" w:date="2025-05-15T13:45:00Z">
        <w:r w:rsidRPr="009C5EFD">
          <w:rPr>
            <w:rFonts w:eastAsia="TimesNewRoman"/>
            <w:sz w:val="22"/>
            <w:szCs w:val="22"/>
          </w:rPr>
          <w:delText xml:space="preserve">Behandling med </w:delText>
        </w:r>
        <w:r w:rsidR="00367518">
          <w:rPr>
            <w:rFonts w:eastAsia="TimesNewRoman"/>
            <w:sz w:val="22"/>
            <w:szCs w:val="22"/>
          </w:rPr>
          <w:delText xml:space="preserve">40 mg </w:delText>
        </w:r>
        <w:r w:rsidRPr="009C5EFD">
          <w:rPr>
            <w:rFonts w:eastAsia="TimesNewRoman"/>
            <w:sz w:val="22"/>
            <w:szCs w:val="22"/>
          </w:rPr>
          <w:delText>Humira hver uke redusert</w:delText>
        </w:r>
        <w:r w:rsidR="00367518">
          <w:rPr>
            <w:rFonts w:eastAsia="TimesNewRoman"/>
            <w:sz w:val="22"/>
            <w:szCs w:val="22"/>
          </w:rPr>
          <w:delText>e</w:delText>
        </w:r>
        <w:r w:rsidRPr="009C5EFD">
          <w:rPr>
            <w:rFonts w:eastAsia="TimesNewRoman"/>
            <w:sz w:val="22"/>
            <w:szCs w:val="22"/>
          </w:rPr>
          <w:delText xml:space="preserve"> signifikant risikoen for forverrelse av abscesser og rennende fistler. I løpet av de første 12 ukene av studiene HS-I og HS-II opplevde omtrent dobbelt så mange pasienter i placebogruppen, sammenlignet med de i Humiragruppen</w:delText>
        </w:r>
        <w:r w:rsidR="0002499F" w:rsidRPr="009C5EFD">
          <w:rPr>
            <w:rFonts w:eastAsia="TimesNewRoman"/>
            <w:sz w:val="22"/>
            <w:szCs w:val="22"/>
          </w:rPr>
          <w:delText>,</w:delText>
        </w:r>
        <w:r w:rsidRPr="009C5EFD">
          <w:rPr>
            <w:rFonts w:eastAsia="TimesNewRoman"/>
            <w:sz w:val="22"/>
            <w:szCs w:val="22"/>
          </w:rPr>
          <w:delText xml:space="preserve"> forverrelse av abscesser (henholdsvis 23,0 % vs. 11,4 %) og rennende fistler (henholdsvis 30,0 % vs. 13,9 %).</w:delText>
        </w:r>
      </w:del>
    </w:p>
    <w:p w14:paraId="2CF6CCAB" w14:textId="20C66F18" w:rsidR="00583C6C" w:rsidRPr="009C5EFD" w:rsidRDefault="00583C6C">
      <w:pPr>
        <w:keepNext/>
        <w:suppressAutoHyphens/>
        <w:rPr>
          <w:del w:id="8849" w:author="AbbVie02no" w:date="2025-05-15T13:45:00Z"/>
          <w:sz w:val="22"/>
          <w:szCs w:val="22"/>
          <w:u w:val="single"/>
        </w:rPr>
        <w:pPrChange w:id="8850" w:author="AbbVie02no" w:date="2025-05-15T13:45:00Z">
          <w:pPr/>
        </w:pPrChange>
      </w:pPr>
    </w:p>
    <w:p w14:paraId="13168DDF" w14:textId="3D233D7B" w:rsidR="00A20A3D" w:rsidRPr="009C5EFD" w:rsidRDefault="00E453CD">
      <w:pPr>
        <w:keepNext/>
        <w:suppressAutoHyphens/>
        <w:rPr>
          <w:del w:id="8851" w:author="AbbVie02no" w:date="2025-05-15T13:45:00Z"/>
          <w:rFonts w:eastAsia="TimesNewRoman"/>
          <w:sz w:val="22"/>
          <w:szCs w:val="22"/>
        </w:rPr>
        <w:pPrChange w:id="8852" w:author="AbbVie02no" w:date="2025-05-15T13:45:00Z">
          <w:pPr>
            <w:autoSpaceDE w:val="0"/>
            <w:autoSpaceDN w:val="0"/>
            <w:adjustRightInd w:val="0"/>
          </w:pPr>
        </w:pPrChange>
      </w:pPr>
      <w:del w:id="8853" w:author="AbbVie02no" w:date="2025-05-15T13:45:00Z">
        <w:r w:rsidRPr="009C5EFD">
          <w:rPr>
            <w:rFonts w:eastAsia="TimesNewRoman"/>
            <w:sz w:val="22"/>
            <w:szCs w:val="22"/>
          </w:rPr>
          <w:delText xml:space="preserve">Større forbedringer ved uke 12 fra start sammenlignet med placebo ble vist i </w:delText>
        </w:r>
        <w:r w:rsidRPr="001C217B">
          <w:rPr>
            <w:sz w:val="22"/>
          </w:rPr>
          <w:delText>hudspesifikk helse</w:delText>
        </w:r>
        <w:r w:rsidR="00845965" w:rsidRPr="001C217B">
          <w:rPr>
            <w:sz w:val="22"/>
          </w:rPr>
          <w:delText>relatert</w:delText>
        </w:r>
        <w:r w:rsidRPr="001C217B">
          <w:rPr>
            <w:sz w:val="22"/>
          </w:rPr>
          <w:delText xml:space="preserve"> livskvalitet</w:delText>
        </w:r>
        <w:r w:rsidRPr="009C5EFD">
          <w:rPr>
            <w:rFonts w:eastAsia="TimesNewRoman"/>
            <w:sz w:val="22"/>
            <w:szCs w:val="22"/>
          </w:rPr>
          <w:delText xml:space="preserve">, målt ved bruk av «Dermatology Life Quality Index» (DLQI; studiene HS-I og HS-II), global pasienttilfredshet med </w:delText>
        </w:r>
        <w:r w:rsidR="00F82487">
          <w:rPr>
            <w:rFonts w:eastAsia="TimesNewRoman"/>
            <w:sz w:val="22"/>
            <w:szCs w:val="22"/>
          </w:rPr>
          <w:delText>legemiddel</w:delText>
        </w:r>
        <w:r w:rsidR="00F82487" w:rsidRPr="009C5EFD">
          <w:rPr>
            <w:rFonts w:eastAsia="TimesNewRoman"/>
            <w:sz w:val="22"/>
            <w:szCs w:val="22"/>
          </w:rPr>
          <w:delText>behandling</w:delText>
        </w:r>
        <w:r w:rsidRPr="009C5EFD">
          <w:rPr>
            <w:rFonts w:eastAsia="TimesNewRoman"/>
            <w:sz w:val="22"/>
            <w:szCs w:val="22"/>
          </w:rPr>
          <w:delText xml:space="preserve"> målt ved bruk av «Treatment Satisfaction Questionnaire – medication» (TSQM; studiene HS-I og HS-II) og fysisk helse målt ved bruk av den fysiske komponenten av SF-36 (studie HS-I).</w:delText>
        </w:r>
      </w:del>
    </w:p>
    <w:p w14:paraId="634D5E01" w14:textId="0BFA763F" w:rsidR="00A20A3D" w:rsidRPr="009C5EFD" w:rsidRDefault="00A20A3D">
      <w:pPr>
        <w:keepNext/>
        <w:suppressAutoHyphens/>
        <w:rPr>
          <w:del w:id="8854" w:author="AbbVie02no" w:date="2025-05-15T13:45:00Z"/>
          <w:sz w:val="22"/>
          <w:szCs w:val="22"/>
          <w:u w:val="single"/>
        </w:rPr>
        <w:pPrChange w:id="8855" w:author="AbbVie02no" w:date="2025-05-15T13:45:00Z">
          <w:pPr/>
        </w:pPrChange>
      </w:pPr>
    </w:p>
    <w:p w14:paraId="2A1C3CD5" w14:textId="1A0F01AF" w:rsidR="009B3817" w:rsidRDefault="00E453CD">
      <w:pPr>
        <w:keepNext/>
        <w:suppressAutoHyphens/>
        <w:rPr>
          <w:del w:id="8856" w:author="AbbVie02no" w:date="2025-05-15T13:45:00Z"/>
          <w:rFonts w:eastAsia="Calibri"/>
          <w:szCs w:val="22"/>
        </w:rPr>
        <w:pPrChange w:id="8857" w:author="AbbVie02no" w:date="2025-05-15T13:45:00Z">
          <w:pPr>
            <w:pStyle w:val="EMEANormal"/>
          </w:pPr>
        </w:pPrChange>
      </w:pPr>
      <w:del w:id="8858" w:author="AbbVie02no" w:date="2025-05-15T13:45:00Z">
        <w:r w:rsidRPr="009C5EFD">
          <w:rPr>
            <w:rFonts w:eastAsia="Calibri"/>
            <w:szCs w:val="22"/>
          </w:rPr>
          <w:delText xml:space="preserve">Hos pasienter </w:delText>
        </w:r>
        <w:r w:rsidR="00845965" w:rsidRPr="009C5EFD">
          <w:rPr>
            <w:rFonts w:eastAsia="Calibri"/>
            <w:szCs w:val="22"/>
          </w:rPr>
          <w:delText xml:space="preserve">som fikk </w:delText>
        </w:r>
        <w:r w:rsidR="00367518">
          <w:rPr>
            <w:rFonts w:eastAsia="Calibri"/>
            <w:szCs w:val="22"/>
          </w:rPr>
          <w:delText xml:space="preserve">40 mg </w:delText>
        </w:r>
        <w:r w:rsidR="00845965" w:rsidRPr="009C5EFD">
          <w:rPr>
            <w:rFonts w:eastAsia="Calibri"/>
            <w:szCs w:val="22"/>
          </w:rPr>
          <w:delText xml:space="preserve">Humira ukentlig </w:delText>
        </w:r>
        <w:r w:rsidRPr="009C5EFD">
          <w:rPr>
            <w:rFonts w:eastAsia="Calibri"/>
            <w:szCs w:val="22"/>
          </w:rPr>
          <w:delText xml:space="preserve">med minst en delvis respons </w:delText>
        </w:r>
        <w:r w:rsidR="00980120" w:rsidRPr="009C5EFD">
          <w:rPr>
            <w:rFonts w:eastAsia="Calibri"/>
            <w:szCs w:val="22"/>
          </w:rPr>
          <w:delText>ved uke 12</w:delText>
        </w:r>
        <w:r w:rsidRPr="009C5EFD">
          <w:rPr>
            <w:rFonts w:eastAsia="Calibri"/>
            <w:szCs w:val="22"/>
          </w:rPr>
          <w:delText xml:space="preserve">, var HiSCR </w:delText>
        </w:r>
        <w:r w:rsidR="00980120" w:rsidRPr="009C5EFD">
          <w:rPr>
            <w:rFonts w:eastAsia="Calibri"/>
            <w:szCs w:val="22"/>
          </w:rPr>
          <w:delText>raten</w:delText>
        </w:r>
        <w:r w:rsidRPr="009C5EFD">
          <w:rPr>
            <w:rFonts w:eastAsia="Calibri"/>
            <w:szCs w:val="22"/>
          </w:rPr>
          <w:delText xml:space="preserve"> ved uke 36 høyere hos pasienter som fortsatte </w:delText>
        </w:r>
        <w:r w:rsidR="00980120" w:rsidRPr="009C5EFD">
          <w:rPr>
            <w:rFonts w:eastAsia="Calibri"/>
            <w:szCs w:val="22"/>
          </w:rPr>
          <w:delText xml:space="preserve">behandling med </w:delText>
        </w:r>
        <w:r w:rsidRPr="009C5EFD">
          <w:rPr>
            <w:rFonts w:eastAsia="Calibri"/>
            <w:szCs w:val="22"/>
          </w:rPr>
          <w:delText xml:space="preserve">Humira </w:delText>
        </w:r>
        <w:r w:rsidR="00980120" w:rsidRPr="009C5EFD">
          <w:rPr>
            <w:rFonts w:eastAsia="Calibri"/>
            <w:szCs w:val="22"/>
          </w:rPr>
          <w:delText xml:space="preserve">ukentlig, </w:delText>
        </w:r>
        <w:r w:rsidRPr="009C5EFD">
          <w:rPr>
            <w:rFonts w:eastAsia="Calibri"/>
            <w:szCs w:val="22"/>
          </w:rPr>
          <w:lastRenderedPageBreak/>
          <w:delText>enn hos pasienter der doseringsfrekvensen ble redusert til annenhver uke eller der behandling</w:delText>
        </w:r>
        <w:r w:rsidR="00845965" w:rsidRPr="009C5EFD">
          <w:rPr>
            <w:rFonts w:eastAsia="Calibri"/>
            <w:szCs w:val="22"/>
          </w:rPr>
          <w:delText>en</w:delText>
        </w:r>
        <w:r w:rsidRPr="009C5EFD">
          <w:rPr>
            <w:rFonts w:eastAsia="Calibri"/>
            <w:szCs w:val="22"/>
          </w:rPr>
          <w:delText xml:space="preserve"> </w:delText>
        </w:r>
        <w:r w:rsidR="00980120" w:rsidRPr="009C5EFD">
          <w:rPr>
            <w:rFonts w:eastAsia="Calibri"/>
            <w:szCs w:val="22"/>
          </w:rPr>
          <w:delText>ble stoppet</w:delText>
        </w:r>
        <w:r w:rsidRPr="009C5EFD">
          <w:rPr>
            <w:rFonts w:eastAsia="Calibri"/>
            <w:szCs w:val="22"/>
          </w:rPr>
          <w:delText xml:space="preserve"> (se tabell </w:delText>
        </w:r>
        <w:r w:rsidR="00205D90">
          <w:rPr>
            <w:rFonts w:eastAsia="Calibri"/>
            <w:szCs w:val="22"/>
          </w:rPr>
          <w:delText>20</w:delText>
        </w:r>
        <w:r w:rsidRPr="009C5EFD">
          <w:rPr>
            <w:rFonts w:eastAsia="Calibri"/>
            <w:szCs w:val="22"/>
          </w:rPr>
          <w:delText>).</w:delText>
        </w:r>
      </w:del>
    </w:p>
    <w:p w14:paraId="18568382" w14:textId="4CC04734" w:rsidR="00331D9E" w:rsidRPr="009C5EFD" w:rsidRDefault="00331D9E">
      <w:pPr>
        <w:keepNext/>
        <w:suppressAutoHyphens/>
        <w:rPr>
          <w:del w:id="8859" w:author="AbbVie02no" w:date="2025-05-15T13:45:00Z"/>
          <w:szCs w:val="22"/>
        </w:rPr>
        <w:pPrChange w:id="8860" w:author="AbbVie02no" w:date="2025-05-15T13:45:00Z">
          <w:pPr>
            <w:pStyle w:val="EMEANormal"/>
          </w:pPr>
        </w:pPrChange>
      </w:pPr>
    </w:p>
    <w:p w14:paraId="49FFDAAF" w14:textId="1E0BB948" w:rsidR="009B3817" w:rsidRPr="009C5EFD" w:rsidRDefault="00E453CD">
      <w:pPr>
        <w:keepNext/>
        <w:suppressAutoHyphens/>
        <w:rPr>
          <w:del w:id="8861" w:author="AbbVie02no" w:date="2025-05-15T13:45:00Z"/>
          <w:b/>
          <w:sz w:val="22"/>
          <w:szCs w:val="22"/>
        </w:rPr>
        <w:pPrChange w:id="8862" w:author="AbbVie02no" w:date="2025-05-15T13:45:00Z">
          <w:pPr>
            <w:pStyle w:val="Paragraph"/>
            <w:keepNext/>
            <w:spacing w:after="0" w:line="240" w:lineRule="auto"/>
            <w:ind w:left="567"/>
            <w:jc w:val="center"/>
          </w:pPr>
        </w:pPrChange>
      </w:pPr>
      <w:del w:id="8863" w:author="AbbVie02no" w:date="2025-05-15T13:45:00Z">
        <w:r w:rsidRPr="009C5EFD">
          <w:rPr>
            <w:b/>
            <w:sz w:val="22"/>
            <w:szCs w:val="22"/>
          </w:rPr>
          <w:delText>Tabel</w:delText>
        </w:r>
        <w:r w:rsidR="003F04D0" w:rsidRPr="009C5EFD">
          <w:rPr>
            <w:b/>
            <w:sz w:val="22"/>
            <w:szCs w:val="22"/>
          </w:rPr>
          <w:delText>l</w:delText>
        </w:r>
        <w:r w:rsidRPr="009C5EFD">
          <w:rPr>
            <w:b/>
            <w:sz w:val="22"/>
            <w:szCs w:val="22"/>
          </w:rPr>
          <w:delText> </w:delText>
        </w:r>
        <w:r w:rsidR="00205D90">
          <w:rPr>
            <w:b/>
            <w:sz w:val="22"/>
            <w:szCs w:val="22"/>
          </w:rPr>
          <w:delText>20</w:delText>
        </w:r>
        <w:r w:rsidRPr="009C5EFD">
          <w:rPr>
            <w:b/>
            <w:sz w:val="22"/>
            <w:szCs w:val="22"/>
          </w:rPr>
          <w:delText>:</w:delText>
        </w:r>
        <w:r w:rsidR="00506332">
          <w:rPr>
            <w:b/>
            <w:sz w:val="22"/>
            <w:szCs w:val="22"/>
          </w:rPr>
          <w:delText xml:space="preserve"> </w:delText>
        </w:r>
        <w:r w:rsidRPr="009C5EFD">
          <w:rPr>
            <w:b/>
            <w:sz w:val="22"/>
            <w:szCs w:val="22"/>
          </w:rPr>
          <w:delText>Andel av pasienter</w:delText>
        </w:r>
        <w:r w:rsidRPr="009C5EFD">
          <w:rPr>
            <w:b/>
            <w:sz w:val="22"/>
            <w:szCs w:val="22"/>
            <w:vertAlign w:val="superscript"/>
          </w:rPr>
          <w:delText>a</w:delText>
        </w:r>
        <w:r w:rsidRPr="009C5EFD">
          <w:rPr>
            <w:b/>
            <w:sz w:val="22"/>
            <w:szCs w:val="22"/>
          </w:rPr>
          <w:delText xml:space="preserve"> som </w:delText>
        </w:r>
        <w:r w:rsidR="00537347">
          <w:rPr>
            <w:b/>
            <w:sz w:val="22"/>
            <w:szCs w:val="22"/>
          </w:rPr>
          <w:delText>oppnådde</w:delText>
        </w:r>
        <w:r w:rsidRPr="009C5EFD">
          <w:rPr>
            <w:b/>
            <w:sz w:val="22"/>
            <w:szCs w:val="22"/>
          </w:rPr>
          <w:delText xml:space="preserve"> HiSCR</w:delText>
        </w:r>
        <w:r w:rsidRPr="009C5EFD">
          <w:rPr>
            <w:b/>
            <w:sz w:val="22"/>
            <w:szCs w:val="22"/>
            <w:vertAlign w:val="superscript"/>
          </w:rPr>
          <w:delText xml:space="preserve">b </w:delText>
        </w:r>
        <w:r w:rsidRPr="009C5EFD">
          <w:rPr>
            <w:b/>
            <w:sz w:val="22"/>
            <w:szCs w:val="22"/>
          </w:rPr>
          <w:delText xml:space="preserve">ved uke 24 og 36 </w:delText>
        </w:r>
        <w:r w:rsidR="00537347" w:rsidRPr="00537347">
          <w:rPr>
            <w:b/>
            <w:sz w:val="22"/>
            <w:szCs w:val="22"/>
          </w:rPr>
          <w:delText>etter</w:delText>
        </w:r>
        <w:r w:rsidR="00CC58AE">
          <w:rPr>
            <w:b/>
            <w:sz w:val="22"/>
            <w:szCs w:val="22"/>
          </w:rPr>
          <w:delText xml:space="preserve"> </w:delText>
        </w:r>
        <w:r w:rsidR="00331D9E">
          <w:rPr>
            <w:b/>
            <w:sz w:val="22"/>
            <w:szCs w:val="22"/>
          </w:rPr>
          <w:delText>behandlingsendring</w:delText>
        </w:r>
        <w:r w:rsidR="00537347">
          <w:rPr>
            <w:b/>
            <w:sz w:val="22"/>
            <w:szCs w:val="22"/>
          </w:rPr>
          <w:delText xml:space="preserve"> fra </w:delText>
        </w:r>
        <w:r w:rsidR="00537347" w:rsidRPr="00537347">
          <w:rPr>
            <w:b/>
            <w:sz w:val="22"/>
            <w:szCs w:val="22"/>
          </w:rPr>
          <w:delText xml:space="preserve">ukentlig Humira </w:delText>
        </w:r>
        <w:r w:rsidR="00537347">
          <w:rPr>
            <w:b/>
            <w:sz w:val="22"/>
            <w:szCs w:val="22"/>
          </w:rPr>
          <w:delText>ved uke 12</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4644D4" w14:paraId="66CDC456" w14:textId="60C7056E" w:rsidTr="00E51D8F">
        <w:trPr>
          <w:tblHeader/>
          <w:jc w:val="center"/>
          <w:del w:id="8864" w:author="AbbVie02no" w:date="2025-05-15T13:45:00Z"/>
        </w:trPr>
        <w:tc>
          <w:tcPr>
            <w:tcW w:w="1437" w:type="dxa"/>
            <w:vAlign w:val="bottom"/>
          </w:tcPr>
          <w:p w14:paraId="777537D9" w14:textId="42CFCCDB" w:rsidR="009B3817" w:rsidRPr="009C5EFD" w:rsidRDefault="009B3817">
            <w:pPr>
              <w:keepNext/>
              <w:suppressAutoHyphens/>
              <w:rPr>
                <w:del w:id="8865" w:author="AbbVie02no" w:date="2025-05-15T13:45:00Z"/>
                <w:b/>
                <w:sz w:val="22"/>
                <w:szCs w:val="22"/>
              </w:rPr>
              <w:pPrChange w:id="8866" w:author="AbbVie02no" w:date="2025-05-15T13:45:00Z">
                <w:pPr>
                  <w:pStyle w:val="TableLeft"/>
                </w:pPr>
              </w:pPrChange>
            </w:pPr>
          </w:p>
        </w:tc>
        <w:tc>
          <w:tcPr>
            <w:tcW w:w="1980" w:type="dxa"/>
            <w:vAlign w:val="bottom"/>
          </w:tcPr>
          <w:p w14:paraId="66EC7C96" w14:textId="3DA5EFBC" w:rsidR="009B3817" w:rsidRPr="009C5EFD" w:rsidRDefault="00E453CD">
            <w:pPr>
              <w:keepNext/>
              <w:suppressAutoHyphens/>
              <w:rPr>
                <w:del w:id="8867" w:author="AbbVie02no" w:date="2025-05-15T13:45:00Z"/>
                <w:b/>
                <w:sz w:val="22"/>
                <w:szCs w:val="22"/>
              </w:rPr>
              <w:pPrChange w:id="8868" w:author="AbbVie02no" w:date="2025-05-15T13:45:00Z">
                <w:pPr>
                  <w:pStyle w:val="TableLeft"/>
                  <w:jc w:val="center"/>
                </w:pPr>
              </w:pPrChange>
            </w:pPr>
            <w:del w:id="8869" w:author="AbbVie02no" w:date="2025-05-15T13:45:00Z">
              <w:r w:rsidRPr="009C5EFD">
                <w:rPr>
                  <w:b/>
                  <w:sz w:val="22"/>
                  <w:szCs w:val="22"/>
                </w:rPr>
                <w:delText>Placebo</w:delText>
              </w:r>
              <w:r w:rsidRPr="009C5EFD">
                <w:rPr>
                  <w:b/>
                  <w:sz w:val="22"/>
                  <w:szCs w:val="22"/>
                </w:rPr>
                <w:br/>
                <w:delText>(behandlingsstans)</w:delText>
              </w:r>
              <w:r w:rsidRPr="009C5EFD">
                <w:rPr>
                  <w:b/>
                  <w:sz w:val="22"/>
                  <w:szCs w:val="22"/>
                </w:rPr>
                <w:br/>
                <w:delText>N = 73</w:delText>
              </w:r>
            </w:del>
          </w:p>
        </w:tc>
        <w:tc>
          <w:tcPr>
            <w:tcW w:w="1980" w:type="dxa"/>
            <w:vAlign w:val="bottom"/>
          </w:tcPr>
          <w:p w14:paraId="197470F8" w14:textId="46BEC63C" w:rsidR="009B3817" w:rsidRPr="009C5EFD" w:rsidRDefault="00E453CD">
            <w:pPr>
              <w:keepNext/>
              <w:suppressAutoHyphens/>
              <w:rPr>
                <w:del w:id="8870" w:author="AbbVie02no" w:date="2025-05-15T13:45:00Z"/>
                <w:b/>
                <w:sz w:val="22"/>
                <w:szCs w:val="22"/>
              </w:rPr>
              <w:pPrChange w:id="8871" w:author="AbbVie02no" w:date="2025-05-15T13:45:00Z">
                <w:pPr>
                  <w:pStyle w:val="TableLeft"/>
                  <w:jc w:val="center"/>
                </w:pPr>
              </w:pPrChange>
            </w:pPr>
            <w:del w:id="8872" w:author="AbbVie02no" w:date="2025-05-15T13:45:00Z">
              <w:r w:rsidRPr="009C5EFD">
                <w:rPr>
                  <w:b/>
                  <w:sz w:val="22"/>
                  <w:szCs w:val="22"/>
                </w:rPr>
                <w:delText>Humira 40 mg</w:delText>
              </w:r>
              <w:r w:rsidRPr="009C5EFD">
                <w:rPr>
                  <w:b/>
                  <w:sz w:val="22"/>
                  <w:szCs w:val="22"/>
                </w:rPr>
                <w:br/>
                <w:delText>annenhver uke</w:delText>
              </w:r>
              <w:r w:rsidRPr="009C5EFD">
                <w:rPr>
                  <w:b/>
                  <w:sz w:val="22"/>
                  <w:szCs w:val="22"/>
                </w:rPr>
                <w:br/>
                <w:delText>N = 70</w:delText>
              </w:r>
            </w:del>
          </w:p>
        </w:tc>
        <w:tc>
          <w:tcPr>
            <w:tcW w:w="1855" w:type="dxa"/>
            <w:vAlign w:val="bottom"/>
          </w:tcPr>
          <w:p w14:paraId="231E91D8" w14:textId="5E904C2B" w:rsidR="009B3817" w:rsidRPr="009C5EFD" w:rsidRDefault="00E453CD">
            <w:pPr>
              <w:keepNext/>
              <w:suppressAutoHyphens/>
              <w:rPr>
                <w:del w:id="8873" w:author="AbbVie02no" w:date="2025-05-15T13:45:00Z"/>
                <w:b/>
                <w:sz w:val="22"/>
                <w:szCs w:val="22"/>
              </w:rPr>
              <w:pPrChange w:id="8874" w:author="AbbVie02no" w:date="2025-05-15T13:45:00Z">
                <w:pPr>
                  <w:pStyle w:val="TableLeft"/>
                  <w:jc w:val="center"/>
                </w:pPr>
              </w:pPrChange>
            </w:pPr>
            <w:del w:id="8875" w:author="AbbVie02no" w:date="2025-05-15T13:45:00Z">
              <w:r w:rsidRPr="009C5EFD">
                <w:rPr>
                  <w:b/>
                  <w:sz w:val="22"/>
                  <w:szCs w:val="22"/>
                </w:rPr>
                <w:delText>Humira 40 mg</w:delText>
              </w:r>
              <w:r w:rsidRPr="009C5EFD">
                <w:rPr>
                  <w:b/>
                  <w:sz w:val="22"/>
                  <w:szCs w:val="22"/>
                </w:rPr>
                <w:br/>
              </w:r>
              <w:r w:rsidR="0002499F" w:rsidRPr="009C5EFD">
                <w:rPr>
                  <w:b/>
                  <w:sz w:val="22"/>
                  <w:szCs w:val="22"/>
                </w:rPr>
                <w:delText>u</w:delText>
              </w:r>
              <w:r w:rsidRPr="009C5EFD">
                <w:rPr>
                  <w:b/>
                  <w:sz w:val="22"/>
                  <w:szCs w:val="22"/>
                </w:rPr>
                <w:delText>kentlig</w:delText>
              </w:r>
              <w:r w:rsidRPr="009C5EFD">
                <w:rPr>
                  <w:b/>
                  <w:sz w:val="22"/>
                  <w:szCs w:val="22"/>
                </w:rPr>
                <w:br/>
                <w:delText>N = 70</w:delText>
              </w:r>
            </w:del>
          </w:p>
        </w:tc>
      </w:tr>
      <w:tr w:rsidR="004644D4" w14:paraId="2794AE33" w14:textId="7B6B5DCB" w:rsidTr="00E51D8F">
        <w:trPr>
          <w:jc w:val="center"/>
          <w:del w:id="8876" w:author="AbbVie02no" w:date="2025-05-15T13:45:00Z"/>
        </w:trPr>
        <w:tc>
          <w:tcPr>
            <w:tcW w:w="1437" w:type="dxa"/>
          </w:tcPr>
          <w:p w14:paraId="7EF21245" w14:textId="14634204" w:rsidR="009B3817" w:rsidRPr="007F67EE" w:rsidRDefault="00E453CD">
            <w:pPr>
              <w:keepNext/>
              <w:suppressAutoHyphens/>
              <w:rPr>
                <w:del w:id="8877" w:author="AbbVie02no" w:date="2025-05-15T13:45:00Z"/>
                <w:sz w:val="22"/>
                <w:szCs w:val="22"/>
              </w:rPr>
              <w:pPrChange w:id="8878" w:author="AbbVie02no" w:date="2025-05-15T13:45:00Z">
                <w:pPr>
                  <w:pStyle w:val="TableLeft"/>
                </w:pPr>
              </w:pPrChange>
            </w:pPr>
            <w:del w:id="8879" w:author="AbbVie02no" w:date="2025-05-15T13:45:00Z">
              <w:r>
                <w:rPr>
                  <w:sz w:val="22"/>
                  <w:szCs w:val="22"/>
                </w:rPr>
                <w:delText>Uke</w:delText>
              </w:r>
              <w:r w:rsidRPr="007F67EE">
                <w:rPr>
                  <w:sz w:val="22"/>
                  <w:szCs w:val="22"/>
                </w:rPr>
                <w:delText xml:space="preserve"> 24</w:delText>
              </w:r>
            </w:del>
          </w:p>
        </w:tc>
        <w:tc>
          <w:tcPr>
            <w:tcW w:w="1980" w:type="dxa"/>
          </w:tcPr>
          <w:p w14:paraId="27B3EB03" w14:textId="5409C08D" w:rsidR="009B3817" w:rsidRPr="002D0790" w:rsidRDefault="00E453CD">
            <w:pPr>
              <w:keepNext/>
              <w:suppressAutoHyphens/>
              <w:rPr>
                <w:del w:id="8880" w:author="AbbVie02no" w:date="2025-05-15T13:45:00Z"/>
                <w:sz w:val="22"/>
                <w:szCs w:val="22"/>
              </w:rPr>
              <w:pPrChange w:id="8881" w:author="AbbVie02no" w:date="2025-05-15T13:45:00Z">
                <w:pPr>
                  <w:pStyle w:val="TableLeft"/>
                  <w:jc w:val="center"/>
                </w:pPr>
              </w:pPrChange>
            </w:pPr>
            <w:del w:id="8882" w:author="AbbVie02no" w:date="2025-05-15T13:45:00Z">
              <w:r w:rsidRPr="00193D76">
                <w:rPr>
                  <w:sz w:val="22"/>
                  <w:szCs w:val="22"/>
                </w:rPr>
                <w:delText>24 (32,9</w:delText>
              </w:r>
              <w:r w:rsidRPr="002D0790">
                <w:rPr>
                  <w:sz w:val="22"/>
                  <w:szCs w:val="22"/>
                </w:rPr>
                <w:delText> %)</w:delText>
              </w:r>
            </w:del>
          </w:p>
        </w:tc>
        <w:tc>
          <w:tcPr>
            <w:tcW w:w="1980" w:type="dxa"/>
          </w:tcPr>
          <w:p w14:paraId="3C4B9500" w14:textId="4EF35159" w:rsidR="009B3817" w:rsidRPr="009C5EFD" w:rsidRDefault="00E453CD">
            <w:pPr>
              <w:keepNext/>
              <w:suppressAutoHyphens/>
              <w:rPr>
                <w:del w:id="8883" w:author="AbbVie02no" w:date="2025-05-15T13:45:00Z"/>
                <w:sz w:val="22"/>
                <w:szCs w:val="22"/>
              </w:rPr>
              <w:pPrChange w:id="8884" w:author="AbbVie02no" w:date="2025-05-15T13:45:00Z">
                <w:pPr>
                  <w:pStyle w:val="TableLeft"/>
                  <w:jc w:val="center"/>
                </w:pPr>
              </w:pPrChange>
            </w:pPr>
            <w:del w:id="8885" w:author="AbbVie02no" w:date="2025-05-15T13:45:00Z">
              <w:r w:rsidRPr="00E14E58">
                <w:rPr>
                  <w:sz w:val="22"/>
                  <w:szCs w:val="22"/>
                </w:rPr>
                <w:delText>36 (51,4</w:delText>
              </w:r>
              <w:r w:rsidRPr="009C5EFD">
                <w:rPr>
                  <w:sz w:val="22"/>
                  <w:szCs w:val="22"/>
                </w:rPr>
                <w:delText> %)</w:delText>
              </w:r>
            </w:del>
          </w:p>
        </w:tc>
        <w:tc>
          <w:tcPr>
            <w:tcW w:w="1855" w:type="dxa"/>
          </w:tcPr>
          <w:p w14:paraId="3AA002B5" w14:textId="65D36F8D" w:rsidR="009B3817" w:rsidRPr="009C5EFD" w:rsidRDefault="00E453CD">
            <w:pPr>
              <w:keepNext/>
              <w:suppressAutoHyphens/>
              <w:rPr>
                <w:del w:id="8886" w:author="AbbVie02no" w:date="2025-05-15T13:45:00Z"/>
                <w:sz w:val="22"/>
                <w:szCs w:val="22"/>
              </w:rPr>
              <w:pPrChange w:id="8887" w:author="AbbVie02no" w:date="2025-05-15T13:45:00Z">
                <w:pPr>
                  <w:pStyle w:val="TableLeft"/>
                  <w:jc w:val="center"/>
                </w:pPr>
              </w:pPrChange>
            </w:pPr>
            <w:del w:id="8888" w:author="AbbVie02no" w:date="2025-05-15T13:45:00Z">
              <w:r w:rsidRPr="009C5EFD">
                <w:rPr>
                  <w:sz w:val="22"/>
                  <w:szCs w:val="22"/>
                </w:rPr>
                <w:delText>40 (57,1 %)</w:delText>
              </w:r>
            </w:del>
          </w:p>
        </w:tc>
      </w:tr>
      <w:tr w:rsidR="004644D4" w14:paraId="02770777" w14:textId="5C0E83DE" w:rsidTr="00E51D8F">
        <w:trPr>
          <w:jc w:val="center"/>
          <w:del w:id="8889" w:author="AbbVie02no" w:date="2025-05-15T13:45:00Z"/>
        </w:trPr>
        <w:tc>
          <w:tcPr>
            <w:tcW w:w="1437" w:type="dxa"/>
          </w:tcPr>
          <w:p w14:paraId="0DEBA935" w14:textId="600C0C7E" w:rsidR="009B3817" w:rsidRPr="007F67EE" w:rsidRDefault="00E453CD">
            <w:pPr>
              <w:keepNext/>
              <w:suppressAutoHyphens/>
              <w:rPr>
                <w:del w:id="8890" w:author="AbbVie02no" w:date="2025-05-15T13:45:00Z"/>
                <w:sz w:val="22"/>
                <w:szCs w:val="22"/>
              </w:rPr>
              <w:pPrChange w:id="8891" w:author="AbbVie02no" w:date="2025-05-15T13:45:00Z">
                <w:pPr>
                  <w:pStyle w:val="TableLeft"/>
                </w:pPr>
              </w:pPrChange>
            </w:pPr>
            <w:del w:id="8892" w:author="AbbVie02no" w:date="2025-05-15T13:45:00Z">
              <w:r>
                <w:rPr>
                  <w:sz w:val="22"/>
                  <w:szCs w:val="22"/>
                </w:rPr>
                <w:delText>Uke</w:delText>
              </w:r>
              <w:r w:rsidRPr="007F67EE">
                <w:rPr>
                  <w:sz w:val="22"/>
                  <w:szCs w:val="22"/>
                </w:rPr>
                <w:delText xml:space="preserve"> 36</w:delText>
              </w:r>
            </w:del>
          </w:p>
        </w:tc>
        <w:tc>
          <w:tcPr>
            <w:tcW w:w="1980" w:type="dxa"/>
          </w:tcPr>
          <w:p w14:paraId="24C6FF18" w14:textId="4848FF0D" w:rsidR="009B3817" w:rsidRPr="00E14E58" w:rsidRDefault="00E453CD">
            <w:pPr>
              <w:keepNext/>
              <w:suppressAutoHyphens/>
              <w:rPr>
                <w:del w:id="8893" w:author="AbbVie02no" w:date="2025-05-15T13:45:00Z"/>
                <w:sz w:val="22"/>
                <w:szCs w:val="22"/>
              </w:rPr>
              <w:pPrChange w:id="8894" w:author="AbbVie02no" w:date="2025-05-15T13:45:00Z">
                <w:pPr>
                  <w:pStyle w:val="TableLeft"/>
                  <w:jc w:val="center"/>
                </w:pPr>
              </w:pPrChange>
            </w:pPr>
            <w:del w:id="8895" w:author="AbbVie02no" w:date="2025-05-15T13:45:00Z">
              <w:r w:rsidRPr="00193D76">
                <w:rPr>
                  <w:sz w:val="22"/>
                  <w:szCs w:val="22"/>
                </w:rPr>
                <w:delText>22 (30,</w:delText>
              </w:r>
              <w:r w:rsidRPr="002D0790">
                <w:rPr>
                  <w:sz w:val="22"/>
                  <w:szCs w:val="22"/>
                </w:rPr>
                <w:delText>1 </w:delText>
              </w:r>
              <w:r w:rsidRPr="00E14E58">
                <w:rPr>
                  <w:sz w:val="22"/>
                  <w:szCs w:val="22"/>
                </w:rPr>
                <w:delText>%)</w:delText>
              </w:r>
            </w:del>
          </w:p>
        </w:tc>
        <w:tc>
          <w:tcPr>
            <w:tcW w:w="1980" w:type="dxa"/>
          </w:tcPr>
          <w:p w14:paraId="0134EEF9" w14:textId="07ED9E08" w:rsidR="009B3817" w:rsidRPr="009C5EFD" w:rsidRDefault="00E453CD">
            <w:pPr>
              <w:keepNext/>
              <w:suppressAutoHyphens/>
              <w:rPr>
                <w:del w:id="8896" w:author="AbbVie02no" w:date="2025-05-15T13:45:00Z"/>
                <w:sz w:val="22"/>
                <w:szCs w:val="22"/>
              </w:rPr>
              <w:pPrChange w:id="8897" w:author="AbbVie02no" w:date="2025-05-15T13:45:00Z">
                <w:pPr>
                  <w:pStyle w:val="TableLeft"/>
                  <w:jc w:val="center"/>
                </w:pPr>
              </w:pPrChange>
            </w:pPr>
            <w:del w:id="8898" w:author="AbbVie02no" w:date="2025-05-15T13:45:00Z">
              <w:r w:rsidRPr="009C5EFD">
                <w:rPr>
                  <w:sz w:val="22"/>
                  <w:szCs w:val="22"/>
                </w:rPr>
                <w:delText>28 (40,0 %)</w:delText>
              </w:r>
            </w:del>
          </w:p>
        </w:tc>
        <w:tc>
          <w:tcPr>
            <w:tcW w:w="1855" w:type="dxa"/>
          </w:tcPr>
          <w:p w14:paraId="66C08339" w14:textId="0988B182" w:rsidR="009B3817" w:rsidRPr="009C5EFD" w:rsidRDefault="00E453CD">
            <w:pPr>
              <w:keepNext/>
              <w:suppressAutoHyphens/>
              <w:rPr>
                <w:del w:id="8899" w:author="AbbVie02no" w:date="2025-05-15T13:45:00Z"/>
                <w:sz w:val="22"/>
                <w:szCs w:val="22"/>
              </w:rPr>
              <w:pPrChange w:id="8900" w:author="AbbVie02no" w:date="2025-05-15T13:45:00Z">
                <w:pPr>
                  <w:pStyle w:val="TableLeft"/>
                  <w:jc w:val="center"/>
                </w:pPr>
              </w:pPrChange>
            </w:pPr>
            <w:del w:id="8901" w:author="AbbVie02no" w:date="2025-05-15T13:45:00Z">
              <w:r w:rsidRPr="009C5EFD">
                <w:rPr>
                  <w:sz w:val="22"/>
                  <w:szCs w:val="22"/>
                </w:rPr>
                <w:delText>39 (55,7 %)</w:delText>
              </w:r>
            </w:del>
          </w:p>
        </w:tc>
      </w:tr>
      <w:tr w:rsidR="004644D4" w14:paraId="2FE4B5DA" w14:textId="0E72E33A" w:rsidTr="00E51D8F">
        <w:trPr>
          <w:jc w:val="center"/>
          <w:del w:id="8902" w:author="AbbVie02no" w:date="2025-05-15T13:45:00Z"/>
        </w:trPr>
        <w:tc>
          <w:tcPr>
            <w:tcW w:w="7252" w:type="dxa"/>
            <w:gridSpan w:val="4"/>
          </w:tcPr>
          <w:p w14:paraId="2B66126F" w14:textId="02F97FCB" w:rsidR="009B3817" w:rsidRPr="009C5EFD" w:rsidRDefault="00E453CD">
            <w:pPr>
              <w:keepNext/>
              <w:suppressAutoHyphens/>
              <w:rPr>
                <w:del w:id="8903" w:author="AbbVie02no" w:date="2025-05-15T13:45:00Z"/>
                <w:sz w:val="22"/>
                <w:szCs w:val="22"/>
              </w:rPr>
              <w:pPrChange w:id="8904" w:author="AbbVie02no" w:date="2025-05-15T13:45:00Z">
                <w:pPr>
                  <w:pStyle w:val="TableFootnoteLetter"/>
                  <w:numPr>
                    <w:numId w:val="80"/>
                  </w:numPr>
                  <w:ind w:left="404"/>
                </w:pPr>
              </w:pPrChange>
            </w:pPr>
            <w:del w:id="8905" w:author="AbbVie02no" w:date="2025-05-15T13:45:00Z">
              <w:r w:rsidRPr="007F67EE">
                <w:rPr>
                  <w:sz w:val="22"/>
                  <w:szCs w:val="22"/>
                </w:rPr>
                <w:delText>P</w:delText>
              </w:r>
              <w:r w:rsidRPr="00193D76">
                <w:rPr>
                  <w:sz w:val="22"/>
                  <w:szCs w:val="22"/>
                </w:rPr>
                <w:delText>asienter med minst en delvis respons på Humira 40 mg ukentlig etter 12 uke</w:delText>
              </w:r>
              <w:r w:rsidRPr="002D0790">
                <w:rPr>
                  <w:sz w:val="22"/>
                  <w:szCs w:val="22"/>
                </w:rPr>
                <w:delText>r</w:delText>
              </w:r>
              <w:r w:rsidR="00980120" w:rsidRPr="002D0790">
                <w:rPr>
                  <w:sz w:val="22"/>
                  <w:szCs w:val="22"/>
                </w:rPr>
                <w:delText>s</w:delText>
              </w:r>
              <w:r w:rsidRPr="00E14E58">
                <w:rPr>
                  <w:sz w:val="22"/>
                  <w:szCs w:val="22"/>
                </w:rPr>
                <w:delText xml:space="preserve"> behandling</w:delText>
              </w:r>
              <w:r w:rsidRPr="009C5EFD">
                <w:rPr>
                  <w:sz w:val="22"/>
                  <w:szCs w:val="22"/>
                </w:rPr>
                <w:delText>.</w:delText>
              </w:r>
            </w:del>
          </w:p>
          <w:p w14:paraId="05DDFAA1" w14:textId="5BF98512" w:rsidR="009B3817" w:rsidRPr="009C5EFD" w:rsidRDefault="00E453CD">
            <w:pPr>
              <w:keepNext/>
              <w:suppressAutoHyphens/>
              <w:rPr>
                <w:del w:id="8906" w:author="AbbVie02no" w:date="2025-05-15T13:45:00Z"/>
                <w:sz w:val="22"/>
                <w:szCs w:val="22"/>
              </w:rPr>
              <w:pPrChange w:id="8907" w:author="AbbVie02no" w:date="2025-05-15T13:45:00Z">
                <w:pPr>
                  <w:pStyle w:val="TableFootnoteLetter"/>
                  <w:numPr>
                    <w:numId w:val="80"/>
                  </w:numPr>
                  <w:ind w:left="404"/>
                </w:pPr>
              </w:pPrChange>
            </w:pPr>
            <w:del w:id="8908" w:author="AbbVie02no" w:date="2025-05-15T13:45:00Z">
              <w:r w:rsidRPr="009C5EFD">
                <w:rPr>
                  <w:sz w:val="22"/>
                  <w:szCs w:val="22"/>
                </w:rPr>
                <w:delText xml:space="preserve">Pasienter som oppfylte protokollspesifiserte kriterier for tap av respons eller ingen forbedring ble pålagt å avbryte </w:delText>
              </w:r>
              <w:r w:rsidR="00E51D8F" w:rsidRPr="009C5EFD">
                <w:rPr>
                  <w:sz w:val="22"/>
                  <w:szCs w:val="22"/>
                </w:rPr>
                <w:delText>studiene og ble regnet som ikke</w:delText>
              </w:r>
              <w:r w:rsidR="00E51D8F" w:rsidRPr="009C5EFD">
                <w:rPr>
                  <w:sz w:val="22"/>
                  <w:szCs w:val="22"/>
                </w:rPr>
                <w:noBreakHyphen/>
              </w:r>
              <w:r w:rsidRPr="009C5EFD">
                <w:rPr>
                  <w:sz w:val="22"/>
                  <w:szCs w:val="22"/>
                </w:rPr>
                <w:delText>responder</w:delText>
              </w:r>
              <w:r w:rsidR="00E51D8F" w:rsidRPr="009C5EFD">
                <w:rPr>
                  <w:sz w:val="22"/>
                  <w:szCs w:val="22"/>
                </w:rPr>
                <w:delText>e</w:delText>
              </w:r>
              <w:r w:rsidRPr="009C5EFD">
                <w:rPr>
                  <w:sz w:val="22"/>
                  <w:szCs w:val="22"/>
                </w:rPr>
                <w:delText>.</w:delText>
              </w:r>
            </w:del>
          </w:p>
        </w:tc>
      </w:tr>
    </w:tbl>
    <w:p w14:paraId="74212AFB" w14:textId="25483E82" w:rsidR="009B3817" w:rsidRPr="007F67EE" w:rsidRDefault="00E453CD">
      <w:pPr>
        <w:keepNext/>
        <w:suppressAutoHyphens/>
        <w:rPr>
          <w:del w:id="8909" w:author="AbbVie02no" w:date="2025-05-15T13:45:00Z"/>
          <w:sz w:val="22"/>
          <w:szCs w:val="22"/>
        </w:rPr>
        <w:pPrChange w:id="8910" w:author="AbbVie02no" w:date="2025-05-15T13:45:00Z">
          <w:pPr>
            <w:pStyle w:val="TableFootnoteLetter"/>
            <w:numPr>
              <w:numId w:val="0"/>
            </w:numPr>
            <w:tabs>
              <w:tab w:val="num" w:pos="720"/>
            </w:tabs>
            <w:ind w:left="567" w:firstLine="0"/>
          </w:pPr>
        </w:pPrChange>
      </w:pPr>
      <w:del w:id="8911" w:author="AbbVie02no" w:date="2025-05-15T13:45:00Z">
        <w:r w:rsidRPr="007F67EE">
          <w:rPr>
            <w:sz w:val="22"/>
            <w:szCs w:val="22"/>
          </w:rPr>
          <w:tab/>
        </w:r>
        <w:r w:rsidRPr="007F67EE">
          <w:rPr>
            <w:sz w:val="22"/>
            <w:szCs w:val="22"/>
          </w:rPr>
          <w:tab/>
        </w:r>
      </w:del>
    </w:p>
    <w:p w14:paraId="377AE7A1" w14:textId="79F374CC" w:rsidR="00E51D8F" w:rsidRPr="009C5EFD" w:rsidRDefault="00E453CD">
      <w:pPr>
        <w:keepNext/>
        <w:suppressAutoHyphens/>
        <w:rPr>
          <w:del w:id="8912" w:author="AbbVie02no" w:date="2025-05-15T13:45:00Z"/>
          <w:sz w:val="22"/>
          <w:szCs w:val="22"/>
        </w:rPr>
        <w:pPrChange w:id="8913" w:author="AbbVie02no" w:date="2025-05-15T13:45:00Z">
          <w:pPr/>
        </w:pPrChange>
      </w:pPr>
      <w:del w:id="8914" w:author="AbbVie02no" w:date="2025-05-15T13:45:00Z">
        <w:r w:rsidRPr="00193D76">
          <w:rPr>
            <w:sz w:val="22"/>
            <w:szCs w:val="22"/>
          </w:rPr>
          <w:delText>Blant pasiente</w:delText>
        </w:r>
        <w:r w:rsidRPr="002D0790">
          <w:rPr>
            <w:sz w:val="22"/>
            <w:szCs w:val="22"/>
          </w:rPr>
          <w:delText xml:space="preserve">r </w:delText>
        </w:r>
        <w:r w:rsidRPr="00E14E58">
          <w:rPr>
            <w:sz w:val="22"/>
            <w:szCs w:val="22"/>
          </w:rPr>
          <w:delText xml:space="preserve">med </w:delText>
        </w:r>
        <w:r w:rsidRPr="009C5EFD">
          <w:rPr>
            <w:sz w:val="22"/>
            <w:szCs w:val="22"/>
          </w:rPr>
          <w:delText>minst en delvis respons ved uke 12 og som</w:delText>
        </w:r>
        <w:r w:rsidR="0019503A">
          <w:rPr>
            <w:sz w:val="22"/>
            <w:szCs w:val="22"/>
          </w:rPr>
          <w:delText xml:space="preserve"> ukentlig</w:delText>
        </w:r>
        <w:r w:rsidRPr="009C5EFD">
          <w:rPr>
            <w:sz w:val="22"/>
            <w:szCs w:val="22"/>
          </w:rPr>
          <w:delText xml:space="preserve"> fikk </w:delText>
        </w:r>
        <w:r w:rsidR="00745713">
          <w:rPr>
            <w:sz w:val="22"/>
            <w:szCs w:val="22"/>
          </w:rPr>
          <w:delText xml:space="preserve">kontinuerlig </w:delText>
        </w:r>
        <w:r w:rsidRPr="009C5EFD">
          <w:rPr>
            <w:sz w:val="22"/>
            <w:szCs w:val="22"/>
          </w:rPr>
          <w:delText xml:space="preserve">Humira </w:delText>
        </w:r>
        <w:r w:rsidR="00745713">
          <w:rPr>
            <w:sz w:val="22"/>
            <w:szCs w:val="22"/>
          </w:rPr>
          <w:delText xml:space="preserve">behandling </w:delText>
        </w:r>
        <w:r w:rsidRPr="009C5EFD">
          <w:rPr>
            <w:sz w:val="22"/>
            <w:szCs w:val="22"/>
          </w:rPr>
          <w:delText xml:space="preserve">var HiSCR raten </w:delText>
        </w:r>
        <w:r w:rsidR="00F161EF">
          <w:rPr>
            <w:sz w:val="22"/>
            <w:szCs w:val="22"/>
          </w:rPr>
          <w:delText>68,3 </w:delText>
        </w:r>
        <w:r w:rsidR="00F161EF" w:rsidRPr="002D0790">
          <w:rPr>
            <w:sz w:val="22"/>
            <w:szCs w:val="22"/>
          </w:rPr>
          <w:delText>% ved uke</w:delText>
        </w:r>
        <w:r w:rsidR="00F161EF">
          <w:rPr>
            <w:sz w:val="22"/>
            <w:szCs w:val="22"/>
          </w:rPr>
          <w:delText> </w:delText>
        </w:r>
        <w:r w:rsidR="00F161EF" w:rsidRPr="002D0790">
          <w:rPr>
            <w:sz w:val="22"/>
            <w:szCs w:val="22"/>
          </w:rPr>
          <w:delText>48</w:delText>
        </w:r>
        <w:r w:rsidR="00F161EF">
          <w:rPr>
            <w:sz w:val="22"/>
            <w:szCs w:val="22"/>
          </w:rPr>
          <w:delText xml:space="preserve"> og 65,1 % ved uke 96</w:delText>
        </w:r>
        <w:r w:rsidR="00F161EF" w:rsidRPr="002D0790">
          <w:rPr>
            <w:sz w:val="22"/>
            <w:szCs w:val="22"/>
          </w:rPr>
          <w:delText>.</w:delText>
        </w:r>
        <w:r w:rsidR="00F161EF">
          <w:rPr>
            <w:sz w:val="22"/>
            <w:szCs w:val="22"/>
          </w:rPr>
          <w:delText xml:space="preserve"> Langtidsbehandling med 40 mg Humira ukentlig i 96 uker viste ingen nye funn vedrørende sikkerhet.</w:delText>
        </w:r>
      </w:del>
    </w:p>
    <w:p w14:paraId="0114DC7D" w14:textId="0BD4A9E1" w:rsidR="00E51D8F" w:rsidRPr="009C5EFD" w:rsidRDefault="00E51D8F">
      <w:pPr>
        <w:keepNext/>
        <w:suppressAutoHyphens/>
        <w:rPr>
          <w:del w:id="8915" w:author="AbbVie02no" w:date="2025-05-15T13:45:00Z"/>
          <w:sz w:val="22"/>
          <w:szCs w:val="22"/>
        </w:rPr>
        <w:pPrChange w:id="8916" w:author="AbbVie02no" w:date="2025-05-15T13:45:00Z">
          <w:pPr/>
        </w:pPrChange>
      </w:pPr>
    </w:p>
    <w:p w14:paraId="185B6873" w14:textId="3384FB4A" w:rsidR="00C24783" w:rsidRDefault="00E453CD">
      <w:pPr>
        <w:keepNext/>
        <w:suppressAutoHyphens/>
        <w:rPr>
          <w:del w:id="8917" w:author="AbbVie02no" w:date="2025-05-15T13:45:00Z"/>
          <w:sz w:val="22"/>
          <w:szCs w:val="22"/>
        </w:rPr>
        <w:pPrChange w:id="8918" w:author="AbbVie02no" w:date="2025-05-15T13:45:00Z">
          <w:pPr/>
        </w:pPrChange>
      </w:pPr>
      <w:del w:id="8919" w:author="AbbVie02no" w:date="2025-05-15T13:45:00Z">
        <w:r w:rsidRPr="009C5EFD">
          <w:rPr>
            <w:sz w:val="22"/>
            <w:szCs w:val="22"/>
          </w:rPr>
          <w:delText>Blant pasienter der behandlingen med Humira ble avsluttet ved uke 12</w:delText>
        </w:r>
        <w:r w:rsidR="00646070" w:rsidRPr="009C5EFD">
          <w:rPr>
            <w:sz w:val="22"/>
            <w:szCs w:val="22"/>
          </w:rPr>
          <w:delText>,</w:delText>
        </w:r>
        <w:r w:rsidRPr="009C5EFD">
          <w:rPr>
            <w:sz w:val="22"/>
            <w:szCs w:val="22"/>
          </w:rPr>
          <w:delText xml:space="preserve"> i studie</w:delText>
        </w:r>
        <w:r w:rsidR="00B34B8E" w:rsidRPr="009C5EFD">
          <w:rPr>
            <w:sz w:val="22"/>
            <w:szCs w:val="22"/>
          </w:rPr>
          <w:delText>ne</w:delText>
        </w:r>
        <w:r w:rsidRPr="009C5EFD">
          <w:rPr>
            <w:sz w:val="22"/>
            <w:szCs w:val="22"/>
          </w:rPr>
          <w:delText xml:space="preserve"> HS-I og HS-II, gikk HiSCR raten</w:delText>
        </w:r>
        <w:r w:rsidR="00646070" w:rsidRPr="009C5EFD">
          <w:rPr>
            <w:sz w:val="22"/>
            <w:szCs w:val="22"/>
          </w:rPr>
          <w:delText xml:space="preserve">, </w:delText>
        </w:r>
        <w:r w:rsidR="00297A45">
          <w:rPr>
            <w:sz w:val="22"/>
            <w:szCs w:val="22"/>
          </w:rPr>
          <w:delText>1</w:delText>
        </w:r>
        <w:r w:rsidRPr="009C5EFD">
          <w:rPr>
            <w:sz w:val="22"/>
            <w:szCs w:val="22"/>
          </w:rPr>
          <w:delText xml:space="preserve">2 uker etter re-introduksjon av </w:delText>
        </w:r>
        <w:r w:rsidR="00367518">
          <w:rPr>
            <w:sz w:val="22"/>
            <w:szCs w:val="22"/>
          </w:rPr>
          <w:delText xml:space="preserve">40 mg </w:delText>
        </w:r>
        <w:r w:rsidRPr="009C5EFD">
          <w:rPr>
            <w:sz w:val="22"/>
            <w:szCs w:val="22"/>
          </w:rPr>
          <w:delText>Humira ukentlig, tilbake til nivåer tilsvarende de som ble observert før behandlingen ble stoppet (56,0 %).</w:delText>
        </w:r>
      </w:del>
    </w:p>
    <w:p w14:paraId="05C2D0BC" w14:textId="0FA91516" w:rsidR="00C24783" w:rsidRDefault="00C24783">
      <w:pPr>
        <w:keepNext/>
        <w:suppressAutoHyphens/>
        <w:rPr>
          <w:del w:id="8920" w:author="AbbVie02no" w:date="2025-05-15T13:45:00Z"/>
          <w:sz w:val="22"/>
          <w:szCs w:val="22"/>
        </w:rPr>
        <w:pPrChange w:id="8921" w:author="AbbVie02no" w:date="2025-05-15T13:45:00Z">
          <w:pPr/>
        </w:pPrChange>
      </w:pPr>
    </w:p>
    <w:p w14:paraId="1DCE69D1" w14:textId="1B024DA8" w:rsidR="008A3F2F" w:rsidRPr="001F5D4B" w:rsidRDefault="00E453CD">
      <w:pPr>
        <w:keepNext/>
        <w:suppressAutoHyphens/>
        <w:rPr>
          <w:del w:id="8922" w:author="AbbVie02no" w:date="2025-05-15T13:45:00Z"/>
          <w:i/>
          <w:sz w:val="22"/>
          <w:szCs w:val="22"/>
        </w:rPr>
        <w:pPrChange w:id="8923" w:author="AbbVie02no" w:date="2025-05-15T13:45:00Z">
          <w:pPr/>
        </w:pPrChange>
      </w:pPr>
      <w:del w:id="8924" w:author="AbbVie02no" w:date="2025-05-15T13:45:00Z">
        <w:r w:rsidRPr="001F5D4B">
          <w:rPr>
            <w:i/>
            <w:sz w:val="22"/>
            <w:szCs w:val="22"/>
          </w:rPr>
          <w:delText>Crohns sykdom</w:delText>
        </w:r>
      </w:del>
    </w:p>
    <w:p w14:paraId="12BE4AE3" w14:textId="4269E56C" w:rsidR="008A3F2F" w:rsidRPr="007F67EE" w:rsidRDefault="008A3F2F">
      <w:pPr>
        <w:keepNext/>
        <w:suppressAutoHyphens/>
        <w:rPr>
          <w:del w:id="8925" w:author="AbbVie02no" w:date="2025-05-15T13:45:00Z"/>
          <w:sz w:val="22"/>
          <w:szCs w:val="22"/>
        </w:rPr>
        <w:pPrChange w:id="8926" w:author="AbbVie02no" w:date="2025-05-15T13:45:00Z">
          <w:pPr>
            <w:keepNext/>
          </w:pPr>
        </w:pPrChange>
      </w:pPr>
    </w:p>
    <w:p w14:paraId="294B9B07" w14:textId="017B8E2A" w:rsidR="008A3F2F" w:rsidRPr="009C5EFD" w:rsidRDefault="00E453CD">
      <w:pPr>
        <w:keepNext/>
        <w:suppressAutoHyphens/>
        <w:rPr>
          <w:del w:id="8927" w:author="AbbVie02no" w:date="2025-05-15T13:45:00Z"/>
          <w:sz w:val="22"/>
          <w:szCs w:val="22"/>
        </w:rPr>
        <w:pPrChange w:id="8928" w:author="AbbVie02no" w:date="2025-05-15T13:45:00Z">
          <w:pPr/>
        </w:pPrChange>
      </w:pPr>
      <w:del w:id="8929" w:author="AbbVie02no" w:date="2025-05-15T13:45:00Z">
        <w:r w:rsidRPr="00193D76">
          <w:rPr>
            <w:sz w:val="22"/>
            <w:szCs w:val="22"/>
          </w:rPr>
          <w:delText xml:space="preserve">Sikkerhet og effekt </w:delText>
        </w:r>
        <w:r w:rsidR="000A17E6" w:rsidRPr="002D0790">
          <w:rPr>
            <w:sz w:val="22"/>
            <w:szCs w:val="22"/>
          </w:rPr>
          <w:delText>av</w:delText>
        </w:r>
        <w:r w:rsidRPr="002D0790">
          <w:rPr>
            <w:sz w:val="22"/>
            <w:szCs w:val="22"/>
          </w:rPr>
          <w:delText xml:space="preserve"> Humira </w:delText>
        </w:r>
        <w:r w:rsidR="000A17E6" w:rsidRPr="00E14E58">
          <w:rPr>
            <w:sz w:val="22"/>
            <w:szCs w:val="22"/>
          </w:rPr>
          <w:delText>ble</w:delText>
        </w:r>
        <w:r w:rsidRPr="009C5EFD">
          <w:rPr>
            <w:sz w:val="22"/>
            <w:szCs w:val="22"/>
          </w:rPr>
          <w:delText xml:space="preserve"> vurdert hos over 1500 pasienter med moderat til alvorlig aktiv Crohns sykdom (Crohn’s Disease Activity Index (CDAI) </w:delText>
        </w:r>
        <w:r w:rsidRPr="007F67EE">
          <w:rPr>
            <w:rFonts w:ascii="Symbol" w:hAnsi="Symbol"/>
            <w:sz w:val="22"/>
            <w:szCs w:val="22"/>
          </w:rPr>
          <w:sym w:font="Symbol" w:char="F0B3"/>
        </w:r>
        <w:r w:rsidRPr="007F67EE">
          <w:rPr>
            <w:sz w:val="22"/>
            <w:szCs w:val="22"/>
          </w:rPr>
          <w:delText xml:space="preserve"> 220 and </w:delText>
        </w:r>
        <w:r w:rsidRPr="007F67EE">
          <w:rPr>
            <w:rFonts w:ascii="Symbol" w:hAnsi="Symbol"/>
            <w:sz w:val="22"/>
            <w:szCs w:val="22"/>
          </w:rPr>
          <w:sym w:font="Symbol" w:char="F0A3"/>
        </w:r>
        <w:r w:rsidRPr="007F67EE">
          <w:rPr>
            <w:sz w:val="22"/>
            <w:szCs w:val="22"/>
          </w:rPr>
          <w:delText xml:space="preserve"> 450) i randomiserte,</w:delText>
        </w:r>
        <w:r w:rsidRPr="00193D76">
          <w:rPr>
            <w:sz w:val="22"/>
            <w:szCs w:val="22"/>
          </w:rPr>
          <w:delText xml:space="preserve"> dobbeltblinde, placebokontrollerte studier. Samtidige stabile doser med aminosalisylater, kortikosteroider og/eller immunmodulerende midler var tillatt og 80</w:delText>
        </w:r>
        <w:r w:rsidR="002E767A" w:rsidRPr="002D0790">
          <w:rPr>
            <w:sz w:val="22"/>
            <w:szCs w:val="22"/>
          </w:rPr>
          <w:delText xml:space="preserve"> %</w:delText>
        </w:r>
        <w:r w:rsidRPr="002D0790">
          <w:rPr>
            <w:sz w:val="22"/>
            <w:szCs w:val="22"/>
          </w:rPr>
          <w:delText xml:space="preserve"> av pasientene fortsatte å ta minst et</w:delText>
        </w:r>
        <w:r w:rsidR="000834F5" w:rsidRPr="00E14E58">
          <w:rPr>
            <w:sz w:val="22"/>
            <w:szCs w:val="22"/>
          </w:rPr>
          <w:delText>t</w:delText>
        </w:r>
        <w:r w:rsidRPr="009C5EFD">
          <w:rPr>
            <w:sz w:val="22"/>
            <w:szCs w:val="22"/>
          </w:rPr>
          <w:delText xml:space="preserve"> av disse legemidlene.</w:delText>
        </w:r>
      </w:del>
    </w:p>
    <w:p w14:paraId="54873259" w14:textId="7C0983CC" w:rsidR="008A3F2F" w:rsidRPr="009C5EFD" w:rsidRDefault="008A3F2F">
      <w:pPr>
        <w:keepNext/>
        <w:suppressAutoHyphens/>
        <w:rPr>
          <w:del w:id="8930" w:author="AbbVie02no" w:date="2025-05-15T13:45:00Z"/>
          <w:sz w:val="22"/>
          <w:szCs w:val="22"/>
        </w:rPr>
        <w:pPrChange w:id="8931" w:author="AbbVie02no" w:date="2025-05-15T13:45:00Z">
          <w:pPr/>
        </w:pPrChange>
      </w:pPr>
    </w:p>
    <w:p w14:paraId="61A35782" w14:textId="5242A507" w:rsidR="008A3F2F" w:rsidRPr="009C5EFD" w:rsidRDefault="00E453CD">
      <w:pPr>
        <w:keepNext/>
        <w:suppressAutoHyphens/>
        <w:rPr>
          <w:del w:id="8932" w:author="AbbVie02no" w:date="2025-05-15T13:45:00Z"/>
          <w:sz w:val="22"/>
          <w:szCs w:val="22"/>
        </w:rPr>
        <w:pPrChange w:id="8933" w:author="AbbVie02no" w:date="2025-05-15T13:45:00Z">
          <w:pPr/>
        </w:pPrChange>
      </w:pPr>
      <w:del w:id="8934" w:author="AbbVie02no" w:date="2025-05-15T13:45:00Z">
        <w:r w:rsidRPr="009C5EFD">
          <w:rPr>
            <w:sz w:val="22"/>
            <w:szCs w:val="22"/>
          </w:rPr>
          <w:delText xml:space="preserve">Induksjon av klinisk remisjon (definert som CDAI &lt; 150) </w:delText>
        </w:r>
        <w:r w:rsidR="00ED0339" w:rsidRPr="009C5EFD">
          <w:rPr>
            <w:sz w:val="22"/>
            <w:szCs w:val="22"/>
          </w:rPr>
          <w:delText>ble</w:delText>
        </w:r>
        <w:r w:rsidRPr="009C5EFD">
          <w:rPr>
            <w:sz w:val="22"/>
            <w:szCs w:val="22"/>
          </w:rPr>
          <w:delText xml:space="preserve"> vurdert i to studier, CD-studie I (CLASSIC I) og CD-studie II (GAIN). I CD-studie I ble 299 pasienter </w:delText>
        </w:r>
        <w:r w:rsidR="00ED0339" w:rsidRPr="009C5EFD">
          <w:rPr>
            <w:sz w:val="22"/>
            <w:szCs w:val="22"/>
          </w:rPr>
          <w:delText xml:space="preserve">som aldri hadde brukt TNF-antagonister </w:delText>
        </w:r>
        <w:r w:rsidRPr="009C5EFD">
          <w:rPr>
            <w:sz w:val="22"/>
            <w:szCs w:val="22"/>
          </w:rPr>
          <w:delText xml:space="preserve">randomisert til en av fire behandlingsgrupper; placebo ved uke 0 og 2, 160 mg Humira ved uke 0 og 80 mg ved uke 2, 80 mg ved uke 0 og 40 mg ved uke 2, og 40 mg ved uke 0 og 20 mg ved uke 2. I CD-studie II ble 325 pasienter som hadde mistet respons eller var intolerante for infliksimab randomisert til enten 160 mg Humira ved uke 0 og 80 mg ved uke 2 eller placebo ved ukene 0 og 2. Primære </w:delText>
        </w:r>
        <w:r w:rsidRPr="009C5EFD">
          <w:rPr>
            <w:sz w:val="22"/>
          </w:rPr>
          <w:delText>ikke</w:delText>
        </w:r>
        <w:r w:rsidRPr="009C5EFD">
          <w:rPr>
            <w:sz w:val="22"/>
            <w:szCs w:val="22"/>
          </w:rPr>
          <w:delText>-respondere ble</w:delText>
        </w:r>
        <w:r w:rsidR="00D01A3F" w:rsidRPr="009C5EFD">
          <w:rPr>
            <w:sz w:val="22"/>
            <w:szCs w:val="22"/>
          </w:rPr>
          <w:delText xml:space="preserve"> </w:delText>
        </w:r>
        <w:r w:rsidRPr="009C5EFD">
          <w:rPr>
            <w:sz w:val="22"/>
            <w:szCs w:val="22"/>
          </w:rPr>
          <w:delText xml:space="preserve">ekskludert fra studiene og disse pasientene ble derfor ikke </w:delText>
        </w:r>
        <w:r w:rsidR="003D3CAB" w:rsidRPr="003D3CAB">
          <w:rPr>
            <w:sz w:val="22"/>
            <w:szCs w:val="22"/>
          </w:rPr>
          <w:delText>vurdert</w:delText>
        </w:r>
        <w:r w:rsidRPr="009C5EFD">
          <w:rPr>
            <w:sz w:val="22"/>
            <w:szCs w:val="22"/>
          </w:rPr>
          <w:delText xml:space="preserve"> videre.</w:delText>
        </w:r>
      </w:del>
    </w:p>
    <w:p w14:paraId="52611036" w14:textId="61C1DB94" w:rsidR="008A3F2F" w:rsidRPr="009C5EFD" w:rsidRDefault="008A3F2F">
      <w:pPr>
        <w:keepNext/>
        <w:suppressAutoHyphens/>
        <w:rPr>
          <w:del w:id="8935" w:author="AbbVie02no" w:date="2025-05-15T13:45:00Z"/>
          <w:sz w:val="22"/>
          <w:szCs w:val="22"/>
        </w:rPr>
        <w:pPrChange w:id="8936" w:author="AbbVie02no" w:date="2025-05-15T13:45:00Z">
          <w:pPr>
            <w:ind w:left="54"/>
          </w:pPr>
        </w:pPrChange>
      </w:pPr>
    </w:p>
    <w:p w14:paraId="70B7B65D" w14:textId="0A122DBD" w:rsidR="00DE3458" w:rsidRPr="009C5EFD" w:rsidRDefault="00E453CD">
      <w:pPr>
        <w:keepNext/>
        <w:suppressAutoHyphens/>
        <w:rPr>
          <w:del w:id="8937" w:author="AbbVie02no" w:date="2025-05-15T13:45:00Z"/>
          <w:sz w:val="22"/>
          <w:szCs w:val="22"/>
        </w:rPr>
        <w:pPrChange w:id="8938" w:author="AbbVie02no" w:date="2025-05-15T13:45:00Z">
          <w:pPr/>
        </w:pPrChange>
      </w:pPr>
      <w:del w:id="8939" w:author="AbbVie02no" w:date="2025-05-15T13:45:00Z">
        <w:r w:rsidRPr="009C5EFD">
          <w:rPr>
            <w:sz w:val="22"/>
            <w:szCs w:val="22"/>
          </w:rPr>
          <w:delText xml:space="preserve">Vedlikehold av klinisk remisjon ble vurdert i CD-studie III (CHARM). I CD-studie III fikk 854 pasienter 80 mg ved uke 0 og 40 mg ved uke 2 (åpen behandling). Ved uke 4 ble pasientene randomisert til 40 mg annenhver uke, 40 mg hver uke, eller placebo. Studien varte i totalt 56 uker. </w:delText>
        </w:r>
        <w:r w:rsidRPr="009C5EFD">
          <w:rPr>
            <w:sz w:val="22"/>
            <w:szCs w:val="22"/>
          </w:rPr>
          <w:lastRenderedPageBreak/>
          <w:delText xml:space="preserve">Pasienter med klinisk respons (reduksjon i CDAI </w:delText>
        </w:r>
        <w:r w:rsidRPr="007F67EE">
          <w:rPr>
            <w:rFonts w:ascii="Symbol" w:hAnsi="Symbol"/>
            <w:sz w:val="22"/>
            <w:szCs w:val="22"/>
          </w:rPr>
          <w:sym w:font="Symbol" w:char="F0B3"/>
        </w:r>
        <w:r w:rsidRPr="007F67EE">
          <w:rPr>
            <w:sz w:val="22"/>
            <w:szCs w:val="22"/>
          </w:rPr>
          <w:delText xml:space="preserve"> 70) ved uke 4 ble stratifisert og </w:delText>
        </w:r>
        <w:r w:rsidRPr="00193D76">
          <w:rPr>
            <w:sz w:val="22"/>
            <w:szCs w:val="22"/>
          </w:rPr>
          <w:delText>analysert separat fra de som ikke hadde klinisk respons ved uke 4.</w:delText>
        </w:r>
        <w:r w:rsidR="00411005" w:rsidRPr="002D0790">
          <w:rPr>
            <w:sz w:val="22"/>
            <w:szCs w:val="22"/>
          </w:rPr>
          <w:delText xml:space="preserve"> </w:delText>
        </w:r>
        <w:r w:rsidR="001A26E1" w:rsidRPr="002D0790">
          <w:rPr>
            <w:sz w:val="22"/>
            <w:szCs w:val="22"/>
          </w:rPr>
          <w:delText>Nedtrapping</w:delText>
        </w:r>
        <w:r w:rsidR="006B6AA7" w:rsidRPr="00E14E58">
          <w:rPr>
            <w:sz w:val="22"/>
            <w:szCs w:val="22"/>
          </w:rPr>
          <w:delText xml:space="preserve"> av kortikosteroider ble tillatt etter uke 8.</w:delText>
        </w:r>
      </w:del>
    </w:p>
    <w:p w14:paraId="52DC0A51" w14:textId="76716A39" w:rsidR="00DE3458" w:rsidRPr="009C5EFD" w:rsidRDefault="00DE3458">
      <w:pPr>
        <w:keepNext/>
        <w:suppressAutoHyphens/>
        <w:rPr>
          <w:del w:id="8940" w:author="AbbVie02no" w:date="2025-05-15T13:45:00Z"/>
          <w:sz w:val="22"/>
          <w:szCs w:val="22"/>
        </w:rPr>
        <w:pPrChange w:id="8941" w:author="AbbVie02no" w:date="2025-05-15T13:45:00Z">
          <w:pPr/>
        </w:pPrChange>
      </w:pPr>
    </w:p>
    <w:p w14:paraId="5E849B11" w14:textId="24642409" w:rsidR="00DE3458" w:rsidRDefault="00E453CD">
      <w:pPr>
        <w:keepNext/>
        <w:suppressAutoHyphens/>
        <w:rPr>
          <w:del w:id="8942" w:author="AbbVie02no" w:date="2025-05-15T13:45:00Z"/>
          <w:sz w:val="22"/>
          <w:szCs w:val="22"/>
        </w:rPr>
        <w:pPrChange w:id="8943" w:author="AbbVie02no" w:date="2025-05-15T13:45:00Z">
          <w:pPr/>
        </w:pPrChange>
      </w:pPr>
      <w:del w:id="8944" w:author="AbbVie02no" w:date="2025-05-15T13:45:00Z">
        <w:r w:rsidRPr="009C5EFD">
          <w:rPr>
            <w:sz w:val="22"/>
            <w:szCs w:val="22"/>
          </w:rPr>
          <w:delText xml:space="preserve">CD-studie I og CD-studie II induksjon </w:delText>
        </w:r>
        <w:r w:rsidR="00696279" w:rsidRPr="009C5EFD">
          <w:rPr>
            <w:sz w:val="22"/>
            <w:szCs w:val="22"/>
          </w:rPr>
          <w:delText xml:space="preserve">av </w:delText>
        </w:r>
        <w:r w:rsidRPr="009C5EFD">
          <w:rPr>
            <w:sz w:val="22"/>
            <w:szCs w:val="22"/>
          </w:rPr>
          <w:delText xml:space="preserve">remisjon og responsnivåer er vist i </w:delText>
        </w:r>
        <w:r w:rsidR="00EF2122" w:rsidRPr="009C5EFD">
          <w:rPr>
            <w:sz w:val="22"/>
            <w:szCs w:val="22"/>
          </w:rPr>
          <w:delText>t</w:delText>
        </w:r>
        <w:r w:rsidRPr="009C5EFD">
          <w:rPr>
            <w:sz w:val="22"/>
            <w:szCs w:val="22"/>
          </w:rPr>
          <w:delText xml:space="preserve">abell </w:delText>
        </w:r>
        <w:r w:rsidR="006A155B">
          <w:rPr>
            <w:sz w:val="22"/>
            <w:szCs w:val="22"/>
          </w:rPr>
          <w:delText>2</w:delText>
        </w:r>
        <w:r w:rsidR="00205D90">
          <w:rPr>
            <w:sz w:val="22"/>
            <w:szCs w:val="22"/>
          </w:rPr>
          <w:delText>1</w:delText>
        </w:r>
        <w:r w:rsidRPr="009C5EFD">
          <w:rPr>
            <w:sz w:val="22"/>
            <w:szCs w:val="22"/>
          </w:rPr>
          <w:delText>.</w:delText>
        </w:r>
      </w:del>
    </w:p>
    <w:p w14:paraId="203DCC9F" w14:textId="30C736C7" w:rsidR="00970B21" w:rsidRDefault="00970B21">
      <w:pPr>
        <w:keepNext/>
        <w:suppressAutoHyphens/>
        <w:rPr>
          <w:del w:id="8945" w:author="AbbVie02no" w:date="2025-05-15T13:45:00Z"/>
          <w:sz w:val="22"/>
          <w:szCs w:val="22"/>
        </w:rPr>
        <w:pPrChange w:id="8946" w:author="AbbVie02no" w:date="2025-05-15T13:45:00Z">
          <w:pPr/>
        </w:pPrChange>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1192"/>
        <w:gridCol w:w="1249"/>
        <w:gridCol w:w="1176"/>
        <w:gridCol w:w="1495"/>
        <w:gridCol w:w="1818"/>
      </w:tblGrid>
      <w:tr w:rsidR="004644D4" w14:paraId="70F2B432" w14:textId="78791398" w:rsidTr="005D54C1">
        <w:trPr>
          <w:cantSplit/>
          <w:del w:id="8947" w:author="AbbVie02no" w:date="2025-05-15T13:45:00Z"/>
        </w:trPr>
        <w:tc>
          <w:tcPr>
            <w:tcW w:w="9238" w:type="dxa"/>
            <w:gridSpan w:val="6"/>
            <w:tcBorders>
              <w:top w:val="nil"/>
              <w:left w:val="nil"/>
              <w:right w:val="nil"/>
            </w:tcBorders>
          </w:tcPr>
          <w:p w14:paraId="7DDFA362" w14:textId="16B732F2" w:rsidR="00970B21" w:rsidRPr="009C5EFD" w:rsidRDefault="00E453CD">
            <w:pPr>
              <w:keepNext/>
              <w:suppressAutoHyphens/>
              <w:rPr>
                <w:del w:id="8948" w:author="AbbVie02no" w:date="2025-05-15T13:45:00Z"/>
                <w:b/>
                <w:bCs/>
                <w:sz w:val="22"/>
              </w:rPr>
              <w:pPrChange w:id="8949" w:author="AbbVie02no" w:date="2025-05-15T13:45:00Z">
                <w:pPr>
                  <w:pStyle w:val="TableText"/>
                  <w:jc w:val="center"/>
                </w:pPr>
              </w:pPrChange>
            </w:pPr>
            <w:del w:id="8950" w:author="AbbVie02no" w:date="2025-05-15T13:45:00Z">
              <w:r w:rsidRPr="009C5EFD">
                <w:rPr>
                  <w:b/>
                  <w:bCs/>
                  <w:sz w:val="22"/>
                </w:rPr>
                <w:delText xml:space="preserve">Tabell </w:delText>
              </w:r>
              <w:r w:rsidR="00205D90">
                <w:rPr>
                  <w:b/>
                  <w:bCs/>
                  <w:sz w:val="22"/>
                </w:rPr>
                <w:delText>21</w:delText>
              </w:r>
            </w:del>
          </w:p>
          <w:p w14:paraId="078BEC94" w14:textId="280A2011" w:rsidR="00970B21" w:rsidRPr="009C5EFD" w:rsidRDefault="00E453CD">
            <w:pPr>
              <w:keepNext/>
              <w:suppressAutoHyphens/>
              <w:rPr>
                <w:del w:id="8951" w:author="AbbVie02no" w:date="2025-05-15T13:45:00Z"/>
                <w:b/>
                <w:bCs/>
                <w:sz w:val="22"/>
              </w:rPr>
              <w:pPrChange w:id="8952" w:author="AbbVie02no" w:date="2025-05-15T13:45:00Z">
                <w:pPr>
                  <w:pStyle w:val="TableText"/>
                  <w:jc w:val="center"/>
                </w:pPr>
              </w:pPrChange>
            </w:pPr>
            <w:del w:id="8953" w:author="AbbVie02no" w:date="2025-05-15T13:45:00Z">
              <w:r w:rsidRPr="009C5EFD">
                <w:rPr>
                  <w:b/>
                  <w:bCs/>
                  <w:sz w:val="22"/>
                </w:rPr>
                <w:delText>Induksjon av klinisk remisjon og respons</w:delText>
              </w:r>
            </w:del>
          </w:p>
          <w:p w14:paraId="1DFF948D" w14:textId="2A401BD9" w:rsidR="00970B21" w:rsidRPr="00DA6326" w:rsidRDefault="00E453CD">
            <w:pPr>
              <w:keepNext/>
              <w:suppressAutoHyphens/>
              <w:rPr>
                <w:del w:id="8954" w:author="AbbVie02no" w:date="2025-05-15T13:45:00Z"/>
                <w:b/>
                <w:bCs/>
                <w:sz w:val="22"/>
              </w:rPr>
              <w:pPrChange w:id="8955" w:author="AbbVie02no" w:date="2025-05-15T13:45:00Z">
                <w:pPr>
                  <w:pStyle w:val="TableText"/>
                  <w:jc w:val="center"/>
                </w:pPr>
              </w:pPrChange>
            </w:pPr>
            <w:del w:id="8956" w:author="AbbVie02no" w:date="2025-05-15T13:45:00Z">
              <w:r w:rsidRPr="00DA6326">
                <w:rPr>
                  <w:b/>
                  <w:bCs/>
                  <w:sz w:val="22"/>
                </w:rPr>
                <w:delText>(Prosent av pasientene)</w:delText>
              </w:r>
            </w:del>
          </w:p>
        </w:tc>
      </w:tr>
      <w:tr w:rsidR="004644D4" w14:paraId="188E2826" w14:textId="0AB86B01" w:rsidTr="005D54C1">
        <w:trPr>
          <w:cantSplit/>
          <w:del w:id="8957" w:author="AbbVie02no" w:date="2025-05-15T13:45:00Z"/>
        </w:trPr>
        <w:tc>
          <w:tcPr>
            <w:tcW w:w="2308" w:type="dxa"/>
          </w:tcPr>
          <w:p w14:paraId="29F7CD3D" w14:textId="57F19E29" w:rsidR="00970B21" w:rsidRPr="00DA6326" w:rsidRDefault="00970B21">
            <w:pPr>
              <w:keepNext/>
              <w:suppressAutoHyphens/>
              <w:rPr>
                <w:del w:id="8958" w:author="AbbVie02no" w:date="2025-05-15T13:45:00Z"/>
                <w:b/>
                <w:bCs/>
                <w:sz w:val="22"/>
              </w:rPr>
              <w:pPrChange w:id="8959" w:author="AbbVie02no" w:date="2025-05-15T13:45:00Z">
                <w:pPr>
                  <w:pStyle w:val="TableText"/>
                  <w:keepNext w:val="0"/>
                </w:pPr>
              </w:pPrChange>
            </w:pPr>
          </w:p>
        </w:tc>
        <w:tc>
          <w:tcPr>
            <w:tcW w:w="3617" w:type="dxa"/>
            <w:gridSpan w:val="3"/>
          </w:tcPr>
          <w:p w14:paraId="2289665E" w14:textId="3598F9F2" w:rsidR="00970B21" w:rsidRPr="009C5EFD" w:rsidRDefault="00E453CD">
            <w:pPr>
              <w:keepNext/>
              <w:suppressAutoHyphens/>
              <w:rPr>
                <w:del w:id="8960" w:author="AbbVie02no" w:date="2025-05-15T13:45:00Z"/>
                <w:b/>
                <w:bCs/>
                <w:sz w:val="22"/>
              </w:rPr>
              <w:pPrChange w:id="8961" w:author="AbbVie02no" w:date="2025-05-15T13:45:00Z">
                <w:pPr>
                  <w:pStyle w:val="TableText"/>
                  <w:keepNext w:val="0"/>
                </w:pPr>
              </w:pPrChange>
            </w:pPr>
            <w:del w:id="8962" w:author="AbbVie02no" w:date="2025-05-15T13:45:00Z">
              <w:r w:rsidRPr="007F67EE">
                <w:rPr>
                  <w:b/>
                  <w:bCs/>
                  <w:sz w:val="22"/>
                </w:rPr>
                <w:delText>CD</w:delText>
              </w:r>
              <w:r w:rsidRPr="00193D76">
                <w:rPr>
                  <w:b/>
                  <w:bCs/>
                  <w:sz w:val="22"/>
                </w:rPr>
                <w:delText>-</w:delText>
              </w:r>
              <w:r w:rsidRPr="009C5EFD">
                <w:rPr>
                  <w:b/>
                  <w:bCs/>
                  <w:sz w:val="22"/>
                </w:rPr>
                <w:delText>studie I: Infliksimab naive pasienter</w:delText>
              </w:r>
            </w:del>
          </w:p>
        </w:tc>
        <w:tc>
          <w:tcPr>
            <w:tcW w:w="3313" w:type="dxa"/>
            <w:gridSpan w:val="2"/>
          </w:tcPr>
          <w:p w14:paraId="0C28E963" w14:textId="110F157F" w:rsidR="00970B21" w:rsidRPr="009C5EFD" w:rsidRDefault="00E453CD">
            <w:pPr>
              <w:keepNext/>
              <w:suppressAutoHyphens/>
              <w:rPr>
                <w:del w:id="8963" w:author="AbbVie02no" w:date="2025-05-15T13:45:00Z"/>
                <w:b/>
                <w:bCs/>
                <w:sz w:val="22"/>
              </w:rPr>
              <w:pPrChange w:id="8964" w:author="AbbVie02no" w:date="2025-05-15T13:45:00Z">
                <w:pPr>
                  <w:pStyle w:val="TableText"/>
                  <w:keepNext w:val="0"/>
                </w:pPr>
              </w:pPrChange>
            </w:pPr>
            <w:del w:id="8965" w:author="AbbVie02no" w:date="2025-05-15T13:45:00Z">
              <w:r w:rsidRPr="009C5EFD">
                <w:rPr>
                  <w:b/>
                  <w:bCs/>
                  <w:sz w:val="22"/>
                </w:rPr>
                <w:delText>CD-studie II: Infliksimab erfarne pasienter</w:delText>
              </w:r>
            </w:del>
          </w:p>
        </w:tc>
      </w:tr>
      <w:tr w:rsidR="004644D4" w14:paraId="48545DA0" w14:textId="200CB593" w:rsidTr="005D54C1">
        <w:trPr>
          <w:cantSplit/>
          <w:del w:id="8966" w:author="AbbVie02no" w:date="2025-05-15T13:45:00Z"/>
        </w:trPr>
        <w:tc>
          <w:tcPr>
            <w:tcW w:w="2308" w:type="dxa"/>
          </w:tcPr>
          <w:p w14:paraId="20A70197" w14:textId="5FEDABE0" w:rsidR="00970B21" w:rsidRPr="007F67EE" w:rsidRDefault="00970B21">
            <w:pPr>
              <w:keepNext/>
              <w:suppressAutoHyphens/>
              <w:rPr>
                <w:del w:id="8967" w:author="AbbVie02no" w:date="2025-05-15T13:45:00Z"/>
                <w:b/>
                <w:bCs/>
                <w:sz w:val="22"/>
              </w:rPr>
              <w:pPrChange w:id="8968" w:author="AbbVie02no" w:date="2025-05-15T13:45:00Z">
                <w:pPr>
                  <w:pStyle w:val="TableText"/>
                  <w:keepNext w:val="0"/>
                  <w:jc w:val="center"/>
                </w:pPr>
              </w:pPrChange>
            </w:pPr>
          </w:p>
        </w:tc>
        <w:tc>
          <w:tcPr>
            <w:tcW w:w="1192" w:type="dxa"/>
          </w:tcPr>
          <w:p w14:paraId="41F4B1C8" w14:textId="3EC4D999" w:rsidR="00970B21" w:rsidRPr="007F67EE" w:rsidRDefault="00E453CD">
            <w:pPr>
              <w:keepNext/>
              <w:suppressAutoHyphens/>
              <w:rPr>
                <w:del w:id="8969" w:author="AbbVie02no" w:date="2025-05-15T13:45:00Z"/>
                <w:b/>
                <w:bCs/>
                <w:sz w:val="22"/>
                <w:lang w:val="fr-FR"/>
              </w:rPr>
              <w:pPrChange w:id="8970" w:author="AbbVie02no" w:date="2025-05-15T13:45:00Z">
                <w:pPr>
                  <w:pStyle w:val="TableText"/>
                  <w:keepNext w:val="0"/>
                  <w:jc w:val="center"/>
                </w:pPr>
              </w:pPrChange>
            </w:pPr>
            <w:del w:id="8971" w:author="AbbVie02no" w:date="2025-05-15T13:45:00Z">
              <w:r w:rsidRPr="007F67EE">
                <w:rPr>
                  <w:b/>
                  <w:bCs/>
                  <w:sz w:val="22"/>
                  <w:lang w:val="fr-FR"/>
                </w:rPr>
                <w:delText>Placebo</w:delText>
              </w:r>
            </w:del>
          </w:p>
          <w:p w14:paraId="63551AC6" w14:textId="4A752C63" w:rsidR="00970B21" w:rsidRPr="00193D76" w:rsidRDefault="00E453CD">
            <w:pPr>
              <w:keepNext/>
              <w:suppressAutoHyphens/>
              <w:rPr>
                <w:del w:id="8972" w:author="AbbVie02no" w:date="2025-05-15T13:45:00Z"/>
                <w:b/>
                <w:bCs/>
                <w:sz w:val="22"/>
                <w:lang w:val="fr-FR"/>
              </w:rPr>
              <w:pPrChange w:id="8973" w:author="AbbVie02no" w:date="2025-05-15T13:45:00Z">
                <w:pPr>
                  <w:pStyle w:val="TableText"/>
                  <w:keepNext w:val="0"/>
                  <w:jc w:val="center"/>
                </w:pPr>
              </w:pPrChange>
            </w:pPr>
            <w:del w:id="8974" w:author="AbbVie02no" w:date="2025-05-15T13:45:00Z">
              <w:r w:rsidRPr="00193D76">
                <w:rPr>
                  <w:b/>
                  <w:bCs/>
                  <w:sz w:val="22"/>
                  <w:lang w:val="fr-FR"/>
                </w:rPr>
                <w:delText>N=74</w:delText>
              </w:r>
            </w:del>
          </w:p>
        </w:tc>
        <w:tc>
          <w:tcPr>
            <w:tcW w:w="1249" w:type="dxa"/>
          </w:tcPr>
          <w:p w14:paraId="52F104F5" w14:textId="5EE5EA85" w:rsidR="00970B21" w:rsidRPr="002D0790" w:rsidRDefault="00E453CD">
            <w:pPr>
              <w:keepNext/>
              <w:suppressAutoHyphens/>
              <w:rPr>
                <w:del w:id="8975" w:author="AbbVie02no" w:date="2025-05-15T13:45:00Z"/>
                <w:b/>
                <w:bCs/>
                <w:sz w:val="22"/>
                <w:lang w:val="fr-FR"/>
              </w:rPr>
              <w:pPrChange w:id="8976" w:author="AbbVie02no" w:date="2025-05-15T13:45:00Z">
                <w:pPr>
                  <w:pStyle w:val="TableText"/>
                  <w:keepNext w:val="0"/>
                  <w:jc w:val="center"/>
                </w:pPr>
              </w:pPrChange>
            </w:pPr>
            <w:del w:id="8977" w:author="AbbVie02no" w:date="2025-05-15T13:45:00Z">
              <w:r w:rsidRPr="002D0790">
                <w:rPr>
                  <w:b/>
                  <w:bCs/>
                  <w:sz w:val="22"/>
                  <w:lang w:val="fr-FR"/>
                </w:rPr>
                <w:delText>Humira</w:delText>
              </w:r>
            </w:del>
          </w:p>
          <w:p w14:paraId="0357FB7B" w14:textId="2B79209E" w:rsidR="00970B21" w:rsidRPr="002D0790" w:rsidRDefault="00E453CD">
            <w:pPr>
              <w:keepNext/>
              <w:suppressAutoHyphens/>
              <w:rPr>
                <w:del w:id="8978" w:author="AbbVie02no" w:date="2025-05-15T13:45:00Z"/>
                <w:b/>
                <w:bCs/>
                <w:sz w:val="22"/>
                <w:lang w:val="fr-FR"/>
              </w:rPr>
              <w:pPrChange w:id="8979" w:author="AbbVie02no" w:date="2025-05-15T13:45:00Z">
                <w:pPr>
                  <w:pStyle w:val="TableText"/>
                  <w:keepNext w:val="0"/>
                  <w:jc w:val="center"/>
                </w:pPr>
              </w:pPrChange>
            </w:pPr>
            <w:del w:id="8980" w:author="AbbVie02no" w:date="2025-05-15T13:45:00Z">
              <w:r w:rsidRPr="002D0790">
                <w:rPr>
                  <w:b/>
                  <w:bCs/>
                  <w:sz w:val="22"/>
                  <w:lang w:val="fr-FR"/>
                </w:rPr>
                <w:delText>80/40 mg</w:delText>
              </w:r>
            </w:del>
          </w:p>
          <w:p w14:paraId="6157544E" w14:textId="4E8D09F5" w:rsidR="00970B21" w:rsidRPr="00E14E58" w:rsidRDefault="00E453CD">
            <w:pPr>
              <w:keepNext/>
              <w:suppressAutoHyphens/>
              <w:rPr>
                <w:del w:id="8981" w:author="AbbVie02no" w:date="2025-05-15T13:45:00Z"/>
                <w:b/>
                <w:bCs/>
                <w:sz w:val="22"/>
                <w:lang w:val="fr-FR"/>
              </w:rPr>
              <w:pPrChange w:id="8982" w:author="AbbVie02no" w:date="2025-05-15T13:45:00Z">
                <w:pPr>
                  <w:pStyle w:val="TableText"/>
                  <w:keepNext w:val="0"/>
                  <w:jc w:val="center"/>
                </w:pPr>
              </w:pPrChange>
            </w:pPr>
            <w:del w:id="8983" w:author="AbbVie02no" w:date="2025-05-15T13:45:00Z">
              <w:r w:rsidRPr="00E14E58">
                <w:rPr>
                  <w:b/>
                  <w:bCs/>
                  <w:sz w:val="22"/>
                  <w:lang w:val="fr-FR"/>
                </w:rPr>
                <w:delText>N=75</w:delText>
              </w:r>
            </w:del>
          </w:p>
        </w:tc>
        <w:tc>
          <w:tcPr>
            <w:tcW w:w="1176" w:type="dxa"/>
          </w:tcPr>
          <w:p w14:paraId="6E4A1E22" w14:textId="5BCA074F" w:rsidR="00970B21" w:rsidRPr="009C5EFD" w:rsidRDefault="00E453CD">
            <w:pPr>
              <w:keepNext/>
              <w:suppressAutoHyphens/>
              <w:rPr>
                <w:del w:id="8984" w:author="AbbVie02no" w:date="2025-05-15T13:45:00Z"/>
                <w:b/>
                <w:bCs/>
                <w:sz w:val="22"/>
                <w:lang w:val="fr-FR"/>
              </w:rPr>
              <w:pPrChange w:id="8985" w:author="AbbVie02no" w:date="2025-05-15T13:45:00Z">
                <w:pPr>
                  <w:pStyle w:val="TableText"/>
                  <w:keepNext w:val="0"/>
                  <w:jc w:val="center"/>
                </w:pPr>
              </w:pPrChange>
            </w:pPr>
            <w:del w:id="8986" w:author="AbbVie02no" w:date="2025-05-15T13:45:00Z">
              <w:r w:rsidRPr="009C5EFD">
                <w:rPr>
                  <w:b/>
                  <w:bCs/>
                  <w:sz w:val="22"/>
                  <w:lang w:val="fr-FR"/>
                </w:rPr>
                <w:delText xml:space="preserve">Humira </w:delText>
              </w:r>
            </w:del>
          </w:p>
          <w:p w14:paraId="2C72EA7A" w14:textId="13C0F83B" w:rsidR="00970B21" w:rsidRPr="009C5EFD" w:rsidRDefault="00E453CD">
            <w:pPr>
              <w:keepNext/>
              <w:suppressAutoHyphens/>
              <w:rPr>
                <w:del w:id="8987" w:author="AbbVie02no" w:date="2025-05-15T13:45:00Z"/>
                <w:b/>
                <w:bCs/>
                <w:sz w:val="22"/>
                <w:lang w:val="fr-FR"/>
              </w:rPr>
              <w:pPrChange w:id="8988" w:author="AbbVie02no" w:date="2025-05-15T13:45:00Z">
                <w:pPr>
                  <w:pStyle w:val="TableText"/>
                  <w:keepNext w:val="0"/>
                  <w:jc w:val="center"/>
                </w:pPr>
              </w:pPrChange>
            </w:pPr>
            <w:del w:id="8989" w:author="AbbVie02no" w:date="2025-05-15T13:45:00Z">
              <w:r w:rsidRPr="009C5EFD">
                <w:rPr>
                  <w:b/>
                  <w:bCs/>
                  <w:sz w:val="22"/>
                  <w:lang w:val="fr-FR"/>
                </w:rPr>
                <w:delText>160/80 mg N=76</w:delText>
              </w:r>
            </w:del>
          </w:p>
        </w:tc>
        <w:tc>
          <w:tcPr>
            <w:tcW w:w="1495" w:type="dxa"/>
          </w:tcPr>
          <w:p w14:paraId="4F9A01FE" w14:textId="29DF6ADD" w:rsidR="00970B21" w:rsidRPr="009C5EFD" w:rsidRDefault="00E453CD">
            <w:pPr>
              <w:keepNext/>
              <w:suppressAutoHyphens/>
              <w:rPr>
                <w:del w:id="8990" w:author="AbbVie02no" w:date="2025-05-15T13:45:00Z"/>
                <w:b/>
                <w:bCs/>
                <w:sz w:val="22"/>
                <w:lang w:val="fr-FR"/>
              </w:rPr>
              <w:pPrChange w:id="8991" w:author="AbbVie02no" w:date="2025-05-15T13:45:00Z">
                <w:pPr>
                  <w:pStyle w:val="TableText"/>
                  <w:keepNext w:val="0"/>
                  <w:jc w:val="center"/>
                </w:pPr>
              </w:pPrChange>
            </w:pPr>
            <w:del w:id="8992" w:author="AbbVie02no" w:date="2025-05-15T13:45:00Z">
              <w:r w:rsidRPr="009C5EFD">
                <w:rPr>
                  <w:b/>
                  <w:bCs/>
                  <w:sz w:val="22"/>
                  <w:lang w:val="fr-FR"/>
                </w:rPr>
                <w:delText>Placebo</w:delText>
              </w:r>
            </w:del>
          </w:p>
          <w:p w14:paraId="624B458A" w14:textId="34AB7606" w:rsidR="00970B21" w:rsidRPr="009C5EFD" w:rsidRDefault="00E453CD">
            <w:pPr>
              <w:keepNext/>
              <w:suppressAutoHyphens/>
              <w:rPr>
                <w:del w:id="8993" w:author="AbbVie02no" w:date="2025-05-15T13:45:00Z"/>
                <w:b/>
                <w:bCs/>
                <w:sz w:val="22"/>
                <w:lang w:val="fr-FR"/>
              </w:rPr>
              <w:pPrChange w:id="8994" w:author="AbbVie02no" w:date="2025-05-15T13:45:00Z">
                <w:pPr>
                  <w:pStyle w:val="TableText"/>
                  <w:keepNext w:val="0"/>
                  <w:jc w:val="center"/>
                </w:pPr>
              </w:pPrChange>
            </w:pPr>
            <w:del w:id="8995" w:author="AbbVie02no" w:date="2025-05-15T13:45:00Z">
              <w:r w:rsidRPr="009C5EFD">
                <w:rPr>
                  <w:b/>
                  <w:bCs/>
                  <w:sz w:val="22"/>
                  <w:lang w:val="fr-FR"/>
                </w:rPr>
                <w:delText>N=166</w:delText>
              </w:r>
            </w:del>
          </w:p>
        </w:tc>
        <w:tc>
          <w:tcPr>
            <w:tcW w:w="1818" w:type="dxa"/>
          </w:tcPr>
          <w:p w14:paraId="7CB797EB" w14:textId="71DD136B" w:rsidR="00970B21" w:rsidRPr="009C5EFD" w:rsidRDefault="00E453CD">
            <w:pPr>
              <w:keepNext/>
              <w:suppressAutoHyphens/>
              <w:rPr>
                <w:del w:id="8996" w:author="AbbVie02no" w:date="2025-05-15T13:45:00Z"/>
                <w:b/>
                <w:bCs/>
                <w:sz w:val="22"/>
                <w:lang w:val="fr-FR"/>
              </w:rPr>
              <w:pPrChange w:id="8997" w:author="AbbVie02no" w:date="2025-05-15T13:45:00Z">
                <w:pPr>
                  <w:pStyle w:val="TableText"/>
                  <w:keepNext w:val="0"/>
                  <w:jc w:val="center"/>
                </w:pPr>
              </w:pPrChange>
            </w:pPr>
            <w:del w:id="8998" w:author="AbbVie02no" w:date="2025-05-15T13:45:00Z">
              <w:r w:rsidRPr="009C5EFD">
                <w:rPr>
                  <w:b/>
                  <w:bCs/>
                  <w:sz w:val="22"/>
                  <w:lang w:val="fr-FR"/>
                </w:rPr>
                <w:delText xml:space="preserve">Humira </w:delText>
              </w:r>
            </w:del>
          </w:p>
          <w:p w14:paraId="2A4C1BF1" w14:textId="0FA68DFA" w:rsidR="00970B21" w:rsidRPr="009C5EFD" w:rsidRDefault="00E453CD">
            <w:pPr>
              <w:keepNext/>
              <w:suppressAutoHyphens/>
              <w:rPr>
                <w:del w:id="8999" w:author="AbbVie02no" w:date="2025-05-15T13:45:00Z"/>
                <w:b/>
                <w:bCs/>
                <w:sz w:val="22"/>
                <w:lang w:val="fr-FR"/>
              </w:rPr>
              <w:pPrChange w:id="9000" w:author="AbbVie02no" w:date="2025-05-15T13:45:00Z">
                <w:pPr>
                  <w:pStyle w:val="TableText"/>
                  <w:keepNext w:val="0"/>
                  <w:jc w:val="center"/>
                </w:pPr>
              </w:pPrChange>
            </w:pPr>
            <w:del w:id="9001" w:author="AbbVie02no" w:date="2025-05-15T13:45:00Z">
              <w:r w:rsidRPr="009C5EFD">
                <w:rPr>
                  <w:b/>
                  <w:bCs/>
                  <w:sz w:val="22"/>
                  <w:lang w:val="fr-FR"/>
                </w:rPr>
                <w:delText>160/80 mg</w:delText>
              </w:r>
            </w:del>
          </w:p>
          <w:p w14:paraId="44D8B2E9" w14:textId="651CE1BB" w:rsidR="00970B21" w:rsidRPr="00090EDA" w:rsidRDefault="00E453CD">
            <w:pPr>
              <w:keepNext/>
              <w:suppressAutoHyphens/>
              <w:rPr>
                <w:del w:id="9002" w:author="AbbVie02no" w:date="2025-05-15T13:45:00Z"/>
                <w:b/>
                <w:bCs/>
                <w:sz w:val="22"/>
                <w:rPrChange w:id="9003" w:author="AbbVie04no" w:date="2025-09-09T10:16:00Z" w16du:dateUtc="2025-09-09T08:16:00Z">
                  <w:rPr>
                    <w:del w:id="9004" w:author="AbbVie02no" w:date="2025-05-15T13:45:00Z"/>
                    <w:b/>
                    <w:bCs/>
                    <w:sz w:val="22"/>
                    <w:lang w:val="en-GB"/>
                  </w:rPr>
                </w:rPrChange>
              </w:rPr>
              <w:pPrChange w:id="9005" w:author="AbbVie02no" w:date="2025-05-15T13:45:00Z">
                <w:pPr>
                  <w:pStyle w:val="TableText"/>
                  <w:keepNext w:val="0"/>
                  <w:jc w:val="center"/>
                </w:pPr>
              </w:pPrChange>
            </w:pPr>
            <w:del w:id="9006" w:author="AbbVie02no" w:date="2025-05-15T13:45:00Z">
              <w:r w:rsidRPr="00090EDA">
                <w:rPr>
                  <w:b/>
                  <w:bCs/>
                  <w:sz w:val="22"/>
                  <w:rPrChange w:id="9007" w:author="AbbVie04no" w:date="2025-09-09T10:16:00Z" w16du:dateUtc="2025-09-09T08:16:00Z">
                    <w:rPr>
                      <w:b/>
                      <w:bCs/>
                      <w:sz w:val="22"/>
                      <w:lang w:val="en-GB"/>
                    </w:rPr>
                  </w:rPrChange>
                </w:rPr>
                <w:delText>N=159</w:delText>
              </w:r>
            </w:del>
          </w:p>
        </w:tc>
      </w:tr>
      <w:tr w:rsidR="004644D4" w14:paraId="783165BF" w14:textId="2379F5EC" w:rsidTr="005D54C1">
        <w:trPr>
          <w:cantSplit/>
          <w:del w:id="9008" w:author="AbbVie02no" w:date="2025-05-15T13:45:00Z"/>
        </w:trPr>
        <w:tc>
          <w:tcPr>
            <w:tcW w:w="2308" w:type="dxa"/>
            <w:vAlign w:val="bottom"/>
          </w:tcPr>
          <w:p w14:paraId="679899D1" w14:textId="3A3EBC25" w:rsidR="00970B21" w:rsidRPr="00090EDA" w:rsidRDefault="00E453CD">
            <w:pPr>
              <w:keepNext/>
              <w:suppressAutoHyphens/>
              <w:rPr>
                <w:del w:id="9009" w:author="AbbVie02no" w:date="2025-05-15T13:45:00Z"/>
                <w:sz w:val="22"/>
                <w:rPrChange w:id="9010" w:author="AbbVie04no" w:date="2025-09-09T10:16:00Z" w16du:dateUtc="2025-09-09T08:16:00Z">
                  <w:rPr>
                    <w:del w:id="9011" w:author="AbbVie02no" w:date="2025-05-15T13:45:00Z"/>
                    <w:sz w:val="22"/>
                    <w:lang w:val="en-GB"/>
                  </w:rPr>
                </w:rPrChange>
              </w:rPr>
              <w:pPrChange w:id="9012" w:author="AbbVie02no" w:date="2025-05-15T13:45:00Z">
                <w:pPr>
                  <w:pStyle w:val="TableText"/>
                  <w:keepNext w:val="0"/>
                </w:pPr>
              </w:pPrChange>
            </w:pPr>
            <w:del w:id="9013" w:author="AbbVie02no" w:date="2025-05-15T13:45:00Z">
              <w:r w:rsidRPr="00090EDA">
                <w:rPr>
                  <w:sz w:val="22"/>
                  <w:rPrChange w:id="9014" w:author="AbbVie04no" w:date="2025-09-09T10:16:00Z" w16du:dateUtc="2025-09-09T08:16:00Z">
                    <w:rPr>
                      <w:sz w:val="22"/>
                      <w:lang w:val="en-GB"/>
                    </w:rPr>
                  </w:rPrChange>
                </w:rPr>
                <w:delText>Uke 4</w:delText>
              </w:r>
            </w:del>
          </w:p>
        </w:tc>
        <w:tc>
          <w:tcPr>
            <w:tcW w:w="1192" w:type="dxa"/>
            <w:vAlign w:val="bottom"/>
          </w:tcPr>
          <w:p w14:paraId="6451C6D5" w14:textId="13C4AE96" w:rsidR="00970B21" w:rsidRPr="00090EDA" w:rsidRDefault="00970B21">
            <w:pPr>
              <w:keepNext/>
              <w:suppressAutoHyphens/>
              <w:rPr>
                <w:del w:id="9015" w:author="AbbVie02no" w:date="2025-05-15T13:45:00Z"/>
                <w:sz w:val="22"/>
                <w:rPrChange w:id="9016" w:author="AbbVie04no" w:date="2025-09-09T10:16:00Z" w16du:dateUtc="2025-09-09T08:16:00Z">
                  <w:rPr>
                    <w:del w:id="9017" w:author="AbbVie02no" w:date="2025-05-15T13:45:00Z"/>
                    <w:sz w:val="22"/>
                    <w:lang w:val="en-GB"/>
                  </w:rPr>
                </w:rPrChange>
              </w:rPr>
              <w:pPrChange w:id="9018" w:author="AbbVie02no" w:date="2025-05-15T13:45:00Z">
                <w:pPr>
                  <w:pStyle w:val="TableText"/>
                  <w:keepNext w:val="0"/>
                </w:pPr>
              </w:pPrChange>
            </w:pPr>
          </w:p>
        </w:tc>
        <w:tc>
          <w:tcPr>
            <w:tcW w:w="1249" w:type="dxa"/>
            <w:vAlign w:val="bottom"/>
          </w:tcPr>
          <w:p w14:paraId="3045C667" w14:textId="7B6A6D7B" w:rsidR="00970B21" w:rsidRPr="00090EDA" w:rsidRDefault="00970B21">
            <w:pPr>
              <w:keepNext/>
              <w:suppressAutoHyphens/>
              <w:rPr>
                <w:del w:id="9019" w:author="AbbVie02no" w:date="2025-05-15T13:45:00Z"/>
                <w:sz w:val="22"/>
                <w:rPrChange w:id="9020" w:author="AbbVie04no" w:date="2025-09-09T10:16:00Z" w16du:dateUtc="2025-09-09T08:16:00Z">
                  <w:rPr>
                    <w:del w:id="9021" w:author="AbbVie02no" w:date="2025-05-15T13:45:00Z"/>
                    <w:sz w:val="22"/>
                    <w:lang w:val="en-GB"/>
                  </w:rPr>
                </w:rPrChange>
              </w:rPr>
              <w:pPrChange w:id="9022" w:author="AbbVie02no" w:date="2025-05-15T13:45:00Z">
                <w:pPr>
                  <w:pStyle w:val="TableText"/>
                  <w:keepNext w:val="0"/>
                </w:pPr>
              </w:pPrChange>
            </w:pPr>
          </w:p>
        </w:tc>
        <w:tc>
          <w:tcPr>
            <w:tcW w:w="1176" w:type="dxa"/>
            <w:vAlign w:val="bottom"/>
          </w:tcPr>
          <w:p w14:paraId="7FD91BE8" w14:textId="3CF70257" w:rsidR="00970B21" w:rsidRPr="00090EDA" w:rsidRDefault="00970B21">
            <w:pPr>
              <w:keepNext/>
              <w:suppressAutoHyphens/>
              <w:rPr>
                <w:del w:id="9023" w:author="AbbVie02no" w:date="2025-05-15T13:45:00Z"/>
                <w:sz w:val="22"/>
                <w:rPrChange w:id="9024" w:author="AbbVie04no" w:date="2025-09-09T10:16:00Z" w16du:dateUtc="2025-09-09T08:16:00Z">
                  <w:rPr>
                    <w:del w:id="9025" w:author="AbbVie02no" w:date="2025-05-15T13:45:00Z"/>
                    <w:sz w:val="22"/>
                    <w:lang w:val="en-GB"/>
                  </w:rPr>
                </w:rPrChange>
              </w:rPr>
              <w:pPrChange w:id="9026" w:author="AbbVie02no" w:date="2025-05-15T13:45:00Z">
                <w:pPr>
                  <w:pStyle w:val="TableText"/>
                  <w:keepNext w:val="0"/>
                </w:pPr>
              </w:pPrChange>
            </w:pPr>
          </w:p>
        </w:tc>
        <w:tc>
          <w:tcPr>
            <w:tcW w:w="1495" w:type="dxa"/>
            <w:vAlign w:val="bottom"/>
          </w:tcPr>
          <w:p w14:paraId="47107FDA" w14:textId="6B21AAC8" w:rsidR="00970B21" w:rsidRPr="00090EDA" w:rsidRDefault="00970B21">
            <w:pPr>
              <w:keepNext/>
              <w:suppressAutoHyphens/>
              <w:rPr>
                <w:del w:id="9027" w:author="AbbVie02no" w:date="2025-05-15T13:45:00Z"/>
                <w:sz w:val="22"/>
                <w:rPrChange w:id="9028" w:author="AbbVie04no" w:date="2025-09-09T10:16:00Z" w16du:dateUtc="2025-09-09T08:16:00Z">
                  <w:rPr>
                    <w:del w:id="9029" w:author="AbbVie02no" w:date="2025-05-15T13:45:00Z"/>
                    <w:sz w:val="22"/>
                    <w:lang w:val="en-GB"/>
                  </w:rPr>
                </w:rPrChange>
              </w:rPr>
              <w:pPrChange w:id="9030" w:author="AbbVie02no" w:date="2025-05-15T13:45:00Z">
                <w:pPr>
                  <w:pStyle w:val="TableText"/>
                  <w:keepNext w:val="0"/>
                </w:pPr>
              </w:pPrChange>
            </w:pPr>
          </w:p>
        </w:tc>
        <w:tc>
          <w:tcPr>
            <w:tcW w:w="1818" w:type="dxa"/>
            <w:vAlign w:val="bottom"/>
          </w:tcPr>
          <w:p w14:paraId="5F05AFAD" w14:textId="05A19912" w:rsidR="00970B21" w:rsidRPr="00090EDA" w:rsidRDefault="00970B21">
            <w:pPr>
              <w:keepNext/>
              <w:suppressAutoHyphens/>
              <w:rPr>
                <w:del w:id="9031" w:author="AbbVie02no" w:date="2025-05-15T13:45:00Z"/>
                <w:sz w:val="22"/>
                <w:rPrChange w:id="9032" w:author="AbbVie04no" w:date="2025-09-09T10:16:00Z" w16du:dateUtc="2025-09-09T08:16:00Z">
                  <w:rPr>
                    <w:del w:id="9033" w:author="AbbVie02no" w:date="2025-05-15T13:45:00Z"/>
                    <w:sz w:val="22"/>
                    <w:lang w:val="en-GB"/>
                  </w:rPr>
                </w:rPrChange>
              </w:rPr>
              <w:pPrChange w:id="9034" w:author="AbbVie02no" w:date="2025-05-15T13:45:00Z">
                <w:pPr>
                  <w:pStyle w:val="TableText"/>
                  <w:keepNext w:val="0"/>
                </w:pPr>
              </w:pPrChange>
            </w:pPr>
          </w:p>
        </w:tc>
      </w:tr>
      <w:tr w:rsidR="004644D4" w14:paraId="64324642" w14:textId="6839E580" w:rsidTr="005D54C1">
        <w:trPr>
          <w:cantSplit/>
          <w:del w:id="9035" w:author="AbbVie02no" w:date="2025-05-15T13:45:00Z"/>
        </w:trPr>
        <w:tc>
          <w:tcPr>
            <w:tcW w:w="2308" w:type="dxa"/>
            <w:vAlign w:val="bottom"/>
          </w:tcPr>
          <w:p w14:paraId="1A1951CA" w14:textId="50347673" w:rsidR="00970B21" w:rsidRPr="00090EDA" w:rsidRDefault="00E453CD">
            <w:pPr>
              <w:keepNext/>
              <w:suppressAutoHyphens/>
              <w:rPr>
                <w:del w:id="9036" w:author="AbbVie02no" w:date="2025-05-15T13:45:00Z"/>
                <w:sz w:val="22"/>
                <w:rPrChange w:id="9037" w:author="AbbVie04no" w:date="2025-09-09T10:16:00Z" w16du:dateUtc="2025-09-09T08:16:00Z">
                  <w:rPr>
                    <w:del w:id="9038" w:author="AbbVie02no" w:date="2025-05-15T13:45:00Z"/>
                    <w:sz w:val="22"/>
                    <w:lang w:val="en-GB"/>
                  </w:rPr>
                </w:rPrChange>
              </w:rPr>
              <w:pPrChange w:id="9039" w:author="AbbVie02no" w:date="2025-05-15T13:45:00Z">
                <w:pPr>
                  <w:pStyle w:val="TableText"/>
                  <w:keepNext w:val="0"/>
                </w:pPr>
              </w:pPrChange>
            </w:pPr>
            <w:del w:id="9040" w:author="AbbVie02no" w:date="2025-05-15T13:45:00Z">
              <w:r w:rsidRPr="00090EDA">
                <w:rPr>
                  <w:sz w:val="22"/>
                  <w:rPrChange w:id="9041" w:author="AbbVie04no" w:date="2025-09-09T10:16:00Z" w16du:dateUtc="2025-09-09T08:16:00Z">
                    <w:rPr>
                      <w:sz w:val="22"/>
                      <w:lang w:val="en-GB"/>
                    </w:rPr>
                  </w:rPrChange>
                </w:rPr>
                <w:delText>Klinisk remisjon</w:delText>
              </w:r>
            </w:del>
          </w:p>
        </w:tc>
        <w:tc>
          <w:tcPr>
            <w:tcW w:w="1192" w:type="dxa"/>
            <w:vAlign w:val="bottom"/>
          </w:tcPr>
          <w:p w14:paraId="58638088" w14:textId="2F2E8212" w:rsidR="00970B21" w:rsidRPr="00090EDA" w:rsidRDefault="00E453CD">
            <w:pPr>
              <w:keepNext/>
              <w:suppressAutoHyphens/>
              <w:rPr>
                <w:del w:id="9042" w:author="AbbVie02no" w:date="2025-05-15T13:45:00Z"/>
                <w:sz w:val="22"/>
                <w:rPrChange w:id="9043" w:author="AbbVie04no" w:date="2025-09-09T10:16:00Z" w16du:dateUtc="2025-09-09T08:16:00Z">
                  <w:rPr>
                    <w:del w:id="9044" w:author="AbbVie02no" w:date="2025-05-15T13:45:00Z"/>
                    <w:sz w:val="22"/>
                    <w:lang w:val="en-GB"/>
                  </w:rPr>
                </w:rPrChange>
              </w:rPr>
              <w:pPrChange w:id="9045" w:author="AbbVie02no" w:date="2025-05-15T13:45:00Z">
                <w:pPr>
                  <w:pStyle w:val="TableText"/>
                  <w:keepNext w:val="0"/>
                  <w:jc w:val="center"/>
                </w:pPr>
              </w:pPrChange>
            </w:pPr>
            <w:del w:id="9046" w:author="AbbVie02no" w:date="2025-05-15T13:45:00Z">
              <w:r w:rsidRPr="00090EDA">
                <w:rPr>
                  <w:sz w:val="22"/>
                  <w:rPrChange w:id="9047" w:author="AbbVie04no" w:date="2025-09-09T10:16:00Z" w16du:dateUtc="2025-09-09T08:16:00Z">
                    <w:rPr>
                      <w:sz w:val="22"/>
                      <w:lang w:val="en-GB"/>
                    </w:rPr>
                  </w:rPrChange>
                </w:rPr>
                <w:delText>12 %</w:delText>
              </w:r>
            </w:del>
          </w:p>
        </w:tc>
        <w:tc>
          <w:tcPr>
            <w:tcW w:w="1249" w:type="dxa"/>
            <w:vAlign w:val="bottom"/>
          </w:tcPr>
          <w:p w14:paraId="7C46CC8D" w14:textId="1D3E11F7" w:rsidR="00970B21" w:rsidRPr="00090EDA" w:rsidRDefault="00E453CD">
            <w:pPr>
              <w:keepNext/>
              <w:suppressAutoHyphens/>
              <w:rPr>
                <w:del w:id="9048" w:author="AbbVie02no" w:date="2025-05-15T13:45:00Z"/>
                <w:bCs/>
                <w:iCs/>
                <w:sz w:val="22"/>
                <w:rPrChange w:id="9049" w:author="AbbVie04no" w:date="2025-09-09T10:16:00Z" w16du:dateUtc="2025-09-09T08:16:00Z">
                  <w:rPr>
                    <w:del w:id="9050" w:author="AbbVie02no" w:date="2025-05-15T13:45:00Z"/>
                    <w:bCs/>
                    <w:iCs/>
                    <w:sz w:val="22"/>
                    <w:lang w:val="en-GB"/>
                  </w:rPr>
                </w:rPrChange>
              </w:rPr>
              <w:pPrChange w:id="9051" w:author="AbbVie02no" w:date="2025-05-15T13:45:00Z">
                <w:pPr>
                  <w:pStyle w:val="TableText"/>
                  <w:keepNext w:val="0"/>
                  <w:jc w:val="center"/>
                </w:pPr>
              </w:pPrChange>
            </w:pPr>
            <w:del w:id="9052" w:author="AbbVie02no" w:date="2025-05-15T13:45:00Z">
              <w:r w:rsidRPr="00090EDA">
                <w:rPr>
                  <w:bCs/>
                  <w:iCs/>
                  <w:sz w:val="22"/>
                  <w:rPrChange w:id="9053" w:author="AbbVie04no" w:date="2025-09-09T10:16:00Z" w16du:dateUtc="2025-09-09T08:16:00Z">
                    <w:rPr>
                      <w:bCs/>
                      <w:iCs/>
                      <w:sz w:val="22"/>
                      <w:lang w:val="en-GB"/>
                    </w:rPr>
                  </w:rPrChange>
                </w:rPr>
                <w:delText>24 %</w:delText>
              </w:r>
            </w:del>
          </w:p>
        </w:tc>
        <w:tc>
          <w:tcPr>
            <w:tcW w:w="1176" w:type="dxa"/>
            <w:vAlign w:val="bottom"/>
          </w:tcPr>
          <w:p w14:paraId="432233AF" w14:textId="2FAC6736" w:rsidR="00970B21" w:rsidRPr="00090EDA" w:rsidRDefault="00E453CD">
            <w:pPr>
              <w:keepNext/>
              <w:suppressAutoHyphens/>
              <w:rPr>
                <w:del w:id="9054" w:author="AbbVie02no" w:date="2025-05-15T13:45:00Z"/>
                <w:bCs/>
                <w:iCs/>
                <w:sz w:val="22"/>
                <w:rPrChange w:id="9055" w:author="AbbVie04no" w:date="2025-09-09T10:16:00Z" w16du:dateUtc="2025-09-09T08:16:00Z">
                  <w:rPr>
                    <w:del w:id="9056" w:author="AbbVie02no" w:date="2025-05-15T13:45:00Z"/>
                    <w:bCs/>
                    <w:iCs/>
                    <w:sz w:val="22"/>
                    <w:lang w:val="en-GB"/>
                  </w:rPr>
                </w:rPrChange>
              </w:rPr>
              <w:pPrChange w:id="9057" w:author="AbbVie02no" w:date="2025-05-15T13:45:00Z">
                <w:pPr>
                  <w:pStyle w:val="TableText"/>
                  <w:keepNext w:val="0"/>
                  <w:jc w:val="center"/>
                </w:pPr>
              </w:pPrChange>
            </w:pPr>
            <w:del w:id="9058" w:author="AbbVie02no" w:date="2025-05-15T13:45:00Z">
              <w:r w:rsidRPr="00090EDA">
                <w:rPr>
                  <w:sz w:val="22"/>
                  <w:rPrChange w:id="9059" w:author="AbbVie04no" w:date="2025-09-09T10:16:00Z" w16du:dateUtc="2025-09-09T08:16:00Z">
                    <w:rPr>
                      <w:sz w:val="22"/>
                      <w:lang w:val="en-GB"/>
                    </w:rPr>
                  </w:rPrChange>
                </w:rPr>
                <w:delText>36 %</w:delText>
              </w:r>
              <w:r w:rsidRPr="00090EDA">
                <w:rPr>
                  <w:sz w:val="22"/>
                  <w:vertAlign w:val="superscript"/>
                  <w:rPrChange w:id="9060" w:author="AbbVie04no" w:date="2025-09-09T10:16:00Z" w16du:dateUtc="2025-09-09T08:16:00Z">
                    <w:rPr>
                      <w:sz w:val="22"/>
                      <w:vertAlign w:val="superscript"/>
                      <w:lang w:val="en-GB"/>
                    </w:rPr>
                  </w:rPrChange>
                </w:rPr>
                <w:delText>*</w:delText>
              </w:r>
            </w:del>
          </w:p>
        </w:tc>
        <w:tc>
          <w:tcPr>
            <w:tcW w:w="1495" w:type="dxa"/>
            <w:vAlign w:val="bottom"/>
          </w:tcPr>
          <w:p w14:paraId="1225A129" w14:textId="1A9A80B1" w:rsidR="00970B21" w:rsidRPr="00090EDA" w:rsidRDefault="00E453CD">
            <w:pPr>
              <w:keepNext/>
              <w:suppressAutoHyphens/>
              <w:rPr>
                <w:del w:id="9061" w:author="AbbVie02no" w:date="2025-05-15T13:45:00Z"/>
                <w:sz w:val="22"/>
                <w:rPrChange w:id="9062" w:author="AbbVie04no" w:date="2025-09-09T10:16:00Z" w16du:dateUtc="2025-09-09T08:16:00Z">
                  <w:rPr>
                    <w:del w:id="9063" w:author="AbbVie02no" w:date="2025-05-15T13:45:00Z"/>
                    <w:sz w:val="22"/>
                    <w:lang w:val="en-GB"/>
                  </w:rPr>
                </w:rPrChange>
              </w:rPr>
              <w:pPrChange w:id="9064" w:author="AbbVie02no" w:date="2025-05-15T13:45:00Z">
                <w:pPr>
                  <w:pStyle w:val="TableText"/>
                  <w:keepNext w:val="0"/>
                  <w:jc w:val="center"/>
                </w:pPr>
              </w:pPrChange>
            </w:pPr>
            <w:del w:id="9065" w:author="AbbVie02no" w:date="2025-05-15T13:45:00Z">
              <w:r w:rsidRPr="00090EDA">
                <w:rPr>
                  <w:sz w:val="22"/>
                  <w:rPrChange w:id="9066" w:author="AbbVie04no" w:date="2025-09-09T10:16:00Z" w16du:dateUtc="2025-09-09T08:16:00Z">
                    <w:rPr>
                      <w:sz w:val="22"/>
                      <w:lang w:val="en-GB"/>
                    </w:rPr>
                  </w:rPrChange>
                </w:rPr>
                <w:delText>7 %</w:delText>
              </w:r>
            </w:del>
          </w:p>
        </w:tc>
        <w:tc>
          <w:tcPr>
            <w:tcW w:w="1818" w:type="dxa"/>
            <w:vAlign w:val="bottom"/>
          </w:tcPr>
          <w:p w14:paraId="48A45A8A" w14:textId="7C266692" w:rsidR="00970B21" w:rsidRPr="00090EDA" w:rsidRDefault="00E453CD">
            <w:pPr>
              <w:keepNext/>
              <w:suppressAutoHyphens/>
              <w:rPr>
                <w:del w:id="9067" w:author="AbbVie02no" w:date="2025-05-15T13:45:00Z"/>
                <w:sz w:val="22"/>
                <w:rPrChange w:id="9068" w:author="AbbVie04no" w:date="2025-09-09T10:16:00Z" w16du:dateUtc="2025-09-09T08:16:00Z">
                  <w:rPr>
                    <w:del w:id="9069" w:author="AbbVie02no" w:date="2025-05-15T13:45:00Z"/>
                    <w:sz w:val="22"/>
                    <w:lang w:val="en-GB"/>
                  </w:rPr>
                </w:rPrChange>
              </w:rPr>
              <w:pPrChange w:id="9070" w:author="AbbVie02no" w:date="2025-05-15T13:45:00Z">
                <w:pPr>
                  <w:pStyle w:val="TableText"/>
                  <w:keepNext w:val="0"/>
                  <w:jc w:val="center"/>
                </w:pPr>
              </w:pPrChange>
            </w:pPr>
            <w:del w:id="9071" w:author="AbbVie02no" w:date="2025-05-15T13:45:00Z">
              <w:r w:rsidRPr="00090EDA">
                <w:rPr>
                  <w:sz w:val="22"/>
                  <w:rPrChange w:id="9072" w:author="AbbVie04no" w:date="2025-09-09T10:16:00Z" w16du:dateUtc="2025-09-09T08:16:00Z">
                    <w:rPr>
                      <w:sz w:val="22"/>
                      <w:lang w:val="en-GB"/>
                    </w:rPr>
                  </w:rPrChange>
                </w:rPr>
                <w:delText>21 %</w:delText>
              </w:r>
              <w:r w:rsidRPr="00090EDA">
                <w:rPr>
                  <w:sz w:val="22"/>
                  <w:vertAlign w:val="superscript"/>
                  <w:rPrChange w:id="9073" w:author="AbbVie04no" w:date="2025-09-09T10:16:00Z" w16du:dateUtc="2025-09-09T08:16:00Z">
                    <w:rPr>
                      <w:sz w:val="22"/>
                      <w:vertAlign w:val="superscript"/>
                      <w:lang w:val="en-GB"/>
                    </w:rPr>
                  </w:rPrChange>
                </w:rPr>
                <w:delText>*</w:delText>
              </w:r>
            </w:del>
          </w:p>
        </w:tc>
      </w:tr>
      <w:tr w:rsidR="004644D4" w14:paraId="0C21448A" w14:textId="23EB83E3" w:rsidTr="005D54C1">
        <w:trPr>
          <w:cantSplit/>
          <w:del w:id="9074" w:author="AbbVie02no" w:date="2025-05-15T13:45:00Z"/>
        </w:trPr>
        <w:tc>
          <w:tcPr>
            <w:tcW w:w="2308" w:type="dxa"/>
            <w:tcBorders>
              <w:bottom w:val="single" w:sz="4" w:space="0" w:color="auto"/>
            </w:tcBorders>
          </w:tcPr>
          <w:p w14:paraId="77BE41EB" w14:textId="267544A4" w:rsidR="00970B21" w:rsidRPr="00090EDA" w:rsidRDefault="00E453CD">
            <w:pPr>
              <w:keepNext/>
              <w:suppressAutoHyphens/>
              <w:rPr>
                <w:del w:id="9075" w:author="AbbVie02no" w:date="2025-05-15T13:45:00Z"/>
                <w:sz w:val="22"/>
                <w:rPrChange w:id="9076" w:author="AbbVie04no" w:date="2025-09-09T10:16:00Z" w16du:dateUtc="2025-09-09T08:16:00Z">
                  <w:rPr>
                    <w:del w:id="9077" w:author="AbbVie02no" w:date="2025-05-15T13:45:00Z"/>
                    <w:sz w:val="22"/>
                    <w:lang w:val="en-GB"/>
                  </w:rPr>
                </w:rPrChange>
              </w:rPr>
              <w:pPrChange w:id="9078" w:author="AbbVie02no" w:date="2025-05-15T13:45:00Z">
                <w:pPr>
                  <w:pStyle w:val="TableText"/>
                  <w:keepNext w:val="0"/>
                </w:pPr>
              </w:pPrChange>
            </w:pPr>
            <w:del w:id="9079" w:author="AbbVie02no" w:date="2025-05-15T13:45:00Z">
              <w:r w:rsidRPr="00090EDA">
                <w:rPr>
                  <w:sz w:val="22"/>
                  <w:rPrChange w:id="9080" w:author="AbbVie04no" w:date="2025-09-09T10:16:00Z" w16du:dateUtc="2025-09-09T08:16:00Z">
                    <w:rPr>
                      <w:sz w:val="22"/>
                      <w:lang w:val="en-GB"/>
                    </w:rPr>
                  </w:rPrChange>
                </w:rPr>
                <w:delText>Klinisk respons (CR-100)</w:delText>
              </w:r>
            </w:del>
          </w:p>
        </w:tc>
        <w:tc>
          <w:tcPr>
            <w:tcW w:w="1192" w:type="dxa"/>
            <w:tcBorders>
              <w:bottom w:val="single" w:sz="4" w:space="0" w:color="auto"/>
            </w:tcBorders>
          </w:tcPr>
          <w:p w14:paraId="58F3BC72" w14:textId="0386D717" w:rsidR="00970B21" w:rsidRPr="00090EDA" w:rsidRDefault="00E453CD">
            <w:pPr>
              <w:keepNext/>
              <w:suppressAutoHyphens/>
              <w:rPr>
                <w:del w:id="9081" w:author="AbbVie02no" w:date="2025-05-15T13:45:00Z"/>
                <w:sz w:val="22"/>
                <w:rPrChange w:id="9082" w:author="AbbVie04no" w:date="2025-09-09T10:16:00Z" w16du:dateUtc="2025-09-09T08:16:00Z">
                  <w:rPr>
                    <w:del w:id="9083" w:author="AbbVie02no" w:date="2025-05-15T13:45:00Z"/>
                    <w:sz w:val="22"/>
                    <w:lang w:val="en-GB"/>
                  </w:rPr>
                </w:rPrChange>
              </w:rPr>
              <w:pPrChange w:id="9084" w:author="AbbVie02no" w:date="2025-05-15T13:45:00Z">
                <w:pPr>
                  <w:pStyle w:val="TableText"/>
                  <w:keepNext w:val="0"/>
                  <w:jc w:val="center"/>
                </w:pPr>
              </w:pPrChange>
            </w:pPr>
            <w:del w:id="9085" w:author="AbbVie02no" w:date="2025-05-15T13:45:00Z">
              <w:r w:rsidRPr="00090EDA">
                <w:rPr>
                  <w:sz w:val="22"/>
                  <w:rPrChange w:id="9086" w:author="AbbVie04no" w:date="2025-09-09T10:16:00Z" w16du:dateUtc="2025-09-09T08:16:00Z">
                    <w:rPr>
                      <w:sz w:val="22"/>
                      <w:lang w:val="en-GB"/>
                    </w:rPr>
                  </w:rPrChange>
                </w:rPr>
                <w:delText>24 %</w:delText>
              </w:r>
            </w:del>
          </w:p>
        </w:tc>
        <w:tc>
          <w:tcPr>
            <w:tcW w:w="1249" w:type="dxa"/>
            <w:tcBorders>
              <w:bottom w:val="single" w:sz="4" w:space="0" w:color="auto"/>
            </w:tcBorders>
          </w:tcPr>
          <w:p w14:paraId="199146CB" w14:textId="0E30CA6C" w:rsidR="00970B21" w:rsidRPr="00090EDA" w:rsidRDefault="00E453CD">
            <w:pPr>
              <w:keepNext/>
              <w:suppressAutoHyphens/>
              <w:rPr>
                <w:del w:id="9087" w:author="AbbVie02no" w:date="2025-05-15T13:45:00Z"/>
                <w:sz w:val="22"/>
                <w:rPrChange w:id="9088" w:author="AbbVie04no" w:date="2025-09-09T10:16:00Z" w16du:dateUtc="2025-09-09T08:16:00Z">
                  <w:rPr>
                    <w:del w:id="9089" w:author="AbbVie02no" w:date="2025-05-15T13:45:00Z"/>
                    <w:sz w:val="22"/>
                    <w:lang w:val="en-GB"/>
                  </w:rPr>
                </w:rPrChange>
              </w:rPr>
              <w:pPrChange w:id="9090" w:author="AbbVie02no" w:date="2025-05-15T13:45:00Z">
                <w:pPr>
                  <w:pStyle w:val="TableText"/>
                  <w:keepNext w:val="0"/>
                  <w:jc w:val="center"/>
                </w:pPr>
              </w:pPrChange>
            </w:pPr>
            <w:del w:id="9091" w:author="AbbVie02no" w:date="2025-05-15T13:45:00Z">
              <w:r w:rsidRPr="00090EDA">
                <w:rPr>
                  <w:sz w:val="22"/>
                  <w:rPrChange w:id="9092" w:author="AbbVie04no" w:date="2025-09-09T10:16:00Z" w16du:dateUtc="2025-09-09T08:16:00Z">
                    <w:rPr>
                      <w:sz w:val="22"/>
                      <w:lang w:val="en-GB"/>
                    </w:rPr>
                  </w:rPrChange>
                </w:rPr>
                <w:delText>37 %</w:delText>
              </w:r>
            </w:del>
          </w:p>
        </w:tc>
        <w:tc>
          <w:tcPr>
            <w:tcW w:w="1176" w:type="dxa"/>
            <w:tcBorders>
              <w:bottom w:val="single" w:sz="4" w:space="0" w:color="auto"/>
            </w:tcBorders>
          </w:tcPr>
          <w:p w14:paraId="7555AA5E" w14:textId="40A3A146" w:rsidR="00970B21" w:rsidRPr="00090EDA" w:rsidRDefault="00E453CD">
            <w:pPr>
              <w:keepNext/>
              <w:suppressAutoHyphens/>
              <w:rPr>
                <w:del w:id="9093" w:author="AbbVie02no" w:date="2025-05-15T13:45:00Z"/>
                <w:sz w:val="22"/>
                <w:rPrChange w:id="9094" w:author="AbbVie04no" w:date="2025-09-09T10:16:00Z" w16du:dateUtc="2025-09-09T08:16:00Z">
                  <w:rPr>
                    <w:del w:id="9095" w:author="AbbVie02no" w:date="2025-05-15T13:45:00Z"/>
                    <w:sz w:val="22"/>
                    <w:lang w:val="en-GB"/>
                  </w:rPr>
                </w:rPrChange>
              </w:rPr>
              <w:pPrChange w:id="9096" w:author="AbbVie02no" w:date="2025-05-15T13:45:00Z">
                <w:pPr>
                  <w:pStyle w:val="TableText"/>
                  <w:keepNext w:val="0"/>
                  <w:jc w:val="center"/>
                </w:pPr>
              </w:pPrChange>
            </w:pPr>
            <w:del w:id="9097" w:author="AbbVie02no" w:date="2025-05-15T13:45:00Z">
              <w:r w:rsidRPr="00090EDA">
                <w:rPr>
                  <w:sz w:val="22"/>
                  <w:rPrChange w:id="9098" w:author="AbbVie04no" w:date="2025-09-09T10:16:00Z" w16du:dateUtc="2025-09-09T08:16:00Z">
                    <w:rPr>
                      <w:sz w:val="22"/>
                      <w:lang w:val="en-GB"/>
                    </w:rPr>
                  </w:rPrChange>
                </w:rPr>
                <w:delText>49 %</w:delText>
              </w:r>
              <w:r w:rsidRPr="00090EDA">
                <w:rPr>
                  <w:sz w:val="22"/>
                  <w:vertAlign w:val="superscript"/>
                  <w:rPrChange w:id="9099" w:author="AbbVie04no" w:date="2025-09-09T10:16:00Z" w16du:dateUtc="2025-09-09T08:16:00Z">
                    <w:rPr>
                      <w:sz w:val="22"/>
                      <w:vertAlign w:val="superscript"/>
                      <w:lang w:val="en-GB"/>
                    </w:rPr>
                  </w:rPrChange>
                </w:rPr>
                <w:delText>**</w:delText>
              </w:r>
            </w:del>
          </w:p>
        </w:tc>
        <w:tc>
          <w:tcPr>
            <w:tcW w:w="1495" w:type="dxa"/>
            <w:tcBorders>
              <w:bottom w:val="single" w:sz="4" w:space="0" w:color="auto"/>
            </w:tcBorders>
          </w:tcPr>
          <w:p w14:paraId="7275C312" w14:textId="1501F197" w:rsidR="00970B21" w:rsidRPr="00090EDA" w:rsidRDefault="00E453CD">
            <w:pPr>
              <w:keepNext/>
              <w:suppressAutoHyphens/>
              <w:rPr>
                <w:del w:id="9100" w:author="AbbVie02no" w:date="2025-05-15T13:45:00Z"/>
                <w:sz w:val="22"/>
                <w:rPrChange w:id="9101" w:author="AbbVie04no" w:date="2025-09-09T10:16:00Z" w16du:dateUtc="2025-09-09T08:16:00Z">
                  <w:rPr>
                    <w:del w:id="9102" w:author="AbbVie02no" w:date="2025-05-15T13:45:00Z"/>
                    <w:sz w:val="22"/>
                    <w:lang w:val="en-GB"/>
                  </w:rPr>
                </w:rPrChange>
              </w:rPr>
              <w:pPrChange w:id="9103" w:author="AbbVie02no" w:date="2025-05-15T13:45:00Z">
                <w:pPr>
                  <w:pStyle w:val="TableText"/>
                  <w:keepNext w:val="0"/>
                  <w:jc w:val="center"/>
                </w:pPr>
              </w:pPrChange>
            </w:pPr>
            <w:del w:id="9104" w:author="AbbVie02no" w:date="2025-05-15T13:45:00Z">
              <w:r w:rsidRPr="00090EDA">
                <w:rPr>
                  <w:sz w:val="22"/>
                  <w:rPrChange w:id="9105" w:author="AbbVie04no" w:date="2025-09-09T10:16:00Z" w16du:dateUtc="2025-09-09T08:16:00Z">
                    <w:rPr>
                      <w:sz w:val="22"/>
                      <w:lang w:val="en-GB"/>
                    </w:rPr>
                  </w:rPrChange>
                </w:rPr>
                <w:delText>25 %</w:delText>
              </w:r>
            </w:del>
          </w:p>
        </w:tc>
        <w:tc>
          <w:tcPr>
            <w:tcW w:w="1818" w:type="dxa"/>
            <w:tcBorders>
              <w:bottom w:val="single" w:sz="4" w:space="0" w:color="auto"/>
            </w:tcBorders>
          </w:tcPr>
          <w:p w14:paraId="2AC96B2C" w14:textId="253957D6" w:rsidR="00970B21" w:rsidRPr="00090EDA" w:rsidRDefault="00E453CD">
            <w:pPr>
              <w:keepNext/>
              <w:suppressAutoHyphens/>
              <w:rPr>
                <w:del w:id="9106" w:author="AbbVie02no" w:date="2025-05-15T13:45:00Z"/>
                <w:sz w:val="22"/>
                <w:rPrChange w:id="9107" w:author="AbbVie04no" w:date="2025-09-09T10:16:00Z" w16du:dateUtc="2025-09-09T08:16:00Z">
                  <w:rPr>
                    <w:del w:id="9108" w:author="AbbVie02no" w:date="2025-05-15T13:45:00Z"/>
                    <w:sz w:val="22"/>
                    <w:lang w:val="en-GB"/>
                  </w:rPr>
                </w:rPrChange>
              </w:rPr>
              <w:pPrChange w:id="9109" w:author="AbbVie02no" w:date="2025-05-15T13:45:00Z">
                <w:pPr>
                  <w:pStyle w:val="TableText"/>
                  <w:keepNext w:val="0"/>
                  <w:jc w:val="center"/>
                </w:pPr>
              </w:pPrChange>
            </w:pPr>
            <w:del w:id="9110" w:author="AbbVie02no" w:date="2025-05-15T13:45:00Z">
              <w:r w:rsidRPr="00090EDA">
                <w:rPr>
                  <w:sz w:val="22"/>
                  <w:rPrChange w:id="9111" w:author="AbbVie04no" w:date="2025-09-09T10:16:00Z" w16du:dateUtc="2025-09-09T08:16:00Z">
                    <w:rPr>
                      <w:sz w:val="22"/>
                      <w:lang w:val="en-GB"/>
                    </w:rPr>
                  </w:rPrChange>
                </w:rPr>
                <w:delText>38 %</w:delText>
              </w:r>
              <w:r w:rsidRPr="00090EDA">
                <w:rPr>
                  <w:sz w:val="22"/>
                  <w:vertAlign w:val="superscript"/>
                  <w:rPrChange w:id="9112" w:author="AbbVie04no" w:date="2025-09-09T10:16:00Z" w16du:dateUtc="2025-09-09T08:16:00Z">
                    <w:rPr>
                      <w:sz w:val="22"/>
                      <w:vertAlign w:val="superscript"/>
                      <w:lang w:val="en-GB"/>
                    </w:rPr>
                  </w:rPrChange>
                </w:rPr>
                <w:delText>**</w:delText>
              </w:r>
            </w:del>
          </w:p>
        </w:tc>
      </w:tr>
      <w:tr w:rsidR="004644D4" w14:paraId="7BE51750" w14:textId="61E76687" w:rsidTr="005D54C1">
        <w:trPr>
          <w:cantSplit/>
          <w:del w:id="9113" w:author="AbbVie02no" w:date="2025-05-15T13:45:00Z"/>
        </w:trPr>
        <w:tc>
          <w:tcPr>
            <w:tcW w:w="9238" w:type="dxa"/>
            <w:gridSpan w:val="6"/>
            <w:tcBorders>
              <w:left w:val="nil"/>
              <w:bottom w:val="nil"/>
              <w:right w:val="nil"/>
            </w:tcBorders>
          </w:tcPr>
          <w:p w14:paraId="734F1588" w14:textId="63AD171B" w:rsidR="00970B21" w:rsidRPr="009C5EFD" w:rsidRDefault="00E453CD">
            <w:pPr>
              <w:keepNext/>
              <w:suppressAutoHyphens/>
              <w:rPr>
                <w:del w:id="9114" w:author="AbbVie02no" w:date="2025-05-15T13:45:00Z"/>
                <w:sz w:val="22"/>
              </w:rPr>
              <w:pPrChange w:id="9115" w:author="AbbVie02no" w:date="2025-05-15T13:45:00Z">
                <w:pPr>
                  <w:pStyle w:val="TableText"/>
                  <w:keepNext w:val="0"/>
                  <w:spacing w:before="0" w:after="0"/>
                </w:pPr>
              </w:pPrChange>
            </w:pPr>
            <w:del w:id="9116" w:author="AbbVie02no" w:date="2025-05-15T13:45:00Z">
              <w:r w:rsidRPr="007F67EE">
                <w:rPr>
                  <w:sz w:val="22"/>
                </w:rPr>
                <w:delText>Alle p-v</w:delText>
              </w:r>
              <w:r w:rsidRPr="00193D76">
                <w:rPr>
                  <w:sz w:val="22"/>
                </w:rPr>
                <w:delText>erdiene</w:delText>
              </w:r>
              <w:r w:rsidRPr="002D0790">
                <w:rPr>
                  <w:sz w:val="22"/>
                </w:rPr>
                <w:delText xml:space="preserve"> er parvise sammenligninger av forholdene Humira </w:delText>
              </w:r>
              <w:r w:rsidRPr="00E14E58">
                <w:rPr>
                  <w:i/>
                  <w:iCs/>
                  <w:sz w:val="22"/>
                </w:rPr>
                <w:delText>versus</w:delText>
              </w:r>
              <w:r w:rsidRPr="009C5EFD">
                <w:rPr>
                  <w:sz w:val="22"/>
                </w:rPr>
                <w:delText xml:space="preserve"> placebo</w:delText>
              </w:r>
            </w:del>
          </w:p>
          <w:p w14:paraId="3BF9F379" w14:textId="70E699AF" w:rsidR="00970B21" w:rsidRPr="00090EDA" w:rsidRDefault="00E453CD">
            <w:pPr>
              <w:keepNext/>
              <w:suppressAutoHyphens/>
              <w:rPr>
                <w:del w:id="9117" w:author="AbbVie02no" w:date="2025-05-15T13:45:00Z"/>
                <w:sz w:val="22"/>
                <w:rPrChange w:id="9118" w:author="AbbVie04no" w:date="2025-09-09T10:16:00Z" w16du:dateUtc="2025-09-09T08:16:00Z">
                  <w:rPr>
                    <w:del w:id="9119" w:author="AbbVie02no" w:date="2025-05-15T13:45:00Z"/>
                    <w:sz w:val="22"/>
                    <w:lang w:val="en-GB"/>
                  </w:rPr>
                </w:rPrChange>
              </w:rPr>
              <w:pPrChange w:id="9120" w:author="AbbVie02no" w:date="2025-05-15T13:45:00Z">
                <w:pPr>
                  <w:pStyle w:val="TableText"/>
                  <w:keepNext w:val="0"/>
                  <w:spacing w:before="0" w:after="0"/>
                </w:pPr>
              </w:pPrChange>
            </w:pPr>
            <w:del w:id="9121" w:author="AbbVie02no" w:date="2025-05-15T13:45:00Z">
              <w:r w:rsidRPr="00090EDA">
                <w:rPr>
                  <w:sz w:val="22"/>
                  <w:vertAlign w:val="superscript"/>
                  <w:rPrChange w:id="9122" w:author="AbbVie04no" w:date="2025-09-09T10:16:00Z" w16du:dateUtc="2025-09-09T08:16:00Z">
                    <w:rPr>
                      <w:sz w:val="22"/>
                      <w:vertAlign w:val="superscript"/>
                      <w:lang w:val="en-GB"/>
                    </w:rPr>
                  </w:rPrChange>
                </w:rPr>
                <w:delText>*</w:delText>
              </w:r>
              <w:r w:rsidRPr="00090EDA">
                <w:rPr>
                  <w:sz w:val="22"/>
                  <w:rPrChange w:id="9123" w:author="AbbVie04no" w:date="2025-09-09T10:16:00Z" w16du:dateUtc="2025-09-09T08:16:00Z">
                    <w:rPr>
                      <w:sz w:val="22"/>
                      <w:lang w:val="en-GB"/>
                    </w:rPr>
                  </w:rPrChange>
                </w:rPr>
                <w:tab/>
                <w:delText>p &lt; 0,001</w:delText>
              </w:r>
            </w:del>
          </w:p>
          <w:p w14:paraId="7EFE468A" w14:textId="4A3EAFB4" w:rsidR="00970B21" w:rsidRPr="00090EDA" w:rsidRDefault="00E453CD">
            <w:pPr>
              <w:keepNext/>
              <w:suppressAutoHyphens/>
              <w:rPr>
                <w:del w:id="9124" w:author="AbbVie02no" w:date="2025-05-15T13:45:00Z"/>
                <w:sz w:val="22"/>
                <w:rPrChange w:id="9125" w:author="AbbVie04no" w:date="2025-09-09T10:16:00Z" w16du:dateUtc="2025-09-09T08:16:00Z">
                  <w:rPr>
                    <w:del w:id="9126" w:author="AbbVie02no" w:date="2025-05-15T13:45:00Z"/>
                    <w:sz w:val="22"/>
                    <w:lang w:val="en-GB"/>
                  </w:rPr>
                </w:rPrChange>
              </w:rPr>
              <w:pPrChange w:id="9127" w:author="AbbVie02no" w:date="2025-05-15T13:45:00Z">
                <w:pPr>
                  <w:pStyle w:val="TableText"/>
                  <w:keepNext w:val="0"/>
                  <w:spacing w:before="0" w:after="0"/>
                </w:pPr>
              </w:pPrChange>
            </w:pPr>
            <w:del w:id="9128" w:author="AbbVie02no" w:date="2025-05-15T13:45:00Z">
              <w:r w:rsidRPr="00090EDA">
                <w:rPr>
                  <w:sz w:val="22"/>
                  <w:vertAlign w:val="superscript"/>
                  <w:rPrChange w:id="9129" w:author="AbbVie04no" w:date="2025-09-09T10:16:00Z" w16du:dateUtc="2025-09-09T08:16:00Z">
                    <w:rPr>
                      <w:sz w:val="22"/>
                      <w:vertAlign w:val="superscript"/>
                      <w:lang w:val="en-GB"/>
                    </w:rPr>
                  </w:rPrChange>
                </w:rPr>
                <w:delText>**</w:delText>
              </w:r>
              <w:r w:rsidRPr="00090EDA">
                <w:rPr>
                  <w:sz w:val="22"/>
                  <w:rPrChange w:id="9130" w:author="AbbVie04no" w:date="2025-09-09T10:16:00Z" w16du:dateUtc="2025-09-09T08:16:00Z">
                    <w:rPr>
                      <w:sz w:val="22"/>
                      <w:lang w:val="en-GB"/>
                    </w:rPr>
                  </w:rPrChange>
                </w:rPr>
                <w:tab/>
                <w:delText>p &lt; 0,01</w:delText>
              </w:r>
            </w:del>
          </w:p>
        </w:tc>
      </w:tr>
    </w:tbl>
    <w:p w14:paraId="1EBC4995" w14:textId="05553698" w:rsidR="00970B21" w:rsidRPr="009C5EFD" w:rsidRDefault="00970B21">
      <w:pPr>
        <w:keepNext/>
        <w:suppressAutoHyphens/>
        <w:rPr>
          <w:del w:id="9131" w:author="AbbVie02no" w:date="2025-05-15T13:45:00Z"/>
          <w:sz w:val="22"/>
          <w:szCs w:val="22"/>
        </w:rPr>
        <w:pPrChange w:id="9132" w:author="AbbVie02no" w:date="2025-05-15T13:45:00Z">
          <w:pPr/>
        </w:pPrChange>
      </w:pPr>
    </w:p>
    <w:p w14:paraId="385F93CC" w14:textId="073678F1" w:rsidR="008A3F2F" w:rsidRPr="009C5EFD" w:rsidRDefault="00E453CD">
      <w:pPr>
        <w:keepNext/>
        <w:suppressAutoHyphens/>
        <w:rPr>
          <w:del w:id="9133" w:author="AbbVie02no" w:date="2025-05-15T13:45:00Z"/>
          <w:sz w:val="22"/>
          <w:szCs w:val="22"/>
        </w:rPr>
        <w:pPrChange w:id="9134" w:author="AbbVie02no" w:date="2025-05-15T13:45:00Z">
          <w:pPr>
            <w:tabs>
              <w:tab w:val="left" w:pos="142"/>
            </w:tabs>
          </w:pPr>
        </w:pPrChange>
      </w:pPr>
      <w:del w:id="9135" w:author="AbbVie02no" w:date="2025-05-15T13:45:00Z">
        <w:r w:rsidRPr="009C5EFD">
          <w:rPr>
            <w:sz w:val="22"/>
            <w:szCs w:val="22"/>
          </w:rPr>
          <w:delText xml:space="preserve">Lignende resmisjonsnivåer ble observert ved uke 8 for induksjonsregimene med 160/80 mg og 80/40 mg, og bivirkninger ble </w:delText>
        </w:r>
        <w:r w:rsidR="005C5E3E" w:rsidRPr="009C5EFD">
          <w:rPr>
            <w:sz w:val="22"/>
            <w:szCs w:val="22"/>
          </w:rPr>
          <w:delText>hyppigere</w:delText>
        </w:r>
        <w:r w:rsidRPr="009C5EFD">
          <w:rPr>
            <w:sz w:val="22"/>
            <w:szCs w:val="22"/>
          </w:rPr>
          <w:delText xml:space="preserve"> </w:delText>
        </w:r>
        <w:r w:rsidRPr="009C5EFD">
          <w:rPr>
            <w:color w:val="000000"/>
            <w:sz w:val="22"/>
            <w:szCs w:val="22"/>
          </w:rPr>
          <w:delText xml:space="preserve">observert </w:delText>
        </w:r>
        <w:r w:rsidRPr="009C5EFD">
          <w:rPr>
            <w:sz w:val="22"/>
            <w:szCs w:val="22"/>
          </w:rPr>
          <w:delText>i gruppen med 160/80 mg.</w:delText>
        </w:r>
      </w:del>
    </w:p>
    <w:p w14:paraId="45B5DB91" w14:textId="4FCA6EB8" w:rsidR="008A3F2F" w:rsidRPr="009C5EFD" w:rsidRDefault="008A3F2F">
      <w:pPr>
        <w:keepNext/>
        <w:suppressAutoHyphens/>
        <w:rPr>
          <w:del w:id="9136" w:author="AbbVie02no" w:date="2025-05-15T13:45:00Z"/>
          <w:sz w:val="22"/>
          <w:szCs w:val="22"/>
        </w:rPr>
        <w:pPrChange w:id="9137" w:author="AbbVie02no" w:date="2025-05-15T13:45:00Z">
          <w:pPr>
            <w:tabs>
              <w:tab w:val="left" w:pos="142"/>
            </w:tabs>
          </w:pPr>
        </w:pPrChange>
      </w:pPr>
    </w:p>
    <w:p w14:paraId="6CB51713" w14:textId="42B4324F" w:rsidR="002A093F" w:rsidRPr="009C5EFD" w:rsidRDefault="00E453CD">
      <w:pPr>
        <w:keepNext/>
        <w:suppressAutoHyphens/>
        <w:rPr>
          <w:del w:id="9138" w:author="AbbVie02no" w:date="2025-05-15T13:45:00Z"/>
          <w:sz w:val="22"/>
          <w:szCs w:val="22"/>
        </w:rPr>
        <w:pPrChange w:id="9139" w:author="AbbVie02no" w:date="2025-05-15T13:45:00Z">
          <w:pPr>
            <w:tabs>
              <w:tab w:val="left" w:pos="142"/>
            </w:tabs>
          </w:pPr>
        </w:pPrChange>
      </w:pPr>
      <w:del w:id="9140" w:author="AbbVie02no" w:date="2025-05-15T13:45:00Z">
        <w:r w:rsidRPr="009C5EFD">
          <w:rPr>
            <w:sz w:val="22"/>
            <w:szCs w:val="22"/>
          </w:rPr>
          <w:delText>Ved uke 4 i CD-studie III oppnådde 58</w:delText>
        </w:r>
        <w:r w:rsidR="002E767A" w:rsidRPr="009C5EFD">
          <w:rPr>
            <w:sz w:val="22"/>
            <w:szCs w:val="22"/>
          </w:rPr>
          <w:delText xml:space="preserve"> %</w:delText>
        </w:r>
        <w:r w:rsidRPr="009C5EFD">
          <w:rPr>
            <w:sz w:val="22"/>
            <w:szCs w:val="22"/>
          </w:rPr>
          <w:delText xml:space="preserve"> (499/854) av pasienter klinisk respons og ble vurdert i den primære analysen. Av de som oppnådde klinisk respons ved uke 4, var 48</w:delText>
        </w:r>
        <w:r w:rsidR="002E767A" w:rsidRPr="009C5EFD">
          <w:rPr>
            <w:sz w:val="22"/>
            <w:szCs w:val="22"/>
          </w:rPr>
          <w:delText xml:space="preserve"> %</w:delText>
        </w:r>
        <w:r w:rsidRPr="009C5EFD">
          <w:rPr>
            <w:sz w:val="22"/>
            <w:szCs w:val="22"/>
          </w:rPr>
          <w:delText xml:space="preserve"> tidligere behandlet med </w:delText>
        </w:r>
        <w:r w:rsidRPr="009C5EFD">
          <w:rPr>
            <w:color w:val="000000"/>
            <w:sz w:val="22"/>
            <w:szCs w:val="22"/>
          </w:rPr>
          <w:lastRenderedPageBreak/>
          <w:delText>an</w:delText>
        </w:r>
        <w:r w:rsidR="0056506A" w:rsidRPr="009C5EFD">
          <w:rPr>
            <w:color w:val="000000"/>
            <w:sz w:val="22"/>
            <w:szCs w:val="22"/>
          </w:rPr>
          <w:delText>dre</w:delText>
        </w:r>
        <w:r w:rsidRPr="009C5EFD">
          <w:rPr>
            <w:sz w:val="22"/>
            <w:szCs w:val="22"/>
          </w:rPr>
          <w:delText xml:space="preserve"> TNF-antagonist</w:delText>
        </w:r>
        <w:r w:rsidR="0056506A" w:rsidRPr="009C5EFD">
          <w:rPr>
            <w:sz w:val="22"/>
            <w:szCs w:val="22"/>
          </w:rPr>
          <w:delText>er</w:delText>
        </w:r>
        <w:r w:rsidRPr="009C5EFD">
          <w:rPr>
            <w:sz w:val="22"/>
            <w:szCs w:val="22"/>
          </w:rPr>
          <w:delText xml:space="preserve">. Vedlikehold av remisjon og responsnivåer er vist i </w:delText>
        </w:r>
        <w:r w:rsidR="00EF2122" w:rsidRPr="009C5EFD">
          <w:rPr>
            <w:sz w:val="22"/>
            <w:szCs w:val="22"/>
          </w:rPr>
          <w:delText>t</w:delText>
        </w:r>
        <w:r w:rsidRPr="009C5EFD">
          <w:rPr>
            <w:sz w:val="22"/>
            <w:szCs w:val="22"/>
          </w:rPr>
          <w:delText xml:space="preserve">abell </w:delText>
        </w:r>
        <w:r w:rsidR="00205D90">
          <w:rPr>
            <w:sz w:val="22"/>
            <w:szCs w:val="22"/>
          </w:rPr>
          <w:delText>22.</w:delText>
        </w:r>
        <w:r w:rsidRPr="009C5EFD">
          <w:rPr>
            <w:sz w:val="22"/>
            <w:szCs w:val="22"/>
          </w:rPr>
          <w:delText xml:space="preserve"> Resultater for klinisk remisjon var relativt konstante, uavhengig av tidligere behandling med TNF-antagonist.</w:delText>
        </w:r>
      </w:del>
    </w:p>
    <w:p w14:paraId="7A432617" w14:textId="15FAE7BA" w:rsidR="00E658A8" w:rsidRPr="009C5EFD" w:rsidRDefault="00E658A8">
      <w:pPr>
        <w:keepNext/>
        <w:suppressAutoHyphens/>
        <w:rPr>
          <w:del w:id="9141" w:author="AbbVie02no" w:date="2025-05-15T13:45:00Z"/>
          <w:sz w:val="22"/>
          <w:szCs w:val="22"/>
        </w:rPr>
        <w:pPrChange w:id="9142" w:author="AbbVie02no" w:date="2025-05-15T13:45:00Z">
          <w:pPr>
            <w:tabs>
              <w:tab w:val="left" w:pos="142"/>
            </w:tabs>
          </w:pPr>
        </w:pPrChange>
      </w:pPr>
    </w:p>
    <w:p w14:paraId="7D1939A9" w14:textId="5A80D1FB" w:rsidR="00E658A8" w:rsidRPr="009C5EFD" w:rsidRDefault="00E453CD">
      <w:pPr>
        <w:keepNext/>
        <w:suppressAutoHyphens/>
        <w:rPr>
          <w:del w:id="9143" w:author="AbbVie02no" w:date="2025-05-15T13:45:00Z"/>
          <w:sz w:val="22"/>
          <w:szCs w:val="22"/>
        </w:rPr>
        <w:pPrChange w:id="9144" w:author="AbbVie02no" w:date="2025-05-15T13:45:00Z">
          <w:pPr>
            <w:tabs>
              <w:tab w:val="left" w:pos="142"/>
            </w:tabs>
          </w:pPr>
        </w:pPrChange>
      </w:pPr>
      <w:del w:id="9145" w:author="AbbVie02no" w:date="2025-05-15T13:45:00Z">
        <w:r w:rsidRPr="009C5EFD">
          <w:rPr>
            <w:sz w:val="22"/>
            <w:szCs w:val="22"/>
          </w:rPr>
          <w:delText>Sykdomsrelatert sykehusinnleggelse og kirurgi var statistisk signifikant redusert med adalimumab sammenlignet med placebo ved uke 56.</w:delText>
        </w:r>
      </w:del>
    </w:p>
    <w:p w14:paraId="4BC60B98" w14:textId="1B0473FC" w:rsidR="009D34A7" w:rsidRPr="009C5EFD" w:rsidRDefault="009D34A7">
      <w:pPr>
        <w:keepNext/>
        <w:suppressAutoHyphens/>
        <w:rPr>
          <w:del w:id="9146" w:author="AbbVie02no" w:date="2025-05-15T13:45:00Z"/>
        </w:rPr>
        <w:pPrChange w:id="9147" w:author="AbbVie02no" w:date="2025-05-15T13:45:00Z">
          <w:pPr>
            <w:keepNext/>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5"/>
      </w:tblGrid>
      <w:tr w:rsidR="004644D4" w14:paraId="6E84D991" w14:textId="7749DCDD" w:rsidTr="004B0DD0">
        <w:trPr>
          <w:jc w:val="center"/>
          <w:del w:id="9148" w:author="AbbVie02no" w:date="2025-05-15T13:45:00Z"/>
        </w:trPr>
        <w:tc>
          <w:tcPr>
            <w:tcW w:w="9205" w:type="dxa"/>
            <w:tcBorders>
              <w:top w:val="nil"/>
              <w:left w:val="nil"/>
              <w:bottom w:val="nil"/>
              <w:right w:val="nil"/>
            </w:tcBorders>
          </w:tcPr>
          <w:p w14:paraId="07B7A229" w14:textId="42D89AE8" w:rsidR="00E658A8" w:rsidRPr="009C5EFD" w:rsidRDefault="00E453CD">
            <w:pPr>
              <w:keepNext/>
              <w:suppressAutoHyphens/>
              <w:rPr>
                <w:del w:id="9149" w:author="AbbVie02no" w:date="2025-05-15T13:45:00Z"/>
                <w:b/>
                <w:szCs w:val="22"/>
              </w:rPr>
              <w:pPrChange w:id="9150" w:author="AbbVie02no" w:date="2025-05-15T13:45:00Z">
                <w:pPr>
                  <w:pStyle w:val="EMEANormal"/>
                  <w:keepNext/>
                  <w:jc w:val="center"/>
                </w:pPr>
              </w:pPrChange>
            </w:pPr>
            <w:del w:id="9151" w:author="AbbVie02no" w:date="2025-05-15T13:45:00Z">
              <w:r w:rsidRPr="009C5EFD">
                <w:rPr>
                  <w:b/>
                  <w:szCs w:val="22"/>
                </w:rPr>
                <w:delText xml:space="preserve">Tabell </w:delText>
              </w:r>
              <w:r w:rsidR="00205D90">
                <w:rPr>
                  <w:b/>
                  <w:szCs w:val="22"/>
                </w:rPr>
                <w:delText>22</w:delText>
              </w:r>
            </w:del>
          </w:p>
          <w:p w14:paraId="2AD4AD80" w14:textId="590AA1A1" w:rsidR="00DE3458" w:rsidRPr="009C5EFD" w:rsidRDefault="00E453CD">
            <w:pPr>
              <w:keepNext/>
              <w:suppressAutoHyphens/>
              <w:rPr>
                <w:del w:id="9152" w:author="AbbVie02no" w:date="2025-05-15T13:45:00Z"/>
                <w:b/>
                <w:szCs w:val="22"/>
              </w:rPr>
              <w:pPrChange w:id="9153" w:author="AbbVie02no" w:date="2025-05-15T13:45:00Z">
                <w:pPr>
                  <w:pStyle w:val="EMEANormal"/>
                  <w:keepNext/>
                  <w:jc w:val="center"/>
                </w:pPr>
              </w:pPrChange>
            </w:pPr>
            <w:del w:id="9154" w:author="AbbVie02no" w:date="2025-05-15T13:45:00Z">
              <w:r w:rsidRPr="009C5EFD">
                <w:rPr>
                  <w:b/>
                  <w:szCs w:val="22"/>
                </w:rPr>
                <w:delText xml:space="preserve">Vedlikehold av klinisk remisjon og respons </w:delText>
              </w:r>
            </w:del>
          </w:p>
          <w:p w14:paraId="3C10E097" w14:textId="6593EF22" w:rsidR="00DE3458" w:rsidRPr="009C5EFD" w:rsidRDefault="00E453CD">
            <w:pPr>
              <w:keepNext/>
              <w:suppressAutoHyphens/>
              <w:rPr>
                <w:del w:id="9155" w:author="AbbVie02no" w:date="2025-05-15T13:45:00Z"/>
                <w:b/>
                <w:szCs w:val="22"/>
              </w:rPr>
              <w:pPrChange w:id="9156" w:author="AbbVie02no" w:date="2025-05-15T13:45:00Z">
                <w:pPr>
                  <w:pStyle w:val="EMEANormal"/>
                  <w:keepNext/>
                  <w:jc w:val="center"/>
                </w:pPr>
              </w:pPrChange>
            </w:pPr>
            <w:del w:id="9157" w:author="AbbVie02no" w:date="2025-05-15T13:45:00Z">
              <w:r w:rsidRPr="009C5EFD">
                <w:rPr>
                  <w:b/>
                  <w:szCs w:val="22"/>
                </w:rPr>
                <w:delText>(Prosent av pasientene)</w:delText>
              </w:r>
            </w:del>
          </w:p>
        </w:tc>
      </w:tr>
    </w:tbl>
    <w:p w14:paraId="799B9246" w14:textId="67AB119B" w:rsidR="00DE3458" w:rsidRPr="002D0790" w:rsidRDefault="00DE3458">
      <w:pPr>
        <w:keepNext/>
        <w:suppressAutoHyphens/>
        <w:rPr>
          <w:del w:id="9158" w:author="AbbVie02no" w:date="2025-05-15T13:45:00Z"/>
          <w:sz w:val="22"/>
          <w:szCs w:val="22"/>
        </w:rPr>
        <w:pPrChange w:id="9159" w:author="AbbVie02no" w:date="2025-05-15T13:45:00Z">
          <w:pPr>
            <w:keepNext/>
            <w:ind w:left="54"/>
          </w:pPr>
        </w:pPrChange>
      </w:pP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7"/>
        <w:gridCol w:w="2525"/>
        <w:gridCol w:w="2126"/>
        <w:gridCol w:w="2182"/>
        <w:gridCol w:w="11"/>
      </w:tblGrid>
      <w:tr w:rsidR="004644D4" w14:paraId="2E6F0470" w14:textId="0046587A" w:rsidTr="00BA47BC">
        <w:trPr>
          <w:gridAfter w:val="1"/>
          <w:wAfter w:w="11" w:type="dxa"/>
          <w:jc w:val="center"/>
          <w:del w:id="9160"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60477858" w14:textId="28CF42F3" w:rsidR="00DE3458" w:rsidRPr="002D0790" w:rsidRDefault="00DE3458">
            <w:pPr>
              <w:keepNext/>
              <w:suppressAutoHyphens/>
              <w:rPr>
                <w:del w:id="9161" w:author="AbbVie02no" w:date="2025-05-15T13:45:00Z"/>
                <w:szCs w:val="22"/>
              </w:rPr>
              <w:pPrChange w:id="9162" w:author="AbbVie02no" w:date="2025-05-15T13:45:00Z">
                <w:pPr>
                  <w:pStyle w:val="EMEANormal"/>
                  <w:keepNext/>
                </w:pPr>
              </w:pPrChange>
            </w:pPr>
          </w:p>
        </w:tc>
        <w:tc>
          <w:tcPr>
            <w:tcW w:w="2525" w:type="dxa"/>
            <w:tcBorders>
              <w:top w:val="single" w:sz="4" w:space="0" w:color="auto"/>
              <w:left w:val="single" w:sz="4" w:space="0" w:color="auto"/>
              <w:bottom w:val="single" w:sz="4" w:space="0" w:color="auto"/>
              <w:right w:val="single" w:sz="4" w:space="0" w:color="auto"/>
            </w:tcBorders>
          </w:tcPr>
          <w:p w14:paraId="30E0BDFB" w14:textId="139BAF17" w:rsidR="00DE3458" w:rsidRPr="00E14E58" w:rsidRDefault="00E453CD">
            <w:pPr>
              <w:keepNext/>
              <w:suppressAutoHyphens/>
              <w:rPr>
                <w:del w:id="9163" w:author="AbbVie02no" w:date="2025-05-15T13:45:00Z"/>
                <w:b/>
                <w:szCs w:val="22"/>
              </w:rPr>
              <w:pPrChange w:id="9164" w:author="AbbVie02no" w:date="2025-05-15T13:45:00Z">
                <w:pPr>
                  <w:pStyle w:val="EMEANormal"/>
                  <w:keepNext/>
                  <w:jc w:val="center"/>
                </w:pPr>
              </w:pPrChange>
            </w:pPr>
            <w:del w:id="9165" w:author="AbbVie02no" w:date="2025-05-15T13:45:00Z">
              <w:r w:rsidRPr="00E14E58">
                <w:rPr>
                  <w:b/>
                  <w:szCs w:val="22"/>
                </w:rPr>
                <w:delText>Placebo</w:delText>
              </w:r>
            </w:del>
          </w:p>
        </w:tc>
        <w:tc>
          <w:tcPr>
            <w:tcW w:w="2126" w:type="dxa"/>
            <w:tcBorders>
              <w:top w:val="single" w:sz="4" w:space="0" w:color="auto"/>
              <w:left w:val="single" w:sz="4" w:space="0" w:color="auto"/>
              <w:bottom w:val="single" w:sz="4" w:space="0" w:color="auto"/>
              <w:right w:val="single" w:sz="4" w:space="0" w:color="auto"/>
            </w:tcBorders>
          </w:tcPr>
          <w:p w14:paraId="38E5233F" w14:textId="3B92F994" w:rsidR="00DE3458" w:rsidRPr="009C5EFD" w:rsidRDefault="00E453CD">
            <w:pPr>
              <w:keepNext/>
              <w:suppressAutoHyphens/>
              <w:rPr>
                <w:del w:id="9166" w:author="AbbVie02no" w:date="2025-05-15T13:45:00Z"/>
                <w:b/>
                <w:szCs w:val="22"/>
              </w:rPr>
              <w:pPrChange w:id="9167" w:author="AbbVie02no" w:date="2025-05-15T13:45:00Z">
                <w:pPr>
                  <w:pStyle w:val="EMEANormal"/>
                  <w:keepNext/>
                  <w:jc w:val="center"/>
                </w:pPr>
              </w:pPrChange>
            </w:pPr>
            <w:del w:id="9168" w:author="AbbVie02no" w:date="2025-05-15T13:45:00Z">
              <w:r w:rsidRPr="009C5EFD">
                <w:rPr>
                  <w:b/>
                  <w:szCs w:val="22"/>
                </w:rPr>
                <w:delText>40 mg Humira annenhver uke</w:delText>
              </w:r>
            </w:del>
          </w:p>
        </w:tc>
        <w:tc>
          <w:tcPr>
            <w:tcW w:w="2182" w:type="dxa"/>
            <w:tcBorders>
              <w:top w:val="single" w:sz="4" w:space="0" w:color="auto"/>
              <w:left w:val="single" w:sz="4" w:space="0" w:color="auto"/>
              <w:bottom w:val="single" w:sz="4" w:space="0" w:color="auto"/>
              <w:right w:val="single" w:sz="4" w:space="0" w:color="auto"/>
            </w:tcBorders>
          </w:tcPr>
          <w:p w14:paraId="4985F24A" w14:textId="37AF48AA" w:rsidR="00DE3458" w:rsidRPr="009C5EFD" w:rsidRDefault="00E453CD">
            <w:pPr>
              <w:keepNext/>
              <w:suppressAutoHyphens/>
              <w:rPr>
                <w:del w:id="9169" w:author="AbbVie02no" w:date="2025-05-15T13:45:00Z"/>
                <w:b/>
                <w:szCs w:val="22"/>
              </w:rPr>
              <w:pPrChange w:id="9170" w:author="AbbVie02no" w:date="2025-05-15T13:45:00Z">
                <w:pPr>
                  <w:pStyle w:val="EMEANormal"/>
                  <w:keepNext/>
                  <w:jc w:val="center"/>
                </w:pPr>
              </w:pPrChange>
            </w:pPr>
            <w:del w:id="9171" w:author="AbbVie02no" w:date="2025-05-15T13:45:00Z">
              <w:r w:rsidRPr="009C5EFD">
                <w:rPr>
                  <w:b/>
                  <w:szCs w:val="22"/>
                </w:rPr>
                <w:delText>40 mg Humira hver uke</w:delText>
              </w:r>
            </w:del>
          </w:p>
          <w:p w14:paraId="32ACE8E2" w14:textId="5A8375AD" w:rsidR="00DE3458" w:rsidRPr="009C5EFD" w:rsidRDefault="00DE3458">
            <w:pPr>
              <w:keepNext/>
              <w:suppressAutoHyphens/>
              <w:rPr>
                <w:del w:id="9172" w:author="AbbVie02no" w:date="2025-05-15T13:45:00Z"/>
                <w:b/>
                <w:szCs w:val="22"/>
              </w:rPr>
              <w:pPrChange w:id="9173" w:author="AbbVie02no" w:date="2025-05-15T13:45:00Z">
                <w:pPr>
                  <w:pStyle w:val="EMEANormal"/>
                  <w:keepNext/>
                </w:pPr>
              </w:pPrChange>
            </w:pPr>
          </w:p>
        </w:tc>
      </w:tr>
      <w:tr w:rsidR="004644D4" w14:paraId="6B1FFB65" w14:textId="5F5F016E" w:rsidTr="00BA47BC">
        <w:trPr>
          <w:gridAfter w:val="1"/>
          <w:wAfter w:w="11" w:type="dxa"/>
          <w:jc w:val="center"/>
          <w:del w:id="9174"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740A0A76" w14:textId="78645DD7" w:rsidR="00DE3458" w:rsidRPr="009C5EFD" w:rsidRDefault="00E453CD">
            <w:pPr>
              <w:keepNext/>
              <w:suppressAutoHyphens/>
              <w:rPr>
                <w:del w:id="9175" w:author="AbbVie02no" w:date="2025-05-15T13:45:00Z"/>
                <w:b/>
                <w:szCs w:val="22"/>
              </w:rPr>
              <w:pPrChange w:id="9176" w:author="AbbVie02no" w:date="2025-05-15T13:45:00Z">
                <w:pPr>
                  <w:pStyle w:val="EMEANormal"/>
                  <w:keepNext/>
                </w:pPr>
              </w:pPrChange>
            </w:pPr>
            <w:del w:id="9177" w:author="AbbVie02no" w:date="2025-05-15T13:45:00Z">
              <w:r w:rsidRPr="007F67EE">
                <w:rPr>
                  <w:b/>
                  <w:szCs w:val="22"/>
                </w:rPr>
                <w:delText>Uke</w:delText>
              </w:r>
              <w:r w:rsidRPr="00193D76">
                <w:rPr>
                  <w:b/>
                  <w:szCs w:val="22"/>
                </w:rPr>
                <w:delText xml:space="preserve"> 26</w:delText>
              </w:r>
            </w:del>
          </w:p>
        </w:tc>
        <w:tc>
          <w:tcPr>
            <w:tcW w:w="2525" w:type="dxa"/>
            <w:tcBorders>
              <w:top w:val="single" w:sz="4" w:space="0" w:color="auto"/>
              <w:left w:val="single" w:sz="4" w:space="0" w:color="auto"/>
              <w:bottom w:val="single" w:sz="4" w:space="0" w:color="auto"/>
              <w:right w:val="single" w:sz="4" w:space="0" w:color="auto"/>
            </w:tcBorders>
          </w:tcPr>
          <w:p w14:paraId="40403F89" w14:textId="32FB8911" w:rsidR="00DE3458" w:rsidRPr="009C5EFD" w:rsidRDefault="00E453CD">
            <w:pPr>
              <w:keepNext/>
              <w:suppressAutoHyphens/>
              <w:rPr>
                <w:del w:id="9178" w:author="AbbVie02no" w:date="2025-05-15T13:45:00Z"/>
                <w:b/>
                <w:szCs w:val="22"/>
              </w:rPr>
              <w:pPrChange w:id="9179" w:author="AbbVie02no" w:date="2025-05-15T13:45:00Z">
                <w:pPr>
                  <w:pStyle w:val="EMEANormal"/>
                  <w:keepNext/>
                  <w:jc w:val="center"/>
                </w:pPr>
              </w:pPrChange>
            </w:pPr>
            <w:del w:id="9180" w:author="AbbVie02no" w:date="2025-05-15T13:45:00Z">
              <w:r w:rsidRPr="009C5EFD">
                <w:rPr>
                  <w:b/>
                  <w:szCs w:val="22"/>
                </w:rPr>
                <w:delText>N=170</w:delText>
              </w:r>
            </w:del>
          </w:p>
        </w:tc>
        <w:tc>
          <w:tcPr>
            <w:tcW w:w="2126" w:type="dxa"/>
            <w:tcBorders>
              <w:top w:val="single" w:sz="4" w:space="0" w:color="auto"/>
              <w:left w:val="single" w:sz="4" w:space="0" w:color="auto"/>
              <w:bottom w:val="single" w:sz="4" w:space="0" w:color="auto"/>
              <w:right w:val="single" w:sz="4" w:space="0" w:color="auto"/>
            </w:tcBorders>
          </w:tcPr>
          <w:p w14:paraId="7BD24F8B" w14:textId="2C729E5C" w:rsidR="00DE3458" w:rsidRPr="009C5EFD" w:rsidRDefault="00E453CD">
            <w:pPr>
              <w:keepNext/>
              <w:suppressAutoHyphens/>
              <w:rPr>
                <w:del w:id="9181" w:author="AbbVie02no" w:date="2025-05-15T13:45:00Z"/>
                <w:b/>
                <w:szCs w:val="22"/>
              </w:rPr>
              <w:pPrChange w:id="9182" w:author="AbbVie02no" w:date="2025-05-15T13:45:00Z">
                <w:pPr>
                  <w:pStyle w:val="EMEANormal"/>
                  <w:keepNext/>
                  <w:jc w:val="center"/>
                </w:pPr>
              </w:pPrChange>
            </w:pPr>
            <w:del w:id="9183" w:author="AbbVie02no" w:date="2025-05-15T13:45:00Z">
              <w:r w:rsidRPr="009C5EFD">
                <w:rPr>
                  <w:b/>
                  <w:szCs w:val="22"/>
                </w:rPr>
                <w:delText>N=172</w:delText>
              </w:r>
            </w:del>
          </w:p>
        </w:tc>
        <w:tc>
          <w:tcPr>
            <w:tcW w:w="2182" w:type="dxa"/>
            <w:tcBorders>
              <w:top w:val="single" w:sz="4" w:space="0" w:color="auto"/>
              <w:left w:val="single" w:sz="4" w:space="0" w:color="auto"/>
              <w:bottom w:val="single" w:sz="4" w:space="0" w:color="auto"/>
              <w:right w:val="single" w:sz="4" w:space="0" w:color="auto"/>
            </w:tcBorders>
          </w:tcPr>
          <w:p w14:paraId="4E429376" w14:textId="4A169500" w:rsidR="00DE3458" w:rsidRPr="009C5EFD" w:rsidRDefault="00E453CD">
            <w:pPr>
              <w:keepNext/>
              <w:suppressAutoHyphens/>
              <w:rPr>
                <w:del w:id="9184" w:author="AbbVie02no" w:date="2025-05-15T13:45:00Z"/>
                <w:b/>
                <w:szCs w:val="22"/>
              </w:rPr>
              <w:pPrChange w:id="9185" w:author="AbbVie02no" w:date="2025-05-15T13:45:00Z">
                <w:pPr>
                  <w:pStyle w:val="EMEANormal"/>
                  <w:keepNext/>
                  <w:jc w:val="center"/>
                </w:pPr>
              </w:pPrChange>
            </w:pPr>
            <w:del w:id="9186" w:author="AbbVie02no" w:date="2025-05-15T13:45:00Z">
              <w:r w:rsidRPr="009C5EFD">
                <w:rPr>
                  <w:b/>
                  <w:szCs w:val="22"/>
                </w:rPr>
                <w:delText>N=157</w:delText>
              </w:r>
            </w:del>
          </w:p>
        </w:tc>
      </w:tr>
      <w:tr w:rsidR="004644D4" w14:paraId="04E53176" w14:textId="0BA23179" w:rsidTr="00BA47BC">
        <w:trPr>
          <w:gridAfter w:val="1"/>
          <w:wAfter w:w="11" w:type="dxa"/>
          <w:jc w:val="center"/>
          <w:del w:id="9187"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44FC3040" w14:textId="1835A110" w:rsidR="00DE3458" w:rsidRPr="007F67EE" w:rsidRDefault="00E453CD">
            <w:pPr>
              <w:keepNext/>
              <w:suppressAutoHyphens/>
              <w:rPr>
                <w:del w:id="9188" w:author="AbbVie02no" w:date="2025-05-15T13:45:00Z"/>
                <w:szCs w:val="22"/>
              </w:rPr>
              <w:pPrChange w:id="9189" w:author="AbbVie02no" w:date="2025-05-15T13:45:00Z">
                <w:pPr>
                  <w:pStyle w:val="EMEANormal"/>
                  <w:keepNext/>
                </w:pPr>
              </w:pPrChange>
            </w:pPr>
            <w:del w:id="9190" w:author="AbbVie02no" w:date="2025-05-15T13:45:00Z">
              <w:r w:rsidRPr="007F67EE">
                <w:rPr>
                  <w:szCs w:val="22"/>
                </w:rPr>
                <w:delText>Klinisk remisjon</w:delText>
              </w:r>
            </w:del>
          </w:p>
        </w:tc>
        <w:tc>
          <w:tcPr>
            <w:tcW w:w="2525" w:type="dxa"/>
            <w:tcBorders>
              <w:top w:val="single" w:sz="4" w:space="0" w:color="auto"/>
              <w:left w:val="single" w:sz="4" w:space="0" w:color="auto"/>
              <w:bottom w:val="single" w:sz="4" w:space="0" w:color="auto"/>
              <w:right w:val="single" w:sz="4" w:space="0" w:color="auto"/>
            </w:tcBorders>
          </w:tcPr>
          <w:p w14:paraId="19D3EA15" w14:textId="60C911D0" w:rsidR="00DE3458" w:rsidRPr="009C5EFD" w:rsidRDefault="00E453CD">
            <w:pPr>
              <w:keepNext/>
              <w:suppressAutoHyphens/>
              <w:rPr>
                <w:del w:id="9191" w:author="AbbVie02no" w:date="2025-05-15T13:45:00Z"/>
                <w:szCs w:val="22"/>
              </w:rPr>
              <w:pPrChange w:id="9192" w:author="AbbVie02no" w:date="2025-05-15T13:45:00Z">
                <w:pPr>
                  <w:pStyle w:val="EMEANormal"/>
                  <w:keepNext/>
                  <w:jc w:val="center"/>
                </w:pPr>
              </w:pPrChange>
            </w:pPr>
            <w:del w:id="9193" w:author="AbbVie02no" w:date="2025-05-15T13:45:00Z">
              <w:r w:rsidRPr="00193D76">
                <w:rPr>
                  <w:szCs w:val="22"/>
                </w:rPr>
                <w:delText>17</w:delText>
              </w:r>
              <w:r w:rsidR="00E51AA9" w:rsidRPr="00E14E58">
                <w:rPr>
                  <w:szCs w:val="22"/>
                </w:rPr>
                <w:delText xml:space="preserve"> %</w:delText>
              </w:r>
            </w:del>
          </w:p>
        </w:tc>
        <w:tc>
          <w:tcPr>
            <w:tcW w:w="2126" w:type="dxa"/>
            <w:tcBorders>
              <w:top w:val="single" w:sz="4" w:space="0" w:color="auto"/>
              <w:left w:val="single" w:sz="4" w:space="0" w:color="auto"/>
              <w:bottom w:val="single" w:sz="4" w:space="0" w:color="auto"/>
              <w:right w:val="single" w:sz="4" w:space="0" w:color="auto"/>
            </w:tcBorders>
          </w:tcPr>
          <w:p w14:paraId="71C7F181" w14:textId="3F79C17E" w:rsidR="00DE3458" w:rsidRPr="009C5EFD" w:rsidRDefault="00E453CD">
            <w:pPr>
              <w:keepNext/>
              <w:suppressAutoHyphens/>
              <w:rPr>
                <w:del w:id="9194" w:author="AbbVie02no" w:date="2025-05-15T13:45:00Z"/>
                <w:szCs w:val="22"/>
              </w:rPr>
              <w:pPrChange w:id="9195" w:author="AbbVie02no" w:date="2025-05-15T13:45:00Z">
                <w:pPr>
                  <w:pStyle w:val="EMEANormal"/>
                  <w:keepNext/>
                  <w:jc w:val="center"/>
                </w:pPr>
              </w:pPrChange>
            </w:pPr>
            <w:del w:id="9196" w:author="AbbVie02no" w:date="2025-05-15T13:45:00Z">
              <w:r w:rsidRPr="009C5EFD">
                <w:rPr>
                  <w:szCs w:val="22"/>
                </w:rPr>
                <w:delText>40</w:delText>
              </w:r>
              <w:r w:rsidR="00E51AA9" w:rsidRPr="009C5EFD">
                <w:rPr>
                  <w:szCs w:val="22"/>
                </w:rPr>
                <w:delText xml:space="preserve"> %</w:delText>
              </w:r>
              <w:r w:rsidRPr="009C5EFD">
                <w:rPr>
                  <w:szCs w:val="22"/>
                </w:rPr>
                <w:delText>*</w:delText>
              </w:r>
            </w:del>
          </w:p>
        </w:tc>
        <w:tc>
          <w:tcPr>
            <w:tcW w:w="2182" w:type="dxa"/>
            <w:tcBorders>
              <w:top w:val="single" w:sz="4" w:space="0" w:color="auto"/>
              <w:left w:val="single" w:sz="4" w:space="0" w:color="auto"/>
              <w:bottom w:val="single" w:sz="4" w:space="0" w:color="auto"/>
              <w:right w:val="single" w:sz="4" w:space="0" w:color="auto"/>
            </w:tcBorders>
          </w:tcPr>
          <w:p w14:paraId="1E88E5D0" w14:textId="6B9343F0" w:rsidR="00DE3458" w:rsidRPr="009C5EFD" w:rsidRDefault="00E453CD">
            <w:pPr>
              <w:keepNext/>
              <w:suppressAutoHyphens/>
              <w:rPr>
                <w:del w:id="9197" w:author="AbbVie02no" w:date="2025-05-15T13:45:00Z"/>
                <w:szCs w:val="22"/>
              </w:rPr>
              <w:pPrChange w:id="9198" w:author="AbbVie02no" w:date="2025-05-15T13:45:00Z">
                <w:pPr>
                  <w:pStyle w:val="EMEANormal"/>
                  <w:keepNext/>
                  <w:jc w:val="center"/>
                </w:pPr>
              </w:pPrChange>
            </w:pPr>
            <w:del w:id="9199" w:author="AbbVie02no" w:date="2025-05-15T13:45:00Z">
              <w:r w:rsidRPr="009C5EFD">
                <w:rPr>
                  <w:szCs w:val="22"/>
                </w:rPr>
                <w:delText>47</w:delText>
              </w:r>
              <w:r w:rsidR="00E51AA9" w:rsidRPr="009C5EFD">
                <w:rPr>
                  <w:szCs w:val="22"/>
                </w:rPr>
                <w:delText xml:space="preserve"> %</w:delText>
              </w:r>
              <w:r w:rsidRPr="009C5EFD">
                <w:rPr>
                  <w:szCs w:val="22"/>
                </w:rPr>
                <w:delText>*</w:delText>
              </w:r>
            </w:del>
          </w:p>
        </w:tc>
      </w:tr>
      <w:tr w:rsidR="004644D4" w14:paraId="3027B689" w14:textId="66E9CD14" w:rsidTr="00BA47BC">
        <w:trPr>
          <w:gridAfter w:val="1"/>
          <w:wAfter w:w="11" w:type="dxa"/>
          <w:jc w:val="center"/>
          <w:del w:id="9200"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67A727A0" w14:textId="76972376" w:rsidR="00DE3458" w:rsidRPr="007F67EE" w:rsidRDefault="00E453CD">
            <w:pPr>
              <w:keepNext/>
              <w:suppressAutoHyphens/>
              <w:rPr>
                <w:del w:id="9201" w:author="AbbVie02no" w:date="2025-05-15T13:45:00Z"/>
                <w:szCs w:val="22"/>
              </w:rPr>
              <w:pPrChange w:id="9202" w:author="AbbVie02no" w:date="2025-05-15T13:45:00Z">
                <w:pPr>
                  <w:pStyle w:val="EMEANormal"/>
                  <w:keepNext/>
                </w:pPr>
              </w:pPrChange>
            </w:pPr>
            <w:del w:id="9203" w:author="AbbVie02no" w:date="2025-05-15T13:45:00Z">
              <w:r w:rsidRPr="007F67EE">
                <w:rPr>
                  <w:szCs w:val="22"/>
                </w:rPr>
                <w:delText>Klinisk respons (CR-100)</w:delText>
              </w:r>
            </w:del>
          </w:p>
        </w:tc>
        <w:tc>
          <w:tcPr>
            <w:tcW w:w="2525" w:type="dxa"/>
            <w:tcBorders>
              <w:top w:val="single" w:sz="4" w:space="0" w:color="auto"/>
              <w:left w:val="single" w:sz="4" w:space="0" w:color="auto"/>
              <w:bottom w:val="single" w:sz="4" w:space="0" w:color="auto"/>
              <w:right w:val="single" w:sz="4" w:space="0" w:color="auto"/>
            </w:tcBorders>
          </w:tcPr>
          <w:p w14:paraId="12A801F7" w14:textId="5C9ACCEF" w:rsidR="00DE3458" w:rsidRPr="009C5EFD" w:rsidRDefault="00E453CD">
            <w:pPr>
              <w:keepNext/>
              <w:suppressAutoHyphens/>
              <w:rPr>
                <w:del w:id="9204" w:author="AbbVie02no" w:date="2025-05-15T13:45:00Z"/>
                <w:szCs w:val="22"/>
              </w:rPr>
              <w:pPrChange w:id="9205" w:author="AbbVie02no" w:date="2025-05-15T13:45:00Z">
                <w:pPr>
                  <w:pStyle w:val="EMEANormal"/>
                  <w:keepNext/>
                  <w:jc w:val="center"/>
                </w:pPr>
              </w:pPrChange>
            </w:pPr>
            <w:del w:id="9206" w:author="AbbVie02no" w:date="2025-05-15T13:45:00Z">
              <w:r w:rsidRPr="00193D76">
                <w:rPr>
                  <w:szCs w:val="22"/>
                </w:rPr>
                <w:delText>27</w:delText>
              </w:r>
              <w:r w:rsidR="00E51AA9" w:rsidRPr="00E14E58">
                <w:rPr>
                  <w:szCs w:val="22"/>
                </w:rPr>
                <w:delText xml:space="preserve"> %</w:delText>
              </w:r>
            </w:del>
          </w:p>
        </w:tc>
        <w:tc>
          <w:tcPr>
            <w:tcW w:w="2126" w:type="dxa"/>
            <w:tcBorders>
              <w:top w:val="single" w:sz="4" w:space="0" w:color="auto"/>
              <w:left w:val="single" w:sz="4" w:space="0" w:color="auto"/>
              <w:bottom w:val="single" w:sz="4" w:space="0" w:color="auto"/>
              <w:right w:val="single" w:sz="4" w:space="0" w:color="auto"/>
            </w:tcBorders>
          </w:tcPr>
          <w:p w14:paraId="5260163A" w14:textId="778ED4C6" w:rsidR="00DE3458" w:rsidRPr="009C5EFD" w:rsidRDefault="00E453CD">
            <w:pPr>
              <w:keepNext/>
              <w:suppressAutoHyphens/>
              <w:rPr>
                <w:del w:id="9207" w:author="AbbVie02no" w:date="2025-05-15T13:45:00Z"/>
                <w:szCs w:val="22"/>
              </w:rPr>
              <w:pPrChange w:id="9208" w:author="AbbVie02no" w:date="2025-05-15T13:45:00Z">
                <w:pPr>
                  <w:pStyle w:val="EMEANormal"/>
                  <w:keepNext/>
                  <w:jc w:val="center"/>
                </w:pPr>
              </w:pPrChange>
            </w:pPr>
            <w:del w:id="9209" w:author="AbbVie02no" w:date="2025-05-15T13:45:00Z">
              <w:r w:rsidRPr="009C5EFD">
                <w:rPr>
                  <w:szCs w:val="22"/>
                </w:rPr>
                <w:delText>52</w:delText>
              </w:r>
              <w:r w:rsidR="00E51AA9" w:rsidRPr="009C5EFD">
                <w:rPr>
                  <w:szCs w:val="22"/>
                </w:rPr>
                <w:delText xml:space="preserve"> %</w:delText>
              </w:r>
              <w:r w:rsidRPr="009C5EFD">
                <w:rPr>
                  <w:szCs w:val="22"/>
                </w:rPr>
                <w:delText>*</w:delText>
              </w:r>
            </w:del>
          </w:p>
        </w:tc>
        <w:tc>
          <w:tcPr>
            <w:tcW w:w="2182" w:type="dxa"/>
            <w:tcBorders>
              <w:top w:val="single" w:sz="4" w:space="0" w:color="auto"/>
              <w:left w:val="single" w:sz="4" w:space="0" w:color="auto"/>
              <w:bottom w:val="single" w:sz="4" w:space="0" w:color="auto"/>
              <w:right w:val="single" w:sz="4" w:space="0" w:color="auto"/>
            </w:tcBorders>
          </w:tcPr>
          <w:p w14:paraId="4B41A36F" w14:textId="1CEDB948" w:rsidR="00DE3458" w:rsidRPr="009C5EFD" w:rsidRDefault="00E453CD">
            <w:pPr>
              <w:keepNext/>
              <w:suppressAutoHyphens/>
              <w:rPr>
                <w:del w:id="9210" w:author="AbbVie02no" w:date="2025-05-15T13:45:00Z"/>
                <w:szCs w:val="22"/>
              </w:rPr>
              <w:pPrChange w:id="9211" w:author="AbbVie02no" w:date="2025-05-15T13:45:00Z">
                <w:pPr>
                  <w:pStyle w:val="EMEANormal"/>
                  <w:keepNext/>
                  <w:jc w:val="center"/>
                </w:pPr>
              </w:pPrChange>
            </w:pPr>
            <w:del w:id="9212" w:author="AbbVie02no" w:date="2025-05-15T13:45:00Z">
              <w:r w:rsidRPr="009C5EFD">
                <w:rPr>
                  <w:szCs w:val="22"/>
                </w:rPr>
                <w:delText>52</w:delText>
              </w:r>
              <w:r w:rsidR="00E51AA9" w:rsidRPr="009C5EFD">
                <w:rPr>
                  <w:szCs w:val="22"/>
                </w:rPr>
                <w:delText xml:space="preserve"> %</w:delText>
              </w:r>
              <w:r w:rsidRPr="009C5EFD">
                <w:rPr>
                  <w:szCs w:val="22"/>
                </w:rPr>
                <w:delText>*</w:delText>
              </w:r>
            </w:del>
          </w:p>
        </w:tc>
      </w:tr>
      <w:tr w:rsidR="004644D4" w14:paraId="20C24177" w14:textId="794FFE9A" w:rsidTr="00BA47BC">
        <w:trPr>
          <w:gridAfter w:val="1"/>
          <w:wAfter w:w="11" w:type="dxa"/>
          <w:jc w:val="center"/>
          <w:del w:id="9213"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7E927E1B" w14:textId="4C0CE057" w:rsidR="00DE3458" w:rsidRPr="00E14E58" w:rsidRDefault="00E453CD">
            <w:pPr>
              <w:keepNext/>
              <w:suppressAutoHyphens/>
              <w:rPr>
                <w:del w:id="9214" w:author="AbbVie02no" w:date="2025-05-15T13:45:00Z"/>
                <w:szCs w:val="22"/>
              </w:rPr>
              <w:pPrChange w:id="9215" w:author="AbbVie02no" w:date="2025-05-15T13:45:00Z">
                <w:pPr>
                  <w:pStyle w:val="EMEANormal"/>
                  <w:keepNext/>
                </w:pPr>
              </w:pPrChange>
            </w:pPr>
            <w:del w:id="9216" w:author="AbbVie02no" w:date="2025-05-15T13:45:00Z">
              <w:r w:rsidRPr="007F67EE">
                <w:rPr>
                  <w:szCs w:val="22"/>
                </w:rPr>
                <w:delText xml:space="preserve">Pasienter i steroidfri remisjon </w:delText>
              </w:r>
              <w:r w:rsidRPr="007F67EE">
                <w:rPr>
                  <w:szCs w:val="22"/>
                </w:rPr>
                <w:br/>
                <w:delText>for &gt;=90 dager</w:delText>
              </w:r>
              <w:r w:rsidRPr="00193D76">
                <w:rPr>
                  <w:szCs w:val="22"/>
                  <w:vertAlign w:val="superscript"/>
                </w:rPr>
                <w:delText>a</w:delText>
              </w:r>
            </w:del>
          </w:p>
        </w:tc>
        <w:tc>
          <w:tcPr>
            <w:tcW w:w="2525" w:type="dxa"/>
            <w:tcBorders>
              <w:top w:val="single" w:sz="4" w:space="0" w:color="auto"/>
              <w:left w:val="single" w:sz="4" w:space="0" w:color="auto"/>
              <w:bottom w:val="single" w:sz="4" w:space="0" w:color="auto"/>
              <w:right w:val="single" w:sz="4" w:space="0" w:color="auto"/>
            </w:tcBorders>
          </w:tcPr>
          <w:p w14:paraId="54FCD7EE" w14:textId="2CD9448D" w:rsidR="00DE3458" w:rsidRPr="009C5EFD" w:rsidRDefault="00E453CD">
            <w:pPr>
              <w:keepNext/>
              <w:suppressAutoHyphens/>
              <w:rPr>
                <w:del w:id="9217" w:author="AbbVie02no" w:date="2025-05-15T13:45:00Z"/>
                <w:szCs w:val="22"/>
              </w:rPr>
              <w:pPrChange w:id="9218" w:author="AbbVie02no" w:date="2025-05-15T13:45:00Z">
                <w:pPr>
                  <w:pStyle w:val="EMEANormal"/>
                  <w:keepNext/>
                  <w:jc w:val="center"/>
                </w:pPr>
              </w:pPrChange>
            </w:pPr>
            <w:del w:id="9219" w:author="AbbVie02no" w:date="2025-05-15T13:45:00Z">
              <w:r w:rsidRPr="009C5EFD">
                <w:rPr>
                  <w:szCs w:val="22"/>
                </w:rPr>
                <w:delText>3</w:delText>
              </w:r>
              <w:r w:rsidR="00E51AA9" w:rsidRPr="009C5EFD">
                <w:rPr>
                  <w:szCs w:val="22"/>
                </w:rPr>
                <w:delText xml:space="preserve"> %</w:delText>
              </w:r>
              <w:r w:rsidRPr="009C5EFD">
                <w:rPr>
                  <w:szCs w:val="22"/>
                </w:rPr>
                <w:delText xml:space="preserve"> (2/66)</w:delText>
              </w:r>
            </w:del>
          </w:p>
        </w:tc>
        <w:tc>
          <w:tcPr>
            <w:tcW w:w="2126" w:type="dxa"/>
            <w:tcBorders>
              <w:top w:val="single" w:sz="4" w:space="0" w:color="auto"/>
              <w:left w:val="single" w:sz="4" w:space="0" w:color="auto"/>
              <w:bottom w:val="single" w:sz="4" w:space="0" w:color="auto"/>
              <w:right w:val="single" w:sz="4" w:space="0" w:color="auto"/>
            </w:tcBorders>
          </w:tcPr>
          <w:p w14:paraId="02F4A4B3" w14:textId="6A82EBC2" w:rsidR="00DE3458" w:rsidRPr="009C5EFD" w:rsidRDefault="00E453CD">
            <w:pPr>
              <w:keepNext/>
              <w:suppressAutoHyphens/>
              <w:rPr>
                <w:del w:id="9220" w:author="AbbVie02no" w:date="2025-05-15T13:45:00Z"/>
                <w:szCs w:val="22"/>
              </w:rPr>
              <w:pPrChange w:id="9221" w:author="AbbVie02no" w:date="2025-05-15T13:45:00Z">
                <w:pPr>
                  <w:pStyle w:val="EMEANormal"/>
                  <w:keepNext/>
                  <w:jc w:val="center"/>
                </w:pPr>
              </w:pPrChange>
            </w:pPr>
            <w:del w:id="9222" w:author="AbbVie02no" w:date="2025-05-15T13:45:00Z">
              <w:r w:rsidRPr="009C5EFD">
                <w:rPr>
                  <w:szCs w:val="22"/>
                </w:rPr>
                <w:delText>19</w:delText>
              </w:r>
              <w:r w:rsidR="00E51AA9" w:rsidRPr="009C5EFD">
                <w:rPr>
                  <w:szCs w:val="22"/>
                </w:rPr>
                <w:delText xml:space="preserve"> %</w:delText>
              </w:r>
              <w:r w:rsidRPr="009C5EFD">
                <w:rPr>
                  <w:szCs w:val="22"/>
                </w:rPr>
                <w:delText xml:space="preserve"> (11/58)**</w:delText>
              </w:r>
            </w:del>
          </w:p>
        </w:tc>
        <w:tc>
          <w:tcPr>
            <w:tcW w:w="2182" w:type="dxa"/>
            <w:tcBorders>
              <w:top w:val="single" w:sz="4" w:space="0" w:color="auto"/>
              <w:left w:val="single" w:sz="4" w:space="0" w:color="auto"/>
              <w:bottom w:val="single" w:sz="4" w:space="0" w:color="auto"/>
              <w:right w:val="single" w:sz="4" w:space="0" w:color="auto"/>
            </w:tcBorders>
          </w:tcPr>
          <w:p w14:paraId="7E5F1554" w14:textId="31D952F3" w:rsidR="00DE3458" w:rsidRPr="009C5EFD" w:rsidRDefault="00E453CD">
            <w:pPr>
              <w:keepNext/>
              <w:suppressAutoHyphens/>
              <w:rPr>
                <w:del w:id="9223" w:author="AbbVie02no" w:date="2025-05-15T13:45:00Z"/>
                <w:szCs w:val="22"/>
              </w:rPr>
              <w:pPrChange w:id="9224" w:author="AbbVie02no" w:date="2025-05-15T13:45:00Z">
                <w:pPr>
                  <w:pStyle w:val="EMEANormal"/>
                  <w:keepNext/>
                  <w:jc w:val="center"/>
                </w:pPr>
              </w:pPrChange>
            </w:pPr>
            <w:del w:id="9225" w:author="AbbVie02no" w:date="2025-05-15T13:45:00Z">
              <w:r w:rsidRPr="009C5EFD">
                <w:rPr>
                  <w:szCs w:val="22"/>
                </w:rPr>
                <w:delText>15</w:delText>
              </w:r>
              <w:r w:rsidR="00E51AA9" w:rsidRPr="009C5EFD">
                <w:rPr>
                  <w:szCs w:val="22"/>
                </w:rPr>
                <w:delText xml:space="preserve"> %</w:delText>
              </w:r>
              <w:r w:rsidRPr="009C5EFD">
                <w:rPr>
                  <w:szCs w:val="22"/>
                </w:rPr>
                <w:delText xml:space="preserve"> (11/74)**</w:delText>
              </w:r>
            </w:del>
          </w:p>
        </w:tc>
      </w:tr>
      <w:tr w:rsidR="004644D4" w14:paraId="1FF4EA78" w14:textId="558A5C8A" w:rsidTr="00BA47BC">
        <w:trPr>
          <w:gridAfter w:val="1"/>
          <w:wAfter w:w="11" w:type="dxa"/>
          <w:jc w:val="center"/>
          <w:del w:id="9226"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575625B5" w14:textId="1FCCF816" w:rsidR="00DE3458" w:rsidRPr="00193D76" w:rsidRDefault="00E453CD">
            <w:pPr>
              <w:keepNext/>
              <w:suppressAutoHyphens/>
              <w:rPr>
                <w:del w:id="9227" w:author="AbbVie02no" w:date="2025-05-15T13:45:00Z"/>
                <w:b/>
                <w:szCs w:val="22"/>
              </w:rPr>
              <w:pPrChange w:id="9228" w:author="AbbVie02no" w:date="2025-05-15T13:45:00Z">
                <w:pPr>
                  <w:pStyle w:val="EMEANormal"/>
                  <w:keepNext/>
                </w:pPr>
              </w:pPrChange>
            </w:pPr>
            <w:del w:id="9229" w:author="AbbVie02no" w:date="2025-05-15T13:45:00Z">
              <w:r w:rsidRPr="007F67EE">
                <w:rPr>
                  <w:b/>
                  <w:szCs w:val="22"/>
                </w:rPr>
                <w:delText>Uke</w:delText>
              </w:r>
              <w:r w:rsidRPr="00193D76">
                <w:rPr>
                  <w:b/>
                  <w:szCs w:val="22"/>
                </w:rPr>
                <w:delText xml:space="preserve"> 56</w:delText>
              </w:r>
            </w:del>
          </w:p>
        </w:tc>
        <w:tc>
          <w:tcPr>
            <w:tcW w:w="2525" w:type="dxa"/>
            <w:tcBorders>
              <w:top w:val="single" w:sz="4" w:space="0" w:color="auto"/>
              <w:left w:val="single" w:sz="4" w:space="0" w:color="auto"/>
              <w:bottom w:val="single" w:sz="4" w:space="0" w:color="auto"/>
              <w:right w:val="single" w:sz="4" w:space="0" w:color="auto"/>
            </w:tcBorders>
          </w:tcPr>
          <w:p w14:paraId="1EF1626E" w14:textId="25D74559" w:rsidR="00DE3458" w:rsidRPr="00E14E58" w:rsidRDefault="00E453CD">
            <w:pPr>
              <w:keepNext/>
              <w:suppressAutoHyphens/>
              <w:rPr>
                <w:del w:id="9230" w:author="AbbVie02no" w:date="2025-05-15T13:45:00Z"/>
                <w:b/>
                <w:szCs w:val="22"/>
              </w:rPr>
              <w:pPrChange w:id="9231" w:author="AbbVie02no" w:date="2025-05-15T13:45:00Z">
                <w:pPr>
                  <w:pStyle w:val="EMEANormal"/>
                  <w:keepNext/>
                  <w:jc w:val="center"/>
                </w:pPr>
              </w:pPrChange>
            </w:pPr>
            <w:del w:id="9232" w:author="AbbVie02no" w:date="2025-05-15T13:45:00Z">
              <w:r w:rsidRPr="00E14E58">
                <w:rPr>
                  <w:b/>
                  <w:szCs w:val="22"/>
                </w:rPr>
                <w:delText>N=170</w:delText>
              </w:r>
            </w:del>
          </w:p>
        </w:tc>
        <w:tc>
          <w:tcPr>
            <w:tcW w:w="2126" w:type="dxa"/>
            <w:tcBorders>
              <w:top w:val="single" w:sz="4" w:space="0" w:color="auto"/>
              <w:left w:val="single" w:sz="4" w:space="0" w:color="auto"/>
              <w:bottom w:val="single" w:sz="4" w:space="0" w:color="auto"/>
              <w:right w:val="single" w:sz="4" w:space="0" w:color="auto"/>
            </w:tcBorders>
          </w:tcPr>
          <w:p w14:paraId="2D59C8FD" w14:textId="759607B0" w:rsidR="00DE3458" w:rsidRPr="009C5EFD" w:rsidRDefault="00E453CD">
            <w:pPr>
              <w:keepNext/>
              <w:suppressAutoHyphens/>
              <w:rPr>
                <w:del w:id="9233" w:author="AbbVie02no" w:date="2025-05-15T13:45:00Z"/>
                <w:b/>
                <w:szCs w:val="22"/>
              </w:rPr>
              <w:pPrChange w:id="9234" w:author="AbbVie02no" w:date="2025-05-15T13:45:00Z">
                <w:pPr>
                  <w:pStyle w:val="EMEANormal"/>
                  <w:keepNext/>
                  <w:jc w:val="center"/>
                </w:pPr>
              </w:pPrChange>
            </w:pPr>
            <w:del w:id="9235" w:author="AbbVie02no" w:date="2025-05-15T13:45:00Z">
              <w:r w:rsidRPr="009C5EFD">
                <w:rPr>
                  <w:b/>
                  <w:szCs w:val="22"/>
                </w:rPr>
                <w:delText>N=172</w:delText>
              </w:r>
            </w:del>
          </w:p>
        </w:tc>
        <w:tc>
          <w:tcPr>
            <w:tcW w:w="2182" w:type="dxa"/>
            <w:tcBorders>
              <w:top w:val="single" w:sz="4" w:space="0" w:color="auto"/>
              <w:left w:val="single" w:sz="4" w:space="0" w:color="auto"/>
              <w:bottom w:val="single" w:sz="4" w:space="0" w:color="auto"/>
              <w:right w:val="single" w:sz="4" w:space="0" w:color="auto"/>
            </w:tcBorders>
          </w:tcPr>
          <w:p w14:paraId="68806022" w14:textId="1EB65FEA" w:rsidR="00DE3458" w:rsidRPr="009C5EFD" w:rsidRDefault="00E453CD">
            <w:pPr>
              <w:keepNext/>
              <w:suppressAutoHyphens/>
              <w:rPr>
                <w:del w:id="9236" w:author="AbbVie02no" w:date="2025-05-15T13:45:00Z"/>
                <w:b/>
                <w:szCs w:val="22"/>
              </w:rPr>
              <w:pPrChange w:id="9237" w:author="AbbVie02no" w:date="2025-05-15T13:45:00Z">
                <w:pPr>
                  <w:pStyle w:val="EMEANormal"/>
                  <w:keepNext/>
                  <w:jc w:val="center"/>
                </w:pPr>
              </w:pPrChange>
            </w:pPr>
            <w:del w:id="9238" w:author="AbbVie02no" w:date="2025-05-15T13:45:00Z">
              <w:r w:rsidRPr="009C5EFD">
                <w:rPr>
                  <w:b/>
                  <w:szCs w:val="22"/>
                </w:rPr>
                <w:delText>N=157</w:delText>
              </w:r>
            </w:del>
          </w:p>
        </w:tc>
      </w:tr>
      <w:tr w:rsidR="004644D4" w14:paraId="2D193622" w14:textId="5B91BDEA" w:rsidTr="00BA47BC">
        <w:trPr>
          <w:gridAfter w:val="1"/>
          <w:wAfter w:w="11" w:type="dxa"/>
          <w:jc w:val="center"/>
          <w:del w:id="9239"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11D3C993" w14:textId="62FB7482" w:rsidR="00DE3458" w:rsidRPr="007F67EE" w:rsidRDefault="00E453CD">
            <w:pPr>
              <w:keepNext/>
              <w:suppressAutoHyphens/>
              <w:rPr>
                <w:del w:id="9240" w:author="AbbVie02no" w:date="2025-05-15T13:45:00Z"/>
                <w:szCs w:val="22"/>
              </w:rPr>
              <w:pPrChange w:id="9241" w:author="AbbVie02no" w:date="2025-05-15T13:45:00Z">
                <w:pPr>
                  <w:pStyle w:val="EMEANormal"/>
                  <w:keepNext/>
                </w:pPr>
              </w:pPrChange>
            </w:pPr>
            <w:del w:id="9242" w:author="AbbVie02no" w:date="2025-05-15T13:45:00Z">
              <w:r w:rsidRPr="007F67EE">
                <w:rPr>
                  <w:szCs w:val="22"/>
                </w:rPr>
                <w:delText>Klinisk remisjon</w:delText>
              </w:r>
            </w:del>
          </w:p>
        </w:tc>
        <w:tc>
          <w:tcPr>
            <w:tcW w:w="2525" w:type="dxa"/>
            <w:tcBorders>
              <w:top w:val="single" w:sz="4" w:space="0" w:color="auto"/>
              <w:left w:val="single" w:sz="4" w:space="0" w:color="auto"/>
              <w:bottom w:val="single" w:sz="4" w:space="0" w:color="auto"/>
              <w:right w:val="single" w:sz="4" w:space="0" w:color="auto"/>
            </w:tcBorders>
          </w:tcPr>
          <w:p w14:paraId="04E8C6ED" w14:textId="2566A383" w:rsidR="00DE3458" w:rsidRPr="009C5EFD" w:rsidRDefault="00E453CD">
            <w:pPr>
              <w:keepNext/>
              <w:suppressAutoHyphens/>
              <w:rPr>
                <w:del w:id="9243" w:author="AbbVie02no" w:date="2025-05-15T13:45:00Z"/>
                <w:szCs w:val="22"/>
              </w:rPr>
              <w:pPrChange w:id="9244" w:author="AbbVie02no" w:date="2025-05-15T13:45:00Z">
                <w:pPr>
                  <w:pStyle w:val="EMEANormal"/>
                  <w:keepNext/>
                  <w:jc w:val="center"/>
                </w:pPr>
              </w:pPrChange>
            </w:pPr>
            <w:del w:id="9245" w:author="AbbVie02no" w:date="2025-05-15T13:45:00Z">
              <w:r w:rsidRPr="00193D76">
                <w:rPr>
                  <w:szCs w:val="22"/>
                </w:rPr>
                <w:delText>12</w:delText>
              </w:r>
              <w:r w:rsidR="00E51AA9" w:rsidRPr="00E14E58">
                <w:rPr>
                  <w:szCs w:val="22"/>
                </w:rPr>
                <w:delText xml:space="preserve"> %</w:delText>
              </w:r>
            </w:del>
          </w:p>
        </w:tc>
        <w:tc>
          <w:tcPr>
            <w:tcW w:w="2126" w:type="dxa"/>
            <w:tcBorders>
              <w:top w:val="single" w:sz="4" w:space="0" w:color="auto"/>
              <w:left w:val="single" w:sz="4" w:space="0" w:color="auto"/>
              <w:bottom w:val="single" w:sz="4" w:space="0" w:color="auto"/>
              <w:right w:val="single" w:sz="4" w:space="0" w:color="auto"/>
            </w:tcBorders>
          </w:tcPr>
          <w:p w14:paraId="71242040" w14:textId="34AF2DAF" w:rsidR="00DE3458" w:rsidRPr="009C5EFD" w:rsidRDefault="00E453CD">
            <w:pPr>
              <w:keepNext/>
              <w:suppressAutoHyphens/>
              <w:rPr>
                <w:del w:id="9246" w:author="AbbVie02no" w:date="2025-05-15T13:45:00Z"/>
                <w:szCs w:val="22"/>
              </w:rPr>
              <w:pPrChange w:id="9247" w:author="AbbVie02no" w:date="2025-05-15T13:45:00Z">
                <w:pPr>
                  <w:pStyle w:val="EMEANormal"/>
                  <w:keepNext/>
                  <w:jc w:val="center"/>
                </w:pPr>
              </w:pPrChange>
            </w:pPr>
            <w:del w:id="9248" w:author="AbbVie02no" w:date="2025-05-15T13:45:00Z">
              <w:r w:rsidRPr="009C5EFD">
                <w:rPr>
                  <w:szCs w:val="22"/>
                </w:rPr>
                <w:delText>36</w:delText>
              </w:r>
              <w:r w:rsidR="00E51AA9" w:rsidRPr="009C5EFD">
                <w:rPr>
                  <w:szCs w:val="22"/>
                </w:rPr>
                <w:delText xml:space="preserve"> %</w:delText>
              </w:r>
              <w:r w:rsidRPr="009C5EFD">
                <w:rPr>
                  <w:szCs w:val="22"/>
                </w:rPr>
                <w:delText>*</w:delText>
              </w:r>
            </w:del>
          </w:p>
        </w:tc>
        <w:tc>
          <w:tcPr>
            <w:tcW w:w="2182" w:type="dxa"/>
            <w:tcBorders>
              <w:top w:val="single" w:sz="4" w:space="0" w:color="auto"/>
              <w:left w:val="single" w:sz="4" w:space="0" w:color="auto"/>
              <w:bottom w:val="single" w:sz="4" w:space="0" w:color="auto"/>
              <w:right w:val="single" w:sz="4" w:space="0" w:color="auto"/>
            </w:tcBorders>
          </w:tcPr>
          <w:p w14:paraId="11F63342" w14:textId="619CE889" w:rsidR="00DE3458" w:rsidRPr="009C5EFD" w:rsidRDefault="00E453CD">
            <w:pPr>
              <w:keepNext/>
              <w:suppressAutoHyphens/>
              <w:rPr>
                <w:del w:id="9249" w:author="AbbVie02no" w:date="2025-05-15T13:45:00Z"/>
                <w:szCs w:val="22"/>
              </w:rPr>
              <w:pPrChange w:id="9250" w:author="AbbVie02no" w:date="2025-05-15T13:45:00Z">
                <w:pPr>
                  <w:pStyle w:val="EMEANormal"/>
                  <w:keepNext/>
                  <w:jc w:val="center"/>
                </w:pPr>
              </w:pPrChange>
            </w:pPr>
            <w:del w:id="9251" w:author="AbbVie02no" w:date="2025-05-15T13:45:00Z">
              <w:r w:rsidRPr="009C5EFD">
                <w:rPr>
                  <w:szCs w:val="22"/>
                </w:rPr>
                <w:delText>41</w:delText>
              </w:r>
              <w:r w:rsidR="00E51AA9" w:rsidRPr="009C5EFD">
                <w:rPr>
                  <w:szCs w:val="22"/>
                </w:rPr>
                <w:delText xml:space="preserve"> %</w:delText>
              </w:r>
              <w:r w:rsidRPr="009C5EFD">
                <w:rPr>
                  <w:szCs w:val="22"/>
                </w:rPr>
                <w:delText>*</w:delText>
              </w:r>
            </w:del>
          </w:p>
        </w:tc>
      </w:tr>
      <w:tr w:rsidR="004644D4" w14:paraId="150CECE9" w14:textId="0E819EFC" w:rsidTr="00BA47BC">
        <w:trPr>
          <w:gridAfter w:val="1"/>
          <w:wAfter w:w="11" w:type="dxa"/>
          <w:jc w:val="center"/>
          <w:del w:id="9252"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3B3E70F2" w14:textId="05E4529A" w:rsidR="00DE3458" w:rsidRPr="00193D76" w:rsidRDefault="00E453CD">
            <w:pPr>
              <w:keepNext/>
              <w:suppressAutoHyphens/>
              <w:rPr>
                <w:del w:id="9253" w:author="AbbVie02no" w:date="2025-05-15T13:45:00Z"/>
                <w:szCs w:val="22"/>
              </w:rPr>
              <w:pPrChange w:id="9254" w:author="AbbVie02no" w:date="2025-05-15T13:45:00Z">
                <w:pPr>
                  <w:pStyle w:val="EMEANormal"/>
                  <w:keepNext/>
                </w:pPr>
              </w:pPrChange>
            </w:pPr>
            <w:del w:id="9255" w:author="AbbVie02no" w:date="2025-05-15T13:45:00Z">
              <w:r w:rsidRPr="007F67EE">
                <w:rPr>
                  <w:szCs w:val="22"/>
                </w:rPr>
                <w:delText>Klinis</w:delText>
              </w:r>
              <w:r w:rsidRPr="00193D76">
                <w:rPr>
                  <w:szCs w:val="22"/>
                </w:rPr>
                <w:delText>k respons (CR-100)</w:delText>
              </w:r>
            </w:del>
          </w:p>
        </w:tc>
        <w:tc>
          <w:tcPr>
            <w:tcW w:w="2525" w:type="dxa"/>
            <w:tcBorders>
              <w:top w:val="single" w:sz="4" w:space="0" w:color="auto"/>
              <w:left w:val="single" w:sz="4" w:space="0" w:color="auto"/>
              <w:bottom w:val="single" w:sz="4" w:space="0" w:color="auto"/>
              <w:right w:val="single" w:sz="4" w:space="0" w:color="auto"/>
            </w:tcBorders>
          </w:tcPr>
          <w:p w14:paraId="657FCF66" w14:textId="4F17408E" w:rsidR="00DE3458" w:rsidRPr="009C5EFD" w:rsidRDefault="00E453CD">
            <w:pPr>
              <w:keepNext/>
              <w:suppressAutoHyphens/>
              <w:rPr>
                <w:del w:id="9256" w:author="AbbVie02no" w:date="2025-05-15T13:45:00Z"/>
                <w:szCs w:val="22"/>
              </w:rPr>
              <w:pPrChange w:id="9257" w:author="AbbVie02no" w:date="2025-05-15T13:45:00Z">
                <w:pPr>
                  <w:pStyle w:val="EMEANormal"/>
                  <w:keepNext/>
                  <w:jc w:val="center"/>
                </w:pPr>
              </w:pPrChange>
            </w:pPr>
            <w:del w:id="9258" w:author="AbbVie02no" w:date="2025-05-15T13:45:00Z">
              <w:r w:rsidRPr="00E14E58">
                <w:rPr>
                  <w:szCs w:val="22"/>
                </w:rPr>
                <w:delText>17</w:delText>
              </w:r>
              <w:r w:rsidR="00E51AA9" w:rsidRPr="009C5EFD">
                <w:rPr>
                  <w:szCs w:val="22"/>
                </w:rPr>
                <w:delText xml:space="preserve"> %</w:delText>
              </w:r>
            </w:del>
          </w:p>
        </w:tc>
        <w:tc>
          <w:tcPr>
            <w:tcW w:w="2126" w:type="dxa"/>
            <w:tcBorders>
              <w:top w:val="single" w:sz="4" w:space="0" w:color="auto"/>
              <w:left w:val="single" w:sz="4" w:space="0" w:color="auto"/>
              <w:bottom w:val="single" w:sz="4" w:space="0" w:color="auto"/>
              <w:right w:val="single" w:sz="4" w:space="0" w:color="auto"/>
            </w:tcBorders>
          </w:tcPr>
          <w:p w14:paraId="734473F0" w14:textId="6B709523" w:rsidR="00DE3458" w:rsidRPr="009C5EFD" w:rsidRDefault="00E453CD">
            <w:pPr>
              <w:keepNext/>
              <w:suppressAutoHyphens/>
              <w:rPr>
                <w:del w:id="9259" w:author="AbbVie02no" w:date="2025-05-15T13:45:00Z"/>
                <w:szCs w:val="22"/>
              </w:rPr>
              <w:pPrChange w:id="9260" w:author="AbbVie02no" w:date="2025-05-15T13:45:00Z">
                <w:pPr>
                  <w:pStyle w:val="EMEANormal"/>
                  <w:keepNext/>
                  <w:jc w:val="center"/>
                </w:pPr>
              </w:pPrChange>
            </w:pPr>
            <w:del w:id="9261" w:author="AbbVie02no" w:date="2025-05-15T13:45:00Z">
              <w:r w:rsidRPr="009C5EFD">
                <w:rPr>
                  <w:szCs w:val="22"/>
                </w:rPr>
                <w:delText>41</w:delText>
              </w:r>
              <w:r w:rsidR="00E51AA9" w:rsidRPr="009C5EFD">
                <w:rPr>
                  <w:szCs w:val="22"/>
                </w:rPr>
                <w:delText xml:space="preserve"> %</w:delText>
              </w:r>
              <w:r w:rsidRPr="009C5EFD">
                <w:rPr>
                  <w:szCs w:val="22"/>
                </w:rPr>
                <w:delText>*</w:delText>
              </w:r>
            </w:del>
          </w:p>
        </w:tc>
        <w:tc>
          <w:tcPr>
            <w:tcW w:w="2182" w:type="dxa"/>
            <w:tcBorders>
              <w:top w:val="single" w:sz="4" w:space="0" w:color="auto"/>
              <w:left w:val="single" w:sz="4" w:space="0" w:color="auto"/>
              <w:bottom w:val="single" w:sz="4" w:space="0" w:color="auto"/>
              <w:right w:val="single" w:sz="4" w:space="0" w:color="auto"/>
            </w:tcBorders>
          </w:tcPr>
          <w:p w14:paraId="2420B001" w14:textId="2B52472F" w:rsidR="00DE3458" w:rsidRPr="009C5EFD" w:rsidRDefault="00E453CD">
            <w:pPr>
              <w:keepNext/>
              <w:suppressAutoHyphens/>
              <w:rPr>
                <w:del w:id="9262" w:author="AbbVie02no" w:date="2025-05-15T13:45:00Z"/>
                <w:szCs w:val="22"/>
              </w:rPr>
              <w:pPrChange w:id="9263" w:author="AbbVie02no" w:date="2025-05-15T13:45:00Z">
                <w:pPr>
                  <w:pStyle w:val="EMEANormal"/>
                  <w:keepNext/>
                  <w:jc w:val="center"/>
                </w:pPr>
              </w:pPrChange>
            </w:pPr>
            <w:del w:id="9264" w:author="AbbVie02no" w:date="2025-05-15T13:45:00Z">
              <w:r w:rsidRPr="009C5EFD">
                <w:rPr>
                  <w:szCs w:val="22"/>
                </w:rPr>
                <w:delText>48</w:delText>
              </w:r>
              <w:r w:rsidR="00E51AA9" w:rsidRPr="009C5EFD">
                <w:rPr>
                  <w:szCs w:val="22"/>
                </w:rPr>
                <w:delText xml:space="preserve"> %</w:delText>
              </w:r>
              <w:r w:rsidRPr="009C5EFD">
                <w:rPr>
                  <w:szCs w:val="22"/>
                </w:rPr>
                <w:delText>*</w:delText>
              </w:r>
            </w:del>
          </w:p>
        </w:tc>
      </w:tr>
      <w:tr w:rsidR="004644D4" w14:paraId="60810543" w14:textId="7666703C" w:rsidTr="00BA47BC">
        <w:trPr>
          <w:gridAfter w:val="1"/>
          <w:wAfter w:w="11" w:type="dxa"/>
          <w:jc w:val="center"/>
          <w:del w:id="9265" w:author="AbbVie02no" w:date="2025-05-15T13:45:00Z"/>
        </w:trPr>
        <w:tc>
          <w:tcPr>
            <w:tcW w:w="2177" w:type="dxa"/>
            <w:tcBorders>
              <w:top w:val="single" w:sz="4" w:space="0" w:color="auto"/>
              <w:left w:val="single" w:sz="4" w:space="0" w:color="auto"/>
              <w:bottom w:val="single" w:sz="4" w:space="0" w:color="auto"/>
              <w:right w:val="single" w:sz="4" w:space="0" w:color="auto"/>
            </w:tcBorders>
          </w:tcPr>
          <w:p w14:paraId="2BE95241" w14:textId="7CA3AD58" w:rsidR="00DE3458" w:rsidRPr="00E14E58" w:rsidRDefault="00E453CD">
            <w:pPr>
              <w:keepNext/>
              <w:suppressAutoHyphens/>
              <w:rPr>
                <w:del w:id="9266" w:author="AbbVie02no" w:date="2025-05-15T13:45:00Z"/>
                <w:szCs w:val="22"/>
              </w:rPr>
              <w:pPrChange w:id="9267" w:author="AbbVie02no" w:date="2025-05-15T13:45:00Z">
                <w:pPr>
                  <w:pStyle w:val="EMEANormal"/>
                  <w:keepNext/>
                </w:pPr>
              </w:pPrChange>
            </w:pPr>
            <w:del w:id="9268" w:author="AbbVie02no" w:date="2025-05-15T13:45:00Z">
              <w:r w:rsidRPr="007F67EE">
                <w:rPr>
                  <w:szCs w:val="22"/>
                </w:rPr>
                <w:delText xml:space="preserve">Pasienter i steroidfri remisjon </w:delText>
              </w:r>
              <w:r w:rsidRPr="007F67EE">
                <w:rPr>
                  <w:szCs w:val="22"/>
                </w:rPr>
                <w:br/>
                <w:delText>for &gt;=90 dager</w:delText>
              </w:r>
              <w:r w:rsidRPr="00193D76">
                <w:rPr>
                  <w:szCs w:val="22"/>
                  <w:vertAlign w:val="superscript"/>
                </w:rPr>
                <w:delText>a</w:delText>
              </w:r>
            </w:del>
          </w:p>
        </w:tc>
        <w:tc>
          <w:tcPr>
            <w:tcW w:w="2525" w:type="dxa"/>
            <w:tcBorders>
              <w:top w:val="single" w:sz="4" w:space="0" w:color="auto"/>
              <w:left w:val="single" w:sz="4" w:space="0" w:color="auto"/>
              <w:bottom w:val="single" w:sz="4" w:space="0" w:color="auto"/>
              <w:right w:val="single" w:sz="4" w:space="0" w:color="auto"/>
            </w:tcBorders>
          </w:tcPr>
          <w:p w14:paraId="31055684" w14:textId="2FE53347" w:rsidR="00DE3458" w:rsidRPr="009C5EFD" w:rsidRDefault="00E453CD">
            <w:pPr>
              <w:keepNext/>
              <w:suppressAutoHyphens/>
              <w:rPr>
                <w:del w:id="9269" w:author="AbbVie02no" w:date="2025-05-15T13:45:00Z"/>
                <w:szCs w:val="22"/>
              </w:rPr>
              <w:pPrChange w:id="9270" w:author="AbbVie02no" w:date="2025-05-15T13:45:00Z">
                <w:pPr>
                  <w:pStyle w:val="EMEANormal"/>
                  <w:keepNext/>
                  <w:jc w:val="center"/>
                </w:pPr>
              </w:pPrChange>
            </w:pPr>
            <w:del w:id="9271" w:author="AbbVie02no" w:date="2025-05-15T13:45:00Z">
              <w:r w:rsidRPr="009C5EFD">
                <w:rPr>
                  <w:szCs w:val="22"/>
                </w:rPr>
                <w:delText>5</w:delText>
              </w:r>
              <w:r w:rsidR="00E51AA9" w:rsidRPr="009C5EFD">
                <w:rPr>
                  <w:szCs w:val="22"/>
                </w:rPr>
                <w:delText xml:space="preserve"> %</w:delText>
              </w:r>
              <w:r w:rsidRPr="009C5EFD">
                <w:rPr>
                  <w:szCs w:val="22"/>
                </w:rPr>
                <w:delText xml:space="preserve"> (3/66)</w:delText>
              </w:r>
            </w:del>
          </w:p>
        </w:tc>
        <w:tc>
          <w:tcPr>
            <w:tcW w:w="2126" w:type="dxa"/>
            <w:tcBorders>
              <w:top w:val="single" w:sz="4" w:space="0" w:color="auto"/>
              <w:left w:val="single" w:sz="4" w:space="0" w:color="auto"/>
              <w:bottom w:val="single" w:sz="4" w:space="0" w:color="auto"/>
              <w:right w:val="single" w:sz="4" w:space="0" w:color="auto"/>
            </w:tcBorders>
          </w:tcPr>
          <w:p w14:paraId="34D4C3B2" w14:textId="3F96CE78" w:rsidR="00DE3458" w:rsidRPr="009C5EFD" w:rsidRDefault="00E453CD">
            <w:pPr>
              <w:keepNext/>
              <w:suppressAutoHyphens/>
              <w:rPr>
                <w:del w:id="9272" w:author="AbbVie02no" w:date="2025-05-15T13:45:00Z"/>
                <w:szCs w:val="22"/>
              </w:rPr>
              <w:pPrChange w:id="9273" w:author="AbbVie02no" w:date="2025-05-15T13:45:00Z">
                <w:pPr>
                  <w:pStyle w:val="EMEANormal"/>
                  <w:keepNext/>
                  <w:jc w:val="center"/>
                </w:pPr>
              </w:pPrChange>
            </w:pPr>
            <w:del w:id="9274" w:author="AbbVie02no" w:date="2025-05-15T13:45:00Z">
              <w:r w:rsidRPr="009C5EFD">
                <w:rPr>
                  <w:szCs w:val="22"/>
                </w:rPr>
                <w:delText>29</w:delText>
              </w:r>
              <w:r w:rsidR="00E51AA9" w:rsidRPr="009C5EFD">
                <w:rPr>
                  <w:szCs w:val="22"/>
                </w:rPr>
                <w:delText xml:space="preserve"> %</w:delText>
              </w:r>
              <w:r w:rsidRPr="009C5EFD">
                <w:rPr>
                  <w:szCs w:val="22"/>
                </w:rPr>
                <w:delText xml:space="preserve"> (17/58)*</w:delText>
              </w:r>
            </w:del>
          </w:p>
        </w:tc>
        <w:tc>
          <w:tcPr>
            <w:tcW w:w="2182" w:type="dxa"/>
            <w:tcBorders>
              <w:top w:val="single" w:sz="4" w:space="0" w:color="auto"/>
              <w:left w:val="single" w:sz="4" w:space="0" w:color="auto"/>
              <w:bottom w:val="single" w:sz="4" w:space="0" w:color="auto"/>
              <w:right w:val="single" w:sz="4" w:space="0" w:color="auto"/>
            </w:tcBorders>
          </w:tcPr>
          <w:p w14:paraId="616450EA" w14:textId="56D9A39C" w:rsidR="00DE3458" w:rsidRPr="009C5EFD" w:rsidRDefault="00E453CD">
            <w:pPr>
              <w:keepNext/>
              <w:suppressAutoHyphens/>
              <w:rPr>
                <w:del w:id="9275" w:author="AbbVie02no" w:date="2025-05-15T13:45:00Z"/>
                <w:szCs w:val="22"/>
              </w:rPr>
              <w:pPrChange w:id="9276" w:author="AbbVie02no" w:date="2025-05-15T13:45:00Z">
                <w:pPr>
                  <w:pStyle w:val="EMEANormal"/>
                  <w:keepNext/>
                  <w:jc w:val="center"/>
                </w:pPr>
              </w:pPrChange>
            </w:pPr>
            <w:del w:id="9277" w:author="AbbVie02no" w:date="2025-05-15T13:45:00Z">
              <w:r w:rsidRPr="009C5EFD">
                <w:rPr>
                  <w:szCs w:val="22"/>
                </w:rPr>
                <w:delText>20</w:delText>
              </w:r>
              <w:r w:rsidR="00E51AA9" w:rsidRPr="009C5EFD">
                <w:rPr>
                  <w:szCs w:val="22"/>
                </w:rPr>
                <w:delText xml:space="preserve"> %</w:delText>
              </w:r>
              <w:r w:rsidRPr="009C5EFD">
                <w:rPr>
                  <w:szCs w:val="22"/>
                </w:rPr>
                <w:delText xml:space="preserve"> (15/74)**</w:delText>
              </w:r>
            </w:del>
          </w:p>
        </w:tc>
      </w:tr>
      <w:tr w:rsidR="004644D4" w14:paraId="07835927" w14:textId="1339C128" w:rsidTr="00BA47BC">
        <w:trPr>
          <w:jc w:val="center"/>
          <w:del w:id="9278" w:author="AbbVie02no" w:date="2025-05-15T13:45:00Z"/>
        </w:trPr>
        <w:tc>
          <w:tcPr>
            <w:tcW w:w="9021" w:type="dxa"/>
            <w:gridSpan w:val="5"/>
            <w:tcBorders>
              <w:top w:val="single" w:sz="4" w:space="0" w:color="auto"/>
              <w:left w:val="nil"/>
              <w:bottom w:val="nil"/>
              <w:right w:val="nil"/>
            </w:tcBorders>
          </w:tcPr>
          <w:p w14:paraId="50B3B687" w14:textId="541B1E13" w:rsidR="00DE3458" w:rsidRPr="002D0790" w:rsidRDefault="00E453CD">
            <w:pPr>
              <w:keepNext/>
              <w:suppressAutoHyphens/>
              <w:rPr>
                <w:del w:id="9279" w:author="AbbVie02no" w:date="2025-05-15T13:45:00Z"/>
                <w:sz w:val="22"/>
                <w:szCs w:val="22"/>
              </w:rPr>
              <w:pPrChange w:id="9280" w:author="AbbVie02no" w:date="2025-05-15T13:45:00Z">
                <w:pPr>
                  <w:pStyle w:val="TableText"/>
                </w:pPr>
              </w:pPrChange>
            </w:pPr>
            <w:del w:id="9281" w:author="AbbVie02no" w:date="2025-05-15T13:45:00Z">
              <w:r w:rsidRPr="007F67EE">
                <w:rPr>
                  <w:sz w:val="22"/>
                  <w:szCs w:val="22"/>
                </w:rPr>
                <w:delText>*</w:delText>
              </w:r>
              <w:r w:rsidRPr="007F67EE">
                <w:rPr>
                  <w:sz w:val="22"/>
                  <w:szCs w:val="22"/>
                </w:rPr>
                <w:tab/>
                <w:delText xml:space="preserve">p &lt; 0,001 for Humira </w:delText>
              </w:r>
              <w:r w:rsidRPr="00193D76">
                <w:rPr>
                  <w:i/>
                  <w:sz w:val="22"/>
                  <w:szCs w:val="22"/>
                </w:rPr>
                <w:delText>versus</w:delText>
              </w:r>
              <w:r w:rsidRPr="002D0790">
                <w:rPr>
                  <w:sz w:val="22"/>
                  <w:szCs w:val="22"/>
                </w:rPr>
                <w:delText xml:space="preserve"> placebo parvise sammenligninger av proporsjoner</w:delText>
              </w:r>
            </w:del>
          </w:p>
          <w:p w14:paraId="196E350F" w14:textId="68E1A27B" w:rsidR="00DE3458" w:rsidRPr="009C5EFD" w:rsidRDefault="00E453CD">
            <w:pPr>
              <w:keepNext/>
              <w:suppressAutoHyphens/>
              <w:rPr>
                <w:del w:id="9282" w:author="AbbVie02no" w:date="2025-05-15T13:45:00Z"/>
                <w:sz w:val="22"/>
                <w:szCs w:val="22"/>
              </w:rPr>
              <w:pPrChange w:id="9283" w:author="AbbVie02no" w:date="2025-05-15T13:45:00Z">
                <w:pPr>
                  <w:pStyle w:val="TableText"/>
                </w:pPr>
              </w:pPrChange>
            </w:pPr>
            <w:del w:id="9284" w:author="AbbVie02no" w:date="2025-05-15T13:45:00Z">
              <w:r w:rsidRPr="00E14E58">
                <w:rPr>
                  <w:sz w:val="22"/>
                  <w:szCs w:val="22"/>
                </w:rPr>
                <w:delText>**</w:delText>
              </w:r>
              <w:r w:rsidRPr="00E14E58">
                <w:rPr>
                  <w:sz w:val="22"/>
                  <w:szCs w:val="22"/>
                </w:rPr>
                <w:tab/>
                <w:delText xml:space="preserve">p &lt; 0,02 for Humira </w:delText>
              </w:r>
              <w:r w:rsidRPr="009C5EFD">
                <w:rPr>
                  <w:i/>
                  <w:sz w:val="22"/>
                  <w:szCs w:val="22"/>
                </w:rPr>
                <w:delText>versus</w:delText>
              </w:r>
              <w:r w:rsidRPr="009C5EFD">
                <w:rPr>
                  <w:sz w:val="22"/>
                  <w:szCs w:val="22"/>
                </w:rPr>
                <w:delText xml:space="preserve"> placebo parvise sammenligninger av proporsjoner</w:delText>
              </w:r>
            </w:del>
          </w:p>
          <w:p w14:paraId="33F63606" w14:textId="0D766CD4" w:rsidR="00DE3458" w:rsidRPr="009C5EFD" w:rsidRDefault="00E453CD">
            <w:pPr>
              <w:keepNext/>
              <w:suppressAutoHyphens/>
              <w:rPr>
                <w:del w:id="9285" w:author="AbbVie02no" w:date="2025-05-15T13:45:00Z"/>
                <w:szCs w:val="22"/>
              </w:rPr>
              <w:pPrChange w:id="9286" w:author="AbbVie02no" w:date="2025-05-15T13:45:00Z">
                <w:pPr>
                  <w:pStyle w:val="EMEANormal"/>
                  <w:keepNext/>
                </w:pPr>
              </w:pPrChange>
            </w:pPr>
            <w:del w:id="9287" w:author="AbbVie02no" w:date="2025-05-15T13:45:00Z">
              <w:r w:rsidRPr="009C5EFD">
                <w:rPr>
                  <w:szCs w:val="22"/>
                  <w:vertAlign w:val="superscript"/>
                </w:rPr>
                <w:delText xml:space="preserve">a        </w:delText>
              </w:r>
              <w:r w:rsidRPr="009C5EFD">
                <w:rPr>
                  <w:szCs w:val="22"/>
                </w:rPr>
                <w:delText>Av de som f</w:delText>
              </w:r>
              <w:r w:rsidR="00F245FC" w:rsidRPr="009C5EFD">
                <w:rPr>
                  <w:szCs w:val="22"/>
                </w:rPr>
                <w:delText>ikk</w:delText>
              </w:r>
              <w:r w:rsidRPr="009C5EFD">
                <w:rPr>
                  <w:szCs w:val="22"/>
                </w:rPr>
                <w:delText xml:space="preserve"> kortikosteroider ved baseline</w:delText>
              </w:r>
            </w:del>
          </w:p>
        </w:tc>
      </w:tr>
    </w:tbl>
    <w:p w14:paraId="54FFDFE5" w14:textId="29B3E197" w:rsidR="00DE3458" w:rsidRPr="009C5EFD" w:rsidRDefault="00DE3458">
      <w:pPr>
        <w:keepNext/>
        <w:suppressAutoHyphens/>
        <w:rPr>
          <w:del w:id="9288" w:author="AbbVie02no" w:date="2025-05-15T13:45:00Z"/>
          <w:sz w:val="22"/>
          <w:szCs w:val="22"/>
        </w:rPr>
        <w:pPrChange w:id="9289" w:author="AbbVie02no" w:date="2025-05-15T13:45:00Z">
          <w:pPr>
            <w:ind w:left="54"/>
          </w:pPr>
        </w:pPrChange>
      </w:pPr>
    </w:p>
    <w:p w14:paraId="773D2CE7" w14:textId="017DA0B7" w:rsidR="008A3F2F" w:rsidRPr="009C5EFD" w:rsidRDefault="00E453CD">
      <w:pPr>
        <w:keepNext/>
        <w:suppressAutoHyphens/>
        <w:rPr>
          <w:del w:id="9290" w:author="AbbVie02no" w:date="2025-05-15T13:45:00Z"/>
          <w:sz w:val="22"/>
          <w:szCs w:val="22"/>
        </w:rPr>
        <w:pPrChange w:id="9291" w:author="AbbVie02no" w:date="2025-05-15T13:45:00Z">
          <w:pPr>
            <w:keepLines/>
          </w:pPr>
        </w:pPrChange>
      </w:pPr>
      <w:del w:id="9292" w:author="AbbVie02no" w:date="2025-05-15T13:45:00Z">
        <w:r w:rsidRPr="009C5EFD">
          <w:rPr>
            <w:sz w:val="22"/>
            <w:szCs w:val="22"/>
          </w:rPr>
          <w:delText>Blant pasienter som ikke viste respons ved uke 4, oppnådde 43</w:delText>
        </w:r>
        <w:r w:rsidR="002E767A" w:rsidRPr="009C5EFD">
          <w:rPr>
            <w:sz w:val="22"/>
            <w:szCs w:val="22"/>
          </w:rPr>
          <w:delText xml:space="preserve"> %</w:delText>
        </w:r>
        <w:r w:rsidRPr="009C5EFD">
          <w:rPr>
            <w:sz w:val="22"/>
            <w:szCs w:val="22"/>
          </w:rPr>
          <w:delText xml:space="preserve"> av dem som fikk vedlikeholdsdose med Humira respons ved uke 12 sammenlignet med 30 % av de som fikk vedlikeholdsbehandling med placebo. Disse resultatene tyder på at pasienter som ikke viser respons ved uke 4 drar nytte av å fortsette med vedlikeholdsterapi til uke 12. Fortsatt terapi utover 12 uker resulterte ikke i signifikant høyere respons (se pkt. 4.2).</w:delText>
        </w:r>
      </w:del>
    </w:p>
    <w:p w14:paraId="00F09C86" w14:textId="4B8B4C8B" w:rsidR="008A3F2F" w:rsidRPr="009C5EFD" w:rsidRDefault="008A3F2F">
      <w:pPr>
        <w:keepNext/>
        <w:suppressAutoHyphens/>
        <w:rPr>
          <w:del w:id="9293" w:author="AbbVie02no" w:date="2025-05-15T13:45:00Z"/>
          <w:sz w:val="22"/>
          <w:szCs w:val="22"/>
        </w:rPr>
        <w:pPrChange w:id="9294" w:author="AbbVie02no" w:date="2025-05-15T13:45:00Z">
          <w:pPr/>
        </w:pPrChange>
      </w:pPr>
    </w:p>
    <w:p w14:paraId="29B164DF" w14:textId="626B2893" w:rsidR="008A3F2F" w:rsidRPr="009C5EFD" w:rsidRDefault="00E453CD">
      <w:pPr>
        <w:keepNext/>
        <w:suppressAutoHyphens/>
        <w:rPr>
          <w:del w:id="9295" w:author="AbbVie02no" w:date="2025-05-15T13:45:00Z"/>
          <w:sz w:val="22"/>
          <w:szCs w:val="22"/>
        </w:rPr>
        <w:pPrChange w:id="9296" w:author="AbbVie02no" w:date="2025-05-15T13:45:00Z">
          <w:pPr/>
        </w:pPrChange>
      </w:pPr>
      <w:del w:id="9297" w:author="AbbVie02no" w:date="2025-05-15T13:45:00Z">
        <w:r w:rsidRPr="009C5EFD">
          <w:rPr>
            <w:bCs/>
            <w:sz w:val="22"/>
            <w:szCs w:val="22"/>
          </w:rPr>
          <w:delText xml:space="preserve">117/276 pasienter fra CD-studie I og 272/777 pasienter fra CD-studie II og III </w:delText>
        </w:r>
        <w:r w:rsidR="00F245FC" w:rsidRPr="009C5EFD">
          <w:rPr>
            <w:bCs/>
            <w:sz w:val="22"/>
            <w:szCs w:val="22"/>
          </w:rPr>
          <w:delText>ble</w:delText>
        </w:r>
        <w:r w:rsidRPr="009C5EFD">
          <w:rPr>
            <w:bCs/>
            <w:sz w:val="22"/>
            <w:szCs w:val="22"/>
          </w:rPr>
          <w:delText xml:space="preserve"> fulgt opp minst 3 år i åpen behandling med </w:delText>
        </w:r>
        <w:r w:rsidR="00934A5F" w:rsidRPr="009C5EFD">
          <w:rPr>
            <w:bCs/>
            <w:sz w:val="22"/>
            <w:szCs w:val="22"/>
          </w:rPr>
          <w:delText>adalimumab</w:delText>
        </w:r>
        <w:r w:rsidRPr="009C5EFD">
          <w:rPr>
            <w:bCs/>
            <w:sz w:val="22"/>
            <w:szCs w:val="22"/>
          </w:rPr>
          <w:delText>. Henholdsvis 88 og 189 pasienter forble i klinisk remisjon. Klinisk respons (CR-100) ble opprettholdt hos henholdsvis 102 og 233 pasienter.</w:delText>
        </w:r>
      </w:del>
    </w:p>
    <w:p w14:paraId="15778E97" w14:textId="44007F45" w:rsidR="008A3F2F" w:rsidRPr="009C5EFD" w:rsidRDefault="008A3F2F">
      <w:pPr>
        <w:keepNext/>
        <w:suppressAutoHyphens/>
        <w:rPr>
          <w:del w:id="9298" w:author="AbbVie02no" w:date="2025-05-15T13:45:00Z"/>
          <w:sz w:val="22"/>
          <w:szCs w:val="22"/>
        </w:rPr>
        <w:pPrChange w:id="9299" w:author="AbbVie02no" w:date="2025-05-15T13:45:00Z">
          <w:pPr/>
        </w:pPrChange>
      </w:pPr>
    </w:p>
    <w:p w14:paraId="26A5F217" w14:textId="67F99068" w:rsidR="008A3F2F" w:rsidRPr="001F5D4B" w:rsidRDefault="00E453CD">
      <w:pPr>
        <w:keepNext/>
        <w:suppressAutoHyphens/>
        <w:rPr>
          <w:del w:id="9300" w:author="AbbVie02no" w:date="2025-05-15T13:45:00Z"/>
          <w:i/>
          <w:sz w:val="22"/>
          <w:szCs w:val="22"/>
        </w:rPr>
        <w:pPrChange w:id="9301" w:author="AbbVie02no" w:date="2025-05-15T13:45:00Z">
          <w:pPr>
            <w:keepNext/>
          </w:pPr>
        </w:pPrChange>
      </w:pPr>
      <w:del w:id="9302" w:author="AbbVie02no" w:date="2025-05-15T13:45:00Z">
        <w:r w:rsidRPr="001F5D4B">
          <w:rPr>
            <w:i/>
            <w:sz w:val="22"/>
            <w:szCs w:val="22"/>
            <w:u w:val="single"/>
          </w:rPr>
          <w:delText>Livskvalitet</w:delText>
        </w:r>
      </w:del>
    </w:p>
    <w:p w14:paraId="4745132A" w14:textId="6C25D56C" w:rsidR="008A3F2F" w:rsidRPr="007F67EE" w:rsidRDefault="008A3F2F">
      <w:pPr>
        <w:keepNext/>
        <w:suppressAutoHyphens/>
        <w:rPr>
          <w:del w:id="9303" w:author="AbbVie02no" w:date="2025-05-15T13:45:00Z"/>
          <w:sz w:val="22"/>
          <w:szCs w:val="22"/>
        </w:rPr>
        <w:pPrChange w:id="9304" w:author="AbbVie02no" w:date="2025-05-15T13:45:00Z">
          <w:pPr>
            <w:keepNext/>
          </w:pPr>
        </w:pPrChange>
      </w:pPr>
    </w:p>
    <w:p w14:paraId="3FFD1A4C" w14:textId="25159981" w:rsidR="008A3F2F" w:rsidRPr="00E14E58" w:rsidRDefault="00E453CD">
      <w:pPr>
        <w:keepNext/>
        <w:suppressAutoHyphens/>
        <w:rPr>
          <w:del w:id="9305" w:author="AbbVie02no" w:date="2025-05-15T13:45:00Z"/>
          <w:sz w:val="22"/>
          <w:szCs w:val="22"/>
        </w:rPr>
        <w:pPrChange w:id="9306" w:author="AbbVie02no" w:date="2025-05-15T13:45:00Z">
          <w:pPr/>
        </w:pPrChange>
      </w:pPr>
      <w:del w:id="9307" w:author="AbbVie02no" w:date="2025-05-15T13:45:00Z">
        <w:r w:rsidRPr="00193D76">
          <w:rPr>
            <w:sz w:val="22"/>
            <w:szCs w:val="22"/>
          </w:rPr>
          <w:delText>CD-studie I og CD-studie II viste statistisk signifikant forbedring i sykdomsspesifikk livsk</w:delText>
        </w:r>
        <w:r w:rsidR="00721030" w:rsidRPr="002D0790">
          <w:rPr>
            <w:sz w:val="22"/>
            <w:szCs w:val="22"/>
          </w:rPr>
          <w:delText>va</w:delText>
        </w:r>
        <w:r w:rsidRPr="002D0790">
          <w:rPr>
            <w:sz w:val="22"/>
            <w:szCs w:val="22"/>
          </w:rPr>
          <w:delText>litetsscore IBDQ (Inflammatory Bowel Disease Questionnaire) ved uke 4 hos pas</w:delText>
        </w:r>
        <w:r w:rsidRPr="00E14E58">
          <w:rPr>
            <w:sz w:val="22"/>
            <w:szCs w:val="22"/>
          </w:rPr>
          <w:delText xml:space="preserve">ienter som var randomisert til Humira 80/40 mg og Humira 160/80 mg sammenlignet med placebo. Det samme </w:delText>
        </w:r>
        <w:r w:rsidRPr="00E14E58">
          <w:rPr>
            <w:sz w:val="22"/>
            <w:szCs w:val="22"/>
          </w:rPr>
          <w:lastRenderedPageBreak/>
          <w:delText>ble også sett ved uke 26 og 56 i CD-studie III blant gruppene som fikk behandling med adalimumab sammenlignet med placebogruppen.</w:delText>
        </w:r>
      </w:del>
    </w:p>
    <w:p w14:paraId="6BE6A448" w14:textId="48AEBE3B" w:rsidR="00E52C3A" w:rsidRPr="009C5EFD" w:rsidRDefault="00E52C3A">
      <w:pPr>
        <w:keepNext/>
        <w:suppressAutoHyphens/>
        <w:rPr>
          <w:del w:id="9308" w:author="AbbVie02no" w:date="2025-05-15T13:45:00Z"/>
          <w:sz w:val="22"/>
          <w:szCs w:val="22"/>
        </w:rPr>
        <w:pPrChange w:id="9309" w:author="AbbVie02no" w:date="2025-05-15T13:45:00Z">
          <w:pPr/>
        </w:pPrChange>
      </w:pPr>
    </w:p>
    <w:p w14:paraId="0A3953B9" w14:textId="02BFE730" w:rsidR="0056506A" w:rsidRPr="001F5D4B" w:rsidRDefault="00E453CD" w:rsidP="004B57B4">
      <w:pPr>
        <w:keepNext/>
        <w:suppressAutoHyphens/>
        <w:rPr>
          <w:del w:id="9310" w:author="AbbVie02no" w:date="2025-05-15T13:45:00Z"/>
          <w:i/>
          <w:sz w:val="22"/>
          <w:szCs w:val="22"/>
        </w:rPr>
      </w:pPr>
      <w:del w:id="9311" w:author="AbbVie02no" w:date="2025-05-15T13:45:00Z">
        <w:r w:rsidRPr="001F5D4B">
          <w:rPr>
            <w:i/>
            <w:sz w:val="22"/>
            <w:szCs w:val="22"/>
          </w:rPr>
          <w:delText>Ulcerøs kolitt</w:delText>
        </w:r>
      </w:del>
    </w:p>
    <w:p w14:paraId="544D9388" w14:textId="1714CF51" w:rsidR="0056506A" w:rsidRPr="007F67EE" w:rsidRDefault="0056506A" w:rsidP="004B57B4">
      <w:pPr>
        <w:keepNext/>
        <w:suppressAutoHyphens/>
        <w:rPr>
          <w:del w:id="9312" w:author="AbbVie02no" w:date="2025-05-15T13:45:00Z"/>
          <w:sz w:val="22"/>
          <w:szCs w:val="22"/>
          <w:u w:val="single"/>
        </w:rPr>
      </w:pPr>
    </w:p>
    <w:p w14:paraId="3F21B281" w14:textId="6C97BB24" w:rsidR="0056506A" w:rsidRPr="009C5EFD" w:rsidRDefault="00E453CD">
      <w:pPr>
        <w:keepNext/>
        <w:suppressAutoHyphens/>
        <w:rPr>
          <w:del w:id="9313" w:author="AbbVie02no" w:date="2025-05-15T13:45:00Z"/>
          <w:sz w:val="22"/>
          <w:szCs w:val="22"/>
        </w:rPr>
        <w:pPrChange w:id="9314" w:author="AbbVie02no" w:date="2025-05-15T13:45:00Z">
          <w:pPr>
            <w:suppressAutoHyphens/>
          </w:pPr>
        </w:pPrChange>
      </w:pPr>
      <w:del w:id="9315" w:author="AbbVie02no" w:date="2025-05-15T13:45:00Z">
        <w:r w:rsidRPr="00193D76">
          <w:rPr>
            <w:sz w:val="22"/>
            <w:szCs w:val="22"/>
          </w:rPr>
          <w:delText>Sikk</w:delText>
        </w:r>
        <w:r w:rsidRPr="002D0790">
          <w:rPr>
            <w:sz w:val="22"/>
            <w:szCs w:val="22"/>
          </w:rPr>
          <w:delText>erhet og effekt av flere doser Humira ble vurdert hos voksne pasienter med moderat til alvorlig aktiv ulcerøs kolitt (M</w:delText>
        </w:r>
        <w:r w:rsidR="00162B4C" w:rsidRPr="00E14E58">
          <w:rPr>
            <w:sz w:val="22"/>
            <w:szCs w:val="22"/>
          </w:rPr>
          <w:delText>ayo score 6 til 12 med endoskopi subscore på 2 til 3)</w:delText>
        </w:r>
        <w:r w:rsidRPr="009C5EFD">
          <w:rPr>
            <w:sz w:val="22"/>
            <w:szCs w:val="22"/>
          </w:rPr>
          <w:delText xml:space="preserve"> i randomiserte, dobbeltblinde, placebokontrollerte studier.</w:delText>
        </w:r>
      </w:del>
    </w:p>
    <w:p w14:paraId="0AC9E080" w14:textId="13F3467F" w:rsidR="00162B4C" w:rsidRPr="009C5EFD" w:rsidRDefault="00162B4C">
      <w:pPr>
        <w:keepNext/>
        <w:suppressAutoHyphens/>
        <w:rPr>
          <w:del w:id="9316" w:author="AbbVie02no" w:date="2025-05-15T13:45:00Z"/>
          <w:sz w:val="22"/>
          <w:szCs w:val="22"/>
        </w:rPr>
        <w:pPrChange w:id="9317" w:author="AbbVie02no" w:date="2025-05-15T13:45:00Z">
          <w:pPr>
            <w:suppressAutoHyphens/>
          </w:pPr>
        </w:pPrChange>
      </w:pPr>
    </w:p>
    <w:p w14:paraId="7DB6359C" w14:textId="72237006" w:rsidR="00162B4C" w:rsidRPr="009C5EFD" w:rsidRDefault="00E453CD">
      <w:pPr>
        <w:keepNext/>
        <w:suppressAutoHyphens/>
        <w:rPr>
          <w:del w:id="9318" w:author="AbbVie02no" w:date="2025-05-15T13:45:00Z"/>
          <w:sz w:val="22"/>
          <w:szCs w:val="22"/>
        </w:rPr>
        <w:pPrChange w:id="9319" w:author="AbbVie02no" w:date="2025-05-15T13:45:00Z">
          <w:pPr>
            <w:suppressAutoHyphens/>
          </w:pPr>
        </w:pPrChange>
      </w:pPr>
      <w:del w:id="9320" w:author="AbbVie02no" w:date="2025-05-15T13:45:00Z">
        <w:r w:rsidRPr="009C5EFD">
          <w:rPr>
            <w:sz w:val="22"/>
            <w:szCs w:val="22"/>
          </w:rPr>
          <w:delText>I studien UC-I ble 390 TNF-antagonistnaive pasienter randomisert til enten placebo ved uke 0 og 2, 160 mg Humira ved uke 0 etterfulgt av 80 mg ved uke 2, eller 80 mg Humira ved uke 0 etterfulgt av 40 mg ved uke 2. Etter uke 2 fik</w:delText>
        </w:r>
        <w:r w:rsidR="00AA7EBE" w:rsidRPr="009C5EFD">
          <w:rPr>
            <w:sz w:val="22"/>
            <w:szCs w:val="22"/>
          </w:rPr>
          <w:delText>k pasientene i begge adalimumab-</w:delText>
        </w:r>
        <w:r w:rsidRPr="009C5EFD">
          <w:rPr>
            <w:sz w:val="22"/>
            <w:szCs w:val="22"/>
          </w:rPr>
          <w:delText>armene 40 mg annenhver uke. Klinisk remisjon (definert som Mayo score ≤ 2 uten subscore &gt; 1) ble vurdert ved uke 8.</w:delText>
        </w:r>
      </w:del>
    </w:p>
    <w:p w14:paraId="52339AD5" w14:textId="548D8A3E" w:rsidR="006E7C32" w:rsidRPr="009C5EFD" w:rsidRDefault="006E7C32">
      <w:pPr>
        <w:keepNext/>
        <w:suppressAutoHyphens/>
        <w:rPr>
          <w:del w:id="9321" w:author="AbbVie02no" w:date="2025-05-15T13:45:00Z"/>
          <w:sz w:val="22"/>
          <w:szCs w:val="22"/>
        </w:rPr>
        <w:pPrChange w:id="9322" w:author="AbbVie02no" w:date="2025-05-15T13:45:00Z">
          <w:pPr>
            <w:suppressAutoHyphens/>
          </w:pPr>
        </w:pPrChange>
      </w:pPr>
    </w:p>
    <w:p w14:paraId="20C7AC48" w14:textId="7D2F648E" w:rsidR="00162B4C" w:rsidRPr="009C5EFD" w:rsidRDefault="00E453CD">
      <w:pPr>
        <w:keepNext/>
        <w:suppressAutoHyphens/>
        <w:rPr>
          <w:del w:id="9323" w:author="AbbVie02no" w:date="2025-05-15T13:45:00Z"/>
          <w:sz w:val="22"/>
          <w:szCs w:val="22"/>
        </w:rPr>
        <w:pPrChange w:id="9324" w:author="AbbVie02no" w:date="2025-05-15T13:45:00Z">
          <w:pPr>
            <w:suppressAutoHyphens/>
          </w:pPr>
        </w:pPrChange>
      </w:pPr>
      <w:del w:id="9325" w:author="AbbVie02no" w:date="2025-05-15T13:45:00Z">
        <w:r w:rsidRPr="009C5EFD">
          <w:rPr>
            <w:sz w:val="22"/>
            <w:szCs w:val="22"/>
          </w:rPr>
          <w:delText>I studien UC-II fikk 248 pasienter 160 mg Humira ved uke 0, 80 mg ved uke 2 og deretter 40 mg annenhver uke</w:delText>
        </w:r>
        <w:r w:rsidR="000C5EE9" w:rsidRPr="009C5EFD">
          <w:rPr>
            <w:sz w:val="22"/>
            <w:szCs w:val="22"/>
          </w:rPr>
          <w:delText>, og 246 pasienter fikk placebo. Kliniske resultater ble vurdert for induksjon av remisjon ved uke 8 og for vedlikehold av remisjon ved uke 52.</w:delText>
        </w:r>
      </w:del>
    </w:p>
    <w:p w14:paraId="272903E6" w14:textId="1E318922" w:rsidR="00162B4C" w:rsidRPr="009C5EFD" w:rsidRDefault="00162B4C">
      <w:pPr>
        <w:keepNext/>
        <w:suppressAutoHyphens/>
        <w:rPr>
          <w:del w:id="9326" w:author="AbbVie02no" w:date="2025-05-15T13:45:00Z"/>
          <w:sz w:val="22"/>
          <w:szCs w:val="22"/>
        </w:rPr>
        <w:pPrChange w:id="9327" w:author="AbbVie02no" w:date="2025-05-15T13:45:00Z">
          <w:pPr>
            <w:suppressAutoHyphens/>
          </w:pPr>
        </w:pPrChange>
      </w:pPr>
    </w:p>
    <w:p w14:paraId="6B875BCE" w14:textId="441A1708" w:rsidR="000C5EE9" w:rsidRPr="009C5EFD" w:rsidRDefault="00E453CD">
      <w:pPr>
        <w:keepNext/>
        <w:suppressAutoHyphens/>
        <w:rPr>
          <w:del w:id="9328" w:author="AbbVie02no" w:date="2025-05-15T13:45:00Z"/>
          <w:sz w:val="22"/>
          <w:szCs w:val="22"/>
        </w:rPr>
        <w:pPrChange w:id="9329" w:author="AbbVie02no" w:date="2025-05-15T13:45:00Z">
          <w:pPr>
            <w:suppressAutoHyphens/>
          </w:pPr>
        </w:pPrChange>
      </w:pPr>
      <w:del w:id="9330" w:author="AbbVie02no" w:date="2025-05-15T13:45:00Z">
        <w:r w:rsidRPr="009C5EFD">
          <w:rPr>
            <w:sz w:val="22"/>
            <w:szCs w:val="22"/>
          </w:rPr>
          <w:delText>Pasienter indusert med 160/80 mg Humira oppnådde klinisk remisjon versus placebo ved uke 8 i statisitisk signifikant større prosentandeler i studie UC-I (</w:delText>
        </w:r>
        <w:r w:rsidR="009019DA">
          <w:rPr>
            <w:sz w:val="22"/>
            <w:szCs w:val="22"/>
          </w:rPr>
          <w:delText xml:space="preserve">henholdsvis </w:delText>
        </w:r>
        <w:r w:rsidRPr="009C5EFD">
          <w:rPr>
            <w:sz w:val="22"/>
            <w:szCs w:val="22"/>
          </w:rPr>
          <w:delText>18</w:delText>
        </w:r>
        <w:r w:rsidR="006A2991" w:rsidRPr="009C5EFD">
          <w:rPr>
            <w:sz w:val="22"/>
            <w:szCs w:val="22"/>
          </w:rPr>
          <w:delText xml:space="preserve"> </w:delText>
        </w:r>
        <w:r w:rsidRPr="009C5EFD">
          <w:rPr>
            <w:sz w:val="22"/>
            <w:szCs w:val="22"/>
          </w:rPr>
          <w:delText>% vs. 9</w:delText>
        </w:r>
        <w:r w:rsidR="006A2991" w:rsidRPr="009C5EFD">
          <w:rPr>
            <w:sz w:val="22"/>
            <w:szCs w:val="22"/>
          </w:rPr>
          <w:delText xml:space="preserve"> </w:delText>
        </w:r>
        <w:r w:rsidRPr="009C5EFD">
          <w:rPr>
            <w:sz w:val="22"/>
            <w:szCs w:val="22"/>
          </w:rPr>
          <w:delText>%, p=0,031) og studie UC-II (</w:delText>
        </w:r>
        <w:r w:rsidR="009019DA">
          <w:rPr>
            <w:sz w:val="22"/>
            <w:szCs w:val="22"/>
          </w:rPr>
          <w:delText xml:space="preserve">henholdsvis </w:delText>
        </w:r>
        <w:r w:rsidRPr="009C5EFD">
          <w:rPr>
            <w:sz w:val="22"/>
            <w:szCs w:val="22"/>
          </w:rPr>
          <w:delText>17</w:delText>
        </w:r>
        <w:r w:rsidR="006A2991" w:rsidRPr="009C5EFD">
          <w:rPr>
            <w:sz w:val="22"/>
            <w:szCs w:val="22"/>
          </w:rPr>
          <w:delText xml:space="preserve"> </w:delText>
        </w:r>
        <w:r w:rsidRPr="009C5EFD">
          <w:rPr>
            <w:sz w:val="22"/>
            <w:szCs w:val="22"/>
          </w:rPr>
          <w:delText>% vs. 9</w:delText>
        </w:r>
        <w:r w:rsidR="006A2991" w:rsidRPr="009C5EFD">
          <w:rPr>
            <w:sz w:val="22"/>
            <w:szCs w:val="22"/>
          </w:rPr>
          <w:delText xml:space="preserve"> </w:delText>
        </w:r>
        <w:r w:rsidRPr="009C5EFD">
          <w:rPr>
            <w:sz w:val="22"/>
            <w:szCs w:val="22"/>
          </w:rPr>
          <w:delText xml:space="preserve">%, p=0,019). </w:delText>
        </w:r>
        <w:r w:rsidR="00AA7EBE" w:rsidRPr="009C5EFD">
          <w:rPr>
            <w:sz w:val="22"/>
            <w:szCs w:val="22"/>
          </w:rPr>
          <w:delText>Blant pasienter som ble behandlet med Humira i studien UC-II og som var i remisjon ved uke 8, var 21/41 (51%) også i remisjon ved uke 52</w:delText>
        </w:r>
        <w:r w:rsidRPr="009C5EFD">
          <w:rPr>
            <w:sz w:val="22"/>
            <w:szCs w:val="22"/>
          </w:rPr>
          <w:delText>.</w:delText>
        </w:r>
      </w:del>
    </w:p>
    <w:p w14:paraId="42D9D217" w14:textId="37F265B9" w:rsidR="004641F9" w:rsidRPr="009C5EFD" w:rsidRDefault="004641F9">
      <w:pPr>
        <w:keepNext/>
        <w:suppressAutoHyphens/>
        <w:rPr>
          <w:del w:id="9331" w:author="AbbVie02no" w:date="2025-05-15T13:45:00Z"/>
          <w:sz w:val="22"/>
          <w:szCs w:val="22"/>
        </w:rPr>
        <w:pPrChange w:id="9332" w:author="AbbVie02no" w:date="2025-05-15T13:45:00Z">
          <w:pPr>
            <w:suppressAutoHyphens/>
          </w:pPr>
        </w:pPrChange>
      </w:pPr>
    </w:p>
    <w:p w14:paraId="395D97B2" w14:textId="705AD419" w:rsidR="004641F9" w:rsidRPr="009C5EFD" w:rsidRDefault="00E453CD">
      <w:pPr>
        <w:keepNext/>
        <w:suppressAutoHyphens/>
        <w:rPr>
          <w:del w:id="9333" w:author="AbbVie02no" w:date="2025-05-15T13:45:00Z"/>
          <w:sz w:val="22"/>
          <w:szCs w:val="22"/>
        </w:rPr>
        <w:pPrChange w:id="9334" w:author="AbbVie02no" w:date="2025-05-15T13:45:00Z">
          <w:pPr>
            <w:suppressAutoHyphens/>
          </w:pPr>
        </w:pPrChange>
      </w:pPr>
      <w:del w:id="9335" w:author="AbbVie02no" w:date="2025-05-15T13:45:00Z">
        <w:r w:rsidRPr="009C5EFD">
          <w:rPr>
            <w:sz w:val="22"/>
            <w:szCs w:val="22"/>
          </w:rPr>
          <w:delText>Resultater for studiepopulasjonen fra</w:delText>
        </w:r>
        <w:r w:rsidR="00A67335" w:rsidRPr="009C5EFD">
          <w:rPr>
            <w:sz w:val="22"/>
            <w:szCs w:val="22"/>
          </w:rPr>
          <w:delText xml:space="preserve"> </w:delText>
        </w:r>
        <w:r w:rsidRPr="009C5EFD">
          <w:rPr>
            <w:sz w:val="22"/>
            <w:szCs w:val="22"/>
          </w:rPr>
          <w:delText xml:space="preserve">UC-II er vist i </w:delText>
        </w:r>
        <w:r w:rsidR="00EF2122" w:rsidRPr="009C5EFD">
          <w:rPr>
            <w:sz w:val="22"/>
            <w:szCs w:val="22"/>
          </w:rPr>
          <w:delText>t</w:delText>
        </w:r>
        <w:r w:rsidR="00047AB0" w:rsidRPr="009C5EFD">
          <w:rPr>
            <w:sz w:val="22"/>
            <w:szCs w:val="22"/>
          </w:rPr>
          <w:delText>abell</w:delText>
        </w:r>
        <w:r w:rsidRPr="009C5EFD">
          <w:rPr>
            <w:sz w:val="22"/>
            <w:szCs w:val="22"/>
          </w:rPr>
          <w:delText xml:space="preserve"> </w:delText>
        </w:r>
        <w:r w:rsidR="00205D90">
          <w:rPr>
            <w:sz w:val="22"/>
            <w:szCs w:val="22"/>
          </w:rPr>
          <w:delText>23</w:delText>
        </w:r>
        <w:r w:rsidRPr="009C5EFD">
          <w:rPr>
            <w:sz w:val="22"/>
            <w:szCs w:val="22"/>
          </w:rPr>
          <w:delText>.</w:delText>
        </w:r>
      </w:del>
    </w:p>
    <w:p w14:paraId="56914B40" w14:textId="6787C202" w:rsidR="0054186F" w:rsidRPr="009C5EFD" w:rsidRDefault="0054186F">
      <w:pPr>
        <w:keepNext/>
        <w:suppressAutoHyphens/>
        <w:rPr>
          <w:del w:id="9336" w:author="AbbVie02no" w:date="2025-05-15T13:45:00Z"/>
          <w:sz w:val="22"/>
          <w:szCs w:val="22"/>
        </w:rPr>
        <w:pPrChange w:id="9337" w:author="AbbVie02no" w:date="2025-05-15T13:45:00Z">
          <w:pPr>
            <w:suppressAutoHyphens/>
          </w:pPr>
        </w:pPrChange>
      </w:pPr>
    </w:p>
    <w:p w14:paraId="1F00A9F2" w14:textId="720B945C" w:rsidR="004641F9" w:rsidRPr="009C5EFD" w:rsidRDefault="00E453CD">
      <w:pPr>
        <w:keepNext/>
        <w:suppressAutoHyphens/>
        <w:rPr>
          <w:del w:id="9338" w:author="AbbVie02no" w:date="2025-05-15T13:45:00Z"/>
          <w:b/>
          <w:szCs w:val="22"/>
        </w:rPr>
        <w:pPrChange w:id="9339" w:author="AbbVie02no" w:date="2025-05-15T13:45:00Z">
          <w:pPr>
            <w:pStyle w:val="EMEANormal"/>
            <w:keepNext/>
            <w:tabs>
              <w:tab w:val="clear" w:pos="562"/>
              <w:tab w:val="left" w:pos="0"/>
            </w:tabs>
            <w:jc w:val="center"/>
          </w:pPr>
        </w:pPrChange>
      </w:pPr>
      <w:del w:id="9340" w:author="AbbVie02no" w:date="2025-05-15T13:45:00Z">
        <w:r w:rsidRPr="009C5EFD">
          <w:rPr>
            <w:b/>
            <w:szCs w:val="22"/>
          </w:rPr>
          <w:delText xml:space="preserve">Tabell </w:delText>
        </w:r>
        <w:r w:rsidR="00205D90">
          <w:rPr>
            <w:b/>
            <w:szCs w:val="22"/>
          </w:rPr>
          <w:delText>23</w:delText>
        </w:r>
      </w:del>
    </w:p>
    <w:p w14:paraId="77847EA1" w14:textId="6C8A98EA" w:rsidR="004641F9" w:rsidRPr="009C5EFD" w:rsidRDefault="00E453CD">
      <w:pPr>
        <w:keepNext/>
        <w:suppressAutoHyphens/>
        <w:rPr>
          <w:del w:id="9341" w:author="AbbVie02no" w:date="2025-05-15T13:45:00Z"/>
          <w:b/>
          <w:szCs w:val="22"/>
        </w:rPr>
        <w:pPrChange w:id="9342" w:author="AbbVie02no" w:date="2025-05-15T13:45:00Z">
          <w:pPr>
            <w:pStyle w:val="EMEANormal"/>
            <w:keepNext/>
            <w:tabs>
              <w:tab w:val="clear" w:pos="562"/>
              <w:tab w:val="left" w:pos="0"/>
            </w:tabs>
            <w:jc w:val="center"/>
          </w:pPr>
        </w:pPrChange>
      </w:pPr>
      <w:del w:id="9343" w:author="AbbVie02no" w:date="2025-05-15T13:45:00Z">
        <w:r w:rsidRPr="009C5EFD">
          <w:rPr>
            <w:b/>
            <w:szCs w:val="22"/>
          </w:rPr>
          <w:delText xml:space="preserve">Respons, remisjon og tilheling av slimhinner i studie UC-II </w:delText>
        </w:r>
      </w:del>
    </w:p>
    <w:p w14:paraId="30FADEE6" w14:textId="0CF5BE2A" w:rsidR="004641F9" w:rsidRPr="009C5EFD" w:rsidRDefault="00E453CD">
      <w:pPr>
        <w:keepNext/>
        <w:suppressAutoHyphens/>
        <w:rPr>
          <w:del w:id="9344" w:author="AbbVie02no" w:date="2025-05-15T13:45:00Z"/>
          <w:b/>
          <w:szCs w:val="22"/>
        </w:rPr>
        <w:pPrChange w:id="9345" w:author="AbbVie02no" w:date="2025-05-15T13:45:00Z">
          <w:pPr>
            <w:keepNext/>
            <w:tabs>
              <w:tab w:val="left" w:pos="0"/>
            </w:tabs>
            <w:suppressAutoHyphens/>
            <w:jc w:val="center"/>
          </w:pPr>
        </w:pPrChange>
      </w:pPr>
      <w:del w:id="9346" w:author="AbbVie02no" w:date="2025-05-15T13:45:00Z">
        <w:r w:rsidRPr="009C5EFD">
          <w:rPr>
            <w:b/>
            <w:szCs w:val="22"/>
          </w:rPr>
          <w:delText>(Prosent av pasientene)</w:delText>
        </w:r>
      </w:del>
    </w:p>
    <w:tbl>
      <w:tblPr>
        <w:tblW w:w="4375" w:type="pct"/>
        <w:jc w:val="center"/>
        <w:tblCellMar>
          <w:top w:w="15" w:type="dxa"/>
          <w:left w:w="15" w:type="dxa"/>
          <w:bottom w:w="15" w:type="dxa"/>
          <w:right w:w="15" w:type="dxa"/>
        </w:tblCellMar>
        <w:tblLook w:val="0000" w:firstRow="0" w:lastRow="0" w:firstColumn="0" w:lastColumn="0" w:noHBand="0" w:noVBand="0"/>
      </w:tblPr>
      <w:tblGrid>
        <w:gridCol w:w="4722"/>
        <w:gridCol w:w="1006"/>
        <w:gridCol w:w="2204"/>
      </w:tblGrid>
      <w:tr w:rsidR="004644D4" w14:paraId="51712BF7" w14:textId="3992463F" w:rsidTr="00E04B2A">
        <w:trPr>
          <w:jc w:val="center"/>
          <w:del w:id="9347" w:author="AbbVie02no" w:date="2025-05-15T13:45:00Z"/>
        </w:trPr>
        <w:tc>
          <w:tcPr>
            <w:tcW w:w="2977" w:type="pct"/>
            <w:tcBorders>
              <w:top w:val="single" w:sz="6" w:space="0" w:color="000000"/>
              <w:left w:val="nil"/>
              <w:bottom w:val="single" w:sz="6" w:space="0" w:color="000000"/>
              <w:right w:val="nil"/>
            </w:tcBorders>
          </w:tcPr>
          <w:p w14:paraId="2345F380" w14:textId="4A8D045C" w:rsidR="00F26907" w:rsidRPr="002C5CDB" w:rsidRDefault="00F26907">
            <w:pPr>
              <w:keepNext/>
              <w:suppressAutoHyphens/>
              <w:rPr>
                <w:del w:id="9348" w:author="AbbVie02no" w:date="2025-05-15T13:45:00Z"/>
                <w:rFonts w:eastAsia="Arial Unicode MS"/>
                <w:sz w:val="22"/>
                <w:szCs w:val="22"/>
                <w:rPrChange w:id="9349" w:author="AbbVie05no" w:date="2025-05-19T10:32:00Z">
                  <w:rPr>
                    <w:del w:id="9350" w:author="AbbVie02no" w:date="2025-05-15T13:45:00Z"/>
                    <w:rFonts w:eastAsia="Arial Unicode MS"/>
                    <w:sz w:val="22"/>
                    <w:szCs w:val="22"/>
                    <w:lang w:val="en-GB"/>
                  </w:rPr>
                </w:rPrChange>
              </w:rPr>
              <w:pPrChange w:id="9351" w:author="AbbVie02no" w:date="2025-05-15T13:45:00Z">
                <w:pPr>
                  <w:keepNext/>
                  <w:tabs>
                    <w:tab w:val="left" w:pos="0"/>
                  </w:tabs>
                  <w:jc w:val="center"/>
                </w:pPr>
              </w:pPrChange>
            </w:pPr>
          </w:p>
        </w:tc>
        <w:tc>
          <w:tcPr>
            <w:tcW w:w="634" w:type="pct"/>
            <w:tcBorders>
              <w:top w:val="single" w:sz="6" w:space="0" w:color="000000"/>
              <w:left w:val="nil"/>
              <w:bottom w:val="single" w:sz="6" w:space="0" w:color="000000"/>
              <w:right w:val="nil"/>
            </w:tcBorders>
          </w:tcPr>
          <w:p w14:paraId="4D9B3616" w14:textId="1D17A243" w:rsidR="00F26907" w:rsidRPr="002C5CDB" w:rsidRDefault="00E453CD">
            <w:pPr>
              <w:keepNext/>
              <w:suppressAutoHyphens/>
              <w:rPr>
                <w:del w:id="9352" w:author="AbbVie02no" w:date="2025-05-15T13:45:00Z"/>
                <w:rFonts w:eastAsia="Arial Unicode MS"/>
                <w:sz w:val="22"/>
                <w:szCs w:val="22"/>
                <w:rPrChange w:id="9353" w:author="AbbVie05no" w:date="2025-05-19T10:32:00Z">
                  <w:rPr>
                    <w:del w:id="9354" w:author="AbbVie02no" w:date="2025-05-15T13:45:00Z"/>
                    <w:rFonts w:eastAsia="Arial Unicode MS"/>
                    <w:sz w:val="22"/>
                    <w:szCs w:val="22"/>
                    <w:lang w:val="en-GB"/>
                  </w:rPr>
                </w:rPrChange>
              </w:rPr>
              <w:pPrChange w:id="9355" w:author="AbbVie02no" w:date="2025-05-15T13:45:00Z">
                <w:pPr>
                  <w:keepNext/>
                  <w:tabs>
                    <w:tab w:val="left" w:pos="0"/>
                  </w:tabs>
                  <w:jc w:val="center"/>
                </w:pPr>
              </w:pPrChange>
            </w:pPr>
            <w:del w:id="9356" w:author="AbbVie02no" w:date="2025-05-15T13:45:00Z">
              <w:r w:rsidRPr="002C5CDB">
                <w:rPr>
                  <w:rStyle w:val="bold4"/>
                  <w:rFonts w:eastAsia="Arial Unicode MS"/>
                  <w:sz w:val="22"/>
                  <w:szCs w:val="22"/>
                  <w:rPrChange w:id="9357" w:author="AbbVie05no" w:date="2025-05-19T10:32:00Z">
                    <w:rPr>
                      <w:rStyle w:val="bold4"/>
                      <w:rFonts w:eastAsia="Arial Unicode MS"/>
                      <w:sz w:val="22"/>
                      <w:szCs w:val="22"/>
                      <w:lang w:val="en-GB"/>
                    </w:rPr>
                  </w:rPrChange>
                </w:rPr>
                <w:delText>Placebo</w:delText>
              </w:r>
              <w:r w:rsidRPr="002C5CDB">
                <w:rPr>
                  <w:rFonts w:eastAsia="Arial Unicode MS"/>
                  <w:sz w:val="22"/>
                  <w:szCs w:val="22"/>
                  <w:rPrChange w:id="9358" w:author="AbbVie05no" w:date="2025-05-19T10:32:00Z">
                    <w:rPr>
                      <w:rFonts w:eastAsia="Arial Unicode MS"/>
                      <w:sz w:val="22"/>
                      <w:szCs w:val="22"/>
                      <w:lang w:val="en-GB"/>
                    </w:rPr>
                  </w:rPrChange>
                </w:rPr>
                <w:br/>
              </w:r>
            </w:del>
          </w:p>
        </w:tc>
        <w:tc>
          <w:tcPr>
            <w:tcW w:w="1389" w:type="pct"/>
            <w:tcBorders>
              <w:top w:val="single" w:sz="6" w:space="0" w:color="000000"/>
              <w:left w:val="nil"/>
              <w:bottom w:val="single" w:sz="6" w:space="0" w:color="000000"/>
              <w:right w:val="nil"/>
            </w:tcBorders>
          </w:tcPr>
          <w:p w14:paraId="5676D9DC" w14:textId="7B2C1884" w:rsidR="00F26907" w:rsidRPr="002C5CDB" w:rsidRDefault="00E453CD">
            <w:pPr>
              <w:keepNext/>
              <w:suppressAutoHyphens/>
              <w:rPr>
                <w:del w:id="9359" w:author="AbbVie02no" w:date="2025-05-15T13:45:00Z"/>
                <w:rStyle w:val="bold4"/>
                <w:rFonts w:eastAsia="Arial Unicode MS"/>
                <w:sz w:val="22"/>
                <w:szCs w:val="22"/>
                <w:rPrChange w:id="9360" w:author="AbbVie05no" w:date="2025-05-19T10:32:00Z">
                  <w:rPr>
                    <w:del w:id="9361" w:author="AbbVie02no" w:date="2025-05-15T13:45:00Z"/>
                    <w:rStyle w:val="bold4"/>
                    <w:rFonts w:eastAsia="Arial Unicode MS"/>
                    <w:sz w:val="22"/>
                    <w:szCs w:val="22"/>
                    <w:lang w:val="en-GB"/>
                  </w:rPr>
                </w:rPrChange>
              </w:rPr>
              <w:pPrChange w:id="9362" w:author="AbbVie02no" w:date="2025-05-15T13:45:00Z">
                <w:pPr>
                  <w:keepNext/>
                  <w:tabs>
                    <w:tab w:val="left" w:pos="0"/>
                  </w:tabs>
                  <w:jc w:val="center"/>
                </w:pPr>
              </w:pPrChange>
            </w:pPr>
            <w:del w:id="9363" w:author="AbbVie02no" w:date="2025-05-15T13:45:00Z">
              <w:r w:rsidRPr="002C5CDB">
                <w:rPr>
                  <w:rStyle w:val="bold4"/>
                  <w:rFonts w:eastAsia="Arial Unicode MS"/>
                  <w:sz w:val="22"/>
                  <w:szCs w:val="22"/>
                  <w:rPrChange w:id="9364" w:author="AbbVie05no" w:date="2025-05-19T10:32:00Z">
                    <w:rPr>
                      <w:rStyle w:val="bold4"/>
                      <w:rFonts w:eastAsia="Arial Unicode MS"/>
                      <w:sz w:val="22"/>
                      <w:szCs w:val="22"/>
                      <w:lang w:val="en-GB"/>
                    </w:rPr>
                  </w:rPrChange>
                </w:rPr>
                <w:delText xml:space="preserve">Humira 40 mg </w:delText>
              </w:r>
            </w:del>
          </w:p>
          <w:p w14:paraId="2890AE08" w14:textId="3C44E1AC" w:rsidR="00F26907" w:rsidRPr="002C5CDB" w:rsidRDefault="00E453CD">
            <w:pPr>
              <w:keepNext/>
              <w:suppressAutoHyphens/>
              <w:rPr>
                <w:del w:id="9365" w:author="AbbVie02no" w:date="2025-05-15T13:45:00Z"/>
                <w:rFonts w:eastAsia="Arial Unicode MS"/>
                <w:sz w:val="22"/>
                <w:szCs w:val="22"/>
                <w:rPrChange w:id="9366" w:author="AbbVie05no" w:date="2025-05-19T10:32:00Z">
                  <w:rPr>
                    <w:del w:id="9367" w:author="AbbVie02no" w:date="2025-05-15T13:45:00Z"/>
                    <w:rFonts w:eastAsia="Arial Unicode MS"/>
                    <w:sz w:val="22"/>
                    <w:szCs w:val="22"/>
                    <w:lang w:val="en-GB"/>
                  </w:rPr>
                </w:rPrChange>
              </w:rPr>
              <w:pPrChange w:id="9368" w:author="AbbVie02no" w:date="2025-05-15T13:45:00Z">
                <w:pPr>
                  <w:keepNext/>
                  <w:tabs>
                    <w:tab w:val="left" w:pos="0"/>
                  </w:tabs>
                  <w:jc w:val="center"/>
                </w:pPr>
              </w:pPrChange>
            </w:pPr>
            <w:del w:id="9369" w:author="AbbVie02no" w:date="2025-05-15T13:45:00Z">
              <w:r w:rsidRPr="002C5CDB">
                <w:rPr>
                  <w:rStyle w:val="bold4"/>
                  <w:rFonts w:eastAsia="Arial Unicode MS"/>
                  <w:sz w:val="22"/>
                  <w:szCs w:val="22"/>
                  <w:rPrChange w:id="9370" w:author="AbbVie05no" w:date="2025-05-19T10:32:00Z">
                    <w:rPr>
                      <w:rStyle w:val="bold4"/>
                      <w:rFonts w:eastAsia="Arial Unicode MS"/>
                      <w:sz w:val="22"/>
                      <w:szCs w:val="22"/>
                      <w:lang w:val="en-GB"/>
                    </w:rPr>
                  </w:rPrChange>
                </w:rPr>
                <w:delText>annenhver uke</w:delText>
              </w:r>
              <w:r w:rsidRPr="002C5CDB">
                <w:rPr>
                  <w:rFonts w:eastAsia="Arial Unicode MS"/>
                  <w:sz w:val="22"/>
                  <w:szCs w:val="22"/>
                  <w:rPrChange w:id="9371" w:author="AbbVie05no" w:date="2025-05-19T10:32:00Z">
                    <w:rPr>
                      <w:rFonts w:eastAsia="Arial Unicode MS"/>
                      <w:sz w:val="22"/>
                      <w:szCs w:val="22"/>
                      <w:lang w:val="en-GB"/>
                    </w:rPr>
                  </w:rPrChange>
                </w:rPr>
                <w:br/>
              </w:r>
            </w:del>
          </w:p>
        </w:tc>
      </w:tr>
      <w:tr w:rsidR="004644D4" w14:paraId="7009C566" w14:textId="636265E6" w:rsidTr="00E04B2A">
        <w:trPr>
          <w:jc w:val="center"/>
          <w:del w:id="9372" w:author="AbbVie02no" w:date="2025-05-15T13:45:00Z"/>
        </w:trPr>
        <w:tc>
          <w:tcPr>
            <w:tcW w:w="2977" w:type="pct"/>
            <w:tcBorders>
              <w:top w:val="single" w:sz="6" w:space="0" w:color="000000"/>
              <w:left w:val="nil"/>
              <w:bottom w:val="single" w:sz="6" w:space="0" w:color="000000"/>
              <w:right w:val="nil"/>
            </w:tcBorders>
          </w:tcPr>
          <w:p w14:paraId="7DB0925F" w14:textId="2BDBB3B8" w:rsidR="00F26907" w:rsidRPr="002C5CDB" w:rsidRDefault="00E453CD">
            <w:pPr>
              <w:keepNext/>
              <w:suppressAutoHyphens/>
              <w:rPr>
                <w:del w:id="9373" w:author="AbbVie02no" w:date="2025-05-15T13:45:00Z"/>
                <w:rFonts w:eastAsia="Arial Unicode MS"/>
                <w:sz w:val="22"/>
                <w:szCs w:val="22"/>
                <w:rPrChange w:id="9374" w:author="AbbVie05no" w:date="2025-05-19T10:32:00Z">
                  <w:rPr>
                    <w:del w:id="9375" w:author="AbbVie02no" w:date="2025-05-15T13:45:00Z"/>
                    <w:rFonts w:eastAsia="Arial Unicode MS"/>
                    <w:sz w:val="22"/>
                    <w:szCs w:val="22"/>
                    <w:lang w:val="en-GB"/>
                  </w:rPr>
                </w:rPrChange>
              </w:rPr>
              <w:pPrChange w:id="9376" w:author="AbbVie02no" w:date="2025-05-15T13:45:00Z">
                <w:pPr>
                  <w:keepNext/>
                  <w:tabs>
                    <w:tab w:val="left" w:pos="0"/>
                  </w:tabs>
                </w:pPr>
              </w:pPrChange>
            </w:pPr>
            <w:del w:id="9377" w:author="AbbVie02no" w:date="2025-05-15T13:45:00Z">
              <w:r w:rsidRPr="002C5CDB">
                <w:rPr>
                  <w:rFonts w:eastAsia="Arial Unicode MS"/>
                  <w:sz w:val="22"/>
                  <w:szCs w:val="22"/>
                  <w:rPrChange w:id="9378" w:author="AbbVie05no" w:date="2025-05-19T10:32:00Z">
                    <w:rPr>
                      <w:rFonts w:eastAsia="Arial Unicode MS"/>
                      <w:sz w:val="22"/>
                      <w:szCs w:val="22"/>
                      <w:lang w:val="en-GB"/>
                    </w:rPr>
                  </w:rPrChange>
                </w:rPr>
                <w:delText>Uke 52</w:delText>
              </w:r>
            </w:del>
          </w:p>
        </w:tc>
        <w:tc>
          <w:tcPr>
            <w:tcW w:w="634" w:type="pct"/>
            <w:tcBorders>
              <w:top w:val="single" w:sz="6" w:space="0" w:color="000000"/>
              <w:left w:val="nil"/>
              <w:bottom w:val="single" w:sz="6" w:space="0" w:color="000000"/>
              <w:right w:val="nil"/>
            </w:tcBorders>
          </w:tcPr>
          <w:p w14:paraId="79EC3913" w14:textId="26BBC6D0" w:rsidR="00F26907" w:rsidRPr="002C5CDB" w:rsidRDefault="00E453CD">
            <w:pPr>
              <w:keepNext/>
              <w:suppressAutoHyphens/>
              <w:rPr>
                <w:del w:id="9379" w:author="AbbVie02no" w:date="2025-05-15T13:45:00Z"/>
                <w:rStyle w:val="bold4"/>
                <w:rFonts w:eastAsia="Arial Unicode MS"/>
                <w:sz w:val="22"/>
                <w:szCs w:val="22"/>
                <w:rPrChange w:id="9380" w:author="AbbVie05no" w:date="2025-05-19T10:32:00Z">
                  <w:rPr>
                    <w:del w:id="9381" w:author="AbbVie02no" w:date="2025-05-15T13:45:00Z"/>
                    <w:rStyle w:val="bold4"/>
                    <w:rFonts w:eastAsia="Arial Unicode MS"/>
                    <w:sz w:val="22"/>
                    <w:szCs w:val="22"/>
                    <w:lang w:val="en-GB"/>
                  </w:rPr>
                </w:rPrChange>
              </w:rPr>
              <w:pPrChange w:id="9382" w:author="AbbVie02no" w:date="2025-05-15T13:45:00Z">
                <w:pPr>
                  <w:keepNext/>
                  <w:tabs>
                    <w:tab w:val="left" w:pos="0"/>
                  </w:tabs>
                  <w:jc w:val="center"/>
                </w:pPr>
              </w:pPrChange>
            </w:pPr>
            <w:del w:id="9383" w:author="AbbVie02no" w:date="2025-05-15T13:45:00Z">
              <w:r w:rsidRPr="002C5CDB">
                <w:rPr>
                  <w:rStyle w:val="bold4"/>
                  <w:rFonts w:eastAsia="Arial Unicode MS"/>
                  <w:sz w:val="22"/>
                  <w:szCs w:val="22"/>
                  <w:rPrChange w:id="9384" w:author="AbbVie05no" w:date="2025-05-19T10:32:00Z">
                    <w:rPr>
                      <w:rStyle w:val="bold4"/>
                      <w:rFonts w:eastAsia="Arial Unicode MS"/>
                      <w:sz w:val="22"/>
                      <w:szCs w:val="22"/>
                      <w:lang w:val="en-GB"/>
                    </w:rPr>
                  </w:rPrChange>
                </w:rPr>
                <w:delText>N=246</w:delText>
              </w:r>
            </w:del>
          </w:p>
        </w:tc>
        <w:tc>
          <w:tcPr>
            <w:tcW w:w="1389" w:type="pct"/>
            <w:tcBorders>
              <w:top w:val="single" w:sz="6" w:space="0" w:color="000000"/>
              <w:left w:val="nil"/>
              <w:bottom w:val="single" w:sz="6" w:space="0" w:color="000000"/>
              <w:right w:val="nil"/>
            </w:tcBorders>
          </w:tcPr>
          <w:p w14:paraId="765683C3" w14:textId="421965C7" w:rsidR="00F26907" w:rsidRPr="002C5CDB" w:rsidRDefault="00E453CD">
            <w:pPr>
              <w:keepNext/>
              <w:suppressAutoHyphens/>
              <w:rPr>
                <w:del w:id="9385" w:author="AbbVie02no" w:date="2025-05-15T13:45:00Z"/>
                <w:rStyle w:val="bold4"/>
                <w:rFonts w:eastAsia="Arial Unicode MS"/>
                <w:sz w:val="22"/>
                <w:szCs w:val="22"/>
                <w:rPrChange w:id="9386" w:author="AbbVie05no" w:date="2025-05-19T10:32:00Z">
                  <w:rPr>
                    <w:del w:id="9387" w:author="AbbVie02no" w:date="2025-05-15T13:45:00Z"/>
                    <w:rStyle w:val="bold4"/>
                    <w:rFonts w:eastAsia="Arial Unicode MS"/>
                    <w:sz w:val="22"/>
                    <w:szCs w:val="22"/>
                    <w:lang w:val="en-GB"/>
                  </w:rPr>
                </w:rPrChange>
              </w:rPr>
              <w:pPrChange w:id="9388" w:author="AbbVie02no" w:date="2025-05-15T13:45:00Z">
                <w:pPr>
                  <w:keepNext/>
                  <w:tabs>
                    <w:tab w:val="left" w:pos="0"/>
                  </w:tabs>
                  <w:jc w:val="center"/>
                </w:pPr>
              </w:pPrChange>
            </w:pPr>
            <w:del w:id="9389" w:author="AbbVie02no" w:date="2025-05-15T13:45:00Z">
              <w:r w:rsidRPr="002C5CDB">
                <w:rPr>
                  <w:rStyle w:val="bold4"/>
                  <w:rFonts w:eastAsia="Arial Unicode MS"/>
                  <w:sz w:val="22"/>
                  <w:szCs w:val="22"/>
                  <w:rPrChange w:id="9390" w:author="AbbVie05no" w:date="2025-05-19T10:32:00Z">
                    <w:rPr>
                      <w:rStyle w:val="bold4"/>
                      <w:rFonts w:eastAsia="Arial Unicode MS"/>
                      <w:sz w:val="22"/>
                      <w:szCs w:val="22"/>
                      <w:lang w:val="en-GB"/>
                    </w:rPr>
                  </w:rPrChange>
                </w:rPr>
                <w:delText>N=248</w:delText>
              </w:r>
            </w:del>
          </w:p>
        </w:tc>
      </w:tr>
      <w:tr w:rsidR="004644D4" w14:paraId="5E46D85F" w14:textId="42B11989" w:rsidTr="00E04B2A">
        <w:trPr>
          <w:jc w:val="center"/>
          <w:del w:id="9391" w:author="AbbVie02no" w:date="2025-05-15T13:45:00Z"/>
        </w:trPr>
        <w:tc>
          <w:tcPr>
            <w:tcW w:w="2977" w:type="pct"/>
            <w:tcBorders>
              <w:top w:val="nil"/>
              <w:left w:val="nil"/>
              <w:right w:val="nil"/>
            </w:tcBorders>
          </w:tcPr>
          <w:p w14:paraId="41E6DA1B" w14:textId="095E2BC8" w:rsidR="00F26907" w:rsidRPr="002C5CDB" w:rsidRDefault="00E453CD">
            <w:pPr>
              <w:keepNext/>
              <w:suppressAutoHyphens/>
              <w:rPr>
                <w:del w:id="9392" w:author="AbbVie02no" w:date="2025-05-15T13:45:00Z"/>
                <w:rFonts w:eastAsia="Arial Unicode MS"/>
                <w:sz w:val="22"/>
                <w:szCs w:val="22"/>
                <w:rPrChange w:id="9393" w:author="AbbVie05no" w:date="2025-05-19T10:32:00Z">
                  <w:rPr>
                    <w:del w:id="9394" w:author="AbbVie02no" w:date="2025-05-15T13:45:00Z"/>
                    <w:rFonts w:eastAsia="Arial Unicode MS"/>
                    <w:sz w:val="22"/>
                    <w:szCs w:val="22"/>
                    <w:lang w:val="en-GB"/>
                  </w:rPr>
                </w:rPrChange>
              </w:rPr>
              <w:pPrChange w:id="9395" w:author="AbbVie02no" w:date="2025-05-15T13:45:00Z">
                <w:pPr>
                  <w:keepNext/>
                  <w:tabs>
                    <w:tab w:val="left" w:pos="0"/>
                  </w:tabs>
                </w:pPr>
              </w:pPrChange>
            </w:pPr>
            <w:del w:id="9396" w:author="AbbVie02no" w:date="2025-05-15T13:45:00Z">
              <w:r w:rsidRPr="002C5CDB">
                <w:rPr>
                  <w:rFonts w:eastAsia="Arial Unicode MS"/>
                  <w:sz w:val="22"/>
                  <w:szCs w:val="22"/>
                  <w:rPrChange w:id="9397" w:author="AbbVie05no" w:date="2025-05-19T10:32:00Z">
                    <w:rPr>
                      <w:rFonts w:eastAsia="Arial Unicode MS"/>
                      <w:sz w:val="22"/>
                      <w:szCs w:val="22"/>
                      <w:lang w:val="en-GB"/>
                    </w:rPr>
                  </w:rPrChange>
                </w:rPr>
                <w:delText xml:space="preserve">  Klinisk respons</w:delText>
              </w:r>
            </w:del>
          </w:p>
        </w:tc>
        <w:tc>
          <w:tcPr>
            <w:tcW w:w="634" w:type="pct"/>
            <w:tcBorders>
              <w:top w:val="nil"/>
              <w:left w:val="nil"/>
              <w:right w:val="nil"/>
            </w:tcBorders>
          </w:tcPr>
          <w:p w14:paraId="504A27FB" w14:textId="073F92A4" w:rsidR="00F26907" w:rsidRPr="002C5CDB" w:rsidRDefault="00E453CD">
            <w:pPr>
              <w:keepNext/>
              <w:suppressAutoHyphens/>
              <w:rPr>
                <w:del w:id="9398" w:author="AbbVie02no" w:date="2025-05-15T13:45:00Z"/>
                <w:rFonts w:eastAsia="Arial Unicode MS"/>
                <w:sz w:val="22"/>
                <w:szCs w:val="22"/>
                <w:rPrChange w:id="9399" w:author="AbbVie05no" w:date="2025-05-19T10:32:00Z">
                  <w:rPr>
                    <w:del w:id="9400" w:author="AbbVie02no" w:date="2025-05-15T13:45:00Z"/>
                    <w:rFonts w:eastAsia="Arial Unicode MS"/>
                    <w:sz w:val="22"/>
                    <w:szCs w:val="22"/>
                    <w:lang w:val="en-GB"/>
                  </w:rPr>
                </w:rPrChange>
              </w:rPr>
              <w:pPrChange w:id="9401" w:author="AbbVie02no" w:date="2025-05-15T13:45:00Z">
                <w:pPr>
                  <w:keepNext/>
                  <w:tabs>
                    <w:tab w:val="left" w:pos="0"/>
                  </w:tabs>
                  <w:jc w:val="center"/>
                </w:pPr>
              </w:pPrChange>
            </w:pPr>
            <w:del w:id="9402" w:author="AbbVie02no" w:date="2025-05-15T13:45:00Z">
              <w:r w:rsidRPr="002C5CDB">
                <w:rPr>
                  <w:rFonts w:eastAsia="Arial Unicode MS"/>
                  <w:sz w:val="22"/>
                  <w:szCs w:val="22"/>
                  <w:rPrChange w:id="9403" w:author="AbbVie05no" w:date="2025-05-19T10:32:00Z">
                    <w:rPr>
                      <w:rFonts w:eastAsia="Arial Unicode MS"/>
                      <w:sz w:val="22"/>
                      <w:szCs w:val="22"/>
                      <w:lang w:val="en-GB"/>
                    </w:rPr>
                  </w:rPrChange>
                </w:rPr>
                <w:delText>18</w:delText>
              </w:r>
              <w:r w:rsidR="006A2991" w:rsidRPr="002C5CDB">
                <w:rPr>
                  <w:rFonts w:eastAsia="Arial Unicode MS"/>
                  <w:sz w:val="22"/>
                  <w:szCs w:val="22"/>
                  <w:rPrChange w:id="9404" w:author="AbbVie05no" w:date="2025-05-19T10:32:00Z">
                    <w:rPr>
                      <w:rFonts w:eastAsia="Arial Unicode MS"/>
                      <w:sz w:val="22"/>
                      <w:szCs w:val="22"/>
                      <w:lang w:val="en-GB"/>
                    </w:rPr>
                  </w:rPrChange>
                </w:rPr>
                <w:delText xml:space="preserve"> </w:delText>
              </w:r>
              <w:r w:rsidRPr="002C5CDB">
                <w:rPr>
                  <w:rFonts w:eastAsia="Arial Unicode MS"/>
                  <w:sz w:val="22"/>
                  <w:szCs w:val="22"/>
                  <w:rPrChange w:id="9405" w:author="AbbVie05no" w:date="2025-05-19T10:32:00Z">
                    <w:rPr>
                      <w:rFonts w:eastAsia="Arial Unicode MS"/>
                      <w:sz w:val="22"/>
                      <w:szCs w:val="22"/>
                      <w:lang w:val="en-GB"/>
                    </w:rPr>
                  </w:rPrChange>
                </w:rPr>
                <w:delText xml:space="preserve">% </w:delText>
              </w:r>
            </w:del>
          </w:p>
        </w:tc>
        <w:tc>
          <w:tcPr>
            <w:tcW w:w="1389" w:type="pct"/>
            <w:tcBorders>
              <w:top w:val="nil"/>
              <w:left w:val="nil"/>
              <w:right w:val="nil"/>
            </w:tcBorders>
          </w:tcPr>
          <w:p w14:paraId="47ECB0C9" w14:textId="030A7181" w:rsidR="00F26907" w:rsidRPr="002C5CDB" w:rsidRDefault="00E453CD">
            <w:pPr>
              <w:keepNext/>
              <w:suppressAutoHyphens/>
              <w:rPr>
                <w:del w:id="9406" w:author="AbbVie02no" w:date="2025-05-15T13:45:00Z"/>
                <w:rFonts w:eastAsia="Arial Unicode MS"/>
                <w:sz w:val="22"/>
                <w:szCs w:val="22"/>
                <w:rPrChange w:id="9407" w:author="AbbVie05no" w:date="2025-05-19T10:32:00Z">
                  <w:rPr>
                    <w:del w:id="9408" w:author="AbbVie02no" w:date="2025-05-15T13:45:00Z"/>
                    <w:rFonts w:eastAsia="Arial Unicode MS"/>
                    <w:sz w:val="22"/>
                    <w:szCs w:val="22"/>
                    <w:lang w:val="en-GB"/>
                  </w:rPr>
                </w:rPrChange>
              </w:rPr>
              <w:pPrChange w:id="9409" w:author="AbbVie02no" w:date="2025-05-15T13:45:00Z">
                <w:pPr>
                  <w:keepNext/>
                  <w:tabs>
                    <w:tab w:val="left" w:pos="0"/>
                  </w:tabs>
                  <w:jc w:val="center"/>
                </w:pPr>
              </w:pPrChange>
            </w:pPr>
            <w:del w:id="9410" w:author="AbbVie02no" w:date="2025-05-15T13:45:00Z">
              <w:r w:rsidRPr="002C5CDB">
                <w:rPr>
                  <w:rFonts w:eastAsia="Arial Unicode MS"/>
                  <w:sz w:val="22"/>
                  <w:szCs w:val="22"/>
                  <w:rPrChange w:id="9411" w:author="AbbVie05no" w:date="2025-05-19T10:32:00Z">
                    <w:rPr>
                      <w:rFonts w:eastAsia="Arial Unicode MS"/>
                      <w:sz w:val="22"/>
                      <w:szCs w:val="22"/>
                      <w:lang w:val="en-GB"/>
                    </w:rPr>
                  </w:rPrChange>
                </w:rPr>
                <w:delText xml:space="preserve">   30</w:delText>
              </w:r>
              <w:r w:rsidR="006A2991" w:rsidRPr="002C5CDB">
                <w:rPr>
                  <w:rFonts w:eastAsia="Arial Unicode MS"/>
                  <w:sz w:val="22"/>
                  <w:szCs w:val="22"/>
                  <w:rPrChange w:id="9412" w:author="AbbVie05no" w:date="2025-05-19T10:32:00Z">
                    <w:rPr>
                      <w:rFonts w:eastAsia="Arial Unicode MS"/>
                      <w:sz w:val="22"/>
                      <w:szCs w:val="22"/>
                      <w:lang w:val="en-GB"/>
                    </w:rPr>
                  </w:rPrChange>
                </w:rPr>
                <w:delText xml:space="preserve"> </w:delText>
              </w:r>
              <w:r w:rsidRPr="002C5CDB">
                <w:rPr>
                  <w:rFonts w:eastAsia="Arial Unicode MS"/>
                  <w:sz w:val="22"/>
                  <w:szCs w:val="22"/>
                  <w:rPrChange w:id="9413" w:author="AbbVie05no" w:date="2025-05-19T10:32:00Z">
                    <w:rPr>
                      <w:rFonts w:eastAsia="Arial Unicode MS"/>
                      <w:sz w:val="22"/>
                      <w:szCs w:val="22"/>
                      <w:lang w:val="en-GB"/>
                    </w:rPr>
                  </w:rPrChange>
                </w:rPr>
                <w:delText>%*</w:delText>
              </w:r>
            </w:del>
          </w:p>
        </w:tc>
      </w:tr>
      <w:tr w:rsidR="004644D4" w14:paraId="172FD922" w14:textId="28B07AEE" w:rsidTr="00E04B2A">
        <w:trPr>
          <w:jc w:val="center"/>
          <w:del w:id="9414" w:author="AbbVie02no" w:date="2025-05-15T13:45:00Z"/>
        </w:trPr>
        <w:tc>
          <w:tcPr>
            <w:tcW w:w="2977" w:type="pct"/>
            <w:tcBorders>
              <w:top w:val="nil"/>
              <w:left w:val="nil"/>
              <w:right w:val="nil"/>
            </w:tcBorders>
          </w:tcPr>
          <w:p w14:paraId="5EE7AE0B" w14:textId="2DEFCA10" w:rsidR="00F26907" w:rsidRPr="002C5CDB" w:rsidRDefault="00E453CD">
            <w:pPr>
              <w:keepNext/>
              <w:suppressAutoHyphens/>
              <w:rPr>
                <w:del w:id="9415" w:author="AbbVie02no" w:date="2025-05-15T13:45:00Z"/>
                <w:rFonts w:eastAsia="Arial Unicode MS"/>
                <w:sz w:val="22"/>
                <w:szCs w:val="22"/>
                <w:rPrChange w:id="9416" w:author="AbbVie05no" w:date="2025-05-19T10:32:00Z">
                  <w:rPr>
                    <w:del w:id="9417" w:author="AbbVie02no" w:date="2025-05-15T13:45:00Z"/>
                    <w:rFonts w:eastAsia="Arial Unicode MS"/>
                    <w:sz w:val="22"/>
                    <w:szCs w:val="22"/>
                    <w:lang w:val="en-GB"/>
                  </w:rPr>
                </w:rPrChange>
              </w:rPr>
              <w:pPrChange w:id="9418" w:author="AbbVie02no" w:date="2025-05-15T13:45:00Z">
                <w:pPr>
                  <w:keepNext/>
                  <w:tabs>
                    <w:tab w:val="left" w:pos="0"/>
                  </w:tabs>
                </w:pPr>
              </w:pPrChange>
            </w:pPr>
            <w:del w:id="9419" w:author="AbbVie02no" w:date="2025-05-15T13:45:00Z">
              <w:r w:rsidRPr="002C5CDB">
                <w:rPr>
                  <w:rFonts w:eastAsia="Arial Unicode MS"/>
                  <w:sz w:val="22"/>
                  <w:szCs w:val="22"/>
                  <w:rPrChange w:id="9420" w:author="AbbVie05no" w:date="2025-05-19T10:32:00Z">
                    <w:rPr>
                      <w:rFonts w:eastAsia="Arial Unicode MS"/>
                      <w:sz w:val="22"/>
                      <w:szCs w:val="22"/>
                      <w:lang w:val="en-GB"/>
                    </w:rPr>
                  </w:rPrChange>
                </w:rPr>
                <w:delText xml:space="preserve">  Klinisk remisjon</w:delText>
              </w:r>
            </w:del>
          </w:p>
        </w:tc>
        <w:tc>
          <w:tcPr>
            <w:tcW w:w="634" w:type="pct"/>
            <w:tcBorders>
              <w:top w:val="nil"/>
              <w:left w:val="nil"/>
              <w:right w:val="nil"/>
            </w:tcBorders>
          </w:tcPr>
          <w:p w14:paraId="790CCDA9" w14:textId="5A141CAD" w:rsidR="00F26907" w:rsidRPr="002C5CDB" w:rsidRDefault="00E453CD">
            <w:pPr>
              <w:keepNext/>
              <w:suppressAutoHyphens/>
              <w:rPr>
                <w:del w:id="9421" w:author="AbbVie02no" w:date="2025-05-15T13:45:00Z"/>
                <w:rFonts w:eastAsia="Arial Unicode MS"/>
                <w:sz w:val="22"/>
                <w:szCs w:val="22"/>
                <w:rPrChange w:id="9422" w:author="AbbVie05no" w:date="2025-05-19T10:32:00Z">
                  <w:rPr>
                    <w:del w:id="9423" w:author="AbbVie02no" w:date="2025-05-15T13:45:00Z"/>
                    <w:rFonts w:eastAsia="Arial Unicode MS"/>
                    <w:sz w:val="22"/>
                    <w:szCs w:val="22"/>
                    <w:lang w:val="en-GB"/>
                  </w:rPr>
                </w:rPrChange>
              </w:rPr>
              <w:pPrChange w:id="9424" w:author="AbbVie02no" w:date="2025-05-15T13:45:00Z">
                <w:pPr>
                  <w:keepNext/>
                  <w:tabs>
                    <w:tab w:val="left" w:pos="0"/>
                  </w:tabs>
                  <w:jc w:val="center"/>
                </w:pPr>
              </w:pPrChange>
            </w:pPr>
            <w:del w:id="9425" w:author="AbbVie02no" w:date="2025-05-15T13:45:00Z">
              <w:r w:rsidRPr="002C5CDB">
                <w:rPr>
                  <w:rFonts w:eastAsia="Arial Unicode MS"/>
                  <w:sz w:val="22"/>
                  <w:szCs w:val="22"/>
                  <w:rPrChange w:id="9426" w:author="AbbVie05no" w:date="2025-05-19T10:32:00Z">
                    <w:rPr>
                      <w:rFonts w:eastAsia="Arial Unicode MS"/>
                      <w:sz w:val="22"/>
                      <w:szCs w:val="22"/>
                      <w:lang w:val="en-GB"/>
                    </w:rPr>
                  </w:rPrChange>
                </w:rPr>
                <w:delText>9</w:delText>
              </w:r>
              <w:r w:rsidR="006A2991" w:rsidRPr="002C5CDB">
                <w:rPr>
                  <w:rFonts w:eastAsia="Arial Unicode MS"/>
                  <w:sz w:val="22"/>
                  <w:szCs w:val="22"/>
                  <w:rPrChange w:id="9427" w:author="AbbVie05no" w:date="2025-05-19T10:32:00Z">
                    <w:rPr>
                      <w:rFonts w:eastAsia="Arial Unicode MS"/>
                      <w:sz w:val="22"/>
                      <w:szCs w:val="22"/>
                      <w:lang w:val="en-GB"/>
                    </w:rPr>
                  </w:rPrChange>
                </w:rPr>
                <w:delText xml:space="preserve"> </w:delText>
              </w:r>
              <w:r w:rsidRPr="002C5CDB">
                <w:rPr>
                  <w:rFonts w:eastAsia="Arial Unicode MS"/>
                  <w:sz w:val="22"/>
                  <w:szCs w:val="22"/>
                  <w:rPrChange w:id="9428" w:author="AbbVie05no" w:date="2025-05-19T10:32:00Z">
                    <w:rPr>
                      <w:rFonts w:eastAsia="Arial Unicode MS"/>
                      <w:sz w:val="22"/>
                      <w:szCs w:val="22"/>
                      <w:lang w:val="en-GB"/>
                    </w:rPr>
                  </w:rPrChange>
                </w:rPr>
                <w:delText>%</w:delText>
              </w:r>
            </w:del>
          </w:p>
        </w:tc>
        <w:tc>
          <w:tcPr>
            <w:tcW w:w="1389" w:type="pct"/>
            <w:tcBorders>
              <w:top w:val="nil"/>
              <w:left w:val="nil"/>
              <w:right w:val="nil"/>
            </w:tcBorders>
          </w:tcPr>
          <w:p w14:paraId="7B3ABB49" w14:textId="7091E94F" w:rsidR="00F26907" w:rsidRPr="002C5CDB" w:rsidRDefault="00E453CD">
            <w:pPr>
              <w:keepNext/>
              <w:suppressAutoHyphens/>
              <w:rPr>
                <w:del w:id="9429" w:author="AbbVie02no" w:date="2025-05-15T13:45:00Z"/>
                <w:rFonts w:eastAsia="Arial Unicode MS"/>
                <w:sz w:val="22"/>
                <w:szCs w:val="22"/>
                <w:rPrChange w:id="9430" w:author="AbbVie05no" w:date="2025-05-19T10:32:00Z">
                  <w:rPr>
                    <w:del w:id="9431" w:author="AbbVie02no" w:date="2025-05-15T13:45:00Z"/>
                    <w:rFonts w:eastAsia="Arial Unicode MS"/>
                    <w:sz w:val="22"/>
                    <w:szCs w:val="22"/>
                    <w:lang w:val="en-GB"/>
                  </w:rPr>
                </w:rPrChange>
              </w:rPr>
              <w:pPrChange w:id="9432" w:author="AbbVie02no" w:date="2025-05-15T13:45:00Z">
                <w:pPr>
                  <w:keepNext/>
                  <w:tabs>
                    <w:tab w:val="left" w:pos="0"/>
                  </w:tabs>
                  <w:jc w:val="center"/>
                </w:pPr>
              </w:pPrChange>
            </w:pPr>
            <w:del w:id="9433" w:author="AbbVie02no" w:date="2025-05-15T13:45:00Z">
              <w:r w:rsidRPr="002C5CDB">
                <w:rPr>
                  <w:rFonts w:eastAsia="Arial Unicode MS"/>
                  <w:sz w:val="22"/>
                  <w:szCs w:val="22"/>
                  <w:rPrChange w:id="9434" w:author="AbbVie05no" w:date="2025-05-19T10:32:00Z">
                    <w:rPr>
                      <w:rFonts w:eastAsia="Arial Unicode MS"/>
                      <w:sz w:val="22"/>
                      <w:szCs w:val="22"/>
                      <w:lang w:val="en-GB"/>
                    </w:rPr>
                  </w:rPrChange>
                </w:rPr>
                <w:delText xml:space="preserve">   17</w:delText>
              </w:r>
              <w:r w:rsidR="006A2991" w:rsidRPr="002C5CDB">
                <w:rPr>
                  <w:rFonts w:eastAsia="Arial Unicode MS"/>
                  <w:sz w:val="22"/>
                  <w:szCs w:val="22"/>
                  <w:rPrChange w:id="9435" w:author="AbbVie05no" w:date="2025-05-19T10:32:00Z">
                    <w:rPr>
                      <w:rFonts w:eastAsia="Arial Unicode MS"/>
                      <w:sz w:val="22"/>
                      <w:szCs w:val="22"/>
                      <w:lang w:val="en-GB"/>
                    </w:rPr>
                  </w:rPrChange>
                </w:rPr>
                <w:delText xml:space="preserve"> </w:delText>
              </w:r>
              <w:r w:rsidRPr="002C5CDB">
                <w:rPr>
                  <w:rFonts w:eastAsia="Arial Unicode MS"/>
                  <w:sz w:val="22"/>
                  <w:szCs w:val="22"/>
                  <w:rPrChange w:id="9436" w:author="AbbVie05no" w:date="2025-05-19T10:32:00Z">
                    <w:rPr>
                      <w:rFonts w:eastAsia="Arial Unicode MS"/>
                      <w:sz w:val="22"/>
                      <w:szCs w:val="22"/>
                      <w:lang w:val="en-GB"/>
                    </w:rPr>
                  </w:rPrChange>
                </w:rPr>
                <w:delText>%*</w:delText>
              </w:r>
            </w:del>
          </w:p>
        </w:tc>
      </w:tr>
      <w:tr w:rsidR="004644D4" w14:paraId="390FAB78" w14:textId="05446E8D" w:rsidTr="00E04B2A">
        <w:trPr>
          <w:jc w:val="center"/>
          <w:del w:id="9437" w:author="AbbVie02no" w:date="2025-05-15T13:45:00Z"/>
        </w:trPr>
        <w:tc>
          <w:tcPr>
            <w:tcW w:w="2977" w:type="pct"/>
            <w:tcBorders>
              <w:top w:val="nil"/>
              <w:left w:val="nil"/>
              <w:right w:val="nil"/>
            </w:tcBorders>
          </w:tcPr>
          <w:p w14:paraId="21A99956" w14:textId="6EAABF68" w:rsidR="00F26907" w:rsidRPr="002C5CDB" w:rsidRDefault="00E453CD">
            <w:pPr>
              <w:keepNext/>
              <w:suppressAutoHyphens/>
              <w:rPr>
                <w:del w:id="9438" w:author="AbbVie02no" w:date="2025-05-15T13:45:00Z"/>
                <w:rFonts w:eastAsia="Arial Unicode MS"/>
                <w:sz w:val="22"/>
                <w:szCs w:val="22"/>
                <w:rPrChange w:id="9439" w:author="AbbVie05no" w:date="2025-05-19T10:32:00Z">
                  <w:rPr>
                    <w:del w:id="9440" w:author="AbbVie02no" w:date="2025-05-15T13:45:00Z"/>
                    <w:rFonts w:eastAsia="Arial Unicode MS"/>
                    <w:sz w:val="22"/>
                    <w:szCs w:val="22"/>
                    <w:lang w:val="en-GB"/>
                  </w:rPr>
                </w:rPrChange>
              </w:rPr>
              <w:pPrChange w:id="9441" w:author="AbbVie02no" w:date="2025-05-15T13:45:00Z">
                <w:pPr>
                  <w:keepNext/>
                  <w:tabs>
                    <w:tab w:val="left" w:pos="0"/>
                  </w:tabs>
                </w:pPr>
              </w:pPrChange>
            </w:pPr>
            <w:del w:id="9442" w:author="AbbVie02no" w:date="2025-05-15T13:45:00Z">
              <w:r w:rsidRPr="002C5CDB">
                <w:rPr>
                  <w:rFonts w:eastAsia="Arial Unicode MS"/>
                  <w:sz w:val="22"/>
                  <w:szCs w:val="22"/>
                  <w:rPrChange w:id="9443" w:author="AbbVie05no" w:date="2025-05-19T10:32:00Z">
                    <w:rPr>
                      <w:rFonts w:eastAsia="Arial Unicode MS"/>
                      <w:sz w:val="22"/>
                      <w:szCs w:val="22"/>
                      <w:lang w:val="en-GB"/>
                    </w:rPr>
                  </w:rPrChange>
                </w:rPr>
                <w:delText xml:space="preserve">  Tilheling av slimhinner </w:delText>
              </w:r>
            </w:del>
          </w:p>
        </w:tc>
        <w:tc>
          <w:tcPr>
            <w:tcW w:w="634" w:type="pct"/>
            <w:tcBorders>
              <w:top w:val="nil"/>
              <w:left w:val="nil"/>
              <w:right w:val="nil"/>
            </w:tcBorders>
          </w:tcPr>
          <w:p w14:paraId="026C43A0" w14:textId="3BC2FF80" w:rsidR="00F26907" w:rsidRPr="002C5CDB" w:rsidRDefault="00E453CD">
            <w:pPr>
              <w:keepNext/>
              <w:suppressAutoHyphens/>
              <w:rPr>
                <w:del w:id="9444" w:author="AbbVie02no" w:date="2025-05-15T13:45:00Z"/>
                <w:rFonts w:eastAsia="Arial Unicode MS"/>
                <w:sz w:val="22"/>
                <w:szCs w:val="22"/>
                <w:rPrChange w:id="9445" w:author="AbbVie05no" w:date="2025-05-19T10:32:00Z">
                  <w:rPr>
                    <w:del w:id="9446" w:author="AbbVie02no" w:date="2025-05-15T13:45:00Z"/>
                    <w:rFonts w:eastAsia="Arial Unicode MS"/>
                    <w:sz w:val="22"/>
                    <w:szCs w:val="22"/>
                    <w:lang w:val="en-GB"/>
                  </w:rPr>
                </w:rPrChange>
              </w:rPr>
              <w:pPrChange w:id="9447" w:author="AbbVie02no" w:date="2025-05-15T13:45:00Z">
                <w:pPr>
                  <w:keepNext/>
                  <w:tabs>
                    <w:tab w:val="left" w:pos="0"/>
                  </w:tabs>
                  <w:jc w:val="center"/>
                </w:pPr>
              </w:pPrChange>
            </w:pPr>
            <w:del w:id="9448" w:author="AbbVie02no" w:date="2025-05-15T13:45:00Z">
              <w:r w:rsidRPr="002C5CDB">
                <w:rPr>
                  <w:rFonts w:eastAsia="Arial Unicode MS"/>
                  <w:sz w:val="22"/>
                  <w:szCs w:val="22"/>
                  <w:rPrChange w:id="9449" w:author="AbbVie05no" w:date="2025-05-19T10:32:00Z">
                    <w:rPr>
                      <w:rFonts w:eastAsia="Arial Unicode MS"/>
                      <w:sz w:val="22"/>
                      <w:szCs w:val="22"/>
                      <w:lang w:val="en-GB"/>
                    </w:rPr>
                  </w:rPrChange>
                </w:rPr>
                <w:delText>15</w:delText>
              </w:r>
              <w:r w:rsidR="006A2991" w:rsidRPr="002C5CDB">
                <w:rPr>
                  <w:rFonts w:eastAsia="Arial Unicode MS"/>
                  <w:sz w:val="22"/>
                  <w:szCs w:val="22"/>
                  <w:rPrChange w:id="9450" w:author="AbbVie05no" w:date="2025-05-19T10:32:00Z">
                    <w:rPr>
                      <w:rFonts w:eastAsia="Arial Unicode MS"/>
                      <w:sz w:val="22"/>
                      <w:szCs w:val="22"/>
                      <w:lang w:val="en-GB"/>
                    </w:rPr>
                  </w:rPrChange>
                </w:rPr>
                <w:delText xml:space="preserve"> </w:delText>
              </w:r>
              <w:r w:rsidRPr="002C5CDB">
                <w:rPr>
                  <w:rFonts w:eastAsia="Arial Unicode MS"/>
                  <w:sz w:val="22"/>
                  <w:szCs w:val="22"/>
                  <w:rPrChange w:id="9451" w:author="AbbVie05no" w:date="2025-05-19T10:32:00Z">
                    <w:rPr>
                      <w:rFonts w:eastAsia="Arial Unicode MS"/>
                      <w:sz w:val="22"/>
                      <w:szCs w:val="22"/>
                      <w:lang w:val="en-GB"/>
                    </w:rPr>
                  </w:rPrChange>
                </w:rPr>
                <w:delText>%</w:delText>
              </w:r>
            </w:del>
          </w:p>
        </w:tc>
        <w:tc>
          <w:tcPr>
            <w:tcW w:w="1389" w:type="pct"/>
            <w:tcBorders>
              <w:top w:val="nil"/>
              <w:left w:val="nil"/>
              <w:right w:val="nil"/>
            </w:tcBorders>
          </w:tcPr>
          <w:p w14:paraId="0E6AFA44" w14:textId="09FB359D" w:rsidR="00F26907" w:rsidRPr="002C5CDB" w:rsidRDefault="00E453CD">
            <w:pPr>
              <w:keepNext/>
              <w:suppressAutoHyphens/>
              <w:rPr>
                <w:del w:id="9452" w:author="AbbVie02no" w:date="2025-05-15T13:45:00Z"/>
                <w:rFonts w:eastAsia="Arial Unicode MS"/>
                <w:sz w:val="22"/>
                <w:szCs w:val="22"/>
                <w:rPrChange w:id="9453" w:author="AbbVie05no" w:date="2025-05-19T10:32:00Z">
                  <w:rPr>
                    <w:del w:id="9454" w:author="AbbVie02no" w:date="2025-05-15T13:45:00Z"/>
                    <w:rFonts w:eastAsia="Arial Unicode MS"/>
                    <w:sz w:val="22"/>
                    <w:szCs w:val="22"/>
                    <w:lang w:val="en-GB"/>
                  </w:rPr>
                </w:rPrChange>
              </w:rPr>
              <w:pPrChange w:id="9455" w:author="AbbVie02no" w:date="2025-05-15T13:45:00Z">
                <w:pPr>
                  <w:keepNext/>
                  <w:tabs>
                    <w:tab w:val="left" w:pos="0"/>
                  </w:tabs>
                  <w:jc w:val="center"/>
                </w:pPr>
              </w:pPrChange>
            </w:pPr>
            <w:del w:id="9456" w:author="AbbVie02no" w:date="2025-05-15T13:45:00Z">
              <w:r w:rsidRPr="002C5CDB">
                <w:rPr>
                  <w:rFonts w:eastAsia="Arial Unicode MS"/>
                  <w:sz w:val="22"/>
                  <w:szCs w:val="22"/>
                  <w:rPrChange w:id="9457" w:author="AbbVie05no" w:date="2025-05-19T10:32:00Z">
                    <w:rPr>
                      <w:rFonts w:eastAsia="Arial Unicode MS"/>
                      <w:sz w:val="22"/>
                      <w:szCs w:val="22"/>
                      <w:lang w:val="en-GB"/>
                    </w:rPr>
                  </w:rPrChange>
                </w:rPr>
                <w:delText xml:space="preserve">   25</w:delText>
              </w:r>
              <w:r w:rsidR="006A2991" w:rsidRPr="002C5CDB">
                <w:rPr>
                  <w:rFonts w:eastAsia="Arial Unicode MS"/>
                  <w:sz w:val="22"/>
                  <w:szCs w:val="22"/>
                  <w:rPrChange w:id="9458" w:author="AbbVie05no" w:date="2025-05-19T10:32:00Z">
                    <w:rPr>
                      <w:rFonts w:eastAsia="Arial Unicode MS"/>
                      <w:sz w:val="22"/>
                      <w:szCs w:val="22"/>
                      <w:lang w:val="en-GB"/>
                    </w:rPr>
                  </w:rPrChange>
                </w:rPr>
                <w:delText xml:space="preserve"> </w:delText>
              </w:r>
              <w:r w:rsidRPr="002C5CDB">
                <w:rPr>
                  <w:rFonts w:eastAsia="Arial Unicode MS"/>
                  <w:sz w:val="22"/>
                  <w:szCs w:val="22"/>
                  <w:rPrChange w:id="9459" w:author="AbbVie05no" w:date="2025-05-19T10:32:00Z">
                    <w:rPr>
                      <w:rFonts w:eastAsia="Arial Unicode MS"/>
                      <w:sz w:val="22"/>
                      <w:szCs w:val="22"/>
                      <w:lang w:val="en-GB"/>
                    </w:rPr>
                  </w:rPrChange>
                </w:rPr>
                <w:delText>%*</w:delText>
              </w:r>
            </w:del>
          </w:p>
        </w:tc>
      </w:tr>
      <w:tr w:rsidR="004644D4" w14:paraId="70DC725A" w14:textId="3E446FB2" w:rsidTr="00E04B2A">
        <w:trPr>
          <w:jc w:val="center"/>
          <w:del w:id="9460" w:author="AbbVie02no" w:date="2025-05-15T13:45:00Z"/>
        </w:trPr>
        <w:tc>
          <w:tcPr>
            <w:tcW w:w="2977" w:type="pct"/>
            <w:tcBorders>
              <w:top w:val="nil"/>
              <w:left w:val="nil"/>
              <w:right w:val="nil"/>
            </w:tcBorders>
          </w:tcPr>
          <w:p w14:paraId="2931DDE2" w14:textId="7A1D4ECF" w:rsidR="00F26907" w:rsidRPr="009C5EFD" w:rsidRDefault="00E453CD">
            <w:pPr>
              <w:keepNext/>
              <w:suppressAutoHyphens/>
              <w:rPr>
                <w:del w:id="9461" w:author="AbbVie02no" w:date="2025-05-15T13:45:00Z"/>
                <w:rFonts w:eastAsia="Arial Unicode MS"/>
                <w:sz w:val="22"/>
                <w:szCs w:val="22"/>
              </w:rPr>
              <w:pPrChange w:id="9462" w:author="AbbVie02no" w:date="2025-05-15T13:45:00Z">
                <w:pPr>
                  <w:keepNext/>
                  <w:tabs>
                    <w:tab w:val="left" w:pos="0"/>
                  </w:tabs>
                </w:pPr>
              </w:pPrChange>
            </w:pPr>
            <w:del w:id="9463" w:author="AbbVie02no" w:date="2025-05-15T13:45:00Z">
              <w:r w:rsidRPr="009C5EFD">
                <w:rPr>
                  <w:rFonts w:eastAsia="Arial Unicode MS"/>
                  <w:sz w:val="22"/>
                  <w:szCs w:val="22"/>
                </w:rPr>
                <w:delText xml:space="preserve">  Steroid-fri remisjon ≥ 90 dager</w:delText>
              </w:r>
              <w:r w:rsidRPr="009C5EFD">
                <w:rPr>
                  <w:sz w:val="22"/>
                  <w:szCs w:val="22"/>
                  <w:vertAlign w:val="superscript"/>
                </w:rPr>
                <w:delText xml:space="preserve"> a</w:delText>
              </w:r>
              <w:r w:rsidRPr="009C5EFD">
                <w:rPr>
                  <w:rFonts w:eastAsia="Arial Unicode MS"/>
                  <w:sz w:val="22"/>
                  <w:szCs w:val="22"/>
                </w:rPr>
                <w:delText xml:space="preserve"> </w:delText>
              </w:r>
            </w:del>
          </w:p>
        </w:tc>
        <w:tc>
          <w:tcPr>
            <w:tcW w:w="634" w:type="pct"/>
            <w:tcBorders>
              <w:top w:val="nil"/>
              <w:left w:val="nil"/>
              <w:right w:val="nil"/>
            </w:tcBorders>
          </w:tcPr>
          <w:p w14:paraId="7919DEEC" w14:textId="4B5D18AD" w:rsidR="00F26907" w:rsidRPr="002C5CDB" w:rsidRDefault="00E453CD">
            <w:pPr>
              <w:keepNext/>
              <w:suppressAutoHyphens/>
              <w:rPr>
                <w:del w:id="9464" w:author="AbbVie02no" w:date="2025-05-15T13:45:00Z"/>
                <w:rFonts w:eastAsia="Arial Unicode MS"/>
                <w:sz w:val="22"/>
                <w:szCs w:val="22"/>
                <w:rPrChange w:id="9465" w:author="AbbVie05no" w:date="2025-05-19T10:32:00Z">
                  <w:rPr>
                    <w:del w:id="9466" w:author="AbbVie02no" w:date="2025-05-15T13:45:00Z"/>
                    <w:rFonts w:eastAsia="Arial Unicode MS"/>
                    <w:sz w:val="22"/>
                    <w:szCs w:val="22"/>
                    <w:lang w:val="en-GB"/>
                  </w:rPr>
                </w:rPrChange>
              </w:rPr>
              <w:pPrChange w:id="9467" w:author="AbbVie02no" w:date="2025-05-15T13:45:00Z">
                <w:pPr>
                  <w:keepNext/>
                  <w:tabs>
                    <w:tab w:val="left" w:pos="0"/>
                  </w:tabs>
                  <w:jc w:val="center"/>
                </w:pPr>
              </w:pPrChange>
            </w:pPr>
            <w:del w:id="9468" w:author="AbbVie02no" w:date="2025-05-15T13:45:00Z">
              <w:r w:rsidRPr="002C5CDB">
                <w:rPr>
                  <w:rFonts w:eastAsia="Arial Unicode MS"/>
                  <w:sz w:val="22"/>
                  <w:szCs w:val="22"/>
                  <w:rPrChange w:id="9469" w:author="AbbVie05no" w:date="2025-05-19T10:32:00Z">
                    <w:rPr>
                      <w:rFonts w:eastAsia="Arial Unicode MS"/>
                      <w:sz w:val="22"/>
                      <w:szCs w:val="22"/>
                      <w:lang w:val="en-GB"/>
                    </w:rPr>
                  </w:rPrChange>
                </w:rPr>
                <w:delText>6</w:delText>
              </w:r>
              <w:r w:rsidR="006A2991" w:rsidRPr="002C5CDB">
                <w:rPr>
                  <w:rFonts w:eastAsia="Arial Unicode MS"/>
                  <w:sz w:val="22"/>
                  <w:szCs w:val="22"/>
                  <w:rPrChange w:id="9470" w:author="AbbVie05no" w:date="2025-05-19T10:32:00Z">
                    <w:rPr>
                      <w:rFonts w:eastAsia="Arial Unicode MS"/>
                      <w:sz w:val="22"/>
                      <w:szCs w:val="22"/>
                      <w:lang w:val="en-GB"/>
                    </w:rPr>
                  </w:rPrChange>
                </w:rPr>
                <w:delText xml:space="preserve"> </w:delText>
              </w:r>
              <w:r w:rsidRPr="002C5CDB">
                <w:rPr>
                  <w:rFonts w:eastAsia="Arial Unicode MS"/>
                  <w:sz w:val="22"/>
                  <w:szCs w:val="22"/>
                  <w:rPrChange w:id="9471" w:author="AbbVie05no" w:date="2025-05-19T10:32:00Z">
                    <w:rPr>
                      <w:rFonts w:eastAsia="Arial Unicode MS"/>
                      <w:sz w:val="22"/>
                      <w:szCs w:val="22"/>
                      <w:lang w:val="en-GB"/>
                    </w:rPr>
                  </w:rPrChange>
                </w:rPr>
                <w:delText xml:space="preserve">% </w:delText>
              </w:r>
            </w:del>
          </w:p>
          <w:p w14:paraId="7089E9EF" w14:textId="0AAFDDBF" w:rsidR="00F26907" w:rsidRPr="002C5CDB" w:rsidRDefault="00E453CD">
            <w:pPr>
              <w:keepNext/>
              <w:suppressAutoHyphens/>
              <w:rPr>
                <w:del w:id="9472" w:author="AbbVie02no" w:date="2025-05-15T13:45:00Z"/>
                <w:rFonts w:eastAsia="Arial Unicode MS"/>
                <w:sz w:val="22"/>
                <w:szCs w:val="22"/>
                <w:rPrChange w:id="9473" w:author="AbbVie05no" w:date="2025-05-19T10:32:00Z">
                  <w:rPr>
                    <w:del w:id="9474" w:author="AbbVie02no" w:date="2025-05-15T13:45:00Z"/>
                    <w:rFonts w:eastAsia="Arial Unicode MS"/>
                    <w:sz w:val="22"/>
                    <w:szCs w:val="22"/>
                    <w:lang w:val="en-GB"/>
                  </w:rPr>
                </w:rPrChange>
              </w:rPr>
              <w:pPrChange w:id="9475" w:author="AbbVie02no" w:date="2025-05-15T13:45:00Z">
                <w:pPr>
                  <w:keepNext/>
                  <w:tabs>
                    <w:tab w:val="left" w:pos="0"/>
                  </w:tabs>
                  <w:jc w:val="center"/>
                </w:pPr>
              </w:pPrChange>
            </w:pPr>
            <w:del w:id="9476" w:author="AbbVie02no" w:date="2025-05-15T13:45:00Z">
              <w:r w:rsidRPr="002C5CDB">
                <w:rPr>
                  <w:rFonts w:eastAsia="Arial Unicode MS"/>
                  <w:sz w:val="22"/>
                  <w:szCs w:val="22"/>
                  <w:rPrChange w:id="9477" w:author="AbbVie05no" w:date="2025-05-19T10:32:00Z">
                    <w:rPr>
                      <w:rFonts w:eastAsia="Arial Unicode MS"/>
                      <w:sz w:val="22"/>
                      <w:szCs w:val="22"/>
                      <w:lang w:val="en-GB"/>
                    </w:rPr>
                  </w:rPrChange>
                </w:rPr>
                <w:delText>(N=140)</w:delText>
              </w:r>
            </w:del>
          </w:p>
        </w:tc>
        <w:tc>
          <w:tcPr>
            <w:tcW w:w="1389" w:type="pct"/>
            <w:tcBorders>
              <w:top w:val="nil"/>
              <w:left w:val="nil"/>
              <w:right w:val="nil"/>
            </w:tcBorders>
          </w:tcPr>
          <w:p w14:paraId="75E06CBC" w14:textId="3D46C33B" w:rsidR="00F26907" w:rsidRPr="002C5CDB" w:rsidRDefault="00E453CD">
            <w:pPr>
              <w:keepNext/>
              <w:suppressAutoHyphens/>
              <w:rPr>
                <w:del w:id="9478" w:author="AbbVie02no" w:date="2025-05-15T13:45:00Z"/>
                <w:rFonts w:eastAsia="Arial Unicode MS"/>
                <w:sz w:val="22"/>
                <w:szCs w:val="22"/>
                <w:rPrChange w:id="9479" w:author="AbbVie05no" w:date="2025-05-19T10:32:00Z">
                  <w:rPr>
                    <w:del w:id="9480" w:author="AbbVie02no" w:date="2025-05-15T13:45:00Z"/>
                    <w:rFonts w:eastAsia="Arial Unicode MS"/>
                    <w:sz w:val="22"/>
                    <w:szCs w:val="22"/>
                    <w:lang w:val="en-GB"/>
                  </w:rPr>
                </w:rPrChange>
              </w:rPr>
              <w:pPrChange w:id="9481" w:author="AbbVie02no" w:date="2025-05-15T13:45:00Z">
                <w:pPr>
                  <w:keepNext/>
                  <w:tabs>
                    <w:tab w:val="left" w:pos="0"/>
                  </w:tabs>
                  <w:jc w:val="center"/>
                </w:pPr>
              </w:pPrChange>
            </w:pPr>
            <w:del w:id="9482" w:author="AbbVie02no" w:date="2025-05-15T13:45:00Z">
              <w:r w:rsidRPr="002C5CDB">
                <w:rPr>
                  <w:rFonts w:eastAsia="Arial Unicode MS"/>
                  <w:sz w:val="22"/>
                  <w:szCs w:val="22"/>
                  <w:rPrChange w:id="9483" w:author="AbbVie05no" w:date="2025-05-19T10:32:00Z">
                    <w:rPr>
                      <w:rFonts w:eastAsia="Arial Unicode MS"/>
                      <w:sz w:val="22"/>
                      <w:szCs w:val="22"/>
                      <w:lang w:val="en-GB"/>
                    </w:rPr>
                  </w:rPrChange>
                </w:rPr>
                <w:delText xml:space="preserve">     13</w:delText>
              </w:r>
              <w:r w:rsidR="006A2991" w:rsidRPr="002C5CDB">
                <w:rPr>
                  <w:rFonts w:eastAsia="Arial Unicode MS"/>
                  <w:sz w:val="22"/>
                  <w:szCs w:val="22"/>
                  <w:rPrChange w:id="9484" w:author="AbbVie05no" w:date="2025-05-19T10:32:00Z">
                    <w:rPr>
                      <w:rFonts w:eastAsia="Arial Unicode MS"/>
                      <w:sz w:val="22"/>
                      <w:szCs w:val="22"/>
                      <w:lang w:val="en-GB"/>
                    </w:rPr>
                  </w:rPrChange>
                </w:rPr>
                <w:delText xml:space="preserve"> </w:delText>
              </w:r>
              <w:r w:rsidRPr="002C5CDB">
                <w:rPr>
                  <w:rFonts w:eastAsia="Arial Unicode MS"/>
                  <w:sz w:val="22"/>
                  <w:szCs w:val="22"/>
                  <w:rPrChange w:id="9485" w:author="AbbVie05no" w:date="2025-05-19T10:32:00Z">
                    <w:rPr>
                      <w:rFonts w:eastAsia="Arial Unicode MS"/>
                      <w:sz w:val="22"/>
                      <w:szCs w:val="22"/>
                      <w:lang w:val="en-GB"/>
                    </w:rPr>
                  </w:rPrChange>
                </w:rPr>
                <w:delText>% *</w:delText>
              </w:r>
            </w:del>
          </w:p>
          <w:p w14:paraId="3DB84C54" w14:textId="0179FA78" w:rsidR="00F26907" w:rsidRPr="002C5CDB" w:rsidRDefault="00E453CD">
            <w:pPr>
              <w:keepNext/>
              <w:suppressAutoHyphens/>
              <w:rPr>
                <w:del w:id="9486" w:author="AbbVie02no" w:date="2025-05-15T13:45:00Z"/>
                <w:rFonts w:eastAsia="Arial Unicode MS"/>
                <w:sz w:val="22"/>
                <w:szCs w:val="22"/>
                <w:rPrChange w:id="9487" w:author="AbbVie05no" w:date="2025-05-19T10:32:00Z">
                  <w:rPr>
                    <w:del w:id="9488" w:author="AbbVie02no" w:date="2025-05-15T13:45:00Z"/>
                    <w:rFonts w:eastAsia="Arial Unicode MS"/>
                    <w:sz w:val="22"/>
                    <w:szCs w:val="22"/>
                    <w:lang w:val="en-GB"/>
                  </w:rPr>
                </w:rPrChange>
              </w:rPr>
              <w:pPrChange w:id="9489" w:author="AbbVie02no" w:date="2025-05-15T13:45:00Z">
                <w:pPr>
                  <w:keepNext/>
                  <w:tabs>
                    <w:tab w:val="left" w:pos="0"/>
                  </w:tabs>
                  <w:jc w:val="center"/>
                </w:pPr>
              </w:pPrChange>
            </w:pPr>
            <w:del w:id="9490" w:author="AbbVie02no" w:date="2025-05-15T13:45:00Z">
              <w:r w:rsidRPr="002C5CDB">
                <w:rPr>
                  <w:rFonts w:eastAsia="Arial Unicode MS"/>
                  <w:sz w:val="22"/>
                  <w:szCs w:val="22"/>
                  <w:rPrChange w:id="9491" w:author="AbbVie05no" w:date="2025-05-19T10:32:00Z">
                    <w:rPr>
                      <w:rFonts w:eastAsia="Arial Unicode MS"/>
                      <w:sz w:val="22"/>
                      <w:szCs w:val="22"/>
                      <w:lang w:val="en-GB"/>
                    </w:rPr>
                  </w:rPrChange>
                </w:rPr>
                <w:delText>(N=150)</w:delText>
              </w:r>
            </w:del>
          </w:p>
          <w:p w14:paraId="6254F8DF" w14:textId="3F8A78AE" w:rsidR="00F26907" w:rsidRPr="002C5CDB" w:rsidRDefault="00F26907">
            <w:pPr>
              <w:keepNext/>
              <w:suppressAutoHyphens/>
              <w:rPr>
                <w:del w:id="9492" w:author="AbbVie02no" w:date="2025-05-15T13:45:00Z"/>
                <w:rFonts w:eastAsia="Arial Unicode MS"/>
                <w:sz w:val="22"/>
                <w:szCs w:val="22"/>
                <w:rPrChange w:id="9493" w:author="AbbVie05no" w:date="2025-05-19T10:32:00Z">
                  <w:rPr>
                    <w:del w:id="9494" w:author="AbbVie02no" w:date="2025-05-15T13:45:00Z"/>
                    <w:rFonts w:eastAsia="Arial Unicode MS"/>
                    <w:sz w:val="22"/>
                    <w:szCs w:val="22"/>
                    <w:lang w:val="en-GB"/>
                  </w:rPr>
                </w:rPrChange>
              </w:rPr>
              <w:pPrChange w:id="9495" w:author="AbbVie02no" w:date="2025-05-15T13:45:00Z">
                <w:pPr>
                  <w:keepNext/>
                  <w:tabs>
                    <w:tab w:val="left" w:pos="0"/>
                  </w:tabs>
                </w:pPr>
              </w:pPrChange>
            </w:pPr>
          </w:p>
        </w:tc>
      </w:tr>
      <w:tr w:rsidR="004644D4" w14:paraId="426FAF78" w14:textId="6C9EE928" w:rsidTr="00E04B2A">
        <w:trPr>
          <w:jc w:val="center"/>
          <w:del w:id="9496" w:author="AbbVie02no" w:date="2025-05-15T13:45:00Z"/>
        </w:trPr>
        <w:tc>
          <w:tcPr>
            <w:tcW w:w="2977" w:type="pct"/>
            <w:tcBorders>
              <w:top w:val="nil"/>
              <w:left w:val="nil"/>
              <w:right w:val="nil"/>
            </w:tcBorders>
          </w:tcPr>
          <w:p w14:paraId="541BE3C0" w14:textId="12E28675" w:rsidR="00F26907" w:rsidRPr="002C5CDB" w:rsidRDefault="00E453CD">
            <w:pPr>
              <w:keepNext/>
              <w:suppressAutoHyphens/>
              <w:rPr>
                <w:del w:id="9497" w:author="AbbVie02no" w:date="2025-05-15T13:45:00Z"/>
                <w:rFonts w:eastAsia="Arial Unicode MS"/>
                <w:sz w:val="22"/>
                <w:szCs w:val="22"/>
                <w:rPrChange w:id="9498" w:author="AbbVie05no" w:date="2025-05-19T10:32:00Z">
                  <w:rPr>
                    <w:del w:id="9499" w:author="AbbVie02no" w:date="2025-05-15T13:45:00Z"/>
                    <w:rFonts w:eastAsia="Arial Unicode MS"/>
                    <w:sz w:val="22"/>
                    <w:szCs w:val="22"/>
                    <w:lang w:val="en-GB"/>
                  </w:rPr>
                </w:rPrChange>
              </w:rPr>
              <w:pPrChange w:id="9500" w:author="AbbVie02no" w:date="2025-05-15T13:45:00Z">
                <w:pPr>
                  <w:keepNext/>
                  <w:tabs>
                    <w:tab w:val="left" w:pos="0"/>
                  </w:tabs>
                </w:pPr>
              </w:pPrChange>
            </w:pPr>
            <w:del w:id="9501" w:author="AbbVie02no" w:date="2025-05-15T13:45:00Z">
              <w:r w:rsidRPr="002C5CDB">
                <w:rPr>
                  <w:rFonts w:eastAsia="Arial Unicode MS"/>
                  <w:sz w:val="22"/>
                  <w:szCs w:val="22"/>
                  <w:rPrChange w:id="9502" w:author="AbbVie05no" w:date="2025-05-19T10:32:00Z">
                    <w:rPr>
                      <w:rFonts w:eastAsia="Arial Unicode MS"/>
                      <w:sz w:val="22"/>
                      <w:szCs w:val="22"/>
                      <w:lang w:val="en-GB"/>
                    </w:rPr>
                  </w:rPrChange>
                </w:rPr>
                <w:delText>Uke 8 og 52</w:delText>
              </w:r>
            </w:del>
          </w:p>
        </w:tc>
        <w:tc>
          <w:tcPr>
            <w:tcW w:w="634" w:type="pct"/>
            <w:tcBorders>
              <w:top w:val="nil"/>
              <w:left w:val="nil"/>
              <w:right w:val="nil"/>
            </w:tcBorders>
          </w:tcPr>
          <w:p w14:paraId="4CFD1CBC" w14:textId="174CFC57" w:rsidR="00F26907" w:rsidRPr="002C5CDB" w:rsidRDefault="00F26907">
            <w:pPr>
              <w:keepNext/>
              <w:suppressAutoHyphens/>
              <w:rPr>
                <w:del w:id="9503" w:author="AbbVie02no" w:date="2025-05-15T13:45:00Z"/>
                <w:rFonts w:eastAsia="Arial Unicode MS"/>
                <w:sz w:val="22"/>
                <w:szCs w:val="22"/>
                <w:rPrChange w:id="9504" w:author="AbbVie05no" w:date="2025-05-19T10:32:00Z">
                  <w:rPr>
                    <w:del w:id="9505" w:author="AbbVie02no" w:date="2025-05-15T13:45:00Z"/>
                    <w:rFonts w:eastAsia="Arial Unicode MS"/>
                    <w:sz w:val="22"/>
                    <w:szCs w:val="22"/>
                    <w:lang w:val="en-GB"/>
                  </w:rPr>
                </w:rPrChange>
              </w:rPr>
              <w:pPrChange w:id="9506" w:author="AbbVie02no" w:date="2025-05-15T13:45:00Z">
                <w:pPr>
                  <w:keepNext/>
                  <w:tabs>
                    <w:tab w:val="left" w:pos="0"/>
                  </w:tabs>
                  <w:jc w:val="center"/>
                </w:pPr>
              </w:pPrChange>
            </w:pPr>
          </w:p>
        </w:tc>
        <w:tc>
          <w:tcPr>
            <w:tcW w:w="1389" w:type="pct"/>
            <w:tcBorders>
              <w:top w:val="nil"/>
              <w:left w:val="nil"/>
              <w:right w:val="nil"/>
            </w:tcBorders>
          </w:tcPr>
          <w:p w14:paraId="254425ED" w14:textId="7F79542B" w:rsidR="00F26907" w:rsidRPr="002C5CDB" w:rsidRDefault="00F26907">
            <w:pPr>
              <w:keepNext/>
              <w:suppressAutoHyphens/>
              <w:rPr>
                <w:del w:id="9507" w:author="AbbVie02no" w:date="2025-05-15T13:45:00Z"/>
                <w:rFonts w:eastAsia="Arial Unicode MS"/>
                <w:sz w:val="22"/>
                <w:szCs w:val="22"/>
                <w:rPrChange w:id="9508" w:author="AbbVie05no" w:date="2025-05-19T10:32:00Z">
                  <w:rPr>
                    <w:del w:id="9509" w:author="AbbVie02no" w:date="2025-05-15T13:45:00Z"/>
                    <w:rFonts w:eastAsia="Arial Unicode MS"/>
                    <w:sz w:val="22"/>
                    <w:szCs w:val="22"/>
                    <w:lang w:val="en-GB"/>
                  </w:rPr>
                </w:rPrChange>
              </w:rPr>
              <w:pPrChange w:id="9510" w:author="AbbVie02no" w:date="2025-05-15T13:45:00Z">
                <w:pPr>
                  <w:keepNext/>
                  <w:tabs>
                    <w:tab w:val="left" w:pos="0"/>
                  </w:tabs>
                  <w:jc w:val="center"/>
                </w:pPr>
              </w:pPrChange>
            </w:pPr>
          </w:p>
        </w:tc>
      </w:tr>
      <w:tr w:rsidR="004644D4" w14:paraId="4FFD79A8" w14:textId="2D4349C2" w:rsidTr="00E04B2A">
        <w:trPr>
          <w:jc w:val="center"/>
          <w:del w:id="9511" w:author="AbbVie02no" w:date="2025-05-15T13:45:00Z"/>
        </w:trPr>
        <w:tc>
          <w:tcPr>
            <w:tcW w:w="2977" w:type="pct"/>
            <w:tcBorders>
              <w:top w:val="nil"/>
              <w:left w:val="nil"/>
              <w:right w:val="nil"/>
            </w:tcBorders>
          </w:tcPr>
          <w:p w14:paraId="51AB552D" w14:textId="556CA21B" w:rsidR="00F26907" w:rsidRPr="002C5CDB" w:rsidRDefault="00E453CD">
            <w:pPr>
              <w:keepNext/>
              <w:suppressAutoHyphens/>
              <w:rPr>
                <w:del w:id="9512" w:author="AbbVie02no" w:date="2025-05-15T13:45:00Z"/>
                <w:rFonts w:eastAsia="Arial Unicode MS"/>
                <w:sz w:val="22"/>
                <w:szCs w:val="22"/>
                <w:rPrChange w:id="9513" w:author="AbbVie05no" w:date="2025-05-19T10:32:00Z">
                  <w:rPr>
                    <w:del w:id="9514" w:author="AbbVie02no" w:date="2025-05-15T13:45:00Z"/>
                    <w:rFonts w:eastAsia="Arial Unicode MS"/>
                    <w:sz w:val="22"/>
                    <w:szCs w:val="22"/>
                    <w:lang w:val="en-GB"/>
                  </w:rPr>
                </w:rPrChange>
              </w:rPr>
              <w:pPrChange w:id="9515" w:author="AbbVie02no" w:date="2025-05-15T13:45:00Z">
                <w:pPr>
                  <w:keepNext/>
                  <w:tabs>
                    <w:tab w:val="left" w:pos="0"/>
                  </w:tabs>
                </w:pPr>
              </w:pPrChange>
            </w:pPr>
            <w:del w:id="9516" w:author="AbbVie02no" w:date="2025-05-15T13:45:00Z">
              <w:r w:rsidRPr="002C5CDB">
                <w:rPr>
                  <w:rFonts w:eastAsia="Arial Unicode MS"/>
                  <w:sz w:val="22"/>
                  <w:szCs w:val="22"/>
                  <w:rPrChange w:id="9517" w:author="AbbVie05no" w:date="2025-05-19T10:32:00Z">
                    <w:rPr>
                      <w:rFonts w:eastAsia="Arial Unicode MS"/>
                      <w:sz w:val="22"/>
                      <w:szCs w:val="22"/>
                      <w:lang w:val="en-GB"/>
                    </w:rPr>
                  </w:rPrChange>
                </w:rPr>
                <w:delText xml:space="preserve">  Vedvarende r</w:delText>
              </w:r>
              <w:r w:rsidR="006A2991" w:rsidRPr="002C5CDB">
                <w:rPr>
                  <w:rFonts w:eastAsia="Arial Unicode MS"/>
                  <w:sz w:val="22"/>
                  <w:szCs w:val="22"/>
                  <w:rPrChange w:id="9518" w:author="AbbVie05no" w:date="2025-05-19T10:32:00Z">
                    <w:rPr>
                      <w:rFonts w:eastAsia="Arial Unicode MS"/>
                      <w:sz w:val="22"/>
                      <w:szCs w:val="22"/>
                      <w:lang w:val="en-GB"/>
                    </w:rPr>
                  </w:rPrChange>
                </w:rPr>
                <w:delText>espons</w:delText>
              </w:r>
            </w:del>
          </w:p>
        </w:tc>
        <w:tc>
          <w:tcPr>
            <w:tcW w:w="634" w:type="pct"/>
            <w:tcBorders>
              <w:top w:val="nil"/>
              <w:left w:val="nil"/>
              <w:right w:val="nil"/>
            </w:tcBorders>
          </w:tcPr>
          <w:p w14:paraId="34EF7D3C" w14:textId="368D0FED" w:rsidR="00F26907" w:rsidRPr="002C5CDB" w:rsidRDefault="00E453CD">
            <w:pPr>
              <w:keepNext/>
              <w:suppressAutoHyphens/>
              <w:rPr>
                <w:del w:id="9519" w:author="AbbVie02no" w:date="2025-05-15T13:45:00Z"/>
                <w:rFonts w:eastAsia="Arial Unicode MS"/>
                <w:sz w:val="22"/>
                <w:szCs w:val="22"/>
                <w:rPrChange w:id="9520" w:author="AbbVie05no" w:date="2025-05-19T10:32:00Z">
                  <w:rPr>
                    <w:del w:id="9521" w:author="AbbVie02no" w:date="2025-05-15T13:45:00Z"/>
                    <w:rFonts w:eastAsia="Arial Unicode MS"/>
                    <w:sz w:val="22"/>
                    <w:szCs w:val="22"/>
                    <w:lang w:val="en-GB"/>
                  </w:rPr>
                </w:rPrChange>
              </w:rPr>
              <w:pPrChange w:id="9522" w:author="AbbVie02no" w:date="2025-05-15T13:45:00Z">
                <w:pPr>
                  <w:keepNext/>
                  <w:tabs>
                    <w:tab w:val="left" w:pos="0"/>
                  </w:tabs>
                  <w:jc w:val="center"/>
                </w:pPr>
              </w:pPrChange>
            </w:pPr>
            <w:del w:id="9523" w:author="AbbVie02no" w:date="2025-05-15T13:45:00Z">
              <w:r w:rsidRPr="002C5CDB">
                <w:rPr>
                  <w:rFonts w:eastAsia="Arial Unicode MS"/>
                  <w:sz w:val="22"/>
                  <w:szCs w:val="22"/>
                  <w:rPrChange w:id="9524" w:author="AbbVie05no" w:date="2025-05-19T10:32:00Z">
                    <w:rPr>
                      <w:rFonts w:eastAsia="Arial Unicode MS"/>
                      <w:sz w:val="22"/>
                      <w:szCs w:val="22"/>
                      <w:lang w:val="en-GB"/>
                    </w:rPr>
                  </w:rPrChange>
                </w:rPr>
                <w:delText>12</w:delText>
              </w:r>
              <w:r w:rsidR="006A2991" w:rsidRPr="002C5CDB">
                <w:rPr>
                  <w:rFonts w:eastAsia="Arial Unicode MS"/>
                  <w:sz w:val="22"/>
                  <w:szCs w:val="22"/>
                  <w:rPrChange w:id="9525" w:author="AbbVie05no" w:date="2025-05-19T10:32:00Z">
                    <w:rPr>
                      <w:rFonts w:eastAsia="Arial Unicode MS"/>
                      <w:sz w:val="22"/>
                      <w:szCs w:val="22"/>
                      <w:lang w:val="en-GB"/>
                    </w:rPr>
                  </w:rPrChange>
                </w:rPr>
                <w:delText xml:space="preserve"> </w:delText>
              </w:r>
              <w:r w:rsidRPr="002C5CDB">
                <w:rPr>
                  <w:rFonts w:eastAsia="Arial Unicode MS"/>
                  <w:sz w:val="22"/>
                  <w:szCs w:val="22"/>
                  <w:rPrChange w:id="9526" w:author="AbbVie05no" w:date="2025-05-19T10:32:00Z">
                    <w:rPr>
                      <w:rFonts w:eastAsia="Arial Unicode MS"/>
                      <w:sz w:val="22"/>
                      <w:szCs w:val="22"/>
                      <w:lang w:val="en-GB"/>
                    </w:rPr>
                  </w:rPrChange>
                </w:rPr>
                <w:delText>%</w:delText>
              </w:r>
            </w:del>
          </w:p>
        </w:tc>
        <w:tc>
          <w:tcPr>
            <w:tcW w:w="1389" w:type="pct"/>
            <w:tcBorders>
              <w:top w:val="nil"/>
              <w:left w:val="nil"/>
              <w:right w:val="nil"/>
            </w:tcBorders>
          </w:tcPr>
          <w:p w14:paraId="62A43120" w14:textId="320963B8" w:rsidR="00F26907" w:rsidRPr="002C5CDB" w:rsidRDefault="00E453CD">
            <w:pPr>
              <w:keepNext/>
              <w:suppressAutoHyphens/>
              <w:rPr>
                <w:del w:id="9527" w:author="AbbVie02no" w:date="2025-05-15T13:45:00Z"/>
                <w:rFonts w:eastAsia="Arial Unicode MS"/>
                <w:sz w:val="22"/>
                <w:szCs w:val="22"/>
                <w:rPrChange w:id="9528" w:author="AbbVie05no" w:date="2025-05-19T10:32:00Z">
                  <w:rPr>
                    <w:del w:id="9529" w:author="AbbVie02no" w:date="2025-05-15T13:45:00Z"/>
                    <w:rFonts w:eastAsia="Arial Unicode MS"/>
                    <w:sz w:val="22"/>
                    <w:szCs w:val="22"/>
                    <w:lang w:val="en-GB"/>
                  </w:rPr>
                </w:rPrChange>
              </w:rPr>
              <w:pPrChange w:id="9530" w:author="AbbVie02no" w:date="2025-05-15T13:45:00Z">
                <w:pPr>
                  <w:keepNext/>
                  <w:tabs>
                    <w:tab w:val="left" w:pos="0"/>
                  </w:tabs>
                  <w:jc w:val="center"/>
                </w:pPr>
              </w:pPrChange>
            </w:pPr>
            <w:del w:id="9531" w:author="AbbVie02no" w:date="2025-05-15T13:45:00Z">
              <w:r w:rsidRPr="002C5CDB">
                <w:rPr>
                  <w:rFonts w:eastAsia="Arial Unicode MS"/>
                  <w:sz w:val="22"/>
                  <w:szCs w:val="22"/>
                  <w:rPrChange w:id="9532" w:author="AbbVie05no" w:date="2025-05-19T10:32:00Z">
                    <w:rPr>
                      <w:rFonts w:eastAsia="Arial Unicode MS"/>
                      <w:sz w:val="22"/>
                      <w:szCs w:val="22"/>
                      <w:lang w:val="en-GB"/>
                    </w:rPr>
                  </w:rPrChange>
                </w:rPr>
                <w:delText xml:space="preserve">   24</w:delText>
              </w:r>
              <w:r w:rsidR="006A2991" w:rsidRPr="002C5CDB">
                <w:rPr>
                  <w:rFonts w:eastAsia="Arial Unicode MS"/>
                  <w:sz w:val="22"/>
                  <w:szCs w:val="22"/>
                  <w:rPrChange w:id="9533" w:author="AbbVie05no" w:date="2025-05-19T10:32:00Z">
                    <w:rPr>
                      <w:rFonts w:eastAsia="Arial Unicode MS"/>
                      <w:sz w:val="22"/>
                      <w:szCs w:val="22"/>
                      <w:lang w:val="en-GB"/>
                    </w:rPr>
                  </w:rPrChange>
                </w:rPr>
                <w:delText xml:space="preserve"> </w:delText>
              </w:r>
              <w:r w:rsidRPr="002C5CDB">
                <w:rPr>
                  <w:rFonts w:eastAsia="Arial Unicode MS"/>
                  <w:sz w:val="22"/>
                  <w:szCs w:val="22"/>
                  <w:rPrChange w:id="9534" w:author="AbbVie05no" w:date="2025-05-19T10:32:00Z">
                    <w:rPr>
                      <w:rFonts w:eastAsia="Arial Unicode MS"/>
                      <w:sz w:val="22"/>
                      <w:szCs w:val="22"/>
                      <w:lang w:val="en-GB"/>
                    </w:rPr>
                  </w:rPrChange>
                </w:rPr>
                <w:delText>%**</w:delText>
              </w:r>
            </w:del>
          </w:p>
        </w:tc>
      </w:tr>
      <w:tr w:rsidR="004644D4" w14:paraId="15FD6647" w14:textId="5A9AE0DE" w:rsidTr="00E04B2A">
        <w:trPr>
          <w:jc w:val="center"/>
          <w:del w:id="9535" w:author="AbbVie02no" w:date="2025-05-15T13:45:00Z"/>
        </w:trPr>
        <w:tc>
          <w:tcPr>
            <w:tcW w:w="2977" w:type="pct"/>
            <w:tcBorders>
              <w:top w:val="nil"/>
              <w:left w:val="nil"/>
              <w:right w:val="nil"/>
            </w:tcBorders>
          </w:tcPr>
          <w:p w14:paraId="4A31047D" w14:textId="5FBBE61B" w:rsidR="00F26907" w:rsidRPr="002C5CDB" w:rsidRDefault="00E453CD">
            <w:pPr>
              <w:keepNext/>
              <w:suppressAutoHyphens/>
              <w:rPr>
                <w:del w:id="9536" w:author="AbbVie02no" w:date="2025-05-15T13:45:00Z"/>
                <w:rFonts w:eastAsia="Arial Unicode MS"/>
                <w:sz w:val="22"/>
                <w:szCs w:val="22"/>
                <w:rPrChange w:id="9537" w:author="AbbVie05no" w:date="2025-05-19T10:32:00Z">
                  <w:rPr>
                    <w:del w:id="9538" w:author="AbbVie02no" w:date="2025-05-15T13:45:00Z"/>
                    <w:rFonts w:eastAsia="Arial Unicode MS"/>
                    <w:sz w:val="22"/>
                    <w:szCs w:val="22"/>
                    <w:lang w:val="en-GB"/>
                  </w:rPr>
                </w:rPrChange>
              </w:rPr>
              <w:pPrChange w:id="9539" w:author="AbbVie02no" w:date="2025-05-15T13:45:00Z">
                <w:pPr>
                  <w:keepNext/>
                  <w:tabs>
                    <w:tab w:val="left" w:pos="0"/>
                  </w:tabs>
                </w:pPr>
              </w:pPrChange>
            </w:pPr>
            <w:del w:id="9540" w:author="AbbVie02no" w:date="2025-05-15T13:45:00Z">
              <w:r w:rsidRPr="002C5CDB">
                <w:rPr>
                  <w:rFonts w:eastAsia="Arial Unicode MS"/>
                  <w:sz w:val="22"/>
                  <w:szCs w:val="22"/>
                  <w:rPrChange w:id="9541" w:author="AbbVie05no" w:date="2025-05-19T10:32:00Z">
                    <w:rPr>
                      <w:rFonts w:eastAsia="Arial Unicode MS"/>
                      <w:sz w:val="22"/>
                      <w:szCs w:val="22"/>
                      <w:lang w:val="en-GB"/>
                    </w:rPr>
                  </w:rPrChange>
                </w:rPr>
                <w:delText xml:space="preserve">  Vedvarende remisjon </w:delText>
              </w:r>
            </w:del>
          </w:p>
        </w:tc>
        <w:tc>
          <w:tcPr>
            <w:tcW w:w="634" w:type="pct"/>
            <w:tcBorders>
              <w:top w:val="nil"/>
              <w:left w:val="nil"/>
              <w:right w:val="nil"/>
            </w:tcBorders>
          </w:tcPr>
          <w:p w14:paraId="5585FCCF" w14:textId="3C453EE5" w:rsidR="00F26907" w:rsidRPr="002C5CDB" w:rsidRDefault="00E453CD">
            <w:pPr>
              <w:keepNext/>
              <w:suppressAutoHyphens/>
              <w:rPr>
                <w:del w:id="9542" w:author="AbbVie02no" w:date="2025-05-15T13:45:00Z"/>
                <w:rFonts w:eastAsia="Arial Unicode MS"/>
                <w:sz w:val="22"/>
                <w:szCs w:val="22"/>
                <w:rPrChange w:id="9543" w:author="AbbVie05no" w:date="2025-05-19T10:32:00Z">
                  <w:rPr>
                    <w:del w:id="9544" w:author="AbbVie02no" w:date="2025-05-15T13:45:00Z"/>
                    <w:rFonts w:eastAsia="Arial Unicode MS"/>
                    <w:sz w:val="22"/>
                    <w:szCs w:val="22"/>
                    <w:lang w:val="en-GB"/>
                  </w:rPr>
                </w:rPrChange>
              </w:rPr>
              <w:pPrChange w:id="9545" w:author="AbbVie02no" w:date="2025-05-15T13:45:00Z">
                <w:pPr>
                  <w:keepNext/>
                  <w:tabs>
                    <w:tab w:val="left" w:pos="0"/>
                  </w:tabs>
                  <w:jc w:val="center"/>
                </w:pPr>
              </w:pPrChange>
            </w:pPr>
            <w:del w:id="9546" w:author="AbbVie02no" w:date="2025-05-15T13:45:00Z">
              <w:r w:rsidRPr="002C5CDB">
                <w:rPr>
                  <w:rFonts w:eastAsia="Arial Unicode MS"/>
                  <w:sz w:val="22"/>
                  <w:szCs w:val="22"/>
                  <w:rPrChange w:id="9547" w:author="AbbVie05no" w:date="2025-05-19T10:32:00Z">
                    <w:rPr>
                      <w:rFonts w:eastAsia="Arial Unicode MS"/>
                      <w:sz w:val="22"/>
                      <w:szCs w:val="22"/>
                      <w:lang w:val="en-GB"/>
                    </w:rPr>
                  </w:rPrChange>
                </w:rPr>
                <w:delText>4</w:delText>
              </w:r>
              <w:r w:rsidR="006A2991" w:rsidRPr="002C5CDB">
                <w:rPr>
                  <w:rFonts w:eastAsia="Arial Unicode MS"/>
                  <w:sz w:val="22"/>
                  <w:szCs w:val="22"/>
                  <w:rPrChange w:id="9548" w:author="AbbVie05no" w:date="2025-05-19T10:32:00Z">
                    <w:rPr>
                      <w:rFonts w:eastAsia="Arial Unicode MS"/>
                      <w:sz w:val="22"/>
                      <w:szCs w:val="22"/>
                      <w:lang w:val="en-GB"/>
                    </w:rPr>
                  </w:rPrChange>
                </w:rPr>
                <w:delText xml:space="preserve"> </w:delText>
              </w:r>
              <w:r w:rsidRPr="002C5CDB">
                <w:rPr>
                  <w:rFonts w:eastAsia="Arial Unicode MS"/>
                  <w:sz w:val="22"/>
                  <w:szCs w:val="22"/>
                  <w:rPrChange w:id="9549" w:author="AbbVie05no" w:date="2025-05-19T10:32:00Z">
                    <w:rPr>
                      <w:rFonts w:eastAsia="Arial Unicode MS"/>
                      <w:sz w:val="22"/>
                      <w:szCs w:val="22"/>
                      <w:lang w:val="en-GB"/>
                    </w:rPr>
                  </w:rPrChange>
                </w:rPr>
                <w:delText>%</w:delText>
              </w:r>
            </w:del>
          </w:p>
        </w:tc>
        <w:tc>
          <w:tcPr>
            <w:tcW w:w="1389" w:type="pct"/>
            <w:tcBorders>
              <w:top w:val="nil"/>
              <w:left w:val="nil"/>
              <w:right w:val="nil"/>
            </w:tcBorders>
          </w:tcPr>
          <w:p w14:paraId="10408365" w14:textId="3267FE7D" w:rsidR="00F26907" w:rsidRPr="002C5CDB" w:rsidRDefault="00E453CD">
            <w:pPr>
              <w:keepNext/>
              <w:suppressAutoHyphens/>
              <w:rPr>
                <w:del w:id="9550" w:author="AbbVie02no" w:date="2025-05-15T13:45:00Z"/>
                <w:rFonts w:eastAsia="Arial Unicode MS"/>
                <w:sz w:val="22"/>
                <w:szCs w:val="22"/>
                <w:rPrChange w:id="9551" w:author="AbbVie05no" w:date="2025-05-19T10:32:00Z">
                  <w:rPr>
                    <w:del w:id="9552" w:author="AbbVie02no" w:date="2025-05-15T13:45:00Z"/>
                    <w:rFonts w:eastAsia="Arial Unicode MS"/>
                    <w:sz w:val="22"/>
                    <w:szCs w:val="22"/>
                    <w:lang w:val="en-GB"/>
                  </w:rPr>
                </w:rPrChange>
              </w:rPr>
              <w:pPrChange w:id="9553" w:author="AbbVie02no" w:date="2025-05-15T13:45:00Z">
                <w:pPr>
                  <w:keepNext/>
                  <w:tabs>
                    <w:tab w:val="left" w:pos="0"/>
                  </w:tabs>
                  <w:jc w:val="center"/>
                </w:pPr>
              </w:pPrChange>
            </w:pPr>
            <w:del w:id="9554" w:author="AbbVie02no" w:date="2025-05-15T13:45:00Z">
              <w:r w:rsidRPr="002C5CDB">
                <w:rPr>
                  <w:rFonts w:eastAsia="Arial Unicode MS"/>
                  <w:sz w:val="22"/>
                  <w:szCs w:val="22"/>
                  <w:rPrChange w:id="9555" w:author="AbbVie05no" w:date="2025-05-19T10:32:00Z">
                    <w:rPr>
                      <w:rFonts w:eastAsia="Arial Unicode MS"/>
                      <w:sz w:val="22"/>
                      <w:szCs w:val="22"/>
                      <w:lang w:val="en-GB"/>
                    </w:rPr>
                  </w:rPrChange>
                </w:rPr>
                <w:delText xml:space="preserve">   8</w:delText>
              </w:r>
              <w:r w:rsidR="006A2991" w:rsidRPr="002C5CDB">
                <w:rPr>
                  <w:rFonts w:eastAsia="Arial Unicode MS"/>
                  <w:sz w:val="22"/>
                  <w:szCs w:val="22"/>
                  <w:rPrChange w:id="9556" w:author="AbbVie05no" w:date="2025-05-19T10:32:00Z">
                    <w:rPr>
                      <w:rFonts w:eastAsia="Arial Unicode MS"/>
                      <w:sz w:val="22"/>
                      <w:szCs w:val="22"/>
                      <w:lang w:val="en-GB"/>
                    </w:rPr>
                  </w:rPrChange>
                </w:rPr>
                <w:delText xml:space="preserve"> </w:delText>
              </w:r>
              <w:r w:rsidRPr="002C5CDB">
                <w:rPr>
                  <w:rFonts w:eastAsia="Arial Unicode MS"/>
                  <w:sz w:val="22"/>
                  <w:szCs w:val="22"/>
                  <w:rPrChange w:id="9557" w:author="AbbVie05no" w:date="2025-05-19T10:32:00Z">
                    <w:rPr>
                      <w:rFonts w:eastAsia="Arial Unicode MS"/>
                      <w:sz w:val="22"/>
                      <w:szCs w:val="22"/>
                      <w:lang w:val="en-GB"/>
                    </w:rPr>
                  </w:rPrChange>
                </w:rPr>
                <w:delText>%*</w:delText>
              </w:r>
            </w:del>
          </w:p>
        </w:tc>
      </w:tr>
      <w:tr w:rsidR="004644D4" w14:paraId="6C3955DA" w14:textId="1A450D29" w:rsidTr="00E04B2A">
        <w:trPr>
          <w:jc w:val="center"/>
          <w:del w:id="9558" w:author="AbbVie02no" w:date="2025-05-15T13:45:00Z"/>
        </w:trPr>
        <w:tc>
          <w:tcPr>
            <w:tcW w:w="2977" w:type="pct"/>
            <w:tcBorders>
              <w:top w:val="nil"/>
              <w:left w:val="nil"/>
              <w:bottom w:val="single" w:sz="6" w:space="0" w:color="000000"/>
              <w:right w:val="nil"/>
            </w:tcBorders>
          </w:tcPr>
          <w:p w14:paraId="35496831" w14:textId="70A9F7EC" w:rsidR="00F26907" w:rsidRPr="002C5CDB" w:rsidRDefault="00E453CD">
            <w:pPr>
              <w:keepNext/>
              <w:suppressAutoHyphens/>
              <w:rPr>
                <w:del w:id="9559" w:author="AbbVie02no" w:date="2025-05-15T13:45:00Z"/>
                <w:rFonts w:eastAsia="Arial Unicode MS"/>
                <w:sz w:val="22"/>
                <w:szCs w:val="22"/>
                <w:rPrChange w:id="9560" w:author="AbbVie05no" w:date="2025-05-19T10:32:00Z">
                  <w:rPr>
                    <w:del w:id="9561" w:author="AbbVie02no" w:date="2025-05-15T13:45:00Z"/>
                    <w:rFonts w:eastAsia="Arial Unicode MS"/>
                    <w:sz w:val="22"/>
                    <w:szCs w:val="22"/>
                    <w:lang w:val="en-GB"/>
                  </w:rPr>
                </w:rPrChange>
              </w:rPr>
              <w:pPrChange w:id="9562" w:author="AbbVie02no" w:date="2025-05-15T13:45:00Z">
                <w:pPr>
                  <w:keepNext/>
                  <w:tabs>
                    <w:tab w:val="left" w:pos="0"/>
                  </w:tabs>
                </w:pPr>
              </w:pPrChange>
            </w:pPr>
            <w:del w:id="9563" w:author="AbbVie02no" w:date="2025-05-15T13:45:00Z">
              <w:r w:rsidRPr="002C5CDB">
                <w:rPr>
                  <w:rFonts w:eastAsia="Arial Unicode MS"/>
                  <w:sz w:val="22"/>
                  <w:szCs w:val="22"/>
                  <w:rPrChange w:id="9564" w:author="AbbVie05no" w:date="2025-05-19T10:32:00Z">
                    <w:rPr>
                      <w:rFonts w:eastAsia="Arial Unicode MS"/>
                      <w:sz w:val="22"/>
                      <w:szCs w:val="22"/>
                      <w:lang w:val="en-GB"/>
                    </w:rPr>
                  </w:rPrChange>
                </w:rPr>
                <w:delText xml:space="preserve">  Vedvarende tilheling av slimhinner </w:delText>
              </w:r>
            </w:del>
          </w:p>
        </w:tc>
        <w:tc>
          <w:tcPr>
            <w:tcW w:w="634" w:type="pct"/>
            <w:tcBorders>
              <w:top w:val="nil"/>
              <w:left w:val="nil"/>
              <w:bottom w:val="single" w:sz="6" w:space="0" w:color="000000"/>
              <w:right w:val="nil"/>
            </w:tcBorders>
          </w:tcPr>
          <w:p w14:paraId="5C2EF4B1" w14:textId="0CDBB984" w:rsidR="00F26907" w:rsidRPr="002C5CDB" w:rsidRDefault="00E453CD">
            <w:pPr>
              <w:keepNext/>
              <w:suppressAutoHyphens/>
              <w:rPr>
                <w:del w:id="9565" w:author="AbbVie02no" w:date="2025-05-15T13:45:00Z"/>
                <w:rFonts w:eastAsia="Arial Unicode MS"/>
                <w:sz w:val="22"/>
                <w:szCs w:val="22"/>
                <w:rPrChange w:id="9566" w:author="AbbVie05no" w:date="2025-05-19T10:32:00Z">
                  <w:rPr>
                    <w:del w:id="9567" w:author="AbbVie02no" w:date="2025-05-15T13:45:00Z"/>
                    <w:rFonts w:eastAsia="Arial Unicode MS"/>
                    <w:sz w:val="22"/>
                    <w:szCs w:val="22"/>
                    <w:lang w:val="en-GB"/>
                  </w:rPr>
                </w:rPrChange>
              </w:rPr>
              <w:pPrChange w:id="9568" w:author="AbbVie02no" w:date="2025-05-15T13:45:00Z">
                <w:pPr>
                  <w:keepNext/>
                  <w:tabs>
                    <w:tab w:val="left" w:pos="0"/>
                  </w:tabs>
                  <w:jc w:val="center"/>
                </w:pPr>
              </w:pPrChange>
            </w:pPr>
            <w:del w:id="9569" w:author="AbbVie02no" w:date="2025-05-15T13:45:00Z">
              <w:r w:rsidRPr="002C5CDB">
                <w:rPr>
                  <w:rFonts w:eastAsia="Arial Unicode MS"/>
                  <w:sz w:val="22"/>
                  <w:szCs w:val="22"/>
                  <w:rPrChange w:id="9570" w:author="AbbVie05no" w:date="2025-05-19T10:32:00Z">
                    <w:rPr>
                      <w:rFonts w:eastAsia="Arial Unicode MS"/>
                      <w:sz w:val="22"/>
                      <w:szCs w:val="22"/>
                      <w:lang w:val="en-GB"/>
                    </w:rPr>
                  </w:rPrChange>
                </w:rPr>
                <w:delText>11</w:delText>
              </w:r>
              <w:r w:rsidR="006A2991" w:rsidRPr="002C5CDB">
                <w:rPr>
                  <w:rFonts w:eastAsia="Arial Unicode MS"/>
                  <w:sz w:val="22"/>
                  <w:szCs w:val="22"/>
                  <w:rPrChange w:id="9571" w:author="AbbVie05no" w:date="2025-05-19T10:32:00Z">
                    <w:rPr>
                      <w:rFonts w:eastAsia="Arial Unicode MS"/>
                      <w:sz w:val="22"/>
                      <w:szCs w:val="22"/>
                      <w:lang w:val="en-GB"/>
                    </w:rPr>
                  </w:rPrChange>
                </w:rPr>
                <w:delText xml:space="preserve"> </w:delText>
              </w:r>
              <w:r w:rsidRPr="002C5CDB">
                <w:rPr>
                  <w:rFonts w:eastAsia="Arial Unicode MS"/>
                  <w:sz w:val="22"/>
                  <w:szCs w:val="22"/>
                  <w:rPrChange w:id="9572" w:author="AbbVie05no" w:date="2025-05-19T10:32:00Z">
                    <w:rPr>
                      <w:rFonts w:eastAsia="Arial Unicode MS"/>
                      <w:sz w:val="22"/>
                      <w:szCs w:val="22"/>
                      <w:lang w:val="en-GB"/>
                    </w:rPr>
                  </w:rPrChange>
                </w:rPr>
                <w:delText>%</w:delText>
              </w:r>
            </w:del>
          </w:p>
        </w:tc>
        <w:tc>
          <w:tcPr>
            <w:tcW w:w="1389" w:type="pct"/>
            <w:tcBorders>
              <w:top w:val="nil"/>
              <w:left w:val="nil"/>
              <w:bottom w:val="single" w:sz="6" w:space="0" w:color="000000"/>
              <w:right w:val="nil"/>
            </w:tcBorders>
          </w:tcPr>
          <w:p w14:paraId="106E22CA" w14:textId="0B7ECB2C" w:rsidR="00F26907" w:rsidRPr="002C5CDB" w:rsidRDefault="00E453CD">
            <w:pPr>
              <w:keepNext/>
              <w:suppressAutoHyphens/>
              <w:rPr>
                <w:del w:id="9573" w:author="AbbVie02no" w:date="2025-05-15T13:45:00Z"/>
                <w:rFonts w:eastAsia="Arial Unicode MS"/>
                <w:sz w:val="22"/>
                <w:szCs w:val="22"/>
                <w:rPrChange w:id="9574" w:author="AbbVie05no" w:date="2025-05-19T10:32:00Z">
                  <w:rPr>
                    <w:del w:id="9575" w:author="AbbVie02no" w:date="2025-05-15T13:45:00Z"/>
                    <w:rFonts w:eastAsia="Arial Unicode MS"/>
                    <w:sz w:val="22"/>
                    <w:szCs w:val="22"/>
                    <w:lang w:val="en-GB"/>
                  </w:rPr>
                </w:rPrChange>
              </w:rPr>
              <w:pPrChange w:id="9576" w:author="AbbVie02no" w:date="2025-05-15T13:45:00Z">
                <w:pPr>
                  <w:keepNext/>
                  <w:tabs>
                    <w:tab w:val="left" w:pos="0"/>
                  </w:tabs>
                  <w:jc w:val="center"/>
                </w:pPr>
              </w:pPrChange>
            </w:pPr>
            <w:del w:id="9577" w:author="AbbVie02no" w:date="2025-05-15T13:45:00Z">
              <w:r w:rsidRPr="002C5CDB">
                <w:rPr>
                  <w:rFonts w:eastAsia="Arial Unicode MS"/>
                  <w:sz w:val="22"/>
                  <w:szCs w:val="22"/>
                  <w:rPrChange w:id="9578" w:author="AbbVie05no" w:date="2025-05-19T10:32:00Z">
                    <w:rPr>
                      <w:rFonts w:eastAsia="Arial Unicode MS"/>
                      <w:sz w:val="22"/>
                      <w:szCs w:val="22"/>
                      <w:lang w:val="en-GB"/>
                    </w:rPr>
                  </w:rPrChange>
                </w:rPr>
                <w:delText xml:space="preserve">  19</w:delText>
              </w:r>
              <w:r w:rsidR="006A2991" w:rsidRPr="002C5CDB">
                <w:rPr>
                  <w:rFonts w:eastAsia="Arial Unicode MS"/>
                  <w:sz w:val="22"/>
                  <w:szCs w:val="22"/>
                  <w:rPrChange w:id="9579" w:author="AbbVie05no" w:date="2025-05-19T10:32:00Z">
                    <w:rPr>
                      <w:rFonts w:eastAsia="Arial Unicode MS"/>
                      <w:sz w:val="22"/>
                      <w:szCs w:val="22"/>
                      <w:lang w:val="en-GB"/>
                    </w:rPr>
                  </w:rPrChange>
                </w:rPr>
                <w:delText xml:space="preserve"> </w:delText>
              </w:r>
              <w:r w:rsidRPr="002C5CDB">
                <w:rPr>
                  <w:rFonts w:eastAsia="Arial Unicode MS"/>
                  <w:sz w:val="22"/>
                  <w:szCs w:val="22"/>
                  <w:rPrChange w:id="9580" w:author="AbbVie05no" w:date="2025-05-19T10:32:00Z">
                    <w:rPr>
                      <w:rFonts w:eastAsia="Arial Unicode MS"/>
                      <w:sz w:val="22"/>
                      <w:szCs w:val="22"/>
                      <w:lang w:val="en-GB"/>
                    </w:rPr>
                  </w:rPrChange>
                </w:rPr>
                <w:delText>%*</w:delText>
              </w:r>
            </w:del>
          </w:p>
        </w:tc>
      </w:tr>
      <w:tr w:rsidR="004644D4" w14:paraId="671D4EBD" w14:textId="33899310" w:rsidTr="00E04B2A">
        <w:trPr>
          <w:jc w:val="center"/>
          <w:del w:id="9581" w:author="AbbVie02no" w:date="2025-05-15T13:45:00Z"/>
        </w:trPr>
        <w:tc>
          <w:tcPr>
            <w:tcW w:w="5000" w:type="pct"/>
            <w:gridSpan w:val="3"/>
            <w:tcBorders>
              <w:top w:val="nil"/>
              <w:left w:val="nil"/>
              <w:bottom w:val="nil"/>
              <w:right w:val="nil"/>
            </w:tcBorders>
          </w:tcPr>
          <w:p w14:paraId="6E9F8E6B" w14:textId="0CB3C597" w:rsidR="00F26907" w:rsidRPr="009C5EFD" w:rsidRDefault="00E453CD">
            <w:pPr>
              <w:keepNext/>
              <w:suppressAutoHyphens/>
              <w:rPr>
                <w:del w:id="9582" w:author="AbbVie02no" w:date="2025-05-15T13:45:00Z"/>
                <w:rFonts w:eastAsia="Arial Unicode MS"/>
                <w:sz w:val="22"/>
                <w:szCs w:val="22"/>
              </w:rPr>
              <w:pPrChange w:id="9583" w:author="AbbVie02no" w:date="2025-05-15T13:45:00Z">
                <w:pPr>
                  <w:keepNext/>
                  <w:tabs>
                    <w:tab w:val="left" w:pos="0"/>
                  </w:tabs>
                  <w:spacing w:line="264" w:lineRule="atLeast"/>
                </w:pPr>
              </w:pPrChange>
            </w:pPr>
            <w:del w:id="9584" w:author="AbbVie02no" w:date="2025-05-15T13:45:00Z">
              <w:r w:rsidRPr="009C5EFD">
                <w:rPr>
                  <w:rFonts w:eastAsia="Arial Unicode MS"/>
                  <w:sz w:val="22"/>
                  <w:szCs w:val="22"/>
                </w:rPr>
                <w:delText>Klinisk remisjon er Mayo score ≤ 2 med ingen subscore &gt; 1;</w:delText>
              </w:r>
            </w:del>
          </w:p>
          <w:p w14:paraId="7A279362" w14:textId="3F2DFB54" w:rsidR="004808CC" w:rsidRPr="009C5EFD" w:rsidRDefault="00E453CD">
            <w:pPr>
              <w:keepNext/>
              <w:suppressAutoHyphens/>
              <w:rPr>
                <w:del w:id="9585" w:author="AbbVie02no" w:date="2025-05-15T13:45:00Z"/>
                <w:rStyle w:val="sup1"/>
                <w:rFonts w:eastAsia="Arial Unicode MS"/>
                <w:sz w:val="22"/>
                <w:szCs w:val="22"/>
              </w:rPr>
              <w:pPrChange w:id="9586" w:author="AbbVie02no" w:date="2025-05-15T13:45:00Z">
                <w:pPr>
                  <w:keepNext/>
                  <w:tabs>
                    <w:tab w:val="left" w:pos="0"/>
                  </w:tabs>
                  <w:spacing w:line="264" w:lineRule="atLeast"/>
                </w:pPr>
              </w:pPrChange>
            </w:pPr>
            <w:del w:id="9587" w:author="AbbVie02no" w:date="2025-05-15T13:45:00Z">
              <w:r w:rsidRPr="009C5EFD">
                <w:rPr>
                  <w:rStyle w:val="sup1"/>
                  <w:rFonts w:eastAsia="Arial Unicode MS"/>
                  <w:sz w:val="22"/>
                  <w:szCs w:val="22"/>
                </w:rPr>
                <w:delText xml:space="preserve">Klinisk respons er </w:delText>
              </w:r>
              <w:r w:rsidR="00B169FB" w:rsidRPr="009C5EFD">
                <w:rPr>
                  <w:rStyle w:val="sup1"/>
                  <w:rFonts w:eastAsia="Arial Unicode MS"/>
                  <w:sz w:val="22"/>
                  <w:szCs w:val="22"/>
                </w:rPr>
                <w:delText>reduksjon</w:delText>
              </w:r>
              <w:r w:rsidRPr="009C5EFD">
                <w:rPr>
                  <w:rStyle w:val="sup1"/>
                  <w:rFonts w:eastAsia="Arial Unicode MS"/>
                  <w:sz w:val="22"/>
                  <w:szCs w:val="22"/>
                </w:rPr>
                <w:delText xml:space="preserve"> fra baseline </w:delText>
              </w:r>
              <w:r w:rsidR="00B169FB" w:rsidRPr="009C5EFD">
                <w:rPr>
                  <w:rStyle w:val="sup1"/>
                  <w:rFonts w:eastAsia="Arial Unicode MS"/>
                  <w:sz w:val="22"/>
                  <w:szCs w:val="22"/>
                </w:rPr>
                <w:delText>i</w:delText>
              </w:r>
              <w:r w:rsidRPr="009C5EFD">
                <w:rPr>
                  <w:rStyle w:val="sup1"/>
                  <w:rFonts w:eastAsia="Arial Unicode MS"/>
                  <w:sz w:val="22"/>
                  <w:szCs w:val="22"/>
                </w:rPr>
                <w:delText xml:space="preserve"> Mayo score ≥ 3 p</w:delText>
              </w:r>
              <w:r w:rsidR="00AD4BEB" w:rsidRPr="009C5EFD">
                <w:rPr>
                  <w:rStyle w:val="sup1"/>
                  <w:rFonts w:eastAsia="Arial Unicode MS"/>
                  <w:sz w:val="22"/>
                  <w:szCs w:val="22"/>
                </w:rPr>
                <w:delText>oeng</w:delText>
              </w:r>
              <w:r w:rsidRPr="009C5EFD">
                <w:rPr>
                  <w:rStyle w:val="sup1"/>
                  <w:rFonts w:eastAsia="Arial Unicode MS"/>
                  <w:sz w:val="22"/>
                  <w:szCs w:val="22"/>
                </w:rPr>
                <w:delText xml:space="preserve"> og ≥ 30 % pluss en reduksjon i rektal blødning subscore [RMS] ≥ 1 eller en absolutt RBS på 0 eller 1;</w:delText>
              </w:r>
            </w:del>
          </w:p>
          <w:p w14:paraId="5B4E01D3" w14:textId="299C8F6A" w:rsidR="00F26907" w:rsidRPr="009C5EFD" w:rsidRDefault="00E453CD">
            <w:pPr>
              <w:keepNext/>
              <w:suppressAutoHyphens/>
              <w:rPr>
                <w:del w:id="9588" w:author="AbbVie02no" w:date="2025-05-15T13:45:00Z"/>
                <w:rFonts w:eastAsia="Arial Unicode MS"/>
                <w:sz w:val="22"/>
                <w:szCs w:val="22"/>
              </w:rPr>
              <w:pPrChange w:id="9589" w:author="AbbVie02no" w:date="2025-05-15T13:45:00Z">
                <w:pPr>
                  <w:keepNext/>
                  <w:tabs>
                    <w:tab w:val="left" w:pos="0"/>
                  </w:tabs>
                  <w:spacing w:line="264" w:lineRule="atLeast"/>
                </w:pPr>
              </w:pPrChange>
            </w:pPr>
            <w:del w:id="9590" w:author="AbbVie02no" w:date="2025-05-15T13:45:00Z">
              <w:r w:rsidRPr="009C5EFD">
                <w:rPr>
                  <w:rStyle w:val="sup1"/>
                  <w:rFonts w:eastAsia="Arial Unicode MS"/>
                  <w:sz w:val="22"/>
                  <w:szCs w:val="22"/>
                  <w:vertAlign w:val="superscript"/>
                </w:rPr>
                <w:delText>*</w:delText>
              </w:r>
              <w:r w:rsidRPr="009C5EFD">
                <w:rPr>
                  <w:rFonts w:eastAsia="Arial Unicode MS"/>
                  <w:sz w:val="22"/>
                  <w:szCs w:val="22"/>
                </w:rPr>
                <w:delText>p</w:delText>
              </w:r>
              <w:r w:rsidR="00D20EEB" w:rsidRPr="009C5EFD">
                <w:rPr>
                  <w:rFonts w:eastAsia="Arial Unicode MS"/>
                  <w:sz w:val="22"/>
                  <w:szCs w:val="22"/>
                </w:rPr>
                <w:delText xml:space="preserve"> </w:delText>
              </w:r>
              <w:r w:rsidRPr="009C5EFD">
                <w:rPr>
                  <w:rFonts w:eastAsia="Arial Unicode MS"/>
                  <w:sz w:val="22"/>
                  <w:szCs w:val="22"/>
                </w:rPr>
                <w:delText>&lt;</w:delText>
              </w:r>
              <w:r w:rsidR="00D20EEB" w:rsidRPr="009C5EFD">
                <w:rPr>
                  <w:rFonts w:eastAsia="Arial Unicode MS"/>
                  <w:sz w:val="22"/>
                  <w:szCs w:val="22"/>
                </w:rPr>
                <w:delText xml:space="preserve"> 0,</w:delText>
              </w:r>
              <w:r w:rsidRPr="009C5EFD">
                <w:rPr>
                  <w:rFonts w:eastAsia="Arial Unicode MS"/>
                  <w:sz w:val="22"/>
                  <w:szCs w:val="22"/>
                </w:rPr>
                <w:delText xml:space="preserve">05 for </w:delText>
              </w:r>
              <w:r w:rsidR="004808CC" w:rsidRPr="009C5EFD">
                <w:rPr>
                  <w:rFonts w:eastAsia="Arial Unicode MS"/>
                  <w:sz w:val="22"/>
                  <w:szCs w:val="22"/>
                </w:rPr>
                <w:delText xml:space="preserve">Humira </w:delText>
              </w:r>
              <w:r w:rsidRPr="009C5EFD">
                <w:rPr>
                  <w:rStyle w:val="italics5"/>
                  <w:rFonts w:eastAsia="Arial Unicode MS"/>
                  <w:i w:val="0"/>
                  <w:sz w:val="22"/>
                  <w:szCs w:val="22"/>
                </w:rPr>
                <w:delText>vs</w:delText>
              </w:r>
              <w:r w:rsidRPr="009C5EFD">
                <w:rPr>
                  <w:rStyle w:val="italics5"/>
                  <w:rFonts w:eastAsia="Arial Unicode MS"/>
                  <w:sz w:val="22"/>
                  <w:szCs w:val="22"/>
                </w:rPr>
                <w:delText>.</w:delText>
              </w:r>
              <w:r w:rsidRPr="009C5EFD">
                <w:rPr>
                  <w:rFonts w:eastAsia="Arial Unicode MS"/>
                  <w:sz w:val="22"/>
                  <w:szCs w:val="22"/>
                </w:rPr>
                <w:delText xml:space="preserve"> </w:delText>
              </w:r>
              <w:r w:rsidR="006A2991" w:rsidRPr="009C5EFD">
                <w:rPr>
                  <w:rFonts w:eastAsia="Arial Unicode MS"/>
                  <w:sz w:val="22"/>
                  <w:szCs w:val="22"/>
                </w:rPr>
                <w:delText>p</w:delText>
              </w:r>
              <w:r w:rsidRPr="009C5EFD">
                <w:rPr>
                  <w:rFonts w:eastAsia="Arial Unicode MS"/>
                  <w:sz w:val="22"/>
                  <w:szCs w:val="22"/>
                </w:rPr>
                <w:delText xml:space="preserve">lacebo, parvis sammenligning av proporsjoner </w:delText>
              </w:r>
            </w:del>
          </w:p>
          <w:p w14:paraId="5AA8D2CB" w14:textId="6C9C8360" w:rsidR="00F26907" w:rsidRPr="009C5EFD" w:rsidRDefault="00E453CD">
            <w:pPr>
              <w:keepNext/>
              <w:suppressAutoHyphens/>
              <w:rPr>
                <w:del w:id="9591" w:author="AbbVie02no" w:date="2025-05-15T13:45:00Z"/>
                <w:rFonts w:eastAsia="Arial Unicode MS"/>
                <w:sz w:val="22"/>
                <w:szCs w:val="22"/>
              </w:rPr>
              <w:pPrChange w:id="9592" w:author="AbbVie02no" w:date="2025-05-15T13:45:00Z">
                <w:pPr>
                  <w:keepNext/>
                  <w:tabs>
                    <w:tab w:val="left" w:pos="0"/>
                  </w:tabs>
                  <w:spacing w:line="264" w:lineRule="atLeast"/>
                </w:pPr>
              </w:pPrChange>
            </w:pPr>
            <w:del w:id="9593" w:author="AbbVie02no" w:date="2025-05-15T13:45:00Z">
              <w:r w:rsidRPr="009C5EFD">
                <w:rPr>
                  <w:rFonts w:eastAsia="Arial Unicode MS"/>
                  <w:sz w:val="22"/>
                  <w:szCs w:val="22"/>
                </w:rPr>
                <w:delText>**p</w:delText>
              </w:r>
              <w:r w:rsidR="00D20EEB" w:rsidRPr="009C5EFD">
                <w:rPr>
                  <w:rFonts w:eastAsia="Arial Unicode MS"/>
                  <w:sz w:val="22"/>
                  <w:szCs w:val="22"/>
                </w:rPr>
                <w:delText xml:space="preserve"> </w:delText>
              </w:r>
              <w:r w:rsidRPr="009C5EFD">
                <w:rPr>
                  <w:rFonts w:eastAsia="Arial Unicode MS"/>
                  <w:sz w:val="22"/>
                  <w:szCs w:val="22"/>
                </w:rPr>
                <w:delText>&lt;</w:delText>
              </w:r>
              <w:r w:rsidR="00D20EEB" w:rsidRPr="009C5EFD">
                <w:rPr>
                  <w:rFonts w:eastAsia="Arial Unicode MS"/>
                  <w:sz w:val="22"/>
                  <w:szCs w:val="22"/>
                </w:rPr>
                <w:delText xml:space="preserve"> 0,</w:delText>
              </w:r>
              <w:r w:rsidRPr="009C5EFD">
                <w:rPr>
                  <w:rFonts w:eastAsia="Arial Unicode MS"/>
                  <w:sz w:val="22"/>
                  <w:szCs w:val="22"/>
                </w:rPr>
                <w:delText xml:space="preserve">001 for </w:delText>
              </w:r>
              <w:r w:rsidR="004808CC" w:rsidRPr="009C5EFD">
                <w:rPr>
                  <w:rFonts w:eastAsia="Arial Unicode MS"/>
                  <w:sz w:val="22"/>
                  <w:szCs w:val="22"/>
                </w:rPr>
                <w:delText xml:space="preserve">Humira </w:delText>
              </w:r>
              <w:r w:rsidRPr="009C5EFD">
                <w:rPr>
                  <w:rFonts w:eastAsia="Arial Unicode MS"/>
                  <w:sz w:val="22"/>
                  <w:szCs w:val="22"/>
                </w:rPr>
                <w:delText>vs</w:delText>
              </w:r>
              <w:r w:rsidRPr="009C5EFD">
                <w:rPr>
                  <w:rFonts w:eastAsia="Arial Unicode MS"/>
                  <w:i/>
                  <w:sz w:val="22"/>
                  <w:szCs w:val="22"/>
                </w:rPr>
                <w:delText>.</w:delText>
              </w:r>
              <w:r w:rsidRPr="009C5EFD">
                <w:rPr>
                  <w:rFonts w:eastAsia="Arial Unicode MS"/>
                  <w:sz w:val="22"/>
                  <w:szCs w:val="22"/>
                </w:rPr>
                <w:delText xml:space="preserve"> </w:delText>
              </w:r>
              <w:r w:rsidR="006A2991" w:rsidRPr="009C5EFD">
                <w:rPr>
                  <w:rFonts w:eastAsia="Arial Unicode MS"/>
                  <w:sz w:val="22"/>
                  <w:szCs w:val="22"/>
                </w:rPr>
                <w:delText>p</w:delText>
              </w:r>
              <w:r w:rsidRPr="009C5EFD">
                <w:rPr>
                  <w:rFonts w:eastAsia="Arial Unicode MS"/>
                  <w:sz w:val="22"/>
                  <w:szCs w:val="22"/>
                </w:rPr>
                <w:delText>lacebo, parvis sammenligning av proporsjoner</w:delText>
              </w:r>
            </w:del>
          </w:p>
          <w:p w14:paraId="19AB991B" w14:textId="49AE01D8" w:rsidR="00F26907" w:rsidRPr="009C5EFD" w:rsidRDefault="00E453CD">
            <w:pPr>
              <w:keepNext/>
              <w:suppressAutoHyphens/>
              <w:rPr>
                <w:del w:id="9594" w:author="AbbVie02no" w:date="2025-05-15T13:45:00Z"/>
                <w:rFonts w:eastAsia="Arial Unicode MS"/>
                <w:b/>
                <w:sz w:val="22"/>
                <w:szCs w:val="22"/>
              </w:rPr>
              <w:pPrChange w:id="9595" w:author="AbbVie02no" w:date="2025-05-15T13:45:00Z">
                <w:pPr>
                  <w:keepNext/>
                  <w:tabs>
                    <w:tab w:val="left" w:pos="0"/>
                  </w:tabs>
                  <w:spacing w:line="264" w:lineRule="atLeast"/>
                </w:pPr>
              </w:pPrChange>
            </w:pPr>
            <w:del w:id="9596" w:author="AbbVie02no" w:date="2025-05-15T13:45:00Z">
              <w:r w:rsidRPr="009C5EFD">
                <w:rPr>
                  <w:sz w:val="22"/>
                  <w:szCs w:val="22"/>
                  <w:vertAlign w:val="superscript"/>
                </w:rPr>
                <w:delText xml:space="preserve">a </w:delText>
              </w:r>
              <w:r w:rsidRPr="009C5EFD">
                <w:rPr>
                  <w:sz w:val="22"/>
                  <w:szCs w:val="22"/>
                </w:rPr>
                <w:delText>Av de som mottar kortikosteroider ved baseline</w:delText>
              </w:r>
            </w:del>
          </w:p>
        </w:tc>
      </w:tr>
    </w:tbl>
    <w:p w14:paraId="6A628FC2" w14:textId="3FDB8D40" w:rsidR="00F26907" w:rsidRPr="00F91324" w:rsidRDefault="00F26907">
      <w:pPr>
        <w:keepNext/>
        <w:suppressAutoHyphens/>
        <w:rPr>
          <w:del w:id="9597" w:author="AbbVie02no" w:date="2025-05-15T13:45:00Z"/>
          <w:b/>
          <w:sz w:val="22"/>
          <w:szCs w:val="22"/>
        </w:rPr>
        <w:pPrChange w:id="9598" w:author="AbbVie02no" w:date="2025-05-15T13:45:00Z">
          <w:pPr>
            <w:suppressAutoHyphens/>
          </w:pPr>
        </w:pPrChange>
      </w:pPr>
    </w:p>
    <w:p w14:paraId="62320348" w14:textId="2A5FC309" w:rsidR="004808CC" w:rsidRPr="009C5EFD" w:rsidRDefault="00E453CD">
      <w:pPr>
        <w:keepNext/>
        <w:suppressAutoHyphens/>
        <w:rPr>
          <w:del w:id="9599" w:author="AbbVie02no" w:date="2025-05-15T13:45:00Z"/>
          <w:sz w:val="22"/>
          <w:szCs w:val="22"/>
        </w:rPr>
        <w:pPrChange w:id="9600" w:author="AbbVie02no" w:date="2025-05-15T13:45:00Z">
          <w:pPr>
            <w:suppressAutoHyphens/>
          </w:pPr>
        </w:pPrChange>
      </w:pPr>
      <w:del w:id="9601" w:author="AbbVie02no" w:date="2025-05-15T13:45:00Z">
        <w:r w:rsidRPr="009C5EFD">
          <w:rPr>
            <w:sz w:val="22"/>
            <w:szCs w:val="22"/>
          </w:rPr>
          <w:delText>Av de pasienten</w:delText>
        </w:r>
        <w:r w:rsidR="007A49F5" w:rsidRPr="009C5EFD">
          <w:rPr>
            <w:sz w:val="22"/>
            <w:szCs w:val="22"/>
          </w:rPr>
          <w:delText>e</w:delText>
        </w:r>
        <w:r w:rsidRPr="009C5EFD">
          <w:rPr>
            <w:sz w:val="22"/>
            <w:szCs w:val="22"/>
          </w:rPr>
          <w:delText xml:space="preserve"> som </w:delText>
        </w:r>
        <w:r w:rsidR="00B169FB" w:rsidRPr="009C5EFD">
          <w:rPr>
            <w:sz w:val="22"/>
            <w:szCs w:val="22"/>
          </w:rPr>
          <w:delText>hadde</w:delText>
        </w:r>
        <w:r w:rsidRPr="009C5EFD">
          <w:rPr>
            <w:sz w:val="22"/>
            <w:szCs w:val="22"/>
          </w:rPr>
          <w:delText xml:space="preserve"> en respons </w:delText>
        </w:r>
        <w:r w:rsidR="00AD4BEB" w:rsidRPr="009C5EFD">
          <w:rPr>
            <w:sz w:val="22"/>
            <w:szCs w:val="22"/>
          </w:rPr>
          <w:delText>i</w:delText>
        </w:r>
        <w:r w:rsidRPr="009C5EFD">
          <w:rPr>
            <w:sz w:val="22"/>
            <w:szCs w:val="22"/>
          </w:rPr>
          <w:delText xml:space="preserve"> uke 8</w:delText>
        </w:r>
        <w:r w:rsidR="00B169FB" w:rsidRPr="009C5EFD">
          <w:rPr>
            <w:sz w:val="22"/>
            <w:szCs w:val="22"/>
          </w:rPr>
          <w:delText xml:space="preserve">, </w:delText>
        </w:r>
        <w:r w:rsidR="00B70FD6" w:rsidRPr="009C5EFD">
          <w:rPr>
            <w:sz w:val="22"/>
            <w:szCs w:val="22"/>
          </w:rPr>
          <w:delText>oppnådde</w:delText>
        </w:r>
        <w:r w:rsidR="00881A4C" w:rsidRPr="009C5EFD">
          <w:rPr>
            <w:sz w:val="22"/>
            <w:szCs w:val="22"/>
          </w:rPr>
          <w:delText xml:space="preserve"> </w:delText>
        </w:r>
        <w:r w:rsidR="00B169FB" w:rsidRPr="009C5EFD">
          <w:rPr>
            <w:sz w:val="22"/>
            <w:szCs w:val="22"/>
          </w:rPr>
          <w:delText xml:space="preserve">47 % respons, 29 % var i remisjon, 41 % hadde tilheling av slimhinner, og 20 % var i steroidfri remisjon </w:delText>
        </w:r>
        <w:r w:rsidR="00407F52" w:rsidRPr="009C5EFD">
          <w:rPr>
            <w:sz w:val="22"/>
            <w:szCs w:val="22"/>
          </w:rPr>
          <w:delText>i</w:delText>
        </w:r>
        <w:r w:rsidR="00B169FB" w:rsidRPr="009C5EFD">
          <w:rPr>
            <w:sz w:val="22"/>
            <w:szCs w:val="22"/>
          </w:rPr>
          <w:delText xml:space="preserve"> ≥ 90 dager ved uke 52.</w:delText>
        </w:r>
      </w:del>
    </w:p>
    <w:p w14:paraId="33B4BA06" w14:textId="36CA0A56" w:rsidR="00B169FB" w:rsidRPr="009C5EFD" w:rsidRDefault="00B169FB">
      <w:pPr>
        <w:keepNext/>
        <w:suppressAutoHyphens/>
        <w:rPr>
          <w:del w:id="9602" w:author="AbbVie02no" w:date="2025-05-15T13:45:00Z"/>
          <w:sz w:val="22"/>
          <w:szCs w:val="22"/>
        </w:rPr>
        <w:pPrChange w:id="9603" w:author="AbbVie02no" w:date="2025-05-15T13:45:00Z">
          <w:pPr>
            <w:suppressAutoHyphens/>
          </w:pPr>
        </w:pPrChange>
      </w:pPr>
    </w:p>
    <w:p w14:paraId="37513BFE" w14:textId="7F40CA6F" w:rsidR="00F26907" w:rsidRPr="009C5EFD" w:rsidRDefault="00E453CD">
      <w:pPr>
        <w:keepNext/>
        <w:suppressAutoHyphens/>
        <w:rPr>
          <w:del w:id="9604" w:author="AbbVie02no" w:date="2025-05-15T13:45:00Z"/>
          <w:sz w:val="22"/>
          <w:szCs w:val="22"/>
        </w:rPr>
        <w:pPrChange w:id="9605" w:author="AbbVie02no" w:date="2025-05-15T13:45:00Z">
          <w:pPr>
            <w:suppressAutoHyphens/>
          </w:pPr>
        </w:pPrChange>
      </w:pPr>
      <w:del w:id="9606" w:author="AbbVie02no" w:date="2025-05-15T13:45:00Z">
        <w:r w:rsidRPr="009C5EFD">
          <w:rPr>
            <w:sz w:val="22"/>
            <w:szCs w:val="22"/>
          </w:rPr>
          <w:delText>Omtrent 40</w:delText>
        </w:r>
        <w:r w:rsidR="006A2991" w:rsidRPr="009C5EFD">
          <w:rPr>
            <w:sz w:val="22"/>
            <w:szCs w:val="22"/>
          </w:rPr>
          <w:delText xml:space="preserve"> </w:delText>
        </w:r>
        <w:r w:rsidRPr="009C5EFD">
          <w:rPr>
            <w:sz w:val="22"/>
            <w:szCs w:val="22"/>
          </w:rPr>
          <w:delText>% av pasiente</w:delText>
        </w:r>
        <w:r w:rsidR="00C551E4" w:rsidRPr="009C5EFD">
          <w:rPr>
            <w:sz w:val="22"/>
            <w:szCs w:val="22"/>
          </w:rPr>
          <w:delText xml:space="preserve">ne i studien UC-II hadde </w:delText>
        </w:r>
        <w:r w:rsidR="00AA7EBE" w:rsidRPr="009C5EFD">
          <w:rPr>
            <w:sz w:val="22"/>
            <w:szCs w:val="22"/>
          </w:rPr>
          <w:delText xml:space="preserve">tidligere vært behandlet med </w:delText>
        </w:r>
        <w:r w:rsidRPr="009C5EFD">
          <w:rPr>
            <w:sz w:val="22"/>
            <w:szCs w:val="22"/>
          </w:rPr>
          <w:delText>TNF</w:delText>
        </w:r>
        <w:r w:rsidR="00AA7EBE" w:rsidRPr="009C5EFD">
          <w:rPr>
            <w:sz w:val="22"/>
            <w:szCs w:val="22"/>
          </w:rPr>
          <w:delText xml:space="preserve">-antagonisten </w:delText>
        </w:r>
        <w:r w:rsidRPr="009C5EFD">
          <w:rPr>
            <w:sz w:val="22"/>
            <w:szCs w:val="22"/>
          </w:rPr>
          <w:delText>infliksimab</w:delText>
        </w:r>
        <w:r w:rsidR="00AA7EBE" w:rsidRPr="009C5EFD">
          <w:rPr>
            <w:sz w:val="22"/>
            <w:szCs w:val="22"/>
          </w:rPr>
          <w:delText xml:space="preserve"> uten tilfredsstillende effekt</w:delText>
        </w:r>
        <w:r w:rsidRPr="009C5EFD">
          <w:rPr>
            <w:sz w:val="22"/>
            <w:szCs w:val="22"/>
          </w:rPr>
          <w:delText xml:space="preserve">. Effekten av adalimumab hos </w:delText>
        </w:r>
        <w:r w:rsidR="00C551E4" w:rsidRPr="009C5EFD">
          <w:rPr>
            <w:sz w:val="22"/>
            <w:szCs w:val="22"/>
          </w:rPr>
          <w:delText>disse pasientene</w:delText>
        </w:r>
        <w:r w:rsidRPr="009C5EFD">
          <w:rPr>
            <w:sz w:val="22"/>
            <w:szCs w:val="22"/>
          </w:rPr>
          <w:delText xml:space="preserve"> ble redusert </w:delText>
        </w:r>
        <w:r w:rsidR="00C551E4" w:rsidRPr="009C5EFD">
          <w:rPr>
            <w:sz w:val="22"/>
            <w:szCs w:val="22"/>
          </w:rPr>
          <w:lastRenderedPageBreak/>
          <w:delText xml:space="preserve">sammenlignet med det hos </w:delText>
        </w:r>
        <w:r w:rsidRPr="009C5EFD">
          <w:rPr>
            <w:sz w:val="22"/>
            <w:szCs w:val="22"/>
          </w:rPr>
          <w:delText>anti</w:delText>
        </w:r>
        <w:r w:rsidR="00C551E4" w:rsidRPr="009C5EFD">
          <w:rPr>
            <w:sz w:val="22"/>
            <w:szCs w:val="22"/>
          </w:rPr>
          <w:delText>-</w:delText>
        </w:r>
        <w:r w:rsidR="00AA7EBE" w:rsidRPr="009C5EFD">
          <w:rPr>
            <w:sz w:val="22"/>
            <w:szCs w:val="22"/>
          </w:rPr>
          <w:delText>TNF-</w:delText>
        </w:r>
        <w:r w:rsidRPr="009C5EFD">
          <w:rPr>
            <w:sz w:val="22"/>
            <w:szCs w:val="22"/>
          </w:rPr>
          <w:delText>naive pasienter. B</w:delText>
        </w:r>
        <w:r w:rsidR="00C551E4" w:rsidRPr="009C5EFD">
          <w:rPr>
            <w:sz w:val="22"/>
            <w:szCs w:val="22"/>
          </w:rPr>
          <w:delText>lant pasienter som hadde mislyktes</w:delText>
        </w:r>
        <w:r w:rsidRPr="009C5EFD">
          <w:rPr>
            <w:sz w:val="22"/>
            <w:szCs w:val="22"/>
          </w:rPr>
          <w:delText xml:space="preserve"> </w:delText>
        </w:r>
        <w:r w:rsidR="00AA7EBE" w:rsidRPr="009C5EFD">
          <w:rPr>
            <w:sz w:val="22"/>
            <w:szCs w:val="22"/>
          </w:rPr>
          <w:delText>tidligere</w:delText>
        </w:r>
        <w:r w:rsidRPr="009C5EFD">
          <w:rPr>
            <w:sz w:val="22"/>
            <w:szCs w:val="22"/>
          </w:rPr>
          <w:delText xml:space="preserve"> anti-TNF behandling, ble </w:delText>
        </w:r>
        <w:r w:rsidR="00AA7EBE" w:rsidRPr="009C5EFD">
          <w:rPr>
            <w:sz w:val="22"/>
            <w:szCs w:val="22"/>
          </w:rPr>
          <w:delText xml:space="preserve">remisjon ved </w:delText>
        </w:r>
        <w:r w:rsidRPr="009C5EFD">
          <w:rPr>
            <w:sz w:val="22"/>
            <w:szCs w:val="22"/>
          </w:rPr>
          <w:delText xml:space="preserve">uke 52 </w:delText>
        </w:r>
        <w:r w:rsidR="00C551E4" w:rsidRPr="009C5EFD">
          <w:rPr>
            <w:sz w:val="22"/>
            <w:szCs w:val="22"/>
          </w:rPr>
          <w:delText xml:space="preserve">oppnådd av </w:delText>
        </w:r>
        <w:r w:rsidRPr="009C5EFD">
          <w:rPr>
            <w:sz w:val="22"/>
            <w:szCs w:val="22"/>
          </w:rPr>
          <w:delText>3</w:delText>
        </w:r>
        <w:r w:rsidR="006A2991" w:rsidRPr="009C5EFD">
          <w:rPr>
            <w:sz w:val="22"/>
            <w:szCs w:val="22"/>
          </w:rPr>
          <w:delText xml:space="preserve"> </w:delText>
        </w:r>
        <w:r w:rsidRPr="009C5EFD">
          <w:rPr>
            <w:sz w:val="22"/>
            <w:szCs w:val="22"/>
          </w:rPr>
          <w:delText>% på placebo og 10 % på adalimumab.</w:delText>
        </w:r>
      </w:del>
    </w:p>
    <w:p w14:paraId="42774183" w14:textId="73A2F982" w:rsidR="00C551E4" w:rsidRPr="009C5EFD" w:rsidRDefault="00C551E4">
      <w:pPr>
        <w:keepNext/>
        <w:suppressAutoHyphens/>
        <w:rPr>
          <w:del w:id="9607" w:author="AbbVie02no" w:date="2025-05-15T13:45:00Z"/>
          <w:sz w:val="22"/>
          <w:szCs w:val="22"/>
        </w:rPr>
        <w:pPrChange w:id="9608" w:author="AbbVie02no" w:date="2025-05-15T13:45:00Z">
          <w:pPr>
            <w:suppressAutoHyphens/>
          </w:pPr>
        </w:pPrChange>
      </w:pPr>
    </w:p>
    <w:p w14:paraId="741907F1" w14:textId="66384211" w:rsidR="00C551E4" w:rsidRPr="009C5EFD" w:rsidRDefault="00E453CD">
      <w:pPr>
        <w:keepNext/>
        <w:suppressAutoHyphens/>
        <w:rPr>
          <w:del w:id="9609" w:author="AbbVie02no" w:date="2025-05-15T13:45:00Z"/>
          <w:sz w:val="22"/>
          <w:szCs w:val="22"/>
        </w:rPr>
        <w:pPrChange w:id="9610" w:author="AbbVie02no" w:date="2025-05-15T13:45:00Z">
          <w:pPr>
            <w:suppressAutoHyphens/>
          </w:pPr>
        </w:pPrChange>
      </w:pPr>
      <w:del w:id="9611" w:author="AbbVie02no" w:date="2025-05-15T13:45:00Z">
        <w:r w:rsidRPr="009C5EFD">
          <w:rPr>
            <w:sz w:val="22"/>
            <w:szCs w:val="22"/>
          </w:rPr>
          <w:delText xml:space="preserve">Pasienter fra studiene </w:delText>
        </w:r>
        <w:r w:rsidR="00EC30BB" w:rsidRPr="009C5EFD">
          <w:rPr>
            <w:sz w:val="22"/>
            <w:szCs w:val="22"/>
          </w:rPr>
          <w:delText>UC-</w:delText>
        </w:r>
        <w:r w:rsidRPr="009C5EFD">
          <w:rPr>
            <w:sz w:val="22"/>
            <w:szCs w:val="22"/>
          </w:rPr>
          <w:delText xml:space="preserve">I og </w:delText>
        </w:r>
        <w:r w:rsidR="00EC30BB" w:rsidRPr="009C5EFD">
          <w:rPr>
            <w:sz w:val="22"/>
            <w:szCs w:val="22"/>
          </w:rPr>
          <w:delText>UC-</w:delText>
        </w:r>
        <w:r w:rsidRPr="009C5EFD">
          <w:rPr>
            <w:sz w:val="22"/>
            <w:szCs w:val="22"/>
          </w:rPr>
          <w:delText>II hadde muligheten til å gå over i en åpen langsiktig forlengelsesstudie</w:delText>
        </w:r>
        <w:r w:rsidR="00EC30BB" w:rsidRPr="009C5EFD">
          <w:rPr>
            <w:sz w:val="22"/>
            <w:szCs w:val="22"/>
          </w:rPr>
          <w:delText xml:space="preserve"> (UC-III)</w:delText>
        </w:r>
        <w:r w:rsidRPr="009C5EFD">
          <w:rPr>
            <w:sz w:val="22"/>
            <w:szCs w:val="22"/>
          </w:rPr>
          <w:delText xml:space="preserve">. </w:delText>
        </w:r>
        <w:r w:rsidR="00EC30BB" w:rsidRPr="009C5EFD">
          <w:rPr>
            <w:sz w:val="22"/>
            <w:szCs w:val="22"/>
          </w:rPr>
          <w:delText xml:space="preserve">Etter 3 års behandling med adalimumab, fortsatte 75 % (301/402) å være i klinisk remisjon per </w:delText>
        </w:r>
        <w:r w:rsidR="00587E3A" w:rsidRPr="009C5EFD">
          <w:rPr>
            <w:sz w:val="22"/>
            <w:szCs w:val="22"/>
          </w:rPr>
          <w:delText>partiell</w:delText>
        </w:r>
        <w:r w:rsidR="00EC30BB" w:rsidRPr="009C5EFD">
          <w:rPr>
            <w:sz w:val="22"/>
            <w:szCs w:val="22"/>
          </w:rPr>
          <w:delText xml:space="preserve"> Mayo score.</w:delText>
        </w:r>
      </w:del>
    </w:p>
    <w:p w14:paraId="7F52A215" w14:textId="174B7320" w:rsidR="001B72BA" w:rsidRPr="009C5EFD" w:rsidRDefault="001B72BA">
      <w:pPr>
        <w:keepNext/>
        <w:suppressAutoHyphens/>
        <w:rPr>
          <w:del w:id="9612" w:author="AbbVie02no" w:date="2025-05-15T13:45:00Z"/>
          <w:szCs w:val="22"/>
        </w:rPr>
        <w:pPrChange w:id="9613" w:author="AbbVie02no" w:date="2025-05-15T13:45:00Z">
          <w:pPr>
            <w:pStyle w:val="Heading8"/>
            <w:keepNext w:val="0"/>
          </w:pPr>
        </w:pPrChange>
      </w:pPr>
    </w:p>
    <w:p w14:paraId="2020F172" w14:textId="49F91F62" w:rsidR="00EC30BB" w:rsidRPr="001F5D4B" w:rsidRDefault="00E453CD">
      <w:pPr>
        <w:keepNext/>
        <w:suppressAutoHyphens/>
        <w:rPr>
          <w:del w:id="9614" w:author="AbbVie02no" w:date="2025-05-15T13:45:00Z"/>
          <w:sz w:val="22"/>
          <w:szCs w:val="22"/>
          <w:u w:val="single"/>
        </w:rPr>
        <w:pPrChange w:id="9615" w:author="AbbVie02no" w:date="2025-05-15T13:45:00Z">
          <w:pPr>
            <w:keepNext/>
          </w:pPr>
        </w:pPrChange>
      </w:pPr>
      <w:del w:id="9616" w:author="AbbVie02no" w:date="2025-05-15T13:45:00Z">
        <w:r w:rsidRPr="001F5D4B">
          <w:rPr>
            <w:i/>
            <w:sz w:val="22"/>
            <w:szCs w:val="22"/>
            <w:u w:val="single"/>
          </w:rPr>
          <w:delText>Forekomst av sykehusinnleggelse</w:delText>
        </w:r>
        <w:r w:rsidR="00D84B9A" w:rsidRPr="001F5D4B">
          <w:rPr>
            <w:i/>
            <w:sz w:val="22"/>
            <w:szCs w:val="22"/>
            <w:u w:val="single"/>
          </w:rPr>
          <w:delText>r</w:delText>
        </w:r>
      </w:del>
    </w:p>
    <w:p w14:paraId="2ADB78F5" w14:textId="7535D50E" w:rsidR="00EC30BB" w:rsidRPr="007F67EE" w:rsidRDefault="00EC30BB">
      <w:pPr>
        <w:keepNext/>
        <w:suppressAutoHyphens/>
        <w:rPr>
          <w:del w:id="9617" w:author="AbbVie02no" w:date="2025-05-15T13:45:00Z"/>
          <w:sz w:val="22"/>
          <w:szCs w:val="22"/>
        </w:rPr>
        <w:pPrChange w:id="9618" w:author="AbbVie02no" w:date="2025-05-15T13:45:00Z">
          <w:pPr>
            <w:keepNext/>
          </w:pPr>
        </w:pPrChange>
      </w:pPr>
    </w:p>
    <w:p w14:paraId="40BC20FA" w14:textId="28D3FBB8" w:rsidR="00EC30BB" w:rsidRPr="009C5EFD" w:rsidRDefault="00E453CD">
      <w:pPr>
        <w:keepNext/>
        <w:suppressAutoHyphens/>
        <w:rPr>
          <w:del w:id="9619" w:author="AbbVie02no" w:date="2025-05-15T13:45:00Z"/>
          <w:sz w:val="22"/>
          <w:szCs w:val="22"/>
        </w:rPr>
        <w:pPrChange w:id="9620" w:author="AbbVie02no" w:date="2025-05-15T13:45:00Z">
          <w:pPr/>
        </w:pPrChange>
      </w:pPr>
      <w:del w:id="9621" w:author="AbbVie02no" w:date="2025-05-15T13:45:00Z">
        <w:r w:rsidRPr="00193D76">
          <w:rPr>
            <w:sz w:val="22"/>
            <w:szCs w:val="22"/>
          </w:rPr>
          <w:delText>I løpet av</w:delText>
        </w:r>
        <w:r w:rsidR="00C12D26" w:rsidRPr="002D0790">
          <w:rPr>
            <w:sz w:val="22"/>
            <w:szCs w:val="22"/>
          </w:rPr>
          <w:delText xml:space="preserve"> </w:delText>
        </w:r>
        <w:r w:rsidRPr="002D0790">
          <w:rPr>
            <w:sz w:val="22"/>
            <w:szCs w:val="22"/>
          </w:rPr>
          <w:delText>52 uker</w:delText>
        </w:r>
        <w:r w:rsidR="00C12D26" w:rsidRPr="00E14E58">
          <w:rPr>
            <w:sz w:val="22"/>
            <w:szCs w:val="22"/>
          </w:rPr>
          <w:delText xml:space="preserve"> </w:delText>
        </w:r>
        <w:r w:rsidRPr="009C5EFD">
          <w:rPr>
            <w:sz w:val="22"/>
            <w:szCs w:val="22"/>
          </w:rPr>
          <w:delText>i</w:delText>
        </w:r>
        <w:r w:rsidR="00C12D26" w:rsidRPr="009C5EFD">
          <w:rPr>
            <w:sz w:val="22"/>
            <w:szCs w:val="22"/>
          </w:rPr>
          <w:delText xml:space="preserve"> studiene UC-I og UC-II, </w:delText>
        </w:r>
        <w:r w:rsidR="00FF24B8" w:rsidRPr="009C5EFD">
          <w:rPr>
            <w:sz w:val="22"/>
            <w:szCs w:val="22"/>
          </w:rPr>
          <w:delText xml:space="preserve">ble </w:delText>
        </w:r>
        <w:r w:rsidR="00EC4462" w:rsidRPr="009C5EFD">
          <w:rPr>
            <w:sz w:val="22"/>
            <w:szCs w:val="22"/>
          </w:rPr>
          <w:delText>det observert lavere</w:delText>
        </w:r>
        <w:r w:rsidR="00C12D26" w:rsidRPr="009C5EFD">
          <w:rPr>
            <w:sz w:val="22"/>
            <w:szCs w:val="22"/>
          </w:rPr>
          <w:delText xml:space="preserve"> forekomst av sykehusinnleggelse</w:delText>
        </w:r>
        <w:r w:rsidR="00E6728F" w:rsidRPr="009C5EFD">
          <w:rPr>
            <w:sz w:val="22"/>
            <w:szCs w:val="22"/>
          </w:rPr>
          <w:delText>r</w:delText>
        </w:r>
        <w:r w:rsidR="00C12D26" w:rsidRPr="009C5EFD">
          <w:rPr>
            <w:sz w:val="22"/>
            <w:szCs w:val="22"/>
          </w:rPr>
          <w:delText xml:space="preserve"> </w:delText>
        </w:r>
        <w:r w:rsidR="0021582E" w:rsidRPr="009C5EFD">
          <w:rPr>
            <w:sz w:val="22"/>
            <w:szCs w:val="22"/>
          </w:rPr>
          <w:delText>uansett</w:delText>
        </w:r>
        <w:r w:rsidR="00C12D26" w:rsidRPr="009C5EFD">
          <w:rPr>
            <w:sz w:val="22"/>
            <w:szCs w:val="22"/>
          </w:rPr>
          <w:delText xml:space="preserve"> årsak og UC-relatert</w:delText>
        </w:r>
        <w:r w:rsidR="00EC4462" w:rsidRPr="009C5EFD">
          <w:rPr>
            <w:sz w:val="22"/>
            <w:szCs w:val="22"/>
          </w:rPr>
          <w:delText>e</w:delText>
        </w:r>
        <w:r w:rsidR="00C12D26" w:rsidRPr="009C5EFD">
          <w:rPr>
            <w:sz w:val="22"/>
            <w:szCs w:val="22"/>
          </w:rPr>
          <w:delText xml:space="preserve"> sykehusinnleggelse</w:delText>
        </w:r>
        <w:r w:rsidR="00EC4462" w:rsidRPr="009C5EFD">
          <w:rPr>
            <w:sz w:val="22"/>
            <w:szCs w:val="22"/>
          </w:rPr>
          <w:delText>r</w:delText>
        </w:r>
        <w:r w:rsidR="00C12D26" w:rsidRPr="009C5EFD">
          <w:rPr>
            <w:sz w:val="22"/>
            <w:szCs w:val="22"/>
          </w:rPr>
          <w:delText xml:space="preserve"> for </w:delText>
        </w:r>
        <w:r w:rsidR="00D84B9A" w:rsidRPr="009C5EFD">
          <w:rPr>
            <w:sz w:val="22"/>
            <w:szCs w:val="22"/>
          </w:rPr>
          <w:delText xml:space="preserve">behandlingsgruppen som fikk </w:delText>
        </w:r>
        <w:r w:rsidR="00C12D26" w:rsidRPr="009C5EFD">
          <w:rPr>
            <w:sz w:val="22"/>
            <w:szCs w:val="22"/>
          </w:rPr>
          <w:delText xml:space="preserve">adalimumab sammenlignet med placebogruppen. Antall sykehusinnleggelser </w:delText>
        </w:r>
        <w:r w:rsidR="0021582E" w:rsidRPr="009C5EFD">
          <w:rPr>
            <w:sz w:val="22"/>
            <w:szCs w:val="22"/>
          </w:rPr>
          <w:delText>uansett</w:delText>
        </w:r>
        <w:r w:rsidR="00C12D26" w:rsidRPr="009C5EFD">
          <w:rPr>
            <w:sz w:val="22"/>
            <w:szCs w:val="22"/>
          </w:rPr>
          <w:delText xml:space="preserve"> årsak i adalimumabgruppen var 0,18 per pasientår </w:delText>
        </w:r>
        <w:r w:rsidR="00C12D26" w:rsidRPr="009C5EFD">
          <w:rPr>
            <w:i/>
            <w:sz w:val="22"/>
            <w:szCs w:val="22"/>
          </w:rPr>
          <w:delText>v</w:delText>
        </w:r>
        <w:r w:rsidR="0021582E" w:rsidRPr="009C5EFD">
          <w:rPr>
            <w:i/>
            <w:sz w:val="22"/>
            <w:szCs w:val="22"/>
          </w:rPr>
          <w:delText>s</w:delText>
        </w:r>
        <w:r w:rsidR="0021582E" w:rsidRPr="009C5EFD">
          <w:rPr>
            <w:sz w:val="22"/>
            <w:szCs w:val="22"/>
          </w:rPr>
          <w:delText>.</w:delText>
        </w:r>
        <w:r w:rsidR="00C12D26" w:rsidRPr="009C5EFD">
          <w:rPr>
            <w:sz w:val="22"/>
            <w:szCs w:val="22"/>
          </w:rPr>
          <w:delText xml:space="preserve"> 0,26 per pasientår i placebogruppen og tilsvarende utfall for UC-relaterte sykehusinnleggelser var 0,12 per pasientår </w:delText>
        </w:r>
        <w:r w:rsidR="00C12D26" w:rsidRPr="009C5EFD">
          <w:rPr>
            <w:i/>
            <w:sz w:val="22"/>
            <w:szCs w:val="22"/>
          </w:rPr>
          <w:delText>v</w:delText>
        </w:r>
        <w:r w:rsidR="0021582E" w:rsidRPr="009C5EFD">
          <w:rPr>
            <w:i/>
            <w:sz w:val="22"/>
            <w:szCs w:val="22"/>
          </w:rPr>
          <w:delText>s</w:delText>
        </w:r>
        <w:r w:rsidR="0021582E" w:rsidRPr="009C5EFD">
          <w:rPr>
            <w:sz w:val="22"/>
            <w:szCs w:val="22"/>
          </w:rPr>
          <w:delText>.</w:delText>
        </w:r>
        <w:r w:rsidR="00C12D26" w:rsidRPr="009C5EFD">
          <w:rPr>
            <w:sz w:val="22"/>
            <w:szCs w:val="22"/>
          </w:rPr>
          <w:delText xml:space="preserve"> 0,22 per pasientår.</w:delText>
        </w:r>
      </w:del>
    </w:p>
    <w:p w14:paraId="0C49E5B9" w14:textId="676C984F" w:rsidR="00C12D26" w:rsidRPr="009C5EFD" w:rsidRDefault="00C12D26">
      <w:pPr>
        <w:keepNext/>
        <w:suppressAutoHyphens/>
        <w:rPr>
          <w:del w:id="9622" w:author="AbbVie02no" w:date="2025-05-15T13:45:00Z"/>
          <w:sz w:val="22"/>
          <w:szCs w:val="22"/>
        </w:rPr>
        <w:pPrChange w:id="9623" w:author="AbbVie02no" w:date="2025-05-15T13:45:00Z">
          <w:pPr/>
        </w:pPrChange>
      </w:pPr>
    </w:p>
    <w:p w14:paraId="09FEA7F4" w14:textId="693B5F32" w:rsidR="00C12D26" w:rsidRPr="001F5D4B" w:rsidRDefault="00E453CD">
      <w:pPr>
        <w:keepNext/>
        <w:suppressAutoHyphens/>
        <w:rPr>
          <w:del w:id="9624" w:author="AbbVie02no" w:date="2025-05-15T13:45:00Z"/>
          <w:i/>
          <w:sz w:val="22"/>
          <w:szCs w:val="22"/>
          <w:u w:val="single"/>
        </w:rPr>
        <w:pPrChange w:id="9625" w:author="AbbVie02no" w:date="2025-05-15T13:45:00Z">
          <w:pPr>
            <w:keepNext/>
          </w:pPr>
        </w:pPrChange>
      </w:pPr>
      <w:del w:id="9626" w:author="AbbVie02no" w:date="2025-05-15T13:45:00Z">
        <w:r w:rsidRPr="001F5D4B">
          <w:rPr>
            <w:i/>
            <w:sz w:val="22"/>
            <w:szCs w:val="22"/>
            <w:u w:val="single"/>
          </w:rPr>
          <w:delText>Livskvalitet</w:delText>
        </w:r>
      </w:del>
    </w:p>
    <w:p w14:paraId="097DE288" w14:textId="25BFE4E5" w:rsidR="00C12D26" w:rsidRPr="007F67EE" w:rsidRDefault="00C12D26">
      <w:pPr>
        <w:keepNext/>
        <w:suppressAutoHyphens/>
        <w:rPr>
          <w:del w:id="9627" w:author="AbbVie02no" w:date="2025-05-15T13:45:00Z"/>
          <w:sz w:val="22"/>
          <w:szCs w:val="22"/>
        </w:rPr>
        <w:pPrChange w:id="9628" w:author="AbbVie02no" w:date="2025-05-15T13:45:00Z">
          <w:pPr>
            <w:keepNext/>
          </w:pPr>
        </w:pPrChange>
      </w:pPr>
    </w:p>
    <w:p w14:paraId="3D68394C" w14:textId="3731A563" w:rsidR="00C12D26" w:rsidRDefault="00E453CD">
      <w:pPr>
        <w:keepNext/>
        <w:suppressAutoHyphens/>
        <w:rPr>
          <w:del w:id="9629" w:author="AbbVie02no" w:date="2025-05-15T13:45:00Z"/>
          <w:sz w:val="22"/>
          <w:szCs w:val="22"/>
        </w:rPr>
        <w:pPrChange w:id="9630" w:author="AbbVie02no" w:date="2025-05-15T13:45:00Z">
          <w:pPr/>
        </w:pPrChange>
      </w:pPr>
      <w:del w:id="9631" w:author="AbbVie02no" w:date="2025-05-15T13:45:00Z">
        <w:r w:rsidRPr="00193D76">
          <w:rPr>
            <w:sz w:val="22"/>
            <w:szCs w:val="22"/>
          </w:rPr>
          <w:delText>Behandling med adalimumab, i studien UC-II, førte til forbedring i IBDQ (</w:delText>
        </w:r>
        <w:r w:rsidRPr="002D0790">
          <w:rPr>
            <w:sz w:val="22"/>
            <w:szCs w:val="22"/>
          </w:rPr>
          <w:delText>Inflammatory Bowel Disease Questionnaire) score.</w:delText>
        </w:r>
      </w:del>
    </w:p>
    <w:p w14:paraId="626AF3CC" w14:textId="06A28E3A" w:rsidR="00B427EF" w:rsidRDefault="00B427EF">
      <w:pPr>
        <w:keepNext/>
        <w:suppressAutoHyphens/>
        <w:rPr>
          <w:del w:id="9632" w:author="AbbVie02no" w:date="2025-05-15T13:45:00Z"/>
          <w:sz w:val="22"/>
          <w:szCs w:val="22"/>
        </w:rPr>
        <w:pPrChange w:id="9633" w:author="AbbVie02no" w:date="2025-05-15T13:45:00Z">
          <w:pPr/>
        </w:pPrChange>
      </w:pPr>
    </w:p>
    <w:p w14:paraId="3C17B51F" w14:textId="47B84FBB" w:rsidR="00B427EF" w:rsidRPr="00F05EB5" w:rsidRDefault="00E453CD">
      <w:pPr>
        <w:keepNext/>
        <w:suppressAutoHyphens/>
        <w:rPr>
          <w:del w:id="9634" w:author="AbbVie02no" w:date="2025-05-15T13:45:00Z"/>
          <w:bCs/>
          <w:i/>
          <w:szCs w:val="22"/>
        </w:rPr>
        <w:pPrChange w:id="9635" w:author="AbbVie02no" w:date="2025-05-15T13:45:00Z">
          <w:pPr>
            <w:pStyle w:val="EMEANormal"/>
            <w:keepNext/>
          </w:pPr>
        </w:pPrChange>
      </w:pPr>
      <w:del w:id="9636" w:author="AbbVie02no" w:date="2025-05-15T13:45:00Z">
        <w:r w:rsidRPr="00F05EB5">
          <w:rPr>
            <w:bCs/>
            <w:i/>
            <w:szCs w:val="22"/>
          </w:rPr>
          <w:delText>Uveitt</w:delText>
        </w:r>
      </w:del>
    </w:p>
    <w:p w14:paraId="748C4232" w14:textId="04D79D57" w:rsidR="00B427EF" w:rsidRPr="00F05EB5" w:rsidRDefault="00B427EF">
      <w:pPr>
        <w:keepNext/>
        <w:suppressAutoHyphens/>
        <w:rPr>
          <w:del w:id="9637" w:author="AbbVie02no" w:date="2025-05-15T13:45:00Z"/>
          <w:bCs/>
          <w:szCs w:val="22"/>
        </w:rPr>
        <w:pPrChange w:id="9638" w:author="AbbVie02no" w:date="2025-05-15T13:45:00Z">
          <w:pPr>
            <w:pStyle w:val="EMEANormal"/>
            <w:keepNext/>
          </w:pPr>
        </w:pPrChange>
      </w:pPr>
    </w:p>
    <w:p w14:paraId="43D4737F" w14:textId="2924F0FE" w:rsidR="00B427EF" w:rsidRPr="00F05EB5" w:rsidRDefault="00E453CD">
      <w:pPr>
        <w:keepNext/>
        <w:suppressAutoHyphens/>
        <w:rPr>
          <w:del w:id="9639" w:author="AbbVie02no" w:date="2025-05-15T13:45:00Z"/>
          <w:szCs w:val="22"/>
        </w:rPr>
        <w:pPrChange w:id="9640" w:author="AbbVie02no" w:date="2025-05-15T13:45:00Z">
          <w:pPr>
            <w:pStyle w:val="EMEANormal"/>
          </w:pPr>
        </w:pPrChange>
      </w:pPr>
      <w:del w:id="9641" w:author="AbbVie02no" w:date="2025-05-15T13:45:00Z">
        <w:r w:rsidRPr="00F05EB5">
          <w:rPr>
            <w:szCs w:val="22"/>
          </w:rPr>
          <w:delText>I</w:delText>
        </w:r>
        <w:r w:rsidRPr="00B33BB5">
          <w:rPr>
            <w:szCs w:val="22"/>
          </w:rPr>
          <w:delText xml:space="preserve"> t</w:delText>
        </w:r>
        <w:r w:rsidRPr="00E06CB6">
          <w:rPr>
            <w:szCs w:val="22"/>
          </w:rPr>
          <w:delText>o randomise</w:delText>
        </w:r>
        <w:r>
          <w:rPr>
            <w:szCs w:val="22"/>
          </w:rPr>
          <w:delText>rte</w:delText>
        </w:r>
        <w:r w:rsidRPr="00B33BB5">
          <w:rPr>
            <w:szCs w:val="22"/>
          </w:rPr>
          <w:delText xml:space="preserve">, </w:delText>
        </w:r>
        <w:r>
          <w:rPr>
            <w:szCs w:val="22"/>
          </w:rPr>
          <w:delText>dobbeltblinde</w:delText>
        </w:r>
        <w:r w:rsidRPr="00B33BB5">
          <w:rPr>
            <w:szCs w:val="22"/>
          </w:rPr>
          <w:delText>, placebo</w:delText>
        </w:r>
        <w:r>
          <w:rPr>
            <w:szCs w:val="22"/>
          </w:rPr>
          <w:delText>kontrollerte</w:delText>
        </w:r>
        <w:r w:rsidRPr="00B33BB5">
          <w:rPr>
            <w:szCs w:val="22"/>
          </w:rPr>
          <w:delText xml:space="preserve"> studie</w:delText>
        </w:r>
        <w:r>
          <w:rPr>
            <w:szCs w:val="22"/>
          </w:rPr>
          <w:delText>r</w:delText>
        </w:r>
        <w:r w:rsidRPr="00B33BB5">
          <w:rPr>
            <w:szCs w:val="22"/>
          </w:rPr>
          <w:delText xml:space="preserve"> (UV I </w:delText>
        </w:r>
        <w:r>
          <w:rPr>
            <w:szCs w:val="22"/>
          </w:rPr>
          <w:delText>og</w:delText>
        </w:r>
        <w:r w:rsidRPr="00B33BB5">
          <w:rPr>
            <w:szCs w:val="22"/>
          </w:rPr>
          <w:delText xml:space="preserve"> II)</w:delText>
        </w:r>
        <w:r>
          <w:rPr>
            <w:szCs w:val="22"/>
          </w:rPr>
          <w:delText xml:space="preserve"> ble s</w:delText>
        </w:r>
        <w:r w:rsidR="00E06CB6" w:rsidRPr="00F05EB5">
          <w:rPr>
            <w:szCs w:val="22"/>
          </w:rPr>
          <w:delText>ikkerhet og effekt av</w:delText>
        </w:r>
        <w:r w:rsidRPr="00F05EB5">
          <w:rPr>
            <w:szCs w:val="22"/>
          </w:rPr>
          <w:delText xml:space="preserve"> Humira </w:delText>
        </w:r>
        <w:r w:rsidR="00E06CB6" w:rsidRPr="00F05EB5">
          <w:rPr>
            <w:szCs w:val="22"/>
          </w:rPr>
          <w:delText>vurdert hos voksne pasienter med</w:delText>
        </w:r>
        <w:r w:rsidRPr="00F05EB5">
          <w:rPr>
            <w:szCs w:val="22"/>
          </w:rPr>
          <w:delText xml:space="preserve"> </w:delText>
        </w:r>
        <w:r w:rsidR="00E06CB6" w:rsidRPr="00F05EB5">
          <w:rPr>
            <w:szCs w:val="22"/>
          </w:rPr>
          <w:delText>ikke-infeksiøs intermediær</w:delText>
        </w:r>
        <w:r w:rsidRPr="00F05EB5">
          <w:rPr>
            <w:szCs w:val="22"/>
          </w:rPr>
          <w:delText xml:space="preserve">, posterior </w:delText>
        </w:r>
        <w:r w:rsidR="00E06CB6">
          <w:rPr>
            <w:szCs w:val="22"/>
          </w:rPr>
          <w:delText>og</w:delText>
        </w:r>
        <w:r w:rsidR="00E06CB6" w:rsidRPr="00E06CB6">
          <w:rPr>
            <w:szCs w:val="22"/>
          </w:rPr>
          <w:delText xml:space="preserve"> panuvei</w:delText>
        </w:r>
        <w:r w:rsidR="00E06CB6">
          <w:rPr>
            <w:szCs w:val="22"/>
          </w:rPr>
          <w:delText>tt</w:delText>
        </w:r>
        <w:r w:rsidRPr="00F05EB5">
          <w:rPr>
            <w:szCs w:val="22"/>
          </w:rPr>
          <w:delText xml:space="preserve">, </w:delText>
        </w:r>
        <w:r w:rsidR="00E06CB6">
          <w:rPr>
            <w:szCs w:val="22"/>
          </w:rPr>
          <w:delText>med unntak av pasienter med isolert</w:delText>
        </w:r>
        <w:r w:rsidR="00E06CB6" w:rsidRPr="00E06CB6">
          <w:rPr>
            <w:szCs w:val="22"/>
          </w:rPr>
          <w:delText xml:space="preserve"> anterior uvei</w:delText>
        </w:r>
        <w:r w:rsidR="00E06CB6">
          <w:rPr>
            <w:szCs w:val="22"/>
          </w:rPr>
          <w:delText>tt</w:delText>
        </w:r>
        <w:r w:rsidRPr="00F05EB5">
          <w:rPr>
            <w:szCs w:val="22"/>
          </w:rPr>
          <w:delText xml:space="preserve">. </w:delText>
        </w:r>
        <w:r w:rsidR="00E06CB6" w:rsidRPr="00F05EB5">
          <w:rPr>
            <w:szCs w:val="22"/>
          </w:rPr>
          <w:delText>Pasienter</w:delText>
        </w:r>
        <w:r w:rsidRPr="00F05EB5">
          <w:rPr>
            <w:szCs w:val="22"/>
          </w:rPr>
          <w:delText xml:space="preserve"> </w:delText>
        </w:r>
        <w:r w:rsidR="00E06CB6" w:rsidRPr="00F05EB5">
          <w:rPr>
            <w:szCs w:val="22"/>
          </w:rPr>
          <w:delText>fikk</w:delText>
        </w:r>
        <w:r w:rsidRPr="00F05EB5">
          <w:rPr>
            <w:szCs w:val="22"/>
          </w:rPr>
          <w:delText xml:space="preserve"> placebo </w:delText>
        </w:r>
        <w:r w:rsidR="00E06CB6" w:rsidRPr="00F05EB5">
          <w:rPr>
            <w:szCs w:val="22"/>
          </w:rPr>
          <w:delText>eller</w:delText>
        </w:r>
        <w:r w:rsidRPr="00F05EB5">
          <w:rPr>
            <w:szCs w:val="22"/>
          </w:rPr>
          <w:delText xml:space="preserve"> Humira </w:delText>
        </w:r>
        <w:r w:rsidR="00E06CB6" w:rsidRPr="00F05EB5">
          <w:rPr>
            <w:szCs w:val="22"/>
          </w:rPr>
          <w:delText>med en oppstarts</w:delText>
        </w:r>
        <w:r w:rsidRPr="00F05EB5">
          <w:rPr>
            <w:szCs w:val="22"/>
          </w:rPr>
          <w:delText xml:space="preserve">dose </w:delText>
        </w:r>
        <w:r w:rsidR="00E06CB6" w:rsidRPr="00F05EB5">
          <w:rPr>
            <w:szCs w:val="22"/>
          </w:rPr>
          <w:delText>på</w:delText>
        </w:r>
        <w:r w:rsidRPr="00F05EB5">
          <w:rPr>
            <w:szCs w:val="22"/>
          </w:rPr>
          <w:delText xml:space="preserve"> 80 mg</w:delText>
        </w:r>
        <w:r w:rsidR="009632BF">
          <w:rPr>
            <w:szCs w:val="22"/>
          </w:rPr>
          <w:delText>,</w:delText>
        </w:r>
        <w:r w:rsidRPr="00F05EB5">
          <w:rPr>
            <w:szCs w:val="22"/>
          </w:rPr>
          <w:delText xml:space="preserve"> </w:delText>
        </w:r>
        <w:r w:rsidR="00E06CB6" w:rsidRPr="00F05EB5">
          <w:rPr>
            <w:szCs w:val="22"/>
          </w:rPr>
          <w:delText>etterfulgt av</w:delText>
        </w:r>
        <w:r w:rsidRPr="00F05EB5">
          <w:rPr>
            <w:szCs w:val="22"/>
          </w:rPr>
          <w:delText xml:space="preserve"> 40 mg </w:delText>
        </w:r>
        <w:r w:rsidR="00E06CB6">
          <w:rPr>
            <w:szCs w:val="22"/>
          </w:rPr>
          <w:delText xml:space="preserve">annenhver uke </w:delText>
        </w:r>
        <w:r w:rsidR="009C0BA4">
          <w:rPr>
            <w:szCs w:val="22"/>
          </w:rPr>
          <w:delText>med start</w:delText>
        </w:r>
        <w:r w:rsidR="00E06CB6">
          <w:rPr>
            <w:szCs w:val="22"/>
          </w:rPr>
          <w:delText xml:space="preserve"> </w:delText>
        </w:r>
        <w:r w:rsidR="00B873CB">
          <w:rPr>
            <w:szCs w:val="22"/>
          </w:rPr>
          <w:delText>é</w:delText>
        </w:r>
        <w:r w:rsidR="00E06CB6">
          <w:rPr>
            <w:szCs w:val="22"/>
          </w:rPr>
          <w:delText>n uke etter oppstartsdosen</w:delText>
        </w:r>
        <w:r w:rsidRPr="00F05EB5">
          <w:rPr>
            <w:szCs w:val="22"/>
          </w:rPr>
          <w:delText xml:space="preserve">. Samtidig </w:delText>
        </w:r>
        <w:r w:rsidR="009C0BA4">
          <w:rPr>
            <w:szCs w:val="22"/>
          </w:rPr>
          <w:delText>behandling med</w:delText>
        </w:r>
        <w:r w:rsidRPr="00AE151F">
          <w:rPr>
            <w:szCs w:val="22"/>
          </w:rPr>
          <w:delText xml:space="preserve"> stabile doser av e</w:delText>
        </w:r>
        <w:r>
          <w:rPr>
            <w:szCs w:val="22"/>
          </w:rPr>
          <w:delText>t</w:delText>
        </w:r>
        <w:r w:rsidR="009C0BA4">
          <w:rPr>
            <w:szCs w:val="22"/>
          </w:rPr>
          <w:delText>t</w:delText>
        </w:r>
        <w:r w:rsidRPr="00F05EB5">
          <w:rPr>
            <w:szCs w:val="22"/>
          </w:rPr>
          <w:delText xml:space="preserve"> ikke-biologisk </w:delText>
        </w:r>
        <w:r w:rsidR="009C0BA4">
          <w:rPr>
            <w:szCs w:val="22"/>
          </w:rPr>
          <w:delText>immun</w:delText>
        </w:r>
        <w:r w:rsidRPr="00AE151F">
          <w:rPr>
            <w:szCs w:val="22"/>
          </w:rPr>
          <w:delText>suppressivt legemiddel</w:delText>
        </w:r>
        <w:r>
          <w:rPr>
            <w:szCs w:val="22"/>
          </w:rPr>
          <w:delText xml:space="preserve"> var tillatt</w:delText>
        </w:r>
        <w:r w:rsidRPr="00F05EB5">
          <w:rPr>
            <w:szCs w:val="22"/>
          </w:rPr>
          <w:delText xml:space="preserve">. </w:delText>
        </w:r>
      </w:del>
    </w:p>
    <w:p w14:paraId="485FA860" w14:textId="093E18EB" w:rsidR="00B427EF" w:rsidRPr="00F05EB5" w:rsidRDefault="00B427EF">
      <w:pPr>
        <w:keepNext/>
        <w:suppressAutoHyphens/>
        <w:rPr>
          <w:del w:id="9642" w:author="AbbVie02no" w:date="2025-05-15T13:45:00Z"/>
          <w:szCs w:val="22"/>
        </w:rPr>
        <w:pPrChange w:id="9643" w:author="AbbVie02no" w:date="2025-05-15T13:45:00Z">
          <w:pPr>
            <w:pStyle w:val="EMEANormal"/>
          </w:pPr>
        </w:pPrChange>
      </w:pPr>
    </w:p>
    <w:p w14:paraId="18CB5188" w14:textId="4128633B" w:rsidR="00B427EF" w:rsidRPr="00F05EB5" w:rsidRDefault="00E453CD">
      <w:pPr>
        <w:keepNext/>
        <w:suppressAutoHyphens/>
        <w:rPr>
          <w:del w:id="9644" w:author="AbbVie02no" w:date="2025-05-15T13:45:00Z"/>
          <w:szCs w:val="22"/>
        </w:rPr>
        <w:pPrChange w:id="9645" w:author="AbbVie02no" w:date="2025-05-15T13:45:00Z">
          <w:pPr>
            <w:pStyle w:val="EMEANormal"/>
          </w:pPr>
        </w:pPrChange>
      </w:pPr>
      <w:del w:id="9646" w:author="AbbVie02no" w:date="2025-05-15T13:45:00Z">
        <w:r w:rsidRPr="00F05EB5">
          <w:rPr>
            <w:szCs w:val="22"/>
          </w:rPr>
          <w:delText xml:space="preserve">Studie UV I undersøkte 217 pasienter med </w:delText>
        </w:r>
        <w:r>
          <w:rPr>
            <w:szCs w:val="22"/>
          </w:rPr>
          <w:delText>aktiv uveitt</w:delText>
        </w:r>
        <w:r w:rsidRPr="00F05EB5">
          <w:rPr>
            <w:szCs w:val="22"/>
          </w:rPr>
          <w:delText xml:space="preserve"> </w:delText>
        </w:r>
        <w:r>
          <w:rPr>
            <w:szCs w:val="22"/>
          </w:rPr>
          <w:delText>til tross for behandling med kortikosteroider</w:delText>
        </w:r>
        <w:r w:rsidRPr="00AE151F">
          <w:rPr>
            <w:szCs w:val="22"/>
          </w:rPr>
          <w:delText xml:space="preserve"> (oral prednison</w:delText>
        </w:r>
        <w:r w:rsidRPr="00F05EB5">
          <w:rPr>
            <w:szCs w:val="22"/>
          </w:rPr>
          <w:delText xml:space="preserve"> </w:delText>
        </w:r>
        <w:r>
          <w:rPr>
            <w:szCs w:val="22"/>
          </w:rPr>
          <w:delText>i en</w:delText>
        </w:r>
        <w:r w:rsidRPr="00F05EB5">
          <w:rPr>
            <w:szCs w:val="22"/>
          </w:rPr>
          <w:delText xml:space="preserve"> dose </w:delText>
        </w:r>
        <w:r>
          <w:rPr>
            <w:szCs w:val="22"/>
          </w:rPr>
          <w:delText>på</w:delText>
        </w:r>
        <w:r w:rsidRPr="00F05EB5">
          <w:rPr>
            <w:szCs w:val="22"/>
          </w:rPr>
          <w:delText xml:space="preserve"> 10</w:delText>
        </w:r>
        <w:r w:rsidR="00332163">
          <w:rPr>
            <w:szCs w:val="22"/>
          </w:rPr>
          <w:delText>-</w:delText>
        </w:r>
        <w:r w:rsidRPr="00AE151F">
          <w:rPr>
            <w:szCs w:val="22"/>
          </w:rPr>
          <w:delText>60 mg/da</w:delText>
        </w:r>
        <w:r>
          <w:rPr>
            <w:szCs w:val="22"/>
          </w:rPr>
          <w:delText>g</w:delText>
        </w:r>
        <w:r w:rsidRPr="00F05EB5">
          <w:rPr>
            <w:szCs w:val="22"/>
          </w:rPr>
          <w:delText xml:space="preserve">). </w:delText>
        </w:r>
        <w:r w:rsidR="00332163">
          <w:rPr>
            <w:szCs w:val="22"/>
          </w:rPr>
          <w:delText>V</w:delText>
        </w:r>
        <w:r w:rsidR="00332163" w:rsidRPr="00620CBF">
          <w:rPr>
            <w:szCs w:val="22"/>
          </w:rPr>
          <w:delText xml:space="preserve">ed </w:delText>
        </w:r>
        <w:r w:rsidR="00332163">
          <w:rPr>
            <w:szCs w:val="22"/>
          </w:rPr>
          <w:delText>studiestart</w:delText>
        </w:r>
        <w:r w:rsidR="00332163" w:rsidRPr="00620CBF">
          <w:rPr>
            <w:szCs w:val="22"/>
          </w:rPr>
          <w:delText xml:space="preserve"> </w:delText>
        </w:r>
        <w:r w:rsidR="00332163">
          <w:rPr>
            <w:szCs w:val="22"/>
          </w:rPr>
          <w:delText>fikk a</w:delText>
        </w:r>
        <w:r w:rsidRPr="00F05EB5">
          <w:rPr>
            <w:szCs w:val="22"/>
          </w:rPr>
          <w:delText>ll</w:delText>
        </w:r>
        <w:r w:rsidR="00023DE1" w:rsidRPr="00F05EB5">
          <w:rPr>
            <w:szCs w:val="22"/>
          </w:rPr>
          <w:delText>e pasientene</w:delText>
        </w:r>
        <w:r w:rsidRPr="00F05EB5">
          <w:rPr>
            <w:szCs w:val="22"/>
          </w:rPr>
          <w:delText xml:space="preserve"> </w:delText>
        </w:r>
        <w:r w:rsidR="00332163">
          <w:rPr>
            <w:szCs w:val="22"/>
          </w:rPr>
          <w:delText>e</w:delText>
        </w:r>
        <w:r w:rsidR="00023DE1" w:rsidRPr="00F05EB5">
          <w:rPr>
            <w:szCs w:val="22"/>
          </w:rPr>
          <w:delText>n standar</w:delText>
        </w:r>
        <w:r w:rsidR="00332163">
          <w:rPr>
            <w:szCs w:val="22"/>
          </w:rPr>
          <w:delText>d</w:delText>
        </w:r>
        <w:r w:rsidR="00023DE1" w:rsidRPr="00F05EB5">
          <w:rPr>
            <w:szCs w:val="22"/>
          </w:rPr>
          <w:delText xml:space="preserve"> dose av</w:delText>
        </w:r>
        <w:r w:rsidRPr="00F05EB5">
          <w:rPr>
            <w:szCs w:val="22"/>
          </w:rPr>
          <w:delText xml:space="preserve"> prednison</w:delText>
        </w:r>
        <w:r w:rsidR="00023DE1" w:rsidRPr="00F05EB5">
          <w:rPr>
            <w:szCs w:val="22"/>
          </w:rPr>
          <w:delText xml:space="preserve"> 60 mg/dag</w:delText>
        </w:r>
        <w:r w:rsidRPr="00F05EB5">
          <w:rPr>
            <w:szCs w:val="22"/>
          </w:rPr>
          <w:delText xml:space="preserve"> </w:delText>
        </w:r>
        <w:r w:rsidR="00332163">
          <w:rPr>
            <w:szCs w:val="22"/>
          </w:rPr>
          <w:delText xml:space="preserve">i 2 uker, </w:delText>
        </w:r>
        <w:r w:rsidR="00023DE1" w:rsidRPr="00023DE1">
          <w:rPr>
            <w:szCs w:val="22"/>
          </w:rPr>
          <w:delText>etterfulgt av e</w:delText>
        </w:r>
        <w:r w:rsidR="00023DE1">
          <w:rPr>
            <w:szCs w:val="22"/>
          </w:rPr>
          <w:delText>t</w:delText>
        </w:r>
        <w:r w:rsidR="00023DE1" w:rsidRPr="00F05EB5">
          <w:rPr>
            <w:szCs w:val="22"/>
          </w:rPr>
          <w:delText xml:space="preserve"> </w:delText>
        </w:r>
        <w:r w:rsidR="00332163">
          <w:rPr>
            <w:szCs w:val="22"/>
          </w:rPr>
          <w:delText>obligatorisk</w:delText>
        </w:r>
        <w:r w:rsidR="00023DE1" w:rsidRPr="00F05EB5">
          <w:rPr>
            <w:szCs w:val="22"/>
          </w:rPr>
          <w:delText xml:space="preserve"> </w:delText>
        </w:r>
        <w:r w:rsidR="00023DE1">
          <w:rPr>
            <w:szCs w:val="22"/>
          </w:rPr>
          <w:delText>nedtrappings</w:delText>
        </w:r>
        <w:r w:rsidR="00332163">
          <w:rPr>
            <w:szCs w:val="22"/>
          </w:rPr>
          <w:delText>regime</w:delText>
        </w:r>
        <w:r w:rsidRPr="00F05EB5">
          <w:rPr>
            <w:szCs w:val="22"/>
          </w:rPr>
          <w:delText xml:space="preserve"> </w:delText>
        </w:r>
        <w:r w:rsidR="00023DE1">
          <w:rPr>
            <w:szCs w:val="22"/>
          </w:rPr>
          <w:delText xml:space="preserve">med fullstendig seponering av kortikosteroider ved uke </w:delText>
        </w:r>
        <w:r w:rsidRPr="00F05EB5">
          <w:rPr>
            <w:szCs w:val="22"/>
          </w:rPr>
          <w:delText>15</w:delText>
        </w:r>
        <w:r w:rsidR="00332163">
          <w:rPr>
            <w:szCs w:val="22"/>
          </w:rPr>
          <w:delText>.</w:delText>
        </w:r>
      </w:del>
    </w:p>
    <w:p w14:paraId="4B037C0A" w14:textId="4573A640" w:rsidR="00B427EF" w:rsidRPr="00F05EB5" w:rsidRDefault="00B427EF">
      <w:pPr>
        <w:keepNext/>
        <w:suppressAutoHyphens/>
        <w:rPr>
          <w:del w:id="9647" w:author="AbbVie02no" w:date="2025-05-15T13:45:00Z"/>
          <w:szCs w:val="22"/>
        </w:rPr>
        <w:pPrChange w:id="9648" w:author="AbbVie02no" w:date="2025-05-15T13:45:00Z">
          <w:pPr>
            <w:pStyle w:val="EMEANormal"/>
          </w:pPr>
        </w:pPrChange>
      </w:pPr>
    </w:p>
    <w:p w14:paraId="5FBA56DC" w14:textId="08D3FED7" w:rsidR="00B427EF" w:rsidRPr="00F05EB5" w:rsidRDefault="00E453CD">
      <w:pPr>
        <w:keepNext/>
        <w:suppressAutoHyphens/>
        <w:rPr>
          <w:del w:id="9649" w:author="AbbVie02no" w:date="2025-05-15T13:45:00Z"/>
          <w:szCs w:val="22"/>
        </w:rPr>
        <w:pPrChange w:id="9650" w:author="AbbVie02no" w:date="2025-05-15T13:45:00Z">
          <w:pPr>
            <w:pStyle w:val="EMEANormal"/>
          </w:pPr>
        </w:pPrChange>
      </w:pPr>
      <w:del w:id="9651" w:author="AbbVie02no" w:date="2025-05-15T13:45:00Z">
        <w:r w:rsidRPr="00F05EB5">
          <w:rPr>
            <w:szCs w:val="22"/>
          </w:rPr>
          <w:delText xml:space="preserve">Studie UV II undersøkte 226 </w:delText>
        </w:r>
        <w:r w:rsidR="00023DE1" w:rsidRPr="00F05EB5">
          <w:rPr>
            <w:szCs w:val="22"/>
          </w:rPr>
          <w:delText>pasienter med inak</w:delText>
        </w:r>
        <w:r w:rsidRPr="00F05EB5">
          <w:rPr>
            <w:szCs w:val="22"/>
          </w:rPr>
          <w:delText>tiv uvei</w:delText>
        </w:r>
        <w:r w:rsidR="00023DE1" w:rsidRPr="00F05EB5">
          <w:rPr>
            <w:szCs w:val="22"/>
          </w:rPr>
          <w:delText>t</w:delText>
        </w:r>
        <w:r w:rsidRPr="00F05EB5">
          <w:rPr>
            <w:szCs w:val="22"/>
          </w:rPr>
          <w:delText>t</w:delText>
        </w:r>
        <w:r w:rsidR="00332163">
          <w:rPr>
            <w:szCs w:val="22"/>
          </w:rPr>
          <w:delText>,</w:delText>
        </w:r>
        <w:r w:rsidR="00023DE1" w:rsidRPr="00F05EB5">
          <w:rPr>
            <w:szCs w:val="22"/>
          </w:rPr>
          <w:delText xml:space="preserve"> som </w:delText>
        </w:r>
        <w:r w:rsidR="00023DE1">
          <w:rPr>
            <w:szCs w:val="22"/>
          </w:rPr>
          <w:delText>krever kronisk</w:delText>
        </w:r>
        <w:r w:rsidRPr="00F05EB5">
          <w:rPr>
            <w:szCs w:val="22"/>
          </w:rPr>
          <w:delText xml:space="preserve"> </w:delText>
        </w:r>
        <w:r w:rsidR="00023DE1">
          <w:rPr>
            <w:szCs w:val="22"/>
          </w:rPr>
          <w:delText xml:space="preserve">behandling med kortikosteroider </w:delText>
        </w:r>
        <w:r w:rsidR="00332163">
          <w:rPr>
            <w:szCs w:val="22"/>
          </w:rPr>
          <w:delText>(oral prednison 10-</w:delText>
        </w:r>
        <w:r w:rsidR="00023DE1" w:rsidRPr="00023DE1">
          <w:rPr>
            <w:szCs w:val="22"/>
          </w:rPr>
          <w:delText>35 mg/da</w:delText>
        </w:r>
        <w:r w:rsidR="00023DE1">
          <w:rPr>
            <w:szCs w:val="22"/>
          </w:rPr>
          <w:delText>g</w:delText>
        </w:r>
        <w:r w:rsidR="00023DE1" w:rsidRPr="00023DE1">
          <w:rPr>
            <w:szCs w:val="22"/>
          </w:rPr>
          <w:delText xml:space="preserve">) </w:delText>
        </w:r>
        <w:r w:rsidR="00023DE1">
          <w:rPr>
            <w:szCs w:val="22"/>
          </w:rPr>
          <w:delText>ved</w:delText>
        </w:r>
        <w:r w:rsidRPr="00F05EB5">
          <w:rPr>
            <w:szCs w:val="22"/>
          </w:rPr>
          <w:delText xml:space="preserve"> baseline </w:delText>
        </w:r>
        <w:r w:rsidR="00023DE1">
          <w:rPr>
            <w:szCs w:val="22"/>
          </w:rPr>
          <w:delText>for å kontrollere sykdom</w:delText>
        </w:r>
        <w:r w:rsidR="00B873CB">
          <w:rPr>
            <w:szCs w:val="22"/>
          </w:rPr>
          <w:delText>men</w:delText>
        </w:r>
        <w:r w:rsidRPr="00F05EB5">
          <w:rPr>
            <w:szCs w:val="22"/>
          </w:rPr>
          <w:delText xml:space="preserve">. </w:delText>
        </w:r>
        <w:r w:rsidR="00245016" w:rsidRPr="00F05EB5">
          <w:rPr>
            <w:szCs w:val="22"/>
          </w:rPr>
          <w:delText>Pasientene gjennomgikk deretter e</w:delText>
        </w:r>
        <w:r w:rsidR="00332163" w:rsidRPr="00332163">
          <w:rPr>
            <w:szCs w:val="22"/>
          </w:rPr>
          <w:delText>t obligatoisk nedtrappings</w:delText>
        </w:r>
        <w:r w:rsidR="00332163">
          <w:rPr>
            <w:szCs w:val="22"/>
          </w:rPr>
          <w:delText>regime</w:delText>
        </w:r>
        <w:r w:rsidR="00245016" w:rsidRPr="00F05EB5">
          <w:rPr>
            <w:szCs w:val="22"/>
          </w:rPr>
          <w:delText xml:space="preserve"> med </w:delText>
        </w:r>
        <w:r w:rsidR="00245016">
          <w:rPr>
            <w:szCs w:val="22"/>
          </w:rPr>
          <w:delText>fullstendig seponering av kortikosteroider ved uke 19</w:delText>
        </w:r>
        <w:r w:rsidR="00245016" w:rsidRPr="00126088">
          <w:rPr>
            <w:szCs w:val="22"/>
          </w:rPr>
          <w:delText>.</w:delText>
        </w:r>
        <w:r w:rsidRPr="00F05EB5">
          <w:rPr>
            <w:szCs w:val="22"/>
          </w:rPr>
          <w:delText xml:space="preserve"> </w:delText>
        </w:r>
      </w:del>
    </w:p>
    <w:p w14:paraId="0AA31DDA" w14:textId="47E42332" w:rsidR="00B427EF" w:rsidRPr="00F05EB5" w:rsidRDefault="00B427EF">
      <w:pPr>
        <w:keepNext/>
        <w:suppressAutoHyphens/>
        <w:rPr>
          <w:del w:id="9652" w:author="AbbVie02no" w:date="2025-05-15T13:45:00Z"/>
          <w:szCs w:val="22"/>
        </w:rPr>
        <w:pPrChange w:id="9653" w:author="AbbVie02no" w:date="2025-05-15T13:45:00Z">
          <w:pPr>
            <w:pStyle w:val="EMEANormal"/>
          </w:pPr>
        </w:pPrChange>
      </w:pPr>
    </w:p>
    <w:p w14:paraId="2EBCE533" w14:textId="6BD13E43" w:rsidR="00B427EF" w:rsidRPr="00B23621" w:rsidRDefault="00E453CD">
      <w:pPr>
        <w:keepNext/>
        <w:suppressAutoHyphens/>
        <w:rPr>
          <w:del w:id="9654" w:author="AbbVie02no" w:date="2025-05-15T13:45:00Z"/>
          <w:szCs w:val="22"/>
        </w:rPr>
        <w:pPrChange w:id="9655" w:author="AbbVie02no" w:date="2025-05-15T13:45:00Z">
          <w:pPr>
            <w:pStyle w:val="EMEANormal"/>
          </w:pPr>
        </w:pPrChange>
      </w:pPr>
      <w:del w:id="9656" w:author="AbbVie02no" w:date="2025-05-15T13:45:00Z">
        <w:r>
          <w:rPr>
            <w:szCs w:val="22"/>
          </w:rPr>
          <w:delText>P</w:delText>
        </w:r>
        <w:r w:rsidR="00245016" w:rsidRPr="00B23621">
          <w:rPr>
            <w:szCs w:val="22"/>
          </w:rPr>
          <w:delText xml:space="preserve">rimærendpunktet </w:delText>
        </w:r>
        <w:r w:rsidR="00245016">
          <w:rPr>
            <w:szCs w:val="22"/>
          </w:rPr>
          <w:delText>i</w:delText>
        </w:r>
        <w:r w:rsidR="00245016" w:rsidRPr="00B23621">
          <w:rPr>
            <w:szCs w:val="22"/>
          </w:rPr>
          <w:delText xml:space="preserve"> begge studier var </w:delText>
        </w:r>
        <w:r w:rsidR="00A52D6C">
          <w:rPr>
            <w:szCs w:val="22"/>
          </w:rPr>
          <w:delText>«</w:delText>
        </w:r>
        <w:r w:rsidR="00245016" w:rsidRPr="00B23621">
          <w:rPr>
            <w:szCs w:val="22"/>
          </w:rPr>
          <w:delText xml:space="preserve">tid til </w:delText>
        </w:r>
        <w:r w:rsidR="00245016">
          <w:rPr>
            <w:szCs w:val="22"/>
          </w:rPr>
          <w:delText>behandlingssvikt</w:delText>
        </w:r>
        <w:r w:rsidR="00A52D6C">
          <w:rPr>
            <w:szCs w:val="22"/>
          </w:rPr>
          <w:delText>»</w:delText>
        </w:r>
        <w:r w:rsidRPr="00B23621">
          <w:rPr>
            <w:szCs w:val="22"/>
          </w:rPr>
          <w:delText xml:space="preserve">. </w:delText>
        </w:r>
        <w:r w:rsidR="00245016" w:rsidRPr="00245016">
          <w:rPr>
            <w:szCs w:val="22"/>
          </w:rPr>
          <w:delText>Behandlingssvikt</w:delText>
        </w:r>
        <w:r w:rsidRPr="00B23621">
          <w:rPr>
            <w:szCs w:val="22"/>
          </w:rPr>
          <w:delText xml:space="preserve"> </w:delText>
        </w:r>
        <w:r w:rsidR="00245016">
          <w:rPr>
            <w:szCs w:val="22"/>
          </w:rPr>
          <w:delText xml:space="preserve">ble definert ut ifra </w:delText>
        </w:r>
        <w:r w:rsidR="00245016" w:rsidRPr="00B23621">
          <w:rPr>
            <w:szCs w:val="22"/>
          </w:rPr>
          <w:delText>resultatet av en sammensatt komponent basert på inflammatorisk</w:delText>
        </w:r>
        <w:r w:rsidR="00051351">
          <w:rPr>
            <w:szCs w:val="22"/>
          </w:rPr>
          <w:delText>e</w:delText>
        </w:r>
        <w:r w:rsidR="00245016" w:rsidRPr="00B23621">
          <w:rPr>
            <w:szCs w:val="22"/>
          </w:rPr>
          <w:delText xml:space="preserve"> </w:delText>
        </w:r>
        <w:r w:rsidR="00011795">
          <w:rPr>
            <w:szCs w:val="22"/>
          </w:rPr>
          <w:delText>k</w:delText>
        </w:r>
        <w:r w:rsidRPr="00B23621">
          <w:rPr>
            <w:szCs w:val="22"/>
          </w:rPr>
          <w:delText>orioretinal</w:delText>
        </w:r>
        <w:r w:rsidR="009019DA">
          <w:rPr>
            <w:szCs w:val="22"/>
          </w:rPr>
          <w:delText>e</w:delText>
        </w:r>
        <w:r w:rsidRPr="00B23621">
          <w:rPr>
            <w:szCs w:val="22"/>
          </w:rPr>
          <w:delText xml:space="preserve"> </w:delText>
        </w:r>
        <w:r w:rsidR="00245016">
          <w:rPr>
            <w:szCs w:val="22"/>
          </w:rPr>
          <w:delText>og</w:delText>
        </w:r>
        <w:r w:rsidRPr="00B23621">
          <w:rPr>
            <w:szCs w:val="22"/>
          </w:rPr>
          <w:delText>/</w:delText>
        </w:r>
        <w:r w:rsidR="00245016">
          <w:rPr>
            <w:szCs w:val="22"/>
          </w:rPr>
          <w:delText>eller</w:delText>
        </w:r>
        <w:r w:rsidRPr="00B23621">
          <w:rPr>
            <w:szCs w:val="22"/>
          </w:rPr>
          <w:delText xml:space="preserve"> </w:delText>
        </w:r>
        <w:r w:rsidR="00245016">
          <w:rPr>
            <w:szCs w:val="22"/>
          </w:rPr>
          <w:delText>inflammatorisk</w:delText>
        </w:r>
        <w:r w:rsidR="00051351">
          <w:rPr>
            <w:szCs w:val="22"/>
          </w:rPr>
          <w:delText>e</w:delText>
        </w:r>
        <w:r w:rsidR="00011795" w:rsidRPr="00011795">
          <w:rPr>
            <w:szCs w:val="22"/>
          </w:rPr>
          <w:delText xml:space="preserve"> retinal</w:delText>
        </w:r>
        <w:r w:rsidR="009019DA">
          <w:rPr>
            <w:szCs w:val="22"/>
          </w:rPr>
          <w:delText>e</w:delText>
        </w:r>
        <w:r w:rsidR="00011795" w:rsidRPr="00011795">
          <w:rPr>
            <w:szCs w:val="22"/>
          </w:rPr>
          <w:delText xml:space="preserve"> vas</w:delText>
        </w:r>
        <w:r w:rsidR="00011795">
          <w:rPr>
            <w:szCs w:val="22"/>
          </w:rPr>
          <w:delText>kulære lesjoner</w:delText>
        </w:r>
        <w:r w:rsidRPr="00B23621">
          <w:rPr>
            <w:szCs w:val="22"/>
          </w:rPr>
          <w:delText xml:space="preserve">, </w:delText>
        </w:r>
        <w:r w:rsidR="00051351" w:rsidRPr="00051351">
          <w:rPr>
            <w:szCs w:val="22"/>
          </w:rPr>
          <w:delText xml:space="preserve">gradering av celler i fremre kammer </w:delText>
        </w:r>
        <w:r w:rsidR="00011795" w:rsidRPr="00011795">
          <w:rPr>
            <w:szCs w:val="22"/>
          </w:rPr>
          <w:delText>(</w:delText>
        </w:r>
        <w:r w:rsidR="00A52D6C">
          <w:rPr>
            <w:szCs w:val="22"/>
          </w:rPr>
          <w:delText>«</w:delText>
        </w:r>
        <w:r w:rsidR="00011795" w:rsidRPr="00B740D9">
          <w:rPr>
            <w:szCs w:val="22"/>
          </w:rPr>
          <w:delText>anterior chamber</w:delText>
        </w:r>
        <w:r w:rsidR="00A52D6C">
          <w:rPr>
            <w:szCs w:val="22"/>
          </w:rPr>
          <w:delText>»</w:delText>
        </w:r>
        <w:r w:rsidR="00011795">
          <w:rPr>
            <w:szCs w:val="22"/>
          </w:rPr>
          <w:delText xml:space="preserve">, </w:delText>
        </w:r>
        <w:r w:rsidR="00011795" w:rsidRPr="00011795">
          <w:rPr>
            <w:szCs w:val="22"/>
          </w:rPr>
          <w:delText>AC)</w:delText>
        </w:r>
        <w:r w:rsidRPr="00B23621">
          <w:rPr>
            <w:szCs w:val="22"/>
          </w:rPr>
          <w:delText>,</w:delText>
        </w:r>
        <w:r w:rsidR="00517105">
          <w:rPr>
            <w:szCs w:val="22"/>
          </w:rPr>
          <w:delText xml:space="preserve"> grad av</w:delText>
        </w:r>
        <w:r w:rsidRPr="00B23621">
          <w:rPr>
            <w:szCs w:val="22"/>
          </w:rPr>
          <w:delText xml:space="preserve"> </w:delText>
        </w:r>
        <w:r w:rsidR="00011795">
          <w:rPr>
            <w:szCs w:val="22"/>
          </w:rPr>
          <w:delText>uklarheter i glasslegemet (</w:delText>
        </w:r>
        <w:r w:rsidR="00A52D6C">
          <w:rPr>
            <w:szCs w:val="22"/>
          </w:rPr>
          <w:delText>«</w:delText>
        </w:r>
        <w:r w:rsidRPr="00B23621">
          <w:rPr>
            <w:szCs w:val="22"/>
          </w:rPr>
          <w:delText>vitreous haze</w:delText>
        </w:r>
        <w:r w:rsidR="00A52D6C">
          <w:rPr>
            <w:szCs w:val="22"/>
          </w:rPr>
          <w:delText>»</w:delText>
        </w:r>
        <w:r w:rsidR="00011795">
          <w:rPr>
            <w:szCs w:val="22"/>
          </w:rPr>
          <w:delText>,</w:delText>
        </w:r>
        <w:r w:rsidRPr="00B23621">
          <w:rPr>
            <w:szCs w:val="22"/>
          </w:rPr>
          <w:delText xml:space="preserve"> VH)</w:delText>
        </w:r>
        <w:r w:rsidR="00517105">
          <w:rPr>
            <w:szCs w:val="22"/>
          </w:rPr>
          <w:delText xml:space="preserve"> og</w:delText>
        </w:r>
        <w:r w:rsidRPr="00B23621">
          <w:rPr>
            <w:szCs w:val="22"/>
          </w:rPr>
          <w:delText xml:space="preserve"> best</w:delText>
        </w:r>
        <w:r w:rsidR="00517105">
          <w:rPr>
            <w:szCs w:val="22"/>
          </w:rPr>
          <w:delText>e</w:delText>
        </w:r>
        <w:r w:rsidRPr="00B23621">
          <w:rPr>
            <w:szCs w:val="22"/>
          </w:rPr>
          <w:delText xml:space="preserve"> </w:delText>
        </w:r>
        <w:r w:rsidR="00011795">
          <w:rPr>
            <w:szCs w:val="22"/>
          </w:rPr>
          <w:delText>korrigert</w:delText>
        </w:r>
        <w:r w:rsidR="00517105">
          <w:rPr>
            <w:szCs w:val="22"/>
          </w:rPr>
          <w:delText>e</w:delText>
        </w:r>
        <w:r w:rsidR="00011795">
          <w:rPr>
            <w:szCs w:val="22"/>
          </w:rPr>
          <w:delText xml:space="preserve"> synsskarphet (</w:delText>
        </w:r>
        <w:r w:rsidR="00A52D6C">
          <w:rPr>
            <w:szCs w:val="22"/>
          </w:rPr>
          <w:delText>«</w:delText>
        </w:r>
        <w:r w:rsidR="00011795">
          <w:rPr>
            <w:szCs w:val="22"/>
          </w:rPr>
          <w:delText xml:space="preserve">best </w:delText>
        </w:r>
        <w:r w:rsidRPr="00B23621">
          <w:rPr>
            <w:szCs w:val="22"/>
          </w:rPr>
          <w:delText>corrected visual acuity</w:delText>
        </w:r>
        <w:r w:rsidR="00A52D6C">
          <w:rPr>
            <w:szCs w:val="22"/>
          </w:rPr>
          <w:delText>»</w:delText>
        </w:r>
        <w:r w:rsidR="00011795">
          <w:rPr>
            <w:szCs w:val="22"/>
          </w:rPr>
          <w:delText>,</w:delText>
        </w:r>
        <w:r w:rsidR="00562D43">
          <w:rPr>
            <w:szCs w:val="22"/>
          </w:rPr>
          <w:delText xml:space="preserve"> </w:delText>
        </w:r>
        <w:r w:rsidRPr="00B23621">
          <w:rPr>
            <w:szCs w:val="22"/>
          </w:rPr>
          <w:delText xml:space="preserve">BCVA). </w:delText>
        </w:r>
      </w:del>
    </w:p>
    <w:p w14:paraId="1FB1A76D" w14:textId="554E85E7" w:rsidR="00B427EF" w:rsidRDefault="00B427EF">
      <w:pPr>
        <w:keepNext/>
        <w:suppressAutoHyphens/>
        <w:rPr>
          <w:del w:id="9657" w:author="AbbVie02no" w:date="2025-05-15T13:45:00Z"/>
          <w:szCs w:val="22"/>
        </w:rPr>
        <w:pPrChange w:id="9658" w:author="AbbVie02no" w:date="2025-05-15T13:45:00Z">
          <w:pPr>
            <w:pStyle w:val="EMEANormal"/>
          </w:pPr>
        </w:pPrChange>
      </w:pPr>
    </w:p>
    <w:p w14:paraId="7D70C887" w14:textId="7C0BEEC0" w:rsidR="002C7948" w:rsidRPr="00484BCF" w:rsidRDefault="00E453CD">
      <w:pPr>
        <w:keepNext/>
        <w:suppressAutoHyphens/>
        <w:rPr>
          <w:del w:id="9659" w:author="AbbVie02no" w:date="2025-05-15T13:45:00Z"/>
          <w:sz w:val="22"/>
          <w:szCs w:val="22"/>
        </w:rPr>
        <w:pPrChange w:id="9660" w:author="AbbVie02no" w:date="2025-05-15T13:45:00Z">
          <w:pPr>
            <w:tabs>
              <w:tab w:val="left" w:pos="3090"/>
            </w:tabs>
          </w:pPr>
        </w:pPrChange>
      </w:pPr>
      <w:del w:id="9661" w:author="AbbVie02no" w:date="2025-05-15T13:45:00Z">
        <w:r w:rsidRPr="00484BCF">
          <w:rPr>
            <w:sz w:val="22"/>
            <w:szCs w:val="22"/>
          </w:rPr>
          <w:delText>Pasienter som fullførte UV</w:delText>
        </w:r>
        <w:r w:rsidR="00A73B99">
          <w:rPr>
            <w:sz w:val="22"/>
            <w:szCs w:val="22"/>
          </w:rPr>
          <w:delText> </w:delText>
        </w:r>
        <w:r w:rsidRPr="00484BCF">
          <w:rPr>
            <w:sz w:val="22"/>
            <w:szCs w:val="22"/>
          </w:rPr>
          <w:delText>I</w:delText>
        </w:r>
        <w:r>
          <w:rPr>
            <w:sz w:val="22"/>
            <w:szCs w:val="22"/>
          </w:rPr>
          <w:delText>-</w:delText>
        </w:r>
        <w:r w:rsidRPr="00484BCF">
          <w:rPr>
            <w:sz w:val="22"/>
            <w:szCs w:val="22"/>
          </w:rPr>
          <w:delText xml:space="preserve"> og UV</w:delText>
        </w:r>
        <w:r w:rsidR="00A73B99">
          <w:rPr>
            <w:sz w:val="22"/>
            <w:szCs w:val="22"/>
          </w:rPr>
          <w:delText> </w:delText>
        </w:r>
        <w:r w:rsidRPr="00484BCF">
          <w:rPr>
            <w:sz w:val="22"/>
            <w:szCs w:val="22"/>
          </w:rPr>
          <w:delText>II</w:delText>
        </w:r>
        <w:r w:rsidR="00A73B99">
          <w:rPr>
            <w:sz w:val="22"/>
            <w:szCs w:val="22"/>
          </w:rPr>
          <w:delText>-</w:delText>
        </w:r>
        <w:r>
          <w:rPr>
            <w:sz w:val="22"/>
            <w:szCs w:val="22"/>
          </w:rPr>
          <w:delText xml:space="preserve">studiene </w:delText>
        </w:r>
        <w:r w:rsidRPr="00484BCF">
          <w:rPr>
            <w:sz w:val="22"/>
            <w:szCs w:val="22"/>
          </w:rPr>
          <w:delText xml:space="preserve">ble </w:delText>
        </w:r>
        <w:r>
          <w:rPr>
            <w:sz w:val="22"/>
            <w:szCs w:val="22"/>
          </w:rPr>
          <w:delText>inkludert</w:delText>
        </w:r>
        <w:r w:rsidRPr="00484BCF">
          <w:rPr>
            <w:sz w:val="22"/>
            <w:szCs w:val="22"/>
          </w:rPr>
          <w:delText xml:space="preserve"> i en ikke</w:delText>
        </w:r>
        <w:r w:rsidRPr="00484BCF">
          <w:rPr>
            <w:sz w:val="22"/>
            <w:szCs w:val="22"/>
          </w:rPr>
          <w:noBreakHyphen/>
          <w:delText>kontrollert langtids</w:delText>
        </w:r>
        <w:r>
          <w:rPr>
            <w:sz w:val="22"/>
            <w:szCs w:val="22"/>
          </w:rPr>
          <w:delText>-</w:delText>
        </w:r>
        <w:r w:rsidRPr="00484BCF">
          <w:rPr>
            <w:sz w:val="22"/>
            <w:szCs w:val="22"/>
          </w:rPr>
          <w:delText xml:space="preserve"> forlengelsesstudie med en</w:delText>
        </w:r>
        <w:r>
          <w:rPr>
            <w:sz w:val="22"/>
            <w:szCs w:val="22"/>
          </w:rPr>
          <w:delText xml:space="preserve"> opprinnelig</w:delText>
        </w:r>
        <w:r w:rsidRPr="00484BCF">
          <w:rPr>
            <w:sz w:val="22"/>
            <w:szCs w:val="22"/>
          </w:rPr>
          <w:delText xml:space="preserve"> planlagt varighet på</w:delText>
        </w:r>
        <w:r>
          <w:rPr>
            <w:sz w:val="22"/>
            <w:szCs w:val="22"/>
          </w:rPr>
          <w:delText xml:space="preserve"> </w:delText>
        </w:r>
        <w:r w:rsidRPr="00484BCF">
          <w:rPr>
            <w:sz w:val="22"/>
            <w:szCs w:val="22"/>
          </w:rPr>
          <w:delText>78 uker. Pasienter</w:delText>
        </w:r>
        <w:r>
          <w:rPr>
            <w:sz w:val="22"/>
            <w:szCs w:val="22"/>
          </w:rPr>
          <w:delText xml:space="preserve"> fikk </w:delText>
        </w:r>
        <w:r w:rsidRPr="00484BCF">
          <w:rPr>
            <w:sz w:val="22"/>
            <w:szCs w:val="22"/>
          </w:rPr>
          <w:delText xml:space="preserve">fortsette </w:delText>
        </w:r>
        <w:r>
          <w:rPr>
            <w:sz w:val="22"/>
            <w:szCs w:val="22"/>
          </w:rPr>
          <w:delText>med</w:delText>
        </w:r>
        <w:r w:rsidRPr="00484BCF">
          <w:rPr>
            <w:sz w:val="22"/>
            <w:szCs w:val="22"/>
          </w:rPr>
          <w:delText xml:space="preserve"> studiemedisin </w:delText>
        </w:r>
        <w:r>
          <w:rPr>
            <w:sz w:val="22"/>
            <w:szCs w:val="22"/>
          </w:rPr>
          <w:delText xml:space="preserve">etter </w:delText>
        </w:r>
        <w:r w:rsidRPr="00484BCF">
          <w:rPr>
            <w:sz w:val="22"/>
            <w:szCs w:val="22"/>
          </w:rPr>
          <w:delText>uke 78</w:delText>
        </w:r>
        <w:r>
          <w:rPr>
            <w:sz w:val="22"/>
            <w:szCs w:val="22"/>
          </w:rPr>
          <w:delText>,</w:delText>
        </w:r>
        <w:r w:rsidRPr="00484BCF">
          <w:rPr>
            <w:sz w:val="22"/>
            <w:szCs w:val="22"/>
          </w:rPr>
          <w:delText xml:space="preserve"> inntil de </w:delText>
        </w:r>
        <w:r>
          <w:rPr>
            <w:sz w:val="22"/>
            <w:szCs w:val="22"/>
          </w:rPr>
          <w:delText>fikk</w:delText>
        </w:r>
        <w:r w:rsidRPr="00484BCF">
          <w:rPr>
            <w:sz w:val="22"/>
            <w:szCs w:val="22"/>
          </w:rPr>
          <w:delText xml:space="preserve"> tilgang på Humira.</w:delText>
        </w:r>
      </w:del>
    </w:p>
    <w:p w14:paraId="6AC9CB44" w14:textId="70D3246C" w:rsidR="005D4073" w:rsidRPr="00B23621" w:rsidRDefault="005D4073">
      <w:pPr>
        <w:keepNext/>
        <w:suppressAutoHyphens/>
        <w:rPr>
          <w:del w:id="9662" w:author="AbbVie02no" w:date="2025-05-15T13:45:00Z"/>
          <w:szCs w:val="22"/>
        </w:rPr>
        <w:pPrChange w:id="9663" w:author="AbbVie02no" w:date="2025-05-15T13:45:00Z">
          <w:pPr>
            <w:pStyle w:val="EMEANormal"/>
          </w:pPr>
        </w:pPrChange>
      </w:pPr>
    </w:p>
    <w:p w14:paraId="5A87E304" w14:textId="4DEEF188" w:rsidR="00B427EF" w:rsidRPr="00F05EB5" w:rsidRDefault="00E453CD">
      <w:pPr>
        <w:keepNext/>
        <w:suppressAutoHyphens/>
        <w:rPr>
          <w:del w:id="9664" w:author="AbbVie02no" w:date="2025-05-15T13:45:00Z"/>
          <w:i/>
          <w:szCs w:val="22"/>
          <w:u w:val="single"/>
        </w:rPr>
        <w:pPrChange w:id="9665" w:author="AbbVie02no" w:date="2025-05-15T13:45:00Z">
          <w:pPr>
            <w:pStyle w:val="EMEANormal"/>
            <w:keepNext/>
          </w:pPr>
        </w:pPrChange>
      </w:pPr>
      <w:del w:id="9666" w:author="AbbVie02no" w:date="2025-05-15T13:45:00Z">
        <w:r w:rsidRPr="00F05EB5">
          <w:rPr>
            <w:i/>
            <w:szCs w:val="22"/>
            <w:u w:val="single"/>
          </w:rPr>
          <w:delText>Klinisk respons</w:delText>
        </w:r>
      </w:del>
    </w:p>
    <w:p w14:paraId="2A1CFF46" w14:textId="62B4DD00" w:rsidR="00B427EF" w:rsidRPr="00F05EB5" w:rsidRDefault="00B427EF">
      <w:pPr>
        <w:keepNext/>
        <w:suppressAutoHyphens/>
        <w:rPr>
          <w:del w:id="9667" w:author="AbbVie02no" w:date="2025-05-15T13:45:00Z"/>
          <w:i/>
          <w:szCs w:val="22"/>
          <w:u w:val="single"/>
        </w:rPr>
        <w:pPrChange w:id="9668" w:author="AbbVie02no" w:date="2025-05-15T13:45:00Z">
          <w:pPr>
            <w:pStyle w:val="EMEANormal"/>
            <w:keepNext/>
          </w:pPr>
        </w:pPrChange>
      </w:pPr>
    </w:p>
    <w:p w14:paraId="3579ECB5" w14:textId="09312006" w:rsidR="00B427EF" w:rsidRPr="00F05EB5" w:rsidRDefault="00E453CD">
      <w:pPr>
        <w:keepNext/>
        <w:suppressAutoHyphens/>
        <w:rPr>
          <w:del w:id="9669" w:author="AbbVie02no" w:date="2025-05-15T13:45:00Z"/>
          <w:szCs w:val="22"/>
        </w:rPr>
        <w:pPrChange w:id="9670" w:author="AbbVie02no" w:date="2025-05-15T13:45:00Z">
          <w:pPr>
            <w:pStyle w:val="EMEANormal"/>
          </w:pPr>
        </w:pPrChange>
      </w:pPr>
      <w:del w:id="9671" w:author="AbbVie02no" w:date="2025-05-15T13:45:00Z">
        <w:r w:rsidRPr="00F05EB5">
          <w:rPr>
            <w:szCs w:val="22"/>
          </w:rPr>
          <w:delText xml:space="preserve">Resultatene fra begge studiene viste statistisk </w:delText>
        </w:r>
        <w:r w:rsidR="00476EAD" w:rsidRPr="00476EAD">
          <w:rPr>
            <w:szCs w:val="22"/>
          </w:rPr>
          <w:delText>signifi</w:delText>
        </w:r>
        <w:r w:rsidR="00476EAD">
          <w:rPr>
            <w:szCs w:val="22"/>
          </w:rPr>
          <w:delText>k</w:delText>
        </w:r>
        <w:r w:rsidRPr="00F05EB5">
          <w:rPr>
            <w:szCs w:val="22"/>
          </w:rPr>
          <w:delText xml:space="preserve">ant reduksjon i risiko for behandlingssvikt hos pasienter behandlet med Humira </w:delText>
        </w:r>
        <w:r w:rsidRPr="00F05EB5">
          <w:rPr>
            <w:i/>
            <w:szCs w:val="22"/>
          </w:rPr>
          <w:delText>versus</w:delText>
        </w:r>
        <w:r w:rsidRPr="00F05EB5">
          <w:rPr>
            <w:szCs w:val="22"/>
          </w:rPr>
          <w:delText xml:space="preserve"> pasienter som fikk placebo (se </w:delText>
        </w:r>
        <w:r w:rsidRPr="00F05EB5">
          <w:rPr>
            <w:szCs w:val="22"/>
          </w:rPr>
          <w:lastRenderedPageBreak/>
          <w:delText xml:space="preserve">tabell </w:delText>
        </w:r>
        <w:r w:rsidR="00FB37BE">
          <w:rPr>
            <w:szCs w:val="22"/>
          </w:rPr>
          <w:delText>2</w:delText>
        </w:r>
        <w:r w:rsidR="00205D90">
          <w:rPr>
            <w:szCs w:val="22"/>
          </w:rPr>
          <w:delText>4</w:delText>
        </w:r>
        <w:r w:rsidRPr="00F05EB5">
          <w:rPr>
            <w:szCs w:val="22"/>
          </w:rPr>
          <w:delText xml:space="preserve">). </w:delText>
        </w:r>
        <w:r w:rsidR="00476EAD">
          <w:rPr>
            <w:szCs w:val="22"/>
          </w:rPr>
          <w:delText xml:space="preserve">Begge studiene viste en tidlig og vedvarende effekt av </w:delText>
        </w:r>
        <w:r w:rsidRPr="00F05EB5">
          <w:rPr>
            <w:szCs w:val="22"/>
          </w:rPr>
          <w:delText xml:space="preserve">Humira </w:delText>
        </w:r>
        <w:r w:rsidR="00F9139E">
          <w:rPr>
            <w:szCs w:val="22"/>
          </w:rPr>
          <w:delText xml:space="preserve">på </w:delText>
        </w:r>
        <w:r w:rsidR="00B23621">
          <w:rPr>
            <w:szCs w:val="22"/>
          </w:rPr>
          <w:delText>andelen av pasiente</w:delText>
        </w:r>
        <w:r w:rsidR="008D260E">
          <w:rPr>
            <w:szCs w:val="22"/>
          </w:rPr>
          <w:delText>r</w:delText>
        </w:r>
        <w:r w:rsidR="00B23621">
          <w:rPr>
            <w:szCs w:val="22"/>
          </w:rPr>
          <w:delText xml:space="preserve"> som opplevde </w:delText>
        </w:r>
        <w:r w:rsidR="00F9139E">
          <w:rPr>
            <w:szCs w:val="22"/>
          </w:rPr>
          <w:delText xml:space="preserve">behandlingssvikt </w:delText>
        </w:r>
        <w:r w:rsidRPr="00F05EB5">
          <w:rPr>
            <w:i/>
            <w:szCs w:val="22"/>
          </w:rPr>
          <w:delText>versus</w:delText>
        </w:r>
        <w:r w:rsidR="00231840">
          <w:rPr>
            <w:i/>
            <w:szCs w:val="22"/>
          </w:rPr>
          <w:delText xml:space="preserve"> </w:delText>
        </w:r>
        <w:r w:rsidR="003B49EC">
          <w:rPr>
            <w:szCs w:val="22"/>
          </w:rPr>
          <w:delText>pasienter som fikk</w:delText>
        </w:r>
        <w:r w:rsidR="00F9139E" w:rsidRPr="00567E4B">
          <w:rPr>
            <w:szCs w:val="22"/>
          </w:rPr>
          <w:delText xml:space="preserve"> </w:delText>
        </w:r>
        <w:r w:rsidR="00F9139E" w:rsidRPr="00F9139E">
          <w:rPr>
            <w:szCs w:val="22"/>
          </w:rPr>
          <w:delText xml:space="preserve">placebo (se </w:delText>
        </w:r>
        <w:r w:rsidR="00F9139E">
          <w:rPr>
            <w:szCs w:val="22"/>
          </w:rPr>
          <w:delText>f</w:delText>
        </w:r>
        <w:r w:rsidR="00F9139E" w:rsidRPr="00F9139E">
          <w:rPr>
            <w:szCs w:val="22"/>
          </w:rPr>
          <w:delText>igur</w:delText>
        </w:r>
        <w:r w:rsidRPr="00F05EB5">
          <w:rPr>
            <w:szCs w:val="22"/>
          </w:rPr>
          <w:delText xml:space="preserve"> </w:delText>
        </w:r>
        <w:r w:rsidR="00FB37BE">
          <w:rPr>
            <w:szCs w:val="22"/>
          </w:rPr>
          <w:delText>2</w:delText>
        </w:r>
        <w:r w:rsidRPr="00F05EB5">
          <w:rPr>
            <w:szCs w:val="22"/>
          </w:rPr>
          <w:delText xml:space="preserve">). </w:delText>
        </w:r>
      </w:del>
    </w:p>
    <w:p w14:paraId="217AB226" w14:textId="3CA64D23" w:rsidR="00B427EF" w:rsidRPr="00F05EB5" w:rsidRDefault="00B427EF">
      <w:pPr>
        <w:keepNext/>
        <w:suppressAutoHyphens/>
        <w:rPr>
          <w:del w:id="9672" w:author="AbbVie02no" w:date="2025-05-15T13:45:00Z"/>
          <w:b/>
          <w:szCs w:val="22"/>
        </w:rPr>
        <w:pPrChange w:id="9673" w:author="AbbVie02no" w:date="2025-05-15T13:45:00Z">
          <w:pPr>
            <w:pStyle w:val="EMEANormal"/>
          </w:pPr>
        </w:pPrChange>
      </w:pPr>
    </w:p>
    <w:p w14:paraId="7B111FD6" w14:textId="0CB5970D" w:rsidR="00B427EF" w:rsidRPr="00F05EB5" w:rsidRDefault="00E453CD">
      <w:pPr>
        <w:keepNext/>
        <w:suppressAutoHyphens/>
        <w:rPr>
          <w:del w:id="9674" w:author="AbbVie02no" w:date="2025-05-15T13:45:00Z"/>
          <w:b/>
          <w:szCs w:val="22"/>
        </w:rPr>
        <w:pPrChange w:id="9675" w:author="AbbVie02no" w:date="2025-05-15T13:45:00Z">
          <w:pPr>
            <w:pStyle w:val="EMEANormal"/>
            <w:keepNext/>
            <w:jc w:val="center"/>
          </w:pPr>
        </w:pPrChange>
      </w:pPr>
      <w:del w:id="9676" w:author="AbbVie02no" w:date="2025-05-15T13:45:00Z">
        <w:r w:rsidRPr="00F05EB5">
          <w:rPr>
            <w:b/>
            <w:szCs w:val="22"/>
          </w:rPr>
          <w:delText xml:space="preserve">Tabell </w:delText>
        </w:r>
        <w:r w:rsidR="00205D90">
          <w:rPr>
            <w:b/>
            <w:szCs w:val="22"/>
          </w:rPr>
          <w:delText>24</w:delText>
        </w:r>
        <w:r w:rsidR="00205D90" w:rsidRPr="00F05EB5">
          <w:rPr>
            <w:b/>
            <w:szCs w:val="22"/>
          </w:rPr>
          <w:delText xml:space="preserve"> </w:delText>
        </w:r>
      </w:del>
    </w:p>
    <w:p w14:paraId="5AFF523F" w14:textId="50896E28" w:rsidR="00B427EF" w:rsidRPr="00F05EB5" w:rsidRDefault="00E453CD">
      <w:pPr>
        <w:keepNext/>
        <w:suppressAutoHyphens/>
        <w:rPr>
          <w:del w:id="9677" w:author="AbbVie02no" w:date="2025-05-15T13:45:00Z"/>
          <w:b/>
          <w:szCs w:val="22"/>
        </w:rPr>
        <w:pPrChange w:id="9678" w:author="AbbVie02no" w:date="2025-05-15T13:45:00Z">
          <w:pPr>
            <w:pStyle w:val="EMEANormal"/>
            <w:keepNext/>
            <w:jc w:val="center"/>
          </w:pPr>
        </w:pPrChange>
      </w:pPr>
      <w:del w:id="9679" w:author="AbbVie02no" w:date="2025-05-15T13:45:00Z">
        <w:r w:rsidRPr="00F05EB5">
          <w:rPr>
            <w:b/>
            <w:szCs w:val="22"/>
          </w:rPr>
          <w:delText>Tid til behandlingssvikt i studiene UV I og UV II</w:delText>
        </w:r>
      </w:del>
    </w:p>
    <w:p w14:paraId="10031E52" w14:textId="4353C6A7" w:rsidR="00B427EF" w:rsidRPr="00F05EB5" w:rsidRDefault="00B427EF">
      <w:pPr>
        <w:keepNext/>
        <w:suppressAutoHyphens/>
        <w:rPr>
          <w:del w:id="9680" w:author="AbbVie02no" w:date="2025-05-15T13:45:00Z"/>
          <w:b/>
          <w:szCs w:val="22"/>
        </w:rPr>
        <w:pPrChange w:id="9681" w:author="AbbVie02no" w:date="2025-05-15T13:45:00Z">
          <w:pPr>
            <w:pStyle w:val="EMEANormal"/>
            <w:keepNext/>
            <w:jc w:val="center"/>
          </w:pPr>
        </w:pPrChange>
      </w:pPr>
    </w:p>
    <w:tbl>
      <w:tblPr>
        <w:tblW w:w="0" w:type="auto"/>
        <w:tblBorders>
          <w:top w:val="single" w:sz="4" w:space="0" w:color="auto"/>
          <w:bottom w:val="single" w:sz="4" w:space="0" w:color="auto"/>
        </w:tblBorders>
        <w:tblLook w:val="04A0" w:firstRow="1" w:lastRow="0" w:firstColumn="1" w:lastColumn="0" w:noHBand="0" w:noVBand="1"/>
      </w:tblPr>
      <w:tblGrid>
        <w:gridCol w:w="2208"/>
        <w:gridCol w:w="611"/>
        <w:gridCol w:w="1977"/>
        <w:gridCol w:w="1951"/>
        <w:gridCol w:w="672"/>
        <w:gridCol w:w="811"/>
        <w:gridCol w:w="835"/>
      </w:tblGrid>
      <w:tr w:rsidR="004644D4" w14:paraId="0FD64E9A" w14:textId="47711E14" w:rsidTr="00B427EF">
        <w:trPr>
          <w:del w:id="9682" w:author="AbbVie02no" w:date="2025-05-15T13:45:00Z"/>
        </w:trPr>
        <w:tc>
          <w:tcPr>
            <w:tcW w:w="2268" w:type="dxa"/>
            <w:tcBorders>
              <w:top w:val="single" w:sz="4" w:space="0" w:color="auto"/>
              <w:left w:val="nil"/>
              <w:bottom w:val="single" w:sz="4" w:space="0" w:color="auto"/>
              <w:right w:val="nil"/>
            </w:tcBorders>
            <w:hideMark/>
          </w:tcPr>
          <w:p w14:paraId="62AEE4B0" w14:textId="078A1DBB" w:rsidR="00B427EF" w:rsidRDefault="00E453CD">
            <w:pPr>
              <w:keepNext/>
              <w:suppressAutoHyphens/>
              <w:rPr>
                <w:del w:id="9683" w:author="AbbVie02no" w:date="2025-05-15T13:45:00Z"/>
                <w:b/>
                <w:szCs w:val="22"/>
              </w:rPr>
              <w:pPrChange w:id="9684" w:author="AbbVie02no" w:date="2025-05-15T13:45:00Z">
                <w:pPr>
                  <w:pStyle w:val="EMEANormal"/>
                </w:pPr>
              </w:pPrChange>
            </w:pPr>
            <w:del w:id="9685" w:author="AbbVie02no" w:date="2025-05-15T13:45:00Z">
              <w:r>
                <w:rPr>
                  <w:b/>
                  <w:szCs w:val="22"/>
                </w:rPr>
                <w:delText>Analyse</w:delText>
              </w:r>
            </w:del>
          </w:p>
          <w:p w14:paraId="6A8816EA" w14:textId="5C79AF5F" w:rsidR="00B427EF" w:rsidRDefault="00E453CD">
            <w:pPr>
              <w:keepNext/>
              <w:suppressAutoHyphens/>
              <w:rPr>
                <w:del w:id="9686" w:author="AbbVie02no" w:date="2025-05-15T13:45:00Z"/>
                <w:b/>
                <w:szCs w:val="22"/>
              </w:rPr>
              <w:pPrChange w:id="9687" w:author="AbbVie02no" w:date="2025-05-15T13:45:00Z">
                <w:pPr>
                  <w:pStyle w:val="EMEANormal"/>
                </w:pPr>
              </w:pPrChange>
            </w:pPr>
            <w:del w:id="9688" w:author="AbbVie02no" w:date="2025-05-15T13:45:00Z">
              <w:r>
                <w:rPr>
                  <w:b/>
                  <w:szCs w:val="22"/>
                </w:rPr>
                <w:tab/>
              </w:r>
              <w:r w:rsidR="00476EAD">
                <w:rPr>
                  <w:b/>
                  <w:szCs w:val="22"/>
                </w:rPr>
                <w:delText>Behandling</w:delText>
              </w:r>
            </w:del>
          </w:p>
        </w:tc>
        <w:tc>
          <w:tcPr>
            <w:tcW w:w="720" w:type="dxa"/>
            <w:tcBorders>
              <w:top w:val="single" w:sz="4" w:space="0" w:color="auto"/>
              <w:left w:val="nil"/>
              <w:bottom w:val="single" w:sz="4" w:space="0" w:color="auto"/>
              <w:right w:val="nil"/>
            </w:tcBorders>
            <w:hideMark/>
          </w:tcPr>
          <w:p w14:paraId="01E40D31" w14:textId="7CF287DB" w:rsidR="00B427EF" w:rsidRDefault="00E453CD">
            <w:pPr>
              <w:keepNext/>
              <w:suppressAutoHyphens/>
              <w:rPr>
                <w:del w:id="9689" w:author="AbbVie02no" w:date="2025-05-15T13:45:00Z"/>
                <w:b/>
                <w:szCs w:val="22"/>
              </w:rPr>
              <w:pPrChange w:id="9690" w:author="AbbVie02no" w:date="2025-05-15T13:45:00Z">
                <w:pPr>
                  <w:pStyle w:val="EMEANormal"/>
                </w:pPr>
              </w:pPrChange>
            </w:pPr>
            <w:del w:id="9691" w:author="AbbVie02no" w:date="2025-05-15T13:45:00Z">
              <w:r>
                <w:rPr>
                  <w:b/>
                  <w:szCs w:val="22"/>
                </w:rPr>
                <w:delText>N</w:delText>
              </w:r>
            </w:del>
          </w:p>
        </w:tc>
        <w:tc>
          <w:tcPr>
            <w:tcW w:w="1170" w:type="dxa"/>
            <w:tcBorders>
              <w:top w:val="single" w:sz="4" w:space="0" w:color="auto"/>
              <w:left w:val="nil"/>
              <w:bottom w:val="single" w:sz="4" w:space="0" w:color="auto"/>
              <w:right w:val="nil"/>
            </w:tcBorders>
            <w:hideMark/>
          </w:tcPr>
          <w:p w14:paraId="24DABFC8" w14:textId="3E34CBA7" w:rsidR="00B427EF" w:rsidRDefault="00E453CD">
            <w:pPr>
              <w:keepNext/>
              <w:suppressAutoHyphens/>
              <w:rPr>
                <w:del w:id="9692" w:author="AbbVie02no" w:date="2025-05-15T13:45:00Z"/>
                <w:b/>
                <w:szCs w:val="22"/>
              </w:rPr>
              <w:pPrChange w:id="9693" w:author="AbbVie02no" w:date="2025-05-15T13:45:00Z">
                <w:pPr>
                  <w:pStyle w:val="EMEANormal"/>
                </w:pPr>
              </w:pPrChange>
            </w:pPr>
            <w:del w:id="9694" w:author="AbbVie02no" w:date="2025-05-15T13:45:00Z">
              <w:r>
                <w:rPr>
                  <w:b/>
                  <w:szCs w:val="22"/>
                </w:rPr>
                <w:delText>B</w:delText>
              </w:r>
              <w:r w:rsidRPr="00126088">
                <w:rPr>
                  <w:b/>
                  <w:szCs w:val="22"/>
                </w:rPr>
                <w:delText>ehandlingssvikt</w:delText>
              </w:r>
              <w:r>
                <w:rPr>
                  <w:b/>
                  <w:szCs w:val="22"/>
                </w:rPr>
                <w:br/>
                <w:delText>N (%)</w:delText>
              </w:r>
            </w:del>
          </w:p>
        </w:tc>
        <w:tc>
          <w:tcPr>
            <w:tcW w:w="1890" w:type="dxa"/>
            <w:tcBorders>
              <w:top w:val="single" w:sz="4" w:space="0" w:color="auto"/>
              <w:left w:val="nil"/>
              <w:bottom w:val="single" w:sz="4" w:space="0" w:color="auto"/>
              <w:right w:val="nil"/>
            </w:tcBorders>
            <w:hideMark/>
          </w:tcPr>
          <w:p w14:paraId="76FC3139" w14:textId="3C457737" w:rsidR="00B427EF" w:rsidRPr="00F05EB5" w:rsidRDefault="00E453CD">
            <w:pPr>
              <w:keepNext/>
              <w:suppressAutoHyphens/>
              <w:rPr>
                <w:del w:id="9695" w:author="AbbVie02no" w:date="2025-05-15T13:45:00Z"/>
                <w:b/>
                <w:szCs w:val="22"/>
              </w:rPr>
              <w:pPrChange w:id="9696" w:author="AbbVie02no" w:date="2025-05-15T13:45:00Z">
                <w:pPr>
                  <w:pStyle w:val="EMEANormal"/>
                </w:pPr>
              </w:pPrChange>
            </w:pPr>
            <w:del w:id="9697" w:author="AbbVie02no" w:date="2025-05-15T13:45:00Z">
              <w:r w:rsidRPr="00F05EB5">
                <w:rPr>
                  <w:b/>
                  <w:szCs w:val="22"/>
                </w:rPr>
                <w:delText>Median tid til behandlingssvikt (måneder)</w:delText>
              </w:r>
            </w:del>
          </w:p>
        </w:tc>
        <w:tc>
          <w:tcPr>
            <w:tcW w:w="720" w:type="dxa"/>
            <w:tcBorders>
              <w:top w:val="single" w:sz="4" w:space="0" w:color="auto"/>
              <w:left w:val="nil"/>
              <w:bottom w:val="single" w:sz="4" w:space="0" w:color="auto"/>
              <w:right w:val="nil"/>
            </w:tcBorders>
            <w:hideMark/>
          </w:tcPr>
          <w:p w14:paraId="43F9592F" w14:textId="7781591C" w:rsidR="00B427EF" w:rsidRDefault="00E453CD">
            <w:pPr>
              <w:keepNext/>
              <w:suppressAutoHyphens/>
              <w:rPr>
                <w:del w:id="9698" w:author="AbbVie02no" w:date="2025-05-15T13:45:00Z"/>
                <w:b/>
                <w:szCs w:val="22"/>
              </w:rPr>
              <w:pPrChange w:id="9699" w:author="AbbVie02no" w:date="2025-05-15T13:45:00Z">
                <w:pPr>
                  <w:pStyle w:val="EMEANormal"/>
                </w:pPr>
              </w:pPrChange>
            </w:pPr>
            <w:del w:id="9700" w:author="AbbVie02no" w:date="2025-05-15T13:45:00Z">
              <w:r>
                <w:rPr>
                  <w:b/>
                  <w:szCs w:val="22"/>
                </w:rPr>
                <w:delText>HR</w:delText>
              </w:r>
              <w:r>
                <w:rPr>
                  <w:b/>
                  <w:szCs w:val="22"/>
                  <w:vertAlign w:val="superscript"/>
                </w:rPr>
                <w:delText>a</w:delText>
              </w:r>
            </w:del>
          </w:p>
        </w:tc>
        <w:tc>
          <w:tcPr>
            <w:tcW w:w="1170" w:type="dxa"/>
            <w:tcBorders>
              <w:top w:val="single" w:sz="4" w:space="0" w:color="auto"/>
              <w:left w:val="nil"/>
              <w:bottom w:val="single" w:sz="4" w:space="0" w:color="auto"/>
              <w:right w:val="nil"/>
            </w:tcBorders>
            <w:hideMark/>
          </w:tcPr>
          <w:p w14:paraId="4FDF351E" w14:textId="3B05EAE0" w:rsidR="00B427EF" w:rsidRDefault="00E453CD">
            <w:pPr>
              <w:keepNext/>
              <w:suppressAutoHyphens/>
              <w:rPr>
                <w:del w:id="9701" w:author="AbbVie02no" w:date="2025-05-15T13:45:00Z"/>
                <w:b/>
                <w:szCs w:val="22"/>
              </w:rPr>
              <w:pPrChange w:id="9702" w:author="AbbVie02no" w:date="2025-05-15T13:45:00Z">
                <w:pPr>
                  <w:pStyle w:val="EMEANormal"/>
                </w:pPr>
              </w:pPrChange>
            </w:pPr>
            <w:del w:id="9703" w:author="AbbVie02no" w:date="2025-05-15T13:45:00Z">
              <w:r>
                <w:rPr>
                  <w:b/>
                  <w:szCs w:val="22"/>
                </w:rPr>
                <w:delText>KI 95 % for HR</w:delText>
              </w:r>
              <w:r>
                <w:rPr>
                  <w:b/>
                  <w:szCs w:val="22"/>
                  <w:vertAlign w:val="superscript"/>
                </w:rPr>
                <w:delText>a</w:delText>
              </w:r>
            </w:del>
          </w:p>
        </w:tc>
        <w:tc>
          <w:tcPr>
            <w:tcW w:w="1080" w:type="dxa"/>
            <w:tcBorders>
              <w:top w:val="single" w:sz="4" w:space="0" w:color="auto"/>
              <w:left w:val="nil"/>
              <w:bottom w:val="single" w:sz="4" w:space="0" w:color="auto"/>
              <w:right w:val="nil"/>
            </w:tcBorders>
            <w:hideMark/>
          </w:tcPr>
          <w:p w14:paraId="41059FF5" w14:textId="7F464FD2" w:rsidR="00B427EF" w:rsidRDefault="00E453CD">
            <w:pPr>
              <w:keepNext/>
              <w:suppressAutoHyphens/>
              <w:rPr>
                <w:del w:id="9704" w:author="AbbVie02no" w:date="2025-05-15T13:45:00Z"/>
                <w:b/>
                <w:szCs w:val="22"/>
              </w:rPr>
              <w:pPrChange w:id="9705" w:author="AbbVie02no" w:date="2025-05-15T13:45:00Z">
                <w:pPr>
                  <w:pStyle w:val="EMEANormal"/>
                </w:pPr>
              </w:pPrChange>
            </w:pPr>
            <w:del w:id="9706" w:author="AbbVie02no" w:date="2025-05-15T13:45:00Z">
              <w:r w:rsidRPr="00F05EB5">
                <w:rPr>
                  <w:b/>
                  <w:szCs w:val="22"/>
                </w:rPr>
                <w:delText>p</w:delText>
              </w:r>
              <w:r>
                <w:rPr>
                  <w:b/>
                  <w:i/>
                  <w:szCs w:val="22"/>
                </w:rPr>
                <w:delText>-</w:delText>
              </w:r>
              <w:r w:rsidR="00476EAD">
                <w:rPr>
                  <w:b/>
                  <w:szCs w:val="22"/>
                </w:rPr>
                <w:delText>verdi</w:delText>
              </w:r>
              <w:r>
                <w:rPr>
                  <w:szCs w:val="22"/>
                  <w:vertAlign w:val="superscript"/>
                </w:rPr>
                <w:delText xml:space="preserve"> b</w:delText>
              </w:r>
            </w:del>
          </w:p>
        </w:tc>
      </w:tr>
      <w:tr w:rsidR="004644D4" w14:paraId="1FE9E520" w14:textId="0B34F867" w:rsidTr="00B427EF">
        <w:trPr>
          <w:del w:id="9707" w:author="AbbVie02no" w:date="2025-05-15T13:45:00Z"/>
        </w:trPr>
        <w:tc>
          <w:tcPr>
            <w:tcW w:w="9018" w:type="dxa"/>
            <w:gridSpan w:val="7"/>
            <w:tcBorders>
              <w:top w:val="single" w:sz="4" w:space="0" w:color="auto"/>
              <w:left w:val="nil"/>
              <w:bottom w:val="nil"/>
              <w:right w:val="nil"/>
            </w:tcBorders>
            <w:hideMark/>
          </w:tcPr>
          <w:p w14:paraId="2B922032" w14:textId="5881EB83" w:rsidR="00B427EF" w:rsidRPr="00F05EB5" w:rsidRDefault="00E453CD">
            <w:pPr>
              <w:keepNext/>
              <w:suppressAutoHyphens/>
              <w:rPr>
                <w:del w:id="9708" w:author="AbbVie02no" w:date="2025-05-15T13:45:00Z"/>
                <w:b/>
                <w:szCs w:val="22"/>
              </w:rPr>
              <w:pPrChange w:id="9709" w:author="AbbVie02no" w:date="2025-05-15T13:45:00Z">
                <w:pPr>
                  <w:pStyle w:val="EMEANormal"/>
                </w:pPr>
              </w:pPrChange>
            </w:pPr>
            <w:del w:id="9710" w:author="AbbVie02no" w:date="2025-05-15T13:45:00Z">
              <w:r>
                <w:rPr>
                  <w:b/>
                  <w:szCs w:val="22"/>
                </w:rPr>
                <w:delText>T</w:delText>
              </w:r>
              <w:r w:rsidRPr="00126088">
                <w:rPr>
                  <w:b/>
                  <w:szCs w:val="22"/>
                </w:rPr>
                <w:delText xml:space="preserve">id til behandlingssvikt </w:delText>
              </w:r>
              <w:r w:rsidRPr="00F05EB5">
                <w:rPr>
                  <w:b/>
                  <w:szCs w:val="22"/>
                </w:rPr>
                <w:delText xml:space="preserve">ved eller etter uke 6 i studie UV I  </w:delText>
              </w:r>
            </w:del>
          </w:p>
        </w:tc>
      </w:tr>
      <w:tr w:rsidR="004644D4" w14:paraId="785C733B" w14:textId="65FA02BC" w:rsidTr="00B427EF">
        <w:trPr>
          <w:del w:id="9711" w:author="AbbVie02no" w:date="2025-05-15T13:45:00Z"/>
        </w:trPr>
        <w:tc>
          <w:tcPr>
            <w:tcW w:w="2988" w:type="dxa"/>
            <w:gridSpan w:val="2"/>
            <w:tcBorders>
              <w:top w:val="nil"/>
              <w:left w:val="nil"/>
              <w:bottom w:val="nil"/>
              <w:right w:val="nil"/>
            </w:tcBorders>
            <w:hideMark/>
          </w:tcPr>
          <w:p w14:paraId="6B07B09F" w14:textId="13AEB782" w:rsidR="00B427EF" w:rsidRDefault="00E453CD">
            <w:pPr>
              <w:keepNext/>
              <w:suppressAutoHyphens/>
              <w:rPr>
                <w:del w:id="9712" w:author="AbbVie02no" w:date="2025-05-15T13:45:00Z"/>
                <w:szCs w:val="22"/>
              </w:rPr>
              <w:pPrChange w:id="9713" w:author="AbbVie02no" w:date="2025-05-15T13:45:00Z">
                <w:pPr>
                  <w:pStyle w:val="EMEANormal"/>
                </w:pPr>
              </w:pPrChange>
            </w:pPr>
            <w:del w:id="9714" w:author="AbbVie02no" w:date="2025-05-15T13:45:00Z">
              <w:r>
                <w:rPr>
                  <w:szCs w:val="22"/>
                </w:rPr>
                <w:delText>Primæranalyse (ITT)</w:delText>
              </w:r>
            </w:del>
          </w:p>
        </w:tc>
        <w:tc>
          <w:tcPr>
            <w:tcW w:w="1170" w:type="dxa"/>
            <w:tcBorders>
              <w:top w:val="nil"/>
              <w:left w:val="nil"/>
              <w:bottom w:val="nil"/>
              <w:right w:val="nil"/>
            </w:tcBorders>
          </w:tcPr>
          <w:p w14:paraId="210FC637" w14:textId="30C2C0DB" w:rsidR="00B427EF" w:rsidRDefault="00B427EF">
            <w:pPr>
              <w:keepNext/>
              <w:suppressAutoHyphens/>
              <w:rPr>
                <w:del w:id="9715" w:author="AbbVie02no" w:date="2025-05-15T13:45:00Z"/>
                <w:szCs w:val="22"/>
              </w:rPr>
              <w:pPrChange w:id="9716" w:author="AbbVie02no" w:date="2025-05-15T13:45:00Z">
                <w:pPr>
                  <w:pStyle w:val="EMEANormal"/>
                </w:pPr>
              </w:pPrChange>
            </w:pPr>
          </w:p>
        </w:tc>
        <w:tc>
          <w:tcPr>
            <w:tcW w:w="1890" w:type="dxa"/>
            <w:tcBorders>
              <w:top w:val="nil"/>
              <w:left w:val="nil"/>
              <w:bottom w:val="nil"/>
              <w:right w:val="nil"/>
            </w:tcBorders>
          </w:tcPr>
          <w:p w14:paraId="7533E898" w14:textId="3A6D681A" w:rsidR="00B427EF" w:rsidRDefault="00B427EF">
            <w:pPr>
              <w:keepNext/>
              <w:suppressAutoHyphens/>
              <w:rPr>
                <w:del w:id="9717" w:author="AbbVie02no" w:date="2025-05-15T13:45:00Z"/>
                <w:szCs w:val="22"/>
              </w:rPr>
              <w:pPrChange w:id="9718" w:author="AbbVie02no" w:date="2025-05-15T13:45:00Z">
                <w:pPr>
                  <w:pStyle w:val="EMEANormal"/>
                </w:pPr>
              </w:pPrChange>
            </w:pPr>
          </w:p>
        </w:tc>
        <w:tc>
          <w:tcPr>
            <w:tcW w:w="720" w:type="dxa"/>
            <w:tcBorders>
              <w:top w:val="nil"/>
              <w:left w:val="nil"/>
              <w:bottom w:val="nil"/>
              <w:right w:val="nil"/>
            </w:tcBorders>
          </w:tcPr>
          <w:p w14:paraId="636F0D65" w14:textId="123F7F6C" w:rsidR="00B427EF" w:rsidRDefault="00B427EF">
            <w:pPr>
              <w:keepNext/>
              <w:suppressAutoHyphens/>
              <w:rPr>
                <w:del w:id="9719" w:author="AbbVie02no" w:date="2025-05-15T13:45:00Z"/>
                <w:szCs w:val="22"/>
              </w:rPr>
              <w:pPrChange w:id="9720" w:author="AbbVie02no" w:date="2025-05-15T13:45:00Z">
                <w:pPr>
                  <w:pStyle w:val="EMEANormal"/>
                </w:pPr>
              </w:pPrChange>
            </w:pPr>
          </w:p>
        </w:tc>
        <w:tc>
          <w:tcPr>
            <w:tcW w:w="1170" w:type="dxa"/>
            <w:tcBorders>
              <w:top w:val="nil"/>
              <w:left w:val="nil"/>
              <w:bottom w:val="nil"/>
              <w:right w:val="nil"/>
            </w:tcBorders>
          </w:tcPr>
          <w:p w14:paraId="3661D766" w14:textId="2907FAC6" w:rsidR="00B427EF" w:rsidRDefault="00B427EF">
            <w:pPr>
              <w:keepNext/>
              <w:suppressAutoHyphens/>
              <w:rPr>
                <w:del w:id="9721" w:author="AbbVie02no" w:date="2025-05-15T13:45:00Z"/>
                <w:szCs w:val="22"/>
              </w:rPr>
              <w:pPrChange w:id="9722" w:author="AbbVie02no" w:date="2025-05-15T13:45:00Z">
                <w:pPr>
                  <w:pStyle w:val="EMEANormal"/>
                </w:pPr>
              </w:pPrChange>
            </w:pPr>
          </w:p>
        </w:tc>
        <w:tc>
          <w:tcPr>
            <w:tcW w:w="1080" w:type="dxa"/>
            <w:tcBorders>
              <w:top w:val="nil"/>
              <w:left w:val="nil"/>
              <w:bottom w:val="nil"/>
              <w:right w:val="nil"/>
            </w:tcBorders>
          </w:tcPr>
          <w:p w14:paraId="6291399F" w14:textId="322C3BAC" w:rsidR="00B427EF" w:rsidRDefault="00B427EF">
            <w:pPr>
              <w:keepNext/>
              <w:suppressAutoHyphens/>
              <w:rPr>
                <w:del w:id="9723" w:author="AbbVie02no" w:date="2025-05-15T13:45:00Z"/>
                <w:szCs w:val="22"/>
              </w:rPr>
              <w:pPrChange w:id="9724" w:author="AbbVie02no" w:date="2025-05-15T13:45:00Z">
                <w:pPr>
                  <w:pStyle w:val="EMEANormal"/>
                </w:pPr>
              </w:pPrChange>
            </w:pPr>
          </w:p>
        </w:tc>
      </w:tr>
      <w:tr w:rsidR="004644D4" w14:paraId="216FFE65" w14:textId="4DEA91EA" w:rsidTr="00B427EF">
        <w:trPr>
          <w:del w:id="9725" w:author="AbbVie02no" w:date="2025-05-15T13:45:00Z"/>
        </w:trPr>
        <w:tc>
          <w:tcPr>
            <w:tcW w:w="2268" w:type="dxa"/>
            <w:tcBorders>
              <w:top w:val="nil"/>
              <w:left w:val="nil"/>
              <w:bottom w:val="nil"/>
              <w:right w:val="nil"/>
            </w:tcBorders>
            <w:hideMark/>
          </w:tcPr>
          <w:p w14:paraId="0DBDA2E9" w14:textId="34325E69" w:rsidR="00B427EF" w:rsidRDefault="00E453CD">
            <w:pPr>
              <w:keepNext/>
              <w:suppressAutoHyphens/>
              <w:rPr>
                <w:del w:id="9726" w:author="AbbVie02no" w:date="2025-05-15T13:45:00Z"/>
                <w:szCs w:val="22"/>
              </w:rPr>
              <w:pPrChange w:id="9727" w:author="AbbVie02no" w:date="2025-05-15T13:45:00Z">
                <w:pPr>
                  <w:pStyle w:val="EMEANormal"/>
                </w:pPr>
              </w:pPrChange>
            </w:pPr>
            <w:del w:id="9728" w:author="AbbVie02no" w:date="2025-05-15T13:45:00Z">
              <w:r>
                <w:rPr>
                  <w:szCs w:val="22"/>
                </w:rPr>
                <w:tab/>
                <w:delText>Placebo</w:delText>
              </w:r>
            </w:del>
          </w:p>
        </w:tc>
        <w:tc>
          <w:tcPr>
            <w:tcW w:w="720" w:type="dxa"/>
            <w:tcBorders>
              <w:top w:val="nil"/>
              <w:left w:val="nil"/>
              <w:bottom w:val="nil"/>
              <w:right w:val="nil"/>
            </w:tcBorders>
            <w:hideMark/>
          </w:tcPr>
          <w:p w14:paraId="3F1F7D84" w14:textId="7FF7E077" w:rsidR="00B427EF" w:rsidRDefault="00E453CD">
            <w:pPr>
              <w:keepNext/>
              <w:suppressAutoHyphens/>
              <w:rPr>
                <w:del w:id="9729" w:author="AbbVie02no" w:date="2025-05-15T13:45:00Z"/>
                <w:szCs w:val="22"/>
              </w:rPr>
              <w:pPrChange w:id="9730" w:author="AbbVie02no" w:date="2025-05-15T13:45:00Z">
                <w:pPr>
                  <w:pStyle w:val="EMEANormal"/>
                </w:pPr>
              </w:pPrChange>
            </w:pPr>
            <w:del w:id="9731" w:author="AbbVie02no" w:date="2025-05-15T13:45:00Z">
              <w:r>
                <w:rPr>
                  <w:szCs w:val="22"/>
                </w:rPr>
                <w:delText>107</w:delText>
              </w:r>
            </w:del>
          </w:p>
        </w:tc>
        <w:tc>
          <w:tcPr>
            <w:tcW w:w="1170" w:type="dxa"/>
            <w:tcBorders>
              <w:top w:val="nil"/>
              <w:left w:val="nil"/>
              <w:bottom w:val="nil"/>
              <w:right w:val="nil"/>
            </w:tcBorders>
            <w:hideMark/>
          </w:tcPr>
          <w:p w14:paraId="361F059F" w14:textId="2232DD8E" w:rsidR="00B427EF" w:rsidRDefault="00E453CD">
            <w:pPr>
              <w:keepNext/>
              <w:suppressAutoHyphens/>
              <w:rPr>
                <w:del w:id="9732" w:author="AbbVie02no" w:date="2025-05-15T13:45:00Z"/>
                <w:szCs w:val="22"/>
              </w:rPr>
              <w:pPrChange w:id="9733" w:author="AbbVie02no" w:date="2025-05-15T13:45:00Z">
                <w:pPr>
                  <w:pStyle w:val="EMEANormal"/>
                </w:pPr>
              </w:pPrChange>
            </w:pPr>
            <w:del w:id="9734" w:author="AbbVie02no" w:date="2025-05-15T13:45:00Z">
              <w:r>
                <w:rPr>
                  <w:szCs w:val="22"/>
                </w:rPr>
                <w:delText>84 (78,5)</w:delText>
              </w:r>
            </w:del>
          </w:p>
        </w:tc>
        <w:tc>
          <w:tcPr>
            <w:tcW w:w="1890" w:type="dxa"/>
            <w:tcBorders>
              <w:top w:val="nil"/>
              <w:left w:val="nil"/>
              <w:bottom w:val="nil"/>
              <w:right w:val="nil"/>
            </w:tcBorders>
            <w:hideMark/>
          </w:tcPr>
          <w:p w14:paraId="5F278857" w14:textId="4DAD755E" w:rsidR="00B427EF" w:rsidRDefault="00E453CD">
            <w:pPr>
              <w:keepNext/>
              <w:suppressAutoHyphens/>
              <w:rPr>
                <w:del w:id="9735" w:author="AbbVie02no" w:date="2025-05-15T13:45:00Z"/>
                <w:szCs w:val="22"/>
              </w:rPr>
              <w:pPrChange w:id="9736" w:author="AbbVie02no" w:date="2025-05-15T13:45:00Z">
                <w:pPr>
                  <w:pStyle w:val="EMEANormal"/>
                </w:pPr>
              </w:pPrChange>
            </w:pPr>
            <w:del w:id="9737" w:author="AbbVie02no" w:date="2025-05-15T13:45:00Z">
              <w:r>
                <w:rPr>
                  <w:szCs w:val="22"/>
                </w:rPr>
                <w:delText>3,0</w:delText>
              </w:r>
            </w:del>
          </w:p>
        </w:tc>
        <w:tc>
          <w:tcPr>
            <w:tcW w:w="720" w:type="dxa"/>
            <w:tcBorders>
              <w:top w:val="nil"/>
              <w:left w:val="nil"/>
              <w:bottom w:val="nil"/>
              <w:right w:val="nil"/>
            </w:tcBorders>
            <w:hideMark/>
          </w:tcPr>
          <w:p w14:paraId="0AA65ACF" w14:textId="4E96A296" w:rsidR="00B427EF" w:rsidRDefault="00E453CD">
            <w:pPr>
              <w:keepNext/>
              <w:suppressAutoHyphens/>
              <w:rPr>
                <w:del w:id="9738" w:author="AbbVie02no" w:date="2025-05-15T13:45:00Z"/>
                <w:szCs w:val="22"/>
              </w:rPr>
              <w:pPrChange w:id="9739" w:author="AbbVie02no" w:date="2025-05-15T13:45:00Z">
                <w:pPr>
                  <w:pStyle w:val="EMEANormal"/>
                </w:pPr>
              </w:pPrChange>
            </w:pPr>
            <w:del w:id="9740" w:author="AbbVie02no" w:date="2025-05-15T13:45:00Z">
              <w:r>
                <w:rPr>
                  <w:szCs w:val="22"/>
                </w:rPr>
                <w:delText>--</w:delText>
              </w:r>
            </w:del>
          </w:p>
        </w:tc>
        <w:tc>
          <w:tcPr>
            <w:tcW w:w="1170" w:type="dxa"/>
            <w:tcBorders>
              <w:top w:val="nil"/>
              <w:left w:val="nil"/>
              <w:bottom w:val="nil"/>
              <w:right w:val="nil"/>
            </w:tcBorders>
            <w:hideMark/>
          </w:tcPr>
          <w:p w14:paraId="2AF66B93" w14:textId="7CE768D1" w:rsidR="00B427EF" w:rsidRDefault="00E453CD">
            <w:pPr>
              <w:keepNext/>
              <w:suppressAutoHyphens/>
              <w:rPr>
                <w:del w:id="9741" w:author="AbbVie02no" w:date="2025-05-15T13:45:00Z"/>
                <w:szCs w:val="22"/>
              </w:rPr>
              <w:pPrChange w:id="9742" w:author="AbbVie02no" w:date="2025-05-15T13:45:00Z">
                <w:pPr>
                  <w:pStyle w:val="EMEANormal"/>
                </w:pPr>
              </w:pPrChange>
            </w:pPr>
            <w:del w:id="9743" w:author="AbbVie02no" w:date="2025-05-15T13:45:00Z">
              <w:r>
                <w:rPr>
                  <w:szCs w:val="22"/>
                </w:rPr>
                <w:delText>--</w:delText>
              </w:r>
            </w:del>
          </w:p>
        </w:tc>
        <w:tc>
          <w:tcPr>
            <w:tcW w:w="1080" w:type="dxa"/>
            <w:tcBorders>
              <w:top w:val="nil"/>
              <w:left w:val="nil"/>
              <w:bottom w:val="nil"/>
              <w:right w:val="nil"/>
            </w:tcBorders>
            <w:hideMark/>
          </w:tcPr>
          <w:p w14:paraId="4A89BEF8" w14:textId="0D213493" w:rsidR="00B427EF" w:rsidRDefault="00E453CD">
            <w:pPr>
              <w:keepNext/>
              <w:suppressAutoHyphens/>
              <w:rPr>
                <w:del w:id="9744" w:author="AbbVie02no" w:date="2025-05-15T13:45:00Z"/>
                <w:szCs w:val="22"/>
              </w:rPr>
              <w:pPrChange w:id="9745" w:author="AbbVie02no" w:date="2025-05-15T13:45:00Z">
                <w:pPr>
                  <w:pStyle w:val="EMEANormal"/>
                </w:pPr>
              </w:pPrChange>
            </w:pPr>
            <w:del w:id="9746" w:author="AbbVie02no" w:date="2025-05-15T13:45:00Z">
              <w:r>
                <w:rPr>
                  <w:szCs w:val="22"/>
                </w:rPr>
                <w:delText>--</w:delText>
              </w:r>
            </w:del>
          </w:p>
        </w:tc>
      </w:tr>
      <w:tr w:rsidR="004644D4" w14:paraId="3E63BF12" w14:textId="73102124" w:rsidTr="00B427EF">
        <w:trPr>
          <w:del w:id="9747" w:author="AbbVie02no" w:date="2025-05-15T13:45:00Z"/>
        </w:trPr>
        <w:tc>
          <w:tcPr>
            <w:tcW w:w="2268" w:type="dxa"/>
            <w:tcBorders>
              <w:top w:val="nil"/>
              <w:left w:val="nil"/>
              <w:bottom w:val="single" w:sz="4" w:space="0" w:color="auto"/>
              <w:right w:val="nil"/>
            </w:tcBorders>
            <w:hideMark/>
          </w:tcPr>
          <w:p w14:paraId="607F3B69" w14:textId="23A0D974" w:rsidR="00B427EF" w:rsidRDefault="00E453CD">
            <w:pPr>
              <w:keepNext/>
              <w:suppressAutoHyphens/>
              <w:rPr>
                <w:del w:id="9748" w:author="AbbVie02no" w:date="2025-05-15T13:45:00Z"/>
                <w:szCs w:val="22"/>
              </w:rPr>
              <w:pPrChange w:id="9749" w:author="AbbVie02no" w:date="2025-05-15T13:45:00Z">
                <w:pPr>
                  <w:pStyle w:val="EMEANormal"/>
                </w:pPr>
              </w:pPrChange>
            </w:pPr>
            <w:del w:id="9750" w:author="AbbVie02no" w:date="2025-05-15T13:45:00Z">
              <w:r>
                <w:rPr>
                  <w:szCs w:val="22"/>
                </w:rPr>
                <w:tab/>
                <w:delText>Adalimumab</w:delText>
              </w:r>
            </w:del>
          </w:p>
        </w:tc>
        <w:tc>
          <w:tcPr>
            <w:tcW w:w="720" w:type="dxa"/>
            <w:tcBorders>
              <w:top w:val="nil"/>
              <w:left w:val="nil"/>
              <w:bottom w:val="single" w:sz="4" w:space="0" w:color="auto"/>
              <w:right w:val="nil"/>
            </w:tcBorders>
            <w:hideMark/>
          </w:tcPr>
          <w:p w14:paraId="0C17195E" w14:textId="0CBB008E" w:rsidR="00B427EF" w:rsidRDefault="00E453CD">
            <w:pPr>
              <w:keepNext/>
              <w:suppressAutoHyphens/>
              <w:rPr>
                <w:del w:id="9751" w:author="AbbVie02no" w:date="2025-05-15T13:45:00Z"/>
                <w:szCs w:val="22"/>
              </w:rPr>
              <w:pPrChange w:id="9752" w:author="AbbVie02no" w:date="2025-05-15T13:45:00Z">
                <w:pPr>
                  <w:pStyle w:val="EMEANormal"/>
                </w:pPr>
              </w:pPrChange>
            </w:pPr>
            <w:del w:id="9753" w:author="AbbVie02no" w:date="2025-05-15T13:45:00Z">
              <w:r>
                <w:rPr>
                  <w:szCs w:val="22"/>
                </w:rPr>
                <w:delText>110</w:delText>
              </w:r>
            </w:del>
          </w:p>
        </w:tc>
        <w:tc>
          <w:tcPr>
            <w:tcW w:w="1170" w:type="dxa"/>
            <w:tcBorders>
              <w:top w:val="nil"/>
              <w:left w:val="nil"/>
              <w:bottom w:val="single" w:sz="4" w:space="0" w:color="auto"/>
              <w:right w:val="nil"/>
            </w:tcBorders>
            <w:hideMark/>
          </w:tcPr>
          <w:p w14:paraId="6D34E60A" w14:textId="12B8413E" w:rsidR="00B427EF" w:rsidRDefault="00E453CD">
            <w:pPr>
              <w:keepNext/>
              <w:suppressAutoHyphens/>
              <w:rPr>
                <w:del w:id="9754" w:author="AbbVie02no" w:date="2025-05-15T13:45:00Z"/>
                <w:szCs w:val="22"/>
              </w:rPr>
              <w:pPrChange w:id="9755" w:author="AbbVie02no" w:date="2025-05-15T13:45:00Z">
                <w:pPr>
                  <w:pStyle w:val="EMEANormal"/>
                </w:pPr>
              </w:pPrChange>
            </w:pPr>
            <w:del w:id="9756" w:author="AbbVie02no" w:date="2025-05-15T13:45:00Z">
              <w:r>
                <w:rPr>
                  <w:szCs w:val="22"/>
                </w:rPr>
                <w:delText>60 (54,5)</w:delText>
              </w:r>
            </w:del>
          </w:p>
        </w:tc>
        <w:tc>
          <w:tcPr>
            <w:tcW w:w="1890" w:type="dxa"/>
            <w:tcBorders>
              <w:top w:val="nil"/>
              <w:left w:val="nil"/>
              <w:bottom w:val="single" w:sz="4" w:space="0" w:color="auto"/>
              <w:right w:val="nil"/>
            </w:tcBorders>
            <w:hideMark/>
          </w:tcPr>
          <w:p w14:paraId="216A04FF" w14:textId="6FB69D0C" w:rsidR="00B427EF" w:rsidRDefault="00E453CD">
            <w:pPr>
              <w:keepNext/>
              <w:suppressAutoHyphens/>
              <w:rPr>
                <w:del w:id="9757" w:author="AbbVie02no" w:date="2025-05-15T13:45:00Z"/>
                <w:szCs w:val="22"/>
              </w:rPr>
              <w:pPrChange w:id="9758" w:author="AbbVie02no" w:date="2025-05-15T13:45:00Z">
                <w:pPr>
                  <w:pStyle w:val="EMEANormal"/>
                </w:pPr>
              </w:pPrChange>
            </w:pPr>
            <w:del w:id="9759" w:author="AbbVie02no" w:date="2025-05-15T13:45:00Z">
              <w:r>
                <w:rPr>
                  <w:szCs w:val="22"/>
                </w:rPr>
                <w:delText>5,6</w:delText>
              </w:r>
            </w:del>
          </w:p>
        </w:tc>
        <w:tc>
          <w:tcPr>
            <w:tcW w:w="720" w:type="dxa"/>
            <w:tcBorders>
              <w:top w:val="nil"/>
              <w:left w:val="nil"/>
              <w:bottom w:val="single" w:sz="4" w:space="0" w:color="auto"/>
              <w:right w:val="nil"/>
            </w:tcBorders>
            <w:hideMark/>
          </w:tcPr>
          <w:p w14:paraId="7B4E6BBF" w14:textId="4CF8085A" w:rsidR="00B427EF" w:rsidRDefault="00E453CD">
            <w:pPr>
              <w:keepNext/>
              <w:suppressAutoHyphens/>
              <w:rPr>
                <w:del w:id="9760" w:author="AbbVie02no" w:date="2025-05-15T13:45:00Z"/>
                <w:szCs w:val="22"/>
              </w:rPr>
              <w:pPrChange w:id="9761" w:author="AbbVie02no" w:date="2025-05-15T13:45:00Z">
                <w:pPr>
                  <w:pStyle w:val="EMEANormal"/>
                </w:pPr>
              </w:pPrChange>
            </w:pPr>
            <w:del w:id="9762" w:author="AbbVie02no" w:date="2025-05-15T13:45:00Z">
              <w:r>
                <w:rPr>
                  <w:szCs w:val="22"/>
                </w:rPr>
                <w:delText>0,50</w:delText>
              </w:r>
            </w:del>
          </w:p>
        </w:tc>
        <w:tc>
          <w:tcPr>
            <w:tcW w:w="1170" w:type="dxa"/>
            <w:tcBorders>
              <w:top w:val="nil"/>
              <w:left w:val="nil"/>
              <w:bottom w:val="single" w:sz="4" w:space="0" w:color="auto"/>
              <w:right w:val="nil"/>
            </w:tcBorders>
            <w:hideMark/>
          </w:tcPr>
          <w:p w14:paraId="0A8878AC" w14:textId="04167FC7" w:rsidR="00B427EF" w:rsidRDefault="00E453CD">
            <w:pPr>
              <w:keepNext/>
              <w:suppressAutoHyphens/>
              <w:rPr>
                <w:del w:id="9763" w:author="AbbVie02no" w:date="2025-05-15T13:45:00Z"/>
                <w:szCs w:val="22"/>
              </w:rPr>
              <w:pPrChange w:id="9764" w:author="AbbVie02no" w:date="2025-05-15T13:45:00Z">
                <w:pPr>
                  <w:pStyle w:val="EMEANormal"/>
                </w:pPr>
              </w:pPrChange>
            </w:pPr>
            <w:del w:id="9765" w:author="AbbVie02no" w:date="2025-05-15T13:45:00Z">
              <w:r>
                <w:rPr>
                  <w:szCs w:val="22"/>
                </w:rPr>
                <w:delText>0,36, 0,70</w:delText>
              </w:r>
              <w:r>
                <w:rPr>
                  <w:szCs w:val="22"/>
                  <w:vertAlign w:val="superscript"/>
                </w:rPr>
                <w:delText xml:space="preserve"> </w:delText>
              </w:r>
            </w:del>
          </w:p>
        </w:tc>
        <w:tc>
          <w:tcPr>
            <w:tcW w:w="1080" w:type="dxa"/>
            <w:tcBorders>
              <w:top w:val="nil"/>
              <w:left w:val="nil"/>
              <w:bottom w:val="single" w:sz="4" w:space="0" w:color="auto"/>
              <w:right w:val="nil"/>
            </w:tcBorders>
            <w:hideMark/>
          </w:tcPr>
          <w:p w14:paraId="308A22BF" w14:textId="5B4EA4AB" w:rsidR="00B427EF" w:rsidRDefault="00E453CD">
            <w:pPr>
              <w:keepNext/>
              <w:suppressAutoHyphens/>
              <w:rPr>
                <w:del w:id="9766" w:author="AbbVie02no" w:date="2025-05-15T13:45:00Z"/>
                <w:szCs w:val="22"/>
              </w:rPr>
              <w:pPrChange w:id="9767" w:author="AbbVie02no" w:date="2025-05-15T13:45:00Z">
                <w:pPr>
                  <w:pStyle w:val="EMEANormal"/>
                </w:pPr>
              </w:pPrChange>
            </w:pPr>
            <w:del w:id="9768" w:author="AbbVie02no" w:date="2025-05-15T13:45:00Z">
              <w:r>
                <w:rPr>
                  <w:szCs w:val="22"/>
                </w:rPr>
                <w:delText>&lt; 0,001</w:delText>
              </w:r>
            </w:del>
          </w:p>
        </w:tc>
      </w:tr>
      <w:tr w:rsidR="004644D4" w14:paraId="5F6FF2D3" w14:textId="5E8EFB6B" w:rsidTr="00B427EF">
        <w:trPr>
          <w:del w:id="9769" w:author="AbbVie02no" w:date="2025-05-15T13:45:00Z"/>
        </w:trPr>
        <w:tc>
          <w:tcPr>
            <w:tcW w:w="9018" w:type="dxa"/>
            <w:gridSpan w:val="7"/>
            <w:tcBorders>
              <w:top w:val="single" w:sz="4" w:space="0" w:color="auto"/>
              <w:left w:val="nil"/>
              <w:bottom w:val="nil"/>
              <w:right w:val="nil"/>
            </w:tcBorders>
            <w:hideMark/>
          </w:tcPr>
          <w:p w14:paraId="13A5EC89" w14:textId="0D891248" w:rsidR="00B427EF" w:rsidRPr="00F05EB5" w:rsidRDefault="00E453CD">
            <w:pPr>
              <w:keepNext/>
              <w:suppressAutoHyphens/>
              <w:rPr>
                <w:del w:id="9770" w:author="AbbVie02no" w:date="2025-05-15T13:45:00Z"/>
                <w:b/>
                <w:szCs w:val="22"/>
              </w:rPr>
              <w:pPrChange w:id="9771" w:author="AbbVie02no" w:date="2025-05-15T13:45:00Z">
                <w:pPr>
                  <w:pStyle w:val="EMEANormal"/>
                </w:pPr>
              </w:pPrChange>
            </w:pPr>
            <w:del w:id="9772" w:author="AbbVie02no" w:date="2025-05-15T13:45:00Z">
              <w:r>
                <w:rPr>
                  <w:b/>
                  <w:szCs w:val="22"/>
                </w:rPr>
                <w:delText>T</w:delText>
              </w:r>
              <w:r w:rsidRPr="00126088">
                <w:rPr>
                  <w:b/>
                  <w:szCs w:val="22"/>
                </w:rPr>
                <w:delText xml:space="preserve">id til behandlingssvikt ved eller etter </w:delText>
              </w:r>
              <w:r>
                <w:rPr>
                  <w:b/>
                  <w:szCs w:val="22"/>
                </w:rPr>
                <w:delText>uke</w:delText>
              </w:r>
              <w:r w:rsidRPr="00F05EB5">
                <w:rPr>
                  <w:b/>
                  <w:szCs w:val="22"/>
                </w:rPr>
                <w:delText xml:space="preserve"> 2 i studie UV II</w:delText>
              </w:r>
            </w:del>
          </w:p>
        </w:tc>
      </w:tr>
      <w:tr w:rsidR="004644D4" w14:paraId="2551EBFC" w14:textId="569AF043" w:rsidTr="00B427EF">
        <w:trPr>
          <w:del w:id="9773" w:author="AbbVie02no" w:date="2025-05-15T13:45:00Z"/>
        </w:trPr>
        <w:tc>
          <w:tcPr>
            <w:tcW w:w="2988" w:type="dxa"/>
            <w:gridSpan w:val="2"/>
            <w:tcBorders>
              <w:top w:val="nil"/>
              <w:left w:val="nil"/>
              <w:bottom w:val="nil"/>
              <w:right w:val="nil"/>
            </w:tcBorders>
            <w:hideMark/>
          </w:tcPr>
          <w:p w14:paraId="64C36530" w14:textId="51CCB8E4" w:rsidR="00B427EF" w:rsidRDefault="00E453CD">
            <w:pPr>
              <w:keepNext/>
              <w:suppressAutoHyphens/>
              <w:rPr>
                <w:del w:id="9774" w:author="AbbVie02no" w:date="2025-05-15T13:45:00Z"/>
                <w:szCs w:val="22"/>
              </w:rPr>
              <w:pPrChange w:id="9775" w:author="AbbVie02no" w:date="2025-05-15T13:45:00Z">
                <w:pPr>
                  <w:pStyle w:val="EMEANormal"/>
                </w:pPr>
              </w:pPrChange>
            </w:pPr>
            <w:del w:id="9776" w:author="AbbVie02no" w:date="2025-05-15T13:45:00Z">
              <w:r>
                <w:rPr>
                  <w:szCs w:val="22"/>
                </w:rPr>
                <w:delText>Primæranalyse (ITT)</w:delText>
              </w:r>
            </w:del>
          </w:p>
        </w:tc>
        <w:tc>
          <w:tcPr>
            <w:tcW w:w="1170" w:type="dxa"/>
            <w:tcBorders>
              <w:top w:val="nil"/>
              <w:left w:val="nil"/>
              <w:bottom w:val="nil"/>
              <w:right w:val="nil"/>
            </w:tcBorders>
          </w:tcPr>
          <w:p w14:paraId="370DC8CA" w14:textId="35DDE0B7" w:rsidR="00B427EF" w:rsidRDefault="00B427EF">
            <w:pPr>
              <w:keepNext/>
              <w:suppressAutoHyphens/>
              <w:rPr>
                <w:del w:id="9777" w:author="AbbVie02no" w:date="2025-05-15T13:45:00Z"/>
                <w:szCs w:val="22"/>
              </w:rPr>
              <w:pPrChange w:id="9778" w:author="AbbVie02no" w:date="2025-05-15T13:45:00Z">
                <w:pPr>
                  <w:pStyle w:val="EMEANormal"/>
                </w:pPr>
              </w:pPrChange>
            </w:pPr>
          </w:p>
        </w:tc>
        <w:tc>
          <w:tcPr>
            <w:tcW w:w="1890" w:type="dxa"/>
            <w:tcBorders>
              <w:top w:val="nil"/>
              <w:left w:val="nil"/>
              <w:bottom w:val="nil"/>
              <w:right w:val="nil"/>
            </w:tcBorders>
          </w:tcPr>
          <w:p w14:paraId="26DCCBDF" w14:textId="1C0296D0" w:rsidR="00B427EF" w:rsidRDefault="00B427EF">
            <w:pPr>
              <w:keepNext/>
              <w:suppressAutoHyphens/>
              <w:rPr>
                <w:del w:id="9779" w:author="AbbVie02no" w:date="2025-05-15T13:45:00Z"/>
                <w:szCs w:val="22"/>
              </w:rPr>
              <w:pPrChange w:id="9780" w:author="AbbVie02no" w:date="2025-05-15T13:45:00Z">
                <w:pPr>
                  <w:pStyle w:val="EMEANormal"/>
                </w:pPr>
              </w:pPrChange>
            </w:pPr>
          </w:p>
        </w:tc>
        <w:tc>
          <w:tcPr>
            <w:tcW w:w="720" w:type="dxa"/>
            <w:tcBorders>
              <w:top w:val="nil"/>
              <w:left w:val="nil"/>
              <w:bottom w:val="nil"/>
              <w:right w:val="nil"/>
            </w:tcBorders>
          </w:tcPr>
          <w:p w14:paraId="7F85DF5B" w14:textId="2A60643C" w:rsidR="00B427EF" w:rsidRDefault="00B427EF">
            <w:pPr>
              <w:keepNext/>
              <w:suppressAutoHyphens/>
              <w:rPr>
                <w:del w:id="9781" w:author="AbbVie02no" w:date="2025-05-15T13:45:00Z"/>
                <w:szCs w:val="22"/>
              </w:rPr>
              <w:pPrChange w:id="9782" w:author="AbbVie02no" w:date="2025-05-15T13:45:00Z">
                <w:pPr>
                  <w:pStyle w:val="EMEANormal"/>
                </w:pPr>
              </w:pPrChange>
            </w:pPr>
          </w:p>
        </w:tc>
        <w:tc>
          <w:tcPr>
            <w:tcW w:w="1170" w:type="dxa"/>
            <w:tcBorders>
              <w:top w:val="nil"/>
              <w:left w:val="nil"/>
              <w:bottom w:val="nil"/>
              <w:right w:val="nil"/>
            </w:tcBorders>
          </w:tcPr>
          <w:p w14:paraId="4DD6B2D9" w14:textId="4EF20DE4" w:rsidR="00B427EF" w:rsidRDefault="00B427EF">
            <w:pPr>
              <w:keepNext/>
              <w:suppressAutoHyphens/>
              <w:rPr>
                <w:del w:id="9783" w:author="AbbVie02no" w:date="2025-05-15T13:45:00Z"/>
                <w:szCs w:val="22"/>
              </w:rPr>
              <w:pPrChange w:id="9784" w:author="AbbVie02no" w:date="2025-05-15T13:45:00Z">
                <w:pPr>
                  <w:pStyle w:val="EMEANormal"/>
                </w:pPr>
              </w:pPrChange>
            </w:pPr>
          </w:p>
        </w:tc>
        <w:tc>
          <w:tcPr>
            <w:tcW w:w="1080" w:type="dxa"/>
            <w:tcBorders>
              <w:top w:val="nil"/>
              <w:left w:val="nil"/>
              <w:bottom w:val="nil"/>
              <w:right w:val="nil"/>
            </w:tcBorders>
          </w:tcPr>
          <w:p w14:paraId="4098145C" w14:textId="370BB13B" w:rsidR="00B427EF" w:rsidRDefault="00B427EF">
            <w:pPr>
              <w:keepNext/>
              <w:suppressAutoHyphens/>
              <w:rPr>
                <w:del w:id="9785" w:author="AbbVie02no" w:date="2025-05-15T13:45:00Z"/>
                <w:szCs w:val="22"/>
              </w:rPr>
              <w:pPrChange w:id="9786" w:author="AbbVie02no" w:date="2025-05-15T13:45:00Z">
                <w:pPr>
                  <w:pStyle w:val="EMEANormal"/>
                </w:pPr>
              </w:pPrChange>
            </w:pPr>
          </w:p>
        </w:tc>
      </w:tr>
      <w:tr w:rsidR="004644D4" w14:paraId="721BB4B6" w14:textId="05CB796F" w:rsidTr="00B427EF">
        <w:trPr>
          <w:del w:id="9787" w:author="AbbVie02no" w:date="2025-05-15T13:45:00Z"/>
        </w:trPr>
        <w:tc>
          <w:tcPr>
            <w:tcW w:w="2268" w:type="dxa"/>
            <w:tcBorders>
              <w:top w:val="nil"/>
              <w:left w:val="nil"/>
              <w:bottom w:val="nil"/>
              <w:right w:val="nil"/>
            </w:tcBorders>
            <w:hideMark/>
          </w:tcPr>
          <w:p w14:paraId="52D6DEDD" w14:textId="4A0A8648" w:rsidR="00B427EF" w:rsidRDefault="00E453CD">
            <w:pPr>
              <w:keepNext/>
              <w:suppressAutoHyphens/>
              <w:rPr>
                <w:del w:id="9788" w:author="AbbVie02no" w:date="2025-05-15T13:45:00Z"/>
                <w:szCs w:val="22"/>
              </w:rPr>
              <w:pPrChange w:id="9789" w:author="AbbVie02no" w:date="2025-05-15T13:45:00Z">
                <w:pPr>
                  <w:pStyle w:val="EMEANormal"/>
                </w:pPr>
              </w:pPrChange>
            </w:pPr>
            <w:del w:id="9790" w:author="AbbVie02no" w:date="2025-05-15T13:45:00Z">
              <w:r>
                <w:rPr>
                  <w:szCs w:val="22"/>
                </w:rPr>
                <w:tab/>
                <w:delText>Placebo</w:delText>
              </w:r>
            </w:del>
          </w:p>
        </w:tc>
        <w:tc>
          <w:tcPr>
            <w:tcW w:w="720" w:type="dxa"/>
            <w:tcBorders>
              <w:top w:val="nil"/>
              <w:left w:val="nil"/>
              <w:bottom w:val="nil"/>
              <w:right w:val="nil"/>
            </w:tcBorders>
            <w:hideMark/>
          </w:tcPr>
          <w:p w14:paraId="1830A698" w14:textId="556EBDD8" w:rsidR="00B427EF" w:rsidRDefault="00E453CD">
            <w:pPr>
              <w:keepNext/>
              <w:suppressAutoHyphens/>
              <w:rPr>
                <w:del w:id="9791" w:author="AbbVie02no" w:date="2025-05-15T13:45:00Z"/>
                <w:szCs w:val="22"/>
              </w:rPr>
              <w:pPrChange w:id="9792" w:author="AbbVie02no" w:date="2025-05-15T13:45:00Z">
                <w:pPr>
                  <w:pStyle w:val="EMEANormal"/>
                </w:pPr>
              </w:pPrChange>
            </w:pPr>
            <w:del w:id="9793" w:author="AbbVie02no" w:date="2025-05-15T13:45:00Z">
              <w:r>
                <w:rPr>
                  <w:szCs w:val="22"/>
                </w:rPr>
                <w:delText>111</w:delText>
              </w:r>
            </w:del>
          </w:p>
        </w:tc>
        <w:tc>
          <w:tcPr>
            <w:tcW w:w="1170" w:type="dxa"/>
            <w:tcBorders>
              <w:top w:val="nil"/>
              <w:left w:val="nil"/>
              <w:bottom w:val="nil"/>
              <w:right w:val="nil"/>
            </w:tcBorders>
            <w:hideMark/>
          </w:tcPr>
          <w:p w14:paraId="1D73D4AF" w14:textId="09C46034" w:rsidR="00B427EF" w:rsidRDefault="00E453CD">
            <w:pPr>
              <w:keepNext/>
              <w:suppressAutoHyphens/>
              <w:rPr>
                <w:del w:id="9794" w:author="AbbVie02no" w:date="2025-05-15T13:45:00Z"/>
                <w:szCs w:val="22"/>
              </w:rPr>
              <w:pPrChange w:id="9795" w:author="AbbVie02no" w:date="2025-05-15T13:45:00Z">
                <w:pPr>
                  <w:pStyle w:val="EMEANormal"/>
                </w:pPr>
              </w:pPrChange>
            </w:pPr>
            <w:del w:id="9796" w:author="AbbVie02no" w:date="2025-05-15T13:45:00Z">
              <w:r>
                <w:rPr>
                  <w:szCs w:val="22"/>
                </w:rPr>
                <w:delText>61 (55,0)</w:delText>
              </w:r>
            </w:del>
          </w:p>
        </w:tc>
        <w:tc>
          <w:tcPr>
            <w:tcW w:w="1890" w:type="dxa"/>
            <w:tcBorders>
              <w:top w:val="nil"/>
              <w:left w:val="nil"/>
              <w:bottom w:val="nil"/>
              <w:right w:val="nil"/>
            </w:tcBorders>
            <w:hideMark/>
          </w:tcPr>
          <w:p w14:paraId="7FB311A4" w14:textId="4089E241" w:rsidR="00B427EF" w:rsidRDefault="00E453CD">
            <w:pPr>
              <w:keepNext/>
              <w:suppressAutoHyphens/>
              <w:rPr>
                <w:del w:id="9797" w:author="AbbVie02no" w:date="2025-05-15T13:45:00Z"/>
                <w:szCs w:val="22"/>
              </w:rPr>
              <w:pPrChange w:id="9798" w:author="AbbVie02no" w:date="2025-05-15T13:45:00Z">
                <w:pPr>
                  <w:pStyle w:val="EMEANormal"/>
                </w:pPr>
              </w:pPrChange>
            </w:pPr>
            <w:del w:id="9799" w:author="AbbVie02no" w:date="2025-05-15T13:45:00Z">
              <w:r>
                <w:rPr>
                  <w:szCs w:val="22"/>
                </w:rPr>
                <w:delText>8,3</w:delText>
              </w:r>
            </w:del>
          </w:p>
        </w:tc>
        <w:tc>
          <w:tcPr>
            <w:tcW w:w="720" w:type="dxa"/>
            <w:tcBorders>
              <w:top w:val="nil"/>
              <w:left w:val="nil"/>
              <w:bottom w:val="nil"/>
              <w:right w:val="nil"/>
            </w:tcBorders>
            <w:hideMark/>
          </w:tcPr>
          <w:p w14:paraId="13B8B924" w14:textId="62A00366" w:rsidR="00B427EF" w:rsidRDefault="00E453CD">
            <w:pPr>
              <w:keepNext/>
              <w:suppressAutoHyphens/>
              <w:rPr>
                <w:del w:id="9800" w:author="AbbVie02no" w:date="2025-05-15T13:45:00Z"/>
                <w:szCs w:val="22"/>
              </w:rPr>
              <w:pPrChange w:id="9801" w:author="AbbVie02no" w:date="2025-05-15T13:45:00Z">
                <w:pPr>
                  <w:pStyle w:val="EMEANormal"/>
                </w:pPr>
              </w:pPrChange>
            </w:pPr>
            <w:del w:id="9802" w:author="AbbVie02no" w:date="2025-05-15T13:45:00Z">
              <w:r>
                <w:rPr>
                  <w:szCs w:val="22"/>
                </w:rPr>
                <w:delText>--</w:delText>
              </w:r>
            </w:del>
          </w:p>
        </w:tc>
        <w:tc>
          <w:tcPr>
            <w:tcW w:w="1170" w:type="dxa"/>
            <w:tcBorders>
              <w:top w:val="nil"/>
              <w:left w:val="nil"/>
              <w:bottom w:val="nil"/>
              <w:right w:val="nil"/>
            </w:tcBorders>
            <w:hideMark/>
          </w:tcPr>
          <w:p w14:paraId="30A35798" w14:textId="71160ECF" w:rsidR="00B427EF" w:rsidRDefault="00E453CD">
            <w:pPr>
              <w:keepNext/>
              <w:suppressAutoHyphens/>
              <w:rPr>
                <w:del w:id="9803" w:author="AbbVie02no" w:date="2025-05-15T13:45:00Z"/>
                <w:szCs w:val="22"/>
              </w:rPr>
              <w:pPrChange w:id="9804" w:author="AbbVie02no" w:date="2025-05-15T13:45:00Z">
                <w:pPr>
                  <w:pStyle w:val="EMEANormal"/>
                </w:pPr>
              </w:pPrChange>
            </w:pPr>
            <w:del w:id="9805" w:author="AbbVie02no" w:date="2025-05-15T13:45:00Z">
              <w:r>
                <w:rPr>
                  <w:szCs w:val="22"/>
                </w:rPr>
                <w:delText>--</w:delText>
              </w:r>
            </w:del>
          </w:p>
        </w:tc>
        <w:tc>
          <w:tcPr>
            <w:tcW w:w="1080" w:type="dxa"/>
            <w:tcBorders>
              <w:top w:val="nil"/>
              <w:left w:val="nil"/>
              <w:bottom w:val="nil"/>
              <w:right w:val="nil"/>
            </w:tcBorders>
            <w:hideMark/>
          </w:tcPr>
          <w:p w14:paraId="056440EF" w14:textId="04713358" w:rsidR="00B427EF" w:rsidRDefault="00E453CD">
            <w:pPr>
              <w:keepNext/>
              <w:suppressAutoHyphens/>
              <w:rPr>
                <w:del w:id="9806" w:author="AbbVie02no" w:date="2025-05-15T13:45:00Z"/>
                <w:szCs w:val="22"/>
              </w:rPr>
              <w:pPrChange w:id="9807" w:author="AbbVie02no" w:date="2025-05-15T13:45:00Z">
                <w:pPr>
                  <w:pStyle w:val="EMEANormal"/>
                </w:pPr>
              </w:pPrChange>
            </w:pPr>
            <w:del w:id="9808" w:author="AbbVie02no" w:date="2025-05-15T13:45:00Z">
              <w:r>
                <w:rPr>
                  <w:szCs w:val="22"/>
                </w:rPr>
                <w:delText>--</w:delText>
              </w:r>
            </w:del>
          </w:p>
        </w:tc>
      </w:tr>
      <w:tr w:rsidR="004644D4" w14:paraId="5EE24B69" w14:textId="41DF2A32" w:rsidTr="00B427EF">
        <w:trPr>
          <w:del w:id="9809" w:author="AbbVie02no" w:date="2025-05-15T13:45:00Z"/>
        </w:trPr>
        <w:tc>
          <w:tcPr>
            <w:tcW w:w="2268" w:type="dxa"/>
            <w:tcBorders>
              <w:top w:val="nil"/>
              <w:left w:val="nil"/>
              <w:bottom w:val="single" w:sz="4" w:space="0" w:color="auto"/>
              <w:right w:val="nil"/>
            </w:tcBorders>
            <w:hideMark/>
          </w:tcPr>
          <w:p w14:paraId="2BF0AA8C" w14:textId="5C320483" w:rsidR="00B427EF" w:rsidRDefault="00E453CD">
            <w:pPr>
              <w:keepNext/>
              <w:suppressAutoHyphens/>
              <w:rPr>
                <w:del w:id="9810" w:author="AbbVie02no" w:date="2025-05-15T13:45:00Z"/>
                <w:szCs w:val="22"/>
              </w:rPr>
              <w:pPrChange w:id="9811" w:author="AbbVie02no" w:date="2025-05-15T13:45:00Z">
                <w:pPr>
                  <w:pStyle w:val="EMEANormal"/>
                </w:pPr>
              </w:pPrChange>
            </w:pPr>
            <w:del w:id="9812" w:author="AbbVie02no" w:date="2025-05-15T13:45:00Z">
              <w:r>
                <w:rPr>
                  <w:szCs w:val="22"/>
                </w:rPr>
                <w:tab/>
                <w:delText>Adalimumab</w:delText>
              </w:r>
            </w:del>
          </w:p>
        </w:tc>
        <w:tc>
          <w:tcPr>
            <w:tcW w:w="720" w:type="dxa"/>
            <w:tcBorders>
              <w:top w:val="nil"/>
              <w:left w:val="nil"/>
              <w:bottom w:val="single" w:sz="4" w:space="0" w:color="auto"/>
              <w:right w:val="nil"/>
            </w:tcBorders>
            <w:hideMark/>
          </w:tcPr>
          <w:p w14:paraId="4ACB7D39" w14:textId="18225592" w:rsidR="00B427EF" w:rsidRDefault="00E453CD">
            <w:pPr>
              <w:keepNext/>
              <w:suppressAutoHyphens/>
              <w:rPr>
                <w:del w:id="9813" w:author="AbbVie02no" w:date="2025-05-15T13:45:00Z"/>
                <w:szCs w:val="22"/>
              </w:rPr>
              <w:pPrChange w:id="9814" w:author="AbbVie02no" w:date="2025-05-15T13:45:00Z">
                <w:pPr>
                  <w:pStyle w:val="EMEANormal"/>
                </w:pPr>
              </w:pPrChange>
            </w:pPr>
            <w:del w:id="9815" w:author="AbbVie02no" w:date="2025-05-15T13:45:00Z">
              <w:r>
                <w:rPr>
                  <w:szCs w:val="22"/>
                </w:rPr>
                <w:delText>115</w:delText>
              </w:r>
            </w:del>
          </w:p>
        </w:tc>
        <w:tc>
          <w:tcPr>
            <w:tcW w:w="1170" w:type="dxa"/>
            <w:tcBorders>
              <w:top w:val="nil"/>
              <w:left w:val="nil"/>
              <w:bottom w:val="single" w:sz="4" w:space="0" w:color="auto"/>
              <w:right w:val="nil"/>
            </w:tcBorders>
            <w:hideMark/>
          </w:tcPr>
          <w:p w14:paraId="7B8FCEAB" w14:textId="509D2C45" w:rsidR="00B427EF" w:rsidRDefault="00E453CD">
            <w:pPr>
              <w:keepNext/>
              <w:suppressAutoHyphens/>
              <w:rPr>
                <w:del w:id="9816" w:author="AbbVie02no" w:date="2025-05-15T13:45:00Z"/>
                <w:szCs w:val="22"/>
              </w:rPr>
              <w:pPrChange w:id="9817" w:author="AbbVie02no" w:date="2025-05-15T13:45:00Z">
                <w:pPr>
                  <w:pStyle w:val="EMEANormal"/>
                </w:pPr>
              </w:pPrChange>
            </w:pPr>
            <w:del w:id="9818" w:author="AbbVie02no" w:date="2025-05-15T13:45:00Z">
              <w:r>
                <w:rPr>
                  <w:szCs w:val="22"/>
                </w:rPr>
                <w:delText>45 (39,1)</w:delText>
              </w:r>
            </w:del>
          </w:p>
        </w:tc>
        <w:tc>
          <w:tcPr>
            <w:tcW w:w="1890" w:type="dxa"/>
            <w:tcBorders>
              <w:top w:val="nil"/>
              <w:left w:val="nil"/>
              <w:bottom w:val="single" w:sz="4" w:space="0" w:color="auto"/>
              <w:right w:val="nil"/>
            </w:tcBorders>
            <w:hideMark/>
          </w:tcPr>
          <w:p w14:paraId="56F86397" w14:textId="06092751" w:rsidR="00B427EF" w:rsidRDefault="00E453CD">
            <w:pPr>
              <w:keepNext/>
              <w:suppressAutoHyphens/>
              <w:rPr>
                <w:del w:id="9819" w:author="AbbVie02no" w:date="2025-05-15T13:45:00Z"/>
                <w:szCs w:val="22"/>
              </w:rPr>
              <w:pPrChange w:id="9820" w:author="AbbVie02no" w:date="2025-05-15T13:45:00Z">
                <w:pPr>
                  <w:pStyle w:val="EMEANormal"/>
                </w:pPr>
              </w:pPrChange>
            </w:pPr>
            <w:del w:id="9821" w:author="AbbVie02no" w:date="2025-05-15T13:45:00Z">
              <w:r>
                <w:rPr>
                  <w:szCs w:val="22"/>
                </w:rPr>
                <w:delText>NE</w:delText>
              </w:r>
              <w:r>
                <w:rPr>
                  <w:szCs w:val="22"/>
                  <w:vertAlign w:val="superscript"/>
                </w:rPr>
                <w:delText>c</w:delText>
              </w:r>
            </w:del>
          </w:p>
        </w:tc>
        <w:tc>
          <w:tcPr>
            <w:tcW w:w="720" w:type="dxa"/>
            <w:tcBorders>
              <w:top w:val="nil"/>
              <w:left w:val="nil"/>
              <w:bottom w:val="single" w:sz="4" w:space="0" w:color="auto"/>
              <w:right w:val="nil"/>
            </w:tcBorders>
            <w:hideMark/>
          </w:tcPr>
          <w:p w14:paraId="1211803C" w14:textId="3B1EEAA7" w:rsidR="00B427EF" w:rsidRDefault="00E453CD">
            <w:pPr>
              <w:keepNext/>
              <w:suppressAutoHyphens/>
              <w:rPr>
                <w:del w:id="9822" w:author="AbbVie02no" w:date="2025-05-15T13:45:00Z"/>
                <w:szCs w:val="22"/>
              </w:rPr>
              <w:pPrChange w:id="9823" w:author="AbbVie02no" w:date="2025-05-15T13:45:00Z">
                <w:pPr>
                  <w:pStyle w:val="EMEANormal"/>
                </w:pPr>
              </w:pPrChange>
            </w:pPr>
            <w:del w:id="9824" w:author="AbbVie02no" w:date="2025-05-15T13:45:00Z">
              <w:r>
                <w:rPr>
                  <w:szCs w:val="22"/>
                </w:rPr>
                <w:delText>0,57</w:delText>
              </w:r>
            </w:del>
          </w:p>
        </w:tc>
        <w:tc>
          <w:tcPr>
            <w:tcW w:w="1170" w:type="dxa"/>
            <w:tcBorders>
              <w:top w:val="nil"/>
              <w:left w:val="nil"/>
              <w:bottom w:val="single" w:sz="4" w:space="0" w:color="auto"/>
              <w:right w:val="nil"/>
            </w:tcBorders>
            <w:hideMark/>
          </w:tcPr>
          <w:p w14:paraId="4471323F" w14:textId="67957027" w:rsidR="00B427EF" w:rsidRDefault="00E453CD">
            <w:pPr>
              <w:keepNext/>
              <w:suppressAutoHyphens/>
              <w:rPr>
                <w:del w:id="9825" w:author="AbbVie02no" w:date="2025-05-15T13:45:00Z"/>
                <w:szCs w:val="22"/>
              </w:rPr>
              <w:pPrChange w:id="9826" w:author="AbbVie02no" w:date="2025-05-15T13:45:00Z">
                <w:pPr>
                  <w:pStyle w:val="EMEANormal"/>
                </w:pPr>
              </w:pPrChange>
            </w:pPr>
            <w:del w:id="9827" w:author="AbbVie02no" w:date="2025-05-15T13:45:00Z">
              <w:r>
                <w:rPr>
                  <w:szCs w:val="22"/>
                </w:rPr>
                <w:delText>0,39, 0,84</w:delText>
              </w:r>
            </w:del>
          </w:p>
        </w:tc>
        <w:tc>
          <w:tcPr>
            <w:tcW w:w="1080" w:type="dxa"/>
            <w:tcBorders>
              <w:top w:val="nil"/>
              <w:left w:val="nil"/>
              <w:bottom w:val="single" w:sz="4" w:space="0" w:color="auto"/>
              <w:right w:val="nil"/>
            </w:tcBorders>
            <w:hideMark/>
          </w:tcPr>
          <w:p w14:paraId="45A17A6C" w14:textId="70C14774" w:rsidR="00B427EF" w:rsidRDefault="00E453CD">
            <w:pPr>
              <w:keepNext/>
              <w:suppressAutoHyphens/>
              <w:rPr>
                <w:del w:id="9828" w:author="AbbVie02no" w:date="2025-05-15T13:45:00Z"/>
                <w:szCs w:val="22"/>
              </w:rPr>
              <w:pPrChange w:id="9829" w:author="AbbVie02no" w:date="2025-05-15T13:45:00Z">
                <w:pPr>
                  <w:pStyle w:val="EMEANormal"/>
                </w:pPr>
              </w:pPrChange>
            </w:pPr>
            <w:del w:id="9830" w:author="AbbVie02no" w:date="2025-05-15T13:45:00Z">
              <w:r>
                <w:rPr>
                  <w:szCs w:val="22"/>
                </w:rPr>
                <w:delText>0,004</w:delText>
              </w:r>
            </w:del>
          </w:p>
        </w:tc>
      </w:tr>
    </w:tbl>
    <w:p w14:paraId="2A73F49B" w14:textId="4666757B" w:rsidR="00B427EF" w:rsidRPr="00F05EB5" w:rsidRDefault="00E453CD">
      <w:pPr>
        <w:keepNext/>
        <w:suppressAutoHyphens/>
        <w:rPr>
          <w:del w:id="9831" w:author="AbbVie02no" w:date="2025-05-15T13:45:00Z"/>
          <w:szCs w:val="22"/>
        </w:rPr>
        <w:pPrChange w:id="9832" w:author="AbbVie02no" w:date="2025-05-15T13:45:00Z">
          <w:pPr>
            <w:pStyle w:val="EMEANormal"/>
          </w:pPr>
        </w:pPrChange>
      </w:pPr>
      <w:del w:id="9833" w:author="AbbVie02no" w:date="2025-05-15T13:45:00Z">
        <w:r w:rsidRPr="00F9139E">
          <w:rPr>
            <w:szCs w:val="22"/>
          </w:rPr>
          <w:delText>Merk</w:delText>
        </w:r>
        <w:r w:rsidRPr="00F05EB5">
          <w:rPr>
            <w:szCs w:val="22"/>
          </w:rPr>
          <w:delText>: B</w:delText>
        </w:r>
        <w:r w:rsidRPr="00F9139E">
          <w:rPr>
            <w:szCs w:val="22"/>
          </w:rPr>
          <w:delText xml:space="preserve">ehandlingssvikt </w:delText>
        </w:r>
        <w:r>
          <w:rPr>
            <w:szCs w:val="22"/>
          </w:rPr>
          <w:delText>ved</w:delText>
        </w:r>
        <w:r w:rsidRPr="00F05EB5">
          <w:rPr>
            <w:szCs w:val="22"/>
          </w:rPr>
          <w:delText xml:space="preserve"> eller etter uke</w:delText>
        </w:r>
        <w:r w:rsidRPr="00F9139E">
          <w:rPr>
            <w:szCs w:val="22"/>
          </w:rPr>
          <w:delText xml:space="preserve"> 6 (</w:delText>
        </w:r>
        <w:r>
          <w:rPr>
            <w:szCs w:val="22"/>
          </w:rPr>
          <w:delText>studie</w:delText>
        </w:r>
        <w:r w:rsidRPr="00F05EB5">
          <w:rPr>
            <w:szCs w:val="22"/>
          </w:rPr>
          <w:delText xml:space="preserve"> UV I), </w:delText>
        </w:r>
        <w:r>
          <w:rPr>
            <w:szCs w:val="22"/>
          </w:rPr>
          <w:delText xml:space="preserve">eller ved eller etter uke </w:delText>
        </w:r>
        <w:r w:rsidRPr="00F9139E">
          <w:rPr>
            <w:szCs w:val="22"/>
          </w:rPr>
          <w:delText>2 (</w:delText>
        </w:r>
        <w:r>
          <w:rPr>
            <w:szCs w:val="22"/>
          </w:rPr>
          <w:delText>studie</w:delText>
        </w:r>
        <w:r w:rsidRPr="00F05EB5">
          <w:rPr>
            <w:szCs w:val="22"/>
          </w:rPr>
          <w:delText xml:space="preserve"> UV II), </w:delText>
        </w:r>
        <w:r>
          <w:rPr>
            <w:szCs w:val="22"/>
          </w:rPr>
          <w:delText>ble</w:delText>
        </w:r>
        <w:r w:rsidRPr="00F05EB5">
          <w:rPr>
            <w:szCs w:val="22"/>
          </w:rPr>
          <w:delText xml:space="preserve"> </w:delText>
        </w:r>
        <w:r w:rsidR="00DF55BB">
          <w:rPr>
            <w:szCs w:val="22"/>
          </w:rPr>
          <w:delText>regnet som en hendelse</w:delText>
        </w:r>
        <w:r w:rsidRPr="00F05EB5">
          <w:rPr>
            <w:szCs w:val="22"/>
          </w:rPr>
          <w:delText xml:space="preserve">. </w:delText>
        </w:r>
        <w:r w:rsidR="00567E4B">
          <w:rPr>
            <w:szCs w:val="22"/>
          </w:rPr>
          <w:delText xml:space="preserve">Frafall </w:delText>
        </w:r>
        <w:r w:rsidR="00DF55BB" w:rsidRPr="00F05EB5">
          <w:rPr>
            <w:szCs w:val="22"/>
          </w:rPr>
          <w:delText>som skyld</w:delText>
        </w:r>
        <w:r w:rsidR="00DF55BB">
          <w:rPr>
            <w:szCs w:val="22"/>
          </w:rPr>
          <w:delText>t</w:delText>
        </w:r>
        <w:r w:rsidR="00DF55BB" w:rsidRPr="00F05EB5">
          <w:rPr>
            <w:szCs w:val="22"/>
          </w:rPr>
          <w:delText xml:space="preserve">es andre </w:delText>
        </w:r>
        <w:r w:rsidR="009019DA">
          <w:rPr>
            <w:szCs w:val="22"/>
          </w:rPr>
          <w:delText>årsaker</w:delText>
        </w:r>
        <w:r w:rsidR="00DF55BB" w:rsidRPr="00F05EB5">
          <w:rPr>
            <w:szCs w:val="22"/>
          </w:rPr>
          <w:delText xml:space="preserve"> enn behandlingssvikt ble sensurert på tidspunktet for </w:delText>
        </w:r>
        <w:r w:rsidR="00567E4B">
          <w:rPr>
            <w:szCs w:val="22"/>
          </w:rPr>
          <w:delText>frafall</w:delText>
        </w:r>
        <w:r w:rsidRPr="00F05EB5">
          <w:rPr>
            <w:szCs w:val="22"/>
          </w:rPr>
          <w:delText>.</w:delText>
        </w:r>
      </w:del>
    </w:p>
    <w:p w14:paraId="3D7BA2A5" w14:textId="4E9C6B74" w:rsidR="00B427EF" w:rsidRPr="00F05EB5" w:rsidRDefault="00E453CD">
      <w:pPr>
        <w:keepNext/>
        <w:suppressAutoHyphens/>
        <w:rPr>
          <w:del w:id="9834" w:author="AbbVie02no" w:date="2025-05-15T13:45:00Z"/>
          <w:szCs w:val="22"/>
        </w:rPr>
        <w:pPrChange w:id="9835" w:author="AbbVie02no" w:date="2025-05-15T13:45:00Z">
          <w:pPr>
            <w:pStyle w:val="EMEANormal"/>
            <w:numPr>
              <w:numId w:val="107"/>
            </w:numPr>
            <w:ind w:left="360" w:hanging="360"/>
          </w:pPr>
        </w:pPrChange>
      </w:pPr>
      <w:del w:id="9836" w:author="AbbVie02no" w:date="2025-05-15T13:45:00Z">
        <w:r w:rsidRPr="00F05EB5">
          <w:rPr>
            <w:szCs w:val="22"/>
          </w:rPr>
          <w:delText>HR av</w:delText>
        </w:r>
        <w:r w:rsidRPr="00DF55BB">
          <w:rPr>
            <w:szCs w:val="22"/>
          </w:rPr>
          <w:delText xml:space="preserve"> adalimumab vs placebo fr</w:delText>
        </w:r>
        <w:r>
          <w:rPr>
            <w:szCs w:val="22"/>
          </w:rPr>
          <w:delText>a</w:delText>
        </w:r>
        <w:r w:rsidRPr="00F05EB5">
          <w:rPr>
            <w:szCs w:val="22"/>
          </w:rPr>
          <w:delText xml:space="preserve"> </w:delText>
        </w:r>
        <w:r w:rsidR="00A52D6C">
          <w:rPr>
            <w:szCs w:val="22"/>
          </w:rPr>
          <w:delText>«</w:delText>
        </w:r>
        <w:r w:rsidRPr="00F05EB5">
          <w:rPr>
            <w:szCs w:val="22"/>
          </w:rPr>
          <w:delText>proportional hazards regression</w:delText>
        </w:r>
        <w:r w:rsidR="00A52D6C">
          <w:rPr>
            <w:szCs w:val="22"/>
          </w:rPr>
          <w:delText>»</w:delText>
        </w:r>
        <w:r w:rsidRPr="00F05EB5">
          <w:rPr>
            <w:szCs w:val="22"/>
          </w:rPr>
          <w:delText xml:space="preserve"> med behandling som faktor.</w:delText>
        </w:r>
      </w:del>
    </w:p>
    <w:p w14:paraId="4B1B6098" w14:textId="794388ED" w:rsidR="00B427EF" w:rsidRPr="00F05EB5" w:rsidRDefault="00E453CD">
      <w:pPr>
        <w:keepNext/>
        <w:suppressAutoHyphens/>
        <w:rPr>
          <w:del w:id="9837" w:author="AbbVie02no" w:date="2025-05-15T13:45:00Z"/>
          <w:szCs w:val="22"/>
        </w:rPr>
        <w:pPrChange w:id="9838" w:author="AbbVie02no" w:date="2025-05-15T13:45:00Z">
          <w:pPr>
            <w:pStyle w:val="EMEANormal"/>
            <w:numPr>
              <w:numId w:val="107"/>
            </w:numPr>
            <w:ind w:left="360" w:hanging="360"/>
          </w:pPr>
        </w:pPrChange>
      </w:pPr>
      <w:del w:id="9839" w:author="AbbVie02no" w:date="2025-05-15T13:45:00Z">
        <w:r w:rsidRPr="00F05EB5">
          <w:rPr>
            <w:szCs w:val="22"/>
          </w:rPr>
          <w:delText>2-sidet p-verdi fra log rank test.</w:delText>
        </w:r>
      </w:del>
    </w:p>
    <w:p w14:paraId="74557A16" w14:textId="1AF9EDEE" w:rsidR="00B427EF" w:rsidRPr="00F05EB5" w:rsidRDefault="00E453CD">
      <w:pPr>
        <w:keepNext/>
        <w:suppressAutoHyphens/>
        <w:rPr>
          <w:del w:id="9840" w:author="AbbVie02no" w:date="2025-05-15T13:45:00Z"/>
          <w:szCs w:val="22"/>
        </w:rPr>
        <w:pPrChange w:id="9841" w:author="AbbVie02no" w:date="2025-05-15T13:45:00Z">
          <w:pPr>
            <w:pStyle w:val="EMEANormal"/>
            <w:numPr>
              <w:numId w:val="107"/>
            </w:numPr>
            <w:ind w:left="360" w:hanging="360"/>
          </w:pPr>
        </w:pPrChange>
      </w:pPr>
      <w:del w:id="9842" w:author="AbbVie02no" w:date="2025-05-15T13:45:00Z">
        <w:r w:rsidRPr="00F05EB5">
          <w:rPr>
            <w:szCs w:val="22"/>
          </w:rPr>
          <w:delText xml:space="preserve">NE = </w:delText>
        </w:r>
        <w:r w:rsidR="00DF55BB" w:rsidRPr="00F05EB5">
          <w:rPr>
            <w:szCs w:val="22"/>
          </w:rPr>
          <w:delText>kan ikke estimeres</w:delText>
        </w:r>
        <w:r w:rsidRPr="00F05EB5">
          <w:rPr>
            <w:szCs w:val="22"/>
          </w:rPr>
          <w:delText xml:space="preserve">. </w:delText>
        </w:r>
        <w:r w:rsidR="00F55795" w:rsidRPr="00F05EB5">
          <w:rPr>
            <w:szCs w:val="22"/>
          </w:rPr>
          <w:delText xml:space="preserve">Færre enn halvparten av </w:delText>
        </w:r>
        <w:r w:rsidR="00567E4B">
          <w:rPr>
            <w:szCs w:val="22"/>
          </w:rPr>
          <w:delText>risiko</w:delText>
        </w:r>
        <w:r w:rsidR="00F55795" w:rsidRPr="00F05EB5">
          <w:rPr>
            <w:szCs w:val="22"/>
          </w:rPr>
          <w:delText>pasientene</w:delText>
        </w:r>
        <w:r w:rsidR="00F55795">
          <w:rPr>
            <w:szCs w:val="22"/>
          </w:rPr>
          <w:delText xml:space="preserve"> hadde en hendelse</w:delText>
        </w:r>
        <w:r w:rsidRPr="00F05EB5">
          <w:rPr>
            <w:szCs w:val="22"/>
          </w:rPr>
          <w:delText xml:space="preserve">. </w:delText>
        </w:r>
      </w:del>
    </w:p>
    <w:p w14:paraId="0E399A27" w14:textId="012979A3" w:rsidR="00B427EF" w:rsidRPr="00F05EB5" w:rsidRDefault="00B427EF">
      <w:pPr>
        <w:keepNext/>
        <w:suppressAutoHyphens/>
        <w:rPr>
          <w:del w:id="9843" w:author="AbbVie02no" w:date="2025-05-15T13:45:00Z"/>
          <w:szCs w:val="22"/>
        </w:rPr>
        <w:pPrChange w:id="9844" w:author="AbbVie02no" w:date="2025-05-15T13:45:00Z">
          <w:pPr>
            <w:pStyle w:val="EMEANormal"/>
          </w:pPr>
        </w:pPrChange>
      </w:pPr>
    </w:p>
    <w:p w14:paraId="52DB7CE5" w14:textId="687C9C00" w:rsidR="00B427EF" w:rsidRPr="00F05EB5" w:rsidRDefault="00E453CD">
      <w:pPr>
        <w:keepNext/>
        <w:suppressAutoHyphens/>
        <w:rPr>
          <w:del w:id="9845" w:author="AbbVie02no" w:date="2025-05-15T13:45:00Z"/>
          <w:b/>
          <w:szCs w:val="22"/>
        </w:rPr>
        <w:pPrChange w:id="9846" w:author="AbbVie02no" w:date="2025-05-15T13:45:00Z">
          <w:pPr>
            <w:pStyle w:val="EMEANormal"/>
            <w:keepNext/>
            <w:jc w:val="center"/>
          </w:pPr>
        </w:pPrChange>
      </w:pPr>
      <w:del w:id="9847" w:author="AbbVie02no" w:date="2025-05-15T13:45:00Z">
        <w:r w:rsidRPr="00F05EB5">
          <w:rPr>
            <w:b/>
            <w:szCs w:val="22"/>
          </w:rPr>
          <w:delText xml:space="preserve">Figur </w:delText>
        </w:r>
        <w:r w:rsidR="00FB37BE">
          <w:rPr>
            <w:b/>
            <w:szCs w:val="22"/>
          </w:rPr>
          <w:delText>2</w:delText>
        </w:r>
        <w:r w:rsidRPr="00F05EB5">
          <w:rPr>
            <w:b/>
            <w:szCs w:val="22"/>
          </w:rPr>
          <w:delText xml:space="preserve">: Kaplan-Meier kurver som </w:delText>
        </w:r>
        <w:r w:rsidR="00F55795">
          <w:rPr>
            <w:b/>
            <w:szCs w:val="22"/>
          </w:rPr>
          <w:delText>opp</w:delText>
        </w:r>
        <w:r w:rsidRPr="00F05EB5">
          <w:rPr>
            <w:b/>
            <w:szCs w:val="22"/>
          </w:rPr>
          <w:delText xml:space="preserve">summerer tid til behandlingssvikt </w:delText>
        </w:r>
        <w:r>
          <w:rPr>
            <w:b/>
            <w:szCs w:val="22"/>
          </w:rPr>
          <w:delText>ved</w:delText>
        </w:r>
        <w:r w:rsidRPr="00F05EB5">
          <w:rPr>
            <w:b/>
            <w:szCs w:val="22"/>
          </w:rPr>
          <w:delText xml:space="preserve"> eller etter </w:delText>
        </w:r>
        <w:r>
          <w:rPr>
            <w:b/>
            <w:szCs w:val="22"/>
          </w:rPr>
          <w:delText>uke</w:delText>
        </w:r>
        <w:r w:rsidRPr="00F05EB5">
          <w:rPr>
            <w:b/>
            <w:szCs w:val="22"/>
          </w:rPr>
          <w:delText xml:space="preserve"> 6 (</w:delText>
        </w:r>
        <w:r>
          <w:rPr>
            <w:b/>
            <w:szCs w:val="22"/>
          </w:rPr>
          <w:delText>studie</w:delText>
        </w:r>
        <w:r w:rsidRPr="00F05EB5">
          <w:rPr>
            <w:b/>
            <w:szCs w:val="22"/>
          </w:rPr>
          <w:delText xml:space="preserve"> UV I) </w:delText>
        </w:r>
        <w:r>
          <w:rPr>
            <w:b/>
            <w:szCs w:val="22"/>
          </w:rPr>
          <w:delText>eller uke</w:delText>
        </w:r>
        <w:r w:rsidRPr="00F9139E">
          <w:rPr>
            <w:b/>
            <w:szCs w:val="22"/>
          </w:rPr>
          <w:delText xml:space="preserve"> 2 (</w:delText>
        </w:r>
        <w:r>
          <w:rPr>
            <w:b/>
            <w:szCs w:val="22"/>
          </w:rPr>
          <w:delText>studie</w:delText>
        </w:r>
        <w:r w:rsidRPr="00F05EB5">
          <w:rPr>
            <w:b/>
            <w:szCs w:val="22"/>
          </w:rPr>
          <w:delText xml:space="preserve"> UV II) </w:delText>
        </w:r>
      </w:del>
    </w:p>
    <w:p w14:paraId="495335E8" w14:textId="0F799175" w:rsidR="00B427EF" w:rsidRPr="00F05EB5" w:rsidRDefault="00B427EF">
      <w:pPr>
        <w:keepNext/>
        <w:suppressAutoHyphens/>
        <w:rPr>
          <w:del w:id="9848" w:author="AbbVie02no" w:date="2025-05-15T13:45:00Z"/>
          <w:b/>
          <w:szCs w:val="22"/>
        </w:rPr>
        <w:pPrChange w:id="9849" w:author="AbbVie02no" w:date="2025-05-15T13:45:00Z">
          <w:pPr>
            <w:pStyle w:val="EMEANormal"/>
            <w:keepNext/>
            <w:jc w:val="center"/>
          </w:pPr>
        </w:pPrChange>
      </w:pPr>
    </w:p>
    <w:tbl>
      <w:tblPr>
        <w:tblW w:w="9285" w:type="dxa"/>
        <w:tblLayout w:type="fixed"/>
        <w:tblLook w:val="04A0" w:firstRow="1" w:lastRow="0" w:firstColumn="1" w:lastColumn="0" w:noHBand="0" w:noVBand="1"/>
      </w:tblPr>
      <w:tblGrid>
        <w:gridCol w:w="481"/>
        <w:gridCol w:w="3495"/>
        <w:gridCol w:w="1170"/>
        <w:gridCol w:w="1350"/>
        <w:gridCol w:w="900"/>
        <w:gridCol w:w="1889"/>
      </w:tblGrid>
      <w:tr w:rsidR="004644D4" w14:paraId="51EADBB7" w14:textId="2B0C234A" w:rsidTr="00B427EF">
        <w:trPr>
          <w:cantSplit/>
          <w:trHeight w:val="3806"/>
          <w:del w:id="9850" w:author="AbbVie02no" w:date="2025-05-15T13:45:00Z"/>
        </w:trPr>
        <w:tc>
          <w:tcPr>
            <w:tcW w:w="482" w:type="dxa"/>
            <w:textDirection w:val="btLr"/>
            <w:vAlign w:val="bottom"/>
            <w:hideMark/>
          </w:tcPr>
          <w:p w14:paraId="1847E185" w14:textId="07197ABD" w:rsidR="00B427EF" w:rsidRDefault="00E453CD">
            <w:pPr>
              <w:keepNext/>
              <w:suppressAutoHyphens/>
              <w:rPr>
                <w:del w:id="9851" w:author="AbbVie02no" w:date="2025-05-15T13:45:00Z"/>
                <w:b/>
                <w:szCs w:val="22"/>
              </w:rPr>
              <w:pPrChange w:id="9852" w:author="AbbVie02no" w:date="2025-05-15T13:45:00Z">
                <w:pPr>
                  <w:pStyle w:val="EMEANormal"/>
                  <w:keepNext/>
                  <w:ind w:left="113" w:right="113"/>
                  <w:jc w:val="center"/>
                </w:pPr>
              </w:pPrChange>
            </w:pPr>
            <w:del w:id="9853" w:author="AbbVie02no" w:date="2025-05-15T13:45:00Z">
              <w:r>
                <w:rPr>
                  <w:b/>
                  <w:szCs w:val="22"/>
                </w:rPr>
                <w:lastRenderedPageBreak/>
                <w:delText>BEHANDLINGSSVIKT (%)</w:delText>
              </w:r>
            </w:del>
          </w:p>
        </w:tc>
        <w:tc>
          <w:tcPr>
            <w:tcW w:w="8806" w:type="dxa"/>
            <w:gridSpan w:val="5"/>
            <w:vAlign w:val="bottom"/>
            <w:hideMark/>
          </w:tcPr>
          <w:p w14:paraId="18A375CC" w14:textId="78428598" w:rsidR="00B427EF" w:rsidRDefault="00E453CD">
            <w:pPr>
              <w:keepNext/>
              <w:suppressAutoHyphens/>
              <w:rPr>
                <w:del w:id="9854" w:author="AbbVie02no" w:date="2025-05-15T13:45:00Z"/>
                <w:szCs w:val="22"/>
              </w:rPr>
              <w:pPrChange w:id="9855" w:author="AbbVie02no" w:date="2025-05-15T13:45:00Z">
                <w:pPr>
                  <w:pStyle w:val="EMEANormal"/>
                  <w:keepNext/>
                </w:pPr>
              </w:pPrChange>
            </w:pPr>
            <w:del w:id="9856" w:author="AbbVie02no" w:date="2025-05-15T13:45:00Z">
              <w:r>
                <w:rPr>
                  <w:noProof/>
                  <w:lang w:val="en-GB" w:eastAsia="en-GB"/>
                </w:rPr>
                <w:drawing>
                  <wp:inline distT="0" distB="0" distL="0" distR="0" wp14:anchorId="30045BA2" wp14:editId="323C2F04">
                    <wp:extent cx="5486400" cy="2210435"/>
                    <wp:effectExtent l="0" t="0" r="0" b="0"/>
                    <wp:docPr id="88" name="Picture 88"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1" descr="Humira Uveitis Figure 5_6"/>
                            <pic:cNvPicPr>
                              <a:picLocks noChangeAspect="1" noChangeArrowheads="1"/>
                            </pic:cNvPicPr>
                          </pic:nvPicPr>
                          <pic:blipFill>
                            <a:blip r:embed="rId22" r:link="rId23">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del>
          </w:p>
        </w:tc>
      </w:tr>
      <w:tr w:rsidR="004644D4" w14:paraId="329AA5B6" w14:textId="47A1AF60" w:rsidTr="00B427EF">
        <w:trPr>
          <w:del w:id="9857" w:author="AbbVie02no" w:date="2025-05-15T13:45:00Z"/>
        </w:trPr>
        <w:tc>
          <w:tcPr>
            <w:tcW w:w="482" w:type="dxa"/>
          </w:tcPr>
          <w:p w14:paraId="39FBD5B2" w14:textId="0BB28628" w:rsidR="00B427EF" w:rsidRDefault="00B427EF">
            <w:pPr>
              <w:keepNext/>
              <w:suppressAutoHyphens/>
              <w:rPr>
                <w:del w:id="9858" w:author="AbbVie02no" w:date="2025-05-15T13:45:00Z"/>
                <w:szCs w:val="22"/>
              </w:rPr>
              <w:pPrChange w:id="9859" w:author="AbbVie02no" w:date="2025-05-15T13:45:00Z">
                <w:pPr>
                  <w:pStyle w:val="EMEANormal"/>
                </w:pPr>
              </w:pPrChange>
            </w:pPr>
          </w:p>
        </w:tc>
        <w:tc>
          <w:tcPr>
            <w:tcW w:w="8806" w:type="dxa"/>
            <w:gridSpan w:val="5"/>
            <w:hideMark/>
          </w:tcPr>
          <w:p w14:paraId="0D41DBD1" w14:textId="2FBB831D" w:rsidR="00B427EF" w:rsidRDefault="00E453CD">
            <w:pPr>
              <w:keepNext/>
              <w:suppressAutoHyphens/>
              <w:rPr>
                <w:del w:id="9860" w:author="AbbVie02no" w:date="2025-05-15T13:45:00Z"/>
                <w:b/>
                <w:szCs w:val="22"/>
              </w:rPr>
              <w:pPrChange w:id="9861" w:author="AbbVie02no" w:date="2025-05-15T13:45:00Z">
                <w:pPr>
                  <w:pStyle w:val="EMEANormal"/>
                  <w:jc w:val="center"/>
                </w:pPr>
              </w:pPrChange>
            </w:pPr>
            <w:del w:id="9862" w:author="AbbVie02no" w:date="2025-05-15T13:45:00Z">
              <w:r>
                <w:rPr>
                  <w:b/>
                  <w:szCs w:val="22"/>
                </w:rPr>
                <w:delText>TID (MÅNEDER)</w:delText>
              </w:r>
            </w:del>
          </w:p>
        </w:tc>
      </w:tr>
      <w:tr w:rsidR="004644D4" w14:paraId="255B7C4C" w14:textId="77432A85" w:rsidTr="00B427EF">
        <w:trPr>
          <w:del w:id="9863" w:author="AbbVie02no" w:date="2025-05-15T13:45:00Z"/>
        </w:trPr>
        <w:tc>
          <w:tcPr>
            <w:tcW w:w="482" w:type="dxa"/>
          </w:tcPr>
          <w:p w14:paraId="71D40736" w14:textId="20D1C66D" w:rsidR="00B427EF" w:rsidRDefault="00B427EF">
            <w:pPr>
              <w:keepNext/>
              <w:suppressAutoHyphens/>
              <w:rPr>
                <w:del w:id="9864" w:author="AbbVie02no" w:date="2025-05-15T13:45:00Z"/>
                <w:szCs w:val="22"/>
              </w:rPr>
              <w:pPrChange w:id="9865" w:author="AbbVie02no" w:date="2025-05-15T13:45:00Z">
                <w:pPr>
                  <w:pStyle w:val="EMEANormal"/>
                </w:pPr>
              </w:pPrChange>
            </w:pPr>
          </w:p>
        </w:tc>
        <w:tc>
          <w:tcPr>
            <w:tcW w:w="3496" w:type="dxa"/>
            <w:hideMark/>
          </w:tcPr>
          <w:p w14:paraId="6E25A97C" w14:textId="2358741E" w:rsidR="00B427EF" w:rsidRDefault="00E453CD">
            <w:pPr>
              <w:keepNext/>
              <w:suppressAutoHyphens/>
              <w:rPr>
                <w:del w:id="9866" w:author="AbbVie02no" w:date="2025-05-15T13:45:00Z"/>
                <w:szCs w:val="22"/>
              </w:rPr>
              <w:pPrChange w:id="9867" w:author="AbbVie02no" w:date="2025-05-15T13:45:00Z">
                <w:pPr>
                  <w:pStyle w:val="EMEANormal"/>
                </w:pPr>
              </w:pPrChange>
            </w:pPr>
            <w:del w:id="9868" w:author="AbbVie02no" w:date="2025-05-15T13:45:00Z">
              <w:r>
                <w:rPr>
                  <w:szCs w:val="22"/>
                </w:rPr>
                <w:delText>Studie UV I                     Behandling</w:delText>
              </w:r>
            </w:del>
          </w:p>
        </w:tc>
        <w:tc>
          <w:tcPr>
            <w:tcW w:w="1170" w:type="dxa"/>
            <w:hideMark/>
          </w:tcPr>
          <w:p w14:paraId="35E3F874" w14:textId="2BE07F96" w:rsidR="00B427EF" w:rsidRDefault="00E453CD">
            <w:pPr>
              <w:keepNext/>
              <w:suppressAutoHyphens/>
              <w:rPr>
                <w:del w:id="9869" w:author="AbbVie02no" w:date="2025-05-15T13:45:00Z"/>
                <w:szCs w:val="22"/>
              </w:rPr>
              <w:pPrChange w:id="9870" w:author="AbbVie02no" w:date="2025-05-15T13:45:00Z">
                <w:pPr>
                  <w:pStyle w:val="EMEANormal"/>
                  <w:jc w:val="right"/>
                </w:pPr>
              </w:pPrChange>
            </w:pPr>
            <w:del w:id="9871" w:author="AbbVie02no" w:date="2025-05-15T13:45:00Z">
              <w:r>
                <w:rPr>
                  <w:noProof/>
                  <w:szCs w:val="22"/>
                  <w:lang w:val="en-GB" w:eastAsia="en-GB"/>
                </w:rPr>
                <w:drawing>
                  <wp:inline distT="0" distB="0" distL="0" distR="0" wp14:anchorId="49E48C23" wp14:editId="5FE0F2D4">
                    <wp:extent cx="400050" cy="180975"/>
                    <wp:effectExtent l="0" t="0" r="0" b="9525"/>
                    <wp:docPr id="57" name="Picture 5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3"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del>
          </w:p>
        </w:tc>
        <w:tc>
          <w:tcPr>
            <w:tcW w:w="1350" w:type="dxa"/>
            <w:hideMark/>
          </w:tcPr>
          <w:p w14:paraId="05BF3E1B" w14:textId="23A51523" w:rsidR="00B427EF" w:rsidRDefault="00E453CD">
            <w:pPr>
              <w:keepNext/>
              <w:suppressAutoHyphens/>
              <w:rPr>
                <w:del w:id="9872" w:author="AbbVie02no" w:date="2025-05-15T13:45:00Z"/>
                <w:szCs w:val="22"/>
              </w:rPr>
              <w:pPrChange w:id="9873" w:author="AbbVie02no" w:date="2025-05-15T13:45:00Z">
                <w:pPr>
                  <w:pStyle w:val="EMEANormal"/>
                </w:pPr>
              </w:pPrChange>
            </w:pPr>
            <w:del w:id="9874" w:author="AbbVie02no" w:date="2025-05-15T13:45:00Z">
              <w:r>
                <w:rPr>
                  <w:szCs w:val="22"/>
                </w:rPr>
                <w:delText>Placebo</w:delText>
              </w:r>
            </w:del>
          </w:p>
        </w:tc>
        <w:tc>
          <w:tcPr>
            <w:tcW w:w="900" w:type="dxa"/>
            <w:hideMark/>
          </w:tcPr>
          <w:p w14:paraId="14BE3B9F" w14:textId="1D118F4C" w:rsidR="00B427EF" w:rsidRDefault="00E453CD">
            <w:pPr>
              <w:keepNext/>
              <w:suppressAutoHyphens/>
              <w:rPr>
                <w:del w:id="9875" w:author="AbbVie02no" w:date="2025-05-15T13:45:00Z"/>
                <w:szCs w:val="22"/>
              </w:rPr>
              <w:pPrChange w:id="9876" w:author="AbbVie02no" w:date="2025-05-15T13:45:00Z">
                <w:pPr>
                  <w:pStyle w:val="EMEANormal"/>
                  <w:jc w:val="right"/>
                </w:pPr>
              </w:pPrChange>
            </w:pPr>
            <w:del w:id="9877" w:author="AbbVie02no" w:date="2025-05-15T13:45:00Z">
              <w:r>
                <w:rPr>
                  <w:noProof/>
                  <w:szCs w:val="22"/>
                  <w:lang w:val="en-GB" w:eastAsia="en-GB"/>
                </w:rPr>
                <w:drawing>
                  <wp:inline distT="0" distB="0" distL="0" distR="0" wp14:anchorId="53D0A03B" wp14:editId="059FE2E2">
                    <wp:extent cx="561975" cy="180975"/>
                    <wp:effectExtent l="0" t="0" r="9525" b="9525"/>
                    <wp:docPr id="56" name="Picture 5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hideMark/>
          </w:tcPr>
          <w:p w14:paraId="610203DF" w14:textId="0023C4D7" w:rsidR="00B427EF" w:rsidRDefault="00E453CD">
            <w:pPr>
              <w:keepNext/>
              <w:suppressAutoHyphens/>
              <w:rPr>
                <w:del w:id="9878" w:author="AbbVie02no" w:date="2025-05-15T13:45:00Z"/>
                <w:szCs w:val="22"/>
              </w:rPr>
              <w:pPrChange w:id="9879" w:author="AbbVie02no" w:date="2025-05-15T13:45:00Z">
                <w:pPr>
                  <w:pStyle w:val="EMEANormal"/>
                </w:pPr>
              </w:pPrChange>
            </w:pPr>
            <w:del w:id="9880" w:author="AbbVie02no" w:date="2025-05-15T13:45:00Z">
              <w:r>
                <w:rPr>
                  <w:szCs w:val="22"/>
                </w:rPr>
                <w:delText>Adalimumab</w:delText>
              </w:r>
            </w:del>
          </w:p>
        </w:tc>
      </w:tr>
      <w:tr w:rsidR="004644D4" w14:paraId="7179FEA7" w14:textId="306CB553" w:rsidTr="00B427EF">
        <w:trPr>
          <w:trHeight w:val="3869"/>
          <w:del w:id="9881" w:author="AbbVie02no" w:date="2025-05-15T13:45:00Z"/>
        </w:trPr>
        <w:tc>
          <w:tcPr>
            <w:tcW w:w="482" w:type="dxa"/>
            <w:textDirection w:val="btLr"/>
            <w:vAlign w:val="bottom"/>
            <w:hideMark/>
          </w:tcPr>
          <w:p w14:paraId="41BC33DF" w14:textId="652CCC49" w:rsidR="00B427EF" w:rsidRDefault="00E453CD">
            <w:pPr>
              <w:keepNext/>
              <w:suppressAutoHyphens/>
              <w:rPr>
                <w:del w:id="9882" w:author="AbbVie02no" w:date="2025-05-15T13:45:00Z"/>
                <w:szCs w:val="22"/>
              </w:rPr>
              <w:pPrChange w:id="9883" w:author="AbbVie02no" w:date="2025-05-15T13:45:00Z">
                <w:pPr>
                  <w:pStyle w:val="EMEANormal"/>
                  <w:jc w:val="center"/>
                </w:pPr>
              </w:pPrChange>
            </w:pPr>
            <w:del w:id="9884" w:author="AbbVie02no" w:date="2025-05-15T13:45:00Z">
              <w:r>
                <w:rPr>
                  <w:b/>
                  <w:szCs w:val="22"/>
                </w:rPr>
                <w:delText>BEHANDLINGSSVIKT (%)</w:delText>
              </w:r>
            </w:del>
          </w:p>
        </w:tc>
        <w:tc>
          <w:tcPr>
            <w:tcW w:w="8806" w:type="dxa"/>
            <w:gridSpan w:val="5"/>
            <w:vAlign w:val="bottom"/>
            <w:hideMark/>
          </w:tcPr>
          <w:p w14:paraId="6C1EB7B1" w14:textId="0AB081B5" w:rsidR="00B427EF" w:rsidRDefault="00E453CD">
            <w:pPr>
              <w:keepNext/>
              <w:suppressAutoHyphens/>
              <w:rPr>
                <w:del w:id="9885" w:author="AbbVie02no" w:date="2025-05-15T13:45:00Z"/>
                <w:szCs w:val="22"/>
              </w:rPr>
              <w:pPrChange w:id="9886" w:author="AbbVie02no" w:date="2025-05-15T13:45:00Z">
                <w:pPr>
                  <w:pStyle w:val="EMEANormal"/>
                </w:pPr>
              </w:pPrChange>
            </w:pPr>
            <w:del w:id="9887" w:author="AbbVie02no" w:date="2025-05-15T13:45:00Z">
              <w:r>
                <w:rPr>
                  <w:noProof/>
                  <w:szCs w:val="22"/>
                  <w:lang w:val="en-GB" w:eastAsia="en-GB"/>
                </w:rPr>
                <w:drawing>
                  <wp:inline distT="0" distB="0" distL="0" distR="0" wp14:anchorId="61CFBDB5" wp14:editId="79ADBF23">
                    <wp:extent cx="5486400" cy="2181225"/>
                    <wp:effectExtent l="0" t="0" r="0" b="9525"/>
                    <wp:docPr id="31" name="Picture 31"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del>
          </w:p>
        </w:tc>
      </w:tr>
      <w:tr w:rsidR="004644D4" w14:paraId="19046D41" w14:textId="539120F5" w:rsidTr="00B427EF">
        <w:trPr>
          <w:del w:id="9888" w:author="AbbVie02no" w:date="2025-05-15T13:45:00Z"/>
        </w:trPr>
        <w:tc>
          <w:tcPr>
            <w:tcW w:w="482" w:type="dxa"/>
          </w:tcPr>
          <w:p w14:paraId="702B4886" w14:textId="5575104F" w:rsidR="00B427EF" w:rsidRDefault="00B427EF">
            <w:pPr>
              <w:keepNext/>
              <w:suppressAutoHyphens/>
              <w:rPr>
                <w:del w:id="9889" w:author="AbbVie02no" w:date="2025-05-15T13:45:00Z"/>
                <w:szCs w:val="22"/>
              </w:rPr>
              <w:pPrChange w:id="9890" w:author="AbbVie02no" w:date="2025-05-15T13:45:00Z">
                <w:pPr>
                  <w:pStyle w:val="EMEANormal"/>
                </w:pPr>
              </w:pPrChange>
            </w:pPr>
          </w:p>
        </w:tc>
        <w:tc>
          <w:tcPr>
            <w:tcW w:w="8806" w:type="dxa"/>
            <w:gridSpan w:val="5"/>
            <w:hideMark/>
          </w:tcPr>
          <w:p w14:paraId="478A2042" w14:textId="16E1128B" w:rsidR="00B427EF" w:rsidRDefault="00E453CD">
            <w:pPr>
              <w:keepNext/>
              <w:suppressAutoHyphens/>
              <w:rPr>
                <w:del w:id="9891" w:author="AbbVie02no" w:date="2025-05-15T13:45:00Z"/>
                <w:b/>
                <w:szCs w:val="22"/>
              </w:rPr>
              <w:pPrChange w:id="9892" w:author="AbbVie02no" w:date="2025-05-15T13:45:00Z">
                <w:pPr>
                  <w:pStyle w:val="EMEANormal"/>
                  <w:jc w:val="center"/>
                </w:pPr>
              </w:pPrChange>
            </w:pPr>
            <w:del w:id="9893" w:author="AbbVie02no" w:date="2025-05-15T13:45:00Z">
              <w:r>
                <w:rPr>
                  <w:b/>
                  <w:szCs w:val="22"/>
                </w:rPr>
                <w:delText>TID (MÅNEDER)</w:delText>
              </w:r>
            </w:del>
          </w:p>
        </w:tc>
      </w:tr>
      <w:tr w:rsidR="004644D4" w14:paraId="0BCEFD03" w14:textId="0AD6BF1B" w:rsidTr="00B427EF">
        <w:trPr>
          <w:trHeight w:val="369"/>
          <w:del w:id="9894" w:author="AbbVie02no" w:date="2025-05-15T13:45:00Z"/>
        </w:trPr>
        <w:tc>
          <w:tcPr>
            <w:tcW w:w="482" w:type="dxa"/>
          </w:tcPr>
          <w:p w14:paraId="59E011F5" w14:textId="01AA3545" w:rsidR="00B427EF" w:rsidRDefault="00B427EF">
            <w:pPr>
              <w:keepNext/>
              <w:suppressAutoHyphens/>
              <w:rPr>
                <w:del w:id="9895" w:author="AbbVie02no" w:date="2025-05-15T13:45:00Z"/>
                <w:szCs w:val="22"/>
              </w:rPr>
              <w:pPrChange w:id="9896" w:author="AbbVie02no" w:date="2025-05-15T13:45:00Z">
                <w:pPr>
                  <w:pStyle w:val="EMEANormal"/>
                </w:pPr>
              </w:pPrChange>
            </w:pPr>
          </w:p>
        </w:tc>
        <w:tc>
          <w:tcPr>
            <w:tcW w:w="3496" w:type="dxa"/>
            <w:hideMark/>
          </w:tcPr>
          <w:p w14:paraId="041DB874" w14:textId="5DE6C604" w:rsidR="00B427EF" w:rsidRDefault="00E453CD">
            <w:pPr>
              <w:keepNext/>
              <w:suppressAutoHyphens/>
              <w:rPr>
                <w:del w:id="9897" w:author="AbbVie02no" w:date="2025-05-15T13:45:00Z"/>
                <w:szCs w:val="22"/>
              </w:rPr>
              <w:pPrChange w:id="9898" w:author="AbbVie02no" w:date="2025-05-15T13:45:00Z">
                <w:pPr>
                  <w:pStyle w:val="EMEANormal"/>
                </w:pPr>
              </w:pPrChange>
            </w:pPr>
            <w:del w:id="9899" w:author="AbbVie02no" w:date="2025-05-15T13:45:00Z">
              <w:r>
                <w:rPr>
                  <w:szCs w:val="22"/>
                </w:rPr>
                <w:delText>Studie UV II                    Behandling</w:delText>
              </w:r>
            </w:del>
          </w:p>
        </w:tc>
        <w:tc>
          <w:tcPr>
            <w:tcW w:w="1170" w:type="dxa"/>
            <w:hideMark/>
          </w:tcPr>
          <w:p w14:paraId="0339E275" w14:textId="6154B1BF" w:rsidR="00B427EF" w:rsidRDefault="00E453CD">
            <w:pPr>
              <w:keepNext/>
              <w:suppressAutoHyphens/>
              <w:rPr>
                <w:del w:id="9900" w:author="AbbVie02no" w:date="2025-05-15T13:45:00Z"/>
                <w:szCs w:val="22"/>
              </w:rPr>
              <w:pPrChange w:id="9901" w:author="AbbVie02no" w:date="2025-05-15T13:45:00Z">
                <w:pPr>
                  <w:pStyle w:val="EMEANormal"/>
                  <w:jc w:val="right"/>
                </w:pPr>
              </w:pPrChange>
            </w:pPr>
            <w:del w:id="9902" w:author="AbbVie02no" w:date="2025-05-15T13:45:00Z">
              <w:r>
                <w:rPr>
                  <w:noProof/>
                  <w:szCs w:val="22"/>
                  <w:lang w:val="en-GB" w:eastAsia="en-GB"/>
                </w:rPr>
                <w:drawing>
                  <wp:inline distT="0" distB="0" distL="0" distR="0" wp14:anchorId="198AA19F" wp14:editId="766706A2">
                    <wp:extent cx="400050" cy="180975"/>
                    <wp:effectExtent l="0" t="0" r="0" b="9525"/>
                    <wp:docPr id="54" name="Picture 5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6"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del>
          </w:p>
        </w:tc>
        <w:tc>
          <w:tcPr>
            <w:tcW w:w="1350" w:type="dxa"/>
            <w:hideMark/>
          </w:tcPr>
          <w:p w14:paraId="5EB14B57" w14:textId="2530EF40" w:rsidR="00B427EF" w:rsidRDefault="00E453CD">
            <w:pPr>
              <w:keepNext/>
              <w:suppressAutoHyphens/>
              <w:rPr>
                <w:del w:id="9903" w:author="AbbVie02no" w:date="2025-05-15T13:45:00Z"/>
                <w:szCs w:val="22"/>
              </w:rPr>
              <w:pPrChange w:id="9904" w:author="AbbVie02no" w:date="2025-05-15T13:45:00Z">
                <w:pPr>
                  <w:pStyle w:val="EMEANormal"/>
                </w:pPr>
              </w:pPrChange>
            </w:pPr>
            <w:del w:id="9905" w:author="AbbVie02no" w:date="2025-05-15T13:45:00Z">
              <w:r>
                <w:rPr>
                  <w:szCs w:val="22"/>
                </w:rPr>
                <w:delText>Placebo</w:delText>
              </w:r>
            </w:del>
          </w:p>
        </w:tc>
        <w:tc>
          <w:tcPr>
            <w:tcW w:w="900" w:type="dxa"/>
            <w:hideMark/>
          </w:tcPr>
          <w:p w14:paraId="52A42239" w14:textId="6D3754BF" w:rsidR="00B427EF" w:rsidRDefault="00E453CD">
            <w:pPr>
              <w:keepNext/>
              <w:suppressAutoHyphens/>
              <w:rPr>
                <w:del w:id="9906" w:author="AbbVie02no" w:date="2025-05-15T13:45:00Z"/>
                <w:szCs w:val="22"/>
              </w:rPr>
              <w:pPrChange w:id="9907" w:author="AbbVie02no" w:date="2025-05-15T13:45:00Z">
                <w:pPr>
                  <w:pStyle w:val="EMEANormal"/>
                  <w:jc w:val="right"/>
                </w:pPr>
              </w:pPrChange>
            </w:pPr>
            <w:del w:id="9908" w:author="AbbVie02no" w:date="2025-05-15T13:45:00Z">
              <w:r>
                <w:rPr>
                  <w:noProof/>
                  <w:szCs w:val="22"/>
                  <w:lang w:val="en-GB" w:eastAsia="en-GB"/>
                </w:rPr>
                <w:drawing>
                  <wp:inline distT="0" distB="0" distL="0" distR="0" wp14:anchorId="697665B1" wp14:editId="7E28266A">
                    <wp:extent cx="561975" cy="180975"/>
                    <wp:effectExtent l="0" t="0" r="9525" b="9525"/>
                    <wp:docPr id="53" name="Picture 5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7"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del>
          </w:p>
        </w:tc>
        <w:tc>
          <w:tcPr>
            <w:tcW w:w="1890" w:type="dxa"/>
            <w:hideMark/>
          </w:tcPr>
          <w:p w14:paraId="7DC1B879" w14:textId="6AB05C6D" w:rsidR="00B427EF" w:rsidRDefault="00E453CD">
            <w:pPr>
              <w:keepNext/>
              <w:suppressAutoHyphens/>
              <w:rPr>
                <w:del w:id="9909" w:author="AbbVie02no" w:date="2025-05-15T13:45:00Z"/>
                <w:szCs w:val="22"/>
              </w:rPr>
              <w:pPrChange w:id="9910" w:author="AbbVie02no" w:date="2025-05-15T13:45:00Z">
                <w:pPr>
                  <w:pStyle w:val="EMEANormal"/>
                </w:pPr>
              </w:pPrChange>
            </w:pPr>
            <w:del w:id="9911" w:author="AbbVie02no" w:date="2025-05-15T13:45:00Z">
              <w:r>
                <w:rPr>
                  <w:szCs w:val="22"/>
                </w:rPr>
                <w:delText>Adalimumab</w:delText>
              </w:r>
            </w:del>
          </w:p>
        </w:tc>
      </w:tr>
      <w:tr w:rsidR="004644D4" w14:paraId="3A14D3C8" w14:textId="085247C7" w:rsidTr="00B427EF">
        <w:trPr>
          <w:trHeight w:val="629"/>
          <w:del w:id="9912" w:author="AbbVie02no" w:date="2025-05-15T13:45:00Z"/>
        </w:trPr>
        <w:tc>
          <w:tcPr>
            <w:tcW w:w="9288" w:type="dxa"/>
            <w:gridSpan w:val="6"/>
            <w:vAlign w:val="center"/>
            <w:hideMark/>
          </w:tcPr>
          <w:p w14:paraId="1ECD03BB" w14:textId="072DEFB9" w:rsidR="00B427EF" w:rsidRPr="00F05EB5" w:rsidRDefault="00E453CD">
            <w:pPr>
              <w:keepNext/>
              <w:suppressAutoHyphens/>
              <w:rPr>
                <w:del w:id="9913" w:author="AbbVie02no" w:date="2025-05-15T13:45:00Z"/>
                <w:szCs w:val="22"/>
              </w:rPr>
              <w:pPrChange w:id="9914" w:author="AbbVie02no" w:date="2025-05-15T13:45:00Z">
                <w:pPr>
                  <w:pStyle w:val="EMEANormal"/>
                </w:pPr>
              </w:pPrChange>
            </w:pPr>
            <w:del w:id="9915" w:author="AbbVie02no" w:date="2025-05-15T13:45:00Z">
              <w:r w:rsidRPr="00CB4B2A">
                <w:rPr>
                  <w:szCs w:val="22"/>
                </w:rPr>
                <w:delText>Merk</w:delText>
              </w:r>
              <w:r w:rsidRPr="00F05EB5">
                <w:rPr>
                  <w:szCs w:val="22"/>
                </w:rPr>
                <w:delText>: P# = Placebo (Antall hendelser/Antall i risiko</w:delText>
              </w:r>
              <w:r w:rsidR="00CB4B2A" w:rsidRPr="00CB4B2A">
                <w:rPr>
                  <w:szCs w:val="22"/>
                </w:rPr>
                <w:delText>); A# = H</w:delText>
              </w:r>
              <w:r w:rsidR="00CB4B2A">
                <w:rPr>
                  <w:szCs w:val="22"/>
                </w:rPr>
                <w:delText>umira</w:delText>
              </w:r>
              <w:r w:rsidRPr="00F05EB5">
                <w:rPr>
                  <w:szCs w:val="22"/>
                </w:rPr>
                <w:delText xml:space="preserve"> (</w:delText>
              </w:r>
              <w:r w:rsidR="00CB4B2A" w:rsidRPr="00F05EB5">
                <w:rPr>
                  <w:szCs w:val="22"/>
                </w:rPr>
                <w:delText>Antall hendelser/Antall i risiko</w:delText>
              </w:r>
              <w:r w:rsidRPr="00F05EB5">
                <w:rPr>
                  <w:szCs w:val="22"/>
                </w:rPr>
                <w:delText>).</w:delText>
              </w:r>
            </w:del>
          </w:p>
        </w:tc>
      </w:tr>
    </w:tbl>
    <w:p w14:paraId="4C0D77FF" w14:textId="3C9E1444" w:rsidR="00B427EF" w:rsidRDefault="00E453CD">
      <w:pPr>
        <w:keepNext/>
        <w:suppressAutoHyphens/>
        <w:rPr>
          <w:del w:id="9916" w:author="AbbVie02no" w:date="2025-05-15T13:45:00Z"/>
        </w:rPr>
        <w:pPrChange w:id="9917" w:author="AbbVie02no" w:date="2025-05-15T13:45:00Z">
          <w:pPr>
            <w:pStyle w:val="EMEANormal"/>
          </w:pPr>
        </w:pPrChange>
      </w:pPr>
      <w:del w:id="9918" w:author="AbbVie02no" w:date="2025-05-15T13:45:00Z">
        <w:r w:rsidRPr="00F05EB5">
          <w:delText>I studie UV I ble s</w:delText>
        </w:r>
        <w:r w:rsidRPr="00EC0B72">
          <w:delText>tatis</w:delText>
        </w:r>
        <w:r>
          <w:delText>t</w:delText>
        </w:r>
        <w:r w:rsidRPr="00EC0B72">
          <w:delText>isk</w:delText>
        </w:r>
        <w:r w:rsidRPr="00F05EB5">
          <w:delText xml:space="preserve"> signifikante forskjeller </w:delText>
        </w:r>
        <w:r>
          <w:delText>i</w:delText>
        </w:r>
        <w:r w:rsidRPr="00F05EB5">
          <w:delText xml:space="preserve"> favør av adalimumab </w:delText>
        </w:r>
        <w:r w:rsidRPr="00F05EB5">
          <w:rPr>
            <w:i/>
          </w:rPr>
          <w:delText>versus</w:delText>
        </w:r>
        <w:r w:rsidRPr="00F05EB5">
          <w:delText xml:space="preserve"> placebo </w:delText>
        </w:r>
        <w:r w:rsidRPr="00EC0B72">
          <w:delText>obser</w:delText>
        </w:r>
        <w:r>
          <w:delText xml:space="preserve">vert </w:delText>
        </w:r>
        <w:r w:rsidRPr="00F05EB5">
          <w:delText xml:space="preserve">for </w:delText>
        </w:r>
        <w:r>
          <w:delText xml:space="preserve">hver </w:delText>
        </w:r>
        <w:r w:rsidR="00505F9D">
          <w:delText>komponent</w:delText>
        </w:r>
        <w:r w:rsidR="00105B47">
          <w:delText xml:space="preserve"> av </w:delText>
        </w:r>
        <w:r>
          <w:delText>behandlingssvikt</w:delText>
        </w:r>
        <w:r w:rsidR="00105B47">
          <w:delText>en</w:delText>
        </w:r>
        <w:r w:rsidRPr="00F05EB5">
          <w:delText xml:space="preserve">. I studie UV II ble </w:delText>
        </w:r>
        <w:r w:rsidRPr="00EC0B72">
          <w:delText>statis</w:delText>
        </w:r>
        <w:r w:rsidRPr="00F05EB5">
          <w:delText>tisk</w:delText>
        </w:r>
        <w:r w:rsidRPr="00EC0B72">
          <w:delText xml:space="preserve"> signifikante forskjeller </w:delText>
        </w:r>
        <w:r w:rsidRPr="00F05EB5">
          <w:delText>observer</w:delText>
        </w:r>
        <w:r>
          <w:delText>t</w:delText>
        </w:r>
        <w:r w:rsidRPr="00F05EB5">
          <w:delText xml:space="preserve"> kun for synsskarphet</w:delText>
        </w:r>
        <w:r w:rsidR="00B23621">
          <w:delText xml:space="preserve"> (BCVA)</w:delText>
        </w:r>
        <w:r w:rsidRPr="00F05EB5">
          <w:delText xml:space="preserve">, </w:delText>
        </w:r>
        <w:r>
          <w:delText xml:space="preserve">men de andre komponentene </w:delText>
        </w:r>
        <w:r w:rsidR="00451CF5">
          <w:delText>viste</w:delText>
        </w:r>
        <w:r>
          <w:delText xml:space="preserve"> </w:delText>
        </w:r>
        <w:r w:rsidR="00451CF5">
          <w:delText>numerisk</w:delText>
        </w:r>
        <w:r>
          <w:delText xml:space="preserve"> </w:delText>
        </w:r>
        <w:r w:rsidR="00451CF5">
          <w:delText xml:space="preserve">forskjell </w:delText>
        </w:r>
        <w:r>
          <w:delText>i favør</w:delText>
        </w:r>
        <w:r w:rsidR="00451CF5">
          <w:delText xml:space="preserve"> </w:delText>
        </w:r>
        <w:r w:rsidRPr="00F05EB5">
          <w:delText>adalimumab.</w:delText>
        </w:r>
      </w:del>
    </w:p>
    <w:p w14:paraId="3BC15165" w14:textId="177C36CB" w:rsidR="009B6330" w:rsidRDefault="009B6330">
      <w:pPr>
        <w:keepNext/>
        <w:suppressAutoHyphens/>
        <w:rPr>
          <w:del w:id="9919" w:author="AbbVie02no" w:date="2025-05-15T13:45:00Z"/>
        </w:rPr>
        <w:pPrChange w:id="9920" w:author="AbbVie02no" w:date="2025-05-15T13:45:00Z">
          <w:pPr>
            <w:pStyle w:val="EMEANormal"/>
          </w:pPr>
        </w:pPrChange>
      </w:pPr>
    </w:p>
    <w:p w14:paraId="025C6EC8" w14:textId="700862D5" w:rsidR="009B6330" w:rsidRPr="00F05EB5" w:rsidRDefault="00E453CD">
      <w:pPr>
        <w:keepNext/>
        <w:suppressAutoHyphens/>
        <w:rPr>
          <w:del w:id="9921" w:author="AbbVie02no" w:date="2025-05-15T13:45:00Z"/>
        </w:rPr>
        <w:pPrChange w:id="9922" w:author="AbbVie02no" w:date="2025-05-15T13:45:00Z">
          <w:pPr>
            <w:pStyle w:val="EMEANormal"/>
          </w:pPr>
        </w:pPrChange>
      </w:pPr>
      <w:del w:id="9923" w:author="AbbVie02no" w:date="2025-05-15T13:45:00Z">
        <w:r>
          <w:delText xml:space="preserve">Av de </w:delText>
        </w:r>
        <w:r w:rsidR="005D4073">
          <w:delText>424</w:delText>
        </w:r>
        <w:r w:rsidR="00A73B99" w:rsidRPr="00A81D79">
          <w:delText> </w:delText>
        </w:r>
        <w:r>
          <w:delText xml:space="preserve">pasientene som ble inkludert i den ukontrollerte langtidsforlengelsesstudien av UV I og UV II, ble </w:delText>
        </w:r>
        <w:r w:rsidR="005D4073">
          <w:delText>60</w:delText>
        </w:r>
        <w:r w:rsidR="00A73B99">
          <w:delText> </w:delText>
        </w:r>
        <w:r>
          <w:delText xml:space="preserve">pasienter </w:delText>
        </w:r>
        <w:r w:rsidR="00A86B89">
          <w:delText>vurdert</w:delText>
        </w:r>
        <w:r>
          <w:delText xml:space="preserve"> som ikke-kvalifiserte (f.eks. </w:delText>
        </w:r>
        <w:r w:rsidR="005D4073">
          <w:delText>på grunn av avvik eller på grunn av</w:delText>
        </w:r>
        <w:r>
          <w:delText xml:space="preserve"> komplikasjoner sekundær</w:delText>
        </w:r>
        <w:r w:rsidR="00A86B89">
          <w:delText>t</w:delText>
        </w:r>
        <w:r>
          <w:delText xml:space="preserve"> </w:delText>
        </w:r>
        <w:r w:rsidR="003F0835">
          <w:delText>til</w:delText>
        </w:r>
        <w:r>
          <w:delText xml:space="preserve"> diabetisk retinopati</w:delText>
        </w:r>
        <w:r w:rsidR="00A86B89">
          <w:delText>,</w:delText>
        </w:r>
        <w:r>
          <w:delText xml:space="preserve"> på grunn av kataraktoperasjon</w:delText>
        </w:r>
        <w:r w:rsidR="00A86B89">
          <w:delText>,</w:delText>
        </w:r>
        <w:r>
          <w:delText xml:space="preserve"> eller vitrektomi) og ble ekskludert fra den primære </w:delText>
        </w:r>
        <w:r w:rsidR="00A86B89">
          <w:delText>effekt</w:delText>
        </w:r>
        <w:r>
          <w:delText xml:space="preserve">analysen. Av de </w:delText>
        </w:r>
        <w:r w:rsidR="005D4073">
          <w:delText>364</w:delText>
        </w:r>
        <w:r>
          <w:delText xml:space="preserve"> gjenstående pasientene </w:delText>
        </w:r>
        <w:r w:rsidR="00A86B89">
          <w:delText>fullførte</w:delText>
        </w:r>
        <w:r>
          <w:delText xml:space="preserve"> </w:delText>
        </w:r>
        <w:r w:rsidR="005D4073">
          <w:delText>269</w:delText>
        </w:r>
        <w:r w:rsidR="00A73B99">
          <w:delText> </w:delText>
        </w:r>
        <w:r>
          <w:delText xml:space="preserve">pasienter </w:delText>
        </w:r>
        <w:r w:rsidR="005D4073">
          <w:delText xml:space="preserve">(74 %) </w:delText>
        </w:r>
        <w:r>
          <w:delText xml:space="preserve">78 uker med </w:delText>
        </w:r>
        <w:r w:rsidR="003F0835">
          <w:delText xml:space="preserve">åpen </w:delText>
        </w:r>
        <w:r>
          <w:delText xml:space="preserve">adalimumabbehandling. </w:delText>
        </w:r>
        <w:r w:rsidRPr="00AD1854">
          <w:delText>Basert på observert</w:delText>
        </w:r>
        <w:r w:rsidR="00A86B89">
          <w:delText>e</w:delText>
        </w:r>
        <w:r w:rsidRPr="00AD1854">
          <w:delText xml:space="preserve"> data</w:delText>
        </w:r>
        <w:r w:rsidR="00A86B89">
          <w:delText xml:space="preserve"> («observed data approach»)</w:delText>
        </w:r>
        <w:r w:rsidRPr="00AD1854">
          <w:delText xml:space="preserve"> </w:delText>
        </w:r>
        <w:r w:rsidR="00A86B89">
          <w:delText>hadde</w:delText>
        </w:r>
        <w:r w:rsidRPr="00AD1854">
          <w:delText xml:space="preserve"> </w:delText>
        </w:r>
        <w:r w:rsidR="005D4073">
          <w:delText>216</w:delText>
        </w:r>
        <w:r w:rsidRPr="00AD1854">
          <w:delText xml:space="preserve"> (80,</w:delText>
        </w:r>
        <w:r w:rsidR="005D4073">
          <w:delText>3</w:delText>
        </w:r>
        <w:r w:rsidR="00A73B99">
          <w:delText> </w:delText>
        </w:r>
        <w:r w:rsidRPr="00AD1854">
          <w:delText xml:space="preserve">%) </w:delText>
        </w:r>
        <w:r w:rsidR="00A86B89">
          <w:delText>inaktiv sykdom</w:delText>
        </w:r>
        <w:r w:rsidRPr="00AD1854">
          <w:delText xml:space="preserve"> (ingen aktive inflammatoriske lesjoner, cellegradering</w:delText>
        </w:r>
        <w:r w:rsidR="00A86B89">
          <w:delText xml:space="preserve"> i fremre kammer (AC)</w:delText>
        </w:r>
        <w:r w:rsidRPr="00662488">
          <w:delText xml:space="preserve"> ≤ 0,</w:delText>
        </w:r>
        <w:r w:rsidRPr="00AD1854">
          <w:delText xml:space="preserve">5+, </w:delText>
        </w:r>
        <w:r w:rsidR="00A86B89">
          <w:delText>uklarhet i glasslegemet («vitreous haze»,</w:delText>
        </w:r>
        <w:r w:rsidR="00465D4D">
          <w:delText xml:space="preserve"> </w:delText>
        </w:r>
        <w:r w:rsidRPr="00AD1854">
          <w:delText>VH</w:delText>
        </w:r>
        <w:r w:rsidR="00A86B89">
          <w:delText>)</w:delText>
        </w:r>
        <w:r w:rsidRPr="00AD1854">
          <w:delText xml:space="preserve"> grade</w:delText>
        </w:r>
        <w:r w:rsidRPr="00662488">
          <w:delText>ring</w:delText>
        </w:r>
        <w:r w:rsidRPr="00AD1854">
          <w:delText xml:space="preserve"> ≤ 0</w:delText>
        </w:r>
        <w:r>
          <w:delText>,</w:delText>
        </w:r>
        <w:r w:rsidRPr="00AD1854">
          <w:delText xml:space="preserve">5+) </w:delText>
        </w:r>
        <w:r>
          <w:delText>med en samtidig steroiddose ≤ 7,5 mg per dag</w:delText>
        </w:r>
        <w:r w:rsidRPr="00AD1854">
          <w:delText xml:space="preserve">, </w:delText>
        </w:r>
        <w:r>
          <w:delText xml:space="preserve">og </w:delText>
        </w:r>
        <w:r w:rsidR="005D4073">
          <w:delText>178</w:delText>
        </w:r>
        <w:r>
          <w:delText xml:space="preserve"> (66,</w:delText>
        </w:r>
        <w:r w:rsidR="005D4073">
          <w:delText>2 </w:delText>
        </w:r>
        <w:r w:rsidRPr="00AD1854">
          <w:delText xml:space="preserve">%) </w:delText>
        </w:r>
        <w:r w:rsidR="00A86B89">
          <w:delText xml:space="preserve">oppnådde steroidfri </w:delText>
        </w:r>
        <w:r w:rsidR="00DE1BE6">
          <w:delText>inaktiv sykdom</w:delText>
        </w:r>
        <w:r w:rsidRPr="00AD1854">
          <w:delText xml:space="preserve">. </w:delText>
        </w:r>
        <w:r w:rsidR="00A86B89">
          <w:delText>Beste korrigerte synskarphet (</w:delText>
        </w:r>
        <w:r w:rsidRPr="00697393">
          <w:delText>BCVA</w:delText>
        </w:r>
        <w:r w:rsidR="00A86B89">
          <w:delText>)</w:delText>
        </w:r>
        <w:r w:rsidRPr="00697393">
          <w:delText xml:space="preserve"> </w:delText>
        </w:r>
        <w:r>
          <w:delText>ble enten forbedret eller opprettholdt</w:delText>
        </w:r>
        <w:r w:rsidRPr="00697393">
          <w:delText xml:space="preserve"> (&lt; 5 </w:delText>
        </w:r>
        <w:r>
          <w:delText>bokstav</w:delText>
        </w:r>
        <w:r w:rsidR="00A86B89">
          <w:delText>er svekkelse</w:delText>
        </w:r>
        <w:r w:rsidRPr="00697393">
          <w:delText xml:space="preserve">) </w:delText>
        </w:r>
        <w:r w:rsidR="00A86B89">
          <w:delText>i</w:delText>
        </w:r>
        <w:r>
          <w:delText xml:space="preserve"> 88,</w:delText>
        </w:r>
        <w:r w:rsidR="005D4073">
          <w:delText>6</w:delText>
        </w:r>
        <w:r w:rsidR="00A73B99" w:rsidRPr="00A81D79">
          <w:delText> </w:delText>
        </w:r>
        <w:r w:rsidRPr="00697393">
          <w:delText xml:space="preserve">% </w:delText>
        </w:r>
        <w:r>
          <w:delText>av øynene ved uke</w:delText>
        </w:r>
        <w:r w:rsidRPr="00697393">
          <w:delText xml:space="preserve"> 78</w:delText>
        </w:r>
        <w:r>
          <w:delText xml:space="preserve">. </w:delText>
        </w:r>
        <w:r w:rsidR="008164C8">
          <w:delText xml:space="preserve">Etter uke 78 var data generelt konsistent med disse resultatene, men antall </w:delText>
        </w:r>
        <w:r w:rsidR="008164C8">
          <w:lastRenderedPageBreak/>
          <w:delText>inkluderte pasienter gikk ned. Totalt blant</w:delText>
        </w:r>
        <w:r>
          <w:delText xml:space="preserve"> pasientene som avsluttet studien, avsluttet </w:delText>
        </w:r>
        <w:r w:rsidR="005D4073">
          <w:delText>18</w:delText>
        </w:r>
        <w:r w:rsidR="00A73B99">
          <w:delText> </w:delText>
        </w:r>
        <w:r>
          <w:delText xml:space="preserve">% på grunn av bivirkninger og </w:delText>
        </w:r>
        <w:r w:rsidR="005D4073">
          <w:delText>8</w:delText>
        </w:r>
        <w:r w:rsidR="00A73B99">
          <w:delText> </w:delText>
        </w:r>
        <w:r>
          <w:delText>% på grunn av utilstrekkelig respons på adalimumabbehandling.</w:delText>
        </w:r>
      </w:del>
    </w:p>
    <w:p w14:paraId="2F128F07" w14:textId="0CC4800A" w:rsidR="00B427EF" w:rsidRPr="00F05EB5" w:rsidRDefault="00B427EF">
      <w:pPr>
        <w:keepNext/>
        <w:suppressAutoHyphens/>
        <w:rPr>
          <w:del w:id="9924" w:author="AbbVie02no" w:date="2025-05-15T13:45:00Z"/>
        </w:rPr>
        <w:pPrChange w:id="9925" w:author="AbbVie02no" w:date="2025-05-15T13:45:00Z">
          <w:pPr>
            <w:pStyle w:val="EMEANormal"/>
          </w:pPr>
        </w:pPrChange>
      </w:pPr>
    </w:p>
    <w:p w14:paraId="7605C500" w14:textId="2593B3D3" w:rsidR="00B427EF" w:rsidRPr="00F05EB5" w:rsidRDefault="00E453CD">
      <w:pPr>
        <w:keepNext/>
        <w:suppressAutoHyphens/>
        <w:rPr>
          <w:del w:id="9926" w:author="AbbVie02no" w:date="2025-05-15T13:45:00Z"/>
          <w:i/>
          <w:szCs w:val="22"/>
          <w:u w:val="single"/>
        </w:rPr>
        <w:pPrChange w:id="9927" w:author="AbbVie02no" w:date="2025-05-15T13:45:00Z">
          <w:pPr>
            <w:pStyle w:val="EMEANormal"/>
            <w:keepNext/>
          </w:pPr>
        </w:pPrChange>
      </w:pPr>
      <w:del w:id="9928" w:author="AbbVie02no" w:date="2025-05-15T13:45:00Z">
        <w:r w:rsidRPr="00F05EB5">
          <w:rPr>
            <w:i/>
            <w:szCs w:val="22"/>
            <w:u w:val="single"/>
          </w:rPr>
          <w:delText>Livskvalitet</w:delText>
        </w:r>
      </w:del>
    </w:p>
    <w:p w14:paraId="56639074" w14:textId="2E667A66" w:rsidR="00B427EF" w:rsidRPr="00F05EB5" w:rsidRDefault="00B427EF">
      <w:pPr>
        <w:keepNext/>
        <w:suppressAutoHyphens/>
        <w:rPr>
          <w:del w:id="9929" w:author="AbbVie02no" w:date="2025-05-15T13:45:00Z"/>
          <w:i/>
          <w:szCs w:val="22"/>
          <w:u w:val="single"/>
        </w:rPr>
        <w:pPrChange w:id="9930" w:author="AbbVie02no" w:date="2025-05-15T13:45:00Z">
          <w:pPr>
            <w:pStyle w:val="EMEANormal"/>
            <w:keepNext/>
          </w:pPr>
        </w:pPrChange>
      </w:pPr>
    </w:p>
    <w:p w14:paraId="44A98AEE" w14:textId="34247C8A" w:rsidR="00B427EF" w:rsidRPr="0061743D" w:rsidRDefault="00E453CD">
      <w:pPr>
        <w:keepNext/>
        <w:suppressAutoHyphens/>
        <w:rPr>
          <w:del w:id="9931" w:author="AbbVie02no" w:date="2025-05-15T13:45:00Z"/>
          <w:szCs w:val="22"/>
        </w:rPr>
        <w:pPrChange w:id="9932" w:author="AbbVie02no" w:date="2025-05-15T13:45:00Z">
          <w:pPr>
            <w:pStyle w:val="EMEANormal"/>
          </w:pPr>
        </w:pPrChange>
      </w:pPr>
      <w:del w:id="9933" w:author="AbbVie02no" w:date="2025-05-15T13:45:00Z">
        <w:r w:rsidRPr="00F05EB5">
          <w:delText xml:space="preserve">Pasientrapporterte </w:delText>
        </w:r>
        <w:r>
          <w:delText>resultater</w:delText>
        </w:r>
        <w:r w:rsidRPr="00F05EB5">
          <w:delText xml:space="preserve"> vedrørende synsrelatert funksjon ble målt </w:delText>
        </w:r>
        <w:r w:rsidR="00B23621" w:rsidRPr="004A0F71">
          <w:delText>ved bruk av NEI VFQ-25</w:delText>
        </w:r>
        <w:r w:rsidR="00B23621">
          <w:delText xml:space="preserve"> </w:delText>
        </w:r>
        <w:r w:rsidRPr="00F05EB5">
          <w:delText xml:space="preserve">i </w:delText>
        </w:r>
        <w:r>
          <w:delText xml:space="preserve">begge </w:delText>
        </w:r>
        <w:r w:rsidRPr="00F05EB5">
          <w:delText xml:space="preserve">kliniske studier. </w:delText>
        </w:r>
        <w:r w:rsidR="00451CF5">
          <w:delText>Numerisk</w:delText>
        </w:r>
        <w:r w:rsidR="00451CF5" w:rsidRPr="004062C7">
          <w:delText xml:space="preserve"> </w:delText>
        </w:r>
        <w:r w:rsidR="00451CF5">
          <w:delText xml:space="preserve">forskjell </w:delText>
        </w:r>
        <w:r w:rsidR="00451CF5" w:rsidRPr="00A433B4">
          <w:delText xml:space="preserve">i favør </w:delText>
        </w:r>
        <w:r w:rsidRPr="00F05EB5">
          <w:delText xml:space="preserve">Humira </w:delText>
        </w:r>
        <w:r w:rsidR="00451CF5">
          <w:delText>ble vist</w:delText>
        </w:r>
        <w:r w:rsidRPr="00F05EB5">
          <w:delText xml:space="preserve"> for de fleste subscores med statistisk signifikant</w:delText>
        </w:r>
        <w:r w:rsidR="00E50930">
          <w:delText>e</w:delText>
        </w:r>
        <w:r w:rsidRPr="00F05EB5">
          <w:delText xml:space="preserve"> gjennomsnittlige forskjeller for gener</w:delText>
        </w:r>
        <w:r>
          <w:delText>el</w:delText>
        </w:r>
        <w:r w:rsidR="00CD40BA">
          <w:delText>t</w:delText>
        </w:r>
        <w:r>
          <w:delText xml:space="preserve"> syn</w:delText>
        </w:r>
        <w:r w:rsidRPr="00F05EB5">
          <w:delText xml:space="preserve">, </w:delText>
        </w:r>
        <w:r>
          <w:delText>øyesmerter</w:delText>
        </w:r>
        <w:r w:rsidRPr="00F05EB5">
          <w:delText xml:space="preserve">, </w:delText>
        </w:r>
        <w:r>
          <w:delText>nærsyn</w:delText>
        </w:r>
        <w:r w:rsidRPr="00F05EB5">
          <w:delText xml:space="preserve">, </w:delText>
        </w:r>
        <w:r w:rsidR="00CD40BA">
          <w:delText>psykisk</w:delText>
        </w:r>
        <w:r w:rsidRPr="00F05EB5">
          <w:delText xml:space="preserve"> </w:delText>
        </w:r>
        <w:r>
          <w:delText>helse</w:delText>
        </w:r>
        <w:r w:rsidRPr="00F05EB5">
          <w:delText xml:space="preserve"> </w:delText>
        </w:r>
        <w:r>
          <w:delText xml:space="preserve">og </w:delText>
        </w:r>
        <w:r w:rsidRPr="009E697C">
          <w:delText>total score i</w:delText>
        </w:r>
        <w:r w:rsidRPr="00F05EB5">
          <w:delText xml:space="preserve"> </w:delText>
        </w:r>
        <w:r>
          <w:delText>s</w:delText>
        </w:r>
        <w:r w:rsidRPr="00F05EB5">
          <w:delText>tud</w:delText>
        </w:r>
        <w:r>
          <w:delText xml:space="preserve">ie </w:delText>
        </w:r>
        <w:r w:rsidRPr="00F05EB5">
          <w:delText xml:space="preserve">UV I, </w:delText>
        </w:r>
        <w:r>
          <w:delText>og</w:delText>
        </w:r>
        <w:r w:rsidRPr="009E697C">
          <w:delText xml:space="preserve"> for gener</w:delText>
        </w:r>
        <w:r>
          <w:delText>el</w:delText>
        </w:r>
        <w:r w:rsidR="00CD40BA">
          <w:delText>t</w:delText>
        </w:r>
        <w:r w:rsidRPr="00F05EB5">
          <w:delText xml:space="preserve"> </w:delText>
        </w:r>
        <w:r>
          <w:delText>syn</w:delText>
        </w:r>
        <w:r w:rsidRPr="00F05EB5">
          <w:delText xml:space="preserve"> </w:delText>
        </w:r>
        <w:r>
          <w:delText>og</w:delText>
        </w:r>
        <w:r w:rsidRPr="00F05EB5">
          <w:delText xml:space="preserve"> </w:delText>
        </w:r>
        <w:r w:rsidR="00CD40BA">
          <w:delText>psykisk</w:delText>
        </w:r>
        <w:r w:rsidRPr="00F05EB5">
          <w:delText xml:space="preserve"> </w:delText>
        </w:r>
        <w:r>
          <w:delText>helse</w:delText>
        </w:r>
        <w:r w:rsidRPr="00F05EB5">
          <w:delText xml:space="preserve"> i </w:delText>
        </w:r>
        <w:r>
          <w:delText>s</w:delText>
        </w:r>
        <w:r w:rsidRPr="00F05EB5">
          <w:delText>tud</w:delText>
        </w:r>
        <w:r>
          <w:delText>ie</w:delText>
        </w:r>
        <w:r w:rsidRPr="00F05EB5">
          <w:delText xml:space="preserve"> UV II. </w:delText>
        </w:r>
        <w:r w:rsidR="00CD40BA" w:rsidRPr="00F05EB5">
          <w:delText>Synsrelaterte</w:delText>
        </w:r>
        <w:r w:rsidRPr="00F05EB5">
          <w:delText xml:space="preserve"> </w:delText>
        </w:r>
        <w:r w:rsidR="003D075D" w:rsidRPr="00F05EB5">
          <w:delText>effe</w:delText>
        </w:r>
        <w:r w:rsidR="003D075D">
          <w:delText>k</w:delText>
        </w:r>
        <w:r w:rsidR="00CD40BA" w:rsidRPr="00F05EB5">
          <w:delText xml:space="preserve">ter </w:delText>
        </w:r>
        <w:r w:rsidR="00451CF5">
          <w:delText xml:space="preserve">som ikke </w:delText>
        </w:r>
        <w:r w:rsidR="00CD40BA" w:rsidRPr="00F05EB5">
          <w:delText xml:space="preserve">var </w:delText>
        </w:r>
        <w:r w:rsidR="00451CF5">
          <w:delText>numerisk</w:delText>
        </w:r>
        <w:r w:rsidR="00CD40BA" w:rsidRPr="00F05EB5">
          <w:delText xml:space="preserve"> </w:delText>
        </w:r>
        <w:r w:rsidR="003D075D">
          <w:delText>i</w:delText>
        </w:r>
        <w:r w:rsidR="00CD40BA" w:rsidRPr="00F05EB5">
          <w:delText xml:space="preserve"> favør </w:delText>
        </w:r>
        <w:r w:rsidRPr="00F05EB5">
          <w:delText xml:space="preserve">Humira </w:delText>
        </w:r>
        <w:r w:rsidR="00F75AD6">
          <w:delText>var</w:delText>
        </w:r>
        <w:r w:rsidRPr="00F05EB5">
          <w:delText xml:space="preserve"> </w:delText>
        </w:r>
        <w:r w:rsidR="00CD40BA" w:rsidRPr="00F05EB5">
          <w:delText>fargesyn</w:delText>
        </w:r>
        <w:r w:rsidRPr="00F05EB5">
          <w:delText xml:space="preserve"> i </w:delText>
        </w:r>
        <w:r w:rsidR="00CD40BA">
          <w:delText>s</w:delText>
        </w:r>
        <w:r w:rsidRPr="00F05EB5">
          <w:delText>tud</w:delText>
        </w:r>
        <w:r w:rsidR="00CD40BA">
          <w:delText>ie</w:delText>
        </w:r>
        <w:r w:rsidRPr="00F05EB5">
          <w:delText xml:space="preserve"> UV</w:delText>
        </w:r>
        <w:r w:rsidR="003D075D">
          <w:delText xml:space="preserve"> </w:delText>
        </w:r>
        <w:r w:rsidRPr="00F05EB5">
          <w:delText xml:space="preserve">I </w:delText>
        </w:r>
        <w:r w:rsidR="00CD40BA">
          <w:delText>og fargesyn</w:delText>
        </w:r>
        <w:r w:rsidRPr="00F05EB5">
          <w:delText xml:space="preserve">, </w:delText>
        </w:r>
        <w:r w:rsidR="00CD40BA">
          <w:delText xml:space="preserve">sidesyn og nærsyn </w:delText>
        </w:r>
        <w:r w:rsidRPr="00F05EB5">
          <w:delText xml:space="preserve">i </w:delText>
        </w:r>
        <w:r w:rsidR="00CD40BA">
          <w:delText>s</w:delText>
        </w:r>
        <w:r w:rsidRPr="00F05EB5">
          <w:delText>tud</w:delText>
        </w:r>
        <w:r w:rsidR="00CD40BA">
          <w:delText>ie</w:delText>
        </w:r>
        <w:r w:rsidRPr="00F05EB5">
          <w:delText xml:space="preserve"> UV II.</w:delText>
        </w:r>
      </w:del>
    </w:p>
    <w:p w14:paraId="3743AFAB" w14:textId="76CA7A1E" w:rsidR="0008160E" w:rsidRDefault="0008160E">
      <w:pPr>
        <w:keepNext/>
        <w:suppressAutoHyphens/>
        <w:rPr>
          <w:del w:id="9934" w:author="AbbVie02no" w:date="2025-05-15T13:45:00Z"/>
          <w:sz w:val="22"/>
          <w:szCs w:val="22"/>
        </w:rPr>
        <w:pPrChange w:id="9935" w:author="AbbVie02no" w:date="2025-05-15T13:45:00Z">
          <w:pPr/>
        </w:pPrChange>
      </w:pPr>
    </w:p>
    <w:p w14:paraId="3AB6F97B" w14:textId="70647791" w:rsidR="001B72BA" w:rsidRPr="009C5EFD" w:rsidRDefault="00E453CD">
      <w:pPr>
        <w:keepNext/>
        <w:suppressAutoHyphens/>
        <w:rPr>
          <w:del w:id="9936" w:author="AbbVie02no" w:date="2025-05-15T13:45:00Z"/>
          <w:szCs w:val="22"/>
        </w:rPr>
        <w:pPrChange w:id="9937" w:author="AbbVie02no" w:date="2025-05-15T13:45:00Z">
          <w:pPr>
            <w:pStyle w:val="Heading8"/>
          </w:pPr>
        </w:pPrChange>
      </w:pPr>
      <w:del w:id="9938" w:author="AbbVie02no" w:date="2025-05-15T13:45:00Z">
        <w:r w:rsidRPr="009C5EFD">
          <w:rPr>
            <w:szCs w:val="22"/>
          </w:rPr>
          <w:delText>Immunogeni</w:delText>
        </w:r>
        <w:r w:rsidR="009C480A" w:rsidRPr="009C5EFD">
          <w:rPr>
            <w:szCs w:val="22"/>
          </w:rPr>
          <w:delText>si</w:delText>
        </w:r>
        <w:r w:rsidRPr="009C5EFD">
          <w:rPr>
            <w:szCs w:val="22"/>
          </w:rPr>
          <w:delText>tet</w:delText>
        </w:r>
      </w:del>
    </w:p>
    <w:p w14:paraId="188DACAB" w14:textId="594BF401" w:rsidR="001B72BA" w:rsidRPr="009C5EFD" w:rsidRDefault="001B72BA">
      <w:pPr>
        <w:keepNext/>
        <w:suppressAutoHyphens/>
        <w:rPr>
          <w:del w:id="9939" w:author="AbbVie02no" w:date="2025-05-15T13:45:00Z"/>
          <w:sz w:val="22"/>
          <w:szCs w:val="22"/>
        </w:rPr>
        <w:pPrChange w:id="9940" w:author="AbbVie02no" w:date="2025-05-15T13:45:00Z">
          <w:pPr>
            <w:keepNext/>
          </w:pPr>
        </w:pPrChange>
      </w:pPr>
    </w:p>
    <w:p w14:paraId="0E25CC74" w14:textId="1A042003" w:rsidR="001B72BA" w:rsidRPr="009C5EFD" w:rsidRDefault="00E453CD">
      <w:pPr>
        <w:keepNext/>
        <w:suppressAutoHyphens/>
        <w:rPr>
          <w:del w:id="9941" w:author="AbbVie02no" w:date="2025-05-15T13:45:00Z"/>
          <w:sz w:val="22"/>
          <w:szCs w:val="22"/>
        </w:rPr>
        <w:pPrChange w:id="9942" w:author="AbbVie02no" w:date="2025-05-15T13:45:00Z">
          <w:pPr>
            <w:keepNext/>
          </w:pPr>
        </w:pPrChange>
      </w:pPr>
      <w:del w:id="9943" w:author="AbbVie02no" w:date="2025-05-15T13:45:00Z">
        <w:r w:rsidRPr="009C5EFD">
          <w:rPr>
            <w:sz w:val="22"/>
            <w:szCs w:val="22"/>
          </w:rPr>
          <w:delText xml:space="preserve">Dannelse av anti-adalimumab antistoffer er knyttet til økt clearance og redusert effekt av adalimumab. Det finnes ingen tydelig sammenheng mellom forekomsten av anti-adalimumab antistoffer og forekomsten av bivirkninger. </w:delText>
        </w:r>
      </w:del>
    </w:p>
    <w:p w14:paraId="5B2137AF" w14:textId="2B4CCFB5" w:rsidR="001B72BA" w:rsidRPr="009C5EFD" w:rsidRDefault="001B72BA">
      <w:pPr>
        <w:keepNext/>
        <w:suppressAutoHyphens/>
        <w:rPr>
          <w:del w:id="9944" w:author="AbbVie02no" w:date="2025-05-15T13:45:00Z"/>
          <w:sz w:val="22"/>
          <w:szCs w:val="22"/>
        </w:rPr>
        <w:pPrChange w:id="9945" w:author="AbbVie02no" w:date="2025-05-15T13:45:00Z">
          <w:pPr/>
        </w:pPrChange>
      </w:pPr>
    </w:p>
    <w:p w14:paraId="24622199" w14:textId="6A65B9C0" w:rsidR="001B72BA" w:rsidRPr="009C5EFD" w:rsidRDefault="00E453CD">
      <w:pPr>
        <w:keepNext/>
        <w:suppressAutoHyphens/>
        <w:rPr>
          <w:del w:id="9946" w:author="AbbVie02no" w:date="2025-05-15T13:45:00Z"/>
          <w:sz w:val="22"/>
          <w:szCs w:val="22"/>
        </w:rPr>
        <w:pPrChange w:id="9947" w:author="AbbVie02no" w:date="2025-05-15T13:45:00Z">
          <w:pPr/>
        </w:pPrChange>
      </w:pPr>
      <w:del w:id="9948" w:author="AbbVie02no" w:date="2025-05-15T13:45:00Z">
        <w:r w:rsidRPr="009C5EFD">
          <w:rPr>
            <w:sz w:val="22"/>
            <w:szCs w:val="22"/>
          </w:rPr>
          <w:delText xml:space="preserve">Pasienter i </w:delText>
        </w:r>
        <w:r w:rsidR="00E65F4E" w:rsidRPr="009C5EFD">
          <w:rPr>
            <w:sz w:val="22"/>
            <w:szCs w:val="22"/>
          </w:rPr>
          <w:delText>revmatoid artritt studiene</w:delText>
        </w:r>
        <w:r w:rsidRPr="009C5EFD">
          <w:rPr>
            <w:sz w:val="22"/>
            <w:szCs w:val="22"/>
          </w:rPr>
          <w:delText xml:space="preserve"> I, II og III ble testet ved flere tidspunkter med hensyn på antistoffer mot adalimumab i løpet av perioden fra 6 til 12 måneder. I de pivotale studiene ble det identifisert antistoffer mot adalimumab hos </w:delText>
        </w:r>
        <w:r w:rsidR="00E65F4E" w:rsidRPr="009C5EFD">
          <w:rPr>
            <w:sz w:val="22"/>
            <w:szCs w:val="22"/>
          </w:rPr>
          <w:delText>5,5 % (</w:delText>
        </w:r>
        <w:r w:rsidRPr="009C5EFD">
          <w:rPr>
            <w:sz w:val="22"/>
            <w:szCs w:val="22"/>
          </w:rPr>
          <w:delText>58/1053</w:delText>
        </w:r>
        <w:r w:rsidR="00E65F4E" w:rsidRPr="009C5EFD">
          <w:rPr>
            <w:sz w:val="22"/>
            <w:szCs w:val="22"/>
          </w:rPr>
          <w:delText>)</w:delText>
        </w:r>
        <w:r w:rsidRPr="009C5EFD">
          <w:rPr>
            <w:sz w:val="22"/>
            <w:szCs w:val="22"/>
          </w:rPr>
          <w:delText xml:space="preserve"> av pasientene som var behandlet med adalimumab, sammenlignet med </w:delText>
        </w:r>
        <w:r w:rsidR="00E65F4E" w:rsidRPr="009C5EFD">
          <w:rPr>
            <w:sz w:val="22"/>
            <w:szCs w:val="22"/>
          </w:rPr>
          <w:delText>0,5 % (</w:delText>
        </w:r>
        <w:r w:rsidRPr="009C5EFD">
          <w:rPr>
            <w:sz w:val="22"/>
            <w:szCs w:val="22"/>
          </w:rPr>
          <w:delText>2/370</w:delText>
        </w:r>
        <w:r w:rsidR="00E65F4E" w:rsidRPr="009C5EFD">
          <w:rPr>
            <w:sz w:val="22"/>
            <w:szCs w:val="22"/>
          </w:rPr>
          <w:delText>)</w:delText>
        </w:r>
        <w:r w:rsidRPr="009C5EFD">
          <w:rPr>
            <w:sz w:val="22"/>
            <w:szCs w:val="22"/>
          </w:rPr>
          <w:delText xml:space="preserve"> hos dem som fikk placebo. Hos pasientene som ikke fikk metotreksat samtidig var forekomsten 12,4 % sammenlignet med 0,6 % når adalimumab ble gitt som tillegg til metotreksat.</w:delText>
        </w:r>
      </w:del>
    </w:p>
    <w:p w14:paraId="63AFA912" w14:textId="5B93F3D5" w:rsidR="001B72BA" w:rsidRPr="009C5EFD" w:rsidRDefault="001B72BA">
      <w:pPr>
        <w:keepNext/>
        <w:suppressAutoHyphens/>
        <w:rPr>
          <w:del w:id="9949" w:author="AbbVie02no" w:date="2025-05-15T13:45:00Z"/>
          <w:sz w:val="22"/>
          <w:szCs w:val="22"/>
        </w:rPr>
        <w:pPrChange w:id="9950" w:author="AbbVie02no" w:date="2025-05-15T13:45:00Z">
          <w:pPr>
            <w:ind w:left="57"/>
          </w:pPr>
        </w:pPrChange>
      </w:pPr>
    </w:p>
    <w:p w14:paraId="64F6041C" w14:textId="2162EA81" w:rsidR="001B72BA" w:rsidRPr="009C5EFD" w:rsidRDefault="00E453CD">
      <w:pPr>
        <w:keepNext/>
        <w:suppressAutoHyphens/>
        <w:rPr>
          <w:del w:id="9951" w:author="AbbVie02no" w:date="2025-05-15T13:45:00Z"/>
          <w:sz w:val="22"/>
          <w:szCs w:val="22"/>
        </w:rPr>
        <w:pPrChange w:id="9952" w:author="AbbVie02no" w:date="2025-05-15T13:45:00Z">
          <w:pPr/>
        </w:pPrChange>
      </w:pPr>
      <w:del w:id="9953" w:author="AbbVie02no" w:date="2025-05-15T13:45:00Z">
        <w:r w:rsidRPr="009C5EFD">
          <w:rPr>
            <w:sz w:val="22"/>
            <w:szCs w:val="22"/>
          </w:rPr>
          <w:delText>Hos pasienter med polyartikulær juvenil idiopatisk artritt</w:delText>
        </w:r>
        <w:r w:rsidR="00760E5C" w:rsidRPr="009C5EFD">
          <w:rPr>
            <w:sz w:val="22"/>
            <w:szCs w:val="22"/>
          </w:rPr>
          <w:delText xml:space="preserve"> i alderen 4 til 17 år,</w:delText>
        </w:r>
        <w:r w:rsidRPr="009C5EFD">
          <w:rPr>
            <w:sz w:val="22"/>
            <w:szCs w:val="22"/>
          </w:rPr>
          <w:delText xml:space="preserve"> </w:delText>
        </w:r>
        <w:r w:rsidR="0008160E" w:rsidRPr="009C5EFD">
          <w:rPr>
            <w:sz w:val="22"/>
            <w:szCs w:val="22"/>
          </w:rPr>
          <w:delText xml:space="preserve">ble </w:delText>
        </w:r>
        <w:r w:rsidR="00760E5C" w:rsidRPr="009C5EFD">
          <w:rPr>
            <w:sz w:val="22"/>
            <w:szCs w:val="22"/>
          </w:rPr>
          <w:delText>anti-</w:delText>
        </w:r>
        <w:r w:rsidRPr="009C5EFD">
          <w:rPr>
            <w:sz w:val="22"/>
            <w:szCs w:val="22"/>
          </w:rPr>
          <w:delText>adalimumab</w:delText>
        </w:r>
        <w:r w:rsidR="00BE6569" w:rsidRPr="009C5EFD">
          <w:rPr>
            <w:sz w:val="22"/>
            <w:szCs w:val="22"/>
          </w:rPr>
          <w:delText xml:space="preserve"> </w:delText>
        </w:r>
        <w:r w:rsidRPr="009C5EFD">
          <w:rPr>
            <w:sz w:val="22"/>
            <w:szCs w:val="22"/>
          </w:rPr>
          <w:delText xml:space="preserve">antistoffer identifisert hos </w:delText>
        </w:r>
        <w:r w:rsidR="00760E5C" w:rsidRPr="009C5EFD">
          <w:rPr>
            <w:sz w:val="22"/>
            <w:szCs w:val="22"/>
          </w:rPr>
          <w:delText>15,8 % (</w:delText>
        </w:r>
        <w:r w:rsidRPr="009C5EFD">
          <w:rPr>
            <w:sz w:val="22"/>
            <w:szCs w:val="22"/>
          </w:rPr>
          <w:delText>27/171</w:delText>
        </w:r>
        <w:r w:rsidR="00760E5C" w:rsidRPr="009C5EFD">
          <w:rPr>
            <w:sz w:val="22"/>
            <w:szCs w:val="22"/>
          </w:rPr>
          <w:delText>) av</w:delText>
        </w:r>
        <w:r w:rsidRPr="009C5EFD">
          <w:rPr>
            <w:sz w:val="22"/>
            <w:szCs w:val="22"/>
          </w:rPr>
          <w:delText xml:space="preserve"> pasiente</w:delText>
        </w:r>
        <w:r w:rsidR="00760E5C" w:rsidRPr="009C5EFD">
          <w:rPr>
            <w:sz w:val="22"/>
            <w:szCs w:val="22"/>
          </w:rPr>
          <w:delText>ne</w:delText>
        </w:r>
        <w:r w:rsidRPr="009C5EFD">
          <w:rPr>
            <w:sz w:val="22"/>
            <w:szCs w:val="22"/>
          </w:rPr>
          <w:delText xml:space="preserve"> </w:delText>
        </w:r>
        <w:r w:rsidR="00760E5C" w:rsidRPr="009C5EFD">
          <w:rPr>
            <w:sz w:val="22"/>
            <w:szCs w:val="22"/>
          </w:rPr>
          <w:delText xml:space="preserve"> som var </w:delText>
        </w:r>
        <w:r w:rsidRPr="009C5EFD">
          <w:rPr>
            <w:sz w:val="22"/>
            <w:szCs w:val="22"/>
          </w:rPr>
          <w:delText xml:space="preserve">behandlet med adalimumab. Hos pasienter som ikke hadde fått metotreksat samtidig var forekomsten </w:delText>
        </w:r>
        <w:r w:rsidR="00760E5C" w:rsidRPr="009C5EFD">
          <w:rPr>
            <w:sz w:val="22"/>
            <w:szCs w:val="22"/>
          </w:rPr>
          <w:delText>25,6 % (</w:delText>
        </w:r>
        <w:r w:rsidRPr="009C5EFD">
          <w:rPr>
            <w:sz w:val="22"/>
            <w:szCs w:val="22"/>
          </w:rPr>
          <w:delText>22/86</w:delText>
        </w:r>
        <w:r w:rsidR="00760E5C" w:rsidRPr="009C5EFD">
          <w:rPr>
            <w:sz w:val="22"/>
            <w:szCs w:val="22"/>
          </w:rPr>
          <w:delText>)</w:delText>
        </w:r>
        <w:r w:rsidRPr="009C5EFD">
          <w:rPr>
            <w:sz w:val="22"/>
            <w:szCs w:val="22"/>
          </w:rPr>
          <w:delText xml:space="preserve"> sammenlignet med </w:delText>
        </w:r>
        <w:r w:rsidR="00760E5C" w:rsidRPr="009C5EFD">
          <w:rPr>
            <w:sz w:val="22"/>
            <w:szCs w:val="22"/>
          </w:rPr>
          <w:delText>5,9 % (</w:delText>
        </w:r>
        <w:r w:rsidRPr="009C5EFD">
          <w:rPr>
            <w:sz w:val="22"/>
            <w:szCs w:val="22"/>
          </w:rPr>
          <w:delText>5/85</w:delText>
        </w:r>
        <w:r w:rsidR="00760E5C" w:rsidRPr="009C5EFD">
          <w:rPr>
            <w:sz w:val="22"/>
            <w:szCs w:val="22"/>
          </w:rPr>
          <w:delText>)</w:delText>
        </w:r>
        <w:r w:rsidRPr="009C5EFD">
          <w:rPr>
            <w:sz w:val="22"/>
            <w:szCs w:val="22"/>
          </w:rPr>
          <w:delText xml:space="preserve"> når adalimumab var brukt i tillegg til metotreksat.</w:delText>
        </w:r>
        <w:r w:rsidR="00875D02">
          <w:rPr>
            <w:sz w:val="22"/>
            <w:szCs w:val="22"/>
          </w:rPr>
          <w:delText xml:space="preserve"> Hos pasienter med </w:delText>
        </w:r>
        <w:r w:rsidR="00875D02" w:rsidRPr="00875D02">
          <w:rPr>
            <w:sz w:val="22"/>
            <w:szCs w:val="22"/>
          </w:rPr>
          <w:delText>polyartikulær juvenil idiopatisk artrit</w:delText>
        </w:r>
        <w:r w:rsidR="00875D02">
          <w:rPr>
            <w:sz w:val="22"/>
            <w:szCs w:val="22"/>
          </w:rPr>
          <w:delText>t i alderen 2 til &lt; 4 år eller over 4 år med en kroppsvekt på &lt; 15 kg, ble anti-adalimumab antistoffer identifisert hos 7</w:delText>
        </w:r>
        <w:r w:rsidR="00C455EA">
          <w:rPr>
            <w:sz w:val="22"/>
            <w:szCs w:val="22"/>
          </w:rPr>
          <w:delText> </w:delText>
        </w:r>
        <w:r w:rsidR="00875D02">
          <w:rPr>
            <w:sz w:val="22"/>
            <w:szCs w:val="22"/>
          </w:rPr>
          <w:delText xml:space="preserve">% (1/15) av pasientene, og den ene pasienten </w:delText>
        </w:r>
        <w:r w:rsidR="00911F94">
          <w:rPr>
            <w:sz w:val="22"/>
            <w:szCs w:val="22"/>
          </w:rPr>
          <w:delText>brukte metotreksat samtidig.</w:delText>
        </w:r>
      </w:del>
    </w:p>
    <w:p w14:paraId="4D088794" w14:textId="6ACB2C94" w:rsidR="00760E5C" w:rsidRPr="009C5EFD" w:rsidRDefault="00760E5C">
      <w:pPr>
        <w:keepNext/>
        <w:suppressAutoHyphens/>
        <w:rPr>
          <w:del w:id="9954" w:author="AbbVie02no" w:date="2025-05-15T13:45:00Z"/>
          <w:sz w:val="22"/>
          <w:szCs w:val="22"/>
        </w:rPr>
        <w:pPrChange w:id="9955" w:author="AbbVie02no" w:date="2025-05-15T13:45:00Z">
          <w:pPr/>
        </w:pPrChange>
      </w:pPr>
    </w:p>
    <w:p w14:paraId="5B4617B3" w14:textId="6307A23F" w:rsidR="00760E5C" w:rsidRPr="009C5EFD" w:rsidRDefault="00E453CD">
      <w:pPr>
        <w:keepNext/>
        <w:suppressAutoHyphens/>
        <w:rPr>
          <w:del w:id="9956" w:author="AbbVie02no" w:date="2025-05-15T13:45:00Z"/>
          <w:sz w:val="22"/>
          <w:szCs w:val="22"/>
        </w:rPr>
        <w:pPrChange w:id="9957" w:author="AbbVie02no" w:date="2025-05-15T13:45:00Z">
          <w:pPr/>
        </w:pPrChange>
      </w:pPr>
      <w:del w:id="9958" w:author="AbbVie02no" w:date="2025-05-15T13:45:00Z">
        <w:r w:rsidRPr="009C5EFD">
          <w:rPr>
            <w:sz w:val="22"/>
            <w:szCs w:val="22"/>
          </w:rPr>
          <w:delText xml:space="preserve">Hos pasienter med entesittrelatert artritt, </w:delText>
        </w:r>
        <w:r w:rsidR="0008160E" w:rsidRPr="009C5EFD">
          <w:rPr>
            <w:sz w:val="22"/>
            <w:szCs w:val="22"/>
          </w:rPr>
          <w:delText>ble</w:delText>
        </w:r>
        <w:r w:rsidRPr="009C5EFD">
          <w:rPr>
            <w:sz w:val="22"/>
            <w:szCs w:val="22"/>
          </w:rPr>
          <w:delText xml:space="preserve"> anti-adalimumab antistoff identifisert hos 10,9 % (5/46) av pasientene som var behandlet med adalimumab. Hos pasienter som ikke hadde fått metotreksat samtidig var forekomsten 13,6 % (3/22) sammenlignet med 8,3 % (2/24) når adalimumab var brukt i tillegg til metotreksat.</w:delText>
        </w:r>
      </w:del>
    </w:p>
    <w:p w14:paraId="2B080D30" w14:textId="36E82BFF" w:rsidR="001B72BA" w:rsidRPr="009C5EFD" w:rsidRDefault="001B72BA">
      <w:pPr>
        <w:keepNext/>
        <w:suppressAutoHyphens/>
        <w:rPr>
          <w:del w:id="9959" w:author="AbbVie02no" w:date="2025-05-15T13:45:00Z"/>
          <w:sz w:val="22"/>
          <w:szCs w:val="22"/>
        </w:rPr>
        <w:pPrChange w:id="9960" w:author="AbbVie02no" w:date="2025-05-15T13:45:00Z">
          <w:pPr/>
        </w:pPrChange>
      </w:pPr>
    </w:p>
    <w:p w14:paraId="6EEEB823" w14:textId="4C69E720" w:rsidR="001B72BA" w:rsidRPr="009C5EFD" w:rsidRDefault="00E453CD">
      <w:pPr>
        <w:keepNext/>
        <w:suppressAutoHyphens/>
        <w:rPr>
          <w:del w:id="9961" w:author="AbbVie02no" w:date="2025-05-15T13:45:00Z"/>
          <w:sz w:val="22"/>
          <w:szCs w:val="22"/>
        </w:rPr>
        <w:pPrChange w:id="9962" w:author="AbbVie02no" w:date="2025-05-15T13:45:00Z">
          <w:pPr/>
        </w:pPrChange>
      </w:pPr>
      <w:del w:id="9963" w:author="AbbVie02no" w:date="2025-05-15T13:45:00Z">
        <w:r w:rsidRPr="009C5EFD">
          <w:rPr>
            <w:sz w:val="22"/>
            <w:szCs w:val="22"/>
          </w:rPr>
          <w:delText>Hos pasienter med psoriasisartritt ble anti-adalimumab antistoffer identifisert hos 38/376 pasienter (10 %) som var behandlet med adalimumab. Hos pasienter som ikke samtidig hadde fått metotreksat var forekomsten 13,5 % (24/178 pasienter), sammenlignet med 7</w:delText>
        </w:r>
        <w:r w:rsidR="002E767A" w:rsidRPr="009C5EFD">
          <w:rPr>
            <w:sz w:val="22"/>
            <w:szCs w:val="22"/>
          </w:rPr>
          <w:delText xml:space="preserve"> %</w:delText>
        </w:r>
        <w:r w:rsidRPr="009C5EFD">
          <w:rPr>
            <w:sz w:val="22"/>
            <w:szCs w:val="22"/>
          </w:rPr>
          <w:delText xml:space="preserve"> (14/198 pasienter) når adalimumab var brukt i tillegg til metotreksat.   </w:delText>
        </w:r>
      </w:del>
    </w:p>
    <w:p w14:paraId="571AFE6A" w14:textId="15D4A466" w:rsidR="001B72BA" w:rsidRPr="009C5EFD" w:rsidRDefault="001B72BA">
      <w:pPr>
        <w:keepNext/>
        <w:suppressAutoHyphens/>
        <w:rPr>
          <w:del w:id="9964" w:author="AbbVie02no" w:date="2025-05-15T13:45:00Z"/>
          <w:sz w:val="22"/>
          <w:szCs w:val="22"/>
        </w:rPr>
        <w:pPrChange w:id="9965" w:author="AbbVie02no" w:date="2025-05-15T13:45:00Z">
          <w:pPr/>
        </w:pPrChange>
      </w:pPr>
    </w:p>
    <w:p w14:paraId="419F1155" w14:textId="1954DC3A" w:rsidR="002D7A45" w:rsidRDefault="00E453CD">
      <w:pPr>
        <w:keepNext/>
        <w:suppressAutoHyphens/>
        <w:rPr>
          <w:del w:id="9966" w:author="AbbVie02no" w:date="2025-05-15T13:45:00Z"/>
          <w:sz w:val="22"/>
          <w:szCs w:val="22"/>
        </w:rPr>
        <w:pPrChange w:id="9967" w:author="AbbVie02no" w:date="2025-05-15T13:45:00Z">
          <w:pPr/>
        </w:pPrChange>
      </w:pPr>
      <w:del w:id="9968" w:author="AbbVie02no" w:date="2025-05-15T13:45:00Z">
        <w:r w:rsidRPr="009C5EFD">
          <w:rPr>
            <w:sz w:val="22"/>
            <w:szCs w:val="22"/>
          </w:rPr>
          <w:delText xml:space="preserve">Hos pasienter med ankyloserende spondylitt (Bekhterevs sykdom) som ble behandlet med adalimumab ble anti-adalimumab antistoffer identifisert hos 17/204 pasienter (8,3 %). Hos pasienter </w:delText>
        </w:r>
        <w:r w:rsidRPr="009C5EFD">
          <w:rPr>
            <w:sz w:val="22"/>
            <w:szCs w:val="22"/>
          </w:rPr>
          <w:lastRenderedPageBreak/>
          <w:delText>som ikke samtidig hadde fått metotreksat var forekomsten 16/185 (8,6 %), sammenlignet med 1/19 (5,3 %) når adalimumab var brukt i tillegg til metotreksat.</w:delText>
        </w:r>
      </w:del>
    </w:p>
    <w:p w14:paraId="0E68C824" w14:textId="67915BDC" w:rsidR="002D7A45" w:rsidRDefault="002D7A45">
      <w:pPr>
        <w:keepNext/>
        <w:suppressAutoHyphens/>
        <w:rPr>
          <w:del w:id="9969" w:author="AbbVie02no" w:date="2025-05-15T13:45:00Z"/>
          <w:sz w:val="22"/>
          <w:szCs w:val="22"/>
        </w:rPr>
        <w:pPrChange w:id="9970" w:author="AbbVie02no" w:date="2025-05-15T13:45:00Z">
          <w:pPr/>
        </w:pPrChange>
      </w:pPr>
    </w:p>
    <w:p w14:paraId="64D2D3E2" w14:textId="03CA7482" w:rsidR="001B72BA" w:rsidRPr="009C5EFD" w:rsidRDefault="00E453CD">
      <w:pPr>
        <w:keepNext/>
        <w:suppressAutoHyphens/>
        <w:rPr>
          <w:del w:id="9971" w:author="AbbVie02no" w:date="2025-05-15T13:45:00Z"/>
          <w:sz w:val="22"/>
          <w:szCs w:val="22"/>
        </w:rPr>
        <w:pPrChange w:id="9972" w:author="AbbVie02no" w:date="2025-05-15T13:45:00Z">
          <w:pPr/>
        </w:pPrChange>
      </w:pPr>
      <w:del w:id="9973" w:author="AbbVie02no" w:date="2025-05-15T13:45:00Z">
        <w:r>
          <w:rPr>
            <w:sz w:val="22"/>
            <w:szCs w:val="22"/>
          </w:rPr>
          <w:delText xml:space="preserve">Hos pasienter med </w:delText>
        </w:r>
        <w:r w:rsidRPr="002D0790">
          <w:rPr>
            <w:sz w:val="22"/>
            <w:szCs w:val="22"/>
          </w:rPr>
          <w:delText>ikke-radiografisk aksial spondylartritt</w:delText>
        </w:r>
        <w:r>
          <w:rPr>
            <w:sz w:val="22"/>
            <w:szCs w:val="22"/>
          </w:rPr>
          <w:delText xml:space="preserve"> </w:delText>
        </w:r>
        <w:r w:rsidRPr="009C5EFD">
          <w:rPr>
            <w:sz w:val="22"/>
            <w:szCs w:val="22"/>
          </w:rPr>
          <w:delText>ble anti-adalimumab antistoffer identifisert ho</w:delText>
        </w:r>
        <w:r w:rsidRPr="002D7A45">
          <w:rPr>
            <w:sz w:val="22"/>
            <w:szCs w:val="22"/>
          </w:rPr>
          <w:delText xml:space="preserve">s </w:delText>
        </w:r>
        <w:r w:rsidRPr="00926F2E">
          <w:rPr>
            <w:sz w:val="22"/>
            <w:szCs w:val="22"/>
          </w:rPr>
          <w:delText xml:space="preserve">8/152 </w:delText>
        </w:r>
        <w:r>
          <w:rPr>
            <w:sz w:val="22"/>
            <w:szCs w:val="22"/>
          </w:rPr>
          <w:delText>pasienter (5,</w:delText>
        </w:r>
        <w:r w:rsidRPr="00926F2E">
          <w:rPr>
            <w:sz w:val="22"/>
            <w:szCs w:val="22"/>
          </w:rPr>
          <w:delText>3</w:delText>
        </w:r>
        <w:r>
          <w:rPr>
            <w:sz w:val="22"/>
            <w:szCs w:val="22"/>
          </w:rPr>
          <w:delText xml:space="preserve"> </w:delText>
        </w:r>
        <w:r w:rsidRPr="00926F2E">
          <w:rPr>
            <w:sz w:val="22"/>
            <w:szCs w:val="22"/>
          </w:rPr>
          <w:delText>%)</w:delText>
        </w:r>
        <w:r>
          <w:rPr>
            <w:sz w:val="22"/>
            <w:szCs w:val="22"/>
          </w:rPr>
          <w:delText xml:space="preserve"> som ble </w:delText>
        </w:r>
        <w:r w:rsidR="00D1310A">
          <w:rPr>
            <w:sz w:val="22"/>
            <w:szCs w:val="22"/>
          </w:rPr>
          <w:delText xml:space="preserve">kontinuerlig </w:delText>
        </w:r>
        <w:r>
          <w:rPr>
            <w:sz w:val="22"/>
            <w:szCs w:val="22"/>
          </w:rPr>
          <w:delText>behandlet med</w:delText>
        </w:r>
        <w:r w:rsidR="00D1310A">
          <w:rPr>
            <w:sz w:val="22"/>
            <w:szCs w:val="22"/>
          </w:rPr>
          <w:delText xml:space="preserve"> </w:delText>
        </w:r>
        <w:r w:rsidR="00D1310A" w:rsidRPr="00D1310A">
          <w:rPr>
            <w:sz w:val="22"/>
            <w:szCs w:val="22"/>
          </w:rPr>
          <w:delText>adalimumab</w:delText>
        </w:r>
        <w:r w:rsidR="00D1310A">
          <w:rPr>
            <w:sz w:val="22"/>
            <w:szCs w:val="22"/>
          </w:rPr>
          <w:delText>.</w:delText>
        </w:r>
      </w:del>
    </w:p>
    <w:p w14:paraId="071777E5" w14:textId="08E45242" w:rsidR="001B72BA" w:rsidRPr="009C5EFD" w:rsidRDefault="001B72BA">
      <w:pPr>
        <w:keepNext/>
        <w:suppressAutoHyphens/>
        <w:rPr>
          <w:del w:id="9974" w:author="AbbVie02no" w:date="2025-05-15T13:45:00Z"/>
          <w:sz w:val="22"/>
          <w:szCs w:val="22"/>
        </w:rPr>
        <w:pPrChange w:id="9975" w:author="AbbVie02no" w:date="2025-05-15T13:45:00Z">
          <w:pPr/>
        </w:pPrChange>
      </w:pPr>
    </w:p>
    <w:p w14:paraId="2A5F4A29" w14:textId="48FB7D93" w:rsidR="001B72BA" w:rsidRPr="009C5EFD" w:rsidRDefault="00E453CD">
      <w:pPr>
        <w:keepNext/>
        <w:suppressAutoHyphens/>
        <w:rPr>
          <w:del w:id="9976" w:author="AbbVie02no" w:date="2025-05-15T13:45:00Z"/>
          <w:sz w:val="22"/>
          <w:szCs w:val="22"/>
        </w:rPr>
        <w:pPrChange w:id="9977" w:author="AbbVie02no" w:date="2025-05-15T13:45:00Z">
          <w:pPr/>
        </w:pPrChange>
      </w:pPr>
      <w:del w:id="9978" w:author="AbbVie02no" w:date="2025-05-15T13:45:00Z">
        <w:r w:rsidRPr="009C5EFD">
          <w:rPr>
            <w:sz w:val="22"/>
            <w:szCs w:val="22"/>
          </w:rPr>
          <w:delText xml:space="preserve">Hos pasienter med Crohns sykdom ble </w:delText>
        </w:r>
        <w:r w:rsidR="00FC46FE" w:rsidRPr="009C5EFD">
          <w:rPr>
            <w:sz w:val="22"/>
            <w:szCs w:val="22"/>
          </w:rPr>
          <w:delText>anti-</w:delText>
        </w:r>
        <w:r w:rsidRPr="009C5EFD">
          <w:rPr>
            <w:sz w:val="22"/>
            <w:szCs w:val="22"/>
          </w:rPr>
          <w:delText xml:space="preserve">adalimumab </w:delText>
        </w:r>
        <w:r w:rsidR="00FC46FE" w:rsidRPr="009C5EFD">
          <w:rPr>
            <w:sz w:val="22"/>
            <w:szCs w:val="22"/>
          </w:rPr>
          <w:delText xml:space="preserve">antistoffer </w:delText>
        </w:r>
        <w:r w:rsidRPr="009C5EFD">
          <w:rPr>
            <w:sz w:val="22"/>
            <w:szCs w:val="22"/>
          </w:rPr>
          <w:delText xml:space="preserve">påvist hos 7/269 pasienter (2,6 %) </w:delText>
        </w:r>
        <w:r w:rsidR="00FC46FE" w:rsidRPr="009C5EFD">
          <w:rPr>
            <w:sz w:val="22"/>
            <w:szCs w:val="22"/>
          </w:rPr>
          <w:delText>og hos 19/487 pasienter (3</w:delText>
        </w:r>
        <w:r w:rsidR="00F956E2" w:rsidRPr="009C5EFD">
          <w:rPr>
            <w:sz w:val="22"/>
            <w:szCs w:val="22"/>
          </w:rPr>
          <w:delText>,</w:delText>
        </w:r>
        <w:r w:rsidR="00FC46FE" w:rsidRPr="009C5EFD">
          <w:rPr>
            <w:sz w:val="22"/>
            <w:szCs w:val="22"/>
          </w:rPr>
          <w:delText>9</w:delText>
        </w:r>
        <w:r w:rsidR="006A2991" w:rsidRPr="009C5EFD">
          <w:rPr>
            <w:sz w:val="22"/>
            <w:szCs w:val="22"/>
          </w:rPr>
          <w:delText xml:space="preserve"> </w:delText>
        </w:r>
        <w:r w:rsidR="00FC46FE" w:rsidRPr="009C5EFD">
          <w:rPr>
            <w:sz w:val="22"/>
            <w:szCs w:val="22"/>
          </w:rPr>
          <w:delText>%) med ulcerøs kolitt</w:delText>
        </w:r>
        <w:r w:rsidRPr="009C5EFD">
          <w:rPr>
            <w:sz w:val="22"/>
            <w:szCs w:val="22"/>
          </w:rPr>
          <w:delText>.</w:delText>
        </w:r>
      </w:del>
    </w:p>
    <w:p w14:paraId="24ACC2B0" w14:textId="730D4093" w:rsidR="001B72BA" w:rsidRPr="009C5EFD" w:rsidRDefault="001B72BA">
      <w:pPr>
        <w:keepNext/>
        <w:suppressAutoHyphens/>
        <w:rPr>
          <w:del w:id="9979" w:author="AbbVie02no" w:date="2025-05-15T13:45:00Z"/>
          <w:sz w:val="22"/>
          <w:szCs w:val="22"/>
        </w:rPr>
        <w:pPrChange w:id="9980" w:author="AbbVie02no" w:date="2025-05-15T13:45:00Z">
          <w:pPr/>
        </w:pPrChange>
      </w:pPr>
    </w:p>
    <w:p w14:paraId="12B5B1D5" w14:textId="68DCA445" w:rsidR="001B72BA" w:rsidRPr="009C5EFD" w:rsidRDefault="00E453CD">
      <w:pPr>
        <w:keepNext/>
        <w:suppressAutoHyphens/>
        <w:rPr>
          <w:del w:id="9981" w:author="AbbVie02no" w:date="2025-05-15T13:45:00Z"/>
          <w:sz w:val="22"/>
          <w:szCs w:val="22"/>
        </w:rPr>
        <w:pPrChange w:id="9982" w:author="AbbVie02no" w:date="2025-05-15T13:45:00Z">
          <w:pPr/>
        </w:pPrChange>
      </w:pPr>
      <w:del w:id="9983" w:author="AbbVie02no" w:date="2025-05-15T13:45:00Z">
        <w:r w:rsidRPr="009C5EFD">
          <w:rPr>
            <w:sz w:val="22"/>
            <w:szCs w:val="22"/>
          </w:rPr>
          <w:delText xml:space="preserve">Hos </w:delText>
        </w:r>
        <w:r w:rsidR="00592E0A" w:rsidRPr="009C5EFD">
          <w:rPr>
            <w:sz w:val="22"/>
            <w:szCs w:val="22"/>
          </w:rPr>
          <w:delText xml:space="preserve">voksne </w:delText>
        </w:r>
        <w:r w:rsidRPr="009C5EFD">
          <w:rPr>
            <w:sz w:val="22"/>
            <w:szCs w:val="22"/>
          </w:rPr>
          <w:delText xml:space="preserve">pasienter med psoriasis ble </w:delText>
        </w:r>
        <w:r w:rsidR="00F016CD" w:rsidRPr="009C5EFD">
          <w:rPr>
            <w:sz w:val="22"/>
            <w:szCs w:val="22"/>
          </w:rPr>
          <w:delText>anti-</w:delText>
        </w:r>
        <w:r w:rsidRPr="009C5EFD">
          <w:rPr>
            <w:sz w:val="22"/>
            <w:szCs w:val="22"/>
          </w:rPr>
          <w:delText xml:space="preserve">adalimumab </w:delText>
        </w:r>
        <w:r w:rsidR="00F016CD" w:rsidRPr="009C5EFD">
          <w:rPr>
            <w:sz w:val="22"/>
            <w:szCs w:val="22"/>
          </w:rPr>
          <w:delText xml:space="preserve">antistoffer </w:delText>
        </w:r>
        <w:r w:rsidRPr="009C5EFD">
          <w:rPr>
            <w:sz w:val="22"/>
            <w:szCs w:val="22"/>
          </w:rPr>
          <w:delText xml:space="preserve">påvist hos 77/920 pasienter (8,4 %) behandlet med adalimumab </w:delText>
        </w:r>
        <w:r w:rsidR="000546A2" w:rsidRPr="009C5EFD">
          <w:rPr>
            <w:sz w:val="22"/>
            <w:szCs w:val="22"/>
          </w:rPr>
          <w:delText xml:space="preserve">som </w:delText>
        </w:r>
        <w:r w:rsidRPr="009C5EFD">
          <w:rPr>
            <w:sz w:val="22"/>
            <w:szCs w:val="22"/>
          </w:rPr>
          <w:delText>monoterapi.</w:delText>
        </w:r>
      </w:del>
    </w:p>
    <w:p w14:paraId="5F73EE53" w14:textId="7396DADB" w:rsidR="00D42C33" w:rsidRPr="009C5EFD" w:rsidRDefault="00D42C33">
      <w:pPr>
        <w:keepNext/>
        <w:suppressAutoHyphens/>
        <w:rPr>
          <w:del w:id="9984" w:author="AbbVie02no" w:date="2025-05-15T13:45:00Z"/>
          <w:sz w:val="22"/>
          <w:szCs w:val="22"/>
        </w:rPr>
        <w:pPrChange w:id="9985" w:author="AbbVie02no" w:date="2025-05-15T13:45:00Z">
          <w:pPr/>
        </w:pPrChange>
      </w:pPr>
    </w:p>
    <w:p w14:paraId="7D8ADDF6" w14:textId="0FED55CA" w:rsidR="001B72BA" w:rsidRPr="009C5EFD" w:rsidRDefault="00E453CD">
      <w:pPr>
        <w:keepNext/>
        <w:suppressAutoHyphens/>
        <w:rPr>
          <w:del w:id="9986" w:author="AbbVie02no" w:date="2025-05-15T13:45:00Z"/>
          <w:sz w:val="22"/>
          <w:szCs w:val="22"/>
        </w:rPr>
        <w:pPrChange w:id="9987" w:author="AbbVie02no" w:date="2025-05-15T13:45:00Z">
          <w:pPr/>
        </w:pPrChange>
      </w:pPr>
      <w:del w:id="9988" w:author="AbbVie02no" w:date="2025-05-15T13:45:00Z">
        <w:r w:rsidRPr="009C5EFD">
          <w:rPr>
            <w:sz w:val="22"/>
            <w:szCs w:val="22"/>
          </w:rPr>
          <w:delText xml:space="preserve">Hos </w:delText>
        </w:r>
        <w:r w:rsidR="00592E0A" w:rsidRPr="009C5EFD">
          <w:rPr>
            <w:sz w:val="22"/>
            <w:szCs w:val="22"/>
          </w:rPr>
          <w:delText xml:space="preserve">voksne </w:delText>
        </w:r>
        <w:r w:rsidRPr="009C5EFD">
          <w:rPr>
            <w:sz w:val="22"/>
            <w:szCs w:val="22"/>
          </w:rPr>
          <w:delText xml:space="preserve">pasienter med plakkpsoriasis som hadde fått monoterapi med adalimumab over lang tid og hadde deltatt i en </w:delText>
        </w:r>
        <w:r w:rsidR="004F62E0">
          <w:rPr>
            <w:sz w:val="22"/>
            <w:szCs w:val="22"/>
          </w:rPr>
          <w:delText xml:space="preserve">seponerings- </w:delText>
        </w:r>
        <w:r w:rsidRPr="009C5EFD">
          <w:rPr>
            <w:sz w:val="22"/>
            <w:szCs w:val="22"/>
          </w:rPr>
          <w:delText>og gjen</w:delText>
        </w:r>
        <w:r w:rsidR="004F62E0">
          <w:rPr>
            <w:sz w:val="22"/>
            <w:szCs w:val="22"/>
          </w:rPr>
          <w:delText>tatt</w:delText>
        </w:r>
        <w:r w:rsidR="00584EA3" w:rsidRPr="009C5EFD">
          <w:rPr>
            <w:sz w:val="22"/>
            <w:szCs w:val="22"/>
          </w:rPr>
          <w:delText xml:space="preserve"> </w:delText>
        </w:r>
        <w:r w:rsidRPr="009C5EFD">
          <w:rPr>
            <w:sz w:val="22"/>
            <w:szCs w:val="22"/>
          </w:rPr>
          <w:delText>behandling</w:delText>
        </w:r>
        <w:r w:rsidR="004F62E0">
          <w:rPr>
            <w:sz w:val="22"/>
            <w:szCs w:val="22"/>
          </w:rPr>
          <w:delText>sstudie</w:delText>
        </w:r>
        <w:r w:rsidR="00B31F5C" w:rsidRPr="009C5EFD">
          <w:rPr>
            <w:sz w:val="22"/>
            <w:szCs w:val="22"/>
          </w:rPr>
          <w:delText>,</w:delText>
        </w:r>
        <w:r w:rsidRPr="009C5EFD">
          <w:rPr>
            <w:sz w:val="22"/>
            <w:szCs w:val="22"/>
          </w:rPr>
          <w:delText xml:space="preserve"> var prosenten </w:delText>
        </w:r>
        <w:r w:rsidR="00B31F5C" w:rsidRPr="009C5EFD">
          <w:rPr>
            <w:sz w:val="22"/>
            <w:szCs w:val="22"/>
          </w:rPr>
          <w:delText>av</w:delText>
        </w:r>
        <w:r w:rsidRPr="009C5EFD">
          <w:rPr>
            <w:sz w:val="22"/>
            <w:szCs w:val="22"/>
          </w:rPr>
          <w:delText xml:space="preserve"> adalimumab</w:delText>
        </w:r>
        <w:r w:rsidR="00B31F5C" w:rsidRPr="009C5EFD">
          <w:rPr>
            <w:sz w:val="22"/>
            <w:szCs w:val="22"/>
          </w:rPr>
          <w:delText xml:space="preserve"> </w:delText>
        </w:r>
        <w:r w:rsidRPr="009C5EFD">
          <w:rPr>
            <w:sz w:val="22"/>
            <w:szCs w:val="22"/>
          </w:rPr>
          <w:delText>antistoffer etter gjen</w:delText>
        </w:r>
        <w:r w:rsidR="00584EA3" w:rsidRPr="009C5EFD">
          <w:rPr>
            <w:sz w:val="22"/>
            <w:szCs w:val="22"/>
          </w:rPr>
          <w:delText xml:space="preserve">opptagelse av </w:delText>
        </w:r>
        <w:r w:rsidRPr="009C5EFD">
          <w:rPr>
            <w:sz w:val="22"/>
            <w:szCs w:val="22"/>
          </w:rPr>
          <w:delText>behandling</w:delText>
        </w:r>
        <w:r w:rsidR="00584EA3" w:rsidRPr="009C5EFD">
          <w:rPr>
            <w:sz w:val="22"/>
            <w:szCs w:val="22"/>
          </w:rPr>
          <w:delText>en</w:delText>
        </w:r>
        <w:r w:rsidRPr="009C5EFD">
          <w:rPr>
            <w:sz w:val="22"/>
            <w:szCs w:val="22"/>
          </w:rPr>
          <w:delText xml:space="preserve"> (11 av 482 pasienter, 2,3 %) lik prosenten observert før </w:delText>
        </w:r>
        <w:r w:rsidR="00584EA3" w:rsidRPr="009C5EFD">
          <w:rPr>
            <w:sz w:val="22"/>
            <w:szCs w:val="22"/>
          </w:rPr>
          <w:delText>avvenningen</w:delText>
        </w:r>
        <w:r w:rsidRPr="009C5EFD">
          <w:rPr>
            <w:sz w:val="22"/>
            <w:szCs w:val="22"/>
          </w:rPr>
          <w:delText xml:space="preserve"> (11 av 590 pasienter, 1,9 %).</w:delText>
        </w:r>
      </w:del>
    </w:p>
    <w:p w14:paraId="53721137" w14:textId="1F00EA58" w:rsidR="00D42C33" w:rsidRPr="009C5EFD" w:rsidRDefault="00D42C33">
      <w:pPr>
        <w:keepNext/>
        <w:suppressAutoHyphens/>
        <w:rPr>
          <w:del w:id="9989" w:author="AbbVie02no" w:date="2025-05-15T13:45:00Z"/>
          <w:sz w:val="22"/>
          <w:szCs w:val="22"/>
        </w:rPr>
        <w:pPrChange w:id="9990" w:author="AbbVie02no" w:date="2025-05-15T13:45:00Z">
          <w:pPr/>
        </w:pPrChange>
      </w:pPr>
    </w:p>
    <w:p w14:paraId="5A0B45B8" w14:textId="4366CFF3" w:rsidR="006E7C32" w:rsidRPr="009C5EFD" w:rsidRDefault="00E453CD">
      <w:pPr>
        <w:keepNext/>
        <w:suppressAutoHyphens/>
        <w:rPr>
          <w:del w:id="9991" w:author="AbbVie02no" w:date="2025-05-15T13:45:00Z"/>
          <w:sz w:val="22"/>
          <w:szCs w:val="22"/>
        </w:rPr>
        <w:pPrChange w:id="9992" w:author="AbbVie02no" w:date="2025-05-15T13:45:00Z">
          <w:pPr/>
        </w:pPrChange>
      </w:pPr>
      <w:del w:id="9993" w:author="AbbVie02no" w:date="2025-05-15T13:45:00Z">
        <w:r w:rsidRPr="009C5EFD">
          <w:rPr>
            <w:sz w:val="22"/>
            <w:szCs w:val="22"/>
          </w:rPr>
          <w:delText xml:space="preserve">Hos pasienter med pediatrisk psoriasis ble anti-adalimumab antistoffer påvist hos 5/38  pasienter (13 %) behandlet med 0,8 mg/kg adalimumab </w:delText>
        </w:r>
        <w:r w:rsidR="007E0C3E" w:rsidRPr="009C5EFD">
          <w:rPr>
            <w:sz w:val="22"/>
            <w:szCs w:val="22"/>
          </w:rPr>
          <w:delText xml:space="preserve">som </w:delText>
        </w:r>
        <w:r w:rsidRPr="009C5EFD">
          <w:rPr>
            <w:sz w:val="22"/>
            <w:szCs w:val="22"/>
          </w:rPr>
          <w:delText>monoterapi.</w:delText>
        </w:r>
      </w:del>
    </w:p>
    <w:p w14:paraId="7D7E7C68" w14:textId="5A44814E" w:rsidR="006E7C32" w:rsidRPr="009C5EFD" w:rsidRDefault="006E7C32">
      <w:pPr>
        <w:keepNext/>
        <w:suppressAutoHyphens/>
        <w:rPr>
          <w:del w:id="9994" w:author="AbbVie02no" w:date="2025-05-15T13:45:00Z"/>
          <w:sz w:val="22"/>
          <w:szCs w:val="22"/>
        </w:rPr>
        <w:pPrChange w:id="9995" w:author="AbbVie02no" w:date="2025-05-15T13:45:00Z">
          <w:pPr/>
        </w:pPrChange>
      </w:pPr>
    </w:p>
    <w:p w14:paraId="78779671" w14:textId="26590A60" w:rsidR="00B34B8E" w:rsidRPr="009C5EFD" w:rsidRDefault="00E453CD">
      <w:pPr>
        <w:keepNext/>
        <w:suppressAutoHyphens/>
        <w:rPr>
          <w:del w:id="9996" w:author="AbbVie02no" w:date="2025-05-15T13:45:00Z"/>
          <w:sz w:val="22"/>
          <w:szCs w:val="22"/>
        </w:rPr>
        <w:pPrChange w:id="9997" w:author="AbbVie02no" w:date="2025-05-15T13:45:00Z">
          <w:pPr/>
        </w:pPrChange>
      </w:pPr>
      <w:del w:id="9998" w:author="AbbVie02no" w:date="2025-05-15T13:45:00Z">
        <w:r w:rsidRPr="009C5EFD">
          <w:rPr>
            <w:sz w:val="22"/>
            <w:szCs w:val="22"/>
          </w:rPr>
          <w:delText xml:space="preserve">Hos pasienter med moderat til alvorlig </w:delText>
        </w:r>
        <w:r w:rsidR="007F67EE" w:rsidRPr="009C5EFD">
          <w:rPr>
            <w:sz w:val="22"/>
            <w:szCs w:val="22"/>
          </w:rPr>
          <w:delText>hidrosadenitt</w:delText>
        </w:r>
        <w:r w:rsidRPr="009C5EFD">
          <w:rPr>
            <w:sz w:val="22"/>
            <w:szCs w:val="22"/>
          </w:rPr>
          <w:delText xml:space="preserve"> ble anti-adalimumab antistoffer identifisert hos 10/99 pasienter (10,1 %) behandlet med adalimumab.</w:delText>
        </w:r>
      </w:del>
    </w:p>
    <w:p w14:paraId="1ED36636" w14:textId="40EFCF21" w:rsidR="00B34B8E" w:rsidRDefault="00B34B8E">
      <w:pPr>
        <w:keepNext/>
        <w:suppressAutoHyphens/>
        <w:rPr>
          <w:del w:id="9999" w:author="AbbVie02no" w:date="2025-05-15T13:45:00Z"/>
          <w:sz w:val="22"/>
          <w:szCs w:val="22"/>
        </w:rPr>
        <w:pPrChange w:id="10000" w:author="AbbVie02no" w:date="2025-05-15T13:45:00Z">
          <w:pPr/>
        </w:pPrChange>
      </w:pPr>
    </w:p>
    <w:p w14:paraId="2F04F485" w14:textId="1E75C65A" w:rsidR="006533CF" w:rsidRPr="005A1DEF" w:rsidRDefault="00E453CD">
      <w:pPr>
        <w:keepNext/>
        <w:suppressAutoHyphens/>
        <w:rPr>
          <w:del w:id="10001" w:author="AbbVie02no" w:date="2025-05-15T13:45:00Z"/>
          <w:sz w:val="22"/>
        </w:rPr>
        <w:pPrChange w:id="10002" w:author="AbbVie02no" w:date="2025-05-15T13:45:00Z">
          <w:pPr/>
        </w:pPrChange>
      </w:pPr>
      <w:del w:id="10003" w:author="AbbVie02no" w:date="2025-05-15T13:45:00Z">
        <w:r w:rsidRPr="006533CF">
          <w:rPr>
            <w:sz w:val="22"/>
            <w:szCs w:val="22"/>
          </w:rPr>
          <w:delText xml:space="preserve">Hos pasienter med moderat til alvorlig aktiv </w:delText>
        </w:r>
        <w:r w:rsidR="00356346" w:rsidRPr="006533CF">
          <w:rPr>
            <w:sz w:val="22"/>
            <w:szCs w:val="22"/>
          </w:rPr>
          <w:delText xml:space="preserve">pediatrisk </w:delText>
        </w:r>
        <w:r w:rsidRPr="005A1DEF">
          <w:rPr>
            <w:sz w:val="22"/>
          </w:rPr>
          <w:delText>Crohns sykdom ble anti-adalimumab antistoffer utviklet hos 3,3 % av pasientene behandlet med adalimumab.</w:delText>
        </w:r>
      </w:del>
    </w:p>
    <w:p w14:paraId="6C25500E" w14:textId="27472BF6" w:rsidR="006533CF" w:rsidRDefault="006533CF">
      <w:pPr>
        <w:keepNext/>
        <w:suppressAutoHyphens/>
        <w:rPr>
          <w:del w:id="10004" w:author="AbbVie02no" w:date="2025-05-15T13:45:00Z"/>
          <w:sz w:val="22"/>
          <w:szCs w:val="22"/>
        </w:rPr>
        <w:pPrChange w:id="10005" w:author="AbbVie02no" w:date="2025-05-15T13:45:00Z">
          <w:pPr/>
        </w:pPrChange>
      </w:pPr>
    </w:p>
    <w:p w14:paraId="6E7D1CB3" w14:textId="20FA5C3D" w:rsidR="006533CF" w:rsidRDefault="00E453CD">
      <w:pPr>
        <w:keepNext/>
        <w:suppressAutoHyphens/>
        <w:rPr>
          <w:del w:id="10006" w:author="AbbVie02no" w:date="2025-05-15T13:45:00Z"/>
          <w:sz w:val="22"/>
          <w:szCs w:val="22"/>
        </w:rPr>
        <w:pPrChange w:id="10007" w:author="AbbVie02no" w:date="2025-05-15T13:45:00Z">
          <w:pPr/>
        </w:pPrChange>
      </w:pPr>
      <w:del w:id="10008" w:author="AbbVie02no" w:date="2025-05-15T13:45:00Z">
        <w:r>
          <w:rPr>
            <w:sz w:val="22"/>
            <w:szCs w:val="22"/>
          </w:rPr>
          <w:delText>Hos</w:delText>
        </w:r>
        <w:r w:rsidR="00A129D3">
          <w:rPr>
            <w:sz w:val="22"/>
            <w:szCs w:val="22"/>
          </w:rPr>
          <w:delText xml:space="preserve"> voksne</w:delText>
        </w:r>
        <w:r>
          <w:rPr>
            <w:sz w:val="22"/>
            <w:szCs w:val="22"/>
          </w:rPr>
          <w:delText xml:space="preserve"> pasienter med ikke-infeksiøs uveitt ble anti-adalimumab antistoff</w:delText>
        </w:r>
        <w:r w:rsidR="00F722DB">
          <w:rPr>
            <w:sz w:val="22"/>
            <w:szCs w:val="22"/>
          </w:rPr>
          <w:delText>er</w:delText>
        </w:r>
        <w:r>
          <w:rPr>
            <w:sz w:val="22"/>
            <w:szCs w:val="22"/>
          </w:rPr>
          <w:delText xml:space="preserve"> påvist hos 4,8 % (12/249)</w:delText>
        </w:r>
        <w:r w:rsidR="00F722DB">
          <w:rPr>
            <w:sz w:val="22"/>
            <w:szCs w:val="22"/>
          </w:rPr>
          <w:delText xml:space="preserve"> av pasientene behandlet med adalimumab.</w:delText>
        </w:r>
      </w:del>
    </w:p>
    <w:p w14:paraId="50C2E35B" w14:textId="3FB14BCE" w:rsidR="00205D90" w:rsidRPr="00644328" w:rsidRDefault="00205D90">
      <w:pPr>
        <w:keepNext/>
        <w:suppressAutoHyphens/>
        <w:rPr>
          <w:del w:id="10009" w:author="AbbVie02no" w:date="2025-05-15T13:45:00Z"/>
          <w:sz w:val="22"/>
          <w:szCs w:val="22"/>
        </w:rPr>
        <w:pPrChange w:id="10010" w:author="AbbVie02no" w:date="2025-05-15T13:45:00Z">
          <w:pPr/>
        </w:pPrChange>
      </w:pPr>
    </w:p>
    <w:p w14:paraId="5F98FC4A" w14:textId="01ED99DD" w:rsidR="005B52A2" w:rsidRPr="00E04B2A" w:rsidRDefault="00E453CD">
      <w:pPr>
        <w:keepNext/>
        <w:suppressAutoHyphens/>
        <w:rPr>
          <w:del w:id="10011" w:author="AbbVie02no" w:date="2025-05-15T13:45:00Z"/>
          <w:sz w:val="22"/>
        </w:rPr>
        <w:pPrChange w:id="10012" w:author="AbbVie02no" w:date="2025-05-15T13:45:00Z">
          <w:pPr/>
        </w:pPrChange>
      </w:pPr>
      <w:del w:id="10013" w:author="AbbVie02no" w:date="2025-05-15T13:45:00Z">
        <w:r w:rsidRPr="002F0483">
          <w:rPr>
            <w:sz w:val="22"/>
          </w:rPr>
          <w:delText xml:space="preserve">Hos pasienter med moderat til alvorlig aktiv </w:delText>
        </w:r>
        <w:r>
          <w:rPr>
            <w:sz w:val="22"/>
          </w:rPr>
          <w:delText xml:space="preserve">pediatrisk </w:delText>
        </w:r>
        <w:r w:rsidRPr="002F0483">
          <w:rPr>
            <w:sz w:val="22"/>
          </w:rPr>
          <w:delText xml:space="preserve">ulcerøs kolitt </w:delText>
        </w:r>
        <w:r>
          <w:rPr>
            <w:sz w:val="22"/>
          </w:rPr>
          <w:delText>ble</w:delText>
        </w:r>
        <w:r w:rsidRPr="002F0483">
          <w:rPr>
            <w:sz w:val="22"/>
          </w:rPr>
          <w:delText xml:space="preserve"> anti-adalimumab</w:delText>
        </w:r>
        <w:r>
          <w:rPr>
            <w:sz w:val="22"/>
          </w:rPr>
          <w:delText xml:space="preserve"> </w:delText>
        </w:r>
        <w:r w:rsidRPr="002F0483">
          <w:rPr>
            <w:sz w:val="22"/>
          </w:rPr>
          <w:delText>antistoff</w:delText>
        </w:r>
        <w:r>
          <w:rPr>
            <w:sz w:val="22"/>
          </w:rPr>
          <w:delText>er</w:delText>
        </w:r>
        <w:r w:rsidRPr="002F0483">
          <w:rPr>
            <w:sz w:val="22"/>
          </w:rPr>
          <w:delText xml:space="preserve"> </w:delText>
        </w:r>
        <w:r>
          <w:rPr>
            <w:sz w:val="22"/>
          </w:rPr>
          <w:delText xml:space="preserve">utviklet hos 3 % av </w:delText>
        </w:r>
        <w:r w:rsidRPr="002F0483">
          <w:rPr>
            <w:sz w:val="22"/>
          </w:rPr>
          <w:delText>pasiente</w:delText>
        </w:r>
        <w:r>
          <w:rPr>
            <w:sz w:val="22"/>
          </w:rPr>
          <w:delText xml:space="preserve">ne behandlet med </w:delText>
        </w:r>
        <w:r w:rsidRPr="002F0483">
          <w:rPr>
            <w:sz w:val="22"/>
          </w:rPr>
          <w:delText>adalimumab.</w:delText>
        </w:r>
      </w:del>
    </w:p>
    <w:p w14:paraId="0B1381BF" w14:textId="13345229" w:rsidR="006076F2" w:rsidRPr="00644328" w:rsidRDefault="006076F2">
      <w:pPr>
        <w:keepNext/>
        <w:suppressAutoHyphens/>
        <w:rPr>
          <w:del w:id="10014" w:author="AbbVie02no" w:date="2025-05-15T13:45:00Z"/>
          <w:sz w:val="22"/>
          <w:szCs w:val="22"/>
        </w:rPr>
        <w:pPrChange w:id="10015" w:author="AbbVie02no" w:date="2025-05-15T13:45:00Z">
          <w:pPr/>
        </w:pPrChange>
      </w:pPr>
    </w:p>
    <w:p w14:paraId="06652E38" w14:textId="04FE4ADC" w:rsidR="00DE3458" w:rsidRPr="00644328" w:rsidRDefault="00E453CD">
      <w:pPr>
        <w:keepNext/>
        <w:suppressAutoHyphens/>
        <w:rPr>
          <w:del w:id="10016" w:author="AbbVie02no" w:date="2025-05-15T13:45:00Z"/>
          <w:sz w:val="22"/>
          <w:szCs w:val="22"/>
        </w:rPr>
        <w:pPrChange w:id="10017" w:author="AbbVie02no" w:date="2025-05-15T13:45:00Z">
          <w:pPr/>
        </w:pPrChange>
      </w:pPr>
      <w:del w:id="10018" w:author="AbbVie02no" w:date="2025-05-15T13:45:00Z">
        <w:r w:rsidRPr="00644328">
          <w:rPr>
            <w:sz w:val="22"/>
            <w:szCs w:val="22"/>
          </w:rPr>
          <w:delText>Ettersom immunogeni</w:delText>
        </w:r>
        <w:r w:rsidR="009C480A" w:rsidRPr="00644328">
          <w:rPr>
            <w:sz w:val="22"/>
            <w:szCs w:val="22"/>
          </w:rPr>
          <w:delText>si</w:delText>
        </w:r>
        <w:r w:rsidRPr="00644328">
          <w:rPr>
            <w:sz w:val="22"/>
            <w:szCs w:val="22"/>
          </w:rPr>
          <w:delText>tetsanalyser er produktspesifikke, er en sammenligning av antistoff-forekomst med andre produkter uegnet.</w:delText>
        </w:r>
      </w:del>
    </w:p>
    <w:p w14:paraId="72AAC5CD" w14:textId="2A8A9A96" w:rsidR="00FB2252" w:rsidRPr="00644328" w:rsidRDefault="00FB2252">
      <w:pPr>
        <w:keepNext/>
        <w:suppressAutoHyphens/>
        <w:rPr>
          <w:del w:id="10019" w:author="AbbVie02no" w:date="2025-05-15T13:45:00Z"/>
          <w:sz w:val="22"/>
          <w:szCs w:val="22"/>
        </w:rPr>
        <w:pPrChange w:id="10020" w:author="AbbVie02no" w:date="2025-05-15T13:45:00Z">
          <w:pPr/>
        </w:pPrChange>
      </w:pPr>
    </w:p>
    <w:p w14:paraId="1C7330CD" w14:textId="5484ACB7" w:rsidR="00FB2252" w:rsidRPr="00644328" w:rsidRDefault="00E453CD">
      <w:pPr>
        <w:keepNext/>
        <w:suppressAutoHyphens/>
        <w:rPr>
          <w:del w:id="10021" w:author="AbbVie02no" w:date="2025-05-15T13:45:00Z"/>
          <w:sz w:val="22"/>
          <w:szCs w:val="22"/>
        </w:rPr>
        <w:pPrChange w:id="10022" w:author="AbbVie02no" w:date="2025-05-15T13:45:00Z">
          <w:pPr>
            <w:keepNext/>
          </w:pPr>
        </w:pPrChange>
      </w:pPr>
      <w:del w:id="10023" w:author="AbbVie02no" w:date="2025-05-15T13:45:00Z">
        <w:r w:rsidRPr="00644328">
          <w:rPr>
            <w:sz w:val="22"/>
            <w:szCs w:val="22"/>
            <w:u w:val="single"/>
          </w:rPr>
          <w:delText>Pediatrisk populasjon</w:delText>
        </w:r>
      </w:del>
    </w:p>
    <w:p w14:paraId="0A23EE89" w14:textId="00E2D249" w:rsidR="00E13408" w:rsidRPr="00644328" w:rsidRDefault="00E13408">
      <w:pPr>
        <w:keepNext/>
        <w:suppressAutoHyphens/>
        <w:rPr>
          <w:del w:id="10024" w:author="AbbVie02no" w:date="2025-05-15T13:45:00Z"/>
          <w:sz w:val="22"/>
          <w:szCs w:val="22"/>
        </w:rPr>
        <w:pPrChange w:id="10025" w:author="AbbVie02no" w:date="2025-05-15T13:45:00Z">
          <w:pPr>
            <w:keepNext/>
          </w:pPr>
        </w:pPrChange>
      </w:pPr>
    </w:p>
    <w:p w14:paraId="1F82AAE1" w14:textId="4719C3F8" w:rsidR="008F0D97" w:rsidRPr="00644328" w:rsidRDefault="00E453CD">
      <w:pPr>
        <w:keepNext/>
        <w:suppressAutoHyphens/>
        <w:rPr>
          <w:del w:id="10026" w:author="AbbVie02no" w:date="2025-05-15T13:45:00Z"/>
          <w:i/>
          <w:szCs w:val="22"/>
        </w:rPr>
        <w:pPrChange w:id="10027" w:author="AbbVie02no" w:date="2025-05-15T13:45:00Z">
          <w:pPr>
            <w:pStyle w:val="EndnoteText"/>
            <w:keepNext/>
            <w:widowControl/>
            <w:tabs>
              <w:tab w:val="clear" w:pos="567"/>
            </w:tabs>
            <w:suppressAutoHyphens/>
          </w:pPr>
        </w:pPrChange>
      </w:pPr>
      <w:del w:id="10028" w:author="AbbVie02no" w:date="2025-05-15T13:45:00Z">
        <w:r w:rsidRPr="00644328">
          <w:rPr>
            <w:i/>
            <w:szCs w:val="22"/>
          </w:rPr>
          <w:delText>Juvenil idiopatisk artritt (JIA)</w:delText>
        </w:r>
      </w:del>
    </w:p>
    <w:p w14:paraId="72E23A8C" w14:textId="427FDDE5" w:rsidR="008F0D97" w:rsidRPr="00644328" w:rsidRDefault="008F0D97">
      <w:pPr>
        <w:keepNext/>
        <w:suppressAutoHyphens/>
        <w:rPr>
          <w:del w:id="10029" w:author="AbbVie02no" w:date="2025-05-15T13:45:00Z"/>
          <w:sz w:val="22"/>
          <w:szCs w:val="22"/>
          <w:u w:val="single"/>
        </w:rPr>
        <w:pPrChange w:id="10030" w:author="AbbVie02no" w:date="2025-05-15T13:45:00Z">
          <w:pPr>
            <w:keepNext/>
          </w:pPr>
        </w:pPrChange>
      </w:pPr>
    </w:p>
    <w:p w14:paraId="6BED11A1" w14:textId="7809AC24" w:rsidR="008F0D97" w:rsidRPr="00644328" w:rsidRDefault="00E453CD">
      <w:pPr>
        <w:keepNext/>
        <w:suppressAutoHyphens/>
        <w:rPr>
          <w:del w:id="10031" w:author="AbbVie02no" w:date="2025-05-15T13:45:00Z"/>
          <w:i/>
          <w:sz w:val="22"/>
          <w:szCs w:val="22"/>
          <w:u w:val="single"/>
        </w:rPr>
        <w:pPrChange w:id="10032" w:author="AbbVie02no" w:date="2025-05-15T13:45:00Z">
          <w:pPr>
            <w:keepNext/>
          </w:pPr>
        </w:pPrChange>
      </w:pPr>
      <w:del w:id="10033" w:author="AbbVie02no" w:date="2025-05-15T13:45:00Z">
        <w:r w:rsidRPr="00644328">
          <w:rPr>
            <w:i/>
            <w:sz w:val="22"/>
            <w:szCs w:val="22"/>
            <w:u w:val="single"/>
          </w:rPr>
          <w:delText>Polyartikulær juvenil idiopatisk artritt (pJIA)</w:delText>
        </w:r>
      </w:del>
    </w:p>
    <w:p w14:paraId="00CA489A" w14:textId="261DCF3A" w:rsidR="008F0D97" w:rsidRPr="00644328" w:rsidRDefault="008F0D97">
      <w:pPr>
        <w:keepNext/>
        <w:suppressAutoHyphens/>
        <w:rPr>
          <w:del w:id="10034" w:author="AbbVie02no" w:date="2025-05-15T13:45:00Z"/>
          <w:sz w:val="22"/>
          <w:szCs w:val="22"/>
        </w:rPr>
        <w:pPrChange w:id="10035" w:author="AbbVie02no" w:date="2025-05-15T13:45:00Z">
          <w:pPr>
            <w:keepNext/>
          </w:pPr>
        </w:pPrChange>
      </w:pPr>
    </w:p>
    <w:p w14:paraId="6B4FD9D7" w14:textId="3CD034EC" w:rsidR="008F0D97" w:rsidRPr="00644328" w:rsidRDefault="00E453CD">
      <w:pPr>
        <w:keepNext/>
        <w:suppressAutoHyphens/>
        <w:rPr>
          <w:del w:id="10036" w:author="AbbVie02no" w:date="2025-05-15T13:45:00Z"/>
          <w:szCs w:val="22"/>
        </w:rPr>
        <w:pPrChange w:id="10037" w:author="AbbVie02no" w:date="2025-05-15T13:45:00Z">
          <w:pPr>
            <w:pStyle w:val="EndnoteText"/>
            <w:widowControl/>
            <w:tabs>
              <w:tab w:val="clear" w:pos="567"/>
            </w:tabs>
            <w:suppressAutoHyphens/>
          </w:pPr>
        </w:pPrChange>
      </w:pPr>
      <w:del w:id="10038" w:author="AbbVie02no" w:date="2025-05-15T13:45:00Z">
        <w:r w:rsidRPr="00644328">
          <w:rPr>
            <w:szCs w:val="22"/>
          </w:rPr>
          <w:delText>Sikkerhet og effekt av Humira ble vurdert i to studier (pJIA I og II) hos barn med aktiv polyartikulær eller polyartikulær juvenil idiopatisk artritt, som hadde en rekke med JIA utbruddsfaktorer (oftest revmatoid-faktor negativ eller positiv polyartritt og forlenget oligoartritt).</w:delText>
        </w:r>
      </w:del>
    </w:p>
    <w:p w14:paraId="7164F927" w14:textId="1A8B1309" w:rsidR="008F0D97" w:rsidRPr="00644328" w:rsidRDefault="008F0D97">
      <w:pPr>
        <w:keepNext/>
        <w:suppressAutoHyphens/>
        <w:rPr>
          <w:del w:id="10039" w:author="AbbVie02no" w:date="2025-05-15T13:45:00Z"/>
          <w:szCs w:val="22"/>
        </w:rPr>
        <w:pPrChange w:id="10040" w:author="AbbVie02no" w:date="2025-05-15T13:45:00Z">
          <w:pPr>
            <w:pStyle w:val="EndnoteText"/>
            <w:widowControl/>
            <w:tabs>
              <w:tab w:val="clear" w:pos="567"/>
            </w:tabs>
            <w:suppressAutoHyphens/>
          </w:pPr>
        </w:pPrChange>
      </w:pPr>
    </w:p>
    <w:p w14:paraId="49B72FB3" w14:textId="36BA92C2" w:rsidR="008F0D97" w:rsidRPr="00644328" w:rsidRDefault="00E453CD">
      <w:pPr>
        <w:keepNext/>
        <w:suppressAutoHyphens/>
        <w:rPr>
          <w:del w:id="10041" w:author="AbbVie02no" w:date="2025-05-15T13:45:00Z"/>
          <w:sz w:val="22"/>
          <w:szCs w:val="22"/>
        </w:rPr>
        <w:pPrChange w:id="10042" w:author="AbbVie02no" w:date="2025-05-15T13:45:00Z">
          <w:pPr>
            <w:keepNext/>
          </w:pPr>
        </w:pPrChange>
      </w:pPr>
      <w:del w:id="10043" w:author="AbbVie02no" w:date="2025-05-15T13:45:00Z">
        <w:r w:rsidRPr="00644328">
          <w:rPr>
            <w:sz w:val="22"/>
            <w:szCs w:val="22"/>
          </w:rPr>
          <w:delText>pJIA-I</w:delText>
        </w:r>
      </w:del>
    </w:p>
    <w:p w14:paraId="13ADBA79" w14:textId="2E9CE65B" w:rsidR="008F0D97" w:rsidRPr="00644328" w:rsidRDefault="008F0D97">
      <w:pPr>
        <w:keepNext/>
        <w:suppressAutoHyphens/>
        <w:rPr>
          <w:del w:id="10044" w:author="AbbVie02no" w:date="2025-05-15T13:45:00Z"/>
          <w:sz w:val="22"/>
          <w:szCs w:val="22"/>
        </w:rPr>
        <w:pPrChange w:id="10045" w:author="AbbVie02no" w:date="2025-05-15T13:45:00Z">
          <w:pPr>
            <w:keepNext/>
          </w:pPr>
        </w:pPrChange>
      </w:pPr>
    </w:p>
    <w:p w14:paraId="0AD782A3" w14:textId="6460FA00" w:rsidR="008F0D97" w:rsidRPr="00644328" w:rsidRDefault="00E453CD">
      <w:pPr>
        <w:keepNext/>
        <w:suppressAutoHyphens/>
        <w:rPr>
          <w:del w:id="10046" w:author="AbbVie02no" w:date="2025-05-15T13:45:00Z"/>
          <w:sz w:val="22"/>
          <w:szCs w:val="22"/>
        </w:rPr>
        <w:pPrChange w:id="10047" w:author="AbbVie02no" w:date="2025-05-15T13:45:00Z">
          <w:pPr/>
        </w:pPrChange>
      </w:pPr>
      <w:del w:id="10048" w:author="AbbVie02no" w:date="2025-05-15T13:45:00Z">
        <w:r w:rsidRPr="00644328">
          <w:rPr>
            <w:sz w:val="22"/>
            <w:szCs w:val="22"/>
          </w:rPr>
          <w:delText>Sikkerhet og effekt av Humira ble vurdert i en multisenter, randomisert, dobbeltblindet, parallellgruppestudie hos 171 barn (4-17 år) med polyartikulær JIA. I den innledende fasen til open-label-delen (OL LI) ble pasientene stratifisert i to grupper; behandling med og uten metotreksat. Pasienter som var i den gruppen som ikke ble behandlet med metotreksat</w:delText>
        </w:r>
        <w:r w:rsidR="00431095" w:rsidRPr="00644328">
          <w:rPr>
            <w:sz w:val="22"/>
            <w:szCs w:val="22"/>
          </w:rPr>
          <w:delText>,</w:delText>
        </w:r>
        <w:r w:rsidRPr="00644328">
          <w:rPr>
            <w:sz w:val="22"/>
            <w:szCs w:val="22"/>
          </w:rPr>
          <w:delText xml:space="preserve"> hadde enten ikke brukt metotreksat tidligere eller de hadde sluttet med metotreksat minst to uker før start av studien. Pasientene sto på stabile doser av NSAIDs og/eller prednison (≤ 0,2 mg/kg/dag eller 10 mg/dag maksimum). I OL LI</w:delText>
        </w:r>
        <w:r w:rsidRPr="00644328">
          <w:rPr>
            <w:sz w:val="22"/>
            <w:szCs w:val="22"/>
          </w:rPr>
          <w:noBreakHyphen/>
          <w:delText>fasen fikk alle pasienter 24 mg/m</w:delText>
        </w:r>
        <w:r w:rsidRPr="00644328">
          <w:rPr>
            <w:sz w:val="22"/>
            <w:szCs w:val="22"/>
            <w:vertAlign w:val="superscript"/>
          </w:rPr>
          <w:delText>2</w:delText>
        </w:r>
        <w:r w:rsidRPr="00644328">
          <w:rPr>
            <w:sz w:val="22"/>
            <w:szCs w:val="22"/>
          </w:rPr>
          <w:delText xml:space="preserve"> opptil maksimum 40 mg Humira annenhver </w:delText>
        </w:r>
        <w:r w:rsidRPr="00644328">
          <w:rPr>
            <w:sz w:val="22"/>
            <w:szCs w:val="22"/>
          </w:rPr>
          <w:lastRenderedPageBreak/>
          <w:delText xml:space="preserve">uke i 16 uker. Spredning av pasientene med hensyn til alder, minimum-, median- og maksimumdose under OL LI-fasen er vist i tabell </w:delText>
        </w:r>
        <w:r w:rsidR="00F42F7E" w:rsidRPr="00644328">
          <w:rPr>
            <w:sz w:val="22"/>
            <w:szCs w:val="22"/>
          </w:rPr>
          <w:delText>25</w:delText>
        </w:r>
        <w:r w:rsidRPr="00644328">
          <w:rPr>
            <w:sz w:val="22"/>
            <w:szCs w:val="22"/>
          </w:rPr>
          <w:delText>.</w:delText>
        </w:r>
      </w:del>
    </w:p>
    <w:p w14:paraId="08BB500E" w14:textId="7763AB3D" w:rsidR="008F0D97" w:rsidRPr="00644328" w:rsidRDefault="008F0D97">
      <w:pPr>
        <w:keepNext/>
        <w:suppressAutoHyphens/>
        <w:rPr>
          <w:del w:id="10049" w:author="AbbVie02no" w:date="2025-05-15T13:45:00Z"/>
          <w:sz w:val="22"/>
          <w:szCs w:val="22"/>
        </w:rPr>
        <w:pPrChange w:id="10050" w:author="AbbVie02no" w:date="2025-05-15T13:45:00Z">
          <w:pPr/>
        </w:pPrChange>
      </w:pPr>
    </w:p>
    <w:p w14:paraId="14FADC57" w14:textId="68BD330D" w:rsidR="008F0D97" w:rsidRPr="00644328" w:rsidRDefault="00E453CD">
      <w:pPr>
        <w:keepNext/>
        <w:suppressAutoHyphens/>
        <w:rPr>
          <w:del w:id="10051" w:author="AbbVie02no" w:date="2025-05-15T13:45:00Z"/>
          <w:b/>
          <w:sz w:val="22"/>
          <w:szCs w:val="22"/>
        </w:rPr>
        <w:pPrChange w:id="10052" w:author="AbbVie02no" w:date="2025-05-15T13:45:00Z">
          <w:pPr>
            <w:pStyle w:val="BodyTextIndent"/>
            <w:keepNext/>
            <w:ind w:left="0" w:right="53"/>
            <w:jc w:val="center"/>
          </w:pPr>
        </w:pPrChange>
      </w:pPr>
      <w:del w:id="10053" w:author="AbbVie02no" w:date="2025-05-15T13:45:00Z">
        <w:r w:rsidRPr="00644328">
          <w:rPr>
            <w:b/>
            <w:sz w:val="22"/>
            <w:szCs w:val="22"/>
          </w:rPr>
          <w:delText xml:space="preserve">Tabell </w:delText>
        </w:r>
        <w:r w:rsidR="00205D90" w:rsidRPr="00644328">
          <w:rPr>
            <w:b/>
            <w:sz w:val="22"/>
            <w:szCs w:val="22"/>
          </w:rPr>
          <w:delText>25</w:delText>
        </w:r>
        <w:r w:rsidRPr="00644328">
          <w:rPr>
            <w:b/>
            <w:sz w:val="22"/>
            <w:szCs w:val="22"/>
          </w:rPr>
          <w:delText xml:space="preserve"> </w:delText>
        </w:r>
      </w:del>
    </w:p>
    <w:p w14:paraId="76E3B25F" w14:textId="1F7C2DBF" w:rsidR="008F0D97" w:rsidRPr="00644328" w:rsidRDefault="00E453CD">
      <w:pPr>
        <w:keepNext/>
        <w:suppressAutoHyphens/>
        <w:rPr>
          <w:del w:id="10054" w:author="AbbVie02no" w:date="2025-05-15T13:45:00Z"/>
          <w:b/>
          <w:sz w:val="22"/>
          <w:szCs w:val="22"/>
        </w:rPr>
        <w:pPrChange w:id="10055" w:author="AbbVie02no" w:date="2025-05-15T13:45:00Z">
          <w:pPr>
            <w:pStyle w:val="BodyTextIndent"/>
            <w:keepNext/>
            <w:ind w:left="0" w:right="53"/>
            <w:jc w:val="center"/>
          </w:pPr>
        </w:pPrChange>
      </w:pPr>
      <w:del w:id="10056" w:author="AbbVie02no" w:date="2025-05-15T13:45:00Z">
        <w:r w:rsidRPr="00644328">
          <w:rPr>
            <w:b/>
            <w:sz w:val="22"/>
            <w:szCs w:val="22"/>
          </w:rPr>
          <w:delText>Pasienters aldersspredning og adalimumabdosen gitt under OL LI-fasen</w:delText>
        </w:r>
      </w:del>
    </w:p>
    <w:p w14:paraId="183ECC44" w14:textId="79F3BD78" w:rsidR="008F0D97" w:rsidRPr="00644328" w:rsidRDefault="008F0D97">
      <w:pPr>
        <w:keepNext/>
        <w:suppressAutoHyphens/>
        <w:rPr>
          <w:del w:id="10057" w:author="AbbVie02no" w:date="2025-05-15T13:45:00Z"/>
          <w:sz w:val="22"/>
          <w:szCs w:val="22"/>
        </w:rPr>
        <w:pPrChange w:id="10058" w:author="AbbVie02no" w:date="2025-05-15T13:45:00Z">
          <w:pPr>
            <w:pStyle w:val="BodyTextIndent"/>
            <w:keepNext/>
            <w:ind w:left="0" w:right="53"/>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3424"/>
        <w:gridCol w:w="3155"/>
      </w:tblGrid>
      <w:tr w:rsidR="004644D4" w14:paraId="77B1F252" w14:textId="10407960" w:rsidTr="00634DDF">
        <w:trPr>
          <w:cantSplit/>
          <w:del w:id="10059" w:author="AbbVie02no" w:date="2025-05-15T13:45:00Z"/>
        </w:trPr>
        <w:tc>
          <w:tcPr>
            <w:tcW w:w="2418" w:type="dxa"/>
          </w:tcPr>
          <w:p w14:paraId="3C2F19F4" w14:textId="418EDAC6" w:rsidR="008F0D97" w:rsidRPr="00644328" w:rsidRDefault="00E453CD">
            <w:pPr>
              <w:keepNext/>
              <w:suppressAutoHyphens/>
              <w:rPr>
                <w:del w:id="10060" w:author="AbbVie02no" w:date="2025-05-15T13:45:00Z"/>
                <w:sz w:val="22"/>
                <w:szCs w:val="22"/>
              </w:rPr>
              <w:pPrChange w:id="10061" w:author="AbbVie02no" w:date="2025-05-15T13:45:00Z">
                <w:pPr>
                  <w:pStyle w:val="BodyTextIndent"/>
                  <w:ind w:left="0" w:right="53"/>
                </w:pPr>
              </w:pPrChange>
            </w:pPr>
            <w:del w:id="10062" w:author="AbbVie02no" w:date="2025-05-15T13:45:00Z">
              <w:r w:rsidRPr="00644328">
                <w:rPr>
                  <w:sz w:val="22"/>
                  <w:szCs w:val="22"/>
                </w:rPr>
                <w:delText>Aldersgruppe</w:delText>
              </w:r>
            </w:del>
          </w:p>
        </w:tc>
        <w:tc>
          <w:tcPr>
            <w:tcW w:w="3520" w:type="dxa"/>
          </w:tcPr>
          <w:p w14:paraId="760389E4" w14:textId="6075A6BA" w:rsidR="008F0D97" w:rsidRPr="00644328" w:rsidRDefault="00E453CD">
            <w:pPr>
              <w:keepNext/>
              <w:suppressAutoHyphens/>
              <w:rPr>
                <w:del w:id="10063" w:author="AbbVie02no" w:date="2025-05-15T13:45:00Z"/>
                <w:sz w:val="22"/>
                <w:szCs w:val="22"/>
              </w:rPr>
              <w:pPrChange w:id="10064" w:author="AbbVie02no" w:date="2025-05-15T13:45:00Z">
                <w:pPr>
                  <w:pStyle w:val="BodyTextIndent"/>
                  <w:ind w:left="0" w:right="53"/>
                </w:pPr>
              </w:pPrChange>
            </w:pPr>
            <w:del w:id="10065" w:author="AbbVie02no" w:date="2025-05-15T13:45:00Z">
              <w:r w:rsidRPr="00644328">
                <w:rPr>
                  <w:sz w:val="22"/>
                  <w:szCs w:val="22"/>
                </w:rPr>
                <w:delText>Antall pasienter ved behandlingsstart n (%)</w:delText>
              </w:r>
            </w:del>
          </w:p>
        </w:tc>
        <w:tc>
          <w:tcPr>
            <w:tcW w:w="3239" w:type="dxa"/>
          </w:tcPr>
          <w:p w14:paraId="00CDF162" w14:textId="78C09C7E" w:rsidR="008F0D97" w:rsidRPr="00644328" w:rsidRDefault="00E453CD">
            <w:pPr>
              <w:keepNext/>
              <w:suppressAutoHyphens/>
              <w:rPr>
                <w:del w:id="10066" w:author="AbbVie02no" w:date="2025-05-15T13:45:00Z"/>
                <w:sz w:val="22"/>
                <w:szCs w:val="22"/>
              </w:rPr>
              <w:pPrChange w:id="10067" w:author="AbbVie02no" w:date="2025-05-15T13:45:00Z">
                <w:pPr>
                  <w:pStyle w:val="BodyTextIndent"/>
                  <w:ind w:left="0" w:right="53"/>
                </w:pPr>
              </w:pPrChange>
            </w:pPr>
            <w:del w:id="10068" w:author="AbbVie02no" w:date="2025-05-15T13:45:00Z">
              <w:r w:rsidRPr="00644328">
                <w:rPr>
                  <w:sz w:val="22"/>
                  <w:szCs w:val="22"/>
                </w:rPr>
                <w:delText>Minimum-, median- og maksimumdose</w:delText>
              </w:r>
            </w:del>
          </w:p>
        </w:tc>
      </w:tr>
      <w:tr w:rsidR="004644D4" w14:paraId="79E656C2" w14:textId="003816EF" w:rsidTr="00634DDF">
        <w:trPr>
          <w:cantSplit/>
          <w:del w:id="10069" w:author="AbbVie02no" w:date="2025-05-15T13:45:00Z"/>
        </w:trPr>
        <w:tc>
          <w:tcPr>
            <w:tcW w:w="2418" w:type="dxa"/>
          </w:tcPr>
          <w:p w14:paraId="00AA3D10" w14:textId="1B37D83C" w:rsidR="008F0D97" w:rsidRPr="00644328" w:rsidRDefault="00E453CD">
            <w:pPr>
              <w:keepNext/>
              <w:suppressAutoHyphens/>
              <w:rPr>
                <w:del w:id="10070" w:author="AbbVie02no" w:date="2025-05-15T13:45:00Z"/>
                <w:sz w:val="22"/>
                <w:szCs w:val="22"/>
              </w:rPr>
              <w:pPrChange w:id="10071" w:author="AbbVie02no" w:date="2025-05-15T13:45:00Z">
                <w:pPr>
                  <w:pStyle w:val="BodyTextIndent"/>
                  <w:ind w:left="0" w:right="53"/>
                </w:pPr>
              </w:pPrChange>
            </w:pPr>
            <w:del w:id="10072" w:author="AbbVie02no" w:date="2025-05-15T13:45:00Z">
              <w:r w:rsidRPr="00644328">
                <w:rPr>
                  <w:sz w:val="22"/>
                  <w:szCs w:val="22"/>
                </w:rPr>
                <w:delText>4 til 7 år</w:delText>
              </w:r>
            </w:del>
          </w:p>
        </w:tc>
        <w:tc>
          <w:tcPr>
            <w:tcW w:w="3520" w:type="dxa"/>
          </w:tcPr>
          <w:p w14:paraId="1DF544D7" w14:textId="6BA07353" w:rsidR="008F0D97" w:rsidRPr="00644328" w:rsidRDefault="00E453CD">
            <w:pPr>
              <w:keepNext/>
              <w:suppressAutoHyphens/>
              <w:rPr>
                <w:del w:id="10073" w:author="AbbVie02no" w:date="2025-05-15T13:45:00Z"/>
                <w:sz w:val="22"/>
                <w:szCs w:val="22"/>
              </w:rPr>
              <w:pPrChange w:id="10074" w:author="AbbVie02no" w:date="2025-05-15T13:45:00Z">
                <w:pPr>
                  <w:pStyle w:val="BodyTextIndent"/>
                  <w:ind w:left="0" w:right="53"/>
                </w:pPr>
              </w:pPrChange>
            </w:pPr>
            <w:del w:id="10075" w:author="AbbVie02no" w:date="2025-05-15T13:45:00Z">
              <w:r w:rsidRPr="00644328">
                <w:rPr>
                  <w:sz w:val="22"/>
                  <w:szCs w:val="22"/>
                </w:rPr>
                <w:delText>31 (18,1)</w:delText>
              </w:r>
            </w:del>
          </w:p>
        </w:tc>
        <w:tc>
          <w:tcPr>
            <w:tcW w:w="3239" w:type="dxa"/>
          </w:tcPr>
          <w:p w14:paraId="655E9E28" w14:textId="79139B41" w:rsidR="008F0D97" w:rsidRPr="00644328" w:rsidRDefault="00E453CD">
            <w:pPr>
              <w:keepNext/>
              <w:suppressAutoHyphens/>
              <w:rPr>
                <w:del w:id="10076" w:author="AbbVie02no" w:date="2025-05-15T13:45:00Z"/>
                <w:sz w:val="22"/>
                <w:szCs w:val="22"/>
              </w:rPr>
              <w:pPrChange w:id="10077" w:author="AbbVie02no" w:date="2025-05-15T13:45:00Z">
                <w:pPr>
                  <w:pStyle w:val="BodyTextIndent"/>
                  <w:ind w:left="0" w:right="53"/>
                </w:pPr>
              </w:pPrChange>
            </w:pPr>
            <w:del w:id="10078" w:author="AbbVie02no" w:date="2025-05-15T13:45:00Z">
              <w:r w:rsidRPr="00644328">
                <w:rPr>
                  <w:sz w:val="22"/>
                  <w:szCs w:val="22"/>
                </w:rPr>
                <w:delText>10, 20 og 25 mg</w:delText>
              </w:r>
            </w:del>
          </w:p>
        </w:tc>
      </w:tr>
      <w:tr w:rsidR="004644D4" w14:paraId="377A45C0" w14:textId="0B2281FD" w:rsidTr="00634DDF">
        <w:trPr>
          <w:cantSplit/>
          <w:del w:id="10079" w:author="AbbVie02no" w:date="2025-05-15T13:45:00Z"/>
        </w:trPr>
        <w:tc>
          <w:tcPr>
            <w:tcW w:w="2418" w:type="dxa"/>
          </w:tcPr>
          <w:p w14:paraId="149B3A21" w14:textId="2F6380F5" w:rsidR="008F0D97" w:rsidRPr="00644328" w:rsidRDefault="00E453CD">
            <w:pPr>
              <w:keepNext/>
              <w:suppressAutoHyphens/>
              <w:rPr>
                <w:del w:id="10080" w:author="AbbVie02no" w:date="2025-05-15T13:45:00Z"/>
                <w:sz w:val="22"/>
                <w:szCs w:val="22"/>
              </w:rPr>
              <w:pPrChange w:id="10081" w:author="AbbVie02no" w:date="2025-05-15T13:45:00Z">
                <w:pPr>
                  <w:pStyle w:val="BodyTextIndent"/>
                  <w:ind w:left="0" w:right="53"/>
                </w:pPr>
              </w:pPrChange>
            </w:pPr>
            <w:del w:id="10082" w:author="AbbVie02no" w:date="2025-05-15T13:45:00Z">
              <w:r w:rsidRPr="00644328">
                <w:rPr>
                  <w:sz w:val="22"/>
                  <w:szCs w:val="22"/>
                </w:rPr>
                <w:delText>8 til 12 år</w:delText>
              </w:r>
            </w:del>
          </w:p>
        </w:tc>
        <w:tc>
          <w:tcPr>
            <w:tcW w:w="3520" w:type="dxa"/>
          </w:tcPr>
          <w:p w14:paraId="2211BBF6" w14:textId="7D7083BC" w:rsidR="008F0D97" w:rsidRPr="00644328" w:rsidRDefault="00E453CD">
            <w:pPr>
              <w:keepNext/>
              <w:suppressAutoHyphens/>
              <w:rPr>
                <w:del w:id="10083" w:author="AbbVie02no" w:date="2025-05-15T13:45:00Z"/>
                <w:sz w:val="22"/>
                <w:szCs w:val="22"/>
              </w:rPr>
              <w:pPrChange w:id="10084" w:author="AbbVie02no" w:date="2025-05-15T13:45:00Z">
                <w:pPr>
                  <w:pStyle w:val="BodyTextIndent"/>
                  <w:ind w:left="0" w:right="53"/>
                </w:pPr>
              </w:pPrChange>
            </w:pPr>
            <w:del w:id="10085" w:author="AbbVie02no" w:date="2025-05-15T13:45:00Z">
              <w:r w:rsidRPr="00644328">
                <w:rPr>
                  <w:sz w:val="22"/>
                  <w:szCs w:val="22"/>
                </w:rPr>
                <w:delText>71 (41,5)</w:delText>
              </w:r>
            </w:del>
          </w:p>
        </w:tc>
        <w:tc>
          <w:tcPr>
            <w:tcW w:w="3239" w:type="dxa"/>
          </w:tcPr>
          <w:p w14:paraId="1D649A25" w14:textId="61336124" w:rsidR="008F0D97" w:rsidRPr="00644328" w:rsidRDefault="00E453CD">
            <w:pPr>
              <w:keepNext/>
              <w:suppressAutoHyphens/>
              <w:rPr>
                <w:del w:id="10086" w:author="AbbVie02no" w:date="2025-05-15T13:45:00Z"/>
                <w:sz w:val="22"/>
                <w:szCs w:val="22"/>
              </w:rPr>
              <w:pPrChange w:id="10087" w:author="AbbVie02no" w:date="2025-05-15T13:45:00Z">
                <w:pPr>
                  <w:pStyle w:val="BodyTextIndent"/>
                  <w:ind w:left="0" w:right="53"/>
                </w:pPr>
              </w:pPrChange>
            </w:pPr>
            <w:del w:id="10088" w:author="AbbVie02no" w:date="2025-05-15T13:45:00Z">
              <w:r w:rsidRPr="00644328">
                <w:rPr>
                  <w:sz w:val="22"/>
                  <w:szCs w:val="22"/>
                </w:rPr>
                <w:delText>20, 25 og 40 mg</w:delText>
              </w:r>
            </w:del>
          </w:p>
        </w:tc>
      </w:tr>
      <w:tr w:rsidR="004644D4" w14:paraId="624EAC48" w14:textId="43C3E3A8" w:rsidTr="00634DDF">
        <w:trPr>
          <w:cantSplit/>
          <w:del w:id="10089" w:author="AbbVie02no" w:date="2025-05-15T13:45:00Z"/>
        </w:trPr>
        <w:tc>
          <w:tcPr>
            <w:tcW w:w="2418" w:type="dxa"/>
          </w:tcPr>
          <w:p w14:paraId="68D29517" w14:textId="7900D887" w:rsidR="008F0D97" w:rsidRPr="00644328" w:rsidRDefault="00E453CD">
            <w:pPr>
              <w:keepNext/>
              <w:suppressAutoHyphens/>
              <w:rPr>
                <w:del w:id="10090" w:author="AbbVie02no" w:date="2025-05-15T13:45:00Z"/>
                <w:sz w:val="22"/>
                <w:szCs w:val="22"/>
              </w:rPr>
              <w:pPrChange w:id="10091" w:author="AbbVie02no" w:date="2025-05-15T13:45:00Z">
                <w:pPr>
                  <w:pStyle w:val="BodyTextIndent"/>
                  <w:ind w:left="0" w:right="53"/>
                </w:pPr>
              </w:pPrChange>
            </w:pPr>
            <w:del w:id="10092" w:author="AbbVie02no" w:date="2025-05-15T13:45:00Z">
              <w:r w:rsidRPr="00644328">
                <w:rPr>
                  <w:sz w:val="22"/>
                  <w:szCs w:val="22"/>
                </w:rPr>
                <w:delText>13 til 17 år</w:delText>
              </w:r>
            </w:del>
          </w:p>
        </w:tc>
        <w:tc>
          <w:tcPr>
            <w:tcW w:w="3520" w:type="dxa"/>
          </w:tcPr>
          <w:p w14:paraId="71AE71FD" w14:textId="2B1B2B85" w:rsidR="008F0D97" w:rsidRPr="00644328" w:rsidRDefault="00E453CD">
            <w:pPr>
              <w:keepNext/>
              <w:suppressAutoHyphens/>
              <w:rPr>
                <w:del w:id="10093" w:author="AbbVie02no" w:date="2025-05-15T13:45:00Z"/>
                <w:sz w:val="22"/>
                <w:szCs w:val="22"/>
              </w:rPr>
              <w:pPrChange w:id="10094" w:author="AbbVie02no" w:date="2025-05-15T13:45:00Z">
                <w:pPr>
                  <w:pStyle w:val="BodyTextIndent"/>
                  <w:ind w:left="0" w:right="53"/>
                </w:pPr>
              </w:pPrChange>
            </w:pPr>
            <w:del w:id="10095" w:author="AbbVie02no" w:date="2025-05-15T13:45:00Z">
              <w:r w:rsidRPr="00644328">
                <w:rPr>
                  <w:sz w:val="22"/>
                  <w:szCs w:val="22"/>
                </w:rPr>
                <w:delText>69 (40,4)</w:delText>
              </w:r>
            </w:del>
          </w:p>
        </w:tc>
        <w:tc>
          <w:tcPr>
            <w:tcW w:w="3239" w:type="dxa"/>
          </w:tcPr>
          <w:p w14:paraId="4C57E08F" w14:textId="4BCE4899" w:rsidR="008F0D97" w:rsidRPr="00644328" w:rsidRDefault="00E453CD">
            <w:pPr>
              <w:keepNext/>
              <w:suppressAutoHyphens/>
              <w:rPr>
                <w:del w:id="10096" w:author="AbbVie02no" w:date="2025-05-15T13:45:00Z"/>
                <w:sz w:val="22"/>
                <w:szCs w:val="22"/>
              </w:rPr>
              <w:pPrChange w:id="10097" w:author="AbbVie02no" w:date="2025-05-15T13:45:00Z">
                <w:pPr>
                  <w:pStyle w:val="BodyTextIndent"/>
                  <w:ind w:left="0" w:right="53"/>
                </w:pPr>
              </w:pPrChange>
            </w:pPr>
            <w:del w:id="10098" w:author="AbbVie02no" w:date="2025-05-15T13:45:00Z">
              <w:r w:rsidRPr="00644328">
                <w:rPr>
                  <w:sz w:val="22"/>
                  <w:szCs w:val="22"/>
                </w:rPr>
                <w:delText>25, 40 og 40 mg</w:delText>
              </w:r>
            </w:del>
          </w:p>
        </w:tc>
      </w:tr>
    </w:tbl>
    <w:p w14:paraId="7F343A4B" w14:textId="4D018836" w:rsidR="008F0D97" w:rsidRPr="00644328" w:rsidRDefault="008F0D97">
      <w:pPr>
        <w:keepNext/>
        <w:suppressAutoHyphens/>
        <w:rPr>
          <w:del w:id="10099" w:author="AbbVie02no" w:date="2025-05-15T13:45:00Z"/>
          <w:sz w:val="22"/>
          <w:szCs w:val="22"/>
        </w:rPr>
        <w:pPrChange w:id="10100" w:author="AbbVie02no" w:date="2025-05-15T13:45:00Z">
          <w:pPr>
            <w:tabs>
              <w:tab w:val="left" w:pos="6840"/>
            </w:tabs>
            <w:autoSpaceDE w:val="0"/>
            <w:autoSpaceDN w:val="0"/>
            <w:adjustRightInd w:val="0"/>
            <w:ind w:right="53"/>
          </w:pPr>
        </w:pPrChange>
      </w:pPr>
    </w:p>
    <w:p w14:paraId="11AD3DEB" w14:textId="0EBEB786" w:rsidR="008F0D97" w:rsidRPr="00644328" w:rsidRDefault="00E453CD">
      <w:pPr>
        <w:keepNext/>
        <w:suppressAutoHyphens/>
        <w:rPr>
          <w:del w:id="10101" w:author="AbbVie02no" w:date="2025-05-15T13:45:00Z"/>
          <w:sz w:val="22"/>
          <w:szCs w:val="22"/>
        </w:rPr>
        <w:pPrChange w:id="10102" w:author="AbbVie02no" w:date="2025-05-15T13:45:00Z">
          <w:pPr/>
        </w:pPrChange>
      </w:pPr>
      <w:del w:id="10103" w:author="AbbVie02no" w:date="2025-05-15T13:45:00Z">
        <w:r w:rsidRPr="00644328">
          <w:rPr>
            <w:sz w:val="22"/>
            <w:szCs w:val="22"/>
          </w:rPr>
          <w:delText>Pasienter som viste en pediatrisk ACR 30-respons ved uke 16</w:delText>
        </w:r>
        <w:r w:rsidR="00F42F7E" w:rsidRPr="00644328">
          <w:rPr>
            <w:sz w:val="22"/>
            <w:szCs w:val="22"/>
          </w:rPr>
          <w:delText>,</w:delText>
        </w:r>
        <w:r w:rsidRPr="00644328">
          <w:rPr>
            <w:sz w:val="22"/>
            <w:szCs w:val="22"/>
          </w:rPr>
          <w:delText xml:space="preserve"> kunne randomiseres til den dobbeltblinde fasen og fikk enten Humira 24 mg/m</w:delText>
        </w:r>
        <w:r w:rsidRPr="00644328">
          <w:rPr>
            <w:sz w:val="22"/>
            <w:szCs w:val="22"/>
            <w:vertAlign w:val="superscript"/>
          </w:rPr>
          <w:delText>2</w:delText>
        </w:r>
        <w:r w:rsidRPr="00644328">
          <w:rPr>
            <w:sz w:val="22"/>
            <w:szCs w:val="22"/>
          </w:rPr>
          <w:delText xml:space="preserve"> opptil maksimum 40 mg eller placebo annenhver uke i ytterligere 32 uker eller inntil sykdommen blusset opp. Kriterier for </w:delText>
        </w:r>
        <w:r w:rsidRPr="00644328">
          <w:rPr>
            <w:sz w:val="22"/>
          </w:rPr>
          <w:delText>sykdomsoppbluss</w:delText>
        </w:r>
        <w:r w:rsidRPr="00644328">
          <w:rPr>
            <w:sz w:val="22"/>
            <w:szCs w:val="22"/>
          </w:rPr>
          <w:delText xml:space="preserve"> var definert som en forverring av ≥ 30 % siden behandlingsstart hos ≥ 3 til 6 pediatrisk ACR kjernekriterier, ≥ 2 aktive ledd og forbedring av &gt; 30 % hos ikke flere enn 1 av 6 kriterier. Etter 32 uker eller ved </w:delText>
        </w:r>
        <w:r w:rsidRPr="00644328">
          <w:rPr>
            <w:sz w:val="22"/>
          </w:rPr>
          <w:delText xml:space="preserve">sykdomsoppbluss </w:delText>
        </w:r>
        <w:r w:rsidRPr="00644328">
          <w:rPr>
            <w:sz w:val="22"/>
            <w:szCs w:val="22"/>
          </w:rPr>
          <w:delText>kunne pasientene inkluderes i den åpne forlengelsesfasen (OLE).</w:delText>
        </w:r>
      </w:del>
    </w:p>
    <w:p w14:paraId="3E2D1EC9" w14:textId="45933A77" w:rsidR="008F0D97" w:rsidRPr="00644328" w:rsidRDefault="008F0D97">
      <w:pPr>
        <w:keepNext/>
        <w:suppressAutoHyphens/>
        <w:rPr>
          <w:del w:id="10104" w:author="AbbVie02no" w:date="2025-05-15T13:45:00Z"/>
          <w:b/>
          <w:sz w:val="22"/>
          <w:szCs w:val="22"/>
        </w:rPr>
        <w:pPrChange w:id="10105" w:author="AbbVie02no" w:date="2025-05-15T13:45:00Z">
          <w:pPr>
            <w:pStyle w:val="BodyTextIndent"/>
            <w:ind w:left="110" w:right="53"/>
            <w:jc w:val="center"/>
          </w:pPr>
        </w:pPrChange>
      </w:pPr>
    </w:p>
    <w:p w14:paraId="6402EA9F" w14:textId="65B1A38C" w:rsidR="008F0D97" w:rsidRPr="00644328" w:rsidRDefault="00E453CD">
      <w:pPr>
        <w:keepNext/>
        <w:suppressAutoHyphens/>
        <w:rPr>
          <w:del w:id="10106" w:author="AbbVie02no" w:date="2025-05-15T13:45:00Z"/>
          <w:b/>
          <w:sz w:val="22"/>
          <w:szCs w:val="22"/>
        </w:rPr>
        <w:pPrChange w:id="10107" w:author="AbbVie02no" w:date="2025-05-15T13:45:00Z">
          <w:pPr>
            <w:pStyle w:val="BodyTextIndent"/>
            <w:keepNext/>
            <w:ind w:left="110" w:right="51"/>
            <w:jc w:val="center"/>
          </w:pPr>
        </w:pPrChange>
      </w:pPr>
      <w:del w:id="10108" w:author="AbbVie02no" w:date="2025-05-15T13:45:00Z">
        <w:r w:rsidRPr="00644328">
          <w:rPr>
            <w:b/>
            <w:sz w:val="22"/>
            <w:szCs w:val="22"/>
          </w:rPr>
          <w:delText xml:space="preserve">Tabell </w:delText>
        </w:r>
        <w:r w:rsidR="00205D90" w:rsidRPr="00644328">
          <w:rPr>
            <w:b/>
            <w:sz w:val="22"/>
            <w:szCs w:val="22"/>
          </w:rPr>
          <w:delText>26</w:delText>
        </w:r>
        <w:r w:rsidRPr="00644328">
          <w:rPr>
            <w:b/>
            <w:sz w:val="22"/>
            <w:szCs w:val="22"/>
          </w:rPr>
          <w:delText xml:space="preserve"> </w:delText>
        </w:r>
      </w:del>
    </w:p>
    <w:p w14:paraId="5EEFBB4A" w14:textId="67EA16A5" w:rsidR="008F0D97" w:rsidRPr="00644328" w:rsidRDefault="00E453CD">
      <w:pPr>
        <w:keepNext/>
        <w:suppressAutoHyphens/>
        <w:rPr>
          <w:del w:id="10109" w:author="AbbVie02no" w:date="2025-05-15T13:45:00Z"/>
          <w:b/>
          <w:sz w:val="22"/>
          <w:szCs w:val="22"/>
        </w:rPr>
        <w:pPrChange w:id="10110" w:author="AbbVie02no" w:date="2025-05-15T13:45:00Z">
          <w:pPr>
            <w:pStyle w:val="BodyTextIndent"/>
            <w:keepNext/>
            <w:ind w:left="110" w:right="51"/>
            <w:jc w:val="center"/>
          </w:pPr>
        </w:pPrChange>
      </w:pPr>
      <w:del w:id="10111" w:author="AbbVie02no" w:date="2025-05-15T13:45:00Z">
        <w:r w:rsidRPr="00644328">
          <w:rPr>
            <w:b/>
            <w:sz w:val="22"/>
            <w:szCs w:val="22"/>
          </w:rPr>
          <w:delText>Pediatrisk ACR 30-respons i JIA-studie</w:delText>
        </w:r>
        <w:r w:rsidRPr="00644328">
          <w:rPr>
            <w:b/>
            <w:bCs/>
            <w:sz w:val="22"/>
            <w:szCs w:val="22"/>
          </w:rPr>
          <w:delText>n</w:delText>
        </w:r>
      </w:del>
    </w:p>
    <w:p w14:paraId="2DF0E472" w14:textId="1A73AFFB" w:rsidR="008F0D97" w:rsidRPr="00644328" w:rsidRDefault="008F0D97">
      <w:pPr>
        <w:keepNext/>
        <w:suppressAutoHyphens/>
        <w:rPr>
          <w:del w:id="10112" w:author="AbbVie02no" w:date="2025-05-15T13:45:00Z"/>
          <w:sz w:val="22"/>
          <w:szCs w:val="22"/>
        </w:rPr>
        <w:pPrChange w:id="10113" w:author="AbbVie02no" w:date="2025-05-15T13:45:00Z">
          <w:pPr>
            <w:pStyle w:val="BodyTextIndent"/>
            <w:keepNext/>
            <w:ind w:left="0" w:right="51"/>
          </w:pPr>
        </w:pPrChange>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7"/>
        <w:gridCol w:w="1728"/>
        <w:gridCol w:w="1731"/>
        <w:gridCol w:w="1575"/>
        <w:gridCol w:w="1524"/>
      </w:tblGrid>
      <w:tr w:rsidR="004644D4" w14:paraId="593363FA" w14:textId="451512D3" w:rsidTr="00634DDF">
        <w:trPr>
          <w:cantSplit/>
          <w:del w:id="10114" w:author="AbbVie02no" w:date="2025-05-15T13:45:00Z"/>
        </w:trPr>
        <w:tc>
          <w:tcPr>
            <w:tcW w:w="2418" w:type="dxa"/>
          </w:tcPr>
          <w:p w14:paraId="0D78A5BC" w14:textId="32435CD8" w:rsidR="008F0D97" w:rsidRPr="0015674E" w:rsidRDefault="00E453CD">
            <w:pPr>
              <w:keepNext/>
              <w:suppressAutoHyphens/>
              <w:rPr>
                <w:del w:id="10115" w:author="AbbVie02no" w:date="2025-05-15T13:45:00Z"/>
                <w:b/>
                <w:bCs/>
                <w:sz w:val="22"/>
                <w:szCs w:val="22"/>
              </w:rPr>
              <w:pPrChange w:id="10116" w:author="AbbVie02no" w:date="2025-05-15T13:45:00Z">
                <w:pPr>
                  <w:pStyle w:val="BodyTextIndent"/>
                  <w:keepNext/>
                  <w:ind w:left="0" w:right="51"/>
                </w:pPr>
              </w:pPrChange>
            </w:pPr>
            <w:del w:id="10117" w:author="AbbVie02no" w:date="2025-05-15T13:45:00Z">
              <w:r w:rsidRPr="0015674E">
                <w:rPr>
                  <w:b/>
                  <w:bCs/>
                  <w:sz w:val="22"/>
                  <w:szCs w:val="22"/>
                </w:rPr>
                <w:delText>Gruppe</w:delText>
              </w:r>
            </w:del>
          </w:p>
        </w:tc>
        <w:tc>
          <w:tcPr>
            <w:tcW w:w="3520" w:type="dxa"/>
            <w:gridSpan w:val="2"/>
          </w:tcPr>
          <w:p w14:paraId="687AD93D" w14:textId="0488D4B0" w:rsidR="008F0D97" w:rsidRPr="0015674E" w:rsidRDefault="00E453CD">
            <w:pPr>
              <w:keepNext/>
              <w:suppressAutoHyphens/>
              <w:rPr>
                <w:del w:id="10118" w:author="AbbVie02no" w:date="2025-05-15T13:45:00Z"/>
                <w:b/>
                <w:bCs/>
                <w:sz w:val="22"/>
                <w:szCs w:val="22"/>
              </w:rPr>
              <w:pPrChange w:id="10119" w:author="AbbVie02no" w:date="2025-05-15T13:45:00Z">
                <w:pPr>
                  <w:pStyle w:val="BodyTextIndent"/>
                  <w:keepNext/>
                  <w:ind w:left="0" w:right="51"/>
                  <w:jc w:val="center"/>
                </w:pPr>
              </w:pPrChange>
            </w:pPr>
            <w:del w:id="10120" w:author="AbbVie02no" w:date="2025-05-15T13:45:00Z">
              <w:r w:rsidRPr="0015674E">
                <w:rPr>
                  <w:b/>
                  <w:bCs/>
                  <w:sz w:val="22"/>
                  <w:szCs w:val="22"/>
                </w:rPr>
                <w:delText>Metotreksat</w:delText>
              </w:r>
            </w:del>
          </w:p>
        </w:tc>
        <w:tc>
          <w:tcPr>
            <w:tcW w:w="3239" w:type="dxa"/>
            <w:gridSpan w:val="2"/>
          </w:tcPr>
          <w:p w14:paraId="4BECDEFD" w14:textId="06214307" w:rsidR="008F0D97" w:rsidRPr="0015674E" w:rsidRDefault="00E453CD">
            <w:pPr>
              <w:keepNext/>
              <w:suppressAutoHyphens/>
              <w:rPr>
                <w:del w:id="10121" w:author="AbbVie02no" w:date="2025-05-15T13:45:00Z"/>
                <w:b/>
                <w:bCs/>
                <w:sz w:val="22"/>
                <w:szCs w:val="22"/>
              </w:rPr>
              <w:pPrChange w:id="10122" w:author="AbbVie02no" w:date="2025-05-15T13:45:00Z">
                <w:pPr>
                  <w:pStyle w:val="BodyTextIndent"/>
                  <w:keepNext/>
                  <w:ind w:left="0" w:right="51"/>
                  <w:jc w:val="center"/>
                </w:pPr>
              </w:pPrChange>
            </w:pPr>
            <w:del w:id="10123" w:author="AbbVie02no" w:date="2025-05-15T13:45:00Z">
              <w:r w:rsidRPr="0015674E">
                <w:rPr>
                  <w:b/>
                  <w:bCs/>
                  <w:sz w:val="22"/>
                  <w:szCs w:val="22"/>
                </w:rPr>
                <w:delText>Uten metotreksat</w:delText>
              </w:r>
            </w:del>
          </w:p>
        </w:tc>
      </w:tr>
      <w:tr w:rsidR="004644D4" w14:paraId="3C791D09" w14:textId="62D14DDF" w:rsidTr="00634DDF">
        <w:trPr>
          <w:cantSplit/>
          <w:del w:id="10124" w:author="AbbVie02no" w:date="2025-05-15T13:45:00Z"/>
        </w:trPr>
        <w:tc>
          <w:tcPr>
            <w:tcW w:w="2418" w:type="dxa"/>
          </w:tcPr>
          <w:p w14:paraId="238F6662" w14:textId="4BB626EC" w:rsidR="008F0D97" w:rsidRPr="0015674E" w:rsidRDefault="00E453CD">
            <w:pPr>
              <w:keepNext/>
              <w:suppressAutoHyphens/>
              <w:rPr>
                <w:del w:id="10125" w:author="AbbVie02no" w:date="2025-05-15T13:45:00Z"/>
                <w:b/>
                <w:bCs/>
                <w:sz w:val="22"/>
                <w:szCs w:val="22"/>
              </w:rPr>
              <w:pPrChange w:id="10126" w:author="AbbVie02no" w:date="2025-05-15T13:45:00Z">
                <w:pPr>
                  <w:pStyle w:val="BodyTextIndent"/>
                  <w:keepNext/>
                  <w:ind w:left="0" w:right="51"/>
                </w:pPr>
              </w:pPrChange>
            </w:pPr>
            <w:del w:id="10127" w:author="AbbVie02no" w:date="2025-05-15T13:45:00Z">
              <w:r w:rsidRPr="0015674E">
                <w:rPr>
                  <w:b/>
                  <w:bCs/>
                  <w:sz w:val="22"/>
                  <w:szCs w:val="22"/>
                </w:rPr>
                <w:delText>Fase</w:delText>
              </w:r>
            </w:del>
          </w:p>
        </w:tc>
        <w:tc>
          <w:tcPr>
            <w:tcW w:w="3520" w:type="dxa"/>
            <w:gridSpan w:val="2"/>
          </w:tcPr>
          <w:p w14:paraId="4F577B0B" w14:textId="26000B58" w:rsidR="008F0D97" w:rsidRPr="00640086" w:rsidRDefault="008F0D97">
            <w:pPr>
              <w:keepNext/>
              <w:suppressAutoHyphens/>
              <w:rPr>
                <w:del w:id="10128" w:author="AbbVie02no" w:date="2025-05-15T13:45:00Z"/>
                <w:b/>
                <w:bCs/>
                <w:sz w:val="22"/>
                <w:szCs w:val="22"/>
              </w:rPr>
              <w:pPrChange w:id="10129" w:author="AbbVie02no" w:date="2025-05-15T13:45:00Z">
                <w:pPr>
                  <w:pStyle w:val="BodyTextIndent"/>
                  <w:keepNext/>
                  <w:ind w:left="0" w:right="51"/>
                  <w:jc w:val="center"/>
                </w:pPr>
              </w:pPrChange>
            </w:pPr>
          </w:p>
        </w:tc>
        <w:tc>
          <w:tcPr>
            <w:tcW w:w="3239" w:type="dxa"/>
            <w:gridSpan w:val="2"/>
          </w:tcPr>
          <w:p w14:paraId="6A182CBC" w14:textId="6AC0001D" w:rsidR="008F0D97" w:rsidRPr="002E27D2" w:rsidRDefault="008F0D97">
            <w:pPr>
              <w:keepNext/>
              <w:suppressAutoHyphens/>
              <w:rPr>
                <w:del w:id="10130" w:author="AbbVie02no" w:date="2025-05-15T13:45:00Z"/>
                <w:b/>
                <w:bCs/>
                <w:sz w:val="22"/>
                <w:szCs w:val="22"/>
              </w:rPr>
              <w:pPrChange w:id="10131" w:author="AbbVie02no" w:date="2025-05-15T13:45:00Z">
                <w:pPr>
                  <w:pStyle w:val="BodyTextIndent"/>
                  <w:keepNext/>
                  <w:ind w:left="0" w:right="51"/>
                  <w:jc w:val="center"/>
                </w:pPr>
              </w:pPrChange>
            </w:pPr>
          </w:p>
        </w:tc>
      </w:tr>
      <w:tr w:rsidR="004644D4" w14:paraId="186927BF" w14:textId="61E2E27D" w:rsidTr="00634DDF">
        <w:trPr>
          <w:cantSplit/>
          <w:del w:id="10132" w:author="AbbVie02no" w:date="2025-05-15T13:45:00Z"/>
        </w:trPr>
        <w:tc>
          <w:tcPr>
            <w:tcW w:w="2418" w:type="dxa"/>
          </w:tcPr>
          <w:p w14:paraId="0D5BBBF6" w14:textId="6AD7C81F" w:rsidR="008F0D97" w:rsidRPr="00644328" w:rsidRDefault="00E453CD">
            <w:pPr>
              <w:keepNext/>
              <w:suppressAutoHyphens/>
              <w:rPr>
                <w:del w:id="10133" w:author="AbbVie02no" w:date="2025-05-15T13:45:00Z"/>
                <w:sz w:val="22"/>
                <w:szCs w:val="22"/>
              </w:rPr>
              <w:pPrChange w:id="10134" w:author="AbbVie02no" w:date="2025-05-15T13:45:00Z">
                <w:pPr>
                  <w:pStyle w:val="BodyTextIndent"/>
                  <w:keepNext/>
                  <w:ind w:left="0" w:right="51"/>
                </w:pPr>
              </w:pPrChange>
            </w:pPr>
            <w:del w:id="10135" w:author="AbbVie02no" w:date="2025-05-15T13:45:00Z">
              <w:r w:rsidRPr="00644328">
                <w:rPr>
                  <w:sz w:val="22"/>
                  <w:szCs w:val="22"/>
                </w:rPr>
                <w:delText>OL-LI 16 uker</w:delText>
              </w:r>
            </w:del>
          </w:p>
        </w:tc>
        <w:tc>
          <w:tcPr>
            <w:tcW w:w="3520" w:type="dxa"/>
            <w:gridSpan w:val="2"/>
          </w:tcPr>
          <w:p w14:paraId="1346901B" w14:textId="732531E3" w:rsidR="008F0D97" w:rsidRPr="00644328" w:rsidRDefault="008F0D97">
            <w:pPr>
              <w:keepNext/>
              <w:suppressAutoHyphens/>
              <w:rPr>
                <w:del w:id="10136" w:author="AbbVie02no" w:date="2025-05-15T13:45:00Z"/>
                <w:sz w:val="22"/>
                <w:szCs w:val="22"/>
              </w:rPr>
              <w:pPrChange w:id="10137" w:author="AbbVie02no" w:date="2025-05-15T13:45:00Z">
                <w:pPr>
                  <w:pStyle w:val="BodyTextIndent"/>
                  <w:keepNext/>
                  <w:ind w:left="0" w:right="51"/>
                  <w:jc w:val="center"/>
                </w:pPr>
              </w:pPrChange>
            </w:pPr>
          </w:p>
        </w:tc>
        <w:tc>
          <w:tcPr>
            <w:tcW w:w="3239" w:type="dxa"/>
            <w:gridSpan w:val="2"/>
          </w:tcPr>
          <w:p w14:paraId="15131714" w14:textId="74F7CF91" w:rsidR="008F0D97" w:rsidRPr="00644328" w:rsidRDefault="008F0D97">
            <w:pPr>
              <w:keepNext/>
              <w:suppressAutoHyphens/>
              <w:rPr>
                <w:del w:id="10138" w:author="AbbVie02no" w:date="2025-05-15T13:45:00Z"/>
                <w:sz w:val="22"/>
                <w:szCs w:val="22"/>
              </w:rPr>
              <w:pPrChange w:id="10139" w:author="AbbVie02no" w:date="2025-05-15T13:45:00Z">
                <w:pPr>
                  <w:pStyle w:val="BodyTextIndent"/>
                  <w:keepNext/>
                  <w:ind w:left="0" w:right="51"/>
                  <w:jc w:val="center"/>
                </w:pPr>
              </w:pPrChange>
            </w:pPr>
          </w:p>
        </w:tc>
      </w:tr>
      <w:tr w:rsidR="004644D4" w14:paraId="3563E5EF" w14:textId="4C3C33DB" w:rsidTr="00634DDF">
        <w:trPr>
          <w:cantSplit/>
          <w:del w:id="10140" w:author="AbbVie02no" w:date="2025-05-15T13:45:00Z"/>
        </w:trPr>
        <w:tc>
          <w:tcPr>
            <w:tcW w:w="2418" w:type="dxa"/>
          </w:tcPr>
          <w:p w14:paraId="152676D2" w14:textId="20B37007" w:rsidR="008F0D97" w:rsidRPr="00644328" w:rsidRDefault="00E453CD">
            <w:pPr>
              <w:keepNext/>
              <w:suppressAutoHyphens/>
              <w:rPr>
                <w:del w:id="10141" w:author="AbbVie02no" w:date="2025-05-15T13:45:00Z"/>
                <w:sz w:val="22"/>
                <w:szCs w:val="22"/>
              </w:rPr>
              <w:pPrChange w:id="10142" w:author="AbbVie02no" w:date="2025-05-15T13:45:00Z">
                <w:pPr>
                  <w:pStyle w:val="BodyTextIndent"/>
                  <w:keepNext/>
                  <w:ind w:right="51"/>
                </w:pPr>
              </w:pPrChange>
            </w:pPr>
            <w:del w:id="10143" w:author="AbbVie02no" w:date="2025-05-15T13:45:00Z">
              <w:r w:rsidRPr="00644328">
                <w:rPr>
                  <w:sz w:val="22"/>
                  <w:szCs w:val="22"/>
                </w:rPr>
                <w:delText>Pediatrisk ACR 30-respons (n/N)</w:delText>
              </w:r>
            </w:del>
          </w:p>
        </w:tc>
        <w:tc>
          <w:tcPr>
            <w:tcW w:w="3520" w:type="dxa"/>
            <w:gridSpan w:val="2"/>
          </w:tcPr>
          <w:p w14:paraId="7FA9251C" w14:textId="30BA7A82" w:rsidR="008F0D97" w:rsidRPr="00644328" w:rsidRDefault="00E453CD">
            <w:pPr>
              <w:keepNext/>
              <w:suppressAutoHyphens/>
              <w:rPr>
                <w:del w:id="10144" w:author="AbbVie02no" w:date="2025-05-15T13:45:00Z"/>
                <w:sz w:val="22"/>
                <w:szCs w:val="22"/>
              </w:rPr>
              <w:pPrChange w:id="10145" w:author="AbbVie02no" w:date="2025-05-15T13:45:00Z">
                <w:pPr>
                  <w:pStyle w:val="BodyTextIndent"/>
                  <w:keepNext/>
                  <w:ind w:left="0" w:right="51"/>
                  <w:jc w:val="center"/>
                </w:pPr>
              </w:pPrChange>
            </w:pPr>
            <w:del w:id="10146" w:author="AbbVie02no" w:date="2025-05-15T13:45:00Z">
              <w:r w:rsidRPr="00644328">
                <w:rPr>
                  <w:sz w:val="22"/>
                  <w:szCs w:val="22"/>
                </w:rPr>
                <w:delText>94,1 % (80/85)</w:delText>
              </w:r>
            </w:del>
          </w:p>
        </w:tc>
        <w:tc>
          <w:tcPr>
            <w:tcW w:w="3239" w:type="dxa"/>
            <w:gridSpan w:val="2"/>
          </w:tcPr>
          <w:p w14:paraId="1701A6AD" w14:textId="323C3EA6" w:rsidR="008F0D97" w:rsidRPr="00644328" w:rsidRDefault="00E453CD">
            <w:pPr>
              <w:keepNext/>
              <w:suppressAutoHyphens/>
              <w:rPr>
                <w:del w:id="10147" w:author="AbbVie02no" w:date="2025-05-15T13:45:00Z"/>
                <w:sz w:val="22"/>
                <w:szCs w:val="22"/>
              </w:rPr>
              <w:pPrChange w:id="10148" w:author="AbbVie02no" w:date="2025-05-15T13:45:00Z">
                <w:pPr>
                  <w:pStyle w:val="BodyTextIndent"/>
                  <w:keepNext/>
                  <w:ind w:left="0" w:right="51"/>
                  <w:jc w:val="center"/>
                </w:pPr>
              </w:pPrChange>
            </w:pPr>
            <w:del w:id="10149" w:author="AbbVie02no" w:date="2025-05-15T13:45:00Z">
              <w:r w:rsidRPr="00644328">
                <w:rPr>
                  <w:sz w:val="22"/>
                  <w:szCs w:val="22"/>
                </w:rPr>
                <w:delText>74,4 % (64/86)</w:delText>
              </w:r>
            </w:del>
          </w:p>
        </w:tc>
      </w:tr>
      <w:tr w:rsidR="004644D4" w14:paraId="385C9F4A" w14:textId="63130311" w:rsidTr="00634DDF">
        <w:trPr>
          <w:cantSplit/>
          <w:del w:id="10150" w:author="AbbVie02no" w:date="2025-05-15T13:45:00Z"/>
        </w:trPr>
        <w:tc>
          <w:tcPr>
            <w:tcW w:w="9177" w:type="dxa"/>
            <w:gridSpan w:val="5"/>
          </w:tcPr>
          <w:p w14:paraId="5478C64F" w14:textId="1BFD64DC" w:rsidR="008F0D97" w:rsidRPr="00644328" w:rsidRDefault="00E453CD">
            <w:pPr>
              <w:keepNext/>
              <w:suppressAutoHyphens/>
              <w:rPr>
                <w:del w:id="10151" w:author="AbbVie02no" w:date="2025-05-15T13:45:00Z"/>
                <w:sz w:val="22"/>
                <w:szCs w:val="22"/>
              </w:rPr>
              <w:pPrChange w:id="10152" w:author="AbbVie02no" w:date="2025-05-15T13:45:00Z">
                <w:pPr>
                  <w:pStyle w:val="BodyTextIndent"/>
                  <w:keepNext/>
                  <w:ind w:left="0" w:right="51"/>
                  <w:jc w:val="center"/>
                </w:pPr>
              </w:pPrChange>
            </w:pPr>
            <w:del w:id="10153" w:author="AbbVie02no" w:date="2025-05-15T13:45:00Z">
              <w:r w:rsidRPr="00644328">
                <w:rPr>
                  <w:sz w:val="22"/>
                  <w:szCs w:val="22"/>
                </w:rPr>
                <w:delText>Effektresultater</w:delText>
              </w:r>
            </w:del>
          </w:p>
        </w:tc>
      </w:tr>
      <w:tr w:rsidR="004644D4" w14:paraId="13550879" w14:textId="5F84CB0D" w:rsidTr="00634DDF">
        <w:trPr>
          <w:del w:id="10154" w:author="AbbVie02no" w:date="2025-05-15T13:45:00Z"/>
        </w:trPr>
        <w:tc>
          <w:tcPr>
            <w:tcW w:w="2418" w:type="dxa"/>
          </w:tcPr>
          <w:p w14:paraId="5457A483" w14:textId="4CE1A69A" w:rsidR="008F0D97" w:rsidRPr="00644328" w:rsidRDefault="00E453CD">
            <w:pPr>
              <w:keepNext/>
              <w:suppressAutoHyphens/>
              <w:rPr>
                <w:del w:id="10155" w:author="AbbVie02no" w:date="2025-05-15T13:45:00Z"/>
                <w:sz w:val="22"/>
                <w:szCs w:val="22"/>
              </w:rPr>
              <w:pPrChange w:id="10156" w:author="AbbVie02no" w:date="2025-05-15T13:45:00Z">
                <w:pPr>
                  <w:pStyle w:val="BodyTextIndent"/>
                  <w:keepNext/>
                  <w:ind w:left="0" w:right="51"/>
                </w:pPr>
              </w:pPrChange>
            </w:pPr>
            <w:del w:id="10157" w:author="AbbVie02no" w:date="2025-05-15T13:45:00Z">
              <w:r w:rsidRPr="00644328">
                <w:rPr>
                  <w:sz w:val="22"/>
                  <w:szCs w:val="22"/>
                </w:rPr>
                <w:delText>Dobbeltblind 32 uker</w:delText>
              </w:r>
            </w:del>
          </w:p>
        </w:tc>
        <w:tc>
          <w:tcPr>
            <w:tcW w:w="1760" w:type="dxa"/>
          </w:tcPr>
          <w:p w14:paraId="414F0C22" w14:textId="1C27D3CC" w:rsidR="008F0D97" w:rsidRPr="00644328" w:rsidRDefault="00E453CD">
            <w:pPr>
              <w:keepNext/>
              <w:suppressAutoHyphens/>
              <w:rPr>
                <w:del w:id="10158" w:author="AbbVie02no" w:date="2025-05-15T13:45:00Z"/>
                <w:sz w:val="22"/>
                <w:szCs w:val="22"/>
              </w:rPr>
              <w:pPrChange w:id="10159" w:author="AbbVie02no" w:date="2025-05-15T13:45:00Z">
                <w:pPr>
                  <w:pStyle w:val="BodyTextIndent"/>
                  <w:keepNext/>
                  <w:ind w:left="0" w:right="51"/>
                </w:pPr>
              </w:pPrChange>
            </w:pPr>
            <w:del w:id="10160" w:author="AbbVie02no" w:date="2025-05-15T13:45:00Z">
              <w:r w:rsidRPr="00644328">
                <w:rPr>
                  <w:sz w:val="22"/>
                  <w:szCs w:val="22"/>
                </w:rPr>
                <w:delText xml:space="preserve">Humira/MTX </w:delText>
              </w:r>
            </w:del>
          </w:p>
          <w:p w14:paraId="10914654" w14:textId="55C0412E" w:rsidR="008F0D97" w:rsidRPr="00644328" w:rsidRDefault="00E453CD">
            <w:pPr>
              <w:keepNext/>
              <w:suppressAutoHyphens/>
              <w:rPr>
                <w:del w:id="10161" w:author="AbbVie02no" w:date="2025-05-15T13:45:00Z"/>
                <w:sz w:val="22"/>
                <w:szCs w:val="22"/>
              </w:rPr>
              <w:pPrChange w:id="10162" w:author="AbbVie02no" w:date="2025-05-15T13:45:00Z">
                <w:pPr>
                  <w:pStyle w:val="BodyTextIndent"/>
                  <w:keepNext/>
                  <w:ind w:left="0" w:right="51"/>
                </w:pPr>
              </w:pPrChange>
            </w:pPr>
            <w:del w:id="10163" w:author="AbbVie02no" w:date="2025-05-15T13:45:00Z">
              <w:r w:rsidRPr="00644328">
                <w:rPr>
                  <w:sz w:val="22"/>
                  <w:szCs w:val="22"/>
                </w:rPr>
                <w:delText>(n = 38)</w:delText>
              </w:r>
            </w:del>
          </w:p>
          <w:p w14:paraId="3043AD0E" w14:textId="4B9162BE" w:rsidR="008F0D97" w:rsidRPr="00644328" w:rsidRDefault="008F0D97">
            <w:pPr>
              <w:keepNext/>
              <w:suppressAutoHyphens/>
              <w:rPr>
                <w:del w:id="10164" w:author="AbbVie02no" w:date="2025-05-15T13:45:00Z"/>
                <w:sz w:val="22"/>
                <w:szCs w:val="22"/>
              </w:rPr>
              <w:pPrChange w:id="10165" w:author="AbbVie02no" w:date="2025-05-15T13:45:00Z">
                <w:pPr>
                  <w:pStyle w:val="BodyTextIndent"/>
                  <w:keepNext/>
                  <w:ind w:left="0" w:right="51"/>
                </w:pPr>
              </w:pPrChange>
            </w:pPr>
          </w:p>
        </w:tc>
        <w:tc>
          <w:tcPr>
            <w:tcW w:w="1760" w:type="dxa"/>
          </w:tcPr>
          <w:p w14:paraId="2F52AFD4" w14:textId="65273D15" w:rsidR="008F0D97" w:rsidRPr="00644328" w:rsidRDefault="00E453CD">
            <w:pPr>
              <w:keepNext/>
              <w:suppressAutoHyphens/>
              <w:rPr>
                <w:del w:id="10166" w:author="AbbVie02no" w:date="2025-05-15T13:45:00Z"/>
                <w:sz w:val="22"/>
                <w:szCs w:val="22"/>
              </w:rPr>
              <w:pPrChange w:id="10167" w:author="AbbVie02no" w:date="2025-05-15T13:45:00Z">
                <w:pPr>
                  <w:pStyle w:val="BodyTextIndent"/>
                  <w:keepNext/>
                  <w:ind w:left="0" w:right="51"/>
                </w:pPr>
              </w:pPrChange>
            </w:pPr>
            <w:del w:id="10168" w:author="AbbVie02no" w:date="2025-05-15T13:45:00Z">
              <w:r w:rsidRPr="00644328">
                <w:rPr>
                  <w:sz w:val="22"/>
                  <w:szCs w:val="22"/>
                </w:rPr>
                <w:delText>Placebo/MTX</w:delText>
              </w:r>
            </w:del>
          </w:p>
          <w:p w14:paraId="12302545" w14:textId="3A468B3C" w:rsidR="008F0D97" w:rsidRPr="00644328" w:rsidRDefault="00E453CD">
            <w:pPr>
              <w:keepNext/>
              <w:suppressAutoHyphens/>
              <w:rPr>
                <w:del w:id="10169" w:author="AbbVie02no" w:date="2025-05-15T13:45:00Z"/>
                <w:sz w:val="22"/>
                <w:szCs w:val="22"/>
              </w:rPr>
              <w:pPrChange w:id="10170" w:author="AbbVie02no" w:date="2025-05-15T13:45:00Z">
                <w:pPr>
                  <w:pStyle w:val="BodyTextIndent"/>
                  <w:keepNext/>
                  <w:ind w:left="0" w:right="51"/>
                </w:pPr>
              </w:pPrChange>
            </w:pPr>
            <w:del w:id="10171" w:author="AbbVie02no" w:date="2025-05-15T13:45:00Z">
              <w:r w:rsidRPr="00644328">
                <w:rPr>
                  <w:sz w:val="22"/>
                  <w:szCs w:val="22"/>
                </w:rPr>
                <w:delText>(n = 37)</w:delText>
              </w:r>
            </w:del>
          </w:p>
        </w:tc>
        <w:tc>
          <w:tcPr>
            <w:tcW w:w="1650" w:type="dxa"/>
          </w:tcPr>
          <w:p w14:paraId="5C1285F5" w14:textId="3B7097D8" w:rsidR="008F0D97" w:rsidRPr="00644328" w:rsidRDefault="00E453CD">
            <w:pPr>
              <w:keepNext/>
              <w:suppressAutoHyphens/>
              <w:rPr>
                <w:del w:id="10172" w:author="AbbVie02no" w:date="2025-05-15T13:45:00Z"/>
                <w:sz w:val="22"/>
                <w:szCs w:val="22"/>
              </w:rPr>
              <w:pPrChange w:id="10173" w:author="AbbVie02no" w:date="2025-05-15T13:45:00Z">
                <w:pPr>
                  <w:pStyle w:val="BodyTextIndent"/>
                  <w:keepNext/>
                  <w:ind w:left="0" w:right="51"/>
                </w:pPr>
              </w:pPrChange>
            </w:pPr>
            <w:del w:id="10174" w:author="AbbVie02no" w:date="2025-05-15T13:45:00Z">
              <w:r w:rsidRPr="00644328">
                <w:rPr>
                  <w:sz w:val="22"/>
                  <w:szCs w:val="22"/>
                </w:rPr>
                <w:delText xml:space="preserve">Humira </w:delText>
              </w:r>
            </w:del>
          </w:p>
          <w:p w14:paraId="4DA9E331" w14:textId="238F7CB2" w:rsidR="008F0D97" w:rsidRPr="00644328" w:rsidRDefault="00E453CD">
            <w:pPr>
              <w:keepNext/>
              <w:suppressAutoHyphens/>
              <w:rPr>
                <w:del w:id="10175" w:author="AbbVie02no" w:date="2025-05-15T13:45:00Z"/>
                <w:sz w:val="22"/>
                <w:szCs w:val="22"/>
              </w:rPr>
              <w:pPrChange w:id="10176" w:author="AbbVie02no" w:date="2025-05-15T13:45:00Z">
                <w:pPr>
                  <w:pStyle w:val="BodyTextIndent"/>
                  <w:keepNext/>
                  <w:ind w:left="0" w:right="51"/>
                </w:pPr>
              </w:pPrChange>
            </w:pPr>
            <w:del w:id="10177" w:author="AbbVie02no" w:date="2025-05-15T13:45:00Z">
              <w:r w:rsidRPr="00644328">
                <w:rPr>
                  <w:sz w:val="22"/>
                  <w:szCs w:val="22"/>
                </w:rPr>
                <w:delText>(n = 30)</w:delText>
              </w:r>
            </w:del>
          </w:p>
        </w:tc>
        <w:tc>
          <w:tcPr>
            <w:tcW w:w="1589" w:type="dxa"/>
          </w:tcPr>
          <w:p w14:paraId="097DAAD1" w14:textId="2F220F42" w:rsidR="008F0D97" w:rsidRPr="00644328" w:rsidRDefault="00E453CD">
            <w:pPr>
              <w:keepNext/>
              <w:suppressAutoHyphens/>
              <w:rPr>
                <w:del w:id="10178" w:author="AbbVie02no" w:date="2025-05-15T13:45:00Z"/>
                <w:sz w:val="22"/>
                <w:szCs w:val="22"/>
              </w:rPr>
              <w:pPrChange w:id="10179" w:author="AbbVie02no" w:date="2025-05-15T13:45:00Z">
                <w:pPr>
                  <w:pStyle w:val="BodyTextIndent"/>
                  <w:keepNext/>
                  <w:ind w:left="0" w:right="51"/>
                </w:pPr>
              </w:pPrChange>
            </w:pPr>
            <w:del w:id="10180" w:author="AbbVie02no" w:date="2025-05-15T13:45:00Z">
              <w:r w:rsidRPr="00644328">
                <w:rPr>
                  <w:sz w:val="22"/>
                  <w:szCs w:val="22"/>
                </w:rPr>
                <w:delText>Placebo</w:delText>
              </w:r>
            </w:del>
          </w:p>
          <w:p w14:paraId="350EC980" w14:textId="2ACEEDC8" w:rsidR="008F0D97" w:rsidRPr="00644328" w:rsidRDefault="00E453CD">
            <w:pPr>
              <w:keepNext/>
              <w:suppressAutoHyphens/>
              <w:rPr>
                <w:del w:id="10181" w:author="AbbVie02no" w:date="2025-05-15T13:45:00Z"/>
                <w:sz w:val="22"/>
                <w:szCs w:val="22"/>
              </w:rPr>
              <w:pPrChange w:id="10182" w:author="AbbVie02no" w:date="2025-05-15T13:45:00Z">
                <w:pPr>
                  <w:pStyle w:val="BodyTextIndent"/>
                  <w:keepNext/>
                  <w:ind w:left="0" w:right="51"/>
                </w:pPr>
              </w:pPrChange>
            </w:pPr>
            <w:del w:id="10183" w:author="AbbVie02no" w:date="2025-05-15T13:45:00Z">
              <w:r w:rsidRPr="00644328">
                <w:rPr>
                  <w:sz w:val="22"/>
                  <w:szCs w:val="22"/>
                </w:rPr>
                <w:delText>(n = 28)</w:delText>
              </w:r>
            </w:del>
          </w:p>
        </w:tc>
      </w:tr>
      <w:tr w:rsidR="004644D4" w14:paraId="1A2CA5BF" w14:textId="2D91968D" w:rsidTr="00634DDF">
        <w:trPr>
          <w:del w:id="10184" w:author="AbbVie02no" w:date="2025-05-15T13:45:00Z"/>
        </w:trPr>
        <w:tc>
          <w:tcPr>
            <w:tcW w:w="2418" w:type="dxa"/>
          </w:tcPr>
          <w:p w14:paraId="4032BCAF" w14:textId="77EC639A" w:rsidR="008F0D97" w:rsidRPr="00644328" w:rsidRDefault="00E453CD">
            <w:pPr>
              <w:keepNext/>
              <w:suppressAutoHyphens/>
              <w:rPr>
                <w:del w:id="10185" w:author="AbbVie02no" w:date="2025-05-15T13:45:00Z"/>
                <w:sz w:val="22"/>
                <w:szCs w:val="22"/>
              </w:rPr>
              <w:pPrChange w:id="10186" w:author="AbbVie02no" w:date="2025-05-15T13:45:00Z">
                <w:pPr>
                  <w:pStyle w:val="BodyTextIndent"/>
                  <w:keepNext/>
                  <w:ind w:right="51"/>
                </w:pPr>
              </w:pPrChange>
            </w:pPr>
            <w:del w:id="10187" w:author="AbbVie02no" w:date="2025-05-15T13:45:00Z">
              <w:r w:rsidRPr="00644328">
                <w:rPr>
                  <w:sz w:val="22"/>
                  <w:szCs w:val="22"/>
                </w:rPr>
                <w:delText>Sykdomsoppblussing ved slutten av 32 uker</w:delText>
              </w:r>
              <w:r w:rsidRPr="00644328">
                <w:rPr>
                  <w:sz w:val="22"/>
                  <w:szCs w:val="22"/>
                  <w:vertAlign w:val="superscript"/>
                </w:rPr>
                <w:delText>a</w:delText>
              </w:r>
              <w:r w:rsidRPr="00644328">
                <w:rPr>
                  <w:sz w:val="22"/>
                  <w:szCs w:val="22"/>
                </w:rPr>
                <w:delText xml:space="preserve"> (n/N)</w:delText>
              </w:r>
            </w:del>
          </w:p>
        </w:tc>
        <w:tc>
          <w:tcPr>
            <w:tcW w:w="1760" w:type="dxa"/>
          </w:tcPr>
          <w:p w14:paraId="757D5E49" w14:textId="5E0734D7" w:rsidR="008F0D97" w:rsidRPr="00644328" w:rsidRDefault="00E453CD">
            <w:pPr>
              <w:keepNext/>
              <w:suppressAutoHyphens/>
              <w:rPr>
                <w:del w:id="10188" w:author="AbbVie02no" w:date="2025-05-15T13:45:00Z"/>
                <w:sz w:val="22"/>
                <w:szCs w:val="22"/>
              </w:rPr>
              <w:pPrChange w:id="10189" w:author="AbbVie02no" w:date="2025-05-15T13:45:00Z">
                <w:pPr>
                  <w:pStyle w:val="BodyTextIndent"/>
                  <w:keepNext/>
                  <w:ind w:left="0" w:right="51"/>
                </w:pPr>
              </w:pPrChange>
            </w:pPr>
            <w:del w:id="10190" w:author="AbbVie02no" w:date="2025-05-15T13:45:00Z">
              <w:r w:rsidRPr="00644328">
                <w:rPr>
                  <w:sz w:val="22"/>
                  <w:szCs w:val="22"/>
                </w:rPr>
                <w:delText>36,8 % (14/38)</w:delText>
              </w:r>
            </w:del>
          </w:p>
        </w:tc>
        <w:tc>
          <w:tcPr>
            <w:tcW w:w="1760" w:type="dxa"/>
          </w:tcPr>
          <w:p w14:paraId="6597191E" w14:textId="1F15300A" w:rsidR="008F0D97" w:rsidRPr="00644328" w:rsidRDefault="00E453CD">
            <w:pPr>
              <w:keepNext/>
              <w:suppressAutoHyphens/>
              <w:rPr>
                <w:del w:id="10191" w:author="AbbVie02no" w:date="2025-05-15T13:45:00Z"/>
                <w:sz w:val="22"/>
                <w:szCs w:val="22"/>
              </w:rPr>
              <w:pPrChange w:id="10192" w:author="AbbVie02no" w:date="2025-05-15T13:45:00Z">
                <w:pPr>
                  <w:pStyle w:val="BodyTextIndent"/>
                  <w:keepNext/>
                  <w:ind w:left="0" w:right="51"/>
                </w:pPr>
              </w:pPrChange>
            </w:pPr>
            <w:del w:id="10193" w:author="AbbVie02no" w:date="2025-05-15T13:45:00Z">
              <w:r w:rsidRPr="00644328">
                <w:rPr>
                  <w:sz w:val="22"/>
                  <w:szCs w:val="22"/>
                </w:rPr>
                <w:delText>64,9 % (24/37)</w:delText>
              </w:r>
              <w:r w:rsidRPr="00644328">
                <w:rPr>
                  <w:sz w:val="22"/>
                  <w:szCs w:val="22"/>
                  <w:vertAlign w:val="superscript"/>
                </w:rPr>
                <w:delText>b</w:delText>
              </w:r>
            </w:del>
          </w:p>
        </w:tc>
        <w:tc>
          <w:tcPr>
            <w:tcW w:w="1650" w:type="dxa"/>
          </w:tcPr>
          <w:p w14:paraId="70AB84D0" w14:textId="6A64D23C" w:rsidR="008F0D97" w:rsidRPr="00644328" w:rsidRDefault="00E453CD">
            <w:pPr>
              <w:keepNext/>
              <w:suppressAutoHyphens/>
              <w:rPr>
                <w:del w:id="10194" w:author="AbbVie02no" w:date="2025-05-15T13:45:00Z"/>
                <w:sz w:val="22"/>
                <w:szCs w:val="22"/>
              </w:rPr>
              <w:pPrChange w:id="10195" w:author="AbbVie02no" w:date="2025-05-15T13:45:00Z">
                <w:pPr>
                  <w:pStyle w:val="BodyTextIndent"/>
                  <w:keepNext/>
                  <w:ind w:left="0" w:right="51"/>
                </w:pPr>
              </w:pPrChange>
            </w:pPr>
            <w:del w:id="10196" w:author="AbbVie02no" w:date="2025-05-15T13:45:00Z">
              <w:r w:rsidRPr="00644328">
                <w:rPr>
                  <w:sz w:val="22"/>
                  <w:szCs w:val="22"/>
                </w:rPr>
                <w:delText>43,3 % (13/30)</w:delText>
              </w:r>
            </w:del>
          </w:p>
        </w:tc>
        <w:tc>
          <w:tcPr>
            <w:tcW w:w="1589" w:type="dxa"/>
          </w:tcPr>
          <w:p w14:paraId="7F13157F" w14:textId="1621E66D" w:rsidR="008F0D97" w:rsidRPr="00644328" w:rsidRDefault="00E453CD">
            <w:pPr>
              <w:keepNext/>
              <w:suppressAutoHyphens/>
              <w:rPr>
                <w:del w:id="10197" w:author="AbbVie02no" w:date="2025-05-15T13:45:00Z"/>
                <w:sz w:val="22"/>
                <w:szCs w:val="22"/>
              </w:rPr>
              <w:pPrChange w:id="10198" w:author="AbbVie02no" w:date="2025-05-15T13:45:00Z">
                <w:pPr>
                  <w:pStyle w:val="BodyTextIndent"/>
                  <w:keepNext/>
                  <w:ind w:left="0" w:right="51"/>
                </w:pPr>
              </w:pPrChange>
            </w:pPr>
            <w:del w:id="10199" w:author="AbbVie02no" w:date="2025-05-15T13:45:00Z">
              <w:r w:rsidRPr="00644328">
                <w:rPr>
                  <w:sz w:val="22"/>
                  <w:szCs w:val="22"/>
                </w:rPr>
                <w:delText>71,4 % (20/28)</w:delText>
              </w:r>
              <w:r w:rsidRPr="00644328">
                <w:rPr>
                  <w:sz w:val="22"/>
                  <w:szCs w:val="22"/>
                  <w:vertAlign w:val="superscript"/>
                </w:rPr>
                <w:delText>c</w:delText>
              </w:r>
            </w:del>
          </w:p>
        </w:tc>
      </w:tr>
      <w:tr w:rsidR="004644D4" w14:paraId="067B7D3D" w14:textId="2C790327" w:rsidTr="00634DDF">
        <w:trPr>
          <w:del w:id="10200" w:author="AbbVie02no" w:date="2025-05-15T13:45:00Z"/>
        </w:trPr>
        <w:tc>
          <w:tcPr>
            <w:tcW w:w="2418" w:type="dxa"/>
          </w:tcPr>
          <w:p w14:paraId="3DDF468F" w14:textId="2BED4C8F" w:rsidR="008F0D97" w:rsidRPr="00644328" w:rsidRDefault="00E453CD">
            <w:pPr>
              <w:keepNext/>
              <w:suppressAutoHyphens/>
              <w:rPr>
                <w:del w:id="10201" w:author="AbbVie02no" w:date="2025-05-15T13:45:00Z"/>
                <w:sz w:val="22"/>
                <w:szCs w:val="22"/>
              </w:rPr>
              <w:pPrChange w:id="10202" w:author="AbbVie02no" w:date="2025-05-15T13:45:00Z">
                <w:pPr>
                  <w:pStyle w:val="BodyTextIndent"/>
                  <w:keepNext/>
                  <w:ind w:right="51"/>
                </w:pPr>
              </w:pPrChange>
            </w:pPr>
            <w:del w:id="10203" w:author="AbbVie02no" w:date="2025-05-15T13:45:00Z">
              <w:r w:rsidRPr="00644328">
                <w:rPr>
                  <w:sz w:val="22"/>
                  <w:szCs w:val="22"/>
                </w:rPr>
                <w:delText>Mediantiden til sykdomsoppblussing</w:delText>
              </w:r>
            </w:del>
          </w:p>
        </w:tc>
        <w:tc>
          <w:tcPr>
            <w:tcW w:w="1760" w:type="dxa"/>
          </w:tcPr>
          <w:p w14:paraId="39A2C24D" w14:textId="6D7366A0" w:rsidR="008F0D97" w:rsidRPr="00644328" w:rsidRDefault="00E453CD">
            <w:pPr>
              <w:keepNext/>
              <w:suppressAutoHyphens/>
              <w:rPr>
                <w:del w:id="10204" w:author="AbbVie02no" w:date="2025-05-15T13:45:00Z"/>
                <w:sz w:val="22"/>
                <w:szCs w:val="22"/>
              </w:rPr>
              <w:pPrChange w:id="10205" w:author="AbbVie02no" w:date="2025-05-15T13:45:00Z">
                <w:pPr>
                  <w:pStyle w:val="BodyTextIndent"/>
                  <w:keepNext/>
                  <w:ind w:left="0" w:right="51"/>
                </w:pPr>
              </w:pPrChange>
            </w:pPr>
            <w:del w:id="10206" w:author="AbbVie02no" w:date="2025-05-15T13:45:00Z">
              <w:r w:rsidRPr="00644328">
                <w:rPr>
                  <w:sz w:val="22"/>
                  <w:szCs w:val="22"/>
                </w:rPr>
                <w:delText>&gt; 32 uker</w:delText>
              </w:r>
            </w:del>
          </w:p>
        </w:tc>
        <w:tc>
          <w:tcPr>
            <w:tcW w:w="1760" w:type="dxa"/>
          </w:tcPr>
          <w:p w14:paraId="3404E275" w14:textId="2D17F819" w:rsidR="008F0D97" w:rsidRPr="00644328" w:rsidRDefault="00E453CD">
            <w:pPr>
              <w:keepNext/>
              <w:suppressAutoHyphens/>
              <w:rPr>
                <w:del w:id="10207" w:author="AbbVie02no" w:date="2025-05-15T13:45:00Z"/>
                <w:sz w:val="22"/>
                <w:szCs w:val="22"/>
              </w:rPr>
              <w:pPrChange w:id="10208" w:author="AbbVie02no" w:date="2025-05-15T13:45:00Z">
                <w:pPr>
                  <w:pStyle w:val="BodyTextIndent"/>
                  <w:keepNext/>
                  <w:ind w:left="0" w:right="51"/>
                </w:pPr>
              </w:pPrChange>
            </w:pPr>
            <w:del w:id="10209" w:author="AbbVie02no" w:date="2025-05-15T13:45:00Z">
              <w:r w:rsidRPr="00644328">
                <w:rPr>
                  <w:sz w:val="22"/>
                  <w:szCs w:val="22"/>
                </w:rPr>
                <w:delText>20 uker</w:delText>
              </w:r>
            </w:del>
          </w:p>
        </w:tc>
        <w:tc>
          <w:tcPr>
            <w:tcW w:w="1650" w:type="dxa"/>
          </w:tcPr>
          <w:p w14:paraId="3A707E38" w14:textId="046CD08E" w:rsidR="008F0D97" w:rsidRPr="00644328" w:rsidRDefault="00E453CD">
            <w:pPr>
              <w:keepNext/>
              <w:suppressAutoHyphens/>
              <w:rPr>
                <w:del w:id="10210" w:author="AbbVie02no" w:date="2025-05-15T13:45:00Z"/>
                <w:sz w:val="22"/>
                <w:szCs w:val="22"/>
              </w:rPr>
              <w:pPrChange w:id="10211" w:author="AbbVie02no" w:date="2025-05-15T13:45:00Z">
                <w:pPr>
                  <w:pStyle w:val="BodyTextIndent"/>
                  <w:keepNext/>
                  <w:ind w:left="0" w:right="51"/>
                </w:pPr>
              </w:pPrChange>
            </w:pPr>
            <w:del w:id="10212" w:author="AbbVie02no" w:date="2025-05-15T13:45:00Z">
              <w:r w:rsidRPr="00644328">
                <w:rPr>
                  <w:sz w:val="22"/>
                  <w:szCs w:val="22"/>
                </w:rPr>
                <w:delText>&gt; 32 uker</w:delText>
              </w:r>
            </w:del>
          </w:p>
        </w:tc>
        <w:tc>
          <w:tcPr>
            <w:tcW w:w="1589" w:type="dxa"/>
          </w:tcPr>
          <w:p w14:paraId="08A6EA69" w14:textId="7F8F0328" w:rsidR="008F0D97" w:rsidRPr="00644328" w:rsidRDefault="00E453CD">
            <w:pPr>
              <w:keepNext/>
              <w:suppressAutoHyphens/>
              <w:rPr>
                <w:del w:id="10213" w:author="AbbVie02no" w:date="2025-05-15T13:45:00Z"/>
                <w:sz w:val="22"/>
                <w:szCs w:val="22"/>
              </w:rPr>
              <w:pPrChange w:id="10214" w:author="AbbVie02no" w:date="2025-05-15T13:45:00Z">
                <w:pPr>
                  <w:pStyle w:val="BodyTextIndent"/>
                  <w:keepNext/>
                  <w:ind w:left="0" w:right="51"/>
                </w:pPr>
              </w:pPrChange>
            </w:pPr>
            <w:del w:id="10215" w:author="AbbVie02no" w:date="2025-05-15T13:45:00Z">
              <w:r w:rsidRPr="00644328">
                <w:rPr>
                  <w:sz w:val="22"/>
                  <w:szCs w:val="22"/>
                </w:rPr>
                <w:delText>14 uker</w:delText>
              </w:r>
            </w:del>
          </w:p>
        </w:tc>
      </w:tr>
    </w:tbl>
    <w:p w14:paraId="4A803E63" w14:textId="397ABF1E" w:rsidR="00640086" w:rsidRDefault="00640086">
      <w:pPr>
        <w:keepNext/>
        <w:suppressAutoHyphens/>
        <w:rPr>
          <w:del w:id="10216" w:author="AbbVie02no" w:date="2025-05-15T13:45:00Z"/>
          <w:sz w:val="22"/>
          <w:szCs w:val="22"/>
          <w:vertAlign w:val="superscript"/>
        </w:rPr>
        <w:pPrChange w:id="10217" w:author="AbbVie02no" w:date="2025-05-15T13:45:00Z">
          <w:pPr>
            <w:pStyle w:val="BodyTextIndent"/>
            <w:keepNext/>
            <w:ind w:left="110" w:right="51"/>
          </w:pPr>
        </w:pPrChange>
      </w:pPr>
    </w:p>
    <w:p w14:paraId="34E642C4" w14:textId="73E95DDF" w:rsidR="008F0D97" w:rsidRPr="00644328" w:rsidRDefault="00E453CD">
      <w:pPr>
        <w:keepNext/>
        <w:suppressAutoHyphens/>
        <w:rPr>
          <w:del w:id="10218" w:author="AbbVie02no" w:date="2025-05-15T13:45:00Z"/>
          <w:i/>
          <w:sz w:val="22"/>
          <w:szCs w:val="22"/>
        </w:rPr>
        <w:pPrChange w:id="10219" w:author="AbbVie02no" w:date="2025-05-15T13:45:00Z">
          <w:pPr>
            <w:pStyle w:val="BodyTextIndent"/>
            <w:keepNext/>
            <w:ind w:left="110" w:right="51"/>
          </w:pPr>
        </w:pPrChange>
      </w:pPr>
      <w:del w:id="10220" w:author="AbbVie02no" w:date="2025-05-15T13:45:00Z">
        <w:r w:rsidRPr="00644328">
          <w:rPr>
            <w:sz w:val="22"/>
            <w:szCs w:val="22"/>
            <w:vertAlign w:val="superscript"/>
          </w:rPr>
          <w:delText xml:space="preserve">a </w:delText>
        </w:r>
        <w:r w:rsidRPr="00644328">
          <w:rPr>
            <w:sz w:val="22"/>
            <w:szCs w:val="22"/>
          </w:rPr>
          <w:delText xml:space="preserve">Pediatrisk ACR 30/50/70-responser uke 48 var signifikant større enn til de pasientene som var behandlet med placebo </w:delText>
        </w:r>
      </w:del>
    </w:p>
    <w:p w14:paraId="009C3B23" w14:textId="1B7C14ED" w:rsidR="008F0D97" w:rsidRPr="00644328" w:rsidRDefault="00E453CD">
      <w:pPr>
        <w:keepNext/>
        <w:suppressAutoHyphens/>
        <w:rPr>
          <w:del w:id="10221" w:author="AbbVie02no" w:date="2025-05-15T13:45:00Z"/>
          <w:sz w:val="22"/>
          <w:szCs w:val="22"/>
        </w:rPr>
        <w:pPrChange w:id="10222" w:author="AbbVie02no" w:date="2025-05-15T13:45:00Z">
          <w:pPr>
            <w:pStyle w:val="BodyTextIndent"/>
            <w:ind w:left="108" w:right="51"/>
          </w:pPr>
        </w:pPrChange>
      </w:pPr>
      <w:del w:id="10223" w:author="AbbVie02no" w:date="2025-05-15T13:45:00Z">
        <w:r w:rsidRPr="00644328">
          <w:rPr>
            <w:sz w:val="22"/>
            <w:szCs w:val="22"/>
            <w:vertAlign w:val="superscript"/>
          </w:rPr>
          <w:delText>b</w:delText>
        </w:r>
        <w:r w:rsidRPr="00644328">
          <w:rPr>
            <w:sz w:val="22"/>
            <w:szCs w:val="22"/>
          </w:rPr>
          <w:delText xml:space="preserve"> p = 0,015</w:delText>
        </w:r>
      </w:del>
    </w:p>
    <w:p w14:paraId="049570B4" w14:textId="064D1346" w:rsidR="008F0D97" w:rsidRPr="00644328" w:rsidRDefault="00E453CD">
      <w:pPr>
        <w:keepNext/>
        <w:suppressAutoHyphens/>
        <w:rPr>
          <w:del w:id="10224" w:author="AbbVie02no" w:date="2025-05-15T13:45:00Z"/>
          <w:sz w:val="22"/>
          <w:szCs w:val="22"/>
        </w:rPr>
        <w:pPrChange w:id="10225" w:author="AbbVie02no" w:date="2025-05-15T13:45:00Z">
          <w:pPr>
            <w:pStyle w:val="BodyTextIndent"/>
            <w:ind w:left="108" w:right="51"/>
          </w:pPr>
        </w:pPrChange>
      </w:pPr>
      <w:del w:id="10226" w:author="AbbVie02no" w:date="2025-05-15T13:45:00Z">
        <w:r w:rsidRPr="00644328">
          <w:rPr>
            <w:sz w:val="22"/>
            <w:szCs w:val="22"/>
            <w:vertAlign w:val="superscript"/>
          </w:rPr>
          <w:delText>c</w:delText>
        </w:r>
        <w:r w:rsidRPr="00644328">
          <w:rPr>
            <w:sz w:val="22"/>
            <w:szCs w:val="22"/>
          </w:rPr>
          <w:delText xml:space="preserve"> p = 0,031</w:delText>
        </w:r>
      </w:del>
    </w:p>
    <w:p w14:paraId="74116BB3" w14:textId="55E917C1" w:rsidR="008F0D97" w:rsidRPr="00644328" w:rsidRDefault="008F0D97">
      <w:pPr>
        <w:keepNext/>
        <w:suppressAutoHyphens/>
        <w:rPr>
          <w:del w:id="10227" w:author="AbbVie02no" w:date="2025-05-15T13:45:00Z"/>
          <w:sz w:val="22"/>
          <w:szCs w:val="22"/>
        </w:rPr>
        <w:pPrChange w:id="10228" w:author="AbbVie02no" w:date="2025-05-15T13:45:00Z">
          <w:pPr>
            <w:ind w:left="54"/>
          </w:pPr>
        </w:pPrChange>
      </w:pPr>
    </w:p>
    <w:p w14:paraId="5B5DB436" w14:textId="2C0752BA" w:rsidR="008F0D97" w:rsidRPr="00644328" w:rsidRDefault="00E453CD">
      <w:pPr>
        <w:keepNext/>
        <w:suppressAutoHyphens/>
        <w:rPr>
          <w:del w:id="10229" w:author="AbbVie02no" w:date="2025-05-15T13:45:00Z"/>
          <w:sz w:val="22"/>
          <w:szCs w:val="22"/>
        </w:rPr>
        <w:pPrChange w:id="10230" w:author="AbbVie02no" w:date="2025-05-15T13:45:00Z">
          <w:pPr/>
        </w:pPrChange>
      </w:pPr>
      <w:del w:id="10231" w:author="AbbVie02no" w:date="2025-05-15T13:45:00Z">
        <w:r w:rsidRPr="00644328">
          <w:rPr>
            <w:sz w:val="22"/>
            <w:szCs w:val="22"/>
          </w:rPr>
          <w:delText>Blant de som responderte ved uke 16 (n=144) var pediatrisk ACR 30/50/70/90 responser vedlikeholdt for opptil seks år i OLE-fasen hos pasienter som fikk Humira gjennom hele studien. Totalt 19 pasienter, hvorav 11 fra baseline aldersgruppen 4 til 12 år og 8 fra baseline aldersgruppen 13 til 17 år ble behandlet i 6 år eller lenger.</w:delText>
        </w:r>
      </w:del>
    </w:p>
    <w:p w14:paraId="34D751B6" w14:textId="2FFD7C5E" w:rsidR="008F0D97" w:rsidRPr="00644328" w:rsidRDefault="008F0D97">
      <w:pPr>
        <w:keepNext/>
        <w:suppressAutoHyphens/>
        <w:rPr>
          <w:del w:id="10232" w:author="AbbVie02no" w:date="2025-05-15T13:45:00Z"/>
          <w:sz w:val="22"/>
          <w:szCs w:val="22"/>
        </w:rPr>
        <w:pPrChange w:id="10233" w:author="AbbVie02no" w:date="2025-05-15T13:45:00Z">
          <w:pPr/>
        </w:pPrChange>
      </w:pPr>
    </w:p>
    <w:p w14:paraId="436681A4" w14:textId="48615D98" w:rsidR="008F0D97" w:rsidRPr="00644328" w:rsidRDefault="00E453CD">
      <w:pPr>
        <w:keepNext/>
        <w:suppressAutoHyphens/>
        <w:rPr>
          <w:del w:id="10234" w:author="AbbVie02no" w:date="2025-05-15T13:45:00Z"/>
          <w:sz w:val="22"/>
          <w:szCs w:val="22"/>
        </w:rPr>
        <w:pPrChange w:id="10235" w:author="AbbVie02no" w:date="2025-05-15T13:45:00Z">
          <w:pPr/>
        </w:pPrChange>
      </w:pPr>
      <w:del w:id="10236" w:author="AbbVie02no" w:date="2025-05-15T13:45:00Z">
        <w:r w:rsidRPr="00644328">
          <w:rPr>
            <w:sz w:val="22"/>
            <w:szCs w:val="22"/>
          </w:rPr>
          <w:delText>Responsen var generelt bedre, og færre pasienter utviklet antistoffer når de ble behandlet med kombinasjonen Humira og metotreksat sammenlignet med Humira alene. På bakgrunn av disse resultatene anbefales Humira til bruk i kombinasjon med metotreksat og til bruk som monoterapi hos pasienter som ikke kan bruke metotreksat (se pkt. 4.2).</w:delText>
        </w:r>
      </w:del>
    </w:p>
    <w:p w14:paraId="4E885834" w14:textId="5A506197" w:rsidR="008F0D97" w:rsidRPr="00644328" w:rsidRDefault="008F0D97">
      <w:pPr>
        <w:keepNext/>
        <w:suppressAutoHyphens/>
        <w:rPr>
          <w:del w:id="10237" w:author="AbbVie02no" w:date="2025-05-15T13:45:00Z"/>
          <w:sz w:val="22"/>
          <w:szCs w:val="22"/>
        </w:rPr>
        <w:pPrChange w:id="10238" w:author="AbbVie02no" w:date="2025-05-15T13:45:00Z">
          <w:pPr/>
        </w:pPrChange>
      </w:pPr>
    </w:p>
    <w:p w14:paraId="5FACA4BF" w14:textId="5C612801" w:rsidR="008F0D97" w:rsidRPr="00644328" w:rsidRDefault="00E453CD">
      <w:pPr>
        <w:keepNext/>
        <w:suppressAutoHyphens/>
        <w:rPr>
          <w:del w:id="10239" w:author="AbbVie02no" w:date="2025-05-15T13:45:00Z"/>
          <w:sz w:val="22"/>
          <w:szCs w:val="22"/>
        </w:rPr>
        <w:pPrChange w:id="10240" w:author="AbbVie02no" w:date="2025-05-15T13:45:00Z">
          <w:pPr>
            <w:keepNext/>
          </w:pPr>
        </w:pPrChange>
      </w:pPr>
      <w:del w:id="10241" w:author="AbbVie02no" w:date="2025-05-15T13:45:00Z">
        <w:r w:rsidRPr="00644328">
          <w:rPr>
            <w:sz w:val="22"/>
            <w:szCs w:val="22"/>
          </w:rPr>
          <w:delText>pJIA-II</w:delText>
        </w:r>
      </w:del>
    </w:p>
    <w:p w14:paraId="7D3915C4" w14:textId="16489EFC" w:rsidR="008F0D97" w:rsidRPr="00644328" w:rsidRDefault="008F0D97">
      <w:pPr>
        <w:keepNext/>
        <w:suppressAutoHyphens/>
        <w:rPr>
          <w:del w:id="10242" w:author="AbbVie02no" w:date="2025-05-15T13:45:00Z"/>
          <w:sz w:val="22"/>
          <w:szCs w:val="22"/>
        </w:rPr>
        <w:pPrChange w:id="10243" w:author="AbbVie02no" w:date="2025-05-15T13:45:00Z">
          <w:pPr>
            <w:keepNext/>
          </w:pPr>
        </w:pPrChange>
      </w:pPr>
    </w:p>
    <w:p w14:paraId="1204ED01" w14:textId="5FDB0D45" w:rsidR="008F0D97" w:rsidRPr="00644328" w:rsidRDefault="00E453CD">
      <w:pPr>
        <w:keepNext/>
        <w:suppressAutoHyphens/>
        <w:rPr>
          <w:del w:id="10244" w:author="AbbVie02no" w:date="2025-05-15T13:45:00Z"/>
          <w:sz w:val="22"/>
          <w:szCs w:val="22"/>
        </w:rPr>
        <w:pPrChange w:id="10245" w:author="AbbVie02no" w:date="2025-05-15T13:45:00Z">
          <w:pPr/>
        </w:pPrChange>
      </w:pPr>
      <w:del w:id="10246" w:author="AbbVie02no" w:date="2025-05-15T13:45:00Z">
        <w:r w:rsidRPr="00644328">
          <w:rPr>
            <w:sz w:val="22"/>
            <w:szCs w:val="22"/>
          </w:rPr>
          <w:delText>Sikkerhet og effekt av Humira ble vurdert i en åpen, multisenter studie hos 32 barn (2 - &lt; 4 år eller fra 4 år og oppover med kroppsvekt &lt; 15 kg) med moderat til alvorlig aktiv polyartikulær JIA. Pasientene fikk 24 mg/m</w:delText>
        </w:r>
        <w:r w:rsidRPr="00644328">
          <w:rPr>
            <w:sz w:val="22"/>
            <w:szCs w:val="22"/>
            <w:vertAlign w:val="superscript"/>
          </w:rPr>
          <w:delText>2</w:delText>
        </w:r>
        <w:r w:rsidRPr="00644328">
          <w:rPr>
            <w:sz w:val="22"/>
            <w:szCs w:val="22"/>
          </w:rPr>
          <w:delText xml:space="preserve"> kroppsoverflate opptil maksimum 20 mg Humira annenhver uke som en enkeltdose via </w:delText>
        </w:r>
        <w:r w:rsidRPr="00644328">
          <w:rPr>
            <w:sz w:val="22"/>
            <w:szCs w:val="22"/>
          </w:rPr>
          <w:lastRenderedPageBreak/>
          <w:delText>subkutan injeksjon i minst 24 uker. De fleste pasienter brukte metotreksat samtidig i løpet av studien, med færre rapporter om bruk av kortikosteroider eller NSAIDs.</w:delText>
        </w:r>
      </w:del>
    </w:p>
    <w:p w14:paraId="6204E8F2" w14:textId="7198FA76" w:rsidR="008F0D97" w:rsidRPr="00644328" w:rsidRDefault="008F0D97">
      <w:pPr>
        <w:keepNext/>
        <w:suppressAutoHyphens/>
        <w:rPr>
          <w:del w:id="10247" w:author="AbbVie02no" w:date="2025-05-15T13:45:00Z"/>
          <w:sz w:val="22"/>
          <w:szCs w:val="22"/>
        </w:rPr>
        <w:pPrChange w:id="10248" w:author="AbbVie02no" w:date="2025-05-15T13:45:00Z">
          <w:pPr/>
        </w:pPrChange>
      </w:pPr>
    </w:p>
    <w:p w14:paraId="716984D8" w14:textId="2A75E5F1" w:rsidR="008F0D97" w:rsidRPr="00644328" w:rsidRDefault="00E453CD">
      <w:pPr>
        <w:keepNext/>
        <w:suppressAutoHyphens/>
        <w:rPr>
          <w:del w:id="10249" w:author="AbbVie02no" w:date="2025-05-15T13:45:00Z"/>
          <w:sz w:val="22"/>
          <w:szCs w:val="22"/>
        </w:rPr>
        <w:pPrChange w:id="10250" w:author="AbbVie02no" w:date="2025-05-15T13:45:00Z">
          <w:pPr/>
        </w:pPrChange>
      </w:pPr>
      <w:del w:id="10251" w:author="AbbVie02no" w:date="2025-05-15T13:45:00Z">
        <w:r w:rsidRPr="00644328">
          <w:rPr>
            <w:sz w:val="22"/>
            <w:szCs w:val="22"/>
          </w:rPr>
          <w:delText>Ped ACR 30-respons var 93,5 % og 90,0 % ved henholdsvis uke 12 og uke 24 ved bruk av observert data tilnærming. Andelene av personer med Ped ACR 50/70/90 var 90,3 %/61,3 %/38,7 % og 83,3 %/73,3 %/36,7% ved henholdsvis uke 12 og uke 24. Blant de som responderte (Pediatrisk ACR 30) ved uke 24 (n=27 av 30 pasienter), ble Pediatrisk ACR 30-respons vedlikeholdt opptil 60 uker i OLE fasen hos pasienter som fikk Humira gjennom hele denne perioden. I alt ble 20 personer behandlet i 60 uker eller lenger.</w:delText>
        </w:r>
      </w:del>
    </w:p>
    <w:p w14:paraId="781A591D" w14:textId="080329D1" w:rsidR="008F0D97" w:rsidRPr="00644328" w:rsidRDefault="008F0D97">
      <w:pPr>
        <w:keepNext/>
        <w:suppressAutoHyphens/>
        <w:rPr>
          <w:del w:id="10252" w:author="AbbVie02no" w:date="2025-05-15T13:45:00Z"/>
          <w:sz w:val="22"/>
          <w:szCs w:val="22"/>
        </w:rPr>
        <w:pPrChange w:id="10253" w:author="AbbVie02no" w:date="2025-05-15T13:45:00Z">
          <w:pPr/>
        </w:pPrChange>
      </w:pPr>
    </w:p>
    <w:p w14:paraId="25D9971C" w14:textId="3AF6F350" w:rsidR="008F0D97" w:rsidRPr="00644328" w:rsidRDefault="00E453CD">
      <w:pPr>
        <w:keepNext/>
        <w:suppressAutoHyphens/>
        <w:rPr>
          <w:del w:id="10254" w:author="AbbVie02no" w:date="2025-05-15T13:45:00Z"/>
          <w:i/>
          <w:sz w:val="22"/>
          <w:szCs w:val="22"/>
          <w:u w:val="single"/>
        </w:rPr>
        <w:pPrChange w:id="10255" w:author="AbbVie02no" w:date="2025-05-15T13:45:00Z">
          <w:pPr>
            <w:keepNext/>
          </w:pPr>
        </w:pPrChange>
      </w:pPr>
      <w:del w:id="10256" w:author="AbbVie02no" w:date="2025-05-15T13:45:00Z">
        <w:r w:rsidRPr="00644328">
          <w:rPr>
            <w:i/>
            <w:sz w:val="22"/>
            <w:szCs w:val="22"/>
            <w:u w:val="single"/>
          </w:rPr>
          <w:delText>Entesittrelatert artritt</w:delText>
        </w:r>
      </w:del>
    </w:p>
    <w:p w14:paraId="2786E477" w14:textId="2EE11968" w:rsidR="008F0D97" w:rsidRPr="00644328" w:rsidRDefault="008F0D97">
      <w:pPr>
        <w:keepNext/>
        <w:suppressAutoHyphens/>
        <w:rPr>
          <w:del w:id="10257" w:author="AbbVie02no" w:date="2025-05-15T13:45:00Z"/>
          <w:sz w:val="22"/>
          <w:szCs w:val="22"/>
        </w:rPr>
        <w:pPrChange w:id="10258" w:author="AbbVie02no" w:date="2025-05-15T13:45:00Z">
          <w:pPr>
            <w:keepNext/>
          </w:pPr>
        </w:pPrChange>
      </w:pPr>
    </w:p>
    <w:p w14:paraId="7CF77428" w14:textId="797429F1" w:rsidR="008F0D97" w:rsidRPr="00644328" w:rsidRDefault="00E453CD">
      <w:pPr>
        <w:keepNext/>
        <w:suppressAutoHyphens/>
        <w:rPr>
          <w:del w:id="10259" w:author="AbbVie02no" w:date="2025-05-15T13:45:00Z"/>
          <w:sz w:val="22"/>
          <w:szCs w:val="22"/>
        </w:rPr>
        <w:pPrChange w:id="10260" w:author="AbbVie02no" w:date="2025-05-15T13:45:00Z">
          <w:pPr/>
        </w:pPrChange>
      </w:pPr>
      <w:del w:id="10261" w:author="AbbVie02no" w:date="2025-05-15T13:45:00Z">
        <w:r w:rsidRPr="00644328">
          <w:rPr>
            <w:sz w:val="22"/>
            <w:szCs w:val="22"/>
          </w:rPr>
          <w:delText>Sikkerhet og effekt av Humira ble vurdert i en multisenter, randomisert, dobbeltblindet studie hos 46 pediatriske pasienter (6 til 17 år) med moderat entesittrelatert artritt. Pasientene ble randomisert til behandling med enten 24 mg/m</w:delText>
        </w:r>
        <w:r w:rsidRPr="00644328">
          <w:rPr>
            <w:sz w:val="22"/>
            <w:szCs w:val="22"/>
            <w:vertAlign w:val="superscript"/>
          </w:rPr>
          <w:delText>2</w:delText>
        </w:r>
        <w:r w:rsidRPr="00644328">
          <w:rPr>
            <w:sz w:val="22"/>
            <w:szCs w:val="22"/>
          </w:rPr>
          <w:delText xml:space="preserve"> kroppsoverflate opptil maksimum 40 mg Humira, eller placebo annenhver uke i 12 uker. Den dobbeltblinde perioden ble</w:delText>
        </w:r>
        <w:r w:rsidRPr="00644328">
          <w:rPr>
            <w:sz w:val="22"/>
          </w:rPr>
          <w:delText xml:space="preserve"> </w:delText>
        </w:r>
        <w:r w:rsidRPr="00644328">
          <w:rPr>
            <w:sz w:val="22"/>
            <w:szCs w:val="22"/>
          </w:rPr>
          <w:delText>etterfølgt av en åpen periode, hvor pasientene fikk 24 mg/m</w:delText>
        </w:r>
        <w:r w:rsidRPr="00644328">
          <w:rPr>
            <w:sz w:val="22"/>
            <w:szCs w:val="22"/>
            <w:vertAlign w:val="superscript"/>
          </w:rPr>
          <w:delText>2</w:delText>
        </w:r>
        <w:r w:rsidRPr="00644328">
          <w:rPr>
            <w:sz w:val="22"/>
            <w:szCs w:val="22"/>
          </w:rPr>
          <w:delText xml:space="preserve"> kroppsoverflate opptil maksimum 40 mg Humira subkutant annenhver uke  i opptil ytterligere 192 uker. Det primære endepunktet var den prosentvise endring, fra baseline til uke 12, i antall aktive ledd med artritt (hevelse, som ikke skyldes misdannelse, eller ledd med tap av bevegelse pluss smerter og/eller ømhet), som ble oppnådd med gjennomsnittlig prosentvis nedgang på -62,6 % (median prosent endring -88,9%) hos pasienter i Humira-gruppen sammenlignet med -11,6% (median prosent endring -50,0%) hos pasienter i placebogruppen. Forbedring i antall aktive ledd med artritt ble opprettholdt til og med uke 156 for 26 av 31 (84 %) pasienter i Humira-gruppen som forble i den åpne perioden av studien. Selv om det ikke er statistisk signifikant, viste de fleste av pasientene klinisk bedring i sekundære endepunkter som antall områder med entesitt, antall ømme ledd, antall hovne ledd, pediatrisk ACR 50-respons, og pediatrisk ACR 70-respons.</w:delText>
        </w:r>
      </w:del>
    </w:p>
    <w:p w14:paraId="3C3014F3" w14:textId="7879F736" w:rsidR="008F0D97" w:rsidRPr="00644328" w:rsidRDefault="008F0D97">
      <w:pPr>
        <w:keepNext/>
        <w:suppressAutoHyphens/>
        <w:rPr>
          <w:del w:id="10262" w:author="AbbVie02no" w:date="2025-05-15T13:45:00Z"/>
          <w:sz w:val="22"/>
          <w:szCs w:val="22"/>
        </w:rPr>
        <w:pPrChange w:id="10263" w:author="AbbVie02no" w:date="2025-05-15T13:45:00Z">
          <w:pPr>
            <w:suppressAutoHyphens/>
          </w:pPr>
        </w:pPrChange>
      </w:pPr>
    </w:p>
    <w:p w14:paraId="1BA06FD8" w14:textId="7E4F6030" w:rsidR="002F0483" w:rsidRPr="001F5D4B" w:rsidRDefault="00E453CD">
      <w:pPr>
        <w:keepNext/>
        <w:suppressAutoHyphens/>
        <w:rPr>
          <w:del w:id="10264" w:author="AbbVie02no" w:date="2025-05-15T13:45:00Z"/>
          <w:i/>
          <w:sz w:val="22"/>
          <w:szCs w:val="22"/>
        </w:rPr>
        <w:pPrChange w:id="10265" w:author="AbbVie02no" w:date="2025-05-15T13:45:00Z">
          <w:pPr>
            <w:keepNext/>
          </w:pPr>
        </w:pPrChange>
      </w:pPr>
      <w:del w:id="10266" w:author="AbbVie02no" w:date="2025-05-15T13:45:00Z">
        <w:r w:rsidRPr="001F5D4B">
          <w:rPr>
            <w:i/>
            <w:sz w:val="22"/>
            <w:szCs w:val="22"/>
          </w:rPr>
          <w:delText>Pediatrisk plakkpsoriasis</w:delText>
        </w:r>
      </w:del>
    </w:p>
    <w:p w14:paraId="74EF6278" w14:textId="462A1BFB" w:rsidR="002F0483" w:rsidRPr="007F67EE" w:rsidRDefault="002F0483">
      <w:pPr>
        <w:keepNext/>
        <w:suppressAutoHyphens/>
        <w:rPr>
          <w:del w:id="10267" w:author="AbbVie02no" w:date="2025-05-15T13:45:00Z"/>
          <w:sz w:val="22"/>
          <w:szCs w:val="22"/>
        </w:rPr>
        <w:pPrChange w:id="10268" w:author="AbbVie02no" w:date="2025-05-15T13:45:00Z">
          <w:pPr>
            <w:keepNext/>
          </w:pPr>
        </w:pPrChange>
      </w:pPr>
    </w:p>
    <w:p w14:paraId="1EA18DDB" w14:textId="006F40B6" w:rsidR="002F0483" w:rsidRPr="00AF70AD" w:rsidRDefault="00E453CD">
      <w:pPr>
        <w:keepNext/>
        <w:suppressAutoHyphens/>
        <w:rPr>
          <w:del w:id="10269" w:author="AbbVie02no" w:date="2025-05-15T13:45:00Z"/>
          <w:sz w:val="22"/>
          <w:szCs w:val="22"/>
        </w:rPr>
        <w:pPrChange w:id="10270" w:author="AbbVie02no" w:date="2025-05-15T13:45:00Z">
          <w:pPr/>
        </w:pPrChange>
      </w:pPr>
      <w:del w:id="10271" w:author="AbbVie02no" w:date="2025-05-15T13:45:00Z">
        <w:r w:rsidRPr="00193D76">
          <w:rPr>
            <w:sz w:val="22"/>
            <w:szCs w:val="22"/>
          </w:rPr>
          <w:delText>Effekten av Humira ble undersøkt i en randomisert, dobbel</w:delText>
        </w:r>
        <w:r w:rsidRPr="002D0790">
          <w:rPr>
            <w:sz w:val="22"/>
            <w:szCs w:val="22"/>
          </w:rPr>
          <w:delText xml:space="preserve">tblindet, kontrollert studie med 114 pediatriske pasienter fra alderen 4 år med alvorlig kronisk plakkpsoriasis (definert </w:delText>
        </w:r>
        <w:r w:rsidRPr="00E14E58">
          <w:rPr>
            <w:sz w:val="22"/>
            <w:szCs w:val="22"/>
          </w:rPr>
          <w:delText>ved</w:delText>
        </w:r>
        <w:r w:rsidRPr="009C5EFD">
          <w:rPr>
            <w:sz w:val="22"/>
            <w:szCs w:val="22"/>
          </w:rPr>
          <w:delText xml:space="preserve"> PGA ≥ 4 eller &gt; 20 % BSA eller &gt; 10 % BSA inkludert veldig tykke lesjoner eller PASI ≥ 20 eller PASI ≥ 10 inkludert klinisk relevant påvirkning av ansikt, genitalia eller hånd/fot)</w:delText>
        </w:r>
        <w:r w:rsidRPr="009C5EFD">
          <w:rPr>
            <w:color w:val="FF0000"/>
            <w:sz w:val="22"/>
            <w:szCs w:val="22"/>
          </w:rPr>
          <w:delText xml:space="preserve"> </w:delText>
        </w:r>
        <w:r w:rsidRPr="009C5EFD">
          <w:rPr>
            <w:sz w:val="22"/>
            <w:szCs w:val="22"/>
          </w:rPr>
          <w:delText xml:space="preserve">som var utilstrekkelig behandlet med topikal behandling og helioterapi eller </w:delText>
        </w:r>
        <w:r>
          <w:rPr>
            <w:sz w:val="22"/>
            <w:szCs w:val="22"/>
          </w:rPr>
          <w:delText>lysbehandling</w:delText>
        </w:r>
        <w:r w:rsidRPr="009C5EFD">
          <w:rPr>
            <w:sz w:val="22"/>
            <w:szCs w:val="22"/>
          </w:rPr>
          <w:delText>.</w:delText>
        </w:r>
        <w:r w:rsidRPr="009C5EFD">
          <w:rPr>
            <w:color w:val="FF0000"/>
            <w:sz w:val="22"/>
            <w:szCs w:val="22"/>
          </w:rPr>
          <w:delText xml:space="preserve"> </w:delText>
        </w:r>
      </w:del>
    </w:p>
    <w:p w14:paraId="36CBD291" w14:textId="4712371F" w:rsidR="002F0483" w:rsidRPr="009C5EFD" w:rsidRDefault="002F0483">
      <w:pPr>
        <w:keepNext/>
        <w:suppressAutoHyphens/>
        <w:rPr>
          <w:del w:id="10272" w:author="AbbVie02no" w:date="2025-05-15T13:45:00Z"/>
          <w:sz w:val="22"/>
          <w:szCs w:val="22"/>
        </w:rPr>
        <w:pPrChange w:id="10273" w:author="AbbVie02no" w:date="2025-05-15T13:45:00Z">
          <w:pPr>
            <w:tabs>
              <w:tab w:val="left" w:pos="5820"/>
            </w:tabs>
          </w:pPr>
        </w:pPrChange>
      </w:pPr>
    </w:p>
    <w:p w14:paraId="4459CD82" w14:textId="23B09118" w:rsidR="002F0483" w:rsidRPr="009C5EFD" w:rsidRDefault="00E453CD">
      <w:pPr>
        <w:keepNext/>
        <w:suppressAutoHyphens/>
        <w:rPr>
          <w:del w:id="10274" w:author="AbbVie02no" w:date="2025-05-15T13:45:00Z"/>
          <w:sz w:val="22"/>
          <w:szCs w:val="22"/>
        </w:rPr>
        <w:pPrChange w:id="10275" w:author="AbbVie02no" w:date="2025-05-15T13:45:00Z">
          <w:pPr/>
        </w:pPrChange>
      </w:pPr>
      <w:del w:id="10276" w:author="AbbVie02no" w:date="2025-05-15T13:45:00Z">
        <w:r w:rsidRPr="009C5EFD">
          <w:rPr>
            <w:sz w:val="22"/>
            <w:szCs w:val="22"/>
          </w:rPr>
          <w:delText>Pasientene fikk enten Humira 0,8 mg/kg annenhver uke (opptil 40 mg), 0,4 mg/kg annenhver uke (opptil 20 mg) eller metotreksat 0,1 – 0,4 mg/kg ukentlig (opptil 25 mg). Ved uke 16, hadde flere pasienter randomisert til Humira 0,8 mg/kg positiv respons (f.eks. PASI 75) sammenlignet med de som ble randomisert til gruppen med 0,4 mg/kg annenhver uke eller metotreksat.</w:delText>
        </w:r>
      </w:del>
    </w:p>
    <w:p w14:paraId="442DBCFB" w14:textId="47BB01E3" w:rsidR="002F0483" w:rsidRPr="009C5EFD" w:rsidRDefault="002F0483">
      <w:pPr>
        <w:keepNext/>
        <w:suppressAutoHyphens/>
        <w:rPr>
          <w:del w:id="10277" w:author="AbbVie02no" w:date="2025-05-15T13:45:00Z"/>
          <w:sz w:val="22"/>
          <w:szCs w:val="22"/>
        </w:rPr>
        <w:pPrChange w:id="10278" w:author="AbbVie02no" w:date="2025-05-15T13:45:00Z">
          <w:pPr/>
        </w:pPrChange>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387"/>
        <w:gridCol w:w="1627"/>
        <w:gridCol w:w="3068"/>
      </w:tblGrid>
      <w:tr w:rsidR="004644D4" w14:paraId="281B1BB4" w14:textId="6BF32C2D" w:rsidTr="002F0483">
        <w:trPr>
          <w:jc w:val="center"/>
          <w:del w:id="10279" w:author="AbbVie02no" w:date="2025-05-15T13:45:00Z"/>
        </w:trPr>
        <w:tc>
          <w:tcPr>
            <w:tcW w:w="5000" w:type="pct"/>
            <w:gridSpan w:val="3"/>
            <w:tcBorders>
              <w:top w:val="nil"/>
              <w:left w:val="nil"/>
              <w:bottom w:val="nil"/>
              <w:right w:val="nil"/>
            </w:tcBorders>
            <w:vAlign w:val="center"/>
          </w:tcPr>
          <w:p w14:paraId="29B7D156" w14:textId="2FB31965" w:rsidR="002F0483" w:rsidRPr="009C5EFD" w:rsidRDefault="00E453CD">
            <w:pPr>
              <w:keepNext/>
              <w:suppressAutoHyphens/>
              <w:rPr>
                <w:del w:id="10280" w:author="AbbVie02no" w:date="2025-05-15T13:45:00Z"/>
                <w:b/>
                <w:bCs/>
                <w:sz w:val="22"/>
                <w:szCs w:val="22"/>
              </w:rPr>
              <w:pPrChange w:id="10281" w:author="AbbVie02no" w:date="2025-05-15T13:45:00Z">
                <w:pPr>
                  <w:keepNext/>
                  <w:autoSpaceDE w:val="0"/>
                  <w:autoSpaceDN w:val="0"/>
                  <w:adjustRightInd w:val="0"/>
                  <w:jc w:val="center"/>
                </w:pPr>
              </w:pPrChange>
            </w:pPr>
            <w:del w:id="10282" w:author="AbbVie02no" w:date="2025-05-15T13:45:00Z">
              <w:r w:rsidRPr="009C5EFD">
                <w:rPr>
                  <w:rStyle w:val="gtcbold9"/>
                  <w:sz w:val="22"/>
                  <w:szCs w:val="22"/>
                </w:rPr>
                <w:delText xml:space="preserve">Tabell </w:delText>
              </w:r>
              <w:r>
                <w:rPr>
                  <w:rStyle w:val="gtcbold9"/>
                  <w:sz w:val="22"/>
                  <w:szCs w:val="22"/>
                </w:rPr>
                <w:delText>27:</w:delText>
              </w:r>
              <w:r w:rsidRPr="009C5EFD">
                <w:rPr>
                  <w:rStyle w:val="gtcbold9"/>
                  <w:sz w:val="22"/>
                  <w:szCs w:val="22"/>
                </w:rPr>
                <w:delText xml:space="preserve"> </w:delText>
              </w:r>
              <w:r w:rsidRPr="007F67EE">
                <w:rPr>
                  <w:b/>
                  <w:bCs/>
                  <w:sz w:val="22"/>
                  <w:szCs w:val="22"/>
                </w:rPr>
                <w:delText xml:space="preserve">Pediatrisk plakkpsoriasis </w:delText>
              </w:r>
              <w:r w:rsidRPr="00193D76">
                <w:rPr>
                  <w:b/>
                  <w:bCs/>
                  <w:sz w:val="22"/>
                  <w:szCs w:val="22"/>
                </w:rPr>
                <w:delText xml:space="preserve">– </w:delText>
              </w:r>
              <w:r>
                <w:rPr>
                  <w:b/>
                  <w:bCs/>
                  <w:sz w:val="22"/>
                  <w:szCs w:val="22"/>
                </w:rPr>
                <w:delText>effektresultater</w:delText>
              </w:r>
              <w:r w:rsidRPr="00E14E58">
                <w:rPr>
                  <w:b/>
                  <w:bCs/>
                  <w:sz w:val="22"/>
                  <w:szCs w:val="22"/>
                </w:rPr>
                <w:delText xml:space="preserve"> ved </w:delText>
              </w:r>
              <w:r w:rsidRPr="009C5EFD">
                <w:rPr>
                  <w:b/>
                  <w:bCs/>
                  <w:sz w:val="22"/>
                  <w:szCs w:val="22"/>
                </w:rPr>
                <w:delText>uke 16</w:delText>
              </w:r>
            </w:del>
          </w:p>
          <w:p w14:paraId="0BE69627" w14:textId="04E1F7FC" w:rsidR="002F0483" w:rsidRPr="009C5EFD" w:rsidRDefault="002F0483">
            <w:pPr>
              <w:keepNext/>
              <w:suppressAutoHyphens/>
              <w:rPr>
                <w:del w:id="10283" w:author="AbbVie02no" w:date="2025-05-15T13:45:00Z"/>
                <w:b/>
                <w:sz w:val="22"/>
                <w:szCs w:val="22"/>
              </w:rPr>
              <w:pPrChange w:id="10284" w:author="AbbVie02no" w:date="2025-05-15T13:45:00Z">
                <w:pPr>
                  <w:keepNext/>
                  <w:jc w:val="center"/>
                </w:pPr>
              </w:pPrChange>
            </w:pPr>
          </w:p>
        </w:tc>
      </w:tr>
      <w:tr w:rsidR="004644D4" w14:paraId="7BD35154" w14:textId="165412CE" w:rsidTr="002F0483">
        <w:trPr>
          <w:jc w:val="center"/>
          <w:del w:id="10285" w:author="AbbVie02no" w:date="2025-05-15T13:45:00Z"/>
        </w:trPr>
        <w:tc>
          <w:tcPr>
            <w:tcW w:w="0" w:type="auto"/>
            <w:tcBorders>
              <w:top w:val="single" w:sz="6" w:space="0" w:color="000000"/>
              <w:left w:val="single" w:sz="6" w:space="0" w:color="000000"/>
              <w:bottom w:val="outset" w:sz="6" w:space="0" w:color="auto"/>
              <w:right w:val="outset" w:sz="6" w:space="0" w:color="auto"/>
            </w:tcBorders>
            <w:vAlign w:val="center"/>
          </w:tcPr>
          <w:p w14:paraId="33029172" w14:textId="6AF2ABF0" w:rsidR="002F0483" w:rsidRPr="009C5EFD" w:rsidRDefault="002F0483">
            <w:pPr>
              <w:keepNext/>
              <w:suppressAutoHyphens/>
              <w:rPr>
                <w:del w:id="10286" w:author="AbbVie02no" w:date="2025-05-15T13:45:00Z"/>
                <w:sz w:val="22"/>
                <w:szCs w:val="22"/>
              </w:rPr>
              <w:pPrChange w:id="10287" w:author="AbbVie02no" w:date="2025-05-15T13:45:00Z">
                <w:pPr>
                  <w:keepNext/>
                </w:pPr>
              </w:pPrChange>
            </w:pPr>
          </w:p>
        </w:tc>
        <w:tc>
          <w:tcPr>
            <w:tcW w:w="0" w:type="auto"/>
            <w:tcBorders>
              <w:top w:val="single" w:sz="6" w:space="0" w:color="000000"/>
              <w:left w:val="single" w:sz="6" w:space="0" w:color="000000"/>
              <w:bottom w:val="outset" w:sz="6" w:space="0" w:color="auto"/>
              <w:right w:val="outset" w:sz="6" w:space="0" w:color="auto"/>
            </w:tcBorders>
            <w:vAlign w:val="center"/>
          </w:tcPr>
          <w:p w14:paraId="0492A014" w14:textId="4B7293B1" w:rsidR="002F0483" w:rsidRPr="009C5EFD" w:rsidRDefault="00E453CD">
            <w:pPr>
              <w:keepNext/>
              <w:suppressAutoHyphens/>
              <w:rPr>
                <w:del w:id="10288" w:author="AbbVie02no" w:date="2025-05-15T13:45:00Z"/>
                <w:sz w:val="22"/>
                <w:szCs w:val="22"/>
              </w:rPr>
              <w:pPrChange w:id="10289" w:author="AbbVie02no" w:date="2025-05-15T13:45:00Z">
                <w:pPr>
                  <w:keepNext/>
                  <w:jc w:val="center"/>
                </w:pPr>
              </w:pPrChange>
            </w:pPr>
            <w:del w:id="10290" w:author="AbbVie02no" w:date="2025-05-15T13:45:00Z">
              <w:r w:rsidRPr="009C5EFD">
                <w:rPr>
                  <w:sz w:val="22"/>
                  <w:szCs w:val="22"/>
                </w:rPr>
                <w:delText>MTX</w:delText>
              </w:r>
              <w:r w:rsidRPr="009C5EFD">
                <w:rPr>
                  <w:sz w:val="22"/>
                  <w:szCs w:val="22"/>
                  <w:vertAlign w:val="superscript"/>
                </w:rPr>
                <w:delText>a</w:delText>
              </w:r>
              <w:r w:rsidRPr="009C5EFD">
                <w:rPr>
                  <w:sz w:val="22"/>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0813D4B1" w14:textId="2776DEF5" w:rsidR="002F0483" w:rsidRPr="009C5EFD" w:rsidRDefault="00E453CD">
            <w:pPr>
              <w:keepNext/>
              <w:suppressAutoHyphens/>
              <w:rPr>
                <w:del w:id="10291" w:author="AbbVie02no" w:date="2025-05-15T13:45:00Z"/>
                <w:sz w:val="22"/>
                <w:szCs w:val="22"/>
                <w:lang w:val="pt-BR"/>
              </w:rPr>
              <w:pPrChange w:id="10292" w:author="AbbVie02no" w:date="2025-05-15T13:45:00Z">
                <w:pPr>
                  <w:keepNext/>
                  <w:jc w:val="center"/>
                </w:pPr>
              </w:pPrChange>
            </w:pPr>
            <w:del w:id="10293" w:author="AbbVie02no" w:date="2025-05-15T13:45:00Z">
              <w:r w:rsidRPr="009C5EFD">
                <w:rPr>
                  <w:sz w:val="22"/>
                  <w:szCs w:val="22"/>
                  <w:lang w:val="pt-BR"/>
                </w:rPr>
                <w:delText>Humira 0,8</w:delText>
              </w:r>
              <w:r>
                <w:rPr>
                  <w:sz w:val="22"/>
                  <w:szCs w:val="22"/>
                  <w:lang w:val="pt-BR"/>
                </w:rPr>
                <w:delText> </w:delText>
              </w:r>
              <w:r w:rsidRPr="009C5EFD">
                <w:rPr>
                  <w:sz w:val="22"/>
                  <w:szCs w:val="22"/>
                  <w:lang w:val="pt-BR"/>
                </w:rPr>
                <w:delText>mg/kg annenhver uke</w:delText>
              </w:r>
              <w:r w:rsidRPr="009C5EFD">
                <w:rPr>
                  <w:sz w:val="22"/>
                  <w:szCs w:val="22"/>
                  <w:lang w:val="pt-BR"/>
                </w:rPr>
                <w:br/>
                <w:delText xml:space="preserve">N=38 </w:delText>
              </w:r>
            </w:del>
          </w:p>
        </w:tc>
      </w:tr>
      <w:tr w:rsidR="004644D4" w14:paraId="2A49AC4F" w14:textId="33DB65AD" w:rsidTr="002F0483">
        <w:trPr>
          <w:jc w:val="center"/>
          <w:del w:id="10294" w:author="AbbVie02no" w:date="2025-05-15T13:45:00Z"/>
        </w:trPr>
        <w:tc>
          <w:tcPr>
            <w:tcW w:w="0" w:type="auto"/>
            <w:tcBorders>
              <w:top w:val="single" w:sz="6" w:space="0" w:color="000000"/>
              <w:left w:val="single" w:sz="6" w:space="0" w:color="000000"/>
              <w:bottom w:val="outset" w:sz="6" w:space="0" w:color="auto"/>
              <w:right w:val="outset" w:sz="6" w:space="0" w:color="auto"/>
            </w:tcBorders>
            <w:vAlign w:val="center"/>
          </w:tcPr>
          <w:p w14:paraId="74E40B35" w14:textId="4FF154A1" w:rsidR="002F0483" w:rsidRPr="002D0790" w:rsidRDefault="00E453CD">
            <w:pPr>
              <w:keepNext/>
              <w:suppressAutoHyphens/>
              <w:rPr>
                <w:del w:id="10295" w:author="AbbVie02no" w:date="2025-05-15T13:45:00Z"/>
                <w:sz w:val="22"/>
                <w:szCs w:val="22"/>
              </w:rPr>
              <w:pPrChange w:id="10296" w:author="AbbVie02no" w:date="2025-05-15T13:45:00Z">
                <w:pPr>
                  <w:keepNext/>
                </w:pPr>
              </w:pPrChange>
            </w:pPr>
            <w:del w:id="10297" w:author="AbbVie02no" w:date="2025-05-15T13:45:00Z">
              <w:r w:rsidRPr="007F67EE">
                <w:rPr>
                  <w:sz w:val="22"/>
                  <w:szCs w:val="22"/>
                </w:rPr>
                <w:delText> </w:delText>
              </w:r>
              <w:r w:rsidRPr="007F67EE">
                <w:rPr>
                  <w:sz w:val="22"/>
                  <w:szCs w:val="22"/>
                </w:rPr>
                <w:delText>PASI 75</w:delText>
              </w:r>
              <w:r w:rsidRPr="00193D76">
                <w:rPr>
                  <w:sz w:val="22"/>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6B8EEEA8" w14:textId="007774C2" w:rsidR="002F0483" w:rsidRPr="002D0790" w:rsidRDefault="00E453CD">
            <w:pPr>
              <w:keepNext/>
              <w:suppressAutoHyphens/>
              <w:rPr>
                <w:del w:id="10298" w:author="AbbVie02no" w:date="2025-05-15T13:45:00Z"/>
                <w:sz w:val="22"/>
                <w:szCs w:val="22"/>
              </w:rPr>
              <w:pPrChange w:id="10299" w:author="AbbVie02no" w:date="2025-05-15T13:45:00Z">
                <w:pPr>
                  <w:keepNext/>
                  <w:jc w:val="center"/>
                </w:pPr>
              </w:pPrChange>
            </w:pPr>
            <w:del w:id="10300" w:author="AbbVie02no" w:date="2025-05-15T13:45:00Z">
              <w:r w:rsidRPr="002D0790">
                <w:rPr>
                  <w:sz w:val="22"/>
                  <w:szCs w:val="22"/>
                </w:rPr>
                <w:delText>12 (32,4</w:delText>
              </w:r>
              <w:r>
                <w:rPr>
                  <w:sz w:val="22"/>
                  <w:szCs w:val="22"/>
                </w:rPr>
                <w:delText> </w:delText>
              </w:r>
              <w:r w:rsidRPr="002D0790">
                <w:rPr>
                  <w:sz w:val="22"/>
                  <w:szCs w:val="22"/>
                </w:rPr>
                <w:delText>%)</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65668D5A" w14:textId="0151A2B3" w:rsidR="002F0483" w:rsidRPr="00E14E58" w:rsidRDefault="00E453CD">
            <w:pPr>
              <w:keepNext/>
              <w:suppressAutoHyphens/>
              <w:rPr>
                <w:del w:id="10301" w:author="AbbVie02no" w:date="2025-05-15T13:45:00Z"/>
                <w:sz w:val="22"/>
                <w:szCs w:val="22"/>
              </w:rPr>
              <w:pPrChange w:id="10302" w:author="AbbVie02no" w:date="2025-05-15T13:45:00Z">
                <w:pPr>
                  <w:keepNext/>
                  <w:jc w:val="center"/>
                </w:pPr>
              </w:pPrChange>
            </w:pPr>
            <w:del w:id="10303" w:author="AbbVie02no" w:date="2025-05-15T13:45:00Z">
              <w:r w:rsidRPr="00E14E58">
                <w:rPr>
                  <w:sz w:val="22"/>
                  <w:szCs w:val="22"/>
                </w:rPr>
                <w:delText>22 (57,9</w:delText>
              </w:r>
              <w:r>
                <w:rPr>
                  <w:sz w:val="22"/>
                  <w:szCs w:val="22"/>
                </w:rPr>
                <w:delText> </w:delText>
              </w:r>
              <w:r w:rsidRPr="00E14E58">
                <w:rPr>
                  <w:sz w:val="22"/>
                  <w:szCs w:val="22"/>
                </w:rPr>
                <w:delText>%)</w:delText>
              </w:r>
            </w:del>
          </w:p>
        </w:tc>
      </w:tr>
      <w:tr w:rsidR="004644D4" w14:paraId="3E05AA3E" w14:textId="099FB745" w:rsidTr="002F0483">
        <w:trPr>
          <w:jc w:val="center"/>
          <w:del w:id="10304" w:author="AbbVie02no" w:date="2025-05-15T13:45:00Z"/>
        </w:trPr>
        <w:tc>
          <w:tcPr>
            <w:tcW w:w="0" w:type="auto"/>
            <w:tcBorders>
              <w:top w:val="single" w:sz="6" w:space="0" w:color="000000"/>
              <w:left w:val="single" w:sz="6" w:space="0" w:color="000000"/>
              <w:bottom w:val="single" w:sz="6" w:space="0" w:color="000000"/>
              <w:right w:val="outset" w:sz="6" w:space="0" w:color="auto"/>
            </w:tcBorders>
            <w:vAlign w:val="center"/>
          </w:tcPr>
          <w:p w14:paraId="67641AC7" w14:textId="0E9FA6F9" w:rsidR="002F0483" w:rsidRPr="009C5EFD" w:rsidRDefault="00E453CD">
            <w:pPr>
              <w:keepNext/>
              <w:suppressAutoHyphens/>
              <w:rPr>
                <w:del w:id="10305" w:author="AbbVie02no" w:date="2025-05-15T13:45:00Z"/>
                <w:sz w:val="22"/>
                <w:szCs w:val="22"/>
              </w:rPr>
              <w:pPrChange w:id="10306" w:author="AbbVie02no" w:date="2025-05-15T13:45:00Z">
                <w:pPr>
                  <w:keepNext/>
                </w:pPr>
              </w:pPrChange>
            </w:pPr>
            <w:del w:id="10307" w:author="AbbVie02no" w:date="2025-05-15T13:45:00Z">
              <w:r w:rsidRPr="007F67EE">
                <w:rPr>
                  <w:sz w:val="22"/>
                  <w:szCs w:val="22"/>
                </w:rPr>
                <w:delText> </w:delText>
              </w:r>
              <w:r w:rsidRPr="007F67EE">
                <w:rPr>
                  <w:sz w:val="22"/>
                  <w:szCs w:val="22"/>
                </w:rPr>
                <w:delText xml:space="preserve">PGA: </w:delText>
              </w:r>
              <w:r>
                <w:rPr>
                  <w:sz w:val="22"/>
                  <w:szCs w:val="22"/>
                </w:rPr>
                <w:delText>«</w:delText>
              </w:r>
              <w:r w:rsidRPr="002D0790">
                <w:rPr>
                  <w:sz w:val="22"/>
                  <w:szCs w:val="22"/>
                </w:rPr>
                <w:delText>Klar’</w:delText>
              </w:r>
              <w:r w:rsidRPr="00E14E58">
                <w:rPr>
                  <w:sz w:val="22"/>
                  <w:szCs w:val="22"/>
                </w:rPr>
                <w:delText>/minimal</w:delText>
              </w:r>
              <w:r w:rsidRPr="009C5EFD">
                <w:rPr>
                  <w:sz w:val="22"/>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06643A75" w14:textId="764B17CA" w:rsidR="002F0483" w:rsidRPr="009C5EFD" w:rsidRDefault="00E453CD">
            <w:pPr>
              <w:keepNext/>
              <w:suppressAutoHyphens/>
              <w:rPr>
                <w:del w:id="10308" w:author="AbbVie02no" w:date="2025-05-15T13:45:00Z"/>
                <w:sz w:val="22"/>
                <w:szCs w:val="22"/>
              </w:rPr>
              <w:pPrChange w:id="10309" w:author="AbbVie02no" w:date="2025-05-15T13:45:00Z">
                <w:pPr>
                  <w:keepNext/>
                  <w:jc w:val="center"/>
                </w:pPr>
              </w:pPrChange>
            </w:pPr>
            <w:del w:id="10310" w:author="AbbVie02no" w:date="2025-05-15T13:45:00Z">
              <w:r w:rsidRPr="009C5EFD">
                <w:rPr>
                  <w:sz w:val="22"/>
                  <w:szCs w:val="22"/>
                </w:rPr>
                <w:delText>15 (40,5</w:delText>
              </w:r>
              <w:r>
                <w:rPr>
                  <w:sz w:val="22"/>
                  <w:szCs w:val="22"/>
                </w:rPr>
                <w:delText> </w:delText>
              </w:r>
              <w:r w:rsidRPr="009C5EFD">
                <w:rPr>
                  <w:sz w:val="22"/>
                  <w:szCs w:val="22"/>
                </w:rPr>
                <w:delText>%)</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4E235F23" w14:textId="74916A16" w:rsidR="002F0483" w:rsidRPr="009C5EFD" w:rsidRDefault="00E453CD">
            <w:pPr>
              <w:keepNext/>
              <w:suppressAutoHyphens/>
              <w:rPr>
                <w:del w:id="10311" w:author="AbbVie02no" w:date="2025-05-15T13:45:00Z"/>
                <w:sz w:val="22"/>
                <w:szCs w:val="22"/>
              </w:rPr>
              <w:pPrChange w:id="10312" w:author="AbbVie02no" w:date="2025-05-15T13:45:00Z">
                <w:pPr>
                  <w:keepNext/>
                  <w:jc w:val="center"/>
                </w:pPr>
              </w:pPrChange>
            </w:pPr>
            <w:del w:id="10313" w:author="AbbVie02no" w:date="2025-05-15T13:45:00Z">
              <w:r w:rsidRPr="009C5EFD">
                <w:rPr>
                  <w:sz w:val="22"/>
                  <w:szCs w:val="22"/>
                </w:rPr>
                <w:delText>23 (60,5</w:delText>
              </w:r>
              <w:r>
                <w:rPr>
                  <w:sz w:val="22"/>
                  <w:szCs w:val="22"/>
                </w:rPr>
                <w:delText> </w:delText>
              </w:r>
              <w:r w:rsidRPr="009C5EFD">
                <w:rPr>
                  <w:sz w:val="22"/>
                  <w:szCs w:val="22"/>
                </w:rPr>
                <w:delText>%)</w:delText>
              </w:r>
            </w:del>
          </w:p>
        </w:tc>
      </w:tr>
      <w:tr w:rsidR="004644D4" w14:paraId="206633E6" w14:textId="7E00E382" w:rsidTr="002F0483">
        <w:trPr>
          <w:jc w:val="center"/>
          <w:del w:id="10314" w:author="AbbVie02no" w:date="2025-05-15T13:45: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7A60CEE8" w14:textId="27A7DE6C" w:rsidR="002F0483" w:rsidRPr="00E04B2A" w:rsidRDefault="00E453CD">
            <w:pPr>
              <w:keepNext/>
              <w:suppressAutoHyphens/>
              <w:rPr>
                <w:del w:id="10315" w:author="AbbVie02no" w:date="2025-05-15T13:45:00Z"/>
                <w:sz w:val="22"/>
                <w:szCs w:val="22"/>
              </w:rPr>
              <w:pPrChange w:id="10316" w:author="AbbVie02no" w:date="2025-05-15T13:45:00Z">
                <w:pPr>
                  <w:keepNext/>
                </w:pPr>
              </w:pPrChange>
            </w:pPr>
            <w:del w:id="10317" w:author="AbbVie02no" w:date="2025-05-15T13:45:00Z">
              <w:r w:rsidRPr="00E04B2A">
                <w:rPr>
                  <w:sz w:val="22"/>
                  <w:szCs w:val="22"/>
                  <w:vertAlign w:val="superscript"/>
                </w:rPr>
                <w:delText xml:space="preserve">a </w:delText>
              </w:r>
              <w:r w:rsidRPr="00E04B2A">
                <w:rPr>
                  <w:sz w:val="22"/>
                  <w:szCs w:val="22"/>
                </w:rPr>
                <w:delText>MTX = metotreksat</w:delText>
              </w:r>
            </w:del>
          </w:p>
          <w:p w14:paraId="6EEE97EF" w14:textId="15895ED9" w:rsidR="002F0483" w:rsidRPr="00E04B2A" w:rsidRDefault="00E453CD">
            <w:pPr>
              <w:keepNext/>
              <w:suppressAutoHyphens/>
              <w:rPr>
                <w:del w:id="10318" w:author="AbbVie02no" w:date="2025-05-15T13:45:00Z"/>
                <w:sz w:val="22"/>
                <w:szCs w:val="22"/>
              </w:rPr>
              <w:pPrChange w:id="10319" w:author="AbbVie02no" w:date="2025-05-15T13:45:00Z">
                <w:pPr>
                  <w:keepNext/>
                </w:pPr>
              </w:pPrChange>
            </w:pPr>
            <w:del w:id="10320" w:author="AbbVie02no" w:date="2025-05-15T13:45:00Z">
              <w:r w:rsidRPr="00E04B2A">
                <w:rPr>
                  <w:sz w:val="22"/>
                  <w:szCs w:val="22"/>
                  <w:vertAlign w:val="superscript"/>
                </w:rPr>
                <w:delText>b</w:delText>
              </w:r>
              <w:r w:rsidRPr="00E04B2A">
                <w:rPr>
                  <w:sz w:val="22"/>
                  <w:szCs w:val="22"/>
                </w:rPr>
                <w:delText xml:space="preserve"> p=0,027, Humira 0,8 mg/kg vs. MTX</w:delText>
              </w:r>
            </w:del>
          </w:p>
          <w:p w14:paraId="52479D31" w14:textId="146EE982" w:rsidR="002F0483" w:rsidRPr="001424DB" w:rsidRDefault="00E453CD">
            <w:pPr>
              <w:keepNext/>
              <w:suppressAutoHyphens/>
              <w:rPr>
                <w:del w:id="10321" w:author="AbbVie02no" w:date="2025-05-15T13:45:00Z"/>
                <w:sz w:val="22"/>
                <w:szCs w:val="22"/>
                <w:lang w:val="sv-SE"/>
              </w:rPr>
              <w:pPrChange w:id="10322" w:author="AbbVie02no" w:date="2025-05-15T13:45:00Z">
                <w:pPr>
                  <w:keepNext/>
                </w:pPr>
              </w:pPrChange>
            </w:pPr>
            <w:del w:id="10323" w:author="AbbVie02no" w:date="2025-05-15T13:45:00Z">
              <w:r w:rsidRPr="001424DB">
                <w:rPr>
                  <w:sz w:val="22"/>
                  <w:szCs w:val="22"/>
                  <w:vertAlign w:val="superscript"/>
                  <w:lang w:val="sv-SE"/>
                </w:rPr>
                <w:delText>c</w:delText>
              </w:r>
              <w:r w:rsidRPr="001424DB">
                <w:rPr>
                  <w:sz w:val="22"/>
                  <w:szCs w:val="22"/>
                  <w:lang w:val="sv-SE"/>
                </w:rPr>
                <w:delText xml:space="preserve"> p=0,083, Humira 0,8 mg/kg vs. MTX</w:delText>
              </w:r>
            </w:del>
          </w:p>
        </w:tc>
      </w:tr>
    </w:tbl>
    <w:p w14:paraId="0BE1C2E5" w14:textId="0324F6C7" w:rsidR="002F0483" w:rsidRPr="009C5EFD" w:rsidRDefault="002F0483">
      <w:pPr>
        <w:keepNext/>
        <w:suppressAutoHyphens/>
        <w:rPr>
          <w:del w:id="10324" w:author="AbbVie02no" w:date="2025-05-15T13:45:00Z"/>
          <w:sz w:val="22"/>
          <w:szCs w:val="22"/>
          <w:u w:val="single"/>
          <w:lang w:val="sv-SE"/>
        </w:rPr>
        <w:pPrChange w:id="10325" w:author="AbbVie02no" w:date="2025-05-15T13:45:00Z">
          <w:pPr/>
        </w:pPrChange>
      </w:pPr>
    </w:p>
    <w:p w14:paraId="6EFE717A" w14:textId="3A2C0F1A" w:rsidR="002F0483" w:rsidRPr="009C5EFD" w:rsidRDefault="00E453CD">
      <w:pPr>
        <w:keepNext/>
        <w:suppressAutoHyphens/>
        <w:rPr>
          <w:del w:id="10326" w:author="AbbVie02no" w:date="2025-05-15T13:45:00Z"/>
          <w:szCs w:val="22"/>
        </w:rPr>
        <w:pPrChange w:id="10327" w:author="AbbVie02no" w:date="2025-05-15T13:45:00Z">
          <w:pPr>
            <w:pStyle w:val="Heading8"/>
            <w:keepNext w:val="0"/>
          </w:pPr>
        </w:pPrChange>
      </w:pPr>
      <w:del w:id="10328" w:author="AbbVie02no" w:date="2025-05-15T13:45:00Z">
        <w:r w:rsidRPr="009C5EFD">
          <w:rPr>
            <w:szCs w:val="22"/>
          </w:rPr>
          <w:delText xml:space="preserve">Pasienter som oppnådde PASI 75 og PGA </w:delText>
        </w:r>
        <w:r>
          <w:rPr>
            <w:szCs w:val="22"/>
          </w:rPr>
          <w:delText>«</w:delText>
        </w:r>
        <w:r w:rsidRPr="009C5EFD">
          <w:rPr>
            <w:szCs w:val="22"/>
          </w:rPr>
          <w:delText xml:space="preserve">klar’ eller minimal fikk stoppet behandlingen i opptil 36 uker og ble overvåket for tap av sykdomskontroll (f.eks. foverring av PGA med minst 2 i score). Pasientene ble deretter re-behandlet med adalimumab 0,8 mg/kg annenhver uke i 16 tilleggsuker, og responsraten observert under re-behandling var tilsvarende funn fra </w:delText>
        </w:r>
        <w:r w:rsidRPr="009C5EFD">
          <w:rPr>
            <w:szCs w:val="22"/>
          </w:rPr>
          <w:lastRenderedPageBreak/>
          <w:delText xml:space="preserve">tidligere dobbeltblindet periode: PASI 75 respons på 78,9 % (15 av 19 personer) og PGA </w:delText>
        </w:r>
        <w:r>
          <w:rPr>
            <w:szCs w:val="22"/>
          </w:rPr>
          <w:delText>«</w:delText>
        </w:r>
        <w:r w:rsidRPr="009C5EFD">
          <w:rPr>
            <w:szCs w:val="22"/>
          </w:rPr>
          <w:delText>klar’ eller minimal på 52,6 % (10 av 19 personer).</w:delText>
        </w:r>
      </w:del>
    </w:p>
    <w:p w14:paraId="32544E8E" w14:textId="474C3668" w:rsidR="002F0483" w:rsidRPr="009C5EFD" w:rsidRDefault="002F0483">
      <w:pPr>
        <w:keepNext/>
        <w:suppressAutoHyphens/>
        <w:rPr>
          <w:del w:id="10329" w:author="AbbVie02no" w:date="2025-05-15T13:45:00Z"/>
          <w:sz w:val="22"/>
          <w:szCs w:val="22"/>
        </w:rPr>
        <w:pPrChange w:id="10330" w:author="AbbVie02no" w:date="2025-05-15T13:45:00Z">
          <w:pPr/>
        </w:pPrChange>
      </w:pPr>
    </w:p>
    <w:p w14:paraId="67567387" w14:textId="2FF30097" w:rsidR="002F0483" w:rsidRPr="009C5EFD" w:rsidRDefault="00E453CD">
      <w:pPr>
        <w:keepNext/>
        <w:suppressAutoHyphens/>
        <w:rPr>
          <w:del w:id="10331" w:author="AbbVie02no" w:date="2025-05-15T13:45:00Z"/>
        </w:rPr>
        <w:pPrChange w:id="10332" w:author="AbbVie02no" w:date="2025-05-15T13:45:00Z">
          <w:pPr/>
        </w:pPrChange>
      </w:pPr>
      <w:del w:id="10333" w:author="AbbVie02no" w:date="2025-05-15T13:45:00Z">
        <w:r w:rsidRPr="009C5EFD">
          <w:rPr>
            <w:sz w:val="22"/>
            <w:szCs w:val="22"/>
          </w:rPr>
          <w:delText xml:space="preserve">I den åpne perioden av studien, ble PASI 75 og PGA </w:delText>
        </w:r>
        <w:r>
          <w:rPr>
            <w:sz w:val="22"/>
            <w:szCs w:val="22"/>
          </w:rPr>
          <w:delText>«</w:delText>
        </w:r>
        <w:r w:rsidRPr="009C5EFD">
          <w:rPr>
            <w:sz w:val="22"/>
            <w:szCs w:val="22"/>
          </w:rPr>
          <w:delText>klar’ eller mininmal opprettholdt i en tilleggsperiode på 52 uker uten nye sikkerhetsfunn.</w:delText>
        </w:r>
      </w:del>
    </w:p>
    <w:p w14:paraId="7A9AE8FE" w14:textId="186A7E72" w:rsidR="002F0483" w:rsidRPr="009C5EFD" w:rsidRDefault="002F0483">
      <w:pPr>
        <w:keepNext/>
        <w:suppressAutoHyphens/>
        <w:rPr>
          <w:del w:id="10334" w:author="AbbVie02no" w:date="2025-05-15T13:45:00Z"/>
          <w:sz w:val="22"/>
          <w:szCs w:val="22"/>
          <w:u w:val="single"/>
        </w:rPr>
        <w:pPrChange w:id="10335" w:author="AbbVie02no" w:date="2025-05-15T13:45:00Z">
          <w:pPr/>
        </w:pPrChange>
      </w:pPr>
    </w:p>
    <w:p w14:paraId="23E94825" w14:textId="2C92FB2B" w:rsidR="00BB3E88" w:rsidRPr="00644328" w:rsidRDefault="00E453CD">
      <w:pPr>
        <w:keepNext/>
        <w:suppressAutoHyphens/>
        <w:rPr>
          <w:del w:id="10336" w:author="AbbVie02no" w:date="2025-05-15T13:45:00Z"/>
          <w:rFonts w:eastAsia="TimesNewRoman"/>
          <w:i/>
          <w:sz w:val="22"/>
          <w:szCs w:val="22"/>
        </w:rPr>
        <w:pPrChange w:id="10337" w:author="AbbVie02no" w:date="2025-05-15T13:45:00Z">
          <w:pPr>
            <w:keepNext/>
          </w:pPr>
        </w:pPrChange>
      </w:pPr>
      <w:del w:id="10338" w:author="AbbVie02no" w:date="2025-05-15T13:45:00Z">
        <w:r w:rsidRPr="00644328">
          <w:rPr>
            <w:rFonts w:eastAsia="TimesNewRoman"/>
            <w:i/>
            <w:sz w:val="22"/>
            <w:szCs w:val="22"/>
          </w:rPr>
          <w:delText>Hidrosadenitt hos ungdom</w:delText>
        </w:r>
      </w:del>
    </w:p>
    <w:p w14:paraId="47816E43" w14:textId="1DBA5B38" w:rsidR="00BB3E88" w:rsidRPr="00644328" w:rsidRDefault="00BB3E88">
      <w:pPr>
        <w:keepNext/>
        <w:suppressAutoHyphens/>
        <w:rPr>
          <w:del w:id="10339" w:author="AbbVie02no" w:date="2025-05-15T13:45:00Z"/>
          <w:rFonts w:eastAsia="TimesNewRoman"/>
          <w:i/>
          <w:sz w:val="22"/>
          <w:szCs w:val="22"/>
        </w:rPr>
        <w:pPrChange w:id="10340" w:author="AbbVie02no" w:date="2025-05-15T13:45:00Z">
          <w:pPr>
            <w:keepNext/>
          </w:pPr>
        </w:pPrChange>
      </w:pPr>
    </w:p>
    <w:p w14:paraId="4B6FCA5E" w14:textId="32712B5A" w:rsidR="00BB3E88" w:rsidRPr="00644328" w:rsidRDefault="00E453CD">
      <w:pPr>
        <w:keepNext/>
        <w:suppressAutoHyphens/>
        <w:rPr>
          <w:del w:id="10341" w:author="AbbVie02no" w:date="2025-05-15T13:45:00Z"/>
          <w:sz w:val="22"/>
          <w:szCs w:val="22"/>
        </w:rPr>
        <w:pPrChange w:id="10342" w:author="AbbVie02no" w:date="2025-05-15T13:45:00Z">
          <w:pPr/>
        </w:pPrChange>
      </w:pPr>
      <w:del w:id="10343" w:author="AbbVie02no" w:date="2025-05-15T13:45:00Z">
        <w:r w:rsidRPr="00644328">
          <w:rPr>
            <w:sz w:val="22"/>
            <w:szCs w:val="22"/>
          </w:rPr>
          <w:delText>Det finnes ingen kliniske studier med Humira hos ungdom med HS. Effekten av adalimumab for behandling av ungdom med HS er forventet basert på demonstrert effekt og eksponering-respons forhold hos voksne pasienter med HS og sannsynligheten for at sykdomsforløpet, patofysiologi og effekt av legemidlet er vesentlig lik som for voksne ved de samme eksponeringsnivåer. Sikkerheten av den anbefalte dosen for adalimumab hos ungdom med HS er basert på sikkerhetsprofilen observert på tvers av indikasjonene ved bruk hos både voksne og pediatriske pasienter ved lik eller hyppigere dosering (se pkt. 5.2).</w:delText>
        </w:r>
      </w:del>
    </w:p>
    <w:p w14:paraId="1AB363AC" w14:textId="3A98F22A" w:rsidR="00BB3E88" w:rsidRPr="00644328" w:rsidRDefault="00BB3E88">
      <w:pPr>
        <w:keepNext/>
        <w:suppressAutoHyphens/>
        <w:rPr>
          <w:del w:id="10344" w:author="AbbVie02no" w:date="2025-05-15T13:45:00Z"/>
          <w:sz w:val="22"/>
          <w:szCs w:val="22"/>
        </w:rPr>
        <w:pPrChange w:id="10345" w:author="AbbVie02no" w:date="2025-05-15T13:45:00Z">
          <w:pPr>
            <w:keepNext/>
          </w:pPr>
        </w:pPrChange>
      </w:pPr>
    </w:p>
    <w:p w14:paraId="6F038A0F" w14:textId="4109DD5C" w:rsidR="002F0483" w:rsidRPr="001F5D4B" w:rsidRDefault="00E453CD">
      <w:pPr>
        <w:keepNext/>
        <w:suppressAutoHyphens/>
        <w:rPr>
          <w:del w:id="10346" w:author="AbbVie02no" w:date="2025-05-15T13:45:00Z"/>
          <w:i/>
          <w:sz w:val="22"/>
          <w:szCs w:val="22"/>
        </w:rPr>
        <w:pPrChange w:id="10347" w:author="AbbVie02no" w:date="2025-05-15T13:45:00Z">
          <w:pPr>
            <w:keepNext/>
          </w:pPr>
        </w:pPrChange>
      </w:pPr>
      <w:del w:id="10348" w:author="AbbVie02no" w:date="2025-05-15T13:45:00Z">
        <w:r w:rsidRPr="001F5D4B">
          <w:rPr>
            <w:i/>
            <w:sz w:val="22"/>
            <w:szCs w:val="22"/>
          </w:rPr>
          <w:delText>Pediatrisk Crohns sykdom</w:delText>
        </w:r>
      </w:del>
    </w:p>
    <w:p w14:paraId="75D453B6" w14:textId="327DF627" w:rsidR="002F0483" w:rsidRPr="007F67EE" w:rsidRDefault="002F0483">
      <w:pPr>
        <w:keepNext/>
        <w:suppressAutoHyphens/>
        <w:rPr>
          <w:del w:id="10349" w:author="AbbVie02no" w:date="2025-05-15T13:45:00Z"/>
          <w:sz w:val="22"/>
          <w:szCs w:val="22"/>
          <w:u w:val="single"/>
        </w:rPr>
        <w:pPrChange w:id="10350" w:author="AbbVie02no" w:date="2025-05-15T13:45:00Z">
          <w:pPr>
            <w:keepNext/>
          </w:pPr>
        </w:pPrChange>
      </w:pPr>
    </w:p>
    <w:p w14:paraId="6D9C6D78" w14:textId="6C0A5BC1" w:rsidR="002F0483" w:rsidRPr="009C5EFD" w:rsidRDefault="00E453CD">
      <w:pPr>
        <w:keepNext/>
        <w:suppressAutoHyphens/>
        <w:rPr>
          <w:del w:id="10351" w:author="AbbVie02no" w:date="2025-05-15T13:45:00Z"/>
          <w:sz w:val="22"/>
          <w:szCs w:val="22"/>
        </w:rPr>
        <w:pPrChange w:id="10352" w:author="AbbVie02no" w:date="2025-05-15T13:45:00Z">
          <w:pPr/>
        </w:pPrChange>
      </w:pPr>
      <w:del w:id="10353" w:author="AbbVie02no" w:date="2025-05-15T13:45:00Z">
        <w:r w:rsidRPr="00193D76">
          <w:rPr>
            <w:sz w:val="22"/>
            <w:szCs w:val="22"/>
          </w:rPr>
          <w:delText>Humira ble vurdert i en multisenter, randomisert</w:delText>
        </w:r>
        <w:r w:rsidRPr="002D0790">
          <w:rPr>
            <w:sz w:val="22"/>
            <w:szCs w:val="22"/>
          </w:rPr>
          <w:delText>, dobbeltblindet</w:delText>
        </w:r>
        <w:r w:rsidRPr="00E14E58">
          <w:rPr>
            <w:sz w:val="22"/>
            <w:szCs w:val="22"/>
          </w:rPr>
          <w:delText xml:space="preserve"> klinisk studie designet for å </w:delText>
        </w:r>
        <w:r w:rsidR="00421CF7">
          <w:rPr>
            <w:sz w:val="22"/>
            <w:szCs w:val="22"/>
          </w:rPr>
          <w:delText xml:space="preserve">vurdere </w:delText>
        </w:r>
        <w:r w:rsidRPr="00E14E58">
          <w:rPr>
            <w:sz w:val="22"/>
            <w:szCs w:val="22"/>
          </w:rPr>
          <w:delText xml:space="preserve">effekt og sikkerhet av </w:delText>
        </w:r>
        <w:r w:rsidRPr="009C5EFD">
          <w:rPr>
            <w:sz w:val="22"/>
            <w:szCs w:val="22"/>
          </w:rPr>
          <w:delText>induksjons- og vedlikeholdsbehandling med doser avhenging av kroppsvekt (&lt;</w:delText>
        </w:r>
        <w:r>
          <w:rPr>
            <w:sz w:val="22"/>
            <w:szCs w:val="22"/>
          </w:rPr>
          <w:delText> </w:delText>
        </w:r>
        <w:r w:rsidRPr="009C5EFD">
          <w:rPr>
            <w:sz w:val="22"/>
            <w:szCs w:val="22"/>
          </w:rPr>
          <w:delText>40 kg eller ≥ 40 kg) hos 192 pediatriske pasienter i alderen mellom 6 og 17 år (inklusiv) med moderat til alvorlig Crohns sykdom (CD), definert som Pediatri</w:delText>
        </w:r>
        <w:r>
          <w:rPr>
            <w:sz w:val="22"/>
            <w:szCs w:val="22"/>
          </w:rPr>
          <w:delText>c</w:delText>
        </w:r>
        <w:r w:rsidRPr="009C5EFD">
          <w:rPr>
            <w:sz w:val="22"/>
            <w:szCs w:val="22"/>
          </w:rPr>
          <w:delText xml:space="preserve"> Crohn</w:delText>
        </w:r>
        <w:r>
          <w:rPr>
            <w:sz w:val="22"/>
            <w:szCs w:val="22"/>
          </w:rPr>
          <w:delText>’</w:delText>
        </w:r>
        <w:r w:rsidRPr="009C5EFD">
          <w:rPr>
            <w:sz w:val="22"/>
            <w:szCs w:val="22"/>
          </w:rPr>
          <w:delText>s</w:delText>
        </w:r>
        <w:r w:rsidRPr="008138BF">
          <w:delText xml:space="preserve"> </w:delText>
        </w:r>
        <w:r w:rsidRPr="008138BF">
          <w:rPr>
            <w:sz w:val="22"/>
            <w:szCs w:val="22"/>
          </w:rPr>
          <w:delText xml:space="preserve">Disease </w:delText>
        </w:r>
        <w:r w:rsidRPr="009C5EFD">
          <w:rPr>
            <w:sz w:val="22"/>
            <w:szCs w:val="22"/>
          </w:rPr>
          <w:delText xml:space="preserve">Activity Index (PCDAI) score &gt; 30. Pasientene måtte ha mislyktes på </w:delText>
        </w:r>
        <w:r>
          <w:rPr>
            <w:sz w:val="22"/>
            <w:szCs w:val="22"/>
          </w:rPr>
          <w:delText>konvensjonell behandling</w:delText>
        </w:r>
        <w:r w:rsidRPr="009C5EFD">
          <w:rPr>
            <w:sz w:val="22"/>
            <w:szCs w:val="22"/>
          </w:rPr>
          <w:delText xml:space="preserve"> (inkludert et </w:delText>
        </w:r>
        <w:r w:rsidRPr="009C5EFD">
          <w:rPr>
            <w:sz w:val="22"/>
            <w:szCs w:val="22"/>
          </w:rPr>
          <w:lastRenderedPageBreak/>
          <w:delText>kortikosteroid og/eller et immunmodulerende middel) for CD. Pasientene kan også tidligere ha mistet respons eller vært intolerante overfor infliksimab.</w:delText>
        </w:r>
      </w:del>
    </w:p>
    <w:p w14:paraId="25207447" w14:textId="646EF40C" w:rsidR="002F0483" w:rsidRPr="009C5EFD" w:rsidRDefault="002F0483">
      <w:pPr>
        <w:keepNext/>
        <w:suppressAutoHyphens/>
        <w:rPr>
          <w:del w:id="10354" w:author="AbbVie02no" w:date="2025-05-15T13:45:00Z"/>
          <w:sz w:val="22"/>
          <w:szCs w:val="22"/>
        </w:rPr>
        <w:pPrChange w:id="10355" w:author="AbbVie02no" w:date="2025-05-15T13:45:00Z">
          <w:pPr/>
        </w:pPrChange>
      </w:pPr>
    </w:p>
    <w:p w14:paraId="69199FFB" w14:textId="6E494CD1" w:rsidR="002F0483" w:rsidRPr="009C5EFD" w:rsidRDefault="00E453CD">
      <w:pPr>
        <w:keepNext/>
        <w:suppressAutoHyphens/>
        <w:rPr>
          <w:del w:id="10356" w:author="AbbVie02no" w:date="2025-05-15T13:45:00Z"/>
          <w:sz w:val="22"/>
          <w:szCs w:val="22"/>
        </w:rPr>
        <w:pPrChange w:id="10357" w:author="AbbVie02no" w:date="2025-05-15T13:45:00Z">
          <w:pPr/>
        </w:pPrChange>
      </w:pPr>
      <w:del w:id="10358" w:author="AbbVie02no" w:date="2025-05-15T13:45:00Z">
        <w:r w:rsidRPr="009C5EFD">
          <w:rPr>
            <w:sz w:val="22"/>
            <w:szCs w:val="22"/>
          </w:rPr>
          <w:delText>Alle pasienter fikk åpen induksjonsbehandling med en dose basert på deres baseline kroppsvekt: 160 mg ved uke 0 og 80 mg ved uke 2 for pasienter ≥ 40 kg, og henholdsvis 80 mg og 40 mg for pasienter &lt; 40 kg.</w:delText>
        </w:r>
      </w:del>
    </w:p>
    <w:p w14:paraId="171B585F" w14:textId="0D14DC4C" w:rsidR="002F0483" w:rsidRPr="009C5EFD" w:rsidRDefault="002F0483">
      <w:pPr>
        <w:keepNext/>
        <w:suppressAutoHyphens/>
        <w:rPr>
          <w:del w:id="10359" w:author="AbbVie02no" w:date="2025-05-15T13:45:00Z"/>
          <w:sz w:val="22"/>
          <w:szCs w:val="22"/>
        </w:rPr>
        <w:pPrChange w:id="10360" w:author="AbbVie02no" w:date="2025-05-15T13:45:00Z">
          <w:pPr/>
        </w:pPrChange>
      </w:pPr>
    </w:p>
    <w:p w14:paraId="0F19F57A" w14:textId="009E1506" w:rsidR="002F0483" w:rsidRPr="009C5EFD" w:rsidRDefault="00E453CD">
      <w:pPr>
        <w:keepNext/>
        <w:suppressAutoHyphens/>
        <w:rPr>
          <w:del w:id="10361" w:author="AbbVie02no" w:date="2025-05-15T13:45:00Z"/>
          <w:sz w:val="22"/>
          <w:szCs w:val="22"/>
        </w:rPr>
        <w:pPrChange w:id="10362" w:author="AbbVie02no" w:date="2025-05-15T13:45:00Z">
          <w:pPr/>
        </w:pPrChange>
      </w:pPr>
      <w:del w:id="10363" w:author="AbbVie02no" w:date="2025-05-15T13:45:00Z">
        <w:r w:rsidRPr="009C5EFD">
          <w:rPr>
            <w:sz w:val="22"/>
            <w:szCs w:val="22"/>
          </w:rPr>
          <w:delText>Ved uke 4 ble pasientene randomisert til vedlikeholdsbehandling 1:1 basert på deres kroppsvekt til enten lav dose eller standard dose som vist i tabell 2</w:delText>
        </w:r>
        <w:r>
          <w:rPr>
            <w:sz w:val="22"/>
            <w:szCs w:val="22"/>
          </w:rPr>
          <w:delText>8</w:delText>
        </w:r>
        <w:r w:rsidRPr="009C5EFD">
          <w:rPr>
            <w:sz w:val="22"/>
            <w:szCs w:val="22"/>
          </w:rPr>
          <w:delText>.</w:delText>
        </w:r>
      </w:del>
    </w:p>
    <w:p w14:paraId="71EB0F4D" w14:textId="4B994931" w:rsidR="002F0483" w:rsidRDefault="002F0483">
      <w:pPr>
        <w:keepNext/>
        <w:suppressAutoHyphens/>
        <w:rPr>
          <w:del w:id="10364" w:author="AbbVie02no" w:date="2025-05-15T13:45:00Z"/>
          <w:sz w:val="22"/>
          <w:szCs w:val="22"/>
        </w:rPr>
        <w:pPrChange w:id="10365" w:author="AbbVie02no" w:date="2025-05-15T13:45:00Z">
          <w:pPr/>
        </w:pPrChange>
      </w:pPr>
    </w:p>
    <w:p w14:paraId="61B6EFD6" w14:textId="4003346E" w:rsidR="002F0483" w:rsidRPr="00090EDA" w:rsidRDefault="00E453CD">
      <w:pPr>
        <w:keepNext/>
        <w:suppressAutoHyphens/>
        <w:rPr>
          <w:del w:id="10366" w:author="AbbVie02no" w:date="2025-05-15T13:45:00Z"/>
          <w:b/>
          <w:rPrChange w:id="10367" w:author="AbbVie04no" w:date="2025-09-09T10:16:00Z" w16du:dateUtc="2025-09-09T08:16:00Z">
            <w:rPr>
              <w:del w:id="10368" w:author="AbbVie02no" w:date="2025-05-15T13:45:00Z"/>
              <w:b/>
              <w:lang w:val="en-GB"/>
            </w:rPr>
          </w:rPrChange>
        </w:rPr>
        <w:pPrChange w:id="10369" w:author="AbbVie02no" w:date="2025-05-15T13:45:00Z">
          <w:pPr>
            <w:pStyle w:val="EMEANormal"/>
            <w:jc w:val="center"/>
          </w:pPr>
        </w:pPrChange>
      </w:pPr>
      <w:del w:id="10370" w:author="AbbVie02no" w:date="2025-05-15T13:45:00Z">
        <w:r w:rsidRPr="00090EDA">
          <w:rPr>
            <w:b/>
            <w:rPrChange w:id="10371" w:author="AbbVie04no" w:date="2025-09-09T10:16:00Z" w16du:dateUtc="2025-09-09T08:16:00Z">
              <w:rPr>
                <w:b/>
                <w:lang w:val="en-GB"/>
              </w:rPr>
            </w:rPrChange>
          </w:rPr>
          <w:delText>Tabell 28</w:delText>
        </w:r>
      </w:del>
    </w:p>
    <w:p w14:paraId="421BD01D" w14:textId="3D982548" w:rsidR="002F0483" w:rsidRPr="00090EDA" w:rsidRDefault="00E453CD">
      <w:pPr>
        <w:keepNext/>
        <w:suppressAutoHyphens/>
        <w:rPr>
          <w:del w:id="10372" w:author="AbbVie02no" w:date="2025-05-15T13:45:00Z"/>
          <w:b/>
          <w:rPrChange w:id="10373" w:author="AbbVie04no" w:date="2025-09-09T10:16:00Z" w16du:dateUtc="2025-09-09T08:16:00Z">
            <w:rPr>
              <w:del w:id="10374" w:author="AbbVie02no" w:date="2025-05-15T13:45:00Z"/>
              <w:b/>
              <w:lang w:val="en-GB"/>
            </w:rPr>
          </w:rPrChange>
        </w:rPr>
        <w:pPrChange w:id="10375" w:author="AbbVie02no" w:date="2025-05-15T13:45:00Z">
          <w:pPr>
            <w:pStyle w:val="EMEANormal"/>
            <w:jc w:val="center"/>
          </w:pPr>
        </w:pPrChange>
      </w:pPr>
      <w:del w:id="10376" w:author="AbbVie02no" w:date="2025-05-15T13:45:00Z">
        <w:r w:rsidRPr="00090EDA">
          <w:rPr>
            <w:b/>
            <w:rPrChange w:id="10377" w:author="AbbVie04no" w:date="2025-09-09T10:16:00Z" w16du:dateUtc="2025-09-09T08:16:00Z">
              <w:rPr>
                <w:b/>
                <w:lang w:val="en-GB"/>
              </w:rPr>
            </w:rPrChange>
          </w:rPr>
          <w:delText>Vedlikeholdsbehandling</w:delText>
        </w:r>
      </w:del>
    </w:p>
    <w:p w14:paraId="400BCD8A" w14:textId="10DB01F7" w:rsidR="00BA47BC" w:rsidRPr="00090EDA" w:rsidRDefault="00BA47BC">
      <w:pPr>
        <w:keepNext/>
        <w:suppressAutoHyphens/>
        <w:rPr>
          <w:del w:id="10378" w:author="AbbVie02no" w:date="2025-05-15T13:45:00Z"/>
          <w:b/>
          <w:rPrChange w:id="10379" w:author="AbbVie04no" w:date="2025-09-09T10:16:00Z" w16du:dateUtc="2025-09-09T08:16:00Z">
            <w:rPr>
              <w:del w:id="10380" w:author="AbbVie02no" w:date="2025-05-15T13:45:00Z"/>
              <w:b/>
              <w:lang w:val="en-GB"/>
            </w:rPr>
          </w:rPrChange>
        </w:rPr>
        <w:pPrChange w:id="10381" w:author="AbbVie02no" w:date="2025-05-15T13:45:00Z">
          <w:pPr>
            <w:pStyle w:val="EMEANormal"/>
            <w:jc w:val="center"/>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2289"/>
        <w:gridCol w:w="2289"/>
      </w:tblGrid>
      <w:tr w:rsidR="004644D4" w14:paraId="7CBFF90D" w14:textId="63052025" w:rsidTr="002F0483">
        <w:trPr>
          <w:jc w:val="center"/>
          <w:del w:id="10382" w:author="AbbVie02no" w:date="2025-05-15T13:45:00Z"/>
        </w:trPr>
        <w:tc>
          <w:tcPr>
            <w:tcW w:w="0" w:type="auto"/>
          </w:tcPr>
          <w:p w14:paraId="1FD8FB48" w14:textId="4F514914" w:rsidR="002F0483" w:rsidRPr="00090EDA" w:rsidRDefault="00E453CD">
            <w:pPr>
              <w:keepNext/>
              <w:suppressAutoHyphens/>
              <w:rPr>
                <w:del w:id="10383" w:author="AbbVie02no" w:date="2025-05-15T13:45:00Z"/>
                <w:b/>
                <w:rPrChange w:id="10384" w:author="AbbVie04no" w:date="2025-09-09T10:16:00Z" w16du:dateUtc="2025-09-09T08:16:00Z">
                  <w:rPr>
                    <w:del w:id="10385" w:author="AbbVie02no" w:date="2025-05-15T13:45:00Z"/>
                    <w:b/>
                    <w:lang w:val="en-GB"/>
                  </w:rPr>
                </w:rPrChange>
              </w:rPr>
              <w:pPrChange w:id="10386" w:author="AbbVie02no" w:date="2025-05-15T13:45:00Z">
                <w:pPr>
                  <w:pStyle w:val="EMEANormal"/>
                </w:pPr>
              </w:pPrChange>
            </w:pPr>
            <w:del w:id="10387" w:author="AbbVie02no" w:date="2025-05-15T13:45:00Z">
              <w:r w:rsidRPr="00090EDA">
                <w:rPr>
                  <w:b/>
                  <w:rPrChange w:id="10388" w:author="AbbVie04no" w:date="2025-09-09T10:16:00Z" w16du:dateUtc="2025-09-09T08:16:00Z">
                    <w:rPr>
                      <w:b/>
                      <w:lang w:val="en-GB"/>
                    </w:rPr>
                  </w:rPrChange>
                </w:rPr>
                <w:delText>Pasient vekt</w:delText>
              </w:r>
            </w:del>
          </w:p>
        </w:tc>
        <w:tc>
          <w:tcPr>
            <w:tcW w:w="0" w:type="auto"/>
          </w:tcPr>
          <w:p w14:paraId="622CABF5" w14:textId="0A7546D9" w:rsidR="002F0483" w:rsidRPr="00090EDA" w:rsidRDefault="00E453CD">
            <w:pPr>
              <w:keepNext/>
              <w:suppressAutoHyphens/>
              <w:rPr>
                <w:del w:id="10389" w:author="AbbVie02no" w:date="2025-05-15T13:45:00Z"/>
                <w:b/>
                <w:rPrChange w:id="10390" w:author="AbbVie04no" w:date="2025-09-09T10:16:00Z" w16du:dateUtc="2025-09-09T08:16:00Z">
                  <w:rPr>
                    <w:del w:id="10391" w:author="AbbVie02no" w:date="2025-05-15T13:45:00Z"/>
                    <w:b/>
                    <w:lang w:val="en-GB"/>
                  </w:rPr>
                </w:rPrChange>
              </w:rPr>
              <w:pPrChange w:id="10392" w:author="AbbVie02no" w:date="2025-05-15T13:45:00Z">
                <w:pPr>
                  <w:pStyle w:val="EMEANormal"/>
                </w:pPr>
              </w:pPrChange>
            </w:pPr>
            <w:del w:id="10393" w:author="AbbVie02no" w:date="2025-05-15T13:45:00Z">
              <w:r w:rsidRPr="00090EDA">
                <w:rPr>
                  <w:b/>
                  <w:rPrChange w:id="10394" w:author="AbbVie04no" w:date="2025-09-09T10:16:00Z" w16du:dateUtc="2025-09-09T08:16:00Z">
                    <w:rPr>
                      <w:b/>
                      <w:lang w:val="en-GB"/>
                    </w:rPr>
                  </w:rPrChange>
                </w:rPr>
                <w:delText>Lav dose</w:delText>
              </w:r>
            </w:del>
          </w:p>
        </w:tc>
        <w:tc>
          <w:tcPr>
            <w:tcW w:w="0" w:type="auto"/>
          </w:tcPr>
          <w:p w14:paraId="66CDB5AF" w14:textId="345604DB" w:rsidR="002F0483" w:rsidRPr="00090EDA" w:rsidRDefault="00E453CD">
            <w:pPr>
              <w:keepNext/>
              <w:suppressAutoHyphens/>
              <w:rPr>
                <w:del w:id="10395" w:author="AbbVie02no" w:date="2025-05-15T13:45:00Z"/>
                <w:b/>
                <w:rPrChange w:id="10396" w:author="AbbVie04no" w:date="2025-09-09T10:16:00Z" w16du:dateUtc="2025-09-09T08:16:00Z">
                  <w:rPr>
                    <w:del w:id="10397" w:author="AbbVie02no" w:date="2025-05-15T13:45:00Z"/>
                    <w:b/>
                    <w:lang w:val="en-GB"/>
                  </w:rPr>
                </w:rPrChange>
              </w:rPr>
              <w:pPrChange w:id="10398" w:author="AbbVie02no" w:date="2025-05-15T13:45:00Z">
                <w:pPr>
                  <w:pStyle w:val="EMEANormal"/>
                </w:pPr>
              </w:pPrChange>
            </w:pPr>
            <w:del w:id="10399" w:author="AbbVie02no" w:date="2025-05-15T13:45:00Z">
              <w:r w:rsidRPr="00090EDA">
                <w:rPr>
                  <w:b/>
                  <w:rPrChange w:id="10400" w:author="AbbVie04no" w:date="2025-09-09T10:16:00Z" w16du:dateUtc="2025-09-09T08:16:00Z">
                    <w:rPr>
                      <w:b/>
                      <w:lang w:val="en-GB"/>
                    </w:rPr>
                  </w:rPrChange>
                </w:rPr>
                <w:delText>Standard dose</w:delText>
              </w:r>
            </w:del>
          </w:p>
        </w:tc>
      </w:tr>
      <w:tr w:rsidR="004644D4" w14:paraId="712C0C6F" w14:textId="14BB363D" w:rsidTr="002F0483">
        <w:trPr>
          <w:jc w:val="center"/>
          <w:del w:id="10401" w:author="AbbVie02no" w:date="2025-05-15T13:45:00Z"/>
        </w:trPr>
        <w:tc>
          <w:tcPr>
            <w:tcW w:w="0" w:type="auto"/>
          </w:tcPr>
          <w:p w14:paraId="6BC258F0" w14:textId="16E2A4DF" w:rsidR="002F0483" w:rsidRPr="00090EDA" w:rsidRDefault="00E453CD">
            <w:pPr>
              <w:keepNext/>
              <w:suppressAutoHyphens/>
              <w:rPr>
                <w:del w:id="10402" w:author="AbbVie02no" w:date="2025-05-15T13:45:00Z"/>
                <w:rPrChange w:id="10403" w:author="AbbVie04no" w:date="2025-09-09T10:16:00Z" w16du:dateUtc="2025-09-09T08:16:00Z">
                  <w:rPr>
                    <w:del w:id="10404" w:author="AbbVie02no" w:date="2025-05-15T13:45:00Z"/>
                    <w:lang w:val="en-GB"/>
                  </w:rPr>
                </w:rPrChange>
              </w:rPr>
              <w:pPrChange w:id="10405" w:author="AbbVie02no" w:date="2025-05-15T13:45:00Z">
                <w:pPr>
                  <w:pStyle w:val="EMEANormal"/>
                </w:pPr>
              </w:pPrChange>
            </w:pPr>
            <w:del w:id="10406" w:author="AbbVie02no" w:date="2025-05-15T13:45:00Z">
              <w:r w:rsidRPr="00090EDA">
                <w:rPr>
                  <w:rPrChange w:id="10407" w:author="AbbVie04no" w:date="2025-09-09T10:16:00Z" w16du:dateUtc="2025-09-09T08:16:00Z">
                    <w:rPr>
                      <w:lang w:val="en-GB"/>
                    </w:rPr>
                  </w:rPrChange>
                </w:rPr>
                <w:delText>&lt; 40 kg</w:delText>
              </w:r>
            </w:del>
          </w:p>
        </w:tc>
        <w:tc>
          <w:tcPr>
            <w:tcW w:w="0" w:type="auto"/>
          </w:tcPr>
          <w:p w14:paraId="19DADAB6" w14:textId="5D7B8B7F" w:rsidR="002F0483" w:rsidRPr="00090EDA" w:rsidRDefault="00E453CD">
            <w:pPr>
              <w:keepNext/>
              <w:suppressAutoHyphens/>
              <w:rPr>
                <w:del w:id="10408" w:author="AbbVie02no" w:date="2025-05-15T13:45:00Z"/>
                <w:rPrChange w:id="10409" w:author="AbbVie04no" w:date="2025-09-09T10:16:00Z" w16du:dateUtc="2025-09-09T08:16:00Z">
                  <w:rPr>
                    <w:del w:id="10410" w:author="AbbVie02no" w:date="2025-05-15T13:45:00Z"/>
                    <w:lang w:val="en-GB"/>
                  </w:rPr>
                </w:rPrChange>
              </w:rPr>
              <w:pPrChange w:id="10411" w:author="AbbVie02no" w:date="2025-05-15T13:45:00Z">
                <w:pPr>
                  <w:pStyle w:val="EMEANormal"/>
                </w:pPr>
              </w:pPrChange>
            </w:pPr>
            <w:del w:id="10412" w:author="AbbVie02no" w:date="2025-05-15T13:45:00Z">
              <w:r w:rsidRPr="00090EDA">
                <w:rPr>
                  <w:rPrChange w:id="10413" w:author="AbbVie04no" w:date="2025-09-09T10:16:00Z" w16du:dateUtc="2025-09-09T08:16:00Z">
                    <w:rPr>
                      <w:lang w:val="en-GB"/>
                    </w:rPr>
                  </w:rPrChange>
                </w:rPr>
                <w:delText>10 mg annenhver uke</w:delText>
              </w:r>
            </w:del>
          </w:p>
        </w:tc>
        <w:tc>
          <w:tcPr>
            <w:tcW w:w="0" w:type="auto"/>
          </w:tcPr>
          <w:p w14:paraId="7C0544C4" w14:textId="3ED88D8D" w:rsidR="002F0483" w:rsidRPr="00090EDA" w:rsidRDefault="00E453CD">
            <w:pPr>
              <w:keepNext/>
              <w:suppressAutoHyphens/>
              <w:rPr>
                <w:del w:id="10414" w:author="AbbVie02no" w:date="2025-05-15T13:45:00Z"/>
                <w:rPrChange w:id="10415" w:author="AbbVie04no" w:date="2025-09-09T10:16:00Z" w16du:dateUtc="2025-09-09T08:16:00Z">
                  <w:rPr>
                    <w:del w:id="10416" w:author="AbbVie02no" w:date="2025-05-15T13:45:00Z"/>
                    <w:lang w:val="en-GB"/>
                  </w:rPr>
                </w:rPrChange>
              </w:rPr>
              <w:pPrChange w:id="10417" w:author="AbbVie02no" w:date="2025-05-15T13:45:00Z">
                <w:pPr>
                  <w:pStyle w:val="EMEANormal"/>
                </w:pPr>
              </w:pPrChange>
            </w:pPr>
            <w:del w:id="10418" w:author="AbbVie02no" w:date="2025-05-15T13:45:00Z">
              <w:r w:rsidRPr="00090EDA">
                <w:rPr>
                  <w:rPrChange w:id="10419" w:author="AbbVie04no" w:date="2025-09-09T10:16:00Z" w16du:dateUtc="2025-09-09T08:16:00Z">
                    <w:rPr>
                      <w:lang w:val="en-GB"/>
                    </w:rPr>
                  </w:rPrChange>
                </w:rPr>
                <w:delText>20 mg annenhver uke</w:delText>
              </w:r>
            </w:del>
          </w:p>
        </w:tc>
      </w:tr>
      <w:tr w:rsidR="004644D4" w14:paraId="2E8FCB96" w14:textId="1B962D91" w:rsidTr="002F0483">
        <w:trPr>
          <w:jc w:val="center"/>
          <w:del w:id="10420" w:author="AbbVie02no" w:date="2025-05-15T13:45:00Z"/>
        </w:trPr>
        <w:tc>
          <w:tcPr>
            <w:tcW w:w="0" w:type="auto"/>
          </w:tcPr>
          <w:p w14:paraId="41E5FAA1" w14:textId="782A3C43" w:rsidR="002F0483" w:rsidRPr="00090EDA" w:rsidRDefault="00E453CD">
            <w:pPr>
              <w:keepNext/>
              <w:suppressAutoHyphens/>
              <w:rPr>
                <w:del w:id="10421" w:author="AbbVie02no" w:date="2025-05-15T13:45:00Z"/>
                <w:rPrChange w:id="10422" w:author="AbbVie04no" w:date="2025-09-09T10:16:00Z" w16du:dateUtc="2025-09-09T08:16:00Z">
                  <w:rPr>
                    <w:del w:id="10423" w:author="AbbVie02no" w:date="2025-05-15T13:45:00Z"/>
                    <w:lang w:val="en-GB"/>
                  </w:rPr>
                </w:rPrChange>
              </w:rPr>
              <w:pPrChange w:id="10424" w:author="AbbVie02no" w:date="2025-05-15T13:45:00Z">
                <w:pPr>
                  <w:pStyle w:val="EMEANormal"/>
                </w:pPr>
              </w:pPrChange>
            </w:pPr>
            <w:del w:id="10425" w:author="AbbVie02no" w:date="2025-05-15T13:45:00Z">
              <w:r w:rsidRPr="00090EDA">
                <w:rPr>
                  <w:rPrChange w:id="10426" w:author="AbbVie04no" w:date="2025-09-09T10:16:00Z" w16du:dateUtc="2025-09-09T08:16:00Z">
                    <w:rPr>
                      <w:lang w:val="en-GB"/>
                    </w:rPr>
                  </w:rPrChange>
                </w:rPr>
                <w:delText>≥ 40 kg</w:delText>
              </w:r>
            </w:del>
          </w:p>
        </w:tc>
        <w:tc>
          <w:tcPr>
            <w:tcW w:w="0" w:type="auto"/>
          </w:tcPr>
          <w:p w14:paraId="2ECCD984" w14:textId="0BEC2FC2" w:rsidR="002F0483" w:rsidRPr="00090EDA" w:rsidRDefault="00E453CD">
            <w:pPr>
              <w:keepNext/>
              <w:suppressAutoHyphens/>
              <w:rPr>
                <w:del w:id="10427" w:author="AbbVie02no" w:date="2025-05-15T13:45:00Z"/>
                <w:rPrChange w:id="10428" w:author="AbbVie04no" w:date="2025-09-09T10:16:00Z" w16du:dateUtc="2025-09-09T08:16:00Z">
                  <w:rPr>
                    <w:del w:id="10429" w:author="AbbVie02no" w:date="2025-05-15T13:45:00Z"/>
                    <w:lang w:val="en-GB"/>
                  </w:rPr>
                </w:rPrChange>
              </w:rPr>
              <w:pPrChange w:id="10430" w:author="AbbVie02no" w:date="2025-05-15T13:45:00Z">
                <w:pPr>
                  <w:pStyle w:val="EMEANormal"/>
                </w:pPr>
              </w:pPrChange>
            </w:pPr>
            <w:del w:id="10431" w:author="AbbVie02no" w:date="2025-05-15T13:45:00Z">
              <w:r w:rsidRPr="00090EDA">
                <w:rPr>
                  <w:rPrChange w:id="10432" w:author="AbbVie04no" w:date="2025-09-09T10:16:00Z" w16du:dateUtc="2025-09-09T08:16:00Z">
                    <w:rPr>
                      <w:lang w:val="en-GB"/>
                    </w:rPr>
                  </w:rPrChange>
                </w:rPr>
                <w:delText>20 mg annenhver uke</w:delText>
              </w:r>
            </w:del>
          </w:p>
        </w:tc>
        <w:tc>
          <w:tcPr>
            <w:tcW w:w="0" w:type="auto"/>
          </w:tcPr>
          <w:p w14:paraId="03C16D6E" w14:textId="4F3767CE" w:rsidR="002F0483" w:rsidRPr="00090EDA" w:rsidRDefault="00E453CD">
            <w:pPr>
              <w:keepNext/>
              <w:suppressAutoHyphens/>
              <w:rPr>
                <w:del w:id="10433" w:author="AbbVie02no" w:date="2025-05-15T13:45:00Z"/>
                <w:rPrChange w:id="10434" w:author="AbbVie04no" w:date="2025-09-09T10:16:00Z" w16du:dateUtc="2025-09-09T08:16:00Z">
                  <w:rPr>
                    <w:del w:id="10435" w:author="AbbVie02no" w:date="2025-05-15T13:45:00Z"/>
                    <w:lang w:val="en-GB"/>
                  </w:rPr>
                </w:rPrChange>
              </w:rPr>
              <w:pPrChange w:id="10436" w:author="AbbVie02no" w:date="2025-05-15T13:45:00Z">
                <w:pPr>
                  <w:pStyle w:val="EMEANormal"/>
                </w:pPr>
              </w:pPrChange>
            </w:pPr>
            <w:del w:id="10437" w:author="AbbVie02no" w:date="2025-05-15T13:45:00Z">
              <w:r w:rsidRPr="00090EDA">
                <w:rPr>
                  <w:rPrChange w:id="10438" w:author="AbbVie04no" w:date="2025-09-09T10:16:00Z" w16du:dateUtc="2025-09-09T08:16:00Z">
                    <w:rPr>
                      <w:lang w:val="en-GB"/>
                    </w:rPr>
                  </w:rPrChange>
                </w:rPr>
                <w:delText>40 mg annenhver uke</w:delText>
              </w:r>
            </w:del>
          </w:p>
        </w:tc>
      </w:tr>
    </w:tbl>
    <w:p w14:paraId="5D81FCED" w14:textId="6B5EE472" w:rsidR="002F0483" w:rsidRPr="009C5EFD" w:rsidRDefault="002F0483">
      <w:pPr>
        <w:keepNext/>
        <w:suppressAutoHyphens/>
        <w:rPr>
          <w:del w:id="10439" w:author="AbbVie02no" w:date="2025-05-15T13:45:00Z"/>
          <w:sz w:val="22"/>
          <w:szCs w:val="22"/>
        </w:rPr>
        <w:pPrChange w:id="10440" w:author="AbbVie02no" w:date="2025-05-15T13:45:00Z">
          <w:pPr/>
        </w:pPrChange>
      </w:pPr>
    </w:p>
    <w:p w14:paraId="5ED0FC38" w14:textId="62EB70D1" w:rsidR="002F0483" w:rsidRPr="009C5EFD" w:rsidRDefault="00E453CD">
      <w:pPr>
        <w:keepNext/>
        <w:suppressAutoHyphens/>
        <w:rPr>
          <w:del w:id="10441" w:author="AbbVie02no" w:date="2025-05-15T13:45:00Z"/>
          <w:i/>
          <w:szCs w:val="22"/>
        </w:rPr>
        <w:pPrChange w:id="10442" w:author="AbbVie02no" w:date="2025-05-15T13:45:00Z">
          <w:pPr>
            <w:pStyle w:val="Heading8"/>
          </w:pPr>
        </w:pPrChange>
      </w:pPr>
      <w:del w:id="10443" w:author="AbbVie02no" w:date="2025-05-15T13:45:00Z">
        <w:r>
          <w:rPr>
            <w:i/>
            <w:szCs w:val="22"/>
          </w:rPr>
          <w:delText>Effektresultater</w:delText>
        </w:r>
      </w:del>
    </w:p>
    <w:p w14:paraId="1268CE4F" w14:textId="7D53F683" w:rsidR="002F0483" w:rsidRPr="001F5D4B" w:rsidRDefault="002F0483">
      <w:pPr>
        <w:keepNext/>
        <w:suppressAutoHyphens/>
        <w:rPr>
          <w:del w:id="10444" w:author="AbbVie02no" w:date="2025-05-15T13:45:00Z"/>
          <w:szCs w:val="22"/>
        </w:rPr>
        <w:pPrChange w:id="10445" w:author="AbbVie02no" w:date="2025-05-15T13:45:00Z">
          <w:pPr>
            <w:pStyle w:val="Heading8"/>
          </w:pPr>
        </w:pPrChange>
      </w:pPr>
    </w:p>
    <w:p w14:paraId="59BF57A2" w14:textId="387C5EB0" w:rsidR="002F0483" w:rsidRPr="00193D76" w:rsidRDefault="00E453CD">
      <w:pPr>
        <w:keepNext/>
        <w:suppressAutoHyphens/>
        <w:rPr>
          <w:del w:id="10446" w:author="AbbVie02no" w:date="2025-05-15T13:45:00Z"/>
          <w:szCs w:val="22"/>
        </w:rPr>
        <w:pPrChange w:id="10447" w:author="AbbVie02no" w:date="2025-05-15T13:45:00Z">
          <w:pPr>
            <w:pStyle w:val="Heading8"/>
            <w:keepNext w:val="0"/>
          </w:pPr>
        </w:pPrChange>
      </w:pPr>
      <w:del w:id="10448" w:author="AbbVie02no" w:date="2025-05-15T13:45:00Z">
        <w:r w:rsidRPr="007F67EE">
          <w:rPr>
            <w:szCs w:val="22"/>
          </w:rPr>
          <w:delText>Studiens primær endepunkt var klinisk remisjon ved uke 26, de</w:delText>
        </w:r>
        <w:r w:rsidRPr="00193D76">
          <w:rPr>
            <w:szCs w:val="22"/>
          </w:rPr>
          <w:delText>finert som PCDAI score ≤ 10.</w:delText>
        </w:r>
      </w:del>
    </w:p>
    <w:p w14:paraId="1C91BEC4" w14:textId="16495657" w:rsidR="002F0483" w:rsidRPr="002D0790" w:rsidRDefault="002F0483">
      <w:pPr>
        <w:keepNext/>
        <w:suppressAutoHyphens/>
        <w:rPr>
          <w:del w:id="10449" w:author="AbbVie02no" w:date="2025-05-15T13:45:00Z"/>
          <w:szCs w:val="22"/>
        </w:rPr>
        <w:pPrChange w:id="10450" w:author="AbbVie02no" w:date="2025-05-15T13:45:00Z">
          <w:pPr>
            <w:pStyle w:val="Heading8"/>
            <w:keepNext w:val="0"/>
          </w:pPr>
        </w:pPrChange>
      </w:pPr>
    </w:p>
    <w:p w14:paraId="1E5021AC" w14:textId="38FB7F38" w:rsidR="002F0483" w:rsidRPr="009C5EFD" w:rsidRDefault="00E453CD">
      <w:pPr>
        <w:keepNext/>
        <w:suppressAutoHyphens/>
        <w:rPr>
          <w:del w:id="10451" w:author="AbbVie02no" w:date="2025-05-15T13:45:00Z"/>
          <w:szCs w:val="22"/>
        </w:rPr>
        <w:pPrChange w:id="10452" w:author="AbbVie02no" w:date="2025-05-15T13:45:00Z">
          <w:pPr>
            <w:pStyle w:val="Heading8"/>
            <w:keepNext w:val="0"/>
          </w:pPr>
        </w:pPrChange>
      </w:pPr>
      <w:del w:id="10453" w:author="AbbVie02no" w:date="2025-05-15T13:45:00Z">
        <w:r w:rsidRPr="002D0790">
          <w:rPr>
            <w:szCs w:val="22"/>
          </w:rPr>
          <w:delText xml:space="preserve">Klinisk remisjon og klinisk respons (definert som reduksjon i PCDAI score på minst 15 poeng fra baseline) er presentert i tabell </w:delText>
        </w:r>
        <w:r>
          <w:rPr>
            <w:szCs w:val="22"/>
          </w:rPr>
          <w:delText>29</w:delText>
        </w:r>
        <w:r w:rsidRPr="009C5EFD">
          <w:rPr>
            <w:szCs w:val="22"/>
          </w:rPr>
          <w:delText xml:space="preserve">. Seponering av kortikosteroider eller immunmodulerende midler er presentert i tabell </w:delText>
        </w:r>
        <w:r>
          <w:rPr>
            <w:szCs w:val="22"/>
          </w:rPr>
          <w:delText>30</w:delText>
        </w:r>
        <w:r w:rsidRPr="009C5EFD">
          <w:rPr>
            <w:szCs w:val="22"/>
          </w:rPr>
          <w:delText>.</w:delText>
        </w:r>
      </w:del>
    </w:p>
    <w:p w14:paraId="03288D5E" w14:textId="234C556C" w:rsidR="002F0483" w:rsidRPr="009C5EFD" w:rsidRDefault="002F0483">
      <w:pPr>
        <w:keepNext/>
        <w:suppressAutoHyphens/>
        <w:rPr>
          <w:del w:id="10454" w:author="AbbVie02no" w:date="2025-05-15T13:45:00Z"/>
          <w:szCs w:val="22"/>
        </w:rPr>
        <w:pPrChange w:id="10455" w:author="AbbVie02no" w:date="2025-05-15T13:45:00Z">
          <w:pPr>
            <w:pStyle w:val="Heading8"/>
            <w:keepNext w:val="0"/>
          </w:pPr>
        </w:pPrChange>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4644D4" w14:paraId="27486B2A" w14:textId="5AD7F8B9" w:rsidTr="002F0483">
        <w:trPr>
          <w:jc w:val="center"/>
          <w:del w:id="10456" w:author="AbbVie02no" w:date="2025-05-15T13:45:00Z"/>
        </w:trPr>
        <w:tc>
          <w:tcPr>
            <w:tcW w:w="6673" w:type="dxa"/>
            <w:gridSpan w:val="4"/>
            <w:tcBorders>
              <w:top w:val="single" w:sz="6" w:space="0" w:color="000000"/>
              <w:left w:val="single" w:sz="6" w:space="0" w:color="000000"/>
              <w:bottom w:val="single" w:sz="6" w:space="0" w:color="000000"/>
              <w:right w:val="single" w:sz="6" w:space="0" w:color="000000"/>
            </w:tcBorders>
          </w:tcPr>
          <w:p w14:paraId="45C4065F" w14:textId="7A87A9AE" w:rsidR="002F0483" w:rsidRPr="00CB31ED" w:rsidRDefault="00E453CD">
            <w:pPr>
              <w:keepNext/>
              <w:suppressAutoHyphens/>
              <w:rPr>
                <w:del w:id="10457" w:author="AbbVie02no" w:date="2025-05-15T13:45:00Z"/>
                <w:b/>
                <w:bCs/>
                <w:sz w:val="22"/>
                <w:szCs w:val="22"/>
              </w:rPr>
              <w:pPrChange w:id="10458" w:author="AbbVie02no" w:date="2025-05-15T13:45:00Z">
                <w:pPr>
                  <w:tabs>
                    <w:tab w:val="left" w:pos="-878"/>
                  </w:tabs>
                  <w:autoSpaceDE w:val="0"/>
                  <w:autoSpaceDN w:val="0"/>
                  <w:adjustRightInd w:val="0"/>
                  <w:ind w:left="15"/>
                  <w:jc w:val="center"/>
                </w:pPr>
              </w:pPrChange>
            </w:pPr>
            <w:del w:id="10459" w:author="AbbVie02no" w:date="2025-05-15T13:45:00Z">
              <w:r w:rsidRPr="00CB31ED">
                <w:rPr>
                  <w:b/>
                  <w:bCs/>
                  <w:sz w:val="22"/>
                  <w:szCs w:val="22"/>
                </w:rPr>
                <w:delText>Tabell 2</w:delText>
              </w:r>
              <w:r>
                <w:rPr>
                  <w:b/>
                  <w:bCs/>
                  <w:sz w:val="22"/>
                  <w:szCs w:val="22"/>
                </w:rPr>
                <w:delText>9</w:delText>
              </w:r>
            </w:del>
          </w:p>
          <w:p w14:paraId="0C353F56" w14:textId="22F59D54" w:rsidR="002F0483" w:rsidRPr="00CB31ED" w:rsidRDefault="00E453CD">
            <w:pPr>
              <w:keepNext/>
              <w:suppressAutoHyphens/>
              <w:rPr>
                <w:del w:id="10460" w:author="AbbVie02no" w:date="2025-05-15T13:45:00Z"/>
                <w:b/>
                <w:bCs/>
                <w:sz w:val="22"/>
                <w:szCs w:val="22"/>
              </w:rPr>
              <w:pPrChange w:id="10461" w:author="AbbVie02no" w:date="2025-05-15T13:45:00Z">
                <w:pPr>
                  <w:tabs>
                    <w:tab w:val="left" w:pos="-878"/>
                  </w:tabs>
                  <w:autoSpaceDE w:val="0"/>
                  <w:autoSpaceDN w:val="0"/>
                  <w:adjustRightInd w:val="0"/>
                  <w:ind w:left="15"/>
                  <w:jc w:val="center"/>
                </w:pPr>
              </w:pPrChange>
            </w:pPr>
            <w:del w:id="10462" w:author="AbbVie02no" w:date="2025-05-15T13:45:00Z">
              <w:r w:rsidRPr="00CB31ED">
                <w:rPr>
                  <w:b/>
                  <w:bCs/>
                  <w:sz w:val="22"/>
                  <w:szCs w:val="22"/>
                </w:rPr>
                <w:delText>Pediatrisk CD studie</w:delText>
              </w:r>
            </w:del>
          </w:p>
          <w:p w14:paraId="71CB8208" w14:textId="230A3D22" w:rsidR="002F0483" w:rsidRPr="00CB31ED" w:rsidRDefault="00E453CD">
            <w:pPr>
              <w:keepNext/>
              <w:suppressAutoHyphens/>
              <w:rPr>
                <w:del w:id="10463" w:author="AbbVie02no" w:date="2025-05-15T13:45:00Z"/>
                <w:b/>
                <w:bCs/>
                <w:sz w:val="22"/>
                <w:szCs w:val="22"/>
              </w:rPr>
              <w:pPrChange w:id="10464" w:author="AbbVie02no" w:date="2025-05-15T13:45:00Z">
                <w:pPr>
                  <w:tabs>
                    <w:tab w:val="left" w:pos="-878"/>
                  </w:tabs>
                  <w:autoSpaceDE w:val="0"/>
                  <w:autoSpaceDN w:val="0"/>
                  <w:adjustRightInd w:val="0"/>
                  <w:ind w:left="15"/>
                  <w:jc w:val="center"/>
                </w:pPr>
              </w:pPrChange>
            </w:pPr>
            <w:del w:id="10465" w:author="AbbVie02no" w:date="2025-05-15T13:45:00Z">
              <w:r w:rsidRPr="00CB31ED">
                <w:rPr>
                  <w:b/>
                  <w:bCs/>
                  <w:sz w:val="22"/>
                  <w:szCs w:val="22"/>
                </w:rPr>
                <w:delText>PCDAI klinisk remisjon og respons</w:delText>
              </w:r>
            </w:del>
          </w:p>
        </w:tc>
      </w:tr>
      <w:tr w:rsidR="004644D4" w14:paraId="15CEACFE" w14:textId="0AFD36CB" w:rsidTr="002F0483">
        <w:trPr>
          <w:jc w:val="center"/>
          <w:del w:id="10466" w:author="AbbVie02no" w:date="2025-05-15T13:45:00Z"/>
        </w:trPr>
        <w:tc>
          <w:tcPr>
            <w:tcW w:w="2321" w:type="dxa"/>
            <w:tcBorders>
              <w:top w:val="single" w:sz="6" w:space="0" w:color="000000"/>
              <w:left w:val="single" w:sz="6" w:space="0" w:color="000000"/>
              <w:bottom w:val="single" w:sz="6" w:space="0" w:color="000000"/>
              <w:right w:val="single" w:sz="6" w:space="0" w:color="000000"/>
            </w:tcBorders>
          </w:tcPr>
          <w:p w14:paraId="2043E049" w14:textId="2A6DB3F7" w:rsidR="002F0483" w:rsidRPr="00CB31ED" w:rsidRDefault="002F0483">
            <w:pPr>
              <w:keepNext/>
              <w:suppressAutoHyphens/>
              <w:rPr>
                <w:del w:id="10467" w:author="AbbVie02no" w:date="2025-05-15T13:45:00Z"/>
                <w:b/>
                <w:bCs/>
                <w:sz w:val="22"/>
                <w:szCs w:val="22"/>
              </w:rPr>
              <w:pPrChange w:id="10468" w:author="AbbVie02no" w:date="2025-05-15T13:45:00Z">
                <w:pPr>
                  <w:keepLines/>
                  <w:tabs>
                    <w:tab w:val="left" w:pos="-1080"/>
                  </w:tabs>
                  <w:autoSpaceDE w:val="0"/>
                  <w:autoSpaceDN w:val="0"/>
                  <w:adjustRightInd w:val="0"/>
                  <w:ind w:left="15"/>
                  <w:jc w:val="center"/>
                </w:pPr>
              </w:pPrChange>
            </w:pPr>
          </w:p>
        </w:tc>
        <w:tc>
          <w:tcPr>
            <w:tcW w:w="1614" w:type="dxa"/>
            <w:tcBorders>
              <w:top w:val="single" w:sz="6" w:space="0" w:color="000000"/>
              <w:left w:val="single" w:sz="6" w:space="0" w:color="000000"/>
              <w:bottom w:val="single" w:sz="6" w:space="0" w:color="000000"/>
              <w:right w:val="single" w:sz="6" w:space="0" w:color="000000"/>
            </w:tcBorders>
          </w:tcPr>
          <w:p w14:paraId="67000292" w14:textId="39E6EE49" w:rsidR="002F0483" w:rsidRPr="00CB31ED" w:rsidRDefault="00E453CD">
            <w:pPr>
              <w:keepNext/>
              <w:suppressAutoHyphens/>
              <w:rPr>
                <w:del w:id="10469" w:author="AbbVie02no" w:date="2025-05-15T13:45:00Z"/>
                <w:b/>
                <w:bCs/>
                <w:sz w:val="22"/>
                <w:szCs w:val="22"/>
              </w:rPr>
              <w:pPrChange w:id="10470" w:author="AbbVie02no" w:date="2025-05-15T13:45:00Z">
                <w:pPr>
                  <w:keepLines/>
                  <w:tabs>
                    <w:tab w:val="left" w:pos="-1080"/>
                  </w:tabs>
                  <w:autoSpaceDE w:val="0"/>
                  <w:autoSpaceDN w:val="0"/>
                  <w:adjustRightInd w:val="0"/>
                  <w:ind w:left="15"/>
                  <w:jc w:val="center"/>
                </w:pPr>
              </w:pPrChange>
            </w:pPr>
            <w:del w:id="10471" w:author="AbbVie02no" w:date="2025-05-15T13:45:00Z">
              <w:r w:rsidRPr="00CB31ED">
                <w:rPr>
                  <w:b/>
                  <w:bCs/>
                  <w:sz w:val="22"/>
                  <w:szCs w:val="22"/>
                </w:rPr>
                <w:delText>Standard dose</w:delText>
              </w:r>
            </w:del>
          </w:p>
          <w:p w14:paraId="066F81C5" w14:textId="7FF2E467" w:rsidR="002F0483" w:rsidRPr="00CB31ED" w:rsidRDefault="00E453CD">
            <w:pPr>
              <w:keepNext/>
              <w:suppressAutoHyphens/>
              <w:rPr>
                <w:del w:id="10472" w:author="AbbVie02no" w:date="2025-05-15T13:45:00Z"/>
                <w:b/>
                <w:bCs/>
                <w:sz w:val="22"/>
                <w:szCs w:val="22"/>
              </w:rPr>
              <w:pPrChange w:id="10473" w:author="AbbVie02no" w:date="2025-05-15T13:45:00Z">
                <w:pPr>
                  <w:keepLines/>
                  <w:tabs>
                    <w:tab w:val="left" w:pos="-1080"/>
                  </w:tabs>
                  <w:autoSpaceDE w:val="0"/>
                  <w:autoSpaceDN w:val="0"/>
                  <w:adjustRightInd w:val="0"/>
                  <w:ind w:left="15"/>
                  <w:jc w:val="center"/>
                </w:pPr>
              </w:pPrChange>
            </w:pPr>
            <w:del w:id="10474" w:author="AbbVie02no" w:date="2025-05-15T13:45:00Z">
              <w:r w:rsidRPr="00CB31ED">
                <w:rPr>
                  <w:b/>
                  <w:bCs/>
                  <w:sz w:val="22"/>
                  <w:szCs w:val="22"/>
                </w:rPr>
                <w:delText xml:space="preserve">40/20 mg annenhver uke </w:delText>
              </w:r>
            </w:del>
          </w:p>
          <w:p w14:paraId="7ED2172A" w14:textId="0F698E9E" w:rsidR="002F0483" w:rsidRPr="00CB31ED" w:rsidRDefault="00E453CD">
            <w:pPr>
              <w:keepNext/>
              <w:suppressAutoHyphens/>
              <w:rPr>
                <w:del w:id="10475" w:author="AbbVie02no" w:date="2025-05-15T13:45:00Z"/>
                <w:b/>
                <w:bCs/>
                <w:sz w:val="22"/>
                <w:szCs w:val="22"/>
              </w:rPr>
              <w:pPrChange w:id="10476" w:author="AbbVie02no" w:date="2025-05-15T13:45:00Z">
                <w:pPr>
                  <w:keepLines/>
                  <w:tabs>
                    <w:tab w:val="left" w:pos="-1080"/>
                  </w:tabs>
                  <w:autoSpaceDE w:val="0"/>
                  <w:autoSpaceDN w:val="0"/>
                  <w:adjustRightInd w:val="0"/>
                  <w:ind w:left="15"/>
                  <w:jc w:val="center"/>
                </w:pPr>
              </w:pPrChange>
            </w:pPr>
            <w:del w:id="10477" w:author="AbbVie02no" w:date="2025-05-15T13:45:00Z">
              <w:r w:rsidRPr="00CB31ED">
                <w:rPr>
                  <w:b/>
                  <w:bCs/>
                  <w:sz w:val="22"/>
                  <w:szCs w:val="22"/>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5CCF93BA" w14:textId="588F5335" w:rsidR="002F0483" w:rsidRPr="00CB31ED" w:rsidRDefault="00E453CD">
            <w:pPr>
              <w:keepNext/>
              <w:suppressAutoHyphens/>
              <w:rPr>
                <w:del w:id="10478" w:author="AbbVie02no" w:date="2025-05-15T13:45:00Z"/>
                <w:b/>
                <w:bCs/>
                <w:sz w:val="22"/>
                <w:szCs w:val="22"/>
              </w:rPr>
              <w:pPrChange w:id="10479" w:author="AbbVie02no" w:date="2025-05-15T13:45:00Z">
                <w:pPr>
                  <w:keepLines/>
                  <w:tabs>
                    <w:tab w:val="left" w:pos="-1080"/>
                  </w:tabs>
                  <w:autoSpaceDE w:val="0"/>
                  <w:autoSpaceDN w:val="0"/>
                  <w:adjustRightInd w:val="0"/>
                  <w:ind w:left="15"/>
                  <w:jc w:val="center"/>
                </w:pPr>
              </w:pPrChange>
            </w:pPr>
            <w:del w:id="10480" w:author="AbbVie02no" w:date="2025-05-15T13:45:00Z">
              <w:r w:rsidRPr="00CB31ED">
                <w:rPr>
                  <w:b/>
                  <w:bCs/>
                  <w:sz w:val="22"/>
                  <w:szCs w:val="22"/>
                </w:rPr>
                <w:delText>Lav dose</w:delText>
              </w:r>
            </w:del>
          </w:p>
          <w:p w14:paraId="22632EF3" w14:textId="506693AC" w:rsidR="002F0483" w:rsidRPr="00CB31ED" w:rsidRDefault="00E453CD">
            <w:pPr>
              <w:keepNext/>
              <w:suppressAutoHyphens/>
              <w:rPr>
                <w:del w:id="10481" w:author="AbbVie02no" w:date="2025-05-15T13:45:00Z"/>
                <w:b/>
                <w:bCs/>
                <w:sz w:val="22"/>
                <w:szCs w:val="22"/>
              </w:rPr>
              <w:pPrChange w:id="10482" w:author="AbbVie02no" w:date="2025-05-15T13:45:00Z">
                <w:pPr>
                  <w:keepLines/>
                  <w:tabs>
                    <w:tab w:val="left" w:pos="-1080"/>
                  </w:tabs>
                  <w:autoSpaceDE w:val="0"/>
                  <w:autoSpaceDN w:val="0"/>
                  <w:adjustRightInd w:val="0"/>
                  <w:ind w:left="15"/>
                  <w:jc w:val="center"/>
                </w:pPr>
              </w:pPrChange>
            </w:pPr>
            <w:del w:id="10483" w:author="AbbVie02no" w:date="2025-05-15T13:45:00Z">
              <w:r w:rsidRPr="00CB31ED">
                <w:rPr>
                  <w:b/>
                  <w:bCs/>
                  <w:sz w:val="22"/>
                  <w:szCs w:val="22"/>
                </w:rPr>
                <w:delText xml:space="preserve">20/10 mg annenhver uke </w:delText>
              </w:r>
            </w:del>
          </w:p>
          <w:p w14:paraId="520CD4BA" w14:textId="3ADAF95F" w:rsidR="002F0483" w:rsidRPr="00CB31ED" w:rsidRDefault="00E453CD">
            <w:pPr>
              <w:keepNext/>
              <w:suppressAutoHyphens/>
              <w:rPr>
                <w:del w:id="10484" w:author="AbbVie02no" w:date="2025-05-15T13:45:00Z"/>
                <w:b/>
                <w:bCs/>
                <w:sz w:val="22"/>
                <w:szCs w:val="22"/>
              </w:rPr>
              <w:pPrChange w:id="10485" w:author="AbbVie02no" w:date="2025-05-15T13:45:00Z">
                <w:pPr>
                  <w:keepLines/>
                  <w:tabs>
                    <w:tab w:val="left" w:pos="-1080"/>
                  </w:tabs>
                  <w:autoSpaceDE w:val="0"/>
                  <w:autoSpaceDN w:val="0"/>
                  <w:adjustRightInd w:val="0"/>
                  <w:ind w:left="15"/>
                  <w:jc w:val="center"/>
                </w:pPr>
              </w:pPrChange>
            </w:pPr>
            <w:del w:id="10486" w:author="AbbVie02no" w:date="2025-05-15T13:45:00Z">
              <w:r w:rsidRPr="00CB31ED">
                <w:rPr>
                  <w:b/>
                  <w:bCs/>
                  <w:sz w:val="22"/>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5149C31A" w14:textId="7B3713BD" w:rsidR="002F0483" w:rsidRPr="00CB31ED" w:rsidRDefault="00E453CD">
            <w:pPr>
              <w:keepNext/>
              <w:suppressAutoHyphens/>
              <w:rPr>
                <w:del w:id="10487" w:author="AbbVie02no" w:date="2025-05-15T13:45:00Z"/>
                <w:sz w:val="22"/>
                <w:szCs w:val="22"/>
              </w:rPr>
              <w:pPrChange w:id="10488" w:author="AbbVie02no" w:date="2025-05-15T13:45:00Z">
                <w:pPr>
                  <w:keepLines/>
                  <w:tabs>
                    <w:tab w:val="left" w:pos="-1080"/>
                  </w:tabs>
                  <w:autoSpaceDE w:val="0"/>
                  <w:autoSpaceDN w:val="0"/>
                  <w:adjustRightInd w:val="0"/>
                  <w:ind w:left="15"/>
                  <w:jc w:val="center"/>
                </w:pPr>
              </w:pPrChange>
            </w:pPr>
            <w:del w:id="10489" w:author="AbbVie02no" w:date="2025-05-15T13:45:00Z">
              <w:r w:rsidRPr="00CB31ED">
                <w:rPr>
                  <w:b/>
                  <w:bCs/>
                  <w:sz w:val="22"/>
                  <w:szCs w:val="22"/>
                </w:rPr>
                <w:delText>P-verdi</w:delText>
              </w:r>
              <w:r w:rsidRPr="00CB31ED">
                <w:rPr>
                  <w:sz w:val="22"/>
                  <w:szCs w:val="22"/>
                </w:rPr>
                <w:delText>*</w:delText>
              </w:r>
            </w:del>
          </w:p>
        </w:tc>
      </w:tr>
      <w:tr w:rsidR="004644D4" w14:paraId="23A1E33E" w14:textId="03DBFE50" w:rsidTr="002F0483">
        <w:trPr>
          <w:jc w:val="center"/>
          <w:del w:id="10490" w:author="AbbVie02no" w:date="2025-05-15T13:45:00Z"/>
        </w:trPr>
        <w:tc>
          <w:tcPr>
            <w:tcW w:w="2321" w:type="dxa"/>
            <w:tcBorders>
              <w:top w:val="single" w:sz="6" w:space="0" w:color="000000"/>
              <w:left w:val="single" w:sz="6" w:space="0" w:color="000000"/>
              <w:bottom w:val="single" w:sz="6" w:space="0" w:color="000000"/>
              <w:right w:val="single" w:sz="6" w:space="0" w:color="000000"/>
            </w:tcBorders>
            <w:vAlign w:val="bottom"/>
          </w:tcPr>
          <w:p w14:paraId="34CF3902" w14:textId="3E00EE9E" w:rsidR="002F0483" w:rsidRPr="00CB31ED" w:rsidRDefault="00E453CD">
            <w:pPr>
              <w:keepNext/>
              <w:suppressAutoHyphens/>
              <w:rPr>
                <w:del w:id="10491" w:author="AbbVie02no" w:date="2025-05-15T13:45:00Z"/>
                <w:b/>
                <w:bCs/>
                <w:sz w:val="22"/>
                <w:szCs w:val="22"/>
              </w:rPr>
              <w:pPrChange w:id="10492" w:author="AbbVie02no" w:date="2025-05-15T13:45:00Z">
                <w:pPr>
                  <w:keepLines/>
                  <w:tabs>
                    <w:tab w:val="left" w:pos="-1080"/>
                  </w:tabs>
                  <w:autoSpaceDE w:val="0"/>
                  <w:autoSpaceDN w:val="0"/>
                  <w:adjustRightInd w:val="0"/>
                  <w:ind w:left="15"/>
                </w:pPr>
              </w:pPrChange>
            </w:pPr>
            <w:del w:id="10493" w:author="AbbVie02no" w:date="2025-05-15T13:45:00Z">
              <w:r w:rsidRPr="00CB31ED">
                <w:rPr>
                  <w:b/>
                  <w:bCs/>
                  <w:sz w:val="22"/>
                  <w:szCs w:val="22"/>
                </w:rPr>
                <w:delText>Uke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0CCAC611" w14:textId="44CF0062" w:rsidR="002F0483" w:rsidRPr="00CB31ED" w:rsidRDefault="002F0483">
            <w:pPr>
              <w:keepNext/>
              <w:suppressAutoHyphens/>
              <w:rPr>
                <w:del w:id="10494" w:author="AbbVie02no" w:date="2025-05-15T13:45:00Z"/>
                <w:b/>
                <w:bCs/>
                <w:sz w:val="22"/>
                <w:szCs w:val="22"/>
              </w:rPr>
              <w:pPrChange w:id="10495" w:author="AbbVie02no" w:date="2025-05-15T13:45:00Z">
                <w:pPr>
                  <w:keepLines/>
                  <w:tabs>
                    <w:tab w:val="left" w:pos="-1080"/>
                  </w:tabs>
                  <w:autoSpaceDE w:val="0"/>
                  <w:autoSpaceDN w:val="0"/>
                  <w:adjustRightInd w:val="0"/>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5A1D2076" w14:textId="544E9966" w:rsidR="002F0483" w:rsidRPr="00CB31ED" w:rsidRDefault="002F0483">
            <w:pPr>
              <w:keepNext/>
              <w:suppressAutoHyphens/>
              <w:rPr>
                <w:del w:id="10496" w:author="AbbVie02no" w:date="2025-05-15T13:45:00Z"/>
                <w:b/>
                <w:bCs/>
                <w:sz w:val="22"/>
                <w:szCs w:val="22"/>
              </w:rPr>
              <w:pPrChange w:id="10497" w:author="AbbVie02no" w:date="2025-05-15T13:45:00Z">
                <w:pPr>
                  <w:keepLines/>
                  <w:tabs>
                    <w:tab w:val="left" w:pos="-1080"/>
                  </w:tabs>
                  <w:autoSpaceDE w:val="0"/>
                  <w:autoSpaceDN w:val="0"/>
                  <w:adjustRightInd w:val="0"/>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2A73481A" w14:textId="665FCA2D" w:rsidR="002F0483" w:rsidRPr="00CB31ED" w:rsidRDefault="002F0483">
            <w:pPr>
              <w:keepNext/>
              <w:suppressAutoHyphens/>
              <w:rPr>
                <w:del w:id="10498" w:author="AbbVie02no" w:date="2025-05-15T13:45:00Z"/>
                <w:b/>
                <w:bCs/>
                <w:sz w:val="22"/>
                <w:szCs w:val="22"/>
              </w:rPr>
              <w:pPrChange w:id="10499" w:author="AbbVie02no" w:date="2025-05-15T13:45:00Z">
                <w:pPr>
                  <w:autoSpaceDE w:val="0"/>
                  <w:autoSpaceDN w:val="0"/>
                  <w:adjustRightInd w:val="0"/>
                  <w:ind w:left="15"/>
                </w:pPr>
              </w:pPrChange>
            </w:pPr>
          </w:p>
        </w:tc>
      </w:tr>
      <w:tr w:rsidR="004644D4" w14:paraId="372492A4" w14:textId="02A17AE0" w:rsidTr="002F0483">
        <w:trPr>
          <w:jc w:val="center"/>
          <w:del w:id="10500" w:author="AbbVie02no" w:date="2025-05-15T13:45:00Z"/>
        </w:trPr>
        <w:tc>
          <w:tcPr>
            <w:tcW w:w="2321" w:type="dxa"/>
            <w:tcBorders>
              <w:top w:val="single" w:sz="6" w:space="0" w:color="000000"/>
              <w:left w:val="single" w:sz="6" w:space="0" w:color="000000"/>
              <w:bottom w:val="single" w:sz="6" w:space="0" w:color="000000"/>
              <w:right w:val="single" w:sz="6" w:space="0" w:color="000000"/>
            </w:tcBorders>
            <w:vAlign w:val="bottom"/>
          </w:tcPr>
          <w:p w14:paraId="1497742E" w14:textId="10322C8D" w:rsidR="002F0483" w:rsidRPr="00CB31ED" w:rsidRDefault="00E453CD">
            <w:pPr>
              <w:keepNext/>
              <w:suppressAutoHyphens/>
              <w:rPr>
                <w:del w:id="10501" w:author="AbbVie02no" w:date="2025-05-15T13:45:00Z"/>
                <w:sz w:val="22"/>
                <w:szCs w:val="22"/>
              </w:rPr>
              <w:pPrChange w:id="10502" w:author="AbbVie02no" w:date="2025-05-15T13:45:00Z">
                <w:pPr>
                  <w:keepLines/>
                  <w:tabs>
                    <w:tab w:val="left" w:pos="-1080"/>
                  </w:tabs>
                  <w:autoSpaceDE w:val="0"/>
                  <w:autoSpaceDN w:val="0"/>
                  <w:adjustRightInd w:val="0"/>
                  <w:ind w:left="15"/>
                </w:pPr>
              </w:pPrChange>
            </w:pPr>
            <w:del w:id="10503" w:author="AbbVie02no" w:date="2025-05-15T13:45:00Z">
              <w:r w:rsidRPr="00CB31ED">
                <w:rPr>
                  <w:sz w:val="22"/>
                  <w:szCs w:val="22"/>
                </w:rPr>
                <w:delText xml:space="preserve">   Klinisk remisjon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150B419" w14:textId="1323252F" w:rsidR="002F0483" w:rsidRPr="00CB31ED" w:rsidRDefault="00E453CD">
            <w:pPr>
              <w:keepNext/>
              <w:suppressAutoHyphens/>
              <w:rPr>
                <w:del w:id="10504" w:author="AbbVie02no" w:date="2025-05-15T13:45:00Z"/>
                <w:sz w:val="22"/>
                <w:szCs w:val="22"/>
              </w:rPr>
              <w:pPrChange w:id="10505" w:author="AbbVie02no" w:date="2025-05-15T13:45:00Z">
                <w:pPr>
                  <w:keepLines/>
                  <w:tabs>
                    <w:tab w:val="left" w:pos="-1080"/>
                  </w:tabs>
                  <w:autoSpaceDE w:val="0"/>
                  <w:autoSpaceDN w:val="0"/>
                  <w:adjustRightInd w:val="0"/>
                  <w:ind w:left="15"/>
                  <w:jc w:val="center"/>
                </w:pPr>
              </w:pPrChange>
            </w:pPr>
            <w:del w:id="10506" w:author="AbbVie02no" w:date="2025-05-15T13:45:00Z">
              <w:r w:rsidRPr="00CB31ED">
                <w:rPr>
                  <w:sz w:val="22"/>
                  <w:szCs w:val="22"/>
                </w:rPr>
                <w:delText>38,7 %</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6019DD13" w14:textId="74007F2B" w:rsidR="002F0483" w:rsidRPr="00CB31ED" w:rsidRDefault="00E453CD">
            <w:pPr>
              <w:keepNext/>
              <w:suppressAutoHyphens/>
              <w:rPr>
                <w:del w:id="10507" w:author="AbbVie02no" w:date="2025-05-15T13:45:00Z"/>
                <w:sz w:val="22"/>
                <w:szCs w:val="22"/>
              </w:rPr>
              <w:pPrChange w:id="10508" w:author="AbbVie02no" w:date="2025-05-15T13:45:00Z">
                <w:pPr>
                  <w:keepLines/>
                  <w:tabs>
                    <w:tab w:val="left" w:pos="-1080"/>
                  </w:tabs>
                  <w:autoSpaceDE w:val="0"/>
                  <w:autoSpaceDN w:val="0"/>
                  <w:adjustRightInd w:val="0"/>
                  <w:ind w:left="15"/>
                  <w:jc w:val="center"/>
                </w:pPr>
              </w:pPrChange>
            </w:pPr>
            <w:del w:id="10509" w:author="AbbVie02no" w:date="2025-05-15T13:45:00Z">
              <w:r w:rsidRPr="00CB31ED">
                <w:rPr>
                  <w:sz w:val="22"/>
                  <w:szCs w:val="22"/>
                </w:rPr>
                <w:delText>28,4 %</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5B43125E" w14:textId="03B99BFA" w:rsidR="002F0483" w:rsidRPr="00CB31ED" w:rsidRDefault="00E453CD">
            <w:pPr>
              <w:keepNext/>
              <w:suppressAutoHyphens/>
              <w:rPr>
                <w:del w:id="10510" w:author="AbbVie02no" w:date="2025-05-15T13:45:00Z"/>
                <w:sz w:val="22"/>
                <w:szCs w:val="22"/>
              </w:rPr>
              <w:pPrChange w:id="10511" w:author="AbbVie02no" w:date="2025-05-15T13:45:00Z">
                <w:pPr>
                  <w:keepLines/>
                  <w:tabs>
                    <w:tab w:val="left" w:pos="-1080"/>
                  </w:tabs>
                  <w:autoSpaceDE w:val="0"/>
                  <w:autoSpaceDN w:val="0"/>
                  <w:adjustRightInd w:val="0"/>
                  <w:ind w:left="15"/>
                  <w:jc w:val="center"/>
                </w:pPr>
              </w:pPrChange>
            </w:pPr>
            <w:del w:id="10512" w:author="AbbVie02no" w:date="2025-05-15T13:45:00Z">
              <w:r w:rsidRPr="00CB31ED">
                <w:rPr>
                  <w:sz w:val="22"/>
                  <w:szCs w:val="22"/>
                </w:rPr>
                <w:delText>0,075</w:delText>
              </w:r>
            </w:del>
          </w:p>
        </w:tc>
      </w:tr>
      <w:tr w:rsidR="004644D4" w14:paraId="6618AC72" w14:textId="53896896" w:rsidTr="002F0483">
        <w:trPr>
          <w:jc w:val="center"/>
          <w:del w:id="10513" w:author="AbbVie02no" w:date="2025-05-15T13:45:00Z"/>
        </w:trPr>
        <w:tc>
          <w:tcPr>
            <w:tcW w:w="2321" w:type="dxa"/>
            <w:tcBorders>
              <w:top w:val="single" w:sz="6" w:space="0" w:color="000000"/>
              <w:left w:val="single" w:sz="6" w:space="0" w:color="000000"/>
              <w:bottom w:val="single" w:sz="6" w:space="0" w:color="000000"/>
              <w:right w:val="single" w:sz="6" w:space="0" w:color="000000"/>
            </w:tcBorders>
          </w:tcPr>
          <w:p w14:paraId="111A6609" w14:textId="24A49541" w:rsidR="002F0483" w:rsidRPr="00CB31ED" w:rsidRDefault="00E453CD">
            <w:pPr>
              <w:keepNext/>
              <w:suppressAutoHyphens/>
              <w:rPr>
                <w:del w:id="10514" w:author="AbbVie02no" w:date="2025-05-15T13:45:00Z"/>
                <w:sz w:val="22"/>
                <w:szCs w:val="22"/>
              </w:rPr>
              <w:pPrChange w:id="10515" w:author="AbbVie02no" w:date="2025-05-15T13:45:00Z">
                <w:pPr>
                  <w:keepLines/>
                  <w:tabs>
                    <w:tab w:val="left" w:pos="-1080"/>
                  </w:tabs>
                  <w:autoSpaceDE w:val="0"/>
                  <w:autoSpaceDN w:val="0"/>
                  <w:adjustRightInd w:val="0"/>
                  <w:ind w:left="15"/>
                </w:pPr>
              </w:pPrChange>
            </w:pPr>
            <w:del w:id="10516" w:author="AbbVie02no" w:date="2025-05-15T13:45:00Z">
              <w:r w:rsidRPr="00CB31ED">
                <w:rPr>
                  <w:sz w:val="22"/>
                  <w:szCs w:val="22"/>
                </w:rPr>
                <w:delText xml:space="preserve">   Klinisk respons </w:delText>
              </w:r>
            </w:del>
          </w:p>
        </w:tc>
        <w:tc>
          <w:tcPr>
            <w:tcW w:w="1614" w:type="dxa"/>
            <w:tcBorders>
              <w:top w:val="single" w:sz="6" w:space="0" w:color="000000"/>
              <w:left w:val="single" w:sz="6" w:space="0" w:color="000000"/>
              <w:bottom w:val="single" w:sz="6" w:space="0" w:color="000000"/>
              <w:right w:val="single" w:sz="6" w:space="0" w:color="000000"/>
            </w:tcBorders>
          </w:tcPr>
          <w:p w14:paraId="3CC9338C" w14:textId="3C19B0D1" w:rsidR="002F0483" w:rsidRPr="00CB31ED" w:rsidRDefault="00E453CD">
            <w:pPr>
              <w:keepNext/>
              <w:suppressAutoHyphens/>
              <w:rPr>
                <w:del w:id="10517" w:author="AbbVie02no" w:date="2025-05-15T13:45:00Z"/>
                <w:sz w:val="22"/>
                <w:szCs w:val="22"/>
              </w:rPr>
              <w:pPrChange w:id="10518" w:author="AbbVie02no" w:date="2025-05-15T13:45:00Z">
                <w:pPr>
                  <w:keepLines/>
                  <w:tabs>
                    <w:tab w:val="left" w:pos="-1080"/>
                  </w:tabs>
                  <w:autoSpaceDE w:val="0"/>
                  <w:autoSpaceDN w:val="0"/>
                  <w:adjustRightInd w:val="0"/>
                  <w:ind w:left="15"/>
                  <w:jc w:val="center"/>
                </w:pPr>
              </w:pPrChange>
            </w:pPr>
            <w:del w:id="10519" w:author="AbbVie02no" w:date="2025-05-15T13:45:00Z">
              <w:r w:rsidRPr="00CB31ED">
                <w:rPr>
                  <w:sz w:val="22"/>
                  <w:szCs w:val="22"/>
                </w:rPr>
                <w:delText>59,1 %</w:delText>
              </w:r>
            </w:del>
          </w:p>
        </w:tc>
        <w:tc>
          <w:tcPr>
            <w:tcW w:w="1591" w:type="dxa"/>
            <w:tcBorders>
              <w:top w:val="single" w:sz="6" w:space="0" w:color="000000"/>
              <w:left w:val="single" w:sz="6" w:space="0" w:color="000000"/>
              <w:bottom w:val="single" w:sz="6" w:space="0" w:color="000000"/>
              <w:right w:val="single" w:sz="6" w:space="0" w:color="000000"/>
            </w:tcBorders>
          </w:tcPr>
          <w:p w14:paraId="0DCB5841" w14:textId="7F37656F" w:rsidR="002F0483" w:rsidRPr="00CB31ED" w:rsidRDefault="00E453CD">
            <w:pPr>
              <w:keepNext/>
              <w:suppressAutoHyphens/>
              <w:rPr>
                <w:del w:id="10520" w:author="AbbVie02no" w:date="2025-05-15T13:45:00Z"/>
                <w:sz w:val="22"/>
                <w:szCs w:val="22"/>
              </w:rPr>
              <w:pPrChange w:id="10521" w:author="AbbVie02no" w:date="2025-05-15T13:45:00Z">
                <w:pPr>
                  <w:keepLines/>
                  <w:tabs>
                    <w:tab w:val="left" w:pos="-1080"/>
                  </w:tabs>
                  <w:autoSpaceDE w:val="0"/>
                  <w:autoSpaceDN w:val="0"/>
                  <w:adjustRightInd w:val="0"/>
                  <w:ind w:left="15"/>
                  <w:jc w:val="center"/>
                </w:pPr>
              </w:pPrChange>
            </w:pPr>
            <w:del w:id="10522" w:author="AbbVie02no" w:date="2025-05-15T13:45:00Z">
              <w:r w:rsidRPr="00CB31ED">
                <w:rPr>
                  <w:sz w:val="22"/>
                  <w:szCs w:val="22"/>
                </w:rPr>
                <w:delText>48,4 %</w:delText>
              </w:r>
            </w:del>
          </w:p>
        </w:tc>
        <w:tc>
          <w:tcPr>
            <w:tcW w:w="1147" w:type="dxa"/>
            <w:tcBorders>
              <w:top w:val="single" w:sz="6" w:space="0" w:color="000000"/>
              <w:left w:val="single" w:sz="6" w:space="0" w:color="000000"/>
              <w:bottom w:val="single" w:sz="6" w:space="0" w:color="000000"/>
              <w:right w:val="single" w:sz="6" w:space="0" w:color="000000"/>
            </w:tcBorders>
          </w:tcPr>
          <w:p w14:paraId="4D0579A6" w14:textId="7BBE6DDB" w:rsidR="002F0483" w:rsidRPr="00CB31ED" w:rsidRDefault="00E453CD">
            <w:pPr>
              <w:keepNext/>
              <w:suppressAutoHyphens/>
              <w:rPr>
                <w:del w:id="10523" w:author="AbbVie02no" w:date="2025-05-15T13:45:00Z"/>
                <w:sz w:val="22"/>
                <w:szCs w:val="22"/>
              </w:rPr>
              <w:pPrChange w:id="10524" w:author="AbbVie02no" w:date="2025-05-15T13:45:00Z">
                <w:pPr>
                  <w:keepLines/>
                  <w:tabs>
                    <w:tab w:val="left" w:pos="-1080"/>
                  </w:tabs>
                  <w:autoSpaceDE w:val="0"/>
                  <w:autoSpaceDN w:val="0"/>
                  <w:adjustRightInd w:val="0"/>
                  <w:ind w:left="15"/>
                  <w:jc w:val="center"/>
                </w:pPr>
              </w:pPrChange>
            </w:pPr>
            <w:del w:id="10525" w:author="AbbVie02no" w:date="2025-05-15T13:45:00Z">
              <w:r w:rsidRPr="00CB31ED">
                <w:rPr>
                  <w:sz w:val="22"/>
                  <w:szCs w:val="22"/>
                </w:rPr>
                <w:delText>0,073</w:delText>
              </w:r>
            </w:del>
          </w:p>
        </w:tc>
      </w:tr>
      <w:tr w:rsidR="004644D4" w14:paraId="4499DDA0" w14:textId="75BEA69F" w:rsidTr="002F0483">
        <w:trPr>
          <w:jc w:val="center"/>
          <w:del w:id="10526" w:author="AbbVie02no" w:date="2025-05-15T13:45:00Z"/>
        </w:trPr>
        <w:tc>
          <w:tcPr>
            <w:tcW w:w="2321" w:type="dxa"/>
            <w:tcBorders>
              <w:top w:val="single" w:sz="6" w:space="0" w:color="000000"/>
              <w:left w:val="single" w:sz="6" w:space="0" w:color="000000"/>
              <w:bottom w:val="single" w:sz="6" w:space="0" w:color="000000"/>
              <w:right w:val="single" w:sz="6" w:space="0" w:color="000000"/>
            </w:tcBorders>
            <w:vAlign w:val="bottom"/>
          </w:tcPr>
          <w:p w14:paraId="5B9C74C5" w14:textId="591417E4" w:rsidR="002F0483" w:rsidRPr="00CB31ED" w:rsidRDefault="00E453CD">
            <w:pPr>
              <w:keepNext/>
              <w:suppressAutoHyphens/>
              <w:rPr>
                <w:del w:id="10527" w:author="AbbVie02no" w:date="2025-05-15T13:45:00Z"/>
                <w:b/>
                <w:bCs/>
                <w:sz w:val="22"/>
                <w:szCs w:val="22"/>
              </w:rPr>
              <w:pPrChange w:id="10528" w:author="AbbVie02no" w:date="2025-05-15T13:45:00Z">
                <w:pPr>
                  <w:keepLines/>
                  <w:tabs>
                    <w:tab w:val="left" w:pos="-1080"/>
                  </w:tabs>
                  <w:autoSpaceDE w:val="0"/>
                  <w:autoSpaceDN w:val="0"/>
                  <w:adjustRightInd w:val="0"/>
                  <w:ind w:left="15"/>
                </w:pPr>
              </w:pPrChange>
            </w:pPr>
            <w:del w:id="10529" w:author="AbbVie02no" w:date="2025-05-15T13:45:00Z">
              <w:r w:rsidRPr="00CB31ED">
                <w:rPr>
                  <w:b/>
                  <w:bCs/>
                  <w:sz w:val="22"/>
                  <w:szCs w:val="22"/>
                </w:rPr>
                <w:delText>Uke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C387DDD" w14:textId="72E5674F" w:rsidR="002F0483" w:rsidRPr="00CB31ED" w:rsidRDefault="002F0483">
            <w:pPr>
              <w:keepNext/>
              <w:suppressAutoHyphens/>
              <w:rPr>
                <w:del w:id="10530" w:author="AbbVie02no" w:date="2025-05-15T13:45:00Z"/>
                <w:b/>
                <w:bCs/>
                <w:sz w:val="22"/>
                <w:szCs w:val="22"/>
              </w:rPr>
              <w:pPrChange w:id="10531" w:author="AbbVie02no" w:date="2025-05-15T13:45:00Z">
                <w:pPr>
                  <w:keepLines/>
                  <w:tabs>
                    <w:tab w:val="left" w:pos="-1080"/>
                  </w:tabs>
                  <w:autoSpaceDE w:val="0"/>
                  <w:autoSpaceDN w:val="0"/>
                  <w:adjustRightInd w:val="0"/>
                  <w:ind w:left="15"/>
                  <w:jc w:val="center"/>
                </w:pPr>
              </w:pPrChange>
            </w:pPr>
          </w:p>
        </w:tc>
        <w:tc>
          <w:tcPr>
            <w:tcW w:w="1591" w:type="dxa"/>
            <w:tcBorders>
              <w:top w:val="single" w:sz="6" w:space="0" w:color="000000"/>
              <w:left w:val="single" w:sz="6" w:space="0" w:color="000000"/>
              <w:bottom w:val="single" w:sz="6" w:space="0" w:color="000000"/>
              <w:right w:val="single" w:sz="6" w:space="0" w:color="000000"/>
            </w:tcBorders>
            <w:vAlign w:val="bottom"/>
          </w:tcPr>
          <w:p w14:paraId="3E414806" w14:textId="65B9279A" w:rsidR="002F0483" w:rsidRPr="00CB31ED" w:rsidRDefault="002F0483">
            <w:pPr>
              <w:keepNext/>
              <w:suppressAutoHyphens/>
              <w:rPr>
                <w:del w:id="10532" w:author="AbbVie02no" w:date="2025-05-15T13:45:00Z"/>
                <w:b/>
                <w:bCs/>
                <w:sz w:val="22"/>
                <w:szCs w:val="22"/>
              </w:rPr>
              <w:pPrChange w:id="10533" w:author="AbbVie02no" w:date="2025-05-15T13:45:00Z">
                <w:pPr>
                  <w:keepLines/>
                  <w:tabs>
                    <w:tab w:val="left" w:pos="-1080"/>
                  </w:tabs>
                  <w:autoSpaceDE w:val="0"/>
                  <w:autoSpaceDN w:val="0"/>
                  <w:adjustRightInd w:val="0"/>
                  <w:ind w:left="15"/>
                  <w:jc w:val="center"/>
                </w:pPr>
              </w:pPrChange>
            </w:pPr>
          </w:p>
        </w:tc>
        <w:tc>
          <w:tcPr>
            <w:tcW w:w="1147" w:type="dxa"/>
            <w:tcBorders>
              <w:top w:val="single" w:sz="6" w:space="0" w:color="000000"/>
              <w:left w:val="single" w:sz="6" w:space="0" w:color="000000"/>
              <w:bottom w:val="single" w:sz="6" w:space="0" w:color="000000"/>
              <w:right w:val="single" w:sz="6" w:space="0" w:color="000000"/>
            </w:tcBorders>
            <w:vAlign w:val="bottom"/>
          </w:tcPr>
          <w:p w14:paraId="6974E59E" w14:textId="0B3119FD" w:rsidR="002F0483" w:rsidRPr="00CB31ED" w:rsidRDefault="002F0483">
            <w:pPr>
              <w:keepNext/>
              <w:suppressAutoHyphens/>
              <w:rPr>
                <w:del w:id="10534" w:author="AbbVie02no" w:date="2025-05-15T13:45:00Z"/>
                <w:b/>
                <w:bCs/>
                <w:sz w:val="22"/>
                <w:szCs w:val="22"/>
              </w:rPr>
              <w:pPrChange w:id="10535" w:author="AbbVie02no" w:date="2025-05-15T13:45:00Z">
                <w:pPr>
                  <w:autoSpaceDE w:val="0"/>
                  <w:autoSpaceDN w:val="0"/>
                  <w:adjustRightInd w:val="0"/>
                  <w:ind w:left="15"/>
                </w:pPr>
              </w:pPrChange>
            </w:pPr>
          </w:p>
        </w:tc>
      </w:tr>
      <w:tr w:rsidR="004644D4" w14:paraId="18C2BBCB" w14:textId="32EA7D4D" w:rsidTr="002F0483">
        <w:trPr>
          <w:jc w:val="center"/>
          <w:del w:id="10536" w:author="AbbVie02no" w:date="2025-05-15T13:45:00Z"/>
        </w:trPr>
        <w:tc>
          <w:tcPr>
            <w:tcW w:w="2321" w:type="dxa"/>
            <w:tcBorders>
              <w:top w:val="single" w:sz="6" w:space="0" w:color="000000"/>
              <w:left w:val="single" w:sz="6" w:space="0" w:color="000000"/>
              <w:bottom w:val="single" w:sz="6" w:space="0" w:color="000000"/>
              <w:right w:val="single" w:sz="6" w:space="0" w:color="000000"/>
            </w:tcBorders>
            <w:vAlign w:val="bottom"/>
          </w:tcPr>
          <w:p w14:paraId="5DD82D4C" w14:textId="77EFC2D8" w:rsidR="002F0483" w:rsidRPr="00CB31ED" w:rsidRDefault="00E453CD">
            <w:pPr>
              <w:keepNext/>
              <w:suppressAutoHyphens/>
              <w:rPr>
                <w:del w:id="10537" w:author="AbbVie02no" w:date="2025-05-15T13:45:00Z"/>
                <w:sz w:val="22"/>
                <w:szCs w:val="22"/>
              </w:rPr>
              <w:pPrChange w:id="10538" w:author="AbbVie02no" w:date="2025-05-15T13:45:00Z">
                <w:pPr>
                  <w:keepLines/>
                  <w:tabs>
                    <w:tab w:val="left" w:pos="-1080"/>
                  </w:tabs>
                  <w:autoSpaceDE w:val="0"/>
                  <w:autoSpaceDN w:val="0"/>
                  <w:adjustRightInd w:val="0"/>
                  <w:ind w:left="15"/>
                </w:pPr>
              </w:pPrChange>
            </w:pPr>
            <w:del w:id="10539" w:author="AbbVie02no" w:date="2025-05-15T13:45:00Z">
              <w:r w:rsidRPr="00CB31ED">
                <w:rPr>
                  <w:sz w:val="22"/>
                  <w:szCs w:val="22"/>
                </w:rPr>
                <w:delText xml:space="preserve">   Klinisk remisjon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494EA536" w14:textId="1E4C1B7C" w:rsidR="002F0483" w:rsidRPr="00CB31ED" w:rsidRDefault="00E453CD">
            <w:pPr>
              <w:keepNext/>
              <w:suppressAutoHyphens/>
              <w:rPr>
                <w:del w:id="10540" w:author="AbbVie02no" w:date="2025-05-15T13:45:00Z"/>
                <w:sz w:val="22"/>
                <w:szCs w:val="22"/>
              </w:rPr>
              <w:pPrChange w:id="10541" w:author="AbbVie02no" w:date="2025-05-15T13:45:00Z">
                <w:pPr>
                  <w:keepLines/>
                  <w:tabs>
                    <w:tab w:val="left" w:pos="-1080"/>
                  </w:tabs>
                  <w:autoSpaceDE w:val="0"/>
                  <w:autoSpaceDN w:val="0"/>
                  <w:adjustRightInd w:val="0"/>
                  <w:ind w:left="15"/>
                  <w:jc w:val="center"/>
                </w:pPr>
              </w:pPrChange>
            </w:pPr>
            <w:del w:id="10542" w:author="AbbVie02no" w:date="2025-05-15T13:45:00Z">
              <w:r w:rsidRPr="00CB31ED">
                <w:rPr>
                  <w:sz w:val="22"/>
                  <w:szCs w:val="22"/>
                </w:rPr>
                <w:delText>33,3 %</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6924D1F8" w14:textId="38B8E309" w:rsidR="002F0483" w:rsidRPr="00CB31ED" w:rsidRDefault="00E453CD">
            <w:pPr>
              <w:keepNext/>
              <w:suppressAutoHyphens/>
              <w:rPr>
                <w:del w:id="10543" w:author="AbbVie02no" w:date="2025-05-15T13:45:00Z"/>
                <w:sz w:val="22"/>
                <w:szCs w:val="22"/>
              </w:rPr>
              <w:pPrChange w:id="10544" w:author="AbbVie02no" w:date="2025-05-15T13:45:00Z">
                <w:pPr>
                  <w:keepLines/>
                  <w:tabs>
                    <w:tab w:val="left" w:pos="-1080"/>
                  </w:tabs>
                  <w:autoSpaceDE w:val="0"/>
                  <w:autoSpaceDN w:val="0"/>
                  <w:adjustRightInd w:val="0"/>
                  <w:ind w:left="15"/>
                  <w:jc w:val="center"/>
                </w:pPr>
              </w:pPrChange>
            </w:pPr>
            <w:del w:id="10545" w:author="AbbVie02no" w:date="2025-05-15T13:45:00Z">
              <w:r w:rsidRPr="00CB31ED">
                <w:rPr>
                  <w:sz w:val="22"/>
                  <w:szCs w:val="22"/>
                </w:rPr>
                <w:delText>23,2 %</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449810A1" w14:textId="6D034E94" w:rsidR="002F0483" w:rsidRPr="00CB31ED" w:rsidRDefault="00E453CD">
            <w:pPr>
              <w:keepNext/>
              <w:suppressAutoHyphens/>
              <w:rPr>
                <w:del w:id="10546" w:author="AbbVie02no" w:date="2025-05-15T13:45:00Z"/>
                <w:sz w:val="22"/>
                <w:szCs w:val="22"/>
              </w:rPr>
              <w:pPrChange w:id="10547" w:author="AbbVie02no" w:date="2025-05-15T13:45:00Z">
                <w:pPr>
                  <w:keepLines/>
                  <w:tabs>
                    <w:tab w:val="left" w:pos="-1080"/>
                  </w:tabs>
                  <w:autoSpaceDE w:val="0"/>
                  <w:autoSpaceDN w:val="0"/>
                  <w:adjustRightInd w:val="0"/>
                  <w:ind w:left="15"/>
                  <w:jc w:val="center"/>
                </w:pPr>
              </w:pPrChange>
            </w:pPr>
            <w:del w:id="10548" w:author="AbbVie02no" w:date="2025-05-15T13:45:00Z">
              <w:r w:rsidRPr="00CB31ED">
                <w:rPr>
                  <w:sz w:val="22"/>
                  <w:szCs w:val="22"/>
                </w:rPr>
                <w:delText>0,100</w:delText>
              </w:r>
            </w:del>
          </w:p>
        </w:tc>
      </w:tr>
      <w:tr w:rsidR="004644D4" w14:paraId="5552B937" w14:textId="106F4662" w:rsidTr="002F0483">
        <w:trPr>
          <w:jc w:val="center"/>
          <w:del w:id="10549" w:author="AbbVie02no" w:date="2025-05-15T13:45:00Z"/>
        </w:trPr>
        <w:tc>
          <w:tcPr>
            <w:tcW w:w="2321" w:type="dxa"/>
            <w:tcBorders>
              <w:top w:val="single" w:sz="6" w:space="0" w:color="000000"/>
              <w:left w:val="single" w:sz="6" w:space="0" w:color="000000"/>
              <w:bottom w:val="single" w:sz="6" w:space="0" w:color="000000"/>
              <w:right w:val="single" w:sz="6" w:space="0" w:color="000000"/>
            </w:tcBorders>
          </w:tcPr>
          <w:p w14:paraId="01AB2348" w14:textId="6AF73210" w:rsidR="002F0483" w:rsidRPr="00CB31ED" w:rsidRDefault="00E453CD">
            <w:pPr>
              <w:keepNext/>
              <w:suppressAutoHyphens/>
              <w:rPr>
                <w:del w:id="10550" w:author="AbbVie02no" w:date="2025-05-15T13:45:00Z"/>
                <w:sz w:val="22"/>
                <w:szCs w:val="22"/>
              </w:rPr>
              <w:pPrChange w:id="10551" w:author="AbbVie02no" w:date="2025-05-15T13:45:00Z">
                <w:pPr>
                  <w:keepLines/>
                  <w:tabs>
                    <w:tab w:val="left" w:pos="-1080"/>
                  </w:tabs>
                  <w:autoSpaceDE w:val="0"/>
                  <w:autoSpaceDN w:val="0"/>
                  <w:adjustRightInd w:val="0"/>
                  <w:ind w:left="15"/>
                </w:pPr>
              </w:pPrChange>
            </w:pPr>
            <w:del w:id="10552" w:author="AbbVie02no" w:date="2025-05-15T13:45:00Z">
              <w:r w:rsidRPr="00CB31ED">
                <w:rPr>
                  <w:sz w:val="22"/>
                  <w:szCs w:val="22"/>
                </w:rPr>
                <w:delText xml:space="preserve">   Klinisk respons</w:delText>
              </w:r>
            </w:del>
          </w:p>
        </w:tc>
        <w:tc>
          <w:tcPr>
            <w:tcW w:w="1614" w:type="dxa"/>
            <w:tcBorders>
              <w:top w:val="single" w:sz="6" w:space="0" w:color="000000"/>
              <w:left w:val="single" w:sz="6" w:space="0" w:color="000000"/>
              <w:bottom w:val="single" w:sz="6" w:space="0" w:color="000000"/>
              <w:right w:val="single" w:sz="6" w:space="0" w:color="000000"/>
            </w:tcBorders>
          </w:tcPr>
          <w:p w14:paraId="1D752E0A" w14:textId="009094D0" w:rsidR="002F0483" w:rsidRPr="00CB31ED" w:rsidRDefault="00E453CD">
            <w:pPr>
              <w:keepNext/>
              <w:suppressAutoHyphens/>
              <w:rPr>
                <w:del w:id="10553" w:author="AbbVie02no" w:date="2025-05-15T13:45:00Z"/>
                <w:sz w:val="22"/>
                <w:szCs w:val="22"/>
              </w:rPr>
              <w:pPrChange w:id="10554" w:author="AbbVie02no" w:date="2025-05-15T13:45:00Z">
                <w:pPr>
                  <w:keepLines/>
                  <w:tabs>
                    <w:tab w:val="left" w:pos="-1080"/>
                  </w:tabs>
                  <w:autoSpaceDE w:val="0"/>
                  <w:autoSpaceDN w:val="0"/>
                  <w:adjustRightInd w:val="0"/>
                  <w:ind w:left="15"/>
                  <w:jc w:val="center"/>
                </w:pPr>
              </w:pPrChange>
            </w:pPr>
            <w:del w:id="10555" w:author="AbbVie02no" w:date="2025-05-15T13:45:00Z">
              <w:r w:rsidRPr="00CB31ED">
                <w:rPr>
                  <w:sz w:val="22"/>
                  <w:szCs w:val="22"/>
                </w:rPr>
                <w:delText>41,9 %</w:delText>
              </w:r>
            </w:del>
          </w:p>
        </w:tc>
        <w:tc>
          <w:tcPr>
            <w:tcW w:w="1591" w:type="dxa"/>
            <w:tcBorders>
              <w:top w:val="single" w:sz="6" w:space="0" w:color="000000"/>
              <w:left w:val="single" w:sz="6" w:space="0" w:color="000000"/>
              <w:bottom w:val="single" w:sz="6" w:space="0" w:color="000000"/>
              <w:right w:val="single" w:sz="6" w:space="0" w:color="000000"/>
            </w:tcBorders>
          </w:tcPr>
          <w:p w14:paraId="337407E8" w14:textId="14A78D6D" w:rsidR="002F0483" w:rsidRPr="00CB31ED" w:rsidRDefault="00E453CD">
            <w:pPr>
              <w:keepNext/>
              <w:suppressAutoHyphens/>
              <w:rPr>
                <w:del w:id="10556" w:author="AbbVie02no" w:date="2025-05-15T13:45:00Z"/>
                <w:sz w:val="22"/>
                <w:szCs w:val="22"/>
              </w:rPr>
              <w:pPrChange w:id="10557" w:author="AbbVie02no" w:date="2025-05-15T13:45:00Z">
                <w:pPr>
                  <w:keepLines/>
                  <w:tabs>
                    <w:tab w:val="left" w:pos="-1080"/>
                  </w:tabs>
                  <w:autoSpaceDE w:val="0"/>
                  <w:autoSpaceDN w:val="0"/>
                  <w:adjustRightInd w:val="0"/>
                  <w:ind w:left="15"/>
                  <w:jc w:val="center"/>
                </w:pPr>
              </w:pPrChange>
            </w:pPr>
            <w:del w:id="10558" w:author="AbbVie02no" w:date="2025-05-15T13:45:00Z">
              <w:r w:rsidRPr="00CB31ED">
                <w:rPr>
                  <w:sz w:val="22"/>
                  <w:szCs w:val="22"/>
                </w:rPr>
                <w:delText>28,4 %</w:delText>
              </w:r>
            </w:del>
          </w:p>
        </w:tc>
        <w:tc>
          <w:tcPr>
            <w:tcW w:w="1147" w:type="dxa"/>
            <w:tcBorders>
              <w:top w:val="single" w:sz="6" w:space="0" w:color="000000"/>
              <w:left w:val="single" w:sz="6" w:space="0" w:color="000000"/>
              <w:bottom w:val="single" w:sz="6" w:space="0" w:color="000000"/>
              <w:right w:val="single" w:sz="6" w:space="0" w:color="000000"/>
            </w:tcBorders>
          </w:tcPr>
          <w:p w14:paraId="05602AB3" w14:textId="62451CD0" w:rsidR="002F0483" w:rsidRPr="00CB31ED" w:rsidRDefault="00E453CD">
            <w:pPr>
              <w:keepNext/>
              <w:suppressAutoHyphens/>
              <w:rPr>
                <w:del w:id="10559" w:author="AbbVie02no" w:date="2025-05-15T13:45:00Z"/>
                <w:sz w:val="22"/>
                <w:szCs w:val="22"/>
              </w:rPr>
              <w:pPrChange w:id="10560" w:author="AbbVie02no" w:date="2025-05-15T13:45:00Z">
                <w:pPr>
                  <w:keepLines/>
                  <w:tabs>
                    <w:tab w:val="left" w:pos="-1080"/>
                  </w:tabs>
                  <w:autoSpaceDE w:val="0"/>
                  <w:autoSpaceDN w:val="0"/>
                  <w:adjustRightInd w:val="0"/>
                  <w:ind w:left="15"/>
                  <w:jc w:val="center"/>
                </w:pPr>
              </w:pPrChange>
            </w:pPr>
            <w:del w:id="10561" w:author="AbbVie02no" w:date="2025-05-15T13:45:00Z">
              <w:r w:rsidRPr="00CB31ED">
                <w:rPr>
                  <w:sz w:val="22"/>
                  <w:szCs w:val="22"/>
                </w:rPr>
                <w:delText>0,038</w:delText>
              </w:r>
            </w:del>
          </w:p>
        </w:tc>
      </w:tr>
      <w:tr w:rsidR="004644D4" w14:paraId="2EFDD577" w14:textId="276F832A" w:rsidTr="002F0483">
        <w:trPr>
          <w:jc w:val="center"/>
          <w:del w:id="10562" w:author="AbbVie02no" w:date="2025-05-15T13:45:00Z"/>
        </w:trPr>
        <w:tc>
          <w:tcPr>
            <w:tcW w:w="6673" w:type="dxa"/>
            <w:gridSpan w:val="4"/>
            <w:tcBorders>
              <w:top w:val="single" w:sz="6" w:space="0" w:color="000000"/>
              <w:left w:val="single" w:sz="6" w:space="0" w:color="000000"/>
              <w:bottom w:val="single" w:sz="6" w:space="0" w:color="000000"/>
              <w:right w:val="single" w:sz="6" w:space="0" w:color="000000"/>
            </w:tcBorders>
          </w:tcPr>
          <w:p w14:paraId="619868EA" w14:textId="1047A41C" w:rsidR="002F0483" w:rsidRPr="00CB31ED" w:rsidRDefault="00E453CD">
            <w:pPr>
              <w:keepNext/>
              <w:suppressAutoHyphens/>
              <w:rPr>
                <w:del w:id="10563" w:author="AbbVie02no" w:date="2025-05-15T13:45:00Z"/>
                <w:sz w:val="22"/>
                <w:szCs w:val="22"/>
              </w:rPr>
              <w:pPrChange w:id="10564" w:author="AbbVie02no" w:date="2025-05-15T13:45:00Z">
                <w:pPr>
                  <w:keepLines/>
                  <w:tabs>
                    <w:tab w:val="left" w:pos="-1080"/>
                  </w:tabs>
                  <w:autoSpaceDE w:val="0"/>
                  <w:autoSpaceDN w:val="0"/>
                  <w:adjustRightInd w:val="0"/>
                  <w:ind w:left="15"/>
                </w:pPr>
              </w:pPrChange>
            </w:pPr>
            <w:del w:id="10565" w:author="AbbVie02no" w:date="2025-05-15T13:45:00Z">
              <w:r w:rsidRPr="00CB31ED">
                <w:rPr>
                  <w:sz w:val="22"/>
                  <w:szCs w:val="22"/>
                </w:rPr>
                <w:delText xml:space="preserve">*p-verdi for standard dose </w:delText>
              </w:r>
              <w:r w:rsidRPr="00CB31ED">
                <w:rPr>
                  <w:i/>
                  <w:iCs/>
                  <w:sz w:val="22"/>
                  <w:szCs w:val="22"/>
                </w:rPr>
                <w:delText>versus</w:delText>
              </w:r>
              <w:r w:rsidRPr="00CB31ED">
                <w:rPr>
                  <w:sz w:val="22"/>
                  <w:szCs w:val="22"/>
                </w:rPr>
                <w:delText xml:space="preserve"> lav dose sammenligning.</w:delText>
              </w:r>
            </w:del>
          </w:p>
        </w:tc>
      </w:tr>
    </w:tbl>
    <w:p w14:paraId="5AF304C1" w14:textId="7C07B68C" w:rsidR="002F0483" w:rsidRPr="009C5EFD" w:rsidRDefault="002F0483">
      <w:pPr>
        <w:keepNext/>
        <w:suppressAutoHyphens/>
        <w:rPr>
          <w:del w:id="10566" w:author="AbbVie02no" w:date="2025-05-15T13:45:00Z"/>
        </w:rPr>
        <w:pPrChange w:id="10567" w:author="AbbVie02no" w:date="2025-05-15T13:45:00Z">
          <w:pPr>
            <w:keepNext/>
          </w:pPr>
        </w:pPrChange>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4644D4" w14:paraId="7E9CA2BF" w14:textId="30DDE9B4" w:rsidTr="002F0483">
        <w:trPr>
          <w:jc w:val="center"/>
          <w:del w:id="10568" w:author="AbbVie02no" w:date="2025-05-15T13:45:00Z"/>
        </w:trPr>
        <w:tc>
          <w:tcPr>
            <w:tcW w:w="8440" w:type="dxa"/>
            <w:gridSpan w:val="4"/>
            <w:tcBorders>
              <w:top w:val="single" w:sz="6" w:space="0" w:color="000000"/>
              <w:left w:val="single" w:sz="6" w:space="0" w:color="000000"/>
              <w:bottom w:val="single" w:sz="6" w:space="0" w:color="000000"/>
              <w:right w:val="single" w:sz="6" w:space="0" w:color="000000"/>
            </w:tcBorders>
          </w:tcPr>
          <w:p w14:paraId="380A47BD" w14:textId="0DD34116" w:rsidR="002F0483" w:rsidRPr="009C5EFD" w:rsidRDefault="00E453CD">
            <w:pPr>
              <w:keepNext/>
              <w:suppressAutoHyphens/>
              <w:rPr>
                <w:del w:id="10569" w:author="AbbVie02no" w:date="2025-05-15T13:45:00Z"/>
                <w:b/>
                <w:bCs/>
                <w:sz w:val="22"/>
                <w:szCs w:val="22"/>
              </w:rPr>
              <w:pPrChange w:id="10570" w:author="AbbVie02no" w:date="2025-05-15T13:45:00Z">
                <w:pPr>
                  <w:keepNext/>
                  <w:tabs>
                    <w:tab w:val="left" w:pos="-878"/>
                  </w:tabs>
                  <w:autoSpaceDE w:val="0"/>
                  <w:autoSpaceDN w:val="0"/>
                  <w:adjustRightInd w:val="0"/>
                  <w:jc w:val="center"/>
                </w:pPr>
              </w:pPrChange>
            </w:pPr>
            <w:del w:id="10571" w:author="AbbVie02no" w:date="2025-05-15T13:45:00Z">
              <w:r w:rsidRPr="009C5EFD">
                <w:rPr>
                  <w:b/>
                  <w:bCs/>
                  <w:sz w:val="22"/>
                  <w:szCs w:val="22"/>
                </w:rPr>
                <w:lastRenderedPageBreak/>
                <w:delText xml:space="preserve">Tabell </w:delText>
              </w:r>
              <w:r>
                <w:rPr>
                  <w:b/>
                  <w:bCs/>
                  <w:sz w:val="22"/>
                  <w:szCs w:val="22"/>
                </w:rPr>
                <w:delText>30</w:delText>
              </w:r>
            </w:del>
          </w:p>
          <w:p w14:paraId="7D6EFF83" w14:textId="23161D13" w:rsidR="002F0483" w:rsidRPr="009C5EFD" w:rsidRDefault="00E453CD">
            <w:pPr>
              <w:keepNext/>
              <w:suppressAutoHyphens/>
              <w:rPr>
                <w:del w:id="10572" w:author="AbbVie02no" w:date="2025-05-15T13:45:00Z"/>
                <w:b/>
                <w:bCs/>
                <w:sz w:val="22"/>
                <w:szCs w:val="22"/>
              </w:rPr>
              <w:pPrChange w:id="10573" w:author="AbbVie02no" w:date="2025-05-15T13:45:00Z">
                <w:pPr>
                  <w:keepNext/>
                  <w:tabs>
                    <w:tab w:val="left" w:pos="-878"/>
                  </w:tabs>
                  <w:autoSpaceDE w:val="0"/>
                  <w:autoSpaceDN w:val="0"/>
                  <w:adjustRightInd w:val="0"/>
                  <w:jc w:val="center"/>
                </w:pPr>
              </w:pPrChange>
            </w:pPr>
            <w:del w:id="10574" w:author="AbbVie02no" w:date="2025-05-15T13:45:00Z">
              <w:r w:rsidRPr="009C5EFD">
                <w:rPr>
                  <w:b/>
                  <w:bCs/>
                  <w:sz w:val="22"/>
                  <w:szCs w:val="22"/>
                </w:rPr>
                <w:delText>Pediatrisk CD studie</w:delText>
              </w:r>
            </w:del>
          </w:p>
          <w:p w14:paraId="264D4D56" w14:textId="5673BB1B" w:rsidR="002F0483" w:rsidRPr="009C5EFD" w:rsidRDefault="00E453CD">
            <w:pPr>
              <w:keepNext/>
              <w:suppressAutoHyphens/>
              <w:rPr>
                <w:del w:id="10575" w:author="AbbVie02no" w:date="2025-05-15T13:45:00Z"/>
                <w:b/>
                <w:bCs/>
                <w:sz w:val="22"/>
                <w:szCs w:val="22"/>
              </w:rPr>
              <w:pPrChange w:id="10576" w:author="AbbVie02no" w:date="2025-05-15T13:45:00Z">
                <w:pPr>
                  <w:keepNext/>
                  <w:tabs>
                    <w:tab w:val="left" w:pos="-878"/>
                  </w:tabs>
                  <w:autoSpaceDE w:val="0"/>
                  <w:autoSpaceDN w:val="0"/>
                  <w:adjustRightInd w:val="0"/>
                  <w:jc w:val="center"/>
                </w:pPr>
              </w:pPrChange>
            </w:pPr>
            <w:del w:id="10577" w:author="AbbVie02no" w:date="2025-05-15T13:45:00Z">
              <w:r w:rsidRPr="009C5EFD">
                <w:rPr>
                  <w:b/>
                  <w:bCs/>
                  <w:sz w:val="22"/>
                  <w:szCs w:val="22"/>
                </w:rPr>
                <w:delText>Seponering av kortikosteroider eller immunmodulerende midler og fistel remisjon</w:delText>
              </w:r>
            </w:del>
          </w:p>
        </w:tc>
      </w:tr>
      <w:tr w:rsidR="004644D4" w14:paraId="48F5BBDC" w14:textId="6AD28A82" w:rsidTr="002F0483">
        <w:trPr>
          <w:jc w:val="center"/>
          <w:del w:id="10578" w:author="AbbVie02no" w:date="2025-05-15T13:45:00Z"/>
        </w:trPr>
        <w:tc>
          <w:tcPr>
            <w:tcW w:w="4025" w:type="dxa"/>
            <w:tcBorders>
              <w:top w:val="single" w:sz="6" w:space="0" w:color="000000"/>
              <w:left w:val="single" w:sz="6" w:space="0" w:color="000000"/>
              <w:bottom w:val="single" w:sz="6" w:space="0" w:color="000000"/>
              <w:right w:val="single" w:sz="6" w:space="0" w:color="000000"/>
            </w:tcBorders>
          </w:tcPr>
          <w:p w14:paraId="5A1C76AA" w14:textId="4C5B71A3" w:rsidR="002F0483" w:rsidRPr="009C5EFD" w:rsidRDefault="002F0483">
            <w:pPr>
              <w:keepNext/>
              <w:suppressAutoHyphens/>
              <w:rPr>
                <w:del w:id="10579" w:author="AbbVie02no" w:date="2025-05-15T13:45:00Z"/>
                <w:b/>
                <w:bCs/>
                <w:sz w:val="22"/>
                <w:szCs w:val="22"/>
              </w:rPr>
              <w:pPrChange w:id="10580" w:author="AbbVie02no" w:date="2025-05-15T13:45:00Z">
                <w:pPr>
                  <w:keepNext/>
                  <w:keepLines/>
                  <w:tabs>
                    <w:tab w:val="left" w:pos="-1080"/>
                  </w:tabs>
                  <w:autoSpaceDE w:val="0"/>
                  <w:autoSpaceDN w:val="0"/>
                  <w:adjustRightInd w:val="0"/>
                  <w:jc w:val="center"/>
                </w:pPr>
              </w:pPrChange>
            </w:pPr>
          </w:p>
        </w:tc>
        <w:tc>
          <w:tcPr>
            <w:tcW w:w="1656" w:type="dxa"/>
            <w:tcBorders>
              <w:top w:val="single" w:sz="6" w:space="0" w:color="000000"/>
              <w:left w:val="single" w:sz="6" w:space="0" w:color="000000"/>
              <w:bottom w:val="single" w:sz="6" w:space="0" w:color="000000"/>
              <w:right w:val="single" w:sz="6" w:space="0" w:color="000000"/>
            </w:tcBorders>
          </w:tcPr>
          <w:p w14:paraId="11014C93" w14:textId="443A1BD2" w:rsidR="002F0483" w:rsidRPr="009C5EFD" w:rsidRDefault="00E453CD">
            <w:pPr>
              <w:keepNext/>
              <w:suppressAutoHyphens/>
              <w:rPr>
                <w:del w:id="10581" w:author="AbbVie02no" w:date="2025-05-15T13:45:00Z"/>
                <w:b/>
                <w:bCs/>
                <w:sz w:val="22"/>
                <w:szCs w:val="22"/>
              </w:rPr>
              <w:pPrChange w:id="10582" w:author="AbbVie02no" w:date="2025-05-15T13:45:00Z">
                <w:pPr>
                  <w:keepNext/>
                  <w:keepLines/>
                  <w:tabs>
                    <w:tab w:val="left" w:pos="-1080"/>
                  </w:tabs>
                  <w:autoSpaceDE w:val="0"/>
                  <w:autoSpaceDN w:val="0"/>
                  <w:adjustRightInd w:val="0"/>
                  <w:ind w:left="15"/>
                  <w:jc w:val="center"/>
                </w:pPr>
              </w:pPrChange>
            </w:pPr>
            <w:del w:id="10583" w:author="AbbVie02no" w:date="2025-05-15T13:45:00Z">
              <w:r w:rsidRPr="009C5EFD">
                <w:rPr>
                  <w:b/>
                  <w:bCs/>
                  <w:sz w:val="22"/>
                  <w:szCs w:val="22"/>
                </w:rPr>
                <w:delText>Standard dose</w:delText>
              </w:r>
            </w:del>
          </w:p>
          <w:p w14:paraId="79E35DB1" w14:textId="29FA0B44" w:rsidR="002F0483" w:rsidRPr="009C5EFD" w:rsidRDefault="00E453CD">
            <w:pPr>
              <w:keepNext/>
              <w:suppressAutoHyphens/>
              <w:rPr>
                <w:del w:id="10584" w:author="AbbVie02no" w:date="2025-05-15T13:45:00Z"/>
                <w:b/>
                <w:bCs/>
                <w:sz w:val="22"/>
                <w:szCs w:val="22"/>
              </w:rPr>
              <w:pPrChange w:id="10585" w:author="AbbVie02no" w:date="2025-05-15T13:45:00Z">
                <w:pPr>
                  <w:keepNext/>
                  <w:keepLines/>
                  <w:tabs>
                    <w:tab w:val="left" w:pos="-1080"/>
                  </w:tabs>
                  <w:autoSpaceDE w:val="0"/>
                  <w:autoSpaceDN w:val="0"/>
                  <w:adjustRightInd w:val="0"/>
                  <w:ind w:left="15"/>
                  <w:jc w:val="center"/>
                </w:pPr>
              </w:pPrChange>
            </w:pPr>
            <w:del w:id="10586" w:author="AbbVie02no" w:date="2025-05-15T13:45:00Z">
              <w:r w:rsidRPr="009C5EFD">
                <w:rPr>
                  <w:b/>
                  <w:bCs/>
                  <w:sz w:val="22"/>
                  <w:szCs w:val="22"/>
                </w:rPr>
                <w:delText xml:space="preserve">40/20 mg annenhver uke </w:delText>
              </w:r>
            </w:del>
          </w:p>
        </w:tc>
        <w:tc>
          <w:tcPr>
            <w:tcW w:w="1619" w:type="dxa"/>
            <w:tcBorders>
              <w:top w:val="single" w:sz="6" w:space="0" w:color="000000"/>
              <w:left w:val="single" w:sz="6" w:space="0" w:color="000000"/>
              <w:bottom w:val="single" w:sz="6" w:space="0" w:color="000000"/>
              <w:right w:val="single" w:sz="6" w:space="0" w:color="000000"/>
            </w:tcBorders>
          </w:tcPr>
          <w:p w14:paraId="228E5BA5" w14:textId="2142F89F" w:rsidR="002F0483" w:rsidRPr="009C5EFD" w:rsidRDefault="00E453CD">
            <w:pPr>
              <w:keepNext/>
              <w:suppressAutoHyphens/>
              <w:rPr>
                <w:del w:id="10587" w:author="AbbVie02no" w:date="2025-05-15T13:45:00Z"/>
                <w:b/>
                <w:bCs/>
                <w:sz w:val="22"/>
                <w:szCs w:val="22"/>
              </w:rPr>
              <w:pPrChange w:id="10588" w:author="AbbVie02no" w:date="2025-05-15T13:45:00Z">
                <w:pPr>
                  <w:keepNext/>
                  <w:keepLines/>
                  <w:tabs>
                    <w:tab w:val="left" w:pos="-1080"/>
                  </w:tabs>
                  <w:autoSpaceDE w:val="0"/>
                  <w:autoSpaceDN w:val="0"/>
                  <w:adjustRightInd w:val="0"/>
                  <w:ind w:left="15"/>
                  <w:jc w:val="center"/>
                </w:pPr>
              </w:pPrChange>
            </w:pPr>
            <w:del w:id="10589" w:author="AbbVie02no" w:date="2025-05-15T13:45:00Z">
              <w:r w:rsidRPr="009C5EFD">
                <w:rPr>
                  <w:b/>
                  <w:bCs/>
                  <w:sz w:val="22"/>
                  <w:szCs w:val="22"/>
                </w:rPr>
                <w:delText>Lav dose</w:delText>
              </w:r>
            </w:del>
          </w:p>
          <w:p w14:paraId="4A5E84A9" w14:textId="7B032DF7" w:rsidR="002F0483" w:rsidRPr="009C5EFD" w:rsidRDefault="00E453CD">
            <w:pPr>
              <w:keepNext/>
              <w:suppressAutoHyphens/>
              <w:rPr>
                <w:del w:id="10590" w:author="AbbVie02no" w:date="2025-05-15T13:45:00Z"/>
                <w:b/>
                <w:bCs/>
                <w:sz w:val="22"/>
                <w:szCs w:val="22"/>
              </w:rPr>
              <w:pPrChange w:id="10591" w:author="AbbVie02no" w:date="2025-05-15T13:45:00Z">
                <w:pPr>
                  <w:keepNext/>
                  <w:keepLines/>
                  <w:tabs>
                    <w:tab w:val="left" w:pos="-1080"/>
                  </w:tabs>
                  <w:autoSpaceDE w:val="0"/>
                  <w:autoSpaceDN w:val="0"/>
                  <w:adjustRightInd w:val="0"/>
                  <w:ind w:left="15"/>
                  <w:jc w:val="center"/>
                </w:pPr>
              </w:pPrChange>
            </w:pPr>
            <w:del w:id="10592" w:author="AbbVie02no" w:date="2025-05-15T13:45:00Z">
              <w:r w:rsidRPr="009C5EFD">
                <w:rPr>
                  <w:b/>
                  <w:bCs/>
                  <w:sz w:val="22"/>
                  <w:szCs w:val="22"/>
                </w:rPr>
                <w:delText xml:space="preserve">20/10 mg annenhver uke </w:delText>
              </w:r>
            </w:del>
          </w:p>
        </w:tc>
        <w:tc>
          <w:tcPr>
            <w:tcW w:w="1140" w:type="dxa"/>
            <w:tcBorders>
              <w:top w:val="single" w:sz="6" w:space="0" w:color="000000"/>
              <w:left w:val="single" w:sz="6" w:space="0" w:color="000000"/>
              <w:bottom w:val="single" w:sz="6" w:space="0" w:color="000000"/>
              <w:right w:val="single" w:sz="6" w:space="0" w:color="000000"/>
            </w:tcBorders>
          </w:tcPr>
          <w:p w14:paraId="27141852" w14:textId="6F99655D" w:rsidR="002F0483" w:rsidRPr="009C5EFD" w:rsidRDefault="00E453CD">
            <w:pPr>
              <w:keepNext/>
              <w:suppressAutoHyphens/>
              <w:rPr>
                <w:del w:id="10593" w:author="AbbVie02no" w:date="2025-05-15T13:45:00Z"/>
                <w:b/>
                <w:bCs/>
                <w:sz w:val="22"/>
                <w:szCs w:val="22"/>
              </w:rPr>
              <w:pPrChange w:id="10594" w:author="AbbVie02no" w:date="2025-05-15T13:45:00Z">
                <w:pPr>
                  <w:keepNext/>
                  <w:keepLines/>
                  <w:tabs>
                    <w:tab w:val="left" w:pos="-1080"/>
                  </w:tabs>
                  <w:autoSpaceDE w:val="0"/>
                  <w:autoSpaceDN w:val="0"/>
                  <w:adjustRightInd w:val="0"/>
                  <w:ind w:left="15"/>
                  <w:jc w:val="center"/>
                </w:pPr>
              </w:pPrChange>
            </w:pPr>
            <w:del w:id="10595" w:author="AbbVie02no" w:date="2025-05-15T13:45:00Z">
              <w:r w:rsidRPr="009C5EFD">
                <w:rPr>
                  <w:b/>
                  <w:bCs/>
                  <w:sz w:val="22"/>
                  <w:szCs w:val="22"/>
                </w:rPr>
                <w:delText>P-verdi</w:delText>
              </w:r>
              <w:r w:rsidRPr="009C5EFD">
                <w:rPr>
                  <w:b/>
                  <w:bCs/>
                  <w:sz w:val="22"/>
                  <w:szCs w:val="22"/>
                  <w:vertAlign w:val="superscript"/>
                </w:rPr>
                <w:delText>1</w:delText>
              </w:r>
            </w:del>
          </w:p>
        </w:tc>
      </w:tr>
      <w:tr w:rsidR="004644D4" w14:paraId="3551B4CD" w14:textId="28939D45" w:rsidTr="002F0483">
        <w:trPr>
          <w:jc w:val="center"/>
          <w:del w:id="10596" w:author="AbbVie02no" w:date="2025-05-15T13:45:00Z"/>
        </w:trPr>
        <w:tc>
          <w:tcPr>
            <w:tcW w:w="4025" w:type="dxa"/>
            <w:tcBorders>
              <w:top w:val="single" w:sz="6" w:space="0" w:color="000000"/>
              <w:left w:val="single" w:sz="6" w:space="0" w:color="000000"/>
              <w:bottom w:val="single" w:sz="6" w:space="0" w:color="000000"/>
              <w:right w:val="single" w:sz="6" w:space="0" w:color="000000"/>
            </w:tcBorders>
            <w:vAlign w:val="bottom"/>
          </w:tcPr>
          <w:p w14:paraId="1634B7FF" w14:textId="09518545" w:rsidR="002F0483" w:rsidRPr="009C5EFD" w:rsidRDefault="00E453CD">
            <w:pPr>
              <w:keepNext/>
              <w:suppressAutoHyphens/>
              <w:rPr>
                <w:del w:id="10597" w:author="AbbVie02no" w:date="2025-05-15T13:45:00Z"/>
                <w:b/>
                <w:sz w:val="22"/>
                <w:szCs w:val="22"/>
              </w:rPr>
              <w:pPrChange w:id="10598" w:author="AbbVie02no" w:date="2025-05-15T13:45:00Z">
                <w:pPr>
                  <w:keepNext/>
                  <w:keepLines/>
                  <w:tabs>
                    <w:tab w:val="left" w:pos="-1080"/>
                  </w:tabs>
                  <w:autoSpaceDE w:val="0"/>
                  <w:autoSpaceDN w:val="0"/>
                  <w:adjustRightInd w:val="0"/>
                </w:pPr>
              </w:pPrChange>
            </w:pPr>
            <w:del w:id="10599" w:author="AbbVie02no" w:date="2025-05-15T13:45:00Z">
              <w:r w:rsidRPr="009C5EFD">
                <w:rPr>
                  <w:b/>
                  <w:sz w:val="22"/>
                  <w:szCs w:val="22"/>
                </w:rPr>
                <w:delText>Seponering av kortikosteroider</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7F8379A4" w14:textId="1845DFA5" w:rsidR="002F0483" w:rsidRPr="009C5EFD" w:rsidRDefault="00E453CD">
            <w:pPr>
              <w:keepNext/>
              <w:suppressAutoHyphens/>
              <w:rPr>
                <w:del w:id="10600" w:author="AbbVie02no" w:date="2025-05-15T13:45:00Z"/>
                <w:b/>
                <w:sz w:val="22"/>
                <w:szCs w:val="22"/>
              </w:rPr>
              <w:pPrChange w:id="10601" w:author="AbbVie02no" w:date="2025-05-15T13:45:00Z">
                <w:pPr>
                  <w:keepNext/>
                  <w:keepLines/>
                  <w:tabs>
                    <w:tab w:val="left" w:pos="-1080"/>
                  </w:tabs>
                  <w:autoSpaceDE w:val="0"/>
                  <w:autoSpaceDN w:val="0"/>
                  <w:adjustRightInd w:val="0"/>
                  <w:ind w:left="15"/>
                  <w:jc w:val="center"/>
                </w:pPr>
              </w:pPrChange>
            </w:pPr>
            <w:del w:id="10602" w:author="AbbVie02no" w:date="2025-05-15T13:45:00Z">
              <w:r w:rsidRPr="009C5EFD">
                <w:rPr>
                  <w:b/>
                  <w:sz w:val="22"/>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71DE77C5" w14:textId="0F593CE5" w:rsidR="002F0483" w:rsidRPr="009C5EFD" w:rsidRDefault="00E453CD">
            <w:pPr>
              <w:keepNext/>
              <w:suppressAutoHyphens/>
              <w:rPr>
                <w:del w:id="10603" w:author="AbbVie02no" w:date="2025-05-15T13:45:00Z"/>
                <w:b/>
                <w:sz w:val="22"/>
                <w:szCs w:val="22"/>
              </w:rPr>
              <w:pPrChange w:id="10604" w:author="AbbVie02no" w:date="2025-05-15T13:45:00Z">
                <w:pPr>
                  <w:keepNext/>
                  <w:keepLines/>
                  <w:tabs>
                    <w:tab w:val="left" w:pos="-1080"/>
                  </w:tabs>
                  <w:autoSpaceDE w:val="0"/>
                  <w:autoSpaceDN w:val="0"/>
                  <w:adjustRightInd w:val="0"/>
                  <w:ind w:left="15"/>
                  <w:jc w:val="center"/>
                </w:pPr>
              </w:pPrChange>
            </w:pPr>
            <w:del w:id="10605" w:author="AbbVie02no" w:date="2025-05-15T13:45:00Z">
              <w:r w:rsidRPr="009C5EFD">
                <w:rPr>
                  <w:b/>
                  <w:sz w:val="22"/>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EA5AFAE" w14:textId="6D81D34A" w:rsidR="002F0483" w:rsidRPr="009C5EFD" w:rsidRDefault="002F0483">
            <w:pPr>
              <w:keepNext/>
              <w:suppressAutoHyphens/>
              <w:rPr>
                <w:del w:id="10606" w:author="AbbVie02no" w:date="2025-05-15T13:45:00Z"/>
                <w:b/>
                <w:sz w:val="22"/>
                <w:szCs w:val="22"/>
              </w:rPr>
              <w:pPrChange w:id="10607" w:author="AbbVie02no" w:date="2025-05-15T13:45:00Z">
                <w:pPr>
                  <w:keepNext/>
                  <w:autoSpaceDE w:val="0"/>
                  <w:autoSpaceDN w:val="0"/>
                  <w:adjustRightInd w:val="0"/>
                  <w:ind w:left="15"/>
                </w:pPr>
              </w:pPrChange>
            </w:pPr>
          </w:p>
        </w:tc>
      </w:tr>
      <w:tr w:rsidR="004644D4" w14:paraId="0987E28C" w14:textId="16DE42FD" w:rsidTr="002F0483">
        <w:trPr>
          <w:jc w:val="center"/>
          <w:del w:id="10608" w:author="AbbVie02no" w:date="2025-05-15T13:45:00Z"/>
        </w:trPr>
        <w:tc>
          <w:tcPr>
            <w:tcW w:w="4025" w:type="dxa"/>
            <w:tcBorders>
              <w:top w:val="single" w:sz="6" w:space="0" w:color="000000"/>
              <w:left w:val="single" w:sz="6" w:space="0" w:color="000000"/>
              <w:bottom w:val="single" w:sz="6" w:space="0" w:color="000000"/>
              <w:right w:val="single" w:sz="6" w:space="0" w:color="000000"/>
            </w:tcBorders>
            <w:vAlign w:val="bottom"/>
          </w:tcPr>
          <w:p w14:paraId="1A91E96D" w14:textId="591EBDE8" w:rsidR="002F0483" w:rsidRPr="009C5EFD" w:rsidRDefault="00E453CD">
            <w:pPr>
              <w:keepNext/>
              <w:suppressAutoHyphens/>
              <w:rPr>
                <w:del w:id="10609" w:author="AbbVie02no" w:date="2025-05-15T13:45:00Z"/>
                <w:bCs/>
                <w:sz w:val="22"/>
                <w:szCs w:val="22"/>
              </w:rPr>
              <w:pPrChange w:id="10610" w:author="AbbVie02no" w:date="2025-05-15T13:45:00Z">
                <w:pPr>
                  <w:keepNext/>
                  <w:keepLines/>
                  <w:tabs>
                    <w:tab w:val="left" w:pos="-1080"/>
                  </w:tabs>
                  <w:autoSpaceDE w:val="0"/>
                  <w:autoSpaceDN w:val="0"/>
                  <w:adjustRightInd w:val="0"/>
                </w:pPr>
              </w:pPrChange>
            </w:pPr>
            <w:del w:id="10611" w:author="AbbVie02no" w:date="2025-05-15T13:45:00Z">
              <w:r w:rsidRPr="009C5EFD">
                <w:rPr>
                  <w:bCs/>
                  <w:sz w:val="22"/>
                  <w:szCs w:val="22"/>
                </w:rPr>
                <w:delText>Uke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AB4C2FA" w14:textId="3C492D3E" w:rsidR="002F0483" w:rsidRPr="009C5EFD" w:rsidRDefault="00E453CD">
            <w:pPr>
              <w:keepNext/>
              <w:suppressAutoHyphens/>
              <w:rPr>
                <w:del w:id="10612" w:author="AbbVie02no" w:date="2025-05-15T13:45:00Z"/>
                <w:sz w:val="22"/>
                <w:szCs w:val="22"/>
              </w:rPr>
              <w:pPrChange w:id="10613" w:author="AbbVie02no" w:date="2025-05-15T13:45:00Z">
                <w:pPr>
                  <w:keepNext/>
                  <w:keepLines/>
                  <w:tabs>
                    <w:tab w:val="left" w:pos="-1080"/>
                  </w:tabs>
                  <w:autoSpaceDE w:val="0"/>
                  <w:autoSpaceDN w:val="0"/>
                  <w:adjustRightInd w:val="0"/>
                  <w:ind w:left="15"/>
                  <w:jc w:val="center"/>
                </w:pPr>
              </w:pPrChange>
            </w:pPr>
            <w:del w:id="10614" w:author="AbbVie02no" w:date="2025-05-15T13:45:00Z">
              <w:r w:rsidRPr="009C5EFD">
                <w:rPr>
                  <w:sz w:val="22"/>
                  <w:szCs w:val="22"/>
                </w:rPr>
                <w:delText>84,8 %</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33A8DC7E" w14:textId="2905F7A6" w:rsidR="002F0483" w:rsidRPr="009C5EFD" w:rsidRDefault="00E453CD">
            <w:pPr>
              <w:keepNext/>
              <w:suppressAutoHyphens/>
              <w:rPr>
                <w:del w:id="10615" w:author="AbbVie02no" w:date="2025-05-15T13:45:00Z"/>
                <w:sz w:val="22"/>
                <w:szCs w:val="22"/>
              </w:rPr>
              <w:pPrChange w:id="10616" w:author="AbbVie02no" w:date="2025-05-15T13:45:00Z">
                <w:pPr>
                  <w:keepNext/>
                  <w:keepLines/>
                  <w:tabs>
                    <w:tab w:val="left" w:pos="-1080"/>
                  </w:tabs>
                  <w:autoSpaceDE w:val="0"/>
                  <w:autoSpaceDN w:val="0"/>
                  <w:adjustRightInd w:val="0"/>
                  <w:ind w:left="15"/>
                  <w:jc w:val="center"/>
                </w:pPr>
              </w:pPrChange>
            </w:pPr>
            <w:del w:id="10617" w:author="AbbVie02no" w:date="2025-05-15T13:45:00Z">
              <w:r w:rsidRPr="009C5EFD">
                <w:rPr>
                  <w:sz w:val="22"/>
                  <w:szCs w:val="22"/>
                </w:rPr>
                <w:delText>65,8 %</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701FA849" w14:textId="771C61BB" w:rsidR="002F0483" w:rsidRPr="009C5EFD" w:rsidRDefault="00E453CD">
            <w:pPr>
              <w:keepNext/>
              <w:suppressAutoHyphens/>
              <w:rPr>
                <w:del w:id="10618" w:author="AbbVie02no" w:date="2025-05-15T13:45:00Z"/>
                <w:sz w:val="22"/>
                <w:szCs w:val="22"/>
              </w:rPr>
              <w:pPrChange w:id="10619" w:author="AbbVie02no" w:date="2025-05-15T13:45:00Z">
                <w:pPr>
                  <w:keepNext/>
                  <w:keepLines/>
                  <w:tabs>
                    <w:tab w:val="left" w:pos="-1080"/>
                  </w:tabs>
                  <w:autoSpaceDE w:val="0"/>
                  <w:autoSpaceDN w:val="0"/>
                  <w:adjustRightInd w:val="0"/>
                  <w:ind w:left="15"/>
                  <w:jc w:val="center"/>
                </w:pPr>
              </w:pPrChange>
            </w:pPr>
            <w:del w:id="10620" w:author="AbbVie02no" w:date="2025-05-15T13:45:00Z">
              <w:r w:rsidRPr="009C5EFD">
                <w:rPr>
                  <w:sz w:val="22"/>
                  <w:szCs w:val="22"/>
                </w:rPr>
                <w:delText>0,066</w:delText>
              </w:r>
            </w:del>
          </w:p>
        </w:tc>
      </w:tr>
      <w:tr w:rsidR="004644D4" w14:paraId="62068F56" w14:textId="2C3481D1" w:rsidTr="002F0483">
        <w:trPr>
          <w:jc w:val="center"/>
          <w:del w:id="10621" w:author="AbbVie02no" w:date="2025-05-15T13:45:00Z"/>
        </w:trPr>
        <w:tc>
          <w:tcPr>
            <w:tcW w:w="4025" w:type="dxa"/>
            <w:tcBorders>
              <w:top w:val="single" w:sz="6" w:space="0" w:color="000000"/>
              <w:left w:val="single" w:sz="6" w:space="0" w:color="000000"/>
              <w:bottom w:val="single" w:sz="6" w:space="0" w:color="000000"/>
              <w:right w:val="single" w:sz="6" w:space="0" w:color="000000"/>
            </w:tcBorders>
            <w:vAlign w:val="bottom"/>
          </w:tcPr>
          <w:p w14:paraId="3D0AC93C" w14:textId="4B7B2671" w:rsidR="002F0483" w:rsidRPr="009C5EFD" w:rsidRDefault="00E453CD">
            <w:pPr>
              <w:keepNext/>
              <w:suppressAutoHyphens/>
              <w:rPr>
                <w:del w:id="10622" w:author="AbbVie02no" w:date="2025-05-15T13:45:00Z"/>
                <w:bCs/>
                <w:sz w:val="22"/>
                <w:szCs w:val="22"/>
              </w:rPr>
              <w:pPrChange w:id="10623" w:author="AbbVie02no" w:date="2025-05-15T13:45:00Z">
                <w:pPr>
                  <w:keepNext/>
                  <w:keepLines/>
                  <w:tabs>
                    <w:tab w:val="left" w:pos="-1080"/>
                  </w:tabs>
                  <w:autoSpaceDE w:val="0"/>
                  <w:autoSpaceDN w:val="0"/>
                  <w:adjustRightInd w:val="0"/>
                </w:pPr>
              </w:pPrChange>
            </w:pPr>
            <w:del w:id="10624" w:author="AbbVie02no" w:date="2025-05-15T13:45:00Z">
              <w:r w:rsidRPr="009C5EFD">
                <w:rPr>
                  <w:bCs/>
                  <w:sz w:val="22"/>
                  <w:szCs w:val="22"/>
                </w:rPr>
                <w:delText>Uke 52</w:delText>
              </w:r>
            </w:del>
          </w:p>
        </w:tc>
        <w:tc>
          <w:tcPr>
            <w:tcW w:w="1656" w:type="dxa"/>
            <w:tcBorders>
              <w:top w:val="single" w:sz="6" w:space="0" w:color="000000"/>
              <w:left w:val="single" w:sz="6" w:space="0" w:color="000000"/>
              <w:bottom w:val="single" w:sz="6" w:space="0" w:color="000000"/>
              <w:right w:val="single" w:sz="6" w:space="0" w:color="000000"/>
            </w:tcBorders>
          </w:tcPr>
          <w:p w14:paraId="61D6DB5C" w14:textId="6CB6D4BC" w:rsidR="002F0483" w:rsidRPr="009C5EFD" w:rsidRDefault="00E453CD">
            <w:pPr>
              <w:keepNext/>
              <w:suppressAutoHyphens/>
              <w:rPr>
                <w:del w:id="10625" w:author="AbbVie02no" w:date="2025-05-15T13:45:00Z"/>
                <w:sz w:val="22"/>
                <w:szCs w:val="22"/>
              </w:rPr>
              <w:pPrChange w:id="10626" w:author="AbbVie02no" w:date="2025-05-15T13:45:00Z">
                <w:pPr>
                  <w:keepNext/>
                  <w:keepLines/>
                  <w:tabs>
                    <w:tab w:val="left" w:pos="-1080"/>
                  </w:tabs>
                  <w:autoSpaceDE w:val="0"/>
                  <w:autoSpaceDN w:val="0"/>
                  <w:adjustRightInd w:val="0"/>
                  <w:ind w:left="15"/>
                  <w:jc w:val="center"/>
                </w:pPr>
              </w:pPrChange>
            </w:pPr>
            <w:del w:id="10627" w:author="AbbVie02no" w:date="2025-05-15T13:45:00Z">
              <w:r w:rsidRPr="009C5EFD">
                <w:rPr>
                  <w:sz w:val="22"/>
                  <w:szCs w:val="22"/>
                </w:rPr>
                <w:delText>69,7 %</w:delText>
              </w:r>
            </w:del>
          </w:p>
        </w:tc>
        <w:tc>
          <w:tcPr>
            <w:tcW w:w="1619" w:type="dxa"/>
            <w:tcBorders>
              <w:top w:val="single" w:sz="6" w:space="0" w:color="000000"/>
              <w:left w:val="single" w:sz="6" w:space="0" w:color="000000"/>
              <w:bottom w:val="single" w:sz="6" w:space="0" w:color="000000"/>
              <w:right w:val="single" w:sz="6" w:space="0" w:color="000000"/>
            </w:tcBorders>
          </w:tcPr>
          <w:p w14:paraId="0AAA4D17" w14:textId="157FC957" w:rsidR="002F0483" w:rsidRPr="009C5EFD" w:rsidRDefault="00E453CD">
            <w:pPr>
              <w:keepNext/>
              <w:suppressAutoHyphens/>
              <w:rPr>
                <w:del w:id="10628" w:author="AbbVie02no" w:date="2025-05-15T13:45:00Z"/>
                <w:sz w:val="22"/>
                <w:szCs w:val="22"/>
              </w:rPr>
              <w:pPrChange w:id="10629" w:author="AbbVie02no" w:date="2025-05-15T13:45:00Z">
                <w:pPr>
                  <w:keepNext/>
                  <w:keepLines/>
                  <w:tabs>
                    <w:tab w:val="left" w:pos="-1080"/>
                  </w:tabs>
                  <w:autoSpaceDE w:val="0"/>
                  <w:autoSpaceDN w:val="0"/>
                  <w:adjustRightInd w:val="0"/>
                  <w:ind w:left="15"/>
                  <w:jc w:val="center"/>
                </w:pPr>
              </w:pPrChange>
            </w:pPr>
            <w:del w:id="10630" w:author="AbbVie02no" w:date="2025-05-15T13:45:00Z">
              <w:r w:rsidRPr="009C5EFD">
                <w:rPr>
                  <w:sz w:val="22"/>
                  <w:szCs w:val="22"/>
                </w:rPr>
                <w:delText>60,5 %</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25C17B7" w14:textId="753FD0A7" w:rsidR="002F0483" w:rsidRPr="009C5EFD" w:rsidRDefault="00E453CD">
            <w:pPr>
              <w:keepNext/>
              <w:suppressAutoHyphens/>
              <w:rPr>
                <w:del w:id="10631" w:author="AbbVie02no" w:date="2025-05-15T13:45:00Z"/>
                <w:sz w:val="22"/>
                <w:szCs w:val="22"/>
              </w:rPr>
              <w:pPrChange w:id="10632" w:author="AbbVie02no" w:date="2025-05-15T13:45:00Z">
                <w:pPr>
                  <w:keepNext/>
                  <w:keepLines/>
                  <w:tabs>
                    <w:tab w:val="left" w:pos="-1080"/>
                  </w:tabs>
                  <w:autoSpaceDE w:val="0"/>
                  <w:autoSpaceDN w:val="0"/>
                  <w:adjustRightInd w:val="0"/>
                  <w:ind w:left="15"/>
                  <w:jc w:val="center"/>
                </w:pPr>
              </w:pPrChange>
            </w:pPr>
            <w:del w:id="10633" w:author="AbbVie02no" w:date="2025-05-15T13:45:00Z">
              <w:r w:rsidRPr="009C5EFD">
                <w:rPr>
                  <w:sz w:val="22"/>
                  <w:szCs w:val="22"/>
                </w:rPr>
                <w:delText>0,420</w:delText>
              </w:r>
            </w:del>
          </w:p>
        </w:tc>
      </w:tr>
      <w:tr w:rsidR="004644D4" w14:paraId="13D4CC60" w14:textId="11D54208" w:rsidTr="002F0483">
        <w:trPr>
          <w:jc w:val="center"/>
          <w:del w:id="10634" w:author="AbbVie02no" w:date="2025-05-15T13:45:00Z"/>
        </w:trPr>
        <w:tc>
          <w:tcPr>
            <w:tcW w:w="4025" w:type="dxa"/>
            <w:tcBorders>
              <w:top w:val="single" w:sz="6" w:space="0" w:color="000000"/>
              <w:left w:val="single" w:sz="6" w:space="0" w:color="000000"/>
              <w:bottom w:val="single" w:sz="6" w:space="0" w:color="000000"/>
              <w:right w:val="single" w:sz="6" w:space="0" w:color="000000"/>
            </w:tcBorders>
            <w:vAlign w:val="bottom"/>
          </w:tcPr>
          <w:p w14:paraId="30B5B780" w14:textId="54A830E9" w:rsidR="002F0483" w:rsidRPr="009C5EFD" w:rsidRDefault="00E453CD">
            <w:pPr>
              <w:keepNext/>
              <w:suppressAutoHyphens/>
              <w:rPr>
                <w:del w:id="10635" w:author="AbbVie02no" w:date="2025-05-15T13:45:00Z"/>
                <w:b/>
                <w:sz w:val="22"/>
                <w:szCs w:val="22"/>
              </w:rPr>
              <w:pPrChange w:id="10636" w:author="AbbVie02no" w:date="2025-05-15T13:45:00Z">
                <w:pPr>
                  <w:keepNext/>
                  <w:keepLines/>
                  <w:tabs>
                    <w:tab w:val="left" w:pos="-1080"/>
                  </w:tabs>
                  <w:autoSpaceDE w:val="0"/>
                  <w:autoSpaceDN w:val="0"/>
                  <w:adjustRightInd w:val="0"/>
                </w:pPr>
              </w:pPrChange>
            </w:pPr>
            <w:del w:id="10637" w:author="AbbVie02no" w:date="2025-05-15T13:45:00Z">
              <w:r w:rsidRPr="009C5EFD">
                <w:rPr>
                  <w:b/>
                  <w:sz w:val="22"/>
                  <w:szCs w:val="22"/>
                </w:rPr>
                <w:delText>Seponering av immunmodulerende midler</w:delText>
              </w:r>
              <w:r w:rsidRPr="009C5EFD">
                <w:rPr>
                  <w:b/>
                  <w:sz w:val="22"/>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464D7A7F" w14:textId="04F87744" w:rsidR="002F0483" w:rsidRPr="009C5EFD" w:rsidRDefault="00E453CD">
            <w:pPr>
              <w:keepNext/>
              <w:suppressAutoHyphens/>
              <w:rPr>
                <w:del w:id="10638" w:author="AbbVie02no" w:date="2025-05-15T13:45:00Z"/>
                <w:b/>
                <w:sz w:val="22"/>
                <w:szCs w:val="22"/>
              </w:rPr>
              <w:pPrChange w:id="10639" w:author="AbbVie02no" w:date="2025-05-15T13:45:00Z">
                <w:pPr>
                  <w:keepNext/>
                  <w:keepLines/>
                  <w:tabs>
                    <w:tab w:val="left" w:pos="-1080"/>
                  </w:tabs>
                  <w:autoSpaceDE w:val="0"/>
                  <w:autoSpaceDN w:val="0"/>
                  <w:adjustRightInd w:val="0"/>
                  <w:ind w:left="15"/>
                  <w:jc w:val="center"/>
                </w:pPr>
              </w:pPrChange>
            </w:pPr>
            <w:del w:id="10640" w:author="AbbVie02no" w:date="2025-05-15T13:45:00Z">
              <w:r w:rsidRPr="009C5EFD">
                <w:rPr>
                  <w:b/>
                  <w:sz w:val="22"/>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2561418A" w14:textId="7A85BE5A" w:rsidR="002F0483" w:rsidRPr="009C5EFD" w:rsidRDefault="00E453CD">
            <w:pPr>
              <w:keepNext/>
              <w:suppressAutoHyphens/>
              <w:rPr>
                <w:del w:id="10641" w:author="AbbVie02no" w:date="2025-05-15T13:45:00Z"/>
                <w:b/>
                <w:sz w:val="22"/>
                <w:szCs w:val="22"/>
              </w:rPr>
              <w:pPrChange w:id="10642" w:author="AbbVie02no" w:date="2025-05-15T13:45:00Z">
                <w:pPr>
                  <w:keepNext/>
                  <w:keepLines/>
                  <w:tabs>
                    <w:tab w:val="left" w:pos="-1080"/>
                  </w:tabs>
                  <w:autoSpaceDE w:val="0"/>
                  <w:autoSpaceDN w:val="0"/>
                  <w:adjustRightInd w:val="0"/>
                  <w:ind w:left="15"/>
                  <w:jc w:val="center"/>
                </w:pPr>
              </w:pPrChange>
            </w:pPr>
            <w:del w:id="10643" w:author="AbbVie02no" w:date="2025-05-15T13:45:00Z">
              <w:r w:rsidRPr="009C5EFD">
                <w:rPr>
                  <w:b/>
                  <w:sz w:val="22"/>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1F1C1816" w14:textId="77E47123" w:rsidR="002F0483" w:rsidRPr="009C5EFD" w:rsidRDefault="002F0483">
            <w:pPr>
              <w:keepNext/>
              <w:suppressAutoHyphens/>
              <w:rPr>
                <w:del w:id="10644" w:author="AbbVie02no" w:date="2025-05-15T13:45:00Z"/>
                <w:b/>
                <w:sz w:val="22"/>
                <w:szCs w:val="22"/>
              </w:rPr>
              <w:pPrChange w:id="10645" w:author="AbbVie02no" w:date="2025-05-15T13:45:00Z">
                <w:pPr>
                  <w:keepNext/>
                  <w:autoSpaceDE w:val="0"/>
                  <w:autoSpaceDN w:val="0"/>
                  <w:adjustRightInd w:val="0"/>
                  <w:ind w:left="15"/>
                </w:pPr>
              </w:pPrChange>
            </w:pPr>
          </w:p>
        </w:tc>
      </w:tr>
      <w:tr w:rsidR="004644D4" w14:paraId="0308DA00" w14:textId="06453941" w:rsidTr="002F0483">
        <w:trPr>
          <w:jc w:val="center"/>
          <w:del w:id="10646" w:author="AbbVie02no" w:date="2025-05-15T13:45:00Z"/>
        </w:trPr>
        <w:tc>
          <w:tcPr>
            <w:tcW w:w="4025" w:type="dxa"/>
            <w:tcBorders>
              <w:top w:val="single" w:sz="6" w:space="0" w:color="000000"/>
              <w:left w:val="single" w:sz="6" w:space="0" w:color="000000"/>
              <w:bottom w:val="single" w:sz="6" w:space="0" w:color="000000"/>
              <w:right w:val="single" w:sz="6" w:space="0" w:color="000000"/>
            </w:tcBorders>
          </w:tcPr>
          <w:p w14:paraId="65B1442F" w14:textId="2E62EDB1" w:rsidR="002F0483" w:rsidRPr="009C5EFD" w:rsidRDefault="00E453CD">
            <w:pPr>
              <w:keepNext/>
              <w:suppressAutoHyphens/>
              <w:rPr>
                <w:del w:id="10647" w:author="AbbVie02no" w:date="2025-05-15T13:45:00Z"/>
                <w:bCs/>
                <w:sz w:val="22"/>
                <w:szCs w:val="22"/>
              </w:rPr>
              <w:pPrChange w:id="10648" w:author="AbbVie02no" w:date="2025-05-15T13:45:00Z">
                <w:pPr>
                  <w:keepNext/>
                  <w:keepLines/>
                  <w:tabs>
                    <w:tab w:val="left" w:pos="-1080"/>
                  </w:tabs>
                  <w:autoSpaceDE w:val="0"/>
                  <w:autoSpaceDN w:val="0"/>
                  <w:adjustRightInd w:val="0"/>
                </w:pPr>
              </w:pPrChange>
            </w:pPr>
            <w:del w:id="10649" w:author="AbbVie02no" w:date="2025-05-15T13:45:00Z">
              <w:r w:rsidRPr="009C5EFD">
                <w:rPr>
                  <w:bCs/>
                  <w:sz w:val="22"/>
                  <w:szCs w:val="22"/>
                </w:rPr>
                <w:delText>Uke 52</w:delText>
              </w:r>
            </w:del>
          </w:p>
        </w:tc>
        <w:tc>
          <w:tcPr>
            <w:tcW w:w="1656" w:type="dxa"/>
            <w:tcBorders>
              <w:top w:val="single" w:sz="6" w:space="0" w:color="000000"/>
              <w:left w:val="single" w:sz="6" w:space="0" w:color="000000"/>
              <w:bottom w:val="single" w:sz="6" w:space="0" w:color="000000"/>
              <w:right w:val="single" w:sz="6" w:space="0" w:color="000000"/>
            </w:tcBorders>
          </w:tcPr>
          <w:p w14:paraId="5C919996" w14:textId="14401A0D" w:rsidR="002F0483" w:rsidRPr="009C5EFD" w:rsidRDefault="00E453CD">
            <w:pPr>
              <w:keepNext/>
              <w:suppressAutoHyphens/>
              <w:rPr>
                <w:del w:id="10650" w:author="AbbVie02no" w:date="2025-05-15T13:45:00Z"/>
                <w:sz w:val="22"/>
                <w:szCs w:val="22"/>
              </w:rPr>
              <w:pPrChange w:id="10651" w:author="AbbVie02no" w:date="2025-05-15T13:45:00Z">
                <w:pPr>
                  <w:keepNext/>
                  <w:keepLines/>
                  <w:tabs>
                    <w:tab w:val="left" w:pos="-1080"/>
                  </w:tabs>
                  <w:autoSpaceDE w:val="0"/>
                  <w:autoSpaceDN w:val="0"/>
                  <w:adjustRightInd w:val="0"/>
                  <w:ind w:left="15"/>
                  <w:jc w:val="center"/>
                </w:pPr>
              </w:pPrChange>
            </w:pPr>
            <w:del w:id="10652" w:author="AbbVie02no" w:date="2025-05-15T13:45:00Z">
              <w:r w:rsidRPr="009C5EFD">
                <w:rPr>
                  <w:sz w:val="22"/>
                  <w:szCs w:val="22"/>
                </w:rPr>
                <w:delText>30,0 %</w:delText>
              </w:r>
            </w:del>
          </w:p>
        </w:tc>
        <w:tc>
          <w:tcPr>
            <w:tcW w:w="1619" w:type="dxa"/>
            <w:tcBorders>
              <w:top w:val="single" w:sz="6" w:space="0" w:color="000000"/>
              <w:left w:val="single" w:sz="6" w:space="0" w:color="000000"/>
              <w:bottom w:val="single" w:sz="6" w:space="0" w:color="000000"/>
              <w:right w:val="single" w:sz="6" w:space="0" w:color="000000"/>
            </w:tcBorders>
          </w:tcPr>
          <w:p w14:paraId="58BDF984" w14:textId="3E2090B7" w:rsidR="002F0483" w:rsidRPr="009C5EFD" w:rsidRDefault="00E453CD">
            <w:pPr>
              <w:keepNext/>
              <w:suppressAutoHyphens/>
              <w:rPr>
                <w:del w:id="10653" w:author="AbbVie02no" w:date="2025-05-15T13:45:00Z"/>
                <w:sz w:val="22"/>
                <w:szCs w:val="22"/>
              </w:rPr>
              <w:pPrChange w:id="10654" w:author="AbbVie02no" w:date="2025-05-15T13:45:00Z">
                <w:pPr>
                  <w:keepNext/>
                  <w:keepLines/>
                  <w:tabs>
                    <w:tab w:val="left" w:pos="-1080"/>
                  </w:tabs>
                  <w:autoSpaceDE w:val="0"/>
                  <w:autoSpaceDN w:val="0"/>
                  <w:adjustRightInd w:val="0"/>
                  <w:ind w:left="15"/>
                  <w:jc w:val="center"/>
                </w:pPr>
              </w:pPrChange>
            </w:pPr>
            <w:del w:id="10655" w:author="AbbVie02no" w:date="2025-05-15T13:45:00Z">
              <w:r w:rsidRPr="009C5EFD">
                <w:rPr>
                  <w:sz w:val="22"/>
                  <w:szCs w:val="22"/>
                </w:rPr>
                <w:delText>29,8 %</w:delText>
              </w:r>
            </w:del>
          </w:p>
        </w:tc>
        <w:tc>
          <w:tcPr>
            <w:tcW w:w="1140" w:type="dxa"/>
            <w:tcBorders>
              <w:top w:val="single" w:sz="6" w:space="0" w:color="000000"/>
              <w:left w:val="single" w:sz="6" w:space="0" w:color="000000"/>
              <w:bottom w:val="single" w:sz="6" w:space="0" w:color="000000"/>
              <w:right w:val="single" w:sz="6" w:space="0" w:color="000000"/>
            </w:tcBorders>
          </w:tcPr>
          <w:p w14:paraId="0B1A179F" w14:textId="321FBA92" w:rsidR="002F0483" w:rsidRPr="009C5EFD" w:rsidRDefault="00E453CD">
            <w:pPr>
              <w:keepNext/>
              <w:suppressAutoHyphens/>
              <w:rPr>
                <w:del w:id="10656" w:author="AbbVie02no" w:date="2025-05-15T13:45:00Z"/>
                <w:sz w:val="22"/>
                <w:szCs w:val="22"/>
              </w:rPr>
              <w:pPrChange w:id="10657" w:author="AbbVie02no" w:date="2025-05-15T13:45:00Z">
                <w:pPr>
                  <w:keepNext/>
                  <w:keepLines/>
                  <w:tabs>
                    <w:tab w:val="left" w:pos="-1080"/>
                  </w:tabs>
                  <w:autoSpaceDE w:val="0"/>
                  <w:autoSpaceDN w:val="0"/>
                  <w:adjustRightInd w:val="0"/>
                  <w:ind w:left="15"/>
                  <w:jc w:val="center"/>
                </w:pPr>
              </w:pPrChange>
            </w:pPr>
            <w:del w:id="10658" w:author="AbbVie02no" w:date="2025-05-15T13:45:00Z">
              <w:r w:rsidRPr="009C5EFD">
                <w:rPr>
                  <w:sz w:val="22"/>
                  <w:szCs w:val="22"/>
                </w:rPr>
                <w:delText>0,983</w:delText>
              </w:r>
            </w:del>
          </w:p>
        </w:tc>
      </w:tr>
      <w:tr w:rsidR="004644D4" w14:paraId="09E68F05" w14:textId="7AC6161E" w:rsidTr="002F0483">
        <w:trPr>
          <w:jc w:val="center"/>
          <w:del w:id="10659" w:author="AbbVie02no" w:date="2025-05-15T13:45:00Z"/>
        </w:trPr>
        <w:tc>
          <w:tcPr>
            <w:tcW w:w="4025" w:type="dxa"/>
            <w:tcBorders>
              <w:top w:val="single" w:sz="6" w:space="0" w:color="000000"/>
              <w:left w:val="single" w:sz="6" w:space="0" w:color="000000"/>
              <w:bottom w:val="single" w:sz="6" w:space="0" w:color="000000"/>
              <w:right w:val="single" w:sz="6" w:space="0" w:color="000000"/>
            </w:tcBorders>
          </w:tcPr>
          <w:p w14:paraId="059FDE10" w14:textId="61616B4D" w:rsidR="002F0483" w:rsidRPr="009C5EFD" w:rsidRDefault="00E453CD">
            <w:pPr>
              <w:keepNext/>
              <w:suppressAutoHyphens/>
              <w:rPr>
                <w:del w:id="10660" w:author="AbbVie02no" w:date="2025-05-15T13:45:00Z"/>
                <w:b/>
                <w:bCs/>
                <w:sz w:val="22"/>
                <w:szCs w:val="22"/>
              </w:rPr>
              <w:pPrChange w:id="10661" w:author="AbbVie02no" w:date="2025-05-15T13:45:00Z">
                <w:pPr>
                  <w:keepNext/>
                  <w:keepLines/>
                  <w:tabs>
                    <w:tab w:val="left" w:pos="-1080"/>
                  </w:tabs>
                  <w:autoSpaceDE w:val="0"/>
                  <w:autoSpaceDN w:val="0"/>
                  <w:adjustRightInd w:val="0"/>
                </w:pPr>
              </w:pPrChange>
            </w:pPr>
            <w:del w:id="10662" w:author="AbbVie02no" w:date="2025-05-15T13:45:00Z">
              <w:r w:rsidRPr="002C5CDB">
                <w:rPr>
                  <w:b/>
                  <w:sz w:val="22"/>
                  <w:szCs w:val="22"/>
                  <w:rPrChange w:id="10663" w:author="AbbVie05no" w:date="2025-05-19T10:32:00Z">
                    <w:rPr>
                      <w:b/>
                      <w:sz w:val="22"/>
                      <w:szCs w:val="22"/>
                      <w:lang w:val="en-GB"/>
                    </w:rPr>
                  </w:rPrChange>
                </w:rPr>
                <w:delText>Fistel remisjon</w:delText>
              </w:r>
              <w:r w:rsidRPr="002C5CDB">
                <w:rPr>
                  <w:b/>
                  <w:sz w:val="22"/>
                  <w:szCs w:val="22"/>
                  <w:vertAlign w:val="superscript"/>
                  <w:rPrChange w:id="10664" w:author="AbbVie05no" w:date="2025-05-19T10:32:00Z">
                    <w:rPr>
                      <w:b/>
                      <w:sz w:val="22"/>
                      <w:szCs w:val="22"/>
                      <w:vertAlign w:val="superscript"/>
                      <w:lang w:val="en-GB"/>
                    </w:rPr>
                  </w:rPrChange>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6116B7CC" w14:textId="4C212A19" w:rsidR="002F0483" w:rsidRPr="009C5EFD" w:rsidRDefault="00E453CD">
            <w:pPr>
              <w:keepNext/>
              <w:suppressAutoHyphens/>
              <w:rPr>
                <w:del w:id="10665" w:author="AbbVie02no" w:date="2025-05-15T13:45:00Z"/>
                <w:b/>
                <w:sz w:val="22"/>
                <w:szCs w:val="22"/>
              </w:rPr>
              <w:pPrChange w:id="10666" w:author="AbbVie02no" w:date="2025-05-15T13:45:00Z">
                <w:pPr>
                  <w:keepNext/>
                  <w:keepLines/>
                  <w:tabs>
                    <w:tab w:val="left" w:pos="-1080"/>
                  </w:tabs>
                  <w:autoSpaceDE w:val="0"/>
                  <w:autoSpaceDN w:val="0"/>
                  <w:adjustRightInd w:val="0"/>
                  <w:ind w:left="15"/>
                  <w:jc w:val="center"/>
                </w:pPr>
              </w:pPrChange>
            </w:pPr>
            <w:del w:id="10667" w:author="AbbVie02no" w:date="2025-05-15T13:45:00Z">
              <w:r w:rsidRPr="009C5EFD">
                <w:rPr>
                  <w:b/>
                  <w:sz w:val="22"/>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3F95EF7B" w14:textId="01B3404E" w:rsidR="002F0483" w:rsidRPr="009C5EFD" w:rsidRDefault="00E453CD">
            <w:pPr>
              <w:keepNext/>
              <w:suppressAutoHyphens/>
              <w:rPr>
                <w:del w:id="10668" w:author="AbbVie02no" w:date="2025-05-15T13:45:00Z"/>
                <w:b/>
                <w:sz w:val="22"/>
                <w:szCs w:val="22"/>
              </w:rPr>
              <w:pPrChange w:id="10669" w:author="AbbVie02no" w:date="2025-05-15T13:45:00Z">
                <w:pPr>
                  <w:keepNext/>
                  <w:keepLines/>
                  <w:tabs>
                    <w:tab w:val="left" w:pos="-1080"/>
                  </w:tabs>
                  <w:autoSpaceDE w:val="0"/>
                  <w:autoSpaceDN w:val="0"/>
                  <w:adjustRightInd w:val="0"/>
                  <w:ind w:left="15"/>
                  <w:jc w:val="center"/>
                </w:pPr>
              </w:pPrChange>
            </w:pPr>
            <w:del w:id="10670" w:author="AbbVie02no" w:date="2025-05-15T13:45:00Z">
              <w:r w:rsidRPr="009C5EFD">
                <w:rPr>
                  <w:b/>
                  <w:sz w:val="22"/>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76111F31" w14:textId="54B6902E" w:rsidR="002F0483" w:rsidRPr="009C5EFD" w:rsidRDefault="002F0483">
            <w:pPr>
              <w:keepNext/>
              <w:suppressAutoHyphens/>
              <w:rPr>
                <w:del w:id="10671" w:author="AbbVie02no" w:date="2025-05-15T13:45:00Z"/>
                <w:sz w:val="22"/>
                <w:szCs w:val="22"/>
              </w:rPr>
              <w:pPrChange w:id="10672" w:author="AbbVie02no" w:date="2025-05-15T13:45:00Z">
                <w:pPr>
                  <w:keepNext/>
                  <w:keepLines/>
                  <w:tabs>
                    <w:tab w:val="left" w:pos="-1080"/>
                  </w:tabs>
                  <w:autoSpaceDE w:val="0"/>
                  <w:autoSpaceDN w:val="0"/>
                  <w:adjustRightInd w:val="0"/>
                  <w:ind w:left="15"/>
                  <w:jc w:val="center"/>
                </w:pPr>
              </w:pPrChange>
            </w:pPr>
          </w:p>
        </w:tc>
      </w:tr>
      <w:tr w:rsidR="004644D4" w14:paraId="20A00B0D" w14:textId="1B8A8110" w:rsidTr="002F0483">
        <w:trPr>
          <w:jc w:val="center"/>
          <w:del w:id="10673" w:author="AbbVie02no" w:date="2025-05-15T13:45:00Z"/>
        </w:trPr>
        <w:tc>
          <w:tcPr>
            <w:tcW w:w="4025" w:type="dxa"/>
            <w:tcBorders>
              <w:top w:val="single" w:sz="6" w:space="0" w:color="000000"/>
              <w:left w:val="single" w:sz="6" w:space="0" w:color="000000"/>
              <w:bottom w:val="single" w:sz="6" w:space="0" w:color="000000"/>
              <w:right w:val="single" w:sz="6" w:space="0" w:color="000000"/>
            </w:tcBorders>
          </w:tcPr>
          <w:p w14:paraId="6D095BCD" w14:textId="158151FD" w:rsidR="002F0483" w:rsidRPr="009C5EFD" w:rsidRDefault="00E453CD">
            <w:pPr>
              <w:keepNext/>
              <w:suppressAutoHyphens/>
              <w:rPr>
                <w:del w:id="10674" w:author="AbbVie02no" w:date="2025-05-15T13:45:00Z"/>
                <w:bCs/>
                <w:sz w:val="22"/>
                <w:szCs w:val="22"/>
              </w:rPr>
              <w:pPrChange w:id="10675" w:author="AbbVie02no" w:date="2025-05-15T13:45:00Z">
                <w:pPr>
                  <w:keepNext/>
                  <w:keepLines/>
                  <w:tabs>
                    <w:tab w:val="left" w:pos="-1080"/>
                  </w:tabs>
                  <w:autoSpaceDE w:val="0"/>
                  <w:autoSpaceDN w:val="0"/>
                  <w:adjustRightInd w:val="0"/>
                </w:pPr>
              </w:pPrChange>
            </w:pPr>
            <w:del w:id="10676" w:author="AbbVie02no" w:date="2025-05-15T13:45:00Z">
              <w:r w:rsidRPr="009C5EFD">
                <w:rPr>
                  <w:bCs/>
                  <w:sz w:val="22"/>
                  <w:szCs w:val="22"/>
                </w:rPr>
                <w:delText>Uke 26</w:delText>
              </w:r>
            </w:del>
          </w:p>
        </w:tc>
        <w:tc>
          <w:tcPr>
            <w:tcW w:w="1656" w:type="dxa"/>
            <w:tcBorders>
              <w:top w:val="single" w:sz="6" w:space="0" w:color="000000"/>
              <w:left w:val="single" w:sz="6" w:space="0" w:color="000000"/>
              <w:bottom w:val="single" w:sz="6" w:space="0" w:color="000000"/>
              <w:right w:val="single" w:sz="6" w:space="0" w:color="000000"/>
            </w:tcBorders>
          </w:tcPr>
          <w:p w14:paraId="1B13AF07" w14:textId="4A86E51C" w:rsidR="002F0483" w:rsidRPr="009C5EFD" w:rsidRDefault="00E453CD">
            <w:pPr>
              <w:keepNext/>
              <w:suppressAutoHyphens/>
              <w:rPr>
                <w:del w:id="10677" w:author="AbbVie02no" w:date="2025-05-15T13:45:00Z"/>
                <w:sz w:val="22"/>
                <w:szCs w:val="22"/>
              </w:rPr>
              <w:pPrChange w:id="10678" w:author="AbbVie02no" w:date="2025-05-15T13:45:00Z">
                <w:pPr>
                  <w:keepNext/>
                  <w:keepLines/>
                  <w:tabs>
                    <w:tab w:val="left" w:pos="-1080"/>
                  </w:tabs>
                  <w:autoSpaceDE w:val="0"/>
                  <w:autoSpaceDN w:val="0"/>
                  <w:adjustRightInd w:val="0"/>
                  <w:ind w:left="15"/>
                  <w:jc w:val="center"/>
                </w:pPr>
              </w:pPrChange>
            </w:pPr>
            <w:del w:id="10679" w:author="AbbVie02no" w:date="2025-05-15T13:45:00Z">
              <w:r w:rsidRPr="002C5CDB">
                <w:rPr>
                  <w:sz w:val="22"/>
                  <w:szCs w:val="22"/>
                  <w:rPrChange w:id="10680" w:author="AbbVie05no" w:date="2025-05-19T10:32:00Z">
                    <w:rPr>
                      <w:sz w:val="22"/>
                      <w:szCs w:val="22"/>
                      <w:lang w:val="en-GB"/>
                    </w:rPr>
                  </w:rPrChange>
                </w:rPr>
                <w:delText>46,7 %</w:delText>
              </w:r>
            </w:del>
          </w:p>
        </w:tc>
        <w:tc>
          <w:tcPr>
            <w:tcW w:w="1619" w:type="dxa"/>
            <w:tcBorders>
              <w:top w:val="single" w:sz="6" w:space="0" w:color="000000"/>
              <w:left w:val="single" w:sz="6" w:space="0" w:color="000000"/>
              <w:bottom w:val="single" w:sz="6" w:space="0" w:color="000000"/>
              <w:right w:val="single" w:sz="6" w:space="0" w:color="000000"/>
            </w:tcBorders>
          </w:tcPr>
          <w:p w14:paraId="5D2E5437" w14:textId="6F51BEA1" w:rsidR="002F0483" w:rsidRPr="009C5EFD" w:rsidRDefault="00E453CD">
            <w:pPr>
              <w:keepNext/>
              <w:suppressAutoHyphens/>
              <w:rPr>
                <w:del w:id="10681" w:author="AbbVie02no" w:date="2025-05-15T13:45:00Z"/>
                <w:sz w:val="22"/>
                <w:szCs w:val="22"/>
              </w:rPr>
              <w:pPrChange w:id="10682" w:author="AbbVie02no" w:date="2025-05-15T13:45:00Z">
                <w:pPr>
                  <w:keepNext/>
                  <w:keepLines/>
                  <w:tabs>
                    <w:tab w:val="left" w:pos="-1080"/>
                  </w:tabs>
                  <w:autoSpaceDE w:val="0"/>
                  <w:autoSpaceDN w:val="0"/>
                  <w:adjustRightInd w:val="0"/>
                  <w:ind w:left="15"/>
                  <w:jc w:val="center"/>
                </w:pPr>
              </w:pPrChange>
            </w:pPr>
            <w:del w:id="10683" w:author="AbbVie02no" w:date="2025-05-15T13:45:00Z">
              <w:r w:rsidRPr="002C5CDB">
                <w:rPr>
                  <w:sz w:val="22"/>
                  <w:szCs w:val="22"/>
                  <w:rPrChange w:id="10684" w:author="AbbVie05no" w:date="2025-05-19T10:32:00Z">
                    <w:rPr>
                      <w:sz w:val="22"/>
                      <w:szCs w:val="22"/>
                      <w:lang w:val="en-GB"/>
                    </w:rPr>
                  </w:rPrChange>
                </w:rPr>
                <w:delText>38,1 %</w:delText>
              </w:r>
            </w:del>
          </w:p>
        </w:tc>
        <w:tc>
          <w:tcPr>
            <w:tcW w:w="1140" w:type="dxa"/>
            <w:tcBorders>
              <w:top w:val="single" w:sz="6" w:space="0" w:color="000000"/>
              <w:left w:val="single" w:sz="6" w:space="0" w:color="000000"/>
              <w:bottom w:val="single" w:sz="6" w:space="0" w:color="000000"/>
              <w:right w:val="single" w:sz="6" w:space="0" w:color="000000"/>
            </w:tcBorders>
          </w:tcPr>
          <w:p w14:paraId="5561B66B" w14:textId="79826C87" w:rsidR="002F0483" w:rsidRPr="009C5EFD" w:rsidRDefault="00E453CD">
            <w:pPr>
              <w:keepNext/>
              <w:suppressAutoHyphens/>
              <w:rPr>
                <w:del w:id="10685" w:author="AbbVie02no" w:date="2025-05-15T13:45:00Z"/>
                <w:sz w:val="22"/>
                <w:szCs w:val="22"/>
              </w:rPr>
              <w:pPrChange w:id="10686" w:author="AbbVie02no" w:date="2025-05-15T13:45:00Z">
                <w:pPr>
                  <w:keepNext/>
                  <w:keepLines/>
                  <w:tabs>
                    <w:tab w:val="left" w:pos="-1080"/>
                  </w:tabs>
                  <w:autoSpaceDE w:val="0"/>
                  <w:autoSpaceDN w:val="0"/>
                  <w:adjustRightInd w:val="0"/>
                  <w:ind w:left="15"/>
                  <w:jc w:val="center"/>
                </w:pPr>
              </w:pPrChange>
            </w:pPr>
            <w:del w:id="10687" w:author="AbbVie02no" w:date="2025-05-15T13:45:00Z">
              <w:r w:rsidRPr="002C5CDB">
                <w:rPr>
                  <w:sz w:val="22"/>
                  <w:szCs w:val="22"/>
                  <w:rPrChange w:id="10688" w:author="AbbVie05no" w:date="2025-05-19T10:32:00Z">
                    <w:rPr>
                      <w:sz w:val="22"/>
                      <w:szCs w:val="22"/>
                      <w:lang w:val="en-GB"/>
                    </w:rPr>
                  </w:rPrChange>
                </w:rPr>
                <w:delText>0,608</w:delText>
              </w:r>
            </w:del>
          </w:p>
        </w:tc>
      </w:tr>
      <w:tr w:rsidR="004644D4" w14:paraId="4AD65696" w14:textId="77B0644F" w:rsidTr="002F0483">
        <w:trPr>
          <w:jc w:val="center"/>
          <w:del w:id="10689" w:author="AbbVie02no" w:date="2025-05-15T13:45:00Z"/>
        </w:trPr>
        <w:tc>
          <w:tcPr>
            <w:tcW w:w="4025" w:type="dxa"/>
            <w:tcBorders>
              <w:top w:val="single" w:sz="6" w:space="0" w:color="000000"/>
              <w:left w:val="single" w:sz="6" w:space="0" w:color="000000"/>
              <w:bottom w:val="single" w:sz="4" w:space="0" w:color="auto"/>
              <w:right w:val="single" w:sz="6" w:space="0" w:color="000000"/>
            </w:tcBorders>
          </w:tcPr>
          <w:p w14:paraId="36D4C5F1" w14:textId="50A49FC2" w:rsidR="002F0483" w:rsidRPr="009C5EFD" w:rsidRDefault="00E453CD">
            <w:pPr>
              <w:keepNext/>
              <w:suppressAutoHyphens/>
              <w:rPr>
                <w:del w:id="10690" w:author="AbbVie02no" w:date="2025-05-15T13:45:00Z"/>
                <w:bCs/>
                <w:sz w:val="22"/>
                <w:szCs w:val="22"/>
              </w:rPr>
              <w:pPrChange w:id="10691" w:author="AbbVie02no" w:date="2025-05-15T13:45:00Z">
                <w:pPr>
                  <w:keepNext/>
                  <w:keepLines/>
                  <w:tabs>
                    <w:tab w:val="left" w:pos="-1080"/>
                  </w:tabs>
                  <w:autoSpaceDE w:val="0"/>
                  <w:autoSpaceDN w:val="0"/>
                  <w:adjustRightInd w:val="0"/>
                </w:pPr>
              </w:pPrChange>
            </w:pPr>
            <w:del w:id="10692" w:author="AbbVie02no" w:date="2025-05-15T13:45:00Z">
              <w:r w:rsidRPr="002C5CDB">
                <w:rPr>
                  <w:sz w:val="22"/>
                  <w:szCs w:val="22"/>
                  <w:rPrChange w:id="10693" w:author="AbbVie05no" w:date="2025-05-19T10:32:00Z">
                    <w:rPr>
                      <w:sz w:val="22"/>
                      <w:szCs w:val="22"/>
                      <w:lang w:val="en-GB"/>
                    </w:rPr>
                  </w:rPrChange>
                </w:rPr>
                <w:delText>Uke 52</w:delText>
              </w:r>
            </w:del>
          </w:p>
        </w:tc>
        <w:tc>
          <w:tcPr>
            <w:tcW w:w="1656" w:type="dxa"/>
            <w:tcBorders>
              <w:top w:val="single" w:sz="6" w:space="0" w:color="000000"/>
              <w:left w:val="single" w:sz="6" w:space="0" w:color="000000"/>
              <w:bottom w:val="single" w:sz="4" w:space="0" w:color="auto"/>
              <w:right w:val="single" w:sz="6" w:space="0" w:color="000000"/>
            </w:tcBorders>
          </w:tcPr>
          <w:p w14:paraId="1BBA8EB0" w14:textId="2CA0D7E0" w:rsidR="002F0483" w:rsidRPr="002C5CDB" w:rsidRDefault="00E453CD">
            <w:pPr>
              <w:keepNext/>
              <w:suppressAutoHyphens/>
              <w:rPr>
                <w:del w:id="10694" w:author="AbbVie02no" w:date="2025-05-15T13:45:00Z"/>
                <w:sz w:val="22"/>
                <w:szCs w:val="22"/>
                <w:rPrChange w:id="10695" w:author="AbbVie05no" w:date="2025-05-19T10:32:00Z">
                  <w:rPr>
                    <w:del w:id="10696" w:author="AbbVie02no" w:date="2025-05-15T13:45:00Z"/>
                    <w:sz w:val="22"/>
                    <w:szCs w:val="22"/>
                    <w:lang w:val="en-GB"/>
                  </w:rPr>
                </w:rPrChange>
              </w:rPr>
              <w:pPrChange w:id="10697" w:author="AbbVie02no" w:date="2025-05-15T13:45:00Z">
                <w:pPr>
                  <w:keepNext/>
                  <w:keepLines/>
                  <w:tabs>
                    <w:tab w:val="left" w:pos="-1080"/>
                  </w:tabs>
                  <w:autoSpaceDE w:val="0"/>
                  <w:autoSpaceDN w:val="0"/>
                  <w:adjustRightInd w:val="0"/>
                  <w:ind w:left="15"/>
                  <w:jc w:val="center"/>
                </w:pPr>
              </w:pPrChange>
            </w:pPr>
            <w:del w:id="10698" w:author="AbbVie02no" w:date="2025-05-15T13:45:00Z">
              <w:r w:rsidRPr="002C5CDB">
                <w:rPr>
                  <w:sz w:val="22"/>
                  <w:szCs w:val="22"/>
                  <w:rPrChange w:id="10699" w:author="AbbVie05no" w:date="2025-05-19T10:32:00Z">
                    <w:rPr>
                      <w:sz w:val="22"/>
                      <w:szCs w:val="22"/>
                      <w:lang w:val="en-GB"/>
                    </w:rPr>
                  </w:rPrChange>
                </w:rPr>
                <w:delText>40,0 %</w:delText>
              </w:r>
            </w:del>
          </w:p>
        </w:tc>
        <w:tc>
          <w:tcPr>
            <w:tcW w:w="1619" w:type="dxa"/>
            <w:tcBorders>
              <w:top w:val="single" w:sz="6" w:space="0" w:color="000000"/>
              <w:left w:val="single" w:sz="6" w:space="0" w:color="000000"/>
              <w:bottom w:val="single" w:sz="4" w:space="0" w:color="auto"/>
              <w:right w:val="single" w:sz="6" w:space="0" w:color="000000"/>
            </w:tcBorders>
          </w:tcPr>
          <w:p w14:paraId="5F00AB23" w14:textId="1161B773" w:rsidR="002F0483" w:rsidRPr="002C5CDB" w:rsidRDefault="00E453CD">
            <w:pPr>
              <w:keepNext/>
              <w:suppressAutoHyphens/>
              <w:rPr>
                <w:del w:id="10700" w:author="AbbVie02no" w:date="2025-05-15T13:45:00Z"/>
                <w:sz w:val="22"/>
                <w:szCs w:val="22"/>
                <w:rPrChange w:id="10701" w:author="AbbVie05no" w:date="2025-05-19T10:32:00Z">
                  <w:rPr>
                    <w:del w:id="10702" w:author="AbbVie02no" w:date="2025-05-15T13:45:00Z"/>
                    <w:sz w:val="22"/>
                    <w:szCs w:val="22"/>
                    <w:lang w:val="en-GB"/>
                  </w:rPr>
                </w:rPrChange>
              </w:rPr>
              <w:pPrChange w:id="10703" w:author="AbbVie02no" w:date="2025-05-15T13:45:00Z">
                <w:pPr>
                  <w:keepNext/>
                  <w:keepLines/>
                  <w:tabs>
                    <w:tab w:val="left" w:pos="-1080"/>
                  </w:tabs>
                  <w:autoSpaceDE w:val="0"/>
                  <w:autoSpaceDN w:val="0"/>
                  <w:adjustRightInd w:val="0"/>
                  <w:ind w:left="15"/>
                  <w:jc w:val="center"/>
                </w:pPr>
              </w:pPrChange>
            </w:pPr>
            <w:del w:id="10704" w:author="AbbVie02no" w:date="2025-05-15T13:45:00Z">
              <w:r w:rsidRPr="002C5CDB">
                <w:rPr>
                  <w:sz w:val="22"/>
                  <w:szCs w:val="22"/>
                  <w:rPrChange w:id="10705" w:author="AbbVie05no" w:date="2025-05-19T10:32:00Z">
                    <w:rPr>
                      <w:sz w:val="22"/>
                      <w:szCs w:val="22"/>
                      <w:lang w:val="en-GB"/>
                    </w:rPr>
                  </w:rPrChange>
                </w:rPr>
                <w:delText>23,8 %</w:delText>
              </w:r>
            </w:del>
          </w:p>
        </w:tc>
        <w:tc>
          <w:tcPr>
            <w:tcW w:w="1140" w:type="dxa"/>
            <w:tcBorders>
              <w:top w:val="single" w:sz="6" w:space="0" w:color="000000"/>
              <w:left w:val="single" w:sz="6" w:space="0" w:color="000000"/>
              <w:bottom w:val="single" w:sz="4" w:space="0" w:color="auto"/>
              <w:right w:val="single" w:sz="6" w:space="0" w:color="000000"/>
            </w:tcBorders>
          </w:tcPr>
          <w:p w14:paraId="37B23635" w14:textId="384CDC68" w:rsidR="002F0483" w:rsidRPr="002C5CDB" w:rsidRDefault="00E453CD">
            <w:pPr>
              <w:keepNext/>
              <w:suppressAutoHyphens/>
              <w:rPr>
                <w:del w:id="10706" w:author="AbbVie02no" w:date="2025-05-15T13:45:00Z"/>
                <w:sz w:val="22"/>
                <w:szCs w:val="22"/>
                <w:rPrChange w:id="10707" w:author="AbbVie05no" w:date="2025-05-19T10:32:00Z">
                  <w:rPr>
                    <w:del w:id="10708" w:author="AbbVie02no" w:date="2025-05-15T13:45:00Z"/>
                    <w:sz w:val="22"/>
                    <w:szCs w:val="22"/>
                    <w:lang w:val="en-GB"/>
                  </w:rPr>
                </w:rPrChange>
              </w:rPr>
              <w:pPrChange w:id="10709" w:author="AbbVie02no" w:date="2025-05-15T13:45:00Z">
                <w:pPr>
                  <w:keepNext/>
                  <w:keepLines/>
                  <w:tabs>
                    <w:tab w:val="left" w:pos="-1080"/>
                  </w:tabs>
                  <w:autoSpaceDE w:val="0"/>
                  <w:autoSpaceDN w:val="0"/>
                  <w:adjustRightInd w:val="0"/>
                  <w:ind w:left="15"/>
                  <w:jc w:val="center"/>
                </w:pPr>
              </w:pPrChange>
            </w:pPr>
            <w:del w:id="10710" w:author="AbbVie02no" w:date="2025-05-15T13:45:00Z">
              <w:r w:rsidRPr="002C5CDB">
                <w:rPr>
                  <w:sz w:val="22"/>
                  <w:szCs w:val="22"/>
                  <w:rPrChange w:id="10711" w:author="AbbVie05no" w:date="2025-05-19T10:32:00Z">
                    <w:rPr>
                      <w:sz w:val="22"/>
                      <w:szCs w:val="22"/>
                      <w:lang w:val="en-GB"/>
                    </w:rPr>
                  </w:rPrChange>
                </w:rPr>
                <w:delText>0,303</w:delText>
              </w:r>
            </w:del>
          </w:p>
        </w:tc>
      </w:tr>
      <w:tr w:rsidR="004644D4" w14:paraId="0778F727" w14:textId="365A761C" w:rsidTr="002F0483">
        <w:trPr>
          <w:trHeight w:val="177"/>
          <w:jc w:val="center"/>
          <w:del w:id="10712" w:author="AbbVie02no" w:date="2025-05-15T13:45:00Z"/>
        </w:trPr>
        <w:tc>
          <w:tcPr>
            <w:tcW w:w="8440" w:type="dxa"/>
            <w:gridSpan w:val="4"/>
            <w:tcBorders>
              <w:top w:val="single" w:sz="4" w:space="0" w:color="auto"/>
            </w:tcBorders>
          </w:tcPr>
          <w:p w14:paraId="1BC48F56" w14:textId="28F03C93" w:rsidR="002F0483" w:rsidRPr="009C5EFD" w:rsidRDefault="00E453CD">
            <w:pPr>
              <w:keepNext/>
              <w:suppressAutoHyphens/>
              <w:rPr>
                <w:del w:id="10713" w:author="AbbVie02no" w:date="2025-05-15T13:45:00Z"/>
                <w:sz w:val="22"/>
                <w:szCs w:val="22"/>
              </w:rPr>
              <w:pPrChange w:id="10714" w:author="AbbVie02no" w:date="2025-05-15T13:45:00Z">
                <w:pPr>
                  <w:keepNext/>
                  <w:keepLines/>
                  <w:tabs>
                    <w:tab w:val="left" w:pos="-1080"/>
                  </w:tabs>
                  <w:autoSpaceDE w:val="0"/>
                  <w:autoSpaceDN w:val="0"/>
                  <w:adjustRightInd w:val="0"/>
                </w:pPr>
              </w:pPrChange>
            </w:pPr>
            <w:del w:id="10715" w:author="AbbVie02no" w:date="2025-05-15T13:45:00Z">
              <w:r w:rsidRPr="009C5EFD">
                <w:rPr>
                  <w:sz w:val="22"/>
                  <w:szCs w:val="22"/>
                  <w:vertAlign w:val="superscript"/>
                </w:rPr>
                <w:delText>1</w:delText>
              </w:r>
              <w:r w:rsidRPr="009C5EFD">
                <w:rPr>
                  <w:sz w:val="22"/>
                  <w:szCs w:val="22"/>
                </w:rPr>
                <w:delText xml:space="preserve">  p-verdi for standard dose </w:delText>
              </w:r>
              <w:r w:rsidRPr="009C5EFD">
                <w:rPr>
                  <w:i/>
                  <w:iCs/>
                  <w:sz w:val="22"/>
                  <w:szCs w:val="22"/>
                </w:rPr>
                <w:delText>versus</w:delText>
              </w:r>
              <w:r w:rsidRPr="009C5EFD">
                <w:rPr>
                  <w:sz w:val="22"/>
                  <w:szCs w:val="22"/>
                </w:rPr>
                <w:delText xml:space="preserve"> lav dose sammenligning.</w:delText>
              </w:r>
            </w:del>
          </w:p>
          <w:p w14:paraId="5EBB9DB9" w14:textId="2D592B38" w:rsidR="002F0483" w:rsidRPr="009C5EFD" w:rsidRDefault="00E453CD">
            <w:pPr>
              <w:keepNext/>
              <w:suppressAutoHyphens/>
              <w:rPr>
                <w:del w:id="10716" w:author="AbbVie02no" w:date="2025-05-15T13:45:00Z"/>
                <w:sz w:val="22"/>
                <w:szCs w:val="22"/>
              </w:rPr>
              <w:pPrChange w:id="10717" w:author="AbbVie02no" w:date="2025-05-15T13:45:00Z">
                <w:pPr>
                  <w:keepNext/>
                  <w:keepLines/>
                  <w:tabs>
                    <w:tab w:val="left" w:pos="-1080"/>
                  </w:tabs>
                  <w:autoSpaceDE w:val="0"/>
                  <w:autoSpaceDN w:val="0"/>
                  <w:adjustRightInd w:val="0"/>
                </w:pPr>
              </w:pPrChange>
            </w:pPr>
            <w:del w:id="10718" w:author="AbbVie02no" w:date="2025-05-15T13:45:00Z">
              <w:r w:rsidRPr="009C5EFD">
                <w:rPr>
                  <w:sz w:val="22"/>
                  <w:szCs w:val="22"/>
                  <w:vertAlign w:val="superscript"/>
                </w:rPr>
                <w:delText>2</w:delText>
              </w:r>
              <w:r w:rsidRPr="009C5EFD">
                <w:rPr>
                  <w:sz w:val="22"/>
                  <w:szCs w:val="22"/>
                </w:rPr>
                <w:delText xml:space="preserve">  Immunsuppressiv behandling kunne bare bli seponert ved eller etter uke 26 ved utprøvers diskresjon hvis pasienten oppfylte kriteriet for klinisk respons </w:delText>
              </w:r>
            </w:del>
          </w:p>
          <w:p w14:paraId="5E9EA6FC" w14:textId="58EA7A16" w:rsidR="002F0483" w:rsidRPr="009C5EFD" w:rsidRDefault="00E453CD">
            <w:pPr>
              <w:keepNext/>
              <w:suppressAutoHyphens/>
              <w:rPr>
                <w:del w:id="10719" w:author="AbbVie02no" w:date="2025-05-15T13:45:00Z"/>
                <w:sz w:val="22"/>
                <w:szCs w:val="22"/>
              </w:rPr>
              <w:pPrChange w:id="10720" w:author="AbbVie02no" w:date="2025-05-15T13:45:00Z">
                <w:pPr>
                  <w:keepNext/>
                  <w:keepLines/>
                  <w:tabs>
                    <w:tab w:val="left" w:pos="-1080"/>
                  </w:tabs>
                  <w:autoSpaceDE w:val="0"/>
                  <w:autoSpaceDN w:val="0"/>
                  <w:adjustRightInd w:val="0"/>
                </w:pPr>
              </w:pPrChange>
            </w:pPr>
            <w:del w:id="10721" w:author="AbbVie02no" w:date="2025-05-15T13:45:00Z">
              <w:r w:rsidRPr="009C5EFD">
                <w:rPr>
                  <w:sz w:val="22"/>
                  <w:szCs w:val="22"/>
                  <w:vertAlign w:val="superscript"/>
                </w:rPr>
                <w:delText>3</w:delText>
              </w:r>
              <w:r w:rsidRPr="009C5EFD">
                <w:rPr>
                  <w:sz w:val="22"/>
                  <w:szCs w:val="22"/>
                </w:rPr>
                <w:delText xml:space="preserve">  definert som en lukking av alle fistler som ble drenert ved baseline på minst 2 påfølgende post-baseline besøk</w:delText>
              </w:r>
            </w:del>
          </w:p>
        </w:tc>
      </w:tr>
    </w:tbl>
    <w:p w14:paraId="46AE5255" w14:textId="4771DB06" w:rsidR="002F0483" w:rsidRPr="007F67EE" w:rsidRDefault="002F0483">
      <w:pPr>
        <w:keepNext/>
        <w:suppressAutoHyphens/>
        <w:rPr>
          <w:del w:id="10722" w:author="AbbVie02no" w:date="2025-05-15T13:45:00Z"/>
          <w:szCs w:val="22"/>
        </w:rPr>
        <w:pPrChange w:id="10723" w:author="AbbVie02no" w:date="2025-05-15T13:45:00Z">
          <w:pPr>
            <w:pStyle w:val="Heading8"/>
          </w:pPr>
        </w:pPrChange>
      </w:pPr>
    </w:p>
    <w:p w14:paraId="28996571" w14:textId="2B137D2F" w:rsidR="002F0483" w:rsidRPr="002D0790" w:rsidRDefault="00E453CD">
      <w:pPr>
        <w:keepNext/>
        <w:suppressAutoHyphens/>
        <w:rPr>
          <w:del w:id="10724" w:author="AbbVie02no" w:date="2025-05-15T13:45:00Z"/>
          <w:szCs w:val="22"/>
        </w:rPr>
        <w:pPrChange w:id="10725" w:author="AbbVie02no" w:date="2025-05-15T13:45:00Z">
          <w:pPr>
            <w:pStyle w:val="Heading8"/>
            <w:keepNext w:val="0"/>
          </w:pPr>
        </w:pPrChange>
      </w:pPr>
      <w:del w:id="10726" w:author="AbbVie02no" w:date="2025-05-15T13:45:00Z">
        <w:r w:rsidRPr="00193D76">
          <w:rPr>
            <w:szCs w:val="22"/>
          </w:rPr>
          <w:delText xml:space="preserve">Statistisk signifikant økning (forbedring) fra baseline til uke 26 og 52 i Body </w:delText>
        </w:r>
        <w:r w:rsidRPr="002D0790">
          <w:rPr>
            <w:szCs w:val="22"/>
          </w:rPr>
          <w:delText>Mass Index og veksthastighet ble observert for begge behandlingsgrupper.</w:delText>
        </w:r>
      </w:del>
    </w:p>
    <w:p w14:paraId="1FD55C5F" w14:textId="25B62E38" w:rsidR="002F0483" w:rsidRPr="002D0790" w:rsidRDefault="002F0483">
      <w:pPr>
        <w:keepNext/>
        <w:suppressAutoHyphens/>
        <w:rPr>
          <w:del w:id="10727" w:author="AbbVie02no" w:date="2025-05-15T13:45:00Z"/>
          <w:szCs w:val="22"/>
        </w:rPr>
        <w:pPrChange w:id="10728" w:author="AbbVie02no" w:date="2025-05-15T13:45:00Z">
          <w:pPr>
            <w:pStyle w:val="Heading8"/>
            <w:keepNext w:val="0"/>
          </w:pPr>
        </w:pPrChange>
      </w:pPr>
    </w:p>
    <w:p w14:paraId="57456474" w14:textId="06BA83DB" w:rsidR="002F0483" w:rsidRPr="009C5EFD" w:rsidRDefault="00E453CD">
      <w:pPr>
        <w:keepNext/>
        <w:suppressAutoHyphens/>
        <w:rPr>
          <w:del w:id="10729" w:author="AbbVie02no" w:date="2025-05-15T13:45:00Z"/>
          <w:szCs w:val="22"/>
        </w:rPr>
        <w:pPrChange w:id="10730" w:author="AbbVie02no" w:date="2025-05-15T13:45:00Z">
          <w:pPr>
            <w:pStyle w:val="Heading8"/>
            <w:keepNext w:val="0"/>
          </w:pPr>
        </w:pPrChange>
      </w:pPr>
      <w:del w:id="10731" w:author="AbbVie02no" w:date="2025-05-15T13:45:00Z">
        <w:r w:rsidRPr="00E14E58">
          <w:rPr>
            <w:szCs w:val="22"/>
          </w:rPr>
          <w:delText>Statistisk og klinisk signifikant forbedring fra baseline ble også observert i begge behandlingsgrupper for parametre innen livskvalitet (inkludert IMPACT III).</w:delText>
        </w:r>
      </w:del>
    </w:p>
    <w:p w14:paraId="1C2B9BF8" w14:textId="3C610B67" w:rsidR="002F0483" w:rsidRDefault="002F0483">
      <w:pPr>
        <w:keepNext/>
        <w:suppressAutoHyphens/>
        <w:rPr>
          <w:del w:id="10732" w:author="AbbVie02no" w:date="2025-05-15T13:45:00Z"/>
          <w:i/>
          <w:sz w:val="22"/>
          <w:szCs w:val="22"/>
        </w:rPr>
        <w:pPrChange w:id="10733" w:author="AbbVie02no" w:date="2025-05-15T13:45:00Z">
          <w:pPr>
            <w:suppressAutoHyphens/>
          </w:pPr>
        </w:pPrChange>
      </w:pPr>
    </w:p>
    <w:p w14:paraId="500B4D2A" w14:textId="51EDA333" w:rsidR="002F0483" w:rsidRPr="00DD19BD" w:rsidRDefault="00E453CD">
      <w:pPr>
        <w:keepNext/>
        <w:suppressAutoHyphens/>
        <w:rPr>
          <w:del w:id="10734" w:author="AbbVie02no" w:date="2025-05-15T13:45:00Z"/>
          <w:sz w:val="22"/>
          <w:szCs w:val="22"/>
        </w:rPr>
        <w:pPrChange w:id="10735" w:author="AbbVie02no" w:date="2025-05-15T13:45:00Z">
          <w:pPr>
            <w:suppressAutoHyphens/>
          </w:pPr>
        </w:pPrChange>
      </w:pPr>
      <w:del w:id="10736" w:author="AbbVie02no" w:date="2025-05-15T13:45:00Z">
        <w:r w:rsidRPr="00DD19BD">
          <w:rPr>
            <w:sz w:val="22"/>
            <w:szCs w:val="22"/>
          </w:rPr>
          <w:delText xml:space="preserve">Ett hundre pasienter (n=100) </w:delText>
        </w:r>
        <w:r>
          <w:rPr>
            <w:sz w:val="22"/>
            <w:szCs w:val="22"/>
          </w:rPr>
          <w:delText>fra</w:delText>
        </w:r>
        <w:r w:rsidRPr="00DD19BD">
          <w:rPr>
            <w:sz w:val="22"/>
            <w:szCs w:val="22"/>
          </w:rPr>
          <w:delText xml:space="preserve"> Pediatrisk CD</w:delText>
        </w:r>
        <w:r>
          <w:rPr>
            <w:sz w:val="22"/>
            <w:szCs w:val="22"/>
          </w:rPr>
          <w:delText xml:space="preserve"> </w:delText>
        </w:r>
        <w:r w:rsidRPr="00DD19BD">
          <w:rPr>
            <w:sz w:val="22"/>
            <w:szCs w:val="22"/>
          </w:rPr>
          <w:delText>studie</w:delText>
        </w:r>
        <w:r>
          <w:rPr>
            <w:sz w:val="22"/>
            <w:szCs w:val="22"/>
          </w:rPr>
          <w:delText>n</w:delText>
        </w:r>
        <w:r w:rsidRPr="00DD19BD">
          <w:rPr>
            <w:sz w:val="22"/>
            <w:szCs w:val="22"/>
          </w:rPr>
          <w:delText xml:space="preserve"> fortsatte i en </w:delText>
        </w:r>
        <w:r>
          <w:rPr>
            <w:sz w:val="22"/>
            <w:szCs w:val="22"/>
          </w:rPr>
          <w:delText>åpen,</w:delText>
        </w:r>
        <w:r w:rsidRPr="00DD19BD">
          <w:rPr>
            <w:sz w:val="22"/>
            <w:szCs w:val="22"/>
          </w:rPr>
          <w:delText xml:space="preserve"> langtids</w:delText>
        </w:r>
        <w:r>
          <w:rPr>
            <w:sz w:val="22"/>
            <w:szCs w:val="22"/>
          </w:rPr>
          <w:delText>-,</w:delText>
        </w:r>
        <w:r w:rsidRPr="00DD19BD">
          <w:rPr>
            <w:sz w:val="22"/>
            <w:szCs w:val="22"/>
          </w:rPr>
          <w:delText xml:space="preserve"> forlengelsesstudie. Etter 5 år med adalimumab-behandling var 74 % (37/50) av de 50 gjenværende </w:delText>
        </w:r>
        <w:r>
          <w:rPr>
            <w:sz w:val="22"/>
            <w:szCs w:val="22"/>
          </w:rPr>
          <w:delText xml:space="preserve">pasientene </w:delText>
        </w:r>
        <w:r w:rsidRPr="00DD19BD">
          <w:rPr>
            <w:sz w:val="22"/>
            <w:szCs w:val="22"/>
          </w:rPr>
          <w:delText>i studien for</w:delText>
        </w:r>
        <w:r>
          <w:rPr>
            <w:sz w:val="22"/>
            <w:szCs w:val="22"/>
          </w:rPr>
          <w:delText>t</w:delText>
        </w:r>
        <w:r w:rsidRPr="00DD19BD">
          <w:rPr>
            <w:sz w:val="22"/>
            <w:szCs w:val="22"/>
          </w:rPr>
          <w:delText>satt i klinisk remisjon og 92 % (46/50) av pasientene for</w:delText>
        </w:r>
        <w:r>
          <w:rPr>
            <w:sz w:val="22"/>
            <w:szCs w:val="22"/>
          </w:rPr>
          <w:delText>t</w:delText>
        </w:r>
        <w:r w:rsidRPr="00DD19BD">
          <w:rPr>
            <w:sz w:val="22"/>
            <w:szCs w:val="22"/>
          </w:rPr>
          <w:delText>satte å ha klinisk respons per PCDAI.</w:delText>
        </w:r>
      </w:del>
    </w:p>
    <w:p w14:paraId="5C9C1674" w14:textId="249AA9D4" w:rsidR="008F0D97" w:rsidRPr="00644328" w:rsidRDefault="008F0D97">
      <w:pPr>
        <w:keepNext/>
        <w:suppressAutoHyphens/>
        <w:rPr>
          <w:del w:id="10737" w:author="AbbVie02no" w:date="2025-05-15T13:45:00Z"/>
          <w:sz w:val="22"/>
          <w:szCs w:val="22"/>
        </w:rPr>
        <w:pPrChange w:id="10738" w:author="AbbVie02no" w:date="2025-05-15T13:45:00Z">
          <w:pPr>
            <w:suppressAutoHyphens/>
          </w:pPr>
        </w:pPrChange>
      </w:pPr>
    </w:p>
    <w:p w14:paraId="6B1643F1" w14:textId="1BF9A685" w:rsidR="00205D90" w:rsidRPr="00722EBF" w:rsidRDefault="00E453CD">
      <w:pPr>
        <w:keepNext/>
        <w:suppressAutoHyphens/>
        <w:rPr>
          <w:del w:id="10739" w:author="AbbVie02no" w:date="2025-05-15T13:45:00Z"/>
          <w:bCs/>
          <w:i/>
          <w:sz w:val="22"/>
        </w:rPr>
        <w:pPrChange w:id="10740" w:author="AbbVie02no" w:date="2025-05-15T13:45:00Z">
          <w:pPr>
            <w:keepNext/>
          </w:pPr>
        </w:pPrChange>
      </w:pPr>
      <w:del w:id="10741" w:author="AbbVie02no" w:date="2025-05-15T13:45:00Z">
        <w:r w:rsidRPr="006852ED">
          <w:rPr>
            <w:i/>
            <w:sz w:val="22"/>
          </w:rPr>
          <w:delText>Pediatrisk ulcerøs kolitt</w:delText>
        </w:r>
      </w:del>
    </w:p>
    <w:p w14:paraId="503972A8" w14:textId="5375F736" w:rsidR="00205D90" w:rsidRPr="006852ED" w:rsidRDefault="00205D90">
      <w:pPr>
        <w:keepNext/>
        <w:suppressAutoHyphens/>
        <w:rPr>
          <w:del w:id="10742" w:author="AbbVie02no" w:date="2025-05-15T13:45:00Z"/>
          <w:bCs/>
          <w:i/>
          <w:sz w:val="22"/>
        </w:rPr>
        <w:pPrChange w:id="10743" w:author="AbbVie02no" w:date="2025-05-15T13:45:00Z">
          <w:pPr>
            <w:keepNext/>
          </w:pPr>
        </w:pPrChange>
      </w:pPr>
    </w:p>
    <w:p w14:paraId="46F0657B" w14:textId="551E1654" w:rsidR="000F27EB" w:rsidRPr="00E04B2A" w:rsidRDefault="00E453CD">
      <w:pPr>
        <w:keepNext/>
        <w:suppressAutoHyphens/>
        <w:rPr>
          <w:del w:id="10744" w:author="AbbVie02no" w:date="2025-05-15T13:45:00Z"/>
          <w:sz w:val="22"/>
        </w:rPr>
        <w:pPrChange w:id="10745" w:author="AbbVie02no" w:date="2025-05-15T13:45:00Z">
          <w:pPr/>
        </w:pPrChange>
      </w:pPr>
      <w:del w:id="10746" w:author="AbbVie02no" w:date="2025-05-15T13:45:00Z">
        <w:r w:rsidRPr="00E04B2A">
          <w:rPr>
            <w:sz w:val="22"/>
          </w:rPr>
          <w:delText xml:space="preserve">Sikkerhet og effekt av Humira ble vurdert i en </w:delText>
        </w:r>
        <w:r>
          <w:rPr>
            <w:sz w:val="22"/>
          </w:rPr>
          <w:delText xml:space="preserve">multisenter, </w:delText>
        </w:r>
        <w:r w:rsidRPr="00E04B2A">
          <w:rPr>
            <w:sz w:val="22"/>
          </w:rPr>
          <w:delText>randomisert, dobbeltblind</w:delText>
        </w:r>
        <w:r>
          <w:rPr>
            <w:sz w:val="22"/>
          </w:rPr>
          <w:delText xml:space="preserve">et </w:delText>
        </w:r>
        <w:r w:rsidRPr="00E04B2A">
          <w:rPr>
            <w:sz w:val="22"/>
          </w:rPr>
          <w:delText>studie hos 93 pediatriske pasienter fra 5 til 17 år med moderat til alvorlig ulcerøs kolitt (Mayo</w:delText>
        </w:r>
        <w:r>
          <w:rPr>
            <w:sz w:val="22"/>
          </w:rPr>
          <w:delText xml:space="preserve"> </w:delText>
        </w:r>
        <w:r w:rsidRPr="00E04B2A">
          <w:rPr>
            <w:sz w:val="22"/>
          </w:rPr>
          <w:delText>score 6 til 12 med endoskopi</w:delText>
        </w:r>
        <w:r w:rsidRPr="004F50D5">
          <w:rPr>
            <w:sz w:val="22"/>
          </w:rPr>
          <w:delText xml:space="preserve"> subscore</w:delText>
        </w:r>
        <w:r w:rsidRPr="00E04B2A">
          <w:rPr>
            <w:sz w:val="22"/>
          </w:rPr>
          <w:delText xml:space="preserve"> på 2 til 3 poeng,</w:delText>
        </w:r>
        <w:r>
          <w:rPr>
            <w:sz w:val="22"/>
          </w:rPr>
          <w:delText xml:space="preserve"> </w:delText>
        </w:r>
        <w:r w:rsidRPr="00E04B2A">
          <w:rPr>
            <w:sz w:val="22"/>
          </w:rPr>
          <w:delText xml:space="preserve">bekreftet </w:delText>
        </w:r>
        <w:r>
          <w:rPr>
            <w:sz w:val="22"/>
          </w:rPr>
          <w:delText>etter</w:delText>
        </w:r>
        <w:r w:rsidRPr="00E04B2A">
          <w:rPr>
            <w:sz w:val="22"/>
          </w:rPr>
          <w:delText xml:space="preserve"> </w:delText>
        </w:r>
        <w:r w:rsidRPr="00226E80">
          <w:rPr>
            <w:sz w:val="22"/>
          </w:rPr>
          <w:delText>sentral</w:delText>
        </w:r>
        <w:r>
          <w:rPr>
            <w:sz w:val="22"/>
          </w:rPr>
          <w:delText xml:space="preserve"> vurdering av</w:delText>
        </w:r>
        <w:r w:rsidRPr="00226E80">
          <w:rPr>
            <w:sz w:val="22"/>
          </w:rPr>
          <w:delText xml:space="preserve"> endoskopi</w:delText>
        </w:r>
        <w:r>
          <w:rPr>
            <w:sz w:val="22"/>
          </w:rPr>
          <w:delText>en</w:delText>
        </w:r>
        <w:r w:rsidRPr="00E04B2A">
          <w:rPr>
            <w:sz w:val="22"/>
          </w:rPr>
          <w:delText xml:space="preserve">) som hadde en utilstrekkelig respons eller intoleranse </w:delText>
        </w:r>
        <w:r>
          <w:rPr>
            <w:sz w:val="22"/>
          </w:rPr>
          <w:delText>overfor</w:delText>
        </w:r>
        <w:r w:rsidRPr="00E04B2A">
          <w:rPr>
            <w:sz w:val="22"/>
          </w:rPr>
          <w:delText xml:space="preserve"> konvensjonell behandling. Omtrent 16 % av pasientene i studien hadde </w:delText>
        </w:r>
        <w:r>
          <w:rPr>
            <w:sz w:val="22"/>
          </w:rPr>
          <w:delText>mislyktes</w:delText>
        </w:r>
        <w:r w:rsidRPr="00E04B2A">
          <w:rPr>
            <w:sz w:val="22"/>
          </w:rPr>
          <w:delText xml:space="preserve"> tidligere anti-TNF</w:delText>
        </w:r>
        <w:r>
          <w:rPr>
            <w:sz w:val="22"/>
          </w:rPr>
          <w:delText xml:space="preserve"> </w:delText>
        </w:r>
        <w:r w:rsidRPr="00E04B2A">
          <w:rPr>
            <w:sz w:val="22"/>
          </w:rPr>
          <w:delText xml:space="preserve">behandling. Pasienter som </w:delText>
        </w:r>
        <w:r>
          <w:rPr>
            <w:sz w:val="22"/>
          </w:rPr>
          <w:delText>fikk</w:delText>
        </w:r>
        <w:r w:rsidRPr="00E04B2A">
          <w:rPr>
            <w:sz w:val="22"/>
          </w:rPr>
          <w:delText xml:space="preserve"> kortikosteroider </w:delText>
        </w:r>
        <w:r w:rsidRPr="004F50D5">
          <w:rPr>
            <w:sz w:val="22"/>
          </w:rPr>
          <w:delText>ved studiestart kunne gradvis redusere kortikosteroidbehandlingen etter uke 4.</w:delText>
        </w:r>
      </w:del>
    </w:p>
    <w:p w14:paraId="0F720058" w14:textId="7E4B7505" w:rsidR="000F27EB" w:rsidRPr="00E04B2A" w:rsidRDefault="000F27EB">
      <w:pPr>
        <w:keepNext/>
        <w:suppressAutoHyphens/>
        <w:rPr>
          <w:del w:id="10747" w:author="AbbVie02no" w:date="2025-05-15T13:45:00Z"/>
          <w:sz w:val="22"/>
        </w:rPr>
        <w:pPrChange w:id="10748" w:author="AbbVie02no" w:date="2025-05-15T13:45:00Z">
          <w:pPr/>
        </w:pPrChange>
      </w:pPr>
    </w:p>
    <w:p w14:paraId="2383EF96" w14:textId="58F520CE" w:rsidR="000F27EB" w:rsidRPr="00E04B2A" w:rsidRDefault="00E453CD">
      <w:pPr>
        <w:keepNext/>
        <w:suppressAutoHyphens/>
        <w:rPr>
          <w:del w:id="10749" w:author="AbbVie02no" w:date="2025-05-15T13:45:00Z"/>
          <w:rStyle w:val="eop"/>
          <w:sz w:val="22"/>
          <w:shd w:val="clear" w:color="auto" w:fill="FFFFFF"/>
        </w:rPr>
        <w:pPrChange w:id="10750" w:author="AbbVie02no" w:date="2025-05-15T13:45:00Z">
          <w:pPr/>
        </w:pPrChange>
      </w:pPr>
      <w:del w:id="10751" w:author="AbbVie02no" w:date="2025-05-15T13:45:00Z">
        <w:r>
          <w:rPr>
            <w:rStyle w:val="normaltextrun"/>
            <w:sz w:val="22"/>
            <w:shd w:val="clear" w:color="auto" w:fill="FFFFFF"/>
          </w:rPr>
          <w:delText>Under</w:delText>
        </w:r>
        <w:r w:rsidRPr="00E04B2A">
          <w:rPr>
            <w:rStyle w:val="normaltextrun"/>
            <w:sz w:val="22"/>
            <w:shd w:val="clear" w:color="auto" w:fill="FFFFFF"/>
          </w:rPr>
          <w:delText xml:space="preserve"> </w:delText>
        </w:r>
        <w:r>
          <w:rPr>
            <w:rStyle w:val="normaltextrun"/>
            <w:sz w:val="22"/>
            <w:shd w:val="clear" w:color="auto" w:fill="FFFFFF"/>
          </w:rPr>
          <w:delText xml:space="preserve">studiens </w:delText>
        </w:r>
        <w:r w:rsidRPr="00E04B2A">
          <w:rPr>
            <w:rStyle w:val="normaltextrun"/>
            <w:sz w:val="22"/>
            <w:shd w:val="clear" w:color="auto" w:fill="FFFFFF"/>
          </w:rPr>
          <w:delText xml:space="preserve">induksjonsperiode ble 77 pasienter randomisert 3:2 </w:delText>
        </w:r>
        <w:r>
          <w:rPr>
            <w:rStyle w:val="normaltextrun"/>
            <w:sz w:val="22"/>
            <w:shd w:val="clear" w:color="auto" w:fill="FFFFFF"/>
          </w:rPr>
          <w:delText>til</w:delText>
        </w:r>
        <w:r w:rsidRPr="00E04B2A">
          <w:rPr>
            <w:rStyle w:val="normaltextrun"/>
            <w:sz w:val="22"/>
            <w:shd w:val="clear" w:color="auto" w:fill="FFFFFF"/>
          </w:rPr>
          <w:delText xml:space="preserve"> dobbeltblind</w:delText>
        </w:r>
        <w:r>
          <w:rPr>
            <w:rStyle w:val="normaltextrun"/>
            <w:sz w:val="22"/>
            <w:shd w:val="clear" w:color="auto" w:fill="FFFFFF"/>
          </w:rPr>
          <w:delText>et</w:delText>
        </w:r>
        <w:r w:rsidRPr="00E04B2A">
          <w:rPr>
            <w:rStyle w:val="normaltextrun"/>
            <w:sz w:val="22"/>
            <w:shd w:val="clear" w:color="auto" w:fill="FFFFFF"/>
          </w:rPr>
          <w:delText xml:space="preserve"> behandling med Humira </w:delText>
        </w:r>
        <w:r>
          <w:rPr>
            <w:rStyle w:val="normaltextrun"/>
            <w:sz w:val="22"/>
            <w:shd w:val="clear" w:color="auto" w:fill="FFFFFF"/>
          </w:rPr>
          <w:delText>med</w:delText>
        </w:r>
        <w:r w:rsidRPr="00E04B2A">
          <w:rPr>
            <w:rStyle w:val="normaltextrun"/>
            <w:sz w:val="22"/>
            <w:shd w:val="clear" w:color="auto" w:fill="FFFFFF"/>
          </w:rPr>
          <w:delText xml:space="preserve"> induksjonsdose på 2,4</w:delText>
        </w:r>
        <w:r>
          <w:rPr>
            <w:rStyle w:val="normaltextrun"/>
            <w:sz w:val="22"/>
            <w:shd w:val="clear" w:color="auto" w:fill="FFFFFF"/>
          </w:rPr>
          <w:delText> </w:delText>
        </w:r>
        <w:r w:rsidRPr="00E04B2A">
          <w:rPr>
            <w:rStyle w:val="normaltextrun"/>
            <w:sz w:val="22"/>
            <w:shd w:val="clear" w:color="auto" w:fill="FFFFFF"/>
          </w:rPr>
          <w:delText>mg/kg (maksimalt 160</w:delText>
        </w:r>
        <w:r>
          <w:rPr>
            <w:rStyle w:val="normaltextrun"/>
            <w:sz w:val="22"/>
            <w:shd w:val="clear" w:color="auto" w:fill="FFFFFF"/>
          </w:rPr>
          <w:delText> </w:delText>
        </w:r>
        <w:r w:rsidRPr="00E04B2A">
          <w:rPr>
            <w:rStyle w:val="normaltextrun"/>
            <w:sz w:val="22"/>
            <w:shd w:val="clear" w:color="auto" w:fill="FFFFFF"/>
          </w:rPr>
          <w:delText>mg) i uke 0 og uke 1 og 1,2</w:delText>
        </w:r>
        <w:r>
          <w:rPr>
            <w:rStyle w:val="normaltextrun"/>
            <w:sz w:val="22"/>
            <w:shd w:val="clear" w:color="auto" w:fill="FFFFFF"/>
          </w:rPr>
          <w:delText> </w:delText>
        </w:r>
        <w:r w:rsidRPr="00E04B2A">
          <w:rPr>
            <w:rStyle w:val="normaltextrun"/>
            <w:sz w:val="22"/>
            <w:shd w:val="clear" w:color="auto" w:fill="FFFFFF"/>
          </w:rPr>
          <w:delText>mg/kg (maksimalt 80</w:delText>
        </w:r>
        <w:r>
          <w:rPr>
            <w:rStyle w:val="normaltextrun"/>
            <w:sz w:val="22"/>
            <w:shd w:val="clear" w:color="auto" w:fill="FFFFFF"/>
          </w:rPr>
          <w:delText> </w:delText>
        </w:r>
        <w:r w:rsidRPr="00E04B2A">
          <w:rPr>
            <w:rStyle w:val="normaltextrun"/>
            <w:sz w:val="22"/>
            <w:shd w:val="clear" w:color="auto" w:fill="FFFFFF"/>
          </w:rPr>
          <w:delText>mg) i uke 2</w:delText>
        </w:r>
        <w:r>
          <w:rPr>
            <w:rStyle w:val="normaltextrun"/>
            <w:sz w:val="22"/>
            <w:shd w:val="clear" w:color="auto" w:fill="FFFFFF"/>
          </w:rPr>
          <w:delText>,</w:delText>
        </w:r>
        <w:r w:rsidRPr="00E04B2A">
          <w:rPr>
            <w:rStyle w:val="normaltextrun"/>
            <w:sz w:val="22"/>
            <w:shd w:val="clear" w:color="auto" w:fill="FFFFFF"/>
          </w:rPr>
          <w:delText xml:space="preserve"> eller en induksjonsdose på 2,4</w:delText>
        </w:r>
        <w:r>
          <w:rPr>
            <w:rStyle w:val="normaltextrun"/>
            <w:sz w:val="22"/>
            <w:shd w:val="clear" w:color="auto" w:fill="FFFFFF"/>
          </w:rPr>
          <w:delText> </w:delText>
        </w:r>
        <w:r w:rsidRPr="00E04B2A">
          <w:rPr>
            <w:rStyle w:val="normaltextrun"/>
            <w:sz w:val="22"/>
            <w:shd w:val="clear" w:color="auto" w:fill="FFFFFF"/>
          </w:rPr>
          <w:delText>mg/kg (</w:delText>
        </w:r>
        <w:r>
          <w:rPr>
            <w:rStyle w:val="normaltextrun"/>
            <w:sz w:val="22"/>
            <w:shd w:val="clear" w:color="auto" w:fill="FFFFFF"/>
          </w:rPr>
          <w:delText>maksimalt</w:delText>
        </w:r>
        <w:r w:rsidRPr="00E04B2A">
          <w:rPr>
            <w:rStyle w:val="normaltextrun"/>
            <w:sz w:val="22"/>
            <w:shd w:val="clear" w:color="auto" w:fill="FFFFFF"/>
          </w:rPr>
          <w:delText xml:space="preserve"> 160</w:delText>
        </w:r>
        <w:r>
          <w:rPr>
            <w:rStyle w:val="normaltextrun"/>
            <w:sz w:val="22"/>
            <w:shd w:val="clear" w:color="auto" w:fill="FFFFFF"/>
          </w:rPr>
          <w:delText> </w:delText>
        </w:r>
        <w:r w:rsidRPr="00E04B2A">
          <w:rPr>
            <w:rStyle w:val="normaltextrun"/>
            <w:sz w:val="22"/>
            <w:shd w:val="clear" w:color="auto" w:fill="FFFFFF"/>
          </w:rPr>
          <w:delText>mg) i uke 0, placebo i uke 1 og 1,2</w:delText>
        </w:r>
        <w:r>
          <w:rPr>
            <w:rStyle w:val="normaltextrun"/>
            <w:sz w:val="22"/>
            <w:shd w:val="clear" w:color="auto" w:fill="FFFFFF"/>
          </w:rPr>
          <w:delText> </w:delText>
        </w:r>
        <w:r w:rsidRPr="00E04B2A">
          <w:rPr>
            <w:rStyle w:val="normaltextrun"/>
            <w:sz w:val="22"/>
            <w:shd w:val="clear" w:color="auto" w:fill="FFFFFF"/>
          </w:rPr>
          <w:delText>mg/kg (</w:delText>
        </w:r>
        <w:r>
          <w:rPr>
            <w:rStyle w:val="normaltextrun"/>
            <w:sz w:val="22"/>
            <w:shd w:val="clear" w:color="auto" w:fill="FFFFFF"/>
          </w:rPr>
          <w:delText>maksimalt</w:delText>
        </w:r>
        <w:r w:rsidRPr="00E04B2A">
          <w:rPr>
            <w:rStyle w:val="normaltextrun"/>
            <w:sz w:val="22"/>
            <w:shd w:val="clear" w:color="auto" w:fill="FFFFFF"/>
          </w:rPr>
          <w:delText xml:space="preserve"> 80</w:delText>
        </w:r>
        <w:r>
          <w:rPr>
            <w:rStyle w:val="normaltextrun"/>
            <w:sz w:val="22"/>
            <w:shd w:val="clear" w:color="auto" w:fill="FFFFFF"/>
          </w:rPr>
          <w:delText> </w:delText>
        </w:r>
        <w:r w:rsidRPr="00E04B2A">
          <w:rPr>
            <w:rStyle w:val="normaltextrun"/>
            <w:sz w:val="22"/>
            <w:shd w:val="clear" w:color="auto" w:fill="FFFFFF"/>
          </w:rPr>
          <w:delText>mg) i uke 2.</w:delText>
        </w:r>
        <w:r>
          <w:rPr>
            <w:rStyle w:val="normaltextrun"/>
            <w:sz w:val="22"/>
            <w:shd w:val="clear" w:color="auto" w:fill="FFFFFF"/>
          </w:rPr>
          <w:delText xml:space="preserve"> </w:delText>
        </w:r>
        <w:r w:rsidRPr="00E04B2A">
          <w:rPr>
            <w:rStyle w:val="normaltextrun"/>
            <w:sz w:val="22"/>
            <w:shd w:val="clear" w:color="auto" w:fill="FFFFFF"/>
          </w:rPr>
          <w:delText>Begge grupper fikk 0,6</w:delText>
        </w:r>
        <w:r>
          <w:rPr>
            <w:rStyle w:val="normaltextrun"/>
            <w:sz w:val="22"/>
            <w:shd w:val="clear" w:color="auto" w:fill="FFFFFF"/>
          </w:rPr>
          <w:delText> </w:delText>
        </w:r>
        <w:r w:rsidRPr="00E04B2A">
          <w:rPr>
            <w:rStyle w:val="normaltextrun"/>
            <w:sz w:val="22"/>
            <w:shd w:val="clear" w:color="auto" w:fill="FFFFFF"/>
          </w:rPr>
          <w:delText>mg/kg (maksimalt 40</w:delText>
        </w:r>
        <w:r>
          <w:rPr>
            <w:rStyle w:val="normaltextrun"/>
            <w:sz w:val="22"/>
            <w:shd w:val="clear" w:color="auto" w:fill="FFFFFF"/>
          </w:rPr>
          <w:delText> </w:delText>
        </w:r>
        <w:r w:rsidRPr="00E04B2A">
          <w:rPr>
            <w:rStyle w:val="normaltextrun"/>
            <w:sz w:val="22"/>
            <w:shd w:val="clear" w:color="auto" w:fill="FFFFFF"/>
          </w:rPr>
          <w:delText>mg) i uke 4 og uke 6.</w:delText>
        </w:r>
        <w:r>
          <w:rPr>
            <w:rStyle w:val="normaltextrun"/>
            <w:sz w:val="22"/>
            <w:shd w:val="clear" w:color="auto" w:fill="FFFFFF"/>
          </w:rPr>
          <w:delText xml:space="preserve"> </w:delText>
        </w:r>
        <w:r w:rsidRPr="00E04B2A">
          <w:rPr>
            <w:rStyle w:val="normaltextrun"/>
            <w:sz w:val="22"/>
            <w:shd w:val="clear" w:color="auto" w:fill="FFFFFF"/>
          </w:rPr>
          <w:delText xml:space="preserve">Etter en endring </w:delText>
        </w:r>
        <w:r>
          <w:rPr>
            <w:rStyle w:val="normaltextrun"/>
            <w:sz w:val="22"/>
            <w:shd w:val="clear" w:color="auto" w:fill="FFFFFF"/>
          </w:rPr>
          <w:delText>i</w:delText>
        </w:r>
        <w:r w:rsidRPr="00E04B2A">
          <w:rPr>
            <w:rStyle w:val="normaltextrun"/>
            <w:sz w:val="22"/>
            <w:shd w:val="clear" w:color="auto" w:fill="FFFFFF"/>
          </w:rPr>
          <w:delText xml:space="preserve"> studiedesign fikk de resterende 16 pasientene som deltok i induksjonsperioden åpen behandling med Humira </w:delText>
        </w:r>
        <w:r>
          <w:rPr>
            <w:rStyle w:val="normaltextrun"/>
            <w:sz w:val="22"/>
            <w:shd w:val="clear" w:color="auto" w:fill="FFFFFF"/>
          </w:rPr>
          <w:delText>med</w:delText>
        </w:r>
        <w:r w:rsidRPr="00E04B2A">
          <w:rPr>
            <w:rStyle w:val="normaltextrun"/>
            <w:sz w:val="22"/>
            <w:shd w:val="clear" w:color="auto" w:fill="FFFFFF"/>
          </w:rPr>
          <w:delText xml:space="preserve"> induksjonsdose 2,4</w:delText>
        </w:r>
        <w:r>
          <w:rPr>
            <w:rStyle w:val="normaltextrun"/>
            <w:sz w:val="22"/>
            <w:shd w:val="clear" w:color="auto" w:fill="FFFFFF"/>
          </w:rPr>
          <w:delText> </w:delText>
        </w:r>
        <w:r w:rsidRPr="00E04B2A">
          <w:rPr>
            <w:rStyle w:val="normaltextrun"/>
            <w:sz w:val="22"/>
            <w:shd w:val="clear" w:color="auto" w:fill="FFFFFF"/>
          </w:rPr>
          <w:delText>mg/kg (</w:delText>
        </w:r>
        <w:r>
          <w:rPr>
            <w:rStyle w:val="normaltextrun"/>
            <w:sz w:val="22"/>
            <w:shd w:val="clear" w:color="auto" w:fill="FFFFFF"/>
          </w:rPr>
          <w:delText>maksimalt</w:delText>
        </w:r>
        <w:r w:rsidRPr="00E04B2A">
          <w:rPr>
            <w:rStyle w:val="normaltextrun"/>
            <w:sz w:val="22"/>
            <w:shd w:val="clear" w:color="auto" w:fill="FFFFFF"/>
          </w:rPr>
          <w:delText xml:space="preserve"> 160</w:delText>
        </w:r>
        <w:r>
          <w:rPr>
            <w:rStyle w:val="normaltextrun"/>
            <w:sz w:val="22"/>
            <w:shd w:val="clear" w:color="auto" w:fill="FFFFFF"/>
          </w:rPr>
          <w:delText> </w:delText>
        </w:r>
        <w:r w:rsidRPr="00E04B2A">
          <w:rPr>
            <w:rStyle w:val="normaltextrun"/>
            <w:sz w:val="22"/>
            <w:shd w:val="clear" w:color="auto" w:fill="FFFFFF"/>
          </w:rPr>
          <w:delText>mg) i uke 0 og uke 1 og 1,2</w:delText>
        </w:r>
        <w:r>
          <w:rPr>
            <w:rStyle w:val="normaltextrun"/>
            <w:sz w:val="22"/>
            <w:shd w:val="clear" w:color="auto" w:fill="FFFFFF"/>
          </w:rPr>
          <w:delText> </w:delText>
        </w:r>
        <w:r w:rsidRPr="00E04B2A">
          <w:rPr>
            <w:rStyle w:val="normaltextrun"/>
            <w:sz w:val="22"/>
            <w:shd w:val="clear" w:color="auto" w:fill="FFFFFF"/>
          </w:rPr>
          <w:delText>mg/kg (maksimalt 80</w:delText>
        </w:r>
        <w:r>
          <w:rPr>
            <w:rStyle w:val="normaltextrun"/>
            <w:sz w:val="22"/>
            <w:shd w:val="clear" w:color="auto" w:fill="FFFFFF"/>
          </w:rPr>
          <w:delText> </w:delText>
        </w:r>
        <w:r w:rsidRPr="00E04B2A">
          <w:rPr>
            <w:rStyle w:val="normaltextrun"/>
            <w:sz w:val="22"/>
            <w:shd w:val="clear" w:color="auto" w:fill="FFFFFF"/>
          </w:rPr>
          <w:delText>mg) i uke 2.</w:delText>
        </w:r>
      </w:del>
    </w:p>
    <w:p w14:paraId="178B0923" w14:textId="4EF852E8" w:rsidR="000F27EB" w:rsidRPr="00E04B2A" w:rsidRDefault="000F27EB">
      <w:pPr>
        <w:keepNext/>
        <w:suppressAutoHyphens/>
        <w:rPr>
          <w:del w:id="10752" w:author="AbbVie02no" w:date="2025-05-15T13:45:00Z"/>
          <w:sz w:val="22"/>
        </w:rPr>
        <w:pPrChange w:id="10753" w:author="AbbVie02no" w:date="2025-05-15T13:45:00Z">
          <w:pPr/>
        </w:pPrChange>
      </w:pPr>
    </w:p>
    <w:p w14:paraId="4BEA4DAB" w14:textId="42646D92" w:rsidR="000F27EB" w:rsidRPr="00E04B2A" w:rsidRDefault="00E453CD">
      <w:pPr>
        <w:keepNext/>
        <w:suppressAutoHyphens/>
        <w:rPr>
          <w:del w:id="10754" w:author="AbbVie02no" w:date="2025-05-15T13:45:00Z"/>
          <w:rStyle w:val="normaltextrun"/>
          <w:sz w:val="22"/>
          <w:shd w:val="clear" w:color="auto" w:fill="FFFFFF"/>
        </w:rPr>
        <w:pPrChange w:id="10755" w:author="AbbVie02no" w:date="2025-05-15T13:45:00Z">
          <w:pPr/>
        </w:pPrChange>
      </w:pPr>
      <w:del w:id="10756" w:author="AbbVie02no" w:date="2025-05-15T13:45:00Z">
        <w:r>
          <w:rPr>
            <w:rStyle w:val="normaltextrun"/>
            <w:sz w:val="22"/>
            <w:shd w:val="clear" w:color="auto" w:fill="FFFFFF"/>
          </w:rPr>
          <w:delText>Ved</w:delText>
        </w:r>
        <w:r w:rsidRPr="00E04B2A">
          <w:rPr>
            <w:rStyle w:val="normaltextrun"/>
            <w:sz w:val="22"/>
            <w:shd w:val="clear" w:color="auto" w:fill="FFFFFF"/>
          </w:rPr>
          <w:delText xml:space="preserve"> uke 8 ble 62 pasienter som </w:delText>
        </w:r>
        <w:r>
          <w:rPr>
            <w:rStyle w:val="normaltextrun"/>
            <w:sz w:val="22"/>
            <w:shd w:val="clear" w:color="auto" w:fill="FFFFFF"/>
          </w:rPr>
          <w:delText>viste</w:delText>
        </w:r>
        <w:r w:rsidRPr="00E04B2A">
          <w:rPr>
            <w:rStyle w:val="normaltextrun"/>
            <w:sz w:val="22"/>
            <w:shd w:val="clear" w:color="auto" w:fill="FFFFFF"/>
          </w:rPr>
          <w:delText xml:space="preserve"> klinisk respons iht. </w:delText>
        </w:r>
        <w:r>
          <w:rPr>
            <w:rStyle w:val="normaltextrun"/>
            <w:sz w:val="22"/>
            <w:shd w:val="clear" w:color="auto" w:fill="FFFFFF"/>
          </w:rPr>
          <w:delText>P</w:delText>
        </w:r>
        <w:r w:rsidRPr="00E04B2A">
          <w:rPr>
            <w:rStyle w:val="normaltextrun"/>
            <w:sz w:val="22"/>
            <w:shd w:val="clear" w:color="auto" w:fill="FFFFFF"/>
          </w:rPr>
          <w:delText>artiell Mayo</w:delText>
        </w:r>
        <w:r>
          <w:rPr>
            <w:rStyle w:val="normaltextrun"/>
            <w:sz w:val="22"/>
            <w:shd w:val="clear" w:color="auto" w:fill="FFFFFF"/>
          </w:rPr>
          <w:delText xml:space="preserve"> S</w:delText>
        </w:r>
        <w:r w:rsidRPr="00E04B2A">
          <w:rPr>
            <w:rStyle w:val="normaltextrun"/>
            <w:sz w:val="22"/>
            <w:shd w:val="clear" w:color="auto" w:fill="FFFFFF"/>
          </w:rPr>
          <w:delText>core (PMS</w:delText>
        </w:r>
        <w:r>
          <w:rPr>
            <w:rStyle w:val="normaltextrun"/>
            <w:sz w:val="22"/>
            <w:shd w:val="clear" w:color="auto" w:fill="FFFFFF"/>
          </w:rPr>
          <w:delText>:</w:delText>
        </w:r>
        <w:r w:rsidRPr="00E04B2A">
          <w:rPr>
            <w:rStyle w:val="normaltextrun"/>
            <w:sz w:val="22"/>
            <w:shd w:val="clear" w:color="auto" w:fill="FFFFFF"/>
          </w:rPr>
          <w:delText xml:space="preserve"> definert som en reduksjon i PMS ≥</w:delText>
        </w:r>
        <w:r>
          <w:rPr>
            <w:rStyle w:val="normaltextrun"/>
            <w:sz w:val="22"/>
            <w:shd w:val="clear" w:color="auto" w:fill="FFFFFF"/>
          </w:rPr>
          <w:delText> </w:delText>
        </w:r>
        <w:r w:rsidRPr="00E04B2A">
          <w:rPr>
            <w:rStyle w:val="normaltextrun"/>
            <w:sz w:val="22"/>
            <w:shd w:val="clear" w:color="auto" w:fill="FFFFFF"/>
          </w:rPr>
          <w:delText>2 poeng og ≥</w:delText>
        </w:r>
        <w:r>
          <w:rPr>
            <w:rStyle w:val="normaltextrun"/>
            <w:sz w:val="22"/>
            <w:shd w:val="clear" w:color="auto" w:fill="FFFFFF"/>
          </w:rPr>
          <w:delText> </w:delText>
        </w:r>
        <w:r w:rsidRPr="00E04B2A">
          <w:rPr>
            <w:rStyle w:val="normaltextrun"/>
            <w:sz w:val="22"/>
            <w:shd w:val="clear" w:color="auto" w:fill="FFFFFF"/>
          </w:rPr>
          <w:delText xml:space="preserve">30 % fra baseline) randomisert likt </w:delText>
        </w:r>
        <w:r>
          <w:rPr>
            <w:rStyle w:val="normaltextrun"/>
            <w:sz w:val="22"/>
            <w:shd w:val="clear" w:color="auto" w:fill="FFFFFF"/>
          </w:rPr>
          <w:delText>til</w:delText>
        </w:r>
        <w:r w:rsidRPr="00E04B2A">
          <w:rPr>
            <w:rStyle w:val="normaltextrun"/>
            <w:sz w:val="22"/>
            <w:shd w:val="clear" w:color="auto" w:fill="FFFFFF"/>
          </w:rPr>
          <w:delText xml:space="preserve"> dobbeltblind</w:delText>
        </w:r>
        <w:r>
          <w:rPr>
            <w:rStyle w:val="normaltextrun"/>
            <w:sz w:val="22"/>
            <w:shd w:val="clear" w:color="auto" w:fill="FFFFFF"/>
          </w:rPr>
          <w:delText>et</w:delText>
        </w:r>
        <w:r w:rsidRPr="00E04B2A">
          <w:rPr>
            <w:rStyle w:val="normaltextrun"/>
            <w:sz w:val="22"/>
            <w:shd w:val="clear" w:color="auto" w:fill="FFFFFF"/>
          </w:rPr>
          <w:delText xml:space="preserve"> vedlikeholdsbehandling med Humira </w:delText>
        </w:r>
        <w:r>
          <w:rPr>
            <w:rStyle w:val="normaltextrun"/>
            <w:sz w:val="22"/>
            <w:shd w:val="clear" w:color="auto" w:fill="FFFFFF"/>
          </w:rPr>
          <w:delText xml:space="preserve">med </w:delText>
        </w:r>
        <w:r w:rsidRPr="00E04B2A">
          <w:rPr>
            <w:rStyle w:val="normaltextrun"/>
            <w:sz w:val="22"/>
            <w:shd w:val="clear" w:color="auto" w:fill="FFFFFF"/>
          </w:rPr>
          <w:delText>en dose på 0,6</w:delText>
        </w:r>
        <w:r>
          <w:rPr>
            <w:rStyle w:val="normaltextrun"/>
            <w:sz w:val="22"/>
            <w:shd w:val="clear" w:color="auto" w:fill="FFFFFF"/>
          </w:rPr>
          <w:delText> </w:delText>
        </w:r>
        <w:r w:rsidRPr="00E04B2A">
          <w:rPr>
            <w:rStyle w:val="normaltextrun"/>
            <w:sz w:val="22"/>
            <w:shd w:val="clear" w:color="auto" w:fill="FFFFFF"/>
          </w:rPr>
          <w:delText>mg/kg (maks</w:delText>
        </w:r>
        <w:r>
          <w:rPr>
            <w:rStyle w:val="normaltextrun"/>
            <w:sz w:val="22"/>
            <w:shd w:val="clear" w:color="auto" w:fill="FFFFFF"/>
          </w:rPr>
          <w:delText>imalt</w:delText>
        </w:r>
        <w:r w:rsidRPr="00E04B2A">
          <w:rPr>
            <w:rStyle w:val="normaltextrun"/>
            <w:sz w:val="22"/>
            <w:shd w:val="clear" w:color="auto" w:fill="FFFFFF"/>
          </w:rPr>
          <w:delText xml:space="preserve"> 40</w:delText>
        </w:r>
        <w:r>
          <w:rPr>
            <w:rStyle w:val="normaltextrun"/>
            <w:sz w:val="22"/>
            <w:shd w:val="clear" w:color="auto" w:fill="FFFFFF"/>
          </w:rPr>
          <w:delText> </w:delText>
        </w:r>
        <w:r w:rsidRPr="00E04B2A">
          <w:rPr>
            <w:rStyle w:val="normaltextrun"/>
            <w:sz w:val="22"/>
            <w:shd w:val="clear" w:color="auto" w:fill="FFFFFF"/>
          </w:rPr>
          <w:delText>mg) hver uke</w:delText>
        </w:r>
        <w:r>
          <w:rPr>
            <w:rStyle w:val="normaltextrun"/>
            <w:sz w:val="22"/>
            <w:shd w:val="clear" w:color="auto" w:fill="FFFFFF"/>
          </w:rPr>
          <w:delText xml:space="preserve"> </w:delText>
        </w:r>
        <w:r w:rsidRPr="00E04B2A">
          <w:rPr>
            <w:rStyle w:val="normaltextrun"/>
            <w:sz w:val="22"/>
            <w:shd w:val="clear" w:color="auto" w:fill="FFFFFF"/>
          </w:rPr>
          <w:delText>eller en vedlikeholdsdose på 0,6</w:delText>
        </w:r>
        <w:r>
          <w:rPr>
            <w:rStyle w:val="normaltextrun"/>
            <w:sz w:val="22"/>
            <w:shd w:val="clear" w:color="auto" w:fill="FFFFFF"/>
          </w:rPr>
          <w:delText> </w:delText>
        </w:r>
        <w:r w:rsidRPr="00E04B2A">
          <w:rPr>
            <w:rStyle w:val="normaltextrun"/>
            <w:sz w:val="22"/>
            <w:shd w:val="clear" w:color="auto" w:fill="FFFFFF"/>
          </w:rPr>
          <w:delText>mg/kg (maks</w:delText>
        </w:r>
        <w:r>
          <w:rPr>
            <w:rStyle w:val="normaltextrun"/>
            <w:sz w:val="22"/>
            <w:shd w:val="clear" w:color="auto" w:fill="FFFFFF"/>
          </w:rPr>
          <w:delText>imalt</w:delText>
        </w:r>
        <w:r w:rsidRPr="00E04B2A">
          <w:rPr>
            <w:rStyle w:val="normaltextrun"/>
            <w:sz w:val="22"/>
            <w:shd w:val="clear" w:color="auto" w:fill="FFFFFF"/>
          </w:rPr>
          <w:delText xml:space="preserve"> 40</w:delText>
        </w:r>
        <w:r>
          <w:rPr>
            <w:rStyle w:val="normaltextrun"/>
            <w:sz w:val="22"/>
            <w:shd w:val="clear" w:color="auto" w:fill="FFFFFF"/>
          </w:rPr>
          <w:delText> </w:delText>
        </w:r>
        <w:r w:rsidRPr="00E04B2A">
          <w:rPr>
            <w:rStyle w:val="normaltextrun"/>
            <w:sz w:val="22"/>
            <w:shd w:val="clear" w:color="auto" w:fill="FFFFFF"/>
          </w:rPr>
          <w:delText>mg) annenhver uke.</w:delText>
        </w:r>
        <w:r>
          <w:rPr>
            <w:rStyle w:val="normaltextrun"/>
            <w:sz w:val="22"/>
            <w:shd w:val="clear" w:color="auto" w:fill="FFFFFF"/>
          </w:rPr>
          <w:delText xml:space="preserve"> </w:delText>
        </w:r>
        <w:r w:rsidRPr="00E04B2A">
          <w:rPr>
            <w:rStyle w:val="normaltextrun"/>
            <w:sz w:val="22"/>
            <w:shd w:val="clear" w:color="auto" w:fill="FFFFFF"/>
          </w:rPr>
          <w:delText xml:space="preserve">Før en endring </w:delText>
        </w:r>
        <w:r>
          <w:rPr>
            <w:rStyle w:val="normaltextrun"/>
            <w:sz w:val="22"/>
            <w:shd w:val="clear" w:color="auto" w:fill="FFFFFF"/>
          </w:rPr>
          <w:delText>i</w:delText>
        </w:r>
        <w:r w:rsidRPr="00E04B2A">
          <w:rPr>
            <w:rStyle w:val="normaltextrun"/>
            <w:sz w:val="22"/>
            <w:shd w:val="clear" w:color="auto" w:fill="FFFFFF"/>
          </w:rPr>
          <w:delText xml:space="preserve"> studiedesign ble </w:delText>
        </w:r>
        <w:r>
          <w:rPr>
            <w:rStyle w:val="normaltextrun"/>
            <w:sz w:val="22"/>
            <w:shd w:val="clear" w:color="auto" w:fill="FFFFFF"/>
          </w:rPr>
          <w:lastRenderedPageBreak/>
          <w:delText xml:space="preserve">ytterligere </w:delText>
        </w:r>
        <w:r w:rsidRPr="00E04B2A">
          <w:rPr>
            <w:rStyle w:val="normaltextrun"/>
            <w:sz w:val="22"/>
            <w:shd w:val="clear" w:color="auto" w:fill="FFFFFF"/>
          </w:rPr>
          <w:delText>12 pasienter</w:delText>
        </w:r>
        <w:r>
          <w:rPr>
            <w:rStyle w:val="normaltextrun"/>
            <w:sz w:val="22"/>
            <w:shd w:val="clear" w:color="auto" w:fill="FFFFFF"/>
          </w:rPr>
          <w:delText>,</w:delText>
        </w:r>
        <w:r w:rsidRPr="00E04B2A">
          <w:rPr>
            <w:rStyle w:val="normaltextrun"/>
            <w:sz w:val="22"/>
            <w:shd w:val="clear" w:color="auto" w:fill="FFFFFF"/>
          </w:rPr>
          <w:delText xml:space="preserve"> som </w:delText>
        </w:r>
        <w:r>
          <w:rPr>
            <w:rStyle w:val="normaltextrun"/>
            <w:sz w:val="22"/>
            <w:shd w:val="clear" w:color="auto" w:fill="FFFFFF"/>
          </w:rPr>
          <w:delText>viste</w:delText>
        </w:r>
        <w:r w:rsidRPr="00E04B2A">
          <w:rPr>
            <w:rStyle w:val="normaltextrun"/>
            <w:sz w:val="22"/>
            <w:shd w:val="clear" w:color="auto" w:fill="FFFFFF"/>
          </w:rPr>
          <w:delText xml:space="preserve"> klinisk respons iht. PMS</w:delText>
        </w:r>
        <w:r>
          <w:rPr>
            <w:rStyle w:val="normaltextrun"/>
            <w:sz w:val="22"/>
            <w:shd w:val="clear" w:color="auto" w:fill="FFFFFF"/>
          </w:rPr>
          <w:delText>,</w:delText>
        </w:r>
        <w:r w:rsidRPr="00E04B2A">
          <w:rPr>
            <w:rStyle w:val="normaltextrun"/>
            <w:sz w:val="22"/>
            <w:shd w:val="clear" w:color="auto" w:fill="FFFFFF"/>
          </w:rPr>
          <w:delText xml:space="preserve"> randomisert til å </w:delText>
        </w:r>
        <w:r>
          <w:rPr>
            <w:rStyle w:val="normaltextrun"/>
            <w:sz w:val="22"/>
            <w:shd w:val="clear" w:color="auto" w:fill="FFFFFF"/>
          </w:rPr>
          <w:delText xml:space="preserve">få </w:delText>
        </w:r>
        <w:r w:rsidRPr="00E04B2A">
          <w:rPr>
            <w:rStyle w:val="normaltextrun"/>
            <w:sz w:val="22"/>
            <w:shd w:val="clear" w:color="auto" w:fill="FFFFFF"/>
          </w:rPr>
          <w:delText>placebo, men ble ikke inkludert i den bekreftende effekt</w:delText>
        </w:r>
        <w:r>
          <w:rPr>
            <w:rStyle w:val="normaltextrun"/>
            <w:sz w:val="22"/>
            <w:shd w:val="clear" w:color="auto" w:fill="FFFFFF"/>
          </w:rPr>
          <w:delText>analys</w:delText>
        </w:r>
        <w:r w:rsidRPr="00E04B2A">
          <w:rPr>
            <w:rStyle w:val="normaltextrun"/>
            <w:sz w:val="22"/>
            <w:shd w:val="clear" w:color="auto" w:fill="FFFFFF"/>
          </w:rPr>
          <w:delText>en.</w:delText>
        </w:r>
      </w:del>
    </w:p>
    <w:p w14:paraId="76B27DAC" w14:textId="21CC4A97" w:rsidR="000F27EB" w:rsidRPr="00E04B2A" w:rsidRDefault="000F27EB">
      <w:pPr>
        <w:keepNext/>
        <w:suppressAutoHyphens/>
        <w:rPr>
          <w:del w:id="10757" w:author="AbbVie02no" w:date="2025-05-15T13:45:00Z"/>
          <w:sz w:val="22"/>
          <w:shd w:val="clear" w:color="auto" w:fill="FFFFFF"/>
        </w:rPr>
        <w:pPrChange w:id="10758" w:author="AbbVie02no" w:date="2025-05-15T13:45:00Z">
          <w:pPr/>
        </w:pPrChange>
      </w:pPr>
    </w:p>
    <w:p w14:paraId="388C268C" w14:textId="55854E77" w:rsidR="000F27EB" w:rsidRPr="00E04B2A" w:rsidRDefault="00E453CD">
      <w:pPr>
        <w:keepNext/>
        <w:suppressAutoHyphens/>
        <w:rPr>
          <w:del w:id="10759" w:author="AbbVie02no" w:date="2025-05-15T13:45:00Z"/>
          <w:sz w:val="22"/>
        </w:rPr>
        <w:pPrChange w:id="10760" w:author="AbbVie02no" w:date="2025-05-15T13:45:00Z">
          <w:pPr/>
        </w:pPrChange>
      </w:pPr>
      <w:del w:id="10761" w:author="AbbVie02no" w:date="2025-05-15T13:45:00Z">
        <w:r w:rsidRPr="00E04B2A">
          <w:rPr>
            <w:sz w:val="22"/>
          </w:rPr>
          <w:delText>Sykdoms</w:delText>
        </w:r>
        <w:r>
          <w:rPr>
            <w:sz w:val="22"/>
          </w:rPr>
          <w:delText>opp</w:delText>
        </w:r>
        <w:r w:rsidRPr="00E04B2A">
          <w:rPr>
            <w:sz w:val="22"/>
          </w:rPr>
          <w:delText>bluss</w:delText>
        </w:r>
        <w:r>
          <w:rPr>
            <w:sz w:val="22"/>
          </w:rPr>
          <w:delText>ing</w:delText>
        </w:r>
        <w:r w:rsidRPr="00E04B2A">
          <w:rPr>
            <w:sz w:val="22"/>
          </w:rPr>
          <w:delText xml:space="preserve"> ble definert som en økning i PMS på minst 3 poeng (for pasienter med PMS på 0 til 2 </w:delText>
        </w:r>
        <w:r>
          <w:rPr>
            <w:sz w:val="22"/>
          </w:rPr>
          <w:delText>ved</w:delText>
        </w:r>
        <w:r w:rsidRPr="00E04B2A">
          <w:rPr>
            <w:sz w:val="22"/>
          </w:rPr>
          <w:delText xml:space="preserve"> uke 8), minst 2 poeng (for pasienter med PMS på 3 til 4 </w:delText>
        </w:r>
        <w:r>
          <w:rPr>
            <w:sz w:val="22"/>
          </w:rPr>
          <w:delText>ved</w:delText>
        </w:r>
        <w:r w:rsidRPr="00E04B2A">
          <w:rPr>
            <w:sz w:val="22"/>
          </w:rPr>
          <w:delText xml:space="preserve"> uke 8) eller minst 1 poeng (for pasienter med PMS på 5 til 6 </w:delText>
        </w:r>
        <w:r>
          <w:rPr>
            <w:sz w:val="22"/>
          </w:rPr>
          <w:delText>ved</w:delText>
        </w:r>
        <w:r w:rsidRPr="00E04B2A">
          <w:rPr>
            <w:sz w:val="22"/>
          </w:rPr>
          <w:delText xml:space="preserve"> uke 8).</w:delText>
        </w:r>
      </w:del>
    </w:p>
    <w:p w14:paraId="73AF9476" w14:textId="76201ADF" w:rsidR="000F27EB" w:rsidRPr="00E04B2A" w:rsidRDefault="000F27EB">
      <w:pPr>
        <w:keepNext/>
        <w:suppressAutoHyphens/>
        <w:rPr>
          <w:del w:id="10762" w:author="AbbVie02no" w:date="2025-05-15T13:45:00Z"/>
          <w:sz w:val="22"/>
        </w:rPr>
        <w:pPrChange w:id="10763" w:author="AbbVie02no" w:date="2025-05-15T13:45:00Z">
          <w:pPr/>
        </w:pPrChange>
      </w:pPr>
    </w:p>
    <w:p w14:paraId="31DF5746" w14:textId="20D6157F" w:rsidR="000F27EB" w:rsidRPr="00E04B2A" w:rsidRDefault="00E453CD">
      <w:pPr>
        <w:keepNext/>
        <w:suppressAutoHyphens/>
        <w:rPr>
          <w:del w:id="10764" w:author="AbbVie02no" w:date="2025-05-15T13:45:00Z"/>
          <w:sz w:val="22"/>
        </w:rPr>
        <w:pPrChange w:id="10765" w:author="AbbVie02no" w:date="2025-05-15T13:45:00Z">
          <w:pPr/>
        </w:pPrChange>
      </w:pPr>
      <w:del w:id="10766" w:author="AbbVie02no" w:date="2025-05-15T13:45:00Z">
        <w:r w:rsidRPr="00E04B2A">
          <w:rPr>
            <w:sz w:val="22"/>
          </w:rPr>
          <w:delText>Pasienter som oppfylte kriteriene for sykdoms</w:delText>
        </w:r>
        <w:r>
          <w:rPr>
            <w:sz w:val="22"/>
          </w:rPr>
          <w:delText>opp</w:delText>
        </w:r>
        <w:r w:rsidRPr="00E04B2A">
          <w:rPr>
            <w:sz w:val="22"/>
          </w:rPr>
          <w:delText xml:space="preserve">bluss ved eller etter uke 12 ble randomisert til å </w:delText>
        </w:r>
        <w:r>
          <w:rPr>
            <w:sz w:val="22"/>
          </w:rPr>
          <w:delText>få</w:delText>
        </w:r>
        <w:r w:rsidRPr="00E04B2A">
          <w:rPr>
            <w:sz w:val="22"/>
          </w:rPr>
          <w:delText xml:space="preserve"> en gjentatt induksjonsdose på 2,4</w:delText>
        </w:r>
        <w:r>
          <w:rPr>
            <w:sz w:val="22"/>
          </w:rPr>
          <w:delText> </w:delText>
        </w:r>
        <w:r w:rsidRPr="00E04B2A">
          <w:rPr>
            <w:sz w:val="22"/>
          </w:rPr>
          <w:delText>mg/kg (</w:delText>
        </w:r>
        <w:r>
          <w:rPr>
            <w:sz w:val="22"/>
          </w:rPr>
          <w:delText>maksimalt</w:delText>
        </w:r>
        <w:r w:rsidRPr="00E04B2A">
          <w:rPr>
            <w:sz w:val="22"/>
          </w:rPr>
          <w:delText xml:space="preserve"> 160</w:delText>
        </w:r>
        <w:r>
          <w:rPr>
            <w:sz w:val="22"/>
          </w:rPr>
          <w:delText> </w:delText>
        </w:r>
        <w:r w:rsidRPr="00E04B2A">
          <w:rPr>
            <w:sz w:val="22"/>
          </w:rPr>
          <w:delText>mg) eller en dose på 0,6</w:delText>
        </w:r>
        <w:r>
          <w:rPr>
            <w:sz w:val="22"/>
          </w:rPr>
          <w:delText> </w:delText>
        </w:r>
        <w:r w:rsidRPr="00E04B2A">
          <w:rPr>
            <w:sz w:val="22"/>
          </w:rPr>
          <w:delText>mg/kg (</w:delText>
        </w:r>
        <w:r>
          <w:rPr>
            <w:sz w:val="22"/>
          </w:rPr>
          <w:delText>maksimalt</w:delText>
        </w:r>
        <w:r w:rsidRPr="00E04B2A">
          <w:rPr>
            <w:sz w:val="22"/>
          </w:rPr>
          <w:delText xml:space="preserve"> 40</w:delText>
        </w:r>
        <w:r>
          <w:rPr>
            <w:sz w:val="22"/>
          </w:rPr>
          <w:delText> </w:delText>
        </w:r>
        <w:r w:rsidRPr="00E04B2A">
          <w:rPr>
            <w:sz w:val="22"/>
          </w:rPr>
          <w:delText xml:space="preserve">mg) og fortsatte </w:delText>
        </w:r>
        <w:r>
          <w:rPr>
            <w:sz w:val="22"/>
          </w:rPr>
          <w:delText>deretter med deres</w:delText>
        </w:r>
        <w:r w:rsidRPr="00E04B2A">
          <w:rPr>
            <w:sz w:val="22"/>
          </w:rPr>
          <w:delText xml:space="preserve"> respektive vedlikeholdsdose.</w:delText>
        </w:r>
      </w:del>
    </w:p>
    <w:p w14:paraId="6023DB30" w14:textId="2CE4FA9F" w:rsidR="000F27EB" w:rsidRPr="00E04B2A" w:rsidRDefault="00E453CD">
      <w:pPr>
        <w:keepNext/>
        <w:suppressAutoHyphens/>
        <w:rPr>
          <w:del w:id="10767" w:author="AbbVie02no" w:date="2025-05-15T13:45:00Z"/>
          <w:i/>
          <w:sz w:val="22"/>
          <w:szCs w:val="22"/>
        </w:rPr>
        <w:pPrChange w:id="10768" w:author="AbbVie02no" w:date="2025-05-15T13:45:00Z">
          <w:pPr>
            <w:pStyle w:val="gtcbodytext"/>
            <w:spacing w:after="0" w:line="240" w:lineRule="auto"/>
          </w:pPr>
        </w:pPrChange>
      </w:pPr>
      <w:del w:id="10769" w:author="AbbVie02no" w:date="2025-05-15T13:45:00Z">
        <w:r w:rsidRPr="00E04B2A">
          <w:rPr>
            <w:i/>
            <w:sz w:val="22"/>
          </w:rPr>
          <w:delText>Effektresultater</w:delText>
        </w:r>
      </w:del>
    </w:p>
    <w:p w14:paraId="5A9CBA92" w14:textId="676F709D" w:rsidR="000F27EB" w:rsidRPr="00E04B2A" w:rsidRDefault="000F27EB">
      <w:pPr>
        <w:keepNext/>
        <w:suppressAutoHyphens/>
        <w:rPr>
          <w:del w:id="10770" w:author="AbbVie02no" w:date="2025-05-15T13:45:00Z"/>
          <w:i/>
          <w:sz w:val="22"/>
          <w:szCs w:val="22"/>
        </w:rPr>
        <w:pPrChange w:id="10771" w:author="AbbVie02no" w:date="2025-05-15T13:45:00Z">
          <w:pPr>
            <w:pStyle w:val="gtcbodytext"/>
            <w:spacing w:before="0" w:after="0" w:line="240" w:lineRule="auto"/>
          </w:pPr>
        </w:pPrChange>
      </w:pPr>
    </w:p>
    <w:p w14:paraId="49AE4FBA" w14:textId="0B170CCC" w:rsidR="000F27EB" w:rsidRPr="00E04B2A" w:rsidRDefault="00E453CD">
      <w:pPr>
        <w:keepNext/>
        <w:suppressAutoHyphens/>
        <w:rPr>
          <w:del w:id="10772" w:author="AbbVie02no" w:date="2025-05-15T13:45:00Z"/>
          <w:sz w:val="22"/>
        </w:rPr>
        <w:pPrChange w:id="10773" w:author="AbbVie02no" w:date="2025-05-15T13:45:00Z">
          <w:pPr>
            <w:textAlignment w:val="baseline"/>
          </w:pPr>
        </w:pPrChange>
      </w:pPr>
      <w:del w:id="10774" w:author="AbbVie02no" w:date="2025-05-15T13:45:00Z">
        <w:r w:rsidRPr="00E04B2A">
          <w:rPr>
            <w:sz w:val="22"/>
          </w:rPr>
          <w:delText>De ko-primære endepunktene i studien var klinisk remisjon iht. PMS (definert som PMS ≤</w:delText>
        </w:r>
        <w:r>
          <w:rPr>
            <w:sz w:val="22"/>
          </w:rPr>
          <w:delText> </w:delText>
        </w:r>
        <w:r w:rsidRPr="00E04B2A">
          <w:rPr>
            <w:sz w:val="22"/>
          </w:rPr>
          <w:delText xml:space="preserve">2 og ingen individuell </w:delText>
        </w:r>
        <w:r w:rsidRPr="007031B5">
          <w:rPr>
            <w:sz w:val="22"/>
          </w:rPr>
          <w:delText>subscore</w:delText>
        </w:r>
        <w:r w:rsidRPr="00E04B2A">
          <w:rPr>
            <w:sz w:val="22"/>
          </w:rPr>
          <w:delText xml:space="preserve"> &gt;</w:delText>
        </w:r>
        <w:r>
          <w:rPr>
            <w:sz w:val="22"/>
          </w:rPr>
          <w:delText> </w:delText>
        </w:r>
        <w:r w:rsidRPr="00E04B2A">
          <w:rPr>
            <w:sz w:val="22"/>
          </w:rPr>
          <w:delText xml:space="preserve">1) </w:delText>
        </w:r>
        <w:r>
          <w:rPr>
            <w:sz w:val="22"/>
          </w:rPr>
          <w:delText>ved</w:delText>
        </w:r>
        <w:r w:rsidRPr="00E04B2A">
          <w:rPr>
            <w:sz w:val="22"/>
          </w:rPr>
          <w:delText xml:space="preserve"> uke 8, og klinisk remisjon iht. FMS (</w:delText>
        </w:r>
        <w:r>
          <w:rPr>
            <w:sz w:val="22"/>
          </w:rPr>
          <w:delText>F</w:delText>
        </w:r>
        <w:r w:rsidRPr="00E04B2A">
          <w:rPr>
            <w:sz w:val="22"/>
          </w:rPr>
          <w:delText>ull Mayo</w:delText>
        </w:r>
        <w:r>
          <w:rPr>
            <w:sz w:val="22"/>
          </w:rPr>
          <w:delText xml:space="preserve"> S</w:delText>
        </w:r>
        <w:r w:rsidRPr="00E04B2A">
          <w:rPr>
            <w:sz w:val="22"/>
          </w:rPr>
          <w:delText>core) (definert som en Mayo</w:delText>
        </w:r>
        <w:r>
          <w:rPr>
            <w:sz w:val="22"/>
          </w:rPr>
          <w:delText xml:space="preserve"> </w:delText>
        </w:r>
        <w:r w:rsidRPr="00E04B2A">
          <w:rPr>
            <w:sz w:val="22"/>
          </w:rPr>
          <w:delText>score ≤</w:delText>
        </w:r>
        <w:r>
          <w:rPr>
            <w:sz w:val="22"/>
          </w:rPr>
          <w:delText> </w:delText>
        </w:r>
        <w:r w:rsidRPr="00E04B2A">
          <w:rPr>
            <w:sz w:val="22"/>
          </w:rPr>
          <w:delText xml:space="preserve">2 og ingen individuell </w:delText>
        </w:r>
        <w:r w:rsidRPr="007031B5">
          <w:rPr>
            <w:sz w:val="22"/>
          </w:rPr>
          <w:delText>subscore</w:delText>
        </w:r>
        <w:r w:rsidRPr="00E04B2A">
          <w:rPr>
            <w:sz w:val="22"/>
          </w:rPr>
          <w:delText xml:space="preserve"> &gt;</w:delText>
        </w:r>
        <w:r>
          <w:rPr>
            <w:sz w:val="22"/>
          </w:rPr>
          <w:delText> </w:delText>
        </w:r>
        <w:r w:rsidRPr="00E04B2A">
          <w:rPr>
            <w:sz w:val="22"/>
          </w:rPr>
          <w:delText xml:space="preserve">1) </w:delText>
        </w:r>
        <w:r>
          <w:rPr>
            <w:sz w:val="22"/>
          </w:rPr>
          <w:delText>ved</w:delText>
        </w:r>
        <w:r w:rsidRPr="00E04B2A">
          <w:rPr>
            <w:sz w:val="22"/>
          </w:rPr>
          <w:delText xml:space="preserve"> uke 52 hos pasienter som oppnådde klinisk respons iht. PMS </w:delText>
        </w:r>
        <w:r>
          <w:rPr>
            <w:sz w:val="22"/>
          </w:rPr>
          <w:delText>ved</w:delText>
        </w:r>
        <w:r w:rsidRPr="00E04B2A">
          <w:rPr>
            <w:sz w:val="22"/>
          </w:rPr>
          <w:delText xml:space="preserve"> uke 8.</w:delText>
        </w:r>
      </w:del>
    </w:p>
    <w:p w14:paraId="3F35607F" w14:textId="0E52ABEE" w:rsidR="000F27EB" w:rsidRPr="00E04B2A" w:rsidRDefault="000F27EB">
      <w:pPr>
        <w:keepNext/>
        <w:suppressAutoHyphens/>
        <w:rPr>
          <w:del w:id="10775" w:author="AbbVie02no" w:date="2025-05-15T13:45:00Z"/>
          <w:sz w:val="22"/>
          <w:lang w:eastAsia="en-GB"/>
        </w:rPr>
        <w:pPrChange w:id="10776" w:author="AbbVie02no" w:date="2025-05-15T13:45:00Z">
          <w:pPr>
            <w:textAlignment w:val="baseline"/>
          </w:pPr>
        </w:pPrChange>
      </w:pPr>
    </w:p>
    <w:p w14:paraId="7DC3BE60" w14:textId="78A6EE34" w:rsidR="000F27EB" w:rsidRPr="00E04B2A" w:rsidRDefault="00E453CD">
      <w:pPr>
        <w:keepNext/>
        <w:suppressAutoHyphens/>
        <w:rPr>
          <w:del w:id="10777" w:author="AbbVie02no" w:date="2025-05-15T13:45:00Z"/>
          <w:sz w:val="22"/>
        </w:rPr>
        <w:pPrChange w:id="10778" w:author="AbbVie02no" w:date="2025-05-15T13:45:00Z">
          <w:pPr>
            <w:textAlignment w:val="baseline"/>
          </w:pPr>
        </w:pPrChange>
      </w:pPr>
      <w:del w:id="10779" w:author="AbbVie02no" w:date="2025-05-15T13:45:00Z">
        <w:r w:rsidRPr="00E04B2A">
          <w:rPr>
            <w:sz w:val="22"/>
          </w:rPr>
          <w:delText xml:space="preserve">Kliniske remisjonsrater iht. PMS </w:delText>
        </w:r>
        <w:r w:rsidR="00852DB1">
          <w:rPr>
            <w:sz w:val="22"/>
          </w:rPr>
          <w:delText>ved</w:delText>
        </w:r>
        <w:r w:rsidRPr="00E04B2A">
          <w:rPr>
            <w:sz w:val="22"/>
          </w:rPr>
          <w:delText xml:space="preserve"> uke 8 for pasienter i hver av de dobbeltblinde</w:delText>
        </w:r>
        <w:r>
          <w:rPr>
            <w:sz w:val="22"/>
          </w:rPr>
          <w:delText>de</w:delText>
        </w:r>
        <w:r w:rsidRPr="00E04B2A">
          <w:rPr>
            <w:sz w:val="22"/>
          </w:rPr>
          <w:delText xml:space="preserve"> Humira-induksjonsgruppen</w:delText>
        </w:r>
        <w:r>
          <w:rPr>
            <w:sz w:val="22"/>
          </w:rPr>
          <w:delText xml:space="preserve">e er vist i </w:delText>
        </w:r>
        <w:r w:rsidRPr="00E04B2A">
          <w:rPr>
            <w:sz w:val="22"/>
          </w:rPr>
          <w:delText xml:space="preserve">tabell </w:delText>
        </w:r>
        <w:r w:rsidR="00FD1DB9">
          <w:rPr>
            <w:sz w:val="22"/>
          </w:rPr>
          <w:delText>31</w:delText>
        </w:r>
        <w:r w:rsidRPr="00E04B2A">
          <w:rPr>
            <w:sz w:val="22"/>
          </w:rPr>
          <w:delText>.</w:delText>
        </w:r>
      </w:del>
    </w:p>
    <w:p w14:paraId="596B6BB3" w14:textId="452AFE11" w:rsidR="000F27EB" w:rsidRPr="00E04B2A" w:rsidRDefault="00E453CD">
      <w:pPr>
        <w:keepNext/>
        <w:suppressAutoHyphens/>
        <w:rPr>
          <w:del w:id="10780" w:author="AbbVie02no" w:date="2025-05-15T13:45:00Z"/>
          <w:sz w:val="22"/>
          <w:szCs w:val="22"/>
        </w:rPr>
        <w:pPrChange w:id="10781" w:author="AbbVie02no" w:date="2025-05-15T13:45:00Z">
          <w:pPr>
            <w:pStyle w:val="gtcbodytext"/>
            <w:spacing w:after="0" w:line="240" w:lineRule="auto"/>
            <w:jc w:val="center"/>
          </w:pPr>
        </w:pPrChange>
      </w:pPr>
      <w:del w:id="10782" w:author="AbbVie02no" w:date="2025-05-15T13:45:00Z">
        <w:r w:rsidRPr="00E04B2A">
          <w:rPr>
            <w:b/>
            <w:sz w:val="22"/>
          </w:rPr>
          <w:delText>Tabell </w:delText>
        </w:r>
        <w:r w:rsidR="00FD1DB9">
          <w:rPr>
            <w:b/>
            <w:sz w:val="22"/>
          </w:rPr>
          <w:delText>31</w:delText>
        </w:r>
        <w:r w:rsidRPr="00E04B2A">
          <w:rPr>
            <w:b/>
            <w:sz w:val="22"/>
          </w:rPr>
          <w:delText xml:space="preserve">: Klinisk remisjon iht. PMS ved </w:delText>
        </w:r>
        <w:r>
          <w:rPr>
            <w:b/>
            <w:sz w:val="22"/>
          </w:rPr>
          <w:delText>uke 8</w:delText>
        </w:r>
        <w:r w:rsidRPr="00E04B2A">
          <w:rPr>
            <w:b/>
            <w:sz w:val="22"/>
          </w:rPr>
          <w:delText xml:space="preserve"> </w:delText>
        </w:r>
      </w:del>
    </w:p>
    <w:tbl>
      <w:tblPr>
        <w:tblW w:w="4246" w:type="pct"/>
        <w:jc w:val="center"/>
        <w:tblLook w:val="04A0" w:firstRow="1" w:lastRow="0" w:firstColumn="1" w:lastColumn="0" w:noHBand="0" w:noVBand="1"/>
      </w:tblPr>
      <w:tblGrid>
        <w:gridCol w:w="1902"/>
        <w:gridCol w:w="2865"/>
        <w:gridCol w:w="2917"/>
      </w:tblGrid>
      <w:tr w:rsidR="004644D4" w14:paraId="2A0D3E84" w14:textId="3D22A98F" w:rsidTr="001E18BB">
        <w:trPr>
          <w:jc w:val="center"/>
          <w:del w:id="10783" w:author="AbbVie02no" w:date="2025-05-15T13:4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0F9191" w14:textId="1D61B336" w:rsidR="000F27EB" w:rsidRPr="00E04B2A" w:rsidRDefault="000F27EB">
            <w:pPr>
              <w:keepNext/>
              <w:suppressAutoHyphens/>
              <w:rPr>
                <w:del w:id="10784" w:author="AbbVie02no" w:date="2025-05-15T13:45:00Z"/>
                <w:sz w:val="22"/>
              </w:rPr>
              <w:pPrChange w:id="10785" w:author="AbbVie02no" w:date="2025-05-15T13:45:00Z">
                <w:pPr/>
              </w:pPrChange>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500B7E" w14:textId="48181D63" w:rsidR="000F27EB" w:rsidRPr="00501579" w:rsidRDefault="00E453CD">
            <w:pPr>
              <w:keepNext/>
              <w:suppressAutoHyphens/>
              <w:rPr>
                <w:del w:id="10786" w:author="AbbVie02no" w:date="2025-05-15T13:45:00Z"/>
                <w:sz w:val="22"/>
                <w:szCs w:val="22"/>
              </w:rPr>
              <w:pPrChange w:id="10787" w:author="AbbVie02no" w:date="2025-05-15T13:45:00Z">
                <w:pPr>
                  <w:pStyle w:val="paragraph0"/>
                  <w:spacing w:before="0" w:beforeAutospacing="0" w:after="0" w:afterAutospacing="0"/>
                  <w:jc w:val="center"/>
                  <w:textAlignment w:val="baseline"/>
                </w:pPr>
              </w:pPrChange>
            </w:pPr>
            <w:del w:id="10788" w:author="AbbVie02no" w:date="2025-05-15T13:45:00Z">
              <w:r w:rsidRPr="00EF5F5C">
                <w:rPr>
                  <w:rStyle w:val="spellingerror"/>
                  <w:b/>
                  <w:sz w:val="22"/>
                </w:rPr>
                <w:delText>Humira</w:delText>
              </w:r>
              <w:r w:rsidRPr="00EF5F5C">
                <w:rPr>
                  <w:rStyle w:val="spellingerror"/>
                  <w:b/>
                  <w:sz w:val="22"/>
                  <w:vertAlign w:val="superscript"/>
                </w:rPr>
                <w:delText>a</w:delText>
              </w:r>
              <w:r w:rsidRPr="00406612">
                <w:rPr>
                  <w:rStyle w:val="eop"/>
                  <w:sz w:val="22"/>
                </w:rPr>
                <w:delText> </w:delText>
              </w:r>
            </w:del>
          </w:p>
          <w:p w14:paraId="5AD5B3DE" w14:textId="65082093" w:rsidR="000F27EB" w:rsidRPr="00E04B2A" w:rsidRDefault="00E453CD">
            <w:pPr>
              <w:keepNext/>
              <w:suppressAutoHyphens/>
              <w:rPr>
                <w:del w:id="10789" w:author="AbbVie02no" w:date="2025-05-15T13:45:00Z"/>
                <w:rStyle w:val="eop"/>
                <w:sz w:val="22"/>
              </w:rPr>
              <w:pPrChange w:id="10790" w:author="AbbVie02no" w:date="2025-05-15T13:45:00Z">
                <w:pPr>
                  <w:jc w:val="center"/>
                </w:pPr>
              </w:pPrChange>
            </w:pPr>
            <w:del w:id="10791" w:author="AbbVie02no" w:date="2025-05-15T13:45:00Z">
              <w:r w:rsidRPr="00E04B2A">
                <w:rPr>
                  <w:rStyle w:val="normaltextrun"/>
                  <w:b/>
                  <w:sz w:val="22"/>
                </w:rPr>
                <w:delText>Maksim</w:delText>
              </w:r>
              <w:r w:rsidRPr="001D5C5A">
                <w:rPr>
                  <w:rStyle w:val="normaltextrun"/>
                  <w:b/>
                  <w:sz w:val="22"/>
                  <w:szCs w:val="22"/>
                </w:rPr>
                <w:delText>a</w:delText>
              </w:r>
              <w:r w:rsidRPr="00975795">
                <w:rPr>
                  <w:rStyle w:val="normaltextrun"/>
                  <w:b/>
                  <w:sz w:val="22"/>
                  <w:szCs w:val="22"/>
                </w:rPr>
                <w:delText>lt</w:delText>
              </w:r>
              <w:r w:rsidRPr="00E04B2A">
                <w:rPr>
                  <w:rStyle w:val="normaltextrun"/>
                  <w:b/>
                  <w:sz w:val="22"/>
                </w:rPr>
                <w:delText xml:space="preserve"> 160</w:delText>
              </w:r>
              <w:r>
                <w:rPr>
                  <w:rStyle w:val="normaltextrun"/>
                  <w:b/>
                  <w:sz w:val="22"/>
                </w:rPr>
                <w:delText> </w:delText>
              </w:r>
              <w:r w:rsidRPr="00E04B2A">
                <w:rPr>
                  <w:rStyle w:val="normaltextrun"/>
                  <w:b/>
                  <w:sz w:val="22"/>
                </w:rPr>
                <w:delText xml:space="preserve">mg </w:delText>
              </w:r>
              <w:r>
                <w:rPr>
                  <w:rStyle w:val="normaltextrun"/>
                  <w:b/>
                  <w:sz w:val="22"/>
                </w:rPr>
                <w:delText>ved</w:delText>
              </w:r>
              <w:r w:rsidRPr="00E04B2A">
                <w:rPr>
                  <w:rStyle w:val="normaltextrun"/>
                  <w:b/>
                  <w:sz w:val="22"/>
                </w:rPr>
                <w:delText xml:space="preserve"> uke 0/placebo </w:delText>
              </w:r>
              <w:r>
                <w:rPr>
                  <w:rStyle w:val="normaltextrun"/>
                  <w:b/>
                  <w:sz w:val="22"/>
                </w:rPr>
                <w:delText>ved</w:delText>
              </w:r>
              <w:r w:rsidRPr="00E04B2A">
                <w:rPr>
                  <w:rStyle w:val="normaltextrun"/>
                  <w:b/>
                  <w:sz w:val="22"/>
                </w:rPr>
                <w:delText xml:space="preserve"> uke 1</w:delText>
              </w:r>
            </w:del>
          </w:p>
          <w:p w14:paraId="53623658" w14:textId="5BC943E9" w:rsidR="000F27EB" w:rsidRPr="00E04B2A" w:rsidRDefault="00E453CD">
            <w:pPr>
              <w:keepNext/>
              <w:suppressAutoHyphens/>
              <w:rPr>
                <w:del w:id="10792" w:author="AbbVie02no" w:date="2025-05-15T13:45:00Z"/>
                <w:sz w:val="22"/>
              </w:rPr>
              <w:pPrChange w:id="10793" w:author="AbbVie02no" w:date="2025-05-15T13:45:00Z">
                <w:pPr>
                  <w:jc w:val="center"/>
                </w:pPr>
              </w:pPrChange>
            </w:pPr>
            <w:del w:id="10794" w:author="AbbVie02no" w:date="2025-05-15T13:45:00Z">
              <w:r w:rsidRPr="00E04B2A">
                <w:rPr>
                  <w:rStyle w:val="eop"/>
                  <w:sz w:val="22"/>
                </w:rPr>
                <w:delText>N = 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CBC0FB" w14:textId="776346EF" w:rsidR="000F27EB" w:rsidRPr="00501579" w:rsidRDefault="00E453CD">
            <w:pPr>
              <w:keepNext/>
              <w:suppressAutoHyphens/>
              <w:rPr>
                <w:del w:id="10795" w:author="AbbVie02no" w:date="2025-05-15T13:45:00Z"/>
                <w:sz w:val="22"/>
                <w:szCs w:val="22"/>
              </w:rPr>
              <w:pPrChange w:id="10796" w:author="AbbVie02no" w:date="2025-05-15T13:45:00Z">
                <w:pPr>
                  <w:pStyle w:val="paragraph0"/>
                  <w:spacing w:before="0" w:beforeAutospacing="0" w:after="0" w:afterAutospacing="0"/>
                  <w:jc w:val="center"/>
                  <w:textAlignment w:val="baseline"/>
                </w:pPr>
              </w:pPrChange>
            </w:pPr>
            <w:del w:id="10797" w:author="AbbVie02no" w:date="2025-05-15T13:45:00Z">
              <w:r w:rsidRPr="00EF5F5C">
                <w:rPr>
                  <w:rStyle w:val="spellingerror"/>
                  <w:b/>
                  <w:sz w:val="22"/>
                </w:rPr>
                <w:delText>Humira</w:delText>
              </w:r>
              <w:r w:rsidRPr="00EF5F5C">
                <w:rPr>
                  <w:rStyle w:val="spellingerror"/>
                  <w:b/>
                  <w:sz w:val="22"/>
                  <w:vertAlign w:val="superscript"/>
                </w:rPr>
                <w:delText>b</w:delText>
              </w:r>
              <w:r w:rsidRPr="00406612">
                <w:rPr>
                  <w:rStyle w:val="normaltextrun"/>
                  <w:b/>
                  <w:sz w:val="22"/>
                  <w:vertAlign w:val="superscript"/>
                </w:rPr>
                <w:delText>, c</w:delText>
              </w:r>
              <w:r w:rsidRPr="00501579">
                <w:rPr>
                  <w:rStyle w:val="eop"/>
                  <w:sz w:val="22"/>
                </w:rPr>
                <w:delText> </w:delText>
              </w:r>
            </w:del>
          </w:p>
          <w:p w14:paraId="18B7566C" w14:textId="732B1B2C" w:rsidR="000F27EB" w:rsidRPr="00E04B2A" w:rsidRDefault="00E453CD">
            <w:pPr>
              <w:keepNext/>
              <w:suppressAutoHyphens/>
              <w:rPr>
                <w:del w:id="10798" w:author="AbbVie02no" w:date="2025-05-15T13:45:00Z"/>
                <w:rStyle w:val="eop"/>
                <w:sz w:val="22"/>
              </w:rPr>
              <w:pPrChange w:id="10799" w:author="AbbVie02no" w:date="2025-05-15T13:45:00Z">
                <w:pPr>
                  <w:jc w:val="center"/>
                </w:pPr>
              </w:pPrChange>
            </w:pPr>
            <w:del w:id="10800" w:author="AbbVie02no" w:date="2025-05-15T13:45:00Z">
              <w:r w:rsidRPr="00E04B2A">
                <w:rPr>
                  <w:rStyle w:val="normaltextrun"/>
                  <w:b/>
                  <w:sz w:val="22"/>
                </w:rPr>
                <w:delText>Maksim</w:delText>
              </w:r>
              <w:r>
                <w:rPr>
                  <w:rStyle w:val="normaltextrun"/>
                  <w:b/>
                  <w:sz w:val="22"/>
                </w:rPr>
                <w:delText>alt</w:delText>
              </w:r>
              <w:r w:rsidRPr="00E04B2A">
                <w:rPr>
                  <w:rStyle w:val="normaltextrun"/>
                  <w:b/>
                  <w:sz w:val="22"/>
                </w:rPr>
                <w:delText xml:space="preserve"> 160</w:delText>
              </w:r>
              <w:r>
                <w:rPr>
                  <w:rStyle w:val="normaltextrun"/>
                  <w:b/>
                  <w:sz w:val="22"/>
                </w:rPr>
                <w:delText> </w:delText>
              </w:r>
              <w:r w:rsidRPr="00E04B2A">
                <w:rPr>
                  <w:rStyle w:val="normaltextrun"/>
                  <w:b/>
                  <w:sz w:val="22"/>
                </w:rPr>
                <w:delText xml:space="preserve">mg </w:delText>
              </w:r>
              <w:r>
                <w:rPr>
                  <w:rStyle w:val="normaltextrun"/>
                  <w:b/>
                  <w:sz w:val="22"/>
                </w:rPr>
                <w:delText>ved</w:delText>
              </w:r>
              <w:r w:rsidRPr="00E04B2A">
                <w:rPr>
                  <w:rStyle w:val="normaltextrun"/>
                  <w:b/>
                  <w:sz w:val="22"/>
                </w:rPr>
                <w:delText xml:space="preserve"> uke 0 og uke 1</w:delText>
              </w:r>
            </w:del>
          </w:p>
          <w:p w14:paraId="4C7B1CD0" w14:textId="3F5864E0" w:rsidR="000F27EB" w:rsidRPr="00E04B2A" w:rsidRDefault="00E453CD">
            <w:pPr>
              <w:keepNext/>
              <w:suppressAutoHyphens/>
              <w:rPr>
                <w:del w:id="10801" w:author="AbbVie02no" w:date="2025-05-15T13:45:00Z"/>
                <w:sz w:val="22"/>
              </w:rPr>
              <w:pPrChange w:id="10802" w:author="AbbVie02no" w:date="2025-05-15T13:45:00Z">
                <w:pPr>
                  <w:jc w:val="center"/>
                </w:pPr>
              </w:pPrChange>
            </w:pPr>
            <w:del w:id="10803" w:author="AbbVie02no" w:date="2025-05-15T13:45:00Z">
              <w:r w:rsidRPr="00E04B2A">
                <w:rPr>
                  <w:rStyle w:val="eop"/>
                  <w:sz w:val="22"/>
                </w:rPr>
                <w:delText>N = 47</w:delText>
              </w:r>
            </w:del>
          </w:p>
        </w:tc>
      </w:tr>
      <w:tr w:rsidR="004644D4" w14:paraId="544D4E5C" w14:textId="45DB0E9C" w:rsidTr="001E18BB">
        <w:trPr>
          <w:jc w:val="center"/>
          <w:del w:id="10804" w:author="AbbVie02no" w:date="2025-05-15T13:4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241775" w14:textId="3CD3BFA8" w:rsidR="000F27EB" w:rsidRPr="00E04B2A" w:rsidRDefault="00E453CD">
            <w:pPr>
              <w:keepNext/>
              <w:suppressAutoHyphens/>
              <w:rPr>
                <w:del w:id="10805" w:author="AbbVie02no" w:date="2025-05-15T13:45:00Z"/>
                <w:sz w:val="22"/>
              </w:rPr>
              <w:pPrChange w:id="10806" w:author="AbbVie02no" w:date="2025-05-15T13:45:00Z">
                <w:pPr/>
              </w:pPrChange>
            </w:pPr>
            <w:del w:id="10807" w:author="AbbVie02no" w:date="2025-05-15T13:45:00Z">
              <w:r w:rsidRPr="00E04B2A">
                <w:rPr>
                  <w:sz w:val="22"/>
                </w:rPr>
                <w:delText>Klinisk remisjon</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8A4C49C" w14:textId="18BA77FB" w:rsidR="000F27EB" w:rsidRPr="00E04B2A" w:rsidRDefault="00E453CD">
            <w:pPr>
              <w:keepNext/>
              <w:suppressAutoHyphens/>
              <w:rPr>
                <w:del w:id="10808" w:author="AbbVie02no" w:date="2025-05-15T13:45:00Z"/>
                <w:sz w:val="22"/>
              </w:rPr>
              <w:pPrChange w:id="10809" w:author="AbbVie02no" w:date="2025-05-15T13:45:00Z">
                <w:pPr>
                  <w:jc w:val="center"/>
                </w:pPr>
              </w:pPrChange>
            </w:pPr>
            <w:del w:id="10810" w:author="AbbVie02no" w:date="2025-05-15T13:45:00Z">
              <w:r w:rsidRPr="00E04B2A">
                <w:rPr>
                  <w:sz w:val="22"/>
                </w:rPr>
                <w:delText>13/30 (43,3</w:delText>
              </w:r>
              <w:r>
                <w:rPr>
                  <w:sz w:val="22"/>
                </w:rPr>
                <w:delText> </w:delText>
              </w:r>
              <w:r w:rsidRPr="00E04B2A">
                <w:rPr>
                  <w:sz w:val="22"/>
                </w:rPr>
                <w:delText>%)</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177E19" w14:textId="041572A0" w:rsidR="000F27EB" w:rsidRPr="00E04B2A" w:rsidRDefault="00E453CD">
            <w:pPr>
              <w:keepNext/>
              <w:suppressAutoHyphens/>
              <w:rPr>
                <w:del w:id="10811" w:author="AbbVie02no" w:date="2025-05-15T13:45:00Z"/>
                <w:sz w:val="22"/>
                <w:vertAlign w:val="superscript"/>
              </w:rPr>
              <w:pPrChange w:id="10812" w:author="AbbVie02no" w:date="2025-05-15T13:45:00Z">
                <w:pPr>
                  <w:jc w:val="center"/>
                </w:pPr>
              </w:pPrChange>
            </w:pPr>
            <w:del w:id="10813" w:author="AbbVie02no" w:date="2025-05-15T13:45:00Z">
              <w:r w:rsidRPr="00E04B2A">
                <w:rPr>
                  <w:sz w:val="22"/>
                </w:rPr>
                <w:delText>28/47 (59,6</w:delText>
              </w:r>
              <w:r>
                <w:rPr>
                  <w:sz w:val="22"/>
                </w:rPr>
                <w:delText> </w:delText>
              </w:r>
              <w:r w:rsidRPr="00E04B2A">
                <w:rPr>
                  <w:sz w:val="22"/>
                </w:rPr>
                <w:delText>%)</w:delText>
              </w:r>
            </w:del>
          </w:p>
        </w:tc>
      </w:tr>
      <w:tr w:rsidR="004644D4" w14:paraId="64332B28" w14:textId="5C055E4A" w:rsidTr="001E18BB">
        <w:trPr>
          <w:trHeight w:val="2517"/>
          <w:jc w:val="center"/>
          <w:del w:id="10814" w:author="AbbVie02no" w:date="2025-05-15T13:45: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4C411FD" w14:textId="05FF37C0" w:rsidR="000F27EB" w:rsidRPr="00501579" w:rsidRDefault="00E453CD">
            <w:pPr>
              <w:keepNext/>
              <w:suppressAutoHyphens/>
              <w:rPr>
                <w:del w:id="10815" w:author="AbbVie02no" w:date="2025-05-15T13:45:00Z"/>
                <w:sz w:val="22"/>
                <w:szCs w:val="22"/>
              </w:rPr>
              <w:pPrChange w:id="10816" w:author="AbbVie02no" w:date="2025-05-15T13:45:00Z">
                <w:pPr>
                  <w:pStyle w:val="paragraph0"/>
                  <w:spacing w:before="0" w:beforeAutospacing="0" w:after="0" w:afterAutospacing="0"/>
                  <w:textAlignment w:val="baseline"/>
                </w:pPr>
              </w:pPrChange>
            </w:pPr>
            <w:del w:id="10817" w:author="AbbVie02no" w:date="2025-05-15T13:45:00Z">
              <w:r w:rsidRPr="00EF5F5C">
                <w:rPr>
                  <w:rStyle w:val="normaltextrun"/>
                  <w:sz w:val="22"/>
                  <w:vertAlign w:val="superscript"/>
                </w:rPr>
                <w:delText>a</w:delText>
              </w:r>
              <w:r w:rsidRPr="00EF5F5C">
                <w:rPr>
                  <w:rStyle w:val="normaltextrun"/>
                  <w:sz w:val="22"/>
                </w:rPr>
                <w:delText>Humira 2,4</w:delText>
              </w:r>
              <w:r>
                <w:rPr>
                  <w:rStyle w:val="normaltextrun"/>
                  <w:sz w:val="22"/>
                </w:rPr>
                <w:delText> </w:delText>
              </w:r>
              <w:r w:rsidRPr="00EF5F5C">
                <w:rPr>
                  <w:rStyle w:val="normaltextrun"/>
                  <w:sz w:val="22"/>
                </w:rPr>
                <w:delText>mg/kg (maksim</w:delText>
              </w:r>
              <w:r>
                <w:rPr>
                  <w:rStyle w:val="normaltextrun"/>
                  <w:sz w:val="22"/>
                </w:rPr>
                <w:delText>alt</w:delText>
              </w:r>
              <w:r w:rsidRPr="00EF5F5C">
                <w:rPr>
                  <w:rStyle w:val="normaltextrun"/>
                  <w:sz w:val="22"/>
                </w:rPr>
                <w:delText xml:space="preserve"> 160</w:delText>
              </w:r>
              <w:r>
                <w:rPr>
                  <w:rStyle w:val="normaltextrun"/>
                  <w:sz w:val="22"/>
                </w:rPr>
                <w:delText> </w:delText>
              </w:r>
              <w:r w:rsidRPr="00EF5F5C">
                <w:rPr>
                  <w:rStyle w:val="normaltextrun"/>
                  <w:sz w:val="22"/>
                </w:rPr>
                <w:delText>mg) i uke 0, placebo i uke 1 og 1,2</w:delText>
              </w:r>
              <w:r>
                <w:rPr>
                  <w:rStyle w:val="normaltextrun"/>
                  <w:sz w:val="22"/>
                </w:rPr>
                <w:delText> </w:delText>
              </w:r>
              <w:r w:rsidRPr="00EF5F5C">
                <w:rPr>
                  <w:rStyle w:val="normaltextrun"/>
                  <w:sz w:val="22"/>
                </w:rPr>
                <w:delText>mg/kg (maksim</w:delText>
              </w:r>
              <w:r>
                <w:rPr>
                  <w:rStyle w:val="normaltextrun"/>
                  <w:sz w:val="22"/>
                </w:rPr>
                <w:delText>alt</w:delText>
              </w:r>
              <w:r w:rsidRPr="00EF5F5C">
                <w:rPr>
                  <w:rStyle w:val="normaltextrun"/>
                  <w:sz w:val="22"/>
                </w:rPr>
                <w:delText xml:space="preserve"> 80</w:delText>
              </w:r>
              <w:r>
                <w:rPr>
                  <w:rStyle w:val="normaltextrun"/>
                  <w:sz w:val="22"/>
                </w:rPr>
                <w:delText> </w:delText>
              </w:r>
              <w:r w:rsidRPr="00EF5F5C">
                <w:rPr>
                  <w:rStyle w:val="normaltextrun"/>
                  <w:sz w:val="22"/>
                </w:rPr>
                <w:delText>mg)</w:delText>
              </w:r>
              <w:r w:rsidRPr="00406612">
                <w:rPr>
                  <w:rStyle w:val="normaltextrun"/>
                  <w:sz w:val="22"/>
                </w:rPr>
                <w:delText xml:space="preserve"> i uke 2</w:delText>
              </w:r>
            </w:del>
          </w:p>
          <w:p w14:paraId="60F2E655" w14:textId="439842FF" w:rsidR="000F27EB" w:rsidRPr="008F0D97" w:rsidRDefault="00E453CD">
            <w:pPr>
              <w:keepNext/>
              <w:suppressAutoHyphens/>
              <w:rPr>
                <w:del w:id="10818" w:author="AbbVie02no" w:date="2025-05-15T13:45:00Z"/>
                <w:sz w:val="22"/>
                <w:szCs w:val="22"/>
              </w:rPr>
              <w:pPrChange w:id="10819" w:author="AbbVie02no" w:date="2025-05-15T13:45:00Z">
                <w:pPr>
                  <w:pStyle w:val="paragraph0"/>
                  <w:spacing w:before="0" w:beforeAutospacing="0" w:after="0" w:afterAutospacing="0"/>
                  <w:textAlignment w:val="baseline"/>
                </w:pPr>
              </w:pPrChange>
            </w:pPr>
            <w:del w:id="10820" w:author="AbbVie02no" w:date="2025-05-15T13:45:00Z">
              <w:r w:rsidRPr="0071729B">
                <w:rPr>
                  <w:rStyle w:val="normaltextrun"/>
                  <w:sz w:val="22"/>
                  <w:vertAlign w:val="superscript"/>
                </w:rPr>
                <w:delText>b</w:delText>
              </w:r>
              <w:r w:rsidRPr="00B61B62">
                <w:rPr>
                  <w:rStyle w:val="normaltextrun"/>
                  <w:sz w:val="22"/>
                </w:rPr>
                <w:delText>Humira 2,4</w:delText>
              </w:r>
              <w:r>
                <w:rPr>
                  <w:rStyle w:val="normaltextrun"/>
                  <w:sz w:val="22"/>
                </w:rPr>
                <w:delText> </w:delText>
              </w:r>
              <w:r w:rsidRPr="00B61B62">
                <w:rPr>
                  <w:rStyle w:val="normaltextrun"/>
                  <w:sz w:val="22"/>
                </w:rPr>
                <w:delText>mg/kg (maksim</w:delText>
              </w:r>
              <w:r>
                <w:rPr>
                  <w:rStyle w:val="normaltextrun"/>
                  <w:sz w:val="22"/>
                </w:rPr>
                <w:delText>alt</w:delText>
              </w:r>
              <w:r w:rsidRPr="00B61B62">
                <w:rPr>
                  <w:rStyle w:val="normaltextrun"/>
                  <w:sz w:val="22"/>
                </w:rPr>
                <w:delText xml:space="preserve"> 160</w:delText>
              </w:r>
              <w:r>
                <w:rPr>
                  <w:rStyle w:val="normaltextrun"/>
                  <w:sz w:val="22"/>
                </w:rPr>
                <w:delText> </w:delText>
              </w:r>
              <w:r w:rsidRPr="00B61B62">
                <w:rPr>
                  <w:rStyle w:val="normaltextrun"/>
                  <w:sz w:val="22"/>
                </w:rPr>
                <w:delText>mg) i uke 0 og uke 1 og 1,2</w:delText>
              </w:r>
              <w:r>
                <w:rPr>
                  <w:rStyle w:val="normaltextrun"/>
                  <w:sz w:val="22"/>
                </w:rPr>
                <w:delText> </w:delText>
              </w:r>
              <w:r w:rsidRPr="00B61B62">
                <w:rPr>
                  <w:rStyle w:val="normaltextrun"/>
                  <w:sz w:val="22"/>
                </w:rPr>
                <w:delText>mg/kg (maksim</w:delText>
              </w:r>
              <w:r>
                <w:rPr>
                  <w:rStyle w:val="normaltextrun"/>
                  <w:sz w:val="22"/>
                </w:rPr>
                <w:delText>alt</w:delText>
              </w:r>
              <w:r w:rsidRPr="00B61B62">
                <w:rPr>
                  <w:rStyle w:val="normaltextrun"/>
                  <w:sz w:val="22"/>
                </w:rPr>
                <w:delText xml:space="preserve"> 80</w:delText>
              </w:r>
              <w:r>
                <w:rPr>
                  <w:rStyle w:val="normaltextrun"/>
                  <w:sz w:val="22"/>
                </w:rPr>
                <w:delText> </w:delText>
              </w:r>
              <w:r w:rsidRPr="00B61B62">
                <w:rPr>
                  <w:rStyle w:val="normaltextrun"/>
                  <w:sz w:val="22"/>
                </w:rPr>
                <w:delText>mg) i uke 2</w:delText>
              </w:r>
              <w:r w:rsidRPr="00CA4509">
                <w:rPr>
                  <w:rStyle w:val="eop"/>
                  <w:sz w:val="22"/>
                </w:rPr>
                <w:delText> </w:delText>
              </w:r>
            </w:del>
          </w:p>
          <w:p w14:paraId="617B3965" w14:textId="6E94471B" w:rsidR="000F27EB" w:rsidRPr="0013423D" w:rsidRDefault="00E453CD">
            <w:pPr>
              <w:keepNext/>
              <w:suppressAutoHyphens/>
              <w:rPr>
                <w:del w:id="10821" w:author="AbbVie02no" w:date="2025-05-15T13:45:00Z"/>
                <w:sz w:val="22"/>
                <w:szCs w:val="22"/>
              </w:rPr>
              <w:pPrChange w:id="10822" w:author="AbbVie02no" w:date="2025-05-15T13:45:00Z">
                <w:pPr>
                  <w:pStyle w:val="paragraph0"/>
                  <w:spacing w:before="0" w:beforeAutospacing="0" w:after="0" w:afterAutospacing="0"/>
                  <w:textAlignment w:val="baseline"/>
                </w:pPr>
              </w:pPrChange>
            </w:pPr>
            <w:del w:id="10823" w:author="AbbVie02no" w:date="2025-05-15T13:45:00Z">
              <w:r w:rsidRPr="00B3193F">
                <w:rPr>
                  <w:rStyle w:val="normaltextrun"/>
                  <w:sz w:val="22"/>
                  <w:vertAlign w:val="superscript"/>
                </w:rPr>
                <w:delText>c</w:delText>
              </w:r>
              <w:r w:rsidRPr="00205D90">
                <w:rPr>
                  <w:rStyle w:val="normaltextrun"/>
                  <w:sz w:val="22"/>
                </w:rPr>
                <w:delText xml:space="preserve">Inkluderer ikke åpen induksjonsdose </w:delText>
              </w:r>
              <w:r w:rsidRPr="00DD085C">
                <w:rPr>
                  <w:rStyle w:val="normaltextrun"/>
                  <w:sz w:val="22"/>
                  <w:szCs w:val="22"/>
                </w:rPr>
                <w:delText>m</w:delText>
              </w:r>
              <w:r w:rsidRPr="00975795">
                <w:rPr>
                  <w:rStyle w:val="normaltextrun"/>
                  <w:sz w:val="22"/>
                  <w:szCs w:val="22"/>
                </w:rPr>
                <w:delText>ed</w:delText>
              </w:r>
              <w:r w:rsidRPr="00205D90">
                <w:rPr>
                  <w:rStyle w:val="normaltextrun"/>
                  <w:sz w:val="22"/>
                </w:rPr>
                <w:delText xml:space="preserve"> Humira 2,4</w:delText>
              </w:r>
              <w:r>
                <w:rPr>
                  <w:rStyle w:val="normaltextrun"/>
                  <w:sz w:val="22"/>
                </w:rPr>
                <w:delText> </w:delText>
              </w:r>
              <w:r w:rsidRPr="00205D90">
                <w:rPr>
                  <w:rStyle w:val="normaltextrun"/>
                  <w:sz w:val="22"/>
                </w:rPr>
                <w:delText>mg/kg (maksim</w:delText>
              </w:r>
              <w:r>
                <w:rPr>
                  <w:rStyle w:val="normaltextrun"/>
                  <w:sz w:val="22"/>
                </w:rPr>
                <w:delText>alt</w:delText>
              </w:r>
              <w:r w:rsidRPr="00205D90">
                <w:rPr>
                  <w:rStyle w:val="normaltextrun"/>
                  <w:sz w:val="22"/>
                </w:rPr>
                <w:delText xml:space="preserve"> 160</w:delText>
              </w:r>
              <w:r>
                <w:rPr>
                  <w:rStyle w:val="normaltextrun"/>
                  <w:sz w:val="22"/>
                </w:rPr>
                <w:delText> </w:delText>
              </w:r>
              <w:r w:rsidRPr="00205D90">
                <w:rPr>
                  <w:rStyle w:val="normaltextrun"/>
                  <w:sz w:val="22"/>
                </w:rPr>
                <w:delText>mg) i uke 0 og uke 1 og 1,2 mg/kg (maksim</w:delText>
              </w:r>
              <w:r>
                <w:rPr>
                  <w:rStyle w:val="normaltextrun"/>
                  <w:sz w:val="22"/>
                </w:rPr>
                <w:delText>alt</w:delText>
              </w:r>
              <w:r w:rsidRPr="00205D90">
                <w:rPr>
                  <w:rStyle w:val="normaltextrun"/>
                  <w:sz w:val="22"/>
                </w:rPr>
                <w:delText xml:space="preserve"> 80</w:delText>
              </w:r>
              <w:r>
                <w:rPr>
                  <w:rStyle w:val="normaltextrun"/>
                  <w:sz w:val="22"/>
                </w:rPr>
                <w:delText> </w:delText>
              </w:r>
              <w:r w:rsidRPr="00205D90">
                <w:rPr>
                  <w:rStyle w:val="normaltextrun"/>
                  <w:sz w:val="22"/>
                </w:rPr>
                <w:delText>mg) i uke 2</w:delText>
              </w:r>
            </w:del>
          </w:p>
          <w:p w14:paraId="4F55D4D2" w14:textId="255A6C74" w:rsidR="000F27EB" w:rsidRPr="00E54C66" w:rsidRDefault="00E453CD">
            <w:pPr>
              <w:keepNext/>
              <w:suppressAutoHyphens/>
              <w:rPr>
                <w:del w:id="10824" w:author="AbbVie02no" w:date="2025-05-15T13:45:00Z"/>
                <w:sz w:val="22"/>
                <w:szCs w:val="22"/>
              </w:rPr>
              <w:pPrChange w:id="10825" w:author="AbbVie02no" w:date="2025-05-15T13:45:00Z">
                <w:pPr>
                  <w:pStyle w:val="paragraph0"/>
                  <w:spacing w:before="0" w:beforeAutospacing="0" w:after="0" w:afterAutospacing="0"/>
                  <w:textAlignment w:val="baseline"/>
                </w:pPr>
              </w:pPrChange>
            </w:pPr>
            <w:del w:id="10826" w:author="AbbVie02no" w:date="2025-05-15T13:45:00Z">
              <w:r w:rsidRPr="00480BF1">
                <w:rPr>
                  <w:rStyle w:val="normaltextrun"/>
                  <w:sz w:val="22"/>
                </w:rPr>
                <w:delText>Merknad 1: Begge induks</w:delText>
              </w:r>
              <w:r w:rsidRPr="00D479C1">
                <w:rPr>
                  <w:rStyle w:val="normaltextrun"/>
                  <w:sz w:val="22"/>
                </w:rPr>
                <w:delText>jonsgrupper fikk 0,6</w:delText>
              </w:r>
              <w:r>
                <w:rPr>
                  <w:rStyle w:val="normaltextrun"/>
                  <w:sz w:val="22"/>
                </w:rPr>
                <w:delText> </w:delText>
              </w:r>
              <w:r w:rsidRPr="00D479C1">
                <w:rPr>
                  <w:rStyle w:val="normaltextrun"/>
                  <w:sz w:val="22"/>
                </w:rPr>
                <w:delText>mg/kg (maksimalt 40</w:delText>
              </w:r>
              <w:r>
                <w:rPr>
                  <w:rStyle w:val="normaltextrun"/>
                  <w:sz w:val="22"/>
                </w:rPr>
                <w:delText> </w:delText>
              </w:r>
              <w:r w:rsidRPr="00D479C1">
                <w:rPr>
                  <w:rStyle w:val="normaltextrun"/>
                  <w:sz w:val="22"/>
                </w:rPr>
                <w:delText>mg) i uke 4 og uke 6</w:delText>
              </w:r>
            </w:del>
          </w:p>
          <w:p w14:paraId="2AD2632B" w14:textId="0E688D67" w:rsidR="000F27EB" w:rsidRPr="005640DB" w:rsidRDefault="00E453CD">
            <w:pPr>
              <w:keepNext/>
              <w:suppressAutoHyphens/>
              <w:rPr>
                <w:del w:id="10827" w:author="AbbVie02no" w:date="2025-05-15T13:45:00Z"/>
                <w:sz w:val="22"/>
                <w:szCs w:val="22"/>
              </w:rPr>
              <w:pPrChange w:id="10828" w:author="AbbVie02no" w:date="2025-05-15T13:45:00Z">
                <w:pPr>
                  <w:pStyle w:val="paragraph0"/>
                  <w:spacing w:before="0" w:beforeAutospacing="0" w:after="0" w:afterAutospacing="0"/>
                  <w:textAlignment w:val="baseline"/>
                </w:pPr>
              </w:pPrChange>
            </w:pPr>
            <w:del w:id="10829" w:author="AbbVie02no" w:date="2025-05-15T13:45:00Z">
              <w:r w:rsidRPr="00FA6C87">
                <w:rPr>
                  <w:rStyle w:val="normaltextrun"/>
                  <w:sz w:val="22"/>
                </w:rPr>
                <w:delText xml:space="preserve">Merknad 2: Pasienter med manglende verdier </w:delText>
              </w:r>
              <w:r>
                <w:rPr>
                  <w:rStyle w:val="normaltextrun"/>
                  <w:sz w:val="22"/>
                </w:rPr>
                <w:delText>ved</w:delText>
              </w:r>
              <w:r w:rsidRPr="00FA6C87">
                <w:rPr>
                  <w:rStyle w:val="normaltextrun"/>
                  <w:sz w:val="22"/>
                </w:rPr>
                <w:delText xml:space="preserve"> uke 8 ble ansett som ikke å ha </w:delText>
              </w:r>
              <w:r>
                <w:rPr>
                  <w:rStyle w:val="normaltextrun"/>
                  <w:sz w:val="22"/>
                </w:rPr>
                <w:delText>opp</w:delText>
              </w:r>
              <w:r w:rsidRPr="00FA6C87">
                <w:rPr>
                  <w:rStyle w:val="normaltextrun"/>
                  <w:sz w:val="22"/>
                </w:rPr>
                <w:delText>nådd endepunktet</w:delText>
              </w:r>
              <w:r w:rsidRPr="005640DB">
                <w:rPr>
                  <w:rStyle w:val="eop"/>
                  <w:sz w:val="22"/>
                </w:rPr>
                <w:delText> </w:delText>
              </w:r>
            </w:del>
          </w:p>
        </w:tc>
      </w:tr>
    </w:tbl>
    <w:p w14:paraId="1A0B82C3" w14:textId="54FF2DB9" w:rsidR="000F27EB" w:rsidRPr="00E04B2A" w:rsidRDefault="000F27EB">
      <w:pPr>
        <w:keepNext/>
        <w:suppressAutoHyphens/>
        <w:rPr>
          <w:del w:id="10830" w:author="AbbVie02no" w:date="2025-05-15T13:45:00Z"/>
          <w:rStyle w:val="normaltextrun"/>
          <w:sz w:val="22"/>
          <w:shd w:val="clear" w:color="auto" w:fill="FFFFFF"/>
        </w:rPr>
        <w:pPrChange w:id="10831" w:author="AbbVie02no" w:date="2025-05-15T13:45:00Z">
          <w:pPr/>
        </w:pPrChange>
      </w:pPr>
    </w:p>
    <w:p w14:paraId="46A43587" w14:textId="1E2B584E" w:rsidR="000F27EB" w:rsidRPr="00E04B2A" w:rsidRDefault="00E453CD">
      <w:pPr>
        <w:keepNext/>
        <w:suppressAutoHyphens/>
        <w:rPr>
          <w:del w:id="10832" w:author="AbbVie02no" w:date="2025-05-15T13:45:00Z"/>
          <w:sz w:val="22"/>
        </w:rPr>
        <w:pPrChange w:id="10833" w:author="AbbVie02no" w:date="2025-05-15T13:45:00Z">
          <w:pPr/>
        </w:pPrChange>
      </w:pPr>
      <w:del w:id="10834" w:author="AbbVie02no" w:date="2025-05-15T13:45:00Z">
        <w:r w:rsidRPr="006D23E7">
          <w:rPr>
            <w:sz w:val="22"/>
          </w:rPr>
          <w:delText>Hos pasienter som fikk Humira dobbeltblindede maksimale vedlikeholdsdoser på 40</w:delText>
        </w:r>
        <w:r>
          <w:rPr>
            <w:sz w:val="22"/>
          </w:rPr>
          <w:delText> </w:delText>
        </w:r>
        <w:r w:rsidRPr="006D23E7">
          <w:rPr>
            <w:sz w:val="22"/>
          </w:rPr>
          <w:delText>mg annenhver uke (0,6</w:delText>
        </w:r>
        <w:r>
          <w:rPr>
            <w:sz w:val="22"/>
          </w:rPr>
          <w:delText> </w:delText>
        </w:r>
        <w:r w:rsidRPr="006D23E7">
          <w:rPr>
            <w:sz w:val="22"/>
          </w:rPr>
          <w:delText>mg/kg) og 40</w:delText>
        </w:r>
        <w:r>
          <w:rPr>
            <w:sz w:val="22"/>
          </w:rPr>
          <w:delText> </w:delText>
        </w:r>
        <w:r w:rsidRPr="006D23E7">
          <w:rPr>
            <w:sz w:val="22"/>
          </w:rPr>
          <w:delText>mg hver uke (0,6</w:delText>
        </w:r>
        <w:r>
          <w:rPr>
            <w:sz w:val="22"/>
          </w:rPr>
          <w:delText> </w:delText>
        </w:r>
        <w:r w:rsidRPr="006D23E7">
          <w:rPr>
            <w:sz w:val="22"/>
          </w:rPr>
          <w:delText>mg/kg) ble klinisk remisjon iht. FMS hos pasienter med respons ved uke 8, klinisk respons iht. FMS (definert som en reduksjon i Mayo score ≥</w:delText>
        </w:r>
        <w:r>
          <w:rPr>
            <w:sz w:val="22"/>
          </w:rPr>
          <w:delText> </w:delText>
        </w:r>
        <w:r w:rsidRPr="006D23E7">
          <w:rPr>
            <w:sz w:val="22"/>
          </w:rPr>
          <w:delText>3 poeng og ≥</w:delText>
        </w:r>
        <w:r>
          <w:rPr>
            <w:sz w:val="22"/>
          </w:rPr>
          <w:delText> </w:delText>
        </w:r>
        <w:r w:rsidRPr="006D23E7">
          <w:rPr>
            <w:sz w:val="22"/>
          </w:rPr>
          <w:delText>30 % fra baseline) hos pasienter med respons ved uke 8, slimhinnetilheling (definert som Mayo</w:delText>
        </w:r>
        <w:r w:rsidR="005F1BCB">
          <w:rPr>
            <w:sz w:val="22"/>
          </w:rPr>
          <w:delText xml:space="preserve"> </w:delText>
        </w:r>
        <w:r w:rsidRPr="006D23E7">
          <w:rPr>
            <w:sz w:val="22"/>
          </w:rPr>
          <w:delText>endoskopi</w:delText>
        </w:r>
        <w:r w:rsidR="005F1BCB">
          <w:rPr>
            <w:sz w:val="22"/>
          </w:rPr>
          <w:delText xml:space="preserve"> sub</w:delText>
        </w:r>
        <w:r w:rsidRPr="006D23E7">
          <w:rPr>
            <w:sz w:val="22"/>
          </w:rPr>
          <w:delText>score ≤</w:delText>
        </w:r>
        <w:r>
          <w:rPr>
            <w:sz w:val="22"/>
          </w:rPr>
          <w:delText> </w:delText>
        </w:r>
        <w:r w:rsidRPr="006D23E7">
          <w:rPr>
            <w:sz w:val="22"/>
          </w:rPr>
          <w:delText xml:space="preserve">1) hos pasienter med respons ved uke 8, klinisk remisjon iht. FMS hos pasienter </w:delText>
        </w:r>
        <w:r w:rsidRPr="006D23E7">
          <w:rPr>
            <w:sz w:val="22"/>
          </w:rPr>
          <w:lastRenderedPageBreak/>
          <w:delText xml:space="preserve">i remisjon ved uke 8, og andelen pasienter i kortikosteroidfri remisjon iht. FMS hos pasienter med respons ved uke 8 vurdert ved uke 52 (tabell </w:delText>
        </w:r>
        <w:r>
          <w:rPr>
            <w:sz w:val="22"/>
          </w:rPr>
          <w:delText>32</w:delText>
        </w:r>
        <w:r w:rsidRPr="006D23E7">
          <w:rPr>
            <w:sz w:val="22"/>
          </w:rPr>
          <w:delText>).</w:delText>
        </w:r>
      </w:del>
    </w:p>
    <w:p w14:paraId="24A648D9" w14:textId="7FE772D0" w:rsidR="000F27EB" w:rsidRPr="00E04B2A" w:rsidRDefault="000F27EB">
      <w:pPr>
        <w:keepNext/>
        <w:suppressAutoHyphens/>
        <w:rPr>
          <w:del w:id="10835" w:author="AbbVie02no" w:date="2025-05-15T13:45:00Z"/>
          <w:sz w:val="22"/>
        </w:rPr>
        <w:pPrChange w:id="10836" w:author="AbbVie02no" w:date="2025-05-15T13:45:00Z">
          <w:pPr/>
        </w:pPrChange>
      </w:pPr>
    </w:p>
    <w:p w14:paraId="1A456747" w14:textId="48135F23" w:rsidR="000F27EB" w:rsidRPr="00E04B2A" w:rsidRDefault="00E453CD">
      <w:pPr>
        <w:keepNext/>
        <w:suppressAutoHyphens/>
        <w:rPr>
          <w:del w:id="10837" w:author="AbbVie02no" w:date="2025-05-15T13:45:00Z"/>
          <w:sz w:val="22"/>
        </w:rPr>
        <w:pPrChange w:id="10838" w:author="AbbVie02no" w:date="2025-05-15T13:45:00Z">
          <w:pPr>
            <w:keepNext/>
            <w:jc w:val="center"/>
            <w:textAlignment w:val="baseline"/>
          </w:pPr>
        </w:pPrChange>
      </w:pPr>
      <w:del w:id="10839" w:author="AbbVie02no" w:date="2025-05-15T13:45:00Z">
        <w:r w:rsidRPr="00E04B2A">
          <w:rPr>
            <w:b/>
            <w:sz w:val="22"/>
          </w:rPr>
          <w:delText>Tabell </w:delText>
        </w:r>
        <w:r w:rsidR="00FD1DB9">
          <w:rPr>
            <w:b/>
            <w:sz w:val="22"/>
          </w:rPr>
          <w:delText>32</w:delText>
        </w:r>
        <w:r w:rsidRPr="00E04B2A">
          <w:rPr>
            <w:b/>
            <w:sz w:val="22"/>
          </w:rPr>
          <w:delText xml:space="preserve">: Effektresultater </w:delText>
        </w:r>
        <w:r w:rsidRPr="007031B5">
          <w:rPr>
            <w:b/>
            <w:sz w:val="22"/>
          </w:rPr>
          <w:delText xml:space="preserve">ved </w:delText>
        </w:r>
        <w:r>
          <w:rPr>
            <w:b/>
            <w:sz w:val="22"/>
          </w:rPr>
          <w:delText>uke 52</w:delText>
        </w:r>
        <w:r w:rsidRPr="00E04B2A">
          <w:rPr>
            <w:sz w:val="22"/>
          </w:rPr>
          <w:delText> </w:delText>
        </w:r>
      </w:del>
    </w:p>
    <w:p w14:paraId="7397DC57" w14:textId="2A35993C" w:rsidR="000F27EB" w:rsidRPr="00E04B2A" w:rsidRDefault="000F27EB">
      <w:pPr>
        <w:keepNext/>
        <w:suppressAutoHyphens/>
        <w:rPr>
          <w:del w:id="10840" w:author="AbbVie02no" w:date="2025-05-15T13:45:00Z"/>
          <w:sz w:val="22"/>
          <w:lang w:eastAsia="en-GB"/>
        </w:rPr>
        <w:pPrChange w:id="10841" w:author="AbbVie02no" w:date="2025-05-15T13:45:00Z">
          <w:pPr>
            <w:keepNext/>
            <w:jc w:val="center"/>
            <w:textAlignment w:val="baseline"/>
          </w:pPr>
        </w:pPrChange>
      </w:pPr>
    </w:p>
    <w:tbl>
      <w:tblPr>
        <w:tblW w:w="856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7"/>
        <w:gridCol w:w="2249"/>
        <w:gridCol w:w="2633"/>
      </w:tblGrid>
      <w:tr w:rsidR="004644D4" w14:paraId="7FD24F06" w14:textId="0A36787E" w:rsidTr="00BA47BC">
        <w:trPr>
          <w:trHeight w:val="912"/>
          <w:jc w:val="center"/>
          <w:del w:id="10842" w:author="AbbVie02no" w:date="2025-05-15T13:45:00Z"/>
        </w:trPr>
        <w:tc>
          <w:tcPr>
            <w:tcW w:w="3687" w:type="dxa"/>
            <w:tcBorders>
              <w:top w:val="single" w:sz="6" w:space="0" w:color="auto"/>
              <w:left w:val="single" w:sz="6" w:space="0" w:color="auto"/>
              <w:bottom w:val="single" w:sz="6" w:space="0" w:color="auto"/>
              <w:right w:val="single" w:sz="6" w:space="0" w:color="auto"/>
            </w:tcBorders>
            <w:hideMark/>
          </w:tcPr>
          <w:p w14:paraId="23ECF5BC" w14:textId="65444C44" w:rsidR="000F27EB" w:rsidRPr="00E04B2A" w:rsidRDefault="000F27EB">
            <w:pPr>
              <w:keepNext/>
              <w:suppressAutoHyphens/>
              <w:rPr>
                <w:del w:id="10843" w:author="AbbVie02no" w:date="2025-05-15T13:45:00Z"/>
                <w:sz w:val="22"/>
                <w:lang w:eastAsia="en-GB"/>
              </w:rPr>
              <w:pPrChange w:id="10844" w:author="AbbVie02no" w:date="2025-05-15T13:45:00Z">
                <w:pPr>
                  <w:keepNext/>
                  <w:jc w:val="center"/>
                  <w:textAlignment w:val="baseline"/>
                </w:pPr>
              </w:pPrChange>
            </w:pPr>
          </w:p>
        </w:tc>
        <w:tc>
          <w:tcPr>
            <w:tcW w:w="2249" w:type="dxa"/>
            <w:tcBorders>
              <w:top w:val="single" w:sz="6" w:space="0" w:color="auto"/>
              <w:left w:val="nil"/>
              <w:bottom w:val="single" w:sz="6" w:space="0" w:color="auto"/>
              <w:right w:val="single" w:sz="6" w:space="0" w:color="auto"/>
            </w:tcBorders>
            <w:vAlign w:val="center"/>
            <w:hideMark/>
          </w:tcPr>
          <w:p w14:paraId="549BF826" w14:textId="6AB56B53" w:rsidR="000F27EB" w:rsidRPr="00E04B2A" w:rsidRDefault="00E453CD">
            <w:pPr>
              <w:keepNext/>
              <w:suppressAutoHyphens/>
              <w:rPr>
                <w:del w:id="10845" w:author="AbbVie02no" w:date="2025-05-15T13:45:00Z"/>
                <w:sz w:val="22"/>
              </w:rPr>
              <w:pPrChange w:id="10846" w:author="AbbVie02no" w:date="2025-05-15T13:45:00Z">
                <w:pPr>
                  <w:keepNext/>
                  <w:jc w:val="center"/>
                  <w:textAlignment w:val="baseline"/>
                </w:pPr>
              </w:pPrChange>
            </w:pPr>
            <w:del w:id="10847" w:author="AbbVie02no" w:date="2025-05-15T13:45:00Z">
              <w:r w:rsidRPr="00E04B2A">
                <w:rPr>
                  <w:b/>
                  <w:sz w:val="22"/>
                </w:rPr>
                <w:delText>Humira</w:delText>
              </w:r>
              <w:r w:rsidRPr="00E04B2A">
                <w:rPr>
                  <w:b/>
                  <w:sz w:val="22"/>
                  <w:vertAlign w:val="superscript"/>
                </w:rPr>
                <w:delText>a</w:delText>
              </w:r>
              <w:r w:rsidRPr="00E04B2A">
                <w:rPr>
                  <w:b/>
                  <w:sz w:val="22"/>
                </w:rPr>
                <w:delText> </w:delText>
              </w:r>
              <w:r w:rsidRPr="00E04B2A">
                <w:rPr>
                  <w:sz w:val="22"/>
                </w:rPr>
                <w:delText> </w:delText>
              </w:r>
            </w:del>
          </w:p>
          <w:p w14:paraId="7E8BB540" w14:textId="0DB26C8D" w:rsidR="000F27EB" w:rsidRPr="00E04B2A" w:rsidRDefault="00E453CD">
            <w:pPr>
              <w:keepNext/>
              <w:suppressAutoHyphens/>
              <w:rPr>
                <w:del w:id="10848" w:author="AbbVie02no" w:date="2025-05-15T13:45:00Z"/>
                <w:sz w:val="22"/>
              </w:rPr>
              <w:pPrChange w:id="10849" w:author="AbbVie02no" w:date="2025-05-15T13:45:00Z">
                <w:pPr>
                  <w:keepNext/>
                  <w:jc w:val="center"/>
                  <w:textAlignment w:val="baseline"/>
                </w:pPr>
              </w:pPrChange>
            </w:pPr>
            <w:del w:id="10850" w:author="AbbVie02no" w:date="2025-05-15T13:45:00Z">
              <w:r>
                <w:rPr>
                  <w:b/>
                  <w:sz w:val="22"/>
                </w:rPr>
                <w:delText>Maksimalt</w:delText>
              </w:r>
              <w:r w:rsidRPr="00E04B2A">
                <w:rPr>
                  <w:b/>
                  <w:sz w:val="22"/>
                </w:rPr>
                <w:delText xml:space="preserve"> 40</w:delText>
              </w:r>
              <w:r w:rsidR="00FD1DB9">
                <w:rPr>
                  <w:b/>
                  <w:sz w:val="22"/>
                </w:rPr>
                <w:delText> </w:delText>
              </w:r>
              <w:r w:rsidRPr="00E04B2A">
                <w:rPr>
                  <w:b/>
                  <w:sz w:val="22"/>
                </w:rPr>
                <w:delText>mg</w:delText>
              </w:r>
              <w:r w:rsidRPr="00E04B2A">
                <w:rPr>
                  <w:sz w:val="22"/>
                </w:rPr>
                <w:delText xml:space="preserve"> </w:delText>
              </w:r>
              <w:r w:rsidRPr="00975795">
                <w:rPr>
                  <w:b/>
                  <w:sz w:val="22"/>
                </w:rPr>
                <w:delText>annenhver uke</w:delText>
              </w:r>
            </w:del>
          </w:p>
          <w:p w14:paraId="50B54439" w14:textId="0C6021D2" w:rsidR="000F27EB" w:rsidRPr="00E04B2A" w:rsidRDefault="00E453CD">
            <w:pPr>
              <w:keepNext/>
              <w:suppressAutoHyphens/>
              <w:rPr>
                <w:del w:id="10851" w:author="AbbVie02no" w:date="2025-05-15T13:45:00Z"/>
                <w:sz w:val="22"/>
              </w:rPr>
              <w:pPrChange w:id="10852" w:author="AbbVie02no" w:date="2025-05-15T13:45:00Z">
                <w:pPr>
                  <w:keepNext/>
                  <w:jc w:val="center"/>
                  <w:textAlignment w:val="baseline"/>
                </w:pPr>
              </w:pPrChange>
            </w:pPr>
            <w:del w:id="10853" w:author="AbbVie02no" w:date="2025-05-15T13:45:00Z">
              <w:r w:rsidRPr="00E04B2A">
                <w:rPr>
                  <w:sz w:val="22"/>
                </w:rPr>
                <w:delText>N = 31</w:delText>
              </w:r>
            </w:del>
          </w:p>
        </w:tc>
        <w:tc>
          <w:tcPr>
            <w:tcW w:w="2633" w:type="dxa"/>
            <w:tcBorders>
              <w:top w:val="single" w:sz="6" w:space="0" w:color="auto"/>
              <w:left w:val="nil"/>
              <w:bottom w:val="single" w:sz="6" w:space="0" w:color="auto"/>
              <w:right w:val="single" w:sz="6" w:space="0" w:color="auto"/>
            </w:tcBorders>
            <w:vAlign w:val="center"/>
            <w:hideMark/>
          </w:tcPr>
          <w:p w14:paraId="55070ECE" w14:textId="54BDB047" w:rsidR="000F27EB" w:rsidRPr="0015674E" w:rsidRDefault="00E453CD">
            <w:pPr>
              <w:keepNext/>
              <w:suppressAutoHyphens/>
              <w:rPr>
                <w:del w:id="10854" w:author="AbbVie02no" w:date="2025-05-15T13:45:00Z"/>
                <w:sz w:val="22"/>
              </w:rPr>
              <w:pPrChange w:id="10855" w:author="AbbVie02no" w:date="2025-05-15T13:45:00Z">
                <w:pPr>
                  <w:keepNext/>
                  <w:jc w:val="center"/>
                  <w:textAlignment w:val="baseline"/>
                </w:pPr>
              </w:pPrChange>
            </w:pPr>
            <w:del w:id="10856" w:author="AbbVie02no" w:date="2025-05-15T13:45:00Z">
              <w:r w:rsidRPr="0015674E">
                <w:rPr>
                  <w:b/>
                  <w:sz w:val="22"/>
                </w:rPr>
                <w:delText>Humira</w:delText>
              </w:r>
              <w:r w:rsidRPr="0015674E">
                <w:rPr>
                  <w:b/>
                  <w:sz w:val="22"/>
                  <w:vertAlign w:val="superscript"/>
                </w:rPr>
                <w:delText>b</w:delText>
              </w:r>
              <w:r w:rsidRPr="0015674E">
                <w:rPr>
                  <w:b/>
                  <w:sz w:val="22"/>
                </w:rPr>
                <w:delText> </w:delText>
              </w:r>
              <w:r w:rsidRPr="0015674E">
                <w:rPr>
                  <w:sz w:val="22"/>
                </w:rPr>
                <w:delText> </w:delText>
              </w:r>
            </w:del>
          </w:p>
          <w:p w14:paraId="0ACFD559" w14:textId="6226B254" w:rsidR="000F27EB" w:rsidRPr="0015674E" w:rsidRDefault="00E453CD">
            <w:pPr>
              <w:keepNext/>
              <w:suppressAutoHyphens/>
              <w:rPr>
                <w:del w:id="10857" w:author="AbbVie02no" w:date="2025-05-15T13:45:00Z"/>
                <w:b/>
                <w:sz w:val="22"/>
              </w:rPr>
              <w:pPrChange w:id="10858" w:author="AbbVie02no" w:date="2025-05-15T13:45:00Z">
                <w:pPr>
                  <w:keepNext/>
                  <w:jc w:val="center"/>
                  <w:textAlignment w:val="baseline"/>
                </w:pPr>
              </w:pPrChange>
            </w:pPr>
            <w:del w:id="10859" w:author="AbbVie02no" w:date="2025-05-15T13:45:00Z">
              <w:r w:rsidRPr="0015674E">
                <w:rPr>
                  <w:b/>
                  <w:sz w:val="22"/>
                </w:rPr>
                <w:delText>Maksimalt 40</w:delText>
              </w:r>
              <w:r w:rsidR="00FD1DB9" w:rsidRPr="0015674E">
                <w:rPr>
                  <w:b/>
                  <w:sz w:val="22"/>
                </w:rPr>
                <w:delText> </w:delText>
              </w:r>
              <w:r w:rsidRPr="0015674E">
                <w:rPr>
                  <w:b/>
                  <w:sz w:val="22"/>
                </w:rPr>
                <w:delText>mg</w:delText>
              </w:r>
            </w:del>
          </w:p>
          <w:p w14:paraId="62386902" w14:textId="2D3EFEA4" w:rsidR="000F27EB" w:rsidRPr="0015674E" w:rsidRDefault="00E453CD">
            <w:pPr>
              <w:keepNext/>
              <w:suppressAutoHyphens/>
              <w:rPr>
                <w:del w:id="10860" w:author="AbbVie02no" w:date="2025-05-15T13:45:00Z"/>
                <w:b/>
                <w:bCs/>
                <w:sz w:val="22"/>
              </w:rPr>
              <w:pPrChange w:id="10861" w:author="AbbVie02no" w:date="2025-05-15T13:45:00Z">
                <w:pPr>
                  <w:keepNext/>
                  <w:jc w:val="center"/>
                  <w:textAlignment w:val="baseline"/>
                </w:pPr>
              </w:pPrChange>
            </w:pPr>
            <w:del w:id="10862" w:author="AbbVie02no" w:date="2025-05-15T13:45:00Z">
              <w:r w:rsidRPr="0015674E">
                <w:rPr>
                  <w:b/>
                  <w:bCs/>
                  <w:sz w:val="22"/>
                </w:rPr>
                <w:delText>hver uke</w:delText>
              </w:r>
            </w:del>
          </w:p>
          <w:p w14:paraId="29215BFA" w14:textId="0E1301BD" w:rsidR="000F27EB" w:rsidRPr="0015674E" w:rsidRDefault="00E453CD">
            <w:pPr>
              <w:keepNext/>
              <w:suppressAutoHyphens/>
              <w:rPr>
                <w:del w:id="10863" w:author="AbbVie02no" w:date="2025-05-15T13:45:00Z"/>
                <w:sz w:val="22"/>
              </w:rPr>
              <w:pPrChange w:id="10864" w:author="AbbVie02no" w:date="2025-05-15T13:45:00Z">
                <w:pPr>
                  <w:keepNext/>
                  <w:jc w:val="center"/>
                  <w:textAlignment w:val="baseline"/>
                </w:pPr>
              </w:pPrChange>
            </w:pPr>
            <w:del w:id="10865" w:author="AbbVie02no" w:date="2025-05-15T13:45:00Z">
              <w:r w:rsidRPr="0015674E">
                <w:rPr>
                  <w:sz w:val="22"/>
                </w:rPr>
                <w:delText>N = 31</w:delText>
              </w:r>
            </w:del>
          </w:p>
        </w:tc>
      </w:tr>
      <w:tr w:rsidR="004644D4" w14:paraId="01B6A2C2" w14:textId="2A9104C1" w:rsidTr="00BA47BC">
        <w:trPr>
          <w:trHeight w:val="570"/>
          <w:jc w:val="center"/>
          <w:del w:id="10866" w:author="AbbVie02no" w:date="2025-05-15T13:45:00Z"/>
        </w:trPr>
        <w:tc>
          <w:tcPr>
            <w:tcW w:w="3687" w:type="dxa"/>
            <w:tcBorders>
              <w:top w:val="nil"/>
              <w:left w:val="single" w:sz="6" w:space="0" w:color="auto"/>
              <w:bottom w:val="single" w:sz="6" w:space="0" w:color="auto"/>
              <w:right w:val="single" w:sz="6" w:space="0" w:color="auto"/>
            </w:tcBorders>
            <w:vAlign w:val="center"/>
            <w:hideMark/>
          </w:tcPr>
          <w:p w14:paraId="422E84C7" w14:textId="6C3A1D31" w:rsidR="000F27EB" w:rsidRPr="00E04B2A" w:rsidRDefault="00E453CD">
            <w:pPr>
              <w:keepNext/>
              <w:suppressAutoHyphens/>
              <w:rPr>
                <w:del w:id="10867" w:author="AbbVie02no" w:date="2025-05-15T13:45:00Z"/>
                <w:sz w:val="22"/>
              </w:rPr>
              <w:pPrChange w:id="10868" w:author="AbbVie02no" w:date="2025-05-15T13:45:00Z">
                <w:pPr>
                  <w:keepNext/>
                  <w:textAlignment w:val="baseline"/>
                </w:pPr>
              </w:pPrChange>
            </w:pPr>
            <w:del w:id="10869" w:author="AbbVie02no" w:date="2025-05-15T13:45:00Z">
              <w:r w:rsidRPr="00E04B2A">
                <w:rPr>
                  <w:sz w:val="22"/>
                </w:rPr>
                <w:delText>Klinisk remisjon hos uke 8 PMS-respondere</w:delText>
              </w:r>
            </w:del>
          </w:p>
        </w:tc>
        <w:tc>
          <w:tcPr>
            <w:tcW w:w="2249" w:type="dxa"/>
            <w:tcBorders>
              <w:top w:val="nil"/>
              <w:left w:val="nil"/>
              <w:bottom w:val="single" w:sz="6" w:space="0" w:color="auto"/>
              <w:right w:val="single" w:sz="6" w:space="0" w:color="auto"/>
            </w:tcBorders>
            <w:vAlign w:val="center"/>
            <w:hideMark/>
          </w:tcPr>
          <w:p w14:paraId="0DA899D7" w14:textId="353E7C93" w:rsidR="000F27EB" w:rsidRPr="00E04B2A" w:rsidRDefault="00E453CD">
            <w:pPr>
              <w:keepNext/>
              <w:suppressAutoHyphens/>
              <w:rPr>
                <w:del w:id="10870" w:author="AbbVie02no" w:date="2025-05-15T13:45:00Z"/>
                <w:sz w:val="22"/>
              </w:rPr>
              <w:pPrChange w:id="10871" w:author="AbbVie02no" w:date="2025-05-15T13:45:00Z">
                <w:pPr>
                  <w:keepNext/>
                  <w:jc w:val="center"/>
                  <w:textAlignment w:val="baseline"/>
                </w:pPr>
              </w:pPrChange>
            </w:pPr>
            <w:del w:id="10872" w:author="AbbVie02no" w:date="2025-05-15T13:45:00Z">
              <w:r w:rsidRPr="00E04B2A">
                <w:rPr>
                  <w:sz w:val="22"/>
                </w:rPr>
                <w:delText>9/31 (29,0</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182294E4" w14:textId="2E130419" w:rsidR="000F27EB" w:rsidRPr="00E04B2A" w:rsidRDefault="00E453CD">
            <w:pPr>
              <w:keepNext/>
              <w:suppressAutoHyphens/>
              <w:rPr>
                <w:del w:id="10873" w:author="AbbVie02no" w:date="2025-05-15T13:45:00Z"/>
                <w:sz w:val="22"/>
              </w:rPr>
              <w:pPrChange w:id="10874" w:author="AbbVie02no" w:date="2025-05-15T13:45:00Z">
                <w:pPr>
                  <w:keepNext/>
                  <w:jc w:val="center"/>
                  <w:textAlignment w:val="baseline"/>
                </w:pPr>
              </w:pPrChange>
            </w:pPr>
            <w:del w:id="10875" w:author="AbbVie02no" w:date="2025-05-15T13:45:00Z">
              <w:r w:rsidRPr="00E04B2A">
                <w:rPr>
                  <w:sz w:val="22"/>
                </w:rPr>
                <w:delText>14/31 (45,2</w:delText>
              </w:r>
              <w:r>
                <w:rPr>
                  <w:sz w:val="22"/>
                </w:rPr>
                <w:delText> </w:delText>
              </w:r>
              <w:r w:rsidRPr="00E04B2A">
                <w:rPr>
                  <w:sz w:val="22"/>
                </w:rPr>
                <w:delText>%)</w:delText>
              </w:r>
            </w:del>
          </w:p>
        </w:tc>
      </w:tr>
      <w:tr w:rsidR="004644D4" w14:paraId="6DB3B6E3" w14:textId="535995E1" w:rsidTr="00BA47BC">
        <w:trPr>
          <w:trHeight w:val="555"/>
          <w:jc w:val="center"/>
          <w:del w:id="10876" w:author="AbbVie02no" w:date="2025-05-15T13:45:00Z"/>
        </w:trPr>
        <w:tc>
          <w:tcPr>
            <w:tcW w:w="3687" w:type="dxa"/>
            <w:tcBorders>
              <w:top w:val="nil"/>
              <w:left w:val="single" w:sz="6" w:space="0" w:color="auto"/>
              <w:bottom w:val="single" w:sz="6" w:space="0" w:color="auto"/>
              <w:right w:val="single" w:sz="6" w:space="0" w:color="auto"/>
            </w:tcBorders>
            <w:vAlign w:val="center"/>
            <w:hideMark/>
          </w:tcPr>
          <w:p w14:paraId="568E9B3B" w14:textId="245AD817" w:rsidR="000F27EB" w:rsidRPr="00E04B2A" w:rsidRDefault="00E453CD">
            <w:pPr>
              <w:keepNext/>
              <w:suppressAutoHyphens/>
              <w:rPr>
                <w:del w:id="10877" w:author="AbbVie02no" w:date="2025-05-15T13:45:00Z"/>
                <w:sz w:val="22"/>
              </w:rPr>
              <w:pPrChange w:id="10878" w:author="AbbVie02no" w:date="2025-05-15T13:45:00Z">
                <w:pPr>
                  <w:keepNext/>
                  <w:textAlignment w:val="baseline"/>
                </w:pPr>
              </w:pPrChange>
            </w:pPr>
            <w:del w:id="10879" w:author="AbbVie02no" w:date="2025-05-15T13:45:00Z">
              <w:r w:rsidRPr="00E04B2A">
                <w:rPr>
                  <w:sz w:val="22"/>
                </w:rPr>
                <w:delText>Klinisk respons hos uke 8 PMS-respondere</w:delText>
              </w:r>
            </w:del>
          </w:p>
        </w:tc>
        <w:tc>
          <w:tcPr>
            <w:tcW w:w="2249" w:type="dxa"/>
            <w:tcBorders>
              <w:top w:val="nil"/>
              <w:left w:val="nil"/>
              <w:bottom w:val="single" w:sz="6" w:space="0" w:color="auto"/>
              <w:right w:val="single" w:sz="6" w:space="0" w:color="auto"/>
            </w:tcBorders>
            <w:vAlign w:val="center"/>
            <w:hideMark/>
          </w:tcPr>
          <w:p w14:paraId="37E60D77" w14:textId="0D433A76" w:rsidR="000F27EB" w:rsidRPr="00E04B2A" w:rsidRDefault="00E453CD">
            <w:pPr>
              <w:keepNext/>
              <w:suppressAutoHyphens/>
              <w:rPr>
                <w:del w:id="10880" w:author="AbbVie02no" w:date="2025-05-15T13:45:00Z"/>
                <w:sz w:val="22"/>
              </w:rPr>
              <w:pPrChange w:id="10881" w:author="AbbVie02no" w:date="2025-05-15T13:45:00Z">
                <w:pPr>
                  <w:keepNext/>
                  <w:jc w:val="center"/>
                  <w:textAlignment w:val="baseline"/>
                </w:pPr>
              </w:pPrChange>
            </w:pPr>
            <w:del w:id="10882" w:author="AbbVie02no" w:date="2025-05-15T13:45:00Z">
              <w:r w:rsidRPr="00E04B2A">
                <w:rPr>
                  <w:sz w:val="22"/>
                </w:rPr>
                <w:delText>19/31 (61,3</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0F9F4F59" w14:textId="30A8B5F7" w:rsidR="000F27EB" w:rsidRPr="00E04B2A" w:rsidRDefault="00E453CD">
            <w:pPr>
              <w:keepNext/>
              <w:suppressAutoHyphens/>
              <w:rPr>
                <w:del w:id="10883" w:author="AbbVie02no" w:date="2025-05-15T13:45:00Z"/>
                <w:sz w:val="22"/>
              </w:rPr>
              <w:pPrChange w:id="10884" w:author="AbbVie02no" w:date="2025-05-15T13:45:00Z">
                <w:pPr>
                  <w:keepNext/>
                  <w:jc w:val="center"/>
                  <w:textAlignment w:val="baseline"/>
                </w:pPr>
              </w:pPrChange>
            </w:pPr>
            <w:del w:id="10885" w:author="AbbVie02no" w:date="2025-05-15T13:45:00Z">
              <w:r w:rsidRPr="00E04B2A">
                <w:rPr>
                  <w:sz w:val="22"/>
                </w:rPr>
                <w:delText>21/31 (67,7</w:delText>
              </w:r>
              <w:r>
                <w:rPr>
                  <w:sz w:val="22"/>
                </w:rPr>
                <w:delText> </w:delText>
              </w:r>
              <w:r w:rsidRPr="00E04B2A">
                <w:rPr>
                  <w:sz w:val="22"/>
                </w:rPr>
                <w:delText>%) </w:delText>
              </w:r>
            </w:del>
          </w:p>
        </w:tc>
      </w:tr>
      <w:tr w:rsidR="004644D4" w14:paraId="4D0CB06F" w14:textId="762CBDBC" w:rsidTr="00BA47BC">
        <w:trPr>
          <w:jc w:val="center"/>
          <w:del w:id="10886" w:author="AbbVie02no" w:date="2025-05-15T13:45:00Z"/>
        </w:trPr>
        <w:tc>
          <w:tcPr>
            <w:tcW w:w="3687" w:type="dxa"/>
            <w:tcBorders>
              <w:top w:val="nil"/>
              <w:left w:val="single" w:sz="6" w:space="0" w:color="auto"/>
              <w:bottom w:val="single" w:sz="6" w:space="0" w:color="auto"/>
              <w:right w:val="single" w:sz="6" w:space="0" w:color="auto"/>
            </w:tcBorders>
            <w:vAlign w:val="center"/>
            <w:hideMark/>
          </w:tcPr>
          <w:p w14:paraId="227C0D17" w14:textId="05A9EB18" w:rsidR="000F27EB" w:rsidRPr="00E04B2A" w:rsidRDefault="00E453CD">
            <w:pPr>
              <w:keepNext/>
              <w:suppressAutoHyphens/>
              <w:rPr>
                <w:del w:id="10887" w:author="AbbVie02no" w:date="2025-05-15T13:45:00Z"/>
                <w:sz w:val="22"/>
              </w:rPr>
              <w:pPrChange w:id="10888" w:author="AbbVie02no" w:date="2025-05-15T13:45:00Z">
                <w:pPr>
                  <w:keepNext/>
                  <w:textAlignment w:val="baseline"/>
                </w:pPr>
              </w:pPrChange>
            </w:pPr>
            <w:del w:id="10889" w:author="AbbVie02no" w:date="2025-05-15T13:45:00Z">
              <w:r w:rsidRPr="00E04B2A">
                <w:rPr>
                  <w:sz w:val="22"/>
                </w:rPr>
                <w:delText>Slimhinne</w:delText>
              </w:r>
              <w:r>
                <w:rPr>
                  <w:sz w:val="22"/>
                </w:rPr>
                <w:delText>til</w:delText>
              </w:r>
              <w:r w:rsidRPr="00E04B2A">
                <w:rPr>
                  <w:sz w:val="22"/>
                </w:rPr>
                <w:delText>heling hos uke 8 PMS-respondere</w:delText>
              </w:r>
            </w:del>
          </w:p>
        </w:tc>
        <w:tc>
          <w:tcPr>
            <w:tcW w:w="2249" w:type="dxa"/>
            <w:tcBorders>
              <w:top w:val="nil"/>
              <w:left w:val="nil"/>
              <w:bottom w:val="single" w:sz="6" w:space="0" w:color="auto"/>
              <w:right w:val="single" w:sz="6" w:space="0" w:color="auto"/>
            </w:tcBorders>
            <w:vAlign w:val="center"/>
            <w:hideMark/>
          </w:tcPr>
          <w:p w14:paraId="0C0EF11E" w14:textId="3BDC8DB2" w:rsidR="000F27EB" w:rsidRPr="00E04B2A" w:rsidRDefault="00E453CD">
            <w:pPr>
              <w:keepNext/>
              <w:suppressAutoHyphens/>
              <w:rPr>
                <w:del w:id="10890" w:author="AbbVie02no" w:date="2025-05-15T13:45:00Z"/>
                <w:sz w:val="22"/>
              </w:rPr>
              <w:pPrChange w:id="10891" w:author="AbbVie02no" w:date="2025-05-15T13:45:00Z">
                <w:pPr>
                  <w:keepNext/>
                  <w:jc w:val="center"/>
                  <w:textAlignment w:val="baseline"/>
                </w:pPr>
              </w:pPrChange>
            </w:pPr>
            <w:del w:id="10892" w:author="AbbVie02no" w:date="2025-05-15T13:45:00Z">
              <w:r w:rsidRPr="00E04B2A">
                <w:rPr>
                  <w:sz w:val="22"/>
                </w:rPr>
                <w:delText>12/31 (38,7</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3444C37F" w14:textId="09F77AC0" w:rsidR="000F27EB" w:rsidRPr="00E04B2A" w:rsidRDefault="00E453CD">
            <w:pPr>
              <w:keepNext/>
              <w:suppressAutoHyphens/>
              <w:rPr>
                <w:del w:id="10893" w:author="AbbVie02no" w:date="2025-05-15T13:45:00Z"/>
                <w:sz w:val="22"/>
              </w:rPr>
              <w:pPrChange w:id="10894" w:author="AbbVie02no" w:date="2025-05-15T13:45:00Z">
                <w:pPr>
                  <w:keepNext/>
                  <w:jc w:val="center"/>
                  <w:textAlignment w:val="baseline"/>
                </w:pPr>
              </w:pPrChange>
            </w:pPr>
            <w:del w:id="10895" w:author="AbbVie02no" w:date="2025-05-15T13:45:00Z">
              <w:r w:rsidRPr="00E04B2A">
                <w:rPr>
                  <w:sz w:val="22"/>
                </w:rPr>
                <w:delText>16/31 (51,6</w:delText>
              </w:r>
              <w:r>
                <w:rPr>
                  <w:sz w:val="22"/>
                </w:rPr>
                <w:delText> </w:delText>
              </w:r>
              <w:r w:rsidRPr="00E04B2A">
                <w:rPr>
                  <w:sz w:val="22"/>
                </w:rPr>
                <w:delText>%) </w:delText>
              </w:r>
            </w:del>
          </w:p>
        </w:tc>
      </w:tr>
      <w:tr w:rsidR="004644D4" w14:paraId="3EC6E09B" w14:textId="54A61D75" w:rsidTr="00BA47BC">
        <w:trPr>
          <w:jc w:val="center"/>
          <w:del w:id="10896" w:author="AbbVie02no" w:date="2025-05-15T13:45:00Z"/>
        </w:trPr>
        <w:tc>
          <w:tcPr>
            <w:tcW w:w="3687" w:type="dxa"/>
            <w:tcBorders>
              <w:top w:val="nil"/>
              <w:left w:val="single" w:sz="6" w:space="0" w:color="auto"/>
              <w:bottom w:val="single" w:sz="6" w:space="0" w:color="auto"/>
              <w:right w:val="single" w:sz="6" w:space="0" w:color="auto"/>
            </w:tcBorders>
            <w:vAlign w:val="center"/>
            <w:hideMark/>
          </w:tcPr>
          <w:p w14:paraId="7AD96F3B" w14:textId="0AFDDEFB" w:rsidR="000F27EB" w:rsidRPr="00E04B2A" w:rsidRDefault="00E453CD">
            <w:pPr>
              <w:keepNext/>
              <w:suppressAutoHyphens/>
              <w:rPr>
                <w:del w:id="10897" w:author="AbbVie02no" w:date="2025-05-15T13:45:00Z"/>
                <w:sz w:val="22"/>
              </w:rPr>
              <w:pPrChange w:id="10898" w:author="AbbVie02no" w:date="2025-05-15T13:45:00Z">
                <w:pPr>
                  <w:textAlignment w:val="baseline"/>
                </w:pPr>
              </w:pPrChange>
            </w:pPr>
            <w:del w:id="10899" w:author="AbbVie02no" w:date="2025-05-15T13:45:00Z">
              <w:r w:rsidRPr="00E04B2A">
                <w:rPr>
                  <w:sz w:val="22"/>
                </w:rPr>
                <w:delText>Klinisk remisjon hos uke 8 PMS-</w:delText>
              </w:r>
              <w:r>
                <w:rPr>
                  <w:sz w:val="22"/>
                </w:rPr>
                <w:delText>pasienter i remisjon</w:delText>
              </w:r>
            </w:del>
          </w:p>
        </w:tc>
        <w:tc>
          <w:tcPr>
            <w:tcW w:w="2249" w:type="dxa"/>
            <w:tcBorders>
              <w:top w:val="nil"/>
              <w:left w:val="nil"/>
              <w:bottom w:val="single" w:sz="6" w:space="0" w:color="auto"/>
              <w:right w:val="single" w:sz="6" w:space="0" w:color="auto"/>
            </w:tcBorders>
            <w:vAlign w:val="center"/>
            <w:hideMark/>
          </w:tcPr>
          <w:p w14:paraId="028D33A2" w14:textId="0F1AAED2" w:rsidR="000F27EB" w:rsidRPr="00E04B2A" w:rsidRDefault="00E453CD">
            <w:pPr>
              <w:keepNext/>
              <w:suppressAutoHyphens/>
              <w:rPr>
                <w:del w:id="10900" w:author="AbbVie02no" w:date="2025-05-15T13:45:00Z"/>
                <w:sz w:val="22"/>
              </w:rPr>
              <w:pPrChange w:id="10901" w:author="AbbVie02no" w:date="2025-05-15T13:45:00Z">
                <w:pPr>
                  <w:jc w:val="center"/>
                  <w:textAlignment w:val="baseline"/>
                </w:pPr>
              </w:pPrChange>
            </w:pPr>
            <w:del w:id="10902" w:author="AbbVie02no" w:date="2025-05-15T13:45:00Z">
              <w:r w:rsidRPr="00E04B2A">
                <w:rPr>
                  <w:sz w:val="22"/>
                </w:rPr>
                <w:delText>9/21 (42,9</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7E027170" w14:textId="072FED0F" w:rsidR="000F27EB" w:rsidRPr="00E04B2A" w:rsidRDefault="00E453CD">
            <w:pPr>
              <w:keepNext/>
              <w:suppressAutoHyphens/>
              <w:rPr>
                <w:del w:id="10903" w:author="AbbVie02no" w:date="2025-05-15T13:45:00Z"/>
                <w:sz w:val="22"/>
              </w:rPr>
              <w:pPrChange w:id="10904" w:author="AbbVie02no" w:date="2025-05-15T13:45:00Z">
                <w:pPr>
                  <w:jc w:val="center"/>
                  <w:textAlignment w:val="baseline"/>
                </w:pPr>
              </w:pPrChange>
            </w:pPr>
            <w:del w:id="10905" w:author="AbbVie02no" w:date="2025-05-15T13:45:00Z">
              <w:r w:rsidRPr="00E04B2A">
                <w:rPr>
                  <w:sz w:val="22"/>
                </w:rPr>
                <w:delText>10/22 (45,5</w:delText>
              </w:r>
              <w:r>
                <w:rPr>
                  <w:sz w:val="22"/>
                </w:rPr>
                <w:delText> </w:delText>
              </w:r>
              <w:r w:rsidRPr="00E04B2A">
                <w:rPr>
                  <w:sz w:val="22"/>
                </w:rPr>
                <w:delText>%) </w:delText>
              </w:r>
            </w:del>
          </w:p>
        </w:tc>
      </w:tr>
      <w:tr w:rsidR="004644D4" w14:paraId="1AE0760F" w14:textId="33D95D81" w:rsidTr="00BA47BC">
        <w:trPr>
          <w:jc w:val="center"/>
          <w:del w:id="10906" w:author="AbbVie02no" w:date="2025-05-15T13:45:00Z"/>
        </w:trPr>
        <w:tc>
          <w:tcPr>
            <w:tcW w:w="3687" w:type="dxa"/>
            <w:tcBorders>
              <w:top w:val="nil"/>
              <w:left w:val="single" w:sz="6" w:space="0" w:color="auto"/>
              <w:bottom w:val="single" w:sz="6" w:space="0" w:color="auto"/>
              <w:right w:val="single" w:sz="6" w:space="0" w:color="auto"/>
            </w:tcBorders>
            <w:vAlign w:val="center"/>
            <w:hideMark/>
          </w:tcPr>
          <w:p w14:paraId="6EA38215" w14:textId="21663386" w:rsidR="000F27EB" w:rsidRPr="00E04B2A" w:rsidRDefault="00E453CD">
            <w:pPr>
              <w:keepNext/>
              <w:suppressAutoHyphens/>
              <w:rPr>
                <w:del w:id="10907" w:author="AbbVie02no" w:date="2025-05-15T13:45:00Z"/>
                <w:sz w:val="22"/>
              </w:rPr>
              <w:pPrChange w:id="10908" w:author="AbbVie02no" w:date="2025-05-15T13:45:00Z">
                <w:pPr>
                  <w:textAlignment w:val="baseline"/>
                </w:pPr>
              </w:pPrChange>
            </w:pPr>
            <w:del w:id="10909" w:author="AbbVie02no" w:date="2025-05-15T13:45:00Z">
              <w:r w:rsidRPr="00F47FD5">
                <w:rPr>
                  <w:sz w:val="22"/>
                </w:rPr>
                <w:delText>Kortikosteroidfri remisjon</w:delText>
              </w:r>
              <w:r w:rsidRPr="00E04B2A">
                <w:rPr>
                  <w:sz w:val="22"/>
                </w:rPr>
                <w:delText xml:space="preserve"> hos uke 8 PMS-respondere</w:delText>
              </w:r>
              <w:r w:rsidRPr="00975795">
                <w:rPr>
                  <w:szCs w:val="22"/>
                  <w:vertAlign w:val="superscript"/>
                  <w:lang w:eastAsia="en-GB"/>
                </w:rPr>
                <w:delText>c</w:delText>
              </w:r>
              <w:r w:rsidRPr="00E04B2A">
                <w:rPr>
                  <w:sz w:val="22"/>
                </w:rPr>
                <w:delText> </w:delText>
              </w:r>
            </w:del>
          </w:p>
        </w:tc>
        <w:tc>
          <w:tcPr>
            <w:tcW w:w="2249" w:type="dxa"/>
            <w:tcBorders>
              <w:top w:val="nil"/>
              <w:left w:val="nil"/>
              <w:bottom w:val="single" w:sz="6" w:space="0" w:color="auto"/>
              <w:right w:val="single" w:sz="6" w:space="0" w:color="auto"/>
            </w:tcBorders>
            <w:vAlign w:val="center"/>
            <w:hideMark/>
          </w:tcPr>
          <w:p w14:paraId="11C24F6D" w14:textId="1B1EC6A6" w:rsidR="000F27EB" w:rsidRPr="00E04B2A" w:rsidRDefault="00E453CD">
            <w:pPr>
              <w:keepNext/>
              <w:suppressAutoHyphens/>
              <w:rPr>
                <w:del w:id="10910" w:author="AbbVie02no" w:date="2025-05-15T13:45:00Z"/>
                <w:sz w:val="22"/>
              </w:rPr>
              <w:pPrChange w:id="10911" w:author="AbbVie02no" w:date="2025-05-15T13:45:00Z">
                <w:pPr>
                  <w:jc w:val="center"/>
                  <w:textAlignment w:val="baseline"/>
                </w:pPr>
              </w:pPrChange>
            </w:pPr>
            <w:del w:id="10912" w:author="AbbVie02no" w:date="2025-05-15T13:45:00Z">
              <w:r w:rsidRPr="00E04B2A">
                <w:rPr>
                  <w:sz w:val="22"/>
                </w:rPr>
                <w:delText>4/13 (30,8</w:delText>
              </w:r>
              <w:r>
                <w:rPr>
                  <w:sz w:val="22"/>
                </w:rPr>
                <w:delText> </w:delText>
              </w:r>
              <w:r w:rsidRPr="00E04B2A">
                <w:rPr>
                  <w:sz w:val="22"/>
                </w:rPr>
                <w:delText>%) </w:delText>
              </w:r>
            </w:del>
          </w:p>
        </w:tc>
        <w:tc>
          <w:tcPr>
            <w:tcW w:w="2633" w:type="dxa"/>
            <w:tcBorders>
              <w:top w:val="nil"/>
              <w:left w:val="nil"/>
              <w:bottom w:val="single" w:sz="6" w:space="0" w:color="auto"/>
              <w:right w:val="single" w:sz="6" w:space="0" w:color="auto"/>
            </w:tcBorders>
            <w:vAlign w:val="center"/>
            <w:hideMark/>
          </w:tcPr>
          <w:p w14:paraId="666DBC5F" w14:textId="1FCDC3B3" w:rsidR="000F27EB" w:rsidRPr="00E04B2A" w:rsidRDefault="00E453CD">
            <w:pPr>
              <w:keepNext/>
              <w:suppressAutoHyphens/>
              <w:rPr>
                <w:del w:id="10913" w:author="AbbVie02no" w:date="2025-05-15T13:45:00Z"/>
                <w:sz w:val="22"/>
              </w:rPr>
              <w:pPrChange w:id="10914" w:author="AbbVie02no" w:date="2025-05-15T13:45:00Z">
                <w:pPr>
                  <w:jc w:val="center"/>
                  <w:textAlignment w:val="baseline"/>
                </w:pPr>
              </w:pPrChange>
            </w:pPr>
            <w:del w:id="10915" w:author="AbbVie02no" w:date="2025-05-15T13:45:00Z">
              <w:r w:rsidRPr="00E04B2A">
                <w:rPr>
                  <w:sz w:val="22"/>
                </w:rPr>
                <w:delText>5/16 (31,3</w:delText>
              </w:r>
              <w:r>
                <w:rPr>
                  <w:sz w:val="22"/>
                </w:rPr>
                <w:delText> </w:delText>
              </w:r>
              <w:r w:rsidRPr="00E04B2A">
                <w:rPr>
                  <w:sz w:val="22"/>
                </w:rPr>
                <w:delText>%) </w:delText>
              </w:r>
            </w:del>
          </w:p>
        </w:tc>
      </w:tr>
      <w:tr w:rsidR="004644D4" w14:paraId="1B8BD6B9" w14:textId="7847EF42" w:rsidTr="00BA47BC">
        <w:trPr>
          <w:jc w:val="center"/>
          <w:del w:id="10916" w:author="AbbVie02no" w:date="2025-05-15T13:45:00Z"/>
        </w:trPr>
        <w:tc>
          <w:tcPr>
            <w:tcW w:w="8569" w:type="dxa"/>
            <w:gridSpan w:val="3"/>
            <w:tcBorders>
              <w:top w:val="nil"/>
              <w:left w:val="single" w:sz="6" w:space="0" w:color="auto"/>
              <w:bottom w:val="single" w:sz="6" w:space="0" w:color="auto"/>
              <w:right w:val="single" w:sz="6" w:space="0" w:color="auto"/>
            </w:tcBorders>
            <w:hideMark/>
          </w:tcPr>
          <w:p w14:paraId="301DE65B" w14:textId="182567BB" w:rsidR="000F27EB" w:rsidRPr="00E04B2A" w:rsidRDefault="00E453CD">
            <w:pPr>
              <w:keepNext/>
              <w:suppressAutoHyphens/>
              <w:rPr>
                <w:del w:id="10917" w:author="AbbVie02no" w:date="2025-05-15T13:45:00Z"/>
                <w:sz w:val="22"/>
              </w:rPr>
              <w:pPrChange w:id="10918" w:author="AbbVie02no" w:date="2025-05-15T13:45:00Z">
                <w:pPr>
                  <w:textAlignment w:val="baseline"/>
                </w:pPr>
              </w:pPrChange>
            </w:pPr>
            <w:del w:id="10919" w:author="AbbVie02no" w:date="2025-05-15T13:45:00Z">
              <w:r w:rsidRPr="00E04B2A">
                <w:rPr>
                  <w:sz w:val="22"/>
                  <w:vertAlign w:val="superscript"/>
                </w:rPr>
                <w:delText>a</w:delText>
              </w:r>
              <w:r w:rsidRPr="00E04B2A">
                <w:rPr>
                  <w:sz w:val="22"/>
                </w:rPr>
                <w:delText>Humira 0,6</w:delText>
              </w:r>
              <w:r>
                <w:rPr>
                  <w:sz w:val="22"/>
                </w:rPr>
                <w:delText> </w:delText>
              </w:r>
              <w:r w:rsidRPr="00E04B2A">
                <w:rPr>
                  <w:sz w:val="22"/>
                </w:rPr>
                <w:delText>mg/kg (maksimalt 40</w:delText>
              </w:r>
              <w:r>
                <w:rPr>
                  <w:sz w:val="22"/>
                </w:rPr>
                <w:delText> </w:delText>
              </w:r>
              <w:r w:rsidRPr="00E04B2A">
                <w:rPr>
                  <w:sz w:val="22"/>
                </w:rPr>
                <w:delText>mg) annenhver uke </w:delText>
              </w:r>
            </w:del>
          </w:p>
          <w:p w14:paraId="061B00C9" w14:textId="4C31EC25" w:rsidR="000F27EB" w:rsidRPr="00E04B2A" w:rsidRDefault="00E453CD">
            <w:pPr>
              <w:keepNext/>
              <w:suppressAutoHyphens/>
              <w:rPr>
                <w:del w:id="10920" w:author="AbbVie02no" w:date="2025-05-15T13:45:00Z"/>
                <w:sz w:val="22"/>
              </w:rPr>
              <w:pPrChange w:id="10921" w:author="AbbVie02no" w:date="2025-05-15T13:45:00Z">
                <w:pPr>
                  <w:textAlignment w:val="baseline"/>
                </w:pPr>
              </w:pPrChange>
            </w:pPr>
            <w:del w:id="10922" w:author="AbbVie02no" w:date="2025-05-15T13:45:00Z">
              <w:r w:rsidRPr="00E04B2A">
                <w:rPr>
                  <w:sz w:val="22"/>
                  <w:vertAlign w:val="superscript"/>
                </w:rPr>
                <w:delText>b</w:delText>
              </w:r>
              <w:r w:rsidRPr="00E04B2A">
                <w:rPr>
                  <w:sz w:val="22"/>
                </w:rPr>
                <w:delText>Humira 0,6</w:delText>
              </w:r>
              <w:r>
                <w:rPr>
                  <w:sz w:val="22"/>
                </w:rPr>
                <w:delText> </w:delText>
              </w:r>
              <w:r w:rsidRPr="00E04B2A">
                <w:rPr>
                  <w:sz w:val="22"/>
                </w:rPr>
                <w:delText>mg/kg (maksimalt 40</w:delText>
              </w:r>
              <w:r>
                <w:rPr>
                  <w:sz w:val="22"/>
                </w:rPr>
                <w:delText> </w:delText>
              </w:r>
              <w:r w:rsidRPr="00E04B2A">
                <w:rPr>
                  <w:sz w:val="22"/>
                </w:rPr>
                <w:delText>mg) hver uke </w:delText>
              </w:r>
            </w:del>
          </w:p>
          <w:p w14:paraId="54F9DCAF" w14:textId="089D9098" w:rsidR="000F27EB" w:rsidRPr="00E04B2A" w:rsidRDefault="00E453CD">
            <w:pPr>
              <w:keepNext/>
              <w:suppressAutoHyphens/>
              <w:rPr>
                <w:del w:id="10923" w:author="AbbVie02no" w:date="2025-05-15T13:45:00Z"/>
                <w:sz w:val="22"/>
              </w:rPr>
              <w:pPrChange w:id="10924" w:author="AbbVie02no" w:date="2025-05-15T13:45:00Z">
                <w:pPr>
                  <w:textAlignment w:val="baseline"/>
                </w:pPr>
              </w:pPrChange>
            </w:pPr>
            <w:del w:id="10925" w:author="AbbVie02no" w:date="2025-05-15T13:45:00Z">
              <w:r w:rsidRPr="00E04B2A">
                <w:rPr>
                  <w:sz w:val="22"/>
                  <w:vertAlign w:val="superscript"/>
                </w:rPr>
                <w:delText>c</w:delText>
              </w:r>
              <w:r w:rsidRPr="00E04B2A">
                <w:rPr>
                  <w:sz w:val="22"/>
                </w:rPr>
                <w:delText>Hos pasienter som samtidig fikk kortikosteroider ved baseline </w:delText>
              </w:r>
            </w:del>
          </w:p>
          <w:p w14:paraId="10941239" w14:textId="45C38166" w:rsidR="000F27EB" w:rsidRPr="00E04B2A" w:rsidRDefault="00E453CD">
            <w:pPr>
              <w:keepNext/>
              <w:suppressAutoHyphens/>
              <w:rPr>
                <w:del w:id="10926" w:author="AbbVie02no" w:date="2025-05-15T13:45:00Z"/>
                <w:sz w:val="22"/>
              </w:rPr>
              <w:pPrChange w:id="10927" w:author="AbbVie02no" w:date="2025-05-15T13:45:00Z">
                <w:pPr>
                  <w:textAlignment w:val="baseline"/>
                </w:pPr>
              </w:pPrChange>
            </w:pPr>
            <w:del w:id="10928" w:author="AbbVie02no" w:date="2025-05-15T13:45:00Z">
              <w:r w:rsidRPr="00E04B2A">
                <w:rPr>
                  <w:sz w:val="22"/>
                </w:rPr>
                <w:delText xml:space="preserve">Merknad: Pasienter med manglende verdier </w:delText>
              </w:r>
              <w:r>
                <w:rPr>
                  <w:sz w:val="22"/>
                </w:rPr>
                <w:delText>ved</w:delText>
              </w:r>
              <w:r w:rsidRPr="00E04B2A">
                <w:rPr>
                  <w:sz w:val="22"/>
                </w:rPr>
                <w:delText xml:space="preserve"> uke 52 eller som ble randomisert til å få gjentatt induksjons- eller vedlikeholdsbehandling ble ansett som ikke-responderende for endepunktene </w:delText>
              </w:r>
              <w:r>
                <w:rPr>
                  <w:sz w:val="22"/>
                </w:rPr>
                <w:delText>ved</w:delText>
              </w:r>
              <w:r w:rsidRPr="00E04B2A">
                <w:rPr>
                  <w:sz w:val="22"/>
                </w:rPr>
                <w:delText xml:space="preserve"> uke 52 </w:delText>
              </w:r>
            </w:del>
          </w:p>
        </w:tc>
      </w:tr>
    </w:tbl>
    <w:p w14:paraId="5EB92BA8" w14:textId="7AB2A292" w:rsidR="000F27EB" w:rsidRPr="00E04B2A" w:rsidRDefault="000F27EB">
      <w:pPr>
        <w:keepNext/>
        <w:suppressAutoHyphens/>
        <w:rPr>
          <w:del w:id="10929" w:author="AbbVie02no" w:date="2025-05-15T13:45:00Z"/>
          <w:sz w:val="22"/>
        </w:rPr>
        <w:pPrChange w:id="10930" w:author="AbbVie02no" w:date="2025-05-15T13:45:00Z">
          <w:pPr/>
        </w:pPrChange>
      </w:pPr>
    </w:p>
    <w:p w14:paraId="00CCAB92" w14:textId="200BC399" w:rsidR="000F27EB" w:rsidRPr="00975795" w:rsidRDefault="00E453CD">
      <w:pPr>
        <w:keepNext/>
        <w:suppressAutoHyphens/>
        <w:rPr>
          <w:del w:id="10931" w:author="AbbVie02no" w:date="2025-05-15T13:45:00Z"/>
          <w:sz w:val="22"/>
          <w:szCs w:val="22"/>
        </w:rPr>
        <w:pPrChange w:id="10932" w:author="AbbVie02no" w:date="2025-05-15T13:45:00Z">
          <w:pPr/>
        </w:pPrChange>
      </w:pPr>
      <w:del w:id="10933" w:author="AbbVie02no" w:date="2025-05-15T13:45:00Z">
        <w:r w:rsidRPr="00047F3C">
          <w:rPr>
            <w:sz w:val="22"/>
            <w:szCs w:val="22"/>
          </w:rPr>
          <w:delText xml:space="preserve">Andre effektendepunkter inkluderte klinisk respons </w:delText>
        </w:r>
        <w:r w:rsidRPr="00975795">
          <w:rPr>
            <w:sz w:val="22"/>
            <w:szCs w:val="22"/>
          </w:rPr>
          <w:delText xml:space="preserve">iht. Paediatric Ulcerative Colitis Activity Index (PUCAI) (definert som en reduksjon i PUCAI ≥ 20 poeng fra baseline) og klinisk remisjon iht. PUCAI (definert som PUCAI &lt; 10) ved uke 8 og uke 52 (tabell </w:delText>
        </w:r>
        <w:r w:rsidR="00FD1DB9">
          <w:rPr>
            <w:sz w:val="22"/>
            <w:szCs w:val="22"/>
          </w:rPr>
          <w:delText>33</w:delText>
        </w:r>
        <w:r w:rsidRPr="00975795">
          <w:rPr>
            <w:sz w:val="22"/>
            <w:szCs w:val="22"/>
          </w:rPr>
          <w:delText xml:space="preserve">). </w:delText>
        </w:r>
      </w:del>
    </w:p>
    <w:p w14:paraId="46DEA3DB" w14:textId="7E5B9880" w:rsidR="000F27EB" w:rsidRPr="00E04B2A" w:rsidRDefault="000F27EB">
      <w:pPr>
        <w:keepNext/>
        <w:suppressAutoHyphens/>
        <w:rPr>
          <w:del w:id="10934" w:author="AbbVie02no" w:date="2025-05-15T13:45:00Z"/>
          <w:sz w:val="22"/>
        </w:rPr>
        <w:pPrChange w:id="10935" w:author="AbbVie02no" w:date="2025-05-15T13:45:00Z">
          <w:pPr/>
        </w:pPrChange>
      </w:pPr>
    </w:p>
    <w:tbl>
      <w:tblPr>
        <w:tblW w:w="8971" w:type="dxa"/>
        <w:jc w:val="center"/>
        <w:tblCellMar>
          <w:left w:w="0" w:type="dxa"/>
          <w:right w:w="0" w:type="dxa"/>
        </w:tblCellMar>
        <w:tblLook w:val="04A0" w:firstRow="1" w:lastRow="0" w:firstColumn="1" w:lastColumn="0" w:noHBand="0" w:noVBand="1"/>
      </w:tblPr>
      <w:tblGrid>
        <w:gridCol w:w="3643"/>
        <w:gridCol w:w="2898"/>
        <w:gridCol w:w="2430"/>
      </w:tblGrid>
      <w:tr w:rsidR="004644D4" w14:paraId="61378BD4" w14:textId="26A7EDD3" w:rsidTr="00BA47BC">
        <w:trPr>
          <w:trHeight w:val="60"/>
          <w:jc w:val="center"/>
          <w:del w:id="10936" w:author="AbbVie02no" w:date="2025-05-15T13:45:00Z"/>
        </w:trPr>
        <w:tc>
          <w:tcPr>
            <w:tcW w:w="8971" w:type="dxa"/>
            <w:gridSpan w:val="3"/>
            <w:tcMar>
              <w:top w:w="0" w:type="dxa"/>
              <w:left w:w="108" w:type="dxa"/>
              <w:bottom w:w="0" w:type="dxa"/>
              <w:right w:w="108" w:type="dxa"/>
            </w:tcMar>
            <w:hideMark/>
          </w:tcPr>
          <w:p w14:paraId="6640DBA7" w14:textId="395FAE21" w:rsidR="000F27EB" w:rsidRPr="00E04B2A" w:rsidRDefault="00E453CD">
            <w:pPr>
              <w:keepNext/>
              <w:suppressAutoHyphens/>
              <w:rPr>
                <w:del w:id="10937" w:author="AbbVie02no" w:date="2025-05-15T13:45:00Z"/>
                <w:b/>
                <w:bCs/>
                <w:sz w:val="22"/>
              </w:rPr>
              <w:pPrChange w:id="10938" w:author="AbbVie02no" w:date="2025-05-15T13:45:00Z">
                <w:pPr>
                  <w:jc w:val="center"/>
                </w:pPr>
              </w:pPrChange>
            </w:pPr>
            <w:del w:id="10939" w:author="AbbVie02no" w:date="2025-05-15T13:45:00Z">
              <w:r w:rsidRPr="00E04B2A">
                <w:rPr>
                  <w:b/>
                  <w:sz w:val="22"/>
                </w:rPr>
                <w:lastRenderedPageBreak/>
                <w:delText>Tabell </w:delText>
              </w:r>
              <w:r w:rsidR="00FD1DB9">
                <w:rPr>
                  <w:b/>
                  <w:sz w:val="22"/>
                </w:rPr>
                <w:delText>33</w:delText>
              </w:r>
              <w:r w:rsidRPr="00E04B2A">
                <w:rPr>
                  <w:b/>
                  <w:sz w:val="22"/>
                </w:rPr>
                <w:delText xml:space="preserve">: </w:delText>
              </w:r>
              <w:r>
                <w:rPr>
                  <w:b/>
                  <w:sz w:val="22"/>
                </w:rPr>
                <w:delText>E</w:delText>
              </w:r>
              <w:r w:rsidRPr="00E04B2A">
                <w:rPr>
                  <w:b/>
                  <w:sz w:val="22"/>
                </w:rPr>
                <w:delText>ndepunktresultater iht. PUCAI</w:delText>
              </w:r>
            </w:del>
          </w:p>
        </w:tc>
      </w:tr>
      <w:tr w:rsidR="004644D4" w14:paraId="6A3465C8" w14:textId="62F97941" w:rsidTr="00BA47BC">
        <w:trPr>
          <w:trHeight w:val="265"/>
          <w:jc w:val="center"/>
          <w:del w:id="10940" w:author="AbbVie02no" w:date="2025-05-15T13:45:00Z"/>
        </w:trPr>
        <w:tc>
          <w:tcPr>
            <w:tcW w:w="3643"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2AFC2F04" w14:textId="135B7638" w:rsidR="000F27EB" w:rsidRPr="00E04B2A" w:rsidRDefault="000F27EB">
            <w:pPr>
              <w:keepNext/>
              <w:suppressAutoHyphens/>
              <w:rPr>
                <w:del w:id="10941" w:author="AbbVie02no" w:date="2025-05-15T13:45:00Z"/>
                <w:sz w:val="22"/>
              </w:rPr>
              <w:pPrChange w:id="10942" w:author="AbbVie02no" w:date="2025-05-15T13:45:00Z">
                <w:pPr/>
              </w:pPrChange>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46E9E" w14:textId="5A073E9A" w:rsidR="000F27EB" w:rsidRPr="00E04B2A" w:rsidRDefault="00E453CD">
            <w:pPr>
              <w:keepNext/>
              <w:suppressAutoHyphens/>
              <w:rPr>
                <w:del w:id="10943" w:author="AbbVie02no" w:date="2025-05-15T13:45:00Z"/>
                <w:b/>
                <w:bCs/>
                <w:sz w:val="22"/>
              </w:rPr>
              <w:pPrChange w:id="10944" w:author="AbbVie02no" w:date="2025-05-15T13:45:00Z">
                <w:pPr>
                  <w:jc w:val="center"/>
                </w:pPr>
              </w:pPrChange>
            </w:pPr>
            <w:del w:id="10945" w:author="AbbVie02no" w:date="2025-05-15T13:45:00Z">
              <w:r w:rsidRPr="00E04B2A">
                <w:rPr>
                  <w:b/>
                  <w:sz w:val="22"/>
                </w:rPr>
                <w:delText>Uke 8</w:delText>
              </w:r>
            </w:del>
          </w:p>
        </w:tc>
      </w:tr>
      <w:tr w:rsidR="004644D4" w14:paraId="2CF1A979" w14:textId="2156628F" w:rsidTr="00BA47BC">
        <w:trPr>
          <w:trHeight w:val="1042"/>
          <w:jc w:val="center"/>
          <w:del w:id="10946" w:author="AbbVie02no" w:date="2025-05-15T13:45:00Z"/>
        </w:trPr>
        <w:tc>
          <w:tcPr>
            <w:tcW w:w="3643" w:type="dxa"/>
            <w:vMerge/>
            <w:tcBorders>
              <w:top w:val="single" w:sz="4" w:space="0" w:color="auto"/>
              <w:left w:val="single" w:sz="8" w:space="0" w:color="auto"/>
              <w:bottom w:val="single" w:sz="8" w:space="0" w:color="auto"/>
              <w:right w:val="single" w:sz="4" w:space="0" w:color="auto"/>
            </w:tcBorders>
            <w:vAlign w:val="center"/>
            <w:hideMark/>
          </w:tcPr>
          <w:p w14:paraId="7731A74F" w14:textId="17AD8E41" w:rsidR="000F27EB" w:rsidRPr="00E04B2A" w:rsidRDefault="000F27EB">
            <w:pPr>
              <w:keepNext/>
              <w:suppressAutoHyphens/>
              <w:rPr>
                <w:del w:id="10947" w:author="AbbVie02no" w:date="2025-05-15T13:45:00Z"/>
                <w:sz w:val="22"/>
              </w:rPr>
              <w:pPrChange w:id="10948" w:author="AbbVie02no" w:date="2025-05-15T13:45:00Z">
                <w:pPr/>
              </w:pPrChange>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EC72FE" w14:textId="650F1ECE" w:rsidR="000F27EB" w:rsidRPr="00E04B2A" w:rsidRDefault="00E453CD">
            <w:pPr>
              <w:keepNext/>
              <w:suppressAutoHyphens/>
              <w:rPr>
                <w:del w:id="10949" w:author="AbbVie02no" w:date="2025-05-15T13:45:00Z"/>
                <w:b/>
                <w:bCs/>
                <w:sz w:val="22"/>
                <w:vertAlign w:val="superscript"/>
              </w:rPr>
              <w:pPrChange w:id="10950" w:author="AbbVie02no" w:date="2025-05-15T13:45:00Z">
                <w:pPr>
                  <w:jc w:val="center"/>
                </w:pPr>
              </w:pPrChange>
            </w:pPr>
            <w:del w:id="10951" w:author="AbbVie02no" w:date="2025-05-15T13:45:00Z">
              <w:r w:rsidRPr="00E04B2A">
                <w:rPr>
                  <w:b/>
                  <w:sz w:val="22"/>
                </w:rPr>
                <w:delText>Humira</w:delText>
              </w:r>
              <w:r w:rsidRPr="00E04B2A">
                <w:rPr>
                  <w:b/>
                  <w:sz w:val="22"/>
                  <w:vertAlign w:val="superscript"/>
                </w:rPr>
                <w:delText>a</w:delText>
              </w:r>
            </w:del>
          </w:p>
          <w:p w14:paraId="78044653" w14:textId="76935480" w:rsidR="000F27EB" w:rsidRPr="00E04B2A" w:rsidRDefault="00E453CD">
            <w:pPr>
              <w:keepNext/>
              <w:suppressAutoHyphens/>
              <w:rPr>
                <w:del w:id="10952" w:author="AbbVie02no" w:date="2025-05-15T13:45:00Z"/>
                <w:b/>
                <w:bCs/>
                <w:sz w:val="22"/>
              </w:rPr>
              <w:pPrChange w:id="10953" w:author="AbbVie02no" w:date="2025-05-15T13:45:00Z">
                <w:pPr>
                  <w:jc w:val="center"/>
                </w:pPr>
              </w:pPrChange>
            </w:pPr>
            <w:del w:id="10954" w:author="AbbVie02no" w:date="2025-05-15T13:45:00Z">
              <w:r>
                <w:rPr>
                  <w:b/>
                  <w:sz w:val="22"/>
                </w:rPr>
                <w:delText>Maksimalt</w:delText>
              </w:r>
              <w:r w:rsidRPr="00E04B2A">
                <w:rPr>
                  <w:b/>
                  <w:sz w:val="22"/>
                </w:rPr>
                <w:delText xml:space="preserve"> 160</w:delText>
              </w:r>
              <w:r>
                <w:rPr>
                  <w:b/>
                  <w:sz w:val="22"/>
                </w:rPr>
                <w:delText> </w:delText>
              </w:r>
              <w:r w:rsidRPr="00E04B2A">
                <w:rPr>
                  <w:b/>
                  <w:sz w:val="22"/>
                </w:rPr>
                <w:delText xml:space="preserve">mg </w:delText>
              </w:r>
              <w:r w:rsidRPr="001D5C5A">
                <w:rPr>
                  <w:b/>
                  <w:sz w:val="22"/>
                </w:rPr>
                <w:delText>v</w:delText>
              </w:r>
              <w:r w:rsidRPr="00975795">
                <w:rPr>
                  <w:b/>
                  <w:sz w:val="22"/>
                  <w:szCs w:val="22"/>
                </w:rPr>
                <w:delText>ed</w:delText>
              </w:r>
              <w:r w:rsidRPr="00E04B2A">
                <w:rPr>
                  <w:b/>
                  <w:sz w:val="22"/>
                </w:rPr>
                <w:delText xml:space="preserve"> uke 0/placebo</w:delText>
              </w:r>
              <w:r>
                <w:rPr>
                  <w:b/>
                  <w:sz w:val="22"/>
                </w:rPr>
                <w:delText xml:space="preserve"> ved</w:delText>
              </w:r>
              <w:r w:rsidRPr="00E04B2A">
                <w:rPr>
                  <w:b/>
                  <w:sz w:val="22"/>
                </w:rPr>
                <w:delText xml:space="preserve"> uke 1</w:delText>
              </w:r>
            </w:del>
          </w:p>
          <w:p w14:paraId="570AC600" w14:textId="44F370DE" w:rsidR="000F27EB" w:rsidRPr="00E04B2A" w:rsidRDefault="00E453CD">
            <w:pPr>
              <w:keepNext/>
              <w:suppressAutoHyphens/>
              <w:rPr>
                <w:del w:id="10955" w:author="AbbVie02no" w:date="2025-05-15T13:45:00Z"/>
                <w:sz w:val="22"/>
              </w:rPr>
              <w:pPrChange w:id="10956" w:author="AbbVie02no" w:date="2025-05-15T13:45:00Z">
                <w:pPr>
                  <w:jc w:val="center"/>
                </w:pPr>
              </w:pPrChange>
            </w:pPr>
            <w:del w:id="10957" w:author="AbbVie02no" w:date="2025-05-15T13:45:00Z">
              <w:r w:rsidRPr="00E04B2A">
                <w:rPr>
                  <w:sz w:val="22"/>
                </w:rPr>
                <w:delText>N = 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5AE4E9" w14:textId="47E4BF51" w:rsidR="000F27EB" w:rsidRPr="00E04B2A" w:rsidRDefault="00E453CD">
            <w:pPr>
              <w:keepNext/>
              <w:suppressAutoHyphens/>
              <w:rPr>
                <w:del w:id="10958" w:author="AbbVie02no" w:date="2025-05-15T13:45:00Z"/>
                <w:b/>
                <w:bCs/>
                <w:sz w:val="22"/>
                <w:vertAlign w:val="superscript"/>
              </w:rPr>
              <w:pPrChange w:id="10959" w:author="AbbVie02no" w:date="2025-05-15T13:45:00Z">
                <w:pPr>
                  <w:jc w:val="center"/>
                </w:pPr>
              </w:pPrChange>
            </w:pPr>
            <w:del w:id="10960" w:author="AbbVie02no" w:date="2025-05-15T13:45:00Z">
              <w:r w:rsidRPr="00E04B2A">
                <w:rPr>
                  <w:b/>
                  <w:sz w:val="22"/>
                </w:rPr>
                <w:delText>Humira</w:delText>
              </w:r>
              <w:r w:rsidRPr="00E04B2A">
                <w:rPr>
                  <w:b/>
                  <w:sz w:val="22"/>
                  <w:vertAlign w:val="superscript"/>
                </w:rPr>
                <w:delText>b,c</w:delText>
              </w:r>
            </w:del>
          </w:p>
          <w:p w14:paraId="610CA299" w14:textId="3C3D085B" w:rsidR="000F27EB" w:rsidRPr="00E04B2A" w:rsidRDefault="00E453CD">
            <w:pPr>
              <w:keepNext/>
              <w:suppressAutoHyphens/>
              <w:rPr>
                <w:del w:id="10961" w:author="AbbVie02no" w:date="2025-05-15T13:45:00Z"/>
                <w:b/>
                <w:bCs/>
                <w:sz w:val="22"/>
              </w:rPr>
              <w:pPrChange w:id="10962" w:author="AbbVie02no" w:date="2025-05-15T13:45:00Z">
                <w:pPr>
                  <w:jc w:val="center"/>
                </w:pPr>
              </w:pPrChange>
            </w:pPr>
            <w:del w:id="10963" w:author="AbbVie02no" w:date="2025-05-15T13:45:00Z">
              <w:r>
                <w:rPr>
                  <w:b/>
                  <w:sz w:val="22"/>
                </w:rPr>
                <w:delText>Maksimalt</w:delText>
              </w:r>
              <w:r w:rsidRPr="00E04B2A">
                <w:rPr>
                  <w:b/>
                  <w:sz w:val="22"/>
                </w:rPr>
                <w:delText xml:space="preserve"> 160</w:delText>
              </w:r>
              <w:r>
                <w:rPr>
                  <w:b/>
                  <w:sz w:val="22"/>
                </w:rPr>
                <w:delText> </w:delText>
              </w:r>
              <w:r w:rsidRPr="00E04B2A">
                <w:rPr>
                  <w:b/>
                  <w:sz w:val="22"/>
                </w:rPr>
                <w:delText xml:space="preserve">mg </w:delText>
              </w:r>
              <w:r>
                <w:rPr>
                  <w:b/>
                  <w:sz w:val="22"/>
                </w:rPr>
                <w:delText>ved</w:delText>
              </w:r>
              <w:r w:rsidRPr="00E04B2A">
                <w:rPr>
                  <w:b/>
                  <w:sz w:val="22"/>
                </w:rPr>
                <w:delText xml:space="preserve"> uke 0 og uke 1</w:delText>
              </w:r>
            </w:del>
          </w:p>
          <w:p w14:paraId="3CC6AD43" w14:textId="365CCDF8" w:rsidR="000F27EB" w:rsidRPr="00E04B2A" w:rsidRDefault="00E453CD">
            <w:pPr>
              <w:keepNext/>
              <w:suppressAutoHyphens/>
              <w:rPr>
                <w:del w:id="10964" w:author="AbbVie02no" w:date="2025-05-15T13:45:00Z"/>
                <w:sz w:val="22"/>
              </w:rPr>
              <w:pPrChange w:id="10965" w:author="AbbVie02no" w:date="2025-05-15T13:45:00Z">
                <w:pPr>
                  <w:jc w:val="center"/>
                </w:pPr>
              </w:pPrChange>
            </w:pPr>
            <w:del w:id="10966" w:author="AbbVie02no" w:date="2025-05-15T13:45:00Z">
              <w:r w:rsidRPr="00E04B2A">
                <w:rPr>
                  <w:sz w:val="22"/>
                </w:rPr>
                <w:delText>N = 47</w:delText>
              </w:r>
            </w:del>
          </w:p>
        </w:tc>
      </w:tr>
      <w:tr w:rsidR="004644D4" w14:paraId="52500135" w14:textId="3BF7DF37" w:rsidTr="00BA47BC">
        <w:trPr>
          <w:trHeight w:val="202"/>
          <w:jc w:val="center"/>
          <w:del w:id="10967" w:author="AbbVie02no" w:date="2025-05-15T13:45:00Z"/>
        </w:trPr>
        <w:tc>
          <w:tcPr>
            <w:tcW w:w="3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F6165" w14:textId="1D787E04" w:rsidR="000F27EB" w:rsidRPr="00E04B2A" w:rsidRDefault="00E453CD">
            <w:pPr>
              <w:keepNext/>
              <w:suppressAutoHyphens/>
              <w:rPr>
                <w:del w:id="10968" w:author="AbbVie02no" w:date="2025-05-15T13:45:00Z"/>
                <w:sz w:val="22"/>
              </w:rPr>
              <w:pPrChange w:id="10969" w:author="AbbVie02no" w:date="2025-05-15T13:45:00Z">
                <w:pPr/>
              </w:pPrChange>
            </w:pPr>
            <w:del w:id="10970" w:author="AbbVie02no" w:date="2025-05-15T13:45:00Z">
              <w:r w:rsidRPr="00E04B2A">
                <w:rPr>
                  <w:sz w:val="22"/>
                </w:rPr>
                <w:delText>Klinisk remisjon iht.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594842BF" w14:textId="526A3537" w:rsidR="000F27EB" w:rsidRPr="00E04B2A" w:rsidRDefault="00E453CD">
            <w:pPr>
              <w:keepNext/>
              <w:suppressAutoHyphens/>
              <w:rPr>
                <w:del w:id="10971" w:author="AbbVie02no" w:date="2025-05-15T13:45:00Z"/>
                <w:sz w:val="22"/>
              </w:rPr>
              <w:pPrChange w:id="10972" w:author="AbbVie02no" w:date="2025-05-15T13:45:00Z">
                <w:pPr>
                  <w:jc w:val="center"/>
                </w:pPr>
              </w:pPrChange>
            </w:pPr>
            <w:del w:id="10973" w:author="AbbVie02no" w:date="2025-05-15T13:45:00Z">
              <w:r w:rsidRPr="00E04B2A">
                <w:rPr>
                  <w:sz w:val="22"/>
                </w:rPr>
                <w:delText>10/30 (33,3</w:delText>
              </w:r>
              <w:r>
                <w:rPr>
                  <w:sz w:val="22"/>
                </w:rPr>
                <w:delText> </w:delText>
              </w:r>
              <w:r w:rsidRPr="00E04B2A">
                <w:rPr>
                  <w:sz w:val="22"/>
                </w:rPr>
                <w:delText>%)</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4435782C" w14:textId="420103B4" w:rsidR="000F27EB" w:rsidRPr="00E04B2A" w:rsidRDefault="00E453CD">
            <w:pPr>
              <w:keepNext/>
              <w:suppressAutoHyphens/>
              <w:rPr>
                <w:del w:id="10974" w:author="AbbVie02no" w:date="2025-05-15T13:45:00Z"/>
                <w:sz w:val="22"/>
              </w:rPr>
              <w:pPrChange w:id="10975" w:author="AbbVie02no" w:date="2025-05-15T13:45:00Z">
                <w:pPr>
                  <w:jc w:val="center"/>
                </w:pPr>
              </w:pPrChange>
            </w:pPr>
            <w:del w:id="10976" w:author="AbbVie02no" w:date="2025-05-15T13:45:00Z">
              <w:r w:rsidRPr="00E04B2A">
                <w:rPr>
                  <w:sz w:val="22"/>
                </w:rPr>
                <w:delText>22/47 (46,8</w:delText>
              </w:r>
              <w:r>
                <w:rPr>
                  <w:sz w:val="22"/>
                </w:rPr>
                <w:delText> </w:delText>
              </w:r>
              <w:r w:rsidRPr="00E04B2A">
                <w:rPr>
                  <w:sz w:val="22"/>
                </w:rPr>
                <w:delText>%)</w:delText>
              </w:r>
            </w:del>
          </w:p>
        </w:tc>
      </w:tr>
      <w:tr w:rsidR="004644D4" w14:paraId="793F7999" w14:textId="6CD8D0A0" w:rsidTr="00BA47BC">
        <w:trPr>
          <w:trHeight w:val="238"/>
          <w:jc w:val="center"/>
          <w:del w:id="10977" w:author="AbbVie02no" w:date="2025-05-15T13:45:00Z"/>
        </w:trPr>
        <w:tc>
          <w:tcPr>
            <w:tcW w:w="36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24B2432" w14:textId="09FF3646" w:rsidR="000F27EB" w:rsidRPr="00E04B2A" w:rsidRDefault="00E453CD">
            <w:pPr>
              <w:keepNext/>
              <w:suppressAutoHyphens/>
              <w:rPr>
                <w:del w:id="10978" w:author="AbbVie02no" w:date="2025-05-15T13:45:00Z"/>
                <w:sz w:val="22"/>
              </w:rPr>
              <w:pPrChange w:id="10979" w:author="AbbVie02no" w:date="2025-05-15T13:45:00Z">
                <w:pPr/>
              </w:pPrChange>
            </w:pPr>
            <w:del w:id="10980" w:author="AbbVie02no" w:date="2025-05-15T13:45:00Z">
              <w:r w:rsidRPr="00E04B2A">
                <w:rPr>
                  <w:sz w:val="22"/>
                </w:rPr>
                <w:delText>Klinisk respons iht.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7B8791D" w14:textId="7D158160" w:rsidR="000F27EB" w:rsidRPr="00E04B2A" w:rsidRDefault="00E453CD">
            <w:pPr>
              <w:keepNext/>
              <w:suppressAutoHyphens/>
              <w:rPr>
                <w:del w:id="10981" w:author="AbbVie02no" w:date="2025-05-15T13:45:00Z"/>
                <w:sz w:val="22"/>
              </w:rPr>
              <w:pPrChange w:id="10982" w:author="AbbVie02no" w:date="2025-05-15T13:45:00Z">
                <w:pPr>
                  <w:jc w:val="center"/>
                </w:pPr>
              </w:pPrChange>
            </w:pPr>
            <w:del w:id="10983" w:author="AbbVie02no" w:date="2025-05-15T13:45:00Z">
              <w:r w:rsidRPr="00E04B2A">
                <w:rPr>
                  <w:sz w:val="22"/>
                </w:rPr>
                <w:delText>15/30 (50,0</w:delText>
              </w:r>
              <w:r>
                <w:rPr>
                  <w:sz w:val="22"/>
                </w:rPr>
                <w:delText> </w:delText>
              </w:r>
              <w:r w:rsidRPr="00E04B2A">
                <w:rPr>
                  <w:sz w:val="22"/>
                </w:rPr>
                <w:delText>%)</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7B0B3D66" w14:textId="6961ED48" w:rsidR="000F27EB" w:rsidRPr="00E04B2A" w:rsidRDefault="00E453CD">
            <w:pPr>
              <w:keepNext/>
              <w:suppressAutoHyphens/>
              <w:rPr>
                <w:del w:id="10984" w:author="AbbVie02no" w:date="2025-05-15T13:45:00Z"/>
                <w:sz w:val="22"/>
              </w:rPr>
              <w:pPrChange w:id="10985" w:author="AbbVie02no" w:date="2025-05-15T13:45:00Z">
                <w:pPr>
                  <w:jc w:val="center"/>
                </w:pPr>
              </w:pPrChange>
            </w:pPr>
            <w:del w:id="10986" w:author="AbbVie02no" w:date="2025-05-15T13:45:00Z">
              <w:r w:rsidRPr="00E04B2A">
                <w:rPr>
                  <w:sz w:val="22"/>
                </w:rPr>
                <w:delText>32/47 (68,1</w:delText>
              </w:r>
              <w:r>
                <w:rPr>
                  <w:sz w:val="22"/>
                </w:rPr>
                <w:delText> </w:delText>
              </w:r>
              <w:r w:rsidRPr="00E04B2A">
                <w:rPr>
                  <w:sz w:val="22"/>
                </w:rPr>
                <w:delText>%)</w:delText>
              </w:r>
            </w:del>
          </w:p>
        </w:tc>
      </w:tr>
      <w:tr w:rsidR="004644D4" w14:paraId="3B940486" w14:textId="014D9E90" w:rsidTr="00BA47BC">
        <w:trPr>
          <w:trHeight w:val="238"/>
          <w:jc w:val="center"/>
          <w:del w:id="10987" w:author="AbbVie02no" w:date="2025-05-15T13:45:00Z"/>
        </w:trPr>
        <w:tc>
          <w:tcPr>
            <w:tcW w:w="3643"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1328D30D" w14:textId="54C8726D" w:rsidR="000F27EB" w:rsidRPr="00E04B2A" w:rsidRDefault="000F27EB">
            <w:pPr>
              <w:keepNext/>
              <w:suppressAutoHyphens/>
              <w:rPr>
                <w:del w:id="10988" w:author="AbbVie02no" w:date="2025-05-15T13:45:00Z"/>
                <w:sz w:val="22"/>
              </w:rPr>
              <w:pPrChange w:id="10989" w:author="AbbVie02no" w:date="2025-05-15T13:45:00Z">
                <w:pPr/>
              </w:pPrChange>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03565ED" w14:textId="645739B4" w:rsidR="000F27EB" w:rsidRPr="00E04B2A" w:rsidRDefault="00E453CD">
            <w:pPr>
              <w:keepNext/>
              <w:suppressAutoHyphens/>
              <w:rPr>
                <w:del w:id="10990" w:author="AbbVie02no" w:date="2025-05-15T13:45:00Z"/>
                <w:b/>
                <w:bCs/>
                <w:sz w:val="22"/>
              </w:rPr>
              <w:pPrChange w:id="10991" w:author="AbbVie02no" w:date="2025-05-15T13:45:00Z">
                <w:pPr>
                  <w:jc w:val="center"/>
                </w:pPr>
              </w:pPrChange>
            </w:pPr>
            <w:del w:id="10992" w:author="AbbVie02no" w:date="2025-05-15T13:45:00Z">
              <w:r w:rsidRPr="00E04B2A">
                <w:rPr>
                  <w:b/>
                  <w:sz w:val="22"/>
                </w:rPr>
                <w:delText>Uke 52</w:delText>
              </w:r>
            </w:del>
          </w:p>
        </w:tc>
      </w:tr>
      <w:tr w:rsidR="004644D4" w14:paraId="7E42F9A6" w14:textId="39C86AEB" w:rsidTr="00BA47BC">
        <w:trPr>
          <w:trHeight w:val="238"/>
          <w:jc w:val="center"/>
          <w:del w:id="10993" w:author="AbbVie02no" w:date="2025-05-15T13:45:00Z"/>
        </w:trPr>
        <w:tc>
          <w:tcPr>
            <w:tcW w:w="3643" w:type="dxa"/>
            <w:vMerge/>
            <w:tcBorders>
              <w:top w:val="nil"/>
              <w:left w:val="single" w:sz="8" w:space="0" w:color="auto"/>
              <w:bottom w:val="single" w:sz="4" w:space="0" w:color="auto"/>
              <w:right w:val="single" w:sz="8" w:space="0" w:color="auto"/>
            </w:tcBorders>
            <w:vAlign w:val="center"/>
            <w:hideMark/>
          </w:tcPr>
          <w:p w14:paraId="387E50D6" w14:textId="19C8AA92" w:rsidR="000F27EB" w:rsidRPr="00E04B2A" w:rsidRDefault="000F27EB">
            <w:pPr>
              <w:keepNext/>
              <w:suppressAutoHyphens/>
              <w:rPr>
                <w:del w:id="10994" w:author="AbbVie02no" w:date="2025-05-15T13:45:00Z"/>
                <w:sz w:val="22"/>
              </w:rPr>
              <w:pPrChange w:id="10995" w:author="AbbVie02no" w:date="2025-05-15T13:45:00Z">
                <w:pPr/>
              </w:pPrChange>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0EFF882" w14:textId="484433F0" w:rsidR="000F27EB" w:rsidRPr="00E04B2A" w:rsidRDefault="00E453CD">
            <w:pPr>
              <w:keepNext/>
              <w:suppressAutoHyphens/>
              <w:rPr>
                <w:del w:id="10996" w:author="AbbVie02no" w:date="2025-05-15T13:45:00Z"/>
                <w:b/>
                <w:bCs/>
                <w:sz w:val="22"/>
                <w:vertAlign w:val="superscript"/>
              </w:rPr>
              <w:pPrChange w:id="10997" w:author="AbbVie02no" w:date="2025-05-15T13:45:00Z">
                <w:pPr>
                  <w:jc w:val="center"/>
                </w:pPr>
              </w:pPrChange>
            </w:pPr>
            <w:del w:id="10998" w:author="AbbVie02no" w:date="2025-05-15T13:45:00Z">
              <w:r w:rsidRPr="00E04B2A">
                <w:rPr>
                  <w:b/>
                  <w:sz w:val="22"/>
                </w:rPr>
                <w:delText>Humira</w:delText>
              </w:r>
              <w:r w:rsidRPr="00E04B2A">
                <w:rPr>
                  <w:b/>
                  <w:sz w:val="22"/>
                  <w:vertAlign w:val="superscript"/>
                </w:rPr>
                <w:delText>d</w:delText>
              </w:r>
            </w:del>
          </w:p>
          <w:p w14:paraId="711D7A1A" w14:textId="46CCD132" w:rsidR="000F27EB" w:rsidRPr="00E04B2A" w:rsidRDefault="00E453CD">
            <w:pPr>
              <w:keepNext/>
              <w:suppressAutoHyphens/>
              <w:rPr>
                <w:del w:id="10999" w:author="AbbVie02no" w:date="2025-05-15T13:45:00Z"/>
                <w:b/>
                <w:bCs/>
                <w:sz w:val="22"/>
              </w:rPr>
              <w:pPrChange w:id="11000" w:author="AbbVie02no" w:date="2025-05-15T13:45:00Z">
                <w:pPr>
                  <w:jc w:val="center"/>
                </w:pPr>
              </w:pPrChange>
            </w:pPr>
            <w:del w:id="11001" w:author="AbbVie02no" w:date="2025-05-15T13:45:00Z">
              <w:r w:rsidRPr="00E04B2A">
                <w:rPr>
                  <w:b/>
                  <w:sz w:val="22"/>
                </w:rPr>
                <w:delText>Maksimalt 40</w:delText>
              </w:r>
              <w:r>
                <w:rPr>
                  <w:b/>
                  <w:sz w:val="22"/>
                </w:rPr>
                <w:delText> </w:delText>
              </w:r>
              <w:r w:rsidRPr="00E04B2A">
                <w:rPr>
                  <w:b/>
                  <w:sz w:val="22"/>
                </w:rPr>
                <w:delText xml:space="preserve">mg </w:delText>
              </w:r>
              <w:r>
                <w:rPr>
                  <w:b/>
                  <w:sz w:val="22"/>
                </w:rPr>
                <w:delText>annenhver uke</w:delText>
              </w:r>
            </w:del>
          </w:p>
          <w:p w14:paraId="12E22059" w14:textId="30A9DF8A" w:rsidR="000F27EB" w:rsidRPr="00E04B2A" w:rsidRDefault="00E453CD">
            <w:pPr>
              <w:keepNext/>
              <w:suppressAutoHyphens/>
              <w:rPr>
                <w:del w:id="11002" w:author="AbbVie02no" w:date="2025-05-15T13:45:00Z"/>
                <w:sz w:val="22"/>
              </w:rPr>
              <w:pPrChange w:id="11003" w:author="AbbVie02no" w:date="2025-05-15T13:45:00Z">
                <w:pPr>
                  <w:jc w:val="center"/>
                </w:pPr>
              </w:pPrChange>
            </w:pPr>
            <w:del w:id="11004" w:author="AbbVie02no" w:date="2025-05-15T13:45:00Z">
              <w:r w:rsidRPr="00E04B2A">
                <w:rPr>
                  <w:sz w:val="22"/>
                </w:rPr>
                <w:delText>N = 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7FFB533" w14:textId="05BFA976" w:rsidR="000F27EB" w:rsidRPr="00E04B2A" w:rsidRDefault="00E453CD">
            <w:pPr>
              <w:keepNext/>
              <w:suppressAutoHyphens/>
              <w:rPr>
                <w:del w:id="11005" w:author="AbbVie02no" w:date="2025-05-15T13:45:00Z"/>
                <w:b/>
                <w:bCs/>
                <w:sz w:val="22"/>
                <w:vertAlign w:val="superscript"/>
              </w:rPr>
              <w:pPrChange w:id="11006" w:author="AbbVie02no" w:date="2025-05-15T13:45:00Z">
                <w:pPr>
                  <w:jc w:val="center"/>
                </w:pPr>
              </w:pPrChange>
            </w:pPr>
            <w:del w:id="11007" w:author="AbbVie02no" w:date="2025-05-15T13:45:00Z">
              <w:r w:rsidRPr="00E04B2A">
                <w:rPr>
                  <w:b/>
                  <w:sz w:val="22"/>
                </w:rPr>
                <w:delText>Humira</w:delText>
              </w:r>
              <w:r w:rsidRPr="00E04B2A">
                <w:rPr>
                  <w:b/>
                  <w:sz w:val="22"/>
                  <w:vertAlign w:val="superscript"/>
                </w:rPr>
                <w:delText>e</w:delText>
              </w:r>
            </w:del>
          </w:p>
          <w:p w14:paraId="77D72836" w14:textId="418600A0" w:rsidR="000F27EB" w:rsidRDefault="00E453CD">
            <w:pPr>
              <w:keepNext/>
              <w:suppressAutoHyphens/>
              <w:rPr>
                <w:del w:id="11008" w:author="AbbVie02no" w:date="2025-05-15T13:45:00Z"/>
                <w:b/>
                <w:sz w:val="22"/>
              </w:rPr>
              <w:pPrChange w:id="11009" w:author="AbbVie02no" w:date="2025-05-15T13:45:00Z">
                <w:pPr>
                  <w:jc w:val="center"/>
                </w:pPr>
              </w:pPrChange>
            </w:pPr>
            <w:del w:id="11010" w:author="AbbVie02no" w:date="2025-05-15T13:45:00Z">
              <w:r w:rsidRPr="00E04B2A">
                <w:rPr>
                  <w:b/>
                  <w:sz w:val="22"/>
                </w:rPr>
                <w:delText>Maksimalt 40</w:delText>
              </w:r>
              <w:r>
                <w:rPr>
                  <w:b/>
                  <w:sz w:val="22"/>
                </w:rPr>
                <w:delText> </w:delText>
              </w:r>
              <w:r w:rsidRPr="00E04B2A">
                <w:rPr>
                  <w:b/>
                  <w:sz w:val="22"/>
                </w:rPr>
                <w:delText>mg</w:delText>
              </w:r>
              <w:r>
                <w:rPr>
                  <w:b/>
                  <w:sz w:val="22"/>
                </w:rPr>
                <w:delText xml:space="preserve"> </w:delText>
              </w:r>
            </w:del>
          </w:p>
          <w:p w14:paraId="142E92C9" w14:textId="4E6B244A" w:rsidR="000F27EB" w:rsidRPr="00E04B2A" w:rsidRDefault="00E453CD">
            <w:pPr>
              <w:keepNext/>
              <w:suppressAutoHyphens/>
              <w:rPr>
                <w:del w:id="11011" w:author="AbbVie02no" w:date="2025-05-15T13:45:00Z"/>
                <w:b/>
                <w:bCs/>
                <w:sz w:val="22"/>
              </w:rPr>
              <w:pPrChange w:id="11012" w:author="AbbVie02no" w:date="2025-05-15T13:45:00Z">
                <w:pPr>
                  <w:jc w:val="center"/>
                </w:pPr>
              </w:pPrChange>
            </w:pPr>
            <w:del w:id="11013" w:author="AbbVie02no" w:date="2025-05-15T13:45:00Z">
              <w:r>
                <w:rPr>
                  <w:b/>
                  <w:sz w:val="22"/>
                </w:rPr>
                <w:delText>hver uke</w:delText>
              </w:r>
            </w:del>
          </w:p>
          <w:p w14:paraId="59C1E38A" w14:textId="0B4A3B0F" w:rsidR="000F27EB" w:rsidRPr="00E04B2A" w:rsidRDefault="00E453CD">
            <w:pPr>
              <w:keepNext/>
              <w:suppressAutoHyphens/>
              <w:rPr>
                <w:del w:id="11014" w:author="AbbVie02no" w:date="2025-05-15T13:45:00Z"/>
                <w:sz w:val="22"/>
              </w:rPr>
              <w:pPrChange w:id="11015" w:author="AbbVie02no" w:date="2025-05-15T13:45:00Z">
                <w:pPr>
                  <w:jc w:val="center"/>
                </w:pPr>
              </w:pPrChange>
            </w:pPr>
            <w:del w:id="11016" w:author="AbbVie02no" w:date="2025-05-15T13:45:00Z">
              <w:r w:rsidRPr="00E04B2A">
                <w:rPr>
                  <w:sz w:val="22"/>
                </w:rPr>
                <w:delText>N = 31</w:delText>
              </w:r>
            </w:del>
          </w:p>
        </w:tc>
      </w:tr>
      <w:tr w:rsidR="004644D4" w14:paraId="74E755D2" w14:textId="5009657D" w:rsidTr="00BA47BC">
        <w:trPr>
          <w:trHeight w:val="238"/>
          <w:jc w:val="center"/>
          <w:del w:id="11017" w:author="AbbVie02no" w:date="2025-05-15T13:45:00Z"/>
        </w:trPr>
        <w:tc>
          <w:tcPr>
            <w:tcW w:w="36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A70514F" w14:textId="064A0BD7" w:rsidR="000F27EB" w:rsidRPr="00E04B2A" w:rsidRDefault="00E453CD">
            <w:pPr>
              <w:keepNext/>
              <w:suppressAutoHyphens/>
              <w:rPr>
                <w:del w:id="11018" w:author="AbbVie02no" w:date="2025-05-15T13:45:00Z"/>
                <w:sz w:val="22"/>
              </w:rPr>
              <w:pPrChange w:id="11019" w:author="AbbVie02no" w:date="2025-05-15T13:45:00Z">
                <w:pPr/>
              </w:pPrChange>
            </w:pPr>
            <w:del w:id="11020" w:author="AbbVie02no" w:date="2025-05-15T13:45:00Z">
              <w:r w:rsidRPr="00E04B2A">
                <w:rPr>
                  <w:sz w:val="22"/>
                </w:rPr>
                <w:delText>Klinisk remisjon iht. PUCAI hos uke 8 PMS-respondere</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1EC3536" w14:textId="0DD03B14" w:rsidR="000F27EB" w:rsidRPr="00E04B2A" w:rsidRDefault="00E453CD">
            <w:pPr>
              <w:keepNext/>
              <w:suppressAutoHyphens/>
              <w:rPr>
                <w:del w:id="11021" w:author="AbbVie02no" w:date="2025-05-15T13:45:00Z"/>
                <w:sz w:val="22"/>
              </w:rPr>
              <w:pPrChange w:id="11022" w:author="AbbVie02no" w:date="2025-05-15T13:45:00Z">
                <w:pPr>
                  <w:jc w:val="center"/>
                </w:pPr>
              </w:pPrChange>
            </w:pPr>
            <w:del w:id="11023" w:author="AbbVie02no" w:date="2025-05-15T13:45:00Z">
              <w:r w:rsidRPr="00E04B2A">
                <w:rPr>
                  <w:sz w:val="22"/>
                </w:rPr>
                <w:delText>14/31 (45,2</w:delText>
              </w:r>
              <w:r>
                <w:rPr>
                  <w:sz w:val="22"/>
                </w:rPr>
                <w:delText> </w:delText>
              </w:r>
              <w:r w:rsidRPr="00E04B2A">
                <w:rPr>
                  <w:sz w:val="22"/>
                </w:rPr>
                <w:delText>%)</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DC25FF1" w14:textId="41D2D385" w:rsidR="000F27EB" w:rsidRPr="00E04B2A" w:rsidRDefault="00E453CD">
            <w:pPr>
              <w:keepNext/>
              <w:suppressAutoHyphens/>
              <w:rPr>
                <w:del w:id="11024" w:author="AbbVie02no" w:date="2025-05-15T13:45:00Z"/>
                <w:sz w:val="22"/>
              </w:rPr>
              <w:pPrChange w:id="11025" w:author="AbbVie02no" w:date="2025-05-15T13:45:00Z">
                <w:pPr>
                  <w:jc w:val="center"/>
                </w:pPr>
              </w:pPrChange>
            </w:pPr>
            <w:del w:id="11026" w:author="AbbVie02no" w:date="2025-05-15T13:45:00Z">
              <w:r w:rsidRPr="00E04B2A">
                <w:rPr>
                  <w:sz w:val="22"/>
                </w:rPr>
                <w:delText>18/31 (58,1</w:delText>
              </w:r>
              <w:r>
                <w:rPr>
                  <w:sz w:val="22"/>
                </w:rPr>
                <w:delText> </w:delText>
              </w:r>
              <w:r w:rsidRPr="00E04B2A">
                <w:rPr>
                  <w:sz w:val="22"/>
                </w:rPr>
                <w:delText>%)</w:delText>
              </w:r>
            </w:del>
          </w:p>
        </w:tc>
      </w:tr>
      <w:tr w:rsidR="004644D4" w14:paraId="4BFFBE0D" w14:textId="4F8D6851" w:rsidTr="00BA47BC">
        <w:trPr>
          <w:trHeight w:val="238"/>
          <w:jc w:val="center"/>
          <w:del w:id="11027" w:author="AbbVie02no" w:date="2025-05-15T13:45:00Z"/>
        </w:trPr>
        <w:tc>
          <w:tcPr>
            <w:tcW w:w="36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9D45F1C" w14:textId="25B49FC1" w:rsidR="000F27EB" w:rsidRPr="00E04B2A" w:rsidRDefault="00E453CD">
            <w:pPr>
              <w:keepNext/>
              <w:suppressAutoHyphens/>
              <w:rPr>
                <w:del w:id="11028" w:author="AbbVie02no" w:date="2025-05-15T13:45:00Z"/>
                <w:sz w:val="22"/>
              </w:rPr>
              <w:pPrChange w:id="11029" w:author="AbbVie02no" w:date="2025-05-15T13:45:00Z">
                <w:pPr/>
              </w:pPrChange>
            </w:pPr>
            <w:del w:id="11030" w:author="AbbVie02no" w:date="2025-05-15T13:45:00Z">
              <w:r w:rsidRPr="00E04B2A">
                <w:rPr>
                  <w:sz w:val="22"/>
                </w:rPr>
                <w:delText xml:space="preserve">Klinisk </w:delText>
              </w:r>
              <w:r>
                <w:rPr>
                  <w:sz w:val="22"/>
                </w:rPr>
                <w:delText>respons</w:delText>
              </w:r>
              <w:r w:rsidRPr="00E04B2A">
                <w:rPr>
                  <w:sz w:val="22"/>
                </w:rPr>
                <w:delText xml:space="preserve"> iht. PUCAI hos uke 8 PMS-respondere</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3519EE6" w14:textId="6FDBA0A8" w:rsidR="000F27EB" w:rsidRPr="00E04B2A" w:rsidRDefault="00E453CD">
            <w:pPr>
              <w:keepNext/>
              <w:suppressAutoHyphens/>
              <w:rPr>
                <w:del w:id="11031" w:author="AbbVie02no" w:date="2025-05-15T13:45:00Z"/>
                <w:sz w:val="22"/>
              </w:rPr>
              <w:pPrChange w:id="11032" w:author="AbbVie02no" w:date="2025-05-15T13:45:00Z">
                <w:pPr>
                  <w:jc w:val="center"/>
                </w:pPr>
              </w:pPrChange>
            </w:pPr>
            <w:del w:id="11033" w:author="AbbVie02no" w:date="2025-05-15T13:45:00Z">
              <w:r w:rsidRPr="00E04B2A">
                <w:rPr>
                  <w:sz w:val="22"/>
                </w:rPr>
                <w:delText>18/31 (58,1</w:delText>
              </w:r>
              <w:r>
                <w:rPr>
                  <w:sz w:val="22"/>
                </w:rPr>
                <w:delText> </w:delText>
              </w:r>
              <w:r w:rsidRPr="00E04B2A">
                <w:rPr>
                  <w:sz w:val="22"/>
                </w:rPr>
                <w:delText>%)</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D499C58" w14:textId="3ABF14CA" w:rsidR="000F27EB" w:rsidRPr="00E04B2A" w:rsidRDefault="00E453CD">
            <w:pPr>
              <w:keepNext/>
              <w:suppressAutoHyphens/>
              <w:rPr>
                <w:del w:id="11034" w:author="AbbVie02no" w:date="2025-05-15T13:45:00Z"/>
                <w:sz w:val="22"/>
              </w:rPr>
              <w:pPrChange w:id="11035" w:author="AbbVie02no" w:date="2025-05-15T13:45:00Z">
                <w:pPr>
                  <w:jc w:val="center"/>
                </w:pPr>
              </w:pPrChange>
            </w:pPr>
            <w:del w:id="11036" w:author="AbbVie02no" w:date="2025-05-15T13:45:00Z">
              <w:r w:rsidRPr="00E04B2A">
                <w:rPr>
                  <w:sz w:val="22"/>
                </w:rPr>
                <w:delText>16/31 (51,6</w:delText>
              </w:r>
              <w:r>
                <w:rPr>
                  <w:sz w:val="22"/>
                </w:rPr>
                <w:delText> </w:delText>
              </w:r>
              <w:r w:rsidRPr="00E04B2A">
                <w:rPr>
                  <w:sz w:val="22"/>
                </w:rPr>
                <w:delText>%)</w:delText>
              </w:r>
            </w:del>
          </w:p>
        </w:tc>
      </w:tr>
      <w:tr w:rsidR="004644D4" w14:paraId="4883DF0C" w14:textId="39BD2594" w:rsidTr="00BA47BC">
        <w:trPr>
          <w:trHeight w:val="533"/>
          <w:jc w:val="center"/>
          <w:del w:id="11037" w:author="AbbVie02no" w:date="2025-05-15T13:45:00Z"/>
        </w:trPr>
        <w:tc>
          <w:tcPr>
            <w:tcW w:w="89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D2AC9A6" w14:textId="2E7B53E7" w:rsidR="000F27EB" w:rsidRPr="00975795" w:rsidRDefault="00E453CD">
            <w:pPr>
              <w:keepNext/>
              <w:suppressAutoHyphens/>
              <w:rPr>
                <w:del w:id="11038" w:author="AbbVie02no" w:date="2025-05-15T13:45:00Z"/>
                <w:rStyle w:val="eop"/>
                <w:sz w:val="22"/>
                <w:szCs w:val="22"/>
              </w:rPr>
              <w:pPrChange w:id="11039" w:author="AbbVie02no" w:date="2025-05-15T13:45:00Z">
                <w:pPr/>
              </w:pPrChange>
            </w:pPr>
            <w:del w:id="11040" w:author="AbbVie02no" w:date="2025-05-15T13:45:00Z">
              <w:r w:rsidRPr="00047F3C">
                <w:rPr>
                  <w:sz w:val="22"/>
                  <w:szCs w:val="22"/>
                  <w:vertAlign w:val="superscript"/>
                </w:rPr>
                <w:delText>a</w:delText>
              </w:r>
              <w:r w:rsidRPr="00047F3C">
                <w:rPr>
                  <w:rStyle w:val="normaltextrun"/>
                  <w:sz w:val="22"/>
                  <w:szCs w:val="22"/>
                </w:rPr>
                <w:delText>Humira 2,4</w:delText>
              </w:r>
              <w:r w:rsidRPr="00387C74">
                <w:rPr>
                  <w:rStyle w:val="normaltextrun"/>
                  <w:sz w:val="22"/>
                  <w:szCs w:val="22"/>
                </w:rPr>
                <w:delText> </w:delText>
              </w:r>
              <w:r w:rsidRPr="00975795">
                <w:rPr>
                  <w:rStyle w:val="normaltextrun"/>
                  <w:sz w:val="22"/>
                  <w:szCs w:val="22"/>
                </w:rPr>
                <w:delText>mg/kg (maksimalt 160</w:delText>
              </w:r>
              <w:r>
                <w:rPr>
                  <w:rStyle w:val="normaltextrun"/>
                  <w:sz w:val="22"/>
                  <w:szCs w:val="22"/>
                </w:rPr>
                <w:delText> </w:delText>
              </w:r>
              <w:r w:rsidRPr="00975795">
                <w:rPr>
                  <w:rStyle w:val="normaltextrun"/>
                  <w:sz w:val="22"/>
                  <w:szCs w:val="22"/>
                </w:rPr>
                <w:delText>mg) i uke 0, placebo i uke 1 og 1,2 mg/kg (maksimalt 80</w:delText>
              </w:r>
              <w:r>
                <w:rPr>
                  <w:rStyle w:val="normaltextrun"/>
                  <w:sz w:val="22"/>
                  <w:szCs w:val="22"/>
                </w:rPr>
                <w:delText> </w:delText>
              </w:r>
              <w:r w:rsidRPr="00975795">
                <w:rPr>
                  <w:rStyle w:val="normaltextrun"/>
                  <w:sz w:val="22"/>
                  <w:szCs w:val="22"/>
                </w:rPr>
                <w:delText>mg) i uke 2</w:delText>
              </w:r>
              <w:r w:rsidRPr="00975795">
                <w:rPr>
                  <w:sz w:val="22"/>
                  <w:szCs w:val="22"/>
                </w:rPr>
                <w:delText> </w:delText>
              </w:r>
              <w:r w:rsidRPr="00975795">
                <w:rPr>
                  <w:rStyle w:val="eop"/>
                  <w:sz w:val="22"/>
                  <w:szCs w:val="22"/>
                </w:rPr>
                <w:delText> </w:delText>
              </w:r>
            </w:del>
          </w:p>
          <w:p w14:paraId="5D869F5F" w14:textId="2C32115D" w:rsidR="000F27EB" w:rsidRPr="00047F3C" w:rsidRDefault="00E453CD">
            <w:pPr>
              <w:keepNext/>
              <w:suppressAutoHyphens/>
              <w:rPr>
                <w:del w:id="11041" w:author="AbbVie02no" w:date="2025-05-15T13:45:00Z"/>
                <w:rStyle w:val="eop"/>
                <w:sz w:val="22"/>
                <w:szCs w:val="22"/>
              </w:rPr>
              <w:pPrChange w:id="11042" w:author="AbbVie02no" w:date="2025-05-15T13:45:00Z">
                <w:pPr>
                  <w:pStyle w:val="paragraph0"/>
                  <w:spacing w:before="0" w:beforeAutospacing="0" w:after="0" w:afterAutospacing="0"/>
                  <w:textAlignment w:val="baseline"/>
                </w:pPr>
              </w:pPrChange>
            </w:pPr>
            <w:del w:id="11043" w:author="AbbVie02no" w:date="2025-05-15T13:45:00Z">
              <w:r w:rsidRPr="00975795">
                <w:rPr>
                  <w:sz w:val="22"/>
                  <w:szCs w:val="22"/>
                  <w:vertAlign w:val="superscript"/>
                </w:rPr>
                <w:delText xml:space="preserve">b </w:delText>
              </w:r>
              <w:r w:rsidRPr="00975795">
                <w:rPr>
                  <w:rStyle w:val="normaltextrun"/>
                  <w:sz w:val="22"/>
                  <w:szCs w:val="22"/>
                  <w:vertAlign w:val="superscript"/>
                </w:rPr>
                <w:delText> </w:delText>
              </w:r>
              <w:r w:rsidRPr="00975795">
                <w:rPr>
                  <w:rStyle w:val="normaltextrun"/>
                  <w:sz w:val="22"/>
                  <w:szCs w:val="22"/>
                </w:rPr>
                <w:delText>Humira 2,4 mg/kg (maksimalt 160</w:delText>
              </w:r>
              <w:r>
                <w:rPr>
                  <w:rStyle w:val="normaltextrun"/>
                  <w:sz w:val="22"/>
                  <w:szCs w:val="22"/>
                </w:rPr>
                <w:delText> </w:delText>
              </w:r>
              <w:r w:rsidRPr="00975795">
                <w:rPr>
                  <w:rStyle w:val="normaltextrun"/>
                  <w:sz w:val="22"/>
                  <w:szCs w:val="22"/>
                </w:rPr>
                <w:delText>mg) i uke 0 og uke 1 og 1,2</w:delText>
              </w:r>
              <w:r>
                <w:rPr>
                  <w:rStyle w:val="normaltextrun"/>
                  <w:sz w:val="22"/>
                  <w:szCs w:val="22"/>
                </w:rPr>
                <w:delText> </w:delText>
              </w:r>
              <w:r w:rsidRPr="00975795">
                <w:rPr>
                  <w:rStyle w:val="normaltextrun"/>
                  <w:sz w:val="22"/>
                  <w:szCs w:val="22"/>
                </w:rPr>
                <w:delText>mg/kg (maksimalt 80</w:delText>
              </w:r>
              <w:r>
                <w:rPr>
                  <w:rStyle w:val="normaltextrun"/>
                  <w:sz w:val="22"/>
                  <w:szCs w:val="22"/>
                </w:rPr>
                <w:delText> </w:delText>
              </w:r>
              <w:r w:rsidRPr="00975795">
                <w:rPr>
                  <w:rStyle w:val="normaltextrun"/>
                  <w:sz w:val="22"/>
                  <w:szCs w:val="22"/>
                </w:rPr>
                <w:delText>mg) i uke 2</w:delText>
              </w:r>
              <w:r w:rsidRPr="00975795">
                <w:rPr>
                  <w:rStyle w:val="eop"/>
                  <w:sz w:val="22"/>
                  <w:szCs w:val="22"/>
                </w:rPr>
                <w:delText> </w:delText>
              </w:r>
            </w:del>
          </w:p>
          <w:p w14:paraId="109CF6F3" w14:textId="3865E892" w:rsidR="000F27EB" w:rsidRPr="00047F3C" w:rsidRDefault="00E453CD">
            <w:pPr>
              <w:keepNext/>
              <w:suppressAutoHyphens/>
              <w:rPr>
                <w:del w:id="11044" w:author="AbbVie02no" w:date="2025-05-15T13:45:00Z"/>
                <w:rStyle w:val="normaltextrun"/>
                <w:sz w:val="22"/>
                <w:szCs w:val="22"/>
              </w:rPr>
              <w:pPrChange w:id="11045" w:author="AbbVie02no" w:date="2025-05-15T13:45:00Z">
                <w:pPr>
                  <w:pStyle w:val="paragraph0"/>
                  <w:spacing w:before="0" w:beforeAutospacing="0" w:after="0" w:afterAutospacing="0"/>
                  <w:textAlignment w:val="baseline"/>
                </w:pPr>
              </w:pPrChange>
            </w:pPr>
            <w:del w:id="11046" w:author="AbbVie02no" w:date="2025-05-15T13:45:00Z">
              <w:r w:rsidRPr="005A0BB3">
                <w:rPr>
                  <w:rStyle w:val="normaltextrun"/>
                  <w:sz w:val="22"/>
                  <w:szCs w:val="22"/>
                  <w:vertAlign w:val="superscript"/>
                </w:rPr>
                <w:delText>c</w:delText>
              </w:r>
              <w:r w:rsidRPr="005A0BB3">
                <w:rPr>
                  <w:rStyle w:val="normaltextrun"/>
                  <w:sz w:val="22"/>
                  <w:szCs w:val="22"/>
                </w:rPr>
                <w:delText xml:space="preserve">Inkluderer ikke åpen induksjonsdose </w:delText>
              </w:r>
              <w:r w:rsidRPr="00975795">
                <w:rPr>
                  <w:rStyle w:val="normaltextrun"/>
                  <w:sz w:val="22"/>
                  <w:szCs w:val="22"/>
                </w:rPr>
                <w:delText>med</w:delText>
              </w:r>
              <w:r w:rsidRPr="00047F3C">
                <w:rPr>
                  <w:rStyle w:val="normaltextrun"/>
                  <w:sz w:val="22"/>
                  <w:szCs w:val="22"/>
                </w:rPr>
                <w:delText xml:space="preserve"> Humira 2,4 </w:delText>
              </w:r>
              <w:r w:rsidRPr="00975795">
                <w:rPr>
                  <w:rStyle w:val="normaltextrun"/>
                  <w:sz w:val="22"/>
                  <w:szCs w:val="22"/>
                </w:rPr>
                <w:delText>mg/kg (maksimalt 160</w:delText>
              </w:r>
              <w:r>
                <w:rPr>
                  <w:rStyle w:val="normaltextrun"/>
                  <w:sz w:val="22"/>
                  <w:szCs w:val="22"/>
                </w:rPr>
                <w:delText> </w:delText>
              </w:r>
              <w:r w:rsidRPr="00975795">
                <w:rPr>
                  <w:rStyle w:val="normaltextrun"/>
                  <w:sz w:val="22"/>
                  <w:szCs w:val="22"/>
                </w:rPr>
                <w:delText>mg) i uke 0 og uke 1 og 1,2 mg/kg (maksimalt 80</w:delText>
              </w:r>
              <w:r>
                <w:rPr>
                  <w:rStyle w:val="normaltextrun"/>
                  <w:sz w:val="22"/>
                  <w:szCs w:val="22"/>
                </w:rPr>
                <w:delText> </w:delText>
              </w:r>
              <w:r w:rsidRPr="00975795">
                <w:rPr>
                  <w:rStyle w:val="normaltextrun"/>
                  <w:sz w:val="22"/>
                  <w:szCs w:val="22"/>
                </w:rPr>
                <w:delText>mg) i uke 2</w:delText>
              </w:r>
            </w:del>
          </w:p>
          <w:p w14:paraId="70BA9048" w14:textId="44049556" w:rsidR="000F27EB" w:rsidRPr="00047F3C" w:rsidRDefault="00E453CD">
            <w:pPr>
              <w:keepNext/>
              <w:suppressAutoHyphens/>
              <w:rPr>
                <w:del w:id="11047" w:author="AbbVie02no" w:date="2025-05-15T13:45:00Z"/>
                <w:sz w:val="22"/>
                <w:szCs w:val="22"/>
              </w:rPr>
              <w:pPrChange w:id="11048" w:author="AbbVie02no" w:date="2025-05-15T13:45:00Z">
                <w:pPr>
                  <w:pStyle w:val="paragraph0"/>
                  <w:spacing w:before="0" w:beforeAutospacing="0" w:after="0" w:afterAutospacing="0"/>
                  <w:textAlignment w:val="baseline"/>
                </w:pPr>
              </w:pPrChange>
            </w:pPr>
            <w:del w:id="11049" w:author="AbbVie02no" w:date="2025-05-15T13:45:00Z">
              <w:r w:rsidRPr="005A0BB3">
                <w:rPr>
                  <w:rStyle w:val="normaltextrun"/>
                  <w:sz w:val="22"/>
                  <w:szCs w:val="22"/>
                  <w:vertAlign w:val="superscript"/>
                </w:rPr>
                <w:delText>d</w:delText>
              </w:r>
              <w:r w:rsidRPr="00975795">
                <w:rPr>
                  <w:sz w:val="22"/>
                  <w:szCs w:val="22"/>
                </w:rPr>
                <w:delText>Humira 0,6 mg/kg (maksimalt 40</w:delText>
              </w:r>
              <w:r>
                <w:rPr>
                  <w:sz w:val="22"/>
                  <w:szCs w:val="22"/>
                </w:rPr>
                <w:delText> </w:delText>
              </w:r>
              <w:r w:rsidRPr="00975795">
                <w:rPr>
                  <w:sz w:val="22"/>
                  <w:szCs w:val="22"/>
                </w:rPr>
                <w:delText>mg) annenhver uke</w:delText>
              </w:r>
            </w:del>
          </w:p>
          <w:p w14:paraId="403E095A" w14:textId="44BC3A2B" w:rsidR="000F27EB" w:rsidRPr="00975795" w:rsidRDefault="00E453CD">
            <w:pPr>
              <w:keepNext/>
              <w:suppressAutoHyphens/>
              <w:rPr>
                <w:del w:id="11050" w:author="AbbVie02no" w:date="2025-05-15T13:45:00Z"/>
                <w:sz w:val="22"/>
                <w:szCs w:val="22"/>
              </w:rPr>
              <w:pPrChange w:id="11051" w:author="AbbVie02no" w:date="2025-05-15T13:45:00Z">
                <w:pPr/>
              </w:pPrChange>
            </w:pPr>
            <w:del w:id="11052" w:author="AbbVie02no" w:date="2025-05-15T13:45:00Z">
              <w:r w:rsidRPr="005A0BB3">
                <w:rPr>
                  <w:sz w:val="22"/>
                  <w:szCs w:val="22"/>
                  <w:vertAlign w:val="superscript"/>
                </w:rPr>
                <w:delText>e</w:delText>
              </w:r>
              <w:r w:rsidRPr="00975795">
                <w:rPr>
                  <w:sz w:val="22"/>
                  <w:szCs w:val="22"/>
                </w:rPr>
                <w:delText>Humira 0,6 mg/kg (maksimalt 40</w:delText>
              </w:r>
              <w:r>
                <w:rPr>
                  <w:sz w:val="22"/>
                  <w:szCs w:val="22"/>
                </w:rPr>
                <w:delText> </w:delText>
              </w:r>
              <w:r w:rsidRPr="00975795">
                <w:rPr>
                  <w:sz w:val="22"/>
                  <w:szCs w:val="22"/>
                </w:rPr>
                <w:delText>mg) hver uke</w:delText>
              </w:r>
            </w:del>
          </w:p>
          <w:p w14:paraId="26F98A74" w14:textId="6CB7DB87" w:rsidR="000F27EB" w:rsidRPr="00047F3C" w:rsidRDefault="00E453CD">
            <w:pPr>
              <w:keepNext/>
              <w:suppressAutoHyphens/>
              <w:rPr>
                <w:del w:id="11053" w:author="AbbVie02no" w:date="2025-05-15T13:45:00Z"/>
                <w:sz w:val="22"/>
                <w:szCs w:val="22"/>
              </w:rPr>
              <w:pPrChange w:id="11054" w:author="AbbVie02no" w:date="2025-05-15T13:45:00Z">
                <w:pPr>
                  <w:pStyle w:val="paragraph0"/>
                  <w:spacing w:before="0" w:beforeAutospacing="0" w:after="0" w:afterAutospacing="0"/>
                  <w:textAlignment w:val="baseline"/>
                </w:pPr>
              </w:pPrChange>
            </w:pPr>
            <w:del w:id="11055" w:author="AbbVie02no" w:date="2025-05-15T13:45:00Z">
              <w:r w:rsidRPr="00975795">
                <w:rPr>
                  <w:rStyle w:val="normaltextrun"/>
                  <w:sz w:val="22"/>
                  <w:szCs w:val="22"/>
                </w:rPr>
                <w:delText>Merknad 1: Begge induksjonsgrupper fikk 0,6 mg/kg (maksimalt 40</w:delText>
              </w:r>
              <w:r>
                <w:rPr>
                  <w:rStyle w:val="normaltextrun"/>
                  <w:sz w:val="22"/>
                  <w:szCs w:val="22"/>
                </w:rPr>
                <w:delText> </w:delText>
              </w:r>
              <w:r w:rsidRPr="00975795">
                <w:rPr>
                  <w:rStyle w:val="normaltextrun"/>
                  <w:sz w:val="22"/>
                  <w:szCs w:val="22"/>
                </w:rPr>
                <w:delText>mg) i uke 4 og uke 6</w:delText>
              </w:r>
              <w:r w:rsidRPr="00975795">
                <w:rPr>
                  <w:rStyle w:val="eop"/>
                  <w:sz w:val="22"/>
                  <w:szCs w:val="22"/>
                </w:rPr>
                <w:delText> </w:delText>
              </w:r>
            </w:del>
          </w:p>
          <w:p w14:paraId="4E4145ED" w14:textId="79CDF68D" w:rsidR="000F27EB" w:rsidRPr="00047F3C" w:rsidRDefault="00E453CD">
            <w:pPr>
              <w:keepNext/>
              <w:suppressAutoHyphens/>
              <w:rPr>
                <w:del w:id="11056" w:author="AbbVie02no" w:date="2025-05-15T13:45:00Z"/>
                <w:rStyle w:val="eop"/>
                <w:sz w:val="22"/>
                <w:szCs w:val="22"/>
              </w:rPr>
              <w:pPrChange w:id="11057" w:author="AbbVie02no" w:date="2025-05-15T13:45:00Z">
                <w:pPr>
                  <w:pStyle w:val="paragraph0"/>
                  <w:spacing w:before="0" w:beforeAutospacing="0" w:after="0" w:afterAutospacing="0"/>
                  <w:textAlignment w:val="baseline"/>
                </w:pPr>
              </w:pPrChange>
            </w:pPr>
            <w:del w:id="11058" w:author="AbbVie02no" w:date="2025-05-15T13:45:00Z">
              <w:r w:rsidRPr="005A0BB3">
                <w:rPr>
                  <w:rStyle w:val="normaltextrun"/>
                  <w:sz w:val="22"/>
                  <w:szCs w:val="22"/>
                </w:rPr>
                <w:delText xml:space="preserve">Merknad 2: Pasienter med manglende verdier </w:delText>
              </w:r>
              <w:r w:rsidRPr="00975795">
                <w:rPr>
                  <w:rStyle w:val="normaltextrun"/>
                  <w:sz w:val="22"/>
                  <w:szCs w:val="22"/>
                </w:rPr>
                <w:delText>ved</w:delText>
              </w:r>
              <w:r w:rsidRPr="00047F3C">
                <w:rPr>
                  <w:rStyle w:val="normaltextrun"/>
                  <w:sz w:val="22"/>
                  <w:szCs w:val="22"/>
                </w:rPr>
                <w:delText xml:space="preserve"> uke 8 ble ansett som ikke å ha o</w:delText>
              </w:r>
              <w:r w:rsidRPr="00975795">
                <w:rPr>
                  <w:rStyle w:val="normaltextrun"/>
                  <w:sz w:val="22"/>
                  <w:szCs w:val="22"/>
                </w:rPr>
                <w:delText>pp</w:delText>
              </w:r>
              <w:r w:rsidRPr="00047F3C">
                <w:rPr>
                  <w:rStyle w:val="normaltextrun"/>
                  <w:sz w:val="22"/>
                  <w:szCs w:val="22"/>
                </w:rPr>
                <w:delText>nådd endepunktene</w:delText>
              </w:r>
            </w:del>
          </w:p>
          <w:p w14:paraId="3924815F" w14:textId="3B620095" w:rsidR="000F27EB" w:rsidRPr="00480BF1" w:rsidRDefault="00E453CD">
            <w:pPr>
              <w:keepNext/>
              <w:suppressAutoHyphens/>
              <w:rPr>
                <w:del w:id="11059" w:author="AbbVie02no" w:date="2025-05-15T13:45:00Z"/>
                <w:sz w:val="22"/>
                <w:szCs w:val="22"/>
              </w:rPr>
              <w:pPrChange w:id="11060" w:author="AbbVie02no" w:date="2025-05-15T13:45:00Z">
                <w:pPr>
                  <w:pStyle w:val="paragraph0"/>
                  <w:spacing w:before="0" w:beforeAutospacing="0" w:after="0" w:afterAutospacing="0"/>
                  <w:textAlignment w:val="baseline"/>
                </w:pPr>
              </w:pPrChange>
            </w:pPr>
            <w:del w:id="11061" w:author="AbbVie02no" w:date="2025-05-15T13:45:00Z">
              <w:r w:rsidRPr="005A0BB3">
                <w:rPr>
                  <w:rStyle w:val="eop"/>
                  <w:sz w:val="22"/>
                  <w:szCs w:val="22"/>
                </w:rPr>
                <w:delText xml:space="preserve">Merknad 3: </w:delText>
              </w:r>
              <w:r w:rsidRPr="005A0BB3">
                <w:rPr>
                  <w:sz w:val="22"/>
                  <w:szCs w:val="22"/>
                </w:rPr>
                <w:delText>Pasienter med manglende verdier ved</w:delText>
              </w:r>
              <w:r w:rsidRPr="00975795">
                <w:rPr>
                  <w:sz w:val="22"/>
                  <w:szCs w:val="22"/>
                </w:rPr>
                <w:delText xml:space="preserve"> uke 52 eller som ble randomisert til å få gjentatt induksjons- eller vedlikeholdsbehandling ble ansett som ikke-responderende for endepunktene ved uke 52</w:delText>
              </w:r>
            </w:del>
          </w:p>
        </w:tc>
      </w:tr>
    </w:tbl>
    <w:p w14:paraId="0610986B" w14:textId="28576340" w:rsidR="000F27EB" w:rsidRPr="00E04B2A" w:rsidRDefault="000F27EB">
      <w:pPr>
        <w:keepNext/>
        <w:suppressAutoHyphens/>
        <w:rPr>
          <w:del w:id="11062" w:author="AbbVie02no" w:date="2025-05-15T13:45:00Z"/>
          <w:sz w:val="22"/>
        </w:rPr>
        <w:pPrChange w:id="11063" w:author="AbbVie02no" w:date="2025-05-15T13:45:00Z">
          <w:pPr/>
        </w:pPrChange>
      </w:pPr>
    </w:p>
    <w:p w14:paraId="45B3F82B" w14:textId="49145E14" w:rsidR="000F27EB" w:rsidRPr="00E04B2A" w:rsidRDefault="00E453CD">
      <w:pPr>
        <w:keepNext/>
        <w:suppressAutoHyphens/>
        <w:rPr>
          <w:del w:id="11064" w:author="AbbVie02no" w:date="2025-05-15T13:45:00Z"/>
          <w:sz w:val="22"/>
        </w:rPr>
        <w:pPrChange w:id="11065" w:author="AbbVie02no" w:date="2025-05-15T13:45:00Z">
          <w:pPr/>
        </w:pPrChange>
      </w:pPr>
      <w:del w:id="11066" w:author="AbbVie02no" w:date="2025-05-15T13:45:00Z">
        <w:r w:rsidRPr="00E04B2A">
          <w:rPr>
            <w:sz w:val="22"/>
          </w:rPr>
          <w:delText xml:space="preserve">Av de Humirabehandlede pasientene som fikk gjentatt induksjonsbehandling i vedlikeholdsperioden oppnådde 2/6 (33 %) klinisk respons iht. FMS </w:delText>
        </w:r>
        <w:r>
          <w:rPr>
            <w:sz w:val="22"/>
          </w:rPr>
          <w:delText>ved</w:delText>
        </w:r>
        <w:r w:rsidRPr="00E04B2A">
          <w:rPr>
            <w:sz w:val="22"/>
          </w:rPr>
          <w:delText xml:space="preserve"> uke 52.</w:delText>
        </w:r>
      </w:del>
    </w:p>
    <w:p w14:paraId="24446569" w14:textId="2D69F451" w:rsidR="000F27EB" w:rsidRPr="00E04B2A" w:rsidRDefault="000F27EB">
      <w:pPr>
        <w:keepNext/>
        <w:suppressAutoHyphens/>
        <w:rPr>
          <w:del w:id="11067" w:author="AbbVie02no" w:date="2025-05-15T13:45:00Z"/>
          <w:sz w:val="22"/>
        </w:rPr>
        <w:pPrChange w:id="11068" w:author="AbbVie02no" w:date="2025-05-15T13:45:00Z">
          <w:pPr/>
        </w:pPrChange>
      </w:pPr>
    </w:p>
    <w:p w14:paraId="6EF3342D" w14:textId="13EE37D2" w:rsidR="000F27EB" w:rsidRPr="00E04B2A" w:rsidRDefault="00E453CD">
      <w:pPr>
        <w:keepNext/>
        <w:suppressAutoHyphens/>
        <w:rPr>
          <w:del w:id="11069" w:author="AbbVie02no" w:date="2025-05-15T13:45:00Z"/>
          <w:bCs/>
          <w:i/>
          <w:sz w:val="22"/>
          <w:u w:val="single"/>
        </w:rPr>
        <w:pPrChange w:id="11070" w:author="AbbVie02no" w:date="2025-05-15T13:45:00Z">
          <w:pPr>
            <w:keepNext/>
          </w:pPr>
        </w:pPrChange>
      </w:pPr>
      <w:del w:id="11071" w:author="AbbVie02no" w:date="2025-05-15T13:45:00Z">
        <w:r w:rsidRPr="00E04B2A">
          <w:rPr>
            <w:i/>
            <w:sz w:val="22"/>
            <w:u w:val="single"/>
          </w:rPr>
          <w:delText>Livskvalitet</w:delText>
        </w:r>
      </w:del>
    </w:p>
    <w:p w14:paraId="032583AF" w14:textId="34E031EE" w:rsidR="000F27EB" w:rsidRPr="00E04B2A" w:rsidRDefault="000F27EB">
      <w:pPr>
        <w:keepNext/>
        <w:suppressAutoHyphens/>
        <w:rPr>
          <w:del w:id="11072" w:author="AbbVie02no" w:date="2025-05-15T13:45:00Z"/>
          <w:bCs/>
          <w:i/>
          <w:sz w:val="22"/>
          <w:u w:val="single"/>
        </w:rPr>
        <w:pPrChange w:id="11073" w:author="AbbVie02no" w:date="2025-05-15T13:45:00Z">
          <w:pPr>
            <w:keepNext/>
          </w:pPr>
        </w:pPrChange>
      </w:pPr>
    </w:p>
    <w:p w14:paraId="51398240" w14:textId="2C913144" w:rsidR="000F27EB" w:rsidRDefault="00E453CD">
      <w:pPr>
        <w:keepNext/>
        <w:suppressAutoHyphens/>
        <w:rPr>
          <w:del w:id="11074" w:author="AbbVie02no" w:date="2025-05-15T13:45:00Z"/>
          <w:sz w:val="22"/>
        </w:rPr>
        <w:pPrChange w:id="11075" w:author="AbbVie02no" w:date="2025-05-15T13:45:00Z">
          <w:pPr>
            <w:keepNext/>
          </w:pPr>
        </w:pPrChange>
      </w:pPr>
      <w:del w:id="11076" w:author="AbbVie02no" w:date="2025-05-15T13:45:00Z">
        <w:r w:rsidRPr="008A23C0">
          <w:rPr>
            <w:sz w:val="22"/>
          </w:rPr>
          <w:delText xml:space="preserve">Kliniske forbedringer av betydning fra baseline ble observert i </w:delText>
        </w:r>
        <w:r>
          <w:rPr>
            <w:sz w:val="22"/>
          </w:rPr>
          <w:delText xml:space="preserve">score fra </w:delText>
        </w:r>
        <w:r w:rsidRPr="00127826">
          <w:rPr>
            <w:sz w:val="22"/>
          </w:rPr>
          <w:delText xml:space="preserve">IMPACT III </w:delText>
        </w:r>
        <w:r>
          <w:rPr>
            <w:sz w:val="22"/>
          </w:rPr>
          <w:delText xml:space="preserve">og </w:delText>
        </w:r>
        <w:r w:rsidRPr="008A23C0">
          <w:rPr>
            <w:sz w:val="22"/>
          </w:rPr>
          <w:delText>Work Productivity and Activity</w:delText>
        </w:r>
        <w:r w:rsidRPr="00E04B2A">
          <w:rPr>
            <w:sz w:val="22"/>
          </w:rPr>
          <w:delText xml:space="preserve"> Impairment (WPAI)</w:delText>
        </w:r>
        <w:r>
          <w:rPr>
            <w:sz w:val="22"/>
          </w:rPr>
          <w:delText xml:space="preserve"> for omsorgsperson</w:delText>
        </w:r>
        <w:r w:rsidR="00043EDF">
          <w:rPr>
            <w:sz w:val="22"/>
          </w:rPr>
          <w:delText>,</w:delText>
        </w:r>
        <w:r>
          <w:rPr>
            <w:sz w:val="22"/>
          </w:rPr>
          <w:delText xml:space="preserve"> </w:delText>
        </w:r>
        <w:r w:rsidRPr="00E04B2A">
          <w:rPr>
            <w:sz w:val="22"/>
          </w:rPr>
          <w:delText>for gruppene behandlet med Humira.</w:delText>
        </w:r>
      </w:del>
    </w:p>
    <w:p w14:paraId="2646BB81" w14:textId="591BC542" w:rsidR="000F27EB" w:rsidRPr="00E04B2A" w:rsidRDefault="000F27EB">
      <w:pPr>
        <w:keepNext/>
        <w:suppressAutoHyphens/>
        <w:rPr>
          <w:del w:id="11077" w:author="AbbVie02no" w:date="2025-05-15T13:45:00Z"/>
          <w:sz w:val="22"/>
        </w:rPr>
        <w:pPrChange w:id="11078" w:author="AbbVie02no" w:date="2025-05-15T13:45:00Z">
          <w:pPr>
            <w:keepNext/>
          </w:pPr>
        </w:pPrChange>
      </w:pPr>
    </w:p>
    <w:p w14:paraId="0293FDB6" w14:textId="0F06E909" w:rsidR="000F27EB" w:rsidRPr="00E04B2A" w:rsidRDefault="00E453CD">
      <w:pPr>
        <w:keepNext/>
        <w:suppressAutoHyphens/>
        <w:rPr>
          <w:del w:id="11079" w:author="AbbVie02no" w:date="2025-05-15T13:45:00Z"/>
          <w:sz w:val="22"/>
        </w:rPr>
        <w:pPrChange w:id="11080" w:author="AbbVie02no" w:date="2025-05-15T13:45:00Z">
          <w:pPr/>
        </w:pPrChange>
      </w:pPr>
      <w:del w:id="11081" w:author="AbbVie02no" w:date="2025-05-15T13:45:00Z">
        <w:r w:rsidRPr="00E04B2A">
          <w:rPr>
            <w:sz w:val="22"/>
          </w:rPr>
          <w:delText>Klinisk</w:delText>
        </w:r>
        <w:r>
          <w:rPr>
            <w:sz w:val="22"/>
          </w:rPr>
          <w:delText>e</w:delText>
        </w:r>
        <w:r w:rsidRPr="00E04B2A">
          <w:rPr>
            <w:sz w:val="22"/>
          </w:rPr>
          <w:delText xml:space="preserve"> </w:delText>
        </w:r>
        <w:r>
          <w:rPr>
            <w:sz w:val="22"/>
          </w:rPr>
          <w:delText xml:space="preserve">forbedringer </w:delText>
        </w:r>
        <w:r w:rsidR="00994D65">
          <w:rPr>
            <w:sz w:val="22"/>
          </w:rPr>
          <w:delText xml:space="preserve">(økninger) </w:delText>
        </w:r>
        <w:r>
          <w:rPr>
            <w:sz w:val="22"/>
          </w:rPr>
          <w:delText>av betydning</w:delText>
        </w:r>
        <w:r w:rsidRPr="00E04B2A">
          <w:rPr>
            <w:sz w:val="22"/>
          </w:rPr>
          <w:delText xml:space="preserve"> fra baseline i </w:delText>
        </w:r>
        <w:r>
          <w:rPr>
            <w:sz w:val="22"/>
          </w:rPr>
          <w:delText>vekst</w:delText>
        </w:r>
        <w:r w:rsidRPr="002B4237">
          <w:rPr>
            <w:sz w:val="22"/>
          </w:rPr>
          <w:delText>hastighet</w:delText>
        </w:r>
        <w:r w:rsidRPr="00E04B2A">
          <w:rPr>
            <w:sz w:val="22"/>
          </w:rPr>
          <w:delText xml:space="preserve"> ble observert </w:delText>
        </w:r>
        <w:r>
          <w:rPr>
            <w:sz w:val="22"/>
          </w:rPr>
          <w:delText>i</w:delText>
        </w:r>
        <w:r w:rsidRPr="00E04B2A">
          <w:rPr>
            <w:sz w:val="22"/>
          </w:rPr>
          <w:delText xml:space="preserve"> gruppene behandlet med adalimumab, og klinisk</w:delText>
        </w:r>
        <w:r>
          <w:rPr>
            <w:sz w:val="22"/>
          </w:rPr>
          <w:delText>e</w:delText>
        </w:r>
        <w:r w:rsidRPr="00E04B2A">
          <w:rPr>
            <w:sz w:val="22"/>
          </w:rPr>
          <w:delText xml:space="preserve"> </w:delText>
        </w:r>
        <w:r>
          <w:rPr>
            <w:sz w:val="22"/>
          </w:rPr>
          <w:delText>forbedringer</w:delText>
        </w:r>
        <w:r w:rsidRPr="00E04B2A">
          <w:rPr>
            <w:sz w:val="22"/>
          </w:rPr>
          <w:delText xml:space="preserve"> </w:delText>
        </w:r>
        <w:r w:rsidR="00994D65">
          <w:rPr>
            <w:sz w:val="22"/>
          </w:rPr>
          <w:delText xml:space="preserve">(økninger) </w:delText>
        </w:r>
        <w:r>
          <w:rPr>
            <w:sz w:val="22"/>
          </w:rPr>
          <w:delText xml:space="preserve">av betydning </w:delText>
        </w:r>
        <w:r w:rsidRPr="00E04B2A">
          <w:rPr>
            <w:sz w:val="22"/>
          </w:rPr>
          <w:delText xml:space="preserve">fra baseline i </w:delText>
        </w:r>
        <w:r>
          <w:rPr>
            <w:sz w:val="22"/>
          </w:rPr>
          <w:delText>Body Mass Index</w:delText>
        </w:r>
        <w:r w:rsidRPr="00E04B2A">
          <w:rPr>
            <w:sz w:val="22"/>
          </w:rPr>
          <w:delText xml:space="preserve"> ble observert </w:delText>
        </w:r>
        <w:r>
          <w:rPr>
            <w:sz w:val="22"/>
          </w:rPr>
          <w:delText>hos</w:delText>
        </w:r>
        <w:r w:rsidRPr="00E04B2A">
          <w:rPr>
            <w:sz w:val="22"/>
          </w:rPr>
          <w:delText xml:space="preserve"> </w:delText>
        </w:r>
        <w:r>
          <w:rPr>
            <w:sz w:val="22"/>
          </w:rPr>
          <w:delText>pasienter som fikk</w:delText>
        </w:r>
        <w:r w:rsidRPr="00E04B2A">
          <w:rPr>
            <w:sz w:val="22"/>
          </w:rPr>
          <w:delText xml:space="preserve"> høy vedlikeholdsdose på maksimalt 40</w:delText>
        </w:r>
        <w:r>
          <w:rPr>
            <w:sz w:val="22"/>
          </w:rPr>
          <w:delText> </w:delText>
        </w:r>
        <w:r w:rsidRPr="00E04B2A">
          <w:rPr>
            <w:sz w:val="22"/>
          </w:rPr>
          <w:delText>mg (0,6</w:delText>
        </w:r>
        <w:r>
          <w:rPr>
            <w:sz w:val="22"/>
          </w:rPr>
          <w:delText> </w:delText>
        </w:r>
        <w:r w:rsidRPr="00E04B2A">
          <w:rPr>
            <w:sz w:val="22"/>
          </w:rPr>
          <w:delText xml:space="preserve">mg/kg) </w:delText>
        </w:r>
        <w:r>
          <w:rPr>
            <w:sz w:val="22"/>
          </w:rPr>
          <w:delText>hver uke</w:delText>
        </w:r>
        <w:r w:rsidRPr="00E04B2A">
          <w:rPr>
            <w:sz w:val="22"/>
          </w:rPr>
          <w:delText>.</w:delText>
        </w:r>
      </w:del>
    </w:p>
    <w:p w14:paraId="0278EB4A" w14:textId="1726B173" w:rsidR="008A23C0" w:rsidRPr="000F27EB" w:rsidRDefault="008A23C0">
      <w:pPr>
        <w:keepNext/>
        <w:suppressAutoHyphens/>
        <w:rPr>
          <w:del w:id="11082" w:author="AbbVie02no" w:date="2025-05-15T13:45:00Z"/>
          <w:sz w:val="22"/>
          <w:szCs w:val="22"/>
        </w:rPr>
        <w:pPrChange w:id="11083" w:author="AbbVie02no" w:date="2025-05-15T13:45:00Z">
          <w:pPr>
            <w:suppressAutoHyphens/>
          </w:pPr>
        </w:pPrChange>
      </w:pPr>
    </w:p>
    <w:p w14:paraId="73E723E3" w14:textId="33D77747" w:rsidR="00205D90" w:rsidRPr="00722EBF" w:rsidRDefault="00E453CD">
      <w:pPr>
        <w:keepNext/>
        <w:suppressAutoHyphens/>
        <w:rPr>
          <w:del w:id="11084" w:author="AbbVie02no" w:date="2025-05-15T13:45:00Z"/>
          <w:i/>
          <w:sz w:val="22"/>
          <w:szCs w:val="22"/>
        </w:rPr>
        <w:pPrChange w:id="11085" w:author="AbbVie02no" w:date="2025-05-15T13:45:00Z">
          <w:pPr>
            <w:keepNext/>
          </w:pPr>
        </w:pPrChange>
      </w:pPr>
      <w:del w:id="11086" w:author="AbbVie02no" w:date="2025-05-15T13:45:00Z">
        <w:r w:rsidRPr="006852ED">
          <w:rPr>
            <w:i/>
            <w:sz w:val="22"/>
            <w:szCs w:val="22"/>
          </w:rPr>
          <w:delText>Pediatrisk uveitt</w:delText>
        </w:r>
      </w:del>
    </w:p>
    <w:p w14:paraId="0558C089" w14:textId="6C07AB84" w:rsidR="00205D90" w:rsidRPr="006852ED" w:rsidRDefault="00205D90">
      <w:pPr>
        <w:keepNext/>
        <w:suppressAutoHyphens/>
        <w:rPr>
          <w:del w:id="11087" w:author="AbbVie02no" w:date="2025-05-15T13:45:00Z"/>
          <w:sz w:val="22"/>
          <w:szCs w:val="22"/>
        </w:rPr>
        <w:pPrChange w:id="11088" w:author="AbbVie02no" w:date="2025-05-15T13:45:00Z">
          <w:pPr>
            <w:keepNext/>
          </w:pPr>
        </w:pPrChange>
      </w:pPr>
    </w:p>
    <w:p w14:paraId="38DF0A88" w14:textId="7EF07339" w:rsidR="00205D90" w:rsidRPr="00644328" w:rsidRDefault="00E453CD">
      <w:pPr>
        <w:keepNext/>
        <w:suppressAutoHyphens/>
        <w:rPr>
          <w:del w:id="11089" w:author="AbbVie02no" w:date="2025-05-15T13:45:00Z"/>
          <w:bCs/>
          <w:sz w:val="22"/>
        </w:rPr>
        <w:pPrChange w:id="11090" w:author="AbbVie02no" w:date="2025-05-15T13:45:00Z">
          <w:pPr/>
        </w:pPrChange>
      </w:pPr>
      <w:del w:id="11091" w:author="AbbVie02no" w:date="2025-05-15T13:45:00Z">
        <w:r w:rsidRPr="00644328">
          <w:rPr>
            <w:sz w:val="22"/>
            <w:szCs w:val="22"/>
          </w:rPr>
          <w:delText xml:space="preserve">Sikkerhet og effekt av Humira ble undersøkt i en randomisert, dobbeltblindet, kontrollert studie med 90 pediatriske pasienter mellom 2 og &lt; 18 år med aktiv JIA-assosiert ikke-infeksiøs fremre uveitt, som ikke responderte på behandling etter minst 12 ukers behandling med metotreksat. Pasientene fikk enten placebo eller 20 mg adalimumab (hvis &lt; 30 kg) eller 40 mg adalimumab (hvis </w:delText>
        </w:r>
        <w:r w:rsidRPr="00644328">
          <w:rPr>
            <w:bCs/>
            <w:sz w:val="22"/>
            <w:szCs w:val="20"/>
          </w:rPr>
          <w:delText>≥ 30 kg) annenhver uke i kombinasjon med deres baselinedose av metotreksat.</w:delText>
        </w:r>
      </w:del>
    </w:p>
    <w:p w14:paraId="5FA3D72D" w14:textId="69814924" w:rsidR="00205D90" w:rsidRPr="00644328" w:rsidRDefault="00205D90">
      <w:pPr>
        <w:keepNext/>
        <w:suppressAutoHyphens/>
        <w:rPr>
          <w:del w:id="11092" w:author="AbbVie02no" w:date="2025-05-15T13:45:00Z"/>
          <w:bCs/>
          <w:sz w:val="22"/>
        </w:rPr>
        <w:pPrChange w:id="11093" w:author="AbbVie02no" w:date="2025-05-15T13:45:00Z">
          <w:pPr/>
        </w:pPrChange>
      </w:pPr>
    </w:p>
    <w:p w14:paraId="2B82B609" w14:textId="37690936" w:rsidR="00205D90" w:rsidRPr="00644328" w:rsidRDefault="00E453CD">
      <w:pPr>
        <w:keepNext/>
        <w:suppressAutoHyphens/>
        <w:rPr>
          <w:del w:id="11094" w:author="AbbVie02no" w:date="2025-05-15T13:45:00Z"/>
          <w:bCs/>
          <w:sz w:val="22"/>
        </w:rPr>
        <w:pPrChange w:id="11095" w:author="AbbVie02no" w:date="2025-05-15T13:45:00Z">
          <w:pPr/>
        </w:pPrChange>
      </w:pPr>
      <w:del w:id="11096" w:author="AbbVie02no" w:date="2025-05-15T13:45:00Z">
        <w:r w:rsidRPr="00644328">
          <w:rPr>
            <w:bCs/>
            <w:sz w:val="22"/>
            <w:szCs w:val="20"/>
          </w:rPr>
          <w:delText xml:space="preserve">Det primære endepunktet var tid til behandlingssvikt. Kriteriene som definerte behandlingssvikt var forverret eller vedvarende okulær inflammasjon uten forbedring, delvis forbedring med utvikling av </w:delText>
        </w:r>
        <w:r w:rsidRPr="00644328">
          <w:rPr>
            <w:bCs/>
            <w:sz w:val="22"/>
            <w:szCs w:val="20"/>
          </w:rPr>
          <w:lastRenderedPageBreak/>
          <w:delText>vedvarende okulære komorbiditeter eller forverring av okulære komorbiditeter, bruk av samtidige legemidler uten tillatelse, og behandlingspause i en lengre tidsperiode.</w:delText>
        </w:r>
      </w:del>
    </w:p>
    <w:p w14:paraId="508E4532" w14:textId="53931F27" w:rsidR="00205D90" w:rsidRPr="00644328" w:rsidRDefault="00205D90">
      <w:pPr>
        <w:keepNext/>
        <w:suppressAutoHyphens/>
        <w:rPr>
          <w:del w:id="11097" w:author="AbbVie02no" w:date="2025-05-15T13:45:00Z"/>
          <w:bCs/>
          <w:sz w:val="22"/>
        </w:rPr>
        <w:pPrChange w:id="11098" w:author="AbbVie02no" w:date="2025-05-15T13:45:00Z">
          <w:pPr/>
        </w:pPrChange>
      </w:pPr>
    </w:p>
    <w:p w14:paraId="7D016567" w14:textId="165F0BBE" w:rsidR="00205D90" w:rsidRPr="00644328" w:rsidRDefault="00E453CD">
      <w:pPr>
        <w:keepNext/>
        <w:suppressAutoHyphens/>
        <w:rPr>
          <w:del w:id="11099" w:author="AbbVie02no" w:date="2025-05-15T13:45:00Z"/>
          <w:i/>
          <w:sz w:val="22"/>
          <w:szCs w:val="22"/>
        </w:rPr>
        <w:pPrChange w:id="11100" w:author="AbbVie02no" w:date="2025-05-15T13:45:00Z">
          <w:pPr>
            <w:keepNext/>
          </w:pPr>
        </w:pPrChange>
      </w:pPr>
      <w:del w:id="11101" w:author="AbbVie02no" w:date="2025-05-15T13:45:00Z">
        <w:r w:rsidRPr="00644328">
          <w:rPr>
            <w:i/>
            <w:sz w:val="22"/>
            <w:szCs w:val="22"/>
            <w:u w:val="single"/>
          </w:rPr>
          <w:delText>Klinisk respons</w:delText>
        </w:r>
      </w:del>
    </w:p>
    <w:p w14:paraId="399C233E" w14:textId="575244D3" w:rsidR="00205D90" w:rsidRPr="00644328" w:rsidRDefault="00205D90">
      <w:pPr>
        <w:keepNext/>
        <w:suppressAutoHyphens/>
        <w:rPr>
          <w:del w:id="11102" w:author="AbbVie02no" w:date="2025-05-15T13:45:00Z"/>
          <w:i/>
          <w:sz w:val="22"/>
          <w:szCs w:val="22"/>
        </w:rPr>
        <w:pPrChange w:id="11103" w:author="AbbVie02no" w:date="2025-05-15T13:45:00Z">
          <w:pPr>
            <w:keepNext/>
          </w:pPr>
        </w:pPrChange>
      </w:pPr>
    </w:p>
    <w:p w14:paraId="3600E10F" w14:textId="7205F9A2" w:rsidR="00205D90" w:rsidRPr="00644328" w:rsidRDefault="00E453CD">
      <w:pPr>
        <w:keepNext/>
        <w:suppressAutoHyphens/>
        <w:rPr>
          <w:del w:id="11104" w:author="AbbVie02no" w:date="2025-05-15T13:45:00Z"/>
          <w:sz w:val="22"/>
          <w:szCs w:val="22"/>
        </w:rPr>
        <w:pPrChange w:id="11105" w:author="AbbVie02no" w:date="2025-05-15T13:45:00Z">
          <w:pPr/>
        </w:pPrChange>
      </w:pPr>
      <w:del w:id="11106" w:author="AbbVie02no" w:date="2025-05-15T13:45:00Z">
        <w:r w:rsidRPr="00644328">
          <w:rPr>
            <w:sz w:val="22"/>
            <w:szCs w:val="22"/>
          </w:rPr>
          <w:delText>Adalimumab forlenget tiden til behandlingssvikt signifikant, sammenlignet med placebo (se figur 3,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delText>
        </w:r>
      </w:del>
    </w:p>
    <w:p w14:paraId="5AC6C6A0" w14:textId="6A46ACEB" w:rsidR="00205D90" w:rsidRPr="00644328" w:rsidRDefault="00205D90">
      <w:pPr>
        <w:keepNext/>
        <w:suppressAutoHyphens/>
        <w:rPr>
          <w:del w:id="11107" w:author="AbbVie02no" w:date="2025-05-15T13:45:00Z"/>
          <w:sz w:val="22"/>
          <w:szCs w:val="22"/>
        </w:rPr>
        <w:pPrChange w:id="11108" w:author="AbbVie02no" w:date="2025-05-15T13:45:00Z">
          <w:pPr/>
        </w:pPrChange>
      </w:pPr>
    </w:p>
    <w:p w14:paraId="16BEE196" w14:textId="1119DBD3" w:rsidR="00205D90" w:rsidRPr="00644328" w:rsidRDefault="00E453CD">
      <w:pPr>
        <w:keepNext/>
        <w:suppressAutoHyphens/>
        <w:rPr>
          <w:del w:id="11109" w:author="AbbVie02no" w:date="2025-05-15T13:45:00Z"/>
          <w:b/>
          <w:sz w:val="22"/>
          <w:szCs w:val="22"/>
        </w:rPr>
        <w:pPrChange w:id="11110" w:author="AbbVie02no" w:date="2025-05-15T13:45:00Z">
          <w:pPr>
            <w:keepNext/>
            <w:jc w:val="center"/>
          </w:pPr>
        </w:pPrChange>
      </w:pPr>
      <w:del w:id="11111" w:author="AbbVie02no" w:date="2025-05-15T13:45:00Z">
        <w:r w:rsidRPr="00644328">
          <w:rPr>
            <w:b/>
            <w:sz w:val="22"/>
            <w:szCs w:val="22"/>
          </w:rPr>
          <w:delText>Figur 3: Kaplan-Meier-kurve som viser tid til behandlingssvikt i studien med pediatrisk uveitt</w:delText>
        </w:r>
      </w:del>
    </w:p>
    <w:p w14:paraId="33E0FBD4" w14:textId="2812F8CF" w:rsidR="00205D90" w:rsidRPr="00644328" w:rsidRDefault="00205D90">
      <w:pPr>
        <w:keepNext/>
        <w:suppressAutoHyphens/>
        <w:rPr>
          <w:del w:id="11112" w:author="AbbVie02no" w:date="2025-05-15T13:45:00Z"/>
          <w:b/>
          <w:sz w:val="22"/>
          <w:szCs w:val="22"/>
        </w:rPr>
        <w:pPrChange w:id="11113" w:author="AbbVie02no" w:date="2025-05-15T13:45:00Z">
          <w:pPr>
            <w:keepNext/>
            <w:jc w:val="center"/>
          </w:pPr>
        </w:pPrChange>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4644D4" w14:paraId="419E1011" w14:textId="59F84315" w:rsidTr="00634DDF">
        <w:trPr>
          <w:cantSplit/>
          <w:trHeight w:val="3806"/>
          <w:del w:id="11114" w:author="AbbVie02no" w:date="2025-05-15T13:45:00Z"/>
        </w:trPr>
        <w:tc>
          <w:tcPr>
            <w:tcW w:w="468" w:type="dxa"/>
            <w:textDirection w:val="btLr"/>
            <w:vAlign w:val="bottom"/>
          </w:tcPr>
          <w:p w14:paraId="5929C0AB" w14:textId="7866623B" w:rsidR="00205D90" w:rsidRPr="00644328" w:rsidRDefault="00E453CD">
            <w:pPr>
              <w:keepNext/>
              <w:suppressAutoHyphens/>
              <w:rPr>
                <w:del w:id="11115" w:author="AbbVie02no" w:date="2025-05-15T13:45:00Z"/>
                <w:b/>
                <w:szCs w:val="22"/>
              </w:rPr>
              <w:pPrChange w:id="11116" w:author="AbbVie02no" w:date="2025-05-15T13:45:00Z">
                <w:pPr>
                  <w:pStyle w:val="EMEANormal"/>
                  <w:keepNext/>
                  <w:ind w:left="113" w:right="113"/>
                  <w:jc w:val="center"/>
                </w:pPr>
              </w:pPrChange>
            </w:pPr>
            <w:del w:id="11117" w:author="AbbVie02no" w:date="2025-05-15T13:45:00Z">
              <w:r w:rsidRPr="00644328">
                <w:rPr>
                  <w:b/>
                  <w:szCs w:val="22"/>
                </w:rPr>
                <w:delText>SANNSYNLIGHET FOR BEHANDLINGSSVIKT</w:delText>
              </w:r>
            </w:del>
          </w:p>
        </w:tc>
        <w:tc>
          <w:tcPr>
            <w:tcW w:w="8820" w:type="dxa"/>
            <w:gridSpan w:val="5"/>
            <w:vAlign w:val="bottom"/>
          </w:tcPr>
          <w:p w14:paraId="31D132FE" w14:textId="3509F492" w:rsidR="00205D90" w:rsidRPr="00644328" w:rsidRDefault="00E453CD">
            <w:pPr>
              <w:keepNext/>
              <w:suppressAutoHyphens/>
              <w:rPr>
                <w:del w:id="11118" w:author="AbbVie02no" w:date="2025-05-15T13:45:00Z"/>
                <w:szCs w:val="22"/>
              </w:rPr>
              <w:pPrChange w:id="11119" w:author="AbbVie02no" w:date="2025-05-15T13:45:00Z">
                <w:pPr>
                  <w:pStyle w:val="EMEANormal"/>
                  <w:keepNext/>
                </w:pPr>
              </w:pPrChange>
            </w:pPr>
            <w:del w:id="11120" w:author="AbbVie02no" w:date="2025-05-15T13:45:00Z">
              <w:r w:rsidRPr="00644328">
                <w:rPr>
                  <w:noProof/>
                  <w:szCs w:val="22"/>
                  <w:lang w:val="en-GB" w:eastAsia="en-GB"/>
                </w:rPr>
                <w:drawing>
                  <wp:inline distT="0" distB="0" distL="0" distR="0" wp14:anchorId="6556BF05" wp14:editId="4BEB0F3D">
                    <wp:extent cx="5486400" cy="4552950"/>
                    <wp:effectExtent l="0" t="0" r="0" b="0"/>
                    <wp:docPr id="120" name="Bilde 120"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3"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del>
          </w:p>
        </w:tc>
      </w:tr>
      <w:tr w:rsidR="004644D4" w14:paraId="5BC85D37" w14:textId="40525BBE" w:rsidTr="00634DDF">
        <w:trPr>
          <w:del w:id="11121" w:author="AbbVie02no" w:date="2025-05-15T13:45:00Z"/>
        </w:trPr>
        <w:tc>
          <w:tcPr>
            <w:tcW w:w="468" w:type="dxa"/>
          </w:tcPr>
          <w:p w14:paraId="67DB3530" w14:textId="24325665" w:rsidR="00205D90" w:rsidRPr="00644328" w:rsidRDefault="00205D90">
            <w:pPr>
              <w:keepNext/>
              <w:suppressAutoHyphens/>
              <w:rPr>
                <w:del w:id="11122" w:author="AbbVie02no" w:date="2025-05-15T13:45:00Z"/>
                <w:szCs w:val="22"/>
              </w:rPr>
              <w:pPrChange w:id="11123" w:author="AbbVie02no" w:date="2025-05-15T13:45:00Z">
                <w:pPr>
                  <w:pStyle w:val="EMEANormal"/>
                  <w:keepNext/>
                </w:pPr>
              </w:pPrChange>
            </w:pPr>
          </w:p>
        </w:tc>
        <w:tc>
          <w:tcPr>
            <w:tcW w:w="8820" w:type="dxa"/>
            <w:gridSpan w:val="5"/>
          </w:tcPr>
          <w:p w14:paraId="5F946A8C" w14:textId="58729F33" w:rsidR="00205D90" w:rsidRPr="00644328" w:rsidRDefault="00E453CD">
            <w:pPr>
              <w:keepNext/>
              <w:suppressAutoHyphens/>
              <w:rPr>
                <w:del w:id="11124" w:author="AbbVie02no" w:date="2025-05-15T13:45:00Z"/>
                <w:b/>
                <w:szCs w:val="22"/>
              </w:rPr>
              <w:pPrChange w:id="11125" w:author="AbbVie02no" w:date="2025-05-15T13:45:00Z">
                <w:pPr>
                  <w:pStyle w:val="EMEANormal"/>
                  <w:keepNext/>
                  <w:jc w:val="center"/>
                </w:pPr>
              </w:pPrChange>
            </w:pPr>
            <w:del w:id="11126" w:author="AbbVie02no" w:date="2025-05-15T13:45:00Z">
              <w:r w:rsidRPr="00644328">
                <w:rPr>
                  <w:b/>
                  <w:szCs w:val="22"/>
                </w:rPr>
                <w:delText>TID (UKER)</w:delText>
              </w:r>
            </w:del>
          </w:p>
        </w:tc>
      </w:tr>
      <w:tr w:rsidR="004644D4" w14:paraId="3E409BAD" w14:textId="15F25E1A" w:rsidTr="00634DDF">
        <w:trPr>
          <w:del w:id="11127" w:author="AbbVie02no" w:date="2025-05-15T13:45:00Z"/>
        </w:trPr>
        <w:tc>
          <w:tcPr>
            <w:tcW w:w="468" w:type="dxa"/>
          </w:tcPr>
          <w:p w14:paraId="30ACF773" w14:textId="3296574C" w:rsidR="00205D90" w:rsidRPr="00644328" w:rsidRDefault="00205D90">
            <w:pPr>
              <w:keepNext/>
              <w:suppressAutoHyphens/>
              <w:rPr>
                <w:del w:id="11128" w:author="AbbVie02no" w:date="2025-05-15T13:45:00Z"/>
                <w:szCs w:val="22"/>
              </w:rPr>
              <w:pPrChange w:id="11129" w:author="AbbVie02no" w:date="2025-05-15T13:45:00Z">
                <w:pPr>
                  <w:pStyle w:val="EMEANormal"/>
                  <w:keepNext/>
                </w:pPr>
              </w:pPrChange>
            </w:pPr>
          </w:p>
        </w:tc>
        <w:tc>
          <w:tcPr>
            <w:tcW w:w="3510" w:type="dxa"/>
          </w:tcPr>
          <w:p w14:paraId="769DC2E7" w14:textId="2C4239D0" w:rsidR="00205D90" w:rsidRPr="00644328" w:rsidRDefault="00E453CD">
            <w:pPr>
              <w:keepNext/>
              <w:suppressAutoHyphens/>
              <w:rPr>
                <w:del w:id="11130" w:author="AbbVie02no" w:date="2025-05-15T13:45:00Z"/>
                <w:szCs w:val="22"/>
              </w:rPr>
              <w:pPrChange w:id="11131" w:author="AbbVie02no" w:date="2025-05-15T13:45:00Z">
                <w:pPr>
                  <w:pStyle w:val="EMEANormal"/>
                  <w:keepNext/>
                </w:pPr>
              </w:pPrChange>
            </w:pPr>
            <w:del w:id="11132" w:author="AbbVie02no" w:date="2025-05-15T13:45:00Z">
              <w:r w:rsidRPr="00644328">
                <w:rPr>
                  <w:szCs w:val="22"/>
                </w:rPr>
                <w:delText>Behandling</w:delText>
              </w:r>
            </w:del>
          </w:p>
        </w:tc>
        <w:tc>
          <w:tcPr>
            <w:tcW w:w="1170" w:type="dxa"/>
            <w:vAlign w:val="bottom"/>
          </w:tcPr>
          <w:p w14:paraId="1D4B06BD" w14:textId="7EDB36FD" w:rsidR="00205D90" w:rsidRPr="00644328" w:rsidRDefault="00E453CD">
            <w:pPr>
              <w:keepNext/>
              <w:suppressAutoHyphens/>
              <w:rPr>
                <w:del w:id="11133" w:author="AbbVie02no" w:date="2025-05-15T13:45:00Z"/>
                <w:szCs w:val="22"/>
              </w:rPr>
              <w:pPrChange w:id="11134" w:author="AbbVie02no" w:date="2025-05-15T13:45:00Z">
                <w:pPr>
                  <w:pStyle w:val="EMEANormal"/>
                  <w:keepNext/>
                  <w:jc w:val="center"/>
                </w:pPr>
              </w:pPrChange>
            </w:pPr>
            <w:del w:id="11135" w:author="AbbVie02no" w:date="2025-05-15T13:45:00Z">
              <w:r w:rsidRPr="00644328">
                <w:rPr>
                  <w:noProof/>
                  <w:szCs w:val="22"/>
                  <w:lang w:val="en-GB" w:eastAsia="en-GB"/>
                </w:rPr>
                <w:drawing>
                  <wp:inline distT="0" distB="0" distL="0" distR="0" wp14:anchorId="13B46AA2" wp14:editId="0B6B89AB">
                    <wp:extent cx="457200" cy="123825"/>
                    <wp:effectExtent l="0" t="0" r="0" b="9525"/>
                    <wp:docPr id="124" name="Bilde 12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4"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del>
          </w:p>
        </w:tc>
        <w:tc>
          <w:tcPr>
            <w:tcW w:w="1350" w:type="dxa"/>
          </w:tcPr>
          <w:p w14:paraId="624E4D03" w14:textId="486C99A8" w:rsidR="00205D90" w:rsidRPr="00644328" w:rsidRDefault="00E453CD">
            <w:pPr>
              <w:keepNext/>
              <w:suppressAutoHyphens/>
              <w:rPr>
                <w:del w:id="11136" w:author="AbbVie02no" w:date="2025-05-15T13:45:00Z"/>
                <w:szCs w:val="22"/>
              </w:rPr>
              <w:pPrChange w:id="11137" w:author="AbbVie02no" w:date="2025-05-15T13:45:00Z">
                <w:pPr>
                  <w:pStyle w:val="EMEANormal"/>
                  <w:keepNext/>
                </w:pPr>
              </w:pPrChange>
            </w:pPr>
            <w:del w:id="11138" w:author="AbbVie02no" w:date="2025-05-15T13:45:00Z">
              <w:r w:rsidRPr="00644328">
                <w:rPr>
                  <w:szCs w:val="22"/>
                </w:rPr>
                <w:delText>placebo</w:delText>
              </w:r>
            </w:del>
          </w:p>
        </w:tc>
        <w:tc>
          <w:tcPr>
            <w:tcW w:w="900" w:type="dxa"/>
            <w:vAlign w:val="center"/>
          </w:tcPr>
          <w:p w14:paraId="70ED4973" w14:textId="7927AF46" w:rsidR="00205D90" w:rsidRPr="00644328" w:rsidRDefault="00E453CD">
            <w:pPr>
              <w:keepNext/>
              <w:suppressAutoHyphens/>
              <w:rPr>
                <w:del w:id="11139" w:author="AbbVie02no" w:date="2025-05-15T13:45:00Z"/>
                <w:szCs w:val="22"/>
              </w:rPr>
              <w:pPrChange w:id="11140" w:author="AbbVie02no" w:date="2025-05-15T13:45:00Z">
                <w:pPr>
                  <w:pStyle w:val="EMEANormal"/>
                  <w:keepNext/>
                </w:pPr>
              </w:pPrChange>
            </w:pPr>
            <w:del w:id="11141" w:author="AbbVie02no" w:date="2025-05-15T13:45:00Z">
              <w:r w:rsidRPr="00644328">
                <w:rPr>
                  <w:noProof/>
                  <w:szCs w:val="22"/>
                  <w:lang w:val="en-GB" w:eastAsia="en-GB"/>
                </w:rPr>
                <w:drawing>
                  <wp:inline distT="0" distB="0" distL="0" distR="0" wp14:anchorId="378D1D2B" wp14:editId="3BA4CF5E">
                    <wp:extent cx="457200" cy="85725"/>
                    <wp:effectExtent l="0" t="0" r="0" b="9525"/>
                    <wp:docPr id="128" name="Bilde 12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5"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del>
          </w:p>
        </w:tc>
        <w:tc>
          <w:tcPr>
            <w:tcW w:w="1890" w:type="dxa"/>
          </w:tcPr>
          <w:p w14:paraId="5A27A70E" w14:textId="6C29AD83" w:rsidR="00205D90" w:rsidRPr="00644328" w:rsidRDefault="00E453CD">
            <w:pPr>
              <w:keepNext/>
              <w:suppressAutoHyphens/>
              <w:rPr>
                <w:del w:id="11142" w:author="AbbVie02no" w:date="2025-05-15T13:45:00Z"/>
                <w:szCs w:val="22"/>
              </w:rPr>
              <w:pPrChange w:id="11143" w:author="AbbVie02no" w:date="2025-05-15T13:45:00Z">
                <w:pPr>
                  <w:pStyle w:val="EMEANormal"/>
                  <w:keepNext/>
                </w:pPr>
              </w:pPrChange>
            </w:pPr>
            <w:del w:id="11144" w:author="AbbVie02no" w:date="2025-05-15T13:45:00Z">
              <w:r w:rsidRPr="00644328">
                <w:rPr>
                  <w:szCs w:val="22"/>
                </w:rPr>
                <w:delText>adalimumab</w:delText>
              </w:r>
            </w:del>
          </w:p>
        </w:tc>
      </w:tr>
      <w:tr w:rsidR="004644D4" w14:paraId="6C371325" w14:textId="6EC0838D" w:rsidTr="00634DDF">
        <w:trPr>
          <w:del w:id="11145" w:author="AbbVie02no" w:date="2025-05-15T13:45:00Z"/>
        </w:trPr>
        <w:tc>
          <w:tcPr>
            <w:tcW w:w="468" w:type="dxa"/>
          </w:tcPr>
          <w:p w14:paraId="4FA122A6" w14:textId="0E10B808" w:rsidR="00205D90" w:rsidRPr="00644328" w:rsidRDefault="00205D90">
            <w:pPr>
              <w:keepNext/>
              <w:suppressAutoHyphens/>
              <w:rPr>
                <w:del w:id="11146" w:author="AbbVie02no" w:date="2025-05-15T13:45:00Z"/>
                <w:szCs w:val="22"/>
              </w:rPr>
              <w:pPrChange w:id="11147" w:author="AbbVie02no" w:date="2025-05-15T13:45:00Z">
                <w:pPr>
                  <w:pStyle w:val="EMEANormal"/>
                </w:pPr>
              </w:pPrChange>
            </w:pPr>
          </w:p>
        </w:tc>
        <w:tc>
          <w:tcPr>
            <w:tcW w:w="8820" w:type="dxa"/>
            <w:gridSpan w:val="5"/>
          </w:tcPr>
          <w:p w14:paraId="73BB1C3C" w14:textId="2AB4A23B" w:rsidR="00205D90" w:rsidRPr="00644328" w:rsidRDefault="00E453CD">
            <w:pPr>
              <w:keepNext/>
              <w:suppressAutoHyphens/>
              <w:rPr>
                <w:del w:id="11148" w:author="AbbVie02no" w:date="2025-05-15T13:45:00Z"/>
                <w:szCs w:val="22"/>
              </w:rPr>
              <w:pPrChange w:id="11149" w:author="AbbVie02no" w:date="2025-05-15T13:45:00Z">
                <w:pPr>
                  <w:pStyle w:val="EMEANormal"/>
                </w:pPr>
              </w:pPrChange>
            </w:pPr>
            <w:del w:id="11150" w:author="AbbVie02no" w:date="2025-05-15T13:45:00Z">
              <w:r w:rsidRPr="00644328">
                <w:rPr>
                  <w:szCs w:val="22"/>
                </w:rPr>
                <w:delText>Merk: P = placebo (antall med risiko); H = HUMIRA (antall med risiko).</w:delText>
              </w:r>
            </w:del>
          </w:p>
        </w:tc>
      </w:tr>
    </w:tbl>
    <w:p w14:paraId="17E65B45" w14:textId="6A83BB6B" w:rsidR="00C50E0F" w:rsidRPr="009C5EFD" w:rsidRDefault="00C50E0F">
      <w:pPr>
        <w:keepNext/>
        <w:suppressAutoHyphens/>
        <w:rPr>
          <w:del w:id="11151" w:author="AbbVie02no" w:date="2025-05-15T13:45:00Z"/>
          <w:sz w:val="22"/>
          <w:szCs w:val="22"/>
        </w:rPr>
        <w:pPrChange w:id="11152" w:author="AbbVie02no" w:date="2025-05-15T13:45:00Z">
          <w:pPr>
            <w:suppressAutoHyphens/>
          </w:pPr>
        </w:pPrChange>
      </w:pPr>
    </w:p>
    <w:p w14:paraId="7B481E09" w14:textId="2BBF3EF4" w:rsidR="00DE3458" w:rsidRPr="009C5EFD" w:rsidRDefault="00E453CD">
      <w:pPr>
        <w:keepNext/>
        <w:suppressAutoHyphens/>
        <w:rPr>
          <w:del w:id="11153" w:author="AbbVie02no" w:date="2025-05-15T13:45:00Z"/>
          <w:b/>
          <w:sz w:val="22"/>
          <w:szCs w:val="22"/>
        </w:rPr>
        <w:pPrChange w:id="11154" w:author="AbbVie02no" w:date="2025-05-15T13:45:00Z">
          <w:pPr>
            <w:keepNext/>
            <w:suppressAutoHyphens/>
            <w:ind w:left="576" w:hanging="576"/>
          </w:pPr>
        </w:pPrChange>
      </w:pPr>
      <w:del w:id="11155" w:author="AbbVie02no" w:date="2025-05-15T13:45:00Z">
        <w:r w:rsidRPr="009C5EFD">
          <w:rPr>
            <w:b/>
            <w:sz w:val="22"/>
            <w:szCs w:val="22"/>
          </w:rPr>
          <w:delText>5.2</w:delText>
        </w:r>
        <w:r w:rsidRPr="009C5EFD">
          <w:rPr>
            <w:b/>
            <w:sz w:val="22"/>
            <w:szCs w:val="22"/>
          </w:rPr>
          <w:tab/>
          <w:delText>Farmakokinetiske egenskaper</w:delText>
        </w:r>
      </w:del>
    </w:p>
    <w:p w14:paraId="18B53369" w14:textId="62DEEFBB" w:rsidR="00DE3458" w:rsidRPr="009C5EFD" w:rsidRDefault="00DE3458" w:rsidP="004B57B4">
      <w:pPr>
        <w:keepNext/>
        <w:suppressAutoHyphens/>
        <w:rPr>
          <w:del w:id="11156" w:author="AbbVie02no" w:date="2025-05-15T13:45:00Z"/>
          <w:sz w:val="22"/>
          <w:szCs w:val="22"/>
        </w:rPr>
      </w:pPr>
    </w:p>
    <w:p w14:paraId="7A820B99" w14:textId="48CDE3F9" w:rsidR="00101152" w:rsidRPr="009C5EFD" w:rsidRDefault="00E453CD">
      <w:pPr>
        <w:keepNext/>
        <w:suppressAutoHyphens/>
        <w:rPr>
          <w:del w:id="11157" w:author="AbbVie02no" w:date="2025-05-15T13:45:00Z"/>
          <w:sz w:val="22"/>
          <w:szCs w:val="22"/>
          <w:u w:val="single"/>
        </w:rPr>
        <w:pPrChange w:id="11158" w:author="AbbVie02no" w:date="2025-05-15T13:45:00Z">
          <w:pPr>
            <w:keepNext/>
          </w:pPr>
        </w:pPrChange>
      </w:pPr>
      <w:del w:id="11159" w:author="AbbVie02no" w:date="2025-05-15T13:45:00Z">
        <w:r w:rsidRPr="009C5EFD">
          <w:rPr>
            <w:sz w:val="22"/>
            <w:szCs w:val="22"/>
            <w:u w:val="single"/>
          </w:rPr>
          <w:delText>Absorpsjon og distribusjon</w:delText>
        </w:r>
      </w:del>
    </w:p>
    <w:p w14:paraId="6A03DF38" w14:textId="1DAFB66E" w:rsidR="00101152" w:rsidRPr="009C5EFD" w:rsidRDefault="00101152">
      <w:pPr>
        <w:keepNext/>
        <w:suppressAutoHyphens/>
        <w:rPr>
          <w:del w:id="11160" w:author="AbbVie02no" w:date="2025-05-15T13:45:00Z"/>
          <w:sz w:val="22"/>
          <w:szCs w:val="22"/>
          <w:u w:val="single"/>
        </w:rPr>
        <w:pPrChange w:id="11161" w:author="AbbVie02no" w:date="2025-05-15T13:45:00Z">
          <w:pPr>
            <w:keepNext/>
          </w:pPr>
        </w:pPrChange>
      </w:pPr>
    </w:p>
    <w:p w14:paraId="31976440" w14:textId="311A9CFD" w:rsidR="00DE3458" w:rsidRPr="009C5EFD" w:rsidRDefault="00E453CD">
      <w:pPr>
        <w:keepNext/>
        <w:suppressAutoHyphens/>
        <w:rPr>
          <w:del w:id="11162" w:author="AbbVie02no" w:date="2025-05-15T13:45:00Z"/>
          <w:sz w:val="22"/>
          <w:szCs w:val="22"/>
        </w:rPr>
        <w:pPrChange w:id="11163" w:author="AbbVie02no" w:date="2025-05-15T13:45:00Z">
          <w:pPr/>
        </w:pPrChange>
      </w:pPr>
      <w:del w:id="11164" w:author="AbbVie02no" w:date="2025-05-15T13:45:00Z">
        <w:r w:rsidRPr="009C5EFD">
          <w:rPr>
            <w:sz w:val="22"/>
            <w:szCs w:val="22"/>
          </w:rPr>
          <w:delText xml:space="preserve">Etter subkutan administrasjon av </w:delText>
        </w:r>
        <w:r w:rsidR="00F67E03">
          <w:rPr>
            <w:sz w:val="22"/>
            <w:szCs w:val="22"/>
          </w:rPr>
          <w:delText xml:space="preserve">en enkeltdose på </w:delText>
        </w:r>
        <w:r w:rsidRPr="009C5EFD">
          <w:rPr>
            <w:sz w:val="22"/>
            <w:szCs w:val="22"/>
          </w:rPr>
          <w:delText xml:space="preserve">40 mg er absorpsjonen og distribusjonen av adalimumab langsom, med </w:delText>
        </w:r>
        <w:r w:rsidR="00F67E03">
          <w:rPr>
            <w:sz w:val="22"/>
            <w:szCs w:val="22"/>
          </w:rPr>
          <w:delText xml:space="preserve">maksimale </w:delText>
        </w:r>
        <w:r w:rsidRPr="009C5EFD">
          <w:rPr>
            <w:sz w:val="22"/>
            <w:szCs w:val="22"/>
          </w:rPr>
          <w:delText xml:space="preserve">serumkonsentrasjoner etter omkring 5 dager. Den gjennomsnittlige absolutte biotilgjengeligheten for adalimumab </w:delText>
        </w:r>
        <w:r w:rsidR="00F67E03">
          <w:rPr>
            <w:sz w:val="22"/>
            <w:szCs w:val="22"/>
          </w:rPr>
          <w:delText>estimert</w:delText>
        </w:r>
        <w:r w:rsidRPr="009C5EFD">
          <w:rPr>
            <w:sz w:val="22"/>
            <w:szCs w:val="22"/>
          </w:rPr>
          <w:delText xml:space="preserve"> fra tre studier etter en enkelt</w:delText>
        </w:r>
        <w:r w:rsidR="00F67E03">
          <w:rPr>
            <w:sz w:val="22"/>
            <w:szCs w:val="22"/>
          </w:rPr>
          <w:delText>dose på</w:delText>
        </w:r>
        <w:r w:rsidRPr="009C5EFD">
          <w:rPr>
            <w:sz w:val="22"/>
            <w:szCs w:val="22"/>
          </w:rPr>
          <w:delText xml:space="preserve"> 40 mg</w:delText>
        </w:r>
        <w:r w:rsidR="00F67E03">
          <w:rPr>
            <w:sz w:val="22"/>
            <w:szCs w:val="22"/>
          </w:rPr>
          <w:delText xml:space="preserve"> gitt</w:delText>
        </w:r>
        <w:r w:rsidRPr="009C5EFD">
          <w:rPr>
            <w:sz w:val="22"/>
            <w:szCs w:val="22"/>
          </w:rPr>
          <w:delText xml:space="preserve"> subkutan</w:delText>
        </w:r>
        <w:r w:rsidR="00F67E03">
          <w:rPr>
            <w:sz w:val="22"/>
            <w:szCs w:val="22"/>
          </w:rPr>
          <w:delText>t</w:delText>
        </w:r>
        <w:r w:rsidRPr="009C5EFD">
          <w:rPr>
            <w:sz w:val="22"/>
            <w:szCs w:val="22"/>
          </w:rPr>
          <w:delText xml:space="preserve"> var 64</w:delText>
        </w:r>
        <w:r w:rsidR="00F67E03">
          <w:rPr>
            <w:sz w:val="22"/>
            <w:szCs w:val="22"/>
          </w:rPr>
          <w:delText> </w:delText>
        </w:r>
        <w:r w:rsidR="00E51AA9" w:rsidRPr="009C5EFD">
          <w:rPr>
            <w:sz w:val="22"/>
            <w:szCs w:val="22"/>
          </w:rPr>
          <w:delText>%</w:delText>
        </w:r>
        <w:r w:rsidRPr="009C5EFD">
          <w:rPr>
            <w:sz w:val="22"/>
            <w:szCs w:val="22"/>
          </w:rPr>
          <w:delText>. Etter enkeltdoser administrert</w:delText>
        </w:r>
        <w:r w:rsidR="00F67E03">
          <w:rPr>
            <w:sz w:val="22"/>
            <w:szCs w:val="22"/>
          </w:rPr>
          <w:delText xml:space="preserve"> intravenøst</w:delText>
        </w:r>
        <w:r w:rsidRPr="009C5EFD">
          <w:rPr>
            <w:sz w:val="22"/>
            <w:szCs w:val="22"/>
          </w:rPr>
          <w:delText xml:space="preserve"> i området 0,25 til 10 mg/kg var konsentrasjonene proporsjonale med dosen. Etter doser på 0,5 mg/kg (</w:delText>
        </w:r>
        <w:r w:rsidR="00814D0E" w:rsidRPr="00814D0E">
          <w:rPr>
            <w:sz w:val="22"/>
            <w:szCs w:val="22"/>
          </w:rPr>
          <w:delText>~</w:delText>
        </w:r>
        <w:r w:rsidRPr="009C5EFD">
          <w:rPr>
            <w:sz w:val="22"/>
            <w:szCs w:val="22"/>
          </w:rPr>
          <w:delText>40 mg) varier</w:delText>
        </w:r>
        <w:r w:rsidR="00D17C1A" w:rsidRPr="009C5EFD">
          <w:rPr>
            <w:sz w:val="22"/>
            <w:szCs w:val="22"/>
          </w:rPr>
          <w:delText>te</w:delText>
        </w:r>
        <w:r w:rsidRPr="009C5EFD">
          <w:rPr>
            <w:sz w:val="22"/>
            <w:szCs w:val="22"/>
          </w:rPr>
          <w:delText xml:space="preserve"> clearance fra 11 til 15 ml/time</w:delText>
        </w:r>
        <w:r w:rsidR="00D17C1A" w:rsidRPr="009C5EFD">
          <w:rPr>
            <w:sz w:val="22"/>
            <w:szCs w:val="22"/>
          </w:rPr>
          <w:delText>,</w:delText>
        </w:r>
        <w:r w:rsidRPr="009C5EFD">
          <w:rPr>
            <w:sz w:val="22"/>
            <w:szCs w:val="22"/>
          </w:rPr>
          <w:delText xml:space="preserve"> </w:delText>
        </w:r>
        <w:r w:rsidR="00D17C1A" w:rsidRPr="009C5EFD">
          <w:rPr>
            <w:sz w:val="22"/>
            <w:szCs w:val="22"/>
          </w:rPr>
          <w:delText>d</w:delText>
        </w:r>
        <w:r w:rsidRPr="009C5EFD">
          <w:rPr>
            <w:sz w:val="22"/>
            <w:szCs w:val="22"/>
          </w:rPr>
          <w:delText>istribusjonsvolumet (V</w:delText>
        </w:r>
        <w:r w:rsidRPr="009C5EFD">
          <w:rPr>
            <w:sz w:val="22"/>
            <w:szCs w:val="22"/>
            <w:vertAlign w:val="subscript"/>
          </w:rPr>
          <w:delText>ss</w:delText>
        </w:r>
        <w:r w:rsidRPr="009C5EFD">
          <w:rPr>
            <w:sz w:val="22"/>
            <w:szCs w:val="22"/>
          </w:rPr>
          <w:delText xml:space="preserve">) varierte fra 5 til 6 liter, og den </w:delText>
        </w:r>
        <w:r w:rsidR="00A83337">
          <w:rPr>
            <w:sz w:val="22"/>
            <w:szCs w:val="22"/>
          </w:rPr>
          <w:lastRenderedPageBreak/>
          <w:delText>gjennomsnittlige halveringstiden ved terminalfase</w:delText>
        </w:r>
        <w:r w:rsidRPr="009C5EFD">
          <w:rPr>
            <w:sz w:val="22"/>
            <w:szCs w:val="22"/>
          </w:rPr>
          <w:delText xml:space="preserve">var </w:delText>
        </w:r>
        <w:r w:rsidR="00D17C1A" w:rsidRPr="009C5EFD">
          <w:rPr>
            <w:sz w:val="22"/>
            <w:szCs w:val="22"/>
          </w:rPr>
          <w:delText>ca.</w:delText>
        </w:r>
        <w:r w:rsidRPr="009C5EFD">
          <w:rPr>
            <w:sz w:val="22"/>
            <w:szCs w:val="22"/>
          </w:rPr>
          <w:delText xml:space="preserve"> to uker. Adalimumab-konsentrasjonen i synovialvæsken hos flere pasienter med revmatoid artritt varierte fra 31 til 96</w:delText>
        </w:r>
        <w:r w:rsidR="00E51AA9" w:rsidRPr="009C5EFD">
          <w:rPr>
            <w:sz w:val="22"/>
            <w:szCs w:val="22"/>
          </w:rPr>
          <w:delText xml:space="preserve"> %</w:delText>
        </w:r>
        <w:r w:rsidRPr="009C5EFD">
          <w:rPr>
            <w:sz w:val="22"/>
            <w:szCs w:val="22"/>
          </w:rPr>
          <w:delText xml:space="preserve"> av konsentrasjonen i serum.</w:delText>
        </w:r>
      </w:del>
    </w:p>
    <w:p w14:paraId="17EDBD39" w14:textId="65055BE4" w:rsidR="00DE3458" w:rsidRPr="009C5EFD" w:rsidRDefault="00DE3458">
      <w:pPr>
        <w:keepNext/>
        <w:suppressAutoHyphens/>
        <w:rPr>
          <w:del w:id="11165" w:author="AbbVie02no" w:date="2025-05-15T13:45:00Z"/>
          <w:sz w:val="22"/>
          <w:szCs w:val="22"/>
        </w:rPr>
        <w:pPrChange w:id="11166" w:author="AbbVie02no" w:date="2025-05-15T13:45:00Z">
          <w:pPr/>
        </w:pPrChange>
      </w:pPr>
    </w:p>
    <w:p w14:paraId="1681029C" w14:textId="595984ED" w:rsidR="00DE3458" w:rsidRPr="009C5EFD" w:rsidRDefault="00E453CD">
      <w:pPr>
        <w:keepNext/>
        <w:suppressAutoHyphens/>
        <w:rPr>
          <w:del w:id="11167" w:author="AbbVie02no" w:date="2025-05-15T13:45:00Z"/>
          <w:sz w:val="22"/>
          <w:szCs w:val="22"/>
        </w:rPr>
        <w:pPrChange w:id="11168" w:author="AbbVie02no" w:date="2025-05-15T13:45:00Z">
          <w:pPr/>
        </w:pPrChange>
      </w:pPr>
      <w:del w:id="11169" w:author="AbbVie02no" w:date="2025-05-15T13:45:00Z">
        <w:r w:rsidRPr="009C5EFD">
          <w:rPr>
            <w:sz w:val="22"/>
            <w:szCs w:val="22"/>
          </w:rPr>
          <w:delText xml:space="preserve">Etter subkutan administrasjon av 40 mg </w:delText>
        </w:r>
        <w:r w:rsidR="00760E5C" w:rsidRPr="009C5EFD">
          <w:rPr>
            <w:sz w:val="22"/>
            <w:szCs w:val="22"/>
          </w:rPr>
          <w:delText>adalimumab</w:delText>
        </w:r>
        <w:r w:rsidRPr="009C5EFD">
          <w:rPr>
            <w:sz w:val="22"/>
            <w:szCs w:val="22"/>
          </w:rPr>
          <w:delText xml:space="preserve"> annenhver uke hos voksne pasienter med revmatoid artritt (RA), var gjennomsnittlig</w:delText>
        </w:r>
        <w:r w:rsidR="00ED7163" w:rsidRPr="009C5EFD">
          <w:rPr>
            <w:sz w:val="22"/>
            <w:szCs w:val="22"/>
          </w:rPr>
          <w:delText xml:space="preserve"> </w:delText>
        </w:r>
        <w:r w:rsidR="00B125D2">
          <w:rPr>
            <w:sz w:val="22"/>
            <w:szCs w:val="22"/>
          </w:rPr>
          <w:delText>bunn</w:delText>
        </w:r>
        <w:r w:rsidRPr="009C5EFD">
          <w:rPr>
            <w:sz w:val="22"/>
            <w:szCs w:val="22"/>
          </w:rPr>
          <w:delText xml:space="preserve">konsentrasjon </w:delText>
        </w:r>
        <w:r w:rsidR="00A37D33" w:rsidRPr="009C5EFD">
          <w:rPr>
            <w:sz w:val="22"/>
            <w:szCs w:val="22"/>
          </w:rPr>
          <w:delText xml:space="preserve">ved steady-state </w:delText>
        </w:r>
        <w:r w:rsidRPr="009C5EFD">
          <w:rPr>
            <w:sz w:val="22"/>
            <w:szCs w:val="22"/>
          </w:rPr>
          <w:delText xml:space="preserve">på henholdsvis omkring 5 </w:delText>
        </w:r>
        <w:r w:rsidR="00E05B6B" w:rsidRPr="009C5EFD">
          <w:rPr>
            <w:sz w:val="22"/>
            <w:szCs w:val="22"/>
          </w:rPr>
          <w:delText>mikro</w:delText>
        </w:r>
        <w:r w:rsidRPr="009C5EFD">
          <w:rPr>
            <w:sz w:val="22"/>
            <w:szCs w:val="22"/>
          </w:rPr>
          <w:delText xml:space="preserve">g/ml (uten samtidig metotreksat) og 8 til 9 </w:delText>
        </w:r>
        <w:r w:rsidR="00E05B6B" w:rsidRPr="009C5EFD">
          <w:rPr>
            <w:sz w:val="22"/>
            <w:szCs w:val="22"/>
          </w:rPr>
          <w:delText>mikro</w:delText>
        </w:r>
        <w:r w:rsidRPr="009C5EFD">
          <w:rPr>
            <w:sz w:val="22"/>
            <w:szCs w:val="22"/>
          </w:rPr>
          <w:delText xml:space="preserve">g/ml (med samtidig metotreksat). </w:delText>
        </w:r>
        <w:r w:rsidR="00B125D2">
          <w:rPr>
            <w:color w:val="000000"/>
            <w:sz w:val="22"/>
            <w:szCs w:val="22"/>
          </w:rPr>
          <w:delText>B</w:delText>
        </w:r>
        <w:r w:rsidR="00B125D2">
          <w:rPr>
            <w:sz w:val="22"/>
            <w:szCs w:val="22"/>
          </w:rPr>
          <w:delText>unn</w:delText>
        </w:r>
        <w:r w:rsidRPr="009C5EFD">
          <w:rPr>
            <w:color w:val="000000"/>
            <w:sz w:val="22"/>
            <w:szCs w:val="22"/>
          </w:rPr>
          <w:delText>nivåene av adalimumab i s</w:delText>
        </w:r>
        <w:r w:rsidRPr="009C5EFD">
          <w:rPr>
            <w:sz w:val="22"/>
            <w:szCs w:val="22"/>
          </w:rPr>
          <w:delText>erum ved steady-state økte omtrent proporsjonalt med dosen etter 20, 40 og 80 mg administrert</w:delText>
        </w:r>
        <w:r w:rsidR="00F67E03">
          <w:rPr>
            <w:sz w:val="22"/>
            <w:szCs w:val="22"/>
          </w:rPr>
          <w:delText xml:space="preserve"> subkutant</w:delText>
        </w:r>
        <w:r w:rsidRPr="009C5EFD">
          <w:rPr>
            <w:sz w:val="22"/>
            <w:szCs w:val="22"/>
          </w:rPr>
          <w:delText xml:space="preserve"> annenhver uke og hver uke. </w:delText>
        </w:r>
      </w:del>
    </w:p>
    <w:p w14:paraId="6E4DD869" w14:textId="5A4D5528" w:rsidR="00DE3458" w:rsidRPr="009C5EFD" w:rsidRDefault="00DE3458">
      <w:pPr>
        <w:keepNext/>
        <w:suppressAutoHyphens/>
        <w:rPr>
          <w:del w:id="11170" w:author="AbbVie02no" w:date="2025-05-15T13:45:00Z"/>
          <w:sz w:val="22"/>
          <w:szCs w:val="22"/>
        </w:rPr>
        <w:pPrChange w:id="11171" w:author="AbbVie02no" w:date="2025-05-15T13:45:00Z">
          <w:pPr/>
        </w:pPrChange>
      </w:pPr>
    </w:p>
    <w:p w14:paraId="3B7427C2" w14:textId="7F963348" w:rsidR="00176BD2" w:rsidRPr="009C5EFD" w:rsidRDefault="00E453CD">
      <w:pPr>
        <w:keepNext/>
        <w:suppressAutoHyphens/>
        <w:rPr>
          <w:del w:id="11172" w:author="AbbVie02no" w:date="2025-05-15T13:45:00Z"/>
          <w:sz w:val="22"/>
          <w:szCs w:val="22"/>
        </w:rPr>
        <w:pPrChange w:id="11173" w:author="AbbVie02no" w:date="2025-05-15T13:45:00Z">
          <w:pPr/>
        </w:pPrChange>
      </w:pPr>
      <w:del w:id="11174" w:author="AbbVie02no" w:date="2025-05-15T13:45:00Z">
        <w:r w:rsidRPr="009C5EFD">
          <w:rPr>
            <w:sz w:val="22"/>
            <w:szCs w:val="22"/>
          </w:rPr>
          <w:delText xml:space="preserve">Etter </w:delText>
        </w:r>
        <w:r w:rsidR="00B8124C">
          <w:rPr>
            <w:sz w:val="22"/>
            <w:szCs w:val="22"/>
          </w:rPr>
          <w:delText>administrasjon</w:delText>
        </w:r>
        <w:r w:rsidRPr="009C5EFD">
          <w:rPr>
            <w:sz w:val="22"/>
            <w:szCs w:val="22"/>
          </w:rPr>
          <w:delText xml:space="preserve"> av 24 mg/m</w:delText>
        </w:r>
        <w:r w:rsidRPr="009C5EFD">
          <w:rPr>
            <w:sz w:val="22"/>
            <w:szCs w:val="22"/>
            <w:vertAlign w:val="superscript"/>
          </w:rPr>
          <w:delText>2</w:delText>
        </w:r>
        <w:r w:rsidRPr="009C5EFD">
          <w:rPr>
            <w:sz w:val="22"/>
            <w:szCs w:val="22"/>
          </w:rPr>
          <w:delText xml:space="preserve"> (maksimum 40</w:delText>
        </w:r>
        <w:r w:rsidR="0022074D" w:rsidRPr="009C5EFD">
          <w:rPr>
            <w:sz w:val="22"/>
            <w:szCs w:val="22"/>
          </w:rPr>
          <w:delText xml:space="preserve"> </w:delText>
        </w:r>
        <w:r w:rsidRPr="009C5EFD">
          <w:rPr>
            <w:sz w:val="22"/>
            <w:szCs w:val="22"/>
          </w:rPr>
          <w:delText xml:space="preserve">mg) subkutant annenhver uke hos pasienter med polyartikulær juvenil idiopatisk artritt (JIA) </w:delText>
        </w:r>
        <w:r w:rsidR="00101152" w:rsidRPr="009C5EFD">
          <w:rPr>
            <w:sz w:val="22"/>
            <w:szCs w:val="22"/>
          </w:rPr>
          <w:delText xml:space="preserve">i alderen 4 til 17 år </w:delText>
        </w:r>
        <w:r w:rsidRPr="009C5EFD">
          <w:rPr>
            <w:sz w:val="22"/>
            <w:szCs w:val="22"/>
          </w:rPr>
          <w:delText xml:space="preserve">var gjennomsnittlig </w:delText>
        </w:r>
        <w:r w:rsidR="00357C88">
          <w:rPr>
            <w:sz w:val="22"/>
            <w:szCs w:val="22"/>
          </w:rPr>
          <w:delText xml:space="preserve">bunnkonsentrasjon av </w:delText>
        </w:r>
        <w:r w:rsidRPr="009C5EFD">
          <w:rPr>
            <w:sz w:val="22"/>
            <w:szCs w:val="22"/>
          </w:rPr>
          <w:delText>adalimumab i serum</w:delText>
        </w:r>
        <w:r w:rsidR="00A37D33" w:rsidRPr="009C5EFD">
          <w:rPr>
            <w:sz w:val="22"/>
            <w:szCs w:val="22"/>
          </w:rPr>
          <w:delText xml:space="preserve"> ved</w:delText>
        </w:r>
        <w:r w:rsidRPr="009C5EFD">
          <w:rPr>
            <w:sz w:val="22"/>
            <w:szCs w:val="22"/>
          </w:rPr>
          <w:delText xml:space="preserve"> </w:delText>
        </w:r>
        <w:r w:rsidR="00A37D33" w:rsidRPr="009C5EFD">
          <w:rPr>
            <w:sz w:val="22"/>
            <w:szCs w:val="22"/>
          </w:rPr>
          <w:delText>steady-state</w:delText>
        </w:r>
        <w:r w:rsidR="00C355A8" w:rsidRPr="009C5EFD">
          <w:rPr>
            <w:sz w:val="22"/>
            <w:szCs w:val="22"/>
          </w:rPr>
          <w:delText xml:space="preserve"> </w:delText>
        </w:r>
        <w:r w:rsidR="00A37D33" w:rsidRPr="009C5EFD">
          <w:rPr>
            <w:sz w:val="22"/>
            <w:szCs w:val="22"/>
          </w:rPr>
          <w:delText xml:space="preserve">(verdier målt fra uke 20 til 48) </w:delText>
        </w:r>
        <w:r w:rsidR="00C355A8" w:rsidRPr="009C5EFD">
          <w:rPr>
            <w:sz w:val="22"/>
            <w:szCs w:val="22"/>
          </w:rPr>
          <w:delText xml:space="preserve">på </w:delText>
        </w:r>
        <w:r w:rsidRPr="009C5EFD">
          <w:rPr>
            <w:sz w:val="22"/>
            <w:szCs w:val="22"/>
          </w:rPr>
          <w:delText xml:space="preserve">5,6 ± 5,6 </w:delText>
        </w:r>
        <w:r w:rsidR="006E7C32" w:rsidRPr="009C5EFD">
          <w:rPr>
            <w:sz w:val="22"/>
            <w:szCs w:val="22"/>
          </w:rPr>
          <w:delText>mikro</w:delText>
        </w:r>
        <w:r w:rsidRPr="009C5EFD">
          <w:rPr>
            <w:sz w:val="22"/>
            <w:szCs w:val="22"/>
          </w:rPr>
          <w:delText>g/ml (102</w:delText>
        </w:r>
        <w:r w:rsidR="00E51AA9" w:rsidRPr="009C5EFD">
          <w:rPr>
            <w:sz w:val="22"/>
            <w:szCs w:val="22"/>
          </w:rPr>
          <w:delText xml:space="preserve"> %</w:delText>
        </w:r>
        <w:r w:rsidRPr="009C5EFD">
          <w:rPr>
            <w:sz w:val="22"/>
            <w:szCs w:val="22"/>
          </w:rPr>
          <w:delText xml:space="preserve"> CV) </w:delText>
        </w:r>
        <w:r w:rsidR="00760E5C" w:rsidRPr="009C5EFD">
          <w:rPr>
            <w:sz w:val="22"/>
            <w:szCs w:val="22"/>
          </w:rPr>
          <w:delText>uten samtidig bruk av metotreksat</w:delText>
        </w:r>
        <w:r w:rsidRPr="009C5EFD">
          <w:rPr>
            <w:sz w:val="22"/>
            <w:szCs w:val="22"/>
          </w:rPr>
          <w:delText xml:space="preserve"> og 10,9 ± 5,2 </w:delText>
        </w:r>
        <w:r w:rsidR="006E7C32" w:rsidRPr="009C5EFD">
          <w:rPr>
            <w:sz w:val="22"/>
            <w:szCs w:val="22"/>
          </w:rPr>
          <w:delText>mikro</w:delText>
        </w:r>
        <w:r w:rsidRPr="009C5EFD">
          <w:rPr>
            <w:sz w:val="22"/>
            <w:szCs w:val="22"/>
          </w:rPr>
          <w:delText>g/ml (47,7</w:delText>
        </w:r>
        <w:r w:rsidR="00E51AA9" w:rsidRPr="009C5EFD">
          <w:rPr>
            <w:sz w:val="22"/>
            <w:szCs w:val="22"/>
          </w:rPr>
          <w:delText xml:space="preserve"> %</w:delText>
        </w:r>
        <w:r w:rsidRPr="009C5EFD">
          <w:rPr>
            <w:sz w:val="22"/>
            <w:szCs w:val="22"/>
          </w:rPr>
          <w:delText xml:space="preserve"> CV) ved samtidig bruk av metotreksat.</w:delText>
        </w:r>
      </w:del>
    </w:p>
    <w:p w14:paraId="722621CE" w14:textId="403A4D17" w:rsidR="00101152" w:rsidRPr="009C5EFD" w:rsidRDefault="00101152">
      <w:pPr>
        <w:keepNext/>
        <w:suppressAutoHyphens/>
        <w:rPr>
          <w:del w:id="11175" w:author="AbbVie02no" w:date="2025-05-15T13:45:00Z"/>
          <w:sz w:val="22"/>
          <w:szCs w:val="22"/>
        </w:rPr>
        <w:pPrChange w:id="11176" w:author="AbbVie02no" w:date="2025-05-15T13:45:00Z">
          <w:pPr/>
        </w:pPrChange>
      </w:pPr>
    </w:p>
    <w:p w14:paraId="3BEBBDFE" w14:textId="7D639F56" w:rsidR="00101152" w:rsidRPr="009C5EFD" w:rsidRDefault="00E453CD">
      <w:pPr>
        <w:keepNext/>
        <w:suppressAutoHyphens/>
        <w:rPr>
          <w:del w:id="11177" w:author="AbbVie02no" w:date="2025-05-15T13:45:00Z"/>
          <w:sz w:val="22"/>
          <w:szCs w:val="22"/>
        </w:rPr>
        <w:pPrChange w:id="11178" w:author="AbbVie02no" w:date="2025-05-15T13:45:00Z">
          <w:pPr/>
        </w:pPrChange>
      </w:pPr>
      <w:del w:id="11179" w:author="AbbVie02no" w:date="2025-05-15T13:45:00Z">
        <w:r w:rsidRPr="009C5EFD">
          <w:rPr>
            <w:sz w:val="22"/>
            <w:szCs w:val="22"/>
          </w:rPr>
          <w:delText xml:space="preserve">Hos pasienter med </w:delText>
        </w:r>
        <w:r w:rsidR="00760E5C" w:rsidRPr="009C5EFD">
          <w:rPr>
            <w:sz w:val="22"/>
            <w:szCs w:val="22"/>
          </w:rPr>
          <w:delText xml:space="preserve">polyartikulær </w:delText>
        </w:r>
        <w:r w:rsidRPr="009C5EFD">
          <w:rPr>
            <w:sz w:val="22"/>
            <w:szCs w:val="22"/>
          </w:rPr>
          <w:delText xml:space="preserve">JIA i alderen 2 </w:delText>
        </w:r>
        <w:r w:rsidR="00760E5C" w:rsidRPr="009C5EFD">
          <w:rPr>
            <w:sz w:val="22"/>
            <w:szCs w:val="22"/>
          </w:rPr>
          <w:delText>til</w:delText>
        </w:r>
        <w:r w:rsidRPr="009C5EFD">
          <w:rPr>
            <w:sz w:val="22"/>
            <w:szCs w:val="22"/>
          </w:rPr>
          <w:delText xml:space="preserve"> &lt; 4 år eller fra 4 år og oppover og med kroppsvekt &lt; 15 kg dosert med 24 mg/m</w:delText>
        </w:r>
        <w:r w:rsidRPr="009C5EFD">
          <w:rPr>
            <w:sz w:val="22"/>
            <w:szCs w:val="22"/>
            <w:vertAlign w:val="superscript"/>
          </w:rPr>
          <w:delText>2</w:delText>
        </w:r>
        <w:r w:rsidRPr="009C5EFD">
          <w:rPr>
            <w:sz w:val="22"/>
            <w:szCs w:val="22"/>
          </w:rPr>
          <w:delText xml:space="preserve"> var gjennomsnittlig </w:delText>
        </w:r>
        <w:r w:rsidR="00B125D2">
          <w:rPr>
            <w:sz w:val="22"/>
            <w:szCs w:val="22"/>
          </w:rPr>
          <w:delText>bunn</w:delText>
        </w:r>
        <w:r w:rsidR="00CD5B0C" w:rsidRPr="009C5EFD">
          <w:rPr>
            <w:sz w:val="22"/>
            <w:szCs w:val="22"/>
          </w:rPr>
          <w:delText xml:space="preserve">konsentrasjon av adalimumab i serum ved </w:delText>
        </w:r>
        <w:r w:rsidRPr="009C5EFD">
          <w:rPr>
            <w:sz w:val="22"/>
            <w:szCs w:val="22"/>
          </w:rPr>
          <w:delText xml:space="preserve">steady-state 6,0 ± 6,1 </w:delText>
        </w:r>
        <w:r w:rsidR="006E7C32" w:rsidRPr="009C5EFD">
          <w:rPr>
            <w:sz w:val="22"/>
            <w:szCs w:val="22"/>
          </w:rPr>
          <w:delText>mikro</w:delText>
        </w:r>
        <w:r w:rsidRPr="009C5EFD">
          <w:rPr>
            <w:sz w:val="22"/>
            <w:szCs w:val="22"/>
          </w:rPr>
          <w:delText xml:space="preserve">g/ml (101 % CV) </w:delText>
        </w:r>
        <w:r w:rsidR="00760E5C" w:rsidRPr="009C5EFD">
          <w:rPr>
            <w:sz w:val="22"/>
            <w:szCs w:val="22"/>
          </w:rPr>
          <w:delText>uten samtidig bruk av metotreksat</w:delText>
        </w:r>
        <w:r w:rsidRPr="009C5EFD">
          <w:rPr>
            <w:sz w:val="22"/>
            <w:szCs w:val="22"/>
          </w:rPr>
          <w:delText xml:space="preserve"> og 7,9 ± 5,6 </w:delText>
        </w:r>
        <w:r w:rsidR="006E7C32" w:rsidRPr="009C5EFD">
          <w:rPr>
            <w:sz w:val="22"/>
            <w:szCs w:val="22"/>
          </w:rPr>
          <w:delText>mikro</w:delText>
        </w:r>
        <w:r w:rsidRPr="009C5EFD">
          <w:rPr>
            <w:sz w:val="22"/>
            <w:szCs w:val="22"/>
          </w:rPr>
          <w:delText>g/ml (71,2 % CV) ved samtidig bruk av metotreksat.</w:delText>
        </w:r>
      </w:del>
    </w:p>
    <w:p w14:paraId="5DE49150" w14:textId="71E4944F" w:rsidR="00760E5C" w:rsidRPr="009C5EFD" w:rsidRDefault="00760E5C">
      <w:pPr>
        <w:keepNext/>
        <w:suppressAutoHyphens/>
        <w:rPr>
          <w:del w:id="11180" w:author="AbbVie02no" w:date="2025-05-15T13:45:00Z"/>
          <w:sz w:val="22"/>
          <w:szCs w:val="22"/>
        </w:rPr>
        <w:pPrChange w:id="11181" w:author="AbbVie02no" w:date="2025-05-15T13:45:00Z">
          <w:pPr/>
        </w:pPrChange>
      </w:pPr>
    </w:p>
    <w:p w14:paraId="24A79450" w14:textId="4C6DFB17" w:rsidR="00760E5C" w:rsidRDefault="00E453CD">
      <w:pPr>
        <w:keepNext/>
        <w:suppressAutoHyphens/>
        <w:rPr>
          <w:del w:id="11182" w:author="AbbVie02no" w:date="2025-05-15T13:45:00Z"/>
          <w:sz w:val="22"/>
          <w:szCs w:val="22"/>
        </w:rPr>
        <w:pPrChange w:id="11183" w:author="AbbVie02no" w:date="2025-05-15T13:45:00Z">
          <w:pPr>
            <w:suppressAutoHyphens/>
          </w:pPr>
        </w:pPrChange>
      </w:pPr>
      <w:del w:id="11184" w:author="AbbVie02no" w:date="2025-05-15T13:45:00Z">
        <w:r w:rsidRPr="009C5EFD">
          <w:rPr>
            <w:sz w:val="22"/>
            <w:szCs w:val="22"/>
          </w:rPr>
          <w:delText xml:space="preserve">Etter </w:delText>
        </w:r>
        <w:r w:rsidR="00B8124C">
          <w:rPr>
            <w:sz w:val="22"/>
            <w:szCs w:val="22"/>
          </w:rPr>
          <w:delText>administrasjon</w:delText>
        </w:r>
        <w:r w:rsidRPr="009C5EFD">
          <w:rPr>
            <w:sz w:val="22"/>
            <w:szCs w:val="22"/>
          </w:rPr>
          <w:delText xml:space="preserve"> av 24 mg/m</w:delText>
        </w:r>
        <w:r w:rsidRPr="009C5EFD">
          <w:rPr>
            <w:sz w:val="22"/>
            <w:szCs w:val="22"/>
            <w:vertAlign w:val="superscript"/>
          </w:rPr>
          <w:delText>2</w:delText>
        </w:r>
        <w:r w:rsidRPr="009C5EFD">
          <w:rPr>
            <w:sz w:val="22"/>
            <w:szCs w:val="22"/>
          </w:rPr>
          <w:delText xml:space="preserve"> (maksimum 40 mg) subkutant annenhver uke hos pasienter med entesittrelatert artritt i alderen 6 til 17 år, var gjennomsnittlig </w:delText>
        </w:r>
        <w:r w:rsidR="00B125D2">
          <w:rPr>
            <w:sz w:val="22"/>
            <w:szCs w:val="22"/>
          </w:rPr>
          <w:delText>bunn</w:delText>
        </w:r>
        <w:r w:rsidR="00CD5B0C" w:rsidRPr="009C5EFD">
          <w:rPr>
            <w:sz w:val="22"/>
            <w:szCs w:val="22"/>
          </w:rPr>
          <w:delText xml:space="preserve">konsentrasjon av adalimumab i serum ved </w:delText>
        </w:r>
        <w:r w:rsidRPr="009C5EFD">
          <w:rPr>
            <w:sz w:val="22"/>
            <w:szCs w:val="22"/>
          </w:rPr>
          <w:delText xml:space="preserve">steady-state (verdier målt ved uke 24)  8,8 ± 6,6 </w:delText>
        </w:r>
        <w:r w:rsidR="00E24BAF" w:rsidRPr="009C5EFD">
          <w:rPr>
            <w:sz w:val="22"/>
            <w:szCs w:val="22"/>
          </w:rPr>
          <w:delText>mikro</w:delText>
        </w:r>
        <w:r w:rsidRPr="009C5EFD">
          <w:rPr>
            <w:sz w:val="22"/>
            <w:szCs w:val="22"/>
          </w:rPr>
          <w:delText xml:space="preserve">g/ml uten samtidig bruk av metotreksat og 11,8 ± 4,3 </w:delText>
        </w:r>
        <w:r w:rsidR="00E24BAF" w:rsidRPr="009C5EFD">
          <w:rPr>
            <w:sz w:val="22"/>
            <w:szCs w:val="22"/>
          </w:rPr>
          <w:delText>mikro</w:delText>
        </w:r>
        <w:r w:rsidRPr="009C5EFD">
          <w:rPr>
            <w:sz w:val="22"/>
            <w:szCs w:val="22"/>
          </w:rPr>
          <w:delText>g/ml ved samtidig bruk av metotreksat.</w:delText>
        </w:r>
      </w:del>
    </w:p>
    <w:p w14:paraId="4BF18A44" w14:textId="32468A42" w:rsidR="000540C6" w:rsidRDefault="000540C6">
      <w:pPr>
        <w:keepNext/>
        <w:suppressAutoHyphens/>
        <w:rPr>
          <w:del w:id="11185" w:author="AbbVie02no" w:date="2025-05-15T13:45:00Z"/>
          <w:sz w:val="22"/>
          <w:szCs w:val="22"/>
        </w:rPr>
        <w:pPrChange w:id="11186" w:author="AbbVie02no" w:date="2025-05-15T13:45:00Z">
          <w:pPr>
            <w:suppressAutoHyphens/>
          </w:pPr>
        </w:pPrChange>
      </w:pPr>
    </w:p>
    <w:p w14:paraId="0C523E4E" w14:textId="3CC86394" w:rsidR="000540C6" w:rsidRPr="009C5EFD" w:rsidRDefault="00E453CD">
      <w:pPr>
        <w:keepNext/>
        <w:suppressAutoHyphens/>
        <w:rPr>
          <w:del w:id="11187" w:author="AbbVie02no" w:date="2025-05-15T13:45:00Z"/>
          <w:sz w:val="22"/>
          <w:szCs w:val="22"/>
        </w:rPr>
        <w:pPrChange w:id="11188" w:author="AbbVie02no" w:date="2025-05-15T13:45:00Z">
          <w:pPr>
            <w:suppressAutoHyphens/>
          </w:pPr>
        </w:pPrChange>
      </w:pPr>
      <w:del w:id="11189" w:author="AbbVie02no" w:date="2025-05-15T13:45:00Z">
        <w:r w:rsidRPr="009C5EFD">
          <w:rPr>
            <w:sz w:val="22"/>
            <w:szCs w:val="22"/>
          </w:rPr>
          <w:delText xml:space="preserve">Etter subkutan administrasjon av 40 mg adalimumab annenhver uke hos voksne pasienter </w:delText>
        </w:r>
        <w:r>
          <w:rPr>
            <w:sz w:val="22"/>
            <w:szCs w:val="22"/>
          </w:rPr>
          <w:delText xml:space="preserve">med </w:delText>
        </w:r>
        <w:r w:rsidRPr="002D0790">
          <w:rPr>
            <w:sz w:val="22"/>
            <w:szCs w:val="22"/>
          </w:rPr>
          <w:delText>ikke-radiografisk aksial spondylartritt</w:delText>
        </w:r>
        <w:r>
          <w:rPr>
            <w:sz w:val="22"/>
            <w:szCs w:val="22"/>
          </w:rPr>
          <w:delText xml:space="preserve">, </w:delText>
        </w:r>
        <w:r w:rsidRPr="009C5EFD">
          <w:rPr>
            <w:sz w:val="22"/>
            <w:szCs w:val="22"/>
          </w:rPr>
          <w:delText xml:space="preserve">var </w:delText>
        </w:r>
        <w:r w:rsidR="00871468">
          <w:rPr>
            <w:sz w:val="22"/>
            <w:szCs w:val="22"/>
          </w:rPr>
          <w:delText xml:space="preserve">den </w:delText>
        </w:r>
        <w:r w:rsidRPr="009C5EFD">
          <w:rPr>
            <w:sz w:val="22"/>
            <w:szCs w:val="22"/>
          </w:rPr>
          <w:delText>gjennomsnittlig</w:delText>
        </w:r>
        <w:r w:rsidR="00871468">
          <w:rPr>
            <w:sz w:val="22"/>
            <w:szCs w:val="22"/>
          </w:rPr>
          <w:delText>e</w:delText>
        </w:r>
        <w:r w:rsidRPr="009C5EFD">
          <w:rPr>
            <w:sz w:val="22"/>
            <w:szCs w:val="22"/>
          </w:rPr>
          <w:delText xml:space="preserve"> </w:delText>
        </w:r>
        <w:r w:rsidR="00357C88">
          <w:rPr>
            <w:sz w:val="22"/>
            <w:szCs w:val="22"/>
          </w:rPr>
          <w:delText>bunn</w:delText>
        </w:r>
        <w:r w:rsidRPr="009C5EFD">
          <w:rPr>
            <w:sz w:val="22"/>
            <w:szCs w:val="22"/>
          </w:rPr>
          <w:delText>konsentrasjon</w:delText>
        </w:r>
        <w:r w:rsidR="00871468">
          <w:rPr>
            <w:sz w:val="22"/>
            <w:szCs w:val="22"/>
          </w:rPr>
          <w:delText>en</w:delText>
        </w:r>
        <w:r w:rsidRPr="009C5EFD">
          <w:rPr>
            <w:sz w:val="22"/>
            <w:szCs w:val="22"/>
          </w:rPr>
          <w:delText xml:space="preserve"> </w:delText>
        </w:r>
        <w:r w:rsidR="00357C88">
          <w:rPr>
            <w:sz w:val="22"/>
            <w:szCs w:val="22"/>
          </w:rPr>
          <w:delText xml:space="preserve">ved steady-state </w:delText>
        </w:r>
        <w:r>
          <w:rPr>
            <w:sz w:val="22"/>
            <w:szCs w:val="22"/>
          </w:rPr>
          <w:delText>8,0</w:delText>
        </w:r>
        <w:r w:rsidR="002D4756">
          <w:rPr>
            <w:sz w:val="22"/>
            <w:szCs w:val="22"/>
          </w:rPr>
          <w:delText> </w:delText>
        </w:r>
        <w:r>
          <w:rPr>
            <w:sz w:val="22"/>
            <w:szCs w:val="22"/>
          </w:rPr>
          <w:delText>± 4,</w:delText>
        </w:r>
        <w:r w:rsidRPr="000540C6">
          <w:rPr>
            <w:sz w:val="22"/>
            <w:szCs w:val="22"/>
          </w:rPr>
          <w:delText>6</w:delText>
        </w:r>
        <w:r w:rsidR="002D4756">
          <w:rPr>
            <w:sz w:val="22"/>
            <w:szCs w:val="22"/>
          </w:rPr>
          <w:delText> </w:delText>
        </w:r>
        <w:r w:rsidRPr="009C5EFD">
          <w:rPr>
            <w:sz w:val="22"/>
            <w:szCs w:val="22"/>
          </w:rPr>
          <w:delText>mikrog/ml</w:delText>
        </w:r>
        <w:r w:rsidR="00871468">
          <w:rPr>
            <w:sz w:val="22"/>
            <w:szCs w:val="22"/>
          </w:rPr>
          <w:delText xml:space="preserve"> ved uke 68</w:delText>
        </w:r>
        <w:r w:rsidRPr="000540C6">
          <w:rPr>
            <w:sz w:val="22"/>
            <w:szCs w:val="22"/>
          </w:rPr>
          <w:delText>.</w:delText>
        </w:r>
      </w:del>
    </w:p>
    <w:p w14:paraId="4A2CE384" w14:textId="6EA1013A" w:rsidR="00760E5C" w:rsidRPr="009C5EFD" w:rsidRDefault="00760E5C">
      <w:pPr>
        <w:keepNext/>
        <w:suppressAutoHyphens/>
        <w:rPr>
          <w:del w:id="11190" w:author="AbbVie02no" w:date="2025-05-15T13:45:00Z"/>
          <w:sz w:val="22"/>
          <w:szCs w:val="22"/>
        </w:rPr>
        <w:pPrChange w:id="11191" w:author="AbbVie02no" w:date="2025-05-15T13:45:00Z">
          <w:pPr/>
        </w:pPrChange>
      </w:pPr>
    </w:p>
    <w:p w14:paraId="37212D19" w14:textId="4BBA4171" w:rsidR="00577540" w:rsidRPr="009C5EFD" w:rsidRDefault="00E453CD">
      <w:pPr>
        <w:keepNext/>
        <w:suppressAutoHyphens/>
        <w:rPr>
          <w:del w:id="11192" w:author="AbbVie02no" w:date="2025-05-15T13:45:00Z"/>
          <w:sz w:val="22"/>
          <w:szCs w:val="22"/>
        </w:rPr>
        <w:pPrChange w:id="11193" w:author="AbbVie02no" w:date="2025-05-15T13:45:00Z">
          <w:pPr>
            <w:autoSpaceDE w:val="0"/>
            <w:autoSpaceDN w:val="0"/>
            <w:adjustRightInd w:val="0"/>
          </w:pPr>
        </w:pPrChange>
      </w:pPr>
      <w:del w:id="11194" w:author="AbbVie02no" w:date="2025-05-15T13:45:00Z">
        <w:r w:rsidRPr="009C5EFD">
          <w:rPr>
            <w:sz w:val="22"/>
            <w:szCs w:val="22"/>
          </w:rPr>
          <w:delText xml:space="preserve">Hos </w:delText>
        </w:r>
        <w:r w:rsidR="00D10310" w:rsidRPr="009C5EFD">
          <w:rPr>
            <w:sz w:val="22"/>
            <w:szCs w:val="22"/>
          </w:rPr>
          <w:delText xml:space="preserve">voksne </w:delText>
        </w:r>
        <w:r w:rsidRPr="009C5EFD">
          <w:rPr>
            <w:sz w:val="22"/>
            <w:szCs w:val="22"/>
          </w:rPr>
          <w:delText xml:space="preserve">pasienter med psoriasis var gjennomsnittlig </w:delText>
        </w:r>
        <w:r w:rsidR="00B125D2">
          <w:rPr>
            <w:sz w:val="22"/>
            <w:szCs w:val="22"/>
          </w:rPr>
          <w:delText>bunn</w:delText>
        </w:r>
        <w:r w:rsidRPr="009C5EFD">
          <w:rPr>
            <w:sz w:val="22"/>
            <w:szCs w:val="22"/>
          </w:rPr>
          <w:delText xml:space="preserve">konsentrasjon ved steady-state 5 </w:delText>
        </w:r>
        <w:r w:rsidR="00D10310" w:rsidRPr="009C5EFD">
          <w:rPr>
            <w:sz w:val="22"/>
            <w:szCs w:val="22"/>
          </w:rPr>
          <w:delText>mikro</w:delText>
        </w:r>
        <w:r w:rsidRPr="009C5EFD">
          <w:rPr>
            <w:sz w:val="22"/>
            <w:szCs w:val="22"/>
          </w:rPr>
          <w:delText xml:space="preserve">g/ml under monoterapibehandling med </w:delText>
        </w:r>
        <w:r w:rsidR="000546A2" w:rsidRPr="009C5EFD">
          <w:rPr>
            <w:sz w:val="22"/>
            <w:szCs w:val="22"/>
          </w:rPr>
          <w:delText xml:space="preserve">40 mg </w:delText>
        </w:r>
        <w:r w:rsidRPr="009C5EFD">
          <w:rPr>
            <w:sz w:val="22"/>
            <w:szCs w:val="22"/>
          </w:rPr>
          <w:delText>adalimumab annen</w:delText>
        </w:r>
        <w:r w:rsidR="00C355A8" w:rsidRPr="009C5EFD">
          <w:rPr>
            <w:sz w:val="22"/>
            <w:szCs w:val="22"/>
          </w:rPr>
          <w:delText>hver</w:delText>
        </w:r>
        <w:r w:rsidRPr="009C5EFD">
          <w:rPr>
            <w:sz w:val="22"/>
            <w:szCs w:val="22"/>
          </w:rPr>
          <w:delText xml:space="preserve"> uke.</w:delText>
        </w:r>
      </w:del>
    </w:p>
    <w:p w14:paraId="0ECBF260" w14:textId="436D684A" w:rsidR="00DE3458" w:rsidRPr="009C5EFD" w:rsidRDefault="00DE3458">
      <w:pPr>
        <w:keepNext/>
        <w:suppressAutoHyphens/>
        <w:rPr>
          <w:del w:id="11195" w:author="AbbVie02no" w:date="2025-05-15T13:45:00Z"/>
          <w:sz w:val="22"/>
          <w:szCs w:val="22"/>
        </w:rPr>
        <w:pPrChange w:id="11196" w:author="AbbVie02no" w:date="2025-05-15T13:45:00Z">
          <w:pPr/>
        </w:pPrChange>
      </w:pPr>
    </w:p>
    <w:p w14:paraId="411DFBA1" w14:textId="3D5EA341" w:rsidR="006E7C32" w:rsidRPr="009C5EFD" w:rsidRDefault="00E453CD">
      <w:pPr>
        <w:keepNext/>
        <w:suppressAutoHyphens/>
        <w:rPr>
          <w:del w:id="11197" w:author="AbbVie02no" w:date="2025-05-15T13:45:00Z"/>
          <w:sz w:val="22"/>
          <w:szCs w:val="22"/>
        </w:rPr>
        <w:pPrChange w:id="11198" w:author="AbbVie02no" w:date="2025-05-15T13:45:00Z">
          <w:pPr>
            <w:suppressAutoHyphens/>
          </w:pPr>
        </w:pPrChange>
      </w:pPr>
      <w:del w:id="11199" w:author="AbbVie02no" w:date="2025-05-15T13:45:00Z">
        <w:r w:rsidRPr="009C5EFD">
          <w:rPr>
            <w:rFonts w:eastAsia="Arial Unicode MS"/>
            <w:sz w:val="22"/>
            <w:szCs w:val="22"/>
          </w:rPr>
          <w:delText xml:space="preserve">Etter subkutan </w:delText>
        </w:r>
        <w:r w:rsidR="00B8124C">
          <w:rPr>
            <w:rFonts w:eastAsia="Arial Unicode MS"/>
            <w:sz w:val="22"/>
            <w:szCs w:val="22"/>
          </w:rPr>
          <w:delText>administrasjon</w:delText>
        </w:r>
        <w:r w:rsidRPr="009C5EFD">
          <w:rPr>
            <w:rFonts w:eastAsia="Arial Unicode MS"/>
            <w:sz w:val="22"/>
            <w:szCs w:val="22"/>
          </w:rPr>
          <w:delText xml:space="preserve"> av 0,8 mg/kg (maksimum 40 mg) annenhver uke hos pediatriske pasienter med kronisk plakkpsoriasis, var gjennomsnittlig </w:delText>
        </w:r>
        <w:r w:rsidR="00B125D2">
          <w:rPr>
            <w:rFonts w:eastAsia="Arial Unicode MS"/>
            <w:sz w:val="22"/>
            <w:szCs w:val="22"/>
          </w:rPr>
          <w:delText>bunn</w:delText>
        </w:r>
        <w:r w:rsidR="00D10310" w:rsidRPr="009C5EFD">
          <w:rPr>
            <w:rFonts w:eastAsia="Arial Unicode MS"/>
            <w:sz w:val="22"/>
            <w:szCs w:val="22"/>
          </w:rPr>
          <w:delText>konsentra</w:delText>
        </w:r>
        <w:r w:rsidR="007E0C3E" w:rsidRPr="009C5EFD">
          <w:rPr>
            <w:rFonts w:eastAsia="Arial Unicode MS"/>
            <w:sz w:val="22"/>
            <w:szCs w:val="22"/>
          </w:rPr>
          <w:delText>s</w:delText>
        </w:r>
        <w:r w:rsidR="00D10310" w:rsidRPr="009C5EFD">
          <w:rPr>
            <w:rFonts w:eastAsia="Arial Unicode MS"/>
            <w:sz w:val="22"/>
            <w:szCs w:val="22"/>
          </w:rPr>
          <w:delText xml:space="preserve">jon av adalimumab ved </w:delText>
        </w:r>
        <w:r w:rsidRPr="009C5EFD">
          <w:rPr>
            <w:rFonts w:eastAsia="Arial Unicode MS"/>
            <w:sz w:val="22"/>
            <w:szCs w:val="22"/>
          </w:rPr>
          <w:delText xml:space="preserve">steady-state ca. 7,4 </w:delText>
        </w:r>
        <w:r w:rsidRPr="009C5EFD">
          <w:rPr>
            <w:sz w:val="22"/>
            <w:szCs w:val="22"/>
          </w:rPr>
          <w:delText>± 5</w:delText>
        </w:r>
        <w:r w:rsidR="00D10310" w:rsidRPr="009C5EFD">
          <w:rPr>
            <w:sz w:val="22"/>
            <w:szCs w:val="22"/>
          </w:rPr>
          <w:delText>,</w:delText>
        </w:r>
        <w:r w:rsidRPr="009C5EFD">
          <w:rPr>
            <w:sz w:val="22"/>
            <w:szCs w:val="22"/>
          </w:rPr>
          <w:delText xml:space="preserve">8 mikrog/ml (79 % CV). </w:delText>
        </w:r>
      </w:del>
    </w:p>
    <w:p w14:paraId="364B3684" w14:textId="72A9B8DF" w:rsidR="006E7C32" w:rsidRPr="009C5EFD" w:rsidRDefault="006E7C32">
      <w:pPr>
        <w:keepNext/>
        <w:suppressAutoHyphens/>
        <w:rPr>
          <w:del w:id="11200" w:author="AbbVie02no" w:date="2025-05-15T13:45:00Z"/>
          <w:sz w:val="22"/>
          <w:szCs w:val="22"/>
        </w:rPr>
        <w:pPrChange w:id="11201" w:author="AbbVie02no" w:date="2025-05-15T13:45:00Z">
          <w:pPr/>
        </w:pPrChange>
      </w:pPr>
    </w:p>
    <w:p w14:paraId="7E77366C" w14:textId="373DC853" w:rsidR="00B34B8E" w:rsidRDefault="00E453CD">
      <w:pPr>
        <w:keepNext/>
        <w:suppressAutoHyphens/>
        <w:rPr>
          <w:del w:id="11202" w:author="AbbVie02no" w:date="2025-05-15T13:45:00Z"/>
          <w:rFonts w:eastAsia="TimesNewRoman"/>
          <w:sz w:val="22"/>
          <w:szCs w:val="22"/>
        </w:rPr>
        <w:pPrChange w:id="11203" w:author="AbbVie02no" w:date="2025-05-15T13:45:00Z">
          <w:pPr>
            <w:autoSpaceDE w:val="0"/>
            <w:autoSpaceDN w:val="0"/>
            <w:adjustRightInd w:val="0"/>
          </w:pPr>
        </w:pPrChange>
      </w:pPr>
      <w:del w:id="11204" w:author="AbbVie02no" w:date="2025-05-15T13:45:00Z">
        <w:r w:rsidRPr="009C5EFD">
          <w:rPr>
            <w:rFonts w:eastAsia="TimesNewRoman"/>
            <w:sz w:val="22"/>
            <w:szCs w:val="22"/>
          </w:rPr>
          <w:delText xml:space="preserve">Hos </w:delText>
        </w:r>
        <w:r w:rsidR="00234D28">
          <w:rPr>
            <w:rFonts w:eastAsia="TimesNewRoman"/>
            <w:sz w:val="22"/>
            <w:szCs w:val="22"/>
          </w:rPr>
          <w:delText xml:space="preserve">voksne </w:delText>
        </w:r>
        <w:r w:rsidRPr="009C5EFD">
          <w:rPr>
            <w:rFonts w:eastAsia="TimesNewRoman"/>
            <w:sz w:val="22"/>
            <w:szCs w:val="22"/>
          </w:rPr>
          <w:delText xml:space="preserve">pasienter med </w:delText>
        </w:r>
        <w:r w:rsidR="007F67EE" w:rsidRPr="009C5EFD">
          <w:rPr>
            <w:rFonts w:eastAsia="TimesNewRoman"/>
            <w:sz w:val="22"/>
            <w:szCs w:val="22"/>
          </w:rPr>
          <w:delText>hidrosadenitt</w:delText>
        </w:r>
        <w:r w:rsidRPr="009C5EFD">
          <w:rPr>
            <w:rFonts w:eastAsia="TimesNewRoman"/>
            <w:sz w:val="22"/>
            <w:szCs w:val="22"/>
          </w:rPr>
          <w:delText xml:space="preserve"> gir en dose på 160 mg Humira ved uke 0 etterfulgt av 80 mg ved uke 2 en </w:delText>
        </w:r>
        <w:r w:rsidR="00B125D2">
          <w:rPr>
            <w:rFonts w:eastAsia="TimesNewRoman"/>
            <w:sz w:val="22"/>
            <w:szCs w:val="22"/>
          </w:rPr>
          <w:delText>bunn</w:delText>
        </w:r>
        <w:r w:rsidRPr="009C5EFD">
          <w:rPr>
            <w:rFonts w:eastAsia="TimesNewRoman"/>
            <w:sz w:val="22"/>
            <w:szCs w:val="22"/>
          </w:rPr>
          <w:delText xml:space="preserve">konsentrasjon av adalimumab i serum på ca. 7 til 8 mikrog/ml ved uke 2 og uke 4. Gjennomsnittlig </w:delText>
        </w:r>
        <w:r w:rsidR="00B125D2">
          <w:rPr>
            <w:rFonts w:eastAsia="TimesNewRoman"/>
            <w:sz w:val="22"/>
            <w:szCs w:val="22"/>
          </w:rPr>
          <w:delText>bunn</w:delText>
        </w:r>
        <w:r w:rsidRPr="009C5EFD">
          <w:rPr>
            <w:rFonts w:eastAsia="TimesNewRoman"/>
            <w:sz w:val="22"/>
            <w:szCs w:val="22"/>
          </w:rPr>
          <w:delText xml:space="preserve">konsentrasjon i serum ved steady-state </w:delText>
        </w:r>
        <w:r w:rsidR="003D04BB">
          <w:rPr>
            <w:rFonts w:eastAsia="TimesNewRoman"/>
            <w:sz w:val="22"/>
            <w:szCs w:val="22"/>
          </w:rPr>
          <w:delText>fra</w:delText>
        </w:r>
        <w:r w:rsidRPr="009C5EFD">
          <w:rPr>
            <w:rFonts w:eastAsia="TimesNewRoman"/>
            <w:sz w:val="22"/>
            <w:szCs w:val="22"/>
          </w:rPr>
          <w:delText xml:space="preserve"> uke 12 </w:delText>
        </w:r>
        <w:r w:rsidR="008138BF">
          <w:rPr>
            <w:rFonts w:eastAsia="TimesNewRoman"/>
            <w:sz w:val="22"/>
            <w:szCs w:val="22"/>
          </w:rPr>
          <w:delText>til og med uke 36</w:delText>
        </w:r>
        <w:r w:rsidRPr="009C5EFD">
          <w:rPr>
            <w:rFonts w:eastAsia="TimesNewRoman"/>
            <w:sz w:val="22"/>
            <w:szCs w:val="22"/>
          </w:rPr>
          <w:delText xml:space="preserve"> var ca. 8 til 10 mikrog/ml under behandling med 40 mg adalimumab hver uke.</w:delText>
        </w:r>
      </w:del>
    </w:p>
    <w:p w14:paraId="3E6FD096" w14:textId="583AF73C" w:rsidR="00234D28" w:rsidRDefault="00234D28">
      <w:pPr>
        <w:keepNext/>
        <w:suppressAutoHyphens/>
        <w:rPr>
          <w:del w:id="11205" w:author="AbbVie02no" w:date="2025-05-15T13:45:00Z"/>
          <w:rFonts w:eastAsia="TimesNewRoman"/>
          <w:sz w:val="22"/>
          <w:szCs w:val="22"/>
        </w:rPr>
        <w:pPrChange w:id="11206" w:author="AbbVie02no" w:date="2025-05-15T13:45:00Z">
          <w:pPr>
            <w:autoSpaceDE w:val="0"/>
            <w:autoSpaceDN w:val="0"/>
            <w:adjustRightInd w:val="0"/>
          </w:pPr>
        </w:pPrChange>
      </w:pPr>
    </w:p>
    <w:p w14:paraId="62A1CE00" w14:textId="376761D7" w:rsidR="00234D28" w:rsidRPr="00DB4B30" w:rsidRDefault="00E453CD">
      <w:pPr>
        <w:keepNext/>
        <w:suppressAutoHyphens/>
        <w:rPr>
          <w:del w:id="11207" w:author="AbbVie02no" w:date="2025-05-15T13:45:00Z"/>
          <w:rFonts w:eastAsia="TimesNewRoman"/>
          <w:sz w:val="22"/>
          <w:szCs w:val="22"/>
        </w:rPr>
        <w:pPrChange w:id="11208" w:author="AbbVie02no" w:date="2025-05-15T13:45:00Z">
          <w:pPr>
            <w:autoSpaceDE w:val="0"/>
            <w:autoSpaceDN w:val="0"/>
            <w:adjustRightInd w:val="0"/>
          </w:pPr>
        </w:pPrChange>
      </w:pPr>
      <w:del w:id="11209" w:author="AbbVie02no" w:date="2025-05-15T13:45:00Z">
        <w:r w:rsidRPr="00DB4B30">
          <w:rPr>
            <w:sz w:val="22"/>
            <w:szCs w:val="22"/>
          </w:rPr>
          <w:delText xml:space="preserve">Eksponering </w:delText>
        </w:r>
        <w:r w:rsidR="00FA3AFC">
          <w:rPr>
            <w:sz w:val="22"/>
            <w:szCs w:val="22"/>
          </w:rPr>
          <w:delText>for</w:delText>
        </w:r>
        <w:r w:rsidRPr="00DB4B30">
          <w:rPr>
            <w:sz w:val="22"/>
            <w:szCs w:val="22"/>
          </w:rPr>
          <w:delText xml:space="preserve"> adalimumab hos ungdom med HS ble </w:delText>
        </w:r>
        <w:r w:rsidR="00977D5A" w:rsidRPr="00DB4B30">
          <w:rPr>
            <w:sz w:val="22"/>
            <w:szCs w:val="22"/>
          </w:rPr>
          <w:delText>estimert</w:delText>
        </w:r>
        <w:r w:rsidRPr="00DB4B30">
          <w:rPr>
            <w:sz w:val="22"/>
            <w:szCs w:val="22"/>
          </w:rPr>
          <w:delText xml:space="preserve"> ved å benytte </w:delText>
        </w:r>
        <w:r w:rsidR="008138BF">
          <w:rPr>
            <w:sz w:val="22"/>
            <w:szCs w:val="22"/>
          </w:rPr>
          <w:delText>farmakokinetisk populasjonsmodellering</w:delText>
        </w:r>
        <w:r w:rsidRPr="00DB4B30">
          <w:rPr>
            <w:sz w:val="22"/>
            <w:szCs w:val="22"/>
          </w:rPr>
          <w:delText xml:space="preserve"> og simulering</w:delText>
        </w:r>
        <w:r w:rsidR="00A847F9" w:rsidRPr="00DB4B30">
          <w:rPr>
            <w:sz w:val="22"/>
            <w:szCs w:val="22"/>
          </w:rPr>
          <w:delText>,</w:delText>
        </w:r>
        <w:r w:rsidRPr="00DB4B30">
          <w:rPr>
            <w:sz w:val="22"/>
            <w:szCs w:val="22"/>
          </w:rPr>
          <w:delText xml:space="preserve"> basert på </w:delText>
        </w:r>
        <w:r w:rsidR="000D16C0" w:rsidRPr="00DB4B30">
          <w:rPr>
            <w:sz w:val="22"/>
            <w:szCs w:val="22"/>
          </w:rPr>
          <w:delText>farmakokinetikk observert på tvers av indikasjoner ved bruk</w:delText>
        </w:r>
        <w:r w:rsidRPr="00DB4B30">
          <w:rPr>
            <w:sz w:val="22"/>
            <w:szCs w:val="22"/>
          </w:rPr>
          <w:delText xml:space="preserve"> hos andre pediatriske pasienter (pediatrisk psoriasis, juvenil idiopatisk artritt, pediatrisk Crohns sykdom og entesittrelatert artritt). </w:delText>
        </w:r>
        <w:r w:rsidR="003F0C33" w:rsidRPr="00DB4B30">
          <w:rPr>
            <w:sz w:val="22"/>
            <w:szCs w:val="22"/>
          </w:rPr>
          <w:delText xml:space="preserve">Anbefalt dosering hos ungdom med HS er 40 mg annenhver uke. Siden eksponeringen av adalimumab  kan påvirkes av kroppsstørrelse, kan ungdom med høyere kroppsvekt og </w:delText>
        </w:r>
        <w:r w:rsidR="000D16C0" w:rsidRPr="00DB4B30">
          <w:rPr>
            <w:sz w:val="22"/>
            <w:szCs w:val="22"/>
          </w:rPr>
          <w:delText>utilstrekkelig respons ha fordel av å bli behandlet med anbefalt dosering for voksne på 40 mg hver uke</w:delText>
        </w:r>
        <w:r w:rsidR="003F0C33" w:rsidRPr="00DB4B30">
          <w:rPr>
            <w:sz w:val="22"/>
            <w:szCs w:val="22"/>
          </w:rPr>
          <w:delText>.</w:delText>
        </w:r>
      </w:del>
    </w:p>
    <w:p w14:paraId="7468C916" w14:textId="1421570A" w:rsidR="00B34B8E" w:rsidRPr="009C5EFD" w:rsidRDefault="00B34B8E">
      <w:pPr>
        <w:keepNext/>
        <w:suppressAutoHyphens/>
        <w:rPr>
          <w:del w:id="11210" w:author="AbbVie02no" w:date="2025-05-15T13:45:00Z"/>
          <w:sz w:val="22"/>
          <w:szCs w:val="22"/>
        </w:rPr>
        <w:pPrChange w:id="11211" w:author="AbbVie02no" w:date="2025-05-15T13:45:00Z">
          <w:pPr/>
        </w:pPrChange>
      </w:pPr>
    </w:p>
    <w:p w14:paraId="72F75131" w14:textId="5630C257" w:rsidR="001B72BA" w:rsidRPr="009C5EFD" w:rsidRDefault="00E453CD">
      <w:pPr>
        <w:keepNext/>
        <w:suppressAutoHyphens/>
        <w:rPr>
          <w:del w:id="11212" w:author="AbbVie02no" w:date="2025-05-15T13:45:00Z"/>
          <w:sz w:val="22"/>
          <w:szCs w:val="22"/>
        </w:rPr>
        <w:pPrChange w:id="11213" w:author="AbbVie02no" w:date="2025-05-15T13:45:00Z">
          <w:pPr/>
        </w:pPrChange>
      </w:pPr>
      <w:del w:id="11214" w:author="AbbVie02no" w:date="2025-05-15T13:45:00Z">
        <w:r w:rsidRPr="009C5EFD">
          <w:rPr>
            <w:sz w:val="22"/>
            <w:szCs w:val="22"/>
          </w:rPr>
          <w:delText xml:space="preserve">Hos pasienter med Crohns sykdom </w:delText>
        </w:r>
        <w:r w:rsidR="0019505A">
          <w:rPr>
            <w:sz w:val="22"/>
            <w:szCs w:val="22"/>
          </w:rPr>
          <w:delText>gir en induksjonsdose på 80 mg ved uke 0 etterfulgt av 40 mg Humira ved uke 2 en</w:delText>
        </w:r>
        <w:r w:rsidRPr="009C5EFD">
          <w:rPr>
            <w:sz w:val="22"/>
            <w:szCs w:val="22"/>
          </w:rPr>
          <w:delText xml:space="preserve"> </w:delText>
        </w:r>
        <w:r w:rsidR="00B125D2">
          <w:rPr>
            <w:sz w:val="22"/>
            <w:szCs w:val="22"/>
          </w:rPr>
          <w:delText>bunn</w:delText>
        </w:r>
        <w:r w:rsidR="0019505A">
          <w:rPr>
            <w:sz w:val="22"/>
            <w:szCs w:val="22"/>
          </w:rPr>
          <w:delText>konsentrasjon</w:delText>
        </w:r>
        <w:r w:rsidRPr="009C5EFD">
          <w:rPr>
            <w:sz w:val="22"/>
            <w:szCs w:val="22"/>
          </w:rPr>
          <w:delText xml:space="preserve"> av adalimumab i</w:delText>
        </w:r>
        <w:r w:rsidR="0019505A">
          <w:rPr>
            <w:sz w:val="22"/>
            <w:szCs w:val="22"/>
          </w:rPr>
          <w:delText xml:space="preserve"> serum på omtrent</w:delText>
        </w:r>
        <w:r w:rsidRPr="009C5EFD">
          <w:rPr>
            <w:sz w:val="22"/>
            <w:szCs w:val="22"/>
          </w:rPr>
          <w:delText xml:space="preserve"> 5,5 </w:delText>
        </w:r>
        <w:r w:rsidR="00E05B6B" w:rsidRPr="009C5EFD">
          <w:rPr>
            <w:sz w:val="22"/>
            <w:szCs w:val="22"/>
          </w:rPr>
          <w:delText>mikro</w:delText>
        </w:r>
        <w:r w:rsidRPr="009C5EFD">
          <w:rPr>
            <w:sz w:val="22"/>
            <w:szCs w:val="22"/>
          </w:rPr>
          <w:delText xml:space="preserve">g/ml </w:delText>
        </w:r>
        <w:r w:rsidR="0019505A">
          <w:rPr>
            <w:sz w:val="22"/>
            <w:szCs w:val="22"/>
          </w:rPr>
          <w:delText>under</w:delText>
        </w:r>
        <w:r w:rsidRPr="009C5EFD">
          <w:rPr>
            <w:sz w:val="22"/>
            <w:szCs w:val="22"/>
          </w:rPr>
          <w:delText xml:space="preserve"> induksjons</w:delText>
        </w:r>
        <w:r w:rsidR="0019505A">
          <w:rPr>
            <w:sz w:val="22"/>
            <w:szCs w:val="22"/>
          </w:rPr>
          <w:delText>perioden</w:delText>
        </w:r>
        <w:r w:rsidR="00814D0E">
          <w:rPr>
            <w:sz w:val="22"/>
            <w:szCs w:val="22"/>
          </w:rPr>
          <w:delText>.</w:delText>
        </w:r>
        <w:r w:rsidR="0019505A">
          <w:rPr>
            <w:sz w:val="22"/>
            <w:szCs w:val="22"/>
          </w:rPr>
          <w:delText xml:space="preserve"> En</w:delText>
        </w:r>
        <w:r w:rsidRPr="009C5EFD">
          <w:rPr>
            <w:sz w:val="22"/>
            <w:szCs w:val="22"/>
          </w:rPr>
          <w:delText xml:space="preserve"> induksjons</w:delText>
        </w:r>
        <w:r w:rsidRPr="009C5EFD">
          <w:rPr>
            <w:color w:val="000000"/>
            <w:sz w:val="22"/>
            <w:szCs w:val="22"/>
          </w:rPr>
          <w:delText>dose</w:delText>
        </w:r>
        <w:r w:rsidRPr="009C5EFD">
          <w:rPr>
            <w:sz w:val="22"/>
            <w:szCs w:val="22"/>
          </w:rPr>
          <w:delText xml:space="preserve"> </w:delText>
        </w:r>
        <w:r w:rsidR="0019505A">
          <w:rPr>
            <w:sz w:val="22"/>
            <w:szCs w:val="22"/>
          </w:rPr>
          <w:delText xml:space="preserve">på </w:delText>
        </w:r>
        <w:r w:rsidRPr="009C5EFD">
          <w:rPr>
            <w:sz w:val="22"/>
            <w:szCs w:val="22"/>
          </w:rPr>
          <w:delText xml:space="preserve">160 mg Humira ved uke 0 etterfulgt av 80 mg Humira ved uke 2 </w:delText>
        </w:r>
        <w:r w:rsidR="0019505A">
          <w:rPr>
            <w:sz w:val="22"/>
            <w:szCs w:val="22"/>
          </w:rPr>
          <w:delText>gav en</w:delText>
        </w:r>
        <w:r w:rsidRPr="009C5EFD">
          <w:rPr>
            <w:sz w:val="22"/>
            <w:szCs w:val="22"/>
          </w:rPr>
          <w:delText xml:space="preserve"> </w:delText>
        </w:r>
        <w:r w:rsidR="00B125D2">
          <w:rPr>
            <w:sz w:val="22"/>
            <w:szCs w:val="22"/>
          </w:rPr>
          <w:delText>bunn</w:delText>
        </w:r>
        <w:r w:rsidR="0019505A">
          <w:rPr>
            <w:sz w:val="22"/>
            <w:szCs w:val="22"/>
          </w:rPr>
          <w:delText>konsentrasjon</w:delText>
        </w:r>
        <w:r w:rsidRPr="009C5EFD">
          <w:rPr>
            <w:sz w:val="22"/>
            <w:szCs w:val="22"/>
          </w:rPr>
          <w:delText xml:space="preserve"> av adalimumab</w:delText>
        </w:r>
        <w:r w:rsidR="0019505A">
          <w:rPr>
            <w:sz w:val="22"/>
            <w:szCs w:val="22"/>
          </w:rPr>
          <w:delText xml:space="preserve"> i serum på</w:delText>
        </w:r>
        <w:r w:rsidRPr="009C5EFD">
          <w:rPr>
            <w:sz w:val="22"/>
            <w:szCs w:val="22"/>
          </w:rPr>
          <w:delText xml:space="preserve"> ca. 12 </w:delText>
        </w:r>
        <w:r w:rsidR="00E05B6B" w:rsidRPr="009C5EFD">
          <w:rPr>
            <w:sz w:val="22"/>
            <w:szCs w:val="22"/>
          </w:rPr>
          <w:delText>mikro</w:delText>
        </w:r>
        <w:r w:rsidRPr="009C5EFD">
          <w:rPr>
            <w:sz w:val="22"/>
            <w:szCs w:val="22"/>
          </w:rPr>
          <w:delText>g/ml</w:delText>
        </w:r>
        <w:r w:rsidRPr="009C5EFD">
          <w:rPr>
            <w:color w:val="000000"/>
            <w:sz w:val="22"/>
            <w:szCs w:val="22"/>
          </w:rPr>
          <w:delText xml:space="preserve"> i induksjonsperioden</w:delText>
        </w:r>
        <w:r w:rsidRPr="009C5EFD">
          <w:rPr>
            <w:sz w:val="22"/>
            <w:szCs w:val="22"/>
          </w:rPr>
          <w:delText xml:space="preserve">. </w:delText>
        </w:r>
        <w:r w:rsidRPr="009C5EFD">
          <w:rPr>
            <w:sz w:val="22"/>
            <w:szCs w:val="22"/>
          </w:rPr>
          <w:lastRenderedPageBreak/>
          <w:delText xml:space="preserve">Gjennomsnittlige </w:delText>
        </w:r>
        <w:r w:rsidR="00B125D2">
          <w:rPr>
            <w:sz w:val="22"/>
            <w:szCs w:val="22"/>
          </w:rPr>
          <w:delText>bunn</w:delText>
        </w:r>
        <w:r w:rsidRPr="009C5EFD">
          <w:rPr>
            <w:sz w:val="22"/>
            <w:szCs w:val="22"/>
          </w:rPr>
          <w:delText>nivåer ved steady-state på ca</w:delText>
        </w:r>
        <w:r w:rsidR="00066950" w:rsidRPr="009C5EFD">
          <w:rPr>
            <w:sz w:val="22"/>
            <w:szCs w:val="22"/>
          </w:rPr>
          <w:delText>.</w:delText>
        </w:r>
        <w:r w:rsidRPr="009C5EFD">
          <w:rPr>
            <w:sz w:val="22"/>
            <w:szCs w:val="22"/>
          </w:rPr>
          <w:delText xml:space="preserve"> 7 </w:delText>
        </w:r>
        <w:r w:rsidR="00E05B6B" w:rsidRPr="009C5EFD">
          <w:rPr>
            <w:sz w:val="22"/>
            <w:szCs w:val="22"/>
          </w:rPr>
          <w:delText>mikro</w:delText>
        </w:r>
        <w:r w:rsidRPr="009C5EFD">
          <w:rPr>
            <w:sz w:val="22"/>
            <w:szCs w:val="22"/>
          </w:rPr>
          <w:delText>g/ml ble observert hos pasienter med Crohns sykdom som fikk</w:delText>
        </w:r>
        <w:r w:rsidR="0019505A">
          <w:rPr>
            <w:sz w:val="22"/>
            <w:szCs w:val="22"/>
          </w:rPr>
          <w:delText xml:space="preserve"> en</w:delText>
        </w:r>
        <w:r w:rsidRPr="009C5EFD">
          <w:rPr>
            <w:sz w:val="22"/>
            <w:szCs w:val="22"/>
          </w:rPr>
          <w:delText xml:space="preserve"> vedlikeholdsdose</w:delText>
        </w:r>
        <w:r w:rsidR="0019505A">
          <w:rPr>
            <w:sz w:val="22"/>
            <w:szCs w:val="22"/>
          </w:rPr>
          <w:delText xml:space="preserve"> på</w:delText>
        </w:r>
        <w:r w:rsidRPr="009C5EFD">
          <w:rPr>
            <w:sz w:val="22"/>
            <w:szCs w:val="22"/>
          </w:rPr>
          <w:delText xml:space="preserve"> 40 mg Humira annenhver uke.</w:delText>
        </w:r>
      </w:del>
    </w:p>
    <w:p w14:paraId="14F2BCEA" w14:textId="279C72F3" w:rsidR="00B30E6A" w:rsidRPr="009C5EFD" w:rsidRDefault="00B30E6A">
      <w:pPr>
        <w:keepNext/>
        <w:suppressAutoHyphens/>
        <w:rPr>
          <w:del w:id="11215" w:author="AbbVie02no" w:date="2025-05-15T13:45:00Z"/>
          <w:sz w:val="22"/>
          <w:szCs w:val="22"/>
        </w:rPr>
        <w:pPrChange w:id="11216" w:author="AbbVie02no" w:date="2025-05-15T13:45:00Z">
          <w:pPr/>
        </w:pPrChange>
      </w:pPr>
    </w:p>
    <w:p w14:paraId="3F461714" w14:textId="47BF6998" w:rsidR="00B30E6A" w:rsidRPr="009C5EFD" w:rsidRDefault="00E453CD">
      <w:pPr>
        <w:keepNext/>
        <w:suppressAutoHyphens/>
        <w:rPr>
          <w:del w:id="11217" w:author="AbbVie02no" w:date="2025-05-15T13:45:00Z"/>
          <w:rFonts w:eastAsia="Arial Unicode MS"/>
          <w:sz w:val="22"/>
          <w:szCs w:val="22"/>
        </w:rPr>
        <w:pPrChange w:id="11218" w:author="AbbVie02no" w:date="2025-05-15T13:45:00Z">
          <w:pPr>
            <w:suppressAutoHyphens/>
          </w:pPr>
        </w:pPrChange>
      </w:pPr>
      <w:del w:id="11219" w:author="AbbVie02no" w:date="2025-05-15T13:45:00Z">
        <w:r w:rsidRPr="009C5EFD">
          <w:rPr>
            <w:sz w:val="22"/>
            <w:szCs w:val="22"/>
          </w:rPr>
          <w:delText xml:space="preserve">Hos pediatriske pasienter med moderat til alvorlig Crohns sykdom var den åpne adalimumab </w:delText>
        </w:r>
        <w:r w:rsidR="00892FD0" w:rsidRPr="009C5EFD">
          <w:rPr>
            <w:sz w:val="22"/>
            <w:szCs w:val="22"/>
          </w:rPr>
          <w:delText>induksjons</w:delText>
        </w:r>
        <w:r w:rsidRPr="009C5EFD">
          <w:rPr>
            <w:sz w:val="22"/>
            <w:szCs w:val="22"/>
          </w:rPr>
          <w:delText>dosen 160/80 mg eller 80/40 mg ved henholdsvis uke 0 og 2 avhengig av en kroppsvekt avskåret ved 40 kg. Ved uke 4 ble pasienter randomisert til vedlikeholdsbehandlingsgrupper 1:1 til enten standard dose (40/20 mg annenhver uke) eller lav dose (20/10 mg annenhver uke) basert på deres kroppsvekt. Gjennomsnittlig</w:delText>
        </w:r>
        <w:r w:rsidR="007E0C3E" w:rsidRPr="009C5EFD">
          <w:rPr>
            <w:sz w:val="22"/>
            <w:szCs w:val="22"/>
          </w:rPr>
          <w:delText>e</w:delText>
        </w:r>
        <w:r w:rsidRPr="009C5EFD">
          <w:rPr>
            <w:sz w:val="22"/>
            <w:szCs w:val="22"/>
          </w:rPr>
          <w:delText xml:space="preserve"> </w:delText>
        </w:r>
        <w:r w:rsidRPr="009C5EFD">
          <w:rPr>
            <w:sz w:val="22"/>
            <w:szCs w:val="22"/>
            <w:lang w:eastAsia="en-GB"/>
          </w:rPr>
          <w:delText>(</w:delText>
        </w:r>
        <w:r w:rsidRPr="009C5EFD">
          <w:rPr>
            <w:rFonts w:eastAsia="Arial Unicode MS"/>
            <w:sz w:val="22"/>
            <w:szCs w:val="22"/>
          </w:rPr>
          <w:delText>±SD</w:delText>
        </w:r>
        <w:r w:rsidRPr="00AB7697">
          <w:rPr>
            <w:rFonts w:eastAsia="Arial Unicode MS"/>
            <w:sz w:val="22"/>
          </w:rPr>
          <w:delText xml:space="preserve">) </w:delText>
        </w:r>
        <w:r w:rsidR="00B125D2">
          <w:rPr>
            <w:sz w:val="22"/>
            <w:szCs w:val="22"/>
          </w:rPr>
          <w:delText>bunn</w:delText>
        </w:r>
        <w:r w:rsidRPr="009C5EFD">
          <w:rPr>
            <w:sz w:val="22"/>
            <w:szCs w:val="22"/>
          </w:rPr>
          <w:delText xml:space="preserve">konsentrasjoner </w:delText>
        </w:r>
        <w:r w:rsidR="00CD5B0C" w:rsidRPr="009C5EFD">
          <w:rPr>
            <w:sz w:val="22"/>
            <w:szCs w:val="22"/>
          </w:rPr>
          <w:delText xml:space="preserve">av adalimumab i serum </w:delText>
        </w:r>
        <w:r w:rsidRPr="009C5EFD">
          <w:rPr>
            <w:sz w:val="22"/>
            <w:szCs w:val="22"/>
          </w:rPr>
          <w:delText xml:space="preserve">oppnådd ved uke 4 var 15,7 </w:delText>
        </w:r>
        <w:r w:rsidRPr="009C5EFD">
          <w:rPr>
            <w:rFonts w:eastAsia="Arial Unicode MS"/>
            <w:sz w:val="22"/>
            <w:szCs w:val="22"/>
          </w:rPr>
          <w:delText xml:space="preserve">± 6,6 </w:delText>
        </w:r>
        <w:r w:rsidR="00D4553F" w:rsidRPr="009C5EFD">
          <w:rPr>
            <w:rFonts w:eastAsia="Arial Unicode MS"/>
            <w:sz w:val="22"/>
            <w:szCs w:val="22"/>
          </w:rPr>
          <w:delText>mikro</w:delText>
        </w:r>
        <w:r w:rsidRPr="009C5EFD">
          <w:rPr>
            <w:rFonts w:eastAsia="Arial Unicode MS"/>
            <w:sz w:val="22"/>
            <w:szCs w:val="22"/>
          </w:rPr>
          <w:delText xml:space="preserve">g/ml for pasienter ≥ 40 kg (160/80 mg) og 10,6 ± 6,1 </w:delText>
        </w:r>
        <w:r w:rsidR="00D4553F" w:rsidRPr="009C5EFD">
          <w:rPr>
            <w:rFonts w:eastAsia="Arial Unicode MS"/>
            <w:sz w:val="22"/>
            <w:szCs w:val="22"/>
          </w:rPr>
          <w:delText>mikro</w:delText>
        </w:r>
        <w:r w:rsidRPr="009C5EFD">
          <w:rPr>
            <w:rFonts w:eastAsia="Arial Unicode MS"/>
            <w:sz w:val="22"/>
            <w:szCs w:val="22"/>
          </w:rPr>
          <w:delText>g/ml for pasienter &lt; 40 kg (80/40 mg).</w:delText>
        </w:r>
      </w:del>
    </w:p>
    <w:p w14:paraId="7EF02B56" w14:textId="1542B893" w:rsidR="00B30E6A" w:rsidRPr="009C5EFD" w:rsidRDefault="00B30E6A">
      <w:pPr>
        <w:keepNext/>
        <w:suppressAutoHyphens/>
        <w:rPr>
          <w:del w:id="11220" w:author="AbbVie02no" w:date="2025-05-15T13:45:00Z"/>
          <w:rFonts w:eastAsia="Arial Unicode MS"/>
          <w:sz w:val="22"/>
          <w:szCs w:val="22"/>
        </w:rPr>
        <w:pPrChange w:id="11221" w:author="AbbVie02no" w:date="2025-05-15T13:45:00Z">
          <w:pPr>
            <w:suppressAutoHyphens/>
          </w:pPr>
        </w:pPrChange>
      </w:pPr>
    </w:p>
    <w:p w14:paraId="5EBB709C" w14:textId="393D79F1" w:rsidR="00B30E6A" w:rsidRPr="009C5EFD" w:rsidRDefault="00E453CD">
      <w:pPr>
        <w:keepNext/>
        <w:suppressAutoHyphens/>
        <w:rPr>
          <w:del w:id="11222" w:author="AbbVie02no" w:date="2025-05-15T13:45:00Z"/>
          <w:sz w:val="22"/>
          <w:szCs w:val="22"/>
        </w:rPr>
        <w:pPrChange w:id="11223" w:author="AbbVie02no" w:date="2025-05-15T13:45:00Z">
          <w:pPr/>
        </w:pPrChange>
      </w:pPr>
      <w:del w:id="11224" w:author="AbbVie02no" w:date="2025-05-15T13:45:00Z">
        <w:r w:rsidRPr="009C5EFD">
          <w:rPr>
            <w:rFonts w:eastAsia="Arial Unicode MS"/>
            <w:sz w:val="22"/>
            <w:szCs w:val="22"/>
          </w:rPr>
          <w:delText>For pasienter som fortsatte på deres randomiserte behandling var gjennomsnittlig</w:delText>
        </w:r>
        <w:r w:rsidR="002F6056" w:rsidRPr="009C5EFD">
          <w:rPr>
            <w:rFonts w:eastAsia="Arial Unicode MS"/>
            <w:sz w:val="22"/>
            <w:szCs w:val="22"/>
          </w:rPr>
          <w:delText>e</w:delText>
        </w:r>
        <w:r w:rsidRPr="009C5EFD">
          <w:rPr>
            <w:rFonts w:eastAsia="Arial Unicode MS"/>
            <w:sz w:val="22"/>
            <w:szCs w:val="22"/>
          </w:rPr>
          <w:delText xml:space="preserve"> </w:delText>
        </w:r>
        <w:r w:rsidRPr="009C5EFD">
          <w:rPr>
            <w:sz w:val="22"/>
            <w:szCs w:val="22"/>
            <w:lang w:eastAsia="en-GB"/>
          </w:rPr>
          <w:delText>(</w:delText>
        </w:r>
        <w:r w:rsidRPr="009C5EFD">
          <w:rPr>
            <w:rFonts w:eastAsia="Arial Unicode MS"/>
            <w:sz w:val="22"/>
            <w:szCs w:val="22"/>
          </w:rPr>
          <w:delText>±SD</w:delText>
        </w:r>
        <w:r w:rsidRPr="00AB7697">
          <w:rPr>
            <w:rFonts w:eastAsia="Arial Unicode MS"/>
            <w:sz w:val="22"/>
          </w:rPr>
          <w:delText xml:space="preserve">) </w:delText>
        </w:r>
        <w:r w:rsidR="00B125D2">
          <w:rPr>
            <w:sz w:val="22"/>
            <w:szCs w:val="22"/>
          </w:rPr>
          <w:delText>bunn</w:delText>
        </w:r>
        <w:r w:rsidRPr="009C5EFD">
          <w:rPr>
            <w:sz w:val="22"/>
            <w:szCs w:val="22"/>
          </w:rPr>
          <w:delText xml:space="preserve">konsentrasjoner </w:delText>
        </w:r>
        <w:r w:rsidR="00CD5B0C" w:rsidRPr="009C5EFD">
          <w:rPr>
            <w:sz w:val="22"/>
            <w:szCs w:val="22"/>
          </w:rPr>
          <w:delText xml:space="preserve">av adalimumab </w:delText>
        </w:r>
        <w:r w:rsidRPr="009C5EFD">
          <w:rPr>
            <w:sz w:val="22"/>
            <w:szCs w:val="22"/>
          </w:rPr>
          <w:delText xml:space="preserve">ved uke 52 9,5 </w:delText>
        </w:r>
        <w:r w:rsidRPr="009C5EFD">
          <w:rPr>
            <w:rFonts w:eastAsia="Arial Unicode MS"/>
            <w:sz w:val="22"/>
            <w:szCs w:val="22"/>
          </w:rPr>
          <w:delText xml:space="preserve">± 5,6 </w:delText>
        </w:r>
        <w:r w:rsidR="00D4553F" w:rsidRPr="009C5EFD">
          <w:rPr>
            <w:rFonts w:eastAsia="Arial Unicode MS"/>
            <w:sz w:val="22"/>
            <w:szCs w:val="22"/>
          </w:rPr>
          <w:delText>mikro</w:delText>
        </w:r>
        <w:r w:rsidRPr="009C5EFD">
          <w:rPr>
            <w:rFonts w:eastAsia="Arial Unicode MS"/>
            <w:sz w:val="22"/>
            <w:szCs w:val="22"/>
          </w:rPr>
          <w:delText xml:space="preserve">g/ml for </w:delText>
        </w:r>
        <w:r w:rsidR="00021FC6">
          <w:rPr>
            <w:rFonts w:eastAsia="Arial Unicode MS"/>
            <w:sz w:val="22"/>
            <w:szCs w:val="22"/>
          </w:rPr>
          <w:delText xml:space="preserve">gruppen som fikk </w:delText>
        </w:r>
        <w:r w:rsidRPr="009C5EFD">
          <w:rPr>
            <w:rFonts w:eastAsia="Arial Unicode MS"/>
            <w:sz w:val="22"/>
            <w:szCs w:val="22"/>
          </w:rPr>
          <w:delText xml:space="preserve">standard dose og </w:delText>
        </w:r>
        <w:r w:rsidRPr="009C5EFD">
          <w:rPr>
            <w:sz w:val="22"/>
            <w:szCs w:val="22"/>
          </w:rPr>
          <w:delText xml:space="preserve">3,5 </w:delText>
        </w:r>
        <w:r w:rsidRPr="009C5EFD">
          <w:rPr>
            <w:rFonts w:eastAsia="Arial Unicode MS"/>
            <w:sz w:val="22"/>
            <w:szCs w:val="22"/>
          </w:rPr>
          <w:delText xml:space="preserve">± 2,2 </w:delText>
        </w:r>
        <w:r w:rsidR="00D4553F" w:rsidRPr="009C5EFD">
          <w:rPr>
            <w:rFonts w:eastAsia="Arial Unicode MS"/>
            <w:sz w:val="22"/>
            <w:szCs w:val="22"/>
          </w:rPr>
          <w:delText>mikro</w:delText>
        </w:r>
        <w:r w:rsidRPr="009C5EFD">
          <w:rPr>
            <w:rFonts w:eastAsia="Arial Unicode MS"/>
            <w:sz w:val="22"/>
            <w:szCs w:val="22"/>
          </w:rPr>
          <w:delText xml:space="preserve">g/ml for </w:delText>
        </w:r>
        <w:r w:rsidR="00021FC6">
          <w:rPr>
            <w:rFonts w:eastAsia="Arial Unicode MS"/>
            <w:sz w:val="22"/>
            <w:szCs w:val="22"/>
          </w:rPr>
          <w:delText xml:space="preserve">gruppen som fikk </w:delText>
        </w:r>
        <w:r w:rsidRPr="009C5EFD">
          <w:rPr>
            <w:rFonts w:eastAsia="Arial Unicode MS"/>
            <w:sz w:val="22"/>
            <w:szCs w:val="22"/>
          </w:rPr>
          <w:delText>lav dose. Gjennomsnittlig</w:delText>
        </w:r>
        <w:r w:rsidR="002F6056" w:rsidRPr="009C5EFD">
          <w:rPr>
            <w:rFonts w:eastAsia="Arial Unicode MS"/>
            <w:sz w:val="22"/>
            <w:szCs w:val="22"/>
          </w:rPr>
          <w:delText>e</w:delText>
        </w:r>
        <w:r w:rsidRPr="009C5EFD">
          <w:rPr>
            <w:rFonts w:eastAsia="Arial Unicode MS"/>
            <w:sz w:val="22"/>
            <w:szCs w:val="22"/>
          </w:rPr>
          <w:delText xml:space="preserve"> </w:delText>
        </w:r>
        <w:r w:rsidR="00B125D2">
          <w:rPr>
            <w:rFonts w:eastAsia="Arial Unicode MS"/>
            <w:sz w:val="22"/>
            <w:szCs w:val="22"/>
          </w:rPr>
          <w:delText>bunn</w:delText>
        </w:r>
        <w:r w:rsidRPr="009C5EFD">
          <w:rPr>
            <w:rFonts w:eastAsia="Arial Unicode MS"/>
            <w:sz w:val="22"/>
            <w:szCs w:val="22"/>
          </w:rPr>
          <w:delText>konsentrasjoner ble vedlikeholdt hos pasienter som fortsatte på adalimumab behandling annenhver uke i 52 uker. For pasienter som økte dosen fra annenhver uke til ukentlig regime var gjennomsnittlig</w:delText>
        </w:r>
        <w:r w:rsidR="002F6056" w:rsidRPr="009C5EFD">
          <w:rPr>
            <w:rFonts w:eastAsia="Arial Unicode MS"/>
            <w:sz w:val="22"/>
            <w:szCs w:val="22"/>
          </w:rPr>
          <w:delText>e</w:delText>
        </w:r>
        <w:r w:rsidRPr="009C5EFD">
          <w:rPr>
            <w:rFonts w:eastAsia="Arial Unicode MS"/>
            <w:sz w:val="22"/>
            <w:szCs w:val="22"/>
          </w:rPr>
          <w:delText xml:space="preserve"> </w:delText>
        </w:r>
        <w:r w:rsidRPr="009C5EFD">
          <w:rPr>
            <w:sz w:val="22"/>
            <w:szCs w:val="22"/>
            <w:lang w:eastAsia="en-GB"/>
          </w:rPr>
          <w:delText>(</w:delText>
        </w:r>
        <w:r w:rsidRPr="009C5EFD">
          <w:rPr>
            <w:rFonts w:eastAsia="Arial Unicode MS"/>
            <w:sz w:val="22"/>
            <w:szCs w:val="22"/>
          </w:rPr>
          <w:delText>±SD</w:delText>
        </w:r>
        <w:r w:rsidRPr="00AB7697">
          <w:rPr>
            <w:rFonts w:eastAsia="Arial Unicode MS"/>
            <w:sz w:val="22"/>
          </w:rPr>
          <w:delText xml:space="preserve">) serum konsentrasjoner av adalimumab ved uke 52 </w:delText>
        </w:r>
        <w:r w:rsidRPr="009C5EFD">
          <w:rPr>
            <w:sz w:val="22"/>
            <w:szCs w:val="22"/>
          </w:rPr>
          <w:delText xml:space="preserve">15,3 </w:delText>
        </w:r>
        <w:r w:rsidRPr="009C5EFD">
          <w:rPr>
            <w:rFonts w:eastAsia="Arial Unicode MS"/>
            <w:sz w:val="22"/>
            <w:szCs w:val="22"/>
          </w:rPr>
          <w:delText xml:space="preserve">± 11,4 </w:delText>
        </w:r>
        <w:r w:rsidR="00D4553F" w:rsidRPr="009C5EFD">
          <w:rPr>
            <w:rFonts w:eastAsia="Arial Unicode MS"/>
            <w:sz w:val="22"/>
            <w:szCs w:val="22"/>
          </w:rPr>
          <w:delText>mikro</w:delText>
        </w:r>
        <w:r w:rsidRPr="009C5EFD">
          <w:rPr>
            <w:rFonts w:eastAsia="Arial Unicode MS"/>
            <w:sz w:val="22"/>
            <w:szCs w:val="22"/>
          </w:rPr>
          <w:delText xml:space="preserve">g/ml (40/20 mg, ukentlig) og </w:delText>
        </w:r>
        <w:r w:rsidRPr="009C5EFD">
          <w:rPr>
            <w:sz w:val="22"/>
            <w:szCs w:val="22"/>
          </w:rPr>
          <w:delText xml:space="preserve">6,7 </w:delText>
        </w:r>
        <w:r w:rsidRPr="009C5EFD">
          <w:rPr>
            <w:rFonts w:eastAsia="Arial Unicode MS"/>
            <w:sz w:val="22"/>
            <w:szCs w:val="22"/>
          </w:rPr>
          <w:delText xml:space="preserve">± 3,5 </w:delText>
        </w:r>
        <w:r w:rsidR="00D4553F" w:rsidRPr="009C5EFD">
          <w:rPr>
            <w:rFonts w:eastAsia="Arial Unicode MS"/>
            <w:sz w:val="22"/>
            <w:szCs w:val="22"/>
          </w:rPr>
          <w:delText>mikro</w:delText>
        </w:r>
        <w:r w:rsidRPr="009C5EFD">
          <w:rPr>
            <w:rFonts w:eastAsia="Arial Unicode MS"/>
            <w:sz w:val="22"/>
            <w:szCs w:val="22"/>
          </w:rPr>
          <w:delText>g/ml (20/10 mg, ukentlig).</w:delText>
        </w:r>
      </w:del>
    </w:p>
    <w:p w14:paraId="57DBFFF0" w14:textId="067BF7DC" w:rsidR="00F67A90" w:rsidRPr="009C5EFD" w:rsidRDefault="00F67A90">
      <w:pPr>
        <w:keepNext/>
        <w:suppressAutoHyphens/>
        <w:rPr>
          <w:del w:id="11225" w:author="AbbVie02no" w:date="2025-05-15T13:45:00Z"/>
          <w:sz w:val="22"/>
          <w:szCs w:val="22"/>
        </w:rPr>
        <w:pPrChange w:id="11226" w:author="AbbVie02no" w:date="2025-05-15T13:45:00Z">
          <w:pPr/>
        </w:pPrChange>
      </w:pPr>
    </w:p>
    <w:p w14:paraId="2DF69047" w14:textId="5D8A53A0" w:rsidR="001B72BA" w:rsidRDefault="00E453CD">
      <w:pPr>
        <w:keepNext/>
        <w:suppressAutoHyphens/>
        <w:rPr>
          <w:del w:id="11227" w:author="AbbVie02no" w:date="2025-05-15T13:45:00Z"/>
          <w:sz w:val="22"/>
          <w:szCs w:val="22"/>
        </w:rPr>
        <w:pPrChange w:id="11228" w:author="AbbVie02no" w:date="2025-05-15T13:45:00Z">
          <w:pPr>
            <w:autoSpaceDE w:val="0"/>
            <w:autoSpaceDN w:val="0"/>
            <w:adjustRightInd w:val="0"/>
          </w:pPr>
        </w:pPrChange>
      </w:pPr>
      <w:del w:id="11229" w:author="AbbVie02no" w:date="2025-05-15T13:45:00Z">
        <w:r w:rsidRPr="009C5EFD">
          <w:rPr>
            <w:sz w:val="22"/>
            <w:szCs w:val="22"/>
          </w:rPr>
          <w:delText>Hos pasienter med ulcerøs kolitt</w:delText>
        </w:r>
        <w:r w:rsidR="0017641C" w:rsidRPr="009C5EFD">
          <w:rPr>
            <w:sz w:val="22"/>
            <w:szCs w:val="22"/>
          </w:rPr>
          <w:delText xml:space="preserve"> var </w:delText>
        </w:r>
        <w:r w:rsidR="00B125D2">
          <w:rPr>
            <w:sz w:val="22"/>
            <w:szCs w:val="22"/>
          </w:rPr>
          <w:delText>bunn</w:delText>
        </w:r>
        <w:r w:rsidR="0017641C" w:rsidRPr="009C5EFD">
          <w:rPr>
            <w:sz w:val="22"/>
            <w:szCs w:val="22"/>
          </w:rPr>
          <w:delText xml:space="preserve">nivået for serumkonsentrasjon av adalimumab i induksjonsperioden ca. 12 </w:delText>
        </w:r>
        <w:r w:rsidR="00E05B6B" w:rsidRPr="009C5EFD">
          <w:rPr>
            <w:sz w:val="22"/>
            <w:szCs w:val="22"/>
          </w:rPr>
          <w:delText>mikro</w:delText>
        </w:r>
        <w:r w:rsidR="0017641C" w:rsidRPr="009C5EFD">
          <w:rPr>
            <w:sz w:val="22"/>
            <w:szCs w:val="22"/>
          </w:rPr>
          <w:delText>g/ml med induksjonsdose 160 mg Humira ved uke 0</w:delText>
        </w:r>
        <w:r w:rsidR="00F67A90" w:rsidRPr="009C5EFD">
          <w:rPr>
            <w:sz w:val="22"/>
            <w:szCs w:val="22"/>
          </w:rPr>
          <w:delText>,</w:delText>
        </w:r>
        <w:r w:rsidR="0017641C" w:rsidRPr="009C5EFD">
          <w:rPr>
            <w:sz w:val="22"/>
            <w:szCs w:val="22"/>
          </w:rPr>
          <w:delText xml:space="preserve"> etterfulgt av 80 mg Humira ved uke 2. Gjennomsnittlige </w:delText>
        </w:r>
        <w:r w:rsidR="00B125D2">
          <w:rPr>
            <w:sz w:val="22"/>
            <w:szCs w:val="22"/>
          </w:rPr>
          <w:delText>bunn</w:delText>
        </w:r>
        <w:r w:rsidR="0017641C" w:rsidRPr="009C5EFD">
          <w:rPr>
            <w:sz w:val="22"/>
            <w:szCs w:val="22"/>
          </w:rPr>
          <w:delText xml:space="preserve">nivåer ved steady-state på ca. 8 </w:delText>
        </w:r>
        <w:r w:rsidR="00E05B6B" w:rsidRPr="009C5EFD">
          <w:rPr>
            <w:sz w:val="22"/>
            <w:szCs w:val="22"/>
          </w:rPr>
          <w:delText>mikro</w:delText>
        </w:r>
        <w:r w:rsidR="0017641C" w:rsidRPr="009C5EFD">
          <w:rPr>
            <w:sz w:val="22"/>
            <w:szCs w:val="22"/>
          </w:rPr>
          <w:delText>g/ml ble observert hos pasienter med ulcerøs kolitt som fikk vedlikeholdsdose 40 mg Humira annenhver uke.</w:delText>
        </w:r>
      </w:del>
    </w:p>
    <w:p w14:paraId="6709B175" w14:textId="1EB712A5" w:rsidR="00994C9E" w:rsidRDefault="00994C9E">
      <w:pPr>
        <w:keepNext/>
        <w:suppressAutoHyphens/>
        <w:rPr>
          <w:del w:id="11230" w:author="AbbVie02no" w:date="2025-05-15T13:45:00Z"/>
          <w:sz w:val="22"/>
          <w:szCs w:val="22"/>
        </w:rPr>
        <w:pPrChange w:id="11231" w:author="AbbVie02no" w:date="2025-05-15T13:45:00Z">
          <w:pPr>
            <w:autoSpaceDE w:val="0"/>
            <w:autoSpaceDN w:val="0"/>
            <w:adjustRightInd w:val="0"/>
          </w:pPr>
        </w:pPrChange>
      </w:pPr>
    </w:p>
    <w:p w14:paraId="79E9C226" w14:textId="441F6EF7" w:rsidR="002D40BF" w:rsidRPr="002F0483" w:rsidRDefault="00E453CD">
      <w:pPr>
        <w:keepNext/>
        <w:suppressAutoHyphens/>
        <w:rPr>
          <w:del w:id="11232" w:author="AbbVie02no" w:date="2025-05-15T13:45:00Z"/>
          <w:sz w:val="22"/>
        </w:rPr>
        <w:pPrChange w:id="11233" w:author="AbbVie02no" w:date="2025-05-15T13:45:00Z">
          <w:pPr/>
        </w:pPrChange>
      </w:pPr>
      <w:del w:id="11234" w:author="AbbVie02no" w:date="2025-05-15T13:45:00Z">
        <w:r w:rsidRPr="00E04B2A">
          <w:rPr>
            <w:sz w:val="22"/>
          </w:rPr>
          <w:delText xml:space="preserve">Etter subkutan </w:delText>
        </w:r>
        <w:r w:rsidR="00B8124C">
          <w:rPr>
            <w:sz w:val="22"/>
          </w:rPr>
          <w:delText>administrasjon</w:delText>
        </w:r>
        <w:r w:rsidRPr="00E04B2A">
          <w:rPr>
            <w:sz w:val="22"/>
          </w:rPr>
          <w:delText xml:space="preserve"> av </w:delText>
        </w:r>
        <w:r>
          <w:rPr>
            <w:sz w:val="22"/>
          </w:rPr>
          <w:delText xml:space="preserve">en dose </w:delText>
        </w:r>
        <w:r w:rsidR="00B8124C">
          <w:rPr>
            <w:sz w:val="22"/>
          </w:rPr>
          <w:delText xml:space="preserve">basert på kroppsvekten </w:delText>
        </w:r>
        <w:r w:rsidRPr="00E04B2A">
          <w:rPr>
            <w:sz w:val="22"/>
          </w:rPr>
          <w:delText>på 0,6</w:delText>
        </w:r>
        <w:r w:rsidR="00FD1DB9">
          <w:rPr>
            <w:sz w:val="22"/>
          </w:rPr>
          <w:delText> </w:delText>
        </w:r>
        <w:r w:rsidRPr="00E04B2A">
          <w:rPr>
            <w:sz w:val="22"/>
          </w:rPr>
          <w:delText>mg/kg (maksimalt 40</w:delText>
        </w:r>
        <w:r w:rsidR="00FD1DB9">
          <w:rPr>
            <w:sz w:val="22"/>
          </w:rPr>
          <w:delText> </w:delText>
        </w:r>
        <w:r w:rsidRPr="00E04B2A">
          <w:rPr>
            <w:sz w:val="22"/>
          </w:rPr>
          <w:delText>mg) annenhver uke</w:delText>
        </w:r>
        <w:r>
          <w:rPr>
            <w:sz w:val="22"/>
          </w:rPr>
          <w:delText xml:space="preserve"> </w:delText>
        </w:r>
        <w:r w:rsidRPr="00E04B2A">
          <w:rPr>
            <w:sz w:val="22"/>
          </w:rPr>
          <w:delText>til pediatriske pasienter med ulcerøs kolitt, var</w:delText>
        </w:r>
        <w:r>
          <w:rPr>
            <w:sz w:val="22"/>
          </w:rPr>
          <w:delText xml:space="preserve"> </w:delText>
        </w:r>
        <w:r w:rsidRPr="00E04B2A">
          <w:rPr>
            <w:sz w:val="22"/>
          </w:rPr>
          <w:delText>gjennomsnittlig</w:delText>
        </w:r>
        <w:r>
          <w:rPr>
            <w:sz w:val="22"/>
          </w:rPr>
          <w:delText xml:space="preserve"> bunn</w:delText>
        </w:r>
        <w:r w:rsidRPr="00E04B2A">
          <w:rPr>
            <w:sz w:val="22"/>
          </w:rPr>
          <w:delText>konsentrasjon av adalimumab</w:delText>
        </w:r>
        <w:r>
          <w:rPr>
            <w:sz w:val="22"/>
          </w:rPr>
          <w:delText xml:space="preserve"> i serum </w:delText>
        </w:r>
        <w:r w:rsidRPr="009C5EFD">
          <w:rPr>
            <w:sz w:val="22"/>
            <w:szCs w:val="22"/>
          </w:rPr>
          <w:delText>ved steady-state</w:delText>
        </w:r>
        <w:r w:rsidRPr="00E04B2A">
          <w:rPr>
            <w:sz w:val="22"/>
          </w:rPr>
          <w:delText xml:space="preserve"> 5,01</w:delText>
        </w:r>
        <w:r>
          <w:rPr>
            <w:sz w:val="22"/>
          </w:rPr>
          <w:delText> </w:delText>
        </w:r>
        <w:r w:rsidRPr="00E04B2A">
          <w:rPr>
            <w:sz w:val="22"/>
          </w:rPr>
          <w:delText>±</w:delText>
        </w:r>
        <w:r>
          <w:rPr>
            <w:sz w:val="22"/>
          </w:rPr>
          <w:delText> </w:delText>
        </w:r>
        <w:r w:rsidRPr="00E04B2A">
          <w:rPr>
            <w:sz w:val="22"/>
          </w:rPr>
          <w:delText>3,28 </w:delText>
        </w:r>
        <w:r>
          <w:rPr>
            <w:sz w:val="22"/>
          </w:rPr>
          <w:delText>mikrog</w:delText>
        </w:r>
        <w:r w:rsidRPr="00E04B2A">
          <w:rPr>
            <w:sz w:val="22"/>
          </w:rPr>
          <w:delText xml:space="preserve">/ml </w:delText>
        </w:r>
        <w:r>
          <w:rPr>
            <w:sz w:val="22"/>
          </w:rPr>
          <w:delText>ved</w:delText>
        </w:r>
        <w:r w:rsidRPr="00E04B2A">
          <w:rPr>
            <w:sz w:val="22"/>
          </w:rPr>
          <w:delText xml:space="preserve"> uke 52. For pasienter som fikk 0,6</w:delText>
        </w:r>
        <w:r w:rsidR="00FD1DB9">
          <w:rPr>
            <w:sz w:val="22"/>
          </w:rPr>
          <w:delText> </w:delText>
        </w:r>
        <w:r w:rsidRPr="00E04B2A">
          <w:rPr>
            <w:sz w:val="22"/>
          </w:rPr>
          <w:delText>mg/kg (maksimalt 40</w:delText>
        </w:r>
        <w:r w:rsidR="00FD1DB9">
          <w:rPr>
            <w:sz w:val="22"/>
          </w:rPr>
          <w:delText> </w:delText>
        </w:r>
        <w:r w:rsidRPr="00E04B2A">
          <w:rPr>
            <w:sz w:val="22"/>
          </w:rPr>
          <w:delText>mg) hver uke var gjennomsnittlig (± SD)</w:delText>
        </w:r>
        <w:r>
          <w:rPr>
            <w:sz w:val="22"/>
          </w:rPr>
          <w:delText xml:space="preserve"> bunn</w:delText>
        </w:r>
        <w:r w:rsidRPr="00E04B2A">
          <w:rPr>
            <w:sz w:val="22"/>
          </w:rPr>
          <w:delText xml:space="preserve">konsentrasjon </w:delText>
        </w:r>
        <w:r>
          <w:rPr>
            <w:sz w:val="22"/>
          </w:rPr>
          <w:delText xml:space="preserve">av </w:delText>
        </w:r>
        <w:r w:rsidRPr="00E04B2A">
          <w:rPr>
            <w:sz w:val="22"/>
          </w:rPr>
          <w:delText>adalimumab</w:delText>
        </w:r>
        <w:r>
          <w:rPr>
            <w:sz w:val="22"/>
          </w:rPr>
          <w:delText xml:space="preserve"> </w:delText>
        </w:r>
        <w:r w:rsidRPr="009C5EFD">
          <w:rPr>
            <w:sz w:val="22"/>
            <w:szCs w:val="22"/>
          </w:rPr>
          <w:delText xml:space="preserve">ved steady-state </w:delText>
        </w:r>
        <w:r w:rsidRPr="00E04B2A">
          <w:rPr>
            <w:sz w:val="22"/>
          </w:rPr>
          <w:delText>15,7</w:delText>
        </w:r>
        <w:r>
          <w:rPr>
            <w:sz w:val="22"/>
          </w:rPr>
          <w:delText> </w:delText>
        </w:r>
        <w:r w:rsidRPr="00E04B2A">
          <w:rPr>
            <w:sz w:val="22"/>
          </w:rPr>
          <w:delText>±</w:delText>
        </w:r>
        <w:r>
          <w:rPr>
            <w:sz w:val="22"/>
          </w:rPr>
          <w:delText> </w:delText>
        </w:r>
        <w:r w:rsidRPr="00E04B2A">
          <w:rPr>
            <w:sz w:val="22"/>
          </w:rPr>
          <w:delText>5,60 </w:delText>
        </w:r>
        <w:r>
          <w:rPr>
            <w:sz w:val="22"/>
          </w:rPr>
          <w:delText>mikro</w:delText>
        </w:r>
        <w:r w:rsidRPr="00E04B2A">
          <w:rPr>
            <w:sz w:val="22"/>
          </w:rPr>
          <w:delText xml:space="preserve">g/ml </w:delText>
        </w:r>
        <w:r>
          <w:rPr>
            <w:sz w:val="22"/>
          </w:rPr>
          <w:delText>ved</w:delText>
        </w:r>
        <w:r w:rsidRPr="00E04B2A">
          <w:rPr>
            <w:sz w:val="22"/>
          </w:rPr>
          <w:delText xml:space="preserve"> uke 52.</w:delText>
        </w:r>
      </w:del>
    </w:p>
    <w:p w14:paraId="17CA142F" w14:textId="04F0CCE8" w:rsidR="002D40BF" w:rsidRDefault="002D40BF">
      <w:pPr>
        <w:keepNext/>
        <w:suppressAutoHyphens/>
        <w:rPr>
          <w:del w:id="11235" w:author="AbbVie02no" w:date="2025-05-15T13:45:00Z"/>
          <w:sz w:val="22"/>
          <w:szCs w:val="22"/>
        </w:rPr>
        <w:pPrChange w:id="11236" w:author="AbbVie02no" w:date="2025-05-15T13:45:00Z">
          <w:pPr>
            <w:autoSpaceDE w:val="0"/>
            <w:autoSpaceDN w:val="0"/>
            <w:adjustRightInd w:val="0"/>
          </w:pPr>
        </w:pPrChange>
      </w:pPr>
    </w:p>
    <w:p w14:paraId="3E750399" w14:textId="4262BEBB" w:rsidR="00994C9E" w:rsidRDefault="00E453CD">
      <w:pPr>
        <w:keepNext/>
        <w:suppressAutoHyphens/>
        <w:rPr>
          <w:del w:id="11237" w:author="AbbVie02no" w:date="2025-05-15T13:45:00Z"/>
          <w:sz w:val="22"/>
          <w:szCs w:val="22"/>
        </w:rPr>
        <w:pPrChange w:id="11238" w:author="AbbVie02no" w:date="2025-05-15T13:45:00Z">
          <w:pPr>
            <w:autoSpaceDE w:val="0"/>
            <w:autoSpaceDN w:val="0"/>
            <w:adjustRightInd w:val="0"/>
          </w:pPr>
        </w:pPrChange>
      </w:pPr>
      <w:del w:id="11239" w:author="AbbVie02no" w:date="2025-05-15T13:45:00Z">
        <w:r>
          <w:rPr>
            <w:sz w:val="22"/>
            <w:szCs w:val="22"/>
          </w:rPr>
          <w:delText xml:space="preserve">En </w:delText>
        </w:r>
        <w:r w:rsidR="0019505A">
          <w:rPr>
            <w:sz w:val="22"/>
            <w:szCs w:val="22"/>
          </w:rPr>
          <w:delText>induksjons</w:delText>
        </w:r>
        <w:r>
          <w:rPr>
            <w:sz w:val="22"/>
            <w:szCs w:val="22"/>
          </w:rPr>
          <w:delText xml:space="preserve">dose på 80 mg adalimumab ved uke 0 etterfulgt av 40 mg adalimumab annenhver uke med start fra uke 1 hos </w:delText>
        </w:r>
        <w:r w:rsidR="00A129D3">
          <w:rPr>
            <w:sz w:val="22"/>
            <w:szCs w:val="22"/>
          </w:rPr>
          <w:delText xml:space="preserve">voksne </w:delText>
        </w:r>
        <w:r>
          <w:rPr>
            <w:sz w:val="22"/>
            <w:szCs w:val="22"/>
          </w:rPr>
          <w:delText>pasienter med uveitt, resulterte i g</w:delText>
        </w:r>
        <w:r w:rsidRPr="00994C9E">
          <w:rPr>
            <w:sz w:val="22"/>
            <w:szCs w:val="22"/>
          </w:rPr>
          <w:delText xml:space="preserve">jennomsnittlige steady-state </w:delText>
        </w:r>
        <w:r>
          <w:rPr>
            <w:sz w:val="22"/>
            <w:szCs w:val="22"/>
          </w:rPr>
          <w:delText xml:space="preserve">konsentrasjoner </w:delText>
        </w:r>
        <w:r w:rsidRPr="00994C9E">
          <w:rPr>
            <w:sz w:val="22"/>
            <w:szCs w:val="22"/>
          </w:rPr>
          <w:delText>på ca. 8</w:delText>
        </w:r>
        <w:r>
          <w:rPr>
            <w:sz w:val="22"/>
            <w:szCs w:val="22"/>
          </w:rPr>
          <w:delText xml:space="preserve">-10 </w:delText>
        </w:r>
        <w:r w:rsidRPr="00994C9E">
          <w:rPr>
            <w:sz w:val="22"/>
            <w:szCs w:val="22"/>
          </w:rPr>
          <w:delText>mikrog/ml</w:delText>
        </w:r>
        <w:r>
          <w:rPr>
            <w:sz w:val="22"/>
            <w:szCs w:val="22"/>
          </w:rPr>
          <w:delText>.</w:delText>
        </w:r>
      </w:del>
    </w:p>
    <w:p w14:paraId="2A17EB16" w14:textId="613BE47F" w:rsidR="00695E95" w:rsidRDefault="00695E95">
      <w:pPr>
        <w:keepNext/>
        <w:suppressAutoHyphens/>
        <w:rPr>
          <w:del w:id="11240" w:author="AbbVie02no" w:date="2025-05-15T13:45:00Z"/>
          <w:sz w:val="22"/>
          <w:szCs w:val="22"/>
        </w:rPr>
        <w:pPrChange w:id="11241" w:author="AbbVie02no" w:date="2025-05-15T13:45:00Z">
          <w:pPr>
            <w:autoSpaceDE w:val="0"/>
            <w:autoSpaceDN w:val="0"/>
            <w:adjustRightInd w:val="0"/>
          </w:pPr>
        </w:pPrChange>
      </w:pPr>
    </w:p>
    <w:p w14:paraId="72A2710C" w14:textId="62D8CACB" w:rsidR="00695E95" w:rsidRDefault="00E453CD">
      <w:pPr>
        <w:keepNext/>
        <w:suppressAutoHyphens/>
        <w:rPr>
          <w:del w:id="11242" w:author="AbbVie02no" w:date="2025-05-15T13:45:00Z"/>
          <w:sz w:val="22"/>
          <w:szCs w:val="22"/>
        </w:rPr>
        <w:pPrChange w:id="11243" w:author="AbbVie02no" w:date="2025-05-15T13:45:00Z">
          <w:pPr/>
        </w:pPrChange>
      </w:pPr>
      <w:del w:id="11244" w:author="AbbVie02no" w:date="2025-05-15T13:45:00Z">
        <w:r>
          <w:rPr>
            <w:sz w:val="22"/>
            <w:szCs w:val="22"/>
          </w:rPr>
          <w:delText xml:space="preserve">Adalimumab-eksponeringer hos pasienter med pediatrisk uveitt ble estimert ved å benytte </w:delText>
        </w:r>
        <w:r w:rsidR="008138BF">
          <w:rPr>
            <w:sz w:val="22"/>
            <w:szCs w:val="22"/>
          </w:rPr>
          <w:delText>farmakokinetisk populasjonsmodellering</w:delText>
        </w:r>
        <w:r>
          <w:rPr>
            <w:sz w:val="22"/>
            <w:szCs w:val="22"/>
          </w:rPr>
          <w:delText xml:space="preserve"> og simulering basert på farmakokinetikk observert på tvers av indikasjoner ved bruk hos andre pediatriske pasienter (pediatrisk psoriasis, juvenil idiopatisk artritt, pediatrisk Crohns sykdom og entesittrelatert artritt). Det foreligger ingen kliniske eksponeringsdata vedrørende bruk av </w:delText>
        </w:r>
        <w:r w:rsidR="005207CC" w:rsidRPr="005207CC">
          <w:rPr>
            <w:sz w:val="22"/>
            <w:szCs w:val="22"/>
          </w:rPr>
          <w:delText>induksjonsdose</w:delText>
        </w:r>
        <w:r>
          <w:rPr>
            <w:sz w:val="22"/>
            <w:szCs w:val="22"/>
          </w:rPr>
          <w:delText xml:space="preserve"> hos barn &lt; 6 år. De forventede eksponeringene indikerer at i fravær av metotreksat kan en </w:delText>
        </w:r>
        <w:r w:rsidR="005207CC" w:rsidRPr="005207CC">
          <w:rPr>
            <w:sz w:val="22"/>
            <w:szCs w:val="22"/>
          </w:rPr>
          <w:delText>induksjonsdose</w:delText>
        </w:r>
        <w:r>
          <w:rPr>
            <w:sz w:val="22"/>
            <w:szCs w:val="22"/>
          </w:rPr>
          <w:delText xml:space="preserve"> føre til en initial økning i systemisk eksponering.</w:delText>
        </w:r>
      </w:del>
    </w:p>
    <w:p w14:paraId="5CD7D331" w14:textId="31E8A94F" w:rsidR="00D115E8" w:rsidRDefault="00D115E8">
      <w:pPr>
        <w:keepNext/>
        <w:suppressAutoHyphens/>
        <w:rPr>
          <w:del w:id="11245" w:author="AbbVie02no" w:date="2025-05-15T13:45:00Z"/>
          <w:sz w:val="22"/>
          <w:szCs w:val="22"/>
        </w:rPr>
        <w:pPrChange w:id="11246" w:author="AbbVie02no" w:date="2025-05-15T13:45:00Z">
          <w:pPr/>
        </w:pPrChange>
      </w:pPr>
    </w:p>
    <w:p w14:paraId="5ECDE620" w14:textId="1D2256AA" w:rsidR="00D115E8" w:rsidRPr="00695E95" w:rsidRDefault="00E453CD">
      <w:pPr>
        <w:keepNext/>
        <w:suppressAutoHyphens/>
        <w:rPr>
          <w:del w:id="11247" w:author="AbbVie02no" w:date="2025-05-15T13:45:00Z"/>
          <w:sz w:val="22"/>
        </w:rPr>
        <w:pPrChange w:id="11248" w:author="AbbVie02no" w:date="2025-05-15T13:45:00Z">
          <w:pPr/>
        </w:pPrChange>
      </w:pPr>
      <w:del w:id="11249" w:author="AbbVie02no" w:date="2025-05-15T13:45:00Z">
        <w:r w:rsidRPr="00D115E8">
          <w:rPr>
            <w:sz w:val="22"/>
          </w:rPr>
          <w:delText>Farmakokinetisk populasjons- og farmakokinetisk/farmakodynamisk modellering og simulering antar sammenlignbar eksponering og effekt av adalimumab hos pasienter behandlet med 80</w:delText>
        </w:r>
        <w:r w:rsidR="00DE5E83">
          <w:rPr>
            <w:sz w:val="22"/>
          </w:rPr>
          <w:delText> </w:delText>
        </w:r>
        <w:r w:rsidRPr="00D115E8">
          <w:rPr>
            <w:sz w:val="22"/>
          </w:rPr>
          <w:delText>mg annenhver uke sammenlignet med 40</w:delText>
        </w:r>
        <w:r w:rsidR="00DE5E83">
          <w:rPr>
            <w:sz w:val="22"/>
          </w:rPr>
          <w:delText> </w:delText>
        </w:r>
        <w:r w:rsidRPr="00D115E8">
          <w:rPr>
            <w:sz w:val="22"/>
          </w:rPr>
          <w:delText>mg hver uke (inkludert voksne pasienter med RA, HS, UC, CD eller Ps, ungdom med HS, og pediatriske pasienter ≥</w:delText>
        </w:r>
        <w:r w:rsidR="00DE5E83">
          <w:rPr>
            <w:sz w:val="22"/>
          </w:rPr>
          <w:delText> </w:delText>
        </w:r>
        <w:r w:rsidRPr="00D115E8">
          <w:rPr>
            <w:sz w:val="22"/>
          </w:rPr>
          <w:delText>40</w:delText>
        </w:r>
        <w:r w:rsidR="00DE5E83">
          <w:rPr>
            <w:sz w:val="22"/>
          </w:rPr>
          <w:delText> </w:delText>
        </w:r>
        <w:r w:rsidRPr="00D115E8">
          <w:rPr>
            <w:sz w:val="22"/>
          </w:rPr>
          <w:delText>kg med CD</w:delText>
        </w:r>
        <w:r w:rsidR="002D40BF">
          <w:rPr>
            <w:sz w:val="22"/>
          </w:rPr>
          <w:delText xml:space="preserve"> og UC</w:delText>
        </w:r>
        <w:r w:rsidRPr="00D115E8">
          <w:rPr>
            <w:sz w:val="22"/>
          </w:rPr>
          <w:delText>).</w:delText>
        </w:r>
      </w:del>
    </w:p>
    <w:p w14:paraId="1C0245F9" w14:textId="49636A8F" w:rsidR="00A129D3" w:rsidRDefault="00A129D3">
      <w:pPr>
        <w:keepNext/>
        <w:suppressAutoHyphens/>
        <w:rPr>
          <w:del w:id="11250" w:author="AbbVie02no" w:date="2025-05-15T13:45:00Z"/>
          <w:sz w:val="22"/>
        </w:rPr>
        <w:pPrChange w:id="11251" w:author="AbbVie02no" w:date="2025-05-15T13:45:00Z">
          <w:pPr/>
        </w:pPrChange>
      </w:pPr>
    </w:p>
    <w:p w14:paraId="1E432DF6" w14:textId="285951F8" w:rsidR="00A129D3" w:rsidRPr="00AF70AD" w:rsidRDefault="00E453CD">
      <w:pPr>
        <w:keepNext/>
        <w:suppressAutoHyphens/>
        <w:rPr>
          <w:del w:id="11252" w:author="AbbVie02no" w:date="2025-05-15T13:45:00Z"/>
          <w:sz w:val="22"/>
          <w:u w:val="single"/>
        </w:rPr>
        <w:pPrChange w:id="11253" w:author="AbbVie02no" w:date="2025-05-15T13:45:00Z">
          <w:pPr>
            <w:keepNext/>
          </w:pPr>
        </w:pPrChange>
      </w:pPr>
      <w:del w:id="11254" w:author="AbbVie02no" w:date="2025-05-15T13:45:00Z">
        <w:r w:rsidRPr="00AF70AD">
          <w:rPr>
            <w:sz w:val="22"/>
            <w:u w:val="single"/>
          </w:rPr>
          <w:delText>Eksponering-responsforhold i pediatrisk populasjon</w:delText>
        </w:r>
      </w:del>
    </w:p>
    <w:p w14:paraId="1246FB4E" w14:textId="05AA61F3" w:rsidR="00A129D3" w:rsidRDefault="00A129D3">
      <w:pPr>
        <w:keepNext/>
        <w:suppressAutoHyphens/>
        <w:rPr>
          <w:del w:id="11255" w:author="AbbVie02no" w:date="2025-05-15T13:45:00Z"/>
          <w:sz w:val="22"/>
        </w:rPr>
        <w:pPrChange w:id="11256" w:author="AbbVie02no" w:date="2025-05-15T13:45:00Z">
          <w:pPr>
            <w:keepNext/>
          </w:pPr>
        </w:pPrChange>
      </w:pPr>
    </w:p>
    <w:p w14:paraId="48239702" w14:textId="74E141B9" w:rsidR="00A129D3" w:rsidRPr="00DB4B30" w:rsidRDefault="00E453CD">
      <w:pPr>
        <w:keepNext/>
        <w:suppressAutoHyphens/>
        <w:rPr>
          <w:del w:id="11257" w:author="AbbVie02no" w:date="2025-05-15T13:45:00Z"/>
          <w:sz w:val="22"/>
        </w:rPr>
        <w:pPrChange w:id="11258" w:author="AbbVie02no" w:date="2025-05-15T13:45:00Z">
          <w:pPr/>
        </w:pPrChange>
      </w:pPr>
      <w:del w:id="11259" w:author="AbbVie02no" w:date="2025-05-15T13:45:00Z">
        <w:r>
          <w:rPr>
            <w:sz w:val="22"/>
          </w:rPr>
          <w:delText xml:space="preserve">På bakgrunn av data fra </w:delText>
        </w:r>
        <w:r w:rsidR="00581310">
          <w:rPr>
            <w:sz w:val="22"/>
          </w:rPr>
          <w:delText>kliniske studier</w:delText>
        </w:r>
        <w:r>
          <w:rPr>
            <w:sz w:val="22"/>
          </w:rPr>
          <w:delText xml:space="preserve"> hos pasienter med </w:delText>
        </w:r>
        <w:r w:rsidRPr="00C5656D">
          <w:rPr>
            <w:sz w:val="22"/>
          </w:rPr>
          <w:delText xml:space="preserve">JIA (pJIA </w:delText>
        </w:r>
        <w:r w:rsidR="00222143">
          <w:rPr>
            <w:sz w:val="22"/>
          </w:rPr>
          <w:delText>og</w:delText>
        </w:r>
        <w:r w:rsidR="00222143" w:rsidRPr="00C5656D">
          <w:rPr>
            <w:sz w:val="22"/>
          </w:rPr>
          <w:delText xml:space="preserve"> </w:delText>
        </w:r>
        <w:r w:rsidRPr="00C5656D">
          <w:rPr>
            <w:sz w:val="22"/>
          </w:rPr>
          <w:delText>ERA)</w:delText>
        </w:r>
        <w:r>
          <w:rPr>
            <w:sz w:val="22"/>
          </w:rPr>
          <w:delText xml:space="preserve">, ble et forhold mellom eksponering og respons etablert mellom plasmakonsentrasjoner og PedACR 50-respons. Den plasmakonsentrasjonen av adalimumab som tilsynelatende gir halvparten av maksimal PedACR 50-respons (EC50) var </w:delText>
        </w:r>
        <w:r w:rsidRPr="003443A0">
          <w:rPr>
            <w:sz w:val="22"/>
          </w:rPr>
          <w:delText xml:space="preserve">3 </w:delText>
        </w:r>
        <w:r w:rsidR="0036529C">
          <w:rPr>
            <w:sz w:val="22"/>
          </w:rPr>
          <w:delText>mikro</w:delText>
        </w:r>
        <w:r w:rsidRPr="003443A0">
          <w:rPr>
            <w:sz w:val="22"/>
          </w:rPr>
          <w:delText>g/ml (95</w:delText>
        </w:r>
        <w:r w:rsidR="0036529C">
          <w:rPr>
            <w:sz w:val="22"/>
          </w:rPr>
          <w:delText> </w:delText>
        </w:r>
        <w:r w:rsidRPr="003443A0">
          <w:rPr>
            <w:sz w:val="22"/>
          </w:rPr>
          <w:delText xml:space="preserve">% </w:delText>
        </w:r>
        <w:r w:rsidR="0036529C">
          <w:rPr>
            <w:sz w:val="22"/>
          </w:rPr>
          <w:delText>K</w:delText>
        </w:r>
        <w:r w:rsidRPr="003443A0">
          <w:rPr>
            <w:sz w:val="22"/>
          </w:rPr>
          <w:delText>I: 1</w:delText>
        </w:r>
        <w:r w:rsidR="0045351A">
          <w:rPr>
            <w:sz w:val="22"/>
          </w:rPr>
          <w:noBreakHyphen/>
        </w:r>
        <w:r w:rsidRPr="003443A0">
          <w:rPr>
            <w:sz w:val="22"/>
          </w:rPr>
          <w:delText>6</w:delText>
        </w:r>
        <w:r w:rsidR="0045351A">
          <w:rPr>
            <w:sz w:val="22"/>
          </w:rPr>
          <w:delText> </w:delText>
        </w:r>
        <w:r w:rsidR="0036529C">
          <w:rPr>
            <w:sz w:val="22"/>
          </w:rPr>
          <w:delText>mikro</w:delText>
        </w:r>
        <w:r w:rsidRPr="003443A0">
          <w:rPr>
            <w:sz w:val="22"/>
          </w:rPr>
          <w:delText>g/ml).</w:delText>
        </w:r>
      </w:del>
    </w:p>
    <w:p w14:paraId="1864FFFF" w14:textId="00A34687" w:rsidR="00A129D3" w:rsidRDefault="00A129D3">
      <w:pPr>
        <w:keepNext/>
        <w:suppressAutoHyphens/>
        <w:rPr>
          <w:del w:id="11260" w:author="AbbVie02no" w:date="2025-05-15T13:45:00Z"/>
          <w:sz w:val="22"/>
        </w:rPr>
        <w:pPrChange w:id="11261" w:author="AbbVie02no" w:date="2025-05-15T13:45:00Z">
          <w:pPr/>
        </w:pPrChange>
      </w:pPr>
    </w:p>
    <w:p w14:paraId="75BD8C0F" w14:textId="31446CB8" w:rsidR="00A129D3" w:rsidRPr="00406E1B" w:rsidRDefault="00E453CD">
      <w:pPr>
        <w:keepNext/>
        <w:suppressAutoHyphens/>
        <w:rPr>
          <w:del w:id="11262" w:author="AbbVie02no" w:date="2025-05-15T13:45:00Z"/>
          <w:sz w:val="22"/>
        </w:rPr>
        <w:pPrChange w:id="11263" w:author="AbbVie02no" w:date="2025-05-15T13:45:00Z">
          <w:pPr/>
        </w:pPrChange>
      </w:pPr>
      <w:del w:id="11264" w:author="AbbVie02no" w:date="2025-05-15T13:45:00Z">
        <w:r>
          <w:rPr>
            <w:sz w:val="22"/>
          </w:rPr>
          <w:delText>Eksponering-responsforhold mellom adalimumabkonsentrasjon og effekt hos pediatriske pasienter med alvorlig</w:delText>
        </w:r>
        <w:r w:rsidR="00F403FB">
          <w:rPr>
            <w:sz w:val="22"/>
          </w:rPr>
          <w:delText xml:space="preserve"> kronisk</w:delText>
        </w:r>
        <w:r>
          <w:rPr>
            <w:sz w:val="22"/>
          </w:rPr>
          <w:delText xml:space="preserve"> plakkpsoriasis, ble etablert for </w:delText>
        </w:r>
        <w:r w:rsidR="00021FC6">
          <w:rPr>
            <w:sz w:val="22"/>
          </w:rPr>
          <w:delText xml:space="preserve">henholdsvis </w:delText>
        </w:r>
        <w:r>
          <w:rPr>
            <w:sz w:val="22"/>
          </w:rPr>
          <w:delText xml:space="preserve">PASI 75 og PGA klar eller minimal. </w:delText>
        </w:r>
        <w:r>
          <w:rPr>
            <w:sz w:val="22"/>
          </w:rPr>
          <w:lastRenderedPageBreak/>
          <w:delText xml:space="preserve">PASI 75 og PGA klar eller minimal økte med økte adalimumabkonsentrasjoner, begge med lignende tilsynelatende EC50 på omtrent </w:delText>
        </w:r>
        <w:r w:rsidRPr="00570333">
          <w:rPr>
            <w:sz w:val="22"/>
          </w:rPr>
          <w:delText>4</w:delText>
        </w:r>
        <w:r>
          <w:rPr>
            <w:sz w:val="22"/>
          </w:rPr>
          <w:delText>,5</w:delText>
        </w:r>
        <w:r w:rsidR="00424A72">
          <w:rPr>
            <w:sz w:val="22"/>
          </w:rPr>
          <w:delText> </w:delText>
        </w:r>
        <w:r w:rsidR="0036529C">
          <w:rPr>
            <w:sz w:val="22"/>
          </w:rPr>
          <w:delText>mikro</w:delText>
        </w:r>
        <w:r>
          <w:rPr>
            <w:sz w:val="22"/>
          </w:rPr>
          <w:delText>g/m</w:delText>
        </w:r>
        <w:r w:rsidR="0036529C">
          <w:rPr>
            <w:sz w:val="22"/>
          </w:rPr>
          <w:delText>l</w:delText>
        </w:r>
        <w:r>
          <w:rPr>
            <w:sz w:val="22"/>
          </w:rPr>
          <w:delText xml:space="preserve"> (95</w:delText>
        </w:r>
        <w:r w:rsidR="0036529C">
          <w:rPr>
            <w:sz w:val="22"/>
          </w:rPr>
          <w:delText> </w:delText>
        </w:r>
        <w:r>
          <w:rPr>
            <w:sz w:val="22"/>
          </w:rPr>
          <w:delText xml:space="preserve">% </w:delText>
        </w:r>
        <w:r w:rsidR="0036529C">
          <w:rPr>
            <w:sz w:val="22"/>
          </w:rPr>
          <w:delText>K</w:delText>
        </w:r>
        <w:r>
          <w:rPr>
            <w:sz w:val="22"/>
          </w:rPr>
          <w:delText>I 0,4-47,6 og 1,9-10,</w:delText>
        </w:r>
        <w:r w:rsidRPr="00570333">
          <w:rPr>
            <w:sz w:val="22"/>
          </w:rPr>
          <w:delText>5</w:delText>
        </w:r>
        <w:r>
          <w:rPr>
            <w:sz w:val="22"/>
          </w:rPr>
          <w:delText>, respektivt</w:delText>
        </w:r>
        <w:r w:rsidR="0036529C">
          <w:rPr>
            <w:sz w:val="22"/>
          </w:rPr>
          <w:delText>)</w:delText>
        </w:r>
        <w:r>
          <w:rPr>
            <w:sz w:val="22"/>
          </w:rPr>
          <w:delText>.</w:delText>
        </w:r>
      </w:del>
    </w:p>
    <w:p w14:paraId="03B32506" w14:textId="290B93B4" w:rsidR="00060043" w:rsidRPr="009C5EFD" w:rsidRDefault="00060043">
      <w:pPr>
        <w:keepNext/>
        <w:suppressAutoHyphens/>
        <w:rPr>
          <w:del w:id="11265" w:author="AbbVie02no" w:date="2025-05-15T13:45:00Z"/>
          <w:sz w:val="22"/>
          <w:szCs w:val="22"/>
        </w:rPr>
        <w:pPrChange w:id="11266" w:author="AbbVie02no" w:date="2025-05-15T13:45:00Z">
          <w:pPr>
            <w:autoSpaceDE w:val="0"/>
            <w:autoSpaceDN w:val="0"/>
            <w:adjustRightInd w:val="0"/>
          </w:pPr>
        </w:pPrChange>
      </w:pPr>
    </w:p>
    <w:p w14:paraId="0A9FF72D" w14:textId="54125FE4" w:rsidR="00060043" w:rsidRPr="009C5EFD" w:rsidRDefault="00E453CD">
      <w:pPr>
        <w:keepNext/>
        <w:suppressAutoHyphens/>
        <w:rPr>
          <w:del w:id="11267" w:author="AbbVie02no" w:date="2025-05-15T13:45:00Z"/>
          <w:sz w:val="22"/>
          <w:szCs w:val="22"/>
          <w:u w:val="single"/>
        </w:rPr>
        <w:pPrChange w:id="11268" w:author="AbbVie02no" w:date="2025-05-15T13:45:00Z">
          <w:pPr>
            <w:keepNext/>
            <w:autoSpaceDE w:val="0"/>
            <w:autoSpaceDN w:val="0"/>
            <w:adjustRightInd w:val="0"/>
          </w:pPr>
        </w:pPrChange>
      </w:pPr>
      <w:del w:id="11269" w:author="AbbVie02no" w:date="2025-05-15T13:45:00Z">
        <w:r w:rsidRPr="009C5EFD">
          <w:rPr>
            <w:sz w:val="22"/>
            <w:szCs w:val="22"/>
            <w:u w:val="single"/>
          </w:rPr>
          <w:delText>Eliminasjon</w:delText>
        </w:r>
      </w:del>
    </w:p>
    <w:p w14:paraId="35DA4254" w14:textId="5FF5863E" w:rsidR="006E5C2C" w:rsidRPr="009C5EFD" w:rsidRDefault="006E5C2C">
      <w:pPr>
        <w:keepNext/>
        <w:suppressAutoHyphens/>
        <w:rPr>
          <w:del w:id="11270" w:author="AbbVie02no" w:date="2025-05-15T13:45:00Z"/>
          <w:sz w:val="22"/>
          <w:szCs w:val="22"/>
        </w:rPr>
        <w:pPrChange w:id="11271" w:author="AbbVie02no" w:date="2025-05-15T13:45:00Z">
          <w:pPr>
            <w:keepNext/>
          </w:pPr>
        </w:pPrChange>
      </w:pPr>
    </w:p>
    <w:p w14:paraId="112F6736" w14:textId="24483DE5" w:rsidR="00060043" w:rsidRPr="009C5EFD" w:rsidRDefault="00E453CD">
      <w:pPr>
        <w:keepNext/>
        <w:suppressAutoHyphens/>
        <w:rPr>
          <w:del w:id="11272" w:author="AbbVie02no" w:date="2025-05-15T13:45:00Z"/>
          <w:sz w:val="22"/>
          <w:szCs w:val="22"/>
        </w:rPr>
        <w:pPrChange w:id="11273" w:author="AbbVie02no" w:date="2025-05-15T13:45:00Z">
          <w:pPr/>
        </w:pPrChange>
      </w:pPr>
      <w:del w:id="11274" w:author="AbbVie02no" w:date="2025-05-15T13:45:00Z">
        <w:r w:rsidRPr="009C5EFD">
          <w:rPr>
            <w:sz w:val="22"/>
            <w:szCs w:val="22"/>
          </w:rPr>
          <w:delText>F</w:delText>
        </w:r>
        <w:r w:rsidR="001B72BA" w:rsidRPr="009C5EFD">
          <w:rPr>
            <w:sz w:val="22"/>
            <w:szCs w:val="22"/>
          </w:rPr>
          <w:delText xml:space="preserve">armakokinetiske </w:delText>
        </w:r>
        <w:r w:rsidRPr="009C5EFD">
          <w:rPr>
            <w:sz w:val="22"/>
            <w:szCs w:val="22"/>
          </w:rPr>
          <w:delText>populasjons</w:delText>
        </w:r>
        <w:r w:rsidR="001B72BA" w:rsidRPr="009C5EFD">
          <w:rPr>
            <w:sz w:val="22"/>
            <w:szCs w:val="22"/>
          </w:rPr>
          <w:delText>analyser med data fra over 1300 RA-pasienter viste en tendens mot høyere tilsynelatende clearance av adalimumab med økende kroppsvekt. Etter korrigering for vektforskjeller, s</w:delText>
        </w:r>
        <w:r w:rsidR="00DC7DE1" w:rsidRPr="009C5EFD">
          <w:rPr>
            <w:sz w:val="22"/>
            <w:szCs w:val="22"/>
          </w:rPr>
          <w:delText>yntes</w:delText>
        </w:r>
        <w:r w:rsidR="001B72BA" w:rsidRPr="009C5EFD">
          <w:rPr>
            <w:sz w:val="22"/>
            <w:szCs w:val="22"/>
          </w:rPr>
          <w:delText xml:space="preserve"> kjønn og alder å ha minimal effekt på clearance av adalimumab. Serumnivåene av fritt adalimumab (ikke bundet til antistoffer mot adalimumab, AAA) ble observert å være lavere hos pasienter med målbart AAA.</w:delText>
        </w:r>
      </w:del>
    </w:p>
    <w:p w14:paraId="62973C29" w14:textId="027B50D0" w:rsidR="001132E3" w:rsidRPr="009C5EFD" w:rsidRDefault="001132E3">
      <w:pPr>
        <w:keepNext/>
        <w:suppressAutoHyphens/>
        <w:rPr>
          <w:del w:id="11275" w:author="AbbVie02no" w:date="2025-05-15T13:45:00Z"/>
          <w:sz w:val="22"/>
          <w:szCs w:val="22"/>
          <w:u w:val="single"/>
        </w:rPr>
        <w:pPrChange w:id="11276" w:author="AbbVie02no" w:date="2025-05-15T13:45:00Z">
          <w:pPr/>
        </w:pPrChange>
      </w:pPr>
    </w:p>
    <w:p w14:paraId="5EEBDDEA" w14:textId="29D7A5DC" w:rsidR="00060043" w:rsidRPr="009C5EFD" w:rsidRDefault="00E453CD">
      <w:pPr>
        <w:keepNext/>
        <w:suppressAutoHyphens/>
        <w:rPr>
          <w:del w:id="11277" w:author="AbbVie02no" w:date="2025-05-15T13:45:00Z"/>
          <w:sz w:val="22"/>
          <w:szCs w:val="22"/>
        </w:rPr>
        <w:pPrChange w:id="11278" w:author="AbbVie02no" w:date="2025-05-15T13:45:00Z">
          <w:pPr>
            <w:keepNext/>
          </w:pPr>
        </w:pPrChange>
      </w:pPr>
      <w:del w:id="11279" w:author="AbbVie02no" w:date="2025-05-15T13:45:00Z">
        <w:r w:rsidRPr="009C5EFD">
          <w:rPr>
            <w:sz w:val="22"/>
            <w:szCs w:val="22"/>
            <w:u w:val="single"/>
          </w:rPr>
          <w:delText>Nedsatt lever- eller nyrefunksjon</w:delText>
        </w:r>
      </w:del>
    </w:p>
    <w:p w14:paraId="19AD3EDD" w14:textId="5102BE0A" w:rsidR="00060043" w:rsidRPr="009C5EFD" w:rsidRDefault="00060043">
      <w:pPr>
        <w:keepNext/>
        <w:suppressAutoHyphens/>
        <w:rPr>
          <w:del w:id="11280" w:author="AbbVie02no" w:date="2025-05-15T13:45:00Z"/>
          <w:sz w:val="22"/>
          <w:szCs w:val="22"/>
        </w:rPr>
        <w:pPrChange w:id="11281" w:author="AbbVie02no" w:date="2025-05-15T13:45:00Z">
          <w:pPr>
            <w:keepNext/>
          </w:pPr>
        </w:pPrChange>
      </w:pPr>
    </w:p>
    <w:p w14:paraId="26516A7F" w14:textId="75F25FDD" w:rsidR="00DE3458" w:rsidRPr="009C5EFD" w:rsidRDefault="00E453CD">
      <w:pPr>
        <w:keepNext/>
        <w:suppressAutoHyphens/>
        <w:rPr>
          <w:del w:id="11282" w:author="AbbVie02no" w:date="2025-05-15T13:45:00Z"/>
          <w:sz w:val="22"/>
          <w:szCs w:val="22"/>
        </w:rPr>
        <w:pPrChange w:id="11283" w:author="AbbVie02no" w:date="2025-05-15T13:45:00Z">
          <w:pPr/>
        </w:pPrChange>
      </w:pPr>
      <w:del w:id="11284" w:author="AbbVie02no" w:date="2025-05-15T13:45:00Z">
        <w:r w:rsidRPr="009C5EFD">
          <w:rPr>
            <w:sz w:val="22"/>
            <w:szCs w:val="22"/>
          </w:rPr>
          <w:delText>Humira har ikke blitt undersøkt hos pasienter med nedsatt lever- eller nyrefunksjon.</w:delText>
        </w:r>
      </w:del>
    </w:p>
    <w:p w14:paraId="1C6F452F" w14:textId="6E54A4C8" w:rsidR="003A15AE" w:rsidRPr="001F5D4B" w:rsidRDefault="003A15AE">
      <w:pPr>
        <w:keepNext/>
        <w:suppressAutoHyphens/>
        <w:rPr>
          <w:del w:id="11285" w:author="AbbVie02no" w:date="2025-05-15T13:45:00Z"/>
          <w:sz w:val="22"/>
          <w:szCs w:val="22"/>
        </w:rPr>
        <w:pPrChange w:id="11286" w:author="AbbVie02no" w:date="2025-05-15T13:45:00Z">
          <w:pPr>
            <w:suppressAutoHyphens/>
          </w:pPr>
        </w:pPrChange>
      </w:pPr>
    </w:p>
    <w:p w14:paraId="73BDD4A4" w14:textId="52E0B427" w:rsidR="00DE3458" w:rsidRPr="00193D76" w:rsidRDefault="00E453CD">
      <w:pPr>
        <w:keepNext/>
        <w:suppressAutoHyphens/>
        <w:rPr>
          <w:del w:id="11287" w:author="AbbVie02no" w:date="2025-05-15T13:45:00Z"/>
          <w:sz w:val="22"/>
          <w:szCs w:val="22"/>
        </w:rPr>
        <w:pPrChange w:id="11288" w:author="AbbVie02no" w:date="2025-05-15T13:45:00Z">
          <w:pPr>
            <w:keepNext/>
            <w:suppressAutoHyphens/>
            <w:ind w:left="578" w:hanging="578"/>
          </w:pPr>
        </w:pPrChange>
      </w:pPr>
      <w:del w:id="11289" w:author="AbbVie02no" w:date="2025-05-15T13:45:00Z">
        <w:r w:rsidRPr="007F67EE">
          <w:rPr>
            <w:b/>
            <w:sz w:val="22"/>
            <w:szCs w:val="22"/>
          </w:rPr>
          <w:delText>5.3</w:delText>
        </w:r>
        <w:r w:rsidRPr="007F67EE">
          <w:rPr>
            <w:b/>
            <w:sz w:val="22"/>
            <w:szCs w:val="22"/>
          </w:rPr>
          <w:tab/>
          <w:delText>Prekliniske sikkerhetsdata</w:delText>
        </w:r>
      </w:del>
    </w:p>
    <w:p w14:paraId="54939D19" w14:textId="116C1DBA" w:rsidR="00DE3458" w:rsidRPr="002D0790" w:rsidRDefault="00DE3458">
      <w:pPr>
        <w:keepNext/>
        <w:suppressAutoHyphens/>
        <w:rPr>
          <w:del w:id="11290" w:author="AbbVie02no" w:date="2025-05-15T13:45:00Z"/>
          <w:sz w:val="22"/>
          <w:szCs w:val="22"/>
        </w:rPr>
        <w:pPrChange w:id="11291" w:author="AbbVie02no" w:date="2025-05-15T13:45:00Z">
          <w:pPr>
            <w:keepNext/>
          </w:pPr>
        </w:pPrChange>
      </w:pPr>
    </w:p>
    <w:p w14:paraId="3DFEBC4C" w14:textId="2DD57E87" w:rsidR="00DE3458" w:rsidRPr="00E14E58" w:rsidRDefault="00E453CD">
      <w:pPr>
        <w:keepNext/>
        <w:suppressAutoHyphens/>
        <w:rPr>
          <w:del w:id="11292" w:author="AbbVie02no" w:date="2025-05-15T13:45:00Z"/>
          <w:sz w:val="22"/>
          <w:szCs w:val="22"/>
        </w:rPr>
        <w:pPrChange w:id="11293" w:author="AbbVie02no" w:date="2025-05-15T13:45:00Z">
          <w:pPr>
            <w:keepNext/>
          </w:pPr>
        </w:pPrChange>
      </w:pPr>
      <w:del w:id="11294" w:author="AbbVie02no" w:date="2025-05-15T13:45:00Z">
        <w:r w:rsidRPr="002D0790">
          <w:rPr>
            <w:sz w:val="22"/>
            <w:szCs w:val="22"/>
          </w:rPr>
          <w:delText>Prekliniske data indikerer ingen spesiell fare for mennesker basert på toksisitetstester etter enkeltdosering, toksisitetstester ved gj</w:delText>
        </w:r>
        <w:r w:rsidRPr="00E14E58">
          <w:rPr>
            <w:sz w:val="22"/>
            <w:szCs w:val="22"/>
          </w:rPr>
          <w:delText>entatt dosering eller gentoksisitet.</w:delText>
        </w:r>
      </w:del>
    </w:p>
    <w:p w14:paraId="708A7EE2" w14:textId="7263BB56" w:rsidR="00DE3458" w:rsidRPr="009C5EFD" w:rsidRDefault="00DE3458">
      <w:pPr>
        <w:keepNext/>
        <w:suppressAutoHyphens/>
        <w:rPr>
          <w:del w:id="11295" w:author="AbbVie02no" w:date="2025-05-15T13:45:00Z"/>
          <w:sz w:val="22"/>
          <w:szCs w:val="22"/>
        </w:rPr>
        <w:pPrChange w:id="11296" w:author="AbbVie02no" w:date="2025-05-15T13:45:00Z">
          <w:pPr/>
        </w:pPrChange>
      </w:pPr>
    </w:p>
    <w:p w14:paraId="0C3284B0" w14:textId="5019BF44" w:rsidR="00DE3458" w:rsidRPr="009C5EFD" w:rsidRDefault="00E453CD">
      <w:pPr>
        <w:keepNext/>
        <w:suppressAutoHyphens/>
        <w:rPr>
          <w:del w:id="11297" w:author="AbbVie02no" w:date="2025-05-15T13:45:00Z"/>
          <w:sz w:val="22"/>
          <w:szCs w:val="22"/>
        </w:rPr>
        <w:pPrChange w:id="11298" w:author="AbbVie02no" w:date="2025-05-15T13:45:00Z">
          <w:pPr/>
        </w:pPrChange>
      </w:pPr>
      <w:del w:id="11299" w:author="AbbVie02no" w:date="2025-05-15T13:45:00Z">
        <w:r w:rsidRPr="009C5EFD">
          <w:rPr>
            <w:sz w:val="22"/>
            <w:szCs w:val="22"/>
          </w:rPr>
          <w:delText xml:space="preserve">En studie på </w:delText>
        </w:r>
        <w:r w:rsidR="00581310">
          <w:rPr>
            <w:sz w:val="22"/>
            <w:szCs w:val="22"/>
          </w:rPr>
          <w:delText>embryo</w:delText>
        </w:r>
        <w:r w:rsidRPr="009C5EFD">
          <w:rPr>
            <w:sz w:val="22"/>
            <w:szCs w:val="22"/>
          </w:rPr>
          <w:delText xml:space="preserve">føtal utviklingstoksisitet og perinatal utvikling som </w:delText>
        </w:r>
        <w:r w:rsidR="00C4590F" w:rsidRPr="009C5EFD">
          <w:rPr>
            <w:sz w:val="22"/>
            <w:szCs w:val="22"/>
          </w:rPr>
          <w:delText>ble</w:delText>
        </w:r>
        <w:r w:rsidRPr="009C5EFD">
          <w:rPr>
            <w:sz w:val="22"/>
            <w:szCs w:val="22"/>
          </w:rPr>
          <w:delText xml:space="preserve"> utført på </w:delText>
        </w:r>
        <w:r w:rsidR="006B250F">
          <w:rPr>
            <w:sz w:val="22"/>
            <w:szCs w:val="22"/>
          </w:rPr>
          <w:delText>cynomolgus</w:delText>
        </w:r>
        <w:r w:rsidRPr="009C5EFD">
          <w:rPr>
            <w:sz w:val="22"/>
            <w:szCs w:val="22"/>
          </w:rPr>
          <w:delText>-aper ved 0,30 og 100 mg/kg (9-17 aper/gruppe) vist</w:delText>
        </w:r>
        <w:r w:rsidR="00C4590F" w:rsidRPr="009C5EFD">
          <w:rPr>
            <w:sz w:val="22"/>
            <w:szCs w:val="22"/>
          </w:rPr>
          <w:delText>e ingen</w:delText>
        </w:r>
        <w:r w:rsidRPr="009C5EFD">
          <w:rPr>
            <w:sz w:val="22"/>
            <w:szCs w:val="22"/>
          </w:rPr>
          <w:delText xml:space="preserve"> tegn til fosterskader som skyld</w:delText>
        </w:r>
        <w:r w:rsidR="00C4590F" w:rsidRPr="009C5EFD">
          <w:rPr>
            <w:sz w:val="22"/>
            <w:szCs w:val="22"/>
          </w:rPr>
          <w:delText>t</w:delText>
        </w:r>
        <w:r w:rsidRPr="009C5EFD">
          <w:rPr>
            <w:sz w:val="22"/>
            <w:szCs w:val="22"/>
          </w:rPr>
          <w:delText xml:space="preserve">es adalimumab. Verken karsinogenitetsstudier eller en standardutredning av fertilitet og postnatal toksisitet </w:delText>
        </w:r>
        <w:r w:rsidR="00C4590F" w:rsidRPr="009C5EFD">
          <w:rPr>
            <w:sz w:val="22"/>
            <w:szCs w:val="22"/>
          </w:rPr>
          <w:delText>e</w:delText>
        </w:r>
        <w:r w:rsidRPr="009C5EFD">
          <w:rPr>
            <w:sz w:val="22"/>
            <w:szCs w:val="22"/>
          </w:rPr>
          <w:delText xml:space="preserve">r </w:delText>
        </w:r>
        <w:r w:rsidRPr="009C5EFD">
          <w:rPr>
            <w:sz w:val="22"/>
            <w:szCs w:val="22"/>
          </w:rPr>
          <w:lastRenderedPageBreak/>
          <w:delText xml:space="preserve">gjennomført med adalimumab på grunn av mangel på egnede modeller på antistoff med begrenset kryss-reaktivitet til TNF fra gnagere, samt utvikling av nøytraliserende antistoffer </w:delText>
        </w:r>
        <w:r w:rsidR="00C4590F" w:rsidRPr="009C5EFD">
          <w:rPr>
            <w:sz w:val="22"/>
            <w:szCs w:val="22"/>
          </w:rPr>
          <w:delText>hos</w:delText>
        </w:r>
        <w:r w:rsidRPr="009C5EFD">
          <w:rPr>
            <w:sz w:val="22"/>
            <w:szCs w:val="22"/>
          </w:rPr>
          <w:delText xml:space="preserve"> gnagere.</w:delText>
        </w:r>
      </w:del>
    </w:p>
    <w:p w14:paraId="09190CA9" w14:textId="06CB611C" w:rsidR="00DE3458" w:rsidRPr="009C5EFD" w:rsidRDefault="00DE3458">
      <w:pPr>
        <w:keepNext/>
        <w:suppressAutoHyphens/>
        <w:rPr>
          <w:del w:id="11300" w:author="AbbVie02no" w:date="2025-05-15T13:45:00Z"/>
          <w:sz w:val="22"/>
          <w:szCs w:val="22"/>
        </w:rPr>
        <w:pPrChange w:id="11301" w:author="AbbVie02no" w:date="2025-05-15T13:45:00Z">
          <w:pPr/>
        </w:pPrChange>
      </w:pPr>
    </w:p>
    <w:p w14:paraId="21077621" w14:textId="435914A3" w:rsidR="009F5209" w:rsidRPr="001F5D4B" w:rsidRDefault="009F5209">
      <w:pPr>
        <w:keepNext/>
        <w:suppressAutoHyphens/>
        <w:rPr>
          <w:del w:id="11302" w:author="AbbVie02no" w:date="2025-05-15T13:45:00Z"/>
          <w:sz w:val="22"/>
          <w:szCs w:val="22"/>
        </w:rPr>
        <w:pPrChange w:id="11303" w:author="AbbVie02no" w:date="2025-05-15T13:45:00Z">
          <w:pPr>
            <w:suppressAutoHyphens/>
          </w:pPr>
        </w:pPrChange>
      </w:pPr>
    </w:p>
    <w:p w14:paraId="364B9573" w14:textId="0FCFF5A9" w:rsidR="00DE3458" w:rsidRPr="00193D76" w:rsidRDefault="00E453CD">
      <w:pPr>
        <w:keepNext/>
        <w:suppressAutoHyphens/>
        <w:rPr>
          <w:del w:id="11304" w:author="AbbVie02no" w:date="2025-05-15T13:45:00Z"/>
          <w:b/>
          <w:sz w:val="22"/>
          <w:szCs w:val="22"/>
        </w:rPr>
        <w:pPrChange w:id="11305" w:author="AbbVie02no" w:date="2025-05-15T13:45:00Z">
          <w:pPr>
            <w:keepNext/>
            <w:suppressAutoHyphens/>
            <w:ind w:left="562" w:hanging="562"/>
          </w:pPr>
        </w:pPrChange>
      </w:pPr>
      <w:del w:id="11306" w:author="AbbVie02no" w:date="2025-05-15T13:45:00Z">
        <w:r w:rsidRPr="007F67EE">
          <w:rPr>
            <w:b/>
            <w:sz w:val="22"/>
            <w:szCs w:val="22"/>
          </w:rPr>
          <w:delText>6.</w:delText>
        </w:r>
        <w:r w:rsidRPr="007F67EE">
          <w:rPr>
            <w:b/>
            <w:sz w:val="22"/>
            <w:szCs w:val="22"/>
          </w:rPr>
          <w:tab/>
          <w:delText>FARMASØYTISKE OPPLYSNINGER</w:delText>
        </w:r>
      </w:del>
    </w:p>
    <w:p w14:paraId="0CB11EDE" w14:textId="381002ED" w:rsidR="00952C48" w:rsidRPr="002D0790" w:rsidRDefault="00952C48" w:rsidP="004B57B4">
      <w:pPr>
        <w:keepNext/>
        <w:suppressAutoHyphens/>
        <w:rPr>
          <w:del w:id="11307" w:author="AbbVie02no" w:date="2025-05-15T13:45:00Z"/>
          <w:sz w:val="22"/>
          <w:szCs w:val="22"/>
        </w:rPr>
      </w:pPr>
    </w:p>
    <w:p w14:paraId="01F9E612" w14:textId="767DEE8D" w:rsidR="00DE3458" w:rsidRPr="00E14E58" w:rsidRDefault="00E453CD">
      <w:pPr>
        <w:keepNext/>
        <w:suppressAutoHyphens/>
        <w:rPr>
          <w:del w:id="11308" w:author="AbbVie02no" w:date="2025-05-15T13:45:00Z"/>
          <w:sz w:val="22"/>
          <w:szCs w:val="22"/>
        </w:rPr>
        <w:pPrChange w:id="11309" w:author="AbbVie02no" w:date="2025-05-15T13:45:00Z">
          <w:pPr>
            <w:keepNext/>
            <w:suppressAutoHyphens/>
            <w:ind w:left="576" w:hanging="576"/>
          </w:pPr>
        </w:pPrChange>
      </w:pPr>
      <w:del w:id="11310" w:author="AbbVie02no" w:date="2025-05-15T13:45:00Z">
        <w:r w:rsidRPr="002D0790">
          <w:rPr>
            <w:b/>
            <w:sz w:val="22"/>
            <w:szCs w:val="22"/>
          </w:rPr>
          <w:delText>6.1</w:delText>
        </w:r>
        <w:r w:rsidRPr="002D0790">
          <w:rPr>
            <w:b/>
            <w:sz w:val="22"/>
            <w:szCs w:val="22"/>
          </w:rPr>
          <w:tab/>
        </w:r>
        <w:r w:rsidR="001D434C">
          <w:rPr>
            <w:b/>
            <w:sz w:val="22"/>
            <w:szCs w:val="22"/>
          </w:rPr>
          <w:delText>H</w:delText>
        </w:r>
        <w:r w:rsidRPr="002D0790">
          <w:rPr>
            <w:b/>
            <w:sz w:val="22"/>
            <w:szCs w:val="22"/>
          </w:rPr>
          <w:delText>jelpestoffer</w:delText>
        </w:r>
      </w:del>
    </w:p>
    <w:p w14:paraId="6AFBF596" w14:textId="5835825E" w:rsidR="00DE3458" w:rsidRPr="009C5EFD" w:rsidRDefault="00DE3458">
      <w:pPr>
        <w:keepNext/>
        <w:suppressAutoHyphens/>
        <w:rPr>
          <w:del w:id="11311" w:author="AbbVie02no" w:date="2025-05-15T13:45:00Z"/>
          <w:sz w:val="22"/>
          <w:szCs w:val="22"/>
        </w:rPr>
        <w:pPrChange w:id="11312" w:author="AbbVie02no" w:date="2025-05-15T13:45:00Z">
          <w:pPr>
            <w:keepNext/>
          </w:pPr>
        </w:pPrChange>
      </w:pPr>
    </w:p>
    <w:p w14:paraId="5F096C69" w14:textId="16262389" w:rsidR="00DE3458" w:rsidRPr="009C5EFD" w:rsidRDefault="00E453CD">
      <w:pPr>
        <w:keepNext/>
        <w:suppressAutoHyphens/>
        <w:rPr>
          <w:del w:id="11313" w:author="AbbVie02no" w:date="2025-05-15T13:45:00Z"/>
          <w:sz w:val="22"/>
          <w:szCs w:val="22"/>
        </w:rPr>
        <w:pPrChange w:id="11314" w:author="AbbVie02no" w:date="2025-05-15T13:45:00Z">
          <w:pPr/>
        </w:pPrChange>
      </w:pPr>
      <w:del w:id="11315" w:author="AbbVie02no" w:date="2025-05-15T13:45:00Z">
        <w:r>
          <w:rPr>
            <w:sz w:val="22"/>
            <w:szCs w:val="22"/>
          </w:rPr>
          <w:delText>M</w:delText>
        </w:r>
        <w:r w:rsidRPr="009C5EFD">
          <w:rPr>
            <w:sz w:val="22"/>
            <w:szCs w:val="22"/>
          </w:rPr>
          <w:delText xml:space="preserve">annitol </w:delText>
        </w:r>
      </w:del>
    </w:p>
    <w:p w14:paraId="0790DEBA" w14:textId="52BDFC4D" w:rsidR="00DE3458" w:rsidRPr="009C5EFD" w:rsidRDefault="00E453CD">
      <w:pPr>
        <w:keepNext/>
        <w:suppressAutoHyphens/>
        <w:rPr>
          <w:del w:id="11316" w:author="AbbVie02no" w:date="2025-05-15T13:45:00Z"/>
          <w:sz w:val="22"/>
          <w:szCs w:val="22"/>
        </w:rPr>
        <w:pPrChange w:id="11317" w:author="AbbVie02no" w:date="2025-05-15T13:45:00Z">
          <w:pPr/>
        </w:pPrChange>
      </w:pPr>
      <w:del w:id="11318" w:author="AbbVie02no" w:date="2025-05-15T13:45:00Z">
        <w:r>
          <w:rPr>
            <w:sz w:val="22"/>
            <w:szCs w:val="22"/>
          </w:rPr>
          <w:delText>S</w:delText>
        </w:r>
        <w:r w:rsidRPr="009C5EFD">
          <w:rPr>
            <w:sz w:val="22"/>
            <w:szCs w:val="22"/>
          </w:rPr>
          <w:delText xml:space="preserve">itronsyremonohydrat </w:delText>
        </w:r>
      </w:del>
    </w:p>
    <w:p w14:paraId="5BBD2C3B" w14:textId="3F1756E7" w:rsidR="00DE3458" w:rsidRPr="009C5EFD" w:rsidRDefault="00E453CD">
      <w:pPr>
        <w:keepNext/>
        <w:suppressAutoHyphens/>
        <w:rPr>
          <w:del w:id="11319" w:author="AbbVie02no" w:date="2025-05-15T13:45:00Z"/>
          <w:sz w:val="22"/>
          <w:szCs w:val="22"/>
        </w:rPr>
        <w:pPrChange w:id="11320" w:author="AbbVie02no" w:date="2025-05-15T13:45:00Z">
          <w:pPr/>
        </w:pPrChange>
      </w:pPr>
      <w:del w:id="11321" w:author="AbbVie02no" w:date="2025-05-15T13:45:00Z">
        <w:r>
          <w:rPr>
            <w:sz w:val="22"/>
            <w:szCs w:val="22"/>
          </w:rPr>
          <w:delText>N</w:delText>
        </w:r>
        <w:r w:rsidRPr="009C5EFD">
          <w:rPr>
            <w:sz w:val="22"/>
            <w:szCs w:val="22"/>
          </w:rPr>
          <w:delText xml:space="preserve">atriumsitrat </w:delText>
        </w:r>
      </w:del>
    </w:p>
    <w:p w14:paraId="0356C926" w14:textId="4355D5D3" w:rsidR="00DE3458" w:rsidRPr="009C5EFD" w:rsidRDefault="00E453CD">
      <w:pPr>
        <w:keepNext/>
        <w:suppressAutoHyphens/>
        <w:rPr>
          <w:del w:id="11322" w:author="AbbVie02no" w:date="2025-05-15T13:45:00Z"/>
          <w:sz w:val="22"/>
          <w:szCs w:val="22"/>
        </w:rPr>
        <w:pPrChange w:id="11323" w:author="AbbVie02no" w:date="2025-05-15T13:45:00Z">
          <w:pPr/>
        </w:pPrChange>
      </w:pPr>
      <w:del w:id="11324" w:author="AbbVie02no" w:date="2025-05-15T13:45:00Z">
        <w:r>
          <w:rPr>
            <w:sz w:val="22"/>
            <w:szCs w:val="22"/>
          </w:rPr>
          <w:delText>N</w:delText>
        </w:r>
        <w:r w:rsidRPr="009C5EFD">
          <w:rPr>
            <w:sz w:val="22"/>
            <w:szCs w:val="22"/>
          </w:rPr>
          <w:delText xml:space="preserve">atriumdihydrogenfosfatdihydrat </w:delText>
        </w:r>
      </w:del>
    </w:p>
    <w:p w14:paraId="336F77FE" w14:textId="2D894B35" w:rsidR="00DE3458" w:rsidRPr="009C5EFD" w:rsidRDefault="00E453CD">
      <w:pPr>
        <w:keepNext/>
        <w:suppressAutoHyphens/>
        <w:rPr>
          <w:del w:id="11325" w:author="AbbVie02no" w:date="2025-05-15T13:45:00Z"/>
          <w:sz w:val="22"/>
          <w:szCs w:val="22"/>
        </w:rPr>
        <w:pPrChange w:id="11326" w:author="AbbVie02no" w:date="2025-05-15T13:45:00Z">
          <w:pPr/>
        </w:pPrChange>
      </w:pPr>
      <w:del w:id="11327" w:author="AbbVie02no" w:date="2025-05-15T13:45:00Z">
        <w:r>
          <w:rPr>
            <w:sz w:val="22"/>
            <w:szCs w:val="22"/>
          </w:rPr>
          <w:delText>D</w:delText>
        </w:r>
        <w:r w:rsidRPr="009C5EFD">
          <w:rPr>
            <w:sz w:val="22"/>
            <w:szCs w:val="22"/>
          </w:rPr>
          <w:delText xml:space="preserve">inatriumfosfatdihydrat </w:delText>
        </w:r>
      </w:del>
    </w:p>
    <w:p w14:paraId="565B2629" w14:textId="1F2EA2B0" w:rsidR="00DE3458" w:rsidRPr="009C5EFD" w:rsidRDefault="00E453CD">
      <w:pPr>
        <w:keepNext/>
        <w:suppressAutoHyphens/>
        <w:rPr>
          <w:del w:id="11328" w:author="AbbVie02no" w:date="2025-05-15T13:45:00Z"/>
          <w:sz w:val="22"/>
          <w:szCs w:val="22"/>
        </w:rPr>
        <w:pPrChange w:id="11329" w:author="AbbVie02no" w:date="2025-05-15T13:45:00Z">
          <w:pPr/>
        </w:pPrChange>
      </w:pPr>
      <w:del w:id="11330" w:author="AbbVie02no" w:date="2025-05-15T13:45:00Z">
        <w:r>
          <w:rPr>
            <w:sz w:val="22"/>
            <w:szCs w:val="22"/>
          </w:rPr>
          <w:delText>N</w:delText>
        </w:r>
        <w:r w:rsidRPr="009C5EFD">
          <w:rPr>
            <w:sz w:val="22"/>
            <w:szCs w:val="22"/>
          </w:rPr>
          <w:delText xml:space="preserve">atriumklorid </w:delText>
        </w:r>
      </w:del>
    </w:p>
    <w:p w14:paraId="01D3D967" w14:textId="286D36FE" w:rsidR="00DE3458" w:rsidRPr="009C5EFD" w:rsidRDefault="00E453CD">
      <w:pPr>
        <w:keepNext/>
        <w:suppressAutoHyphens/>
        <w:rPr>
          <w:del w:id="11331" w:author="AbbVie02no" w:date="2025-05-15T13:45:00Z"/>
          <w:sz w:val="22"/>
          <w:szCs w:val="22"/>
        </w:rPr>
        <w:pPrChange w:id="11332" w:author="AbbVie02no" w:date="2025-05-15T13:45:00Z">
          <w:pPr/>
        </w:pPrChange>
      </w:pPr>
      <w:del w:id="11333" w:author="AbbVie02no" w:date="2025-05-15T13:45:00Z">
        <w:r>
          <w:rPr>
            <w:sz w:val="22"/>
            <w:szCs w:val="22"/>
          </w:rPr>
          <w:delText>P</w:delText>
        </w:r>
        <w:r w:rsidRPr="009C5EFD">
          <w:rPr>
            <w:sz w:val="22"/>
            <w:szCs w:val="22"/>
          </w:rPr>
          <w:delText xml:space="preserve">olysorbat 80 </w:delText>
        </w:r>
      </w:del>
    </w:p>
    <w:p w14:paraId="3747E41D" w14:textId="57C796F9" w:rsidR="00DE3458" w:rsidRPr="009C5EFD" w:rsidRDefault="00E453CD">
      <w:pPr>
        <w:keepNext/>
        <w:suppressAutoHyphens/>
        <w:rPr>
          <w:del w:id="11334" w:author="AbbVie02no" w:date="2025-05-15T13:45:00Z"/>
          <w:sz w:val="22"/>
          <w:szCs w:val="22"/>
        </w:rPr>
        <w:pPrChange w:id="11335" w:author="AbbVie02no" w:date="2025-05-15T13:45:00Z">
          <w:pPr/>
        </w:pPrChange>
      </w:pPr>
      <w:del w:id="11336" w:author="AbbVie02no" w:date="2025-05-15T13:45:00Z">
        <w:r>
          <w:rPr>
            <w:sz w:val="22"/>
            <w:szCs w:val="22"/>
          </w:rPr>
          <w:delText>N</w:delText>
        </w:r>
        <w:r w:rsidRPr="009C5EFD">
          <w:rPr>
            <w:sz w:val="22"/>
            <w:szCs w:val="22"/>
          </w:rPr>
          <w:delText xml:space="preserve">atriumhydroksid </w:delText>
        </w:r>
      </w:del>
    </w:p>
    <w:p w14:paraId="5C070002" w14:textId="6EB36948" w:rsidR="00DE3458" w:rsidRPr="009C5EFD" w:rsidRDefault="00E453CD">
      <w:pPr>
        <w:keepNext/>
        <w:suppressAutoHyphens/>
        <w:rPr>
          <w:del w:id="11337" w:author="AbbVie02no" w:date="2025-05-15T13:45:00Z"/>
          <w:sz w:val="22"/>
          <w:szCs w:val="22"/>
        </w:rPr>
        <w:pPrChange w:id="11338" w:author="AbbVie02no" w:date="2025-05-15T13:45:00Z">
          <w:pPr/>
        </w:pPrChange>
      </w:pPr>
      <w:del w:id="11339" w:author="AbbVie02no" w:date="2025-05-15T13:45:00Z">
        <w:r>
          <w:rPr>
            <w:sz w:val="22"/>
            <w:szCs w:val="22"/>
          </w:rPr>
          <w:delText>V</w:delText>
        </w:r>
        <w:r w:rsidRPr="009C5EFD">
          <w:rPr>
            <w:sz w:val="22"/>
            <w:szCs w:val="22"/>
          </w:rPr>
          <w:delText>ann til injeksjonsvæsker</w:delText>
        </w:r>
      </w:del>
    </w:p>
    <w:p w14:paraId="1398248C" w14:textId="73DAEEAE" w:rsidR="00DE3458" w:rsidRPr="009C5EFD" w:rsidRDefault="00DE3458">
      <w:pPr>
        <w:keepNext/>
        <w:suppressAutoHyphens/>
        <w:rPr>
          <w:del w:id="11340" w:author="AbbVie02no" w:date="2025-05-15T13:45:00Z"/>
          <w:sz w:val="22"/>
          <w:szCs w:val="22"/>
        </w:rPr>
        <w:pPrChange w:id="11341" w:author="AbbVie02no" w:date="2025-05-15T13:45:00Z">
          <w:pPr/>
        </w:pPrChange>
      </w:pPr>
    </w:p>
    <w:p w14:paraId="4EBEBDD7" w14:textId="70A16EE8" w:rsidR="00DE3458" w:rsidRPr="009C5EFD" w:rsidRDefault="00E453CD">
      <w:pPr>
        <w:keepNext/>
        <w:suppressAutoHyphens/>
        <w:rPr>
          <w:del w:id="11342" w:author="AbbVie02no" w:date="2025-05-15T13:45:00Z"/>
          <w:sz w:val="22"/>
          <w:szCs w:val="22"/>
        </w:rPr>
        <w:pPrChange w:id="11343" w:author="AbbVie02no" w:date="2025-05-15T13:45:00Z">
          <w:pPr>
            <w:keepNext/>
            <w:suppressAutoHyphens/>
            <w:ind w:left="576" w:hanging="576"/>
          </w:pPr>
        </w:pPrChange>
      </w:pPr>
      <w:del w:id="11344" w:author="AbbVie02no" w:date="2025-05-15T13:45:00Z">
        <w:r w:rsidRPr="009C5EFD">
          <w:rPr>
            <w:b/>
            <w:sz w:val="22"/>
            <w:szCs w:val="22"/>
          </w:rPr>
          <w:delText>6.2</w:delText>
        </w:r>
        <w:r w:rsidRPr="009C5EFD">
          <w:rPr>
            <w:b/>
            <w:sz w:val="22"/>
            <w:szCs w:val="22"/>
          </w:rPr>
          <w:tab/>
          <w:delText>Uforlikeligheter</w:delText>
        </w:r>
      </w:del>
    </w:p>
    <w:p w14:paraId="0685B6AD" w14:textId="7C28AA39" w:rsidR="00967185" w:rsidRPr="009C5EFD" w:rsidRDefault="00967185">
      <w:pPr>
        <w:keepNext/>
        <w:suppressAutoHyphens/>
        <w:rPr>
          <w:del w:id="11345" w:author="AbbVie02no" w:date="2025-05-15T13:45:00Z"/>
          <w:sz w:val="22"/>
          <w:szCs w:val="22"/>
        </w:rPr>
        <w:pPrChange w:id="11346" w:author="AbbVie02no" w:date="2025-05-15T13:45:00Z">
          <w:pPr>
            <w:keepNext/>
          </w:pPr>
        </w:pPrChange>
      </w:pPr>
    </w:p>
    <w:p w14:paraId="52BDCEF5" w14:textId="35214DCD" w:rsidR="00DE3458" w:rsidRPr="009C5EFD" w:rsidRDefault="00E453CD">
      <w:pPr>
        <w:keepNext/>
        <w:suppressAutoHyphens/>
        <w:rPr>
          <w:del w:id="11347" w:author="AbbVie02no" w:date="2025-05-15T13:45:00Z"/>
          <w:sz w:val="22"/>
          <w:szCs w:val="22"/>
        </w:rPr>
        <w:pPrChange w:id="11348" w:author="AbbVie02no" w:date="2025-05-15T13:45:00Z">
          <w:pPr/>
        </w:pPrChange>
      </w:pPr>
      <w:del w:id="11349" w:author="AbbVie02no" w:date="2025-05-15T13:45:00Z">
        <w:r w:rsidRPr="001D434C">
          <w:rPr>
            <w:sz w:val="22"/>
            <w:szCs w:val="22"/>
          </w:rPr>
          <w:delText>Dette legemidlet skal ikke blandes med andre legemidler da det ikke er gjort studier på</w:delText>
        </w:r>
        <w:r>
          <w:rPr>
            <w:sz w:val="22"/>
            <w:szCs w:val="22"/>
          </w:rPr>
          <w:delText xml:space="preserve"> u</w:delText>
        </w:r>
        <w:r w:rsidRPr="001D434C">
          <w:rPr>
            <w:sz w:val="22"/>
            <w:szCs w:val="22"/>
          </w:rPr>
          <w:delText>forlikelighet</w:delText>
        </w:r>
        <w:r>
          <w:rPr>
            <w:sz w:val="22"/>
            <w:szCs w:val="22"/>
          </w:rPr>
          <w:delText>.</w:delText>
        </w:r>
      </w:del>
    </w:p>
    <w:p w14:paraId="56B96B1D" w14:textId="59B28CE2" w:rsidR="00967185" w:rsidRPr="001F5D4B" w:rsidRDefault="00967185">
      <w:pPr>
        <w:keepNext/>
        <w:suppressAutoHyphens/>
        <w:rPr>
          <w:del w:id="11350" w:author="AbbVie02no" w:date="2025-05-15T13:45:00Z"/>
          <w:sz w:val="22"/>
          <w:szCs w:val="22"/>
        </w:rPr>
        <w:pPrChange w:id="11351" w:author="AbbVie02no" w:date="2025-05-15T13:45:00Z">
          <w:pPr>
            <w:suppressAutoHyphens/>
          </w:pPr>
        </w:pPrChange>
      </w:pPr>
    </w:p>
    <w:p w14:paraId="224F16C5" w14:textId="2054AE64" w:rsidR="00DE3458" w:rsidRPr="00193D76" w:rsidRDefault="00E453CD">
      <w:pPr>
        <w:keepNext/>
        <w:suppressAutoHyphens/>
        <w:rPr>
          <w:del w:id="11352" w:author="AbbVie02no" w:date="2025-05-15T13:45:00Z"/>
          <w:sz w:val="22"/>
          <w:szCs w:val="22"/>
        </w:rPr>
        <w:pPrChange w:id="11353" w:author="AbbVie02no" w:date="2025-05-15T13:45:00Z">
          <w:pPr>
            <w:keepNext/>
            <w:suppressAutoHyphens/>
            <w:ind w:left="576" w:hanging="576"/>
          </w:pPr>
        </w:pPrChange>
      </w:pPr>
      <w:del w:id="11354" w:author="AbbVie02no" w:date="2025-05-15T13:45:00Z">
        <w:r w:rsidRPr="007F67EE">
          <w:rPr>
            <w:b/>
            <w:sz w:val="22"/>
            <w:szCs w:val="22"/>
          </w:rPr>
          <w:delText>6.3</w:delText>
        </w:r>
        <w:r w:rsidRPr="007F67EE">
          <w:rPr>
            <w:b/>
            <w:sz w:val="22"/>
            <w:szCs w:val="22"/>
          </w:rPr>
          <w:tab/>
          <w:delText>Holdbarhet</w:delText>
        </w:r>
      </w:del>
    </w:p>
    <w:p w14:paraId="4F29583C" w14:textId="6BB3086B" w:rsidR="00DE3458" w:rsidRPr="002D0790" w:rsidRDefault="00DE3458">
      <w:pPr>
        <w:keepNext/>
        <w:suppressAutoHyphens/>
        <w:rPr>
          <w:del w:id="11355" w:author="AbbVie02no" w:date="2025-05-15T13:45:00Z"/>
          <w:sz w:val="22"/>
          <w:szCs w:val="22"/>
        </w:rPr>
        <w:pPrChange w:id="11356" w:author="AbbVie02no" w:date="2025-05-15T13:45:00Z">
          <w:pPr>
            <w:keepNext/>
          </w:pPr>
        </w:pPrChange>
      </w:pPr>
    </w:p>
    <w:p w14:paraId="002AD961" w14:textId="76B92B19" w:rsidR="00DE3458" w:rsidRPr="009C5EFD" w:rsidRDefault="00E453CD">
      <w:pPr>
        <w:keepNext/>
        <w:suppressAutoHyphens/>
        <w:rPr>
          <w:del w:id="11357" w:author="AbbVie02no" w:date="2025-05-15T13:45:00Z"/>
          <w:sz w:val="22"/>
          <w:szCs w:val="22"/>
        </w:rPr>
        <w:pPrChange w:id="11358" w:author="AbbVie02no" w:date="2025-05-15T13:45:00Z">
          <w:pPr/>
        </w:pPrChange>
      </w:pPr>
      <w:del w:id="11359" w:author="AbbVie02no" w:date="2025-05-15T13:45:00Z">
        <w:r w:rsidRPr="00E14E58">
          <w:rPr>
            <w:sz w:val="22"/>
            <w:szCs w:val="22"/>
          </w:rPr>
          <w:delText>2 år.</w:delText>
        </w:r>
      </w:del>
    </w:p>
    <w:p w14:paraId="06E22114" w14:textId="38B7664D" w:rsidR="00DE3458" w:rsidRPr="009C5EFD" w:rsidRDefault="00DE3458">
      <w:pPr>
        <w:keepNext/>
        <w:suppressAutoHyphens/>
        <w:rPr>
          <w:del w:id="11360" w:author="AbbVie02no" w:date="2025-05-15T13:45:00Z"/>
          <w:sz w:val="22"/>
          <w:szCs w:val="22"/>
        </w:rPr>
        <w:pPrChange w:id="11361" w:author="AbbVie02no" w:date="2025-05-15T13:45:00Z">
          <w:pPr/>
        </w:pPrChange>
      </w:pPr>
    </w:p>
    <w:p w14:paraId="2C1BB0A5" w14:textId="1B547B3C" w:rsidR="00DE3458" w:rsidRPr="009C5EFD" w:rsidRDefault="00E453CD">
      <w:pPr>
        <w:keepNext/>
        <w:suppressAutoHyphens/>
        <w:rPr>
          <w:del w:id="11362" w:author="AbbVie02no" w:date="2025-05-15T13:45:00Z"/>
          <w:sz w:val="22"/>
          <w:szCs w:val="22"/>
        </w:rPr>
        <w:pPrChange w:id="11363" w:author="AbbVie02no" w:date="2025-05-15T13:45:00Z">
          <w:pPr>
            <w:keepNext/>
            <w:suppressAutoHyphens/>
            <w:ind w:left="576" w:hanging="576"/>
          </w:pPr>
        </w:pPrChange>
      </w:pPr>
      <w:del w:id="11364" w:author="AbbVie02no" w:date="2025-05-15T13:45:00Z">
        <w:r w:rsidRPr="009C5EFD">
          <w:rPr>
            <w:b/>
            <w:sz w:val="22"/>
            <w:szCs w:val="22"/>
          </w:rPr>
          <w:delText>6.4</w:delText>
        </w:r>
        <w:r w:rsidRPr="009C5EFD">
          <w:rPr>
            <w:b/>
            <w:sz w:val="22"/>
            <w:szCs w:val="22"/>
          </w:rPr>
          <w:tab/>
          <w:delText>Oppbevaringsbetingelser</w:delText>
        </w:r>
      </w:del>
    </w:p>
    <w:p w14:paraId="3D546A85" w14:textId="130874A8" w:rsidR="006162D2" w:rsidRPr="009C5EFD" w:rsidRDefault="006162D2">
      <w:pPr>
        <w:keepNext/>
        <w:suppressAutoHyphens/>
        <w:rPr>
          <w:del w:id="11365" w:author="AbbVie02no" w:date="2025-05-15T13:45:00Z"/>
          <w:sz w:val="22"/>
          <w:szCs w:val="22"/>
        </w:rPr>
        <w:pPrChange w:id="11366" w:author="AbbVie02no" w:date="2025-05-15T13:45:00Z">
          <w:pPr>
            <w:keepNext/>
          </w:pPr>
        </w:pPrChange>
      </w:pPr>
    </w:p>
    <w:p w14:paraId="6A8750EF" w14:textId="19AE00F4" w:rsidR="00DE3458" w:rsidRPr="009C5EFD" w:rsidRDefault="00E453CD">
      <w:pPr>
        <w:keepNext/>
        <w:suppressAutoHyphens/>
        <w:rPr>
          <w:del w:id="11367" w:author="AbbVie02no" w:date="2025-05-15T13:45:00Z"/>
          <w:sz w:val="22"/>
          <w:szCs w:val="22"/>
        </w:rPr>
        <w:pPrChange w:id="11368" w:author="AbbVie02no" w:date="2025-05-15T13:45:00Z">
          <w:pPr/>
        </w:pPrChange>
      </w:pPr>
      <w:del w:id="11369" w:author="AbbVie02no" w:date="2025-05-15T13:45:00Z">
        <w:r w:rsidRPr="009C5EFD">
          <w:rPr>
            <w:sz w:val="22"/>
            <w:szCs w:val="22"/>
          </w:rPr>
          <w:delText>Oppbevares i kjøleskap (</w:delText>
        </w:r>
        <w:r w:rsidR="002568DD" w:rsidRPr="009C5EFD">
          <w:rPr>
            <w:sz w:val="22"/>
            <w:szCs w:val="22"/>
          </w:rPr>
          <w:delText>2</w:delText>
        </w:r>
        <w:r w:rsidR="0019505A">
          <w:rPr>
            <w:sz w:val="22"/>
            <w:szCs w:val="22"/>
          </w:rPr>
          <w:delText> </w:delText>
        </w:r>
        <w:r w:rsidR="002568DD" w:rsidRPr="009C5EFD">
          <w:rPr>
            <w:sz w:val="22"/>
            <w:szCs w:val="22"/>
          </w:rPr>
          <w:delText>°C – 8</w:delText>
        </w:r>
        <w:r w:rsidR="0019505A">
          <w:rPr>
            <w:sz w:val="22"/>
            <w:szCs w:val="22"/>
          </w:rPr>
          <w:delText> </w:delText>
        </w:r>
        <w:r w:rsidR="002568DD" w:rsidRPr="009C5EFD">
          <w:rPr>
            <w:sz w:val="22"/>
            <w:szCs w:val="22"/>
          </w:rPr>
          <w:delText>°C</w:delText>
        </w:r>
        <w:r w:rsidRPr="009C5EFD">
          <w:rPr>
            <w:sz w:val="22"/>
            <w:szCs w:val="22"/>
          </w:rPr>
          <w:delText xml:space="preserve">). </w:delText>
        </w:r>
        <w:r w:rsidR="00551B55" w:rsidRPr="009C5EFD">
          <w:rPr>
            <w:sz w:val="22"/>
            <w:szCs w:val="22"/>
          </w:rPr>
          <w:delText>Skal</w:delText>
        </w:r>
        <w:r w:rsidRPr="009C5EFD">
          <w:rPr>
            <w:sz w:val="22"/>
            <w:szCs w:val="22"/>
          </w:rPr>
          <w:delText xml:space="preserve"> ikke fryses. Oppbevar </w:delText>
        </w:r>
        <w:r w:rsidR="00930634">
          <w:rPr>
            <w:sz w:val="22"/>
            <w:szCs w:val="22"/>
          </w:rPr>
          <w:delText xml:space="preserve">den ferdigfylte </w:delText>
        </w:r>
        <w:r w:rsidRPr="009C5EFD">
          <w:rPr>
            <w:sz w:val="22"/>
            <w:szCs w:val="22"/>
          </w:rPr>
          <w:delText xml:space="preserve">sprøyten </w:delText>
        </w:r>
        <w:r w:rsidR="00930634">
          <w:rPr>
            <w:sz w:val="22"/>
            <w:szCs w:val="22"/>
          </w:rPr>
          <w:delText>eller den ferdigfylte pennen</w:delText>
        </w:r>
        <w:r w:rsidR="00930634" w:rsidRPr="009C5EFD">
          <w:rPr>
            <w:sz w:val="22"/>
            <w:szCs w:val="22"/>
          </w:rPr>
          <w:delText xml:space="preserve"> </w:delText>
        </w:r>
        <w:r w:rsidRPr="009C5EFD">
          <w:rPr>
            <w:sz w:val="22"/>
            <w:szCs w:val="22"/>
          </w:rPr>
          <w:delText>i ytteremballasjen</w:delText>
        </w:r>
        <w:r w:rsidR="006162D2" w:rsidRPr="009C5EFD">
          <w:rPr>
            <w:sz w:val="22"/>
            <w:szCs w:val="22"/>
          </w:rPr>
          <w:delText xml:space="preserve"> for å beskytte mot lys</w:delText>
        </w:r>
        <w:r w:rsidRPr="009C5EFD">
          <w:rPr>
            <w:sz w:val="22"/>
            <w:szCs w:val="22"/>
          </w:rPr>
          <w:delText>.</w:delText>
        </w:r>
      </w:del>
    </w:p>
    <w:p w14:paraId="6438D676" w14:textId="43675BB8" w:rsidR="006162D2" w:rsidRPr="009C5EFD" w:rsidRDefault="006162D2">
      <w:pPr>
        <w:keepNext/>
        <w:suppressAutoHyphens/>
        <w:rPr>
          <w:del w:id="11370" w:author="AbbVie02no" w:date="2025-05-15T13:45:00Z"/>
          <w:sz w:val="22"/>
          <w:szCs w:val="22"/>
        </w:rPr>
        <w:pPrChange w:id="11371" w:author="AbbVie02no" w:date="2025-05-15T13:45:00Z">
          <w:pPr/>
        </w:pPrChange>
      </w:pPr>
    </w:p>
    <w:p w14:paraId="73884D72" w14:textId="1A384951" w:rsidR="006162D2" w:rsidRPr="009C5EFD" w:rsidRDefault="00E453CD">
      <w:pPr>
        <w:keepNext/>
        <w:suppressAutoHyphens/>
        <w:rPr>
          <w:del w:id="11372" w:author="AbbVie02no" w:date="2025-05-15T13:45:00Z"/>
          <w:sz w:val="22"/>
          <w:szCs w:val="22"/>
        </w:rPr>
        <w:pPrChange w:id="11373" w:author="AbbVie02no" w:date="2025-05-15T13:45:00Z">
          <w:pPr/>
        </w:pPrChange>
      </w:pPr>
      <w:del w:id="11374" w:author="AbbVie02no" w:date="2025-05-15T13:45:00Z">
        <w:r w:rsidRPr="009C5EFD">
          <w:rPr>
            <w:sz w:val="22"/>
            <w:szCs w:val="22"/>
          </w:rPr>
          <w:delText xml:space="preserve">En enkelt Humira ferdigfylt sprøyte </w:delText>
        </w:r>
        <w:r w:rsidR="00930634">
          <w:rPr>
            <w:sz w:val="22"/>
            <w:szCs w:val="22"/>
          </w:rPr>
          <w:delText>eller ferdigfylt penn</w:delText>
        </w:r>
        <w:r w:rsidR="00930634" w:rsidRPr="009C5EFD">
          <w:rPr>
            <w:sz w:val="22"/>
            <w:szCs w:val="22"/>
          </w:rPr>
          <w:delText xml:space="preserve"> </w:delText>
        </w:r>
        <w:r w:rsidRPr="009C5EFD">
          <w:rPr>
            <w:sz w:val="22"/>
            <w:szCs w:val="22"/>
          </w:rPr>
          <w:delText xml:space="preserve">kan oppbevares ved temperaturer opptil </w:delText>
        </w:r>
        <w:r w:rsidR="0019505A">
          <w:rPr>
            <w:sz w:val="22"/>
            <w:szCs w:val="22"/>
          </w:rPr>
          <w:delText>maksimalt</w:delText>
        </w:r>
        <w:r w:rsidR="0019505A" w:rsidRPr="009C5EFD">
          <w:rPr>
            <w:sz w:val="22"/>
            <w:szCs w:val="22"/>
          </w:rPr>
          <w:delText xml:space="preserve"> </w:delText>
        </w:r>
        <w:r w:rsidRPr="009C5EFD">
          <w:rPr>
            <w:sz w:val="22"/>
            <w:szCs w:val="22"/>
          </w:rPr>
          <w:delText>25</w:delText>
        </w:r>
        <w:r w:rsidR="0019505A">
          <w:rPr>
            <w:sz w:val="22"/>
            <w:szCs w:val="22"/>
          </w:rPr>
          <w:delText> </w:delText>
        </w:r>
        <w:r w:rsidRPr="009C5EFD">
          <w:rPr>
            <w:sz w:val="22"/>
            <w:szCs w:val="22"/>
          </w:rPr>
          <w:delText xml:space="preserve">°C for en periode på opptil 14 dager. Sprøyten </w:delText>
        </w:r>
        <w:r w:rsidR="00930634">
          <w:rPr>
            <w:sz w:val="22"/>
            <w:szCs w:val="22"/>
          </w:rPr>
          <w:delText>eller pennen</w:delText>
        </w:r>
        <w:r w:rsidR="00930634" w:rsidRPr="009C5EFD">
          <w:rPr>
            <w:sz w:val="22"/>
            <w:szCs w:val="22"/>
          </w:rPr>
          <w:delText xml:space="preserve"> </w:delText>
        </w:r>
        <w:r w:rsidRPr="009C5EFD">
          <w:rPr>
            <w:sz w:val="22"/>
            <w:szCs w:val="22"/>
          </w:rPr>
          <w:delText>må beskytte</w:delText>
        </w:r>
        <w:r w:rsidR="00ED4995" w:rsidRPr="009C5EFD">
          <w:rPr>
            <w:sz w:val="22"/>
            <w:szCs w:val="22"/>
          </w:rPr>
          <w:delText>s</w:delText>
        </w:r>
        <w:r w:rsidRPr="009C5EFD">
          <w:rPr>
            <w:sz w:val="22"/>
            <w:szCs w:val="22"/>
          </w:rPr>
          <w:delText xml:space="preserve"> mot lys, og </w:delText>
        </w:r>
        <w:r w:rsidR="00892FD0" w:rsidRPr="009C5EFD">
          <w:rPr>
            <w:sz w:val="22"/>
            <w:szCs w:val="22"/>
          </w:rPr>
          <w:delText>kastes</w:delText>
        </w:r>
        <w:r w:rsidRPr="009C5EFD">
          <w:rPr>
            <w:sz w:val="22"/>
            <w:szCs w:val="22"/>
          </w:rPr>
          <w:delText xml:space="preserve"> hvis den ikke</w:delText>
        </w:r>
        <w:r w:rsidR="00ED4995" w:rsidRPr="009C5EFD">
          <w:rPr>
            <w:sz w:val="22"/>
            <w:szCs w:val="22"/>
          </w:rPr>
          <w:delText xml:space="preserve"> brukes innen 14 dager</w:delText>
        </w:r>
        <w:r w:rsidRPr="009C5EFD">
          <w:rPr>
            <w:sz w:val="22"/>
            <w:szCs w:val="22"/>
          </w:rPr>
          <w:delText xml:space="preserve">. </w:delText>
        </w:r>
      </w:del>
    </w:p>
    <w:p w14:paraId="4F1013C9" w14:textId="7C616617" w:rsidR="00DE3458" w:rsidRPr="009C5EFD" w:rsidRDefault="00DE3458">
      <w:pPr>
        <w:keepNext/>
        <w:suppressAutoHyphens/>
        <w:rPr>
          <w:del w:id="11375" w:author="AbbVie02no" w:date="2025-05-15T13:45:00Z"/>
          <w:sz w:val="22"/>
          <w:szCs w:val="22"/>
        </w:rPr>
        <w:pPrChange w:id="11376" w:author="AbbVie02no" w:date="2025-05-15T13:45:00Z">
          <w:pPr/>
        </w:pPrChange>
      </w:pPr>
    </w:p>
    <w:p w14:paraId="36D3EC26" w14:textId="08E08187" w:rsidR="00DE3458" w:rsidRPr="009C5EFD" w:rsidRDefault="00E453CD">
      <w:pPr>
        <w:keepNext/>
        <w:suppressAutoHyphens/>
        <w:rPr>
          <w:del w:id="11377" w:author="AbbVie02no" w:date="2025-05-15T13:45:00Z"/>
          <w:b/>
          <w:sz w:val="22"/>
          <w:szCs w:val="22"/>
        </w:rPr>
        <w:pPrChange w:id="11378" w:author="AbbVie02no" w:date="2025-05-15T13:45:00Z">
          <w:pPr>
            <w:keepNext/>
            <w:ind w:left="576" w:hanging="576"/>
          </w:pPr>
        </w:pPrChange>
      </w:pPr>
      <w:del w:id="11379" w:author="AbbVie02no" w:date="2025-05-15T13:45:00Z">
        <w:r w:rsidRPr="009C5EFD">
          <w:rPr>
            <w:b/>
            <w:sz w:val="22"/>
            <w:szCs w:val="22"/>
          </w:rPr>
          <w:delText>6.5</w:delText>
        </w:r>
        <w:r w:rsidRPr="009C5EFD">
          <w:rPr>
            <w:b/>
            <w:sz w:val="22"/>
            <w:szCs w:val="22"/>
          </w:rPr>
          <w:tab/>
          <w:delText>Emballasje (type og innhold)</w:delText>
        </w:r>
      </w:del>
    </w:p>
    <w:p w14:paraId="7B173762" w14:textId="27D5DA6E" w:rsidR="00DE3458" w:rsidRPr="009C5EFD" w:rsidRDefault="00DE3458">
      <w:pPr>
        <w:keepNext/>
        <w:suppressAutoHyphens/>
        <w:rPr>
          <w:del w:id="11380" w:author="AbbVie02no" w:date="2025-05-15T13:45:00Z"/>
          <w:sz w:val="22"/>
          <w:szCs w:val="22"/>
        </w:rPr>
        <w:pPrChange w:id="11381" w:author="AbbVie02no" w:date="2025-05-15T13:45:00Z">
          <w:pPr>
            <w:keepNext/>
          </w:pPr>
        </w:pPrChange>
      </w:pPr>
    </w:p>
    <w:p w14:paraId="44B492AD" w14:textId="7CE963B5" w:rsidR="00930634" w:rsidRDefault="00E453CD">
      <w:pPr>
        <w:keepNext/>
        <w:suppressAutoHyphens/>
        <w:rPr>
          <w:del w:id="11382" w:author="AbbVie02no" w:date="2025-05-15T13:45:00Z"/>
          <w:sz w:val="22"/>
          <w:szCs w:val="22"/>
        </w:rPr>
        <w:pPrChange w:id="11383" w:author="AbbVie02no" w:date="2025-05-15T13:45:00Z">
          <w:pPr>
            <w:keepNext/>
            <w:textAlignment w:val="top"/>
          </w:pPr>
        </w:pPrChange>
      </w:pPr>
      <w:del w:id="11384" w:author="AbbVie02no" w:date="2025-05-15T13:45:00Z">
        <w:r w:rsidRPr="007A3AEF">
          <w:rPr>
            <w:sz w:val="22"/>
            <w:szCs w:val="22"/>
            <w:u w:val="single"/>
          </w:rPr>
          <w:delText>Humira 40 mg inje</w:delText>
        </w:r>
        <w:r w:rsidRPr="00713546">
          <w:rPr>
            <w:sz w:val="22"/>
            <w:szCs w:val="22"/>
            <w:u w:val="single"/>
          </w:rPr>
          <w:delText xml:space="preserve">ksjonsvæske, oppløsning </w:delText>
        </w:r>
        <w:r w:rsidRPr="007A3AEF">
          <w:rPr>
            <w:sz w:val="22"/>
            <w:szCs w:val="22"/>
            <w:u w:val="single"/>
          </w:rPr>
          <w:delText>i ferdigfylt sprøyte</w:delText>
        </w:r>
      </w:del>
    </w:p>
    <w:p w14:paraId="5E6BDC39" w14:textId="632A34DD" w:rsidR="00DE3458" w:rsidRPr="002D0790" w:rsidRDefault="00E453CD">
      <w:pPr>
        <w:keepNext/>
        <w:suppressAutoHyphens/>
        <w:rPr>
          <w:del w:id="11385" w:author="AbbVie02no" w:date="2025-05-15T13:45:00Z"/>
          <w:sz w:val="22"/>
          <w:szCs w:val="22"/>
        </w:rPr>
        <w:pPrChange w:id="11386" w:author="AbbVie02no" w:date="2025-05-15T13:45:00Z">
          <w:pPr>
            <w:textAlignment w:val="top"/>
          </w:pPr>
        </w:pPrChange>
      </w:pPr>
      <w:del w:id="11387" w:author="AbbVie02no" w:date="2025-05-15T13:45:00Z">
        <w:r w:rsidRPr="009C5EFD">
          <w:rPr>
            <w:sz w:val="22"/>
            <w:szCs w:val="22"/>
          </w:rPr>
          <w:delText xml:space="preserve">Humira 40 mg injeksjonsvæske, oppløsning, endose i ferdigfylt sprøyte (type I glass) </w:delText>
        </w:r>
        <w:r w:rsidR="00D74389" w:rsidRPr="009C5EFD">
          <w:rPr>
            <w:sz w:val="22"/>
            <w:szCs w:val="22"/>
          </w:rPr>
          <w:delText>med en stempelpropp (brom</w:delText>
        </w:r>
        <w:r w:rsidR="004519C2" w:rsidRPr="009C5EFD">
          <w:rPr>
            <w:sz w:val="22"/>
            <w:szCs w:val="22"/>
          </w:rPr>
          <w:delText xml:space="preserve">butylgummi) og en </w:delText>
        </w:r>
        <w:r w:rsidR="008138BF">
          <w:rPr>
            <w:sz w:val="22"/>
            <w:szCs w:val="22"/>
          </w:rPr>
          <w:delText>kanyle</w:delText>
        </w:r>
        <w:r w:rsidR="004519C2" w:rsidRPr="009C5EFD">
          <w:rPr>
            <w:sz w:val="22"/>
            <w:szCs w:val="22"/>
          </w:rPr>
          <w:delText xml:space="preserve"> med </w:delText>
        </w:r>
        <w:r w:rsidR="00E1458E">
          <w:rPr>
            <w:sz w:val="22"/>
            <w:szCs w:val="22"/>
          </w:rPr>
          <w:delText>kanylehette</w:delText>
        </w:r>
        <w:r w:rsidR="00D74389" w:rsidRPr="009C5EFD">
          <w:rPr>
            <w:sz w:val="22"/>
            <w:szCs w:val="22"/>
          </w:rPr>
          <w:delText xml:space="preserve"> (termoplastisk elastomer)</w:delText>
        </w:r>
        <w:r w:rsidR="00E70713" w:rsidRPr="00193D76">
          <w:rPr>
            <w:sz w:val="22"/>
            <w:szCs w:val="22"/>
          </w:rPr>
          <w:delText>.</w:delText>
        </w:r>
      </w:del>
    </w:p>
    <w:p w14:paraId="6AEC6DB1" w14:textId="653ADFA5" w:rsidR="00AC790E" w:rsidRPr="002D0790" w:rsidRDefault="00AC790E">
      <w:pPr>
        <w:keepNext/>
        <w:suppressAutoHyphens/>
        <w:rPr>
          <w:del w:id="11388" w:author="AbbVie02no" w:date="2025-05-15T13:45:00Z"/>
          <w:sz w:val="22"/>
          <w:szCs w:val="22"/>
        </w:rPr>
        <w:pPrChange w:id="11389" w:author="AbbVie02no" w:date="2025-05-15T13:45:00Z">
          <w:pPr/>
        </w:pPrChange>
      </w:pPr>
    </w:p>
    <w:p w14:paraId="0B390A3A" w14:textId="605C72DC" w:rsidR="00DE3458" w:rsidRPr="00E14E58" w:rsidRDefault="00E453CD">
      <w:pPr>
        <w:keepNext/>
        <w:suppressAutoHyphens/>
        <w:rPr>
          <w:del w:id="11390" w:author="AbbVie02no" w:date="2025-05-15T13:45:00Z"/>
          <w:sz w:val="22"/>
          <w:szCs w:val="22"/>
        </w:rPr>
        <w:pPrChange w:id="11391" w:author="AbbVie02no" w:date="2025-05-15T13:45:00Z">
          <w:pPr>
            <w:keepNext/>
          </w:pPr>
        </w:pPrChange>
      </w:pPr>
      <w:del w:id="11392" w:author="AbbVie02no" w:date="2025-05-15T13:45:00Z">
        <w:r w:rsidRPr="00E14E58">
          <w:rPr>
            <w:sz w:val="22"/>
            <w:szCs w:val="22"/>
          </w:rPr>
          <w:delText>Pakninger:</w:delText>
        </w:r>
      </w:del>
    </w:p>
    <w:p w14:paraId="264A0E57" w14:textId="51495AA5" w:rsidR="00DE3458" w:rsidRPr="009C5EFD" w:rsidRDefault="00E453CD">
      <w:pPr>
        <w:keepNext/>
        <w:suppressAutoHyphens/>
        <w:rPr>
          <w:del w:id="11393" w:author="AbbVie02no" w:date="2025-05-15T13:45:00Z"/>
          <w:sz w:val="22"/>
          <w:szCs w:val="22"/>
        </w:rPr>
        <w:pPrChange w:id="11394" w:author="AbbVie02no" w:date="2025-05-15T13:45:00Z">
          <w:pPr>
            <w:numPr>
              <w:numId w:val="23"/>
            </w:numPr>
            <w:tabs>
              <w:tab w:val="num" w:pos="567"/>
            </w:tabs>
            <w:ind w:left="567" w:hanging="567"/>
          </w:pPr>
        </w:pPrChange>
      </w:pPr>
      <w:del w:id="11395" w:author="AbbVie02no" w:date="2025-05-15T13:45:00Z">
        <w:r w:rsidRPr="009C5EFD">
          <w:rPr>
            <w:sz w:val="22"/>
            <w:szCs w:val="22"/>
          </w:rPr>
          <w:delText xml:space="preserve">1 ferdigfylt sprøyte (0,8 ml steril oppløsning) med </w:delText>
        </w:r>
        <w:r w:rsidR="00F066FC">
          <w:rPr>
            <w:sz w:val="22"/>
            <w:szCs w:val="22"/>
          </w:rPr>
          <w:delText>1</w:delText>
        </w:r>
        <w:r w:rsidRPr="009C5EFD">
          <w:rPr>
            <w:sz w:val="22"/>
            <w:szCs w:val="22"/>
          </w:rPr>
          <w:delText xml:space="preserve"> injeksjonstørk</w:delText>
        </w:r>
        <w:r w:rsidR="005F3531">
          <w:rPr>
            <w:sz w:val="22"/>
            <w:szCs w:val="22"/>
          </w:rPr>
          <w:delText>,</w:delText>
        </w:r>
        <w:r w:rsidRPr="009C5EFD">
          <w:rPr>
            <w:sz w:val="22"/>
            <w:szCs w:val="22"/>
          </w:rPr>
          <w:delText xml:space="preserve"> i blisterpakning</w:delText>
        </w:r>
        <w:r w:rsidR="00C37937">
          <w:rPr>
            <w:sz w:val="22"/>
            <w:szCs w:val="22"/>
          </w:rPr>
          <w:delText>.</w:delText>
        </w:r>
      </w:del>
    </w:p>
    <w:p w14:paraId="0214ED16" w14:textId="682E240D" w:rsidR="00DE3458" w:rsidRPr="009C5EFD" w:rsidRDefault="00E453CD">
      <w:pPr>
        <w:keepNext/>
        <w:suppressAutoHyphens/>
        <w:rPr>
          <w:del w:id="11396" w:author="AbbVie02no" w:date="2025-05-15T13:45:00Z"/>
          <w:sz w:val="22"/>
          <w:szCs w:val="22"/>
        </w:rPr>
        <w:pPrChange w:id="11397" w:author="AbbVie02no" w:date="2025-05-15T13:45:00Z">
          <w:pPr>
            <w:numPr>
              <w:numId w:val="23"/>
            </w:numPr>
            <w:tabs>
              <w:tab w:val="num" w:pos="567"/>
            </w:tabs>
            <w:ind w:left="567" w:hanging="567"/>
          </w:pPr>
        </w:pPrChange>
      </w:pPr>
      <w:del w:id="11398" w:author="AbbVie02no" w:date="2025-05-15T13:45:00Z">
        <w:r w:rsidRPr="009C5EFD">
          <w:rPr>
            <w:sz w:val="22"/>
            <w:szCs w:val="22"/>
          </w:rPr>
          <w:delText xml:space="preserve">2 ferdigfylte sprøyter (0,8 ml steril oppløsning), hver med </w:delText>
        </w:r>
        <w:r w:rsidR="00F066FC">
          <w:rPr>
            <w:sz w:val="22"/>
            <w:szCs w:val="22"/>
          </w:rPr>
          <w:delText>1</w:delText>
        </w:r>
        <w:r w:rsidRPr="009C5EFD">
          <w:rPr>
            <w:sz w:val="22"/>
            <w:szCs w:val="22"/>
          </w:rPr>
          <w:delText xml:space="preserve"> injeksjonstørk</w:delText>
        </w:r>
        <w:r w:rsidR="0019505A">
          <w:rPr>
            <w:sz w:val="22"/>
            <w:szCs w:val="22"/>
          </w:rPr>
          <w:delText>,</w:delText>
        </w:r>
        <w:r w:rsidRPr="009C5EFD">
          <w:rPr>
            <w:sz w:val="22"/>
            <w:szCs w:val="22"/>
          </w:rPr>
          <w:delText xml:space="preserve"> i blisterpakning</w:delText>
        </w:r>
        <w:r w:rsidR="00C37937">
          <w:rPr>
            <w:sz w:val="22"/>
            <w:szCs w:val="22"/>
          </w:rPr>
          <w:delText>.</w:delText>
        </w:r>
      </w:del>
    </w:p>
    <w:p w14:paraId="77D8116C" w14:textId="26EF926C" w:rsidR="00DE3458" w:rsidRPr="009C5EFD" w:rsidRDefault="00E453CD">
      <w:pPr>
        <w:keepNext/>
        <w:suppressAutoHyphens/>
        <w:rPr>
          <w:del w:id="11399" w:author="AbbVie02no" w:date="2025-05-15T13:45:00Z"/>
          <w:sz w:val="22"/>
          <w:szCs w:val="22"/>
        </w:rPr>
        <w:pPrChange w:id="11400" w:author="AbbVie02no" w:date="2025-05-15T13:45:00Z">
          <w:pPr>
            <w:numPr>
              <w:numId w:val="23"/>
            </w:numPr>
            <w:tabs>
              <w:tab w:val="num" w:pos="567"/>
            </w:tabs>
            <w:ind w:left="567" w:hanging="567"/>
          </w:pPr>
        </w:pPrChange>
      </w:pPr>
      <w:del w:id="11401" w:author="AbbVie02no" w:date="2025-05-15T13:45:00Z">
        <w:r w:rsidRPr="009C5EFD">
          <w:rPr>
            <w:sz w:val="22"/>
            <w:szCs w:val="22"/>
          </w:rPr>
          <w:delText xml:space="preserve">4 ferdigfylte sprøyter (0,8 ml steril oppløsning), hver med </w:delText>
        </w:r>
        <w:r w:rsidR="00F066FC">
          <w:rPr>
            <w:sz w:val="22"/>
            <w:szCs w:val="22"/>
          </w:rPr>
          <w:delText>1</w:delText>
        </w:r>
        <w:r w:rsidRPr="009C5EFD">
          <w:rPr>
            <w:sz w:val="22"/>
            <w:szCs w:val="22"/>
          </w:rPr>
          <w:delText xml:space="preserve"> injeksjonstørk</w:delText>
        </w:r>
        <w:r w:rsidR="0019505A">
          <w:rPr>
            <w:sz w:val="22"/>
            <w:szCs w:val="22"/>
          </w:rPr>
          <w:delText>,</w:delText>
        </w:r>
        <w:r w:rsidRPr="009C5EFD">
          <w:rPr>
            <w:sz w:val="22"/>
            <w:szCs w:val="22"/>
          </w:rPr>
          <w:delText xml:space="preserve"> i blisterpakning</w:delText>
        </w:r>
        <w:r w:rsidR="00C37937">
          <w:rPr>
            <w:sz w:val="22"/>
            <w:szCs w:val="22"/>
          </w:rPr>
          <w:delText>.</w:delText>
        </w:r>
      </w:del>
    </w:p>
    <w:p w14:paraId="3721516D" w14:textId="04A55FD1" w:rsidR="00DE3458" w:rsidRPr="009C5EFD" w:rsidRDefault="00E453CD">
      <w:pPr>
        <w:keepNext/>
        <w:suppressAutoHyphens/>
        <w:rPr>
          <w:del w:id="11402" w:author="AbbVie02no" w:date="2025-05-15T13:45:00Z"/>
          <w:sz w:val="22"/>
          <w:szCs w:val="22"/>
        </w:rPr>
        <w:pPrChange w:id="11403" w:author="AbbVie02no" w:date="2025-05-15T13:45:00Z">
          <w:pPr>
            <w:numPr>
              <w:numId w:val="23"/>
            </w:numPr>
            <w:tabs>
              <w:tab w:val="num" w:pos="567"/>
            </w:tabs>
            <w:ind w:left="567" w:hanging="567"/>
          </w:pPr>
        </w:pPrChange>
      </w:pPr>
      <w:del w:id="11404" w:author="AbbVie02no" w:date="2025-05-15T13:45:00Z">
        <w:r w:rsidRPr="009C5EFD">
          <w:rPr>
            <w:sz w:val="22"/>
            <w:szCs w:val="22"/>
          </w:rPr>
          <w:delText xml:space="preserve">6 ferdigfylte sprøyter (0,8 ml steril oppløsning), hver med </w:delText>
        </w:r>
        <w:r w:rsidR="00F066FC">
          <w:rPr>
            <w:sz w:val="22"/>
            <w:szCs w:val="22"/>
          </w:rPr>
          <w:delText>1</w:delText>
        </w:r>
        <w:r w:rsidRPr="009C5EFD">
          <w:rPr>
            <w:sz w:val="22"/>
            <w:szCs w:val="22"/>
          </w:rPr>
          <w:delText xml:space="preserve"> injeksjonstørk</w:delText>
        </w:r>
        <w:r w:rsidR="0019505A">
          <w:rPr>
            <w:sz w:val="22"/>
            <w:szCs w:val="22"/>
          </w:rPr>
          <w:delText>,</w:delText>
        </w:r>
        <w:r w:rsidRPr="009C5EFD">
          <w:rPr>
            <w:sz w:val="22"/>
            <w:szCs w:val="22"/>
          </w:rPr>
          <w:delText xml:space="preserve"> i blisterpakning</w:delText>
        </w:r>
        <w:r w:rsidR="00C37937">
          <w:rPr>
            <w:sz w:val="22"/>
            <w:szCs w:val="22"/>
          </w:rPr>
          <w:delText>.</w:delText>
        </w:r>
      </w:del>
    </w:p>
    <w:p w14:paraId="143D9073" w14:textId="5759907E" w:rsidR="00DE3458" w:rsidRPr="009C5EFD" w:rsidRDefault="00DE3458">
      <w:pPr>
        <w:keepNext/>
        <w:suppressAutoHyphens/>
        <w:rPr>
          <w:del w:id="11405" w:author="AbbVie02no" w:date="2025-05-15T13:45:00Z"/>
          <w:sz w:val="22"/>
          <w:szCs w:val="22"/>
        </w:rPr>
        <w:pPrChange w:id="11406" w:author="AbbVie02no" w:date="2025-05-15T13:45:00Z">
          <w:pPr/>
        </w:pPrChange>
      </w:pPr>
    </w:p>
    <w:p w14:paraId="18DB5B0E" w14:textId="52625CF0" w:rsidR="00930634" w:rsidRPr="007A3AEF" w:rsidRDefault="00E453CD">
      <w:pPr>
        <w:keepNext/>
        <w:suppressAutoHyphens/>
        <w:rPr>
          <w:del w:id="11407" w:author="AbbVie02no" w:date="2025-05-15T13:45:00Z"/>
          <w:sz w:val="22"/>
          <w:szCs w:val="22"/>
          <w:u w:val="single"/>
        </w:rPr>
        <w:pPrChange w:id="11408" w:author="AbbVie02no" w:date="2025-05-15T13:45:00Z">
          <w:pPr>
            <w:keepNext/>
          </w:pPr>
        </w:pPrChange>
      </w:pPr>
      <w:del w:id="11409" w:author="AbbVie02no" w:date="2025-05-15T13:45:00Z">
        <w:r>
          <w:rPr>
            <w:sz w:val="22"/>
            <w:szCs w:val="22"/>
            <w:u w:val="single"/>
          </w:rPr>
          <w:delText>Humira 40 mg injeksjonsvæske, oppløsning i ferdigfylt sprøyte med kanylebeskyttelse</w:delText>
        </w:r>
      </w:del>
    </w:p>
    <w:p w14:paraId="3240E24E" w14:textId="5573E96D" w:rsidR="00930634" w:rsidRDefault="00E453CD">
      <w:pPr>
        <w:keepNext/>
        <w:suppressAutoHyphens/>
        <w:rPr>
          <w:del w:id="11410" w:author="AbbVie02no" w:date="2025-05-15T13:45:00Z"/>
          <w:sz w:val="22"/>
          <w:szCs w:val="22"/>
        </w:rPr>
        <w:pPrChange w:id="11411" w:author="AbbVie02no" w:date="2025-05-15T13:45:00Z">
          <w:pPr/>
        </w:pPrChange>
      </w:pPr>
      <w:del w:id="11412" w:author="AbbVie02no" w:date="2025-05-15T13:45:00Z">
        <w:r>
          <w:rPr>
            <w:sz w:val="22"/>
            <w:szCs w:val="22"/>
          </w:rPr>
          <w:delText xml:space="preserve">Humira 40 mg injeksjonsvæske, oppløsning, endose i ferdigfylt sprøyte (type I glass) med en kanylebeskyttelse for bruk ved </w:delText>
        </w:r>
        <w:r w:rsidRPr="00CC0AD7">
          <w:rPr>
            <w:sz w:val="22"/>
            <w:szCs w:val="22"/>
          </w:rPr>
          <w:delText xml:space="preserve">sykehus og av </w:delText>
        </w:r>
        <w:r>
          <w:rPr>
            <w:sz w:val="22"/>
            <w:szCs w:val="22"/>
          </w:rPr>
          <w:delText>omsorgsperson</w:delText>
        </w:r>
        <w:r w:rsidRPr="00CC0AD7">
          <w:rPr>
            <w:sz w:val="22"/>
            <w:szCs w:val="22"/>
          </w:rPr>
          <w:delText>. Sprøyten</w:delText>
        </w:r>
        <w:r>
          <w:rPr>
            <w:sz w:val="22"/>
            <w:szCs w:val="22"/>
          </w:rPr>
          <w:delText xml:space="preserve"> er lagd av type </w:delText>
        </w:r>
        <w:r w:rsidRPr="00DE70F1">
          <w:rPr>
            <w:sz w:val="22"/>
            <w:szCs w:val="22"/>
          </w:rPr>
          <w:delText>1</w:delText>
        </w:r>
        <w:r>
          <w:rPr>
            <w:sz w:val="22"/>
            <w:szCs w:val="22"/>
          </w:rPr>
          <w:delText xml:space="preserve"> glass med en stempelpropp (brombutylgummi) og en </w:delText>
        </w:r>
        <w:r w:rsidR="008138BF">
          <w:rPr>
            <w:sz w:val="22"/>
            <w:szCs w:val="22"/>
          </w:rPr>
          <w:delText>kanyle</w:delText>
        </w:r>
        <w:r>
          <w:rPr>
            <w:sz w:val="22"/>
            <w:szCs w:val="22"/>
          </w:rPr>
          <w:delText xml:space="preserve"> med </w:delText>
        </w:r>
        <w:r w:rsidR="00E1458E">
          <w:rPr>
            <w:sz w:val="22"/>
            <w:szCs w:val="22"/>
          </w:rPr>
          <w:delText>kanylehette</w:delText>
        </w:r>
        <w:r>
          <w:rPr>
            <w:sz w:val="22"/>
            <w:szCs w:val="22"/>
          </w:rPr>
          <w:delText xml:space="preserve"> (termoplastisk elastomer).</w:delText>
        </w:r>
      </w:del>
    </w:p>
    <w:p w14:paraId="7E36A957" w14:textId="5ACED5B6" w:rsidR="00930634" w:rsidRDefault="00930634">
      <w:pPr>
        <w:keepNext/>
        <w:suppressAutoHyphens/>
        <w:rPr>
          <w:del w:id="11413" w:author="AbbVie02no" w:date="2025-05-15T13:45:00Z"/>
          <w:sz w:val="22"/>
          <w:szCs w:val="22"/>
        </w:rPr>
        <w:pPrChange w:id="11414" w:author="AbbVie02no" w:date="2025-05-15T13:45:00Z">
          <w:pPr/>
        </w:pPrChange>
      </w:pPr>
    </w:p>
    <w:p w14:paraId="120B7B19" w14:textId="5904DD2A" w:rsidR="00930634" w:rsidRDefault="00E453CD">
      <w:pPr>
        <w:keepNext/>
        <w:suppressAutoHyphens/>
        <w:rPr>
          <w:del w:id="11415" w:author="AbbVie02no" w:date="2025-05-15T13:45:00Z"/>
          <w:sz w:val="22"/>
          <w:szCs w:val="22"/>
        </w:rPr>
        <w:pPrChange w:id="11416" w:author="AbbVie02no" w:date="2025-05-15T13:45:00Z">
          <w:pPr>
            <w:keepNext/>
          </w:pPr>
        </w:pPrChange>
      </w:pPr>
      <w:del w:id="11417" w:author="AbbVie02no" w:date="2025-05-15T13:45:00Z">
        <w:r>
          <w:rPr>
            <w:sz w:val="22"/>
            <w:szCs w:val="22"/>
          </w:rPr>
          <w:delText>Pakninger:</w:delText>
        </w:r>
      </w:del>
    </w:p>
    <w:p w14:paraId="5D7E37BC" w14:textId="29F30A6F" w:rsidR="00930634" w:rsidRDefault="00E453CD">
      <w:pPr>
        <w:keepNext/>
        <w:suppressAutoHyphens/>
        <w:rPr>
          <w:del w:id="11418" w:author="AbbVie02no" w:date="2025-05-15T13:45:00Z"/>
          <w:sz w:val="22"/>
          <w:szCs w:val="22"/>
        </w:rPr>
        <w:pPrChange w:id="11419" w:author="AbbVie02no" w:date="2025-05-15T13:45:00Z">
          <w:pPr/>
        </w:pPrChange>
      </w:pPr>
      <w:del w:id="11420" w:author="AbbVie02no" w:date="2025-05-15T13:45:00Z">
        <w:r>
          <w:rPr>
            <w:sz w:val="22"/>
            <w:szCs w:val="22"/>
          </w:rPr>
          <w:delText>1 ferdigfylt sprøyte med kanylebeskyttelse (0,8 ml steril oppløsning) i blisterpakning, med 1 injeksjonstørk.</w:delText>
        </w:r>
      </w:del>
    </w:p>
    <w:p w14:paraId="4E2D1657" w14:textId="6BE4098E" w:rsidR="00930634" w:rsidRDefault="00930634">
      <w:pPr>
        <w:keepNext/>
        <w:suppressAutoHyphens/>
        <w:rPr>
          <w:del w:id="11421" w:author="AbbVie02no" w:date="2025-05-15T13:45:00Z"/>
          <w:sz w:val="22"/>
          <w:szCs w:val="22"/>
        </w:rPr>
        <w:pPrChange w:id="11422" w:author="AbbVie02no" w:date="2025-05-15T13:45:00Z">
          <w:pPr/>
        </w:pPrChange>
      </w:pPr>
    </w:p>
    <w:p w14:paraId="32BEE8CA" w14:textId="53E77DFE" w:rsidR="00930634" w:rsidRPr="007A3AEF" w:rsidRDefault="00E453CD">
      <w:pPr>
        <w:keepNext/>
        <w:suppressAutoHyphens/>
        <w:rPr>
          <w:del w:id="11423" w:author="AbbVie02no" w:date="2025-05-15T13:45:00Z"/>
          <w:sz w:val="22"/>
          <w:szCs w:val="22"/>
          <w:u w:val="single"/>
        </w:rPr>
        <w:pPrChange w:id="11424" w:author="AbbVie02no" w:date="2025-05-15T13:45:00Z">
          <w:pPr>
            <w:keepNext/>
          </w:pPr>
        </w:pPrChange>
      </w:pPr>
      <w:del w:id="11425" w:author="AbbVie02no" w:date="2025-05-15T13:45:00Z">
        <w:r>
          <w:rPr>
            <w:sz w:val="22"/>
            <w:szCs w:val="22"/>
            <w:u w:val="single"/>
          </w:rPr>
          <w:delText>Humira 40 mg injeksjonsvæske, oppløsning i ferdigfylt penn</w:delText>
        </w:r>
      </w:del>
    </w:p>
    <w:p w14:paraId="60F55769" w14:textId="272562CC" w:rsidR="00930634" w:rsidRDefault="00E453CD">
      <w:pPr>
        <w:keepNext/>
        <w:suppressAutoHyphens/>
        <w:rPr>
          <w:del w:id="11426" w:author="AbbVie02no" w:date="2025-05-15T13:45:00Z"/>
          <w:sz w:val="22"/>
          <w:szCs w:val="22"/>
        </w:rPr>
        <w:pPrChange w:id="11427" w:author="AbbVie02no" w:date="2025-05-15T13:45:00Z">
          <w:pPr/>
        </w:pPrChange>
      </w:pPr>
      <w:del w:id="11428" w:author="AbbVie02no" w:date="2025-05-15T13:45:00Z">
        <w:r>
          <w:rPr>
            <w:sz w:val="22"/>
            <w:szCs w:val="22"/>
          </w:rPr>
          <w:lastRenderedPageBreak/>
          <w:delText xml:space="preserve">Humira 40 mg injeksjonsvæske, oppløsning, endose i ferdigfylt penn for pasientbruk inneholder en ferdigfylt sprøyte. Sprøyten inni pennen er lagd av type </w:delText>
        </w:r>
        <w:r w:rsidRPr="00DE70F1">
          <w:rPr>
            <w:sz w:val="22"/>
            <w:szCs w:val="22"/>
          </w:rPr>
          <w:delText>1</w:delText>
        </w:r>
        <w:r>
          <w:rPr>
            <w:sz w:val="22"/>
            <w:szCs w:val="22"/>
          </w:rPr>
          <w:delText xml:space="preserve"> glass med en stempelpropp (brombutylgummi) og en </w:delText>
        </w:r>
        <w:r w:rsidR="008138BF">
          <w:rPr>
            <w:sz w:val="22"/>
            <w:szCs w:val="22"/>
          </w:rPr>
          <w:delText>kanyle</w:delText>
        </w:r>
        <w:r>
          <w:rPr>
            <w:sz w:val="22"/>
            <w:szCs w:val="22"/>
          </w:rPr>
          <w:delText xml:space="preserve"> med beskyttelseshette (termoplastisk elastomer).</w:delText>
        </w:r>
      </w:del>
    </w:p>
    <w:p w14:paraId="3F2742AB" w14:textId="604BE846" w:rsidR="00930634" w:rsidRDefault="00930634">
      <w:pPr>
        <w:keepNext/>
        <w:suppressAutoHyphens/>
        <w:rPr>
          <w:del w:id="11429" w:author="AbbVie02no" w:date="2025-05-15T13:45:00Z"/>
          <w:sz w:val="22"/>
          <w:szCs w:val="22"/>
        </w:rPr>
        <w:pPrChange w:id="11430" w:author="AbbVie02no" w:date="2025-05-15T13:45:00Z">
          <w:pPr/>
        </w:pPrChange>
      </w:pPr>
    </w:p>
    <w:p w14:paraId="603566B2" w14:textId="2C4AD2F7" w:rsidR="00930634" w:rsidRDefault="00E453CD">
      <w:pPr>
        <w:keepNext/>
        <w:suppressAutoHyphens/>
        <w:rPr>
          <w:del w:id="11431" w:author="AbbVie02no" w:date="2025-05-15T13:45:00Z"/>
          <w:sz w:val="22"/>
          <w:szCs w:val="22"/>
        </w:rPr>
        <w:pPrChange w:id="11432" w:author="AbbVie02no" w:date="2025-05-15T13:45:00Z">
          <w:pPr>
            <w:keepNext/>
          </w:pPr>
        </w:pPrChange>
      </w:pPr>
      <w:del w:id="11433" w:author="AbbVie02no" w:date="2025-05-15T13:45:00Z">
        <w:r>
          <w:rPr>
            <w:sz w:val="22"/>
            <w:szCs w:val="22"/>
          </w:rPr>
          <w:delText>Pakninger:</w:delText>
        </w:r>
      </w:del>
    </w:p>
    <w:p w14:paraId="7BB1ACED" w14:textId="1F549605" w:rsidR="00930634" w:rsidRPr="009C5EFD" w:rsidRDefault="00E453CD">
      <w:pPr>
        <w:keepNext/>
        <w:suppressAutoHyphens/>
        <w:rPr>
          <w:del w:id="11434" w:author="AbbVie02no" w:date="2025-05-15T13:45:00Z"/>
          <w:sz w:val="22"/>
          <w:szCs w:val="22"/>
        </w:rPr>
        <w:pPrChange w:id="11435" w:author="AbbVie02no" w:date="2025-05-15T13:45:00Z">
          <w:pPr>
            <w:numPr>
              <w:numId w:val="23"/>
            </w:numPr>
            <w:tabs>
              <w:tab w:val="num" w:pos="567"/>
            </w:tabs>
            <w:ind w:left="567" w:hanging="567"/>
          </w:pPr>
        </w:pPrChange>
      </w:pPr>
      <w:del w:id="11436" w:author="AbbVie02no" w:date="2025-05-15T13:45:00Z">
        <w:r>
          <w:rPr>
            <w:sz w:val="22"/>
            <w:szCs w:val="22"/>
          </w:rPr>
          <w:delText xml:space="preserve">1 ferdigfylt penn </w:delText>
        </w:r>
        <w:r w:rsidRPr="009C5EFD">
          <w:rPr>
            <w:sz w:val="22"/>
            <w:szCs w:val="22"/>
          </w:rPr>
          <w:delText xml:space="preserve">(0,8 ml steril oppløsning) med </w:delText>
        </w:r>
        <w:r>
          <w:rPr>
            <w:sz w:val="22"/>
            <w:szCs w:val="22"/>
          </w:rPr>
          <w:delText>2</w:delText>
        </w:r>
        <w:r w:rsidRPr="009C5EFD">
          <w:rPr>
            <w:sz w:val="22"/>
            <w:szCs w:val="22"/>
          </w:rPr>
          <w:delText xml:space="preserve"> injeksjonstørk</w:delText>
        </w:r>
        <w:r w:rsidR="00C84EB2">
          <w:rPr>
            <w:sz w:val="22"/>
            <w:szCs w:val="22"/>
          </w:rPr>
          <w:delText>,</w:delText>
        </w:r>
        <w:r w:rsidRPr="009C5EFD">
          <w:rPr>
            <w:sz w:val="22"/>
            <w:szCs w:val="22"/>
          </w:rPr>
          <w:delText xml:space="preserve"> i blisterpakning</w:delText>
        </w:r>
        <w:r w:rsidR="00C84EB2">
          <w:rPr>
            <w:sz w:val="22"/>
            <w:szCs w:val="22"/>
          </w:rPr>
          <w:delText>.</w:delText>
        </w:r>
      </w:del>
    </w:p>
    <w:p w14:paraId="6A44005F" w14:textId="49EC30A5" w:rsidR="00930634" w:rsidRPr="009C5EFD" w:rsidRDefault="00E453CD">
      <w:pPr>
        <w:keepNext/>
        <w:suppressAutoHyphens/>
        <w:rPr>
          <w:del w:id="11437" w:author="AbbVie02no" w:date="2025-05-15T13:45:00Z"/>
          <w:sz w:val="22"/>
          <w:szCs w:val="22"/>
        </w:rPr>
        <w:pPrChange w:id="11438" w:author="AbbVie02no" w:date="2025-05-15T13:45:00Z">
          <w:pPr>
            <w:numPr>
              <w:numId w:val="23"/>
            </w:numPr>
            <w:tabs>
              <w:tab w:val="num" w:pos="567"/>
            </w:tabs>
            <w:ind w:left="567" w:hanging="567"/>
          </w:pPr>
        </w:pPrChange>
      </w:pPr>
      <w:del w:id="11439" w:author="AbbVie02no" w:date="2025-05-15T13:45:00Z">
        <w:r>
          <w:rPr>
            <w:sz w:val="22"/>
            <w:szCs w:val="22"/>
          </w:rPr>
          <w:delText>2 ferdigfylte penner</w:delText>
        </w:r>
        <w:r w:rsidRPr="009C5EFD">
          <w:rPr>
            <w:sz w:val="22"/>
            <w:szCs w:val="22"/>
          </w:rPr>
          <w:delText xml:space="preserve"> (0,8 ml steril oppløsning), hver med </w:delText>
        </w:r>
        <w:r>
          <w:rPr>
            <w:sz w:val="22"/>
            <w:szCs w:val="22"/>
          </w:rPr>
          <w:delText>1</w:delText>
        </w:r>
        <w:r w:rsidRPr="009C5EFD">
          <w:rPr>
            <w:sz w:val="22"/>
            <w:szCs w:val="22"/>
          </w:rPr>
          <w:delText xml:space="preserve"> injeksjonstørk</w:delText>
        </w:r>
        <w:r w:rsidR="005F3531">
          <w:rPr>
            <w:sz w:val="22"/>
            <w:szCs w:val="22"/>
          </w:rPr>
          <w:delText>,</w:delText>
        </w:r>
        <w:r w:rsidRPr="009C5EFD">
          <w:rPr>
            <w:sz w:val="22"/>
            <w:szCs w:val="22"/>
          </w:rPr>
          <w:delText xml:space="preserve"> i blisterpakning</w:delText>
        </w:r>
        <w:r w:rsidR="00C84EB2">
          <w:rPr>
            <w:sz w:val="22"/>
            <w:szCs w:val="22"/>
          </w:rPr>
          <w:delText>.</w:delText>
        </w:r>
      </w:del>
    </w:p>
    <w:p w14:paraId="4DCF3B84" w14:textId="59CE7431" w:rsidR="00930634" w:rsidRDefault="00E453CD">
      <w:pPr>
        <w:keepNext/>
        <w:suppressAutoHyphens/>
        <w:rPr>
          <w:del w:id="11440" w:author="AbbVie02no" w:date="2025-05-15T13:45:00Z"/>
          <w:sz w:val="22"/>
          <w:szCs w:val="22"/>
        </w:rPr>
        <w:pPrChange w:id="11441" w:author="AbbVie02no" w:date="2025-05-15T13:45:00Z">
          <w:pPr>
            <w:numPr>
              <w:numId w:val="23"/>
            </w:numPr>
            <w:tabs>
              <w:tab w:val="num" w:pos="567"/>
            </w:tabs>
            <w:ind w:left="567" w:hanging="567"/>
          </w:pPr>
        </w:pPrChange>
      </w:pPr>
      <w:del w:id="11442" w:author="AbbVie02no" w:date="2025-05-15T13:45:00Z">
        <w:r>
          <w:rPr>
            <w:sz w:val="22"/>
            <w:szCs w:val="22"/>
          </w:rPr>
          <w:delText>4 ferdigfylte penn</w:delText>
        </w:r>
        <w:r w:rsidRPr="009C5EFD">
          <w:rPr>
            <w:sz w:val="22"/>
            <w:szCs w:val="22"/>
          </w:rPr>
          <w:delText xml:space="preserve">er (0,8 ml steril oppløsning), hver med </w:delText>
        </w:r>
        <w:r>
          <w:rPr>
            <w:sz w:val="22"/>
            <w:szCs w:val="22"/>
          </w:rPr>
          <w:delText>1</w:delText>
        </w:r>
        <w:r w:rsidRPr="009C5EFD">
          <w:rPr>
            <w:sz w:val="22"/>
            <w:szCs w:val="22"/>
          </w:rPr>
          <w:delText xml:space="preserve"> injeksjonstørk</w:delText>
        </w:r>
        <w:r w:rsidR="005F3531">
          <w:rPr>
            <w:sz w:val="22"/>
            <w:szCs w:val="22"/>
          </w:rPr>
          <w:delText>,</w:delText>
        </w:r>
        <w:r w:rsidRPr="009C5EFD">
          <w:rPr>
            <w:sz w:val="22"/>
            <w:szCs w:val="22"/>
          </w:rPr>
          <w:delText xml:space="preserve"> i blisterpakning</w:delText>
        </w:r>
        <w:r w:rsidR="00C84EB2">
          <w:rPr>
            <w:sz w:val="22"/>
            <w:szCs w:val="22"/>
          </w:rPr>
          <w:delText>.</w:delText>
        </w:r>
      </w:del>
    </w:p>
    <w:p w14:paraId="222B0C39" w14:textId="1A50F634" w:rsidR="00930634" w:rsidRPr="0085027C" w:rsidRDefault="00E453CD">
      <w:pPr>
        <w:keepNext/>
        <w:suppressAutoHyphens/>
        <w:rPr>
          <w:del w:id="11443" w:author="AbbVie02no" w:date="2025-05-15T13:45:00Z"/>
          <w:sz w:val="22"/>
          <w:szCs w:val="22"/>
        </w:rPr>
        <w:pPrChange w:id="11444" w:author="AbbVie02no" w:date="2025-05-15T13:45:00Z">
          <w:pPr>
            <w:numPr>
              <w:numId w:val="23"/>
            </w:numPr>
            <w:tabs>
              <w:tab w:val="num" w:pos="567"/>
            </w:tabs>
            <w:ind w:left="567" w:hanging="567"/>
          </w:pPr>
        </w:pPrChange>
      </w:pPr>
      <w:del w:id="11445" w:author="AbbVie02no" w:date="2025-05-15T13:45:00Z">
        <w:r w:rsidRPr="00F43D01">
          <w:rPr>
            <w:sz w:val="22"/>
            <w:szCs w:val="22"/>
          </w:rPr>
          <w:delText>6 ferdigfylte penn</w:delText>
        </w:r>
        <w:r w:rsidRPr="00C06A5D">
          <w:rPr>
            <w:sz w:val="22"/>
            <w:szCs w:val="22"/>
          </w:rPr>
          <w:delText>er (0,8 ml steril oppløsning), hver med 1 injeksjonstørk</w:delText>
        </w:r>
        <w:r w:rsidR="005F3531">
          <w:rPr>
            <w:sz w:val="22"/>
            <w:szCs w:val="22"/>
          </w:rPr>
          <w:delText>,</w:delText>
        </w:r>
        <w:r w:rsidRPr="00C06A5D">
          <w:rPr>
            <w:sz w:val="22"/>
            <w:szCs w:val="22"/>
          </w:rPr>
          <w:delText xml:space="preserve"> i blisterpakning</w:delText>
        </w:r>
        <w:r w:rsidR="00C84EB2">
          <w:rPr>
            <w:sz w:val="22"/>
            <w:szCs w:val="22"/>
          </w:rPr>
          <w:delText>.</w:delText>
        </w:r>
      </w:del>
    </w:p>
    <w:p w14:paraId="6880B54E" w14:textId="2F01FA1D" w:rsidR="00930634" w:rsidRDefault="00930634">
      <w:pPr>
        <w:keepNext/>
        <w:suppressAutoHyphens/>
        <w:rPr>
          <w:del w:id="11446" w:author="AbbVie02no" w:date="2025-05-15T13:45:00Z"/>
          <w:sz w:val="22"/>
          <w:szCs w:val="22"/>
        </w:rPr>
        <w:pPrChange w:id="11447" w:author="AbbVie02no" w:date="2025-05-15T13:45:00Z">
          <w:pPr/>
        </w:pPrChange>
      </w:pPr>
    </w:p>
    <w:p w14:paraId="2CB85FEE" w14:textId="12B6C6AD" w:rsidR="00DE3458" w:rsidRPr="009C5EFD" w:rsidRDefault="00E453CD">
      <w:pPr>
        <w:keepNext/>
        <w:suppressAutoHyphens/>
        <w:rPr>
          <w:del w:id="11448" w:author="AbbVie02no" w:date="2025-05-15T13:45:00Z"/>
          <w:sz w:val="22"/>
          <w:szCs w:val="22"/>
        </w:rPr>
        <w:pPrChange w:id="11449" w:author="AbbVie02no" w:date="2025-05-15T13:45:00Z">
          <w:pPr/>
        </w:pPrChange>
      </w:pPr>
      <w:del w:id="11450" w:author="AbbVie02no" w:date="2025-05-15T13:45:00Z">
        <w:r w:rsidRPr="009C5EFD">
          <w:rPr>
            <w:sz w:val="22"/>
            <w:szCs w:val="22"/>
          </w:rPr>
          <w:delText xml:space="preserve">Ikke alle pakningsstørrelser </w:delText>
        </w:r>
        <w:r w:rsidR="00D03039">
          <w:rPr>
            <w:sz w:val="22"/>
            <w:szCs w:val="22"/>
          </w:rPr>
          <w:delText>vil nødvendigvis bli</w:delText>
        </w:r>
        <w:r w:rsidRPr="009C5EFD">
          <w:rPr>
            <w:sz w:val="22"/>
            <w:szCs w:val="22"/>
          </w:rPr>
          <w:delText xml:space="preserve"> markedsført. </w:delText>
        </w:r>
      </w:del>
    </w:p>
    <w:p w14:paraId="38450B32" w14:textId="08F095AC" w:rsidR="00DE3458" w:rsidRPr="009C5EFD" w:rsidRDefault="00DE3458">
      <w:pPr>
        <w:keepNext/>
        <w:suppressAutoHyphens/>
        <w:rPr>
          <w:del w:id="11451" w:author="AbbVie02no" w:date="2025-05-15T13:45:00Z"/>
          <w:sz w:val="22"/>
          <w:szCs w:val="22"/>
        </w:rPr>
        <w:pPrChange w:id="11452" w:author="AbbVie02no" w:date="2025-05-15T13:45:00Z">
          <w:pPr/>
        </w:pPrChange>
      </w:pPr>
    </w:p>
    <w:p w14:paraId="4BCB5FEB" w14:textId="79A91C53" w:rsidR="00DE3458" w:rsidRPr="009C5EFD" w:rsidRDefault="00E453CD">
      <w:pPr>
        <w:keepNext/>
        <w:suppressAutoHyphens/>
        <w:rPr>
          <w:del w:id="11453" w:author="AbbVie02no" w:date="2025-05-15T13:45:00Z"/>
          <w:sz w:val="22"/>
          <w:szCs w:val="22"/>
        </w:rPr>
        <w:pPrChange w:id="11454" w:author="AbbVie02no" w:date="2025-05-15T13:45:00Z">
          <w:pPr>
            <w:keepNext/>
            <w:suppressAutoHyphens/>
            <w:ind w:left="576" w:hanging="576"/>
          </w:pPr>
        </w:pPrChange>
      </w:pPr>
      <w:del w:id="11455" w:author="AbbVie02no" w:date="2025-05-15T13:45:00Z">
        <w:r w:rsidRPr="009C5EFD">
          <w:rPr>
            <w:b/>
            <w:sz w:val="22"/>
            <w:szCs w:val="22"/>
          </w:rPr>
          <w:delText>6.6</w:delText>
        </w:r>
        <w:r w:rsidRPr="009C5EFD">
          <w:rPr>
            <w:b/>
            <w:sz w:val="22"/>
            <w:szCs w:val="22"/>
          </w:rPr>
          <w:tab/>
          <w:delText>Spesielle forholdsregler for destruksjon</w:delText>
        </w:r>
      </w:del>
    </w:p>
    <w:p w14:paraId="542BA3A5" w14:textId="67B08F17" w:rsidR="002E62EC" w:rsidRPr="009C5EFD" w:rsidRDefault="002E62EC">
      <w:pPr>
        <w:keepNext/>
        <w:suppressAutoHyphens/>
        <w:rPr>
          <w:del w:id="11456" w:author="AbbVie02no" w:date="2025-05-15T13:45:00Z"/>
          <w:sz w:val="22"/>
          <w:szCs w:val="22"/>
        </w:rPr>
        <w:pPrChange w:id="11457" w:author="AbbVie02no" w:date="2025-05-15T13:45:00Z">
          <w:pPr>
            <w:keepNext/>
          </w:pPr>
        </w:pPrChange>
      </w:pPr>
    </w:p>
    <w:p w14:paraId="2931D2A6" w14:textId="0E91C16C" w:rsidR="00DE3458" w:rsidRPr="009C5EFD" w:rsidRDefault="00E453CD">
      <w:pPr>
        <w:keepNext/>
        <w:suppressAutoHyphens/>
        <w:rPr>
          <w:del w:id="11458" w:author="AbbVie02no" w:date="2025-05-15T13:45:00Z"/>
          <w:sz w:val="22"/>
          <w:szCs w:val="22"/>
        </w:rPr>
        <w:pPrChange w:id="11459" w:author="AbbVie02no" w:date="2025-05-15T13:45:00Z">
          <w:pPr>
            <w:keepNext/>
          </w:pPr>
        </w:pPrChange>
      </w:pPr>
      <w:del w:id="11460" w:author="AbbVie02no" w:date="2025-05-15T13:45:00Z">
        <w:r w:rsidRPr="009C5EFD">
          <w:rPr>
            <w:sz w:val="22"/>
            <w:szCs w:val="22"/>
          </w:rPr>
          <w:delText>Ikke</w:delText>
        </w:r>
        <w:r w:rsidR="0059015F" w:rsidRPr="009C5EFD">
          <w:rPr>
            <w:sz w:val="22"/>
            <w:szCs w:val="22"/>
          </w:rPr>
          <w:delText xml:space="preserve"> anvendt legemiddel samt avfall bør destrueres i overensstemmelse med lokale krav.</w:delText>
        </w:r>
      </w:del>
    </w:p>
    <w:p w14:paraId="776AFEBF" w14:textId="08B609D4" w:rsidR="00DE3458" w:rsidRPr="009C5EFD" w:rsidRDefault="00DE3458">
      <w:pPr>
        <w:keepNext/>
        <w:suppressAutoHyphens/>
        <w:rPr>
          <w:del w:id="11461" w:author="AbbVie02no" w:date="2025-05-15T13:45:00Z"/>
          <w:sz w:val="22"/>
          <w:szCs w:val="22"/>
        </w:rPr>
        <w:pPrChange w:id="11462" w:author="AbbVie02no" w:date="2025-05-15T13:45:00Z">
          <w:pPr/>
        </w:pPrChange>
      </w:pPr>
    </w:p>
    <w:p w14:paraId="5EBBDA6C" w14:textId="4AA3C954" w:rsidR="00DE3458" w:rsidRPr="009C5EFD" w:rsidRDefault="00DE3458">
      <w:pPr>
        <w:keepNext/>
        <w:suppressAutoHyphens/>
        <w:rPr>
          <w:del w:id="11463" w:author="AbbVie02no" w:date="2025-05-15T13:45:00Z"/>
          <w:sz w:val="22"/>
          <w:szCs w:val="22"/>
        </w:rPr>
        <w:pPrChange w:id="11464" w:author="AbbVie02no" w:date="2025-05-15T13:45:00Z">
          <w:pPr/>
        </w:pPrChange>
      </w:pPr>
    </w:p>
    <w:p w14:paraId="67B756F2" w14:textId="39C1B587" w:rsidR="00DE3458" w:rsidRPr="009C5EFD" w:rsidRDefault="00E453CD">
      <w:pPr>
        <w:keepNext/>
        <w:suppressAutoHyphens/>
        <w:rPr>
          <w:del w:id="11465" w:author="AbbVie02no" w:date="2025-05-15T13:45:00Z"/>
          <w:sz w:val="22"/>
          <w:szCs w:val="22"/>
        </w:rPr>
        <w:pPrChange w:id="11466" w:author="AbbVie02no" w:date="2025-05-15T13:45:00Z">
          <w:pPr>
            <w:keepNext/>
            <w:suppressAutoHyphens/>
            <w:ind w:left="562" w:hanging="562"/>
          </w:pPr>
        </w:pPrChange>
      </w:pPr>
      <w:del w:id="11467" w:author="AbbVie02no" w:date="2025-05-15T13:45:00Z">
        <w:r w:rsidRPr="009C5EFD">
          <w:rPr>
            <w:b/>
            <w:sz w:val="22"/>
            <w:szCs w:val="22"/>
          </w:rPr>
          <w:delText>7.</w:delText>
        </w:r>
        <w:r w:rsidRPr="009C5EFD">
          <w:rPr>
            <w:b/>
            <w:sz w:val="22"/>
            <w:szCs w:val="22"/>
          </w:rPr>
          <w:tab/>
          <w:delText>INNEHAVER AV MARKEDSFØRINGSTILLATELSEN</w:delText>
        </w:r>
      </w:del>
    </w:p>
    <w:p w14:paraId="7F8F6976" w14:textId="575DDF19" w:rsidR="00DE3458" w:rsidRPr="009C5EFD" w:rsidRDefault="00DE3458">
      <w:pPr>
        <w:keepNext/>
        <w:suppressAutoHyphens/>
        <w:rPr>
          <w:del w:id="11468" w:author="AbbVie02no" w:date="2025-05-15T13:45:00Z"/>
          <w:sz w:val="22"/>
          <w:szCs w:val="22"/>
        </w:rPr>
        <w:pPrChange w:id="11469" w:author="AbbVie02no" w:date="2025-05-15T13:45:00Z">
          <w:pPr>
            <w:keepNext/>
          </w:pPr>
        </w:pPrChange>
      </w:pPr>
    </w:p>
    <w:p w14:paraId="3BCDD51E" w14:textId="2EDC35DF" w:rsidR="00851837" w:rsidRPr="00EF12DF" w:rsidRDefault="00E453CD">
      <w:pPr>
        <w:keepNext/>
        <w:suppressAutoHyphens/>
        <w:rPr>
          <w:del w:id="11470" w:author="AbbVie02no" w:date="2025-05-15T13:45:00Z"/>
          <w:sz w:val="22"/>
          <w:szCs w:val="22"/>
        </w:rPr>
        <w:pPrChange w:id="11471" w:author="AbbVie02no" w:date="2025-05-15T13:45:00Z">
          <w:pPr/>
        </w:pPrChange>
      </w:pPr>
      <w:del w:id="11472" w:author="AbbVie02no" w:date="2025-05-15T13:45:00Z">
        <w:r w:rsidRPr="00EF12DF">
          <w:rPr>
            <w:sz w:val="22"/>
            <w:szCs w:val="22"/>
          </w:rPr>
          <w:delText>AbbVie Deutschland GmbH &amp; Co. KG</w:delText>
        </w:r>
      </w:del>
    </w:p>
    <w:p w14:paraId="6275C679" w14:textId="41855498" w:rsidR="00851837" w:rsidRPr="00EF12DF" w:rsidRDefault="00E453CD">
      <w:pPr>
        <w:keepNext/>
        <w:suppressAutoHyphens/>
        <w:rPr>
          <w:del w:id="11473" w:author="AbbVie02no" w:date="2025-05-15T13:45:00Z"/>
          <w:sz w:val="22"/>
          <w:szCs w:val="22"/>
        </w:rPr>
        <w:pPrChange w:id="11474" w:author="AbbVie02no" w:date="2025-05-15T13:45:00Z">
          <w:pPr/>
        </w:pPrChange>
      </w:pPr>
      <w:del w:id="11475" w:author="AbbVie02no" w:date="2025-05-15T13:45:00Z">
        <w:r w:rsidRPr="00EF12DF">
          <w:rPr>
            <w:sz w:val="22"/>
            <w:szCs w:val="22"/>
          </w:rPr>
          <w:delText>Knollstrasse</w:delText>
        </w:r>
      </w:del>
    </w:p>
    <w:p w14:paraId="5B4C0358" w14:textId="4B26DE50" w:rsidR="00851837" w:rsidRPr="00EF12DF" w:rsidRDefault="00E453CD">
      <w:pPr>
        <w:keepNext/>
        <w:suppressAutoHyphens/>
        <w:rPr>
          <w:del w:id="11476" w:author="AbbVie02no" w:date="2025-05-15T13:45:00Z"/>
          <w:sz w:val="22"/>
          <w:szCs w:val="22"/>
        </w:rPr>
        <w:pPrChange w:id="11477" w:author="AbbVie02no" w:date="2025-05-15T13:45:00Z">
          <w:pPr/>
        </w:pPrChange>
      </w:pPr>
      <w:del w:id="11478" w:author="AbbVie02no" w:date="2025-05-15T13:45:00Z">
        <w:r w:rsidRPr="00EF12DF">
          <w:rPr>
            <w:sz w:val="22"/>
            <w:szCs w:val="22"/>
          </w:rPr>
          <w:delText>67061 Ludwigshafen</w:delText>
        </w:r>
      </w:del>
    </w:p>
    <w:p w14:paraId="0E293CAF" w14:textId="7AB960B0" w:rsidR="00851837" w:rsidRPr="009C5EFD" w:rsidRDefault="00E453CD">
      <w:pPr>
        <w:keepNext/>
        <w:suppressAutoHyphens/>
        <w:rPr>
          <w:del w:id="11479" w:author="AbbVie02no" w:date="2025-05-15T13:45:00Z"/>
          <w:sz w:val="22"/>
          <w:szCs w:val="22"/>
        </w:rPr>
        <w:pPrChange w:id="11480" w:author="AbbVie02no" w:date="2025-05-15T13:45:00Z">
          <w:pPr/>
        </w:pPrChange>
      </w:pPr>
      <w:del w:id="11481" w:author="AbbVie02no" w:date="2025-05-15T13:45:00Z">
        <w:r>
          <w:rPr>
            <w:sz w:val="22"/>
            <w:szCs w:val="22"/>
          </w:rPr>
          <w:delText>Tyskland</w:delText>
        </w:r>
      </w:del>
    </w:p>
    <w:p w14:paraId="5F09C6C3" w14:textId="34BF3281" w:rsidR="00DE3458" w:rsidRPr="00CB538B" w:rsidRDefault="00DE3458">
      <w:pPr>
        <w:keepNext/>
        <w:suppressAutoHyphens/>
        <w:rPr>
          <w:del w:id="11482" w:author="AbbVie02no" w:date="2025-05-15T13:45:00Z"/>
          <w:sz w:val="22"/>
        </w:rPr>
        <w:pPrChange w:id="11483" w:author="AbbVie02no" w:date="2025-05-15T13:45:00Z">
          <w:pPr/>
        </w:pPrChange>
      </w:pPr>
    </w:p>
    <w:p w14:paraId="151B01BB" w14:textId="26014E5D" w:rsidR="00952C48" w:rsidRPr="00CB538B" w:rsidRDefault="00952C48">
      <w:pPr>
        <w:keepNext/>
        <w:suppressAutoHyphens/>
        <w:rPr>
          <w:del w:id="11484" w:author="AbbVie02no" w:date="2025-05-15T13:45:00Z"/>
          <w:sz w:val="22"/>
        </w:rPr>
        <w:pPrChange w:id="11485" w:author="AbbVie02no" w:date="2025-05-15T13:45:00Z">
          <w:pPr/>
        </w:pPrChange>
      </w:pPr>
    </w:p>
    <w:p w14:paraId="481E2312" w14:textId="66B95B22" w:rsidR="00DE3458" w:rsidRPr="009C5EFD" w:rsidRDefault="00E453CD">
      <w:pPr>
        <w:keepNext/>
        <w:suppressAutoHyphens/>
        <w:rPr>
          <w:del w:id="11486" w:author="AbbVie02no" w:date="2025-05-15T13:45:00Z"/>
          <w:sz w:val="22"/>
          <w:szCs w:val="22"/>
        </w:rPr>
        <w:pPrChange w:id="11487" w:author="AbbVie02no" w:date="2025-05-15T13:45:00Z">
          <w:pPr>
            <w:keepNext/>
            <w:suppressAutoHyphens/>
            <w:ind w:left="562" w:hanging="562"/>
          </w:pPr>
        </w:pPrChange>
      </w:pPr>
      <w:del w:id="11488" w:author="AbbVie02no" w:date="2025-05-15T13:45:00Z">
        <w:r w:rsidRPr="009C5EFD">
          <w:rPr>
            <w:b/>
            <w:sz w:val="22"/>
            <w:szCs w:val="22"/>
          </w:rPr>
          <w:delText>8.</w:delText>
        </w:r>
        <w:r w:rsidRPr="009C5EFD">
          <w:rPr>
            <w:b/>
            <w:sz w:val="22"/>
            <w:szCs w:val="22"/>
          </w:rPr>
          <w:tab/>
          <w:delText xml:space="preserve">MARKEDSFØRINGSTILLATELSESNUMMER (NUMRE) </w:delText>
        </w:r>
      </w:del>
    </w:p>
    <w:p w14:paraId="473455F6" w14:textId="6FEA0CE0" w:rsidR="00DE3458" w:rsidRPr="009C5EFD" w:rsidRDefault="00DE3458">
      <w:pPr>
        <w:keepNext/>
        <w:suppressAutoHyphens/>
        <w:rPr>
          <w:del w:id="11489" w:author="AbbVie02no" w:date="2025-05-15T13:45:00Z"/>
          <w:sz w:val="22"/>
          <w:szCs w:val="22"/>
        </w:rPr>
        <w:pPrChange w:id="11490" w:author="AbbVie02no" w:date="2025-05-15T13:45:00Z">
          <w:pPr>
            <w:keepNext/>
          </w:pPr>
        </w:pPrChange>
      </w:pPr>
    </w:p>
    <w:p w14:paraId="3DD291D6" w14:textId="02E83072" w:rsidR="00930634" w:rsidRPr="007A3AEF" w:rsidRDefault="00E453CD">
      <w:pPr>
        <w:keepNext/>
        <w:suppressAutoHyphens/>
        <w:rPr>
          <w:del w:id="11491" w:author="AbbVie02no" w:date="2025-05-15T13:45:00Z"/>
          <w:sz w:val="22"/>
          <w:szCs w:val="22"/>
          <w:u w:val="single"/>
        </w:rPr>
        <w:pPrChange w:id="11492" w:author="AbbVie02no" w:date="2025-05-15T13:45:00Z">
          <w:pPr>
            <w:keepNext/>
          </w:pPr>
        </w:pPrChange>
      </w:pPr>
      <w:del w:id="11493" w:author="AbbVie02no" w:date="2025-05-15T13:45:00Z">
        <w:r w:rsidRPr="007A3AEF">
          <w:rPr>
            <w:sz w:val="22"/>
            <w:szCs w:val="22"/>
            <w:u w:val="single"/>
          </w:rPr>
          <w:delText>Humira 40 mg injeksjonsvæske, oppløsning i ferdigfylt sprøyte</w:delText>
        </w:r>
      </w:del>
    </w:p>
    <w:p w14:paraId="5231A5EB" w14:textId="620A1B8B" w:rsidR="00DE3458" w:rsidRPr="009C5EFD" w:rsidRDefault="00E453CD">
      <w:pPr>
        <w:keepNext/>
        <w:suppressAutoHyphens/>
        <w:rPr>
          <w:del w:id="11494" w:author="AbbVie02no" w:date="2025-05-15T13:45:00Z"/>
          <w:sz w:val="22"/>
          <w:szCs w:val="22"/>
        </w:rPr>
        <w:pPrChange w:id="11495" w:author="AbbVie02no" w:date="2025-05-15T13:45:00Z">
          <w:pPr/>
        </w:pPrChange>
      </w:pPr>
      <w:del w:id="11496" w:author="AbbVie02no" w:date="2025-05-15T13:45:00Z">
        <w:r w:rsidRPr="009C5EFD">
          <w:rPr>
            <w:sz w:val="22"/>
            <w:szCs w:val="22"/>
          </w:rPr>
          <w:delText>EU/1/03/256/002</w:delText>
        </w:r>
      </w:del>
    </w:p>
    <w:p w14:paraId="55B706C8" w14:textId="0EC6C2D3" w:rsidR="00DE3458" w:rsidRPr="009C5EFD" w:rsidRDefault="00E453CD">
      <w:pPr>
        <w:keepNext/>
        <w:suppressAutoHyphens/>
        <w:rPr>
          <w:del w:id="11497" w:author="AbbVie02no" w:date="2025-05-15T13:45:00Z"/>
          <w:sz w:val="22"/>
          <w:szCs w:val="22"/>
        </w:rPr>
        <w:pPrChange w:id="11498" w:author="AbbVie02no" w:date="2025-05-15T13:45:00Z">
          <w:pPr/>
        </w:pPrChange>
      </w:pPr>
      <w:del w:id="11499" w:author="AbbVie02no" w:date="2025-05-15T13:45:00Z">
        <w:r w:rsidRPr="009C5EFD">
          <w:rPr>
            <w:sz w:val="22"/>
            <w:szCs w:val="22"/>
          </w:rPr>
          <w:delText>EU/1/03/256/003</w:delText>
        </w:r>
      </w:del>
    </w:p>
    <w:p w14:paraId="698BFB66" w14:textId="25158EDA" w:rsidR="00DE3458" w:rsidRPr="009C5EFD" w:rsidRDefault="00E453CD">
      <w:pPr>
        <w:keepNext/>
        <w:suppressAutoHyphens/>
        <w:rPr>
          <w:del w:id="11500" w:author="AbbVie02no" w:date="2025-05-15T13:45:00Z"/>
          <w:sz w:val="22"/>
          <w:szCs w:val="22"/>
        </w:rPr>
        <w:pPrChange w:id="11501" w:author="AbbVie02no" w:date="2025-05-15T13:45:00Z">
          <w:pPr/>
        </w:pPrChange>
      </w:pPr>
      <w:del w:id="11502" w:author="AbbVie02no" w:date="2025-05-15T13:45:00Z">
        <w:r w:rsidRPr="009C5EFD">
          <w:rPr>
            <w:sz w:val="22"/>
            <w:szCs w:val="22"/>
          </w:rPr>
          <w:delText>EU/1/03/256/004</w:delText>
        </w:r>
      </w:del>
    </w:p>
    <w:p w14:paraId="3A38629A" w14:textId="307ABA9B" w:rsidR="00DE3458" w:rsidRDefault="00E453CD">
      <w:pPr>
        <w:keepNext/>
        <w:suppressAutoHyphens/>
        <w:rPr>
          <w:del w:id="11503" w:author="AbbVie02no" w:date="2025-05-15T13:45:00Z"/>
          <w:sz w:val="22"/>
          <w:szCs w:val="22"/>
        </w:rPr>
        <w:pPrChange w:id="11504" w:author="AbbVie02no" w:date="2025-05-15T13:45:00Z">
          <w:pPr/>
        </w:pPrChange>
      </w:pPr>
      <w:del w:id="11505" w:author="AbbVie02no" w:date="2025-05-15T13:45:00Z">
        <w:r w:rsidRPr="009C5EFD">
          <w:rPr>
            <w:sz w:val="22"/>
            <w:szCs w:val="22"/>
          </w:rPr>
          <w:delText>EU/1/03/256/005</w:delText>
        </w:r>
      </w:del>
    </w:p>
    <w:p w14:paraId="202B9307" w14:textId="6F559A9B" w:rsidR="00930634" w:rsidRDefault="00930634">
      <w:pPr>
        <w:keepNext/>
        <w:suppressAutoHyphens/>
        <w:rPr>
          <w:del w:id="11506" w:author="AbbVie02no" w:date="2025-05-15T13:45:00Z"/>
          <w:sz w:val="22"/>
          <w:szCs w:val="22"/>
        </w:rPr>
        <w:pPrChange w:id="11507" w:author="AbbVie02no" w:date="2025-05-15T13:45:00Z">
          <w:pPr/>
        </w:pPrChange>
      </w:pPr>
    </w:p>
    <w:p w14:paraId="42B4284B" w14:textId="5BFA6E97" w:rsidR="00930634" w:rsidRPr="007A3AEF" w:rsidRDefault="00E453CD">
      <w:pPr>
        <w:keepNext/>
        <w:suppressAutoHyphens/>
        <w:rPr>
          <w:del w:id="11508" w:author="AbbVie02no" w:date="2025-05-15T13:45:00Z"/>
          <w:sz w:val="22"/>
          <w:szCs w:val="22"/>
          <w:u w:val="single"/>
        </w:rPr>
        <w:pPrChange w:id="11509" w:author="AbbVie02no" w:date="2025-05-15T13:45:00Z">
          <w:pPr>
            <w:keepNext/>
          </w:pPr>
        </w:pPrChange>
      </w:pPr>
      <w:del w:id="11510" w:author="AbbVie02no" w:date="2025-05-15T13:45:00Z">
        <w:r w:rsidRPr="007A3AEF">
          <w:rPr>
            <w:sz w:val="22"/>
            <w:szCs w:val="22"/>
            <w:u w:val="single"/>
          </w:rPr>
          <w:delText>Humira 40 mg injeksjonsvæske, oppløsnin</w:delText>
        </w:r>
        <w:r w:rsidRPr="00402D7A">
          <w:rPr>
            <w:sz w:val="22"/>
            <w:szCs w:val="22"/>
            <w:u w:val="single"/>
          </w:rPr>
          <w:delText xml:space="preserve">g i ferdigfylt sprøyte med </w:delText>
        </w:r>
        <w:r>
          <w:rPr>
            <w:sz w:val="22"/>
            <w:szCs w:val="22"/>
            <w:u w:val="single"/>
          </w:rPr>
          <w:delText>kanyle</w:delText>
        </w:r>
        <w:r w:rsidRPr="007A3AEF">
          <w:rPr>
            <w:sz w:val="22"/>
            <w:szCs w:val="22"/>
            <w:u w:val="single"/>
          </w:rPr>
          <w:delText>beskyttelse</w:delText>
        </w:r>
      </w:del>
    </w:p>
    <w:p w14:paraId="147A9A4B" w14:textId="6BCE825D" w:rsidR="00930634" w:rsidRPr="007A3AEF" w:rsidRDefault="00E453CD">
      <w:pPr>
        <w:keepNext/>
        <w:suppressAutoHyphens/>
        <w:rPr>
          <w:del w:id="11511" w:author="AbbVie02no" w:date="2025-05-15T13:45:00Z"/>
          <w:sz w:val="22"/>
          <w:szCs w:val="22"/>
          <w:lang w:val="nn-NO"/>
        </w:rPr>
        <w:pPrChange w:id="11512" w:author="AbbVie02no" w:date="2025-05-15T13:45:00Z">
          <w:pPr/>
        </w:pPrChange>
      </w:pPr>
      <w:del w:id="11513" w:author="AbbVie02no" w:date="2025-05-15T13:45:00Z">
        <w:r w:rsidRPr="007A3AEF">
          <w:rPr>
            <w:sz w:val="22"/>
            <w:szCs w:val="22"/>
            <w:lang w:val="nn-NO"/>
          </w:rPr>
          <w:delText>EU/1/03/256/006</w:delText>
        </w:r>
      </w:del>
    </w:p>
    <w:p w14:paraId="3E7DE8F1" w14:textId="6C6C1574" w:rsidR="00930634" w:rsidRPr="007A3AEF" w:rsidRDefault="00930634">
      <w:pPr>
        <w:keepNext/>
        <w:suppressAutoHyphens/>
        <w:rPr>
          <w:del w:id="11514" w:author="AbbVie02no" w:date="2025-05-15T13:45:00Z"/>
          <w:sz w:val="22"/>
          <w:szCs w:val="22"/>
          <w:lang w:val="nn-NO"/>
        </w:rPr>
        <w:pPrChange w:id="11515" w:author="AbbVie02no" w:date="2025-05-15T13:45:00Z">
          <w:pPr/>
        </w:pPrChange>
      </w:pPr>
    </w:p>
    <w:p w14:paraId="7F5E3A24" w14:textId="0F29D76D" w:rsidR="00930634" w:rsidRPr="007A3AEF" w:rsidRDefault="00E453CD">
      <w:pPr>
        <w:keepNext/>
        <w:suppressAutoHyphens/>
        <w:rPr>
          <w:del w:id="11516" w:author="AbbVie02no" w:date="2025-05-15T13:45:00Z"/>
          <w:sz w:val="22"/>
          <w:szCs w:val="22"/>
          <w:u w:val="single"/>
          <w:lang w:val="nn-NO"/>
        </w:rPr>
        <w:pPrChange w:id="11517" w:author="AbbVie02no" w:date="2025-05-15T13:45:00Z">
          <w:pPr>
            <w:keepNext/>
          </w:pPr>
        </w:pPrChange>
      </w:pPr>
      <w:del w:id="11518" w:author="AbbVie02no" w:date="2025-05-15T13:45:00Z">
        <w:r w:rsidRPr="007A3AEF">
          <w:rPr>
            <w:sz w:val="22"/>
            <w:szCs w:val="22"/>
            <w:u w:val="single"/>
            <w:lang w:val="nn-NO"/>
          </w:rPr>
          <w:delText>Humira 40 mg injeksjonsvæske, oppløsning i ferdigfylt penn</w:delText>
        </w:r>
      </w:del>
    </w:p>
    <w:p w14:paraId="5CE97A0D" w14:textId="7913983C" w:rsidR="00930634" w:rsidRPr="007A3AEF" w:rsidRDefault="00E453CD">
      <w:pPr>
        <w:keepNext/>
        <w:suppressAutoHyphens/>
        <w:rPr>
          <w:del w:id="11519" w:author="AbbVie02no" w:date="2025-05-15T13:45:00Z"/>
          <w:sz w:val="22"/>
          <w:szCs w:val="22"/>
          <w:lang w:val="nn-NO"/>
        </w:rPr>
        <w:pPrChange w:id="11520" w:author="AbbVie02no" w:date="2025-05-15T13:45:00Z">
          <w:pPr/>
        </w:pPrChange>
      </w:pPr>
      <w:del w:id="11521" w:author="AbbVie02no" w:date="2025-05-15T13:45:00Z">
        <w:r w:rsidRPr="007A3AEF">
          <w:rPr>
            <w:sz w:val="22"/>
            <w:szCs w:val="22"/>
            <w:lang w:val="nn-NO"/>
          </w:rPr>
          <w:delText>EU/1/03/256/007</w:delText>
        </w:r>
      </w:del>
    </w:p>
    <w:p w14:paraId="03FC320C" w14:textId="23C3220F" w:rsidR="00930634" w:rsidRPr="007A3AEF" w:rsidRDefault="00E453CD">
      <w:pPr>
        <w:keepNext/>
        <w:suppressAutoHyphens/>
        <w:rPr>
          <w:del w:id="11522" w:author="AbbVie02no" w:date="2025-05-15T13:45:00Z"/>
          <w:sz w:val="22"/>
          <w:szCs w:val="22"/>
          <w:lang w:val="nn-NO"/>
        </w:rPr>
        <w:pPrChange w:id="11523" w:author="AbbVie02no" w:date="2025-05-15T13:45:00Z">
          <w:pPr/>
        </w:pPrChange>
      </w:pPr>
      <w:del w:id="11524" w:author="AbbVie02no" w:date="2025-05-15T13:45:00Z">
        <w:r w:rsidRPr="007A3AEF">
          <w:rPr>
            <w:sz w:val="22"/>
            <w:szCs w:val="22"/>
            <w:lang w:val="nn-NO"/>
          </w:rPr>
          <w:delText>EU/1/03/256/008</w:delText>
        </w:r>
      </w:del>
    </w:p>
    <w:p w14:paraId="7D18AA5B" w14:textId="2CB9D0AA" w:rsidR="00930634" w:rsidRPr="007A3AEF" w:rsidRDefault="00E453CD">
      <w:pPr>
        <w:keepNext/>
        <w:suppressAutoHyphens/>
        <w:rPr>
          <w:del w:id="11525" w:author="AbbVie02no" w:date="2025-05-15T13:45:00Z"/>
          <w:sz w:val="22"/>
          <w:szCs w:val="22"/>
          <w:lang w:val="nn-NO"/>
        </w:rPr>
        <w:pPrChange w:id="11526" w:author="AbbVie02no" w:date="2025-05-15T13:45:00Z">
          <w:pPr/>
        </w:pPrChange>
      </w:pPr>
      <w:del w:id="11527" w:author="AbbVie02no" w:date="2025-05-15T13:45:00Z">
        <w:r w:rsidRPr="007A3AEF">
          <w:rPr>
            <w:sz w:val="22"/>
            <w:szCs w:val="22"/>
            <w:lang w:val="nn-NO"/>
          </w:rPr>
          <w:delText>EU/1/03/256/009</w:delText>
        </w:r>
      </w:del>
    </w:p>
    <w:p w14:paraId="364C6782" w14:textId="21E51824" w:rsidR="00930634" w:rsidRPr="00A15CB1" w:rsidRDefault="00E453CD">
      <w:pPr>
        <w:keepNext/>
        <w:suppressAutoHyphens/>
        <w:rPr>
          <w:del w:id="11528" w:author="AbbVie02no" w:date="2025-05-15T13:45:00Z"/>
          <w:sz w:val="22"/>
          <w:szCs w:val="22"/>
          <w:lang w:val="nn-NO"/>
        </w:rPr>
        <w:pPrChange w:id="11529" w:author="AbbVie02no" w:date="2025-05-15T13:45:00Z">
          <w:pPr/>
        </w:pPrChange>
      </w:pPr>
      <w:del w:id="11530" w:author="AbbVie02no" w:date="2025-05-15T13:45:00Z">
        <w:r w:rsidRPr="007A3AEF">
          <w:rPr>
            <w:sz w:val="22"/>
            <w:szCs w:val="22"/>
            <w:lang w:val="nn-NO"/>
          </w:rPr>
          <w:delText>EU/1/03/256/010</w:delText>
        </w:r>
      </w:del>
    </w:p>
    <w:p w14:paraId="2C2BC935" w14:textId="6CDBD5A6" w:rsidR="00DE3458" w:rsidRPr="00A15CB1" w:rsidRDefault="00DE3458">
      <w:pPr>
        <w:keepNext/>
        <w:suppressAutoHyphens/>
        <w:rPr>
          <w:del w:id="11531" w:author="AbbVie02no" w:date="2025-05-15T13:45:00Z"/>
          <w:sz w:val="22"/>
          <w:szCs w:val="22"/>
          <w:lang w:val="nn-NO"/>
        </w:rPr>
        <w:pPrChange w:id="11532" w:author="AbbVie02no" w:date="2025-05-15T13:45:00Z">
          <w:pPr/>
        </w:pPrChange>
      </w:pPr>
    </w:p>
    <w:p w14:paraId="26D2CE12" w14:textId="48A02077" w:rsidR="00DE3458" w:rsidRPr="00A15CB1" w:rsidRDefault="00DE3458">
      <w:pPr>
        <w:keepNext/>
        <w:suppressAutoHyphens/>
        <w:rPr>
          <w:del w:id="11533" w:author="AbbVie02no" w:date="2025-05-15T13:45:00Z"/>
          <w:sz w:val="22"/>
          <w:szCs w:val="22"/>
          <w:lang w:val="nn-NO"/>
        </w:rPr>
        <w:pPrChange w:id="11534" w:author="AbbVie02no" w:date="2025-05-15T13:45:00Z">
          <w:pPr/>
        </w:pPrChange>
      </w:pPr>
    </w:p>
    <w:p w14:paraId="00385DE3" w14:textId="38B8BD80" w:rsidR="00DE3458" w:rsidRPr="009C5EFD" w:rsidRDefault="00E453CD">
      <w:pPr>
        <w:keepNext/>
        <w:suppressAutoHyphens/>
        <w:rPr>
          <w:del w:id="11535" w:author="AbbVie02no" w:date="2025-05-15T13:45:00Z"/>
          <w:sz w:val="22"/>
          <w:szCs w:val="22"/>
        </w:rPr>
        <w:pPrChange w:id="11536" w:author="AbbVie02no" w:date="2025-05-15T13:45:00Z">
          <w:pPr>
            <w:keepNext/>
            <w:suppressAutoHyphens/>
            <w:ind w:left="562" w:hanging="562"/>
          </w:pPr>
        </w:pPrChange>
      </w:pPr>
      <w:del w:id="11537" w:author="AbbVie02no" w:date="2025-05-15T13:45:00Z">
        <w:r w:rsidRPr="009C5EFD">
          <w:rPr>
            <w:b/>
            <w:sz w:val="22"/>
            <w:szCs w:val="22"/>
          </w:rPr>
          <w:delText>9.</w:delText>
        </w:r>
        <w:r w:rsidRPr="009C5EFD">
          <w:rPr>
            <w:b/>
            <w:sz w:val="22"/>
            <w:szCs w:val="22"/>
          </w:rPr>
          <w:tab/>
          <w:delText>DATO FOR FØRSTE MARKEDSFØRINGSTILLATELSE/SISTE FORNYELSE</w:delText>
        </w:r>
      </w:del>
    </w:p>
    <w:p w14:paraId="0D767CAC" w14:textId="224AB683" w:rsidR="00DE3458" w:rsidRPr="009C5EFD" w:rsidRDefault="00DE3458">
      <w:pPr>
        <w:keepNext/>
        <w:suppressAutoHyphens/>
        <w:rPr>
          <w:del w:id="11538" w:author="AbbVie02no" w:date="2025-05-15T13:45:00Z"/>
          <w:sz w:val="22"/>
          <w:szCs w:val="22"/>
        </w:rPr>
        <w:pPrChange w:id="11539" w:author="AbbVie02no" w:date="2025-05-15T13:45:00Z">
          <w:pPr>
            <w:keepNext/>
          </w:pPr>
        </w:pPrChange>
      </w:pPr>
    </w:p>
    <w:p w14:paraId="15999699" w14:textId="234A8FA4" w:rsidR="00DE3458" w:rsidRPr="009C5EFD" w:rsidRDefault="00E453CD">
      <w:pPr>
        <w:keepNext/>
        <w:suppressAutoHyphens/>
        <w:rPr>
          <w:del w:id="11540" w:author="AbbVie02no" w:date="2025-05-15T13:45:00Z"/>
          <w:sz w:val="22"/>
          <w:szCs w:val="22"/>
        </w:rPr>
        <w:pPrChange w:id="11541" w:author="AbbVie02no" w:date="2025-05-15T13:45:00Z">
          <w:pPr/>
        </w:pPrChange>
      </w:pPr>
      <w:del w:id="11542" w:author="AbbVie02no" w:date="2025-05-15T13:45:00Z">
        <w:r w:rsidRPr="009C5EFD">
          <w:rPr>
            <w:sz w:val="22"/>
            <w:szCs w:val="22"/>
          </w:rPr>
          <w:delText>Dato for første markedsføringstillatelse: 8. september 2003</w:delText>
        </w:r>
      </w:del>
    </w:p>
    <w:p w14:paraId="403331B2" w14:textId="7463242F" w:rsidR="00CC7DB3" w:rsidRPr="009C5EFD" w:rsidRDefault="00E453CD">
      <w:pPr>
        <w:keepNext/>
        <w:suppressAutoHyphens/>
        <w:rPr>
          <w:del w:id="11543" w:author="AbbVie02no" w:date="2025-05-15T13:45:00Z"/>
          <w:sz w:val="22"/>
          <w:szCs w:val="22"/>
        </w:rPr>
        <w:pPrChange w:id="11544" w:author="AbbVie02no" w:date="2025-05-15T13:45:00Z">
          <w:pPr/>
        </w:pPrChange>
      </w:pPr>
      <w:del w:id="11545" w:author="AbbVie02no" w:date="2025-05-15T13:45:00Z">
        <w:r w:rsidRPr="009C5EFD">
          <w:rPr>
            <w:sz w:val="22"/>
            <w:szCs w:val="22"/>
          </w:rPr>
          <w:delText>Dato for siste fornyelse: 8. september 2008</w:delText>
        </w:r>
      </w:del>
    </w:p>
    <w:p w14:paraId="07065BF4" w14:textId="1A700F18" w:rsidR="00DE3458" w:rsidRPr="009C5EFD" w:rsidRDefault="00DE3458">
      <w:pPr>
        <w:keepNext/>
        <w:suppressAutoHyphens/>
        <w:rPr>
          <w:del w:id="11546" w:author="AbbVie02no" w:date="2025-05-15T13:45:00Z"/>
          <w:sz w:val="22"/>
          <w:szCs w:val="22"/>
        </w:rPr>
        <w:pPrChange w:id="11547" w:author="AbbVie02no" w:date="2025-05-15T13:45:00Z">
          <w:pPr/>
        </w:pPrChange>
      </w:pPr>
    </w:p>
    <w:p w14:paraId="1A0266FA" w14:textId="57FFD479" w:rsidR="003E64E6" w:rsidRPr="009C5EFD" w:rsidRDefault="003E64E6">
      <w:pPr>
        <w:keepNext/>
        <w:suppressAutoHyphens/>
        <w:rPr>
          <w:del w:id="11548" w:author="AbbVie02no" w:date="2025-05-15T13:45:00Z"/>
          <w:sz w:val="22"/>
          <w:szCs w:val="22"/>
        </w:rPr>
        <w:pPrChange w:id="11549" w:author="AbbVie02no" w:date="2025-05-15T13:45:00Z">
          <w:pPr/>
        </w:pPrChange>
      </w:pPr>
    </w:p>
    <w:p w14:paraId="6935354C" w14:textId="34350E15" w:rsidR="00DE3458" w:rsidRPr="009C5EFD" w:rsidRDefault="00E453CD">
      <w:pPr>
        <w:keepNext/>
        <w:suppressAutoHyphens/>
        <w:rPr>
          <w:del w:id="11550" w:author="AbbVie02no" w:date="2025-05-15T13:45:00Z"/>
          <w:b/>
          <w:sz w:val="22"/>
          <w:szCs w:val="22"/>
        </w:rPr>
        <w:pPrChange w:id="11551" w:author="AbbVie02no" w:date="2025-05-15T13:45:00Z">
          <w:pPr>
            <w:keepNext/>
            <w:suppressAutoHyphens/>
            <w:ind w:left="562" w:hanging="562"/>
          </w:pPr>
        </w:pPrChange>
      </w:pPr>
      <w:del w:id="11552" w:author="AbbVie02no" w:date="2025-05-15T13:45:00Z">
        <w:r w:rsidRPr="009C5EFD">
          <w:rPr>
            <w:b/>
            <w:sz w:val="22"/>
            <w:szCs w:val="22"/>
          </w:rPr>
          <w:delText>10.</w:delText>
        </w:r>
        <w:r w:rsidRPr="009C5EFD">
          <w:rPr>
            <w:b/>
            <w:sz w:val="22"/>
            <w:szCs w:val="22"/>
          </w:rPr>
          <w:tab/>
          <w:delText>OPPDATERINGSDATO</w:delText>
        </w:r>
      </w:del>
    </w:p>
    <w:p w14:paraId="394A9274" w14:textId="726A0129" w:rsidR="00C26207" w:rsidRPr="001F5D4B" w:rsidRDefault="00C26207" w:rsidP="004B57B4">
      <w:pPr>
        <w:keepNext/>
        <w:suppressAutoHyphens/>
        <w:rPr>
          <w:del w:id="11553" w:author="AbbVie02no" w:date="2025-05-15T13:45:00Z"/>
          <w:sz w:val="22"/>
          <w:szCs w:val="22"/>
        </w:rPr>
      </w:pPr>
    </w:p>
    <w:p w14:paraId="7CE150EA" w14:textId="59CF4D30" w:rsidR="00384728" w:rsidRPr="009C5EFD" w:rsidRDefault="00E453CD">
      <w:pPr>
        <w:keepNext/>
        <w:suppressAutoHyphens/>
        <w:rPr>
          <w:del w:id="11554" w:author="AbbVie02no" w:date="2025-05-15T13:45:00Z"/>
          <w:sz w:val="22"/>
        </w:rPr>
        <w:pPrChange w:id="11555" w:author="AbbVie02no" w:date="2025-05-15T13:45:00Z">
          <w:pPr>
            <w:suppressAutoHyphens/>
          </w:pPr>
        </w:pPrChange>
      </w:pPr>
      <w:del w:id="11556" w:author="AbbVie02no" w:date="2025-05-15T13:45:00Z">
        <w:r w:rsidRPr="007F67EE">
          <w:rPr>
            <w:sz w:val="22"/>
          </w:rPr>
          <w:delText>Detaljert informa</w:delText>
        </w:r>
        <w:r w:rsidRPr="00193D76">
          <w:rPr>
            <w:sz w:val="22"/>
          </w:rPr>
          <w:delText>s</w:delText>
        </w:r>
        <w:r w:rsidRPr="002D0790">
          <w:rPr>
            <w:sz w:val="22"/>
          </w:rPr>
          <w:delText>jon om dette legemidlet er tilgjengelig på nett</w:delText>
        </w:r>
        <w:r w:rsidR="00FC5790" w:rsidRPr="002D0790">
          <w:rPr>
            <w:sz w:val="22"/>
          </w:rPr>
          <w:delText>stedet til D</w:delText>
        </w:r>
        <w:r w:rsidRPr="002D0790">
          <w:rPr>
            <w:sz w:val="22"/>
          </w:rPr>
          <w:delText>et europeiske legemiddelkontoret (</w:delText>
        </w:r>
        <w:r w:rsidR="001D434C">
          <w:rPr>
            <w:sz w:val="22"/>
          </w:rPr>
          <w:delText>t</w:delText>
        </w:r>
        <w:r w:rsidR="00FC5790" w:rsidRPr="002D0790">
          <w:rPr>
            <w:sz w:val="22"/>
          </w:rPr>
          <w:delText xml:space="preserve">he </w:delText>
        </w:r>
        <w:r w:rsidRPr="00E14E58">
          <w:rPr>
            <w:sz w:val="22"/>
          </w:rPr>
          <w:delText>European Medicines Agency) http://www.ema.europa.eu</w:delText>
        </w:r>
        <w:r w:rsidR="00FC5790" w:rsidRPr="009C5EFD">
          <w:rPr>
            <w:sz w:val="22"/>
          </w:rPr>
          <w:delText>.</w:delText>
        </w:r>
      </w:del>
    </w:p>
    <w:p w14:paraId="6AEA2CF9" w14:textId="00D11DE8" w:rsidR="001E500F" w:rsidRPr="002D0790" w:rsidRDefault="00E453CD">
      <w:pPr>
        <w:keepNext/>
        <w:suppressAutoHyphens/>
        <w:rPr>
          <w:sz w:val="22"/>
          <w:szCs w:val="22"/>
        </w:rPr>
        <w:pPrChange w:id="11557" w:author="AbbVie02no" w:date="2025-05-15T13:45:00Z">
          <w:pPr>
            <w:keepNext/>
            <w:ind w:left="562" w:hanging="562"/>
          </w:pPr>
        </w:pPrChange>
      </w:pPr>
      <w:del w:id="11558" w:author="AbbVie02no" w:date="2025-05-15T13:45:00Z">
        <w:r w:rsidRPr="009C5EFD">
          <w:rPr>
            <w:b/>
            <w:sz w:val="22"/>
            <w:szCs w:val="22"/>
          </w:rPr>
          <w:br w:type="page"/>
        </w:r>
      </w:del>
      <w:r w:rsidRPr="002D0790">
        <w:rPr>
          <w:b/>
          <w:sz w:val="22"/>
          <w:szCs w:val="22"/>
        </w:rPr>
        <w:lastRenderedPageBreak/>
        <w:t>1.</w:t>
      </w:r>
      <w:r w:rsidRPr="002D0790">
        <w:rPr>
          <w:b/>
          <w:sz w:val="22"/>
          <w:szCs w:val="22"/>
        </w:rPr>
        <w:tab/>
        <w:t>LEGEMIDLETS NAVN</w:t>
      </w:r>
    </w:p>
    <w:p w14:paraId="34CC31FC" w14:textId="77777777" w:rsidR="001E500F" w:rsidRPr="002D0790" w:rsidRDefault="001E500F" w:rsidP="00776A84">
      <w:pPr>
        <w:keepNext/>
        <w:suppressAutoHyphens/>
        <w:rPr>
          <w:sz w:val="22"/>
          <w:szCs w:val="22"/>
        </w:rPr>
      </w:pPr>
    </w:p>
    <w:p w14:paraId="18A66F2F" w14:textId="77777777" w:rsidR="001E500F" w:rsidRDefault="00E453CD" w:rsidP="009C5EFD">
      <w:pPr>
        <w:suppressAutoHyphens/>
        <w:rPr>
          <w:sz w:val="22"/>
          <w:szCs w:val="22"/>
        </w:rPr>
      </w:pPr>
      <w:r w:rsidRPr="00E14E58">
        <w:rPr>
          <w:sz w:val="22"/>
          <w:szCs w:val="22"/>
        </w:rPr>
        <w:t>Humira 40 mg injeksjonsvæske, oppløsning i ferdigf</w:t>
      </w:r>
      <w:r w:rsidRPr="009C5EFD">
        <w:rPr>
          <w:sz w:val="22"/>
          <w:szCs w:val="22"/>
        </w:rPr>
        <w:t>ylt sprøyte</w:t>
      </w:r>
    </w:p>
    <w:p w14:paraId="4404215C" w14:textId="77777777" w:rsidR="00F43D01" w:rsidRPr="009C5EFD" w:rsidRDefault="00E453CD" w:rsidP="009C5EFD">
      <w:pPr>
        <w:suppressAutoHyphens/>
        <w:rPr>
          <w:sz w:val="22"/>
          <w:szCs w:val="22"/>
        </w:rPr>
      </w:pPr>
      <w:r>
        <w:rPr>
          <w:sz w:val="22"/>
          <w:szCs w:val="22"/>
        </w:rPr>
        <w:t>Humira 40 mg injeksjonsvæske, oppløsning i ferdigfylt penn</w:t>
      </w:r>
    </w:p>
    <w:p w14:paraId="6D80A49B" w14:textId="77777777" w:rsidR="001E500F" w:rsidRPr="009C5EFD" w:rsidRDefault="001E500F" w:rsidP="009C5EFD">
      <w:pPr>
        <w:suppressAutoHyphens/>
        <w:rPr>
          <w:sz w:val="22"/>
          <w:szCs w:val="22"/>
        </w:rPr>
      </w:pPr>
    </w:p>
    <w:p w14:paraId="7B37B482" w14:textId="77777777" w:rsidR="001E500F" w:rsidRPr="009C5EFD" w:rsidRDefault="001E500F" w:rsidP="009C5EFD">
      <w:pPr>
        <w:tabs>
          <w:tab w:val="left" w:pos="-720"/>
        </w:tabs>
        <w:suppressAutoHyphens/>
        <w:rPr>
          <w:sz w:val="22"/>
          <w:szCs w:val="22"/>
        </w:rPr>
      </w:pPr>
    </w:p>
    <w:p w14:paraId="2314D624" w14:textId="77777777" w:rsidR="001E500F" w:rsidRPr="009C5EFD" w:rsidRDefault="00E453CD" w:rsidP="00776A84">
      <w:pPr>
        <w:keepNext/>
        <w:suppressAutoHyphens/>
        <w:ind w:left="567" w:hanging="567"/>
        <w:rPr>
          <w:sz w:val="22"/>
          <w:szCs w:val="22"/>
        </w:rPr>
      </w:pPr>
      <w:r w:rsidRPr="009C5EFD">
        <w:rPr>
          <w:b/>
          <w:sz w:val="22"/>
          <w:szCs w:val="22"/>
        </w:rPr>
        <w:t>2.</w:t>
      </w:r>
      <w:r w:rsidRPr="009C5EFD">
        <w:rPr>
          <w:b/>
          <w:sz w:val="22"/>
          <w:szCs w:val="22"/>
        </w:rPr>
        <w:tab/>
        <w:t>KVALITATIV OG KVANTITATIV SAMMENSETNING</w:t>
      </w:r>
    </w:p>
    <w:p w14:paraId="7167E0BE" w14:textId="77777777" w:rsidR="001E500F" w:rsidRPr="009C5EFD" w:rsidRDefault="001E500F" w:rsidP="00776A84">
      <w:pPr>
        <w:keepNext/>
        <w:rPr>
          <w:sz w:val="22"/>
          <w:szCs w:val="22"/>
        </w:rPr>
      </w:pPr>
    </w:p>
    <w:p w14:paraId="3925C5AC" w14:textId="77777777" w:rsidR="00F43D01" w:rsidRDefault="00E453CD" w:rsidP="00776A84">
      <w:pPr>
        <w:keepNext/>
        <w:rPr>
          <w:sz w:val="22"/>
          <w:szCs w:val="22"/>
        </w:rPr>
      </w:pPr>
      <w:r>
        <w:rPr>
          <w:sz w:val="22"/>
          <w:szCs w:val="22"/>
          <w:u w:val="single"/>
        </w:rPr>
        <w:t>Humira 40 mg injeksjonsvæske, oppløsning i ferdigfylt sprøyte</w:t>
      </w:r>
    </w:p>
    <w:p w14:paraId="791D19A5" w14:textId="77777777" w:rsidR="001E500F" w:rsidRDefault="00E453CD" w:rsidP="009C5EFD">
      <w:pPr>
        <w:rPr>
          <w:sz w:val="22"/>
          <w:szCs w:val="22"/>
        </w:rPr>
      </w:pPr>
      <w:r w:rsidRPr="009C5EFD">
        <w:rPr>
          <w:sz w:val="22"/>
          <w:szCs w:val="22"/>
        </w:rPr>
        <w:t>Hver 0,4 ml endose ferdigfylt sprøyte inneholder 40</w:t>
      </w:r>
      <w:r w:rsidR="00315F16" w:rsidRPr="009C5EFD">
        <w:rPr>
          <w:sz w:val="22"/>
          <w:szCs w:val="22"/>
        </w:rPr>
        <w:t> mg</w:t>
      </w:r>
      <w:r w:rsidRPr="009C5EFD">
        <w:rPr>
          <w:sz w:val="22"/>
          <w:szCs w:val="22"/>
        </w:rPr>
        <w:t xml:space="preserve"> adalimumab.</w:t>
      </w:r>
    </w:p>
    <w:p w14:paraId="6C6DB7B0" w14:textId="77777777" w:rsidR="00B6612A" w:rsidRDefault="00B6612A" w:rsidP="009C5EFD">
      <w:pPr>
        <w:rPr>
          <w:sz w:val="22"/>
          <w:szCs w:val="22"/>
        </w:rPr>
      </w:pPr>
    </w:p>
    <w:p w14:paraId="482CD8BE" w14:textId="77777777" w:rsidR="00F43D01" w:rsidRDefault="00E453CD" w:rsidP="00776A84">
      <w:pPr>
        <w:pStyle w:val="EndnoteText"/>
        <w:keepNext/>
        <w:widowControl/>
        <w:tabs>
          <w:tab w:val="clear" w:pos="567"/>
          <w:tab w:val="left" w:pos="708"/>
        </w:tabs>
        <w:rPr>
          <w:szCs w:val="22"/>
          <w:u w:val="single"/>
          <w:lang w:val="nb-NO"/>
        </w:rPr>
      </w:pPr>
      <w:r>
        <w:rPr>
          <w:szCs w:val="22"/>
          <w:u w:val="single"/>
          <w:lang w:val="nb-NO"/>
        </w:rPr>
        <w:t>Humira 40 mg injeksjonsvæske, oppløsning ferdigfylt penn</w:t>
      </w:r>
    </w:p>
    <w:p w14:paraId="7B83C9F6" w14:textId="77777777" w:rsidR="00F43D01" w:rsidRPr="00F43D01" w:rsidRDefault="00E453CD" w:rsidP="00F43D01">
      <w:pPr>
        <w:rPr>
          <w:sz w:val="22"/>
          <w:szCs w:val="22"/>
        </w:rPr>
      </w:pPr>
      <w:r w:rsidRPr="00A15CB1">
        <w:rPr>
          <w:sz w:val="22"/>
          <w:szCs w:val="22"/>
        </w:rPr>
        <w:t>Hver 0,4 ml endose ferdigfylt penn inneholder 40 mg adalimumab.</w:t>
      </w:r>
    </w:p>
    <w:p w14:paraId="09E7D383" w14:textId="77777777" w:rsidR="00F43D01" w:rsidRDefault="00F43D01" w:rsidP="009C5EFD">
      <w:pPr>
        <w:rPr>
          <w:sz w:val="22"/>
          <w:szCs w:val="22"/>
        </w:rPr>
      </w:pPr>
    </w:p>
    <w:p w14:paraId="1DAA06DC" w14:textId="77777777" w:rsidR="001E500F" w:rsidRDefault="00E453CD" w:rsidP="009C5EFD">
      <w:pPr>
        <w:rPr>
          <w:ins w:id="11559" w:author="AbbVie02no" w:date="2025-05-15T12:55:00Z"/>
          <w:sz w:val="22"/>
          <w:szCs w:val="22"/>
        </w:rPr>
      </w:pPr>
      <w:r w:rsidRPr="009C5EFD">
        <w:rPr>
          <w:sz w:val="22"/>
          <w:szCs w:val="22"/>
        </w:rPr>
        <w:t xml:space="preserve">Adalimumab er et rekombinant humant monoklonalt antistoff </w:t>
      </w:r>
      <w:r w:rsidR="00424A72">
        <w:rPr>
          <w:sz w:val="22"/>
          <w:szCs w:val="22"/>
        </w:rPr>
        <w:t>produsert</w:t>
      </w:r>
      <w:r w:rsidR="008138BF">
        <w:rPr>
          <w:sz w:val="22"/>
          <w:szCs w:val="22"/>
        </w:rPr>
        <w:t xml:space="preserve"> </w:t>
      </w:r>
      <w:r w:rsidRPr="009C5EFD">
        <w:rPr>
          <w:sz w:val="22"/>
          <w:szCs w:val="22"/>
        </w:rPr>
        <w:t>i ovarieceller fra kinesisk hamster.</w:t>
      </w:r>
    </w:p>
    <w:p w14:paraId="01DEA02A" w14:textId="77777777" w:rsidR="002C554D" w:rsidRDefault="002C554D" w:rsidP="009C5EFD">
      <w:pPr>
        <w:rPr>
          <w:ins w:id="11560" w:author="AbbVie02no" w:date="2025-05-15T12:55:00Z"/>
          <w:sz w:val="22"/>
          <w:szCs w:val="22"/>
        </w:rPr>
      </w:pPr>
    </w:p>
    <w:p w14:paraId="55B221E1" w14:textId="02FA2019" w:rsidR="002C554D" w:rsidRPr="002C554D" w:rsidRDefault="00E453CD" w:rsidP="009C5EFD">
      <w:pPr>
        <w:rPr>
          <w:ins w:id="11561" w:author="AbbVie02no" w:date="2025-05-15T12:56:00Z"/>
          <w:sz w:val="22"/>
          <w:szCs w:val="22"/>
          <w:u w:val="single"/>
          <w:rPrChange w:id="11562" w:author="AbbVie02no" w:date="2025-05-15T13:01:00Z">
            <w:rPr>
              <w:ins w:id="11563" w:author="AbbVie02no" w:date="2025-05-15T12:56:00Z"/>
              <w:sz w:val="22"/>
              <w:szCs w:val="22"/>
            </w:rPr>
          </w:rPrChange>
        </w:rPr>
      </w:pPr>
      <w:ins w:id="11564" w:author="AbbVie02no" w:date="2025-05-15T12:56:00Z">
        <w:r w:rsidRPr="002C554D">
          <w:rPr>
            <w:sz w:val="22"/>
            <w:szCs w:val="22"/>
            <w:u w:val="single"/>
            <w:rPrChange w:id="11565" w:author="AbbVie02no" w:date="2025-05-15T13:01:00Z">
              <w:rPr>
                <w:sz w:val="22"/>
                <w:szCs w:val="22"/>
              </w:rPr>
            </w:rPrChange>
          </w:rPr>
          <w:t>Hjelpestoffer med kjent effekt</w:t>
        </w:r>
      </w:ins>
    </w:p>
    <w:p w14:paraId="12464BBF" w14:textId="77777777" w:rsidR="002C554D" w:rsidRDefault="002C554D" w:rsidP="009C5EFD">
      <w:pPr>
        <w:rPr>
          <w:ins w:id="11566" w:author="AbbVie02no" w:date="2025-05-15T12:56:00Z"/>
          <w:sz w:val="22"/>
          <w:szCs w:val="22"/>
        </w:rPr>
      </w:pPr>
    </w:p>
    <w:p w14:paraId="71429568" w14:textId="27C7CF74" w:rsidR="002C554D" w:rsidRPr="009C5EFD" w:rsidRDefault="00E453CD" w:rsidP="009C5EFD">
      <w:pPr>
        <w:rPr>
          <w:sz w:val="22"/>
          <w:szCs w:val="22"/>
        </w:rPr>
      </w:pPr>
      <w:ins w:id="11567" w:author="AbbVie02no" w:date="2025-05-15T12:56:00Z">
        <w:r>
          <w:rPr>
            <w:sz w:val="22"/>
            <w:szCs w:val="22"/>
          </w:rPr>
          <w:t>Dette legemidlet inneholder 0,</w:t>
        </w:r>
      </w:ins>
      <w:ins w:id="11568" w:author="AbbVie02no" w:date="2025-05-15T13:46:00Z">
        <w:r w:rsidR="004B57B4">
          <w:rPr>
            <w:sz w:val="22"/>
            <w:szCs w:val="22"/>
          </w:rPr>
          <w:t>4</w:t>
        </w:r>
      </w:ins>
      <w:ins w:id="11569" w:author="AbbVie02no" w:date="2025-05-15T12:56:00Z">
        <w:r>
          <w:rPr>
            <w:sz w:val="22"/>
            <w:szCs w:val="22"/>
          </w:rPr>
          <w:t xml:space="preserve"> mg polysorbat 80 i hver </w:t>
        </w:r>
      </w:ins>
      <w:ins w:id="11570" w:author="AbbVie02no" w:date="2025-05-15T13:46:00Z">
        <w:r w:rsidR="004B57B4">
          <w:rPr>
            <w:sz w:val="22"/>
            <w:szCs w:val="22"/>
          </w:rPr>
          <w:t>4</w:t>
        </w:r>
      </w:ins>
      <w:ins w:id="11571" w:author="AbbVie02no" w:date="2025-05-15T12:56:00Z">
        <w:r>
          <w:rPr>
            <w:sz w:val="22"/>
            <w:szCs w:val="22"/>
          </w:rPr>
          <w:t>0</w:t>
        </w:r>
      </w:ins>
      <w:ins w:id="11572" w:author="AbbVie02no" w:date="2025-05-15T12:57:00Z">
        <w:r>
          <w:rPr>
            <w:sz w:val="22"/>
            <w:szCs w:val="22"/>
          </w:rPr>
          <w:t> </w:t>
        </w:r>
      </w:ins>
      <w:ins w:id="11573" w:author="AbbVie02no" w:date="2025-05-15T12:56:00Z">
        <w:r>
          <w:rPr>
            <w:sz w:val="22"/>
            <w:szCs w:val="22"/>
          </w:rPr>
          <w:t>mg dose.</w:t>
        </w:r>
      </w:ins>
    </w:p>
    <w:p w14:paraId="1ED5D73A" w14:textId="77777777" w:rsidR="001E500F" w:rsidRPr="009C5EFD" w:rsidRDefault="001E500F" w:rsidP="009C5EFD">
      <w:pPr>
        <w:rPr>
          <w:sz w:val="22"/>
          <w:szCs w:val="22"/>
        </w:rPr>
      </w:pPr>
    </w:p>
    <w:p w14:paraId="0CAE937B" w14:textId="77777777" w:rsidR="001E500F" w:rsidRPr="009C5EFD" w:rsidRDefault="00E453CD" w:rsidP="009C5EFD">
      <w:pPr>
        <w:rPr>
          <w:sz w:val="22"/>
          <w:szCs w:val="22"/>
        </w:rPr>
      </w:pPr>
      <w:r w:rsidRPr="009C5EFD">
        <w:rPr>
          <w:sz w:val="22"/>
          <w:szCs w:val="22"/>
        </w:rPr>
        <w:t>For fullstendig liste over hjelpestoffer, se pkt. 6.1.</w:t>
      </w:r>
    </w:p>
    <w:p w14:paraId="205C8D22" w14:textId="77777777" w:rsidR="001E500F" w:rsidRPr="009C5EFD" w:rsidRDefault="001E500F" w:rsidP="009C5EFD">
      <w:pPr>
        <w:suppressAutoHyphens/>
        <w:rPr>
          <w:sz w:val="22"/>
          <w:szCs w:val="22"/>
        </w:rPr>
      </w:pPr>
    </w:p>
    <w:p w14:paraId="199F14B7" w14:textId="77777777" w:rsidR="001E500F" w:rsidRPr="009C5EFD" w:rsidRDefault="001E500F" w:rsidP="009C5EFD">
      <w:pPr>
        <w:suppressAutoHyphens/>
        <w:rPr>
          <w:sz w:val="22"/>
          <w:szCs w:val="22"/>
        </w:rPr>
      </w:pPr>
    </w:p>
    <w:p w14:paraId="06EA6F46" w14:textId="77777777" w:rsidR="001E500F" w:rsidRPr="009C5EFD" w:rsidRDefault="00E453CD" w:rsidP="00776A84">
      <w:pPr>
        <w:keepNext/>
        <w:suppressAutoHyphens/>
        <w:ind w:left="567" w:hanging="567"/>
        <w:rPr>
          <w:sz w:val="22"/>
          <w:szCs w:val="22"/>
        </w:rPr>
      </w:pPr>
      <w:r w:rsidRPr="009C5EFD">
        <w:rPr>
          <w:b/>
          <w:sz w:val="22"/>
          <w:szCs w:val="22"/>
        </w:rPr>
        <w:t>3.</w:t>
      </w:r>
      <w:r w:rsidRPr="009C5EFD">
        <w:rPr>
          <w:b/>
          <w:sz w:val="22"/>
          <w:szCs w:val="22"/>
        </w:rPr>
        <w:tab/>
        <w:t>LEGEMIDDELFORM</w:t>
      </w:r>
    </w:p>
    <w:p w14:paraId="6ABB8C25" w14:textId="77777777" w:rsidR="001E500F" w:rsidRPr="009C5EFD" w:rsidRDefault="001E500F" w:rsidP="00776A84">
      <w:pPr>
        <w:keepNext/>
        <w:suppressAutoHyphens/>
        <w:rPr>
          <w:sz w:val="22"/>
          <w:szCs w:val="22"/>
        </w:rPr>
      </w:pPr>
    </w:p>
    <w:p w14:paraId="37FC5EBA" w14:textId="77777777" w:rsidR="001E500F" w:rsidRPr="009C5EFD" w:rsidRDefault="00E453CD" w:rsidP="009C5EFD">
      <w:pPr>
        <w:suppressAutoHyphens/>
        <w:rPr>
          <w:sz w:val="22"/>
          <w:szCs w:val="22"/>
        </w:rPr>
      </w:pPr>
      <w:r w:rsidRPr="009C5EFD">
        <w:rPr>
          <w:sz w:val="22"/>
          <w:szCs w:val="22"/>
        </w:rPr>
        <w:t>Injeksjonsvæske</w:t>
      </w:r>
      <w:r w:rsidR="002C636E" w:rsidRPr="009C5EFD">
        <w:rPr>
          <w:sz w:val="22"/>
          <w:szCs w:val="22"/>
        </w:rPr>
        <w:t>, oppløsning</w:t>
      </w:r>
      <w:r w:rsidR="00832D69">
        <w:rPr>
          <w:sz w:val="22"/>
          <w:szCs w:val="22"/>
        </w:rPr>
        <w:t xml:space="preserve"> (injeksjon</w:t>
      </w:r>
      <w:r w:rsidR="00672373">
        <w:rPr>
          <w:sz w:val="22"/>
          <w:szCs w:val="22"/>
        </w:rPr>
        <w:t>svæske</w:t>
      </w:r>
      <w:r w:rsidR="00832D69">
        <w:rPr>
          <w:sz w:val="22"/>
          <w:szCs w:val="22"/>
        </w:rPr>
        <w:t>)</w:t>
      </w:r>
    </w:p>
    <w:p w14:paraId="67CAE600" w14:textId="77777777" w:rsidR="001E500F" w:rsidRPr="009C5EFD" w:rsidRDefault="001E500F" w:rsidP="009C5EFD">
      <w:pPr>
        <w:suppressAutoHyphens/>
        <w:rPr>
          <w:sz w:val="22"/>
          <w:szCs w:val="22"/>
        </w:rPr>
      </w:pPr>
    </w:p>
    <w:p w14:paraId="6DE6856F" w14:textId="77777777" w:rsidR="001E500F" w:rsidRPr="009C5EFD" w:rsidRDefault="00E453CD" w:rsidP="009C5EFD">
      <w:pPr>
        <w:suppressAutoHyphens/>
        <w:rPr>
          <w:sz w:val="22"/>
          <w:szCs w:val="22"/>
        </w:rPr>
      </w:pPr>
      <w:r w:rsidRPr="009C5EFD">
        <w:rPr>
          <w:sz w:val="22"/>
          <w:szCs w:val="22"/>
        </w:rPr>
        <w:t>Klar, fargeløs oppløsning.</w:t>
      </w:r>
    </w:p>
    <w:p w14:paraId="3F99E1B2" w14:textId="77777777" w:rsidR="001E500F" w:rsidRPr="009C5EFD" w:rsidRDefault="001E500F" w:rsidP="009C5EFD">
      <w:pPr>
        <w:suppressAutoHyphens/>
        <w:rPr>
          <w:sz w:val="22"/>
          <w:szCs w:val="22"/>
        </w:rPr>
      </w:pPr>
    </w:p>
    <w:p w14:paraId="0D743293" w14:textId="77777777" w:rsidR="001E500F" w:rsidRPr="009C5EFD" w:rsidRDefault="001E500F" w:rsidP="009C5EFD">
      <w:pPr>
        <w:suppressAutoHyphens/>
        <w:rPr>
          <w:sz w:val="22"/>
          <w:szCs w:val="22"/>
        </w:rPr>
      </w:pPr>
    </w:p>
    <w:p w14:paraId="3DC4DAC3" w14:textId="77777777" w:rsidR="001E500F" w:rsidRPr="009C5EFD" w:rsidRDefault="00E453CD" w:rsidP="00776A84">
      <w:pPr>
        <w:keepNext/>
        <w:suppressAutoHyphens/>
        <w:ind w:left="567" w:hanging="567"/>
        <w:rPr>
          <w:sz w:val="22"/>
          <w:szCs w:val="22"/>
        </w:rPr>
      </w:pPr>
      <w:r w:rsidRPr="009C5EFD">
        <w:rPr>
          <w:b/>
          <w:sz w:val="22"/>
          <w:szCs w:val="22"/>
        </w:rPr>
        <w:t>4.</w:t>
      </w:r>
      <w:r w:rsidRPr="009C5EFD">
        <w:rPr>
          <w:b/>
          <w:sz w:val="22"/>
          <w:szCs w:val="22"/>
        </w:rPr>
        <w:tab/>
        <w:t>KLINISKE OPPLYSNINGER</w:t>
      </w:r>
    </w:p>
    <w:p w14:paraId="44094EDF" w14:textId="77777777" w:rsidR="001E500F" w:rsidRPr="009C5EFD" w:rsidRDefault="001E500F" w:rsidP="00776A84">
      <w:pPr>
        <w:keepNext/>
        <w:suppressAutoHyphens/>
        <w:rPr>
          <w:sz w:val="22"/>
          <w:szCs w:val="22"/>
        </w:rPr>
      </w:pPr>
    </w:p>
    <w:p w14:paraId="3423874C" w14:textId="77777777" w:rsidR="001E500F" w:rsidRPr="009C5EFD" w:rsidRDefault="00E453CD" w:rsidP="00776A84">
      <w:pPr>
        <w:keepNext/>
        <w:suppressAutoHyphens/>
        <w:ind w:left="570" w:hanging="570"/>
        <w:rPr>
          <w:sz w:val="22"/>
          <w:szCs w:val="22"/>
        </w:rPr>
      </w:pPr>
      <w:r w:rsidRPr="009C5EFD">
        <w:rPr>
          <w:b/>
          <w:sz w:val="22"/>
          <w:szCs w:val="22"/>
        </w:rPr>
        <w:t>4.1</w:t>
      </w:r>
      <w:r w:rsidRPr="009C5EFD">
        <w:rPr>
          <w:b/>
          <w:sz w:val="22"/>
          <w:szCs w:val="22"/>
        </w:rPr>
        <w:tab/>
        <w:t>Indikasjoner</w:t>
      </w:r>
    </w:p>
    <w:p w14:paraId="520A309F" w14:textId="77777777" w:rsidR="001E500F" w:rsidRPr="009C5EFD" w:rsidRDefault="001E500F" w:rsidP="00776A84">
      <w:pPr>
        <w:keepNext/>
        <w:rPr>
          <w:sz w:val="22"/>
          <w:szCs w:val="22"/>
        </w:rPr>
      </w:pPr>
    </w:p>
    <w:p w14:paraId="6BF81E93" w14:textId="77777777" w:rsidR="001E500F" w:rsidRPr="009C5EFD" w:rsidRDefault="00E453CD" w:rsidP="00776A84">
      <w:pPr>
        <w:keepNext/>
        <w:rPr>
          <w:sz w:val="22"/>
          <w:szCs w:val="22"/>
          <w:u w:val="single"/>
        </w:rPr>
      </w:pPr>
      <w:r w:rsidRPr="009C5EFD">
        <w:rPr>
          <w:sz w:val="22"/>
          <w:szCs w:val="22"/>
          <w:u w:val="single"/>
        </w:rPr>
        <w:t>Revmatoid artritt</w:t>
      </w:r>
    </w:p>
    <w:p w14:paraId="28B9CCF0" w14:textId="77777777" w:rsidR="001E500F" w:rsidRPr="009C5EFD" w:rsidRDefault="001E500F" w:rsidP="00776A84">
      <w:pPr>
        <w:keepNext/>
        <w:rPr>
          <w:sz w:val="22"/>
          <w:szCs w:val="22"/>
        </w:rPr>
      </w:pPr>
    </w:p>
    <w:p w14:paraId="7AF7DD70" w14:textId="77777777" w:rsidR="001E500F" w:rsidRPr="009C5EFD" w:rsidRDefault="00E453CD" w:rsidP="00776A84">
      <w:pPr>
        <w:keepNext/>
        <w:rPr>
          <w:sz w:val="22"/>
          <w:szCs w:val="22"/>
        </w:rPr>
      </w:pPr>
      <w:r w:rsidRPr="009C5EFD">
        <w:rPr>
          <w:sz w:val="22"/>
          <w:szCs w:val="22"/>
        </w:rPr>
        <w:t>Humira i kombinasjon med metotreksat er indisert til:</w:t>
      </w:r>
    </w:p>
    <w:p w14:paraId="11F7121E" w14:textId="77777777" w:rsidR="001E500F" w:rsidRPr="009C5EFD" w:rsidRDefault="001E500F" w:rsidP="00776A84">
      <w:pPr>
        <w:keepNext/>
        <w:rPr>
          <w:sz w:val="22"/>
          <w:szCs w:val="22"/>
        </w:rPr>
      </w:pPr>
    </w:p>
    <w:p w14:paraId="4E7EC943" w14:textId="77777777" w:rsidR="001E500F" w:rsidRPr="009C5EFD" w:rsidRDefault="00E453CD" w:rsidP="00EE4677">
      <w:pPr>
        <w:numPr>
          <w:ilvl w:val="0"/>
          <w:numId w:val="17"/>
        </w:numPr>
        <w:rPr>
          <w:sz w:val="22"/>
          <w:szCs w:val="22"/>
        </w:rPr>
      </w:pPr>
      <w:r w:rsidRPr="009C5EFD">
        <w:rPr>
          <w:sz w:val="22"/>
          <w:szCs w:val="22"/>
        </w:rPr>
        <w:t>behandling av moderat til alvorlig aktiv revmatoid artritt hos voksne pasienter når responsen på sykdomsmodifiserende antireumatiske legemidler inkludert metotreksat ikke har vært tilstrekkelig.</w:t>
      </w:r>
    </w:p>
    <w:p w14:paraId="70FBEA4D" w14:textId="77777777" w:rsidR="001E500F" w:rsidRPr="009C5EFD" w:rsidRDefault="00E453CD" w:rsidP="00EE4677">
      <w:pPr>
        <w:numPr>
          <w:ilvl w:val="0"/>
          <w:numId w:val="18"/>
        </w:numPr>
        <w:rPr>
          <w:sz w:val="22"/>
          <w:szCs w:val="22"/>
        </w:rPr>
      </w:pPr>
      <w:r w:rsidRPr="009C5EFD">
        <w:rPr>
          <w:sz w:val="22"/>
          <w:szCs w:val="22"/>
        </w:rPr>
        <w:t>behandling av alvorlig, aktiv og progredierende revmatoid artritt hos voksne som ikke tidligere er behandlet med metotreksat.</w:t>
      </w:r>
    </w:p>
    <w:p w14:paraId="0B587972" w14:textId="77777777" w:rsidR="001E500F" w:rsidRPr="009C5EFD" w:rsidRDefault="001E500F" w:rsidP="009C5EFD">
      <w:pPr>
        <w:rPr>
          <w:sz w:val="22"/>
          <w:szCs w:val="22"/>
        </w:rPr>
      </w:pPr>
    </w:p>
    <w:p w14:paraId="5C37CC6D" w14:textId="77777777" w:rsidR="001E500F" w:rsidRPr="009C5EFD" w:rsidRDefault="00E453CD" w:rsidP="009C5EFD">
      <w:pPr>
        <w:rPr>
          <w:sz w:val="22"/>
          <w:szCs w:val="22"/>
        </w:rPr>
      </w:pPr>
      <w:r w:rsidRPr="009C5EFD">
        <w:rPr>
          <w:sz w:val="22"/>
          <w:szCs w:val="22"/>
        </w:rPr>
        <w:t>Humira kan gis som monoterapi ved intoleranse overfor metotreksat eller når behandling med metotreksat ikke er egnet.</w:t>
      </w:r>
    </w:p>
    <w:p w14:paraId="63AA4C69" w14:textId="77777777" w:rsidR="001E500F" w:rsidRPr="009C5EFD" w:rsidRDefault="001E500F" w:rsidP="009C5EFD">
      <w:pPr>
        <w:rPr>
          <w:sz w:val="22"/>
          <w:szCs w:val="22"/>
        </w:rPr>
      </w:pPr>
    </w:p>
    <w:p w14:paraId="174237AE" w14:textId="77777777" w:rsidR="001E500F" w:rsidRPr="009C5EFD" w:rsidRDefault="00E453CD" w:rsidP="009C5EFD">
      <w:pPr>
        <w:rPr>
          <w:sz w:val="22"/>
          <w:szCs w:val="22"/>
        </w:rPr>
      </w:pPr>
      <w:r w:rsidRPr="009C5EFD">
        <w:rPr>
          <w:sz w:val="22"/>
          <w:szCs w:val="22"/>
        </w:rPr>
        <w:t xml:space="preserve">Gitt i kombinasjon med metotreksat har Humira vist seg å redusere </w:t>
      </w:r>
      <w:r w:rsidRPr="009C5EFD">
        <w:rPr>
          <w:color w:val="000000"/>
          <w:sz w:val="22"/>
          <w:szCs w:val="22"/>
        </w:rPr>
        <w:t>progresjonshastighet</w:t>
      </w:r>
      <w:r w:rsidRPr="009C5EFD">
        <w:rPr>
          <w:sz w:val="22"/>
          <w:szCs w:val="22"/>
        </w:rPr>
        <w:t xml:space="preserve"> av leddskade, målt ved røntgenundersøkelser, og å forbedre fysisk funksjon.</w:t>
      </w:r>
    </w:p>
    <w:p w14:paraId="625ED863" w14:textId="77777777" w:rsidR="001E500F" w:rsidRPr="009C5EFD" w:rsidRDefault="001E500F" w:rsidP="009C5EFD">
      <w:pPr>
        <w:pStyle w:val="EMEANormal"/>
        <w:rPr>
          <w:u w:val="single"/>
          <w:lang w:val="nb-NO"/>
        </w:rPr>
      </w:pPr>
    </w:p>
    <w:p w14:paraId="6BA0476C" w14:textId="77777777" w:rsidR="001E500F" w:rsidRPr="009C5EFD" w:rsidRDefault="00E453CD" w:rsidP="00776A84">
      <w:pPr>
        <w:pStyle w:val="EMEANormal"/>
        <w:keepNext/>
        <w:rPr>
          <w:u w:val="single"/>
          <w:lang w:val="nb-NO"/>
        </w:rPr>
      </w:pPr>
      <w:r w:rsidRPr="009C5EFD">
        <w:rPr>
          <w:u w:val="single"/>
          <w:lang w:val="nb-NO"/>
        </w:rPr>
        <w:t>Juvenil idiopatisk artritt</w:t>
      </w:r>
    </w:p>
    <w:p w14:paraId="7EE0E4EE" w14:textId="77777777" w:rsidR="001E500F" w:rsidRPr="009C5EFD" w:rsidRDefault="001E500F" w:rsidP="00776A84">
      <w:pPr>
        <w:pStyle w:val="EMEANormal"/>
        <w:keepNext/>
        <w:rPr>
          <w:u w:val="single"/>
          <w:lang w:val="nb-NO"/>
        </w:rPr>
      </w:pPr>
    </w:p>
    <w:p w14:paraId="14BB717B" w14:textId="77777777" w:rsidR="001E500F" w:rsidRPr="009C5EFD" w:rsidRDefault="00E453CD" w:rsidP="00776A84">
      <w:pPr>
        <w:pStyle w:val="EMEANormal"/>
        <w:keepNext/>
        <w:rPr>
          <w:i/>
          <w:lang w:val="nb-NO"/>
        </w:rPr>
      </w:pPr>
      <w:r w:rsidRPr="009C5EFD">
        <w:rPr>
          <w:i/>
          <w:lang w:val="nb-NO"/>
        </w:rPr>
        <w:t>Polyartikulær juvenil idiopatisk artritt</w:t>
      </w:r>
    </w:p>
    <w:p w14:paraId="75FD2843" w14:textId="77777777" w:rsidR="001E500F" w:rsidRPr="009C5EFD" w:rsidRDefault="001E500F" w:rsidP="00776A84">
      <w:pPr>
        <w:keepNext/>
        <w:rPr>
          <w:sz w:val="22"/>
          <w:szCs w:val="22"/>
        </w:rPr>
      </w:pPr>
    </w:p>
    <w:p w14:paraId="0BFE9578" w14:textId="77777777" w:rsidR="001E500F" w:rsidRPr="009C5EFD" w:rsidRDefault="00E453CD" w:rsidP="009C5EFD">
      <w:pPr>
        <w:rPr>
          <w:sz w:val="22"/>
          <w:szCs w:val="22"/>
        </w:rPr>
      </w:pPr>
      <w:r w:rsidRPr="009C5EFD">
        <w:rPr>
          <w:sz w:val="22"/>
          <w:szCs w:val="22"/>
        </w:rPr>
        <w:t xml:space="preserve">Humira i kombinasjon med metotreksat er indisert til behandling av aktiv polyartikulær juvenil idiopatisk artritt hos pasienter </w:t>
      </w:r>
      <w:r w:rsidR="00672373">
        <w:rPr>
          <w:sz w:val="22"/>
          <w:szCs w:val="22"/>
        </w:rPr>
        <w:t>over</w:t>
      </w:r>
      <w:r w:rsidRPr="009C5EFD">
        <w:rPr>
          <w:szCs w:val="22"/>
        </w:rPr>
        <w:t xml:space="preserve"> </w:t>
      </w:r>
      <w:r w:rsidRPr="009C5EFD">
        <w:rPr>
          <w:sz w:val="22"/>
          <w:szCs w:val="22"/>
        </w:rPr>
        <w:t>2</w:t>
      </w:r>
      <w:r w:rsidR="002C636E" w:rsidRPr="009C5EFD">
        <w:rPr>
          <w:sz w:val="22"/>
          <w:szCs w:val="22"/>
        </w:rPr>
        <w:t> </w:t>
      </w:r>
      <w:r w:rsidRPr="009C5EFD">
        <w:rPr>
          <w:sz w:val="22"/>
          <w:szCs w:val="22"/>
        </w:rPr>
        <w:t xml:space="preserve">år, som har respondert utilstrekkelig på et eller flere </w:t>
      </w:r>
      <w:r w:rsidRPr="009C5EFD">
        <w:rPr>
          <w:sz w:val="22"/>
          <w:szCs w:val="22"/>
        </w:rPr>
        <w:lastRenderedPageBreak/>
        <w:t xml:space="preserve">sykdomsmodifiserende antirevmatiske legemidler (DMARDs). Humira kan gis som monoterapi i tilfelle intoleranse mot metotreksat, eller når fortsettelse av behandling med metotreksat ikke er hensiktsmessig (for effekt ved monoterapi se pkt. 5.1) Humira er ikke studert hos pasienter </w:t>
      </w:r>
      <w:r w:rsidR="00BA2D51">
        <w:rPr>
          <w:sz w:val="22"/>
          <w:szCs w:val="22"/>
        </w:rPr>
        <w:t>under</w:t>
      </w:r>
      <w:r w:rsidRPr="009C5EFD">
        <w:rPr>
          <w:sz w:val="22"/>
          <w:szCs w:val="22"/>
        </w:rPr>
        <w:t xml:space="preserve"> 2 år.</w:t>
      </w:r>
    </w:p>
    <w:p w14:paraId="40B8CB46" w14:textId="77777777" w:rsidR="001E500F" w:rsidRPr="009C5EFD" w:rsidRDefault="001E500F" w:rsidP="009C5EFD">
      <w:pPr>
        <w:rPr>
          <w:sz w:val="22"/>
          <w:szCs w:val="22"/>
        </w:rPr>
      </w:pPr>
    </w:p>
    <w:p w14:paraId="0C5B1C7E" w14:textId="77777777" w:rsidR="001E500F" w:rsidRPr="009C5EFD" w:rsidRDefault="00E453CD" w:rsidP="009C5EFD">
      <w:pPr>
        <w:pStyle w:val="EMEANormal"/>
        <w:keepNext/>
        <w:rPr>
          <w:i/>
          <w:lang w:val="nb-NO"/>
        </w:rPr>
      </w:pPr>
      <w:r w:rsidRPr="009C5EFD">
        <w:rPr>
          <w:i/>
          <w:lang w:val="nb-NO"/>
        </w:rPr>
        <w:t>Entesittrelatert artritt</w:t>
      </w:r>
    </w:p>
    <w:p w14:paraId="1E60BC02" w14:textId="77777777" w:rsidR="001E500F" w:rsidRPr="009C5EFD" w:rsidRDefault="001E500F" w:rsidP="009C5EFD">
      <w:pPr>
        <w:pStyle w:val="EMEANormal"/>
        <w:keepNext/>
        <w:rPr>
          <w:lang w:val="nb-NO"/>
        </w:rPr>
      </w:pPr>
    </w:p>
    <w:p w14:paraId="00194EFB" w14:textId="77777777" w:rsidR="001E500F" w:rsidRPr="009C5EFD" w:rsidRDefault="00E453CD" w:rsidP="00776A84">
      <w:pPr>
        <w:pStyle w:val="EMEANormal"/>
        <w:rPr>
          <w:lang w:val="nb-NO"/>
        </w:rPr>
      </w:pPr>
      <w:r w:rsidRPr="009C5EFD">
        <w:rPr>
          <w:lang w:val="nb-NO"/>
        </w:rPr>
        <w:t xml:space="preserve">Humira er indisert til behandling av aktiv entesittrelatert artritt hos pasienter </w:t>
      </w:r>
      <w:r w:rsidR="002A2D0D">
        <w:rPr>
          <w:lang w:val="nb-NO"/>
        </w:rPr>
        <w:t>over</w:t>
      </w:r>
      <w:r w:rsidRPr="009C5EFD">
        <w:rPr>
          <w:lang w:val="nb-NO"/>
        </w:rPr>
        <w:t xml:space="preserve"> 6</w:t>
      </w:r>
      <w:r w:rsidR="002C636E" w:rsidRPr="009C5EFD">
        <w:rPr>
          <w:lang w:val="nb-NO"/>
        </w:rPr>
        <w:t> </w:t>
      </w:r>
      <w:r w:rsidRPr="009C5EFD">
        <w:rPr>
          <w:lang w:val="nb-NO"/>
        </w:rPr>
        <w:t xml:space="preserve">år, som har respondert utilstrekkelig på eller som er intolerante overfor </w:t>
      </w:r>
      <w:r w:rsidR="007A1E0A">
        <w:rPr>
          <w:lang w:val="nb-NO"/>
        </w:rPr>
        <w:t>konvensjonell behandling</w:t>
      </w:r>
      <w:r w:rsidRPr="009C5EFD">
        <w:rPr>
          <w:lang w:val="nb-NO"/>
        </w:rPr>
        <w:t xml:space="preserve"> (se pkt. 5.1).</w:t>
      </w:r>
    </w:p>
    <w:p w14:paraId="65F793C7" w14:textId="77777777" w:rsidR="001E500F" w:rsidRPr="009C5EFD" w:rsidRDefault="001E500F" w:rsidP="009C5EFD">
      <w:pPr>
        <w:rPr>
          <w:sz w:val="22"/>
          <w:szCs w:val="22"/>
        </w:rPr>
      </w:pPr>
    </w:p>
    <w:p w14:paraId="65ED13A8" w14:textId="77777777" w:rsidR="001E500F" w:rsidRPr="009C5EFD" w:rsidRDefault="00E453CD" w:rsidP="00776A84">
      <w:pPr>
        <w:pStyle w:val="EMEAHeadingUnderline"/>
        <w:keepNext/>
        <w:tabs>
          <w:tab w:val="clear" w:pos="562"/>
          <w:tab w:val="left" w:pos="708"/>
        </w:tabs>
        <w:suppressAutoHyphens w:val="0"/>
        <w:spacing w:beforeLines="0" w:before="0" w:afterLines="0" w:after="0"/>
        <w:rPr>
          <w:szCs w:val="22"/>
          <w:lang w:val="nb-NO"/>
        </w:rPr>
      </w:pPr>
      <w:r w:rsidRPr="009C5EFD">
        <w:rPr>
          <w:szCs w:val="22"/>
          <w:lang w:val="nb-NO"/>
        </w:rPr>
        <w:t>Aksial spondylartritt</w:t>
      </w:r>
    </w:p>
    <w:p w14:paraId="5317FDC1" w14:textId="77777777" w:rsidR="002C636E" w:rsidRPr="009C5EFD" w:rsidRDefault="002C636E" w:rsidP="00776A84">
      <w:pPr>
        <w:pStyle w:val="EMEANormal"/>
        <w:keepNext/>
        <w:rPr>
          <w:lang w:val="nb-NO"/>
        </w:rPr>
      </w:pPr>
    </w:p>
    <w:p w14:paraId="5A6EBA44" w14:textId="77777777" w:rsidR="001E500F" w:rsidRPr="009C5EFD" w:rsidRDefault="00E453CD" w:rsidP="00776A84">
      <w:pPr>
        <w:pStyle w:val="EMEAHeadingUnderline"/>
        <w:keepNext/>
        <w:tabs>
          <w:tab w:val="left" w:pos="708"/>
        </w:tabs>
        <w:spacing w:beforeLines="0" w:before="0" w:afterLines="0" w:after="0"/>
        <w:rPr>
          <w:i/>
          <w:szCs w:val="22"/>
          <w:u w:val="none"/>
          <w:lang w:val="nb-NO"/>
        </w:rPr>
      </w:pPr>
      <w:r w:rsidRPr="009C5EFD">
        <w:rPr>
          <w:i/>
          <w:szCs w:val="22"/>
          <w:u w:val="none"/>
          <w:lang w:val="nb-NO"/>
        </w:rPr>
        <w:t>Bekhterevs sykdom (ankyloserende spondylitt)</w:t>
      </w:r>
    </w:p>
    <w:p w14:paraId="64ECA4C8" w14:textId="77777777" w:rsidR="002C636E" w:rsidRPr="009C5EFD" w:rsidRDefault="002C636E" w:rsidP="00776A84">
      <w:pPr>
        <w:pStyle w:val="EMEANormal"/>
        <w:keepNext/>
        <w:rPr>
          <w:lang w:val="nb-NO"/>
        </w:rPr>
      </w:pPr>
    </w:p>
    <w:p w14:paraId="657A83F1" w14:textId="77777777" w:rsidR="001E500F" w:rsidRPr="009C5EFD" w:rsidRDefault="00E453CD" w:rsidP="009C5EFD">
      <w:pPr>
        <w:rPr>
          <w:sz w:val="22"/>
          <w:szCs w:val="22"/>
        </w:rPr>
      </w:pPr>
      <w:r w:rsidRPr="009C5EFD">
        <w:rPr>
          <w:sz w:val="22"/>
          <w:szCs w:val="22"/>
        </w:rPr>
        <w:t xml:space="preserve">Humira er indisert til behandling av voksne med alvorlig aktiv Bekhterevs sykdom (ankyloserende spondylitt), og som har respondert utilstrekkelig på </w:t>
      </w:r>
      <w:r w:rsidR="007A1E0A">
        <w:rPr>
          <w:sz w:val="22"/>
          <w:szCs w:val="22"/>
        </w:rPr>
        <w:t>konvensjonell behandling</w:t>
      </w:r>
      <w:r w:rsidRPr="009C5EFD">
        <w:rPr>
          <w:sz w:val="22"/>
          <w:szCs w:val="22"/>
        </w:rPr>
        <w:t>.</w:t>
      </w:r>
    </w:p>
    <w:p w14:paraId="282494FC" w14:textId="77777777" w:rsidR="001E500F" w:rsidRPr="009C5EFD" w:rsidRDefault="001E500F" w:rsidP="009C5EFD">
      <w:pPr>
        <w:rPr>
          <w:sz w:val="22"/>
          <w:szCs w:val="22"/>
          <w:u w:val="single"/>
        </w:rPr>
      </w:pPr>
    </w:p>
    <w:p w14:paraId="1E74589F" w14:textId="77777777" w:rsidR="001E500F" w:rsidRPr="009C5EFD" w:rsidRDefault="00E453CD" w:rsidP="00776A84">
      <w:pPr>
        <w:keepNext/>
        <w:rPr>
          <w:i/>
          <w:sz w:val="22"/>
          <w:szCs w:val="22"/>
        </w:rPr>
      </w:pPr>
      <w:r w:rsidRPr="009C5EFD">
        <w:rPr>
          <w:i/>
          <w:sz w:val="22"/>
          <w:szCs w:val="22"/>
        </w:rPr>
        <w:t>Aksial spondylartritt uten radiografisk bekreftelse på ankyloserende spondylitt</w:t>
      </w:r>
    </w:p>
    <w:p w14:paraId="707893C4" w14:textId="77777777" w:rsidR="001E500F" w:rsidRPr="009C5EFD" w:rsidRDefault="001E500F" w:rsidP="00776A84">
      <w:pPr>
        <w:keepNext/>
        <w:rPr>
          <w:sz w:val="22"/>
          <w:szCs w:val="22"/>
          <w:u w:val="single"/>
        </w:rPr>
      </w:pPr>
    </w:p>
    <w:p w14:paraId="5CC9B565" w14:textId="77777777" w:rsidR="001E500F" w:rsidRPr="009C5EFD" w:rsidRDefault="00E453CD" w:rsidP="009C5EFD">
      <w:pPr>
        <w:rPr>
          <w:sz w:val="22"/>
          <w:szCs w:val="22"/>
        </w:rPr>
      </w:pPr>
      <w:r w:rsidRPr="009C5EFD">
        <w:rPr>
          <w:sz w:val="22"/>
          <w:szCs w:val="22"/>
        </w:rPr>
        <w:t>Humira er indisert til behandling av voksne med alvorlig aksial spondylartritt uten radiografisk bekreftelse på ankyloserende spondylitt, men med objektive tegn på inflammasjon vist ved økt CRP og/eller MRI, som har respondert utilstrekkelig eller er intolerante overfor ikke-steroide antiinflammatoriske midler</w:t>
      </w:r>
      <w:r w:rsidR="003F10B3">
        <w:rPr>
          <w:sz w:val="22"/>
          <w:szCs w:val="22"/>
        </w:rPr>
        <w:t xml:space="preserve"> </w:t>
      </w:r>
      <w:r w:rsidR="003F10B3" w:rsidRPr="003F10B3">
        <w:rPr>
          <w:sz w:val="22"/>
          <w:szCs w:val="22"/>
        </w:rPr>
        <w:t>(NSAIDs)</w:t>
      </w:r>
      <w:r w:rsidRPr="009C5EFD">
        <w:rPr>
          <w:sz w:val="22"/>
          <w:szCs w:val="22"/>
        </w:rPr>
        <w:t xml:space="preserve">. </w:t>
      </w:r>
    </w:p>
    <w:p w14:paraId="4140D2CF" w14:textId="77777777" w:rsidR="001E500F" w:rsidRPr="009C5EFD" w:rsidRDefault="001E500F" w:rsidP="009C5EFD">
      <w:pPr>
        <w:rPr>
          <w:sz w:val="22"/>
          <w:szCs w:val="22"/>
          <w:u w:val="single"/>
        </w:rPr>
      </w:pPr>
    </w:p>
    <w:p w14:paraId="6EE43759" w14:textId="77777777" w:rsidR="001E500F" w:rsidRPr="009C5EFD" w:rsidRDefault="00E453CD" w:rsidP="00776A84">
      <w:pPr>
        <w:keepNext/>
        <w:rPr>
          <w:sz w:val="22"/>
          <w:szCs w:val="22"/>
          <w:u w:val="single"/>
        </w:rPr>
      </w:pPr>
      <w:r w:rsidRPr="009C5EFD">
        <w:rPr>
          <w:sz w:val="22"/>
          <w:szCs w:val="22"/>
          <w:u w:val="single"/>
        </w:rPr>
        <w:t>Psoriasisartritt</w:t>
      </w:r>
    </w:p>
    <w:p w14:paraId="442C3D9A" w14:textId="77777777" w:rsidR="001E500F" w:rsidRPr="009C5EFD" w:rsidRDefault="001E500F" w:rsidP="00776A84">
      <w:pPr>
        <w:keepNext/>
        <w:rPr>
          <w:sz w:val="22"/>
          <w:szCs w:val="22"/>
        </w:rPr>
      </w:pPr>
    </w:p>
    <w:p w14:paraId="704428EA" w14:textId="77777777" w:rsidR="001E500F" w:rsidRPr="009C5EFD" w:rsidRDefault="00E453CD" w:rsidP="009C5EFD">
      <w:pPr>
        <w:rPr>
          <w:sz w:val="22"/>
          <w:szCs w:val="22"/>
        </w:rPr>
      </w:pPr>
      <w:r w:rsidRPr="009C5EFD">
        <w:rPr>
          <w:sz w:val="22"/>
          <w:szCs w:val="22"/>
        </w:rPr>
        <w:t xml:space="preserve">Humira er indisert til behandling av aktiv og progredierende psoriasisartritt hos voksne når responsen på tidligere </w:t>
      </w:r>
      <w:r w:rsidRPr="009C5EFD">
        <w:rPr>
          <w:color w:val="000000"/>
          <w:sz w:val="22"/>
          <w:szCs w:val="22"/>
        </w:rPr>
        <w:t xml:space="preserve">behandling med </w:t>
      </w:r>
      <w:r w:rsidRPr="009C5EFD">
        <w:rPr>
          <w:sz w:val="22"/>
          <w:szCs w:val="22"/>
        </w:rPr>
        <w:t xml:space="preserve">sykdomsmodifiserende </w:t>
      </w:r>
      <w:r w:rsidRPr="009C5EFD">
        <w:rPr>
          <w:color w:val="000000"/>
          <w:sz w:val="22"/>
          <w:szCs w:val="22"/>
        </w:rPr>
        <w:t>antirevmatiske legemidler</w:t>
      </w:r>
      <w:r w:rsidRPr="009C5EFD">
        <w:rPr>
          <w:sz w:val="22"/>
          <w:szCs w:val="22"/>
        </w:rPr>
        <w:t xml:space="preserve"> ikke </w:t>
      </w:r>
      <w:r w:rsidRPr="009C5EFD">
        <w:rPr>
          <w:color w:val="000000"/>
          <w:sz w:val="22"/>
          <w:szCs w:val="22"/>
        </w:rPr>
        <w:t>har vært</w:t>
      </w:r>
      <w:r w:rsidRPr="009C5EFD">
        <w:rPr>
          <w:sz w:val="22"/>
          <w:szCs w:val="22"/>
        </w:rPr>
        <w:t xml:space="preserve"> tilfredsstillende. Humira har vist å redusere progresjonshastighet av perifer leddskade, målt ved røntgen, hos pasienter med polyartikulære, symmetriske undergrupper av sykdommen (se pkt. 5.1) og å forbedre fysisk funksjon.</w:t>
      </w:r>
    </w:p>
    <w:p w14:paraId="01E28F66" w14:textId="77777777" w:rsidR="001E500F" w:rsidRPr="009C5EFD" w:rsidRDefault="001E500F" w:rsidP="009C5EFD">
      <w:pPr>
        <w:rPr>
          <w:b/>
          <w:sz w:val="22"/>
          <w:szCs w:val="22"/>
        </w:rPr>
      </w:pPr>
    </w:p>
    <w:p w14:paraId="6BA3EF3A" w14:textId="77777777" w:rsidR="001E500F" w:rsidRPr="009C5EFD" w:rsidRDefault="00E453CD" w:rsidP="00776A84">
      <w:pPr>
        <w:keepNext/>
        <w:rPr>
          <w:sz w:val="22"/>
          <w:szCs w:val="22"/>
          <w:u w:val="single"/>
        </w:rPr>
      </w:pPr>
      <w:r w:rsidRPr="009C5EFD">
        <w:rPr>
          <w:sz w:val="22"/>
          <w:szCs w:val="22"/>
          <w:u w:val="single"/>
        </w:rPr>
        <w:t>Psoriasis</w:t>
      </w:r>
    </w:p>
    <w:p w14:paraId="0B1D869A" w14:textId="77777777" w:rsidR="001E500F" w:rsidRPr="009C5EFD" w:rsidRDefault="001E500F" w:rsidP="00776A84">
      <w:pPr>
        <w:keepNext/>
        <w:rPr>
          <w:b/>
          <w:sz w:val="22"/>
          <w:szCs w:val="22"/>
        </w:rPr>
      </w:pPr>
    </w:p>
    <w:p w14:paraId="06C1762D" w14:textId="77777777" w:rsidR="001E500F" w:rsidRPr="009C5EFD" w:rsidRDefault="00E453CD" w:rsidP="009C5EFD">
      <w:pPr>
        <w:rPr>
          <w:sz w:val="22"/>
          <w:szCs w:val="22"/>
        </w:rPr>
      </w:pPr>
      <w:r w:rsidRPr="009C5EFD">
        <w:rPr>
          <w:sz w:val="22"/>
          <w:szCs w:val="22"/>
        </w:rPr>
        <w:t xml:space="preserve">Humira er indisert til behandling av moderat til alvorlig kronisk plakkpsoriasis hos voksne pasienter som </w:t>
      </w:r>
      <w:r w:rsidR="00792D70">
        <w:rPr>
          <w:sz w:val="22"/>
          <w:szCs w:val="22"/>
        </w:rPr>
        <w:t xml:space="preserve">er kandidater for </w:t>
      </w:r>
      <w:r w:rsidRPr="009C5EFD">
        <w:rPr>
          <w:sz w:val="22"/>
          <w:szCs w:val="22"/>
        </w:rPr>
        <w:t xml:space="preserve">systemisk </w:t>
      </w:r>
      <w:r w:rsidR="00B50BD1">
        <w:rPr>
          <w:sz w:val="22"/>
          <w:szCs w:val="22"/>
        </w:rPr>
        <w:t>behandling</w:t>
      </w:r>
      <w:r w:rsidRPr="009C5EFD">
        <w:rPr>
          <w:sz w:val="22"/>
          <w:szCs w:val="22"/>
        </w:rPr>
        <w:t>.</w:t>
      </w:r>
    </w:p>
    <w:p w14:paraId="46DF409D" w14:textId="77777777" w:rsidR="001E500F" w:rsidRPr="009C5EFD" w:rsidRDefault="001E500F" w:rsidP="009C5EFD">
      <w:pPr>
        <w:rPr>
          <w:sz w:val="22"/>
          <w:szCs w:val="22"/>
        </w:rPr>
      </w:pPr>
    </w:p>
    <w:p w14:paraId="7DBE9D93" w14:textId="77777777" w:rsidR="001E500F" w:rsidRPr="009C5EFD" w:rsidRDefault="00E453CD" w:rsidP="00776A84">
      <w:pPr>
        <w:keepNext/>
        <w:rPr>
          <w:sz w:val="22"/>
          <w:szCs w:val="22"/>
          <w:u w:val="single"/>
        </w:rPr>
      </w:pPr>
      <w:r w:rsidRPr="009C5EFD">
        <w:rPr>
          <w:sz w:val="22"/>
          <w:szCs w:val="22"/>
          <w:u w:val="single"/>
        </w:rPr>
        <w:t>Pediatrisk plakkpsoriasis</w:t>
      </w:r>
    </w:p>
    <w:p w14:paraId="14B008BD" w14:textId="77777777" w:rsidR="001E500F" w:rsidRPr="009C5EFD" w:rsidRDefault="001E500F" w:rsidP="00776A84">
      <w:pPr>
        <w:keepNext/>
        <w:rPr>
          <w:sz w:val="22"/>
          <w:szCs w:val="22"/>
        </w:rPr>
      </w:pPr>
    </w:p>
    <w:p w14:paraId="404C09B6" w14:textId="77777777" w:rsidR="001E500F" w:rsidRPr="009C5EFD" w:rsidRDefault="00E453CD" w:rsidP="009C5EFD">
      <w:pPr>
        <w:rPr>
          <w:sz w:val="22"/>
          <w:szCs w:val="22"/>
        </w:rPr>
      </w:pPr>
      <w:r w:rsidRPr="009C5EFD">
        <w:rPr>
          <w:sz w:val="22"/>
          <w:szCs w:val="22"/>
        </w:rPr>
        <w:t xml:space="preserve">Humira er indisert til behandling av alvorlig kronisk plakkpsoriasis hos barn og ungdom </w:t>
      </w:r>
      <w:r w:rsidR="002A2D0D">
        <w:rPr>
          <w:sz w:val="22"/>
          <w:szCs w:val="22"/>
        </w:rPr>
        <w:t>over</w:t>
      </w:r>
      <w:r w:rsidRPr="009C5EFD">
        <w:rPr>
          <w:sz w:val="22"/>
          <w:szCs w:val="22"/>
        </w:rPr>
        <w:t xml:space="preserve"> 4</w:t>
      </w:r>
      <w:r w:rsidR="002C636E" w:rsidRPr="009C5EFD">
        <w:rPr>
          <w:sz w:val="22"/>
          <w:szCs w:val="22"/>
        </w:rPr>
        <w:t> </w:t>
      </w:r>
      <w:r w:rsidRPr="009C5EFD">
        <w:rPr>
          <w:sz w:val="22"/>
          <w:szCs w:val="22"/>
        </w:rPr>
        <w:t xml:space="preserve">år, som har respondert utilstrekkelig på eller som er uegnede kandidater for topikal behandling og </w:t>
      </w:r>
      <w:r w:rsidR="00726E6B">
        <w:rPr>
          <w:sz w:val="22"/>
          <w:szCs w:val="22"/>
        </w:rPr>
        <w:t>lysbehandling</w:t>
      </w:r>
      <w:r w:rsidRPr="009C5EFD">
        <w:rPr>
          <w:sz w:val="22"/>
          <w:szCs w:val="22"/>
        </w:rPr>
        <w:t xml:space="preserve">. </w:t>
      </w:r>
    </w:p>
    <w:p w14:paraId="401D56CC" w14:textId="77777777" w:rsidR="005A2E9F" w:rsidRPr="009C5EFD" w:rsidRDefault="005A2E9F" w:rsidP="009C5EFD">
      <w:pPr>
        <w:rPr>
          <w:sz w:val="22"/>
          <w:szCs w:val="22"/>
          <w:u w:val="single"/>
        </w:rPr>
      </w:pPr>
    </w:p>
    <w:p w14:paraId="4097951E" w14:textId="77777777" w:rsidR="005A2E9F" w:rsidRPr="002D0790" w:rsidRDefault="00E453CD" w:rsidP="00776A84">
      <w:pPr>
        <w:keepNext/>
        <w:rPr>
          <w:sz w:val="22"/>
          <w:szCs w:val="22"/>
          <w:u w:val="single"/>
        </w:rPr>
      </w:pPr>
      <w:r w:rsidRPr="009C5EFD">
        <w:rPr>
          <w:sz w:val="22"/>
          <w:szCs w:val="22"/>
          <w:u w:val="single"/>
        </w:rPr>
        <w:t>H</w:t>
      </w:r>
      <w:r w:rsidR="002D0790" w:rsidRPr="00776A84">
        <w:rPr>
          <w:iCs/>
          <w:sz w:val="22"/>
          <w:szCs w:val="22"/>
          <w:u w:val="single"/>
        </w:rPr>
        <w:t>idradenitis</w:t>
      </w:r>
      <w:r w:rsidR="002D0790" w:rsidRPr="00926F2E">
        <w:rPr>
          <w:i/>
          <w:sz w:val="22"/>
          <w:szCs w:val="22"/>
          <w:u w:val="single"/>
        </w:rPr>
        <w:t xml:space="preserve"> </w:t>
      </w:r>
      <w:r w:rsidR="002D0790" w:rsidRPr="00776A84">
        <w:rPr>
          <w:iCs/>
          <w:sz w:val="22"/>
          <w:szCs w:val="22"/>
          <w:u w:val="single"/>
        </w:rPr>
        <w:t>suppurativa</w:t>
      </w:r>
      <w:r w:rsidR="002D0790" w:rsidRPr="00D014D5">
        <w:rPr>
          <w:sz w:val="22"/>
          <w:szCs w:val="22"/>
          <w:u w:val="single"/>
        </w:rPr>
        <w:t xml:space="preserve"> </w:t>
      </w:r>
      <w:r w:rsidR="009E6457">
        <w:rPr>
          <w:sz w:val="22"/>
          <w:szCs w:val="22"/>
          <w:u w:val="single"/>
        </w:rPr>
        <w:t>(</w:t>
      </w:r>
      <w:r w:rsidR="00DB310E" w:rsidRPr="00D014D5">
        <w:rPr>
          <w:sz w:val="22"/>
          <w:szCs w:val="22"/>
          <w:u w:val="single"/>
        </w:rPr>
        <w:t>HS)</w:t>
      </w:r>
    </w:p>
    <w:p w14:paraId="124084E8" w14:textId="77777777" w:rsidR="005A2E9F" w:rsidRPr="002D0790" w:rsidRDefault="005A2E9F" w:rsidP="00776A84">
      <w:pPr>
        <w:keepNext/>
        <w:rPr>
          <w:sz w:val="22"/>
          <w:szCs w:val="22"/>
          <w:u w:val="single"/>
        </w:rPr>
      </w:pPr>
    </w:p>
    <w:p w14:paraId="50376610" w14:textId="77777777" w:rsidR="005A2E9F" w:rsidRPr="009C5EFD" w:rsidRDefault="00E453CD" w:rsidP="009C5EFD">
      <w:pPr>
        <w:rPr>
          <w:sz w:val="22"/>
          <w:szCs w:val="22"/>
        </w:rPr>
      </w:pPr>
      <w:r w:rsidRPr="00E14E58">
        <w:rPr>
          <w:sz w:val="22"/>
          <w:szCs w:val="22"/>
        </w:rPr>
        <w:t xml:space="preserve">Humira er indisert til behandling av aktiv moderat til alvorlig </w:t>
      </w:r>
      <w:r w:rsidR="007F67EE" w:rsidRPr="009C5EFD">
        <w:rPr>
          <w:sz w:val="22"/>
          <w:szCs w:val="22"/>
        </w:rPr>
        <w:t>hidrosadenitt</w:t>
      </w:r>
      <w:r w:rsidRPr="009C5EFD">
        <w:rPr>
          <w:sz w:val="22"/>
          <w:szCs w:val="22"/>
        </w:rPr>
        <w:t xml:space="preserve"> (svettekjertelbetennelse) hos voksne </w:t>
      </w:r>
      <w:r w:rsidR="00A1249D">
        <w:rPr>
          <w:sz w:val="22"/>
          <w:szCs w:val="22"/>
        </w:rPr>
        <w:t xml:space="preserve">og ungdom </w:t>
      </w:r>
      <w:r w:rsidR="002A2D0D">
        <w:rPr>
          <w:sz w:val="22"/>
          <w:szCs w:val="22"/>
        </w:rPr>
        <w:t>over</w:t>
      </w:r>
      <w:r w:rsidR="00A1249D">
        <w:rPr>
          <w:sz w:val="22"/>
          <w:szCs w:val="22"/>
        </w:rPr>
        <w:t xml:space="preserve"> 12 år,</w:t>
      </w:r>
      <w:r w:rsidRPr="009C5EFD">
        <w:rPr>
          <w:sz w:val="22"/>
          <w:szCs w:val="22"/>
        </w:rPr>
        <w:t xml:space="preserve"> som har respondert utilstrekkelig på konvensjonell systemisk behandling</w:t>
      </w:r>
      <w:r w:rsidR="00EA1E13" w:rsidRPr="009C5EFD">
        <w:rPr>
          <w:sz w:val="22"/>
          <w:szCs w:val="22"/>
        </w:rPr>
        <w:t xml:space="preserve"> av HS</w:t>
      </w:r>
      <w:r w:rsidR="00A1249D">
        <w:rPr>
          <w:sz w:val="22"/>
          <w:szCs w:val="22"/>
        </w:rPr>
        <w:t xml:space="preserve"> </w:t>
      </w:r>
      <w:r w:rsidR="00A1249D" w:rsidRPr="00297B8C">
        <w:rPr>
          <w:sz w:val="22"/>
          <w:szCs w:val="22"/>
        </w:rPr>
        <w:t>(se pkt. 5.1 og 5.2)</w:t>
      </w:r>
      <w:r w:rsidRPr="009C5EFD">
        <w:rPr>
          <w:sz w:val="22"/>
          <w:szCs w:val="22"/>
        </w:rPr>
        <w:t>.</w:t>
      </w:r>
    </w:p>
    <w:p w14:paraId="78534CF9" w14:textId="77777777" w:rsidR="001E500F" w:rsidRPr="009C5EFD" w:rsidRDefault="001E500F" w:rsidP="009C5EFD">
      <w:pPr>
        <w:rPr>
          <w:sz w:val="22"/>
          <w:szCs w:val="22"/>
          <w:u w:val="single"/>
        </w:rPr>
      </w:pPr>
    </w:p>
    <w:p w14:paraId="2EBCF281" w14:textId="77777777" w:rsidR="001E500F" w:rsidRPr="009C5EFD" w:rsidRDefault="00E453CD" w:rsidP="00776A84">
      <w:pPr>
        <w:keepNext/>
        <w:rPr>
          <w:sz w:val="22"/>
          <w:szCs w:val="22"/>
        </w:rPr>
      </w:pPr>
      <w:r w:rsidRPr="009C5EFD">
        <w:rPr>
          <w:sz w:val="22"/>
          <w:szCs w:val="22"/>
          <w:u w:val="single"/>
        </w:rPr>
        <w:t>Crohns sykdom</w:t>
      </w:r>
    </w:p>
    <w:p w14:paraId="21B0170E" w14:textId="77777777" w:rsidR="001E500F" w:rsidRPr="009C5EFD" w:rsidRDefault="001E500F" w:rsidP="00776A84">
      <w:pPr>
        <w:keepNext/>
        <w:rPr>
          <w:sz w:val="22"/>
          <w:szCs w:val="22"/>
        </w:rPr>
      </w:pPr>
    </w:p>
    <w:p w14:paraId="7B7145E8" w14:textId="77777777" w:rsidR="001E500F" w:rsidRPr="009C5EFD" w:rsidRDefault="00E453CD" w:rsidP="009C5EFD">
      <w:pPr>
        <w:rPr>
          <w:sz w:val="22"/>
          <w:szCs w:val="22"/>
        </w:rPr>
      </w:pPr>
      <w:r w:rsidRPr="009C5EFD">
        <w:rPr>
          <w:sz w:val="22"/>
          <w:szCs w:val="22"/>
        </w:rPr>
        <w:t>Humira er indisert til behandling av moderat til alvorlig aktiv Crohns sykdom hos voksne pasienter som ikke har respondert på en fullstendig og adekvat behandling med kortikosteroid og/eller immunsuppressivt legemiddel, eller som ikke tolererer eller har kontraindikasjoner mot slik behandling.</w:t>
      </w:r>
    </w:p>
    <w:p w14:paraId="4393BC9C" w14:textId="77777777" w:rsidR="001E500F" w:rsidRPr="009C5EFD" w:rsidRDefault="001E500F" w:rsidP="009C5EFD">
      <w:pPr>
        <w:rPr>
          <w:sz w:val="22"/>
          <w:szCs w:val="22"/>
        </w:rPr>
      </w:pPr>
    </w:p>
    <w:p w14:paraId="15B772BC" w14:textId="77777777" w:rsidR="001E500F" w:rsidRPr="009C5EFD" w:rsidRDefault="00E453CD" w:rsidP="00B07EA9">
      <w:pPr>
        <w:pStyle w:val="EMEANormal"/>
        <w:keepNext/>
        <w:rPr>
          <w:u w:val="single"/>
          <w:lang w:val="nb-NO"/>
        </w:rPr>
      </w:pPr>
      <w:r w:rsidRPr="009C5EFD">
        <w:rPr>
          <w:u w:val="single"/>
          <w:lang w:val="nb-NO"/>
        </w:rPr>
        <w:lastRenderedPageBreak/>
        <w:t>Pediatrisk Crohns sykdom</w:t>
      </w:r>
    </w:p>
    <w:p w14:paraId="39B94368" w14:textId="77777777" w:rsidR="001E500F" w:rsidRPr="009C5EFD" w:rsidRDefault="001E500F" w:rsidP="00B07EA9">
      <w:pPr>
        <w:pStyle w:val="EMEANormal"/>
        <w:keepNext/>
        <w:rPr>
          <w:u w:val="single"/>
          <w:lang w:val="nb-NO"/>
        </w:rPr>
      </w:pPr>
    </w:p>
    <w:p w14:paraId="135BAD99" w14:textId="77777777" w:rsidR="001E500F" w:rsidRPr="009C5EFD" w:rsidRDefault="00E453CD" w:rsidP="009C5EFD">
      <w:pPr>
        <w:rPr>
          <w:sz w:val="22"/>
          <w:szCs w:val="22"/>
        </w:rPr>
      </w:pPr>
      <w:r w:rsidRPr="009C5EFD">
        <w:rPr>
          <w:sz w:val="22"/>
          <w:szCs w:val="22"/>
        </w:rPr>
        <w:t xml:space="preserve">Humira er indisert til behandling av </w:t>
      </w:r>
      <w:r w:rsidR="006076F2">
        <w:rPr>
          <w:sz w:val="22"/>
          <w:szCs w:val="22"/>
        </w:rPr>
        <w:t xml:space="preserve">moderat til </w:t>
      </w:r>
      <w:r w:rsidRPr="009C5EFD">
        <w:rPr>
          <w:sz w:val="22"/>
          <w:szCs w:val="22"/>
        </w:rPr>
        <w:t>alvorlig aktiv Crohns sykdom hos pediatriske pasienter (</w:t>
      </w:r>
      <w:r w:rsidR="002A2D0D">
        <w:rPr>
          <w:sz w:val="22"/>
          <w:szCs w:val="22"/>
        </w:rPr>
        <w:t>over</w:t>
      </w:r>
      <w:r w:rsidRPr="009C5EFD">
        <w:rPr>
          <w:sz w:val="22"/>
          <w:szCs w:val="22"/>
        </w:rPr>
        <w:t xml:space="preserve"> 6 år), som har respondert utilstrekkelig på </w:t>
      </w:r>
      <w:r w:rsidR="007A1E0A">
        <w:rPr>
          <w:sz w:val="22"/>
          <w:szCs w:val="22"/>
        </w:rPr>
        <w:t>konvensjonell behandling</w:t>
      </w:r>
      <w:r w:rsidRPr="009C5EFD">
        <w:rPr>
          <w:sz w:val="22"/>
          <w:szCs w:val="22"/>
        </w:rPr>
        <w:t xml:space="preserve"> inkludert primær ernæringsterapi </w:t>
      </w:r>
      <w:r w:rsidR="001440C4">
        <w:rPr>
          <w:sz w:val="22"/>
          <w:szCs w:val="22"/>
        </w:rPr>
        <w:t xml:space="preserve">og </w:t>
      </w:r>
      <w:r w:rsidRPr="009C5EFD">
        <w:rPr>
          <w:sz w:val="22"/>
          <w:szCs w:val="22"/>
        </w:rPr>
        <w:t>et kortikosteroid og</w:t>
      </w:r>
      <w:r w:rsidR="006076F2">
        <w:rPr>
          <w:sz w:val="22"/>
          <w:szCs w:val="22"/>
        </w:rPr>
        <w:t>/eller</w:t>
      </w:r>
      <w:r w:rsidRPr="009C5EFD">
        <w:rPr>
          <w:sz w:val="22"/>
          <w:szCs w:val="22"/>
        </w:rPr>
        <w:t xml:space="preserve"> et immunmodulerende legemiddel, eller som ikke tolererer eller har kontraindikasjoner mot slike behandlinger.</w:t>
      </w:r>
    </w:p>
    <w:p w14:paraId="3F1F7EA1" w14:textId="77777777" w:rsidR="001E500F" w:rsidRPr="009C5EFD" w:rsidRDefault="001E500F" w:rsidP="009C5EFD">
      <w:pPr>
        <w:rPr>
          <w:sz w:val="22"/>
          <w:szCs w:val="22"/>
        </w:rPr>
      </w:pPr>
    </w:p>
    <w:p w14:paraId="3649BB3C" w14:textId="77777777" w:rsidR="001E500F" w:rsidRPr="009C5EFD" w:rsidRDefault="00E453CD" w:rsidP="00776A84">
      <w:pPr>
        <w:keepNext/>
        <w:rPr>
          <w:sz w:val="22"/>
          <w:szCs w:val="22"/>
          <w:u w:val="single"/>
        </w:rPr>
      </w:pPr>
      <w:r w:rsidRPr="009C5EFD">
        <w:rPr>
          <w:sz w:val="22"/>
          <w:szCs w:val="22"/>
          <w:u w:val="single"/>
        </w:rPr>
        <w:t>Ulcerøs kolitt</w:t>
      </w:r>
    </w:p>
    <w:p w14:paraId="45A0B0FB" w14:textId="77777777" w:rsidR="001E500F" w:rsidRPr="009C5EFD" w:rsidRDefault="001E500F" w:rsidP="00776A84">
      <w:pPr>
        <w:keepNext/>
        <w:rPr>
          <w:sz w:val="22"/>
          <w:szCs w:val="22"/>
          <w:u w:val="single"/>
        </w:rPr>
      </w:pPr>
    </w:p>
    <w:p w14:paraId="40B27243" w14:textId="77777777" w:rsidR="001E500F" w:rsidRDefault="00E453CD" w:rsidP="009C5EFD">
      <w:pPr>
        <w:rPr>
          <w:sz w:val="22"/>
          <w:szCs w:val="22"/>
        </w:rPr>
      </w:pPr>
      <w:r w:rsidRPr="009C5EFD">
        <w:rPr>
          <w:sz w:val="22"/>
          <w:szCs w:val="22"/>
        </w:rPr>
        <w:t>Humira er indisert til behandling av moderat til alvorlig aktiv ulcerøs kolitt hos voksne pasienter som har hatt utilstrekkelig respons på konvensjonell behandling inklusive kortikosteroider og 6-merkaptopurin (6-MP) eller azatioprin (AZA), eller som ikke tolererer eller har kontraindikasjoner mot slike behandlinger.</w:t>
      </w:r>
    </w:p>
    <w:p w14:paraId="18D64F75" w14:textId="77777777" w:rsidR="002D40BF" w:rsidRDefault="002D40BF" w:rsidP="009C5EFD">
      <w:pPr>
        <w:rPr>
          <w:sz w:val="22"/>
          <w:szCs w:val="22"/>
        </w:rPr>
      </w:pPr>
    </w:p>
    <w:p w14:paraId="70B2EA2E" w14:textId="77777777" w:rsidR="002D40BF" w:rsidRPr="00E04B2A" w:rsidRDefault="00E453CD" w:rsidP="002D40BF">
      <w:pPr>
        <w:rPr>
          <w:sz w:val="22"/>
          <w:u w:val="single"/>
        </w:rPr>
      </w:pPr>
      <w:r w:rsidRPr="00E04B2A">
        <w:rPr>
          <w:sz w:val="22"/>
          <w:u w:val="single"/>
        </w:rPr>
        <w:t>Pediatrisk ulcerøs kolitt</w:t>
      </w:r>
    </w:p>
    <w:p w14:paraId="1ACEED23" w14:textId="77777777" w:rsidR="002D40BF" w:rsidRPr="00E04B2A" w:rsidRDefault="002D40BF" w:rsidP="002D40BF">
      <w:pPr>
        <w:rPr>
          <w:sz w:val="22"/>
        </w:rPr>
      </w:pPr>
    </w:p>
    <w:p w14:paraId="0F6C0619" w14:textId="77777777" w:rsidR="002D40BF" w:rsidRPr="002F0483" w:rsidRDefault="00E453CD" w:rsidP="009C5EFD">
      <w:pPr>
        <w:rPr>
          <w:sz w:val="22"/>
        </w:rPr>
      </w:pPr>
      <w:r w:rsidRPr="00E04B2A">
        <w:rPr>
          <w:sz w:val="22"/>
        </w:rPr>
        <w:t xml:space="preserve">Humira er indisert </w:t>
      </w:r>
      <w:r w:rsidR="004567EE">
        <w:rPr>
          <w:sz w:val="22"/>
        </w:rPr>
        <w:t>til</w:t>
      </w:r>
      <w:r w:rsidRPr="00E04B2A">
        <w:rPr>
          <w:sz w:val="22"/>
        </w:rPr>
        <w:t xml:space="preserve"> behandling av moderat til alvorlig aktiv ulcerøs kolitt hos </w:t>
      </w:r>
      <w:r w:rsidR="004567EE" w:rsidRPr="004567EE">
        <w:rPr>
          <w:sz w:val="22"/>
        </w:rPr>
        <w:t>pediatriske pasienter</w:t>
      </w:r>
      <w:r w:rsidRPr="00E04B2A">
        <w:rPr>
          <w:sz w:val="22"/>
        </w:rPr>
        <w:t xml:space="preserve"> (</w:t>
      </w:r>
      <w:r w:rsidR="004567EE">
        <w:rPr>
          <w:sz w:val="22"/>
        </w:rPr>
        <w:t>over</w:t>
      </w:r>
      <w:r w:rsidRPr="00E04B2A">
        <w:rPr>
          <w:sz w:val="22"/>
        </w:rPr>
        <w:t xml:space="preserve"> 6 år) som har </w:t>
      </w:r>
      <w:r w:rsidR="004567EE" w:rsidRPr="004567EE">
        <w:rPr>
          <w:sz w:val="22"/>
        </w:rPr>
        <w:t>respondert</w:t>
      </w:r>
      <w:r w:rsidRPr="00E04B2A">
        <w:rPr>
          <w:sz w:val="22"/>
        </w:rPr>
        <w:t xml:space="preserve"> utilstrekkelig på konvensjonell behandling inkludert kortikosteroider og/eller 6-merkaptopurin (6-MP) eller azatioprin (AZA), eller som </w:t>
      </w:r>
      <w:r w:rsidR="004567EE" w:rsidRPr="004567EE">
        <w:rPr>
          <w:sz w:val="22"/>
        </w:rPr>
        <w:t>ikke tolererer</w:t>
      </w:r>
      <w:r w:rsidRPr="00E04B2A">
        <w:rPr>
          <w:sz w:val="22"/>
        </w:rPr>
        <w:t xml:space="preserve"> eller har medisinske kontraindikasjoner </w:t>
      </w:r>
      <w:r w:rsidR="004567EE">
        <w:rPr>
          <w:sz w:val="22"/>
        </w:rPr>
        <w:t>mot</w:t>
      </w:r>
      <w:r w:rsidRPr="00E04B2A">
        <w:rPr>
          <w:sz w:val="22"/>
        </w:rPr>
        <w:t xml:space="preserve"> slike behandlinger.</w:t>
      </w:r>
    </w:p>
    <w:p w14:paraId="3E32B144" w14:textId="77777777" w:rsidR="00224390" w:rsidRDefault="00224390" w:rsidP="009C5EFD">
      <w:pPr>
        <w:rPr>
          <w:sz w:val="22"/>
          <w:szCs w:val="22"/>
        </w:rPr>
      </w:pPr>
    </w:p>
    <w:p w14:paraId="39C762C8" w14:textId="77777777" w:rsidR="00224390" w:rsidRDefault="00E453CD" w:rsidP="00776A84">
      <w:pPr>
        <w:keepNext/>
        <w:rPr>
          <w:sz w:val="22"/>
          <w:szCs w:val="22"/>
        </w:rPr>
      </w:pPr>
      <w:r w:rsidRPr="009C5EFD">
        <w:rPr>
          <w:sz w:val="22"/>
          <w:szCs w:val="22"/>
          <w:u w:val="single"/>
        </w:rPr>
        <w:t>U</w:t>
      </w:r>
      <w:r>
        <w:rPr>
          <w:sz w:val="22"/>
          <w:szCs w:val="22"/>
          <w:u w:val="single"/>
        </w:rPr>
        <w:t>veitt</w:t>
      </w:r>
    </w:p>
    <w:p w14:paraId="31256DC5" w14:textId="77777777" w:rsidR="00224390" w:rsidRDefault="00224390" w:rsidP="00776A84">
      <w:pPr>
        <w:keepNext/>
        <w:rPr>
          <w:sz w:val="22"/>
          <w:szCs w:val="22"/>
        </w:rPr>
      </w:pPr>
    </w:p>
    <w:p w14:paraId="03F0F39D" w14:textId="77777777" w:rsidR="00224390" w:rsidRDefault="00E453CD" w:rsidP="00224390">
      <w:pPr>
        <w:rPr>
          <w:sz w:val="22"/>
          <w:szCs w:val="22"/>
        </w:rPr>
      </w:pPr>
      <w:r>
        <w:rPr>
          <w:sz w:val="22"/>
          <w:szCs w:val="22"/>
        </w:rPr>
        <w:t xml:space="preserve">Humira er indisert til behandling av ikke-infeksiøs intermediær, posterior og panuveitt hos voksne pasienter som har utilstrekkelig respons </w:t>
      </w:r>
      <w:r w:rsidR="0014274C">
        <w:rPr>
          <w:sz w:val="22"/>
          <w:szCs w:val="22"/>
        </w:rPr>
        <w:t>på</w:t>
      </w:r>
      <w:r>
        <w:rPr>
          <w:sz w:val="22"/>
          <w:szCs w:val="22"/>
        </w:rPr>
        <w:t xml:space="preserve"> kortikosteroider, hos pasienter med behov for kortikosteroid-sparende midler eller hos pasienter der behandling med kortikosteroid </w:t>
      </w:r>
      <w:r w:rsidR="00AA30CD">
        <w:rPr>
          <w:sz w:val="22"/>
          <w:szCs w:val="22"/>
        </w:rPr>
        <w:t xml:space="preserve">ikke </w:t>
      </w:r>
      <w:r>
        <w:rPr>
          <w:sz w:val="22"/>
          <w:szCs w:val="22"/>
        </w:rPr>
        <w:t xml:space="preserve">er </w:t>
      </w:r>
      <w:r w:rsidR="00AA30CD">
        <w:rPr>
          <w:sz w:val="22"/>
          <w:szCs w:val="22"/>
        </w:rPr>
        <w:t>egnet</w:t>
      </w:r>
      <w:r>
        <w:rPr>
          <w:sz w:val="22"/>
          <w:szCs w:val="22"/>
        </w:rPr>
        <w:t>.</w:t>
      </w:r>
    </w:p>
    <w:p w14:paraId="4DBE87BB" w14:textId="77777777" w:rsidR="00695E95" w:rsidRDefault="00695E95" w:rsidP="00224390">
      <w:pPr>
        <w:rPr>
          <w:sz w:val="22"/>
          <w:szCs w:val="22"/>
        </w:rPr>
      </w:pPr>
    </w:p>
    <w:p w14:paraId="2169E588" w14:textId="77777777" w:rsidR="00695E95" w:rsidRDefault="00E453CD" w:rsidP="00695E95">
      <w:pPr>
        <w:pStyle w:val="EMEANormal"/>
        <w:keepNext/>
        <w:rPr>
          <w:szCs w:val="22"/>
          <w:u w:val="single"/>
          <w:lang w:val="nb-NO"/>
        </w:rPr>
      </w:pPr>
      <w:r>
        <w:rPr>
          <w:szCs w:val="22"/>
          <w:u w:val="single"/>
          <w:lang w:val="nb-NO"/>
        </w:rPr>
        <w:t>Pediatrisk uveitt</w:t>
      </w:r>
    </w:p>
    <w:p w14:paraId="769748A7" w14:textId="77777777" w:rsidR="00695E95" w:rsidRDefault="00695E95" w:rsidP="00695E95">
      <w:pPr>
        <w:pStyle w:val="EMEANormal"/>
        <w:keepNext/>
        <w:rPr>
          <w:u w:val="single"/>
          <w:lang w:val="nb-NO"/>
        </w:rPr>
      </w:pPr>
    </w:p>
    <w:p w14:paraId="24CB1BFE" w14:textId="77777777" w:rsidR="00695E95" w:rsidRPr="00C602BE" w:rsidRDefault="00E453CD" w:rsidP="00776A84">
      <w:pPr>
        <w:pStyle w:val="EMEANormal"/>
        <w:rPr>
          <w:lang w:val="nb-NO"/>
        </w:rPr>
      </w:pPr>
      <w:r>
        <w:rPr>
          <w:lang w:val="nb-NO"/>
        </w:rPr>
        <w:t xml:space="preserve">Humira er indisert til behandling av pediatrisk kronisk ikke-infeksiøs fremre uveitt hos pasienter </w:t>
      </w:r>
      <w:r w:rsidR="002A2D0D">
        <w:rPr>
          <w:lang w:val="nb-NO"/>
        </w:rPr>
        <w:t>over</w:t>
      </w:r>
      <w:r>
        <w:rPr>
          <w:lang w:val="nb-NO"/>
        </w:rPr>
        <w:t xml:space="preserve"> 2 år, som har respondert utilstrekkelig på eller er intolerante overfor konvensjonell behandling, eller der konvensjonell behandling ikke er hensiktsmessig.</w:t>
      </w:r>
    </w:p>
    <w:p w14:paraId="1EFD935A" w14:textId="77777777" w:rsidR="001E500F" w:rsidRPr="009C5EFD" w:rsidRDefault="001E500F" w:rsidP="009C5EFD">
      <w:pPr>
        <w:rPr>
          <w:sz w:val="22"/>
          <w:szCs w:val="22"/>
        </w:rPr>
      </w:pPr>
    </w:p>
    <w:p w14:paraId="010AA064" w14:textId="77777777" w:rsidR="001E500F" w:rsidRPr="009C5EFD" w:rsidRDefault="00E453CD" w:rsidP="00776A84">
      <w:pPr>
        <w:keepNext/>
        <w:tabs>
          <w:tab w:val="left" w:pos="567"/>
        </w:tabs>
        <w:ind w:left="567" w:hanging="567"/>
        <w:rPr>
          <w:b/>
          <w:sz w:val="22"/>
          <w:szCs w:val="22"/>
        </w:rPr>
      </w:pPr>
      <w:r w:rsidRPr="009C5EFD">
        <w:rPr>
          <w:b/>
          <w:sz w:val="22"/>
          <w:szCs w:val="22"/>
        </w:rPr>
        <w:t>4.2</w:t>
      </w:r>
      <w:r w:rsidR="00EC18E3">
        <w:rPr>
          <w:b/>
          <w:sz w:val="22"/>
          <w:szCs w:val="22"/>
        </w:rPr>
        <w:tab/>
      </w:r>
      <w:r w:rsidRPr="009C5EFD">
        <w:rPr>
          <w:b/>
          <w:sz w:val="22"/>
          <w:szCs w:val="22"/>
        </w:rPr>
        <w:t>Dosering og administrasjonsmåte</w:t>
      </w:r>
    </w:p>
    <w:p w14:paraId="0FB7D4C1" w14:textId="77777777" w:rsidR="001E500F" w:rsidRPr="009C5EFD" w:rsidRDefault="001E500F" w:rsidP="00776A84">
      <w:pPr>
        <w:pStyle w:val="EndnoteText"/>
        <w:keepNext/>
        <w:tabs>
          <w:tab w:val="clear" w:pos="567"/>
          <w:tab w:val="left" w:pos="708"/>
        </w:tabs>
        <w:rPr>
          <w:szCs w:val="22"/>
          <w:lang w:val="nb-NO"/>
        </w:rPr>
      </w:pPr>
    </w:p>
    <w:p w14:paraId="1A699AFA" w14:textId="77777777" w:rsidR="001E500F" w:rsidRPr="009C5EFD" w:rsidRDefault="00E453CD" w:rsidP="009C5EFD">
      <w:pPr>
        <w:pStyle w:val="EndnoteText"/>
        <w:tabs>
          <w:tab w:val="clear" w:pos="567"/>
          <w:tab w:val="left" w:pos="708"/>
        </w:tabs>
        <w:rPr>
          <w:szCs w:val="22"/>
          <w:lang w:val="nb-NO"/>
        </w:rPr>
      </w:pPr>
      <w:r w:rsidRPr="009C5EFD">
        <w:rPr>
          <w:szCs w:val="22"/>
          <w:lang w:val="nb-NO"/>
        </w:rPr>
        <w:t xml:space="preserve">Behandling med Humira bør startes opp og overvåkes av spesialistlege med erfaring i diagnostikk og behandling av tilstander der Humira er indisert. </w:t>
      </w:r>
      <w:r w:rsidR="00956F91">
        <w:rPr>
          <w:szCs w:val="22"/>
          <w:lang w:val="nb-NO"/>
        </w:rPr>
        <w:t>Ofta</w:t>
      </w:r>
      <w:r w:rsidR="00097E59">
        <w:rPr>
          <w:szCs w:val="22"/>
          <w:lang w:val="nb-NO"/>
        </w:rPr>
        <w:t>l</w:t>
      </w:r>
      <w:r w:rsidR="00956F91">
        <w:rPr>
          <w:szCs w:val="22"/>
          <w:lang w:val="nb-NO"/>
        </w:rPr>
        <w:t xml:space="preserve">mologer rådes til å konsultere en </w:t>
      </w:r>
      <w:r w:rsidR="00097E59">
        <w:rPr>
          <w:szCs w:val="22"/>
          <w:lang w:val="nb-NO"/>
        </w:rPr>
        <w:t xml:space="preserve">passende </w:t>
      </w:r>
      <w:r w:rsidR="00956F91">
        <w:rPr>
          <w:szCs w:val="22"/>
          <w:lang w:val="nb-NO"/>
        </w:rPr>
        <w:t xml:space="preserve">spesialist før oppstart av behandling med Humira (se pkt. 4.4). </w:t>
      </w:r>
      <w:r w:rsidRPr="009C5EFD">
        <w:rPr>
          <w:szCs w:val="22"/>
          <w:lang w:val="nb-NO"/>
        </w:rPr>
        <w:t xml:space="preserve">Pasienter som behandles med Humira </w:t>
      </w:r>
      <w:r w:rsidRPr="009C5EFD">
        <w:rPr>
          <w:color w:val="000000"/>
          <w:szCs w:val="22"/>
          <w:lang w:val="nb-NO"/>
        </w:rPr>
        <w:t>bør gis</w:t>
      </w:r>
      <w:r w:rsidRPr="009C5EFD">
        <w:rPr>
          <w:szCs w:val="22"/>
          <w:lang w:val="nb-NO"/>
        </w:rPr>
        <w:t xml:space="preserve"> et pasientkort med sikkerhetsinformasjon.</w:t>
      </w:r>
    </w:p>
    <w:p w14:paraId="606B23E6" w14:textId="77777777" w:rsidR="001E500F" w:rsidRPr="009C5EFD" w:rsidRDefault="001E500F" w:rsidP="009C5EFD">
      <w:pPr>
        <w:pStyle w:val="EndnoteText"/>
        <w:tabs>
          <w:tab w:val="clear" w:pos="567"/>
          <w:tab w:val="left" w:pos="708"/>
        </w:tabs>
        <w:rPr>
          <w:szCs w:val="22"/>
          <w:lang w:val="nb-NO"/>
        </w:rPr>
      </w:pPr>
    </w:p>
    <w:p w14:paraId="094D2429" w14:textId="77777777" w:rsidR="001E500F" w:rsidRPr="009C5EFD" w:rsidRDefault="00E453CD" w:rsidP="009C5EFD">
      <w:pPr>
        <w:rPr>
          <w:sz w:val="22"/>
          <w:szCs w:val="22"/>
        </w:rPr>
      </w:pPr>
      <w:r w:rsidRPr="009C5EFD">
        <w:rPr>
          <w:sz w:val="22"/>
          <w:szCs w:val="22"/>
        </w:rPr>
        <w:t>Etter opplæring i injeksjonsteknikk kan pasientene selv injisere Humira dersom legen mener det er forsvarlig, og med den nødvendige medisinske oppfølging.</w:t>
      </w:r>
    </w:p>
    <w:p w14:paraId="6F70DC68" w14:textId="77777777" w:rsidR="001E500F" w:rsidRPr="009C5EFD" w:rsidRDefault="001E500F" w:rsidP="009C5EFD">
      <w:pPr>
        <w:rPr>
          <w:sz w:val="22"/>
          <w:szCs w:val="22"/>
        </w:rPr>
      </w:pPr>
    </w:p>
    <w:p w14:paraId="57C485BB" w14:textId="77777777" w:rsidR="001E500F" w:rsidRPr="009C5EFD" w:rsidRDefault="00E453CD" w:rsidP="009C5EFD">
      <w:pPr>
        <w:rPr>
          <w:sz w:val="22"/>
          <w:szCs w:val="22"/>
        </w:rPr>
      </w:pPr>
      <w:r w:rsidRPr="009C5EFD">
        <w:rPr>
          <w:sz w:val="22"/>
          <w:szCs w:val="22"/>
        </w:rPr>
        <w:t>Under behandling med Humira bør annen samtidig terapi (f.eks. kortikosteroider og/eller immunmodulerende midler) være optimalisert.</w:t>
      </w:r>
    </w:p>
    <w:p w14:paraId="294B2BD4" w14:textId="77777777" w:rsidR="001E500F" w:rsidRPr="009C5EFD" w:rsidRDefault="001E500F" w:rsidP="009C5EFD">
      <w:pPr>
        <w:rPr>
          <w:sz w:val="22"/>
          <w:szCs w:val="22"/>
        </w:rPr>
      </w:pPr>
    </w:p>
    <w:p w14:paraId="43DD3623" w14:textId="77777777" w:rsidR="001E500F" w:rsidRPr="009C5EFD" w:rsidRDefault="00E453CD" w:rsidP="00776A84">
      <w:pPr>
        <w:keepNext/>
        <w:rPr>
          <w:sz w:val="22"/>
          <w:szCs w:val="22"/>
          <w:u w:val="single"/>
        </w:rPr>
      </w:pPr>
      <w:r w:rsidRPr="009C5EFD">
        <w:rPr>
          <w:sz w:val="22"/>
          <w:szCs w:val="22"/>
          <w:u w:val="single"/>
        </w:rPr>
        <w:t>Dosering</w:t>
      </w:r>
    </w:p>
    <w:p w14:paraId="1872B98E" w14:textId="77777777" w:rsidR="001E500F" w:rsidRPr="009C5EFD" w:rsidRDefault="001E500F" w:rsidP="00776A84">
      <w:pPr>
        <w:keepNext/>
        <w:rPr>
          <w:sz w:val="22"/>
          <w:szCs w:val="22"/>
        </w:rPr>
      </w:pPr>
    </w:p>
    <w:p w14:paraId="04453217" w14:textId="77777777" w:rsidR="001E500F" w:rsidRPr="009C5EFD" w:rsidRDefault="00E453CD" w:rsidP="00776A84">
      <w:pPr>
        <w:keepNext/>
        <w:rPr>
          <w:i/>
          <w:sz w:val="22"/>
          <w:szCs w:val="22"/>
        </w:rPr>
      </w:pPr>
      <w:r w:rsidRPr="009C5EFD">
        <w:rPr>
          <w:i/>
          <w:sz w:val="22"/>
          <w:szCs w:val="22"/>
        </w:rPr>
        <w:t>Revmatoid artritt</w:t>
      </w:r>
    </w:p>
    <w:p w14:paraId="6D9F43FD" w14:textId="77777777" w:rsidR="001E500F" w:rsidRPr="009C5EFD" w:rsidRDefault="001E500F" w:rsidP="00776A84">
      <w:pPr>
        <w:keepNext/>
        <w:rPr>
          <w:sz w:val="22"/>
          <w:szCs w:val="22"/>
        </w:rPr>
      </w:pPr>
    </w:p>
    <w:p w14:paraId="1200447D" w14:textId="77777777" w:rsidR="001E500F" w:rsidRPr="009C5EFD" w:rsidRDefault="00E453CD" w:rsidP="009C5EFD">
      <w:pPr>
        <w:rPr>
          <w:sz w:val="22"/>
          <w:szCs w:val="22"/>
        </w:rPr>
      </w:pPr>
      <w:r w:rsidRPr="009C5EFD">
        <w:rPr>
          <w:sz w:val="22"/>
          <w:szCs w:val="22"/>
        </w:rPr>
        <w:t>Anbefalt dose av Humira til voksne pasienter med revmatoid artritt er en enkeltdose 40</w:t>
      </w:r>
      <w:r w:rsidR="002C636E" w:rsidRPr="009C5EFD">
        <w:rPr>
          <w:sz w:val="22"/>
          <w:szCs w:val="22"/>
        </w:rPr>
        <w:t> </w:t>
      </w:r>
      <w:r w:rsidRPr="009C5EFD">
        <w:rPr>
          <w:sz w:val="22"/>
          <w:szCs w:val="22"/>
        </w:rPr>
        <w:t>mg adalimumab gitt som subkutan injeksjon annen</w:t>
      </w:r>
      <w:r w:rsidR="005D10BA">
        <w:rPr>
          <w:sz w:val="22"/>
          <w:szCs w:val="22"/>
        </w:rPr>
        <w:t>hver</w:t>
      </w:r>
      <w:r w:rsidRPr="009C5EFD">
        <w:rPr>
          <w:sz w:val="22"/>
          <w:szCs w:val="22"/>
        </w:rPr>
        <w:t xml:space="preserve"> uke. Det bør fortsettes med metotreksat under behandling med Humira.</w:t>
      </w:r>
    </w:p>
    <w:p w14:paraId="2F502164" w14:textId="77777777" w:rsidR="001E500F" w:rsidRPr="009C5EFD" w:rsidRDefault="001E500F" w:rsidP="009C5EFD">
      <w:pPr>
        <w:rPr>
          <w:sz w:val="22"/>
          <w:szCs w:val="22"/>
        </w:rPr>
      </w:pPr>
    </w:p>
    <w:p w14:paraId="301DB2B9" w14:textId="77777777" w:rsidR="001E500F" w:rsidRPr="009C5EFD" w:rsidRDefault="00E453CD" w:rsidP="009C5EFD">
      <w:pPr>
        <w:rPr>
          <w:sz w:val="22"/>
          <w:szCs w:val="22"/>
        </w:rPr>
      </w:pPr>
      <w:r w:rsidRPr="009C5EFD">
        <w:rPr>
          <w:sz w:val="22"/>
          <w:szCs w:val="22"/>
        </w:rPr>
        <w:t>Glukokortikoider, salisylater, ikke-steroide antiinflammatoriske midler eller smertestillende midler kan fortsatt gis under behandling med Humira. Når det gjelder kombinasjon med andre sykdomsmodifiserende legemidler enn metotreksat se pkt. 4.4 og 5.1.</w:t>
      </w:r>
    </w:p>
    <w:p w14:paraId="7E5E424A" w14:textId="77777777" w:rsidR="001E500F" w:rsidRPr="009C5EFD" w:rsidRDefault="001E500F" w:rsidP="009C5EFD">
      <w:pPr>
        <w:pStyle w:val="EndnoteText"/>
        <w:widowControl/>
        <w:tabs>
          <w:tab w:val="clear" w:pos="567"/>
          <w:tab w:val="left" w:pos="708"/>
        </w:tabs>
        <w:rPr>
          <w:szCs w:val="22"/>
          <w:lang w:val="nb-NO"/>
        </w:rPr>
      </w:pPr>
    </w:p>
    <w:p w14:paraId="0121FDFC" w14:textId="77777777" w:rsidR="001E500F" w:rsidRDefault="00E453CD" w:rsidP="009C5EFD">
      <w:pPr>
        <w:rPr>
          <w:sz w:val="22"/>
          <w:szCs w:val="22"/>
        </w:rPr>
      </w:pPr>
      <w:r>
        <w:rPr>
          <w:sz w:val="22"/>
          <w:szCs w:val="22"/>
        </w:rPr>
        <w:t>Ved</w:t>
      </w:r>
      <w:r w:rsidRPr="009C5EFD">
        <w:rPr>
          <w:sz w:val="22"/>
          <w:szCs w:val="22"/>
        </w:rPr>
        <w:t xml:space="preserve"> monoterapi, kan noen pasienter som </w:t>
      </w:r>
      <w:r w:rsidRPr="009C5EFD">
        <w:rPr>
          <w:color w:val="000000"/>
          <w:sz w:val="22"/>
          <w:szCs w:val="22"/>
        </w:rPr>
        <w:t>opplever en reduksjon i</w:t>
      </w:r>
      <w:r w:rsidRPr="009C5EFD">
        <w:rPr>
          <w:sz w:val="22"/>
          <w:szCs w:val="22"/>
        </w:rPr>
        <w:t xml:space="preserve"> respons på Humira </w:t>
      </w:r>
      <w:r w:rsidR="00D115E8">
        <w:rPr>
          <w:sz w:val="22"/>
          <w:szCs w:val="22"/>
        </w:rPr>
        <w:t>40</w:t>
      </w:r>
      <w:r w:rsidR="001A350B">
        <w:rPr>
          <w:sz w:val="22"/>
          <w:szCs w:val="22"/>
        </w:rPr>
        <w:t> </w:t>
      </w:r>
      <w:r w:rsidR="00D115E8">
        <w:rPr>
          <w:sz w:val="22"/>
          <w:szCs w:val="22"/>
        </w:rPr>
        <w:t xml:space="preserve">mg annenhver uke </w:t>
      </w:r>
      <w:r w:rsidRPr="009C5EFD">
        <w:rPr>
          <w:sz w:val="22"/>
          <w:szCs w:val="22"/>
        </w:rPr>
        <w:t>ha nytte av en økning i dose</w:t>
      </w:r>
      <w:r w:rsidR="00D115E8">
        <w:rPr>
          <w:sz w:val="22"/>
          <w:szCs w:val="22"/>
        </w:rPr>
        <w:t>ring</w:t>
      </w:r>
      <w:r w:rsidRPr="009C5EFD">
        <w:rPr>
          <w:sz w:val="22"/>
          <w:szCs w:val="22"/>
        </w:rPr>
        <w:t xml:space="preserve"> til 40</w:t>
      </w:r>
      <w:r w:rsidR="002C636E" w:rsidRPr="009C5EFD">
        <w:rPr>
          <w:sz w:val="22"/>
          <w:szCs w:val="22"/>
        </w:rPr>
        <w:t> </w:t>
      </w:r>
      <w:r w:rsidRPr="009C5EFD">
        <w:rPr>
          <w:sz w:val="22"/>
          <w:szCs w:val="22"/>
        </w:rPr>
        <w:t>mg adalimumab hver uke</w:t>
      </w:r>
      <w:r w:rsidR="00D115E8">
        <w:rPr>
          <w:sz w:val="22"/>
          <w:szCs w:val="22"/>
        </w:rPr>
        <w:t xml:space="preserve"> eller 80</w:t>
      </w:r>
      <w:r w:rsidR="001A350B">
        <w:rPr>
          <w:sz w:val="22"/>
          <w:szCs w:val="22"/>
        </w:rPr>
        <w:t> </w:t>
      </w:r>
      <w:r w:rsidR="00D115E8">
        <w:rPr>
          <w:sz w:val="22"/>
          <w:szCs w:val="22"/>
        </w:rPr>
        <w:t>mg annenhver uke</w:t>
      </w:r>
      <w:r w:rsidRPr="009C5EFD">
        <w:rPr>
          <w:sz w:val="22"/>
          <w:szCs w:val="22"/>
        </w:rPr>
        <w:t>.</w:t>
      </w:r>
    </w:p>
    <w:p w14:paraId="10194BA5" w14:textId="77777777" w:rsidR="00DE6B0D" w:rsidRDefault="00DE6B0D" w:rsidP="009C5EFD">
      <w:pPr>
        <w:rPr>
          <w:sz w:val="22"/>
          <w:szCs w:val="22"/>
        </w:rPr>
      </w:pPr>
    </w:p>
    <w:p w14:paraId="3577BB08" w14:textId="77777777" w:rsidR="00DE6B0D" w:rsidRDefault="00E453CD" w:rsidP="009C5EFD">
      <w:pPr>
        <w:rPr>
          <w:sz w:val="22"/>
          <w:szCs w:val="22"/>
        </w:rPr>
      </w:pPr>
      <w:r w:rsidRPr="009C5EFD">
        <w:rPr>
          <w:sz w:val="22"/>
          <w:szCs w:val="22"/>
        </w:rPr>
        <w:t xml:space="preserve">Tilgjengelig data </w:t>
      </w:r>
      <w:r w:rsidR="00B061AD">
        <w:rPr>
          <w:sz w:val="22"/>
          <w:szCs w:val="22"/>
        </w:rPr>
        <w:t>an</w:t>
      </w:r>
      <w:r w:rsidRPr="009C5EFD">
        <w:rPr>
          <w:sz w:val="22"/>
          <w:szCs w:val="22"/>
        </w:rPr>
        <w:t xml:space="preserve">tyder at klinisk respons vanligvis oppnås innen </w:t>
      </w:r>
      <w:r>
        <w:rPr>
          <w:sz w:val="22"/>
          <w:szCs w:val="22"/>
        </w:rPr>
        <w:t>12</w:t>
      </w:r>
      <w:r w:rsidRPr="009C5EFD">
        <w:rPr>
          <w:sz w:val="22"/>
          <w:szCs w:val="22"/>
        </w:rPr>
        <w:t xml:space="preserve"> ukers behandling. </w:t>
      </w:r>
      <w:r w:rsidR="00261501">
        <w:rPr>
          <w:sz w:val="22"/>
          <w:szCs w:val="22"/>
        </w:rPr>
        <w:t>Videre b</w:t>
      </w:r>
      <w:r w:rsidR="00261501" w:rsidRPr="009C5EFD">
        <w:rPr>
          <w:sz w:val="22"/>
          <w:szCs w:val="22"/>
        </w:rPr>
        <w:t xml:space="preserve">ehandling </w:t>
      </w:r>
      <w:r w:rsidR="00261501">
        <w:rPr>
          <w:sz w:val="22"/>
          <w:szCs w:val="22"/>
        </w:rPr>
        <w:t>av</w:t>
      </w:r>
      <w:r w:rsidR="00261501" w:rsidRPr="009C5EFD">
        <w:rPr>
          <w:sz w:val="22"/>
          <w:szCs w:val="22"/>
        </w:rPr>
        <w:t xml:space="preserve"> </w:t>
      </w:r>
      <w:r w:rsidR="00261501">
        <w:rPr>
          <w:sz w:val="22"/>
          <w:szCs w:val="22"/>
        </w:rPr>
        <w:t xml:space="preserve">en </w:t>
      </w:r>
      <w:r w:rsidR="00261501" w:rsidRPr="009C5EFD">
        <w:rPr>
          <w:sz w:val="22"/>
          <w:szCs w:val="22"/>
        </w:rPr>
        <w:t xml:space="preserve">pasient som ikke </w:t>
      </w:r>
      <w:r w:rsidR="00261501">
        <w:rPr>
          <w:sz w:val="22"/>
          <w:szCs w:val="22"/>
        </w:rPr>
        <w:t xml:space="preserve">har </w:t>
      </w:r>
      <w:r w:rsidR="00261501" w:rsidRPr="009C5EFD">
        <w:rPr>
          <w:sz w:val="22"/>
          <w:szCs w:val="22"/>
        </w:rPr>
        <w:t>re</w:t>
      </w:r>
      <w:r w:rsidR="00261501">
        <w:rPr>
          <w:sz w:val="22"/>
          <w:szCs w:val="22"/>
        </w:rPr>
        <w:t>spondert</w:t>
      </w:r>
      <w:r w:rsidR="00261501" w:rsidRPr="009C5EFD">
        <w:rPr>
          <w:sz w:val="22"/>
          <w:szCs w:val="22"/>
        </w:rPr>
        <w:t xml:space="preserve"> i</w:t>
      </w:r>
      <w:r w:rsidR="00261501">
        <w:rPr>
          <w:sz w:val="22"/>
          <w:szCs w:val="22"/>
        </w:rPr>
        <w:t>nnen denne perioden bør overveies</w:t>
      </w:r>
      <w:r w:rsidR="00261501" w:rsidRPr="009C5EFD">
        <w:rPr>
          <w:sz w:val="22"/>
          <w:szCs w:val="22"/>
        </w:rPr>
        <w:t>.</w:t>
      </w:r>
    </w:p>
    <w:p w14:paraId="4D4EE8D3" w14:textId="77777777" w:rsidR="00D115E8" w:rsidRDefault="00D115E8" w:rsidP="009C5EFD">
      <w:pPr>
        <w:rPr>
          <w:sz w:val="22"/>
          <w:szCs w:val="22"/>
        </w:rPr>
      </w:pPr>
    </w:p>
    <w:p w14:paraId="6746D0C0" w14:textId="77777777" w:rsidR="00D115E8" w:rsidRPr="009C5EFD" w:rsidRDefault="00E453CD" w:rsidP="009C5EFD">
      <w:pPr>
        <w:rPr>
          <w:sz w:val="22"/>
          <w:szCs w:val="22"/>
        </w:rPr>
      </w:pPr>
      <w:r w:rsidRPr="00D115E8">
        <w:rPr>
          <w:sz w:val="22"/>
          <w:szCs w:val="22"/>
        </w:rPr>
        <w:t>Humira kan være tilgjengelig i andre styrker og/eller formuleringer avhengig av individuelle behandlingsbehov.</w:t>
      </w:r>
    </w:p>
    <w:p w14:paraId="22C33762" w14:textId="77777777" w:rsidR="001E500F" w:rsidRPr="009C5EFD" w:rsidRDefault="001E500F" w:rsidP="009C5EFD">
      <w:pPr>
        <w:rPr>
          <w:sz w:val="22"/>
          <w:szCs w:val="22"/>
        </w:rPr>
      </w:pPr>
    </w:p>
    <w:p w14:paraId="36307814" w14:textId="77777777" w:rsidR="001E500F" w:rsidRPr="009C5EFD" w:rsidRDefault="00E453CD" w:rsidP="00AF70AD">
      <w:pPr>
        <w:keepNext/>
        <w:rPr>
          <w:i/>
          <w:sz w:val="22"/>
          <w:szCs w:val="22"/>
          <w:u w:val="single"/>
        </w:rPr>
      </w:pPr>
      <w:r w:rsidRPr="009C5EFD">
        <w:rPr>
          <w:i/>
          <w:sz w:val="22"/>
          <w:szCs w:val="22"/>
          <w:u w:val="single"/>
        </w:rPr>
        <w:t>Doseopphold</w:t>
      </w:r>
    </w:p>
    <w:p w14:paraId="7C7B6A0F" w14:textId="77777777" w:rsidR="001E500F" w:rsidRPr="009C5EFD" w:rsidRDefault="001E500F" w:rsidP="00AF70AD">
      <w:pPr>
        <w:keepNext/>
        <w:rPr>
          <w:sz w:val="22"/>
          <w:szCs w:val="22"/>
        </w:rPr>
      </w:pPr>
    </w:p>
    <w:p w14:paraId="25A0B6A4" w14:textId="77777777" w:rsidR="001E500F" w:rsidRPr="009C5EFD" w:rsidRDefault="00E453CD" w:rsidP="009C5EFD">
      <w:pPr>
        <w:rPr>
          <w:sz w:val="22"/>
          <w:szCs w:val="22"/>
        </w:rPr>
      </w:pPr>
      <w:r w:rsidRPr="009C5EFD">
        <w:rPr>
          <w:sz w:val="22"/>
          <w:szCs w:val="22"/>
        </w:rPr>
        <w:t>Et doseopphold kan være nødvendig, for eksempel før operasjon eller hvis alvorlige infeksjoner oppstår.</w:t>
      </w:r>
    </w:p>
    <w:p w14:paraId="218B685A" w14:textId="77777777" w:rsidR="001E500F" w:rsidRPr="009C5EFD" w:rsidRDefault="001E500F" w:rsidP="009C5EFD">
      <w:pPr>
        <w:rPr>
          <w:sz w:val="22"/>
          <w:szCs w:val="22"/>
        </w:rPr>
      </w:pPr>
    </w:p>
    <w:p w14:paraId="7C2F1610" w14:textId="77777777" w:rsidR="001E500F" w:rsidRPr="009C5EFD" w:rsidRDefault="00E453CD" w:rsidP="009C5EFD">
      <w:pPr>
        <w:rPr>
          <w:sz w:val="22"/>
          <w:szCs w:val="22"/>
        </w:rPr>
      </w:pPr>
      <w:r w:rsidRPr="009C5EFD">
        <w:rPr>
          <w:sz w:val="22"/>
          <w:szCs w:val="22"/>
        </w:rPr>
        <w:t xml:space="preserve">Tilgjengelig data </w:t>
      </w:r>
      <w:r w:rsidR="00755A7F">
        <w:rPr>
          <w:sz w:val="22"/>
          <w:szCs w:val="22"/>
        </w:rPr>
        <w:t>antyder</w:t>
      </w:r>
      <w:r w:rsidRPr="009C5EFD">
        <w:rPr>
          <w:sz w:val="22"/>
          <w:szCs w:val="22"/>
        </w:rPr>
        <w:t xml:space="preserve"> at </w:t>
      </w:r>
      <w:r w:rsidR="00B8124C">
        <w:rPr>
          <w:sz w:val="22"/>
          <w:szCs w:val="22"/>
        </w:rPr>
        <w:t>administrasjon</w:t>
      </w:r>
      <w:r w:rsidR="00BA554D">
        <w:rPr>
          <w:sz w:val="22"/>
          <w:szCs w:val="22"/>
        </w:rPr>
        <w:t xml:space="preserve"> på nytt</w:t>
      </w:r>
      <w:r w:rsidRPr="009C5EFD">
        <w:rPr>
          <w:sz w:val="22"/>
          <w:szCs w:val="22"/>
        </w:rPr>
        <w:t xml:space="preserve"> med Humira etter et opphold på 70</w:t>
      </w:r>
      <w:r w:rsidR="002C636E" w:rsidRPr="009C5EFD">
        <w:rPr>
          <w:sz w:val="22"/>
          <w:szCs w:val="22"/>
        </w:rPr>
        <w:t> </w:t>
      </w:r>
      <w:r w:rsidRPr="009C5EFD">
        <w:rPr>
          <w:sz w:val="22"/>
          <w:szCs w:val="22"/>
        </w:rPr>
        <w:t>dager eller lenger vil føre til samme klinisk respons og sikkerhetsprofil som før oppholdet.</w:t>
      </w:r>
    </w:p>
    <w:p w14:paraId="356E6E0E" w14:textId="77777777" w:rsidR="001E500F" w:rsidRPr="009C5EFD" w:rsidRDefault="001E500F" w:rsidP="009C5EFD">
      <w:pPr>
        <w:rPr>
          <w:sz w:val="22"/>
          <w:szCs w:val="22"/>
        </w:rPr>
      </w:pPr>
    </w:p>
    <w:p w14:paraId="6880EDDE" w14:textId="77777777" w:rsidR="001E500F" w:rsidRPr="009C5EFD" w:rsidRDefault="00E453CD" w:rsidP="00E55CCA">
      <w:pPr>
        <w:keepNext/>
        <w:rPr>
          <w:i/>
          <w:sz w:val="22"/>
          <w:szCs w:val="22"/>
        </w:rPr>
      </w:pPr>
      <w:r w:rsidRPr="009C5EFD">
        <w:rPr>
          <w:i/>
          <w:sz w:val="22"/>
          <w:szCs w:val="22"/>
        </w:rPr>
        <w:t>Bekhterevs sykdom (ankyloserende spondylitt), aksial spondylartritt uten radiografisk bekreftelse på ankyloserende spondylitt og psoriasisartritt</w:t>
      </w:r>
    </w:p>
    <w:p w14:paraId="3532553C" w14:textId="77777777" w:rsidR="001E500F" w:rsidRPr="009C5EFD" w:rsidRDefault="001E500F" w:rsidP="00E55CCA">
      <w:pPr>
        <w:keepNext/>
        <w:rPr>
          <w:sz w:val="22"/>
          <w:szCs w:val="22"/>
        </w:rPr>
      </w:pPr>
    </w:p>
    <w:p w14:paraId="66FCB4BD" w14:textId="77777777" w:rsidR="001E500F" w:rsidRPr="009C5EFD" w:rsidRDefault="00E453CD" w:rsidP="00776A84">
      <w:pPr>
        <w:rPr>
          <w:sz w:val="22"/>
          <w:szCs w:val="22"/>
        </w:rPr>
      </w:pPr>
      <w:r w:rsidRPr="009C5EFD">
        <w:rPr>
          <w:sz w:val="22"/>
          <w:szCs w:val="22"/>
        </w:rPr>
        <w:t>Anbefalt dose av Humira til pasienter med Bekhterevs sykdom (ankyloserende spondylitt), aksial spondylartritt uten radiografisk bekreftelse på ankyloserende spondylitt og psoriasisartritt er en enkeltdose 40</w:t>
      </w:r>
      <w:r w:rsidR="002C636E" w:rsidRPr="009C5EFD">
        <w:rPr>
          <w:sz w:val="22"/>
          <w:szCs w:val="22"/>
        </w:rPr>
        <w:t> </w:t>
      </w:r>
      <w:r w:rsidRPr="009C5EFD">
        <w:rPr>
          <w:sz w:val="22"/>
          <w:szCs w:val="22"/>
        </w:rPr>
        <w:t>mg adalimumab gitt som subkutan injeksjon annen</w:t>
      </w:r>
      <w:r w:rsidR="008D4CB9">
        <w:rPr>
          <w:sz w:val="22"/>
          <w:szCs w:val="22"/>
        </w:rPr>
        <w:t>hver</w:t>
      </w:r>
      <w:r w:rsidRPr="009C5EFD">
        <w:rPr>
          <w:sz w:val="22"/>
          <w:szCs w:val="22"/>
        </w:rPr>
        <w:t xml:space="preserve"> uke.</w:t>
      </w:r>
    </w:p>
    <w:p w14:paraId="07AE9D9E" w14:textId="77777777" w:rsidR="001E500F" w:rsidRPr="009C5EFD" w:rsidRDefault="001E500F" w:rsidP="009C5EFD">
      <w:pPr>
        <w:rPr>
          <w:sz w:val="22"/>
          <w:szCs w:val="22"/>
        </w:rPr>
      </w:pPr>
    </w:p>
    <w:p w14:paraId="50E1598A" w14:textId="77777777" w:rsidR="001E500F" w:rsidRPr="009C5EFD" w:rsidRDefault="00E453CD" w:rsidP="009C5EFD">
      <w:pPr>
        <w:rPr>
          <w:sz w:val="22"/>
          <w:szCs w:val="22"/>
        </w:rPr>
      </w:pPr>
      <w:r>
        <w:rPr>
          <w:sz w:val="22"/>
          <w:szCs w:val="22"/>
        </w:rPr>
        <w:t>T</w:t>
      </w:r>
      <w:r w:rsidRPr="009C5EFD">
        <w:rPr>
          <w:sz w:val="22"/>
          <w:szCs w:val="22"/>
        </w:rPr>
        <w:t>ilgjengelig data tyder på at klinisk respons vanligvis oppnås innen 12</w:t>
      </w:r>
      <w:r w:rsidR="002C636E" w:rsidRPr="009C5EFD">
        <w:rPr>
          <w:sz w:val="22"/>
          <w:szCs w:val="22"/>
        </w:rPr>
        <w:t> </w:t>
      </w:r>
      <w:r w:rsidRPr="009C5EFD">
        <w:rPr>
          <w:sz w:val="22"/>
          <w:szCs w:val="22"/>
        </w:rPr>
        <w:t>uker</w:t>
      </w:r>
      <w:r>
        <w:rPr>
          <w:sz w:val="22"/>
          <w:szCs w:val="22"/>
        </w:rPr>
        <w:t>s</w:t>
      </w:r>
      <w:r w:rsidRPr="009C5EFD">
        <w:rPr>
          <w:sz w:val="22"/>
          <w:szCs w:val="22"/>
        </w:rPr>
        <w:t xml:space="preserve"> behandling. Videre behandling av en pasient som ikke har respondert innen denne perioden bør overveies. </w:t>
      </w:r>
    </w:p>
    <w:p w14:paraId="7034E43D" w14:textId="77777777" w:rsidR="001E500F" w:rsidRPr="009C5EFD" w:rsidRDefault="001E500F" w:rsidP="009C5EFD">
      <w:pPr>
        <w:rPr>
          <w:sz w:val="22"/>
          <w:szCs w:val="22"/>
        </w:rPr>
      </w:pPr>
    </w:p>
    <w:p w14:paraId="3824E196" w14:textId="77777777" w:rsidR="001E500F" w:rsidRPr="009C5EFD" w:rsidRDefault="00E453CD" w:rsidP="009C5EFD">
      <w:pPr>
        <w:pStyle w:val="Heading8"/>
        <w:rPr>
          <w:i/>
          <w:szCs w:val="22"/>
          <w:u w:val="none"/>
        </w:rPr>
      </w:pPr>
      <w:r w:rsidRPr="009C5EFD">
        <w:rPr>
          <w:i/>
          <w:szCs w:val="22"/>
          <w:u w:val="none"/>
        </w:rPr>
        <w:t>Psoriasis</w:t>
      </w:r>
    </w:p>
    <w:p w14:paraId="79EF00D8" w14:textId="77777777" w:rsidR="001E500F" w:rsidRPr="009C5EFD" w:rsidRDefault="001E500F" w:rsidP="009C5EFD">
      <w:pPr>
        <w:keepNext/>
        <w:rPr>
          <w:sz w:val="22"/>
          <w:szCs w:val="22"/>
        </w:rPr>
      </w:pPr>
    </w:p>
    <w:p w14:paraId="61005800" w14:textId="77777777" w:rsidR="001E500F" w:rsidRPr="009C5EFD" w:rsidRDefault="00E453CD" w:rsidP="00776A84">
      <w:pPr>
        <w:rPr>
          <w:sz w:val="22"/>
          <w:szCs w:val="22"/>
        </w:rPr>
      </w:pPr>
      <w:r w:rsidRPr="009C5EFD">
        <w:rPr>
          <w:sz w:val="22"/>
          <w:szCs w:val="22"/>
        </w:rPr>
        <w:t xml:space="preserve">Anbefalt </w:t>
      </w:r>
      <w:r w:rsidR="008D4CB9">
        <w:rPr>
          <w:sz w:val="22"/>
          <w:szCs w:val="22"/>
        </w:rPr>
        <w:t>start</w:t>
      </w:r>
      <w:r w:rsidRPr="009C5EFD">
        <w:rPr>
          <w:sz w:val="22"/>
          <w:szCs w:val="22"/>
        </w:rPr>
        <w:t>dose av Humira til voksne pasienter er 80</w:t>
      </w:r>
      <w:r w:rsidR="002C636E" w:rsidRPr="009C5EFD">
        <w:rPr>
          <w:sz w:val="22"/>
          <w:szCs w:val="22"/>
        </w:rPr>
        <w:t> </w:t>
      </w:r>
      <w:r w:rsidRPr="009C5EFD">
        <w:rPr>
          <w:sz w:val="22"/>
          <w:szCs w:val="22"/>
        </w:rPr>
        <w:t>mg gitt subkutant etterfulgt av 40</w:t>
      </w:r>
      <w:r w:rsidR="002C636E" w:rsidRPr="009C5EFD">
        <w:rPr>
          <w:sz w:val="22"/>
          <w:szCs w:val="22"/>
        </w:rPr>
        <w:t> </w:t>
      </w:r>
      <w:r w:rsidRPr="009C5EFD">
        <w:rPr>
          <w:sz w:val="22"/>
          <w:szCs w:val="22"/>
        </w:rPr>
        <w:t>mg subkutant etter en uke, og deretter 40</w:t>
      </w:r>
      <w:r w:rsidR="002C636E" w:rsidRPr="009C5EFD">
        <w:rPr>
          <w:sz w:val="22"/>
          <w:szCs w:val="22"/>
        </w:rPr>
        <w:t> </w:t>
      </w:r>
      <w:r w:rsidRPr="009C5EFD">
        <w:rPr>
          <w:sz w:val="22"/>
          <w:szCs w:val="22"/>
        </w:rPr>
        <w:t>mg annenhver uke.</w:t>
      </w:r>
    </w:p>
    <w:p w14:paraId="653CE9D0" w14:textId="77777777" w:rsidR="001E500F" w:rsidRPr="009C5EFD" w:rsidRDefault="001E500F" w:rsidP="009C5EFD">
      <w:pPr>
        <w:rPr>
          <w:sz w:val="22"/>
          <w:szCs w:val="22"/>
        </w:rPr>
      </w:pPr>
    </w:p>
    <w:p w14:paraId="6CE2CD64" w14:textId="77777777" w:rsidR="001E500F" w:rsidRDefault="00E453CD" w:rsidP="009C5EFD">
      <w:pPr>
        <w:rPr>
          <w:sz w:val="22"/>
          <w:szCs w:val="22"/>
        </w:rPr>
      </w:pPr>
      <w:r w:rsidRPr="009C5EFD">
        <w:rPr>
          <w:sz w:val="22"/>
          <w:szCs w:val="22"/>
        </w:rPr>
        <w:t xml:space="preserve">Videre behandling </w:t>
      </w:r>
      <w:r w:rsidR="008D4CB9">
        <w:rPr>
          <w:sz w:val="22"/>
          <w:szCs w:val="22"/>
        </w:rPr>
        <w:t>ut</w:t>
      </w:r>
      <w:r w:rsidRPr="009C5EFD">
        <w:rPr>
          <w:sz w:val="22"/>
          <w:szCs w:val="22"/>
        </w:rPr>
        <w:t>over 16</w:t>
      </w:r>
      <w:r w:rsidR="002C636E" w:rsidRPr="009C5EFD">
        <w:rPr>
          <w:sz w:val="22"/>
          <w:szCs w:val="22"/>
        </w:rPr>
        <w:t> </w:t>
      </w:r>
      <w:r w:rsidRPr="009C5EFD">
        <w:rPr>
          <w:sz w:val="22"/>
          <w:szCs w:val="22"/>
        </w:rPr>
        <w:t>uker bør nøye overveies hos pasienter som ikke responderer innen denne perioden.</w:t>
      </w:r>
    </w:p>
    <w:p w14:paraId="53EE66B2" w14:textId="77777777" w:rsidR="00884304" w:rsidRDefault="00884304" w:rsidP="009C5EFD">
      <w:pPr>
        <w:rPr>
          <w:sz w:val="22"/>
          <w:szCs w:val="22"/>
        </w:rPr>
      </w:pPr>
    </w:p>
    <w:p w14:paraId="7BE68DC2" w14:textId="77777777" w:rsidR="00884304" w:rsidRDefault="00E453CD" w:rsidP="009C5EFD">
      <w:pPr>
        <w:rPr>
          <w:sz w:val="22"/>
          <w:szCs w:val="22"/>
        </w:rPr>
      </w:pPr>
      <w:r w:rsidRPr="00884304">
        <w:rPr>
          <w:sz w:val="22"/>
          <w:szCs w:val="22"/>
        </w:rPr>
        <w:t>Utover 16</w:t>
      </w:r>
      <w:r w:rsidR="001A350B">
        <w:rPr>
          <w:sz w:val="22"/>
          <w:szCs w:val="22"/>
        </w:rPr>
        <w:t> </w:t>
      </w:r>
      <w:r w:rsidRPr="00884304">
        <w:rPr>
          <w:sz w:val="22"/>
          <w:szCs w:val="22"/>
        </w:rPr>
        <w:t xml:space="preserve">uker, kan pasienter med utilstrekkelig respons </w:t>
      </w:r>
      <w:r w:rsidR="007250BA">
        <w:rPr>
          <w:sz w:val="22"/>
          <w:szCs w:val="22"/>
        </w:rPr>
        <w:t>på</w:t>
      </w:r>
      <w:r w:rsidR="00D115E8">
        <w:rPr>
          <w:sz w:val="22"/>
          <w:szCs w:val="22"/>
        </w:rPr>
        <w:t xml:space="preserve"> Humira 40</w:t>
      </w:r>
      <w:r w:rsidR="001A350B">
        <w:rPr>
          <w:sz w:val="22"/>
          <w:szCs w:val="22"/>
        </w:rPr>
        <w:t> </w:t>
      </w:r>
      <w:r w:rsidR="00D115E8">
        <w:rPr>
          <w:sz w:val="22"/>
          <w:szCs w:val="22"/>
        </w:rPr>
        <w:t xml:space="preserve">mg annenhver uke </w:t>
      </w:r>
      <w:r>
        <w:rPr>
          <w:sz w:val="22"/>
          <w:szCs w:val="22"/>
        </w:rPr>
        <w:t xml:space="preserve">ha </w:t>
      </w:r>
      <w:r w:rsidRPr="00884304">
        <w:rPr>
          <w:sz w:val="22"/>
          <w:szCs w:val="22"/>
        </w:rPr>
        <w:t>nytte av en økning i dosering til 40</w:t>
      </w:r>
      <w:r w:rsidR="001A350B">
        <w:rPr>
          <w:sz w:val="22"/>
          <w:szCs w:val="22"/>
        </w:rPr>
        <w:t> </w:t>
      </w:r>
      <w:r w:rsidRPr="00884304">
        <w:rPr>
          <w:sz w:val="22"/>
          <w:szCs w:val="22"/>
        </w:rPr>
        <w:t>mg hver uke</w:t>
      </w:r>
      <w:r w:rsidR="00D115E8">
        <w:rPr>
          <w:sz w:val="22"/>
          <w:szCs w:val="22"/>
        </w:rPr>
        <w:t xml:space="preserve"> eller 80</w:t>
      </w:r>
      <w:r w:rsidR="001A350B">
        <w:rPr>
          <w:sz w:val="22"/>
          <w:szCs w:val="22"/>
        </w:rPr>
        <w:t> </w:t>
      </w:r>
      <w:r w:rsidR="00D115E8">
        <w:rPr>
          <w:sz w:val="22"/>
          <w:szCs w:val="22"/>
        </w:rPr>
        <w:t>mg annenhver uke</w:t>
      </w:r>
      <w:r w:rsidRPr="00884304">
        <w:rPr>
          <w:sz w:val="22"/>
          <w:szCs w:val="22"/>
        </w:rPr>
        <w:t xml:space="preserve">. </w:t>
      </w:r>
      <w:r w:rsidR="00666CFA">
        <w:rPr>
          <w:sz w:val="22"/>
          <w:szCs w:val="22"/>
        </w:rPr>
        <w:t>Nytte</w:t>
      </w:r>
      <w:r w:rsidRPr="00884304">
        <w:rPr>
          <w:sz w:val="22"/>
          <w:szCs w:val="22"/>
        </w:rPr>
        <w:t xml:space="preserve"> og risiko ved fortsatt ukentlig behandling med </w:t>
      </w:r>
      <w:r w:rsidR="00D115E8">
        <w:rPr>
          <w:sz w:val="22"/>
          <w:szCs w:val="22"/>
        </w:rPr>
        <w:t>40</w:t>
      </w:r>
      <w:r w:rsidR="001A350B">
        <w:rPr>
          <w:sz w:val="22"/>
          <w:szCs w:val="22"/>
        </w:rPr>
        <w:t> </w:t>
      </w:r>
      <w:r w:rsidR="00D115E8">
        <w:rPr>
          <w:sz w:val="22"/>
          <w:szCs w:val="22"/>
        </w:rPr>
        <w:t>mg eller 80</w:t>
      </w:r>
      <w:r w:rsidR="001A350B">
        <w:rPr>
          <w:sz w:val="22"/>
          <w:szCs w:val="22"/>
        </w:rPr>
        <w:t> </w:t>
      </w:r>
      <w:r w:rsidR="00D115E8">
        <w:rPr>
          <w:sz w:val="22"/>
          <w:szCs w:val="22"/>
        </w:rPr>
        <w:t>mg annenhver uke</w:t>
      </w:r>
      <w:r w:rsidR="00D115E8" w:rsidRPr="00884304">
        <w:rPr>
          <w:sz w:val="22"/>
          <w:szCs w:val="22"/>
        </w:rPr>
        <w:t xml:space="preserve"> </w:t>
      </w:r>
      <w:r w:rsidRPr="00884304">
        <w:rPr>
          <w:sz w:val="22"/>
          <w:szCs w:val="22"/>
        </w:rPr>
        <w:t>bør revurderes nøye hos en pasient med en utilstrekkelig respons ett</w:t>
      </w:r>
      <w:r>
        <w:rPr>
          <w:sz w:val="22"/>
          <w:szCs w:val="22"/>
        </w:rPr>
        <w:t>er økningen i dosering</w:t>
      </w:r>
      <w:r w:rsidR="009649D1">
        <w:rPr>
          <w:sz w:val="22"/>
          <w:szCs w:val="22"/>
        </w:rPr>
        <w:t xml:space="preserve"> (se p</w:t>
      </w:r>
      <w:r w:rsidRPr="00884304">
        <w:rPr>
          <w:sz w:val="22"/>
          <w:szCs w:val="22"/>
        </w:rPr>
        <w:t>kt</w:t>
      </w:r>
      <w:r w:rsidR="009649D1">
        <w:rPr>
          <w:sz w:val="22"/>
          <w:szCs w:val="22"/>
        </w:rPr>
        <w:t>.</w:t>
      </w:r>
      <w:r w:rsidR="001A350B">
        <w:rPr>
          <w:sz w:val="22"/>
          <w:szCs w:val="22"/>
        </w:rPr>
        <w:t> </w:t>
      </w:r>
      <w:r w:rsidRPr="00884304">
        <w:rPr>
          <w:sz w:val="22"/>
          <w:szCs w:val="22"/>
        </w:rPr>
        <w:t xml:space="preserve">5.1). Dersom tilstrekkelig respons oppnås med </w:t>
      </w:r>
      <w:r w:rsidR="00D115E8">
        <w:rPr>
          <w:sz w:val="22"/>
          <w:szCs w:val="22"/>
        </w:rPr>
        <w:t>40</w:t>
      </w:r>
      <w:r w:rsidR="001A350B">
        <w:rPr>
          <w:sz w:val="22"/>
          <w:szCs w:val="22"/>
        </w:rPr>
        <w:t> </w:t>
      </w:r>
      <w:r w:rsidR="00D115E8">
        <w:rPr>
          <w:sz w:val="22"/>
          <w:szCs w:val="22"/>
        </w:rPr>
        <w:t>mg hver uke eller 80</w:t>
      </w:r>
      <w:r w:rsidR="001A350B">
        <w:rPr>
          <w:sz w:val="22"/>
          <w:szCs w:val="22"/>
        </w:rPr>
        <w:t> </w:t>
      </w:r>
      <w:r w:rsidR="00D115E8">
        <w:rPr>
          <w:sz w:val="22"/>
          <w:szCs w:val="22"/>
        </w:rPr>
        <w:t>mg annenhver uke</w:t>
      </w:r>
      <w:r w:rsidRPr="00884304">
        <w:rPr>
          <w:sz w:val="22"/>
          <w:szCs w:val="22"/>
        </w:rPr>
        <w:t>, kan dose</w:t>
      </w:r>
      <w:r w:rsidR="00D115E8">
        <w:rPr>
          <w:sz w:val="22"/>
          <w:szCs w:val="22"/>
        </w:rPr>
        <w:t>ringen</w:t>
      </w:r>
      <w:r w:rsidRPr="00884304">
        <w:rPr>
          <w:sz w:val="22"/>
          <w:szCs w:val="22"/>
        </w:rPr>
        <w:t xml:space="preserve"> deretter reduseres til 40</w:t>
      </w:r>
      <w:r w:rsidR="001A350B">
        <w:t> </w:t>
      </w:r>
      <w:r w:rsidRPr="00884304">
        <w:rPr>
          <w:sz w:val="22"/>
          <w:szCs w:val="22"/>
        </w:rPr>
        <w:t>mg annenhver uke.</w:t>
      </w:r>
    </w:p>
    <w:p w14:paraId="56D9362C" w14:textId="77777777" w:rsidR="00D115E8" w:rsidRDefault="00D115E8" w:rsidP="009C5EFD">
      <w:pPr>
        <w:rPr>
          <w:sz w:val="22"/>
          <w:szCs w:val="22"/>
        </w:rPr>
      </w:pPr>
    </w:p>
    <w:p w14:paraId="660028FF" w14:textId="77777777" w:rsidR="00D115E8" w:rsidRPr="009C5EFD" w:rsidRDefault="00E453CD" w:rsidP="009C5EFD">
      <w:pPr>
        <w:rPr>
          <w:sz w:val="22"/>
          <w:szCs w:val="22"/>
        </w:rPr>
      </w:pPr>
      <w:r w:rsidRPr="00D115E8">
        <w:rPr>
          <w:sz w:val="22"/>
          <w:szCs w:val="22"/>
        </w:rPr>
        <w:t>Humira kan være tilgjengelig i andre styrker og/eller formuleringer avhengig av individuelle behandlingsbehov.</w:t>
      </w:r>
    </w:p>
    <w:p w14:paraId="2F31B7DF" w14:textId="77777777" w:rsidR="005A2E9F" w:rsidRPr="009C5EFD" w:rsidRDefault="005A2E9F" w:rsidP="009C5EFD">
      <w:pPr>
        <w:rPr>
          <w:sz w:val="22"/>
          <w:szCs w:val="22"/>
        </w:rPr>
      </w:pPr>
    </w:p>
    <w:p w14:paraId="2167BBCF" w14:textId="77777777" w:rsidR="005A2E9F" w:rsidRPr="009C5EFD" w:rsidRDefault="00E453CD">
      <w:pPr>
        <w:rPr>
          <w:i/>
          <w:sz w:val="22"/>
          <w:szCs w:val="22"/>
        </w:rPr>
      </w:pPr>
      <w:r w:rsidRPr="009C5EFD">
        <w:rPr>
          <w:i/>
          <w:sz w:val="22"/>
          <w:szCs w:val="22"/>
        </w:rPr>
        <w:t>Hidrosadenitt</w:t>
      </w:r>
    </w:p>
    <w:p w14:paraId="239CA6DA" w14:textId="77777777" w:rsidR="005A2E9F" w:rsidRPr="009C5EFD" w:rsidRDefault="005A2E9F">
      <w:pPr>
        <w:rPr>
          <w:sz w:val="22"/>
          <w:szCs w:val="22"/>
        </w:rPr>
      </w:pPr>
    </w:p>
    <w:p w14:paraId="4BB9CAF1" w14:textId="77777777" w:rsidR="005A2E9F" w:rsidRPr="009C5EFD" w:rsidRDefault="00E453CD" w:rsidP="009C5EFD">
      <w:pPr>
        <w:rPr>
          <w:sz w:val="22"/>
          <w:szCs w:val="22"/>
        </w:rPr>
      </w:pPr>
      <w:r w:rsidRPr="009C5EFD">
        <w:rPr>
          <w:sz w:val="22"/>
          <w:szCs w:val="22"/>
        </w:rPr>
        <w:t xml:space="preserve">Anbefalt dosering </w:t>
      </w:r>
      <w:r w:rsidR="000013C9">
        <w:rPr>
          <w:sz w:val="22"/>
          <w:szCs w:val="22"/>
        </w:rPr>
        <w:t>av</w:t>
      </w:r>
      <w:r w:rsidRPr="009C5EFD">
        <w:rPr>
          <w:sz w:val="22"/>
          <w:szCs w:val="22"/>
        </w:rPr>
        <w:t xml:space="preserve"> Humira hos voksne pasienter med </w:t>
      </w:r>
      <w:r w:rsidR="007F67EE" w:rsidRPr="009C5EFD">
        <w:rPr>
          <w:sz w:val="22"/>
          <w:szCs w:val="22"/>
        </w:rPr>
        <w:t>hidrosadenitt</w:t>
      </w:r>
      <w:r w:rsidRPr="009C5EFD">
        <w:rPr>
          <w:sz w:val="22"/>
          <w:szCs w:val="22"/>
        </w:rPr>
        <w:t xml:space="preserve"> (HS) er 160</w:t>
      </w:r>
      <w:r w:rsidR="001A350B">
        <w:rPr>
          <w:sz w:val="22"/>
          <w:szCs w:val="22"/>
        </w:rPr>
        <w:t> </w:t>
      </w:r>
      <w:r w:rsidRPr="009C5EFD">
        <w:rPr>
          <w:sz w:val="22"/>
          <w:szCs w:val="22"/>
        </w:rPr>
        <w:t xml:space="preserve">mg initialt ved dag </w:t>
      </w:r>
      <w:r w:rsidR="001A350B">
        <w:rPr>
          <w:sz w:val="22"/>
          <w:szCs w:val="22"/>
        </w:rPr>
        <w:t> </w:t>
      </w:r>
      <w:r w:rsidRPr="009C5EFD">
        <w:rPr>
          <w:sz w:val="22"/>
          <w:szCs w:val="22"/>
        </w:rPr>
        <w:t>1 (dosen kan gis som fire 40</w:t>
      </w:r>
      <w:r w:rsidR="001A350B">
        <w:rPr>
          <w:sz w:val="22"/>
          <w:szCs w:val="22"/>
        </w:rPr>
        <w:t> </w:t>
      </w:r>
      <w:r w:rsidRPr="009C5EFD">
        <w:rPr>
          <w:sz w:val="22"/>
          <w:szCs w:val="22"/>
        </w:rPr>
        <w:t xml:space="preserve">mg injeksjoner </w:t>
      </w:r>
      <w:r w:rsidR="00593397">
        <w:rPr>
          <w:sz w:val="22"/>
          <w:szCs w:val="22"/>
        </w:rPr>
        <w:t>på</w:t>
      </w:r>
      <w:r w:rsidRPr="009C5EFD">
        <w:rPr>
          <w:sz w:val="22"/>
          <w:szCs w:val="22"/>
        </w:rPr>
        <w:t xml:space="preserve"> en dag eller som to 40</w:t>
      </w:r>
      <w:r w:rsidR="001A350B">
        <w:rPr>
          <w:sz w:val="22"/>
          <w:szCs w:val="22"/>
        </w:rPr>
        <w:t> </w:t>
      </w:r>
      <w:r w:rsidRPr="009C5EFD">
        <w:rPr>
          <w:sz w:val="22"/>
          <w:szCs w:val="22"/>
        </w:rPr>
        <w:t>mg injeksjoner dag</w:t>
      </w:r>
      <w:r w:rsidR="00EF5E79">
        <w:rPr>
          <w:sz w:val="22"/>
          <w:szCs w:val="22"/>
        </w:rPr>
        <w:t>lig</w:t>
      </w:r>
      <w:r w:rsidRPr="009C5EFD">
        <w:rPr>
          <w:sz w:val="22"/>
          <w:szCs w:val="22"/>
        </w:rPr>
        <w:t xml:space="preserve"> </w:t>
      </w:r>
      <w:r w:rsidR="00326F9C">
        <w:rPr>
          <w:sz w:val="22"/>
          <w:szCs w:val="22"/>
        </w:rPr>
        <w:t>i</w:t>
      </w:r>
      <w:r w:rsidRPr="009C5EFD">
        <w:rPr>
          <w:sz w:val="22"/>
          <w:szCs w:val="22"/>
        </w:rPr>
        <w:t xml:space="preserve"> to påfølgende dager), etterfulgt av 80 mg to uker senere ved dag</w:t>
      </w:r>
      <w:r w:rsidR="00835488">
        <w:rPr>
          <w:sz w:val="22"/>
          <w:szCs w:val="22"/>
        </w:rPr>
        <w:t> </w:t>
      </w:r>
      <w:r w:rsidRPr="009C5EFD">
        <w:rPr>
          <w:sz w:val="22"/>
          <w:szCs w:val="22"/>
        </w:rPr>
        <w:t>15 (</w:t>
      </w:r>
      <w:r w:rsidR="00593397">
        <w:rPr>
          <w:sz w:val="22"/>
          <w:szCs w:val="22"/>
        </w:rPr>
        <w:t>gitt</w:t>
      </w:r>
      <w:r w:rsidRPr="009C5EFD">
        <w:rPr>
          <w:sz w:val="22"/>
          <w:szCs w:val="22"/>
        </w:rPr>
        <w:t xml:space="preserve"> som to 40</w:t>
      </w:r>
      <w:r w:rsidR="001A350B">
        <w:rPr>
          <w:sz w:val="22"/>
          <w:szCs w:val="22"/>
        </w:rPr>
        <w:t> </w:t>
      </w:r>
      <w:r w:rsidRPr="009C5EFD">
        <w:rPr>
          <w:sz w:val="22"/>
          <w:szCs w:val="22"/>
        </w:rPr>
        <w:t xml:space="preserve">mg injeksjoner </w:t>
      </w:r>
      <w:r w:rsidR="00593397">
        <w:rPr>
          <w:sz w:val="22"/>
          <w:szCs w:val="22"/>
        </w:rPr>
        <w:t>på</w:t>
      </w:r>
      <w:r w:rsidRPr="009C5EFD">
        <w:rPr>
          <w:sz w:val="22"/>
          <w:szCs w:val="22"/>
        </w:rPr>
        <w:t xml:space="preserve"> en dag). To uker senere (dag</w:t>
      </w:r>
      <w:r w:rsidR="00835488">
        <w:rPr>
          <w:sz w:val="22"/>
          <w:szCs w:val="22"/>
        </w:rPr>
        <w:t> </w:t>
      </w:r>
      <w:r w:rsidRPr="009C5EFD">
        <w:rPr>
          <w:sz w:val="22"/>
          <w:szCs w:val="22"/>
        </w:rPr>
        <w:t>29) fortsettes behandlingen med</w:t>
      </w:r>
      <w:r w:rsidR="00F403FB">
        <w:rPr>
          <w:sz w:val="22"/>
          <w:szCs w:val="22"/>
        </w:rPr>
        <w:t xml:space="preserve"> e</w:t>
      </w:r>
      <w:r w:rsidR="00835488">
        <w:rPr>
          <w:sz w:val="22"/>
          <w:szCs w:val="22"/>
        </w:rPr>
        <w:t>n</w:t>
      </w:r>
      <w:r w:rsidRPr="009C5EFD">
        <w:rPr>
          <w:sz w:val="22"/>
          <w:szCs w:val="22"/>
        </w:rPr>
        <w:t xml:space="preserve"> dose på 40</w:t>
      </w:r>
      <w:r w:rsidR="001A350B">
        <w:rPr>
          <w:sz w:val="22"/>
          <w:szCs w:val="22"/>
        </w:rPr>
        <w:t> </w:t>
      </w:r>
      <w:r w:rsidRPr="009C5EFD">
        <w:rPr>
          <w:sz w:val="22"/>
          <w:szCs w:val="22"/>
        </w:rPr>
        <w:t>mg hver uke</w:t>
      </w:r>
      <w:r w:rsidR="003E01CF">
        <w:rPr>
          <w:sz w:val="22"/>
          <w:szCs w:val="22"/>
        </w:rPr>
        <w:t xml:space="preserve"> eller 80</w:t>
      </w:r>
      <w:r w:rsidR="001A350B">
        <w:rPr>
          <w:sz w:val="22"/>
          <w:szCs w:val="22"/>
        </w:rPr>
        <w:t> </w:t>
      </w:r>
      <w:r w:rsidR="003E01CF">
        <w:rPr>
          <w:sz w:val="22"/>
          <w:szCs w:val="22"/>
        </w:rPr>
        <w:t xml:space="preserve">mg annenhver uke </w:t>
      </w:r>
      <w:r w:rsidR="003E01CF" w:rsidRPr="00B24265">
        <w:rPr>
          <w:sz w:val="22"/>
          <w:szCs w:val="22"/>
        </w:rPr>
        <w:t>(gitt som to 40</w:t>
      </w:r>
      <w:r w:rsidR="001A350B">
        <w:rPr>
          <w:sz w:val="22"/>
          <w:szCs w:val="22"/>
        </w:rPr>
        <w:t> </w:t>
      </w:r>
      <w:r w:rsidR="003E01CF" w:rsidRPr="00B24265">
        <w:rPr>
          <w:sz w:val="22"/>
          <w:szCs w:val="22"/>
        </w:rPr>
        <w:t>mg injeksjoner på en dag)</w:t>
      </w:r>
      <w:r w:rsidRPr="009C5EFD">
        <w:rPr>
          <w:sz w:val="22"/>
          <w:szCs w:val="22"/>
        </w:rPr>
        <w:t>. Behandling med antibiotika kan fortsette under behandling med Humira om nødvendig. Det anbefales at pasienten bruke</w:t>
      </w:r>
      <w:r w:rsidR="000013C9">
        <w:rPr>
          <w:sz w:val="22"/>
          <w:szCs w:val="22"/>
        </w:rPr>
        <w:t>r</w:t>
      </w:r>
      <w:r w:rsidRPr="009C5EFD">
        <w:rPr>
          <w:sz w:val="22"/>
          <w:szCs w:val="22"/>
        </w:rPr>
        <w:t xml:space="preserve"> en topikal antiseptisk vask på sine HS sår daglig under behandling med Humira.</w:t>
      </w:r>
    </w:p>
    <w:p w14:paraId="31AB5FE9" w14:textId="77777777" w:rsidR="005A2E9F" w:rsidRPr="009C5EFD" w:rsidRDefault="005A2E9F" w:rsidP="009C5EFD">
      <w:pPr>
        <w:rPr>
          <w:sz w:val="22"/>
          <w:szCs w:val="22"/>
        </w:rPr>
      </w:pPr>
    </w:p>
    <w:p w14:paraId="168B37C0" w14:textId="77777777" w:rsidR="005A2E9F" w:rsidRPr="009C5EFD" w:rsidRDefault="00E453CD" w:rsidP="009C5EFD">
      <w:pPr>
        <w:rPr>
          <w:sz w:val="22"/>
          <w:szCs w:val="22"/>
        </w:rPr>
      </w:pPr>
      <w:r w:rsidRPr="009C5EFD">
        <w:rPr>
          <w:sz w:val="22"/>
          <w:szCs w:val="22"/>
        </w:rPr>
        <w:lastRenderedPageBreak/>
        <w:t xml:space="preserve">Videre behandling utover 12 uker bør nøye overveies hos pasienter </w:t>
      </w:r>
      <w:r w:rsidR="001C14EB">
        <w:rPr>
          <w:sz w:val="22"/>
          <w:szCs w:val="22"/>
        </w:rPr>
        <w:t>uten</w:t>
      </w:r>
      <w:r w:rsidRPr="009C5EFD">
        <w:rPr>
          <w:sz w:val="22"/>
          <w:szCs w:val="22"/>
        </w:rPr>
        <w:t xml:space="preserve"> forbedring </w:t>
      </w:r>
      <w:r w:rsidR="001C14EB">
        <w:rPr>
          <w:sz w:val="22"/>
          <w:szCs w:val="22"/>
        </w:rPr>
        <w:t>i løpet av</w:t>
      </w:r>
      <w:r w:rsidRPr="009C5EFD">
        <w:rPr>
          <w:sz w:val="22"/>
          <w:szCs w:val="22"/>
        </w:rPr>
        <w:t xml:space="preserve"> denne perioden. </w:t>
      </w:r>
    </w:p>
    <w:p w14:paraId="75E68CE0" w14:textId="77777777" w:rsidR="005A2E9F" w:rsidRPr="009C5EFD" w:rsidRDefault="005A2E9F" w:rsidP="009C5EFD">
      <w:pPr>
        <w:rPr>
          <w:sz w:val="22"/>
          <w:szCs w:val="22"/>
        </w:rPr>
      </w:pPr>
    </w:p>
    <w:p w14:paraId="28B75C32" w14:textId="77777777" w:rsidR="00DB310E" w:rsidRPr="009C5EFD" w:rsidRDefault="00E453CD" w:rsidP="009C5EFD">
      <w:pPr>
        <w:rPr>
          <w:sz w:val="22"/>
          <w:szCs w:val="22"/>
        </w:rPr>
      </w:pPr>
      <w:r w:rsidRPr="009C5EFD">
        <w:rPr>
          <w:sz w:val="22"/>
          <w:szCs w:val="22"/>
        </w:rPr>
        <w:t>Skulle det være nødvendig å avbryte behandlingen, kan ukentlig behandling med 40 mg Humira</w:t>
      </w:r>
      <w:r w:rsidR="003E01CF">
        <w:rPr>
          <w:sz w:val="22"/>
          <w:szCs w:val="22"/>
        </w:rPr>
        <w:t xml:space="preserve"> eller 80</w:t>
      </w:r>
      <w:r w:rsidR="00835488">
        <w:rPr>
          <w:sz w:val="22"/>
          <w:szCs w:val="22"/>
        </w:rPr>
        <w:t> </w:t>
      </w:r>
      <w:r w:rsidR="003E01CF">
        <w:rPr>
          <w:sz w:val="22"/>
          <w:szCs w:val="22"/>
        </w:rPr>
        <w:t>mg annenhver uke</w:t>
      </w:r>
      <w:r w:rsidRPr="009C5EFD">
        <w:rPr>
          <w:sz w:val="22"/>
          <w:szCs w:val="22"/>
        </w:rPr>
        <w:t xml:space="preserve"> startes igjen</w:t>
      </w:r>
      <w:r w:rsidR="003B7701" w:rsidRPr="009C5EFD">
        <w:rPr>
          <w:sz w:val="22"/>
          <w:szCs w:val="22"/>
        </w:rPr>
        <w:t xml:space="preserve"> (se pkt. 5.1)</w:t>
      </w:r>
      <w:r w:rsidRPr="009C5EFD">
        <w:rPr>
          <w:sz w:val="22"/>
          <w:szCs w:val="22"/>
        </w:rPr>
        <w:t>.</w:t>
      </w:r>
    </w:p>
    <w:p w14:paraId="1D58B685" w14:textId="77777777" w:rsidR="00DB310E" w:rsidRPr="009C5EFD" w:rsidRDefault="00DB310E" w:rsidP="009C5EFD">
      <w:pPr>
        <w:rPr>
          <w:sz w:val="22"/>
          <w:szCs w:val="22"/>
        </w:rPr>
      </w:pPr>
    </w:p>
    <w:p w14:paraId="6F5EC350" w14:textId="77777777" w:rsidR="005A2E9F" w:rsidRDefault="00E453CD" w:rsidP="009C5EFD">
      <w:pPr>
        <w:rPr>
          <w:sz w:val="22"/>
          <w:szCs w:val="22"/>
        </w:rPr>
      </w:pPr>
      <w:r w:rsidRPr="009C5EFD">
        <w:rPr>
          <w:sz w:val="22"/>
          <w:szCs w:val="22"/>
        </w:rPr>
        <w:t xml:space="preserve">Nytte og risiko ved videre langvarig behandling bør </w:t>
      </w:r>
      <w:r w:rsidR="00421CF7">
        <w:rPr>
          <w:sz w:val="22"/>
          <w:szCs w:val="22"/>
        </w:rPr>
        <w:t>vurderes</w:t>
      </w:r>
      <w:r w:rsidRPr="009C5EFD">
        <w:rPr>
          <w:sz w:val="22"/>
          <w:szCs w:val="22"/>
        </w:rPr>
        <w:t xml:space="preserve"> regelmessig (se pkt. 5.1).</w:t>
      </w:r>
    </w:p>
    <w:p w14:paraId="2177BA58" w14:textId="77777777" w:rsidR="003E01CF" w:rsidRDefault="003E01CF" w:rsidP="009C5EFD">
      <w:pPr>
        <w:rPr>
          <w:sz w:val="22"/>
          <w:szCs w:val="22"/>
        </w:rPr>
      </w:pPr>
    </w:p>
    <w:p w14:paraId="09347333" w14:textId="77777777" w:rsidR="003E01CF" w:rsidRPr="009C5EFD" w:rsidRDefault="00E453CD" w:rsidP="009C5EFD">
      <w:pPr>
        <w:rPr>
          <w:sz w:val="22"/>
          <w:szCs w:val="22"/>
        </w:rPr>
      </w:pPr>
      <w:r w:rsidRPr="00D115E8">
        <w:rPr>
          <w:sz w:val="22"/>
          <w:szCs w:val="22"/>
        </w:rPr>
        <w:t>Humira kan være tilgjengelig i andre styrker og/eller formuleringer avhengig av individuelle behandlingsbehov.</w:t>
      </w:r>
    </w:p>
    <w:p w14:paraId="3C342BF7" w14:textId="77777777" w:rsidR="001E500F" w:rsidRPr="009C5EFD" w:rsidRDefault="001E500F" w:rsidP="009C5EFD">
      <w:pPr>
        <w:rPr>
          <w:sz w:val="22"/>
          <w:szCs w:val="22"/>
        </w:rPr>
      </w:pPr>
    </w:p>
    <w:p w14:paraId="388784AA" w14:textId="77777777" w:rsidR="001E500F" w:rsidRPr="009C5EFD" w:rsidRDefault="00E453CD">
      <w:pPr>
        <w:rPr>
          <w:i/>
          <w:sz w:val="22"/>
          <w:szCs w:val="22"/>
        </w:rPr>
      </w:pPr>
      <w:r w:rsidRPr="009C5EFD">
        <w:rPr>
          <w:i/>
          <w:sz w:val="22"/>
          <w:szCs w:val="22"/>
        </w:rPr>
        <w:t>Crohns sykdom</w:t>
      </w:r>
    </w:p>
    <w:p w14:paraId="41F930BE" w14:textId="77777777" w:rsidR="001E500F" w:rsidRPr="009C5EFD" w:rsidRDefault="001E500F">
      <w:pPr>
        <w:rPr>
          <w:sz w:val="22"/>
          <w:szCs w:val="22"/>
        </w:rPr>
      </w:pPr>
    </w:p>
    <w:p w14:paraId="0FCFD1B4" w14:textId="77777777" w:rsidR="001E500F" w:rsidRPr="009C5EFD" w:rsidRDefault="00E453CD" w:rsidP="009C5EFD">
      <w:pPr>
        <w:rPr>
          <w:sz w:val="22"/>
          <w:szCs w:val="22"/>
        </w:rPr>
      </w:pPr>
      <w:r w:rsidRPr="009C5EFD">
        <w:rPr>
          <w:sz w:val="22"/>
          <w:szCs w:val="22"/>
        </w:rPr>
        <w:t xml:space="preserve">Anbefalt induksjonsregime med Humira hos voksne pasienter med moderat til alvorlig aktiv Crohns sykdom er 80 mg initialt (ved uke 0) etterfulgt av 40 mg ved uke 2. Dersom det er behov for </w:t>
      </w:r>
      <w:r w:rsidR="00A94269">
        <w:rPr>
          <w:sz w:val="22"/>
          <w:szCs w:val="22"/>
        </w:rPr>
        <w:t xml:space="preserve">en </w:t>
      </w:r>
      <w:r w:rsidRPr="009C5EFD">
        <w:rPr>
          <w:sz w:val="22"/>
          <w:szCs w:val="22"/>
        </w:rPr>
        <w:t>rask</w:t>
      </w:r>
      <w:r w:rsidR="00A94269">
        <w:rPr>
          <w:sz w:val="22"/>
          <w:szCs w:val="22"/>
        </w:rPr>
        <w:t>ere</w:t>
      </w:r>
      <w:r w:rsidRPr="009C5EFD">
        <w:rPr>
          <w:sz w:val="22"/>
          <w:szCs w:val="22"/>
        </w:rPr>
        <w:t xml:space="preserve"> behandlingsrespons kan et regime med 160</w:t>
      </w:r>
      <w:r w:rsidR="002C636E" w:rsidRPr="009C5EFD">
        <w:rPr>
          <w:sz w:val="22"/>
          <w:szCs w:val="22"/>
        </w:rPr>
        <w:t> </w:t>
      </w:r>
      <w:r w:rsidRPr="009C5EFD">
        <w:rPr>
          <w:sz w:val="22"/>
          <w:szCs w:val="22"/>
        </w:rPr>
        <w:t xml:space="preserve">mg </w:t>
      </w:r>
      <w:r w:rsidR="008D0102">
        <w:rPr>
          <w:sz w:val="22"/>
          <w:szCs w:val="22"/>
        </w:rPr>
        <w:t>ved</w:t>
      </w:r>
      <w:r w:rsidRPr="009C5EFD">
        <w:rPr>
          <w:sz w:val="22"/>
          <w:szCs w:val="22"/>
        </w:rPr>
        <w:t xml:space="preserve"> uke</w:t>
      </w:r>
      <w:r w:rsidR="002C636E" w:rsidRPr="009C5EFD">
        <w:rPr>
          <w:sz w:val="22"/>
          <w:szCs w:val="22"/>
        </w:rPr>
        <w:t> </w:t>
      </w:r>
      <w:r w:rsidRPr="009C5EFD">
        <w:rPr>
          <w:sz w:val="22"/>
          <w:szCs w:val="22"/>
        </w:rPr>
        <w:t>0 (</w:t>
      </w:r>
      <w:r w:rsidR="003E01CF">
        <w:rPr>
          <w:sz w:val="22"/>
          <w:szCs w:val="22"/>
        </w:rPr>
        <w:t>gitt</w:t>
      </w:r>
      <w:r w:rsidRPr="009C5EFD">
        <w:rPr>
          <w:sz w:val="22"/>
          <w:szCs w:val="22"/>
        </w:rPr>
        <w:t xml:space="preserve"> som fire </w:t>
      </w:r>
      <w:r w:rsidR="003E01CF">
        <w:rPr>
          <w:sz w:val="22"/>
          <w:szCs w:val="22"/>
        </w:rPr>
        <w:t>40</w:t>
      </w:r>
      <w:r w:rsidR="00835488">
        <w:rPr>
          <w:sz w:val="22"/>
          <w:szCs w:val="22"/>
        </w:rPr>
        <w:t> </w:t>
      </w:r>
      <w:r w:rsidR="003E01CF">
        <w:rPr>
          <w:sz w:val="22"/>
          <w:szCs w:val="22"/>
        </w:rPr>
        <w:t xml:space="preserve">mg </w:t>
      </w:r>
      <w:r w:rsidRPr="009C5EFD">
        <w:rPr>
          <w:sz w:val="22"/>
          <w:szCs w:val="22"/>
        </w:rPr>
        <w:t xml:space="preserve">injeksjoner </w:t>
      </w:r>
      <w:r w:rsidR="003E01CF">
        <w:rPr>
          <w:sz w:val="22"/>
          <w:szCs w:val="22"/>
        </w:rPr>
        <w:t>på</w:t>
      </w:r>
      <w:r w:rsidRPr="009C5EFD">
        <w:rPr>
          <w:sz w:val="22"/>
          <w:szCs w:val="22"/>
        </w:rPr>
        <w:t xml:space="preserve"> en dag eller to </w:t>
      </w:r>
      <w:r w:rsidR="003E01CF">
        <w:rPr>
          <w:sz w:val="22"/>
          <w:szCs w:val="22"/>
        </w:rPr>
        <w:t>40</w:t>
      </w:r>
      <w:r w:rsidR="00835488">
        <w:rPr>
          <w:sz w:val="22"/>
          <w:szCs w:val="22"/>
        </w:rPr>
        <w:t> </w:t>
      </w:r>
      <w:r w:rsidR="003E01CF">
        <w:rPr>
          <w:sz w:val="22"/>
          <w:szCs w:val="22"/>
        </w:rPr>
        <w:t xml:space="preserve">mg </w:t>
      </w:r>
      <w:r w:rsidRPr="009C5EFD">
        <w:rPr>
          <w:sz w:val="22"/>
          <w:szCs w:val="22"/>
        </w:rPr>
        <w:t>injeksjoner dag</w:t>
      </w:r>
      <w:r w:rsidR="00EF5E79">
        <w:rPr>
          <w:sz w:val="22"/>
          <w:szCs w:val="22"/>
        </w:rPr>
        <w:t>lig</w:t>
      </w:r>
      <w:r w:rsidRPr="009C5EFD">
        <w:rPr>
          <w:sz w:val="22"/>
          <w:szCs w:val="22"/>
        </w:rPr>
        <w:t xml:space="preserve"> </w:t>
      </w:r>
      <w:r w:rsidR="00326F9C">
        <w:rPr>
          <w:sz w:val="22"/>
          <w:szCs w:val="22"/>
        </w:rPr>
        <w:t>i</w:t>
      </w:r>
      <w:r w:rsidR="00593397">
        <w:rPr>
          <w:sz w:val="22"/>
          <w:szCs w:val="22"/>
        </w:rPr>
        <w:t xml:space="preserve"> </w:t>
      </w:r>
      <w:r w:rsidRPr="009C5EFD">
        <w:rPr>
          <w:sz w:val="22"/>
          <w:szCs w:val="22"/>
        </w:rPr>
        <w:t xml:space="preserve">to påfølgende dager), </w:t>
      </w:r>
      <w:r w:rsidR="00642C33">
        <w:rPr>
          <w:sz w:val="22"/>
          <w:szCs w:val="22"/>
        </w:rPr>
        <w:t>etterfulgt av</w:t>
      </w:r>
      <w:r w:rsidR="00642C33" w:rsidRPr="009C5EFD">
        <w:rPr>
          <w:sz w:val="22"/>
          <w:szCs w:val="22"/>
        </w:rPr>
        <w:t xml:space="preserve"> </w:t>
      </w:r>
      <w:r w:rsidRPr="009C5EFD">
        <w:rPr>
          <w:sz w:val="22"/>
          <w:szCs w:val="22"/>
        </w:rPr>
        <w:t>80 mg i uke 2</w:t>
      </w:r>
      <w:r w:rsidR="003E01CF">
        <w:rPr>
          <w:sz w:val="22"/>
          <w:szCs w:val="22"/>
        </w:rPr>
        <w:t xml:space="preserve"> </w:t>
      </w:r>
      <w:r w:rsidR="003E01CF" w:rsidRPr="00B24265">
        <w:rPr>
          <w:sz w:val="22"/>
          <w:szCs w:val="22"/>
        </w:rPr>
        <w:t>(gitt som to 40</w:t>
      </w:r>
      <w:r w:rsidR="00835488">
        <w:rPr>
          <w:sz w:val="22"/>
          <w:szCs w:val="22"/>
        </w:rPr>
        <w:t> </w:t>
      </w:r>
      <w:r w:rsidR="003E01CF" w:rsidRPr="00B24265">
        <w:rPr>
          <w:sz w:val="22"/>
          <w:szCs w:val="22"/>
        </w:rPr>
        <w:t>mg injeksjoner på en dag)</w:t>
      </w:r>
      <w:r w:rsidRPr="009C5EFD">
        <w:rPr>
          <w:sz w:val="22"/>
          <w:szCs w:val="22"/>
        </w:rPr>
        <w:t>, brukes med viten om at risikoen for bivirkninger er høyere under induksjonen.</w:t>
      </w:r>
    </w:p>
    <w:p w14:paraId="32AC905A" w14:textId="77777777" w:rsidR="001E500F" w:rsidRPr="009C5EFD" w:rsidRDefault="001E500F" w:rsidP="009C5EFD">
      <w:pPr>
        <w:rPr>
          <w:sz w:val="22"/>
          <w:szCs w:val="22"/>
          <w:u w:val="single"/>
        </w:rPr>
      </w:pPr>
    </w:p>
    <w:p w14:paraId="212A9BBF" w14:textId="77777777" w:rsidR="001E500F" w:rsidRPr="009C5EFD" w:rsidRDefault="00E453CD" w:rsidP="009C5EFD">
      <w:pPr>
        <w:rPr>
          <w:sz w:val="22"/>
          <w:szCs w:val="22"/>
        </w:rPr>
      </w:pPr>
      <w:r w:rsidRPr="009C5EFD">
        <w:rPr>
          <w:sz w:val="22"/>
          <w:szCs w:val="22"/>
        </w:rPr>
        <w:t>Etter induksjon er anbefalt dose 40 mg annenhver uke via subkutan injeksjon. Hvis en pasient har seponert Humira og sykdoms</w:t>
      </w:r>
      <w:r w:rsidR="005C4746">
        <w:rPr>
          <w:sz w:val="22"/>
          <w:szCs w:val="22"/>
        </w:rPr>
        <w:t xml:space="preserve">tegn og </w:t>
      </w:r>
      <w:r w:rsidRPr="009C5EFD">
        <w:rPr>
          <w:sz w:val="22"/>
          <w:szCs w:val="22"/>
        </w:rPr>
        <w:t>symptomer kommer tilbake, kan Humira reintroduseres. Det er lite erfaring med reintroduksjon av Humira mer enn 8 uker etter forrige dose.</w:t>
      </w:r>
    </w:p>
    <w:p w14:paraId="7AA5BA10" w14:textId="77777777" w:rsidR="001E500F" w:rsidRPr="009C5EFD" w:rsidRDefault="001E500F" w:rsidP="009C5EFD">
      <w:pPr>
        <w:rPr>
          <w:sz w:val="22"/>
          <w:szCs w:val="22"/>
        </w:rPr>
      </w:pPr>
    </w:p>
    <w:p w14:paraId="42DFE32F" w14:textId="77777777" w:rsidR="001E500F" w:rsidRPr="009C5EFD" w:rsidRDefault="00E453CD" w:rsidP="009C5EFD">
      <w:pPr>
        <w:rPr>
          <w:sz w:val="22"/>
          <w:szCs w:val="22"/>
        </w:rPr>
      </w:pPr>
      <w:r w:rsidRPr="009C5EFD">
        <w:rPr>
          <w:sz w:val="22"/>
          <w:szCs w:val="22"/>
        </w:rPr>
        <w:t>I løpet av vedlikeholdsbehandling kan kortikosteroider gradvis seponeres i henhold til kliniske retningslinjer.</w:t>
      </w:r>
    </w:p>
    <w:p w14:paraId="221B6728" w14:textId="77777777" w:rsidR="001E500F" w:rsidRPr="009C5EFD" w:rsidRDefault="001E500F" w:rsidP="009C5EFD">
      <w:pPr>
        <w:rPr>
          <w:sz w:val="22"/>
          <w:szCs w:val="22"/>
        </w:rPr>
      </w:pPr>
    </w:p>
    <w:p w14:paraId="10511E49" w14:textId="77777777" w:rsidR="001E500F" w:rsidRPr="009C5EFD" w:rsidRDefault="00E453CD" w:rsidP="009C5EFD">
      <w:pPr>
        <w:rPr>
          <w:sz w:val="22"/>
          <w:szCs w:val="22"/>
        </w:rPr>
      </w:pPr>
      <w:r w:rsidRPr="009C5EFD">
        <w:rPr>
          <w:sz w:val="22"/>
          <w:szCs w:val="22"/>
        </w:rPr>
        <w:t xml:space="preserve">Enkelte pasienter som opplever en reduksjon i respons </w:t>
      </w:r>
      <w:r w:rsidR="007250BA">
        <w:rPr>
          <w:sz w:val="22"/>
          <w:szCs w:val="22"/>
        </w:rPr>
        <w:t>på</w:t>
      </w:r>
      <w:r w:rsidR="003E01CF">
        <w:rPr>
          <w:sz w:val="22"/>
          <w:szCs w:val="22"/>
        </w:rPr>
        <w:t xml:space="preserve"> Humira 40 mg annenhver uke, </w:t>
      </w:r>
      <w:r w:rsidRPr="009C5EFD">
        <w:rPr>
          <w:sz w:val="22"/>
          <w:szCs w:val="22"/>
        </w:rPr>
        <w:t>kan ha nytte av en økning i dosering til 40</w:t>
      </w:r>
      <w:r w:rsidR="002C636E" w:rsidRPr="009C5EFD">
        <w:rPr>
          <w:sz w:val="22"/>
          <w:szCs w:val="22"/>
        </w:rPr>
        <w:t> </w:t>
      </w:r>
      <w:r w:rsidRPr="009C5EFD">
        <w:rPr>
          <w:sz w:val="22"/>
          <w:szCs w:val="22"/>
        </w:rPr>
        <w:t>mg Humira hver uke</w:t>
      </w:r>
      <w:r w:rsidR="003E01CF">
        <w:rPr>
          <w:sz w:val="22"/>
          <w:szCs w:val="22"/>
        </w:rPr>
        <w:t xml:space="preserve"> eller 80 mg annenhver uke</w:t>
      </w:r>
      <w:r w:rsidRPr="009C5EFD">
        <w:rPr>
          <w:sz w:val="22"/>
          <w:szCs w:val="22"/>
        </w:rPr>
        <w:t>.</w:t>
      </w:r>
    </w:p>
    <w:p w14:paraId="13038534" w14:textId="77777777" w:rsidR="001E500F" w:rsidRPr="009C5EFD" w:rsidRDefault="001E500F" w:rsidP="009C5EFD">
      <w:pPr>
        <w:rPr>
          <w:sz w:val="22"/>
          <w:szCs w:val="22"/>
        </w:rPr>
      </w:pPr>
    </w:p>
    <w:p w14:paraId="0919D597" w14:textId="77777777" w:rsidR="001E500F" w:rsidRDefault="00E453CD" w:rsidP="009C5EFD">
      <w:pPr>
        <w:rPr>
          <w:sz w:val="22"/>
          <w:szCs w:val="22"/>
        </w:rPr>
      </w:pPr>
      <w:r w:rsidRPr="009C5EFD">
        <w:rPr>
          <w:sz w:val="22"/>
          <w:szCs w:val="22"/>
        </w:rPr>
        <w:t>Noen pasienter som ikke responderer innen uke</w:t>
      </w:r>
      <w:r w:rsidR="00AC35FB" w:rsidRPr="009C5EFD">
        <w:rPr>
          <w:sz w:val="22"/>
          <w:szCs w:val="22"/>
        </w:rPr>
        <w:t> </w:t>
      </w:r>
      <w:r w:rsidRPr="009C5EFD">
        <w:rPr>
          <w:sz w:val="22"/>
          <w:szCs w:val="22"/>
        </w:rPr>
        <w:t>4 kan ha nytte av fortsatt behandling til og med uke</w:t>
      </w:r>
      <w:r w:rsidR="00AC35FB" w:rsidRPr="009C5EFD">
        <w:rPr>
          <w:sz w:val="22"/>
          <w:szCs w:val="22"/>
        </w:rPr>
        <w:t> </w:t>
      </w:r>
      <w:r w:rsidRPr="009C5EFD">
        <w:rPr>
          <w:sz w:val="22"/>
          <w:szCs w:val="22"/>
        </w:rPr>
        <w:t>12. Fortsettelse av behandling bør overveies nøye hos pasienter som ikke responderer i løpet av denne tiden.</w:t>
      </w:r>
    </w:p>
    <w:p w14:paraId="3F23B016" w14:textId="77777777" w:rsidR="003E01CF" w:rsidRDefault="003E01CF" w:rsidP="009C5EFD">
      <w:pPr>
        <w:rPr>
          <w:sz w:val="22"/>
          <w:szCs w:val="22"/>
        </w:rPr>
      </w:pPr>
    </w:p>
    <w:p w14:paraId="5727189A" w14:textId="77777777" w:rsidR="003E01CF" w:rsidRPr="009C5EFD" w:rsidRDefault="00E453CD" w:rsidP="009C5EFD">
      <w:pPr>
        <w:rPr>
          <w:sz w:val="22"/>
          <w:szCs w:val="22"/>
          <w:u w:val="single"/>
        </w:rPr>
      </w:pPr>
      <w:r w:rsidRPr="00D115E8">
        <w:rPr>
          <w:sz w:val="22"/>
          <w:szCs w:val="22"/>
        </w:rPr>
        <w:t>Humira kan være tilgjengelig i andre styrker og/eller formuleringer avhengig av individuelle behandlingsbehov.</w:t>
      </w:r>
    </w:p>
    <w:p w14:paraId="11E7B945" w14:textId="77777777" w:rsidR="001E500F" w:rsidRPr="009C5EFD" w:rsidRDefault="001E500F" w:rsidP="009C5EFD">
      <w:pPr>
        <w:rPr>
          <w:sz w:val="22"/>
          <w:szCs w:val="22"/>
          <w:u w:val="single"/>
        </w:rPr>
      </w:pPr>
    </w:p>
    <w:p w14:paraId="01BB4012" w14:textId="77777777" w:rsidR="001E500F" w:rsidRPr="009C5EFD" w:rsidRDefault="00E453CD" w:rsidP="00CB31ED">
      <w:pPr>
        <w:keepNext/>
        <w:rPr>
          <w:i/>
          <w:sz w:val="22"/>
          <w:szCs w:val="22"/>
        </w:rPr>
      </w:pPr>
      <w:r w:rsidRPr="009C5EFD">
        <w:rPr>
          <w:i/>
          <w:sz w:val="22"/>
          <w:szCs w:val="22"/>
        </w:rPr>
        <w:t>Ulcerøs kolitt</w:t>
      </w:r>
    </w:p>
    <w:p w14:paraId="0795A844" w14:textId="77777777" w:rsidR="001E500F" w:rsidRPr="009C5EFD" w:rsidRDefault="001E500F" w:rsidP="00CB31ED">
      <w:pPr>
        <w:keepNext/>
        <w:rPr>
          <w:sz w:val="22"/>
          <w:szCs w:val="22"/>
          <w:u w:val="single"/>
        </w:rPr>
      </w:pPr>
    </w:p>
    <w:p w14:paraId="1364F540" w14:textId="77777777" w:rsidR="001E500F" w:rsidRPr="009C5EFD" w:rsidRDefault="00E453CD" w:rsidP="00776A84">
      <w:pPr>
        <w:rPr>
          <w:sz w:val="22"/>
          <w:szCs w:val="22"/>
        </w:rPr>
      </w:pPr>
      <w:r w:rsidRPr="009C5EFD">
        <w:rPr>
          <w:sz w:val="22"/>
          <w:szCs w:val="22"/>
        </w:rPr>
        <w:t>Anbefalt induksjonsregime med Humira hos voksne pasienter med moderat til alvorlig ulcerøs kolitt er 160</w:t>
      </w:r>
      <w:r w:rsidR="00AC35FB" w:rsidRPr="009C5EFD">
        <w:rPr>
          <w:sz w:val="22"/>
          <w:szCs w:val="22"/>
        </w:rPr>
        <w:t> </w:t>
      </w:r>
      <w:r w:rsidRPr="009C5EFD">
        <w:rPr>
          <w:sz w:val="22"/>
          <w:szCs w:val="22"/>
        </w:rPr>
        <w:t>mg ved uke</w:t>
      </w:r>
      <w:r w:rsidR="00AC35FB" w:rsidRPr="009C5EFD">
        <w:rPr>
          <w:sz w:val="22"/>
          <w:szCs w:val="22"/>
        </w:rPr>
        <w:t> </w:t>
      </w:r>
      <w:r w:rsidRPr="009C5EFD">
        <w:rPr>
          <w:sz w:val="22"/>
          <w:szCs w:val="22"/>
        </w:rPr>
        <w:t>0 (</w:t>
      </w:r>
      <w:r w:rsidR="003E01CF">
        <w:rPr>
          <w:sz w:val="22"/>
          <w:szCs w:val="22"/>
        </w:rPr>
        <w:t>gitt</w:t>
      </w:r>
      <w:r w:rsidRPr="009C5EFD">
        <w:rPr>
          <w:sz w:val="22"/>
          <w:szCs w:val="22"/>
        </w:rPr>
        <w:t xml:space="preserve"> som fire </w:t>
      </w:r>
      <w:r w:rsidR="003E01CF">
        <w:rPr>
          <w:sz w:val="22"/>
          <w:szCs w:val="22"/>
        </w:rPr>
        <w:t>40</w:t>
      </w:r>
      <w:r w:rsidR="00835488">
        <w:rPr>
          <w:sz w:val="22"/>
          <w:szCs w:val="22"/>
        </w:rPr>
        <w:t> </w:t>
      </w:r>
      <w:r w:rsidR="003E01CF">
        <w:rPr>
          <w:sz w:val="22"/>
          <w:szCs w:val="22"/>
        </w:rPr>
        <w:t xml:space="preserve">mg </w:t>
      </w:r>
      <w:r w:rsidRPr="009C5EFD">
        <w:rPr>
          <w:sz w:val="22"/>
          <w:szCs w:val="22"/>
        </w:rPr>
        <w:t xml:space="preserve">injeksjoner </w:t>
      </w:r>
      <w:r w:rsidR="003E01CF">
        <w:rPr>
          <w:sz w:val="22"/>
          <w:szCs w:val="22"/>
        </w:rPr>
        <w:t>på</w:t>
      </w:r>
      <w:r w:rsidRPr="009C5EFD">
        <w:rPr>
          <w:sz w:val="22"/>
          <w:szCs w:val="22"/>
        </w:rPr>
        <w:t xml:space="preserve"> en dag eller som to </w:t>
      </w:r>
      <w:r w:rsidR="003E01CF">
        <w:rPr>
          <w:sz w:val="22"/>
          <w:szCs w:val="22"/>
        </w:rPr>
        <w:t>40</w:t>
      </w:r>
      <w:r w:rsidR="00835488">
        <w:rPr>
          <w:sz w:val="22"/>
          <w:szCs w:val="22"/>
        </w:rPr>
        <w:t> </w:t>
      </w:r>
      <w:r w:rsidR="003E01CF">
        <w:rPr>
          <w:sz w:val="22"/>
          <w:szCs w:val="22"/>
        </w:rPr>
        <w:t xml:space="preserve">mg </w:t>
      </w:r>
      <w:r w:rsidRPr="009C5EFD">
        <w:rPr>
          <w:sz w:val="22"/>
          <w:szCs w:val="22"/>
        </w:rPr>
        <w:t>injeksjoner dag</w:t>
      </w:r>
      <w:r w:rsidR="00EF5E79">
        <w:rPr>
          <w:sz w:val="22"/>
          <w:szCs w:val="22"/>
        </w:rPr>
        <w:t>lig</w:t>
      </w:r>
      <w:r w:rsidRPr="009C5EFD">
        <w:rPr>
          <w:sz w:val="22"/>
          <w:szCs w:val="22"/>
        </w:rPr>
        <w:t xml:space="preserve"> </w:t>
      </w:r>
      <w:r w:rsidR="00326F9C">
        <w:rPr>
          <w:sz w:val="22"/>
          <w:szCs w:val="22"/>
        </w:rPr>
        <w:t>i</w:t>
      </w:r>
      <w:r w:rsidRPr="009C5EFD">
        <w:rPr>
          <w:sz w:val="22"/>
          <w:szCs w:val="22"/>
        </w:rPr>
        <w:t xml:space="preserve"> to påfølgende dager), etterfulgt av 80 mg ved uke 2</w:t>
      </w:r>
      <w:r w:rsidR="003E01CF">
        <w:rPr>
          <w:sz w:val="22"/>
          <w:szCs w:val="22"/>
        </w:rPr>
        <w:t xml:space="preserve"> </w:t>
      </w:r>
      <w:r w:rsidR="003E01CF" w:rsidRPr="00B24265">
        <w:rPr>
          <w:sz w:val="22"/>
          <w:szCs w:val="22"/>
        </w:rPr>
        <w:t>(gitt som to 40</w:t>
      </w:r>
      <w:r w:rsidR="00835488">
        <w:rPr>
          <w:sz w:val="22"/>
          <w:szCs w:val="22"/>
        </w:rPr>
        <w:t> </w:t>
      </w:r>
      <w:r w:rsidR="003E01CF" w:rsidRPr="00B24265">
        <w:rPr>
          <w:sz w:val="22"/>
          <w:szCs w:val="22"/>
        </w:rPr>
        <w:t>mg injeksjoner på en dag)</w:t>
      </w:r>
      <w:r w:rsidRPr="009C5EFD">
        <w:rPr>
          <w:sz w:val="22"/>
          <w:szCs w:val="22"/>
        </w:rPr>
        <w:t>. Etter induksjon er anbefalt dose 40</w:t>
      </w:r>
      <w:r w:rsidR="00AC35FB" w:rsidRPr="009C5EFD">
        <w:rPr>
          <w:sz w:val="22"/>
          <w:szCs w:val="22"/>
        </w:rPr>
        <w:t> </w:t>
      </w:r>
      <w:r w:rsidRPr="009C5EFD">
        <w:rPr>
          <w:sz w:val="22"/>
          <w:szCs w:val="22"/>
        </w:rPr>
        <w:t>mg annenhver uke via subkutan injeksjon.</w:t>
      </w:r>
    </w:p>
    <w:p w14:paraId="232159BB" w14:textId="77777777" w:rsidR="001E500F" w:rsidRPr="009C5EFD" w:rsidRDefault="001E500F" w:rsidP="009C5EFD">
      <w:pPr>
        <w:rPr>
          <w:sz w:val="22"/>
          <w:szCs w:val="22"/>
        </w:rPr>
      </w:pPr>
    </w:p>
    <w:p w14:paraId="517C1C15" w14:textId="77777777" w:rsidR="001E500F" w:rsidRPr="009C5EFD" w:rsidRDefault="00E453CD" w:rsidP="009C5EFD">
      <w:pPr>
        <w:rPr>
          <w:sz w:val="22"/>
          <w:szCs w:val="22"/>
        </w:rPr>
      </w:pPr>
      <w:r w:rsidRPr="009C5EFD">
        <w:rPr>
          <w:sz w:val="22"/>
          <w:szCs w:val="22"/>
        </w:rPr>
        <w:t>I løpet av vedlikeholdsbehandling kan kortikosteroider gradvis seponeres i henhold til kliniske retningslinjer.</w:t>
      </w:r>
    </w:p>
    <w:p w14:paraId="214E3C37" w14:textId="77777777" w:rsidR="001E500F" w:rsidRPr="009C5EFD" w:rsidRDefault="001E500F" w:rsidP="009C5EFD">
      <w:pPr>
        <w:rPr>
          <w:sz w:val="22"/>
          <w:szCs w:val="22"/>
        </w:rPr>
      </w:pPr>
    </w:p>
    <w:p w14:paraId="5168DF66" w14:textId="77777777" w:rsidR="001E500F" w:rsidRPr="009C5EFD" w:rsidRDefault="00E453CD" w:rsidP="009C5EFD">
      <w:pPr>
        <w:rPr>
          <w:sz w:val="22"/>
          <w:szCs w:val="22"/>
        </w:rPr>
      </w:pPr>
      <w:r w:rsidRPr="009C5EFD">
        <w:rPr>
          <w:sz w:val="22"/>
          <w:szCs w:val="22"/>
        </w:rPr>
        <w:t>Enkelte pasienter som opplever en reduksjon i respons</w:t>
      </w:r>
      <w:r w:rsidR="007250BA">
        <w:rPr>
          <w:sz w:val="22"/>
          <w:szCs w:val="22"/>
        </w:rPr>
        <w:t xml:space="preserve"> på</w:t>
      </w:r>
      <w:r w:rsidR="003E01CF">
        <w:rPr>
          <w:sz w:val="22"/>
          <w:szCs w:val="22"/>
        </w:rPr>
        <w:t xml:space="preserve"> Humira 40</w:t>
      </w:r>
      <w:r w:rsidR="00835488">
        <w:rPr>
          <w:sz w:val="22"/>
          <w:szCs w:val="22"/>
        </w:rPr>
        <w:t> </w:t>
      </w:r>
      <w:r w:rsidR="003E01CF">
        <w:rPr>
          <w:sz w:val="22"/>
          <w:szCs w:val="22"/>
        </w:rPr>
        <w:t>mg annenhver uke</w:t>
      </w:r>
      <w:r w:rsidRPr="009C5EFD">
        <w:rPr>
          <w:sz w:val="22"/>
          <w:szCs w:val="22"/>
        </w:rPr>
        <w:t>, kan ha nytte av en økning i dosering til 40</w:t>
      </w:r>
      <w:r w:rsidR="00AC35FB" w:rsidRPr="009C5EFD">
        <w:rPr>
          <w:sz w:val="22"/>
          <w:szCs w:val="22"/>
        </w:rPr>
        <w:t> </w:t>
      </w:r>
      <w:r w:rsidRPr="009C5EFD">
        <w:rPr>
          <w:sz w:val="22"/>
          <w:szCs w:val="22"/>
        </w:rPr>
        <w:t>mg Humira hver uke</w:t>
      </w:r>
      <w:r w:rsidR="003E01CF">
        <w:rPr>
          <w:sz w:val="22"/>
          <w:szCs w:val="22"/>
        </w:rPr>
        <w:t xml:space="preserve"> eller 80</w:t>
      </w:r>
      <w:r w:rsidR="00835488">
        <w:rPr>
          <w:sz w:val="22"/>
          <w:szCs w:val="22"/>
        </w:rPr>
        <w:t> </w:t>
      </w:r>
      <w:r w:rsidR="003E01CF">
        <w:rPr>
          <w:sz w:val="22"/>
          <w:szCs w:val="22"/>
        </w:rPr>
        <w:t>mg annenhver uke</w:t>
      </w:r>
      <w:r w:rsidRPr="009C5EFD">
        <w:rPr>
          <w:sz w:val="22"/>
          <w:szCs w:val="22"/>
        </w:rPr>
        <w:t>.</w:t>
      </w:r>
    </w:p>
    <w:p w14:paraId="3F4F2897" w14:textId="77777777" w:rsidR="001E500F" w:rsidRPr="009C5EFD" w:rsidRDefault="001E500F" w:rsidP="009C5EFD">
      <w:pPr>
        <w:rPr>
          <w:sz w:val="22"/>
          <w:szCs w:val="22"/>
        </w:rPr>
      </w:pPr>
    </w:p>
    <w:p w14:paraId="5AD50F35" w14:textId="77777777" w:rsidR="001E500F" w:rsidRDefault="00E453CD" w:rsidP="009C5EFD">
      <w:pPr>
        <w:rPr>
          <w:sz w:val="22"/>
          <w:szCs w:val="22"/>
        </w:rPr>
      </w:pPr>
      <w:r w:rsidRPr="009C5EFD">
        <w:rPr>
          <w:sz w:val="22"/>
          <w:szCs w:val="22"/>
        </w:rPr>
        <w:t xml:space="preserve">Tilgjengelig data </w:t>
      </w:r>
      <w:r w:rsidR="00B061AD">
        <w:rPr>
          <w:sz w:val="22"/>
          <w:szCs w:val="22"/>
        </w:rPr>
        <w:t>an</w:t>
      </w:r>
      <w:r w:rsidRPr="009C5EFD">
        <w:rPr>
          <w:sz w:val="22"/>
          <w:szCs w:val="22"/>
        </w:rPr>
        <w:t>tyder at klinisk respons vanligvis oppnås innen 2</w:t>
      </w:r>
      <w:r w:rsidR="00AC35FB" w:rsidRPr="009C5EFD">
        <w:rPr>
          <w:sz w:val="22"/>
          <w:szCs w:val="22"/>
        </w:rPr>
        <w:noBreakHyphen/>
      </w:r>
      <w:r w:rsidRPr="009C5EFD">
        <w:rPr>
          <w:sz w:val="22"/>
          <w:szCs w:val="22"/>
        </w:rPr>
        <w:t>8</w:t>
      </w:r>
      <w:r w:rsidR="00AC35FB" w:rsidRPr="009C5EFD">
        <w:rPr>
          <w:sz w:val="22"/>
          <w:szCs w:val="22"/>
        </w:rPr>
        <w:t> </w:t>
      </w:r>
      <w:r w:rsidRPr="009C5EFD">
        <w:rPr>
          <w:sz w:val="22"/>
          <w:szCs w:val="22"/>
        </w:rPr>
        <w:t>ukers behandling. Behandling med Humira bør ikke fortsette hos pasienter som ikke responderer i løpet av denne tiden.</w:t>
      </w:r>
    </w:p>
    <w:p w14:paraId="3AB542BD" w14:textId="77777777" w:rsidR="003E01CF" w:rsidRDefault="003E01CF" w:rsidP="009C5EFD">
      <w:pPr>
        <w:rPr>
          <w:sz w:val="22"/>
          <w:szCs w:val="22"/>
        </w:rPr>
      </w:pPr>
    </w:p>
    <w:p w14:paraId="56CE285F" w14:textId="77777777" w:rsidR="003E01CF" w:rsidRDefault="00E453CD" w:rsidP="009C5EFD">
      <w:pPr>
        <w:rPr>
          <w:sz w:val="22"/>
          <w:szCs w:val="22"/>
        </w:rPr>
      </w:pPr>
      <w:r w:rsidRPr="00D115E8">
        <w:rPr>
          <w:sz w:val="22"/>
          <w:szCs w:val="22"/>
        </w:rPr>
        <w:t>Humira kan være tilgjengelig i andre styrker og/eller formuleringer avhengig av individuelle behandlingsbehov.</w:t>
      </w:r>
    </w:p>
    <w:p w14:paraId="3DEFAAF0" w14:textId="77777777" w:rsidR="00E50949" w:rsidRDefault="00E50949" w:rsidP="009C5EFD">
      <w:pPr>
        <w:rPr>
          <w:sz w:val="22"/>
          <w:szCs w:val="22"/>
        </w:rPr>
      </w:pPr>
    </w:p>
    <w:p w14:paraId="2E7D9EA4" w14:textId="77777777" w:rsidR="00E50949" w:rsidRDefault="00E453CD" w:rsidP="00776A84">
      <w:pPr>
        <w:keepNext/>
        <w:rPr>
          <w:i/>
          <w:sz w:val="22"/>
          <w:szCs w:val="22"/>
        </w:rPr>
      </w:pPr>
      <w:r w:rsidRPr="001F5D4B">
        <w:rPr>
          <w:i/>
          <w:sz w:val="22"/>
          <w:szCs w:val="22"/>
        </w:rPr>
        <w:lastRenderedPageBreak/>
        <w:t>U</w:t>
      </w:r>
      <w:r>
        <w:rPr>
          <w:i/>
          <w:sz w:val="22"/>
          <w:szCs w:val="22"/>
        </w:rPr>
        <w:t>veitt</w:t>
      </w:r>
    </w:p>
    <w:p w14:paraId="243BD12C" w14:textId="77777777" w:rsidR="00E50949" w:rsidRDefault="00E50949" w:rsidP="00776A84">
      <w:pPr>
        <w:keepNext/>
        <w:rPr>
          <w:i/>
          <w:sz w:val="22"/>
          <w:szCs w:val="22"/>
        </w:rPr>
      </w:pPr>
    </w:p>
    <w:p w14:paraId="25D4456D" w14:textId="77777777" w:rsidR="00E50949" w:rsidRDefault="00E453CD" w:rsidP="00E50949">
      <w:pPr>
        <w:rPr>
          <w:sz w:val="22"/>
          <w:szCs w:val="22"/>
        </w:rPr>
      </w:pPr>
      <w:r w:rsidRPr="009C5EFD">
        <w:rPr>
          <w:sz w:val="22"/>
          <w:szCs w:val="22"/>
        </w:rPr>
        <w:t xml:space="preserve">Anbefalt </w:t>
      </w:r>
      <w:r w:rsidRPr="00FE3CA6">
        <w:rPr>
          <w:sz w:val="22"/>
          <w:szCs w:val="22"/>
        </w:rPr>
        <w:t>startdose</w:t>
      </w:r>
      <w:r w:rsidRPr="009C5EFD">
        <w:rPr>
          <w:sz w:val="22"/>
          <w:szCs w:val="22"/>
        </w:rPr>
        <w:t xml:space="preserve"> </w:t>
      </w:r>
      <w:r>
        <w:rPr>
          <w:sz w:val="22"/>
          <w:szCs w:val="22"/>
        </w:rPr>
        <w:t>av</w:t>
      </w:r>
      <w:r w:rsidRPr="009C5EFD">
        <w:rPr>
          <w:sz w:val="22"/>
          <w:szCs w:val="22"/>
        </w:rPr>
        <w:t xml:space="preserve"> Humira </w:t>
      </w:r>
      <w:r>
        <w:rPr>
          <w:sz w:val="22"/>
          <w:szCs w:val="22"/>
        </w:rPr>
        <w:t>til</w:t>
      </w:r>
      <w:r w:rsidRPr="009C5EFD">
        <w:rPr>
          <w:sz w:val="22"/>
          <w:szCs w:val="22"/>
        </w:rPr>
        <w:t xml:space="preserve"> voksne pasienter</w:t>
      </w:r>
      <w:r>
        <w:rPr>
          <w:sz w:val="22"/>
          <w:szCs w:val="22"/>
        </w:rPr>
        <w:t xml:space="preserve"> med uveitt er </w:t>
      </w:r>
      <w:r w:rsidRPr="00FE3CA6">
        <w:rPr>
          <w:sz w:val="22"/>
          <w:szCs w:val="22"/>
        </w:rPr>
        <w:t>80 mg etterfulgt av 40 mg etter en uke, og deretter 40 mg annenhver uke.</w:t>
      </w:r>
      <w:r>
        <w:rPr>
          <w:sz w:val="22"/>
          <w:szCs w:val="22"/>
        </w:rPr>
        <w:t xml:space="preserve"> Det er begrenset erfaring med oppstart av behandling med Humira alene. Behandling med Humira kan starte</w:t>
      </w:r>
      <w:r w:rsidR="002C5303">
        <w:rPr>
          <w:sz w:val="22"/>
          <w:szCs w:val="22"/>
        </w:rPr>
        <w:t>s i kombinasjon med kortikoster</w:t>
      </w:r>
      <w:r>
        <w:rPr>
          <w:sz w:val="22"/>
          <w:szCs w:val="22"/>
        </w:rPr>
        <w:t>oider og/eller med andre ikke-biologiske immunmodulerende midler. To uker etter oppstart av behandling med Humira kan samtidig behandling med kortikosteroider trappes ned i henhold til klinisk praksis.</w:t>
      </w:r>
    </w:p>
    <w:p w14:paraId="5B78222A" w14:textId="77777777" w:rsidR="00E50949" w:rsidRDefault="00E50949" w:rsidP="00E50949">
      <w:pPr>
        <w:rPr>
          <w:sz w:val="22"/>
          <w:szCs w:val="22"/>
        </w:rPr>
      </w:pPr>
    </w:p>
    <w:p w14:paraId="2AC38E9C" w14:textId="77777777" w:rsidR="00E50949" w:rsidRDefault="00E453CD" w:rsidP="00E50949">
      <w:pPr>
        <w:rPr>
          <w:sz w:val="22"/>
          <w:szCs w:val="22"/>
        </w:rPr>
      </w:pPr>
      <w:r>
        <w:rPr>
          <w:sz w:val="22"/>
          <w:szCs w:val="22"/>
        </w:rPr>
        <w:t>Det anbefales at nytte og risiko ved fortsatt langtidsbehandling vurderes årlig (se pkt. 5.1).</w:t>
      </w:r>
    </w:p>
    <w:p w14:paraId="2B42B8FC" w14:textId="77777777" w:rsidR="003E01CF" w:rsidRDefault="003E01CF" w:rsidP="00E50949">
      <w:pPr>
        <w:rPr>
          <w:sz w:val="22"/>
          <w:szCs w:val="22"/>
        </w:rPr>
      </w:pPr>
    </w:p>
    <w:p w14:paraId="39BF6BDF" w14:textId="77777777" w:rsidR="003E01CF" w:rsidRPr="009C5EFD" w:rsidRDefault="00E453CD" w:rsidP="00E50949">
      <w:pPr>
        <w:rPr>
          <w:sz w:val="22"/>
          <w:szCs w:val="22"/>
        </w:rPr>
      </w:pPr>
      <w:r w:rsidRPr="00D115E8">
        <w:rPr>
          <w:sz w:val="22"/>
          <w:szCs w:val="22"/>
        </w:rPr>
        <w:t>Humira kan være tilgjengelig i andre styrker og/eller formuleringer avhengig av individuelle behandlingsbehov.</w:t>
      </w:r>
    </w:p>
    <w:p w14:paraId="7F9A190F" w14:textId="77777777" w:rsidR="001E500F" w:rsidRDefault="001E500F" w:rsidP="009C5EFD">
      <w:pPr>
        <w:rPr>
          <w:sz w:val="22"/>
          <w:szCs w:val="22"/>
        </w:rPr>
      </w:pPr>
    </w:p>
    <w:p w14:paraId="55C0467D" w14:textId="77777777" w:rsidR="006D599F" w:rsidRPr="00AF70AD" w:rsidRDefault="00E453CD" w:rsidP="00AF70AD">
      <w:pPr>
        <w:keepNext/>
        <w:rPr>
          <w:sz w:val="22"/>
          <w:szCs w:val="22"/>
          <w:u w:val="single"/>
        </w:rPr>
      </w:pPr>
      <w:r w:rsidRPr="00AF70AD">
        <w:rPr>
          <w:sz w:val="22"/>
          <w:szCs w:val="22"/>
          <w:u w:val="single"/>
        </w:rPr>
        <w:t>Spesielle populasjoner</w:t>
      </w:r>
    </w:p>
    <w:p w14:paraId="4C5D14EF" w14:textId="77777777" w:rsidR="006D599F" w:rsidRPr="009C5EFD" w:rsidRDefault="006D599F" w:rsidP="00AF70AD">
      <w:pPr>
        <w:keepNext/>
        <w:rPr>
          <w:sz w:val="22"/>
          <w:szCs w:val="22"/>
        </w:rPr>
      </w:pPr>
    </w:p>
    <w:p w14:paraId="29F8E167" w14:textId="77777777" w:rsidR="001E500F" w:rsidRPr="00AB7697" w:rsidRDefault="00E453CD" w:rsidP="00AF70AD">
      <w:pPr>
        <w:keepNext/>
        <w:rPr>
          <w:sz w:val="22"/>
          <w:szCs w:val="22"/>
        </w:rPr>
      </w:pPr>
      <w:r w:rsidRPr="00AB7697">
        <w:rPr>
          <w:sz w:val="22"/>
          <w:szCs w:val="22"/>
        </w:rPr>
        <w:t>Eldre</w:t>
      </w:r>
    </w:p>
    <w:p w14:paraId="4BEBF852" w14:textId="77777777" w:rsidR="001E500F" w:rsidRPr="009C5EFD" w:rsidRDefault="001E500F" w:rsidP="00AF70AD">
      <w:pPr>
        <w:keepNext/>
        <w:rPr>
          <w:sz w:val="22"/>
          <w:szCs w:val="22"/>
        </w:rPr>
      </w:pPr>
    </w:p>
    <w:p w14:paraId="36A23BB4" w14:textId="77777777" w:rsidR="001E500F" w:rsidRPr="009C5EFD" w:rsidRDefault="00E453CD" w:rsidP="009C5EFD">
      <w:pPr>
        <w:rPr>
          <w:sz w:val="22"/>
          <w:szCs w:val="22"/>
        </w:rPr>
      </w:pPr>
      <w:r w:rsidRPr="009C5EFD">
        <w:rPr>
          <w:sz w:val="22"/>
          <w:szCs w:val="22"/>
        </w:rPr>
        <w:t>Det er ikke nødvendig med justering av dosen.</w:t>
      </w:r>
    </w:p>
    <w:p w14:paraId="08D94109" w14:textId="77777777" w:rsidR="001E500F" w:rsidRPr="009C5EFD" w:rsidRDefault="001E500F" w:rsidP="009C5EFD">
      <w:pPr>
        <w:rPr>
          <w:sz w:val="22"/>
          <w:szCs w:val="22"/>
        </w:rPr>
      </w:pPr>
    </w:p>
    <w:p w14:paraId="11A0A52E" w14:textId="77777777" w:rsidR="001E500F" w:rsidRPr="00AB7697" w:rsidRDefault="00E453CD" w:rsidP="00AF70AD">
      <w:pPr>
        <w:pStyle w:val="Heading8"/>
        <w:rPr>
          <w:szCs w:val="22"/>
          <w:u w:val="none"/>
        </w:rPr>
      </w:pPr>
      <w:r w:rsidRPr="00AB7697">
        <w:rPr>
          <w:szCs w:val="22"/>
          <w:u w:val="none"/>
        </w:rPr>
        <w:t>Nedsatt nyre- og/eller leverfunksjon</w:t>
      </w:r>
    </w:p>
    <w:p w14:paraId="5AED7DF2" w14:textId="77777777" w:rsidR="001E500F" w:rsidRPr="009C5EFD" w:rsidRDefault="001E500F" w:rsidP="00AF70AD">
      <w:pPr>
        <w:keepNext/>
        <w:rPr>
          <w:b/>
          <w:bCs/>
          <w:i/>
          <w:iCs/>
          <w:sz w:val="22"/>
          <w:szCs w:val="22"/>
        </w:rPr>
      </w:pPr>
    </w:p>
    <w:p w14:paraId="64059B82" w14:textId="77777777" w:rsidR="001E500F" w:rsidRPr="009C5EFD" w:rsidRDefault="00E453CD" w:rsidP="009C5EFD">
      <w:pPr>
        <w:rPr>
          <w:sz w:val="22"/>
          <w:szCs w:val="22"/>
        </w:rPr>
      </w:pPr>
      <w:r w:rsidRPr="009C5EFD">
        <w:rPr>
          <w:sz w:val="22"/>
          <w:szCs w:val="22"/>
        </w:rPr>
        <w:t xml:space="preserve">Humira er ikke </w:t>
      </w:r>
      <w:r w:rsidR="009929AB">
        <w:rPr>
          <w:sz w:val="22"/>
          <w:szCs w:val="22"/>
        </w:rPr>
        <w:t>undersøkt hos</w:t>
      </w:r>
      <w:r w:rsidRPr="009C5EFD">
        <w:rPr>
          <w:sz w:val="22"/>
          <w:szCs w:val="22"/>
        </w:rPr>
        <w:t xml:space="preserve"> disse pasientpopulasjonene</w:t>
      </w:r>
      <w:r w:rsidRPr="009C5EFD">
        <w:rPr>
          <w:b/>
          <w:bCs/>
          <w:i/>
          <w:iCs/>
          <w:sz w:val="22"/>
          <w:szCs w:val="22"/>
        </w:rPr>
        <w:t>.</w:t>
      </w:r>
      <w:r w:rsidRPr="009C5EFD">
        <w:rPr>
          <w:i/>
          <w:iCs/>
          <w:sz w:val="22"/>
          <w:szCs w:val="22"/>
        </w:rPr>
        <w:t xml:space="preserve"> </w:t>
      </w:r>
      <w:r w:rsidRPr="009C5EFD">
        <w:rPr>
          <w:sz w:val="22"/>
          <w:szCs w:val="22"/>
        </w:rPr>
        <w:t>Ingen doseanbefaling kan gis.</w:t>
      </w:r>
    </w:p>
    <w:p w14:paraId="462BA7F6" w14:textId="77777777" w:rsidR="001E500F" w:rsidRPr="009C5EFD" w:rsidRDefault="001E500F" w:rsidP="009C5EFD">
      <w:pPr>
        <w:rPr>
          <w:sz w:val="22"/>
          <w:szCs w:val="22"/>
        </w:rPr>
      </w:pPr>
    </w:p>
    <w:p w14:paraId="13D76B20" w14:textId="77777777" w:rsidR="00F319B7" w:rsidRPr="00AB7697" w:rsidRDefault="00E453CD" w:rsidP="00AF70AD">
      <w:pPr>
        <w:keepNext/>
        <w:rPr>
          <w:sz w:val="22"/>
          <w:szCs w:val="22"/>
        </w:rPr>
      </w:pPr>
      <w:r w:rsidRPr="00AB7697">
        <w:rPr>
          <w:sz w:val="22"/>
          <w:szCs w:val="22"/>
        </w:rPr>
        <w:t>Pediatrisk populasjon</w:t>
      </w:r>
    </w:p>
    <w:p w14:paraId="4A356D89" w14:textId="77777777" w:rsidR="00F319B7" w:rsidRPr="009C5EFD" w:rsidRDefault="00F319B7" w:rsidP="00AF70AD">
      <w:pPr>
        <w:keepNext/>
        <w:rPr>
          <w:sz w:val="22"/>
          <w:szCs w:val="22"/>
          <w:u w:val="single"/>
        </w:rPr>
      </w:pPr>
    </w:p>
    <w:p w14:paraId="7EB80279" w14:textId="77777777" w:rsidR="00F319B7" w:rsidRPr="001F5D4B" w:rsidRDefault="00E453CD" w:rsidP="00AF70AD">
      <w:pPr>
        <w:pStyle w:val="EMEANormal"/>
        <w:keepNext/>
        <w:rPr>
          <w:i/>
          <w:szCs w:val="22"/>
          <w:lang w:val="nb-NO"/>
        </w:rPr>
      </w:pPr>
      <w:r w:rsidRPr="001F5D4B">
        <w:rPr>
          <w:i/>
          <w:szCs w:val="22"/>
          <w:lang w:val="nb-NO"/>
        </w:rPr>
        <w:t>Juvenil idiopatisk artritt</w:t>
      </w:r>
    </w:p>
    <w:p w14:paraId="7443D6C3" w14:textId="77777777" w:rsidR="00F319B7" w:rsidRPr="007F67EE" w:rsidRDefault="00F319B7" w:rsidP="00AF70AD">
      <w:pPr>
        <w:keepNext/>
        <w:rPr>
          <w:sz w:val="22"/>
          <w:szCs w:val="22"/>
        </w:rPr>
      </w:pPr>
    </w:p>
    <w:p w14:paraId="6992EBF3" w14:textId="77777777" w:rsidR="00F319B7" w:rsidRPr="001F5D4B" w:rsidRDefault="00E453CD" w:rsidP="000F2B7A">
      <w:pPr>
        <w:keepNext/>
        <w:rPr>
          <w:i/>
          <w:sz w:val="22"/>
          <w:szCs w:val="22"/>
          <w:u w:val="single"/>
        </w:rPr>
      </w:pPr>
      <w:r w:rsidRPr="001F5D4B">
        <w:rPr>
          <w:i/>
          <w:sz w:val="22"/>
          <w:szCs w:val="22"/>
          <w:u w:val="single"/>
        </w:rPr>
        <w:t xml:space="preserve">Polyartikulær juvenil idiopatisk artritt </w:t>
      </w:r>
      <w:r>
        <w:rPr>
          <w:i/>
          <w:sz w:val="22"/>
          <w:szCs w:val="22"/>
          <w:u w:val="single"/>
        </w:rPr>
        <w:t xml:space="preserve">fra </w:t>
      </w:r>
      <w:r w:rsidRPr="001F5D4B">
        <w:rPr>
          <w:i/>
          <w:sz w:val="22"/>
          <w:szCs w:val="22"/>
          <w:u w:val="single"/>
        </w:rPr>
        <w:t>2 år</w:t>
      </w:r>
      <w:r w:rsidR="002A2D0D">
        <w:rPr>
          <w:i/>
          <w:sz w:val="22"/>
          <w:szCs w:val="22"/>
          <w:u w:val="single"/>
        </w:rPr>
        <w:t>s alder</w:t>
      </w:r>
    </w:p>
    <w:p w14:paraId="4472C5E2" w14:textId="77777777" w:rsidR="00F319B7" w:rsidRPr="007F67EE" w:rsidRDefault="00F319B7" w:rsidP="00F319B7">
      <w:pPr>
        <w:keepNext/>
        <w:rPr>
          <w:sz w:val="22"/>
          <w:szCs w:val="22"/>
        </w:rPr>
      </w:pPr>
    </w:p>
    <w:p w14:paraId="021E4B91" w14:textId="77777777" w:rsidR="00F319B7" w:rsidRDefault="00E453CD" w:rsidP="00776A84">
      <w:pPr>
        <w:rPr>
          <w:sz w:val="22"/>
          <w:szCs w:val="22"/>
        </w:rPr>
      </w:pPr>
      <w:r w:rsidRPr="00193D76">
        <w:rPr>
          <w:sz w:val="22"/>
          <w:szCs w:val="22"/>
        </w:rPr>
        <w:t xml:space="preserve">Anbefalt dose av Humira til pasienter </w:t>
      </w:r>
      <w:r w:rsidR="002A2D0D">
        <w:rPr>
          <w:sz w:val="22"/>
          <w:szCs w:val="22"/>
        </w:rPr>
        <w:t xml:space="preserve">over 2 år </w:t>
      </w:r>
      <w:r w:rsidRPr="00193D76">
        <w:rPr>
          <w:sz w:val="22"/>
          <w:szCs w:val="22"/>
        </w:rPr>
        <w:t>med polyartikulær juvenil idiopa</w:t>
      </w:r>
      <w:r w:rsidRPr="002D0790">
        <w:rPr>
          <w:sz w:val="22"/>
          <w:szCs w:val="22"/>
        </w:rPr>
        <w:t>tisk artritt</w:t>
      </w:r>
      <w:r w:rsidRPr="009C5EFD">
        <w:rPr>
          <w:sz w:val="22"/>
          <w:szCs w:val="22"/>
        </w:rPr>
        <w:t>, er</w:t>
      </w:r>
      <w:r>
        <w:rPr>
          <w:sz w:val="22"/>
          <w:szCs w:val="22"/>
        </w:rPr>
        <w:t xml:space="preserve"> basert på kroppsvekt (</w:t>
      </w:r>
      <w:r w:rsidR="00C455EA">
        <w:rPr>
          <w:sz w:val="22"/>
          <w:szCs w:val="22"/>
        </w:rPr>
        <w:t>t</w:t>
      </w:r>
      <w:r>
        <w:rPr>
          <w:sz w:val="22"/>
          <w:szCs w:val="22"/>
        </w:rPr>
        <w:t>abell 1). Humira</w:t>
      </w:r>
      <w:r w:rsidRPr="009C5EFD">
        <w:rPr>
          <w:sz w:val="22"/>
          <w:szCs w:val="22"/>
        </w:rPr>
        <w:t xml:space="preserve"> </w:t>
      </w:r>
      <w:r w:rsidR="00E571FA">
        <w:rPr>
          <w:sz w:val="22"/>
          <w:szCs w:val="22"/>
        </w:rPr>
        <w:t>administreres</w:t>
      </w:r>
      <w:r w:rsidR="00E571FA" w:rsidRPr="009C5EFD">
        <w:rPr>
          <w:sz w:val="22"/>
          <w:szCs w:val="22"/>
        </w:rPr>
        <w:t xml:space="preserve"> </w:t>
      </w:r>
      <w:r w:rsidR="00E571FA">
        <w:rPr>
          <w:sz w:val="22"/>
          <w:szCs w:val="22"/>
        </w:rPr>
        <w:t xml:space="preserve">som </w:t>
      </w:r>
      <w:r w:rsidRPr="009C5EFD">
        <w:rPr>
          <w:sz w:val="22"/>
          <w:szCs w:val="22"/>
        </w:rPr>
        <w:t>subkutan</w:t>
      </w:r>
      <w:r w:rsidR="00E571FA">
        <w:rPr>
          <w:sz w:val="22"/>
          <w:szCs w:val="22"/>
        </w:rPr>
        <w:t xml:space="preserve"> injeksjon </w:t>
      </w:r>
      <w:r w:rsidRPr="009C5EFD">
        <w:rPr>
          <w:sz w:val="22"/>
          <w:szCs w:val="22"/>
        </w:rPr>
        <w:t>annenhver uke.</w:t>
      </w:r>
    </w:p>
    <w:p w14:paraId="5F45B2B2" w14:textId="77777777" w:rsidR="00F319B7" w:rsidRDefault="00F319B7" w:rsidP="003219FB">
      <w:pPr>
        <w:rPr>
          <w:sz w:val="22"/>
          <w:szCs w:val="22"/>
        </w:rPr>
      </w:pPr>
    </w:p>
    <w:p w14:paraId="0FE53946" w14:textId="77777777" w:rsidR="00F319B7" w:rsidRPr="000624CD" w:rsidRDefault="00E453CD" w:rsidP="003219FB">
      <w:pPr>
        <w:keepNext/>
        <w:jc w:val="center"/>
        <w:rPr>
          <w:sz w:val="22"/>
          <w:szCs w:val="22"/>
        </w:rPr>
      </w:pPr>
      <w:r w:rsidRPr="00AB7697">
        <w:rPr>
          <w:b/>
          <w:sz w:val="22"/>
          <w:szCs w:val="22"/>
        </w:rPr>
        <w:t>Tabell 1. Humiradosering for pasienter med polyartik</w:t>
      </w:r>
      <w:r w:rsidR="000624CD">
        <w:rPr>
          <w:b/>
          <w:sz w:val="22"/>
          <w:szCs w:val="22"/>
        </w:rPr>
        <w:t>ulær juvenil idiopatisk artritt</w:t>
      </w:r>
    </w:p>
    <w:p w14:paraId="67D2FE68" w14:textId="77777777" w:rsidR="00F319B7" w:rsidRPr="00AB7697" w:rsidRDefault="00F319B7" w:rsidP="003219FB">
      <w:pPr>
        <w:keepNext/>
        <w:rPr>
          <w:szCs w:val="22"/>
        </w:rPr>
      </w:pPr>
    </w:p>
    <w:tbl>
      <w:tblPr>
        <w:tblW w:w="6795" w:type="dxa"/>
        <w:jc w:val="center"/>
        <w:tblLayout w:type="fixed"/>
        <w:tblLook w:val="04A0" w:firstRow="1" w:lastRow="0" w:firstColumn="1" w:lastColumn="0" w:noHBand="0" w:noVBand="1"/>
      </w:tblPr>
      <w:tblGrid>
        <w:gridCol w:w="3401"/>
        <w:gridCol w:w="3394"/>
      </w:tblGrid>
      <w:tr w:rsidR="004644D4" w14:paraId="359B6B70" w14:textId="77777777" w:rsidTr="002A2660">
        <w:trPr>
          <w:tblHeader/>
          <w:jc w:val="center"/>
        </w:trPr>
        <w:tc>
          <w:tcPr>
            <w:tcW w:w="3401" w:type="dxa"/>
            <w:tcBorders>
              <w:top w:val="single" w:sz="4" w:space="0" w:color="auto"/>
              <w:left w:val="nil"/>
              <w:bottom w:val="single" w:sz="4" w:space="0" w:color="auto"/>
              <w:right w:val="nil"/>
            </w:tcBorders>
            <w:hideMark/>
          </w:tcPr>
          <w:p w14:paraId="2476BCAA" w14:textId="77777777" w:rsidR="00F319B7" w:rsidRDefault="00E453CD" w:rsidP="003219FB">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7A309A46" w14:textId="77777777" w:rsidR="00F319B7" w:rsidRDefault="00E453CD" w:rsidP="003219FB">
            <w:pPr>
              <w:pStyle w:val="TableLeft"/>
              <w:jc w:val="center"/>
              <w:rPr>
                <w:b/>
                <w:sz w:val="22"/>
                <w:szCs w:val="22"/>
              </w:rPr>
            </w:pPr>
            <w:r>
              <w:rPr>
                <w:b/>
                <w:sz w:val="22"/>
                <w:szCs w:val="22"/>
              </w:rPr>
              <w:t>Dosering</w:t>
            </w:r>
          </w:p>
        </w:tc>
      </w:tr>
      <w:tr w:rsidR="004644D4" w14:paraId="2187D84D" w14:textId="77777777" w:rsidTr="002A2660">
        <w:trPr>
          <w:tblHeader/>
          <w:jc w:val="center"/>
        </w:trPr>
        <w:tc>
          <w:tcPr>
            <w:tcW w:w="3401" w:type="dxa"/>
            <w:tcBorders>
              <w:top w:val="single" w:sz="4" w:space="0" w:color="auto"/>
              <w:left w:val="nil"/>
              <w:bottom w:val="single" w:sz="4" w:space="0" w:color="auto"/>
              <w:right w:val="nil"/>
            </w:tcBorders>
            <w:hideMark/>
          </w:tcPr>
          <w:p w14:paraId="267572D8" w14:textId="77777777" w:rsidR="00F319B7" w:rsidRDefault="00E453CD" w:rsidP="003219FB">
            <w:pPr>
              <w:pStyle w:val="TableLeft"/>
              <w:jc w:val="center"/>
              <w:rPr>
                <w:b/>
                <w:sz w:val="22"/>
                <w:szCs w:val="22"/>
              </w:rPr>
            </w:pPr>
            <w:r>
              <w:rPr>
                <w:sz w:val="22"/>
                <w:szCs w:val="22"/>
              </w:rPr>
              <w:t>10 kg til &lt; 30 kg</w:t>
            </w:r>
          </w:p>
        </w:tc>
        <w:tc>
          <w:tcPr>
            <w:tcW w:w="3394" w:type="dxa"/>
            <w:tcBorders>
              <w:top w:val="single" w:sz="4" w:space="0" w:color="auto"/>
              <w:left w:val="nil"/>
              <w:bottom w:val="single" w:sz="4" w:space="0" w:color="auto"/>
              <w:right w:val="nil"/>
            </w:tcBorders>
            <w:hideMark/>
          </w:tcPr>
          <w:p w14:paraId="02C38311" w14:textId="77777777" w:rsidR="00F319B7" w:rsidRDefault="00E453CD" w:rsidP="003219FB">
            <w:pPr>
              <w:pStyle w:val="TableLeft"/>
              <w:jc w:val="center"/>
              <w:rPr>
                <w:b/>
                <w:sz w:val="22"/>
                <w:szCs w:val="22"/>
              </w:rPr>
            </w:pPr>
            <w:r>
              <w:rPr>
                <w:sz w:val="22"/>
                <w:szCs w:val="22"/>
              </w:rPr>
              <w:t>20 mg annenhver uke</w:t>
            </w:r>
          </w:p>
        </w:tc>
      </w:tr>
      <w:tr w:rsidR="004644D4" w14:paraId="292D41C5" w14:textId="77777777" w:rsidTr="002A2660">
        <w:trPr>
          <w:tblHeader/>
          <w:jc w:val="center"/>
        </w:trPr>
        <w:tc>
          <w:tcPr>
            <w:tcW w:w="3401" w:type="dxa"/>
            <w:tcBorders>
              <w:top w:val="single" w:sz="4" w:space="0" w:color="auto"/>
              <w:left w:val="nil"/>
              <w:bottom w:val="single" w:sz="4" w:space="0" w:color="auto"/>
              <w:right w:val="nil"/>
            </w:tcBorders>
            <w:hideMark/>
          </w:tcPr>
          <w:p w14:paraId="7381D37F" w14:textId="77777777" w:rsidR="00F319B7" w:rsidRDefault="00E453CD" w:rsidP="003219FB">
            <w:pPr>
              <w:pStyle w:val="TableLeft"/>
              <w:jc w:val="center"/>
              <w:rPr>
                <w:b/>
                <w:sz w:val="22"/>
                <w:szCs w:val="22"/>
              </w:rPr>
            </w:pPr>
            <w:r>
              <w:rPr>
                <w:sz w:val="22"/>
                <w:szCs w:val="22"/>
              </w:rPr>
              <w:t>≥ 30 kg</w:t>
            </w:r>
          </w:p>
        </w:tc>
        <w:tc>
          <w:tcPr>
            <w:tcW w:w="3394" w:type="dxa"/>
            <w:tcBorders>
              <w:top w:val="single" w:sz="4" w:space="0" w:color="auto"/>
              <w:left w:val="nil"/>
              <w:bottom w:val="single" w:sz="4" w:space="0" w:color="auto"/>
              <w:right w:val="nil"/>
            </w:tcBorders>
            <w:hideMark/>
          </w:tcPr>
          <w:p w14:paraId="569B9197" w14:textId="77777777" w:rsidR="00F319B7" w:rsidRDefault="00E453CD" w:rsidP="003219FB">
            <w:pPr>
              <w:pStyle w:val="TableLeft"/>
              <w:jc w:val="center"/>
              <w:rPr>
                <w:b/>
                <w:sz w:val="22"/>
                <w:szCs w:val="22"/>
              </w:rPr>
            </w:pPr>
            <w:r>
              <w:rPr>
                <w:sz w:val="22"/>
                <w:szCs w:val="22"/>
              </w:rPr>
              <w:t>40 mg an</w:t>
            </w:r>
            <w:r w:rsidR="00473144">
              <w:rPr>
                <w:sz w:val="22"/>
                <w:szCs w:val="22"/>
              </w:rPr>
              <w:t>n</w:t>
            </w:r>
            <w:r>
              <w:rPr>
                <w:sz w:val="22"/>
                <w:szCs w:val="22"/>
              </w:rPr>
              <w:t>enhver uke</w:t>
            </w:r>
          </w:p>
        </w:tc>
      </w:tr>
    </w:tbl>
    <w:p w14:paraId="4840FC55" w14:textId="77777777" w:rsidR="00F319B7" w:rsidRPr="009C5EFD" w:rsidRDefault="00F319B7" w:rsidP="00F319B7">
      <w:pPr>
        <w:rPr>
          <w:sz w:val="22"/>
          <w:szCs w:val="22"/>
        </w:rPr>
      </w:pPr>
    </w:p>
    <w:p w14:paraId="001D1396" w14:textId="77777777" w:rsidR="00F319B7" w:rsidRPr="009C5EFD" w:rsidRDefault="00E453CD" w:rsidP="00F319B7">
      <w:pPr>
        <w:rPr>
          <w:sz w:val="22"/>
          <w:szCs w:val="22"/>
        </w:rPr>
      </w:pPr>
      <w:r w:rsidRPr="009C5EFD">
        <w:rPr>
          <w:sz w:val="22"/>
          <w:szCs w:val="22"/>
        </w:rPr>
        <w:t xml:space="preserve">Tilgjengelig data </w:t>
      </w:r>
      <w:r w:rsidR="0084764A">
        <w:rPr>
          <w:sz w:val="22"/>
          <w:szCs w:val="22"/>
        </w:rPr>
        <w:t>antyder</w:t>
      </w:r>
      <w:r w:rsidRPr="009C5EFD">
        <w:rPr>
          <w:sz w:val="22"/>
          <w:szCs w:val="22"/>
        </w:rPr>
        <w:t xml:space="preserve"> at klinisk respons oppnås vanligvis innen 12 uker. Fortsettelse av behandlingen hos pasienter som ikke responderer innen denne perioden, bør vurderes nøye.</w:t>
      </w:r>
    </w:p>
    <w:p w14:paraId="768518A3" w14:textId="77777777" w:rsidR="00F319B7" w:rsidRPr="009C5EFD" w:rsidRDefault="00F319B7" w:rsidP="00F319B7">
      <w:pPr>
        <w:rPr>
          <w:sz w:val="22"/>
          <w:szCs w:val="22"/>
        </w:rPr>
      </w:pPr>
    </w:p>
    <w:p w14:paraId="6B0F196E" w14:textId="77777777" w:rsidR="00F319B7" w:rsidRDefault="00E453CD" w:rsidP="00F319B7">
      <w:pPr>
        <w:rPr>
          <w:sz w:val="22"/>
          <w:szCs w:val="22"/>
        </w:rPr>
      </w:pPr>
      <w:r w:rsidRPr="009C5EFD">
        <w:rPr>
          <w:sz w:val="22"/>
          <w:szCs w:val="22"/>
        </w:rPr>
        <w:t xml:space="preserve">Det er ikke relevant å bruke Humira hos pasienter </w:t>
      </w:r>
      <w:r w:rsidR="002A2D0D">
        <w:rPr>
          <w:sz w:val="22"/>
          <w:szCs w:val="22"/>
        </w:rPr>
        <w:t>under</w:t>
      </w:r>
      <w:r w:rsidRPr="009C5EFD">
        <w:rPr>
          <w:sz w:val="22"/>
          <w:szCs w:val="22"/>
        </w:rPr>
        <w:t xml:space="preserve"> 2 år ved denne indikasjonen.</w:t>
      </w:r>
    </w:p>
    <w:p w14:paraId="3D4F6EB2" w14:textId="77777777" w:rsidR="00E571FA" w:rsidRDefault="00E571FA" w:rsidP="00F319B7">
      <w:pPr>
        <w:rPr>
          <w:sz w:val="22"/>
          <w:szCs w:val="22"/>
        </w:rPr>
      </w:pPr>
    </w:p>
    <w:p w14:paraId="2B56857F" w14:textId="77777777" w:rsidR="00E571FA" w:rsidRPr="009C5EFD" w:rsidRDefault="00E453CD" w:rsidP="00F319B7">
      <w:pPr>
        <w:rPr>
          <w:sz w:val="22"/>
          <w:szCs w:val="22"/>
        </w:rPr>
      </w:pPr>
      <w:r w:rsidRPr="009818CD">
        <w:rPr>
          <w:sz w:val="22"/>
          <w:szCs w:val="22"/>
        </w:rPr>
        <w:t>Humira kan være tilgjengelig i andre styrker og/eller formuleringer avhengig av individuelle behandlingsbehov.</w:t>
      </w:r>
    </w:p>
    <w:p w14:paraId="314C2304" w14:textId="77777777" w:rsidR="00F319B7" w:rsidRPr="009C5EFD" w:rsidRDefault="00F319B7" w:rsidP="00F319B7">
      <w:pPr>
        <w:rPr>
          <w:sz w:val="22"/>
          <w:szCs w:val="22"/>
        </w:rPr>
      </w:pPr>
    </w:p>
    <w:p w14:paraId="50E82E0A" w14:textId="77777777" w:rsidR="00F319B7" w:rsidRPr="001F5D4B" w:rsidRDefault="00E453CD" w:rsidP="00F319B7">
      <w:pPr>
        <w:keepNext/>
        <w:rPr>
          <w:i/>
          <w:sz w:val="22"/>
          <w:szCs w:val="22"/>
          <w:u w:val="single"/>
        </w:rPr>
      </w:pPr>
      <w:r w:rsidRPr="001F5D4B">
        <w:rPr>
          <w:i/>
          <w:sz w:val="22"/>
          <w:szCs w:val="22"/>
          <w:u w:val="single"/>
        </w:rPr>
        <w:t>Entesittrelatert artritt</w:t>
      </w:r>
    </w:p>
    <w:p w14:paraId="763B0A73" w14:textId="77777777" w:rsidR="00F319B7" w:rsidRPr="007F67EE" w:rsidRDefault="00F319B7" w:rsidP="00F319B7">
      <w:pPr>
        <w:keepNext/>
        <w:rPr>
          <w:sz w:val="22"/>
          <w:szCs w:val="22"/>
        </w:rPr>
      </w:pPr>
    </w:p>
    <w:p w14:paraId="520CCF4B" w14:textId="77777777" w:rsidR="00F319B7" w:rsidRPr="009C5EFD" w:rsidRDefault="00E453CD" w:rsidP="00F319B7">
      <w:pPr>
        <w:rPr>
          <w:sz w:val="22"/>
          <w:szCs w:val="22"/>
        </w:rPr>
      </w:pPr>
      <w:r w:rsidRPr="002D0790">
        <w:rPr>
          <w:sz w:val="22"/>
          <w:szCs w:val="22"/>
        </w:rPr>
        <w:t xml:space="preserve">Anbefalt dose av Humira </w:t>
      </w:r>
      <w:r w:rsidRPr="00E14E58">
        <w:rPr>
          <w:sz w:val="22"/>
          <w:szCs w:val="22"/>
        </w:rPr>
        <w:t>til</w:t>
      </w:r>
      <w:r w:rsidRPr="009C5EFD">
        <w:rPr>
          <w:sz w:val="22"/>
          <w:szCs w:val="22"/>
        </w:rPr>
        <w:t xml:space="preserve"> pasienter med entesittrelatert artritt </w:t>
      </w:r>
      <w:r w:rsidR="002A2D0D">
        <w:rPr>
          <w:sz w:val="22"/>
          <w:szCs w:val="22"/>
        </w:rPr>
        <w:t>over</w:t>
      </w:r>
      <w:r w:rsidRPr="009C5EFD">
        <w:rPr>
          <w:sz w:val="22"/>
          <w:szCs w:val="22"/>
        </w:rPr>
        <w:t xml:space="preserve"> 6 år</w:t>
      </w:r>
      <w:r>
        <w:rPr>
          <w:sz w:val="22"/>
          <w:szCs w:val="22"/>
        </w:rPr>
        <w:t xml:space="preserve"> er basert på kroppsvekt (</w:t>
      </w:r>
      <w:r w:rsidR="00C455EA">
        <w:rPr>
          <w:sz w:val="22"/>
          <w:szCs w:val="22"/>
        </w:rPr>
        <w:t>t</w:t>
      </w:r>
      <w:r>
        <w:rPr>
          <w:sz w:val="22"/>
          <w:szCs w:val="22"/>
        </w:rPr>
        <w:t>abell 2).</w:t>
      </w:r>
      <w:r w:rsidRPr="009C5EFD">
        <w:rPr>
          <w:sz w:val="22"/>
          <w:szCs w:val="22"/>
        </w:rPr>
        <w:t xml:space="preserve"> </w:t>
      </w:r>
      <w:r>
        <w:rPr>
          <w:sz w:val="22"/>
          <w:szCs w:val="22"/>
        </w:rPr>
        <w:t xml:space="preserve">Humira </w:t>
      </w:r>
      <w:r w:rsidR="00E571FA">
        <w:rPr>
          <w:sz w:val="22"/>
          <w:szCs w:val="22"/>
        </w:rPr>
        <w:t>administreres som</w:t>
      </w:r>
      <w:r w:rsidR="00E571FA" w:rsidRPr="009C5EFD">
        <w:rPr>
          <w:sz w:val="22"/>
          <w:szCs w:val="22"/>
        </w:rPr>
        <w:t xml:space="preserve"> </w:t>
      </w:r>
      <w:r w:rsidRPr="009C5EFD">
        <w:rPr>
          <w:sz w:val="22"/>
          <w:szCs w:val="22"/>
        </w:rPr>
        <w:t>subkutan</w:t>
      </w:r>
      <w:r w:rsidR="00E571FA">
        <w:rPr>
          <w:sz w:val="22"/>
          <w:szCs w:val="22"/>
        </w:rPr>
        <w:t xml:space="preserve"> injeksjon </w:t>
      </w:r>
      <w:r w:rsidRPr="009C5EFD">
        <w:rPr>
          <w:sz w:val="22"/>
          <w:szCs w:val="22"/>
        </w:rPr>
        <w:t>annenhver uke.</w:t>
      </w:r>
    </w:p>
    <w:p w14:paraId="50795147" w14:textId="77777777" w:rsidR="00F319B7" w:rsidRDefault="00F319B7" w:rsidP="00776A84">
      <w:pPr>
        <w:rPr>
          <w:sz w:val="22"/>
          <w:szCs w:val="22"/>
        </w:rPr>
      </w:pPr>
    </w:p>
    <w:p w14:paraId="592FF33F" w14:textId="77777777" w:rsidR="00F319B7" w:rsidRPr="000624CD" w:rsidRDefault="00E453CD" w:rsidP="00776A84">
      <w:pPr>
        <w:keepNext/>
        <w:jc w:val="center"/>
        <w:rPr>
          <w:sz w:val="22"/>
          <w:szCs w:val="22"/>
        </w:rPr>
      </w:pPr>
      <w:r w:rsidRPr="00AB7697">
        <w:rPr>
          <w:b/>
          <w:sz w:val="22"/>
          <w:szCs w:val="22"/>
        </w:rPr>
        <w:lastRenderedPageBreak/>
        <w:t>Tabell 2. Humiradosering for pasienter med</w:t>
      </w:r>
      <w:r w:rsidRPr="00AB7697">
        <w:rPr>
          <w:sz w:val="22"/>
          <w:szCs w:val="22"/>
        </w:rPr>
        <w:t xml:space="preserve"> </w:t>
      </w:r>
      <w:r w:rsidRPr="00AB7697">
        <w:rPr>
          <w:b/>
          <w:sz w:val="22"/>
          <w:szCs w:val="22"/>
        </w:rPr>
        <w:t>entesittrelatert artritt</w:t>
      </w:r>
    </w:p>
    <w:p w14:paraId="1F93ABA7" w14:textId="77777777" w:rsidR="00F319B7" w:rsidRPr="00406E1B" w:rsidRDefault="00F319B7" w:rsidP="00776A84">
      <w:pPr>
        <w:keepNext/>
        <w:jc w:val="center"/>
        <w:rPr>
          <w:szCs w:val="22"/>
        </w:rPr>
      </w:pPr>
    </w:p>
    <w:tbl>
      <w:tblPr>
        <w:tblW w:w="6795" w:type="dxa"/>
        <w:jc w:val="center"/>
        <w:tblLayout w:type="fixed"/>
        <w:tblLook w:val="04A0" w:firstRow="1" w:lastRow="0" w:firstColumn="1" w:lastColumn="0" w:noHBand="0" w:noVBand="1"/>
      </w:tblPr>
      <w:tblGrid>
        <w:gridCol w:w="3401"/>
        <w:gridCol w:w="3394"/>
      </w:tblGrid>
      <w:tr w:rsidR="004644D4" w14:paraId="075ACA78" w14:textId="77777777" w:rsidTr="002A2660">
        <w:trPr>
          <w:tblHeader/>
          <w:jc w:val="center"/>
        </w:trPr>
        <w:tc>
          <w:tcPr>
            <w:tcW w:w="3401" w:type="dxa"/>
            <w:tcBorders>
              <w:top w:val="single" w:sz="4" w:space="0" w:color="auto"/>
              <w:left w:val="nil"/>
              <w:bottom w:val="single" w:sz="4" w:space="0" w:color="auto"/>
              <w:right w:val="nil"/>
            </w:tcBorders>
            <w:hideMark/>
          </w:tcPr>
          <w:p w14:paraId="7F2CF17E" w14:textId="77777777" w:rsidR="00F319B7" w:rsidRDefault="00E453CD" w:rsidP="002A2660">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7A396814" w14:textId="77777777" w:rsidR="00F319B7" w:rsidRDefault="00E453CD" w:rsidP="002A2660">
            <w:pPr>
              <w:pStyle w:val="TableLeft"/>
              <w:jc w:val="center"/>
              <w:rPr>
                <w:b/>
                <w:sz w:val="22"/>
                <w:szCs w:val="22"/>
              </w:rPr>
            </w:pPr>
            <w:r>
              <w:rPr>
                <w:b/>
                <w:sz w:val="22"/>
                <w:szCs w:val="22"/>
              </w:rPr>
              <w:t>Dosering</w:t>
            </w:r>
          </w:p>
        </w:tc>
      </w:tr>
      <w:tr w:rsidR="004644D4" w14:paraId="60E3D2F2" w14:textId="77777777" w:rsidTr="002A2660">
        <w:trPr>
          <w:tblHeader/>
          <w:jc w:val="center"/>
        </w:trPr>
        <w:tc>
          <w:tcPr>
            <w:tcW w:w="3401" w:type="dxa"/>
            <w:tcBorders>
              <w:top w:val="single" w:sz="4" w:space="0" w:color="auto"/>
              <w:left w:val="nil"/>
              <w:bottom w:val="single" w:sz="4" w:space="0" w:color="auto"/>
              <w:right w:val="nil"/>
            </w:tcBorders>
            <w:hideMark/>
          </w:tcPr>
          <w:p w14:paraId="4116132B" w14:textId="77777777" w:rsidR="00F319B7" w:rsidRDefault="00E453CD" w:rsidP="002A2660">
            <w:pPr>
              <w:pStyle w:val="TableLeft"/>
              <w:jc w:val="center"/>
              <w:rPr>
                <w:b/>
                <w:sz w:val="22"/>
                <w:szCs w:val="22"/>
              </w:rPr>
            </w:pPr>
            <w:r>
              <w:rPr>
                <w:sz w:val="22"/>
                <w:szCs w:val="22"/>
              </w:rPr>
              <w:t>15 kg til &lt; 30 kg</w:t>
            </w:r>
          </w:p>
        </w:tc>
        <w:tc>
          <w:tcPr>
            <w:tcW w:w="3394" w:type="dxa"/>
            <w:tcBorders>
              <w:top w:val="single" w:sz="4" w:space="0" w:color="auto"/>
              <w:left w:val="nil"/>
              <w:bottom w:val="single" w:sz="4" w:space="0" w:color="auto"/>
              <w:right w:val="nil"/>
            </w:tcBorders>
            <w:hideMark/>
          </w:tcPr>
          <w:p w14:paraId="06EA2D98" w14:textId="77777777" w:rsidR="00F319B7" w:rsidRDefault="00E453CD" w:rsidP="002A2660">
            <w:pPr>
              <w:pStyle w:val="TableLeft"/>
              <w:jc w:val="center"/>
              <w:rPr>
                <w:b/>
                <w:sz w:val="22"/>
                <w:szCs w:val="22"/>
              </w:rPr>
            </w:pPr>
            <w:r>
              <w:rPr>
                <w:sz w:val="22"/>
                <w:szCs w:val="22"/>
              </w:rPr>
              <w:t>20 mg annenhver uke</w:t>
            </w:r>
          </w:p>
        </w:tc>
      </w:tr>
      <w:tr w:rsidR="004644D4" w14:paraId="6ABE4C0C" w14:textId="77777777" w:rsidTr="002A2660">
        <w:trPr>
          <w:tblHeader/>
          <w:jc w:val="center"/>
        </w:trPr>
        <w:tc>
          <w:tcPr>
            <w:tcW w:w="3401" w:type="dxa"/>
            <w:tcBorders>
              <w:top w:val="single" w:sz="4" w:space="0" w:color="auto"/>
              <w:left w:val="nil"/>
              <w:bottom w:val="single" w:sz="4" w:space="0" w:color="auto"/>
              <w:right w:val="nil"/>
            </w:tcBorders>
            <w:hideMark/>
          </w:tcPr>
          <w:p w14:paraId="1F2066A2" w14:textId="77777777" w:rsidR="00F319B7" w:rsidRDefault="00E453CD" w:rsidP="002A2660">
            <w:pPr>
              <w:pStyle w:val="TableLeft"/>
              <w:jc w:val="center"/>
              <w:rPr>
                <w:b/>
                <w:sz w:val="22"/>
                <w:szCs w:val="22"/>
              </w:rPr>
            </w:pPr>
            <w:r>
              <w:rPr>
                <w:sz w:val="22"/>
                <w:szCs w:val="22"/>
              </w:rPr>
              <w:t>≥ 30 kg</w:t>
            </w:r>
          </w:p>
        </w:tc>
        <w:tc>
          <w:tcPr>
            <w:tcW w:w="3394" w:type="dxa"/>
            <w:tcBorders>
              <w:top w:val="single" w:sz="4" w:space="0" w:color="auto"/>
              <w:left w:val="nil"/>
              <w:bottom w:val="single" w:sz="4" w:space="0" w:color="auto"/>
              <w:right w:val="nil"/>
            </w:tcBorders>
            <w:hideMark/>
          </w:tcPr>
          <w:p w14:paraId="390E0ABA" w14:textId="77777777" w:rsidR="00F319B7" w:rsidRDefault="00E453CD" w:rsidP="002A2660">
            <w:pPr>
              <w:pStyle w:val="TableLeft"/>
              <w:jc w:val="center"/>
              <w:rPr>
                <w:b/>
                <w:sz w:val="22"/>
                <w:szCs w:val="22"/>
              </w:rPr>
            </w:pPr>
            <w:r>
              <w:rPr>
                <w:sz w:val="22"/>
                <w:szCs w:val="22"/>
              </w:rPr>
              <w:t>40 mg annenhver uke</w:t>
            </w:r>
          </w:p>
        </w:tc>
      </w:tr>
    </w:tbl>
    <w:p w14:paraId="21785755" w14:textId="77777777" w:rsidR="00F319B7" w:rsidRPr="009C5EFD" w:rsidRDefault="00F319B7" w:rsidP="00F319B7">
      <w:pPr>
        <w:keepNext/>
        <w:rPr>
          <w:sz w:val="22"/>
          <w:szCs w:val="22"/>
        </w:rPr>
      </w:pPr>
    </w:p>
    <w:p w14:paraId="20BB0BBB" w14:textId="77777777" w:rsidR="00F319B7" w:rsidRDefault="00E453CD" w:rsidP="00F319B7">
      <w:pPr>
        <w:rPr>
          <w:sz w:val="22"/>
          <w:szCs w:val="22"/>
        </w:rPr>
      </w:pPr>
      <w:r w:rsidRPr="009C5EFD">
        <w:rPr>
          <w:sz w:val="22"/>
          <w:szCs w:val="22"/>
        </w:rPr>
        <w:t xml:space="preserve">Humira er ikke </w:t>
      </w:r>
      <w:r>
        <w:rPr>
          <w:sz w:val="22"/>
          <w:szCs w:val="22"/>
        </w:rPr>
        <w:t>undersøkt</w:t>
      </w:r>
      <w:r w:rsidRPr="009C5EFD">
        <w:rPr>
          <w:sz w:val="22"/>
          <w:szCs w:val="22"/>
        </w:rPr>
        <w:t xml:space="preserve"> hos pasienter </w:t>
      </w:r>
      <w:r w:rsidR="003730C7">
        <w:rPr>
          <w:sz w:val="22"/>
          <w:szCs w:val="22"/>
        </w:rPr>
        <w:t xml:space="preserve">under 6 år </w:t>
      </w:r>
      <w:r w:rsidRPr="009C5EFD">
        <w:rPr>
          <w:sz w:val="22"/>
          <w:szCs w:val="22"/>
        </w:rPr>
        <w:t>med entesittrelatert artritt.</w:t>
      </w:r>
    </w:p>
    <w:p w14:paraId="42BDD315" w14:textId="77777777" w:rsidR="00E571FA" w:rsidRDefault="00E571FA" w:rsidP="00F319B7">
      <w:pPr>
        <w:rPr>
          <w:sz w:val="22"/>
          <w:szCs w:val="22"/>
        </w:rPr>
      </w:pPr>
    </w:p>
    <w:p w14:paraId="0757B7C8" w14:textId="77777777" w:rsidR="00E571FA" w:rsidRPr="009C5EFD" w:rsidRDefault="00E453CD" w:rsidP="00F319B7">
      <w:pPr>
        <w:rPr>
          <w:sz w:val="22"/>
          <w:szCs w:val="22"/>
        </w:rPr>
      </w:pPr>
      <w:r>
        <w:rPr>
          <w:sz w:val="22"/>
          <w:szCs w:val="22"/>
        </w:rPr>
        <w:t>Humira kan være tilgjengelig i andre styrker og/eller formuleringer avhengig av individuelle behandlingsbehov.</w:t>
      </w:r>
    </w:p>
    <w:p w14:paraId="4B321D64" w14:textId="77777777" w:rsidR="00D479C1" w:rsidRDefault="00D479C1" w:rsidP="00D479C1">
      <w:pPr>
        <w:keepNext/>
        <w:rPr>
          <w:i/>
          <w:sz w:val="22"/>
          <w:szCs w:val="22"/>
        </w:rPr>
      </w:pPr>
    </w:p>
    <w:p w14:paraId="5C9E65D6" w14:textId="77777777" w:rsidR="00D479C1" w:rsidRPr="001F5D4B" w:rsidRDefault="00E453CD" w:rsidP="00D479C1">
      <w:pPr>
        <w:keepNext/>
        <w:rPr>
          <w:i/>
          <w:sz w:val="22"/>
          <w:szCs w:val="22"/>
        </w:rPr>
      </w:pPr>
      <w:r w:rsidRPr="001F5D4B">
        <w:rPr>
          <w:i/>
          <w:sz w:val="22"/>
          <w:szCs w:val="22"/>
        </w:rPr>
        <w:t>Psoriasisartritt og aksial spondylartritt inkludert ankyloserende spondylitt</w:t>
      </w:r>
    </w:p>
    <w:p w14:paraId="43B59AC8" w14:textId="77777777" w:rsidR="00D479C1" w:rsidRPr="007F67EE" w:rsidRDefault="00D479C1" w:rsidP="00D479C1">
      <w:pPr>
        <w:keepNext/>
        <w:rPr>
          <w:sz w:val="22"/>
          <w:szCs w:val="22"/>
        </w:rPr>
      </w:pPr>
    </w:p>
    <w:p w14:paraId="28FFD4E8" w14:textId="77777777" w:rsidR="00D479C1" w:rsidRDefault="00E453CD" w:rsidP="00D479C1">
      <w:pPr>
        <w:keepNext/>
        <w:rPr>
          <w:sz w:val="22"/>
          <w:szCs w:val="22"/>
        </w:rPr>
      </w:pPr>
      <w:r w:rsidRPr="00193D76">
        <w:rPr>
          <w:sz w:val="22"/>
          <w:szCs w:val="22"/>
        </w:rPr>
        <w:t xml:space="preserve">Det er </w:t>
      </w:r>
      <w:r w:rsidRPr="002D0790">
        <w:rPr>
          <w:sz w:val="22"/>
          <w:szCs w:val="22"/>
        </w:rPr>
        <w:t xml:space="preserve">ikke relevant å bruke Humira </w:t>
      </w:r>
      <w:r w:rsidR="00275BD2">
        <w:rPr>
          <w:sz w:val="22"/>
          <w:szCs w:val="22"/>
        </w:rPr>
        <w:t>i</w:t>
      </w:r>
      <w:r w:rsidRPr="002D0790">
        <w:rPr>
          <w:sz w:val="22"/>
          <w:szCs w:val="22"/>
        </w:rPr>
        <w:t xml:space="preserve"> den pediatriske populasjonen ved indikasjonene ankyloserende spondylitt og psoriasisartritt.</w:t>
      </w:r>
    </w:p>
    <w:p w14:paraId="7997917C" w14:textId="77777777" w:rsidR="005B52A2" w:rsidRDefault="005B52A2" w:rsidP="00F319B7">
      <w:pPr>
        <w:keepNext/>
        <w:rPr>
          <w:sz w:val="22"/>
          <w:szCs w:val="22"/>
        </w:rPr>
      </w:pPr>
    </w:p>
    <w:p w14:paraId="46B52DA5" w14:textId="77777777" w:rsidR="00F319B7" w:rsidRPr="007F67EE" w:rsidRDefault="00E453CD" w:rsidP="00F319B7">
      <w:pPr>
        <w:keepNext/>
        <w:rPr>
          <w:sz w:val="22"/>
          <w:szCs w:val="22"/>
          <w:u w:val="single"/>
        </w:rPr>
      </w:pPr>
      <w:r w:rsidRPr="001F5D4B">
        <w:rPr>
          <w:i/>
          <w:sz w:val="22"/>
          <w:szCs w:val="22"/>
        </w:rPr>
        <w:t>Pediatrisk plakkpsoriasis</w:t>
      </w:r>
    </w:p>
    <w:p w14:paraId="2FA4E67D" w14:textId="77777777" w:rsidR="00F319B7" w:rsidRPr="00193D76" w:rsidRDefault="00F319B7" w:rsidP="00F319B7">
      <w:pPr>
        <w:keepNext/>
        <w:rPr>
          <w:sz w:val="22"/>
          <w:szCs w:val="22"/>
        </w:rPr>
      </w:pPr>
    </w:p>
    <w:p w14:paraId="642B1131" w14:textId="77777777" w:rsidR="00F319B7" w:rsidRDefault="00E453CD" w:rsidP="00F319B7">
      <w:pPr>
        <w:rPr>
          <w:sz w:val="22"/>
          <w:szCs w:val="22"/>
        </w:rPr>
      </w:pPr>
      <w:r>
        <w:rPr>
          <w:sz w:val="22"/>
        </w:rPr>
        <w:t>Den anbefalte Humiradoseringen for pasienter fra 4 til 17 år med plakkpsoriasis er basert på kroppsvekt (</w:t>
      </w:r>
      <w:r w:rsidR="00C455EA">
        <w:rPr>
          <w:sz w:val="22"/>
        </w:rPr>
        <w:t>t</w:t>
      </w:r>
      <w:r>
        <w:rPr>
          <w:sz w:val="22"/>
        </w:rPr>
        <w:t xml:space="preserve">abell 3). </w:t>
      </w:r>
      <w:r>
        <w:rPr>
          <w:sz w:val="22"/>
          <w:szCs w:val="22"/>
        </w:rPr>
        <w:t xml:space="preserve">Humira administreres </w:t>
      </w:r>
      <w:r w:rsidR="00E571FA">
        <w:rPr>
          <w:sz w:val="22"/>
          <w:szCs w:val="22"/>
        </w:rPr>
        <w:t xml:space="preserve">som </w:t>
      </w:r>
      <w:r>
        <w:rPr>
          <w:sz w:val="22"/>
          <w:szCs w:val="22"/>
        </w:rPr>
        <w:t>subkutan</w:t>
      </w:r>
      <w:r w:rsidR="00E571FA">
        <w:rPr>
          <w:sz w:val="22"/>
          <w:szCs w:val="22"/>
        </w:rPr>
        <w:t xml:space="preserve"> injeksjon</w:t>
      </w:r>
      <w:r>
        <w:rPr>
          <w:sz w:val="22"/>
          <w:szCs w:val="22"/>
        </w:rPr>
        <w:t>.</w:t>
      </w:r>
    </w:p>
    <w:p w14:paraId="633F5F16" w14:textId="77777777" w:rsidR="00F319B7" w:rsidRPr="000624CD" w:rsidRDefault="00F319B7" w:rsidP="00776A84">
      <w:pPr>
        <w:rPr>
          <w:sz w:val="22"/>
          <w:szCs w:val="22"/>
        </w:rPr>
      </w:pPr>
    </w:p>
    <w:p w14:paraId="112FCA7A" w14:textId="77777777" w:rsidR="00F319B7" w:rsidRPr="00AB7697" w:rsidRDefault="00E453CD" w:rsidP="00AF70AD">
      <w:pPr>
        <w:keepNext/>
        <w:jc w:val="center"/>
        <w:rPr>
          <w:b/>
          <w:sz w:val="22"/>
          <w:szCs w:val="22"/>
        </w:rPr>
      </w:pPr>
      <w:r w:rsidRPr="00AB7697">
        <w:rPr>
          <w:b/>
          <w:sz w:val="22"/>
          <w:szCs w:val="22"/>
        </w:rPr>
        <w:t>Tabell 3. Humiradosering for pediatriske pasienter med plakkpsoriasis</w:t>
      </w:r>
    </w:p>
    <w:p w14:paraId="71776AFB" w14:textId="77777777" w:rsidR="00F319B7" w:rsidRPr="00536B95" w:rsidRDefault="00F319B7" w:rsidP="00AF70AD">
      <w:pPr>
        <w:keepNext/>
        <w:rPr>
          <w:szCs w:val="22"/>
        </w:rPr>
      </w:pPr>
    </w:p>
    <w:tbl>
      <w:tblPr>
        <w:tblW w:w="6795" w:type="dxa"/>
        <w:jc w:val="center"/>
        <w:tblLayout w:type="fixed"/>
        <w:tblLook w:val="04A0" w:firstRow="1" w:lastRow="0" w:firstColumn="1" w:lastColumn="0" w:noHBand="0" w:noVBand="1"/>
      </w:tblPr>
      <w:tblGrid>
        <w:gridCol w:w="3401"/>
        <w:gridCol w:w="3394"/>
      </w:tblGrid>
      <w:tr w:rsidR="004644D4" w14:paraId="726A5403" w14:textId="77777777" w:rsidTr="002A2660">
        <w:trPr>
          <w:tblHeader/>
          <w:jc w:val="center"/>
        </w:trPr>
        <w:tc>
          <w:tcPr>
            <w:tcW w:w="3401" w:type="dxa"/>
            <w:tcBorders>
              <w:top w:val="single" w:sz="4" w:space="0" w:color="auto"/>
              <w:left w:val="nil"/>
              <w:bottom w:val="single" w:sz="4" w:space="0" w:color="auto"/>
              <w:right w:val="nil"/>
            </w:tcBorders>
            <w:hideMark/>
          </w:tcPr>
          <w:p w14:paraId="0D501606" w14:textId="77777777" w:rsidR="00F319B7" w:rsidRDefault="00E453CD" w:rsidP="002A2660">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54699AF4" w14:textId="77777777" w:rsidR="00F319B7" w:rsidRDefault="00E453CD" w:rsidP="002A2660">
            <w:pPr>
              <w:pStyle w:val="TableLeft"/>
              <w:jc w:val="center"/>
              <w:rPr>
                <w:b/>
                <w:sz w:val="22"/>
                <w:szCs w:val="22"/>
              </w:rPr>
            </w:pPr>
            <w:r>
              <w:rPr>
                <w:b/>
                <w:sz w:val="22"/>
                <w:szCs w:val="22"/>
              </w:rPr>
              <w:t>Dosering</w:t>
            </w:r>
          </w:p>
        </w:tc>
      </w:tr>
      <w:tr w:rsidR="004644D4" w14:paraId="33359B09" w14:textId="77777777" w:rsidTr="002A2660">
        <w:trPr>
          <w:tblHeader/>
          <w:jc w:val="center"/>
        </w:trPr>
        <w:tc>
          <w:tcPr>
            <w:tcW w:w="3401" w:type="dxa"/>
            <w:tcBorders>
              <w:top w:val="single" w:sz="4" w:space="0" w:color="auto"/>
              <w:left w:val="nil"/>
              <w:bottom w:val="single" w:sz="4" w:space="0" w:color="auto"/>
              <w:right w:val="nil"/>
            </w:tcBorders>
            <w:hideMark/>
          </w:tcPr>
          <w:p w14:paraId="7425DAF7" w14:textId="77777777" w:rsidR="00F319B7" w:rsidRDefault="00E453CD" w:rsidP="002A2660">
            <w:pPr>
              <w:pStyle w:val="TableLeft"/>
              <w:jc w:val="center"/>
              <w:rPr>
                <w:b/>
                <w:sz w:val="22"/>
                <w:szCs w:val="22"/>
              </w:rPr>
            </w:pPr>
            <w:r>
              <w:rPr>
                <w:sz w:val="22"/>
                <w:szCs w:val="22"/>
              </w:rPr>
              <w:t>15 kg til &lt; 30 kg</w:t>
            </w:r>
          </w:p>
        </w:tc>
        <w:tc>
          <w:tcPr>
            <w:tcW w:w="3394" w:type="dxa"/>
            <w:tcBorders>
              <w:top w:val="single" w:sz="4" w:space="0" w:color="auto"/>
              <w:left w:val="nil"/>
              <w:bottom w:val="single" w:sz="4" w:space="0" w:color="auto"/>
              <w:right w:val="nil"/>
            </w:tcBorders>
            <w:hideMark/>
          </w:tcPr>
          <w:p w14:paraId="6B4E3AE0" w14:textId="77777777" w:rsidR="00F319B7" w:rsidRPr="00BA33D6" w:rsidRDefault="00E453CD" w:rsidP="002A2660">
            <w:pPr>
              <w:pStyle w:val="TableLeft"/>
              <w:jc w:val="center"/>
              <w:rPr>
                <w:b/>
                <w:sz w:val="22"/>
                <w:szCs w:val="22"/>
                <w:lang w:val="nb-NO"/>
              </w:rPr>
            </w:pPr>
            <w:r w:rsidRPr="00BA33D6">
              <w:rPr>
                <w:sz w:val="22"/>
                <w:szCs w:val="22"/>
                <w:lang w:val="nb-NO"/>
              </w:rPr>
              <w:t>Startdose på 20 mg, etterfulgt av 20 mg gitt annenhver uke</w:t>
            </w:r>
            <w:r>
              <w:rPr>
                <w:sz w:val="22"/>
                <w:szCs w:val="22"/>
                <w:lang w:val="nb-NO"/>
              </w:rPr>
              <w:t xml:space="preserve"> fra én uke etter startdosen</w:t>
            </w:r>
          </w:p>
        </w:tc>
      </w:tr>
      <w:tr w:rsidR="004644D4" w14:paraId="774BC043" w14:textId="77777777" w:rsidTr="002A2660">
        <w:trPr>
          <w:tblHeader/>
          <w:jc w:val="center"/>
        </w:trPr>
        <w:tc>
          <w:tcPr>
            <w:tcW w:w="3401" w:type="dxa"/>
            <w:tcBorders>
              <w:top w:val="single" w:sz="4" w:space="0" w:color="auto"/>
              <w:left w:val="nil"/>
              <w:bottom w:val="single" w:sz="4" w:space="0" w:color="auto"/>
              <w:right w:val="nil"/>
            </w:tcBorders>
            <w:hideMark/>
          </w:tcPr>
          <w:p w14:paraId="2A898542" w14:textId="77777777" w:rsidR="00F319B7" w:rsidRPr="00BA33D6" w:rsidRDefault="00E453CD" w:rsidP="002A2660">
            <w:pPr>
              <w:pStyle w:val="TableLeft"/>
              <w:jc w:val="center"/>
              <w:rPr>
                <w:b/>
                <w:sz w:val="22"/>
                <w:szCs w:val="22"/>
                <w:lang w:val="nb-NO"/>
              </w:rPr>
            </w:pPr>
            <w:r w:rsidRPr="00BA33D6">
              <w:rPr>
                <w:sz w:val="22"/>
                <w:szCs w:val="22"/>
                <w:lang w:val="nb-NO"/>
              </w:rPr>
              <w:t>≥ 30 kg</w:t>
            </w:r>
          </w:p>
        </w:tc>
        <w:tc>
          <w:tcPr>
            <w:tcW w:w="3394" w:type="dxa"/>
            <w:tcBorders>
              <w:top w:val="single" w:sz="4" w:space="0" w:color="auto"/>
              <w:left w:val="nil"/>
              <w:bottom w:val="single" w:sz="4" w:space="0" w:color="auto"/>
              <w:right w:val="nil"/>
            </w:tcBorders>
            <w:hideMark/>
          </w:tcPr>
          <w:p w14:paraId="78C9F869" w14:textId="77777777" w:rsidR="00F319B7" w:rsidRPr="00BA33D6" w:rsidRDefault="00E453CD" w:rsidP="002A2660">
            <w:pPr>
              <w:pStyle w:val="TableLeft"/>
              <w:jc w:val="center"/>
              <w:rPr>
                <w:b/>
                <w:sz w:val="22"/>
                <w:szCs w:val="22"/>
                <w:lang w:val="nb-NO"/>
              </w:rPr>
            </w:pPr>
            <w:r w:rsidRPr="00536B95">
              <w:rPr>
                <w:sz w:val="22"/>
                <w:szCs w:val="22"/>
                <w:lang w:val="nb-NO"/>
              </w:rPr>
              <w:t>S</w:t>
            </w:r>
            <w:r>
              <w:rPr>
                <w:sz w:val="22"/>
                <w:szCs w:val="22"/>
                <w:lang w:val="nb-NO"/>
              </w:rPr>
              <w:t>tartdose på 40 mg, etterfulgt av 4</w:t>
            </w:r>
            <w:r w:rsidRPr="00536B95">
              <w:rPr>
                <w:sz w:val="22"/>
                <w:szCs w:val="22"/>
                <w:lang w:val="nb-NO"/>
              </w:rPr>
              <w:t xml:space="preserve">0 mg gitt annenhver uke fra </w:t>
            </w:r>
            <w:r>
              <w:rPr>
                <w:sz w:val="22"/>
                <w:szCs w:val="22"/>
                <w:lang w:val="nb-NO"/>
              </w:rPr>
              <w:t>én uke etter startdosen</w:t>
            </w:r>
          </w:p>
        </w:tc>
      </w:tr>
    </w:tbl>
    <w:p w14:paraId="301BCEBD" w14:textId="77777777" w:rsidR="00F319B7" w:rsidRDefault="00F319B7" w:rsidP="00776A84">
      <w:pPr>
        <w:rPr>
          <w:sz w:val="22"/>
          <w:szCs w:val="22"/>
        </w:rPr>
      </w:pPr>
    </w:p>
    <w:p w14:paraId="35D70100" w14:textId="77777777" w:rsidR="00F319B7" w:rsidRPr="009C5EFD" w:rsidRDefault="00E453CD" w:rsidP="00776A84">
      <w:pPr>
        <w:rPr>
          <w:sz w:val="22"/>
          <w:szCs w:val="22"/>
        </w:rPr>
      </w:pPr>
      <w:r w:rsidRPr="009C5EFD">
        <w:rPr>
          <w:sz w:val="22"/>
          <w:szCs w:val="22"/>
        </w:rPr>
        <w:t>Fortsettelse av behandlingen hos pasienter som ikke responderer innen 16 uker, bør vurderes nøye.</w:t>
      </w:r>
    </w:p>
    <w:p w14:paraId="144E3CC3" w14:textId="77777777" w:rsidR="00F319B7" w:rsidRPr="009C5EFD" w:rsidRDefault="00F319B7" w:rsidP="00F319B7">
      <w:pPr>
        <w:rPr>
          <w:sz w:val="22"/>
          <w:szCs w:val="22"/>
        </w:rPr>
      </w:pPr>
    </w:p>
    <w:p w14:paraId="187DBD90" w14:textId="77777777" w:rsidR="00F319B7" w:rsidRPr="009C5EFD" w:rsidRDefault="00E453CD" w:rsidP="00F319B7">
      <w:pPr>
        <w:rPr>
          <w:sz w:val="22"/>
          <w:szCs w:val="22"/>
        </w:rPr>
      </w:pPr>
      <w:r w:rsidRPr="009C5EFD">
        <w:rPr>
          <w:sz w:val="22"/>
          <w:szCs w:val="22"/>
        </w:rPr>
        <w:t>Hvis re-behandling er indisert, bør doseringsanbefalinger overfor følges.</w:t>
      </w:r>
    </w:p>
    <w:p w14:paraId="2ADE040C" w14:textId="77777777" w:rsidR="00F319B7" w:rsidRPr="009C5EFD" w:rsidRDefault="00F319B7" w:rsidP="00F319B7">
      <w:pPr>
        <w:rPr>
          <w:sz w:val="22"/>
          <w:szCs w:val="22"/>
        </w:rPr>
      </w:pPr>
    </w:p>
    <w:p w14:paraId="224E05D2" w14:textId="77777777" w:rsidR="00F319B7" w:rsidRPr="009C5EFD" w:rsidRDefault="00E453CD" w:rsidP="00F319B7">
      <w:pPr>
        <w:rPr>
          <w:sz w:val="22"/>
          <w:szCs w:val="22"/>
        </w:rPr>
      </w:pPr>
      <w:r w:rsidRPr="009C5EFD">
        <w:rPr>
          <w:sz w:val="22"/>
          <w:szCs w:val="22"/>
        </w:rPr>
        <w:t>Sikkerhet ved bruk av Humira hos pediatriske pasienter med plakkpsoriasis er undersøkt i gjennomsnittlig 13 måneder.</w:t>
      </w:r>
    </w:p>
    <w:p w14:paraId="26420B61" w14:textId="77777777" w:rsidR="00F319B7" w:rsidRPr="009C5EFD" w:rsidRDefault="00F319B7" w:rsidP="00F319B7">
      <w:pPr>
        <w:rPr>
          <w:sz w:val="22"/>
          <w:szCs w:val="22"/>
        </w:rPr>
      </w:pPr>
    </w:p>
    <w:p w14:paraId="4EBB43A8" w14:textId="77777777" w:rsidR="00F319B7" w:rsidRDefault="00E453CD" w:rsidP="00F319B7">
      <w:pPr>
        <w:rPr>
          <w:sz w:val="22"/>
          <w:szCs w:val="22"/>
        </w:rPr>
      </w:pPr>
      <w:r w:rsidRPr="009C5EFD">
        <w:rPr>
          <w:sz w:val="22"/>
          <w:szCs w:val="22"/>
        </w:rPr>
        <w:t xml:space="preserve">Det er ikke relevant å bruke Humira hos barn </w:t>
      </w:r>
      <w:r w:rsidR="002A2D0D">
        <w:rPr>
          <w:sz w:val="22"/>
          <w:szCs w:val="22"/>
        </w:rPr>
        <w:t>under</w:t>
      </w:r>
      <w:r w:rsidRPr="009C5EFD">
        <w:rPr>
          <w:sz w:val="22"/>
          <w:szCs w:val="22"/>
        </w:rPr>
        <w:t xml:space="preserve"> 4 år ved denne indikasjonen.</w:t>
      </w:r>
    </w:p>
    <w:p w14:paraId="011F5F73" w14:textId="77777777" w:rsidR="00E571FA" w:rsidRDefault="00E571FA" w:rsidP="00F319B7">
      <w:pPr>
        <w:rPr>
          <w:sz w:val="22"/>
          <w:szCs w:val="22"/>
        </w:rPr>
      </w:pPr>
    </w:p>
    <w:p w14:paraId="2B9D62F8" w14:textId="77777777" w:rsidR="00E571FA" w:rsidRPr="009C5EFD" w:rsidRDefault="00E453CD" w:rsidP="00F319B7">
      <w:pPr>
        <w:rPr>
          <w:sz w:val="22"/>
          <w:szCs w:val="22"/>
        </w:rPr>
      </w:pPr>
      <w:r>
        <w:rPr>
          <w:sz w:val="22"/>
          <w:szCs w:val="22"/>
        </w:rPr>
        <w:t>Humira kan være tilgjengelig i andre styrker og/eller formuleringer avhengig av individuelle behandlingsbehov.</w:t>
      </w:r>
    </w:p>
    <w:p w14:paraId="4FEA93AB" w14:textId="77777777" w:rsidR="00F319B7" w:rsidRPr="009C5EFD" w:rsidRDefault="00F319B7" w:rsidP="00F319B7">
      <w:pPr>
        <w:rPr>
          <w:sz w:val="22"/>
          <w:szCs w:val="22"/>
          <w:u w:val="single"/>
        </w:rPr>
      </w:pPr>
    </w:p>
    <w:p w14:paraId="752FE8B6" w14:textId="77777777" w:rsidR="00F319B7" w:rsidRPr="009C5EFD" w:rsidRDefault="00E453CD" w:rsidP="00776A84">
      <w:pPr>
        <w:keepNext/>
        <w:rPr>
          <w:i/>
          <w:sz w:val="22"/>
          <w:szCs w:val="22"/>
        </w:rPr>
      </w:pPr>
      <w:r w:rsidRPr="009C5EFD">
        <w:rPr>
          <w:i/>
          <w:sz w:val="22"/>
          <w:szCs w:val="22"/>
        </w:rPr>
        <w:t>Hidrosadenitt</w:t>
      </w:r>
      <w:r>
        <w:rPr>
          <w:i/>
          <w:sz w:val="22"/>
          <w:szCs w:val="22"/>
        </w:rPr>
        <w:t xml:space="preserve"> hos ungdom (</w:t>
      </w:r>
      <w:r w:rsidR="002A2D0D">
        <w:rPr>
          <w:i/>
          <w:sz w:val="22"/>
          <w:szCs w:val="22"/>
        </w:rPr>
        <w:t>over</w:t>
      </w:r>
      <w:r>
        <w:rPr>
          <w:i/>
          <w:sz w:val="22"/>
          <w:szCs w:val="22"/>
        </w:rPr>
        <w:t xml:space="preserve"> 12 år, kroppsvekt på minst 30 kg)</w:t>
      </w:r>
    </w:p>
    <w:p w14:paraId="49FF91B1" w14:textId="77777777" w:rsidR="00F319B7" w:rsidRPr="009C5EFD" w:rsidRDefault="00F319B7" w:rsidP="00776A84">
      <w:pPr>
        <w:keepNext/>
        <w:rPr>
          <w:sz w:val="22"/>
          <w:szCs w:val="22"/>
        </w:rPr>
      </w:pPr>
    </w:p>
    <w:p w14:paraId="6C850BA4" w14:textId="77777777" w:rsidR="00F319B7" w:rsidRDefault="00E453CD" w:rsidP="00F319B7">
      <w:pPr>
        <w:rPr>
          <w:sz w:val="22"/>
          <w:szCs w:val="22"/>
        </w:rPr>
      </w:pPr>
      <w:r>
        <w:rPr>
          <w:sz w:val="22"/>
          <w:szCs w:val="22"/>
        </w:rPr>
        <w:t>Det finnes ingen kliniske studier med Humira hos ungdom med HS. Doseringen av Humira hos disse pasientene har blitt bestemt fra farmakokinetisk modellering og simulering (se pkt. 5.2).</w:t>
      </w:r>
    </w:p>
    <w:p w14:paraId="471C7256" w14:textId="77777777" w:rsidR="00F319B7" w:rsidRDefault="00F319B7" w:rsidP="00F319B7">
      <w:pPr>
        <w:rPr>
          <w:sz w:val="22"/>
          <w:szCs w:val="22"/>
        </w:rPr>
      </w:pPr>
    </w:p>
    <w:p w14:paraId="295B2C7A" w14:textId="77777777" w:rsidR="00F319B7" w:rsidRDefault="00E453CD" w:rsidP="00F319B7">
      <w:pPr>
        <w:rPr>
          <w:sz w:val="22"/>
          <w:szCs w:val="22"/>
        </w:rPr>
      </w:pPr>
      <w:r w:rsidRPr="009C5EFD">
        <w:rPr>
          <w:sz w:val="22"/>
          <w:szCs w:val="22"/>
        </w:rPr>
        <w:t xml:space="preserve">Anbefalt dosering </w:t>
      </w:r>
      <w:r>
        <w:rPr>
          <w:sz w:val="22"/>
          <w:szCs w:val="22"/>
        </w:rPr>
        <w:t>av</w:t>
      </w:r>
      <w:r w:rsidRPr="009C5EFD">
        <w:rPr>
          <w:sz w:val="22"/>
          <w:szCs w:val="22"/>
        </w:rPr>
        <w:t xml:space="preserve"> Humira </w:t>
      </w:r>
      <w:r>
        <w:rPr>
          <w:sz w:val="22"/>
          <w:szCs w:val="22"/>
        </w:rPr>
        <w:t>er 80 mg ved uke 0, etterfulgt av 40 mg annenhver uke fra uke 1 via subkutan injeksjon.</w:t>
      </w:r>
    </w:p>
    <w:p w14:paraId="29C618FE" w14:textId="77777777" w:rsidR="00F319B7" w:rsidRDefault="00F319B7" w:rsidP="00F319B7">
      <w:pPr>
        <w:rPr>
          <w:sz w:val="22"/>
          <w:szCs w:val="22"/>
        </w:rPr>
      </w:pPr>
    </w:p>
    <w:p w14:paraId="2FB9857E" w14:textId="77777777" w:rsidR="00F319B7" w:rsidRDefault="00E453CD" w:rsidP="00F319B7">
      <w:pPr>
        <w:rPr>
          <w:sz w:val="22"/>
          <w:szCs w:val="22"/>
        </w:rPr>
      </w:pPr>
      <w:r>
        <w:rPr>
          <w:sz w:val="22"/>
          <w:szCs w:val="22"/>
        </w:rPr>
        <w:t>Hos ungdom med utilstrekkelig respons på Humira 40</w:t>
      </w:r>
      <w:r w:rsidR="000F2B7A">
        <w:rPr>
          <w:sz w:val="22"/>
          <w:szCs w:val="22"/>
        </w:rPr>
        <w:t> </w:t>
      </w:r>
      <w:r>
        <w:rPr>
          <w:sz w:val="22"/>
          <w:szCs w:val="22"/>
        </w:rPr>
        <w:t>mg annenhver uke, kan en økning i dosering til 40</w:t>
      </w:r>
      <w:r w:rsidR="000F2B7A">
        <w:rPr>
          <w:sz w:val="22"/>
          <w:szCs w:val="22"/>
        </w:rPr>
        <w:t> </w:t>
      </w:r>
      <w:r>
        <w:rPr>
          <w:sz w:val="22"/>
          <w:szCs w:val="22"/>
        </w:rPr>
        <w:t xml:space="preserve">mg hver uke </w:t>
      </w:r>
      <w:r w:rsidR="00E571FA">
        <w:rPr>
          <w:sz w:val="22"/>
          <w:szCs w:val="22"/>
        </w:rPr>
        <w:t>eller 80</w:t>
      </w:r>
      <w:r w:rsidR="000F2B7A">
        <w:rPr>
          <w:sz w:val="22"/>
          <w:szCs w:val="22"/>
        </w:rPr>
        <w:t> </w:t>
      </w:r>
      <w:r w:rsidR="00E571FA">
        <w:rPr>
          <w:sz w:val="22"/>
          <w:szCs w:val="22"/>
        </w:rPr>
        <w:t xml:space="preserve">mg annenhver uke </w:t>
      </w:r>
      <w:r w:rsidR="000624CD">
        <w:rPr>
          <w:sz w:val="22"/>
          <w:szCs w:val="22"/>
        </w:rPr>
        <w:t>vurderes.</w:t>
      </w:r>
    </w:p>
    <w:p w14:paraId="7B42F59B" w14:textId="77777777" w:rsidR="00F319B7" w:rsidRDefault="00F319B7" w:rsidP="00F319B7">
      <w:pPr>
        <w:rPr>
          <w:sz w:val="22"/>
          <w:szCs w:val="22"/>
        </w:rPr>
      </w:pPr>
    </w:p>
    <w:p w14:paraId="52D53C69" w14:textId="77777777" w:rsidR="00F319B7" w:rsidRPr="009C5EFD" w:rsidRDefault="00E453CD" w:rsidP="00F319B7">
      <w:pPr>
        <w:rPr>
          <w:sz w:val="22"/>
          <w:szCs w:val="22"/>
        </w:rPr>
      </w:pPr>
      <w:r w:rsidRPr="009C5EFD">
        <w:rPr>
          <w:sz w:val="22"/>
          <w:szCs w:val="22"/>
        </w:rPr>
        <w:lastRenderedPageBreak/>
        <w:t>Behandling med antibiotika kan fortsette under behandling med Humira om nødvendig. Det anbefales at pasienten bruke</w:t>
      </w:r>
      <w:r>
        <w:rPr>
          <w:sz w:val="22"/>
          <w:szCs w:val="22"/>
        </w:rPr>
        <w:t>r</w:t>
      </w:r>
      <w:r w:rsidRPr="009C5EFD">
        <w:rPr>
          <w:sz w:val="22"/>
          <w:szCs w:val="22"/>
        </w:rPr>
        <w:t xml:space="preserve"> en topikal antiseptisk vask på sine HS sår daglig under behandling med Humira.</w:t>
      </w:r>
    </w:p>
    <w:p w14:paraId="597B60C9" w14:textId="77777777" w:rsidR="00F319B7" w:rsidRPr="009C5EFD" w:rsidRDefault="00F319B7" w:rsidP="00F319B7">
      <w:pPr>
        <w:rPr>
          <w:sz w:val="22"/>
          <w:szCs w:val="22"/>
        </w:rPr>
      </w:pPr>
    </w:p>
    <w:p w14:paraId="6D3CD449" w14:textId="77777777" w:rsidR="00F319B7" w:rsidRDefault="00E453CD" w:rsidP="00F319B7">
      <w:pPr>
        <w:rPr>
          <w:sz w:val="22"/>
          <w:szCs w:val="22"/>
        </w:rPr>
      </w:pPr>
      <w:r w:rsidRPr="009C5EFD">
        <w:rPr>
          <w:sz w:val="22"/>
          <w:szCs w:val="22"/>
        </w:rPr>
        <w:t xml:space="preserve">Videre behandling utover 12 uker bør nøye overveies hos pasienter </w:t>
      </w:r>
      <w:r>
        <w:rPr>
          <w:sz w:val="22"/>
          <w:szCs w:val="22"/>
        </w:rPr>
        <w:t>uten</w:t>
      </w:r>
      <w:r w:rsidRPr="009C5EFD">
        <w:rPr>
          <w:sz w:val="22"/>
          <w:szCs w:val="22"/>
        </w:rPr>
        <w:t xml:space="preserve"> f</w:t>
      </w:r>
      <w:r>
        <w:rPr>
          <w:sz w:val="22"/>
          <w:szCs w:val="22"/>
        </w:rPr>
        <w:t>orbedring i løpet av denne perioden.</w:t>
      </w:r>
    </w:p>
    <w:p w14:paraId="51A8E97B" w14:textId="77777777" w:rsidR="00F319B7" w:rsidRDefault="00F319B7" w:rsidP="00F319B7">
      <w:pPr>
        <w:rPr>
          <w:sz w:val="22"/>
          <w:szCs w:val="22"/>
        </w:rPr>
      </w:pPr>
    </w:p>
    <w:p w14:paraId="5812025A" w14:textId="77777777" w:rsidR="00F319B7" w:rsidRDefault="00E453CD" w:rsidP="00F319B7">
      <w:pPr>
        <w:rPr>
          <w:sz w:val="22"/>
          <w:szCs w:val="22"/>
        </w:rPr>
      </w:pPr>
      <w:r w:rsidRPr="009C5EFD">
        <w:rPr>
          <w:sz w:val="22"/>
          <w:szCs w:val="22"/>
        </w:rPr>
        <w:t>Skulle det være nødvendig å avbryte behandlingen,</w:t>
      </w:r>
      <w:r>
        <w:rPr>
          <w:sz w:val="22"/>
          <w:szCs w:val="22"/>
        </w:rPr>
        <w:t xml:space="preserve"> kan behandling med Humira startes igjen etter behov.</w:t>
      </w:r>
    </w:p>
    <w:p w14:paraId="45F11B66" w14:textId="77777777" w:rsidR="00F319B7" w:rsidRDefault="00F319B7" w:rsidP="00F319B7">
      <w:pPr>
        <w:rPr>
          <w:sz w:val="22"/>
          <w:szCs w:val="22"/>
        </w:rPr>
      </w:pPr>
    </w:p>
    <w:p w14:paraId="4DB4F6B0" w14:textId="77777777" w:rsidR="00F319B7" w:rsidRDefault="00E453CD" w:rsidP="00F319B7">
      <w:pPr>
        <w:rPr>
          <w:sz w:val="22"/>
          <w:szCs w:val="22"/>
        </w:rPr>
      </w:pPr>
      <w:r w:rsidRPr="009C5EFD">
        <w:rPr>
          <w:sz w:val="22"/>
          <w:szCs w:val="22"/>
        </w:rPr>
        <w:t xml:space="preserve">Nytte og risiko ved videre langvarig behandling bør </w:t>
      </w:r>
      <w:r w:rsidR="00421CF7">
        <w:rPr>
          <w:sz w:val="22"/>
          <w:szCs w:val="22"/>
        </w:rPr>
        <w:t>vurderes</w:t>
      </w:r>
      <w:r w:rsidRPr="009C5EFD">
        <w:rPr>
          <w:sz w:val="22"/>
          <w:szCs w:val="22"/>
        </w:rPr>
        <w:t xml:space="preserve"> regelmessig (se </w:t>
      </w:r>
      <w:r>
        <w:rPr>
          <w:sz w:val="22"/>
          <w:szCs w:val="22"/>
        </w:rPr>
        <w:t xml:space="preserve">data for voksne i </w:t>
      </w:r>
      <w:r w:rsidRPr="009C5EFD">
        <w:rPr>
          <w:sz w:val="22"/>
          <w:szCs w:val="22"/>
        </w:rPr>
        <w:t>pkt. 5.1).</w:t>
      </w:r>
    </w:p>
    <w:p w14:paraId="3268A796" w14:textId="77777777" w:rsidR="005B52A2" w:rsidRDefault="005B52A2" w:rsidP="00F319B7">
      <w:pPr>
        <w:rPr>
          <w:sz w:val="22"/>
          <w:szCs w:val="22"/>
        </w:rPr>
      </w:pPr>
    </w:p>
    <w:p w14:paraId="73F203AD" w14:textId="77777777" w:rsidR="00F319B7" w:rsidRDefault="00E453CD" w:rsidP="00F319B7">
      <w:pPr>
        <w:rPr>
          <w:sz w:val="22"/>
          <w:szCs w:val="22"/>
        </w:rPr>
      </w:pPr>
      <w:r w:rsidRPr="009C5EFD">
        <w:rPr>
          <w:sz w:val="22"/>
          <w:szCs w:val="22"/>
        </w:rPr>
        <w:t xml:space="preserve">Det er ikke relevant å bruke Humira hos barn </w:t>
      </w:r>
      <w:r w:rsidR="002A2D0D">
        <w:rPr>
          <w:sz w:val="22"/>
          <w:szCs w:val="22"/>
        </w:rPr>
        <w:t>under</w:t>
      </w:r>
      <w:r w:rsidRPr="009C5EFD">
        <w:rPr>
          <w:sz w:val="22"/>
          <w:szCs w:val="22"/>
        </w:rPr>
        <w:t xml:space="preserve"> </w:t>
      </w:r>
      <w:r>
        <w:rPr>
          <w:sz w:val="22"/>
          <w:szCs w:val="22"/>
        </w:rPr>
        <w:t>12</w:t>
      </w:r>
      <w:r w:rsidRPr="009C5EFD">
        <w:rPr>
          <w:sz w:val="22"/>
          <w:szCs w:val="22"/>
        </w:rPr>
        <w:t xml:space="preserve"> år ved denne indikasjonen.</w:t>
      </w:r>
    </w:p>
    <w:p w14:paraId="2683EA0D" w14:textId="77777777" w:rsidR="00E571FA" w:rsidRDefault="00E571FA" w:rsidP="00E571FA">
      <w:pPr>
        <w:rPr>
          <w:sz w:val="22"/>
          <w:szCs w:val="22"/>
        </w:rPr>
      </w:pPr>
    </w:p>
    <w:p w14:paraId="2DB6C546" w14:textId="77777777" w:rsidR="00E571FA" w:rsidRDefault="00E453CD" w:rsidP="00E571FA">
      <w:pPr>
        <w:rPr>
          <w:i/>
          <w:sz w:val="22"/>
          <w:szCs w:val="22"/>
        </w:rPr>
      </w:pPr>
      <w:r>
        <w:rPr>
          <w:sz w:val="22"/>
          <w:szCs w:val="22"/>
        </w:rPr>
        <w:t>Humira kan være tilgjengelig i andre styrker og/eller formuleringer avhengig av individuelle behandlingsbehov.</w:t>
      </w:r>
    </w:p>
    <w:p w14:paraId="57BACC05" w14:textId="77777777" w:rsidR="00F319B7" w:rsidRDefault="00F319B7" w:rsidP="00F319B7">
      <w:pPr>
        <w:rPr>
          <w:i/>
          <w:sz w:val="22"/>
          <w:szCs w:val="22"/>
        </w:rPr>
      </w:pPr>
    </w:p>
    <w:p w14:paraId="3431C17F" w14:textId="77777777" w:rsidR="00F319B7" w:rsidRPr="00193D76" w:rsidRDefault="00E453CD" w:rsidP="00B07EA9">
      <w:pPr>
        <w:keepNext/>
        <w:rPr>
          <w:sz w:val="22"/>
          <w:szCs w:val="22"/>
          <w:u w:val="single"/>
        </w:rPr>
      </w:pPr>
      <w:r w:rsidRPr="001F5D4B">
        <w:rPr>
          <w:i/>
          <w:sz w:val="22"/>
          <w:szCs w:val="22"/>
        </w:rPr>
        <w:t>Pediatrisk Crohns sykdom</w:t>
      </w:r>
    </w:p>
    <w:p w14:paraId="73D8EB44" w14:textId="77777777" w:rsidR="00F319B7" w:rsidRDefault="00F319B7" w:rsidP="00B07EA9">
      <w:pPr>
        <w:keepNext/>
        <w:rPr>
          <w:sz w:val="22"/>
          <w:szCs w:val="22"/>
          <w:u w:val="single"/>
        </w:rPr>
      </w:pPr>
    </w:p>
    <w:p w14:paraId="63C69081" w14:textId="77777777" w:rsidR="00F319B7" w:rsidRDefault="00E453CD" w:rsidP="00F319B7">
      <w:pPr>
        <w:rPr>
          <w:sz w:val="22"/>
          <w:szCs w:val="22"/>
        </w:rPr>
      </w:pPr>
      <w:r>
        <w:rPr>
          <w:sz w:val="22"/>
          <w:szCs w:val="22"/>
        </w:rPr>
        <w:t>Anbefalt dose av Humira</w:t>
      </w:r>
      <w:r w:rsidRPr="00406E1B">
        <w:rPr>
          <w:sz w:val="22"/>
          <w:szCs w:val="22"/>
        </w:rPr>
        <w:t xml:space="preserve"> </w:t>
      </w:r>
      <w:r w:rsidRPr="00844FD5">
        <w:rPr>
          <w:sz w:val="22"/>
          <w:szCs w:val="22"/>
        </w:rPr>
        <w:t xml:space="preserve">for pasienter fra </w:t>
      </w:r>
      <w:r>
        <w:rPr>
          <w:sz w:val="22"/>
          <w:szCs w:val="22"/>
        </w:rPr>
        <w:t>6</w:t>
      </w:r>
      <w:r w:rsidRPr="00406E1B">
        <w:rPr>
          <w:sz w:val="22"/>
          <w:szCs w:val="22"/>
        </w:rPr>
        <w:t xml:space="preserve"> til 17 år med </w:t>
      </w:r>
      <w:r>
        <w:rPr>
          <w:sz w:val="22"/>
          <w:szCs w:val="22"/>
        </w:rPr>
        <w:t>Cro</w:t>
      </w:r>
      <w:r w:rsidR="006029AB">
        <w:rPr>
          <w:sz w:val="22"/>
          <w:szCs w:val="22"/>
        </w:rPr>
        <w:t>h</w:t>
      </w:r>
      <w:r>
        <w:rPr>
          <w:sz w:val="22"/>
          <w:szCs w:val="22"/>
        </w:rPr>
        <w:t>ns sykdom</w:t>
      </w:r>
      <w:r w:rsidRPr="00406E1B">
        <w:rPr>
          <w:sz w:val="22"/>
          <w:szCs w:val="22"/>
        </w:rPr>
        <w:t xml:space="preserve"> e</w:t>
      </w:r>
      <w:r w:rsidRPr="00844FD5">
        <w:rPr>
          <w:sz w:val="22"/>
          <w:szCs w:val="22"/>
        </w:rPr>
        <w:t>r basert på kroppsvekt (</w:t>
      </w:r>
      <w:r w:rsidR="00C455EA">
        <w:rPr>
          <w:sz w:val="22"/>
          <w:szCs w:val="22"/>
        </w:rPr>
        <w:t>t</w:t>
      </w:r>
      <w:r w:rsidRPr="00844FD5">
        <w:rPr>
          <w:sz w:val="22"/>
          <w:szCs w:val="22"/>
        </w:rPr>
        <w:t xml:space="preserve">abell </w:t>
      </w:r>
      <w:r>
        <w:rPr>
          <w:sz w:val="22"/>
          <w:szCs w:val="22"/>
        </w:rPr>
        <w:t>4</w:t>
      </w:r>
      <w:r w:rsidRPr="00406E1B">
        <w:rPr>
          <w:sz w:val="22"/>
          <w:szCs w:val="22"/>
        </w:rPr>
        <w:t>).</w:t>
      </w:r>
      <w:r>
        <w:rPr>
          <w:sz w:val="22"/>
          <w:szCs w:val="22"/>
        </w:rPr>
        <w:t xml:space="preserve"> </w:t>
      </w:r>
      <w:r w:rsidRPr="006B1B0E">
        <w:rPr>
          <w:sz w:val="22"/>
          <w:szCs w:val="22"/>
        </w:rPr>
        <w:t>Humira admini</w:t>
      </w:r>
      <w:r>
        <w:rPr>
          <w:sz w:val="22"/>
          <w:szCs w:val="22"/>
        </w:rPr>
        <w:t xml:space="preserve">streres </w:t>
      </w:r>
      <w:r w:rsidR="00E571FA">
        <w:rPr>
          <w:sz w:val="22"/>
          <w:szCs w:val="22"/>
        </w:rPr>
        <w:t xml:space="preserve">som </w:t>
      </w:r>
      <w:r>
        <w:rPr>
          <w:sz w:val="22"/>
          <w:szCs w:val="22"/>
        </w:rPr>
        <w:t>subkutan</w:t>
      </w:r>
      <w:r w:rsidR="00E571FA">
        <w:rPr>
          <w:sz w:val="22"/>
          <w:szCs w:val="22"/>
        </w:rPr>
        <w:t xml:space="preserve"> injeksjon</w:t>
      </w:r>
      <w:r>
        <w:rPr>
          <w:sz w:val="22"/>
          <w:szCs w:val="22"/>
        </w:rPr>
        <w:t>.</w:t>
      </w:r>
    </w:p>
    <w:p w14:paraId="53A287FE" w14:textId="77777777" w:rsidR="00F319B7" w:rsidRDefault="00F319B7" w:rsidP="00F319B7">
      <w:pPr>
        <w:rPr>
          <w:sz w:val="22"/>
          <w:szCs w:val="22"/>
        </w:rPr>
      </w:pPr>
    </w:p>
    <w:p w14:paraId="1D480107" w14:textId="77777777" w:rsidR="00F319B7" w:rsidRPr="00AB7697" w:rsidRDefault="00E453CD" w:rsidP="00AF70AD">
      <w:pPr>
        <w:keepNext/>
        <w:jc w:val="center"/>
        <w:rPr>
          <w:b/>
          <w:sz w:val="22"/>
          <w:szCs w:val="22"/>
        </w:rPr>
      </w:pPr>
      <w:r w:rsidRPr="00AB7697">
        <w:rPr>
          <w:b/>
          <w:sz w:val="22"/>
          <w:szCs w:val="22"/>
        </w:rPr>
        <w:t>Tabell 4. Humiradosering for pediatriske pasienter med Cro</w:t>
      </w:r>
      <w:r w:rsidR="006029AB" w:rsidRPr="00AB7697">
        <w:rPr>
          <w:b/>
          <w:sz w:val="22"/>
          <w:szCs w:val="22"/>
        </w:rPr>
        <w:t>h</w:t>
      </w:r>
      <w:r w:rsidRPr="00AB7697">
        <w:rPr>
          <w:b/>
          <w:sz w:val="22"/>
          <w:szCs w:val="22"/>
        </w:rPr>
        <w:t>ns sykdom</w:t>
      </w:r>
    </w:p>
    <w:p w14:paraId="6E5C36A4" w14:textId="77777777" w:rsidR="00F319B7" w:rsidRPr="00AB7697" w:rsidRDefault="00F319B7" w:rsidP="00AF70AD">
      <w:pPr>
        <w:keepNext/>
        <w:rPr>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3"/>
        <w:gridCol w:w="5960"/>
        <w:gridCol w:w="1946"/>
      </w:tblGrid>
      <w:tr w:rsidR="004644D4" w14:paraId="3F34BAFA" w14:textId="77777777" w:rsidTr="002A2660">
        <w:trPr>
          <w:tblHeader/>
        </w:trPr>
        <w:tc>
          <w:tcPr>
            <w:tcW w:w="0" w:type="auto"/>
            <w:tcBorders>
              <w:top w:val="single" w:sz="6" w:space="0" w:color="000000"/>
              <w:left w:val="single" w:sz="6" w:space="0" w:color="000000"/>
              <w:bottom w:val="single" w:sz="6" w:space="0" w:color="000000"/>
              <w:right w:val="single" w:sz="6" w:space="0" w:color="000000"/>
            </w:tcBorders>
            <w:hideMark/>
          </w:tcPr>
          <w:p w14:paraId="62A92E42" w14:textId="77777777" w:rsidR="00F319B7" w:rsidRPr="00AB7697" w:rsidRDefault="00E453CD" w:rsidP="00C50E0F">
            <w:pPr>
              <w:jc w:val="center"/>
              <w:rPr>
                <w:sz w:val="22"/>
              </w:rPr>
            </w:pPr>
            <w:r w:rsidRPr="00AB7697">
              <w:rPr>
                <w:b/>
                <w:sz w:val="22"/>
              </w:rPr>
              <w:t>Kroppsvekt</w:t>
            </w:r>
          </w:p>
        </w:tc>
        <w:tc>
          <w:tcPr>
            <w:tcW w:w="0" w:type="auto"/>
            <w:tcBorders>
              <w:top w:val="single" w:sz="6" w:space="0" w:color="000000"/>
              <w:left w:val="single" w:sz="6" w:space="0" w:color="000000"/>
              <w:bottom w:val="single" w:sz="6" w:space="0" w:color="000000"/>
              <w:right w:val="single" w:sz="6" w:space="0" w:color="000000"/>
            </w:tcBorders>
            <w:hideMark/>
          </w:tcPr>
          <w:p w14:paraId="0F607D69" w14:textId="77777777" w:rsidR="00F319B7" w:rsidRPr="00AB7697" w:rsidRDefault="00E453CD" w:rsidP="00C50E0F">
            <w:pPr>
              <w:jc w:val="center"/>
              <w:rPr>
                <w:sz w:val="22"/>
              </w:rPr>
            </w:pPr>
            <w:r w:rsidRPr="00AB7697">
              <w:rPr>
                <w:b/>
                <w:sz w:val="22"/>
              </w:rPr>
              <w:t>Startdose</w:t>
            </w:r>
          </w:p>
        </w:tc>
        <w:tc>
          <w:tcPr>
            <w:tcW w:w="0" w:type="auto"/>
            <w:tcBorders>
              <w:top w:val="single" w:sz="6" w:space="0" w:color="000000"/>
              <w:left w:val="single" w:sz="6" w:space="0" w:color="000000"/>
              <w:bottom w:val="single" w:sz="6" w:space="0" w:color="000000"/>
              <w:right w:val="single" w:sz="6" w:space="0" w:color="000000"/>
            </w:tcBorders>
            <w:hideMark/>
          </w:tcPr>
          <w:p w14:paraId="03B7DA0C" w14:textId="77777777" w:rsidR="00F319B7" w:rsidRPr="00AB7697" w:rsidRDefault="00E453CD" w:rsidP="00C50E0F">
            <w:pPr>
              <w:jc w:val="center"/>
              <w:rPr>
                <w:sz w:val="22"/>
                <w:lang w:val="en-US"/>
              </w:rPr>
            </w:pPr>
            <w:r w:rsidRPr="00AB7697">
              <w:rPr>
                <w:b/>
                <w:sz w:val="22"/>
                <w:lang w:val="en-US"/>
              </w:rPr>
              <w:t>Vedlikeholdsdose fra uke 4</w:t>
            </w:r>
          </w:p>
        </w:tc>
      </w:tr>
      <w:tr w:rsidR="004644D4" w14:paraId="30E2A079" w14:textId="77777777" w:rsidTr="002A2660">
        <w:tc>
          <w:tcPr>
            <w:tcW w:w="0" w:type="auto"/>
            <w:tcBorders>
              <w:top w:val="single" w:sz="6" w:space="0" w:color="000000"/>
              <w:left w:val="single" w:sz="6" w:space="0" w:color="000000"/>
              <w:bottom w:val="single" w:sz="6" w:space="0" w:color="000000"/>
              <w:right w:val="single" w:sz="6" w:space="0" w:color="000000"/>
            </w:tcBorders>
            <w:hideMark/>
          </w:tcPr>
          <w:p w14:paraId="64F5E0A2" w14:textId="77777777" w:rsidR="00F319B7" w:rsidRPr="00AB7697" w:rsidRDefault="00E453CD" w:rsidP="00C50E0F">
            <w:pPr>
              <w:jc w:val="center"/>
              <w:rPr>
                <w:sz w:val="22"/>
              </w:rPr>
            </w:pPr>
            <w:r w:rsidRPr="00AB7697">
              <w:rPr>
                <w:sz w:val="22"/>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47B7A28F" w14:textId="77777777" w:rsidR="00F319B7" w:rsidRPr="00AB7697" w:rsidRDefault="00E453CD" w:rsidP="0015674E">
            <w:pPr>
              <w:keepNext/>
              <w:numPr>
                <w:ilvl w:val="0"/>
                <w:numId w:val="135"/>
              </w:numPr>
              <w:tabs>
                <w:tab w:val="left" w:pos="720"/>
              </w:tabs>
              <w:ind w:left="317" w:hanging="187"/>
              <w:rPr>
                <w:sz w:val="22"/>
                <w:szCs w:val="22"/>
              </w:rPr>
            </w:pPr>
            <w:r w:rsidRPr="00AB7697">
              <w:rPr>
                <w:sz w:val="22"/>
                <w:szCs w:val="22"/>
              </w:rPr>
              <w:t>40 mg ved uke 0 og 20 mg ved uke 2</w:t>
            </w:r>
          </w:p>
          <w:p w14:paraId="6AE41D84" w14:textId="77777777" w:rsidR="00F319B7" w:rsidRPr="00AB7697" w:rsidRDefault="00F319B7" w:rsidP="0015674E">
            <w:pPr>
              <w:keepNext/>
              <w:tabs>
                <w:tab w:val="left" w:pos="720"/>
              </w:tabs>
              <w:ind w:left="337"/>
              <w:rPr>
                <w:sz w:val="22"/>
                <w:szCs w:val="22"/>
              </w:rPr>
            </w:pPr>
          </w:p>
          <w:p w14:paraId="4C4D3B6D" w14:textId="77777777" w:rsidR="00F319B7" w:rsidRPr="00AB7697" w:rsidRDefault="00E453CD" w:rsidP="0015674E">
            <w:pPr>
              <w:keepNext/>
              <w:tabs>
                <w:tab w:val="left" w:pos="720"/>
              </w:tabs>
              <w:ind w:left="150"/>
              <w:rPr>
                <w:sz w:val="22"/>
                <w:szCs w:val="22"/>
              </w:rPr>
            </w:pPr>
            <w:r w:rsidRPr="00AB7697">
              <w:rPr>
                <w:sz w:val="22"/>
                <w:szCs w:val="22"/>
              </w:rPr>
              <w:t xml:space="preserve">Dersom det er behov for raskere respons på </w:t>
            </w:r>
            <w:r w:rsidR="002A2D0D">
              <w:rPr>
                <w:sz w:val="22"/>
                <w:szCs w:val="22"/>
              </w:rPr>
              <w:t>behandlingen</w:t>
            </w:r>
            <w:r w:rsidRPr="00AB7697">
              <w:rPr>
                <w:sz w:val="22"/>
                <w:szCs w:val="22"/>
              </w:rPr>
              <w:t xml:space="preserve"> og med viten om at bivirkningsrisiko kan være høyere ved bruk av høyere startdose, kan følgende dosering benyttes:</w:t>
            </w:r>
          </w:p>
          <w:p w14:paraId="49EDA2C8" w14:textId="77777777" w:rsidR="00F319B7" w:rsidRPr="00AB7697" w:rsidRDefault="00E453CD" w:rsidP="00C50E0F">
            <w:pPr>
              <w:numPr>
                <w:ilvl w:val="0"/>
                <w:numId w:val="135"/>
              </w:numPr>
              <w:ind w:left="317" w:hanging="187"/>
              <w:rPr>
                <w:iCs/>
                <w:sz w:val="22"/>
                <w:szCs w:val="22"/>
              </w:rPr>
            </w:pPr>
            <w:r w:rsidRPr="00AB7697">
              <w:rPr>
                <w:sz w:val="22"/>
                <w:szCs w:val="22"/>
              </w:rPr>
              <w:t>80 mg ved uke 0 og 40 mg ved uke 2</w:t>
            </w:r>
          </w:p>
        </w:tc>
        <w:tc>
          <w:tcPr>
            <w:tcW w:w="0" w:type="auto"/>
            <w:tcBorders>
              <w:top w:val="single" w:sz="6" w:space="0" w:color="000000"/>
              <w:left w:val="single" w:sz="6" w:space="0" w:color="000000"/>
              <w:bottom w:val="single" w:sz="6" w:space="0" w:color="000000"/>
              <w:right w:val="single" w:sz="6" w:space="0" w:color="000000"/>
            </w:tcBorders>
            <w:hideMark/>
          </w:tcPr>
          <w:p w14:paraId="3C8AB8DC" w14:textId="77777777" w:rsidR="00F319B7" w:rsidRPr="00AB7697" w:rsidRDefault="00E453CD" w:rsidP="00C50E0F">
            <w:pPr>
              <w:ind w:left="16"/>
              <w:jc w:val="center"/>
              <w:rPr>
                <w:sz w:val="22"/>
              </w:rPr>
            </w:pPr>
            <w:r w:rsidRPr="00AB7697">
              <w:rPr>
                <w:sz w:val="22"/>
              </w:rPr>
              <w:t>20 mg annenhver uke</w:t>
            </w:r>
          </w:p>
        </w:tc>
      </w:tr>
      <w:tr w:rsidR="004644D4" w14:paraId="0138D103" w14:textId="77777777" w:rsidTr="002A2660">
        <w:tc>
          <w:tcPr>
            <w:tcW w:w="0" w:type="auto"/>
            <w:tcBorders>
              <w:top w:val="single" w:sz="6" w:space="0" w:color="000000"/>
              <w:left w:val="single" w:sz="6" w:space="0" w:color="000000"/>
              <w:bottom w:val="single" w:sz="6" w:space="0" w:color="000000"/>
              <w:right w:val="single" w:sz="6" w:space="0" w:color="000000"/>
            </w:tcBorders>
            <w:hideMark/>
          </w:tcPr>
          <w:p w14:paraId="0132FF8D" w14:textId="77777777" w:rsidR="00F319B7" w:rsidRPr="00AB7697" w:rsidRDefault="00E453CD" w:rsidP="00C50E0F">
            <w:pPr>
              <w:jc w:val="center"/>
              <w:rPr>
                <w:sz w:val="22"/>
              </w:rPr>
            </w:pPr>
            <w:r w:rsidRPr="00AB7697">
              <w:rPr>
                <w:sz w:val="22"/>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1C82838A" w14:textId="77777777" w:rsidR="00F319B7" w:rsidRPr="00AB7697" w:rsidRDefault="00E453CD" w:rsidP="0015674E">
            <w:pPr>
              <w:keepNext/>
              <w:numPr>
                <w:ilvl w:val="0"/>
                <w:numId w:val="137"/>
              </w:numPr>
              <w:tabs>
                <w:tab w:val="left" w:pos="720"/>
              </w:tabs>
              <w:ind w:left="317" w:hanging="187"/>
              <w:rPr>
                <w:sz w:val="22"/>
                <w:szCs w:val="22"/>
              </w:rPr>
            </w:pPr>
            <w:r>
              <w:rPr>
                <w:sz w:val="22"/>
                <w:szCs w:val="22"/>
              </w:rPr>
              <w:t>80 mg ved uke 0 og 4</w:t>
            </w:r>
            <w:r w:rsidRPr="00AB7697">
              <w:rPr>
                <w:sz w:val="22"/>
                <w:szCs w:val="22"/>
              </w:rPr>
              <w:t>0 mg ved uke 2</w:t>
            </w:r>
          </w:p>
          <w:p w14:paraId="55FD0B44" w14:textId="77777777" w:rsidR="00F319B7" w:rsidRPr="00AB7697" w:rsidRDefault="00F319B7" w:rsidP="0015674E">
            <w:pPr>
              <w:keepNext/>
              <w:tabs>
                <w:tab w:val="left" w:pos="720"/>
              </w:tabs>
              <w:ind w:left="337"/>
              <w:rPr>
                <w:sz w:val="22"/>
                <w:szCs w:val="22"/>
              </w:rPr>
            </w:pPr>
          </w:p>
          <w:p w14:paraId="67A615A4" w14:textId="77777777" w:rsidR="00F319B7" w:rsidRPr="00AB7697" w:rsidRDefault="00E453CD" w:rsidP="0015674E">
            <w:pPr>
              <w:keepNext/>
              <w:tabs>
                <w:tab w:val="left" w:pos="720"/>
              </w:tabs>
              <w:ind w:left="150"/>
              <w:rPr>
                <w:sz w:val="22"/>
                <w:szCs w:val="22"/>
              </w:rPr>
            </w:pPr>
            <w:r w:rsidRPr="00AB7697">
              <w:rPr>
                <w:sz w:val="22"/>
                <w:szCs w:val="22"/>
              </w:rPr>
              <w:t xml:space="preserve">Dersom det er behov for raskere respons på </w:t>
            </w:r>
            <w:r w:rsidR="002A2D0D">
              <w:rPr>
                <w:sz w:val="22"/>
                <w:szCs w:val="22"/>
              </w:rPr>
              <w:t>behandlingen</w:t>
            </w:r>
            <w:r w:rsidRPr="00AB7697">
              <w:rPr>
                <w:sz w:val="22"/>
                <w:szCs w:val="22"/>
              </w:rPr>
              <w:t xml:space="preserve"> og med viten om at bivirkningsrisiko kan være høyere ved bruk av høyere startdose, kan følgende dosering benyttes:</w:t>
            </w:r>
          </w:p>
          <w:p w14:paraId="69992651" w14:textId="77777777" w:rsidR="00F319B7" w:rsidRPr="00AB7697" w:rsidRDefault="00E453CD" w:rsidP="00C50E0F">
            <w:pPr>
              <w:numPr>
                <w:ilvl w:val="0"/>
                <w:numId w:val="137"/>
              </w:numPr>
              <w:ind w:left="317" w:hanging="187"/>
              <w:rPr>
                <w:sz w:val="22"/>
                <w:szCs w:val="22"/>
              </w:rPr>
            </w:pPr>
            <w:r w:rsidRPr="00AB7697">
              <w:rPr>
                <w:sz w:val="22"/>
                <w:szCs w:val="22"/>
              </w:rPr>
              <w:t>160 mg ved uke 0 og 80 mg ved uke 2</w:t>
            </w:r>
          </w:p>
        </w:tc>
        <w:tc>
          <w:tcPr>
            <w:tcW w:w="0" w:type="auto"/>
            <w:tcBorders>
              <w:top w:val="single" w:sz="6" w:space="0" w:color="000000"/>
              <w:left w:val="single" w:sz="6" w:space="0" w:color="000000"/>
              <w:bottom w:val="single" w:sz="6" w:space="0" w:color="000000"/>
              <w:right w:val="single" w:sz="6" w:space="0" w:color="000000"/>
            </w:tcBorders>
            <w:hideMark/>
          </w:tcPr>
          <w:p w14:paraId="335FE74A" w14:textId="77777777" w:rsidR="00F319B7" w:rsidRPr="00AB7697" w:rsidRDefault="00E453CD" w:rsidP="00C50E0F">
            <w:pPr>
              <w:ind w:left="16"/>
              <w:jc w:val="center"/>
              <w:rPr>
                <w:sz w:val="22"/>
              </w:rPr>
            </w:pPr>
            <w:r w:rsidRPr="00AB7697">
              <w:rPr>
                <w:sz w:val="22"/>
              </w:rPr>
              <w:t>40 mg annenhver uke</w:t>
            </w:r>
          </w:p>
        </w:tc>
      </w:tr>
    </w:tbl>
    <w:p w14:paraId="7BB70C5F" w14:textId="77777777" w:rsidR="00F319B7" w:rsidRDefault="00F319B7" w:rsidP="00776A84">
      <w:pPr>
        <w:rPr>
          <w:lang w:val="en-GB"/>
        </w:rPr>
      </w:pPr>
    </w:p>
    <w:p w14:paraId="38627FC4" w14:textId="77777777" w:rsidR="00F319B7" w:rsidRPr="0017427F" w:rsidRDefault="00E453CD" w:rsidP="00776A84">
      <w:pPr>
        <w:keepNext/>
        <w:rPr>
          <w:sz w:val="22"/>
          <w:szCs w:val="22"/>
        </w:rPr>
      </w:pPr>
      <w:r w:rsidRPr="0017427F">
        <w:rPr>
          <w:sz w:val="22"/>
          <w:szCs w:val="22"/>
        </w:rPr>
        <w:t>Pasienter som opplever utilstrekkelig respons kan ha nytte av en økning i dosering:</w:t>
      </w:r>
    </w:p>
    <w:p w14:paraId="35CC4CC2" w14:textId="77777777" w:rsidR="00F319B7" w:rsidRPr="0017427F" w:rsidRDefault="00E453CD" w:rsidP="00776A84">
      <w:pPr>
        <w:numPr>
          <w:ilvl w:val="0"/>
          <w:numId w:val="140"/>
        </w:numPr>
        <w:tabs>
          <w:tab w:val="left" w:pos="562"/>
        </w:tabs>
        <w:suppressAutoHyphens/>
        <w:ind w:left="539" w:hanging="539"/>
        <w:rPr>
          <w:sz w:val="22"/>
          <w:szCs w:val="22"/>
          <w:lang w:val="en-GB"/>
        </w:rPr>
      </w:pPr>
      <w:r w:rsidRPr="0017427F">
        <w:rPr>
          <w:sz w:val="22"/>
          <w:szCs w:val="22"/>
          <w:lang w:val="en-GB"/>
        </w:rPr>
        <w:t>&lt; 40 kg: 20 mg hver uke</w:t>
      </w:r>
    </w:p>
    <w:p w14:paraId="79A97E0C" w14:textId="77777777" w:rsidR="00F319B7" w:rsidRPr="00AF70AD" w:rsidRDefault="00E453CD" w:rsidP="00776A84">
      <w:pPr>
        <w:numPr>
          <w:ilvl w:val="0"/>
          <w:numId w:val="140"/>
        </w:numPr>
        <w:tabs>
          <w:tab w:val="left" w:pos="562"/>
        </w:tabs>
        <w:suppressAutoHyphens/>
        <w:ind w:left="539" w:hanging="539"/>
        <w:rPr>
          <w:sz w:val="22"/>
          <w:szCs w:val="22"/>
        </w:rPr>
      </w:pPr>
      <w:r w:rsidRPr="00AF70AD">
        <w:rPr>
          <w:sz w:val="22"/>
          <w:szCs w:val="22"/>
        </w:rPr>
        <w:t>≥ 40 kg: 40 mg hver uke</w:t>
      </w:r>
      <w:r w:rsidR="00E571FA" w:rsidRPr="00AF70AD">
        <w:rPr>
          <w:sz w:val="22"/>
          <w:szCs w:val="22"/>
        </w:rPr>
        <w:t xml:space="preserve"> eller 80</w:t>
      </w:r>
      <w:r w:rsidR="000F2B7A">
        <w:rPr>
          <w:sz w:val="22"/>
          <w:szCs w:val="22"/>
        </w:rPr>
        <w:t> </w:t>
      </w:r>
      <w:r w:rsidR="00E571FA" w:rsidRPr="00AF70AD">
        <w:rPr>
          <w:sz w:val="22"/>
          <w:szCs w:val="22"/>
        </w:rPr>
        <w:t>mg annenhver uke</w:t>
      </w:r>
    </w:p>
    <w:p w14:paraId="76558ED0" w14:textId="77777777" w:rsidR="00F319B7" w:rsidRPr="009C5EFD" w:rsidRDefault="00F319B7" w:rsidP="00F319B7">
      <w:pPr>
        <w:rPr>
          <w:sz w:val="22"/>
          <w:szCs w:val="22"/>
        </w:rPr>
      </w:pPr>
    </w:p>
    <w:p w14:paraId="4B54B686" w14:textId="77777777" w:rsidR="00F319B7" w:rsidRPr="009C5EFD" w:rsidRDefault="00E453CD" w:rsidP="00F319B7">
      <w:pPr>
        <w:rPr>
          <w:sz w:val="22"/>
          <w:szCs w:val="22"/>
        </w:rPr>
      </w:pPr>
      <w:r w:rsidRPr="009C5EFD">
        <w:rPr>
          <w:sz w:val="22"/>
          <w:szCs w:val="22"/>
        </w:rPr>
        <w:t>Fortsettelse av behandlingen hos pasienter som ikke responderer innen uke 12, bør vurderes nøye.</w:t>
      </w:r>
    </w:p>
    <w:p w14:paraId="0BEB215A" w14:textId="77777777" w:rsidR="00F319B7" w:rsidRPr="009C5EFD" w:rsidRDefault="00F319B7" w:rsidP="00F319B7">
      <w:pPr>
        <w:rPr>
          <w:sz w:val="22"/>
          <w:szCs w:val="22"/>
        </w:rPr>
      </w:pPr>
    </w:p>
    <w:p w14:paraId="566B3809" w14:textId="77777777" w:rsidR="00F319B7" w:rsidRDefault="00E453CD" w:rsidP="00F319B7">
      <w:pPr>
        <w:rPr>
          <w:sz w:val="22"/>
          <w:szCs w:val="22"/>
        </w:rPr>
      </w:pPr>
      <w:r w:rsidRPr="009C5EFD">
        <w:rPr>
          <w:sz w:val="22"/>
          <w:szCs w:val="22"/>
        </w:rPr>
        <w:t xml:space="preserve">Det er ikke relevant å bruke Humira hos barn </w:t>
      </w:r>
      <w:r w:rsidR="002A2D0D">
        <w:rPr>
          <w:sz w:val="22"/>
          <w:szCs w:val="22"/>
        </w:rPr>
        <w:t>under</w:t>
      </w:r>
      <w:r w:rsidRPr="009C5EFD">
        <w:rPr>
          <w:sz w:val="22"/>
          <w:szCs w:val="22"/>
        </w:rPr>
        <w:t xml:space="preserve"> 6 år ved denne indikasjonen.</w:t>
      </w:r>
    </w:p>
    <w:p w14:paraId="6A518FE7" w14:textId="77777777" w:rsidR="00E571FA" w:rsidRDefault="00E571FA" w:rsidP="00F319B7">
      <w:pPr>
        <w:rPr>
          <w:sz w:val="22"/>
          <w:szCs w:val="22"/>
        </w:rPr>
      </w:pPr>
    </w:p>
    <w:p w14:paraId="560A7A91" w14:textId="77777777" w:rsidR="00E571FA" w:rsidRPr="009C5EFD" w:rsidRDefault="00E453CD" w:rsidP="00F319B7">
      <w:pPr>
        <w:rPr>
          <w:sz w:val="22"/>
          <w:szCs w:val="22"/>
        </w:rPr>
      </w:pPr>
      <w:r w:rsidRPr="006B1B0E">
        <w:rPr>
          <w:sz w:val="22"/>
          <w:szCs w:val="22"/>
        </w:rPr>
        <w:t>Humira kan være tilgjengelig i andre styrker og/eller formuleringer avhengig av individuelle behandlingsbehov.</w:t>
      </w:r>
    </w:p>
    <w:p w14:paraId="6B0CEADC" w14:textId="77777777" w:rsidR="00F319B7" w:rsidRPr="00D479C1" w:rsidRDefault="00F319B7" w:rsidP="00F319B7">
      <w:pPr>
        <w:tabs>
          <w:tab w:val="left" w:pos="705"/>
        </w:tabs>
        <w:suppressAutoHyphens/>
        <w:rPr>
          <w:sz w:val="22"/>
          <w:szCs w:val="22"/>
        </w:rPr>
      </w:pPr>
    </w:p>
    <w:p w14:paraId="699AE01F" w14:textId="77777777" w:rsidR="00D479C1" w:rsidRPr="00E04B2A" w:rsidRDefault="00E453CD" w:rsidP="00D479C1">
      <w:pPr>
        <w:rPr>
          <w:b/>
          <w:bCs/>
          <w:iCs/>
          <w:sz w:val="22"/>
        </w:rPr>
      </w:pPr>
      <w:r w:rsidRPr="00E04B2A">
        <w:rPr>
          <w:i/>
          <w:sz w:val="22"/>
        </w:rPr>
        <w:t>Pediatrisk ulcerøs kolitt</w:t>
      </w:r>
      <w:r w:rsidRPr="00E04B2A">
        <w:rPr>
          <w:b/>
          <w:sz w:val="22"/>
        </w:rPr>
        <w:t xml:space="preserve"> </w:t>
      </w:r>
    </w:p>
    <w:p w14:paraId="7594FC2C" w14:textId="77777777" w:rsidR="00D479C1" w:rsidRPr="00E04B2A" w:rsidRDefault="00D479C1" w:rsidP="00D479C1">
      <w:pPr>
        <w:rPr>
          <w:sz w:val="22"/>
        </w:rPr>
      </w:pPr>
    </w:p>
    <w:p w14:paraId="6F9B07F0" w14:textId="77777777" w:rsidR="00D479C1" w:rsidRPr="00E04B2A" w:rsidRDefault="00E453CD" w:rsidP="00D479C1">
      <w:pPr>
        <w:rPr>
          <w:sz w:val="22"/>
        </w:rPr>
      </w:pPr>
      <w:r>
        <w:rPr>
          <w:sz w:val="22"/>
        </w:rPr>
        <w:t>A</w:t>
      </w:r>
      <w:r w:rsidRPr="00E04B2A">
        <w:rPr>
          <w:sz w:val="22"/>
        </w:rPr>
        <w:t>nbefalt dose</w:t>
      </w:r>
      <w:r>
        <w:rPr>
          <w:sz w:val="22"/>
        </w:rPr>
        <w:t xml:space="preserve"> av</w:t>
      </w:r>
      <w:r w:rsidRPr="00E04B2A">
        <w:rPr>
          <w:sz w:val="22"/>
        </w:rPr>
        <w:t xml:space="preserve"> Humira for pasienter </w:t>
      </w:r>
      <w:r>
        <w:rPr>
          <w:sz w:val="22"/>
        </w:rPr>
        <w:t>fra</w:t>
      </w:r>
      <w:r w:rsidRPr="00E04B2A">
        <w:rPr>
          <w:sz w:val="22"/>
        </w:rPr>
        <w:t xml:space="preserve"> 6 til 17 år med ulcerøs kolitt er basert på kroppsvekt (tabell </w:t>
      </w:r>
      <w:r w:rsidR="00763BB1">
        <w:rPr>
          <w:sz w:val="22"/>
        </w:rPr>
        <w:t>5</w:t>
      </w:r>
      <w:r w:rsidRPr="00E04B2A">
        <w:rPr>
          <w:sz w:val="22"/>
        </w:rPr>
        <w:t xml:space="preserve">). Humira administreres </w:t>
      </w:r>
      <w:r>
        <w:rPr>
          <w:sz w:val="22"/>
        </w:rPr>
        <w:t>som</w:t>
      </w:r>
      <w:r w:rsidRPr="00E04B2A">
        <w:rPr>
          <w:sz w:val="22"/>
        </w:rPr>
        <w:t xml:space="preserve"> subkutan injeksjon. </w:t>
      </w:r>
    </w:p>
    <w:p w14:paraId="298C6804" w14:textId="77777777" w:rsidR="00D479C1" w:rsidRPr="00E04B2A" w:rsidRDefault="00D479C1" w:rsidP="00D479C1">
      <w:pPr>
        <w:rPr>
          <w:sz w:val="22"/>
        </w:rPr>
      </w:pPr>
    </w:p>
    <w:p w14:paraId="0A7F359A" w14:textId="77777777" w:rsidR="00D479C1" w:rsidRPr="00E04B2A" w:rsidRDefault="00E453CD" w:rsidP="00D479C1">
      <w:pPr>
        <w:keepNext/>
        <w:jc w:val="center"/>
        <w:rPr>
          <w:sz w:val="22"/>
        </w:rPr>
      </w:pPr>
      <w:r w:rsidRPr="00E04B2A">
        <w:rPr>
          <w:b/>
          <w:sz w:val="22"/>
        </w:rPr>
        <w:lastRenderedPageBreak/>
        <w:t>Tabell </w:t>
      </w:r>
      <w:r w:rsidR="00763BB1">
        <w:rPr>
          <w:b/>
          <w:sz w:val="22"/>
        </w:rPr>
        <w:t>5</w:t>
      </w:r>
      <w:r w:rsidRPr="00E04B2A">
        <w:rPr>
          <w:b/>
          <w:sz w:val="22"/>
        </w:rPr>
        <w:t>. Humiradose</w:t>
      </w:r>
      <w:r w:rsidR="00476983">
        <w:rPr>
          <w:b/>
          <w:sz w:val="22"/>
        </w:rPr>
        <w:t>ring</w:t>
      </w:r>
      <w:r w:rsidRPr="00E04B2A">
        <w:rPr>
          <w:b/>
          <w:sz w:val="22"/>
        </w:rPr>
        <w:t xml:space="preserve"> for </w:t>
      </w:r>
      <w:r w:rsidR="00476983" w:rsidRPr="00476983">
        <w:rPr>
          <w:b/>
          <w:sz w:val="22"/>
        </w:rPr>
        <w:t>pediatriske pasienter</w:t>
      </w:r>
      <w:r w:rsidRPr="00E04B2A">
        <w:rPr>
          <w:b/>
          <w:sz w:val="22"/>
        </w:rPr>
        <w:t xml:space="preserve"> med ulcerøs kolitt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3"/>
        <w:gridCol w:w="3319"/>
        <w:gridCol w:w="3156"/>
      </w:tblGrid>
      <w:tr w:rsidR="004644D4" w14:paraId="022EF3E4" w14:textId="77777777" w:rsidTr="00634DDF">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D3807BF" w14:textId="77777777" w:rsidR="00D479C1" w:rsidRPr="00E04B2A" w:rsidRDefault="00E453CD" w:rsidP="00634DDF">
            <w:pPr>
              <w:jc w:val="center"/>
              <w:rPr>
                <w:b/>
                <w:sz w:val="22"/>
              </w:rPr>
            </w:pPr>
            <w:r>
              <w:rPr>
                <w:b/>
                <w:sz w:val="22"/>
              </w:rPr>
              <w:t>Kropps</w:t>
            </w:r>
            <w:r w:rsidRPr="00E04B2A">
              <w:rPr>
                <w:b/>
                <w:sz w:val="22"/>
              </w:rPr>
              <w:t>vekt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798E0A11" w14:textId="77777777" w:rsidR="00D479C1" w:rsidRPr="00E04B2A" w:rsidRDefault="00E453CD" w:rsidP="00634DDF">
            <w:pPr>
              <w:jc w:val="center"/>
              <w:rPr>
                <w:b/>
                <w:sz w:val="22"/>
              </w:rPr>
            </w:pPr>
            <w:r>
              <w:rPr>
                <w:b/>
                <w:sz w:val="22"/>
              </w:rPr>
              <w:t>Start</w:t>
            </w:r>
            <w:r w:rsidRPr="00E04B2A">
              <w:rPr>
                <w:b/>
                <w:sz w:val="22"/>
              </w:rPr>
              <w:t>dose</w:t>
            </w:r>
          </w:p>
        </w:tc>
        <w:tc>
          <w:tcPr>
            <w:tcW w:w="1906" w:type="pct"/>
            <w:tcBorders>
              <w:top w:val="single" w:sz="6" w:space="0" w:color="000000"/>
              <w:left w:val="single" w:sz="6" w:space="0" w:color="000000"/>
              <w:bottom w:val="single" w:sz="6" w:space="0" w:color="000000"/>
              <w:right w:val="single" w:sz="6" w:space="0" w:color="000000"/>
            </w:tcBorders>
            <w:hideMark/>
          </w:tcPr>
          <w:p w14:paraId="59252CA7" w14:textId="77777777" w:rsidR="00D479C1" w:rsidRPr="00E04B2A" w:rsidRDefault="00E453CD" w:rsidP="00634DDF">
            <w:pPr>
              <w:jc w:val="center"/>
              <w:rPr>
                <w:b/>
                <w:sz w:val="22"/>
              </w:rPr>
            </w:pPr>
            <w:r w:rsidRPr="00E04B2A">
              <w:rPr>
                <w:b/>
                <w:sz w:val="22"/>
              </w:rPr>
              <w:t xml:space="preserve">Vedlikeholdsdose </w:t>
            </w:r>
            <w:r w:rsidRPr="00E04B2A">
              <w:rPr>
                <w:b/>
                <w:sz w:val="22"/>
              </w:rPr>
              <w:br/>
              <w:t>fra uke 4*</w:t>
            </w:r>
          </w:p>
        </w:tc>
      </w:tr>
      <w:tr w:rsidR="004644D4" w14:paraId="2A1C189A" w14:textId="77777777" w:rsidTr="00634DD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5E4F108C" w14:textId="77777777" w:rsidR="00D479C1" w:rsidRPr="00E04B2A" w:rsidRDefault="00E453CD" w:rsidP="00634DDF">
            <w:pPr>
              <w:jc w:val="center"/>
              <w:rPr>
                <w:sz w:val="22"/>
              </w:rPr>
            </w:pPr>
            <w:r w:rsidRPr="00E04B2A">
              <w:rPr>
                <w:sz w:val="22"/>
              </w:rPr>
              <w:t>&lt;40 kg</w:t>
            </w:r>
          </w:p>
        </w:tc>
        <w:tc>
          <w:tcPr>
            <w:tcW w:w="2005" w:type="pct"/>
            <w:tcBorders>
              <w:top w:val="single" w:sz="6" w:space="0" w:color="000000"/>
              <w:left w:val="single" w:sz="6" w:space="0" w:color="000000"/>
              <w:bottom w:val="single" w:sz="6" w:space="0" w:color="000000"/>
              <w:right w:val="single" w:sz="6" w:space="0" w:color="000000"/>
            </w:tcBorders>
            <w:hideMark/>
          </w:tcPr>
          <w:p w14:paraId="1A3AB6D6" w14:textId="77777777" w:rsidR="0015674E" w:rsidRPr="00E04B2A" w:rsidRDefault="00E453CD" w:rsidP="0015674E">
            <w:pPr>
              <w:numPr>
                <w:ilvl w:val="0"/>
                <w:numId w:val="162"/>
              </w:numPr>
              <w:ind w:left="360" w:hanging="210"/>
              <w:rPr>
                <w:sz w:val="22"/>
              </w:rPr>
            </w:pPr>
            <w:r w:rsidRPr="00E04B2A">
              <w:rPr>
                <w:sz w:val="22"/>
              </w:rPr>
              <w:t xml:space="preserve">80 mg </w:t>
            </w:r>
            <w:r>
              <w:rPr>
                <w:sz w:val="22"/>
              </w:rPr>
              <w:t>ved</w:t>
            </w:r>
            <w:r w:rsidRPr="00E04B2A">
              <w:rPr>
                <w:sz w:val="22"/>
              </w:rPr>
              <w:t xml:space="preserve"> uke 0 (gitt som </w:t>
            </w:r>
            <w:r>
              <w:rPr>
                <w:sz w:val="22"/>
              </w:rPr>
              <w:t xml:space="preserve">to 40 mg </w:t>
            </w:r>
            <w:r w:rsidRPr="00E04B2A">
              <w:rPr>
                <w:sz w:val="22"/>
              </w:rPr>
              <w:t xml:space="preserve"> injeksjon</w:t>
            </w:r>
            <w:r>
              <w:rPr>
                <w:sz w:val="22"/>
              </w:rPr>
              <w:t>er på én dag</w:t>
            </w:r>
            <w:r w:rsidRPr="00E04B2A">
              <w:rPr>
                <w:sz w:val="22"/>
              </w:rPr>
              <w:t>) og</w:t>
            </w:r>
          </w:p>
          <w:p w14:paraId="5984F067" w14:textId="77777777" w:rsidR="00D479C1" w:rsidRPr="00E04B2A" w:rsidRDefault="00E453CD" w:rsidP="0015674E">
            <w:pPr>
              <w:numPr>
                <w:ilvl w:val="0"/>
                <w:numId w:val="162"/>
              </w:numPr>
              <w:ind w:left="360" w:hanging="210"/>
              <w:rPr>
                <w:sz w:val="22"/>
              </w:rPr>
            </w:pPr>
            <w:r w:rsidRPr="00E04B2A">
              <w:rPr>
                <w:sz w:val="22"/>
              </w:rPr>
              <w:t xml:space="preserve">40 mg </w:t>
            </w:r>
            <w:r>
              <w:rPr>
                <w:sz w:val="22"/>
              </w:rPr>
              <w:t>ved</w:t>
            </w:r>
            <w:r w:rsidRPr="00E04B2A">
              <w:rPr>
                <w:sz w:val="22"/>
              </w:rPr>
              <w:t xml:space="preserve"> uke 2 (gitt som </w:t>
            </w:r>
            <w:r>
              <w:rPr>
                <w:sz w:val="22"/>
              </w:rPr>
              <w:t>é</w:t>
            </w:r>
            <w:r w:rsidRPr="00E04B2A">
              <w:rPr>
                <w:sz w:val="22"/>
              </w:rPr>
              <w:t>n 40</w:t>
            </w:r>
            <w:r>
              <w:rPr>
                <w:sz w:val="22"/>
              </w:rPr>
              <w:t> </w:t>
            </w:r>
            <w:r w:rsidRPr="00E04B2A">
              <w:rPr>
                <w:sz w:val="22"/>
              </w:rPr>
              <w:t>mg injeksjon)</w:t>
            </w:r>
          </w:p>
        </w:tc>
        <w:tc>
          <w:tcPr>
            <w:tcW w:w="1906" w:type="pct"/>
            <w:tcBorders>
              <w:top w:val="single" w:sz="6" w:space="0" w:color="000000"/>
              <w:left w:val="single" w:sz="6" w:space="0" w:color="000000"/>
              <w:bottom w:val="single" w:sz="6" w:space="0" w:color="000000"/>
              <w:right w:val="single" w:sz="6" w:space="0" w:color="000000"/>
            </w:tcBorders>
            <w:hideMark/>
          </w:tcPr>
          <w:p w14:paraId="5C079641" w14:textId="77777777" w:rsidR="00D479C1" w:rsidRPr="00E04B2A" w:rsidRDefault="00E453CD" w:rsidP="00D479C1">
            <w:pPr>
              <w:numPr>
                <w:ilvl w:val="0"/>
                <w:numId w:val="162"/>
              </w:numPr>
              <w:ind w:left="360" w:hanging="210"/>
              <w:rPr>
                <w:sz w:val="22"/>
              </w:rPr>
            </w:pPr>
            <w:r w:rsidRPr="00E04B2A">
              <w:rPr>
                <w:sz w:val="22"/>
              </w:rPr>
              <w:t>40 mg annenhver uke</w:t>
            </w:r>
          </w:p>
        </w:tc>
      </w:tr>
      <w:tr w:rsidR="004644D4" w14:paraId="62C1BB35" w14:textId="77777777" w:rsidTr="00634DDF">
        <w:trPr>
          <w:jc w:val="center"/>
        </w:trPr>
        <w:tc>
          <w:tcPr>
            <w:tcW w:w="0" w:type="auto"/>
            <w:tcBorders>
              <w:top w:val="single" w:sz="6" w:space="0" w:color="000000"/>
              <w:left w:val="single" w:sz="6" w:space="0" w:color="000000"/>
              <w:bottom w:val="single" w:sz="4" w:space="0" w:color="auto"/>
              <w:right w:val="single" w:sz="6" w:space="0" w:color="000000"/>
            </w:tcBorders>
            <w:hideMark/>
          </w:tcPr>
          <w:p w14:paraId="12E88F62" w14:textId="77777777" w:rsidR="00D479C1" w:rsidRPr="00E04B2A" w:rsidRDefault="00E453CD" w:rsidP="00634DDF">
            <w:pPr>
              <w:jc w:val="center"/>
              <w:rPr>
                <w:sz w:val="22"/>
              </w:rPr>
            </w:pPr>
            <w:r w:rsidRPr="00E04B2A">
              <w:rPr>
                <w:sz w:val="22"/>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7ED1685B" w14:textId="77777777" w:rsidR="0015674E" w:rsidRPr="00E04B2A" w:rsidRDefault="00E453CD" w:rsidP="0015674E">
            <w:pPr>
              <w:numPr>
                <w:ilvl w:val="0"/>
                <w:numId w:val="163"/>
              </w:numPr>
              <w:ind w:left="360" w:hanging="210"/>
              <w:rPr>
                <w:sz w:val="22"/>
              </w:rPr>
            </w:pPr>
            <w:r w:rsidRPr="00E04B2A">
              <w:rPr>
                <w:sz w:val="22"/>
              </w:rPr>
              <w:t xml:space="preserve">160 mg </w:t>
            </w:r>
            <w:r>
              <w:rPr>
                <w:sz w:val="22"/>
              </w:rPr>
              <w:t>ved</w:t>
            </w:r>
            <w:r w:rsidRPr="00E04B2A">
              <w:rPr>
                <w:sz w:val="22"/>
              </w:rPr>
              <w:t xml:space="preserve"> uke 0 (gitt som </w:t>
            </w:r>
            <w:r>
              <w:rPr>
                <w:sz w:val="22"/>
              </w:rPr>
              <w:t>fire</w:t>
            </w:r>
            <w:r w:rsidRPr="00E04B2A">
              <w:rPr>
                <w:sz w:val="22"/>
              </w:rPr>
              <w:t xml:space="preserve"> </w:t>
            </w:r>
            <w:r>
              <w:rPr>
                <w:sz w:val="22"/>
              </w:rPr>
              <w:t>40 </w:t>
            </w:r>
            <w:r w:rsidRPr="00E04B2A">
              <w:rPr>
                <w:sz w:val="22"/>
              </w:rPr>
              <w:t xml:space="preserve">mg injeksjoner på </w:t>
            </w:r>
            <w:r>
              <w:rPr>
                <w:sz w:val="22"/>
              </w:rPr>
              <w:t>é</w:t>
            </w:r>
            <w:r w:rsidRPr="00E04B2A">
              <w:rPr>
                <w:sz w:val="22"/>
              </w:rPr>
              <w:t xml:space="preserve">n dag eller </w:t>
            </w:r>
            <w:r>
              <w:rPr>
                <w:sz w:val="22"/>
              </w:rPr>
              <w:t>to 40 </w:t>
            </w:r>
            <w:r w:rsidRPr="00E04B2A">
              <w:rPr>
                <w:sz w:val="22"/>
              </w:rPr>
              <w:t>mg injeksjon</w:t>
            </w:r>
            <w:r>
              <w:rPr>
                <w:sz w:val="22"/>
              </w:rPr>
              <w:t>er</w:t>
            </w:r>
            <w:r w:rsidRPr="00E04B2A">
              <w:rPr>
                <w:sz w:val="22"/>
              </w:rPr>
              <w:t xml:space="preserve"> dag</w:t>
            </w:r>
            <w:r>
              <w:rPr>
                <w:sz w:val="22"/>
              </w:rPr>
              <w:t>lig</w:t>
            </w:r>
            <w:r w:rsidRPr="00E04B2A">
              <w:rPr>
                <w:sz w:val="22"/>
              </w:rPr>
              <w:t xml:space="preserve"> </w:t>
            </w:r>
            <w:r w:rsidR="00326F9C">
              <w:rPr>
                <w:sz w:val="22"/>
              </w:rPr>
              <w:t>i</w:t>
            </w:r>
            <w:r w:rsidRPr="00E04B2A">
              <w:rPr>
                <w:sz w:val="22"/>
              </w:rPr>
              <w:t xml:space="preserve"> to påfølgende dager) og</w:t>
            </w:r>
          </w:p>
          <w:p w14:paraId="429D6F62" w14:textId="77777777" w:rsidR="00D479C1" w:rsidRPr="00E04B2A" w:rsidRDefault="00E453CD" w:rsidP="0015674E">
            <w:pPr>
              <w:numPr>
                <w:ilvl w:val="0"/>
                <w:numId w:val="163"/>
              </w:numPr>
              <w:ind w:left="360" w:hanging="210"/>
              <w:rPr>
                <w:sz w:val="22"/>
              </w:rPr>
            </w:pPr>
            <w:r w:rsidRPr="00E04B2A">
              <w:rPr>
                <w:sz w:val="22"/>
              </w:rPr>
              <w:t xml:space="preserve">80 mg </w:t>
            </w:r>
            <w:r>
              <w:rPr>
                <w:sz w:val="22"/>
              </w:rPr>
              <w:t>ved</w:t>
            </w:r>
            <w:r w:rsidRPr="00E04B2A">
              <w:rPr>
                <w:sz w:val="22"/>
              </w:rPr>
              <w:t xml:space="preserve"> uke 2 (gitt som </w:t>
            </w:r>
            <w:r>
              <w:rPr>
                <w:sz w:val="22"/>
              </w:rPr>
              <w:t>to 40 </w:t>
            </w:r>
            <w:r w:rsidRPr="00E04B2A">
              <w:rPr>
                <w:sz w:val="22"/>
              </w:rPr>
              <w:t>mg injeksjon</w:t>
            </w:r>
            <w:r>
              <w:rPr>
                <w:sz w:val="22"/>
              </w:rPr>
              <w:t>er på én dag</w:t>
            </w:r>
            <w:r w:rsidRPr="00E04B2A">
              <w:rPr>
                <w:sz w:val="22"/>
              </w:rPr>
              <w:t>)</w:t>
            </w:r>
          </w:p>
        </w:tc>
        <w:tc>
          <w:tcPr>
            <w:tcW w:w="1906" w:type="pct"/>
            <w:tcBorders>
              <w:top w:val="single" w:sz="6" w:space="0" w:color="000000"/>
              <w:left w:val="single" w:sz="6" w:space="0" w:color="000000"/>
              <w:bottom w:val="single" w:sz="4" w:space="0" w:color="auto"/>
              <w:right w:val="single" w:sz="6" w:space="0" w:color="000000"/>
            </w:tcBorders>
            <w:hideMark/>
          </w:tcPr>
          <w:p w14:paraId="2CC6D40D" w14:textId="77777777" w:rsidR="00D479C1" w:rsidRPr="00E04B2A" w:rsidRDefault="00E453CD" w:rsidP="00D479C1">
            <w:pPr>
              <w:numPr>
                <w:ilvl w:val="0"/>
                <w:numId w:val="162"/>
              </w:numPr>
              <w:ind w:left="360" w:hanging="210"/>
              <w:rPr>
                <w:sz w:val="22"/>
              </w:rPr>
            </w:pPr>
            <w:r w:rsidRPr="00E04B2A">
              <w:rPr>
                <w:sz w:val="22"/>
              </w:rPr>
              <w:t>80 mg annenhver uke</w:t>
            </w:r>
          </w:p>
        </w:tc>
      </w:tr>
      <w:tr w:rsidR="004644D4" w14:paraId="1E07BB1A" w14:textId="77777777" w:rsidTr="00634DDF">
        <w:trPr>
          <w:jc w:val="center"/>
        </w:trPr>
        <w:tc>
          <w:tcPr>
            <w:tcW w:w="5000" w:type="pct"/>
            <w:gridSpan w:val="3"/>
            <w:tcBorders>
              <w:top w:val="single" w:sz="4" w:space="0" w:color="auto"/>
              <w:left w:val="nil"/>
              <w:bottom w:val="nil"/>
              <w:right w:val="nil"/>
            </w:tcBorders>
          </w:tcPr>
          <w:p w14:paraId="3D37BAD8" w14:textId="77777777" w:rsidR="00D479C1" w:rsidRPr="00E04B2A" w:rsidRDefault="00E453CD" w:rsidP="00634DDF">
            <w:pPr>
              <w:rPr>
                <w:sz w:val="22"/>
              </w:rPr>
            </w:pPr>
            <w:r w:rsidRPr="00E04B2A">
              <w:rPr>
                <w:sz w:val="22"/>
                <w:vertAlign w:val="superscript"/>
              </w:rPr>
              <w:t>*</w:t>
            </w:r>
            <w:r w:rsidR="005640DB">
              <w:rPr>
                <w:sz w:val="22"/>
              </w:rPr>
              <w:t>Pediatriske pasienter som fyller 18</w:t>
            </w:r>
            <w:r w:rsidRPr="00E04B2A">
              <w:rPr>
                <w:sz w:val="22"/>
              </w:rPr>
              <w:t xml:space="preserve"> år mens de bruker Humira, bør fortsette sin foreskrevne vedlikeholdsdose.</w:t>
            </w:r>
          </w:p>
        </w:tc>
      </w:tr>
    </w:tbl>
    <w:p w14:paraId="29A184A0" w14:textId="77777777" w:rsidR="00D479C1" w:rsidRPr="00E04B2A" w:rsidRDefault="00D479C1" w:rsidP="00D479C1">
      <w:pPr>
        <w:pStyle w:val="gtctablespaceafter"/>
        <w:numPr>
          <w:ilvl w:val="0"/>
          <w:numId w:val="164"/>
        </w:numPr>
        <w:spacing w:after="0"/>
        <w:rPr>
          <w:sz w:val="22"/>
          <w:szCs w:val="22"/>
          <w:lang w:val="nb-NO"/>
        </w:rPr>
      </w:pPr>
    </w:p>
    <w:p w14:paraId="3469C019" w14:textId="77777777" w:rsidR="00D479C1" w:rsidRPr="00E04B2A" w:rsidRDefault="00E453CD" w:rsidP="00D479C1">
      <w:pPr>
        <w:rPr>
          <w:sz w:val="22"/>
        </w:rPr>
      </w:pPr>
      <w:r>
        <w:rPr>
          <w:sz w:val="22"/>
        </w:rPr>
        <w:t>Videre</w:t>
      </w:r>
      <w:r w:rsidRPr="00E04B2A">
        <w:rPr>
          <w:sz w:val="22"/>
        </w:rPr>
        <w:t xml:space="preserve"> behandling utover 8 uker bør vurderes nøye hos pasienter som ikke viser tegn til respons innen denne tidsperioden.</w:t>
      </w:r>
    </w:p>
    <w:p w14:paraId="57FB4DFB" w14:textId="77777777" w:rsidR="00D479C1" w:rsidRPr="00E04B2A" w:rsidRDefault="00D479C1" w:rsidP="00D479C1">
      <w:pPr>
        <w:rPr>
          <w:sz w:val="22"/>
        </w:rPr>
      </w:pPr>
    </w:p>
    <w:p w14:paraId="5EEB7A49" w14:textId="77777777" w:rsidR="00D479C1" w:rsidRPr="00E04B2A" w:rsidRDefault="00E453CD" w:rsidP="00D479C1">
      <w:pPr>
        <w:rPr>
          <w:sz w:val="22"/>
        </w:rPr>
      </w:pPr>
      <w:r w:rsidRPr="00E04B2A">
        <w:rPr>
          <w:sz w:val="22"/>
        </w:rPr>
        <w:t xml:space="preserve">Det er </w:t>
      </w:r>
      <w:r w:rsidR="002E27D2">
        <w:rPr>
          <w:sz w:val="22"/>
        </w:rPr>
        <w:t>ikke</w:t>
      </w:r>
      <w:r w:rsidRPr="00E04B2A">
        <w:rPr>
          <w:sz w:val="22"/>
        </w:rPr>
        <w:t xml:space="preserve"> relevant </w:t>
      </w:r>
      <w:r w:rsidR="002E27D2">
        <w:rPr>
          <w:sz w:val="22"/>
        </w:rPr>
        <w:t xml:space="preserve">å </w:t>
      </w:r>
      <w:r w:rsidRPr="00E04B2A">
        <w:rPr>
          <w:sz w:val="22"/>
        </w:rPr>
        <w:t>bruk</w:t>
      </w:r>
      <w:r w:rsidR="002E27D2">
        <w:rPr>
          <w:sz w:val="22"/>
        </w:rPr>
        <w:t>e</w:t>
      </w:r>
      <w:r w:rsidRPr="00E04B2A">
        <w:rPr>
          <w:sz w:val="22"/>
        </w:rPr>
        <w:t xml:space="preserve"> Humira hos barn under 6 år </w:t>
      </w:r>
      <w:r w:rsidR="002E27D2">
        <w:rPr>
          <w:sz w:val="22"/>
        </w:rPr>
        <w:t>ved</w:t>
      </w:r>
      <w:r w:rsidRPr="00E04B2A">
        <w:rPr>
          <w:sz w:val="22"/>
        </w:rPr>
        <w:t xml:space="preserve"> denne indikasjonen.</w:t>
      </w:r>
    </w:p>
    <w:p w14:paraId="0ABF3623" w14:textId="77777777" w:rsidR="00D479C1" w:rsidRPr="00E04B2A" w:rsidRDefault="00D479C1" w:rsidP="00D479C1">
      <w:pPr>
        <w:rPr>
          <w:sz w:val="22"/>
        </w:rPr>
      </w:pPr>
    </w:p>
    <w:p w14:paraId="648C9A9B" w14:textId="77777777" w:rsidR="00D479C1" w:rsidRPr="00E04B2A" w:rsidRDefault="00E453CD" w:rsidP="00D479C1">
      <w:pPr>
        <w:rPr>
          <w:sz w:val="22"/>
        </w:rPr>
      </w:pPr>
      <w:r w:rsidRPr="00E04B2A">
        <w:rPr>
          <w:sz w:val="22"/>
        </w:rPr>
        <w:t xml:space="preserve">Humira kan være tilgjengelig i </w:t>
      </w:r>
      <w:r w:rsidR="002E27D2">
        <w:rPr>
          <w:sz w:val="22"/>
        </w:rPr>
        <w:t>andre</w:t>
      </w:r>
      <w:r w:rsidRPr="00E04B2A">
        <w:rPr>
          <w:sz w:val="22"/>
        </w:rPr>
        <w:t xml:space="preserve"> styrker og/eller </w:t>
      </w:r>
      <w:r w:rsidR="002E27D2" w:rsidRPr="002E27D2">
        <w:rPr>
          <w:sz w:val="22"/>
        </w:rPr>
        <w:t>formuleringer</w:t>
      </w:r>
      <w:r w:rsidRPr="00E04B2A">
        <w:rPr>
          <w:sz w:val="22"/>
        </w:rPr>
        <w:t xml:space="preserve"> avhengig av individuelle behandlingsbehov. </w:t>
      </w:r>
    </w:p>
    <w:p w14:paraId="01140780" w14:textId="77777777" w:rsidR="00D479C1" w:rsidRPr="00E04B2A" w:rsidRDefault="00D479C1" w:rsidP="00D479C1">
      <w:pPr>
        <w:rPr>
          <w:rStyle w:val="normaltextrun"/>
          <w:sz w:val="22"/>
          <w:shd w:val="clear" w:color="auto" w:fill="FFFFFF"/>
        </w:rPr>
      </w:pPr>
    </w:p>
    <w:p w14:paraId="78706F25" w14:textId="77777777" w:rsidR="00F319B7" w:rsidRPr="00AF70AD" w:rsidRDefault="00E453CD" w:rsidP="00F319B7">
      <w:pPr>
        <w:keepNext/>
        <w:tabs>
          <w:tab w:val="left" w:pos="705"/>
        </w:tabs>
        <w:suppressAutoHyphens/>
        <w:rPr>
          <w:i/>
          <w:sz w:val="22"/>
          <w:szCs w:val="22"/>
          <w:u w:val="single"/>
        </w:rPr>
      </w:pPr>
      <w:r w:rsidRPr="00AF70AD">
        <w:rPr>
          <w:i/>
          <w:sz w:val="22"/>
          <w:szCs w:val="22"/>
          <w:u w:val="single"/>
        </w:rPr>
        <w:t>Pediatrisk uveitt</w:t>
      </w:r>
    </w:p>
    <w:p w14:paraId="0C64E0BF" w14:textId="77777777" w:rsidR="00F319B7" w:rsidRDefault="00F319B7" w:rsidP="00F319B7">
      <w:pPr>
        <w:keepNext/>
        <w:tabs>
          <w:tab w:val="left" w:pos="705"/>
        </w:tabs>
        <w:suppressAutoHyphens/>
        <w:rPr>
          <w:i/>
          <w:sz w:val="22"/>
          <w:szCs w:val="22"/>
          <w:u w:val="single"/>
        </w:rPr>
      </w:pPr>
    </w:p>
    <w:p w14:paraId="150EB99C" w14:textId="77777777" w:rsidR="00F319B7" w:rsidRDefault="00E453CD" w:rsidP="00F319B7">
      <w:pPr>
        <w:rPr>
          <w:sz w:val="22"/>
          <w:szCs w:val="22"/>
        </w:rPr>
      </w:pPr>
      <w:r>
        <w:rPr>
          <w:sz w:val="22"/>
        </w:rPr>
        <w:t>Anbefalt dose av Humira for pedi</w:t>
      </w:r>
      <w:r w:rsidR="005313F8">
        <w:rPr>
          <w:sz w:val="22"/>
        </w:rPr>
        <w:t>a</w:t>
      </w:r>
      <w:r>
        <w:rPr>
          <w:sz w:val="22"/>
        </w:rPr>
        <w:t xml:space="preserve">triske pasienter </w:t>
      </w:r>
      <w:r w:rsidR="005313F8">
        <w:rPr>
          <w:sz w:val="22"/>
        </w:rPr>
        <w:t xml:space="preserve">over 2 år </w:t>
      </w:r>
      <w:r>
        <w:rPr>
          <w:sz w:val="22"/>
        </w:rPr>
        <w:t>med uveitt er basert på kroppsvekt (</w:t>
      </w:r>
      <w:r w:rsidR="00C455EA">
        <w:rPr>
          <w:sz w:val="22"/>
        </w:rPr>
        <w:t>t</w:t>
      </w:r>
      <w:r>
        <w:rPr>
          <w:sz w:val="22"/>
        </w:rPr>
        <w:t xml:space="preserve">abell </w:t>
      </w:r>
      <w:r w:rsidR="00D479C1">
        <w:rPr>
          <w:sz w:val="22"/>
        </w:rPr>
        <w:t>6</w:t>
      </w:r>
      <w:r>
        <w:rPr>
          <w:sz w:val="22"/>
        </w:rPr>
        <w:t>). Humira administreres som subkutan injeksjon.</w:t>
      </w:r>
    </w:p>
    <w:p w14:paraId="70F34E51" w14:textId="77777777" w:rsidR="00F319B7" w:rsidRDefault="00F319B7" w:rsidP="00F319B7">
      <w:pPr>
        <w:rPr>
          <w:sz w:val="22"/>
          <w:szCs w:val="22"/>
        </w:rPr>
      </w:pPr>
    </w:p>
    <w:p w14:paraId="41105F8E" w14:textId="77777777" w:rsidR="00F319B7" w:rsidRDefault="00E453CD" w:rsidP="00F319B7">
      <w:pPr>
        <w:tabs>
          <w:tab w:val="left" w:pos="705"/>
        </w:tabs>
        <w:suppressAutoHyphens/>
        <w:rPr>
          <w:sz w:val="22"/>
          <w:szCs w:val="22"/>
        </w:rPr>
      </w:pPr>
      <w:r>
        <w:rPr>
          <w:sz w:val="22"/>
          <w:szCs w:val="22"/>
        </w:rPr>
        <w:t>Det foreligger ikke erfaring med behandling av pediatrisk uveitt med Humira uten samtidig behandling med metotreksat.</w:t>
      </w:r>
    </w:p>
    <w:p w14:paraId="2C2E943E" w14:textId="77777777" w:rsidR="00F319B7" w:rsidRDefault="00F319B7" w:rsidP="00F319B7">
      <w:pPr>
        <w:rPr>
          <w:sz w:val="22"/>
          <w:szCs w:val="22"/>
        </w:rPr>
      </w:pPr>
    </w:p>
    <w:p w14:paraId="11F9D735" w14:textId="77777777" w:rsidR="00F319B7" w:rsidRPr="00AB7697" w:rsidRDefault="00E453CD" w:rsidP="00776A84">
      <w:pPr>
        <w:keepNext/>
        <w:jc w:val="center"/>
        <w:rPr>
          <w:b/>
          <w:sz w:val="22"/>
          <w:szCs w:val="22"/>
        </w:rPr>
      </w:pPr>
      <w:r w:rsidRPr="00AB7697">
        <w:rPr>
          <w:b/>
          <w:sz w:val="22"/>
          <w:szCs w:val="22"/>
        </w:rPr>
        <w:t xml:space="preserve">Tabell </w:t>
      </w:r>
      <w:r w:rsidR="00D479C1">
        <w:rPr>
          <w:b/>
          <w:sz w:val="22"/>
          <w:szCs w:val="22"/>
        </w:rPr>
        <w:t>6</w:t>
      </w:r>
      <w:r w:rsidRPr="00AB7697">
        <w:rPr>
          <w:b/>
          <w:sz w:val="22"/>
          <w:szCs w:val="22"/>
        </w:rPr>
        <w:t>. Humiradosering for pediatriske pasienter med uveitt</w:t>
      </w:r>
    </w:p>
    <w:p w14:paraId="38C1C713" w14:textId="77777777" w:rsidR="00F319B7" w:rsidRPr="00406E1B" w:rsidRDefault="00F319B7" w:rsidP="00776A84">
      <w:pPr>
        <w:keepNext/>
        <w:jc w:val="center"/>
      </w:pPr>
    </w:p>
    <w:tbl>
      <w:tblPr>
        <w:tblW w:w="6795" w:type="dxa"/>
        <w:jc w:val="center"/>
        <w:tblLayout w:type="fixed"/>
        <w:tblLook w:val="04A0" w:firstRow="1" w:lastRow="0" w:firstColumn="1" w:lastColumn="0" w:noHBand="0" w:noVBand="1"/>
      </w:tblPr>
      <w:tblGrid>
        <w:gridCol w:w="3401"/>
        <w:gridCol w:w="3394"/>
      </w:tblGrid>
      <w:tr w:rsidR="004644D4" w14:paraId="5E17C632" w14:textId="77777777" w:rsidTr="002A2660">
        <w:trPr>
          <w:tblHeader/>
          <w:jc w:val="center"/>
        </w:trPr>
        <w:tc>
          <w:tcPr>
            <w:tcW w:w="3401" w:type="dxa"/>
            <w:tcBorders>
              <w:top w:val="single" w:sz="4" w:space="0" w:color="auto"/>
              <w:left w:val="nil"/>
              <w:bottom w:val="single" w:sz="4" w:space="0" w:color="auto"/>
              <w:right w:val="nil"/>
            </w:tcBorders>
            <w:hideMark/>
          </w:tcPr>
          <w:p w14:paraId="7CFEEDEE" w14:textId="77777777" w:rsidR="00F319B7" w:rsidRDefault="00E453CD" w:rsidP="002A2660">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5AFAAEFB" w14:textId="77777777" w:rsidR="00F319B7" w:rsidRDefault="00E453CD" w:rsidP="002A2660">
            <w:pPr>
              <w:pStyle w:val="TableLeft"/>
              <w:jc w:val="center"/>
              <w:rPr>
                <w:b/>
                <w:sz w:val="22"/>
                <w:szCs w:val="22"/>
              </w:rPr>
            </w:pPr>
            <w:r>
              <w:rPr>
                <w:b/>
                <w:sz w:val="22"/>
                <w:szCs w:val="22"/>
              </w:rPr>
              <w:t>Dosering</w:t>
            </w:r>
          </w:p>
        </w:tc>
      </w:tr>
      <w:tr w:rsidR="004644D4" w14:paraId="63EB90D8" w14:textId="77777777" w:rsidTr="002A2660">
        <w:trPr>
          <w:tblHeader/>
          <w:jc w:val="center"/>
        </w:trPr>
        <w:tc>
          <w:tcPr>
            <w:tcW w:w="3401" w:type="dxa"/>
            <w:tcBorders>
              <w:top w:val="single" w:sz="4" w:space="0" w:color="auto"/>
              <w:left w:val="nil"/>
              <w:bottom w:val="single" w:sz="4" w:space="0" w:color="auto"/>
              <w:right w:val="nil"/>
            </w:tcBorders>
            <w:hideMark/>
          </w:tcPr>
          <w:p w14:paraId="511B6566" w14:textId="77777777" w:rsidR="00F319B7" w:rsidRDefault="00E453CD" w:rsidP="002A2660">
            <w:pPr>
              <w:pStyle w:val="TableLeft"/>
              <w:jc w:val="center"/>
              <w:rPr>
                <w:b/>
                <w:sz w:val="22"/>
                <w:szCs w:val="22"/>
              </w:rPr>
            </w:pPr>
            <w:r>
              <w:rPr>
                <w:sz w:val="22"/>
                <w:szCs w:val="22"/>
              </w:rPr>
              <w:t>&lt; 30 kg</w:t>
            </w:r>
          </w:p>
        </w:tc>
        <w:tc>
          <w:tcPr>
            <w:tcW w:w="3394" w:type="dxa"/>
            <w:tcBorders>
              <w:top w:val="single" w:sz="4" w:space="0" w:color="auto"/>
              <w:left w:val="nil"/>
              <w:bottom w:val="single" w:sz="4" w:space="0" w:color="auto"/>
              <w:right w:val="nil"/>
            </w:tcBorders>
            <w:hideMark/>
          </w:tcPr>
          <w:p w14:paraId="230DCFDA" w14:textId="77777777" w:rsidR="00F319B7" w:rsidRPr="0017427F" w:rsidRDefault="00E453CD" w:rsidP="002A2660">
            <w:pPr>
              <w:pStyle w:val="TableLeft"/>
              <w:jc w:val="center"/>
              <w:rPr>
                <w:b/>
                <w:sz w:val="22"/>
                <w:szCs w:val="22"/>
                <w:lang w:val="nb-NO"/>
              </w:rPr>
            </w:pPr>
            <w:r w:rsidRPr="0017427F">
              <w:rPr>
                <w:sz w:val="22"/>
                <w:szCs w:val="22"/>
                <w:lang w:val="nb-NO"/>
              </w:rPr>
              <w:t>20 mg annenhver uke i kombinasjon med metotreksat</w:t>
            </w:r>
            <w:r>
              <w:rPr>
                <w:sz w:val="22"/>
                <w:szCs w:val="22"/>
                <w:lang w:val="nb-NO"/>
              </w:rPr>
              <w:t xml:space="preserve"> </w:t>
            </w:r>
            <w:r w:rsidRPr="0017427F">
              <w:rPr>
                <w:sz w:val="22"/>
                <w:szCs w:val="22"/>
                <w:lang w:val="nb-NO"/>
              </w:rPr>
              <w:t xml:space="preserve"> </w:t>
            </w:r>
          </w:p>
        </w:tc>
      </w:tr>
      <w:tr w:rsidR="004644D4" w14:paraId="501201BA" w14:textId="77777777" w:rsidTr="002A2660">
        <w:trPr>
          <w:tblHeader/>
          <w:jc w:val="center"/>
        </w:trPr>
        <w:tc>
          <w:tcPr>
            <w:tcW w:w="3401" w:type="dxa"/>
            <w:tcBorders>
              <w:top w:val="single" w:sz="4" w:space="0" w:color="auto"/>
              <w:left w:val="nil"/>
              <w:bottom w:val="single" w:sz="4" w:space="0" w:color="auto"/>
              <w:right w:val="nil"/>
            </w:tcBorders>
            <w:hideMark/>
          </w:tcPr>
          <w:p w14:paraId="5F20A694" w14:textId="77777777" w:rsidR="00F319B7" w:rsidRDefault="00E453CD" w:rsidP="002A2660">
            <w:pPr>
              <w:pStyle w:val="TableLeft"/>
              <w:jc w:val="center"/>
              <w:rPr>
                <w:b/>
                <w:sz w:val="22"/>
                <w:szCs w:val="22"/>
              </w:rPr>
            </w:pPr>
            <w:r>
              <w:rPr>
                <w:sz w:val="22"/>
                <w:szCs w:val="22"/>
              </w:rPr>
              <w:t>≥ 30 kg</w:t>
            </w:r>
          </w:p>
        </w:tc>
        <w:tc>
          <w:tcPr>
            <w:tcW w:w="3394" w:type="dxa"/>
            <w:tcBorders>
              <w:top w:val="single" w:sz="4" w:space="0" w:color="auto"/>
              <w:left w:val="nil"/>
              <w:bottom w:val="single" w:sz="4" w:space="0" w:color="auto"/>
              <w:right w:val="nil"/>
            </w:tcBorders>
            <w:hideMark/>
          </w:tcPr>
          <w:p w14:paraId="02A35C21" w14:textId="77777777" w:rsidR="00F319B7" w:rsidRPr="0017427F" w:rsidRDefault="00E453CD" w:rsidP="002A2660">
            <w:pPr>
              <w:pStyle w:val="TableLeft"/>
              <w:jc w:val="center"/>
              <w:rPr>
                <w:b/>
                <w:sz w:val="22"/>
                <w:szCs w:val="22"/>
                <w:lang w:val="nb-NO"/>
              </w:rPr>
            </w:pPr>
            <w:r>
              <w:rPr>
                <w:sz w:val="22"/>
                <w:szCs w:val="22"/>
                <w:lang w:val="nb-NO"/>
              </w:rPr>
              <w:t>4</w:t>
            </w:r>
            <w:r w:rsidRPr="00BA33D6">
              <w:rPr>
                <w:sz w:val="22"/>
                <w:szCs w:val="22"/>
                <w:lang w:val="nb-NO"/>
              </w:rPr>
              <w:t>0 mg annenhver uke i kombinasjon med metotreksat</w:t>
            </w:r>
          </w:p>
        </w:tc>
      </w:tr>
    </w:tbl>
    <w:p w14:paraId="5DD92F10" w14:textId="77777777" w:rsidR="00F319B7" w:rsidRDefault="00F319B7" w:rsidP="00F319B7">
      <w:pPr>
        <w:tabs>
          <w:tab w:val="left" w:pos="705"/>
        </w:tabs>
        <w:suppressAutoHyphens/>
        <w:rPr>
          <w:sz w:val="22"/>
          <w:szCs w:val="22"/>
        </w:rPr>
      </w:pPr>
    </w:p>
    <w:p w14:paraId="6FEF5845" w14:textId="77777777" w:rsidR="00F319B7" w:rsidRDefault="00E453CD" w:rsidP="00F319B7">
      <w:pPr>
        <w:tabs>
          <w:tab w:val="left" w:pos="705"/>
        </w:tabs>
        <w:suppressAutoHyphens/>
        <w:rPr>
          <w:sz w:val="22"/>
          <w:szCs w:val="22"/>
        </w:rPr>
      </w:pPr>
      <w:r>
        <w:rPr>
          <w:sz w:val="22"/>
          <w:szCs w:val="22"/>
        </w:rPr>
        <w:t xml:space="preserve">Når behandling med Humira startes opp, kan en </w:t>
      </w:r>
      <w:r w:rsidR="005207CC" w:rsidRPr="005207CC">
        <w:rPr>
          <w:sz w:val="22"/>
          <w:szCs w:val="22"/>
        </w:rPr>
        <w:t>induksjonsdose</w:t>
      </w:r>
      <w:r>
        <w:rPr>
          <w:sz w:val="22"/>
          <w:szCs w:val="22"/>
        </w:rPr>
        <w:t xml:space="preserve"> på 40 mg for pasienter</w:t>
      </w:r>
      <w:r w:rsidR="006029AB">
        <w:rPr>
          <w:sz w:val="22"/>
          <w:szCs w:val="22"/>
        </w:rPr>
        <w:t> </w:t>
      </w:r>
      <w:r>
        <w:rPr>
          <w:sz w:val="22"/>
          <w:szCs w:val="22"/>
        </w:rPr>
        <w:t>&lt;</w:t>
      </w:r>
      <w:r w:rsidR="006029AB">
        <w:rPr>
          <w:sz w:val="22"/>
          <w:szCs w:val="22"/>
        </w:rPr>
        <w:t> </w:t>
      </w:r>
      <w:r>
        <w:rPr>
          <w:sz w:val="22"/>
          <w:szCs w:val="22"/>
        </w:rPr>
        <w:t>30</w:t>
      </w:r>
      <w:r w:rsidR="006029AB">
        <w:rPr>
          <w:sz w:val="22"/>
          <w:szCs w:val="22"/>
        </w:rPr>
        <w:t> </w:t>
      </w:r>
      <w:r>
        <w:rPr>
          <w:sz w:val="22"/>
          <w:szCs w:val="22"/>
        </w:rPr>
        <w:t>kg eller 80</w:t>
      </w:r>
      <w:r w:rsidR="006029AB">
        <w:rPr>
          <w:sz w:val="22"/>
          <w:szCs w:val="22"/>
        </w:rPr>
        <w:t> </w:t>
      </w:r>
      <w:r>
        <w:rPr>
          <w:sz w:val="22"/>
          <w:szCs w:val="22"/>
        </w:rPr>
        <w:t>mg for pasienter</w:t>
      </w:r>
      <w:r w:rsidR="006029AB">
        <w:rPr>
          <w:sz w:val="22"/>
          <w:szCs w:val="22"/>
        </w:rPr>
        <w:t> </w:t>
      </w:r>
      <w:r>
        <w:rPr>
          <w:sz w:val="22"/>
          <w:szCs w:val="22"/>
        </w:rPr>
        <w:t>≥30</w:t>
      </w:r>
      <w:r w:rsidR="006029AB">
        <w:rPr>
          <w:sz w:val="22"/>
          <w:szCs w:val="22"/>
        </w:rPr>
        <w:t> </w:t>
      </w:r>
      <w:r>
        <w:rPr>
          <w:sz w:val="22"/>
          <w:szCs w:val="22"/>
        </w:rPr>
        <w:t xml:space="preserve">kg administreres én uke før oppstart av vedlikeholdsbehandling. Det foreligger ingen kliniske data vedrørende bruk av en </w:t>
      </w:r>
      <w:r w:rsidR="005207CC" w:rsidRPr="005207CC">
        <w:rPr>
          <w:sz w:val="22"/>
          <w:szCs w:val="22"/>
        </w:rPr>
        <w:t>induksjonsdose</w:t>
      </w:r>
      <w:r>
        <w:rPr>
          <w:sz w:val="22"/>
          <w:szCs w:val="22"/>
        </w:rPr>
        <w:t xml:space="preserve"> av Humira hos barn </w:t>
      </w:r>
      <w:r w:rsidR="002A2D0D">
        <w:rPr>
          <w:sz w:val="22"/>
          <w:szCs w:val="22"/>
        </w:rPr>
        <w:t>under</w:t>
      </w:r>
      <w:r>
        <w:rPr>
          <w:sz w:val="22"/>
          <w:szCs w:val="22"/>
        </w:rPr>
        <w:t> 6 år (se pkt. 5.2).</w:t>
      </w:r>
    </w:p>
    <w:p w14:paraId="4C1A38A4" w14:textId="77777777" w:rsidR="00F319B7" w:rsidRDefault="00F319B7" w:rsidP="00F319B7">
      <w:pPr>
        <w:tabs>
          <w:tab w:val="left" w:pos="705"/>
        </w:tabs>
        <w:suppressAutoHyphens/>
        <w:rPr>
          <w:bCs/>
          <w:iCs/>
          <w:sz w:val="22"/>
        </w:rPr>
      </w:pPr>
    </w:p>
    <w:p w14:paraId="24FBC2DF" w14:textId="77777777" w:rsidR="00F319B7" w:rsidRDefault="00E453CD" w:rsidP="00F319B7">
      <w:pPr>
        <w:tabs>
          <w:tab w:val="left" w:pos="705"/>
        </w:tabs>
        <w:suppressAutoHyphens/>
        <w:rPr>
          <w:bCs/>
          <w:iCs/>
          <w:sz w:val="22"/>
        </w:rPr>
      </w:pPr>
      <w:r>
        <w:rPr>
          <w:bCs/>
          <w:iCs/>
          <w:sz w:val="22"/>
        </w:rPr>
        <w:t>Det er ikke relevant å bruke Humira hos barn under 2 år ved denne indikasjonen.</w:t>
      </w:r>
    </w:p>
    <w:p w14:paraId="696FAFF0" w14:textId="77777777" w:rsidR="00F319B7" w:rsidRDefault="00F319B7" w:rsidP="00F319B7">
      <w:pPr>
        <w:tabs>
          <w:tab w:val="left" w:pos="705"/>
        </w:tabs>
        <w:suppressAutoHyphens/>
        <w:rPr>
          <w:bCs/>
          <w:iCs/>
          <w:sz w:val="22"/>
        </w:rPr>
      </w:pPr>
    </w:p>
    <w:p w14:paraId="7CBD7C9A" w14:textId="77777777" w:rsidR="00F319B7" w:rsidRDefault="00E453CD" w:rsidP="00F319B7">
      <w:pPr>
        <w:tabs>
          <w:tab w:val="left" w:pos="705"/>
        </w:tabs>
        <w:suppressAutoHyphens/>
        <w:rPr>
          <w:bCs/>
          <w:iCs/>
          <w:sz w:val="22"/>
        </w:rPr>
      </w:pPr>
      <w:r>
        <w:rPr>
          <w:bCs/>
          <w:iCs/>
          <w:sz w:val="22"/>
        </w:rPr>
        <w:t xml:space="preserve">Det anbefales at nytte og risiko ved </w:t>
      </w:r>
      <w:r w:rsidR="00C80F0C">
        <w:rPr>
          <w:bCs/>
          <w:iCs/>
          <w:sz w:val="22"/>
        </w:rPr>
        <w:t>fortsettelse av</w:t>
      </w:r>
      <w:r>
        <w:rPr>
          <w:bCs/>
          <w:iCs/>
          <w:sz w:val="22"/>
        </w:rPr>
        <w:t xml:space="preserve"> langtidsbehandling vurderes årlig (se pkt. 5.1).</w:t>
      </w:r>
    </w:p>
    <w:p w14:paraId="0C6207CD" w14:textId="77777777" w:rsidR="00E571FA" w:rsidRDefault="00E571FA" w:rsidP="00F319B7">
      <w:pPr>
        <w:tabs>
          <w:tab w:val="left" w:pos="705"/>
        </w:tabs>
        <w:suppressAutoHyphens/>
        <w:rPr>
          <w:bCs/>
          <w:iCs/>
          <w:sz w:val="22"/>
        </w:rPr>
      </w:pPr>
    </w:p>
    <w:p w14:paraId="27D1EDA9" w14:textId="77777777" w:rsidR="00E571FA" w:rsidRPr="00C95067" w:rsidRDefault="00E453CD" w:rsidP="00F319B7">
      <w:pPr>
        <w:tabs>
          <w:tab w:val="left" w:pos="705"/>
        </w:tabs>
        <w:suppressAutoHyphens/>
        <w:rPr>
          <w:sz w:val="22"/>
          <w:szCs w:val="22"/>
        </w:rPr>
      </w:pPr>
      <w:r>
        <w:rPr>
          <w:sz w:val="22"/>
          <w:szCs w:val="22"/>
        </w:rPr>
        <w:t>Humira kan være tilgjengelig i andre styrker og/eller formuleringer avhengig av individuelle behandlingsbehov.</w:t>
      </w:r>
    </w:p>
    <w:p w14:paraId="3B9729FC" w14:textId="77777777" w:rsidR="00F319B7" w:rsidRPr="009C5EFD" w:rsidRDefault="00F319B7" w:rsidP="00F319B7">
      <w:pPr>
        <w:tabs>
          <w:tab w:val="left" w:pos="705"/>
        </w:tabs>
        <w:suppressAutoHyphens/>
        <w:rPr>
          <w:sz w:val="22"/>
          <w:szCs w:val="22"/>
        </w:rPr>
      </w:pPr>
    </w:p>
    <w:p w14:paraId="31328E3A" w14:textId="77777777" w:rsidR="00F319B7" w:rsidRPr="009C5EFD" w:rsidRDefault="00E453CD" w:rsidP="00776A84">
      <w:pPr>
        <w:keepNext/>
        <w:suppressAutoHyphens/>
        <w:rPr>
          <w:sz w:val="22"/>
          <w:szCs w:val="22"/>
        </w:rPr>
      </w:pPr>
      <w:r w:rsidRPr="009C5EFD">
        <w:rPr>
          <w:sz w:val="22"/>
          <w:szCs w:val="22"/>
          <w:u w:val="single"/>
        </w:rPr>
        <w:lastRenderedPageBreak/>
        <w:t>Administrasjonsmåte</w:t>
      </w:r>
    </w:p>
    <w:p w14:paraId="7B870D33" w14:textId="77777777" w:rsidR="00F319B7" w:rsidRPr="009C5EFD" w:rsidRDefault="00F319B7" w:rsidP="00776A84">
      <w:pPr>
        <w:keepNext/>
        <w:suppressAutoHyphens/>
        <w:rPr>
          <w:sz w:val="22"/>
          <w:szCs w:val="22"/>
        </w:rPr>
      </w:pPr>
    </w:p>
    <w:p w14:paraId="07125E55" w14:textId="77777777" w:rsidR="00F319B7" w:rsidRPr="009C5EFD" w:rsidRDefault="00E453CD" w:rsidP="00F319B7">
      <w:pPr>
        <w:suppressAutoHyphens/>
        <w:rPr>
          <w:sz w:val="22"/>
          <w:szCs w:val="22"/>
        </w:rPr>
      </w:pPr>
      <w:r w:rsidRPr="009C5EFD">
        <w:rPr>
          <w:sz w:val="22"/>
          <w:szCs w:val="22"/>
        </w:rPr>
        <w:t xml:space="preserve">Humira administreres ved subkutan injeksjon. Fullstendig </w:t>
      </w:r>
      <w:r w:rsidR="00067DE7">
        <w:rPr>
          <w:sz w:val="22"/>
          <w:szCs w:val="22"/>
        </w:rPr>
        <w:t>bruksanvisning</w:t>
      </w:r>
      <w:r w:rsidRPr="009C5EFD">
        <w:rPr>
          <w:sz w:val="22"/>
          <w:szCs w:val="22"/>
        </w:rPr>
        <w:t xml:space="preserve"> for riktig bruk finnes i pakningsvedlegget.</w:t>
      </w:r>
    </w:p>
    <w:p w14:paraId="66B99FA5" w14:textId="77777777" w:rsidR="00F319B7" w:rsidRDefault="00F319B7" w:rsidP="00F319B7">
      <w:pPr>
        <w:rPr>
          <w:sz w:val="22"/>
          <w:szCs w:val="22"/>
        </w:rPr>
      </w:pPr>
    </w:p>
    <w:p w14:paraId="7A2E62B1" w14:textId="77777777" w:rsidR="00F319B7" w:rsidRPr="009C5EFD" w:rsidRDefault="00E453CD" w:rsidP="00F319B7">
      <w:pPr>
        <w:rPr>
          <w:sz w:val="22"/>
          <w:szCs w:val="22"/>
        </w:rPr>
      </w:pPr>
      <w:r>
        <w:rPr>
          <w:sz w:val="22"/>
          <w:szCs w:val="22"/>
        </w:rPr>
        <w:t xml:space="preserve">Humira </w:t>
      </w:r>
      <w:r w:rsidR="00501A63">
        <w:rPr>
          <w:sz w:val="22"/>
          <w:szCs w:val="22"/>
        </w:rPr>
        <w:t>er</w:t>
      </w:r>
      <w:r>
        <w:rPr>
          <w:sz w:val="22"/>
          <w:szCs w:val="22"/>
        </w:rPr>
        <w:t xml:space="preserve"> tilgjengelig i andre styrker og formuleringer.</w:t>
      </w:r>
    </w:p>
    <w:p w14:paraId="608D13C3" w14:textId="77777777" w:rsidR="001E500F" w:rsidRPr="009C5EFD" w:rsidRDefault="001E500F" w:rsidP="009C5EFD">
      <w:pPr>
        <w:suppressAutoHyphens/>
        <w:rPr>
          <w:sz w:val="22"/>
          <w:szCs w:val="22"/>
        </w:rPr>
      </w:pPr>
    </w:p>
    <w:p w14:paraId="1F3C1C99" w14:textId="77777777" w:rsidR="001E500F" w:rsidRPr="009C5EFD" w:rsidRDefault="00E453CD" w:rsidP="00776A84">
      <w:pPr>
        <w:keepNext/>
        <w:suppressAutoHyphens/>
        <w:ind w:left="570" w:hanging="570"/>
        <w:rPr>
          <w:sz w:val="22"/>
          <w:szCs w:val="22"/>
        </w:rPr>
      </w:pPr>
      <w:r w:rsidRPr="009C5EFD">
        <w:rPr>
          <w:b/>
          <w:sz w:val="22"/>
          <w:szCs w:val="22"/>
        </w:rPr>
        <w:t>4.3</w:t>
      </w:r>
      <w:r w:rsidRPr="009C5EFD">
        <w:rPr>
          <w:b/>
          <w:sz w:val="22"/>
          <w:szCs w:val="22"/>
        </w:rPr>
        <w:tab/>
        <w:t>Kontraindikasjoner</w:t>
      </w:r>
    </w:p>
    <w:p w14:paraId="6021DD9E" w14:textId="77777777" w:rsidR="001E500F" w:rsidRPr="009C5EFD" w:rsidRDefault="001E500F" w:rsidP="00776A84">
      <w:pPr>
        <w:keepNext/>
        <w:rPr>
          <w:sz w:val="22"/>
          <w:szCs w:val="22"/>
        </w:rPr>
      </w:pPr>
    </w:p>
    <w:p w14:paraId="0E3FCD8B" w14:textId="77777777" w:rsidR="001E500F" w:rsidRPr="009C5EFD" w:rsidRDefault="00E453CD" w:rsidP="009C5EFD">
      <w:pPr>
        <w:rPr>
          <w:sz w:val="22"/>
          <w:szCs w:val="22"/>
        </w:rPr>
      </w:pPr>
      <w:r w:rsidRPr="009C5EFD">
        <w:rPr>
          <w:sz w:val="22"/>
          <w:szCs w:val="22"/>
        </w:rPr>
        <w:t xml:space="preserve">Overfølsomhet overfor virkestoffet eller overfor </w:t>
      </w:r>
      <w:r w:rsidRPr="009C5EFD">
        <w:rPr>
          <w:sz w:val="22"/>
        </w:rPr>
        <w:t xml:space="preserve">noen </w:t>
      </w:r>
      <w:r w:rsidRPr="009C5EFD">
        <w:rPr>
          <w:sz w:val="22"/>
          <w:szCs w:val="22"/>
        </w:rPr>
        <w:t>av hjelpestoffene listet opp i pkt. 6.1.</w:t>
      </w:r>
    </w:p>
    <w:p w14:paraId="40BD0A7D" w14:textId="77777777" w:rsidR="001E500F" w:rsidRPr="009C5EFD" w:rsidRDefault="001E500F" w:rsidP="009C5EFD">
      <w:pPr>
        <w:rPr>
          <w:sz w:val="22"/>
          <w:szCs w:val="22"/>
        </w:rPr>
      </w:pPr>
    </w:p>
    <w:p w14:paraId="2F4831B5" w14:textId="77777777" w:rsidR="001E500F" w:rsidRPr="009C5EFD" w:rsidRDefault="00E453CD" w:rsidP="009C5EFD">
      <w:pPr>
        <w:rPr>
          <w:sz w:val="22"/>
          <w:szCs w:val="22"/>
        </w:rPr>
      </w:pPr>
      <w:r w:rsidRPr="009C5EFD">
        <w:rPr>
          <w:sz w:val="22"/>
          <w:szCs w:val="22"/>
        </w:rPr>
        <w:t xml:space="preserve">Aktiv tuberkulose eller annen </w:t>
      </w:r>
      <w:r w:rsidR="00021903">
        <w:rPr>
          <w:sz w:val="22"/>
          <w:szCs w:val="22"/>
        </w:rPr>
        <w:t>alvorlig</w:t>
      </w:r>
      <w:r w:rsidRPr="009C5EFD">
        <w:rPr>
          <w:sz w:val="22"/>
          <w:szCs w:val="22"/>
        </w:rPr>
        <w:t xml:space="preserve"> infeksjon som sepsis</w:t>
      </w:r>
      <w:r w:rsidR="00CD65BF">
        <w:rPr>
          <w:sz w:val="22"/>
          <w:szCs w:val="22"/>
        </w:rPr>
        <w:t>,</w:t>
      </w:r>
      <w:r w:rsidRPr="009C5EFD">
        <w:rPr>
          <w:sz w:val="22"/>
          <w:szCs w:val="22"/>
        </w:rPr>
        <w:t xml:space="preserve"> og opportunistiske infeksjoner (se pkt. 4.4).</w:t>
      </w:r>
    </w:p>
    <w:p w14:paraId="7FA7AD7D" w14:textId="77777777" w:rsidR="001E500F" w:rsidRPr="009C5EFD" w:rsidRDefault="001E500F" w:rsidP="009C5EFD">
      <w:pPr>
        <w:rPr>
          <w:sz w:val="22"/>
          <w:szCs w:val="22"/>
        </w:rPr>
      </w:pPr>
    </w:p>
    <w:p w14:paraId="5EB79237" w14:textId="77777777" w:rsidR="001E500F" w:rsidRPr="009C5EFD" w:rsidRDefault="00E453CD" w:rsidP="009C5EFD">
      <w:pPr>
        <w:rPr>
          <w:sz w:val="22"/>
          <w:szCs w:val="22"/>
        </w:rPr>
      </w:pPr>
      <w:r w:rsidRPr="009C5EFD">
        <w:rPr>
          <w:sz w:val="22"/>
          <w:szCs w:val="22"/>
        </w:rPr>
        <w:t>Moderat til alvorlig hjertesvikt (NYHA klasse III/IV) (se pkt. 4.4).</w:t>
      </w:r>
    </w:p>
    <w:p w14:paraId="437120EC" w14:textId="77777777" w:rsidR="001E500F" w:rsidRPr="009C5EFD" w:rsidRDefault="001E500F" w:rsidP="009C5EFD">
      <w:pPr>
        <w:rPr>
          <w:sz w:val="22"/>
          <w:szCs w:val="22"/>
        </w:rPr>
      </w:pPr>
    </w:p>
    <w:p w14:paraId="6608C883" w14:textId="77777777" w:rsidR="001E500F" w:rsidRPr="009C5EFD" w:rsidRDefault="00E453CD" w:rsidP="003219FB">
      <w:pPr>
        <w:keepNext/>
        <w:suppressAutoHyphens/>
        <w:ind w:left="567" w:hanging="567"/>
        <w:rPr>
          <w:sz w:val="22"/>
          <w:szCs w:val="22"/>
        </w:rPr>
      </w:pPr>
      <w:r w:rsidRPr="009C5EFD">
        <w:rPr>
          <w:b/>
          <w:sz w:val="22"/>
          <w:szCs w:val="22"/>
        </w:rPr>
        <w:t>4.4</w:t>
      </w:r>
      <w:r w:rsidRPr="009C5EFD">
        <w:rPr>
          <w:b/>
          <w:sz w:val="22"/>
          <w:szCs w:val="22"/>
        </w:rPr>
        <w:tab/>
        <w:t>Advarsler og forsiktighetsregler</w:t>
      </w:r>
    </w:p>
    <w:p w14:paraId="7A012E11" w14:textId="77777777" w:rsidR="001E500F" w:rsidRPr="009C5EFD" w:rsidRDefault="001E500F" w:rsidP="003219FB">
      <w:pPr>
        <w:keepNext/>
        <w:rPr>
          <w:sz w:val="22"/>
          <w:szCs w:val="22"/>
        </w:rPr>
      </w:pPr>
    </w:p>
    <w:p w14:paraId="1A513245" w14:textId="77777777" w:rsidR="00766BE3" w:rsidRPr="00AB7697" w:rsidRDefault="00E453CD" w:rsidP="003219FB">
      <w:pPr>
        <w:keepNext/>
        <w:rPr>
          <w:sz w:val="22"/>
          <w:u w:val="single"/>
        </w:rPr>
      </w:pPr>
      <w:r w:rsidRPr="00AB7697">
        <w:rPr>
          <w:sz w:val="22"/>
          <w:u w:val="single"/>
        </w:rPr>
        <w:t>Sporbarhet</w:t>
      </w:r>
    </w:p>
    <w:p w14:paraId="380250B7" w14:textId="77777777" w:rsidR="00766BE3" w:rsidRDefault="00766BE3" w:rsidP="003219FB">
      <w:pPr>
        <w:keepNext/>
        <w:rPr>
          <w:sz w:val="22"/>
        </w:rPr>
      </w:pPr>
    </w:p>
    <w:p w14:paraId="4BDF598A" w14:textId="77777777" w:rsidR="00766BE3" w:rsidRPr="009C5EFD" w:rsidRDefault="00E453CD" w:rsidP="00776A84">
      <w:pPr>
        <w:pStyle w:val="Heading8"/>
        <w:keepNext w:val="0"/>
        <w:rPr>
          <w:szCs w:val="22"/>
          <w:u w:val="none"/>
        </w:rPr>
      </w:pPr>
      <w:r w:rsidRPr="009C5EFD">
        <w:rPr>
          <w:szCs w:val="22"/>
          <w:u w:val="none"/>
        </w:rPr>
        <w:t xml:space="preserve">For å bedre sporbarheten av biologiske legemidler, skal </w:t>
      </w:r>
      <w:r>
        <w:rPr>
          <w:szCs w:val="22"/>
          <w:u w:val="none"/>
        </w:rPr>
        <w:t xml:space="preserve">navnet </w:t>
      </w:r>
      <w:r w:rsidRPr="009C5EFD">
        <w:rPr>
          <w:szCs w:val="22"/>
          <w:u w:val="none"/>
        </w:rPr>
        <w:t>og batchnummeret for det administrerte legemidlet registreres tydelig.</w:t>
      </w:r>
    </w:p>
    <w:p w14:paraId="527AF3E6" w14:textId="77777777" w:rsidR="001E500F" w:rsidRPr="009C5EFD" w:rsidRDefault="001E500F" w:rsidP="009C5EFD">
      <w:pPr>
        <w:pStyle w:val="Heading8"/>
        <w:keepNext w:val="0"/>
        <w:rPr>
          <w:szCs w:val="22"/>
        </w:rPr>
      </w:pPr>
    </w:p>
    <w:p w14:paraId="51EBA68E" w14:textId="77777777" w:rsidR="001E500F" w:rsidRPr="009C5EFD" w:rsidRDefault="00E453CD" w:rsidP="00776A84">
      <w:pPr>
        <w:pStyle w:val="Heading8"/>
        <w:rPr>
          <w:szCs w:val="22"/>
        </w:rPr>
      </w:pPr>
      <w:r w:rsidRPr="009C5EFD">
        <w:rPr>
          <w:szCs w:val="22"/>
        </w:rPr>
        <w:t>Infeksjoner</w:t>
      </w:r>
    </w:p>
    <w:p w14:paraId="586173EB" w14:textId="77777777" w:rsidR="001E500F" w:rsidRPr="009C5EFD" w:rsidRDefault="001E500F" w:rsidP="00776A84">
      <w:pPr>
        <w:keepNext/>
        <w:rPr>
          <w:sz w:val="22"/>
          <w:szCs w:val="22"/>
        </w:rPr>
      </w:pPr>
    </w:p>
    <w:p w14:paraId="2DA8F283" w14:textId="77777777" w:rsidR="001E500F" w:rsidRPr="009C5EFD" w:rsidRDefault="00E453CD" w:rsidP="009C5EFD">
      <w:pPr>
        <w:rPr>
          <w:sz w:val="22"/>
          <w:szCs w:val="22"/>
        </w:rPr>
      </w:pPr>
      <w:r w:rsidRPr="009C5EFD">
        <w:rPr>
          <w:sz w:val="22"/>
          <w:szCs w:val="22"/>
        </w:rPr>
        <w:t>Pasienter som behandles med TNF-antagonister er mer mottagelige for alvorlige infeksjoner. Nedsatt lungefunksjon kan øke risikoen for å utvikle infeksjoner. Derfor må pasienter overvåkes nøye med henblikk på mulige infeksjoner - deriblant tuberkulose - før, under og etter behandling med Humira. Da eliminasjon av adalimumab kan ta opptil fire måneder, bør overvåking fortsette ut denne perioden.</w:t>
      </w:r>
    </w:p>
    <w:p w14:paraId="456C53E5" w14:textId="77777777" w:rsidR="001E500F" w:rsidRPr="009C5EFD" w:rsidRDefault="001E500F" w:rsidP="009C5EFD">
      <w:pPr>
        <w:rPr>
          <w:sz w:val="22"/>
          <w:szCs w:val="22"/>
        </w:rPr>
      </w:pPr>
    </w:p>
    <w:p w14:paraId="67DB5CE5" w14:textId="77777777" w:rsidR="001E500F" w:rsidRPr="009C5EFD" w:rsidRDefault="00E453CD" w:rsidP="009C5EFD">
      <w:pPr>
        <w:rPr>
          <w:sz w:val="22"/>
          <w:szCs w:val="22"/>
        </w:rPr>
      </w:pPr>
      <w:r w:rsidRPr="009C5EFD">
        <w:rPr>
          <w:sz w:val="22"/>
          <w:szCs w:val="22"/>
        </w:rPr>
        <w:t xml:space="preserve">Behandling med Humira bør ikke startes opp hos pasienter med aktive infeksjoner, inkludert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Humira avveies før start av behandlingen (se </w:t>
      </w:r>
      <w:r w:rsidRPr="009C5EFD">
        <w:rPr>
          <w:i/>
          <w:sz w:val="22"/>
          <w:szCs w:val="22"/>
        </w:rPr>
        <w:t>Andre opportunistiske infeksjoner</w:t>
      </w:r>
      <w:r w:rsidRPr="009C5EFD">
        <w:rPr>
          <w:sz w:val="22"/>
          <w:szCs w:val="22"/>
        </w:rPr>
        <w:t xml:space="preserve">).    </w:t>
      </w:r>
    </w:p>
    <w:p w14:paraId="65879BD3" w14:textId="77777777" w:rsidR="001E500F" w:rsidRPr="009C5EFD" w:rsidRDefault="001E500F" w:rsidP="009C5EFD">
      <w:pPr>
        <w:rPr>
          <w:sz w:val="22"/>
          <w:szCs w:val="22"/>
        </w:rPr>
      </w:pPr>
    </w:p>
    <w:p w14:paraId="1E71D74E" w14:textId="77777777" w:rsidR="001E500F" w:rsidRPr="009C5EFD" w:rsidRDefault="00E453CD" w:rsidP="009C5EFD">
      <w:pPr>
        <w:rPr>
          <w:sz w:val="22"/>
          <w:szCs w:val="22"/>
        </w:rPr>
      </w:pPr>
      <w:r w:rsidRPr="009C5EFD">
        <w:rPr>
          <w:sz w:val="22"/>
          <w:szCs w:val="22"/>
        </w:rPr>
        <w:t xml:space="preserve">Pasienter som utvikler en ny infeksjon i løpet av behandling med Humira bør overvåkes nøye og gjennomgå en fullstendig diagnostisering. Dersom pasienten utvikler en ny alvorlig infeksjon eller sepsis, bør behandling med Humira seponeres og passende behandling med antimikrobielle eller antimykotiske legemidler bør startes inntil infeksjonen er under kontroll. Legen bør utvise varsomhet </w:t>
      </w:r>
      <w:r w:rsidR="00FB2118">
        <w:rPr>
          <w:sz w:val="22"/>
          <w:szCs w:val="22"/>
        </w:rPr>
        <w:t>når det vurderes å bruke</w:t>
      </w:r>
      <w:r w:rsidRPr="009C5EFD">
        <w:rPr>
          <w:sz w:val="22"/>
          <w:szCs w:val="22"/>
        </w:rPr>
        <w:t xml:space="preserve"> Humira </w:t>
      </w:r>
      <w:r w:rsidR="00FB2118">
        <w:rPr>
          <w:sz w:val="22"/>
          <w:szCs w:val="22"/>
        </w:rPr>
        <w:t>hos</w:t>
      </w:r>
      <w:r w:rsidR="00FB2118" w:rsidRPr="009C5EFD">
        <w:rPr>
          <w:sz w:val="22"/>
          <w:szCs w:val="22"/>
        </w:rPr>
        <w:t xml:space="preserve"> </w:t>
      </w:r>
      <w:r w:rsidRPr="009C5EFD">
        <w:rPr>
          <w:sz w:val="22"/>
          <w:szCs w:val="22"/>
        </w:rPr>
        <w:t>pasienter som har hatt gjentatte infeksjoner eller som har underliggende lidelser som predisponerer for infeksjoner, inkludert samtidig bruk av immunsuppressive legemidler.</w:t>
      </w:r>
    </w:p>
    <w:p w14:paraId="105D8329" w14:textId="77777777" w:rsidR="001E500F" w:rsidRPr="009C5EFD" w:rsidRDefault="001E500F" w:rsidP="009C5EFD">
      <w:pPr>
        <w:rPr>
          <w:i/>
          <w:sz w:val="22"/>
          <w:szCs w:val="22"/>
        </w:rPr>
      </w:pPr>
    </w:p>
    <w:p w14:paraId="6E7D7BBB" w14:textId="77777777" w:rsidR="001E500F" w:rsidRPr="009C5EFD" w:rsidRDefault="00E453CD" w:rsidP="00CB31ED">
      <w:pPr>
        <w:keepNext/>
        <w:rPr>
          <w:i/>
          <w:sz w:val="22"/>
          <w:szCs w:val="22"/>
        </w:rPr>
      </w:pPr>
      <w:r w:rsidRPr="009C5EFD">
        <w:rPr>
          <w:i/>
          <w:sz w:val="22"/>
          <w:szCs w:val="22"/>
        </w:rPr>
        <w:t>Alvorlige infeksjoner</w:t>
      </w:r>
    </w:p>
    <w:p w14:paraId="5F00ABD8" w14:textId="77777777" w:rsidR="001E500F" w:rsidRPr="009C5EFD" w:rsidRDefault="001E500F" w:rsidP="00CB31ED">
      <w:pPr>
        <w:keepNext/>
        <w:rPr>
          <w:sz w:val="22"/>
          <w:szCs w:val="22"/>
        </w:rPr>
      </w:pPr>
    </w:p>
    <w:p w14:paraId="37CD6180" w14:textId="77777777" w:rsidR="001E500F" w:rsidRPr="009C5EFD" w:rsidRDefault="00E453CD" w:rsidP="00776A84">
      <w:pPr>
        <w:rPr>
          <w:sz w:val="22"/>
          <w:szCs w:val="22"/>
        </w:rPr>
      </w:pPr>
      <w:r w:rsidRPr="009C5EFD">
        <w:rPr>
          <w:sz w:val="22"/>
          <w:szCs w:val="22"/>
        </w:rPr>
        <w:t xml:space="preserve">Alvorlige infeksjoner, inkludert sepsis, pga. bakterielle, mykobakterielle, invasive sopp-, parasitt-, virus- og andre opportunistiske infeksjoner som listeriose, legionellose og pneumocystose, er rapportert hos pasienter som behandles med Humira. </w:t>
      </w:r>
    </w:p>
    <w:p w14:paraId="5D2231C8" w14:textId="77777777" w:rsidR="001E500F" w:rsidRPr="009C5EFD" w:rsidRDefault="001E500F" w:rsidP="009C5EFD">
      <w:pPr>
        <w:rPr>
          <w:sz w:val="22"/>
          <w:szCs w:val="22"/>
        </w:rPr>
      </w:pPr>
    </w:p>
    <w:p w14:paraId="03DCAE09" w14:textId="77777777" w:rsidR="001E500F" w:rsidRPr="009C5EFD" w:rsidRDefault="00E453CD" w:rsidP="009C5EFD">
      <w:pPr>
        <w:rPr>
          <w:sz w:val="22"/>
          <w:szCs w:val="22"/>
        </w:rPr>
      </w:pPr>
      <w:r w:rsidRPr="009C5EFD">
        <w:rPr>
          <w:sz w:val="22"/>
          <w:szCs w:val="22"/>
        </w:rPr>
        <w:t>Andre alvorlige infeksjoner inklusive pneumoni, pyelonefritt, septisk artritt og septikemi er sett i kliniske studier. Sykehusinnleggelse eller fatale følger assosiert med infeksjoner er rapportert.</w:t>
      </w:r>
    </w:p>
    <w:p w14:paraId="440D43B8" w14:textId="77777777" w:rsidR="001E500F" w:rsidRPr="009C5EFD" w:rsidRDefault="001E500F" w:rsidP="009C5EFD">
      <w:pPr>
        <w:rPr>
          <w:sz w:val="22"/>
          <w:szCs w:val="22"/>
        </w:rPr>
      </w:pPr>
    </w:p>
    <w:p w14:paraId="4BEBC960" w14:textId="77777777" w:rsidR="001E500F" w:rsidRPr="009C5EFD" w:rsidRDefault="00E453CD" w:rsidP="00776A84">
      <w:pPr>
        <w:keepNext/>
        <w:rPr>
          <w:sz w:val="22"/>
          <w:szCs w:val="22"/>
        </w:rPr>
      </w:pPr>
      <w:r w:rsidRPr="009C5EFD">
        <w:rPr>
          <w:i/>
          <w:sz w:val="22"/>
          <w:szCs w:val="22"/>
        </w:rPr>
        <w:lastRenderedPageBreak/>
        <w:t>Tuberkulose</w:t>
      </w:r>
    </w:p>
    <w:p w14:paraId="2F99586B" w14:textId="77777777" w:rsidR="001E500F" w:rsidRPr="009C5EFD" w:rsidRDefault="001E500F" w:rsidP="00776A84">
      <w:pPr>
        <w:keepNext/>
        <w:rPr>
          <w:sz w:val="22"/>
          <w:szCs w:val="22"/>
        </w:rPr>
      </w:pPr>
    </w:p>
    <w:p w14:paraId="28E1D3F8" w14:textId="77777777" w:rsidR="001E500F" w:rsidRPr="009C5EFD" w:rsidRDefault="00E453CD" w:rsidP="009C5EFD">
      <w:pPr>
        <w:rPr>
          <w:sz w:val="22"/>
          <w:szCs w:val="22"/>
        </w:rPr>
      </w:pPr>
      <w:r w:rsidRPr="009C5EFD">
        <w:rPr>
          <w:sz w:val="22"/>
          <w:szCs w:val="22"/>
        </w:rPr>
        <w:t xml:space="preserve">Det er rapportert tilfeller av tuberkulose, inkludert reaktivering og nyoppstått tuberkulose, hos pasienter som behandles med Humira. Rapporter inkluderte tilfeller av pulmonær og ekstrapulmonær (dvs. disseminert) tuberkulose. </w:t>
      </w:r>
    </w:p>
    <w:p w14:paraId="7A8D956D" w14:textId="77777777" w:rsidR="001E500F" w:rsidRPr="009C5EFD" w:rsidRDefault="001E500F" w:rsidP="009C5EFD">
      <w:pPr>
        <w:rPr>
          <w:sz w:val="22"/>
          <w:szCs w:val="22"/>
        </w:rPr>
      </w:pPr>
    </w:p>
    <w:p w14:paraId="24AA699D" w14:textId="77777777" w:rsidR="001E500F" w:rsidRPr="009C5EFD" w:rsidRDefault="00E453CD" w:rsidP="009C5EFD">
      <w:pPr>
        <w:rPr>
          <w:sz w:val="22"/>
          <w:szCs w:val="22"/>
        </w:rPr>
      </w:pPr>
      <w:r w:rsidRPr="009C5EFD">
        <w:rPr>
          <w:sz w:val="22"/>
          <w:szCs w:val="22"/>
        </w:rPr>
        <w:t xml:space="preserve">Alle pasienter må vurderes med henblikk på både aktiv eller inaktiv (’latent’) tuberkuløs infeksjon før behandling med Humira startes opp. Evalueringen bør omfatte en detaljert medisinsk vurdering av 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 Behandling med </w:t>
      </w:r>
    </w:p>
    <w:p w14:paraId="38A27EFB" w14:textId="77777777" w:rsidR="001E500F" w:rsidRPr="009C5EFD" w:rsidRDefault="001E500F" w:rsidP="009C5EFD">
      <w:pPr>
        <w:rPr>
          <w:sz w:val="22"/>
          <w:szCs w:val="22"/>
        </w:rPr>
      </w:pPr>
    </w:p>
    <w:p w14:paraId="4CEE3FF2" w14:textId="77777777" w:rsidR="001E500F" w:rsidRPr="009C5EFD" w:rsidRDefault="00E453CD" w:rsidP="009C5EFD">
      <w:pPr>
        <w:rPr>
          <w:sz w:val="22"/>
          <w:szCs w:val="22"/>
        </w:rPr>
      </w:pPr>
      <w:r w:rsidRPr="009C5EFD">
        <w:rPr>
          <w:sz w:val="22"/>
          <w:szCs w:val="22"/>
        </w:rPr>
        <w:t>Humira skal ikke startes opp dersom det diagnostiseres aktiv tuberkulose (se pkt. 4.3).</w:t>
      </w:r>
    </w:p>
    <w:p w14:paraId="6B17FBCE" w14:textId="77777777" w:rsidR="001E500F" w:rsidRPr="009C5EFD" w:rsidRDefault="001E500F" w:rsidP="009C5EFD">
      <w:pPr>
        <w:rPr>
          <w:sz w:val="22"/>
          <w:szCs w:val="22"/>
        </w:rPr>
      </w:pPr>
    </w:p>
    <w:p w14:paraId="12240653" w14:textId="77777777" w:rsidR="001E500F" w:rsidRPr="009C5EFD" w:rsidRDefault="00E453CD" w:rsidP="009C5EFD">
      <w:pPr>
        <w:rPr>
          <w:sz w:val="22"/>
          <w:szCs w:val="22"/>
        </w:rPr>
      </w:pPr>
      <w:r w:rsidRPr="009C5EFD">
        <w:rPr>
          <w:sz w:val="22"/>
          <w:szCs w:val="22"/>
        </w:rPr>
        <w:t>I alle situasjoner som er beskrevet under, bør behandlingens nytte</w:t>
      </w:r>
      <w:r w:rsidR="002A2D0D">
        <w:rPr>
          <w:sz w:val="22"/>
          <w:szCs w:val="22"/>
        </w:rPr>
        <w:t>-</w:t>
      </w:r>
      <w:r w:rsidRPr="009C5EFD">
        <w:rPr>
          <w:sz w:val="22"/>
          <w:szCs w:val="22"/>
        </w:rPr>
        <w:t>/risikoforhold vurderes nøye.</w:t>
      </w:r>
    </w:p>
    <w:p w14:paraId="0B1354A1" w14:textId="77777777" w:rsidR="001E500F" w:rsidRPr="009C5EFD" w:rsidRDefault="001E500F" w:rsidP="009C5EFD">
      <w:pPr>
        <w:rPr>
          <w:sz w:val="22"/>
          <w:szCs w:val="22"/>
        </w:rPr>
      </w:pPr>
    </w:p>
    <w:p w14:paraId="7FA259FC" w14:textId="77777777" w:rsidR="001E500F" w:rsidRPr="009C5EFD" w:rsidRDefault="00E453CD" w:rsidP="009C5EFD">
      <w:pPr>
        <w:rPr>
          <w:sz w:val="22"/>
          <w:szCs w:val="22"/>
        </w:rPr>
      </w:pPr>
      <w:r w:rsidRPr="009C5EFD">
        <w:rPr>
          <w:sz w:val="22"/>
          <w:szCs w:val="22"/>
        </w:rPr>
        <w:t xml:space="preserve">Hvis latent tuberkulose mistenkes, bør lege </w:t>
      </w:r>
      <w:r w:rsidRPr="009C5EFD">
        <w:rPr>
          <w:color w:val="000000"/>
          <w:sz w:val="22"/>
          <w:szCs w:val="22"/>
        </w:rPr>
        <w:t xml:space="preserve">som er </w:t>
      </w:r>
      <w:r w:rsidRPr="009C5EFD">
        <w:rPr>
          <w:sz w:val="22"/>
          <w:szCs w:val="22"/>
        </w:rPr>
        <w:t xml:space="preserve">ekspert på tuberkulose konsulteres. </w:t>
      </w:r>
    </w:p>
    <w:p w14:paraId="12630CEA" w14:textId="77777777" w:rsidR="001E500F" w:rsidRPr="009C5EFD" w:rsidRDefault="001E500F" w:rsidP="009C5EFD">
      <w:pPr>
        <w:rPr>
          <w:sz w:val="22"/>
          <w:szCs w:val="22"/>
        </w:rPr>
      </w:pPr>
    </w:p>
    <w:p w14:paraId="7CF323ED" w14:textId="77777777" w:rsidR="001E500F" w:rsidRPr="009C5EFD" w:rsidRDefault="00E453CD" w:rsidP="009C5EFD">
      <w:pPr>
        <w:rPr>
          <w:sz w:val="22"/>
          <w:szCs w:val="22"/>
        </w:rPr>
      </w:pPr>
      <w:r w:rsidRPr="009C5EFD">
        <w:rPr>
          <w:sz w:val="22"/>
          <w:szCs w:val="22"/>
        </w:rPr>
        <w:t>Hvis</w:t>
      </w:r>
      <w:r w:rsidR="008A1EAC">
        <w:rPr>
          <w:sz w:val="22"/>
          <w:szCs w:val="22"/>
        </w:rPr>
        <w:t xml:space="preserve"> </w:t>
      </w:r>
      <w:r w:rsidRPr="009C5EFD">
        <w:rPr>
          <w:sz w:val="22"/>
          <w:szCs w:val="22"/>
        </w:rPr>
        <w:t>latent tuberkulose er diagnostisert må passende anti</w:t>
      </w:r>
      <w:r w:rsidR="008A1EAC">
        <w:rPr>
          <w:sz w:val="22"/>
          <w:szCs w:val="22"/>
        </w:rPr>
        <w:t>-</w:t>
      </w:r>
      <w:r w:rsidRPr="009C5EFD">
        <w:rPr>
          <w:sz w:val="22"/>
          <w:szCs w:val="22"/>
        </w:rPr>
        <w:t xml:space="preserve">tuberkulose profylaksebehandling startes før behandling med Humira begynner, og i samsvar med lokale retningslinjer. </w:t>
      </w:r>
    </w:p>
    <w:p w14:paraId="16B640C6" w14:textId="77777777" w:rsidR="001E500F" w:rsidRPr="009C5EFD" w:rsidRDefault="001E500F" w:rsidP="009C5EFD">
      <w:pPr>
        <w:autoSpaceDE w:val="0"/>
        <w:autoSpaceDN w:val="0"/>
        <w:adjustRightInd w:val="0"/>
        <w:rPr>
          <w:sz w:val="22"/>
          <w:szCs w:val="22"/>
        </w:rPr>
      </w:pPr>
    </w:p>
    <w:p w14:paraId="68DFA134" w14:textId="77777777" w:rsidR="001E500F" w:rsidRPr="009C5EFD" w:rsidRDefault="00E453CD" w:rsidP="009C5EFD">
      <w:pPr>
        <w:rPr>
          <w:sz w:val="22"/>
          <w:szCs w:val="22"/>
        </w:rPr>
      </w:pPr>
      <w:r w:rsidRPr="009C5EFD">
        <w:rPr>
          <w:sz w:val="22"/>
          <w:szCs w:val="22"/>
        </w:rPr>
        <w:t>Bruk av anti</w:t>
      </w:r>
      <w:r w:rsidR="008A1EAC">
        <w:rPr>
          <w:sz w:val="22"/>
          <w:szCs w:val="22"/>
        </w:rPr>
        <w:t>-</w:t>
      </w:r>
      <w:r w:rsidRPr="009C5EFD">
        <w:rPr>
          <w:sz w:val="22"/>
          <w:szCs w:val="22"/>
        </w:rPr>
        <w:t xml:space="preserve">tuberkulose profylaksebehandling bør også vurderes før start av behandling med Humira hos pasienter med flere eller signifikante risikofaktorer for tuberkulose til tross for en negativ tuberkulosetest, og hos pasienter med en tidligere historie med latent eller aktiv tuberkulose hvor tilstrekkelig behandling ikke kan bekreftes. </w:t>
      </w:r>
    </w:p>
    <w:p w14:paraId="66382759" w14:textId="77777777" w:rsidR="001E500F" w:rsidRPr="009C5EFD" w:rsidRDefault="001E500F" w:rsidP="009C5EFD">
      <w:pPr>
        <w:rPr>
          <w:sz w:val="22"/>
          <w:szCs w:val="22"/>
        </w:rPr>
      </w:pPr>
    </w:p>
    <w:p w14:paraId="134A6AE9" w14:textId="77777777" w:rsidR="001E500F" w:rsidRPr="009C5EFD" w:rsidRDefault="00E453CD" w:rsidP="009C5EFD">
      <w:pPr>
        <w:rPr>
          <w:sz w:val="22"/>
          <w:szCs w:val="22"/>
        </w:rPr>
      </w:pPr>
      <w:r w:rsidRPr="009C5EFD">
        <w:rPr>
          <w:sz w:val="22"/>
          <w:szCs w:val="22"/>
        </w:rPr>
        <w:t xml:space="preserve">Tilfeller av reaktivert tuberkulose har </w:t>
      </w:r>
      <w:r w:rsidR="008A1EAC">
        <w:rPr>
          <w:sz w:val="22"/>
          <w:szCs w:val="22"/>
        </w:rPr>
        <w:t>forekommet</w:t>
      </w:r>
      <w:r w:rsidRPr="009C5EFD">
        <w:rPr>
          <w:sz w:val="22"/>
          <w:szCs w:val="22"/>
        </w:rPr>
        <w:t xml:space="preserve"> hos pasienter behandlet med Humira til tross for tuberkulose profylaksebehandling. Noen pasienter med vellykket behandling for aktiv tuberkulose, har  igjen utviklet tuberkulose under behandling med Humira.</w:t>
      </w:r>
    </w:p>
    <w:p w14:paraId="28F41D80" w14:textId="77777777" w:rsidR="001E500F" w:rsidRPr="009C5EFD" w:rsidRDefault="001E500F" w:rsidP="009C5EFD">
      <w:pPr>
        <w:rPr>
          <w:sz w:val="22"/>
          <w:szCs w:val="22"/>
        </w:rPr>
      </w:pPr>
    </w:p>
    <w:p w14:paraId="381C7B76" w14:textId="77777777" w:rsidR="001E500F" w:rsidRPr="009C5EFD" w:rsidRDefault="00E453CD" w:rsidP="009C5EFD">
      <w:pPr>
        <w:rPr>
          <w:sz w:val="22"/>
          <w:szCs w:val="22"/>
        </w:rPr>
      </w:pPr>
      <w:r w:rsidRPr="009C5EFD">
        <w:rPr>
          <w:sz w:val="22"/>
          <w:szCs w:val="22"/>
        </w:rPr>
        <w:t>Pasienter bør instrueres til å oppsøke medisinsk hjelp dersom det oppstår tegn/symptomer som tyder på tuberkuløs infeksjon (f.eks. vedvarende hoste, vekttap, lavgradig feber, slapphet) under eller etter behandling med Humira.</w:t>
      </w:r>
    </w:p>
    <w:p w14:paraId="37B92E0B" w14:textId="77777777" w:rsidR="001E500F" w:rsidRPr="009C5EFD" w:rsidRDefault="001E500F" w:rsidP="009C5EFD">
      <w:pPr>
        <w:rPr>
          <w:sz w:val="22"/>
          <w:szCs w:val="22"/>
        </w:rPr>
      </w:pPr>
    </w:p>
    <w:p w14:paraId="56281D1C" w14:textId="77777777" w:rsidR="001E500F" w:rsidRPr="009C5EFD" w:rsidRDefault="00E453CD" w:rsidP="00776A84">
      <w:pPr>
        <w:pStyle w:val="Heading6"/>
        <w:rPr>
          <w:szCs w:val="22"/>
        </w:rPr>
      </w:pPr>
      <w:r w:rsidRPr="009C5EFD">
        <w:rPr>
          <w:szCs w:val="22"/>
        </w:rPr>
        <w:t>Andre opportunistiske infeksjoner</w:t>
      </w:r>
    </w:p>
    <w:p w14:paraId="5BF18F17" w14:textId="77777777" w:rsidR="001E500F" w:rsidRPr="009C5EFD" w:rsidRDefault="001E500F" w:rsidP="00776A84">
      <w:pPr>
        <w:keepNext/>
        <w:rPr>
          <w:sz w:val="22"/>
          <w:szCs w:val="22"/>
        </w:rPr>
      </w:pPr>
    </w:p>
    <w:p w14:paraId="5D0B4FFA" w14:textId="77777777" w:rsidR="001E500F" w:rsidRPr="009C5EFD" w:rsidRDefault="00E453CD" w:rsidP="009C5EFD">
      <w:pPr>
        <w:rPr>
          <w:sz w:val="22"/>
          <w:szCs w:val="22"/>
        </w:rPr>
      </w:pPr>
      <w:r w:rsidRPr="009C5EFD">
        <w:rPr>
          <w:sz w:val="22"/>
          <w:szCs w:val="22"/>
        </w:rPr>
        <w:t>Opportunistiske infeksjoner, inkludert invasive soppinfeksjoner er observert hos pasienter som behandles med Humira. Disse infeksjonene har ikke konsekvent blitt gjenkjent hos pasienter som tar TNF-antagonister, noe som har ført til forsinkelser av hensiktsmessig behandling, noen ganger med fatale følger.</w:t>
      </w:r>
    </w:p>
    <w:p w14:paraId="160815DF" w14:textId="77777777" w:rsidR="001E500F" w:rsidRPr="009C5EFD" w:rsidRDefault="001E500F" w:rsidP="009C5EFD">
      <w:pPr>
        <w:rPr>
          <w:sz w:val="22"/>
          <w:szCs w:val="22"/>
        </w:rPr>
      </w:pPr>
    </w:p>
    <w:p w14:paraId="4F3BBCA4" w14:textId="77777777" w:rsidR="001E500F" w:rsidRPr="009C5EFD" w:rsidRDefault="00E453CD" w:rsidP="009C5EFD">
      <w:pPr>
        <w:rPr>
          <w:sz w:val="22"/>
          <w:szCs w:val="22"/>
        </w:rPr>
      </w:pPr>
      <w:r w:rsidRPr="009C5EFD">
        <w:rPr>
          <w:sz w:val="22"/>
          <w:szCs w:val="22"/>
        </w:rPr>
        <w:t xml:space="preserve">Hos pasienter som utvikler symptomer som feber, malaise, vekttap, svette, hoste, dyspné og/eller lungeinfiltrat eller andre alvorlige systemiske sykdommer med eller uten samtidig sjokk bør en invasiv soppinfeksjon mistenkes og behandling med Humira avbrytes omgående. Diagnostisering og håndtering av empirisk behandling med antimykotika hos disse pasientene, bør skje i samråd med en lege som har erfaring med å behandle pasienter med invasive soppinfeksjoner. </w:t>
      </w:r>
    </w:p>
    <w:p w14:paraId="41C0B4FF" w14:textId="77777777" w:rsidR="001E500F" w:rsidRPr="009C5EFD" w:rsidRDefault="001E500F" w:rsidP="009C5EFD">
      <w:pPr>
        <w:rPr>
          <w:sz w:val="22"/>
          <w:szCs w:val="22"/>
        </w:rPr>
      </w:pPr>
    </w:p>
    <w:p w14:paraId="18EC772D" w14:textId="77777777" w:rsidR="001E500F" w:rsidRPr="009C5EFD" w:rsidRDefault="00E453CD" w:rsidP="009C5EFD">
      <w:pPr>
        <w:pStyle w:val="Heading1"/>
        <w:rPr>
          <w:color w:val="auto"/>
          <w:sz w:val="22"/>
          <w:szCs w:val="22"/>
        </w:rPr>
      </w:pPr>
      <w:r w:rsidRPr="009C5EFD">
        <w:rPr>
          <w:color w:val="auto"/>
          <w:sz w:val="22"/>
          <w:szCs w:val="22"/>
        </w:rPr>
        <w:t>Reaktivering av hepatitt B</w:t>
      </w:r>
    </w:p>
    <w:p w14:paraId="42A4B956" w14:textId="77777777" w:rsidR="001E500F" w:rsidRPr="009C5EFD" w:rsidRDefault="001E500F" w:rsidP="009C5EFD">
      <w:pPr>
        <w:keepNext/>
        <w:autoSpaceDE w:val="0"/>
        <w:autoSpaceDN w:val="0"/>
        <w:adjustRightInd w:val="0"/>
        <w:spacing w:line="240" w:lineRule="atLeast"/>
        <w:rPr>
          <w:sz w:val="22"/>
          <w:szCs w:val="22"/>
          <w:u w:val="single"/>
        </w:rPr>
      </w:pPr>
    </w:p>
    <w:p w14:paraId="4466F6BA" w14:textId="77777777" w:rsidR="001E500F" w:rsidRPr="009C5EFD" w:rsidRDefault="00E453CD" w:rsidP="00776A84">
      <w:pPr>
        <w:rPr>
          <w:sz w:val="22"/>
          <w:szCs w:val="22"/>
        </w:rPr>
      </w:pPr>
      <w:r w:rsidRPr="009C5EFD">
        <w:rPr>
          <w:sz w:val="22"/>
          <w:szCs w:val="22"/>
        </w:rPr>
        <w:t>Reaktivering av hepatitt B har forekommet hos pasienter som behandles med TNF-antagonister inklusive Humira, og som er kroniske bærere av viruset og (dvs. overflateantigen-positive). Noen tilfeller var fatale. Pasienter bør testes for HBV-infeksjon før oppstart av Humira-behandling. For pasienter som testes positiv for hepatitt B-infeksjon, anbefales det å konsultere en lege med ekspertise på behandling av hepatitt B.</w:t>
      </w:r>
    </w:p>
    <w:p w14:paraId="3D141948" w14:textId="77777777" w:rsidR="001E500F" w:rsidRPr="009C5EFD" w:rsidRDefault="001E500F" w:rsidP="00776A84">
      <w:pPr>
        <w:rPr>
          <w:sz w:val="22"/>
          <w:szCs w:val="22"/>
        </w:rPr>
      </w:pPr>
    </w:p>
    <w:p w14:paraId="471AC595" w14:textId="77777777" w:rsidR="001E500F" w:rsidRPr="009C5EFD" w:rsidRDefault="00E453CD" w:rsidP="009C5EFD">
      <w:pPr>
        <w:rPr>
          <w:sz w:val="22"/>
          <w:szCs w:val="22"/>
        </w:rPr>
      </w:pPr>
      <w:r w:rsidRPr="009C5EFD">
        <w:rPr>
          <w:sz w:val="22"/>
          <w:szCs w:val="22"/>
        </w:rPr>
        <w:t>HBV-bærere som krever behandling med Humira bør overvåkes nøye med hensyn på sykdomstegn og symptomer på aktiv HBV-infeksjon under behandlingen og flere måneder etter avsluttet behandling. Tilstrekkelig data om behandling av pasienter som er HBV-bærere med antiviralterapi for å forebygge HBV-reaktivering, samtidig med TNF-antagonistterapi, er ikke tilgjengelig. Humira bør seponeres hos pasienter som utvikler HBV-reaktivering og effektiv antiviralterapi med passende støttebehandling bør startes.</w:t>
      </w:r>
    </w:p>
    <w:p w14:paraId="691ACA94" w14:textId="77777777" w:rsidR="001E500F" w:rsidRPr="009C5EFD" w:rsidRDefault="001E500F" w:rsidP="009C5EFD">
      <w:pPr>
        <w:pStyle w:val="Heading8"/>
        <w:keepNext w:val="0"/>
        <w:rPr>
          <w:szCs w:val="22"/>
        </w:rPr>
      </w:pPr>
    </w:p>
    <w:p w14:paraId="43DA8DB8" w14:textId="77777777" w:rsidR="001E500F" w:rsidRPr="009C5EFD" w:rsidRDefault="00E453CD" w:rsidP="00E55CCA">
      <w:pPr>
        <w:pStyle w:val="Heading8"/>
        <w:rPr>
          <w:szCs w:val="22"/>
        </w:rPr>
      </w:pPr>
      <w:r w:rsidRPr="009C5EFD">
        <w:rPr>
          <w:szCs w:val="22"/>
        </w:rPr>
        <w:t>Nevrologiske hendelser</w:t>
      </w:r>
    </w:p>
    <w:p w14:paraId="327BB2A6" w14:textId="77777777" w:rsidR="001E500F" w:rsidRPr="009C5EFD" w:rsidRDefault="001E500F" w:rsidP="00E55CCA">
      <w:pPr>
        <w:keepNext/>
        <w:rPr>
          <w:sz w:val="22"/>
          <w:szCs w:val="22"/>
        </w:rPr>
      </w:pPr>
    </w:p>
    <w:p w14:paraId="4E8145DF" w14:textId="77777777" w:rsidR="001E500F" w:rsidRPr="009C5EFD" w:rsidRDefault="00E453CD" w:rsidP="00BE6FF2">
      <w:pPr>
        <w:keepNext/>
        <w:rPr>
          <w:sz w:val="22"/>
          <w:szCs w:val="22"/>
        </w:rPr>
      </w:pPr>
      <w:r w:rsidRPr="009C5EFD">
        <w:rPr>
          <w:sz w:val="22"/>
          <w:szCs w:val="22"/>
        </w:rPr>
        <w:t xml:space="preserve">TNF-antagonister, også Humira, er i sjeldne tilfeller satt i sammenheng med oppblussing eller forverring av kliniske symptomer og/eller radiografisk indikasjon på demyeliniserende sykdom i sentralnervesystemet, </w:t>
      </w:r>
      <w:r w:rsidRPr="009C5EFD">
        <w:rPr>
          <w:color w:val="000000"/>
          <w:sz w:val="22"/>
          <w:szCs w:val="22"/>
        </w:rPr>
        <w:t>inkludert</w:t>
      </w:r>
      <w:r w:rsidRPr="009C5EFD">
        <w:rPr>
          <w:sz w:val="22"/>
          <w:szCs w:val="22"/>
        </w:rPr>
        <w:t xml:space="preserve"> multippel sklerose og optikusneuritt, og perifer demyeliniserende sykdom, inkludert Guillain-Barré syndrom. Forskrivende lege bør utvise varsomhet når Humira vurderes til pasienter med tidligere eksisterende eller nylig oppståtte demyeliniserende sykdommer i det sentrale- eller perifere nervesystemet.</w:t>
      </w:r>
      <w:r w:rsidR="005C6A76">
        <w:rPr>
          <w:sz w:val="22"/>
          <w:szCs w:val="22"/>
        </w:rPr>
        <w:t xml:space="preserve"> Seponering av Humira bør vurderes dersom noen av disse sykdommene utvikles. Det er en kjent sammenheng mellom intermediær uveitt og demyeliniserende sykdom</w:t>
      </w:r>
      <w:r w:rsidR="009632BF">
        <w:rPr>
          <w:sz w:val="22"/>
          <w:szCs w:val="22"/>
        </w:rPr>
        <w:t xml:space="preserve"> i </w:t>
      </w:r>
      <w:r w:rsidR="00D45DE7">
        <w:rPr>
          <w:sz w:val="22"/>
          <w:szCs w:val="22"/>
        </w:rPr>
        <w:t>sentral</w:t>
      </w:r>
      <w:r w:rsidR="009632BF">
        <w:rPr>
          <w:sz w:val="22"/>
          <w:szCs w:val="22"/>
        </w:rPr>
        <w:t>nervesystemet</w:t>
      </w:r>
      <w:r w:rsidR="005C6A76">
        <w:rPr>
          <w:sz w:val="22"/>
          <w:szCs w:val="22"/>
        </w:rPr>
        <w:t>. Nevrologisk undersøkelse bør gjennomføres hos pasienter med ikke-infeksiøs intermediær uveitt før oppstart av behandling med Humira og regelmessig under behandlingen</w:t>
      </w:r>
      <w:r w:rsidR="0014274C">
        <w:rPr>
          <w:sz w:val="22"/>
          <w:szCs w:val="22"/>
        </w:rPr>
        <w:t>,</w:t>
      </w:r>
      <w:r w:rsidR="005C6A76">
        <w:rPr>
          <w:sz w:val="22"/>
          <w:szCs w:val="22"/>
        </w:rPr>
        <w:t xml:space="preserve"> for å</w:t>
      </w:r>
      <w:r w:rsidR="0014274C">
        <w:rPr>
          <w:sz w:val="22"/>
          <w:szCs w:val="22"/>
        </w:rPr>
        <w:t xml:space="preserve"> sjekke</w:t>
      </w:r>
      <w:r w:rsidR="005C6A76">
        <w:rPr>
          <w:sz w:val="22"/>
          <w:szCs w:val="22"/>
        </w:rPr>
        <w:t xml:space="preserve"> for pre-eksisterende eller utviklende </w:t>
      </w:r>
      <w:r w:rsidR="005C6A76" w:rsidRPr="005C6A76">
        <w:rPr>
          <w:sz w:val="22"/>
          <w:szCs w:val="22"/>
        </w:rPr>
        <w:t>demyeliniserende sykdom</w:t>
      </w:r>
      <w:r w:rsidR="0014274C">
        <w:rPr>
          <w:sz w:val="22"/>
          <w:szCs w:val="22"/>
        </w:rPr>
        <w:t xml:space="preserve"> i sentralnervesystemet</w:t>
      </w:r>
      <w:r w:rsidR="005C6A76">
        <w:rPr>
          <w:sz w:val="22"/>
          <w:szCs w:val="22"/>
        </w:rPr>
        <w:t>.</w:t>
      </w:r>
    </w:p>
    <w:p w14:paraId="5062655C" w14:textId="77777777" w:rsidR="001E500F" w:rsidRPr="009C5EFD" w:rsidRDefault="001E500F" w:rsidP="009C5EFD">
      <w:pPr>
        <w:rPr>
          <w:sz w:val="22"/>
          <w:szCs w:val="22"/>
        </w:rPr>
      </w:pPr>
    </w:p>
    <w:p w14:paraId="69D76318" w14:textId="77777777" w:rsidR="001E500F" w:rsidRPr="009C5EFD" w:rsidRDefault="00E453CD" w:rsidP="00776A84">
      <w:pPr>
        <w:pStyle w:val="Heading8"/>
        <w:rPr>
          <w:szCs w:val="22"/>
        </w:rPr>
      </w:pPr>
      <w:r w:rsidRPr="009C5EFD">
        <w:rPr>
          <w:szCs w:val="22"/>
        </w:rPr>
        <w:t>Allergiske reaksjoner</w:t>
      </w:r>
    </w:p>
    <w:p w14:paraId="07018669" w14:textId="77777777" w:rsidR="001E500F" w:rsidRPr="009C5EFD" w:rsidRDefault="001E500F" w:rsidP="00776A84">
      <w:pPr>
        <w:keepNext/>
        <w:rPr>
          <w:sz w:val="22"/>
          <w:szCs w:val="22"/>
        </w:rPr>
      </w:pPr>
    </w:p>
    <w:p w14:paraId="608E12D4" w14:textId="77777777" w:rsidR="001E500F" w:rsidRPr="009C5EFD" w:rsidRDefault="00E453CD" w:rsidP="009C5EFD">
      <w:pPr>
        <w:rPr>
          <w:sz w:val="22"/>
          <w:szCs w:val="22"/>
        </w:rPr>
      </w:pPr>
      <w:r w:rsidRPr="009C5EFD">
        <w:rPr>
          <w:sz w:val="22"/>
          <w:szCs w:val="22"/>
        </w:rPr>
        <w:t xml:space="preserve">Alvorlige allergiske reaksjoner forbundet med  Humira var sjelden i kliniske studier. Ikke-alvorlige allergiske reaksjoner forbundet med Humira var mindre vanlige i kliniske studier. Rapporter på alvorlige allergiske reaksjoner, inklusive anafylaksi, har blitt mottatt etter administrasjon av Humira. Hvis det oppstår anafylaktiske reaksjoner eller annen alvorlig allergisk reaksjon, må </w:t>
      </w:r>
      <w:r w:rsidR="00B8124C">
        <w:rPr>
          <w:sz w:val="22"/>
          <w:szCs w:val="22"/>
        </w:rPr>
        <w:t>administrasjon</w:t>
      </w:r>
      <w:r w:rsidR="00797AFC" w:rsidRPr="00797AFC">
        <w:rPr>
          <w:sz w:val="22"/>
          <w:szCs w:val="22"/>
        </w:rPr>
        <w:t>en</w:t>
      </w:r>
      <w:r w:rsidRPr="009C5EFD">
        <w:rPr>
          <w:sz w:val="22"/>
          <w:szCs w:val="22"/>
        </w:rPr>
        <w:t xml:space="preserve"> av Humira seponeres umiddelbart og nødvendig behandling initieres.</w:t>
      </w:r>
    </w:p>
    <w:p w14:paraId="4575410E" w14:textId="77777777" w:rsidR="001E500F" w:rsidRPr="009C5EFD" w:rsidRDefault="001E500F" w:rsidP="009C5EFD">
      <w:pPr>
        <w:pStyle w:val="Heading8"/>
        <w:keepNext w:val="0"/>
        <w:rPr>
          <w:szCs w:val="22"/>
        </w:rPr>
      </w:pPr>
    </w:p>
    <w:p w14:paraId="3E4DA175" w14:textId="77777777" w:rsidR="001E500F" w:rsidRPr="009C5EFD" w:rsidRDefault="00E453CD" w:rsidP="001D5FEB">
      <w:pPr>
        <w:pStyle w:val="Heading8"/>
        <w:rPr>
          <w:szCs w:val="22"/>
        </w:rPr>
      </w:pPr>
      <w:r w:rsidRPr="009C5EFD">
        <w:rPr>
          <w:szCs w:val="22"/>
        </w:rPr>
        <w:t>Immunsuppresjon</w:t>
      </w:r>
    </w:p>
    <w:p w14:paraId="4337EA82" w14:textId="77777777" w:rsidR="001E500F" w:rsidRPr="009C5EFD" w:rsidRDefault="001E500F" w:rsidP="001D5FEB">
      <w:pPr>
        <w:keepNext/>
        <w:rPr>
          <w:sz w:val="22"/>
          <w:szCs w:val="22"/>
        </w:rPr>
      </w:pPr>
    </w:p>
    <w:p w14:paraId="532C515F" w14:textId="77777777" w:rsidR="001E500F" w:rsidRPr="009C5EFD" w:rsidRDefault="00E453CD" w:rsidP="00776A84">
      <w:pPr>
        <w:rPr>
          <w:sz w:val="22"/>
          <w:szCs w:val="22"/>
        </w:rPr>
      </w:pPr>
      <w:r w:rsidRPr="009C5EFD">
        <w:rPr>
          <w:sz w:val="22"/>
          <w:szCs w:val="22"/>
        </w:rPr>
        <w:t>I en studie med 64</w:t>
      </w:r>
      <w:r w:rsidR="00315F16" w:rsidRPr="009C5EFD">
        <w:rPr>
          <w:sz w:val="22"/>
          <w:szCs w:val="22"/>
        </w:rPr>
        <w:t> </w:t>
      </w:r>
      <w:r w:rsidRPr="009C5EFD">
        <w:rPr>
          <w:sz w:val="22"/>
          <w:szCs w:val="22"/>
        </w:rPr>
        <w:t xml:space="preserve">pasienter med revmatoid artritt som ble behandlet med Humira, ble det ikke funnet bevis for nedsettelse av forsinket hypersensitivitet, nedsettelse av immunglobulinnivåer eller forandring av </w:t>
      </w:r>
      <w:r w:rsidR="007527E2">
        <w:rPr>
          <w:sz w:val="22"/>
          <w:szCs w:val="22"/>
        </w:rPr>
        <w:t>telte</w:t>
      </w:r>
      <w:r w:rsidRPr="009C5EFD">
        <w:rPr>
          <w:sz w:val="22"/>
          <w:szCs w:val="22"/>
        </w:rPr>
        <w:t xml:space="preserve"> effektor T-, B-, NK-celler, monocytter/makrofager og </w:t>
      </w:r>
      <w:r w:rsidRPr="009C5EFD">
        <w:rPr>
          <w:sz w:val="22"/>
        </w:rPr>
        <w:t>nøytrofile</w:t>
      </w:r>
      <w:r w:rsidRPr="009C5EFD">
        <w:rPr>
          <w:sz w:val="22"/>
          <w:szCs w:val="22"/>
        </w:rPr>
        <w:t>.</w:t>
      </w:r>
    </w:p>
    <w:p w14:paraId="663A82AD" w14:textId="77777777" w:rsidR="001E500F" w:rsidRPr="009C5EFD" w:rsidRDefault="001E500F" w:rsidP="009C5EFD">
      <w:pPr>
        <w:rPr>
          <w:sz w:val="22"/>
          <w:szCs w:val="22"/>
          <w:u w:val="single"/>
        </w:rPr>
      </w:pPr>
    </w:p>
    <w:p w14:paraId="6DB40687" w14:textId="77777777" w:rsidR="001E500F" w:rsidRPr="009C5EFD" w:rsidRDefault="00E453CD" w:rsidP="00776A84">
      <w:pPr>
        <w:keepNext/>
        <w:rPr>
          <w:sz w:val="22"/>
          <w:szCs w:val="22"/>
          <w:u w:val="single"/>
        </w:rPr>
      </w:pPr>
      <w:r w:rsidRPr="009C5EFD">
        <w:rPr>
          <w:sz w:val="22"/>
          <w:szCs w:val="22"/>
          <w:u w:val="single"/>
        </w:rPr>
        <w:t>Maligniteter og lymfoproliferative sykdommer</w:t>
      </w:r>
    </w:p>
    <w:p w14:paraId="2E6B6786" w14:textId="77777777" w:rsidR="001E500F" w:rsidRPr="009C5EFD" w:rsidRDefault="001E500F" w:rsidP="00776A84">
      <w:pPr>
        <w:keepNext/>
        <w:rPr>
          <w:sz w:val="22"/>
          <w:szCs w:val="22"/>
        </w:rPr>
      </w:pPr>
    </w:p>
    <w:p w14:paraId="696F4A88" w14:textId="77777777" w:rsidR="001E500F" w:rsidRPr="009C5EFD" w:rsidRDefault="00E453CD" w:rsidP="009C5EFD">
      <w:pPr>
        <w:rPr>
          <w:sz w:val="22"/>
          <w:szCs w:val="22"/>
        </w:rPr>
      </w:pPr>
      <w:r w:rsidRPr="009C5EFD">
        <w:rPr>
          <w:sz w:val="22"/>
          <w:szCs w:val="22"/>
        </w:rPr>
        <w:t xml:space="preserve">I kontrollerte kliniske studier med TNF-antagonister ble det observert flere tilfeller med maligniteter inkludert lymfom hos pasienter behandlet med TNF-antagonister sammenlignet med pasienter i kontrollgruppen. Forekomsten var likevel lav. Etter markedsføring er tilfeller med leukemi hos pasienter som ble behandlet med en TNF-antagonist, rapportert. Pasienter med revmatoid artritt med langvarig, svært aktiv, inflammatorisk sykdom har økt risiko for lymfomer og leukemi. Dette kompliserer estimering av risiko. Med nåværende kunnskap kan det ikke utelukkes at pasienter som behandles med TNF-antagonister har en mulig risiko for utvikling av lymfomer, leukemi og andre maligniteter. </w:t>
      </w:r>
    </w:p>
    <w:p w14:paraId="6D8B2EDA" w14:textId="77777777" w:rsidR="001E500F" w:rsidRPr="009C5EFD" w:rsidRDefault="001E500F" w:rsidP="009C5EFD">
      <w:pPr>
        <w:rPr>
          <w:sz w:val="22"/>
          <w:szCs w:val="22"/>
        </w:rPr>
      </w:pPr>
    </w:p>
    <w:p w14:paraId="0F914D2C" w14:textId="77777777" w:rsidR="001E500F" w:rsidRPr="009C5EFD" w:rsidRDefault="00E453CD" w:rsidP="009C5EFD">
      <w:pPr>
        <w:rPr>
          <w:sz w:val="22"/>
          <w:szCs w:val="22"/>
        </w:rPr>
      </w:pPr>
      <w:r w:rsidRPr="009C5EFD">
        <w:rPr>
          <w:sz w:val="22"/>
          <w:szCs w:val="22"/>
        </w:rPr>
        <w:t>Etter markedsføring</w:t>
      </w:r>
      <w:r w:rsidR="00D244B6">
        <w:rPr>
          <w:sz w:val="22"/>
          <w:szCs w:val="22"/>
        </w:rPr>
        <w:t xml:space="preserve"> har det blitt rapportert om</w:t>
      </w:r>
      <w:r w:rsidRPr="009C5EFD">
        <w:rPr>
          <w:sz w:val="22"/>
          <w:szCs w:val="22"/>
        </w:rPr>
        <w:t xml:space="preserve"> maligniteter, noen fatale, hos barn</w:t>
      </w:r>
      <w:r w:rsidR="006B28C1">
        <w:rPr>
          <w:sz w:val="22"/>
          <w:szCs w:val="22"/>
        </w:rPr>
        <w:t>,</w:t>
      </w:r>
      <w:r w:rsidRPr="009C5EFD">
        <w:rPr>
          <w:sz w:val="22"/>
          <w:szCs w:val="22"/>
        </w:rPr>
        <w:t xml:space="preserve"> ungdom og </w:t>
      </w:r>
      <w:r w:rsidR="006B28C1">
        <w:rPr>
          <w:sz w:val="22"/>
          <w:szCs w:val="22"/>
        </w:rPr>
        <w:t>unge voksne</w:t>
      </w:r>
      <w:r w:rsidRPr="009C5EFD">
        <w:rPr>
          <w:sz w:val="22"/>
          <w:szCs w:val="22"/>
        </w:rPr>
        <w:t xml:space="preserve"> (opptil 22 år) som ble behandlet med TNF-antagonister, inkludert adalimumab (start av behandling ≤ 18 år). </w:t>
      </w:r>
      <w:r w:rsidR="006B28C1">
        <w:rPr>
          <w:sz w:val="22"/>
          <w:szCs w:val="22"/>
        </w:rPr>
        <w:t>Omtrent</w:t>
      </w:r>
      <w:r w:rsidRPr="009C5EFD">
        <w:rPr>
          <w:sz w:val="22"/>
          <w:szCs w:val="22"/>
        </w:rPr>
        <w:t xml:space="preserve"> halvparten av tilfellene var lymfomer. Andre tilfeller representerte forskjellige maligniteter og inkluderte sjeldne maligniteter som vanligvis er assosiert med immunsuppresjon. Risiko for utvikling av maligniteter hos barn og ungdom som er behandlet med TNF-antagonister, kan ikke utelukkes.</w:t>
      </w:r>
    </w:p>
    <w:p w14:paraId="544A3AB8" w14:textId="77777777" w:rsidR="001E500F" w:rsidRPr="009C5EFD" w:rsidRDefault="001E500F" w:rsidP="009C5EFD">
      <w:pPr>
        <w:rPr>
          <w:sz w:val="22"/>
          <w:szCs w:val="22"/>
        </w:rPr>
      </w:pPr>
    </w:p>
    <w:p w14:paraId="3EBB855A" w14:textId="77777777" w:rsidR="001E500F" w:rsidRPr="009C5EFD" w:rsidRDefault="00E453CD" w:rsidP="009C5EFD">
      <w:pPr>
        <w:rPr>
          <w:sz w:val="22"/>
          <w:szCs w:val="22"/>
        </w:rPr>
      </w:pPr>
      <w:r w:rsidRPr="009C5EFD">
        <w:rPr>
          <w:sz w:val="22"/>
          <w:szCs w:val="22"/>
        </w:rPr>
        <w:t xml:space="preserve">Sjeldne tilfeller av hepatosplenisk T-cellelymfom hos pasienter behandlet med adalimumab er sett etter markedsføring. Denne sjeldne typen T-cellelymfom har en meget aggressiv sykdomsprogresjon og er vanligvis fatal. Noen av tilfellene med hepatosplenisk T-cellelymfom med Humira har skjedd </w:t>
      </w:r>
      <w:r w:rsidRPr="009C5EFD">
        <w:rPr>
          <w:sz w:val="22"/>
          <w:szCs w:val="22"/>
        </w:rPr>
        <w:lastRenderedPageBreak/>
        <w:t xml:space="preserve">hos unge voksne som samtidig ble behandlet med azatioprin eller 6-merkaptopurin for inflammatorisk tarmsykdom. </w:t>
      </w:r>
      <w:r w:rsidRPr="009C5EFD">
        <w:rPr>
          <w:sz w:val="22"/>
        </w:rPr>
        <w:t xml:space="preserve">Den potensielle risikoen ved samtidig bruk av azatioprin eller 6-merkaptopurin og Humira bør vurderes nøye. </w:t>
      </w:r>
      <w:r w:rsidRPr="009C5EFD">
        <w:rPr>
          <w:sz w:val="22"/>
          <w:szCs w:val="22"/>
        </w:rPr>
        <w:t>Man kan ikke utelukke en risiko for å utvikle hepatosplenisk T-cellelymfom hos pasienter som behandles med Humira (se pkt. 4.8).</w:t>
      </w:r>
    </w:p>
    <w:p w14:paraId="3AF7A5BD" w14:textId="77777777" w:rsidR="001E500F" w:rsidRPr="009C5EFD" w:rsidRDefault="001E500F" w:rsidP="009C5EFD">
      <w:pPr>
        <w:rPr>
          <w:sz w:val="22"/>
          <w:szCs w:val="22"/>
        </w:rPr>
      </w:pPr>
    </w:p>
    <w:p w14:paraId="499E078C" w14:textId="77777777" w:rsidR="001E500F" w:rsidRPr="009C5EFD" w:rsidRDefault="00E453CD" w:rsidP="009C5EFD">
      <w:pPr>
        <w:rPr>
          <w:sz w:val="22"/>
          <w:szCs w:val="22"/>
        </w:rPr>
      </w:pPr>
      <w:r w:rsidRPr="009C5EFD">
        <w:rPr>
          <w:sz w:val="22"/>
          <w:szCs w:val="22"/>
        </w:rPr>
        <w:t>Det er ikke utført studier som inkluderer pasienter med tidligere malignitet eller hos pasienter som fortsetter med behandling av Humira etter utvikling av malignitet. Ekstra varsomhet bør derfor utvises når behandling med Humira vurderes hos disse pasientene (se pkt. 4.8).</w:t>
      </w:r>
    </w:p>
    <w:p w14:paraId="4E944F10" w14:textId="77777777" w:rsidR="001E500F" w:rsidRPr="009C5EFD" w:rsidRDefault="001E500F" w:rsidP="009C5EFD">
      <w:pPr>
        <w:rPr>
          <w:sz w:val="22"/>
          <w:szCs w:val="22"/>
        </w:rPr>
      </w:pPr>
    </w:p>
    <w:p w14:paraId="2AAA0469" w14:textId="77777777" w:rsidR="001E500F" w:rsidRPr="009C5EFD" w:rsidRDefault="00E453CD" w:rsidP="009C5EFD">
      <w:pPr>
        <w:pStyle w:val="EMEAFigureTitle"/>
        <w:tabs>
          <w:tab w:val="clear" w:pos="562"/>
          <w:tab w:val="left" w:pos="708"/>
        </w:tabs>
        <w:suppressAutoHyphens w:val="0"/>
        <w:rPr>
          <w:lang w:val="nb-NO"/>
        </w:rPr>
      </w:pPr>
      <w:r w:rsidRPr="009C5EFD">
        <w:rPr>
          <w:lang w:val="nb-NO"/>
        </w:rPr>
        <w:t xml:space="preserve">Alle pasienter, særlig de med en tidligere omfattende </w:t>
      </w:r>
      <w:r w:rsidR="007527E2">
        <w:rPr>
          <w:lang w:val="nb-NO"/>
        </w:rPr>
        <w:t>immunsuppressiv behandling</w:t>
      </w:r>
      <w:r w:rsidRPr="009C5EFD">
        <w:rPr>
          <w:lang w:val="nb-NO"/>
        </w:rPr>
        <w:t xml:space="preserve"> eller psoriasispasienter med en tidligere PUVA-behandling bør undersøkes for </w:t>
      </w:r>
      <w:r w:rsidR="00A50B35">
        <w:rPr>
          <w:lang w:val="nb-NO"/>
        </w:rPr>
        <w:t>tilstedeværelse</w:t>
      </w:r>
      <w:r w:rsidRPr="009C5EFD">
        <w:rPr>
          <w:lang w:val="nb-NO"/>
        </w:rPr>
        <w:t xml:space="preserve"> av ikke-melanom hudkreft før og under behandling med Humira. Melanom og merkelcellekarsinom har også blitt rapportert hos pasienter behandlet med TNF-antagonister, inkludert adalimumab (se pkt. 4.8).</w:t>
      </w:r>
    </w:p>
    <w:p w14:paraId="577803B0" w14:textId="77777777" w:rsidR="001E500F" w:rsidRPr="009C5EFD" w:rsidRDefault="001E500F" w:rsidP="009C5EFD">
      <w:pPr>
        <w:rPr>
          <w:sz w:val="22"/>
          <w:szCs w:val="22"/>
        </w:rPr>
      </w:pPr>
    </w:p>
    <w:p w14:paraId="32326515" w14:textId="77777777" w:rsidR="001E500F" w:rsidRPr="009C5EFD" w:rsidRDefault="00E453CD" w:rsidP="009C5EFD">
      <w:pPr>
        <w:rPr>
          <w:sz w:val="22"/>
          <w:szCs w:val="22"/>
        </w:rPr>
      </w:pPr>
      <w:r w:rsidRPr="009C5EFD">
        <w:rPr>
          <w:sz w:val="22"/>
          <w:szCs w:val="22"/>
        </w:rPr>
        <w:t xml:space="preserve">I en klinisk studie som undersøkte bruken av en annen TNF-antagonist, </w:t>
      </w:r>
      <w:r w:rsidR="007527E2">
        <w:rPr>
          <w:sz w:val="22"/>
          <w:szCs w:val="22"/>
        </w:rPr>
        <w:t>infliksimab</w:t>
      </w:r>
      <w:r w:rsidRPr="009C5EFD">
        <w:rPr>
          <w:sz w:val="22"/>
          <w:szCs w:val="22"/>
        </w:rPr>
        <w:t xml:space="preserve">, hos pasienter med moderat til alvorlig kronisk obstruktiv lungesykdom (KOLS), ble flere maligniteter, mest i lungene eller hode og nakke, rapportert hos pasienter som fikk infliksimab sammenlignet med kontrollgruppen. Alle pasientene var tidligere storrøykere. Derfor skal forsiktighet utvises når en TNF-antagonist brukes hos KOLS-pasienter, </w:t>
      </w:r>
      <w:r w:rsidR="00947491">
        <w:rPr>
          <w:sz w:val="22"/>
          <w:szCs w:val="22"/>
        </w:rPr>
        <w:t>og</w:t>
      </w:r>
      <w:r w:rsidRPr="009C5EFD">
        <w:rPr>
          <w:sz w:val="22"/>
          <w:szCs w:val="22"/>
        </w:rPr>
        <w:t xml:space="preserve"> hos pasienter som pga. storrøyking har økt risiko for malignitet.   </w:t>
      </w:r>
    </w:p>
    <w:p w14:paraId="525CB0EB" w14:textId="77777777" w:rsidR="001E500F" w:rsidRPr="009C5EFD" w:rsidRDefault="001E500F" w:rsidP="009C5EFD">
      <w:pPr>
        <w:rPr>
          <w:sz w:val="22"/>
          <w:szCs w:val="22"/>
        </w:rPr>
      </w:pPr>
    </w:p>
    <w:p w14:paraId="48FBFC7D" w14:textId="77777777" w:rsidR="001E500F" w:rsidRPr="009C5EFD" w:rsidRDefault="00E453CD" w:rsidP="009C5EFD">
      <w:pPr>
        <w:rPr>
          <w:sz w:val="22"/>
          <w:szCs w:val="22"/>
        </w:rPr>
      </w:pPr>
      <w:r>
        <w:rPr>
          <w:rStyle w:val="hps"/>
          <w:sz w:val="22"/>
          <w:szCs w:val="22"/>
        </w:rPr>
        <w:t>Basert på</w:t>
      </w:r>
      <w:r w:rsidRPr="009C5EFD">
        <w:rPr>
          <w:sz w:val="22"/>
          <w:szCs w:val="22"/>
        </w:rPr>
        <w:t xml:space="preserve"> </w:t>
      </w:r>
      <w:r w:rsidRPr="009C5EFD">
        <w:rPr>
          <w:rStyle w:val="hps"/>
          <w:sz w:val="22"/>
          <w:szCs w:val="22"/>
        </w:rPr>
        <w:t>nåværende</w:t>
      </w:r>
      <w:r w:rsidRPr="009C5EFD">
        <w:rPr>
          <w:sz w:val="22"/>
          <w:szCs w:val="22"/>
        </w:rPr>
        <w:t xml:space="preserve"> </w:t>
      </w:r>
      <w:r w:rsidRPr="009C5EFD">
        <w:rPr>
          <w:rStyle w:val="hps"/>
          <w:sz w:val="22"/>
          <w:szCs w:val="22"/>
        </w:rPr>
        <w:t>data</w:t>
      </w:r>
      <w:r w:rsidRPr="009C5EFD">
        <w:rPr>
          <w:sz w:val="22"/>
          <w:szCs w:val="22"/>
        </w:rPr>
        <w:t xml:space="preserve"> </w:t>
      </w:r>
      <w:r w:rsidRPr="009C5EFD">
        <w:rPr>
          <w:rStyle w:val="hps"/>
          <w:sz w:val="22"/>
          <w:szCs w:val="22"/>
        </w:rPr>
        <w:t>er det ikke</w:t>
      </w:r>
      <w:r w:rsidRPr="009C5EFD">
        <w:rPr>
          <w:sz w:val="22"/>
          <w:szCs w:val="22"/>
        </w:rPr>
        <w:t xml:space="preserve"> </w:t>
      </w:r>
      <w:r w:rsidRPr="009C5EFD">
        <w:rPr>
          <w:rStyle w:val="hps"/>
          <w:sz w:val="22"/>
          <w:szCs w:val="22"/>
        </w:rPr>
        <w:t>kjent om</w:t>
      </w:r>
      <w:r w:rsidRPr="009C5EFD">
        <w:rPr>
          <w:sz w:val="22"/>
          <w:szCs w:val="22"/>
        </w:rPr>
        <w:t xml:space="preserve"> </w:t>
      </w:r>
      <w:r w:rsidRPr="009C5EFD">
        <w:rPr>
          <w:rStyle w:val="hps"/>
          <w:sz w:val="22"/>
          <w:szCs w:val="22"/>
        </w:rPr>
        <w:t>adalimumabbehandling</w:t>
      </w:r>
      <w:r w:rsidRPr="009C5EFD">
        <w:rPr>
          <w:sz w:val="22"/>
          <w:szCs w:val="22"/>
        </w:rPr>
        <w:t xml:space="preserve"> </w:t>
      </w:r>
      <w:r w:rsidRPr="009C5EFD">
        <w:rPr>
          <w:rStyle w:val="hps"/>
          <w:sz w:val="22"/>
          <w:szCs w:val="22"/>
        </w:rPr>
        <w:t>påvirker</w:t>
      </w:r>
      <w:r w:rsidRPr="009C5EFD">
        <w:rPr>
          <w:sz w:val="22"/>
          <w:szCs w:val="22"/>
        </w:rPr>
        <w:t xml:space="preserve"> </w:t>
      </w:r>
      <w:r w:rsidRPr="009C5EFD">
        <w:rPr>
          <w:rStyle w:val="hps"/>
          <w:sz w:val="22"/>
          <w:szCs w:val="22"/>
        </w:rPr>
        <w:t>risikoen</w:t>
      </w:r>
      <w:r w:rsidRPr="009C5EFD">
        <w:rPr>
          <w:sz w:val="22"/>
          <w:szCs w:val="22"/>
        </w:rPr>
        <w:t xml:space="preserve"> </w:t>
      </w:r>
      <w:r w:rsidRPr="009C5EFD">
        <w:rPr>
          <w:rStyle w:val="hps"/>
          <w:sz w:val="22"/>
          <w:szCs w:val="22"/>
        </w:rPr>
        <w:t>for å utvikle</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 tykktarmskreft</w:t>
      </w:r>
      <w:r w:rsidRPr="009C5EFD">
        <w:rPr>
          <w:sz w:val="22"/>
          <w:szCs w:val="22"/>
        </w:rPr>
        <w:t xml:space="preserve">. </w:t>
      </w:r>
      <w:r w:rsidRPr="009C5EFD">
        <w:rPr>
          <w:rStyle w:val="hps"/>
          <w:sz w:val="22"/>
          <w:szCs w:val="22"/>
        </w:rPr>
        <w:t>Alle pasienter med</w:t>
      </w:r>
      <w:r w:rsidRPr="009C5EFD">
        <w:rPr>
          <w:sz w:val="22"/>
          <w:szCs w:val="22"/>
        </w:rPr>
        <w:t xml:space="preserve"> </w:t>
      </w:r>
      <w:r w:rsidRPr="009C5EFD">
        <w:rPr>
          <w:rStyle w:val="hps"/>
          <w:sz w:val="22"/>
          <w:szCs w:val="22"/>
        </w:rPr>
        <w:t>ulcerøs</w:t>
      </w:r>
      <w:r w:rsidRPr="009C5EFD">
        <w:rPr>
          <w:sz w:val="22"/>
          <w:szCs w:val="22"/>
        </w:rPr>
        <w:t xml:space="preserve"> </w:t>
      </w:r>
      <w:r w:rsidRPr="009C5EFD">
        <w:rPr>
          <w:rStyle w:val="hps"/>
          <w:sz w:val="22"/>
          <w:szCs w:val="22"/>
        </w:rPr>
        <w:t>kolitt</w:t>
      </w:r>
      <w:r w:rsidRPr="009C5EFD">
        <w:rPr>
          <w:sz w:val="22"/>
          <w:szCs w:val="22"/>
        </w:rPr>
        <w:t xml:space="preserve"> </w:t>
      </w:r>
      <w:r w:rsidRPr="009C5EFD">
        <w:rPr>
          <w:rStyle w:val="hps"/>
          <w:sz w:val="22"/>
          <w:szCs w:val="22"/>
        </w:rPr>
        <w:t>som</w:t>
      </w:r>
      <w:r w:rsidRPr="009C5EFD">
        <w:rPr>
          <w:sz w:val="22"/>
          <w:szCs w:val="22"/>
        </w:rPr>
        <w:t xml:space="preserve"> </w:t>
      </w:r>
      <w:r w:rsidRPr="009C5EFD">
        <w:rPr>
          <w:rStyle w:val="hps"/>
          <w:sz w:val="22"/>
          <w:szCs w:val="22"/>
        </w:rPr>
        <w:t>har økt risiko</w:t>
      </w:r>
      <w:r w:rsidRPr="009C5EFD">
        <w:rPr>
          <w:sz w:val="22"/>
          <w:szCs w:val="22"/>
        </w:rPr>
        <w:t xml:space="preserve"> </w:t>
      </w:r>
      <w:r w:rsidRPr="009C5EFD">
        <w:rPr>
          <w:rStyle w:val="hps"/>
          <w:sz w:val="22"/>
          <w:szCs w:val="22"/>
        </w:rPr>
        <w:t>for</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w:t>
      </w:r>
      <w:r w:rsidRPr="009C5EFD">
        <w:rPr>
          <w:sz w:val="22"/>
          <w:szCs w:val="22"/>
        </w:rPr>
        <w:t xml:space="preserve"> </w:t>
      </w:r>
      <w:r w:rsidRPr="009C5EFD">
        <w:rPr>
          <w:rStyle w:val="hps"/>
          <w:sz w:val="22"/>
          <w:szCs w:val="22"/>
        </w:rPr>
        <w:t>kolonkarsinom</w:t>
      </w:r>
      <w:r w:rsidRPr="009C5EFD">
        <w:rPr>
          <w:sz w:val="22"/>
          <w:szCs w:val="22"/>
        </w:rPr>
        <w:t xml:space="preserve"> </w:t>
      </w:r>
      <w:r w:rsidRPr="009C5EFD">
        <w:rPr>
          <w:rStyle w:val="hpsatn"/>
          <w:sz w:val="22"/>
          <w:szCs w:val="22"/>
        </w:rPr>
        <w:t>(</w:t>
      </w:r>
      <w:r w:rsidRPr="009C5EFD">
        <w:rPr>
          <w:sz w:val="22"/>
          <w:szCs w:val="22"/>
        </w:rPr>
        <w:t xml:space="preserve">for </w:t>
      </w:r>
      <w:r w:rsidRPr="009C5EFD">
        <w:rPr>
          <w:rStyle w:val="hps"/>
          <w:sz w:val="22"/>
          <w:szCs w:val="22"/>
        </w:rPr>
        <w:t>eksempel</w:t>
      </w:r>
      <w:r w:rsidRPr="009C5EFD">
        <w:rPr>
          <w:sz w:val="22"/>
          <w:szCs w:val="22"/>
        </w:rPr>
        <w:t xml:space="preserve"> </w:t>
      </w:r>
      <w:r w:rsidRPr="009C5EFD">
        <w:rPr>
          <w:rStyle w:val="hps"/>
          <w:sz w:val="22"/>
          <w:szCs w:val="22"/>
        </w:rPr>
        <w:t>pasienter med</w:t>
      </w:r>
      <w:r w:rsidRPr="009C5EFD">
        <w:rPr>
          <w:sz w:val="22"/>
          <w:szCs w:val="22"/>
        </w:rPr>
        <w:t xml:space="preserve"> </w:t>
      </w:r>
      <w:r w:rsidRPr="009C5EFD">
        <w:rPr>
          <w:rStyle w:val="hps"/>
          <w:sz w:val="22"/>
          <w:szCs w:val="22"/>
        </w:rPr>
        <w:t>langvarig</w:t>
      </w:r>
      <w:r w:rsidRPr="009C5EFD">
        <w:rPr>
          <w:sz w:val="22"/>
          <w:szCs w:val="22"/>
        </w:rPr>
        <w:t xml:space="preserve"> </w:t>
      </w:r>
      <w:r w:rsidRPr="009C5EFD">
        <w:rPr>
          <w:rStyle w:val="hps"/>
          <w:sz w:val="22"/>
          <w:szCs w:val="22"/>
        </w:rPr>
        <w:t>ulcerøs</w:t>
      </w:r>
      <w:r w:rsidRPr="009C5EFD">
        <w:rPr>
          <w:sz w:val="22"/>
          <w:szCs w:val="22"/>
        </w:rPr>
        <w:t xml:space="preserve"> </w:t>
      </w:r>
      <w:r w:rsidRPr="009C5EFD">
        <w:rPr>
          <w:rStyle w:val="hps"/>
          <w:sz w:val="22"/>
          <w:szCs w:val="22"/>
        </w:rPr>
        <w:t>kolitt eller</w:t>
      </w:r>
      <w:r w:rsidRPr="009C5EFD">
        <w:rPr>
          <w:sz w:val="22"/>
          <w:szCs w:val="22"/>
        </w:rPr>
        <w:t xml:space="preserve"> </w:t>
      </w:r>
      <w:r w:rsidRPr="009C5EFD">
        <w:rPr>
          <w:rStyle w:val="hps"/>
          <w:sz w:val="22"/>
          <w:szCs w:val="22"/>
        </w:rPr>
        <w:t>primær</w:t>
      </w:r>
      <w:r w:rsidRPr="009C5EFD">
        <w:rPr>
          <w:sz w:val="22"/>
          <w:szCs w:val="22"/>
        </w:rPr>
        <w:t xml:space="preserve"> </w:t>
      </w:r>
      <w:r w:rsidRPr="009C5EFD">
        <w:rPr>
          <w:rStyle w:val="hps"/>
          <w:sz w:val="22"/>
          <w:szCs w:val="22"/>
        </w:rPr>
        <w:t>skleroserende</w:t>
      </w:r>
      <w:r w:rsidRPr="009C5EFD">
        <w:rPr>
          <w:sz w:val="22"/>
          <w:szCs w:val="22"/>
        </w:rPr>
        <w:t xml:space="preserve"> </w:t>
      </w:r>
      <w:r w:rsidRPr="009C5EFD">
        <w:rPr>
          <w:rStyle w:val="hps"/>
          <w:sz w:val="22"/>
          <w:szCs w:val="22"/>
        </w:rPr>
        <w:t>kolangitt</w:t>
      </w:r>
      <w:r w:rsidRPr="009C5EFD">
        <w:rPr>
          <w:sz w:val="22"/>
          <w:szCs w:val="22"/>
        </w:rPr>
        <w:t xml:space="preserve">), </w:t>
      </w:r>
      <w:r w:rsidRPr="009C5EFD">
        <w:rPr>
          <w:rStyle w:val="hps"/>
          <w:sz w:val="22"/>
          <w:szCs w:val="22"/>
        </w:rPr>
        <w:t>eller som har</w:t>
      </w:r>
      <w:r w:rsidRPr="009C5EFD">
        <w:rPr>
          <w:sz w:val="22"/>
          <w:szCs w:val="22"/>
        </w:rPr>
        <w:t xml:space="preserve"> </w:t>
      </w:r>
      <w:r w:rsidRPr="009C5EFD">
        <w:rPr>
          <w:rStyle w:val="hps"/>
          <w:sz w:val="22"/>
          <w:szCs w:val="22"/>
        </w:rPr>
        <w:t>en forhistorie med</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w:t>
      </w:r>
      <w:r w:rsidRPr="009C5EFD">
        <w:rPr>
          <w:sz w:val="22"/>
          <w:szCs w:val="22"/>
        </w:rPr>
        <w:t xml:space="preserve"> </w:t>
      </w:r>
      <w:r w:rsidRPr="009C5EFD">
        <w:rPr>
          <w:rStyle w:val="hps"/>
          <w:sz w:val="22"/>
          <w:szCs w:val="22"/>
        </w:rPr>
        <w:t>kolonkarsinom,</w:t>
      </w:r>
      <w:r w:rsidRPr="009C5EFD">
        <w:rPr>
          <w:sz w:val="22"/>
          <w:szCs w:val="22"/>
        </w:rPr>
        <w:t xml:space="preserve"> </w:t>
      </w:r>
      <w:r w:rsidRPr="009C5EFD">
        <w:rPr>
          <w:rStyle w:val="hps"/>
          <w:sz w:val="22"/>
          <w:szCs w:val="22"/>
        </w:rPr>
        <w:t>bør regelmessig screenes</w:t>
      </w:r>
      <w:r w:rsidRPr="009C5EFD">
        <w:rPr>
          <w:sz w:val="22"/>
          <w:szCs w:val="22"/>
        </w:rPr>
        <w:t xml:space="preserve"> </w:t>
      </w:r>
      <w:r w:rsidRPr="009C5EFD">
        <w:rPr>
          <w:rStyle w:val="hps"/>
          <w:sz w:val="22"/>
          <w:szCs w:val="22"/>
        </w:rPr>
        <w:t>for</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før</w:t>
      </w:r>
      <w:r w:rsidRPr="009C5EFD">
        <w:rPr>
          <w:sz w:val="22"/>
          <w:szCs w:val="22"/>
        </w:rPr>
        <w:t xml:space="preserve"> </w:t>
      </w:r>
      <w:r w:rsidRPr="009C5EFD">
        <w:rPr>
          <w:rStyle w:val="hps"/>
          <w:sz w:val="22"/>
          <w:szCs w:val="22"/>
        </w:rPr>
        <w:t>terapi initieres og</w:t>
      </w:r>
      <w:r w:rsidRPr="009C5EFD">
        <w:rPr>
          <w:sz w:val="22"/>
          <w:szCs w:val="22"/>
        </w:rPr>
        <w:t xml:space="preserve"> </w:t>
      </w:r>
      <w:r w:rsidRPr="009C5EFD">
        <w:rPr>
          <w:rStyle w:val="hps"/>
          <w:sz w:val="22"/>
          <w:szCs w:val="22"/>
        </w:rPr>
        <w:t>gjennom hele</w:t>
      </w:r>
      <w:r w:rsidRPr="009C5EFD">
        <w:rPr>
          <w:sz w:val="22"/>
          <w:szCs w:val="22"/>
        </w:rPr>
        <w:t xml:space="preserve"> </w:t>
      </w:r>
      <w:r w:rsidRPr="009C5EFD">
        <w:rPr>
          <w:rStyle w:val="hps"/>
          <w:sz w:val="22"/>
          <w:szCs w:val="22"/>
        </w:rPr>
        <w:t>sykdomsforløpet.</w:t>
      </w:r>
      <w:r w:rsidRPr="009C5EFD">
        <w:rPr>
          <w:sz w:val="22"/>
          <w:szCs w:val="22"/>
        </w:rPr>
        <w:t xml:space="preserve"> </w:t>
      </w:r>
      <w:r w:rsidRPr="009C5EFD">
        <w:rPr>
          <w:rStyle w:val="hps"/>
          <w:sz w:val="22"/>
          <w:szCs w:val="22"/>
        </w:rPr>
        <w:t xml:space="preserve">Denne </w:t>
      </w:r>
      <w:r w:rsidR="00BF02E7">
        <w:rPr>
          <w:rStyle w:val="hps"/>
          <w:sz w:val="22"/>
          <w:szCs w:val="22"/>
        </w:rPr>
        <w:t>vurdering</w:t>
      </w:r>
      <w:r w:rsidRPr="009C5EFD">
        <w:rPr>
          <w:rStyle w:val="hps"/>
          <w:sz w:val="22"/>
          <w:szCs w:val="22"/>
        </w:rPr>
        <w:t>en</w:t>
      </w:r>
      <w:r w:rsidRPr="009C5EFD">
        <w:rPr>
          <w:sz w:val="22"/>
          <w:szCs w:val="22"/>
        </w:rPr>
        <w:t xml:space="preserve"> </w:t>
      </w:r>
      <w:r w:rsidRPr="009C5EFD">
        <w:rPr>
          <w:rStyle w:val="hps"/>
          <w:sz w:val="22"/>
          <w:szCs w:val="22"/>
        </w:rPr>
        <w:t>skal</w:t>
      </w:r>
      <w:r w:rsidRPr="009C5EFD">
        <w:rPr>
          <w:sz w:val="22"/>
          <w:szCs w:val="22"/>
        </w:rPr>
        <w:t xml:space="preserve"> </w:t>
      </w:r>
      <w:r w:rsidRPr="009C5EFD">
        <w:rPr>
          <w:rStyle w:val="hps"/>
          <w:sz w:val="22"/>
          <w:szCs w:val="22"/>
        </w:rPr>
        <w:t>omfatte</w:t>
      </w:r>
      <w:r w:rsidRPr="009C5EFD">
        <w:rPr>
          <w:sz w:val="22"/>
          <w:szCs w:val="22"/>
        </w:rPr>
        <w:t xml:space="preserve"> </w:t>
      </w:r>
      <w:r w:rsidRPr="009C5EFD">
        <w:rPr>
          <w:rStyle w:val="hps"/>
          <w:sz w:val="22"/>
          <w:szCs w:val="22"/>
        </w:rPr>
        <w:t>koloskopi</w:t>
      </w:r>
      <w:r w:rsidRPr="009C5EFD">
        <w:rPr>
          <w:sz w:val="22"/>
          <w:szCs w:val="22"/>
        </w:rPr>
        <w:t xml:space="preserve"> </w:t>
      </w:r>
      <w:r w:rsidRPr="009C5EFD">
        <w:rPr>
          <w:rStyle w:val="hps"/>
          <w:sz w:val="22"/>
          <w:szCs w:val="22"/>
        </w:rPr>
        <w:t>og</w:t>
      </w:r>
      <w:r w:rsidRPr="009C5EFD">
        <w:rPr>
          <w:sz w:val="22"/>
          <w:szCs w:val="22"/>
        </w:rPr>
        <w:t xml:space="preserve"> </w:t>
      </w:r>
      <w:r w:rsidRPr="009C5EFD">
        <w:rPr>
          <w:rStyle w:val="hps"/>
          <w:sz w:val="22"/>
          <w:szCs w:val="22"/>
        </w:rPr>
        <w:t>biopsi</w:t>
      </w:r>
      <w:r w:rsidRPr="009C5EFD">
        <w:rPr>
          <w:sz w:val="22"/>
          <w:szCs w:val="22"/>
        </w:rPr>
        <w:t xml:space="preserve"> </w:t>
      </w:r>
      <w:r w:rsidRPr="009C5EFD">
        <w:rPr>
          <w:rStyle w:val="hps"/>
          <w:sz w:val="22"/>
          <w:szCs w:val="22"/>
        </w:rPr>
        <w:t>etter</w:t>
      </w:r>
      <w:r w:rsidRPr="009C5EFD">
        <w:rPr>
          <w:sz w:val="22"/>
          <w:szCs w:val="22"/>
        </w:rPr>
        <w:t xml:space="preserve"> </w:t>
      </w:r>
      <w:r w:rsidRPr="009C5EFD">
        <w:rPr>
          <w:rStyle w:val="hps"/>
          <w:sz w:val="22"/>
          <w:szCs w:val="22"/>
        </w:rPr>
        <w:t>lokale anbefalinger.</w:t>
      </w:r>
    </w:p>
    <w:p w14:paraId="06122E71" w14:textId="77777777" w:rsidR="001E500F" w:rsidRPr="009C5EFD" w:rsidRDefault="001E500F" w:rsidP="009C5EFD">
      <w:pPr>
        <w:rPr>
          <w:sz w:val="22"/>
          <w:szCs w:val="22"/>
        </w:rPr>
      </w:pPr>
    </w:p>
    <w:p w14:paraId="028C4F2A" w14:textId="77777777" w:rsidR="001E500F" w:rsidRPr="009C5EFD" w:rsidRDefault="00E453CD" w:rsidP="000D7A7B">
      <w:pPr>
        <w:keepNext/>
        <w:rPr>
          <w:sz w:val="22"/>
          <w:szCs w:val="22"/>
          <w:u w:val="single"/>
        </w:rPr>
      </w:pPr>
      <w:r w:rsidRPr="009C5EFD">
        <w:rPr>
          <w:sz w:val="22"/>
          <w:szCs w:val="22"/>
          <w:u w:val="single"/>
        </w:rPr>
        <w:t>Hematologiske reaksjoner</w:t>
      </w:r>
    </w:p>
    <w:p w14:paraId="5BC5B4E1" w14:textId="77777777" w:rsidR="001E500F" w:rsidRPr="009C5EFD" w:rsidRDefault="001E500F" w:rsidP="000D7A7B">
      <w:pPr>
        <w:keepNext/>
        <w:rPr>
          <w:sz w:val="22"/>
          <w:szCs w:val="22"/>
        </w:rPr>
      </w:pPr>
    </w:p>
    <w:p w14:paraId="4AB9058A" w14:textId="77777777" w:rsidR="001E500F" w:rsidRPr="009C5EFD" w:rsidRDefault="00E453CD" w:rsidP="00776A84">
      <w:pPr>
        <w:rPr>
          <w:sz w:val="22"/>
          <w:szCs w:val="22"/>
        </w:rPr>
      </w:pPr>
      <w:r w:rsidRPr="009C5EFD">
        <w:rPr>
          <w:sz w:val="22"/>
          <w:szCs w:val="22"/>
        </w:rPr>
        <w:t xml:space="preserve">Sjeldne tilfeller av pancytopeni inkludert aplastisk anemi er rapportert med TNF-antagonister. Bivirkninger i form av hematologiske reaksjoner, inkludert klinisk signifikant cytopeni (f. eks. trombocytopeni, leukopeni) er rapportert ved bruk av Humira. Alle pasienter bør rådes til øyeblikkelig å søke medisinsk hjelp hvis de utvikler tegn og symptomer på bloddyskrasier (f. eks. vedvarende feber, bloduttredelser, blødninger, blekhet) under behandling med Humira. Seponering av behandling med Humira bør vurderes hos pasienter med bekreftet signifikante hematologiske abnormaliteter. </w:t>
      </w:r>
    </w:p>
    <w:p w14:paraId="37165BE5" w14:textId="77777777" w:rsidR="001E500F" w:rsidRPr="009C5EFD" w:rsidRDefault="001E500F" w:rsidP="009C5EFD">
      <w:pPr>
        <w:pStyle w:val="Heading8"/>
        <w:keepNext w:val="0"/>
        <w:rPr>
          <w:szCs w:val="22"/>
        </w:rPr>
      </w:pPr>
    </w:p>
    <w:p w14:paraId="6FD03515" w14:textId="77777777" w:rsidR="001E500F" w:rsidRPr="009C5EFD" w:rsidRDefault="00E453CD" w:rsidP="00776A84">
      <w:pPr>
        <w:pStyle w:val="Heading8"/>
        <w:rPr>
          <w:szCs w:val="22"/>
        </w:rPr>
      </w:pPr>
      <w:r w:rsidRPr="009C5EFD">
        <w:rPr>
          <w:szCs w:val="22"/>
        </w:rPr>
        <w:t>Vaksinasjoner</w:t>
      </w:r>
    </w:p>
    <w:p w14:paraId="21915F1E" w14:textId="77777777" w:rsidR="001E500F" w:rsidRPr="009C5EFD" w:rsidRDefault="001E500F" w:rsidP="00776A84">
      <w:pPr>
        <w:keepNext/>
        <w:rPr>
          <w:sz w:val="22"/>
          <w:szCs w:val="22"/>
        </w:rPr>
      </w:pPr>
    </w:p>
    <w:p w14:paraId="60FAB85F" w14:textId="77777777" w:rsidR="001E500F" w:rsidRPr="009C5EFD" w:rsidRDefault="00E453CD" w:rsidP="009C5EFD">
      <w:pPr>
        <w:pStyle w:val="Heading8"/>
        <w:keepNext w:val="0"/>
        <w:rPr>
          <w:szCs w:val="22"/>
          <w:u w:val="none"/>
        </w:rPr>
      </w:pPr>
      <w:r w:rsidRPr="009C5EFD">
        <w:rPr>
          <w:szCs w:val="22"/>
          <w:u w:val="none"/>
        </w:rPr>
        <w:t xml:space="preserve">Like antistoffresponser på standard 23-valent pneumokokkvaksinasjon og influensatrivalent-virusvaksinasjon ble observert i en studie med 226 voksne pasienter med revmatoid artritt som ble behandlet med adalimumab eller placebo. Ingen data om sekundær overføring av infeksjon med levende vaksiner hos pasienter som får Humira er tilgjengelig. </w:t>
      </w:r>
    </w:p>
    <w:p w14:paraId="0D7FF061" w14:textId="77777777" w:rsidR="001E500F" w:rsidRPr="009C5EFD" w:rsidRDefault="001E500F" w:rsidP="009C5EFD">
      <w:pPr>
        <w:rPr>
          <w:sz w:val="22"/>
          <w:szCs w:val="22"/>
        </w:rPr>
      </w:pPr>
    </w:p>
    <w:p w14:paraId="003560E1" w14:textId="77777777" w:rsidR="001E500F" w:rsidRPr="009C5EFD" w:rsidRDefault="00E453CD" w:rsidP="009C5EFD">
      <w:pPr>
        <w:pStyle w:val="Heading8"/>
        <w:keepNext w:val="0"/>
        <w:rPr>
          <w:szCs w:val="22"/>
          <w:u w:val="none"/>
        </w:rPr>
      </w:pPr>
      <w:r w:rsidRPr="009C5EFD">
        <w:rPr>
          <w:szCs w:val="22"/>
          <w:u w:val="none"/>
        </w:rPr>
        <w:t>Det anbefales, hvis mulig, at pediatriske pasienter vaksineres i tråd med gjeldende vaksinasjonsveiledninger før behandling med Humira startes.</w:t>
      </w:r>
    </w:p>
    <w:p w14:paraId="1AD24E97" w14:textId="77777777" w:rsidR="001E500F" w:rsidRPr="009C5EFD" w:rsidRDefault="001E500F" w:rsidP="009C5EFD">
      <w:pPr>
        <w:rPr>
          <w:sz w:val="22"/>
          <w:szCs w:val="22"/>
        </w:rPr>
      </w:pPr>
    </w:p>
    <w:p w14:paraId="111DA8D6" w14:textId="77777777" w:rsidR="001E500F" w:rsidRPr="009C5EFD" w:rsidRDefault="00E453CD" w:rsidP="009C5EFD">
      <w:pPr>
        <w:pStyle w:val="Heading8"/>
        <w:keepNext w:val="0"/>
        <w:rPr>
          <w:szCs w:val="22"/>
          <w:u w:val="none"/>
        </w:rPr>
      </w:pPr>
      <w:r w:rsidRPr="009C5EFD">
        <w:rPr>
          <w:szCs w:val="22"/>
          <w:u w:val="none"/>
        </w:rPr>
        <w:t xml:space="preserve">Pasienter som behandles med Humira kan få kombinerte vaksinasjoner, med unntak av levende vaksiner. </w:t>
      </w:r>
      <w:r w:rsidRPr="009C5EFD">
        <w:rPr>
          <w:u w:val="none"/>
        </w:rPr>
        <w:t>Administrasjon av levende vaksiner</w:t>
      </w:r>
      <w:r w:rsidR="00552339">
        <w:rPr>
          <w:u w:val="none"/>
        </w:rPr>
        <w:t xml:space="preserve"> </w:t>
      </w:r>
      <w:r w:rsidR="00552339">
        <w:rPr>
          <w:szCs w:val="22"/>
          <w:u w:val="none"/>
        </w:rPr>
        <w:t>(f.eks. BCG vaksine)</w:t>
      </w:r>
      <w:r w:rsidRPr="009C5EFD">
        <w:rPr>
          <w:u w:val="none"/>
        </w:rPr>
        <w:t xml:space="preserve"> på spedbarn eksponert for adalimumab intrauterint anbefales ikke før 5</w:t>
      </w:r>
      <w:r w:rsidR="00315F16" w:rsidRPr="009C5EFD">
        <w:rPr>
          <w:u w:val="none"/>
        </w:rPr>
        <w:t> måned</w:t>
      </w:r>
      <w:r w:rsidRPr="009C5EFD">
        <w:rPr>
          <w:u w:val="none"/>
        </w:rPr>
        <w:t>er etter morens siste injeksjon med adalimumab under graviditeten.</w:t>
      </w:r>
    </w:p>
    <w:p w14:paraId="39E2E186" w14:textId="77777777" w:rsidR="001E500F" w:rsidRPr="009C5EFD" w:rsidRDefault="001E500F" w:rsidP="009C5EFD">
      <w:pPr>
        <w:pStyle w:val="Heading8"/>
        <w:keepNext w:val="0"/>
        <w:rPr>
          <w:szCs w:val="22"/>
        </w:rPr>
      </w:pPr>
    </w:p>
    <w:p w14:paraId="4FF2ABF8" w14:textId="77777777" w:rsidR="001E500F" w:rsidRPr="009C5EFD" w:rsidRDefault="00E453CD" w:rsidP="009C5EFD">
      <w:pPr>
        <w:pStyle w:val="Heading8"/>
        <w:rPr>
          <w:szCs w:val="22"/>
        </w:rPr>
      </w:pPr>
      <w:r w:rsidRPr="009C5EFD">
        <w:rPr>
          <w:szCs w:val="22"/>
        </w:rPr>
        <w:t>Kongestiv hjertesvikt</w:t>
      </w:r>
    </w:p>
    <w:p w14:paraId="2BBC1E37" w14:textId="77777777" w:rsidR="001E500F" w:rsidRPr="009C5EFD" w:rsidRDefault="001E500F" w:rsidP="009C5EFD">
      <w:pPr>
        <w:keepNext/>
        <w:rPr>
          <w:sz w:val="22"/>
          <w:szCs w:val="22"/>
        </w:rPr>
      </w:pPr>
    </w:p>
    <w:p w14:paraId="6ADFE4A4" w14:textId="77777777" w:rsidR="001E500F" w:rsidRPr="009C5EFD" w:rsidRDefault="00E453CD" w:rsidP="00776A84">
      <w:pPr>
        <w:rPr>
          <w:sz w:val="22"/>
          <w:szCs w:val="22"/>
        </w:rPr>
      </w:pPr>
      <w:r w:rsidRPr="009C5EFD">
        <w:rPr>
          <w:sz w:val="22"/>
          <w:szCs w:val="22"/>
        </w:rPr>
        <w:t xml:space="preserve">I en klinisk studie med en annen TNF-antagonist er det observert forverret kongestiv hjertesvikt og økt mortalitet på grunn av kongestiv hjertesvikt. Tilfeller med forverret kongestiv hjertesvikt er også rapportert hos pasienter som fikk Humira. Det bør utvises varsomhet ved bruk av Humira hos pasienter med lett hjertesvikt (NYHA klasse I/II). Humira er kontraindisert ved moderat eller alvorlig </w:t>
      </w:r>
      <w:r w:rsidRPr="009C5EFD">
        <w:rPr>
          <w:sz w:val="22"/>
          <w:szCs w:val="22"/>
        </w:rPr>
        <w:lastRenderedPageBreak/>
        <w:t>hjertesvikt (se pkt. 4.3). Behandling med Humira skal seponeres hos pasienter som utvikler nye eller forverrede symptomer på kongestiv hjertesvikt.</w:t>
      </w:r>
    </w:p>
    <w:p w14:paraId="2A535E6B" w14:textId="77777777" w:rsidR="001E500F" w:rsidRPr="009C5EFD" w:rsidRDefault="001E500F" w:rsidP="009C5EFD">
      <w:pPr>
        <w:pStyle w:val="Heading8"/>
        <w:keepNext w:val="0"/>
        <w:rPr>
          <w:szCs w:val="22"/>
        </w:rPr>
      </w:pPr>
    </w:p>
    <w:p w14:paraId="5B59E5A4" w14:textId="77777777" w:rsidR="001E500F" w:rsidRPr="009C5EFD" w:rsidRDefault="00E453CD" w:rsidP="00776A84">
      <w:pPr>
        <w:pStyle w:val="Heading8"/>
        <w:rPr>
          <w:szCs w:val="22"/>
        </w:rPr>
      </w:pPr>
      <w:r w:rsidRPr="009C5EFD">
        <w:rPr>
          <w:szCs w:val="22"/>
        </w:rPr>
        <w:t>Autoimmun aktivitet</w:t>
      </w:r>
    </w:p>
    <w:p w14:paraId="22CBBC51" w14:textId="77777777" w:rsidR="001E500F" w:rsidRPr="009C5EFD" w:rsidRDefault="001E500F" w:rsidP="00776A84">
      <w:pPr>
        <w:keepNext/>
        <w:rPr>
          <w:sz w:val="22"/>
          <w:szCs w:val="22"/>
        </w:rPr>
      </w:pPr>
    </w:p>
    <w:p w14:paraId="7D042CF0" w14:textId="77777777" w:rsidR="001E500F" w:rsidRPr="009C5EFD" w:rsidRDefault="00E453CD" w:rsidP="009C5EFD">
      <w:pPr>
        <w:rPr>
          <w:sz w:val="22"/>
          <w:szCs w:val="22"/>
        </w:rPr>
      </w:pPr>
      <w:r w:rsidRPr="009C5EFD">
        <w:rPr>
          <w:sz w:val="22"/>
          <w:szCs w:val="22"/>
        </w:rPr>
        <w:t>Behandling med Humira kan forårsake dannelse av autoimmune antistoffer. Effekten av langtidsbehandling med Humira med hensyn til utvikling av autoimmune sykdommer er ukjent. Dersom en pasient etter behandling med Humira utvikler symptomer på lupuslignende syndrom og er positiv for antistoffer mot dobbelkjedet DNA, skal videre behandling med Humira stoppes (se pkt. 4.8).</w:t>
      </w:r>
    </w:p>
    <w:p w14:paraId="243CF843" w14:textId="77777777" w:rsidR="001E500F" w:rsidRPr="009C5EFD" w:rsidRDefault="001E500F" w:rsidP="009C5EFD">
      <w:pPr>
        <w:rPr>
          <w:sz w:val="22"/>
          <w:szCs w:val="22"/>
          <w:u w:val="single"/>
        </w:rPr>
      </w:pPr>
    </w:p>
    <w:p w14:paraId="520CEC98" w14:textId="77777777" w:rsidR="001E500F" w:rsidRPr="009C5EFD" w:rsidRDefault="00E453CD" w:rsidP="009C5EFD">
      <w:pPr>
        <w:keepNext/>
        <w:rPr>
          <w:sz w:val="22"/>
          <w:szCs w:val="22"/>
          <w:u w:val="single"/>
        </w:rPr>
      </w:pPr>
      <w:r w:rsidRPr="009C5EFD">
        <w:rPr>
          <w:sz w:val="22"/>
          <w:szCs w:val="22"/>
          <w:u w:val="single"/>
        </w:rPr>
        <w:t xml:space="preserve">Samtidig </w:t>
      </w:r>
      <w:r w:rsidR="00462D2F">
        <w:rPr>
          <w:sz w:val="22"/>
          <w:szCs w:val="22"/>
          <w:u w:val="single"/>
        </w:rPr>
        <w:t>bruk</w:t>
      </w:r>
      <w:r w:rsidRPr="009C5EFD">
        <w:rPr>
          <w:sz w:val="22"/>
          <w:szCs w:val="22"/>
          <w:u w:val="single"/>
        </w:rPr>
        <w:t xml:space="preserve"> av biologisk</w:t>
      </w:r>
      <w:r w:rsidR="00C40CB6">
        <w:rPr>
          <w:sz w:val="22"/>
          <w:szCs w:val="22"/>
          <w:u w:val="single"/>
        </w:rPr>
        <w:t>e</w:t>
      </w:r>
      <w:r w:rsidRPr="009C5EFD">
        <w:rPr>
          <w:sz w:val="22"/>
          <w:szCs w:val="22"/>
          <w:u w:val="single"/>
        </w:rPr>
        <w:t xml:space="preserve"> DMARD</w:t>
      </w:r>
      <w:r w:rsidR="00DB7B68">
        <w:rPr>
          <w:sz w:val="22"/>
          <w:szCs w:val="22"/>
          <w:u w:val="single"/>
        </w:rPr>
        <w:t>s</w:t>
      </w:r>
      <w:r w:rsidRPr="009C5EFD">
        <w:rPr>
          <w:sz w:val="22"/>
          <w:szCs w:val="22"/>
          <w:u w:val="single"/>
        </w:rPr>
        <w:t xml:space="preserve"> eller TNF-antagonister</w:t>
      </w:r>
    </w:p>
    <w:p w14:paraId="54DD5D48" w14:textId="77777777" w:rsidR="001E500F" w:rsidRPr="009C5EFD" w:rsidRDefault="001E500F" w:rsidP="009C5EFD">
      <w:pPr>
        <w:keepNext/>
        <w:rPr>
          <w:sz w:val="22"/>
          <w:szCs w:val="22"/>
        </w:rPr>
      </w:pPr>
    </w:p>
    <w:p w14:paraId="4B5079BC" w14:textId="77777777" w:rsidR="001E500F" w:rsidRPr="009C5EFD" w:rsidRDefault="00E453CD" w:rsidP="00776A84">
      <w:pPr>
        <w:rPr>
          <w:sz w:val="22"/>
          <w:szCs w:val="22"/>
        </w:rPr>
      </w:pPr>
      <w:r w:rsidRPr="009C5EFD">
        <w:rPr>
          <w:sz w:val="22"/>
          <w:szCs w:val="22"/>
        </w:rPr>
        <w:t xml:space="preserve">Alvorlige infeksjoner ble observert i kliniske studier med samtidig bruk av anakinra og en annen TNF-antagonist, etanercept, uten å gi </w:t>
      </w:r>
      <w:r w:rsidR="00C40CB6">
        <w:rPr>
          <w:sz w:val="22"/>
          <w:szCs w:val="22"/>
        </w:rPr>
        <w:t>tillegg av klinisk effekt</w:t>
      </w:r>
      <w:r w:rsidRPr="009C5EFD">
        <w:rPr>
          <w:sz w:val="22"/>
          <w:szCs w:val="22"/>
        </w:rPr>
        <w:t xml:space="preserve"> sammenlignet med etanercept alene. På grunn av egenskapene til de bivirkningene som er sett med kombinasjonsbehandling med etanercept og anakinra, kan kombinasjonen med anakinra og andre TNF-antagonister også resultere i </w:t>
      </w:r>
      <w:r w:rsidR="00C40CB6">
        <w:rPr>
          <w:sz w:val="22"/>
          <w:szCs w:val="22"/>
        </w:rPr>
        <w:t>lignende toksisitet</w:t>
      </w:r>
      <w:r w:rsidRPr="009C5EFD">
        <w:rPr>
          <w:sz w:val="22"/>
          <w:szCs w:val="22"/>
        </w:rPr>
        <w:t xml:space="preserve">. Kombinasjonen av adalimumab og anakinra anbefales derfor ikke (se pkt. 4.5). </w:t>
      </w:r>
    </w:p>
    <w:p w14:paraId="695AEE52" w14:textId="77777777" w:rsidR="001E500F" w:rsidRPr="009C5EFD" w:rsidRDefault="001E500F" w:rsidP="009C5EFD">
      <w:pPr>
        <w:rPr>
          <w:sz w:val="22"/>
          <w:szCs w:val="22"/>
        </w:rPr>
      </w:pPr>
    </w:p>
    <w:p w14:paraId="6075B580" w14:textId="77777777" w:rsidR="001E500F" w:rsidRPr="009C5EFD" w:rsidRDefault="00E453CD" w:rsidP="009C5EFD">
      <w:pPr>
        <w:rPr>
          <w:sz w:val="22"/>
          <w:szCs w:val="22"/>
        </w:rPr>
      </w:pPr>
      <w:r w:rsidRPr="009C5EFD">
        <w:rPr>
          <w:sz w:val="22"/>
          <w:szCs w:val="22"/>
        </w:rPr>
        <w:t xml:space="preserve">Samtidig </w:t>
      </w:r>
      <w:r w:rsidR="00462D2F">
        <w:rPr>
          <w:sz w:val="22"/>
          <w:szCs w:val="22"/>
        </w:rPr>
        <w:t>bruk</w:t>
      </w:r>
      <w:r w:rsidRPr="009C5EFD">
        <w:rPr>
          <w:sz w:val="22"/>
          <w:szCs w:val="22"/>
        </w:rPr>
        <w:t xml:space="preserve"> av adalimumab med andre biologiske DMARD</w:t>
      </w:r>
      <w:r w:rsidR="00DB7B68">
        <w:rPr>
          <w:sz w:val="22"/>
          <w:szCs w:val="22"/>
        </w:rPr>
        <w:t>s</w:t>
      </w:r>
      <w:r w:rsidRPr="009C5EFD">
        <w:rPr>
          <w:sz w:val="22"/>
          <w:szCs w:val="22"/>
        </w:rPr>
        <w:t xml:space="preserve"> (f.eks. anakinra og abatacept) eller andre TNF-antagonister anbefales ikke basert på mulig økt risiko for infeksjoner, inkludert alvorlige infeksjoner og andre potensielle farmakologiske interaksjoner (se pkt. 4.5).</w:t>
      </w:r>
    </w:p>
    <w:p w14:paraId="1EC0D70E" w14:textId="77777777" w:rsidR="001E500F" w:rsidRPr="009C5EFD" w:rsidRDefault="001E500F" w:rsidP="009C5EFD">
      <w:pPr>
        <w:rPr>
          <w:sz w:val="22"/>
          <w:szCs w:val="22"/>
          <w:u w:val="single"/>
        </w:rPr>
      </w:pPr>
    </w:p>
    <w:p w14:paraId="6706E89C" w14:textId="77777777" w:rsidR="001E500F" w:rsidRPr="009C5EFD" w:rsidRDefault="00E453CD" w:rsidP="00776A84">
      <w:pPr>
        <w:keepNext/>
        <w:rPr>
          <w:sz w:val="22"/>
          <w:szCs w:val="22"/>
          <w:u w:val="single"/>
        </w:rPr>
      </w:pPr>
      <w:r w:rsidRPr="009C5EFD">
        <w:rPr>
          <w:sz w:val="22"/>
          <w:szCs w:val="22"/>
          <w:u w:val="single"/>
        </w:rPr>
        <w:t>Kirurgi</w:t>
      </w:r>
    </w:p>
    <w:p w14:paraId="0F168F2D" w14:textId="77777777" w:rsidR="001E500F" w:rsidRPr="009C5EFD" w:rsidRDefault="001E500F" w:rsidP="00776A84">
      <w:pPr>
        <w:keepNext/>
        <w:rPr>
          <w:sz w:val="22"/>
          <w:szCs w:val="22"/>
        </w:rPr>
      </w:pPr>
    </w:p>
    <w:p w14:paraId="6F7F7767" w14:textId="77777777" w:rsidR="001E500F" w:rsidRPr="009C5EFD" w:rsidRDefault="00E453CD" w:rsidP="009C5EFD">
      <w:pPr>
        <w:rPr>
          <w:sz w:val="22"/>
          <w:szCs w:val="22"/>
        </w:rPr>
      </w:pPr>
      <w:r w:rsidRPr="009C5EFD">
        <w:rPr>
          <w:sz w:val="22"/>
          <w:szCs w:val="22"/>
        </w:rPr>
        <w:t xml:space="preserve">Det er begrenset erfaring med hensyn til sikkerhet ved kirurgiske inngrep hos pasienter behandlet med Humira. Den lange halveringstiden for adalimumab bør tas med i vurderingen når det planlegges kirurgiske inngrep. En pasient som må opereres </w:t>
      </w:r>
      <w:r w:rsidRPr="009C5EFD">
        <w:rPr>
          <w:color w:val="000000"/>
          <w:sz w:val="22"/>
          <w:szCs w:val="22"/>
        </w:rPr>
        <w:t xml:space="preserve">under behandling med </w:t>
      </w:r>
      <w:r w:rsidRPr="009C5EFD">
        <w:rPr>
          <w:sz w:val="22"/>
          <w:szCs w:val="22"/>
        </w:rPr>
        <w:t>Humira skal følges nøye opp med tanke på infeksjoner, og nødvendige tiltak må iverksettes. Det er begrenset erfaring med hensyn til sikkerhet hos pasienter som får artroplastikk mens de behandles med Humira.</w:t>
      </w:r>
    </w:p>
    <w:p w14:paraId="0814A441" w14:textId="77777777" w:rsidR="001E500F" w:rsidRPr="009C5EFD" w:rsidRDefault="001E500F" w:rsidP="009C5EFD">
      <w:pPr>
        <w:rPr>
          <w:sz w:val="22"/>
          <w:szCs w:val="22"/>
          <w:u w:val="single"/>
        </w:rPr>
      </w:pPr>
    </w:p>
    <w:p w14:paraId="1AEE1294" w14:textId="77777777" w:rsidR="001E500F" w:rsidRPr="009C5EFD" w:rsidRDefault="00E453CD" w:rsidP="00776A84">
      <w:pPr>
        <w:keepNext/>
        <w:rPr>
          <w:sz w:val="22"/>
          <w:szCs w:val="22"/>
        </w:rPr>
      </w:pPr>
      <w:r w:rsidRPr="009C5EFD">
        <w:rPr>
          <w:sz w:val="22"/>
          <w:szCs w:val="22"/>
          <w:u w:val="single"/>
        </w:rPr>
        <w:t>Tynntarmobstruksjon</w:t>
      </w:r>
    </w:p>
    <w:p w14:paraId="3A4B7DC0" w14:textId="77777777" w:rsidR="001E500F" w:rsidRPr="009C5EFD" w:rsidRDefault="001E500F" w:rsidP="00776A84">
      <w:pPr>
        <w:keepNext/>
        <w:rPr>
          <w:sz w:val="22"/>
          <w:szCs w:val="22"/>
        </w:rPr>
      </w:pPr>
    </w:p>
    <w:p w14:paraId="7D23FB40" w14:textId="77777777" w:rsidR="001E500F" w:rsidRPr="009C5EFD" w:rsidRDefault="00E453CD" w:rsidP="009C5EFD">
      <w:pPr>
        <w:pStyle w:val="BodyText2"/>
        <w:autoSpaceDE/>
        <w:adjustRightInd/>
        <w:rPr>
          <w:color w:val="auto"/>
          <w:szCs w:val="22"/>
        </w:rPr>
      </w:pPr>
      <w:r w:rsidRPr="009C5EFD">
        <w:rPr>
          <w:color w:val="auto"/>
          <w:szCs w:val="22"/>
        </w:rPr>
        <w:t>Manglende respons på behandling av Crohns sykdom kan indikere forekomst av fibrotisk striktur som kan kreve kirurgisk behandling. Tilgjengelig data antyder at Humira ikke forverrer eller forårsaker strikturer.</w:t>
      </w:r>
    </w:p>
    <w:p w14:paraId="686AB18C" w14:textId="77777777" w:rsidR="001E500F" w:rsidRPr="009C5EFD" w:rsidRDefault="001E500F" w:rsidP="009C5EFD">
      <w:pPr>
        <w:rPr>
          <w:sz w:val="22"/>
          <w:szCs w:val="22"/>
        </w:rPr>
      </w:pPr>
    </w:p>
    <w:p w14:paraId="602A25E5" w14:textId="77777777" w:rsidR="001E500F" w:rsidRPr="009C5EFD" w:rsidRDefault="00E453CD" w:rsidP="009C5EFD">
      <w:pPr>
        <w:keepNext/>
        <w:rPr>
          <w:sz w:val="22"/>
          <w:szCs w:val="22"/>
        </w:rPr>
      </w:pPr>
      <w:r w:rsidRPr="009C5EFD">
        <w:rPr>
          <w:sz w:val="22"/>
          <w:szCs w:val="22"/>
          <w:u w:val="single"/>
        </w:rPr>
        <w:t>Eldre</w:t>
      </w:r>
    </w:p>
    <w:p w14:paraId="4BFC9A75" w14:textId="77777777" w:rsidR="001E500F" w:rsidRPr="009C5EFD" w:rsidRDefault="001E500F" w:rsidP="009C5EFD">
      <w:pPr>
        <w:keepNext/>
        <w:rPr>
          <w:sz w:val="22"/>
          <w:szCs w:val="22"/>
        </w:rPr>
      </w:pPr>
    </w:p>
    <w:p w14:paraId="34BE534C" w14:textId="77777777" w:rsidR="001E500F" w:rsidRPr="009C5EFD" w:rsidRDefault="00E453CD" w:rsidP="009C5EFD">
      <w:pPr>
        <w:pStyle w:val="BodyText2"/>
        <w:autoSpaceDE/>
        <w:adjustRightInd/>
        <w:rPr>
          <w:szCs w:val="22"/>
        </w:rPr>
      </w:pPr>
      <w:r w:rsidRPr="009C5EFD">
        <w:rPr>
          <w:szCs w:val="22"/>
        </w:rPr>
        <w:t>Forekomsten av alvorlige infeksjoner hos pasienter over 65</w:t>
      </w:r>
      <w:r w:rsidR="00315F16" w:rsidRPr="009C5EFD">
        <w:rPr>
          <w:szCs w:val="22"/>
        </w:rPr>
        <w:t> år</w:t>
      </w:r>
      <w:r w:rsidRPr="009C5EFD">
        <w:rPr>
          <w:szCs w:val="22"/>
        </w:rPr>
        <w:t xml:space="preserve"> (3,</w:t>
      </w:r>
      <w:r w:rsidR="00256192">
        <w:rPr>
          <w:szCs w:val="22"/>
        </w:rPr>
        <w:t>7</w:t>
      </w:r>
      <w:r w:rsidR="00256192" w:rsidRPr="009C5EFD">
        <w:rPr>
          <w:szCs w:val="22"/>
        </w:rPr>
        <w:t> </w:t>
      </w:r>
      <w:r w:rsidR="00315F16" w:rsidRPr="009C5EFD">
        <w:rPr>
          <w:szCs w:val="22"/>
        </w:rPr>
        <w:t>%</w:t>
      </w:r>
      <w:r w:rsidRPr="009C5EFD">
        <w:rPr>
          <w:szCs w:val="22"/>
        </w:rPr>
        <w:t>) som ble behandlet med Humira var høyere enn hos pasienter under 65</w:t>
      </w:r>
      <w:r w:rsidR="00315F16" w:rsidRPr="009C5EFD">
        <w:rPr>
          <w:szCs w:val="22"/>
        </w:rPr>
        <w:t> år</w:t>
      </w:r>
      <w:r w:rsidRPr="009C5EFD">
        <w:rPr>
          <w:szCs w:val="22"/>
        </w:rPr>
        <w:t xml:space="preserve"> (1,5</w:t>
      </w:r>
      <w:r w:rsidR="00315F16" w:rsidRPr="009C5EFD">
        <w:rPr>
          <w:szCs w:val="22"/>
        </w:rPr>
        <w:t> %</w:t>
      </w:r>
      <w:r w:rsidRPr="009C5EFD">
        <w:rPr>
          <w:szCs w:val="22"/>
        </w:rPr>
        <w:t>). Noen av disse hadde dødelig utgang. Man skal være særlig oppmerksom på risiko for infeksjoner når eldre pasienter behandles.</w:t>
      </w:r>
    </w:p>
    <w:p w14:paraId="048E4775" w14:textId="77777777" w:rsidR="001E500F" w:rsidRPr="009C5EFD" w:rsidRDefault="001E500F" w:rsidP="009C5EFD">
      <w:pPr>
        <w:pStyle w:val="BodyText2"/>
        <w:autoSpaceDE/>
        <w:adjustRightInd/>
        <w:rPr>
          <w:szCs w:val="22"/>
        </w:rPr>
      </w:pPr>
    </w:p>
    <w:p w14:paraId="6D367162" w14:textId="7152247E" w:rsidR="004B57B4" w:rsidRPr="00095E5A" w:rsidRDefault="00E453CD" w:rsidP="00B07EA9">
      <w:pPr>
        <w:keepNext/>
        <w:rPr>
          <w:del w:id="11574" w:author="AbbVie05no" w:date="2025-05-19T10:37:00Z"/>
          <w:sz w:val="22"/>
          <w:szCs w:val="22"/>
          <w:u w:val="single"/>
        </w:rPr>
      </w:pPr>
      <w:r w:rsidRPr="009C5EFD">
        <w:rPr>
          <w:sz w:val="22"/>
          <w:szCs w:val="22"/>
          <w:u w:val="single"/>
        </w:rPr>
        <w:t>Pediatrisk populasjon</w:t>
      </w:r>
    </w:p>
    <w:p w14:paraId="06253E7C" w14:textId="77777777" w:rsidR="001E500F" w:rsidRPr="009C5EFD" w:rsidRDefault="001E500F" w:rsidP="00B07EA9">
      <w:pPr>
        <w:keepNext/>
        <w:rPr>
          <w:sz w:val="22"/>
          <w:szCs w:val="22"/>
          <w:u w:val="single"/>
        </w:rPr>
      </w:pPr>
    </w:p>
    <w:p w14:paraId="5DDACB60" w14:textId="77777777" w:rsidR="001E500F" w:rsidRDefault="00E453CD" w:rsidP="009C5EFD">
      <w:pPr>
        <w:pStyle w:val="BodyText2"/>
        <w:autoSpaceDE/>
        <w:adjustRightInd/>
        <w:rPr>
          <w:ins w:id="11575" w:author="AbbVie05no" w:date="2025-05-19T10:36:00Z"/>
          <w:szCs w:val="22"/>
        </w:rPr>
      </w:pPr>
      <w:r w:rsidRPr="009C5EFD">
        <w:rPr>
          <w:szCs w:val="22"/>
        </w:rPr>
        <w:t>Se Vaksinasjoner over.</w:t>
      </w:r>
    </w:p>
    <w:p w14:paraId="56AF98C0" w14:textId="77777777" w:rsidR="00B42BF5" w:rsidRDefault="00B42BF5" w:rsidP="00B42BF5">
      <w:pPr>
        <w:keepNext/>
        <w:rPr>
          <w:ins w:id="11576" w:author="AbbVie05no" w:date="2025-05-19T10:36:00Z"/>
          <w:sz w:val="22"/>
          <w:szCs w:val="22"/>
          <w:u w:val="single"/>
        </w:rPr>
      </w:pPr>
    </w:p>
    <w:p w14:paraId="2983F197" w14:textId="77777777" w:rsidR="00B42BF5" w:rsidRDefault="00E453CD" w:rsidP="00B42BF5">
      <w:pPr>
        <w:keepNext/>
        <w:rPr>
          <w:ins w:id="11577" w:author="AbbVie05no" w:date="2025-05-19T10:36:00Z"/>
          <w:sz w:val="22"/>
          <w:szCs w:val="22"/>
          <w:u w:val="single"/>
        </w:rPr>
      </w:pPr>
      <w:ins w:id="11578" w:author="AbbVie05no" w:date="2025-05-19T10:36:00Z">
        <w:r>
          <w:rPr>
            <w:sz w:val="22"/>
            <w:szCs w:val="22"/>
            <w:u w:val="single"/>
          </w:rPr>
          <w:t>Hjelpestoffer med kjent effekt</w:t>
        </w:r>
      </w:ins>
    </w:p>
    <w:p w14:paraId="45D800A7" w14:textId="77777777" w:rsidR="00B42BF5" w:rsidRDefault="00B42BF5" w:rsidP="00B42BF5">
      <w:pPr>
        <w:keepNext/>
        <w:rPr>
          <w:ins w:id="11579" w:author="AbbVie05no" w:date="2025-05-19T10:36:00Z"/>
          <w:sz w:val="22"/>
          <w:szCs w:val="22"/>
          <w:u w:val="single"/>
        </w:rPr>
      </w:pPr>
    </w:p>
    <w:p w14:paraId="0A9DD57F" w14:textId="6166E303" w:rsidR="00B42BF5" w:rsidRPr="003E4F33" w:rsidRDefault="00E453CD" w:rsidP="00B42BF5">
      <w:pPr>
        <w:keepNext/>
        <w:rPr>
          <w:ins w:id="11580" w:author="AbbVie05no" w:date="2025-05-19T10:36:00Z"/>
          <w:sz w:val="22"/>
          <w:szCs w:val="22"/>
        </w:rPr>
      </w:pPr>
      <w:ins w:id="11581" w:author="AbbVie05no" w:date="2025-05-19T10:36:00Z">
        <w:r>
          <w:rPr>
            <w:sz w:val="22"/>
            <w:szCs w:val="22"/>
          </w:rPr>
          <w:t>Dette legemidlet inneholder 0,4 mg polysorbat 80 i hver 40 mg dose.</w:t>
        </w:r>
      </w:ins>
      <w:ins w:id="11582" w:author="AbbVie02no" w:date="2025-09-08T10:09:00Z">
        <w:r w:rsidR="00D575A6">
          <w:rPr>
            <w:sz w:val="22"/>
            <w:szCs w:val="22"/>
          </w:rPr>
          <w:t xml:space="preserve"> Polysorba</w:t>
        </w:r>
      </w:ins>
      <w:ins w:id="11583" w:author="AbbVie02no" w:date="2025-09-08T10:10:00Z">
        <w:r w:rsidR="00D575A6">
          <w:rPr>
            <w:sz w:val="22"/>
            <w:szCs w:val="22"/>
          </w:rPr>
          <w:t xml:space="preserve">ter kan forårsake allergiske reaksjoner. </w:t>
        </w:r>
      </w:ins>
    </w:p>
    <w:p w14:paraId="4B38DAFA" w14:textId="77777777" w:rsidR="00B42BF5" w:rsidRPr="009C5EFD" w:rsidRDefault="00B42BF5" w:rsidP="009C5EFD">
      <w:pPr>
        <w:pStyle w:val="BodyText2"/>
        <w:autoSpaceDE/>
        <w:adjustRightInd/>
        <w:rPr>
          <w:color w:val="auto"/>
          <w:szCs w:val="22"/>
        </w:rPr>
      </w:pPr>
    </w:p>
    <w:p w14:paraId="2DB901C9" w14:textId="77777777" w:rsidR="001E500F" w:rsidRPr="009C5EFD" w:rsidRDefault="001E500F" w:rsidP="009C5EFD">
      <w:pPr>
        <w:suppressAutoHyphens/>
        <w:ind w:left="567" w:hanging="567"/>
        <w:rPr>
          <w:sz w:val="22"/>
          <w:szCs w:val="22"/>
        </w:rPr>
      </w:pPr>
    </w:p>
    <w:p w14:paraId="2D8642AE" w14:textId="77777777" w:rsidR="001E500F" w:rsidRPr="009C5EFD" w:rsidRDefault="00E453CD" w:rsidP="00602A37">
      <w:pPr>
        <w:keepNext/>
        <w:suppressAutoHyphens/>
        <w:ind w:left="576" w:hanging="576"/>
        <w:rPr>
          <w:sz w:val="22"/>
          <w:szCs w:val="22"/>
        </w:rPr>
      </w:pPr>
      <w:r w:rsidRPr="009C5EFD">
        <w:rPr>
          <w:b/>
          <w:sz w:val="22"/>
          <w:szCs w:val="22"/>
        </w:rPr>
        <w:t>4.5</w:t>
      </w:r>
      <w:r w:rsidRPr="009C5EFD">
        <w:rPr>
          <w:b/>
          <w:sz w:val="22"/>
          <w:szCs w:val="22"/>
        </w:rPr>
        <w:tab/>
        <w:t>Interaksjon med andre legemidler og andre former for interaksjon</w:t>
      </w:r>
    </w:p>
    <w:p w14:paraId="12B8CBB4" w14:textId="77777777" w:rsidR="001E500F" w:rsidRPr="009C5EFD" w:rsidRDefault="001E500F" w:rsidP="009C5EFD">
      <w:pPr>
        <w:keepNext/>
        <w:rPr>
          <w:sz w:val="22"/>
          <w:szCs w:val="22"/>
        </w:rPr>
      </w:pPr>
    </w:p>
    <w:p w14:paraId="566B7E99" w14:textId="77777777" w:rsidR="001E500F" w:rsidRPr="009C5EFD" w:rsidRDefault="00E453CD" w:rsidP="00776A84">
      <w:pPr>
        <w:rPr>
          <w:sz w:val="22"/>
          <w:szCs w:val="22"/>
        </w:rPr>
      </w:pPr>
      <w:r w:rsidRPr="009C5EFD">
        <w:rPr>
          <w:sz w:val="22"/>
          <w:szCs w:val="22"/>
        </w:rPr>
        <w:t xml:space="preserve">Humira har vært undersøkt hos pasienter med revmatoid artritt, polyartikulær juvenil idiopatisk artritt og psoriasisartritt som får Humira som monoterapi og hos de som samtidig får metotreksat. </w:t>
      </w:r>
      <w:r w:rsidRPr="009C5EFD">
        <w:rPr>
          <w:sz w:val="22"/>
          <w:szCs w:val="22"/>
        </w:rPr>
        <w:lastRenderedPageBreak/>
        <w:t>Antistoffdannelsen var lavere når Humira ble gitt sammen med metotreksat sammenlignet med bruk som monoterapi. Administrasjon av Humira uten metotreksat ga økt dannelse av antistoffer, økt clearance og redusert effekt av adalimumab (se pkt. 5.1).</w:t>
      </w:r>
    </w:p>
    <w:p w14:paraId="74E494FC" w14:textId="77777777" w:rsidR="001E500F" w:rsidRPr="009C5EFD" w:rsidRDefault="001E500F" w:rsidP="009C5EFD">
      <w:pPr>
        <w:rPr>
          <w:sz w:val="22"/>
          <w:szCs w:val="22"/>
        </w:rPr>
      </w:pPr>
    </w:p>
    <w:p w14:paraId="00348CD9" w14:textId="77777777" w:rsidR="001E500F" w:rsidRPr="009C5EFD" w:rsidRDefault="00E453CD" w:rsidP="009C5EFD">
      <w:pPr>
        <w:autoSpaceDE w:val="0"/>
        <w:autoSpaceDN w:val="0"/>
        <w:adjustRightInd w:val="0"/>
        <w:rPr>
          <w:sz w:val="22"/>
          <w:szCs w:val="22"/>
        </w:rPr>
      </w:pPr>
      <w:r w:rsidRPr="009C5EFD">
        <w:rPr>
          <w:sz w:val="22"/>
          <w:szCs w:val="22"/>
        </w:rPr>
        <w:t xml:space="preserve">Kombinasjonen av Humira og anakinra er ikke anbefalt (se pkt. 4.4 </w:t>
      </w:r>
      <w:r w:rsidR="00AF26A5">
        <w:rPr>
          <w:sz w:val="22"/>
          <w:szCs w:val="22"/>
        </w:rPr>
        <w:t>«</w:t>
      </w:r>
      <w:r w:rsidRPr="009C5EFD">
        <w:rPr>
          <w:sz w:val="22"/>
          <w:szCs w:val="22"/>
        </w:rPr>
        <w:t xml:space="preserve">Samtidig </w:t>
      </w:r>
      <w:r w:rsidR="00462D2F">
        <w:rPr>
          <w:sz w:val="22"/>
          <w:szCs w:val="22"/>
        </w:rPr>
        <w:t>bruk</w:t>
      </w:r>
      <w:r w:rsidRPr="009C5EFD">
        <w:rPr>
          <w:sz w:val="22"/>
          <w:szCs w:val="22"/>
        </w:rPr>
        <w:t xml:space="preserve"> av biologisk</w:t>
      </w:r>
      <w:r w:rsidR="00C40CB6">
        <w:rPr>
          <w:sz w:val="22"/>
          <w:szCs w:val="22"/>
        </w:rPr>
        <w:t>e</w:t>
      </w:r>
      <w:r w:rsidRPr="009C5EFD">
        <w:rPr>
          <w:sz w:val="22"/>
          <w:szCs w:val="22"/>
        </w:rPr>
        <w:t xml:space="preserve"> DMARD</w:t>
      </w:r>
      <w:r w:rsidR="00DB7B68">
        <w:rPr>
          <w:sz w:val="22"/>
          <w:szCs w:val="22"/>
        </w:rPr>
        <w:t>s</w:t>
      </w:r>
      <w:r w:rsidRPr="009C5EFD">
        <w:rPr>
          <w:sz w:val="22"/>
          <w:szCs w:val="22"/>
        </w:rPr>
        <w:t xml:space="preserve"> eller TNF-antagonister</w:t>
      </w:r>
      <w:r w:rsidR="00AF26A5">
        <w:rPr>
          <w:sz w:val="22"/>
          <w:szCs w:val="22"/>
        </w:rPr>
        <w:t>»</w:t>
      </w:r>
      <w:r w:rsidRPr="009C5EFD">
        <w:rPr>
          <w:sz w:val="22"/>
          <w:szCs w:val="22"/>
        </w:rPr>
        <w:t>).</w:t>
      </w:r>
    </w:p>
    <w:p w14:paraId="7B0C19B3" w14:textId="77777777" w:rsidR="001E500F" w:rsidRPr="009C5EFD" w:rsidRDefault="001E500F" w:rsidP="009C5EFD">
      <w:pPr>
        <w:pStyle w:val="EndnoteText"/>
        <w:widowControl/>
        <w:tabs>
          <w:tab w:val="clear" w:pos="567"/>
          <w:tab w:val="left" w:pos="708"/>
        </w:tabs>
        <w:autoSpaceDE w:val="0"/>
        <w:autoSpaceDN w:val="0"/>
        <w:adjustRightInd w:val="0"/>
        <w:rPr>
          <w:szCs w:val="22"/>
          <w:lang w:val="nb-NO"/>
        </w:rPr>
      </w:pPr>
    </w:p>
    <w:p w14:paraId="1A42E310" w14:textId="77777777" w:rsidR="001E500F" w:rsidRPr="009C5EFD" w:rsidRDefault="00E453CD" w:rsidP="009C5EFD">
      <w:pPr>
        <w:rPr>
          <w:sz w:val="22"/>
          <w:szCs w:val="22"/>
        </w:rPr>
      </w:pPr>
      <w:r w:rsidRPr="009C5EFD">
        <w:rPr>
          <w:sz w:val="22"/>
          <w:szCs w:val="22"/>
        </w:rPr>
        <w:t xml:space="preserve">Kombinasjonen av Humira og abatacept er ikke anbefalt (se pkt. 4.4 </w:t>
      </w:r>
      <w:r w:rsidR="00AF26A5">
        <w:rPr>
          <w:sz w:val="22"/>
          <w:szCs w:val="22"/>
        </w:rPr>
        <w:t>«</w:t>
      </w:r>
      <w:r w:rsidRPr="009C5EFD">
        <w:rPr>
          <w:sz w:val="22"/>
          <w:szCs w:val="22"/>
        </w:rPr>
        <w:t xml:space="preserve">Samtidig </w:t>
      </w:r>
      <w:r w:rsidR="00462D2F">
        <w:rPr>
          <w:sz w:val="22"/>
          <w:szCs w:val="22"/>
        </w:rPr>
        <w:t>bruk</w:t>
      </w:r>
      <w:r w:rsidRPr="009C5EFD">
        <w:rPr>
          <w:sz w:val="22"/>
          <w:szCs w:val="22"/>
        </w:rPr>
        <w:t xml:space="preserve"> av biologisk</w:t>
      </w:r>
      <w:r w:rsidR="00C40CB6">
        <w:rPr>
          <w:sz w:val="22"/>
          <w:szCs w:val="22"/>
        </w:rPr>
        <w:t>e</w:t>
      </w:r>
      <w:r w:rsidRPr="009C5EFD">
        <w:rPr>
          <w:sz w:val="22"/>
          <w:szCs w:val="22"/>
        </w:rPr>
        <w:t xml:space="preserve"> DMARD</w:t>
      </w:r>
      <w:r w:rsidR="00DB7B68">
        <w:rPr>
          <w:sz w:val="22"/>
          <w:szCs w:val="22"/>
        </w:rPr>
        <w:t>s</w:t>
      </w:r>
      <w:r w:rsidRPr="009C5EFD">
        <w:rPr>
          <w:sz w:val="22"/>
          <w:szCs w:val="22"/>
        </w:rPr>
        <w:t xml:space="preserve"> eller TNF-antagonister</w:t>
      </w:r>
      <w:r w:rsidR="00AF26A5">
        <w:rPr>
          <w:sz w:val="22"/>
          <w:szCs w:val="22"/>
        </w:rPr>
        <w:t>»</w:t>
      </w:r>
      <w:r w:rsidRPr="009C5EFD">
        <w:rPr>
          <w:sz w:val="22"/>
          <w:szCs w:val="22"/>
        </w:rPr>
        <w:t>).</w:t>
      </w:r>
    </w:p>
    <w:p w14:paraId="130DA86B" w14:textId="77777777" w:rsidR="001E500F" w:rsidRPr="009C5EFD" w:rsidRDefault="001E500F" w:rsidP="009C5EFD">
      <w:pPr>
        <w:rPr>
          <w:sz w:val="22"/>
          <w:szCs w:val="22"/>
        </w:rPr>
      </w:pPr>
    </w:p>
    <w:p w14:paraId="0E02CEEA" w14:textId="77777777" w:rsidR="001E500F" w:rsidRPr="009C5EFD" w:rsidRDefault="00E453CD" w:rsidP="00602A37">
      <w:pPr>
        <w:keepNext/>
        <w:suppressAutoHyphens/>
        <w:ind w:left="576" w:hanging="576"/>
        <w:rPr>
          <w:sz w:val="22"/>
          <w:szCs w:val="22"/>
        </w:rPr>
      </w:pPr>
      <w:r w:rsidRPr="009C5EFD">
        <w:rPr>
          <w:b/>
          <w:sz w:val="22"/>
          <w:szCs w:val="22"/>
        </w:rPr>
        <w:t>4.6</w:t>
      </w:r>
      <w:r w:rsidRPr="009C5EFD">
        <w:rPr>
          <w:b/>
          <w:sz w:val="22"/>
          <w:szCs w:val="22"/>
        </w:rPr>
        <w:tab/>
        <w:t>Fertilitet, graviditet og amming</w:t>
      </w:r>
    </w:p>
    <w:p w14:paraId="1CC8A9C5" w14:textId="77777777" w:rsidR="001E500F" w:rsidRPr="009C5EFD" w:rsidRDefault="001E500F" w:rsidP="00D7027A">
      <w:pPr>
        <w:keepNext/>
        <w:rPr>
          <w:sz w:val="22"/>
          <w:szCs w:val="22"/>
        </w:rPr>
      </w:pPr>
    </w:p>
    <w:p w14:paraId="5925BE56" w14:textId="77777777" w:rsidR="001E500F" w:rsidRPr="009C5EFD" w:rsidRDefault="00E453CD" w:rsidP="00D7027A">
      <w:pPr>
        <w:keepNext/>
        <w:rPr>
          <w:sz w:val="22"/>
          <w:szCs w:val="22"/>
        </w:rPr>
      </w:pPr>
      <w:r w:rsidRPr="009C5EFD">
        <w:rPr>
          <w:sz w:val="22"/>
          <w:szCs w:val="22"/>
          <w:u w:val="single"/>
        </w:rPr>
        <w:t>Kvinner i fertil alder</w:t>
      </w:r>
    </w:p>
    <w:p w14:paraId="1803C5EE" w14:textId="77777777" w:rsidR="001E500F" w:rsidRPr="009C5EFD" w:rsidRDefault="001E500F" w:rsidP="00D7027A">
      <w:pPr>
        <w:keepNext/>
        <w:rPr>
          <w:sz w:val="22"/>
          <w:szCs w:val="22"/>
        </w:rPr>
      </w:pPr>
    </w:p>
    <w:p w14:paraId="63CD0962" w14:textId="77777777" w:rsidR="001E500F" w:rsidRPr="009C5EFD" w:rsidRDefault="00E453CD" w:rsidP="00776A84">
      <w:pPr>
        <w:rPr>
          <w:sz w:val="22"/>
          <w:szCs w:val="22"/>
        </w:rPr>
      </w:pPr>
      <w:r w:rsidRPr="009C5EFD">
        <w:rPr>
          <w:sz w:val="22"/>
          <w:szCs w:val="22"/>
        </w:rPr>
        <w:t xml:space="preserve">Kvinner i fertil alder </w:t>
      </w:r>
      <w:r w:rsidR="00552339">
        <w:rPr>
          <w:sz w:val="22"/>
          <w:szCs w:val="22"/>
        </w:rPr>
        <w:t>bør vurdere</w:t>
      </w:r>
      <w:r w:rsidR="00552339" w:rsidRPr="009C5EFD">
        <w:rPr>
          <w:sz w:val="22"/>
          <w:szCs w:val="22"/>
        </w:rPr>
        <w:t xml:space="preserve"> </w:t>
      </w:r>
      <w:r w:rsidRPr="009C5EFD">
        <w:rPr>
          <w:sz w:val="22"/>
          <w:szCs w:val="22"/>
        </w:rPr>
        <w:t>å benytte sikker prevensjon for å forhindre graviditet og fortsette å bruke det i minst fem måneder etter siste Humira-behandling.</w:t>
      </w:r>
    </w:p>
    <w:p w14:paraId="4BEDF135" w14:textId="77777777" w:rsidR="001E500F" w:rsidRPr="009C5EFD" w:rsidRDefault="001E500F" w:rsidP="009C5EFD">
      <w:pPr>
        <w:rPr>
          <w:sz w:val="22"/>
          <w:u w:val="single"/>
        </w:rPr>
      </w:pPr>
    </w:p>
    <w:p w14:paraId="024B5AB8" w14:textId="77777777" w:rsidR="001E500F" w:rsidRPr="009C5EFD" w:rsidRDefault="00E453CD" w:rsidP="00776A84">
      <w:pPr>
        <w:keepNext/>
        <w:rPr>
          <w:sz w:val="22"/>
          <w:u w:val="single"/>
        </w:rPr>
      </w:pPr>
      <w:r w:rsidRPr="009C5EFD">
        <w:rPr>
          <w:sz w:val="22"/>
          <w:u w:val="single"/>
        </w:rPr>
        <w:t>Graviditet</w:t>
      </w:r>
    </w:p>
    <w:p w14:paraId="1FE3FDDE" w14:textId="77777777" w:rsidR="001E500F" w:rsidRPr="009C5EFD" w:rsidRDefault="001E500F" w:rsidP="00776A84">
      <w:pPr>
        <w:keepNext/>
        <w:rPr>
          <w:sz w:val="22"/>
        </w:rPr>
      </w:pPr>
    </w:p>
    <w:p w14:paraId="088EE9E6" w14:textId="77777777" w:rsidR="00552339" w:rsidRPr="009C5EFD" w:rsidRDefault="00E453CD" w:rsidP="00552339">
      <w:pPr>
        <w:rPr>
          <w:sz w:val="22"/>
          <w:szCs w:val="22"/>
        </w:rPr>
      </w:pPr>
      <w:r>
        <w:rPr>
          <w:sz w:val="22"/>
          <w:szCs w:val="22"/>
        </w:rPr>
        <w:t>Et stort antall (omtrent 2100) av prospektivt innsamlede graviditeter eksponert for adalimumab som resulterte i levende fødsel med kjent utfall, inkludert mer enn 1500 eksponert i første trimester, indikerer ikke en økning i forekomsten av misdannelser hos nyfødte.</w:t>
      </w:r>
    </w:p>
    <w:p w14:paraId="6DAFC22B" w14:textId="77777777" w:rsidR="00552339" w:rsidRDefault="00552339" w:rsidP="00552339">
      <w:pPr>
        <w:rPr>
          <w:sz w:val="22"/>
          <w:szCs w:val="22"/>
        </w:rPr>
      </w:pPr>
    </w:p>
    <w:p w14:paraId="0AB8CC82" w14:textId="77777777" w:rsidR="00103041" w:rsidRPr="009C5EFD" w:rsidRDefault="00E453CD" w:rsidP="009C5EFD">
      <w:pPr>
        <w:rPr>
          <w:sz w:val="22"/>
          <w:szCs w:val="22"/>
        </w:rPr>
      </w:pPr>
      <w:r>
        <w:rPr>
          <w:sz w:val="22"/>
          <w:szCs w:val="22"/>
        </w:rPr>
        <w:t>I en prospektiv kohort registerstudie, ble det inkludert 257 kvinner med revmatoid artritt (RA) eller Crohns sykdom (CD) behandlet med adalimumab i minimum første trimester og 120 kvinner med RA eller CD som ikke var behandlet med adalimumab. Det primære endepunktet var prevalensen av alvorlig fødselsdefekt. Forekomsten av graviditeter med minst en levende nyfødt med alvorlig fødselsdefekt var 6/69 (8,7 %) hos kvinner med RA behandlet med adalimumab og 5/74 (6,8 %) hos ubehandlede kvinner med RA (ikke</w:t>
      </w:r>
      <w:r>
        <w:rPr>
          <w:sz w:val="22"/>
          <w:szCs w:val="22"/>
        </w:rPr>
        <w:noBreakHyphen/>
        <w:t>justert OR 1,</w:t>
      </w:r>
      <w:r w:rsidRPr="00B2265A">
        <w:rPr>
          <w:sz w:val="22"/>
          <w:szCs w:val="22"/>
        </w:rPr>
        <w:t>31, 95</w:t>
      </w:r>
      <w:r>
        <w:rPr>
          <w:sz w:val="22"/>
          <w:szCs w:val="22"/>
        </w:rPr>
        <w:t> % KI 0,38</w:t>
      </w:r>
      <w:r>
        <w:rPr>
          <w:sz w:val="22"/>
          <w:szCs w:val="22"/>
        </w:rPr>
        <w:noBreakHyphen/>
        <w:t>4,</w:t>
      </w:r>
      <w:r w:rsidRPr="00B2265A">
        <w:rPr>
          <w:sz w:val="22"/>
          <w:szCs w:val="22"/>
        </w:rPr>
        <w:t>52)</w:t>
      </w:r>
      <w:r>
        <w:rPr>
          <w:sz w:val="22"/>
          <w:szCs w:val="22"/>
        </w:rPr>
        <w:t xml:space="preserve"> og</w:t>
      </w:r>
      <w:r w:rsidRPr="00B2265A">
        <w:rPr>
          <w:sz w:val="22"/>
          <w:szCs w:val="22"/>
        </w:rPr>
        <w:t xml:space="preserve"> </w:t>
      </w:r>
      <w:r>
        <w:rPr>
          <w:sz w:val="22"/>
          <w:szCs w:val="22"/>
        </w:rPr>
        <w:t>16/152 (10,5 %) hos kvinner med CD behandlet med adalimumab og 3/32 (9,4 %) hos ubehandlede kvinner med CD (ikke</w:t>
      </w:r>
      <w:r>
        <w:rPr>
          <w:sz w:val="22"/>
          <w:szCs w:val="22"/>
        </w:rPr>
        <w:noBreakHyphen/>
        <w:t>justert OR</w:t>
      </w:r>
      <w:r w:rsidRPr="00B2265A">
        <w:rPr>
          <w:sz w:val="22"/>
          <w:szCs w:val="22"/>
        </w:rPr>
        <w:t xml:space="preserve"> 1</w:t>
      </w:r>
      <w:r>
        <w:rPr>
          <w:sz w:val="22"/>
          <w:szCs w:val="22"/>
        </w:rPr>
        <w:t>,</w:t>
      </w:r>
      <w:r w:rsidRPr="00B2265A">
        <w:rPr>
          <w:sz w:val="22"/>
          <w:szCs w:val="22"/>
        </w:rPr>
        <w:t>14, 95</w:t>
      </w:r>
      <w:r>
        <w:rPr>
          <w:sz w:val="22"/>
          <w:szCs w:val="22"/>
        </w:rPr>
        <w:t> </w:t>
      </w:r>
      <w:r w:rsidRPr="00B2265A">
        <w:rPr>
          <w:sz w:val="22"/>
          <w:szCs w:val="22"/>
        </w:rPr>
        <w:t xml:space="preserve">% </w:t>
      </w:r>
      <w:r>
        <w:rPr>
          <w:sz w:val="22"/>
          <w:szCs w:val="22"/>
        </w:rPr>
        <w:t>K</w:t>
      </w:r>
      <w:r w:rsidRPr="00B2265A">
        <w:rPr>
          <w:sz w:val="22"/>
          <w:szCs w:val="22"/>
        </w:rPr>
        <w:t>I 0</w:t>
      </w:r>
      <w:r>
        <w:rPr>
          <w:sz w:val="22"/>
          <w:szCs w:val="22"/>
        </w:rPr>
        <w:t>,</w:t>
      </w:r>
      <w:r w:rsidRPr="00B2265A">
        <w:rPr>
          <w:sz w:val="22"/>
          <w:szCs w:val="22"/>
        </w:rPr>
        <w:t>31</w:t>
      </w:r>
      <w:r>
        <w:rPr>
          <w:sz w:val="22"/>
          <w:szCs w:val="22"/>
        </w:rPr>
        <w:noBreakHyphen/>
      </w:r>
      <w:r w:rsidRPr="00B2265A">
        <w:rPr>
          <w:sz w:val="22"/>
          <w:szCs w:val="22"/>
        </w:rPr>
        <w:t>4</w:t>
      </w:r>
      <w:r>
        <w:rPr>
          <w:sz w:val="22"/>
          <w:szCs w:val="22"/>
        </w:rPr>
        <w:t>,</w:t>
      </w:r>
      <w:r w:rsidRPr="00B2265A">
        <w:rPr>
          <w:sz w:val="22"/>
          <w:szCs w:val="22"/>
        </w:rPr>
        <w:t>16).</w:t>
      </w:r>
      <w:r>
        <w:rPr>
          <w:sz w:val="22"/>
          <w:szCs w:val="22"/>
        </w:rPr>
        <w:t xml:space="preserve"> Den justerte OR (tatt hensyn til forskjeller ved baseline) var </w:t>
      </w:r>
      <w:r w:rsidRPr="00A63CE3">
        <w:rPr>
          <w:sz w:val="22"/>
          <w:szCs w:val="22"/>
        </w:rPr>
        <w:t>1</w:t>
      </w:r>
      <w:r>
        <w:rPr>
          <w:sz w:val="22"/>
          <w:szCs w:val="22"/>
        </w:rPr>
        <w:t>,</w:t>
      </w:r>
      <w:r w:rsidRPr="00A63CE3">
        <w:rPr>
          <w:sz w:val="22"/>
          <w:szCs w:val="22"/>
        </w:rPr>
        <w:t>10 (95</w:t>
      </w:r>
      <w:r>
        <w:rPr>
          <w:sz w:val="22"/>
          <w:szCs w:val="22"/>
        </w:rPr>
        <w:t> </w:t>
      </w:r>
      <w:r w:rsidRPr="00A63CE3">
        <w:rPr>
          <w:sz w:val="22"/>
          <w:szCs w:val="22"/>
        </w:rPr>
        <w:t xml:space="preserve">% </w:t>
      </w:r>
      <w:r>
        <w:rPr>
          <w:sz w:val="22"/>
          <w:szCs w:val="22"/>
        </w:rPr>
        <w:t>KI 0,45</w:t>
      </w:r>
      <w:r>
        <w:rPr>
          <w:sz w:val="22"/>
          <w:szCs w:val="22"/>
        </w:rPr>
        <w:noBreakHyphen/>
      </w:r>
      <w:r w:rsidRPr="00A63CE3">
        <w:rPr>
          <w:sz w:val="22"/>
          <w:szCs w:val="22"/>
        </w:rPr>
        <w:t>2</w:t>
      </w:r>
      <w:r>
        <w:rPr>
          <w:sz w:val="22"/>
          <w:szCs w:val="22"/>
        </w:rPr>
        <w:t>,</w:t>
      </w:r>
      <w:r w:rsidRPr="00A63CE3">
        <w:rPr>
          <w:sz w:val="22"/>
          <w:szCs w:val="22"/>
        </w:rPr>
        <w:t>73)</w:t>
      </w:r>
      <w:r>
        <w:rPr>
          <w:sz w:val="22"/>
          <w:szCs w:val="22"/>
        </w:rPr>
        <w:t xml:space="preserve"> ved kombinasjon av RA og CD. Det var ingen distinkte forskjeller mellom adalimumab-behandlede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ikke-randomisert design.</w:t>
      </w:r>
    </w:p>
    <w:p w14:paraId="6E8A4574" w14:textId="77777777" w:rsidR="001E500F" w:rsidRPr="009C5EFD" w:rsidRDefault="001E500F" w:rsidP="009C5EFD">
      <w:pPr>
        <w:rPr>
          <w:sz w:val="22"/>
          <w:szCs w:val="22"/>
        </w:rPr>
      </w:pPr>
    </w:p>
    <w:p w14:paraId="4997761D" w14:textId="77777777" w:rsidR="001E500F" w:rsidRPr="009C5EFD" w:rsidRDefault="00E453CD" w:rsidP="009C5EFD">
      <w:pPr>
        <w:rPr>
          <w:sz w:val="22"/>
          <w:szCs w:val="22"/>
        </w:rPr>
      </w:pPr>
      <w:r w:rsidRPr="009C5EFD">
        <w:rPr>
          <w:sz w:val="22"/>
          <w:szCs w:val="22"/>
        </w:rPr>
        <w:t>I en toksisitetsstudie av fosterutvikling hos aper var det ingen indikasjon på maternell toksisitet, embryotoksisitet eller teratogenisitet. Prekliniske data vedrørende postnatal toksisitet på grunn av adalimumab er ikke tilgjengelige (se pkt. 5.3).</w:t>
      </w:r>
    </w:p>
    <w:p w14:paraId="529B23DB" w14:textId="77777777" w:rsidR="001E500F" w:rsidRPr="009C5EFD" w:rsidRDefault="001E500F" w:rsidP="009C5EFD">
      <w:pPr>
        <w:rPr>
          <w:sz w:val="22"/>
          <w:szCs w:val="22"/>
        </w:rPr>
      </w:pPr>
    </w:p>
    <w:p w14:paraId="24BB62ED" w14:textId="77777777" w:rsidR="00103041" w:rsidRDefault="00E453CD" w:rsidP="009C5EFD">
      <w:pPr>
        <w:rPr>
          <w:sz w:val="22"/>
          <w:szCs w:val="22"/>
        </w:rPr>
      </w:pPr>
      <w:r w:rsidRPr="009C5EFD">
        <w:rPr>
          <w:sz w:val="22"/>
          <w:szCs w:val="22"/>
        </w:rPr>
        <w:t xml:space="preserve">På grunn av hemming av TNFα kan adalimumab som gis i løpet av graviditeten påvirke den normale immunresponsen hos nyfødte. </w:t>
      </w:r>
      <w:r w:rsidR="00A81956">
        <w:rPr>
          <w:sz w:val="22"/>
          <w:szCs w:val="22"/>
        </w:rPr>
        <w:t>Adalimumab skal kun brukes under graviditet dersom det er helt nødvendig.</w:t>
      </w:r>
    </w:p>
    <w:p w14:paraId="43CED3D2" w14:textId="77777777" w:rsidR="001E500F" w:rsidRPr="009C5EFD" w:rsidRDefault="001E500F" w:rsidP="009C5EFD">
      <w:pPr>
        <w:rPr>
          <w:sz w:val="22"/>
          <w:szCs w:val="22"/>
        </w:rPr>
      </w:pPr>
    </w:p>
    <w:p w14:paraId="70A10231" w14:textId="77777777" w:rsidR="001E500F" w:rsidRPr="009C5EFD" w:rsidRDefault="00E453CD" w:rsidP="009C5EFD">
      <w:pPr>
        <w:rPr>
          <w:sz w:val="22"/>
        </w:rPr>
      </w:pPr>
      <w:r w:rsidRPr="009C5EFD">
        <w:rPr>
          <w:sz w:val="22"/>
        </w:rPr>
        <w:t xml:space="preserve">Adalimumab kan </w:t>
      </w:r>
      <w:r w:rsidR="00CA01DF">
        <w:rPr>
          <w:sz w:val="22"/>
        </w:rPr>
        <w:t>passere</w:t>
      </w:r>
      <w:r w:rsidRPr="009C5EFD">
        <w:rPr>
          <w:sz w:val="22"/>
        </w:rPr>
        <w:t xml:space="preserve"> placenta og </w:t>
      </w:r>
      <w:r w:rsidR="00CA01DF">
        <w:rPr>
          <w:sz w:val="22"/>
        </w:rPr>
        <w:t>over</w:t>
      </w:r>
      <w:r w:rsidRPr="009C5EFD">
        <w:rPr>
          <w:sz w:val="22"/>
        </w:rPr>
        <w:t xml:space="preserve"> i serumet hos spedbarn født av kvinner behandlet med adalimumab under graviditet. Som konsekvens kan slike spedbarn ha høyere risiko for infeksjon. Administrasjon av levende vaksiner </w:t>
      </w:r>
      <w:r w:rsidR="00A81956" w:rsidRPr="004849ED">
        <w:rPr>
          <w:sz w:val="22"/>
          <w:szCs w:val="22"/>
        </w:rPr>
        <w:t>(f.eks. BCG vaksine)</w:t>
      </w:r>
      <w:r w:rsidR="00A81956">
        <w:rPr>
          <w:sz w:val="22"/>
          <w:szCs w:val="22"/>
        </w:rPr>
        <w:t xml:space="preserve"> </w:t>
      </w:r>
      <w:r w:rsidRPr="009C5EFD">
        <w:rPr>
          <w:sz w:val="22"/>
        </w:rPr>
        <w:t>på spedbarn eksponert for adalimumab intrauterint anbefales ikke før 5</w:t>
      </w:r>
      <w:r w:rsidR="00315F16" w:rsidRPr="009C5EFD">
        <w:rPr>
          <w:sz w:val="22"/>
        </w:rPr>
        <w:t> måned</w:t>
      </w:r>
      <w:r w:rsidRPr="009C5EFD">
        <w:rPr>
          <w:sz w:val="22"/>
        </w:rPr>
        <w:t>er etter morens siste injeksjon med adalimumab under graviditeten.</w:t>
      </w:r>
    </w:p>
    <w:p w14:paraId="6BDE0902" w14:textId="77777777" w:rsidR="001E500F" w:rsidRPr="009C5EFD" w:rsidRDefault="001E500F" w:rsidP="009C5EFD">
      <w:pPr>
        <w:rPr>
          <w:sz w:val="22"/>
          <w:u w:val="single"/>
        </w:rPr>
      </w:pPr>
    </w:p>
    <w:p w14:paraId="400C91A1" w14:textId="77777777" w:rsidR="001E500F" w:rsidRPr="009C5EFD" w:rsidRDefault="00E453CD" w:rsidP="00EC00E0">
      <w:pPr>
        <w:keepNext/>
        <w:rPr>
          <w:sz w:val="22"/>
          <w:u w:val="single"/>
        </w:rPr>
      </w:pPr>
      <w:r w:rsidRPr="009C5EFD">
        <w:rPr>
          <w:sz w:val="22"/>
          <w:u w:val="single"/>
        </w:rPr>
        <w:t>Amming</w:t>
      </w:r>
    </w:p>
    <w:p w14:paraId="3D3BA9BA" w14:textId="77777777" w:rsidR="001E500F" w:rsidRPr="009C5EFD" w:rsidRDefault="001E500F" w:rsidP="00EC00E0">
      <w:pPr>
        <w:keepNext/>
        <w:rPr>
          <w:sz w:val="22"/>
        </w:rPr>
      </w:pPr>
    </w:p>
    <w:p w14:paraId="34EB0F0D" w14:textId="77777777" w:rsidR="00A81956" w:rsidRPr="009C5EFD" w:rsidRDefault="00E453CD" w:rsidP="00776A84">
      <w:pPr>
        <w:rPr>
          <w:sz w:val="22"/>
          <w:szCs w:val="22"/>
        </w:rPr>
      </w:pPr>
      <w:r>
        <w:rPr>
          <w:sz w:val="22"/>
          <w:szCs w:val="22"/>
        </w:rPr>
        <w:t xml:space="preserve">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w:t>
      </w:r>
      <w:r>
        <w:rPr>
          <w:sz w:val="22"/>
          <w:szCs w:val="22"/>
        </w:rPr>
        <w:lastRenderedPageBreak/>
        <w:t>og har dårlig biotilgjengelighet. Det forventes ingen effekter på den nyfødte/spedbarn som ammes. Humira kan derfor benyttes ved amming.</w:t>
      </w:r>
    </w:p>
    <w:p w14:paraId="38AD2E54" w14:textId="77777777" w:rsidR="001E500F" w:rsidRPr="009C5EFD" w:rsidRDefault="001E500F" w:rsidP="009C5EFD">
      <w:pPr>
        <w:rPr>
          <w:sz w:val="22"/>
          <w:szCs w:val="22"/>
        </w:rPr>
      </w:pPr>
    </w:p>
    <w:p w14:paraId="66D726BA" w14:textId="77777777" w:rsidR="001E500F" w:rsidRPr="009C5EFD" w:rsidRDefault="00E453CD" w:rsidP="00776A84">
      <w:pPr>
        <w:keepNext/>
        <w:rPr>
          <w:sz w:val="22"/>
          <w:szCs w:val="22"/>
        </w:rPr>
      </w:pPr>
      <w:r w:rsidRPr="009C5EFD">
        <w:rPr>
          <w:sz w:val="22"/>
          <w:szCs w:val="22"/>
          <w:u w:val="single"/>
        </w:rPr>
        <w:t>Fertilitet</w:t>
      </w:r>
    </w:p>
    <w:p w14:paraId="66F5A215" w14:textId="77777777" w:rsidR="001E500F" w:rsidRPr="009C5EFD" w:rsidRDefault="001E500F" w:rsidP="00776A84">
      <w:pPr>
        <w:keepNext/>
        <w:rPr>
          <w:sz w:val="22"/>
          <w:szCs w:val="22"/>
        </w:rPr>
      </w:pPr>
    </w:p>
    <w:p w14:paraId="7857EAC6" w14:textId="77777777" w:rsidR="001E500F" w:rsidRPr="009C5EFD" w:rsidRDefault="00E453CD" w:rsidP="009C5EFD">
      <w:pPr>
        <w:rPr>
          <w:sz w:val="22"/>
          <w:szCs w:val="22"/>
        </w:rPr>
      </w:pPr>
      <w:r w:rsidRPr="009C5EFD">
        <w:rPr>
          <w:sz w:val="22"/>
          <w:szCs w:val="22"/>
        </w:rPr>
        <w:t>Prekliniske data vedrørende påvirkning på fertilitet av adalimumab er ikke tilgjengelig.</w:t>
      </w:r>
    </w:p>
    <w:p w14:paraId="5FD6A464" w14:textId="77777777" w:rsidR="00761BB9" w:rsidRPr="009C5EFD" w:rsidRDefault="00761BB9" w:rsidP="009C5EFD">
      <w:pPr>
        <w:rPr>
          <w:sz w:val="22"/>
          <w:szCs w:val="22"/>
        </w:rPr>
      </w:pPr>
    </w:p>
    <w:p w14:paraId="486D70E9" w14:textId="77777777" w:rsidR="001E500F" w:rsidRPr="009C5EFD" w:rsidRDefault="00E453CD" w:rsidP="00776A84">
      <w:pPr>
        <w:keepNext/>
        <w:suppressAutoHyphens/>
        <w:ind w:left="570" w:hanging="570"/>
        <w:rPr>
          <w:sz w:val="22"/>
          <w:szCs w:val="22"/>
        </w:rPr>
      </w:pPr>
      <w:r w:rsidRPr="009C5EFD">
        <w:rPr>
          <w:b/>
          <w:sz w:val="22"/>
          <w:szCs w:val="22"/>
        </w:rPr>
        <w:t>4.7</w:t>
      </w:r>
      <w:r w:rsidRPr="009C5EFD">
        <w:rPr>
          <w:b/>
          <w:sz w:val="22"/>
          <w:szCs w:val="22"/>
        </w:rPr>
        <w:tab/>
        <w:t>Påvirkning av evnen til å kjøre bil og bruke maskiner</w:t>
      </w:r>
    </w:p>
    <w:p w14:paraId="299179A8" w14:textId="77777777" w:rsidR="001E500F" w:rsidRPr="009C5EFD" w:rsidRDefault="001E500F" w:rsidP="00776A84">
      <w:pPr>
        <w:keepNext/>
        <w:rPr>
          <w:sz w:val="22"/>
          <w:szCs w:val="22"/>
        </w:rPr>
      </w:pPr>
    </w:p>
    <w:p w14:paraId="4CF4E1CB" w14:textId="77777777" w:rsidR="001E500F" w:rsidRPr="009C5EFD" w:rsidRDefault="00E453CD" w:rsidP="009C5EFD">
      <w:pPr>
        <w:rPr>
          <w:sz w:val="22"/>
          <w:szCs w:val="22"/>
        </w:rPr>
      </w:pPr>
      <w:r w:rsidRPr="009C5EFD">
        <w:rPr>
          <w:sz w:val="22"/>
          <w:szCs w:val="22"/>
        </w:rPr>
        <w:t xml:space="preserve">Humira kan ha </w:t>
      </w:r>
      <w:r w:rsidR="00FB337F">
        <w:rPr>
          <w:sz w:val="22"/>
          <w:szCs w:val="22"/>
        </w:rPr>
        <w:t>en liten</w:t>
      </w:r>
      <w:r w:rsidRPr="009C5EFD">
        <w:rPr>
          <w:sz w:val="22"/>
          <w:szCs w:val="22"/>
        </w:rPr>
        <w:t xml:space="preserve"> påvirkning på evnen til å kjøre bil og bruke maskiner. Vertigo og svekket syn kan oppstå etter </w:t>
      </w:r>
      <w:r w:rsidR="00B8124C">
        <w:rPr>
          <w:sz w:val="22"/>
          <w:szCs w:val="22"/>
        </w:rPr>
        <w:t>administrasjon</w:t>
      </w:r>
      <w:r w:rsidRPr="009C5EFD">
        <w:rPr>
          <w:sz w:val="22"/>
          <w:szCs w:val="22"/>
        </w:rPr>
        <w:t xml:space="preserve"> av Humira </w:t>
      </w:r>
      <w:r w:rsidR="004610AD" w:rsidRPr="009C5EFD">
        <w:rPr>
          <w:sz w:val="22"/>
          <w:szCs w:val="22"/>
        </w:rPr>
        <w:t>(</w:t>
      </w:r>
      <w:r w:rsidRPr="009C5EFD">
        <w:rPr>
          <w:sz w:val="22"/>
          <w:szCs w:val="22"/>
        </w:rPr>
        <w:t>se pkt. 4.8</w:t>
      </w:r>
      <w:r w:rsidR="004610AD" w:rsidRPr="009C5EFD">
        <w:rPr>
          <w:sz w:val="22"/>
          <w:szCs w:val="22"/>
        </w:rPr>
        <w:t>)</w:t>
      </w:r>
      <w:r w:rsidRPr="009C5EFD">
        <w:rPr>
          <w:sz w:val="22"/>
          <w:szCs w:val="22"/>
        </w:rPr>
        <w:t>.</w:t>
      </w:r>
    </w:p>
    <w:p w14:paraId="698718B0" w14:textId="77777777" w:rsidR="001E500F" w:rsidRPr="009C5EFD" w:rsidRDefault="001E500F" w:rsidP="009C5EFD">
      <w:pPr>
        <w:rPr>
          <w:sz w:val="22"/>
          <w:szCs w:val="22"/>
        </w:rPr>
      </w:pPr>
    </w:p>
    <w:p w14:paraId="7ECB0002" w14:textId="77777777" w:rsidR="001E500F" w:rsidRPr="009C5EFD" w:rsidRDefault="00E453CD" w:rsidP="00776A84">
      <w:pPr>
        <w:keepNext/>
        <w:suppressAutoHyphens/>
        <w:ind w:left="567" w:hanging="567"/>
        <w:rPr>
          <w:sz w:val="22"/>
          <w:szCs w:val="22"/>
        </w:rPr>
      </w:pPr>
      <w:r w:rsidRPr="009C5EFD">
        <w:rPr>
          <w:b/>
          <w:sz w:val="22"/>
          <w:szCs w:val="22"/>
        </w:rPr>
        <w:t>4.8</w:t>
      </w:r>
      <w:r w:rsidRPr="009C5EFD">
        <w:rPr>
          <w:b/>
          <w:sz w:val="22"/>
          <w:szCs w:val="22"/>
        </w:rPr>
        <w:tab/>
        <w:t>Bivirkninger</w:t>
      </w:r>
    </w:p>
    <w:p w14:paraId="4CCC5864" w14:textId="77777777" w:rsidR="001E500F" w:rsidRPr="009C5EFD" w:rsidRDefault="001E500F" w:rsidP="00776A84">
      <w:pPr>
        <w:keepNext/>
        <w:rPr>
          <w:sz w:val="22"/>
          <w:szCs w:val="22"/>
          <w:u w:val="single"/>
        </w:rPr>
      </w:pPr>
    </w:p>
    <w:p w14:paraId="5667E458" w14:textId="77777777" w:rsidR="001E500F" w:rsidRPr="009C5EFD" w:rsidRDefault="00E453CD" w:rsidP="00776A84">
      <w:pPr>
        <w:keepNext/>
        <w:rPr>
          <w:sz w:val="22"/>
          <w:szCs w:val="22"/>
          <w:u w:val="single"/>
        </w:rPr>
      </w:pPr>
      <w:r w:rsidRPr="009C5EFD">
        <w:rPr>
          <w:sz w:val="22"/>
          <w:szCs w:val="22"/>
          <w:u w:val="single"/>
        </w:rPr>
        <w:t>Oppsummering av sikkerhetsprofilen</w:t>
      </w:r>
    </w:p>
    <w:p w14:paraId="6AAFF303" w14:textId="77777777" w:rsidR="001E500F" w:rsidRPr="009C5EFD" w:rsidRDefault="001E500F" w:rsidP="00776A84">
      <w:pPr>
        <w:keepNext/>
        <w:rPr>
          <w:sz w:val="22"/>
          <w:szCs w:val="22"/>
        </w:rPr>
      </w:pPr>
    </w:p>
    <w:p w14:paraId="7B0A9B45" w14:textId="77777777" w:rsidR="001E500F" w:rsidRPr="009C5EFD" w:rsidRDefault="00E453CD" w:rsidP="009C5EFD">
      <w:pPr>
        <w:rPr>
          <w:sz w:val="22"/>
          <w:szCs w:val="22"/>
        </w:rPr>
      </w:pPr>
      <w:r w:rsidRPr="009C5EFD">
        <w:rPr>
          <w:sz w:val="22"/>
          <w:szCs w:val="22"/>
        </w:rPr>
        <w:t xml:space="preserve">Humira er undersøkt hos </w:t>
      </w:r>
      <w:r w:rsidR="0055679E">
        <w:rPr>
          <w:sz w:val="22"/>
          <w:szCs w:val="22"/>
        </w:rPr>
        <w:t>9506</w:t>
      </w:r>
      <w:r w:rsidR="0055679E" w:rsidRPr="009C5EFD">
        <w:rPr>
          <w:sz w:val="22"/>
          <w:szCs w:val="22"/>
        </w:rPr>
        <w:t> </w:t>
      </w:r>
      <w:r w:rsidR="00315F16" w:rsidRPr="009C5EFD">
        <w:rPr>
          <w:sz w:val="22"/>
          <w:szCs w:val="22"/>
        </w:rPr>
        <w:t>pasient</w:t>
      </w:r>
      <w:r w:rsidRPr="009C5EFD">
        <w:rPr>
          <w:sz w:val="22"/>
          <w:szCs w:val="22"/>
        </w:rPr>
        <w:t>er i pivotale kontrollerte og åpne studier i opptil 60</w:t>
      </w:r>
      <w:r w:rsidR="00315F16" w:rsidRPr="009C5EFD">
        <w:rPr>
          <w:sz w:val="22"/>
          <w:szCs w:val="22"/>
        </w:rPr>
        <w:t> måned</w:t>
      </w:r>
      <w:r w:rsidRPr="009C5EFD">
        <w:rPr>
          <w:sz w:val="22"/>
          <w:szCs w:val="22"/>
        </w:rPr>
        <w:t>er eller mer. Disse studiene inkluderte pasienter med nydiagnostisert og langvarig revmatoid artritt, juvenil idiopatisk artritt (polyartikulær juvenil idiopatisk artritt og entesittrelatert artritt) og pasienter med aksial spondylartritt (Bekhterevs sykdom/ankyloserende spondylitt og aksial spondylartritt uten radiografisk bekreftelse på ankyloserende spondylitt), psoriasisartritt, Crohns sykdom, ulcerøs kolitt</w:t>
      </w:r>
      <w:r w:rsidR="00EA1E13" w:rsidRPr="009C5EFD">
        <w:rPr>
          <w:sz w:val="22"/>
          <w:szCs w:val="22"/>
        </w:rPr>
        <w:t>,</w:t>
      </w:r>
      <w:r w:rsidRPr="009C5EFD">
        <w:rPr>
          <w:sz w:val="22"/>
          <w:szCs w:val="22"/>
        </w:rPr>
        <w:t xml:space="preserve"> psoriasis</w:t>
      </w:r>
      <w:r w:rsidR="0055679E">
        <w:rPr>
          <w:sz w:val="22"/>
          <w:szCs w:val="22"/>
        </w:rPr>
        <w:t>,</w:t>
      </w:r>
      <w:r w:rsidR="00EA1E13" w:rsidRPr="009C5EFD">
        <w:rPr>
          <w:sz w:val="22"/>
          <w:szCs w:val="22"/>
        </w:rPr>
        <w:t xml:space="preserve"> </w:t>
      </w:r>
      <w:r w:rsidR="007F67EE" w:rsidRPr="009C5EFD">
        <w:rPr>
          <w:sz w:val="22"/>
          <w:szCs w:val="22"/>
        </w:rPr>
        <w:t>hidrosadenitt</w:t>
      </w:r>
      <w:r w:rsidR="0055679E">
        <w:rPr>
          <w:sz w:val="22"/>
          <w:szCs w:val="22"/>
        </w:rPr>
        <w:t xml:space="preserve"> og uveitt</w:t>
      </w:r>
      <w:r w:rsidRPr="009C5EFD">
        <w:rPr>
          <w:sz w:val="22"/>
          <w:szCs w:val="22"/>
        </w:rPr>
        <w:t xml:space="preserve">. De pivotale kontrollerte studiene som inkluderer </w:t>
      </w:r>
      <w:r w:rsidR="0055679E">
        <w:rPr>
          <w:sz w:val="22"/>
          <w:szCs w:val="22"/>
        </w:rPr>
        <w:t>6089</w:t>
      </w:r>
      <w:r w:rsidR="0055679E" w:rsidRPr="009C5EFD">
        <w:rPr>
          <w:sz w:val="22"/>
          <w:szCs w:val="22"/>
        </w:rPr>
        <w:t> </w:t>
      </w:r>
      <w:r w:rsidR="00315F16" w:rsidRPr="009C5EFD">
        <w:rPr>
          <w:sz w:val="22"/>
          <w:szCs w:val="22"/>
        </w:rPr>
        <w:t>pasient</w:t>
      </w:r>
      <w:r w:rsidRPr="009C5EFD">
        <w:rPr>
          <w:sz w:val="22"/>
          <w:szCs w:val="22"/>
        </w:rPr>
        <w:t xml:space="preserve">er som ble behandlet med Humira og </w:t>
      </w:r>
      <w:r w:rsidR="0055679E">
        <w:rPr>
          <w:sz w:val="22"/>
          <w:szCs w:val="22"/>
        </w:rPr>
        <w:t>3801</w:t>
      </w:r>
      <w:r w:rsidR="0055679E" w:rsidRPr="009C5EFD">
        <w:rPr>
          <w:sz w:val="22"/>
          <w:szCs w:val="22"/>
        </w:rPr>
        <w:t> </w:t>
      </w:r>
      <w:r w:rsidR="00315F16" w:rsidRPr="009C5EFD">
        <w:rPr>
          <w:sz w:val="22"/>
          <w:szCs w:val="22"/>
        </w:rPr>
        <w:t>pasient</w:t>
      </w:r>
      <w:r w:rsidRPr="009C5EFD">
        <w:rPr>
          <w:sz w:val="22"/>
          <w:szCs w:val="22"/>
        </w:rPr>
        <w:t>er som fikk placebo eller aktiv kontroll i løpet av kontrollperioden.</w:t>
      </w:r>
    </w:p>
    <w:p w14:paraId="60F39675" w14:textId="77777777" w:rsidR="001E500F" w:rsidRPr="009C5EFD" w:rsidRDefault="001E500F" w:rsidP="009C5EFD">
      <w:pPr>
        <w:tabs>
          <w:tab w:val="left" w:pos="2415"/>
        </w:tabs>
        <w:rPr>
          <w:sz w:val="22"/>
          <w:szCs w:val="22"/>
        </w:rPr>
      </w:pPr>
    </w:p>
    <w:p w14:paraId="7BDFF206" w14:textId="77777777" w:rsidR="001E500F" w:rsidRPr="009C5EFD" w:rsidRDefault="00E453CD" w:rsidP="009C5EFD">
      <w:pPr>
        <w:rPr>
          <w:sz w:val="22"/>
        </w:rPr>
      </w:pPr>
      <w:r w:rsidRPr="009C5EFD">
        <w:rPr>
          <w:sz w:val="22"/>
          <w:szCs w:val="22"/>
        </w:rPr>
        <w:t xml:space="preserve">Andelen pasienter som fikk seponert behandlingen på grunn av bivirkninger under den dobbeltblinde, kontrollerte delen av pivotale studier, var </w:t>
      </w:r>
      <w:r w:rsidR="00843484" w:rsidRPr="009C5EFD">
        <w:rPr>
          <w:sz w:val="22"/>
          <w:szCs w:val="22"/>
        </w:rPr>
        <w:t>5,</w:t>
      </w:r>
      <w:r w:rsidR="0055679E">
        <w:rPr>
          <w:sz w:val="22"/>
          <w:szCs w:val="22"/>
        </w:rPr>
        <w:t>9</w:t>
      </w:r>
      <w:r w:rsidR="0055679E" w:rsidRPr="009C5EFD">
        <w:rPr>
          <w:sz w:val="22"/>
          <w:szCs w:val="22"/>
        </w:rPr>
        <w:t> </w:t>
      </w:r>
      <w:r w:rsidR="00315F16" w:rsidRPr="009C5EFD">
        <w:rPr>
          <w:sz w:val="22"/>
          <w:szCs w:val="22"/>
        </w:rPr>
        <w:t>%</w:t>
      </w:r>
      <w:r w:rsidRPr="009C5EFD">
        <w:rPr>
          <w:sz w:val="22"/>
          <w:szCs w:val="22"/>
        </w:rPr>
        <w:t xml:space="preserve"> for pasienter som fikk Humira og 5,</w:t>
      </w:r>
      <w:r w:rsidR="00843484" w:rsidRPr="009C5EFD">
        <w:rPr>
          <w:sz w:val="22"/>
          <w:szCs w:val="22"/>
        </w:rPr>
        <w:t>4</w:t>
      </w:r>
      <w:r w:rsidR="00315F16" w:rsidRPr="009C5EFD">
        <w:rPr>
          <w:sz w:val="22"/>
          <w:szCs w:val="22"/>
        </w:rPr>
        <w:t> %</w:t>
      </w:r>
      <w:r w:rsidRPr="009C5EFD">
        <w:rPr>
          <w:sz w:val="22"/>
          <w:szCs w:val="22"/>
        </w:rPr>
        <w:t xml:space="preserve"> for pasienter i kontrollgrupper. </w:t>
      </w:r>
    </w:p>
    <w:p w14:paraId="5954C31E" w14:textId="77777777" w:rsidR="001E500F" w:rsidRPr="009C5EFD" w:rsidRDefault="001E500F" w:rsidP="009C5EFD">
      <w:pPr>
        <w:rPr>
          <w:sz w:val="22"/>
          <w:szCs w:val="22"/>
        </w:rPr>
      </w:pPr>
    </w:p>
    <w:p w14:paraId="23CE4851" w14:textId="77777777" w:rsidR="001E500F" w:rsidRPr="009C5EFD" w:rsidRDefault="00E453CD" w:rsidP="009C5EFD">
      <w:pPr>
        <w:rPr>
          <w:sz w:val="22"/>
          <w:szCs w:val="22"/>
        </w:rPr>
      </w:pPr>
      <w:r w:rsidRPr="009C5EFD">
        <w:rPr>
          <w:sz w:val="22"/>
          <w:szCs w:val="22"/>
        </w:rPr>
        <w:t>De mest vanlig rapporterte bivirkninger er infeksjoner (som nasofaryngitt, øvre luftveisinfeksjon og sinusitt), reaksjoner på injeksjonssted (erytem, kløe, blødning, smerte</w:t>
      </w:r>
      <w:r w:rsidR="00CE78B5">
        <w:rPr>
          <w:sz w:val="22"/>
          <w:szCs w:val="22"/>
        </w:rPr>
        <w:t>r</w:t>
      </w:r>
      <w:r w:rsidRPr="009C5EFD">
        <w:rPr>
          <w:sz w:val="22"/>
          <w:szCs w:val="22"/>
        </w:rPr>
        <w:t xml:space="preserve"> eller hevelse), hodepine og smerter i skjelett og muskulatur. </w:t>
      </w:r>
    </w:p>
    <w:p w14:paraId="3BB90CEA" w14:textId="77777777" w:rsidR="001E500F" w:rsidRPr="009C5EFD" w:rsidRDefault="001E500F" w:rsidP="009C5EFD">
      <w:pPr>
        <w:rPr>
          <w:sz w:val="22"/>
          <w:szCs w:val="22"/>
        </w:rPr>
      </w:pPr>
    </w:p>
    <w:p w14:paraId="45313D68" w14:textId="77777777" w:rsidR="001E500F" w:rsidRPr="009C5EFD" w:rsidRDefault="00E453CD" w:rsidP="009C5EFD">
      <w:pPr>
        <w:rPr>
          <w:sz w:val="22"/>
          <w:szCs w:val="22"/>
        </w:rPr>
      </w:pPr>
      <w:r w:rsidRPr="009C5EFD">
        <w:rPr>
          <w:sz w:val="22"/>
          <w:szCs w:val="22"/>
        </w:rPr>
        <w:t xml:space="preserve">Alvorlige bivirkninger er rapportert for Humira. TNF-antagonister som Humira påvirker immunsystemet og bruk av dem kan påvirke kroppens forsvar mot infeksjon og kreft. </w:t>
      </w:r>
    </w:p>
    <w:p w14:paraId="0D0D94CD" w14:textId="77777777" w:rsidR="001E500F" w:rsidRPr="009C5EFD" w:rsidRDefault="00E453CD" w:rsidP="009C5EFD">
      <w:pPr>
        <w:rPr>
          <w:sz w:val="22"/>
          <w:szCs w:val="22"/>
        </w:rPr>
      </w:pPr>
      <w:r w:rsidRPr="009C5EFD">
        <w:rPr>
          <w:sz w:val="22"/>
          <w:szCs w:val="22"/>
        </w:rPr>
        <w:t xml:space="preserve">Fatale og livstruende </w:t>
      </w:r>
      <w:r w:rsidR="00257EC7">
        <w:rPr>
          <w:sz w:val="22"/>
          <w:szCs w:val="22"/>
        </w:rPr>
        <w:t>infeksjoner</w:t>
      </w:r>
      <w:r w:rsidR="00257EC7" w:rsidRPr="009C5EFD">
        <w:rPr>
          <w:sz w:val="22"/>
          <w:szCs w:val="22"/>
        </w:rPr>
        <w:t xml:space="preserve"> </w:t>
      </w:r>
      <w:r w:rsidRPr="009C5EFD">
        <w:rPr>
          <w:sz w:val="22"/>
          <w:szCs w:val="22"/>
        </w:rPr>
        <w:t>(inklusive sepsis, opportunistiske infeksjoner og TB), HBV-reaktivering og forskjellige maligniteter (inklusive leukemi, lymfom og HSTCL) er også rapportert ved bruk av Humira.</w:t>
      </w:r>
    </w:p>
    <w:p w14:paraId="5D124407" w14:textId="77777777" w:rsidR="001E500F" w:rsidRPr="009C5EFD" w:rsidRDefault="001E500F" w:rsidP="009C5EFD">
      <w:pPr>
        <w:rPr>
          <w:sz w:val="22"/>
          <w:szCs w:val="22"/>
        </w:rPr>
      </w:pPr>
    </w:p>
    <w:p w14:paraId="20C8AC4B" w14:textId="77777777" w:rsidR="001E500F" w:rsidRPr="009C5EFD" w:rsidRDefault="00E453CD" w:rsidP="009C5EFD">
      <w:pPr>
        <w:rPr>
          <w:sz w:val="22"/>
          <w:szCs w:val="22"/>
        </w:rPr>
      </w:pPr>
      <w:r w:rsidRPr="009C5EFD">
        <w:rPr>
          <w:sz w:val="22"/>
          <w:szCs w:val="22"/>
        </w:rPr>
        <w:t>Alvorlige hematologiske, nevrologiske og autoimmune reaksjoner er også rapportert. Disse inkluderer sjeldne tilfeller av pancytopeni, aplastisk anemi, sentrale og perifere demyeliniseringsforstyrrelser og tilfeller av lupus, lupusrelaterte tilstander og Stevens-Johnson syndrom.</w:t>
      </w:r>
    </w:p>
    <w:p w14:paraId="4D86745D" w14:textId="77777777" w:rsidR="001E500F" w:rsidRPr="009C5EFD" w:rsidRDefault="001E500F" w:rsidP="009C5EFD">
      <w:pPr>
        <w:rPr>
          <w:sz w:val="22"/>
          <w:szCs w:val="22"/>
        </w:rPr>
      </w:pPr>
    </w:p>
    <w:p w14:paraId="3A2AF9B0" w14:textId="77777777" w:rsidR="001E500F" w:rsidRPr="009C5EFD" w:rsidRDefault="00E453CD" w:rsidP="009C5EFD">
      <w:pPr>
        <w:keepNext/>
        <w:rPr>
          <w:sz w:val="22"/>
          <w:szCs w:val="22"/>
          <w:u w:val="single"/>
        </w:rPr>
      </w:pPr>
      <w:r w:rsidRPr="009C5EFD">
        <w:rPr>
          <w:sz w:val="22"/>
          <w:szCs w:val="22"/>
          <w:u w:val="single"/>
        </w:rPr>
        <w:t>Pediatrisk populasjon</w:t>
      </w:r>
    </w:p>
    <w:p w14:paraId="1DB9AFFA" w14:textId="77777777" w:rsidR="001E500F" w:rsidRPr="009C5EFD" w:rsidRDefault="001E500F" w:rsidP="00B07EA9">
      <w:pPr>
        <w:keepNext/>
        <w:rPr>
          <w:sz w:val="22"/>
          <w:szCs w:val="22"/>
        </w:rPr>
      </w:pPr>
    </w:p>
    <w:p w14:paraId="77A0D7E4" w14:textId="77777777" w:rsidR="001E500F" w:rsidRPr="009C5EFD" w:rsidRDefault="00E453CD" w:rsidP="009C5EFD">
      <w:pPr>
        <w:rPr>
          <w:sz w:val="22"/>
          <w:szCs w:val="22"/>
        </w:rPr>
      </w:pPr>
      <w:r w:rsidRPr="009C5EFD">
        <w:rPr>
          <w:sz w:val="22"/>
          <w:szCs w:val="22"/>
        </w:rPr>
        <w:t>Generelt hadde bivirkninger hos barn samme frekvens og type som hos voksne pasienter.</w:t>
      </w:r>
    </w:p>
    <w:p w14:paraId="7087505E" w14:textId="77777777" w:rsidR="001E500F" w:rsidRPr="009C5EFD" w:rsidRDefault="001E500F" w:rsidP="009C5EFD">
      <w:pPr>
        <w:rPr>
          <w:sz w:val="22"/>
          <w:szCs w:val="22"/>
        </w:rPr>
      </w:pPr>
    </w:p>
    <w:p w14:paraId="122320CF" w14:textId="77777777" w:rsidR="001E500F" w:rsidRPr="009C5EFD" w:rsidRDefault="00E453CD" w:rsidP="00EC2ACB">
      <w:pPr>
        <w:keepNext/>
        <w:rPr>
          <w:sz w:val="22"/>
          <w:szCs w:val="22"/>
          <w:u w:val="single"/>
        </w:rPr>
      </w:pPr>
      <w:r>
        <w:rPr>
          <w:sz w:val="22"/>
          <w:szCs w:val="22"/>
          <w:u w:val="single"/>
        </w:rPr>
        <w:t>Bivirkningstabell</w:t>
      </w:r>
    </w:p>
    <w:p w14:paraId="68AE6603" w14:textId="77777777" w:rsidR="001E500F" w:rsidRPr="009C5EFD" w:rsidRDefault="001E500F" w:rsidP="00EC2ACB">
      <w:pPr>
        <w:keepNext/>
        <w:rPr>
          <w:sz w:val="22"/>
          <w:szCs w:val="22"/>
        </w:rPr>
      </w:pPr>
    </w:p>
    <w:p w14:paraId="058C5F81" w14:textId="77777777" w:rsidR="001E500F" w:rsidRPr="009C5EFD" w:rsidRDefault="00E453CD" w:rsidP="00776A84">
      <w:pPr>
        <w:rPr>
          <w:iCs/>
          <w:color w:val="000000"/>
          <w:sz w:val="22"/>
          <w:szCs w:val="22"/>
          <w:lang w:eastAsia="en-GB"/>
        </w:rPr>
      </w:pPr>
      <w:r w:rsidRPr="009C5EFD">
        <w:rPr>
          <w:sz w:val="22"/>
          <w:szCs w:val="22"/>
        </w:rPr>
        <w:t xml:space="preserve">Følgende liste av bivirkninger er basert på erfaring fra kliniske studier og erfaring etter markedsføring og er vist i henhold til organklassesystem og forekomst i tabell </w:t>
      </w:r>
      <w:r w:rsidR="00634DDF">
        <w:rPr>
          <w:sz w:val="22"/>
          <w:szCs w:val="22"/>
        </w:rPr>
        <w:t>7</w:t>
      </w:r>
      <w:r w:rsidR="00634DDF" w:rsidRPr="009C5EFD">
        <w:rPr>
          <w:sz w:val="22"/>
          <w:szCs w:val="22"/>
        </w:rPr>
        <w:t xml:space="preserve"> </w:t>
      </w:r>
      <w:r w:rsidRPr="009C5EFD">
        <w:rPr>
          <w:sz w:val="22"/>
          <w:szCs w:val="22"/>
        </w:rPr>
        <w:t>nedenfor: Svært vanlige (</w:t>
      </w:r>
      <w:r w:rsidRPr="007F67EE">
        <w:rPr>
          <w:rFonts w:ascii="Symbol" w:hAnsi="Symbol"/>
          <w:sz w:val="22"/>
          <w:szCs w:val="22"/>
        </w:rPr>
        <w:sym w:font="Symbol" w:char="F0B3"/>
      </w:r>
      <w:r w:rsidRPr="007F67EE">
        <w:rPr>
          <w:sz w:val="22"/>
          <w:szCs w:val="22"/>
        </w:rPr>
        <w:t> 1/10); vanlige</w:t>
      </w:r>
      <w:r w:rsidRPr="002D0790">
        <w:rPr>
          <w:sz w:val="22"/>
          <w:szCs w:val="22"/>
        </w:rPr>
        <w:t xml:space="preserve"> (</w:t>
      </w:r>
      <w:r w:rsidRPr="007F67EE">
        <w:rPr>
          <w:rFonts w:ascii="Symbol" w:hAnsi="Symbol"/>
          <w:sz w:val="22"/>
          <w:szCs w:val="22"/>
        </w:rPr>
        <w:sym w:font="Symbol" w:char="F0B3"/>
      </w:r>
      <w:r w:rsidRPr="007F67EE">
        <w:rPr>
          <w:sz w:val="22"/>
          <w:szCs w:val="22"/>
        </w:rPr>
        <w:t> 1/100 til &lt; 1/10); mindre vanlige</w:t>
      </w:r>
      <w:r w:rsidRPr="002D0790">
        <w:rPr>
          <w:sz w:val="22"/>
          <w:szCs w:val="22"/>
        </w:rPr>
        <w:t xml:space="preserve"> (</w:t>
      </w:r>
      <w:r w:rsidRPr="007F67EE">
        <w:rPr>
          <w:rFonts w:ascii="Symbol" w:hAnsi="Symbol"/>
          <w:sz w:val="22"/>
          <w:szCs w:val="22"/>
        </w:rPr>
        <w:sym w:font="Symbol" w:char="F0B3"/>
      </w:r>
      <w:r w:rsidRPr="007F67EE">
        <w:rPr>
          <w:sz w:val="22"/>
          <w:szCs w:val="22"/>
        </w:rPr>
        <w:t> 1/1000 til &lt; 1/100)</w:t>
      </w:r>
      <w:r w:rsidR="00465D4D">
        <w:rPr>
          <w:sz w:val="22"/>
          <w:szCs w:val="22"/>
        </w:rPr>
        <w:t>;</w:t>
      </w:r>
      <w:r w:rsidRPr="007F67EE">
        <w:rPr>
          <w:sz w:val="22"/>
          <w:szCs w:val="22"/>
        </w:rPr>
        <w:t xml:space="preserve"> sjeldne (</w:t>
      </w:r>
      <w:r w:rsidRPr="007F67EE">
        <w:rPr>
          <w:rFonts w:ascii="Symbol" w:hAnsi="Symbol"/>
          <w:sz w:val="22"/>
          <w:szCs w:val="22"/>
        </w:rPr>
        <w:sym w:font="Symbol" w:char="F0B3"/>
      </w:r>
      <w:r w:rsidRPr="007F67EE">
        <w:rPr>
          <w:sz w:val="22"/>
          <w:szCs w:val="22"/>
        </w:rPr>
        <w:t> 1/10 000 til &lt; 1/1000)</w:t>
      </w:r>
      <w:r w:rsidR="004610AD" w:rsidRPr="00193D76">
        <w:rPr>
          <w:sz w:val="22"/>
          <w:szCs w:val="22"/>
        </w:rPr>
        <w:t>;</w:t>
      </w:r>
      <w:r w:rsidRPr="002D0790">
        <w:rPr>
          <w:sz w:val="22"/>
          <w:szCs w:val="22"/>
        </w:rPr>
        <w:t xml:space="preserve"> og ikke kjent (kan ikke anslås ut ifra tilgjengeli</w:t>
      </w:r>
      <w:r w:rsidRPr="00C07C98">
        <w:rPr>
          <w:sz w:val="22"/>
          <w:szCs w:val="22"/>
        </w:rPr>
        <w:t xml:space="preserve">g data). Innenfor hver frekvensgruppering er bivirkninger presentert etter synkende alvorlighetsgrad. Den høyeste frekvens som er sett blant de forskjellige indikasjonene er inkludert. Dersom det finnes ytterligere informasjon et annet sted i </w:t>
      </w:r>
      <w:r w:rsidR="00ED6DD4">
        <w:rPr>
          <w:sz w:val="22"/>
          <w:szCs w:val="22"/>
        </w:rPr>
        <w:t>pkt.</w:t>
      </w:r>
      <w:r w:rsidRPr="00C07C98">
        <w:rPr>
          <w:sz w:val="22"/>
          <w:szCs w:val="22"/>
        </w:rPr>
        <w:t xml:space="preserve"> 4.</w:t>
      </w:r>
      <w:r w:rsidRPr="00E14E58">
        <w:rPr>
          <w:sz w:val="22"/>
          <w:szCs w:val="22"/>
        </w:rPr>
        <w:t xml:space="preserve">3, 4.4. og 4.8 vil denne bli merket med stjerne </w:t>
      </w:r>
      <w:r w:rsidR="002E1902">
        <w:rPr>
          <w:sz w:val="22"/>
          <w:szCs w:val="22"/>
        </w:rPr>
        <w:t>(*)</w:t>
      </w:r>
      <w:r w:rsidRPr="00E14E58">
        <w:rPr>
          <w:sz w:val="22"/>
          <w:szCs w:val="22"/>
        </w:rPr>
        <w:t xml:space="preserve"> i organ</w:t>
      </w:r>
      <w:r w:rsidR="00257EC7">
        <w:rPr>
          <w:sz w:val="22"/>
          <w:szCs w:val="22"/>
        </w:rPr>
        <w:t>klasse</w:t>
      </w:r>
      <w:r w:rsidRPr="00E14E58">
        <w:rPr>
          <w:sz w:val="22"/>
          <w:szCs w:val="22"/>
        </w:rPr>
        <w:t>system kolonnen.</w:t>
      </w:r>
    </w:p>
    <w:p w14:paraId="7538863E" w14:textId="77777777" w:rsidR="001E500F" w:rsidRPr="009C5EFD" w:rsidRDefault="001E500F" w:rsidP="009C5EFD">
      <w:pPr>
        <w:jc w:val="center"/>
        <w:rPr>
          <w:b/>
          <w:sz w:val="22"/>
          <w:szCs w:val="22"/>
        </w:rPr>
      </w:pPr>
    </w:p>
    <w:p w14:paraId="1482E313" w14:textId="77777777" w:rsidR="001E500F" w:rsidRPr="009C5EFD" w:rsidRDefault="00E453CD" w:rsidP="009C5EFD">
      <w:pPr>
        <w:keepNext/>
        <w:jc w:val="center"/>
        <w:rPr>
          <w:b/>
          <w:sz w:val="22"/>
          <w:szCs w:val="22"/>
        </w:rPr>
      </w:pPr>
      <w:r w:rsidRPr="009C5EFD">
        <w:rPr>
          <w:b/>
          <w:sz w:val="22"/>
          <w:szCs w:val="22"/>
        </w:rPr>
        <w:lastRenderedPageBreak/>
        <w:t xml:space="preserve">Tabell </w:t>
      </w:r>
      <w:r w:rsidR="00634DDF">
        <w:rPr>
          <w:b/>
          <w:sz w:val="22"/>
          <w:szCs w:val="22"/>
        </w:rPr>
        <w:t>7</w:t>
      </w:r>
    </w:p>
    <w:p w14:paraId="7C4E0EC4" w14:textId="77777777" w:rsidR="001E500F" w:rsidRPr="009C5EFD" w:rsidRDefault="00E453CD" w:rsidP="009C5EFD">
      <w:pPr>
        <w:keepNext/>
        <w:jc w:val="center"/>
        <w:rPr>
          <w:b/>
          <w:sz w:val="22"/>
          <w:szCs w:val="22"/>
        </w:rPr>
      </w:pPr>
      <w:r w:rsidRPr="009C5EFD">
        <w:rPr>
          <w:b/>
          <w:sz w:val="22"/>
          <w:szCs w:val="22"/>
        </w:rPr>
        <w:t xml:space="preserve">Bivirkninger </w:t>
      </w:r>
    </w:p>
    <w:p w14:paraId="59995E40" w14:textId="77777777" w:rsidR="001E500F" w:rsidRPr="009C5EFD" w:rsidRDefault="001E500F" w:rsidP="009C5EFD">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1682"/>
        <w:gridCol w:w="4294"/>
      </w:tblGrid>
      <w:tr w:rsidR="004644D4" w14:paraId="2C546BBC" w14:textId="77777777" w:rsidTr="00032240">
        <w:tc>
          <w:tcPr>
            <w:tcW w:w="3079" w:type="dxa"/>
            <w:hideMark/>
          </w:tcPr>
          <w:p w14:paraId="6BC1B090" w14:textId="77777777" w:rsidR="001E500F" w:rsidRPr="009C5EFD" w:rsidRDefault="00E453CD" w:rsidP="009C5EFD">
            <w:pPr>
              <w:pStyle w:val="EndnoteText"/>
              <w:keepNext/>
              <w:widowControl/>
              <w:tabs>
                <w:tab w:val="clear" w:pos="567"/>
                <w:tab w:val="left" w:pos="708"/>
              </w:tabs>
              <w:jc w:val="center"/>
              <w:rPr>
                <w:b/>
                <w:szCs w:val="22"/>
                <w:lang w:val="nb-NO"/>
              </w:rPr>
            </w:pPr>
            <w:r w:rsidRPr="009C5EFD">
              <w:rPr>
                <w:b/>
                <w:szCs w:val="22"/>
                <w:lang w:val="nb-NO"/>
              </w:rPr>
              <w:t>Organklassesystem</w:t>
            </w:r>
          </w:p>
        </w:tc>
        <w:tc>
          <w:tcPr>
            <w:tcW w:w="1682" w:type="dxa"/>
            <w:hideMark/>
          </w:tcPr>
          <w:p w14:paraId="009F7310" w14:textId="77777777" w:rsidR="001E500F" w:rsidRPr="009C5EFD" w:rsidRDefault="00E453CD" w:rsidP="009C5EFD">
            <w:pPr>
              <w:pStyle w:val="EndnoteText"/>
              <w:keepNext/>
              <w:widowControl/>
              <w:tabs>
                <w:tab w:val="clear" w:pos="567"/>
                <w:tab w:val="left" w:pos="708"/>
              </w:tabs>
              <w:jc w:val="center"/>
              <w:rPr>
                <w:b/>
                <w:szCs w:val="22"/>
                <w:lang w:val="nb-NO"/>
              </w:rPr>
            </w:pPr>
            <w:r w:rsidRPr="009C5EFD">
              <w:rPr>
                <w:b/>
                <w:szCs w:val="22"/>
                <w:lang w:val="nb-NO"/>
              </w:rPr>
              <w:t>Frekvens</w:t>
            </w:r>
          </w:p>
        </w:tc>
        <w:tc>
          <w:tcPr>
            <w:tcW w:w="4294" w:type="dxa"/>
            <w:hideMark/>
          </w:tcPr>
          <w:p w14:paraId="000DCBE9" w14:textId="77777777" w:rsidR="001E500F" w:rsidRPr="009C5EFD" w:rsidRDefault="00E453CD" w:rsidP="009C5EFD">
            <w:pPr>
              <w:pStyle w:val="EndnoteText"/>
              <w:keepNext/>
              <w:widowControl/>
              <w:tabs>
                <w:tab w:val="clear" w:pos="567"/>
                <w:tab w:val="left" w:pos="708"/>
              </w:tabs>
              <w:jc w:val="center"/>
              <w:rPr>
                <w:b/>
                <w:szCs w:val="22"/>
                <w:lang w:val="nb-NO"/>
              </w:rPr>
            </w:pPr>
            <w:r w:rsidRPr="009C5EFD">
              <w:rPr>
                <w:b/>
                <w:szCs w:val="22"/>
                <w:lang w:val="nb-NO"/>
              </w:rPr>
              <w:t>Bivirkninger</w:t>
            </w:r>
          </w:p>
        </w:tc>
      </w:tr>
      <w:tr w:rsidR="004644D4" w14:paraId="593ED24A" w14:textId="77777777" w:rsidTr="00032240">
        <w:trPr>
          <w:trHeight w:val="1061"/>
        </w:trPr>
        <w:tc>
          <w:tcPr>
            <w:tcW w:w="3079" w:type="dxa"/>
            <w:vMerge w:val="restart"/>
            <w:hideMark/>
          </w:tcPr>
          <w:p w14:paraId="3DB5D237" w14:textId="77777777" w:rsidR="001E500F" w:rsidRPr="007F67EE" w:rsidRDefault="00E453CD" w:rsidP="007F67EE">
            <w:pPr>
              <w:pStyle w:val="EndnoteText"/>
              <w:keepNext/>
              <w:widowControl/>
              <w:tabs>
                <w:tab w:val="clear" w:pos="567"/>
                <w:tab w:val="left" w:pos="708"/>
              </w:tabs>
              <w:rPr>
                <w:szCs w:val="22"/>
                <w:lang w:val="nb-NO"/>
              </w:rPr>
            </w:pPr>
            <w:r w:rsidRPr="007F67EE">
              <w:rPr>
                <w:szCs w:val="22"/>
                <w:lang w:val="nb-NO"/>
              </w:rPr>
              <w:t>Infeksiøse og parasittære sykdommer*</w:t>
            </w:r>
          </w:p>
        </w:tc>
        <w:tc>
          <w:tcPr>
            <w:tcW w:w="1682" w:type="dxa"/>
          </w:tcPr>
          <w:p w14:paraId="034E5D37" w14:textId="77777777" w:rsidR="001E500F" w:rsidRPr="00C07C98" w:rsidRDefault="00E453CD" w:rsidP="00193D76">
            <w:pPr>
              <w:pStyle w:val="EndnoteText"/>
              <w:keepNext/>
              <w:widowControl/>
              <w:tabs>
                <w:tab w:val="clear" w:pos="567"/>
                <w:tab w:val="left" w:pos="708"/>
              </w:tabs>
              <w:rPr>
                <w:szCs w:val="22"/>
                <w:lang w:val="nb-NO"/>
              </w:rPr>
            </w:pPr>
            <w:r w:rsidRPr="00193D76">
              <w:rPr>
                <w:szCs w:val="22"/>
                <w:lang w:val="nb-NO"/>
              </w:rPr>
              <w:t>Svært vanlige</w:t>
            </w:r>
          </w:p>
        </w:tc>
        <w:tc>
          <w:tcPr>
            <w:tcW w:w="4294" w:type="dxa"/>
          </w:tcPr>
          <w:p w14:paraId="705ABEE0" w14:textId="77777777" w:rsidR="001E500F" w:rsidRPr="009C5EFD" w:rsidRDefault="00E453CD" w:rsidP="002D0790">
            <w:pPr>
              <w:pStyle w:val="EMEAFigureTitle"/>
              <w:keepNext/>
              <w:tabs>
                <w:tab w:val="clear" w:pos="562"/>
                <w:tab w:val="left" w:pos="708"/>
              </w:tabs>
              <w:suppressAutoHyphens w:val="0"/>
              <w:rPr>
                <w:lang w:val="nb-NO"/>
              </w:rPr>
            </w:pPr>
            <w:r w:rsidRPr="00E14E58">
              <w:rPr>
                <w:lang w:val="nb-NO"/>
              </w:rPr>
              <w:t>Luftveisinfeksjon (inkludert nedre og</w:t>
            </w:r>
            <w:r w:rsidRPr="009C5EFD">
              <w:rPr>
                <w:lang w:val="nb-NO"/>
              </w:rPr>
              <w:t xml:space="preserve"> øvre luftveisinfeksjon, </w:t>
            </w:r>
            <w:r w:rsidR="00DB7B68">
              <w:rPr>
                <w:lang w:val="nb-NO"/>
              </w:rPr>
              <w:t>pneumoni</w:t>
            </w:r>
            <w:r w:rsidRPr="009C5EFD">
              <w:rPr>
                <w:lang w:val="nb-NO"/>
              </w:rPr>
              <w:t>, sinusitt, faryngitt, nasofaryngitt og herpesvirus pneumoni)</w:t>
            </w:r>
          </w:p>
          <w:p w14:paraId="6459848C" w14:textId="77777777" w:rsidR="001E500F" w:rsidRPr="009C5EFD" w:rsidRDefault="001E500F" w:rsidP="00C07C98">
            <w:pPr>
              <w:pStyle w:val="EMEAFigureTitle"/>
              <w:keepNext/>
              <w:tabs>
                <w:tab w:val="clear" w:pos="562"/>
                <w:tab w:val="left" w:pos="708"/>
              </w:tabs>
              <w:suppressAutoHyphens w:val="0"/>
              <w:rPr>
                <w:lang w:val="nb-NO"/>
              </w:rPr>
            </w:pPr>
          </w:p>
        </w:tc>
      </w:tr>
      <w:tr w:rsidR="004644D4" w14:paraId="27AAAABF" w14:textId="77777777" w:rsidTr="00032240">
        <w:trPr>
          <w:trHeight w:val="3116"/>
        </w:trPr>
        <w:tc>
          <w:tcPr>
            <w:tcW w:w="0" w:type="auto"/>
            <w:vMerge/>
            <w:vAlign w:val="center"/>
            <w:hideMark/>
          </w:tcPr>
          <w:p w14:paraId="5A163C25" w14:textId="77777777" w:rsidR="001E500F" w:rsidRPr="009C5EFD" w:rsidRDefault="001E500F" w:rsidP="001F5D4B">
            <w:pPr>
              <w:keepNext/>
              <w:rPr>
                <w:sz w:val="22"/>
                <w:szCs w:val="22"/>
              </w:rPr>
            </w:pPr>
          </w:p>
        </w:tc>
        <w:tc>
          <w:tcPr>
            <w:tcW w:w="1682" w:type="dxa"/>
          </w:tcPr>
          <w:p w14:paraId="220E3A6D" w14:textId="77777777" w:rsidR="001E500F" w:rsidRPr="009C5EFD" w:rsidRDefault="00E453CD" w:rsidP="007F67EE">
            <w:pPr>
              <w:pStyle w:val="EndnoteText"/>
              <w:keepNext/>
              <w:widowControl/>
              <w:tabs>
                <w:tab w:val="clear" w:pos="567"/>
                <w:tab w:val="left" w:pos="708"/>
              </w:tabs>
              <w:rPr>
                <w:szCs w:val="22"/>
                <w:lang w:val="nb-NO"/>
              </w:rPr>
            </w:pPr>
            <w:r w:rsidRPr="009C5EFD">
              <w:rPr>
                <w:szCs w:val="22"/>
                <w:lang w:val="nb-NO"/>
              </w:rPr>
              <w:t>Vanlige</w:t>
            </w:r>
          </w:p>
        </w:tc>
        <w:tc>
          <w:tcPr>
            <w:tcW w:w="4294" w:type="dxa"/>
          </w:tcPr>
          <w:p w14:paraId="16E4190E" w14:textId="77777777" w:rsidR="001E500F" w:rsidRPr="009C5EFD" w:rsidRDefault="00E453CD" w:rsidP="00193D76">
            <w:pPr>
              <w:keepNext/>
              <w:rPr>
                <w:sz w:val="22"/>
                <w:szCs w:val="22"/>
              </w:rPr>
            </w:pPr>
            <w:r w:rsidRPr="009C5EFD">
              <w:rPr>
                <w:sz w:val="22"/>
                <w:szCs w:val="22"/>
              </w:rPr>
              <w:t xml:space="preserve">Systemiske infeksjoner (inkludert </w:t>
            </w:r>
            <w:r w:rsidR="00DB7B68">
              <w:rPr>
                <w:sz w:val="22"/>
                <w:szCs w:val="22"/>
              </w:rPr>
              <w:t>sepsis</w:t>
            </w:r>
            <w:r w:rsidRPr="009C5EFD">
              <w:rPr>
                <w:sz w:val="22"/>
                <w:szCs w:val="22"/>
              </w:rPr>
              <w:t xml:space="preserve">, candidiasis og influensa), intestinale infeksjoner (inkludert viral gastroenteritt), hud- og bløtvevsinfeksjoner (inkludert paronyki, cellulitt, impetigo, nekrotiserende fasciitt og herpes zoster), øreinfeksjoner, orale infeksjoner (inkludert herpes simplex, oral herpes, tanninfeksjoner), infeksjoner i reproduksjonsorgan (inkludert vulvovaginal soppinfeksjon), urinveisinfeksjoner (inkludert pyelonefritt), soppinfeksjoner, </w:t>
            </w:r>
            <w:r w:rsidRPr="009C5EFD">
              <w:rPr>
                <w:szCs w:val="22"/>
              </w:rPr>
              <w:t>leddinfeksjoner</w:t>
            </w:r>
          </w:p>
          <w:p w14:paraId="47A1DD11" w14:textId="77777777" w:rsidR="001E500F" w:rsidRPr="009C5EFD" w:rsidRDefault="001E500F" w:rsidP="002D0790">
            <w:pPr>
              <w:pStyle w:val="EndnoteText"/>
              <w:keepNext/>
              <w:widowControl/>
              <w:tabs>
                <w:tab w:val="clear" w:pos="567"/>
                <w:tab w:val="left" w:pos="708"/>
              </w:tabs>
              <w:rPr>
                <w:szCs w:val="22"/>
                <w:lang w:val="nb-NO"/>
              </w:rPr>
            </w:pPr>
          </w:p>
        </w:tc>
      </w:tr>
      <w:tr w:rsidR="004644D4" w14:paraId="48DA060A" w14:textId="77777777" w:rsidTr="00032240">
        <w:trPr>
          <w:trHeight w:val="1594"/>
        </w:trPr>
        <w:tc>
          <w:tcPr>
            <w:tcW w:w="0" w:type="auto"/>
            <w:vMerge/>
            <w:vAlign w:val="center"/>
            <w:hideMark/>
          </w:tcPr>
          <w:p w14:paraId="5965257F" w14:textId="77777777" w:rsidR="001E500F" w:rsidRPr="009C5EFD" w:rsidRDefault="001E500F" w:rsidP="001F5D4B">
            <w:pPr>
              <w:keepNext/>
              <w:rPr>
                <w:sz w:val="22"/>
                <w:szCs w:val="22"/>
              </w:rPr>
            </w:pPr>
          </w:p>
        </w:tc>
        <w:tc>
          <w:tcPr>
            <w:tcW w:w="1682" w:type="dxa"/>
            <w:hideMark/>
          </w:tcPr>
          <w:p w14:paraId="185C5740" w14:textId="77777777" w:rsidR="001E500F" w:rsidRPr="009C5EFD" w:rsidRDefault="00E453CD" w:rsidP="007F67EE">
            <w:pPr>
              <w:pStyle w:val="EndnoteText"/>
              <w:keepNext/>
              <w:widowControl/>
              <w:tabs>
                <w:tab w:val="clear" w:pos="567"/>
                <w:tab w:val="left" w:pos="708"/>
              </w:tabs>
              <w:rPr>
                <w:szCs w:val="22"/>
                <w:lang w:val="nb-NO"/>
              </w:rPr>
            </w:pPr>
            <w:r w:rsidRPr="009C5EFD">
              <w:rPr>
                <w:szCs w:val="22"/>
                <w:lang w:val="nb-NO"/>
              </w:rPr>
              <w:t>Mindre vanlige</w:t>
            </w:r>
          </w:p>
        </w:tc>
        <w:tc>
          <w:tcPr>
            <w:tcW w:w="4294" w:type="dxa"/>
          </w:tcPr>
          <w:p w14:paraId="298BEB1F" w14:textId="77777777" w:rsidR="001E500F" w:rsidRPr="009C5EFD" w:rsidRDefault="00E453CD" w:rsidP="007F67EE">
            <w:pPr>
              <w:pStyle w:val="EMEANormal"/>
              <w:keepNext/>
              <w:rPr>
                <w:vertAlign w:val="superscript"/>
                <w:lang w:val="nb-NO"/>
              </w:rPr>
            </w:pPr>
            <w:r w:rsidRPr="009C5EFD">
              <w:rPr>
                <w:lang w:val="nb-NO"/>
              </w:rPr>
              <w:t>Nevrologiske infeksjoner (inkludert viral meningitt), opportunistiske infeksjoner og tuberkulose (inkludert koksidioidomykose, histoplamose og mycobactrium avium kompleks-infeksjon), bakterieinfeksjoner, øyeinfeksjoner, divertikulitt</w:t>
            </w:r>
            <w:r w:rsidRPr="009C5EFD">
              <w:rPr>
                <w:vertAlign w:val="superscript"/>
                <w:lang w:val="nb-NO"/>
              </w:rPr>
              <w:t>1)</w:t>
            </w:r>
          </w:p>
          <w:p w14:paraId="77C7D8ED" w14:textId="77777777" w:rsidR="001E500F" w:rsidRPr="009C5EFD" w:rsidRDefault="001E500F" w:rsidP="00193D76">
            <w:pPr>
              <w:pStyle w:val="EMEANormal"/>
              <w:keepNext/>
              <w:rPr>
                <w:vertAlign w:val="superscript"/>
                <w:lang w:val="nb-NO"/>
              </w:rPr>
            </w:pPr>
          </w:p>
        </w:tc>
      </w:tr>
      <w:tr w:rsidR="004644D4" w14:paraId="3857E57F" w14:textId="77777777" w:rsidTr="00032240">
        <w:tc>
          <w:tcPr>
            <w:tcW w:w="3079" w:type="dxa"/>
            <w:vMerge w:val="restart"/>
            <w:hideMark/>
          </w:tcPr>
          <w:p w14:paraId="6F2696E8" w14:textId="77777777" w:rsidR="001E500F" w:rsidRPr="009C5EFD" w:rsidRDefault="00E453CD" w:rsidP="007F67EE">
            <w:pPr>
              <w:keepNext/>
              <w:rPr>
                <w:sz w:val="22"/>
                <w:szCs w:val="22"/>
              </w:rPr>
            </w:pPr>
            <w:r w:rsidRPr="009C5EFD">
              <w:rPr>
                <w:sz w:val="22"/>
                <w:szCs w:val="22"/>
              </w:rPr>
              <w:t>Godartede, ondartede og uspesifiserte svulster (inkludert cyster og polypper)*</w:t>
            </w:r>
          </w:p>
        </w:tc>
        <w:tc>
          <w:tcPr>
            <w:tcW w:w="1682" w:type="dxa"/>
          </w:tcPr>
          <w:p w14:paraId="367823FD" w14:textId="77777777" w:rsidR="001E500F" w:rsidRPr="009C5EFD" w:rsidRDefault="00E453CD" w:rsidP="002D0790">
            <w:pPr>
              <w:keepNext/>
              <w:rPr>
                <w:sz w:val="22"/>
                <w:szCs w:val="22"/>
              </w:rPr>
            </w:pPr>
            <w:r w:rsidRPr="009C5EFD">
              <w:rPr>
                <w:sz w:val="22"/>
                <w:szCs w:val="22"/>
              </w:rPr>
              <w:t>Vanlige</w:t>
            </w:r>
          </w:p>
        </w:tc>
        <w:tc>
          <w:tcPr>
            <w:tcW w:w="4294" w:type="dxa"/>
          </w:tcPr>
          <w:p w14:paraId="3A09755B" w14:textId="77777777" w:rsidR="001E500F" w:rsidRPr="009C5EFD" w:rsidRDefault="00E453CD" w:rsidP="00C07C98">
            <w:pPr>
              <w:keepNext/>
              <w:rPr>
                <w:sz w:val="22"/>
                <w:szCs w:val="22"/>
              </w:rPr>
            </w:pPr>
            <w:r w:rsidRPr="009C5EFD">
              <w:rPr>
                <w:sz w:val="22"/>
                <w:szCs w:val="22"/>
              </w:rPr>
              <w:t xml:space="preserve">Hudkreft unntatt melanom (inkludert basalcellekarsinom og </w:t>
            </w:r>
            <w:r w:rsidRPr="009C5EFD">
              <w:rPr>
                <w:rStyle w:val="equivalent"/>
                <w:sz w:val="22"/>
                <w:szCs w:val="22"/>
              </w:rPr>
              <w:t>plateepitelkarsinom</w:t>
            </w:r>
            <w:r w:rsidRPr="009C5EFD">
              <w:rPr>
                <w:sz w:val="22"/>
                <w:szCs w:val="22"/>
              </w:rPr>
              <w:t xml:space="preserve">), godartet svulst </w:t>
            </w:r>
          </w:p>
          <w:p w14:paraId="17E7F2BC" w14:textId="77777777" w:rsidR="001E500F" w:rsidRPr="009C5EFD" w:rsidRDefault="001E500F" w:rsidP="00E14E58">
            <w:pPr>
              <w:keepNext/>
              <w:rPr>
                <w:sz w:val="22"/>
                <w:szCs w:val="22"/>
              </w:rPr>
            </w:pPr>
          </w:p>
        </w:tc>
      </w:tr>
      <w:tr w:rsidR="004644D4" w14:paraId="0D2FDCB2" w14:textId="77777777" w:rsidTr="00032240">
        <w:tc>
          <w:tcPr>
            <w:tcW w:w="0" w:type="auto"/>
            <w:vMerge/>
            <w:vAlign w:val="center"/>
            <w:hideMark/>
          </w:tcPr>
          <w:p w14:paraId="1F0C12C1" w14:textId="77777777" w:rsidR="001E500F" w:rsidRPr="009C5EFD" w:rsidRDefault="001E500F" w:rsidP="009C5EFD">
            <w:pPr>
              <w:rPr>
                <w:sz w:val="22"/>
                <w:szCs w:val="22"/>
              </w:rPr>
            </w:pPr>
          </w:p>
        </w:tc>
        <w:tc>
          <w:tcPr>
            <w:tcW w:w="1682" w:type="dxa"/>
          </w:tcPr>
          <w:p w14:paraId="2D3832E2" w14:textId="77777777" w:rsidR="001E500F" w:rsidRPr="009C5EFD" w:rsidRDefault="00E453CD" w:rsidP="009C5EFD">
            <w:pPr>
              <w:rPr>
                <w:sz w:val="22"/>
                <w:szCs w:val="22"/>
              </w:rPr>
            </w:pPr>
            <w:r w:rsidRPr="009C5EFD">
              <w:rPr>
                <w:sz w:val="22"/>
                <w:szCs w:val="22"/>
              </w:rPr>
              <w:t>Mindre vanlige</w:t>
            </w:r>
          </w:p>
        </w:tc>
        <w:tc>
          <w:tcPr>
            <w:tcW w:w="4294" w:type="dxa"/>
          </w:tcPr>
          <w:p w14:paraId="6004C77D" w14:textId="77777777" w:rsidR="001E500F" w:rsidRPr="009C5EFD" w:rsidRDefault="00E453CD" w:rsidP="009C5EFD">
            <w:pPr>
              <w:rPr>
                <w:bCs/>
                <w:sz w:val="22"/>
                <w:szCs w:val="22"/>
              </w:rPr>
            </w:pPr>
            <w:r w:rsidRPr="009C5EFD">
              <w:rPr>
                <w:bCs/>
                <w:sz w:val="22"/>
                <w:szCs w:val="22"/>
              </w:rPr>
              <w:t>Lymfom**, solid organneoplasme (inkludert brystkreft, svulst i lunge, svulst i skjoldbruskkjertel), melanom**</w:t>
            </w:r>
          </w:p>
          <w:p w14:paraId="3265F9E0" w14:textId="77777777" w:rsidR="001E500F" w:rsidRPr="009C5EFD" w:rsidRDefault="001E500F" w:rsidP="009C5EFD">
            <w:pPr>
              <w:rPr>
                <w:sz w:val="22"/>
                <w:szCs w:val="22"/>
              </w:rPr>
            </w:pPr>
          </w:p>
        </w:tc>
      </w:tr>
      <w:tr w:rsidR="004644D4" w14:paraId="4F1A8A7D" w14:textId="77777777" w:rsidTr="00032240">
        <w:tc>
          <w:tcPr>
            <w:tcW w:w="0" w:type="auto"/>
            <w:vMerge/>
            <w:vAlign w:val="center"/>
            <w:hideMark/>
          </w:tcPr>
          <w:p w14:paraId="003255BC" w14:textId="77777777" w:rsidR="001E500F" w:rsidRPr="009C5EFD" w:rsidRDefault="001E500F" w:rsidP="009C5EFD">
            <w:pPr>
              <w:rPr>
                <w:sz w:val="22"/>
                <w:szCs w:val="22"/>
              </w:rPr>
            </w:pPr>
          </w:p>
        </w:tc>
        <w:tc>
          <w:tcPr>
            <w:tcW w:w="1682" w:type="dxa"/>
          </w:tcPr>
          <w:p w14:paraId="260FC233" w14:textId="77777777" w:rsidR="001E500F" w:rsidRPr="009C5EFD" w:rsidRDefault="00E453CD" w:rsidP="009C5EFD">
            <w:pPr>
              <w:rPr>
                <w:sz w:val="22"/>
                <w:szCs w:val="22"/>
              </w:rPr>
            </w:pPr>
            <w:r w:rsidRPr="009C5EFD">
              <w:rPr>
                <w:sz w:val="22"/>
                <w:szCs w:val="22"/>
              </w:rPr>
              <w:t>Sjeldne</w:t>
            </w:r>
          </w:p>
        </w:tc>
        <w:tc>
          <w:tcPr>
            <w:tcW w:w="4294" w:type="dxa"/>
          </w:tcPr>
          <w:p w14:paraId="4599DB25" w14:textId="77777777" w:rsidR="001E500F" w:rsidRPr="009C5EFD" w:rsidRDefault="00E453CD" w:rsidP="009C5EFD">
            <w:pPr>
              <w:rPr>
                <w:sz w:val="22"/>
                <w:szCs w:val="22"/>
                <w:vertAlign w:val="superscript"/>
              </w:rPr>
            </w:pPr>
            <w:r w:rsidRPr="009C5EFD">
              <w:rPr>
                <w:sz w:val="22"/>
                <w:szCs w:val="22"/>
              </w:rPr>
              <w:t>Leukemi</w:t>
            </w:r>
            <w:r w:rsidRPr="009C5EFD">
              <w:rPr>
                <w:sz w:val="22"/>
                <w:szCs w:val="22"/>
                <w:vertAlign w:val="superscript"/>
              </w:rPr>
              <w:t>1)</w:t>
            </w:r>
          </w:p>
          <w:p w14:paraId="3A7900A5" w14:textId="77777777" w:rsidR="001E500F" w:rsidRPr="009C5EFD" w:rsidRDefault="001E500F" w:rsidP="009C5EFD">
            <w:pPr>
              <w:rPr>
                <w:sz w:val="22"/>
                <w:szCs w:val="22"/>
              </w:rPr>
            </w:pPr>
          </w:p>
        </w:tc>
      </w:tr>
      <w:tr w:rsidR="004644D4" w14:paraId="0658E3A1" w14:textId="77777777" w:rsidTr="00032240">
        <w:tc>
          <w:tcPr>
            <w:tcW w:w="0" w:type="auto"/>
            <w:vMerge/>
            <w:vAlign w:val="center"/>
            <w:hideMark/>
          </w:tcPr>
          <w:p w14:paraId="483FC15D" w14:textId="77777777" w:rsidR="001E500F" w:rsidRPr="009C5EFD" w:rsidRDefault="001E500F" w:rsidP="009C5EFD">
            <w:pPr>
              <w:rPr>
                <w:sz w:val="22"/>
                <w:szCs w:val="22"/>
              </w:rPr>
            </w:pPr>
          </w:p>
        </w:tc>
        <w:tc>
          <w:tcPr>
            <w:tcW w:w="1682" w:type="dxa"/>
            <w:hideMark/>
          </w:tcPr>
          <w:p w14:paraId="50E9F276" w14:textId="77777777" w:rsidR="001E500F" w:rsidRPr="009C5EFD" w:rsidRDefault="00E453CD" w:rsidP="009C5EFD">
            <w:pPr>
              <w:rPr>
                <w:sz w:val="22"/>
                <w:szCs w:val="22"/>
              </w:rPr>
            </w:pPr>
            <w:r w:rsidRPr="009C5EFD">
              <w:rPr>
                <w:sz w:val="22"/>
                <w:szCs w:val="22"/>
              </w:rPr>
              <w:t>Ikke kjent</w:t>
            </w:r>
          </w:p>
        </w:tc>
        <w:tc>
          <w:tcPr>
            <w:tcW w:w="4294" w:type="dxa"/>
          </w:tcPr>
          <w:p w14:paraId="3A07855D" w14:textId="77777777" w:rsidR="001E500F" w:rsidRDefault="00E453CD" w:rsidP="009C5EFD">
            <w:pPr>
              <w:rPr>
                <w:sz w:val="22"/>
                <w:szCs w:val="22"/>
                <w:lang w:val="sv-SE"/>
              </w:rPr>
            </w:pPr>
            <w:r w:rsidRPr="009C5EFD">
              <w:rPr>
                <w:sz w:val="22"/>
                <w:szCs w:val="22"/>
                <w:lang w:val="sv-SE"/>
              </w:rPr>
              <w:t>Hepatosplenisk T-cellelymfom</w:t>
            </w:r>
            <w:r w:rsidRPr="009C5EFD">
              <w:rPr>
                <w:sz w:val="22"/>
                <w:szCs w:val="22"/>
                <w:vertAlign w:val="superscript"/>
                <w:lang w:val="sv-SE"/>
              </w:rPr>
              <w:t>1)</w:t>
            </w:r>
            <w:r w:rsidRPr="009C5EFD">
              <w:rPr>
                <w:sz w:val="22"/>
                <w:szCs w:val="22"/>
                <w:lang w:val="sv-SE"/>
              </w:rPr>
              <w:t>, merkelcellekarsinom (neuroendokrin karsinom av huden</w:t>
            </w:r>
            <w:r w:rsidRPr="009C5EFD">
              <w:rPr>
                <w:sz w:val="22"/>
                <w:szCs w:val="22"/>
                <w:vertAlign w:val="superscript"/>
                <w:lang w:val="sv-SE"/>
              </w:rPr>
              <w:t>1)</w:t>
            </w:r>
            <w:r w:rsidR="00C448C3">
              <w:rPr>
                <w:sz w:val="22"/>
                <w:szCs w:val="22"/>
                <w:vertAlign w:val="superscript"/>
                <w:lang w:val="sv-SE"/>
              </w:rPr>
              <w:t xml:space="preserve">, </w:t>
            </w:r>
          </w:p>
          <w:p w14:paraId="4D941B39" w14:textId="77777777" w:rsidR="00C448C3" w:rsidRPr="00C448C3" w:rsidRDefault="00E453CD" w:rsidP="009C5EFD">
            <w:pPr>
              <w:rPr>
                <w:sz w:val="22"/>
                <w:szCs w:val="22"/>
                <w:lang w:val="sv-SE"/>
              </w:rPr>
            </w:pPr>
            <w:r>
              <w:rPr>
                <w:sz w:val="22"/>
                <w:szCs w:val="22"/>
                <w:lang w:val="sv-SE"/>
              </w:rPr>
              <w:t>Kaposis sarkom</w:t>
            </w:r>
          </w:p>
          <w:p w14:paraId="45E53CC3" w14:textId="77777777" w:rsidR="001E500F" w:rsidRPr="009C5EFD" w:rsidRDefault="001E500F" w:rsidP="009C5EFD">
            <w:pPr>
              <w:rPr>
                <w:sz w:val="22"/>
                <w:szCs w:val="22"/>
                <w:vertAlign w:val="superscript"/>
                <w:lang w:val="sv-SE"/>
              </w:rPr>
            </w:pPr>
          </w:p>
        </w:tc>
      </w:tr>
      <w:tr w:rsidR="004644D4" w14:paraId="33CB23FE" w14:textId="77777777" w:rsidTr="00032240">
        <w:tc>
          <w:tcPr>
            <w:tcW w:w="3079" w:type="dxa"/>
            <w:vMerge w:val="restart"/>
            <w:hideMark/>
          </w:tcPr>
          <w:p w14:paraId="1B21425A" w14:textId="77777777" w:rsidR="001E500F" w:rsidRPr="00193D76" w:rsidRDefault="00E453CD" w:rsidP="007F67EE">
            <w:pPr>
              <w:pStyle w:val="EndnoteText"/>
              <w:rPr>
                <w:szCs w:val="22"/>
                <w:lang w:val="nb-NO"/>
              </w:rPr>
            </w:pPr>
            <w:r w:rsidRPr="007F67EE">
              <w:rPr>
                <w:szCs w:val="22"/>
                <w:lang w:val="nb-NO"/>
              </w:rPr>
              <w:t>Sykdommer</w:t>
            </w:r>
            <w:r w:rsidRPr="00193D76">
              <w:rPr>
                <w:szCs w:val="22"/>
                <w:lang w:val="nb-NO"/>
              </w:rPr>
              <w:t xml:space="preserve"> i blod og lymfatiske organer</w:t>
            </w:r>
          </w:p>
        </w:tc>
        <w:tc>
          <w:tcPr>
            <w:tcW w:w="1682" w:type="dxa"/>
          </w:tcPr>
          <w:p w14:paraId="65FB2646" w14:textId="77777777" w:rsidR="001E500F" w:rsidRPr="00E14E58" w:rsidRDefault="00E453CD" w:rsidP="00193D76">
            <w:pPr>
              <w:rPr>
                <w:sz w:val="22"/>
                <w:szCs w:val="22"/>
              </w:rPr>
            </w:pPr>
            <w:r w:rsidRPr="002D0790">
              <w:rPr>
                <w:sz w:val="22"/>
                <w:szCs w:val="22"/>
              </w:rPr>
              <w:t>Svært vanlige</w:t>
            </w:r>
          </w:p>
        </w:tc>
        <w:tc>
          <w:tcPr>
            <w:tcW w:w="4294" w:type="dxa"/>
          </w:tcPr>
          <w:p w14:paraId="6EF83261" w14:textId="77777777" w:rsidR="001E500F" w:rsidRPr="009C5EFD" w:rsidRDefault="00E453CD" w:rsidP="002D0790">
            <w:pPr>
              <w:rPr>
                <w:sz w:val="22"/>
                <w:szCs w:val="22"/>
              </w:rPr>
            </w:pPr>
            <w:r w:rsidRPr="009C5EFD">
              <w:rPr>
                <w:sz w:val="22"/>
                <w:szCs w:val="22"/>
              </w:rPr>
              <w:t>Leukopeni (inkludert nøytropeni og agranulocytose), anemi</w:t>
            </w:r>
          </w:p>
          <w:p w14:paraId="42B1A31B" w14:textId="77777777" w:rsidR="001E500F" w:rsidRPr="009C5EFD" w:rsidRDefault="001E500F" w:rsidP="00C07C98">
            <w:pPr>
              <w:rPr>
                <w:sz w:val="22"/>
                <w:szCs w:val="22"/>
              </w:rPr>
            </w:pPr>
          </w:p>
        </w:tc>
      </w:tr>
      <w:tr w:rsidR="004644D4" w14:paraId="4F68FF84" w14:textId="77777777" w:rsidTr="00032240">
        <w:tc>
          <w:tcPr>
            <w:tcW w:w="0" w:type="auto"/>
            <w:vMerge/>
            <w:vAlign w:val="center"/>
            <w:hideMark/>
          </w:tcPr>
          <w:p w14:paraId="1330914E" w14:textId="77777777" w:rsidR="001E500F" w:rsidRPr="009C5EFD" w:rsidRDefault="001E500F" w:rsidP="009C5EFD">
            <w:pPr>
              <w:rPr>
                <w:sz w:val="22"/>
                <w:szCs w:val="22"/>
              </w:rPr>
            </w:pPr>
          </w:p>
        </w:tc>
        <w:tc>
          <w:tcPr>
            <w:tcW w:w="1682" w:type="dxa"/>
          </w:tcPr>
          <w:p w14:paraId="4943227F" w14:textId="77777777" w:rsidR="001E500F" w:rsidRPr="009C5EFD" w:rsidRDefault="00E453CD" w:rsidP="009C5EFD">
            <w:pPr>
              <w:rPr>
                <w:sz w:val="22"/>
                <w:szCs w:val="22"/>
              </w:rPr>
            </w:pPr>
            <w:r w:rsidRPr="009C5EFD">
              <w:rPr>
                <w:sz w:val="22"/>
                <w:szCs w:val="22"/>
              </w:rPr>
              <w:t>Vanlige</w:t>
            </w:r>
          </w:p>
          <w:p w14:paraId="2F8F2EB7" w14:textId="77777777" w:rsidR="001E500F" w:rsidRPr="009C5EFD" w:rsidRDefault="001E500F" w:rsidP="009C5EFD">
            <w:pPr>
              <w:rPr>
                <w:sz w:val="22"/>
                <w:szCs w:val="22"/>
              </w:rPr>
            </w:pPr>
          </w:p>
        </w:tc>
        <w:tc>
          <w:tcPr>
            <w:tcW w:w="4294" w:type="dxa"/>
            <w:hideMark/>
          </w:tcPr>
          <w:p w14:paraId="22FFEE63" w14:textId="77777777" w:rsidR="001E500F" w:rsidRPr="009C5EFD" w:rsidRDefault="00E453CD" w:rsidP="009C5EFD">
            <w:pPr>
              <w:rPr>
                <w:sz w:val="22"/>
                <w:szCs w:val="22"/>
              </w:rPr>
            </w:pPr>
            <w:r w:rsidRPr="009C5EFD">
              <w:rPr>
                <w:sz w:val="22"/>
                <w:szCs w:val="22"/>
              </w:rPr>
              <w:t>Leukocytose, trombocytopeni</w:t>
            </w:r>
          </w:p>
        </w:tc>
      </w:tr>
      <w:tr w:rsidR="004644D4" w14:paraId="155E8F66" w14:textId="77777777" w:rsidTr="00032240">
        <w:tc>
          <w:tcPr>
            <w:tcW w:w="0" w:type="auto"/>
            <w:vMerge/>
            <w:vAlign w:val="center"/>
            <w:hideMark/>
          </w:tcPr>
          <w:p w14:paraId="0A1F4399" w14:textId="77777777" w:rsidR="001E500F" w:rsidRPr="009C5EFD" w:rsidRDefault="001E500F" w:rsidP="009C5EFD">
            <w:pPr>
              <w:rPr>
                <w:sz w:val="22"/>
                <w:szCs w:val="22"/>
              </w:rPr>
            </w:pPr>
          </w:p>
        </w:tc>
        <w:tc>
          <w:tcPr>
            <w:tcW w:w="1682" w:type="dxa"/>
          </w:tcPr>
          <w:p w14:paraId="6C70F37C" w14:textId="77777777" w:rsidR="001E500F" w:rsidRPr="009C5EFD" w:rsidRDefault="00E453CD" w:rsidP="009C5EFD">
            <w:pPr>
              <w:rPr>
                <w:sz w:val="22"/>
                <w:szCs w:val="22"/>
              </w:rPr>
            </w:pPr>
            <w:r w:rsidRPr="009C5EFD">
              <w:rPr>
                <w:sz w:val="22"/>
                <w:szCs w:val="22"/>
              </w:rPr>
              <w:t>Mindre vanlige</w:t>
            </w:r>
          </w:p>
          <w:p w14:paraId="4439D103" w14:textId="77777777" w:rsidR="001E500F" w:rsidRPr="009C5EFD" w:rsidRDefault="001E500F" w:rsidP="009C5EFD">
            <w:pPr>
              <w:rPr>
                <w:sz w:val="22"/>
                <w:szCs w:val="22"/>
              </w:rPr>
            </w:pPr>
          </w:p>
        </w:tc>
        <w:tc>
          <w:tcPr>
            <w:tcW w:w="4294" w:type="dxa"/>
            <w:hideMark/>
          </w:tcPr>
          <w:p w14:paraId="79142864" w14:textId="77777777" w:rsidR="001E500F" w:rsidRPr="009C5EFD" w:rsidRDefault="00E453CD" w:rsidP="009C5EFD">
            <w:pPr>
              <w:rPr>
                <w:sz w:val="22"/>
                <w:szCs w:val="22"/>
              </w:rPr>
            </w:pPr>
            <w:r w:rsidRPr="009C5EFD">
              <w:rPr>
                <w:sz w:val="22"/>
                <w:szCs w:val="22"/>
              </w:rPr>
              <w:t>Idiopatisk trombocytopenisk purpura</w:t>
            </w:r>
          </w:p>
        </w:tc>
      </w:tr>
      <w:tr w:rsidR="004644D4" w14:paraId="2D8C6C59" w14:textId="77777777" w:rsidTr="00032240">
        <w:tc>
          <w:tcPr>
            <w:tcW w:w="0" w:type="auto"/>
            <w:vMerge/>
            <w:vAlign w:val="center"/>
            <w:hideMark/>
          </w:tcPr>
          <w:p w14:paraId="67AFF453" w14:textId="77777777" w:rsidR="001E500F" w:rsidRPr="009C5EFD" w:rsidRDefault="001E500F" w:rsidP="009C5EFD">
            <w:pPr>
              <w:rPr>
                <w:sz w:val="22"/>
                <w:szCs w:val="22"/>
              </w:rPr>
            </w:pPr>
          </w:p>
        </w:tc>
        <w:tc>
          <w:tcPr>
            <w:tcW w:w="1682" w:type="dxa"/>
            <w:hideMark/>
          </w:tcPr>
          <w:p w14:paraId="643CFDCD" w14:textId="77777777" w:rsidR="001E500F" w:rsidRPr="009C5EFD" w:rsidRDefault="00E453CD" w:rsidP="009C5EFD">
            <w:pPr>
              <w:rPr>
                <w:sz w:val="22"/>
                <w:szCs w:val="22"/>
              </w:rPr>
            </w:pPr>
            <w:r w:rsidRPr="009C5EFD">
              <w:rPr>
                <w:sz w:val="22"/>
                <w:szCs w:val="22"/>
              </w:rPr>
              <w:t>Sjeldne</w:t>
            </w:r>
          </w:p>
        </w:tc>
        <w:tc>
          <w:tcPr>
            <w:tcW w:w="4294" w:type="dxa"/>
          </w:tcPr>
          <w:p w14:paraId="12E17FA9" w14:textId="77777777" w:rsidR="001E500F" w:rsidRPr="009C5EFD" w:rsidRDefault="00E453CD" w:rsidP="009C5EFD">
            <w:pPr>
              <w:rPr>
                <w:sz w:val="22"/>
                <w:szCs w:val="22"/>
              </w:rPr>
            </w:pPr>
            <w:r w:rsidRPr="009C5EFD">
              <w:rPr>
                <w:sz w:val="22"/>
                <w:szCs w:val="22"/>
              </w:rPr>
              <w:t>Pancytopeni</w:t>
            </w:r>
          </w:p>
          <w:p w14:paraId="6FEB363B" w14:textId="77777777" w:rsidR="001E500F" w:rsidRPr="009C5EFD" w:rsidRDefault="001E500F" w:rsidP="009C5EFD">
            <w:pPr>
              <w:rPr>
                <w:sz w:val="22"/>
                <w:szCs w:val="22"/>
              </w:rPr>
            </w:pPr>
          </w:p>
        </w:tc>
      </w:tr>
      <w:tr w:rsidR="004644D4" w14:paraId="5837D3A8" w14:textId="77777777" w:rsidTr="00032240">
        <w:tc>
          <w:tcPr>
            <w:tcW w:w="3079" w:type="dxa"/>
            <w:vMerge w:val="restart"/>
            <w:hideMark/>
          </w:tcPr>
          <w:p w14:paraId="7F254FFF" w14:textId="77777777" w:rsidR="001E500F" w:rsidRPr="007F67EE" w:rsidRDefault="00E453CD" w:rsidP="007F67EE">
            <w:pPr>
              <w:pStyle w:val="EndnoteText"/>
              <w:tabs>
                <w:tab w:val="clear" w:pos="567"/>
                <w:tab w:val="left" w:pos="708"/>
              </w:tabs>
              <w:rPr>
                <w:szCs w:val="22"/>
                <w:lang w:val="nb-NO"/>
              </w:rPr>
            </w:pPr>
            <w:r w:rsidRPr="007F67EE">
              <w:rPr>
                <w:szCs w:val="22"/>
                <w:lang w:val="nb-NO"/>
              </w:rPr>
              <w:t>Forstyrrelser i immunsystemet*</w:t>
            </w:r>
          </w:p>
        </w:tc>
        <w:tc>
          <w:tcPr>
            <w:tcW w:w="1682" w:type="dxa"/>
            <w:hideMark/>
          </w:tcPr>
          <w:p w14:paraId="557AD648" w14:textId="77777777" w:rsidR="001E500F" w:rsidRPr="002D0790" w:rsidRDefault="00E453CD" w:rsidP="007F67EE">
            <w:pPr>
              <w:rPr>
                <w:sz w:val="22"/>
                <w:szCs w:val="22"/>
              </w:rPr>
            </w:pPr>
            <w:r w:rsidRPr="00193D76">
              <w:rPr>
                <w:sz w:val="22"/>
                <w:szCs w:val="22"/>
              </w:rPr>
              <w:t>Vanl</w:t>
            </w:r>
            <w:r w:rsidRPr="002D0790">
              <w:rPr>
                <w:sz w:val="22"/>
                <w:szCs w:val="22"/>
              </w:rPr>
              <w:t>ige</w:t>
            </w:r>
          </w:p>
        </w:tc>
        <w:tc>
          <w:tcPr>
            <w:tcW w:w="4294" w:type="dxa"/>
          </w:tcPr>
          <w:p w14:paraId="647B70AE" w14:textId="77777777" w:rsidR="001E500F" w:rsidRPr="00C07C98" w:rsidRDefault="00E453CD" w:rsidP="00193D76">
            <w:pPr>
              <w:rPr>
                <w:sz w:val="22"/>
                <w:szCs w:val="22"/>
              </w:rPr>
            </w:pPr>
            <w:r w:rsidRPr="00C07C98">
              <w:rPr>
                <w:sz w:val="22"/>
                <w:szCs w:val="22"/>
              </w:rPr>
              <w:t>Hypersensitivitet, allergier (inkludert sesongbetinget allergi)</w:t>
            </w:r>
          </w:p>
          <w:p w14:paraId="6E9EABF5" w14:textId="77777777" w:rsidR="001E500F" w:rsidRPr="00E14E58" w:rsidRDefault="001E500F" w:rsidP="002D0790">
            <w:pPr>
              <w:rPr>
                <w:sz w:val="22"/>
                <w:szCs w:val="22"/>
                <w:vertAlign w:val="superscript"/>
              </w:rPr>
            </w:pPr>
          </w:p>
        </w:tc>
      </w:tr>
      <w:tr w:rsidR="004644D4" w14:paraId="1C7FC114" w14:textId="77777777" w:rsidTr="00032240">
        <w:tc>
          <w:tcPr>
            <w:tcW w:w="0" w:type="auto"/>
            <w:vMerge/>
            <w:vAlign w:val="center"/>
            <w:hideMark/>
          </w:tcPr>
          <w:p w14:paraId="70BFC565" w14:textId="77777777" w:rsidR="001E500F" w:rsidRPr="009C5EFD" w:rsidRDefault="001E500F" w:rsidP="009C5EFD">
            <w:pPr>
              <w:rPr>
                <w:sz w:val="22"/>
                <w:szCs w:val="22"/>
              </w:rPr>
            </w:pPr>
          </w:p>
        </w:tc>
        <w:tc>
          <w:tcPr>
            <w:tcW w:w="1682" w:type="dxa"/>
          </w:tcPr>
          <w:p w14:paraId="0804AD14" w14:textId="77777777" w:rsidR="001E500F" w:rsidRPr="009C5EFD" w:rsidRDefault="00E453CD" w:rsidP="009C5EFD">
            <w:pPr>
              <w:rPr>
                <w:sz w:val="22"/>
                <w:szCs w:val="22"/>
              </w:rPr>
            </w:pPr>
            <w:r w:rsidRPr="009C5EFD">
              <w:rPr>
                <w:sz w:val="22"/>
                <w:szCs w:val="22"/>
              </w:rPr>
              <w:t>Mindre vanlige</w:t>
            </w:r>
          </w:p>
          <w:p w14:paraId="367095A2" w14:textId="77777777" w:rsidR="001E500F" w:rsidRPr="009C5EFD" w:rsidRDefault="001E500F" w:rsidP="009C5EFD">
            <w:pPr>
              <w:rPr>
                <w:sz w:val="22"/>
                <w:szCs w:val="22"/>
              </w:rPr>
            </w:pPr>
          </w:p>
        </w:tc>
        <w:tc>
          <w:tcPr>
            <w:tcW w:w="4294" w:type="dxa"/>
          </w:tcPr>
          <w:p w14:paraId="182938A1" w14:textId="77777777" w:rsidR="001E500F" w:rsidRPr="009C5EFD" w:rsidRDefault="00E453CD" w:rsidP="009C5EFD">
            <w:pPr>
              <w:rPr>
                <w:sz w:val="22"/>
                <w:szCs w:val="22"/>
              </w:rPr>
            </w:pPr>
            <w:r w:rsidRPr="009C5EFD">
              <w:rPr>
                <w:sz w:val="22"/>
                <w:szCs w:val="22"/>
              </w:rPr>
              <w:t>Sarkoidose</w:t>
            </w:r>
            <w:r w:rsidRPr="009C5EFD">
              <w:rPr>
                <w:sz w:val="22"/>
                <w:szCs w:val="22"/>
                <w:vertAlign w:val="superscript"/>
              </w:rPr>
              <w:t>1)</w:t>
            </w:r>
            <w:r w:rsidRPr="009C5EFD">
              <w:rPr>
                <w:sz w:val="22"/>
                <w:szCs w:val="22"/>
              </w:rPr>
              <w:t>, vaskulitt</w:t>
            </w:r>
          </w:p>
          <w:p w14:paraId="006E24A0" w14:textId="77777777" w:rsidR="001E500F" w:rsidRPr="009C5EFD" w:rsidRDefault="001E500F" w:rsidP="009C5EFD">
            <w:pPr>
              <w:rPr>
                <w:sz w:val="22"/>
                <w:szCs w:val="22"/>
              </w:rPr>
            </w:pPr>
          </w:p>
        </w:tc>
      </w:tr>
      <w:tr w:rsidR="004644D4" w14:paraId="3917A02C" w14:textId="77777777" w:rsidTr="00032240">
        <w:tc>
          <w:tcPr>
            <w:tcW w:w="0" w:type="auto"/>
            <w:vMerge/>
            <w:vAlign w:val="center"/>
            <w:hideMark/>
          </w:tcPr>
          <w:p w14:paraId="6C1EE385" w14:textId="77777777" w:rsidR="001E500F" w:rsidRPr="009C5EFD" w:rsidRDefault="001E500F" w:rsidP="009C5EFD">
            <w:pPr>
              <w:rPr>
                <w:sz w:val="22"/>
                <w:szCs w:val="22"/>
              </w:rPr>
            </w:pPr>
          </w:p>
        </w:tc>
        <w:tc>
          <w:tcPr>
            <w:tcW w:w="1682" w:type="dxa"/>
          </w:tcPr>
          <w:p w14:paraId="780B670D" w14:textId="77777777" w:rsidR="001E500F" w:rsidRPr="009C5EFD" w:rsidRDefault="00E453CD" w:rsidP="009C5EFD">
            <w:pPr>
              <w:rPr>
                <w:sz w:val="22"/>
                <w:szCs w:val="22"/>
              </w:rPr>
            </w:pPr>
            <w:r w:rsidRPr="009C5EFD">
              <w:rPr>
                <w:sz w:val="22"/>
                <w:szCs w:val="22"/>
              </w:rPr>
              <w:t>Sjeldne</w:t>
            </w:r>
          </w:p>
          <w:p w14:paraId="687D5E5F" w14:textId="77777777" w:rsidR="001E500F" w:rsidRPr="009C5EFD" w:rsidRDefault="001E500F" w:rsidP="009C5EFD">
            <w:pPr>
              <w:rPr>
                <w:sz w:val="22"/>
                <w:szCs w:val="22"/>
              </w:rPr>
            </w:pPr>
          </w:p>
        </w:tc>
        <w:tc>
          <w:tcPr>
            <w:tcW w:w="4294" w:type="dxa"/>
            <w:hideMark/>
          </w:tcPr>
          <w:p w14:paraId="2C9A5E12" w14:textId="77777777" w:rsidR="001E500F" w:rsidRPr="009C5EFD" w:rsidRDefault="00E453CD" w:rsidP="009C5EFD">
            <w:pPr>
              <w:rPr>
                <w:sz w:val="22"/>
                <w:szCs w:val="22"/>
              </w:rPr>
            </w:pPr>
            <w:r w:rsidRPr="009C5EFD">
              <w:rPr>
                <w:sz w:val="22"/>
                <w:szCs w:val="22"/>
              </w:rPr>
              <w:t>Anafylaksi</w:t>
            </w:r>
            <w:r w:rsidRPr="009C5EFD">
              <w:rPr>
                <w:sz w:val="22"/>
                <w:szCs w:val="22"/>
                <w:vertAlign w:val="superscript"/>
              </w:rPr>
              <w:t>1)</w:t>
            </w:r>
          </w:p>
        </w:tc>
      </w:tr>
      <w:tr w:rsidR="004644D4" w14:paraId="120B4814" w14:textId="77777777" w:rsidTr="00032240">
        <w:tc>
          <w:tcPr>
            <w:tcW w:w="3079" w:type="dxa"/>
            <w:vMerge w:val="restart"/>
            <w:hideMark/>
          </w:tcPr>
          <w:p w14:paraId="5A688456" w14:textId="77777777" w:rsidR="001E500F" w:rsidRPr="007F67EE" w:rsidRDefault="00E453CD" w:rsidP="007F67EE">
            <w:pPr>
              <w:pStyle w:val="EndnoteText"/>
              <w:rPr>
                <w:szCs w:val="22"/>
                <w:lang w:val="nb-NO"/>
              </w:rPr>
            </w:pPr>
            <w:r w:rsidRPr="007F67EE">
              <w:rPr>
                <w:szCs w:val="22"/>
                <w:lang w:val="nb-NO"/>
              </w:rPr>
              <w:t>Stoffskifte- og ernæringsbetingede sykdommer</w:t>
            </w:r>
          </w:p>
        </w:tc>
        <w:tc>
          <w:tcPr>
            <w:tcW w:w="1682" w:type="dxa"/>
          </w:tcPr>
          <w:p w14:paraId="76A9B49A" w14:textId="77777777" w:rsidR="001E500F" w:rsidRPr="00193D76" w:rsidRDefault="00E453CD" w:rsidP="007F67EE">
            <w:pPr>
              <w:rPr>
                <w:sz w:val="22"/>
                <w:szCs w:val="22"/>
              </w:rPr>
            </w:pPr>
            <w:r w:rsidRPr="00193D76">
              <w:rPr>
                <w:sz w:val="22"/>
                <w:szCs w:val="22"/>
              </w:rPr>
              <w:t>Svært vanlige</w:t>
            </w:r>
          </w:p>
          <w:p w14:paraId="67825E38" w14:textId="77777777" w:rsidR="001E500F" w:rsidRPr="002D0790" w:rsidRDefault="001E500F" w:rsidP="00193D76">
            <w:pPr>
              <w:rPr>
                <w:sz w:val="22"/>
                <w:szCs w:val="22"/>
              </w:rPr>
            </w:pPr>
          </w:p>
        </w:tc>
        <w:tc>
          <w:tcPr>
            <w:tcW w:w="4294" w:type="dxa"/>
          </w:tcPr>
          <w:p w14:paraId="0F65884D" w14:textId="77777777" w:rsidR="001E500F" w:rsidRPr="00C07C98" w:rsidRDefault="00E453CD" w:rsidP="002D0790">
            <w:pPr>
              <w:rPr>
                <w:sz w:val="22"/>
                <w:szCs w:val="22"/>
              </w:rPr>
            </w:pPr>
            <w:r w:rsidRPr="00C07C98">
              <w:rPr>
                <w:sz w:val="22"/>
                <w:szCs w:val="22"/>
              </w:rPr>
              <w:t>Lipidøkning</w:t>
            </w:r>
          </w:p>
          <w:p w14:paraId="452AB269" w14:textId="77777777" w:rsidR="001E500F" w:rsidRPr="00C07C98" w:rsidRDefault="001E500F" w:rsidP="00C07C98">
            <w:pPr>
              <w:rPr>
                <w:sz w:val="22"/>
                <w:szCs w:val="22"/>
              </w:rPr>
            </w:pPr>
          </w:p>
        </w:tc>
      </w:tr>
      <w:tr w:rsidR="004644D4" w14:paraId="4B9CCB49" w14:textId="77777777" w:rsidTr="00032240">
        <w:tc>
          <w:tcPr>
            <w:tcW w:w="0" w:type="auto"/>
            <w:vMerge/>
            <w:vAlign w:val="center"/>
            <w:hideMark/>
          </w:tcPr>
          <w:p w14:paraId="55D8EA40" w14:textId="77777777" w:rsidR="001E500F" w:rsidRPr="009C5EFD" w:rsidRDefault="001E500F" w:rsidP="009C5EFD">
            <w:pPr>
              <w:rPr>
                <w:sz w:val="22"/>
                <w:szCs w:val="22"/>
              </w:rPr>
            </w:pPr>
          </w:p>
        </w:tc>
        <w:tc>
          <w:tcPr>
            <w:tcW w:w="1682" w:type="dxa"/>
          </w:tcPr>
          <w:p w14:paraId="7D9F81EC" w14:textId="77777777" w:rsidR="001E500F" w:rsidRPr="009C5EFD" w:rsidRDefault="00E453CD" w:rsidP="009C5EFD">
            <w:pPr>
              <w:rPr>
                <w:sz w:val="22"/>
                <w:szCs w:val="22"/>
              </w:rPr>
            </w:pPr>
            <w:r w:rsidRPr="009C5EFD">
              <w:rPr>
                <w:sz w:val="22"/>
                <w:szCs w:val="22"/>
              </w:rPr>
              <w:t>Vanlige</w:t>
            </w:r>
          </w:p>
        </w:tc>
        <w:tc>
          <w:tcPr>
            <w:tcW w:w="4294" w:type="dxa"/>
            <w:hideMark/>
          </w:tcPr>
          <w:p w14:paraId="6B48316B" w14:textId="77777777" w:rsidR="001E500F" w:rsidRPr="009C5EFD" w:rsidRDefault="00E453CD" w:rsidP="009C5EFD">
            <w:pPr>
              <w:rPr>
                <w:sz w:val="22"/>
                <w:szCs w:val="22"/>
              </w:rPr>
            </w:pPr>
            <w:r w:rsidRPr="009C5EFD">
              <w:rPr>
                <w:sz w:val="22"/>
                <w:szCs w:val="22"/>
              </w:rPr>
              <w:t>Hypokalemi, forhøyet urinsyre, unormale natriumverdier i blod, hypokalsemi, hyperglykemi, hypofosfatemi, dehydrering</w:t>
            </w:r>
          </w:p>
        </w:tc>
      </w:tr>
      <w:tr w:rsidR="004644D4" w14:paraId="64AC8CC4" w14:textId="77777777" w:rsidTr="00032240">
        <w:tc>
          <w:tcPr>
            <w:tcW w:w="3079" w:type="dxa"/>
            <w:hideMark/>
          </w:tcPr>
          <w:p w14:paraId="592F7B45" w14:textId="77777777" w:rsidR="001E500F" w:rsidRPr="007F67EE" w:rsidRDefault="00E453CD" w:rsidP="007F67EE">
            <w:pPr>
              <w:pStyle w:val="EndnoteText"/>
              <w:tabs>
                <w:tab w:val="clear" w:pos="567"/>
                <w:tab w:val="left" w:pos="708"/>
              </w:tabs>
              <w:rPr>
                <w:szCs w:val="22"/>
                <w:lang w:val="nb-NO"/>
              </w:rPr>
            </w:pPr>
            <w:r w:rsidRPr="007F67EE">
              <w:rPr>
                <w:szCs w:val="22"/>
                <w:lang w:val="nb-NO"/>
              </w:rPr>
              <w:t>Psykiatriske lidelser</w:t>
            </w:r>
          </w:p>
        </w:tc>
        <w:tc>
          <w:tcPr>
            <w:tcW w:w="1682" w:type="dxa"/>
            <w:hideMark/>
          </w:tcPr>
          <w:p w14:paraId="0D98F869" w14:textId="77777777" w:rsidR="001E500F" w:rsidRPr="00193D76" w:rsidRDefault="00E453CD" w:rsidP="007F67EE">
            <w:pPr>
              <w:rPr>
                <w:sz w:val="22"/>
                <w:szCs w:val="22"/>
              </w:rPr>
            </w:pPr>
            <w:r w:rsidRPr="00193D76">
              <w:rPr>
                <w:sz w:val="22"/>
                <w:szCs w:val="22"/>
              </w:rPr>
              <w:t>Vanlige</w:t>
            </w:r>
          </w:p>
        </w:tc>
        <w:tc>
          <w:tcPr>
            <w:tcW w:w="4294" w:type="dxa"/>
          </w:tcPr>
          <w:p w14:paraId="407E8EAA" w14:textId="77777777" w:rsidR="001E500F" w:rsidRPr="002D0790" w:rsidRDefault="00E453CD" w:rsidP="00193D76">
            <w:pPr>
              <w:pStyle w:val="EMEAFigureTitle"/>
              <w:tabs>
                <w:tab w:val="clear" w:pos="562"/>
                <w:tab w:val="left" w:pos="708"/>
              </w:tabs>
              <w:suppressAutoHyphens w:val="0"/>
              <w:rPr>
                <w:lang w:val="nb-NO"/>
              </w:rPr>
            </w:pPr>
            <w:r w:rsidRPr="002D0790">
              <w:rPr>
                <w:lang w:val="nb-NO"/>
              </w:rPr>
              <w:t>Humørforandringer (inkludert depresjon), angst,</w:t>
            </w:r>
          </w:p>
          <w:p w14:paraId="5233E447" w14:textId="77777777" w:rsidR="001E500F" w:rsidRPr="00C07C98" w:rsidRDefault="00E453CD" w:rsidP="002D0790">
            <w:pPr>
              <w:pStyle w:val="EMEAFigureTitle"/>
              <w:tabs>
                <w:tab w:val="clear" w:pos="562"/>
                <w:tab w:val="left" w:pos="708"/>
              </w:tabs>
              <w:suppressAutoHyphens w:val="0"/>
              <w:rPr>
                <w:lang w:val="nb-NO"/>
              </w:rPr>
            </w:pPr>
            <w:r w:rsidRPr="00C07C98">
              <w:rPr>
                <w:lang w:val="nb-NO"/>
              </w:rPr>
              <w:t>søvnløshet</w:t>
            </w:r>
          </w:p>
          <w:p w14:paraId="2BC94D70" w14:textId="77777777" w:rsidR="001E500F" w:rsidRPr="00C07C98" w:rsidRDefault="001E500F" w:rsidP="00C07C98">
            <w:pPr>
              <w:rPr>
                <w:sz w:val="22"/>
                <w:szCs w:val="22"/>
              </w:rPr>
            </w:pPr>
          </w:p>
        </w:tc>
      </w:tr>
      <w:tr w:rsidR="004644D4" w14:paraId="196F986B" w14:textId="77777777" w:rsidTr="00032240">
        <w:tc>
          <w:tcPr>
            <w:tcW w:w="3079" w:type="dxa"/>
            <w:vMerge w:val="restart"/>
            <w:hideMark/>
          </w:tcPr>
          <w:p w14:paraId="4AA11531" w14:textId="77777777" w:rsidR="001E500F" w:rsidRPr="009C5EFD" w:rsidRDefault="00E453CD" w:rsidP="007F67EE">
            <w:pPr>
              <w:rPr>
                <w:sz w:val="22"/>
                <w:szCs w:val="22"/>
              </w:rPr>
            </w:pPr>
            <w:r w:rsidRPr="009C5EFD">
              <w:rPr>
                <w:sz w:val="22"/>
                <w:szCs w:val="22"/>
              </w:rPr>
              <w:t xml:space="preserve">Nevrologiske sykdommer* </w:t>
            </w:r>
          </w:p>
        </w:tc>
        <w:tc>
          <w:tcPr>
            <w:tcW w:w="1682" w:type="dxa"/>
          </w:tcPr>
          <w:p w14:paraId="20B6D869" w14:textId="77777777" w:rsidR="001E500F" w:rsidRPr="009C5EFD" w:rsidRDefault="00E453CD" w:rsidP="007F67EE">
            <w:pPr>
              <w:rPr>
                <w:sz w:val="22"/>
                <w:szCs w:val="22"/>
              </w:rPr>
            </w:pPr>
            <w:r w:rsidRPr="009C5EFD">
              <w:rPr>
                <w:sz w:val="22"/>
                <w:szCs w:val="22"/>
              </w:rPr>
              <w:t>Svært vanlige</w:t>
            </w:r>
          </w:p>
          <w:p w14:paraId="2199054B" w14:textId="77777777" w:rsidR="001E500F" w:rsidRPr="009C5EFD" w:rsidRDefault="001E500F" w:rsidP="00193D76">
            <w:pPr>
              <w:rPr>
                <w:sz w:val="22"/>
                <w:szCs w:val="22"/>
              </w:rPr>
            </w:pPr>
          </w:p>
        </w:tc>
        <w:tc>
          <w:tcPr>
            <w:tcW w:w="4294" w:type="dxa"/>
            <w:hideMark/>
          </w:tcPr>
          <w:p w14:paraId="066CDD39" w14:textId="77777777" w:rsidR="001E500F" w:rsidRPr="009C5EFD" w:rsidRDefault="00E453CD" w:rsidP="002D0790">
            <w:pPr>
              <w:rPr>
                <w:sz w:val="22"/>
                <w:szCs w:val="22"/>
              </w:rPr>
            </w:pPr>
            <w:r w:rsidRPr="009C5EFD">
              <w:rPr>
                <w:sz w:val="22"/>
                <w:szCs w:val="22"/>
              </w:rPr>
              <w:t>Hodepine</w:t>
            </w:r>
          </w:p>
        </w:tc>
      </w:tr>
      <w:tr w:rsidR="004644D4" w14:paraId="2DBA7BBE" w14:textId="77777777" w:rsidTr="00032240">
        <w:tc>
          <w:tcPr>
            <w:tcW w:w="0" w:type="auto"/>
            <w:vMerge/>
            <w:vAlign w:val="center"/>
            <w:hideMark/>
          </w:tcPr>
          <w:p w14:paraId="69370A00" w14:textId="77777777" w:rsidR="001E500F" w:rsidRPr="009C5EFD" w:rsidRDefault="001E500F" w:rsidP="009C5EFD">
            <w:pPr>
              <w:rPr>
                <w:sz w:val="22"/>
                <w:szCs w:val="22"/>
              </w:rPr>
            </w:pPr>
          </w:p>
        </w:tc>
        <w:tc>
          <w:tcPr>
            <w:tcW w:w="1682" w:type="dxa"/>
          </w:tcPr>
          <w:p w14:paraId="7F8786A0" w14:textId="77777777" w:rsidR="001E500F" w:rsidRPr="009C5EFD" w:rsidRDefault="00E453CD" w:rsidP="009C5EFD">
            <w:pPr>
              <w:rPr>
                <w:sz w:val="22"/>
                <w:szCs w:val="22"/>
              </w:rPr>
            </w:pPr>
            <w:r w:rsidRPr="009C5EFD">
              <w:rPr>
                <w:sz w:val="22"/>
                <w:szCs w:val="22"/>
              </w:rPr>
              <w:t>Vanlige</w:t>
            </w:r>
          </w:p>
          <w:p w14:paraId="0D44A628" w14:textId="77777777" w:rsidR="001E500F" w:rsidRPr="009C5EFD" w:rsidRDefault="001E500F" w:rsidP="009C5EFD">
            <w:pPr>
              <w:rPr>
                <w:sz w:val="22"/>
                <w:szCs w:val="22"/>
              </w:rPr>
            </w:pPr>
          </w:p>
        </w:tc>
        <w:tc>
          <w:tcPr>
            <w:tcW w:w="4294" w:type="dxa"/>
            <w:hideMark/>
          </w:tcPr>
          <w:p w14:paraId="1DA71417" w14:textId="77777777" w:rsidR="001E500F" w:rsidRPr="009C5EFD" w:rsidRDefault="00E453CD" w:rsidP="009C5EFD">
            <w:pPr>
              <w:rPr>
                <w:sz w:val="22"/>
                <w:szCs w:val="22"/>
              </w:rPr>
            </w:pPr>
            <w:r w:rsidRPr="009C5EFD">
              <w:rPr>
                <w:sz w:val="22"/>
                <w:szCs w:val="22"/>
              </w:rPr>
              <w:t xml:space="preserve">Parestesier (inkludert hypoestesi), migrene, kompresjon av nerverot </w:t>
            </w:r>
          </w:p>
        </w:tc>
      </w:tr>
      <w:tr w:rsidR="004644D4" w14:paraId="27533CDB" w14:textId="77777777" w:rsidTr="00032240">
        <w:tc>
          <w:tcPr>
            <w:tcW w:w="0" w:type="auto"/>
            <w:vMerge/>
            <w:vAlign w:val="center"/>
            <w:hideMark/>
          </w:tcPr>
          <w:p w14:paraId="6629E324" w14:textId="77777777" w:rsidR="001E500F" w:rsidRPr="009C5EFD" w:rsidRDefault="001E500F" w:rsidP="009C5EFD">
            <w:pPr>
              <w:rPr>
                <w:sz w:val="22"/>
                <w:szCs w:val="22"/>
              </w:rPr>
            </w:pPr>
          </w:p>
        </w:tc>
        <w:tc>
          <w:tcPr>
            <w:tcW w:w="1682" w:type="dxa"/>
          </w:tcPr>
          <w:p w14:paraId="6FFBC1FA" w14:textId="77777777" w:rsidR="001E500F" w:rsidRPr="009C5EFD" w:rsidRDefault="00E453CD" w:rsidP="009C5EFD">
            <w:pPr>
              <w:rPr>
                <w:sz w:val="22"/>
                <w:szCs w:val="22"/>
              </w:rPr>
            </w:pPr>
            <w:r w:rsidRPr="009C5EFD">
              <w:rPr>
                <w:sz w:val="22"/>
                <w:szCs w:val="22"/>
              </w:rPr>
              <w:t>Mindre vanlige</w:t>
            </w:r>
          </w:p>
          <w:p w14:paraId="284D9539" w14:textId="77777777" w:rsidR="001E500F" w:rsidRPr="009C5EFD" w:rsidRDefault="001E500F" w:rsidP="009C5EFD">
            <w:pPr>
              <w:rPr>
                <w:sz w:val="22"/>
                <w:szCs w:val="22"/>
              </w:rPr>
            </w:pPr>
          </w:p>
        </w:tc>
        <w:tc>
          <w:tcPr>
            <w:tcW w:w="4294" w:type="dxa"/>
          </w:tcPr>
          <w:p w14:paraId="436279DB" w14:textId="77777777" w:rsidR="001E500F" w:rsidRPr="009C5EFD" w:rsidRDefault="00E453CD" w:rsidP="009C5EFD">
            <w:pPr>
              <w:pStyle w:val="Heading9"/>
              <w:spacing w:before="0" w:after="0"/>
              <w:rPr>
                <w:rFonts w:ascii="Times New Roman" w:hAnsi="Times New Roman" w:cs="Times New Roman"/>
              </w:rPr>
            </w:pPr>
            <w:r w:rsidRPr="009C5EFD">
              <w:rPr>
                <w:rFonts w:ascii="Times New Roman" w:hAnsi="Times New Roman" w:cs="Times New Roman"/>
              </w:rPr>
              <w:t>Cerebrovaskulær sykdom</w:t>
            </w:r>
            <w:r w:rsidRPr="009C5EFD">
              <w:rPr>
                <w:rFonts w:ascii="Times New Roman" w:hAnsi="Times New Roman" w:cs="Times New Roman"/>
                <w:vertAlign w:val="superscript"/>
              </w:rPr>
              <w:t>1)</w:t>
            </w:r>
            <w:r w:rsidRPr="009C5EFD">
              <w:rPr>
                <w:rFonts w:ascii="Times New Roman" w:hAnsi="Times New Roman" w:cs="Times New Roman"/>
              </w:rPr>
              <w:t>, tremor, neuropati</w:t>
            </w:r>
          </w:p>
          <w:p w14:paraId="33E9B1B5" w14:textId="77777777" w:rsidR="001E500F" w:rsidRPr="009C5EFD" w:rsidRDefault="001E500F" w:rsidP="009C5EFD">
            <w:pPr>
              <w:rPr>
                <w:sz w:val="22"/>
                <w:szCs w:val="22"/>
              </w:rPr>
            </w:pPr>
          </w:p>
        </w:tc>
      </w:tr>
      <w:tr w:rsidR="004644D4" w14:paraId="4C980FDF" w14:textId="77777777" w:rsidTr="00032240">
        <w:trPr>
          <w:trHeight w:val="1012"/>
        </w:trPr>
        <w:tc>
          <w:tcPr>
            <w:tcW w:w="0" w:type="auto"/>
            <w:vMerge/>
            <w:vAlign w:val="center"/>
            <w:hideMark/>
          </w:tcPr>
          <w:p w14:paraId="3F5257B4" w14:textId="77777777" w:rsidR="007866C9" w:rsidRPr="009C5EFD" w:rsidRDefault="007866C9" w:rsidP="009C5EFD">
            <w:pPr>
              <w:rPr>
                <w:sz w:val="22"/>
                <w:szCs w:val="22"/>
              </w:rPr>
            </w:pPr>
          </w:p>
        </w:tc>
        <w:tc>
          <w:tcPr>
            <w:tcW w:w="1682" w:type="dxa"/>
          </w:tcPr>
          <w:p w14:paraId="54FB6C6E" w14:textId="77777777" w:rsidR="007866C9" w:rsidRPr="009C5EFD" w:rsidRDefault="00E453CD" w:rsidP="009C5EFD">
            <w:pPr>
              <w:rPr>
                <w:sz w:val="22"/>
                <w:szCs w:val="22"/>
              </w:rPr>
            </w:pPr>
            <w:r w:rsidRPr="009C5EFD">
              <w:rPr>
                <w:sz w:val="22"/>
                <w:szCs w:val="22"/>
              </w:rPr>
              <w:t>Sjeldne</w:t>
            </w:r>
          </w:p>
          <w:p w14:paraId="4C7BA235" w14:textId="77777777" w:rsidR="007866C9" w:rsidRPr="009C5EFD" w:rsidRDefault="007866C9" w:rsidP="009C5EFD">
            <w:pPr>
              <w:rPr>
                <w:sz w:val="22"/>
                <w:szCs w:val="22"/>
              </w:rPr>
            </w:pPr>
          </w:p>
        </w:tc>
        <w:tc>
          <w:tcPr>
            <w:tcW w:w="4294" w:type="dxa"/>
          </w:tcPr>
          <w:p w14:paraId="3E0ABAD3" w14:textId="77777777" w:rsidR="007866C9" w:rsidRPr="009C5EFD" w:rsidRDefault="00E453CD" w:rsidP="009C5EFD">
            <w:pPr>
              <w:rPr>
                <w:sz w:val="22"/>
                <w:szCs w:val="22"/>
              </w:rPr>
            </w:pPr>
            <w:r w:rsidRPr="009C5EFD">
              <w:rPr>
                <w:sz w:val="22"/>
                <w:szCs w:val="22"/>
              </w:rPr>
              <w:t>Multippel sklerose</w:t>
            </w:r>
          </w:p>
          <w:p w14:paraId="3CADF5E3" w14:textId="77777777" w:rsidR="007866C9" w:rsidRPr="009C5EFD" w:rsidRDefault="00E453CD" w:rsidP="009C5EFD">
            <w:pPr>
              <w:rPr>
                <w:sz w:val="22"/>
                <w:szCs w:val="22"/>
                <w:vertAlign w:val="superscript"/>
              </w:rPr>
            </w:pPr>
            <w:r w:rsidRPr="009C5EFD">
              <w:rPr>
                <w:sz w:val="22"/>
                <w:szCs w:val="22"/>
              </w:rPr>
              <w:t>Demyeliniseringsforstyrrelser (f. eks. optisk nevritt, Guillain-Barré syndrom)</w:t>
            </w:r>
            <w:r w:rsidRPr="009C5EFD">
              <w:rPr>
                <w:sz w:val="22"/>
                <w:szCs w:val="22"/>
                <w:vertAlign w:val="superscript"/>
              </w:rPr>
              <w:t>1)</w:t>
            </w:r>
          </w:p>
          <w:p w14:paraId="78BED902" w14:textId="77777777" w:rsidR="007866C9" w:rsidRPr="009C5EFD" w:rsidRDefault="007866C9" w:rsidP="009C5EFD">
            <w:pPr>
              <w:rPr>
                <w:sz w:val="22"/>
                <w:szCs w:val="22"/>
              </w:rPr>
            </w:pPr>
          </w:p>
        </w:tc>
      </w:tr>
      <w:tr w:rsidR="004644D4" w14:paraId="639C6494" w14:textId="77777777" w:rsidTr="00032240">
        <w:tc>
          <w:tcPr>
            <w:tcW w:w="3079" w:type="dxa"/>
            <w:vMerge w:val="restart"/>
            <w:hideMark/>
          </w:tcPr>
          <w:p w14:paraId="00A5B874" w14:textId="77777777" w:rsidR="001E500F" w:rsidRPr="009C5EFD" w:rsidRDefault="00E453CD" w:rsidP="007F67EE">
            <w:pPr>
              <w:rPr>
                <w:sz w:val="22"/>
                <w:szCs w:val="22"/>
              </w:rPr>
            </w:pPr>
            <w:r w:rsidRPr="009C5EFD">
              <w:rPr>
                <w:sz w:val="22"/>
                <w:szCs w:val="22"/>
              </w:rPr>
              <w:t>Øyesykdommer</w:t>
            </w:r>
          </w:p>
        </w:tc>
        <w:tc>
          <w:tcPr>
            <w:tcW w:w="1682" w:type="dxa"/>
          </w:tcPr>
          <w:p w14:paraId="70A1F6D4" w14:textId="77777777" w:rsidR="001E500F" w:rsidRPr="009C5EFD" w:rsidRDefault="00E453CD" w:rsidP="007F67EE">
            <w:pPr>
              <w:pStyle w:val="EndnoteText"/>
              <w:tabs>
                <w:tab w:val="clear" w:pos="567"/>
                <w:tab w:val="left" w:pos="708"/>
              </w:tabs>
              <w:rPr>
                <w:szCs w:val="22"/>
                <w:lang w:val="nb-NO"/>
              </w:rPr>
            </w:pPr>
            <w:r w:rsidRPr="009C5EFD">
              <w:rPr>
                <w:szCs w:val="22"/>
                <w:lang w:val="nb-NO"/>
              </w:rPr>
              <w:t>Vanlige</w:t>
            </w:r>
          </w:p>
          <w:p w14:paraId="1087282B" w14:textId="77777777" w:rsidR="001E500F" w:rsidRPr="009C5EFD" w:rsidRDefault="001E500F" w:rsidP="00193D76">
            <w:pPr>
              <w:pStyle w:val="EndnoteText"/>
              <w:tabs>
                <w:tab w:val="clear" w:pos="567"/>
                <w:tab w:val="left" w:pos="708"/>
              </w:tabs>
              <w:rPr>
                <w:szCs w:val="22"/>
                <w:lang w:val="nb-NO"/>
              </w:rPr>
            </w:pPr>
          </w:p>
        </w:tc>
        <w:tc>
          <w:tcPr>
            <w:tcW w:w="4294" w:type="dxa"/>
            <w:hideMark/>
          </w:tcPr>
          <w:p w14:paraId="2C1CB018" w14:textId="77777777" w:rsidR="001E500F" w:rsidRPr="009C5EFD" w:rsidRDefault="00E453CD" w:rsidP="002D0790">
            <w:pPr>
              <w:rPr>
                <w:sz w:val="22"/>
                <w:szCs w:val="22"/>
              </w:rPr>
            </w:pPr>
            <w:r w:rsidRPr="009C5EFD">
              <w:rPr>
                <w:sz w:val="22"/>
                <w:szCs w:val="22"/>
              </w:rPr>
              <w:t>Synsforstyrrelser, konjunktivitt, blefaritt, hevelse i øye</w:t>
            </w:r>
          </w:p>
        </w:tc>
      </w:tr>
      <w:tr w:rsidR="004644D4" w14:paraId="5FF1BE29" w14:textId="77777777" w:rsidTr="00032240">
        <w:tc>
          <w:tcPr>
            <w:tcW w:w="0" w:type="auto"/>
            <w:vMerge/>
            <w:vAlign w:val="center"/>
            <w:hideMark/>
          </w:tcPr>
          <w:p w14:paraId="01CB7622" w14:textId="77777777" w:rsidR="001E500F" w:rsidRPr="009C5EFD" w:rsidRDefault="001E500F" w:rsidP="009C5EFD">
            <w:pPr>
              <w:rPr>
                <w:sz w:val="22"/>
                <w:szCs w:val="22"/>
              </w:rPr>
            </w:pPr>
          </w:p>
        </w:tc>
        <w:tc>
          <w:tcPr>
            <w:tcW w:w="1682" w:type="dxa"/>
            <w:hideMark/>
          </w:tcPr>
          <w:p w14:paraId="757FAD32" w14:textId="77777777" w:rsidR="001E500F" w:rsidRPr="009C5EFD" w:rsidRDefault="00E453CD" w:rsidP="009C5EFD">
            <w:pPr>
              <w:pStyle w:val="EndnoteText"/>
              <w:tabs>
                <w:tab w:val="clear" w:pos="567"/>
                <w:tab w:val="left" w:pos="708"/>
              </w:tabs>
              <w:rPr>
                <w:szCs w:val="22"/>
                <w:lang w:val="nb-NO"/>
              </w:rPr>
            </w:pPr>
            <w:r w:rsidRPr="009C5EFD">
              <w:rPr>
                <w:szCs w:val="22"/>
                <w:lang w:val="nb-NO"/>
              </w:rPr>
              <w:t>Mindre vanlige</w:t>
            </w:r>
          </w:p>
        </w:tc>
        <w:tc>
          <w:tcPr>
            <w:tcW w:w="4294" w:type="dxa"/>
          </w:tcPr>
          <w:p w14:paraId="3E2455DF" w14:textId="77777777" w:rsidR="001E500F" w:rsidRPr="009C5EFD" w:rsidRDefault="00E453CD" w:rsidP="009C5EFD">
            <w:pPr>
              <w:rPr>
                <w:sz w:val="22"/>
                <w:szCs w:val="22"/>
              </w:rPr>
            </w:pPr>
            <w:r w:rsidRPr="009C5EFD">
              <w:rPr>
                <w:sz w:val="22"/>
                <w:szCs w:val="22"/>
              </w:rPr>
              <w:t xml:space="preserve">Diplopi </w:t>
            </w:r>
          </w:p>
          <w:p w14:paraId="12FF1C6A" w14:textId="77777777" w:rsidR="001E500F" w:rsidRPr="009C5EFD" w:rsidRDefault="001E500F" w:rsidP="009C5EFD">
            <w:pPr>
              <w:rPr>
                <w:sz w:val="22"/>
                <w:szCs w:val="22"/>
              </w:rPr>
            </w:pPr>
          </w:p>
        </w:tc>
      </w:tr>
      <w:tr w:rsidR="004644D4" w14:paraId="0AD571FB" w14:textId="77777777" w:rsidTr="00032240">
        <w:tc>
          <w:tcPr>
            <w:tcW w:w="3079" w:type="dxa"/>
            <w:vMerge w:val="restart"/>
            <w:hideMark/>
          </w:tcPr>
          <w:p w14:paraId="581918D0" w14:textId="77777777" w:rsidR="001E500F" w:rsidRPr="009C5EFD" w:rsidRDefault="00E453CD" w:rsidP="007F67EE">
            <w:pPr>
              <w:rPr>
                <w:sz w:val="22"/>
                <w:szCs w:val="22"/>
              </w:rPr>
            </w:pPr>
            <w:r w:rsidRPr="009C5EFD">
              <w:rPr>
                <w:sz w:val="22"/>
                <w:szCs w:val="22"/>
              </w:rPr>
              <w:t>Sykdommer i øre og labyrint</w:t>
            </w:r>
          </w:p>
        </w:tc>
        <w:tc>
          <w:tcPr>
            <w:tcW w:w="1682" w:type="dxa"/>
          </w:tcPr>
          <w:p w14:paraId="55D9CF4F" w14:textId="77777777" w:rsidR="001E500F" w:rsidRPr="009C5EFD" w:rsidRDefault="00E453CD" w:rsidP="007F67EE">
            <w:pPr>
              <w:pStyle w:val="EndnoteText"/>
              <w:tabs>
                <w:tab w:val="clear" w:pos="567"/>
                <w:tab w:val="left" w:pos="708"/>
              </w:tabs>
              <w:rPr>
                <w:szCs w:val="22"/>
                <w:lang w:val="nb-NO"/>
              </w:rPr>
            </w:pPr>
            <w:r w:rsidRPr="009C5EFD">
              <w:rPr>
                <w:szCs w:val="22"/>
                <w:lang w:val="nb-NO"/>
              </w:rPr>
              <w:t>Vanlige</w:t>
            </w:r>
          </w:p>
          <w:p w14:paraId="1FF2EB2F" w14:textId="77777777" w:rsidR="001E500F" w:rsidRPr="009C5EFD" w:rsidRDefault="001E500F" w:rsidP="00193D76">
            <w:pPr>
              <w:pStyle w:val="EndnoteText"/>
              <w:tabs>
                <w:tab w:val="clear" w:pos="567"/>
                <w:tab w:val="left" w:pos="708"/>
              </w:tabs>
              <w:rPr>
                <w:szCs w:val="22"/>
                <w:lang w:val="nb-NO"/>
              </w:rPr>
            </w:pPr>
          </w:p>
        </w:tc>
        <w:tc>
          <w:tcPr>
            <w:tcW w:w="4294" w:type="dxa"/>
          </w:tcPr>
          <w:p w14:paraId="4535299D" w14:textId="77777777" w:rsidR="001E500F" w:rsidRPr="009C5EFD" w:rsidRDefault="00E453CD" w:rsidP="002D0790">
            <w:pPr>
              <w:rPr>
                <w:sz w:val="22"/>
                <w:szCs w:val="22"/>
              </w:rPr>
            </w:pPr>
            <w:r w:rsidRPr="009C5EFD">
              <w:rPr>
                <w:sz w:val="22"/>
                <w:szCs w:val="22"/>
              </w:rPr>
              <w:t>Svimmelhet</w:t>
            </w:r>
          </w:p>
          <w:p w14:paraId="238A4713" w14:textId="77777777" w:rsidR="001E500F" w:rsidRPr="009C5EFD" w:rsidRDefault="001E500F" w:rsidP="00C07C98">
            <w:pPr>
              <w:rPr>
                <w:sz w:val="22"/>
                <w:szCs w:val="22"/>
              </w:rPr>
            </w:pPr>
          </w:p>
        </w:tc>
      </w:tr>
      <w:tr w:rsidR="004644D4" w14:paraId="7BC5DD97" w14:textId="77777777" w:rsidTr="00032240">
        <w:tc>
          <w:tcPr>
            <w:tcW w:w="0" w:type="auto"/>
            <w:vMerge/>
            <w:vAlign w:val="center"/>
            <w:hideMark/>
          </w:tcPr>
          <w:p w14:paraId="39826800" w14:textId="77777777" w:rsidR="001E500F" w:rsidRPr="009C5EFD" w:rsidRDefault="001E500F" w:rsidP="009C5EFD">
            <w:pPr>
              <w:rPr>
                <w:sz w:val="22"/>
                <w:szCs w:val="22"/>
              </w:rPr>
            </w:pPr>
          </w:p>
        </w:tc>
        <w:tc>
          <w:tcPr>
            <w:tcW w:w="1682" w:type="dxa"/>
            <w:hideMark/>
          </w:tcPr>
          <w:p w14:paraId="5ADC9C38" w14:textId="77777777" w:rsidR="001E500F" w:rsidRPr="009C5EFD" w:rsidRDefault="00E453CD" w:rsidP="009C5EFD">
            <w:pPr>
              <w:pStyle w:val="EndnoteText"/>
              <w:tabs>
                <w:tab w:val="clear" w:pos="567"/>
                <w:tab w:val="left" w:pos="708"/>
              </w:tabs>
              <w:rPr>
                <w:szCs w:val="22"/>
                <w:lang w:val="nb-NO"/>
              </w:rPr>
            </w:pPr>
            <w:r w:rsidRPr="009C5EFD">
              <w:rPr>
                <w:szCs w:val="22"/>
                <w:lang w:val="nb-NO"/>
              </w:rPr>
              <w:t>Mindre vanlige</w:t>
            </w:r>
          </w:p>
        </w:tc>
        <w:tc>
          <w:tcPr>
            <w:tcW w:w="4294" w:type="dxa"/>
          </w:tcPr>
          <w:p w14:paraId="5C61F07A" w14:textId="77777777" w:rsidR="001E500F" w:rsidRPr="009C5EFD" w:rsidRDefault="00E453CD" w:rsidP="009C5EFD">
            <w:pPr>
              <w:rPr>
                <w:sz w:val="22"/>
                <w:szCs w:val="22"/>
              </w:rPr>
            </w:pPr>
            <w:r w:rsidRPr="009C5EFD">
              <w:rPr>
                <w:sz w:val="22"/>
                <w:szCs w:val="22"/>
              </w:rPr>
              <w:t>Døvhet, øresus</w:t>
            </w:r>
          </w:p>
          <w:p w14:paraId="345353E2" w14:textId="77777777" w:rsidR="001E500F" w:rsidRPr="009C5EFD" w:rsidRDefault="001E500F" w:rsidP="009C5EFD">
            <w:pPr>
              <w:rPr>
                <w:sz w:val="22"/>
                <w:szCs w:val="22"/>
              </w:rPr>
            </w:pPr>
          </w:p>
        </w:tc>
      </w:tr>
      <w:tr w:rsidR="004644D4" w14:paraId="53280BB1" w14:textId="77777777" w:rsidTr="00032240">
        <w:tc>
          <w:tcPr>
            <w:tcW w:w="3079" w:type="dxa"/>
            <w:vMerge w:val="restart"/>
            <w:hideMark/>
          </w:tcPr>
          <w:p w14:paraId="70D2D78C" w14:textId="77777777" w:rsidR="001E500F" w:rsidRPr="009C5EFD" w:rsidRDefault="00E453CD" w:rsidP="007F67EE">
            <w:pPr>
              <w:rPr>
                <w:sz w:val="22"/>
                <w:szCs w:val="22"/>
              </w:rPr>
            </w:pPr>
            <w:r w:rsidRPr="009C5EFD">
              <w:rPr>
                <w:sz w:val="22"/>
                <w:szCs w:val="22"/>
              </w:rPr>
              <w:t>Hjertesykdommer*</w:t>
            </w:r>
          </w:p>
        </w:tc>
        <w:tc>
          <w:tcPr>
            <w:tcW w:w="1682" w:type="dxa"/>
          </w:tcPr>
          <w:p w14:paraId="63A41310" w14:textId="77777777" w:rsidR="001E500F" w:rsidRPr="009C5EFD" w:rsidRDefault="00E453CD" w:rsidP="007F67EE">
            <w:pPr>
              <w:rPr>
                <w:sz w:val="22"/>
                <w:szCs w:val="22"/>
              </w:rPr>
            </w:pPr>
            <w:r w:rsidRPr="009C5EFD">
              <w:rPr>
                <w:sz w:val="22"/>
                <w:szCs w:val="22"/>
              </w:rPr>
              <w:t>Vanlige</w:t>
            </w:r>
          </w:p>
          <w:p w14:paraId="287C3ABC" w14:textId="77777777" w:rsidR="001E500F" w:rsidRPr="009C5EFD" w:rsidRDefault="001E500F" w:rsidP="00193D76">
            <w:pPr>
              <w:rPr>
                <w:sz w:val="22"/>
                <w:szCs w:val="22"/>
              </w:rPr>
            </w:pPr>
          </w:p>
        </w:tc>
        <w:tc>
          <w:tcPr>
            <w:tcW w:w="4294" w:type="dxa"/>
            <w:hideMark/>
          </w:tcPr>
          <w:p w14:paraId="40E603AE" w14:textId="77777777" w:rsidR="001E500F" w:rsidRPr="009C5EFD" w:rsidRDefault="00E453CD" w:rsidP="002D0790">
            <w:pPr>
              <w:rPr>
                <w:sz w:val="22"/>
                <w:szCs w:val="22"/>
              </w:rPr>
            </w:pPr>
            <w:r w:rsidRPr="009C5EFD">
              <w:rPr>
                <w:sz w:val="22"/>
                <w:szCs w:val="22"/>
              </w:rPr>
              <w:t>Takykardi</w:t>
            </w:r>
          </w:p>
        </w:tc>
      </w:tr>
      <w:tr w:rsidR="004644D4" w14:paraId="4F0E6D24" w14:textId="77777777" w:rsidTr="00032240">
        <w:tc>
          <w:tcPr>
            <w:tcW w:w="0" w:type="auto"/>
            <w:vMerge/>
            <w:vAlign w:val="center"/>
            <w:hideMark/>
          </w:tcPr>
          <w:p w14:paraId="42556B34" w14:textId="77777777" w:rsidR="001E500F" w:rsidRPr="009C5EFD" w:rsidRDefault="001E500F" w:rsidP="009C5EFD">
            <w:pPr>
              <w:rPr>
                <w:sz w:val="22"/>
                <w:szCs w:val="22"/>
              </w:rPr>
            </w:pPr>
          </w:p>
        </w:tc>
        <w:tc>
          <w:tcPr>
            <w:tcW w:w="1682" w:type="dxa"/>
          </w:tcPr>
          <w:p w14:paraId="61FE84ED" w14:textId="77777777" w:rsidR="001E500F" w:rsidRPr="009C5EFD" w:rsidRDefault="00E453CD" w:rsidP="009C5EFD">
            <w:pPr>
              <w:rPr>
                <w:sz w:val="22"/>
                <w:szCs w:val="22"/>
              </w:rPr>
            </w:pPr>
            <w:r w:rsidRPr="009C5EFD">
              <w:rPr>
                <w:sz w:val="22"/>
                <w:szCs w:val="22"/>
              </w:rPr>
              <w:t>Mindre vanlige</w:t>
            </w:r>
          </w:p>
          <w:p w14:paraId="7C3E6C88" w14:textId="77777777" w:rsidR="001E500F" w:rsidRPr="009C5EFD" w:rsidRDefault="001E500F" w:rsidP="009C5EFD">
            <w:pPr>
              <w:rPr>
                <w:sz w:val="22"/>
                <w:szCs w:val="22"/>
              </w:rPr>
            </w:pPr>
          </w:p>
        </w:tc>
        <w:tc>
          <w:tcPr>
            <w:tcW w:w="4294" w:type="dxa"/>
          </w:tcPr>
          <w:p w14:paraId="01D6A7F4" w14:textId="77777777" w:rsidR="001E500F" w:rsidRPr="009C5EFD" w:rsidRDefault="00E453CD" w:rsidP="009C5EFD">
            <w:pPr>
              <w:rPr>
                <w:sz w:val="22"/>
                <w:szCs w:val="22"/>
              </w:rPr>
            </w:pPr>
            <w:r w:rsidRPr="009C5EFD">
              <w:rPr>
                <w:sz w:val="22"/>
                <w:szCs w:val="22"/>
              </w:rPr>
              <w:t>Hjerteinfarkt</w:t>
            </w:r>
            <w:r w:rsidRPr="009C5EFD">
              <w:rPr>
                <w:sz w:val="22"/>
                <w:szCs w:val="22"/>
                <w:vertAlign w:val="superscript"/>
              </w:rPr>
              <w:t>1)</w:t>
            </w:r>
            <w:r w:rsidRPr="009C5EFD">
              <w:rPr>
                <w:sz w:val="22"/>
                <w:szCs w:val="22"/>
              </w:rPr>
              <w:t>, arytmi, kongestiv hjertesvikt</w:t>
            </w:r>
          </w:p>
          <w:p w14:paraId="22F5E993" w14:textId="77777777" w:rsidR="001E500F" w:rsidRPr="009C5EFD" w:rsidRDefault="001E500F" w:rsidP="009C5EFD">
            <w:pPr>
              <w:rPr>
                <w:sz w:val="22"/>
                <w:szCs w:val="22"/>
              </w:rPr>
            </w:pPr>
          </w:p>
        </w:tc>
      </w:tr>
      <w:tr w:rsidR="004644D4" w14:paraId="57DEE6EB" w14:textId="77777777" w:rsidTr="00032240">
        <w:tc>
          <w:tcPr>
            <w:tcW w:w="0" w:type="auto"/>
            <w:vMerge/>
            <w:vAlign w:val="center"/>
            <w:hideMark/>
          </w:tcPr>
          <w:p w14:paraId="777DEC85" w14:textId="77777777" w:rsidR="001E500F" w:rsidRPr="009C5EFD" w:rsidRDefault="001E500F" w:rsidP="009C5EFD">
            <w:pPr>
              <w:rPr>
                <w:sz w:val="22"/>
                <w:szCs w:val="22"/>
              </w:rPr>
            </w:pPr>
          </w:p>
        </w:tc>
        <w:tc>
          <w:tcPr>
            <w:tcW w:w="1682" w:type="dxa"/>
          </w:tcPr>
          <w:p w14:paraId="34E7A07B" w14:textId="77777777" w:rsidR="001E500F" w:rsidRPr="009C5EFD" w:rsidRDefault="00E453CD" w:rsidP="009C5EFD">
            <w:pPr>
              <w:rPr>
                <w:sz w:val="22"/>
                <w:szCs w:val="22"/>
              </w:rPr>
            </w:pPr>
            <w:r w:rsidRPr="009C5EFD">
              <w:rPr>
                <w:sz w:val="22"/>
                <w:szCs w:val="22"/>
              </w:rPr>
              <w:t>Sjeldne</w:t>
            </w:r>
          </w:p>
          <w:p w14:paraId="35045365" w14:textId="77777777" w:rsidR="001E500F" w:rsidRPr="009C5EFD" w:rsidRDefault="001E500F" w:rsidP="009C5EFD">
            <w:pPr>
              <w:rPr>
                <w:sz w:val="22"/>
                <w:szCs w:val="22"/>
              </w:rPr>
            </w:pPr>
          </w:p>
        </w:tc>
        <w:tc>
          <w:tcPr>
            <w:tcW w:w="4294" w:type="dxa"/>
            <w:hideMark/>
          </w:tcPr>
          <w:p w14:paraId="020012D3" w14:textId="77777777" w:rsidR="001E500F" w:rsidRPr="009C5EFD" w:rsidRDefault="00E453CD" w:rsidP="009C5EFD">
            <w:pPr>
              <w:rPr>
                <w:sz w:val="22"/>
                <w:szCs w:val="22"/>
              </w:rPr>
            </w:pPr>
            <w:r w:rsidRPr="009C5EFD">
              <w:rPr>
                <w:sz w:val="22"/>
                <w:szCs w:val="22"/>
              </w:rPr>
              <w:t>Hjertestans</w:t>
            </w:r>
          </w:p>
        </w:tc>
      </w:tr>
      <w:tr w:rsidR="004644D4" w14:paraId="0DCDCC57" w14:textId="77777777" w:rsidTr="00032240">
        <w:tc>
          <w:tcPr>
            <w:tcW w:w="3079" w:type="dxa"/>
            <w:vMerge w:val="restart"/>
            <w:hideMark/>
          </w:tcPr>
          <w:p w14:paraId="1D4D9D0B" w14:textId="77777777" w:rsidR="001E500F" w:rsidRPr="009C5EFD" w:rsidRDefault="00E453CD" w:rsidP="007F67EE">
            <w:pPr>
              <w:rPr>
                <w:sz w:val="22"/>
                <w:szCs w:val="22"/>
              </w:rPr>
            </w:pPr>
            <w:r w:rsidRPr="009C5EFD">
              <w:rPr>
                <w:sz w:val="22"/>
                <w:szCs w:val="22"/>
              </w:rPr>
              <w:t>Karsykdommer</w:t>
            </w:r>
          </w:p>
        </w:tc>
        <w:tc>
          <w:tcPr>
            <w:tcW w:w="1682" w:type="dxa"/>
          </w:tcPr>
          <w:p w14:paraId="458E670B" w14:textId="77777777" w:rsidR="001E500F" w:rsidRPr="009C5EFD" w:rsidRDefault="00E453CD" w:rsidP="007F67EE">
            <w:pPr>
              <w:pStyle w:val="EndnoteText"/>
              <w:tabs>
                <w:tab w:val="clear" w:pos="567"/>
                <w:tab w:val="left" w:pos="708"/>
              </w:tabs>
              <w:jc w:val="both"/>
              <w:rPr>
                <w:szCs w:val="22"/>
                <w:lang w:val="nb-NO"/>
              </w:rPr>
            </w:pPr>
            <w:r w:rsidRPr="009C5EFD">
              <w:rPr>
                <w:szCs w:val="22"/>
                <w:lang w:val="nb-NO"/>
              </w:rPr>
              <w:t>Vanlige</w:t>
            </w:r>
          </w:p>
          <w:p w14:paraId="0313E5BE" w14:textId="77777777" w:rsidR="001E500F" w:rsidRPr="009C5EFD" w:rsidRDefault="001E500F" w:rsidP="00193D76">
            <w:pPr>
              <w:rPr>
                <w:sz w:val="22"/>
                <w:szCs w:val="22"/>
              </w:rPr>
            </w:pPr>
          </w:p>
        </w:tc>
        <w:tc>
          <w:tcPr>
            <w:tcW w:w="4294" w:type="dxa"/>
            <w:hideMark/>
          </w:tcPr>
          <w:p w14:paraId="2D616E36" w14:textId="77777777" w:rsidR="001E500F" w:rsidRPr="009C5EFD" w:rsidRDefault="00E453CD" w:rsidP="002D0790">
            <w:pPr>
              <w:rPr>
                <w:sz w:val="22"/>
                <w:szCs w:val="22"/>
              </w:rPr>
            </w:pPr>
            <w:r w:rsidRPr="009C5EFD">
              <w:rPr>
                <w:sz w:val="22"/>
                <w:szCs w:val="22"/>
              </w:rPr>
              <w:t>Hypertensjon, flushing, hematom</w:t>
            </w:r>
          </w:p>
        </w:tc>
      </w:tr>
      <w:tr w:rsidR="004644D4" w14:paraId="73C2D278" w14:textId="77777777" w:rsidTr="00032240">
        <w:tc>
          <w:tcPr>
            <w:tcW w:w="0" w:type="auto"/>
            <w:vMerge/>
            <w:vAlign w:val="center"/>
            <w:hideMark/>
          </w:tcPr>
          <w:p w14:paraId="2B24CAFF" w14:textId="77777777" w:rsidR="001E500F" w:rsidRPr="009C5EFD" w:rsidRDefault="001E500F" w:rsidP="009C5EFD">
            <w:pPr>
              <w:rPr>
                <w:sz w:val="22"/>
                <w:szCs w:val="22"/>
              </w:rPr>
            </w:pPr>
          </w:p>
        </w:tc>
        <w:tc>
          <w:tcPr>
            <w:tcW w:w="1682" w:type="dxa"/>
            <w:hideMark/>
          </w:tcPr>
          <w:p w14:paraId="3D8C649D" w14:textId="77777777" w:rsidR="001E500F" w:rsidRPr="009C5EFD" w:rsidRDefault="00E453CD" w:rsidP="009C5EFD">
            <w:pPr>
              <w:pStyle w:val="EndnoteText"/>
              <w:tabs>
                <w:tab w:val="clear" w:pos="567"/>
                <w:tab w:val="left" w:pos="708"/>
              </w:tabs>
              <w:jc w:val="both"/>
              <w:rPr>
                <w:szCs w:val="22"/>
                <w:lang w:val="nb-NO"/>
              </w:rPr>
            </w:pPr>
            <w:r w:rsidRPr="009C5EFD">
              <w:rPr>
                <w:szCs w:val="22"/>
                <w:lang w:val="nb-NO"/>
              </w:rPr>
              <w:t>Mindre vanlige</w:t>
            </w:r>
          </w:p>
        </w:tc>
        <w:tc>
          <w:tcPr>
            <w:tcW w:w="4294" w:type="dxa"/>
          </w:tcPr>
          <w:p w14:paraId="4DFCBBEB" w14:textId="77777777" w:rsidR="001E500F" w:rsidRPr="009C5EFD" w:rsidRDefault="00E453CD" w:rsidP="009C5EFD">
            <w:pPr>
              <w:rPr>
                <w:sz w:val="22"/>
                <w:szCs w:val="22"/>
              </w:rPr>
            </w:pPr>
            <w:r w:rsidRPr="009C5EFD">
              <w:rPr>
                <w:sz w:val="22"/>
                <w:szCs w:val="22"/>
              </w:rPr>
              <w:t>Aortaaneurisme, vaskulær arteriell okklusjon, tromboflebitt</w:t>
            </w:r>
          </w:p>
          <w:p w14:paraId="73C1FAE3" w14:textId="77777777" w:rsidR="001E500F" w:rsidRPr="009C5EFD" w:rsidRDefault="001E500F" w:rsidP="009C5EFD">
            <w:pPr>
              <w:rPr>
                <w:sz w:val="22"/>
                <w:szCs w:val="22"/>
              </w:rPr>
            </w:pPr>
          </w:p>
        </w:tc>
      </w:tr>
      <w:tr w:rsidR="004644D4" w14:paraId="253089F1" w14:textId="77777777" w:rsidTr="00032240">
        <w:tc>
          <w:tcPr>
            <w:tcW w:w="3079" w:type="dxa"/>
            <w:vMerge w:val="restart"/>
            <w:hideMark/>
          </w:tcPr>
          <w:p w14:paraId="1411371D" w14:textId="77777777" w:rsidR="001E500F" w:rsidRPr="009C5EFD" w:rsidRDefault="00E453CD" w:rsidP="007F67EE">
            <w:pPr>
              <w:rPr>
                <w:sz w:val="22"/>
                <w:szCs w:val="22"/>
              </w:rPr>
            </w:pPr>
            <w:r w:rsidRPr="009C5EFD">
              <w:rPr>
                <w:sz w:val="22"/>
                <w:szCs w:val="22"/>
              </w:rPr>
              <w:t>Sykdommer i respirasjonsorganer, thorax og mediastinum*</w:t>
            </w:r>
          </w:p>
        </w:tc>
        <w:tc>
          <w:tcPr>
            <w:tcW w:w="1682" w:type="dxa"/>
          </w:tcPr>
          <w:p w14:paraId="737C0E34" w14:textId="77777777" w:rsidR="001E500F" w:rsidRPr="009C5EFD" w:rsidRDefault="00E453CD" w:rsidP="007F67EE">
            <w:pPr>
              <w:rPr>
                <w:sz w:val="22"/>
                <w:szCs w:val="22"/>
              </w:rPr>
            </w:pPr>
            <w:r w:rsidRPr="009C5EFD">
              <w:rPr>
                <w:sz w:val="22"/>
                <w:szCs w:val="22"/>
              </w:rPr>
              <w:t>Vanlige</w:t>
            </w:r>
          </w:p>
          <w:p w14:paraId="7939C358" w14:textId="77777777" w:rsidR="001E500F" w:rsidRPr="009C5EFD" w:rsidRDefault="001E500F" w:rsidP="00193D76">
            <w:pPr>
              <w:pStyle w:val="EndnoteText"/>
              <w:tabs>
                <w:tab w:val="clear" w:pos="567"/>
                <w:tab w:val="left" w:pos="708"/>
              </w:tabs>
              <w:jc w:val="both"/>
              <w:rPr>
                <w:szCs w:val="22"/>
                <w:lang w:val="nb-NO"/>
              </w:rPr>
            </w:pPr>
          </w:p>
        </w:tc>
        <w:tc>
          <w:tcPr>
            <w:tcW w:w="4294" w:type="dxa"/>
            <w:hideMark/>
          </w:tcPr>
          <w:p w14:paraId="3807FAE2" w14:textId="77777777" w:rsidR="001E500F" w:rsidRPr="009C5EFD" w:rsidRDefault="00E453CD" w:rsidP="002D0790">
            <w:pPr>
              <w:autoSpaceDE w:val="0"/>
              <w:autoSpaceDN w:val="0"/>
              <w:adjustRightInd w:val="0"/>
              <w:rPr>
                <w:sz w:val="22"/>
                <w:szCs w:val="22"/>
              </w:rPr>
            </w:pPr>
            <w:r w:rsidRPr="009C5EFD">
              <w:rPr>
                <w:sz w:val="22"/>
                <w:szCs w:val="22"/>
              </w:rPr>
              <w:t>Astma, dyspné, hoste</w:t>
            </w:r>
          </w:p>
        </w:tc>
      </w:tr>
      <w:tr w:rsidR="004644D4" w14:paraId="61434710" w14:textId="77777777" w:rsidTr="00032240">
        <w:tc>
          <w:tcPr>
            <w:tcW w:w="0" w:type="auto"/>
            <w:vMerge/>
            <w:vAlign w:val="center"/>
            <w:hideMark/>
          </w:tcPr>
          <w:p w14:paraId="5228B439" w14:textId="77777777" w:rsidR="001E500F" w:rsidRPr="009C5EFD" w:rsidRDefault="001E500F" w:rsidP="009C5EFD">
            <w:pPr>
              <w:rPr>
                <w:sz w:val="22"/>
                <w:szCs w:val="22"/>
              </w:rPr>
            </w:pPr>
          </w:p>
        </w:tc>
        <w:tc>
          <w:tcPr>
            <w:tcW w:w="1682" w:type="dxa"/>
          </w:tcPr>
          <w:p w14:paraId="7E96C818" w14:textId="77777777" w:rsidR="001E500F" w:rsidRPr="009C5EFD" w:rsidRDefault="00E453CD" w:rsidP="009C5EFD">
            <w:pPr>
              <w:pStyle w:val="EndnoteText"/>
              <w:tabs>
                <w:tab w:val="clear" w:pos="567"/>
                <w:tab w:val="left" w:pos="708"/>
              </w:tabs>
              <w:jc w:val="both"/>
              <w:rPr>
                <w:szCs w:val="22"/>
                <w:lang w:val="nb-NO"/>
              </w:rPr>
            </w:pPr>
            <w:r w:rsidRPr="009C5EFD">
              <w:rPr>
                <w:szCs w:val="22"/>
                <w:lang w:val="nb-NO"/>
              </w:rPr>
              <w:t>Mindre vanlige</w:t>
            </w:r>
          </w:p>
          <w:p w14:paraId="7987354E" w14:textId="77777777" w:rsidR="001E500F" w:rsidRPr="009C5EFD" w:rsidRDefault="001E500F" w:rsidP="009C5EFD">
            <w:pPr>
              <w:rPr>
                <w:sz w:val="22"/>
                <w:szCs w:val="22"/>
              </w:rPr>
            </w:pPr>
          </w:p>
        </w:tc>
        <w:tc>
          <w:tcPr>
            <w:tcW w:w="4294" w:type="dxa"/>
          </w:tcPr>
          <w:p w14:paraId="5314E373" w14:textId="77777777" w:rsidR="001E500F" w:rsidRPr="009C5EFD" w:rsidRDefault="00E453CD" w:rsidP="009C5EFD">
            <w:pPr>
              <w:rPr>
                <w:sz w:val="22"/>
                <w:szCs w:val="22"/>
              </w:rPr>
            </w:pPr>
            <w:r w:rsidRPr="009C5EFD">
              <w:rPr>
                <w:sz w:val="22"/>
                <w:szCs w:val="22"/>
              </w:rPr>
              <w:t>Lungeemboli</w:t>
            </w:r>
            <w:r w:rsidRPr="009C5EFD">
              <w:rPr>
                <w:sz w:val="22"/>
                <w:szCs w:val="22"/>
                <w:vertAlign w:val="superscript"/>
              </w:rPr>
              <w:t>1)</w:t>
            </w:r>
            <w:r w:rsidRPr="009C5EFD">
              <w:rPr>
                <w:sz w:val="22"/>
                <w:szCs w:val="22"/>
              </w:rPr>
              <w:t xml:space="preserve">, interstitiell lungesykdom, kronisk obstruktiv lungesykdom, pneumonitt, </w:t>
            </w:r>
          </w:p>
          <w:p w14:paraId="6366A531" w14:textId="77777777" w:rsidR="001E500F" w:rsidRPr="009C5EFD" w:rsidRDefault="00E453CD" w:rsidP="009C5EFD">
            <w:pPr>
              <w:rPr>
                <w:sz w:val="22"/>
                <w:szCs w:val="22"/>
              </w:rPr>
            </w:pPr>
            <w:r>
              <w:rPr>
                <w:sz w:val="22"/>
                <w:szCs w:val="22"/>
              </w:rPr>
              <w:t>hydrothorax</w:t>
            </w:r>
            <w:r w:rsidRPr="009C5EFD">
              <w:rPr>
                <w:sz w:val="22"/>
                <w:szCs w:val="22"/>
                <w:vertAlign w:val="superscript"/>
              </w:rPr>
              <w:t>1)</w:t>
            </w:r>
            <w:r w:rsidRPr="009C5EFD">
              <w:rPr>
                <w:sz w:val="22"/>
                <w:szCs w:val="22"/>
              </w:rPr>
              <w:t xml:space="preserve"> </w:t>
            </w:r>
          </w:p>
          <w:p w14:paraId="73DC30A6" w14:textId="77777777" w:rsidR="001E500F" w:rsidRPr="009C5EFD" w:rsidRDefault="001E500F" w:rsidP="009C5EFD">
            <w:pPr>
              <w:autoSpaceDE w:val="0"/>
              <w:autoSpaceDN w:val="0"/>
              <w:adjustRightInd w:val="0"/>
              <w:rPr>
                <w:sz w:val="22"/>
                <w:szCs w:val="22"/>
              </w:rPr>
            </w:pPr>
          </w:p>
        </w:tc>
      </w:tr>
      <w:tr w:rsidR="004644D4" w14:paraId="7674DE83" w14:textId="77777777" w:rsidTr="00032240">
        <w:tc>
          <w:tcPr>
            <w:tcW w:w="0" w:type="auto"/>
            <w:vMerge/>
            <w:vAlign w:val="center"/>
            <w:hideMark/>
          </w:tcPr>
          <w:p w14:paraId="6D0A2D44" w14:textId="77777777" w:rsidR="001E500F" w:rsidRPr="009C5EFD" w:rsidRDefault="001E500F" w:rsidP="009C5EFD">
            <w:pPr>
              <w:rPr>
                <w:sz w:val="22"/>
                <w:szCs w:val="22"/>
              </w:rPr>
            </w:pPr>
          </w:p>
        </w:tc>
        <w:tc>
          <w:tcPr>
            <w:tcW w:w="1682" w:type="dxa"/>
          </w:tcPr>
          <w:p w14:paraId="3A777E98" w14:textId="77777777" w:rsidR="001E500F" w:rsidRPr="009C5EFD" w:rsidRDefault="00E453CD" w:rsidP="009C5EFD">
            <w:pPr>
              <w:pStyle w:val="EndnoteText"/>
              <w:tabs>
                <w:tab w:val="clear" w:pos="567"/>
                <w:tab w:val="left" w:pos="708"/>
              </w:tabs>
              <w:jc w:val="both"/>
              <w:rPr>
                <w:szCs w:val="22"/>
                <w:lang w:val="nb-NO"/>
              </w:rPr>
            </w:pPr>
            <w:r w:rsidRPr="009C5EFD">
              <w:rPr>
                <w:szCs w:val="22"/>
                <w:lang w:val="nb-NO"/>
              </w:rPr>
              <w:t>Sjeldne</w:t>
            </w:r>
          </w:p>
          <w:p w14:paraId="15404E7C" w14:textId="77777777" w:rsidR="001E500F" w:rsidRPr="009C5EFD" w:rsidRDefault="001E500F" w:rsidP="009C5EFD">
            <w:pPr>
              <w:rPr>
                <w:sz w:val="22"/>
                <w:szCs w:val="22"/>
              </w:rPr>
            </w:pPr>
          </w:p>
        </w:tc>
        <w:tc>
          <w:tcPr>
            <w:tcW w:w="4294" w:type="dxa"/>
            <w:hideMark/>
          </w:tcPr>
          <w:p w14:paraId="5F0FA68A" w14:textId="77777777" w:rsidR="001E500F" w:rsidRPr="009C5EFD" w:rsidRDefault="00E453CD" w:rsidP="009C5EFD">
            <w:pPr>
              <w:autoSpaceDE w:val="0"/>
              <w:autoSpaceDN w:val="0"/>
              <w:adjustRightInd w:val="0"/>
              <w:rPr>
                <w:sz w:val="22"/>
                <w:szCs w:val="22"/>
              </w:rPr>
            </w:pPr>
            <w:r w:rsidRPr="009C5EFD">
              <w:rPr>
                <w:sz w:val="22"/>
                <w:szCs w:val="22"/>
              </w:rPr>
              <w:t>Lungefibrose</w:t>
            </w:r>
            <w:r w:rsidRPr="009C5EFD">
              <w:rPr>
                <w:sz w:val="22"/>
                <w:szCs w:val="22"/>
                <w:vertAlign w:val="superscript"/>
              </w:rPr>
              <w:t>1)</w:t>
            </w:r>
          </w:p>
        </w:tc>
      </w:tr>
      <w:tr w:rsidR="004644D4" w14:paraId="1402DF1E" w14:textId="77777777" w:rsidTr="00032240">
        <w:tc>
          <w:tcPr>
            <w:tcW w:w="3079" w:type="dxa"/>
            <w:vMerge w:val="restart"/>
            <w:hideMark/>
          </w:tcPr>
          <w:p w14:paraId="7C893462" w14:textId="77777777" w:rsidR="001E500F" w:rsidRPr="009C5EFD" w:rsidRDefault="00E453CD" w:rsidP="007F67EE">
            <w:pPr>
              <w:rPr>
                <w:sz w:val="22"/>
                <w:szCs w:val="22"/>
              </w:rPr>
            </w:pPr>
            <w:r w:rsidRPr="009C5EFD">
              <w:rPr>
                <w:sz w:val="22"/>
                <w:szCs w:val="22"/>
              </w:rPr>
              <w:t>Gastrointestinale sykdommer</w:t>
            </w:r>
          </w:p>
        </w:tc>
        <w:tc>
          <w:tcPr>
            <w:tcW w:w="1682" w:type="dxa"/>
          </w:tcPr>
          <w:p w14:paraId="36AB89EA" w14:textId="77777777" w:rsidR="001E500F" w:rsidRPr="009C5EFD" w:rsidRDefault="00E453CD" w:rsidP="007F67EE">
            <w:pPr>
              <w:rPr>
                <w:sz w:val="22"/>
                <w:szCs w:val="22"/>
              </w:rPr>
            </w:pPr>
            <w:r w:rsidRPr="009C5EFD">
              <w:rPr>
                <w:sz w:val="22"/>
                <w:szCs w:val="22"/>
              </w:rPr>
              <w:t>Svært vanlige</w:t>
            </w:r>
          </w:p>
          <w:p w14:paraId="6DD6A8A7" w14:textId="77777777" w:rsidR="001E500F" w:rsidRPr="009C5EFD" w:rsidRDefault="001E500F" w:rsidP="00193D76">
            <w:pPr>
              <w:rPr>
                <w:sz w:val="22"/>
                <w:szCs w:val="22"/>
              </w:rPr>
            </w:pPr>
          </w:p>
        </w:tc>
        <w:tc>
          <w:tcPr>
            <w:tcW w:w="4294" w:type="dxa"/>
          </w:tcPr>
          <w:p w14:paraId="5F10F5EB" w14:textId="77777777" w:rsidR="001E500F" w:rsidRPr="009C5EFD" w:rsidRDefault="00E453CD" w:rsidP="002D0790">
            <w:pPr>
              <w:rPr>
                <w:sz w:val="22"/>
                <w:szCs w:val="22"/>
              </w:rPr>
            </w:pPr>
            <w:r w:rsidRPr="009C5EFD">
              <w:rPr>
                <w:sz w:val="22"/>
                <w:szCs w:val="22"/>
              </w:rPr>
              <w:t>Abdominal</w:t>
            </w:r>
            <w:r w:rsidR="00CE78B5">
              <w:rPr>
                <w:sz w:val="22"/>
                <w:szCs w:val="22"/>
              </w:rPr>
              <w:t>e</w:t>
            </w:r>
            <w:r w:rsidRPr="009C5EFD">
              <w:rPr>
                <w:sz w:val="22"/>
                <w:szCs w:val="22"/>
              </w:rPr>
              <w:t xml:space="preserve"> smerte</w:t>
            </w:r>
            <w:r w:rsidR="00CE78B5">
              <w:rPr>
                <w:sz w:val="22"/>
                <w:szCs w:val="22"/>
              </w:rPr>
              <w:t>r</w:t>
            </w:r>
            <w:r w:rsidRPr="009C5EFD">
              <w:rPr>
                <w:sz w:val="22"/>
                <w:szCs w:val="22"/>
              </w:rPr>
              <w:t>, kvalme og oppkast</w:t>
            </w:r>
          </w:p>
          <w:p w14:paraId="28B71DE7" w14:textId="77777777" w:rsidR="001E500F" w:rsidRPr="009C5EFD" w:rsidRDefault="001E500F" w:rsidP="00C07C98">
            <w:pPr>
              <w:rPr>
                <w:sz w:val="22"/>
                <w:szCs w:val="22"/>
                <w:vertAlign w:val="superscript"/>
              </w:rPr>
            </w:pPr>
          </w:p>
        </w:tc>
      </w:tr>
      <w:tr w:rsidR="004644D4" w14:paraId="2E20CCD8" w14:textId="77777777" w:rsidTr="00032240">
        <w:tc>
          <w:tcPr>
            <w:tcW w:w="0" w:type="auto"/>
            <w:vMerge/>
            <w:vAlign w:val="center"/>
            <w:hideMark/>
          </w:tcPr>
          <w:p w14:paraId="4D363E37" w14:textId="77777777" w:rsidR="001E500F" w:rsidRPr="009C5EFD" w:rsidRDefault="001E500F" w:rsidP="009C5EFD">
            <w:pPr>
              <w:rPr>
                <w:sz w:val="22"/>
                <w:szCs w:val="22"/>
              </w:rPr>
            </w:pPr>
          </w:p>
        </w:tc>
        <w:tc>
          <w:tcPr>
            <w:tcW w:w="1682" w:type="dxa"/>
          </w:tcPr>
          <w:p w14:paraId="34FDA64A" w14:textId="77777777" w:rsidR="001E500F" w:rsidRPr="009C5EFD" w:rsidRDefault="00E453CD" w:rsidP="009C5EFD">
            <w:pPr>
              <w:rPr>
                <w:sz w:val="22"/>
                <w:szCs w:val="22"/>
              </w:rPr>
            </w:pPr>
            <w:r w:rsidRPr="009C5EFD">
              <w:rPr>
                <w:sz w:val="22"/>
                <w:szCs w:val="22"/>
              </w:rPr>
              <w:t>Vanlige</w:t>
            </w:r>
          </w:p>
          <w:p w14:paraId="01E1245A" w14:textId="77777777" w:rsidR="001E500F" w:rsidRPr="009C5EFD" w:rsidRDefault="001E500F" w:rsidP="009C5EFD">
            <w:pPr>
              <w:rPr>
                <w:sz w:val="22"/>
                <w:szCs w:val="22"/>
              </w:rPr>
            </w:pPr>
          </w:p>
        </w:tc>
        <w:tc>
          <w:tcPr>
            <w:tcW w:w="4294" w:type="dxa"/>
          </w:tcPr>
          <w:p w14:paraId="353C3E67" w14:textId="77777777" w:rsidR="001E500F" w:rsidRPr="009C5EFD" w:rsidRDefault="00E453CD" w:rsidP="009C5EFD">
            <w:pPr>
              <w:autoSpaceDE w:val="0"/>
              <w:autoSpaceDN w:val="0"/>
              <w:adjustRightInd w:val="0"/>
              <w:rPr>
                <w:sz w:val="22"/>
                <w:szCs w:val="22"/>
              </w:rPr>
            </w:pPr>
            <w:r w:rsidRPr="009C5EFD">
              <w:rPr>
                <w:sz w:val="22"/>
                <w:szCs w:val="22"/>
              </w:rPr>
              <w:t xml:space="preserve">Gastrointestinal blødning, dyspepsi, refluksøsofagitt (GERD), Sjøgrens syndrom </w:t>
            </w:r>
          </w:p>
          <w:p w14:paraId="6332C79D" w14:textId="77777777" w:rsidR="001E500F" w:rsidRPr="009C5EFD" w:rsidRDefault="001E500F" w:rsidP="009C5EFD">
            <w:pPr>
              <w:rPr>
                <w:sz w:val="22"/>
                <w:szCs w:val="22"/>
              </w:rPr>
            </w:pPr>
          </w:p>
        </w:tc>
      </w:tr>
      <w:tr w:rsidR="004644D4" w14:paraId="0FB41516" w14:textId="77777777" w:rsidTr="00032240">
        <w:tc>
          <w:tcPr>
            <w:tcW w:w="0" w:type="auto"/>
            <w:vMerge/>
            <w:vAlign w:val="center"/>
            <w:hideMark/>
          </w:tcPr>
          <w:p w14:paraId="3B5F4925" w14:textId="77777777" w:rsidR="001E500F" w:rsidRPr="009C5EFD" w:rsidRDefault="001E500F" w:rsidP="009C5EFD">
            <w:pPr>
              <w:rPr>
                <w:sz w:val="22"/>
                <w:szCs w:val="22"/>
              </w:rPr>
            </w:pPr>
          </w:p>
        </w:tc>
        <w:tc>
          <w:tcPr>
            <w:tcW w:w="1682" w:type="dxa"/>
          </w:tcPr>
          <w:p w14:paraId="5185DFA4" w14:textId="77777777" w:rsidR="001E500F" w:rsidRPr="009C5EFD" w:rsidRDefault="00E453CD" w:rsidP="009C5EFD">
            <w:pPr>
              <w:rPr>
                <w:sz w:val="22"/>
                <w:szCs w:val="22"/>
              </w:rPr>
            </w:pPr>
            <w:r w:rsidRPr="009C5EFD">
              <w:rPr>
                <w:sz w:val="22"/>
                <w:szCs w:val="22"/>
              </w:rPr>
              <w:t>Mindre vanlige</w:t>
            </w:r>
          </w:p>
          <w:p w14:paraId="17E17032" w14:textId="77777777" w:rsidR="001E500F" w:rsidRPr="009C5EFD" w:rsidRDefault="001E500F" w:rsidP="009C5EFD">
            <w:pPr>
              <w:rPr>
                <w:sz w:val="22"/>
                <w:szCs w:val="22"/>
              </w:rPr>
            </w:pPr>
          </w:p>
        </w:tc>
        <w:tc>
          <w:tcPr>
            <w:tcW w:w="4294" w:type="dxa"/>
          </w:tcPr>
          <w:p w14:paraId="3E99EAEE" w14:textId="77777777" w:rsidR="001E500F" w:rsidRPr="009C5EFD" w:rsidRDefault="00E453CD" w:rsidP="009C5EFD">
            <w:pPr>
              <w:rPr>
                <w:sz w:val="22"/>
                <w:szCs w:val="22"/>
              </w:rPr>
            </w:pPr>
            <w:r w:rsidRPr="009C5EFD">
              <w:rPr>
                <w:sz w:val="22"/>
                <w:szCs w:val="22"/>
              </w:rPr>
              <w:lastRenderedPageBreak/>
              <w:t xml:space="preserve">Pankreatitt, dysfagi, ansiktsødem </w:t>
            </w:r>
          </w:p>
          <w:p w14:paraId="31D69237" w14:textId="77777777" w:rsidR="001E500F" w:rsidRPr="009C5EFD" w:rsidRDefault="001E500F" w:rsidP="009C5EFD">
            <w:pPr>
              <w:rPr>
                <w:sz w:val="22"/>
                <w:szCs w:val="22"/>
              </w:rPr>
            </w:pPr>
          </w:p>
        </w:tc>
      </w:tr>
      <w:tr w:rsidR="004644D4" w14:paraId="6AC90E52" w14:textId="77777777" w:rsidTr="00032240">
        <w:tc>
          <w:tcPr>
            <w:tcW w:w="0" w:type="auto"/>
            <w:vMerge/>
            <w:vAlign w:val="center"/>
            <w:hideMark/>
          </w:tcPr>
          <w:p w14:paraId="0A999CF3" w14:textId="77777777" w:rsidR="001E500F" w:rsidRPr="009C5EFD" w:rsidRDefault="001E500F" w:rsidP="009C5EFD">
            <w:pPr>
              <w:rPr>
                <w:sz w:val="22"/>
                <w:szCs w:val="22"/>
              </w:rPr>
            </w:pPr>
          </w:p>
        </w:tc>
        <w:tc>
          <w:tcPr>
            <w:tcW w:w="1682" w:type="dxa"/>
          </w:tcPr>
          <w:p w14:paraId="4226D358" w14:textId="77777777" w:rsidR="001E500F" w:rsidRPr="009C5EFD" w:rsidRDefault="00E453CD" w:rsidP="009C5EFD">
            <w:pPr>
              <w:rPr>
                <w:sz w:val="22"/>
                <w:szCs w:val="22"/>
              </w:rPr>
            </w:pPr>
            <w:r w:rsidRPr="009C5EFD">
              <w:rPr>
                <w:sz w:val="22"/>
                <w:szCs w:val="22"/>
              </w:rPr>
              <w:t>Sjeldne</w:t>
            </w:r>
          </w:p>
          <w:p w14:paraId="6686B23B" w14:textId="77777777" w:rsidR="001E500F" w:rsidRPr="009C5EFD" w:rsidRDefault="001E500F" w:rsidP="009C5EFD">
            <w:pPr>
              <w:rPr>
                <w:sz w:val="22"/>
                <w:szCs w:val="22"/>
              </w:rPr>
            </w:pPr>
          </w:p>
        </w:tc>
        <w:tc>
          <w:tcPr>
            <w:tcW w:w="4294" w:type="dxa"/>
            <w:hideMark/>
          </w:tcPr>
          <w:p w14:paraId="5870646A" w14:textId="77777777" w:rsidR="001E500F" w:rsidRPr="009C5EFD" w:rsidRDefault="00E453CD" w:rsidP="009C5EFD">
            <w:pPr>
              <w:rPr>
                <w:sz w:val="22"/>
                <w:szCs w:val="22"/>
              </w:rPr>
            </w:pPr>
            <w:r w:rsidRPr="009C5EFD">
              <w:rPr>
                <w:sz w:val="22"/>
                <w:szCs w:val="22"/>
              </w:rPr>
              <w:t>Intestinal perforasjon</w:t>
            </w:r>
            <w:r w:rsidRPr="009C5EFD">
              <w:rPr>
                <w:sz w:val="22"/>
                <w:szCs w:val="22"/>
                <w:vertAlign w:val="superscript"/>
              </w:rPr>
              <w:t>1)</w:t>
            </w:r>
          </w:p>
        </w:tc>
      </w:tr>
      <w:tr w:rsidR="004644D4" w14:paraId="778874DE" w14:textId="77777777" w:rsidTr="00032240">
        <w:tc>
          <w:tcPr>
            <w:tcW w:w="3079" w:type="dxa"/>
            <w:vMerge w:val="restart"/>
            <w:hideMark/>
          </w:tcPr>
          <w:p w14:paraId="3E375B7F" w14:textId="77777777" w:rsidR="001E500F" w:rsidRPr="009C5EFD" w:rsidRDefault="00E453CD" w:rsidP="007F67EE">
            <w:pPr>
              <w:rPr>
                <w:sz w:val="22"/>
                <w:szCs w:val="22"/>
              </w:rPr>
            </w:pPr>
            <w:r w:rsidRPr="009C5EFD">
              <w:rPr>
                <w:sz w:val="22"/>
                <w:szCs w:val="22"/>
              </w:rPr>
              <w:t>Sykdommer i lever og galleveier*</w:t>
            </w:r>
          </w:p>
        </w:tc>
        <w:tc>
          <w:tcPr>
            <w:tcW w:w="1682" w:type="dxa"/>
          </w:tcPr>
          <w:p w14:paraId="6CBDECC7" w14:textId="77777777" w:rsidR="001E500F" w:rsidRPr="009C5EFD" w:rsidRDefault="00E453CD" w:rsidP="007F67EE">
            <w:pPr>
              <w:rPr>
                <w:sz w:val="22"/>
                <w:szCs w:val="22"/>
              </w:rPr>
            </w:pPr>
            <w:r w:rsidRPr="009C5EFD">
              <w:rPr>
                <w:sz w:val="22"/>
                <w:szCs w:val="22"/>
              </w:rPr>
              <w:t>Svært vanlige</w:t>
            </w:r>
          </w:p>
          <w:p w14:paraId="4D317FBC" w14:textId="77777777" w:rsidR="001E500F" w:rsidRPr="009C5EFD" w:rsidRDefault="001E500F" w:rsidP="00193D76">
            <w:pPr>
              <w:rPr>
                <w:sz w:val="22"/>
                <w:szCs w:val="22"/>
              </w:rPr>
            </w:pPr>
          </w:p>
        </w:tc>
        <w:tc>
          <w:tcPr>
            <w:tcW w:w="4294" w:type="dxa"/>
            <w:hideMark/>
          </w:tcPr>
          <w:p w14:paraId="7EFE296F" w14:textId="77777777" w:rsidR="001E500F" w:rsidRPr="009C5EFD" w:rsidRDefault="00E453CD" w:rsidP="002D0790">
            <w:pPr>
              <w:rPr>
                <w:sz w:val="22"/>
                <w:szCs w:val="22"/>
              </w:rPr>
            </w:pPr>
            <w:r w:rsidRPr="009C5EFD">
              <w:rPr>
                <w:sz w:val="22"/>
                <w:szCs w:val="22"/>
              </w:rPr>
              <w:t>Stigning i leverenzymer</w:t>
            </w:r>
          </w:p>
        </w:tc>
      </w:tr>
      <w:tr w:rsidR="004644D4" w14:paraId="6F5F263F" w14:textId="77777777" w:rsidTr="00032240">
        <w:tc>
          <w:tcPr>
            <w:tcW w:w="0" w:type="auto"/>
            <w:vMerge/>
            <w:vAlign w:val="center"/>
            <w:hideMark/>
          </w:tcPr>
          <w:p w14:paraId="48F85811" w14:textId="77777777" w:rsidR="001E500F" w:rsidRPr="009C5EFD" w:rsidRDefault="001E500F" w:rsidP="009C5EFD">
            <w:pPr>
              <w:rPr>
                <w:sz w:val="22"/>
                <w:szCs w:val="22"/>
              </w:rPr>
            </w:pPr>
          </w:p>
        </w:tc>
        <w:tc>
          <w:tcPr>
            <w:tcW w:w="1682" w:type="dxa"/>
          </w:tcPr>
          <w:p w14:paraId="7A5761E8" w14:textId="77777777" w:rsidR="001E500F" w:rsidRPr="009C5EFD" w:rsidRDefault="00E453CD" w:rsidP="009C5EFD">
            <w:pPr>
              <w:rPr>
                <w:sz w:val="22"/>
                <w:szCs w:val="22"/>
              </w:rPr>
            </w:pPr>
            <w:r w:rsidRPr="009C5EFD">
              <w:rPr>
                <w:sz w:val="22"/>
                <w:szCs w:val="22"/>
              </w:rPr>
              <w:t xml:space="preserve">Mindre vanlige </w:t>
            </w:r>
          </w:p>
          <w:p w14:paraId="05540A67" w14:textId="77777777" w:rsidR="001E500F" w:rsidRPr="009C5EFD" w:rsidRDefault="001E500F" w:rsidP="009C5EFD">
            <w:pPr>
              <w:rPr>
                <w:sz w:val="22"/>
                <w:szCs w:val="22"/>
              </w:rPr>
            </w:pPr>
          </w:p>
        </w:tc>
        <w:tc>
          <w:tcPr>
            <w:tcW w:w="4294" w:type="dxa"/>
          </w:tcPr>
          <w:p w14:paraId="041FD47C" w14:textId="77777777" w:rsidR="001E500F" w:rsidRPr="009C5EFD" w:rsidRDefault="00E453CD" w:rsidP="009C5EFD">
            <w:pPr>
              <w:pStyle w:val="EMEAFigureTitle"/>
              <w:tabs>
                <w:tab w:val="clear" w:pos="562"/>
                <w:tab w:val="left" w:pos="708"/>
              </w:tabs>
              <w:suppressAutoHyphens w:val="0"/>
              <w:rPr>
                <w:lang w:val="nb-NO"/>
              </w:rPr>
            </w:pPr>
            <w:r w:rsidRPr="009C5EFD">
              <w:rPr>
                <w:lang w:val="nb-NO"/>
              </w:rPr>
              <w:t>Kolecystitt og kolelitiasis, hepatisk steatose</w:t>
            </w:r>
          </w:p>
          <w:p w14:paraId="54273BF6" w14:textId="77777777" w:rsidR="001E500F" w:rsidRPr="009C5EFD" w:rsidRDefault="00E453CD" w:rsidP="009C5EFD">
            <w:pPr>
              <w:pStyle w:val="EMEAFigureTitle"/>
              <w:tabs>
                <w:tab w:val="clear" w:pos="562"/>
                <w:tab w:val="left" w:pos="708"/>
              </w:tabs>
              <w:suppressAutoHyphens w:val="0"/>
              <w:rPr>
                <w:lang w:val="nb-NO"/>
              </w:rPr>
            </w:pPr>
            <w:r w:rsidRPr="009C5EFD">
              <w:rPr>
                <w:lang w:val="nb-NO"/>
              </w:rPr>
              <w:t>forhøyet bilirubin i blod</w:t>
            </w:r>
          </w:p>
          <w:p w14:paraId="00343EF0" w14:textId="77777777" w:rsidR="001E500F" w:rsidRPr="009C5EFD" w:rsidRDefault="001E500F" w:rsidP="009C5EFD">
            <w:pPr>
              <w:rPr>
                <w:sz w:val="22"/>
                <w:szCs w:val="22"/>
              </w:rPr>
            </w:pPr>
          </w:p>
        </w:tc>
      </w:tr>
      <w:tr w:rsidR="004644D4" w14:paraId="4EF8F198" w14:textId="77777777" w:rsidTr="00032240">
        <w:tc>
          <w:tcPr>
            <w:tcW w:w="0" w:type="auto"/>
            <w:vMerge/>
            <w:vAlign w:val="center"/>
            <w:hideMark/>
          </w:tcPr>
          <w:p w14:paraId="304B2D69" w14:textId="77777777" w:rsidR="001E500F" w:rsidRPr="009C5EFD" w:rsidRDefault="001E500F" w:rsidP="009C5EFD">
            <w:pPr>
              <w:rPr>
                <w:sz w:val="22"/>
                <w:szCs w:val="22"/>
              </w:rPr>
            </w:pPr>
          </w:p>
        </w:tc>
        <w:tc>
          <w:tcPr>
            <w:tcW w:w="1682" w:type="dxa"/>
          </w:tcPr>
          <w:p w14:paraId="4F19D402" w14:textId="77777777" w:rsidR="001E500F" w:rsidRPr="009C5EFD" w:rsidRDefault="00E453CD" w:rsidP="009C5EFD">
            <w:pPr>
              <w:rPr>
                <w:sz w:val="22"/>
                <w:szCs w:val="22"/>
              </w:rPr>
            </w:pPr>
            <w:r w:rsidRPr="009C5EFD">
              <w:rPr>
                <w:sz w:val="22"/>
                <w:szCs w:val="22"/>
              </w:rPr>
              <w:t>Sjeldne</w:t>
            </w:r>
          </w:p>
          <w:p w14:paraId="2CE739C7" w14:textId="77777777" w:rsidR="001E500F" w:rsidRPr="009C5EFD" w:rsidRDefault="001E500F" w:rsidP="009C5EFD">
            <w:pPr>
              <w:rPr>
                <w:sz w:val="22"/>
                <w:szCs w:val="22"/>
              </w:rPr>
            </w:pPr>
          </w:p>
        </w:tc>
        <w:tc>
          <w:tcPr>
            <w:tcW w:w="4294" w:type="dxa"/>
          </w:tcPr>
          <w:p w14:paraId="3DA05418" w14:textId="77777777" w:rsidR="001E500F" w:rsidRPr="009C5EFD" w:rsidRDefault="00E453CD" w:rsidP="009C5EFD">
            <w:pPr>
              <w:rPr>
                <w:sz w:val="22"/>
                <w:szCs w:val="22"/>
              </w:rPr>
            </w:pPr>
            <w:r w:rsidRPr="009C5EFD">
              <w:rPr>
                <w:sz w:val="22"/>
                <w:szCs w:val="22"/>
              </w:rPr>
              <w:t>Hepatitt, reaktivering av Hepatitt B</w:t>
            </w:r>
            <w:r w:rsidRPr="009C5EFD">
              <w:rPr>
                <w:sz w:val="22"/>
                <w:szCs w:val="22"/>
                <w:vertAlign w:val="superscript"/>
              </w:rPr>
              <w:t>1)</w:t>
            </w:r>
            <w:r w:rsidRPr="009C5EFD">
              <w:rPr>
                <w:sz w:val="22"/>
                <w:szCs w:val="22"/>
              </w:rPr>
              <w:t>, autoimmun hepatitt</w:t>
            </w:r>
            <w:r w:rsidRPr="009C5EFD">
              <w:rPr>
                <w:sz w:val="22"/>
                <w:szCs w:val="22"/>
                <w:vertAlign w:val="superscript"/>
              </w:rPr>
              <w:t>1)</w:t>
            </w:r>
          </w:p>
          <w:p w14:paraId="4AC6FD87" w14:textId="77777777" w:rsidR="001E500F" w:rsidRPr="009C5EFD" w:rsidRDefault="001E500F" w:rsidP="009C5EFD">
            <w:pPr>
              <w:pStyle w:val="EMEAFigureTitle"/>
              <w:tabs>
                <w:tab w:val="clear" w:pos="562"/>
                <w:tab w:val="left" w:pos="708"/>
              </w:tabs>
              <w:suppressAutoHyphens w:val="0"/>
              <w:rPr>
                <w:lang w:val="nb-NO"/>
              </w:rPr>
            </w:pPr>
          </w:p>
        </w:tc>
      </w:tr>
      <w:tr w:rsidR="004644D4" w14:paraId="558A59FC" w14:textId="77777777" w:rsidTr="00032240">
        <w:tc>
          <w:tcPr>
            <w:tcW w:w="0" w:type="auto"/>
            <w:vMerge/>
            <w:vAlign w:val="center"/>
            <w:hideMark/>
          </w:tcPr>
          <w:p w14:paraId="3F592DFC" w14:textId="77777777" w:rsidR="001E500F" w:rsidRPr="009C5EFD" w:rsidRDefault="001E500F" w:rsidP="009C5EFD">
            <w:pPr>
              <w:rPr>
                <w:sz w:val="22"/>
                <w:szCs w:val="22"/>
              </w:rPr>
            </w:pPr>
          </w:p>
        </w:tc>
        <w:tc>
          <w:tcPr>
            <w:tcW w:w="1682" w:type="dxa"/>
          </w:tcPr>
          <w:p w14:paraId="5B45E740" w14:textId="77777777" w:rsidR="001E500F" w:rsidRPr="009C5EFD" w:rsidRDefault="00E453CD" w:rsidP="009C5EFD">
            <w:pPr>
              <w:rPr>
                <w:sz w:val="22"/>
                <w:szCs w:val="22"/>
              </w:rPr>
            </w:pPr>
            <w:r w:rsidRPr="009C5EFD">
              <w:rPr>
                <w:sz w:val="22"/>
                <w:szCs w:val="22"/>
              </w:rPr>
              <w:t>Ikke kjent</w:t>
            </w:r>
          </w:p>
          <w:p w14:paraId="23C55FC3" w14:textId="77777777" w:rsidR="001E500F" w:rsidRPr="009C5EFD" w:rsidRDefault="001E500F" w:rsidP="009C5EFD">
            <w:pPr>
              <w:rPr>
                <w:sz w:val="22"/>
                <w:szCs w:val="22"/>
              </w:rPr>
            </w:pPr>
          </w:p>
        </w:tc>
        <w:tc>
          <w:tcPr>
            <w:tcW w:w="4294" w:type="dxa"/>
          </w:tcPr>
          <w:p w14:paraId="65F789B0" w14:textId="77777777" w:rsidR="001E500F" w:rsidRPr="009C5EFD" w:rsidRDefault="00E453CD" w:rsidP="009C5EFD">
            <w:pPr>
              <w:rPr>
                <w:sz w:val="22"/>
                <w:szCs w:val="22"/>
              </w:rPr>
            </w:pPr>
            <w:r w:rsidRPr="009C5EFD">
              <w:rPr>
                <w:sz w:val="22"/>
                <w:szCs w:val="22"/>
              </w:rPr>
              <w:t>Leversvikt</w:t>
            </w:r>
            <w:r w:rsidRPr="009C5EFD">
              <w:rPr>
                <w:sz w:val="22"/>
                <w:szCs w:val="22"/>
                <w:vertAlign w:val="superscript"/>
              </w:rPr>
              <w:t>1)</w:t>
            </w:r>
          </w:p>
          <w:p w14:paraId="646A1A93" w14:textId="77777777" w:rsidR="001E500F" w:rsidRPr="009C5EFD" w:rsidRDefault="001E500F" w:rsidP="009C5EFD">
            <w:pPr>
              <w:rPr>
                <w:sz w:val="22"/>
                <w:szCs w:val="22"/>
              </w:rPr>
            </w:pPr>
          </w:p>
        </w:tc>
      </w:tr>
      <w:tr w:rsidR="004644D4" w14:paraId="56791733" w14:textId="77777777" w:rsidTr="00032240">
        <w:tc>
          <w:tcPr>
            <w:tcW w:w="3079" w:type="dxa"/>
            <w:vMerge w:val="restart"/>
            <w:hideMark/>
          </w:tcPr>
          <w:p w14:paraId="37AAF78F" w14:textId="77777777" w:rsidR="001E500F" w:rsidRPr="009C5EFD" w:rsidRDefault="00E453CD" w:rsidP="007F67EE">
            <w:pPr>
              <w:rPr>
                <w:sz w:val="22"/>
                <w:szCs w:val="22"/>
              </w:rPr>
            </w:pPr>
            <w:r w:rsidRPr="009C5EFD">
              <w:rPr>
                <w:sz w:val="22"/>
                <w:szCs w:val="22"/>
              </w:rPr>
              <w:t>Hud- og underhudssykdommer</w:t>
            </w:r>
          </w:p>
        </w:tc>
        <w:tc>
          <w:tcPr>
            <w:tcW w:w="1682" w:type="dxa"/>
          </w:tcPr>
          <w:p w14:paraId="34E7E8B7" w14:textId="77777777" w:rsidR="001E500F" w:rsidRPr="009C5EFD" w:rsidRDefault="00E453CD" w:rsidP="007F67EE">
            <w:pPr>
              <w:rPr>
                <w:sz w:val="22"/>
                <w:szCs w:val="22"/>
              </w:rPr>
            </w:pPr>
            <w:r w:rsidRPr="009C5EFD">
              <w:rPr>
                <w:sz w:val="22"/>
                <w:szCs w:val="22"/>
              </w:rPr>
              <w:t>Svært vanlige</w:t>
            </w:r>
          </w:p>
          <w:p w14:paraId="3FD77E0F" w14:textId="77777777" w:rsidR="001E500F" w:rsidRPr="009C5EFD" w:rsidRDefault="001E500F" w:rsidP="00193D76">
            <w:pPr>
              <w:rPr>
                <w:sz w:val="22"/>
                <w:szCs w:val="22"/>
              </w:rPr>
            </w:pPr>
          </w:p>
        </w:tc>
        <w:tc>
          <w:tcPr>
            <w:tcW w:w="4294" w:type="dxa"/>
          </w:tcPr>
          <w:p w14:paraId="490BED86" w14:textId="77777777" w:rsidR="001E500F" w:rsidRPr="009C5EFD" w:rsidRDefault="00E453CD" w:rsidP="002D0790">
            <w:pPr>
              <w:rPr>
                <w:sz w:val="22"/>
                <w:szCs w:val="22"/>
              </w:rPr>
            </w:pPr>
            <w:r w:rsidRPr="009C5EFD">
              <w:rPr>
                <w:sz w:val="22"/>
                <w:szCs w:val="22"/>
              </w:rPr>
              <w:t>Utslett (inkludert eksfoliativt utslett)</w:t>
            </w:r>
          </w:p>
          <w:p w14:paraId="69A412FB" w14:textId="77777777" w:rsidR="001E500F" w:rsidRPr="009C5EFD" w:rsidRDefault="001E500F" w:rsidP="00C07C98">
            <w:pPr>
              <w:rPr>
                <w:sz w:val="22"/>
                <w:szCs w:val="22"/>
              </w:rPr>
            </w:pPr>
          </w:p>
        </w:tc>
      </w:tr>
      <w:tr w:rsidR="004644D4" w14:paraId="002AC985" w14:textId="77777777" w:rsidTr="00032240">
        <w:tc>
          <w:tcPr>
            <w:tcW w:w="0" w:type="auto"/>
            <w:vMerge/>
            <w:vAlign w:val="center"/>
            <w:hideMark/>
          </w:tcPr>
          <w:p w14:paraId="7E7BEE91" w14:textId="77777777" w:rsidR="001E500F" w:rsidRPr="009C5EFD" w:rsidRDefault="001E500F" w:rsidP="009C5EFD">
            <w:pPr>
              <w:rPr>
                <w:sz w:val="22"/>
                <w:szCs w:val="22"/>
              </w:rPr>
            </w:pPr>
          </w:p>
        </w:tc>
        <w:tc>
          <w:tcPr>
            <w:tcW w:w="1682" w:type="dxa"/>
          </w:tcPr>
          <w:p w14:paraId="737C3838" w14:textId="77777777" w:rsidR="001E500F" w:rsidRPr="009C5EFD" w:rsidRDefault="00E453CD" w:rsidP="009C5EFD">
            <w:pPr>
              <w:rPr>
                <w:sz w:val="22"/>
                <w:szCs w:val="22"/>
              </w:rPr>
            </w:pPr>
            <w:r w:rsidRPr="009C5EFD">
              <w:rPr>
                <w:sz w:val="22"/>
                <w:szCs w:val="22"/>
              </w:rPr>
              <w:t>Vanlige</w:t>
            </w:r>
          </w:p>
          <w:p w14:paraId="7F85ACCF" w14:textId="77777777" w:rsidR="001E500F" w:rsidRPr="009C5EFD" w:rsidRDefault="001E500F" w:rsidP="009C5EFD">
            <w:pPr>
              <w:rPr>
                <w:sz w:val="22"/>
                <w:szCs w:val="22"/>
              </w:rPr>
            </w:pPr>
          </w:p>
        </w:tc>
        <w:tc>
          <w:tcPr>
            <w:tcW w:w="4294" w:type="dxa"/>
          </w:tcPr>
          <w:p w14:paraId="464373C4" w14:textId="77777777" w:rsidR="001E500F" w:rsidRPr="009C5EFD" w:rsidRDefault="00E453CD" w:rsidP="009C5EFD">
            <w:pPr>
              <w:rPr>
                <w:sz w:val="22"/>
                <w:szCs w:val="22"/>
              </w:rPr>
            </w:pPr>
            <w:r w:rsidRPr="009C5EFD">
              <w:rPr>
                <w:sz w:val="22"/>
                <w:szCs w:val="22"/>
              </w:rPr>
              <w:t>Forverring eller nytt tilfelle av psoriasis (inkludert palmoplantar pustul</w:t>
            </w:r>
            <w:r w:rsidR="00DB7B68">
              <w:rPr>
                <w:sz w:val="22"/>
                <w:szCs w:val="22"/>
              </w:rPr>
              <w:t>øs</w:t>
            </w:r>
            <w:r w:rsidRPr="009C5EFD">
              <w:rPr>
                <w:sz w:val="22"/>
                <w:szCs w:val="22"/>
              </w:rPr>
              <w:t xml:space="preserve"> psoriasis)</w:t>
            </w:r>
            <w:r w:rsidRPr="009C5EFD">
              <w:rPr>
                <w:sz w:val="22"/>
                <w:szCs w:val="22"/>
                <w:vertAlign w:val="superscript"/>
              </w:rPr>
              <w:t>1)</w:t>
            </w:r>
            <w:r w:rsidRPr="009C5EFD">
              <w:rPr>
                <w:sz w:val="22"/>
                <w:szCs w:val="22"/>
              </w:rPr>
              <w:t>, urtikaria, blåmerker (inkludert purpura), dermatitt (inkludert eksem), onychoclasis, hyperhidrose, alopeci</w:t>
            </w:r>
            <w:r w:rsidRPr="009C5EFD">
              <w:rPr>
                <w:sz w:val="22"/>
                <w:szCs w:val="22"/>
                <w:vertAlign w:val="superscript"/>
              </w:rPr>
              <w:t>1)</w:t>
            </w:r>
            <w:r w:rsidRPr="009C5EFD">
              <w:rPr>
                <w:sz w:val="22"/>
                <w:szCs w:val="22"/>
              </w:rPr>
              <w:t>, pruritus</w:t>
            </w:r>
          </w:p>
          <w:p w14:paraId="24BCF5B4" w14:textId="77777777" w:rsidR="001E500F" w:rsidRPr="009C5EFD" w:rsidRDefault="001E500F" w:rsidP="009C5EFD">
            <w:pPr>
              <w:rPr>
                <w:sz w:val="22"/>
                <w:szCs w:val="22"/>
              </w:rPr>
            </w:pPr>
          </w:p>
        </w:tc>
      </w:tr>
      <w:tr w:rsidR="004644D4" w14:paraId="735E024A" w14:textId="77777777" w:rsidTr="00032240">
        <w:tc>
          <w:tcPr>
            <w:tcW w:w="0" w:type="auto"/>
            <w:vMerge/>
            <w:vAlign w:val="center"/>
            <w:hideMark/>
          </w:tcPr>
          <w:p w14:paraId="04819F9A" w14:textId="77777777" w:rsidR="001E500F" w:rsidRPr="009C5EFD" w:rsidRDefault="001E500F" w:rsidP="009C5EFD">
            <w:pPr>
              <w:rPr>
                <w:sz w:val="22"/>
                <w:szCs w:val="22"/>
              </w:rPr>
            </w:pPr>
          </w:p>
        </w:tc>
        <w:tc>
          <w:tcPr>
            <w:tcW w:w="1682" w:type="dxa"/>
          </w:tcPr>
          <w:p w14:paraId="7BD497D5" w14:textId="77777777" w:rsidR="001E500F" w:rsidRPr="009C5EFD" w:rsidRDefault="00E453CD" w:rsidP="009C5EFD">
            <w:pPr>
              <w:rPr>
                <w:sz w:val="22"/>
                <w:szCs w:val="22"/>
              </w:rPr>
            </w:pPr>
            <w:r w:rsidRPr="009C5EFD">
              <w:rPr>
                <w:sz w:val="22"/>
                <w:szCs w:val="22"/>
              </w:rPr>
              <w:t>Mindre vanlige</w:t>
            </w:r>
          </w:p>
          <w:p w14:paraId="25D1BA22" w14:textId="77777777" w:rsidR="001E500F" w:rsidRPr="009C5EFD" w:rsidRDefault="001E500F" w:rsidP="009C5EFD">
            <w:pPr>
              <w:rPr>
                <w:sz w:val="22"/>
                <w:szCs w:val="22"/>
              </w:rPr>
            </w:pPr>
          </w:p>
        </w:tc>
        <w:tc>
          <w:tcPr>
            <w:tcW w:w="4294" w:type="dxa"/>
          </w:tcPr>
          <w:p w14:paraId="79DE5F53" w14:textId="77777777" w:rsidR="001E500F" w:rsidRPr="009C5EFD" w:rsidRDefault="00E453CD" w:rsidP="009C5EFD">
            <w:pPr>
              <w:rPr>
                <w:sz w:val="22"/>
                <w:szCs w:val="22"/>
              </w:rPr>
            </w:pPr>
            <w:r w:rsidRPr="009C5EFD">
              <w:rPr>
                <w:sz w:val="22"/>
                <w:szCs w:val="22"/>
              </w:rPr>
              <w:t xml:space="preserve">Nattesvette, arrdannelse </w:t>
            </w:r>
          </w:p>
          <w:p w14:paraId="62FBDD19" w14:textId="77777777" w:rsidR="001E500F" w:rsidRPr="009C5EFD" w:rsidRDefault="001E500F" w:rsidP="009C5EFD">
            <w:pPr>
              <w:rPr>
                <w:sz w:val="22"/>
                <w:szCs w:val="22"/>
              </w:rPr>
            </w:pPr>
          </w:p>
        </w:tc>
      </w:tr>
      <w:tr w:rsidR="004644D4" w14:paraId="590283FF" w14:textId="77777777" w:rsidTr="00032240">
        <w:tc>
          <w:tcPr>
            <w:tcW w:w="0" w:type="auto"/>
            <w:vMerge/>
            <w:vAlign w:val="center"/>
            <w:hideMark/>
          </w:tcPr>
          <w:p w14:paraId="788AB489" w14:textId="77777777" w:rsidR="001E500F" w:rsidRPr="009C5EFD" w:rsidRDefault="001E500F" w:rsidP="009C5EFD">
            <w:pPr>
              <w:rPr>
                <w:sz w:val="22"/>
                <w:szCs w:val="22"/>
              </w:rPr>
            </w:pPr>
          </w:p>
        </w:tc>
        <w:tc>
          <w:tcPr>
            <w:tcW w:w="1682" w:type="dxa"/>
          </w:tcPr>
          <w:p w14:paraId="7C3CDC15" w14:textId="77777777" w:rsidR="001E500F" w:rsidRPr="009C5EFD" w:rsidRDefault="00E453CD" w:rsidP="009C5EFD">
            <w:pPr>
              <w:rPr>
                <w:sz w:val="22"/>
                <w:szCs w:val="22"/>
              </w:rPr>
            </w:pPr>
            <w:r w:rsidRPr="009C5EFD">
              <w:rPr>
                <w:sz w:val="22"/>
                <w:szCs w:val="22"/>
              </w:rPr>
              <w:t>Sjeldne</w:t>
            </w:r>
          </w:p>
          <w:p w14:paraId="45D41C9F" w14:textId="77777777" w:rsidR="001E500F" w:rsidRPr="009C5EFD" w:rsidRDefault="001E500F" w:rsidP="009C5EFD">
            <w:pPr>
              <w:rPr>
                <w:sz w:val="22"/>
                <w:szCs w:val="22"/>
              </w:rPr>
            </w:pPr>
          </w:p>
        </w:tc>
        <w:tc>
          <w:tcPr>
            <w:tcW w:w="4294" w:type="dxa"/>
          </w:tcPr>
          <w:p w14:paraId="755AD780" w14:textId="77777777" w:rsidR="001E500F" w:rsidRPr="006936CB" w:rsidRDefault="00E453CD" w:rsidP="001424DB">
            <w:pPr>
              <w:spacing w:after="120"/>
              <w:rPr>
                <w:sz w:val="22"/>
                <w:szCs w:val="22"/>
              </w:rPr>
            </w:pPr>
            <w:r w:rsidRPr="009C5EFD">
              <w:rPr>
                <w:sz w:val="22"/>
                <w:szCs w:val="22"/>
              </w:rPr>
              <w:t>Erythema multiforme</w:t>
            </w:r>
            <w:r w:rsidRPr="009C5EFD">
              <w:rPr>
                <w:sz w:val="22"/>
                <w:szCs w:val="22"/>
                <w:vertAlign w:val="superscript"/>
              </w:rPr>
              <w:t>1)</w:t>
            </w:r>
            <w:r w:rsidRPr="009C5EFD">
              <w:rPr>
                <w:sz w:val="22"/>
                <w:szCs w:val="22"/>
              </w:rPr>
              <w:t>, Stevens-Johnson syndrom</w:t>
            </w:r>
            <w:r w:rsidRPr="009C5EFD">
              <w:rPr>
                <w:sz w:val="22"/>
                <w:szCs w:val="22"/>
                <w:vertAlign w:val="superscript"/>
              </w:rPr>
              <w:t>1)</w:t>
            </w:r>
            <w:r w:rsidRPr="009C5EFD">
              <w:rPr>
                <w:sz w:val="22"/>
                <w:szCs w:val="22"/>
              </w:rPr>
              <w:t>, angioødem</w:t>
            </w:r>
            <w:r w:rsidRPr="009C5EFD">
              <w:rPr>
                <w:sz w:val="22"/>
                <w:szCs w:val="22"/>
                <w:vertAlign w:val="superscript"/>
              </w:rPr>
              <w:t>1)</w:t>
            </w:r>
            <w:r w:rsidRPr="009C5EFD">
              <w:rPr>
                <w:sz w:val="22"/>
                <w:szCs w:val="22"/>
              </w:rPr>
              <w:t>, kutan vaskulitt</w:t>
            </w:r>
            <w:r w:rsidRPr="009C5EFD">
              <w:rPr>
                <w:sz w:val="22"/>
                <w:szCs w:val="22"/>
                <w:vertAlign w:val="superscript"/>
              </w:rPr>
              <w:t>1)</w:t>
            </w:r>
            <w:r w:rsidR="00486C52">
              <w:rPr>
                <w:sz w:val="22"/>
                <w:szCs w:val="22"/>
              </w:rPr>
              <w:t>, lichenoid</w:t>
            </w:r>
            <w:r w:rsidR="00E60B3F">
              <w:rPr>
                <w:sz w:val="22"/>
                <w:szCs w:val="22"/>
              </w:rPr>
              <w:t xml:space="preserve"> hudreaksjon</w:t>
            </w:r>
            <w:r w:rsidR="00E60B3F" w:rsidRPr="009C5EFD">
              <w:rPr>
                <w:sz w:val="22"/>
                <w:szCs w:val="22"/>
                <w:vertAlign w:val="superscript"/>
              </w:rPr>
              <w:t>1)</w:t>
            </w:r>
          </w:p>
          <w:p w14:paraId="390A3E3D" w14:textId="77777777" w:rsidR="001E500F" w:rsidRPr="009C5EFD" w:rsidRDefault="001E500F" w:rsidP="009C5EFD">
            <w:pPr>
              <w:rPr>
                <w:sz w:val="22"/>
                <w:szCs w:val="22"/>
              </w:rPr>
            </w:pPr>
          </w:p>
        </w:tc>
      </w:tr>
      <w:tr w:rsidR="004644D4" w14:paraId="55A02901" w14:textId="77777777" w:rsidTr="00032240">
        <w:tc>
          <w:tcPr>
            <w:tcW w:w="0" w:type="auto"/>
            <w:vMerge/>
            <w:vAlign w:val="center"/>
            <w:hideMark/>
          </w:tcPr>
          <w:p w14:paraId="508EC5AC" w14:textId="77777777" w:rsidR="001E500F" w:rsidRPr="009C5EFD" w:rsidRDefault="001E500F" w:rsidP="009C5EFD">
            <w:pPr>
              <w:rPr>
                <w:sz w:val="22"/>
                <w:szCs w:val="22"/>
              </w:rPr>
            </w:pPr>
          </w:p>
        </w:tc>
        <w:tc>
          <w:tcPr>
            <w:tcW w:w="1682" w:type="dxa"/>
            <w:hideMark/>
          </w:tcPr>
          <w:p w14:paraId="104230E1" w14:textId="77777777" w:rsidR="001E500F" w:rsidRPr="009C5EFD" w:rsidRDefault="00E453CD" w:rsidP="009C5EFD">
            <w:pPr>
              <w:rPr>
                <w:sz w:val="22"/>
                <w:szCs w:val="22"/>
              </w:rPr>
            </w:pPr>
            <w:r w:rsidRPr="009C5EFD">
              <w:rPr>
                <w:sz w:val="22"/>
                <w:szCs w:val="22"/>
              </w:rPr>
              <w:t>Ikke kjent</w:t>
            </w:r>
          </w:p>
        </w:tc>
        <w:tc>
          <w:tcPr>
            <w:tcW w:w="4294" w:type="dxa"/>
          </w:tcPr>
          <w:p w14:paraId="5659CF99" w14:textId="77777777" w:rsidR="001E500F" w:rsidRPr="009C5EFD" w:rsidRDefault="00E453CD" w:rsidP="009C5EFD">
            <w:pPr>
              <w:rPr>
                <w:sz w:val="22"/>
                <w:szCs w:val="22"/>
              </w:rPr>
            </w:pPr>
            <w:r w:rsidRPr="009C5EFD">
              <w:rPr>
                <w:sz w:val="22"/>
                <w:szCs w:val="22"/>
              </w:rPr>
              <w:t>Forverring av dermatomyositt symptomer</w:t>
            </w:r>
            <w:r w:rsidRPr="009C5EFD">
              <w:rPr>
                <w:sz w:val="22"/>
                <w:szCs w:val="22"/>
                <w:vertAlign w:val="superscript"/>
              </w:rPr>
              <w:t>1)</w:t>
            </w:r>
          </w:p>
          <w:p w14:paraId="4E7E12B2" w14:textId="77777777" w:rsidR="001E500F" w:rsidRPr="009C5EFD" w:rsidRDefault="001E500F" w:rsidP="009C5EFD">
            <w:pPr>
              <w:rPr>
                <w:sz w:val="22"/>
                <w:szCs w:val="22"/>
              </w:rPr>
            </w:pPr>
          </w:p>
        </w:tc>
      </w:tr>
      <w:tr w:rsidR="004644D4" w14:paraId="21FA4EC9" w14:textId="77777777" w:rsidTr="00032240">
        <w:tc>
          <w:tcPr>
            <w:tcW w:w="3079" w:type="dxa"/>
            <w:vMerge w:val="restart"/>
            <w:hideMark/>
          </w:tcPr>
          <w:p w14:paraId="7C51EC3E" w14:textId="77777777" w:rsidR="001E500F" w:rsidRPr="007F67EE" w:rsidRDefault="00E453CD" w:rsidP="007F67EE">
            <w:pPr>
              <w:pStyle w:val="EndnoteText"/>
              <w:widowControl/>
              <w:tabs>
                <w:tab w:val="clear" w:pos="567"/>
                <w:tab w:val="left" w:pos="708"/>
              </w:tabs>
              <w:rPr>
                <w:szCs w:val="22"/>
                <w:lang w:val="nb-NO"/>
              </w:rPr>
            </w:pPr>
            <w:r w:rsidRPr="007F67EE">
              <w:rPr>
                <w:szCs w:val="22"/>
                <w:lang w:val="nb-NO"/>
              </w:rPr>
              <w:t>Sykdommer i muskler og bindevev</w:t>
            </w:r>
          </w:p>
        </w:tc>
        <w:tc>
          <w:tcPr>
            <w:tcW w:w="1682" w:type="dxa"/>
          </w:tcPr>
          <w:p w14:paraId="6DE10167" w14:textId="77777777" w:rsidR="001E500F" w:rsidRPr="00193D76" w:rsidRDefault="00E453CD" w:rsidP="007F67EE">
            <w:pPr>
              <w:rPr>
                <w:sz w:val="22"/>
                <w:szCs w:val="22"/>
              </w:rPr>
            </w:pPr>
            <w:r w:rsidRPr="00193D76">
              <w:rPr>
                <w:sz w:val="22"/>
                <w:szCs w:val="22"/>
              </w:rPr>
              <w:t>Svært vanlige</w:t>
            </w:r>
          </w:p>
          <w:p w14:paraId="6BFFC86C" w14:textId="77777777" w:rsidR="001E500F" w:rsidRPr="002D0790" w:rsidRDefault="001E500F" w:rsidP="00193D76">
            <w:pPr>
              <w:rPr>
                <w:sz w:val="22"/>
                <w:szCs w:val="22"/>
              </w:rPr>
            </w:pPr>
          </w:p>
        </w:tc>
        <w:tc>
          <w:tcPr>
            <w:tcW w:w="4294" w:type="dxa"/>
            <w:hideMark/>
          </w:tcPr>
          <w:p w14:paraId="4EB8C8C0" w14:textId="77777777" w:rsidR="001E500F" w:rsidRPr="00C07C98" w:rsidRDefault="00E453CD" w:rsidP="002D0790">
            <w:pPr>
              <w:rPr>
                <w:sz w:val="22"/>
                <w:szCs w:val="22"/>
              </w:rPr>
            </w:pPr>
            <w:r w:rsidRPr="00C07C98">
              <w:rPr>
                <w:sz w:val="22"/>
                <w:szCs w:val="22"/>
              </w:rPr>
              <w:t>Smerter i skjelett og muskulatur</w:t>
            </w:r>
          </w:p>
        </w:tc>
      </w:tr>
      <w:tr w:rsidR="004644D4" w14:paraId="0661911D" w14:textId="77777777" w:rsidTr="00032240">
        <w:tc>
          <w:tcPr>
            <w:tcW w:w="0" w:type="auto"/>
            <w:vMerge/>
            <w:vAlign w:val="center"/>
            <w:hideMark/>
          </w:tcPr>
          <w:p w14:paraId="1AAD311D" w14:textId="77777777" w:rsidR="001E500F" w:rsidRPr="009C5EFD" w:rsidRDefault="001E500F" w:rsidP="009C5EFD">
            <w:pPr>
              <w:rPr>
                <w:sz w:val="22"/>
                <w:szCs w:val="22"/>
              </w:rPr>
            </w:pPr>
          </w:p>
        </w:tc>
        <w:tc>
          <w:tcPr>
            <w:tcW w:w="1682" w:type="dxa"/>
          </w:tcPr>
          <w:p w14:paraId="0141F2F1" w14:textId="77777777" w:rsidR="001E500F" w:rsidRPr="009C5EFD" w:rsidRDefault="00E453CD" w:rsidP="009C5EFD">
            <w:pPr>
              <w:rPr>
                <w:sz w:val="22"/>
                <w:szCs w:val="22"/>
              </w:rPr>
            </w:pPr>
            <w:r w:rsidRPr="009C5EFD">
              <w:rPr>
                <w:sz w:val="22"/>
                <w:szCs w:val="22"/>
              </w:rPr>
              <w:t>Vanlige</w:t>
            </w:r>
          </w:p>
          <w:p w14:paraId="5A11AD03" w14:textId="77777777" w:rsidR="001E500F" w:rsidRPr="009C5EFD" w:rsidRDefault="001E500F" w:rsidP="009C5EFD">
            <w:pPr>
              <w:rPr>
                <w:sz w:val="22"/>
                <w:szCs w:val="22"/>
              </w:rPr>
            </w:pPr>
          </w:p>
        </w:tc>
        <w:tc>
          <w:tcPr>
            <w:tcW w:w="4294" w:type="dxa"/>
          </w:tcPr>
          <w:p w14:paraId="73274566" w14:textId="77777777" w:rsidR="001E500F" w:rsidRPr="009C5EFD" w:rsidRDefault="00E453CD" w:rsidP="009C5EFD">
            <w:pPr>
              <w:rPr>
                <w:sz w:val="22"/>
                <w:szCs w:val="22"/>
              </w:rPr>
            </w:pPr>
            <w:r w:rsidRPr="009C5EFD">
              <w:rPr>
                <w:sz w:val="22"/>
                <w:szCs w:val="22"/>
              </w:rPr>
              <w:t xml:space="preserve">Muskelspasmer (inkludert forhøyet kreatinfosfokinase i blod) </w:t>
            </w:r>
          </w:p>
          <w:p w14:paraId="449E4248" w14:textId="77777777" w:rsidR="001E500F" w:rsidRPr="009C5EFD" w:rsidRDefault="001E500F" w:rsidP="009C5EFD">
            <w:pPr>
              <w:rPr>
                <w:sz w:val="22"/>
                <w:szCs w:val="22"/>
              </w:rPr>
            </w:pPr>
          </w:p>
        </w:tc>
      </w:tr>
      <w:tr w:rsidR="004644D4" w14:paraId="33448B95" w14:textId="77777777" w:rsidTr="00032240">
        <w:tc>
          <w:tcPr>
            <w:tcW w:w="0" w:type="auto"/>
            <w:vMerge/>
            <w:vAlign w:val="center"/>
            <w:hideMark/>
          </w:tcPr>
          <w:p w14:paraId="6808A78D" w14:textId="77777777" w:rsidR="001E500F" w:rsidRPr="009C5EFD" w:rsidRDefault="001E500F" w:rsidP="009C5EFD">
            <w:pPr>
              <w:rPr>
                <w:sz w:val="22"/>
                <w:szCs w:val="22"/>
              </w:rPr>
            </w:pPr>
          </w:p>
        </w:tc>
        <w:tc>
          <w:tcPr>
            <w:tcW w:w="1682" w:type="dxa"/>
          </w:tcPr>
          <w:p w14:paraId="2F10B7E5" w14:textId="77777777" w:rsidR="001E500F" w:rsidRPr="009C5EFD" w:rsidRDefault="00E453CD" w:rsidP="009C5EFD">
            <w:pPr>
              <w:rPr>
                <w:sz w:val="22"/>
                <w:szCs w:val="22"/>
              </w:rPr>
            </w:pPr>
            <w:r w:rsidRPr="009C5EFD">
              <w:rPr>
                <w:sz w:val="22"/>
                <w:szCs w:val="22"/>
              </w:rPr>
              <w:t>Mindre vanlige</w:t>
            </w:r>
          </w:p>
          <w:p w14:paraId="2F6BA6B5" w14:textId="77777777" w:rsidR="001E500F" w:rsidRPr="009C5EFD" w:rsidRDefault="001E500F" w:rsidP="009C5EFD">
            <w:pPr>
              <w:rPr>
                <w:sz w:val="22"/>
                <w:szCs w:val="22"/>
              </w:rPr>
            </w:pPr>
          </w:p>
        </w:tc>
        <w:tc>
          <w:tcPr>
            <w:tcW w:w="4294" w:type="dxa"/>
          </w:tcPr>
          <w:p w14:paraId="4FE7316A" w14:textId="77777777" w:rsidR="001E500F" w:rsidRPr="009C5EFD" w:rsidRDefault="00E453CD" w:rsidP="009C5EFD">
            <w:pPr>
              <w:rPr>
                <w:sz w:val="22"/>
                <w:szCs w:val="22"/>
              </w:rPr>
            </w:pPr>
            <w:r w:rsidRPr="009C5EFD">
              <w:rPr>
                <w:sz w:val="22"/>
                <w:szCs w:val="22"/>
              </w:rPr>
              <w:t>Rabdomyolyse, systemisk lupus erythematosus</w:t>
            </w:r>
          </w:p>
          <w:p w14:paraId="735F8A2B" w14:textId="77777777" w:rsidR="001E500F" w:rsidRPr="009C5EFD" w:rsidRDefault="001E500F" w:rsidP="009C5EFD">
            <w:pPr>
              <w:rPr>
                <w:sz w:val="22"/>
                <w:szCs w:val="22"/>
              </w:rPr>
            </w:pPr>
          </w:p>
        </w:tc>
      </w:tr>
      <w:tr w:rsidR="004644D4" w14:paraId="2781DB02" w14:textId="77777777" w:rsidTr="00032240">
        <w:tc>
          <w:tcPr>
            <w:tcW w:w="0" w:type="auto"/>
            <w:vMerge/>
            <w:vAlign w:val="center"/>
            <w:hideMark/>
          </w:tcPr>
          <w:p w14:paraId="67ABA59F" w14:textId="77777777" w:rsidR="001E500F" w:rsidRPr="009C5EFD" w:rsidRDefault="001E500F" w:rsidP="009C5EFD">
            <w:pPr>
              <w:rPr>
                <w:sz w:val="22"/>
                <w:szCs w:val="22"/>
              </w:rPr>
            </w:pPr>
          </w:p>
        </w:tc>
        <w:tc>
          <w:tcPr>
            <w:tcW w:w="1682" w:type="dxa"/>
            <w:hideMark/>
          </w:tcPr>
          <w:p w14:paraId="3EFDC471" w14:textId="77777777" w:rsidR="001E500F" w:rsidRPr="009C5EFD" w:rsidRDefault="00E453CD" w:rsidP="009C5EFD">
            <w:pPr>
              <w:rPr>
                <w:sz w:val="22"/>
                <w:szCs w:val="22"/>
              </w:rPr>
            </w:pPr>
            <w:r w:rsidRPr="009C5EFD">
              <w:rPr>
                <w:sz w:val="22"/>
                <w:szCs w:val="22"/>
              </w:rPr>
              <w:t>Sjeldne</w:t>
            </w:r>
          </w:p>
        </w:tc>
        <w:tc>
          <w:tcPr>
            <w:tcW w:w="4294" w:type="dxa"/>
          </w:tcPr>
          <w:p w14:paraId="2865EA4F" w14:textId="77777777" w:rsidR="001E500F" w:rsidRPr="009C5EFD" w:rsidRDefault="00E453CD" w:rsidP="009C5EFD">
            <w:pPr>
              <w:rPr>
                <w:sz w:val="22"/>
                <w:szCs w:val="22"/>
                <w:vertAlign w:val="superscript"/>
              </w:rPr>
            </w:pPr>
            <w:r w:rsidRPr="009C5EFD">
              <w:rPr>
                <w:sz w:val="22"/>
                <w:szCs w:val="22"/>
              </w:rPr>
              <w:t>Lupus-lignende syndrom</w:t>
            </w:r>
            <w:r w:rsidRPr="009C5EFD">
              <w:rPr>
                <w:sz w:val="22"/>
                <w:szCs w:val="22"/>
                <w:vertAlign w:val="superscript"/>
              </w:rPr>
              <w:t>1)</w:t>
            </w:r>
          </w:p>
          <w:p w14:paraId="68DAA892" w14:textId="77777777" w:rsidR="001E500F" w:rsidRPr="009C5EFD" w:rsidRDefault="001E500F" w:rsidP="009C5EFD">
            <w:pPr>
              <w:rPr>
                <w:sz w:val="22"/>
                <w:szCs w:val="22"/>
              </w:rPr>
            </w:pPr>
          </w:p>
        </w:tc>
      </w:tr>
      <w:tr w:rsidR="004644D4" w14:paraId="6228C32D" w14:textId="77777777" w:rsidTr="00032240">
        <w:tc>
          <w:tcPr>
            <w:tcW w:w="3079" w:type="dxa"/>
            <w:vMerge w:val="restart"/>
            <w:hideMark/>
          </w:tcPr>
          <w:p w14:paraId="3BBB99C5" w14:textId="77777777" w:rsidR="001E500F" w:rsidRPr="009C5EFD" w:rsidRDefault="00E453CD" w:rsidP="007F67EE">
            <w:pPr>
              <w:rPr>
                <w:sz w:val="22"/>
                <w:szCs w:val="22"/>
              </w:rPr>
            </w:pPr>
            <w:r w:rsidRPr="009C5EFD">
              <w:rPr>
                <w:sz w:val="22"/>
                <w:szCs w:val="22"/>
              </w:rPr>
              <w:t>Sykdommer i nyre og urinveier</w:t>
            </w:r>
          </w:p>
        </w:tc>
        <w:tc>
          <w:tcPr>
            <w:tcW w:w="1682" w:type="dxa"/>
          </w:tcPr>
          <w:p w14:paraId="2706DD54" w14:textId="77777777" w:rsidR="001E500F" w:rsidRPr="009C5EFD" w:rsidRDefault="00E453CD" w:rsidP="007F67EE">
            <w:pPr>
              <w:rPr>
                <w:sz w:val="22"/>
                <w:szCs w:val="22"/>
              </w:rPr>
            </w:pPr>
            <w:r w:rsidRPr="009C5EFD">
              <w:rPr>
                <w:sz w:val="22"/>
                <w:szCs w:val="22"/>
              </w:rPr>
              <w:t>Vanlige</w:t>
            </w:r>
          </w:p>
          <w:p w14:paraId="4D65B349" w14:textId="77777777" w:rsidR="001E500F" w:rsidRPr="009C5EFD" w:rsidRDefault="001E500F" w:rsidP="00193D76">
            <w:pPr>
              <w:rPr>
                <w:sz w:val="22"/>
                <w:szCs w:val="22"/>
              </w:rPr>
            </w:pPr>
          </w:p>
        </w:tc>
        <w:tc>
          <w:tcPr>
            <w:tcW w:w="4294" w:type="dxa"/>
            <w:hideMark/>
          </w:tcPr>
          <w:p w14:paraId="519BD435" w14:textId="77777777" w:rsidR="001E500F" w:rsidRPr="009C5EFD" w:rsidRDefault="00E453CD" w:rsidP="002D0790">
            <w:pPr>
              <w:rPr>
                <w:sz w:val="22"/>
                <w:szCs w:val="22"/>
              </w:rPr>
            </w:pPr>
            <w:r w:rsidRPr="009C5EFD">
              <w:rPr>
                <w:sz w:val="22"/>
                <w:szCs w:val="22"/>
              </w:rPr>
              <w:t>Nedsatt nyrefunksjon, hematuri</w:t>
            </w:r>
          </w:p>
        </w:tc>
      </w:tr>
      <w:tr w:rsidR="004644D4" w14:paraId="1805C01A" w14:textId="77777777" w:rsidTr="00032240">
        <w:tc>
          <w:tcPr>
            <w:tcW w:w="0" w:type="auto"/>
            <w:vMerge/>
            <w:vAlign w:val="center"/>
            <w:hideMark/>
          </w:tcPr>
          <w:p w14:paraId="50D491F4" w14:textId="77777777" w:rsidR="001E500F" w:rsidRPr="009C5EFD" w:rsidRDefault="001E500F" w:rsidP="009C5EFD">
            <w:pPr>
              <w:rPr>
                <w:sz w:val="22"/>
                <w:szCs w:val="22"/>
              </w:rPr>
            </w:pPr>
          </w:p>
        </w:tc>
        <w:tc>
          <w:tcPr>
            <w:tcW w:w="1682" w:type="dxa"/>
            <w:hideMark/>
          </w:tcPr>
          <w:p w14:paraId="05F01A1B" w14:textId="77777777" w:rsidR="001E500F" w:rsidRPr="009C5EFD" w:rsidRDefault="00E453CD" w:rsidP="009C5EFD">
            <w:pPr>
              <w:rPr>
                <w:sz w:val="22"/>
                <w:szCs w:val="22"/>
              </w:rPr>
            </w:pPr>
            <w:r w:rsidRPr="009C5EFD">
              <w:rPr>
                <w:sz w:val="22"/>
                <w:szCs w:val="22"/>
              </w:rPr>
              <w:t>Mindre vanlige</w:t>
            </w:r>
          </w:p>
        </w:tc>
        <w:tc>
          <w:tcPr>
            <w:tcW w:w="4294" w:type="dxa"/>
          </w:tcPr>
          <w:p w14:paraId="672636D4" w14:textId="77777777" w:rsidR="001E500F" w:rsidRPr="009C5EFD" w:rsidRDefault="00E453CD" w:rsidP="009C5EFD">
            <w:pPr>
              <w:rPr>
                <w:sz w:val="22"/>
                <w:szCs w:val="22"/>
              </w:rPr>
            </w:pPr>
            <w:r w:rsidRPr="009C5EFD">
              <w:rPr>
                <w:sz w:val="22"/>
                <w:szCs w:val="22"/>
              </w:rPr>
              <w:t>Nokturi</w:t>
            </w:r>
          </w:p>
          <w:p w14:paraId="4012459F" w14:textId="77777777" w:rsidR="001E500F" w:rsidRPr="009C5EFD" w:rsidRDefault="001E500F" w:rsidP="009C5EFD">
            <w:pPr>
              <w:rPr>
                <w:sz w:val="22"/>
                <w:szCs w:val="22"/>
              </w:rPr>
            </w:pPr>
          </w:p>
        </w:tc>
      </w:tr>
      <w:tr w:rsidR="004644D4" w14:paraId="214FBBB5" w14:textId="77777777" w:rsidTr="00032240">
        <w:tc>
          <w:tcPr>
            <w:tcW w:w="3079" w:type="dxa"/>
          </w:tcPr>
          <w:p w14:paraId="2FA76908" w14:textId="77777777" w:rsidR="001E500F" w:rsidRPr="009C5EFD" w:rsidRDefault="00E453CD" w:rsidP="007F67EE">
            <w:pPr>
              <w:rPr>
                <w:sz w:val="22"/>
                <w:szCs w:val="22"/>
              </w:rPr>
            </w:pPr>
            <w:r w:rsidRPr="009C5EFD">
              <w:rPr>
                <w:sz w:val="22"/>
                <w:szCs w:val="22"/>
              </w:rPr>
              <w:t>Lidelser i kjønnsorganer og brystsykdommer</w:t>
            </w:r>
          </w:p>
          <w:p w14:paraId="44752B9A" w14:textId="77777777" w:rsidR="001E500F" w:rsidRPr="009C5EFD" w:rsidRDefault="001E500F" w:rsidP="007F67EE">
            <w:pPr>
              <w:rPr>
                <w:sz w:val="22"/>
                <w:szCs w:val="22"/>
              </w:rPr>
            </w:pPr>
          </w:p>
        </w:tc>
        <w:tc>
          <w:tcPr>
            <w:tcW w:w="1682" w:type="dxa"/>
            <w:hideMark/>
          </w:tcPr>
          <w:p w14:paraId="5E1688A9" w14:textId="77777777" w:rsidR="001E500F" w:rsidRPr="009C5EFD" w:rsidRDefault="00E453CD" w:rsidP="00193D76">
            <w:pPr>
              <w:rPr>
                <w:sz w:val="22"/>
                <w:szCs w:val="22"/>
              </w:rPr>
            </w:pPr>
            <w:r w:rsidRPr="009C5EFD">
              <w:rPr>
                <w:sz w:val="22"/>
                <w:szCs w:val="22"/>
              </w:rPr>
              <w:t>Mindre vanlige</w:t>
            </w:r>
          </w:p>
        </w:tc>
        <w:tc>
          <w:tcPr>
            <w:tcW w:w="4294" w:type="dxa"/>
            <w:hideMark/>
          </w:tcPr>
          <w:p w14:paraId="2185B3CE" w14:textId="77777777" w:rsidR="001E500F" w:rsidRPr="009C5EFD" w:rsidRDefault="00E453CD" w:rsidP="002D0790">
            <w:pPr>
              <w:rPr>
                <w:sz w:val="22"/>
                <w:szCs w:val="22"/>
              </w:rPr>
            </w:pPr>
            <w:r w:rsidRPr="009C5EFD">
              <w:rPr>
                <w:sz w:val="22"/>
                <w:szCs w:val="22"/>
              </w:rPr>
              <w:t>Erektil dysfunksjon</w:t>
            </w:r>
          </w:p>
        </w:tc>
      </w:tr>
      <w:tr w:rsidR="004644D4" w14:paraId="3C796C2E" w14:textId="77777777" w:rsidTr="00032240">
        <w:tc>
          <w:tcPr>
            <w:tcW w:w="3079" w:type="dxa"/>
            <w:vMerge w:val="restart"/>
          </w:tcPr>
          <w:p w14:paraId="0AE0C861" w14:textId="77777777" w:rsidR="001E500F" w:rsidRPr="009C5EFD" w:rsidRDefault="00E453CD" w:rsidP="007F67EE">
            <w:pPr>
              <w:rPr>
                <w:sz w:val="22"/>
                <w:szCs w:val="22"/>
              </w:rPr>
            </w:pPr>
            <w:r w:rsidRPr="009C5EFD">
              <w:rPr>
                <w:sz w:val="22"/>
                <w:szCs w:val="22"/>
              </w:rPr>
              <w:t>Generelle lidelser og reaksjoner på administrasjonsstedet*</w:t>
            </w:r>
          </w:p>
          <w:p w14:paraId="6C73D880" w14:textId="77777777" w:rsidR="001E500F" w:rsidRPr="009C5EFD" w:rsidRDefault="001E500F" w:rsidP="007F67EE">
            <w:pPr>
              <w:rPr>
                <w:sz w:val="22"/>
                <w:szCs w:val="22"/>
              </w:rPr>
            </w:pPr>
          </w:p>
        </w:tc>
        <w:tc>
          <w:tcPr>
            <w:tcW w:w="1682" w:type="dxa"/>
          </w:tcPr>
          <w:p w14:paraId="3345873C" w14:textId="77777777" w:rsidR="001E500F" w:rsidRPr="009C5EFD" w:rsidRDefault="00E453CD" w:rsidP="00193D76">
            <w:pPr>
              <w:rPr>
                <w:sz w:val="22"/>
                <w:szCs w:val="22"/>
              </w:rPr>
            </w:pPr>
            <w:r w:rsidRPr="009C5EFD">
              <w:rPr>
                <w:sz w:val="22"/>
                <w:szCs w:val="22"/>
              </w:rPr>
              <w:t>Svært vanlige</w:t>
            </w:r>
          </w:p>
          <w:p w14:paraId="0D61CF75" w14:textId="77777777" w:rsidR="001E500F" w:rsidRPr="009C5EFD" w:rsidRDefault="001E500F" w:rsidP="002D0790">
            <w:pPr>
              <w:rPr>
                <w:sz w:val="22"/>
                <w:szCs w:val="22"/>
              </w:rPr>
            </w:pPr>
          </w:p>
          <w:p w14:paraId="7C6079FE" w14:textId="77777777" w:rsidR="001E500F" w:rsidRPr="009C5EFD" w:rsidRDefault="001E500F" w:rsidP="00C07C98">
            <w:pPr>
              <w:rPr>
                <w:sz w:val="22"/>
                <w:szCs w:val="22"/>
              </w:rPr>
            </w:pPr>
          </w:p>
        </w:tc>
        <w:tc>
          <w:tcPr>
            <w:tcW w:w="4294" w:type="dxa"/>
          </w:tcPr>
          <w:p w14:paraId="1C34F1D9" w14:textId="77777777" w:rsidR="001E500F" w:rsidRPr="009C5EFD" w:rsidRDefault="00E453CD" w:rsidP="00E14E58">
            <w:pPr>
              <w:autoSpaceDE w:val="0"/>
              <w:autoSpaceDN w:val="0"/>
              <w:adjustRightInd w:val="0"/>
              <w:rPr>
                <w:sz w:val="22"/>
                <w:szCs w:val="22"/>
              </w:rPr>
            </w:pPr>
            <w:r w:rsidRPr="009C5EFD">
              <w:rPr>
                <w:sz w:val="22"/>
                <w:szCs w:val="22"/>
              </w:rPr>
              <w:t>Reaksjoner på injeksjonsstedet (inkludert erytem på injeksjonsstedet)</w:t>
            </w:r>
          </w:p>
          <w:p w14:paraId="362ECCF4" w14:textId="77777777" w:rsidR="001E500F" w:rsidRPr="001F5D4B" w:rsidRDefault="001E500F" w:rsidP="009C5EFD">
            <w:pPr>
              <w:pStyle w:val="Heading9"/>
              <w:spacing w:before="0" w:after="0"/>
              <w:rPr>
                <w:rFonts w:ascii="Times New Roman" w:hAnsi="Times New Roman" w:cs="Times New Roman"/>
              </w:rPr>
            </w:pPr>
          </w:p>
        </w:tc>
      </w:tr>
      <w:tr w:rsidR="004644D4" w14:paraId="7168A40A" w14:textId="77777777" w:rsidTr="00032240">
        <w:tc>
          <w:tcPr>
            <w:tcW w:w="0" w:type="auto"/>
            <w:vMerge/>
            <w:vAlign w:val="center"/>
            <w:hideMark/>
          </w:tcPr>
          <w:p w14:paraId="1937FBC0" w14:textId="77777777" w:rsidR="001E500F" w:rsidRPr="009C5EFD" w:rsidRDefault="001E500F" w:rsidP="009C5EFD">
            <w:pPr>
              <w:rPr>
                <w:sz w:val="22"/>
                <w:szCs w:val="22"/>
              </w:rPr>
            </w:pPr>
          </w:p>
        </w:tc>
        <w:tc>
          <w:tcPr>
            <w:tcW w:w="1682" w:type="dxa"/>
          </w:tcPr>
          <w:p w14:paraId="13C1C2D4" w14:textId="77777777" w:rsidR="001E500F" w:rsidRPr="009C5EFD" w:rsidRDefault="00E453CD" w:rsidP="009C5EFD">
            <w:pPr>
              <w:rPr>
                <w:sz w:val="22"/>
                <w:szCs w:val="22"/>
              </w:rPr>
            </w:pPr>
            <w:r w:rsidRPr="009C5EFD">
              <w:rPr>
                <w:sz w:val="22"/>
                <w:szCs w:val="22"/>
              </w:rPr>
              <w:t>Vanlige</w:t>
            </w:r>
          </w:p>
          <w:p w14:paraId="0B5BFCD6" w14:textId="77777777" w:rsidR="001E500F" w:rsidRPr="009C5EFD" w:rsidRDefault="001E500F" w:rsidP="009C5EFD">
            <w:pPr>
              <w:rPr>
                <w:sz w:val="22"/>
                <w:szCs w:val="22"/>
              </w:rPr>
            </w:pPr>
          </w:p>
        </w:tc>
        <w:tc>
          <w:tcPr>
            <w:tcW w:w="4294" w:type="dxa"/>
          </w:tcPr>
          <w:p w14:paraId="62FF4B99" w14:textId="77777777" w:rsidR="001E500F" w:rsidRPr="009C5EFD" w:rsidRDefault="00E453CD" w:rsidP="009C5EFD">
            <w:pPr>
              <w:autoSpaceDE w:val="0"/>
              <w:autoSpaceDN w:val="0"/>
              <w:adjustRightInd w:val="0"/>
              <w:rPr>
                <w:sz w:val="22"/>
                <w:szCs w:val="22"/>
              </w:rPr>
            </w:pPr>
            <w:r w:rsidRPr="009C5EFD">
              <w:rPr>
                <w:sz w:val="22"/>
                <w:szCs w:val="22"/>
              </w:rPr>
              <w:t>Brystsmerter, ødem, pyreksi</w:t>
            </w:r>
            <w:r w:rsidRPr="009C5EFD">
              <w:rPr>
                <w:sz w:val="22"/>
                <w:szCs w:val="22"/>
                <w:vertAlign w:val="superscript"/>
              </w:rPr>
              <w:t>1)</w:t>
            </w:r>
          </w:p>
          <w:p w14:paraId="77040CB6" w14:textId="77777777" w:rsidR="001E500F" w:rsidRPr="009C5EFD" w:rsidRDefault="001E500F" w:rsidP="009C5EFD">
            <w:pPr>
              <w:autoSpaceDE w:val="0"/>
              <w:autoSpaceDN w:val="0"/>
              <w:adjustRightInd w:val="0"/>
              <w:rPr>
                <w:sz w:val="22"/>
                <w:szCs w:val="22"/>
              </w:rPr>
            </w:pPr>
          </w:p>
        </w:tc>
      </w:tr>
      <w:tr w:rsidR="004644D4" w14:paraId="69E874B5" w14:textId="77777777" w:rsidTr="00032240">
        <w:tc>
          <w:tcPr>
            <w:tcW w:w="0" w:type="auto"/>
            <w:vMerge/>
            <w:vAlign w:val="center"/>
            <w:hideMark/>
          </w:tcPr>
          <w:p w14:paraId="566A12A3" w14:textId="77777777" w:rsidR="001E500F" w:rsidRPr="009C5EFD" w:rsidRDefault="001E500F" w:rsidP="009C5EFD">
            <w:pPr>
              <w:rPr>
                <w:sz w:val="22"/>
                <w:szCs w:val="22"/>
              </w:rPr>
            </w:pPr>
          </w:p>
        </w:tc>
        <w:tc>
          <w:tcPr>
            <w:tcW w:w="1682" w:type="dxa"/>
            <w:hideMark/>
          </w:tcPr>
          <w:p w14:paraId="3E59CC8F" w14:textId="77777777" w:rsidR="001E500F" w:rsidRPr="009C5EFD" w:rsidRDefault="00E453CD" w:rsidP="009C5EFD">
            <w:pPr>
              <w:rPr>
                <w:sz w:val="22"/>
                <w:szCs w:val="22"/>
              </w:rPr>
            </w:pPr>
            <w:r w:rsidRPr="009C5EFD">
              <w:rPr>
                <w:sz w:val="22"/>
                <w:szCs w:val="22"/>
              </w:rPr>
              <w:t>Mindre vanlige</w:t>
            </w:r>
          </w:p>
        </w:tc>
        <w:tc>
          <w:tcPr>
            <w:tcW w:w="4294" w:type="dxa"/>
          </w:tcPr>
          <w:p w14:paraId="16095F85" w14:textId="77777777" w:rsidR="001E500F" w:rsidRPr="009C5EFD" w:rsidRDefault="00E453CD" w:rsidP="009C5EFD">
            <w:pPr>
              <w:pStyle w:val="Heading9"/>
              <w:spacing w:before="0" w:after="0"/>
              <w:rPr>
                <w:rFonts w:ascii="Times New Roman" w:hAnsi="Times New Roman" w:cs="Times New Roman"/>
              </w:rPr>
            </w:pPr>
            <w:r w:rsidRPr="009C5EFD">
              <w:rPr>
                <w:rFonts w:ascii="Times New Roman" w:hAnsi="Times New Roman" w:cs="Times New Roman"/>
              </w:rPr>
              <w:t xml:space="preserve">Inflammasjon </w:t>
            </w:r>
          </w:p>
          <w:p w14:paraId="00A2356E" w14:textId="77777777" w:rsidR="001E500F" w:rsidRPr="009C5EFD" w:rsidRDefault="001E500F" w:rsidP="009C5EFD">
            <w:pPr>
              <w:autoSpaceDE w:val="0"/>
              <w:autoSpaceDN w:val="0"/>
              <w:adjustRightInd w:val="0"/>
              <w:rPr>
                <w:sz w:val="22"/>
                <w:szCs w:val="22"/>
              </w:rPr>
            </w:pPr>
          </w:p>
        </w:tc>
      </w:tr>
      <w:tr w:rsidR="004644D4" w14:paraId="66D08371" w14:textId="77777777" w:rsidTr="00032240">
        <w:tc>
          <w:tcPr>
            <w:tcW w:w="3079" w:type="dxa"/>
            <w:vMerge w:val="restart"/>
            <w:hideMark/>
          </w:tcPr>
          <w:p w14:paraId="15D222FE" w14:textId="77777777" w:rsidR="00B64797" w:rsidRPr="009C5EFD" w:rsidRDefault="00E453CD" w:rsidP="007F67EE">
            <w:pPr>
              <w:rPr>
                <w:sz w:val="22"/>
                <w:szCs w:val="22"/>
              </w:rPr>
            </w:pPr>
            <w:r w:rsidRPr="009C5EFD">
              <w:rPr>
                <w:sz w:val="22"/>
                <w:szCs w:val="22"/>
              </w:rPr>
              <w:t>Undersøkelser*</w:t>
            </w:r>
          </w:p>
        </w:tc>
        <w:tc>
          <w:tcPr>
            <w:tcW w:w="1682" w:type="dxa"/>
          </w:tcPr>
          <w:p w14:paraId="3995240B" w14:textId="77777777" w:rsidR="00B64797" w:rsidRPr="009C5EFD" w:rsidRDefault="00E453CD" w:rsidP="007F67EE">
            <w:pPr>
              <w:pStyle w:val="EndnoteText"/>
              <w:tabs>
                <w:tab w:val="clear" w:pos="567"/>
                <w:tab w:val="left" w:pos="708"/>
              </w:tabs>
              <w:rPr>
                <w:szCs w:val="22"/>
                <w:lang w:val="nb-NO"/>
              </w:rPr>
            </w:pPr>
            <w:r w:rsidRPr="009C5EFD">
              <w:rPr>
                <w:szCs w:val="22"/>
                <w:lang w:val="nb-NO"/>
              </w:rPr>
              <w:t>Vanlige</w:t>
            </w:r>
          </w:p>
          <w:p w14:paraId="2994958F" w14:textId="77777777" w:rsidR="00B64797" w:rsidRPr="009C5EFD" w:rsidRDefault="00B64797" w:rsidP="00193D76">
            <w:pPr>
              <w:rPr>
                <w:sz w:val="22"/>
                <w:szCs w:val="22"/>
              </w:rPr>
            </w:pPr>
          </w:p>
        </w:tc>
        <w:tc>
          <w:tcPr>
            <w:tcW w:w="4294" w:type="dxa"/>
          </w:tcPr>
          <w:p w14:paraId="443A6771" w14:textId="77777777" w:rsidR="00B64797" w:rsidRPr="009C5EFD" w:rsidRDefault="00E453CD" w:rsidP="002D0790">
            <w:pPr>
              <w:autoSpaceDE w:val="0"/>
              <w:autoSpaceDN w:val="0"/>
              <w:adjustRightInd w:val="0"/>
              <w:rPr>
                <w:sz w:val="22"/>
                <w:szCs w:val="22"/>
              </w:rPr>
            </w:pPr>
            <w:r w:rsidRPr="009C5EFD">
              <w:rPr>
                <w:sz w:val="22"/>
                <w:szCs w:val="22"/>
              </w:rPr>
              <w:t xml:space="preserve">Koagulasjons- og blødningsforstyrrelser (inkludert forlenget aktivert partiell tromboplastintid), positiv test på autoantistoff </w:t>
            </w:r>
            <w:r w:rsidRPr="009C5EFD">
              <w:rPr>
                <w:sz w:val="22"/>
                <w:szCs w:val="22"/>
              </w:rPr>
              <w:lastRenderedPageBreak/>
              <w:t>(inkludert dobbel</w:t>
            </w:r>
            <w:r>
              <w:rPr>
                <w:sz w:val="22"/>
                <w:szCs w:val="22"/>
              </w:rPr>
              <w:t>t</w:t>
            </w:r>
            <w:r w:rsidRPr="009C5EFD">
              <w:rPr>
                <w:sz w:val="22"/>
                <w:szCs w:val="22"/>
              </w:rPr>
              <w:t>kjedet DNA</w:t>
            </w:r>
            <w:r>
              <w:rPr>
                <w:sz w:val="22"/>
                <w:szCs w:val="22"/>
              </w:rPr>
              <w:t xml:space="preserve"> antistoff</w:t>
            </w:r>
            <w:r w:rsidRPr="009C5EFD">
              <w:rPr>
                <w:sz w:val="22"/>
                <w:szCs w:val="22"/>
              </w:rPr>
              <w:t xml:space="preserve">), forhøyet laktatdehydrogenase i blod </w:t>
            </w:r>
          </w:p>
          <w:p w14:paraId="0F9F2163" w14:textId="77777777" w:rsidR="00B64797" w:rsidRPr="009C5EFD" w:rsidRDefault="00B64797" w:rsidP="002D0790">
            <w:pPr>
              <w:pStyle w:val="EndnoteText"/>
              <w:tabs>
                <w:tab w:val="clear" w:pos="567"/>
                <w:tab w:val="left" w:pos="708"/>
              </w:tabs>
              <w:rPr>
                <w:szCs w:val="22"/>
                <w:lang w:val="nb-NO"/>
              </w:rPr>
            </w:pPr>
          </w:p>
        </w:tc>
      </w:tr>
      <w:tr w:rsidR="004644D4" w14:paraId="0C27E132" w14:textId="77777777" w:rsidTr="00B64797">
        <w:tc>
          <w:tcPr>
            <w:tcW w:w="3079" w:type="dxa"/>
            <w:vMerge/>
          </w:tcPr>
          <w:p w14:paraId="684F73E5" w14:textId="77777777" w:rsidR="00B64797" w:rsidRPr="009C5EFD" w:rsidRDefault="00B64797" w:rsidP="007F67EE">
            <w:pPr>
              <w:rPr>
                <w:sz w:val="22"/>
                <w:szCs w:val="22"/>
              </w:rPr>
            </w:pPr>
          </w:p>
        </w:tc>
        <w:tc>
          <w:tcPr>
            <w:tcW w:w="1682" w:type="dxa"/>
          </w:tcPr>
          <w:p w14:paraId="4B1DFCF8" w14:textId="77777777" w:rsidR="00B64797" w:rsidRPr="009C5EFD" w:rsidRDefault="00E453CD" w:rsidP="007F67EE">
            <w:pPr>
              <w:pStyle w:val="EndnoteText"/>
              <w:tabs>
                <w:tab w:val="clear" w:pos="567"/>
                <w:tab w:val="left" w:pos="708"/>
              </w:tabs>
              <w:rPr>
                <w:szCs w:val="22"/>
                <w:lang w:val="nb-NO"/>
              </w:rPr>
            </w:pPr>
            <w:r>
              <w:rPr>
                <w:szCs w:val="22"/>
                <w:lang w:val="nb-NO"/>
              </w:rPr>
              <w:t>Ikke kjent</w:t>
            </w:r>
          </w:p>
        </w:tc>
        <w:tc>
          <w:tcPr>
            <w:tcW w:w="4294" w:type="dxa"/>
          </w:tcPr>
          <w:p w14:paraId="587E9BB2" w14:textId="77777777" w:rsidR="00B64797" w:rsidRPr="009C5EFD" w:rsidRDefault="00E453CD" w:rsidP="002D0790">
            <w:pPr>
              <w:autoSpaceDE w:val="0"/>
              <w:autoSpaceDN w:val="0"/>
              <w:adjustRightInd w:val="0"/>
              <w:rPr>
                <w:sz w:val="22"/>
                <w:szCs w:val="22"/>
              </w:rPr>
            </w:pPr>
            <w:r>
              <w:rPr>
                <w:sz w:val="22"/>
                <w:szCs w:val="22"/>
              </w:rPr>
              <w:t>Økt vekt</w:t>
            </w:r>
            <w:r w:rsidRPr="00910EAF">
              <w:rPr>
                <w:sz w:val="22"/>
                <w:szCs w:val="22"/>
                <w:vertAlign w:val="superscript"/>
              </w:rPr>
              <w:t>2)</w:t>
            </w:r>
          </w:p>
        </w:tc>
      </w:tr>
      <w:tr w:rsidR="004644D4" w14:paraId="4A4C88BA" w14:textId="77777777" w:rsidTr="00032240">
        <w:tc>
          <w:tcPr>
            <w:tcW w:w="3079" w:type="dxa"/>
            <w:hideMark/>
          </w:tcPr>
          <w:p w14:paraId="70F6F35C" w14:textId="77777777" w:rsidR="001E500F" w:rsidRPr="002D0790" w:rsidRDefault="00E453CD" w:rsidP="007F67EE">
            <w:pPr>
              <w:rPr>
                <w:sz w:val="22"/>
                <w:szCs w:val="22"/>
              </w:rPr>
            </w:pPr>
            <w:r w:rsidRPr="002D0790">
              <w:rPr>
                <w:sz w:val="22"/>
                <w:szCs w:val="22"/>
              </w:rPr>
              <w:t>Skader, forgiftninger og prosedyrerelaterte bivirkninger</w:t>
            </w:r>
          </w:p>
        </w:tc>
        <w:tc>
          <w:tcPr>
            <w:tcW w:w="1682" w:type="dxa"/>
            <w:hideMark/>
          </w:tcPr>
          <w:p w14:paraId="4CE2F31A" w14:textId="77777777" w:rsidR="001E500F" w:rsidRPr="00C07C98" w:rsidRDefault="00E453CD" w:rsidP="007F67EE">
            <w:pPr>
              <w:rPr>
                <w:sz w:val="22"/>
                <w:szCs w:val="22"/>
              </w:rPr>
            </w:pPr>
            <w:r w:rsidRPr="00C07C98">
              <w:rPr>
                <w:sz w:val="22"/>
                <w:szCs w:val="22"/>
              </w:rPr>
              <w:t>Vanlige</w:t>
            </w:r>
          </w:p>
        </w:tc>
        <w:tc>
          <w:tcPr>
            <w:tcW w:w="4294" w:type="dxa"/>
          </w:tcPr>
          <w:p w14:paraId="39950ED4" w14:textId="77777777" w:rsidR="001E500F" w:rsidRPr="00E14E58" w:rsidRDefault="00E453CD" w:rsidP="00193D76">
            <w:pPr>
              <w:autoSpaceDE w:val="0"/>
              <w:autoSpaceDN w:val="0"/>
              <w:adjustRightInd w:val="0"/>
              <w:rPr>
                <w:sz w:val="22"/>
                <w:szCs w:val="22"/>
              </w:rPr>
            </w:pPr>
            <w:r>
              <w:rPr>
                <w:sz w:val="22"/>
                <w:szCs w:val="22"/>
              </w:rPr>
              <w:t>Nedsatt</w:t>
            </w:r>
            <w:r w:rsidRPr="00E14E58">
              <w:rPr>
                <w:sz w:val="22"/>
                <w:szCs w:val="22"/>
              </w:rPr>
              <w:t xml:space="preserve"> tilhelning </w:t>
            </w:r>
          </w:p>
          <w:p w14:paraId="2666A173" w14:textId="77777777" w:rsidR="001E500F" w:rsidRPr="009C5EFD" w:rsidRDefault="001E500F" w:rsidP="002D0790">
            <w:pPr>
              <w:rPr>
                <w:sz w:val="22"/>
                <w:szCs w:val="22"/>
              </w:rPr>
            </w:pPr>
          </w:p>
        </w:tc>
      </w:tr>
    </w:tbl>
    <w:p w14:paraId="75261A23" w14:textId="77777777" w:rsidR="001E500F" w:rsidRPr="009C5EFD" w:rsidRDefault="00E453CD" w:rsidP="007F67EE">
      <w:pPr>
        <w:rPr>
          <w:sz w:val="22"/>
          <w:szCs w:val="22"/>
        </w:rPr>
      </w:pPr>
      <w:r w:rsidRPr="009C5EFD">
        <w:rPr>
          <w:sz w:val="22"/>
          <w:szCs w:val="22"/>
        </w:rPr>
        <w:t xml:space="preserve">* ytterligere informasjon finnes i </w:t>
      </w:r>
      <w:r w:rsidR="00ED6DD4">
        <w:rPr>
          <w:sz w:val="22"/>
          <w:szCs w:val="22"/>
        </w:rPr>
        <w:t>pkt.</w:t>
      </w:r>
      <w:r w:rsidRPr="009C5EFD">
        <w:rPr>
          <w:sz w:val="22"/>
          <w:szCs w:val="22"/>
        </w:rPr>
        <w:t xml:space="preserve"> 4.3, 4.4. og 4.8</w:t>
      </w:r>
    </w:p>
    <w:p w14:paraId="51C5B75C" w14:textId="77777777" w:rsidR="001E500F" w:rsidRPr="009C5EFD" w:rsidRDefault="00E453CD" w:rsidP="00193D76">
      <w:pPr>
        <w:rPr>
          <w:sz w:val="22"/>
          <w:szCs w:val="22"/>
        </w:rPr>
      </w:pPr>
      <w:r w:rsidRPr="009C5EFD">
        <w:rPr>
          <w:sz w:val="22"/>
          <w:szCs w:val="22"/>
        </w:rPr>
        <w:t xml:space="preserve">** inkludert </w:t>
      </w:r>
      <w:r w:rsidR="00ED6DD4">
        <w:rPr>
          <w:sz w:val="22"/>
          <w:szCs w:val="22"/>
        </w:rPr>
        <w:t>åpne forlengelsesstudier</w:t>
      </w:r>
    </w:p>
    <w:p w14:paraId="29182DFF" w14:textId="77777777" w:rsidR="001E500F" w:rsidRPr="009C5EFD" w:rsidRDefault="00E453CD" w:rsidP="002D0790">
      <w:pPr>
        <w:rPr>
          <w:sz w:val="22"/>
          <w:szCs w:val="22"/>
        </w:rPr>
      </w:pPr>
      <w:r w:rsidRPr="009C5EFD">
        <w:rPr>
          <w:sz w:val="22"/>
          <w:szCs w:val="22"/>
          <w:vertAlign w:val="superscript"/>
        </w:rPr>
        <w:t>1)</w:t>
      </w:r>
      <w:r w:rsidRPr="009C5EFD">
        <w:rPr>
          <w:sz w:val="22"/>
          <w:szCs w:val="22"/>
        </w:rPr>
        <w:t xml:space="preserve"> inkluderer data fra spontanrapportering</w:t>
      </w:r>
    </w:p>
    <w:p w14:paraId="1FA966DB" w14:textId="77777777" w:rsidR="00843484" w:rsidRPr="00E57788" w:rsidRDefault="00E453CD" w:rsidP="00B64797">
      <w:pPr>
        <w:outlineLvl w:val="7"/>
        <w:rPr>
          <w:sz w:val="22"/>
          <w:szCs w:val="22"/>
        </w:rPr>
      </w:pPr>
      <w:r w:rsidRPr="001D45AD">
        <w:rPr>
          <w:sz w:val="22"/>
          <w:szCs w:val="22"/>
          <w:vertAlign w:val="superscript"/>
        </w:rPr>
        <w:t>2)</w:t>
      </w:r>
      <w:r w:rsidRPr="00E57788">
        <w:rPr>
          <w:sz w:val="22"/>
          <w:szCs w:val="22"/>
        </w:rPr>
        <w:t xml:space="preserve"> I løpet av en behandlingsperiode på 4-6 uker lå den gjennomsnittlige vektendringen fra utgangspunktet på mellom 0,3 kg og 1,0 kg for adalimumab sammenlignet med mellom -0,4 kg og 0,4 kg for placebo ved indikasjoner til voksne. En vektøkning på 5-6 kg er også observert i langtids utvidelsesstudier med gjennomsnittlig eksponeringstid på omtrent 1-2 år uten kontrollgruppe, spesielt hos pasienter med Crohns sykdom og ulcerøs kolitt. Mekanismen bak denne effekten er uklar, men kan ha sammenheng med adalimumabs antiinflammatoriske virkning.</w:t>
      </w:r>
    </w:p>
    <w:p w14:paraId="40DBA385" w14:textId="77777777" w:rsidR="00B64797" w:rsidRPr="009C5EFD" w:rsidRDefault="00B64797" w:rsidP="00B64797">
      <w:pPr>
        <w:outlineLvl w:val="7"/>
        <w:rPr>
          <w:sz w:val="22"/>
          <w:szCs w:val="22"/>
          <w:u w:val="single"/>
        </w:rPr>
      </w:pPr>
    </w:p>
    <w:p w14:paraId="451CF57D" w14:textId="77777777" w:rsidR="00843484" w:rsidRPr="009C5EFD" w:rsidRDefault="00E453CD" w:rsidP="00776A84">
      <w:pPr>
        <w:keepNext/>
        <w:tabs>
          <w:tab w:val="left" w:pos="562"/>
        </w:tabs>
        <w:suppressAutoHyphens/>
        <w:rPr>
          <w:sz w:val="22"/>
          <w:szCs w:val="22"/>
          <w:u w:val="single"/>
        </w:rPr>
      </w:pPr>
      <w:r w:rsidRPr="009C5EFD">
        <w:rPr>
          <w:sz w:val="22"/>
          <w:szCs w:val="22"/>
          <w:u w:val="single"/>
        </w:rPr>
        <w:t>Hidrosadenitt</w:t>
      </w:r>
    </w:p>
    <w:p w14:paraId="0302A3E4" w14:textId="77777777" w:rsidR="00843484" w:rsidRPr="009C5EFD" w:rsidRDefault="00843484" w:rsidP="00776A84">
      <w:pPr>
        <w:keepNext/>
        <w:rPr>
          <w:sz w:val="22"/>
          <w:szCs w:val="22"/>
        </w:rPr>
      </w:pPr>
    </w:p>
    <w:p w14:paraId="17560F63" w14:textId="77777777" w:rsidR="00843484" w:rsidRDefault="00E453CD" w:rsidP="009C5EFD">
      <w:pPr>
        <w:rPr>
          <w:sz w:val="22"/>
          <w:szCs w:val="22"/>
        </w:rPr>
      </w:pPr>
      <w:r w:rsidRPr="009C5EFD">
        <w:rPr>
          <w:sz w:val="22"/>
          <w:szCs w:val="22"/>
        </w:rPr>
        <w:t>Sikkerhetsprofilen for pasienter med HS behandlet med Humira ukentlig er i overensstemmelse med den kjente sikkerhetsprofilen til Humira.</w:t>
      </w:r>
    </w:p>
    <w:p w14:paraId="5B990D3A" w14:textId="77777777" w:rsidR="002B1E38" w:rsidRDefault="002B1E38" w:rsidP="009C5EFD">
      <w:pPr>
        <w:rPr>
          <w:sz w:val="22"/>
          <w:szCs w:val="22"/>
        </w:rPr>
      </w:pPr>
    </w:p>
    <w:p w14:paraId="199D46C2" w14:textId="77777777" w:rsidR="002B1E38" w:rsidRPr="001F5D4B" w:rsidRDefault="00E453CD" w:rsidP="00776A84">
      <w:pPr>
        <w:pStyle w:val="EMEANormal"/>
        <w:keepNext/>
        <w:rPr>
          <w:szCs w:val="22"/>
          <w:u w:val="single"/>
          <w:lang w:val="nb-NO"/>
        </w:rPr>
      </w:pPr>
      <w:r>
        <w:rPr>
          <w:szCs w:val="22"/>
          <w:u w:val="single"/>
          <w:lang w:val="nb-NO"/>
        </w:rPr>
        <w:t>Uveitt</w:t>
      </w:r>
    </w:p>
    <w:p w14:paraId="41B04E67" w14:textId="77777777" w:rsidR="002B1E38" w:rsidRPr="007F67EE" w:rsidRDefault="002B1E38" w:rsidP="00776A84">
      <w:pPr>
        <w:keepNext/>
        <w:rPr>
          <w:sz w:val="22"/>
          <w:szCs w:val="22"/>
        </w:rPr>
      </w:pPr>
    </w:p>
    <w:p w14:paraId="23BC9BAA" w14:textId="77777777" w:rsidR="002B1E38" w:rsidRPr="009C5EFD" w:rsidRDefault="00E453CD" w:rsidP="002B1E38">
      <w:pPr>
        <w:rPr>
          <w:sz w:val="22"/>
          <w:szCs w:val="22"/>
        </w:rPr>
      </w:pPr>
      <w:r w:rsidRPr="00193D76">
        <w:rPr>
          <w:sz w:val="22"/>
          <w:szCs w:val="22"/>
        </w:rPr>
        <w:t xml:space="preserve">Sikkerhetsprofilen for pasienter med </w:t>
      </w:r>
      <w:r>
        <w:rPr>
          <w:sz w:val="22"/>
          <w:szCs w:val="22"/>
        </w:rPr>
        <w:t>uveitt</w:t>
      </w:r>
      <w:r w:rsidRPr="002D0790">
        <w:rPr>
          <w:sz w:val="22"/>
          <w:szCs w:val="22"/>
        </w:rPr>
        <w:t xml:space="preserve"> behandlet med Humira </w:t>
      </w:r>
      <w:r>
        <w:rPr>
          <w:sz w:val="22"/>
          <w:szCs w:val="22"/>
        </w:rPr>
        <w:t>annenhver uke</w:t>
      </w:r>
      <w:r w:rsidRPr="002D0790">
        <w:rPr>
          <w:sz w:val="22"/>
          <w:szCs w:val="22"/>
        </w:rPr>
        <w:t xml:space="preserve"> er i overensstemmelse med den kjente sikkerhetsprofilen til Humira.</w:t>
      </w:r>
    </w:p>
    <w:p w14:paraId="15AC7EDC" w14:textId="77777777" w:rsidR="001E500F" w:rsidRPr="009C5EFD" w:rsidRDefault="001E500F" w:rsidP="009C5EFD">
      <w:pPr>
        <w:pStyle w:val="Heading8"/>
        <w:keepNext w:val="0"/>
        <w:rPr>
          <w:szCs w:val="22"/>
        </w:rPr>
      </w:pPr>
    </w:p>
    <w:p w14:paraId="158B76F2" w14:textId="77777777" w:rsidR="001E500F" w:rsidRPr="009C5EFD" w:rsidRDefault="00E453CD" w:rsidP="00776A84">
      <w:pPr>
        <w:pStyle w:val="Heading8"/>
        <w:rPr>
          <w:szCs w:val="22"/>
        </w:rPr>
      </w:pPr>
      <w:r w:rsidRPr="009C5EFD">
        <w:rPr>
          <w:szCs w:val="22"/>
        </w:rPr>
        <w:t>Beskrivelse av utvalgte bivirkninger</w:t>
      </w:r>
    </w:p>
    <w:p w14:paraId="225EDE29" w14:textId="77777777" w:rsidR="001E500F" w:rsidRPr="009C5EFD" w:rsidRDefault="001E500F" w:rsidP="00776A84">
      <w:pPr>
        <w:pStyle w:val="Heading8"/>
        <w:rPr>
          <w:szCs w:val="22"/>
        </w:rPr>
      </w:pPr>
    </w:p>
    <w:p w14:paraId="2C7D7FDF" w14:textId="77777777" w:rsidR="001E500F" w:rsidRPr="009C5EFD" w:rsidRDefault="00E453CD" w:rsidP="00776A84">
      <w:pPr>
        <w:pStyle w:val="Heading8"/>
        <w:rPr>
          <w:i/>
          <w:szCs w:val="22"/>
          <w:u w:val="none"/>
        </w:rPr>
      </w:pPr>
      <w:r w:rsidRPr="009C5EFD">
        <w:rPr>
          <w:i/>
          <w:szCs w:val="22"/>
          <w:u w:val="none"/>
        </w:rPr>
        <w:t>Reaksjoner på injeksjonsstedet</w:t>
      </w:r>
    </w:p>
    <w:p w14:paraId="659F5198" w14:textId="77777777" w:rsidR="001E500F" w:rsidRPr="009C5EFD" w:rsidRDefault="001E500F" w:rsidP="00776A84">
      <w:pPr>
        <w:keepNext/>
        <w:rPr>
          <w:sz w:val="22"/>
          <w:szCs w:val="22"/>
        </w:rPr>
      </w:pPr>
    </w:p>
    <w:p w14:paraId="2C0A2E47" w14:textId="77777777" w:rsidR="001E500F" w:rsidRPr="009C5EFD" w:rsidRDefault="00E453CD" w:rsidP="009C5EFD">
      <w:pPr>
        <w:rPr>
          <w:sz w:val="22"/>
          <w:szCs w:val="22"/>
        </w:rPr>
      </w:pPr>
      <w:r w:rsidRPr="009C5EFD">
        <w:rPr>
          <w:sz w:val="22"/>
          <w:szCs w:val="22"/>
        </w:rPr>
        <w:t xml:space="preserve">I de pivotale kontrollerte studiene hos voksne og barn fikk </w:t>
      </w:r>
      <w:r w:rsidR="00843484" w:rsidRPr="009C5EFD">
        <w:rPr>
          <w:sz w:val="22"/>
          <w:szCs w:val="22"/>
        </w:rPr>
        <w:t>12,9</w:t>
      </w:r>
      <w:r w:rsidR="00315F16" w:rsidRPr="009C5EFD">
        <w:rPr>
          <w:sz w:val="22"/>
          <w:szCs w:val="22"/>
        </w:rPr>
        <w:t> %</w:t>
      </w:r>
      <w:r w:rsidRPr="009C5EFD">
        <w:rPr>
          <w:sz w:val="22"/>
          <w:szCs w:val="22"/>
        </w:rPr>
        <w:t xml:space="preserve"> av pasientene som ble behandlet med Humira reaksjoner på injeksjonsstedet (erytem og/eller kløe, blødning, smerte</w:t>
      </w:r>
      <w:r w:rsidR="0050576A">
        <w:rPr>
          <w:sz w:val="22"/>
          <w:szCs w:val="22"/>
        </w:rPr>
        <w:t>r</w:t>
      </w:r>
      <w:r w:rsidRPr="009C5EFD">
        <w:rPr>
          <w:sz w:val="22"/>
          <w:szCs w:val="22"/>
        </w:rPr>
        <w:t xml:space="preserve"> eller hevelse), sammenlignet med 7,</w:t>
      </w:r>
      <w:r w:rsidR="00BF29C0">
        <w:rPr>
          <w:sz w:val="22"/>
          <w:szCs w:val="22"/>
        </w:rPr>
        <w:t>2</w:t>
      </w:r>
      <w:r w:rsidR="00BF29C0" w:rsidRPr="009C5EFD">
        <w:rPr>
          <w:sz w:val="22"/>
          <w:szCs w:val="22"/>
        </w:rPr>
        <w:t> </w:t>
      </w:r>
      <w:r w:rsidR="00315F16" w:rsidRPr="009C5EFD">
        <w:rPr>
          <w:sz w:val="22"/>
          <w:szCs w:val="22"/>
        </w:rPr>
        <w:t>%</w:t>
      </w:r>
      <w:r w:rsidRPr="009C5EFD">
        <w:rPr>
          <w:sz w:val="22"/>
          <w:szCs w:val="22"/>
        </w:rPr>
        <w:t xml:space="preserve"> av pasientene som fikk placebo eller aktiv kontroll. Det var oftest ikke nødvendig å seponere </w:t>
      </w:r>
      <w:r w:rsidRPr="009C5EFD">
        <w:rPr>
          <w:color w:val="000000"/>
          <w:sz w:val="22"/>
          <w:szCs w:val="22"/>
        </w:rPr>
        <w:t>legemidlet</w:t>
      </w:r>
      <w:r w:rsidRPr="009C5EFD">
        <w:rPr>
          <w:sz w:val="22"/>
          <w:szCs w:val="22"/>
        </w:rPr>
        <w:t xml:space="preserve"> på grunn av reaksjonen på injeksjonsstedet.</w:t>
      </w:r>
    </w:p>
    <w:p w14:paraId="1D9E2F83" w14:textId="77777777" w:rsidR="001E500F" w:rsidRPr="009C5EFD" w:rsidRDefault="001E500F" w:rsidP="009C5EFD">
      <w:pPr>
        <w:rPr>
          <w:sz w:val="22"/>
          <w:szCs w:val="22"/>
        </w:rPr>
      </w:pPr>
    </w:p>
    <w:p w14:paraId="589186A3" w14:textId="77777777" w:rsidR="001E500F" w:rsidRPr="009C5EFD" w:rsidRDefault="00E453CD" w:rsidP="00776A84">
      <w:pPr>
        <w:pStyle w:val="Heading8"/>
        <w:rPr>
          <w:i/>
          <w:szCs w:val="22"/>
          <w:u w:val="none"/>
        </w:rPr>
      </w:pPr>
      <w:r w:rsidRPr="009C5EFD">
        <w:rPr>
          <w:i/>
          <w:szCs w:val="22"/>
          <w:u w:val="none"/>
        </w:rPr>
        <w:t>Infeksjoner</w:t>
      </w:r>
    </w:p>
    <w:p w14:paraId="61E6F115" w14:textId="77777777" w:rsidR="001E500F" w:rsidRPr="009C5EFD" w:rsidRDefault="001E500F" w:rsidP="00776A84">
      <w:pPr>
        <w:keepNext/>
        <w:rPr>
          <w:sz w:val="22"/>
          <w:szCs w:val="22"/>
        </w:rPr>
      </w:pPr>
    </w:p>
    <w:p w14:paraId="73BB929C" w14:textId="77777777" w:rsidR="001E500F" w:rsidRPr="009C5EFD" w:rsidRDefault="00E453CD" w:rsidP="009C5EFD">
      <w:pPr>
        <w:rPr>
          <w:sz w:val="22"/>
          <w:szCs w:val="22"/>
        </w:rPr>
      </w:pPr>
      <w:r w:rsidRPr="009C5EFD">
        <w:rPr>
          <w:sz w:val="22"/>
          <w:szCs w:val="22"/>
        </w:rPr>
        <w:t xml:space="preserve">I de pivotale kontrollerte studiene hos voksne og barn var </w:t>
      </w:r>
      <w:r w:rsidRPr="009C5EFD">
        <w:rPr>
          <w:color w:val="000000"/>
          <w:sz w:val="22"/>
          <w:szCs w:val="22"/>
        </w:rPr>
        <w:t>infeksjonsfrekvensen</w:t>
      </w:r>
      <w:r w:rsidRPr="009C5EFD">
        <w:rPr>
          <w:sz w:val="22"/>
          <w:szCs w:val="22"/>
        </w:rPr>
        <w:t xml:space="preserve"> 1,51</w:t>
      </w:r>
      <w:r w:rsidR="00081756" w:rsidRPr="009C5EFD">
        <w:rPr>
          <w:sz w:val="22"/>
          <w:szCs w:val="22"/>
        </w:rPr>
        <w:t> </w:t>
      </w:r>
      <w:r w:rsidR="003721B0">
        <w:rPr>
          <w:sz w:val="22"/>
          <w:szCs w:val="22"/>
        </w:rPr>
        <w:t>per</w:t>
      </w:r>
      <w:r w:rsidRPr="009C5EFD">
        <w:rPr>
          <w:sz w:val="22"/>
          <w:szCs w:val="22"/>
        </w:rPr>
        <w:t xml:space="preserve"> pasientår blant pasienter behandlet med Humira og 1,4</w:t>
      </w:r>
      <w:r w:rsidR="00843484" w:rsidRPr="009C5EFD">
        <w:rPr>
          <w:sz w:val="22"/>
          <w:szCs w:val="22"/>
        </w:rPr>
        <w:t>6</w:t>
      </w:r>
      <w:r w:rsidR="00081756" w:rsidRPr="009C5EFD">
        <w:rPr>
          <w:sz w:val="22"/>
          <w:szCs w:val="22"/>
        </w:rPr>
        <w:t> </w:t>
      </w:r>
      <w:r w:rsidR="003721B0">
        <w:rPr>
          <w:sz w:val="22"/>
          <w:szCs w:val="22"/>
        </w:rPr>
        <w:t>per</w:t>
      </w:r>
      <w:r w:rsidRPr="009C5EFD">
        <w:rPr>
          <w:sz w:val="22"/>
          <w:szCs w:val="22"/>
        </w:rPr>
        <w:t xml:space="preserve"> pasientår for </w:t>
      </w:r>
      <w:r w:rsidR="003B49EC">
        <w:rPr>
          <w:sz w:val="22"/>
          <w:szCs w:val="22"/>
        </w:rPr>
        <w:t>pasienter som fikk</w:t>
      </w:r>
      <w:r w:rsidRPr="009C5EFD">
        <w:rPr>
          <w:sz w:val="22"/>
          <w:szCs w:val="22"/>
        </w:rPr>
        <w:t xml:space="preserve"> placebo eller aktiv kontroll. Infeksjonene var primært nasofaryngitt, øvre luftveisinfeksjoner og </w:t>
      </w:r>
      <w:r w:rsidR="00843484" w:rsidRPr="009C5EFD">
        <w:rPr>
          <w:sz w:val="22"/>
          <w:szCs w:val="22"/>
        </w:rPr>
        <w:t>sinusitt</w:t>
      </w:r>
      <w:r w:rsidRPr="009C5EFD">
        <w:rPr>
          <w:sz w:val="22"/>
          <w:szCs w:val="22"/>
        </w:rPr>
        <w:t xml:space="preserve">. De fleste pasientene fortsatte behandling med Humira etter at infeksjonen var over. </w:t>
      </w:r>
    </w:p>
    <w:p w14:paraId="7DF45EA8" w14:textId="77777777" w:rsidR="001E500F" w:rsidRPr="009C5EFD" w:rsidRDefault="001E500F" w:rsidP="009C5EFD">
      <w:pPr>
        <w:rPr>
          <w:sz w:val="22"/>
          <w:szCs w:val="22"/>
        </w:rPr>
      </w:pPr>
    </w:p>
    <w:p w14:paraId="22E05A21" w14:textId="77777777" w:rsidR="001E500F" w:rsidRPr="009C5EFD" w:rsidRDefault="00E453CD" w:rsidP="009C5EFD">
      <w:pPr>
        <w:rPr>
          <w:sz w:val="22"/>
          <w:szCs w:val="22"/>
        </w:rPr>
      </w:pPr>
      <w:r w:rsidRPr="009C5EFD">
        <w:rPr>
          <w:sz w:val="22"/>
          <w:szCs w:val="22"/>
        </w:rPr>
        <w:t>Forekomsten av alvorlige infeksjoner var 0,04</w:t>
      </w:r>
      <w:r w:rsidR="00081756" w:rsidRPr="009C5EFD">
        <w:rPr>
          <w:sz w:val="22"/>
          <w:szCs w:val="22"/>
        </w:rPr>
        <w:t> </w:t>
      </w:r>
      <w:r w:rsidR="003721B0">
        <w:rPr>
          <w:sz w:val="22"/>
          <w:szCs w:val="22"/>
        </w:rPr>
        <w:t>per</w:t>
      </w:r>
      <w:r w:rsidRPr="009C5EFD">
        <w:rPr>
          <w:sz w:val="22"/>
          <w:szCs w:val="22"/>
        </w:rPr>
        <w:t xml:space="preserve"> pasientår blant Humira-behandlede pasienter og 0,03 </w:t>
      </w:r>
      <w:r w:rsidR="003721B0">
        <w:rPr>
          <w:sz w:val="22"/>
          <w:szCs w:val="22"/>
        </w:rPr>
        <w:t>per</w:t>
      </w:r>
      <w:r w:rsidRPr="009C5EFD">
        <w:rPr>
          <w:sz w:val="22"/>
          <w:szCs w:val="22"/>
        </w:rPr>
        <w:t xml:space="preserve"> pasientår blant </w:t>
      </w:r>
      <w:r w:rsidR="003B49EC">
        <w:rPr>
          <w:sz w:val="22"/>
          <w:szCs w:val="22"/>
        </w:rPr>
        <w:t>pasienter som fikk</w:t>
      </w:r>
      <w:r w:rsidRPr="009C5EFD">
        <w:rPr>
          <w:sz w:val="22"/>
          <w:szCs w:val="22"/>
        </w:rPr>
        <w:t xml:space="preserve"> placebo eller aktiv kontroll. </w:t>
      </w:r>
    </w:p>
    <w:p w14:paraId="13EE6AA6" w14:textId="77777777" w:rsidR="001E500F" w:rsidRPr="009C5EFD" w:rsidRDefault="001E500F" w:rsidP="009C5EFD">
      <w:pPr>
        <w:rPr>
          <w:sz w:val="22"/>
          <w:szCs w:val="22"/>
        </w:rPr>
      </w:pPr>
    </w:p>
    <w:p w14:paraId="3C7E20CC" w14:textId="77777777" w:rsidR="001E500F" w:rsidRPr="009C5EFD" w:rsidRDefault="00E453CD" w:rsidP="009C5EFD">
      <w:pPr>
        <w:rPr>
          <w:sz w:val="22"/>
          <w:szCs w:val="22"/>
        </w:rPr>
      </w:pPr>
      <w:r w:rsidRPr="009C5EFD">
        <w:rPr>
          <w:sz w:val="22"/>
          <w:szCs w:val="22"/>
        </w:rPr>
        <w:t xml:space="preserve">I kontrollerte og åpne </w:t>
      </w:r>
      <w:r w:rsidR="006E5C37">
        <w:rPr>
          <w:sz w:val="22"/>
          <w:szCs w:val="22"/>
        </w:rPr>
        <w:t>studier hos</w:t>
      </w:r>
      <w:r w:rsidRPr="009C5EFD">
        <w:rPr>
          <w:sz w:val="22"/>
          <w:szCs w:val="22"/>
        </w:rPr>
        <w:t xml:space="preserve"> voksne og pediatriske studier med Humira er det rapportert alvorlige infeksjoner (inkludert fatale reaksjoner, hvilket forekom sjeldent); tuberkulose (inkludert miliær og ekstrapulmonær lokalisasjon) og invasive opportunistiske infeksjoner (f eks disseminert eller ekstrapulmonal histoplasmose, blastomykose, koksidioidomykose, pneumocystose, candidiasis, aspergillose og listeriose). De fleste tilfellene av tuberkulose oppsto i løpet av de første åtte månedene etter behandlingsstart og kan reflektere gjenoppblussing av latent sykdom.</w:t>
      </w:r>
    </w:p>
    <w:p w14:paraId="4DBCF851" w14:textId="77777777" w:rsidR="001E500F" w:rsidRPr="009C5EFD" w:rsidRDefault="001E500F" w:rsidP="009C5EFD">
      <w:pPr>
        <w:rPr>
          <w:sz w:val="22"/>
          <w:szCs w:val="22"/>
        </w:rPr>
      </w:pPr>
    </w:p>
    <w:p w14:paraId="658F1CD5" w14:textId="77777777" w:rsidR="001E500F" w:rsidRPr="009C5EFD" w:rsidRDefault="00E453CD" w:rsidP="000C5ED9">
      <w:pPr>
        <w:pStyle w:val="Heading8"/>
        <w:rPr>
          <w:i/>
          <w:szCs w:val="22"/>
          <w:u w:val="none"/>
        </w:rPr>
      </w:pPr>
      <w:r w:rsidRPr="009C5EFD">
        <w:rPr>
          <w:i/>
          <w:szCs w:val="22"/>
          <w:u w:val="none"/>
        </w:rPr>
        <w:t>Maligniteter og lymfoproliferative sykdommer</w:t>
      </w:r>
    </w:p>
    <w:p w14:paraId="3E51F650" w14:textId="77777777" w:rsidR="001E500F" w:rsidRPr="009C5EFD" w:rsidRDefault="001E500F" w:rsidP="000C5ED9">
      <w:pPr>
        <w:keepNext/>
        <w:rPr>
          <w:sz w:val="22"/>
          <w:szCs w:val="22"/>
        </w:rPr>
      </w:pPr>
    </w:p>
    <w:p w14:paraId="69633A38" w14:textId="77777777" w:rsidR="001E500F" w:rsidRPr="00E04B2A" w:rsidRDefault="00E453CD" w:rsidP="00E04B2A">
      <w:r w:rsidRPr="009C5EFD">
        <w:rPr>
          <w:sz w:val="22"/>
          <w:szCs w:val="22"/>
        </w:rPr>
        <w:t>Ingen maligniteter ble sett hos 249 pediatriske pasienter med en eksponering på 655,6</w:t>
      </w:r>
      <w:r w:rsidR="00315F16" w:rsidRPr="009C5EFD">
        <w:rPr>
          <w:sz w:val="22"/>
          <w:szCs w:val="22"/>
        </w:rPr>
        <w:t> pasient</w:t>
      </w:r>
      <w:r w:rsidRPr="009C5EFD">
        <w:rPr>
          <w:sz w:val="22"/>
          <w:szCs w:val="22"/>
        </w:rPr>
        <w:t xml:space="preserve">år under kliniske studier med Humira hos pasienter med juvenil idiopatisk artritt (polyartikulær juvenil idiopatisk artritt og entesittrelatert artritt). I tillegg ble ingen maligniteter sett hos 192 pediatriske </w:t>
      </w:r>
      <w:r w:rsidRPr="009C5EFD">
        <w:rPr>
          <w:sz w:val="22"/>
          <w:szCs w:val="22"/>
        </w:rPr>
        <w:lastRenderedPageBreak/>
        <w:t xml:space="preserve">pasienter med en eksponering på </w:t>
      </w:r>
      <w:r w:rsidR="0027123A">
        <w:rPr>
          <w:sz w:val="22"/>
          <w:szCs w:val="22"/>
        </w:rPr>
        <w:t>498</w:t>
      </w:r>
      <w:r w:rsidR="00AA1C61">
        <w:rPr>
          <w:sz w:val="22"/>
          <w:szCs w:val="22"/>
        </w:rPr>
        <w:t>,1</w:t>
      </w:r>
      <w:r w:rsidR="00315F16" w:rsidRPr="009C5EFD">
        <w:rPr>
          <w:sz w:val="22"/>
          <w:szCs w:val="22"/>
        </w:rPr>
        <w:t> pasient</w:t>
      </w:r>
      <w:r w:rsidRPr="009C5EFD">
        <w:rPr>
          <w:sz w:val="22"/>
          <w:szCs w:val="22"/>
        </w:rPr>
        <w:t>år under klinisk</w:t>
      </w:r>
      <w:r w:rsidR="0027123A">
        <w:rPr>
          <w:sz w:val="22"/>
          <w:szCs w:val="22"/>
        </w:rPr>
        <w:t>e</w:t>
      </w:r>
      <w:r w:rsidRPr="009C5EFD">
        <w:rPr>
          <w:sz w:val="22"/>
          <w:szCs w:val="22"/>
        </w:rPr>
        <w:t xml:space="preserve"> studie</w:t>
      </w:r>
      <w:r w:rsidR="0027123A">
        <w:rPr>
          <w:sz w:val="22"/>
          <w:szCs w:val="22"/>
        </w:rPr>
        <w:t>r</w:t>
      </w:r>
      <w:r w:rsidRPr="009C5EFD">
        <w:rPr>
          <w:sz w:val="22"/>
          <w:szCs w:val="22"/>
        </w:rPr>
        <w:t xml:space="preserve"> med Humira hos pediatriske pasienter med Crohns sykdom. Ingen maligniteter ble sett hos 77 pediatriske pasienter med en ekspon</w:t>
      </w:r>
      <w:r w:rsidRPr="00634DDF">
        <w:rPr>
          <w:sz w:val="22"/>
          <w:szCs w:val="22"/>
        </w:rPr>
        <w:t>ering på 80,0</w:t>
      </w:r>
      <w:r w:rsidR="00315F16" w:rsidRPr="00634DDF">
        <w:rPr>
          <w:sz w:val="22"/>
          <w:szCs w:val="22"/>
        </w:rPr>
        <w:t> pasient</w:t>
      </w:r>
      <w:r w:rsidRPr="00634DDF">
        <w:rPr>
          <w:sz w:val="22"/>
          <w:szCs w:val="22"/>
        </w:rPr>
        <w:t>år, under kliniske studier med Humira hos pediatriske pasienter med kronisk plakkpsoriasis.</w:t>
      </w:r>
      <w:r w:rsidR="00695E95" w:rsidRPr="00634DDF">
        <w:rPr>
          <w:sz w:val="22"/>
          <w:szCs w:val="22"/>
        </w:rPr>
        <w:t xml:space="preserve"> </w:t>
      </w:r>
      <w:r w:rsidR="00F47FD5">
        <w:rPr>
          <w:rStyle w:val="normaltextrun"/>
          <w:sz w:val="22"/>
          <w:shd w:val="clear" w:color="auto" w:fill="FFFFFF"/>
        </w:rPr>
        <w:t>Det ble ikke observert</w:t>
      </w:r>
      <w:r w:rsidR="00634DDF" w:rsidRPr="00E04B2A">
        <w:rPr>
          <w:rStyle w:val="normaltextrun"/>
          <w:sz w:val="22"/>
          <w:shd w:val="clear" w:color="auto" w:fill="FFFFFF"/>
        </w:rPr>
        <w:t xml:space="preserve"> maligniteter hos 93 pediatriske pasienter med en eksponering på 65,3 pasientår under en Humira-studie </w:t>
      </w:r>
      <w:r w:rsidR="00B1016F">
        <w:rPr>
          <w:rStyle w:val="normaltextrun"/>
          <w:sz w:val="22"/>
          <w:shd w:val="clear" w:color="auto" w:fill="FFFFFF"/>
        </w:rPr>
        <w:t>hos</w:t>
      </w:r>
      <w:r w:rsidR="00634DDF" w:rsidRPr="00E04B2A">
        <w:rPr>
          <w:rStyle w:val="normaltextrun"/>
          <w:sz w:val="22"/>
          <w:shd w:val="clear" w:color="auto" w:fill="FFFFFF"/>
        </w:rPr>
        <w:t xml:space="preserve"> pediatriske pasienter med ulcerøs kolitt.</w:t>
      </w:r>
      <w:r w:rsidR="00634DDF" w:rsidRPr="00E04B2A">
        <w:rPr>
          <w:sz w:val="22"/>
        </w:rPr>
        <w:t xml:space="preserve"> </w:t>
      </w:r>
      <w:r w:rsidR="00695E95">
        <w:rPr>
          <w:sz w:val="22"/>
          <w:szCs w:val="22"/>
        </w:rPr>
        <w:t>Det ble ikke observert maligniteter hos 60 pediatriske pasienter med en eksponering på 58,4 pasientår under en Humira-studie hos pediatriske pasienter med uveitt.</w:t>
      </w:r>
    </w:p>
    <w:p w14:paraId="1EBD6A69" w14:textId="77777777" w:rsidR="00843484" w:rsidRPr="009C5EFD" w:rsidRDefault="00843484" w:rsidP="009C5EFD">
      <w:pPr>
        <w:rPr>
          <w:sz w:val="22"/>
          <w:szCs w:val="22"/>
        </w:rPr>
      </w:pPr>
    </w:p>
    <w:p w14:paraId="63A7FF7B" w14:textId="77777777" w:rsidR="001E500F" w:rsidRPr="009C5EFD" w:rsidRDefault="00E453CD" w:rsidP="009C5EFD">
      <w:pPr>
        <w:rPr>
          <w:sz w:val="22"/>
          <w:szCs w:val="22"/>
        </w:rPr>
      </w:pPr>
      <w:r w:rsidRPr="009C5EFD">
        <w:rPr>
          <w:sz w:val="22"/>
          <w:szCs w:val="22"/>
        </w:rPr>
        <w:t xml:space="preserve">Under de kontrollerte delene av pivotale kliniske studier </w:t>
      </w:r>
      <w:r w:rsidRPr="009C5EFD">
        <w:rPr>
          <w:color w:val="000000"/>
          <w:sz w:val="22"/>
          <w:szCs w:val="22"/>
        </w:rPr>
        <w:t xml:space="preserve">med Humira hos voksne, </w:t>
      </w:r>
      <w:r w:rsidRPr="009C5EFD">
        <w:rPr>
          <w:sz w:val="22"/>
          <w:szCs w:val="22"/>
        </w:rPr>
        <w:t xml:space="preserve">som varte </w:t>
      </w:r>
      <w:r w:rsidR="002E1902">
        <w:rPr>
          <w:sz w:val="22"/>
          <w:szCs w:val="22"/>
        </w:rPr>
        <w:t>i</w:t>
      </w:r>
      <w:r w:rsidRPr="009C5EFD">
        <w:rPr>
          <w:sz w:val="22"/>
          <w:szCs w:val="22"/>
        </w:rPr>
        <w:t xml:space="preserve"> minimum 12</w:t>
      </w:r>
      <w:r w:rsidR="00315F16" w:rsidRPr="009C5EFD">
        <w:rPr>
          <w:sz w:val="22"/>
          <w:szCs w:val="22"/>
        </w:rPr>
        <w:t> uker</w:t>
      </w:r>
      <w:r w:rsidRPr="009C5EFD">
        <w:rPr>
          <w:sz w:val="22"/>
          <w:szCs w:val="22"/>
        </w:rPr>
        <w:t xml:space="preserve"> hos pasienter med moderat til alvorlig aktiv revmatoid artritt, ankyloserende spondylitt, aksial spondylartritt uten radiografisk bekreftelse på ankyloserende spondylitt, psoriasisartritt, psoriasis, </w:t>
      </w:r>
      <w:r w:rsidR="007F67EE" w:rsidRPr="009C5EFD">
        <w:rPr>
          <w:sz w:val="22"/>
          <w:szCs w:val="22"/>
        </w:rPr>
        <w:t>hidrosadenitt</w:t>
      </w:r>
      <w:r w:rsidR="00843484" w:rsidRPr="009C5EFD">
        <w:rPr>
          <w:sz w:val="22"/>
          <w:szCs w:val="22"/>
        </w:rPr>
        <w:t xml:space="preserve">, </w:t>
      </w:r>
      <w:r w:rsidRPr="009C5EFD">
        <w:rPr>
          <w:sz w:val="22"/>
          <w:szCs w:val="22"/>
        </w:rPr>
        <w:t>Crohns sykdom</w:t>
      </w:r>
      <w:r w:rsidR="002838F8">
        <w:rPr>
          <w:sz w:val="22"/>
          <w:szCs w:val="22"/>
        </w:rPr>
        <w:t>,</w:t>
      </w:r>
      <w:r w:rsidRPr="009C5EFD">
        <w:rPr>
          <w:sz w:val="22"/>
          <w:szCs w:val="22"/>
        </w:rPr>
        <w:t xml:space="preserve"> ulcerøs kolitt</w:t>
      </w:r>
      <w:r w:rsidR="002838F8">
        <w:rPr>
          <w:sz w:val="22"/>
          <w:szCs w:val="22"/>
        </w:rPr>
        <w:t xml:space="preserve"> og uveitt</w:t>
      </w:r>
      <w:r w:rsidRPr="009C5EFD">
        <w:rPr>
          <w:sz w:val="22"/>
          <w:szCs w:val="22"/>
        </w:rPr>
        <w:t>, var forekomsten (95</w:t>
      </w:r>
      <w:r w:rsidR="00315F16" w:rsidRPr="009C5EFD">
        <w:rPr>
          <w:sz w:val="22"/>
          <w:szCs w:val="22"/>
        </w:rPr>
        <w:t> %</w:t>
      </w:r>
      <w:r w:rsidRPr="009C5EFD">
        <w:rPr>
          <w:sz w:val="22"/>
          <w:szCs w:val="22"/>
        </w:rPr>
        <w:t xml:space="preserve"> konfidensintervall) av de observerte maligniteter, andre enn lymfomer og ikke-melanom hudkreft, </w:t>
      </w:r>
      <w:r w:rsidR="002838F8">
        <w:rPr>
          <w:sz w:val="22"/>
          <w:szCs w:val="22"/>
        </w:rPr>
        <w:t>6,8 (4,4, 10,</w:t>
      </w:r>
      <w:r w:rsidR="002838F8" w:rsidRPr="002838F8">
        <w:rPr>
          <w:sz w:val="22"/>
          <w:szCs w:val="22"/>
        </w:rPr>
        <w:t>5)</w:t>
      </w:r>
      <w:r w:rsidRPr="009C5EFD">
        <w:rPr>
          <w:sz w:val="22"/>
          <w:szCs w:val="22"/>
        </w:rPr>
        <w:t xml:space="preserve"> per 1000</w:t>
      </w:r>
      <w:r w:rsidR="00315F16" w:rsidRPr="009C5EFD">
        <w:rPr>
          <w:sz w:val="22"/>
          <w:szCs w:val="22"/>
        </w:rPr>
        <w:t> pasient</w:t>
      </w:r>
      <w:r w:rsidRPr="009C5EFD">
        <w:rPr>
          <w:sz w:val="22"/>
          <w:szCs w:val="22"/>
        </w:rPr>
        <w:t xml:space="preserve">år blant </w:t>
      </w:r>
      <w:r w:rsidR="002838F8">
        <w:rPr>
          <w:sz w:val="22"/>
          <w:szCs w:val="22"/>
        </w:rPr>
        <w:t>5291</w:t>
      </w:r>
      <w:r w:rsidR="00315F16" w:rsidRPr="009C5EFD">
        <w:rPr>
          <w:sz w:val="22"/>
          <w:szCs w:val="22"/>
        </w:rPr>
        <w:t> pasient</w:t>
      </w:r>
      <w:r w:rsidRPr="009C5EFD">
        <w:rPr>
          <w:sz w:val="22"/>
          <w:szCs w:val="22"/>
        </w:rPr>
        <w:t xml:space="preserve">er som ble behandlet med Humira </w:t>
      </w:r>
      <w:r w:rsidRPr="009C5EFD">
        <w:rPr>
          <w:i/>
          <w:sz w:val="22"/>
          <w:szCs w:val="22"/>
        </w:rPr>
        <w:t>versus</w:t>
      </w:r>
      <w:r w:rsidRPr="009C5EFD">
        <w:rPr>
          <w:sz w:val="22"/>
          <w:szCs w:val="22"/>
        </w:rPr>
        <w:t xml:space="preserve"> </w:t>
      </w:r>
      <w:r w:rsidR="002838F8">
        <w:rPr>
          <w:sz w:val="22"/>
          <w:szCs w:val="22"/>
        </w:rPr>
        <w:t>6,</w:t>
      </w:r>
      <w:r w:rsidR="002838F8" w:rsidRPr="002838F8">
        <w:rPr>
          <w:sz w:val="22"/>
          <w:szCs w:val="22"/>
        </w:rPr>
        <w:t>3 (3</w:t>
      </w:r>
      <w:r w:rsidR="002838F8">
        <w:rPr>
          <w:sz w:val="22"/>
          <w:szCs w:val="22"/>
        </w:rPr>
        <w:t>,4, 11,</w:t>
      </w:r>
      <w:r w:rsidR="002838F8" w:rsidRPr="002838F8">
        <w:rPr>
          <w:sz w:val="22"/>
          <w:szCs w:val="22"/>
        </w:rPr>
        <w:t>8)</w:t>
      </w:r>
      <w:r w:rsidRPr="009C5EFD">
        <w:rPr>
          <w:sz w:val="22"/>
          <w:szCs w:val="22"/>
        </w:rPr>
        <w:t xml:space="preserve"> per 1000</w:t>
      </w:r>
      <w:r w:rsidR="00315F16" w:rsidRPr="009C5EFD">
        <w:rPr>
          <w:sz w:val="22"/>
          <w:szCs w:val="22"/>
        </w:rPr>
        <w:t> pasient</w:t>
      </w:r>
      <w:r w:rsidRPr="009C5EFD">
        <w:rPr>
          <w:sz w:val="22"/>
          <w:szCs w:val="22"/>
        </w:rPr>
        <w:t xml:space="preserve">år blant </w:t>
      </w:r>
      <w:r w:rsidR="002838F8">
        <w:rPr>
          <w:sz w:val="22"/>
          <w:szCs w:val="22"/>
        </w:rPr>
        <w:t>3444</w:t>
      </w:r>
      <w:r w:rsidR="00315F16" w:rsidRPr="009C5EFD">
        <w:rPr>
          <w:sz w:val="22"/>
          <w:szCs w:val="22"/>
        </w:rPr>
        <w:t> pasient</w:t>
      </w:r>
      <w:r w:rsidRPr="009C5EFD">
        <w:rPr>
          <w:sz w:val="22"/>
          <w:szCs w:val="22"/>
        </w:rPr>
        <w:t xml:space="preserve">er i kontrollgruppen (gjennomsnittsvarighet for behandlingen var </w:t>
      </w:r>
      <w:r w:rsidR="00843484" w:rsidRPr="009C5EFD">
        <w:rPr>
          <w:sz w:val="22"/>
          <w:szCs w:val="22"/>
        </w:rPr>
        <w:t>4,0</w:t>
      </w:r>
      <w:r w:rsidR="00315F16" w:rsidRPr="009C5EFD">
        <w:rPr>
          <w:sz w:val="22"/>
          <w:szCs w:val="22"/>
        </w:rPr>
        <w:t> måned</w:t>
      </w:r>
      <w:r w:rsidRPr="009C5EFD">
        <w:rPr>
          <w:sz w:val="22"/>
          <w:szCs w:val="22"/>
        </w:rPr>
        <w:t xml:space="preserve">er for Humira og </w:t>
      </w:r>
      <w:r w:rsidR="00843484" w:rsidRPr="009C5EFD">
        <w:rPr>
          <w:sz w:val="22"/>
          <w:szCs w:val="22"/>
        </w:rPr>
        <w:t>3,</w:t>
      </w:r>
      <w:r w:rsidR="002838F8">
        <w:rPr>
          <w:sz w:val="22"/>
          <w:szCs w:val="22"/>
        </w:rPr>
        <w:t>8</w:t>
      </w:r>
      <w:r w:rsidR="00315F16" w:rsidRPr="009C5EFD">
        <w:rPr>
          <w:sz w:val="22"/>
          <w:szCs w:val="22"/>
        </w:rPr>
        <w:t> måned</w:t>
      </w:r>
      <w:r w:rsidRPr="009C5EFD">
        <w:rPr>
          <w:sz w:val="22"/>
          <w:szCs w:val="22"/>
        </w:rPr>
        <w:t>er for pasienter i kontrollgruppen). Forekomsten (95</w:t>
      </w:r>
      <w:r w:rsidR="00315F16" w:rsidRPr="009C5EFD">
        <w:rPr>
          <w:sz w:val="22"/>
          <w:szCs w:val="22"/>
        </w:rPr>
        <w:t> %</w:t>
      </w:r>
      <w:r w:rsidRPr="009C5EFD">
        <w:rPr>
          <w:sz w:val="22"/>
          <w:szCs w:val="22"/>
        </w:rPr>
        <w:t xml:space="preserve"> konfidensintervall) for ikke-melanom hudkreft var </w:t>
      </w:r>
      <w:r w:rsidR="002838F8">
        <w:rPr>
          <w:sz w:val="22"/>
          <w:szCs w:val="22"/>
        </w:rPr>
        <w:t>8,8 (6,0, 13,</w:t>
      </w:r>
      <w:r w:rsidR="002838F8" w:rsidRPr="002838F8">
        <w:rPr>
          <w:sz w:val="22"/>
          <w:szCs w:val="22"/>
        </w:rPr>
        <w:t>0)</w:t>
      </w:r>
      <w:r w:rsidRPr="009C5EFD">
        <w:rPr>
          <w:sz w:val="22"/>
          <w:szCs w:val="22"/>
        </w:rPr>
        <w:t xml:space="preserve"> per 1000</w:t>
      </w:r>
      <w:r w:rsidR="00315F16" w:rsidRPr="009C5EFD">
        <w:rPr>
          <w:sz w:val="22"/>
          <w:szCs w:val="22"/>
        </w:rPr>
        <w:t> pasient</w:t>
      </w:r>
      <w:r w:rsidRPr="009C5EFD">
        <w:rPr>
          <w:sz w:val="22"/>
          <w:szCs w:val="22"/>
        </w:rPr>
        <w:t xml:space="preserve">år blant pasienter som fikk Humira og </w:t>
      </w:r>
      <w:r w:rsidR="00B700AF">
        <w:rPr>
          <w:sz w:val="22"/>
          <w:szCs w:val="22"/>
        </w:rPr>
        <w:t>3,2 (1,3, 7,</w:t>
      </w:r>
      <w:r w:rsidR="00B700AF" w:rsidRPr="00B700AF">
        <w:rPr>
          <w:sz w:val="22"/>
          <w:szCs w:val="22"/>
        </w:rPr>
        <w:t>6)</w:t>
      </w:r>
      <w:r w:rsidRPr="009C5EFD">
        <w:rPr>
          <w:sz w:val="22"/>
          <w:szCs w:val="22"/>
        </w:rPr>
        <w:t xml:space="preserve"> per 1000</w:t>
      </w:r>
      <w:r w:rsidR="00315F16" w:rsidRPr="009C5EFD">
        <w:rPr>
          <w:sz w:val="22"/>
          <w:szCs w:val="22"/>
        </w:rPr>
        <w:t> pasient</w:t>
      </w:r>
      <w:r w:rsidRPr="009C5EFD">
        <w:rPr>
          <w:sz w:val="22"/>
          <w:szCs w:val="22"/>
        </w:rPr>
        <w:t>år blant pasienter i kontrollgruppen. Av disse hudkrefttypene forekom (95</w:t>
      </w:r>
      <w:r w:rsidR="00315F16" w:rsidRPr="009C5EFD">
        <w:rPr>
          <w:sz w:val="22"/>
          <w:szCs w:val="22"/>
        </w:rPr>
        <w:t> %</w:t>
      </w:r>
      <w:r w:rsidRPr="009C5EFD">
        <w:rPr>
          <w:sz w:val="22"/>
          <w:szCs w:val="22"/>
        </w:rPr>
        <w:t xml:space="preserve"> konfidensintervall) plateepitelkarsinom med frekvensen </w:t>
      </w:r>
      <w:r w:rsidR="00B700AF">
        <w:rPr>
          <w:sz w:val="22"/>
          <w:szCs w:val="22"/>
        </w:rPr>
        <w:t>2,</w:t>
      </w:r>
      <w:r w:rsidR="00B700AF" w:rsidRPr="00B700AF">
        <w:rPr>
          <w:sz w:val="22"/>
          <w:szCs w:val="22"/>
        </w:rPr>
        <w:t>7 (1</w:t>
      </w:r>
      <w:r w:rsidR="00B700AF">
        <w:rPr>
          <w:sz w:val="22"/>
          <w:szCs w:val="22"/>
        </w:rPr>
        <w:t>,</w:t>
      </w:r>
      <w:r w:rsidR="00B700AF" w:rsidRPr="00B700AF">
        <w:rPr>
          <w:sz w:val="22"/>
          <w:szCs w:val="22"/>
        </w:rPr>
        <w:t>4, 5</w:t>
      </w:r>
      <w:r w:rsidR="00B700AF">
        <w:rPr>
          <w:sz w:val="22"/>
          <w:szCs w:val="22"/>
        </w:rPr>
        <w:t>,</w:t>
      </w:r>
      <w:r w:rsidR="00B700AF" w:rsidRPr="00B700AF">
        <w:rPr>
          <w:sz w:val="22"/>
          <w:szCs w:val="22"/>
        </w:rPr>
        <w:t>4)</w:t>
      </w:r>
      <w:r w:rsidRPr="009C5EFD">
        <w:rPr>
          <w:sz w:val="22"/>
          <w:szCs w:val="22"/>
        </w:rPr>
        <w:t xml:space="preserve"> per 1000</w:t>
      </w:r>
      <w:r w:rsidR="00315F16" w:rsidRPr="009C5EFD">
        <w:rPr>
          <w:sz w:val="22"/>
          <w:szCs w:val="22"/>
        </w:rPr>
        <w:t> pasient</w:t>
      </w:r>
      <w:r w:rsidRPr="009C5EFD">
        <w:rPr>
          <w:sz w:val="22"/>
          <w:szCs w:val="22"/>
        </w:rPr>
        <w:t xml:space="preserve">år blant pasienter som fikk Humira og </w:t>
      </w:r>
      <w:r w:rsidR="00B700AF">
        <w:rPr>
          <w:sz w:val="22"/>
          <w:szCs w:val="22"/>
        </w:rPr>
        <w:t>0,</w:t>
      </w:r>
      <w:r w:rsidR="00B700AF" w:rsidRPr="00B700AF">
        <w:rPr>
          <w:sz w:val="22"/>
          <w:szCs w:val="22"/>
        </w:rPr>
        <w:t>6 (0</w:t>
      </w:r>
      <w:r w:rsidR="00B700AF">
        <w:rPr>
          <w:sz w:val="22"/>
          <w:szCs w:val="22"/>
        </w:rPr>
        <w:t>,</w:t>
      </w:r>
      <w:r w:rsidR="00B700AF" w:rsidRPr="00B700AF">
        <w:rPr>
          <w:sz w:val="22"/>
          <w:szCs w:val="22"/>
        </w:rPr>
        <w:t>1, 4</w:t>
      </w:r>
      <w:r w:rsidR="00B700AF">
        <w:rPr>
          <w:sz w:val="22"/>
          <w:szCs w:val="22"/>
        </w:rPr>
        <w:t>,</w:t>
      </w:r>
      <w:r w:rsidR="00B700AF" w:rsidRPr="00B700AF">
        <w:rPr>
          <w:sz w:val="22"/>
          <w:szCs w:val="22"/>
        </w:rPr>
        <w:t>5)</w:t>
      </w:r>
      <w:r w:rsidRPr="009C5EFD">
        <w:rPr>
          <w:sz w:val="22"/>
          <w:szCs w:val="22"/>
        </w:rPr>
        <w:t xml:space="preserve"> per 1000</w:t>
      </w:r>
      <w:r w:rsidR="00315F16" w:rsidRPr="009C5EFD">
        <w:rPr>
          <w:sz w:val="22"/>
          <w:szCs w:val="22"/>
        </w:rPr>
        <w:t> pasient</w:t>
      </w:r>
      <w:r w:rsidRPr="009C5EFD">
        <w:rPr>
          <w:sz w:val="22"/>
          <w:szCs w:val="22"/>
        </w:rPr>
        <w:t>år blant pasienter i kontrollgruppen. Forekomsten (95</w:t>
      </w:r>
      <w:r w:rsidR="00315F16" w:rsidRPr="009C5EFD">
        <w:rPr>
          <w:sz w:val="22"/>
          <w:szCs w:val="22"/>
        </w:rPr>
        <w:t> %</w:t>
      </w:r>
      <w:r w:rsidRPr="009C5EFD">
        <w:rPr>
          <w:sz w:val="22"/>
          <w:szCs w:val="22"/>
        </w:rPr>
        <w:t xml:space="preserve"> konfidensintervall) for lymfomer var 0,7 (</w:t>
      </w:r>
      <w:r w:rsidR="00061CCF">
        <w:rPr>
          <w:sz w:val="22"/>
          <w:szCs w:val="22"/>
        </w:rPr>
        <w:t>0,</w:t>
      </w:r>
      <w:r w:rsidR="00061CCF" w:rsidRPr="00B700AF">
        <w:rPr>
          <w:sz w:val="22"/>
          <w:szCs w:val="22"/>
        </w:rPr>
        <w:t>2, 2</w:t>
      </w:r>
      <w:r w:rsidR="00061CCF">
        <w:rPr>
          <w:sz w:val="22"/>
          <w:szCs w:val="22"/>
        </w:rPr>
        <w:t>,</w:t>
      </w:r>
      <w:r w:rsidR="00061CCF" w:rsidRPr="00B700AF">
        <w:rPr>
          <w:sz w:val="22"/>
          <w:szCs w:val="22"/>
        </w:rPr>
        <w:t>7</w:t>
      </w:r>
      <w:r w:rsidRPr="009C5EFD">
        <w:rPr>
          <w:sz w:val="22"/>
          <w:szCs w:val="22"/>
        </w:rPr>
        <w:t>) per 1000</w:t>
      </w:r>
      <w:r w:rsidR="00315F16" w:rsidRPr="009C5EFD">
        <w:rPr>
          <w:sz w:val="22"/>
          <w:szCs w:val="22"/>
        </w:rPr>
        <w:t> pasient</w:t>
      </w:r>
      <w:r w:rsidRPr="009C5EFD">
        <w:rPr>
          <w:sz w:val="22"/>
          <w:szCs w:val="22"/>
        </w:rPr>
        <w:t xml:space="preserve">år blant pasienter som ble behandlet med Humira og </w:t>
      </w:r>
      <w:r w:rsidR="00061CCF">
        <w:rPr>
          <w:sz w:val="22"/>
          <w:szCs w:val="22"/>
        </w:rPr>
        <w:t>0,6 (0,1, 4,</w:t>
      </w:r>
      <w:r w:rsidR="00061CCF" w:rsidRPr="00061CCF">
        <w:rPr>
          <w:sz w:val="22"/>
          <w:szCs w:val="22"/>
        </w:rPr>
        <w:t>5)</w:t>
      </w:r>
      <w:r w:rsidRPr="009C5EFD">
        <w:rPr>
          <w:sz w:val="22"/>
          <w:szCs w:val="22"/>
        </w:rPr>
        <w:t xml:space="preserve"> per 1000</w:t>
      </w:r>
      <w:r w:rsidR="00315F16" w:rsidRPr="009C5EFD">
        <w:rPr>
          <w:sz w:val="22"/>
          <w:szCs w:val="22"/>
        </w:rPr>
        <w:t> pasient</w:t>
      </w:r>
      <w:r w:rsidRPr="009C5EFD">
        <w:rPr>
          <w:sz w:val="22"/>
          <w:szCs w:val="22"/>
        </w:rPr>
        <w:t>år blant pasienter i kontrollgruppen.</w:t>
      </w:r>
    </w:p>
    <w:p w14:paraId="3F00FA82" w14:textId="77777777" w:rsidR="001E500F" w:rsidRPr="009C5EFD" w:rsidRDefault="001E500F" w:rsidP="009C5EFD">
      <w:pPr>
        <w:rPr>
          <w:sz w:val="22"/>
          <w:szCs w:val="22"/>
        </w:rPr>
      </w:pPr>
    </w:p>
    <w:p w14:paraId="23972B7D" w14:textId="77777777" w:rsidR="001E500F" w:rsidRPr="009C5EFD" w:rsidRDefault="00E453CD" w:rsidP="009C5EFD">
      <w:pPr>
        <w:rPr>
          <w:sz w:val="22"/>
          <w:szCs w:val="22"/>
        </w:rPr>
      </w:pPr>
      <w:r w:rsidRPr="009C5EFD">
        <w:rPr>
          <w:sz w:val="22"/>
          <w:szCs w:val="22"/>
        </w:rPr>
        <w:t>Når man kombinerer de kontrollerte delene til disse studiene og pågående og avsluttede åpne studier, med en gjennomsnittsvarighet på ca. 3,</w:t>
      </w:r>
      <w:r w:rsidR="00061CCF">
        <w:rPr>
          <w:sz w:val="22"/>
          <w:szCs w:val="22"/>
        </w:rPr>
        <w:t>3</w:t>
      </w:r>
      <w:r w:rsidR="00061CCF" w:rsidRPr="009C5EFD">
        <w:rPr>
          <w:sz w:val="22"/>
          <w:szCs w:val="22"/>
        </w:rPr>
        <w:t> </w:t>
      </w:r>
      <w:r w:rsidRPr="009C5EFD">
        <w:rPr>
          <w:sz w:val="22"/>
          <w:szCs w:val="22"/>
        </w:rPr>
        <w:t xml:space="preserve">år, inkludert </w:t>
      </w:r>
      <w:r w:rsidR="00061CCF">
        <w:rPr>
          <w:sz w:val="22"/>
          <w:szCs w:val="22"/>
        </w:rPr>
        <w:t>6427</w:t>
      </w:r>
      <w:r w:rsidR="00315F16" w:rsidRPr="009C5EFD">
        <w:rPr>
          <w:sz w:val="22"/>
          <w:szCs w:val="22"/>
        </w:rPr>
        <w:t> pasient</w:t>
      </w:r>
      <w:r w:rsidRPr="009C5EFD">
        <w:rPr>
          <w:sz w:val="22"/>
          <w:szCs w:val="22"/>
        </w:rPr>
        <w:t xml:space="preserve">er og mer enn </w:t>
      </w:r>
      <w:r w:rsidR="00061CCF">
        <w:rPr>
          <w:sz w:val="22"/>
          <w:szCs w:val="22"/>
        </w:rPr>
        <w:t>26 439</w:t>
      </w:r>
      <w:r w:rsidR="00315F16" w:rsidRPr="009C5EFD">
        <w:rPr>
          <w:sz w:val="22"/>
          <w:szCs w:val="22"/>
        </w:rPr>
        <w:t> pasient</w:t>
      </w:r>
      <w:r w:rsidRPr="009C5EFD">
        <w:rPr>
          <w:sz w:val="22"/>
          <w:szCs w:val="22"/>
        </w:rPr>
        <w:t xml:space="preserve">år, </w:t>
      </w:r>
      <w:r w:rsidRPr="009C5EFD">
        <w:rPr>
          <w:color w:val="000000"/>
          <w:sz w:val="22"/>
          <w:szCs w:val="22"/>
        </w:rPr>
        <w:t xml:space="preserve">er den observerte </w:t>
      </w:r>
      <w:r w:rsidRPr="009C5EFD">
        <w:rPr>
          <w:sz w:val="22"/>
          <w:szCs w:val="22"/>
        </w:rPr>
        <w:t>forekomsten av maligniteter, foruten lymfomer og ikke-melanom hudkreft, ca. 8,</w:t>
      </w:r>
      <w:r w:rsidR="00843484" w:rsidRPr="009C5EFD">
        <w:rPr>
          <w:sz w:val="22"/>
          <w:szCs w:val="22"/>
        </w:rPr>
        <w:t>5</w:t>
      </w:r>
      <w:r w:rsidRPr="009C5EFD">
        <w:rPr>
          <w:sz w:val="22"/>
          <w:szCs w:val="22"/>
        </w:rPr>
        <w:t xml:space="preserve"> per 1000</w:t>
      </w:r>
      <w:r w:rsidR="00315F16" w:rsidRPr="009C5EFD">
        <w:rPr>
          <w:sz w:val="22"/>
          <w:szCs w:val="22"/>
        </w:rPr>
        <w:t> pasient</w:t>
      </w:r>
      <w:r w:rsidRPr="009C5EFD">
        <w:rPr>
          <w:sz w:val="22"/>
          <w:szCs w:val="22"/>
        </w:rPr>
        <w:t xml:space="preserve">år. Den observerte forekomsten for ikke-melanom hudkreft er på ca. </w:t>
      </w:r>
      <w:r w:rsidR="00843484" w:rsidRPr="009C5EFD">
        <w:rPr>
          <w:sz w:val="22"/>
          <w:szCs w:val="22"/>
        </w:rPr>
        <w:t>9,</w:t>
      </w:r>
      <w:r w:rsidR="00061CCF">
        <w:rPr>
          <w:sz w:val="22"/>
          <w:szCs w:val="22"/>
        </w:rPr>
        <w:t>6</w:t>
      </w:r>
      <w:r w:rsidRPr="009C5EFD">
        <w:rPr>
          <w:sz w:val="22"/>
          <w:szCs w:val="22"/>
        </w:rPr>
        <w:t xml:space="preserve"> per 1000</w:t>
      </w:r>
      <w:r w:rsidR="00315F16" w:rsidRPr="009C5EFD">
        <w:rPr>
          <w:sz w:val="22"/>
          <w:szCs w:val="22"/>
        </w:rPr>
        <w:t> pasient</w:t>
      </w:r>
      <w:r w:rsidRPr="009C5EFD">
        <w:rPr>
          <w:sz w:val="22"/>
          <w:szCs w:val="22"/>
        </w:rPr>
        <w:t>år, og den observerte forekomsten for lymfomer er ca. 1,</w:t>
      </w:r>
      <w:r w:rsidR="00843484" w:rsidRPr="009C5EFD">
        <w:rPr>
          <w:sz w:val="22"/>
          <w:szCs w:val="22"/>
        </w:rPr>
        <w:t>3</w:t>
      </w:r>
      <w:r w:rsidRPr="009C5EFD">
        <w:rPr>
          <w:sz w:val="22"/>
          <w:szCs w:val="22"/>
        </w:rPr>
        <w:t xml:space="preserve"> per 1000</w:t>
      </w:r>
      <w:r w:rsidR="00315F16" w:rsidRPr="009C5EFD">
        <w:rPr>
          <w:sz w:val="22"/>
          <w:szCs w:val="22"/>
        </w:rPr>
        <w:t> pasient</w:t>
      </w:r>
      <w:r w:rsidRPr="009C5EFD">
        <w:rPr>
          <w:sz w:val="22"/>
          <w:szCs w:val="22"/>
        </w:rPr>
        <w:t>år.</w:t>
      </w:r>
    </w:p>
    <w:p w14:paraId="796C2137" w14:textId="77777777" w:rsidR="001E500F" w:rsidRPr="009C5EFD" w:rsidRDefault="001E500F" w:rsidP="009C5EFD">
      <w:pPr>
        <w:rPr>
          <w:sz w:val="22"/>
          <w:szCs w:val="22"/>
        </w:rPr>
      </w:pPr>
    </w:p>
    <w:p w14:paraId="44432DC5" w14:textId="2566F74F" w:rsidR="001E500F" w:rsidRPr="009C5EFD" w:rsidRDefault="00E453CD" w:rsidP="009C5EFD">
      <w:pPr>
        <w:rPr>
          <w:sz w:val="22"/>
          <w:szCs w:val="22"/>
        </w:rPr>
      </w:pPr>
      <w:r w:rsidRPr="009C5EFD">
        <w:rPr>
          <w:sz w:val="22"/>
          <w:szCs w:val="22"/>
        </w:rPr>
        <w:t xml:space="preserve">I perioden etter markedsføring fra januar 2003 til desember 2010, hovedsakelig hos pasienter med revmatoid artritt, er den </w:t>
      </w:r>
      <w:r>
        <w:rPr>
          <w:sz w:val="22"/>
          <w:szCs w:val="22"/>
        </w:rPr>
        <w:t>spontant rapporterte</w:t>
      </w:r>
      <w:r w:rsidRPr="009C5EFD">
        <w:rPr>
          <w:sz w:val="22"/>
          <w:szCs w:val="22"/>
        </w:rPr>
        <w:t xml:space="preserve"> forekomsten for maligniteter ca. 2,7 per 1000</w:t>
      </w:r>
      <w:r w:rsidR="00315F16" w:rsidRPr="009C5EFD">
        <w:rPr>
          <w:sz w:val="22"/>
          <w:szCs w:val="22"/>
        </w:rPr>
        <w:t> pasient</w:t>
      </w:r>
      <w:r w:rsidRPr="009C5EFD">
        <w:rPr>
          <w:sz w:val="22"/>
          <w:szCs w:val="22"/>
        </w:rPr>
        <w:t xml:space="preserve">år. De </w:t>
      </w:r>
      <w:r>
        <w:rPr>
          <w:sz w:val="22"/>
          <w:szCs w:val="22"/>
        </w:rPr>
        <w:t>spontant rapporterte</w:t>
      </w:r>
      <w:r w:rsidRPr="009C5EFD">
        <w:rPr>
          <w:sz w:val="22"/>
          <w:szCs w:val="22"/>
        </w:rPr>
        <w:t xml:space="preserve"> forekomstene for ikke-melanom hudkreft og lymfomer er henholdsvis ca. 0,2 og 0,3 per 1000</w:t>
      </w:r>
      <w:r w:rsidR="00315F16" w:rsidRPr="009C5EFD">
        <w:rPr>
          <w:sz w:val="22"/>
          <w:szCs w:val="22"/>
        </w:rPr>
        <w:t> pasient</w:t>
      </w:r>
      <w:r w:rsidRPr="009C5EFD">
        <w:rPr>
          <w:sz w:val="22"/>
          <w:szCs w:val="22"/>
        </w:rPr>
        <w:t>år (se pkt. 4.4).</w:t>
      </w:r>
    </w:p>
    <w:p w14:paraId="603FC2E5" w14:textId="77777777" w:rsidR="001E500F" w:rsidRPr="009C5EFD" w:rsidRDefault="001E500F" w:rsidP="009C5EFD">
      <w:pPr>
        <w:rPr>
          <w:sz w:val="22"/>
          <w:szCs w:val="22"/>
        </w:rPr>
      </w:pPr>
    </w:p>
    <w:p w14:paraId="0924AD5A" w14:textId="77777777" w:rsidR="001E500F" w:rsidRPr="009C5EFD" w:rsidRDefault="00E453CD" w:rsidP="009C5EFD">
      <w:pPr>
        <w:rPr>
          <w:sz w:val="22"/>
          <w:szCs w:val="22"/>
        </w:rPr>
      </w:pPr>
      <w:r w:rsidRPr="009C5EFD">
        <w:rPr>
          <w:sz w:val="22"/>
          <w:szCs w:val="22"/>
        </w:rPr>
        <w:t>Sjeldne tilfeller av hepatosplenisk T-cellelymfom hos pasienter behandlet med adalimumab er rapportert etter markedsføring (se pkt. 4.4).</w:t>
      </w:r>
    </w:p>
    <w:p w14:paraId="5F1B0739" w14:textId="77777777" w:rsidR="001E500F" w:rsidRPr="009C5EFD" w:rsidRDefault="001E500F" w:rsidP="009C5EFD">
      <w:pPr>
        <w:pStyle w:val="Heading8"/>
        <w:keepNext w:val="0"/>
        <w:rPr>
          <w:szCs w:val="22"/>
        </w:rPr>
      </w:pPr>
    </w:p>
    <w:p w14:paraId="2AF0F205" w14:textId="77777777" w:rsidR="001E500F" w:rsidRPr="009C5EFD" w:rsidRDefault="00E453CD" w:rsidP="00776A84">
      <w:pPr>
        <w:pStyle w:val="Heading8"/>
        <w:rPr>
          <w:i/>
          <w:szCs w:val="22"/>
          <w:u w:val="none"/>
        </w:rPr>
      </w:pPr>
      <w:r w:rsidRPr="009C5EFD">
        <w:rPr>
          <w:i/>
          <w:szCs w:val="22"/>
          <w:u w:val="none"/>
        </w:rPr>
        <w:t>Autoantistoffer</w:t>
      </w:r>
    </w:p>
    <w:p w14:paraId="78817B43" w14:textId="77777777" w:rsidR="001E500F" w:rsidRPr="009C5EFD" w:rsidRDefault="001E500F" w:rsidP="00776A84">
      <w:pPr>
        <w:keepNext/>
        <w:rPr>
          <w:sz w:val="22"/>
          <w:szCs w:val="22"/>
        </w:rPr>
      </w:pPr>
    </w:p>
    <w:p w14:paraId="1A62A431" w14:textId="77777777" w:rsidR="001E500F" w:rsidRPr="009C5EFD" w:rsidRDefault="00E453CD" w:rsidP="009C5EFD">
      <w:pPr>
        <w:rPr>
          <w:sz w:val="22"/>
          <w:szCs w:val="22"/>
        </w:rPr>
      </w:pPr>
      <w:r w:rsidRPr="009C5EFD">
        <w:rPr>
          <w:sz w:val="22"/>
          <w:szCs w:val="22"/>
        </w:rPr>
        <w:t>Serumprøver fra pasienter ble analysert for autoantistoffer på flere tidspunkter i studiene I</w:t>
      </w:r>
      <w:r w:rsidR="00081756" w:rsidRPr="009C5EFD">
        <w:rPr>
          <w:sz w:val="22"/>
          <w:szCs w:val="22"/>
        </w:rPr>
        <w:t> </w:t>
      </w:r>
      <w:r w:rsidRPr="009C5EFD">
        <w:rPr>
          <w:sz w:val="22"/>
          <w:szCs w:val="22"/>
        </w:rPr>
        <w:t>–</w:t>
      </w:r>
      <w:r w:rsidR="00081756" w:rsidRPr="009C5EFD">
        <w:rPr>
          <w:sz w:val="22"/>
          <w:szCs w:val="22"/>
        </w:rPr>
        <w:t> </w:t>
      </w:r>
      <w:r w:rsidRPr="009C5EFD">
        <w:rPr>
          <w:sz w:val="22"/>
          <w:szCs w:val="22"/>
        </w:rPr>
        <w:t xml:space="preserve">V ved revmatoid artritt. Blant pasienter med negative </w:t>
      </w:r>
      <w:r w:rsidRPr="009C5EFD">
        <w:rPr>
          <w:color w:val="000000"/>
          <w:sz w:val="22"/>
          <w:szCs w:val="22"/>
        </w:rPr>
        <w:t xml:space="preserve">verdier </w:t>
      </w:r>
      <w:r w:rsidR="001646EE">
        <w:rPr>
          <w:sz w:val="22"/>
          <w:szCs w:val="22"/>
        </w:rPr>
        <w:t>ved baseline</w:t>
      </w:r>
      <w:r w:rsidR="00C27926">
        <w:rPr>
          <w:sz w:val="22"/>
          <w:szCs w:val="22"/>
        </w:rPr>
        <w:t xml:space="preserve"> </w:t>
      </w:r>
      <w:r w:rsidRPr="009C5EFD">
        <w:rPr>
          <w:sz w:val="22"/>
          <w:szCs w:val="22"/>
        </w:rPr>
        <w:t>for antinukleære antistoff i disse studiene ble 11,9</w:t>
      </w:r>
      <w:r w:rsidR="00315F16" w:rsidRPr="009C5EFD">
        <w:rPr>
          <w:sz w:val="22"/>
          <w:szCs w:val="22"/>
        </w:rPr>
        <w:t> %</w:t>
      </w:r>
      <w:r w:rsidRPr="009C5EFD">
        <w:rPr>
          <w:sz w:val="22"/>
          <w:szCs w:val="22"/>
        </w:rPr>
        <w:t xml:space="preserve"> av pasientene som ble behandlet med Humira og 8,1</w:t>
      </w:r>
      <w:r w:rsidR="00315F16" w:rsidRPr="009C5EFD">
        <w:rPr>
          <w:sz w:val="22"/>
          <w:szCs w:val="22"/>
        </w:rPr>
        <w:t> %</w:t>
      </w:r>
      <w:r w:rsidRPr="009C5EFD">
        <w:rPr>
          <w:sz w:val="22"/>
          <w:szCs w:val="22"/>
        </w:rPr>
        <w:t xml:space="preserve"> av pasientene i kontrollgruppene angitt å ha positive verdier ved </w:t>
      </w:r>
      <w:r w:rsidR="00315F16" w:rsidRPr="009C5EFD">
        <w:rPr>
          <w:sz w:val="22"/>
          <w:szCs w:val="22"/>
        </w:rPr>
        <w:t>uke </w:t>
      </w:r>
      <w:r w:rsidRPr="009C5EFD">
        <w:rPr>
          <w:sz w:val="22"/>
          <w:szCs w:val="22"/>
        </w:rPr>
        <w:t>24. To pasienter av de 3441 som ble behandlet med Humira i alle studiene av revmatoid artritt og psoriasisartritt utviklet kliniske tegn på nyutviklet lupuslignende syndrom. Pasientene ble bedre etter at behandlingen ble avbrutt. Ingen pasienter utviklet lupusnefritt eller symptomer i sentralnervesystemet.</w:t>
      </w:r>
    </w:p>
    <w:p w14:paraId="5541A02D" w14:textId="77777777" w:rsidR="001E500F" w:rsidRPr="009C5EFD" w:rsidRDefault="001E500F" w:rsidP="009C5EFD">
      <w:pPr>
        <w:rPr>
          <w:sz w:val="22"/>
          <w:szCs w:val="22"/>
        </w:rPr>
      </w:pPr>
    </w:p>
    <w:p w14:paraId="51AAB6EA" w14:textId="77777777" w:rsidR="001E500F" w:rsidRPr="009C5EFD" w:rsidRDefault="00E453CD" w:rsidP="00776A84">
      <w:pPr>
        <w:keepNext/>
        <w:rPr>
          <w:i/>
          <w:sz w:val="22"/>
          <w:szCs w:val="22"/>
        </w:rPr>
      </w:pPr>
      <w:r w:rsidRPr="009C5EFD">
        <w:rPr>
          <w:i/>
          <w:sz w:val="22"/>
          <w:szCs w:val="22"/>
        </w:rPr>
        <w:t>Bivirkninger i lever og galleveier</w:t>
      </w:r>
    </w:p>
    <w:p w14:paraId="1D37FD4F" w14:textId="77777777" w:rsidR="001E500F" w:rsidRPr="009C5EFD" w:rsidRDefault="001E500F" w:rsidP="00776A84">
      <w:pPr>
        <w:keepNext/>
        <w:rPr>
          <w:i/>
          <w:sz w:val="22"/>
          <w:szCs w:val="22"/>
        </w:rPr>
      </w:pPr>
    </w:p>
    <w:p w14:paraId="07FD926C" w14:textId="77777777" w:rsidR="001E500F" w:rsidRPr="009C5EFD" w:rsidRDefault="00E453CD" w:rsidP="009C5EFD">
      <w:pPr>
        <w:rPr>
          <w:sz w:val="22"/>
          <w:szCs w:val="22"/>
        </w:rPr>
      </w:pPr>
      <w:r w:rsidRPr="009C5EFD">
        <w:rPr>
          <w:sz w:val="22"/>
          <w:szCs w:val="22"/>
        </w:rPr>
        <w:t>I kontrollerte fase 3 studier med Humira hos pasienter med revmatoid artritt og psoriasisartritt med en varighet på kontrollperioden varierende fra 4 til 104 uker, oppstod stigninger i ALAT ≥</w:t>
      </w:r>
      <w:r w:rsidR="003B67F2" w:rsidRPr="009C5EFD">
        <w:rPr>
          <w:sz w:val="22"/>
          <w:szCs w:val="22"/>
        </w:rPr>
        <w:t> </w:t>
      </w:r>
      <w:r w:rsidRPr="009C5EFD">
        <w:rPr>
          <w:sz w:val="22"/>
          <w:szCs w:val="22"/>
        </w:rPr>
        <w:t>3 x ULN hos 3,7</w:t>
      </w:r>
      <w:r w:rsidR="00315F16" w:rsidRPr="009C5EFD">
        <w:rPr>
          <w:sz w:val="22"/>
          <w:szCs w:val="22"/>
        </w:rPr>
        <w:t> %</w:t>
      </w:r>
      <w:r w:rsidRPr="009C5EFD">
        <w:rPr>
          <w:sz w:val="22"/>
          <w:szCs w:val="22"/>
        </w:rPr>
        <w:t xml:space="preserve"> av pasientene behandlet med Humira og hos 1,6</w:t>
      </w:r>
      <w:r w:rsidR="00315F16" w:rsidRPr="009C5EFD">
        <w:rPr>
          <w:sz w:val="22"/>
          <w:szCs w:val="22"/>
        </w:rPr>
        <w:t> %</w:t>
      </w:r>
      <w:r w:rsidRPr="009C5EFD">
        <w:rPr>
          <w:sz w:val="22"/>
          <w:szCs w:val="22"/>
        </w:rPr>
        <w:t xml:space="preserve"> av pasientene i kontrollgruppen.</w:t>
      </w:r>
    </w:p>
    <w:p w14:paraId="25E70118" w14:textId="77777777" w:rsidR="001E500F" w:rsidRPr="009C5EFD" w:rsidRDefault="001E500F" w:rsidP="009C5EFD">
      <w:pPr>
        <w:rPr>
          <w:sz w:val="22"/>
          <w:szCs w:val="22"/>
        </w:rPr>
      </w:pPr>
    </w:p>
    <w:p w14:paraId="2A21B09D" w14:textId="77777777" w:rsidR="001E500F" w:rsidRPr="009C5EFD" w:rsidRDefault="00E453CD" w:rsidP="009C5EFD">
      <w:pPr>
        <w:rPr>
          <w:sz w:val="22"/>
          <w:szCs w:val="22"/>
        </w:rPr>
      </w:pPr>
      <w:r w:rsidRPr="009C5EFD">
        <w:rPr>
          <w:sz w:val="22"/>
          <w:szCs w:val="22"/>
        </w:rPr>
        <w:t>I kontrollerte fase 3 studier med Humira hos pasienter med polyartikulær juvenil idiopatisk artritt i alderen 4 til 17</w:t>
      </w:r>
      <w:r w:rsidR="00315F16" w:rsidRPr="009C5EFD">
        <w:rPr>
          <w:sz w:val="22"/>
          <w:szCs w:val="22"/>
        </w:rPr>
        <w:t> år</w:t>
      </w:r>
      <w:r w:rsidRPr="009C5EFD">
        <w:rPr>
          <w:sz w:val="22"/>
          <w:szCs w:val="22"/>
        </w:rPr>
        <w:t xml:space="preserve"> og entesittrelatert artritt i alderen 6 til 17</w:t>
      </w:r>
      <w:r w:rsidR="00315F16" w:rsidRPr="009C5EFD">
        <w:rPr>
          <w:sz w:val="22"/>
          <w:szCs w:val="22"/>
        </w:rPr>
        <w:t> år</w:t>
      </w:r>
      <w:r w:rsidRPr="009C5EFD">
        <w:rPr>
          <w:sz w:val="22"/>
          <w:szCs w:val="22"/>
        </w:rPr>
        <w:t>, oppstod stigninger i ALAT ≥</w:t>
      </w:r>
      <w:r w:rsidR="003B67F2" w:rsidRPr="009C5EFD">
        <w:rPr>
          <w:sz w:val="22"/>
          <w:szCs w:val="22"/>
        </w:rPr>
        <w:t> </w:t>
      </w:r>
      <w:r w:rsidRPr="009C5EFD">
        <w:rPr>
          <w:sz w:val="22"/>
          <w:szCs w:val="22"/>
        </w:rPr>
        <w:t>3</w:t>
      </w:r>
      <w:r w:rsidR="003B67F2" w:rsidRPr="009C5EFD">
        <w:rPr>
          <w:sz w:val="22"/>
          <w:szCs w:val="22"/>
        </w:rPr>
        <w:t xml:space="preserve"> </w:t>
      </w:r>
      <w:r w:rsidRPr="009C5EFD">
        <w:rPr>
          <w:sz w:val="22"/>
          <w:szCs w:val="22"/>
        </w:rPr>
        <w:t>x ULN hos 6,1</w:t>
      </w:r>
      <w:r w:rsidR="00315F16" w:rsidRPr="009C5EFD">
        <w:rPr>
          <w:sz w:val="22"/>
          <w:szCs w:val="22"/>
        </w:rPr>
        <w:t> %</w:t>
      </w:r>
      <w:r w:rsidRPr="009C5EFD">
        <w:rPr>
          <w:sz w:val="22"/>
          <w:szCs w:val="22"/>
        </w:rPr>
        <w:t xml:space="preserve"> av pasientene behandlet med Humira og hos 1,3</w:t>
      </w:r>
      <w:r w:rsidR="00315F16" w:rsidRPr="009C5EFD">
        <w:rPr>
          <w:sz w:val="22"/>
          <w:szCs w:val="22"/>
        </w:rPr>
        <w:t> %</w:t>
      </w:r>
      <w:r w:rsidRPr="009C5EFD">
        <w:rPr>
          <w:sz w:val="22"/>
          <w:szCs w:val="22"/>
        </w:rPr>
        <w:t xml:space="preserve"> av pasientene i kontrollgruppen. De </w:t>
      </w:r>
      <w:r w:rsidRPr="009C5EFD">
        <w:rPr>
          <w:sz w:val="22"/>
          <w:szCs w:val="22"/>
        </w:rPr>
        <w:lastRenderedPageBreak/>
        <w:t>fleste stigninger i ALAT oppstod ved samtidig bruk av metotreksat. Det var ingen stigninger i ALAT ≥ 3 x ULN i fase 3 studien med Humira hos pasienter med polyartikulær juvenil idiopatisk artritt i alderen 2 til &lt;</w:t>
      </w:r>
      <w:r w:rsidR="00081756" w:rsidRPr="009C5EFD">
        <w:rPr>
          <w:sz w:val="22"/>
          <w:szCs w:val="22"/>
        </w:rPr>
        <w:t> </w:t>
      </w:r>
      <w:r w:rsidRPr="009C5EFD">
        <w:rPr>
          <w:sz w:val="22"/>
          <w:szCs w:val="22"/>
        </w:rPr>
        <w:t>4</w:t>
      </w:r>
      <w:r w:rsidR="00315F16" w:rsidRPr="009C5EFD">
        <w:rPr>
          <w:sz w:val="22"/>
          <w:szCs w:val="22"/>
        </w:rPr>
        <w:t> år</w:t>
      </w:r>
      <w:r w:rsidRPr="009C5EFD">
        <w:rPr>
          <w:sz w:val="22"/>
          <w:szCs w:val="22"/>
        </w:rPr>
        <w:t>.</w:t>
      </w:r>
    </w:p>
    <w:p w14:paraId="69814808" w14:textId="77777777" w:rsidR="001E500F" w:rsidRPr="009C5EFD" w:rsidRDefault="001E500F" w:rsidP="009C5EFD">
      <w:pPr>
        <w:rPr>
          <w:i/>
          <w:sz w:val="22"/>
          <w:szCs w:val="22"/>
        </w:rPr>
      </w:pPr>
    </w:p>
    <w:p w14:paraId="1FB5424F" w14:textId="77777777" w:rsidR="001E500F" w:rsidRPr="009C5EFD" w:rsidRDefault="00E453CD" w:rsidP="009C5EFD">
      <w:pPr>
        <w:rPr>
          <w:sz w:val="22"/>
          <w:szCs w:val="22"/>
        </w:rPr>
      </w:pPr>
      <w:r w:rsidRPr="009C5EFD">
        <w:rPr>
          <w:sz w:val="22"/>
          <w:szCs w:val="22"/>
        </w:rPr>
        <w:t>I kontrollerte fase 3 studier med Humira hos pasienter med Crohns sykdom og ulcerøs kolitt med en varighet på kontrollperioden varierende fra 4 til 52</w:t>
      </w:r>
      <w:r w:rsidR="00315F16" w:rsidRPr="009C5EFD">
        <w:rPr>
          <w:sz w:val="22"/>
          <w:szCs w:val="22"/>
        </w:rPr>
        <w:t> uker</w:t>
      </w:r>
      <w:r w:rsidRPr="009C5EFD">
        <w:rPr>
          <w:sz w:val="22"/>
          <w:szCs w:val="22"/>
        </w:rPr>
        <w:t>, oppstod stigninger i ALAT ≥</w:t>
      </w:r>
      <w:r w:rsidR="003B67F2" w:rsidRPr="009C5EFD">
        <w:rPr>
          <w:sz w:val="22"/>
          <w:szCs w:val="22"/>
        </w:rPr>
        <w:t> </w:t>
      </w:r>
      <w:r w:rsidRPr="009C5EFD">
        <w:rPr>
          <w:sz w:val="22"/>
          <w:szCs w:val="22"/>
        </w:rPr>
        <w:t>3</w:t>
      </w:r>
      <w:r w:rsidR="00081756" w:rsidRPr="009C5EFD">
        <w:rPr>
          <w:sz w:val="22"/>
          <w:szCs w:val="22"/>
        </w:rPr>
        <w:t xml:space="preserve"> </w:t>
      </w:r>
      <w:r w:rsidRPr="009C5EFD">
        <w:rPr>
          <w:sz w:val="22"/>
          <w:szCs w:val="22"/>
        </w:rPr>
        <w:t>x ULN hos 0,9</w:t>
      </w:r>
      <w:r w:rsidR="00315F16" w:rsidRPr="009C5EFD">
        <w:rPr>
          <w:sz w:val="22"/>
          <w:szCs w:val="22"/>
        </w:rPr>
        <w:t> %</w:t>
      </w:r>
      <w:r w:rsidRPr="009C5EFD">
        <w:rPr>
          <w:sz w:val="22"/>
          <w:szCs w:val="22"/>
        </w:rPr>
        <w:t xml:space="preserve"> av pasientene behandlet med Humira og hos 0,9</w:t>
      </w:r>
      <w:r w:rsidR="00315F16" w:rsidRPr="009C5EFD">
        <w:rPr>
          <w:sz w:val="22"/>
          <w:szCs w:val="22"/>
        </w:rPr>
        <w:t> %</w:t>
      </w:r>
      <w:r w:rsidRPr="009C5EFD">
        <w:rPr>
          <w:sz w:val="22"/>
          <w:szCs w:val="22"/>
        </w:rPr>
        <w:t xml:space="preserve"> av pasientene i kontrollgruppen.</w:t>
      </w:r>
    </w:p>
    <w:p w14:paraId="07BD9DA8" w14:textId="77777777" w:rsidR="001E500F" w:rsidRPr="009C5EFD" w:rsidRDefault="001E500F" w:rsidP="009C5EFD">
      <w:pPr>
        <w:rPr>
          <w:sz w:val="22"/>
          <w:szCs w:val="22"/>
        </w:rPr>
      </w:pPr>
    </w:p>
    <w:p w14:paraId="1055D80D" w14:textId="77777777" w:rsidR="001E500F" w:rsidRPr="009C5EFD" w:rsidRDefault="00E453CD" w:rsidP="009C5EFD">
      <w:pPr>
        <w:rPr>
          <w:sz w:val="22"/>
          <w:szCs w:val="22"/>
        </w:rPr>
      </w:pPr>
      <w:r w:rsidRPr="009C5EFD">
        <w:rPr>
          <w:sz w:val="22"/>
          <w:szCs w:val="22"/>
        </w:rPr>
        <w:t xml:space="preserve">I fase 3 studien med Humira hos pasienter med pediatrisk Crohns sykdom som </w:t>
      </w:r>
      <w:r w:rsidR="006B250F">
        <w:rPr>
          <w:sz w:val="22"/>
          <w:szCs w:val="22"/>
        </w:rPr>
        <w:t>vurderte</w:t>
      </w:r>
      <w:r w:rsidRPr="009C5EFD">
        <w:rPr>
          <w:sz w:val="22"/>
          <w:szCs w:val="22"/>
        </w:rPr>
        <w:t xml:space="preserve"> effekt og sikkerhet av to kroppsvektjusterte vedlikeholdsdoseregimer etter kroppsvektjustert </w:t>
      </w:r>
      <w:r w:rsidR="005C4746">
        <w:rPr>
          <w:sz w:val="22"/>
          <w:szCs w:val="22"/>
        </w:rPr>
        <w:t>induksjonsbehandling</w:t>
      </w:r>
      <w:r w:rsidRPr="009C5EFD">
        <w:rPr>
          <w:sz w:val="22"/>
          <w:szCs w:val="22"/>
        </w:rPr>
        <w:t xml:space="preserve"> opptil 52 ukers behandling,</w:t>
      </w:r>
      <w:r w:rsidR="00BA7F2F">
        <w:rPr>
          <w:sz w:val="22"/>
          <w:szCs w:val="22"/>
        </w:rPr>
        <w:t xml:space="preserve"> </w:t>
      </w:r>
      <w:r w:rsidRPr="009C5EFD">
        <w:rPr>
          <w:sz w:val="22"/>
          <w:szCs w:val="22"/>
        </w:rPr>
        <w:t>oppstod stigninger i ALAT ≥</w:t>
      </w:r>
      <w:r w:rsidR="003B67F2" w:rsidRPr="009C5EFD">
        <w:rPr>
          <w:sz w:val="22"/>
          <w:szCs w:val="22"/>
        </w:rPr>
        <w:t> </w:t>
      </w:r>
      <w:r w:rsidRPr="009C5EFD">
        <w:rPr>
          <w:sz w:val="22"/>
          <w:szCs w:val="22"/>
        </w:rPr>
        <w:t>3</w:t>
      </w:r>
      <w:r w:rsidR="003B67F2" w:rsidRPr="009C5EFD">
        <w:rPr>
          <w:sz w:val="22"/>
          <w:szCs w:val="22"/>
        </w:rPr>
        <w:t> </w:t>
      </w:r>
      <w:r w:rsidRPr="009C5EFD">
        <w:rPr>
          <w:sz w:val="22"/>
          <w:szCs w:val="22"/>
        </w:rPr>
        <w:t>x ULN hos 2,6</w:t>
      </w:r>
      <w:r w:rsidR="00315F16" w:rsidRPr="009C5EFD">
        <w:rPr>
          <w:sz w:val="22"/>
          <w:szCs w:val="22"/>
        </w:rPr>
        <w:t> %</w:t>
      </w:r>
      <w:r w:rsidRPr="009C5EFD">
        <w:rPr>
          <w:sz w:val="22"/>
          <w:szCs w:val="22"/>
        </w:rPr>
        <w:t xml:space="preserve"> av pasientene som alle ble utsatt for samtidig immundempende behandling ved baseline.</w:t>
      </w:r>
    </w:p>
    <w:p w14:paraId="484E3008" w14:textId="77777777" w:rsidR="001E500F" w:rsidRPr="009C5EFD" w:rsidRDefault="001E500F" w:rsidP="009C5EFD">
      <w:pPr>
        <w:rPr>
          <w:sz w:val="22"/>
          <w:szCs w:val="22"/>
        </w:rPr>
      </w:pPr>
    </w:p>
    <w:p w14:paraId="7A957D6B" w14:textId="77777777" w:rsidR="001E500F" w:rsidRPr="009C5EFD" w:rsidRDefault="00E453CD" w:rsidP="009C5EFD">
      <w:pPr>
        <w:rPr>
          <w:sz w:val="22"/>
          <w:szCs w:val="22"/>
        </w:rPr>
      </w:pPr>
      <w:r w:rsidRPr="009C5EFD">
        <w:rPr>
          <w:sz w:val="22"/>
          <w:szCs w:val="22"/>
        </w:rPr>
        <w:t>I kontrollerte fase 3 studier med Humira hos pasienter med plakkpsoriasis med en kontrollperiode varierende fra 12 til 24 uker, oppstod stigninger i ALAT ≥ 3</w:t>
      </w:r>
      <w:r w:rsidR="003B67F2" w:rsidRPr="009C5EFD">
        <w:rPr>
          <w:sz w:val="22"/>
          <w:szCs w:val="22"/>
        </w:rPr>
        <w:t> </w:t>
      </w:r>
      <w:r w:rsidRPr="009C5EFD">
        <w:rPr>
          <w:sz w:val="22"/>
          <w:szCs w:val="22"/>
        </w:rPr>
        <w:t>x ULN hos 1,8</w:t>
      </w:r>
      <w:r w:rsidR="00315F16" w:rsidRPr="009C5EFD">
        <w:rPr>
          <w:sz w:val="22"/>
          <w:szCs w:val="22"/>
        </w:rPr>
        <w:t> %</w:t>
      </w:r>
      <w:r w:rsidRPr="009C5EFD">
        <w:rPr>
          <w:sz w:val="22"/>
          <w:szCs w:val="22"/>
        </w:rPr>
        <w:t xml:space="preserve"> av pasientene behandlet med Humira og hos 1,8</w:t>
      </w:r>
      <w:r w:rsidR="00315F16" w:rsidRPr="009C5EFD">
        <w:rPr>
          <w:sz w:val="22"/>
          <w:szCs w:val="22"/>
        </w:rPr>
        <w:t> %</w:t>
      </w:r>
      <w:r w:rsidRPr="009C5EFD">
        <w:rPr>
          <w:sz w:val="22"/>
          <w:szCs w:val="22"/>
        </w:rPr>
        <w:t xml:space="preserve"> av pasientene i kontrollgruppen. </w:t>
      </w:r>
    </w:p>
    <w:p w14:paraId="53F95BE5" w14:textId="77777777" w:rsidR="001E500F" w:rsidRPr="009C5EFD" w:rsidRDefault="001E500F" w:rsidP="009C5EFD">
      <w:pPr>
        <w:rPr>
          <w:sz w:val="22"/>
          <w:szCs w:val="22"/>
        </w:rPr>
      </w:pPr>
    </w:p>
    <w:p w14:paraId="20473AEF" w14:textId="77777777" w:rsidR="001E500F" w:rsidRPr="009C5EFD" w:rsidRDefault="00E453CD" w:rsidP="009C5EFD">
      <w:pPr>
        <w:rPr>
          <w:sz w:val="22"/>
          <w:szCs w:val="22"/>
        </w:rPr>
      </w:pPr>
      <w:r w:rsidRPr="009C5EFD">
        <w:rPr>
          <w:sz w:val="22"/>
          <w:szCs w:val="22"/>
        </w:rPr>
        <w:t>Ingen stigninger i ALAT ≥</w:t>
      </w:r>
      <w:r w:rsidR="003B67F2" w:rsidRPr="009C5EFD">
        <w:rPr>
          <w:sz w:val="22"/>
          <w:szCs w:val="22"/>
        </w:rPr>
        <w:t> </w:t>
      </w:r>
      <w:r w:rsidRPr="009C5EFD">
        <w:rPr>
          <w:sz w:val="22"/>
          <w:szCs w:val="22"/>
        </w:rPr>
        <w:t>3</w:t>
      </w:r>
      <w:r w:rsidR="003B67F2" w:rsidRPr="009C5EFD">
        <w:rPr>
          <w:sz w:val="22"/>
          <w:szCs w:val="22"/>
        </w:rPr>
        <w:t> </w:t>
      </w:r>
      <w:r w:rsidRPr="009C5EFD">
        <w:rPr>
          <w:sz w:val="22"/>
          <w:szCs w:val="22"/>
        </w:rPr>
        <w:t>x ULN ble sett i fase 3 studier med Humira hos pediatriske pasienter med plakkpsoriasis.</w:t>
      </w:r>
    </w:p>
    <w:p w14:paraId="67AC9506" w14:textId="77777777" w:rsidR="001E500F" w:rsidRPr="009C5EFD" w:rsidRDefault="001E500F" w:rsidP="009C5EFD">
      <w:pPr>
        <w:rPr>
          <w:sz w:val="22"/>
          <w:szCs w:val="22"/>
        </w:rPr>
      </w:pPr>
    </w:p>
    <w:p w14:paraId="62DDFBD7" w14:textId="77777777" w:rsidR="00EA5F8E" w:rsidRDefault="00E453CD" w:rsidP="009C5EFD">
      <w:pPr>
        <w:rPr>
          <w:sz w:val="22"/>
          <w:szCs w:val="22"/>
        </w:rPr>
      </w:pPr>
      <w:r w:rsidRPr="009C5EFD">
        <w:rPr>
          <w:sz w:val="22"/>
          <w:szCs w:val="22"/>
        </w:rPr>
        <w:t xml:space="preserve">I kontrollerte studier med Humira (startdoser på 160 mg ved uke 0 og 80 mg ved uke 2, etterfulgt av 40 mg hver uke </w:t>
      </w:r>
      <w:r w:rsidR="00EE0275">
        <w:rPr>
          <w:sz w:val="22"/>
          <w:szCs w:val="22"/>
        </w:rPr>
        <w:t>fra</w:t>
      </w:r>
      <w:r w:rsidRPr="009C5EFD">
        <w:rPr>
          <w:sz w:val="22"/>
          <w:szCs w:val="22"/>
        </w:rPr>
        <w:t xml:space="preserve"> uke 4) hos pasienter med </w:t>
      </w:r>
      <w:r w:rsidR="007F67EE" w:rsidRPr="009C5EFD">
        <w:rPr>
          <w:sz w:val="22"/>
          <w:szCs w:val="22"/>
        </w:rPr>
        <w:t>hidrosadenitt</w:t>
      </w:r>
      <w:r w:rsidRPr="009C5EFD">
        <w:rPr>
          <w:sz w:val="22"/>
          <w:szCs w:val="22"/>
        </w:rPr>
        <w:t xml:space="preserve"> med en kontrollperiode </w:t>
      </w:r>
      <w:r w:rsidR="000B26D9">
        <w:rPr>
          <w:sz w:val="22"/>
          <w:szCs w:val="22"/>
        </w:rPr>
        <w:t>mellom</w:t>
      </w:r>
      <w:r w:rsidRPr="009C5EFD">
        <w:rPr>
          <w:sz w:val="22"/>
          <w:szCs w:val="22"/>
        </w:rPr>
        <w:t xml:space="preserve"> 12 til 16 uker, oppstod stigninger i ALAT ≥ 3 x ULN hos 0,3 % av pasientene behandlet med Humira og hos 0,6 % av pasientene i kontrollgruppen.</w:t>
      </w:r>
    </w:p>
    <w:p w14:paraId="79136030" w14:textId="77777777" w:rsidR="00C63D9A" w:rsidRDefault="00C63D9A" w:rsidP="009C5EFD">
      <w:pPr>
        <w:rPr>
          <w:sz w:val="22"/>
          <w:szCs w:val="22"/>
        </w:rPr>
      </w:pPr>
    </w:p>
    <w:p w14:paraId="775DFFA7" w14:textId="77777777" w:rsidR="00C63D9A" w:rsidRPr="009C5EFD" w:rsidRDefault="00E453CD" w:rsidP="009C5EFD">
      <w:pPr>
        <w:rPr>
          <w:sz w:val="22"/>
          <w:szCs w:val="22"/>
        </w:rPr>
      </w:pPr>
      <w:r w:rsidRPr="009C5EFD">
        <w:rPr>
          <w:sz w:val="22"/>
          <w:szCs w:val="22"/>
        </w:rPr>
        <w:t xml:space="preserve">I kontrollerte studier med Humira (startdoser på </w:t>
      </w:r>
      <w:r>
        <w:rPr>
          <w:sz w:val="22"/>
          <w:szCs w:val="22"/>
        </w:rPr>
        <w:t>8</w:t>
      </w:r>
      <w:r w:rsidRPr="009C5EFD">
        <w:rPr>
          <w:sz w:val="22"/>
          <w:szCs w:val="22"/>
        </w:rPr>
        <w:t xml:space="preserve">0 mg ved uke 0 </w:t>
      </w:r>
      <w:r>
        <w:rPr>
          <w:sz w:val="22"/>
          <w:szCs w:val="22"/>
        </w:rPr>
        <w:t>etterfulgt av</w:t>
      </w:r>
      <w:r w:rsidRPr="009C5EFD">
        <w:rPr>
          <w:sz w:val="22"/>
          <w:szCs w:val="22"/>
        </w:rPr>
        <w:t xml:space="preserve"> </w:t>
      </w:r>
      <w:r>
        <w:rPr>
          <w:sz w:val="22"/>
          <w:szCs w:val="22"/>
        </w:rPr>
        <w:t>4</w:t>
      </w:r>
      <w:r w:rsidRPr="009C5EFD">
        <w:rPr>
          <w:sz w:val="22"/>
          <w:szCs w:val="22"/>
        </w:rPr>
        <w:t xml:space="preserve">0 mg </w:t>
      </w:r>
      <w:r>
        <w:rPr>
          <w:sz w:val="22"/>
          <w:szCs w:val="22"/>
        </w:rPr>
        <w:t>annenhver</w:t>
      </w:r>
      <w:r w:rsidRPr="009C5EFD">
        <w:rPr>
          <w:sz w:val="22"/>
          <w:szCs w:val="22"/>
        </w:rPr>
        <w:t xml:space="preserve"> uke </w:t>
      </w:r>
      <w:r>
        <w:rPr>
          <w:sz w:val="22"/>
          <w:szCs w:val="22"/>
        </w:rPr>
        <w:t>fra og med uke 1</w:t>
      </w:r>
      <w:r w:rsidRPr="009C5EFD">
        <w:rPr>
          <w:sz w:val="22"/>
          <w:szCs w:val="22"/>
        </w:rPr>
        <w:t>) hos</w:t>
      </w:r>
      <w:r w:rsidR="00766BE3">
        <w:rPr>
          <w:sz w:val="22"/>
          <w:szCs w:val="22"/>
        </w:rPr>
        <w:t xml:space="preserve"> voksne</w:t>
      </w:r>
      <w:r w:rsidRPr="009C5EFD">
        <w:rPr>
          <w:sz w:val="22"/>
          <w:szCs w:val="22"/>
        </w:rPr>
        <w:t xml:space="preserve"> pasienter med </w:t>
      </w:r>
      <w:r>
        <w:rPr>
          <w:sz w:val="22"/>
          <w:szCs w:val="22"/>
        </w:rPr>
        <w:t>uveitt opptil 80 uker</w:t>
      </w:r>
      <w:r w:rsidR="00D3125E">
        <w:rPr>
          <w:sz w:val="22"/>
          <w:szCs w:val="22"/>
        </w:rPr>
        <w:t>,</w:t>
      </w:r>
      <w:r>
        <w:rPr>
          <w:sz w:val="22"/>
          <w:szCs w:val="22"/>
        </w:rPr>
        <w:t xml:space="preserve"> med en median eksponering på henholdsvis 166,5 dager og 105,0 dager hos pasienter behandlet med Humira og </w:t>
      </w:r>
      <w:r w:rsidR="00B873CB">
        <w:rPr>
          <w:sz w:val="22"/>
          <w:szCs w:val="22"/>
        </w:rPr>
        <w:t xml:space="preserve">pasientene </w:t>
      </w:r>
      <w:r>
        <w:rPr>
          <w:sz w:val="22"/>
          <w:szCs w:val="22"/>
        </w:rPr>
        <w:t>i kontrollgruppen</w:t>
      </w:r>
      <w:r w:rsidRPr="009C5EFD">
        <w:rPr>
          <w:sz w:val="22"/>
          <w:szCs w:val="22"/>
        </w:rPr>
        <w:t xml:space="preserve">, oppstod stigninger i ALAT ≥ 3 x ULN hos </w:t>
      </w:r>
      <w:r>
        <w:rPr>
          <w:sz w:val="22"/>
          <w:szCs w:val="22"/>
        </w:rPr>
        <w:t>2,4</w:t>
      </w:r>
      <w:r w:rsidRPr="009C5EFD">
        <w:rPr>
          <w:sz w:val="22"/>
          <w:szCs w:val="22"/>
        </w:rPr>
        <w:t xml:space="preserve"> % av pasientene behandlet med Humira og hos </w:t>
      </w:r>
      <w:r>
        <w:rPr>
          <w:sz w:val="22"/>
          <w:szCs w:val="22"/>
        </w:rPr>
        <w:t>2,4</w:t>
      </w:r>
      <w:r w:rsidRPr="009C5EFD">
        <w:rPr>
          <w:sz w:val="22"/>
          <w:szCs w:val="22"/>
        </w:rPr>
        <w:t xml:space="preserve"> % av pasientene i kontrollgruppen.</w:t>
      </w:r>
    </w:p>
    <w:p w14:paraId="6C25B15C" w14:textId="77777777" w:rsidR="00EA5F8E" w:rsidRDefault="00EA5F8E" w:rsidP="009C5EFD">
      <w:pPr>
        <w:suppressAutoHyphens/>
        <w:rPr>
          <w:sz w:val="22"/>
          <w:szCs w:val="22"/>
        </w:rPr>
      </w:pPr>
    </w:p>
    <w:p w14:paraId="7D1214D3" w14:textId="77777777" w:rsidR="00634DDF" w:rsidRPr="00E04B2A" w:rsidRDefault="00E453CD" w:rsidP="00634DDF">
      <w:pPr>
        <w:rPr>
          <w:sz w:val="22"/>
        </w:rPr>
      </w:pPr>
      <w:r w:rsidRPr="00E04B2A">
        <w:rPr>
          <w:rStyle w:val="normaltextrun"/>
          <w:sz w:val="22"/>
          <w:shd w:val="clear" w:color="auto" w:fill="FFFFFF"/>
        </w:rPr>
        <w:t>I den kontrollerte fase 3</w:t>
      </w:r>
      <w:r w:rsidR="00BA7F2F">
        <w:rPr>
          <w:rStyle w:val="normaltextrun"/>
          <w:sz w:val="22"/>
          <w:shd w:val="clear" w:color="auto" w:fill="FFFFFF"/>
        </w:rPr>
        <w:t xml:space="preserve"> </w:t>
      </w:r>
      <w:r w:rsidRPr="00E04B2A">
        <w:rPr>
          <w:rStyle w:val="normaltextrun"/>
          <w:sz w:val="22"/>
          <w:shd w:val="clear" w:color="auto" w:fill="FFFFFF"/>
        </w:rPr>
        <w:t xml:space="preserve">studien </w:t>
      </w:r>
      <w:r w:rsidR="0040659B">
        <w:rPr>
          <w:rStyle w:val="normaltextrun"/>
          <w:sz w:val="22"/>
          <w:shd w:val="clear" w:color="auto" w:fill="FFFFFF"/>
        </w:rPr>
        <w:t>med</w:t>
      </w:r>
      <w:r w:rsidRPr="00E04B2A">
        <w:rPr>
          <w:rStyle w:val="normaltextrun"/>
          <w:sz w:val="22"/>
          <w:shd w:val="clear" w:color="auto" w:fill="FFFFFF"/>
        </w:rPr>
        <w:t xml:space="preserve"> Humira hos pasienter med pediatrisk ulcerøs kolitt (N = 93) som </w:t>
      </w:r>
      <w:r w:rsidR="006B250F">
        <w:rPr>
          <w:rStyle w:val="normaltextrun"/>
          <w:sz w:val="22"/>
          <w:shd w:val="clear" w:color="auto" w:fill="FFFFFF"/>
        </w:rPr>
        <w:t>vurderte</w:t>
      </w:r>
      <w:r w:rsidRPr="00E04B2A">
        <w:rPr>
          <w:rStyle w:val="normaltextrun"/>
          <w:sz w:val="22"/>
          <w:shd w:val="clear" w:color="auto" w:fill="FFFFFF"/>
        </w:rPr>
        <w:t xml:space="preserve"> effekt og sikkerhet av en vedlikeholdsdose på 0,6</w:t>
      </w:r>
      <w:r w:rsidR="00292A80">
        <w:rPr>
          <w:rStyle w:val="normaltextrun"/>
          <w:sz w:val="22"/>
          <w:shd w:val="clear" w:color="auto" w:fill="FFFFFF"/>
        </w:rPr>
        <w:t> </w:t>
      </w:r>
      <w:r w:rsidRPr="00E04B2A">
        <w:rPr>
          <w:rStyle w:val="normaltextrun"/>
          <w:sz w:val="22"/>
          <w:shd w:val="clear" w:color="auto" w:fill="FFFFFF"/>
        </w:rPr>
        <w:t>mg/kg (maksimalt 40</w:t>
      </w:r>
      <w:r w:rsidR="00292A80">
        <w:rPr>
          <w:rStyle w:val="normaltextrun"/>
          <w:sz w:val="22"/>
          <w:shd w:val="clear" w:color="auto" w:fill="FFFFFF"/>
        </w:rPr>
        <w:t> </w:t>
      </w:r>
      <w:r w:rsidRPr="00E04B2A">
        <w:rPr>
          <w:rStyle w:val="normaltextrun"/>
          <w:sz w:val="22"/>
          <w:shd w:val="clear" w:color="auto" w:fill="FFFFFF"/>
        </w:rPr>
        <w:t>mg) annenhver uke (N = 31) og en vedlikeholdsdose på 0,6</w:t>
      </w:r>
      <w:r w:rsidR="00292A80">
        <w:rPr>
          <w:rStyle w:val="normaltextrun"/>
          <w:sz w:val="22"/>
          <w:shd w:val="clear" w:color="auto" w:fill="FFFFFF"/>
        </w:rPr>
        <w:t> </w:t>
      </w:r>
      <w:r w:rsidRPr="00E04B2A">
        <w:rPr>
          <w:rStyle w:val="normaltextrun"/>
          <w:sz w:val="22"/>
          <w:shd w:val="clear" w:color="auto" w:fill="FFFFFF"/>
        </w:rPr>
        <w:t>mg/kg (maksim</w:t>
      </w:r>
      <w:r w:rsidR="007A582F">
        <w:rPr>
          <w:rStyle w:val="normaltextrun"/>
          <w:sz w:val="22"/>
          <w:shd w:val="clear" w:color="auto" w:fill="FFFFFF"/>
        </w:rPr>
        <w:t>alt</w:t>
      </w:r>
      <w:r w:rsidRPr="00E04B2A">
        <w:rPr>
          <w:rStyle w:val="normaltextrun"/>
          <w:sz w:val="22"/>
          <w:shd w:val="clear" w:color="auto" w:fill="FFFFFF"/>
        </w:rPr>
        <w:t xml:space="preserve"> 40</w:t>
      </w:r>
      <w:r w:rsidR="00292A80">
        <w:rPr>
          <w:rStyle w:val="normaltextrun"/>
          <w:sz w:val="22"/>
          <w:shd w:val="clear" w:color="auto" w:fill="FFFFFF"/>
        </w:rPr>
        <w:t> </w:t>
      </w:r>
      <w:r w:rsidRPr="00E04B2A">
        <w:rPr>
          <w:rStyle w:val="normaltextrun"/>
          <w:sz w:val="22"/>
          <w:shd w:val="clear" w:color="auto" w:fill="FFFFFF"/>
        </w:rPr>
        <w:t>mg) hver uke (N = 32), etter kroppsvektjustert induksjonsdose på 2,4</w:t>
      </w:r>
      <w:r w:rsidR="00292A80">
        <w:rPr>
          <w:rStyle w:val="normaltextrun"/>
          <w:sz w:val="22"/>
          <w:shd w:val="clear" w:color="auto" w:fill="FFFFFF"/>
        </w:rPr>
        <w:t> </w:t>
      </w:r>
      <w:r w:rsidRPr="00E04B2A">
        <w:rPr>
          <w:rStyle w:val="normaltextrun"/>
          <w:sz w:val="22"/>
          <w:shd w:val="clear" w:color="auto" w:fill="FFFFFF"/>
        </w:rPr>
        <w:t>mg/kg (maksim</w:t>
      </w:r>
      <w:r w:rsidR="007A582F">
        <w:rPr>
          <w:rStyle w:val="normaltextrun"/>
          <w:sz w:val="22"/>
          <w:shd w:val="clear" w:color="auto" w:fill="FFFFFF"/>
        </w:rPr>
        <w:t>alt</w:t>
      </w:r>
      <w:r w:rsidRPr="00E04B2A">
        <w:rPr>
          <w:rStyle w:val="normaltextrun"/>
          <w:sz w:val="22"/>
          <w:shd w:val="clear" w:color="auto" w:fill="FFFFFF"/>
        </w:rPr>
        <w:t xml:space="preserve"> 160</w:t>
      </w:r>
      <w:r w:rsidR="00292A80">
        <w:rPr>
          <w:rStyle w:val="normaltextrun"/>
          <w:sz w:val="22"/>
          <w:shd w:val="clear" w:color="auto" w:fill="FFFFFF"/>
        </w:rPr>
        <w:t> </w:t>
      </w:r>
      <w:r w:rsidRPr="00E04B2A">
        <w:rPr>
          <w:rStyle w:val="normaltextrun"/>
          <w:sz w:val="22"/>
          <w:shd w:val="clear" w:color="auto" w:fill="FFFFFF"/>
        </w:rPr>
        <w:t>mg) i uke 0 og uke 1 og 1,2 mg/kg (maksimalt 80</w:t>
      </w:r>
      <w:r w:rsidR="00292A80">
        <w:rPr>
          <w:rStyle w:val="normaltextrun"/>
          <w:sz w:val="22"/>
          <w:shd w:val="clear" w:color="auto" w:fill="FFFFFF"/>
        </w:rPr>
        <w:t> </w:t>
      </w:r>
      <w:r w:rsidRPr="00E04B2A">
        <w:rPr>
          <w:rStyle w:val="normaltextrun"/>
          <w:sz w:val="22"/>
          <w:shd w:val="clear" w:color="auto" w:fill="FFFFFF"/>
        </w:rPr>
        <w:t>mg) i uke 2 (N = 63), eller en induksjonsdose på 2,4</w:t>
      </w:r>
      <w:r w:rsidR="00292A80">
        <w:rPr>
          <w:rStyle w:val="normaltextrun"/>
          <w:sz w:val="22"/>
          <w:shd w:val="clear" w:color="auto" w:fill="FFFFFF"/>
        </w:rPr>
        <w:t> </w:t>
      </w:r>
      <w:r w:rsidRPr="00E04B2A">
        <w:rPr>
          <w:rStyle w:val="normaltextrun"/>
          <w:sz w:val="22"/>
          <w:shd w:val="clear" w:color="auto" w:fill="FFFFFF"/>
        </w:rPr>
        <w:t>mg/kg (maksim</w:t>
      </w:r>
      <w:r w:rsidR="0056527F">
        <w:rPr>
          <w:rStyle w:val="normaltextrun"/>
          <w:sz w:val="22"/>
          <w:shd w:val="clear" w:color="auto" w:fill="FFFFFF"/>
        </w:rPr>
        <w:t>alt</w:t>
      </w:r>
      <w:r w:rsidRPr="00E04B2A">
        <w:rPr>
          <w:rStyle w:val="normaltextrun"/>
          <w:sz w:val="22"/>
          <w:shd w:val="clear" w:color="auto" w:fill="FFFFFF"/>
        </w:rPr>
        <w:t xml:space="preserve"> 160</w:t>
      </w:r>
      <w:r w:rsidR="00292A80">
        <w:rPr>
          <w:rStyle w:val="normaltextrun"/>
          <w:sz w:val="22"/>
          <w:shd w:val="clear" w:color="auto" w:fill="FFFFFF"/>
        </w:rPr>
        <w:t> </w:t>
      </w:r>
      <w:r w:rsidRPr="00E04B2A">
        <w:rPr>
          <w:rStyle w:val="normaltextrun"/>
          <w:sz w:val="22"/>
          <w:shd w:val="clear" w:color="auto" w:fill="FFFFFF"/>
        </w:rPr>
        <w:t>mg) i uke 0, placebo i uke 1 og 1,2</w:t>
      </w:r>
      <w:r w:rsidR="00292A80">
        <w:rPr>
          <w:rStyle w:val="normaltextrun"/>
          <w:sz w:val="22"/>
          <w:shd w:val="clear" w:color="auto" w:fill="FFFFFF"/>
        </w:rPr>
        <w:t> </w:t>
      </w:r>
      <w:r w:rsidRPr="00E04B2A">
        <w:rPr>
          <w:rStyle w:val="normaltextrun"/>
          <w:sz w:val="22"/>
          <w:shd w:val="clear" w:color="auto" w:fill="FFFFFF"/>
        </w:rPr>
        <w:t>mg/kg (maksim</w:t>
      </w:r>
      <w:r w:rsidR="007A582F">
        <w:rPr>
          <w:rStyle w:val="normaltextrun"/>
          <w:sz w:val="22"/>
          <w:shd w:val="clear" w:color="auto" w:fill="FFFFFF"/>
        </w:rPr>
        <w:t>alt</w:t>
      </w:r>
      <w:r w:rsidRPr="00E04B2A">
        <w:rPr>
          <w:rStyle w:val="normaltextrun"/>
          <w:sz w:val="22"/>
          <w:shd w:val="clear" w:color="auto" w:fill="FFFFFF"/>
        </w:rPr>
        <w:t xml:space="preserve"> 80</w:t>
      </w:r>
      <w:r w:rsidR="00292A80">
        <w:rPr>
          <w:rStyle w:val="normaltextrun"/>
          <w:sz w:val="22"/>
          <w:shd w:val="clear" w:color="auto" w:fill="FFFFFF"/>
        </w:rPr>
        <w:t> </w:t>
      </w:r>
      <w:r w:rsidRPr="00E04B2A">
        <w:rPr>
          <w:rStyle w:val="normaltextrun"/>
          <w:sz w:val="22"/>
          <w:shd w:val="clear" w:color="auto" w:fill="FFFFFF"/>
        </w:rPr>
        <w:t xml:space="preserve">mg) </w:t>
      </w:r>
      <w:r w:rsidR="00BA7F2F">
        <w:rPr>
          <w:rStyle w:val="normaltextrun"/>
          <w:sz w:val="22"/>
          <w:shd w:val="clear" w:color="auto" w:fill="FFFFFF"/>
        </w:rPr>
        <w:t>i</w:t>
      </w:r>
      <w:r w:rsidRPr="00E04B2A">
        <w:rPr>
          <w:rStyle w:val="normaltextrun"/>
          <w:sz w:val="22"/>
          <w:shd w:val="clear" w:color="auto" w:fill="FFFFFF"/>
        </w:rPr>
        <w:t xml:space="preserve"> uke 2 (N = 30), </w:t>
      </w:r>
      <w:r w:rsidR="00BA7F2F">
        <w:rPr>
          <w:rStyle w:val="normaltextrun"/>
          <w:sz w:val="22"/>
          <w:shd w:val="clear" w:color="auto" w:fill="FFFFFF"/>
        </w:rPr>
        <w:t>oppstod</w:t>
      </w:r>
      <w:r w:rsidRPr="00E04B2A">
        <w:rPr>
          <w:rStyle w:val="normaltextrun"/>
          <w:sz w:val="22"/>
          <w:shd w:val="clear" w:color="auto" w:fill="FFFFFF"/>
        </w:rPr>
        <w:t xml:space="preserve"> </w:t>
      </w:r>
      <w:r w:rsidR="007A582F">
        <w:rPr>
          <w:rStyle w:val="normaltextrun"/>
          <w:sz w:val="22"/>
          <w:shd w:val="clear" w:color="auto" w:fill="FFFFFF"/>
        </w:rPr>
        <w:t xml:space="preserve">stigninger i </w:t>
      </w:r>
      <w:r w:rsidRPr="00E04B2A">
        <w:rPr>
          <w:rStyle w:val="normaltextrun"/>
          <w:sz w:val="22"/>
          <w:shd w:val="clear" w:color="auto" w:fill="FFFFFF"/>
        </w:rPr>
        <w:t>ALAT ≥</w:t>
      </w:r>
      <w:r w:rsidR="00292A80">
        <w:rPr>
          <w:rStyle w:val="normaltextrun"/>
          <w:sz w:val="22"/>
          <w:shd w:val="clear" w:color="auto" w:fill="FFFFFF"/>
        </w:rPr>
        <w:t> </w:t>
      </w:r>
      <w:r w:rsidRPr="00E04B2A">
        <w:rPr>
          <w:rStyle w:val="normaltextrun"/>
          <w:sz w:val="22"/>
          <w:shd w:val="clear" w:color="auto" w:fill="FFFFFF"/>
        </w:rPr>
        <w:t>3</w:t>
      </w:r>
      <w:r w:rsidR="00292A80">
        <w:rPr>
          <w:rStyle w:val="normaltextrun"/>
          <w:sz w:val="22"/>
          <w:shd w:val="clear" w:color="auto" w:fill="FFFFFF"/>
        </w:rPr>
        <w:t> </w:t>
      </w:r>
      <w:r w:rsidR="007A582F">
        <w:rPr>
          <w:rStyle w:val="normaltextrun"/>
          <w:sz w:val="22"/>
          <w:shd w:val="clear" w:color="auto" w:fill="FFFFFF"/>
        </w:rPr>
        <w:t>x</w:t>
      </w:r>
      <w:r w:rsidR="00292A80">
        <w:rPr>
          <w:rStyle w:val="normaltextrun"/>
          <w:sz w:val="22"/>
          <w:shd w:val="clear" w:color="auto" w:fill="FFFFFF"/>
        </w:rPr>
        <w:t> </w:t>
      </w:r>
      <w:r w:rsidRPr="00E04B2A">
        <w:rPr>
          <w:rStyle w:val="normaltextrun"/>
          <w:sz w:val="22"/>
          <w:shd w:val="clear" w:color="auto" w:fill="FFFFFF"/>
        </w:rPr>
        <w:t>ULN hos 1,1 % (1/93) av pasientene.</w:t>
      </w:r>
    </w:p>
    <w:p w14:paraId="39B5CCFA" w14:textId="77777777" w:rsidR="00634DDF" w:rsidRPr="009C5EFD" w:rsidRDefault="00634DDF" w:rsidP="009C5EFD">
      <w:pPr>
        <w:suppressAutoHyphens/>
        <w:rPr>
          <w:sz w:val="22"/>
          <w:szCs w:val="22"/>
        </w:rPr>
      </w:pPr>
    </w:p>
    <w:p w14:paraId="0E856312" w14:textId="77777777" w:rsidR="001E500F" w:rsidRPr="009C5EFD" w:rsidRDefault="00E453CD" w:rsidP="009C5EFD">
      <w:pPr>
        <w:suppressAutoHyphens/>
        <w:rPr>
          <w:sz w:val="22"/>
          <w:szCs w:val="22"/>
        </w:rPr>
      </w:pPr>
      <w:r w:rsidRPr="009C5EFD">
        <w:rPr>
          <w:sz w:val="22"/>
          <w:szCs w:val="22"/>
        </w:rPr>
        <w:t>På tvers av alle indikasjoner i kliniske studier var pasienter med stigning i ALAT asymptomatiske, og i de fleste tilfeller var stigningene forbigående ved fortsatt behandling. Imidlertid har det også etter markedsføring vært rapportert leversvikt samt mindre alvorlige leversykdommer som kan oppstå før leversvikt, for eksempel hepatitt inkludert autoimmun hepatitt hos pasienter som får adalimumab.</w:t>
      </w:r>
    </w:p>
    <w:p w14:paraId="2E36719F" w14:textId="77777777" w:rsidR="001E500F" w:rsidRPr="009C5EFD" w:rsidRDefault="001E500F" w:rsidP="009C5EFD">
      <w:pPr>
        <w:suppressAutoHyphens/>
        <w:rPr>
          <w:sz w:val="22"/>
          <w:szCs w:val="22"/>
        </w:rPr>
      </w:pPr>
    </w:p>
    <w:p w14:paraId="79B1B08F" w14:textId="77777777" w:rsidR="001E500F" w:rsidRPr="009C5EFD" w:rsidRDefault="00E453CD" w:rsidP="00776A84">
      <w:pPr>
        <w:keepNext/>
        <w:rPr>
          <w:sz w:val="22"/>
          <w:szCs w:val="22"/>
          <w:u w:val="single"/>
        </w:rPr>
      </w:pPr>
      <w:r w:rsidRPr="009C5EFD">
        <w:rPr>
          <w:sz w:val="22"/>
          <w:szCs w:val="22"/>
          <w:u w:val="single"/>
        </w:rPr>
        <w:t>Samtidig behandling med azatioprin/6-merkaptopurin</w:t>
      </w:r>
    </w:p>
    <w:p w14:paraId="30CF48F3" w14:textId="77777777" w:rsidR="001E500F" w:rsidRPr="009C5EFD" w:rsidRDefault="001E500F" w:rsidP="00776A84">
      <w:pPr>
        <w:keepNext/>
        <w:rPr>
          <w:sz w:val="22"/>
          <w:szCs w:val="22"/>
        </w:rPr>
      </w:pPr>
    </w:p>
    <w:p w14:paraId="1B2E5471" w14:textId="77777777" w:rsidR="001E500F" w:rsidRPr="009C5EFD" w:rsidRDefault="00E453CD" w:rsidP="009C5EFD">
      <w:pPr>
        <w:rPr>
          <w:sz w:val="22"/>
          <w:szCs w:val="22"/>
        </w:rPr>
      </w:pPr>
      <w:r w:rsidRPr="009C5EFD">
        <w:rPr>
          <w:sz w:val="22"/>
          <w:szCs w:val="22"/>
        </w:rPr>
        <w:t>I studier med Crohns sykdom hos voksne var forekomsten av maligne og alvorlige infeksjonsrelaterte bivirkninger høyere ved kombinasjon av Humira og azatioprin/6-merkaptopurin, sammenlignet med Humira alene.</w:t>
      </w:r>
    </w:p>
    <w:p w14:paraId="5B6A3570" w14:textId="77777777" w:rsidR="001E500F" w:rsidRPr="009C5EFD" w:rsidRDefault="001E500F" w:rsidP="009C5EFD">
      <w:pPr>
        <w:rPr>
          <w:sz w:val="22"/>
          <w:szCs w:val="22"/>
        </w:rPr>
      </w:pPr>
    </w:p>
    <w:p w14:paraId="1490E0FB" w14:textId="77777777" w:rsidR="001E500F" w:rsidRDefault="00E453CD" w:rsidP="00776A84">
      <w:pPr>
        <w:keepNext/>
        <w:rPr>
          <w:sz w:val="22"/>
          <w:u w:val="single"/>
        </w:rPr>
      </w:pPr>
      <w:r w:rsidRPr="00EE4677">
        <w:rPr>
          <w:sz w:val="22"/>
          <w:u w:val="single"/>
        </w:rPr>
        <w:t>Melding av mistenkte bivirkninger</w:t>
      </w:r>
    </w:p>
    <w:p w14:paraId="1513C81D" w14:textId="77777777" w:rsidR="00EC0A94" w:rsidRPr="00460BE1" w:rsidRDefault="00EC0A94" w:rsidP="00776A84">
      <w:pPr>
        <w:keepNext/>
        <w:rPr>
          <w:sz w:val="22"/>
          <w:szCs w:val="22"/>
          <w:u w:val="single"/>
        </w:rPr>
      </w:pPr>
    </w:p>
    <w:p w14:paraId="32F0CC97" w14:textId="77777777" w:rsidR="001E500F" w:rsidRPr="007F67EE" w:rsidRDefault="00E453CD" w:rsidP="009C5EFD">
      <w:pPr>
        <w:rPr>
          <w:sz w:val="22"/>
          <w:szCs w:val="22"/>
        </w:rPr>
      </w:pPr>
      <w:r w:rsidRPr="009C5EFD">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5669CC">
        <w:rPr>
          <w:noProof/>
          <w:sz w:val="22"/>
          <w:szCs w:val="22"/>
          <w:highlight w:val="lightGray"/>
        </w:rPr>
        <w:t>det nasjonale meldesystemet som beskrevet i</w:t>
      </w:r>
      <w:r w:rsidRPr="005669CC">
        <w:rPr>
          <w:sz w:val="22"/>
          <w:szCs w:val="22"/>
          <w:highlight w:val="lightGray"/>
        </w:rPr>
        <w:t xml:space="preserve"> </w:t>
      </w:r>
      <w:hyperlink r:id="rId24" w:history="1">
        <w:r w:rsidR="001E500F" w:rsidRPr="005669CC">
          <w:rPr>
            <w:rStyle w:val="Hyperlink"/>
            <w:sz w:val="22"/>
            <w:szCs w:val="22"/>
            <w:highlight w:val="lightGray"/>
          </w:rPr>
          <w:t>Appendix V</w:t>
        </w:r>
      </w:hyperlink>
      <w:r w:rsidRPr="005669CC">
        <w:rPr>
          <w:sz w:val="22"/>
          <w:szCs w:val="22"/>
          <w:highlight w:val="lightGray"/>
        </w:rPr>
        <w:t>.</w:t>
      </w:r>
    </w:p>
    <w:p w14:paraId="5AE57E57" w14:textId="77777777" w:rsidR="001E500F" w:rsidRPr="00193D76" w:rsidRDefault="001E500F" w:rsidP="009C5EFD">
      <w:pPr>
        <w:suppressAutoHyphens/>
        <w:rPr>
          <w:sz w:val="22"/>
          <w:szCs w:val="22"/>
        </w:rPr>
      </w:pPr>
    </w:p>
    <w:p w14:paraId="312CC65E" w14:textId="77777777" w:rsidR="001E500F" w:rsidRPr="00C07C98" w:rsidRDefault="00E453CD" w:rsidP="00602A37">
      <w:pPr>
        <w:keepNext/>
        <w:suppressAutoHyphens/>
        <w:ind w:left="576" w:hanging="576"/>
        <w:rPr>
          <w:sz w:val="22"/>
          <w:szCs w:val="22"/>
        </w:rPr>
      </w:pPr>
      <w:r w:rsidRPr="002D0790">
        <w:rPr>
          <w:b/>
          <w:sz w:val="22"/>
          <w:szCs w:val="22"/>
        </w:rPr>
        <w:lastRenderedPageBreak/>
        <w:t>4.9</w:t>
      </w:r>
      <w:r w:rsidRPr="002D0790">
        <w:rPr>
          <w:b/>
          <w:sz w:val="22"/>
          <w:szCs w:val="22"/>
        </w:rPr>
        <w:tab/>
        <w:t>Overdosering</w:t>
      </w:r>
    </w:p>
    <w:p w14:paraId="1DC2DA2B" w14:textId="77777777" w:rsidR="001E500F" w:rsidRPr="00E14E58" w:rsidRDefault="001E500F" w:rsidP="009C5EFD">
      <w:pPr>
        <w:keepNext/>
        <w:rPr>
          <w:sz w:val="22"/>
          <w:szCs w:val="22"/>
        </w:rPr>
      </w:pPr>
    </w:p>
    <w:p w14:paraId="57386B2D" w14:textId="77777777" w:rsidR="001E500F" w:rsidRPr="009C5EFD" w:rsidRDefault="00E453CD" w:rsidP="00776A84">
      <w:pPr>
        <w:rPr>
          <w:sz w:val="22"/>
          <w:szCs w:val="22"/>
        </w:rPr>
      </w:pPr>
      <w:r w:rsidRPr="009C5EFD">
        <w:rPr>
          <w:sz w:val="22"/>
          <w:szCs w:val="22"/>
        </w:rPr>
        <w:t>Det ble ikke observert dosebegrensende toksisitet under kliniske utprøvninger. Høyeste doseringsnivå som har vært undersøkt er multiple intravenøse doser på 10</w:t>
      </w:r>
      <w:r w:rsidR="00E55E5D" w:rsidRPr="009C5EFD">
        <w:rPr>
          <w:sz w:val="22"/>
          <w:szCs w:val="22"/>
        </w:rPr>
        <w:t> mg</w:t>
      </w:r>
      <w:r w:rsidRPr="009C5EFD">
        <w:rPr>
          <w:sz w:val="22"/>
          <w:szCs w:val="22"/>
        </w:rPr>
        <w:t>/kg som er ca. 15</w:t>
      </w:r>
      <w:r w:rsidR="00081756" w:rsidRPr="009C5EFD">
        <w:rPr>
          <w:sz w:val="22"/>
          <w:szCs w:val="22"/>
        </w:rPr>
        <w:t> </w:t>
      </w:r>
      <w:r w:rsidRPr="009C5EFD">
        <w:rPr>
          <w:sz w:val="22"/>
          <w:szCs w:val="22"/>
        </w:rPr>
        <w:t>ganger større enn anbefalt dose.</w:t>
      </w:r>
    </w:p>
    <w:p w14:paraId="2A748919" w14:textId="77777777" w:rsidR="001E500F" w:rsidRPr="009C5EFD" w:rsidRDefault="001E500F" w:rsidP="009C5EFD">
      <w:pPr>
        <w:rPr>
          <w:sz w:val="22"/>
          <w:szCs w:val="22"/>
        </w:rPr>
      </w:pPr>
    </w:p>
    <w:p w14:paraId="53BC3F33" w14:textId="77777777" w:rsidR="001E500F" w:rsidRPr="009C5EFD" w:rsidRDefault="001E500F" w:rsidP="009C5EFD">
      <w:pPr>
        <w:rPr>
          <w:sz w:val="22"/>
          <w:szCs w:val="22"/>
        </w:rPr>
      </w:pPr>
    </w:p>
    <w:p w14:paraId="77D16D6D" w14:textId="77777777" w:rsidR="001E500F" w:rsidRPr="009C5EFD" w:rsidRDefault="00E453CD" w:rsidP="00776A84">
      <w:pPr>
        <w:keepNext/>
        <w:suppressAutoHyphens/>
        <w:ind w:left="567" w:hanging="567"/>
        <w:rPr>
          <w:sz w:val="22"/>
          <w:szCs w:val="22"/>
        </w:rPr>
      </w:pPr>
      <w:r w:rsidRPr="009C5EFD">
        <w:rPr>
          <w:b/>
          <w:sz w:val="22"/>
          <w:szCs w:val="22"/>
        </w:rPr>
        <w:t>5.</w:t>
      </w:r>
      <w:r w:rsidRPr="009C5EFD">
        <w:rPr>
          <w:b/>
          <w:sz w:val="22"/>
          <w:szCs w:val="22"/>
        </w:rPr>
        <w:tab/>
        <w:t>FARMAKOLOGISKE EGENSKAPER</w:t>
      </w:r>
    </w:p>
    <w:p w14:paraId="385FF000" w14:textId="77777777" w:rsidR="001E500F" w:rsidRPr="009C5EFD" w:rsidRDefault="001E500F" w:rsidP="00776A84">
      <w:pPr>
        <w:keepNext/>
        <w:rPr>
          <w:sz w:val="22"/>
          <w:szCs w:val="22"/>
        </w:rPr>
      </w:pPr>
    </w:p>
    <w:p w14:paraId="5386FE26" w14:textId="77777777" w:rsidR="001E500F" w:rsidRPr="009C5EFD" w:rsidRDefault="00E453CD" w:rsidP="00776A84">
      <w:pPr>
        <w:keepNext/>
        <w:suppressAutoHyphens/>
        <w:ind w:left="567" w:hanging="567"/>
        <w:rPr>
          <w:sz w:val="22"/>
          <w:szCs w:val="22"/>
        </w:rPr>
      </w:pPr>
      <w:r w:rsidRPr="009C5EFD">
        <w:rPr>
          <w:b/>
          <w:sz w:val="22"/>
          <w:szCs w:val="22"/>
        </w:rPr>
        <w:t>5.1</w:t>
      </w:r>
      <w:r w:rsidRPr="009C5EFD">
        <w:rPr>
          <w:b/>
          <w:sz w:val="22"/>
          <w:szCs w:val="22"/>
        </w:rPr>
        <w:tab/>
        <w:t>Farmakodynamiske egenskaper</w:t>
      </w:r>
    </w:p>
    <w:p w14:paraId="7CD0E2F3" w14:textId="77777777" w:rsidR="001E500F" w:rsidRPr="009C5EFD" w:rsidRDefault="001E500F" w:rsidP="00776A84">
      <w:pPr>
        <w:keepNext/>
        <w:rPr>
          <w:sz w:val="22"/>
          <w:szCs w:val="22"/>
        </w:rPr>
      </w:pPr>
    </w:p>
    <w:p w14:paraId="749F7ABC" w14:textId="77777777" w:rsidR="001E500F" w:rsidRPr="009C5EFD" w:rsidRDefault="00E453CD" w:rsidP="009C5EFD">
      <w:pPr>
        <w:suppressAutoHyphens/>
        <w:rPr>
          <w:sz w:val="22"/>
          <w:szCs w:val="22"/>
        </w:rPr>
      </w:pPr>
      <w:r w:rsidRPr="009C5EFD">
        <w:rPr>
          <w:sz w:val="22"/>
          <w:szCs w:val="22"/>
        </w:rPr>
        <w:t>Farmakoterapeutisk gruppe: Immunsuppressiv</w:t>
      </w:r>
      <w:r w:rsidR="00D245F6">
        <w:rPr>
          <w:sz w:val="22"/>
          <w:szCs w:val="22"/>
        </w:rPr>
        <w:t>a</w:t>
      </w:r>
      <w:r w:rsidRPr="009C5EFD">
        <w:rPr>
          <w:sz w:val="22"/>
          <w:szCs w:val="22"/>
        </w:rPr>
        <w:t xml:space="preserve">, tumornekrosefaktor alfa </w:t>
      </w:r>
      <w:r w:rsidRPr="009C5EFD">
        <w:t>(TNF-</w:t>
      </w:r>
      <w:r w:rsidRPr="009C5EFD">
        <w:rPr>
          <w:lang w:val="en-GB"/>
        </w:rPr>
        <w:t>α</w:t>
      </w:r>
      <w:r w:rsidRPr="009C5EFD">
        <w:t xml:space="preserve">)-hemmere. </w:t>
      </w:r>
      <w:r w:rsidRPr="009C5EFD">
        <w:rPr>
          <w:sz w:val="22"/>
          <w:szCs w:val="22"/>
        </w:rPr>
        <w:t>ATC-kode: L04AB04</w:t>
      </w:r>
    </w:p>
    <w:p w14:paraId="2534853F" w14:textId="77777777" w:rsidR="001E500F" w:rsidRPr="009C5EFD" w:rsidRDefault="001E500F" w:rsidP="009C5EFD">
      <w:pPr>
        <w:suppressAutoHyphens/>
        <w:ind w:left="567" w:hanging="567"/>
        <w:rPr>
          <w:sz w:val="22"/>
          <w:szCs w:val="22"/>
        </w:rPr>
      </w:pPr>
    </w:p>
    <w:p w14:paraId="6AE87A9B" w14:textId="77777777" w:rsidR="001E500F" w:rsidRPr="009C5EFD" w:rsidRDefault="00E453CD" w:rsidP="00776A84">
      <w:pPr>
        <w:keepNext/>
        <w:suppressAutoHyphens/>
        <w:ind w:left="567" w:hanging="567"/>
        <w:rPr>
          <w:sz w:val="22"/>
          <w:szCs w:val="22"/>
          <w:u w:val="single"/>
        </w:rPr>
      </w:pPr>
      <w:r w:rsidRPr="009C5EFD">
        <w:rPr>
          <w:sz w:val="22"/>
          <w:szCs w:val="22"/>
          <w:u w:val="single"/>
        </w:rPr>
        <w:t>Virkningsmekanisme</w:t>
      </w:r>
    </w:p>
    <w:p w14:paraId="73B47967" w14:textId="77777777" w:rsidR="001E500F" w:rsidRPr="009C5EFD" w:rsidRDefault="001E500F" w:rsidP="00776A84">
      <w:pPr>
        <w:keepNext/>
        <w:suppressAutoHyphens/>
        <w:rPr>
          <w:sz w:val="22"/>
          <w:szCs w:val="22"/>
        </w:rPr>
      </w:pPr>
    </w:p>
    <w:p w14:paraId="6DA2503D" w14:textId="77777777" w:rsidR="001E500F" w:rsidRPr="009C5EFD" w:rsidRDefault="00E453CD" w:rsidP="009C5EFD">
      <w:pPr>
        <w:suppressAutoHyphens/>
        <w:rPr>
          <w:sz w:val="22"/>
          <w:szCs w:val="22"/>
        </w:rPr>
      </w:pPr>
      <w:r w:rsidRPr="009C5EFD">
        <w:rPr>
          <w:sz w:val="22"/>
          <w:szCs w:val="22"/>
        </w:rPr>
        <w:t>Adalimumab binder seg spesifikt til TNF og nøytraliserer TNFs biologiske funksjon ved å blokkere interaksjonen med TNF-reseptorene p55 og p75 på celleoverflaten.</w:t>
      </w:r>
    </w:p>
    <w:p w14:paraId="06ED1CB0" w14:textId="77777777" w:rsidR="008177A7" w:rsidRDefault="008177A7" w:rsidP="009C5EFD">
      <w:pPr>
        <w:suppressAutoHyphens/>
        <w:rPr>
          <w:sz w:val="22"/>
          <w:szCs w:val="22"/>
        </w:rPr>
      </w:pPr>
    </w:p>
    <w:p w14:paraId="51724E66" w14:textId="77777777" w:rsidR="001E500F" w:rsidRPr="009C5EFD" w:rsidRDefault="00E453CD" w:rsidP="009C5EFD">
      <w:pPr>
        <w:suppressAutoHyphens/>
        <w:rPr>
          <w:sz w:val="22"/>
          <w:szCs w:val="22"/>
        </w:rPr>
      </w:pPr>
      <w:r w:rsidRPr="009C5EFD">
        <w:rPr>
          <w:sz w:val="22"/>
          <w:szCs w:val="22"/>
        </w:rPr>
        <w:t>Adalimumab modulerer også biologiske responser som induseres eller reguleres av TNF, deriblant endringer i mengden av adhesjonsmolekyler som er ansvarlig for leukocyttmigrasjonen (ELAM</w:t>
      </w:r>
      <w:r w:rsidRPr="009C5EFD">
        <w:rPr>
          <w:sz w:val="22"/>
          <w:szCs w:val="22"/>
        </w:rPr>
        <w:noBreakHyphen/>
        <w:t>1, VCAM-1 og ICAM-1 med en IC</w:t>
      </w:r>
      <w:r w:rsidRPr="009C5EFD">
        <w:rPr>
          <w:sz w:val="22"/>
          <w:szCs w:val="22"/>
          <w:vertAlign w:val="subscript"/>
        </w:rPr>
        <w:t>50</w:t>
      </w:r>
      <w:r w:rsidRPr="009C5EFD">
        <w:rPr>
          <w:sz w:val="22"/>
          <w:szCs w:val="22"/>
        </w:rPr>
        <w:t xml:space="preserve"> på 0,1-0,2 nM).</w:t>
      </w:r>
    </w:p>
    <w:p w14:paraId="29367D51" w14:textId="77777777" w:rsidR="001E500F" w:rsidRPr="009C5EFD" w:rsidRDefault="001E500F" w:rsidP="009C5EFD">
      <w:pPr>
        <w:suppressAutoHyphens/>
        <w:rPr>
          <w:sz w:val="22"/>
          <w:szCs w:val="22"/>
        </w:rPr>
      </w:pPr>
    </w:p>
    <w:p w14:paraId="2A72533C" w14:textId="77777777" w:rsidR="001E500F" w:rsidRPr="009C5EFD" w:rsidRDefault="00E453CD" w:rsidP="009C5EFD">
      <w:pPr>
        <w:pStyle w:val="Heading8"/>
        <w:suppressAutoHyphens/>
        <w:rPr>
          <w:szCs w:val="22"/>
        </w:rPr>
      </w:pPr>
      <w:r w:rsidRPr="009C5EFD">
        <w:rPr>
          <w:szCs w:val="22"/>
        </w:rPr>
        <w:t>Farmakodynamiske effekter</w:t>
      </w:r>
    </w:p>
    <w:p w14:paraId="7EEFF138" w14:textId="77777777" w:rsidR="001E500F" w:rsidRPr="009C5EFD" w:rsidRDefault="001E500F" w:rsidP="009C5EFD">
      <w:pPr>
        <w:keepNext/>
        <w:suppressAutoHyphens/>
        <w:rPr>
          <w:sz w:val="22"/>
          <w:szCs w:val="22"/>
        </w:rPr>
      </w:pPr>
    </w:p>
    <w:p w14:paraId="5605FC09" w14:textId="77777777" w:rsidR="001E500F" w:rsidRPr="009C5EFD" w:rsidRDefault="00E453CD" w:rsidP="00776A84">
      <w:pPr>
        <w:suppressAutoHyphens/>
        <w:rPr>
          <w:sz w:val="22"/>
          <w:szCs w:val="22"/>
        </w:rPr>
      </w:pPr>
      <w:r w:rsidRPr="009C5EFD">
        <w:rPr>
          <w:sz w:val="22"/>
          <w:szCs w:val="22"/>
        </w:rPr>
        <w:t>Etter behandling med Humira, ble det hos pasienter med revmatoid artritt observert hurtig reduksjon i nivåene på akuttfase-reaktantene (C-reaktivt protein (CRP) og senkningsreaksjonen (SR)) og serumcytokinene (IL-6) sammenlignet med verdier ved oppstart. Serumnivåene til matri</w:t>
      </w:r>
      <w:r w:rsidR="00DB7B68">
        <w:rPr>
          <w:sz w:val="22"/>
          <w:szCs w:val="22"/>
        </w:rPr>
        <w:t>k</w:t>
      </w:r>
      <w:r w:rsidRPr="009C5EFD">
        <w:rPr>
          <w:sz w:val="22"/>
          <w:szCs w:val="22"/>
        </w:rPr>
        <w:t xml:space="preserve">s metalloproteinaser (MMP-1 og MMP-3) som forårsaker </w:t>
      </w:r>
      <w:r w:rsidRPr="009C5EFD">
        <w:rPr>
          <w:sz w:val="22"/>
        </w:rPr>
        <w:t>vevsremodelleringen</w:t>
      </w:r>
      <w:r w:rsidRPr="009C5EFD">
        <w:rPr>
          <w:sz w:val="22"/>
          <w:szCs w:val="22"/>
        </w:rPr>
        <w:t xml:space="preserve"> ansvarlig for bruskødeleggelse avtok også etter administrasjon av Humira. Pasienter behandlet med Humira opplevde vanligvis en bedring av disse hematologiske tegnene på kronisk inflammasjon.</w:t>
      </w:r>
    </w:p>
    <w:p w14:paraId="3EA2C780" w14:textId="77777777" w:rsidR="001E500F" w:rsidRPr="009C5EFD" w:rsidRDefault="001E500F" w:rsidP="009C5EFD">
      <w:pPr>
        <w:pStyle w:val="EndnoteText"/>
        <w:widowControl/>
        <w:tabs>
          <w:tab w:val="clear" w:pos="567"/>
          <w:tab w:val="left" w:pos="708"/>
        </w:tabs>
        <w:suppressAutoHyphens/>
        <w:rPr>
          <w:szCs w:val="22"/>
          <w:lang w:val="nb-NO"/>
        </w:rPr>
      </w:pPr>
    </w:p>
    <w:p w14:paraId="05CC585D" w14:textId="77777777" w:rsidR="001E500F" w:rsidRPr="009C5EFD" w:rsidRDefault="00E453CD" w:rsidP="009C5EFD">
      <w:pPr>
        <w:pStyle w:val="EndnoteText"/>
        <w:widowControl/>
        <w:tabs>
          <w:tab w:val="clear" w:pos="567"/>
          <w:tab w:val="left" w:pos="708"/>
        </w:tabs>
        <w:suppressAutoHyphens/>
        <w:rPr>
          <w:szCs w:val="22"/>
          <w:lang w:val="nb-NO"/>
        </w:rPr>
      </w:pPr>
      <w:r w:rsidRPr="009C5EFD">
        <w:rPr>
          <w:lang w:val="nb-NO"/>
        </w:rPr>
        <w:t>En rask reduksjon i CRP-nivå ble også observert hos pasienter med polyartikulær juvenil idiopatisk artritt, Crohns sykdom</w:t>
      </w:r>
      <w:r w:rsidR="00A06174" w:rsidRPr="009C5EFD">
        <w:rPr>
          <w:lang w:val="nb-NO"/>
        </w:rPr>
        <w:t>,</w:t>
      </w:r>
      <w:r w:rsidRPr="009C5EFD">
        <w:rPr>
          <w:lang w:val="nb-NO"/>
        </w:rPr>
        <w:t xml:space="preserve"> ulcerøs kolitt </w:t>
      </w:r>
      <w:r w:rsidR="00A06174" w:rsidRPr="009C5EFD">
        <w:rPr>
          <w:lang w:val="nb-NO"/>
        </w:rPr>
        <w:t xml:space="preserve">og </w:t>
      </w:r>
      <w:r w:rsidR="007F67EE" w:rsidRPr="009C5EFD">
        <w:rPr>
          <w:lang w:val="nb-NO"/>
        </w:rPr>
        <w:t>hidrosadenitt</w:t>
      </w:r>
      <w:r w:rsidR="00A06174" w:rsidRPr="009C5EFD">
        <w:rPr>
          <w:lang w:val="nb-NO"/>
        </w:rPr>
        <w:t xml:space="preserve"> </w:t>
      </w:r>
      <w:r w:rsidRPr="009C5EFD">
        <w:rPr>
          <w:lang w:val="nb-NO"/>
        </w:rPr>
        <w:t xml:space="preserve">etter behandling med Humira. </w:t>
      </w:r>
      <w:r w:rsidRPr="009C5EFD">
        <w:rPr>
          <w:szCs w:val="22"/>
          <w:lang w:val="nb-NO"/>
        </w:rPr>
        <w:t>Hos pasienter med Crohns sykdom ble en reduksjon i antall celler som uttrykker inflammasjonsmarkører i tykktarmen, inkludert en signifikant reduksjon i TNFα, observert. Endoskopiske studier i intestinal mukosa har vist slimhinnetilheling hos pasienter som ble behandlet med adalimumab.</w:t>
      </w:r>
    </w:p>
    <w:p w14:paraId="0B66999E" w14:textId="77777777" w:rsidR="001E500F" w:rsidRPr="009C5EFD" w:rsidRDefault="001E500F" w:rsidP="009C5EFD">
      <w:pPr>
        <w:pStyle w:val="EndnoteText"/>
        <w:widowControl/>
        <w:tabs>
          <w:tab w:val="clear" w:pos="567"/>
          <w:tab w:val="left" w:pos="708"/>
        </w:tabs>
        <w:suppressAutoHyphens/>
        <w:rPr>
          <w:szCs w:val="22"/>
          <w:lang w:val="nb-NO"/>
        </w:rPr>
      </w:pPr>
    </w:p>
    <w:p w14:paraId="7A1FEDDB" w14:textId="77777777" w:rsidR="001E500F" w:rsidRPr="009C5EFD" w:rsidRDefault="00E453CD" w:rsidP="00776A84">
      <w:pPr>
        <w:pStyle w:val="EndnoteText"/>
        <w:keepNext/>
        <w:widowControl/>
        <w:tabs>
          <w:tab w:val="clear" w:pos="567"/>
          <w:tab w:val="left" w:pos="708"/>
        </w:tabs>
        <w:suppressAutoHyphens/>
        <w:rPr>
          <w:szCs w:val="22"/>
          <w:u w:val="single"/>
          <w:lang w:val="nb-NO"/>
        </w:rPr>
      </w:pPr>
      <w:r w:rsidRPr="009C5EFD">
        <w:rPr>
          <w:szCs w:val="22"/>
          <w:u w:val="single"/>
          <w:lang w:val="nb-NO"/>
        </w:rPr>
        <w:t>Klinisk effekt og sikkerhet</w:t>
      </w:r>
    </w:p>
    <w:p w14:paraId="35F4D1E3" w14:textId="77777777" w:rsidR="001E500F" w:rsidRPr="009C5EFD" w:rsidRDefault="001E500F" w:rsidP="00776A84">
      <w:pPr>
        <w:pStyle w:val="EndnoteText"/>
        <w:keepNext/>
        <w:widowControl/>
        <w:tabs>
          <w:tab w:val="clear" w:pos="567"/>
          <w:tab w:val="left" w:pos="708"/>
        </w:tabs>
        <w:suppressAutoHyphens/>
        <w:rPr>
          <w:szCs w:val="22"/>
          <w:lang w:val="nb-NO"/>
        </w:rPr>
      </w:pPr>
    </w:p>
    <w:p w14:paraId="0C24B787" w14:textId="77777777" w:rsidR="001E500F" w:rsidRPr="009C5EFD" w:rsidRDefault="00E453CD" w:rsidP="00776A84">
      <w:pPr>
        <w:pStyle w:val="EndnoteText"/>
        <w:keepNext/>
        <w:widowControl/>
        <w:tabs>
          <w:tab w:val="clear" w:pos="567"/>
          <w:tab w:val="left" w:pos="708"/>
        </w:tabs>
        <w:suppressAutoHyphens/>
        <w:rPr>
          <w:i/>
          <w:szCs w:val="22"/>
          <w:lang w:val="nb-NO"/>
        </w:rPr>
      </w:pPr>
      <w:r w:rsidRPr="009C5EFD">
        <w:rPr>
          <w:i/>
          <w:szCs w:val="22"/>
          <w:lang w:val="nb-NO"/>
        </w:rPr>
        <w:t>Revmatoid artritt</w:t>
      </w:r>
    </w:p>
    <w:p w14:paraId="77A16326" w14:textId="77777777" w:rsidR="001E500F" w:rsidRPr="009C5EFD" w:rsidRDefault="001E500F" w:rsidP="00776A84">
      <w:pPr>
        <w:pStyle w:val="EndnoteText"/>
        <w:keepNext/>
        <w:widowControl/>
        <w:tabs>
          <w:tab w:val="clear" w:pos="567"/>
          <w:tab w:val="left" w:pos="708"/>
        </w:tabs>
        <w:suppressAutoHyphens/>
        <w:rPr>
          <w:szCs w:val="22"/>
          <w:lang w:val="nb-NO"/>
        </w:rPr>
      </w:pPr>
    </w:p>
    <w:p w14:paraId="05658FFC" w14:textId="77777777" w:rsidR="001E500F" w:rsidRPr="009C5EFD" w:rsidRDefault="00E453CD" w:rsidP="009C5EFD">
      <w:pPr>
        <w:pStyle w:val="EndnoteText"/>
        <w:widowControl/>
        <w:tabs>
          <w:tab w:val="clear" w:pos="567"/>
          <w:tab w:val="left" w:pos="708"/>
        </w:tabs>
        <w:suppressAutoHyphens/>
        <w:rPr>
          <w:szCs w:val="22"/>
          <w:lang w:val="nb-NO"/>
        </w:rPr>
      </w:pPr>
      <w:r w:rsidRPr="009C5EFD">
        <w:rPr>
          <w:szCs w:val="22"/>
          <w:lang w:val="nb-NO"/>
        </w:rPr>
        <w:t xml:space="preserve">Humira </w:t>
      </w:r>
      <w:r w:rsidR="004C100E" w:rsidRPr="00E14E58">
        <w:rPr>
          <w:szCs w:val="22"/>
          <w:lang w:val="nb-NO"/>
        </w:rPr>
        <w:t>ble</w:t>
      </w:r>
      <w:r w:rsidR="004C100E" w:rsidRPr="009C5EFD">
        <w:rPr>
          <w:szCs w:val="22"/>
          <w:lang w:val="nb-NO"/>
        </w:rPr>
        <w:t xml:space="preserve"> </w:t>
      </w:r>
      <w:r w:rsidR="003D3CAB">
        <w:rPr>
          <w:szCs w:val="22"/>
        </w:rPr>
        <w:t>vurdert</w:t>
      </w:r>
      <w:r w:rsidR="00173377">
        <w:rPr>
          <w:szCs w:val="22"/>
          <w:lang w:val="nb-NO"/>
        </w:rPr>
        <w:t xml:space="preserve"> hos</w:t>
      </w:r>
      <w:r w:rsidRPr="009C5EFD">
        <w:rPr>
          <w:szCs w:val="22"/>
          <w:lang w:val="nb-NO"/>
        </w:rPr>
        <w:t xml:space="preserve"> mer enn 3000</w:t>
      </w:r>
      <w:r w:rsidR="00315F16" w:rsidRPr="009C5EFD">
        <w:rPr>
          <w:szCs w:val="22"/>
          <w:lang w:val="nb-NO"/>
        </w:rPr>
        <w:t> pasient</w:t>
      </w:r>
      <w:r w:rsidRPr="009C5EFD">
        <w:rPr>
          <w:szCs w:val="22"/>
          <w:lang w:val="nb-NO"/>
        </w:rPr>
        <w:t xml:space="preserve">er </w:t>
      </w:r>
      <w:r w:rsidR="00173377">
        <w:rPr>
          <w:szCs w:val="22"/>
          <w:lang w:val="nb-NO"/>
        </w:rPr>
        <w:t>i alle kliniske studier på</w:t>
      </w:r>
      <w:r w:rsidRPr="009C5EFD">
        <w:rPr>
          <w:szCs w:val="22"/>
          <w:lang w:val="nb-NO"/>
        </w:rPr>
        <w:t xml:space="preserve"> revmatoid artritt. Effekt og sikkerhet av Humira ble utredet i fem randomiserte, dobbeltblinde og velkontrollerte studier. Enkelte pasienter fikk behandling som varte i inntil 120</w:t>
      </w:r>
      <w:r w:rsidR="00315F16" w:rsidRPr="009C5EFD">
        <w:rPr>
          <w:szCs w:val="22"/>
          <w:lang w:val="nb-NO"/>
        </w:rPr>
        <w:t> måned</w:t>
      </w:r>
      <w:r w:rsidRPr="009C5EFD">
        <w:rPr>
          <w:szCs w:val="22"/>
          <w:lang w:val="nb-NO"/>
        </w:rPr>
        <w:t>er. Smerte</w:t>
      </w:r>
      <w:r w:rsidR="00C70683">
        <w:rPr>
          <w:szCs w:val="22"/>
          <w:lang w:val="nb-NO"/>
        </w:rPr>
        <w:t>r</w:t>
      </w:r>
      <w:r w:rsidRPr="009C5EFD">
        <w:rPr>
          <w:szCs w:val="22"/>
          <w:lang w:val="nb-NO"/>
        </w:rPr>
        <w:t xml:space="preserve"> ved injeksjonsstedet forårsaket av Humira 40 mg/0,4 ml ble undersøkt i to randomiserte, aktivt kontrollerte, enkelt</w:t>
      </w:r>
      <w:r w:rsidR="00B12B0B">
        <w:rPr>
          <w:szCs w:val="22"/>
          <w:lang w:val="nb-NO"/>
        </w:rPr>
        <w:t>blinde</w:t>
      </w:r>
      <w:r w:rsidRPr="009C5EFD">
        <w:rPr>
          <w:szCs w:val="22"/>
          <w:lang w:val="nb-NO"/>
        </w:rPr>
        <w:t xml:space="preserve">, </w:t>
      </w:r>
      <w:r w:rsidR="0019503A">
        <w:rPr>
          <w:szCs w:val="22"/>
          <w:lang w:val="nb-NO"/>
        </w:rPr>
        <w:t>«</w:t>
      </w:r>
      <w:r w:rsidR="00761BB9" w:rsidRPr="009C5EFD">
        <w:rPr>
          <w:szCs w:val="22"/>
          <w:lang w:val="nb-NO"/>
        </w:rPr>
        <w:t>crossover</w:t>
      </w:r>
      <w:r w:rsidR="0019503A">
        <w:rPr>
          <w:szCs w:val="22"/>
          <w:lang w:val="nb-NO"/>
        </w:rPr>
        <w:t>»</w:t>
      </w:r>
      <w:r w:rsidR="00761BB9" w:rsidRPr="009C5EFD">
        <w:rPr>
          <w:szCs w:val="22"/>
          <w:lang w:val="nb-NO"/>
        </w:rPr>
        <w:t xml:space="preserve"> </w:t>
      </w:r>
      <w:r w:rsidRPr="009C5EFD">
        <w:rPr>
          <w:szCs w:val="22"/>
          <w:lang w:val="nb-NO"/>
        </w:rPr>
        <w:t xml:space="preserve">studier </w:t>
      </w:r>
      <w:r w:rsidR="00761BB9" w:rsidRPr="009C5EFD">
        <w:rPr>
          <w:szCs w:val="22"/>
          <w:lang w:val="nb-NO"/>
        </w:rPr>
        <w:t xml:space="preserve">som gikk over </w:t>
      </w:r>
      <w:r w:rsidRPr="009C5EFD">
        <w:rPr>
          <w:szCs w:val="22"/>
          <w:lang w:val="nb-NO"/>
        </w:rPr>
        <w:t>to perioder.</w:t>
      </w:r>
    </w:p>
    <w:p w14:paraId="24516EAC" w14:textId="77777777" w:rsidR="001E500F" w:rsidRPr="009C5EFD" w:rsidRDefault="001E500F" w:rsidP="009C5EFD">
      <w:pPr>
        <w:pStyle w:val="EndnoteText"/>
        <w:widowControl/>
        <w:tabs>
          <w:tab w:val="clear" w:pos="567"/>
          <w:tab w:val="left" w:pos="708"/>
        </w:tabs>
        <w:suppressAutoHyphens/>
        <w:rPr>
          <w:szCs w:val="22"/>
          <w:lang w:val="nb-NO"/>
        </w:rPr>
      </w:pPr>
    </w:p>
    <w:p w14:paraId="630F71D5" w14:textId="77777777" w:rsidR="001E500F" w:rsidRPr="009C5EFD" w:rsidRDefault="00E453CD" w:rsidP="009C5EFD">
      <w:pPr>
        <w:pStyle w:val="EndnoteText"/>
        <w:widowControl/>
        <w:tabs>
          <w:tab w:val="clear" w:pos="567"/>
          <w:tab w:val="left" w:pos="708"/>
        </w:tabs>
        <w:suppressAutoHyphens/>
        <w:rPr>
          <w:szCs w:val="22"/>
          <w:lang w:val="nb-NO"/>
        </w:rPr>
      </w:pPr>
      <w:r w:rsidRPr="009C5EFD">
        <w:rPr>
          <w:szCs w:val="22"/>
          <w:lang w:val="nb-NO"/>
        </w:rPr>
        <w:t xml:space="preserve">RA-studie I </w:t>
      </w:r>
      <w:r w:rsidR="003D3CAB">
        <w:rPr>
          <w:szCs w:val="22"/>
        </w:rPr>
        <w:t>vurderte</w:t>
      </w:r>
      <w:r w:rsidRPr="009C5EFD">
        <w:rPr>
          <w:szCs w:val="22"/>
          <w:lang w:val="nb-NO"/>
        </w:rPr>
        <w:t xml:space="preserve"> 271</w:t>
      </w:r>
      <w:r w:rsidR="00315F16" w:rsidRPr="009C5EFD">
        <w:rPr>
          <w:szCs w:val="22"/>
          <w:lang w:val="nb-NO"/>
        </w:rPr>
        <w:t> pasient</w:t>
      </w:r>
      <w:r w:rsidRPr="009C5EFD">
        <w:rPr>
          <w:szCs w:val="22"/>
          <w:lang w:val="nb-NO"/>
        </w:rPr>
        <w:t xml:space="preserve">er med moderat til </w:t>
      </w:r>
      <w:r w:rsidR="00021903">
        <w:rPr>
          <w:szCs w:val="22"/>
          <w:lang w:val="nb-NO"/>
        </w:rPr>
        <w:t>alvorlig</w:t>
      </w:r>
      <w:r w:rsidRPr="009C5EFD">
        <w:rPr>
          <w:szCs w:val="22"/>
          <w:lang w:val="nb-NO"/>
        </w:rPr>
        <w:t xml:space="preserve"> aktiv revmatoid artritt som var ≥ 18</w:t>
      </w:r>
      <w:r w:rsidR="00315F16" w:rsidRPr="009C5EFD">
        <w:rPr>
          <w:szCs w:val="22"/>
          <w:lang w:val="nb-NO"/>
        </w:rPr>
        <w:t> år</w:t>
      </w:r>
      <w:r w:rsidRPr="009C5EFD">
        <w:rPr>
          <w:szCs w:val="22"/>
          <w:lang w:val="nb-NO"/>
        </w:rPr>
        <w:t>, hvor behandlingen hadde mislyktes med minst ett sykdomsmodifiserende antirevmatisk legemiddel, hvor metotreksatdoser på 12,5 til 25</w:t>
      </w:r>
      <w:r w:rsidR="00E55E5D" w:rsidRPr="009C5EFD">
        <w:rPr>
          <w:szCs w:val="22"/>
          <w:lang w:val="nb-NO"/>
        </w:rPr>
        <w:t> mg</w:t>
      </w:r>
      <w:r w:rsidRPr="009C5EFD">
        <w:rPr>
          <w:szCs w:val="22"/>
          <w:lang w:val="nb-NO"/>
        </w:rPr>
        <w:t xml:space="preserve"> (10</w:t>
      </w:r>
      <w:r w:rsidR="00E55E5D" w:rsidRPr="009C5EFD">
        <w:rPr>
          <w:szCs w:val="22"/>
          <w:lang w:val="nb-NO"/>
        </w:rPr>
        <w:t> mg</w:t>
      </w:r>
      <w:r w:rsidRPr="009C5EFD">
        <w:rPr>
          <w:szCs w:val="22"/>
          <w:lang w:val="nb-NO"/>
        </w:rPr>
        <w:t xml:space="preserve"> ved metotreksatintoleranse) i uken ikke hadde hatt tilstrekkelig effekt, og hvor metotreksatdosen ble holdt konstant på 10 til 25</w:t>
      </w:r>
      <w:r w:rsidR="00E55E5D" w:rsidRPr="009C5EFD">
        <w:rPr>
          <w:szCs w:val="22"/>
          <w:lang w:val="nb-NO"/>
        </w:rPr>
        <w:t> mg</w:t>
      </w:r>
      <w:r w:rsidRPr="009C5EFD">
        <w:rPr>
          <w:szCs w:val="22"/>
          <w:lang w:val="nb-NO"/>
        </w:rPr>
        <w:t xml:space="preserve"> i uken. Doser på 20, 40 eller 80</w:t>
      </w:r>
      <w:r w:rsidR="00E55E5D" w:rsidRPr="009C5EFD">
        <w:rPr>
          <w:szCs w:val="22"/>
          <w:lang w:val="nb-NO"/>
        </w:rPr>
        <w:t> mg</w:t>
      </w:r>
      <w:r w:rsidRPr="009C5EFD">
        <w:rPr>
          <w:szCs w:val="22"/>
          <w:lang w:val="nb-NO"/>
        </w:rPr>
        <w:t xml:space="preserve"> Humira eller placebo ble gitt annenhver uke i 24</w:t>
      </w:r>
      <w:r w:rsidR="00315F16" w:rsidRPr="009C5EFD">
        <w:rPr>
          <w:szCs w:val="22"/>
          <w:lang w:val="nb-NO"/>
        </w:rPr>
        <w:t> uker</w:t>
      </w:r>
      <w:r w:rsidRPr="009C5EFD">
        <w:rPr>
          <w:szCs w:val="22"/>
          <w:lang w:val="nb-NO"/>
        </w:rPr>
        <w:t>.</w:t>
      </w:r>
    </w:p>
    <w:p w14:paraId="628EDECE" w14:textId="77777777" w:rsidR="001E500F" w:rsidRPr="009C5EFD" w:rsidRDefault="001E500F" w:rsidP="009C5EFD">
      <w:pPr>
        <w:pStyle w:val="EndnoteText"/>
        <w:widowControl/>
        <w:tabs>
          <w:tab w:val="clear" w:pos="567"/>
          <w:tab w:val="left" w:pos="708"/>
        </w:tabs>
        <w:suppressAutoHyphens/>
        <w:rPr>
          <w:szCs w:val="22"/>
          <w:lang w:val="nb-NO"/>
        </w:rPr>
      </w:pPr>
    </w:p>
    <w:p w14:paraId="1E066A4B" w14:textId="77777777" w:rsidR="001E500F" w:rsidRPr="009C5EFD" w:rsidRDefault="00E453CD" w:rsidP="009C5EFD">
      <w:pPr>
        <w:pStyle w:val="EndnoteText"/>
        <w:widowControl/>
        <w:tabs>
          <w:tab w:val="clear" w:pos="567"/>
          <w:tab w:val="left" w:pos="708"/>
        </w:tabs>
        <w:suppressAutoHyphens/>
        <w:rPr>
          <w:szCs w:val="22"/>
          <w:lang w:val="nb-NO"/>
        </w:rPr>
      </w:pPr>
      <w:r w:rsidRPr="009C5EFD">
        <w:rPr>
          <w:szCs w:val="22"/>
          <w:lang w:val="nb-NO"/>
        </w:rPr>
        <w:t xml:space="preserve">RA-studie II </w:t>
      </w:r>
      <w:r w:rsidR="003D3CAB">
        <w:rPr>
          <w:szCs w:val="22"/>
        </w:rPr>
        <w:t>vurderte</w:t>
      </w:r>
      <w:r w:rsidRPr="009C5EFD">
        <w:rPr>
          <w:szCs w:val="22"/>
          <w:lang w:val="nb-NO"/>
        </w:rPr>
        <w:t xml:space="preserve"> 544</w:t>
      </w:r>
      <w:r w:rsidR="00315F16" w:rsidRPr="009C5EFD">
        <w:rPr>
          <w:szCs w:val="22"/>
          <w:lang w:val="nb-NO"/>
        </w:rPr>
        <w:t> pasient</w:t>
      </w:r>
      <w:r w:rsidRPr="009C5EFD">
        <w:rPr>
          <w:szCs w:val="22"/>
          <w:lang w:val="nb-NO"/>
        </w:rPr>
        <w:t xml:space="preserve">er med moderat til </w:t>
      </w:r>
      <w:r w:rsidR="00021903">
        <w:rPr>
          <w:szCs w:val="22"/>
          <w:lang w:val="nb-NO"/>
        </w:rPr>
        <w:t>alvorlig</w:t>
      </w:r>
      <w:r w:rsidRPr="009C5EFD">
        <w:rPr>
          <w:szCs w:val="22"/>
          <w:lang w:val="nb-NO"/>
        </w:rPr>
        <w:t xml:space="preserve"> aktiv revmatoid artritt som var ≥</w:t>
      </w:r>
      <w:r w:rsidR="009036C2" w:rsidRPr="009C5EFD">
        <w:rPr>
          <w:szCs w:val="22"/>
          <w:lang w:val="nb-NO"/>
        </w:rPr>
        <w:t> </w:t>
      </w:r>
      <w:r w:rsidRPr="009C5EFD">
        <w:rPr>
          <w:szCs w:val="22"/>
          <w:lang w:val="nb-NO"/>
        </w:rPr>
        <w:t>18</w:t>
      </w:r>
      <w:r w:rsidR="00315F16" w:rsidRPr="009C5EFD">
        <w:rPr>
          <w:szCs w:val="22"/>
          <w:lang w:val="nb-NO"/>
        </w:rPr>
        <w:t> år</w:t>
      </w:r>
      <w:r w:rsidRPr="009C5EFD">
        <w:rPr>
          <w:szCs w:val="22"/>
          <w:lang w:val="nb-NO"/>
        </w:rPr>
        <w:t>, hvor behandlingen hadde mislyktes med minst ett sykdomsmodifiserende antirevmatisk legemiddel. Doser på 20 og 40</w:t>
      </w:r>
      <w:r w:rsidR="00E55E5D" w:rsidRPr="009C5EFD">
        <w:rPr>
          <w:szCs w:val="22"/>
          <w:lang w:val="nb-NO"/>
        </w:rPr>
        <w:t> mg</w:t>
      </w:r>
      <w:r w:rsidRPr="009C5EFD">
        <w:rPr>
          <w:szCs w:val="22"/>
          <w:lang w:val="nb-NO"/>
        </w:rPr>
        <w:t xml:space="preserve"> Humira ble gitt subkutant annen</w:t>
      </w:r>
      <w:r w:rsidR="00666CFA">
        <w:rPr>
          <w:szCs w:val="22"/>
          <w:lang w:val="nb-NO"/>
        </w:rPr>
        <w:t>hver</w:t>
      </w:r>
      <w:r w:rsidRPr="009C5EFD">
        <w:rPr>
          <w:szCs w:val="22"/>
          <w:lang w:val="nb-NO"/>
        </w:rPr>
        <w:t xml:space="preserve"> uke med placebo i de mellomliggende </w:t>
      </w:r>
      <w:r w:rsidRPr="009C5EFD">
        <w:rPr>
          <w:szCs w:val="22"/>
          <w:lang w:val="nb-NO"/>
        </w:rPr>
        <w:lastRenderedPageBreak/>
        <w:t>ukene, eller hver uke i 26</w:t>
      </w:r>
      <w:r w:rsidR="00315F16" w:rsidRPr="009C5EFD">
        <w:rPr>
          <w:szCs w:val="22"/>
          <w:lang w:val="nb-NO"/>
        </w:rPr>
        <w:t> uker</w:t>
      </w:r>
      <w:r w:rsidRPr="009C5EFD">
        <w:rPr>
          <w:szCs w:val="22"/>
          <w:lang w:val="nb-NO"/>
        </w:rPr>
        <w:t>; placebo ble gitt hver uke av samme varighet. Andre sykdomsmodifiserende antirevmatiske legemidler var ikke tillatt.</w:t>
      </w:r>
    </w:p>
    <w:p w14:paraId="77287079" w14:textId="77777777" w:rsidR="001E500F" w:rsidRPr="009C5EFD" w:rsidRDefault="001E500F" w:rsidP="009C5EFD">
      <w:pPr>
        <w:pStyle w:val="EndnoteText"/>
        <w:widowControl/>
        <w:tabs>
          <w:tab w:val="clear" w:pos="567"/>
          <w:tab w:val="left" w:pos="708"/>
        </w:tabs>
        <w:suppressAutoHyphens/>
        <w:rPr>
          <w:szCs w:val="22"/>
          <w:lang w:val="nb-NO"/>
        </w:rPr>
      </w:pPr>
    </w:p>
    <w:p w14:paraId="656FB8C2" w14:textId="77777777" w:rsidR="001E500F" w:rsidRPr="009C5EFD" w:rsidRDefault="00E453CD" w:rsidP="009C5EFD">
      <w:pPr>
        <w:pStyle w:val="EndnoteText"/>
        <w:widowControl/>
        <w:tabs>
          <w:tab w:val="clear" w:pos="567"/>
          <w:tab w:val="left" w:pos="708"/>
        </w:tabs>
        <w:suppressAutoHyphens/>
        <w:rPr>
          <w:szCs w:val="22"/>
          <w:lang w:val="nb-NO"/>
        </w:rPr>
      </w:pPr>
      <w:r w:rsidRPr="009C5EFD">
        <w:rPr>
          <w:szCs w:val="22"/>
          <w:lang w:val="nb-NO"/>
        </w:rPr>
        <w:t xml:space="preserve">RA-studie III </w:t>
      </w:r>
      <w:r w:rsidR="003D3CAB">
        <w:rPr>
          <w:szCs w:val="22"/>
        </w:rPr>
        <w:t>vurderte</w:t>
      </w:r>
      <w:r w:rsidRPr="009C5EFD">
        <w:rPr>
          <w:szCs w:val="22"/>
          <w:lang w:val="nb-NO"/>
        </w:rPr>
        <w:t xml:space="preserve"> 619</w:t>
      </w:r>
      <w:r w:rsidR="00315F16" w:rsidRPr="009C5EFD">
        <w:rPr>
          <w:szCs w:val="22"/>
          <w:lang w:val="nb-NO"/>
        </w:rPr>
        <w:t> pasient</w:t>
      </w:r>
      <w:r w:rsidRPr="009C5EFD">
        <w:rPr>
          <w:szCs w:val="22"/>
          <w:lang w:val="nb-NO"/>
        </w:rPr>
        <w:t xml:space="preserve">er med moderat til </w:t>
      </w:r>
      <w:r w:rsidR="00021903">
        <w:rPr>
          <w:szCs w:val="22"/>
          <w:lang w:val="nb-NO"/>
        </w:rPr>
        <w:t>alvorlig</w:t>
      </w:r>
      <w:r w:rsidRPr="009C5EFD">
        <w:rPr>
          <w:szCs w:val="22"/>
          <w:lang w:val="nb-NO"/>
        </w:rPr>
        <w:t xml:space="preserve"> aktiv revmatoid artritt som var ≥ 18</w:t>
      </w:r>
      <w:r w:rsidR="00315F16" w:rsidRPr="009C5EFD">
        <w:rPr>
          <w:szCs w:val="22"/>
          <w:lang w:val="nb-NO"/>
        </w:rPr>
        <w:t> år</w:t>
      </w:r>
      <w:r w:rsidRPr="009C5EFD">
        <w:rPr>
          <w:szCs w:val="22"/>
          <w:lang w:val="nb-NO"/>
        </w:rPr>
        <w:t xml:space="preserve"> og som hadde en ineffektiv respons på metotreksat ved doser mellom 12,5 til 25</w:t>
      </w:r>
      <w:r w:rsidR="00E55E5D" w:rsidRPr="009C5EFD">
        <w:rPr>
          <w:szCs w:val="22"/>
          <w:lang w:val="nb-NO"/>
        </w:rPr>
        <w:t> mg</w:t>
      </w:r>
      <w:r w:rsidRPr="009C5EFD">
        <w:rPr>
          <w:szCs w:val="22"/>
          <w:lang w:val="nb-NO"/>
        </w:rPr>
        <w:t xml:space="preserve"> eller var intolerante overfor 10</w:t>
      </w:r>
      <w:r w:rsidR="00E55E5D" w:rsidRPr="009C5EFD">
        <w:rPr>
          <w:szCs w:val="22"/>
          <w:lang w:val="nb-NO"/>
        </w:rPr>
        <w:t> mg</w:t>
      </w:r>
      <w:r w:rsidRPr="009C5EFD">
        <w:rPr>
          <w:szCs w:val="22"/>
          <w:lang w:val="nb-NO"/>
        </w:rPr>
        <w:t xml:space="preserve"> metotreksat hver uke. I denne studien var det tre grupper. Den første fikk placebo-injeksjoner hver uke i 52</w:t>
      </w:r>
      <w:r w:rsidR="00315F16" w:rsidRPr="009C5EFD">
        <w:rPr>
          <w:szCs w:val="22"/>
          <w:lang w:val="nb-NO"/>
        </w:rPr>
        <w:t> uker</w:t>
      </w:r>
      <w:r w:rsidRPr="009C5EFD">
        <w:rPr>
          <w:szCs w:val="22"/>
          <w:lang w:val="nb-NO"/>
        </w:rPr>
        <w:t>. Den andre fikk 20</w:t>
      </w:r>
      <w:r w:rsidR="00E55E5D" w:rsidRPr="009C5EFD">
        <w:rPr>
          <w:szCs w:val="22"/>
          <w:lang w:val="nb-NO"/>
        </w:rPr>
        <w:t> mg</w:t>
      </w:r>
      <w:r w:rsidRPr="009C5EFD">
        <w:rPr>
          <w:szCs w:val="22"/>
          <w:lang w:val="nb-NO"/>
        </w:rPr>
        <w:t xml:space="preserve"> Humira hver uke i 52</w:t>
      </w:r>
      <w:r w:rsidR="00315F16" w:rsidRPr="009C5EFD">
        <w:rPr>
          <w:szCs w:val="22"/>
          <w:lang w:val="nb-NO"/>
        </w:rPr>
        <w:t> uker</w:t>
      </w:r>
      <w:r w:rsidRPr="009C5EFD">
        <w:rPr>
          <w:szCs w:val="22"/>
          <w:lang w:val="nb-NO"/>
        </w:rPr>
        <w:t>. Den tredje gruppen fikk 40</w:t>
      </w:r>
      <w:r w:rsidR="00E55E5D" w:rsidRPr="009C5EFD">
        <w:rPr>
          <w:szCs w:val="22"/>
          <w:lang w:val="nb-NO"/>
        </w:rPr>
        <w:t> mg</w:t>
      </w:r>
      <w:r w:rsidRPr="009C5EFD">
        <w:rPr>
          <w:szCs w:val="22"/>
          <w:lang w:val="nb-NO"/>
        </w:rPr>
        <w:t xml:space="preserve"> Humira annenhver uke med placebo-injeksjoner i de mellomliggende ukene. Etter avslutning av de første 52</w:t>
      </w:r>
      <w:r w:rsidR="00315F16" w:rsidRPr="009C5EFD">
        <w:rPr>
          <w:szCs w:val="22"/>
          <w:lang w:val="nb-NO"/>
        </w:rPr>
        <w:t> uker</w:t>
      </w:r>
      <w:r w:rsidRPr="009C5EFD">
        <w:rPr>
          <w:szCs w:val="22"/>
          <w:lang w:val="nb-NO"/>
        </w:rPr>
        <w:t xml:space="preserve"> ble 457</w:t>
      </w:r>
      <w:r w:rsidR="00315F16" w:rsidRPr="009C5EFD">
        <w:rPr>
          <w:szCs w:val="22"/>
          <w:lang w:val="nb-NO"/>
        </w:rPr>
        <w:t> pasient</w:t>
      </w:r>
      <w:r w:rsidRPr="009C5EFD">
        <w:rPr>
          <w:szCs w:val="22"/>
          <w:lang w:val="nb-NO"/>
        </w:rPr>
        <w:t>er inkludert i en åpen oppfølgingsstudie hvor det ble gitt 40</w:t>
      </w:r>
      <w:r w:rsidR="00E55E5D" w:rsidRPr="009C5EFD">
        <w:rPr>
          <w:szCs w:val="22"/>
          <w:lang w:val="nb-NO"/>
        </w:rPr>
        <w:t> mg</w:t>
      </w:r>
      <w:r w:rsidRPr="009C5EFD">
        <w:rPr>
          <w:szCs w:val="22"/>
          <w:lang w:val="nb-NO"/>
        </w:rPr>
        <w:t xml:space="preserve"> Humira/MTX annenhver uke i inntil 10</w:t>
      </w:r>
      <w:r w:rsidR="00315F16" w:rsidRPr="009C5EFD">
        <w:rPr>
          <w:szCs w:val="22"/>
          <w:lang w:val="nb-NO"/>
        </w:rPr>
        <w:t> år</w:t>
      </w:r>
      <w:r w:rsidRPr="009C5EFD">
        <w:rPr>
          <w:szCs w:val="22"/>
          <w:lang w:val="nb-NO"/>
        </w:rPr>
        <w:t>.</w:t>
      </w:r>
    </w:p>
    <w:p w14:paraId="0A0FCC69" w14:textId="77777777" w:rsidR="001E500F" w:rsidRPr="009C5EFD" w:rsidRDefault="001E500F" w:rsidP="009C5EFD">
      <w:pPr>
        <w:rPr>
          <w:sz w:val="22"/>
          <w:szCs w:val="22"/>
        </w:rPr>
      </w:pPr>
    </w:p>
    <w:p w14:paraId="1B219B22" w14:textId="77777777" w:rsidR="001E500F" w:rsidRPr="009C5EFD" w:rsidRDefault="00E453CD" w:rsidP="009C5EFD">
      <w:pPr>
        <w:rPr>
          <w:sz w:val="22"/>
          <w:szCs w:val="22"/>
        </w:rPr>
      </w:pPr>
      <w:r w:rsidRPr="009C5EFD">
        <w:rPr>
          <w:sz w:val="22"/>
          <w:szCs w:val="22"/>
        </w:rPr>
        <w:t>RA-studie IV utredet først og fremst sikkerhet hos 636</w:t>
      </w:r>
      <w:r w:rsidR="00315F16" w:rsidRPr="009C5EFD">
        <w:rPr>
          <w:sz w:val="22"/>
          <w:szCs w:val="22"/>
        </w:rPr>
        <w:t> pasient</w:t>
      </w:r>
      <w:r w:rsidRPr="009C5EFD">
        <w:rPr>
          <w:sz w:val="22"/>
          <w:szCs w:val="22"/>
        </w:rPr>
        <w:t xml:space="preserve">er med moderat til </w:t>
      </w:r>
      <w:r w:rsidR="00021903">
        <w:rPr>
          <w:sz w:val="22"/>
          <w:szCs w:val="22"/>
        </w:rPr>
        <w:t>alvorlig</w:t>
      </w:r>
      <w:r w:rsidRPr="009C5EFD">
        <w:rPr>
          <w:sz w:val="22"/>
          <w:szCs w:val="22"/>
        </w:rPr>
        <w:t xml:space="preserve"> aktiv revmatoid artritt og som var</w:t>
      </w:r>
      <w:r w:rsidRPr="007866C9">
        <w:rPr>
          <w:sz w:val="22"/>
          <w:szCs w:val="22"/>
        </w:rPr>
        <w:t xml:space="preserve"> </w:t>
      </w:r>
      <w:r w:rsidRPr="00776A84">
        <w:rPr>
          <w:sz w:val="22"/>
          <w:szCs w:val="22"/>
        </w:rPr>
        <w:t>≥ </w:t>
      </w:r>
      <w:r w:rsidRPr="009C5EFD">
        <w:rPr>
          <w:sz w:val="22"/>
          <w:szCs w:val="22"/>
        </w:rPr>
        <w:t>18</w:t>
      </w:r>
      <w:r w:rsidR="00315F16" w:rsidRPr="009C5EFD">
        <w:rPr>
          <w:sz w:val="22"/>
          <w:szCs w:val="22"/>
        </w:rPr>
        <w:t> år</w:t>
      </w:r>
      <w:r w:rsidRPr="009C5EFD">
        <w:rPr>
          <w:sz w:val="22"/>
          <w:szCs w:val="22"/>
        </w:rPr>
        <w:t xml:space="preserve">. Pasientene hadde enten aldri brukt sykdomsmodifiserende, antirevmatiske midler eller de </w:t>
      </w:r>
      <w:r w:rsidRPr="009C5EFD">
        <w:rPr>
          <w:sz w:val="22"/>
        </w:rPr>
        <w:t>fortsatte</w:t>
      </w:r>
      <w:r w:rsidRPr="009C5EFD">
        <w:rPr>
          <w:sz w:val="22"/>
          <w:szCs w:val="22"/>
        </w:rPr>
        <w:t xml:space="preserve"> med den revmatologiske behandling som allerede var innledet, forutsatt at behandlingen hadde vært stabil i minst 28 dager. Disse legemidlene inkluderer metotreksat, leflunomid, hydroksyklorokin, sulfasalazin og/eller gullsalter. Pasientene ble randomisert til behandling med enten 40 mg Humira eller placebo annenhver uke i 24</w:t>
      </w:r>
      <w:r w:rsidR="00315F16" w:rsidRPr="009C5EFD">
        <w:rPr>
          <w:sz w:val="22"/>
          <w:szCs w:val="22"/>
        </w:rPr>
        <w:t> uker</w:t>
      </w:r>
      <w:r w:rsidRPr="009C5EFD">
        <w:rPr>
          <w:sz w:val="22"/>
          <w:szCs w:val="22"/>
        </w:rPr>
        <w:t>.</w:t>
      </w:r>
    </w:p>
    <w:p w14:paraId="734929A9" w14:textId="77777777" w:rsidR="001E500F" w:rsidRPr="009C5EFD" w:rsidRDefault="001E500F" w:rsidP="009C5EFD">
      <w:pPr>
        <w:rPr>
          <w:sz w:val="22"/>
          <w:szCs w:val="22"/>
        </w:rPr>
      </w:pPr>
    </w:p>
    <w:p w14:paraId="58D02F14" w14:textId="77777777" w:rsidR="001E500F" w:rsidRPr="009C5EFD" w:rsidRDefault="00E453CD" w:rsidP="009C5EFD">
      <w:pPr>
        <w:rPr>
          <w:sz w:val="22"/>
          <w:szCs w:val="22"/>
        </w:rPr>
      </w:pPr>
      <w:r w:rsidRPr="009C5EFD">
        <w:rPr>
          <w:sz w:val="22"/>
          <w:szCs w:val="22"/>
        </w:rPr>
        <w:t xml:space="preserve">RA-studie V </w:t>
      </w:r>
      <w:r w:rsidR="003D3CAB">
        <w:rPr>
          <w:sz w:val="22"/>
          <w:szCs w:val="22"/>
        </w:rPr>
        <w:t>vurderte</w:t>
      </w:r>
      <w:r w:rsidRPr="009C5EFD">
        <w:rPr>
          <w:sz w:val="22"/>
          <w:szCs w:val="22"/>
        </w:rPr>
        <w:t xml:space="preserve"> 799 voksne pasienter med moderat til alvorlig aktiv tidlig revmatoid artritt, som ikke hadde fått metotreksat tidligere (gjennomsnittlig sykdomsvarighet mindre enn 9</w:t>
      </w:r>
      <w:r w:rsidR="00315F16" w:rsidRPr="009C5EFD">
        <w:rPr>
          <w:sz w:val="22"/>
          <w:szCs w:val="22"/>
        </w:rPr>
        <w:t> måned</w:t>
      </w:r>
      <w:r w:rsidRPr="009C5EFD">
        <w:rPr>
          <w:sz w:val="22"/>
          <w:szCs w:val="22"/>
        </w:rPr>
        <w:t xml:space="preserve">er). Denne studien </w:t>
      </w:r>
      <w:r w:rsidR="006B250F">
        <w:rPr>
          <w:sz w:val="22"/>
          <w:szCs w:val="22"/>
        </w:rPr>
        <w:t>vurderte</w:t>
      </w:r>
      <w:r w:rsidRPr="009C5EFD">
        <w:rPr>
          <w:sz w:val="22"/>
          <w:szCs w:val="22"/>
        </w:rPr>
        <w:t xml:space="preserve"> effekten av kombinasjonsbehandling Humira 40</w:t>
      </w:r>
      <w:r w:rsidR="00E55E5D" w:rsidRPr="009C5EFD">
        <w:rPr>
          <w:sz w:val="22"/>
          <w:szCs w:val="22"/>
        </w:rPr>
        <w:t> mg</w:t>
      </w:r>
      <w:r w:rsidRPr="009C5EFD">
        <w:rPr>
          <w:sz w:val="22"/>
          <w:szCs w:val="22"/>
        </w:rPr>
        <w:t xml:space="preserve"> annen</w:t>
      </w:r>
      <w:r w:rsidR="00666CFA">
        <w:rPr>
          <w:sz w:val="22"/>
          <w:szCs w:val="22"/>
        </w:rPr>
        <w:t>hver</w:t>
      </w:r>
      <w:r w:rsidRPr="009C5EFD">
        <w:rPr>
          <w:sz w:val="22"/>
          <w:szCs w:val="22"/>
        </w:rPr>
        <w:t xml:space="preserve"> uke/metotreksat, Humira 40</w:t>
      </w:r>
      <w:r w:rsidR="00E55E5D" w:rsidRPr="009C5EFD">
        <w:rPr>
          <w:sz w:val="22"/>
          <w:szCs w:val="22"/>
        </w:rPr>
        <w:t> mg</w:t>
      </w:r>
      <w:r w:rsidRPr="009C5EFD">
        <w:rPr>
          <w:sz w:val="22"/>
          <w:szCs w:val="22"/>
        </w:rPr>
        <w:t xml:space="preserve"> annen</w:t>
      </w:r>
      <w:r w:rsidR="00666CFA">
        <w:rPr>
          <w:sz w:val="22"/>
          <w:szCs w:val="22"/>
        </w:rPr>
        <w:t>hver</w:t>
      </w:r>
      <w:r w:rsidRPr="009C5EFD">
        <w:rPr>
          <w:sz w:val="22"/>
          <w:szCs w:val="22"/>
        </w:rPr>
        <w:t xml:space="preserve"> uke i monoterapi og metotreksat monoterapi, på reduksjon av tegn og symptomer og grad av progresjon i leddskade ved revmatoid artritt i 104</w:t>
      </w:r>
      <w:r w:rsidR="00315F16" w:rsidRPr="009C5EFD">
        <w:rPr>
          <w:sz w:val="22"/>
          <w:szCs w:val="22"/>
        </w:rPr>
        <w:t> uker</w:t>
      </w:r>
      <w:r w:rsidRPr="009C5EFD">
        <w:rPr>
          <w:sz w:val="22"/>
          <w:szCs w:val="22"/>
        </w:rPr>
        <w:t>.</w:t>
      </w:r>
      <w:r w:rsidR="00624EAF">
        <w:rPr>
          <w:sz w:val="22"/>
          <w:szCs w:val="22"/>
        </w:rPr>
        <w:t xml:space="preserve"> Etter avslutning av de første 104 uke</w:t>
      </w:r>
      <w:r w:rsidR="00F934F7">
        <w:rPr>
          <w:sz w:val="22"/>
          <w:szCs w:val="22"/>
        </w:rPr>
        <w:t>ne</w:t>
      </w:r>
      <w:r w:rsidR="00624EAF">
        <w:rPr>
          <w:sz w:val="22"/>
          <w:szCs w:val="22"/>
        </w:rPr>
        <w:t xml:space="preserve">, ble 497 pasienter inkludert i en åpen forlengelsesfase hvor Humira 40 mg ble gitt annenhver uke </w:t>
      </w:r>
      <w:r w:rsidR="00F934F7">
        <w:rPr>
          <w:sz w:val="22"/>
          <w:szCs w:val="22"/>
        </w:rPr>
        <w:t xml:space="preserve">i </w:t>
      </w:r>
      <w:r w:rsidR="00624EAF">
        <w:rPr>
          <w:sz w:val="22"/>
          <w:szCs w:val="22"/>
        </w:rPr>
        <w:t>opptil 10 år.</w:t>
      </w:r>
    </w:p>
    <w:p w14:paraId="45AB07AE" w14:textId="77777777" w:rsidR="001E500F" w:rsidRPr="009C5EFD" w:rsidRDefault="001E500F" w:rsidP="009C5EFD">
      <w:pPr>
        <w:rPr>
          <w:sz w:val="22"/>
          <w:szCs w:val="22"/>
        </w:rPr>
      </w:pPr>
    </w:p>
    <w:p w14:paraId="4D5269E3" w14:textId="77777777" w:rsidR="001E500F" w:rsidRPr="009C5EFD" w:rsidRDefault="00E453CD" w:rsidP="009C5EFD">
      <w:pPr>
        <w:rPr>
          <w:sz w:val="22"/>
          <w:szCs w:val="22"/>
        </w:rPr>
      </w:pPr>
      <w:r w:rsidRPr="009C5EFD">
        <w:rPr>
          <w:sz w:val="22"/>
          <w:szCs w:val="22"/>
        </w:rPr>
        <w:t xml:space="preserve">RA-studier VI og VII </w:t>
      </w:r>
      <w:r w:rsidR="003D3CAB">
        <w:rPr>
          <w:sz w:val="22"/>
          <w:szCs w:val="22"/>
        </w:rPr>
        <w:t>vurderte</w:t>
      </w:r>
      <w:r w:rsidRPr="009C5EFD">
        <w:rPr>
          <w:sz w:val="22"/>
          <w:szCs w:val="22"/>
        </w:rPr>
        <w:t xml:space="preserve"> 60</w:t>
      </w:r>
      <w:r w:rsidR="00315F16" w:rsidRPr="009C5EFD">
        <w:rPr>
          <w:sz w:val="22"/>
          <w:szCs w:val="22"/>
        </w:rPr>
        <w:t> pasient</w:t>
      </w:r>
      <w:r w:rsidRPr="009C5EFD">
        <w:rPr>
          <w:sz w:val="22"/>
          <w:szCs w:val="22"/>
        </w:rPr>
        <w:t xml:space="preserve">er </w:t>
      </w:r>
      <w:r w:rsidR="009036C2" w:rsidRPr="009C5EFD">
        <w:rPr>
          <w:sz w:val="22"/>
          <w:szCs w:val="22"/>
        </w:rPr>
        <w:t xml:space="preserve">hver </w:t>
      </w:r>
      <w:r w:rsidRPr="009C5EFD">
        <w:rPr>
          <w:sz w:val="22"/>
          <w:szCs w:val="22"/>
        </w:rPr>
        <w:t xml:space="preserve">med moderat til </w:t>
      </w:r>
      <w:r w:rsidR="00021903">
        <w:rPr>
          <w:sz w:val="22"/>
          <w:szCs w:val="22"/>
        </w:rPr>
        <w:t>alvorlig</w:t>
      </w:r>
      <w:r w:rsidRPr="009C5EFD">
        <w:rPr>
          <w:sz w:val="22"/>
          <w:szCs w:val="22"/>
        </w:rPr>
        <w:t xml:space="preserve"> aktiv revmatoid artritt og som var</w:t>
      </w:r>
      <w:r w:rsidRPr="007866C9">
        <w:rPr>
          <w:sz w:val="22"/>
          <w:szCs w:val="22"/>
        </w:rPr>
        <w:t xml:space="preserve"> </w:t>
      </w:r>
      <w:r w:rsidRPr="00776A84">
        <w:rPr>
          <w:sz w:val="22"/>
          <w:szCs w:val="22"/>
        </w:rPr>
        <w:t>≥ </w:t>
      </w:r>
      <w:r w:rsidRPr="007866C9">
        <w:rPr>
          <w:sz w:val="22"/>
          <w:szCs w:val="22"/>
        </w:rPr>
        <w:t>18</w:t>
      </w:r>
      <w:r w:rsidR="00315F16" w:rsidRPr="007866C9">
        <w:rPr>
          <w:sz w:val="22"/>
          <w:szCs w:val="22"/>
        </w:rPr>
        <w:t> år</w:t>
      </w:r>
      <w:r w:rsidRPr="007866C9">
        <w:rPr>
          <w:sz w:val="22"/>
          <w:szCs w:val="22"/>
        </w:rPr>
        <w:t>.</w:t>
      </w:r>
      <w:r w:rsidRPr="009C5EFD">
        <w:rPr>
          <w:sz w:val="22"/>
          <w:szCs w:val="22"/>
        </w:rPr>
        <w:t xml:space="preserve"> Inkluderte pasienter var enten nåværende brukere av Humira 40 mg/0,8 ml og som rangerte den gjennomsnittlige smerten ved injeksjonsstedet til minst 3 cm (på en 0-10 cm VAS) eller pasienter som var naive til biologiske legemidler når de startet med Humira 40 mg/0,8 ml</w:t>
      </w:r>
      <w:r w:rsidR="00AD016E" w:rsidRPr="009C5EFD">
        <w:rPr>
          <w:sz w:val="22"/>
          <w:szCs w:val="22"/>
        </w:rPr>
        <w:t>. Pasienter ble randomisert til å få en enkelt dose Humira 40 mg/0,8 ml eller Humira 40 mg/0,4 ml</w:t>
      </w:r>
      <w:r w:rsidRPr="009C5EFD">
        <w:rPr>
          <w:sz w:val="22"/>
          <w:szCs w:val="22"/>
        </w:rPr>
        <w:t>, etterfulgt av en enkeltinjeksjon med den motsatte behandlingen ved den neste dosen.</w:t>
      </w:r>
    </w:p>
    <w:p w14:paraId="6DB514D6" w14:textId="77777777" w:rsidR="001E500F" w:rsidRPr="009C5EFD" w:rsidRDefault="001E500F" w:rsidP="009C5EFD">
      <w:pPr>
        <w:rPr>
          <w:sz w:val="22"/>
          <w:szCs w:val="22"/>
        </w:rPr>
      </w:pPr>
    </w:p>
    <w:p w14:paraId="56ED3ABF" w14:textId="77777777" w:rsidR="001E500F" w:rsidRPr="009C5EFD" w:rsidRDefault="00E453CD" w:rsidP="009C5EFD">
      <w:pPr>
        <w:rPr>
          <w:sz w:val="22"/>
          <w:szCs w:val="22"/>
        </w:rPr>
      </w:pPr>
      <w:r w:rsidRPr="009C5EFD">
        <w:rPr>
          <w:sz w:val="22"/>
          <w:szCs w:val="22"/>
        </w:rPr>
        <w:t xml:space="preserve">Det primære endepunkt i RA-studiene I, II og III og det sekundære endepunkt i RA-studie IV var prosentandelen av pasientene som oppnådde en ACR (American College of Rheumatology) 20-respons ved </w:t>
      </w:r>
      <w:r w:rsidR="00315F16" w:rsidRPr="009C5EFD">
        <w:rPr>
          <w:sz w:val="22"/>
          <w:szCs w:val="22"/>
        </w:rPr>
        <w:t>uke </w:t>
      </w:r>
      <w:r w:rsidRPr="009C5EFD">
        <w:rPr>
          <w:sz w:val="22"/>
          <w:szCs w:val="22"/>
        </w:rPr>
        <w:t xml:space="preserve">24 eller 26.  Primært endepunkt i RA-studie V var andel pasienter som oppnådde ACR 50-respons ved </w:t>
      </w:r>
      <w:r w:rsidR="00315F16" w:rsidRPr="009C5EFD">
        <w:rPr>
          <w:sz w:val="22"/>
          <w:szCs w:val="22"/>
        </w:rPr>
        <w:t>uke </w:t>
      </w:r>
      <w:r w:rsidRPr="009C5EFD">
        <w:rPr>
          <w:sz w:val="22"/>
          <w:szCs w:val="22"/>
        </w:rPr>
        <w:t xml:space="preserve">52. RA-studiene III og V hadde i tillegg et primært endepunkt ved </w:t>
      </w:r>
      <w:r w:rsidR="00315F16" w:rsidRPr="009C5EFD">
        <w:rPr>
          <w:sz w:val="22"/>
          <w:szCs w:val="22"/>
        </w:rPr>
        <w:t>uke </w:t>
      </w:r>
      <w:r w:rsidRPr="009C5EFD">
        <w:rPr>
          <w:sz w:val="22"/>
          <w:szCs w:val="22"/>
        </w:rPr>
        <w:t>52 som gjaldt forsinkelse av sykdomsprogresjon (vurdert på grunnlag av røntgenundersøkelse). RA-studie III hadde også forandringer i livskvalitet som et primært endepunkt.</w:t>
      </w:r>
      <w:r w:rsidR="00E82415" w:rsidRPr="009C5EFD">
        <w:rPr>
          <w:sz w:val="22"/>
          <w:szCs w:val="22"/>
        </w:rPr>
        <w:t xml:space="preserve"> Det primære endepunktet i RA-studiene VI og VII var smerter ved injeksjonsstedet </w:t>
      </w:r>
      <w:r w:rsidR="00666CFA">
        <w:rPr>
          <w:sz w:val="22"/>
          <w:szCs w:val="22"/>
        </w:rPr>
        <w:t xml:space="preserve">umiddelbart etter injeksjon </w:t>
      </w:r>
      <w:r w:rsidR="00E82415" w:rsidRPr="009C5EFD">
        <w:rPr>
          <w:sz w:val="22"/>
          <w:szCs w:val="22"/>
        </w:rPr>
        <w:t>som målt ved 0-10 cm VAS.</w:t>
      </w:r>
    </w:p>
    <w:p w14:paraId="65F38587" w14:textId="77777777" w:rsidR="001E500F" w:rsidRPr="009C5EFD" w:rsidRDefault="001E500F" w:rsidP="009C5EFD">
      <w:pPr>
        <w:pStyle w:val="Heading8"/>
        <w:keepNext w:val="0"/>
        <w:rPr>
          <w:szCs w:val="22"/>
        </w:rPr>
      </w:pPr>
    </w:p>
    <w:p w14:paraId="4A568B92" w14:textId="77777777" w:rsidR="001E500F" w:rsidRPr="009C5EFD" w:rsidRDefault="00E453CD" w:rsidP="00776A84">
      <w:pPr>
        <w:pStyle w:val="Heading8"/>
        <w:rPr>
          <w:i/>
          <w:szCs w:val="22"/>
        </w:rPr>
      </w:pPr>
      <w:r w:rsidRPr="009C5EFD">
        <w:rPr>
          <w:i/>
          <w:szCs w:val="22"/>
        </w:rPr>
        <w:t>ACR-respons</w:t>
      </w:r>
    </w:p>
    <w:p w14:paraId="75353FB8" w14:textId="77777777" w:rsidR="001E500F" w:rsidRPr="009C5EFD" w:rsidRDefault="001E500F" w:rsidP="00776A84">
      <w:pPr>
        <w:keepNext/>
        <w:rPr>
          <w:sz w:val="22"/>
          <w:szCs w:val="22"/>
        </w:rPr>
      </w:pPr>
    </w:p>
    <w:p w14:paraId="16DA7453" w14:textId="77777777" w:rsidR="001E500F" w:rsidRPr="009C5EFD" w:rsidRDefault="00E453CD" w:rsidP="009C5EFD">
      <w:pPr>
        <w:rPr>
          <w:sz w:val="22"/>
        </w:rPr>
      </w:pPr>
      <w:r w:rsidRPr="009C5EFD">
        <w:rPr>
          <w:sz w:val="22"/>
          <w:szCs w:val="22"/>
        </w:rPr>
        <w:t>Prosentandelen av pasienter behandlet med Humira som oppnådde respons på ACR 20, 50 eller 70 i RA-studiene I, II og III var samsvarende. Resultatene for doseringen på 40</w:t>
      </w:r>
      <w:r w:rsidR="00E55E5D" w:rsidRPr="009C5EFD">
        <w:rPr>
          <w:sz w:val="22"/>
          <w:szCs w:val="22"/>
        </w:rPr>
        <w:t> mg</w:t>
      </w:r>
      <w:r w:rsidRPr="009C5EFD">
        <w:rPr>
          <w:sz w:val="22"/>
          <w:szCs w:val="22"/>
        </w:rPr>
        <w:t xml:space="preserve"> annenhver uke er oppsummert i tabell </w:t>
      </w:r>
      <w:r w:rsidR="00634DDF">
        <w:rPr>
          <w:sz w:val="22"/>
          <w:szCs w:val="22"/>
        </w:rPr>
        <w:t>8</w:t>
      </w:r>
      <w:r w:rsidRPr="009C5EFD">
        <w:rPr>
          <w:sz w:val="22"/>
          <w:szCs w:val="22"/>
        </w:rPr>
        <w:t>.</w:t>
      </w:r>
    </w:p>
    <w:p w14:paraId="55AD5F01" w14:textId="77777777" w:rsidR="001E500F" w:rsidRPr="009C5EFD" w:rsidRDefault="001E500F" w:rsidP="009C5EFD"/>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76"/>
        <w:gridCol w:w="1276"/>
        <w:gridCol w:w="1417"/>
      </w:tblGrid>
      <w:tr w:rsidR="004644D4" w14:paraId="7D3A2914" w14:textId="77777777" w:rsidTr="00E82415">
        <w:tc>
          <w:tcPr>
            <w:tcW w:w="9124" w:type="dxa"/>
            <w:gridSpan w:val="7"/>
          </w:tcPr>
          <w:p w14:paraId="772294CF" w14:textId="77777777" w:rsidR="00E82415" w:rsidRPr="009C5EFD" w:rsidRDefault="00E453CD" w:rsidP="007E2632">
            <w:pPr>
              <w:pStyle w:val="Brdtekst10"/>
              <w:keepNext/>
              <w:tabs>
                <w:tab w:val="left" w:pos="708"/>
              </w:tabs>
              <w:spacing w:after="0" w:line="240" w:lineRule="auto"/>
              <w:ind w:left="0"/>
              <w:jc w:val="center"/>
              <w:rPr>
                <w:b/>
                <w:sz w:val="22"/>
                <w:szCs w:val="22"/>
                <w:lang w:val="nb-NO"/>
              </w:rPr>
            </w:pPr>
            <w:r w:rsidRPr="009C5EFD">
              <w:rPr>
                <w:b/>
                <w:sz w:val="22"/>
                <w:szCs w:val="22"/>
                <w:lang w:val="nb-NO"/>
              </w:rPr>
              <w:lastRenderedPageBreak/>
              <w:t xml:space="preserve">Tabell </w:t>
            </w:r>
            <w:r w:rsidR="00634DDF">
              <w:rPr>
                <w:b/>
                <w:sz w:val="22"/>
                <w:szCs w:val="22"/>
                <w:lang w:val="nb-NO"/>
              </w:rPr>
              <w:t>8</w:t>
            </w:r>
          </w:p>
          <w:p w14:paraId="04B3B52D" w14:textId="77777777" w:rsidR="00E82415" w:rsidRPr="009C5EFD" w:rsidRDefault="00E453CD" w:rsidP="007E2632">
            <w:pPr>
              <w:pStyle w:val="Brdtekst10"/>
              <w:keepNext/>
              <w:tabs>
                <w:tab w:val="clear" w:pos="1152"/>
                <w:tab w:val="clear" w:pos="1872"/>
              </w:tabs>
              <w:spacing w:after="0" w:line="240" w:lineRule="auto"/>
              <w:ind w:left="0"/>
              <w:jc w:val="center"/>
              <w:rPr>
                <w:b/>
                <w:sz w:val="22"/>
                <w:lang w:val="nb-NO"/>
              </w:rPr>
            </w:pPr>
            <w:r w:rsidRPr="009C5EFD">
              <w:rPr>
                <w:b/>
                <w:sz w:val="22"/>
                <w:szCs w:val="22"/>
                <w:lang w:val="nb-NO"/>
              </w:rPr>
              <w:t>ACR-respons i placebokontrollerte studier (prosentandel av pasientene)</w:t>
            </w:r>
          </w:p>
        </w:tc>
      </w:tr>
      <w:tr w:rsidR="004644D4" w14:paraId="3AE2DAC6" w14:textId="77777777" w:rsidTr="00E82415">
        <w:trPr>
          <w:cantSplit/>
        </w:trPr>
        <w:tc>
          <w:tcPr>
            <w:tcW w:w="1186" w:type="dxa"/>
            <w:tcBorders>
              <w:top w:val="single" w:sz="6" w:space="0" w:color="auto"/>
              <w:right w:val="single" w:sz="6" w:space="0" w:color="auto"/>
            </w:tcBorders>
          </w:tcPr>
          <w:p w14:paraId="3B46EB23" w14:textId="77777777" w:rsidR="00E82415" w:rsidRPr="007F67EE" w:rsidRDefault="00E453CD" w:rsidP="007E2632">
            <w:pPr>
              <w:pStyle w:val="In-texttable"/>
              <w:spacing w:line="240" w:lineRule="auto"/>
              <w:rPr>
                <w:rFonts w:ascii="Times New Roman" w:hAnsi="Times New Roman"/>
                <w:sz w:val="22"/>
                <w:lang w:val="en-GB"/>
              </w:rPr>
            </w:pPr>
            <w:r w:rsidRPr="007F67EE">
              <w:rPr>
                <w:rFonts w:ascii="Times New Roman" w:hAnsi="Times New Roman"/>
                <w:sz w:val="22"/>
                <w:szCs w:val="22"/>
                <w:lang w:val="nb-NO"/>
              </w:rPr>
              <w:t>Respons</w:t>
            </w:r>
          </w:p>
        </w:tc>
        <w:tc>
          <w:tcPr>
            <w:tcW w:w="2684" w:type="dxa"/>
            <w:gridSpan w:val="2"/>
            <w:tcBorders>
              <w:top w:val="single" w:sz="6" w:space="0" w:color="auto"/>
              <w:left w:val="single" w:sz="6" w:space="0" w:color="auto"/>
              <w:bottom w:val="single" w:sz="6" w:space="0" w:color="auto"/>
              <w:right w:val="single" w:sz="6" w:space="0" w:color="auto"/>
            </w:tcBorders>
          </w:tcPr>
          <w:p w14:paraId="2AB775C2" w14:textId="77777777" w:rsidR="00E82415" w:rsidRPr="00C07C98" w:rsidRDefault="00E453CD" w:rsidP="007E2632">
            <w:pPr>
              <w:pStyle w:val="In-texttable"/>
              <w:spacing w:line="240" w:lineRule="auto"/>
              <w:jc w:val="center"/>
              <w:rPr>
                <w:rFonts w:ascii="Times New Roman" w:hAnsi="Times New Roman"/>
                <w:sz w:val="22"/>
                <w:lang w:val="en-GB"/>
              </w:rPr>
            </w:pPr>
            <w:r w:rsidRPr="00193D76">
              <w:rPr>
                <w:rFonts w:ascii="Times New Roman" w:hAnsi="Times New Roman"/>
                <w:sz w:val="22"/>
                <w:szCs w:val="22"/>
                <w:lang w:val="nb-NO"/>
              </w:rPr>
              <w:t>RA-studie I</w:t>
            </w:r>
            <w:r w:rsidRPr="002D0790">
              <w:rPr>
                <w:rFonts w:ascii="Times New Roman" w:hAnsi="Times New Roman"/>
                <w:sz w:val="22"/>
                <w:szCs w:val="22"/>
                <w:vertAlign w:val="superscript"/>
                <w:lang w:val="nb-NO"/>
              </w:rPr>
              <w:t>a</w:t>
            </w:r>
            <w:r w:rsidRPr="00C07C98">
              <w:rPr>
                <w:rFonts w:ascii="Times New Roman" w:hAnsi="Times New Roman"/>
                <w:sz w:val="22"/>
                <w:szCs w:val="22"/>
                <w:lang w:val="nb-NO"/>
              </w:rPr>
              <w:t>**</w:t>
            </w:r>
          </w:p>
        </w:tc>
        <w:tc>
          <w:tcPr>
            <w:tcW w:w="2561" w:type="dxa"/>
            <w:gridSpan w:val="2"/>
            <w:tcBorders>
              <w:top w:val="single" w:sz="6" w:space="0" w:color="auto"/>
              <w:left w:val="single" w:sz="6" w:space="0" w:color="auto"/>
              <w:bottom w:val="single" w:sz="6" w:space="0" w:color="auto"/>
              <w:right w:val="single" w:sz="6" w:space="0" w:color="auto"/>
            </w:tcBorders>
          </w:tcPr>
          <w:p w14:paraId="5B2D575C" w14:textId="77777777" w:rsidR="00E82415" w:rsidRPr="009C5EFD" w:rsidRDefault="00E453CD" w:rsidP="007E2632">
            <w:pPr>
              <w:pStyle w:val="In-texttable"/>
              <w:spacing w:line="240" w:lineRule="auto"/>
              <w:jc w:val="center"/>
              <w:rPr>
                <w:rFonts w:ascii="Times New Roman" w:hAnsi="Times New Roman"/>
                <w:sz w:val="22"/>
                <w:lang w:val="en-GB"/>
              </w:rPr>
            </w:pPr>
            <w:r w:rsidRPr="00E14E58">
              <w:rPr>
                <w:rFonts w:ascii="Times New Roman" w:hAnsi="Times New Roman"/>
                <w:sz w:val="22"/>
                <w:szCs w:val="22"/>
                <w:lang w:val="nb-NO"/>
              </w:rPr>
              <w:t>RA-studie II</w:t>
            </w:r>
            <w:r w:rsidRPr="009C5EFD">
              <w:rPr>
                <w:rFonts w:ascii="Times New Roman" w:hAnsi="Times New Roman"/>
                <w:sz w:val="22"/>
                <w:szCs w:val="22"/>
                <w:vertAlign w:val="superscript"/>
                <w:lang w:val="nb-NO"/>
              </w:rPr>
              <w:t>a</w:t>
            </w:r>
            <w:r w:rsidRPr="009C5EFD">
              <w:rPr>
                <w:rFonts w:ascii="Times New Roman" w:hAnsi="Times New Roman"/>
                <w:sz w:val="22"/>
                <w:szCs w:val="22"/>
                <w:lang w:val="nb-NO"/>
              </w:rPr>
              <w:t>**</w:t>
            </w:r>
          </w:p>
        </w:tc>
        <w:tc>
          <w:tcPr>
            <w:tcW w:w="2693" w:type="dxa"/>
            <w:gridSpan w:val="2"/>
            <w:tcBorders>
              <w:top w:val="single" w:sz="6" w:space="0" w:color="auto"/>
              <w:left w:val="single" w:sz="6" w:space="0" w:color="auto"/>
              <w:bottom w:val="single" w:sz="6" w:space="0" w:color="auto"/>
            </w:tcBorders>
          </w:tcPr>
          <w:p w14:paraId="757D53FD" w14:textId="77777777" w:rsidR="00E82415" w:rsidRPr="009C5EFD" w:rsidRDefault="00E453CD" w:rsidP="007E2632">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RA-studie III</w:t>
            </w:r>
            <w:r w:rsidRPr="009C5EFD">
              <w:rPr>
                <w:rFonts w:ascii="Times New Roman" w:hAnsi="Times New Roman"/>
                <w:sz w:val="22"/>
                <w:szCs w:val="22"/>
                <w:vertAlign w:val="superscript"/>
                <w:lang w:val="nb-NO"/>
              </w:rPr>
              <w:t>a</w:t>
            </w:r>
            <w:r w:rsidRPr="009C5EFD">
              <w:rPr>
                <w:rFonts w:ascii="Times New Roman" w:hAnsi="Times New Roman"/>
                <w:sz w:val="22"/>
                <w:szCs w:val="22"/>
                <w:lang w:val="nb-NO"/>
              </w:rPr>
              <w:t>**</w:t>
            </w:r>
          </w:p>
          <w:p w14:paraId="640BFC81" w14:textId="77777777" w:rsidR="00E82415" w:rsidRPr="009C5EFD" w:rsidRDefault="00E82415" w:rsidP="007E2632">
            <w:pPr>
              <w:pStyle w:val="In-texttable"/>
              <w:spacing w:line="240" w:lineRule="auto"/>
              <w:jc w:val="center"/>
              <w:rPr>
                <w:rFonts w:ascii="Times New Roman" w:hAnsi="Times New Roman"/>
                <w:sz w:val="22"/>
                <w:lang w:val="en-GB"/>
              </w:rPr>
            </w:pPr>
          </w:p>
        </w:tc>
      </w:tr>
      <w:tr w:rsidR="004644D4" w14:paraId="19775CD2" w14:textId="77777777" w:rsidTr="00761BB9">
        <w:trPr>
          <w:cantSplit/>
        </w:trPr>
        <w:tc>
          <w:tcPr>
            <w:tcW w:w="1186" w:type="dxa"/>
            <w:tcBorders>
              <w:bottom w:val="single" w:sz="6" w:space="0" w:color="auto"/>
              <w:right w:val="single" w:sz="6" w:space="0" w:color="auto"/>
            </w:tcBorders>
            <w:vAlign w:val="center"/>
          </w:tcPr>
          <w:p w14:paraId="2BEFA5B6" w14:textId="77777777" w:rsidR="00E82415" w:rsidRPr="007F67EE" w:rsidRDefault="00E82415" w:rsidP="007E2632">
            <w:pPr>
              <w:pStyle w:val="In-texttable"/>
              <w:spacing w:line="240" w:lineRule="auto"/>
              <w:rPr>
                <w:rFonts w:ascii="Times New Roman" w:hAnsi="Times New Roman"/>
                <w:sz w:val="22"/>
                <w:lang w:val="en-GB"/>
              </w:rPr>
            </w:pPr>
          </w:p>
        </w:tc>
        <w:tc>
          <w:tcPr>
            <w:tcW w:w="1134" w:type="dxa"/>
            <w:tcBorders>
              <w:top w:val="single" w:sz="6" w:space="0" w:color="auto"/>
              <w:left w:val="single" w:sz="6" w:space="0" w:color="auto"/>
              <w:bottom w:val="single" w:sz="6" w:space="0" w:color="auto"/>
            </w:tcBorders>
          </w:tcPr>
          <w:p w14:paraId="23B51168" w14:textId="77777777" w:rsidR="00E82415" w:rsidRPr="00C07C98" w:rsidRDefault="00E453CD" w:rsidP="007E2632">
            <w:pPr>
              <w:pStyle w:val="In-texttable"/>
              <w:spacing w:line="240" w:lineRule="auto"/>
              <w:jc w:val="center"/>
              <w:rPr>
                <w:rFonts w:ascii="Times New Roman" w:hAnsi="Times New Roman"/>
                <w:sz w:val="22"/>
                <w:szCs w:val="22"/>
                <w:lang w:val="nb-NO"/>
              </w:rPr>
            </w:pPr>
            <w:r w:rsidRPr="007F67EE">
              <w:rPr>
                <w:rFonts w:ascii="Times New Roman" w:hAnsi="Times New Roman"/>
                <w:sz w:val="22"/>
                <w:szCs w:val="22"/>
                <w:lang w:val="nb-NO"/>
              </w:rPr>
              <w:t>Placebo/ MTX</w:t>
            </w:r>
            <w:r w:rsidRPr="00193D76">
              <w:rPr>
                <w:rFonts w:ascii="Times New Roman" w:hAnsi="Times New Roman"/>
                <w:sz w:val="22"/>
                <w:szCs w:val="22"/>
                <w:vertAlign w:val="superscript"/>
                <w:lang w:val="nb-NO"/>
              </w:rPr>
              <w:t>c</w:t>
            </w:r>
          </w:p>
          <w:p w14:paraId="746997E6" w14:textId="77777777" w:rsidR="00E82415" w:rsidRPr="009C5EFD" w:rsidRDefault="00E453CD" w:rsidP="007E2632">
            <w:pPr>
              <w:pStyle w:val="In-texttable"/>
              <w:spacing w:line="240" w:lineRule="auto"/>
              <w:jc w:val="center"/>
              <w:rPr>
                <w:rFonts w:ascii="Times New Roman" w:hAnsi="Times New Roman"/>
                <w:sz w:val="22"/>
                <w:lang w:val="en-GB"/>
              </w:rPr>
            </w:pPr>
            <w:r w:rsidRPr="00E14E58">
              <w:rPr>
                <w:rFonts w:ascii="Times New Roman" w:hAnsi="Times New Roman"/>
                <w:sz w:val="22"/>
                <w:szCs w:val="22"/>
                <w:lang w:val="nb-NO"/>
              </w:rPr>
              <w:t>n=60</w:t>
            </w:r>
          </w:p>
        </w:tc>
        <w:tc>
          <w:tcPr>
            <w:tcW w:w="1550" w:type="dxa"/>
            <w:tcBorders>
              <w:top w:val="single" w:sz="6" w:space="0" w:color="auto"/>
              <w:bottom w:val="single" w:sz="6" w:space="0" w:color="auto"/>
              <w:right w:val="single" w:sz="6" w:space="0" w:color="auto"/>
            </w:tcBorders>
          </w:tcPr>
          <w:p w14:paraId="11F53996" w14:textId="77777777" w:rsidR="00E82415" w:rsidRPr="009C5EFD" w:rsidRDefault="00E453CD" w:rsidP="007E2632">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r w:rsidRPr="009C5EFD">
              <w:rPr>
                <w:rFonts w:ascii="Times New Roman" w:hAnsi="Times New Roman"/>
                <w:sz w:val="22"/>
                <w:szCs w:val="22"/>
                <w:lang w:val="nb-NO"/>
              </w:rPr>
              <w:t>/ MTX</w:t>
            </w:r>
            <w:r w:rsidRPr="009C5EFD">
              <w:rPr>
                <w:rFonts w:ascii="Times New Roman" w:hAnsi="Times New Roman"/>
                <w:sz w:val="22"/>
                <w:szCs w:val="22"/>
                <w:vertAlign w:val="superscript"/>
                <w:lang w:val="nb-NO"/>
              </w:rPr>
              <w:t>c</w:t>
            </w:r>
          </w:p>
          <w:p w14:paraId="07AED9AE" w14:textId="77777777" w:rsidR="00E82415" w:rsidRPr="009C5EFD" w:rsidRDefault="00E453CD" w:rsidP="007E2632">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n=63</w:t>
            </w:r>
          </w:p>
        </w:tc>
        <w:tc>
          <w:tcPr>
            <w:tcW w:w="1285" w:type="dxa"/>
            <w:tcBorders>
              <w:top w:val="single" w:sz="6" w:space="0" w:color="auto"/>
              <w:left w:val="single" w:sz="6" w:space="0" w:color="auto"/>
              <w:bottom w:val="single" w:sz="6" w:space="0" w:color="auto"/>
            </w:tcBorders>
          </w:tcPr>
          <w:p w14:paraId="59E1A5CD" w14:textId="77777777" w:rsidR="00E82415" w:rsidRPr="009C5EFD" w:rsidRDefault="00E453CD" w:rsidP="007E2632">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w:t>
            </w:r>
          </w:p>
          <w:p w14:paraId="40A28F27" w14:textId="77777777" w:rsidR="00E82415" w:rsidRPr="009C5EFD" w:rsidRDefault="00E453CD" w:rsidP="007E2632">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n=110</w:t>
            </w:r>
          </w:p>
        </w:tc>
        <w:tc>
          <w:tcPr>
            <w:tcW w:w="1276" w:type="dxa"/>
            <w:tcBorders>
              <w:top w:val="single" w:sz="6" w:space="0" w:color="auto"/>
              <w:bottom w:val="single" w:sz="6" w:space="0" w:color="auto"/>
              <w:right w:val="single" w:sz="6" w:space="0" w:color="auto"/>
            </w:tcBorders>
          </w:tcPr>
          <w:p w14:paraId="375A914D" w14:textId="77777777" w:rsidR="00E82415" w:rsidRPr="009C5EFD" w:rsidRDefault="00E453CD" w:rsidP="007E2632">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p>
          <w:p w14:paraId="2885116A" w14:textId="77777777" w:rsidR="00E82415" w:rsidRPr="009C5EFD" w:rsidRDefault="00E453CD" w:rsidP="007E2632">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n=113</w:t>
            </w:r>
          </w:p>
        </w:tc>
        <w:tc>
          <w:tcPr>
            <w:tcW w:w="1276" w:type="dxa"/>
            <w:tcBorders>
              <w:top w:val="single" w:sz="6" w:space="0" w:color="auto"/>
              <w:left w:val="single" w:sz="6" w:space="0" w:color="auto"/>
              <w:bottom w:val="single" w:sz="6" w:space="0" w:color="auto"/>
            </w:tcBorders>
          </w:tcPr>
          <w:p w14:paraId="13F9CC34" w14:textId="77777777" w:rsidR="00E82415" w:rsidRPr="009C5EFD" w:rsidRDefault="00E453CD" w:rsidP="007E2632">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 MTX</w:t>
            </w:r>
            <w:r w:rsidRPr="009C5EFD">
              <w:rPr>
                <w:rFonts w:ascii="Times New Roman" w:hAnsi="Times New Roman"/>
                <w:sz w:val="22"/>
                <w:szCs w:val="22"/>
                <w:vertAlign w:val="superscript"/>
                <w:lang w:val="nb-NO"/>
              </w:rPr>
              <w:t>c</w:t>
            </w:r>
          </w:p>
          <w:p w14:paraId="711B9F4F" w14:textId="77777777" w:rsidR="00E82415" w:rsidRPr="009C5EFD" w:rsidRDefault="00E453CD" w:rsidP="007E2632">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n=200</w:t>
            </w:r>
          </w:p>
        </w:tc>
        <w:tc>
          <w:tcPr>
            <w:tcW w:w="1417" w:type="dxa"/>
            <w:tcBorders>
              <w:top w:val="single" w:sz="6" w:space="0" w:color="auto"/>
              <w:bottom w:val="single" w:sz="6" w:space="0" w:color="auto"/>
            </w:tcBorders>
          </w:tcPr>
          <w:p w14:paraId="4BBB9149" w14:textId="77777777" w:rsidR="00E82415" w:rsidRPr="009C5EFD" w:rsidRDefault="00E453CD" w:rsidP="007E2632">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r w:rsidRPr="009C5EFD">
              <w:rPr>
                <w:rFonts w:ascii="Times New Roman" w:hAnsi="Times New Roman"/>
                <w:sz w:val="22"/>
                <w:szCs w:val="22"/>
                <w:lang w:val="nb-NO"/>
              </w:rPr>
              <w:t>/ MTX</w:t>
            </w:r>
            <w:r w:rsidRPr="009C5EFD">
              <w:rPr>
                <w:rFonts w:ascii="Times New Roman" w:hAnsi="Times New Roman"/>
                <w:sz w:val="22"/>
                <w:szCs w:val="22"/>
                <w:vertAlign w:val="superscript"/>
                <w:lang w:val="nb-NO"/>
              </w:rPr>
              <w:t>c</w:t>
            </w:r>
          </w:p>
          <w:p w14:paraId="75C17376"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n=207</w:t>
            </w:r>
          </w:p>
        </w:tc>
      </w:tr>
      <w:tr w:rsidR="004644D4" w14:paraId="7BE20DCB" w14:textId="77777777" w:rsidTr="00E82415">
        <w:trPr>
          <w:cantSplit/>
        </w:trPr>
        <w:tc>
          <w:tcPr>
            <w:tcW w:w="1186" w:type="dxa"/>
            <w:tcBorders>
              <w:right w:val="single" w:sz="6" w:space="0" w:color="auto"/>
            </w:tcBorders>
          </w:tcPr>
          <w:p w14:paraId="1330ADF2" w14:textId="77777777" w:rsidR="00E82415" w:rsidRPr="007F67EE"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ACR 20</w:t>
            </w:r>
          </w:p>
        </w:tc>
        <w:tc>
          <w:tcPr>
            <w:tcW w:w="1134" w:type="dxa"/>
            <w:tcBorders>
              <w:left w:val="single" w:sz="6" w:space="0" w:color="auto"/>
            </w:tcBorders>
          </w:tcPr>
          <w:p w14:paraId="4D8DE598" w14:textId="77777777" w:rsidR="00E82415" w:rsidRPr="00193D76" w:rsidRDefault="00E82415" w:rsidP="007E2632">
            <w:pPr>
              <w:pStyle w:val="In-texttable"/>
              <w:spacing w:line="240" w:lineRule="auto"/>
              <w:rPr>
                <w:rFonts w:ascii="Times New Roman" w:hAnsi="Times New Roman"/>
                <w:sz w:val="22"/>
                <w:lang w:val="en-GB"/>
              </w:rPr>
            </w:pPr>
          </w:p>
        </w:tc>
        <w:tc>
          <w:tcPr>
            <w:tcW w:w="1550" w:type="dxa"/>
            <w:tcBorders>
              <w:right w:val="single" w:sz="6" w:space="0" w:color="auto"/>
            </w:tcBorders>
          </w:tcPr>
          <w:p w14:paraId="57ADD966" w14:textId="77777777" w:rsidR="00E82415" w:rsidRPr="00C07C98" w:rsidRDefault="00E82415" w:rsidP="007E2632">
            <w:pPr>
              <w:pStyle w:val="In-texttable"/>
              <w:spacing w:line="240" w:lineRule="auto"/>
              <w:rPr>
                <w:rFonts w:ascii="Times New Roman" w:hAnsi="Times New Roman"/>
                <w:sz w:val="22"/>
                <w:lang w:val="en-GB"/>
              </w:rPr>
            </w:pPr>
          </w:p>
        </w:tc>
        <w:tc>
          <w:tcPr>
            <w:tcW w:w="1285" w:type="dxa"/>
            <w:tcBorders>
              <w:left w:val="single" w:sz="6" w:space="0" w:color="auto"/>
            </w:tcBorders>
          </w:tcPr>
          <w:p w14:paraId="437A0E72" w14:textId="77777777" w:rsidR="00E82415" w:rsidRPr="009C5EFD" w:rsidRDefault="00E82415" w:rsidP="007E2632">
            <w:pPr>
              <w:pStyle w:val="In-texttable"/>
              <w:spacing w:line="240" w:lineRule="auto"/>
              <w:rPr>
                <w:rFonts w:ascii="Times New Roman" w:hAnsi="Times New Roman"/>
                <w:sz w:val="22"/>
                <w:lang w:val="en-GB"/>
              </w:rPr>
            </w:pPr>
          </w:p>
        </w:tc>
        <w:tc>
          <w:tcPr>
            <w:tcW w:w="1276" w:type="dxa"/>
            <w:tcBorders>
              <w:right w:val="single" w:sz="6" w:space="0" w:color="auto"/>
            </w:tcBorders>
          </w:tcPr>
          <w:p w14:paraId="3C8916F0" w14:textId="77777777" w:rsidR="00E82415" w:rsidRPr="009C5EFD" w:rsidRDefault="00E82415" w:rsidP="007E2632">
            <w:pPr>
              <w:pStyle w:val="In-texttable"/>
              <w:spacing w:line="240" w:lineRule="auto"/>
              <w:rPr>
                <w:rFonts w:ascii="Times New Roman" w:hAnsi="Times New Roman"/>
                <w:sz w:val="22"/>
                <w:lang w:val="en-GB"/>
              </w:rPr>
            </w:pPr>
          </w:p>
        </w:tc>
        <w:tc>
          <w:tcPr>
            <w:tcW w:w="1276" w:type="dxa"/>
            <w:tcBorders>
              <w:top w:val="single" w:sz="6" w:space="0" w:color="auto"/>
              <w:left w:val="single" w:sz="6" w:space="0" w:color="auto"/>
            </w:tcBorders>
          </w:tcPr>
          <w:p w14:paraId="7241C1C3" w14:textId="77777777" w:rsidR="00E82415" w:rsidRPr="009C5EFD" w:rsidRDefault="00E82415" w:rsidP="007E2632">
            <w:pPr>
              <w:pStyle w:val="In-texttable"/>
              <w:spacing w:line="240" w:lineRule="auto"/>
              <w:rPr>
                <w:rFonts w:ascii="Times New Roman" w:hAnsi="Times New Roman"/>
                <w:sz w:val="22"/>
                <w:lang w:val="en-GB"/>
              </w:rPr>
            </w:pPr>
          </w:p>
        </w:tc>
        <w:tc>
          <w:tcPr>
            <w:tcW w:w="1417" w:type="dxa"/>
            <w:tcBorders>
              <w:top w:val="single" w:sz="6" w:space="0" w:color="auto"/>
            </w:tcBorders>
          </w:tcPr>
          <w:p w14:paraId="5FB3481B" w14:textId="77777777" w:rsidR="00E82415" w:rsidRPr="009C5EFD" w:rsidRDefault="00E82415" w:rsidP="007E2632">
            <w:pPr>
              <w:pStyle w:val="In-texttable"/>
              <w:spacing w:line="240" w:lineRule="auto"/>
              <w:rPr>
                <w:rFonts w:ascii="Times New Roman" w:hAnsi="Times New Roman"/>
                <w:sz w:val="22"/>
                <w:lang w:val="en-GB"/>
              </w:rPr>
            </w:pPr>
          </w:p>
        </w:tc>
      </w:tr>
      <w:tr w:rsidR="004644D4" w14:paraId="1C29356C" w14:textId="77777777" w:rsidTr="00E82415">
        <w:trPr>
          <w:cantSplit/>
        </w:trPr>
        <w:tc>
          <w:tcPr>
            <w:tcW w:w="1186" w:type="dxa"/>
            <w:tcBorders>
              <w:right w:val="single" w:sz="6" w:space="0" w:color="auto"/>
            </w:tcBorders>
          </w:tcPr>
          <w:p w14:paraId="2A382AB8" w14:textId="77777777" w:rsidR="00E82415" w:rsidRPr="00C07C98"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6 </w:t>
            </w:r>
            <w:r w:rsidRPr="00193D76">
              <w:rPr>
                <w:rFonts w:ascii="Times New Roman" w:hAnsi="Times New Roman"/>
                <w:sz w:val="22"/>
                <w:szCs w:val="22"/>
                <w:lang w:val="nb-NO"/>
              </w:rPr>
              <w:t>måneder</w:t>
            </w:r>
          </w:p>
        </w:tc>
        <w:tc>
          <w:tcPr>
            <w:tcW w:w="1134" w:type="dxa"/>
            <w:tcBorders>
              <w:left w:val="single" w:sz="6" w:space="0" w:color="auto"/>
            </w:tcBorders>
          </w:tcPr>
          <w:p w14:paraId="47CBA5FE"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13,3 %</w:t>
            </w:r>
          </w:p>
        </w:tc>
        <w:tc>
          <w:tcPr>
            <w:tcW w:w="1550" w:type="dxa"/>
            <w:tcBorders>
              <w:right w:val="single" w:sz="6" w:space="0" w:color="auto"/>
            </w:tcBorders>
          </w:tcPr>
          <w:p w14:paraId="6AABD03F"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65,1 %</w:t>
            </w:r>
          </w:p>
        </w:tc>
        <w:tc>
          <w:tcPr>
            <w:tcW w:w="1285" w:type="dxa"/>
            <w:tcBorders>
              <w:left w:val="single" w:sz="6" w:space="0" w:color="auto"/>
            </w:tcBorders>
          </w:tcPr>
          <w:p w14:paraId="5C60EBF5"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19,1 %</w:t>
            </w:r>
          </w:p>
        </w:tc>
        <w:tc>
          <w:tcPr>
            <w:tcW w:w="1276" w:type="dxa"/>
            <w:tcBorders>
              <w:right w:val="single" w:sz="6" w:space="0" w:color="auto"/>
            </w:tcBorders>
          </w:tcPr>
          <w:p w14:paraId="0D490580"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46,0 %</w:t>
            </w:r>
          </w:p>
        </w:tc>
        <w:tc>
          <w:tcPr>
            <w:tcW w:w="1276" w:type="dxa"/>
            <w:tcBorders>
              <w:left w:val="single" w:sz="6" w:space="0" w:color="auto"/>
            </w:tcBorders>
          </w:tcPr>
          <w:p w14:paraId="4564BDC4" w14:textId="77777777" w:rsidR="00E82415" w:rsidRPr="009C5EFD" w:rsidRDefault="00E453CD" w:rsidP="007E2632">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29,5 %</w:t>
            </w:r>
          </w:p>
        </w:tc>
        <w:tc>
          <w:tcPr>
            <w:tcW w:w="1417" w:type="dxa"/>
          </w:tcPr>
          <w:p w14:paraId="44D0DFDF" w14:textId="77777777" w:rsidR="00E82415" w:rsidRPr="009C5EFD" w:rsidRDefault="00E453CD" w:rsidP="007E2632">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63,3 %</w:t>
            </w:r>
          </w:p>
        </w:tc>
      </w:tr>
      <w:tr w:rsidR="004644D4" w14:paraId="388C552B" w14:textId="77777777" w:rsidTr="00E82415">
        <w:trPr>
          <w:cantSplit/>
        </w:trPr>
        <w:tc>
          <w:tcPr>
            <w:tcW w:w="1186" w:type="dxa"/>
            <w:tcBorders>
              <w:right w:val="single" w:sz="6" w:space="0" w:color="auto"/>
            </w:tcBorders>
          </w:tcPr>
          <w:p w14:paraId="73F327AE" w14:textId="77777777" w:rsidR="00E82415" w:rsidRPr="00C07C98"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12 </w:t>
            </w:r>
            <w:r w:rsidRPr="00193D76">
              <w:rPr>
                <w:rFonts w:ascii="Times New Roman" w:hAnsi="Times New Roman"/>
                <w:sz w:val="22"/>
                <w:szCs w:val="22"/>
                <w:lang w:val="nb-NO"/>
              </w:rPr>
              <w:t>måneder</w:t>
            </w:r>
          </w:p>
        </w:tc>
        <w:tc>
          <w:tcPr>
            <w:tcW w:w="1134" w:type="dxa"/>
            <w:tcBorders>
              <w:left w:val="single" w:sz="6" w:space="0" w:color="auto"/>
            </w:tcBorders>
          </w:tcPr>
          <w:p w14:paraId="524627EF"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550" w:type="dxa"/>
            <w:tcBorders>
              <w:right w:val="single" w:sz="6" w:space="0" w:color="auto"/>
            </w:tcBorders>
          </w:tcPr>
          <w:p w14:paraId="6876E10D"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285" w:type="dxa"/>
            <w:tcBorders>
              <w:left w:val="single" w:sz="6" w:space="0" w:color="auto"/>
            </w:tcBorders>
          </w:tcPr>
          <w:p w14:paraId="33A498C6" w14:textId="77777777" w:rsidR="00E82415" w:rsidRPr="009C5EFD" w:rsidRDefault="00E453CD" w:rsidP="007E2632">
            <w:pPr>
              <w:pStyle w:val="In-texttable"/>
              <w:tabs>
                <w:tab w:val="decimal" w:pos="151"/>
              </w:tabs>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76" w:type="dxa"/>
            <w:tcBorders>
              <w:right w:val="single" w:sz="6" w:space="0" w:color="auto"/>
            </w:tcBorders>
          </w:tcPr>
          <w:p w14:paraId="4C85B0BB" w14:textId="77777777" w:rsidR="00E82415" w:rsidRPr="009C5EFD" w:rsidRDefault="00E453CD" w:rsidP="007E2632">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76" w:type="dxa"/>
            <w:tcBorders>
              <w:left w:val="single" w:sz="6" w:space="0" w:color="auto"/>
            </w:tcBorders>
          </w:tcPr>
          <w:p w14:paraId="3FD9D6BE" w14:textId="77777777" w:rsidR="00E82415" w:rsidRPr="009C5EFD" w:rsidRDefault="00E453CD" w:rsidP="007E2632">
            <w:pPr>
              <w:pStyle w:val="In-texttable"/>
              <w:tabs>
                <w:tab w:val="decimal" w:pos="567"/>
              </w:tabs>
              <w:spacing w:line="240" w:lineRule="auto"/>
              <w:rPr>
                <w:rFonts w:ascii="Times New Roman" w:hAnsi="Times New Roman"/>
                <w:sz w:val="22"/>
                <w:lang w:val="it-IT"/>
              </w:rPr>
            </w:pPr>
            <w:r w:rsidRPr="009C5EFD">
              <w:rPr>
                <w:rFonts w:ascii="Times New Roman" w:hAnsi="Times New Roman"/>
                <w:sz w:val="22"/>
                <w:szCs w:val="22"/>
                <w:lang w:val="nb-NO"/>
              </w:rPr>
              <w:t>24,0 %</w:t>
            </w:r>
          </w:p>
        </w:tc>
        <w:tc>
          <w:tcPr>
            <w:tcW w:w="1417" w:type="dxa"/>
          </w:tcPr>
          <w:p w14:paraId="23100494" w14:textId="77777777" w:rsidR="00E82415" w:rsidRPr="009C5EFD" w:rsidRDefault="00E453CD" w:rsidP="007E2632">
            <w:pPr>
              <w:pStyle w:val="In-texttable"/>
              <w:tabs>
                <w:tab w:val="decimal" w:pos="662"/>
              </w:tabs>
              <w:spacing w:line="240" w:lineRule="auto"/>
              <w:rPr>
                <w:rFonts w:ascii="Times New Roman" w:hAnsi="Times New Roman"/>
                <w:sz w:val="22"/>
                <w:lang w:val="it-IT"/>
              </w:rPr>
            </w:pPr>
            <w:r w:rsidRPr="009C5EFD">
              <w:rPr>
                <w:rFonts w:ascii="Times New Roman" w:hAnsi="Times New Roman"/>
                <w:sz w:val="22"/>
                <w:szCs w:val="22"/>
                <w:lang w:val="nb-NO"/>
              </w:rPr>
              <w:t>58,9 %</w:t>
            </w:r>
          </w:p>
        </w:tc>
      </w:tr>
      <w:tr w:rsidR="004644D4" w14:paraId="7269CAB1" w14:textId="77777777" w:rsidTr="00E82415">
        <w:trPr>
          <w:cantSplit/>
        </w:trPr>
        <w:tc>
          <w:tcPr>
            <w:tcW w:w="1186" w:type="dxa"/>
            <w:tcBorders>
              <w:right w:val="single" w:sz="6" w:space="0" w:color="auto"/>
            </w:tcBorders>
          </w:tcPr>
          <w:p w14:paraId="7AAC1D52" w14:textId="77777777" w:rsidR="00E82415" w:rsidRPr="007F67EE" w:rsidRDefault="00E453CD" w:rsidP="007E2632">
            <w:pPr>
              <w:pStyle w:val="In-texttable"/>
              <w:tabs>
                <w:tab w:val="left" w:pos="144"/>
              </w:tabs>
              <w:spacing w:line="240" w:lineRule="auto"/>
              <w:rPr>
                <w:rFonts w:ascii="Times New Roman" w:hAnsi="Times New Roman"/>
                <w:sz w:val="22"/>
                <w:lang w:val="it-IT"/>
              </w:rPr>
            </w:pPr>
            <w:r w:rsidRPr="007F67EE">
              <w:rPr>
                <w:rFonts w:ascii="Times New Roman" w:hAnsi="Times New Roman"/>
                <w:sz w:val="22"/>
                <w:szCs w:val="22"/>
                <w:lang w:val="nb-NO"/>
              </w:rPr>
              <w:t>ACR 50</w:t>
            </w:r>
          </w:p>
        </w:tc>
        <w:tc>
          <w:tcPr>
            <w:tcW w:w="1134" w:type="dxa"/>
            <w:tcBorders>
              <w:left w:val="single" w:sz="6" w:space="0" w:color="auto"/>
            </w:tcBorders>
          </w:tcPr>
          <w:p w14:paraId="37EDD6AA" w14:textId="77777777" w:rsidR="00E82415" w:rsidRPr="00193D76" w:rsidRDefault="00E82415" w:rsidP="007E2632">
            <w:pPr>
              <w:pStyle w:val="In-texttable"/>
              <w:spacing w:line="240" w:lineRule="auto"/>
              <w:jc w:val="center"/>
              <w:rPr>
                <w:rFonts w:ascii="Times New Roman" w:hAnsi="Times New Roman"/>
                <w:sz w:val="22"/>
                <w:lang w:val="it-IT"/>
              </w:rPr>
            </w:pPr>
          </w:p>
        </w:tc>
        <w:tc>
          <w:tcPr>
            <w:tcW w:w="1550" w:type="dxa"/>
            <w:tcBorders>
              <w:right w:val="single" w:sz="6" w:space="0" w:color="auto"/>
            </w:tcBorders>
          </w:tcPr>
          <w:p w14:paraId="3A51059C" w14:textId="77777777" w:rsidR="00E82415" w:rsidRPr="00C07C98" w:rsidRDefault="00E82415" w:rsidP="007E2632">
            <w:pPr>
              <w:pStyle w:val="In-texttable"/>
              <w:spacing w:line="240" w:lineRule="auto"/>
              <w:jc w:val="center"/>
              <w:rPr>
                <w:rFonts w:ascii="Times New Roman" w:hAnsi="Times New Roman"/>
                <w:sz w:val="22"/>
                <w:lang w:val="it-IT"/>
              </w:rPr>
            </w:pPr>
          </w:p>
        </w:tc>
        <w:tc>
          <w:tcPr>
            <w:tcW w:w="1285" w:type="dxa"/>
            <w:tcBorders>
              <w:left w:val="single" w:sz="6" w:space="0" w:color="auto"/>
            </w:tcBorders>
          </w:tcPr>
          <w:p w14:paraId="515100F2" w14:textId="77777777" w:rsidR="00E82415" w:rsidRPr="009C5EFD" w:rsidRDefault="00E82415" w:rsidP="007E2632">
            <w:pPr>
              <w:pStyle w:val="In-texttable"/>
              <w:tabs>
                <w:tab w:val="decimal" w:pos="151"/>
              </w:tabs>
              <w:spacing w:line="240" w:lineRule="auto"/>
              <w:jc w:val="center"/>
              <w:rPr>
                <w:rFonts w:ascii="Times New Roman" w:hAnsi="Times New Roman"/>
                <w:sz w:val="22"/>
                <w:lang w:val="it-IT"/>
              </w:rPr>
            </w:pPr>
          </w:p>
        </w:tc>
        <w:tc>
          <w:tcPr>
            <w:tcW w:w="1276" w:type="dxa"/>
            <w:tcBorders>
              <w:right w:val="single" w:sz="6" w:space="0" w:color="auto"/>
            </w:tcBorders>
          </w:tcPr>
          <w:p w14:paraId="2B9E2480" w14:textId="77777777" w:rsidR="00E82415" w:rsidRPr="009C5EFD" w:rsidRDefault="00E82415" w:rsidP="007E2632">
            <w:pPr>
              <w:pStyle w:val="In-texttable"/>
              <w:spacing w:line="240" w:lineRule="auto"/>
              <w:jc w:val="center"/>
              <w:rPr>
                <w:rFonts w:ascii="Times New Roman" w:hAnsi="Times New Roman"/>
                <w:sz w:val="22"/>
                <w:lang w:val="it-IT"/>
              </w:rPr>
            </w:pPr>
          </w:p>
        </w:tc>
        <w:tc>
          <w:tcPr>
            <w:tcW w:w="1276" w:type="dxa"/>
            <w:tcBorders>
              <w:left w:val="single" w:sz="6" w:space="0" w:color="auto"/>
            </w:tcBorders>
          </w:tcPr>
          <w:p w14:paraId="6CEAFB25" w14:textId="77777777" w:rsidR="00E82415" w:rsidRPr="009C5EFD" w:rsidRDefault="00E82415" w:rsidP="007E2632">
            <w:pPr>
              <w:pStyle w:val="In-texttable"/>
              <w:tabs>
                <w:tab w:val="decimal" w:pos="567"/>
              </w:tabs>
              <w:spacing w:line="240" w:lineRule="auto"/>
              <w:rPr>
                <w:rFonts w:ascii="Times New Roman" w:hAnsi="Times New Roman"/>
                <w:sz w:val="22"/>
                <w:lang w:val="it-IT"/>
              </w:rPr>
            </w:pPr>
          </w:p>
        </w:tc>
        <w:tc>
          <w:tcPr>
            <w:tcW w:w="1417" w:type="dxa"/>
          </w:tcPr>
          <w:p w14:paraId="0DB1A092" w14:textId="77777777" w:rsidR="00E82415" w:rsidRPr="009C5EFD" w:rsidRDefault="00E82415" w:rsidP="007E2632">
            <w:pPr>
              <w:pStyle w:val="In-texttable"/>
              <w:tabs>
                <w:tab w:val="decimal" w:pos="662"/>
              </w:tabs>
              <w:spacing w:line="240" w:lineRule="auto"/>
              <w:rPr>
                <w:rFonts w:ascii="Times New Roman" w:hAnsi="Times New Roman"/>
                <w:sz w:val="22"/>
                <w:lang w:val="it-IT"/>
              </w:rPr>
            </w:pPr>
          </w:p>
        </w:tc>
      </w:tr>
      <w:tr w:rsidR="004644D4" w14:paraId="02D9DEED" w14:textId="77777777" w:rsidTr="00E82415">
        <w:trPr>
          <w:cantSplit/>
        </w:trPr>
        <w:tc>
          <w:tcPr>
            <w:tcW w:w="1186" w:type="dxa"/>
            <w:tcBorders>
              <w:right w:val="single" w:sz="6" w:space="0" w:color="auto"/>
            </w:tcBorders>
          </w:tcPr>
          <w:p w14:paraId="5F91D758" w14:textId="77777777" w:rsidR="00E82415" w:rsidRPr="00C07C98"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6 </w:t>
            </w:r>
            <w:r w:rsidRPr="00193D76">
              <w:rPr>
                <w:rFonts w:ascii="Times New Roman" w:hAnsi="Times New Roman"/>
                <w:sz w:val="22"/>
                <w:szCs w:val="22"/>
                <w:lang w:val="nb-NO"/>
              </w:rPr>
              <w:t>måneder</w:t>
            </w:r>
          </w:p>
        </w:tc>
        <w:tc>
          <w:tcPr>
            <w:tcW w:w="1134" w:type="dxa"/>
            <w:tcBorders>
              <w:left w:val="single" w:sz="6" w:space="0" w:color="auto"/>
            </w:tcBorders>
          </w:tcPr>
          <w:p w14:paraId="78FF2C4C" w14:textId="77777777" w:rsidR="00E82415" w:rsidRPr="009C5EFD" w:rsidRDefault="00E453CD" w:rsidP="007E2632">
            <w:pPr>
              <w:pStyle w:val="In-texttable"/>
              <w:tabs>
                <w:tab w:val="decimal" w:pos="117"/>
              </w:tabs>
              <w:spacing w:line="240" w:lineRule="auto"/>
              <w:jc w:val="center"/>
              <w:rPr>
                <w:rFonts w:ascii="Times New Roman" w:hAnsi="Times New Roman"/>
                <w:sz w:val="22"/>
                <w:lang w:val="en-GB"/>
              </w:rPr>
            </w:pPr>
            <w:r w:rsidRPr="009C5EFD">
              <w:rPr>
                <w:rFonts w:ascii="Times New Roman" w:hAnsi="Times New Roman"/>
                <w:sz w:val="22"/>
                <w:szCs w:val="22"/>
                <w:lang w:val="nb-NO"/>
              </w:rPr>
              <w:t>6,7 %</w:t>
            </w:r>
          </w:p>
        </w:tc>
        <w:tc>
          <w:tcPr>
            <w:tcW w:w="1550" w:type="dxa"/>
            <w:tcBorders>
              <w:right w:val="single" w:sz="6" w:space="0" w:color="auto"/>
            </w:tcBorders>
          </w:tcPr>
          <w:p w14:paraId="70535DF0"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52,4 %</w:t>
            </w:r>
          </w:p>
        </w:tc>
        <w:tc>
          <w:tcPr>
            <w:tcW w:w="1285" w:type="dxa"/>
            <w:tcBorders>
              <w:left w:val="single" w:sz="6" w:space="0" w:color="auto"/>
            </w:tcBorders>
          </w:tcPr>
          <w:p w14:paraId="4947A39E" w14:textId="77777777" w:rsidR="00E82415" w:rsidRPr="009C5EFD" w:rsidRDefault="00E453CD" w:rsidP="007E2632">
            <w:pPr>
              <w:pStyle w:val="In-texttable"/>
              <w:tabs>
                <w:tab w:val="decimal" w:pos="151"/>
              </w:tabs>
              <w:spacing w:line="240" w:lineRule="auto"/>
              <w:jc w:val="center"/>
              <w:rPr>
                <w:rFonts w:ascii="Times New Roman" w:hAnsi="Times New Roman"/>
                <w:sz w:val="22"/>
                <w:lang w:val="en-GB"/>
              </w:rPr>
            </w:pPr>
            <w:r w:rsidRPr="009C5EFD">
              <w:rPr>
                <w:rFonts w:ascii="Times New Roman" w:hAnsi="Times New Roman"/>
                <w:sz w:val="22"/>
                <w:szCs w:val="22"/>
                <w:lang w:val="nb-NO"/>
              </w:rPr>
              <w:t>8,2 %</w:t>
            </w:r>
          </w:p>
        </w:tc>
        <w:tc>
          <w:tcPr>
            <w:tcW w:w="1276" w:type="dxa"/>
            <w:tcBorders>
              <w:right w:val="single" w:sz="6" w:space="0" w:color="auto"/>
            </w:tcBorders>
          </w:tcPr>
          <w:p w14:paraId="5C5CBFBC"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22,1 %</w:t>
            </w:r>
          </w:p>
        </w:tc>
        <w:tc>
          <w:tcPr>
            <w:tcW w:w="1276" w:type="dxa"/>
            <w:tcBorders>
              <w:left w:val="single" w:sz="6" w:space="0" w:color="auto"/>
            </w:tcBorders>
          </w:tcPr>
          <w:p w14:paraId="6D34793E" w14:textId="77777777" w:rsidR="00E82415" w:rsidRPr="009C5EFD" w:rsidRDefault="00E453CD" w:rsidP="007E2632">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9,5 %</w:t>
            </w:r>
          </w:p>
        </w:tc>
        <w:tc>
          <w:tcPr>
            <w:tcW w:w="1417" w:type="dxa"/>
          </w:tcPr>
          <w:p w14:paraId="111C3996" w14:textId="77777777" w:rsidR="00E82415" w:rsidRPr="009C5EFD" w:rsidRDefault="00E453CD" w:rsidP="007E2632">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39,1 %</w:t>
            </w:r>
          </w:p>
        </w:tc>
      </w:tr>
      <w:tr w:rsidR="004644D4" w14:paraId="2FD58597" w14:textId="77777777" w:rsidTr="00E82415">
        <w:trPr>
          <w:cantSplit/>
        </w:trPr>
        <w:tc>
          <w:tcPr>
            <w:tcW w:w="1186" w:type="dxa"/>
            <w:tcBorders>
              <w:right w:val="single" w:sz="6" w:space="0" w:color="auto"/>
            </w:tcBorders>
          </w:tcPr>
          <w:p w14:paraId="7B49DCBF" w14:textId="77777777" w:rsidR="00E82415" w:rsidRPr="00C07C98"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12 </w:t>
            </w:r>
            <w:r w:rsidRPr="00193D76">
              <w:rPr>
                <w:rFonts w:ascii="Times New Roman" w:hAnsi="Times New Roman"/>
                <w:sz w:val="22"/>
                <w:szCs w:val="22"/>
                <w:lang w:val="nb-NO"/>
              </w:rPr>
              <w:t>måneder</w:t>
            </w:r>
          </w:p>
        </w:tc>
        <w:tc>
          <w:tcPr>
            <w:tcW w:w="1134" w:type="dxa"/>
            <w:tcBorders>
              <w:left w:val="single" w:sz="6" w:space="0" w:color="auto"/>
            </w:tcBorders>
          </w:tcPr>
          <w:p w14:paraId="5BA6837F" w14:textId="77777777" w:rsidR="00E82415" w:rsidRPr="009C5EFD" w:rsidRDefault="00E453CD" w:rsidP="007E2632">
            <w:pPr>
              <w:pStyle w:val="In-texttable"/>
              <w:tabs>
                <w:tab w:val="decimal" w:pos="117"/>
              </w:tabs>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550" w:type="dxa"/>
            <w:tcBorders>
              <w:right w:val="single" w:sz="6" w:space="0" w:color="auto"/>
            </w:tcBorders>
          </w:tcPr>
          <w:p w14:paraId="1E0F9680" w14:textId="77777777" w:rsidR="00E82415" w:rsidRPr="009C5EFD" w:rsidRDefault="00E453CD" w:rsidP="007E2632">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85" w:type="dxa"/>
            <w:tcBorders>
              <w:left w:val="single" w:sz="6" w:space="0" w:color="auto"/>
            </w:tcBorders>
          </w:tcPr>
          <w:p w14:paraId="570D6D89" w14:textId="77777777" w:rsidR="00E82415" w:rsidRPr="009C5EFD" w:rsidRDefault="00E453CD" w:rsidP="007E2632">
            <w:pPr>
              <w:pStyle w:val="In-texttable"/>
              <w:tabs>
                <w:tab w:val="decimal" w:pos="151"/>
              </w:tabs>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76" w:type="dxa"/>
            <w:tcBorders>
              <w:right w:val="single" w:sz="6" w:space="0" w:color="auto"/>
            </w:tcBorders>
          </w:tcPr>
          <w:p w14:paraId="39301416" w14:textId="77777777" w:rsidR="00E82415" w:rsidRPr="009C5EFD" w:rsidRDefault="00E453CD" w:rsidP="007E2632">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76" w:type="dxa"/>
            <w:tcBorders>
              <w:left w:val="single" w:sz="6" w:space="0" w:color="auto"/>
            </w:tcBorders>
          </w:tcPr>
          <w:p w14:paraId="047F5860" w14:textId="77777777" w:rsidR="00E82415" w:rsidRPr="009C5EFD" w:rsidRDefault="00E453CD" w:rsidP="007E2632">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9,5 %</w:t>
            </w:r>
          </w:p>
        </w:tc>
        <w:tc>
          <w:tcPr>
            <w:tcW w:w="1417" w:type="dxa"/>
          </w:tcPr>
          <w:p w14:paraId="246E2030" w14:textId="77777777" w:rsidR="00E82415" w:rsidRPr="009C5EFD" w:rsidRDefault="00E453CD" w:rsidP="007E2632">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41,5 %</w:t>
            </w:r>
          </w:p>
        </w:tc>
      </w:tr>
      <w:tr w:rsidR="004644D4" w14:paraId="1216DFC6" w14:textId="77777777" w:rsidTr="00E82415">
        <w:trPr>
          <w:cantSplit/>
        </w:trPr>
        <w:tc>
          <w:tcPr>
            <w:tcW w:w="1186" w:type="dxa"/>
            <w:tcBorders>
              <w:right w:val="single" w:sz="6" w:space="0" w:color="auto"/>
            </w:tcBorders>
          </w:tcPr>
          <w:p w14:paraId="2D72B584" w14:textId="77777777" w:rsidR="00E82415" w:rsidRPr="007F67EE" w:rsidRDefault="00E453CD" w:rsidP="007E2632">
            <w:pPr>
              <w:pStyle w:val="In-texttable"/>
              <w:tabs>
                <w:tab w:val="left" w:pos="144"/>
              </w:tabs>
              <w:spacing w:line="240" w:lineRule="auto"/>
              <w:rPr>
                <w:rFonts w:ascii="Times New Roman" w:hAnsi="Times New Roman"/>
                <w:sz w:val="22"/>
                <w:lang w:val="en-GB"/>
              </w:rPr>
            </w:pPr>
            <w:r>
              <w:rPr>
                <w:rFonts w:ascii="Times New Roman" w:hAnsi="Times New Roman"/>
                <w:noProof/>
                <w:lang w:val="en-GB" w:eastAsia="en-GB"/>
              </w:rPr>
              <mc:AlternateContent>
                <mc:Choice Requires="wps">
                  <w:drawing>
                    <wp:anchor distT="0" distB="0" distL="114300" distR="114300" simplePos="0" relativeHeight="251658250" behindDoc="0" locked="0" layoutInCell="0" allowOverlap="1" wp14:anchorId="3CB40D55" wp14:editId="62705AF5">
                      <wp:simplePos x="0" y="0"/>
                      <wp:positionH relativeFrom="column">
                        <wp:posOffset>-4972050</wp:posOffset>
                      </wp:positionH>
                      <wp:positionV relativeFrom="paragraph">
                        <wp:posOffset>38735</wp:posOffset>
                      </wp:positionV>
                      <wp:extent cx="3543300" cy="342900"/>
                      <wp:effectExtent l="0" t="0" r="0" b="0"/>
                      <wp:wrapNone/>
                      <wp:docPr id="3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050DC" w14:textId="77777777" w:rsidR="001F4B85" w:rsidRDefault="001F4B85" w:rsidP="001E500F">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CB40D55" id="Tekstboks 2" o:spid="_x0000_s1035" type="#_x0000_t202" style="position:absolute;margin-left:-391.5pt;margin-top:3.05pt;width:279pt;height:2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Q1CAe+oBAAC3AwAADgAAAAAAAAAAAAAAAAAuAgAAZHJzL2Uyb0RvYy54&#10;bWxQSwECLQAUAAYACAAAACEAFQe2a94AAAAKAQAADwAAAAAAAAAAAAAAAABEBAAAZHJzL2Rvd25y&#10;ZXYueG1sUEsFBgAAAAAEAAQA8wAAAE8FAAAAAA==&#10;" o:allowincell="f" stroked="f">
                      <v:textbox>
                        <w:txbxContent>
                          <w:p w14:paraId="055050DC" w14:textId="77777777" w:rsidR="001F4B85" w:rsidRDefault="001F4B85" w:rsidP="001E500F">
                            <w:pPr>
                              <w:rPr>
                                <w:sz w:val="20"/>
                              </w:rPr>
                            </w:pPr>
                          </w:p>
                        </w:txbxContent>
                      </v:textbox>
                    </v:shape>
                  </w:pict>
                </mc:Fallback>
              </mc:AlternateContent>
            </w:r>
            <w:r w:rsidR="00E82415" w:rsidRPr="007F67EE">
              <w:rPr>
                <w:rFonts w:ascii="Times New Roman" w:hAnsi="Times New Roman"/>
                <w:sz w:val="22"/>
                <w:szCs w:val="22"/>
                <w:lang w:val="nb-NO"/>
              </w:rPr>
              <w:t>ACR 70</w:t>
            </w:r>
          </w:p>
        </w:tc>
        <w:tc>
          <w:tcPr>
            <w:tcW w:w="1134" w:type="dxa"/>
            <w:tcBorders>
              <w:left w:val="single" w:sz="6" w:space="0" w:color="auto"/>
            </w:tcBorders>
          </w:tcPr>
          <w:p w14:paraId="24AA639E" w14:textId="77777777" w:rsidR="00E82415" w:rsidRPr="00193D76" w:rsidRDefault="00E82415" w:rsidP="007E2632">
            <w:pPr>
              <w:pStyle w:val="In-texttable"/>
              <w:tabs>
                <w:tab w:val="decimal" w:pos="117"/>
              </w:tabs>
              <w:spacing w:line="240" w:lineRule="auto"/>
              <w:jc w:val="center"/>
              <w:rPr>
                <w:rFonts w:ascii="Times New Roman" w:hAnsi="Times New Roman"/>
                <w:sz w:val="22"/>
                <w:lang w:val="en-GB"/>
              </w:rPr>
            </w:pPr>
          </w:p>
        </w:tc>
        <w:tc>
          <w:tcPr>
            <w:tcW w:w="1550" w:type="dxa"/>
            <w:tcBorders>
              <w:right w:val="single" w:sz="6" w:space="0" w:color="auto"/>
            </w:tcBorders>
          </w:tcPr>
          <w:p w14:paraId="37BC75FF" w14:textId="77777777" w:rsidR="00E82415" w:rsidRPr="002D0790" w:rsidRDefault="00E82415" w:rsidP="007E2632">
            <w:pPr>
              <w:pStyle w:val="In-texttable"/>
              <w:spacing w:line="240" w:lineRule="auto"/>
              <w:jc w:val="center"/>
              <w:rPr>
                <w:rFonts w:ascii="Times New Roman" w:hAnsi="Times New Roman"/>
                <w:sz w:val="22"/>
                <w:lang w:val="en-GB"/>
              </w:rPr>
            </w:pPr>
          </w:p>
        </w:tc>
        <w:tc>
          <w:tcPr>
            <w:tcW w:w="1285" w:type="dxa"/>
            <w:tcBorders>
              <w:left w:val="single" w:sz="6" w:space="0" w:color="auto"/>
            </w:tcBorders>
          </w:tcPr>
          <w:p w14:paraId="54078A0F" w14:textId="77777777" w:rsidR="00E82415" w:rsidRPr="00C07C98" w:rsidRDefault="00E82415" w:rsidP="007E2632">
            <w:pPr>
              <w:pStyle w:val="In-texttable"/>
              <w:tabs>
                <w:tab w:val="decimal" w:pos="151"/>
              </w:tabs>
              <w:spacing w:line="240" w:lineRule="auto"/>
              <w:jc w:val="center"/>
              <w:rPr>
                <w:rFonts w:ascii="Times New Roman" w:hAnsi="Times New Roman"/>
                <w:sz w:val="22"/>
                <w:lang w:val="en-GB"/>
              </w:rPr>
            </w:pPr>
          </w:p>
        </w:tc>
        <w:tc>
          <w:tcPr>
            <w:tcW w:w="1276" w:type="dxa"/>
            <w:tcBorders>
              <w:right w:val="single" w:sz="6" w:space="0" w:color="auto"/>
            </w:tcBorders>
          </w:tcPr>
          <w:p w14:paraId="404833CC" w14:textId="77777777" w:rsidR="00E82415" w:rsidRPr="00C07C98" w:rsidRDefault="00E82415" w:rsidP="007E2632">
            <w:pPr>
              <w:pStyle w:val="In-texttable"/>
              <w:spacing w:line="240" w:lineRule="auto"/>
              <w:jc w:val="center"/>
              <w:rPr>
                <w:rFonts w:ascii="Times New Roman" w:hAnsi="Times New Roman"/>
                <w:sz w:val="22"/>
                <w:lang w:val="en-GB"/>
              </w:rPr>
            </w:pPr>
          </w:p>
        </w:tc>
        <w:tc>
          <w:tcPr>
            <w:tcW w:w="1276" w:type="dxa"/>
            <w:tcBorders>
              <w:left w:val="single" w:sz="6" w:space="0" w:color="auto"/>
            </w:tcBorders>
          </w:tcPr>
          <w:p w14:paraId="2CF7E47D" w14:textId="77777777" w:rsidR="00E82415" w:rsidRPr="00E14E58" w:rsidRDefault="00E82415" w:rsidP="007E2632">
            <w:pPr>
              <w:pStyle w:val="In-texttable"/>
              <w:tabs>
                <w:tab w:val="decimal" w:pos="567"/>
              </w:tabs>
              <w:spacing w:line="240" w:lineRule="auto"/>
              <w:rPr>
                <w:rFonts w:ascii="Times New Roman" w:hAnsi="Times New Roman"/>
                <w:sz w:val="22"/>
                <w:lang w:val="en-GB"/>
              </w:rPr>
            </w:pPr>
          </w:p>
        </w:tc>
        <w:tc>
          <w:tcPr>
            <w:tcW w:w="1417" w:type="dxa"/>
          </w:tcPr>
          <w:p w14:paraId="3D055EE9" w14:textId="77777777" w:rsidR="00E82415" w:rsidRPr="009C5EFD" w:rsidRDefault="00E82415" w:rsidP="007E2632">
            <w:pPr>
              <w:pStyle w:val="In-texttable"/>
              <w:tabs>
                <w:tab w:val="decimal" w:pos="662"/>
              </w:tabs>
              <w:spacing w:line="240" w:lineRule="auto"/>
              <w:rPr>
                <w:rFonts w:ascii="Times New Roman" w:hAnsi="Times New Roman"/>
                <w:sz w:val="22"/>
                <w:lang w:val="en-GB"/>
              </w:rPr>
            </w:pPr>
          </w:p>
        </w:tc>
      </w:tr>
      <w:tr w:rsidR="004644D4" w14:paraId="11847F66" w14:textId="77777777" w:rsidTr="00E82415">
        <w:trPr>
          <w:cantSplit/>
        </w:trPr>
        <w:tc>
          <w:tcPr>
            <w:tcW w:w="1186" w:type="dxa"/>
            <w:tcBorders>
              <w:right w:val="single" w:sz="6" w:space="0" w:color="auto"/>
            </w:tcBorders>
          </w:tcPr>
          <w:p w14:paraId="12935B37" w14:textId="77777777" w:rsidR="00E82415" w:rsidRPr="00C07C98"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6 </w:t>
            </w:r>
            <w:r w:rsidRPr="00193D76">
              <w:rPr>
                <w:rFonts w:ascii="Times New Roman" w:hAnsi="Times New Roman"/>
                <w:sz w:val="22"/>
                <w:szCs w:val="22"/>
                <w:lang w:val="nb-NO"/>
              </w:rPr>
              <w:t>måneder</w:t>
            </w:r>
          </w:p>
        </w:tc>
        <w:tc>
          <w:tcPr>
            <w:tcW w:w="1134" w:type="dxa"/>
            <w:tcBorders>
              <w:left w:val="single" w:sz="6" w:space="0" w:color="auto"/>
            </w:tcBorders>
          </w:tcPr>
          <w:p w14:paraId="3A1F0DDE" w14:textId="77777777" w:rsidR="00E82415" w:rsidRPr="009C5EFD" w:rsidRDefault="00E453CD" w:rsidP="007E2632">
            <w:pPr>
              <w:pStyle w:val="In-texttable"/>
              <w:tabs>
                <w:tab w:val="decimal" w:pos="117"/>
              </w:tabs>
              <w:spacing w:line="240" w:lineRule="auto"/>
              <w:jc w:val="center"/>
              <w:rPr>
                <w:rFonts w:ascii="Times New Roman" w:hAnsi="Times New Roman"/>
                <w:sz w:val="22"/>
                <w:lang w:val="en-GB"/>
              </w:rPr>
            </w:pPr>
            <w:r w:rsidRPr="009C5EFD">
              <w:rPr>
                <w:rFonts w:ascii="Times New Roman" w:hAnsi="Times New Roman"/>
                <w:sz w:val="22"/>
                <w:szCs w:val="22"/>
                <w:lang w:val="nb-NO"/>
              </w:rPr>
              <w:t>3,3 %</w:t>
            </w:r>
          </w:p>
        </w:tc>
        <w:tc>
          <w:tcPr>
            <w:tcW w:w="1550" w:type="dxa"/>
            <w:tcBorders>
              <w:right w:val="single" w:sz="6" w:space="0" w:color="auto"/>
            </w:tcBorders>
          </w:tcPr>
          <w:p w14:paraId="5463E307"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23,8 %</w:t>
            </w:r>
          </w:p>
        </w:tc>
        <w:tc>
          <w:tcPr>
            <w:tcW w:w="1285" w:type="dxa"/>
            <w:tcBorders>
              <w:left w:val="single" w:sz="6" w:space="0" w:color="auto"/>
            </w:tcBorders>
          </w:tcPr>
          <w:p w14:paraId="1709542B" w14:textId="77777777" w:rsidR="00E82415" w:rsidRPr="009C5EFD" w:rsidRDefault="00E453CD" w:rsidP="007E2632">
            <w:pPr>
              <w:pStyle w:val="In-texttable"/>
              <w:tabs>
                <w:tab w:val="decimal" w:pos="151"/>
              </w:tabs>
              <w:spacing w:line="240" w:lineRule="auto"/>
              <w:jc w:val="center"/>
              <w:rPr>
                <w:rFonts w:ascii="Times New Roman" w:hAnsi="Times New Roman"/>
                <w:sz w:val="22"/>
                <w:lang w:val="en-GB"/>
              </w:rPr>
            </w:pPr>
            <w:r w:rsidRPr="009C5EFD">
              <w:rPr>
                <w:rFonts w:ascii="Times New Roman" w:hAnsi="Times New Roman"/>
                <w:sz w:val="22"/>
                <w:szCs w:val="22"/>
                <w:lang w:val="nb-NO"/>
              </w:rPr>
              <w:t>1,8 %</w:t>
            </w:r>
          </w:p>
        </w:tc>
        <w:tc>
          <w:tcPr>
            <w:tcW w:w="1276" w:type="dxa"/>
            <w:tcBorders>
              <w:right w:val="single" w:sz="6" w:space="0" w:color="auto"/>
            </w:tcBorders>
          </w:tcPr>
          <w:p w14:paraId="5BEEBA2E"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12,4 %</w:t>
            </w:r>
          </w:p>
        </w:tc>
        <w:tc>
          <w:tcPr>
            <w:tcW w:w="1276" w:type="dxa"/>
            <w:tcBorders>
              <w:left w:val="single" w:sz="6" w:space="0" w:color="auto"/>
            </w:tcBorders>
          </w:tcPr>
          <w:p w14:paraId="70695844" w14:textId="77777777" w:rsidR="00E82415" w:rsidRPr="009C5EFD" w:rsidRDefault="00E453CD" w:rsidP="007E2632">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2,5 %</w:t>
            </w:r>
          </w:p>
        </w:tc>
        <w:tc>
          <w:tcPr>
            <w:tcW w:w="1417" w:type="dxa"/>
          </w:tcPr>
          <w:p w14:paraId="146C1594" w14:textId="77777777" w:rsidR="00E82415" w:rsidRPr="009C5EFD" w:rsidRDefault="00E453CD" w:rsidP="007E2632">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20,8 %</w:t>
            </w:r>
          </w:p>
        </w:tc>
      </w:tr>
      <w:tr w:rsidR="004644D4" w14:paraId="6ADD49EE" w14:textId="77777777" w:rsidTr="00E82415">
        <w:trPr>
          <w:cantSplit/>
        </w:trPr>
        <w:tc>
          <w:tcPr>
            <w:tcW w:w="1186" w:type="dxa"/>
            <w:tcBorders>
              <w:bottom w:val="single" w:sz="6" w:space="0" w:color="auto"/>
              <w:right w:val="single" w:sz="6" w:space="0" w:color="auto"/>
            </w:tcBorders>
          </w:tcPr>
          <w:p w14:paraId="23181B1D" w14:textId="77777777" w:rsidR="00E82415" w:rsidRPr="00C07C98" w:rsidRDefault="00E453CD" w:rsidP="007E2632">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12 </w:t>
            </w:r>
            <w:r w:rsidRPr="00193D76">
              <w:rPr>
                <w:rFonts w:ascii="Times New Roman" w:hAnsi="Times New Roman"/>
                <w:sz w:val="22"/>
                <w:szCs w:val="22"/>
                <w:lang w:val="nb-NO"/>
              </w:rPr>
              <w:t>måneder</w:t>
            </w:r>
          </w:p>
        </w:tc>
        <w:tc>
          <w:tcPr>
            <w:tcW w:w="1134" w:type="dxa"/>
            <w:tcBorders>
              <w:left w:val="single" w:sz="6" w:space="0" w:color="auto"/>
              <w:bottom w:val="single" w:sz="6" w:space="0" w:color="auto"/>
            </w:tcBorders>
          </w:tcPr>
          <w:p w14:paraId="6ED4DDB5" w14:textId="77777777" w:rsidR="00E82415" w:rsidRPr="009C5EFD" w:rsidRDefault="00E453CD" w:rsidP="007E2632">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550" w:type="dxa"/>
            <w:tcBorders>
              <w:bottom w:val="single" w:sz="6" w:space="0" w:color="auto"/>
              <w:right w:val="single" w:sz="6" w:space="0" w:color="auto"/>
            </w:tcBorders>
          </w:tcPr>
          <w:p w14:paraId="774A4F1A" w14:textId="77777777" w:rsidR="00E82415" w:rsidRPr="009C5EFD" w:rsidRDefault="00E453CD" w:rsidP="007E2632">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85" w:type="dxa"/>
            <w:tcBorders>
              <w:left w:val="single" w:sz="6" w:space="0" w:color="auto"/>
              <w:bottom w:val="single" w:sz="6" w:space="0" w:color="auto"/>
            </w:tcBorders>
          </w:tcPr>
          <w:p w14:paraId="78C99D71" w14:textId="77777777" w:rsidR="00E82415" w:rsidRPr="009C5EFD" w:rsidRDefault="00E453CD" w:rsidP="007E2632">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76" w:type="dxa"/>
            <w:tcBorders>
              <w:bottom w:val="single" w:sz="6" w:space="0" w:color="auto"/>
              <w:right w:val="single" w:sz="6" w:space="0" w:color="auto"/>
            </w:tcBorders>
          </w:tcPr>
          <w:p w14:paraId="69A9E1C6" w14:textId="77777777" w:rsidR="00E82415" w:rsidRPr="009C5EFD" w:rsidRDefault="00E453CD" w:rsidP="007E2632">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276" w:type="dxa"/>
            <w:tcBorders>
              <w:left w:val="single" w:sz="6" w:space="0" w:color="auto"/>
              <w:bottom w:val="single" w:sz="6" w:space="0" w:color="auto"/>
            </w:tcBorders>
          </w:tcPr>
          <w:p w14:paraId="35474E29" w14:textId="77777777" w:rsidR="00E82415" w:rsidRPr="009C5EFD" w:rsidRDefault="00E453CD" w:rsidP="007E2632">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4,5 %</w:t>
            </w:r>
          </w:p>
        </w:tc>
        <w:tc>
          <w:tcPr>
            <w:tcW w:w="1417" w:type="dxa"/>
            <w:tcBorders>
              <w:bottom w:val="single" w:sz="6" w:space="0" w:color="auto"/>
            </w:tcBorders>
          </w:tcPr>
          <w:p w14:paraId="0B8E3D96" w14:textId="77777777" w:rsidR="00E82415" w:rsidRPr="009C5EFD" w:rsidRDefault="00E453CD" w:rsidP="007E2632">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23,2 %</w:t>
            </w:r>
          </w:p>
        </w:tc>
      </w:tr>
      <w:tr w:rsidR="004644D4" w14:paraId="3737DE9F" w14:textId="77777777" w:rsidTr="00E82415">
        <w:trPr>
          <w:cantSplit/>
        </w:trPr>
        <w:tc>
          <w:tcPr>
            <w:tcW w:w="9124" w:type="dxa"/>
            <w:gridSpan w:val="7"/>
          </w:tcPr>
          <w:p w14:paraId="466A1045" w14:textId="77777777" w:rsidR="00E82415" w:rsidRPr="007F67EE" w:rsidRDefault="00E453CD" w:rsidP="007E2632">
            <w:pPr>
              <w:pStyle w:val="In-textfootnote"/>
              <w:spacing w:before="0" w:line="240" w:lineRule="auto"/>
              <w:ind w:left="144" w:hanging="144"/>
              <w:rPr>
                <w:rFonts w:ascii="Times New Roman" w:hAnsi="Times New Roman"/>
                <w:sz w:val="22"/>
                <w:szCs w:val="22"/>
                <w:lang w:val="nb-NO"/>
              </w:rPr>
            </w:pPr>
            <w:r w:rsidRPr="007F67EE">
              <w:rPr>
                <w:rFonts w:ascii="Times New Roman" w:hAnsi="Times New Roman"/>
                <w:sz w:val="22"/>
                <w:szCs w:val="22"/>
                <w:vertAlign w:val="superscript"/>
                <w:lang w:val="nb-NO"/>
              </w:rPr>
              <w:t>a</w:t>
            </w:r>
            <w:r w:rsidRPr="007F67EE">
              <w:rPr>
                <w:rFonts w:ascii="Times New Roman" w:hAnsi="Times New Roman"/>
                <w:sz w:val="22"/>
                <w:szCs w:val="22"/>
                <w:lang w:val="nb-NO"/>
              </w:rPr>
              <w:tab/>
              <w:t>RA-studie I ved 24 uker, RA-studie II ved 26 uker og RA-studie III ved 24 og 52 uker</w:t>
            </w:r>
          </w:p>
          <w:p w14:paraId="6DFEF49D" w14:textId="77777777" w:rsidR="00E82415" w:rsidRPr="00C07C98" w:rsidRDefault="00E453CD" w:rsidP="007E2632">
            <w:pPr>
              <w:pStyle w:val="In-textfootnote"/>
              <w:spacing w:before="0" w:line="240" w:lineRule="auto"/>
              <w:ind w:left="144" w:hanging="144"/>
              <w:rPr>
                <w:rFonts w:ascii="Times New Roman" w:hAnsi="Times New Roman"/>
                <w:sz w:val="22"/>
                <w:szCs w:val="22"/>
                <w:lang w:val="nb-NO"/>
              </w:rPr>
            </w:pPr>
            <w:r w:rsidRPr="00193D76">
              <w:rPr>
                <w:rFonts w:ascii="Times New Roman" w:hAnsi="Times New Roman"/>
                <w:sz w:val="22"/>
                <w:szCs w:val="22"/>
                <w:vertAlign w:val="superscript"/>
                <w:lang w:val="nb-NO"/>
              </w:rPr>
              <w:t>b</w:t>
            </w:r>
            <w:r w:rsidRPr="002D0790">
              <w:rPr>
                <w:rFonts w:ascii="Times New Roman" w:hAnsi="Times New Roman"/>
                <w:sz w:val="22"/>
                <w:szCs w:val="22"/>
                <w:lang w:val="nb-NO"/>
              </w:rPr>
              <w:tab/>
              <w:t>40 mg Humira administrert annenhver uke</w:t>
            </w:r>
          </w:p>
          <w:p w14:paraId="68FB2B29" w14:textId="77777777" w:rsidR="00E82415" w:rsidRPr="001F5D4B" w:rsidRDefault="00E453CD" w:rsidP="007E2632">
            <w:pPr>
              <w:pStyle w:val="In-textfootnote"/>
              <w:spacing w:before="0" w:line="240" w:lineRule="auto"/>
              <w:ind w:left="144" w:hanging="144"/>
              <w:rPr>
                <w:rFonts w:ascii="Times New Roman" w:hAnsi="Times New Roman"/>
                <w:sz w:val="22"/>
                <w:szCs w:val="22"/>
                <w:lang w:val="sv-SE"/>
              </w:rPr>
            </w:pPr>
            <w:r w:rsidRPr="001F5D4B">
              <w:rPr>
                <w:rFonts w:ascii="Times New Roman" w:hAnsi="Times New Roman"/>
                <w:sz w:val="22"/>
                <w:szCs w:val="22"/>
                <w:vertAlign w:val="superscript"/>
                <w:lang w:val="sv-SE"/>
              </w:rPr>
              <w:t>c</w:t>
            </w:r>
            <w:r w:rsidRPr="001F5D4B">
              <w:rPr>
                <w:rFonts w:ascii="Times New Roman" w:hAnsi="Times New Roman"/>
                <w:sz w:val="22"/>
                <w:szCs w:val="22"/>
                <w:lang w:val="sv-SE"/>
              </w:rPr>
              <w:t xml:space="preserve"> MTX = metotreksat</w:t>
            </w:r>
          </w:p>
          <w:p w14:paraId="06B3B51D" w14:textId="77777777" w:rsidR="00E82415" w:rsidRPr="009C5EFD" w:rsidRDefault="00E453CD" w:rsidP="007E2632">
            <w:pPr>
              <w:pStyle w:val="In-textfootnote"/>
              <w:spacing w:before="0" w:line="240" w:lineRule="auto"/>
              <w:ind w:left="144" w:hanging="144"/>
              <w:rPr>
                <w:rFonts w:ascii="Times New Roman" w:hAnsi="Times New Roman"/>
                <w:sz w:val="22"/>
                <w:lang w:val="fr-FR"/>
              </w:rPr>
            </w:pPr>
            <w:r w:rsidRPr="001F5D4B">
              <w:rPr>
                <w:rFonts w:ascii="Times New Roman" w:hAnsi="Times New Roman"/>
                <w:sz w:val="22"/>
                <w:szCs w:val="22"/>
                <w:lang w:val="sv-SE"/>
              </w:rPr>
              <w:t xml:space="preserve">**p &lt; 0,01, Humira </w:t>
            </w:r>
            <w:r w:rsidRPr="001F5D4B">
              <w:rPr>
                <w:rFonts w:ascii="Times New Roman" w:hAnsi="Times New Roman"/>
                <w:i/>
                <w:sz w:val="22"/>
                <w:szCs w:val="22"/>
                <w:lang w:val="sv-SE"/>
              </w:rPr>
              <w:t>versus</w:t>
            </w:r>
            <w:r w:rsidRPr="001F5D4B">
              <w:rPr>
                <w:rFonts w:ascii="Times New Roman" w:hAnsi="Times New Roman"/>
                <w:sz w:val="22"/>
                <w:szCs w:val="22"/>
                <w:lang w:val="sv-SE"/>
              </w:rPr>
              <w:t xml:space="preserve"> placebo</w:t>
            </w:r>
          </w:p>
        </w:tc>
      </w:tr>
    </w:tbl>
    <w:p w14:paraId="75643F5E" w14:textId="77777777" w:rsidR="001E500F" w:rsidRPr="001F5D4B" w:rsidRDefault="001E500F" w:rsidP="007F67EE">
      <w:pPr>
        <w:rPr>
          <w:sz w:val="22"/>
          <w:szCs w:val="22"/>
          <w:lang w:val="sv-SE"/>
        </w:rPr>
      </w:pPr>
    </w:p>
    <w:p w14:paraId="21DFEF8A" w14:textId="77777777" w:rsidR="001E500F" w:rsidRPr="009C5EFD" w:rsidRDefault="00E453CD" w:rsidP="007F67EE">
      <w:pPr>
        <w:rPr>
          <w:sz w:val="22"/>
          <w:szCs w:val="22"/>
        </w:rPr>
      </w:pPr>
      <w:r w:rsidRPr="00C07C98">
        <w:rPr>
          <w:sz w:val="22"/>
          <w:szCs w:val="22"/>
        </w:rPr>
        <w:t>I RA-studiene I-IV var det bedring etter 24 og 26</w:t>
      </w:r>
      <w:r w:rsidR="00315F16" w:rsidRPr="00C07C98">
        <w:rPr>
          <w:sz w:val="22"/>
          <w:szCs w:val="22"/>
        </w:rPr>
        <w:t> uker</w:t>
      </w:r>
      <w:r w:rsidRPr="00C07C98">
        <w:rPr>
          <w:sz w:val="22"/>
          <w:szCs w:val="22"/>
        </w:rPr>
        <w:t xml:space="preserve"> sammenlignet med placebo av alle individuelle komponenter for ACR-responskriteriene (antall ømme og hovne ledd, legens og pasientens vurdering a</w:t>
      </w:r>
      <w:r w:rsidRPr="00E14E58">
        <w:rPr>
          <w:sz w:val="22"/>
          <w:szCs w:val="22"/>
        </w:rPr>
        <w:t xml:space="preserve">v sykdomsaktivitet og smerte, uførhetsindeks (HAQ) og CRP-verdier (mg/dl)). I RA-studie III vedvarte disse forbedringene frem til </w:t>
      </w:r>
      <w:r w:rsidR="00315F16" w:rsidRPr="009C5EFD">
        <w:rPr>
          <w:sz w:val="22"/>
          <w:szCs w:val="22"/>
        </w:rPr>
        <w:t>uke </w:t>
      </w:r>
      <w:r w:rsidRPr="009C5EFD">
        <w:rPr>
          <w:sz w:val="22"/>
          <w:szCs w:val="22"/>
        </w:rPr>
        <w:t>52.</w:t>
      </w:r>
    </w:p>
    <w:p w14:paraId="26F53450" w14:textId="77777777" w:rsidR="001E500F" w:rsidRPr="009C5EFD" w:rsidRDefault="001E500F" w:rsidP="00193D76">
      <w:pPr>
        <w:rPr>
          <w:sz w:val="22"/>
          <w:szCs w:val="22"/>
        </w:rPr>
      </w:pPr>
    </w:p>
    <w:p w14:paraId="27E496DD" w14:textId="77777777" w:rsidR="001E500F" w:rsidRPr="009C5EFD" w:rsidRDefault="00E453CD" w:rsidP="002D0790">
      <w:pPr>
        <w:rPr>
          <w:sz w:val="22"/>
          <w:szCs w:val="22"/>
        </w:rPr>
      </w:pPr>
      <w:r w:rsidRPr="009C5EFD">
        <w:rPr>
          <w:sz w:val="22"/>
          <w:szCs w:val="22"/>
        </w:rPr>
        <w:t>I den åpne forlengelsen av RA-studie III, vedlikeholdt de fleste pasientene som var ACR respondere sin respons ved oppfølging i opptil 10</w:t>
      </w:r>
      <w:r w:rsidR="00315F16" w:rsidRPr="009C5EFD">
        <w:rPr>
          <w:sz w:val="22"/>
          <w:szCs w:val="22"/>
        </w:rPr>
        <w:t> år</w:t>
      </w:r>
      <w:r w:rsidRPr="009C5EFD">
        <w:rPr>
          <w:sz w:val="22"/>
          <w:szCs w:val="22"/>
        </w:rPr>
        <w:t>. Av 207</w:t>
      </w:r>
      <w:r w:rsidR="00315F16" w:rsidRPr="009C5EFD">
        <w:rPr>
          <w:sz w:val="22"/>
          <w:szCs w:val="22"/>
        </w:rPr>
        <w:t> pasient</w:t>
      </w:r>
      <w:r w:rsidRPr="009C5EFD">
        <w:rPr>
          <w:sz w:val="22"/>
          <w:szCs w:val="22"/>
        </w:rPr>
        <w:t>er som ble randomisert til 40</w:t>
      </w:r>
      <w:r w:rsidR="00E55E5D" w:rsidRPr="009C5EFD">
        <w:rPr>
          <w:sz w:val="22"/>
          <w:szCs w:val="22"/>
        </w:rPr>
        <w:t> mg</w:t>
      </w:r>
      <w:r w:rsidRPr="009C5EFD">
        <w:rPr>
          <w:sz w:val="22"/>
          <w:szCs w:val="22"/>
        </w:rPr>
        <w:t xml:space="preserve"> Humira annenhver uke fortsatte 114</w:t>
      </w:r>
      <w:r w:rsidR="00315F16" w:rsidRPr="009C5EFD">
        <w:rPr>
          <w:sz w:val="22"/>
          <w:szCs w:val="22"/>
        </w:rPr>
        <w:t> pasient</w:t>
      </w:r>
      <w:r w:rsidRPr="009C5EFD">
        <w:rPr>
          <w:sz w:val="22"/>
          <w:szCs w:val="22"/>
        </w:rPr>
        <w:t>er behandling med 40</w:t>
      </w:r>
      <w:r w:rsidR="00E55E5D" w:rsidRPr="009C5EFD">
        <w:rPr>
          <w:sz w:val="22"/>
          <w:szCs w:val="22"/>
        </w:rPr>
        <w:t> mg</w:t>
      </w:r>
      <w:r w:rsidRPr="009C5EFD">
        <w:rPr>
          <w:sz w:val="22"/>
          <w:szCs w:val="22"/>
        </w:rPr>
        <w:t xml:space="preserve"> Humira annenhver uke i 5</w:t>
      </w:r>
      <w:r w:rsidR="00315F16" w:rsidRPr="009C5EFD">
        <w:rPr>
          <w:sz w:val="22"/>
          <w:szCs w:val="22"/>
        </w:rPr>
        <w:t> år</w:t>
      </w:r>
      <w:r w:rsidRPr="009C5EFD">
        <w:rPr>
          <w:sz w:val="22"/>
          <w:szCs w:val="22"/>
        </w:rPr>
        <w:t>. Blant disse hadde 86</w:t>
      </w:r>
      <w:r w:rsidR="00315F16" w:rsidRPr="009C5EFD">
        <w:rPr>
          <w:sz w:val="22"/>
          <w:szCs w:val="22"/>
        </w:rPr>
        <w:t> pasient</w:t>
      </w:r>
      <w:r w:rsidRPr="009C5EFD">
        <w:rPr>
          <w:sz w:val="22"/>
          <w:szCs w:val="22"/>
        </w:rPr>
        <w:t>er (75,4</w:t>
      </w:r>
      <w:r w:rsidR="00315F16" w:rsidRPr="009C5EFD">
        <w:rPr>
          <w:sz w:val="22"/>
          <w:szCs w:val="22"/>
        </w:rPr>
        <w:t> %</w:t>
      </w:r>
      <w:r w:rsidRPr="009C5EFD">
        <w:rPr>
          <w:sz w:val="22"/>
          <w:szCs w:val="22"/>
        </w:rPr>
        <w:t xml:space="preserve">) ACR </w:t>
      </w:r>
      <w:r w:rsidR="00EC5A19">
        <w:rPr>
          <w:sz w:val="22"/>
          <w:szCs w:val="22"/>
        </w:rPr>
        <w:t>20-respons</w:t>
      </w:r>
      <w:r w:rsidRPr="009C5EFD">
        <w:rPr>
          <w:sz w:val="22"/>
          <w:szCs w:val="22"/>
        </w:rPr>
        <w:t>, 72</w:t>
      </w:r>
      <w:r w:rsidR="00315F16" w:rsidRPr="009C5EFD">
        <w:rPr>
          <w:sz w:val="22"/>
          <w:szCs w:val="22"/>
        </w:rPr>
        <w:t> pasient</w:t>
      </w:r>
      <w:r w:rsidRPr="009C5EFD">
        <w:rPr>
          <w:sz w:val="22"/>
          <w:szCs w:val="22"/>
        </w:rPr>
        <w:t>er (63,2</w:t>
      </w:r>
      <w:r w:rsidR="00315F16" w:rsidRPr="009C5EFD">
        <w:rPr>
          <w:sz w:val="22"/>
          <w:szCs w:val="22"/>
        </w:rPr>
        <w:t> %</w:t>
      </w:r>
      <w:r w:rsidRPr="009C5EFD">
        <w:rPr>
          <w:sz w:val="22"/>
          <w:szCs w:val="22"/>
        </w:rPr>
        <w:t xml:space="preserve">) hadde ACR </w:t>
      </w:r>
      <w:r w:rsidR="00EC5A19">
        <w:rPr>
          <w:sz w:val="22"/>
          <w:szCs w:val="22"/>
        </w:rPr>
        <w:t>50-respons</w:t>
      </w:r>
      <w:r w:rsidRPr="009C5EFD">
        <w:rPr>
          <w:sz w:val="22"/>
          <w:szCs w:val="22"/>
        </w:rPr>
        <w:t xml:space="preserve"> og 41</w:t>
      </w:r>
      <w:r w:rsidR="00315F16" w:rsidRPr="009C5EFD">
        <w:rPr>
          <w:sz w:val="22"/>
          <w:szCs w:val="22"/>
        </w:rPr>
        <w:t> pasient</w:t>
      </w:r>
      <w:r w:rsidRPr="009C5EFD">
        <w:rPr>
          <w:sz w:val="22"/>
          <w:szCs w:val="22"/>
        </w:rPr>
        <w:t>er (36,0</w:t>
      </w:r>
      <w:r w:rsidR="00315F16" w:rsidRPr="009C5EFD">
        <w:rPr>
          <w:sz w:val="22"/>
          <w:szCs w:val="22"/>
        </w:rPr>
        <w:t> %</w:t>
      </w:r>
      <w:r w:rsidRPr="009C5EFD">
        <w:rPr>
          <w:sz w:val="22"/>
          <w:szCs w:val="22"/>
        </w:rPr>
        <w:t xml:space="preserve">) hadde ACR </w:t>
      </w:r>
      <w:r w:rsidR="00366B6C">
        <w:rPr>
          <w:sz w:val="22"/>
          <w:szCs w:val="22"/>
        </w:rPr>
        <w:t>70-respons</w:t>
      </w:r>
      <w:r w:rsidRPr="009C5EFD">
        <w:rPr>
          <w:sz w:val="22"/>
          <w:szCs w:val="22"/>
        </w:rPr>
        <w:t>. Av 207</w:t>
      </w:r>
      <w:r w:rsidR="00315F16" w:rsidRPr="009C5EFD">
        <w:rPr>
          <w:sz w:val="22"/>
          <w:szCs w:val="22"/>
        </w:rPr>
        <w:t> pasient</w:t>
      </w:r>
      <w:r w:rsidRPr="009C5EFD">
        <w:rPr>
          <w:sz w:val="22"/>
          <w:szCs w:val="22"/>
        </w:rPr>
        <w:t>er fortsatte 81</w:t>
      </w:r>
      <w:r w:rsidR="00315F16" w:rsidRPr="009C5EFD">
        <w:rPr>
          <w:sz w:val="22"/>
          <w:szCs w:val="22"/>
        </w:rPr>
        <w:t> </w:t>
      </w:r>
      <w:r w:rsidR="003B49EC">
        <w:rPr>
          <w:sz w:val="22"/>
          <w:szCs w:val="22"/>
        </w:rPr>
        <w:t xml:space="preserve">pasienter </w:t>
      </w:r>
      <w:r w:rsidR="002353DA">
        <w:rPr>
          <w:sz w:val="22"/>
          <w:szCs w:val="22"/>
        </w:rPr>
        <w:t>med</w:t>
      </w:r>
      <w:r w:rsidRPr="009C5EFD">
        <w:rPr>
          <w:sz w:val="22"/>
          <w:szCs w:val="22"/>
        </w:rPr>
        <w:t xml:space="preserve"> 40</w:t>
      </w:r>
      <w:r w:rsidR="00E55E5D" w:rsidRPr="009C5EFD">
        <w:rPr>
          <w:sz w:val="22"/>
          <w:szCs w:val="22"/>
        </w:rPr>
        <w:t> mg</w:t>
      </w:r>
      <w:r w:rsidRPr="009C5EFD">
        <w:rPr>
          <w:sz w:val="22"/>
          <w:szCs w:val="22"/>
        </w:rPr>
        <w:t xml:space="preserve"> Humira annenhver uke i 10</w:t>
      </w:r>
      <w:r w:rsidR="00315F16" w:rsidRPr="009C5EFD">
        <w:rPr>
          <w:sz w:val="22"/>
          <w:szCs w:val="22"/>
        </w:rPr>
        <w:t> år</w:t>
      </w:r>
      <w:r w:rsidRPr="009C5EFD">
        <w:rPr>
          <w:sz w:val="22"/>
          <w:szCs w:val="22"/>
        </w:rPr>
        <w:t>. Blant disse hadde 64</w:t>
      </w:r>
      <w:r w:rsidR="00315F16" w:rsidRPr="009C5EFD">
        <w:rPr>
          <w:sz w:val="22"/>
          <w:szCs w:val="22"/>
        </w:rPr>
        <w:t> pasient</w:t>
      </w:r>
      <w:r w:rsidRPr="009C5EFD">
        <w:rPr>
          <w:sz w:val="22"/>
          <w:szCs w:val="22"/>
        </w:rPr>
        <w:t>er (79,0</w:t>
      </w:r>
      <w:r w:rsidR="00315F16" w:rsidRPr="009C5EFD">
        <w:rPr>
          <w:sz w:val="22"/>
          <w:szCs w:val="22"/>
        </w:rPr>
        <w:t> %</w:t>
      </w:r>
      <w:r w:rsidRPr="009C5EFD">
        <w:rPr>
          <w:sz w:val="22"/>
          <w:szCs w:val="22"/>
        </w:rPr>
        <w:t xml:space="preserve">) ACR </w:t>
      </w:r>
      <w:r w:rsidR="00EC5A19">
        <w:rPr>
          <w:sz w:val="22"/>
          <w:szCs w:val="22"/>
        </w:rPr>
        <w:t>20-respons</w:t>
      </w:r>
      <w:r w:rsidRPr="009C5EFD">
        <w:rPr>
          <w:sz w:val="22"/>
          <w:szCs w:val="22"/>
        </w:rPr>
        <w:t>, 56</w:t>
      </w:r>
      <w:r w:rsidR="00315F16" w:rsidRPr="009C5EFD">
        <w:rPr>
          <w:sz w:val="22"/>
          <w:szCs w:val="22"/>
        </w:rPr>
        <w:t> pasient</w:t>
      </w:r>
      <w:r w:rsidRPr="009C5EFD">
        <w:rPr>
          <w:sz w:val="22"/>
          <w:szCs w:val="22"/>
        </w:rPr>
        <w:t>er (69,1</w:t>
      </w:r>
      <w:r w:rsidR="00315F16" w:rsidRPr="009C5EFD">
        <w:rPr>
          <w:sz w:val="22"/>
          <w:szCs w:val="22"/>
        </w:rPr>
        <w:t> %</w:t>
      </w:r>
      <w:r w:rsidRPr="009C5EFD">
        <w:rPr>
          <w:sz w:val="22"/>
          <w:szCs w:val="22"/>
        </w:rPr>
        <w:t xml:space="preserve">) hadde ACR </w:t>
      </w:r>
      <w:r w:rsidR="00EC5A19">
        <w:rPr>
          <w:sz w:val="22"/>
          <w:szCs w:val="22"/>
        </w:rPr>
        <w:t>50-respons</w:t>
      </w:r>
      <w:r w:rsidRPr="009C5EFD">
        <w:rPr>
          <w:sz w:val="22"/>
          <w:szCs w:val="22"/>
        </w:rPr>
        <w:t xml:space="preserve"> og 43</w:t>
      </w:r>
      <w:r w:rsidR="00315F16" w:rsidRPr="009C5EFD">
        <w:rPr>
          <w:sz w:val="22"/>
          <w:szCs w:val="22"/>
        </w:rPr>
        <w:t> pasient</w:t>
      </w:r>
      <w:r w:rsidRPr="009C5EFD">
        <w:rPr>
          <w:sz w:val="22"/>
          <w:szCs w:val="22"/>
        </w:rPr>
        <w:t>er (53,1</w:t>
      </w:r>
      <w:r w:rsidR="00315F16" w:rsidRPr="009C5EFD">
        <w:rPr>
          <w:sz w:val="22"/>
          <w:szCs w:val="22"/>
        </w:rPr>
        <w:t> %</w:t>
      </w:r>
      <w:r w:rsidRPr="009C5EFD">
        <w:rPr>
          <w:sz w:val="22"/>
          <w:szCs w:val="22"/>
        </w:rPr>
        <w:t xml:space="preserve">) hadde ACR </w:t>
      </w:r>
      <w:r w:rsidR="00366B6C">
        <w:rPr>
          <w:sz w:val="22"/>
          <w:szCs w:val="22"/>
        </w:rPr>
        <w:t>70-respons</w:t>
      </w:r>
      <w:r w:rsidRPr="009C5EFD">
        <w:rPr>
          <w:sz w:val="22"/>
          <w:szCs w:val="22"/>
        </w:rPr>
        <w:t>.</w:t>
      </w:r>
    </w:p>
    <w:p w14:paraId="077C5FCD" w14:textId="77777777" w:rsidR="001E500F" w:rsidRPr="009C5EFD" w:rsidRDefault="001E500F" w:rsidP="00C07C98">
      <w:pPr>
        <w:rPr>
          <w:sz w:val="22"/>
          <w:szCs w:val="22"/>
        </w:rPr>
      </w:pPr>
    </w:p>
    <w:p w14:paraId="4973E1D6" w14:textId="77777777" w:rsidR="001E500F" w:rsidRPr="009C5EFD" w:rsidRDefault="00E453CD" w:rsidP="00E14E58">
      <w:pPr>
        <w:rPr>
          <w:sz w:val="22"/>
          <w:szCs w:val="22"/>
        </w:rPr>
      </w:pPr>
      <w:r w:rsidRPr="009C5EFD">
        <w:rPr>
          <w:sz w:val="22"/>
          <w:szCs w:val="22"/>
        </w:rPr>
        <w:t xml:space="preserve">I RA-studie IV var ACR 20-respons hos pasienter som fikk Humira samt standardomsorg statistisk signifikant bedre enn hos pasienter som fikk placebo samt standardomsorg (p &lt; 0,001). </w:t>
      </w:r>
    </w:p>
    <w:p w14:paraId="7DABA894" w14:textId="77777777" w:rsidR="001E500F" w:rsidRPr="009C5EFD" w:rsidRDefault="001E500F" w:rsidP="009C5EFD">
      <w:pPr>
        <w:rPr>
          <w:sz w:val="22"/>
          <w:szCs w:val="22"/>
        </w:rPr>
      </w:pPr>
    </w:p>
    <w:p w14:paraId="3D6F2DCD" w14:textId="77777777" w:rsidR="001E500F" w:rsidRPr="009C5EFD" w:rsidRDefault="00E453CD" w:rsidP="009C5EFD">
      <w:pPr>
        <w:rPr>
          <w:sz w:val="22"/>
          <w:szCs w:val="22"/>
        </w:rPr>
      </w:pPr>
      <w:r w:rsidRPr="009C5EFD">
        <w:rPr>
          <w:sz w:val="22"/>
          <w:szCs w:val="22"/>
        </w:rPr>
        <w:t xml:space="preserve">I RA-studiene I-IV oppnådde Humira-behandlede pasienter statistisk signifikant ACR 20- og 50-respons sammenlignet med placebo så tidlig som en til to uker etter at behandlingen var initiert. </w:t>
      </w:r>
    </w:p>
    <w:p w14:paraId="6D3CEB02" w14:textId="77777777" w:rsidR="001E500F" w:rsidRPr="009C5EFD" w:rsidRDefault="001E500F" w:rsidP="009C5EFD">
      <w:pPr>
        <w:rPr>
          <w:sz w:val="22"/>
          <w:szCs w:val="22"/>
        </w:rPr>
      </w:pPr>
    </w:p>
    <w:p w14:paraId="5510AE40" w14:textId="77777777" w:rsidR="001E500F" w:rsidRPr="009C5EFD" w:rsidRDefault="00E453CD" w:rsidP="009C5EFD">
      <w:pPr>
        <w:rPr>
          <w:sz w:val="22"/>
          <w:szCs w:val="22"/>
        </w:rPr>
      </w:pPr>
      <w:r w:rsidRPr="009C5EFD">
        <w:rPr>
          <w:sz w:val="22"/>
          <w:szCs w:val="22"/>
        </w:rPr>
        <w:t xml:space="preserve">I RA-studie V med pasienter med tidlig revmatoid artritt og som ikke tidligere var behandlet med metotreksat, førte kombinasjonsbehandlingen med Humira og metotreksat til raskere og signifikant større ACR-responser enn metotreksat monoterapi </w:t>
      </w:r>
      <w:r w:rsidR="00CB4543">
        <w:rPr>
          <w:sz w:val="22"/>
          <w:szCs w:val="22"/>
        </w:rPr>
        <w:t xml:space="preserve">og Humira monoterapi </w:t>
      </w:r>
      <w:r w:rsidRPr="009C5EFD">
        <w:rPr>
          <w:sz w:val="22"/>
          <w:szCs w:val="22"/>
        </w:rPr>
        <w:t xml:space="preserve">ved </w:t>
      </w:r>
      <w:r w:rsidR="00315F16" w:rsidRPr="009C5EFD">
        <w:rPr>
          <w:sz w:val="22"/>
          <w:szCs w:val="22"/>
        </w:rPr>
        <w:t>uke </w:t>
      </w:r>
      <w:r w:rsidRPr="009C5EFD">
        <w:rPr>
          <w:sz w:val="22"/>
          <w:szCs w:val="22"/>
        </w:rPr>
        <w:t xml:space="preserve">52, og responsene vedvarte ved </w:t>
      </w:r>
      <w:r w:rsidR="00315F16" w:rsidRPr="009C5EFD">
        <w:rPr>
          <w:sz w:val="22"/>
          <w:szCs w:val="22"/>
        </w:rPr>
        <w:t>uke </w:t>
      </w:r>
      <w:r w:rsidRPr="009C5EFD">
        <w:rPr>
          <w:sz w:val="22"/>
          <w:szCs w:val="22"/>
        </w:rPr>
        <w:t xml:space="preserve">104 (se tabell </w:t>
      </w:r>
      <w:r w:rsidR="00634DDF">
        <w:rPr>
          <w:sz w:val="22"/>
          <w:szCs w:val="22"/>
        </w:rPr>
        <w:t>9</w:t>
      </w:r>
      <w:r w:rsidRPr="009C5EFD">
        <w:rPr>
          <w:sz w:val="22"/>
          <w:szCs w:val="22"/>
        </w:rPr>
        <w:t>).</w:t>
      </w:r>
    </w:p>
    <w:p w14:paraId="7BF9B745" w14:textId="77777777" w:rsidR="00222C0B" w:rsidRPr="009C5EFD" w:rsidRDefault="00222C0B" w:rsidP="009C5EFD">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4644D4" w14:paraId="540284F5" w14:textId="77777777" w:rsidTr="00222C0B">
        <w:trPr>
          <w:gridBefore w:val="1"/>
          <w:wBefore w:w="9" w:type="dxa"/>
          <w:cantSplit/>
          <w:jc w:val="center"/>
        </w:trPr>
        <w:tc>
          <w:tcPr>
            <w:tcW w:w="9250" w:type="dxa"/>
            <w:gridSpan w:val="8"/>
            <w:tcBorders>
              <w:top w:val="nil"/>
              <w:left w:val="nil"/>
              <w:bottom w:val="nil"/>
              <w:right w:val="nil"/>
            </w:tcBorders>
            <w:vAlign w:val="center"/>
          </w:tcPr>
          <w:p w14:paraId="35F8D318" w14:textId="77777777" w:rsidR="00222C0B" w:rsidRPr="009C5EFD" w:rsidRDefault="00E453CD" w:rsidP="007E2632">
            <w:pPr>
              <w:pStyle w:val="BodyText"/>
              <w:keepNext/>
              <w:tabs>
                <w:tab w:val="left" w:pos="3600"/>
                <w:tab w:val="center" w:pos="5760"/>
              </w:tabs>
              <w:jc w:val="center"/>
              <w:rPr>
                <w:noProof w:val="0"/>
                <w:szCs w:val="22"/>
              </w:rPr>
            </w:pPr>
            <w:r w:rsidRPr="009C5EFD">
              <w:rPr>
                <w:noProof w:val="0"/>
                <w:szCs w:val="22"/>
              </w:rPr>
              <w:lastRenderedPageBreak/>
              <w:t xml:space="preserve">Tabell </w:t>
            </w:r>
            <w:r w:rsidR="00634DDF">
              <w:rPr>
                <w:noProof w:val="0"/>
                <w:szCs w:val="22"/>
              </w:rPr>
              <w:t>9</w:t>
            </w:r>
          </w:p>
          <w:p w14:paraId="25C71178" w14:textId="77777777" w:rsidR="00222C0B" w:rsidRPr="009C5EFD" w:rsidRDefault="00E453CD" w:rsidP="007E2632">
            <w:pPr>
              <w:pStyle w:val="BodyText"/>
              <w:keepNext/>
              <w:tabs>
                <w:tab w:val="left" w:pos="3600"/>
                <w:tab w:val="center" w:pos="5760"/>
              </w:tabs>
              <w:jc w:val="center"/>
              <w:rPr>
                <w:noProof w:val="0"/>
                <w:szCs w:val="22"/>
              </w:rPr>
            </w:pPr>
            <w:r w:rsidRPr="009C5EFD">
              <w:rPr>
                <w:noProof w:val="0"/>
                <w:szCs w:val="22"/>
              </w:rPr>
              <w:t>ACR-responser i RA-studie V</w:t>
            </w:r>
          </w:p>
          <w:p w14:paraId="60F5E296" w14:textId="77777777" w:rsidR="00222C0B" w:rsidRPr="001F5D4B" w:rsidRDefault="00E453CD" w:rsidP="007E2632">
            <w:pPr>
              <w:pStyle w:val="BodyText"/>
              <w:keepNext/>
              <w:tabs>
                <w:tab w:val="left" w:pos="3600"/>
                <w:tab w:val="center" w:pos="5760"/>
              </w:tabs>
              <w:jc w:val="center"/>
              <w:rPr>
                <w:b w:val="0"/>
                <w:bCs/>
                <w:szCs w:val="22"/>
              </w:rPr>
            </w:pPr>
            <w:r w:rsidRPr="009C5EFD">
              <w:rPr>
                <w:noProof w:val="0"/>
                <w:szCs w:val="22"/>
              </w:rPr>
              <w:t>(prosent av pasientene</w:t>
            </w:r>
            <w:r w:rsidRPr="009C5EFD">
              <w:rPr>
                <w:caps/>
                <w:noProof w:val="0"/>
                <w:szCs w:val="22"/>
              </w:rPr>
              <w:t>)</w:t>
            </w:r>
            <w:r w:rsidRPr="009C5EFD">
              <w:rPr>
                <w:i/>
                <w:caps/>
                <w:noProof w:val="0"/>
                <w:szCs w:val="22"/>
              </w:rPr>
              <w:t xml:space="preserve"> </w:t>
            </w:r>
          </w:p>
        </w:tc>
      </w:tr>
      <w:tr w:rsidR="004644D4" w14:paraId="2E641AE6" w14:textId="77777777" w:rsidTr="00761BB9">
        <w:trPr>
          <w:gridAfter w:val="1"/>
          <w:wAfter w:w="12" w:type="dxa"/>
          <w:cantSplit/>
          <w:jc w:val="center"/>
        </w:trPr>
        <w:tc>
          <w:tcPr>
            <w:tcW w:w="1548" w:type="dxa"/>
            <w:gridSpan w:val="2"/>
          </w:tcPr>
          <w:p w14:paraId="7FB39D7E" w14:textId="77777777" w:rsidR="00222C0B" w:rsidRPr="00F2354B" w:rsidRDefault="00E453CD" w:rsidP="007E2632">
            <w:pPr>
              <w:keepNext/>
              <w:rPr>
                <w:b/>
                <w:bCs/>
                <w:sz w:val="22"/>
                <w:szCs w:val="22"/>
                <w:lang w:val="fr-FR"/>
              </w:rPr>
            </w:pPr>
            <w:r w:rsidRPr="0015674E">
              <w:rPr>
                <w:b/>
                <w:bCs/>
                <w:sz w:val="22"/>
                <w:szCs w:val="22"/>
              </w:rPr>
              <w:t>Respons</w:t>
            </w:r>
          </w:p>
        </w:tc>
        <w:tc>
          <w:tcPr>
            <w:tcW w:w="1320" w:type="dxa"/>
          </w:tcPr>
          <w:p w14:paraId="28ADD998" w14:textId="77777777" w:rsidR="00222C0B" w:rsidRPr="0015674E" w:rsidRDefault="00E453CD" w:rsidP="007E2632">
            <w:pPr>
              <w:keepNext/>
              <w:jc w:val="center"/>
              <w:rPr>
                <w:b/>
                <w:bCs/>
                <w:sz w:val="22"/>
                <w:szCs w:val="22"/>
              </w:rPr>
            </w:pPr>
            <w:r w:rsidRPr="0015674E">
              <w:rPr>
                <w:b/>
                <w:bCs/>
                <w:sz w:val="22"/>
                <w:szCs w:val="22"/>
              </w:rPr>
              <w:t>MTX</w:t>
            </w:r>
          </w:p>
          <w:p w14:paraId="30816892" w14:textId="77777777" w:rsidR="00222C0B" w:rsidRPr="00F2354B" w:rsidRDefault="00E453CD" w:rsidP="007E2632">
            <w:pPr>
              <w:pStyle w:val="EndnoteText"/>
              <w:keepNext/>
              <w:jc w:val="center"/>
              <w:rPr>
                <w:b/>
                <w:bCs/>
                <w:szCs w:val="22"/>
                <w:lang w:val="fr-FR"/>
              </w:rPr>
            </w:pPr>
            <w:r w:rsidRPr="0015674E">
              <w:rPr>
                <w:b/>
                <w:bCs/>
                <w:szCs w:val="22"/>
                <w:lang w:val="nb-NO"/>
              </w:rPr>
              <w:t>n=257</w:t>
            </w:r>
          </w:p>
        </w:tc>
        <w:tc>
          <w:tcPr>
            <w:tcW w:w="1320" w:type="dxa"/>
          </w:tcPr>
          <w:p w14:paraId="6F958666" w14:textId="77777777" w:rsidR="00222C0B" w:rsidRPr="0015674E" w:rsidRDefault="00E453CD" w:rsidP="007E2632">
            <w:pPr>
              <w:keepNext/>
              <w:jc w:val="center"/>
              <w:rPr>
                <w:b/>
                <w:bCs/>
                <w:sz w:val="22"/>
                <w:szCs w:val="22"/>
              </w:rPr>
            </w:pPr>
            <w:r w:rsidRPr="0015674E">
              <w:rPr>
                <w:b/>
                <w:bCs/>
                <w:sz w:val="22"/>
                <w:szCs w:val="22"/>
              </w:rPr>
              <w:t>Humira</w:t>
            </w:r>
          </w:p>
          <w:p w14:paraId="5651DD55" w14:textId="77777777" w:rsidR="00222C0B" w:rsidRPr="00F2354B" w:rsidRDefault="00E453CD" w:rsidP="007E2632">
            <w:pPr>
              <w:keepNext/>
              <w:jc w:val="center"/>
              <w:rPr>
                <w:b/>
                <w:bCs/>
                <w:sz w:val="22"/>
                <w:szCs w:val="22"/>
                <w:lang w:val="fr-FR"/>
              </w:rPr>
            </w:pPr>
            <w:r w:rsidRPr="0015674E">
              <w:rPr>
                <w:b/>
                <w:bCs/>
                <w:sz w:val="22"/>
                <w:szCs w:val="22"/>
              </w:rPr>
              <w:t>n=274</w:t>
            </w:r>
          </w:p>
        </w:tc>
        <w:tc>
          <w:tcPr>
            <w:tcW w:w="1576" w:type="dxa"/>
          </w:tcPr>
          <w:p w14:paraId="1DA4DD79" w14:textId="77777777" w:rsidR="00222C0B" w:rsidRPr="0015674E" w:rsidRDefault="00E453CD" w:rsidP="007E2632">
            <w:pPr>
              <w:keepNext/>
              <w:jc w:val="center"/>
              <w:rPr>
                <w:b/>
                <w:bCs/>
                <w:sz w:val="22"/>
                <w:szCs w:val="22"/>
              </w:rPr>
            </w:pPr>
            <w:r w:rsidRPr="0015674E">
              <w:rPr>
                <w:b/>
                <w:bCs/>
                <w:sz w:val="22"/>
                <w:szCs w:val="22"/>
              </w:rPr>
              <w:t>Humira/MTX</w:t>
            </w:r>
          </w:p>
          <w:p w14:paraId="58D12B65" w14:textId="77777777" w:rsidR="00222C0B" w:rsidRPr="00F2354B" w:rsidRDefault="00E453CD" w:rsidP="007E2632">
            <w:pPr>
              <w:keepNext/>
              <w:jc w:val="center"/>
              <w:rPr>
                <w:b/>
                <w:bCs/>
                <w:sz w:val="22"/>
                <w:szCs w:val="22"/>
                <w:lang w:val="fr-FR"/>
              </w:rPr>
            </w:pPr>
            <w:r w:rsidRPr="0015674E">
              <w:rPr>
                <w:b/>
                <w:bCs/>
                <w:sz w:val="22"/>
                <w:szCs w:val="22"/>
              </w:rPr>
              <w:t>n=268</w:t>
            </w:r>
          </w:p>
        </w:tc>
        <w:tc>
          <w:tcPr>
            <w:tcW w:w="1100" w:type="dxa"/>
          </w:tcPr>
          <w:p w14:paraId="6B7AA39F" w14:textId="77777777" w:rsidR="00222C0B" w:rsidRPr="00F2354B" w:rsidRDefault="00E453CD" w:rsidP="007E2632">
            <w:pPr>
              <w:pStyle w:val="EndnoteText"/>
              <w:keepNext/>
              <w:jc w:val="center"/>
              <w:rPr>
                <w:b/>
                <w:bCs/>
                <w:szCs w:val="22"/>
                <w:lang w:val="fr-FR"/>
              </w:rPr>
            </w:pPr>
            <w:r w:rsidRPr="0015674E">
              <w:rPr>
                <w:b/>
                <w:bCs/>
                <w:szCs w:val="22"/>
                <w:lang w:val="nb-NO"/>
              </w:rPr>
              <w:t>p-verdi</w:t>
            </w:r>
            <w:r w:rsidRPr="0015674E">
              <w:rPr>
                <w:b/>
                <w:bCs/>
                <w:szCs w:val="22"/>
                <w:vertAlign w:val="superscript"/>
                <w:lang w:val="nb-NO"/>
              </w:rPr>
              <w:t>a</w:t>
            </w:r>
          </w:p>
        </w:tc>
        <w:tc>
          <w:tcPr>
            <w:tcW w:w="1173" w:type="dxa"/>
          </w:tcPr>
          <w:p w14:paraId="5AE3F41C" w14:textId="77777777" w:rsidR="00222C0B" w:rsidRPr="00F2354B" w:rsidRDefault="00E453CD" w:rsidP="007E2632">
            <w:pPr>
              <w:keepNext/>
              <w:jc w:val="center"/>
              <w:rPr>
                <w:b/>
                <w:bCs/>
                <w:sz w:val="22"/>
                <w:szCs w:val="22"/>
                <w:lang w:val="fr-FR"/>
              </w:rPr>
            </w:pPr>
            <w:r w:rsidRPr="0015674E">
              <w:rPr>
                <w:b/>
                <w:bCs/>
                <w:sz w:val="22"/>
                <w:szCs w:val="22"/>
              </w:rPr>
              <w:t>p-verdi</w:t>
            </w:r>
            <w:r w:rsidRPr="0015674E">
              <w:rPr>
                <w:b/>
                <w:bCs/>
                <w:sz w:val="22"/>
                <w:szCs w:val="22"/>
                <w:vertAlign w:val="superscript"/>
              </w:rPr>
              <w:t>b</w:t>
            </w:r>
          </w:p>
        </w:tc>
        <w:tc>
          <w:tcPr>
            <w:tcW w:w="1210" w:type="dxa"/>
          </w:tcPr>
          <w:p w14:paraId="7618BEFE" w14:textId="77777777" w:rsidR="00222C0B" w:rsidRPr="0015674E" w:rsidRDefault="00E453CD" w:rsidP="007E2632">
            <w:pPr>
              <w:keepNext/>
              <w:jc w:val="center"/>
              <w:rPr>
                <w:b/>
                <w:bCs/>
                <w:sz w:val="22"/>
                <w:szCs w:val="22"/>
                <w:lang w:val="en-GB"/>
              </w:rPr>
            </w:pPr>
            <w:r w:rsidRPr="0015674E">
              <w:rPr>
                <w:b/>
                <w:bCs/>
                <w:sz w:val="22"/>
                <w:szCs w:val="22"/>
              </w:rPr>
              <w:t>p-verdi</w:t>
            </w:r>
            <w:r w:rsidRPr="0015674E">
              <w:rPr>
                <w:b/>
                <w:bCs/>
                <w:sz w:val="22"/>
                <w:szCs w:val="22"/>
                <w:vertAlign w:val="superscript"/>
              </w:rPr>
              <w:t>c</w:t>
            </w:r>
          </w:p>
        </w:tc>
      </w:tr>
      <w:tr w:rsidR="004644D4" w14:paraId="57E62711" w14:textId="77777777" w:rsidTr="00222C0B">
        <w:trPr>
          <w:gridAfter w:val="1"/>
          <w:wAfter w:w="12" w:type="dxa"/>
          <w:cantSplit/>
          <w:jc w:val="center"/>
        </w:trPr>
        <w:tc>
          <w:tcPr>
            <w:tcW w:w="1548" w:type="dxa"/>
            <w:gridSpan w:val="2"/>
          </w:tcPr>
          <w:p w14:paraId="5168B083" w14:textId="77777777" w:rsidR="00222C0B" w:rsidRPr="009C5EFD" w:rsidRDefault="00E453CD" w:rsidP="007E2632">
            <w:pPr>
              <w:keepNext/>
              <w:rPr>
                <w:sz w:val="22"/>
                <w:szCs w:val="22"/>
                <w:lang w:val="en-GB"/>
              </w:rPr>
            </w:pPr>
            <w:r w:rsidRPr="009C5EFD">
              <w:rPr>
                <w:sz w:val="22"/>
                <w:szCs w:val="22"/>
              </w:rPr>
              <w:t>ACR 20</w:t>
            </w:r>
          </w:p>
        </w:tc>
        <w:tc>
          <w:tcPr>
            <w:tcW w:w="1320" w:type="dxa"/>
          </w:tcPr>
          <w:p w14:paraId="38486BF4" w14:textId="77777777" w:rsidR="00222C0B" w:rsidRPr="009C5EFD" w:rsidRDefault="00222C0B" w:rsidP="007E2632">
            <w:pPr>
              <w:keepNext/>
              <w:jc w:val="center"/>
              <w:rPr>
                <w:sz w:val="22"/>
                <w:szCs w:val="22"/>
                <w:lang w:val="en-GB"/>
              </w:rPr>
            </w:pPr>
          </w:p>
        </w:tc>
        <w:tc>
          <w:tcPr>
            <w:tcW w:w="1320" w:type="dxa"/>
          </w:tcPr>
          <w:p w14:paraId="4D624BBA" w14:textId="77777777" w:rsidR="00222C0B" w:rsidRPr="009C5EFD" w:rsidRDefault="00222C0B" w:rsidP="007E2632">
            <w:pPr>
              <w:keepNext/>
              <w:jc w:val="center"/>
              <w:rPr>
                <w:sz w:val="22"/>
                <w:szCs w:val="22"/>
                <w:lang w:val="en-GB"/>
              </w:rPr>
            </w:pPr>
          </w:p>
        </w:tc>
        <w:tc>
          <w:tcPr>
            <w:tcW w:w="1576" w:type="dxa"/>
          </w:tcPr>
          <w:p w14:paraId="4F00017A" w14:textId="77777777" w:rsidR="00222C0B" w:rsidRPr="009C5EFD" w:rsidRDefault="00222C0B" w:rsidP="007E2632">
            <w:pPr>
              <w:keepNext/>
              <w:jc w:val="center"/>
              <w:rPr>
                <w:sz w:val="22"/>
                <w:szCs w:val="22"/>
                <w:lang w:val="en-GB"/>
              </w:rPr>
            </w:pPr>
          </w:p>
        </w:tc>
        <w:tc>
          <w:tcPr>
            <w:tcW w:w="1100" w:type="dxa"/>
          </w:tcPr>
          <w:p w14:paraId="4E45762B" w14:textId="77777777" w:rsidR="00222C0B" w:rsidRPr="009C5EFD" w:rsidRDefault="00222C0B" w:rsidP="007E2632">
            <w:pPr>
              <w:keepNext/>
              <w:jc w:val="center"/>
              <w:rPr>
                <w:sz w:val="22"/>
                <w:szCs w:val="22"/>
                <w:lang w:val="en-GB"/>
              </w:rPr>
            </w:pPr>
          </w:p>
        </w:tc>
        <w:tc>
          <w:tcPr>
            <w:tcW w:w="1173" w:type="dxa"/>
          </w:tcPr>
          <w:p w14:paraId="59D32916" w14:textId="77777777" w:rsidR="00222C0B" w:rsidRPr="009C5EFD" w:rsidRDefault="00222C0B" w:rsidP="007E2632">
            <w:pPr>
              <w:keepNext/>
              <w:jc w:val="center"/>
              <w:rPr>
                <w:sz w:val="22"/>
                <w:szCs w:val="22"/>
                <w:lang w:val="en-GB"/>
              </w:rPr>
            </w:pPr>
          </w:p>
        </w:tc>
        <w:tc>
          <w:tcPr>
            <w:tcW w:w="1210" w:type="dxa"/>
          </w:tcPr>
          <w:p w14:paraId="14DC0630" w14:textId="77777777" w:rsidR="00222C0B" w:rsidRPr="009C5EFD" w:rsidRDefault="00222C0B" w:rsidP="007E2632">
            <w:pPr>
              <w:keepNext/>
              <w:jc w:val="center"/>
              <w:rPr>
                <w:sz w:val="22"/>
                <w:szCs w:val="22"/>
                <w:lang w:val="en-GB"/>
              </w:rPr>
            </w:pPr>
          </w:p>
        </w:tc>
      </w:tr>
      <w:tr w:rsidR="004644D4" w14:paraId="58A99134" w14:textId="77777777" w:rsidTr="00222C0B">
        <w:trPr>
          <w:gridAfter w:val="1"/>
          <w:wAfter w:w="12" w:type="dxa"/>
          <w:cantSplit/>
          <w:jc w:val="center"/>
        </w:trPr>
        <w:tc>
          <w:tcPr>
            <w:tcW w:w="1548" w:type="dxa"/>
            <w:gridSpan w:val="2"/>
          </w:tcPr>
          <w:p w14:paraId="3375A9E4" w14:textId="77777777" w:rsidR="00222C0B" w:rsidRPr="009C5EFD" w:rsidRDefault="00E453CD" w:rsidP="007E2632">
            <w:pPr>
              <w:keepNext/>
              <w:tabs>
                <w:tab w:val="left" w:pos="561"/>
              </w:tabs>
              <w:rPr>
                <w:sz w:val="22"/>
                <w:szCs w:val="22"/>
                <w:lang w:val="en-GB"/>
              </w:rPr>
            </w:pPr>
            <w:r w:rsidRPr="009C5EFD">
              <w:rPr>
                <w:sz w:val="22"/>
                <w:szCs w:val="22"/>
              </w:rPr>
              <w:tab/>
              <w:t>Uke 52</w:t>
            </w:r>
          </w:p>
        </w:tc>
        <w:tc>
          <w:tcPr>
            <w:tcW w:w="1320" w:type="dxa"/>
          </w:tcPr>
          <w:p w14:paraId="44036D30" w14:textId="77777777" w:rsidR="00222C0B" w:rsidRPr="009C5EFD" w:rsidRDefault="00E453CD" w:rsidP="007E2632">
            <w:pPr>
              <w:keepNext/>
              <w:jc w:val="center"/>
              <w:rPr>
                <w:sz w:val="22"/>
                <w:szCs w:val="22"/>
                <w:lang w:val="en-GB"/>
              </w:rPr>
            </w:pPr>
            <w:r w:rsidRPr="009C5EFD">
              <w:rPr>
                <w:sz w:val="22"/>
                <w:szCs w:val="22"/>
              </w:rPr>
              <w:t>62,6 %</w:t>
            </w:r>
          </w:p>
        </w:tc>
        <w:tc>
          <w:tcPr>
            <w:tcW w:w="1320" w:type="dxa"/>
          </w:tcPr>
          <w:p w14:paraId="5280B0B7" w14:textId="77777777" w:rsidR="00222C0B" w:rsidRPr="009C5EFD" w:rsidRDefault="00E453CD" w:rsidP="007E2632">
            <w:pPr>
              <w:keepNext/>
              <w:jc w:val="center"/>
              <w:rPr>
                <w:sz w:val="22"/>
                <w:szCs w:val="22"/>
                <w:lang w:val="en-GB"/>
              </w:rPr>
            </w:pPr>
            <w:r w:rsidRPr="009C5EFD">
              <w:rPr>
                <w:sz w:val="22"/>
                <w:szCs w:val="22"/>
              </w:rPr>
              <w:t>54,4 %</w:t>
            </w:r>
          </w:p>
        </w:tc>
        <w:tc>
          <w:tcPr>
            <w:tcW w:w="1576" w:type="dxa"/>
          </w:tcPr>
          <w:p w14:paraId="2E083400" w14:textId="77777777" w:rsidR="00222C0B" w:rsidRPr="009C5EFD" w:rsidRDefault="00E453CD" w:rsidP="007E2632">
            <w:pPr>
              <w:keepNext/>
              <w:jc w:val="center"/>
              <w:rPr>
                <w:sz w:val="22"/>
                <w:szCs w:val="22"/>
                <w:lang w:val="en-GB"/>
              </w:rPr>
            </w:pPr>
            <w:r w:rsidRPr="009C5EFD">
              <w:rPr>
                <w:sz w:val="22"/>
                <w:szCs w:val="22"/>
              </w:rPr>
              <w:t>72,8 %</w:t>
            </w:r>
          </w:p>
        </w:tc>
        <w:tc>
          <w:tcPr>
            <w:tcW w:w="1100" w:type="dxa"/>
          </w:tcPr>
          <w:p w14:paraId="0BBF9D79" w14:textId="77777777" w:rsidR="00222C0B" w:rsidRPr="009C5EFD" w:rsidRDefault="00E453CD" w:rsidP="007E2632">
            <w:pPr>
              <w:keepNext/>
              <w:jc w:val="center"/>
              <w:rPr>
                <w:sz w:val="22"/>
                <w:szCs w:val="22"/>
                <w:lang w:val="en-GB"/>
              </w:rPr>
            </w:pPr>
            <w:r w:rsidRPr="009C5EFD">
              <w:rPr>
                <w:sz w:val="22"/>
                <w:szCs w:val="22"/>
              </w:rPr>
              <w:t>0,013</w:t>
            </w:r>
          </w:p>
        </w:tc>
        <w:tc>
          <w:tcPr>
            <w:tcW w:w="1173" w:type="dxa"/>
          </w:tcPr>
          <w:p w14:paraId="5108EAA5" w14:textId="77777777" w:rsidR="00222C0B" w:rsidRPr="009C5EFD" w:rsidRDefault="00E453CD" w:rsidP="007E2632">
            <w:pPr>
              <w:keepNext/>
              <w:jc w:val="center"/>
              <w:rPr>
                <w:sz w:val="22"/>
                <w:szCs w:val="22"/>
                <w:lang w:val="en-GB"/>
              </w:rPr>
            </w:pPr>
            <w:r w:rsidRPr="009C5EFD">
              <w:rPr>
                <w:sz w:val="22"/>
                <w:szCs w:val="22"/>
              </w:rPr>
              <w:t>&lt; 0,001</w:t>
            </w:r>
          </w:p>
        </w:tc>
        <w:tc>
          <w:tcPr>
            <w:tcW w:w="1210" w:type="dxa"/>
          </w:tcPr>
          <w:p w14:paraId="5E1EA4EA" w14:textId="77777777" w:rsidR="00222C0B" w:rsidRPr="009C5EFD" w:rsidRDefault="00E453CD" w:rsidP="007E2632">
            <w:pPr>
              <w:keepNext/>
              <w:jc w:val="center"/>
              <w:rPr>
                <w:sz w:val="22"/>
                <w:szCs w:val="22"/>
                <w:lang w:val="en-GB"/>
              </w:rPr>
            </w:pPr>
            <w:r w:rsidRPr="009C5EFD">
              <w:rPr>
                <w:sz w:val="22"/>
                <w:szCs w:val="22"/>
              </w:rPr>
              <w:t>0,043</w:t>
            </w:r>
          </w:p>
        </w:tc>
      </w:tr>
      <w:tr w:rsidR="004644D4" w14:paraId="7C70EC8B" w14:textId="77777777" w:rsidTr="00222C0B">
        <w:trPr>
          <w:gridAfter w:val="1"/>
          <w:wAfter w:w="12" w:type="dxa"/>
          <w:cantSplit/>
          <w:jc w:val="center"/>
        </w:trPr>
        <w:tc>
          <w:tcPr>
            <w:tcW w:w="1548" w:type="dxa"/>
            <w:gridSpan w:val="2"/>
          </w:tcPr>
          <w:p w14:paraId="7C345CD1" w14:textId="77777777" w:rsidR="00222C0B" w:rsidRPr="009C5EFD" w:rsidRDefault="00E453CD" w:rsidP="007E2632">
            <w:pPr>
              <w:keepNext/>
              <w:tabs>
                <w:tab w:val="left" w:pos="561"/>
              </w:tabs>
              <w:rPr>
                <w:sz w:val="22"/>
                <w:szCs w:val="22"/>
                <w:lang w:val="en-GB"/>
              </w:rPr>
            </w:pPr>
            <w:r w:rsidRPr="009C5EFD">
              <w:rPr>
                <w:sz w:val="22"/>
                <w:szCs w:val="22"/>
              </w:rPr>
              <w:tab/>
              <w:t>Uke 104</w:t>
            </w:r>
          </w:p>
        </w:tc>
        <w:tc>
          <w:tcPr>
            <w:tcW w:w="1320" w:type="dxa"/>
          </w:tcPr>
          <w:p w14:paraId="7FD9B176" w14:textId="77777777" w:rsidR="00222C0B" w:rsidRPr="009C5EFD" w:rsidRDefault="00E453CD" w:rsidP="007E2632">
            <w:pPr>
              <w:keepNext/>
              <w:jc w:val="center"/>
              <w:rPr>
                <w:sz w:val="22"/>
                <w:szCs w:val="22"/>
                <w:lang w:val="en-GB"/>
              </w:rPr>
            </w:pPr>
            <w:r w:rsidRPr="009C5EFD">
              <w:rPr>
                <w:sz w:val="22"/>
                <w:szCs w:val="22"/>
              </w:rPr>
              <w:t>56,0 %</w:t>
            </w:r>
          </w:p>
        </w:tc>
        <w:tc>
          <w:tcPr>
            <w:tcW w:w="1320" w:type="dxa"/>
          </w:tcPr>
          <w:p w14:paraId="5D79FFAA" w14:textId="77777777" w:rsidR="00222C0B" w:rsidRPr="009C5EFD" w:rsidRDefault="00E453CD" w:rsidP="007E2632">
            <w:pPr>
              <w:keepNext/>
              <w:jc w:val="center"/>
              <w:rPr>
                <w:sz w:val="22"/>
                <w:szCs w:val="22"/>
                <w:lang w:val="en-GB"/>
              </w:rPr>
            </w:pPr>
            <w:r w:rsidRPr="009C5EFD">
              <w:rPr>
                <w:sz w:val="22"/>
                <w:szCs w:val="22"/>
              </w:rPr>
              <w:t>49,3 %</w:t>
            </w:r>
          </w:p>
        </w:tc>
        <w:tc>
          <w:tcPr>
            <w:tcW w:w="1576" w:type="dxa"/>
          </w:tcPr>
          <w:p w14:paraId="2C520A14" w14:textId="77777777" w:rsidR="00222C0B" w:rsidRPr="009C5EFD" w:rsidRDefault="00E453CD" w:rsidP="007E2632">
            <w:pPr>
              <w:keepNext/>
              <w:jc w:val="center"/>
              <w:rPr>
                <w:sz w:val="22"/>
                <w:szCs w:val="22"/>
                <w:lang w:val="en-GB"/>
              </w:rPr>
            </w:pPr>
            <w:r w:rsidRPr="009C5EFD">
              <w:rPr>
                <w:sz w:val="22"/>
                <w:szCs w:val="22"/>
              </w:rPr>
              <w:t>69,4 %</w:t>
            </w:r>
          </w:p>
        </w:tc>
        <w:tc>
          <w:tcPr>
            <w:tcW w:w="1100" w:type="dxa"/>
          </w:tcPr>
          <w:p w14:paraId="62597BA1" w14:textId="77777777" w:rsidR="00222C0B" w:rsidRPr="009C5EFD" w:rsidRDefault="00E453CD" w:rsidP="007E2632">
            <w:pPr>
              <w:keepNext/>
              <w:jc w:val="center"/>
              <w:rPr>
                <w:sz w:val="22"/>
                <w:szCs w:val="22"/>
                <w:lang w:val="en-GB"/>
              </w:rPr>
            </w:pPr>
            <w:r w:rsidRPr="009C5EFD">
              <w:rPr>
                <w:sz w:val="22"/>
                <w:szCs w:val="22"/>
              </w:rPr>
              <w:t>0,002</w:t>
            </w:r>
          </w:p>
        </w:tc>
        <w:tc>
          <w:tcPr>
            <w:tcW w:w="1173" w:type="dxa"/>
          </w:tcPr>
          <w:p w14:paraId="1DE8AB94" w14:textId="77777777" w:rsidR="00222C0B" w:rsidRPr="009C5EFD" w:rsidRDefault="00E453CD" w:rsidP="007E2632">
            <w:pPr>
              <w:keepNext/>
              <w:jc w:val="center"/>
              <w:rPr>
                <w:sz w:val="22"/>
                <w:szCs w:val="22"/>
                <w:lang w:val="en-GB"/>
              </w:rPr>
            </w:pPr>
            <w:r w:rsidRPr="009C5EFD">
              <w:rPr>
                <w:sz w:val="22"/>
                <w:szCs w:val="22"/>
              </w:rPr>
              <w:t>&lt; 0,001</w:t>
            </w:r>
          </w:p>
        </w:tc>
        <w:tc>
          <w:tcPr>
            <w:tcW w:w="1210" w:type="dxa"/>
          </w:tcPr>
          <w:p w14:paraId="020B0950" w14:textId="77777777" w:rsidR="00222C0B" w:rsidRPr="009C5EFD" w:rsidRDefault="00E453CD" w:rsidP="007E2632">
            <w:pPr>
              <w:keepNext/>
              <w:jc w:val="center"/>
              <w:rPr>
                <w:sz w:val="22"/>
                <w:szCs w:val="22"/>
                <w:lang w:val="en-GB"/>
              </w:rPr>
            </w:pPr>
            <w:r w:rsidRPr="009C5EFD">
              <w:rPr>
                <w:sz w:val="22"/>
                <w:szCs w:val="22"/>
              </w:rPr>
              <w:t>0,140</w:t>
            </w:r>
          </w:p>
        </w:tc>
      </w:tr>
      <w:tr w:rsidR="004644D4" w14:paraId="3CA9F7FE" w14:textId="77777777" w:rsidTr="00222C0B">
        <w:trPr>
          <w:gridAfter w:val="1"/>
          <w:wAfter w:w="12" w:type="dxa"/>
          <w:cantSplit/>
          <w:jc w:val="center"/>
        </w:trPr>
        <w:tc>
          <w:tcPr>
            <w:tcW w:w="1548" w:type="dxa"/>
            <w:gridSpan w:val="2"/>
          </w:tcPr>
          <w:p w14:paraId="132F9054" w14:textId="77777777" w:rsidR="00222C0B" w:rsidRPr="009C5EFD" w:rsidRDefault="00E453CD" w:rsidP="007E2632">
            <w:pPr>
              <w:keepNext/>
              <w:rPr>
                <w:sz w:val="22"/>
                <w:szCs w:val="22"/>
                <w:lang w:val="en-GB"/>
              </w:rPr>
            </w:pPr>
            <w:r w:rsidRPr="009C5EFD">
              <w:rPr>
                <w:sz w:val="22"/>
                <w:szCs w:val="22"/>
              </w:rPr>
              <w:t>ACR 50</w:t>
            </w:r>
          </w:p>
        </w:tc>
        <w:tc>
          <w:tcPr>
            <w:tcW w:w="1320" w:type="dxa"/>
          </w:tcPr>
          <w:p w14:paraId="22C0AC6D" w14:textId="77777777" w:rsidR="00222C0B" w:rsidRPr="009C5EFD" w:rsidRDefault="00222C0B" w:rsidP="007E2632">
            <w:pPr>
              <w:keepNext/>
              <w:jc w:val="center"/>
              <w:rPr>
                <w:sz w:val="22"/>
                <w:szCs w:val="22"/>
                <w:lang w:val="en-GB"/>
              </w:rPr>
            </w:pPr>
          </w:p>
        </w:tc>
        <w:tc>
          <w:tcPr>
            <w:tcW w:w="1320" w:type="dxa"/>
          </w:tcPr>
          <w:p w14:paraId="54A39721" w14:textId="77777777" w:rsidR="00222C0B" w:rsidRPr="009C5EFD" w:rsidRDefault="00222C0B" w:rsidP="007E2632">
            <w:pPr>
              <w:keepNext/>
              <w:jc w:val="center"/>
              <w:rPr>
                <w:sz w:val="22"/>
                <w:szCs w:val="22"/>
                <w:lang w:val="en-GB"/>
              </w:rPr>
            </w:pPr>
          </w:p>
        </w:tc>
        <w:tc>
          <w:tcPr>
            <w:tcW w:w="1576" w:type="dxa"/>
          </w:tcPr>
          <w:p w14:paraId="22E9BC69" w14:textId="77777777" w:rsidR="00222C0B" w:rsidRPr="009C5EFD" w:rsidRDefault="00222C0B" w:rsidP="007E2632">
            <w:pPr>
              <w:keepNext/>
              <w:jc w:val="center"/>
              <w:rPr>
                <w:sz w:val="22"/>
                <w:szCs w:val="22"/>
                <w:lang w:val="en-GB"/>
              </w:rPr>
            </w:pPr>
          </w:p>
        </w:tc>
        <w:tc>
          <w:tcPr>
            <w:tcW w:w="1100" w:type="dxa"/>
          </w:tcPr>
          <w:p w14:paraId="7BEDBF70" w14:textId="77777777" w:rsidR="00222C0B" w:rsidRPr="009C5EFD" w:rsidRDefault="00222C0B" w:rsidP="007E2632">
            <w:pPr>
              <w:keepNext/>
              <w:jc w:val="center"/>
              <w:rPr>
                <w:sz w:val="22"/>
                <w:szCs w:val="22"/>
                <w:lang w:val="en-GB"/>
              </w:rPr>
            </w:pPr>
          </w:p>
        </w:tc>
        <w:tc>
          <w:tcPr>
            <w:tcW w:w="1173" w:type="dxa"/>
          </w:tcPr>
          <w:p w14:paraId="6AD62DD6" w14:textId="77777777" w:rsidR="00222C0B" w:rsidRPr="009C5EFD" w:rsidRDefault="00222C0B" w:rsidP="007E2632">
            <w:pPr>
              <w:keepNext/>
              <w:jc w:val="center"/>
              <w:rPr>
                <w:sz w:val="22"/>
                <w:szCs w:val="22"/>
                <w:lang w:val="en-GB"/>
              </w:rPr>
            </w:pPr>
          </w:p>
        </w:tc>
        <w:tc>
          <w:tcPr>
            <w:tcW w:w="1210" w:type="dxa"/>
          </w:tcPr>
          <w:p w14:paraId="35A95837" w14:textId="77777777" w:rsidR="00222C0B" w:rsidRPr="009C5EFD" w:rsidRDefault="00222C0B" w:rsidP="007E2632">
            <w:pPr>
              <w:keepNext/>
              <w:jc w:val="center"/>
              <w:rPr>
                <w:sz w:val="22"/>
                <w:szCs w:val="22"/>
                <w:lang w:val="en-GB"/>
              </w:rPr>
            </w:pPr>
          </w:p>
        </w:tc>
      </w:tr>
      <w:tr w:rsidR="004644D4" w14:paraId="26C2F64E" w14:textId="77777777" w:rsidTr="00222C0B">
        <w:trPr>
          <w:gridAfter w:val="1"/>
          <w:wAfter w:w="12" w:type="dxa"/>
          <w:cantSplit/>
          <w:jc w:val="center"/>
        </w:trPr>
        <w:tc>
          <w:tcPr>
            <w:tcW w:w="1548" w:type="dxa"/>
            <w:gridSpan w:val="2"/>
          </w:tcPr>
          <w:p w14:paraId="5F9BA616" w14:textId="77777777" w:rsidR="00222C0B" w:rsidRPr="009C5EFD" w:rsidRDefault="00E453CD" w:rsidP="007E2632">
            <w:pPr>
              <w:keepNext/>
              <w:tabs>
                <w:tab w:val="left" w:pos="561"/>
              </w:tabs>
              <w:rPr>
                <w:sz w:val="22"/>
                <w:szCs w:val="22"/>
                <w:lang w:val="en-GB"/>
              </w:rPr>
            </w:pPr>
            <w:r w:rsidRPr="009C5EFD">
              <w:rPr>
                <w:sz w:val="22"/>
                <w:szCs w:val="22"/>
              </w:rPr>
              <w:tab/>
              <w:t>Uke 52</w:t>
            </w:r>
          </w:p>
        </w:tc>
        <w:tc>
          <w:tcPr>
            <w:tcW w:w="1320" w:type="dxa"/>
          </w:tcPr>
          <w:p w14:paraId="713F7986" w14:textId="77777777" w:rsidR="00222C0B" w:rsidRPr="009C5EFD" w:rsidRDefault="00E453CD" w:rsidP="007E2632">
            <w:pPr>
              <w:keepNext/>
              <w:jc w:val="center"/>
              <w:rPr>
                <w:sz w:val="22"/>
                <w:szCs w:val="22"/>
                <w:lang w:val="en-GB"/>
              </w:rPr>
            </w:pPr>
            <w:r w:rsidRPr="009C5EFD">
              <w:rPr>
                <w:sz w:val="22"/>
                <w:szCs w:val="22"/>
              </w:rPr>
              <w:t>45,9 %</w:t>
            </w:r>
          </w:p>
        </w:tc>
        <w:tc>
          <w:tcPr>
            <w:tcW w:w="1320" w:type="dxa"/>
          </w:tcPr>
          <w:p w14:paraId="2B25FA39" w14:textId="77777777" w:rsidR="00222C0B" w:rsidRPr="009C5EFD" w:rsidRDefault="00E453CD" w:rsidP="007E2632">
            <w:pPr>
              <w:keepNext/>
              <w:jc w:val="center"/>
              <w:rPr>
                <w:sz w:val="22"/>
                <w:szCs w:val="22"/>
                <w:lang w:val="en-GB"/>
              </w:rPr>
            </w:pPr>
            <w:r w:rsidRPr="009C5EFD">
              <w:rPr>
                <w:sz w:val="22"/>
                <w:szCs w:val="22"/>
              </w:rPr>
              <w:t>41,2 %</w:t>
            </w:r>
          </w:p>
        </w:tc>
        <w:tc>
          <w:tcPr>
            <w:tcW w:w="1576" w:type="dxa"/>
          </w:tcPr>
          <w:p w14:paraId="6AFD2FF3" w14:textId="77777777" w:rsidR="00222C0B" w:rsidRPr="009C5EFD" w:rsidRDefault="00E453CD" w:rsidP="007E2632">
            <w:pPr>
              <w:keepNext/>
              <w:jc w:val="center"/>
              <w:rPr>
                <w:sz w:val="22"/>
                <w:szCs w:val="22"/>
                <w:lang w:val="en-GB"/>
              </w:rPr>
            </w:pPr>
            <w:r w:rsidRPr="009C5EFD">
              <w:rPr>
                <w:sz w:val="22"/>
                <w:szCs w:val="22"/>
              </w:rPr>
              <w:t>61,6 %</w:t>
            </w:r>
          </w:p>
        </w:tc>
        <w:tc>
          <w:tcPr>
            <w:tcW w:w="1100" w:type="dxa"/>
          </w:tcPr>
          <w:p w14:paraId="0E2575EA" w14:textId="77777777" w:rsidR="00222C0B" w:rsidRPr="009C5EFD" w:rsidRDefault="00E453CD" w:rsidP="007E2632">
            <w:pPr>
              <w:keepNext/>
              <w:jc w:val="center"/>
              <w:rPr>
                <w:sz w:val="22"/>
                <w:szCs w:val="22"/>
                <w:lang w:val="en-GB"/>
              </w:rPr>
            </w:pPr>
            <w:r w:rsidRPr="009C5EFD">
              <w:rPr>
                <w:sz w:val="22"/>
                <w:szCs w:val="22"/>
              </w:rPr>
              <w:t>&lt; 0,001</w:t>
            </w:r>
          </w:p>
        </w:tc>
        <w:tc>
          <w:tcPr>
            <w:tcW w:w="1173" w:type="dxa"/>
          </w:tcPr>
          <w:p w14:paraId="4E295691" w14:textId="77777777" w:rsidR="00222C0B" w:rsidRPr="009C5EFD" w:rsidRDefault="00E453CD" w:rsidP="007E2632">
            <w:pPr>
              <w:keepNext/>
              <w:jc w:val="center"/>
              <w:rPr>
                <w:sz w:val="22"/>
                <w:szCs w:val="22"/>
                <w:lang w:val="en-GB"/>
              </w:rPr>
            </w:pPr>
            <w:r w:rsidRPr="009C5EFD">
              <w:rPr>
                <w:sz w:val="22"/>
                <w:szCs w:val="22"/>
              </w:rPr>
              <w:t>&lt; 0,001</w:t>
            </w:r>
          </w:p>
        </w:tc>
        <w:tc>
          <w:tcPr>
            <w:tcW w:w="1210" w:type="dxa"/>
          </w:tcPr>
          <w:p w14:paraId="22EADA3C" w14:textId="77777777" w:rsidR="00222C0B" w:rsidRPr="009C5EFD" w:rsidRDefault="00E453CD" w:rsidP="007E2632">
            <w:pPr>
              <w:keepNext/>
              <w:jc w:val="center"/>
              <w:rPr>
                <w:sz w:val="22"/>
                <w:szCs w:val="22"/>
                <w:lang w:val="en-GB"/>
              </w:rPr>
            </w:pPr>
            <w:r w:rsidRPr="009C5EFD">
              <w:rPr>
                <w:sz w:val="22"/>
                <w:szCs w:val="22"/>
              </w:rPr>
              <w:t>0,317</w:t>
            </w:r>
          </w:p>
        </w:tc>
      </w:tr>
      <w:tr w:rsidR="004644D4" w14:paraId="752552B4" w14:textId="77777777" w:rsidTr="00222C0B">
        <w:trPr>
          <w:gridAfter w:val="1"/>
          <w:wAfter w:w="12" w:type="dxa"/>
          <w:cantSplit/>
          <w:jc w:val="center"/>
        </w:trPr>
        <w:tc>
          <w:tcPr>
            <w:tcW w:w="1548" w:type="dxa"/>
            <w:gridSpan w:val="2"/>
          </w:tcPr>
          <w:p w14:paraId="206FE541" w14:textId="77777777" w:rsidR="00222C0B" w:rsidRPr="009C5EFD" w:rsidRDefault="00E453CD" w:rsidP="007E2632">
            <w:pPr>
              <w:keepNext/>
              <w:tabs>
                <w:tab w:val="left" w:pos="561"/>
              </w:tabs>
              <w:rPr>
                <w:sz w:val="22"/>
                <w:szCs w:val="22"/>
              </w:rPr>
            </w:pPr>
            <w:r w:rsidRPr="009C5EFD">
              <w:rPr>
                <w:sz w:val="22"/>
                <w:szCs w:val="22"/>
              </w:rPr>
              <w:tab/>
              <w:t>Uke 104</w:t>
            </w:r>
          </w:p>
        </w:tc>
        <w:tc>
          <w:tcPr>
            <w:tcW w:w="1320" w:type="dxa"/>
          </w:tcPr>
          <w:p w14:paraId="7FBABD0F" w14:textId="77777777" w:rsidR="00222C0B" w:rsidRPr="009C5EFD" w:rsidRDefault="00E453CD" w:rsidP="007E2632">
            <w:pPr>
              <w:keepNext/>
              <w:jc w:val="center"/>
              <w:rPr>
                <w:sz w:val="22"/>
                <w:szCs w:val="22"/>
                <w:lang w:val="en-GB"/>
              </w:rPr>
            </w:pPr>
            <w:r w:rsidRPr="009C5EFD">
              <w:rPr>
                <w:sz w:val="22"/>
                <w:szCs w:val="22"/>
              </w:rPr>
              <w:t>42,8 %</w:t>
            </w:r>
          </w:p>
        </w:tc>
        <w:tc>
          <w:tcPr>
            <w:tcW w:w="1320" w:type="dxa"/>
          </w:tcPr>
          <w:p w14:paraId="39F3EF79" w14:textId="77777777" w:rsidR="00222C0B" w:rsidRPr="009C5EFD" w:rsidRDefault="00E453CD" w:rsidP="007E2632">
            <w:pPr>
              <w:keepNext/>
              <w:jc w:val="center"/>
              <w:rPr>
                <w:sz w:val="22"/>
                <w:szCs w:val="22"/>
                <w:lang w:val="en-GB"/>
              </w:rPr>
            </w:pPr>
            <w:r w:rsidRPr="009C5EFD">
              <w:rPr>
                <w:sz w:val="22"/>
                <w:szCs w:val="22"/>
              </w:rPr>
              <w:t>36,9 %</w:t>
            </w:r>
          </w:p>
        </w:tc>
        <w:tc>
          <w:tcPr>
            <w:tcW w:w="1576" w:type="dxa"/>
          </w:tcPr>
          <w:p w14:paraId="5E36B4B8" w14:textId="77777777" w:rsidR="00222C0B" w:rsidRPr="009C5EFD" w:rsidRDefault="00E453CD" w:rsidP="007E2632">
            <w:pPr>
              <w:keepNext/>
              <w:jc w:val="center"/>
              <w:rPr>
                <w:sz w:val="22"/>
                <w:szCs w:val="22"/>
                <w:lang w:val="en-GB"/>
              </w:rPr>
            </w:pPr>
            <w:r w:rsidRPr="009C5EFD">
              <w:rPr>
                <w:sz w:val="22"/>
                <w:szCs w:val="22"/>
              </w:rPr>
              <w:t>59,0 %</w:t>
            </w:r>
          </w:p>
        </w:tc>
        <w:tc>
          <w:tcPr>
            <w:tcW w:w="1100" w:type="dxa"/>
          </w:tcPr>
          <w:p w14:paraId="73BFE6C9" w14:textId="77777777" w:rsidR="00222C0B" w:rsidRPr="009C5EFD" w:rsidRDefault="00E453CD" w:rsidP="007E2632">
            <w:pPr>
              <w:keepNext/>
              <w:jc w:val="center"/>
              <w:rPr>
                <w:sz w:val="22"/>
                <w:szCs w:val="22"/>
                <w:lang w:val="en-GB"/>
              </w:rPr>
            </w:pPr>
            <w:r w:rsidRPr="009C5EFD">
              <w:rPr>
                <w:sz w:val="22"/>
                <w:szCs w:val="22"/>
              </w:rPr>
              <w:t>&lt; 0,001</w:t>
            </w:r>
          </w:p>
        </w:tc>
        <w:tc>
          <w:tcPr>
            <w:tcW w:w="1173" w:type="dxa"/>
          </w:tcPr>
          <w:p w14:paraId="24059519" w14:textId="77777777" w:rsidR="00222C0B" w:rsidRPr="009C5EFD" w:rsidRDefault="00E453CD" w:rsidP="007E2632">
            <w:pPr>
              <w:keepNext/>
              <w:jc w:val="center"/>
              <w:rPr>
                <w:sz w:val="22"/>
                <w:szCs w:val="22"/>
                <w:lang w:val="en-GB"/>
              </w:rPr>
            </w:pPr>
            <w:r w:rsidRPr="009C5EFD">
              <w:rPr>
                <w:sz w:val="22"/>
                <w:szCs w:val="22"/>
              </w:rPr>
              <w:t>&lt; 0,001</w:t>
            </w:r>
          </w:p>
        </w:tc>
        <w:tc>
          <w:tcPr>
            <w:tcW w:w="1210" w:type="dxa"/>
          </w:tcPr>
          <w:p w14:paraId="05359F1A" w14:textId="77777777" w:rsidR="00222C0B" w:rsidRPr="009C5EFD" w:rsidRDefault="00E453CD" w:rsidP="007E2632">
            <w:pPr>
              <w:keepNext/>
              <w:jc w:val="center"/>
              <w:rPr>
                <w:sz w:val="22"/>
                <w:szCs w:val="22"/>
                <w:lang w:val="en-GB"/>
              </w:rPr>
            </w:pPr>
            <w:r w:rsidRPr="009C5EFD">
              <w:rPr>
                <w:sz w:val="22"/>
                <w:szCs w:val="22"/>
              </w:rPr>
              <w:t>0,162</w:t>
            </w:r>
          </w:p>
        </w:tc>
      </w:tr>
      <w:tr w:rsidR="004644D4" w14:paraId="6F970ADD" w14:textId="77777777" w:rsidTr="00222C0B">
        <w:trPr>
          <w:gridAfter w:val="1"/>
          <w:wAfter w:w="12" w:type="dxa"/>
          <w:cantSplit/>
          <w:jc w:val="center"/>
        </w:trPr>
        <w:tc>
          <w:tcPr>
            <w:tcW w:w="1548" w:type="dxa"/>
            <w:gridSpan w:val="2"/>
          </w:tcPr>
          <w:p w14:paraId="33E2AE50" w14:textId="77777777" w:rsidR="00222C0B" w:rsidRPr="009C5EFD" w:rsidRDefault="00E453CD" w:rsidP="007E2632">
            <w:pPr>
              <w:keepNext/>
              <w:tabs>
                <w:tab w:val="left" w:pos="561"/>
              </w:tabs>
              <w:rPr>
                <w:sz w:val="22"/>
                <w:szCs w:val="22"/>
              </w:rPr>
            </w:pPr>
            <w:r w:rsidRPr="009C5EFD">
              <w:rPr>
                <w:sz w:val="22"/>
                <w:szCs w:val="22"/>
              </w:rPr>
              <w:t>ACR 70</w:t>
            </w:r>
          </w:p>
        </w:tc>
        <w:tc>
          <w:tcPr>
            <w:tcW w:w="1320" w:type="dxa"/>
          </w:tcPr>
          <w:p w14:paraId="1A4614B2" w14:textId="77777777" w:rsidR="00222C0B" w:rsidRPr="009C5EFD" w:rsidRDefault="00222C0B" w:rsidP="007E2632">
            <w:pPr>
              <w:keepNext/>
              <w:jc w:val="center"/>
              <w:rPr>
                <w:sz w:val="22"/>
                <w:szCs w:val="22"/>
                <w:lang w:val="en-GB"/>
              </w:rPr>
            </w:pPr>
          </w:p>
        </w:tc>
        <w:tc>
          <w:tcPr>
            <w:tcW w:w="1320" w:type="dxa"/>
          </w:tcPr>
          <w:p w14:paraId="0D94BE25" w14:textId="77777777" w:rsidR="00222C0B" w:rsidRPr="009C5EFD" w:rsidRDefault="00222C0B" w:rsidP="007E2632">
            <w:pPr>
              <w:keepNext/>
              <w:jc w:val="center"/>
              <w:rPr>
                <w:sz w:val="22"/>
                <w:szCs w:val="22"/>
                <w:lang w:val="en-GB"/>
              </w:rPr>
            </w:pPr>
          </w:p>
        </w:tc>
        <w:tc>
          <w:tcPr>
            <w:tcW w:w="1576" w:type="dxa"/>
          </w:tcPr>
          <w:p w14:paraId="1E4F3DE0" w14:textId="77777777" w:rsidR="00222C0B" w:rsidRPr="009C5EFD" w:rsidRDefault="00222C0B" w:rsidP="007E2632">
            <w:pPr>
              <w:keepNext/>
              <w:jc w:val="center"/>
              <w:rPr>
                <w:sz w:val="22"/>
                <w:szCs w:val="22"/>
                <w:lang w:val="en-GB"/>
              </w:rPr>
            </w:pPr>
          </w:p>
        </w:tc>
        <w:tc>
          <w:tcPr>
            <w:tcW w:w="1100" w:type="dxa"/>
          </w:tcPr>
          <w:p w14:paraId="61058933" w14:textId="77777777" w:rsidR="00222C0B" w:rsidRPr="009C5EFD" w:rsidRDefault="00222C0B" w:rsidP="007E2632">
            <w:pPr>
              <w:keepNext/>
              <w:jc w:val="center"/>
              <w:rPr>
                <w:sz w:val="22"/>
                <w:szCs w:val="22"/>
                <w:lang w:val="en-GB"/>
              </w:rPr>
            </w:pPr>
          </w:p>
        </w:tc>
        <w:tc>
          <w:tcPr>
            <w:tcW w:w="1173" w:type="dxa"/>
          </w:tcPr>
          <w:p w14:paraId="2C6D46AA" w14:textId="77777777" w:rsidR="00222C0B" w:rsidRPr="009C5EFD" w:rsidRDefault="00222C0B" w:rsidP="007E2632">
            <w:pPr>
              <w:keepNext/>
              <w:jc w:val="center"/>
              <w:rPr>
                <w:sz w:val="22"/>
                <w:szCs w:val="22"/>
                <w:lang w:val="en-GB"/>
              </w:rPr>
            </w:pPr>
          </w:p>
        </w:tc>
        <w:tc>
          <w:tcPr>
            <w:tcW w:w="1210" w:type="dxa"/>
          </w:tcPr>
          <w:p w14:paraId="773CB920" w14:textId="77777777" w:rsidR="00222C0B" w:rsidRPr="009C5EFD" w:rsidRDefault="00222C0B" w:rsidP="007E2632">
            <w:pPr>
              <w:keepNext/>
              <w:jc w:val="center"/>
              <w:rPr>
                <w:sz w:val="22"/>
                <w:szCs w:val="22"/>
                <w:lang w:val="en-GB"/>
              </w:rPr>
            </w:pPr>
          </w:p>
        </w:tc>
      </w:tr>
      <w:tr w:rsidR="004644D4" w14:paraId="012DDFBE" w14:textId="77777777" w:rsidTr="00222C0B">
        <w:trPr>
          <w:gridAfter w:val="1"/>
          <w:wAfter w:w="12" w:type="dxa"/>
          <w:cantSplit/>
          <w:trHeight w:val="70"/>
          <w:jc w:val="center"/>
        </w:trPr>
        <w:tc>
          <w:tcPr>
            <w:tcW w:w="1548" w:type="dxa"/>
            <w:gridSpan w:val="2"/>
          </w:tcPr>
          <w:p w14:paraId="1088C570" w14:textId="77777777" w:rsidR="00222C0B" w:rsidRPr="009C5EFD" w:rsidRDefault="00E453CD" w:rsidP="007E2632">
            <w:pPr>
              <w:keepNext/>
              <w:tabs>
                <w:tab w:val="left" w:pos="561"/>
              </w:tabs>
              <w:rPr>
                <w:sz w:val="22"/>
                <w:szCs w:val="22"/>
              </w:rPr>
            </w:pPr>
            <w:r w:rsidRPr="009C5EFD">
              <w:rPr>
                <w:sz w:val="22"/>
                <w:szCs w:val="22"/>
              </w:rPr>
              <w:tab/>
              <w:t>Uke 52</w:t>
            </w:r>
          </w:p>
        </w:tc>
        <w:tc>
          <w:tcPr>
            <w:tcW w:w="1320" w:type="dxa"/>
          </w:tcPr>
          <w:p w14:paraId="6A0B049F" w14:textId="77777777" w:rsidR="00222C0B" w:rsidRPr="009C5EFD" w:rsidRDefault="00E453CD" w:rsidP="007E2632">
            <w:pPr>
              <w:keepNext/>
              <w:jc w:val="center"/>
              <w:rPr>
                <w:sz w:val="22"/>
                <w:szCs w:val="22"/>
                <w:lang w:val="en-GB"/>
              </w:rPr>
            </w:pPr>
            <w:r w:rsidRPr="009C5EFD">
              <w:rPr>
                <w:sz w:val="22"/>
                <w:szCs w:val="22"/>
              </w:rPr>
              <w:t>27,2 %</w:t>
            </w:r>
          </w:p>
        </w:tc>
        <w:tc>
          <w:tcPr>
            <w:tcW w:w="1320" w:type="dxa"/>
          </w:tcPr>
          <w:p w14:paraId="43BD24AC" w14:textId="77777777" w:rsidR="00222C0B" w:rsidRPr="009C5EFD" w:rsidRDefault="00E453CD" w:rsidP="007E2632">
            <w:pPr>
              <w:keepNext/>
              <w:jc w:val="center"/>
              <w:rPr>
                <w:sz w:val="22"/>
                <w:szCs w:val="22"/>
                <w:lang w:val="en-GB"/>
              </w:rPr>
            </w:pPr>
            <w:r w:rsidRPr="009C5EFD">
              <w:rPr>
                <w:sz w:val="22"/>
                <w:szCs w:val="22"/>
              </w:rPr>
              <w:t>25,9 %</w:t>
            </w:r>
          </w:p>
        </w:tc>
        <w:tc>
          <w:tcPr>
            <w:tcW w:w="1576" w:type="dxa"/>
          </w:tcPr>
          <w:p w14:paraId="4A34BD51" w14:textId="77777777" w:rsidR="00222C0B" w:rsidRPr="009C5EFD" w:rsidRDefault="00E453CD" w:rsidP="007E2632">
            <w:pPr>
              <w:keepNext/>
              <w:jc w:val="center"/>
              <w:rPr>
                <w:sz w:val="22"/>
                <w:szCs w:val="22"/>
                <w:lang w:val="en-GB"/>
              </w:rPr>
            </w:pPr>
            <w:r w:rsidRPr="009C5EFD">
              <w:rPr>
                <w:sz w:val="22"/>
                <w:szCs w:val="22"/>
              </w:rPr>
              <w:t>45,5 %</w:t>
            </w:r>
          </w:p>
        </w:tc>
        <w:tc>
          <w:tcPr>
            <w:tcW w:w="1100" w:type="dxa"/>
          </w:tcPr>
          <w:p w14:paraId="644F964E" w14:textId="77777777" w:rsidR="00222C0B" w:rsidRPr="009C5EFD" w:rsidRDefault="00E453CD" w:rsidP="007E2632">
            <w:pPr>
              <w:keepNext/>
              <w:jc w:val="center"/>
              <w:rPr>
                <w:sz w:val="22"/>
                <w:szCs w:val="22"/>
                <w:lang w:val="en-GB"/>
              </w:rPr>
            </w:pPr>
            <w:r w:rsidRPr="009C5EFD">
              <w:rPr>
                <w:sz w:val="22"/>
                <w:szCs w:val="22"/>
              </w:rPr>
              <w:t>&lt; 0,001</w:t>
            </w:r>
          </w:p>
        </w:tc>
        <w:tc>
          <w:tcPr>
            <w:tcW w:w="1173" w:type="dxa"/>
          </w:tcPr>
          <w:p w14:paraId="5C460BEC" w14:textId="77777777" w:rsidR="00222C0B" w:rsidRPr="009C5EFD" w:rsidRDefault="00E453CD" w:rsidP="007E2632">
            <w:pPr>
              <w:keepNext/>
              <w:jc w:val="center"/>
              <w:rPr>
                <w:sz w:val="22"/>
                <w:szCs w:val="22"/>
                <w:lang w:val="en-GB"/>
              </w:rPr>
            </w:pPr>
            <w:r w:rsidRPr="009C5EFD">
              <w:rPr>
                <w:sz w:val="22"/>
                <w:szCs w:val="22"/>
              </w:rPr>
              <w:t>&lt; 0,001</w:t>
            </w:r>
          </w:p>
        </w:tc>
        <w:tc>
          <w:tcPr>
            <w:tcW w:w="1210" w:type="dxa"/>
          </w:tcPr>
          <w:p w14:paraId="0644318F" w14:textId="77777777" w:rsidR="00222C0B" w:rsidRPr="009C5EFD" w:rsidRDefault="00E453CD" w:rsidP="007E2632">
            <w:pPr>
              <w:keepNext/>
              <w:jc w:val="center"/>
              <w:rPr>
                <w:sz w:val="22"/>
                <w:szCs w:val="22"/>
                <w:lang w:val="en-GB"/>
              </w:rPr>
            </w:pPr>
            <w:r w:rsidRPr="009C5EFD">
              <w:rPr>
                <w:sz w:val="22"/>
                <w:szCs w:val="22"/>
              </w:rPr>
              <w:t>0,656</w:t>
            </w:r>
          </w:p>
        </w:tc>
      </w:tr>
      <w:tr w:rsidR="004644D4" w14:paraId="21FCBB4A" w14:textId="77777777" w:rsidTr="00222C0B">
        <w:trPr>
          <w:gridAfter w:val="1"/>
          <w:wAfter w:w="12" w:type="dxa"/>
          <w:cantSplit/>
          <w:jc w:val="center"/>
        </w:trPr>
        <w:tc>
          <w:tcPr>
            <w:tcW w:w="1548" w:type="dxa"/>
            <w:gridSpan w:val="2"/>
          </w:tcPr>
          <w:p w14:paraId="57ED369E" w14:textId="77777777" w:rsidR="00222C0B" w:rsidRPr="009C5EFD" w:rsidRDefault="00E453CD" w:rsidP="007E2632">
            <w:pPr>
              <w:keepNext/>
              <w:tabs>
                <w:tab w:val="left" w:pos="561"/>
              </w:tabs>
              <w:rPr>
                <w:sz w:val="22"/>
                <w:szCs w:val="22"/>
              </w:rPr>
            </w:pPr>
            <w:r w:rsidRPr="009C5EFD">
              <w:rPr>
                <w:sz w:val="22"/>
                <w:szCs w:val="22"/>
              </w:rPr>
              <w:tab/>
              <w:t>Uke 104</w:t>
            </w:r>
          </w:p>
        </w:tc>
        <w:tc>
          <w:tcPr>
            <w:tcW w:w="1320" w:type="dxa"/>
          </w:tcPr>
          <w:p w14:paraId="425526E3" w14:textId="77777777" w:rsidR="00222C0B" w:rsidRPr="009C5EFD" w:rsidRDefault="00E453CD" w:rsidP="007E2632">
            <w:pPr>
              <w:keepNext/>
              <w:jc w:val="center"/>
              <w:rPr>
                <w:sz w:val="22"/>
                <w:szCs w:val="22"/>
                <w:lang w:val="en-GB"/>
              </w:rPr>
            </w:pPr>
            <w:r w:rsidRPr="009C5EFD">
              <w:rPr>
                <w:sz w:val="22"/>
                <w:szCs w:val="22"/>
              </w:rPr>
              <w:t>28,4 %</w:t>
            </w:r>
          </w:p>
        </w:tc>
        <w:tc>
          <w:tcPr>
            <w:tcW w:w="1320" w:type="dxa"/>
          </w:tcPr>
          <w:p w14:paraId="57C1AF73" w14:textId="77777777" w:rsidR="00222C0B" w:rsidRPr="009C5EFD" w:rsidRDefault="00E453CD" w:rsidP="007E2632">
            <w:pPr>
              <w:keepNext/>
              <w:jc w:val="center"/>
              <w:rPr>
                <w:sz w:val="22"/>
                <w:szCs w:val="22"/>
                <w:lang w:val="en-GB"/>
              </w:rPr>
            </w:pPr>
            <w:r w:rsidRPr="009C5EFD">
              <w:rPr>
                <w:sz w:val="22"/>
                <w:szCs w:val="22"/>
              </w:rPr>
              <w:t>28,1 %</w:t>
            </w:r>
          </w:p>
        </w:tc>
        <w:tc>
          <w:tcPr>
            <w:tcW w:w="1576" w:type="dxa"/>
          </w:tcPr>
          <w:p w14:paraId="3C74B894" w14:textId="77777777" w:rsidR="00222C0B" w:rsidRPr="009C5EFD" w:rsidRDefault="00E453CD" w:rsidP="007E2632">
            <w:pPr>
              <w:keepNext/>
              <w:jc w:val="center"/>
              <w:rPr>
                <w:sz w:val="22"/>
                <w:szCs w:val="22"/>
                <w:lang w:val="en-GB"/>
              </w:rPr>
            </w:pPr>
            <w:r w:rsidRPr="009C5EFD">
              <w:rPr>
                <w:sz w:val="22"/>
                <w:szCs w:val="22"/>
              </w:rPr>
              <w:t>46,6 %</w:t>
            </w:r>
          </w:p>
        </w:tc>
        <w:tc>
          <w:tcPr>
            <w:tcW w:w="1100" w:type="dxa"/>
          </w:tcPr>
          <w:p w14:paraId="64D9CB86" w14:textId="77777777" w:rsidR="00222C0B" w:rsidRPr="009C5EFD" w:rsidRDefault="00E453CD" w:rsidP="007E2632">
            <w:pPr>
              <w:keepNext/>
              <w:jc w:val="center"/>
              <w:rPr>
                <w:sz w:val="22"/>
                <w:szCs w:val="22"/>
                <w:lang w:val="en-GB"/>
              </w:rPr>
            </w:pPr>
            <w:r w:rsidRPr="009C5EFD">
              <w:rPr>
                <w:sz w:val="22"/>
                <w:szCs w:val="22"/>
              </w:rPr>
              <w:t>&lt; 0,001</w:t>
            </w:r>
          </w:p>
        </w:tc>
        <w:tc>
          <w:tcPr>
            <w:tcW w:w="1173" w:type="dxa"/>
          </w:tcPr>
          <w:p w14:paraId="1261B1A5" w14:textId="77777777" w:rsidR="00222C0B" w:rsidRPr="009C5EFD" w:rsidRDefault="00E453CD" w:rsidP="007E2632">
            <w:pPr>
              <w:keepNext/>
              <w:jc w:val="center"/>
              <w:rPr>
                <w:sz w:val="22"/>
                <w:szCs w:val="22"/>
                <w:lang w:val="en-GB"/>
              </w:rPr>
            </w:pPr>
            <w:r w:rsidRPr="009C5EFD">
              <w:rPr>
                <w:sz w:val="22"/>
                <w:szCs w:val="22"/>
              </w:rPr>
              <w:t>&lt; 0,001</w:t>
            </w:r>
          </w:p>
        </w:tc>
        <w:tc>
          <w:tcPr>
            <w:tcW w:w="1210" w:type="dxa"/>
          </w:tcPr>
          <w:p w14:paraId="48E8B1E0" w14:textId="77777777" w:rsidR="00222C0B" w:rsidRPr="009C5EFD" w:rsidRDefault="00E453CD" w:rsidP="007E2632">
            <w:pPr>
              <w:keepNext/>
              <w:jc w:val="center"/>
              <w:rPr>
                <w:sz w:val="22"/>
                <w:szCs w:val="22"/>
                <w:lang w:val="en-GB"/>
              </w:rPr>
            </w:pPr>
            <w:r w:rsidRPr="009C5EFD">
              <w:rPr>
                <w:sz w:val="22"/>
                <w:szCs w:val="22"/>
              </w:rPr>
              <w:t>0,864</w:t>
            </w:r>
          </w:p>
        </w:tc>
      </w:tr>
      <w:tr w:rsidR="004644D4" w14:paraId="67ED1278" w14:textId="77777777" w:rsidTr="00222C0B">
        <w:trPr>
          <w:gridBefore w:val="1"/>
          <w:wBefore w:w="9" w:type="dxa"/>
          <w:cantSplit/>
          <w:jc w:val="center"/>
        </w:trPr>
        <w:tc>
          <w:tcPr>
            <w:tcW w:w="9250" w:type="dxa"/>
            <w:gridSpan w:val="8"/>
          </w:tcPr>
          <w:p w14:paraId="77A9C259" w14:textId="77777777" w:rsidR="00222C0B" w:rsidRPr="007F67EE" w:rsidRDefault="00E453CD" w:rsidP="007E2632">
            <w:pPr>
              <w:pStyle w:val="BodyTextIndent2"/>
              <w:keepNext/>
              <w:tabs>
                <w:tab w:val="left" w:pos="330"/>
              </w:tabs>
              <w:ind w:left="330" w:hanging="330"/>
              <w:rPr>
                <w:szCs w:val="22"/>
              </w:rPr>
            </w:pPr>
            <w:r w:rsidRPr="007F67EE">
              <w:rPr>
                <w:szCs w:val="22"/>
              </w:rPr>
              <w:t>a.</w:t>
            </w:r>
            <w:r w:rsidRPr="007F67EE">
              <w:rPr>
                <w:szCs w:val="22"/>
              </w:rPr>
              <w:tab/>
              <w:t>p-verdien er fra den parvise sammenligningen av metotreksat monoterapi og Humira/metotreksat kombinasjonsbehandling med Mann-Whitney U testen.</w:t>
            </w:r>
          </w:p>
          <w:p w14:paraId="4691C093" w14:textId="77777777" w:rsidR="00222C0B" w:rsidRPr="002D0790" w:rsidRDefault="00E453CD" w:rsidP="007E2632">
            <w:pPr>
              <w:pStyle w:val="BodyTextIndent2"/>
              <w:keepNext/>
              <w:tabs>
                <w:tab w:val="left" w:pos="330"/>
              </w:tabs>
              <w:ind w:left="329" w:hanging="329"/>
              <w:rPr>
                <w:szCs w:val="22"/>
              </w:rPr>
            </w:pPr>
            <w:r w:rsidRPr="007F67EE">
              <w:rPr>
                <w:szCs w:val="22"/>
              </w:rPr>
              <w:t>b.</w:t>
            </w:r>
            <w:r w:rsidRPr="007F67EE">
              <w:rPr>
                <w:szCs w:val="22"/>
              </w:rPr>
              <w:tab/>
              <w:t>p-verdien er fra den parvise sammenligningen av Humira monoterapi o</w:t>
            </w:r>
            <w:r w:rsidRPr="00193D76">
              <w:rPr>
                <w:szCs w:val="22"/>
              </w:rPr>
              <w:t>g Humira/metotreksat kombinasjonsbehandling med Mann-Whitney U testen.</w:t>
            </w:r>
          </w:p>
          <w:p w14:paraId="6095A523" w14:textId="77777777" w:rsidR="00222C0B" w:rsidRPr="00E14E58" w:rsidRDefault="00E453CD" w:rsidP="007E2632">
            <w:pPr>
              <w:pStyle w:val="BodyTextIndent2"/>
              <w:keepNext/>
              <w:tabs>
                <w:tab w:val="left" w:pos="330"/>
              </w:tabs>
              <w:ind w:left="329" w:hanging="329"/>
              <w:rPr>
                <w:szCs w:val="22"/>
              </w:rPr>
            </w:pPr>
            <w:r w:rsidRPr="00C07C98">
              <w:rPr>
                <w:szCs w:val="22"/>
              </w:rPr>
              <w:t>c.</w:t>
            </w:r>
            <w:r w:rsidRPr="00C07C98">
              <w:rPr>
                <w:szCs w:val="22"/>
              </w:rPr>
              <w:tab/>
              <w:t>p-verdien er fra den parvise sammenligningen av Humira monoterapi og metotreksat monoterapi med Mann-Whitney U testen.</w:t>
            </w:r>
          </w:p>
        </w:tc>
      </w:tr>
    </w:tbl>
    <w:p w14:paraId="0CEA6EDF" w14:textId="77777777" w:rsidR="001E500F" w:rsidRPr="007F67EE" w:rsidRDefault="001E500F" w:rsidP="007F67EE">
      <w:pPr>
        <w:ind w:left="54"/>
        <w:rPr>
          <w:sz w:val="22"/>
          <w:szCs w:val="22"/>
        </w:rPr>
      </w:pPr>
    </w:p>
    <w:p w14:paraId="18AC1C5C" w14:textId="77777777" w:rsidR="00635DEA" w:rsidRDefault="00E453CD" w:rsidP="007F67EE">
      <w:pPr>
        <w:rPr>
          <w:sz w:val="22"/>
          <w:szCs w:val="22"/>
        </w:rPr>
      </w:pPr>
      <w:r>
        <w:rPr>
          <w:sz w:val="22"/>
          <w:szCs w:val="22"/>
        </w:rPr>
        <w:t xml:space="preserve">I den åpne forlengelsesfasen for RA studie V, ble ACR-responsrater vedlikeholdt </w:t>
      </w:r>
      <w:r w:rsidR="00404321">
        <w:rPr>
          <w:sz w:val="22"/>
          <w:szCs w:val="22"/>
        </w:rPr>
        <w:t xml:space="preserve">i </w:t>
      </w:r>
      <w:r>
        <w:rPr>
          <w:sz w:val="22"/>
          <w:szCs w:val="22"/>
        </w:rPr>
        <w:t>opptil 10 år. Av 542 pasienter randomisert til Humira 40 mg annenhver uke</w:t>
      </w:r>
      <w:r w:rsidR="00404321">
        <w:rPr>
          <w:sz w:val="22"/>
          <w:szCs w:val="22"/>
        </w:rPr>
        <w:t>,</w:t>
      </w:r>
      <w:r>
        <w:rPr>
          <w:sz w:val="22"/>
          <w:szCs w:val="22"/>
        </w:rPr>
        <w:t xml:space="preserve"> fortsatte 170 </w:t>
      </w:r>
      <w:r w:rsidR="003B49EC">
        <w:rPr>
          <w:sz w:val="22"/>
          <w:szCs w:val="22"/>
        </w:rPr>
        <w:t xml:space="preserve">pasienter </w:t>
      </w:r>
      <w:r w:rsidR="00505F9D">
        <w:rPr>
          <w:sz w:val="22"/>
          <w:szCs w:val="22"/>
        </w:rPr>
        <w:t>med</w:t>
      </w:r>
      <w:r>
        <w:rPr>
          <w:sz w:val="22"/>
          <w:szCs w:val="22"/>
        </w:rPr>
        <w:t xml:space="preserve"> Humira 40 mg annenhver uke i 10 år. Av disse hadde 154 pasienter (90,6 %) ACR </w:t>
      </w:r>
      <w:r w:rsidR="00EC5A19">
        <w:rPr>
          <w:sz w:val="22"/>
          <w:szCs w:val="22"/>
        </w:rPr>
        <w:t>20-respons</w:t>
      </w:r>
      <w:r>
        <w:rPr>
          <w:sz w:val="22"/>
          <w:szCs w:val="22"/>
        </w:rPr>
        <w:t xml:space="preserve">, 127 pasienter (74,7 %) hadde ACR </w:t>
      </w:r>
      <w:r w:rsidR="00EC5A19">
        <w:rPr>
          <w:sz w:val="22"/>
          <w:szCs w:val="22"/>
        </w:rPr>
        <w:t>50-respons</w:t>
      </w:r>
      <w:r>
        <w:rPr>
          <w:sz w:val="22"/>
          <w:szCs w:val="22"/>
        </w:rPr>
        <w:t xml:space="preserve"> og 102 pasienter (60,0 %) hadde ACR </w:t>
      </w:r>
      <w:r w:rsidR="00366B6C">
        <w:rPr>
          <w:sz w:val="22"/>
          <w:szCs w:val="22"/>
        </w:rPr>
        <w:t>70-respons</w:t>
      </w:r>
      <w:r>
        <w:rPr>
          <w:sz w:val="22"/>
          <w:szCs w:val="22"/>
        </w:rPr>
        <w:t>.</w:t>
      </w:r>
    </w:p>
    <w:p w14:paraId="1DC8A381" w14:textId="77777777" w:rsidR="00635DEA" w:rsidRDefault="00635DEA" w:rsidP="007F67EE">
      <w:pPr>
        <w:rPr>
          <w:sz w:val="22"/>
          <w:szCs w:val="22"/>
        </w:rPr>
      </w:pPr>
    </w:p>
    <w:p w14:paraId="35355A8A" w14:textId="77777777" w:rsidR="001E500F" w:rsidRPr="009C5EFD" w:rsidRDefault="00E453CD" w:rsidP="007F67EE">
      <w:pPr>
        <w:rPr>
          <w:sz w:val="22"/>
          <w:szCs w:val="22"/>
        </w:rPr>
      </w:pPr>
      <w:r w:rsidRPr="007F67EE">
        <w:rPr>
          <w:sz w:val="22"/>
          <w:szCs w:val="22"/>
        </w:rPr>
        <w:t>Ved uke 52 oppnådde 42,9</w:t>
      </w:r>
      <w:r w:rsidR="00315F16" w:rsidRPr="002D0790">
        <w:rPr>
          <w:sz w:val="22"/>
          <w:szCs w:val="22"/>
        </w:rPr>
        <w:t> %</w:t>
      </w:r>
      <w:r w:rsidRPr="00C07C98">
        <w:rPr>
          <w:sz w:val="22"/>
          <w:szCs w:val="22"/>
        </w:rPr>
        <w:t xml:space="preserve"> av pasientene som fikk kombinasjonsbehandling med Humira/metotreksat klinisk remisjon (DAS28 </w:t>
      </w:r>
      <w:r w:rsidR="00635DEA">
        <w:rPr>
          <w:sz w:val="22"/>
          <w:szCs w:val="22"/>
        </w:rPr>
        <w:t xml:space="preserve">(CRP) </w:t>
      </w:r>
      <w:r w:rsidRPr="00C07C98">
        <w:rPr>
          <w:sz w:val="22"/>
          <w:szCs w:val="22"/>
        </w:rPr>
        <w:t>&lt;</w:t>
      </w:r>
      <w:r w:rsidR="00222C0B" w:rsidRPr="009C5EFD">
        <w:rPr>
          <w:sz w:val="22"/>
          <w:szCs w:val="22"/>
        </w:rPr>
        <w:t> </w:t>
      </w:r>
      <w:r w:rsidRPr="009C5EFD">
        <w:rPr>
          <w:sz w:val="22"/>
          <w:szCs w:val="22"/>
        </w:rPr>
        <w:t>2,6) sammenlignet med 20,6</w:t>
      </w:r>
      <w:r w:rsidR="00315F16" w:rsidRPr="009C5EFD">
        <w:rPr>
          <w:sz w:val="22"/>
          <w:szCs w:val="22"/>
        </w:rPr>
        <w:t> %</w:t>
      </w:r>
      <w:r w:rsidRPr="009C5EFD">
        <w:rPr>
          <w:sz w:val="22"/>
          <w:szCs w:val="22"/>
        </w:rPr>
        <w:t xml:space="preserve"> av pasientene som fikk metotreksat monoterapi og 23,4</w:t>
      </w:r>
      <w:r w:rsidR="00315F16" w:rsidRPr="009C5EFD">
        <w:rPr>
          <w:sz w:val="22"/>
          <w:szCs w:val="22"/>
        </w:rPr>
        <w:t> %</w:t>
      </w:r>
      <w:r w:rsidRPr="009C5EFD">
        <w:rPr>
          <w:sz w:val="22"/>
          <w:szCs w:val="22"/>
        </w:rPr>
        <w:t xml:space="preserve"> av pasientene som fikk Humira monoterapi. Kombinasjonsbehandling med Humira/metotreksat var klinisk og statistisk bedre enn metotreksat (p &lt; 0,001) og Humira monoterapi (p &lt; 0,001), for å oppnå en lettere sykdomstilstand, for pasienter som nylig var diagnostisert med moderat til alvorlig revmatoid artritt. Responsen for de to monoterapiarmene var lik (p = 0,447).</w:t>
      </w:r>
      <w:r w:rsidR="00635DEA">
        <w:rPr>
          <w:sz w:val="22"/>
          <w:szCs w:val="22"/>
        </w:rPr>
        <w:t xml:space="preserve"> Av 342 pasienter </w:t>
      </w:r>
      <w:r w:rsidR="000E3D8A">
        <w:rPr>
          <w:sz w:val="22"/>
          <w:szCs w:val="22"/>
        </w:rPr>
        <w:t xml:space="preserve">opprinnelig </w:t>
      </w:r>
      <w:r w:rsidR="00635DEA">
        <w:rPr>
          <w:sz w:val="22"/>
          <w:szCs w:val="22"/>
        </w:rPr>
        <w:t>randomisert til Humira monoterapi eller Humira/metotreksat kombinasjonsbehandling, som ble inkludert i den åpne forlengelsesfasen, fullførte 171 pasienter 10 år med Humira-behandling. Blant disse ble 109 pasienter (63,7 %) rapportert til å være i remisjon etter 10 år.</w:t>
      </w:r>
    </w:p>
    <w:p w14:paraId="5ADF2F55" w14:textId="77777777" w:rsidR="001E500F" w:rsidRPr="009C5EFD" w:rsidRDefault="001E500F" w:rsidP="00193D76">
      <w:pPr>
        <w:rPr>
          <w:sz w:val="22"/>
          <w:szCs w:val="22"/>
        </w:rPr>
      </w:pPr>
    </w:p>
    <w:p w14:paraId="3F27A97E" w14:textId="77777777" w:rsidR="001E500F" w:rsidRPr="007F67EE" w:rsidRDefault="00E453CD" w:rsidP="008036EA">
      <w:pPr>
        <w:pStyle w:val="Heading7"/>
        <w:rPr>
          <w:szCs w:val="22"/>
          <w:u w:val="single"/>
        </w:rPr>
      </w:pPr>
      <w:r>
        <w:rPr>
          <w:noProof/>
          <w:lang w:val="en-GB" w:eastAsia="en-GB"/>
        </w:rPr>
        <mc:AlternateContent>
          <mc:Choice Requires="wps">
            <w:drawing>
              <wp:anchor distT="0" distB="0" distL="114300" distR="114300" simplePos="0" relativeHeight="251658249" behindDoc="0" locked="0" layoutInCell="0" allowOverlap="1" wp14:anchorId="0B5E441F" wp14:editId="3A6807F1">
                <wp:simplePos x="0" y="0"/>
                <wp:positionH relativeFrom="column">
                  <wp:posOffset>-1943100</wp:posOffset>
                </wp:positionH>
                <wp:positionV relativeFrom="paragraph">
                  <wp:posOffset>67310</wp:posOffset>
                </wp:positionV>
                <wp:extent cx="571500" cy="335280"/>
                <wp:effectExtent l="0" t="0" r="0" b="7620"/>
                <wp:wrapNone/>
                <wp:docPr id="23"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FC86F" w14:textId="77777777" w:rsidR="001F4B85" w:rsidRDefault="001F4B85" w:rsidP="001E500F">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B5E441F" id="Tekstboks 1" o:spid="_x0000_s1036" type="#_x0000_t202" style="position:absolute;left:0;text-align:left;margin-left:-153pt;margin-top:5.3pt;width:45pt;height:26.4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" o:allowincell="f" stroked="f">
                <v:textbox>
                  <w:txbxContent>
                    <w:p w14:paraId="143FC86F" w14:textId="77777777" w:rsidR="001F4B85" w:rsidRDefault="001F4B85" w:rsidP="001E500F">
                      <w:pPr>
                        <w:rPr>
                          <w:sz w:val="20"/>
                        </w:rPr>
                      </w:pPr>
                    </w:p>
                  </w:txbxContent>
                </v:textbox>
              </v:shape>
            </w:pict>
          </mc:Fallback>
        </mc:AlternateContent>
      </w:r>
      <w:r w:rsidR="001E500F" w:rsidRPr="007F67EE">
        <w:rPr>
          <w:szCs w:val="22"/>
          <w:u w:val="single"/>
        </w:rPr>
        <w:t>Radiografisk respons</w:t>
      </w:r>
    </w:p>
    <w:p w14:paraId="6F9E29E7" w14:textId="77777777" w:rsidR="001E500F" w:rsidRPr="00193D76" w:rsidRDefault="001E500F" w:rsidP="008036EA">
      <w:pPr>
        <w:keepNext/>
        <w:rPr>
          <w:sz w:val="22"/>
          <w:szCs w:val="22"/>
        </w:rPr>
      </w:pPr>
    </w:p>
    <w:p w14:paraId="21BA68AC" w14:textId="77777777" w:rsidR="001E500F" w:rsidRPr="009C5EFD" w:rsidRDefault="00E453CD" w:rsidP="00776A84">
      <w:pPr>
        <w:rPr>
          <w:sz w:val="22"/>
          <w:szCs w:val="22"/>
        </w:rPr>
      </w:pPr>
      <w:r w:rsidRPr="002D0790">
        <w:rPr>
          <w:sz w:val="22"/>
          <w:szCs w:val="22"/>
        </w:rPr>
        <w:t>I RA-studie III, der pasienter behandlet med Humira hadde hatt revmatoid artritt i gjennomsnittlig 11</w:t>
      </w:r>
      <w:r w:rsidR="00315F16" w:rsidRPr="00C07C98">
        <w:rPr>
          <w:sz w:val="22"/>
          <w:szCs w:val="22"/>
        </w:rPr>
        <w:t> år</w:t>
      </w:r>
      <w:r w:rsidRPr="00E14E58">
        <w:rPr>
          <w:sz w:val="22"/>
          <w:szCs w:val="22"/>
        </w:rPr>
        <w:t>, ble den strukturelle leddskaden vurdert radiografisk og uttrykt som endringer i den modifiserte Total Sharp Score (</w:t>
      </w:r>
      <w:r w:rsidRPr="009C5EFD">
        <w:rPr>
          <w:sz w:val="22"/>
          <w:szCs w:val="22"/>
        </w:rPr>
        <w:t>TSS) og dens delkomponenter, erosjonsscoren og leddspaltescoren. Humira/metotreksat pasienter viste signifikant mindre radiografisk progresjon enn pasienter som kun fikk metotreksat ved 6 og 12</w:t>
      </w:r>
      <w:r w:rsidR="00315F16" w:rsidRPr="009C5EFD">
        <w:rPr>
          <w:sz w:val="22"/>
          <w:szCs w:val="22"/>
        </w:rPr>
        <w:t> måned</w:t>
      </w:r>
      <w:r w:rsidRPr="009C5EFD">
        <w:rPr>
          <w:sz w:val="22"/>
          <w:szCs w:val="22"/>
        </w:rPr>
        <w:t xml:space="preserve">er (se tabell </w:t>
      </w:r>
      <w:r w:rsidR="00634DDF">
        <w:rPr>
          <w:sz w:val="22"/>
          <w:szCs w:val="22"/>
        </w:rPr>
        <w:t>10</w:t>
      </w:r>
      <w:r w:rsidRPr="009C5EFD">
        <w:rPr>
          <w:sz w:val="22"/>
          <w:szCs w:val="22"/>
        </w:rPr>
        <w:t>).</w:t>
      </w:r>
    </w:p>
    <w:p w14:paraId="074E5BBD" w14:textId="77777777" w:rsidR="001E500F" w:rsidRPr="009C5EFD" w:rsidRDefault="001E500F" w:rsidP="00E14E58">
      <w:pPr>
        <w:rPr>
          <w:sz w:val="22"/>
          <w:szCs w:val="22"/>
        </w:rPr>
      </w:pPr>
    </w:p>
    <w:p w14:paraId="64221F8D" w14:textId="77777777" w:rsidR="005B4731" w:rsidRPr="009C5EFD" w:rsidRDefault="00E453CD" w:rsidP="009C5EFD">
      <w:pPr>
        <w:rPr>
          <w:sz w:val="22"/>
          <w:szCs w:val="22"/>
        </w:rPr>
      </w:pPr>
      <w:r w:rsidRPr="009C5EFD">
        <w:rPr>
          <w:sz w:val="22"/>
          <w:szCs w:val="22"/>
        </w:rPr>
        <w:t>I den åpne oppfølgingsstudien av RA-studie III opprettholdes reduksjonen i progresjonshastighet på strukturell skade hos en gruppe av pasienter i 8 og 10</w:t>
      </w:r>
      <w:r w:rsidR="00315F16" w:rsidRPr="009C5EFD">
        <w:rPr>
          <w:sz w:val="22"/>
          <w:szCs w:val="22"/>
        </w:rPr>
        <w:t> år</w:t>
      </w:r>
      <w:r w:rsidRPr="009C5EFD">
        <w:rPr>
          <w:sz w:val="22"/>
          <w:szCs w:val="22"/>
        </w:rPr>
        <w:t>. 81 av 207</w:t>
      </w:r>
      <w:r w:rsidR="00315F16" w:rsidRPr="009C5EFD">
        <w:rPr>
          <w:sz w:val="22"/>
          <w:szCs w:val="22"/>
        </w:rPr>
        <w:t> pasient</w:t>
      </w:r>
      <w:r w:rsidRPr="009C5EFD">
        <w:rPr>
          <w:sz w:val="22"/>
          <w:szCs w:val="22"/>
        </w:rPr>
        <w:t>er opprinnelig behandlet med 40</w:t>
      </w:r>
      <w:r w:rsidR="00E55E5D" w:rsidRPr="009C5EFD">
        <w:rPr>
          <w:sz w:val="22"/>
          <w:szCs w:val="22"/>
        </w:rPr>
        <w:t> mg</w:t>
      </w:r>
      <w:r w:rsidRPr="009C5EFD">
        <w:rPr>
          <w:sz w:val="22"/>
          <w:szCs w:val="22"/>
        </w:rPr>
        <w:t xml:space="preserve"> Humira annenhver uke ble radiografisk undersøkt etter 8</w:t>
      </w:r>
      <w:r w:rsidR="00315F16" w:rsidRPr="009C5EFD">
        <w:rPr>
          <w:sz w:val="22"/>
          <w:szCs w:val="22"/>
        </w:rPr>
        <w:t> år</w:t>
      </w:r>
      <w:r w:rsidRPr="009C5EFD">
        <w:rPr>
          <w:sz w:val="22"/>
          <w:szCs w:val="22"/>
        </w:rPr>
        <w:t>. Blant disse viste 48</w:t>
      </w:r>
      <w:r w:rsidR="00315F16" w:rsidRPr="009C5EFD">
        <w:rPr>
          <w:sz w:val="22"/>
          <w:szCs w:val="22"/>
        </w:rPr>
        <w:t> pasient</w:t>
      </w:r>
      <w:r w:rsidRPr="009C5EFD">
        <w:rPr>
          <w:sz w:val="22"/>
          <w:szCs w:val="22"/>
        </w:rPr>
        <w:t>er ingen progresjon på strukturell skade, definert ved forandring fra baseline i mTSS på 0,5 eller lavere. 79 av 207</w:t>
      </w:r>
      <w:r w:rsidR="00315F16" w:rsidRPr="009C5EFD">
        <w:rPr>
          <w:sz w:val="22"/>
          <w:szCs w:val="22"/>
        </w:rPr>
        <w:t> pasient</w:t>
      </w:r>
      <w:r w:rsidRPr="009C5EFD">
        <w:rPr>
          <w:sz w:val="22"/>
          <w:szCs w:val="22"/>
        </w:rPr>
        <w:t>er opprinnelig behandlet med 40</w:t>
      </w:r>
      <w:r w:rsidR="00E55E5D" w:rsidRPr="009C5EFD">
        <w:rPr>
          <w:sz w:val="22"/>
          <w:szCs w:val="22"/>
        </w:rPr>
        <w:t> mg</w:t>
      </w:r>
      <w:r w:rsidRPr="009C5EFD">
        <w:rPr>
          <w:sz w:val="22"/>
          <w:szCs w:val="22"/>
        </w:rPr>
        <w:t xml:space="preserve"> Humira annenhver uke ble radiografisk undersøkt etter 10</w:t>
      </w:r>
      <w:r w:rsidR="00315F16" w:rsidRPr="009C5EFD">
        <w:rPr>
          <w:sz w:val="22"/>
          <w:szCs w:val="22"/>
        </w:rPr>
        <w:t> år</w:t>
      </w:r>
      <w:r w:rsidRPr="009C5EFD">
        <w:rPr>
          <w:sz w:val="22"/>
          <w:szCs w:val="22"/>
        </w:rPr>
        <w:t>. Blant disse viste 40</w:t>
      </w:r>
      <w:r w:rsidR="00315F16" w:rsidRPr="009C5EFD">
        <w:rPr>
          <w:sz w:val="22"/>
          <w:szCs w:val="22"/>
        </w:rPr>
        <w:t> pasient</w:t>
      </w:r>
      <w:r w:rsidRPr="009C5EFD">
        <w:rPr>
          <w:sz w:val="22"/>
          <w:szCs w:val="22"/>
        </w:rPr>
        <w:t>er ingen progresjon på strukturell skade, definert ved forandring fra baseline i mTSS på 0,5 eller lavere.</w:t>
      </w:r>
    </w:p>
    <w:p w14:paraId="0C213F6A" w14:textId="77777777" w:rsidR="005B4731" w:rsidRPr="009C5EFD" w:rsidRDefault="005B4731" w:rsidP="00CB31ED">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4644D4" w14:paraId="28C26E46" w14:textId="77777777" w:rsidTr="005B4731">
        <w:trPr>
          <w:cantSplit/>
        </w:trPr>
        <w:tc>
          <w:tcPr>
            <w:tcW w:w="8856" w:type="dxa"/>
            <w:gridSpan w:val="5"/>
            <w:tcBorders>
              <w:top w:val="nil"/>
              <w:left w:val="nil"/>
              <w:right w:val="nil"/>
            </w:tcBorders>
          </w:tcPr>
          <w:p w14:paraId="728A7B27" w14:textId="77777777" w:rsidR="005B4731" w:rsidRPr="009C5EFD" w:rsidRDefault="00E453CD" w:rsidP="00CB31ED">
            <w:pPr>
              <w:pStyle w:val="Heading9"/>
              <w:keepNext/>
              <w:spacing w:before="0" w:after="0"/>
              <w:jc w:val="center"/>
              <w:rPr>
                <w:rFonts w:ascii="Times New Roman" w:hAnsi="Times New Roman" w:cs="Times New Roman"/>
                <w:b/>
                <w:bCs/>
              </w:rPr>
            </w:pPr>
            <w:r w:rsidRPr="009C5EFD">
              <w:rPr>
                <w:rFonts w:ascii="Times New Roman" w:hAnsi="Times New Roman" w:cs="Times New Roman"/>
                <w:b/>
                <w:bCs/>
              </w:rPr>
              <w:t>Tabell </w:t>
            </w:r>
            <w:r w:rsidR="00634DDF">
              <w:rPr>
                <w:rFonts w:ascii="Times New Roman" w:hAnsi="Times New Roman" w:cs="Times New Roman"/>
                <w:b/>
                <w:bCs/>
              </w:rPr>
              <w:t>10</w:t>
            </w:r>
          </w:p>
          <w:p w14:paraId="45A38978" w14:textId="77777777" w:rsidR="005B4731" w:rsidRPr="009C5EFD" w:rsidRDefault="00E453CD" w:rsidP="00CB31ED">
            <w:pPr>
              <w:pStyle w:val="EMEATitle"/>
              <w:keepNext/>
              <w:rPr>
                <w:rFonts w:ascii="Times New Roman" w:hAnsi="Times New Roman"/>
                <w:bCs/>
                <w:caps w:val="0"/>
                <w:lang w:val="nb-NO"/>
              </w:rPr>
            </w:pPr>
            <w:r w:rsidRPr="009C5EFD">
              <w:rPr>
                <w:rFonts w:ascii="Times New Roman" w:hAnsi="Times New Roman"/>
                <w:bCs/>
                <w:caps w:val="0"/>
                <w:lang w:val="nb-NO"/>
              </w:rPr>
              <w:t>Radiografisk gjennomsnittlig endring over 12 måneder i RA-studie III</w:t>
            </w:r>
          </w:p>
          <w:p w14:paraId="2DDD95A4" w14:textId="77777777" w:rsidR="005B4731" w:rsidRPr="009C5EFD" w:rsidRDefault="005B4731" w:rsidP="00CB31ED">
            <w:pPr>
              <w:pStyle w:val="EMEATitle"/>
              <w:keepNext/>
              <w:rPr>
                <w:rFonts w:ascii="Times New Roman" w:hAnsi="Times New Roman"/>
                <w:bCs/>
                <w:caps w:val="0"/>
                <w:szCs w:val="24"/>
                <w:lang w:val="nb-NO"/>
              </w:rPr>
            </w:pPr>
          </w:p>
        </w:tc>
      </w:tr>
      <w:tr w:rsidR="004644D4" w14:paraId="7C4F04B3" w14:textId="77777777" w:rsidTr="005B4731">
        <w:tc>
          <w:tcPr>
            <w:tcW w:w="2088" w:type="dxa"/>
          </w:tcPr>
          <w:p w14:paraId="460D4806" w14:textId="77777777" w:rsidR="005B4731" w:rsidRPr="009C5EFD" w:rsidRDefault="005B4731" w:rsidP="00CB31ED">
            <w:pPr>
              <w:keepNext/>
              <w:jc w:val="center"/>
            </w:pPr>
          </w:p>
        </w:tc>
        <w:tc>
          <w:tcPr>
            <w:tcW w:w="1430" w:type="dxa"/>
          </w:tcPr>
          <w:p w14:paraId="0690EACB" w14:textId="77777777" w:rsidR="005B4731" w:rsidRPr="009C5EFD" w:rsidRDefault="00E453CD" w:rsidP="00CB31ED">
            <w:pPr>
              <w:keepNext/>
              <w:rPr>
                <w:sz w:val="22"/>
                <w:szCs w:val="22"/>
              </w:rPr>
            </w:pPr>
            <w:r w:rsidRPr="009C5EFD">
              <w:rPr>
                <w:sz w:val="22"/>
                <w:szCs w:val="22"/>
              </w:rPr>
              <w:t>Placebo/</w:t>
            </w:r>
          </w:p>
          <w:p w14:paraId="008C34B5" w14:textId="77777777" w:rsidR="005B4731" w:rsidRPr="009C5EFD" w:rsidRDefault="00E453CD" w:rsidP="00CB31ED">
            <w:pPr>
              <w:keepNext/>
              <w:rPr>
                <w:vertAlign w:val="superscript"/>
                <w:lang w:val="en-GB"/>
              </w:rPr>
            </w:pPr>
            <w:r w:rsidRPr="009C5EFD">
              <w:rPr>
                <w:sz w:val="22"/>
                <w:szCs w:val="22"/>
              </w:rPr>
              <w:t>MTX</w:t>
            </w:r>
            <w:r w:rsidRPr="009C5EFD">
              <w:rPr>
                <w:sz w:val="22"/>
                <w:szCs w:val="22"/>
                <w:vertAlign w:val="superscript"/>
              </w:rPr>
              <w:t>a</w:t>
            </w:r>
          </w:p>
        </w:tc>
        <w:tc>
          <w:tcPr>
            <w:tcW w:w="1790" w:type="dxa"/>
          </w:tcPr>
          <w:p w14:paraId="1DCEB7C2" w14:textId="77777777" w:rsidR="005B4731" w:rsidRPr="009C5EFD" w:rsidRDefault="00E453CD" w:rsidP="00CB31ED">
            <w:pPr>
              <w:keepNext/>
              <w:jc w:val="center"/>
              <w:rPr>
                <w:sz w:val="22"/>
                <w:szCs w:val="22"/>
              </w:rPr>
            </w:pPr>
            <w:r w:rsidRPr="009C5EFD">
              <w:rPr>
                <w:sz w:val="22"/>
                <w:szCs w:val="22"/>
              </w:rPr>
              <w:t>Humira/MTX</w:t>
            </w:r>
          </w:p>
          <w:p w14:paraId="1E6C4334" w14:textId="77777777" w:rsidR="005B4731" w:rsidRPr="009C5EFD" w:rsidRDefault="00E453CD">
            <w:pPr>
              <w:keepNext/>
              <w:jc w:val="center"/>
            </w:pPr>
            <w:r w:rsidRPr="009C5EFD">
              <w:rPr>
                <w:sz w:val="22"/>
                <w:szCs w:val="22"/>
              </w:rPr>
              <w:t>40 mg annen</w:t>
            </w:r>
            <w:r w:rsidR="005D10BA">
              <w:rPr>
                <w:sz w:val="22"/>
                <w:szCs w:val="22"/>
              </w:rPr>
              <w:t>hver</w:t>
            </w:r>
            <w:r w:rsidRPr="009C5EFD">
              <w:rPr>
                <w:sz w:val="22"/>
                <w:szCs w:val="22"/>
              </w:rPr>
              <w:t xml:space="preserve"> uke </w:t>
            </w:r>
          </w:p>
        </w:tc>
        <w:tc>
          <w:tcPr>
            <w:tcW w:w="2000" w:type="dxa"/>
          </w:tcPr>
          <w:p w14:paraId="3A5AE9EF" w14:textId="77777777" w:rsidR="005B4731" w:rsidRPr="001F5D4B" w:rsidRDefault="00E453CD" w:rsidP="00CB31ED">
            <w:pPr>
              <w:keepNext/>
              <w:jc w:val="center"/>
              <w:rPr>
                <w:lang w:val="sv-SE"/>
              </w:rPr>
            </w:pPr>
            <w:r w:rsidRPr="009C5EFD">
              <w:rPr>
                <w:sz w:val="22"/>
                <w:szCs w:val="22"/>
                <w:lang w:val="sv-SE"/>
              </w:rPr>
              <w:t>Placebo/MTX-Humira/MTX (95 % konfidens intervall</w:t>
            </w:r>
            <w:r w:rsidRPr="009C5EFD">
              <w:rPr>
                <w:sz w:val="22"/>
                <w:szCs w:val="22"/>
                <w:vertAlign w:val="superscript"/>
                <w:lang w:val="sv-SE"/>
              </w:rPr>
              <w:t>b</w:t>
            </w:r>
            <w:r w:rsidRPr="009C5EFD">
              <w:rPr>
                <w:sz w:val="22"/>
                <w:szCs w:val="22"/>
                <w:lang w:val="sv-SE"/>
              </w:rPr>
              <w:t>)</w:t>
            </w:r>
          </w:p>
        </w:tc>
        <w:tc>
          <w:tcPr>
            <w:tcW w:w="1548" w:type="dxa"/>
          </w:tcPr>
          <w:p w14:paraId="4CCD5552" w14:textId="77777777" w:rsidR="005B4731" w:rsidRPr="009C5EFD" w:rsidRDefault="00E453CD" w:rsidP="00CB31ED">
            <w:pPr>
              <w:keepNext/>
              <w:jc w:val="center"/>
              <w:rPr>
                <w:lang w:val="en-GB"/>
              </w:rPr>
            </w:pPr>
            <w:r w:rsidRPr="009C5EFD">
              <w:rPr>
                <w:sz w:val="22"/>
                <w:szCs w:val="22"/>
              </w:rPr>
              <w:t>p-verdi</w:t>
            </w:r>
          </w:p>
        </w:tc>
      </w:tr>
      <w:tr w:rsidR="004644D4" w14:paraId="3BF433B2" w14:textId="77777777" w:rsidTr="005B4731">
        <w:tc>
          <w:tcPr>
            <w:tcW w:w="2088" w:type="dxa"/>
          </w:tcPr>
          <w:p w14:paraId="7E744607" w14:textId="77777777" w:rsidR="005B4731" w:rsidRPr="009C5EFD" w:rsidRDefault="00E453CD" w:rsidP="00CB31ED">
            <w:pPr>
              <w:keepNext/>
              <w:jc w:val="center"/>
              <w:rPr>
                <w:lang w:val="en-GB"/>
              </w:rPr>
            </w:pPr>
            <w:r w:rsidRPr="009C5EFD">
              <w:rPr>
                <w:sz w:val="22"/>
                <w:szCs w:val="22"/>
              </w:rPr>
              <w:t>Total Sharp Score</w:t>
            </w:r>
          </w:p>
        </w:tc>
        <w:tc>
          <w:tcPr>
            <w:tcW w:w="1430" w:type="dxa"/>
          </w:tcPr>
          <w:p w14:paraId="4DAF7640" w14:textId="77777777" w:rsidR="005B4731" w:rsidRPr="009C5EFD" w:rsidRDefault="00E453CD" w:rsidP="00CB31ED">
            <w:pPr>
              <w:keepNext/>
              <w:jc w:val="center"/>
              <w:rPr>
                <w:lang w:val="it-IT"/>
              </w:rPr>
            </w:pPr>
            <w:r w:rsidRPr="009C5EFD">
              <w:rPr>
                <w:sz w:val="22"/>
                <w:szCs w:val="22"/>
              </w:rPr>
              <w:t>2,7</w:t>
            </w:r>
          </w:p>
        </w:tc>
        <w:tc>
          <w:tcPr>
            <w:tcW w:w="1790" w:type="dxa"/>
          </w:tcPr>
          <w:p w14:paraId="5F584AE4" w14:textId="77777777" w:rsidR="005B4731" w:rsidRPr="009C5EFD" w:rsidRDefault="00E453CD" w:rsidP="00CB31ED">
            <w:pPr>
              <w:keepNext/>
              <w:jc w:val="center"/>
              <w:rPr>
                <w:lang w:val="it-IT"/>
              </w:rPr>
            </w:pPr>
            <w:r w:rsidRPr="009C5EFD">
              <w:rPr>
                <w:sz w:val="22"/>
                <w:szCs w:val="22"/>
              </w:rPr>
              <w:t>0,1</w:t>
            </w:r>
          </w:p>
        </w:tc>
        <w:tc>
          <w:tcPr>
            <w:tcW w:w="2000" w:type="dxa"/>
          </w:tcPr>
          <w:p w14:paraId="593DFE45" w14:textId="77777777" w:rsidR="005B4731" w:rsidRPr="009C5EFD" w:rsidRDefault="00E453CD" w:rsidP="00CB31ED">
            <w:pPr>
              <w:keepNext/>
              <w:jc w:val="center"/>
              <w:rPr>
                <w:lang w:val="it-IT"/>
              </w:rPr>
            </w:pPr>
            <w:r w:rsidRPr="009C5EFD">
              <w:rPr>
                <w:sz w:val="22"/>
                <w:szCs w:val="22"/>
              </w:rPr>
              <w:t>2,6 (1,4, 3,8)</w:t>
            </w:r>
          </w:p>
        </w:tc>
        <w:tc>
          <w:tcPr>
            <w:tcW w:w="1548" w:type="dxa"/>
          </w:tcPr>
          <w:p w14:paraId="3A50770E" w14:textId="77777777" w:rsidR="005B4731" w:rsidRPr="009C5EFD" w:rsidRDefault="00E453CD" w:rsidP="00CB31ED">
            <w:pPr>
              <w:keepNext/>
              <w:jc w:val="center"/>
              <w:rPr>
                <w:vertAlign w:val="superscript"/>
                <w:lang w:val="it-IT"/>
              </w:rPr>
            </w:pPr>
            <w:r w:rsidRPr="009C5EFD">
              <w:rPr>
                <w:sz w:val="22"/>
                <w:szCs w:val="22"/>
              </w:rPr>
              <w:t>&lt; 0,001</w:t>
            </w:r>
            <w:r w:rsidRPr="009C5EFD">
              <w:rPr>
                <w:sz w:val="22"/>
                <w:szCs w:val="22"/>
                <w:vertAlign w:val="superscript"/>
              </w:rPr>
              <w:t>c</w:t>
            </w:r>
          </w:p>
        </w:tc>
      </w:tr>
      <w:tr w:rsidR="004644D4" w14:paraId="295AE049" w14:textId="77777777" w:rsidTr="005B4731">
        <w:tc>
          <w:tcPr>
            <w:tcW w:w="2088" w:type="dxa"/>
          </w:tcPr>
          <w:p w14:paraId="227004D0" w14:textId="77777777" w:rsidR="005B4731" w:rsidRPr="009C5EFD" w:rsidRDefault="00E453CD" w:rsidP="00CB31ED">
            <w:pPr>
              <w:keepNext/>
              <w:jc w:val="center"/>
              <w:rPr>
                <w:lang w:val="it-IT"/>
              </w:rPr>
            </w:pPr>
            <w:r w:rsidRPr="009C5EFD">
              <w:rPr>
                <w:sz w:val="22"/>
                <w:szCs w:val="22"/>
              </w:rPr>
              <w:t>Erosjonsscore</w:t>
            </w:r>
          </w:p>
        </w:tc>
        <w:tc>
          <w:tcPr>
            <w:tcW w:w="1430" w:type="dxa"/>
          </w:tcPr>
          <w:p w14:paraId="3E756E8A" w14:textId="77777777" w:rsidR="005B4731" w:rsidRPr="009C5EFD" w:rsidRDefault="00E453CD" w:rsidP="00CB31ED">
            <w:pPr>
              <w:keepNext/>
              <w:jc w:val="center"/>
              <w:rPr>
                <w:lang w:val="en-GB"/>
              </w:rPr>
            </w:pPr>
            <w:r w:rsidRPr="009C5EFD">
              <w:rPr>
                <w:sz w:val="22"/>
                <w:szCs w:val="22"/>
              </w:rPr>
              <w:t>1,6</w:t>
            </w:r>
          </w:p>
        </w:tc>
        <w:tc>
          <w:tcPr>
            <w:tcW w:w="1790" w:type="dxa"/>
          </w:tcPr>
          <w:p w14:paraId="3A1E68D8" w14:textId="77777777" w:rsidR="005B4731" w:rsidRPr="009C5EFD" w:rsidRDefault="00E453CD" w:rsidP="00CB31ED">
            <w:pPr>
              <w:keepNext/>
              <w:jc w:val="center"/>
              <w:rPr>
                <w:lang w:val="en-GB"/>
              </w:rPr>
            </w:pPr>
            <w:r w:rsidRPr="009C5EFD">
              <w:rPr>
                <w:sz w:val="22"/>
                <w:szCs w:val="22"/>
              </w:rPr>
              <w:t>0,0</w:t>
            </w:r>
          </w:p>
        </w:tc>
        <w:tc>
          <w:tcPr>
            <w:tcW w:w="2000" w:type="dxa"/>
          </w:tcPr>
          <w:p w14:paraId="3BA8EF99" w14:textId="77777777" w:rsidR="005B4731" w:rsidRPr="009C5EFD" w:rsidRDefault="00E453CD" w:rsidP="00CB31ED">
            <w:pPr>
              <w:keepNext/>
              <w:jc w:val="center"/>
              <w:rPr>
                <w:lang w:val="en-GB"/>
              </w:rPr>
            </w:pPr>
            <w:r w:rsidRPr="009C5EFD">
              <w:rPr>
                <w:sz w:val="22"/>
                <w:szCs w:val="22"/>
              </w:rPr>
              <w:t>1,6 (0,9, 2,2)</w:t>
            </w:r>
          </w:p>
        </w:tc>
        <w:tc>
          <w:tcPr>
            <w:tcW w:w="1548" w:type="dxa"/>
          </w:tcPr>
          <w:p w14:paraId="5AFCA536" w14:textId="77777777" w:rsidR="005B4731" w:rsidRPr="009C5EFD" w:rsidRDefault="00E453CD" w:rsidP="00CB31ED">
            <w:pPr>
              <w:keepNext/>
              <w:jc w:val="center"/>
              <w:rPr>
                <w:lang w:val="en-GB"/>
              </w:rPr>
            </w:pPr>
            <w:r w:rsidRPr="009C5EFD">
              <w:rPr>
                <w:sz w:val="22"/>
                <w:szCs w:val="22"/>
              </w:rPr>
              <w:t>&lt; 0,001</w:t>
            </w:r>
          </w:p>
        </w:tc>
      </w:tr>
      <w:tr w:rsidR="004644D4" w14:paraId="7F217130" w14:textId="77777777" w:rsidTr="005B4731">
        <w:tc>
          <w:tcPr>
            <w:tcW w:w="2088" w:type="dxa"/>
          </w:tcPr>
          <w:p w14:paraId="1E5B17EE" w14:textId="77777777" w:rsidR="005B4731" w:rsidRPr="009C5EFD" w:rsidRDefault="00E453CD" w:rsidP="00CB31ED">
            <w:pPr>
              <w:keepNext/>
              <w:jc w:val="center"/>
              <w:rPr>
                <w:lang w:val="en-GB"/>
              </w:rPr>
            </w:pPr>
            <w:r w:rsidRPr="009C5EFD">
              <w:rPr>
                <w:sz w:val="22"/>
                <w:szCs w:val="22"/>
              </w:rPr>
              <w:t>JSN</w:t>
            </w:r>
            <w:r w:rsidRPr="009C5EFD">
              <w:rPr>
                <w:sz w:val="22"/>
                <w:szCs w:val="22"/>
                <w:vertAlign w:val="superscript"/>
              </w:rPr>
              <w:t>d</w:t>
            </w:r>
            <w:r w:rsidRPr="009C5EFD">
              <w:rPr>
                <w:sz w:val="22"/>
                <w:szCs w:val="22"/>
              </w:rPr>
              <w:t xml:space="preserve"> score</w:t>
            </w:r>
          </w:p>
        </w:tc>
        <w:tc>
          <w:tcPr>
            <w:tcW w:w="1430" w:type="dxa"/>
          </w:tcPr>
          <w:p w14:paraId="27B1BCE9" w14:textId="77777777" w:rsidR="005B4731" w:rsidRPr="009C5EFD" w:rsidRDefault="00E453CD" w:rsidP="00CB31ED">
            <w:pPr>
              <w:keepNext/>
              <w:jc w:val="center"/>
              <w:rPr>
                <w:lang w:val="en-GB"/>
              </w:rPr>
            </w:pPr>
            <w:r w:rsidRPr="009C5EFD">
              <w:rPr>
                <w:sz w:val="22"/>
                <w:szCs w:val="22"/>
              </w:rPr>
              <w:t>1,0</w:t>
            </w:r>
          </w:p>
        </w:tc>
        <w:tc>
          <w:tcPr>
            <w:tcW w:w="1790" w:type="dxa"/>
          </w:tcPr>
          <w:p w14:paraId="68A8FA01" w14:textId="77777777" w:rsidR="005B4731" w:rsidRPr="009C5EFD" w:rsidRDefault="00E453CD" w:rsidP="00CB31ED">
            <w:pPr>
              <w:keepNext/>
              <w:jc w:val="center"/>
              <w:rPr>
                <w:lang w:val="en-GB"/>
              </w:rPr>
            </w:pPr>
            <w:r w:rsidRPr="009C5EFD">
              <w:rPr>
                <w:sz w:val="22"/>
                <w:szCs w:val="22"/>
              </w:rPr>
              <w:t>0,1</w:t>
            </w:r>
          </w:p>
        </w:tc>
        <w:tc>
          <w:tcPr>
            <w:tcW w:w="2000" w:type="dxa"/>
          </w:tcPr>
          <w:p w14:paraId="358BDD84" w14:textId="77777777" w:rsidR="005B4731" w:rsidRPr="009C5EFD" w:rsidRDefault="00E453CD" w:rsidP="00CB31ED">
            <w:pPr>
              <w:keepNext/>
              <w:jc w:val="center"/>
              <w:rPr>
                <w:lang w:val="en-GB"/>
              </w:rPr>
            </w:pPr>
            <w:r w:rsidRPr="009C5EFD">
              <w:rPr>
                <w:sz w:val="22"/>
                <w:szCs w:val="22"/>
              </w:rPr>
              <w:t>0,9 (0,3, 1,4)</w:t>
            </w:r>
          </w:p>
        </w:tc>
        <w:tc>
          <w:tcPr>
            <w:tcW w:w="1548" w:type="dxa"/>
          </w:tcPr>
          <w:p w14:paraId="51BDF309" w14:textId="77777777" w:rsidR="005B4731" w:rsidRPr="009C5EFD" w:rsidRDefault="00E453CD" w:rsidP="00CB31ED">
            <w:pPr>
              <w:keepNext/>
              <w:jc w:val="center"/>
              <w:rPr>
                <w:lang w:val="en-GB"/>
              </w:rPr>
            </w:pPr>
            <w:r w:rsidRPr="009C5EFD">
              <w:rPr>
                <w:sz w:val="22"/>
                <w:szCs w:val="22"/>
              </w:rPr>
              <w:t>0,002</w:t>
            </w:r>
          </w:p>
        </w:tc>
      </w:tr>
    </w:tbl>
    <w:p w14:paraId="4100453C" w14:textId="77777777" w:rsidR="001E500F" w:rsidRPr="009C5EFD" w:rsidRDefault="00E453CD" w:rsidP="00CB31ED">
      <w:pPr>
        <w:keepNext/>
        <w:rPr>
          <w:sz w:val="22"/>
          <w:szCs w:val="22"/>
        </w:rPr>
      </w:pPr>
      <w:r w:rsidRPr="009C5EFD">
        <w:rPr>
          <w:sz w:val="22"/>
          <w:szCs w:val="22"/>
          <w:vertAlign w:val="superscript"/>
        </w:rPr>
        <w:t>a</w:t>
      </w:r>
      <w:r w:rsidRPr="009C5EFD">
        <w:rPr>
          <w:sz w:val="22"/>
          <w:szCs w:val="22"/>
        </w:rPr>
        <w:t>metotreksat</w:t>
      </w:r>
    </w:p>
    <w:p w14:paraId="426CDFF2" w14:textId="77777777" w:rsidR="001E500F" w:rsidRPr="009C5EFD" w:rsidRDefault="00E453CD" w:rsidP="00CB31ED">
      <w:pPr>
        <w:keepNext/>
        <w:rPr>
          <w:sz w:val="22"/>
          <w:szCs w:val="22"/>
        </w:rPr>
      </w:pPr>
      <w:r w:rsidRPr="009C5EFD">
        <w:rPr>
          <w:sz w:val="22"/>
          <w:szCs w:val="22"/>
          <w:vertAlign w:val="superscript"/>
        </w:rPr>
        <w:t>b</w:t>
      </w:r>
      <w:r w:rsidRPr="009C5EFD">
        <w:rPr>
          <w:sz w:val="22"/>
          <w:szCs w:val="22"/>
        </w:rPr>
        <w:t>95</w:t>
      </w:r>
      <w:r w:rsidR="00315F16" w:rsidRPr="009C5EFD">
        <w:rPr>
          <w:sz w:val="22"/>
          <w:szCs w:val="22"/>
        </w:rPr>
        <w:t> %</w:t>
      </w:r>
      <w:r w:rsidRPr="009C5EFD">
        <w:rPr>
          <w:sz w:val="22"/>
          <w:szCs w:val="22"/>
        </w:rPr>
        <w:t xml:space="preserve"> konfidensintervall for forskjellen i score mellom metotreksat og Humira. </w:t>
      </w:r>
    </w:p>
    <w:p w14:paraId="65D815E3" w14:textId="77777777" w:rsidR="001E500F" w:rsidRPr="009C5EFD" w:rsidRDefault="00E453CD" w:rsidP="00CB31ED">
      <w:pPr>
        <w:keepNext/>
        <w:rPr>
          <w:sz w:val="22"/>
          <w:szCs w:val="22"/>
        </w:rPr>
      </w:pPr>
      <w:r w:rsidRPr="009C5EFD">
        <w:rPr>
          <w:sz w:val="22"/>
          <w:szCs w:val="22"/>
          <w:vertAlign w:val="superscript"/>
        </w:rPr>
        <w:t>c</w:t>
      </w:r>
      <w:r w:rsidRPr="009C5EFD">
        <w:rPr>
          <w:sz w:val="22"/>
          <w:szCs w:val="22"/>
        </w:rPr>
        <w:t>Basert på rankanalyse</w:t>
      </w:r>
    </w:p>
    <w:p w14:paraId="2DCC908A" w14:textId="77777777" w:rsidR="001E500F" w:rsidRPr="009C5EFD" w:rsidRDefault="00E453CD" w:rsidP="00776A84">
      <w:pPr>
        <w:rPr>
          <w:sz w:val="22"/>
          <w:szCs w:val="22"/>
        </w:rPr>
      </w:pPr>
      <w:r w:rsidRPr="009C5EFD">
        <w:rPr>
          <w:sz w:val="22"/>
          <w:szCs w:val="22"/>
          <w:vertAlign w:val="superscript"/>
        </w:rPr>
        <w:t>d</w:t>
      </w:r>
      <w:r w:rsidRPr="009C5EFD">
        <w:rPr>
          <w:sz w:val="22"/>
          <w:szCs w:val="22"/>
        </w:rPr>
        <w:t>Joint Space Narrowing</w:t>
      </w:r>
    </w:p>
    <w:p w14:paraId="1BD1C744" w14:textId="77777777" w:rsidR="001E500F" w:rsidRPr="009C5EFD" w:rsidRDefault="001E500F" w:rsidP="00C07C98">
      <w:pPr>
        <w:rPr>
          <w:sz w:val="22"/>
          <w:szCs w:val="22"/>
        </w:rPr>
      </w:pPr>
    </w:p>
    <w:p w14:paraId="59D639F8" w14:textId="77777777" w:rsidR="001E500F" w:rsidRPr="009C5EFD" w:rsidRDefault="00E453CD" w:rsidP="00E14E58">
      <w:pPr>
        <w:rPr>
          <w:sz w:val="22"/>
          <w:szCs w:val="22"/>
        </w:rPr>
      </w:pPr>
      <w:r w:rsidRPr="009C5EFD">
        <w:rPr>
          <w:sz w:val="22"/>
          <w:szCs w:val="22"/>
        </w:rPr>
        <w:t xml:space="preserve">I RA-studie V ble strukturell leddskade vurderte radiografisk og uttrykt som en endring i modifisert Total Sharp Score (se tabell </w:t>
      </w:r>
      <w:r w:rsidR="00642C33">
        <w:rPr>
          <w:sz w:val="22"/>
          <w:szCs w:val="22"/>
        </w:rPr>
        <w:t>11</w:t>
      </w:r>
      <w:r w:rsidRPr="009C5EFD">
        <w:rPr>
          <w:sz w:val="22"/>
          <w:szCs w:val="22"/>
        </w:rPr>
        <w:t>).</w:t>
      </w:r>
    </w:p>
    <w:p w14:paraId="0A7AB6C3" w14:textId="77777777" w:rsidR="005B4731" w:rsidRPr="009C5EFD" w:rsidRDefault="005B4731" w:rsidP="009C5EFD">
      <w:pPr>
        <w:rPr>
          <w:sz w:val="22"/>
          <w:szCs w:val="22"/>
        </w:rPr>
      </w:pPr>
    </w:p>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4644D4" w14:paraId="4C150D1E" w14:textId="77777777" w:rsidTr="005B4731">
        <w:trPr>
          <w:cantSplit/>
        </w:trPr>
        <w:tc>
          <w:tcPr>
            <w:tcW w:w="8910" w:type="dxa"/>
            <w:gridSpan w:val="7"/>
            <w:tcBorders>
              <w:bottom w:val="single" w:sz="4" w:space="0" w:color="auto"/>
            </w:tcBorders>
          </w:tcPr>
          <w:p w14:paraId="20C21E40" w14:textId="77777777" w:rsidR="005B4731" w:rsidRPr="009C5EFD" w:rsidRDefault="00E453CD" w:rsidP="00BD27FA">
            <w:pPr>
              <w:pStyle w:val="CommentText"/>
              <w:keepNext/>
              <w:tabs>
                <w:tab w:val="left" w:pos="330"/>
              </w:tabs>
              <w:suppressAutoHyphens/>
              <w:ind w:left="330" w:hanging="330"/>
              <w:jc w:val="center"/>
              <w:rPr>
                <w:b/>
                <w:sz w:val="22"/>
                <w:szCs w:val="22"/>
              </w:rPr>
            </w:pPr>
            <w:r w:rsidRPr="009C5EFD">
              <w:rPr>
                <w:b/>
                <w:sz w:val="22"/>
                <w:szCs w:val="22"/>
              </w:rPr>
              <w:t xml:space="preserve">Tabell </w:t>
            </w:r>
            <w:r w:rsidR="00766BE3">
              <w:rPr>
                <w:b/>
                <w:sz w:val="22"/>
                <w:szCs w:val="22"/>
              </w:rPr>
              <w:t>1</w:t>
            </w:r>
            <w:r w:rsidR="00642C33">
              <w:rPr>
                <w:b/>
                <w:sz w:val="22"/>
                <w:szCs w:val="22"/>
              </w:rPr>
              <w:t>1</w:t>
            </w:r>
          </w:p>
          <w:p w14:paraId="520F34B2" w14:textId="77777777" w:rsidR="005B4731" w:rsidRPr="009C5EFD" w:rsidRDefault="00E453CD" w:rsidP="00BD27FA">
            <w:pPr>
              <w:keepNext/>
              <w:jc w:val="center"/>
            </w:pPr>
            <w:r w:rsidRPr="009C5EFD">
              <w:rPr>
                <w:b/>
                <w:sz w:val="22"/>
                <w:szCs w:val="22"/>
              </w:rPr>
              <w:t>Radiografisk gjennomsnittlig endring ved uke 52 i RA-studie V</w:t>
            </w:r>
          </w:p>
          <w:p w14:paraId="2C657A64" w14:textId="77777777" w:rsidR="005B4731" w:rsidRPr="009C5EFD" w:rsidRDefault="005B4731" w:rsidP="00BD27FA">
            <w:pPr>
              <w:keepNext/>
              <w:jc w:val="center"/>
            </w:pPr>
          </w:p>
        </w:tc>
      </w:tr>
      <w:tr w:rsidR="004644D4" w14:paraId="028B54CF" w14:textId="77777777" w:rsidTr="00761BB9">
        <w:tc>
          <w:tcPr>
            <w:tcW w:w="1430" w:type="dxa"/>
            <w:tcBorders>
              <w:top w:val="single" w:sz="4" w:space="0" w:color="auto"/>
              <w:left w:val="single" w:sz="4" w:space="0" w:color="auto"/>
              <w:bottom w:val="single" w:sz="4" w:space="0" w:color="auto"/>
              <w:right w:val="single" w:sz="4" w:space="0" w:color="auto"/>
            </w:tcBorders>
            <w:vAlign w:val="center"/>
          </w:tcPr>
          <w:p w14:paraId="5EA519FA" w14:textId="77777777" w:rsidR="005B4731" w:rsidRPr="009C5EFD" w:rsidRDefault="005B4731" w:rsidP="00BD27FA">
            <w:pPr>
              <w:keepNext/>
            </w:pPr>
          </w:p>
        </w:tc>
        <w:tc>
          <w:tcPr>
            <w:tcW w:w="1540" w:type="dxa"/>
            <w:tcBorders>
              <w:top w:val="single" w:sz="4" w:space="0" w:color="auto"/>
              <w:left w:val="single" w:sz="4" w:space="0" w:color="auto"/>
              <w:bottom w:val="single" w:sz="4" w:space="0" w:color="auto"/>
              <w:right w:val="single" w:sz="4" w:space="0" w:color="auto"/>
            </w:tcBorders>
          </w:tcPr>
          <w:p w14:paraId="7EE2831A" w14:textId="77777777" w:rsidR="005B4731" w:rsidRPr="009C5EFD" w:rsidRDefault="00E453CD" w:rsidP="00BD27FA">
            <w:pPr>
              <w:keepNext/>
              <w:jc w:val="center"/>
              <w:rPr>
                <w:sz w:val="22"/>
                <w:szCs w:val="22"/>
              </w:rPr>
            </w:pPr>
            <w:r w:rsidRPr="009C5EFD">
              <w:rPr>
                <w:sz w:val="22"/>
                <w:szCs w:val="22"/>
              </w:rPr>
              <w:t>MTX</w:t>
            </w:r>
          </w:p>
          <w:p w14:paraId="52CC833E" w14:textId="77777777" w:rsidR="005B4731" w:rsidRPr="009C5EFD" w:rsidRDefault="00E453CD" w:rsidP="00BD27FA">
            <w:pPr>
              <w:keepNext/>
              <w:jc w:val="center"/>
              <w:rPr>
                <w:sz w:val="22"/>
                <w:szCs w:val="22"/>
              </w:rPr>
            </w:pPr>
            <w:r w:rsidRPr="009C5EFD">
              <w:rPr>
                <w:sz w:val="22"/>
                <w:szCs w:val="22"/>
              </w:rPr>
              <w:t>n=257</w:t>
            </w:r>
          </w:p>
          <w:p w14:paraId="0AD3B2AD" w14:textId="77777777" w:rsidR="005B4731" w:rsidRPr="009C5EFD" w:rsidRDefault="00E453CD" w:rsidP="00BD27FA">
            <w:pPr>
              <w:keepNext/>
              <w:jc w:val="center"/>
              <w:rPr>
                <w:lang w:val="en-GB"/>
              </w:rPr>
            </w:pPr>
            <w:r w:rsidRPr="009C5EFD">
              <w:rPr>
                <w:sz w:val="22"/>
                <w:szCs w:val="22"/>
              </w:rPr>
              <w:t>(95 % KI)</w:t>
            </w:r>
          </w:p>
        </w:tc>
        <w:tc>
          <w:tcPr>
            <w:tcW w:w="1482" w:type="dxa"/>
            <w:tcBorders>
              <w:top w:val="single" w:sz="4" w:space="0" w:color="auto"/>
              <w:left w:val="single" w:sz="4" w:space="0" w:color="auto"/>
              <w:bottom w:val="single" w:sz="4" w:space="0" w:color="auto"/>
              <w:right w:val="single" w:sz="4" w:space="0" w:color="auto"/>
            </w:tcBorders>
          </w:tcPr>
          <w:p w14:paraId="767A3F75" w14:textId="77777777" w:rsidR="005B4731" w:rsidRPr="009C5EFD" w:rsidRDefault="00E453CD" w:rsidP="00BD27FA">
            <w:pPr>
              <w:keepNext/>
              <w:jc w:val="center"/>
              <w:rPr>
                <w:sz w:val="22"/>
                <w:szCs w:val="22"/>
              </w:rPr>
            </w:pPr>
            <w:r w:rsidRPr="009C5EFD">
              <w:rPr>
                <w:sz w:val="22"/>
                <w:szCs w:val="22"/>
              </w:rPr>
              <w:t>Humira</w:t>
            </w:r>
          </w:p>
          <w:p w14:paraId="4AE15693" w14:textId="77777777" w:rsidR="005B4731" w:rsidRPr="009C5EFD" w:rsidRDefault="00E453CD" w:rsidP="00BD27FA">
            <w:pPr>
              <w:pStyle w:val="EMEAFigureTitle"/>
              <w:keepNext/>
              <w:jc w:val="center"/>
              <w:rPr>
                <w:lang w:val="nb-NO"/>
              </w:rPr>
            </w:pPr>
            <w:r w:rsidRPr="009C5EFD">
              <w:rPr>
                <w:lang w:val="nb-NO"/>
              </w:rPr>
              <w:t>n=274</w:t>
            </w:r>
          </w:p>
          <w:p w14:paraId="41C334F9" w14:textId="77777777" w:rsidR="005B4731" w:rsidRPr="009C5EFD" w:rsidRDefault="00E453CD" w:rsidP="00BD27FA">
            <w:pPr>
              <w:keepNext/>
              <w:jc w:val="center"/>
              <w:rPr>
                <w:lang w:val="en-GB"/>
              </w:rPr>
            </w:pPr>
            <w:r w:rsidRPr="009C5EFD">
              <w:rPr>
                <w:sz w:val="22"/>
                <w:szCs w:val="22"/>
              </w:rPr>
              <w:t>(95 % KI)</w:t>
            </w:r>
          </w:p>
        </w:tc>
        <w:tc>
          <w:tcPr>
            <w:tcW w:w="1488" w:type="dxa"/>
            <w:tcBorders>
              <w:top w:val="single" w:sz="4" w:space="0" w:color="auto"/>
              <w:left w:val="single" w:sz="4" w:space="0" w:color="auto"/>
              <w:bottom w:val="single" w:sz="4" w:space="0" w:color="auto"/>
              <w:right w:val="single" w:sz="4" w:space="0" w:color="auto"/>
            </w:tcBorders>
          </w:tcPr>
          <w:p w14:paraId="78D3F9B0" w14:textId="77777777" w:rsidR="005B4731" w:rsidRPr="009C5EFD" w:rsidRDefault="00E453CD" w:rsidP="00BD27FA">
            <w:pPr>
              <w:keepNext/>
              <w:jc w:val="center"/>
              <w:rPr>
                <w:sz w:val="22"/>
                <w:szCs w:val="22"/>
              </w:rPr>
            </w:pPr>
            <w:r w:rsidRPr="009C5EFD">
              <w:rPr>
                <w:sz w:val="22"/>
                <w:szCs w:val="22"/>
              </w:rPr>
              <w:t>Humira/MTX</w:t>
            </w:r>
          </w:p>
          <w:p w14:paraId="771ECED8" w14:textId="77777777" w:rsidR="005B4731" w:rsidRPr="009C5EFD" w:rsidRDefault="00E453CD" w:rsidP="00BD27FA">
            <w:pPr>
              <w:pStyle w:val="EMEAFigureTitle"/>
              <w:keepNext/>
              <w:jc w:val="center"/>
              <w:rPr>
                <w:lang w:val="nb-NO"/>
              </w:rPr>
            </w:pPr>
            <w:r w:rsidRPr="009C5EFD">
              <w:rPr>
                <w:lang w:val="nb-NO"/>
              </w:rPr>
              <w:t>n=268</w:t>
            </w:r>
          </w:p>
          <w:p w14:paraId="73F222AF" w14:textId="77777777" w:rsidR="005B4731" w:rsidRPr="009C5EFD" w:rsidRDefault="00E453CD" w:rsidP="00BD27FA">
            <w:pPr>
              <w:pStyle w:val="EMEANormal"/>
              <w:keepNext/>
              <w:jc w:val="center"/>
              <w:rPr>
                <w:lang w:val="en-GB"/>
              </w:rPr>
            </w:pPr>
            <w:r w:rsidRPr="009C5EFD">
              <w:rPr>
                <w:lang w:val="nb-NO"/>
              </w:rPr>
              <w:t>(95 % KI)</w:t>
            </w:r>
          </w:p>
        </w:tc>
        <w:tc>
          <w:tcPr>
            <w:tcW w:w="990" w:type="dxa"/>
            <w:tcBorders>
              <w:top w:val="single" w:sz="4" w:space="0" w:color="auto"/>
              <w:left w:val="single" w:sz="4" w:space="0" w:color="auto"/>
              <w:bottom w:val="single" w:sz="4" w:space="0" w:color="auto"/>
              <w:right w:val="single" w:sz="4" w:space="0" w:color="auto"/>
            </w:tcBorders>
          </w:tcPr>
          <w:p w14:paraId="2B299B45" w14:textId="77777777" w:rsidR="005B4731" w:rsidRPr="009C5EFD" w:rsidRDefault="00E453CD" w:rsidP="00BD27FA">
            <w:pPr>
              <w:pStyle w:val="EMEANormal"/>
              <w:keepNext/>
              <w:jc w:val="center"/>
              <w:rPr>
                <w:lang w:val="en-GB"/>
              </w:rPr>
            </w:pPr>
            <w:r w:rsidRPr="009C5EFD">
              <w:rPr>
                <w:lang w:val="nb-NO"/>
              </w:rPr>
              <w:t>p-verdi</w:t>
            </w:r>
            <w:r w:rsidRPr="009C5EFD">
              <w:rPr>
                <w:vertAlign w:val="superscript"/>
                <w:lang w:val="nb-NO"/>
              </w:rPr>
              <w:t>a</w:t>
            </w:r>
          </w:p>
        </w:tc>
        <w:tc>
          <w:tcPr>
            <w:tcW w:w="990" w:type="dxa"/>
            <w:tcBorders>
              <w:top w:val="single" w:sz="4" w:space="0" w:color="auto"/>
              <w:left w:val="single" w:sz="4" w:space="0" w:color="auto"/>
              <w:bottom w:val="single" w:sz="4" w:space="0" w:color="auto"/>
              <w:right w:val="single" w:sz="4" w:space="0" w:color="auto"/>
            </w:tcBorders>
          </w:tcPr>
          <w:p w14:paraId="76367E1B" w14:textId="77777777" w:rsidR="005B4731" w:rsidRPr="009C5EFD" w:rsidRDefault="00E453CD" w:rsidP="00BD27FA">
            <w:pPr>
              <w:keepNext/>
              <w:jc w:val="center"/>
              <w:rPr>
                <w:lang w:val="en-GB"/>
              </w:rPr>
            </w:pPr>
            <w:r w:rsidRPr="009C5EFD">
              <w:rPr>
                <w:sz w:val="22"/>
                <w:szCs w:val="22"/>
              </w:rPr>
              <w:t>p-verdi</w:t>
            </w:r>
            <w:r w:rsidRPr="009C5EFD">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tcPr>
          <w:p w14:paraId="2390BC0F" w14:textId="77777777" w:rsidR="005B4731" w:rsidRPr="009C5EFD" w:rsidRDefault="00E453CD" w:rsidP="00BD27FA">
            <w:pPr>
              <w:keepNext/>
              <w:jc w:val="center"/>
              <w:rPr>
                <w:lang w:val="en-GB"/>
              </w:rPr>
            </w:pPr>
            <w:r w:rsidRPr="009C5EFD">
              <w:rPr>
                <w:sz w:val="22"/>
                <w:szCs w:val="22"/>
              </w:rPr>
              <w:t>p-verdi</w:t>
            </w:r>
            <w:r w:rsidRPr="009C5EFD">
              <w:rPr>
                <w:sz w:val="22"/>
                <w:szCs w:val="22"/>
                <w:vertAlign w:val="superscript"/>
              </w:rPr>
              <w:t>c</w:t>
            </w:r>
          </w:p>
        </w:tc>
      </w:tr>
      <w:tr w:rsidR="004644D4" w14:paraId="3B538017" w14:textId="77777777" w:rsidTr="005B4731">
        <w:tc>
          <w:tcPr>
            <w:tcW w:w="1430" w:type="dxa"/>
            <w:tcBorders>
              <w:top w:val="single" w:sz="4" w:space="0" w:color="auto"/>
              <w:left w:val="single" w:sz="4" w:space="0" w:color="auto"/>
              <w:bottom w:val="single" w:sz="4" w:space="0" w:color="auto"/>
              <w:right w:val="single" w:sz="4" w:space="0" w:color="auto"/>
            </w:tcBorders>
          </w:tcPr>
          <w:p w14:paraId="36413602" w14:textId="77777777" w:rsidR="005B4731" w:rsidRPr="00193D76" w:rsidRDefault="00E453CD" w:rsidP="00BD27FA">
            <w:pPr>
              <w:pStyle w:val="EMEAFigureTitle"/>
              <w:keepNext/>
              <w:jc w:val="center"/>
              <w:rPr>
                <w:szCs w:val="24"/>
                <w:lang w:val="en-GB"/>
              </w:rPr>
            </w:pPr>
            <w:r w:rsidRPr="007F67EE">
              <w:rPr>
                <w:lang w:val="nb-NO"/>
              </w:rPr>
              <w:t>Total Sharp Score</w:t>
            </w:r>
          </w:p>
        </w:tc>
        <w:tc>
          <w:tcPr>
            <w:tcW w:w="1540" w:type="dxa"/>
            <w:tcBorders>
              <w:top w:val="single" w:sz="4" w:space="0" w:color="auto"/>
              <w:left w:val="single" w:sz="4" w:space="0" w:color="auto"/>
              <w:bottom w:val="single" w:sz="4" w:space="0" w:color="auto"/>
              <w:right w:val="single" w:sz="4" w:space="0" w:color="auto"/>
            </w:tcBorders>
          </w:tcPr>
          <w:p w14:paraId="7EC1B607" w14:textId="77777777" w:rsidR="005B4731" w:rsidRPr="00C07C98" w:rsidRDefault="00E453CD" w:rsidP="00BD27FA">
            <w:pPr>
              <w:keepNext/>
              <w:jc w:val="center"/>
              <w:rPr>
                <w:lang w:val="it-IT"/>
              </w:rPr>
            </w:pPr>
            <w:r w:rsidRPr="002D0790">
              <w:rPr>
                <w:sz w:val="22"/>
                <w:szCs w:val="22"/>
              </w:rPr>
              <w:t>5,7 (4,2-7,3)</w:t>
            </w:r>
          </w:p>
        </w:tc>
        <w:tc>
          <w:tcPr>
            <w:tcW w:w="1482" w:type="dxa"/>
            <w:tcBorders>
              <w:top w:val="single" w:sz="4" w:space="0" w:color="auto"/>
              <w:left w:val="single" w:sz="4" w:space="0" w:color="auto"/>
              <w:bottom w:val="single" w:sz="4" w:space="0" w:color="auto"/>
              <w:right w:val="single" w:sz="4" w:space="0" w:color="auto"/>
            </w:tcBorders>
          </w:tcPr>
          <w:p w14:paraId="68713070" w14:textId="77777777" w:rsidR="005B4731" w:rsidRPr="009C5EFD" w:rsidRDefault="00E453CD" w:rsidP="00BD27FA">
            <w:pPr>
              <w:pStyle w:val="EndnoteText"/>
              <w:keepNext/>
              <w:jc w:val="center"/>
              <w:rPr>
                <w:szCs w:val="24"/>
                <w:lang w:val="it-IT"/>
              </w:rPr>
            </w:pPr>
            <w:r w:rsidRPr="00E14E58">
              <w:rPr>
                <w:szCs w:val="22"/>
                <w:lang w:val="nb-NO"/>
              </w:rPr>
              <w:t>3,0 (1,7-4,3)</w:t>
            </w:r>
          </w:p>
        </w:tc>
        <w:tc>
          <w:tcPr>
            <w:tcW w:w="1488" w:type="dxa"/>
            <w:tcBorders>
              <w:top w:val="single" w:sz="4" w:space="0" w:color="auto"/>
              <w:left w:val="single" w:sz="4" w:space="0" w:color="auto"/>
              <w:bottom w:val="single" w:sz="4" w:space="0" w:color="auto"/>
              <w:right w:val="single" w:sz="4" w:space="0" w:color="auto"/>
            </w:tcBorders>
          </w:tcPr>
          <w:p w14:paraId="595C294E" w14:textId="77777777" w:rsidR="005B4731" w:rsidRPr="009C5EFD" w:rsidRDefault="00E453CD" w:rsidP="00BD27FA">
            <w:pPr>
              <w:pStyle w:val="EndnoteText"/>
              <w:keepNext/>
              <w:jc w:val="center"/>
              <w:rPr>
                <w:szCs w:val="24"/>
                <w:lang w:val="it-IT"/>
              </w:rPr>
            </w:pPr>
            <w:r w:rsidRPr="009C5EFD">
              <w:rPr>
                <w:szCs w:val="22"/>
                <w:lang w:val="nb-NO"/>
              </w:rPr>
              <w:t>1,3 (0,5-2,1)</w:t>
            </w:r>
          </w:p>
        </w:tc>
        <w:tc>
          <w:tcPr>
            <w:tcW w:w="990" w:type="dxa"/>
            <w:tcBorders>
              <w:top w:val="single" w:sz="4" w:space="0" w:color="auto"/>
              <w:left w:val="single" w:sz="4" w:space="0" w:color="auto"/>
              <w:bottom w:val="single" w:sz="4" w:space="0" w:color="auto"/>
              <w:right w:val="single" w:sz="4" w:space="0" w:color="auto"/>
            </w:tcBorders>
          </w:tcPr>
          <w:p w14:paraId="3FA96F66" w14:textId="77777777" w:rsidR="005B4731" w:rsidRPr="009C5EFD" w:rsidRDefault="00E453CD" w:rsidP="00BD27FA">
            <w:pPr>
              <w:pStyle w:val="EndnoteText"/>
              <w:keepNext/>
              <w:jc w:val="center"/>
              <w:rPr>
                <w:szCs w:val="24"/>
                <w:lang w:val="it-IT"/>
              </w:rPr>
            </w:pPr>
            <w:r w:rsidRPr="009C5EFD">
              <w:rPr>
                <w:szCs w:val="22"/>
                <w:lang w:val="nb-NO"/>
              </w:rPr>
              <w:t>&lt; 0,001</w:t>
            </w:r>
          </w:p>
        </w:tc>
        <w:tc>
          <w:tcPr>
            <w:tcW w:w="990" w:type="dxa"/>
            <w:tcBorders>
              <w:top w:val="single" w:sz="4" w:space="0" w:color="auto"/>
              <w:left w:val="single" w:sz="4" w:space="0" w:color="auto"/>
              <w:bottom w:val="single" w:sz="4" w:space="0" w:color="auto"/>
              <w:right w:val="single" w:sz="4" w:space="0" w:color="auto"/>
            </w:tcBorders>
          </w:tcPr>
          <w:p w14:paraId="622382A1" w14:textId="77777777" w:rsidR="005B4731" w:rsidRPr="009C5EFD" w:rsidRDefault="00E453CD" w:rsidP="00BD27FA">
            <w:pPr>
              <w:keepNext/>
              <w:jc w:val="center"/>
              <w:rPr>
                <w:lang w:val="it-IT"/>
              </w:rPr>
            </w:pPr>
            <w:r w:rsidRPr="009C5EFD">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14:paraId="07574DE2" w14:textId="77777777" w:rsidR="005B4731" w:rsidRPr="009C5EFD" w:rsidRDefault="00E453CD" w:rsidP="00BD27FA">
            <w:pPr>
              <w:keepNext/>
              <w:jc w:val="center"/>
              <w:rPr>
                <w:lang w:val="it-IT"/>
              </w:rPr>
            </w:pPr>
            <w:r w:rsidRPr="009C5EFD">
              <w:rPr>
                <w:sz w:val="22"/>
                <w:szCs w:val="22"/>
              </w:rPr>
              <w:t>&lt; 0,001</w:t>
            </w:r>
          </w:p>
        </w:tc>
      </w:tr>
      <w:tr w:rsidR="004644D4" w14:paraId="01281FD0" w14:textId="77777777" w:rsidTr="005B4731">
        <w:tc>
          <w:tcPr>
            <w:tcW w:w="1430" w:type="dxa"/>
            <w:tcBorders>
              <w:top w:val="single" w:sz="4" w:space="0" w:color="auto"/>
              <w:left w:val="single" w:sz="4" w:space="0" w:color="auto"/>
              <w:bottom w:val="single" w:sz="4" w:space="0" w:color="auto"/>
              <w:right w:val="single" w:sz="4" w:space="0" w:color="auto"/>
            </w:tcBorders>
          </w:tcPr>
          <w:p w14:paraId="0D65B38C" w14:textId="77777777" w:rsidR="005B4731" w:rsidRPr="009C5EFD" w:rsidRDefault="00E453CD" w:rsidP="007F67EE">
            <w:pPr>
              <w:jc w:val="center"/>
              <w:rPr>
                <w:lang w:val="it-IT"/>
              </w:rPr>
            </w:pPr>
            <w:r w:rsidRPr="009C5EFD">
              <w:rPr>
                <w:sz w:val="22"/>
                <w:szCs w:val="22"/>
              </w:rPr>
              <w:t>Erosjons score</w:t>
            </w:r>
          </w:p>
        </w:tc>
        <w:tc>
          <w:tcPr>
            <w:tcW w:w="1540" w:type="dxa"/>
            <w:tcBorders>
              <w:top w:val="single" w:sz="4" w:space="0" w:color="auto"/>
              <w:left w:val="single" w:sz="4" w:space="0" w:color="auto"/>
              <w:bottom w:val="single" w:sz="4" w:space="0" w:color="auto"/>
              <w:right w:val="single" w:sz="4" w:space="0" w:color="auto"/>
            </w:tcBorders>
          </w:tcPr>
          <w:p w14:paraId="11A5B663" w14:textId="77777777" w:rsidR="005B4731" w:rsidRPr="009C5EFD" w:rsidRDefault="00E453CD" w:rsidP="007F67EE">
            <w:pPr>
              <w:jc w:val="center"/>
              <w:rPr>
                <w:lang w:val="it-IT"/>
              </w:rPr>
            </w:pPr>
            <w:r w:rsidRPr="009C5EFD">
              <w:rPr>
                <w:sz w:val="22"/>
                <w:szCs w:val="22"/>
              </w:rPr>
              <w:t>3,7 (2,7-4,7)</w:t>
            </w:r>
          </w:p>
        </w:tc>
        <w:tc>
          <w:tcPr>
            <w:tcW w:w="1482" w:type="dxa"/>
            <w:tcBorders>
              <w:top w:val="single" w:sz="4" w:space="0" w:color="auto"/>
              <w:left w:val="single" w:sz="4" w:space="0" w:color="auto"/>
              <w:bottom w:val="single" w:sz="4" w:space="0" w:color="auto"/>
              <w:right w:val="single" w:sz="4" w:space="0" w:color="auto"/>
            </w:tcBorders>
          </w:tcPr>
          <w:p w14:paraId="1D52B41B" w14:textId="77777777" w:rsidR="005B4731" w:rsidRPr="009C5EFD" w:rsidRDefault="00E453CD" w:rsidP="00193D76">
            <w:pPr>
              <w:jc w:val="center"/>
              <w:rPr>
                <w:lang w:val="it-IT"/>
              </w:rPr>
            </w:pPr>
            <w:r w:rsidRPr="009C5EFD">
              <w:rPr>
                <w:sz w:val="22"/>
                <w:szCs w:val="22"/>
              </w:rPr>
              <w:t>1,7 (1,0-2,4)</w:t>
            </w:r>
          </w:p>
        </w:tc>
        <w:tc>
          <w:tcPr>
            <w:tcW w:w="1488" w:type="dxa"/>
            <w:tcBorders>
              <w:top w:val="single" w:sz="4" w:space="0" w:color="auto"/>
              <w:left w:val="single" w:sz="4" w:space="0" w:color="auto"/>
              <w:bottom w:val="single" w:sz="4" w:space="0" w:color="auto"/>
              <w:right w:val="single" w:sz="4" w:space="0" w:color="auto"/>
            </w:tcBorders>
          </w:tcPr>
          <w:p w14:paraId="08D435DF" w14:textId="77777777" w:rsidR="005B4731" w:rsidRPr="009C5EFD" w:rsidRDefault="00E453CD" w:rsidP="002D0790">
            <w:pPr>
              <w:jc w:val="center"/>
              <w:rPr>
                <w:lang w:val="it-IT"/>
              </w:rPr>
            </w:pPr>
            <w:r w:rsidRPr="009C5EFD">
              <w:rPr>
                <w:sz w:val="22"/>
                <w:szCs w:val="22"/>
              </w:rPr>
              <w:t>0,8 (0,4-1,2)</w:t>
            </w:r>
          </w:p>
        </w:tc>
        <w:tc>
          <w:tcPr>
            <w:tcW w:w="990" w:type="dxa"/>
            <w:tcBorders>
              <w:top w:val="single" w:sz="4" w:space="0" w:color="auto"/>
              <w:left w:val="single" w:sz="4" w:space="0" w:color="auto"/>
              <w:bottom w:val="single" w:sz="4" w:space="0" w:color="auto"/>
              <w:right w:val="single" w:sz="4" w:space="0" w:color="auto"/>
            </w:tcBorders>
          </w:tcPr>
          <w:p w14:paraId="5023591E" w14:textId="77777777" w:rsidR="005B4731" w:rsidRPr="009C5EFD" w:rsidRDefault="00E453CD" w:rsidP="00C07C98">
            <w:pPr>
              <w:jc w:val="center"/>
              <w:rPr>
                <w:lang w:val="it-IT"/>
              </w:rPr>
            </w:pPr>
            <w:r w:rsidRPr="009C5EFD">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771EBB12" w14:textId="77777777" w:rsidR="005B4731" w:rsidRPr="009C5EFD" w:rsidRDefault="00E453CD" w:rsidP="00E14E58">
            <w:pPr>
              <w:jc w:val="center"/>
              <w:rPr>
                <w:lang w:val="it-IT"/>
              </w:rPr>
            </w:pPr>
            <w:r w:rsidRPr="009C5EFD">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14:paraId="70FBA64F" w14:textId="77777777" w:rsidR="005B4731" w:rsidRPr="009C5EFD" w:rsidRDefault="00E453CD" w:rsidP="009C5EFD">
            <w:pPr>
              <w:jc w:val="center"/>
              <w:rPr>
                <w:lang w:val="it-IT"/>
              </w:rPr>
            </w:pPr>
            <w:r w:rsidRPr="009C5EFD">
              <w:rPr>
                <w:sz w:val="22"/>
                <w:szCs w:val="22"/>
              </w:rPr>
              <w:t>&lt; 0,001</w:t>
            </w:r>
          </w:p>
        </w:tc>
      </w:tr>
      <w:tr w:rsidR="004644D4" w14:paraId="34A2C3F7" w14:textId="77777777" w:rsidTr="005B4731">
        <w:tc>
          <w:tcPr>
            <w:tcW w:w="1430" w:type="dxa"/>
            <w:tcBorders>
              <w:top w:val="single" w:sz="4" w:space="0" w:color="auto"/>
              <w:left w:val="single" w:sz="4" w:space="0" w:color="auto"/>
              <w:bottom w:val="single" w:sz="4" w:space="0" w:color="auto"/>
              <w:right w:val="single" w:sz="4" w:space="0" w:color="auto"/>
            </w:tcBorders>
          </w:tcPr>
          <w:p w14:paraId="7B590C75" w14:textId="77777777" w:rsidR="005B4731" w:rsidRPr="009C5EFD" w:rsidRDefault="00E453CD" w:rsidP="007F67EE">
            <w:pPr>
              <w:jc w:val="center"/>
              <w:rPr>
                <w:lang w:val="it-IT"/>
              </w:rPr>
            </w:pPr>
            <w:r w:rsidRPr="009C5EFD">
              <w:rPr>
                <w:sz w:val="22"/>
                <w:szCs w:val="22"/>
              </w:rPr>
              <w:t>JSN score</w:t>
            </w:r>
          </w:p>
        </w:tc>
        <w:tc>
          <w:tcPr>
            <w:tcW w:w="1540" w:type="dxa"/>
            <w:tcBorders>
              <w:top w:val="single" w:sz="4" w:space="0" w:color="auto"/>
              <w:left w:val="single" w:sz="4" w:space="0" w:color="auto"/>
              <w:bottom w:val="single" w:sz="4" w:space="0" w:color="auto"/>
              <w:right w:val="single" w:sz="4" w:space="0" w:color="auto"/>
            </w:tcBorders>
          </w:tcPr>
          <w:p w14:paraId="223FD08E" w14:textId="77777777" w:rsidR="005B4731" w:rsidRPr="009C5EFD" w:rsidRDefault="00E453CD" w:rsidP="007F67EE">
            <w:pPr>
              <w:jc w:val="center"/>
              <w:rPr>
                <w:lang w:val="en-GB"/>
              </w:rPr>
            </w:pPr>
            <w:r w:rsidRPr="009C5EFD">
              <w:rPr>
                <w:sz w:val="22"/>
                <w:szCs w:val="22"/>
              </w:rPr>
              <w:t>2,0 (1,2-2,8)</w:t>
            </w:r>
          </w:p>
        </w:tc>
        <w:tc>
          <w:tcPr>
            <w:tcW w:w="1482" w:type="dxa"/>
            <w:tcBorders>
              <w:top w:val="single" w:sz="4" w:space="0" w:color="auto"/>
              <w:left w:val="single" w:sz="4" w:space="0" w:color="auto"/>
              <w:bottom w:val="single" w:sz="4" w:space="0" w:color="auto"/>
              <w:right w:val="single" w:sz="4" w:space="0" w:color="auto"/>
            </w:tcBorders>
          </w:tcPr>
          <w:p w14:paraId="053093C2" w14:textId="77777777" w:rsidR="005B4731" w:rsidRPr="009C5EFD" w:rsidRDefault="00E453CD" w:rsidP="00193D76">
            <w:pPr>
              <w:jc w:val="center"/>
              <w:rPr>
                <w:lang w:val="en-GB"/>
              </w:rPr>
            </w:pPr>
            <w:r w:rsidRPr="009C5EFD">
              <w:rPr>
                <w:sz w:val="22"/>
                <w:szCs w:val="22"/>
              </w:rPr>
              <w:t>1,3 (0,5-2,1)</w:t>
            </w:r>
          </w:p>
        </w:tc>
        <w:tc>
          <w:tcPr>
            <w:tcW w:w="1488" w:type="dxa"/>
            <w:tcBorders>
              <w:top w:val="single" w:sz="4" w:space="0" w:color="auto"/>
              <w:left w:val="single" w:sz="4" w:space="0" w:color="auto"/>
              <w:bottom w:val="single" w:sz="4" w:space="0" w:color="auto"/>
              <w:right w:val="single" w:sz="4" w:space="0" w:color="auto"/>
            </w:tcBorders>
          </w:tcPr>
          <w:p w14:paraId="33A1277C" w14:textId="77777777" w:rsidR="005B4731" w:rsidRPr="009C5EFD" w:rsidRDefault="00E453CD" w:rsidP="002D0790">
            <w:pPr>
              <w:jc w:val="center"/>
              <w:rPr>
                <w:lang w:val="en-GB"/>
              </w:rPr>
            </w:pPr>
            <w:r w:rsidRPr="009C5EFD">
              <w:rPr>
                <w:sz w:val="22"/>
                <w:szCs w:val="22"/>
              </w:rPr>
              <w:t>0,5 (0-1,0)</w:t>
            </w:r>
          </w:p>
        </w:tc>
        <w:tc>
          <w:tcPr>
            <w:tcW w:w="990" w:type="dxa"/>
            <w:tcBorders>
              <w:top w:val="single" w:sz="4" w:space="0" w:color="auto"/>
              <w:left w:val="single" w:sz="4" w:space="0" w:color="auto"/>
              <w:bottom w:val="single" w:sz="4" w:space="0" w:color="auto"/>
              <w:right w:val="single" w:sz="4" w:space="0" w:color="auto"/>
            </w:tcBorders>
          </w:tcPr>
          <w:p w14:paraId="487487C1" w14:textId="77777777" w:rsidR="005B4731" w:rsidRPr="009C5EFD" w:rsidRDefault="00E453CD" w:rsidP="00C07C98">
            <w:pPr>
              <w:jc w:val="center"/>
              <w:rPr>
                <w:lang w:val="en-GB"/>
              </w:rPr>
            </w:pPr>
            <w:r w:rsidRPr="009C5EFD">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3988CA6F" w14:textId="77777777" w:rsidR="005B4731" w:rsidRPr="009C5EFD" w:rsidRDefault="00E453CD" w:rsidP="00E14E58">
            <w:pPr>
              <w:jc w:val="center"/>
              <w:rPr>
                <w:lang w:val="en-GB"/>
              </w:rPr>
            </w:pPr>
            <w:r w:rsidRPr="009C5EFD">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14:paraId="4FCADD90" w14:textId="77777777" w:rsidR="005B4731" w:rsidRPr="009C5EFD" w:rsidRDefault="00E453CD" w:rsidP="009C5EFD">
            <w:pPr>
              <w:jc w:val="center"/>
              <w:rPr>
                <w:lang w:val="en-GB"/>
              </w:rPr>
            </w:pPr>
            <w:r w:rsidRPr="009C5EFD">
              <w:rPr>
                <w:sz w:val="22"/>
                <w:szCs w:val="22"/>
              </w:rPr>
              <w:t>0,151</w:t>
            </w:r>
          </w:p>
        </w:tc>
      </w:tr>
      <w:tr w:rsidR="004644D4" w14:paraId="1EAC62A3" w14:textId="77777777" w:rsidTr="005B4731">
        <w:trPr>
          <w:cantSplit/>
        </w:trPr>
        <w:tc>
          <w:tcPr>
            <w:tcW w:w="8910" w:type="dxa"/>
            <w:gridSpan w:val="7"/>
            <w:tcBorders>
              <w:top w:val="single" w:sz="4" w:space="0" w:color="auto"/>
            </w:tcBorders>
          </w:tcPr>
          <w:p w14:paraId="6344AEB9" w14:textId="77777777" w:rsidR="005B4731" w:rsidRPr="002D0790" w:rsidRDefault="00E453CD" w:rsidP="007F67EE">
            <w:pPr>
              <w:pStyle w:val="BodyTextIndent2"/>
              <w:pBdr>
                <w:top w:val="single" w:sz="4" w:space="1" w:color="auto"/>
                <w:right w:val="single" w:sz="4" w:space="4" w:color="auto"/>
              </w:pBdr>
              <w:tabs>
                <w:tab w:val="left" w:pos="330"/>
              </w:tabs>
              <w:ind w:left="330" w:hanging="330"/>
              <w:rPr>
                <w:szCs w:val="22"/>
              </w:rPr>
            </w:pPr>
            <w:r w:rsidRPr="007F67EE">
              <w:rPr>
                <w:szCs w:val="22"/>
                <w:vertAlign w:val="superscript"/>
              </w:rPr>
              <w:t xml:space="preserve">a </w:t>
            </w:r>
            <w:r w:rsidRPr="00193D76">
              <w:rPr>
                <w:szCs w:val="22"/>
              </w:rPr>
              <w:t>p-verdien er fra den parvise sammenligningen av metotreksat monoterapi og Humira/metotreksat kombinasjonsbehan</w:t>
            </w:r>
            <w:r w:rsidRPr="002D0790">
              <w:rPr>
                <w:szCs w:val="22"/>
              </w:rPr>
              <w:t>dling med Mann-Whitney U testen.</w:t>
            </w:r>
          </w:p>
          <w:p w14:paraId="5CEFE0CC" w14:textId="77777777" w:rsidR="005B4731" w:rsidRPr="00C07C98" w:rsidRDefault="00E453CD" w:rsidP="007F67EE">
            <w:pPr>
              <w:pStyle w:val="BodyTextIndent2"/>
              <w:pBdr>
                <w:top w:val="single" w:sz="4" w:space="1" w:color="auto"/>
                <w:right w:val="single" w:sz="4" w:space="4" w:color="auto"/>
              </w:pBdr>
              <w:tabs>
                <w:tab w:val="left" w:pos="330"/>
              </w:tabs>
              <w:ind w:left="330" w:hanging="330"/>
              <w:rPr>
                <w:szCs w:val="22"/>
              </w:rPr>
            </w:pPr>
            <w:r w:rsidRPr="00C07C98">
              <w:rPr>
                <w:szCs w:val="22"/>
                <w:vertAlign w:val="superscript"/>
              </w:rPr>
              <w:t xml:space="preserve">b </w:t>
            </w:r>
            <w:r w:rsidRPr="00C07C98">
              <w:rPr>
                <w:szCs w:val="22"/>
              </w:rPr>
              <w:t>p-verdien er fra den parvise sammenligningen av Humira monoterapi og Humira/metotreksat kombinasjonsbehandling med Mann-Whitney U testen.</w:t>
            </w:r>
          </w:p>
          <w:p w14:paraId="798FDA08" w14:textId="77777777" w:rsidR="005B4731" w:rsidRPr="009C5EFD" w:rsidRDefault="00E453CD" w:rsidP="00193D76">
            <w:pPr>
              <w:tabs>
                <w:tab w:val="left" w:pos="330"/>
              </w:tabs>
              <w:ind w:left="360" w:hanging="360"/>
              <w:rPr>
                <w:bCs/>
              </w:rPr>
            </w:pPr>
            <w:r w:rsidRPr="00E14E58">
              <w:rPr>
                <w:sz w:val="22"/>
                <w:szCs w:val="22"/>
                <w:vertAlign w:val="superscript"/>
              </w:rPr>
              <w:t xml:space="preserve">c </w:t>
            </w:r>
            <w:r w:rsidRPr="009C5EFD">
              <w:rPr>
                <w:sz w:val="22"/>
                <w:szCs w:val="22"/>
              </w:rPr>
              <w:t>p-verdien er fra den parvise sammenligningen av Humira monoterapi og metotreksat monoterapi med Mann-Whitney U testen.</w:t>
            </w:r>
          </w:p>
        </w:tc>
      </w:tr>
    </w:tbl>
    <w:p w14:paraId="5650D943" w14:textId="77777777" w:rsidR="005B4731" w:rsidRPr="009C5EFD" w:rsidRDefault="005B4731" w:rsidP="007F67EE">
      <w:pPr>
        <w:rPr>
          <w:sz w:val="22"/>
          <w:szCs w:val="22"/>
        </w:rPr>
      </w:pPr>
    </w:p>
    <w:p w14:paraId="76ABB534" w14:textId="77777777" w:rsidR="001E500F" w:rsidRDefault="00E453CD" w:rsidP="007F67EE">
      <w:pPr>
        <w:pStyle w:val="EMEANormal"/>
        <w:rPr>
          <w:lang w:val="nb-NO"/>
        </w:rPr>
      </w:pPr>
      <w:r w:rsidRPr="009C5EFD">
        <w:rPr>
          <w:lang w:val="nb-NO"/>
        </w:rPr>
        <w:t>Etter behandling i 52</w:t>
      </w:r>
      <w:r w:rsidR="00315F16" w:rsidRPr="009C5EFD">
        <w:rPr>
          <w:lang w:val="nb-NO"/>
        </w:rPr>
        <w:t> uker</w:t>
      </w:r>
      <w:r w:rsidRPr="009C5EFD">
        <w:rPr>
          <w:lang w:val="nb-NO"/>
        </w:rPr>
        <w:t xml:space="preserve"> og 104</w:t>
      </w:r>
      <w:r w:rsidR="00315F16" w:rsidRPr="009C5EFD">
        <w:rPr>
          <w:lang w:val="nb-NO"/>
        </w:rPr>
        <w:t> uker</w:t>
      </w:r>
      <w:r w:rsidRPr="009C5EFD">
        <w:rPr>
          <w:lang w:val="nb-NO"/>
        </w:rPr>
        <w:t xml:space="preserve"> var andelen pasienter uten progresjon (forandring i den modifiserte totale Sharp score </w:t>
      </w:r>
      <w:r w:rsidRPr="007F67EE">
        <w:rPr>
          <w:rFonts w:ascii="Symbol" w:hAnsi="Symbol"/>
          <w:lang w:val="nb-NO"/>
        </w:rPr>
        <w:sym w:font="Symbol" w:char="F0A3"/>
      </w:r>
      <w:r w:rsidRPr="007F67EE">
        <w:rPr>
          <w:lang w:val="nb-NO"/>
        </w:rPr>
        <w:t> 0,5 siden oppstart) signifikant høyere med kombinasjonsbehandling med Humira/metotreksat</w:t>
      </w:r>
      <w:r w:rsidRPr="00193D76">
        <w:rPr>
          <w:lang w:val="nb-NO"/>
        </w:rPr>
        <w:t xml:space="preserve"> (henholdsvis 63,8</w:t>
      </w:r>
      <w:r w:rsidR="00315F16" w:rsidRPr="00C07C98">
        <w:rPr>
          <w:lang w:val="nb-NO"/>
        </w:rPr>
        <w:t> %</w:t>
      </w:r>
      <w:r w:rsidRPr="00C07C98">
        <w:rPr>
          <w:lang w:val="nb-NO"/>
        </w:rPr>
        <w:t xml:space="preserve"> og 61,2</w:t>
      </w:r>
      <w:r w:rsidR="00315F16" w:rsidRPr="009C5EFD">
        <w:rPr>
          <w:lang w:val="nb-NO"/>
        </w:rPr>
        <w:t> %</w:t>
      </w:r>
      <w:r w:rsidRPr="009C5EFD">
        <w:rPr>
          <w:lang w:val="nb-NO"/>
        </w:rPr>
        <w:t>) sammenlignet med metotreksat monoterapi (henholdsvis 37,4</w:t>
      </w:r>
      <w:r w:rsidR="00315F16" w:rsidRPr="009C5EFD">
        <w:rPr>
          <w:lang w:val="nb-NO"/>
        </w:rPr>
        <w:t> %</w:t>
      </w:r>
      <w:r w:rsidRPr="009C5EFD">
        <w:rPr>
          <w:lang w:val="nb-NO"/>
        </w:rPr>
        <w:t xml:space="preserve"> og 33,5</w:t>
      </w:r>
      <w:r w:rsidR="00315F16" w:rsidRPr="009C5EFD">
        <w:rPr>
          <w:lang w:val="nb-NO"/>
        </w:rPr>
        <w:t> %</w:t>
      </w:r>
      <w:r w:rsidRPr="009C5EFD">
        <w:rPr>
          <w:lang w:val="nb-NO"/>
        </w:rPr>
        <w:t>, p</w:t>
      </w:r>
      <w:r w:rsidR="005B4731" w:rsidRPr="009C5EFD">
        <w:rPr>
          <w:lang w:val="nb-NO"/>
        </w:rPr>
        <w:t> </w:t>
      </w:r>
      <w:r w:rsidRPr="009C5EFD">
        <w:rPr>
          <w:lang w:val="nb-NO"/>
        </w:rPr>
        <w:t>&lt;</w:t>
      </w:r>
      <w:r w:rsidR="005B4731" w:rsidRPr="009C5EFD">
        <w:rPr>
          <w:lang w:val="nb-NO"/>
        </w:rPr>
        <w:t> </w:t>
      </w:r>
      <w:r w:rsidRPr="009C5EFD">
        <w:rPr>
          <w:lang w:val="nb-NO"/>
        </w:rPr>
        <w:t>0,001) og Humira monoterapi (henholdsvis 50,7</w:t>
      </w:r>
      <w:r w:rsidR="00315F16" w:rsidRPr="009C5EFD">
        <w:rPr>
          <w:lang w:val="nb-NO"/>
        </w:rPr>
        <w:t> %</w:t>
      </w:r>
      <w:r w:rsidRPr="009C5EFD">
        <w:rPr>
          <w:lang w:val="nb-NO"/>
        </w:rPr>
        <w:t>, p</w:t>
      </w:r>
      <w:r w:rsidR="005B4731" w:rsidRPr="009C5EFD">
        <w:rPr>
          <w:lang w:val="nb-NO"/>
        </w:rPr>
        <w:t> </w:t>
      </w:r>
      <w:r w:rsidRPr="009C5EFD">
        <w:rPr>
          <w:lang w:val="nb-NO"/>
        </w:rPr>
        <w:t>&lt;</w:t>
      </w:r>
      <w:r w:rsidR="005B4731" w:rsidRPr="009C5EFD">
        <w:rPr>
          <w:lang w:val="nb-NO"/>
        </w:rPr>
        <w:t> </w:t>
      </w:r>
      <w:r w:rsidRPr="009C5EFD">
        <w:rPr>
          <w:lang w:val="nb-NO"/>
        </w:rPr>
        <w:t>0,002 og 44,5</w:t>
      </w:r>
      <w:r w:rsidR="00315F16" w:rsidRPr="009C5EFD">
        <w:rPr>
          <w:lang w:val="nb-NO"/>
        </w:rPr>
        <w:t> %</w:t>
      </w:r>
      <w:r w:rsidRPr="009C5EFD">
        <w:rPr>
          <w:lang w:val="nb-NO"/>
        </w:rPr>
        <w:t>, p</w:t>
      </w:r>
      <w:r w:rsidR="005B4731" w:rsidRPr="009C5EFD">
        <w:rPr>
          <w:lang w:val="nb-NO"/>
        </w:rPr>
        <w:t> </w:t>
      </w:r>
      <w:r w:rsidRPr="009C5EFD">
        <w:rPr>
          <w:lang w:val="nb-NO"/>
        </w:rPr>
        <w:t>&lt;</w:t>
      </w:r>
      <w:r w:rsidR="005B4731" w:rsidRPr="009C5EFD">
        <w:rPr>
          <w:lang w:val="nb-NO"/>
        </w:rPr>
        <w:t> </w:t>
      </w:r>
      <w:r w:rsidRPr="009C5EFD">
        <w:rPr>
          <w:lang w:val="nb-NO"/>
        </w:rPr>
        <w:t>0,001).</w:t>
      </w:r>
    </w:p>
    <w:p w14:paraId="3453923D" w14:textId="77777777" w:rsidR="008F5114" w:rsidRDefault="008F5114" w:rsidP="007F67EE">
      <w:pPr>
        <w:pStyle w:val="EMEANormal"/>
        <w:rPr>
          <w:lang w:val="nb-NO"/>
        </w:rPr>
      </w:pPr>
    </w:p>
    <w:p w14:paraId="051DFBDD" w14:textId="77777777" w:rsidR="008F5114" w:rsidRPr="009C5EFD" w:rsidRDefault="00E453CD" w:rsidP="007F67EE">
      <w:pPr>
        <w:pStyle w:val="EMEANormal"/>
        <w:rPr>
          <w:lang w:val="nb-NO"/>
        </w:rPr>
      </w:pPr>
      <w:r>
        <w:rPr>
          <w:szCs w:val="22"/>
          <w:lang w:val="nb-NO"/>
        </w:rPr>
        <w:t>I den åpne forlengelsesfasen av</w:t>
      </w:r>
      <w:r w:rsidRPr="00635DEA">
        <w:rPr>
          <w:szCs w:val="22"/>
          <w:lang w:val="nb-NO"/>
        </w:rPr>
        <w:t xml:space="preserve"> RA studie V, </w:t>
      </w:r>
      <w:r>
        <w:rPr>
          <w:szCs w:val="22"/>
          <w:lang w:val="nb-NO"/>
        </w:rPr>
        <w:t xml:space="preserve">var gjennomsnittlig endring fra baseline ved år 10 i den  </w:t>
      </w:r>
      <w:r w:rsidRPr="00635DEA">
        <w:rPr>
          <w:szCs w:val="22"/>
          <w:lang w:val="nb-NO"/>
        </w:rPr>
        <w:t>modifiserte totale Sharp score</w:t>
      </w:r>
      <w:r>
        <w:rPr>
          <w:szCs w:val="22"/>
          <w:lang w:val="nb-NO"/>
        </w:rPr>
        <w:t xml:space="preserve"> 10,8, 9,2 og 3,9 hos pasienter henholdsvis opprinnelig randomisert til metotreksat monoterapi, Humira monoterapi og </w:t>
      </w:r>
      <w:r w:rsidRPr="00453752">
        <w:rPr>
          <w:szCs w:val="22"/>
          <w:lang w:val="nb-NO"/>
        </w:rPr>
        <w:t>Humira/metotreksat kombinasjonsbehandling</w:t>
      </w:r>
      <w:r>
        <w:rPr>
          <w:szCs w:val="22"/>
          <w:lang w:val="nb-NO"/>
        </w:rPr>
        <w:t>. De tilsvarende andeler pasienter uten radiografisk progresjon var henholdsvis 31,3 %, 23,7 % og 36,7 %.</w:t>
      </w:r>
    </w:p>
    <w:p w14:paraId="6A540E9F" w14:textId="77777777" w:rsidR="001E500F" w:rsidRPr="009C5EFD" w:rsidRDefault="001E500F" w:rsidP="00193D76">
      <w:pPr>
        <w:rPr>
          <w:sz w:val="22"/>
          <w:szCs w:val="22"/>
        </w:rPr>
      </w:pPr>
    </w:p>
    <w:p w14:paraId="35C1D296" w14:textId="77777777" w:rsidR="001E500F" w:rsidRPr="009C5EFD" w:rsidRDefault="00E453CD" w:rsidP="002D0790">
      <w:pPr>
        <w:keepNext/>
        <w:rPr>
          <w:i/>
          <w:sz w:val="22"/>
          <w:szCs w:val="22"/>
          <w:u w:val="single"/>
        </w:rPr>
      </w:pPr>
      <w:r w:rsidRPr="009C5EFD">
        <w:rPr>
          <w:i/>
          <w:sz w:val="22"/>
          <w:szCs w:val="22"/>
          <w:u w:val="single"/>
        </w:rPr>
        <w:t>Livskvalitet og fysisk funksjon</w:t>
      </w:r>
    </w:p>
    <w:p w14:paraId="67B8A2C0" w14:textId="77777777" w:rsidR="001E500F" w:rsidRPr="009C5EFD" w:rsidRDefault="001E500F" w:rsidP="00B07EA9">
      <w:pPr>
        <w:keepNext/>
        <w:rPr>
          <w:sz w:val="22"/>
          <w:szCs w:val="22"/>
        </w:rPr>
      </w:pPr>
    </w:p>
    <w:p w14:paraId="31488CEC" w14:textId="77777777" w:rsidR="001E500F" w:rsidRPr="009C5EFD" w:rsidRDefault="00E453CD" w:rsidP="005669CC">
      <w:pPr>
        <w:rPr>
          <w:sz w:val="22"/>
          <w:szCs w:val="22"/>
        </w:rPr>
      </w:pPr>
      <w:r w:rsidRPr="009C5EFD">
        <w:rPr>
          <w:sz w:val="22"/>
          <w:szCs w:val="22"/>
        </w:rPr>
        <w:t xml:space="preserve">Helserelatert livskvalitet og fysisk funksjon ble vurdert ved hjelp av uførhetsindeksen i spørreskjemaet for helseutredning (Health Assessment Questionnaire HAQ) i de fire opprinnelige, veldefinerte og kontrollerte studiene, som var et forhåndsspesifisert primærendepunkt ved </w:t>
      </w:r>
      <w:r w:rsidR="00315F16" w:rsidRPr="009C5EFD">
        <w:rPr>
          <w:sz w:val="22"/>
          <w:szCs w:val="22"/>
        </w:rPr>
        <w:t>uke </w:t>
      </w:r>
      <w:r w:rsidRPr="009C5EFD">
        <w:rPr>
          <w:sz w:val="22"/>
          <w:szCs w:val="22"/>
        </w:rPr>
        <w:t>52 i RA-studie III. Alle doseringer/regimer for Humira i alle fire studie</w:t>
      </w:r>
      <w:r w:rsidR="008B5519">
        <w:rPr>
          <w:sz w:val="22"/>
          <w:szCs w:val="22"/>
        </w:rPr>
        <w:t>r</w:t>
      </w:r>
      <w:r w:rsidRPr="009C5EFD">
        <w:rPr>
          <w:sz w:val="22"/>
          <w:szCs w:val="22"/>
        </w:rPr>
        <w:t xml:space="preserve"> viste statistisk signifikant større forbedring i uførhetsindeksen til HAQ fra oppstart til 6. måned sammenlignet med placebo og i RA-studie III ble det samme observert ved </w:t>
      </w:r>
      <w:r w:rsidR="00315F16" w:rsidRPr="009C5EFD">
        <w:rPr>
          <w:sz w:val="22"/>
          <w:szCs w:val="22"/>
        </w:rPr>
        <w:t>uke </w:t>
      </w:r>
      <w:r w:rsidRPr="009C5EFD">
        <w:rPr>
          <w:sz w:val="22"/>
          <w:szCs w:val="22"/>
        </w:rPr>
        <w:t xml:space="preserve">52. Resultater fra </w:t>
      </w:r>
      <w:r w:rsidR="00D57009">
        <w:rPr>
          <w:sz w:val="22"/>
          <w:szCs w:val="22"/>
        </w:rPr>
        <w:t>«</w:t>
      </w:r>
      <w:r w:rsidRPr="009C5EFD">
        <w:rPr>
          <w:sz w:val="22"/>
          <w:szCs w:val="22"/>
        </w:rPr>
        <w:t>Short Form Health Survey</w:t>
      </w:r>
      <w:r w:rsidR="00D57009">
        <w:rPr>
          <w:sz w:val="22"/>
          <w:szCs w:val="22"/>
        </w:rPr>
        <w:t>»</w:t>
      </w:r>
      <w:r w:rsidRPr="009C5EFD">
        <w:rPr>
          <w:sz w:val="22"/>
          <w:szCs w:val="22"/>
        </w:rPr>
        <w:t xml:space="preserve"> (SF36) ved alle </w:t>
      </w:r>
      <w:r w:rsidRPr="009C5EFD">
        <w:rPr>
          <w:sz w:val="22"/>
          <w:szCs w:val="22"/>
        </w:rPr>
        <w:lastRenderedPageBreak/>
        <w:t xml:space="preserve">doseringer/regimer av Humira i alle de fire studiene støtter disse funnene, med statistisk signifikante poengverdier for </w:t>
      </w:r>
      <w:r w:rsidR="00D57009">
        <w:rPr>
          <w:sz w:val="22"/>
          <w:szCs w:val="22"/>
        </w:rPr>
        <w:t>«</w:t>
      </w:r>
      <w:r w:rsidRPr="009C5EFD">
        <w:rPr>
          <w:sz w:val="22"/>
          <w:szCs w:val="22"/>
        </w:rPr>
        <w:t>Physical Component Summary</w:t>
      </w:r>
      <w:r w:rsidR="00D57009">
        <w:rPr>
          <w:sz w:val="22"/>
          <w:szCs w:val="22"/>
        </w:rPr>
        <w:t>»</w:t>
      </w:r>
      <w:r w:rsidRPr="009C5EFD">
        <w:rPr>
          <w:sz w:val="22"/>
          <w:szCs w:val="22"/>
        </w:rPr>
        <w:t xml:space="preserve"> (PCS), og dessuten statistisk signifikante poengverdier for smerte- og vitalitetsområdet ved 40</w:t>
      </w:r>
      <w:r w:rsidR="00E55E5D" w:rsidRPr="009C5EFD">
        <w:rPr>
          <w:sz w:val="22"/>
          <w:szCs w:val="22"/>
        </w:rPr>
        <w:t> mg</w:t>
      </w:r>
      <w:r w:rsidRPr="009C5EFD">
        <w:rPr>
          <w:sz w:val="22"/>
          <w:szCs w:val="22"/>
        </w:rPr>
        <w:t xml:space="preserve"> dosert annenhver uke. Statistisk signifikant reduksjon i tretthet (fatigue) målt med poengverdier for funksjonell vurdering av behandling av kronisk sykdom (Functional assessment of chronic illness therapy – FACIT) ble observert i alle tre studier hvor det ble vurdert (RA-studiene I, III, IV).</w:t>
      </w:r>
    </w:p>
    <w:p w14:paraId="47530629" w14:textId="77777777" w:rsidR="001E500F" w:rsidRPr="009C5EFD" w:rsidRDefault="001E500F" w:rsidP="00E14E58">
      <w:pPr>
        <w:rPr>
          <w:sz w:val="22"/>
          <w:szCs w:val="22"/>
        </w:rPr>
      </w:pPr>
    </w:p>
    <w:p w14:paraId="57203739" w14:textId="77777777" w:rsidR="001E500F" w:rsidRPr="009C5EFD" w:rsidRDefault="00E453CD" w:rsidP="00776A84">
      <w:pPr>
        <w:rPr>
          <w:sz w:val="22"/>
          <w:szCs w:val="22"/>
        </w:rPr>
      </w:pPr>
      <w:r w:rsidRPr="009C5EFD">
        <w:rPr>
          <w:sz w:val="22"/>
          <w:szCs w:val="22"/>
        </w:rPr>
        <w:t>I RA-studie III, vedvarte forbedringene i fysisk funksjon gjennom 520</w:t>
      </w:r>
      <w:r w:rsidR="00315F16" w:rsidRPr="009C5EFD">
        <w:rPr>
          <w:sz w:val="22"/>
          <w:szCs w:val="22"/>
        </w:rPr>
        <w:t> uker</w:t>
      </w:r>
      <w:r w:rsidRPr="009C5EFD">
        <w:rPr>
          <w:sz w:val="22"/>
          <w:szCs w:val="22"/>
        </w:rPr>
        <w:t xml:space="preserve"> (120</w:t>
      </w:r>
      <w:r w:rsidR="00315F16" w:rsidRPr="009C5EFD">
        <w:rPr>
          <w:sz w:val="22"/>
          <w:szCs w:val="22"/>
        </w:rPr>
        <w:t> måned</w:t>
      </w:r>
      <w:r w:rsidRPr="009C5EFD">
        <w:rPr>
          <w:sz w:val="22"/>
          <w:szCs w:val="22"/>
        </w:rPr>
        <w:t>er) med åpen behandling hos de fleste pasienter som oppnådde forbedring i fysisk funksjon og fortsatte behandlingen. Forbedring i livskvalitet ble målt opptil 156</w:t>
      </w:r>
      <w:r w:rsidR="00315F16" w:rsidRPr="009C5EFD">
        <w:rPr>
          <w:sz w:val="22"/>
          <w:szCs w:val="22"/>
        </w:rPr>
        <w:t> uker</w:t>
      </w:r>
      <w:r w:rsidRPr="009C5EFD">
        <w:rPr>
          <w:sz w:val="22"/>
          <w:szCs w:val="22"/>
        </w:rPr>
        <w:t xml:space="preserve"> (36</w:t>
      </w:r>
      <w:r w:rsidR="00315F16" w:rsidRPr="009C5EFD">
        <w:rPr>
          <w:sz w:val="22"/>
          <w:szCs w:val="22"/>
        </w:rPr>
        <w:t> måned</w:t>
      </w:r>
      <w:r w:rsidRPr="009C5EFD">
        <w:rPr>
          <w:sz w:val="22"/>
          <w:szCs w:val="22"/>
        </w:rPr>
        <w:t>er) og forbedringen vedvarte gjennom denne perioden.</w:t>
      </w:r>
    </w:p>
    <w:p w14:paraId="09F367DE" w14:textId="77777777" w:rsidR="001E500F" w:rsidRPr="009C5EFD" w:rsidRDefault="001E500F">
      <w:pPr>
        <w:rPr>
          <w:sz w:val="22"/>
          <w:szCs w:val="22"/>
        </w:rPr>
      </w:pPr>
    </w:p>
    <w:p w14:paraId="59E4612D" w14:textId="77777777" w:rsidR="001E500F" w:rsidRPr="009C5EFD" w:rsidRDefault="00E453CD" w:rsidP="00776A84">
      <w:pPr>
        <w:rPr>
          <w:sz w:val="22"/>
          <w:szCs w:val="22"/>
        </w:rPr>
      </w:pPr>
      <w:r w:rsidRPr="009C5EFD">
        <w:rPr>
          <w:sz w:val="22"/>
          <w:szCs w:val="22"/>
        </w:rPr>
        <w:t>I R</w:t>
      </w:r>
      <w:r w:rsidR="003906C8">
        <w:rPr>
          <w:sz w:val="22"/>
          <w:szCs w:val="22"/>
        </w:rPr>
        <w:t>A</w:t>
      </w:r>
      <w:r w:rsidRPr="009C5EFD">
        <w:rPr>
          <w:sz w:val="22"/>
          <w:szCs w:val="22"/>
        </w:rPr>
        <w:t>-studie V viste forbedring i uførhetsindeksen til HAQ og den fysiske delen av SF 36, større forbedring (p</w:t>
      </w:r>
      <w:r w:rsidR="005B4731" w:rsidRPr="009C5EFD">
        <w:rPr>
          <w:sz w:val="22"/>
          <w:szCs w:val="22"/>
        </w:rPr>
        <w:t> </w:t>
      </w:r>
      <w:r w:rsidRPr="009C5EFD">
        <w:rPr>
          <w:sz w:val="22"/>
          <w:szCs w:val="22"/>
        </w:rPr>
        <w:t>&lt;</w:t>
      </w:r>
      <w:r w:rsidR="005B4731" w:rsidRPr="009C5EFD">
        <w:rPr>
          <w:sz w:val="22"/>
          <w:szCs w:val="22"/>
        </w:rPr>
        <w:t> </w:t>
      </w:r>
      <w:r w:rsidRPr="009C5EFD">
        <w:rPr>
          <w:sz w:val="22"/>
          <w:szCs w:val="22"/>
        </w:rPr>
        <w:t xml:space="preserve">0,001) for kombinasjonsbehandling med Humira/metotreksat i forhold til metotreksat monoterapi </w:t>
      </w:r>
      <w:r w:rsidR="00086CEA">
        <w:rPr>
          <w:sz w:val="22"/>
          <w:szCs w:val="22"/>
        </w:rPr>
        <w:t xml:space="preserve">og Humira monoterapi </w:t>
      </w:r>
      <w:r w:rsidRPr="009C5EFD">
        <w:rPr>
          <w:sz w:val="22"/>
          <w:szCs w:val="22"/>
        </w:rPr>
        <w:t xml:space="preserve">ved </w:t>
      </w:r>
      <w:r w:rsidR="00315F16" w:rsidRPr="009C5EFD">
        <w:rPr>
          <w:sz w:val="22"/>
          <w:szCs w:val="22"/>
        </w:rPr>
        <w:t>uke </w:t>
      </w:r>
      <w:r w:rsidRPr="009C5EFD">
        <w:rPr>
          <w:sz w:val="22"/>
          <w:szCs w:val="22"/>
        </w:rPr>
        <w:t xml:space="preserve">52, noe som ble vedlikeholdt gjennom </w:t>
      </w:r>
      <w:r w:rsidR="00315F16" w:rsidRPr="009C5EFD">
        <w:rPr>
          <w:sz w:val="22"/>
          <w:szCs w:val="22"/>
        </w:rPr>
        <w:t>uke </w:t>
      </w:r>
      <w:r w:rsidRPr="009C5EFD">
        <w:rPr>
          <w:sz w:val="22"/>
          <w:szCs w:val="22"/>
        </w:rPr>
        <w:t>104.</w:t>
      </w:r>
      <w:r w:rsidR="0097762C">
        <w:rPr>
          <w:sz w:val="22"/>
          <w:szCs w:val="22"/>
        </w:rPr>
        <w:t xml:space="preserve"> Blant de 250 pasientene som fullførte den åpne forlengelsesstudien, ble forbedringer i fysisk funksjon opprettholdt gjennom 10 år med behandling.</w:t>
      </w:r>
    </w:p>
    <w:p w14:paraId="2970D7A9" w14:textId="77777777" w:rsidR="001E500F" w:rsidRPr="009C5EFD" w:rsidRDefault="001E500F" w:rsidP="00776A84">
      <w:pPr>
        <w:rPr>
          <w:sz w:val="22"/>
          <w:szCs w:val="22"/>
        </w:rPr>
      </w:pPr>
    </w:p>
    <w:p w14:paraId="690E3FD7" w14:textId="77777777" w:rsidR="001E500F" w:rsidRPr="009C5EFD" w:rsidRDefault="00E453CD" w:rsidP="009D3965">
      <w:pPr>
        <w:keepNext/>
        <w:rPr>
          <w:i/>
          <w:sz w:val="22"/>
          <w:szCs w:val="22"/>
          <w:u w:val="single"/>
        </w:rPr>
      </w:pPr>
      <w:r w:rsidRPr="009C5EFD">
        <w:rPr>
          <w:i/>
          <w:sz w:val="22"/>
          <w:szCs w:val="22"/>
          <w:u w:val="single"/>
        </w:rPr>
        <w:t>Smerte</w:t>
      </w:r>
      <w:r w:rsidR="00C70683">
        <w:rPr>
          <w:i/>
          <w:sz w:val="22"/>
          <w:szCs w:val="22"/>
          <w:u w:val="single"/>
        </w:rPr>
        <w:t>r</w:t>
      </w:r>
      <w:r w:rsidRPr="009C5EFD">
        <w:rPr>
          <w:i/>
          <w:sz w:val="22"/>
          <w:szCs w:val="22"/>
          <w:u w:val="single"/>
        </w:rPr>
        <w:t xml:space="preserve"> ved injeksjonsstedet</w:t>
      </w:r>
    </w:p>
    <w:p w14:paraId="62B405F4" w14:textId="77777777" w:rsidR="001E500F" w:rsidRPr="009C5EFD" w:rsidRDefault="001E500F" w:rsidP="009D3965">
      <w:pPr>
        <w:keepNext/>
        <w:rPr>
          <w:sz w:val="22"/>
          <w:szCs w:val="22"/>
        </w:rPr>
      </w:pPr>
    </w:p>
    <w:p w14:paraId="2F553C3B" w14:textId="77777777" w:rsidR="001E500F" w:rsidRPr="009C5EFD" w:rsidRDefault="00E453CD" w:rsidP="00776A84">
      <w:pPr>
        <w:rPr>
          <w:sz w:val="22"/>
          <w:szCs w:val="22"/>
        </w:rPr>
      </w:pPr>
      <w:r w:rsidRPr="009C5EFD">
        <w:rPr>
          <w:sz w:val="22"/>
          <w:szCs w:val="22"/>
        </w:rPr>
        <w:t xml:space="preserve">For de samlede </w:t>
      </w:r>
      <w:r w:rsidR="007B266C" w:rsidRPr="009C5EFD">
        <w:rPr>
          <w:sz w:val="22"/>
          <w:szCs w:val="22"/>
        </w:rPr>
        <w:t xml:space="preserve">RA </w:t>
      </w:r>
      <w:r w:rsidR="00D57009">
        <w:rPr>
          <w:sz w:val="22"/>
          <w:szCs w:val="22"/>
        </w:rPr>
        <w:t>«</w:t>
      </w:r>
      <w:r w:rsidR="00761BB9" w:rsidRPr="009C5EFD">
        <w:rPr>
          <w:sz w:val="22"/>
          <w:szCs w:val="22"/>
        </w:rPr>
        <w:t>crossover'</w:t>
      </w:r>
      <w:r w:rsidR="007B266C" w:rsidRPr="009C5EFD">
        <w:rPr>
          <w:sz w:val="22"/>
          <w:szCs w:val="22"/>
        </w:rPr>
        <w:t xml:space="preserve"> </w:t>
      </w:r>
      <w:r w:rsidR="001305DA" w:rsidRPr="009C5EFD">
        <w:rPr>
          <w:sz w:val="22"/>
          <w:szCs w:val="22"/>
        </w:rPr>
        <w:t>studiene</w:t>
      </w:r>
      <w:r w:rsidRPr="009C5EFD">
        <w:rPr>
          <w:sz w:val="22"/>
          <w:szCs w:val="22"/>
        </w:rPr>
        <w:t xml:space="preserve"> VI og VII, ble det umiddelbart etter dosering observert en statistisk signifikant forskjell på smerte</w:t>
      </w:r>
      <w:r w:rsidR="00C70683">
        <w:rPr>
          <w:sz w:val="22"/>
          <w:szCs w:val="22"/>
        </w:rPr>
        <w:t>r</w:t>
      </w:r>
      <w:r w:rsidRPr="009C5EFD">
        <w:rPr>
          <w:sz w:val="22"/>
          <w:szCs w:val="22"/>
        </w:rPr>
        <w:t xml:space="preserve"> ved injeksjonsstedet mellom Humira 40 mg/0,8 ml og Humira 40 mg/0,4 ml (gjennomsnittlig VAS på 3,7</w:t>
      </w:r>
      <w:r w:rsidR="001305DA" w:rsidRPr="009C5EFD">
        <w:rPr>
          <w:sz w:val="22"/>
          <w:szCs w:val="22"/>
        </w:rPr>
        <w:t> </w:t>
      </w:r>
      <w:r w:rsidRPr="009C5EFD">
        <w:rPr>
          <w:sz w:val="22"/>
          <w:szCs w:val="22"/>
        </w:rPr>
        <w:t>cm versus 1,2 cm, skala på 0-10 cm, p </w:t>
      </w:r>
      <w:r w:rsidR="001305DA" w:rsidRPr="009C5EFD">
        <w:t>&lt;</w:t>
      </w:r>
      <w:r w:rsidRPr="009C5EFD">
        <w:rPr>
          <w:sz w:val="22"/>
          <w:szCs w:val="22"/>
        </w:rPr>
        <w:t xml:space="preserve"> 0,001). Dette utgjorde en median reduksjon </w:t>
      </w:r>
      <w:r w:rsidR="001305DA" w:rsidRPr="009C5EFD">
        <w:rPr>
          <w:sz w:val="22"/>
          <w:szCs w:val="22"/>
        </w:rPr>
        <w:t>av smerte</w:t>
      </w:r>
      <w:r w:rsidR="00C70683">
        <w:rPr>
          <w:sz w:val="22"/>
          <w:szCs w:val="22"/>
        </w:rPr>
        <w:t>r</w:t>
      </w:r>
      <w:r w:rsidR="001305DA" w:rsidRPr="009C5EFD">
        <w:rPr>
          <w:sz w:val="22"/>
          <w:szCs w:val="22"/>
        </w:rPr>
        <w:t xml:space="preserve"> ved injeksjonsstedet </w:t>
      </w:r>
      <w:r w:rsidRPr="009C5EFD">
        <w:rPr>
          <w:sz w:val="22"/>
          <w:szCs w:val="22"/>
        </w:rPr>
        <w:t>på 84 %</w:t>
      </w:r>
      <w:r w:rsidR="001305DA" w:rsidRPr="009C5EFD">
        <w:rPr>
          <w:sz w:val="22"/>
          <w:szCs w:val="22"/>
        </w:rPr>
        <w:t>.</w:t>
      </w:r>
    </w:p>
    <w:p w14:paraId="73F46E0F" w14:textId="77777777" w:rsidR="001E500F" w:rsidRPr="009C5EFD" w:rsidRDefault="001E500F" w:rsidP="00776A84">
      <w:pPr>
        <w:pStyle w:val="EndnoteText"/>
        <w:tabs>
          <w:tab w:val="left" w:pos="708"/>
        </w:tabs>
        <w:suppressAutoHyphens/>
        <w:rPr>
          <w:i/>
          <w:szCs w:val="22"/>
          <w:lang w:val="nb-NO"/>
        </w:rPr>
      </w:pPr>
    </w:p>
    <w:p w14:paraId="032F325C" w14:textId="77777777" w:rsidR="001E500F" w:rsidRPr="009C5EFD" w:rsidRDefault="00E453CD" w:rsidP="00776A84">
      <w:pPr>
        <w:keepNext/>
        <w:rPr>
          <w:i/>
          <w:sz w:val="22"/>
          <w:szCs w:val="22"/>
        </w:rPr>
      </w:pPr>
      <w:r w:rsidRPr="009C5EFD">
        <w:rPr>
          <w:i/>
          <w:sz w:val="22"/>
          <w:szCs w:val="22"/>
        </w:rPr>
        <w:t>Aksial spondylartritt</w:t>
      </w:r>
    </w:p>
    <w:p w14:paraId="44AB9F1B" w14:textId="77777777" w:rsidR="001E500F" w:rsidRPr="009C5EFD" w:rsidRDefault="001E500F" w:rsidP="00776A84">
      <w:pPr>
        <w:keepNext/>
        <w:rPr>
          <w:sz w:val="22"/>
          <w:szCs w:val="22"/>
          <w:u w:val="single"/>
        </w:rPr>
      </w:pPr>
    </w:p>
    <w:p w14:paraId="0703A4AF" w14:textId="77777777" w:rsidR="001E500F" w:rsidRPr="009C5EFD" w:rsidRDefault="00E453CD" w:rsidP="00776A84">
      <w:pPr>
        <w:keepNext/>
        <w:rPr>
          <w:i/>
        </w:rPr>
      </w:pPr>
      <w:r w:rsidRPr="009C5EFD">
        <w:rPr>
          <w:i/>
          <w:sz w:val="22"/>
          <w:szCs w:val="22"/>
          <w:u w:val="single"/>
        </w:rPr>
        <w:t>Bekhterevs sykdom (ankyloserende spondylitt)</w:t>
      </w:r>
    </w:p>
    <w:p w14:paraId="31D177D6" w14:textId="77777777" w:rsidR="001E500F" w:rsidRPr="009C5EFD" w:rsidRDefault="001E500F" w:rsidP="00776A84">
      <w:pPr>
        <w:keepNext/>
        <w:ind w:left="54"/>
        <w:rPr>
          <w:sz w:val="22"/>
          <w:szCs w:val="22"/>
        </w:rPr>
      </w:pPr>
    </w:p>
    <w:p w14:paraId="4BEF114D" w14:textId="77777777" w:rsidR="001E500F" w:rsidRPr="009C5EFD" w:rsidRDefault="00E453CD" w:rsidP="009C5EFD">
      <w:pPr>
        <w:pStyle w:val="EMEAFigureTitle"/>
        <w:tabs>
          <w:tab w:val="clear" w:pos="562"/>
          <w:tab w:val="left" w:pos="708"/>
        </w:tabs>
        <w:suppressAutoHyphens w:val="0"/>
        <w:rPr>
          <w:lang w:val="nb-NO"/>
        </w:rPr>
      </w:pPr>
      <w:r w:rsidRPr="009C5EFD">
        <w:rPr>
          <w:lang w:val="nb-NO"/>
        </w:rPr>
        <w:t>Humira 40</w:t>
      </w:r>
      <w:r w:rsidR="00E55E5D" w:rsidRPr="009C5EFD">
        <w:rPr>
          <w:lang w:val="nb-NO"/>
        </w:rPr>
        <w:t> mg</w:t>
      </w:r>
      <w:r w:rsidRPr="009C5EFD">
        <w:rPr>
          <w:lang w:val="nb-NO"/>
        </w:rPr>
        <w:t xml:space="preserve"> annenhver uke ble vurdert i to randomiserte, 24</w:t>
      </w:r>
      <w:r w:rsidR="00315F16" w:rsidRPr="009C5EFD">
        <w:rPr>
          <w:lang w:val="nb-NO"/>
        </w:rPr>
        <w:t> uker</w:t>
      </w:r>
      <w:r w:rsidRPr="009C5EFD">
        <w:rPr>
          <w:lang w:val="nb-NO"/>
        </w:rPr>
        <w:t>s, dobbeltblinde, placebokontrollerte studier med 393</w:t>
      </w:r>
      <w:r w:rsidR="00315F16" w:rsidRPr="009C5EFD">
        <w:rPr>
          <w:lang w:val="nb-NO"/>
        </w:rPr>
        <w:t> pasient</w:t>
      </w:r>
      <w:r w:rsidRPr="009C5EFD">
        <w:rPr>
          <w:lang w:val="nb-NO"/>
        </w:rPr>
        <w:t>er som hadde aktiv Bekhterevs sykdom (ankyloserende spondol</w:t>
      </w:r>
      <w:r w:rsidR="007866C9">
        <w:rPr>
          <w:lang w:val="nb-NO"/>
        </w:rPr>
        <w:t>i</w:t>
      </w:r>
      <w:r w:rsidRPr="009C5EFD">
        <w:rPr>
          <w:lang w:val="nb-NO"/>
        </w:rPr>
        <w:t xml:space="preserve">tt) (gjennomsnittlig score for sykdomsaktivitet </w:t>
      </w:r>
      <w:r w:rsidRPr="007F67EE">
        <w:rPr>
          <w:rFonts w:ascii="Symbol" w:hAnsi="Symbol"/>
          <w:lang w:val="nb-NO"/>
        </w:rPr>
        <w:sym w:font="Symbol" w:char="F05B"/>
      </w:r>
      <w:r w:rsidRPr="007F67EE">
        <w:rPr>
          <w:lang w:val="nb-NO"/>
        </w:rPr>
        <w:t>Bath Ankylosing Spondylitis Disease Activity Index (BASDAI)</w:t>
      </w:r>
      <w:r w:rsidRPr="007F67EE">
        <w:rPr>
          <w:rFonts w:ascii="Symbol" w:hAnsi="Symbol"/>
          <w:lang w:val="nb-NO"/>
        </w:rPr>
        <w:sym w:font="Symbol" w:char="F05D"/>
      </w:r>
      <w:r w:rsidRPr="007F67EE">
        <w:rPr>
          <w:lang w:val="nb-NO"/>
        </w:rPr>
        <w:t xml:space="preserve"> var 6,3 i alle gruppene ved behandlingsstart), og som ha</w:t>
      </w:r>
      <w:r w:rsidRPr="00193D76">
        <w:rPr>
          <w:lang w:val="nb-NO"/>
        </w:rPr>
        <w:t xml:space="preserve">dde respondert utilstrekkelig på </w:t>
      </w:r>
      <w:r w:rsidR="007A1E0A">
        <w:rPr>
          <w:lang w:val="nb-NO"/>
        </w:rPr>
        <w:t>konvensjonell behandling</w:t>
      </w:r>
      <w:r w:rsidRPr="00193D76">
        <w:rPr>
          <w:lang w:val="nb-NO"/>
        </w:rPr>
        <w:t>. 79 (20,1</w:t>
      </w:r>
      <w:r w:rsidR="00315F16" w:rsidRPr="00C07C98">
        <w:rPr>
          <w:lang w:val="nb-NO"/>
        </w:rPr>
        <w:t> %</w:t>
      </w:r>
      <w:r w:rsidRPr="00C07C98">
        <w:rPr>
          <w:lang w:val="nb-NO"/>
        </w:rPr>
        <w:t>) av pasientene ble behandlet samtidig med sykdomsmodifiserende antirevmat</w:t>
      </w:r>
      <w:r w:rsidRPr="00E14E58">
        <w:rPr>
          <w:color w:val="000000"/>
          <w:lang w:val="nb-NO"/>
        </w:rPr>
        <w:t>iske</w:t>
      </w:r>
      <w:r w:rsidRPr="009C5EFD">
        <w:rPr>
          <w:lang w:val="nb-NO"/>
        </w:rPr>
        <w:t xml:space="preserve"> legemidler (DMARDS), og 37 (9,4</w:t>
      </w:r>
      <w:r w:rsidR="00315F16" w:rsidRPr="009C5EFD">
        <w:rPr>
          <w:lang w:val="nb-NO"/>
        </w:rPr>
        <w:t> %</w:t>
      </w:r>
      <w:r w:rsidRPr="009C5EFD">
        <w:rPr>
          <w:lang w:val="nb-NO"/>
        </w:rPr>
        <w:t>) av pasientene ble behandlet samtidig med glukokortikoider. Den blinde perioden ble etterfulgt av en åpen behandlingsperiode hvor pasientene fikk Humira 40</w:t>
      </w:r>
      <w:r w:rsidR="00E55E5D" w:rsidRPr="009C5EFD">
        <w:rPr>
          <w:lang w:val="nb-NO"/>
        </w:rPr>
        <w:t> mg</w:t>
      </w:r>
      <w:r w:rsidRPr="009C5EFD">
        <w:rPr>
          <w:lang w:val="nb-NO"/>
        </w:rPr>
        <w:t xml:space="preserve"> annenhver uke subkutant i inntil 28</w:t>
      </w:r>
      <w:r w:rsidR="00315F16" w:rsidRPr="009C5EFD">
        <w:rPr>
          <w:lang w:val="nb-NO"/>
        </w:rPr>
        <w:t> uker</w:t>
      </w:r>
      <w:r w:rsidRPr="009C5EFD">
        <w:rPr>
          <w:lang w:val="nb-NO"/>
        </w:rPr>
        <w:t>. Pasienter (n=215, 54,7</w:t>
      </w:r>
      <w:r w:rsidR="00315F16" w:rsidRPr="009C5EFD">
        <w:rPr>
          <w:lang w:val="nb-NO"/>
        </w:rPr>
        <w:t> %</w:t>
      </w:r>
      <w:r w:rsidRPr="009C5EFD">
        <w:rPr>
          <w:lang w:val="nb-NO"/>
        </w:rPr>
        <w:t xml:space="preserve">) som ikke klarte å oppnå ASAS 20 i </w:t>
      </w:r>
      <w:r w:rsidR="00315F16" w:rsidRPr="009C5EFD">
        <w:rPr>
          <w:lang w:val="nb-NO"/>
        </w:rPr>
        <w:t>uke </w:t>
      </w:r>
      <w:r w:rsidRPr="009C5EFD">
        <w:rPr>
          <w:lang w:val="nb-NO"/>
        </w:rPr>
        <w:t>12 eller 16 eller 20 fikk behandling med adalimumab 40</w:t>
      </w:r>
      <w:r w:rsidR="00E55E5D" w:rsidRPr="009C5EFD">
        <w:rPr>
          <w:lang w:val="nb-NO"/>
        </w:rPr>
        <w:t> mg</w:t>
      </w:r>
      <w:r w:rsidRPr="009C5EFD">
        <w:rPr>
          <w:lang w:val="nb-NO"/>
        </w:rPr>
        <w:t xml:space="preserve"> annenhver uke subkutant og ble deretter regnet som ikke-responderende i de dobbeltblinde statistiske analysene. </w:t>
      </w:r>
    </w:p>
    <w:p w14:paraId="2D779888" w14:textId="77777777" w:rsidR="001E500F" w:rsidRPr="009C5EFD" w:rsidRDefault="001E500F" w:rsidP="009C5EFD">
      <w:pPr>
        <w:rPr>
          <w:sz w:val="22"/>
          <w:szCs w:val="22"/>
        </w:rPr>
      </w:pPr>
    </w:p>
    <w:p w14:paraId="60235FEA" w14:textId="77777777" w:rsidR="001E500F" w:rsidRPr="009C5EFD" w:rsidRDefault="00E453CD" w:rsidP="009C5EFD">
      <w:pPr>
        <w:rPr>
          <w:sz w:val="22"/>
          <w:szCs w:val="22"/>
        </w:rPr>
      </w:pPr>
      <w:r w:rsidRPr="009C5EFD">
        <w:rPr>
          <w:sz w:val="22"/>
          <w:szCs w:val="22"/>
        </w:rPr>
        <w:t>I en større AS-studie I med 315</w:t>
      </w:r>
      <w:r w:rsidR="00315F16" w:rsidRPr="009C5EFD">
        <w:rPr>
          <w:sz w:val="22"/>
          <w:szCs w:val="22"/>
        </w:rPr>
        <w:t> pasient</w:t>
      </w:r>
      <w:r w:rsidRPr="009C5EFD">
        <w:rPr>
          <w:sz w:val="22"/>
          <w:szCs w:val="22"/>
        </w:rPr>
        <w:t xml:space="preserve">er viste resultatene en statistisk signifikant forbedring av sykdomstegn og symptomene på Bekhterevs sykdom (ankyloserende spondylitt) hos de pasientene som fikk Humira sammenlignet med placebo. Signifikant respons ble observert først i </w:t>
      </w:r>
      <w:r w:rsidR="00315F16" w:rsidRPr="009C5EFD">
        <w:rPr>
          <w:sz w:val="22"/>
          <w:szCs w:val="22"/>
        </w:rPr>
        <w:t>uke </w:t>
      </w:r>
      <w:r w:rsidRPr="009C5EFD">
        <w:rPr>
          <w:sz w:val="22"/>
          <w:szCs w:val="22"/>
        </w:rPr>
        <w:t>2 og vedvarte i 24</w:t>
      </w:r>
      <w:r w:rsidR="00315F16" w:rsidRPr="009C5EFD">
        <w:rPr>
          <w:sz w:val="22"/>
          <w:szCs w:val="22"/>
        </w:rPr>
        <w:t> uker</w:t>
      </w:r>
      <w:r w:rsidRPr="009C5EFD">
        <w:rPr>
          <w:sz w:val="22"/>
          <w:szCs w:val="22"/>
        </w:rPr>
        <w:t xml:space="preserve"> (tabell </w:t>
      </w:r>
      <w:r w:rsidR="00634DDF">
        <w:rPr>
          <w:sz w:val="22"/>
          <w:szCs w:val="22"/>
        </w:rPr>
        <w:t>12</w:t>
      </w:r>
      <w:r w:rsidRPr="009C5EFD">
        <w:rPr>
          <w:sz w:val="22"/>
          <w:szCs w:val="22"/>
        </w:rPr>
        <w:t>).</w:t>
      </w:r>
    </w:p>
    <w:p w14:paraId="48236AED" w14:textId="77777777" w:rsidR="001E500F" w:rsidRPr="009C5EFD" w:rsidRDefault="001E500F" w:rsidP="00776A84"/>
    <w:p w14:paraId="11C9D48D" w14:textId="77777777" w:rsidR="006B673C" w:rsidRPr="009C5EFD" w:rsidRDefault="00E453CD" w:rsidP="007E2632">
      <w:pPr>
        <w:pStyle w:val="EMEANormal"/>
        <w:keepNext/>
        <w:jc w:val="center"/>
        <w:rPr>
          <w:b/>
          <w:lang w:val="nb-NO"/>
        </w:rPr>
      </w:pPr>
      <w:r w:rsidRPr="009C5EFD">
        <w:rPr>
          <w:b/>
          <w:lang w:val="nb-NO"/>
        </w:rPr>
        <w:lastRenderedPageBreak/>
        <w:t xml:space="preserve">Tabell </w:t>
      </w:r>
      <w:r w:rsidR="00766BE3">
        <w:rPr>
          <w:b/>
          <w:lang w:val="nb-NO"/>
        </w:rPr>
        <w:t>1</w:t>
      </w:r>
      <w:r w:rsidR="00634DDF">
        <w:rPr>
          <w:b/>
          <w:lang w:val="nb-NO"/>
        </w:rPr>
        <w:t>2</w:t>
      </w:r>
    </w:p>
    <w:p w14:paraId="06EBDF85" w14:textId="77777777" w:rsidR="006B673C" w:rsidRPr="009C5EFD" w:rsidRDefault="00E453CD" w:rsidP="007E2632">
      <w:pPr>
        <w:pStyle w:val="EMEANormal"/>
        <w:keepNext/>
        <w:jc w:val="center"/>
        <w:rPr>
          <w:b/>
          <w:lang w:val="nb-NO"/>
        </w:rPr>
      </w:pPr>
      <w:r>
        <w:rPr>
          <w:b/>
          <w:lang w:val="nb-NO"/>
        </w:rPr>
        <w:t>Effektr</w:t>
      </w:r>
      <w:r w:rsidRPr="009C5EFD">
        <w:rPr>
          <w:b/>
          <w:lang w:val="nb-NO"/>
        </w:rPr>
        <w:t>espons</w:t>
      </w:r>
      <w:r w:rsidR="00B125D2">
        <w:rPr>
          <w:b/>
          <w:lang w:val="nb-NO"/>
        </w:rPr>
        <w:t xml:space="preserve"> </w:t>
      </w:r>
      <w:r w:rsidRPr="009C5EFD">
        <w:rPr>
          <w:b/>
          <w:lang w:val="nb-NO"/>
        </w:rPr>
        <w:t xml:space="preserve">hos pasienter med ankyloserende spondylitt </w:t>
      </w:r>
      <w:r w:rsidR="00B125D2">
        <w:rPr>
          <w:b/>
          <w:lang w:val="nb-NO"/>
        </w:rPr>
        <w:t xml:space="preserve">(AS) </w:t>
      </w:r>
      <w:r w:rsidRPr="009C5EFD">
        <w:rPr>
          <w:b/>
          <w:lang w:val="nb-NO"/>
        </w:rPr>
        <w:t>i placebokontrollert studie – Studie I</w:t>
      </w:r>
    </w:p>
    <w:p w14:paraId="21EAB0EF" w14:textId="77777777" w:rsidR="006B673C" w:rsidRPr="009C5EFD" w:rsidRDefault="00E453CD" w:rsidP="007E2632">
      <w:pPr>
        <w:keepNext/>
        <w:jc w:val="center"/>
      </w:pPr>
      <w:r w:rsidRPr="009C5EFD">
        <w:rPr>
          <w:b/>
        </w:rPr>
        <w:t>Reduksjon av sykdomstegn og symptomer</w:t>
      </w:r>
    </w:p>
    <w:p w14:paraId="43927C78" w14:textId="77777777" w:rsidR="001E500F" w:rsidRPr="009C5EFD" w:rsidRDefault="001E500F" w:rsidP="007E2632">
      <w:pPr>
        <w:keepNext/>
        <w:ind w:left="57"/>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2160"/>
        <w:gridCol w:w="2203"/>
      </w:tblGrid>
      <w:tr w:rsidR="004644D4" w14:paraId="7375C4AC"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65BDD18C" w14:textId="77777777" w:rsidR="001E500F" w:rsidRPr="0015674E" w:rsidRDefault="00E453CD" w:rsidP="007E2632">
            <w:pPr>
              <w:pStyle w:val="EMEANormal"/>
              <w:keepNext/>
              <w:rPr>
                <w:b/>
                <w:bCs/>
                <w:lang w:val="nb-NO"/>
              </w:rPr>
            </w:pPr>
            <w:r w:rsidRPr="0015674E">
              <w:rPr>
                <w:b/>
                <w:bCs/>
                <w:lang w:val="nb-NO"/>
              </w:rPr>
              <w:t>Respons</w:t>
            </w:r>
          </w:p>
        </w:tc>
        <w:tc>
          <w:tcPr>
            <w:tcW w:w="2160" w:type="dxa"/>
            <w:tcBorders>
              <w:top w:val="single" w:sz="4" w:space="0" w:color="auto"/>
              <w:left w:val="single" w:sz="4" w:space="0" w:color="auto"/>
              <w:bottom w:val="single" w:sz="4" w:space="0" w:color="auto"/>
              <w:right w:val="single" w:sz="4" w:space="0" w:color="auto"/>
            </w:tcBorders>
            <w:hideMark/>
          </w:tcPr>
          <w:p w14:paraId="3E1CCC6A" w14:textId="77777777" w:rsidR="001E500F" w:rsidRPr="0015674E" w:rsidRDefault="00E453CD" w:rsidP="007E2632">
            <w:pPr>
              <w:pStyle w:val="EMEANormal"/>
              <w:keepNext/>
              <w:jc w:val="center"/>
              <w:rPr>
                <w:b/>
                <w:bCs/>
                <w:lang w:val="nb-NO"/>
              </w:rPr>
            </w:pPr>
            <w:r w:rsidRPr="0015674E">
              <w:rPr>
                <w:b/>
                <w:bCs/>
                <w:lang w:val="nb-NO"/>
              </w:rPr>
              <w:t>Placebo</w:t>
            </w:r>
          </w:p>
          <w:p w14:paraId="71DACF34" w14:textId="77777777" w:rsidR="001E500F" w:rsidRPr="0015674E" w:rsidRDefault="00E453CD" w:rsidP="007E2632">
            <w:pPr>
              <w:pStyle w:val="EMEANormal"/>
              <w:keepNext/>
              <w:jc w:val="center"/>
              <w:rPr>
                <w:b/>
                <w:bCs/>
                <w:lang w:val="nb-NO"/>
              </w:rPr>
            </w:pPr>
            <w:r w:rsidRPr="0015674E">
              <w:rPr>
                <w:b/>
                <w:bCs/>
                <w:lang w:val="nb-NO"/>
              </w:rPr>
              <w:t>N=107</w:t>
            </w:r>
          </w:p>
        </w:tc>
        <w:tc>
          <w:tcPr>
            <w:tcW w:w="2203" w:type="dxa"/>
            <w:tcBorders>
              <w:top w:val="single" w:sz="4" w:space="0" w:color="auto"/>
              <w:left w:val="single" w:sz="4" w:space="0" w:color="auto"/>
              <w:bottom w:val="single" w:sz="4" w:space="0" w:color="auto"/>
              <w:right w:val="single" w:sz="4" w:space="0" w:color="auto"/>
            </w:tcBorders>
            <w:hideMark/>
          </w:tcPr>
          <w:p w14:paraId="724BEFC7" w14:textId="77777777" w:rsidR="001E500F" w:rsidRPr="0015674E" w:rsidRDefault="00E453CD" w:rsidP="007E2632">
            <w:pPr>
              <w:pStyle w:val="EMEANormal"/>
              <w:keepNext/>
              <w:jc w:val="center"/>
              <w:rPr>
                <w:b/>
                <w:bCs/>
                <w:lang w:val="nb-NO"/>
              </w:rPr>
            </w:pPr>
            <w:r w:rsidRPr="0015674E">
              <w:rPr>
                <w:b/>
                <w:bCs/>
                <w:lang w:val="nb-NO"/>
              </w:rPr>
              <w:t>Humira</w:t>
            </w:r>
          </w:p>
          <w:p w14:paraId="663AA917" w14:textId="77777777" w:rsidR="001E500F" w:rsidRPr="0015674E" w:rsidRDefault="00E453CD" w:rsidP="007E2632">
            <w:pPr>
              <w:pStyle w:val="EMEANormal"/>
              <w:keepNext/>
              <w:jc w:val="center"/>
              <w:rPr>
                <w:b/>
                <w:bCs/>
                <w:lang w:val="nb-NO"/>
              </w:rPr>
            </w:pPr>
            <w:r w:rsidRPr="0015674E">
              <w:rPr>
                <w:b/>
                <w:bCs/>
                <w:lang w:val="nb-NO"/>
              </w:rPr>
              <w:t>N=208</w:t>
            </w:r>
          </w:p>
        </w:tc>
      </w:tr>
      <w:tr w:rsidR="004644D4" w14:paraId="44DCA63D"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0806FB37" w14:textId="77777777" w:rsidR="001E500F" w:rsidRPr="002D0790" w:rsidRDefault="00E453CD" w:rsidP="007E2632">
            <w:pPr>
              <w:pStyle w:val="EMEANormal"/>
              <w:keepNext/>
              <w:rPr>
                <w:lang w:val="nb-NO"/>
              </w:rPr>
            </w:pPr>
            <w:r w:rsidRPr="007F67EE">
              <w:rPr>
                <w:lang w:val="nb-NO"/>
              </w:rPr>
              <w:t>ASAS</w:t>
            </w:r>
            <w:r w:rsidRPr="00193D76">
              <w:rPr>
                <w:vertAlign w:val="superscript"/>
                <w:lang w:val="nb-NO"/>
              </w:rPr>
              <w:t>a</w:t>
            </w:r>
            <w:r w:rsidRPr="002D0790">
              <w:rPr>
                <w:lang w:val="nb-NO"/>
              </w:rPr>
              <w:t xml:space="preserve"> 20 </w:t>
            </w:r>
          </w:p>
        </w:tc>
        <w:tc>
          <w:tcPr>
            <w:tcW w:w="2160" w:type="dxa"/>
            <w:tcBorders>
              <w:top w:val="single" w:sz="4" w:space="0" w:color="auto"/>
              <w:left w:val="single" w:sz="4" w:space="0" w:color="auto"/>
              <w:bottom w:val="single" w:sz="4" w:space="0" w:color="auto"/>
              <w:right w:val="single" w:sz="4" w:space="0" w:color="auto"/>
            </w:tcBorders>
          </w:tcPr>
          <w:p w14:paraId="0EE022DB" w14:textId="77777777" w:rsidR="001E500F" w:rsidRPr="00C07C98" w:rsidRDefault="001E500F" w:rsidP="007E2632">
            <w:pPr>
              <w:pStyle w:val="EMEANormal"/>
              <w:keepNext/>
              <w:jc w:val="center"/>
              <w:rPr>
                <w:lang w:val="nb-NO"/>
              </w:rPr>
            </w:pPr>
          </w:p>
        </w:tc>
        <w:tc>
          <w:tcPr>
            <w:tcW w:w="2203" w:type="dxa"/>
            <w:tcBorders>
              <w:top w:val="single" w:sz="4" w:space="0" w:color="auto"/>
              <w:left w:val="single" w:sz="4" w:space="0" w:color="auto"/>
              <w:bottom w:val="single" w:sz="4" w:space="0" w:color="auto"/>
              <w:right w:val="single" w:sz="4" w:space="0" w:color="auto"/>
            </w:tcBorders>
          </w:tcPr>
          <w:p w14:paraId="47A5F60A" w14:textId="77777777" w:rsidR="001E500F" w:rsidRPr="00E14E58" w:rsidRDefault="001E500F" w:rsidP="007E2632">
            <w:pPr>
              <w:pStyle w:val="EMEANormal"/>
              <w:keepNext/>
              <w:jc w:val="center"/>
              <w:rPr>
                <w:lang w:val="nb-NO"/>
              </w:rPr>
            </w:pPr>
          </w:p>
        </w:tc>
      </w:tr>
      <w:tr w:rsidR="004644D4" w14:paraId="3576489D"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5FE24C5F"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w:t>
            </w:r>
          </w:p>
        </w:tc>
        <w:tc>
          <w:tcPr>
            <w:tcW w:w="2160" w:type="dxa"/>
            <w:tcBorders>
              <w:top w:val="single" w:sz="4" w:space="0" w:color="auto"/>
              <w:left w:val="single" w:sz="4" w:space="0" w:color="auto"/>
              <w:bottom w:val="single" w:sz="4" w:space="0" w:color="auto"/>
              <w:right w:val="single" w:sz="4" w:space="0" w:color="auto"/>
            </w:tcBorders>
            <w:hideMark/>
          </w:tcPr>
          <w:p w14:paraId="0798CD07" w14:textId="77777777" w:rsidR="001E500F" w:rsidRPr="009C5EFD" w:rsidRDefault="00E453CD" w:rsidP="007E2632">
            <w:pPr>
              <w:pStyle w:val="EMEANormal"/>
              <w:keepNext/>
              <w:jc w:val="center"/>
              <w:rPr>
                <w:lang w:val="nb-NO"/>
              </w:rPr>
            </w:pPr>
            <w:r w:rsidRPr="00E14E58">
              <w:rPr>
                <w:lang w:val="nb-NO"/>
              </w:rPr>
              <w:t>16</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0BFE4A55" w14:textId="77777777" w:rsidR="001E500F" w:rsidRPr="009C5EFD" w:rsidRDefault="00E453CD" w:rsidP="007E2632">
            <w:pPr>
              <w:pStyle w:val="EMEANormal"/>
              <w:keepNext/>
              <w:jc w:val="center"/>
              <w:rPr>
                <w:lang w:val="nb-NO"/>
              </w:rPr>
            </w:pPr>
            <w:r w:rsidRPr="009C5EFD">
              <w:rPr>
                <w:lang w:val="nb-NO"/>
              </w:rPr>
              <w:t>42</w:t>
            </w:r>
            <w:r w:rsidR="00315F16" w:rsidRPr="009C5EFD">
              <w:rPr>
                <w:lang w:val="nb-NO"/>
              </w:rPr>
              <w:t> %</w:t>
            </w:r>
            <w:r w:rsidRPr="009C5EFD">
              <w:rPr>
                <w:lang w:val="nb-NO"/>
              </w:rPr>
              <w:t>***</w:t>
            </w:r>
          </w:p>
        </w:tc>
      </w:tr>
      <w:tr w:rsidR="004644D4" w14:paraId="0442CA06"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15CC8F8C"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12</w:t>
            </w:r>
          </w:p>
        </w:tc>
        <w:tc>
          <w:tcPr>
            <w:tcW w:w="2160" w:type="dxa"/>
            <w:tcBorders>
              <w:top w:val="single" w:sz="4" w:space="0" w:color="auto"/>
              <w:left w:val="single" w:sz="4" w:space="0" w:color="auto"/>
              <w:bottom w:val="single" w:sz="4" w:space="0" w:color="auto"/>
              <w:right w:val="single" w:sz="4" w:space="0" w:color="auto"/>
            </w:tcBorders>
            <w:hideMark/>
          </w:tcPr>
          <w:p w14:paraId="63AB9F89" w14:textId="77777777" w:rsidR="001E500F" w:rsidRPr="009C5EFD" w:rsidRDefault="00E453CD" w:rsidP="007E2632">
            <w:pPr>
              <w:pStyle w:val="EMEANormal"/>
              <w:keepNext/>
              <w:jc w:val="center"/>
              <w:rPr>
                <w:lang w:val="nb-NO"/>
              </w:rPr>
            </w:pPr>
            <w:r w:rsidRPr="00E14E58">
              <w:rPr>
                <w:lang w:val="nb-NO"/>
              </w:rPr>
              <w:t>21</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4A143504" w14:textId="77777777" w:rsidR="001E500F" w:rsidRPr="009C5EFD" w:rsidRDefault="00E453CD" w:rsidP="007E2632">
            <w:pPr>
              <w:pStyle w:val="EMEANormal"/>
              <w:keepNext/>
              <w:jc w:val="center"/>
              <w:rPr>
                <w:lang w:val="nb-NO"/>
              </w:rPr>
            </w:pPr>
            <w:r w:rsidRPr="009C5EFD">
              <w:rPr>
                <w:lang w:val="nb-NO"/>
              </w:rPr>
              <w:t>58</w:t>
            </w:r>
            <w:r w:rsidR="00315F16" w:rsidRPr="009C5EFD">
              <w:rPr>
                <w:lang w:val="nb-NO"/>
              </w:rPr>
              <w:t> %</w:t>
            </w:r>
            <w:r w:rsidRPr="009C5EFD">
              <w:rPr>
                <w:lang w:val="nb-NO"/>
              </w:rPr>
              <w:t>***</w:t>
            </w:r>
          </w:p>
        </w:tc>
      </w:tr>
      <w:tr w:rsidR="004644D4" w14:paraId="2A67A5F0"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114D0D6B"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24</w:t>
            </w:r>
          </w:p>
        </w:tc>
        <w:tc>
          <w:tcPr>
            <w:tcW w:w="2160" w:type="dxa"/>
            <w:tcBorders>
              <w:top w:val="single" w:sz="4" w:space="0" w:color="auto"/>
              <w:left w:val="single" w:sz="4" w:space="0" w:color="auto"/>
              <w:bottom w:val="single" w:sz="4" w:space="0" w:color="auto"/>
              <w:right w:val="single" w:sz="4" w:space="0" w:color="auto"/>
            </w:tcBorders>
            <w:hideMark/>
          </w:tcPr>
          <w:p w14:paraId="54086F0D" w14:textId="77777777" w:rsidR="001E500F" w:rsidRPr="009C5EFD" w:rsidRDefault="00E453CD" w:rsidP="007E2632">
            <w:pPr>
              <w:pStyle w:val="EMEANormal"/>
              <w:keepNext/>
              <w:jc w:val="center"/>
              <w:rPr>
                <w:lang w:val="nb-NO"/>
              </w:rPr>
            </w:pPr>
            <w:r w:rsidRPr="00E14E58">
              <w:rPr>
                <w:lang w:val="nb-NO"/>
              </w:rPr>
              <w:t>19</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629933DE" w14:textId="77777777" w:rsidR="001E500F" w:rsidRPr="009C5EFD" w:rsidRDefault="00E453CD" w:rsidP="007E2632">
            <w:pPr>
              <w:pStyle w:val="EMEANormal"/>
              <w:keepNext/>
              <w:jc w:val="center"/>
              <w:rPr>
                <w:lang w:val="nb-NO"/>
              </w:rPr>
            </w:pPr>
            <w:r w:rsidRPr="009C5EFD">
              <w:rPr>
                <w:lang w:val="nb-NO"/>
              </w:rPr>
              <w:t>51</w:t>
            </w:r>
            <w:r w:rsidR="00315F16" w:rsidRPr="009C5EFD">
              <w:rPr>
                <w:lang w:val="nb-NO"/>
              </w:rPr>
              <w:t> %</w:t>
            </w:r>
            <w:r w:rsidRPr="009C5EFD">
              <w:rPr>
                <w:lang w:val="nb-NO"/>
              </w:rPr>
              <w:t>***</w:t>
            </w:r>
          </w:p>
        </w:tc>
      </w:tr>
      <w:tr w:rsidR="004644D4" w14:paraId="406CC0F6"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6555BD4E" w14:textId="77777777" w:rsidR="001E500F" w:rsidRPr="007F67EE" w:rsidRDefault="00E453CD" w:rsidP="007E2632">
            <w:pPr>
              <w:pStyle w:val="EMEANormal"/>
              <w:keepNext/>
              <w:rPr>
                <w:lang w:val="nb-NO"/>
              </w:rPr>
            </w:pPr>
            <w:r w:rsidRPr="007F67EE">
              <w:rPr>
                <w:lang w:val="nb-NO"/>
              </w:rPr>
              <w:t xml:space="preserve">ASAS 50 </w:t>
            </w:r>
          </w:p>
        </w:tc>
        <w:tc>
          <w:tcPr>
            <w:tcW w:w="2160" w:type="dxa"/>
            <w:tcBorders>
              <w:top w:val="single" w:sz="4" w:space="0" w:color="auto"/>
              <w:left w:val="single" w:sz="4" w:space="0" w:color="auto"/>
              <w:bottom w:val="single" w:sz="4" w:space="0" w:color="auto"/>
              <w:right w:val="single" w:sz="4" w:space="0" w:color="auto"/>
            </w:tcBorders>
          </w:tcPr>
          <w:p w14:paraId="254C405D" w14:textId="77777777" w:rsidR="001E500F" w:rsidRPr="00193D76" w:rsidRDefault="001E500F" w:rsidP="007E2632">
            <w:pPr>
              <w:pStyle w:val="EMEANormal"/>
              <w:keepNext/>
              <w:jc w:val="center"/>
              <w:rPr>
                <w:lang w:val="nb-NO"/>
              </w:rPr>
            </w:pPr>
          </w:p>
        </w:tc>
        <w:tc>
          <w:tcPr>
            <w:tcW w:w="2203" w:type="dxa"/>
            <w:tcBorders>
              <w:top w:val="single" w:sz="4" w:space="0" w:color="auto"/>
              <w:left w:val="single" w:sz="4" w:space="0" w:color="auto"/>
              <w:bottom w:val="single" w:sz="4" w:space="0" w:color="auto"/>
              <w:right w:val="single" w:sz="4" w:space="0" w:color="auto"/>
            </w:tcBorders>
          </w:tcPr>
          <w:p w14:paraId="794E0041" w14:textId="77777777" w:rsidR="001E500F" w:rsidRPr="002D0790" w:rsidRDefault="001E500F" w:rsidP="007E2632">
            <w:pPr>
              <w:pStyle w:val="EMEANormal"/>
              <w:keepNext/>
              <w:jc w:val="center"/>
              <w:rPr>
                <w:lang w:val="nb-NO"/>
              </w:rPr>
            </w:pPr>
          </w:p>
        </w:tc>
      </w:tr>
      <w:tr w:rsidR="004644D4" w14:paraId="4DCA031A"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2733873E"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w:t>
            </w:r>
          </w:p>
        </w:tc>
        <w:tc>
          <w:tcPr>
            <w:tcW w:w="2160" w:type="dxa"/>
            <w:tcBorders>
              <w:top w:val="single" w:sz="4" w:space="0" w:color="auto"/>
              <w:left w:val="single" w:sz="4" w:space="0" w:color="auto"/>
              <w:bottom w:val="single" w:sz="4" w:space="0" w:color="auto"/>
              <w:right w:val="single" w:sz="4" w:space="0" w:color="auto"/>
            </w:tcBorders>
            <w:hideMark/>
          </w:tcPr>
          <w:p w14:paraId="7ED8223F" w14:textId="77777777" w:rsidR="001E500F" w:rsidRPr="009C5EFD" w:rsidRDefault="00E453CD" w:rsidP="007E2632">
            <w:pPr>
              <w:pStyle w:val="EMEANormal"/>
              <w:keepNext/>
              <w:jc w:val="center"/>
              <w:rPr>
                <w:lang w:val="nb-NO"/>
              </w:rPr>
            </w:pPr>
            <w:r w:rsidRPr="00E14E58">
              <w:rPr>
                <w:lang w:val="nb-NO"/>
              </w:rPr>
              <w:t>3</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44A6CB17" w14:textId="77777777" w:rsidR="001E500F" w:rsidRPr="009C5EFD" w:rsidRDefault="00E453CD" w:rsidP="007E2632">
            <w:pPr>
              <w:pStyle w:val="EMEANormal"/>
              <w:keepNext/>
              <w:jc w:val="center"/>
              <w:rPr>
                <w:lang w:val="nb-NO"/>
              </w:rPr>
            </w:pPr>
            <w:r w:rsidRPr="009C5EFD">
              <w:rPr>
                <w:lang w:val="nb-NO"/>
              </w:rPr>
              <w:t>16</w:t>
            </w:r>
            <w:r w:rsidR="00315F16" w:rsidRPr="009C5EFD">
              <w:rPr>
                <w:lang w:val="nb-NO"/>
              </w:rPr>
              <w:t> %</w:t>
            </w:r>
            <w:r w:rsidRPr="009C5EFD">
              <w:rPr>
                <w:lang w:val="nb-NO"/>
              </w:rPr>
              <w:t>***</w:t>
            </w:r>
          </w:p>
        </w:tc>
      </w:tr>
      <w:tr w:rsidR="004644D4" w14:paraId="502DB4AA"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59E5DCCD"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12</w:t>
            </w:r>
          </w:p>
        </w:tc>
        <w:tc>
          <w:tcPr>
            <w:tcW w:w="2160" w:type="dxa"/>
            <w:tcBorders>
              <w:top w:val="single" w:sz="4" w:space="0" w:color="auto"/>
              <w:left w:val="single" w:sz="4" w:space="0" w:color="auto"/>
              <w:bottom w:val="single" w:sz="4" w:space="0" w:color="auto"/>
              <w:right w:val="single" w:sz="4" w:space="0" w:color="auto"/>
            </w:tcBorders>
            <w:hideMark/>
          </w:tcPr>
          <w:p w14:paraId="625494F0" w14:textId="77777777" w:rsidR="001E500F" w:rsidRPr="009C5EFD" w:rsidRDefault="00E453CD" w:rsidP="007E2632">
            <w:pPr>
              <w:pStyle w:val="EMEANormal"/>
              <w:keepNext/>
              <w:jc w:val="center"/>
              <w:rPr>
                <w:lang w:val="nb-NO"/>
              </w:rPr>
            </w:pPr>
            <w:r w:rsidRPr="00E14E58">
              <w:rPr>
                <w:lang w:val="nb-NO"/>
              </w:rPr>
              <w:t>10</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61E2ADAD" w14:textId="77777777" w:rsidR="001E500F" w:rsidRPr="009C5EFD" w:rsidRDefault="00E453CD" w:rsidP="007E2632">
            <w:pPr>
              <w:pStyle w:val="EMEANormal"/>
              <w:keepNext/>
              <w:jc w:val="center"/>
              <w:rPr>
                <w:lang w:val="nb-NO"/>
              </w:rPr>
            </w:pPr>
            <w:r w:rsidRPr="009C5EFD">
              <w:rPr>
                <w:lang w:val="nb-NO"/>
              </w:rPr>
              <w:t>38</w:t>
            </w:r>
            <w:r w:rsidR="00315F16" w:rsidRPr="009C5EFD">
              <w:rPr>
                <w:lang w:val="nb-NO"/>
              </w:rPr>
              <w:t> %</w:t>
            </w:r>
            <w:r w:rsidRPr="009C5EFD">
              <w:rPr>
                <w:lang w:val="nb-NO"/>
              </w:rPr>
              <w:t>***</w:t>
            </w:r>
          </w:p>
        </w:tc>
      </w:tr>
      <w:tr w:rsidR="004644D4" w14:paraId="7EBF0CB3"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0478D067"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24</w:t>
            </w:r>
          </w:p>
        </w:tc>
        <w:tc>
          <w:tcPr>
            <w:tcW w:w="2160" w:type="dxa"/>
            <w:tcBorders>
              <w:top w:val="single" w:sz="4" w:space="0" w:color="auto"/>
              <w:left w:val="single" w:sz="4" w:space="0" w:color="auto"/>
              <w:bottom w:val="single" w:sz="4" w:space="0" w:color="auto"/>
              <w:right w:val="single" w:sz="4" w:space="0" w:color="auto"/>
            </w:tcBorders>
            <w:hideMark/>
          </w:tcPr>
          <w:p w14:paraId="29DFAF73" w14:textId="77777777" w:rsidR="001E500F" w:rsidRPr="009C5EFD" w:rsidRDefault="00E453CD" w:rsidP="007E2632">
            <w:pPr>
              <w:pStyle w:val="EMEANormal"/>
              <w:keepNext/>
              <w:jc w:val="center"/>
              <w:rPr>
                <w:lang w:val="nb-NO"/>
              </w:rPr>
            </w:pPr>
            <w:r w:rsidRPr="00E14E58">
              <w:rPr>
                <w:lang w:val="nb-NO"/>
              </w:rPr>
              <w:t>11</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055A92D1" w14:textId="77777777" w:rsidR="001E500F" w:rsidRPr="009C5EFD" w:rsidRDefault="00E453CD" w:rsidP="007E2632">
            <w:pPr>
              <w:pStyle w:val="EMEANormal"/>
              <w:keepNext/>
              <w:jc w:val="center"/>
              <w:rPr>
                <w:lang w:val="nb-NO"/>
              </w:rPr>
            </w:pPr>
            <w:r w:rsidRPr="009C5EFD">
              <w:rPr>
                <w:lang w:val="nb-NO"/>
              </w:rPr>
              <w:t>35</w:t>
            </w:r>
            <w:r w:rsidR="00315F16" w:rsidRPr="009C5EFD">
              <w:rPr>
                <w:lang w:val="nb-NO"/>
              </w:rPr>
              <w:t> %</w:t>
            </w:r>
            <w:r w:rsidRPr="009C5EFD">
              <w:rPr>
                <w:lang w:val="nb-NO"/>
              </w:rPr>
              <w:t>***</w:t>
            </w:r>
          </w:p>
        </w:tc>
      </w:tr>
      <w:tr w:rsidR="004644D4" w14:paraId="2FD0F44A"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025738C0" w14:textId="77777777" w:rsidR="001E500F" w:rsidRPr="007F67EE" w:rsidRDefault="00E453CD" w:rsidP="007E2632">
            <w:pPr>
              <w:pStyle w:val="EMEANormal"/>
              <w:keepNext/>
              <w:rPr>
                <w:lang w:val="nb-NO"/>
              </w:rPr>
            </w:pPr>
            <w:r w:rsidRPr="007F67EE">
              <w:rPr>
                <w:lang w:val="nb-NO"/>
              </w:rPr>
              <w:t xml:space="preserve">ASAS 70 </w:t>
            </w:r>
          </w:p>
        </w:tc>
        <w:tc>
          <w:tcPr>
            <w:tcW w:w="2160" w:type="dxa"/>
            <w:tcBorders>
              <w:top w:val="single" w:sz="4" w:space="0" w:color="auto"/>
              <w:left w:val="single" w:sz="4" w:space="0" w:color="auto"/>
              <w:bottom w:val="single" w:sz="4" w:space="0" w:color="auto"/>
              <w:right w:val="single" w:sz="4" w:space="0" w:color="auto"/>
            </w:tcBorders>
          </w:tcPr>
          <w:p w14:paraId="6728CBD4" w14:textId="77777777" w:rsidR="001E500F" w:rsidRPr="00193D76" w:rsidRDefault="001E500F" w:rsidP="007E2632">
            <w:pPr>
              <w:pStyle w:val="EMEANormal"/>
              <w:keepNext/>
              <w:jc w:val="center"/>
              <w:rPr>
                <w:lang w:val="nb-NO"/>
              </w:rPr>
            </w:pPr>
          </w:p>
        </w:tc>
        <w:tc>
          <w:tcPr>
            <w:tcW w:w="2203" w:type="dxa"/>
            <w:tcBorders>
              <w:top w:val="single" w:sz="4" w:space="0" w:color="auto"/>
              <w:left w:val="single" w:sz="4" w:space="0" w:color="auto"/>
              <w:bottom w:val="single" w:sz="4" w:space="0" w:color="auto"/>
              <w:right w:val="single" w:sz="4" w:space="0" w:color="auto"/>
            </w:tcBorders>
          </w:tcPr>
          <w:p w14:paraId="2320790F" w14:textId="77777777" w:rsidR="001E500F" w:rsidRPr="002D0790" w:rsidRDefault="001E500F" w:rsidP="007E2632">
            <w:pPr>
              <w:pStyle w:val="EMEANormal"/>
              <w:keepNext/>
              <w:jc w:val="center"/>
              <w:rPr>
                <w:lang w:val="nb-NO"/>
              </w:rPr>
            </w:pPr>
          </w:p>
        </w:tc>
      </w:tr>
      <w:tr w:rsidR="004644D4" w14:paraId="290291D0"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7E388B6D"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w:t>
            </w:r>
          </w:p>
        </w:tc>
        <w:tc>
          <w:tcPr>
            <w:tcW w:w="2160" w:type="dxa"/>
            <w:tcBorders>
              <w:top w:val="single" w:sz="4" w:space="0" w:color="auto"/>
              <w:left w:val="single" w:sz="4" w:space="0" w:color="auto"/>
              <w:bottom w:val="single" w:sz="4" w:space="0" w:color="auto"/>
              <w:right w:val="single" w:sz="4" w:space="0" w:color="auto"/>
            </w:tcBorders>
            <w:hideMark/>
          </w:tcPr>
          <w:p w14:paraId="5A49DEEA" w14:textId="77777777" w:rsidR="001E500F" w:rsidRPr="009C5EFD" w:rsidRDefault="00E453CD" w:rsidP="007E2632">
            <w:pPr>
              <w:pStyle w:val="EMEANormal"/>
              <w:keepNext/>
              <w:jc w:val="center"/>
              <w:rPr>
                <w:lang w:val="nb-NO"/>
              </w:rPr>
            </w:pPr>
            <w:r w:rsidRPr="00E14E58">
              <w:rPr>
                <w:lang w:val="nb-NO"/>
              </w:rPr>
              <w:t>0</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5EF99CD5" w14:textId="77777777" w:rsidR="001E500F" w:rsidRPr="009C5EFD" w:rsidRDefault="00E453CD" w:rsidP="007E2632">
            <w:pPr>
              <w:pStyle w:val="EMEANormal"/>
              <w:keepNext/>
              <w:jc w:val="center"/>
              <w:rPr>
                <w:lang w:val="nb-NO"/>
              </w:rPr>
            </w:pPr>
            <w:r w:rsidRPr="009C5EFD">
              <w:rPr>
                <w:lang w:val="nb-NO"/>
              </w:rPr>
              <w:t>7</w:t>
            </w:r>
            <w:r w:rsidR="00315F16" w:rsidRPr="009C5EFD">
              <w:rPr>
                <w:lang w:val="nb-NO"/>
              </w:rPr>
              <w:t> %</w:t>
            </w:r>
            <w:r w:rsidRPr="009C5EFD">
              <w:rPr>
                <w:lang w:val="nb-NO"/>
              </w:rPr>
              <w:t>**</w:t>
            </w:r>
          </w:p>
        </w:tc>
      </w:tr>
      <w:tr w:rsidR="004644D4" w14:paraId="5D2E3AEE"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62A0AAC2"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12</w:t>
            </w:r>
          </w:p>
        </w:tc>
        <w:tc>
          <w:tcPr>
            <w:tcW w:w="2160" w:type="dxa"/>
            <w:tcBorders>
              <w:top w:val="single" w:sz="4" w:space="0" w:color="auto"/>
              <w:left w:val="single" w:sz="4" w:space="0" w:color="auto"/>
              <w:bottom w:val="single" w:sz="4" w:space="0" w:color="auto"/>
              <w:right w:val="single" w:sz="4" w:space="0" w:color="auto"/>
            </w:tcBorders>
            <w:hideMark/>
          </w:tcPr>
          <w:p w14:paraId="48C3B848" w14:textId="77777777" w:rsidR="001E500F" w:rsidRPr="009C5EFD" w:rsidRDefault="00E453CD" w:rsidP="007E2632">
            <w:pPr>
              <w:pStyle w:val="EMEANormal"/>
              <w:keepNext/>
              <w:jc w:val="center"/>
              <w:rPr>
                <w:lang w:val="nb-NO"/>
              </w:rPr>
            </w:pPr>
            <w:r w:rsidRPr="00E14E58">
              <w:rPr>
                <w:lang w:val="nb-NO"/>
              </w:rPr>
              <w:t>5</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178179E6" w14:textId="77777777" w:rsidR="001E500F" w:rsidRPr="009C5EFD" w:rsidRDefault="00E453CD" w:rsidP="007E2632">
            <w:pPr>
              <w:pStyle w:val="EMEANormal"/>
              <w:keepNext/>
              <w:jc w:val="center"/>
              <w:rPr>
                <w:lang w:val="nb-NO"/>
              </w:rPr>
            </w:pPr>
            <w:r w:rsidRPr="009C5EFD">
              <w:rPr>
                <w:lang w:val="nb-NO"/>
              </w:rPr>
              <w:t>23</w:t>
            </w:r>
            <w:r w:rsidR="00315F16" w:rsidRPr="009C5EFD">
              <w:rPr>
                <w:lang w:val="nb-NO"/>
              </w:rPr>
              <w:t> %</w:t>
            </w:r>
            <w:r w:rsidRPr="009C5EFD">
              <w:rPr>
                <w:lang w:val="nb-NO"/>
              </w:rPr>
              <w:t>***</w:t>
            </w:r>
          </w:p>
        </w:tc>
      </w:tr>
      <w:tr w:rsidR="004644D4" w14:paraId="526DB2B3"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51979626"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24</w:t>
            </w:r>
          </w:p>
        </w:tc>
        <w:tc>
          <w:tcPr>
            <w:tcW w:w="2160" w:type="dxa"/>
            <w:tcBorders>
              <w:top w:val="single" w:sz="4" w:space="0" w:color="auto"/>
              <w:left w:val="single" w:sz="4" w:space="0" w:color="auto"/>
              <w:bottom w:val="single" w:sz="4" w:space="0" w:color="auto"/>
              <w:right w:val="single" w:sz="4" w:space="0" w:color="auto"/>
            </w:tcBorders>
            <w:hideMark/>
          </w:tcPr>
          <w:p w14:paraId="3F6819E7" w14:textId="77777777" w:rsidR="001E500F" w:rsidRPr="009C5EFD" w:rsidRDefault="00E453CD" w:rsidP="007E2632">
            <w:pPr>
              <w:pStyle w:val="EMEANormal"/>
              <w:keepNext/>
              <w:jc w:val="center"/>
              <w:rPr>
                <w:lang w:val="nb-NO"/>
              </w:rPr>
            </w:pPr>
            <w:r w:rsidRPr="00E14E58">
              <w:rPr>
                <w:lang w:val="nb-NO"/>
              </w:rPr>
              <w:t>8</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17B6948D" w14:textId="77777777" w:rsidR="001E500F" w:rsidRPr="009C5EFD" w:rsidRDefault="00E453CD" w:rsidP="007E2632">
            <w:pPr>
              <w:pStyle w:val="EMEANormal"/>
              <w:keepNext/>
              <w:jc w:val="center"/>
              <w:rPr>
                <w:lang w:val="nb-NO"/>
              </w:rPr>
            </w:pPr>
            <w:r w:rsidRPr="009C5EFD">
              <w:rPr>
                <w:lang w:val="nb-NO"/>
              </w:rPr>
              <w:t>24</w:t>
            </w:r>
            <w:r w:rsidR="00315F16" w:rsidRPr="009C5EFD">
              <w:rPr>
                <w:lang w:val="nb-NO"/>
              </w:rPr>
              <w:t> %</w:t>
            </w:r>
            <w:r w:rsidRPr="009C5EFD">
              <w:rPr>
                <w:lang w:val="nb-NO"/>
              </w:rPr>
              <w:t>***</w:t>
            </w:r>
          </w:p>
        </w:tc>
      </w:tr>
      <w:tr w:rsidR="004644D4" w14:paraId="3821EAE0"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tcPr>
          <w:p w14:paraId="556D4FD2" w14:textId="77777777" w:rsidR="001E500F" w:rsidRPr="007F67EE" w:rsidRDefault="001E500F" w:rsidP="007E2632">
            <w:pPr>
              <w:pStyle w:val="EMEANormal"/>
              <w:keepNext/>
              <w:rPr>
                <w:lang w:val="nb-NO"/>
              </w:rPr>
            </w:pPr>
          </w:p>
        </w:tc>
        <w:tc>
          <w:tcPr>
            <w:tcW w:w="2160" w:type="dxa"/>
            <w:tcBorders>
              <w:top w:val="single" w:sz="4" w:space="0" w:color="auto"/>
              <w:left w:val="single" w:sz="4" w:space="0" w:color="auto"/>
              <w:bottom w:val="single" w:sz="4" w:space="0" w:color="auto"/>
              <w:right w:val="single" w:sz="4" w:space="0" w:color="auto"/>
            </w:tcBorders>
          </w:tcPr>
          <w:p w14:paraId="5D9C207A" w14:textId="77777777" w:rsidR="001E500F" w:rsidRPr="00193D76" w:rsidRDefault="001E500F" w:rsidP="007E2632">
            <w:pPr>
              <w:pStyle w:val="EMEANormal"/>
              <w:keepNext/>
              <w:jc w:val="center"/>
              <w:rPr>
                <w:lang w:val="nb-NO"/>
              </w:rPr>
            </w:pPr>
          </w:p>
        </w:tc>
        <w:tc>
          <w:tcPr>
            <w:tcW w:w="2203" w:type="dxa"/>
            <w:tcBorders>
              <w:top w:val="single" w:sz="4" w:space="0" w:color="auto"/>
              <w:left w:val="single" w:sz="4" w:space="0" w:color="auto"/>
              <w:bottom w:val="single" w:sz="4" w:space="0" w:color="auto"/>
              <w:right w:val="single" w:sz="4" w:space="0" w:color="auto"/>
            </w:tcBorders>
          </w:tcPr>
          <w:p w14:paraId="4996C575" w14:textId="77777777" w:rsidR="001E500F" w:rsidRPr="009C5EFD" w:rsidRDefault="001E500F" w:rsidP="007E2632">
            <w:pPr>
              <w:pStyle w:val="EMEANormal"/>
              <w:keepNext/>
              <w:jc w:val="center"/>
              <w:rPr>
                <w:lang w:val="nb-NO"/>
              </w:rPr>
            </w:pPr>
          </w:p>
        </w:tc>
      </w:tr>
      <w:tr w:rsidR="004644D4" w14:paraId="06F550D9"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083C7742" w14:textId="77777777" w:rsidR="001E500F" w:rsidRPr="002D0790" w:rsidRDefault="00E453CD" w:rsidP="007E2632">
            <w:pPr>
              <w:pStyle w:val="EMEANormal"/>
              <w:keepNext/>
              <w:rPr>
                <w:lang w:val="nb-NO"/>
              </w:rPr>
            </w:pPr>
            <w:r w:rsidRPr="007F67EE">
              <w:rPr>
                <w:lang w:val="nb-NO"/>
              </w:rPr>
              <w:t>BASDAI</w:t>
            </w:r>
            <w:r w:rsidRPr="00193D76">
              <w:rPr>
                <w:vertAlign w:val="superscript"/>
                <w:lang w:val="nb-NO"/>
              </w:rPr>
              <w:t>b</w:t>
            </w:r>
            <w:r w:rsidRPr="002D0790">
              <w:rPr>
                <w:lang w:val="nb-NO"/>
              </w:rPr>
              <w:t xml:space="preserve"> 50</w:t>
            </w:r>
          </w:p>
        </w:tc>
        <w:tc>
          <w:tcPr>
            <w:tcW w:w="2160" w:type="dxa"/>
            <w:tcBorders>
              <w:top w:val="single" w:sz="4" w:space="0" w:color="auto"/>
              <w:left w:val="single" w:sz="4" w:space="0" w:color="auto"/>
              <w:bottom w:val="single" w:sz="4" w:space="0" w:color="auto"/>
              <w:right w:val="single" w:sz="4" w:space="0" w:color="auto"/>
            </w:tcBorders>
          </w:tcPr>
          <w:p w14:paraId="12B7D753" w14:textId="77777777" w:rsidR="001E500F" w:rsidRPr="00C07C98" w:rsidRDefault="001E500F" w:rsidP="007E2632">
            <w:pPr>
              <w:pStyle w:val="EMEANormal"/>
              <w:keepNext/>
              <w:jc w:val="center"/>
              <w:rPr>
                <w:lang w:val="nb-NO"/>
              </w:rPr>
            </w:pPr>
          </w:p>
        </w:tc>
        <w:tc>
          <w:tcPr>
            <w:tcW w:w="2203" w:type="dxa"/>
            <w:tcBorders>
              <w:top w:val="single" w:sz="4" w:space="0" w:color="auto"/>
              <w:left w:val="single" w:sz="4" w:space="0" w:color="auto"/>
              <w:bottom w:val="single" w:sz="4" w:space="0" w:color="auto"/>
              <w:right w:val="single" w:sz="4" w:space="0" w:color="auto"/>
            </w:tcBorders>
          </w:tcPr>
          <w:p w14:paraId="31CC5568" w14:textId="77777777" w:rsidR="001E500F" w:rsidRPr="00E14E58" w:rsidRDefault="001E500F" w:rsidP="007E2632">
            <w:pPr>
              <w:pStyle w:val="EMEANormal"/>
              <w:keepNext/>
              <w:jc w:val="center"/>
              <w:rPr>
                <w:lang w:val="nb-NO"/>
              </w:rPr>
            </w:pPr>
          </w:p>
        </w:tc>
      </w:tr>
      <w:tr w:rsidR="004644D4" w14:paraId="614D9FB0"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0C2B550D"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w:t>
            </w:r>
          </w:p>
        </w:tc>
        <w:tc>
          <w:tcPr>
            <w:tcW w:w="2160" w:type="dxa"/>
            <w:tcBorders>
              <w:top w:val="single" w:sz="4" w:space="0" w:color="auto"/>
              <w:left w:val="single" w:sz="4" w:space="0" w:color="auto"/>
              <w:bottom w:val="single" w:sz="4" w:space="0" w:color="auto"/>
              <w:right w:val="single" w:sz="4" w:space="0" w:color="auto"/>
            </w:tcBorders>
            <w:hideMark/>
          </w:tcPr>
          <w:p w14:paraId="756A7A62" w14:textId="77777777" w:rsidR="001E500F" w:rsidRPr="009C5EFD" w:rsidRDefault="00E453CD" w:rsidP="007E2632">
            <w:pPr>
              <w:pStyle w:val="EMEANormal"/>
              <w:keepNext/>
              <w:jc w:val="center"/>
              <w:rPr>
                <w:lang w:val="nb-NO"/>
              </w:rPr>
            </w:pPr>
            <w:r w:rsidRPr="00E14E58">
              <w:rPr>
                <w:lang w:val="nb-NO"/>
              </w:rPr>
              <w:t>4</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10E5F751" w14:textId="77777777" w:rsidR="001E500F" w:rsidRPr="009C5EFD" w:rsidRDefault="00E453CD" w:rsidP="007E2632">
            <w:pPr>
              <w:pStyle w:val="EMEANormal"/>
              <w:keepNext/>
              <w:jc w:val="center"/>
              <w:rPr>
                <w:lang w:val="nb-NO"/>
              </w:rPr>
            </w:pPr>
            <w:r w:rsidRPr="009C5EFD">
              <w:rPr>
                <w:lang w:val="nb-NO"/>
              </w:rPr>
              <w:t>20</w:t>
            </w:r>
            <w:r w:rsidR="00315F16" w:rsidRPr="009C5EFD">
              <w:rPr>
                <w:lang w:val="nb-NO"/>
              </w:rPr>
              <w:t> %</w:t>
            </w:r>
            <w:r w:rsidRPr="009C5EFD">
              <w:rPr>
                <w:lang w:val="nb-NO"/>
              </w:rPr>
              <w:t>***</w:t>
            </w:r>
          </w:p>
        </w:tc>
      </w:tr>
      <w:tr w:rsidR="004644D4" w14:paraId="625A090D"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79F404CA"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12</w:t>
            </w:r>
          </w:p>
        </w:tc>
        <w:tc>
          <w:tcPr>
            <w:tcW w:w="2160" w:type="dxa"/>
            <w:tcBorders>
              <w:top w:val="single" w:sz="4" w:space="0" w:color="auto"/>
              <w:left w:val="single" w:sz="4" w:space="0" w:color="auto"/>
              <w:bottom w:val="single" w:sz="4" w:space="0" w:color="auto"/>
              <w:right w:val="single" w:sz="4" w:space="0" w:color="auto"/>
            </w:tcBorders>
            <w:hideMark/>
          </w:tcPr>
          <w:p w14:paraId="2168C221" w14:textId="77777777" w:rsidR="001E500F" w:rsidRPr="009C5EFD" w:rsidRDefault="00E453CD" w:rsidP="007E2632">
            <w:pPr>
              <w:pStyle w:val="EMEANormal"/>
              <w:keepNext/>
              <w:jc w:val="center"/>
              <w:rPr>
                <w:lang w:val="nb-NO"/>
              </w:rPr>
            </w:pPr>
            <w:r w:rsidRPr="00E14E58">
              <w:rPr>
                <w:lang w:val="nb-NO"/>
              </w:rPr>
              <w:t>16</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4AEC327F" w14:textId="77777777" w:rsidR="001E500F" w:rsidRPr="009C5EFD" w:rsidRDefault="00E453CD" w:rsidP="007E2632">
            <w:pPr>
              <w:pStyle w:val="EMEANormal"/>
              <w:keepNext/>
              <w:jc w:val="center"/>
              <w:rPr>
                <w:lang w:val="nb-NO"/>
              </w:rPr>
            </w:pPr>
            <w:r w:rsidRPr="009C5EFD">
              <w:rPr>
                <w:lang w:val="nb-NO"/>
              </w:rPr>
              <w:t>45</w:t>
            </w:r>
            <w:r w:rsidR="00315F16" w:rsidRPr="009C5EFD">
              <w:rPr>
                <w:lang w:val="nb-NO"/>
              </w:rPr>
              <w:t> %</w:t>
            </w:r>
            <w:r w:rsidRPr="009C5EFD">
              <w:rPr>
                <w:lang w:val="nb-NO"/>
              </w:rPr>
              <w:t>***</w:t>
            </w:r>
          </w:p>
        </w:tc>
      </w:tr>
      <w:tr w:rsidR="004644D4" w14:paraId="1068DC69" w14:textId="77777777" w:rsidTr="00F4044A">
        <w:trPr>
          <w:jc w:val="center"/>
        </w:trPr>
        <w:tc>
          <w:tcPr>
            <w:tcW w:w="2700" w:type="dxa"/>
            <w:tcBorders>
              <w:top w:val="single" w:sz="4" w:space="0" w:color="auto"/>
              <w:left w:val="single" w:sz="4" w:space="0" w:color="auto"/>
              <w:bottom w:val="single" w:sz="4" w:space="0" w:color="auto"/>
              <w:right w:val="single" w:sz="4" w:space="0" w:color="auto"/>
            </w:tcBorders>
            <w:hideMark/>
          </w:tcPr>
          <w:p w14:paraId="331A2C89" w14:textId="77777777" w:rsidR="001E500F" w:rsidRPr="00C07C98" w:rsidRDefault="00E453CD" w:rsidP="007E2632">
            <w:pPr>
              <w:pStyle w:val="EMEANormal"/>
              <w:keepNext/>
              <w:rPr>
                <w:lang w:val="nb-NO"/>
              </w:rPr>
            </w:pPr>
            <w:r w:rsidRPr="007F67EE">
              <w:rPr>
                <w:lang w:val="nb-NO"/>
              </w:rPr>
              <w:tab/>
            </w:r>
            <w:r w:rsidR="00315F16" w:rsidRPr="002D0790">
              <w:rPr>
                <w:lang w:val="nb-NO"/>
              </w:rPr>
              <w:t>Uke </w:t>
            </w:r>
            <w:r w:rsidRPr="00C07C98">
              <w:rPr>
                <w:lang w:val="nb-NO"/>
              </w:rPr>
              <w:t>24</w:t>
            </w:r>
          </w:p>
        </w:tc>
        <w:tc>
          <w:tcPr>
            <w:tcW w:w="2160" w:type="dxa"/>
            <w:tcBorders>
              <w:top w:val="single" w:sz="4" w:space="0" w:color="auto"/>
              <w:left w:val="single" w:sz="4" w:space="0" w:color="auto"/>
              <w:bottom w:val="single" w:sz="4" w:space="0" w:color="auto"/>
              <w:right w:val="single" w:sz="4" w:space="0" w:color="auto"/>
            </w:tcBorders>
            <w:hideMark/>
          </w:tcPr>
          <w:p w14:paraId="0E2B646E" w14:textId="77777777" w:rsidR="001E500F" w:rsidRPr="009C5EFD" w:rsidRDefault="00E453CD" w:rsidP="007E2632">
            <w:pPr>
              <w:pStyle w:val="EMEANormal"/>
              <w:keepNext/>
              <w:jc w:val="center"/>
              <w:rPr>
                <w:lang w:val="nb-NO"/>
              </w:rPr>
            </w:pPr>
            <w:r w:rsidRPr="00E14E58">
              <w:rPr>
                <w:lang w:val="nb-NO"/>
              </w:rPr>
              <w:t>15</w:t>
            </w:r>
            <w:r w:rsidR="00315F16" w:rsidRPr="009C5EFD">
              <w:rPr>
                <w:lang w:val="nb-NO"/>
              </w:rPr>
              <w:t> %</w:t>
            </w:r>
          </w:p>
        </w:tc>
        <w:tc>
          <w:tcPr>
            <w:tcW w:w="2203" w:type="dxa"/>
            <w:tcBorders>
              <w:top w:val="single" w:sz="4" w:space="0" w:color="auto"/>
              <w:left w:val="single" w:sz="4" w:space="0" w:color="auto"/>
              <w:bottom w:val="single" w:sz="4" w:space="0" w:color="auto"/>
              <w:right w:val="single" w:sz="4" w:space="0" w:color="auto"/>
            </w:tcBorders>
            <w:hideMark/>
          </w:tcPr>
          <w:p w14:paraId="31B88F94" w14:textId="77777777" w:rsidR="001E500F" w:rsidRPr="009C5EFD" w:rsidRDefault="00E453CD" w:rsidP="007E2632">
            <w:pPr>
              <w:pStyle w:val="EMEANormal"/>
              <w:keepNext/>
              <w:jc w:val="center"/>
              <w:rPr>
                <w:lang w:val="nb-NO"/>
              </w:rPr>
            </w:pPr>
            <w:r w:rsidRPr="009C5EFD">
              <w:rPr>
                <w:lang w:val="nb-NO"/>
              </w:rPr>
              <w:t>42</w:t>
            </w:r>
            <w:r w:rsidR="00315F16" w:rsidRPr="009C5EFD">
              <w:rPr>
                <w:lang w:val="nb-NO"/>
              </w:rPr>
              <w:t> %</w:t>
            </w:r>
            <w:r w:rsidRPr="009C5EFD">
              <w:rPr>
                <w:lang w:val="nb-NO"/>
              </w:rPr>
              <w:t>***</w:t>
            </w:r>
          </w:p>
        </w:tc>
      </w:tr>
    </w:tbl>
    <w:p w14:paraId="21DC721A" w14:textId="77777777" w:rsidR="006B673C" w:rsidRPr="00C07C98" w:rsidRDefault="00E453CD" w:rsidP="007E2632">
      <w:pPr>
        <w:pStyle w:val="EMEANormal"/>
        <w:keepNext/>
        <w:ind w:left="992"/>
        <w:rPr>
          <w:szCs w:val="22"/>
          <w:lang w:val="nb-NO"/>
        </w:rPr>
      </w:pPr>
      <w:r w:rsidRPr="007F67EE">
        <w:rPr>
          <w:szCs w:val="22"/>
          <w:lang w:val="nb-NO"/>
        </w:rPr>
        <w:t>***,** Statistisk signifikant ved p &lt;</w:t>
      </w:r>
      <w:r w:rsidRPr="00193D76">
        <w:rPr>
          <w:szCs w:val="22"/>
          <w:lang w:val="nb-NO"/>
        </w:rPr>
        <w:t> </w:t>
      </w:r>
      <w:r w:rsidRPr="002D0790">
        <w:rPr>
          <w:szCs w:val="22"/>
          <w:lang w:val="nb-NO"/>
        </w:rPr>
        <w:t>0,001, &lt;</w:t>
      </w:r>
      <w:r w:rsidRPr="00C07C98">
        <w:rPr>
          <w:szCs w:val="22"/>
          <w:lang w:val="nb-NO"/>
        </w:rPr>
        <w:t> 0,01 for alle sammenligninger mellom Humira og placebo ved ukene 2, 12 og 24</w:t>
      </w:r>
    </w:p>
    <w:p w14:paraId="21120DA3" w14:textId="77777777" w:rsidR="006B673C" w:rsidRPr="009C5EFD" w:rsidRDefault="00E453CD" w:rsidP="00776A84">
      <w:pPr>
        <w:pStyle w:val="EMEANormal"/>
        <w:ind w:left="992"/>
        <w:rPr>
          <w:szCs w:val="22"/>
        </w:rPr>
      </w:pPr>
      <w:r w:rsidRPr="00E14E58">
        <w:rPr>
          <w:szCs w:val="22"/>
          <w:vertAlign w:val="superscript"/>
        </w:rPr>
        <w:t xml:space="preserve">a </w:t>
      </w:r>
      <w:r w:rsidRPr="009C5EFD">
        <w:rPr>
          <w:szCs w:val="22"/>
        </w:rPr>
        <w:t>Assessments in Ankylosing Spondylitis</w:t>
      </w:r>
    </w:p>
    <w:p w14:paraId="4CA1F6EA" w14:textId="77777777" w:rsidR="001E500F" w:rsidRPr="009C5EFD" w:rsidRDefault="00E453CD" w:rsidP="00776A84">
      <w:pPr>
        <w:ind w:left="992"/>
        <w:rPr>
          <w:sz w:val="22"/>
          <w:szCs w:val="22"/>
          <w:lang w:val="en-US"/>
        </w:rPr>
      </w:pPr>
      <w:r w:rsidRPr="009C5EFD">
        <w:rPr>
          <w:sz w:val="22"/>
          <w:szCs w:val="22"/>
          <w:vertAlign w:val="superscript"/>
          <w:lang w:val="en-US"/>
        </w:rPr>
        <w:t xml:space="preserve">b </w:t>
      </w:r>
      <w:r w:rsidRPr="009C5EFD">
        <w:rPr>
          <w:sz w:val="22"/>
          <w:szCs w:val="22"/>
          <w:lang w:val="en-US"/>
        </w:rPr>
        <w:t>Bath Ankylosing Spondylitis Disease Activity Index</w:t>
      </w:r>
    </w:p>
    <w:p w14:paraId="7C8A3A88" w14:textId="77777777" w:rsidR="006B673C" w:rsidRPr="009C5EFD" w:rsidRDefault="006B673C">
      <w:pPr>
        <w:rPr>
          <w:sz w:val="22"/>
          <w:szCs w:val="22"/>
          <w:lang w:val="en-US"/>
        </w:rPr>
      </w:pPr>
    </w:p>
    <w:p w14:paraId="5DF47734" w14:textId="77777777" w:rsidR="001E500F" w:rsidRPr="009C5EFD" w:rsidRDefault="00E453CD" w:rsidP="00C07C98">
      <w:pPr>
        <w:rPr>
          <w:sz w:val="22"/>
          <w:szCs w:val="22"/>
        </w:rPr>
      </w:pPr>
      <w:r w:rsidRPr="009C5EFD">
        <w:rPr>
          <w:sz w:val="22"/>
          <w:szCs w:val="22"/>
        </w:rPr>
        <w:t xml:space="preserve">Pasientene som ble behandlet med Humira hadde signifikant større forbedring i både SF36 og Ankylosing Spondylitis Quality of Life Questionnaire (ASQoL) ved </w:t>
      </w:r>
      <w:r w:rsidR="00315F16" w:rsidRPr="009C5EFD">
        <w:rPr>
          <w:sz w:val="22"/>
          <w:szCs w:val="22"/>
        </w:rPr>
        <w:t>uke </w:t>
      </w:r>
      <w:r w:rsidRPr="009C5EFD">
        <w:rPr>
          <w:sz w:val="22"/>
          <w:szCs w:val="22"/>
        </w:rPr>
        <w:t xml:space="preserve">12, og dette vedvarte til </w:t>
      </w:r>
      <w:r w:rsidR="00315F16" w:rsidRPr="009C5EFD">
        <w:rPr>
          <w:sz w:val="22"/>
          <w:szCs w:val="22"/>
        </w:rPr>
        <w:t>uke </w:t>
      </w:r>
      <w:r w:rsidRPr="009C5EFD">
        <w:rPr>
          <w:sz w:val="22"/>
          <w:szCs w:val="22"/>
        </w:rPr>
        <w:t>24.</w:t>
      </w:r>
    </w:p>
    <w:p w14:paraId="068DF337" w14:textId="77777777" w:rsidR="001E500F" w:rsidRPr="009C5EFD" w:rsidRDefault="001E500F" w:rsidP="00E14E58">
      <w:pPr>
        <w:rPr>
          <w:sz w:val="22"/>
          <w:szCs w:val="22"/>
        </w:rPr>
      </w:pPr>
    </w:p>
    <w:p w14:paraId="0EB838FC" w14:textId="77777777" w:rsidR="001E500F" w:rsidRPr="009C5EFD" w:rsidRDefault="00E453CD" w:rsidP="009C5EFD">
      <w:pPr>
        <w:rPr>
          <w:sz w:val="22"/>
          <w:szCs w:val="22"/>
        </w:rPr>
      </w:pPr>
      <w:r w:rsidRPr="009C5EFD">
        <w:rPr>
          <w:sz w:val="22"/>
          <w:szCs w:val="22"/>
        </w:rPr>
        <w:t>Lignende tendenser (ikke alle statistisk signifikante) ble sett i en mindre randomisert, dobbeltblind, placebokontrollert AS-studie II med 82</w:t>
      </w:r>
      <w:r w:rsidR="006B673C" w:rsidRPr="009C5EFD">
        <w:rPr>
          <w:sz w:val="22"/>
          <w:szCs w:val="22"/>
        </w:rPr>
        <w:t> </w:t>
      </w:r>
      <w:r w:rsidRPr="009C5EFD">
        <w:rPr>
          <w:sz w:val="22"/>
          <w:szCs w:val="22"/>
        </w:rPr>
        <w:t>voksne pasienter med aktiv Bekhterevs sykdom (ankyloserende spondylitt).</w:t>
      </w:r>
    </w:p>
    <w:p w14:paraId="4C6ED145" w14:textId="77777777" w:rsidR="001E500F" w:rsidRPr="009C5EFD" w:rsidRDefault="001E500F" w:rsidP="009C5EFD">
      <w:pPr>
        <w:rPr>
          <w:sz w:val="22"/>
          <w:szCs w:val="22"/>
          <w:u w:val="single"/>
        </w:rPr>
      </w:pPr>
    </w:p>
    <w:p w14:paraId="525F26F9" w14:textId="77777777" w:rsidR="001E500F" w:rsidRPr="009C5EFD" w:rsidRDefault="00E453CD" w:rsidP="00776A84">
      <w:pPr>
        <w:keepNext/>
        <w:rPr>
          <w:i/>
          <w:sz w:val="22"/>
          <w:szCs w:val="22"/>
        </w:rPr>
      </w:pPr>
      <w:r w:rsidRPr="009C5EFD">
        <w:rPr>
          <w:i/>
          <w:sz w:val="22"/>
          <w:szCs w:val="22"/>
          <w:u w:val="single"/>
        </w:rPr>
        <w:t>Aksial spondylartritt uten radiografisk bekreftelse på ankyloserende spondylitt</w:t>
      </w:r>
    </w:p>
    <w:p w14:paraId="2766EF4E" w14:textId="77777777" w:rsidR="001E500F" w:rsidRPr="009C5EFD" w:rsidRDefault="001E500F" w:rsidP="00776A84">
      <w:pPr>
        <w:keepNext/>
        <w:rPr>
          <w:sz w:val="22"/>
          <w:szCs w:val="22"/>
        </w:rPr>
      </w:pPr>
    </w:p>
    <w:p w14:paraId="32F75CCD" w14:textId="77777777" w:rsidR="00D014D5" w:rsidRDefault="00E453CD" w:rsidP="00D014D5">
      <w:pPr>
        <w:rPr>
          <w:sz w:val="22"/>
          <w:szCs w:val="22"/>
        </w:rPr>
      </w:pPr>
      <w:r>
        <w:rPr>
          <w:sz w:val="22"/>
          <w:szCs w:val="22"/>
        </w:rPr>
        <w:t>Sikkerhet og effekt av</w:t>
      </w:r>
      <w:r w:rsidRPr="009C5EFD">
        <w:rPr>
          <w:sz w:val="22"/>
          <w:szCs w:val="22"/>
        </w:rPr>
        <w:t xml:space="preserve"> Humira ble vurdert </w:t>
      </w:r>
      <w:r>
        <w:rPr>
          <w:sz w:val="22"/>
          <w:szCs w:val="22"/>
        </w:rPr>
        <w:t xml:space="preserve">i to randomiserte, dobbeltblinde placebokontrollerte studier hos pasienter med </w:t>
      </w:r>
      <w:r w:rsidRPr="002D0790">
        <w:rPr>
          <w:sz w:val="22"/>
          <w:szCs w:val="22"/>
        </w:rPr>
        <w:t>ikke-radiografisk aksial spondylartritt</w:t>
      </w:r>
      <w:r>
        <w:rPr>
          <w:sz w:val="22"/>
          <w:szCs w:val="22"/>
        </w:rPr>
        <w:t xml:space="preserve"> (nr-axSpA). Studie nr-axSpA I </w:t>
      </w:r>
      <w:r w:rsidR="003D3CAB">
        <w:rPr>
          <w:sz w:val="22"/>
          <w:szCs w:val="22"/>
        </w:rPr>
        <w:t>vurderte</w:t>
      </w:r>
      <w:r>
        <w:rPr>
          <w:sz w:val="22"/>
          <w:szCs w:val="22"/>
        </w:rPr>
        <w:t xml:space="preserve"> pasienter med aktiv nr-axSpA. Studie nr-axSpA II </w:t>
      </w:r>
      <w:r w:rsidRPr="001857A5">
        <w:rPr>
          <w:sz w:val="22"/>
          <w:szCs w:val="22"/>
        </w:rPr>
        <w:t xml:space="preserve">var en </w:t>
      </w:r>
      <w:r>
        <w:rPr>
          <w:sz w:val="22"/>
          <w:szCs w:val="22"/>
        </w:rPr>
        <w:t>seponerings</w:t>
      </w:r>
      <w:r w:rsidRPr="001857A5">
        <w:rPr>
          <w:sz w:val="22"/>
          <w:szCs w:val="22"/>
        </w:rPr>
        <w:t>studie hos aktive nr-axSpA-pasienter som oppnådde remisjon under behandling med Humira</w:t>
      </w:r>
      <w:r w:rsidRPr="00B511AB">
        <w:rPr>
          <w:sz w:val="22"/>
          <w:szCs w:val="22"/>
        </w:rPr>
        <w:t xml:space="preserve"> </w:t>
      </w:r>
      <w:r>
        <w:rPr>
          <w:sz w:val="22"/>
          <w:szCs w:val="22"/>
        </w:rPr>
        <w:t xml:space="preserve">i </w:t>
      </w:r>
      <w:r w:rsidRPr="001857A5">
        <w:rPr>
          <w:sz w:val="22"/>
          <w:szCs w:val="22"/>
        </w:rPr>
        <w:t>åpen</w:t>
      </w:r>
      <w:r>
        <w:rPr>
          <w:sz w:val="22"/>
          <w:szCs w:val="22"/>
        </w:rPr>
        <w:t xml:space="preserve"> studieperiode</w:t>
      </w:r>
      <w:r w:rsidRPr="001857A5">
        <w:rPr>
          <w:sz w:val="22"/>
          <w:szCs w:val="22"/>
        </w:rPr>
        <w:t>.</w:t>
      </w:r>
    </w:p>
    <w:p w14:paraId="56AFF9AA" w14:textId="77777777" w:rsidR="00D014D5" w:rsidRPr="001857A5" w:rsidRDefault="00D014D5" w:rsidP="00D014D5">
      <w:pPr>
        <w:rPr>
          <w:sz w:val="22"/>
          <w:szCs w:val="22"/>
        </w:rPr>
      </w:pPr>
    </w:p>
    <w:p w14:paraId="3809DCC1" w14:textId="77777777" w:rsidR="00D014D5" w:rsidRPr="001857A5" w:rsidRDefault="00E453CD" w:rsidP="00776A84">
      <w:pPr>
        <w:keepNext/>
        <w:rPr>
          <w:sz w:val="22"/>
          <w:szCs w:val="22"/>
        </w:rPr>
      </w:pPr>
      <w:r w:rsidRPr="003A6BE9">
        <w:rPr>
          <w:sz w:val="22"/>
          <w:szCs w:val="22"/>
        </w:rPr>
        <w:t>Studie nr-axSpA I</w:t>
      </w:r>
      <w:r w:rsidRPr="001857A5">
        <w:rPr>
          <w:sz w:val="22"/>
          <w:szCs w:val="22"/>
        </w:rPr>
        <w:t xml:space="preserve"> </w:t>
      </w:r>
    </w:p>
    <w:p w14:paraId="6D66A476" w14:textId="77777777" w:rsidR="00D014D5" w:rsidRDefault="00D014D5" w:rsidP="00776A84">
      <w:pPr>
        <w:keepNext/>
        <w:rPr>
          <w:sz w:val="22"/>
          <w:szCs w:val="22"/>
        </w:rPr>
      </w:pPr>
    </w:p>
    <w:p w14:paraId="15C04698" w14:textId="77777777" w:rsidR="001E500F" w:rsidRPr="00C07C98" w:rsidRDefault="00E453CD" w:rsidP="009C5EFD">
      <w:pPr>
        <w:rPr>
          <w:sz w:val="22"/>
          <w:szCs w:val="22"/>
        </w:rPr>
      </w:pPr>
      <w:r>
        <w:rPr>
          <w:sz w:val="22"/>
          <w:szCs w:val="22"/>
        </w:rPr>
        <w:t>I s</w:t>
      </w:r>
      <w:r w:rsidRPr="003C7851">
        <w:rPr>
          <w:sz w:val="22"/>
          <w:szCs w:val="22"/>
        </w:rPr>
        <w:t>tudie nr-axSpA I</w:t>
      </w:r>
      <w:r w:rsidRPr="00193D76">
        <w:rPr>
          <w:sz w:val="22"/>
          <w:szCs w:val="22"/>
        </w:rPr>
        <w:t xml:space="preserve"> </w:t>
      </w:r>
      <w:r>
        <w:rPr>
          <w:sz w:val="22"/>
          <w:szCs w:val="22"/>
        </w:rPr>
        <w:t xml:space="preserve">ble </w:t>
      </w:r>
      <w:r w:rsidRPr="009C5EFD">
        <w:rPr>
          <w:sz w:val="22"/>
          <w:szCs w:val="22"/>
        </w:rPr>
        <w:t>Humira 40 mg annen</w:t>
      </w:r>
      <w:r w:rsidR="005D10BA">
        <w:rPr>
          <w:sz w:val="22"/>
          <w:szCs w:val="22"/>
        </w:rPr>
        <w:t>hver</w:t>
      </w:r>
      <w:r w:rsidRPr="009C5EFD">
        <w:rPr>
          <w:sz w:val="22"/>
          <w:szCs w:val="22"/>
        </w:rPr>
        <w:t xml:space="preserve"> uke undersøkt </w:t>
      </w:r>
      <w:r w:rsidR="007866C9">
        <w:rPr>
          <w:sz w:val="22"/>
          <w:szCs w:val="22"/>
        </w:rPr>
        <w:t>hos</w:t>
      </w:r>
      <w:r w:rsidRPr="009C5EFD">
        <w:rPr>
          <w:sz w:val="22"/>
          <w:szCs w:val="22"/>
        </w:rPr>
        <w:t xml:space="preserve"> 185</w:t>
      </w:r>
      <w:r w:rsidR="00315F16" w:rsidRPr="009C5EFD">
        <w:rPr>
          <w:sz w:val="22"/>
          <w:szCs w:val="22"/>
        </w:rPr>
        <w:t> pasient</w:t>
      </w:r>
      <w:r w:rsidRPr="009C5EFD">
        <w:rPr>
          <w:sz w:val="22"/>
          <w:szCs w:val="22"/>
        </w:rPr>
        <w:t>er i en randomisert, 12</w:t>
      </w:r>
      <w:r w:rsidR="00315F16" w:rsidRPr="009C5EFD">
        <w:rPr>
          <w:sz w:val="22"/>
          <w:szCs w:val="22"/>
        </w:rPr>
        <w:t> uker</w:t>
      </w:r>
      <w:r w:rsidRPr="009C5EFD">
        <w:rPr>
          <w:sz w:val="22"/>
          <w:szCs w:val="22"/>
        </w:rPr>
        <w:t xml:space="preserve">s dobbeltblind, placebokontrollert studie hos pasienter med aktiv </w:t>
      </w:r>
      <w:r w:rsidRPr="003C7851">
        <w:rPr>
          <w:sz w:val="22"/>
          <w:szCs w:val="22"/>
        </w:rPr>
        <w:t>nr-axSpA</w:t>
      </w:r>
      <w:r>
        <w:rPr>
          <w:sz w:val="22"/>
          <w:szCs w:val="22"/>
        </w:rPr>
        <w:t xml:space="preserve"> </w:t>
      </w:r>
      <w:r w:rsidRPr="009C5EFD">
        <w:rPr>
          <w:sz w:val="22"/>
          <w:szCs w:val="22"/>
        </w:rPr>
        <w:t xml:space="preserve">(gjennomsnittlig baseline score for sykdomsaktivitet </w:t>
      </w:r>
      <w:r w:rsidRPr="007F67EE">
        <w:rPr>
          <w:rFonts w:ascii="Symbol" w:hAnsi="Symbol"/>
          <w:sz w:val="22"/>
          <w:szCs w:val="22"/>
        </w:rPr>
        <w:sym w:font="Symbol" w:char="F05B"/>
      </w:r>
      <w:r w:rsidRPr="007F67EE">
        <w:rPr>
          <w:sz w:val="22"/>
          <w:szCs w:val="22"/>
        </w:rPr>
        <w:t>Bath Ankylosing Spondylitis Diseas</w:t>
      </w:r>
      <w:r w:rsidRPr="00193D76">
        <w:rPr>
          <w:sz w:val="22"/>
          <w:szCs w:val="22"/>
        </w:rPr>
        <w:t>e Activity Index (BASDAI)</w:t>
      </w:r>
      <w:r w:rsidRPr="007F67EE">
        <w:rPr>
          <w:rFonts w:ascii="Symbol" w:hAnsi="Symbol"/>
          <w:sz w:val="22"/>
          <w:szCs w:val="22"/>
        </w:rPr>
        <w:sym w:font="Symbol" w:char="F05D"/>
      </w:r>
      <w:r w:rsidRPr="007F67EE">
        <w:rPr>
          <w:sz w:val="22"/>
          <w:szCs w:val="22"/>
        </w:rPr>
        <w:t xml:space="preserve"> var 6,4 for pasienter behandlet med Humira og 6,5 for </w:t>
      </w:r>
      <w:r w:rsidR="003B49EC">
        <w:rPr>
          <w:sz w:val="22"/>
          <w:szCs w:val="22"/>
        </w:rPr>
        <w:t>pasienter som fikk</w:t>
      </w:r>
      <w:r w:rsidRPr="007F67EE">
        <w:rPr>
          <w:sz w:val="22"/>
          <w:szCs w:val="22"/>
        </w:rPr>
        <w:t xml:space="preserve"> placebo) som har hatt utilstrekkelig respons på eller i</w:t>
      </w:r>
      <w:r w:rsidRPr="00193D76">
        <w:rPr>
          <w:sz w:val="22"/>
          <w:szCs w:val="22"/>
        </w:rPr>
        <w:t>ntoleranse overfor ≥</w:t>
      </w:r>
      <w:r w:rsidR="006B673C" w:rsidRPr="00C07C98">
        <w:rPr>
          <w:sz w:val="22"/>
          <w:szCs w:val="22"/>
        </w:rPr>
        <w:t> </w:t>
      </w:r>
      <w:r w:rsidRPr="00C07C98">
        <w:rPr>
          <w:sz w:val="22"/>
          <w:szCs w:val="22"/>
        </w:rPr>
        <w:t>1 NSAIDs, eller en kontraindikasjon for NSAIDs.</w:t>
      </w:r>
    </w:p>
    <w:p w14:paraId="0C60F549" w14:textId="77777777" w:rsidR="001E500F" w:rsidRPr="00E14E58" w:rsidRDefault="001E500F" w:rsidP="009C5EFD">
      <w:pPr>
        <w:rPr>
          <w:sz w:val="22"/>
          <w:szCs w:val="22"/>
        </w:rPr>
      </w:pPr>
    </w:p>
    <w:p w14:paraId="7EAEB09B" w14:textId="77777777" w:rsidR="001E500F" w:rsidRPr="009C5EFD" w:rsidRDefault="00E453CD" w:rsidP="009C5EFD">
      <w:pPr>
        <w:rPr>
          <w:sz w:val="22"/>
          <w:szCs w:val="22"/>
        </w:rPr>
      </w:pPr>
      <w:r w:rsidRPr="009C5EFD">
        <w:rPr>
          <w:sz w:val="22"/>
          <w:szCs w:val="22"/>
        </w:rPr>
        <w:t>33 (18</w:t>
      </w:r>
      <w:r w:rsidR="00315F16" w:rsidRPr="009C5EFD">
        <w:rPr>
          <w:sz w:val="22"/>
          <w:szCs w:val="22"/>
        </w:rPr>
        <w:t> %</w:t>
      </w:r>
      <w:r w:rsidRPr="009C5EFD">
        <w:rPr>
          <w:sz w:val="22"/>
          <w:szCs w:val="22"/>
        </w:rPr>
        <w:t xml:space="preserve">) </w:t>
      </w:r>
      <w:r w:rsidR="00D014D5" w:rsidRPr="009C5EFD">
        <w:rPr>
          <w:sz w:val="22"/>
          <w:szCs w:val="22"/>
        </w:rPr>
        <w:t>pasiente</w:t>
      </w:r>
      <w:r w:rsidR="00D014D5">
        <w:rPr>
          <w:sz w:val="22"/>
          <w:szCs w:val="22"/>
        </w:rPr>
        <w:t>r</w:t>
      </w:r>
      <w:r w:rsidR="00D014D5" w:rsidRPr="009C5EFD">
        <w:rPr>
          <w:sz w:val="22"/>
          <w:szCs w:val="22"/>
        </w:rPr>
        <w:t xml:space="preserve"> </w:t>
      </w:r>
      <w:r w:rsidRPr="009C5EFD">
        <w:rPr>
          <w:sz w:val="22"/>
          <w:szCs w:val="22"/>
        </w:rPr>
        <w:t>ble samtidig behandlet med sykdomsmodifiserende anti-revmatiske legemidler, og 146 (79</w:t>
      </w:r>
      <w:r w:rsidR="006B673C" w:rsidRPr="009C5EFD">
        <w:rPr>
          <w:sz w:val="22"/>
          <w:szCs w:val="22"/>
        </w:rPr>
        <w:t> </w:t>
      </w:r>
      <w:r w:rsidRPr="009C5EFD">
        <w:rPr>
          <w:sz w:val="22"/>
          <w:szCs w:val="22"/>
        </w:rPr>
        <w:t>%) pasiente</w:t>
      </w:r>
      <w:r w:rsidR="00D014D5">
        <w:rPr>
          <w:sz w:val="22"/>
          <w:szCs w:val="22"/>
        </w:rPr>
        <w:t>r</w:t>
      </w:r>
      <w:r w:rsidRPr="009C5EFD">
        <w:rPr>
          <w:sz w:val="22"/>
          <w:szCs w:val="22"/>
        </w:rPr>
        <w:t xml:space="preserve"> med NSAIDs ved baseline. Den dobbeltblinde perioden ble etterfulgt av en åpen behandlingsperiode hvor pasientene får Humira 40</w:t>
      </w:r>
      <w:r w:rsidR="00E55E5D" w:rsidRPr="009C5EFD">
        <w:rPr>
          <w:sz w:val="22"/>
          <w:szCs w:val="22"/>
        </w:rPr>
        <w:t> mg</w:t>
      </w:r>
      <w:r w:rsidRPr="009C5EFD">
        <w:rPr>
          <w:sz w:val="22"/>
          <w:szCs w:val="22"/>
        </w:rPr>
        <w:t xml:space="preserve"> annen</w:t>
      </w:r>
      <w:r w:rsidR="005D10BA">
        <w:rPr>
          <w:sz w:val="22"/>
          <w:szCs w:val="22"/>
        </w:rPr>
        <w:t>hver</w:t>
      </w:r>
      <w:r w:rsidRPr="009C5EFD">
        <w:rPr>
          <w:sz w:val="22"/>
          <w:szCs w:val="22"/>
        </w:rPr>
        <w:t xml:space="preserve"> uke subkutant i inntil ytterligere </w:t>
      </w:r>
      <w:r w:rsidRPr="009C5EFD">
        <w:rPr>
          <w:sz w:val="22"/>
          <w:szCs w:val="22"/>
        </w:rPr>
        <w:lastRenderedPageBreak/>
        <w:t>144</w:t>
      </w:r>
      <w:r w:rsidR="00315F16" w:rsidRPr="009C5EFD">
        <w:rPr>
          <w:sz w:val="22"/>
          <w:szCs w:val="22"/>
        </w:rPr>
        <w:t> uker</w:t>
      </w:r>
      <w:r w:rsidRPr="009C5EFD">
        <w:rPr>
          <w:sz w:val="22"/>
          <w:szCs w:val="22"/>
        </w:rPr>
        <w:t xml:space="preserve">. Resultatene ved </w:t>
      </w:r>
      <w:r w:rsidR="00315F16" w:rsidRPr="009C5EFD">
        <w:rPr>
          <w:sz w:val="22"/>
          <w:szCs w:val="22"/>
        </w:rPr>
        <w:t>uke </w:t>
      </w:r>
      <w:r w:rsidRPr="009C5EFD">
        <w:rPr>
          <w:sz w:val="22"/>
          <w:szCs w:val="22"/>
        </w:rPr>
        <w:t xml:space="preserve">12 viste statistisk signifikant forbedring av sykdomstegn og symptomer på aktiv </w:t>
      </w:r>
      <w:r w:rsidR="00D014D5" w:rsidRPr="003C7851">
        <w:rPr>
          <w:sz w:val="22"/>
          <w:szCs w:val="22"/>
        </w:rPr>
        <w:t>nr-axSpA</w:t>
      </w:r>
      <w:r w:rsidRPr="009C5EFD">
        <w:rPr>
          <w:sz w:val="22"/>
          <w:szCs w:val="22"/>
        </w:rPr>
        <w:t xml:space="preserve"> hos pasienter behandlet med Humira sammenlignet med placebo (tabell </w:t>
      </w:r>
      <w:r w:rsidR="00634DDF">
        <w:rPr>
          <w:sz w:val="22"/>
          <w:szCs w:val="22"/>
        </w:rPr>
        <w:t>13</w:t>
      </w:r>
      <w:r w:rsidRPr="009C5EFD">
        <w:rPr>
          <w:sz w:val="22"/>
          <w:szCs w:val="22"/>
        </w:rPr>
        <w:t>).</w:t>
      </w:r>
    </w:p>
    <w:p w14:paraId="0EBA2844" w14:textId="77777777" w:rsidR="001E500F" w:rsidRPr="009C5EFD" w:rsidRDefault="001E500F" w:rsidP="009C5EFD">
      <w:pPr>
        <w:rPr>
          <w:sz w:val="22"/>
          <w:szCs w:val="22"/>
        </w:rPr>
      </w:pPr>
    </w:p>
    <w:p w14:paraId="16A77938" w14:textId="77777777" w:rsidR="001E500F" w:rsidRPr="00A81D79" w:rsidRDefault="00E453CD" w:rsidP="00A623D2">
      <w:pPr>
        <w:keepNext/>
        <w:jc w:val="center"/>
        <w:rPr>
          <w:sz w:val="22"/>
          <w:szCs w:val="22"/>
          <w:lang w:val="sv-SE"/>
        </w:rPr>
      </w:pPr>
      <w:r w:rsidRPr="00A81D79">
        <w:rPr>
          <w:b/>
          <w:sz w:val="22"/>
          <w:szCs w:val="22"/>
          <w:lang w:val="sv-SE"/>
        </w:rPr>
        <w:t xml:space="preserve">Tabell </w:t>
      </w:r>
      <w:r w:rsidR="00634DDF" w:rsidRPr="00A81D79">
        <w:rPr>
          <w:b/>
          <w:sz w:val="22"/>
          <w:szCs w:val="22"/>
          <w:lang w:val="sv-SE"/>
        </w:rPr>
        <w:t>1</w:t>
      </w:r>
      <w:r w:rsidR="00634DDF">
        <w:rPr>
          <w:b/>
          <w:sz w:val="22"/>
          <w:szCs w:val="22"/>
          <w:lang w:val="sv-SE"/>
        </w:rPr>
        <w:t>3</w:t>
      </w:r>
    </w:p>
    <w:p w14:paraId="31E21BE2" w14:textId="77777777" w:rsidR="00D879C9" w:rsidRPr="00A81D79" w:rsidRDefault="00E453CD" w:rsidP="00A623D2">
      <w:pPr>
        <w:pStyle w:val="EMEANormal"/>
        <w:keepNext/>
        <w:jc w:val="center"/>
        <w:rPr>
          <w:szCs w:val="22"/>
          <w:lang w:val="sv-SE"/>
        </w:rPr>
      </w:pPr>
      <w:r w:rsidRPr="00A81D79">
        <w:rPr>
          <w:b/>
          <w:szCs w:val="22"/>
          <w:lang w:val="sv-SE"/>
        </w:rPr>
        <w:t>E</w:t>
      </w:r>
      <w:r w:rsidR="00FF2D13" w:rsidRPr="00A81D79">
        <w:rPr>
          <w:b/>
          <w:szCs w:val="22"/>
          <w:lang w:val="sv-SE"/>
        </w:rPr>
        <w:t>ffekt</w:t>
      </w:r>
      <w:r w:rsidRPr="00A81D79">
        <w:rPr>
          <w:b/>
          <w:szCs w:val="22"/>
          <w:lang w:val="sv-SE"/>
        </w:rPr>
        <w:t>respons</w:t>
      </w:r>
      <w:r w:rsidR="00FF2D13" w:rsidRPr="00A81D79">
        <w:rPr>
          <w:b/>
          <w:szCs w:val="22"/>
          <w:lang w:val="sv-SE"/>
        </w:rPr>
        <w:t xml:space="preserve"> </w:t>
      </w:r>
      <w:r w:rsidRPr="00A81D79">
        <w:rPr>
          <w:b/>
          <w:szCs w:val="22"/>
          <w:lang w:val="sv-SE"/>
        </w:rPr>
        <w:t xml:space="preserve">i </w:t>
      </w:r>
      <w:r w:rsidR="001E500F" w:rsidRPr="00A81D79">
        <w:rPr>
          <w:b/>
          <w:szCs w:val="22"/>
          <w:lang w:val="sv-SE"/>
        </w:rPr>
        <w:t>placebokont</w:t>
      </w:r>
      <w:r w:rsidRPr="00A81D79">
        <w:rPr>
          <w:b/>
          <w:szCs w:val="22"/>
          <w:lang w:val="sv-SE"/>
        </w:rPr>
        <w:t>r</w:t>
      </w:r>
      <w:r w:rsidR="001E500F" w:rsidRPr="00A81D79">
        <w:rPr>
          <w:b/>
          <w:szCs w:val="22"/>
          <w:lang w:val="sv-SE"/>
        </w:rPr>
        <w:t>ollert studie</w:t>
      </w:r>
      <w:r w:rsidRPr="00A81D79">
        <w:rPr>
          <w:b/>
          <w:szCs w:val="22"/>
          <w:lang w:val="sv-SE"/>
        </w:rPr>
        <w:t xml:space="preserve"> nr-axSpA I</w:t>
      </w:r>
    </w:p>
    <w:p w14:paraId="4A546BF7" w14:textId="77777777" w:rsidR="001E500F" w:rsidRPr="00A81D79" w:rsidRDefault="001E500F" w:rsidP="00A623D2">
      <w:pPr>
        <w:pStyle w:val="EMEANormal"/>
        <w:keepNext/>
        <w:jc w:val="center"/>
        <w:rPr>
          <w:szCs w:val="22"/>
          <w:lang w:val="sv-S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30"/>
        <w:gridCol w:w="1248"/>
        <w:gridCol w:w="2177"/>
      </w:tblGrid>
      <w:tr w:rsidR="004644D4" w14:paraId="0BFE319A" w14:textId="77777777" w:rsidTr="00926F2E">
        <w:trPr>
          <w:jc w:val="center"/>
        </w:trPr>
        <w:tc>
          <w:tcPr>
            <w:tcW w:w="3109" w:type="pct"/>
          </w:tcPr>
          <w:p w14:paraId="23BECBC8" w14:textId="77777777" w:rsidR="00D879C9" w:rsidRPr="009C5EFD" w:rsidRDefault="00E453CD" w:rsidP="00A623D2">
            <w:pPr>
              <w:keepNext/>
              <w:rPr>
                <w:b/>
                <w:bCs/>
                <w:sz w:val="22"/>
                <w:szCs w:val="22"/>
                <w:lang w:val="en-GB"/>
              </w:rPr>
            </w:pPr>
            <w:r w:rsidRPr="009C5EFD">
              <w:rPr>
                <w:b/>
                <w:bCs/>
                <w:sz w:val="22"/>
                <w:szCs w:val="22"/>
                <w:lang w:val="en-GB"/>
              </w:rPr>
              <w:t>Dobbeltblind</w:t>
            </w:r>
          </w:p>
          <w:p w14:paraId="699C8475" w14:textId="77777777" w:rsidR="00D879C9" w:rsidRPr="001F5D4B" w:rsidRDefault="00E453CD" w:rsidP="00A623D2">
            <w:pPr>
              <w:keepNext/>
              <w:rPr>
                <w:b/>
                <w:bCs/>
                <w:sz w:val="22"/>
                <w:szCs w:val="22"/>
                <w:lang w:val="en-GB"/>
              </w:rPr>
            </w:pPr>
            <w:r w:rsidRPr="009C5EFD">
              <w:rPr>
                <w:b/>
                <w:bCs/>
                <w:sz w:val="22"/>
                <w:szCs w:val="22"/>
                <w:lang w:val="en-GB"/>
              </w:rPr>
              <w:t>Respons ved uke 12</w:t>
            </w:r>
          </w:p>
        </w:tc>
        <w:tc>
          <w:tcPr>
            <w:tcW w:w="689" w:type="pct"/>
          </w:tcPr>
          <w:p w14:paraId="34925D50" w14:textId="77777777" w:rsidR="00D879C9" w:rsidRPr="007F67EE" w:rsidRDefault="00E453CD" w:rsidP="00A623D2">
            <w:pPr>
              <w:keepNext/>
              <w:jc w:val="center"/>
              <w:rPr>
                <w:b/>
                <w:bCs/>
                <w:sz w:val="22"/>
                <w:szCs w:val="22"/>
                <w:lang w:val="fr-FR"/>
              </w:rPr>
            </w:pPr>
            <w:r w:rsidRPr="007F67EE">
              <w:rPr>
                <w:b/>
                <w:bCs/>
                <w:sz w:val="22"/>
                <w:szCs w:val="22"/>
                <w:lang w:val="fr-FR"/>
              </w:rPr>
              <w:t>Placebo</w:t>
            </w:r>
          </w:p>
          <w:p w14:paraId="6E12939C" w14:textId="77777777" w:rsidR="00D879C9" w:rsidRPr="002D0790" w:rsidRDefault="00E453CD" w:rsidP="00A623D2">
            <w:pPr>
              <w:keepNext/>
              <w:jc w:val="center"/>
              <w:rPr>
                <w:b/>
                <w:bCs/>
                <w:sz w:val="22"/>
                <w:szCs w:val="22"/>
                <w:lang w:val="fr-FR"/>
              </w:rPr>
            </w:pPr>
            <w:r w:rsidRPr="00193D76">
              <w:rPr>
                <w:b/>
                <w:bCs/>
                <w:sz w:val="22"/>
                <w:szCs w:val="22"/>
                <w:lang w:val="fr-FR"/>
              </w:rPr>
              <w:t>N=94</w:t>
            </w:r>
          </w:p>
        </w:tc>
        <w:tc>
          <w:tcPr>
            <w:tcW w:w="1203" w:type="pct"/>
          </w:tcPr>
          <w:p w14:paraId="59B5C7CC" w14:textId="77777777" w:rsidR="00D879C9" w:rsidRPr="00C07C98" w:rsidRDefault="00E453CD" w:rsidP="00A623D2">
            <w:pPr>
              <w:keepNext/>
              <w:jc w:val="center"/>
              <w:rPr>
                <w:b/>
                <w:bCs/>
                <w:sz w:val="22"/>
                <w:szCs w:val="22"/>
                <w:lang w:val="fr-FR"/>
              </w:rPr>
            </w:pPr>
            <w:r w:rsidRPr="00C07C98">
              <w:rPr>
                <w:b/>
                <w:bCs/>
                <w:sz w:val="22"/>
                <w:szCs w:val="22"/>
                <w:lang w:val="fr-FR"/>
              </w:rPr>
              <w:t>Humira</w:t>
            </w:r>
          </w:p>
          <w:p w14:paraId="2DBECE54" w14:textId="77777777" w:rsidR="00D879C9" w:rsidRPr="009C5EFD" w:rsidRDefault="00E453CD" w:rsidP="00A623D2">
            <w:pPr>
              <w:keepNext/>
              <w:jc w:val="center"/>
              <w:rPr>
                <w:b/>
                <w:bCs/>
                <w:sz w:val="22"/>
                <w:szCs w:val="22"/>
                <w:lang w:val="fr-FR"/>
              </w:rPr>
            </w:pPr>
            <w:r w:rsidRPr="00E14E58">
              <w:rPr>
                <w:b/>
                <w:bCs/>
                <w:sz w:val="22"/>
                <w:szCs w:val="22"/>
                <w:lang w:val="en-GB"/>
              </w:rPr>
              <w:t>N=91</w:t>
            </w:r>
          </w:p>
        </w:tc>
      </w:tr>
      <w:tr w:rsidR="004644D4" w14:paraId="0E1152DB" w14:textId="77777777" w:rsidTr="00926F2E">
        <w:trPr>
          <w:jc w:val="center"/>
        </w:trPr>
        <w:tc>
          <w:tcPr>
            <w:tcW w:w="3109" w:type="pct"/>
          </w:tcPr>
          <w:p w14:paraId="31C1A68E" w14:textId="77777777" w:rsidR="00D879C9" w:rsidRPr="001F5D4B" w:rsidRDefault="00E453CD" w:rsidP="007F67EE">
            <w:pPr>
              <w:keepNext/>
              <w:rPr>
                <w:sz w:val="22"/>
                <w:szCs w:val="22"/>
                <w:lang w:val="en-GB"/>
              </w:rPr>
            </w:pPr>
            <w:r w:rsidRPr="007F67EE">
              <w:rPr>
                <w:sz w:val="22"/>
                <w:szCs w:val="22"/>
                <w:lang w:val="en-GB"/>
              </w:rPr>
              <w:t>ASAS</w:t>
            </w:r>
            <w:r w:rsidRPr="00193D76">
              <w:rPr>
                <w:sz w:val="22"/>
                <w:szCs w:val="22"/>
                <w:vertAlign w:val="superscript"/>
                <w:lang w:val="en-GB"/>
              </w:rPr>
              <w:t>a</w:t>
            </w:r>
            <w:r w:rsidRPr="002D0790">
              <w:rPr>
                <w:sz w:val="22"/>
                <w:szCs w:val="22"/>
                <w:lang w:val="en-GB"/>
              </w:rPr>
              <w:t xml:space="preserve"> 40</w:t>
            </w:r>
          </w:p>
        </w:tc>
        <w:tc>
          <w:tcPr>
            <w:tcW w:w="689" w:type="pct"/>
          </w:tcPr>
          <w:p w14:paraId="6D1F659B" w14:textId="77777777" w:rsidR="00D879C9" w:rsidRPr="001F5D4B" w:rsidRDefault="00E453CD" w:rsidP="007F67EE">
            <w:pPr>
              <w:keepNext/>
              <w:jc w:val="center"/>
              <w:rPr>
                <w:sz w:val="22"/>
                <w:szCs w:val="22"/>
                <w:lang w:val="en-GB"/>
              </w:rPr>
            </w:pPr>
            <w:r w:rsidRPr="007F67EE">
              <w:rPr>
                <w:sz w:val="22"/>
                <w:szCs w:val="22"/>
                <w:lang w:val="en-GB"/>
              </w:rPr>
              <w:t>15 %</w:t>
            </w:r>
          </w:p>
        </w:tc>
        <w:tc>
          <w:tcPr>
            <w:tcW w:w="1203" w:type="pct"/>
          </w:tcPr>
          <w:p w14:paraId="6889EB36" w14:textId="77777777" w:rsidR="00D879C9" w:rsidRPr="00193D76" w:rsidRDefault="00E453CD" w:rsidP="00193D76">
            <w:pPr>
              <w:keepNext/>
              <w:jc w:val="center"/>
              <w:rPr>
                <w:sz w:val="22"/>
                <w:szCs w:val="22"/>
                <w:lang w:val="en-GB"/>
              </w:rPr>
            </w:pPr>
            <w:r w:rsidRPr="007F67EE">
              <w:rPr>
                <w:sz w:val="22"/>
                <w:szCs w:val="22"/>
                <w:lang w:val="en-GB"/>
              </w:rPr>
              <w:t>36 %***</w:t>
            </w:r>
          </w:p>
        </w:tc>
      </w:tr>
      <w:tr w:rsidR="004644D4" w14:paraId="2910FD07" w14:textId="77777777" w:rsidTr="00926F2E">
        <w:trPr>
          <w:jc w:val="center"/>
        </w:trPr>
        <w:tc>
          <w:tcPr>
            <w:tcW w:w="3109" w:type="pct"/>
          </w:tcPr>
          <w:p w14:paraId="49A46609" w14:textId="77777777" w:rsidR="00D879C9" w:rsidRPr="001F5D4B" w:rsidRDefault="00E453CD" w:rsidP="007F67EE">
            <w:pPr>
              <w:keepNext/>
              <w:rPr>
                <w:sz w:val="22"/>
                <w:szCs w:val="22"/>
                <w:lang w:val="en-GB"/>
              </w:rPr>
            </w:pPr>
            <w:r w:rsidRPr="007F67EE">
              <w:rPr>
                <w:sz w:val="22"/>
                <w:szCs w:val="22"/>
                <w:lang w:val="en-GB"/>
              </w:rPr>
              <w:t>ASAS 20</w:t>
            </w:r>
          </w:p>
        </w:tc>
        <w:tc>
          <w:tcPr>
            <w:tcW w:w="689" w:type="pct"/>
          </w:tcPr>
          <w:p w14:paraId="42EB563D" w14:textId="77777777" w:rsidR="00D879C9" w:rsidRPr="001F5D4B" w:rsidRDefault="00E453CD" w:rsidP="007F67EE">
            <w:pPr>
              <w:keepNext/>
              <w:jc w:val="center"/>
              <w:rPr>
                <w:sz w:val="22"/>
                <w:szCs w:val="22"/>
                <w:lang w:val="en-GB"/>
              </w:rPr>
            </w:pPr>
            <w:r w:rsidRPr="007F67EE">
              <w:rPr>
                <w:sz w:val="22"/>
                <w:szCs w:val="22"/>
                <w:lang w:val="en-GB"/>
              </w:rPr>
              <w:t>31 %</w:t>
            </w:r>
          </w:p>
        </w:tc>
        <w:tc>
          <w:tcPr>
            <w:tcW w:w="1203" w:type="pct"/>
          </w:tcPr>
          <w:p w14:paraId="59583C5F" w14:textId="77777777" w:rsidR="00D879C9" w:rsidRPr="00193D76" w:rsidRDefault="00E453CD" w:rsidP="00193D76">
            <w:pPr>
              <w:keepNext/>
              <w:jc w:val="center"/>
              <w:rPr>
                <w:sz w:val="22"/>
                <w:szCs w:val="22"/>
                <w:lang w:val="en-GB"/>
              </w:rPr>
            </w:pPr>
            <w:r w:rsidRPr="007F67EE">
              <w:rPr>
                <w:sz w:val="22"/>
                <w:szCs w:val="22"/>
                <w:lang w:val="en-GB"/>
              </w:rPr>
              <w:t>52 %**</w:t>
            </w:r>
          </w:p>
        </w:tc>
      </w:tr>
      <w:tr w:rsidR="004644D4" w14:paraId="121ACF8A" w14:textId="77777777" w:rsidTr="00926F2E">
        <w:trPr>
          <w:jc w:val="center"/>
        </w:trPr>
        <w:tc>
          <w:tcPr>
            <w:tcW w:w="3109" w:type="pct"/>
          </w:tcPr>
          <w:p w14:paraId="0BC7BA55" w14:textId="77777777" w:rsidR="00D879C9" w:rsidRPr="001F5D4B" w:rsidRDefault="00E453CD" w:rsidP="007F67EE">
            <w:pPr>
              <w:keepNext/>
              <w:rPr>
                <w:sz w:val="22"/>
                <w:szCs w:val="22"/>
                <w:lang w:val="en-GB"/>
              </w:rPr>
            </w:pPr>
            <w:r w:rsidRPr="007F67EE">
              <w:rPr>
                <w:sz w:val="22"/>
                <w:szCs w:val="22"/>
                <w:lang w:val="en-GB"/>
              </w:rPr>
              <w:t>ASAS 5/6</w:t>
            </w:r>
          </w:p>
        </w:tc>
        <w:tc>
          <w:tcPr>
            <w:tcW w:w="689" w:type="pct"/>
          </w:tcPr>
          <w:p w14:paraId="0843F89E" w14:textId="77777777" w:rsidR="00D879C9" w:rsidRPr="001F5D4B" w:rsidRDefault="00E453CD" w:rsidP="007F67EE">
            <w:pPr>
              <w:keepNext/>
              <w:jc w:val="center"/>
              <w:rPr>
                <w:sz w:val="22"/>
                <w:szCs w:val="22"/>
                <w:lang w:val="en-GB"/>
              </w:rPr>
            </w:pPr>
            <w:r w:rsidRPr="007F67EE">
              <w:rPr>
                <w:sz w:val="22"/>
                <w:szCs w:val="22"/>
                <w:lang w:val="en-GB"/>
              </w:rPr>
              <w:t>6 %</w:t>
            </w:r>
          </w:p>
        </w:tc>
        <w:tc>
          <w:tcPr>
            <w:tcW w:w="1203" w:type="pct"/>
          </w:tcPr>
          <w:p w14:paraId="32A57F8B" w14:textId="77777777" w:rsidR="00D879C9" w:rsidRPr="00193D76" w:rsidRDefault="00E453CD" w:rsidP="00193D76">
            <w:pPr>
              <w:keepNext/>
              <w:jc w:val="center"/>
              <w:rPr>
                <w:sz w:val="22"/>
                <w:szCs w:val="22"/>
                <w:lang w:val="en-GB"/>
              </w:rPr>
            </w:pPr>
            <w:r w:rsidRPr="007F67EE">
              <w:rPr>
                <w:sz w:val="22"/>
                <w:szCs w:val="22"/>
                <w:lang w:val="en-GB"/>
              </w:rPr>
              <w:t>31 %***</w:t>
            </w:r>
          </w:p>
        </w:tc>
      </w:tr>
      <w:tr w:rsidR="004644D4" w14:paraId="791E9F0D" w14:textId="77777777" w:rsidTr="00926F2E">
        <w:trPr>
          <w:jc w:val="center"/>
        </w:trPr>
        <w:tc>
          <w:tcPr>
            <w:tcW w:w="3109" w:type="pct"/>
          </w:tcPr>
          <w:p w14:paraId="2998A505" w14:textId="77777777" w:rsidR="00D879C9" w:rsidRPr="001F5D4B" w:rsidRDefault="00E453CD" w:rsidP="007F67EE">
            <w:pPr>
              <w:keepNext/>
              <w:rPr>
                <w:sz w:val="22"/>
                <w:szCs w:val="22"/>
                <w:lang w:val="en-GB"/>
              </w:rPr>
            </w:pPr>
            <w:r w:rsidRPr="007F67EE">
              <w:rPr>
                <w:sz w:val="22"/>
                <w:szCs w:val="22"/>
                <w:lang w:val="en-GB"/>
              </w:rPr>
              <w:t>ASAS delvis remisjon</w:t>
            </w:r>
          </w:p>
        </w:tc>
        <w:tc>
          <w:tcPr>
            <w:tcW w:w="689" w:type="pct"/>
          </w:tcPr>
          <w:p w14:paraId="5FFF7A05" w14:textId="77777777" w:rsidR="00D879C9" w:rsidRPr="001F5D4B" w:rsidRDefault="00E453CD" w:rsidP="007F67EE">
            <w:pPr>
              <w:keepNext/>
              <w:jc w:val="center"/>
              <w:rPr>
                <w:sz w:val="22"/>
                <w:szCs w:val="22"/>
                <w:lang w:val="en-GB"/>
              </w:rPr>
            </w:pPr>
            <w:r w:rsidRPr="007F67EE">
              <w:rPr>
                <w:sz w:val="22"/>
                <w:szCs w:val="22"/>
                <w:lang w:val="en-GB"/>
              </w:rPr>
              <w:t>5 %</w:t>
            </w:r>
          </w:p>
        </w:tc>
        <w:tc>
          <w:tcPr>
            <w:tcW w:w="1203" w:type="pct"/>
          </w:tcPr>
          <w:p w14:paraId="66F8FD69" w14:textId="77777777" w:rsidR="00D879C9" w:rsidRPr="00193D76" w:rsidRDefault="00E453CD" w:rsidP="00193D76">
            <w:pPr>
              <w:keepNext/>
              <w:jc w:val="center"/>
              <w:rPr>
                <w:sz w:val="22"/>
                <w:szCs w:val="22"/>
                <w:lang w:val="en-GB"/>
              </w:rPr>
            </w:pPr>
            <w:r w:rsidRPr="007F67EE">
              <w:rPr>
                <w:sz w:val="22"/>
                <w:szCs w:val="22"/>
                <w:lang w:val="en-GB"/>
              </w:rPr>
              <w:t>16 %***</w:t>
            </w:r>
          </w:p>
        </w:tc>
      </w:tr>
      <w:tr w:rsidR="004644D4" w14:paraId="3646444B" w14:textId="77777777" w:rsidTr="00926F2E">
        <w:trPr>
          <w:jc w:val="center"/>
        </w:trPr>
        <w:tc>
          <w:tcPr>
            <w:tcW w:w="3109" w:type="pct"/>
          </w:tcPr>
          <w:p w14:paraId="26C8A3DE" w14:textId="77777777" w:rsidR="00D879C9" w:rsidRPr="001F5D4B" w:rsidRDefault="00E453CD" w:rsidP="007F67EE">
            <w:pPr>
              <w:keepNext/>
              <w:rPr>
                <w:sz w:val="22"/>
                <w:szCs w:val="22"/>
                <w:lang w:val="en-GB"/>
              </w:rPr>
            </w:pPr>
            <w:r w:rsidRPr="007F67EE">
              <w:rPr>
                <w:sz w:val="22"/>
                <w:szCs w:val="22"/>
                <w:lang w:val="en-GB"/>
              </w:rPr>
              <w:t>BASDAI</w:t>
            </w:r>
            <w:r w:rsidRPr="00193D76">
              <w:rPr>
                <w:sz w:val="22"/>
                <w:szCs w:val="22"/>
                <w:vertAlign w:val="superscript"/>
                <w:lang w:val="en-GB"/>
              </w:rPr>
              <w:t>b</w:t>
            </w:r>
            <w:r w:rsidRPr="002D0790">
              <w:rPr>
                <w:sz w:val="22"/>
                <w:szCs w:val="22"/>
                <w:lang w:val="en-GB"/>
              </w:rPr>
              <w:t xml:space="preserve"> 50</w:t>
            </w:r>
          </w:p>
        </w:tc>
        <w:tc>
          <w:tcPr>
            <w:tcW w:w="689" w:type="pct"/>
          </w:tcPr>
          <w:p w14:paraId="7A435615" w14:textId="77777777" w:rsidR="00D879C9" w:rsidRPr="001F5D4B" w:rsidRDefault="00E453CD" w:rsidP="007F67EE">
            <w:pPr>
              <w:keepNext/>
              <w:jc w:val="center"/>
              <w:rPr>
                <w:sz w:val="22"/>
                <w:szCs w:val="22"/>
                <w:lang w:val="en-GB"/>
              </w:rPr>
            </w:pPr>
            <w:r w:rsidRPr="007F67EE">
              <w:rPr>
                <w:sz w:val="22"/>
                <w:szCs w:val="22"/>
                <w:lang w:val="en-GB"/>
              </w:rPr>
              <w:t>15 %</w:t>
            </w:r>
          </w:p>
        </w:tc>
        <w:tc>
          <w:tcPr>
            <w:tcW w:w="1203" w:type="pct"/>
          </w:tcPr>
          <w:p w14:paraId="044A6D0D" w14:textId="77777777" w:rsidR="00D879C9" w:rsidRPr="00193D76" w:rsidRDefault="00E453CD" w:rsidP="00193D76">
            <w:pPr>
              <w:keepNext/>
              <w:jc w:val="center"/>
              <w:rPr>
                <w:sz w:val="22"/>
                <w:szCs w:val="22"/>
                <w:lang w:val="en-GB"/>
              </w:rPr>
            </w:pPr>
            <w:r w:rsidRPr="007F67EE">
              <w:rPr>
                <w:sz w:val="22"/>
                <w:szCs w:val="22"/>
                <w:lang w:val="en-GB"/>
              </w:rPr>
              <w:t>35 %**</w:t>
            </w:r>
          </w:p>
        </w:tc>
      </w:tr>
      <w:tr w:rsidR="004644D4" w14:paraId="3DB4A16D" w14:textId="77777777" w:rsidTr="00926F2E">
        <w:trPr>
          <w:jc w:val="center"/>
        </w:trPr>
        <w:tc>
          <w:tcPr>
            <w:tcW w:w="3109" w:type="pct"/>
          </w:tcPr>
          <w:p w14:paraId="40B6D068" w14:textId="77777777" w:rsidR="00D879C9" w:rsidRPr="009C5EFD" w:rsidRDefault="00E453CD" w:rsidP="007F67EE">
            <w:pPr>
              <w:keepNext/>
              <w:rPr>
                <w:sz w:val="22"/>
                <w:szCs w:val="22"/>
                <w:lang w:val="en-GB"/>
              </w:rPr>
            </w:pPr>
            <w:r w:rsidRPr="009C5EFD">
              <w:rPr>
                <w:sz w:val="22"/>
                <w:szCs w:val="22"/>
                <w:lang w:val="en-GB"/>
              </w:rPr>
              <w:t>ASDAS</w:t>
            </w:r>
            <w:r w:rsidRPr="009C5EFD">
              <w:rPr>
                <w:sz w:val="22"/>
                <w:szCs w:val="22"/>
                <w:vertAlign w:val="superscript"/>
                <w:lang w:val="en-GB"/>
              </w:rPr>
              <w:t>c,d,e</w:t>
            </w:r>
          </w:p>
        </w:tc>
        <w:tc>
          <w:tcPr>
            <w:tcW w:w="689" w:type="pct"/>
          </w:tcPr>
          <w:p w14:paraId="4065F37B" w14:textId="77777777" w:rsidR="00D879C9" w:rsidRPr="009C5EFD" w:rsidRDefault="00E453CD" w:rsidP="007F67EE">
            <w:pPr>
              <w:keepNext/>
              <w:jc w:val="center"/>
              <w:rPr>
                <w:sz w:val="22"/>
                <w:szCs w:val="22"/>
                <w:lang w:val="en-GB"/>
              </w:rPr>
            </w:pPr>
            <w:r w:rsidRPr="009C5EFD">
              <w:rPr>
                <w:sz w:val="22"/>
                <w:szCs w:val="22"/>
                <w:lang w:val="en-GB"/>
              </w:rPr>
              <w:t>-0,3</w:t>
            </w:r>
          </w:p>
        </w:tc>
        <w:tc>
          <w:tcPr>
            <w:tcW w:w="1203" w:type="pct"/>
          </w:tcPr>
          <w:p w14:paraId="223A9D63" w14:textId="77777777" w:rsidR="00D879C9" w:rsidRPr="009C5EFD" w:rsidRDefault="00E453CD" w:rsidP="00193D76">
            <w:pPr>
              <w:keepNext/>
              <w:jc w:val="center"/>
              <w:rPr>
                <w:sz w:val="22"/>
                <w:szCs w:val="22"/>
                <w:lang w:val="en-GB"/>
              </w:rPr>
            </w:pPr>
            <w:r w:rsidRPr="009C5EFD">
              <w:rPr>
                <w:sz w:val="22"/>
                <w:szCs w:val="22"/>
                <w:lang w:val="en-GB"/>
              </w:rPr>
              <w:t>-1,0***</w:t>
            </w:r>
          </w:p>
        </w:tc>
      </w:tr>
      <w:tr w:rsidR="004644D4" w14:paraId="73F395BF" w14:textId="77777777" w:rsidTr="00926F2E">
        <w:trPr>
          <w:jc w:val="center"/>
        </w:trPr>
        <w:tc>
          <w:tcPr>
            <w:tcW w:w="3109" w:type="pct"/>
          </w:tcPr>
          <w:p w14:paraId="55A1B0DB" w14:textId="77777777" w:rsidR="00D879C9" w:rsidRPr="009C5EFD" w:rsidRDefault="00E453CD" w:rsidP="007F67EE">
            <w:pPr>
              <w:keepNext/>
              <w:rPr>
                <w:sz w:val="22"/>
                <w:szCs w:val="22"/>
                <w:lang w:val="en-GB"/>
              </w:rPr>
            </w:pPr>
            <w:r w:rsidRPr="009C5EFD">
              <w:rPr>
                <w:sz w:val="22"/>
                <w:szCs w:val="22"/>
                <w:lang w:val="en-GB"/>
              </w:rPr>
              <w:t>ASDAS inaktiv sykdom</w:t>
            </w:r>
          </w:p>
        </w:tc>
        <w:tc>
          <w:tcPr>
            <w:tcW w:w="689" w:type="pct"/>
          </w:tcPr>
          <w:p w14:paraId="370AAEBB" w14:textId="77777777" w:rsidR="00D879C9" w:rsidRPr="009C5EFD" w:rsidRDefault="00E453CD" w:rsidP="007F67EE">
            <w:pPr>
              <w:keepNext/>
              <w:jc w:val="center"/>
              <w:rPr>
                <w:sz w:val="22"/>
                <w:szCs w:val="22"/>
                <w:lang w:val="en-GB"/>
              </w:rPr>
            </w:pPr>
            <w:r w:rsidRPr="009C5EFD">
              <w:rPr>
                <w:sz w:val="22"/>
                <w:szCs w:val="22"/>
                <w:lang w:val="en-GB"/>
              </w:rPr>
              <w:t>4</w:t>
            </w:r>
            <w:r w:rsidR="00855D5C" w:rsidRPr="009C5EFD">
              <w:rPr>
                <w:sz w:val="22"/>
                <w:szCs w:val="22"/>
                <w:lang w:val="en-GB"/>
              </w:rPr>
              <w:t xml:space="preserve"> </w:t>
            </w:r>
            <w:r w:rsidRPr="009C5EFD">
              <w:rPr>
                <w:sz w:val="22"/>
                <w:szCs w:val="22"/>
                <w:lang w:val="en-GB"/>
              </w:rPr>
              <w:t>%</w:t>
            </w:r>
          </w:p>
        </w:tc>
        <w:tc>
          <w:tcPr>
            <w:tcW w:w="1203" w:type="pct"/>
          </w:tcPr>
          <w:p w14:paraId="2FDE085D" w14:textId="77777777" w:rsidR="00D879C9" w:rsidRPr="009C5EFD" w:rsidRDefault="00E453CD" w:rsidP="00193D76">
            <w:pPr>
              <w:keepNext/>
              <w:jc w:val="center"/>
              <w:rPr>
                <w:sz w:val="22"/>
                <w:szCs w:val="22"/>
                <w:lang w:val="en-GB"/>
              </w:rPr>
            </w:pPr>
            <w:r w:rsidRPr="009C5EFD">
              <w:rPr>
                <w:sz w:val="22"/>
                <w:szCs w:val="22"/>
                <w:lang w:val="en-GB"/>
              </w:rPr>
              <w:t>24</w:t>
            </w:r>
            <w:r w:rsidR="00855D5C" w:rsidRPr="009C5EFD">
              <w:rPr>
                <w:sz w:val="22"/>
                <w:szCs w:val="22"/>
                <w:lang w:val="en-GB"/>
              </w:rPr>
              <w:t xml:space="preserve"> </w:t>
            </w:r>
            <w:r w:rsidRPr="009C5EFD">
              <w:rPr>
                <w:sz w:val="22"/>
                <w:szCs w:val="22"/>
                <w:lang w:val="en-GB"/>
              </w:rPr>
              <w:t>%***</w:t>
            </w:r>
          </w:p>
        </w:tc>
      </w:tr>
      <w:tr w:rsidR="004644D4" w14:paraId="159390D7" w14:textId="77777777" w:rsidTr="00926F2E">
        <w:trPr>
          <w:jc w:val="center"/>
        </w:trPr>
        <w:tc>
          <w:tcPr>
            <w:tcW w:w="3109" w:type="pct"/>
          </w:tcPr>
          <w:p w14:paraId="62C4C8E7" w14:textId="77777777" w:rsidR="00D879C9" w:rsidRPr="009C5EFD" w:rsidRDefault="00E453CD" w:rsidP="007F67EE">
            <w:pPr>
              <w:keepNext/>
              <w:rPr>
                <w:sz w:val="22"/>
                <w:szCs w:val="22"/>
                <w:lang w:val="en-GB"/>
              </w:rPr>
            </w:pPr>
            <w:r w:rsidRPr="009C5EFD">
              <w:rPr>
                <w:sz w:val="22"/>
                <w:szCs w:val="22"/>
                <w:lang w:val="en-GB"/>
              </w:rPr>
              <w:t>hs-CRP</w:t>
            </w:r>
            <w:r w:rsidRPr="009C5EFD">
              <w:rPr>
                <w:sz w:val="22"/>
                <w:szCs w:val="22"/>
                <w:vertAlign w:val="superscript"/>
                <w:lang w:val="en-GB"/>
              </w:rPr>
              <w:t>d,f,g</w:t>
            </w:r>
          </w:p>
        </w:tc>
        <w:tc>
          <w:tcPr>
            <w:tcW w:w="689" w:type="pct"/>
          </w:tcPr>
          <w:p w14:paraId="325C4453" w14:textId="77777777" w:rsidR="00D879C9" w:rsidRPr="009C5EFD" w:rsidRDefault="00E453CD" w:rsidP="007F67EE">
            <w:pPr>
              <w:keepNext/>
              <w:jc w:val="center"/>
              <w:rPr>
                <w:sz w:val="22"/>
                <w:szCs w:val="22"/>
                <w:lang w:val="en-GB"/>
              </w:rPr>
            </w:pPr>
            <w:r w:rsidRPr="009C5EFD">
              <w:rPr>
                <w:sz w:val="22"/>
                <w:szCs w:val="22"/>
                <w:lang w:val="en-GB"/>
              </w:rPr>
              <w:t>-0,3</w:t>
            </w:r>
          </w:p>
        </w:tc>
        <w:tc>
          <w:tcPr>
            <w:tcW w:w="1203" w:type="pct"/>
          </w:tcPr>
          <w:p w14:paraId="18B5E80A" w14:textId="77777777" w:rsidR="00D879C9" w:rsidRPr="009C5EFD" w:rsidRDefault="00E453CD" w:rsidP="00193D76">
            <w:pPr>
              <w:keepNext/>
              <w:jc w:val="center"/>
              <w:rPr>
                <w:sz w:val="22"/>
                <w:szCs w:val="22"/>
                <w:lang w:val="en-GB"/>
              </w:rPr>
            </w:pPr>
            <w:r w:rsidRPr="009C5EFD">
              <w:rPr>
                <w:sz w:val="22"/>
                <w:szCs w:val="22"/>
                <w:lang w:val="en-GB"/>
              </w:rPr>
              <w:t>-4,7***</w:t>
            </w:r>
          </w:p>
        </w:tc>
      </w:tr>
      <w:tr w:rsidR="004644D4" w14:paraId="27F80DB8" w14:textId="77777777" w:rsidTr="00926F2E">
        <w:trPr>
          <w:jc w:val="center"/>
        </w:trPr>
        <w:tc>
          <w:tcPr>
            <w:tcW w:w="3109" w:type="pct"/>
          </w:tcPr>
          <w:p w14:paraId="59284D57" w14:textId="77777777" w:rsidR="00D879C9" w:rsidRPr="009C5EFD" w:rsidRDefault="00E453CD" w:rsidP="007F67EE">
            <w:pPr>
              <w:keepNext/>
              <w:rPr>
                <w:sz w:val="22"/>
                <w:szCs w:val="22"/>
                <w:vertAlign w:val="superscript"/>
                <w:lang w:val="en-GB"/>
              </w:rPr>
            </w:pPr>
            <w:r w:rsidRPr="009C5EFD">
              <w:rPr>
                <w:sz w:val="22"/>
                <w:szCs w:val="22"/>
                <w:lang w:val="en-GB"/>
              </w:rPr>
              <w:t>SPARCC</w:t>
            </w:r>
            <w:r w:rsidRPr="009C5EFD">
              <w:rPr>
                <w:sz w:val="22"/>
                <w:szCs w:val="22"/>
                <w:vertAlign w:val="superscript"/>
                <w:lang w:val="en-GB"/>
              </w:rPr>
              <w:t>h</w:t>
            </w:r>
            <w:r w:rsidRPr="009C5EFD">
              <w:rPr>
                <w:sz w:val="22"/>
                <w:szCs w:val="22"/>
                <w:lang w:val="en-GB"/>
              </w:rPr>
              <w:t xml:space="preserve"> MRI sakroili</w:t>
            </w:r>
            <w:r w:rsidR="00855D5C" w:rsidRPr="009C5EFD">
              <w:rPr>
                <w:sz w:val="22"/>
                <w:szCs w:val="22"/>
                <w:lang w:val="en-GB"/>
              </w:rPr>
              <w:t>k</w:t>
            </w:r>
            <w:r w:rsidRPr="009C5EFD">
              <w:rPr>
                <w:sz w:val="22"/>
                <w:szCs w:val="22"/>
                <w:lang w:val="en-GB"/>
              </w:rPr>
              <w:t>alledd</w:t>
            </w:r>
            <w:r w:rsidRPr="009C5EFD">
              <w:rPr>
                <w:sz w:val="22"/>
                <w:szCs w:val="22"/>
                <w:vertAlign w:val="superscript"/>
                <w:lang w:val="en-GB"/>
              </w:rPr>
              <w:t>d,i</w:t>
            </w:r>
          </w:p>
        </w:tc>
        <w:tc>
          <w:tcPr>
            <w:tcW w:w="689" w:type="pct"/>
          </w:tcPr>
          <w:p w14:paraId="7A2BD626" w14:textId="77777777" w:rsidR="00D879C9" w:rsidRPr="009C5EFD" w:rsidRDefault="00E453CD" w:rsidP="007F67EE">
            <w:pPr>
              <w:keepNext/>
              <w:jc w:val="center"/>
              <w:rPr>
                <w:sz w:val="22"/>
                <w:szCs w:val="22"/>
                <w:lang w:val="en-GB"/>
              </w:rPr>
            </w:pPr>
            <w:r w:rsidRPr="009C5EFD">
              <w:rPr>
                <w:sz w:val="22"/>
                <w:szCs w:val="22"/>
                <w:lang w:val="en-GB"/>
              </w:rPr>
              <w:t>-0,6</w:t>
            </w:r>
          </w:p>
        </w:tc>
        <w:tc>
          <w:tcPr>
            <w:tcW w:w="1203" w:type="pct"/>
          </w:tcPr>
          <w:p w14:paraId="7EC35DF2" w14:textId="77777777" w:rsidR="00D879C9" w:rsidRPr="009C5EFD" w:rsidRDefault="00E453CD" w:rsidP="00193D76">
            <w:pPr>
              <w:keepNext/>
              <w:jc w:val="center"/>
              <w:rPr>
                <w:sz w:val="22"/>
                <w:szCs w:val="22"/>
                <w:lang w:val="en-GB"/>
              </w:rPr>
            </w:pPr>
            <w:r w:rsidRPr="009C5EFD">
              <w:rPr>
                <w:sz w:val="22"/>
                <w:szCs w:val="22"/>
                <w:lang w:val="en-GB"/>
              </w:rPr>
              <w:t>-3,2**</w:t>
            </w:r>
          </w:p>
        </w:tc>
      </w:tr>
      <w:tr w:rsidR="004644D4" w14:paraId="4A36E116" w14:textId="77777777" w:rsidTr="00926F2E">
        <w:trPr>
          <w:jc w:val="center"/>
        </w:trPr>
        <w:tc>
          <w:tcPr>
            <w:tcW w:w="3109" w:type="pct"/>
          </w:tcPr>
          <w:p w14:paraId="7233089C" w14:textId="77777777" w:rsidR="00D879C9" w:rsidRPr="009C5EFD" w:rsidRDefault="00E453CD" w:rsidP="007F67EE">
            <w:pPr>
              <w:keepNext/>
              <w:rPr>
                <w:sz w:val="22"/>
                <w:szCs w:val="22"/>
                <w:vertAlign w:val="superscript"/>
                <w:lang w:val="en-GB"/>
              </w:rPr>
            </w:pPr>
            <w:r w:rsidRPr="009C5EFD">
              <w:rPr>
                <w:sz w:val="22"/>
                <w:szCs w:val="22"/>
                <w:lang w:val="en-GB"/>
              </w:rPr>
              <w:t>SPARCC MRI ryggrad</w:t>
            </w:r>
            <w:r w:rsidRPr="009C5EFD">
              <w:rPr>
                <w:sz w:val="22"/>
                <w:szCs w:val="22"/>
                <w:vertAlign w:val="superscript"/>
                <w:lang w:val="en-GB"/>
              </w:rPr>
              <w:t>d,j</w:t>
            </w:r>
          </w:p>
        </w:tc>
        <w:tc>
          <w:tcPr>
            <w:tcW w:w="689" w:type="pct"/>
          </w:tcPr>
          <w:p w14:paraId="2ADE2E6D" w14:textId="77777777" w:rsidR="00D879C9" w:rsidRPr="009C5EFD" w:rsidRDefault="00E453CD" w:rsidP="007F67EE">
            <w:pPr>
              <w:keepNext/>
              <w:jc w:val="center"/>
              <w:rPr>
                <w:sz w:val="22"/>
                <w:szCs w:val="22"/>
                <w:lang w:val="en-GB"/>
              </w:rPr>
            </w:pPr>
            <w:r w:rsidRPr="009C5EFD">
              <w:rPr>
                <w:sz w:val="22"/>
                <w:szCs w:val="22"/>
                <w:lang w:val="en-GB"/>
              </w:rPr>
              <w:t>-0,2</w:t>
            </w:r>
          </w:p>
        </w:tc>
        <w:tc>
          <w:tcPr>
            <w:tcW w:w="1203" w:type="pct"/>
          </w:tcPr>
          <w:p w14:paraId="28A7D8DA" w14:textId="77777777" w:rsidR="00D879C9" w:rsidRPr="009C5EFD" w:rsidRDefault="00E453CD" w:rsidP="00193D76">
            <w:pPr>
              <w:keepNext/>
              <w:jc w:val="center"/>
              <w:rPr>
                <w:sz w:val="22"/>
                <w:szCs w:val="22"/>
                <w:lang w:val="en-GB"/>
              </w:rPr>
            </w:pPr>
            <w:r w:rsidRPr="009C5EFD">
              <w:rPr>
                <w:sz w:val="22"/>
                <w:szCs w:val="22"/>
                <w:lang w:val="en-GB"/>
              </w:rPr>
              <w:t>-1,8**</w:t>
            </w:r>
          </w:p>
        </w:tc>
      </w:tr>
      <w:tr w:rsidR="004644D4" w14:paraId="572ED134" w14:textId="77777777" w:rsidTr="00926F2E">
        <w:trPr>
          <w:jc w:val="center"/>
        </w:trPr>
        <w:tc>
          <w:tcPr>
            <w:tcW w:w="5000" w:type="pct"/>
            <w:gridSpan w:val="3"/>
            <w:tcBorders>
              <w:left w:val="nil"/>
              <w:bottom w:val="nil"/>
              <w:right w:val="nil"/>
            </w:tcBorders>
          </w:tcPr>
          <w:p w14:paraId="3665E42E" w14:textId="77777777" w:rsidR="00D879C9" w:rsidRPr="00C07C98" w:rsidRDefault="00E453CD" w:rsidP="007F67EE">
            <w:pPr>
              <w:autoSpaceDE w:val="0"/>
              <w:autoSpaceDN w:val="0"/>
              <w:adjustRightInd w:val="0"/>
              <w:rPr>
                <w:sz w:val="22"/>
                <w:szCs w:val="22"/>
                <w:lang w:val="en-GB"/>
              </w:rPr>
            </w:pPr>
            <w:r w:rsidRPr="007F67EE">
              <w:rPr>
                <w:sz w:val="22"/>
                <w:szCs w:val="22"/>
                <w:vertAlign w:val="superscript"/>
                <w:lang w:val="en-GB"/>
              </w:rPr>
              <w:t>a</w:t>
            </w:r>
            <w:r w:rsidR="00855D5C" w:rsidRPr="00193D76">
              <w:rPr>
                <w:sz w:val="22"/>
                <w:szCs w:val="22"/>
                <w:lang w:val="en-GB"/>
              </w:rPr>
              <w:t xml:space="preserve"> </w:t>
            </w:r>
            <w:r w:rsidRPr="00C07C98">
              <w:rPr>
                <w:sz w:val="22"/>
                <w:szCs w:val="22"/>
                <w:lang w:val="en-GB"/>
              </w:rPr>
              <w:t xml:space="preserve">Assessment </w:t>
            </w:r>
            <w:r w:rsidR="00E73F1F">
              <w:rPr>
                <w:sz w:val="22"/>
                <w:szCs w:val="22"/>
                <w:lang w:val="en-GB"/>
              </w:rPr>
              <w:t>of</w:t>
            </w:r>
            <w:r w:rsidRPr="00C07C98">
              <w:rPr>
                <w:sz w:val="22"/>
                <w:szCs w:val="22"/>
                <w:lang w:val="en-GB"/>
              </w:rPr>
              <w:t xml:space="preserve"> Spondylo</w:t>
            </w:r>
            <w:r w:rsidR="00E73F1F">
              <w:rPr>
                <w:sz w:val="22"/>
                <w:szCs w:val="22"/>
                <w:lang w:val="en-GB"/>
              </w:rPr>
              <w:t>A</w:t>
            </w:r>
            <w:r w:rsidRPr="00C07C98">
              <w:rPr>
                <w:sz w:val="22"/>
                <w:szCs w:val="22"/>
                <w:lang w:val="en-GB"/>
              </w:rPr>
              <w:t>rthritis International Society</w:t>
            </w:r>
          </w:p>
          <w:p w14:paraId="7DEF94B8" w14:textId="77777777" w:rsidR="00D879C9" w:rsidRPr="009C5EFD" w:rsidRDefault="00E453CD" w:rsidP="007F67EE">
            <w:pPr>
              <w:pStyle w:val="EMEANormal"/>
              <w:ind w:left="20"/>
              <w:rPr>
                <w:szCs w:val="22"/>
                <w:lang w:val="en-GB"/>
              </w:rPr>
            </w:pPr>
            <w:r w:rsidRPr="00E14E58">
              <w:rPr>
                <w:szCs w:val="22"/>
                <w:vertAlign w:val="superscript"/>
                <w:lang w:val="en-GB"/>
              </w:rPr>
              <w:t>b</w:t>
            </w:r>
            <w:r w:rsidRPr="009C5EFD">
              <w:rPr>
                <w:szCs w:val="22"/>
                <w:lang w:val="en-GB"/>
              </w:rPr>
              <w:t xml:space="preserve"> Bath Ankylosing Spondylitis Disease Activity Index</w:t>
            </w:r>
          </w:p>
          <w:p w14:paraId="6B295924" w14:textId="77777777" w:rsidR="00D879C9" w:rsidRPr="009C5EFD" w:rsidRDefault="00E453CD" w:rsidP="00193D76">
            <w:pPr>
              <w:pStyle w:val="EMEANormal"/>
              <w:ind w:left="20"/>
              <w:rPr>
                <w:szCs w:val="22"/>
                <w:lang w:val="en-GB"/>
              </w:rPr>
            </w:pPr>
            <w:r w:rsidRPr="009C5EFD">
              <w:rPr>
                <w:szCs w:val="22"/>
                <w:vertAlign w:val="superscript"/>
                <w:lang w:val="en-GB"/>
              </w:rPr>
              <w:t>c</w:t>
            </w:r>
            <w:r w:rsidRPr="009C5EFD">
              <w:rPr>
                <w:szCs w:val="22"/>
                <w:lang w:val="en-GB"/>
              </w:rPr>
              <w:t xml:space="preserve"> Ankylosing Spondylitis Disease Activity Score</w:t>
            </w:r>
          </w:p>
          <w:p w14:paraId="2C4DB57D" w14:textId="77777777" w:rsidR="00D879C9" w:rsidRPr="009C5EFD" w:rsidRDefault="00E453CD" w:rsidP="002D0790">
            <w:pPr>
              <w:pStyle w:val="EMEANormal"/>
              <w:ind w:left="20"/>
              <w:rPr>
                <w:szCs w:val="22"/>
                <w:lang w:val="nb-NO"/>
              </w:rPr>
            </w:pPr>
            <w:r w:rsidRPr="009C5EFD">
              <w:rPr>
                <w:szCs w:val="22"/>
                <w:vertAlign w:val="superscript"/>
                <w:lang w:val="nb-NO"/>
              </w:rPr>
              <w:t>d</w:t>
            </w:r>
            <w:r w:rsidRPr="009C5EFD">
              <w:rPr>
                <w:szCs w:val="22"/>
                <w:lang w:val="nb-NO"/>
              </w:rPr>
              <w:t xml:space="preserve"> gjennomsnittlig endring fra baseline</w:t>
            </w:r>
          </w:p>
          <w:p w14:paraId="3C38362E" w14:textId="77777777" w:rsidR="00D879C9" w:rsidRPr="009C5EFD" w:rsidRDefault="00E453CD" w:rsidP="00C07C98">
            <w:pPr>
              <w:pStyle w:val="EMEANormal"/>
              <w:ind w:left="20"/>
              <w:rPr>
                <w:szCs w:val="22"/>
                <w:lang w:val="nb-NO"/>
              </w:rPr>
            </w:pPr>
            <w:r w:rsidRPr="009C5EFD">
              <w:rPr>
                <w:szCs w:val="22"/>
                <w:vertAlign w:val="superscript"/>
                <w:lang w:val="nb-NO"/>
              </w:rPr>
              <w:t>e</w:t>
            </w:r>
            <w:r w:rsidRPr="009C5EFD">
              <w:rPr>
                <w:szCs w:val="22"/>
                <w:lang w:val="nb-NO"/>
              </w:rPr>
              <w:t xml:space="preserve"> n=91 placebo og n=87 Humira</w:t>
            </w:r>
          </w:p>
          <w:p w14:paraId="53835E46" w14:textId="77777777" w:rsidR="00D879C9" w:rsidRPr="00392F01" w:rsidRDefault="00E453CD" w:rsidP="00E14E58">
            <w:pPr>
              <w:pStyle w:val="EMEANormal"/>
              <w:ind w:left="20"/>
              <w:rPr>
                <w:szCs w:val="22"/>
                <w:lang w:val="nb-NO"/>
              </w:rPr>
            </w:pPr>
            <w:r w:rsidRPr="00392F01">
              <w:rPr>
                <w:szCs w:val="22"/>
                <w:vertAlign w:val="superscript"/>
                <w:lang w:val="nb-NO"/>
              </w:rPr>
              <w:t>f</w:t>
            </w:r>
            <w:r w:rsidRPr="00392F01">
              <w:rPr>
                <w:szCs w:val="22"/>
                <w:lang w:val="nb-NO"/>
              </w:rPr>
              <w:t xml:space="preserve"> høysensitiv</w:t>
            </w:r>
            <w:r w:rsidR="00E73F1F">
              <w:rPr>
                <w:szCs w:val="22"/>
                <w:lang w:val="nb-NO"/>
              </w:rPr>
              <w:t>t</w:t>
            </w:r>
            <w:r w:rsidRPr="00392F01">
              <w:rPr>
                <w:szCs w:val="22"/>
                <w:lang w:val="nb-NO"/>
              </w:rPr>
              <w:t xml:space="preserve"> C-</w:t>
            </w:r>
            <w:r w:rsidR="00E73F1F">
              <w:rPr>
                <w:szCs w:val="22"/>
                <w:lang w:val="nb-NO"/>
              </w:rPr>
              <w:t>reaktivt</w:t>
            </w:r>
            <w:r w:rsidRPr="00392F01">
              <w:rPr>
                <w:szCs w:val="22"/>
                <w:lang w:val="nb-NO"/>
              </w:rPr>
              <w:t xml:space="preserve"> </w:t>
            </w:r>
            <w:r w:rsidR="00E73F1F">
              <w:rPr>
                <w:szCs w:val="22"/>
                <w:lang w:val="nb-NO"/>
              </w:rPr>
              <w:t>p</w:t>
            </w:r>
            <w:r w:rsidRPr="00392F01">
              <w:rPr>
                <w:szCs w:val="22"/>
                <w:lang w:val="nb-NO"/>
              </w:rPr>
              <w:t>rotein (mg/</w:t>
            </w:r>
            <w:r w:rsidR="00E73F1F">
              <w:rPr>
                <w:szCs w:val="22"/>
                <w:lang w:val="nb-NO"/>
              </w:rPr>
              <w:t>l</w:t>
            </w:r>
            <w:r w:rsidRPr="00392F01">
              <w:rPr>
                <w:szCs w:val="22"/>
                <w:lang w:val="nb-NO"/>
              </w:rPr>
              <w:t>)</w:t>
            </w:r>
          </w:p>
          <w:p w14:paraId="71C47BEB" w14:textId="77777777" w:rsidR="00D879C9" w:rsidRPr="00392F01" w:rsidRDefault="00E453CD" w:rsidP="009C5EFD">
            <w:pPr>
              <w:pStyle w:val="EMEANormal"/>
              <w:ind w:left="20"/>
              <w:rPr>
                <w:szCs w:val="22"/>
                <w:lang w:val="nb-NO"/>
              </w:rPr>
            </w:pPr>
            <w:r w:rsidRPr="00392F01">
              <w:rPr>
                <w:szCs w:val="22"/>
                <w:vertAlign w:val="superscript"/>
                <w:lang w:val="nb-NO"/>
              </w:rPr>
              <w:t>g</w:t>
            </w:r>
            <w:r w:rsidRPr="00392F01">
              <w:rPr>
                <w:szCs w:val="22"/>
                <w:lang w:val="nb-NO"/>
              </w:rPr>
              <w:t xml:space="preserve"> n=73 placebo og n=70 Humira</w:t>
            </w:r>
          </w:p>
          <w:p w14:paraId="19D2D412" w14:textId="77777777" w:rsidR="00D879C9" w:rsidRPr="009C5EFD" w:rsidRDefault="00E453CD" w:rsidP="009C5EFD">
            <w:pPr>
              <w:pStyle w:val="EMEANormal"/>
              <w:ind w:left="20"/>
              <w:rPr>
                <w:szCs w:val="22"/>
                <w:lang w:val="en-GB"/>
              </w:rPr>
            </w:pPr>
            <w:r w:rsidRPr="009C5EFD">
              <w:rPr>
                <w:szCs w:val="22"/>
                <w:vertAlign w:val="superscript"/>
                <w:lang w:val="en-GB"/>
              </w:rPr>
              <w:t>h</w:t>
            </w:r>
            <w:r w:rsidRPr="009C5EFD">
              <w:rPr>
                <w:szCs w:val="22"/>
                <w:lang w:val="en-GB"/>
              </w:rPr>
              <w:t xml:space="preserve"> Spondyloarthritis Research Consortium of Canada</w:t>
            </w:r>
          </w:p>
          <w:p w14:paraId="481E6704" w14:textId="77777777" w:rsidR="00D879C9" w:rsidRPr="00392F01" w:rsidRDefault="00E453CD" w:rsidP="009C5EFD">
            <w:pPr>
              <w:keepNext/>
              <w:ind w:left="20"/>
              <w:rPr>
                <w:sz w:val="22"/>
                <w:szCs w:val="22"/>
              </w:rPr>
            </w:pPr>
            <w:r w:rsidRPr="00392F01">
              <w:rPr>
                <w:sz w:val="22"/>
                <w:szCs w:val="22"/>
                <w:vertAlign w:val="superscript"/>
              </w:rPr>
              <w:t>i</w:t>
            </w:r>
            <w:r w:rsidRPr="00392F01">
              <w:rPr>
                <w:sz w:val="22"/>
                <w:szCs w:val="22"/>
              </w:rPr>
              <w:t xml:space="preserve"> n=84 placebo og Humira</w:t>
            </w:r>
          </w:p>
          <w:p w14:paraId="5162F24C" w14:textId="77777777" w:rsidR="00D879C9" w:rsidRPr="00392F01" w:rsidRDefault="00E453CD" w:rsidP="009C5EFD">
            <w:pPr>
              <w:pStyle w:val="EMEANormal"/>
              <w:ind w:left="20"/>
              <w:rPr>
                <w:szCs w:val="22"/>
                <w:lang w:val="nb-NO"/>
              </w:rPr>
            </w:pPr>
            <w:r w:rsidRPr="00392F01">
              <w:rPr>
                <w:szCs w:val="22"/>
                <w:vertAlign w:val="superscript"/>
                <w:lang w:val="nb-NO"/>
              </w:rPr>
              <w:t>j</w:t>
            </w:r>
            <w:r w:rsidRPr="00392F01">
              <w:rPr>
                <w:szCs w:val="22"/>
                <w:lang w:val="nb-NO"/>
              </w:rPr>
              <w:t xml:space="preserve"> n=82 placebo og n=85 Humira</w:t>
            </w:r>
          </w:p>
          <w:p w14:paraId="5BF63263" w14:textId="77777777" w:rsidR="00D879C9" w:rsidRPr="00392F01" w:rsidRDefault="00E453CD" w:rsidP="009C5EFD">
            <w:pPr>
              <w:pStyle w:val="EMEANormal"/>
              <w:ind w:left="20"/>
              <w:rPr>
                <w:szCs w:val="22"/>
                <w:lang w:val="nb-NO"/>
              </w:rPr>
            </w:pPr>
            <w:r w:rsidRPr="00392F01">
              <w:rPr>
                <w:szCs w:val="22"/>
                <w:lang w:val="nb-NO"/>
              </w:rPr>
              <w:t>***, **, * Statistisk signifikant ved p</w:t>
            </w:r>
            <w:r w:rsidR="002010F4" w:rsidRPr="00392F01">
              <w:rPr>
                <w:szCs w:val="22"/>
                <w:lang w:val="nb-NO"/>
              </w:rPr>
              <w:t> </w:t>
            </w:r>
            <w:r w:rsidRPr="00392F01">
              <w:rPr>
                <w:szCs w:val="22"/>
                <w:lang w:val="nb-NO"/>
              </w:rPr>
              <w:t>&lt; 0</w:t>
            </w:r>
            <w:r w:rsidR="00855D5C" w:rsidRPr="00392F01">
              <w:rPr>
                <w:szCs w:val="22"/>
                <w:lang w:val="nb-NO"/>
              </w:rPr>
              <w:t>,</w:t>
            </w:r>
            <w:r w:rsidRPr="00392F01">
              <w:rPr>
                <w:szCs w:val="22"/>
                <w:lang w:val="nb-NO"/>
              </w:rPr>
              <w:t>001, &lt; 0</w:t>
            </w:r>
            <w:r w:rsidR="00855D5C" w:rsidRPr="00392F01">
              <w:rPr>
                <w:szCs w:val="22"/>
                <w:lang w:val="nb-NO"/>
              </w:rPr>
              <w:t>,</w:t>
            </w:r>
            <w:r w:rsidRPr="00392F01">
              <w:rPr>
                <w:szCs w:val="22"/>
                <w:lang w:val="nb-NO"/>
              </w:rPr>
              <w:t>01 og</w:t>
            </w:r>
            <w:r w:rsidR="002010F4" w:rsidRPr="00392F01">
              <w:rPr>
                <w:szCs w:val="22"/>
                <w:lang w:val="nb-NO"/>
              </w:rPr>
              <w:t xml:space="preserve"> </w:t>
            </w:r>
            <w:r w:rsidRPr="00392F01">
              <w:rPr>
                <w:szCs w:val="22"/>
                <w:lang w:val="nb-NO"/>
              </w:rPr>
              <w:t>&lt; </w:t>
            </w:r>
            <w:r w:rsidR="002010F4" w:rsidRPr="00392F01">
              <w:rPr>
                <w:szCs w:val="22"/>
                <w:lang w:val="nb-NO"/>
              </w:rPr>
              <w:t>0</w:t>
            </w:r>
            <w:r w:rsidR="00855D5C" w:rsidRPr="00392F01">
              <w:rPr>
                <w:szCs w:val="22"/>
                <w:lang w:val="nb-NO"/>
              </w:rPr>
              <w:t>,</w:t>
            </w:r>
            <w:r w:rsidR="002010F4" w:rsidRPr="00392F01">
              <w:rPr>
                <w:szCs w:val="22"/>
                <w:lang w:val="nb-NO"/>
              </w:rPr>
              <w:t>05</w:t>
            </w:r>
            <w:r w:rsidR="009A2CA3">
              <w:rPr>
                <w:szCs w:val="22"/>
                <w:lang w:val="nb-NO"/>
              </w:rPr>
              <w:t xml:space="preserve"> </w:t>
            </w:r>
            <w:r w:rsidRPr="00392F01">
              <w:rPr>
                <w:szCs w:val="22"/>
                <w:lang w:val="nb-NO"/>
              </w:rPr>
              <w:t>for alle sammenligninger mellom Humira og placebo.</w:t>
            </w:r>
          </w:p>
          <w:p w14:paraId="0EF7E592" w14:textId="77777777" w:rsidR="00D879C9" w:rsidRPr="00392F01" w:rsidRDefault="00D879C9" w:rsidP="009C5EFD">
            <w:pPr>
              <w:keepNext/>
              <w:ind w:left="20"/>
              <w:rPr>
                <w:sz w:val="22"/>
                <w:szCs w:val="22"/>
              </w:rPr>
            </w:pPr>
          </w:p>
        </w:tc>
      </w:tr>
    </w:tbl>
    <w:p w14:paraId="3A1C9673" w14:textId="77777777" w:rsidR="001E500F" w:rsidRPr="009C5EFD" w:rsidRDefault="00E453CD" w:rsidP="007F67EE">
      <w:pPr>
        <w:rPr>
          <w:sz w:val="22"/>
          <w:szCs w:val="22"/>
        </w:rPr>
      </w:pPr>
      <w:r w:rsidRPr="00193D76">
        <w:rPr>
          <w:sz w:val="22"/>
          <w:szCs w:val="22"/>
        </w:rPr>
        <w:t xml:space="preserve">I den åpne forlengelsesstudien ble forbedringer i tegn og symptomer opprettholdt </w:t>
      </w:r>
      <w:r w:rsidR="00855D5C" w:rsidRPr="002D0790">
        <w:rPr>
          <w:sz w:val="22"/>
          <w:szCs w:val="22"/>
        </w:rPr>
        <w:t xml:space="preserve">ved behandling </w:t>
      </w:r>
      <w:r w:rsidRPr="00C07C98">
        <w:rPr>
          <w:sz w:val="22"/>
          <w:szCs w:val="22"/>
        </w:rPr>
        <w:t>med Humira</w:t>
      </w:r>
      <w:r w:rsidR="00855D5C" w:rsidRPr="00E14E58">
        <w:rPr>
          <w:sz w:val="22"/>
          <w:szCs w:val="22"/>
        </w:rPr>
        <w:t xml:space="preserve"> fram</w:t>
      </w:r>
      <w:r w:rsidRPr="009C5EFD">
        <w:rPr>
          <w:sz w:val="22"/>
          <w:szCs w:val="22"/>
        </w:rPr>
        <w:t xml:space="preserve"> til og med </w:t>
      </w:r>
      <w:r w:rsidR="00315F16" w:rsidRPr="009C5EFD">
        <w:rPr>
          <w:sz w:val="22"/>
          <w:szCs w:val="22"/>
        </w:rPr>
        <w:t>uke </w:t>
      </w:r>
      <w:r w:rsidRPr="009C5EFD">
        <w:rPr>
          <w:sz w:val="22"/>
          <w:szCs w:val="22"/>
        </w:rPr>
        <w:t>156.</w:t>
      </w:r>
    </w:p>
    <w:p w14:paraId="75C49C74" w14:textId="77777777" w:rsidR="001E500F" w:rsidRPr="009C5EFD" w:rsidRDefault="001E500F" w:rsidP="00193D76">
      <w:pPr>
        <w:rPr>
          <w:sz w:val="22"/>
          <w:szCs w:val="22"/>
        </w:rPr>
      </w:pPr>
    </w:p>
    <w:p w14:paraId="12B316D0" w14:textId="77777777" w:rsidR="001E500F" w:rsidRPr="009C5EFD" w:rsidRDefault="00E453CD" w:rsidP="00776A84">
      <w:pPr>
        <w:keepNext/>
        <w:rPr>
          <w:sz w:val="22"/>
          <w:szCs w:val="22"/>
        </w:rPr>
      </w:pPr>
      <w:r w:rsidRPr="009C5EFD">
        <w:rPr>
          <w:sz w:val="22"/>
          <w:szCs w:val="22"/>
        </w:rPr>
        <w:t>Hemming av inflammasjon</w:t>
      </w:r>
    </w:p>
    <w:p w14:paraId="7B7EE906" w14:textId="77777777" w:rsidR="001E500F" w:rsidRPr="009C5EFD" w:rsidRDefault="001E500F" w:rsidP="00776A84">
      <w:pPr>
        <w:keepNext/>
        <w:rPr>
          <w:sz w:val="22"/>
          <w:szCs w:val="22"/>
        </w:rPr>
      </w:pPr>
    </w:p>
    <w:p w14:paraId="4EBE859D" w14:textId="77777777" w:rsidR="001E500F" w:rsidRPr="009C5EFD" w:rsidRDefault="00E453CD" w:rsidP="00E14E58">
      <w:pPr>
        <w:rPr>
          <w:sz w:val="22"/>
          <w:szCs w:val="22"/>
        </w:rPr>
      </w:pPr>
      <w:r w:rsidRPr="009C5EFD">
        <w:rPr>
          <w:sz w:val="22"/>
          <w:szCs w:val="22"/>
        </w:rPr>
        <w:t>Signifikante forbedringer i tegn på inflammasjon målt ved hs-CRP og MRI av både sakroili</w:t>
      </w:r>
      <w:r w:rsidR="00481C78" w:rsidRPr="009C5EFD">
        <w:rPr>
          <w:sz w:val="22"/>
          <w:szCs w:val="22"/>
        </w:rPr>
        <w:t>k</w:t>
      </w:r>
      <w:r w:rsidRPr="009C5EFD">
        <w:rPr>
          <w:sz w:val="22"/>
          <w:szCs w:val="22"/>
        </w:rPr>
        <w:t xml:space="preserve">alledd og ryggrad ble opprettholdt hos pasienter behandlet med Humira til og med henholdsvis </w:t>
      </w:r>
      <w:r w:rsidR="00315F16" w:rsidRPr="009C5EFD">
        <w:rPr>
          <w:sz w:val="22"/>
          <w:szCs w:val="22"/>
        </w:rPr>
        <w:t>uke </w:t>
      </w:r>
      <w:r w:rsidRPr="009C5EFD">
        <w:rPr>
          <w:sz w:val="22"/>
          <w:szCs w:val="22"/>
        </w:rPr>
        <w:t xml:space="preserve">156 og </w:t>
      </w:r>
      <w:r w:rsidR="00315F16" w:rsidRPr="009C5EFD">
        <w:rPr>
          <w:sz w:val="22"/>
          <w:szCs w:val="22"/>
        </w:rPr>
        <w:t>uke </w:t>
      </w:r>
      <w:r w:rsidRPr="009C5EFD">
        <w:rPr>
          <w:sz w:val="22"/>
          <w:szCs w:val="22"/>
        </w:rPr>
        <w:t>104.</w:t>
      </w:r>
    </w:p>
    <w:p w14:paraId="7E18AA61" w14:textId="77777777" w:rsidR="001E500F" w:rsidRPr="009C5EFD" w:rsidRDefault="001E500F" w:rsidP="009C5EFD">
      <w:pPr>
        <w:rPr>
          <w:sz w:val="22"/>
          <w:szCs w:val="22"/>
        </w:rPr>
      </w:pPr>
    </w:p>
    <w:p w14:paraId="134D3CFC" w14:textId="77777777" w:rsidR="001E500F" w:rsidRPr="009C5EFD" w:rsidRDefault="00E453CD" w:rsidP="00776A84">
      <w:pPr>
        <w:keepNext/>
        <w:rPr>
          <w:sz w:val="22"/>
          <w:szCs w:val="22"/>
        </w:rPr>
      </w:pPr>
      <w:r w:rsidRPr="009C5EFD">
        <w:rPr>
          <w:sz w:val="22"/>
          <w:szCs w:val="22"/>
        </w:rPr>
        <w:t>Livskvalitet og fysisk funksjon</w:t>
      </w:r>
    </w:p>
    <w:p w14:paraId="152938D6" w14:textId="77777777" w:rsidR="001E500F" w:rsidRPr="009C5EFD" w:rsidRDefault="001E500F" w:rsidP="00776A84">
      <w:pPr>
        <w:keepNext/>
        <w:rPr>
          <w:sz w:val="22"/>
          <w:szCs w:val="22"/>
        </w:rPr>
      </w:pPr>
    </w:p>
    <w:p w14:paraId="69762070" w14:textId="77777777" w:rsidR="001E500F" w:rsidRDefault="00E453CD" w:rsidP="009C5EFD">
      <w:pPr>
        <w:rPr>
          <w:sz w:val="22"/>
          <w:szCs w:val="22"/>
        </w:rPr>
      </w:pPr>
      <w:r w:rsidRPr="009C5EFD">
        <w:rPr>
          <w:sz w:val="22"/>
          <w:szCs w:val="22"/>
        </w:rPr>
        <w:t xml:space="preserve">Helserelatert livskvalitet og fysisk funksjon ble vurdert ved hjelp av spørreskjemaene HAQ-S og SF-36. Humira viste statistisk signifikant større forbedring i HAQ-S total score og SF-36 </w:t>
      </w:r>
      <w:r w:rsidR="00D57009">
        <w:rPr>
          <w:sz w:val="22"/>
          <w:szCs w:val="22"/>
        </w:rPr>
        <w:t>«</w:t>
      </w:r>
      <w:r w:rsidRPr="009C5EFD">
        <w:rPr>
          <w:sz w:val="22"/>
          <w:szCs w:val="22"/>
        </w:rPr>
        <w:t>Physical Component Score</w:t>
      </w:r>
      <w:r w:rsidR="00D57009">
        <w:rPr>
          <w:sz w:val="22"/>
          <w:szCs w:val="22"/>
        </w:rPr>
        <w:t>»</w:t>
      </w:r>
      <w:r w:rsidRPr="009C5EFD">
        <w:rPr>
          <w:sz w:val="22"/>
          <w:szCs w:val="22"/>
        </w:rPr>
        <w:t xml:space="preserve"> (PCS) fra baseline til </w:t>
      </w:r>
      <w:r w:rsidR="00315F16" w:rsidRPr="009C5EFD">
        <w:rPr>
          <w:sz w:val="22"/>
          <w:szCs w:val="22"/>
        </w:rPr>
        <w:t>uke </w:t>
      </w:r>
      <w:r w:rsidRPr="009C5EFD">
        <w:rPr>
          <w:sz w:val="22"/>
          <w:szCs w:val="22"/>
        </w:rPr>
        <w:t xml:space="preserve">12 sammenlignet med placebo. Forbedring i helserelatert livskvalitet og fysisk funksjon ble opprettholdt under den åpne forlengelsen til og med </w:t>
      </w:r>
      <w:r w:rsidR="00315F16" w:rsidRPr="009C5EFD">
        <w:rPr>
          <w:sz w:val="22"/>
          <w:szCs w:val="22"/>
        </w:rPr>
        <w:t>uke </w:t>
      </w:r>
      <w:r w:rsidRPr="009C5EFD">
        <w:rPr>
          <w:sz w:val="22"/>
          <w:szCs w:val="22"/>
        </w:rPr>
        <w:t>156.</w:t>
      </w:r>
    </w:p>
    <w:p w14:paraId="73C75974" w14:textId="77777777" w:rsidR="00443470" w:rsidRDefault="00443470" w:rsidP="009C5EFD">
      <w:pPr>
        <w:rPr>
          <w:sz w:val="22"/>
          <w:szCs w:val="22"/>
        </w:rPr>
      </w:pPr>
    </w:p>
    <w:p w14:paraId="41BF9F24" w14:textId="77777777" w:rsidR="00443470" w:rsidRPr="003A6BE9" w:rsidRDefault="00E453CD" w:rsidP="00443470">
      <w:pPr>
        <w:pStyle w:val="EMEANormal"/>
        <w:keepNext/>
        <w:rPr>
          <w:szCs w:val="22"/>
          <w:lang w:val="nb-NO"/>
        </w:rPr>
      </w:pPr>
      <w:r w:rsidRPr="003A6BE9">
        <w:rPr>
          <w:szCs w:val="22"/>
          <w:lang w:val="nb-NO"/>
        </w:rPr>
        <w:t>Studie nr-axSpA II</w:t>
      </w:r>
    </w:p>
    <w:p w14:paraId="6F490669" w14:textId="77777777" w:rsidR="00443470" w:rsidRPr="003A6BE9" w:rsidRDefault="00443470" w:rsidP="00443470">
      <w:pPr>
        <w:pStyle w:val="EMEANormal"/>
        <w:keepNext/>
        <w:rPr>
          <w:szCs w:val="22"/>
          <w:lang w:val="nb-NO"/>
        </w:rPr>
      </w:pPr>
    </w:p>
    <w:p w14:paraId="5F87DE48" w14:textId="77777777" w:rsidR="00443470" w:rsidRPr="003A6BE9" w:rsidRDefault="00E453CD" w:rsidP="00443470">
      <w:pPr>
        <w:pStyle w:val="EMEANormal"/>
        <w:rPr>
          <w:szCs w:val="22"/>
          <w:lang w:val="nb-NO"/>
        </w:rPr>
      </w:pPr>
      <w:r w:rsidRPr="003A6BE9">
        <w:rPr>
          <w:szCs w:val="22"/>
          <w:lang w:val="nb-NO"/>
        </w:rPr>
        <w:t xml:space="preserve">673 pasienter med aktiv nr-axSpA (gjennomsnittlig baseline sykdomsaktivitet [BASDAI] var 7,0) som hadde en utilstrekkelig respons til </w:t>
      </w:r>
      <w:r w:rsidRPr="00A374EC">
        <w:rPr>
          <w:rFonts w:ascii="Symbol" w:hAnsi="Symbol"/>
          <w:szCs w:val="22"/>
        </w:rPr>
        <w:sym w:font="Symbol" w:char="F0B3"/>
      </w:r>
      <w:r w:rsidRPr="003A6BE9">
        <w:rPr>
          <w:szCs w:val="22"/>
          <w:lang w:val="nb-NO"/>
        </w:rPr>
        <w:t xml:space="preserve"> 2 NSAIDs, eller </w:t>
      </w:r>
      <w:r>
        <w:rPr>
          <w:szCs w:val="22"/>
          <w:lang w:val="nb-NO"/>
        </w:rPr>
        <w:t xml:space="preserve">en </w:t>
      </w:r>
      <w:r w:rsidRPr="003A6BE9">
        <w:rPr>
          <w:szCs w:val="22"/>
          <w:lang w:val="nb-NO"/>
        </w:rPr>
        <w:t xml:space="preserve">intoleranse for eller </w:t>
      </w:r>
      <w:r>
        <w:rPr>
          <w:szCs w:val="22"/>
          <w:lang w:val="nb-NO"/>
        </w:rPr>
        <w:t xml:space="preserve">en </w:t>
      </w:r>
      <w:r w:rsidRPr="003A6BE9">
        <w:rPr>
          <w:szCs w:val="22"/>
          <w:lang w:val="nb-NO"/>
        </w:rPr>
        <w:t xml:space="preserve">kontraindikasjon for NSAIDs </w:t>
      </w:r>
      <w:r>
        <w:rPr>
          <w:szCs w:val="22"/>
          <w:lang w:val="nb-NO"/>
        </w:rPr>
        <w:t xml:space="preserve">ble inkludert i den åpne studieperioden av </w:t>
      </w:r>
      <w:r w:rsidRPr="003A6BE9">
        <w:rPr>
          <w:szCs w:val="22"/>
          <w:lang w:val="nb-NO"/>
        </w:rPr>
        <w:t xml:space="preserve">nr-axSpA II </w:t>
      </w:r>
      <w:r>
        <w:rPr>
          <w:szCs w:val="22"/>
          <w:lang w:val="nb-NO"/>
        </w:rPr>
        <w:t xml:space="preserve">hvor de fikk </w:t>
      </w:r>
      <w:r w:rsidRPr="003A6BE9">
        <w:rPr>
          <w:szCs w:val="22"/>
          <w:lang w:val="nb-NO"/>
        </w:rPr>
        <w:t xml:space="preserve">Humira 40 mg </w:t>
      </w:r>
      <w:r>
        <w:rPr>
          <w:szCs w:val="22"/>
          <w:lang w:val="nb-NO"/>
        </w:rPr>
        <w:t>annenhver uke i</w:t>
      </w:r>
      <w:r w:rsidRPr="003A6BE9">
        <w:rPr>
          <w:szCs w:val="22"/>
          <w:lang w:val="nb-NO"/>
        </w:rPr>
        <w:t xml:space="preserve"> 28 </w:t>
      </w:r>
      <w:r>
        <w:rPr>
          <w:szCs w:val="22"/>
          <w:lang w:val="nb-NO"/>
        </w:rPr>
        <w:t>uker</w:t>
      </w:r>
      <w:r w:rsidRPr="003A6BE9">
        <w:rPr>
          <w:szCs w:val="22"/>
          <w:lang w:val="nb-NO"/>
        </w:rPr>
        <w:t xml:space="preserve">. </w:t>
      </w:r>
      <w:r w:rsidRPr="001E2DC4">
        <w:rPr>
          <w:szCs w:val="22"/>
          <w:lang w:val="nb-NO"/>
        </w:rPr>
        <w:t xml:space="preserve">Disse pasientene hadde også objektive bevis på inflammasjon i </w:t>
      </w:r>
      <w:r w:rsidRPr="003A6BE9">
        <w:rPr>
          <w:szCs w:val="22"/>
          <w:lang w:val="nb-NO"/>
        </w:rPr>
        <w:t>sakroilikalledd</w:t>
      </w:r>
      <w:r>
        <w:rPr>
          <w:szCs w:val="22"/>
          <w:lang w:val="nb-NO"/>
        </w:rPr>
        <w:t>ene</w:t>
      </w:r>
      <w:r w:rsidRPr="003A6BE9">
        <w:rPr>
          <w:szCs w:val="22"/>
          <w:lang w:val="nb-NO"/>
        </w:rPr>
        <w:t xml:space="preserve"> eller ryggraden vist ved MR eller forhøyet hs-CRP. Pasientene som oppnådde vedvarende remisjon i minst 12 uker (N=305) (ASDAS &lt; 1,3 ved uke</w:t>
      </w:r>
      <w:r>
        <w:rPr>
          <w:szCs w:val="22"/>
          <w:lang w:val="nb-NO"/>
        </w:rPr>
        <w:t>ne</w:t>
      </w:r>
      <w:r w:rsidRPr="003A6BE9">
        <w:rPr>
          <w:szCs w:val="22"/>
          <w:lang w:val="nb-NO"/>
        </w:rPr>
        <w:t xml:space="preserve"> 16, 20, 24 og 28) i løpet av den åpne studieperioden ble randomisert til å få enten fortsatt behandling med Humira 40 mg annenhver uke (N=152) </w:t>
      </w:r>
      <w:r>
        <w:rPr>
          <w:szCs w:val="22"/>
          <w:lang w:val="nb-NO"/>
        </w:rPr>
        <w:t>elle</w:t>
      </w:r>
      <w:r w:rsidRPr="003A6BE9">
        <w:rPr>
          <w:szCs w:val="22"/>
          <w:lang w:val="nb-NO"/>
        </w:rPr>
        <w:t xml:space="preserve">r placebo (N=153) </w:t>
      </w:r>
      <w:r>
        <w:rPr>
          <w:szCs w:val="22"/>
          <w:lang w:val="nb-NO"/>
        </w:rPr>
        <w:t xml:space="preserve">i ytterligere </w:t>
      </w:r>
      <w:r w:rsidRPr="003A6BE9">
        <w:rPr>
          <w:szCs w:val="22"/>
          <w:lang w:val="nb-NO"/>
        </w:rPr>
        <w:t xml:space="preserve">40 </w:t>
      </w:r>
      <w:r>
        <w:rPr>
          <w:szCs w:val="22"/>
          <w:lang w:val="nb-NO"/>
        </w:rPr>
        <w:t>uker i en dobbeltblind</w:t>
      </w:r>
      <w:r w:rsidRPr="003A6BE9">
        <w:rPr>
          <w:szCs w:val="22"/>
          <w:lang w:val="nb-NO"/>
        </w:rPr>
        <w:t>, placebo</w:t>
      </w:r>
      <w:r>
        <w:rPr>
          <w:szCs w:val="22"/>
          <w:lang w:val="nb-NO"/>
        </w:rPr>
        <w:t>kontrollert</w:t>
      </w:r>
      <w:r w:rsidRPr="003A6BE9">
        <w:rPr>
          <w:szCs w:val="22"/>
          <w:lang w:val="nb-NO"/>
        </w:rPr>
        <w:t xml:space="preserve"> period</w:t>
      </w:r>
      <w:r>
        <w:rPr>
          <w:szCs w:val="22"/>
          <w:lang w:val="nb-NO"/>
        </w:rPr>
        <w:t xml:space="preserve">e (total studievarighet på </w:t>
      </w:r>
      <w:r w:rsidRPr="003A6BE9">
        <w:rPr>
          <w:szCs w:val="22"/>
          <w:lang w:val="nb-NO"/>
        </w:rPr>
        <w:t xml:space="preserve">68 </w:t>
      </w:r>
      <w:r>
        <w:rPr>
          <w:szCs w:val="22"/>
          <w:lang w:val="nb-NO"/>
        </w:rPr>
        <w:lastRenderedPageBreak/>
        <w:t>uker</w:t>
      </w:r>
      <w:r w:rsidRPr="003A6BE9">
        <w:rPr>
          <w:szCs w:val="22"/>
          <w:lang w:val="nb-NO"/>
        </w:rPr>
        <w:t xml:space="preserve">). </w:t>
      </w:r>
      <w:r>
        <w:rPr>
          <w:szCs w:val="22"/>
          <w:lang w:val="nb-NO"/>
        </w:rPr>
        <w:t xml:space="preserve">Pasienter som fikk sykdomsoppbluss i løpet av den dobbeltblinde perioden fikk </w:t>
      </w:r>
      <w:r w:rsidRPr="003A6BE9">
        <w:rPr>
          <w:szCs w:val="22"/>
          <w:lang w:val="nb-NO"/>
        </w:rPr>
        <w:t xml:space="preserve">Humira 40 mg </w:t>
      </w:r>
      <w:r>
        <w:rPr>
          <w:szCs w:val="22"/>
          <w:lang w:val="nb-NO"/>
        </w:rPr>
        <w:t xml:space="preserve">annenhver uke </w:t>
      </w:r>
      <w:r w:rsidR="007F1B30">
        <w:rPr>
          <w:szCs w:val="22"/>
          <w:lang w:val="nb-NO"/>
        </w:rPr>
        <w:t xml:space="preserve">som </w:t>
      </w:r>
      <w:r w:rsidR="005D4A42">
        <w:rPr>
          <w:szCs w:val="22"/>
          <w:lang w:val="nb-NO"/>
        </w:rPr>
        <w:t>«rescue»-</w:t>
      </w:r>
      <w:r w:rsidR="007F1B30">
        <w:rPr>
          <w:szCs w:val="22"/>
          <w:lang w:val="nb-NO"/>
        </w:rPr>
        <w:t>behandling</w:t>
      </w:r>
      <w:r>
        <w:rPr>
          <w:szCs w:val="22"/>
          <w:lang w:val="nb-NO"/>
        </w:rPr>
        <w:t xml:space="preserve"> i minst </w:t>
      </w:r>
      <w:r w:rsidRPr="003A6BE9">
        <w:rPr>
          <w:szCs w:val="22"/>
          <w:lang w:val="nb-NO"/>
        </w:rPr>
        <w:t>12</w:t>
      </w:r>
      <w:r>
        <w:rPr>
          <w:szCs w:val="22"/>
          <w:lang w:val="nb-NO"/>
        </w:rPr>
        <w:t> </w:t>
      </w:r>
      <w:r w:rsidR="007F1B30">
        <w:rPr>
          <w:szCs w:val="22"/>
          <w:lang w:val="nb-NO"/>
        </w:rPr>
        <w:t>uker</w:t>
      </w:r>
      <w:r w:rsidRPr="003A6BE9">
        <w:rPr>
          <w:szCs w:val="22"/>
          <w:lang w:val="nb-NO"/>
        </w:rPr>
        <w:t>.</w:t>
      </w:r>
    </w:p>
    <w:p w14:paraId="7A675EF9" w14:textId="77777777" w:rsidR="00443470" w:rsidRPr="003A6BE9" w:rsidRDefault="00443470" w:rsidP="00443470">
      <w:pPr>
        <w:pStyle w:val="EMEANormal"/>
        <w:rPr>
          <w:szCs w:val="22"/>
          <w:lang w:val="nb-NO"/>
        </w:rPr>
      </w:pPr>
    </w:p>
    <w:p w14:paraId="6AB36918" w14:textId="77777777" w:rsidR="00443470" w:rsidRPr="003A6BE9" w:rsidRDefault="00E453CD" w:rsidP="00443470">
      <w:pPr>
        <w:pStyle w:val="EMEANormal"/>
        <w:rPr>
          <w:szCs w:val="22"/>
          <w:lang w:val="nb-NO"/>
        </w:rPr>
      </w:pPr>
      <w:r w:rsidRPr="003A6BE9">
        <w:rPr>
          <w:szCs w:val="22"/>
          <w:lang w:val="nb-NO"/>
        </w:rPr>
        <w:t xml:space="preserve">Primærendepunktet var andel pasienter som ikke hadde </w:t>
      </w:r>
      <w:r>
        <w:rPr>
          <w:szCs w:val="22"/>
          <w:lang w:val="nb-NO"/>
        </w:rPr>
        <w:t>sykdomsoppbluss</w:t>
      </w:r>
      <w:r w:rsidRPr="003A6BE9">
        <w:rPr>
          <w:szCs w:val="22"/>
          <w:lang w:val="nb-NO"/>
        </w:rPr>
        <w:t xml:space="preserve"> ved uke 68 av studien. </w:t>
      </w:r>
      <w:r w:rsidRPr="00B26421">
        <w:rPr>
          <w:szCs w:val="22"/>
          <w:lang w:val="nb-NO"/>
        </w:rPr>
        <w:t xml:space="preserve">Oppbluss var definert som </w:t>
      </w:r>
      <w:r w:rsidRPr="003A6BE9">
        <w:rPr>
          <w:szCs w:val="22"/>
          <w:lang w:val="nb-NO"/>
        </w:rPr>
        <w:t xml:space="preserve">ASDAS ≥ 2,1 på to etterfølgende studiebesøk med fire ukers mellomrom. </w:t>
      </w:r>
      <w:r>
        <w:rPr>
          <w:szCs w:val="22"/>
          <w:lang w:val="nb-NO"/>
        </w:rPr>
        <w:t xml:space="preserve">En større andel av pasientene som fikk Humira hadde ikke sykdomsoppbluss i løpet av den dobbeltblinde perioden sammenlignet med de som fikk </w:t>
      </w:r>
      <w:r w:rsidRPr="003A6BE9">
        <w:rPr>
          <w:szCs w:val="22"/>
          <w:lang w:val="nb-NO"/>
        </w:rPr>
        <w:t>placebo (70,4</w:t>
      </w:r>
      <w:r>
        <w:rPr>
          <w:szCs w:val="22"/>
          <w:lang w:val="nb-NO"/>
        </w:rPr>
        <w:t xml:space="preserve"> </w:t>
      </w:r>
      <w:r w:rsidRPr="003A6BE9">
        <w:rPr>
          <w:szCs w:val="22"/>
          <w:lang w:val="nb-NO"/>
        </w:rPr>
        <w:t>%</w:t>
      </w:r>
      <w:r>
        <w:rPr>
          <w:szCs w:val="22"/>
          <w:lang w:val="nb-NO"/>
        </w:rPr>
        <w:t xml:space="preserve"> vs. 47,</w:t>
      </w:r>
      <w:r w:rsidRPr="003A6BE9">
        <w:rPr>
          <w:szCs w:val="22"/>
          <w:lang w:val="nb-NO"/>
        </w:rPr>
        <w:t>1</w:t>
      </w:r>
      <w:r>
        <w:rPr>
          <w:szCs w:val="22"/>
          <w:lang w:val="nb-NO"/>
        </w:rPr>
        <w:t xml:space="preserve"> </w:t>
      </w:r>
      <w:r w:rsidRPr="003A6BE9">
        <w:rPr>
          <w:szCs w:val="22"/>
          <w:lang w:val="nb-NO"/>
        </w:rPr>
        <w:t>%, p</w:t>
      </w:r>
      <w:r>
        <w:rPr>
          <w:szCs w:val="22"/>
          <w:lang w:val="nb-NO"/>
        </w:rPr>
        <w:t xml:space="preserve"> </w:t>
      </w:r>
      <w:r w:rsidRPr="003A6BE9">
        <w:rPr>
          <w:szCs w:val="22"/>
          <w:lang w:val="nb-NO"/>
        </w:rPr>
        <w:t>&lt;</w:t>
      </w:r>
      <w:r>
        <w:rPr>
          <w:szCs w:val="22"/>
          <w:lang w:val="nb-NO"/>
        </w:rPr>
        <w:t xml:space="preserve"> </w:t>
      </w:r>
      <w:r w:rsidRPr="003A6BE9">
        <w:rPr>
          <w:szCs w:val="22"/>
          <w:lang w:val="nb-NO"/>
        </w:rPr>
        <w:t>0</w:t>
      </w:r>
      <w:r>
        <w:rPr>
          <w:szCs w:val="22"/>
          <w:lang w:val="nb-NO"/>
        </w:rPr>
        <w:t>,</w:t>
      </w:r>
      <w:r w:rsidRPr="003A6BE9">
        <w:rPr>
          <w:szCs w:val="22"/>
          <w:lang w:val="nb-NO"/>
        </w:rPr>
        <w:t xml:space="preserve">001) (Figur 1). </w:t>
      </w:r>
    </w:p>
    <w:p w14:paraId="7FD3BA9F" w14:textId="77777777" w:rsidR="00443470" w:rsidRPr="005304DA" w:rsidRDefault="00443470" w:rsidP="00776A84">
      <w:pPr>
        <w:pStyle w:val="EMEANormal"/>
        <w:jc w:val="center"/>
        <w:rPr>
          <w:szCs w:val="22"/>
          <w:lang w:val="nb-NO"/>
        </w:rPr>
      </w:pPr>
    </w:p>
    <w:p w14:paraId="78AB5E18" w14:textId="77777777" w:rsidR="00443470" w:rsidRPr="005304DA" w:rsidRDefault="00E453CD" w:rsidP="00443470">
      <w:pPr>
        <w:pStyle w:val="EMEANormal"/>
        <w:keepNext/>
        <w:jc w:val="center"/>
        <w:rPr>
          <w:szCs w:val="22"/>
          <w:lang w:val="nb-NO"/>
        </w:rPr>
      </w:pPr>
      <w:r w:rsidRPr="003A6BE9">
        <w:rPr>
          <w:b/>
          <w:szCs w:val="22"/>
          <w:lang w:val="nb-NO"/>
        </w:rPr>
        <w:t xml:space="preserve">Figur 1: Kaplan-Meier kurver som oppsummerer tid til sykdomsoppbluss </w:t>
      </w:r>
      <w:r w:rsidR="002D4756">
        <w:rPr>
          <w:b/>
          <w:szCs w:val="22"/>
          <w:lang w:val="nb-NO"/>
        </w:rPr>
        <w:t>i</w:t>
      </w:r>
    </w:p>
    <w:p w14:paraId="6145B421" w14:textId="77777777" w:rsidR="00443470" w:rsidRPr="00E04B2A" w:rsidRDefault="00E453CD" w:rsidP="00443470">
      <w:pPr>
        <w:pStyle w:val="EMEANormal"/>
        <w:keepNext/>
        <w:jc w:val="center"/>
        <w:rPr>
          <w:szCs w:val="22"/>
          <w:lang w:val="nb-NO"/>
        </w:rPr>
      </w:pPr>
      <w:r w:rsidRPr="00E04B2A">
        <w:rPr>
          <w:b/>
          <w:szCs w:val="22"/>
          <w:lang w:val="nb-NO"/>
        </w:rPr>
        <w:t>Studie nr-axSpA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
        <w:gridCol w:w="201"/>
        <w:gridCol w:w="8606"/>
      </w:tblGrid>
      <w:tr w:rsidR="004644D4" w14:paraId="398FA2E7" w14:textId="77777777" w:rsidTr="00776A84">
        <w:trPr>
          <w:cantSplit/>
          <w:trHeight w:val="1134"/>
        </w:trPr>
        <w:tc>
          <w:tcPr>
            <w:tcW w:w="675" w:type="dxa"/>
            <w:gridSpan w:val="2"/>
            <w:textDirection w:val="btLr"/>
            <w:vAlign w:val="center"/>
          </w:tcPr>
          <w:p w14:paraId="4A1C481B" w14:textId="77777777" w:rsidR="00443470" w:rsidRPr="003A6BE9" w:rsidRDefault="00E453CD" w:rsidP="005D54C1">
            <w:pPr>
              <w:ind w:left="113" w:right="113"/>
              <w:jc w:val="center"/>
              <w:rPr>
                <w:b/>
                <w:sz w:val="22"/>
                <w:szCs w:val="22"/>
              </w:rPr>
            </w:pPr>
            <w:r>
              <w:rPr>
                <w:b/>
                <w:sz w:val="22"/>
                <w:szCs w:val="22"/>
              </w:rPr>
              <w:t xml:space="preserve">SANNSYNLIGHETEN FOR </w:t>
            </w:r>
            <w:r w:rsidR="002D4756">
              <w:rPr>
                <w:b/>
                <w:sz w:val="22"/>
                <w:szCs w:val="22"/>
              </w:rPr>
              <w:t xml:space="preserve">INGEN </w:t>
            </w:r>
            <w:r>
              <w:rPr>
                <w:b/>
                <w:sz w:val="22"/>
                <w:szCs w:val="22"/>
              </w:rPr>
              <w:t>SYKDOMSOPPBLUSS</w:t>
            </w:r>
          </w:p>
        </w:tc>
        <w:tc>
          <w:tcPr>
            <w:tcW w:w="8606" w:type="dxa"/>
          </w:tcPr>
          <w:p w14:paraId="3A06FFC9" w14:textId="77777777" w:rsidR="00443470" w:rsidRPr="003A6BE9" w:rsidRDefault="00E453CD" w:rsidP="005D54C1">
            <w:pPr>
              <w:rPr>
                <w:sz w:val="22"/>
                <w:szCs w:val="22"/>
              </w:rPr>
            </w:pPr>
            <w:r w:rsidRPr="003A6BE9">
              <w:rPr>
                <w:noProof/>
                <w:sz w:val="22"/>
                <w:szCs w:val="22"/>
                <w:lang w:val="en-GB" w:eastAsia="en-GB"/>
              </w:rPr>
              <w:drawing>
                <wp:inline distT="0" distB="0" distL="0" distR="0" wp14:anchorId="4405889C" wp14:editId="1C91EC50">
                  <wp:extent cx="5391509" cy="3005455"/>
                  <wp:effectExtent l="0" t="0" r="0" b="444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m13375_flare_km_db_f.14.2_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6348" cy="3008153"/>
                          </a:xfrm>
                          <a:prstGeom prst="rect">
                            <a:avLst/>
                          </a:prstGeom>
                        </pic:spPr>
                      </pic:pic>
                    </a:graphicData>
                  </a:graphic>
                </wp:inline>
              </w:drawing>
            </w:r>
          </w:p>
        </w:tc>
      </w:tr>
      <w:tr w:rsidR="004644D4" w14:paraId="241899F6" w14:textId="77777777" w:rsidTr="00776A84">
        <w:tc>
          <w:tcPr>
            <w:tcW w:w="474" w:type="dxa"/>
          </w:tcPr>
          <w:p w14:paraId="56694C70" w14:textId="77777777" w:rsidR="00443470" w:rsidRPr="003A6BE9" w:rsidRDefault="00443470" w:rsidP="005D54C1">
            <w:pPr>
              <w:rPr>
                <w:sz w:val="22"/>
                <w:szCs w:val="22"/>
              </w:rPr>
            </w:pPr>
          </w:p>
        </w:tc>
        <w:tc>
          <w:tcPr>
            <w:tcW w:w="8807" w:type="dxa"/>
            <w:gridSpan w:val="2"/>
            <w:vAlign w:val="center"/>
          </w:tcPr>
          <w:p w14:paraId="20A63A55" w14:textId="77777777" w:rsidR="00443470" w:rsidRPr="003A6BE9" w:rsidRDefault="00E453CD" w:rsidP="005D54C1">
            <w:pPr>
              <w:jc w:val="center"/>
              <w:rPr>
                <w:b/>
                <w:sz w:val="22"/>
                <w:szCs w:val="22"/>
              </w:rPr>
            </w:pPr>
            <w:r>
              <w:rPr>
                <w:b/>
                <w:sz w:val="22"/>
                <w:szCs w:val="22"/>
              </w:rPr>
              <w:t>TID</w:t>
            </w:r>
            <w:r w:rsidRPr="003A6BE9">
              <w:rPr>
                <w:b/>
                <w:sz w:val="22"/>
                <w:szCs w:val="22"/>
              </w:rPr>
              <w:t xml:space="preserve"> (</w:t>
            </w:r>
            <w:r>
              <w:rPr>
                <w:b/>
                <w:sz w:val="22"/>
                <w:szCs w:val="22"/>
              </w:rPr>
              <w:t>UKER</w:t>
            </w:r>
            <w:r w:rsidRPr="003A6BE9">
              <w:rPr>
                <w:b/>
                <w:sz w:val="22"/>
                <w:szCs w:val="22"/>
              </w:rPr>
              <w:t>)</w:t>
            </w:r>
          </w:p>
        </w:tc>
      </w:tr>
      <w:tr w:rsidR="004644D4" w14:paraId="7ED960E1" w14:textId="77777777" w:rsidTr="00776A84">
        <w:tc>
          <w:tcPr>
            <w:tcW w:w="9281" w:type="dxa"/>
            <w:gridSpan w:val="3"/>
          </w:tcPr>
          <w:p w14:paraId="5ED725FE" w14:textId="77777777" w:rsidR="00443470" w:rsidRPr="003A6BE9" w:rsidRDefault="00E453CD" w:rsidP="005D54C1">
            <w:pPr>
              <w:rPr>
                <w:sz w:val="22"/>
                <w:szCs w:val="22"/>
              </w:rPr>
            </w:pPr>
            <w:r w:rsidRPr="003A6BE9">
              <w:rPr>
                <w:sz w:val="22"/>
                <w:szCs w:val="22"/>
              </w:rPr>
              <w:t xml:space="preserve">                                  </w:t>
            </w:r>
            <w:r>
              <w:rPr>
                <w:sz w:val="22"/>
                <w:szCs w:val="22"/>
              </w:rPr>
              <w:t>Behandling</w:t>
            </w:r>
            <w:r w:rsidRPr="003A6BE9">
              <w:rPr>
                <w:sz w:val="22"/>
                <w:szCs w:val="22"/>
              </w:rPr>
              <w:t xml:space="preserve">      </w:t>
            </w:r>
            <w:r w:rsidRPr="003A6BE9">
              <w:rPr>
                <w:noProof/>
                <w:sz w:val="22"/>
                <w:szCs w:val="22"/>
              </w:rPr>
              <w:t xml:space="preserve"> </w:t>
            </w:r>
            <w:r w:rsidRPr="003A6BE9">
              <w:rPr>
                <w:noProof/>
                <w:sz w:val="22"/>
                <w:szCs w:val="22"/>
                <w:lang w:val="en-GB" w:eastAsia="en-GB"/>
              </w:rPr>
              <mc:AlternateContent>
                <mc:Choice Requires="wps">
                  <w:drawing>
                    <wp:inline distT="0" distB="0" distL="0" distR="0" wp14:anchorId="4CDC1650" wp14:editId="3250E862">
                      <wp:extent cx="381000" cy="0"/>
                      <wp:effectExtent l="0" t="19050" r="0" b="19050"/>
                      <wp:docPr id="131" name="Straight Connector 131"/>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chemeClr val="tx1">
                                    <a:lumMod val="65000"/>
                                    <a:lumOff val="3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131" o:spid="_x0000_i1038" style="mso-left-percent:-10001;mso-position-horizontal-relative:char;mso-position-vertical-relative:line;mso-top-percent:-10001;mso-wrap-style:square;visibility:visible" from="0,0" to="30pt,0" strokecolor="#5a5a5a" strokeweight="2.25pt">
                      <v:stroke joinstyle="miter" dashstyle="1 1"/>
                      <w10:anchorlock/>
                    </v:line>
                  </w:pict>
                </mc:Fallback>
              </mc:AlternateContent>
            </w:r>
            <w:r w:rsidRPr="003A6BE9">
              <w:rPr>
                <w:noProof/>
                <w:sz w:val="22"/>
                <w:szCs w:val="22"/>
              </w:rPr>
              <w:t xml:space="preserve"> </w:t>
            </w:r>
            <w:r w:rsidRPr="003A6BE9">
              <w:rPr>
                <w:sz w:val="22"/>
                <w:szCs w:val="22"/>
              </w:rPr>
              <w:t xml:space="preserve">Placebo     </w:t>
            </w:r>
            <w:r w:rsidRPr="003A6BE9">
              <w:rPr>
                <w:noProof/>
                <w:sz w:val="22"/>
                <w:szCs w:val="22"/>
                <w:lang w:val="en-GB" w:eastAsia="en-GB"/>
              </w:rPr>
              <mc:AlternateContent>
                <mc:Choice Requires="wps">
                  <w:drawing>
                    <wp:inline distT="0" distB="0" distL="0" distR="0" wp14:anchorId="64EFD1F7" wp14:editId="5F56CCD1">
                      <wp:extent cx="401320" cy="0"/>
                      <wp:effectExtent l="0" t="0" r="17780" b="19050"/>
                      <wp:docPr id="132" name="Straight Connector 132"/>
                      <wp:cNvGraphicFramePr/>
                      <a:graphic xmlns:a="http://schemas.openxmlformats.org/drawingml/2006/main">
                        <a:graphicData uri="http://schemas.microsoft.com/office/word/2010/wordprocessingShape">
                          <wps:wsp>
                            <wps:cNvCnPr/>
                            <wps:spPr>
                              <a:xfrm>
                                <a:off x="0" y="0"/>
                                <a:ext cx="401320" cy="0"/>
                              </a:xfrm>
                              <a:prstGeom prst="line">
                                <a:avLst/>
                              </a:prstGeom>
                              <a:ln w="19050">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132" o:spid="_x0000_i1039" style="mso-left-percent:-10001;mso-position-horizontal-relative:char;mso-position-vertical-relative:line;mso-top-percent:-10001;mso-wrap-style:square;visibility:visible" from="0,0" to="31.6pt,0" strokecolor="#404040" strokeweight="1.5pt">
                      <v:stroke joinstyle="miter"/>
                      <w10:anchorlock/>
                    </v:line>
                  </w:pict>
                </mc:Fallback>
              </mc:AlternateContent>
            </w:r>
            <w:r w:rsidRPr="003A6BE9">
              <w:rPr>
                <w:sz w:val="22"/>
                <w:szCs w:val="22"/>
              </w:rPr>
              <w:t xml:space="preserve"> Humira     ∆ </w:t>
            </w:r>
            <w:r>
              <w:rPr>
                <w:sz w:val="22"/>
                <w:szCs w:val="22"/>
              </w:rPr>
              <w:t>Sensurert</w:t>
            </w:r>
          </w:p>
        </w:tc>
      </w:tr>
    </w:tbl>
    <w:p w14:paraId="74668F3F" w14:textId="77777777" w:rsidR="00443470" w:rsidRPr="003A6BE9" w:rsidRDefault="00443470" w:rsidP="00443470">
      <w:pPr>
        <w:rPr>
          <w:sz w:val="22"/>
          <w:szCs w:val="22"/>
        </w:rPr>
      </w:pPr>
    </w:p>
    <w:p w14:paraId="1D92594D" w14:textId="77777777" w:rsidR="00443470" w:rsidRPr="003A6BE9" w:rsidRDefault="00E453CD" w:rsidP="00443470">
      <w:pPr>
        <w:rPr>
          <w:sz w:val="22"/>
          <w:szCs w:val="22"/>
        </w:rPr>
      </w:pPr>
      <w:r w:rsidRPr="003A6BE9">
        <w:rPr>
          <w:sz w:val="22"/>
          <w:szCs w:val="22"/>
        </w:rPr>
        <w:t xml:space="preserve">Merk: P = Placebo (Antall </w:t>
      </w:r>
      <w:r>
        <w:rPr>
          <w:sz w:val="22"/>
          <w:szCs w:val="22"/>
        </w:rPr>
        <w:t>med</w:t>
      </w:r>
      <w:r w:rsidRPr="003A6BE9">
        <w:rPr>
          <w:sz w:val="22"/>
          <w:szCs w:val="22"/>
        </w:rPr>
        <w:t xml:space="preserve"> risiko for oppbluss (har fått oppbluss)); A = HUMIRA (</w:t>
      </w:r>
      <w:r>
        <w:rPr>
          <w:sz w:val="22"/>
          <w:szCs w:val="22"/>
        </w:rPr>
        <w:t>Antall med risiko for oppbluss</w:t>
      </w:r>
      <w:r w:rsidRPr="003A6BE9">
        <w:rPr>
          <w:sz w:val="22"/>
          <w:szCs w:val="22"/>
        </w:rPr>
        <w:t xml:space="preserve"> (</w:t>
      </w:r>
      <w:r>
        <w:rPr>
          <w:sz w:val="22"/>
          <w:szCs w:val="22"/>
        </w:rPr>
        <w:t>har fått oppbluss</w:t>
      </w:r>
      <w:r w:rsidRPr="003A6BE9">
        <w:rPr>
          <w:sz w:val="22"/>
          <w:szCs w:val="22"/>
        </w:rPr>
        <w:t>)).</w:t>
      </w:r>
    </w:p>
    <w:p w14:paraId="1278AABA" w14:textId="77777777" w:rsidR="00443470" w:rsidRPr="003A6BE9" w:rsidRDefault="00443470" w:rsidP="00443470">
      <w:pPr>
        <w:rPr>
          <w:sz w:val="22"/>
          <w:szCs w:val="22"/>
        </w:rPr>
      </w:pPr>
    </w:p>
    <w:p w14:paraId="3A3A6D8C" w14:textId="77777777" w:rsidR="00443470" w:rsidRPr="003A6BE9" w:rsidRDefault="00E453CD" w:rsidP="00443470">
      <w:pPr>
        <w:pStyle w:val="EMEANormal"/>
        <w:rPr>
          <w:szCs w:val="22"/>
          <w:lang w:val="nb-NO"/>
        </w:rPr>
      </w:pPr>
      <w:r w:rsidRPr="003A6BE9">
        <w:rPr>
          <w:szCs w:val="22"/>
          <w:lang w:val="nb-NO"/>
        </w:rPr>
        <w:t xml:space="preserve">Blant de 68 pasientene som fikk sykdomsoppbluss i gruppen som fikk </w:t>
      </w:r>
      <w:r>
        <w:rPr>
          <w:szCs w:val="22"/>
          <w:lang w:val="nb-NO"/>
        </w:rPr>
        <w:t xml:space="preserve">seponert </w:t>
      </w:r>
      <w:r w:rsidRPr="003A6BE9">
        <w:rPr>
          <w:szCs w:val="22"/>
          <w:lang w:val="nb-NO"/>
        </w:rPr>
        <w:t xml:space="preserve">behandling fullførte 65 12 uker </w:t>
      </w:r>
      <w:r w:rsidR="005D4A42">
        <w:rPr>
          <w:szCs w:val="22"/>
          <w:lang w:val="nb-NO"/>
        </w:rPr>
        <w:t>«rescue»-</w:t>
      </w:r>
      <w:r w:rsidR="007F1B30">
        <w:rPr>
          <w:szCs w:val="22"/>
          <w:lang w:val="nb-NO"/>
        </w:rPr>
        <w:t>behandling</w:t>
      </w:r>
      <w:r>
        <w:rPr>
          <w:szCs w:val="22"/>
          <w:lang w:val="nb-NO"/>
        </w:rPr>
        <w:t xml:space="preserve"> med </w:t>
      </w:r>
      <w:r w:rsidRPr="003A6BE9">
        <w:rPr>
          <w:szCs w:val="22"/>
          <w:lang w:val="nb-NO"/>
        </w:rPr>
        <w:t xml:space="preserve">Humira, </w:t>
      </w:r>
      <w:r>
        <w:rPr>
          <w:szCs w:val="22"/>
          <w:lang w:val="nb-NO"/>
        </w:rPr>
        <w:t xml:space="preserve">hvorav </w:t>
      </w:r>
      <w:r w:rsidRPr="003A6BE9">
        <w:rPr>
          <w:szCs w:val="22"/>
          <w:lang w:val="nb-NO"/>
        </w:rPr>
        <w:t>37 (56</w:t>
      </w:r>
      <w:r>
        <w:rPr>
          <w:szCs w:val="22"/>
          <w:lang w:val="nb-NO"/>
        </w:rPr>
        <w:t>,</w:t>
      </w:r>
      <w:r w:rsidRPr="003A6BE9">
        <w:rPr>
          <w:szCs w:val="22"/>
          <w:lang w:val="nb-NO"/>
        </w:rPr>
        <w:t>9</w:t>
      </w:r>
      <w:r>
        <w:rPr>
          <w:szCs w:val="22"/>
          <w:lang w:val="nb-NO"/>
        </w:rPr>
        <w:t xml:space="preserve"> </w:t>
      </w:r>
      <w:r w:rsidRPr="003A6BE9">
        <w:rPr>
          <w:szCs w:val="22"/>
          <w:lang w:val="nb-NO"/>
        </w:rPr>
        <w:t xml:space="preserve">%) </w:t>
      </w:r>
      <w:r>
        <w:rPr>
          <w:szCs w:val="22"/>
          <w:lang w:val="nb-NO"/>
        </w:rPr>
        <w:t>gjenvant remisjon</w:t>
      </w:r>
      <w:r w:rsidRPr="003A6BE9">
        <w:rPr>
          <w:szCs w:val="22"/>
          <w:lang w:val="nb-NO"/>
        </w:rPr>
        <w:t xml:space="preserve"> (ASDAS &lt; 1.3) </w:t>
      </w:r>
      <w:r>
        <w:rPr>
          <w:szCs w:val="22"/>
          <w:lang w:val="nb-NO"/>
        </w:rPr>
        <w:t>etter</w:t>
      </w:r>
      <w:r w:rsidRPr="003A6BE9">
        <w:rPr>
          <w:szCs w:val="22"/>
          <w:lang w:val="nb-NO"/>
        </w:rPr>
        <w:t xml:space="preserve"> </w:t>
      </w:r>
      <w:r>
        <w:rPr>
          <w:szCs w:val="22"/>
          <w:lang w:val="nb-NO"/>
        </w:rPr>
        <w:t xml:space="preserve">å ha gjenopptatt </w:t>
      </w:r>
      <w:r w:rsidRPr="003A6BE9">
        <w:rPr>
          <w:szCs w:val="22"/>
          <w:lang w:val="nb-NO"/>
        </w:rPr>
        <w:t>12 </w:t>
      </w:r>
      <w:r>
        <w:rPr>
          <w:szCs w:val="22"/>
          <w:lang w:val="nb-NO"/>
        </w:rPr>
        <w:t>uker med åpen behandling</w:t>
      </w:r>
      <w:r w:rsidRPr="003A6BE9">
        <w:rPr>
          <w:szCs w:val="22"/>
          <w:lang w:val="nb-NO"/>
        </w:rPr>
        <w:t xml:space="preserve">. </w:t>
      </w:r>
    </w:p>
    <w:p w14:paraId="6E8974BD" w14:textId="77777777" w:rsidR="00443470" w:rsidRPr="003A6BE9" w:rsidRDefault="00443470" w:rsidP="00443470">
      <w:pPr>
        <w:rPr>
          <w:sz w:val="22"/>
          <w:szCs w:val="22"/>
        </w:rPr>
      </w:pPr>
    </w:p>
    <w:p w14:paraId="2A50718B" w14:textId="77777777" w:rsidR="00443470" w:rsidRPr="003A6BE9" w:rsidRDefault="00E453CD" w:rsidP="00443470">
      <w:pPr>
        <w:rPr>
          <w:sz w:val="22"/>
          <w:szCs w:val="22"/>
        </w:rPr>
      </w:pPr>
      <w:r w:rsidRPr="003A6BE9">
        <w:rPr>
          <w:sz w:val="22"/>
          <w:szCs w:val="22"/>
        </w:rPr>
        <w:t xml:space="preserve">Ved uke 68 viste pasienter som fikk kontinuerlig Humira-behandling statistisk signifikant større forbedring av tegn og symptomer på aktiv nr-axSpA sammenlignet med pasienter som fikk </w:t>
      </w:r>
      <w:r>
        <w:rPr>
          <w:sz w:val="22"/>
          <w:szCs w:val="22"/>
        </w:rPr>
        <w:t xml:space="preserve">seponert </w:t>
      </w:r>
      <w:r w:rsidRPr="003A6BE9">
        <w:rPr>
          <w:sz w:val="22"/>
          <w:szCs w:val="22"/>
        </w:rPr>
        <w:t xml:space="preserve">behandling </w:t>
      </w:r>
      <w:r>
        <w:rPr>
          <w:sz w:val="22"/>
          <w:szCs w:val="22"/>
        </w:rPr>
        <w:t>i</w:t>
      </w:r>
      <w:r w:rsidRPr="003A6BE9">
        <w:rPr>
          <w:sz w:val="22"/>
          <w:szCs w:val="22"/>
        </w:rPr>
        <w:t xml:space="preserve"> den dobbeltblinde </w:t>
      </w:r>
      <w:r w:rsidR="00243DBF">
        <w:rPr>
          <w:sz w:val="22"/>
          <w:szCs w:val="22"/>
        </w:rPr>
        <w:t>studie</w:t>
      </w:r>
      <w:r w:rsidRPr="003A6BE9">
        <w:rPr>
          <w:sz w:val="22"/>
          <w:szCs w:val="22"/>
        </w:rPr>
        <w:t>perioden</w:t>
      </w:r>
      <w:r>
        <w:rPr>
          <w:sz w:val="22"/>
          <w:szCs w:val="22"/>
        </w:rPr>
        <w:t xml:space="preserve"> (t</w:t>
      </w:r>
      <w:r w:rsidRPr="003A6BE9">
        <w:rPr>
          <w:sz w:val="22"/>
          <w:szCs w:val="22"/>
        </w:rPr>
        <w:t xml:space="preserve">abell </w:t>
      </w:r>
      <w:r w:rsidR="00634DDF" w:rsidRPr="003A6BE9">
        <w:rPr>
          <w:sz w:val="22"/>
          <w:szCs w:val="22"/>
        </w:rPr>
        <w:t>1</w:t>
      </w:r>
      <w:r w:rsidR="00634DDF">
        <w:rPr>
          <w:sz w:val="22"/>
          <w:szCs w:val="22"/>
        </w:rPr>
        <w:t>4</w:t>
      </w:r>
      <w:r w:rsidRPr="003A6BE9">
        <w:rPr>
          <w:sz w:val="22"/>
          <w:szCs w:val="22"/>
        </w:rPr>
        <w:t>).</w:t>
      </w:r>
    </w:p>
    <w:p w14:paraId="6B20B723" w14:textId="77777777" w:rsidR="00443470" w:rsidRPr="003A6BE9" w:rsidRDefault="00443470" w:rsidP="00443470">
      <w:pPr>
        <w:rPr>
          <w:sz w:val="22"/>
          <w:szCs w:val="22"/>
        </w:rPr>
      </w:pPr>
    </w:p>
    <w:p w14:paraId="611EAB28" w14:textId="77777777" w:rsidR="00443470" w:rsidRPr="005304DA" w:rsidRDefault="00E453CD" w:rsidP="005304DA">
      <w:pPr>
        <w:pStyle w:val="EMEANormal"/>
        <w:keepNext/>
        <w:ind w:left="720"/>
        <w:jc w:val="center"/>
        <w:rPr>
          <w:szCs w:val="22"/>
          <w:lang w:val="nb-NO"/>
        </w:rPr>
      </w:pPr>
      <w:r w:rsidRPr="003A6BE9">
        <w:rPr>
          <w:b/>
          <w:szCs w:val="22"/>
          <w:lang w:val="nb-NO"/>
        </w:rPr>
        <w:lastRenderedPageBreak/>
        <w:t xml:space="preserve">Tabell </w:t>
      </w:r>
      <w:r w:rsidR="00634DDF" w:rsidRPr="003A6BE9">
        <w:rPr>
          <w:b/>
          <w:szCs w:val="22"/>
          <w:lang w:val="nb-NO"/>
        </w:rPr>
        <w:t>1</w:t>
      </w:r>
      <w:r w:rsidR="00634DDF">
        <w:rPr>
          <w:b/>
          <w:szCs w:val="22"/>
          <w:lang w:val="nb-NO"/>
        </w:rPr>
        <w:t>4</w:t>
      </w:r>
    </w:p>
    <w:p w14:paraId="7098F7AB" w14:textId="77777777" w:rsidR="00443470" w:rsidRPr="005304DA" w:rsidRDefault="00E453CD" w:rsidP="005304DA">
      <w:pPr>
        <w:pStyle w:val="EMEANormal"/>
        <w:keepNext/>
        <w:ind w:left="720"/>
        <w:rPr>
          <w:szCs w:val="22"/>
          <w:lang w:val="nb-NO"/>
        </w:rPr>
      </w:pPr>
      <w:r w:rsidRPr="003A6BE9">
        <w:rPr>
          <w:b/>
          <w:szCs w:val="22"/>
          <w:lang w:val="nb-NO"/>
        </w:rPr>
        <w:t xml:space="preserve">Effektrespons </w:t>
      </w:r>
      <w:r>
        <w:rPr>
          <w:b/>
          <w:szCs w:val="22"/>
          <w:lang w:val="nb-NO"/>
        </w:rPr>
        <w:t>i</w:t>
      </w:r>
      <w:r w:rsidRPr="003A6BE9">
        <w:rPr>
          <w:b/>
          <w:szCs w:val="22"/>
          <w:lang w:val="nb-NO"/>
        </w:rPr>
        <w:t xml:space="preserve"> den placebokontrollerte period</w:t>
      </w:r>
      <w:r>
        <w:rPr>
          <w:b/>
          <w:szCs w:val="22"/>
          <w:lang w:val="nb-NO"/>
        </w:rPr>
        <w:t>en for</w:t>
      </w:r>
      <w:r w:rsidRPr="003A6BE9">
        <w:rPr>
          <w:b/>
          <w:szCs w:val="22"/>
          <w:lang w:val="nb-NO"/>
        </w:rPr>
        <w:t xml:space="preserve"> </w:t>
      </w:r>
      <w:r>
        <w:rPr>
          <w:b/>
          <w:szCs w:val="22"/>
          <w:lang w:val="nb-NO"/>
        </w:rPr>
        <w:t>s</w:t>
      </w:r>
      <w:r w:rsidRPr="003A6BE9">
        <w:rPr>
          <w:b/>
          <w:szCs w:val="22"/>
          <w:lang w:val="nb-NO"/>
        </w:rPr>
        <w:t>tud</w:t>
      </w:r>
      <w:r>
        <w:rPr>
          <w:b/>
          <w:szCs w:val="22"/>
          <w:lang w:val="nb-NO"/>
        </w:rPr>
        <w:t>ie</w:t>
      </w:r>
      <w:r w:rsidRPr="003A6BE9">
        <w:rPr>
          <w:b/>
          <w:szCs w:val="22"/>
          <w:lang w:val="nb-NO"/>
        </w:rPr>
        <w:t xml:space="preserve"> nr-axSpA II</w:t>
      </w:r>
    </w:p>
    <w:p w14:paraId="376248AB" w14:textId="77777777" w:rsidR="00443470" w:rsidRPr="005304DA" w:rsidRDefault="00443470" w:rsidP="005304DA">
      <w:pPr>
        <w:pStyle w:val="EMEANormal"/>
        <w:keepNext/>
        <w:ind w:left="720"/>
        <w:rPr>
          <w:szCs w:val="22"/>
          <w:lang w:val="nb-N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4"/>
        <w:gridCol w:w="1681"/>
        <w:gridCol w:w="1820"/>
      </w:tblGrid>
      <w:tr w:rsidR="004644D4" w14:paraId="2AE6E6E0" w14:textId="77777777" w:rsidTr="005D54C1">
        <w:trPr>
          <w:jc w:val="center"/>
        </w:trPr>
        <w:tc>
          <w:tcPr>
            <w:tcW w:w="3067" w:type="pct"/>
          </w:tcPr>
          <w:p w14:paraId="508A912D" w14:textId="77777777" w:rsidR="00443470" w:rsidRPr="003A6BE9" w:rsidRDefault="00E453CD" w:rsidP="005304DA">
            <w:pPr>
              <w:keepNext/>
              <w:rPr>
                <w:b/>
                <w:bCs/>
                <w:sz w:val="22"/>
                <w:szCs w:val="22"/>
                <w:lang w:val="en-GB"/>
              </w:rPr>
            </w:pPr>
            <w:r>
              <w:rPr>
                <w:b/>
                <w:bCs/>
                <w:sz w:val="22"/>
                <w:szCs w:val="22"/>
                <w:lang w:val="en-GB"/>
              </w:rPr>
              <w:t>Dobbeltblind</w:t>
            </w:r>
          </w:p>
          <w:p w14:paraId="6EF04901" w14:textId="77777777" w:rsidR="00443470" w:rsidRPr="003A6BE9" w:rsidRDefault="00E453CD" w:rsidP="005304DA">
            <w:pPr>
              <w:keepNext/>
              <w:rPr>
                <w:b/>
                <w:bCs/>
                <w:sz w:val="22"/>
                <w:szCs w:val="22"/>
                <w:lang w:val="en-GB"/>
              </w:rPr>
            </w:pPr>
            <w:r>
              <w:rPr>
                <w:b/>
                <w:bCs/>
                <w:sz w:val="22"/>
                <w:szCs w:val="22"/>
                <w:lang w:val="en-GB"/>
              </w:rPr>
              <w:t>Respons</w:t>
            </w:r>
            <w:r w:rsidRPr="003A6BE9">
              <w:rPr>
                <w:b/>
                <w:bCs/>
                <w:sz w:val="22"/>
                <w:szCs w:val="22"/>
                <w:lang w:val="en-GB"/>
              </w:rPr>
              <w:t xml:space="preserve"> </w:t>
            </w:r>
            <w:r>
              <w:rPr>
                <w:b/>
                <w:bCs/>
                <w:sz w:val="22"/>
                <w:szCs w:val="22"/>
                <w:lang w:val="en-GB"/>
              </w:rPr>
              <w:t>ved</w:t>
            </w:r>
            <w:r w:rsidRPr="003A6BE9">
              <w:rPr>
                <w:b/>
                <w:bCs/>
                <w:sz w:val="22"/>
                <w:szCs w:val="22"/>
                <w:lang w:val="en-GB"/>
              </w:rPr>
              <w:t xml:space="preserve"> </w:t>
            </w:r>
            <w:r>
              <w:rPr>
                <w:b/>
                <w:bCs/>
                <w:sz w:val="22"/>
                <w:szCs w:val="22"/>
                <w:lang w:val="en-GB"/>
              </w:rPr>
              <w:t>uke</w:t>
            </w:r>
            <w:r w:rsidRPr="003A6BE9">
              <w:rPr>
                <w:b/>
                <w:bCs/>
                <w:sz w:val="22"/>
                <w:szCs w:val="22"/>
                <w:lang w:val="en-GB"/>
              </w:rPr>
              <w:t xml:space="preserve"> 68</w:t>
            </w:r>
          </w:p>
        </w:tc>
        <w:tc>
          <w:tcPr>
            <w:tcW w:w="928" w:type="pct"/>
          </w:tcPr>
          <w:p w14:paraId="132DAD84" w14:textId="77777777" w:rsidR="00443470" w:rsidRPr="003A6BE9" w:rsidRDefault="00E453CD" w:rsidP="005304DA">
            <w:pPr>
              <w:keepNext/>
              <w:jc w:val="center"/>
              <w:rPr>
                <w:b/>
                <w:bCs/>
                <w:sz w:val="22"/>
                <w:szCs w:val="22"/>
                <w:lang w:val="fr-FR"/>
              </w:rPr>
            </w:pPr>
            <w:r w:rsidRPr="003A6BE9">
              <w:rPr>
                <w:b/>
                <w:bCs/>
                <w:sz w:val="22"/>
                <w:szCs w:val="22"/>
                <w:lang w:val="fr-FR"/>
              </w:rPr>
              <w:t>Placebo</w:t>
            </w:r>
          </w:p>
          <w:p w14:paraId="5A66680F" w14:textId="77777777" w:rsidR="00443470" w:rsidRPr="003A6BE9" w:rsidRDefault="00E453CD" w:rsidP="005304DA">
            <w:pPr>
              <w:keepNext/>
              <w:jc w:val="center"/>
              <w:rPr>
                <w:b/>
                <w:bCs/>
                <w:sz w:val="22"/>
                <w:szCs w:val="22"/>
                <w:lang w:val="fr-FR"/>
              </w:rPr>
            </w:pPr>
            <w:r w:rsidRPr="003A6BE9">
              <w:rPr>
                <w:b/>
                <w:bCs/>
                <w:sz w:val="22"/>
                <w:szCs w:val="22"/>
                <w:lang w:val="fr-FR"/>
              </w:rPr>
              <w:t>N=153</w:t>
            </w:r>
          </w:p>
        </w:tc>
        <w:tc>
          <w:tcPr>
            <w:tcW w:w="1005" w:type="pct"/>
          </w:tcPr>
          <w:p w14:paraId="25B2EFC0" w14:textId="77777777" w:rsidR="00443470" w:rsidRPr="003A6BE9" w:rsidRDefault="00E453CD" w:rsidP="005304DA">
            <w:pPr>
              <w:keepNext/>
              <w:jc w:val="center"/>
              <w:rPr>
                <w:b/>
                <w:bCs/>
                <w:sz w:val="22"/>
                <w:szCs w:val="22"/>
                <w:lang w:val="fr-FR"/>
              </w:rPr>
            </w:pPr>
            <w:r w:rsidRPr="003A6BE9">
              <w:rPr>
                <w:b/>
                <w:bCs/>
                <w:sz w:val="22"/>
                <w:szCs w:val="22"/>
                <w:lang w:val="fr-FR"/>
              </w:rPr>
              <w:t>Humira</w:t>
            </w:r>
          </w:p>
          <w:p w14:paraId="5CA46C98" w14:textId="77777777" w:rsidR="00443470" w:rsidRPr="003A6BE9" w:rsidRDefault="00E453CD" w:rsidP="005304DA">
            <w:pPr>
              <w:keepNext/>
              <w:jc w:val="center"/>
              <w:rPr>
                <w:b/>
                <w:bCs/>
                <w:sz w:val="22"/>
                <w:szCs w:val="22"/>
                <w:lang w:val="fr-FR"/>
              </w:rPr>
            </w:pPr>
            <w:r w:rsidRPr="003A6BE9">
              <w:rPr>
                <w:b/>
                <w:bCs/>
                <w:sz w:val="22"/>
                <w:szCs w:val="22"/>
                <w:lang w:val="en-GB"/>
              </w:rPr>
              <w:t>N=152</w:t>
            </w:r>
          </w:p>
        </w:tc>
      </w:tr>
      <w:tr w:rsidR="004644D4" w14:paraId="7F6E0647" w14:textId="77777777" w:rsidTr="005D54C1">
        <w:trPr>
          <w:jc w:val="center"/>
        </w:trPr>
        <w:tc>
          <w:tcPr>
            <w:tcW w:w="3067" w:type="pct"/>
          </w:tcPr>
          <w:p w14:paraId="7733E92D" w14:textId="77777777" w:rsidR="00443470" w:rsidRPr="003A6BE9" w:rsidRDefault="00E453CD" w:rsidP="005304DA">
            <w:pPr>
              <w:keepNext/>
              <w:rPr>
                <w:sz w:val="22"/>
                <w:szCs w:val="22"/>
                <w:lang w:val="en-GB"/>
              </w:rPr>
            </w:pPr>
            <w:r w:rsidRPr="003A6BE9">
              <w:rPr>
                <w:sz w:val="22"/>
                <w:szCs w:val="22"/>
                <w:lang w:val="en-GB"/>
              </w:rPr>
              <w:t>ASAS</w:t>
            </w:r>
            <w:r w:rsidRPr="003A6BE9">
              <w:rPr>
                <w:sz w:val="22"/>
                <w:szCs w:val="22"/>
                <w:vertAlign w:val="superscript"/>
                <w:lang w:val="en-GB"/>
              </w:rPr>
              <w:t>a,b</w:t>
            </w:r>
            <w:r w:rsidRPr="003A6BE9">
              <w:rPr>
                <w:sz w:val="22"/>
                <w:szCs w:val="22"/>
                <w:lang w:val="en-GB"/>
              </w:rPr>
              <w:t xml:space="preserve"> 20</w:t>
            </w:r>
          </w:p>
        </w:tc>
        <w:tc>
          <w:tcPr>
            <w:tcW w:w="928" w:type="pct"/>
          </w:tcPr>
          <w:p w14:paraId="1D856055" w14:textId="77777777" w:rsidR="00443470" w:rsidRPr="003A6BE9" w:rsidRDefault="00E453CD" w:rsidP="005304DA">
            <w:pPr>
              <w:keepNext/>
              <w:jc w:val="center"/>
              <w:rPr>
                <w:sz w:val="22"/>
                <w:szCs w:val="22"/>
                <w:lang w:val="en-GB"/>
              </w:rPr>
            </w:pPr>
            <w:r>
              <w:rPr>
                <w:sz w:val="22"/>
                <w:szCs w:val="22"/>
                <w:lang w:val="en-GB"/>
              </w:rPr>
              <w:t>47,</w:t>
            </w:r>
            <w:r w:rsidRPr="003A6BE9">
              <w:rPr>
                <w:sz w:val="22"/>
                <w:szCs w:val="22"/>
                <w:lang w:val="en-GB"/>
              </w:rPr>
              <w:t>1</w:t>
            </w:r>
            <w:r>
              <w:rPr>
                <w:sz w:val="22"/>
                <w:szCs w:val="22"/>
                <w:lang w:val="en-GB"/>
              </w:rPr>
              <w:t> </w:t>
            </w:r>
            <w:r w:rsidRPr="003A6BE9">
              <w:rPr>
                <w:sz w:val="22"/>
                <w:szCs w:val="22"/>
                <w:lang w:val="en-GB"/>
              </w:rPr>
              <w:t>%</w:t>
            </w:r>
          </w:p>
        </w:tc>
        <w:tc>
          <w:tcPr>
            <w:tcW w:w="1005" w:type="pct"/>
          </w:tcPr>
          <w:p w14:paraId="20CD4F75" w14:textId="77777777" w:rsidR="00443470" w:rsidRPr="003A6BE9" w:rsidRDefault="00E453CD" w:rsidP="005304DA">
            <w:pPr>
              <w:keepNext/>
              <w:jc w:val="center"/>
              <w:rPr>
                <w:sz w:val="22"/>
                <w:szCs w:val="22"/>
                <w:lang w:val="en-GB"/>
              </w:rPr>
            </w:pPr>
            <w:r>
              <w:rPr>
                <w:sz w:val="22"/>
                <w:szCs w:val="22"/>
                <w:lang w:val="en-GB"/>
              </w:rPr>
              <w:t>70,</w:t>
            </w:r>
            <w:r w:rsidRPr="003A6BE9">
              <w:rPr>
                <w:sz w:val="22"/>
                <w:szCs w:val="22"/>
                <w:lang w:val="en-GB"/>
              </w:rPr>
              <w:t>4</w:t>
            </w:r>
            <w:r>
              <w:rPr>
                <w:sz w:val="22"/>
                <w:szCs w:val="22"/>
                <w:lang w:val="en-GB"/>
              </w:rPr>
              <w:t xml:space="preserve"> </w:t>
            </w:r>
            <w:r w:rsidRPr="003A6BE9">
              <w:rPr>
                <w:sz w:val="22"/>
                <w:szCs w:val="22"/>
                <w:lang w:val="en-GB"/>
              </w:rPr>
              <w:t>%***</w:t>
            </w:r>
          </w:p>
        </w:tc>
      </w:tr>
      <w:tr w:rsidR="004644D4" w14:paraId="44C77444" w14:textId="77777777" w:rsidTr="005D54C1">
        <w:trPr>
          <w:jc w:val="center"/>
        </w:trPr>
        <w:tc>
          <w:tcPr>
            <w:tcW w:w="3067" w:type="pct"/>
          </w:tcPr>
          <w:p w14:paraId="3AF3DCA3" w14:textId="77777777" w:rsidR="00443470" w:rsidRPr="003A6BE9" w:rsidRDefault="00E453CD" w:rsidP="005304DA">
            <w:pPr>
              <w:keepNext/>
              <w:rPr>
                <w:sz w:val="22"/>
                <w:szCs w:val="22"/>
                <w:lang w:val="en-GB"/>
              </w:rPr>
            </w:pPr>
            <w:r w:rsidRPr="003A6BE9">
              <w:rPr>
                <w:sz w:val="22"/>
                <w:szCs w:val="22"/>
                <w:lang w:val="en-GB"/>
              </w:rPr>
              <w:t>ASAS</w:t>
            </w:r>
            <w:r w:rsidRPr="003A6BE9">
              <w:rPr>
                <w:sz w:val="22"/>
                <w:szCs w:val="22"/>
                <w:vertAlign w:val="superscript"/>
                <w:lang w:val="en-GB"/>
              </w:rPr>
              <w:t>a,b</w:t>
            </w:r>
            <w:r w:rsidRPr="003A6BE9">
              <w:rPr>
                <w:sz w:val="22"/>
                <w:szCs w:val="22"/>
                <w:lang w:val="en-GB"/>
              </w:rPr>
              <w:t xml:space="preserve"> 40</w:t>
            </w:r>
          </w:p>
        </w:tc>
        <w:tc>
          <w:tcPr>
            <w:tcW w:w="928" w:type="pct"/>
          </w:tcPr>
          <w:p w14:paraId="38642305" w14:textId="77777777" w:rsidR="00443470" w:rsidRPr="003A6BE9" w:rsidRDefault="00E453CD" w:rsidP="005304DA">
            <w:pPr>
              <w:keepNext/>
              <w:jc w:val="center"/>
              <w:rPr>
                <w:sz w:val="22"/>
                <w:szCs w:val="22"/>
                <w:lang w:val="en-GB"/>
              </w:rPr>
            </w:pPr>
            <w:r>
              <w:rPr>
                <w:sz w:val="22"/>
                <w:szCs w:val="22"/>
                <w:lang w:val="en-GB"/>
              </w:rPr>
              <w:t>45,</w:t>
            </w:r>
            <w:r w:rsidRPr="003A6BE9">
              <w:rPr>
                <w:sz w:val="22"/>
                <w:szCs w:val="22"/>
                <w:lang w:val="en-GB"/>
              </w:rPr>
              <w:t>8</w:t>
            </w:r>
            <w:r>
              <w:rPr>
                <w:sz w:val="22"/>
                <w:szCs w:val="22"/>
                <w:lang w:val="en-GB"/>
              </w:rPr>
              <w:t xml:space="preserve"> </w:t>
            </w:r>
            <w:r w:rsidRPr="003A6BE9">
              <w:rPr>
                <w:sz w:val="22"/>
                <w:szCs w:val="22"/>
                <w:lang w:val="en-GB"/>
              </w:rPr>
              <w:t>%</w:t>
            </w:r>
          </w:p>
        </w:tc>
        <w:tc>
          <w:tcPr>
            <w:tcW w:w="1005" w:type="pct"/>
          </w:tcPr>
          <w:p w14:paraId="74A04D6E" w14:textId="77777777" w:rsidR="00443470" w:rsidRPr="003A6BE9" w:rsidRDefault="00E453CD" w:rsidP="005304DA">
            <w:pPr>
              <w:keepNext/>
              <w:jc w:val="center"/>
              <w:rPr>
                <w:sz w:val="22"/>
                <w:szCs w:val="22"/>
                <w:lang w:val="en-GB"/>
              </w:rPr>
            </w:pPr>
            <w:r>
              <w:rPr>
                <w:sz w:val="22"/>
                <w:szCs w:val="22"/>
                <w:lang w:val="en-GB"/>
              </w:rPr>
              <w:t>65,</w:t>
            </w:r>
            <w:r w:rsidRPr="003A6BE9">
              <w:rPr>
                <w:sz w:val="22"/>
                <w:szCs w:val="22"/>
                <w:lang w:val="en-GB"/>
              </w:rPr>
              <w:t>8</w:t>
            </w:r>
            <w:r>
              <w:rPr>
                <w:sz w:val="22"/>
                <w:szCs w:val="22"/>
                <w:lang w:val="en-GB"/>
              </w:rPr>
              <w:t xml:space="preserve"> </w:t>
            </w:r>
            <w:r w:rsidRPr="003A6BE9">
              <w:rPr>
                <w:sz w:val="22"/>
                <w:szCs w:val="22"/>
                <w:lang w:val="en-GB"/>
              </w:rPr>
              <w:t>%***</w:t>
            </w:r>
          </w:p>
        </w:tc>
      </w:tr>
      <w:tr w:rsidR="004644D4" w14:paraId="655113C2" w14:textId="77777777" w:rsidTr="005D54C1">
        <w:trPr>
          <w:jc w:val="center"/>
        </w:trPr>
        <w:tc>
          <w:tcPr>
            <w:tcW w:w="3067" w:type="pct"/>
          </w:tcPr>
          <w:p w14:paraId="32C41F8F" w14:textId="77777777" w:rsidR="00443470" w:rsidRPr="003A6BE9" w:rsidRDefault="00E453CD" w:rsidP="005304DA">
            <w:pPr>
              <w:keepNext/>
              <w:rPr>
                <w:sz w:val="22"/>
                <w:szCs w:val="22"/>
                <w:lang w:val="en-GB"/>
              </w:rPr>
            </w:pPr>
            <w:r w:rsidRPr="003A6BE9">
              <w:rPr>
                <w:sz w:val="22"/>
                <w:szCs w:val="22"/>
                <w:lang w:val="en-GB"/>
              </w:rPr>
              <w:t>ASAS</w:t>
            </w:r>
            <w:r w:rsidRPr="003A6BE9">
              <w:rPr>
                <w:sz w:val="22"/>
                <w:szCs w:val="22"/>
                <w:vertAlign w:val="superscript"/>
                <w:lang w:val="en-GB"/>
              </w:rPr>
              <w:t>a</w:t>
            </w:r>
            <w:r w:rsidRPr="003A6BE9">
              <w:rPr>
                <w:sz w:val="22"/>
                <w:szCs w:val="22"/>
                <w:lang w:val="en-GB"/>
              </w:rPr>
              <w:t xml:space="preserve"> </w:t>
            </w:r>
            <w:r>
              <w:rPr>
                <w:sz w:val="22"/>
                <w:szCs w:val="22"/>
                <w:lang w:val="en-GB"/>
              </w:rPr>
              <w:t>delvis remisjon</w:t>
            </w:r>
          </w:p>
        </w:tc>
        <w:tc>
          <w:tcPr>
            <w:tcW w:w="928" w:type="pct"/>
          </w:tcPr>
          <w:p w14:paraId="28FB7609" w14:textId="77777777" w:rsidR="00443470" w:rsidRPr="003A6BE9" w:rsidRDefault="00E453CD" w:rsidP="005304DA">
            <w:pPr>
              <w:keepNext/>
              <w:jc w:val="center"/>
              <w:rPr>
                <w:sz w:val="22"/>
                <w:szCs w:val="22"/>
                <w:lang w:val="en-GB"/>
              </w:rPr>
            </w:pPr>
            <w:r>
              <w:rPr>
                <w:sz w:val="22"/>
                <w:szCs w:val="22"/>
                <w:lang w:val="en-GB"/>
              </w:rPr>
              <w:t>26,</w:t>
            </w:r>
            <w:r w:rsidRPr="003A6BE9">
              <w:rPr>
                <w:sz w:val="22"/>
                <w:szCs w:val="22"/>
                <w:lang w:val="en-GB"/>
              </w:rPr>
              <w:t>8</w:t>
            </w:r>
            <w:r>
              <w:rPr>
                <w:sz w:val="22"/>
                <w:szCs w:val="22"/>
                <w:lang w:val="en-GB"/>
              </w:rPr>
              <w:t xml:space="preserve"> </w:t>
            </w:r>
            <w:r w:rsidRPr="003A6BE9">
              <w:rPr>
                <w:sz w:val="22"/>
                <w:szCs w:val="22"/>
                <w:lang w:val="en-GB"/>
              </w:rPr>
              <w:t>%</w:t>
            </w:r>
          </w:p>
        </w:tc>
        <w:tc>
          <w:tcPr>
            <w:tcW w:w="1005" w:type="pct"/>
          </w:tcPr>
          <w:p w14:paraId="51EBFCE1" w14:textId="77777777" w:rsidR="00443470" w:rsidRPr="003A6BE9" w:rsidRDefault="00E453CD" w:rsidP="005304DA">
            <w:pPr>
              <w:keepNext/>
              <w:jc w:val="center"/>
              <w:rPr>
                <w:sz w:val="22"/>
                <w:szCs w:val="22"/>
                <w:lang w:val="en-GB"/>
              </w:rPr>
            </w:pPr>
            <w:r>
              <w:rPr>
                <w:sz w:val="22"/>
                <w:szCs w:val="22"/>
                <w:lang w:val="en-GB"/>
              </w:rPr>
              <w:t>42,</w:t>
            </w:r>
            <w:r w:rsidRPr="003A6BE9">
              <w:rPr>
                <w:sz w:val="22"/>
                <w:szCs w:val="22"/>
                <w:lang w:val="en-GB"/>
              </w:rPr>
              <w:t>1</w:t>
            </w:r>
            <w:r>
              <w:rPr>
                <w:sz w:val="22"/>
                <w:szCs w:val="22"/>
                <w:lang w:val="en-GB"/>
              </w:rPr>
              <w:t xml:space="preserve"> </w:t>
            </w:r>
            <w:r w:rsidRPr="003A6BE9">
              <w:rPr>
                <w:sz w:val="22"/>
                <w:szCs w:val="22"/>
                <w:lang w:val="en-GB"/>
              </w:rPr>
              <w:t>%**</w:t>
            </w:r>
          </w:p>
        </w:tc>
      </w:tr>
      <w:tr w:rsidR="004644D4" w14:paraId="72AB8AED" w14:textId="77777777" w:rsidTr="00926F2E">
        <w:trPr>
          <w:jc w:val="center"/>
        </w:trPr>
        <w:tc>
          <w:tcPr>
            <w:tcW w:w="3067" w:type="pct"/>
            <w:tcBorders>
              <w:bottom w:val="single" w:sz="4" w:space="0" w:color="auto"/>
            </w:tcBorders>
          </w:tcPr>
          <w:p w14:paraId="726FF960" w14:textId="77777777" w:rsidR="00443470" w:rsidRPr="003A6BE9" w:rsidRDefault="00E453CD" w:rsidP="005304DA">
            <w:pPr>
              <w:keepNext/>
              <w:rPr>
                <w:sz w:val="22"/>
                <w:szCs w:val="22"/>
                <w:lang w:val="en-GB"/>
              </w:rPr>
            </w:pPr>
            <w:r w:rsidRPr="003A6BE9">
              <w:rPr>
                <w:sz w:val="22"/>
                <w:szCs w:val="22"/>
                <w:lang w:val="en-GB"/>
              </w:rPr>
              <w:t>ASDAS</w:t>
            </w:r>
            <w:r w:rsidRPr="003A6BE9">
              <w:rPr>
                <w:sz w:val="22"/>
                <w:szCs w:val="22"/>
                <w:vertAlign w:val="superscript"/>
                <w:lang w:val="en-GB"/>
              </w:rPr>
              <w:t>c</w:t>
            </w:r>
            <w:r w:rsidR="00243DBF">
              <w:rPr>
                <w:sz w:val="22"/>
                <w:szCs w:val="22"/>
                <w:vertAlign w:val="superscript"/>
                <w:lang w:val="en-GB"/>
              </w:rPr>
              <w:t xml:space="preserve"> </w:t>
            </w:r>
            <w:r>
              <w:rPr>
                <w:sz w:val="22"/>
                <w:szCs w:val="22"/>
                <w:lang w:val="en-GB"/>
              </w:rPr>
              <w:t>inaktiv sykdom</w:t>
            </w:r>
          </w:p>
        </w:tc>
        <w:tc>
          <w:tcPr>
            <w:tcW w:w="928" w:type="pct"/>
            <w:tcBorders>
              <w:bottom w:val="single" w:sz="4" w:space="0" w:color="auto"/>
            </w:tcBorders>
          </w:tcPr>
          <w:p w14:paraId="4CBEDA66" w14:textId="77777777" w:rsidR="00443470" w:rsidRPr="003A6BE9" w:rsidRDefault="00E453CD" w:rsidP="005304DA">
            <w:pPr>
              <w:keepNext/>
              <w:jc w:val="center"/>
              <w:rPr>
                <w:sz w:val="22"/>
                <w:szCs w:val="22"/>
                <w:lang w:val="en-GB"/>
              </w:rPr>
            </w:pPr>
            <w:r>
              <w:rPr>
                <w:sz w:val="22"/>
                <w:szCs w:val="22"/>
                <w:lang w:val="en-GB"/>
              </w:rPr>
              <w:t>33,</w:t>
            </w:r>
            <w:r w:rsidRPr="003A6BE9">
              <w:rPr>
                <w:sz w:val="22"/>
                <w:szCs w:val="22"/>
                <w:lang w:val="en-GB"/>
              </w:rPr>
              <w:t>3</w:t>
            </w:r>
            <w:r>
              <w:rPr>
                <w:sz w:val="22"/>
                <w:szCs w:val="22"/>
                <w:lang w:val="en-GB"/>
              </w:rPr>
              <w:t xml:space="preserve"> </w:t>
            </w:r>
            <w:r w:rsidRPr="003A6BE9">
              <w:rPr>
                <w:sz w:val="22"/>
                <w:szCs w:val="22"/>
                <w:lang w:val="en-GB"/>
              </w:rPr>
              <w:t>%</w:t>
            </w:r>
          </w:p>
        </w:tc>
        <w:tc>
          <w:tcPr>
            <w:tcW w:w="1005" w:type="pct"/>
            <w:tcBorders>
              <w:bottom w:val="single" w:sz="4" w:space="0" w:color="auto"/>
            </w:tcBorders>
          </w:tcPr>
          <w:p w14:paraId="50CD6514" w14:textId="77777777" w:rsidR="00443470" w:rsidRPr="003A6BE9" w:rsidRDefault="00E453CD" w:rsidP="005304DA">
            <w:pPr>
              <w:keepNext/>
              <w:jc w:val="center"/>
              <w:rPr>
                <w:sz w:val="22"/>
                <w:szCs w:val="22"/>
                <w:lang w:val="en-GB"/>
              </w:rPr>
            </w:pPr>
            <w:r>
              <w:rPr>
                <w:sz w:val="22"/>
                <w:szCs w:val="22"/>
                <w:lang w:val="en-GB"/>
              </w:rPr>
              <w:t>57,</w:t>
            </w:r>
            <w:r w:rsidRPr="003A6BE9">
              <w:rPr>
                <w:sz w:val="22"/>
                <w:szCs w:val="22"/>
                <w:lang w:val="en-GB"/>
              </w:rPr>
              <w:t>2</w:t>
            </w:r>
            <w:r>
              <w:rPr>
                <w:sz w:val="22"/>
                <w:szCs w:val="22"/>
                <w:lang w:val="en-GB"/>
              </w:rPr>
              <w:t xml:space="preserve"> </w:t>
            </w:r>
            <w:r w:rsidRPr="003A6BE9">
              <w:rPr>
                <w:sz w:val="22"/>
                <w:szCs w:val="22"/>
                <w:lang w:val="en-GB"/>
              </w:rPr>
              <w:t>%***</w:t>
            </w:r>
          </w:p>
        </w:tc>
      </w:tr>
      <w:tr w:rsidR="004644D4" w14:paraId="530096B1" w14:textId="77777777" w:rsidTr="00926F2E">
        <w:trPr>
          <w:jc w:val="center"/>
        </w:trPr>
        <w:tc>
          <w:tcPr>
            <w:tcW w:w="3067" w:type="pct"/>
            <w:tcBorders>
              <w:bottom w:val="single" w:sz="4" w:space="0" w:color="auto"/>
            </w:tcBorders>
          </w:tcPr>
          <w:p w14:paraId="39FD9E0F" w14:textId="77777777" w:rsidR="00443470" w:rsidRPr="003A6BE9" w:rsidRDefault="00E453CD" w:rsidP="005304DA">
            <w:pPr>
              <w:keepNext/>
              <w:rPr>
                <w:sz w:val="22"/>
                <w:szCs w:val="22"/>
                <w:lang w:val="en-GB"/>
              </w:rPr>
            </w:pPr>
            <w:r>
              <w:rPr>
                <w:sz w:val="22"/>
                <w:szCs w:val="22"/>
                <w:lang w:val="en-GB"/>
              </w:rPr>
              <w:t>Delvis sykdomsoppbluss</w:t>
            </w:r>
            <w:r w:rsidRPr="003A6BE9">
              <w:rPr>
                <w:sz w:val="22"/>
                <w:szCs w:val="22"/>
                <w:vertAlign w:val="superscript"/>
                <w:lang w:val="en-GB"/>
              </w:rPr>
              <w:t>d</w:t>
            </w:r>
          </w:p>
        </w:tc>
        <w:tc>
          <w:tcPr>
            <w:tcW w:w="928" w:type="pct"/>
            <w:tcBorders>
              <w:bottom w:val="single" w:sz="4" w:space="0" w:color="auto"/>
            </w:tcBorders>
          </w:tcPr>
          <w:p w14:paraId="51A577F2" w14:textId="77777777" w:rsidR="00443470" w:rsidRPr="003A6BE9" w:rsidRDefault="00E453CD" w:rsidP="005304DA">
            <w:pPr>
              <w:keepNext/>
              <w:jc w:val="center"/>
              <w:rPr>
                <w:sz w:val="22"/>
                <w:szCs w:val="22"/>
                <w:lang w:val="en-GB"/>
              </w:rPr>
            </w:pPr>
            <w:r>
              <w:rPr>
                <w:sz w:val="22"/>
                <w:szCs w:val="22"/>
                <w:lang w:val="en-GB"/>
              </w:rPr>
              <w:t>64,</w:t>
            </w:r>
            <w:r w:rsidRPr="003A6BE9">
              <w:rPr>
                <w:sz w:val="22"/>
                <w:szCs w:val="22"/>
                <w:lang w:val="en-GB"/>
              </w:rPr>
              <w:t>1</w:t>
            </w:r>
            <w:r>
              <w:rPr>
                <w:sz w:val="22"/>
                <w:szCs w:val="22"/>
                <w:lang w:val="en-GB"/>
              </w:rPr>
              <w:t xml:space="preserve"> </w:t>
            </w:r>
            <w:r w:rsidRPr="003A6BE9">
              <w:rPr>
                <w:sz w:val="22"/>
                <w:szCs w:val="22"/>
                <w:lang w:val="en-GB"/>
              </w:rPr>
              <w:t>%</w:t>
            </w:r>
          </w:p>
        </w:tc>
        <w:tc>
          <w:tcPr>
            <w:tcW w:w="1005" w:type="pct"/>
            <w:tcBorders>
              <w:bottom w:val="single" w:sz="4" w:space="0" w:color="auto"/>
            </w:tcBorders>
          </w:tcPr>
          <w:p w14:paraId="53F7583A" w14:textId="77777777" w:rsidR="00443470" w:rsidRPr="003A6BE9" w:rsidRDefault="00E453CD" w:rsidP="005304DA">
            <w:pPr>
              <w:keepNext/>
              <w:jc w:val="center"/>
              <w:rPr>
                <w:sz w:val="22"/>
                <w:szCs w:val="22"/>
                <w:lang w:val="en-GB"/>
              </w:rPr>
            </w:pPr>
            <w:r>
              <w:rPr>
                <w:sz w:val="22"/>
                <w:szCs w:val="22"/>
                <w:lang w:val="en-GB"/>
              </w:rPr>
              <w:t>40,</w:t>
            </w:r>
            <w:r w:rsidRPr="003A6BE9">
              <w:rPr>
                <w:sz w:val="22"/>
                <w:szCs w:val="22"/>
                <w:lang w:val="en-GB"/>
              </w:rPr>
              <w:t>8</w:t>
            </w:r>
            <w:r>
              <w:rPr>
                <w:sz w:val="22"/>
                <w:szCs w:val="22"/>
                <w:lang w:val="en-GB"/>
              </w:rPr>
              <w:t xml:space="preserve"> </w:t>
            </w:r>
            <w:r w:rsidRPr="003A6BE9">
              <w:rPr>
                <w:sz w:val="22"/>
                <w:szCs w:val="22"/>
                <w:lang w:val="en-GB"/>
              </w:rPr>
              <w:t>%***</w:t>
            </w:r>
          </w:p>
        </w:tc>
      </w:tr>
      <w:tr w:rsidR="004644D4" w14:paraId="4DB049C7" w14:textId="77777777" w:rsidTr="00926F2E">
        <w:trPr>
          <w:jc w:val="center"/>
        </w:trPr>
        <w:tc>
          <w:tcPr>
            <w:tcW w:w="5000" w:type="pct"/>
            <w:gridSpan w:val="3"/>
            <w:tcBorders>
              <w:top w:val="single" w:sz="4" w:space="0" w:color="auto"/>
              <w:left w:val="nil"/>
              <w:bottom w:val="nil"/>
              <w:right w:val="nil"/>
            </w:tcBorders>
          </w:tcPr>
          <w:p w14:paraId="58A1D42C" w14:textId="77777777" w:rsidR="00443470" w:rsidRPr="003A6BE9" w:rsidRDefault="00E453CD" w:rsidP="005304DA">
            <w:pPr>
              <w:keepNext/>
              <w:autoSpaceDE w:val="0"/>
              <w:autoSpaceDN w:val="0"/>
              <w:adjustRightInd w:val="0"/>
              <w:rPr>
                <w:sz w:val="22"/>
                <w:szCs w:val="22"/>
                <w:lang w:val="en-US"/>
              </w:rPr>
            </w:pPr>
            <w:r w:rsidRPr="003A6BE9">
              <w:rPr>
                <w:sz w:val="22"/>
                <w:szCs w:val="22"/>
                <w:vertAlign w:val="superscript"/>
                <w:lang w:val="en-US"/>
              </w:rPr>
              <w:t>a</w:t>
            </w:r>
            <w:r w:rsidRPr="003A6BE9">
              <w:rPr>
                <w:sz w:val="22"/>
                <w:szCs w:val="22"/>
                <w:lang w:val="en-US"/>
              </w:rPr>
              <w:t xml:space="preserve"> Assessment of SpondyloArthritis international Society</w:t>
            </w:r>
          </w:p>
          <w:p w14:paraId="53558DF3" w14:textId="77777777" w:rsidR="00443470" w:rsidRPr="003A6BE9" w:rsidRDefault="00E453CD" w:rsidP="005304DA">
            <w:pPr>
              <w:pStyle w:val="EMEANormal"/>
              <w:keepNext/>
              <w:ind w:left="20"/>
              <w:rPr>
                <w:szCs w:val="22"/>
                <w:vertAlign w:val="superscript"/>
                <w:lang w:val="nb-NO"/>
              </w:rPr>
            </w:pPr>
            <w:r w:rsidRPr="003A6BE9">
              <w:rPr>
                <w:szCs w:val="22"/>
                <w:vertAlign w:val="superscript"/>
                <w:lang w:val="nb-NO"/>
              </w:rPr>
              <w:t>b</w:t>
            </w:r>
            <w:r w:rsidRPr="003A6BE9">
              <w:rPr>
                <w:szCs w:val="22"/>
                <w:lang w:val="nb-NO"/>
              </w:rPr>
              <w:t xml:space="preserve"> Baseline er definer</w:t>
            </w:r>
            <w:r>
              <w:rPr>
                <w:szCs w:val="22"/>
                <w:lang w:val="nb-NO"/>
              </w:rPr>
              <w:t>t</w:t>
            </w:r>
            <w:r w:rsidRPr="003A6BE9">
              <w:rPr>
                <w:szCs w:val="22"/>
                <w:lang w:val="nb-NO"/>
              </w:rPr>
              <w:t xml:space="preserve"> som åpen studie</w:t>
            </w:r>
            <w:r>
              <w:rPr>
                <w:szCs w:val="22"/>
                <w:lang w:val="nb-NO"/>
              </w:rPr>
              <w:t>periode</w:t>
            </w:r>
            <w:r w:rsidRPr="003A6BE9">
              <w:rPr>
                <w:szCs w:val="22"/>
                <w:lang w:val="nb-NO"/>
              </w:rPr>
              <w:t xml:space="preserve"> baseline når pasienter har aktiv sykdom.</w:t>
            </w:r>
          </w:p>
          <w:p w14:paraId="143387AF" w14:textId="77777777" w:rsidR="00443470" w:rsidRPr="00A374EC" w:rsidRDefault="00E453CD" w:rsidP="005304DA">
            <w:pPr>
              <w:pStyle w:val="EMEANormal"/>
              <w:keepNext/>
              <w:ind w:left="20"/>
              <w:rPr>
                <w:szCs w:val="22"/>
                <w:vertAlign w:val="superscript"/>
                <w:lang w:val="en-GB"/>
              </w:rPr>
            </w:pPr>
            <w:r w:rsidRPr="00A374EC">
              <w:rPr>
                <w:szCs w:val="22"/>
                <w:vertAlign w:val="superscript"/>
                <w:lang w:val="en-GB"/>
              </w:rPr>
              <w:t>c</w:t>
            </w:r>
            <w:r w:rsidRPr="00A374EC">
              <w:rPr>
                <w:szCs w:val="22"/>
                <w:lang w:val="en-GB"/>
              </w:rPr>
              <w:t xml:space="preserve"> Ankylosing Spondylitis Disease Activity Score</w:t>
            </w:r>
          </w:p>
          <w:p w14:paraId="17E90757" w14:textId="77777777" w:rsidR="00443470" w:rsidRPr="003A6BE9" w:rsidRDefault="00E453CD" w:rsidP="005304DA">
            <w:pPr>
              <w:keepNext/>
              <w:autoSpaceDE w:val="0"/>
              <w:autoSpaceDN w:val="0"/>
              <w:adjustRightInd w:val="0"/>
              <w:rPr>
                <w:sz w:val="22"/>
                <w:szCs w:val="22"/>
              </w:rPr>
            </w:pPr>
            <w:r w:rsidRPr="003A6BE9">
              <w:rPr>
                <w:sz w:val="22"/>
                <w:szCs w:val="22"/>
                <w:vertAlign w:val="superscript"/>
              </w:rPr>
              <w:t>d</w:t>
            </w:r>
            <w:r w:rsidRPr="003A6BE9">
              <w:rPr>
                <w:sz w:val="22"/>
                <w:szCs w:val="22"/>
              </w:rPr>
              <w:t xml:space="preserve"> Delvis oppbluss er definer</w:t>
            </w:r>
            <w:r>
              <w:rPr>
                <w:sz w:val="22"/>
                <w:szCs w:val="22"/>
              </w:rPr>
              <w:t>t</w:t>
            </w:r>
            <w:r w:rsidRPr="003A6BE9">
              <w:rPr>
                <w:sz w:val="22"/>
                <w:szCs w:val="22"/>
              </w:rPr>
              <w:t xml:space="preserve"> som </w:t>
            </w:r>
            <w:r>
              <w:rPr>
                <w:rFonts w:eastAsiaTheme="minorHAnsi"/>
                <w:sz w:val="22"/>
                <w:szCs w:val="22"/>
              </w:rPr>
              <w:t>ASDAS ≥ 1,</w:t>
            </w:r>
            <w:r w:rsidRPr="003A6BE9">
              <w:rPr>
                <w:rFonts w:eastAsiaTheme="minorHAnsi"/>
                <w:sz w:val="22"/>
                <w:szCs w:val="22"/>
              </w:rPr>
              <w:t>3</w:t>
            </w:r>
            <w:r>
              <w:rPr>
                <w:rFonts w:eastAsiaTheme="minorHAnsi"/>
                <w:sz w:val="22"/>
                <w:szCs w:val="22"/>
              </w:rPr>
              <w:t>,</w:t>
            </w:r>
            <w:r w:rsidRPr="003A6BE9">
              <w:rPr>
                <w:rFonts w:eastAsiaTheme="minorHAnsi"/>
                <w:sz w:val="22"/>
                <w:szCs w:val="22"/>
              </w:rPr>
              <w:t xml:space="preserve"> </w:t>
            </w:r>
            <w:r>
              <w:rPr>
                <w:rFonts w:eastAsiaTheme="minorHAnsi"/>
                <w:sz w:val="22"/>
                <w:szCs w:val="22"/>
              </w:rPr>
              <w:t>men &lt; 2,</w:t>
            </w:r>
            <w:r w:rsidRPr="003A6BE9">
              <w:rPr>
                <w:rFonts w:eastAsiaTheme="minorHAnsi"/>
                <w:sz w:val="22"/>
                <w:szCs w:val="22"/>
              </w:rPr>
              <w:t xml:space="preserve">1 </w:t>
            </w:r>
            <w:r>
              <w:rPr>
                <w:rFonts w:eastAsiaTheme="minorHAnsi"/>
                <w:sz w:val="22"/>
                <w:szCs w:val="22"/>
              </w:rPr>
              <w:t>på</w:t>
            </w:r>
            <w:r w:rsidRPr="003A6BE9">
              <w:rPr>
                <w:rFonts w:eastAsiaTheme="minorHAnsi"/>
                <w:sz w:val="22"/>
                <w:szCs w:val="22"/>
              </w:rPr>
              <w:t xml:space="preserve"> 2 </w:t>
            </w:r>
            <w:r>
              <w:rPr>
                <w:rFonts w:eastAsiaTheme="minorHAnsi"/>
                <w:sz w:val="22"/>
                <w:szCs w:val="22"/>
              </w:rPr>
              <w:t>etterfølgende studiebesøk</w:t>
            </w:r>
            <w:r w:rsidRPr="003A6BE9">
              <w:rPr>
                <w:rFonts w:eastAsiaTheme="minorHAnsi"/>
                <w:sz w:val="22"/>
                <w:szCs w:val="22"/>
              </w:rPr>
              <w:t>.</w:t>
            </w:r>
          </w:p>
          <w:p w14:paraId="61CB4203" w14:textId="77777777" w:rsidR="00443470" w:rsidRPr="003A6BE9" w:rsidRDefault="00E453CD" w:rsidP="005304DA">
            <w:pPr>
              <w:pStyle w:val="EMEANormal"/>
              <w:keepNext/>
              <w:ind w:left="20"/>
              <w:rPr>
                <w:szCs w:val="22"/>
                <w:lang w:val="nb-NO"/>
              </w:rPr>
            </w:pPr>
            <w:r w:rsidRPr="003A6BE9">
              <w:rPr>
                <w:szCs w:val="22"/>
                <w:lang w:val="nb-NO"/>
              </w:rPr>
              <w:t xml:space="preserve">***, ** Statistisk signifikant ved henholdsvis p &lt; 0,001 og &lt; 0,01 for alle </w:t>
            </w:r>
            <w:r>
              <w:rPr>
                <w:szCs w:val="22"/>
                <w:lang w:val="nb-NO"/>
              </w:rPr>
              <w:t xml:space="preserve">sammenligninger mellom </w:t>
            </w:r>
            <w:r w:rsidRPr="003A6BE9">
              <w:rPr>
                <w:szCs w:val="22"/>
                <w:lang w:val="nb-NO"/>
              </w:rPr>
              <w:t xml:space="preserve">Humira </w:t>
            </w:r>
            <w:r>
              <w:rPr>
                <w:szCs w:val="22"/>
                <w:lang w:val="nb-NO"/>
              </w:rPr>
              <w:t>og</w:t>
            </w:r>
            <w:r w:rsidRPr="003A6BE9">
              <w:rPr>
                <w:szCs w:val="22"/>
                <w:lang w:val="nb-NO"/>
              </w:rPr>
              <w:t xml:space="preserve"> placebo.</w:t>
            </w:r>
          </w:p>
        </w:tc>
      </w:tr>
    </w:tbl>
    <w:p w14:paraId="7F0B2537" w14:textId="77777777" w:rsidR="001E500F" w:rsidRPr="009C5EFD" w:rsidRDefault="001E500F" w:rsidP="009C5EFD">
      <w:pPr>
        <w:rPr>
          <w:sz w:val="22"/>
          <w:szCs w:val="22"/>
          <w:u w:val="single"/>
        </w:rPr>
      </w:pPr>
    </w:p>
    <w:p w14:paraId="699FAB96" w14:textId="77777777" w:rsidR="001E500F" w:rsidRPr="009C5EFD" w:rsidRDefault="00E453CD" w:rsidP="00776A84">
      <w:pPr>
        <w:keepNext/>
        <w:rPr>
          <w:i/>
          <w:sz w:val="22"/>
          <w:szCs w:val="22"/>
        </w:rPr>
      </w:pPr>
      <w:r w:rsidRPr="009C5EFD">
        <w:rPr>
          <w:i/>
          <w:sz w:val="22"/>
          <w:szCs w:val="22"/>
        </w:rPr>
        <w:t>Psoriasisartritt</w:t>
      </w:r>
    </w:p>
    <w:p w14:paraId="2D867608" w14:textId="77777777" w:rsidR="001E500F" w:rsidRPr="009C5EFD" w:rsidRDefault="001E500F" w:rsidP="00776A84">
      <w:pPr>
        <w:keepNext/>
        <w:rPr>
          <w:sz w:val="22"/>
          <w:szCs w:val="22"/>
        </w:rPr>
      </w:pPr>
    </w:p>
    <w:p w14:paraId="1A6AD0E6" w14:textId="77777777" w:rsidR="001E500F" w:rsidRPr="009C5EFD" w:rsidRDefault="00E453CD" w:rsidP="009C5EFD">
      <w:pPr>
        <w:rPr>
          <w:sz w:val="22"/>
          <w:szCs w:val="22"/>
        </w:rPr>
      </w:pPr>
      <w:r w:rsidRPr="009C5EFD">
        <w:rPr>
          <w:sz w:val="22"/>
          <w:szCs w:val="22"/>
        </w:rPr>
        <w:t>Humira 40</w:t>
      </w:r>
      <w:r w:rsidR="00E55E5D" w:rsidRPr="009C5EFD">
        <w:rPr>
          <w:sz w:val="22"/>
          <w:szCs w:val="22"/>
        </w:rPr>
        <w:t> mg</w:t>
      </w:r>
      <w:r w:rsidRPr="009C5EFD">
        <w:rPr>
          <w:sz w:val="22"/>
          <w:szCs w:val="22"/>
        </w:rPr>
        <w:t xml:space="preserve"> annen</w:t>
      </w:r>
      <w:r w:rsidR="00D51E4F">
        <w:rPr>
          <w:sz w:val="22"/>
          <w:szCs w:val="22"/>
        </w:rPr>
        <w:t>hver</w:t>
      </w:r>
      <w:r w:rsidRPr="009C5EFD">
        <w:rPr>
          <w:sz w:val="22"/>
          <w:szCs w:val="22"/>
        </w:rPr>
        <w:t xml:space="preserve"> uke er undersøkt hos pasienter med moderat til alvorlig aktiv psoriasisartritt i to placebokontrollerte studier, PsA-studiene I og II. PsA-studie I med 24</w:t>
      </w:r>
      <w:r w:rsidR="00315F16" w:rsidRPr="009C5EFD">
        <w:rPr>
          <w:sz w:val="22"/>
          <w:szCs w:val="22"/>
        </w:rPr>
        <w:t> uker</w:t>
      </w:r>
      <w:r w:rsidRPr="009C5EFD">
        <w:rPr>
          <w:sz w:val="22"/>
          <w:szCs w:val="22"/>
        </w:rPr>
        <w:t>s varighet, behandlet 313</w:t>
      </w:r>
      <w:r w:rsidR="002010F4" w:rsidRPr="009C5EFD">
        <w:rPr>
          <w:sz w:val="22"/>
          <w:szCs w:val="22"/>
        </w:rPr>
        <w:t> </w:t>
      </w:r>
      <w:r w:rsidRPr="009C5EFD">
        <w:rPr>
          <w:sz w:val="22"/>
          <w:szCs w:val="22"/>
        </w:rPr>
        <w:t>voksne pasienter som ikke hadde tilstrekkelig respons på ikke-steroid anti-inflammatorisk behandling, hvorav omtrent 50</w:t>
      </w:r>
      <w:r w:rsidR="00315F16" w:rsidRPr="009C5EFD">
        <w:rPr>
          <w:sz w:val="22"/>
          <w:szCs w:val="22"/>
        </w:rPr>
        <w:t> %</w:t>
      </w:r>
      <w:r w:rsidRPr="009C5EFD">
        <w:rPr>
          <w:sz w:val="22"/>
          <w:szCs w:val="22"/>
        </w:rPr>
        <w:t xml:space="preserve"> brukte metotreksat. PsA-studie II med 12</w:t>
      </w:r>
      <w:r w:rsidR="00315F16" w:rsidRPr="009C5EFD">
        <w:rPr>
          <w:sz w:val="22"/>
          <w:szCs w:val="22"/>
        </w:rPr>
        <w:t> uker</w:t>
      </w:r>
      <w:r w:rsidRPr="009C5EFD">
        <w:rPr>
          <w:sz w:val="22"/>
          <w:szCs w:val="22"/>
        </w:rPr>
        <w:t>s varighet, behandlet 100</w:t>
      </w:r>
      <w:r w:rsidR="00315F16" w:rsidRPr="009C5EFD">
        <w:rPr>
          <w:sz w:val="22"/>
          <w:szCs w:val="22"/>
        </w:rPr>
        <w:t> pasient</w:t>
      </w:r>
      <w:r w:rsidRPr="009C5EFD">
        <w:rPr>
          <w:sz w:val="22"/>
          <w:szCs w:val="22"/>
        </w:rPr>
        <w:t>er som ikke hadde tilstrekkelig respons på DMARD-behandling. Etter avslutning av begge studiene gikk 383</w:t>
      </w:r>
      <w:r w:rsidR="00315F16" w:rsidRPr="009C5EFD">
        <w:rPr>
          <w:sz w:val="22"/>
          <w:szCs w:val="22"/>
        </w:rPr>
        <w:t> pasient</w:t>
      </w:r>
      <w:r w:rsidRPr="009C5EFD">
        <w:rPr>
          <w:sz w:val="22"/>
          <w:szCs w:val="22"/>
        </w:rPr>
        <w:t>er videre i en åpen forlengelsesstudie hvor 40</w:t>
      </w:r>
      <w:r w:rsidR="00E55E5D" w:rsidRPr="009C5EFD">
        <w:rPr>
          <w:sz w:val="22"/>
          <w:szCs w:val="22"/>
        </w:rPr>
        <w:t> mg</w:t>
      </w:r>
      <w:r w:rsidRPr="009C5EFD">
        <w:rPr>
          <w:sz w:val="22"/>
          <w:szCs w:val="22"/>
        </w:rPr>
        <w:t xml:space="preserve"> Humira ble gitt annenhver uke.</w:t>
      </w:r>
    </w:p>
    <w:p w14:paraId="0EDCBFAE" w14:textId="77777777" w:rsidR="001E500F" w:rsidRPr="009C5EFD" w:rsidRDefault="001E500F" w:rsidP="009C5EFD">
      <w:pPr>
        <w:rPr>
          <w:sz w:val="22"/>
          <w:szCs w:val="22"/>
        </w:rPr>
      </w:pPr>
    </w:p>
    <w:p w14:paraId="45B22B8F" w14:textId="77777777" w:rsidR="001E500F" w:rsidRPr="009C5EFD" w:rsidRDefault="00E453CD" w:rsidP="009C5EFD">
      <w:pPr>
        <w:rPr>
          <w:sz w:val="22"/>
          <w:szCs w:val="22"/>
        </w:rPr>
      </w:pPr>
      <w:r w:rsidRPr="009C5EFD">
        <w:rPr>
          <w:sz w:val="22"/>
          <w:szCs w:val="22"/>
        </w:rPr>
        <w:t>Det er utilstrekkelig dokumentasjon av effekten av Humira hos pasienter med ankyloserende spondylittlignende psoriasisleddskade på grunn av lavt antall pasienter i studien.</w:t>
      </w:r>
    </w:p>
    <w:p w14:paraId="5F3DF360" w14:textId="77777777" w:rsidR="001E500F" w:rsidRPr="009C5EFD" w:rsidRDefault="001E500F" w:rsidP="009C5EFD">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
        <w:gridCol w:w="1701"/>
        <w:gridCol w:w="1324"/>
        <w:gridCol w:w="1315"/>
        <w:gridCol w:w="1342"/>
        <w:gridCol w:w="1315"/>
      </w:tblGrid>
      <w:tr w:rsidR="004644D4" w14:paraId="5186559A" w14:textId="77777777" w:rsidTr="00F4044A">
        <w:trPr>
          <w:jc w:val="center"/>
        </w:trPr>
        <w:tc>
          <w:tcPr>
            <w:tcW w:w="7067" w:type="dxa"/>
            <w:gridSpan w:val="6"/>
            <w:tcBorders>
              <w:top w:val="nil"/>
              <w:left w:val="nil"/>
              <w:bottom w:val="single" w:sz="4" w:space="0" w:color="auto"/>
              <w:right w:val="nil"/>
            </w:tcBorders>
            <w:hideMark/>
          </w:tcPr>
          <w:p w14:paraId="66AE8F53" w14:textId="77777777" w:rsidR="001E500F" w:rsidRPr="009C5EFD" w:rsidRDefault="00E453CD" w:rsidP="00776A84">
            <w:pPr>
              <w:pStyle w:val="EMEANormal"/>
              <w:keepNext/>
              <w:jc w:val="center"/>
              <w:rPr>
                <w:b/>
                <w:lang w:val="nb-NO"/>
              </w:rPr>
            </w:pPr>
            <w:r w:rsidRPr="009C5EFD">
              <w:rPr>
                <w:b/>
                <w:lang w:val="nb-NO"/>
              </w:rPr>
              <w:t xml:space="preserve">Tabell </w:t>
            </w:r>
            <w:r w:rsidR="00766BE3">
              <w:rPr>
                <w:b/>
                <w:lang w:val="nb-NO"/>
              </w:rPr>
              <w:t>1</w:t>
            </w:r>
            <w:r w:rsidR="00634DDF">
              <w:rPr>
                <w:b/>
                <w:lang w:val="nb-NO"/>
              </w:rPr>
              <w:t>5</w:t>
            </w:r>
          </w:p>
          <w:p w14:paraId="51BD611B" w14:textId="77777777" w:rsidR="001E500F" w:rsidRPr="009C5EFD" w:rsidRDefault="00E453CD" w:rsidP="00776A84">
            <w:pPr>
              <w:pStyle w:val="EMEANormal"/>
              <w:keepNext/>
              <w:jc w:val="center"/>
              <w:rPr>
                <w:b/>
                <w:lang w:val="nb-NO"/>
              </w:rPr>
            </w:pPr>
            <w:r w:rsidRPr="009C5EFD">
              <w:rPr>
                <w:b/>
                <w:lang w:val="nb-NO"/>
              </w:rPr>
              <w:t>ACR-respons i placebokontrollerte studier av psoriasisartritt</w:t>
            </w:r>
          </w:p>
          <w:p w14:paraId="69432F9C" w14:textId="77777777" w:rsidR="001E500F" w:rsidRPr="009C5EFD" w:rsidRDefault="00E453CD" w:rsidP="00776A84">
            <w:pPr>
              <w:pStyle w:val="EMEANormal"/>
              <w:keepNext/>
              <w:jc w:val="center"/>
              <w:rPr>
                <w:lang w:val="nb-NO"/>
              </w:rPr>
            </w:pPr>
            <w:r w:rsidRPr="009C5EFD">
              <w:rPr>
                <w:b/>
                <w:lang w:val="nb-NO"/>
              </w:rPr>
              <w:t>(Prosent av pasientene)</w:t>
            </w:r>
          </w:p>
        </w:tc>
      </w:tr>
      <w:tr w:rsidR="004644D4" w14:paraId="3DE42780"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tcPr>
          <w:p w14:paraId="298EDE4C" w14:textId="77777777" w:rsidR="001E500F" w:rsidRPr="007F67EE" w:rsidRDefault="001E500F" w:rsidP="007F67EE">
            <w:pPr>
              <w:pStyle w:val="EMEANormal"/>
              <w:rPr>
                <w:lang w:val="nb-NO"/>
              </w:rPr>
            </w:pPr>
          </w:p>
        </w:tc>
        <w:tc>
          <w:tcPr>
            <w:tcW w:w="2639" w:type="dxa"/>
            <w:gridSpan w:val="2"/>
            <w:tcBorders>
              <w:top w:val="single" w:sz="4" w:space="0" w:color="auto"/>
              <w:left w:val="single" w:sz="4" w:space="0" w:color="auto"/>
              <w:bottom w:val="single" w:sz="4" w:space="0" w:color="auto"/>
              <w:right w:val="single" w:sz="4" w:space="0" w:color="auto"/>
            </w:tcBorders>
            <w:hideMark/>
          </w:tcPr>
          <w:p w14:paraId="68F2CBEB" w14:textId="77777777" w:rsidR="001E500F" w:rsidRPr="00193D76" w:rsidRDefault="00E453CD" w:rsidP="007F67EE">
            <w:pPr>
              <w:pStyle w:val="EMEANormal"/>
              <w:jc w:val="center"/>
              <w:rPr>
                <w:lang w:val="nb-NO"/>
              </w:rPr>
            </w:pPr>
            <w:r w:rsidRPr="00193D76">
              <w:rPr>
                <w:lang w:val="nb-NO"/>
              </w:rPr>
              <w:t>PsA-studie I</w:t>
            </w:r>
          </w:p>
        </w:tc>
        <w:tc>
          <w:tcPr>
            <w:tcW w:w="2657" w:type="dxa"/>
            <w:gridSpan w:val="2"/>
            <w:tcBorders>
              <w:top w:val="single" w:sz="4" w:space="0" w:color="auto"/>
              <w:left w:val="single" w:sz="4" w:space="0" w:color="auto"/>
              <w:bottom w:val="single" w:sz="4" w:space="0" w:color="auto"/>
              <w:right w:val="single" w:sz="4" w:space="0" w:color="auto"/>
            </w:tcBorders>
            <w:hideMark/>
          </w:tcPr>
          <w:p w14:paraId="4585ED0F" w14:textId="77777777" w:rsidR="001E500F" w:rsidRPr="002D0790" w:rsidRDefault="00E453CD" w:rsidP="00193D76">
            <w:pPr>
              <w:pStyle w:val="EMEANormal"/>
              <w:jc w:val="center"/>
              <w:rPr>
                <w:lang w:val="nb-NO"/>
              </w:rPr>
            </w:pPr>
            <w:r w:rsidRPr="002D0790">
              <w:rPr>
                <w:lang w:val="nb-NO"/>
              </w:rPr>
              <w:t>PsA-studie II</w:t>
            </w:r>
          </w:p>
        </w:tc>
      </w:tr>
      <w:tr w:rsidR="004644D4" w14:paraId="63B98E2B"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74CC252D" w14:textId="77777777" w:rsidR="001E500F" w:rsidRPr="007F67EE" w:rsidRDefault="00E453CD" w:rsidP="007F67EE">
            <w:pPr>
              <w:pStyle w:val="EMEANormal"/>
              <w:rPr>
                <w:lang w:val="nb-NO"/>
              </w:rPr>
            </w:pPr>
            <w:r w:rsidRPr="007F67EE">
              <w:rPr>
                <w:lang w:val="nb-NO"/>
              </w:rPr>
              <w:t>Respons</w:t>
            </w:r>
          </w:p>
        </w:tc>
        <w:tc>
          <w:tcPr>
            <w:tcW w:w="1324" w:type="dxa"/>
            <w:tcBorders>
              <w:top w:val="single" w:sz="4" w:space="0" w:color="auto"/>
              <w:left w:val="single" w:sz="4" w:space="0" w:color="auto"/>
              <w:bottom w:val="single" w:sz="4" w:space="0" w:color="auto"/>
              <w:right w:val="single" w:sz="4" w:space="0" w:color="auto"/>
            </w:tcBorders>
            <w:hideMark/>
          </w:tcPr>
          <w:p w14:paraId="56BB1AB8" w14:textId="77777777" w:rsidR="001E500F" w:rsidRPr="00193D76" w:rsidRDefault="00E453CD" w:rsidP="007F67EE">
            <w:pPr>
              <w:pStyle w:val="EMEANormal"/>
              <w:jc w:val="center"/>
              <w:rPr>
                <w:lang w:val="nb-NO"/>
              </w:rPr>
            </w:pPr>
            <w:r w:rsidRPr="00193D76">
              <w:rPr>
                <w:lang w:val="nb-NO"/>
              </w:rPr>
              <w:t>Placebo</w:t>
            </w:r>
          </w:p>
          <w:p w14:paraId="62FCE9EC" w14:textId="77777777" w:rsidR="001E500F" w:rsidRPr="002D0790" w:rsidRDefault="00E453CD" w:rsidP="00193D76">
            <w:pPr>
              <w:pStyle w:val="EMEANormal"/>
              <w:jc w:val="center"/>
              <w:rPr>
                <w:lang w:val="nb-NO"/>
              </w:rPr>
            </w:pPr>
            <w:r w:rsidRPr="002D0790">
              <w:rPr>
                <w:lang w:val="nb-NO"/>
              </w:rPr>
              <w:t>N=162</w:t>
            </w:r>
          </w:p>
        </w:tc>
        <w:tc>
          <w:tcPr>
            <w:tcW w:w="1315" w:type="dxa"/>
            <w:tcBorders>
              <w:top w:val="single" w:sz="4" w:space="0" w:color="auto"/>
              <w:left w:val="single" w:sz="4" w:space="0" w:color="auto"/>
              <w:bottom w:val="single" w:sz="4" w:space="0" w:color="auto"/>
              <w:right w:val="nil"/>
            </w:tcBorders>
            <w:hideMark/>
          </w:tcPr>
          <w:p w14:paraId="1BA6DDDA" w14:textId="77777777" w:rsidR="001E500F" w:rsidRPr="00C07C98" w:rsidRDefault="00E453CD" w:rsidP="002D0790">
            <w:pPr>
              <w:pStyle w:val="EMEANormal"/>
              <w:jc w:val="center"/>
              <w:rPr>
                <w:lang w:val="nb-NO"/>
              </w:rPr>
            </w:pPr>
            <w:r w:rsidRPr="00C07C98">
              <w:rPr>
                <w:lang w:val="nb-NO"/>
              </w:rPr>
              <w:t>Humira</w:t>
            </w:r>
          </w:p>
          <w:p w14:paraId="6B99A2E0" w14:textId="77777777" w:rsidR="001E500F" w:rsidRPr="00C07C98" w:rsidRDefault="00E453CD" w:rsidP="00C07C98">
            <w:pPr>
              <w:pStyle w:val="EMEANormal"/>
              <w:jc w:val="center"/>
              <w:rPr>
                <w:lang w:val="nb-NO"/>
              </w:rPr>
            </w:pPr>
            <w:r w:rsidRPr="00C07C98">
              <w:rPr>
                <w:lang w:val="nb-NO"/>
              </w:rPr>
              <w:t>N=151</w:t>
            </w:r>
          </w:p>
        </w:tc>
        <w:tc>
          <w:tcPr>
            <w:tcW w:w="1342" w:type="dxa"/>
            <w:tcBorders>
              <w:top w:val="single" w:sz="4" w:space="0" w:color="auto"/>
              <w:left w:val="single" w:sz="4" w:space="0" w:color="auto"/>
              <w:bottom w:val="single" w:sz="4" w:space="0" w:color="auto"/>
              <w:right w:val="single" w:sz="4" w:space="0" w:color="auto"/>
            </w:tcBorders>
            <w:hideMark/>
          </w:tcPr>
          <w:p w14:paraId="000A4B70" w14:textId="77777777" w:rsidR="001E500F" w:rsidRPr="00E14E58" w:rsidRDefault="00E453CD" w:rsidP="00E14E58">
            <w:pPr>
              <w:pStyle w:val="EMEANormal"/>
              <w:jc w:val="center"/>
              <w:rPr>
                <w:lang w:val="nb-NO"/>
              </w:rPr>
            </w:pPr>
            <w:r w:rsidRPr="00E14E58">
              <w:rPr>
                <w:lang w:val="nb-NO"/>
              </w:rPr>
              <w:t>Placebo</w:t>
            </w:r>
          </w:p>
          <w:p w14:paraId="25FCB612" w14:textId="77777777" w:rsidR="001E500F" w:rsidRPr="009C5EFD" w:rsidRDefault="00E453CD" w:rsidP="009C5EFD">
            <w:pPr>
              <w:pStyle w:val="EMEANormal"/>
              <w:jc w:val="center"/>
              <w:rPr>
                <w:lang w:val="nb-NO"/>
              </w:rPr>
            </w:pPr>
            <w:r w:rsidRPr="009C5EFD">
              <w:rPr>
                <w:lang w:val="nb-NO"/>
              </w:rPr>
              <w:t>N=49</w:t>
            </w:r>
          </w:p>
        </w:tc>
        <w:tc>
          <w:tcPr>
            <w:tcW w:w="1315" w:type="dxa"/>
            <w:tcBorders>
              <w:top w:val="single" w:sz="4" w:space="0" w:color="auto"/>
              <w:left w:val="single" w:sz="4" w:space="0" w:color="auto"/>
              <w:bottom w:val="single" w:sz="4" w:space="0" w:color="auto"/>
              <w:right w:val="single" w:sz="4" w:space="0" w:color="auto"/>
            </w:tcBorders>
            <w:hideMark/>
          </w:tcPr>
          <w:p w14:paraId="6AE194B9" w14:textId="77777777" w:rsidR="001E500F" w:rsidRPr="009C5EFD" w:rsidRDefault="00E453CD" w:rsidP="009C5EFD">
            <w:pPr>
              <w:pStyle w:val="EMEANormal"/>
              <w:jc w:val="center"/>
              <w:rPr>
                <w:lang w:val="nb-NO"/>
              </w:rPr>
            </w:pPr>
            <w:r w:rsidRPr="009C5EFD">
              <w:rPr>
                <w:lang w:val="nb-NO"/>
              </w:rPr>
              <w:t>Humira</w:t>
            </w:r>
          </w:p>
          <w:p w14:paraId="6B136FEC" w14:textId="77777777" w:rsidR="001E500F" w:rsidRPr="009C5EFD" w:rsidRDefault="00E453CD" w:rsidP="009C5EFD">
            <w:pPr>
              <w:pStyle w:val="EMEANormal"/>
              <w:jc w:val="center"/>
              <w:rPr>
                <w:lang w:val="nb-NO"/>
              </w:rPr>
            </w:pPr>
            <w:r w:rsidRPr="009C5EFD">
              <w:rPr>
                <w:lang w:val="nb-NO"/>
              </w:rPr>
              <w:t>N=51</w:t>
            </w:r>
          </w:p>
        </w:tc>
      </w:tr>
      <w:tr w:rsidR="004644D4" w14:paraId="28324AEC"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608FF4F1" w14:textId="77777777" w:rsidR="001E500F" w:rsidRPr="007F67EE" w:rsidRDefault="00E453CD" w:rsidP="007F67EE">
            <w:pPr>
              <w:pStyle w:val="EMEANormal"/>
              <w:rPr>
                <w:lang w:val="nb-NO"/>
              </w:rPr>
            </w:pPr>
            <w:r w:rsidRPr="007F67EE">
              <w:rPr>
                <w:lang w:val="nb-NO"/>
              </w:rPr>
              <w:t xml:space="preserve">ACR 20 </w:t>
            </w:r>
          </w:p>
        </w:tc>
        <w:tc>
          <w:tcPr>
            <w:tcW w:w="1324" w:type="dxa"/>
            <w:tcBorders>
              <w:top w:val="single" w:sz="4" w:space="0" w:color="auto"/>
              <w:left w:val="single" w:sz="4" w:space="0" w:color="auto"/>
              <w:bottom w:val="single" w:sz="4" w:space="0" w:color="auto"/>
              <w:right w:val="single" w:sz="4" w:space="0" w:color="auto"/>
            </w:tcBorders>
          </w:tcPr>
          <w:p w14:paraId="0DB49BEB" w14:textId="77777777" w:rsidR="001E500F" w:rsidRPr="00193D76" w:rsidRDefault="001E500F" w:rsidP="007F67EE">
            <w:pPr>
              <w:pStyle w:val="EMEANormal"/>
              <w:jc w:val="center"/>
              <w:rPr>
                <w:lang w:val="nb-NO"/>
              </w:rPr>
            </w:pPr>
          </w:p>
        </w:tc>
        <w:tc>
          <w:tcPr>
            <w:tcW w:w="1315" w:type="dxa"/>
            <w:tcBorders>
              <w:top w:val="single" w:sz="4" w:space="0" w:color="auto"/>
              <w:left w:val="single" w:sz="4" w:space="0" w:color="auto"/>
              <w:bottom w:val="single" w:sz="4" w:space="0" w:color="auto"/>
              <w:right w:val="nil"/>
            </w:tcBorders>
          </w:tcPr>
          <w:p w14:paraId="64CE3C18" w14:textId="77777777" w:rsidR="001E500F" w:rsidRPr="00C07C98" w:rsidRDefault="001E500F" w:rsidP="00193D76">
            <w:pPr>
              <w:pStyle w:val="EMEANormal"/>
              <w:jc w:val="center"/>
              <w:rPr>
                <w:lang w:val="nb-NO"/>
              </w:rPr>
            </w:pPr>
          </w:p>
        </w:tc>
        <w:tc>
          <w:tcPr>
            <w:tcW w:w="1342" w:type="dxa"/>
            <w:tcBorders>
              <w:top w:val="single" w:sz="4" w:space="0" w:color="auto"/>
              <w:left w:val="single" w:sz="4" w:space="0" w:color="auto"/>
              <w:bottom w:val="single" w:sz="4" w:space="0" w:color="auto"/>
              <w:right w:val="single" w:sz="4" w:space="0" w:color="auto"/>
            </w:tcBorders>
          </w:tcPr>
          <w:p w14:paraId="56E4479F" w14:textId="77777777" w:rsidR="001E500F" w:rsidRPr="009C5EFD" w:rsidRDefault="001E500F" w:rsidP="002D0790">
            <w:pPr>
              <w:pStyle w:val="EMEANormal"/>
              <w:jc w:val="center"/>
              <w:rPr>
                <w:lang w:val="nb-NO"/>
              </w:rPr>
            </w:pPr>
          </w:p>
        </w:tc>
        <w:tc>
          <w:tcPr>
            <w:tcW w:w="1315" w:type="dxa"/>
            <w:tcBorders>
              <w:top w:val="single" w:sz="4" w:space="0" w:color="auto"/>
              <w:left w:val="single" w:sz="4" w:space="0" w:color="auto"/>
              <w:bottom w:val="single" w:sz="4" w:space="0" w:color="auto"/>
              <w:right w:val="single" w:sz="4" w:space="0" w:color="auto"/>
            </w:tcBorders>
          </w:tcPr>
          <w:p w14:paraId="0E9C95FA" w14:textId="77777777" w:rsidR="001E500F" w:rsidRPr="009C5EFD" w:rsidRDefault="001E500F" w:rsidP="00C07C98">
            <w:pPr>
              <w:pStyle w:val="EMEANormal"/>
              <w:jc w:val="center"/>
              <w:rPr>
                <w:lang w:val="nb-NO"/>
              </w:rPr>
            </w:pPr>
          </w:p>
        </w:tc>
      </w:tr>
      <w:tr w:rsidR="004644D4" w14:paraId="3D0421A3"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2C7114EE" w14:textId="77777777" w:rsidR="001E500F" w:rsidRPr="00E14E58" w:rsidRDefault="00E453CD" w:rsidP="007F67EE">
            <w:pPr>
              <w:pStyle w:val="EMEANormal"/>
              <w:rPr>
                <w:lang w:val="nb-NO"/>
              </w:rPr>
            </w:pPr>
            <w:r w:rsidRPr="007F67EE">
              <w:rPr>
                <w:lang w:val="nb-NO"/>
              </w:rPr>
              <w:tab/>
            </w:r>
            <w:r w:rsidR="00315F16" w:rsidRPr="00C07C98">
              <w:rPr>
                <w:lang w:val="nb-NO"/>
              </w:rPr>
              <w:t>Uke </w:t>
            </w:r>
            <w:r w:rsidRPr="00E14E58">
              <w:rPr>
                <w:lang w:val="nb-NO"/>
              </w:rPr>
              <w:t>12</w:t>
            </w:r>
          </w:p>
        </w:tc>
        <w:tc>
          <w:tcPr>
            <w:tcW w:w="1324" w:type="dxa"/>
            <w:tcBorders>
              <w:top w:val="single" w:sz="4" w:space="0" w:color="auto"/>
              <w:left w:val="single" w:sz="4" w:space="0" w:color="auto"/>
              <w:bottom w:val="single" w:sz="4" w:space="0" w:color="auto"/>
              <w:right w:val="single" w:sz="4" w:space="0" w:color="auto"/>
            </w:tcBorders>
            <w:hideMark/>
          </w:tcPr>
          <w:p w14:paraId="093CB619" w14:textId="77777777" w:rsidR="001E500F" w:rsidRPr="009C5EFD" w:rsidRDefault="00E453CD" w:rsidP="007F67EE">
            <w:pPr>
              <w:pStyle w:val="EMEANormal"/>
              <w:jc w:val="center"/>
              <w:rPr>
                <w:lang w:val="nb-NO"/>
              </w:rPr>
            </w:pPr>
            <w:r w:rsidRPr="009C5EFD">
              <w:rPr>
                <w:lang w:val="nb-NO"/>
              </w:rPr>
              <w:t>14</w:t>
            </w:r>
            <w:r w:rsidR="00315F16" w:rsidRPr="009C5EFD">
              <w:rPr>
                <w:lang w:val="nb-NO"/>
              </w:rPr>
              <w:t> %</w:t>
            </w:r>
          </w:p>
        </w:tc>
        <w:tc>
          <w:tcPr>
            <w:tcW w:w="1315" w:type="dxa"/>
            <w:tcBorders>
              <w:top w:val="single" w:sz="4" w:space="0" w:color="auto"/>
              <w:left w:val="single" w:sz="4" w:space="0" w:color="auto"/>
              <w:bottom w:val="single" w:sz="4" w:space="0" w:color="auto"/>
              <w:right w:val="nil"/>
            </w:tcBorders>
            <w:hideMark/>
          </w:tcPr>
          <w:p w14:paraId="79228311" w14:textId="77777777" w:rsidR="001E500F" w:rsidRPr="009C5EFD" w:rsidRDefault="00E453CD" w:rsidP="00193D76">
            <w:pPr>
              <w:pStyle w:val="EMEANormal"/>
              <w:jc w:val="center"/>
              <w:rPr>
                <w:lang w:val="nb-NO"/>
              </w:rPr>
            </w:pPr>
            <w:r w:rsidRPr="009C5EFD">
              <w:rPr>
                <w:lang w:val="nb-NO"/>
              </w:rPr>
              <w:t>58</w:t>
            </w:r>
            <w:r w:rsidR="00315F16" w:rsidRPr="009C5EFD">
              <w:rPr>
                <w:lang w:val="nb-NO"/>
              </w:rPr>
              <w:t> %</w:t>
            </w:r>
            <w:r w:rsidRPr="009C5EFD">
              <w:rPr>
                <w:lang w:val="nb-NO"/>
              </w:rPr>
              <w:t>***</w:t>
            </w:r>
          </w:p>
        </w:tc>
        <w:tc>
          <w:tcPr>
            <w:tcW w:w="1342" w:type="dxa"/>
            <w:tcBorders>
              <w:top w:val="single" w:sz="4" w:space="0" w:color="auto"/>
              <w:left w:val="single" w:sz="4" w:space="0" w:color="auto"/>
              <w:bottom w:val="single" w:sz="4" w:space="0" w:color="auto"/>
              <w:right w:val="single" w:sz="4" w:space="0" w:color="auto"/>
            </w:tcBorders>
            <w:hideMark/>
          </w:tcPr>
          <w:p w14:paraId="3C0B26E6" w14:textId="77777777" w:rsidR="001E500F" w:rsidRPr="009C5EFD" w:rsidRDefault="00E453CD" w:rsidP="002D0790">
            <w:pPr>
              <w:pStyle w:val="EMEANormal"/>
              <w:jc w:val="center"/>
              <w:rPr>
                <w:lang w:val="nb-NO"/>
              </w:rPr>
            </w:pPr>
            <w:r w:rsidRPr="009C5EFD">
              <w:rPr>
                <w:lang w:val="nb-NO"/>
              </w:rPr>
              <w:t>16</w:t>
            </w:r>
            <w:r w:rsidR="00315F16" w:rsidRPr="009C5EFD">
              <w:rPr>
                <w:lang w:val="nb-NO"/>
              </w:rPr>
              <w:t> %</w:t>
            </w:r>
          </w:p>
        </w:tc>
        <w:tc>
          <w:tcPr>
            <w:tcW w:w="1315" w:type="dxa"/>
            <w:tcBorders>
              <w:top w:val="single" w:sz="4" w:space="0" w:color="auto"/>
              <w:left w:val="single" w:sz="4" w:space="0" w:color="auto"/>
              <w:bottom w:val="single" w:sz="4" w:space="0" w:color="auto"/>
              <w:right w:val="single" w:sz="4" w:space="0" w:color="auto"/>
            </w:tcBorders>
            <w:hideMark/>
          </w:tcPr>
          <w:p w14:paraId="12E02BFC" w14:textId="77777777" w:rsidR="001E500F" w:rsidRPr="009C5EFD" w:rsidRDefault="00E453CD" w:rsidP="00C07C98">
            <w:pPr>
              <w:pStyle w:val="EMEANormal"/>
              <w:jc w:val="center"/>
              <w:rPr>
                <w:lang w:val="nb-NO"/>
              </w:rPr>
            </w:pPr>
            <w:r w:rsidRPr="009C5EFD">
              <w:rPr>
                <w:lang w:val="nb-NO"/>
              </w:rPr>
              <w:t>39</w:t>
            </w:r>
            <w:r w:rsidR="00315F16" w:rsidRPr="009C5EFD">
              <w:rPr>
                <w:lang w:val="nb-NO"/>
              </w:rPr>
              <w:t> %</w:t>
            </w:r>
            <w:r w:rsidRPr="009C5EFD">
              <w:rPr>
                <w:lang w:val="nb-NO"/>
              </w:rPr>
              <w:t>*</w:t>
            </w:r>
          </w:p>
        </w:tc>
      </w:tr>
      <w:tr w:rsidR="004644D4" w14:paraId="31CC66D9"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628B41CE" w14:textId="77777777" w:rsidR="001E500F" w:rsidRPr="00E14E58" w:rsidRDefault="00E453CD" w:rsidP="007F67EE">
            <w:pPr>
              <w:pStyle w:val="EMEANormal"/>
              <w:rPr>
                <w:lang w:val="nb-NO"/>
              </w:rPr>
            </w:pPr>
            <w:r w:rsidRPr="007F67EE">
              <w:rPr>
                <w:lang w:val="nb-NO"/>
              </w:rPr>
              <w:tab/>
            </w:r>
            <w:r w:rsidR="00315F16" w:rsidRPr="00C07C98">
              <w:rPr>
                <w:lang w:val="nb-NO"/>
              </w:rPr>
              <w:t>Uke </w:t>
            </w:r>
            <w:r w:rsidRPr="00E14E58">
              <w:rPr>
                <w:lang w:val="nb-NO"/>
              </w:rPr>
              <w:t>24</w:t>
            </w:r>
          </w:p>
        </w:tc>
        <w:tc>
          <w:tcPr>
            <w:tcW w:w="1324" w:type="dxa"/>
            <w:tcBorders>
              <w:top w:val="single" w:sz="4" w:space="0" w:color="auto"/>
              <w:left w:val="single" w:sz="4" w:space="0" w:color="auto"/>
              <w:bottom w:val="single" w:sz="4" w:space="0" w:color="auto"/>
              <w:right w:val="single" w:sz="4" w:space="0" w:color="auto"/>
            </w:tcBorders>
            <w:hideMark/>
          </w:tcPr>
          <w:p w14:paraId="136862A4" w14:textId="77777777" w:rsidR="001E500F" w:rsidRPr="009C5EFD" w:rsidRDefault="00E453CD" w:rsidP="007F67EE">
            <w:pPr>
              <w:pStyle w:val="EMEANormal"/>
              <w:jc w:val="center"/>
              <w:rPr>
                <w:lang w:val="nb-NO"/>
              </w:rPr>
            </w:pPr>
            <w:r w:rsidRPr="009C5EFD">
              <w:rPr>
                <w:lang w:val="nb-NO"/>
              </w:rPr>
              <w:t>15</w:t>
            </w:r>
            <w:r w:rsidR="00315F16" w:rsidRPr="009C5EFD">
              <w:rPr>
                <w:lang w:val="nb-NO"/>
              </w:rPr>
              <w:t> %</w:t>
            </w:r>
          </w:p>
        </w:tc>
        <w:tc>
          <w:tcPr>
            <w:tcW w:w="1315" w:type="dxa"/>
            <w:tcBorders>
              <w:top w:val="single" w:sz="4" w:space="0" w:color="auto"/>
              <w:left w:val="single" w:sz="4" w:space="0" w:color="auto"/>
              <w:bottom w:val="single" w:sz="4" w:space="0" w:color="auto"/>
              <w:right w:val="nil"/>
            </w:tcBorders>
            <w:hideMark/>
          </w:tcPr>
          <w:p w14:paraId="269CE926" w14:textId="77777777" w:rsidR="001E500F" w:rsidRPr="009C5EFD" w:rsidRDefault="00E453CD" w:rsidP="00193D76">
            <w:pPr>
              <w:pStyle w:val="EMEANormal"/>
              <w:jc w:val="center"/>
              <w:rPr>
                <w:lang w:val="nb-NO"/>
              </w:rPr>
            </w:pPr>
            <w:r w:rsidRPr="009C5EFD">
              <w:rPr>
                <w:lang w:val="nb-NO"/>
              </w:rPr>
              <w:t>57</w:t>
            </w:r>
            <w:r w:rsidR="00315F16" w:rsidRPr="009C5EFD">
              <w:rPr>
                <w:lang w:val="nb-NO"/>
              </w:rPr>
              <w:t> %</w:t>
            </w:r>
            <w:r w:rsidRPr="009C5EFD">
              <w:rPr>
                <w:lang w:val="nb-NO"/>
              </w:rPr>
              <w:t>***</w:t>
            </w:r>
          </w:p>
        </w:tc>
        <w:tc>
          <w:tcPr>
            <w:tcW w:w="1342" w:type="dxa"/>
            <w:tcBorders>
              <w:top w:val="single" w:sz="4" w:space="0" w:color="auto"/>
              <w:left w:val="single" w:sz="4" w:space="0" w:color="auto"/>
              <w:bottom w:val="single" w:sz="4" w:space="0" w:color="auto"/>
              <w:right w:val="single" w:sz="4" w:space="0" w:color="auto"/>
            </w:tcBorders>
            <w:hideMark/>
          </w:tcPr>
          <w:p w14:paraId="6CA919CA" w14:textId="77777777" w:rsidR="001E500F" w:rsidRPr="009C5EFD" w:rsidRDefault="00E453CD" w:rsidP="002D0790">
            <w:pPr>
              <w:pStyle w:val="EMEANormal"/>
              <w:jc w:val="center"/>
              <w:rPr>
                <w:lang w:val="nb-NO"/>
              </w:rPr>
            </w:pPr>
            <w:r w:rsidRPr="009C5EFD">
              <w:rPr>
                <w:lang w:val="nb-NO"/>
              </w:rPr>
              <w:t>N/A</w:t>
            </w:r>
          </w:p>
        </w:tc>
        <w:tc>
          <w:tcPr>
            <w:tcW w:w="1315" w:type="dxa"/>
            <w:tcBorders>
              <w:top w:val="single" w:sz="4" w:space="0" w:color="auto"/>
              <w:left w:val="single" w:sz="4" w:space="0" w:color="auto"/>
              <w:bottom w:val="single" w:sz="4" w:space="0" w:color="auto"/>
              <w:right w:val="single" w:sz="4" w:space="0" w:color="auto"/>
            </w:tcBorders>
            <w:hideMark/>
          </w:tcPr>
          <w:p w14:paraId="2E4F430F" w14:textId="77777777" w:rsidR="001E500F" w:rsidRPr="009C5EFD" w:rsidRDefault="00E453CD" w:rsidP="00C07C98">
            <w:pPr>
              <w:pStyle w:val="EMEANormal"/>
              <w:jc w:val="center"/>
              <w:rPr>
                <w:lang w:val="nb-NO"/>
              </w:rPr>
            </w:pPr>
            <w:r w:rsidRPr="009C5EFD">
              <w:rPr>
                <w:lang w:val="nb-NO"/>
              </w:rPr>
              <w:t>N/A</w:t>
            </w:r>
          </w:p>
        </w:tc>
      </w:tr>
      <w:tr w:rsidR="004644D4" w14:paraId="5E446BE1"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099268DA" w14:textId="77777777" w:rsidR="001E500F" w:rsidRPr="007F67EE" w:rsidRDefault="00E453CD" w:rsidP="007F67EE">
            <w:pPr>
              <w:pStyle w:val="EMEANormal"/>
              <w:rPr>
                <w:lang w:val="nb-NO"/>
              </w:rPr>
            </w:pPr>
            <w:r w:rsidRPr="007F67EE">
              <w:rPr>
                <w:lang w:val="nb-NO"/>
              </w:rPr>
              <w:t xml:space="preserve">ACR 50 </w:t>
            </w:r>
          </w:p>
        </w:tc>
        <w:tc>
          <w:tcPr>
            <w:tcW w:w="1324" w:type="dxa"/>
            <w:tcBorders>
              <w:top w:val="single" w:sz="4" w:space="0" w:color="auto"/>
              <w:left w:val="single" w:sz="4" w:space="0" w:color="auto"/>
              <w:bottom w:val="single" w:sz="4" w:space="0" w:color="auto"/>
              <w:right w:val="single" w:sz="4" w:space="0" w:color="auto"/>
            </w:tcBorders>
          </w:tcPr>
          <w:p w14:paraId="50CD3AC0" w14:textId="77777777" w:rsidR="001E500F" w:rsidRPr="00193D76" w:rsidRDefault="001E500F" w:rsidP="007F67EE">
            <w:pPr>
              <w:pStyle w:val="EMEANormal"/>
              <w:jc w:val="center"/>
              <w:rPr>
                <w:lang w:val="nb-NO"/>
              </w:rPr>
            </w:pPr>
          </w:p>
        </w:tc>
        <w:tc>
          <w:tcPr>
            <w:tcW w:w="1315" w:type="dxa"/>
            <w:tcBorders>
              <w:top w:val="single" w:sz="4" w:space="0" w:color="auto"/>
              <w:left w:val="single" w:sz="4" w:space="0" w:color="auto"/>
              <w:bottom w:val="single" w:sz="4" w:space="0" w:color="auto"/>
              <w:right w:val="nil"/>
            </w:tcBorders>
          </w:tcPr>
          <w:p w14:paraId="6C53C37F" w14:textId="77777777" w:rsidR="001E500F" w:rsidRPr="00C07C98" w:rsidRDefault="001E500F" w:rsidP="00193D76">
            <w:pPr>
              <w:pStyle w:val="EMEANormal"/>
              <w:jc w:val="center"/>
              <w:rPr>
                <w:lang w:val="nb-NO"/>
              </w:rPr>
            </w:pPr>
          </w:p>
        </w:tc>
        <w:tc>
          <w:tcPr>
            <w:tcW w:w="1342" w:type="dxa"/>
            <w:tcBorders>
              <w:top w:val="single" w:sz="4" w:space="0" w:color="auto"/>
              <w:left w:val="single" w:sz="4" w:space="0" w:color="auto"/>
              <w:bottom w:val="single" w:sz="4" w:space="0" w:color="auto"/>
              <w:right w:val="single" w:sz="4" w:space="0" w:color="auto"/>
            </w:tcBorders>
          </w:tcPr>
          <w:p w14:paraId="647FC09E" w14:textId="77777777" w:rsidR="001E500F" w:rsidRPr="00E14E58" w:rsidRDefault="001E500F" w:rsidP="002D0790">
            <w:pPr>
              <w:pStyle w:val="EMEANormal"/>
              <w:jc w:val="center"/>
              <w:rPr>
                <w:lang w:val="nb-NO"/>
              </w:rPr>
            </w:pPr>
          </w:p>
        </w:tc>
        <w:tc>
          <w:tcPr>
            <w:tcW w:w="1315" w:type="dxa"/>
            <w:tcBorders>
              <w:top w:val="single" w:sz="4" w:space="0" w:color="auto"/>
              <w:left w:val="single" w:sz="4" w:space="0" w:color="auto"/>
              <w:bottom w:val="single" w:sz="4" w:space="0" w:color="auto"/>
              <w:right w:val="single" w:sz="4" w:space="0" w:color="auto"/>
            </w:tcBorders>
          </w:tcPr>
          <w:p w14:paraId="140D5361" w14:textId="77777777" w:rsidR="001E500F" w:rsidRPr="009C5EFD" w:rsidRDefault="001E500F" w:rsidP="00C07C98">
            <w:pPr>
              <w:pStyle w:val="EMEANormal"/>
              <w:jc w:val="center"/>
              <w:rPr>
                <w:lang w:val="nb-NO"/>
              </w:rPr>
            </w:pPr>
          </w:p>
        </w:tc>
      </w:tr>
      <w:tr w:rsidR="004644D4" w14:paraId="39DF4263"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01EB870F" w14:textId="77777777" w:rsidR="001E500F" w:rsidRPr="00E14E58" w:rsidRDefault="00E453CD" w:rsidP="007F67EE">
            <w:pPr>
              <w:pStyle w:val="EMEANormal"/>
              <w:rPr>
                <w:lang w:val="nb-NO"/>
              </w:rPr>
            </w:pPr>
            <w:r w:rsidRPr="007F67EE">
              <w:rPr>
                <w:lang w:val="nb-NO"/>
              </w:rPr>
              <w:tab/>
            </w:r>
            <w:r w:rsidR="00315F16" w:rsidRPr="00C07C98">
              <w:rPr>
                <w:lang w:val="nb-NO"/>
              </w:rPr>
              <w:t>Uke </w:t>
            </w:r>
            <w:r w:rsidRPr="00E14E58">
              <w:rPr>
                <w:lang w:val="nb-NO"/>
              </w:rPr>
              <w:t>12</w:t>
            </w:r>
          </w:p>
        </w:tc>
        <w:tc>
          <w:tcPr>
            <w:tcW w:w="1324" w:type="dxa"/>
            <w:tcBorders>
              <w:top w:val="single" w:sz="4" w:space="0" w:color="auto"/>
              <w:left w:val="single" w:sz="4" w:space="0" w:color="auto"/>
              <w:bottom w:val="single" w:sz="4" w:space="0" w:color="auto"/>
              <w:right w:val="single" w:sz="4" w:space="0" w:color="auto"/>
            </w:tcBorders>
            <w:hideMark/>
          </w:tcPr>
          <w:p w14:paraId="43A908A4" w14:textId="77777777" w:rsidR="001E500F" w:rsidRPr="009C5EFD" w:rsidRDefault="00E453CD" w:rsidP="007F67EE">
            <w:pPr>
              <w:pStyle w:val="EMEANormal"/>
              <w:jc w:val="center"/>
              <w:rPr>
                <w:lang w:val="nb-NO"/>
              </w:rPr>
            </w:pPr>
            <w:r w:rsidRPr="009C5EFD">
              <w:rPr>
                <w:lang w:val="nb-NO"/>
              </w:rPr>
              <w:t>4</w:t>
            </w:r>
            <w:r w:rsidR="00315F16" w:rsidRPr="009C5EFD">
              <w:rPr>
                <w:lang w:val="nb-NO"/>
              </w:rPr>
              <w:t> %</w:t>
            </w:r>
          </w:p>
        </w:tc>
        <w:tc>
          <w:tcPr>
            <w:tcW w:w="1315" w:type="dxa"/>
            <w:tcBorders>
              <w:top w:val="single" w:sz="4" w:space="0" w:color="auto"/>
              <w:left w:val="single" w:sz="4" w:space="0" w:color="auto"/>
              <w:bottom w:val="single" w:sz="4" w:space="0" w:color="auto"/>
              <w:right w:val="nil"/>
            </w:tcBorders>
            <w:hideMark/>
          </w:tcPr>
          <w:p w14:paraId="46BD4C47" w14:textId="77777777" w:rsidR="001E500F" w:rsidRPr="009C5EFD" w:rsidRDefault="00E453CD" w:rsidP="00193D76">
            <w:pPr>
              <w:pStyle w:val="EMEANormal"/>
              <w:jc w:val="center"/>
              <w:rPr>
                <w:lang w:val="nb-NO"/>
              </w:rPr>
            </w:pPr>
            <w:r w:rsidRPr="009C5EFD">
              <w:rPr>
                <w:lang w:val="nb-NO"/>
              </w:rPr>
              <w:t>36</w:t>
            </w:r>
            <w:r w:rsidR="00315F16" w:rsidRPr="009C5EFD">
              <w:rPr>
                <w:lang w:val="nb-NO"/>
              </w:rPr>
              <w:t> %</w:t>
            </w:r>
            <w:r w:rsidRPr="009C5EFD">
              <w:rPr>
                <w:lang w:val="nb-NO"/>
              </w:rPr>
              <w:t>***</w:t>
            </w:r>
          </w:p>
        </w:tc>
        <w:tc>
          <w:tcPr>
            <w:tcW w:w="1342" w:type="dxa"/>
            <w:tcBorders>
              <w:top w:val="single" w:sz="4" w:space="0" w:color="auto"/>
              <w:left w:val="single" w:sz="4" w:space="0" w:color="auto"/>
              <w:bottom w:val="single" w:sz="4" w:space="0" w:color="auto"/>
              <w:right w:val="single" w:sz="4" w:space="0" w:color="auto"/>
            </w:tcBorders>
            <w:hideMark/>
          </w:tcPr>
          <w:p w14:paraId="67242252" w14:textId="77777777" w:rsidR="001E500F" w:rsidRPr="009C5EFD" w:rsidRDefault="00E453CD" w:rsidP="002D0790">
            <w:pPr>
              <w:pStyle w:val="EMEANormal"/>
              <w:jc w:val="center"/>
              <w:rPr>
                <w:lang w:val="nb-NO"/>
              </w:rPr>
            </w:pPr>
            <w:r w:rsidRPr="009C5EFD">
              <w:rPr>
                <w:lang w:val="nb-NO"/>
              </w:rPr>
              <w:t>2</w:t>
            </w:r>
            <w:r w:rsidR="00315F16" w:rsidRPr="009C5EFD">
              <w:rPr>
                <w:lang w:val="nb-NO"/>
              </w:rPr>
              <w:t> %</w:t>
            </w:r>
          </w:p>
        </w:tc>
        <w:tc>
          <w:tcPr>
            <w:tcW w:w="1315" w:type="dxa"/>
            <w:tcBorders>
              <w:top w:val="single" w:sz="4" w:space="0" w:color="auto"/>
              <w:left w:val="single" w:sz="4" w:space="0" w:color="auto"/>
              <w:bottom w:val="single" w:sz="4" w:space="0" w:color="auto"/>
              <w:right w:val="single" w:sz="4" w:space="0" w:color="auto"/>
            </w:tcBorders>
            <w:hideMark/>
          </w:tcPr>
          <w:p w14:paraId="70459E85" w14:textId="77777777" w:rsidR="001E500F" w:rsidRPr="009C5EFD" w:rsidRDefault="00E453CD" w:rsidP="00C07C98">
            <w:pPr>
              <w:pStyle w:val="EMEANormal"/>
              <w:jc w:val="center"/>
              <w:rPr>
                <w:lang w:val="nb-NO"/>
              </w:rPr>
            </w:pPr>
            <w:r w:rsidRPr="009C5EFD">
              <w:rPr>
                <w:lang w:val="nb-NO"/>
              </w:rPr>
              <w:t>25</w:t>
            </w:r>
            <w:r w:rsidR="00315F16" w:rsidRPr="009C5EFD">
              <w:rPr>
                <w:lang w:val="nb-NO"/>
              </w:rPr>
              <w:t> %</w:t>
            </w:r>
            <w:r w:rsidRPr="009C5EFD">
              <w:rPr>
                <w:lang w:val="nb-NO"/>
              </w:rPr>
              <w:t>***</w:t>
            </w:r>
          </w:p>
        </w:tc>
      </w:tr>
      <w:tr w:rsidR="004644D4" w14:paraId="1B2FF6C4"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4502A35C" w14:textId="77777777" w:rsidR="001E500F" w:rsidRPr="00E14E58" w:rsidRDefault="00E453CD" w:rsidP="007F67EE">
            <w:pPr>
              <w:pStyle w:val="EMEANormal"/>
              <w:rPr>
                <w:lang w:val="nb-NO"/>
              </w:rPr>
            </w:pPr>
            <w:r w:rsidRPr="007F67EE">
              <w:rPr>
                <w:lang w:val="nb-NO"/>
              </w:rPr>
              <w:tab/>
            </w:r>
            <w:r w:rsidR="00315F16" w:rsidRPr="00C07C98">
              <w:rPr>
                <w:lang w:val="nb-NO"/>
              </w:rPr>
              <w:t>Uke </w:t>
            </w:r>
            <w:r w:rsidRPr="00E14E58">
              <w:rPr>
                <w:lang w:val="nb-NO"/>
              </w:rPr>
              <w:t>24</w:t>
            </w:r>
          </w:p>
        </w:tc>
        <w:tc>
          <w:tcPr>
            <w:tcW w:w="1324" w:type="dxa"/>
            <w:tcBorders>
              <w:top w:val="single" w:sz="4" w:space="0" w:color="auto"/>
              <w:left w:val="single" w:sz="4" w:space="0" w:color="auto"/>
              <w:bottom w:val="single" w:sz="4" w:space="0" w:color="auto"/>
              <w:right w:val="single" w:sz="4" w:space="0" w:color="auto"/>
            </w:tcBorders>
            <w:hideMark/>
          </w:tcPr>
          <w:p w14:paraId="1141E0A2" w14:textId="77777777" w:rsidR="001E500F" w:rsidRPr="009C5EFD" w:rsidRDefault="00E453CD" w:rsidP="007F67EE">
            <w:pPr>
              <w:pStyle w:val="EMEANormal"/>
              <w:jc w:val="center"/>
              <w:rPr>
                <w:lang w:val="nb-NO"/>
              </w:rPr>
            </w:pPr>
            <w:r w:rsidRPr="009C5EFD">
              <w:rPr>
                <w:lang w:val="nb-NO"/>
              </w:rPr>
              <w:t>6</w:t>
            </w:r>
            <w:r w:rsidR="00315F16" w:rsidRPr="009C5EFD">
              <w:rPr>
                <w:lang w:val="nb-NO"/>
              </w:rPr>
              <w:t> %</w:t>
            </w:r>
          </w:p>
        </w:tc>
        <w:tc>
          <w:tcPr>
            <w:tcW w:w="1315" w:type="dxa"/>
            <w:tcBorders>
              <w:top w:val="single" w:sz="4" w:space="0" w:color="auto"/>
              <w:left w:val="single" w:sz="4" w:space="0" w:color="auto"/>
              <w:bottom w:val="single" w:sz="4" w:space="0" w:color="auto"/>
              <w:right w:val="nil"/>
            </w:tcBorders>
            <w:hideMark/>
          </w:tcPr>
          <w:p w14:paraId="27536305" w14:textId="77777777" w:rsidR="001E500F" w:rsidRPr="009C5EFD" w:rsidRDefault="00E453CD" w:rsidP="00193D76">
            <w:pPr>
              <w:pStyle w:val="EMEANormal"/>
              <w:jc w:val="center"/>
              <w:rPr>
                <w:lang w:val="nb-NO"/>
              </w:rPr>
            </w:pPr>
            <w:r w:rsidRPr="009C5EFD">
              <w:rPr>
                <w:lang w:val="nb-NO"/>
              </w:rPr>
              <w:t>39</w:t>
            </w:r>
            <w:r w:rsidR="00315F16" w:rsidRPr="009C5EFD">
              <w:rPr>
                <w:lang w:val="nb-NO"/>
              </w:rPr>
              <w:t> %</w:t>
            </w:r>
            <w:r w:rsidRPr="009C5EFD">
              <w:rPr>
                <w:lang w:val="nb-NO"/>
              </w:rPr>
              <w:t>***</w:t>
            </w:r>
          </w:p>
        </w:tc>
        <w:tc>
          <w:tcPr>
            <w:tcW w:w="1342" w:type="dxa"/>
            <w:tcBorders>
              <w:top w:val="single" w:sz="4" w:space="0" w:color="auto"/>
              <w:left w:val="single" w:sz="4" w:space="0" w:color="auto"/>
              <w:bottom w:val="single" w:sz="4" w:space="0" w:color="auto"/>
              <w:right w:val="single" w:sz="4" w:space="0" w:color="auto"/>
            </w:tcBorders>
            <w:hideMark/>
          </w:tcPr>
          <w:p w14:paraId="450A8B30" w14:textId="77777777" w:rsidR="001E500F" w:rsidRPr="009C5EFD" w:rsidRDefault="00E453CD" w:rsidP="002D0790">
            <w:pPr>
              <w:pStyle w:val="EMEANormal"/>
              <w:jc w:val="center"/>
              <w:rPr>
                <w:lang w:val="nb-NO"/>
              </w:rPr>
            </w:pPr>
            <w:r w:rsidRPr="009C5EFD">
              <w:rPr>
                <w:lang w:val="nb-NO"/>
              </w:rPr>
              <w:t>N/A</w:t>
            </w:r>
          </w:p>
        </w:tc>
        <w:tc>
          <w:tcPr>
            <w:tcW w:w="1315" w:type="dxa"/>
            <w:tcBorders>
              <w:top w:val="single" w:sz="4" w:space="0" w:color="auto"/>
              <w:left w:val="single" w:sz="4" w:space="0" w:color="auto"/>
              <w:bottom w:val="single" w:sz="4" w:space="0" w:color="auto"/>
              <w:right w:val="single" w:sz="4" w:space="0" w:color="auto"/>
            </w:tcBorders>
            <w:hideMark/>
          </w:tcPr>
          <w:p w14:paraId="408A7825" w14:textId="77777777" w:rsidR="001E500F" w:rsidRPr="009C5EFD" w:rsidRDefault="00E453CD" w:rsidP="00C07C98">
            <w:pPr>
              <w:pStyle w:val="EMEANormal"/>
              <w:jc w:val="center"/>
              <w:rPr>
                <w:lang w:val="nb-NO"/>
              </w:rPr>
            </w:pPr>
            <w:r w:rsidRPr="009C5EFD">
              <w:rPr>
                <w:lang w:val="nb-NO"/>
              </w:rPr>
              <w:t>N/A</w:t>
            </w:r>
          </w:p>
        </w:tc>
      </w:tr>
      <w:tr w:rsidR="004644D4" w14:paraId="771A6F48"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1A1A7015" w14:textId="77777777" w:rsidR="001E500F" w:rsidRPr="007F67EE" w:rsidRDefault="00E453CD" w:rsidP="007F67EE">
            <w:pPr>
              <w:pStyle w:val="EMEANormal"/>
              <w:rPr>
                <w:lang w:val="nb-NO"/>
              </w:rPr>
            </w:pPr>
            <w:r w:rsidRPr="007F67EE">
              <w:rPr>
                <w:lang w:val="nb-NO"/>
              </w:rPr>
              <w:t xml:space="preserve">ACR 70 </w:t>
            </w:r>
          </w:p>
        </w:tc>
        <w:tc>
          <w:tcPr>
            <w:tcW w:w="1324" w:type="dxa"/>
            <w:tcBorders>
              <w:top w:val="single" w:sz="4" w:space="0" w:color="auto"/>
              <w:left w:val="single" w:sz="4" w:space="0" w:color="auto"/>
              <w:bottom w:val="single" w:sz="4" w:space="0" w:color="auto"/>
              <w:right w:val="single" w:sz="4" w:space="0" w:color="auto"/>
            </w:tcBorders>
          </w:tcPr>
          <w:p w14:paraId="034A95EC" w14:textId="77777777" w:rsidR="001E500F" w:rsidRPr="00193D76" w:rsidRDefault="001E500F" w:rsidP="007F67EE">
            <w:pPr>
              <w:pStyle w:val="EMEANormal"/>
              <w:jc w:val="center"/>
              <w:rPr>
                <w:lang w:val="nb-NO"/>
              </w:rPr>
            </w:pPr>
          </w:p>
        </w:tc>
        <w:tc>
          <w:tcPr>
            <w:tcW w:w="1315" w:type="dxa"/>
            <w:tcBorders>
              <w:top w:val="single" w:sz="4" w:space="0" w:color="auto"/>
              <w:left w:val="single" w:sz="4" w:space="0" w:color="auto"/>
              <w:bottom w:val="single" w:sz="4" w:space="0" w:color="auto"/>
              <w:right w:val="nil"/>
            </w:tcBorders>
          </w:tcPr>
          <w:p w14:paraId="5F662C5D" w14:textId="77777777" w:rsidR="001E500F" w:rsidRPr="00C07C98" w:rsidRDefault="001E500F" w:rsidP="00193D76">
            <w:pPr>
              <w:pStyle w:val="EMEANormal"/>
              <w:jc w:val="center"/>
              <w:rPr>
                <w:lang w:val="nb-NO"/>
              </w:rPr>
            </w:pPr>
          </w:p>
        </w:tc>
        <w:tc>
          <w:tcPr>
            <w:tcW w:w="1342" w:type="dxa"/>
            <w:tcBorders>
              <w:top w:val="single" w:sz="4" w:space="0" w:color="auto"/>
              <w:left w:val="single" w:sz="4" w:space="0" w:color="auto"/>
              <w:bottom w:val="single" w:sz="4" w:space="0" w:color="auto"/>
              <w:right w:val="single" w:sz="4" w:space="0" w:color="auto"/>
            </w:tcBorders>
          </w:tcPr>
          <w:p w14:paraId="6DC0DD60" w14:textId="77777777" w:rsidR="001E500F" w:rsidRPr="00E14E58" w:rsidRDefault="001E500F" w:rsidP="002D0790">
            <w:pPr>
              <w:pStyle w:val="EMEANormal"/>
              <w:jc w:val="center"/>
              <w:rPr>
                <w:lang w:val="nb-NO"/>
              </w:rPr>
            </w:pPr>
          </w:p>
        </w:tc>
        <w:tc>
          <w:tcPr>
            <w:tcW w:w="1315" w:type="dxa"/>
            <w:tcBorders>
              <w:top w:val="single" w:sz="4" w:space="0" w:color="auto"/>
              <w:left w:val="single" w:sz="4" w:space="0" w:color="auto"/>
              <w:bottom w:val="single" w:sz="4" w:space="0" w:color="auto"/>
              <w:right w:val="single" w:sz="4" w:space="0" w:color="auto"/>
            </w:tcBorders>
          </w:tcPr>
          <w:p w14:paraId="1AF9AACE" w14:textId="77777777" w:rsidR="001E500F" w:rsidRPr="009C5EFD" w:rsidRDefault="001E500F" w:rsidP="00C07C98">
            <w:pPr>
              <w:pStyle w:val="EMEANormal"/>
              <w:jc w:val="center"/>
              <w:rPr>
                <w:lang w:val="nb-NO"/>
              </w:rPr>
            </w:pPr>
          </w:p>
        </w:tc>
      </w:tr>
      <w:tr w:rsidR="004644D4" w14:paraId="61E62A66"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4C2C242D" w14:textId="77777777" w:rsidR="001E500F" w:rsidRPr="00E14E58" w:rsidRDefault="00E453CD" w:rsidP="007F67EE">
            <w:pPr>
              <w:pStyle w:val="EMEANormal"/>
              <w:rPr>
                <w:lang w:val="nb-NO"/>
              </w:rPr>
            </w:pPr>
            <w:r w:rsidRPr="007F67EE">
              <w:rPr>
                <w:lang w:val="nb-NO"/>
              </w:rPr>
              <w:tab/>
            </w:r>
            <w:r w:rsidR="00315F16" w:rsidRPr="00C07C98">
              <w:rPr>
                <w:lang w:val="nb-NO"/>
              </w:rPr>
              <w:t>Uke </w:t>
            </w:r>
            <w:r w:rsidRPr="00E14E58">
              <w:rPr>
                <w:lang w:val="nb-NO"/>
              </w:rPr>
              <w:t>12</w:t>
            </w:r>
          </w:p>
        </w:tc>
        <w:tc>
          <w:tcPr>
            <w:tcW w:w="1324" w:type="dxa"/>
            <w:tcBorders>
              <w:top w:val="single" w:sz="4" w:space="0" w:color="auto"/>
              <w:left w:val="single" w:sz="4" w:space="0" w:color="auto"/>
              <w:bottom w:val="single" w:sz="4" w:space="0" w:color="auto"/>
              <w:right w:val="single" w:sz="4" w:space="0" w:color="auto"/>
            </w:tcBorders>
            <w:hideMark/>
          </w:tcPr>
          <w:p w14:paraId="5474B879" w14:textId="77777777" w:rsidR="001E500F" w:rsidRPr="009C5EFD" w:rsidRDefault="00E453CD" w:rsidP="007F67EE">
            <w:pPr>
              <w:pStyle w:val="EMEANormal"/>
              <w:jc w:val="center"/>
              <w:rPr>
                <w:lang w:val="nb-NO"/>
              </w:rPr>
            </w:pPr>
            <w:r w:rsidRPr="009C5EFD">
              <w:rPr>
                <w:lang w:val="nb-NO"/>
              </w:rPr>
              <w:t>1</w:t>
            </w:r>
            <w:r w:rsidR="00315F16" w:rsidRPr="009C5EFD">
              <w:rPr>
                <w:lang w:val="nb-NO"/>
              </w:rPr>
              <w:t> %</w:t>
            </w:r>
          </w:p>
        </w:tc>
        <w:tc>
          <w:tcPr>
            <w:tcW w:w="1315" w:type="dxa"/>
            <w:tcBorders>
              <w:top w:val="single" w:sz="4" w:space="0" w:color="auto"/>
              <w:left w:val="single" w:sz="4" w:space="0" w:color="auto"/>
              <w:bottom w:val="single" w:sz="4" w:space="0" w:color="auto"/>
              <w:right w:val="nil"/>
            </w:tcBorders>
            <w:hideMark/>
          </w:tcPr>
          <w:p w14:paraId="1CD5E9E7" w14:textId="77777777" w:rsidR="001E500F" w:rsidRPr="009C5EFD" w:rsidRDefault="00E453CD" w:rsidP="00193D76">
            <w:pPr>
              <w:pStyle w:val="EMEANormal"/>
              <w:jc w:val="center"/>
              <w:rPr>
                <w:lang w:val="nb-NO"/>
              </w:rPr>
            </w:pPr>
            <w:r w:rsidRPr="009C5EFD">
              <w:rPr>
                <w:lang w:val="nb-NO"/>
              </w:rPr>
              <w:t>20</w:t>
            </w:r>
            <w:r w:rsidR="00315F16" w:rsidRPr="009C5EFD">
              <w:rPr>
                <w:lang w:val="nb-NO"/>
              </w:rPr>
              <w:t> %</w:t>
            </w:r>
            <w:r w:rsidRPr="009C5EFD">
              <w:rPr>
                <w:lang w:val="nb-NO"/>
              </w:rPr>
              <w:t>***</w:t>
            </w:r>
          </w:p>
        </w:tc>
        <w:tc>
          <w:tcPr>
            <w:tcW w:w="1342" w:type="dxa"/>
            <w:tcBorders>
              <w:top w:val="single" w:sz="4" w:space="0" w:color="auto"/>
              <w:left w:val="single" w:sz="4" w:space="0" w:color="auto"/>
              <w:bottom w:val="single" w:sz="4" w:space="0" w:color="auto"/>
              <w:right w:val="single" w:sz="4" w:space="0" w:color="auto"/>
            </w:tcBorders>
            <w:hideMark/>
          </w:tcPr>
          <w:p w14:paraId="557B04A1" w14:textId="77777777" w:rsidR="001E500F" w:rsidRPr="009C5EFD" w:rsidRDefault="00E453CD" w:rsidP="002D0790">
            <w:pPr>
              <w:pStyle w:val="EMEANormal"/>
              <w:jc w:val="center"/>
              <w:rPr>
                <w:lang w:val="nb-NO"/>
              </w:rPr>
            </w:pPr>
            <w:r w:rsidRPr="009C5EFD">
              <w:rPr>
                <w:lang w:val="nb-NO"/>
              </w:rPr>
              <w:t>0</w:t>
            </w:r>
            <w:r w:rsidR="00315F16" w:rsidRPr="009C5EFD">
              <w:rPr>
                <w:lang w:val="nb-NO"/>
              </w:rPr>
              <w:t> %</w:t>
            </w:r>
          </w:p>
        </w:tc>
        <w:tc>
          <w:tcPr>
            <w:tcW w:w="1315" w:type="dxa"/>
            <w:tcBorders>
              <w:top w:val="single" w:sz="4" w:space="0" w:color="auto"/>
              <w:left w:val="single" w:sz="4" w:space="0" w:color="auto"/>
              <w:bottom w:val="single" w:sz="4" w:space="0" w:color="auto"/>
              <w:right w:val="single" w:sz="4" w:space="0" w:color="auto"/>
            </w:tcBorders>
            <w:hideMark/>
          </w:tcPr>
          <w:p w14:paraId="6B6D79CA" w14:textId="77777777" w:rsidR="001E500F" w:rsidRPr="009C5EFD" w:rsidRDefault="00E453CD" w:rsidP="00C07C98">
            <w:pPr>
              <w:pStyle w:val="EMEANormal"/>
              <w:jc w:val="center"/>
              <w:rPr>
                <w:lang w:val="nb-NO"/>
              </w:rPr>
            </w:pPr>
            <w:r w:rsidRPr="009C5EFD">
              <w:rPr>
                <w:lang w:val="nb-NO"/>
              </w:rPr>
              <w:t>14</w:t>
            </w:r>
            <w:r w:rsidR="00315F16" w:rsidRPr="009C5EFD">
              <w:rPr>
                <w:lang w:val="nb-NO"/>
              </w:rPr>
              <w:t> %</w:t>
            </w:r>
            <w:r w:rsidRPr="009C5EFD">
              <w:rPr>
                <w:lang w:val="nb-NO"/>
              </w:rPr>
              <w:t>*</w:t>
            </w:r>
          </w:p>
        </w:tc>
      </w:tr>
      <w:tr w:rsidR="004644D4" w14:paraId="31BAC270" w14:textId="77777777" w:rsidTr="00F4044A">
        <w:trPr>
          <w:jc w:val="center"/>
        </w:trPr>
        <w:tc>
          <w:tcPr>
            <w:tcW w:w="1771" w:type="dxa"/>
            <w:gridSpan w:val="2"/>
            <w:tcBorders>
              <w:top w:val="single" w:sz="4" w:space="0" w:color="auto"/>
              <w:left w:val="single" w:sz="4" w:space="0" w:color="auto"/>
              <w:bottom w:val="single" w:sz="4" w:space="0" w:color="auto"/>
              <w:right w:val="single" w:sz="4" w:space="0" w:color="auto"/>
            </w:tcBorders>
            <w:hideMark/>
          </w:tcPr>
          <w:p w14:paraId="55F57A2C" w14:textId="77777777" w:rsidR="001E500F" w:rsidRPr="00E14E58" w:rsidRDefault="00E453CD" w:rsidP="007F67EE">
            <w:pPr>
              <w:pStyle w:val="EMEANormal"/>
              <w:rPr>
                <w:lang w:val="nb-NO"/>
              </w:rPr>
            </w:pPr>
            <w:r w:rsidRPr="007F67EE">
              <w:rPr>
                <w:lang w:val="nb-NO"/>
              </w:rPr>
              <w:tab/>
            </w:r>
            <w:r w:rsidR="00315F16" w:rsidRPr="00C07C98">
              <w:rPr>
                <w:lang w:val="nb-NO"/>
              </w:rPr>
              <w:t>Uke </w:t>
            </w:r>
            <w:r w:rsidRPr="00E14E58">
              <w:rPr>
                <w:lang w:val="nb-NO"/>
              </w:rPr>
              <w:t>24</w:t>
            </w:r>
          </w:p>
        </w:tc>
        <w:tc>
          <w:tcPr>
            <w:tcW w:w="1324" w:type="dxa"/>
            <w:tcBorders>
              <w:top w:val="single" w:sz="4" w:space="0" w:color="auto"/>
              <w:left w:val="single" w:sz="4" w:space="0" w:color="auto"/>
              <w:bottom w:val="single" w:sz="4" w:space="0" w:color="auto"/>
              <w:right w:val="single" w:sz="4" w:space="0" w:color="auto"/>
            </w:tcBorders>
            <w:hideMark/>
          </w:tcPr>
          <w:p w14:paraId="455CD222" w14:textId="77777777" w:rsidR="001E500F" w:rsidRPr="009C5EFD" w:rsidRDefault="00E453CD" w:rsidP="007F67EE">
            <w:pPr>
              <w:pStyle w:val="EMEANormal"/>
              <w:jc w:val="center"/>
              <w:rPr>
                <w:lang w:val="nb-NO"/>
              </w:rPr>
            </w:pPr>
            <w:r w:rsidRPr="009C5EFD">
              <w:rPr>
                <w:lang w:val="nb-NO"/>
              </w:rPr>
              <w:t>1</w:t>
            </w:r>
            <w:r w:rsidR="00315F16" w:rsidRPr="009C5EFD">
              <w:rPr>
                <w:lang w:val="nb-NO"/>
              </w:rPr>
              <w:t> %</w:t>
            </w:r>
          </w:p>
        </w:tc>
        <w:tc>
          <w:tcPr>
            <w:tcW w:w="1315" w:type="dxa"/>
            <w:tcBorders>
              <w:top w:val="single" w:sz="4" w:space="0" w:color="auto"/>
              <w:left w:val="single" w:sz="4" w:space="0" w:color="auto"/>
              <w:bottom w:val="single" w:sz="4" w:space="0" w:color="auto"/>
              <w:right w:val="nil"/>
            </w:tcBorders>
            <w:hideMark/>
          </w:tcPr>
          <w:p w14:paraId="14F64EA0" w14:textId="77777777" w:rsidR="001E500F" w:rsidRPr="009C5EFD" w:rsidRDefault="00E453CD" w:rsidP="00193D76">
            <w:pPr>
              <w:pStyle w:val="EMEANormal"/>
              <w:jc w:val="center"/>
              <w:rPr>
                <w:lang w:val="nb-NO"/>
              </w:rPr>
            </w:pPr>
            <w:r w:rsidRPr="009C5EFD">
              <w:rPr>
                <w:lang w:val="nb-NO"/>
              </w:rPr>
              <w:t>23</w:t>
            </w:r>
            <w:r w:rsidR="00315F16" w:rsidRPr="009C5EFD">
              <w:rPr>
                <w:lang w:val="nb-NO"/>
              </w:rPr>
              <w:t> %</w:t>
            </w:r>
            <w:r w:rsidRPr="009C5EFD">
              <w:rPr>
                <w:lang w:val="nb-NO"/>
              </w:rPr>
              <w:t>***</w:t>
            </w:r>
          </w:p>
        </w:tc>
        <w:tc>
          <w:tcPr>
            <w:tcW w:w="1342" w:type="dxa"/>
            <w:tcBorders>
              <w:top w:val="single" w:sz="4" w:space="0" w:color="auto"/>
              <w:left w:val="single" w:sz="4" w:space="0" w:color="auto"/>
              <w:bottom w:val="single" w:sz="4" w:space="0" w:color="auto"/>
              <w:right w:val="single" w:sz="4" w:space="0" w:color="auto"/>
            </w:tcBorders>
            <w:hideMark/>
          </w:tcPr>
          <w:p w14:paraId="483315A9" w14:textId="77777777" w:rsidR="001E500F" w:rsidRPr="009C5EFD" w:rsidRDefault="00E453CD" w:rsidP="002D0790">
            <w:pPr>
              <w:pStyle w:val="EMEANormal"/>
              <w:jc w:val="center"/>
              <w:rPr>
                <w:lang w:val="nb-NO"/>
              </w:rPr>
            </w:pPr>
            <w:r w:rsidRPr="009C5EFD">
              <w:rPr>
                <w:lang w:val="nb-NO"/>
              </w:rPr>
              <w:t>N/A</w:t>
            </w:r>
          </w:p>
        </w:tc>
        <w:tc>
          <w:tcPr>
            <w:tcW w:w="1315" w:type="dxa"/>
            <w:tcBorders>
              <w:top w:val="single" w:sz="4" w:space="0" w:color="auto"/>
              <w:left w:val="single" w:sz="4" w:space="0" w:color="auto"/>
              <w:bottom w:val="single" w:sz="4" w:space="0" w:color="auto"/>
              <w:right w:val="single" w:sz="4" w:space="0" w:color="auto"/>
            </w:tcBorders>
            <w:hideMark/>
          </w:tcPr>
          <w:p w14:paraId="6AD2BD73" w14:textId="77777777" w:rsidR="001E500F" w:rsidRPr="009C5EFD" w:rsidRDefault="00E453CD" w:rsidP="00C07C98">
            <w:pPr>
              <w:pStyle w:val="EMEANormal"/>
              <w:jc w:val="center"/>
              <w:rPr>
                <w:lang w:val="nb-NO"/>
              </w:rPr>
            </w:pPr>
            <w:r w:rsidRPr="009C5EFD">
              <w:rPr>
                <w:lang w:val="nb-NO"/>
              </w:rPr>
              <w:t>N/A</w:t>
            </w:r>
          </w:p>
        </w:tc>
      </w:tr>
      <w:tr w:rsidR="004644D4" w14:paraId="27DF07EB" w14:textId="77777777" w:rsidTr="00F4044A">
        <w:trPr>
          <w:gridBefore w:val="1"/>
          <w:wBefore w:w="70" w:type="dxa"/>
          <w:jc w:val="center"/>
        </w:trPr>
        <w:tc>
          <w:tcPr>
            <w:tcW w:w="6997" w:type="dxa"/>
            <w:gridSpan w:val="5"/>
            <w:tcBorders>
              <w:top w:val="nil"/>
              <w:left w:val="nil"/>
              <w:bottom w:val="nil"/>
              <w:right w:val="nil"/>
            </w:tcBorders>
            <w:hideMark/>
          </w:tcPr>
          <w:p w14:paraId="64C21E9F" w14:textId="77777777" w:rsidR="001E500F" w:rsidRPr="009C5EFD" w:rsidRDefault="00E453CD" w:rsidP="007F67EE">
            <w:pPr>
              <w:pStyle w:val="EMEANormal"/>
              <w:rPr>
                <w:lang w:val="nb-NO"/>
              </w:rPr>
            </w:pPr>
            <w:r w:rsidRPr="007F67EE">
              <w:rPr>
                <w:lang w:val="nb-NO"/>
              </w:rPr>
              <w:t>***</w:t>
            </w:r>
            <w:r w:rsidRPr="007F67EE">
              <w:rPr>
                <w:lang w:val="nb-NO"/>
              </w:rPr>
              <w:tab/>
              <w:t>p</w:t>
            </w:r>
            <w:r w:rsidR="002010F4" w:rsidRPr="00C07C98">
              <w:rPr>
                <w:lang w:val="nb-NO"/>
              </w:rPr>
              <w:t> </w:t>
            </w:r>
            <w:r w:rsidRPr="00E14E58">
              <w:rPr>
                <w:lang w:val="nb-NO"/>
              </w:rPr>
              <w:t>&lt;</w:t>
            </w:r>
            <w:r w:rsidR="002010F4" w:rsidRPr="009C5EFD">
              <w:rPr>
                <w:lang w:val="nb-NO"/>
              </w:rPr>
              <w:t> </w:t>
            </w:r>
            <w:r w:rsidRPr="009C5EFD">
              <w:rPr>
                <w:lang w:val="nb-NO"/>
              </w:rPr>
              <w:t>0,001 for alle sammenligninger mellom Humira og placebo</w:t>
            </w:r>
          </w:p>
          <w:p w14:paraId="061DB519" w14:textId="77777777" w:rsidR="001E500F" w:rsidRPr="009C5EFD" w:rsidRDefault="00E453CD" w:rsidP="007F67EE">
            <w:pPr>
              <w:pStyle w:val="EMEANormal"/>
              <w:rPr>
                <w:lang w:val="nb-NO"/>
              </w:rPr>
            </w:pPr>
            <w:r w:rsidRPr="009C5EFD">
              <w:rPr>
                <w:lang w:val="nb-NO"/>
              </w:rPr>
              <w:t>*</w:t>
            </w:r>
            <w:r w:rsidRPr="009C5EFD">
              <w:rPr>
                <w:lang w:val="nb-NO"/>
              </w:rPr>
              <w:tab/>
              <w:t>p</w:t>
            </w:r>
            <w:r w:rsidR="002010F4" w:rsidRPr="009C5EFD">
              <w:rPr>
                <w:lang w:val="nb-NO"/>
              </w:rPr>
              <w:t> </w:t>
            </w:r>
            <w:r w:rsidRPr="009C5EFD">
              <w:rPr>
                <w:lang w:val="nb-NO"/>
              </w:rPr>
              <w:t>&lt;</w:t>
            </w:r>
            <w:r w:rsidR="002010F4" w:rsidRPr="009C5EFD">
              <w:rPr>
                <w:lang w:val="nb-NO"/>
              </w:rPr>
              <w:t> </w:t>
            </w:r>
            <w:r w:rsidRPr="009C5EFD">
              <w:rPr>
                <w:lang w:val="nb-NO"/>
              </w:rPr>
              <w:t>0,05 for alle sammenligninger mellom Humira og placebo</w:t>
            </w:r>
          </w:p>
          <w:p w14:paraId="3CB932CF" w14:textId="77777777" w:rsidR="001E500F" w:rsidRPr="009C5EFD" w:rsidRDefault="00E453CD" w:rsidP="00193D76">
            <w:pPr>
              <w:pStyle w:val="EMEANormal"/>
              <w:rPr>
                <w:lang w:val="nb-NO"/>
              </w:rPr>
            </w:pPr>
            <w:r w:rsidRPr="009C5EFD">
              <w:rPr>
                <w:lang w:val="nb-NO"/>
              </w:rPr>
              <w:t>N/A</w:t>
            </w:r>
            <w:r w:rsidR="002010F4" w:rsidRPr="009C5EFD">
              <w:rPr>
                <w:lang w:val="nb-NO"/>
              </w:rPr>
              <w:tab/>
            </w:r>
            <w:r w:rsidRPr="009C5EFD">
              <w:rPr>
                <w:lang w:val="nb-NO"/>
              </w:rPr>
              <w:t>ikke aktuell</w:t>
            </w:r>
          </w:p>
        </w:tc>
      </w:tr>
    </w:tbl>
    <w:p w14:paraId="323F783F" w14:textId="77777777" w:rsidR="001E500F" w:rsidRPr="009C5EFD" w:rsidRDefault="001E500F" w:rsidP="007F67EE">
      <w:pPr>
        <w:ind w:left="54"/>
        <w:rPr>
          <w:sz w:val="22"/>
          <w:szCs w:val="22"/>
        </w:rPr>
      </w:pPr>
    </w:p>
    <w:p w14:paraId="47F4D35E" w14:textId="77777777" w:rsidR="001E500F" w:rsidRPr="009C5EFD" w:rsidRDefault="00E453CD" w:rsidP="007F67EE">
      <w:pPr>
        <w:rPr>
          <w:sz w:val="22"/>
          <w:szCs w:val="22"/>
        </w:rPr>
      </w:pPr>
      <w:r w:rsidRPr="009C5EFD">
        <w:rPr>
          <w:sz w:val="22"/>
          <w:szCs w:val="22"/>
        </w:rPr>
        <w:t>ACR-responser i PsA-studie I var lik både med og uten samtidig metotreksatbehandling.</w:t>
      </w:r>
    </w:p>
    <w:p w14:paraId="165D85C2" w14:textId="77777777" w:rsidR="001E500F" w:rsidRPr="009C5EFD" w:rsidRDefault="00E453CD" w:rsidP="007F67EE">
      <w:pPr>
        <w:rPr>
          <w:sz w:val="22"/>
          <w:szCs w:val="22"/>
        </w:rPr>
      </w:pPr>
      <w:r w:rsidRPr="009C5EFD">
        <w:rPr>
          <w:sz w:val="22"/>
          <w:szCs w:val="22"/>
        </w:rPr>
        <w:t>ACR-responser ble opprettholdt i opptil 136</w:t>
      </w:r>
      <w:r w:rsidR="00315F16" w:rsidRPr="009C5EFD">
        <w:rPr>
          <w:sz w:val="22"/>
          <w:szCs w:val="22"/>
        </w:rPr>
        <w:t> uker</w:t>
      </w:r>
      <w:r w:rsidRPr="009C5EFD">
        <w:rPr>
          <w:sz w:val="22"/>
          <w:szCs w:val="22"/>
        </w:rPr>
        <w:t xml:space="preserve"> i den åpne forlengesesstudien.</w:t>
      </w:r>
    </w:p>
    <w:p w14:paraId="1CE11754" w14:textId="77777777" w:rsidR="001E500F" w:rsidRPr="009C5EFD" w:rsidRDefault="001E500F" w:rsidP="00193D76">
      <w:pPr>
        <w:rPr>
          <w:sz w:val="22"/>
          <w:szCs w:val="22"/>
        </w:rPr>
      </w:pPr>
    </w:p>
    <w:p w14:paraId="0248BFAC" w14:textId="77777777" w:rsidR="001E500F" w:rsidRPr="009C5EFD" w:rsidRDefault="00E453CD" w:rsidP="002D0790">
      <w:pPr>
        <w:rPr>
          <w:sz w:val="22"/>
          <w:szCs w:val="22"/>
        </w:rPr>
      </w:pPr>
      <w:r w:rsidRPr="009C5EFD">
        <w:rPr>
          <w:sz w:val="22"/>
          <w:szCs w:val="22"/>
        </w:rPr>
        <w:t xml:space="preserve">Radiografiske forandringer ble vurdert i studiene av psoriasisartritt. Røntgenbilder av hender, håndledd og føtter ble tatt ved oppstart og </w:t>
      </w:r>
      <w:r w:rsidR="00315F16" w:rsidRPr="009C5EFD">
        <w:rPr>
          <w:sz w:val="22"/>
          <w:szCs w:val="22"/>
        </w:rPr>
        <w:t>uke </w:t>
      </w:r>
      <w:r w:rsidRPr="009C5EFD">
        <w:rPr>
          <w:sz w:val="22"/>
          <w:szCs w:val="22"/>
        </w:rPr>
        <w:t xml:space="preserve">24 i den dobbeltblinde delen av studien da pasientene </w:t>
      </w:r>
      <w:r w:rsidRPr="009C5EFD">
        <w:rPr>
          <w:color w:val="000000"/>
          <w:sz w:val="22"/>
          <w:szCs w:val="22"/>
        </w:rPr>
        <w:t xml:space="preserve">fikk </w:t>
      </w:r>
      <w:r w:rsidRPr="009C5EFD">
        <w:rPr>
          <w:sz w:val="22"/>
          <w:szCs w:val="22"/>
        </w:rPr>
        <w:t xml:space="preserve">Humira eller placebo, og ved </w:t>
      </w:r>
      <w:r w:rsidR="00315F16" w:rsidRPr="009C5EFD">
        <w:rPr>
          <w:sz w:val="22"/>
          <w:szCs w:val="22"/>
        </w:rPr>
        <w:t>uke </w:t>
      </w:r>
      <w:r w:rsidRPr="009C5EFD">
        <w:rPr>
          <w:sz w:val="22"/>
          <w:szCs w:val="22"/>
        </w:rPr>
        <w:t xml:space="preserve">48 da alle pasienter var med i den åpne delen og fikk Humira. </w:t>
      </w:r>
      <w:r w:rsidRPr="009C5EFD">
        <w:rPr>
          <w:sz w:val="22"/>
          <w:szCs w:val="22"/>
        </w:rPr>
        <w:lastRenderedPageBreak/>
        <w:t xml:space="preserve">En modifisert </w:t>
      </w:r>
      <w:r w:rsidRPr="009C5EFD">
        <w:rPr>
          <w:color w:val="000000"/>
          <w:sz w:val="22"/>
          <w:szCs w:val="22"/>
        </w:rPr>
        <w:t>Total Sharp Score (mTSS)</w:t>
      </w:r>
      <w:r w:rsidRPr="009C5EFD">
        <w:rPr>
          <w:sz w:val="22"/>
          <w:szCs w:val="22"/>
        </w:rPr>
        <w:t xml:space="preserve"> som inkluderte distale interfalangeale ledd (dvs. ikke identisk til TSS brukt for revmatoid artritt), var brukt. </w:t>
      </w:r>
    </w:p>
    <w:p w14:paraId="3BEDC7E8" w14:textId="77777777" w:rsidR="001E500F" w:rsidRPr="009C5EFD" w:rsidRDefault="001E500F" w:rsidP="00C07C98">
      <w:pPr>
        <w:rPr>
          <w:sz w:val="22"/>
          <w:szCs w:val="22"/>
        </w:rPr>
      </w:pPr>
    </w:p>
    <w:p w14:paraId="2C1ADF62" w14:textId="77777777" w:rsidR="001E500F" w:rsidRPr="009C5EFD" w:rsidRDefault="00E453CD" w:rsidP="00E14E58">
      <w:pPr>
        <w:rPr>
          <w:sz w:val="22"/>
          <w:szCs w:val="22"/>
        </w:rPr>
      </w:pPr>
      <w:r w:rsidRPr="009C5EFD">
        <w:rPr>
          <w:sz w:val="22"/>
          <w:szCs w:val="22"/>
        </w:rPr>
        <w:t xml:space="preserve">Behandling med Humira reduserte progresjonshastigheten til perifer leddskade sammenlignet med placebo målt ved forandringer i mTSS fra behandlingsstart (gjennomsnitt </w:t>
      </w:r>
      <w:r w:rsidRPr="007F67EE">
        <w:rPr>
          <w:rFonts w:ascii="Symbol" w:hAnsi="Symbol"/>
          <w:sz w:val="22"/>
          <w:szCs w:val="22"/>
        </w:rPr>
        <w:sym w:font="Symbol" w:char="F0B1"/>
      </w:r>
      <w:r w:rsidRPr="007F67EE">
        <w:rPr>
          <w:sz w:val="22"/>
          <w:szCs w:val="22"/>
        </w:rPr>
        <w:t xml:space="preserve"> SD) 0,8 ± 2,5 i placebogruppen (ved </w:t>
      </w:r>
      <w:r w:rsidR="00315F16" w:rsidRPr="002D0790">
        <w:rPr>
          <w:sz w:val="22"/>
          <w:szCs w:val="22"/>
        </w:rPr>
        <w:t>uke </w:t>
      </w:r>
      <w:r w:rsidRPr="00C07C98">
        <w:rPr>
          <w:sz w:val="22"/>
          <w:szCs w:val="22"/>
        </w:rPr>
        <w:t>24) sammenlignet med 0,0 ± 1,9, (p</w:t>
      </w:r>
      <w:r w:rsidR="002010F4" w:rsidRPr="00C07C98">
        <w:rPr>
          <w:sz w:val="22"/>
          <w:szCs w:val="22"/>
        </w:rPr>
        <w:t> </w:t>
      </w:r>
      <w:r w:rsidRPr="00E14E58">
        <w:rPr>
          <w:sz w:val="22"/>
          <w:szCs w:val="22"/>
        </w:rPr>
        <w:t>&lt;</w:t>
      </w:r>
      <w:r w:rsidR="002010F4" w:rsidRPr="009C5EFD">
        <w:rPr>
          <w:sz w:val="22"/>
          <w:szCs w:val="22"/>
        </w:rPr>
        <w:t> </w:t>
      </w:r>
      <w:r w:rsidRPr="009C5EFD">
        <w:rPr>
          <w:sz w:val="22"/>
          <w:szCs w:val="22"/>
        </w:rPr>
        <w:t xml:space="preserve">0,001) i Humira-gruppen (ved </w:t>
      </w:r>
      <w:r w:rsidR="00315F16" w:rsidRPr="009C5EFD">
        <w:rPr>
          <w:sz w:val="22"/>
          <w:szCs w:val="22"/>
        </w:rPr>
        <w:t>uke </w:t>
      </w:r>
      <w:r w:rsidRPr="009C5EFD">
        <w:rPr>
          <w:sz w:val="22"/>
          <w:szCs w:val="22"/>
        </w:rPr>
        <w:t>48).</w:t>
      </w:r>
    </w:p>
    <w:p w14:paraId="1DF883C0" w14:textId="77777777" w:rsidR="001E500F" w:rsidRPr="009C5EFD" w:rsidRDefault="001E500F" w:rsidP="009C5EFD">
      <w:pPr>
        <w:rPr>
          <w:sz w:val="22"/>
          <w:szCs w:val="22"/>
        </w:rPr>
      </w:pPr>
    </w:p>
    <w:p w14:paraId="61E32BB9" w14:textId="77777777" w:rsidR="001E500F" w:rsidRPr="009C5EFD" w:rsidRDefault="00E453CD" w:rsidP="009C5EFD">
      <w:pPr>
        <w:rPr>
          <w:sz w:val="22"/>
          <w:szCs w:val="22"/>
        </w:rPr>
      </w:pPr>
      <w:r w:rsidRPr="009C5EFD">
        <w:rPr>
          <w:sz w:val="22"/>
          <w:szCs w:val="22"/>
        </w:rPr>
        <w:t xml:space="preserve">Hos pasienter som var behandlet med Humira og som ikke viste progresjon fra behandlingsstart til </w:t>
      </w:r>
      <w:r w:rsidR="00315F16" w:rsidRPr="009C5EFD">
        <w:rPr>
          <w:sz w:val="22"/>
          <w:szCs w:val="22"/>
        </w:rPr>
        <w:t>uke </w:t>
      </w:r>
      <w:r w:rsidRPr="009C5EFD">
        <w:rPr>
          <w:sz w:val="22"/>
          <w:szCs w:val="22"/>
        </w:rPr>
        <w:t>48 (n = 102), fortsatte 84</w:t>
      </w:r>
      <w:r w:rsidR="00315F16" w:rsidRPr="009C5EFD">
        <w:rPr>
          <w:sz w:val="22"/>
          <w:szCs w:val="22"/>
        </w:rPr>
        <w:t> %</w:t>
      </w:r>
      <w:r w:rsidRPr="009C5EFD">
        <w:rPr>
          <w:sz w:val="22"/>
          <w:szCs w:val="22"/>
        </w:rPr>
        <w:t xml:space="preserve"> å vise ingen radiografisk progresjon gjennom 144</w:t>
      </w:r>
      <w:r w:rsidR="00315F16" w:rsidRPr="009C5EFD">
        <w:rPr>
          <w:sz w:val="22"/>
          <w:szCs w:val="22"/>
        </w:rPr>
        <w:t> uker</w:t>
      </w:r>
      <w:r w:rsidRPr="009C5EFD">
        <w:rPr>
          <w:sz w:val="22"/>
          <w:szCs w:val="22"/>
        </w:rPr>
        <w:t xml:space="preserve"> med behandling.</w:t>
      </w:r>
    </w:p>
    <w:p w14:paraId="63114347" w14:textId="77777777" w:rsidR="001E500F" w:rsidRPr="009C5EFD" w:rsidRDefault="00E453CD" w:rsidP="009C5EFD">
      <w:pPr>
        <w:rPr>
          <w:sz w:val="22"/>
          <w:szCs w:val="22"/>
          <w:u w:val="single"/>
        </w:rPr>
      </w:pPr>
      <w:r w:rsidRPr="009C5EFD">
        <w:rPr>
          <w:sz w:val="22"/>
          <w:szCs w:val="22"/>
        </w:rPr>
        <w:t xml:space="preserve">Pasienter behandlet med Humira hadde statistisk signifikant forbedring i fysisk funksjon vurdert ved HAQ og Short Form Health Survey (SF 36), sammenlignet med placebo ved </w:t>
      </w:r>
      <w:r w:rsidR="00315F16" w:rsidRPr="009C5EFD">
        <w:rPr>
          <w:sz w:val="22"/>
          <w:szCs w:val="22"/>
        </w:rPr>
        <w:t>uke </w:t>
      </w:r>
      <w:r w:rsidRPr="009C5EFD">
        <w:rPr>
          <w:sz w:val="22"/>
          <w:szCs w:val="22"/>
        </w:rPr>
        <w:t xml:space="preserve">24. Pasientene viste fortsatt forbedret fysisk funksjon i opptil </w:t>
      </w:r>
      <w:r w:rsidR="00315F16" w:rsidRPr="009C5EFD">
        <w:rPr>
          <w:sz w:val="22"/>
          <w:szCs w:val="22"/>
        </w:rPr>
        <w:t>uke </w:t>
      </w:r>
      <w:r w:rsidRPr="009C5EFD">
        <w:rPr>
          <w:sz w:val="22"/>
          <w:szCs w:val="22"/>
        </w:rPr>
        <w:t>136 i den åpne forlengelsesstudien.</w:t>
      </w:r>
    </w:p>
    <w:p w14:paraId="284EEA4A" w14:textId="77777777" w:rsidR="001E500F" w:rsidRPr="009C5EFD" w:rsidRDefault="001E500F" w:rsidP="009C5EFD">
      <w:pPr>
        <w:pStyle w:val="Heading2"/>
        <w:keepNext w:val="0"/>
        <w:ind w:left="0"/>
        <w:rPr>
          <w:szCs w:val="22"/>
        </w:rPr>
      </w:pPr>
    </w:p>
    <w:p w14:paraId="767ED725" w14:textId="77777777" w:rsidR="001E500F" w:rsidRPr="009C5EFD" w:rsidRDefault="00E453CD" w:rsidP="00776A84">
      <w:pPr>
        <w:pStyle w:val="Heading2"/>
        <w:ind w:left="0"/>
        <w:rPr>
          <w:i/>
          <w:szCs w:val="22"/>
          <w:u w:val="none"/>
        </w:rPr>
      </w:pPr>
      <w:r w:rsidRPr="009C5EFD">
        <w:rPr>
          <w:i/>
          <w:szCs w:val="22"/>
          <w:u w:val="none"/>
        </w:rPr>
        <w:t>Psoriasis</w:t>
      </w:r>
    </w:p>
    <w:p w14:paraId="7B10A478" w14:textId="77777777" w:rsidR="001E500F" w:rsidRPr="009C5EFD" w:rsidRDefault="001E500F" w:rsidP="00776A84">
      <w:pPr>
        <w:keepNext/>
        <w:rPr>
          <w:sz w:val="22"/>
          <w:szCs w:val="22"/>
          <w:u w:val="single"/>
        </w:rPr>
      </w:pPr>
    </w:p>
    <w:p w14:paraId="48827D83" w14:textId="77777777" w:rsidR="001E500F" w:rsidRPr="009C5EFD" w:rsidRDefault="00E453CD" w:rsidP="009C5EFD">
      <w:pPr>
        <w:rPr>
          <w:sz w:val="22"/>
          <w:szCs w:val="22"/>
        </w:rPr>
      </w:pPr>
      <w:r w:rsidRPr="009C5EFD">
        <w:rPr>
          <w:sz w:val="22"/>
          <w:szCs w:val="22"/>
        </w:rPr>
        <w:t>Sikkerhet og effekt av Humira har vært undersøkt hos voksne pasienter med kronisk plakkpsoriasis (</w:t>
      </w:r>
      <w:r w:rsidRPr="007F67EE">
        <w:rPr>
          <w:rFonts w:ascii="Symbol" w:hAnsi="Symbol"/>
          <w:sz w:val="22"/>
          <w:szCs w:val="22"/>
        </w:rPr>
        <w:sym w:font="Symbol" w:char="F0B3"/>
      </w:r>
      <w:r w:rsidR="002010F4" w:rsidRPr="00193D76">
        <w:rPr>
          <w:sz w:val="22"/>
          <w:szCs w:val="22"/>
        </w:rPr>
        <w:t> </w:t>
      </w:r>
      <w:r w:rsidRPr="002D0790">
        <w:rPr>
          <w:sz w:val="22"/>
          <w:szCs w:val="22"/>
        </w:rPr>
        <w:t>10</w:t>
      </w:r>
      <w:r w:rsidR="00315F16" w:rsidRPr="00C07C98">
        <w:rPr>
          <w:sz w:val="22"/>
          <w:szCs w:val="22"/>
        </w:rPr>
        <w:t> %</w:t>
      </w:r>
      <w:r w:rsidRPr="00E14E58">
        <w:rPr>
          <w:sz w:val="22"/>
          <w:szCs w:val="22"/>
        </w:rPr>
        <w:t xml:space="preserve"> BSA og </w:t>
      </w:r>
      <w:r w:rsidRPr="009C5EFD">
        <w:rPr>
          <w:sz w:val="22"/>
          <w:szCs w:val="22"/>
          <w:lang w:eastAsia="nb-NO"/>
        </w:rPr>
        <w:t>Psoriasis Area and Severity Index</w:t>
      </w:r>
      <w:r w:rsidRPr="009C5EFD">
        <w:rPr>
          <w:sz w:val="22"/>
          <w:szCs w:val="22"/>
        </w:rPr>
        <w:t xml:space="preserve"> (PASI) </w:t>
      </w:r>
      <w:r w:rsidRPr="007F67EE">
        <w:rPr>
          <w:rFonts w:ascii="Symbol" w:hAnsi="Symbol"/>
          <w:sz w:val="22"/>
          <w:szCs w:val="22"/>
        </w:rPr>
        <w:sym w:font="Symbol" w:char="F0B3"/>
      </w:r>
      <w:r w:rsidR="002010F4" w:rsidRPr="00193D76">
        <w:rPr>
          <w:sz w:val="22"/>
          <w:szCs w:val="22"/>
        </w:rPr>
        <w:t> </w:t>
      </w:r>
      <w:r w:rsidRPr="002D0790">
        <w:rPr>
          <w:sz w:val="22"/>
          <w:szCs w:val="22"/>
        </w:rPr>
        <w:t xml:space="preserve">12 eller </w:t>
      </w:r>
      <w:r w:rsidRPr="007F67EE">
        <w:rPr>
          <w:rFonts w:ascii="Symbol" w:hAnsi="Symbol"/>
          <w:sz w:val="22"/>
          <w:szCs w:val="22"/>
        </w:rPr>
        <w:sym w:font="Symbol" w:char="F0B3"/>
      </w:r>
      <w:r w:rsidR="002010F4" w:rsidRPr="00193D76">
        <w:rPr>
          <w:sz w:val="22"/>
          <w:szCs w:val="22"/>
        </w:rPr>
        <w:t> </w:t>
      </w:r>
      <w:r w:rsidRPr="002D0790">
        <w:rPr>
          <w:sz w:val="22"/>
          <w:szCs w:val="22"/>
        </w:rPr>
        <w:t>10)</w:t>
      </w:r>
      <w:r w:rsidR="00C211E7">
        <w:rPr>
          <w:sz w:val="22"/>
          <w:szCs w:val="22"/>
        </w:rPr>
        <w:t xml:space="preserve"> </w:t>
      </w:r>
      <w:r w:rsidRPr="002D0790">
        <w:rPr>
          <w:sz w:val="22"/>
          <w:szCs w:val="22"/>
        </w:rPr>
        <w:t xml:space="preserve">som var kandidater for systemisk behandling eller </w:t>
      </w:r>
      <w:r w:rsidR="00726E6B">
        <w:rPr>
          <w:sz w:val="22"/>
          <w:szCs w:val="22"/>
        </w:rPr>
        <w:t>lysbehandling</w:t>
      </w:r>
      <w:r w:rsidRPr="002D0790">
        <w:rPr>
          <w:sz w:val="22"/>
          <w:szCs w:val="22"/>
        </w:rPr>
        <w:t xml:space="preserve"> i randomiserte, dobbeltblinde studier. </w:t>
      </w:r>
      <w:r w:rsidR="00C211E7">
        <w:rPr>
          <w:sz w:val="22"/>
          <w:szCs w:val="22"/>
        </w:rPr>
        <w:t>I</w:t>
      </w:r>
      <w:r w:rsidR="00C211E7" w:rsidRPr="00E14E58">
        <w:rPr>
          <w:sz w:val="22"/>
          <w:szCs w:val="22"/>
        </w:rPr>
        <w:t xml:space="preserve"> psoriasisstudiene I og II var</w:t>
      </w:r>
      <w:r w:rsidR="00C211E7" w:rsidRPr="002D0790">
        <w:rPr>
          <w:sz w:val="22"/>
          <w:szCs w:val="22"/>
        </w:rPr>
        <w:t xml:space="preserve"> </w:t>
      </w:r>
      <w:r w:rsidRPr="002D0790">
        <w:rPr>
          <w:sz w:val="22"/>
          <w:szCs w:val="22"/>
        </w:rPr>
        <w:t>73</w:t>
      </w:r>
      <w:r w:rsidR="00315F16" w:rsidRPr="00C07C98">
        <w:rPr>
          <w:sz w:val="22"/>
          <w:szCs w:val="22"/>
        </w:rPr>
        <w:t> %</w:t>
      </w:r>
      <w:r w:rsidRPr="00E14E58">
        <w:rPr>
          <w:sz w:val="22"/>
          <w:szCs w:val="22"/>
        </w:rPr>
        <w:t xml:space="preserve"> av pasientene tidli</w:t>
      </w:r>
      <w:r w:rsidRPr="009C5EFD">
        <w:rPr>
          <w:sz w:val="22"/>
          <w:szCs w:val="22"/>
        </w:rPr>
        <w:t xml:space="preserve">gere behandlet med systemisk behandling eller </w:t>
      </w:r>
      <w:r w:rsidR="00726E6B">
        <w:rPr>
          <w:sz w:val="22"/>
          <w:szCs w:val="22"/>
        </w:rPr>
        <w:t>lysbehandling</w:t>
      </w:r>
      <w:r w:rsidRPr="009C5EFD">
        <w:rPr>
          <w:sz w:val="22"/>
          <w:szCs w:val="22"/>
        </w:rPr>
        <w:t>. Sikkerhet og effekt av Humira ble også undersøkt hos voksne pasienter med moderat til alvorlig kronisk plakkpsoriasis med samtidig hånd og/eller fot psoriasis, som var kandidater for systemisk behandling i en randomisert, dobbeltblindet studie (Psoriasisstudie III).</w:t>
      </w:r>
    </w:p>
    <w:p w14:paraId="5115F669" w14:textId="77777777" w:rsidR="001E500F" w:rsidRPr="009C5EFD" w:rsidRDefault="001E500F" w:rsidP="009C5EFD">
      <w:pPr>
        <w:rPr>
          <w:sz w:val="22"/>
          <w:szCs w:val="22"/>
        </w:rPr>
      </w:pPr>
    </w:p>
    <w:p w14:paraId="529B0298" w14:textId="77777777" w:rsidR="001E500F" w:rsidRPr="009C5EFD" w:rsidRDefault="00E453CD" w:rsidP="009C5EFD">
      <w:pPr>
        <w:rPr>
          <w:sz w:val="22"/>
          <w:szCs w:val="22"/>
        </w:rPr>
      </w:pPr>
      <w:r w:rsidRPr="009C5EFD">
        <w:rPr>
          <w:sz w:val="22"/>
          <w:szCs w:val="22"/>
        </w:rPr>
        <w:t>Psoriasisstudie I (REVEAL) undersøkte 1212</w:t>
      </w:r>
      <w:r w:rsidR="00315F16" w:rsidRPr="009C5EFD">
        <w:rPr>
          <w:sz w:val="22"/>
          <w:szCs w:val="22"/>
        </w:rPr>
        <w:t> pasient</w:t>
      </w:r>
      <w:r w:rsidRPr="009C5EFD">
        <w:rPr>
          <w:sz w:val="22"/>
          <w:szCs w:val="22"/>
        </w:rPr>
        <w:t>er innenfor tre behandlingsperioder. I periode A fikk pasientene placebo og Humira med en startdose på 80</w:t>
      </w:r>
      <w:r w:rsidR="00E55E5D" w:rsidRPr="009C5EFD">
        <w:rPr>
          <w:sz w:val="22"/>
          <w:szCs w:val="22"/>
        </w:rPr>
        <w:t> mg</w:t>
      </w:r>
      <w:r w:rsidRPr="009C5EFD">
        <w:rPr>
          <w:sz w:val="22"/>
          <w:szCs w:val="22"/>
        </w:rPr>
        <w:t>, etterfulgt av 40</w:t>
      </w:r>
      <w:r w:rsidR="00E55E5D" w:rsidRPr="009C5EFD">
        <w:rPr>
          <w:sz w:val="22"/>
          <w:szCs w:val="22"/>
        </w:rPr>
        <w:t> mg</w:t>
      </w:r>
      <w:r w:rsidRPr="009C5EFD">
        <w:rPr>
          <w:sz w:val="22"/>
          <w:szCs w:val="22"/>
        </w:rPr>
        <w:t xml:space="preserve"> annenhver uke én uke etter den første dosen. Etter 16</w:t>
      </w:r>
      <w:r w:rsidR="00315F16" w:rsidRPr="009C5EFD">
        <w:rPr>
          <w:sz w:val="22"/>
          <w:szCs w:val="22"/>
        </w:rPr>
        <w:t> uker</w:t>
      </w:r>
      <w:r w:rsidRPr="009C5EFD">
        <w:rPr>
          <w:sz w:val="22"/>
          <w:szCs w:val="22"/>
        </w:rPr>
        <w:t xml:space="preserve"> med behandling gikk pasienter som oppnådde minst en PASI-respons på 75 (PASI score forbedring minst 75</w:t>
      </w:r>
      <w:r w:rsidR="00315F16" w:rsidRPr="009C5EFD">
        <w:rPr>
          <w:sz w:val="22"/>
          <w:szCs w:val="22"/>
        </w:rPr>
        <w:t> %</w:t>
      </w:r>
      <w:r w:rsidRPr="009C5EFD">
        <w:rPr>
          <w:sz w:val="22"/>
          <w:szCs w:val="22"/>
        </w:rPr>
        <w:t xml:space="preserve"> i forhold til behandlingsstart), videre til periode B og fikk </w:t>
      </w:r>
      <w:r w:rsidR="00D57009">
        <w:rPr>
          <w:sz w:val="22"/>
          <w:szCs w:val="22"/>
        </w:rPr>
        <w:t>«</w:t>
      </w:r>
      <w:r w:rsidRPr="009C5EFD">
        <w:rPr>
          <w:sz w:val="22"/>
          <w:szCs w:val="22"/>
        </w:rPr>
        <w:t>open-label</w:t>
      </w:r>
      <w:r w:rsidR="00D57009">
        <w:rPr>
          <w:sz w:val="22"/>
          <w:szCs w:val="22"/>
        </w:rPr>
        <w:t>»</w:t>
      </w:r>
      <w:r w:rsidRPr="009C5EFD">
        <w:rPr>
          <w:sz w:val="22"/>
          <w:szCs w:val="22"/>
        </w:rPr>
        <w:t xml:space="preserve"> 40</w:t>
      </w:r>
      <w:r w:rsidR="00E55E5D" w:rsidRPr="009C5EFD">
        <w:rPr>
          <w:sz w:val="22"/>
          <w:szCs w:val="22"/>
        </w:rPr>
        <w:t> mg</w:t>
      </w:r>
      <w:r w:rsidRPr="009C5EFD">
        <w:rPr>
          <w:sz w:val="22"/>
          <w:szCs w:val="22"/>
        </w:rPr>
        <w:t xml:space="preserve"> Humira annenhver uke. Pasienter som opprettholdt </w:t>
      </w:r>
      <w:r w:rsidRPr="007F67EE">
        <w:rPr>
          <w:rFonts w:ascii="Symbol" w:hAnsi="Symbol"/>
          <w:sz w:val="22"/>
          <w:szCs w:val="22"/>
        </w:rPr>
        <w:sym w:font="Symbol" w:char="F0B3"/>
      </w:r>
      <w:r w:rsidR="002010F4" w:rsidRPr="00193D76">
        <w:rPr>
          <w:sz w:val="22"/>
          <w:szCs w:val="22"/>
        </w:rPr>
        <w:t> </w:t>
      </w:r>
      <w:r w:rsidRPr="002D0790">
        <w:rPr>
          <w:sz w:val="22"/>
          <w:szCs w:val="22"/>
        </w:rPr>
        <w:t xml:space="preserve">PASI 75-respons ved </w:t>
      </w:r>
      <w:r w:rsidR="00315F16" w:rsidRPr="00C07C98">
        <w:rPr>
          <w:sz w:val="22"/>
          <w:szCs w:val="22"/>
        </w:rPr>
        <w:t>uke </w:t>
      </w:r>
      <w:r w:rsidRPr="00E14E58">
        <w:rPr>
          <w:sz w:val="22"/>
          <w:szCs w:val="22"/>
        </w:rPr>
        <w:t>33 og som var opprinnelig randomiserte til aktiv behandling i periode A, ble randomisert på nytt i periode C til å få 40</w:t>
      </w:r>
      <w:r w:rsidR="00E55E5D" w:rsidRPr="009C5EFD">
        <w:rPr>
          <w:sz w:val="22"/>
          <w:szCs w:val="22"/>
        </w:rPr>
        <w:t> mg</w:t>
      </w:r>
      <w:r w:rsidRPr="009C5EFD">
        <w:rPr>
          <w:sz w:val="22"/>
          <w:szCs w:val="22"/>
        </w:rPr>
        <w:t xml:space="preserve"> Humira annenhver uke eller placebo i ytterligere 19</w:t>
      </w:r>
      <w:r w:rsidR="00315F16" w:rsidRPr="009C5EFD">
        <w:rPr>
          <w:sz w:val="22"/>
          <w:szCs w:val="22"/>
        </w:rPr>
        <w:t> uker</w:t>
      </w:r>
      <w:r w:rsidRPr="009C5EFD">
        <w:rPr>
          <w:sz w:val="22"/>
          <w:szCs w:val="22"/>
        </w:rPr>
        <w:t xml:space="preserve">. På tvers av alle behandlingsgrupper var den gjennomsnittlige PASI score 18,9 ved behandlingsstart, og Physician’s Global Assessment (PGA) score var klassifisert fra </w:t>
      </w:r>
      <w:r w:rsidR="00D57009">
        <w:rPr>
          <w:sz w:val="22"/>
          <w:szCs w:val="22"/>
        </w:rPr>
        <w:t>«</w:t>
      </w:r>
      <w:r w:rsidRPr="009C5EFD">
        <w:rPr>
          <w:sz w:val="22"/>
          <w:szCs w:val="22"/>
        </w:rPr>
        <w:t>moderat</w:t>
      </w:r>
      <w:r w:rsidR="00D57009">
        <w:rPr>
          <w:sz w:val="22"/>
          <w:szCs w:val="22"/>
        </w:rPr>
        <w:t>»</w:t>
      </w:r>
      <w:r w:rsidRPr="009C5EFD">
        <w:rPr>
          <w:sz w:val="22"/>
          <w:szCs w:val="22"/>
        </w:rPr>
        <w:t xml:space="preserve"> (53</w:t>
      </w:r>
      <w:r w:rsidR="00315F16" w:rsidRPr="009C5EFD">
        <w:rPr>
          <w:sz w:val="22"/>
          <w:szCs w:val="22"/>
        </w:rPr>
        <w:t> %</w:t>
      </w:r>
      <w:r w:rsidRPr="009C5EFD">
        <w:rPr>
          <w:sz w:val="22"/>
          <w:szCs w:val="22"/>
        </w:rPr>
        <w:t xml:space="preserve"> av de inkluderte pasientene) til </w:t>
      </w:r>
      <w:r w:rsidR="00D57009">
        <w:rPr>
          <w:sz w:val="22"/>
          <w:szCs w:val="22"/>
        </w:rPr>
        <w:t>«</w:t>
      </w:r>
      <w:r w:rsidRPr="009C5EFD">
        <w:rPr>
          <w:sz w:val="22"/>
          <w:szCs w:val="22"/>
        </w:rPr>
        <w:t>alvorlig</w:t>
      </w:r>
      <w:r w:rsidR="00D57009">
        <w:rPr>
          <w:sz w:val="22"/>
          <w:szCs w:val="22"/>
        </w:rPr>
        <w:t>»</w:t>
      </w:r>
      <w:r w:rsidRPr="009C5EFD">
        <w:rPr>
          <w:sz w:val="22"/>
          <w:szCs w:val="22"/>
        </w:rPr>
        <w:t xml:space="preserve"> (41</w:t>
      </w:r>
      <w:r w:rsidR="00315F16" w:rsidRPr="009C5EFD">
        <w:rPr>
          <w:sz w:val="22"/>
          <w:szCs w:val="22"/>
        </w:rPr>
        <w:t> %</w:t>
      </w:r>
      <w:r w:rsidRPr="009C5EFD">
        <w:rPr>
          <w:sz w:val="22"/>
          <w:szCs w:val="22"/>
        </w:rPr>
        <w:t xml:space="preserve">) eller </w:t>
      </w:r>
      <w:r w:rsidR="00D57009">
        <w:rPr>
          <w:sz w:val="22"/>
          <w:szCs w:val="22"/>
        </w:rPr>
        <w:t>«</w:t>
      </w:r>
      <w:r w:rsidRPr="009C5EFD">
        <w:rPr>
          <w:sz w:val="22"/>
          <w:szCs w:val="22"/>
        </w:rPr>
        <w:t>svært alvorlig</w:t>
      </w:r>
      <w:r w:rsidR="00D57009">
        <w:rPr>
          <w:sz w:val="22"/>
          <w:szCs w:val="22"/>
        </w:rPr>
        <w:t>»</w:t>
      </w:r>
      <w:r w:rsidRPr="009C5EFD">
        <w:rPr>
          <w:sz w:val="22"/>
          <w:szCs w:val="22"/>
        </w:rPr>
        <w:t xml:space="preserve"> (6</w:t>
      </w:r>
      <w:r w:rsidR="00315F16" w:rsidRPr="009C5EFD">
        <w:rPr>
          <w:sz w:val="22"/>
          <w:szCs w:val="22"/>
        </w:rPr>
        <w:t> %</w:t>
      </w:r>
      <w:r w:rsidRPr="009C5EFD">
        <w:rPr>
          <w:sz w:val="22"/>
          <w:szCs w:val="22"/>
        </w:rPr>
        <w:t>).</w:t>
      </w:r>
    </w:p>
    <w:p w14:paraId="1FBF6301" w14:textId="77777777" w:rsidR="001E500F" w:rsidRPr="009C5EFD" w:rsidRDefault="001E500F" w:rsidP="009C5EFD">
      <w:pPr>
        <w:rPr>
          <w:sz w:val="22"/>
          <w:szCs w:val="22"/>
        </w:rPr>
      </w:pPr>
    </w:p>
    <w:p w14:paraId="0C45D26A" w14:textId="77777777" w:rsidR="001E500F" w:rsidRPr="009C5EFD" w:rsidRDefault="00E453CD" w:rsidP="009C5EFD">
      <w:pPr>
        <w:rPr>
          <w:sz w:val="22"/>
          <w:szCs w:val="22"/>
        </w:rPr>
      </w:pPr>
      <w:r w:rsidRPr="009C5EFD">
        <w:rPr>
          <w:sz w:val="22"/>
          <w:szCs w:val="22"/>
        </w:rPr>
        <w:t xml:space="preserve">Psoriasisstudie II (CHAMPION) sammenlignet effekt og sikkerhet av Humira </w:t>
      </w:r>
      <w:r w:rsidRPr="009C5EFD">
        <w:rPr>
          <w:i/>
          <w:sz w:val="22"/>
          <w:szCs w:val="22"/>
        </w:rPr>
        <w:t>versus</w:t>
      </w:r>
      <w:r w:rsidRPr="009C5EFD">
        <w:rPr>
          <w:sz w:val="22"/>
          <w:szCs w:val="22"/>
        </w:rPr>
        <w:t xml:space="preserve"> metotreksat og placebo hos 271</w:t>
      </w:r>
      <w:r w:rsidR="00315F16" w:rsidRPr="009C5EFD">
        <w:rPr>
          <w:sz w:val="22"/>
          <w:szCs w:val="22"/>
        </w:rPr>
        <w:t> pasient</w:t>
      </w:r>
      <w:r w:rsidRPr="009C5EFD">
        <w:rPr>
          <w:sz w:val="22"/>
          <w:szCs w:val="22"/>
        </w:rPr>
        <w:t>er. Pasientene fikk enten placebo, en startdose på 7,5</w:t>
      </w:r>
      <w:r w:rsidR="00E55E5D" w:rsidRPr="009C5EFD">
        <w:rPr>
          <w:sz w:val="22"/>
          <w:szCs w:val="22"/>
        </w:rPr>
        <w:t> mg</w:t>
      </w:r>
      <w:r w:rsidRPr="009C5EFD">
        <w:rPr>
          <w:sz w:val="22"/>
          <w:szCs w:val="22"/>
        </w:rPr>
        <w:t xml:space="preserve"> metotreksat og deretter opptrapping av dosen frem til </w:t>
      </w:r>
      <w:r w:rsidR="00315F16" w:rsidRPr="009C5EFD">
        <w:rPr>
          <w:sz w:val="22"/>
          <w:szCs w:val="22"/>
        </w:rPr>
        <w:t>uke </w:t>
      </w:r>
      <w:r w:rsidRPr="009C5EFD">
        <w:rPr>
          <w:sz w:val="22"/>
          <w:szCs w:val="22"/>
        </w:rPr>
        <w:t>12 med en maksimumsdose på 25</w:t>
      </w:r>
      <w:r w:rsidR="00E55E5D" w:rsidRPr="009C5EFD">
        <w:rPr>
          <w:sz w:val="22"/>
          <w:szCs w:val="22"/>
        </w:rPr>
        <w:t> mg</w:t>
      </w:r>
      <w:r w:rsidRPr="009C5EFD">
        <w:rPr>
          <w:sz w:val="22"/>
          <w:szCs w:val="22"/>
        </w:rPr>
        <w:t>, eller en startdose på 80</w:t>
      </w:r>
      <w:r w:rsidR="00E55E5D" w:rsidRPr="009C5EFD">
        <w:rPr>
          <w:sz w:val="22"/>
          <w:szCs w:val="22"/>
        </w:rPr>
        <w:t> mg</w:t>
      </w:r>
      <w:r w:rsidRPr="009C5EFD">
        <w:rPr>
          <w:sz w:val="22"/>
          <w:szCs w:val="22"/>
        </w:rPr>
        <w:t xml:space="preserve"> Humira etterfulgt av 40</w:t>
      </w:r>
      <w:r w:rsidR="00E55E5D" w:rsidRPr="009C5EFD">
        <w:rPr>
          <w:sz w:val="22"/>
          <w:szCs w:val="22"/>
        </w:rPr>
        <w:t> mg</w:t>
      </w:r>
      <w:r w:rsidRPr="009C5EFD">
        <w:rPr>
          <w:sz w:val="22"/>
          <w:szCs w:val="22"/>
        </w:rPr>
        <w:t xml:space="preserve"> annenhver uke (starter en uke etter den første dosen) i 16</w:t>
      </w:r>
      <w:r w:rsidR="00315F16" w:rsidRPr="009C5EFD">
        <w:rPr>
          <w:sz w:val="22"/>
          <w:szCs w:val="22"/>
        </w:rPr>
        <w:t> uker</w:t>
      </w:r>
      <w:r w:rsidRPr="009C5EFD">
        <w:rPr>
          <w:sz w:val="22"/>
          <w:szCs w:val="22"/>
        </w:rPr>
        <w:t>. Det finnes ingen data som sammenligner Humira og metotreksat utover 16</w:t>
      </w:r>
      <w:r w:rsidR="00315F16" w:rsidRPr="009C5EFD">
        <w:rPr>
          <w:sz w:val="22"/>
          <w:szCs w:val="22"/>
        </w:rPr>
        <w:t> uker</w:t>
      </w:r>
      <w:r w:rsidRPr="009C5EFD">
        <w:rPr>
          <w:sz w:val="22"/>
          <w:szCs w:val="22"/>
        </w:rPr>
        <w:t xml:space="preserve">. Pasienter som fikk metotreksat og som oppnådde </w:t>
      </w:r>
      <w:r w:rsidRPr="007F67EE">
        <w:rPr>
          <w:rFonts w:ascii="Symbol" w:hAnsi="Symbol"/>
          <w:sz w:val="22"/>
          <w:szCs w:val="22"/>
        </w:rPr>
        <w:sym w:font="Symbol" w:char="F0B3"/>
      </w:r>
      <w:r w:rsidR="002010F4" w:rsidRPr="00193D76">
        <w:rPr>
          <w:sz w:val="22"/>
          <w:szCs w:val="22"/>
        </w:rPr>
        <w:t> </w:t>
      </w:r>
      <w:r w:rsidRPr="002D0790">
        <w:rPr>
          <w:sz w:val="22"/>
          <w:szCs w:val="22"/>
        </w:rPr>
        <w:t xml:space="preserve">PASI 50-respons ved </w:t>
      </w:r>
      <w:r w:rsidR="00315F16" w:rsidRPr="00E14E58">
        <w:rPr>
          <w:sz w:val="22"/>
          <w:szCs w:val="22"/>
        </w:rPr>
        <w:t>uke </w:t>
      </w:r>
      <w:r w:rsidRPr="009C5EFD">
        <w:rPr>
          <w:sz w:val="22"/>
          <w:szCs w:val="22"/>
        </w:rPr>
        <w:t xml:space="preserve">8 og/eller 12, fikk ingen ytterligere doseøkning. På tvers av alle behandlingsgrupper var den gjennomsnittlige PASI score 19,7 ved behandlingsstart, og PGA score var klassifisert fra </w:t>
      </w:r>
      <w:r w:rsidR="00D57009">
        <w:rPr>
          <w:sz w:val="22"/>
          <w:szCs w:val="22"/>
        </w:rPr>
        <w:t>«</w:t>
      </w:r>
      <w:r w:rsidRPr="009C5EFD">
        <w:rPr>
          <w:sz w:val="22"/>
          <w:szCs w:val="22"/>
        </w:rPr>
        <w:t>mild</w:t>
      </w:r>
      <w:r w:rsidR="00D57009">
        <w:rPr>
          <w:sz w:val="22"/>
          <w:szCs w:val="22"/>
        </w:rPr>
        <w:t>»</w:t>
      </w:r>
      <w:r w:rsidRPr="009C5EFD">
        <w:rPr>
          <w:sz w:val="22"/>
          <w:szCs w:val="22"/>
        </w:rPr>
        <w:t xml:space="preserve"> (&lt;</w:t>
      </w:r>
      <w:r w:rsidR="002010F4" w:rsidRPr="009C5EFD">
        <w:rPr>
          <w:sz w:val="22"/>
          <w:szCs w:val="22"/>
        </w:rPr>
        <w:t> </w:t>
      </w:r>
      <w:r w:rsidRPr="009C5EFD">
        <w:rPr>
          <w:sz w:val="22"/>
          <w:szCs w:val="22"/>
        </w:rPr>
        <w:t>1</w:t>
      </w:r>
      <w:r w:rsidR="00315F16" w:rsidRPr="009C5EFD">
        <w:rPr>
          <w:sz w:val="22"/>
          <w:szCs w:val="22"/>
        </w:rPr>
        <w:t> %</w:t>
      </w:r>
      <w:r w:rsidRPr="009C5EFD">
        <w:rPr>
          <w:sz w:val="22"/>
          <w:szCs w:val="22"/>
        </w:rPr>
        <w:t xml:space="preserve">) til </w:t>
      </w:r>
      <w:r w:rsidR="00D57009">
        <w:rPr>
          <w:sz w:val="22"/>
          <w:szCs w:val="22"/>
        </w:rPr>
        <w:t>«</w:t>
      </w:r>
      <w:r w:rsidRPr="009C5EFD">
        <w:rPr>
          <w:sz w:val="22"/>
          <w:szCs w:val="22"/>
        </w:rPr>
        <w:t>moderat</w:t>
      </w:r>
      <w:r w:rsidR="00D57009">
        <w:rPr>
          <w:sz w:val="22"/>
          <w:szCs w:val="22"/>
        </w:rPr>
        <w:t>»</w:t>
      </w:r>
      <w:r w:rsidRPr="009C5EFD">
        <w:rPr>
          <w:sz w:val="22"/>
          <w:szCs w:val="22"/>
        </w:rPr>
        <w:t xml:space="preserve"> (48</w:t>
      </w:r>
      <w:r w:rsidR="00315F16" w:rsidRPr="009C5EFD">
        <w:rPr>
          <w:sz w:val="22"/>
          <w:szCs w:val="22"/>
        </w:rPr>
        <w:t> %</w:t>
      </w:r>
      <w:r w:rsidRPr="009C5EFD">
        <w:rPr>
          <w:sz w:val="22"/>
          <w:szCs w:val="22"/>
        </w:rPr>
        <w:t xml:space="preserve">) til </w:t>
      </w:r>
      <w:r w:rsidR="00D57009">
        <w:rPr>
          <w:sz w:val="22"/>
          <w:szCs w:val="22"/>
        </w:rPr>
        <w:t>«</w:t>
      </w:r>
      <w:r w:rsidRPr="009C5EFD">
        <w:rPr>
          <w:sz w:val="22"/>
          <w:szCs w:val="22"/>
        </w:rPr>
        <w:t>alvorlig</w:t>
      </w:r>
      <w:r w:rsidR="00D57009">
        <w:rPr>
          <w:sz w:val="22"/>
          <w:szCs w:val="22"/>
        </w:rPr>
        <w:t>»</w:t>
      </w:r>
      <w:r w:rsidRPr="009C5EFD">
        <w:rPr>
          <w:sz w:val="22"/>
          <w:szCs w:val="22"/>
        </w:rPr>
        <w:t xml:space="preserve"> (46</w:t>
      </w:r>
      <w:r w:rsidR="00315F16" w:rsidRPr="009C5EFD">
        <w:rPr>
          <w:sz w:val="22"/>
          <w:szCs w:val="22"/>
        </w:rPr>
        <w:t> %</w:t>
      </w:r>
      <w:r w:rsidRPr="009C5EFD">
        <w:rPr>
          <w:sz w:val="22"/>
          <w:szCs w:val="22"/>
        </w:rPr>
        <w:t xml:space="preserve">) eller </w:t>
      </w:r>
      <w:r w:rsidR="00D57009">
        <w:rPr>
          <w:sz w:val="22"/>
          <w:szCs w:val="22"/>
        </w:rPr>
        <w:t>«</w:t>
      </w:r>
      <w:r w:rsidRPr="009C5EFD">
        <w:rPr>
          <w:sz w:val="22"/>
          <w:szCs w:val="22"/>
        </w:rPr>
        <w:t>svært alvorlig</w:t>
      </w:r>
      <w:r w:rsidR="00D57009">
        <w:rPr>
          <w:sz w:val="22"/>
          <w:szCs w:val="22"/>
        </w:rPr>
        <w:t>»</w:t>
      </w:r>
      <w:r w:rsidRPr="009C5EFD">
        <w:rPr>
          <w:sz w:val="22"/>
          <w:szCs w:val="22"/>
        </w:rPr>
        <w:t xml:space="preserve"> (6</w:t>
      </w:r>
      <w:r w:rsidR="00315F16" w:rsidRPr="009C5EFD">
        <w:rPr>
          <w:sz w:val="22"/>
          <w:szCs w:val="22"/>
        </w:rPr>
        <w:t> %</w:t>
      </w:r>
      <w:r w:rsidRPr="009C5EFD">
        <w:rPr>
          <w:sz w:val="22"/>
          <w:szCs w:val="22"/>
        </w:rPr>
        <w:t>).</w:t>
      </w:r>
    </w:p>
    <w:p w14:paraId="6DA5F70F" w14:textId="77777777" w:rsidR="001E500F" w:rsidRPr="009C5EFD" w:rsidRDefault="001E500F" w:rsidP="009C5EFD">
      <w:pPr>
        <w:rPr>
          <w:sz w:val="22"/>
          <w:szCs w:val="22"/>
        </w:rPr>
      </w:pPr>
    </w:p>
    <w:p w14:paraId="1303F064" w14:textId="77777777" w:rsidR="001E500F" w:rsidRPr="009C5EFD" w:rsidRDefault="00E453CD" w:rsidP="009C5EFD">
      <w:pPr>
        <w:rPr>
          <w:sz w:val="22"/>
          <w:szCs w:val="22"/>
        </w:rPr>
      </w:pPr>
      <w:r w:rsidRPr="009C5EFD">
        <w:rPr>
          <w:sz w:val="22"/>
          <w:szCs w:val="22"/>
        </w:rPr>
        <w:t>Pasientene som deltok i alle fase 2 og fase 3 psoriasisstudier var kvalifiserte til å delta i en åpen forlengelsesstudie, hvor Humira ble gitt i en tilleggsperiode på minst 108</w:t>
      </w:r>
      <w:r w:rsidR="00315F16" w:rsidRPr="009C5EFD">
        <w:rPr>
          <w:sz w:val="22"/>
          <w:szCs w:val="22"/>
        </w:rPr>
        <w:t> uker</w:t>
      </w:r>
      <w:r w:rsidRPr="009C5EFD">
        <w:rPr>
          <w:sz w:val="22"/>
          <w:szCs w:val="22"/>
        </w:rPr>
        <w:t>.</w:t>
      </w:r>
    </w:p>
    <w:p w14:paraId="1929DC36" w14:textId="77777777" w:rsidR="001E500F" w:rsidRPr="009C5EFD" w:rsidRDefault="001E500F" w:rsidP="009C5EFD">
      <w:pPr>
        <w:rPr>
          <w:sz w:val="22"/>
          <w:szCs w:val="22"/>
        </w:rPr>
      </w:pPr>
    </w:p>
    <w:p w14:paraId="75F1B9B6" w14:textId="77777777" w:rsidR="001E500F" w:rsidRPr="009C5EFD" w:rsidRDefault="00E453CD" w:rsidP="009C5EFD">
      <w:pPr>
        <w:rPr>
          <w:sz w:val="22"/>
          <w:szCs w:val="22"/>
        </w:rPr>
      </w:pPr>
      <w:r w:rsidRPr="009C5EFD">
        <w:rPr>
          <w:sz w:val="22"/>
          <w:szCs w:val="22"/>
        </w:rPr>
        <w:t xml:space="preserve">I psoriasisstudiene I og II var et primærendepunkt andel pasienter som oppnådde PASI 75-respons fra behandlingsstart til </w:t>
      </w:r>
      <w:r w:rsidR="00315F16" w:rsidRPr="009C5EFD">
        <w:rPr>
          <w:sz w:val="22"/>
          <w:szCs w:val="22"/>
        </w:rPr>
        <w:t>uke </w:t>
      </w:r>
      <w:r w:rsidRPr="009C5EFD">
        <w:rPr>
          <w:sz w:val="22"/>
          <w:szCs w:val="22"/>
        </w:rPr>
        <w:t xml:space="preserve">16 (se tabellene </w:t>
      </w:r>
      <w:r w:rsidR="00443470">
        <w:rPr>
          <w:sz w:val="22"/>
          <w:szCs w:val="22"/>
        </w:rPr>
        <w:t>1</w:t>
      </w:r>
      <w:r w:rsidR="00634DDF">
        <w:rPr>
          <w:sz w:val="22"/>
          <w:szCs w:val="22"/>
        </w:rPr>
        <w:t>6</w:t>
      </w:r>
      <w:r w:rsidR="00443470" w:rsidRPr="009C5EFD">
        <w:rPr>
          <w:sz w:val="22"/>
          <w:szCs w:val="22"/>
        </w:rPr>
        <w:t xml:space="preserve"> </w:t>
      </w:r>
      <w:r w:rsidRPr="009C5EFD">
        <w:rPr>
          <w:sz w:val="22"/>
          <w:szCs w:val="22"/>
        </w:rPr>
        <w:t xml:space="preserve">og </w:t>
      </w:r>
      <w:r w:rsidR="00634DDF">
        <w:rPr>
          <w:sz w:val="22"/>
          <w:szCs w:val="22"/>
        </w:rPr>
        <w:t>17</w:t>
      </w:r>
      <w:r w:rsidRPr="009C5EFD">
        <w:rPr>
          <w:sz w:val="22"/>
          <w:szCs w:val="22"/>
        </w:rPr>
        <w:t>).</w:t>
      </w:r>
    </w:p>
    <w:p w14:paraId="556E80DD" w14:textId="77777777" w:rsidR="001E500F" w:rsidRPr="009C5EFD" w:rsidRDefault="001E500F" w:rsidP="00776A84">
      <w:pPr>
        <w:pStyle w:val="DefaultText"/>
        <w:rPr>
          <w:rFonts w:ascii="Times New Roman" w:hAnsi="Times New Roman"/>
          <w:szCs w:val="22"/>
          <w:lang w:val="nb-NO"/>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620"/>
        <w:gridCol w:w="2352"/>
      </w:tblGrid>
      <w:tr w:rsidR="004644D4" w14:paraId="30994D19" w14:textId="77777777" w:rsidTr="00F4044A">
        <w:trPr>
          <w:cantSplit/>
          <w:jc w:val="center"/>
        </w:trPr>
        <w:tc>
          <w:tcPr>
            <w:tcW w:w="6949" w:type="dxa"/>
            <w:gridSpan w:val="3"/>
            <w:tcBorders>
              <w:top w:val="nil"/>
              <w:left w:val="nil"/>
              <w:bottom w:val="single" w:sz="4" w:space="0" w:color="auto"/>
              <w:right w:val="nil"/>
            </w:tcBorders>
            <w:hideMark/>
          </w:tcPr>
          <w:p w14:paraId="0B5280F8" w14:textId="77777777" w:rsidR="001E500F" w:rsidRPr="009C5EFD" w:rsidRDefault="00E453CD" w:rsidP="005669CC">
            <w:pPr>
              <w:pStyle w:val="DefaultText"/>
              <w:keepNext/>
              <w:ind w:left="54"/>
              <w:jc w:val="center"/>
              <w:rPr>
                <w:rFonts w:ascii="Times New Roman" w:hAnsi="Times New Roman"/>
                <w:b/>
                <w:bCs w:val="0"/>
                <w:szCs w:val="22"/>
                <w:lang w:val="nb-NO"/>
              </w:rPr>
            </w:pPr>
            <w:r w:rsidRPr="009C5EFD">
              <w:rPr>
                <w:rFonts w:ascii="Times New Roman" w:hAnsi="Times New Roman"/>
                <w:b/>
                <w:bCs w:val="0"/>
                <w:szCs w:val="22"/>
                <w:lang w:val="nb-NO"/>
              </w:rPr>
              <w:lastRenderedPageBreak/>
              <w:t xml:space="preserve">Tabell </w:t>
            </w:r>
            <w:r w:rsidR="00443470">
              <w:rPr>
                <w:rFonts w:ascii="Times New Roman" w:hAnsi="Times New Roman"/>
                <w:b/>
                <w:bCs w:val="0"/>
                <w:szCs w:val="22"/>
                <w:lang w:val="nb-NO"/>
              </w:rPr>
              <w:t>1</w:t>
            </w:r>
            <w:r w:rsidR="00634DDF">
              <w:rPr>
                <w:rFonts w:ascii="Times New Roman" w:hAnsi="Times New Roman"/>
                <w:b/>
                <w:bCs w:val="0"/>
                <w:szCs w:val="22"/>
                <w:lang w:val="nb-NO"/>
              </w:rPr>
              <w:t>6</w:t>
            </w:r>
          </w:p>
          <w:p w14:paraId="772A6609" w14:textId="77777777" w:rsidR="001E500F" w:rsidRPr="009C5EFD" w:rsidRDefault="00E453CD" w:rsidP="005669CC">
            <w:pPr>
              <w:pStyle w:val="DefaultText"/>
              <w:keepNext/>
              <w:ind w:left="54"/>
              <w:jc w:val="center"/>
              <w:rPr>
                <w:rFonts w:ascii="Times New Roman" w:hAnsi="Times New Roman"/>
                <w:b/>
                <w:bCs w:val="0"/>
                <w:szCs w:val="22"/>
                <w:u w:val="single"/>
                <w:lang w:val="nb-NO"/>
              </w:rPr>
            </w:pPr>
            <w:r w:rsidRPr="009C5EFD">
              <w:rPr>
                <w:rFonts w:ascii="Times New Roman" w:hAnsi="Times New Roman"/>
                <w:b/>
                <w:bCs w:val="0"/>
                <w:szCs w:val="22"/>
                <w:lang w:val="nb-NO"/>
              </w:rPr>
              <w:t>Psoriasis Studie I (REVEAL)</w:t>
            </w:r>
            <w:r w:rsidR="002010F4" w:rsidRPr="009C5EFD">
              <w:rPr>
                <w:rFonts w:ascii="Times New Roman" w:hAnsi="Times New Roman"/>
                <w:b/>
                <w:bCs w:val="0"/>
                <w:szCs w:val="22"/>
                <w:lang w:val="nb-NO"/>
              </w:rPr>
              <w:t xml:space="preserve"> - </w:t>
            </w:r>
            <w:r w:rsidR="008406E9">
              <w:rPr>
                <w:rFonts w:ascii="Times New Roman" w:hAnsi="Times New Roman"/>
                <w:b/>
                <w:bCs w:val="0"/>
                <w:szCs w:val="22"/>
                <w:lang w:val="nb-NO"/>
              </w:rPr>
              <w:t>Effektresultater</w:t>
            </w:r>
            <w:r w:rsidRPr="009C5EFD">
              <w:rPr>
                <w:rFonts w:ascii="Times New Roman" w:hAnsi="Times New Roman"/>
                <w:b/>
                <w:bCs w:val="0"/>
                <w:szCs w:val="22"/>
                <w:lang w:val="nb-NO"/>
              </w:rPr>
              <w:t xml:space="preserve"> ved uke 16 </w:t>
            </w:r>
          </w:p>
        </w:tc>
      </w:tr>
      <w:tr w:rsidR="004644D4" w14:paraId="477E0D80" w14:textId="77777777" w:rsidTr="00F4044A">
        <w:trPr>
          <w:cantSplit/>
          <w:jc w:val="center"/>
        </w:trPr>
        <w:tc>
          <w:tcPr>
            <w:tcW w:w="2977" w:type="dxa"/>
            <w:tcBorders>
              <w:top w:val="single" w:sz="4" w:space="0" w:color="auto"/>
              <w:left w:val="single" w:sz="4" w:space="0" w:color="auto"/>
              <w:bottom w:val="single" w:sz="4" w:space="0" w:color="auto"/>
              <w:right w:val="single" w:sz="4" w:space="0" w:color="auto"/>
            </w:tcBorders>
            <w:vAlign w:val="center"/>
          </w:tcPr>
          <w:p w14:paraId="042F8C3B" w14:textId="77777777" w:rsidR="001E500F" w:rsidRPr="007F67EE" w:rsidRDefault="001E500F" w:rsidP="005669CC">
            <w:pPr>
              <w:pStyle w:val="DefaultText"/>
              <w:keepNext/>
              <w:ind w:left="54"/>
              <w:rPr>
                <w:rFonts w:ascii="Times New Roman" w:hAnsi="Times New Roman"/>
                <w:bCs w:val="0"/>
                <w:szCs w:val="22"/>
                <w:lang w:val="nb-NO"/>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2F23663D" w14:textId="77777777" w:rsidR="001E500F" w:rsidRPr="00193D76" w:rsidRDefault="00E453CD" w:rsidP="005669CC">
            <w:pPr>
              <w:pStyle w:val="DefaultText"/>
              <w:keepNext/>
              <w:ind w:left="54"/>
              <w:jc w:val="center"/>
              <w:rPr>
                <w:rFonts w:ascii="Times New Roman" w:hAnsi="Times New Roman"/>
                <w:b/>
                <w:bCs w:val="0"/>
                <w:szCs w:val="22"/>
                <w:lang w:val="nb-NO"/>
              </w:rPr>
            </w:pPr>
            <w:r w:rsidRPr="00193D76">
              <w:rPr>
                <w:rFonts w:ascii="Times New Roman" w:hAnsi="Times New Roman"/>
                <w:b/>
                <w:bCs w:val="0"/>
                <w:szCs w:val="22"/>
                <w:lang w:val="nb-NO"/>
              </w:rPr>
              <w:t>Placebo</w:t>
            </w:r>
          </w:p>
          <w:p w14:paraId="7C15EB7A" w14:textId="77777777" w:rsidR="001E500F" w:rsidRPr="002D0790" w:rsidRDefault="00E453CD" w:rsidP="005669CC">
            <w:pPr>
              <w:pStyle w:val="DefaultText"/>
              <w:keepNext/>
              <w:ind w:left="54"/>
              <w:jc w:val="center"/>
              <w:rPr>
                <w:rFonts w:ascii="Times New Roman" w:hAnsi="Times New Roman"/>
                <w:b/>
                <w:bCs w:val="0"/>
                <w:szCs w:val="22"/>
                <w:lang w:val="nb-NO"/>
              </w:rPr>
            </w:pPr>
            <w:r w:rsidRPr="002D0790">
              <w:rPr>
                <w:rFonts w:ascii="Times New Roman" w:hAnsi="Times New Roman"/>
                <w:b/>
                <w:bCs w:val="0"/>
                <w:szCs w:val="22"/>
                <w:lang w:val="nb-NO"/>
              </w:rPr>
              <w:t>N=398</w:t>
            </w:r>
          </w:p>
          <w:p w14:paraId="6FF7A5CC" w14:textId="77777777" w:rsidR="001E500F" w:rsidRPr="00C07C98" w:rsidRDefault="00E453CD" w:rsidP="005669CC">
            <w:pPr>
              <w:pStyle w:val="DefaultText"/>
              <w:keepNext/>
              <w:ind w:left="54"/>
              <w:jc w:val="center"/>
              <w:rPr>
                <w:rFonts w:ascii="Times New Roman" w:hAnsi="Times New Roman"/>
                <w:b/>
                <w:bCs w:val="0"/>
                <w:szCs w:val="22"/>
                <w:lang w:val="nb-NO"/>
              </w:rPr>
            </w:pPr>
            <w:r w:rsidRPr="00C07C98">
              <w:rPr>
                <w:rFonts w:ascii="Times New Roman" w:hAnsi="Times New Roman"/>
                <w:b/>
                <w:bCs w:val="0"/>
                <w:szCs w:val="22"/>
                <w:lang w:val="nb-NO"/>
              </w:rPr>
              <w:t>n (%)</w:t>
            </w:r>
          </w:p>
        </w:tc>
        <w:tc>
          <w:tcPr>
            <w:tcW w:w="2352" w:type="dxa"/>
            <w:tcBorders>
              <w:top w:val="single" w:sz="4" w:space="0" w:color="auto"/>
              <w:left w:val="single" w:sz="4" w:space="0" w:color="auto"/>
              <w:bottom w:val="single" w:sz="4" w:space="0" w:color="auto"/>
              <w:right w:val="single" w:sz="4" w:space="0" w:color="auto"/>
            </w:tcBorders>
            <w:vAlign w:val="center"/>
            <w:hideMark/>
          </w:tcPr>
          <w:p w14:paraId="0AA07454" w14:textId="77777777" w:rsidR="001E500F" w:rsidRPr="009C5EFD" w:rsidRDefault="00E453CD" w:rsidP="005669CC">
            <w:pPr>
              <w:pStyle w:val="DefaultText"/>
              <w:keepNext/>
              <w:ind w:left="54"/>
              <w:jc w:val="center"/>
              <w:rPr>
                <w:rFonts w:ascii="Times New Roman" w:hAnsi="Times New Roman"/>
                <w:b/>
                <w:bCs w:val="0"/>
                <w:szCs w:val="22"/>
                <w:lang w:val="nb-NO"/>
              </w:rPr>
            </w:pPr>
            <w:r w:rsidRPr="00C07C98">
              <w:rPr>
                <w:rFonts w:ascii="Times New Roman" w:hAnsi="Times New Roman"/>
                <w:b/>
                <w:bCs w:val="0"/>
                <w:szCs w:val="22"/>
                <w:lang w:val="nb-NO"/>
              </w:rPr>
              <w:t>Humira 40</w:t>
            </w:r>
            <w:r w:rsidR="00E55E5D" w:rsidRPr="00E14E58">
              <w:rPr>
                <w:rFonts w:ascii="Times New Roman" w:hAnsi="Times New Roman"/>
                <w:b/>
                <w:bCs w:val="0"/>
                <w:szCs w:val="22"/>
                <w:lang w:val="nb-NO"/>
              </w:rPr>
              <w:t> mg</w:t>
            </w:r>
            <w:r w:rsidRPr="009C5EFD">
              <w:rPr>
                <w:rFonts w:ascii="Times New Roman" w:hAnsi="Times New Roman"/>
                <w:b/>
                <w:bCs w:val="0"/>
                <w:szCs w:val="22"/>
                <w:lang w:val="nb-NO"/>
              </w:rPr>
              <w:t xml:space="preserve"> annenhver uke</w:t>
            </w:r>
          </w:p>
          <w:p w14:paraId="489B7FAD" w14:textId="77777777" w:rsidR="001E500F" w:rsidRPr="009C5EFD" w:rsidRDefault="00E453CD" w:rsidP="005669CC">
            <w:pPr>
              <w:pStyle w:val="DefaultText"/>
              <w:keepNext/>
              <w:ind w:left="54"/>
              <w:jc w:val="center"/>
              <w:rPr>
                <w:rFonts w:ascii="Times New Roman" w:hAnsi="Times New Roman"/>
                <w:b/>
                <w:bCs w:val="0"/>
                <w:szCs w:val="22"/>
                <w:lang w:val="nb-NO"/>
              </w:rPr>
            </w:pPr>
            <w:r w:rsidRPr="009C5EFD">
              <w:rPr>
                <w:rFonts w:ascii="Times New Roman" w:hAnsi="Times New Roman"/>
                <w:b/>
                <w:bCs w:val="0"/>
                <w:szCs w:val="22"/>
                <w:lang w:val="nb-NO"/>
              </w:rPr>
              <w:t>N=814</w:t>
            </w:r>
          </w:p>
          <w:p w14:paraId="107DDC6D" w14:textId="77777777" w:rsidR="001E500F" w:rsidRPr="009C5EFD" w:rsidRDefault="00E453CD" w:rsidP="005669CC">
            <w:pPr>
              <w:pStyle w:val="DefaultText"/>
              <w:keepN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r>
      <w:tr w:rsidR="004644D4" w14:paraId="10764A81" w14:textId="77777777" w:rsidTr="00F4044A">
        <w:trPr>
          <w:cantSplit/>
          <w:jc w:val="center"/>
        </w:trPr>
        <w:tc>
          <w:tcPr>
            <w:tcW w:w="2977" w:type="dxa"/>
            <w:tcBorders>
              <w:top w:val="single" w:sz="4" w:space="0" w:color="auto"/>
              <w:left w:val="single" w:sz="4" w:space="0" w:color="auto"/>
              <w:bottom w:val="single" w:sz="4" w:space="0" w:color="auto"/>
              <w:right w:val="single" w:sz="4" w:space="0" w:color="auto"/>
            </w:tcBorders>
            <w:hideMark/>
          </w:tcPr>
          <w:p w14:paraId="49D8C16A" w14:textId="77777777" w:rsidR="001E500F" w:rsidRPr="009C5EFD" w:rsidRDefault="00E453CD" w:rsidP="005669CC">
            <w:pPr>
              <w:pStyle w:val="DefaultText"/>
              <w:keepNext/>
              <w:ind w:left="54"/>
              <w:rPr>
                <w:rFonts w:ascii="Times New Roman" w:hAnsi="Times New Roman"/>
                <w:b/>
                <w:bCs w:val="0"/>
                <w:szCs w:val="22"/>
                <w:lang w:val="nb-NO"/>
              </w:rPr>
            </w:pPr>
            <w:r w:rsidRPr="007F67EE">
              <w:rPr>
                <w:rFonts w:ascii="Times New Roman" w:hAnsi="Times New Roman"/>
                <w:b/>
                <w:bCs w:val="0"/>
                <w:szCs w:val="22"/>
                <w:lang w:val="nb-NO"/>
              </w:rPr>
              <w:t xml:space="preserve">    </w:t>
            </w:r>
            <w:r w:rsidRPr="007F67EE">
              <w:rPr>
                <w:rFonts w:ascii="Symbol" w:hAnsi="Symbol"/>
                <w:b/>
                <w:bCs w:val="0"/>
                <w:szCs w:val="22"/>
                <w:lang w:val="nb-NO"/>
              </w:rPr>
              <w:sym w:font="Symbol" w:char="F0B3"/>
            </w:r>
            <w:r w:rsidRPr="007F67EE">
              <w:rPr>
                <w:rFonts w:ascii="Times New Roman" w:hAnsi="Times New Roman"/>
                <w:b/>
                <w:bCs w:val="0"/>
                <w:szCs w:val="22"/>
                <w:lang w:val="nb-NO"/>
              </w:rPr>
              <w:t> PASI 75</w:t>
            </w:r>
            <w:r w:rsidRPr="00193D76">
              <w:rPr>
                <w:rFonts w:ascii="Times New Roman" w:hAnsi="Times New Roman"/>
                <w:b/>
                <w:bCs w:val="0"/>
                <w:szCs w:val="22"/>
                <w:vertAlign w:val="superscript"/>
                <w:lang w:val="nb-NO"/>
              </w:rPr>
              <w:t>a</w:t>
            </w:r>
          </w:p>
        </w:tc>
        <w:tc>
          <w:tcPr>
            <w:tcW w:w="1620" w:type="dxa"/>
            <w:tcBorders>
              <w:top w:val="single" w:sz="4" w:space="0" w:color="auto"/>
              <w:left w:val="single" w:sz="4" w:space="0" w:color="auto"/>
              <w:bottom w:val="single" w:sz="4" w:space="0" w:color="auto"/>
              <w:right w:val="single" w:sz="4" w:space="0" w:color="auto"/>
            </w:tcBorders>
            <w:hideMark/>
          </w:tcPr>
          <w:p w14:paraId="1B80D827" w14:textId="77777777" w:rsidR="001E500F" w:rsidRPr="009C5EFD" w:rsidRDefault="00E453CD" w:rsidP="005669CC">
            <w:pPr>
              <w:pStyle w:val="DefaultText"/>
              <w:keepNext/>
              <w:ind w:left="54"/>
              <w:jc w:val="center"/>
              <w:rPr>
                <w:rFonts w:ascii="Times New Roman" w:hAnsi="Times New Roman"/>
                <w:szCs w:val="22"/>
                <w:lang w:val="nb-NO"/>
              </w:rPr>
            </w:pPr>
            <w:r w:rsidRPr="009C5EFD">
              <w:rPr>
                <w:rFonts w:ascii="Times New Roman" w:hAnsi="Times New Roman"/>
                <w:szCs w:val="22"/>
                <w:lang w:val="nb-NO"/>
              </w:rPr>
              <w:t>26 (6,5)</w:t>
            </w:r>
          </w:p>
        </w:tc>
        <w:tc>
          <w:tcPr>
            <w:tcW w:w="2352" w:type="dxa"/>
            <w:tcBorders>
              <w:top w:val="single" w:sz="4" w:space="0" w:color="auto"/>
              <w:left w:val="single" w:sz="4" w:space="0" w:color="auto"/>
              <w:bottom w:val="single" w:sz="4" w:space="0" w:color="auto"/>
              <w:right w:val="single" w:sz="4" w:space="0" w:color="auto"/>
            </w:tcBorders>
            <w:hideMark/>
          </w:tcPr>
          <w:p w14:paraId="38F0FF13" w14:textId="77777777" w:rsidR="001E500F" w:rsidRPr="009C5EFD" w:rsidRDefault="00E453CD" w:rsidP="005669CC">
            <w:pPr>
              <w:pStyle w:val="DefaultText"/>
              <w:keepNext/>
              <w:ind w:left="54"/>
              <w:jc w:val="center"/>
              <w:rPr>
                <w:rFonts w:ascii="Times New Roman" w:hAnsi="Times New Roman"/>
                <w:szCs w:val="22"/>
                <w:lang w:val="nb-NO"/>
              </w:rPr>
            </w:pPr>
            <w:r w:rsidRPr="009C5EFD">
              <w:rPr>
                <w:rFonts w:ascii="Times New Roman" w:hAnsi="Times New Roman"/>
                <w:szCs w:val="22"/>
                <w:lang w:val="nb-NO"/>
              </w:rPr>
              <w:t>578 (70,9)</w:t>
            </w:r>
            <w:r w:rsidRPr="009C5EFD">
              <w:rPr>
                <w:rFonts w:ascii="Times New Roman" w:hAnsi="Times New Roman"/>
                <w:szCs w:val="22"/>
                <w:vertAlign w:val="superscript"/>
                <w:lang w:val="nb-NO"/>
              </w:rPr>
              <w:t>b</w:t>
            </w:r>
          </w:p>
        </w:tc>
      </w:tr>
      <w:tr w:rsidR="004644D4" w14:paraId="31F18F78" w14:textId="77777777" w:rsidTr="00F4044A">
        <w:trPr>
          <w:cantSplit/>
          <w:trHeight w:val="70"/>
          <w:jc w:val="center"/>
        </w:trPr>
        <w:tc>
          <w:tcPr>
            <w:tcW w:w="2977" w:type="dxa"/>
            <w:tcBorders>
              <w:top w:val="single" w:sz="4" w:space="0" w:color="auto"/>
              <w:left w:val="single" w:sz="4" w:space="0" w:color="auto"/>
              <w:bottom w:val="single" w:sz="4" w:space="0" w:color="auto"/>
              <w:right w:val="single" w:sz="4" w:space="0" w:color="auto"/>
            </w:tcBorders>
            <w:hideMark/>
          </w:tcPr>
          <w:p w14:paraId="2514FF19" w14:textId="77777777" w:rsidR="001E500F" w:rsidRPr="007F67EE" w:rsidRDefault="00E453CD" w:rsidP="005669CC">
            <w:pPr>
              <w:pStyle w:val="DefaultText"/>
              <w:keepNext/>
              <w:ind w:left="54"/>
              <w:rPr>
                <w:rFonts w:ascii="Times New Roman" w:hAnsi="Times New Roman"/>
                <w:b/>
                <w:bCs w:val="0"/>
                <w:szCs w:val="22"/>
                <w:lang w:val="nb-NO"/>
              </w:rPr>
            </w:pPr>
            <w:r w:rsidRPr="007F67EE">
              <w:rPr>
                <w:rFonts w:ascii="Times New Roman" w:hAnsi="Times New Roman"/>
                <w:b/>
                <w:bCs w:val="0"/>
                <w:szCs w:val="22"/>
                <w:lang w:val="nb-NO"/>
              </w:rPr>
              <w:t xml:space="preserve">    PASI 100</w:t>
            </w:r>
          </w:p>
        </w:tc>
        <w:tc>
          <w:tcPr>
            <w:tcW w:w="1620" w:type="dxa"/>
            <w:tcBorders>
              <w:top w:val="single" w:sz="4" w:space="0" w:color="auto"/>
              <w:left w:val="single" w:sz="4" w:space="0" w:color="auto"/>
              <w:bottom w:val="single" w:sz="4" w:space="0" w:color="auto"/>
              <w:right w:val="single" w:sz="4" w:space="0" w:color="auto"/>
            </w:tcBorders>
            <w:hideMark/>
          </w:tcPr>
          <w:p w14:paraId="318B1975" w14:textId="77777777" w:rsidR="001E500F" w:rsidRPr="00193D76" w:rsidRDefault="00E453CD" w:rsidP="005669CC">
            <w:pPr>
              <w:pStyle w:val="DefaultText"/>
              <w:keepNext/>
              <w:ind w:left="54"/>
              <w:jc w:val="center"/>
              <w:rPr>
                <w:rFonts w:ascii="Times New Roman" w:hAnsi="Times New Roman"/>
                <w:szCs w:val="22"/>
                <w:lang w:val="nb-NO"/>
              </w:rPr>
            </w:pPr>
            <w:r w:rsidRPr="00193D76">
              <w:rPr>
                <w:rFonts w:ascii="Times New Roman" w:hAnsi="Times New Roman"/>
                <w:szCs w:val="22"/>
                <w:lang w:val="nb-NO"/>
              </w:rPr>
              <w:t>3 (0,8)</w:t>
            </w:r>
          </w:p>
        </w:tc>
        <w:tc>
          <w:tcPr>
            <w:tcW w:w="2352" w:type="dxa"/>
            <w:tcBorders>
              <w:top w:val="single" w:sz="4" w:space="0" w:color="auto"/>
              <w:left w:val="single" w:sz="4" w:space="0" w:color="auto"/>
              <w:bottom w:val="single" w:sz="4" w:space="0" w:color="auto"/>
              <w:right w:val="single" w:sz="4" w:space="0" w:color="auto"/>
            </w:tcBorders>
            <w:hideMark/>
          </w:tcPr>
          <w:p w14:paraId="405C59E5" w14:textId="77777777" w:rsidR="001E500F" w:rsidRPr="00C07C98" w:rsidRDefault="00E453CD" w:rsidP="005669CC">
            <w:pPr>
              <w:pStyle w:val="DefaultText"/>
              <w:keepNext/>
              <w:ind w:left="54"/>
              <w:jc w:val="center"/>
              <w:rPr>
                <w:rFonts w:ascii="Times New Roman" w:hAnsi="Times New Roman"/>
                <w:szCs w:val="22"/>
                <w:lang w:val="nb-NO"/>
              </w:rPr>
            </w:pPr>
            <w:r w:rsidRPr="002D0790">
              <w:rPr>
                <w:rFonts w:ascii="Times New Roman" w:hAnsi="Times New Roman"/>
                <w:szCs w:val="22"/>
                <w:lang w:val="nb-NO"/>
              </w:rPr>
              <w:t>163 (20,0)</w:t>
            </w:r>
            <w:r w:rsidRPr="00C07C98">
              <w:rPr>
                <w:rFonts w:ascii="Times New Roman" w:hAnsi="Times New Roman"/>
                <w:szCs w:val="22"/>
                <w:vertAlign w:val="superscript"/>
                <w:lang w:val="nb-NO"/>
              </w:rPr>
              <w:t>b</w:t>
            </w:r>
          </w:p>
        </w:tc>
      </w:tr>
      <w:tr w:rsidR="004644D4" w14:paraId="2B6E5B3E" w14:textId="77777777" w:rsidTr="00F4044A">
        <w:trPr>
          <w:cantSplit/>
          <w:jc w:val="center"/>
        </w:trPr>
        <w:tc>
          <w:tcPr>
            <w:tcW w:w="2977" w:type="dxa"/>
            <w:tcBorders>
              <w:top w:val="single" w:sz="4" w:space="0" w:color="auto"/>
              <w:left w:val="single" w:sz="4" w:space="0" w:color="auto"/>
              <w:bottom w:val="single" w:sz="4" w:space="0" w:color="auto"/>
              <w:right w:val="single" w:sz="4" w:space="0" w:color="auto"/>
            </w:tcBorders>
            <w:hideMark/>
          </w:tcPr>
          <w:p w14:paraId="1B19A9F1" w14:textId="77777777" w:rsidR="001E500F" w:rsidRPr="007F67EE" w:rsidRDefault="00E453CD" w:rsidP="005669CC">
            <w:pPr>
              <w:pStyle w:val="DefaultText"/>
              <w:keepNext/>
              <w:ind w:left="54"/>
              <w:rPr>
                <w:rFonts w:ascii="Times New Roman" w:hAnsi="Times New Roman"/>
                <w:b/>
                <w:bCs w:val="0"/>
                <w:szCs w:val="22"/>
                <w:lang w:val="nb-NO"/>
              </w:rPr>
            </w:pPr>
            <w:r w:rsidRPr="007F67EE">
              <w:rPr>
                <w:rFonts w:ascii="Times New Roman" w:hAnsi="Times New Roman"/>
                <w:b/>
                <w:bCs w:val="0"/>
                <w:szCs w:val="22"/>
                <w:lang w:val="nb-NO"/>
              </w:rPr>
              <w:t xml:space="preserve">    PGA: </w:t>
            </w:r>
            <w:r w:rsidR="009C7E63">
              <w:rPr>
                <w:rFonts w:ascii="Times New Roman" w:hAnsi="Times New Roman"/>
                <w:b/>
                <w:bCs w:val="0"/>
                <w:szCs w:val="22"/>
                <w:lang w:val="nb-NO"/>
              </w:rPr>
              <w:t>«</w:t>
            </w:r>
            <w:r w:rsidRPr="007F67EE">
              <w:rPr>
                <w:rFonts w:ascii="Times New Roman" w:hAnsi="Times New Roman"/>
                <w:b/>
                <w:bCs w:val="0"/>
                <w:szCs w:val="22"/>
                <w:lang w:val="nb-NO"/>
              </w:rPr>
              <w:t>Klar</w:t>
            </w:r>
            <w:r w:rsidR="009C7E63">
              <w:rPr>
                <w:rFonts w:ascii="Times New Roman" w:hAnsi="Times New Roman"/>
                <w:b/>
                <w:bCs w:val="0"/>
                <w:szCs w:val="22"/>
                <w:lang w:val="nb-NO"/>
              </w:rPr>
              <w:t>»</w:t>
            </w:r>
            <w:r w:rsidRPr="007F67EE">
              <w:rPr>
                <w:rFonts w:ascii="Times New Roman" w:hAnsi="Times New Roman"/>
                <w:b/>
                <w:bCs w:val="0"/>
                <w:szCs w:val="22"/>
                <w:lang w:val="nb-NO"/>
              </w:rPr>
              <w:t>/minimal</w:t>
            </w:r>
          </w:p>
        </w:tc>
        <w:tc>
          <w:tcPr>
            <w:tcW w:w="1620" w:type="dxa"/>
            <w:tcBorders>
              <w:top w:val="single" w:sz="4" w:space="0" w:color="auto"/>
              <w:left w:val="single" w:sz="4" w:space="0" w:color="auto"/>
              <w:bottom w:val="single" w:sz="4" w:space="0" w:color="auto"/>
              <w:right w:val="single" w:sz="4" w:space="0" w:color="auto"/>
            </w:tcBorders>
            <w:hideMark/>
          </w:tcPr>
          <w:p w14:paraId="429930A2" w14:textId="77777777" w:rsidR="001E500F" w:rsidRPr="00193D76" w:rsidRDefault="00E453CD" w:rsidP="005669CC">
            <w:pPr>
              <w:pStyle w:val="DefaultText"/>
              <w:keepNext/>
              <w:ind w:left="54"/>
              <w:jc w:val="center"/>
              <w:rPr>
                <w:rFonts w:ascii="Times New Roman" w:hAnsi="Times New Roman"/>
                <w:szCs w:val="22"/>
                <w:lang w:val="nb-NO"/>
              </w:rPr>
            </w:pPr>
            <w:r w:rsidRPr="00193D76">
              <w:rPr>
                <w:rFonts w:ascii="Times New Roman" w:hAnsi="Times New Roman"/>
                <w:szCs w:val="22"/>
                <w:lang w:val="nb-NO"/>
              </w:rPr>
              <w:t>17 (4,3)</w:t>
            </w:r>
          </w:p>
        </w:tc>
        <w:tc>
          <w:tcPr>
            <w:tcW w:w="2352" w:type="dxa"/>
            <w:tcBorders>
              <w:top w:val="single" w:sz="4" w:space="0" w:color="auto"/>
              <w:left w:val="single" w:sz="4" w:space="0" w:color="auto"/>
              <w:bottom w:val="single" w:sz="4" w:space="0" w:color="auto"/>
              <w:right w:val="single" w:sz="4" w:space="0" w:color="auto"/>
            </w:tcBorders>
            <w:hideMark/>
          </w:tcPr>
          <w:p w14:paraId="09EB8588" w14:textId="77777777" w:rsidR="001E500F" w:rsidRPr="00C07C98" w:rsidRDefault="00E453CD" w:rsidP="005669CC">
            <w:pPr>
              <w:pStyle w:val="DefaultText"/>
              <w:keepNext/>
              <w:ind w:left="54"/>
              <w:jc w:val="center"/>
              <w:rPr>
                <w:rFonts w:ascii="Times New Roman" w:hAnsi="Times New Roman"/>
                <w:szCs w:val="22"/>
                <w:lang w:val="nb-NO"/>
              </w:rPr>
            </w:pPr>
            <w:r w:rsidRPr="002D0790">
              <w:rPr>
                <w:rFonts w:ascii="Times New Roman" w:hAnsi="Times New Roman"/>
                <w:szCs w:val="22"/>
                <w:lang w:val="nb-NO"/>
              </w:rPr>
              <w:t>506 (62,2)</w:t>
            </w:r>
            <w:r w:rsidRPr="00C07C98">
              <w:rPr>
                <w:rFonts w:ascii="Times New Roman" w:hAnsi="Times New Roman"/>
                <w:szCs w:val="22"/>
                <w:vertAlign w:val="superscript"/>
                <w:lang w:val="nb-NO"/>
              </w:rPr>
              <w:t>b</w:t>
            </w:r>
          </w:p>
        </w:tc>
      </w:tr>
      <w:tr w:rsidR="004644D4" w:rsidRPr="00090EDA" w14:paraId="2BDF4C39" w14:textId="77777777" w:rsidTr="00F4044A">
        <w:trPr>
          <w:cantSplit/>
          <w:jc w:val="center"/>
        </w:trPr>
        <w:tc>
          <w:tcPr>
            <w:tcW w:w="6949" w:type="dxa"/>
            <w:gridSpan w:val="3"/>
            <w:tcBorders>
              <w:top w:val="single" w:sz="4" w:space="0" w:color="auto"/>
              <w:left w:val="single" w:sz="4" w:space="0" w:color="auto"/>
              <w:bottom w:val="single" w:sz="4" w:space="0" w:color="auto"/>
              <w:right w:val="single" w:sz="4" w:space="0" w:color="auto"/>
            </w:tcBorders>
            <w:hideMark/>
          </w:tcPr>
          <w:p w14:paraId="43AF3323" w14:textId="77777777" w:rsidR="001E500F" w:rsidRPr="002D0790" w:rsidRDefault="00E453CD" w:rsidP="005669CC">
            <w:pPr>
              <w:pStyle w:val="DefaultText"/>
              <w:keepNext/>
              <w:ind w:left="54"/>
              <w:rPr>
                <w:rFonts w:ascii="Times New Roman" w:hAnsi="Times New Roman"/>
                <w:szCs w:val="22"/>
                <w:lang w:val="nb-NO"/>
              </w:rPr>
            </w:pPr>
            <w:r w:rsidRPr="007F67EE">
              <w:rPr>
                <w:rFonts w:ascii="Times New Roman" w:hAnsi="Times New Roman"/>
                <w:szCs w:val="22"/>
                <w:vertAlign w:val="superscript"/>
                <w:lang w:val="nb-NO"/>
              </w:rPr>
              <w:t>a</w:t>
            </w:r>
            <w:r w:rsidRPr="00193D76">
              <w:rPr>
                <w:rFonts w:ascii="Times New Roman" w:hAnsi="Times New Roman"/>
                <w:szCs w:val="22"/>
                <w:lang w:val="nb-NO"/>
              </w:rPr>
              <w:t xml:space="preserve"> Prosent av pasienter som oppnådde P</w:t>
            </w:r>
            <w:r w:rsidRPr="002D0790">
              <w:rPr>
                <w:rFonts w:ascii="Times New Roman" w:hAnsi="Times New Roman"/>
                <w:szCs w:val="22"/>
                <w:lang w:val="nb-NO"/>
              </w:rPr>
              <w:t>ASI 75-respons ble regnet som senterjustert rate</w:t>
            </w:r>
          </w:p>
          <w:p w14:paraId="3349A8D9" w14:textId="77777777" w:rsidR="001E500F" w:rsidRPr="009C5EFD" w:rsidRDefault="00E453CD" w:rsidP="005669CC">
            <w:pPr>
              <w:pStyle w:val="DefaultText"/>
              <w:keepNext/>
              <w:ind w:left="54"/>
              <w:rPr>
                <w:rFonts w:ascii="Times New Roman" w:hAnsi="Times New Roman"/>
                <w:szCs w:val="22"/>
              </w:rPr>
            </w:pPr>
            <w:r w:rsidRPr="00C07C98">
              <w:rPr>
                <w:rFonts w:ascii="Times New Roman" w:hAnsi="Times New Roman"/>
                <w:szCs w:val="22"/>
                <w:vertAlign w:val="superscript"/>
              </w:rPr>
              <w:t>b</w:t>
            </w:r>
            <w:r w:rsidRPr="00C07C98">
              <w:rPr>
                <w:rFonts w:ascii="Times New Roman" w:hAnsi="Times New Roman"/>
                <w:szCs w:val="22"/>
              </w:rPr>
              <w:t xml:space="preserve"> p &lt; 0,001, Humira </w:t>
            </w:r>
            <w:r w:rsidRPr="00C07C98">
              <w:rPr>
                <w:rFonts w:ascii="Times New Roman" w:hAnsi="Times New Roman"/>
                <w:i/>
                <w:szCs w:val="22"/>
              </w:rPr>
              <w:t>versus</w:t>
            </w:r>
            <w:r w:rsidRPr="00E14E58">
              <w:rPr>
                <w:rFonts w:ascii="Times New Roman" w:hAnsi="Times New Roman"/>
                <w:szCs w:val="22"/>
              </w:rPr>
              <w:t xml:space="preserve"> placebo</w:t>
            </w:r>
          </w:p>
        </w:tc>
      </w:tr>
    </w:tbl>
    <w:p w14:paraId="307BF3CF" w14:textId="77777777" w:rsidR="001E500F" w:rsidRPr="007F67EE" w:rsidRDefault="001E500F" w:rsidP="007F67EE">
      <w:pPr>
        <w:rPr>
          <w:lang w:val="en-US"/>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563"/>
        <w:gridCol w:w="1419"/>
        <w:gridCol w:w="2290"/>
      </w:tblGrid>
      <w:tr w:rsidR="004644D4" w14:paraId="7BBD5BDC" w14:textId="77777777" w:rsidTr="00F4044A">
        <w:trPr>
          <w:cantSplit/>
          <w:jc w:val="center"/>
        </w:trPr>
        <w:tc>
          <w:tcPr>
            <w:tcW w:w="7046" w:type="dxa"/>
            <w:gridSpan w:val="4"/>
            <w:tcBorders>
              <w:top w:val="nil"/>
              <w:left w:val="nil"/>
              <w:bottom w:val="single" w:sz="4" w:space="0" w:color="auto"/>
              <w:right w:val="nil"/>
            </w:tcBorders>
            <w:hideMark/>
          </w:tcPr>
          <w:p w14:paraId="1E452285" w14:textId="77777777" w:rsidR="001E500F" w:rsidRPr="008F62C6" w:rsidRDefault="00E453CD" w:rsidP="00776A84">
            <w:pPr>
              <w:pStyle w:val="DefaultText"/>
              <w:keepNext/>
              <w:ind w:left="57"/>
              <w:jc w:val="center"/>
              <w:rPr>
                <w:rFonts w:ascii="Times New Roman" w:hAnsi="Times New Roman"/>
                <w:b/>
                <w:szCs w:val="22"/>
                <w:lang w:val="nb-NO"/>
              </w:rPr>
            </w:pPr>
            <w:r w:rsidRPr="008F62C6">
              <w:rPr>
                <w:rFonts w:ascii="Times New Roman" w:hAnsi="Times New Roman"/>
                <w:b/>
                <w:szCs w:val="22"/>
                <w:lang w:val="nb-NO"/>
              </w:rPr>
              <w:t xml:space="preserve">Tabell </w:t>
            </w:r>
            <w:r w:rsidR="00443470">
              <w:rPr>
                <w:rFonts w:ascii="Times New Roman" w:hAnsi="Times New Roman"/>
                <w:b/>
                <w:szCs w:val="22"/>
                <w:lang w:val="nb-NO"/>
              </w:rPr>
              <w:t>1</w:t>
            </w:r>
            <w:r w:rsidR="00634DDF">
              <w:rPr>
                <w:rFonts w:ascii="Times New Roman" w:hAnsi="Times New Roman"/>
                <w:b/>
                <w:szCs w:val="22"/>
                <w:lang w:val="nb-NO"/>
              </w:rPr>
              <w:t>7</w:t>
            </w:r>
          </w:p>
          <w:p w14:paraId="5D4A0562" w14:textId="77777777" w:rsidR="001E500F" w:rsidRPr="009C5EFD" w:rsidRDefault="00E453CD" w:rsidP="00776A84">
            <w:pPr>
              <w:pStyle w:val="DefaultText"/>
              <w:keepNext/>
              <w:ind w:left="57"/>
              <w:jc w:val="center"/>
              <w:rPr>
                <w:rFonts w:ascii="Times New Roman" w:hAnsi="Times New Roman"/>
                <w:szCs w:val="22"/>
                <w:u w:val="single"/>
                <w:lang w:val="nb-NO"/>
              </w:rPr>
            </w:pPr>
            <w:r w:rsidRPr="007873D3">
              <w:rPr>
                <w:rFonts w:ascii="Times New Roman" w:hAnsi="Times New Roman"/>
                <w:b/>
                <w:szCs w:val="22"/>
                <w:lang w:val="nb-NO"/>
              </w:rPr>
              <w:t>Psoriasis Studie II (CHAMPION)</w:t>
            </w:r>
            <w:r w:rsidR="002010F4" w:rsidRPr="008F62C6">
              <w:rPr>
                <w:b/>
                <w:szCs w:val="22"/>
                <w:lang w:val="nb-NO"/>
              </w:rPr>
              <w:t xml:space="preserve"> - </w:t>
            </w:r>
            <w:r w:rsidR="008406E9">
              <w:rPr>
                <w:rFonts w:ascii="Times New Roman" w:hAnsi="Times New Roman"/>
                <w:b/>
                <w:bCs w:val="0"/>
                <w:szCs w:val="22"/>
                <w:lang w:val="nb-NO"/>
              </w:rPr>
              <w:t>Effektresultater</w:t>
            </w:r>
            <w:r w:rsidRPr="009C5EFD">
              <w:rPr>
                <w:rFonts w:ascii="Times New Roman" w:hAnsi="Times New Roman"/>
                <w:b/>
                <w:bCs w:val="0"/>
                <w:szCs w:val="22"/>
                <w:lang w:val="nb-NO"/>
              </w:rPr>
              <w:t xml:space="preserve"> ved uke 16</w:t>
            </w:r>
          </w:p>
        </w:tc>
      </w:tr>
      <w:tr w:rsidR="004644D4" w14:paraId="0ACD8DEE" w14:textId="77777777" w:rsidTr="00F4044A">
        <w:trPr>
          <w:cantSplit/>
          <w:jc w:val="center"/>
        </w:trPr>
        <w:tc>
          <w:tcPr>
            <w:tcW w:w="1691" w:type="dxa"/>
            <w:tcBorders>
              <w:top w:val="single" w:sz="4" w:space="0" w:color="auto"/>
              <w:left w:val="single" w:sz="4" w:space="0" w:color="auto"/>
              <w:bottom w:val="single" w:sz="4" w:space="0" w:color="auto"/>
              <w:right w:val="single" w:sz="4" w:space="0" w:color="auto"/>
            </w:tcBorders>
          </w:tcPr>
          <w:p w14:paraId="2A7A1044" w14:textId="77777777" w:rsidR="001E500F" w:rsidRPr="007F67EE" w:rsidRDefault="001E500F" w:rsidP="007F67EE">
            <w:pPr>
              <w:pStyle w:val="DefaultText"/>
              <w:ind w:left="54"/>
              <w:jc w:val="center"/>
              <w:rPr>
                <w:rFonts w:ascii="Times New Roman" w:hAnsi="Times New Roman"/>
                <w:b/>
                <w:bCs w:val="0"/>
                <w:szCs w:val="22"/>
                <w:lang w:val="nb-NO"/>
              </w:rPr>
            </w:pPr>
          </w:p>
        </w:tc>
        <w:tc>
          <w:tcPr>
            <w:tcW w:w="1592" w:type="dxa"/>
            <w:tcBorders>
              <w:top w:val="single" w:sz="4" w:space="0" w:color="auto"/>
              <w:left w:val="single" w:sz="4" w:space="0" w:color="auto"/>
              <w:bottom w:val="single" w:sz="4" w:space="0" w:color="auto"/>
              <w:right w:val="single" w:sz="4" w:space="0" w:color="auto"/>
            </w:tcBorders>
            <w:vAlign w:val="center"/>
            <w:hideMark/>
          </w:tcPr>
          <w:p w14:paraId="27CED899" w14:textId="77777777" w:rsidR="001E500F" w:rsidRPr="00193D76" w:rsidRDefault="00E453CD" w:rsidP="007F67EE">
            <w:pPr>
              <w:pStyle w:val="DefaultText"/>
              <w:ind w:left="54"/>
              <w:jc w:val="center"/>
              <w:rPr>
                <w:rFonts w:ascii="Times New Roman" w:hAnsi="Times New Roman"/>
                <w:b/>
                <w:bCs w:val="0"/>
                <w:szCs w:val="22"/>
                <w:lang w:val="nb-NO"/>
              </w:rPr>
            </w:pPr>
            <w:r w:rsidRPr="00193D76">
              <w:rPr>
                <w:rFonts w:ascii="Times New Roman" w:hAnsi="Times New Roman"/>
                <w:b/>
                <w:bCs w:val="0"/>
                <w:szCs w:val="22"/>
                <w:lang w:val="nb-NO"/>
              </w:rPr>
              <w:t>Placebo</w:t>
            </w:r>
          </w:p>
          <w:p w14:paraId="45581B88" w14:textId="77777777" w:rsidR="001E500F" w:rsidRPr="00C07C98" w:rsidRDefault="00E453CD" w:rsidP="00193D76">
            <w:pPr>
              <w:pStyle w:val="DefaultText"/>
              <w:ind w:left="54"/>
              <w:jc w:val="center"/>
              <w:rPr>
                <w:rFonts w:ascii="Times New Roman" w:hAnsi="Times New Roman"/>
                <w:b/>
                <w:bCs w:val="0"/>
                <w:szCs w:val="22"/>
                <w:lang w:val="nb-NO"/>
              </w:rPr>
            </w:pPr>
            <w:r w:rsidRPr="00C07C98">
              <w:rPr>
                <w:rFonts w:ascii="Times New Roman" w:hAnsi="Times New Roman"/>
                <w:b/>
                <w:bCs w:val="0"/>
                <w:szCs w:val="22"/>
                <w:lang w:val="nb-NO"/>
              </w:rPr>
              <w:t>N=53</w:t>
            </w:r>
          </w:p>
          <w:p w14:paraId="602501DA" w14:textId="77777777" w:rsidR="001E500F" w:rsidRPr="00E14E58" w:rsidRDefault="00E453CD" w:rsidP="002D0790">
            <w:pPr>
              <w:pStyle w:val="DefaultText"/>
              <w:ind w:left="54"/>
              <w:jc w:val="center"/>
              <w:rPr>
                <w:rFonts w:ascii="Times New Roman" w:hAnsi="Times New Roman"/>
                <w:b/>
                <w:bCs w:val="0"/>
                <w:szCs w:val="22"/>
                <w:lang w:val="nb-NO"/>
              </w:rPr>
            </w:pPr>
            <w:r w:rsidRPr="00E14E58">
              <w:rPr>
                <w:rFonts w:ascii="Times New Roman" w:hAnsi="Times New Roman"/>
                <w:b/>
                <w:bCs w:val="0"/>
                <w:szCs w:val="22"/>
                <w:lang w:val="nb-NO"/>
              </w:rPr>
              <w:t>n (%)</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6C4F30C" w14:textId="77777777" w:rsidR="001E500F" w:rsidRPr="009C5EFD" w:rsidRDefault="00E453CD" w:rsidP="00C07C98">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Metotreksat</w:t>
            </w:r>
          </w:p>
          <w:p w14:paraId="4CACC795" w14:textId="77777777" w:rsidR="001E500F" w:rsidRPr="009C5EFD" w:rsidRDefault="00E453CD" w:rsidP="00E14E58">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N=110</w:t>
            </w:r>
          </w:p>
          <w:p w14:paraId="1B719020" w14:textId="77777777" w:rsidR="001E500F" w:rsidRPr="009C5EFD" w:rsidRDefault="00E453CD" w:rsidP="009C5EFD">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c>
          <w:tcPr>
            <w:tcW w:w="2344" w:type="dxa"/>
            <w:tcBorders>
              <w:top w:val="single" w:sz="4" w:space="0" w:color="auto"/>
              <w:left w:val="single" w:sz="4" w:space="0" w:color="auto"/>
              <w:bottom w:val="single" w:sz="4" w:space="0" w:color="auto"/>
              <w:right w:val="single" w:sz="4" w:space="0" w:color="auto"/>
            </w:tcBorders>
            <w:vAlign w:val="center"/>
            <w:hideMark/>
          </w:tcPr>
          <w:p w14:paraId="6EB2CBCD" w14:textId="77777777" w:rsidR="001E500F" w:rsidRPr="009C5EFD" w:rsidRDefault="00E453CD" w:rsidP="009C5EFD">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Humira 40</w:t>
            </w:r>
            <w:r w:rsidR="00E55E5D" w:rsidRPr="009C5EFD">
              <w:rPr>
                <w:rFonts w:ascii="Times New Roman" w:hAnsi="Times New Roman"/>
                <w:b/>
                <w:bCs w:val="0"/>
                <w:szCs w:val="22"/>
                <w:lang w:val="nb-NO"/>
              </w:rPr>
              <w:t> mg</w:t>
            </w:r>
            <w:r w:rsidRPr="009C5EFD">
              <w:rPr>
                <w:rFonts w:ascii="Times New Roman" w:hAnsi="Times New Roman"/>
                <w:b/>
                <w:bCs w:val="0"/>
                <w:szCs w:val="22"/>
                <w:lang w:val="nb-NO"/>
              </w:rPr>
              <w:t xml:space="preserve"> annenhver uke</w:t>
            </w:r>
          </w:p>
          <w:p w14:paraId="5C416FCE" w14:textId="77777777" w:rsidR="001E500F" w:rsidRPr="009C5EFD" w:rsidRDefault="00E453CD" w:rsidP="009C5EFD">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N=108</w:t>
            </w:r>
          </w:p>
          <w:p w14:paraId="556B273F" w14:textId="77777777" w:rsidR="001E500F" w:rsidRPr="009C5EFD" w:rsidRDefault="00E453CD" w:rsidP="009C5EFD">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r>
      <w:tr w:rsidR="004644D4" w14:paraId="5778F521" w14:textId="77777777" w:rsidTr="00F4044A">
        <w:trPr>
          <w:cantSplit/>
          <w:jc w:val="center"/>
        </w:trPr>
        <w:tc>
          <w:tcPr>
            <w:tcW w:w="1691" w:type="dxa"/>
            <w:tcBorders>
              <w:top w:val="single" w:sz="4" w:space="0" w:color="auto"/>
              <w:left w:val="single" w:sz="4" w:space="0" w:color="auto"/>
              <w:bottom w:val="single" w:sz="4" w:space="0" w:color="auto"/>
              <w:right w:val="single" w:sz="4" w:space="0" w:color="auto"/>
            </w:tcBorders>
            <w:hideMark/>
          </w:tcPr>
          <w:p w14:paraId="0ACAA879" w14:textId="77777777" w:rsidR="001E500F" w:rsidRPr="007F67EE" w:rsidRDefault="00E453CD" w:rsidP="007F67EE">
            <w:pPr>
              <w:pStyle w:val="DefaultText"/>
              <w:ind w:left="54"/>
              <w:rPr>
                <w:rFonts w:ascii="Times New Roman" w:hAnsi="Times New Roman"/>
                <w:b/>
                <w:bCs w:val="0"/>
                <w:szCs w:val="22"/>
                <w:lang w:val="nb-NO"/>
              </w:rPr>
            </w:pPr>
            <w:r w:rsidRPr="007F67EE">
              <w:rPr>
                <w:rFonts w:ascii="Times New Roman" w:hAnsi="Times New Roman"/>
                <w:b/>
                <w:bCs w:val="0"/>
                <w:szCs w:val="22"/>
                <w:lang w:val="nb-NO"/>
              </w:rPr>
              <w:t xml:space="preserve">    </w:t>
            </w:r>
            <w:r w:rsidRPr="007F67EE">
              <w:rPr>
                <w:rFonts w:ascii="Symbol" w:hAnsi="Symbol"/>
                <w:b/>
                <w:bCs w:val="0"/>
                <w:szCs w:val="22"/>
                <w:lang w:val="nb-NO"/>
              </w:rPr>
              <w:sym w:font="Symbol" w:char="F0B3"/>
            </w:r>
            <w:r w:rsidRPr="007F67EE">
              <w:rPr>
                <w:rFonts w:ascii="Times New Roman" w:hAnsi="Times New Roman"/>
                <w:b/>
                <w:bCs w:val="0"/>
                <w:szCs w:val="22"/>
                <w:lang w:val="nb-NO"/>
              </w:rPr>
              <w:t> PASI 75</w:t>
            </w:r>
          </w:p>
        </w:tc>
        <w:tc>
          <w:tcPr>
            <w:tcW w:w="1592" w:type="dxa"/>
            <w:tcBorders>
              <w:top w:val="single" w:sz="4" w:space="0" w:color="auto"/>
              <w:left w:val="single" w:sz="4" w:space="0" w:color="auto"/>
              <w:bottom w:val="single" w:sz="4" w:space="0" w:color="auto"/>
              <w:right w:val="single" w:sz="4" w:space="0" w:color="auto"/>
            </w:tcBorders>
            <w:hideMark/>
          </w:tcPr>
          <w:p w14:paraId="1BADE89A" w14:textId="77777777" w:rsidR="001E500F" w:rsidRPr="00193D76" w:rsidRDefault="00E453CD" w:rsidP="007F67EE">
            <w:pPr>
              <w:pStyle w:val="DefaultText"/>
              <w:ind w:left="54"/>
              <w:jc w:val="center"/>
              <w:rPr>
                <w:rFonts w:ascii="Times New Roman" w:hAnsi="Times New Roman"/>
                <w:szCs w:val="22"/>
                <w:lang w:val="nb-NO"/>
              </w:rPr>
            </w:pPr>
            <w:r w:rsidRPr="00193D76">
              <w:rPr>
                <w:rFonts w:ascii="Times New Roman" w:hAnsi="Times New Roman"/>
                <w:szCs w:val="22"/>
                <w:lang w:val="nb-NO"/>
              </w:rPr>
              <w:t>10 (18,9)</w:t>
            </w:r>
          </w:p>
        </w:tc>
        <w:tc>
          <w:tcPr>
            <w:tcW w:w="1419" w:type="dxa"/>
            <w:tcBorders>
              <w:top w:val="single" w:sz="4" w:space="0" w:color="auto"/>
              <w:left w:val="single" w:sz="4" w:space="0" w:color="auto"/>
              <w:bottom w:val="single" w:sz="4" w:space="0" w:color="auto"/>
              <w:right w:val="single" w:sz="4" w:space="0" w:color="auto"/>
            </w:tcBorders>
            <w:hideMark/>
          </w:tcPr>
          <w:p w14:paraId="79C109B9" w14:textId="77777777" w:rsidR="001E500F" w:rsidRPr="00C07C98" w:rsidRDefault="00E453CD" w:rsidP="00193D76">
            <w:pPr>
              <w:pStyle w:val="DefaultText"/>
              <w:ind w:left="54"/>
              <w:jc w:val="center"/>
              <w:rPr>
                <w:rFonts w:ascii="Times New Roman" w:hAnsi="Times New Roman"/>
                <w:szCs w:val="22"/>
                <w:lang w:val="nb-NO"/>
              </w:rPr>
            </w:pPr>
            <w:r w:rsidRPr="00C07C98">
              <w:rPr>
                <w:rFonts w:ascii="Times New Roman" w:hAnsi="Times New Roman"/>
                <w:szCs w:val="22"/>
                <w:lang w:val="nb-NO"/>
              </w:rPr>
              <w:t>39 (35,5)</w:t>
            </w:r>
          </w:p>
        </w:tc>
        <w:tc>
          <w:tcPr>
            <w:tcW w:w="2344" w:type="dxa"/>
            <w:tcBorders>
              <w:top w:val="single" w:sz="4" w:space="0" w:color="auto"/>
              <w:left w:val="single" w:sz="4" w:space="0" w:color="auto"/>
              <w:bottom w:val="single" w:sz="4" w:space="0" w:color="auto"/>
              <w:right w:val="single" w:sz="4" w:space="0" w:color="auto"/>
            </w:tcBorders>
            <w:hideMark/>
          </w:tcPr>
          <w:p w14:paraId="7D9EFDBB" w14:textId="77777777" w:rsidR="001E500F" w:rsidRPr="009C5EFD" w:rsidRDefault="00E453CD" w:rsidP="002D0790">
            <w:pPr>
              <w:pStyle w:val="DefaultText"/>
              <w:ind w:left="54"/>
              <w:jc w:val="center"/>
              <w:rPr>
                <w:rFonts w:ascii="Times New Roman" w:hAnsi="Times New Roman"/>
                <w:szCs w:val="22"/>
                <w:lang w:val="nb-NO"/>
              </w:rPr>
            </w:pPr>
            <w:r w:rsidRPr="009C5EFD">
              <w:rPr>
                <w:rFonts w:ascii="Times New Roman" w:hAnsi="Times New Roman"/>
                <w:szCs w:val="22"/>
                <w:lang w:val="nb-NO"/>
              </w:rPr>
              <w:t>86 (79,6)</w:t>
            </w:r>
            <w:r w:rsidRPr="009C5EFD">
              <w:rPr>
                <w:rFonts w:ascii="Times New Roman" w:hAnsi="Times New Roman"/>
                <w:szCs w:val="22"/>
                <w:vertAlign w:val="superscript"/>
                <w:lang w:val="nb-NO"/>
              </w:rPr>
              <w:t xml:space="preserve"> a, b</w:t>
            </w:r>
          </w:p>
        </w:tc>
      </w:tr>
      <w:tr w:rsidR="004644D4" w14:paraId="3B4ECC4B" w14:textId="77777777" w:rsidTr="00F4044A">
        <w:trPr>
          <w:cantSplit/>
          <w:jc w:val="center"/>
        </w:trPr>
        <w:tc>
          <w:tcPr>
            <w:tcW w:w="1691" w:type="dxa"/>
            <w:tcBorders>
              <w:top w:val="single" w:sz="4" w:space="0" w:color="auto"/>
              <w:left w:val="single" w:sz="4" w:space="0" w:color="auto"/>
              <w:bottom w:val="single" w:sz="4" w:space="0" w:color="auto"/>
              <w:right w:val="single" w:sz="4" w:space="0" w:color="auto"/>
            </w:tcBorders>
            <w:hideMark/>
          </w:tcPr>
          <w:p w14:paraId="5660D91D" w14:textId="77777777" w:rsidR="001E500F" w:rsidRPr="007F67EE" w:rsidRDefault="00E453CD" w:rsidP="007F67EE">
            <w:pPr>
              <w:pStyle w:val="DefaultText"/>
              <w:ind w:left="54"/>
              <w:rPr>
                <w:rFonts w:ascii="Times New Roman" w:hAnsi="Times New Roman"/>
                <w:b/>
                <w:bCs w:val="0"/>
                <w:szCs w:val="22"/>
                <w:lang w:val="nb-NO"/>
              </w:rPr>
            </w:pPr>
            <w:r w:rsidRPr="007F67EE">
              <w:rPr>
                <w:rFonts w:ascii="Times New Roman" w:hAnsi="Times New Roman"/>
                <w:b/>
                <w:bCs w:val="0"/>
                <w:szCs w:val="22"/>
                <w:lang w:val="nb-NO"/>
              </w:rPr>
              <w:t xml:space="preserve">    PASI 100</w:t>
            </w:r>
          </w:p>
        </w:tc>
        <w:tc>
          <w:tcPr>
            <w:tcW w:w="1592" w:type="dxa"/>
            <w:tcBorders>
              <w:top w:val="single" w:sz="4" w:space="0" w:color="auto"/>
              <w:left w:val="single" w:sz="4" w:space="0" w:color="auto"/>
              <w:bottom w:val="single" w:sz="4" w:space="0" w:color="auto"/>
              <w:right w:val="single" w:sz="4" w:space="0" w:color="auto"/>
            </w:tcBorders>
            <w:hideMark/>
          </w:tcPr>
          <w:p w14:paraId="5C761D7A" w14:textId="77777777" w:rsidR="001E500F" w:rsidRPr="00193D76" w:rsidRDefault="00E453CD" w:rsidP="007F67EE">
            <w:pPr>
              <w:pStyle w:val="DefaultText"/>
              <w:ind w:left="54"/>
              <w:jc w:val="center"/>
              <w:rPr>
                <w:rFonts w:ascii="Times New Roman" w:hAnsi="Times New Roman"/>
                <w:szCs w:val="22"/>
                <w:lang w:val="nb-NO"/>
              </w:rPr>
            </w:pPr>
            <w:r w:rsidRPr="00193D76">
              <w:rPr>
                <w:rFonts w:ascii="Times New Roman" w:hAnsi="Times New Roman"/>
                <w:szCs w:val="22"/>
                <w:lang w:val="nb-NO"/>
              </w:rPr>
              <w:t>1 (1,9)</w:t>
            </w:r>
          </w:p>
        </w:tc>
        <w:tc>
          <w:tcPr>
            <w:tcW w:w="1419" w:type="dxa"/>
            <w:tcBorders>
              <w:top w:val="single" w:sz="4" w:space="0" w:color="auto"/>
              <w:left w:val="single" w:sz="4" w:space="0" w:color="auto"/>
              <w:bottom w:val="single" w:sz="4" w:space="0" w:color="auto"/>
              <w:right w:val="single" w:sz="4" w:space="0" w:color="auto"/>
            </w:tcBorders>
            <w:hideMark/>
          </w:tcPr>
          <w:p w14:paraId="3A55B965" w14:textId="77777777" w:rsidR="001E500F" w:rsidRPr="00C07C98" w:rsidRDefault="00E453CD" w:rsidP="00193D76">
            <w:pPr>
              <w:pStyle w:val="DefaultText"/>
              <w:ind w:left="54"/>
              <w:jc w:val="center"/>
              <w:rPr>
                <w:rFonts w:ascii="Times New Roman" w:hAnsi="Times New Roman"/>
                <w:szCs w:val="22"/>
                <w:lang w:val="nb-NO"/>
              </w:rPr>
            </w:pPr>
            <w:r w:rsidRPr="00C07C98">
              <w:rPr>
                <w:rFonts w:ascii="Times New Roman" w:hAnsi="Times New Roman"/>
                <w:szCs w:val="22"/>
                <w:lang w:val="nb-NO"/>
              </w:rPr>
              <w:t>8 (7,3)</w:t>
            </w:r>
          </w:p>
        </w:tc>
        <w:tc>
          <w:tcPr>
            <w:tcW w:w="2344" w:type="dxa"/>
            <w:tcBorders>
              <w:top w:val="single" w:sz="4" w:space="0" w:color="auto"/>
              <w:left w:val="single" w:sz="4" w:space="0" w:color="auto"/>
              <w:bottom w:val="single" w:sz="4" w:space="0" w:color="auto"/>
              <w:right w:val="single" w:sz="4" w:space="0" w:color="auto"/>
            </w:tcBorders>
            <w:hideMark/>
          </w:tcPr>
          <w:p w14:paraId="05B63D00" w14:textId="77777777" w:rsidR="001E500F" w:rsidRPr="009C5EFD" w:rsidRDefault="00E453CD" w:rsidP="002D0790">
            <w:pPr>
              <w:pStyle w:val="DefaultText"/>
              <w:ind w:left="54"/>
              <w:jc w:val="center"/>
              <w:rPr>
                <w:rFonts w:ascii="Times New Roman" w:hAnsi="Times New Roman"/>
                <w:szCs w:val="22"/>
                <w:lang w:val="nb-NO"/>
              </w:rPr>
            </w:pPr>
            <w:r w:rsidRPr="00E14E58">
              <w:rPr>
                <w:rFonts w:ascii="Times New Roman" w:hAnsi="Times New Roman"/>
                <w:szCs w:val="22"/>
                <w:lang w:val="nb-NO"/>
              </w:rPr>
              <w:t>18 (16,7)</w:t>
            </w:r>
            <w:r w:rsidRPr="009C5EFD">
              <w:rPr>
                <w:rFonts w:ascii="Times New Roman" w:hAnsi="Times New Roman"/>
                <w:szCs w:val="22"/>
                <w:vertAlign w:val="superscript"/>
                <w:lang w:val="nb-NO"/>
              </w:rPr>
              <w:t xml:space="preserve"> c, d</w:t>
            </w:r>
          </w:p>
        </w:tc>
      </w:tr>
      <w:tr w:rsidR="004644D4" w14:paraId="6DEB3628" w14:textId="77777777" w:rsidTr="00F4044A">
        <w:trPr>
          <w:cantSplit/>
          <w:jc w:val="center"/>
        </w:trPr>
        <w:tc>
          <w:tcPr>
            <w:tcW w:w="1691" w:type="dxa"/>
            <w:tcBorders>
              <w:top w:val="single" w:sz="4" w:space="0" w:color="auto"/>
              <w:left w:val="single" w:sz="4" w:space="0" w:color="auto"/>
              <w:bottom w:val="single" w:sz="4" w:space="0" w:color="auto"/>
              <w:right w:val="single" w:sz="4" w:space="0" w:color="auto"/>
            </w:tcBorders>
            <w:hideMark/>
          </w:tcPr>
          <w:p w14:paraId="590021ED" w14:textId="77777777" w:rsidR="001E500F" w:rsidRPr="007F67EE" w:rsidRDefault="00E453CD" w:rsidP="007F67EE">
            <w:pPr>
              <w:pStyle w:val="DefaultText"/>
              <w:ind w:left="54"/>
              <w:rPr>
                <w:rFonts w:ascii="Times New Roman" w:hAnsi="Times New Roman"/>
                <w:b/>
                <w:bCs w:val="0"/>
                <w:szCs w:val="22"/>
                <w:lang w:val="nb-NO"/>
              </w:rPr>
            </w:pPr>
            <w:r w:rsidRPr="007F67EE">
              <w:rPr>
                <w:rFonts w:ascii="Times New Roman" w:hAnsi="Times New Roman"/>
                <w:b/>
                <w:bCs w:val="0"/>
                <w:szCs w:val="22"/>
                <w:lang w:val="nb-NO"/>
              </w:rPr>
              <w:t xml:space="preserve">    PGA: </w:t>
            </w:r>
            <w:r w:rsidR="009C7E63">
              <w:rPr>
                <w:rFonts w:ascii="Times New Roman" w:hAnsi="Times New Roman"/>
                <w:b/>
                <w:bCs w:val="0"/>
                <w:szCs w:val="22"/>
                <w:lang w:val="nb-NO"/>
              </w:rPr>
              <w:t>«</w:t>
            </w:r>
            <w:r w:rsidRPr="007F67EE">
              <w:rPr>
                <w:rFonts w:ascii="Times New Roman" w:hAnsi="Times New Roman"/>
                <w:b/>
                <w:bCs w:val="0"/>
                <w:szCs w:val="22"/>
                <w:lang w:val="nb-NO"/>
              </w:rPr>
              <w:t>Klar</w:t>
            </w:r>
            <w:r w:rsidR="009C7E63">
              <w:rPr>
                <w:rFonts w:ascii="Times New Roman" w:hAnsi="Times New Roman"/>
                <w:b/>
                <w:bCs w:val="0"/>
                <w:szCs w:val="22"/>
                <w:lang w:val="nb-NO"/>
              </w:rPr>
              <w:t>»</w:t>
            </w:r>
            <w:r w:rsidRPr="007F67EE">
              <w:rPr>
                <w:rFonts w:ascii="Times New Roman" w:hAnsi="Times New Roman"/>
                <w:b/>
                <w:bCs w:val="0"/>
                <w:szCs w:val="22"/>
                <w:lang w:val="nb-NO"/>
              </w:rPr>
              <w:t>/minimal</w:t>
            </w:r>
          </w:p>
        </w:tc>
        <w:tc>
          <w:tcPr>
            <w:tcW w:w="1592" w:type="dxa"/>
            <w:tcBorders>
              <w:top w:val="single" w:sz="4" w:space="0" w:color="auto"/>
              <w:left w:val="single" w:sz="4" w:space="0" w:color="auto"/>
              <w:bottom w:val="single" w:sz="4" w:space="0" w:color="auto"/>
              <w:right w:val="single" w:sz="4" w:space="0" w:color="auto"/>
            </w:tcBorders>
            <w:hideMark/>
          </w:tcPr>
          <w:p w14:paraId="75226247" w14:textId="77777777" w:rsidR="001E500F" w:rsidRPr="00193D76" w:rsidRDefault="00E453CD" w:rsidP="007F67EE">
            <w:pPr>
              <w:pStyle w:val="DefaultText"/>
              <w:ind w:left="54"/>
              <w:jc w:val="center"/>
              <w:rPr>
                <w:rFonts w:ascii="Times New Roman" w:hAnsi="Times New Roman"/>
                <w:szCs w:val="22"/>
                <w:lang w:val="nb-NO"/>
              </w:rPr>
            </w:pPr>
            <w:r w:rsidRPr="00193D76">
              <w:rPr>
                <w:rFonts w:ascii="Times New Roman" w:hAnsi="Times New Roman"/>
                <w:szCs w:val="22"/>
                <w:lang w:val="nb-NO"/>
              </w:rPr>
              <w:t>6 (11,3)</w:t>
            </w:r>
          </w:p>
        </w:tc>
        <w:tc>
          <w:tcPr>
            <w:tcW w:w="1419" w:type="dxa"/>
            <w:tcBorders>
              <w:top w:val="single" w:sz="4" w:space="0" w:color="auto"/>
              <w:left w:val="single" w:sz="4" w:space="0" w:color="auto"/>
              <w:bottom w:val="single" w:sz="4" w:space="0" w:color="auto"/>
              <w:right w:val="single" w:sz="4" w:space="0" w:color="auto"/>
            </w:tcBorders>
            <w:hideMark/>
          </w:tcPr>
          <w:p w14:paraId="43212E2F" w14:textId="77777777" w:rsidR="001E500F" w:rsidRPr="00C07C98" w:rsidRDefault="00E453CD" w:rsidP="00193D76">
            <w:pPr>
              <w:pStyle w:val="DefaultText"/>
              <w:ind w:left="54"/>
              <w:jc w:val="center"/>
              <w:rPr>
                <w:rFonts w:ascii="Times New Roman" w:hAnsi="Times New Roman"/>
                <w:szCs w:val="22"/>
                <w:lang w:val="nb-NO"/>
              </w:rPr>
            </w:pPr>
            <w:r w:rsidRPr="00C07C98">
              <w:rPr>
                <w:rFonts w:ascii="Times New Roman" w:hAnsi="Times New Roman"/>
                <w:szCs w:val="22"/>
                <w:lang w:val="nb-NO"/>
              </w:rPr>
              <w:t>33 (30,0)</w:t>
            </w:r>
          </w:p>
        </w:tc>
        <w:tc>
          <w:tcPr>
            <w:tcW w:w="2344" w:type="dxa"/>
            <w:tcBorders>
              <w:top w:val="single" w:sz="4" w:space="0" w:color="auto"/>
              <w:left w:val="single" w:sz="4" w:space="0" w:color="auto"/>
              <w:bottom w:val="single" w:sz="4" w:space="0" w:color="auto"/>
              <w:right w:val="single" w:sz="4" w:space="0" w:color="auto"/>
            </w:tcBorders>
            <w:hideMark/>
          </w:tcPr>
          <w:p w14:paraId="6AF5AC98" w14:textId="77777777" w:rsidR="001E500F" w:rsidRPr="009C5EFD" w:rsidRDefault="00E453CD" w:rsidP="002D0790">
            <w:pPr>
              <w:pStyle w:val="DefaultText"/>
              <w:ind w:left="54"/>
              <w:jc w:val="center"/>
              <w:rPr>
                <w:rFonts w:ascii="Times New Roman" w:hAnsi="Times New Roman"/>
                <w:szCs w:val="22"/>
                <w:lang w:val="nb-NO"/>
              </w:rPr>
            </w:pPr>
            <w:r w:rsidRPr="00E14E58">
              <w:rPr>
                <w:rFonts w:ascii="Times New Roman" w:hAnsi="Times New Roman"/>
                <w:szCs w:val="22"/>
                <w:lang w:val="nb-NO"/>
              </w:rPr>
              <w:t>79 (73,1)</w:t>
            </w:r>
            <w:r w:rsidRPr="009C5EFD">
              <w:rPr>
                <w:rFonts w:ascii="Times New Roman" w:hAnsi="Times New Roman"/>
                <w:szCs w:val="22"/>
                <w:vertAlign w:val="superscript"/>
                <w:lang w:val="nb-NO"/>
              </w:rPr>
              <w:t xml:space="preserve"> a, b</w:t>
            </w:r>
          </w:p>
        </w:tc>
      </w:tr>
      <w:tr w:rsidR="004644D4" w14:paraId="1537B654" w14:textId="77777777" w:rsidTr="00F4044A">
        <w:trPr>
          <w:cantSplit/>
          <w:jc w:val="center"/>
        </w:trPr>
        <w:tc>
          <w:tcPr>
            <w:tcW w:w="7046" w:type="dxa"/>
            <w:gridSpan w:val="4"/>
            <w:tcBorders>
              <w:top w:val="single" w:sz="4" w:space="0" w:color="auto"/>
              <w:left w:val="single" w:sz="4" w:space="0" w:color="auto"/>
              <w:bottom w:val="single" w:sz="4" w:space="0" w:color="auto"/>
              <w:right w:val="single" w:sz="4" w:space="0" w:color="auto"/>
            </w:tcBorders>
            <w:hideMark/>
          </w:tcPr>
          <w:p w14:paraId="73898EF2" w14:textId="77777777" w:rsidR="001E500F" w:rsidRPr="00C07C98" w:rsidRDefault="00E453CD" w:rsidP="007F67EE">
            <w:pPr>
              <w:pStyle w:val="DefaultText"/>
              <w:ind w:left="54"/>
              <w:rPr>
                <w:rFonts w:ascii="Times New Roman" w:hAnsi="Times New Roman"/>
                <w:szCs w:val="22"/>
                <w:lang w:val="sv-SE"/>
              </w:rPr>
            </w:pPr>
            <w:r w:rsidRPr="007F67EE">
              <w:rPr>
                <w:rFonts w:ascii="Times New Roman" w:hAnsi="Times New Roman"/>
                <w:szCs w:val="22"/>
                <w:vertAlign w:val="superscript"/>
                <w:lang w:val="sv-SE"/>
              </w:rPr>
              <w:t>a</w:t>
            </w:r>
            <w:r w:rsidRPr="00193D76">
              <w:rPr>
                <w:rFonts w:ascii="Times New Roman" w:hAnsi="Times New Roman"/>
                <w:szCs w:val="22"/>
                <w:lang w:val="sv-SE"/>
              </w:rPr>
              <w:t xml:space="preserve"> p &lt; 0,001 Humira </w:t>
            </w:r>
            <w:r w:rsidRPr="00C07C98">
              <w:rPr>
                <w:rFonts w:ascii="Times New Roman" w:hAnsi="Times New Roman"/>
                <w:i/>
                <w:szCs w:val="22"/>
                <w:lang w:val="sv-SE"/>
              </w:rPr>
              <w:t>versus</w:t>
            </w:r>
            <w:r w:rsidRPr="00C07C98">
              <w:rPr>
                <w:rFonts w:ascii="Times New Roman" w:hAnsi="Times New Roman"/>
                <w:szCs w:val="22"/>
                <w:lang w:val="sv-SE"/>
              </w:rPr>
              <w:t xml:space="preserve"> placebo</w:t>
            </w:r>
          </w:p>
          <w:p w14:paraId="7F3DC1D6" w14:textId="77777777" w:rsidR="001E500F" w:rsidRPr="009C5EFD" w:rsidRDefault="00E453CD" w:rsidP="007F67EE">
            <w:pPr>
              <w:pStyle w:val="DefaultText"/>
              <w:ind w:left="54"/>
              <w:rPr>
                <w:rFonts w:ascii="Times New Roman" w:hAnsi="Times New Roman"/>
                <w:szCs w:val="22"/>
                <w:lang w:val="sv-SE"/>
              </w:rPr>
            </w:pPr>
            <w:r w:rsidRPr="00E14E58">
              <w:rPr>
                <w:rFonts w:ascii="Times New Roman" w:hAnsi="Times New Roman"/>
                <w:szCs w:val="22"/>
                <w:vertAlign w:val="superscript"/>
                <w:lang w:val="sv-SE"/>
              </w:rPr>
              <w:t>b</w:t>
            </w:r>
            <w:r w:rsidRPr="009C5EFD">
              <w:rPr>
                <w:rFonts w:ascii="Times New Roman" w:hAnsi="Times New Roman"/>
                <w:szCs w:val="22"/>
                <w:lang w:val="sv-SE"/>
              </w:rPr>
              <w:t xml:space="preserve"> p &lt; 0,001 Humira </w:t>
            </w:r>
            <w:r w:rsidRPr="009C5EFD">
              <w:rPr>
                <w:rFonts w:ascii="Times New Roman" w:hAnsi="Times New Roman"/>
                <w:i/>
                <w:szCs w:val="22"/>
                <w:lang w:val="sv-SE"/>
              </w:rPr>
              <w:t>versus</w:t>
            </w:r>
            <w:r w:rsidRPr="009C5EFD">
              <w:rPr>
                <w:rFonts w:ascii="Times New Roman" w:hAnsi="Times New Roman"/>
                <w:szCs w:val="22"/>
                <w:lang w:val="sv-SE"/>
              </w:rPr>
              <w:t xml:space="preserve"> metotreksat</w:t>
            </w:r>
          </w:p>
          <w:p w14:paraId="7F422C8B" w14:textId="77777777" w:rsidR="001E500F" w:rsidRPr="009C5EFD" w:rsidRDefault="00E453CD" w:rsidP="00193D76">
            <w:pPr>
              <w:pStyle w:val="DefaultText"/>
              <w:ind w:left="54"/>
              <w:rPr>
                <w:rFonts w:ascii="Times New Roman" w:hAnsi="Times New Roman"/>
                <w:szCs w:val="22"/>
                <w:lang w:val="sv-SE"/>
              </w:rPr>
            </w:pPr>
            <w:r w:rsidRPr="009C5EFD">
              <w:rPr>
                <w:rFonts w:ascii="Times New Roman" w:hAnsi="Times New Roman"/>
                <w:szCs w:val="22"/>
                <w:vertAlign w:val="superscript"/>
                <w:lang w:val="sv-SE"/>
              </w:rPr>
              <w:t>c</w:t>
            </w:r>
            <w:r w:rsidRPr="009C5EFD">
              <w:rPr>
                <w:rFonts w:ascii="Times New Roman" w:hAnsi="Times New Roman"/>
                <w:szCs w:val="22"/>
                <w:lang w:val="sv-SE"/>
              </w:rPr>
              <w:t xml:space="preserve"> p &lt; 0,01 Humira </w:t>
            </w:r>
            <w:r w:rsidRPr="009C5EFD">
              <w:rPr>
                <w:rFonts w:ascii="Times New Roman" w:hAnsi="Times New Roman"/>
                <w:i/>
                <w:szCs w:val="22"/>
                <w:lang w:val="sv-SE"/>
              </w:rPr>
              <w:t>versus</w:t>
            </w:r>
            <w:r w:rsidRPr="009C5EFD">
              <w:rPr>
                <w:rFonts w:ascii="Times New Roman" w:hAnsi="Times New Roman"/>
                <w:szCs w:val="22"/>
                <w:lang w:val="sv-SE"/>
              </w:rPr>
              <w:t xml:space="preserve"> placebo</w:t>
            </w:r>
          </w:p>
          <w:p w14:paraId="28B3CFCD" w14:textId="77777777" w:rsidR="001E500F" w:rsidRPr="009C5EFD" w:rsidRDefault="00E453CD" w:rsidP="002D0790">
            <w:pPr>
              <w:pStyle w:val="DefaultText"/>
              <w:ind w:left="54"/>
              <w:rPr>
                <w:rFonts w:ascii="Times New Roman" w:hAnsi="Times New Roman"/>
                <w:szCs w:val="22"/>
                <w:lang w:val="sv-SE"/>
              </w:rPr>
            </w:pPr>
            <w:r w:rsidRPr="009C5EFD">
              <w:rPr>
                <w:rFonts w:ascii="Times New Roman" w:hAnsi="Times New Roman"/>
                <w:szCs w:val="22"/>
                <w:vertAlign w:val="superscript"/>
                <w:lang w:val="sv-SE"/>
              </w:rPr>
              <w:t>d</w:t>
            </w:r>
            <w:r w:rsidRPr="009C5EFD">
              <w:rPr>
                <w:rFonts w:ascii="Times New Roman" w:hAnsi="Times New Roman"/>
                <w:szCs w:val="22"/>
                <w:lang w:val="sv-SE"/>
              </w:rPr>
              <w:t xml:space="preserve"> p &lt; 0,05 Humira </w:t>
            </w:r>
            <w:r w:rsidRPr="009C5EFD">
              <w:rPr>
                <w:rFonts w:ascii="Times New Roman" w:hAnsi="Times New Roman"/>
                <w:i/>
                <w:szCs w:val="22"/>
                <w:lang w:val="sv-SE"/>
              </w:rPr>
              <w:t>versus</w:t>
            </w:r>
            <w:r w:rsidRPr="009C5EFD">
              <w:rPr>
                <w:rFonts w:ascii="Times New Roman" w:hAnsi="Times New Roman"/>
                <w:szCs w:val="22"/>
                <w:lang w:val="sv-SE"/>
              </w:rPr>
              <w:t xml:space="preserve"> metotreksat</w:t>
            </w:r>
          </w:p>
        </w:tc>
      </w:tr>
    </w:tbl>
    <w:p w14:paraId="155A799A" w14:textId="77777777" w:rsidR="001E500F" w:rsidRPr="002D0790" w:rsidRDefault="001E500F" w:rsidP="007F67EE">
      <w:pPr>
        <w:rPr>
          <w:sz w:val="22"/>
          <w:szCs w:val="22"/>
          <w:lang w:val="sv-SE"/>
        </w:rPr>
      </w:pPr>
    </w:p>
    <w:p w14:paraId="4AF7CE8E" w14:textId="77777777" w:rsidR="001E500F" w:rsidRPr="009C5EFD" w:rsidRDefault="00E453CD" w:rsidP="007F67EE">
      <w:pPr>
        <w:rPr>
          <w:sz w:val="22"/>
          <w:szCs w:val="22"/>
        </w:rPr>
      </w:pPr>
      <w:r w:rsidRPr="00C07C98">
        <w:rPr>
          <w:sz w:val="22"/>
          <w:szCs w:val="22"/>
        </w:rPr>
        <w:t xml:space="preserve">I psoriasisstudie I opplevde 28 % av pasientene som hadde PASI 75-respons og som var randomisert på nytt til placebo ved uke 33, </w:t>
      </w:r>
      <w:r w:rsidR="00D57009">
        <w:rPr>
          <w:sz w:val="22"/>
          <w:szCs w:val="22"/>
        </w:rPr>
        <w:t>«</w:t>
      </w:r>
      <w:r w:rsidRPr="00C07C98">
        <w:rPr>
          <w:sz w:val="22"/>
          <w:szCs w:val="22"/>
        </w:rPr>
        <w:t>tap av tilfredsstillende respons</w:t>
      </w:r>
      <w:r w:rsidR="00D57009">
        <w:rPr>
          <w:sz w:val="22"/>
          <w:szCs w:val="22"/>
        </w:rPr>
        <w:t>»</w:t>
      </w:r>
      <w:r w:rsidRPr="00C07C98">
        <w:rPr>
          <w:sz w:val="22"/>
          <w:szCs w:val="22"/>
        </w:rPr>
        <w:t xml:space="preserve"> (PASI score etter uke 33 og ved eller før uke 52 som re</w:t>
      </w:r>
      <w:r w:rsidRPr="00E14E58">
        <w:rPr>
          <w:sz w:val="22"/>
          <w:szCs w:val="22"/>
        </w:rPr>
        <w:t>sulterte i &lt;</w:t>
      </w:r>
      <w:r w:rsidR="002010F4" w:rsidRPr="009C5EFD">
        <w:rPr>
          <w:sz w:val="22"/>
          <w:szCs w:val="22"/>
        </w:rPr>
        <w:t> </w:t>
      </w:r>
      <w:r w:rsidRPr="009C5EFD">
        <w:rPr>
          <w:sz w:val="22"/>
          <w:szCs w:val="22"/>
        </w:rPr>
        <w:t xml:space="preserve">PASI 50-respons i forhold til baseline, med en minimum 6-punkts økning i PASI score i forhold til </w:t>
      </w:r>
      <w:r w:rsidR="00315F16" w:rsidRPr="009C5EFD">
        <w:rPr>
          <w:sz w:val="22"/>
          <w:szCs w:val="22"/>
        </w:rPr>
        <w:t>uke </w:t>
      </w:r>
      <w:r w:rsidRPr="009C5EFD">
        <w:rPr>
          <w:sz w:val="22"/>
          <w:szCs w:val="22"/>
        </w:rPr>
        <w:t>33). Tilsvarende for pasienter som fortsatte med Humira var 5 %, p</w:t>
      </w:r>
      <w:r w:rsidR="00315F16" w:rsidRPr="009C5EFD">
        <w:rPr>
          <w:sz w:val="22"/>
          <w:szCs w:val="22"/>
        </w:rPr>
        <w:t> </w:t>
      </w:r>
      <w:r w:rsidRPr="009C5EFD">
        <w:rPr>
          <w:sz w:val="22"/>
          <w:szCs w:val="22"/>
        </w:rPr>
        <w:t>&lt;</w:t>
      </w:r>
      <w:r w:rsidR="00315F16" w:rsidRPr="009C5EFD">
        <w:rPr>
          <w:sz w:val="22"/>
          <w:szCs w:val="22"/>
        </w:rPr>
        <w:t> </w:t>
      </w:r>
      <w:r w:rsidRPr="009C5EFD">
        <w:rPr>
          <w:sz w:val="22"/>
          <w:szCs w:val="22"/>
        </w:rPr>
        <w:t>0,001. Av de pasientene som opplevde tap av tilfredsstillende respons etter ny randomisering til placebo og som deretter ble inkludert i en åpen forlengelsesstudie, gjenvant 38 % (25/66) og 55</w:t>
      </w:r>
      <w:r w:rsidR="00315F16" w:rsidRPr="009C5EFD">
        <w:rPr>
          <w:sz w:val="22"/>
          <w:szCs w:val="22"/>
        </w:rPr>
        <w:t> %</w:t>
      </w:r>
      <w:r w:rsidRPr="009C5EFD">
        <w:rPr>
          <w:sz w:val="22"/>
          <w:szCs w:val="22"/>
        </w:rPr>
        <w:t xml:space="preserve"> (36/66) PASI 75-respons etter henholdsvis 12 og 24 uker med re-behandling. </w:t>
      </w:r>
    </w:p>
    <w:p w14:paraId="1FBBED9D" w14:textId="77777777" w:rsidR="001E500F" w:rsidRPr="009C5EFD" w:rsidRDefault="001E500F" w:rsidP="00193D76">
      <w:pPr>
        <w:rPr>
          <w:sz w:val="22"/>
          <w:szCs w:val="22"/>
        </w:rPr>
      </w:pPr>
    </w:p>
    <w:p w14:paraId="07975337" w14:textId="77777777" w:rsidR="001E500F" w:rsidRPr="009C5EFD" w:rsidRDefault="00E453CD" w:rsidP="002D0790">
      <w:pPr>
        <w:rPr>
          <w:sz w:val="22"/>
          <w:szCs w:val="22"/>
        </w:rPr>
      </w:pPr>
      <w:r w:rsidRPr="009C5EFD">
        <w:rPr>
          <w:sz w:val="22"/>
          <w:szCs w:val="22"/>
        </w:rPr>
        <w:t>Totalt 233</w:t>
      </w:r>
      <w:r w:rsidR="00315F16" w:rsidRPr="009C5EFD">
        <w:rPr>
          <w:sz w:val="22"/>
          <w:szCs w:val="22"/>
        </w:rPr>
        <w:t> pasient</w:t>
      </w:r>
      <w:r w:rsidRPr="009C5EFD">
        <w:rPr>
          <w:sz w:val="22"/>
          <w:szCs w:val="22"/>
        </w:rPr>
        <w:t>er med PASI 75-respons ved uke 16 og 33 fikk kontinuerlig behandling med Humira i psoriasisstudie I i 52 uker, og fortsatte med Humira i en åpen forlengelsesstudie. PASI 75 og PGA-</w:t>
      </w:r>
      <w:r w:rsidR="009C7E63">
        <w:rPr>
          <w:sz w:val="22"/>
          <w:szCs w:val="22"/>
        </w:rPr>
        <w:t>«</w:t>
      </w:r>
      <w:r w:rsidRPr="009C5EFD">
        <w:rPr>
          <w:sz w:val="22"/>
          <w:szCs w:val="22"/>
        </w:rPr>
        <w:t>klar</w:t>
      </w:r>
      <w:r w:rsidR="009C7E63">
        <w:rPr>
          <w:sz w:val="22"/>
          <w:szCs w:val="22"/>
        </w:rPr>
        <w:t>»</w:t>
      </w:r>
      <w:r w:rsidRPr="009C5EFD">
        <w:rPr>
          <w:sz w:val="22"/>
          <w:szCs w:val="22"/>
        </w:rPr>
        <w:t xml:space="preserve"> eller -minimal responsrate hos disse pasientene var henholdsvis 74,7 % og 59,0 % etter en periode på 108 uker i den åpne forlengelsesstudien (totalt 160 uker). I en analyse ble alle pasientene som hadde frafall pga. bivirkninger, mangel på effekt eller som dose-eskalerte, ansett som ikke-respondere. Hos disse pasientene var PASI 75 og PGA-</w:t>
      </w:r>
      <w:r w:rsidR="00D57009">
        <w:rPr>
          <w:sz w:val="22"/>
          <w:szCs w:val="22"/>
        </w:rPr>
        <w:t>«</w:t>
      </w:r>
      <w:r w:rsidRPr="009C5EFD">
        <w:rPr>
          <w:sz w:val="22"/>
          <w:szCs w:val="22"/>
        </w:rPr>
        <w:t>klar’ eller -minimal responsrater henholdsvis 69,6 % og 55,7 % etter en tilleggsperiode på 108 uker i den åpne forlengelsesstudien (totalt 160</w:t>
      </w:r>
      <w:r w:rsidR="00315F16" w:rsidRPr="009C5EFD">
        <w:rPr>
          <w:sz w:val="22"/>
          <w:szCs w:val="22"/>
        </w:rPr>
        <w:t> uker</w:t>
      </w:r>
      <w:r w:rsidRPr="009C5EFD">
        <w:rPr>
          <w:sz w:val="22"/>
          <w:szCs w:val="22"/>
        </w:rPr>
        <w:t>).</w:t>
      </w:r>
    </w:p>
    <w:p w14:paraId="53601AC7" w14:textId="77777777" w:rsidR="001E500F" w:rsidRPr="009C5EFD" w:rsidRDefault="001E500F" w:rsidP="00C07C98">
      <w:pPr>
        <w:rPr>
          <w:sz w:val="22"/>
          <w:szCs w:val="22"/>
        </w:rPr>
      </w:pPr>
    </w:p>
    <w:p w14:paraId="28F02E2B" w14:textId="77777777" w:rsidR="001E500F" w:rsidRPr="009C5EFD" w:rsidRDefault="00E453CD" w:rsidP="00E14E58">
      <w:pPr>
        <w:rPr>
          <w:sz w:val="22"/>
          <w:szCs w:val="22"/>
        </w:rPr>
      </w:pPr>
      <w:r w:rsidRPr="009C5EFD">
        <w:rPr>
          <w:sz w:val="22"/>
          <w:szCs w:val="22"/>
        </w:rPr>
        <w:t xml:space="preserve">Totalt 347 stabile respondere deltok i en åpen forlengelsesstudie der seponering og re-behandling ble </w:t>
      </w:r>
      <w:r w:rsidR="003D3CAB" w:rsidRPr="003D3CAB">
        <w:rPr>
          <w:sz w:val="22"/>
          <w:szCs w:val="22"/>
        </w:rPr>
        <w:t>vurdert</w:t>
      </w:r>
      <w:r w:rsidRPr="009C5EFD">
        <w:rPr>
          <w:sz w:val="22"/>
          <w:szCs w:val="22"/>
        </w:rPr>
        <w:t xml:space="preserve">. Under seponeringsperioden kom symptomene på psoriasis tilbake over tid med en mediantid for tilbakefall (nedgang i PGA </w:t>
      </w:r>
      <w:r w:rsidR="00D57009">
        <w:rPr>
          <w:sz w:val="22"/>
          <w:szCs w:val="22"/>
        </w:rPr>
        <w:t>«</w:t>
      </w:r>
      <w:r w:rsidRPr="009C5EFD">
        <w:rPr>
          <w:sz w:val="22"/>
          <w:szCs w:val="22"/>
        </w:rPr>
        <w:t>moderat</w:t>
      </w:r>
      <w:r w:rsidR="00D57009">
        <w:rPr>
          <w:sz w:val="22"/>
          <w:szCs w:val="22"/>
        </w:rPr>
        <w:t>»</w:t>
      </w:r>
      <w:r w:rsidRPr="009C5EFD">
        <w:rPr>
          <w:sz w:val="22"/>
          <w:szCs w:val="22"/>
        </w:rPr>
        <w:t xml:space="preserve"> eller verre) på ca. 5</w:t>
      </w:r>
      <w:r w:rsidR="00315F16" w:rsidRPr="009C5EFD">
        <w:rPr>
          <w:sz w:val="22"/>
          <w:szCs w:val="22"/>
        </w:rPr>
        <w:t> måned</w:t>
      </w:r>
      <w:r w:rsidRPr="009C5EFD">
        <w:rPr>
          <w:sz w:val="22"/>
          <w:szCs w:val="22"/>
        </w:rPr>
        <w:t>er. Ingen av disse pasientene opplevde tilbakefall (</w:t>
      </w:r>
      <w:r w:rsidR="00D57009">
        <w:rPr>
          <w:sz w:val="22"/>
          <w:szCs w:val="22"/>
        </w:rPr>
        <w:t>«</w:t>
      </w:r>
      <w:r w:rsidRPr="009C5EFD">
        <w:rPr>
          <w:sz w:val="22"/>
          <w:szCs w:val="22"/>
        </w:rPr>
        <w:t>rebound</w:t>
      </w:r>
      <w:r w:rsidR="00D57009">
        <w:rPr>
          <w:sz w:val="22"/>
          <w:szCs w:val="22"/>
        </w:rPr>
        <w:t>»</w:t>
      </w:r>
      <w:r w:rsidRPr="009C5EFD">
        <w:rPr>
          <w:sz w:val="22"/>
          <w:szCs w:val="22"/>
        </w:rPr>
        <w:t>) under seponeringsperioden. Totalt 76,5</w:t>
      </w:r>
      <w:r w:rsidR="00315F16" w:rsidRPr="009C5EFD">
        <w:rPr>
          <w:sz w:val="22"/>
          <w:szCs w:val="22"/>
        </w:rPr>
        <w:t> %</w:t>
      </w:r>
      <w:r w:rsidRPr="009C5EFD">
        <w:rPr>
          <w:sz w:val="22"/>
          <w:szCs w:val="22"/>
        </w:rPr>
        <w:t xml:space="preserve"> (218/285) av pasientene som startet behandlingen på nytt hadde en PGA-</w:t>
      </w:r>
      <w:r w:rsidR="00D57009">
        <w:rPr>
          <w:sz w:val="22"/>
          <w:szCs w:val="22"/>
        </w:rPr>
        <w:t>«</w:t>
      </w:r>
      <w:r w:rsidRPr="009C5EFD">
        <w:rPr>
          <w:sz w:val="22"/>
          <w:szCs w:val="22"/>
        </w:rPr>
        <w:t>klar</w:t>
      </w:r>
      <w:r w:rsidR="00D57009">
        <w:rPr>
          <w:sz w:val="22"/>
          <w:szCs w:val="22"/>
        </w:rPr>
        <w:t>»</w:t>
      </w:r>
      <w:r w:rsidRPr="009C5EFD">
        <w:rPr>
          <w:sz w:val="22"/>
          <w:szCs w:val="22"/>
        </w:rPr>
        <w:t xml:space="preserve"> eller -minimal respons etter 16</w:t>
      </w:r>
      <w:r w:rsidR="00315F16" w:rsidRPr="009C5EFD">
        <w:rPr>
          <w:sz w:val="22"/>
          <w:szCs w:val="22"/>
        </w:rPr>
        <w:t> uker</w:t>
      </w:r>
      <w:r w:rsidRPr="009C5EFD">
        <w:rPr>
          <w:sz w:val="22"/>
          <w:szCs w:val="22"/>
        </w:rPr>
        <w:t xml:space="preserve"> med behandling, uavhengig om de hadde tilbakefall under seponeringsperioden (69,1</w:t>
      </w:r>
      <w:r w:rsidR="00315F16" w:rsidRPr="009C5EFD">
        <w:rPr>
          <w:sz w:val="22"/>
          <w:szCs w:val="22"/>
        </w:rPr>
        <w:t> %</w:t>
      </w:r>
      <w:r w:rsidRPr="009C5EFD">
        <w:rPr>
          <w:sz w:val="22"/>
          <w:szCs w:val="22"/>
        </w:rPr>
        <w:t xml:space="preserve"> [123/178] og 88,8</w:t>
      </w:r>
      <w:r w:rsidR="00315F16" w:rsidRPr="009C5EFD">
        <w:rPr>
          <w:sz w:val="22"/>
          <w:szCs w:val="22"/>
        </w:rPr>
        <w:t> %</w:t>
      </w:r>
      <w:r w:rsidRPr="009C5EFD">
        <w:rPr>
          <w:sz w:val="22"/>
          <w:szCs w:val="22"/>
        </w:rPr>
        <w:t xml:space="preserve"> [95/107] henholdsvis for pasienter som hadde tilbakefall eller ikke hadde tilbakefall under seponeringsperioden). En tilsvarende sikkerhetsprofil ble observert under gjenopptagelse av behandlingen som før seponering.</w:t>
      </w:r>
    </w:p>
    <w:p w14:paraId="2127F45A" w14:textId="77777777" w:rsidR="001E500F" w:rsidRPr="009C5EFD" w:rsidRDefault="001E500F" w:rsidP="00E14E58">
      <w:pPr>
        <w:rPr>
          <w:sz w:val="22"/>
          <w:szCs w:val="22"/>
        </w:rPr>
      </w:pPr>
    </w:p>
    <w:p w14:paraId="14D5D42D" w14:textId="77777777" w:rsidR="001E500F" w:rsidRPr="009C5EFD" w:rsidRDefault="00E453CD" w:rsidP="009C5EFD">
      <w:pPr>
        <w:rPr>
          <w:sz w:val="22"/>
          <w:szCs w:val="22"/>
        </w:rPr>
      </w:pPr>
      <w:r w:rsidRPr="009C5EFD">
        <w:rPr>
          <w:sz w:val="22"/>
          <w:szCs w:val="22"/>
        </w:rPr>
        <w:t xml:space="preserve">Signifikant forbedring ved uke 16 fra behandlingsstart sammenlignet med placebo (studiene I og II) og metotreksat (studie II) ble vist i DLQI (Dermatology Life Quality Index). I studie I var også </w:t>
      </w:r>
      <w:r w:rsidRPr="009C5EFD">
        <w:rPr>
          <w:sz w:val="22"/>
          <w:szCs w:val="22"/>
        </w:rPr>
        <w:lastRenderedPageBreak/>
        <w:t>forbedringer i sammenlagt score for de fysiske og mentale komponentene i SF-36 signifikante sammenlignet med placebo.</w:t>
      </w:r>
    </w:p>
    <w:p w14:paraId="6A396DA7" w14:textId="77777777" w:rsidR="001E500F" w:rsidRPr="009C5EFD" w:rsidRDefault="001E500F" w:rsidP="009C5EFD">
      <w:pPr>
        <w:rPr>
          <w:sz w:val="22"/>
          <w:szCs w:val="22"/>
        </w:rPr>
      </w:pPr>
    </w:p>
    <w:p w14:paraId="38309F6C" w14:textId="77777777" w:rsidR="001E500F" w:rsidRPr="009C5EFD" w:rsidRDefault="00E453CD" w:rsidP="009C5EFD">
      <w:pPr>
        <w:rPr>
          <w:sz w:val="22"/>
          <w:szCs w:val="22"/>
        </w:rPr>
      </w:pPr>
      <w:r w:rsidRPr="005A2FD7">
        <w:rPr>
          <w:sz w:val="22"/>
          <w:szCs w:val="22"/>
        </w:rPr>
        <w:t xml:space="preserve">I en åpen forlengelsesstudie hos pasienter som økte dosen fra 40 mg </w:t>
      </w:r>
      <w:r>
        <w:rPr>
          <w:sz w:val="22"/>
          <w:szCs w:val="22"/>
        </w:rPr>
        <w:t xml:space="preserve">annenhver uke til 40 mg </w:t>
      </w:r>
      <w:r w:rsidR="003721B0">
        <w:rPr>
          <w:sz w:val="22"/>
          <w:szCs w:val="22"/>
        </w:rPr>
        <w:t>per</w:t>
      </w:r>
      <w:r>
        <w:rPr>
          <w:sz w:val="22"/>
          <w:szCs w:val="22"/>
        </w:rPr>
        <w:t xml:space="preserve"> uke</w:t>
      </w:r>
      <w:r w:rsidRPr="005A2FD7">
        <w:rPr>
          <w:sz w:val="22"/>
          <w:szCs w:val="22"/>
        </w:rPr>
        <w:t xml:space="preserve"> på grunn av PASI respons under 50 %</w:t>
      </w:r>
      <w:r>
        <w:rPr>
          <w:sz w:val="22"/>
          <w:szCs w:val="22"/>
        </w:rPr>
        <w:t>,</w:t>
      </w:r>
      <w:r w:rsidRPr="005A2FD7">
        <w:rPr>
          <w:sz w:val="22"/>
          <w:szCs w:val="22"/>
        </w:rPr>
        <w:t xml:space="preserve"> oppnådde 26,4 % (92/349) og 37,8 % (132/349) av pasientene PASI 75-respons ved henholdsvis uke 12 og 24.</w:t>
      </w:r>
    </w:p>
    <w:p w14:paraId="3C60C076" w14:textId="77777777" w:rsidR="001E500F" w:rsidRPr="009C5EFD" w:rsidRDefault="001E500F" w:rsidP="009C5EFD">
      <w:pPr>
        <w:rPr>
          <w:sz w:val="22"/>
          <w:szCs w:val="22"/>
        </w:rPr>
      </w:pPr>
    </w:p>
    <w:p w14:paraId="66C43A9E" w14:textId="77777777" w:rsidR="001E500F" w:rsidRPr="009C5EFD" w:rsidRDefault="00E453CD" w:rsidP="009C5EFD">
      <w:pPr>
        <w:rPr>
          <w:sz w:val="22"/>
          <w:szCs w:val="22"/>
        </w:rPr>
      </w:pPr>
      <w:r w:rsidRPr="009C5EFD">
        <w:rPr>
          <w:sz w:val="22"/>
          <w:szCs w:val="22"/>
        </w:rPr>
        <w:t xml:space="preserve">Psoriasisstudie III (REACH) sammenlignet effekt og sikkerhet av Humira </w:t>
      </w:r>
      <w:r w:rsidRPr="009C5EFD">
        <w:rPr>
          <w:i/>
          <w:sz w:val="22"/>
          <w:szCs w:val="22"/>
        </w:rPr>
        <w:t xml:space="preserve">versus </w:t>
      </w:r>
      <w:r w:rsidRPr="009C5EFD">
        <w:rPr>
          <w:sz w:val="22"/>
          <w:szCs w:val="22"/>
        </w:rPr>
        <w:t>placebo hos 7</w:t>
      </w:r>
      <w:r w:rsidR="0027123A">
        <w:rPr>
          <w:sz w:val="22"/>
          <w:szCs w:val="22"/>
        </w:rPr>
        <w:t>2</w:t>
      </w:r>
      <w:r w:rsidR="00315F16" w:rsidRPr="009C5EFD">
        <w:rPr>
          <w:sz w:val="22"/>
          <w:szCs w:val="22"/>
        </w:rPr>
        <w:t> pasient</w:t>
      </w:r>
      <w:r w:rsidRPr="009C5EFD">
        <w:rPr>
          <w:sz w:val="22"/>
          <w:szCs w:val="22"/>
        </w:rPr>
        <w:t>er med moderat til alvorlig kronisk plakkpsoriasis og hånd og/eller fot psoriasis. Pasientene fikk en startdose på 80</w:t>
      </w:r>
      <w:r w:rsidR="00E55E5D" w:rsidRPr="009C5EFD">
        <w:rPr>
          <w:sz w:val="22"/>
          <w:szCs w:val="22"/>
        </w:rPr>
        <w:t> mg</w:t>
      </w:r>
      <w:r w:rsidRPr="009C5EFD">
        <w:rPr>
          <w:sz w:val="22"/>
          <w:szCs w:val="22"/>
        </w:rPr>
        <w:t xml:space="preserve"> Humira etterfulgt av 40</w:t>
      </w:r>
      <w:r w:rsidR="00E55E5D" w:rsidRPr="009C5EFD">
        <w:rPr>
          <w:sz w:val="22"/>
          <w:szCs w:val="22"/>
        </w:rPr>
        <w:t> mg</w:t>
      </w:r>
      <w:r w:rsidRPr="009C5EFD">
        <w:rPr>
          <w:sz w:val="22"/>
          <w:szCs w:val="22"/>
        </w:rPr>
        <w:t xml:space="preserve"> annenhver uke (med oppstart én uke etter den første dosen) eller placebo i 16</w:t>
      </w:r>
      <w:r w:rsidR="00315F16" w:rsidRPr="009C5EFD">
        <w:rPr>
          <w:sz w:val="22"/>
          <w:szCs w:val="22"/>
        </w:rPr>
        <w:t> uker</w:t>
      </w:r>
      <w:r w:rsidRPr="009C5EFD">
        <w:rPr>
          <w:sz w:val="22"/>
          <w:szCs w:val="22"/>
        </w:rPr>
        <w:t xml:space="preserve">. Ved </w:t>
      </w:r>
      <w:r w:rsidR="00315F16" w:rsidRPr="009C5EFD">
        <w:rPr>
          <w:sz w:val="22"/>
          <w:szCs w:val="22"/>
        </w:rPr>
        <w:t>uke </w:t>
      </w:r>
      <w:r w:rsidRPr="009C5EFD">
        <w:rPr>
          <w:sz w:val="22"/>
          <w:szCs w:val="22"/>
        </w:rPr>
        <w:t xml:space="preserve">16 hadde en statistisk signifikant større andel av pasientene som fikk Humira oppnådd PGA score </w:t>
      </w:r>
      <w:r w:rsidR="00D57009">
        <w:rPr>
          <w:sz w:val="22"/>
          <w:szCs w:val="22"/>
        </w:rPr>
        <w:t>«</w:t>
      </w:r>
      <w:r w:rsidRPr="009C5EFD">
        <w:rPr>
          <w:sz w:val="22"/>
          <w:szCs w:val="22"/>
        </w:rPr>
        <w:t xml:space="preserve">klar’ eller </w:t>
      </w:r>
      <w:r w:rsidR="00D57009">
        <w:rPr>
          <w:sz w:val="22"/>
          <w:szCs w:val="22"/>
        </w:rPr>
        <w:t>«</w:t>
      </w:r>
      <w:r w:rsidRPr="009C5EFD">
        <w:rPr>
          <w:sz w:val="22"/>
          <w:szCs w:val="22"/>
        </w:rPr>
        <w:t>nesten klar’ for hender og/eller føtter, sammenlignet med pasientene som fikk placebo (henholdsvis 30,6</w:t>
      </w:r>
      <w:r w:rsidR="00315F16" w:rsidRPr="009C5EFD">
        <w:rPr>
          <w:sz w:val="22"/>
          <w:szCs w:val="22"/>
        </w:rPr>
        <w:t> %</w:t>
      </w:r>
      <w:r w:rsidRPr="009C5EFD">
        <w:rPr>
          <w:sz w:val="22"/>
          <w:szCs w:val="22"/>
        </w:rPr>
        <w:t xml:space="preserve"> </w:t>
      </w:r>
      <w:r w:rsidRPr="009C5EFD">
        <w:rPr>
          <w:i/>
          <w:sz w:val="22"/>
          <w:szCs w:val="22"/>
        </w:rPr>
        <w:t>versus</w:t>
      </w:r>
      <w:r w:rsidRPr="009C5EFD">
        <w:rPr>
          <w:sz w:val="22"/>
          <w:szCs w:val="22"/>
        </w:rPr>
        <w:t xml:space="preserve"> 4,3</w:t>
      </w:r>
      <w:r w:rsidR="00315F16" w:rsidRPr="009C5EFD">
        <w:rPr>
          <w:sz w:val="22"/>
          <w:szCs w:val="22"/>
        </w:rPr>
        <w:t> %</w:t>
      </w:r>
      <w:r w:rsidRPr="009C5EFD">
        <w:rPr>
          <w:sz w:val="22"/>
          <w:szCs w:val="22"/>
        </w:rPr>
        <w:t>, [p = 0,014]).</w:t>
      </w:r>
    </w:p>
    <w:p w14:paraId="1109B1BE" w14:textId="77777777" w:rsidR="001E500F" w:rsidRDefault="001E500F" w:rsidP="009C5EFD">
      <w:pPr>
        <w:rPr>
          <w:sz w:val="22"/>
          <w:szCs w:val="22"/>
          <w:u w:val="single"/>
        </w:rPr>
      </w:pPr>
    </w:p>
    <w:p w14:paraId="3BF4808B" w14:textId="77777777" w:rsidR="00C06A5D" w:rsidRDefault="00E453CD" w:rsidP="00C06A5D">
      <w:pPr>
        <w:rPr>
          <w:sz w:val="22"/>
          <w:szCs w:val="22"/>
        </w:rPr>
      </w:pPr>
      <w:r w:rsidRPr="00553387">
        <w:rPr>
          <w:sz w:val="22"/>
          <w:szCs w:val="22"/>
        </w:rPr>
        <w:t xml:space="preserve">Psoriasisstudie IV sammenlignet effekt og sikkerhet av Humira versus placebo hos 217 </w:t>
      </w:r>
      <w:r>
        <w:rPr>
          <w:sz w:val="22"/>
          <w:szCs w:val="22"/>
        </w:rPr>
        <w:t>voksne</w:t>
      </w:r>
      <w:r w:rsidRPr="00553387">
        <w:rPr>
          <w:sz w:val="22"/>
          <w:szCs w:val="22"/>
        </w:rPr>
        <w:t xml:space="preserve"> pasienter med moderat til alvorlig neglepsoriasis. Pasientene fikk en startdose på 80 mg Humira etterfulgt av 40 mg annenhver uke (med oppstart én uke etter den første dosen) eller placebo i 26 uker, etterfulgt av en åpen forlengelses</w:t>
      </w:r>
      <w:r>
        <w:rPr>
          <w:sz w:val="22"/>
          <w:szCs w:val="22"/>
        </w:rPr>
        <w:t>periode</w:t>
      </w:r>
      <w:r w:rsidRPr="00553387">
        <w:rPr>
          <w:sz w:val="22"/>
          <w:szCs w:val="22"/>
        </w:rPr>
        <w:t xml:space="preserve"> med Humirabehandling i ytterligere 26 uker. Vurdering av neglepsoriasis inkluderte Modified Nail Psoriasis Severity Index (mNAPSI),</w:t>
      </w:r>
      <w:r>
        <w:rPr>
          <w:sz w:val="22"/>
          <w:szCs w:val="22"/>
        </w:rPr>
        <w:t xml:space="preserve"> Physician’s Global Assessment of Fingernail Psoriasis (PGA-F) og Nail Psoriasis Severity Index (NAPSI) (se tabell </w:t>
      </w:r>
      <w:r w:rsidR="00443470">
        <w:rPr>
          <w:sz w:val="22"/>
          <w:szCs w:val="22"/>
        </w:rPr>
        <w:t>1</w:t>
      </w:r>
      <w:r w:rsidR="00F85DF9">
        <w:rPr>
          <w:sz w:val="22"/>
          <w:szCs w:val="22"/>
        </w:rPr>
        <w:t>8</w:t>
      </w:r>
      <w:r>
        <w:rPr>
          <w:sz w:val="22"/>
          <w:szCs w:val="22"/>
        </w:rPr>
        <w:t>). Behandling med Humira viste en behandlingsfordel hos pasienter med neglepsoriasis med ulik grad av hudpåvirkning (BSA ≥ 10 % (60 % av pasientene) og BSA &lt; 10 % og ≥ 5 % (40 % av pasientene)).</w:t>
      </w:r>
    </w:p>
    <w:p w14:paraId="2DF42904" w14:textId="77777777" w:rsidR="00C06A5D" w:rsidRDefault="00C06A5D" w:rsidP="00C06A5D">
      <w:pPr>
        <w:rPr>
          <w:sz w:val="22"/>
          <w:szCs w:val="22"/>
        </w:rPr>
      </w:pPr>
    </w:p>
    <w:p w14:paraId="0AD6541A" w14:textId="77777777" w:rsidR="00C06A5D" w:rsidRPr="00FB0DDE" w:rsidRDefault="00E453CD" w:rsidP="00305FA0">
      <w:pPr>
        <w:pStyle w:val="gtctabletitleotherwise"/>
        <w:keepNext/>
        <w:spacing w:before="0"/>
        <w:rPr>
          <w:sz w:val="22"/>
          <w:szCs w:val="22"/>
          <w:lang w:val="nb-NO"/>
        </w:rPr>
      </w:pPr>
      <w:r w:rsidRPr="00FB0DDE">
        <w:rPr>
          <w:bCs w:val="0"/>
          <w:sz w:val="22"/>
          <w:szCs w:val="22"/>
          <w:lang w:val="nb-NO"/>
        </w:rPr>
        <w:t>Tabell</w:t>
      </w:r>
      <w:r>
        <w:rPr>
          <w:bCs w:val="0"/>
          <w:sz w:val="22"/>
          <w:szCs w:val="22"/>
          <w:lang w:val="nb-NO"/>
        </w:rPr>
        <w:t xml:space="preserve"> </w:t>
      </w:r>
      <w:r w:rsidR="00443470">
        <w:rPr>
          <w:bCs w:val="0"/>
          <w:sz w:val="22"/>
          <w:szCs w:val="22"/>
          <w:lang w:val="nb-NO"/>
        </w:rPr>
        <w:t>1</w:t>
      </w:r>
      <w:r w:rsidR="00642C33">
        <w:rPr>
          <w:bCs w:val="0"/>
          <w:sz w:val="22"/>
          <w:szCs w:val="22"/>
          <w:lang w:val="nb-NO"/>
        </w:rPr>
        <w:t>8</w:t>
      </w:r>
      <w:r w:rsidR="00BC4E83">
        <w:rPr>
          <w:bCs w:val="0"/>
          <w:sz w:val="22"/>
          <w:szCs w:val="22"/>
          <w:lang w:val="nb-NO"/>
        </w:rPr>
        <w:t>:</w:t>
      </w:r>
      <w:r w:rsidR="00443470">
        <w:rPr>
          <w:bCs w:val="0"/>
          <w:sz w:val="22"/>
          <w:szCs w:val="22"/>
          <w:lang w:val="nb-NO"/>
        </w:rPr>
        <w:t xml:space="preserve"> </w:t>
      </w:r>
      <w:r>
        <w:rPr>
          <w:bCs w:val="0"/>
          <w:sz w:val="22"/>
          <w:szCs w:val="22"/>
          <w:lang w:val="nb-NO"/>
        </w:rPr>
        <w:t xml:space="preserve">Psoriasisstudie IV </w:t>
      </w:r>
      <w:r w:rsidR="00F33557">
        <w:rPr>
          <w:bCs w:val="0"/>
          <w:sz w:val="22"/>
          <w:szCs w:val="22"/>
          <w:lang w:val="nb-NO"/>
        </w:rPr>
        <w:t>Effektresultater</w:t>
      </w:r>
      <w:r w:rsidRPr="00FB0DDE">
        <w:rPr>
          <w:bCs w:val="0"/>
          <w:sz w:val="22"/>
          <w:szCs w:val="22"/>
          <w:lang w:val="nb-NO"/>
        </w:rPr>
        <w:t xml:space="preserve"> ved 16, 26 og 52 </w:t>
      </w:r>
      <w:r>
        <w:rPr>
          <w:bCs w:val="0"/>
          <w:sz w:val="22"/>
          <w:szCs w:val="22"/>
          <w:lang w:val="nb-NO"/>
        </w:rPr>
        <w:t>uker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4644D4" w14:paraId="68A522B1" w14:textId="77777777" w:rsidTr="008460E8">
        <w:tc>
          <w:tcPr>
            <w:tcW w:w="2718" w:type="dxa"/>
            <w:vMerge w:val="restart"/>
          </w:tcPr>
          <w:p w14:paraId="5B650E29" w14:textId="77777777" w:rsidR="00C06A5D" w:rsidRPr="00901AFA" w:rsidRDefault="00E453CD" w:rsidP="00305FA0">
            <w:pPr>
              <w:pStyle w:val="gtctablespaceafter"/>
              <w:keepNext/>
              <w:spacing w:after="0"/>
              <w:rPr>
                <w:sz w:val="22"/>
                <w:szCs w:val="22"/>
              </w:rPr>
            </w:pPr>
            <w:r w:rsidRPr="00901AFA">
              <w:rPr>
                <w:sz w:val="22"/>
                <w:szCs w:val="22"/>
              </w:rPr>
              <w:t>End</w:t>
            </w:r>
            <w:r>
              <w:rPr>
                <w:sz w:val="22"/>
                <w:szCs w:val="22"/>
              </w:rPr>
              <w:t>e</w:t>
            </w:r>
            <w:r w:rsidRPr="00901AFA">
              <w:rPr>
                <w:sz w:val="22"/>
                <w:szCs w:val="22"/>
              </w:rPr>
              <w:t>p</w:t>
            </w:r>
            <w:r>
              <w:rPr>
                <w:sz w:val="22"/>
                <w:szCs w:val="22"/>
              </w:rPr>
              <w:t>unkt</w:t>
            </w:r>
          </w:p>
        </w:tc>
        <w:tc>
          <w:tcPr>
            <w:tcW w:w="2340" w:type="dxa"/>
            <w:gridSpan w:val="2"/>
          </w:tcPr>
          <w:p w14:paraId="4EDD14E2" w14:textId="77777777" w:rsidR="00C06A5D" w:rsidRPr="00901AFA" w:rsidRDefault="00E453CD" w:rsidP="00305FA0">
            <w:pPr>
              <w:pStyle w:val="gtctablespaceafter"/>
              <w:keepNext/>
              <w:spacing w:after="0"/>
              <w:jc w:val="center"/>
              <w:rPr>
                <w:sz w:val="22"/>
                <w:szCs w:val="22"/>
              </w:rPr>
            </w:pPr>
            <w:r>
              <w:rPr>
                <w:sz w:val="22"/>
                <w:szCs w:val="22"/>
              </w:rPr>
              <w:t>Uke</w:t>
            </w:r>
            <w:r w:rsidRPr="00901AFA">
              <w:rPr>
                <w:sz w:val="22"/>
                <w:szCs w:val="22"/>
              </w:rPr>
              <w:t xml:space="preserve"> 16</w:t>
            </w:r>
          </w:p>
          <w:p w14:paraId="127701B7" w14:textId="77777777" w:rsidR="00C06A5D" w:rsidRPr="00901AFA" w:rsidRDefault="00E453CD" w:rsidP="00305FA0">
            <w:pPr>
              <w:pStyle w:val="gtctablespaceafter"/>
              <w:keepNext/>
              <w:spacing w:after="0"/>
              <w:jc w:val="center"/>
              <w:rPr>
                <w:sz w:val="22"/>
                <w:szCs w:val="22"/>
              </w:rPr>
            </w:pPr>
            <w:r w:rsidRPr="00901AFA">
              <w:rPr>
                <w:sz w:val="22"/>
                <w:szCs w:val="22"/>
              </w:rPr>
              <w:t>Placebo</w:t>
            </w:r>
            <w:r>
              <w:rPr>
                <w:sz w:val="22"/>
                <w:szCs w:val="22"/>
              </w:rPr>
              <w:t>kontrollert</w:t>
            </w:r>
          </w:p>
        </w:tc>
        <w:tc>
          <w:tcPr>
            <w:tcW w:w="2250" w:type="dxa"/>
            <w:gridSpan w:val="2"/>
          </w:tcPr>
          <w:p w14:paraId="7A897443" w14:textId="77777777" w:rsidR="00C06A5D" w:rsidRPr="00901AFA" w:rsidRDefault="00E453CD" w:rsidP="00305FA0">
            <w:pPr>
              <w:pStyle w:val="gtctablespaceafter"/>
              <w:keepNext/>
              <w:spacing w:after="0"/>
              <w:jc w:val="center"/>
              <w:rPr>
                <w:sz w:val="22"/>
                <w:szCs w:val="22"/>
              </w:rPr>
            </w:pPr>
            <w:r>
              <w:rPr>
                <w:sz w:val="22"/>
                <w:szCs w:val="22"/>
              </w:rPr>
              <w:t>Uke</w:t>
            </w:r>
            <w:r w:rsidRPr="00901AFA">
              <w:rPr>
                <w:sz w:val="22"/>
                <w:szCs w:val="22"/>
              </w:rPr>
              <w:t xml:space="preserve"> 26</w:t>
            </w:r>
          </w:p>
          <w:p w14:paraId="063E23AE" w14:textId="77777777" w:rsidR="00C06A5D" w:rsidRPr="00901AFA" w:rsidRDefault="00E453CD" w:rsidP="00305FA0">
            <w:pPr>
              <w:pStyle w:val="gtctablespaceafter"/>
              <w:keepNext/>
              <w:spacing w:after="0"/>
              <w:jc w:val="center"/>
              <w:rPr>
                <w:sz w:val="22"/>
                <w:szCs w:val="22"/>
              </w:rPr>
            </w:pPr>
            <w:r w:rsidRPr="00901AFA">
              <w:rPr>
                <w:sz w:val="22"/>
                <w:szCs w:val="22"/>
              </w:rPr>
              <w:t>Placebo</w:t>
            </w:r>
            <w:r>
              <w:rPr>
                <w:sz w:val="22"/>
                <w:szCs w:val="22"/>
              </w:rPr>
              <w:t>kontrollert</w:t>
            </w:r>
          </w:p>
        </w:tc>
        <w:tc>
          <w:tcPr>
            <w:tcW w:w="2268" w:type="dxa"/>
          </w:tcPr>
          <w:p w14:paraId="18EB8F13" w14:textId="77777777" w:rsidR="00C06A5D" w:rsidRPr="00901AFA" w:rsidRDefault="00E453CD" w:rsidP="00305FA0">
            <w:pPr>
              <w:pStyle w:val="gtctablespaceafter"/>
              <w:keepNext/>
              <w:spacing w:after="0"/>
              <w:jc w:val="center"/>
              <w:rPr>
                <w:sz w:val="22"/>
                <w:szCs w:val="22"/>
              </w:rPr>
            </w:pPr>
            <w:r>
              <w:rPr>
                <w:sz w:val="22"/>
                <w:szCs w:val="22"/>
              </w:rPr>
              <w:t>Uke</w:t>
            </w:r>
            <w:r w:rsidRPr="00901AFA">
              <w:rPr>
                <w:sz w:val="22"/>
                <w:szCs w:val="22"/>
              </w:rPr>
              <w:t xml:space="preserve"> 52</w:t>
            </w:r>
          </w:p>
          <w:p w14:paraId="1FDC7C9C" w14:textId="77777777" w:rsidR="00C06A5D" w:rsidRPr="00901AFA" w:rsidRDefault="00E453CD" w:rsidP="00305FA0">
            <w:pPr>
              <w:pStyle w:val="gtctablespaceafter"/>
              <w:keepNext/>
              <w:spacing w:after="0"/>
              <w:jc w:val="center"/>
              <w:rPr>
                <w:sz w:val="22"/>
                <w:szCs w:val="22"/>
              </w:rPr>
            </w:pPr>
            <w:r>
              <w:rPr>
                <w:sz w:val="22"/>
                <w:szCs w:val="22"/>
              </w:rPr>
              <w:t>Åpen studie</w:t>
            </w:r>
          </w:p>
        </w:tc>
      </w:tr>
      <w:tr w:rsidR="004644D4" w14:paraId="7B435EA1" w14:textId="77777777" w:rsidTr="008460E8">
        <w:tc>
          <w:tcPr>
            <w:tcW w:w="2718" w:type="dxa"/>
            <w:vMerge/>
          </w:tcPr>
          <w:p w14:paraId="2230DF15" w14:textId="77777777" w:rsidR="00C06A5D" w:rsidRPr="00901AFA" w:rsidRDefault="00C06A5D" w:rsidP="00305FA0">
            <w:pPr>
              <w:pStyle w:val="gtctablespaceafter"/>
              <w:keepNext/>
              <w:spacing w:after="0"/>
              <w:rPr>
                <w:sz w:val="22"/>
                <w:szCs w:val="22"/>
              </w:rPr>
            </w:pPr>
          </w:p>
        </w:tc>
        <w:tc>
          <w:tcPr>
            <w:tcW w:w="1080" w:type="dxa"/>
          </w:tcPr>
          <w:p w14:paraId="47EAE8FE" w14:textId="77777777" w:rsidR="00C06A5D" w:rsidRPr="00901AFA" w:rsidRDefault="00E453CD" w:rsidP="00305FA0">
            <w:pPr>
              <w:pStyle w:val="gtctablespaceafter"/>
              <w:keepNext/>
              <w:spacing w:after="0"/>
              <w:jc w:val="center"/>
              <w:rPr>
                <w:sz w:val="22"/>
                <w:szCs w:val="22"/>
              </w:rPr>
            </w:pPr>
            <w:r w:rsidRPr="00901AFA">
              <w:rPr>
                <w:sz w:val="22"/>
              </w:rPr>
              <w:t>Placebo</w:t>
            </w:r>
            <w:r w:rsidRPr="00901AFA">
              <w:rPr>
                <w:sz w:val="22"/>
              </w:rPr>
              <w:br/>
              <w:t>N=108</w:t>
            </w:r>
          </w:p>
        </w:tc>
        <w:tc>
          <w:tcPr>
            <w:tcW w:w="1260" w:type="dxa"/>
          </w:tcPr>
          <w:p w14:paraId="19F9333D" w14:textId="77777777" w:rsidR="00C06A5D" w:rsidRPr="005078DC" w:rsidRDefault="00E453CD" w:rsidP="00305FA0">
            <w:pPr>
              <w:pStyle w:val="In-texttable"/>
              <w:spacing w:line="240" w:lineRule="auto"/>
              <w:jc w:val="center"/>
              <w:rPr>
                <w:rFonts w:ascii="Times New Roman" w:hAnsi="Times New Roman"/>
                <w:sz w:val="22"/>
                <w:lang w:val="nb-NO"/>
              </w:rPr>
            </w:pPr>
            <w:r w:rsidRPr="005078DC">
              <w:rPr>
                <w:rFonts w:ascii="Times New Roman" w:hAnsi="Times New Roman"/>
                <w:sz w:val="22"/>
                <w:lang w:val="nb-NO"/>
              </w:rPr>
              <w:t>Humira</w:t>
            </w:r>
          </w:p>
          <w:p w14:paraId="082F7245" w14:textId="77777777" w:rsidR="00C06A5D" w:rsidRPr="005078DC" w:rsidRDefault="00E453CD" w:rsidP="00305FA0">
            <w:pPr>
              <w:pStyle w:val="gtctablespaceafter"/>
              <w:keepNext/>
              <w:spacing w:after="0"/>
              <w:jc w:val="center"/>
              <w:rPr>
                <w:sz w:val="22"/>
                <w:szCs w:val="22"/>
                <w:lang w:val="nb-NO"/>
              </w:rPr>
            </w:pPr>
            <w:r w:rsidRPr="005078DC">
              <w:rPr>
                <w:sz w:val="22"/>
                <w:lang w:val="nb-NO"/>
              </w:rPr>
              <w:t xml:space="preserve">40 mg annenhver uke </w:t>
            </w:r>
            <w:r w:rsidRPr="005078DC">
              <w:rPr>
                <w:sz w:val="22"/>
                <w:lang w:val="nb-NO"/>
              </w:rPr>
              <w:br/>
              <w:t>N=109</w:t>
            </w:r>
          </w:p>
        </w:tc>
        <w:tc>
          <w:tcPr>
            <w:tcW w:w="990" w:type="dxa"/>
          </w:tcPr>
          <w:p w14:paraId="1F3F8301" w14:textId="77777777" w:rsidR="00C06A5D" w:rsidRPr="00901AFA" w:rsidRDefault="00E453CD" w:rsidP="00305FA0">
            <w:pPr>
              <w:pStyle w:val="gtctablespaceafter"/>
              <w:keepNext/>
              <w:spacing w:after="0"/>
              <w:jc w:val="center"/>
              <w:rPr>
                <w:sz w:val="22"/>
                <w:szCs w:val="22"/>
              </w:rPr>
            </w:pPr>
            <w:r w:rsidRPr="00901AFA">
              <w:rPr>
                <w:sz w:val="22"/>
              </w:rPr>
              <w:t>Placebo</w:t>
            </w:r>
            <w:r w:rsidRPr="00901AFA">
              <w:rPr>
                <w:sz w:val="22"/>
              </w:rPr>
              <w:br/>
              <w:t>N=108</w:t>
            </w:r>
          </w:p>
        </w:tc>
        <w:tc>
          <w:tcPr>
            <w:tcW w:w="1260" w:type="dxa"/>
          </w:tcPr>
          <w:p w14:paraId="62919135" w14:textId="77777777" w:rsidR="00C06A5D" w:rsidRPr="005078DC" w:rsidRDefault="00E453CD" w:rsidP="00305FA0">
            <w:pPr>
              <w:pStyle w:val="In-texttable"/>
              <w:spacing w:line="240" w:lineRule="auto"/>
              <w:jc w:val="center"/>
              <w:rPr>
                <w:rFonts w:ascii="Times New Roman" w:hAnsi="Times New Roman"/>
                <w:sz w:val="22"/>
                <w:lang w:val="nb-NO"/>
              </w:rPr>
            </w:pPr>
            <w:r w:rsidRPr="005078DC">
              <w:rPr>
                <w:rFonts w:ascii="Times New Roman" w:hAnsi="Times New Roman"/>
                <w:sz w:val="22"/>
                <w:lang w:val="nb-NO"/>
              </w:rPr>
              <w:t>Humira</w:t>
            </w:r>
          </w:p>
          <w:p w14:paraId="057C81EA" w14:textId="77777777" w:rsidR="00C06A5D" w:rsidRPr="005078DC" w:rsidRDefault="00E453CD" w:rsidP="00305FA0">
            <w:pPr>
              <w:pStyle w:val="gtctablespaceafter"/>
              <w:keepNext/>
              <w:spacing w:after="0"/>
              <w:jc w:val="center"/>
              <w:rPr>
                <w:sz w:val="22"/>
                <w:szCs w:val="22"/>
                <w:lang w:val="nb-NO"/>
              </w:rPr>
            </w:pPr>
            <w:r w:rsidRPr="005078DC">
              <w:rPr>
                <w:sz w:val="22"/>
                <w:lang w:val="nb-NO"/>
              </w:rPr>
              <w:t xml:space="preserve">40 mg annenhver uke </w:t>
            </w:r>
            <w:r w:rsidRPr="005078DC">
              <w:rPr>
                <w:sz w:val="22"/>
                <w:lang w:val="nb-NO"/>
              </w:rPr>
              <w:br/>
              <w:t>N=109</w:t>
            </w:r>
          </w:p>
        </w:tc>
        <w:tc>
          <w:tcPr>
            <w:tcW w:w="2268" w:type="dxa"/>
          </w:tcPr>
          <w:p w14:paraId="14909174" w14:textId="77777777" w:rsidR="00C06A5D" w:rsidRPr="005078DC" w:rsidRDefault="00E453CD" w:rsidP="00305FA0">
            <w:pPr>
              <w:pStyle w:val="In-texttable"/>
              <w:spacing w:line="240" w:lineRule="auto"/>
              <w:jc w:val="center"/>
              <w:rPr>
                <w:rFonts w:ascii="Times New Roman" w:hAnsi="Times New Roman"/>
                <w:sz w:val="22"/>
                <w:lang w:val="nb-NO"/>
              </w:rPr>
            </w:pPr>
            <w:r w:rsidRPr="005078DC">
              <w:rPr>
                <w:rFonts w:ascii="Times New Roman" w:hAnsi="Times New Roman"/>
                <w:sz w:val="22"/>
                <w:lang w:val="nb-NO"/>
              </w:rPr>
              <w:t>Humira</w:t>
            </w:r>
          </w:p>
          <w:p w14:paraId="0928BF66" w14:textId="77777777" w:rsidR="00C06A5D" w:rsidRPr="005078DC" w:rsidRDefault="00E453CD" w:rsidP="00305FA0">
            <w:pPr>
              <w:pStyle w:val="gtctablespaceafter"/>
              <w:keepNext/>
              <w:spacing w:after="0"/>
              <w:jc w:val="center"/>
              <w:rPr>
                <w:sz w:val="22"/>
                <w:szCs w:val="22"/>
                <w:lang w:val="nb-NO"/>
              </w:rPr>
            </w:pPr>
            <w:r w:rsidRPr="005078DC">
              <w:rPr>
                <w:sz w:val="22"/>
                <w:lang w:val="nb-NO"/>
              </w:rPr>
              <w:t xml:space="preserve">40 mg annenhver uke </w:t>
            </w:r>
            <w:r w:rsidRPr="005078DC">
              <w:rPr>
                <w:sz w:val="22"/>
                <w:lang w:val="nb-NO"/>
              </w:rPr>
              <w:br/>
              <w:t>N=80</w:t>
            </w:r>
          </w:p>
        </w:tc>
      </w:tr>
      <w:tr w:rsidR="004644D4" w14:paraId="5902664C" w14:textId="77777777" w:rsidTr="008460E8">
        <w:tc>
          <w:tcPr>
            <w:tcW w:w="2718" w:type="dxa"/>
          </w:tcPr>
          <w:p w14:paraId="629237A1" w14:textId="77777777" w:rsidR="00C06A5D" w:rsidRPr="00901AFA" w:rsidRDefault="00E453CD" w:rsidP="00305FA0">
            <w:pPr>
              <w:pStyle w:val="gtctablespaceafter"/>
              <w:keepNext/>
              <w:spacing w:after="0"/>
              <w:rPr>
                <w:sz w:val="22"/>
                <w:szCs w:val="22"/>
              </w:rPr>
            </w:pPr>
            <w:r w:rsidRPr="00901AFA">
              <w:rPr>
                <w:sz w:val="22"/>
              </w:rPr>
              <w:t>≥ mNAPSI 75 (%)</w:t>
            </w:r>
          </w:p>
        </w:tc>
        <w:tc>
          <w:tcPr>
            <w:tcW w:w="1080" w:type="dxa"/>
          </w:tcPr>
          <w:p w14:paraId="1E6D001F" w14:textId="77777777" w:rsidR="00C06A5D" w:rsidRPr="00901AFA" w:rsidRDefault="00E453CD" w:rsidP="00305FA0">
            <w:pPr>
              <w:pStyle w:val="gtctablespaceafter"/>
              <w:keepNext/>
              <w:spacing w:after="0"/>
              <w:jc w:val="center"/>
              <w:rPr>
                <w:sz w:val="22"/>
                <w:szCs w:val="22"/>
              </w:rPr>
            </w:pPr>
            <w:r w:rsidRPr="00901AFA">
              <w:rPr>
                <w:sz w:val="22"/>
                <w:szCs w:val="22"/>
              </w:rPr>
              <w:t>2</w:t>
            </w:r>
            <w:r>
              <w:rPr>
                <w:sz w:val="22"/>
                <w:szCs w:val="22"/>
              </w:rPr>
              <w:t>,</w:t>
            </w:r>
            <w:r w:rsidRPr="00901AFA">
              <w:rPr>
                <w:sz w:val="22"/>
                <w:szCs w:val="22"/>
              </w:rPr>
              <w:t>9</w:t>
            </w:r>
          </w:p>
        </w:tc>
        <w:tc>
          <w:tcPr>
            <w:tcW w:w="1260" w:type="dxa"/>
          </w:tcPr>
          <w:p w14:paraId="56AA5690" w14:textId="77777777" w:rsidR="00C06A5D" w:rsidRPr="00901AFA" w:rsidRDefault="00E453CD" w:rsidP="00305FA0">
            <w:pPr>
              <w:pStyle w:val="gtctablespaceafter"/>
              <w:keepNext/>
              <w:spacing w:after="0"/>
              <w:jc w:val="center"/>
              <w:rPr>
                <w:sz w:val="22"/>
                <w:szCs w:val="22"/>
              </w:rPr>
            </w:pPr>
            <w:r w:rsidRPr="00901AFA">
              <w:rPr>
                <w:sz w:val="22"/>
                <w:szCs w:val="22"/>
              </w:rPr>
              <w:t>26</w:t>
            </w:r>
            <w:r>
              <w:rPr>
                <w:sz w:val="22"/>
                <w:szCs w:val="22"/>
              </w:rPr>
              <w:t>,</w:t>
            </w:r>
            <w:r w:rsidRPr="00901AFA">
              <w:rPr>
                <w:sz w:val="22"/>
                <w:szCs w:val="22"/>
              </w:rPr>
              <w:t>0</w:t>
            </w:r>
            <w:r w:rsidRPr="00B752E2">
              <w:rPr>
                <w:sz w:val="22"/>
                <w:szCs w:val="22"/>
                <w:vertAlign w:val="superscript"/>
              </w:rPr>
              <w:t>a</w:t>
            </w:r>
          </w:p>
        </w:tc>
        <w:tc>
          <w:tcPr>
            <w:tcW w:w="990" w:type="dxa"/>
          </w:tcPr>
          <w:p w14:paraId="5FC7C015" w14:textId="77777777" w:rsidR="00C06A5D" w:rsidRPr="00901AFA" w:rsidRDefault="00E453CD" w:rsidP="00305FA0">
            <w:pPr>
              <w:keepNext/>
              <w:jc w:val="center"/>
              <w:rPr>
                <w:szCs w:val="22"/>
              </w:rPr>
            </w:pPr>
            <w:r w:rsidRPr="00901AFA">
              <w:rPr>
                <w:szCs w:val="22"/>
              </w:rPr>
              <w:t>3</w:t>
            </w:r>
            <w:r>
              <w:rPr>
                <w:szCs w:val="22"/>
              </w:rPr>
              <w:t>,</w:t>
            </w:r>
            <w:r w:rsidRPr="00901AFA">
              <w:rPr>
                <w:szCs w:val="22"/>
              </w:rPr>
              <w:t>4</w:t>
            </w:r>
          </w:p>
        </w:tc>
        <w:tc>
          <w:tcPr>
            <w:tcW w:w="1260" w:type="dxa"/>
          </w:tcPr>
          <w:p w14:paraId="0D20C371" w14:textId="77777777" w:rsidR="00C06A5D" w:rsidRPr="00901AFA" w:rsidRDefault="00E453CD" w:rsidP="00305FA0">
            <w:pPr>
              <w:keepNext/>
              <w:jc w:val="center"/>
              <w:rPr>
                <w:szCs w:val="22"/>
              </w:rPr>
            </w:pPr>
            <w:r w:rsidRPr="00901AFA">
              <w:rPr>
                <w:szCs w:val="22"/>
              </w:rPr>
              <w:t>46</w:t>
            </w:r>
            <w:r>
              <w:rPr>
                <w:szCs w:val="22"/>
              </w:rPr>
              <w:t>,</w:t>
            </w:r>
            <w:r w:rsidRPr="00901AFA">
              <w:rPr>
                <w:szCs w:val="22"/>
              </w:rPr>
              <w:t>6</w:t>
            </w:r>
            <w:r w:rsidRPr="00901AFA">
              <w:rPr>
                <w:szCs w:val="22"/>
                <w:vertAlign w:val="superscript"/>
              </w:rPr>
              <w:t>a</w:t>
            </w:r>
          </w:p>
        </w:tc>
        <w:tc>
          <w:tcPr>
            <w:tcW w:w="2268" w:type="dxa"/>
          </w:tcPr>
          <w:p w14:paraId="3CF68969" w14:textId="77777777" w:rsidR="00C06A5D" w:rsidRPr="00901AFA" w:rsidRDefault="00E453CD" w:rsidP="00305FA0">
            <w:pPr>
              <w:pStyle w:val="gtctablespaceafter"/>
              <w:keepNext/>
              <w:spacing w:after="0"/>
              <w:jc w:val="center"/>
              <w:rPr>
                <w:sz w:val="22"/>
                <w:szCs w:val="22"/>
              </w:rPr>
            </w:pPr>
            <w:r w:rsidRPr="00901AFA">
              <w:rPr>
                <w:sz w:val="22"/>
                <w:szCs w:val="22"/>
              </w:rPr>
              <w:t>65</w:t>
            </w:r>
            <w:r>
              <w:rPr>
                <w:sz w:val="22"/>
                <w:szCs w:val="22"/>
              </w:rPr>
              <w:t>,</w:t>
            </w:r>
            <w:r w:rsidRPr="00901AFA">
              <w:rPr>
                <w:sz w:val="22"/>
                <w:szCs w:val="22"/>
              </w:rPr>
              <w:t>0</w:t>
            </w:r>
          </w:p>
        </w:tc>
      </w:tr>
      <w:tr w:rsidR="004644D4" w14:paraId="01746778" w14:textId="77777777" w:rsidTr="008460E8">
        <w:tc>
          <w:tcPr>
            <w:tcW w:w="2718" w:type="dxa"/>
          </w:tcPr>
          <w:p w14:paraId="4C1B53B1" w14:textId="77777777" w:rsidR="00C06A5D" w:rsidRPr="00FB0DDE" w:rsidRDefault="00E453CD" w:rsidP="00305FA0">
            <w:pPr>
              <w:pStyle w:val="gtctablespaceafter"/>
              <w:keepNext/>
              <w:spacing w:after="0"/>
              <w:rPr>
                <w:sz w:val="22"/>
                <w:szCs w:val="22"/>
                <w:lang w:val="nb-NO"/>
              </w:rPr>
            </w:pPr>
            <w:r w:rsidRPr="00FB0DDE">
              <w:rPr>
                <w:sz w:val="22"/>
                <w:szCs w:val="22"/>
                <w:lang w:val="nb-NO"/>
              </w:rPr>
              <w:t>PGA-F klar/minimal og  ≥</w:t>
            </w:r>
            <w:r>
              <w:rPr>
                <w:sz w:val="22"/>
                <w:szCs w:val="22"/>
                <w:lang w:val="nb-NO"/>
              </w:rPr>
              <w:t xml:space="preserve"> </w:t>
            </w:r>
            <w:r w:rsidRPr="00FB0DDE">
              <w:rPr>
                <w:sz w:val="22"/>
                <w:szCs w:val="22"/>
                <w:lang w:val="nb-NO"/>
              </w:rPr>
              <w:t>2-grad forbedring (%)</w:t>
            </w:r>
          </w:p>
        </w:tc>
        <w:tc>
          <w:tcPr>
            <w:tcW w:w="1080" w:type="dxa"/>
          </w:tcPr>
          <w:p w14:paraId="4F667E39" w14:textId="77777777" w:rsidR="00C06A5D" w:rsidRPr="00901AFA" w:rsidRDefault="00E453CD" w:rsidP="00305FA0">
            <w:pPr>
              <w:pStyle w:val="gtctablespaceafter"/>
              <w:keepNext/>
              <w:spacing w:after="0"/>
              <w:jc w:val="center"/>
              <w:rPr>
                <w:sz w:val="22"/>
                <w:szCs w:val="22"/>
              </w:rPr>
            </w:pPr>
            <w:r w:rsidRPr="00901AFA">
              <w:rPr>
                <w:sz w:val="22"/>
                <w:szCs w:val="22"/>
              </w:rPr>
              <w:t>2</w:t>
            </w:r>
            <w:r>
              <w:rPr>
                <w:sz w:val="22"/>
                <w:szCs w:val="22"/>
              </w:rPr>
              <w:t>,</w:t>
            </w:r>
            <w:r w:rsidRPr="00901AFA">
              <w:rPr>
                <w:sz w:val="22"/>
                <w:szCs w:val="22"/>
              </w:rPr>
              <w:t>9</w:t>
            </w:r>
          </w:p>
        </w:tc>
        <w:tc>
          <w:tcPr>
            <w:tcW w:w="1260" w:type="dxa"/>
          </w:tcPr>
          <w:p w14:paraId="2A053124" w14:textId="77777777" w:rsidR="00C06A5D" w:rsidRPr="00901AFA" w:rsidRDefault="00E453CD" w:rsidP="00305FA0">
            <w:pPr>
              <w:pStyle w:val="gtctablespaceafter"/>
              <w:keepNext/>
              <w:spacing w:after="0"/>
              <w:jc w:val="center"/>
              <w:rPr>
                <w:sz w:val="22"/>
                <w:szCs w:val="22"/>
              </w:rPr>
            </w:pPr>
            <w:r w:rsidRPr="00901AFA">
              <w:rPr>
                <w:sz w:val="22"/>
                <w:szCs w:val="22"/>
              </w:rPr>
              <w:t>29</w:t>
            </w:r>
            <w:r>
              <w:rPr>
                <w:sz w:val="22"/>
                <w:szCs w:val="22"/>
              </w:rPr>
              <w:t>,</w:t>
            </w:r>
            <w:r w:rsidRPr="00901AFA">
              <w:rPr>
                <w:sz w:val="22"/>
                <w:szCs w:val="22"/>
              </w:rPr>
              <w:t>7</w:t>
            </w:r>
            <w:r w:rsidRPr="00901AFA">
              <w:rPr>
                <w:sz w:val="22"/>
                <w:szCs w:val="22"/>
                <w:vertAlign w:val="superscript"/>
              </w:rPr>
              <w:t>a</w:t>
            </w:r>
          </w:p>
        </w:tc>
        <w:tc>
          <w:tcPr>
            <w:tcW w:w="990" w:type="dxa"/>
          </w:tcPr>
          <w:p w14:paraId="243B0327" w14:textId="77777777" w:rsidR="00C06A5D" w:rsidRPr="00901AFA" w:rsidRDefault="00E453CD" w:rsidP="00305FA0">
            <w:pPr>
              <w:keepNext/>
              <w:jc w:val="center"/>
              <w:rPr>
                <w:szCs w:val="22"/>
              </w:rPr>
            </w:pPr>
            <w:r w:rsidRPr="00901AFA">
              <w:rPr>
                <w:szCs w:val="22"/>
              </w:rPr>
              <w:t>6</w:t>
            </w:r>
            <w:r>
              <w:rPr>
                <w:szCs w:val="22"/>
              </w:rPr>
              <w:t>,</w:t>
            </w:r>
            <w:r w:rsidRPr="00901AFA">
              <w:rPr>
                <w:szCs w:val="22"/>
              </w:rPr>
              <w:t>9</w:t>
            </w:r>
          </w:p>
        </w:tc>
        <w:tc>
          <w:tcPr>
            <w:tcW w:w="1260" w:type="dxa"/>
          </w:tcPr>
          <w:p w14:paraId="06F4B72E" w14:textId="77777777" w:rsidR="00C06A5D" w:rsidRPr="00901AFA" w:rsidRDefault="00E453CD" w:rsidP="00305FA0">
            <w:pPr>
              <w:keepNext/>
              <w:jc w:val="center"/>
              <w:rPr>
                <w:szCs w:val="22"/>
              </w:rPr>
            </w:pPr>
            <w:r w:rsidRPr="00901AFA">
              <w:rPr>
                <w:szCs w:val="22"/>
              </w:rPr>
              <w:t>48</w:t>
            </w:r>
            <w:r>
              <w:rPr>
                <w:szCs w:val="22"/>
              </w:rPr>
              <w:t>,</w:t>
            </w:r>
            <w:r w:rsidRPr="00901AFA">
              <w:rPr>
                <w:szCs w:val="22"/>
              </w:rPr>
              <w:t>9</w:t>
            </w:r>
            <w:r w:rsidRPr="00901AFA">
              <w:rPr>
                <w:szCs w:val="22"/>
                <w:vertAlign w:val="superscript"/>
              </w:rPr>
              <w:t>a</w:t>
            </w:r>
          </w:p>
        </w:tc>
        <w:tc>
          <w:tcPr>
            <w:tcW w:w="2268" w:type="dxa"/>
          </w:tcPr>
          <w:p w14:paraId="7524022D" w14:textId="77777777" w:rsidR="00C06A5D" w:rsidRPr="00901AFA" w:rsidRDefault="00E453CD" w:rsidP="00305FA0">
            <w:pPr>
              <w:pStyle w:val="gtctablespaceafter"/>
              <w:keepNext/>
              <w:spacing w:after="0"/>
              <w:jc w:val="center"/>
              <w:rPr>
                <w:sz w:val="22"/>
                <w:szCs w:val="22"/>
              </w:rPr>
            </w:pPr>
            <w:r w:rsidRPr="00901AFA">
              <w:rPr>
                <w:sz w:val="22"/>
                <w:szCs w:val="22"/>
              </w:rPr>
              <w:t>61</w:t>
            </w:r>
            <w:r>
              <w:rPr>
                <w:sz w:val="22"/>
                <w:szCs w:val="22"/>
              </w:rPr>
              <w:t>,</w:t>
            </w:r>
            <w:r w:rsidRPr="00901AFA">
              <w:rPr>
                <w:sz w:val="22"/>
                <w:szCs w:val="22"/>
              </w:rPr>
              <w:t>3</w:t>
            </w:r>
          </w:p>
        </w:tc>
      </w:tr>
      <w:tr w:rsidR="004644D4" w14:paraId="6309A998" w14:textId="77777777" w:rsidTr="008460E8">
        <w:tc>
          <w:tcPr>
            <w:tcW w:w="2718" w:type="dxa"/>
          </w:tcPr>
          <w:p w14:paraId="69B22874" w14:textId="77777777" w:rsidR="00C06A5D" w:rsidRPr="00FB0DDE" w:rsidRDefault="00E453CD" w:rsidP="00305FA0">
            <w:pPr>
              <w:pStyle w:val="gtctablespaceafter"/>
              <w:keepNext/>
              <w:spacing w:after="0"/>
              <w:rPr>
                <w:sz w:val="22"/>
                <w:szCs w:val="22"/>
                <w:lang w:val="nb-NO"/>
              </w:rPr>
            </w:pPr>
            <w:r w:rsidRPr="00FB0DDE">
              <w:rPr>
                <w:sz w:val="22"/>
                <w:szCs w:val="22"/>
                <w:lang w:val="nb-NO"/>
              </w:rPr>
              <w:t>Prosentvis endring i total fingernegl NAPSI (%)</w:t>
            </w:r>
          </w:p>
        </w:tc>
        <w:tc>
          <w:tcPr>
            <w:tcW w:w="1080" w:type="dxa"/>
          </w:tcPr>
          <w:p w14:paraId="72C6DD61" w14:textId="77777777" w:rsidR="00C06A5D" w:rsidRPr="00901AFA" w:rsidRDefault="00E453CD" w:rsidP="00305FA0">
            <w:pPr>
              <w:pStyle w:val="gtctablespaceafter"/>
              <w:keepNext/>
              <w:spacing w:after="0"/>
              <w:jc w:val="center"/>
              <w:rPr>
                <w:sz w:val="22"/>
                <w:szCs w:val="22"/>
              </w:rPr>
            </w:pPr>
            <w:r w:rsidRPr="00901AFA">
              <w:rPr>
                <w:sz w:val="22"/>
                <w:szCs w:val="22"/>
              </w:rPr>
              <w:t>-7</w:t>
            </w:r>
            <w:r>
              <w:rPr>
                <w:sz w:val="22"/>
                <w:szCs w:val="22"/>
              </w:rPr>
              <w:t>,</w:t>
            </w:r>
            <w:r w:rsidRPr="00901AFA">
              <w:rPr>
                <w:sz w:val="22"/>
                <w:szCs w:val="22"/>
              </w:rPr>
              <w:t>8</w:t>
            </w:r>
          </w:p>
        </w:tc>
        <w:tc>
          <w:tcPr>
            <w:tcW w:w="1260" w:type="dxa"/>
          </w:tcPr>
          <w:p w14:paraId="5227C57A" w14:textId="77777777" w:rsidR="00C06A5D" w:rsidRPr="00901AFA" w:rsidRDefault="00E453CD" w:rsidP="00305FA0">
            <w:pPr>
              <w:pStyle w:val="gtctablespaceafter"/>
              <w:keepNext/>
              <w:spacing w:after="0"/>
              <w:jc w:val="center"/>
              <w:rPr>
                <w:sz w:val="22"/>
                <w:szCs w:val="22"/>
              </w:rPr>
            </w:pPr>
            <w:r w:rsidRPr="00901AFA">
              <w:rPr>
                <w:sz w:val="22"/>
                <w:szCs w:val="22"/>
              </w:rPr>
              <w:t>-44</w:t>
            </w:r>
            <w:r>
              <w:rPr>
                <w:sz w:val="22"/>
                <w:szCs w:val="22"/>
              </w:rPr>
              <w:t>,</w:t>
            </w:r>
            <w:r w:rsidRPr="00901AFA">
              <w:rPr>
                <w:sz w:val="22"/>
                <w:szCs w:val="22"/>
              </w:rPr>
              <w:t>2</w:t>
            </w:r>
            <w:r w:rsidRPr="00901AFA">
              <w:rPr>
                <w:sz w:val="22"/>
                <w:szCs w:val="22"/>
                <w:vertAlign w:val="superscript"/>
              </w:rPr>
              <w:t xml:space="preserve"> a</w:t>
            </w:r>
          </w:p>
        </w:tc>
        <w:tc>
          <w:tcPr>
            <w:tcW w:w="990" w:type="dxa"/>
          </w:tcPr>
          <w:p w14:paraId="5ACFC13F" w14:textId="77777777" w:rsidR="00C06A5D" w:rsidRPr="00901AFA" w:rsidRDefault="00E453CD" w:rsidP="00305FA0">
            <w:pPr>
              <w:keepNext/>
              <w:jc w:val="center"/>
              <w:rPr>
                <w:szCs w:val="22"/>
              </w:rPr>
            </w:pPr>
            <w:r w:rsidRPr="00901AFA">
              <w:rPr>
                <w:szCs w:val="22"/>
              </w:rPr>
              <w:t>-11</w:t>
            </w:r>
            <w:r>
              <w:rPr>
                <w:szCs w:val="22"/>
              </w:rPr>
              <w:t>,</w:t>
            </w:r>
            <w:r w:rsidRPr="00901AFA">
              <w:rPr>
                <w:szCs w:val="22"/>
              </w:rPr>
              <w:t>5</w:t>
            </w:r>
          </w:p>
        </w:tc>
        <w:tc>
          <w:tcPr>
            <w:tcW w:w="1260" w:type="dxa"/>
          </w:tcPr>
          <w:p w14:paraId="6F356540" w14:textId="77777777" w:rsidR="00C06A5D" w:rsidRPr="00901AFA" w:rsidRDefault="00E453CD" w:rsidP="00305FA0">
            <w:pPr>
              <w:keepNext/>
              <w:jc w:val="center"/>
              <w:rPr>
                <w:szCs w:val="22"/>
              </w:rPr>
            </w:pPr>
            <w:r w:rsidRPr="00901AFA">
              <w:rPr>
                <w:szCs w:val="22"/>
              </w:rPr>
              <w:t>-56</w:t>
            </w:r>
            <w:r>
              <w:rPr>
                <w:szCs w:val="22"/>
              </w:rPr>
              <w:t>,</w:t>
            </w:r>
            <w:r w:rsidRPr="00901AFA">
              <w:rPr>
                <w:szCs w:val="22"/>
              </w:rPr>
              <w:t>2</w:t>
            </w:r>
            <w:r w:rsidRPr="00901AFA">
              <w:rPr>
                <w:szCs w:val="22"/>
                <w:vertAlign w:val="superscript"/>
              </w:rPr>
              <w:t>a</w:t>
            </w:r>
          </w:p>
        </w:tc>
        <w:tc>
          <w:tcPr>
            <w:tcW w:w="2268" w:type="dxa"/>
          </w:tcPr>
          <w:p w14:paraId="6E7A4082" w14:textId="77777777" w:rsidR="00C06A5D" w:rsidRPr="00901AFA" w:rsidRDefault="00E453CD" w:rsidP="00305FA0">
            <w:pPr>
              <w:pStyle w:val="gtctablespaceafter"/>
              <w:keepNext/>
              <w:spacing w:after="0"/>
              <w:jc w:val="center"/>
              <w:rPr>
                <w:sz w:val="22"/>
                <w:szCs w:val="22"/>
              </w:rPr>
            </w:pPr>
            <w:r w:rsidRPr="00901AFA">
              <w:rPr>
                <w:sz w:val="22"/>
                <w:szCs w:val="22"/>
              </w:rPr>
              <w:t>-72</w:t>
            </w:r>
            <w:r>
              <w:rPr>
                <w:sz w:val="22"/>
                <w:szCs w:val="22"/>
              </w:rPr>
              <w:t>,</w:t>
            </w:r>
            <w:r w:rsidRPr="00901AFA">
              <w:rPr>
                <w:sz w:val="22"/>
                <w:szCs w:val="22"/>
              </w:rPr>
              <w:t>2</w:t>
            </w:r>
          </w:p>
        </w:tc>
      </w:tr>
      <w:tr w:rsidR="004644D4" w:rsidRPr="00090EDA" w14:paraId="3F775A22" w14:textId="77777777" w:rsidTr="008460E8">
        <w:tc>
          <w:tcPr>
            <w:tcW w:w="9576" w:type="dxa"/>
            <w:gridSpan w:val="6"/>
          </w:tcPr>
          <w:p w14:paraId="04BC1B7E" w14:textId="77777777" w:rsidR="00C06A5D" w:rsidRPr="00E04B2A" w:rsidRDefault="00E453CD" w:rsidP="00305FA0">
            <w:pPr>
              <w:pStyle w:val="gtctablespaceafter"/>
              <w:keepNext/>
              <w:spacing w:after="0"/>
              <w:rPr>
                <w:sz w:val="22"/>
                <w:szCs w:val="22"/>
                <w:lang w:val="pt-PT"/>
              </w:rPr>
            </w:pPr>
            <w:r w:rsidRPr="00E04B2A">
              <w:rPr>
                <w:sz w:val="22"/>
                <w:szCs w:val="22"/>
                <w:vertAlign w:val="superscript"/>
                <w:lang w:val="pt-PT"/>
              </w:rPr>
              <w:t>a</w:t>
            </w:r>
            <w:r w:rsidRPr="00E04B2A">
              <w:rPr>
                <w:sz w:val="22"/>
                <w:szCs w:val="22"/>
                <w:lang w:val="pt-PT"/>
              </w:rPr>
              <w:t xml:space="preserve"> p &lt; 0,001, Humira </w:t>
            </w:r>
            <w:r w:rsidRPr="00E04B2A">
              <w:rPr>
                <w:i/>
                <w:sz w:val="22"/>
                <w:szCs w:val="22"/>
                <w:lang w:val="pt-PT"/>
              </w:rPr>
              <w:t>vs.</w:t>
            </w:r>
            <w:r w:rsidRPr="00E04B2A">
              <w:rPr>
                <w:sz w:val="22"/>
                <w:szCs w:val="22"/>
                <w:lang w:val="pt-PT"/>
              </w:rPr>
              <w:t xml:space="preserve"> placebo </w:t>
            </w:r>
          </w:p>
        </w:tc>
      </w:tr>
    </w:tbl>
    <w:p w14:paraId="60C9AE61" w14:textId="77777777" w:rsidR="00C06A5D" w:rsidRPr="00E04B2A" w:rsidRDefault="00C06A5D" w:rsidP="00C06A5D">
      <w:pPr>
        <w:rPr>
          <w:sz w:val="22"/>
          <w:szCs w:val="22"/>
          <w:lang w:val="pt-PT"/>
        </w:rPr>
      </w:pPr>
    </w:p>
    <w:p w14:paraId="3433ABE3" w14:textId="77777777" w:rsidR="00C06A5D" w:rsidRDefault="00E453CD" w:rsidP="00C06A5D">
      <w:pPr>
        <w:rPr>
          <w:sz w:val="22"/>
          <w:szCs w:val="22"/>
          <w:u w:val="single"/>
        </w:rPr>
      </w:pPr>
      <w:r w:rsidRPr="00FB0DDE">
        <w:rPr>
          <w:sz w:val="22"/>
          <w:szCs w:val="22"/>
        </w:rPr>
        <w:t>Pasienter behandlet med Humira viste ved uke 26</w:t>
      </w:r>
      <w:r w:rsidRPr="00350661">
        <w:rPr>
          <w:sz w:val="22"/>
          <w:szCs w:val="22"/>
        </w:rPr>
        <w:t xml:space="preserve"> </w:t>
      </w:r>
      <w:r w:rsidRPr="00FB0DDE">
        <w:rPr>
          <w:sz w:val="22"/>
          <w:szCs w:val="22"/>
        </w:rPr>
        <w:t>statistisk signifikant</w:t>
      </w:r>
      <w:r>
        <w:rPr>
          <w:sz w:val="22"/>
          <w:szCs w:val="22"/>
        </w:rPr>
        <w:t>e forbedringer sammenlignet med pasienter behandlet med pla</w:t>
      </w:r>
      <w:r w:rsidRPr="00AD50BB">
        <w:rPr>
          <w:sz w:val="22"/>
          <w:szCs w:val="22"/>
        </w:rPr>
        <w:t xml:space="preserve">cebo </w:t>
      </w:r>
      <w:r w:rsidRPr="007A3AEF">
        <w:rPr>
          <w:sz w:val="22"/>
          <w:szCs w:val="22"/>
        </w:rPr>
        <w:t>i DLQI.</w:t>
      </w:r>
    </w:p>
    <w:p w14:paraId="3D55E57A" w14:textId="77777777" w:rsidR="00C06A5D" w:rsidRPr="009C5EFD" w:rsidRDefault="00C06A5D" w:rsidP="009C5EFD">
      <w:pPr>
        <w:rPr>
          <w:sz w:val="22"/>
          <w:szCs w:val="22"/>
          <w:u w:val="single"/>
        </w:rPr>
      </w:pPr>
    </w:p>
    <w:p w14:paraId="23515423" w14:textId="77777777" w:rsidR="00A06174" w:rsidRPr="009C5EFD" w:rsidRDefault="00E453CD" w:rsidP="00AF70AD">
      <w:pPr>
        <w:keepNext/>
        <w:autoSpaceDE w:val="0"/>
        <w:autoSpaceDN w:val="0"/>
        <w:adjustRightInd w:val="0"/>
        <w:rPr>
          <w:rFonts w:eastAsia="TimesNewRoman"/>
          <w:i/>
          <w:sz w:val="22"/>
          <w:szCs w:val="22"/>
        </w:rPr>
      </w:pPr>
      <w:r w:rsidRPr="009C5EFD">
        <w:rPr>
          <w:rFonts w:eastAsia="TimesNewRoman"/>
          <w:i/>
          <w:sz w:val="22"/>
          <w:szCs w:val="22"/>
        </w:rPr>
        <w:t>Hidrosadenitt</w:t>
      </w:r>
    </w:p>
    <w:p w14:paraId="02157BE4" w14:textId="77777777" w:rsidR="00A06174" w:rsidRPr="009C5EFD" w:rsidRDefault="00A06174" w:rsidP="00AF70AD">
      <w:pPr>
        <w:keepNext/>
        <w:autoSpaceDE w:val="0"/>
        <w:autoSpaceDN w:val="0"/>
        <w:adjustRightInd w:val="0"/>
        <w:rPr>
          <w:rFonts w:eastAsia="TimesNewRoman"/>
          <w:sz w:val="22"/>
          <w:szCs w:val="22"/>
        </w:rPr>
      </w:pPr>
    </w:p>
    <w:p w14:paraId="0D3E7DA6" w14:textId="77777777" w:rsidR="00A06174" w:rsidRPr="009C5EFD" w:rsidRDefault="00E453CD" w:rsidP="009C5EFD">
      <w:pPr>
        <w:autoSpaceDE w:val="0"/>
        <w:autoSpaceDN w:val="0"/>
        <w:adjustRightInd w:val="0"/>
        <w:rPr>
          <w:rFonts w:eastAsia="TimesNewRoman"/>
          <w:sz w:val="22"/>
          <w:szCs w:val="22"/>
        </w:rPr>
      </w:pPr>
      <w:r w:rsidRPr="009C5EFD">
        <w:rPr>
          <w:rFonts w:eastAsia="TimesNewRoman"/>
          <w:sz w:val="22"/>
          <w:szCs w:val="22"/>
        </w:rPr>
        <w:t xml:space="preserve">Sikkerhet og effekt av Humira ble vurdert i randomiserte, dobbeltblinde, placebo-kontrollerte studier og en </w:t>
      </w:r>
      <w:r w:rsidR="00B35987">
        <w:rPr>
          <w:rFonts w:eastAsia="TimesNewRoman"/>
          <w:sz w:val="22"/>
          <w:szCs w:val="22"/>
        </w:rPr>
        <w:t>åpen</w:t>
      </w:r>
      <w:r w:rsidRPr="009C5EFD">
        <w:rPr>
          <w:rFonts w:eastAsia="TimesNewRoman"/>
          <w:sz w:val="22"/>
          <w:szCs w:val="22"/>
        </w:rPr>
        <w:t xml:space="preserve"> forlengelsesstudie hos voksne pasienter med moderat til alvorlig </w:t>
      </w:r>
      <w:r w:rsidR="007F67EE" w:rsidRPr="009C5EFD">
        <w:rPr>
          <w:rFonts w:eastAsia="TimesNewRoman"/>
          <w:sz w:val="22"/>
          <w:szCs w:val="22"/>
        </w:rPr>
        <w:t>hidrosadenitt</w:t>
      </w:r>
      <w:r w:rsidRPr="009C5EFD">
        <w:rPr>
          <w:rFonts w:eastAsia="TimesNewRoman"/>
          <w:sz w:val="22"/>
          <w:szCs w:val="22"/>
        </w:rPr>
        <w:t xml:space="preserve"> (HS) som var intolerante, hadde en kontraindikasjon eller en utilstrekkelig respons </w:t>
      </w:r>
      <w:r w:rsidR="00F05B3E">
        <w:rPr>
          <w:rFonts w:eastAsia="TimesNewRoman"/>
          <w:sz w:val="22"/>
          <w:szCs w:val="22"/>
        </w:rPr>
        <w:t>over</w:t>
      </w:r>
      <w:r w:rsidRPr="009C5EFD">
        <w:rPr>
          <w:rFonts w:eastAsia="TimesNewRoman"/>
          <w:sz w:val="22"/>
          <w:szCs w:val="22"/>
        </w:rPr>
        <w:t xml:space="preserve"> minst en tre måneders </w:t>
      </w:r>
      <w:r w:rsidR="006528F9">
        <w:rPr>
          <w:rFonts w:eastAsia="TimesNewRoman"/>
          <w:sz w:val="22"/>
          <w:szCs w:val="22"/>
        </w:rPr>
        <w:t xml:space="preserve">behandlingsperiode med </w:t>
      </w:r>
      <w:r w:rsidRPr="009C5EFD">
        <w:rPr>
          <w:rFonts w:eastAsia="TimesNewRoman"/>
          <w:sz w:val="22"/>
          <w:szCs w:val="22"/>
        </w:rPr>
        <w:t>systemisk antibiotikabehandling. Pasientene i HS-I og HS-II hadde sykdomsgrad «Hurley Stage» II eller III med minst 3 abscesser eller inflammatoriske knuter/byller.</w:t>
      </w:r>
    </w:p>
    <w:p w14:paraId="3166F60A" w14:textId="77777777" w:rsidR="00A06174" w:rsidRPr="009C5EFD" w:rsidRDefault="00A06174" w:rsidP="009C5EFD">
      <w:pPr>
        <w:rPr>
          <w:sz w:val="22"/>
          <w:szCs w:val="22"/>
          <w:u w:val="single"/>
        </w:rPr>
      </w:pPr>
    </w:p>
    <w:p w14:paraId="55F9B8F6" w14:textId="77777777" w:rsidR="00A06174" w:rsidRPr="009C5EFD" w:rsidRDefault="00E453CD" w:rsidP="009C5EFD">
      <w:pPr>
        <w:autoSpaceDE w:val="0"/>
        <w:autoSpaceDN w:val="0"/>
        <w:adjustRightInd w:val="0"/>
        <w:rPr>
          <w:rFonts w:eastAsia="TimesNewRoman"/>
          <w:sz w:val="22"/>
          <w:szCs w:val="22"/>
        </w:rPr>
      </w:pPr>
      <w:r w:rsidRPr="009C5EFD">
        <w:rPr>
          <w:rFonts w:eastAsia="TimesNewRoman"/>
          <w:sz w:val="22"/>
          <w:szCs w:val="22"/>
        </w:rPr>
        <w:t xml:space="preserve">Studie HS-I (PIONEER I) undersøkte 307 pasienter innenfor to behandlingsperioder. I periode A fikk pasientene placebo eller Humira med en startdose på 160 mg ved uke 0, 80 mg ved uke 2 og 40 mg hver uke ved uke 4 til uke 11. Samtidig behandling med antibiotika ble ikke tillatt under studien. Etter 12 uker behandling ble pasientene som fikk Humira i periode A re-randomisert i periode B til </w:t>
      </w:r>
      <w:r w:rsidR="00F05B3E">
        <w:rPr>
          <w:rFonts w:eastAsia="TimesNewRoman"/>
          <w:sz w:val="22"/>
          <w:szCs w:val="22"/>
        </w:rPr>
        <w:t>é</w:t>
      </w:r>
      <w:r w:rsidR="00F05B3E" w:rsidRPr="009C5EFD">
        <w:rPr>
          <w:rFonts w:eastAsia="TimesNewRoman"/>
          <w:sz w:val="22"/>
          <w:szCs w:val="22"/>
        </w:rPr>
        <w:t>n</w:t>
      </w:r>
      <w:r w:rsidRPr="009C5EFD">
        <w:rPr>
          <w:rFonts w:eastAsia="TimesNewRoman"/>
          <w:sz w:val="22"/>
          <w:szCs w:val="22"/>
        </w:rPr>
        <w:t xml:space="preserve"> av tre behandlingsgrupper (40 mg Humira hver uke, 40 mg Humira annenhver uke, eller placebo fra uke 12 til uke 35). Pasientene som fikk placebo i periode A ble gitt Humira 40 mg hver uke i periode B.</w:t>
      </w:r>
    </w:p>
    <w:p w14:paraId="68399011" w14:textId="77777777" w:rsidR="00A06174" w:rsidRPr="009C5EFD" w:rsidRDefault="00A06174" w:rsidP="009C5EFD">
      <w:pPr>
        <w:autoSpaceDE w:val="0"/>
        <w:autoSpaceDN w:val="0"/>
        <w:adjustRightInd w:val="0"/>
        <w:rPr>
          <w:rFonts w:eastAsia="TimesNewRoman"/>
          <w:sz w:val="22"/>
          <w:szCs w:val="22"/>
        </w:rPr>
      </w:pPr>
    </w:p>
    <w:p w14:paraId="0358C47B" w14:textId="77777777" w:rsidR="00A06174" w:rsidRPr="009C5EFD" w:rsidRDefault="00E453CD" w:rsidP="009C5EFD">
      <w:pPr>
        <w:autoSpaceDE w:val="0"/>
        <w:autoSpaceDN w:val="0"/>
        <w:adjustRightInd w:val="0"/>
        <w:rPr>
          <w:rFonts w:eastAsia="TimesNewRoman"/>
          <w:sz w:val="22"/>
          <w:szCs w:val="22"/>
        </w:rPr>
      </w:pPr>
      <w:r w:rsidRPr="009C5EFD">
        <w:rPr>
          <w:rFonts w:eastAsia="TimesNewRoman"/>
          <w:sz w:val="22"/>
          <w:szCs w:val="22"/>
        </w:rPr>
        <w:lastRenderedPageBreak/>
        <w:t xml:space="preserve">Studie HS-II (PIONEER II) undersøkte 326 pasienter innenfor to behandlingsperioder. I periode A fikk pasientene placebo eller Humira med en startdose på 160 mg ved uke 0, 80 mg ved uke 2 og 40 mg hver uke ved uke 4 til uke 11. I løpet av studien fortsatte 19,3 % av pasientene med samtidig oral antiobiotikabehandling. Etter 12 ukers behandling ble pasientene som fikk Humira i periode A re-randomisert i periode B til </w:t>
      </w:r>
      <w:r w:rsidR="00F05B3E">
        <w:rPr>
          <w:rFonts w:eastAsia="TimesNewRoman"/>
          <w:sz w:val="22"/>
          <w:szCs w:val="22"/>
        </w:rPr>
        <w:t>é</w:t>
      </w:r>
      <w:r w:rsidR="00F05B3E" w:rsidRPr="009C5EFD">
        <w:rPr>
          <w:rFonts w:eastAsia="TimesNewRoman"/>
          <w:sz w:val="22"/>
          <w:szCs w:val="22"/>
        </w:rPr>
        <w:t>n</w:t>
      </w:r>
      <w:r w:rsidRPr="009C5EFD">
        <w:rPr>
          <w:rFonts w:eastAsia="TimesNewRoman"/>
          <w:sz w:val="22"/>
          <w:szCs w:val="22"/>
        </w:rPr>
        <w:t xml:space="preserve"> av tre behandlingsgrupper (40 mg Humira hver uke, 40 mg Humira annenhver uke, eller placebo fra uke 12 til uke 35). Pasientene som fikk placebo i periode A ble gitt placebo i periode B.</w:t>
      </w:r>
    </w:p>
    <w:p w14:paraId="7F765029" w14:textId="77777777" w:rsidR="00A06174" w:rsidRPr="009C5EFD" w:rsidRDefault="00A06174" w:rsidP="009C5EFD">
      <w:pPr>
        <w:autoSpaceDE w:val="0"/>
        <w:autoSpaceDN w:val="0"/>
        <w:adjustRightInd w:val="0"/>
        <w:rPr>
          <w:rFonts w:eastAsia="TimesNewRoman"/>
          <w:sz w:val="22"/>
          <w:szCs w:val="22"/>
        </w:rPr>
      </w:pPr>
    </w:p>
    <w:p w14:paraId="78EE3EE9" w14:textId="77777777" w:rsidR="00A06174" w:rsidRPr="009C5EFD" w:rsidRDefault="00E453CD" w:rsidP="009C5EFD">
      <w:pPr>
        <w:autoSpaceDE w:val="0"/>
        <w:autoSpaceDN w:val="0"/>
        <w:adjustRightInd w:val="0"/>
        <w:rPr>
          <w:rFonts w:eastAsia="TimesNewRoman"/>
          <w:sz w:val="22"/>
          <w:szCs w:val="22"/>
        </w:rPr>
      </w:pPr>
      <w:r w:rsidRPr="009C5EFD">
        <w:rPr>
          <w:rFonts w:eastAsia="TimesNewRoman"/>
          <w:sz w:val="22"/>
          <w:szCs w:val="22"/>
        </w:rPr>
        <w:t xml:space="preserve">Pasientene som deltok i studiene HS-I og HS-II var kvalifisert til å være med i en </w:t>
      </w:r>
      <w:r w:rsidR="00F05B3E">
        <w:rPr>
          <w:rFonts w:eastAsia="TimesNewRoman"/>
          <w:sz w:val="22"/>
          <w:szCs w:val="22"/>
        </w:rPr>
        <w:t>åpen</w:t>
      </w:r>
      <w:r w:rsidRPr="009C5EFD">
        <w:rPr>
          <w:rFonts w:eastAsia="TimesNewRoman"/>
          <w:sz w:val="22"/>
          <w:szCs w:val="22"/>
        </w:rPr>
        <w:t xml:space="preserve"> forlengelsesstudie hvor 40 mg Humira ble administrert hver uke. </w:t>
      </w:r>
      <w:r w:rsidR="00695E95">
        <w:rPr>
          <w:rFonts w:eastAsia="TimesNewRoman"/>
          <w:sz w:val="22"/>
          <w:szCs w:val="22"/>
        </w:rPr>
        <w:t xml:space="preserve">Gjennomsnittlig eksponering i alle adalimumab-populasjoner var 762 dager. </w:t>
      </w:r>
      <w:r w:rsidRPr="009C5EFD">
        <w:rPr>
          <w:rFonts w:eastAsia="TimesNewRoman"/>
          <w:sz w:val="22"/>
          <w:szCs w:val="22"/>
        </w:rPr>
        <w:t>Pasientene brukte topikal antiseptisk vask daglig gjennom alle de tre studiene.</w:t>
      </w:r>
    </w:p>
    <w:p w14:paraId="66F060F6" w14:textId="77777777" w:rsidR="00A06174" w:rsidRPr="009C5EFD" w:rsidRDefault="00A06174" w:rsidP="009C5EFD">
      <w:pPr>
        <w:autoSpaceDE w:val="0"/>
        <w:autoSpaceDN w:val="0"/>
        <w:adjustRightInd w:val="0"/>
        <w:rPr>
          <w:rFonts w:eastAsia="TimesNewRoman"/>
          <w:sz w:val="22"/>
          <w:szCs w:val="22"/>
        </w:rPr>
      </w:pPr>
    </w:p>
    <w:p w14:paraId="2EC4A1FF" w14:textId="77777777" w:rsidR="00A06174" w:rsidRPr="009C5EFD" w:rsidRDefault="00E453CD" w:rsidP="00AF70AD">
      <w:pPr>
        <w:keepNext/>
        <w:autoSpaceDE w:val="0"/>
        <w:autoSpaceDN w:val="0"/>
        <w:adjustRightInd w:val="0"/>
        <w:rPr>
          <w:rFonts w:eastAsia="TimesNewRoman"/>
          <w:i/>
          <w:sz w:val="22"/>
          <w:szCs w:val="22"/>
          <w:u w:val="single"/>
        </w:rPr>
      </w:pPr>
      <w:r w:rsidRPr="009C5EFD">
        <w:rPr>
          <w:rFonts w:eastAsia="TimesNewRoman"/>
          <w:i/>
          <w:sz w:val="22"/>
          <w:szCs w:val="22"/>
          <w:u w:val="single"/>
        </w:rPr>
        <w:t>Klinisk respons</w:t>
      </w:r>
    </w:p>
    <w:p w14:paraId="48878B4D" w14:textId="77777777" w:rsidR="00A06174" w:rsidRPr="009C5EFD" w:rsidRDefault="00A06174" w:rsidP="00AF70AD">
      <w:pPr>
        <w:keepNext/>
        <w:autoSpaceDE w:val="0"/>
        <w:autoSpaceDN w:val="0"/>
        <w:adjustRightInd w:val="0"/>
        <w:rPr>
          <w:rFonts w:eastAsia="TimesNewRoman"/>
          <w:sz w:val="22"/>
          <w:szCs w:val="22"/>
        </w:rPr>
      </w:pPr>
    </w:p>
    <w:p w14:paraId="12F7F6BF" w14:textId="77777777" w:rsidR="00A06174" w:rsidRPr="009C5EFD" w:rsidRDefault="00E453CD" w:rsidP="009C5EFD">
      <w:pPr>
        <w:autoSpaceDE w:val="0"/>
        <w:autoSpaceDN w:val="0"/>
        <w:adjustRightInd w:val="0"/>
        <w:rPr>
          <w:rFonts w:eastAsia="TimesNewRoman"/>
          <w:sz w:val="22"/>
          <w:szCs w:val="22"/>
        </w:rPr>
      </w:pPr>
      <w:r w:rsidRPr="009C5EFD">
        <w:rPr>
          <w:rFonts w:eastAsia="TimesNewRoman"/>
          <w:sz w:val="22"/>
          <w:szCs w:val="22"/>
        </w:rPr>
        <w:t>Reduksjon av inflammatoriske sår og hindring av forverrelse av abscesser og rennende fistler ble undersøkt ved å bruke «</w:t>
      </w:r>
      <w:r w:rsidR="003A3FDB" w:rsidRPr="003A3FDB">
        <w:rPr>
          <w:rFonts w:eastAsia="TimesNewRoman"/>
          <w:sz w:val="22"/>
          <w:szCs w:val="22"/>
        </w:rPr>
        <w:t>Hidradenitis Suppurativa</w:t>
      </w:r>
      <w:r w:rsidRPr="009C5EFD">
        <w:rPr>
          <w:rFonts w:eastAsia="TimesNewRoman"/>
          <w:sz w:val="22"/>
          <w:szCs w:val="22"/>
        </w:rPr>
        <w:t xml:space="preserve"> Clinical Response» (HiSCR; </w:t>
      </w:r>
      <w:r w:rsidR="00E53515">
        <w:rPr>
          <w:rFonts w:eastAsia="TimesNewRoman"/>
          <w:sz w:val="22"/>
          <w:szCs w:val="22"/>
        </w:rPr>
        <w:t xml:space="preserve">minst en </w:t>
      </w:r>
      <w:r w:rsidRPr="009C5EFD">
        <w:rPr>
          <w:rFonts w:eastAsia="TimesNewRoman"/>
          <w:sz w:val="22"/>
          <w:szCs w:val="22"/>
        </w:rPr>
        <w:t>50 % reduksjon i total antall abscesser og inflammatoriske byller/knuter uten økning i antall abscesser og ingen økning av antall rennende fistler i forhold til start). Reduksjon i HS-relaterte hudsmerter ble undersøkt ved bruk av «Numerisk Rating Scale» hos pasienter som gikk inn i studien med en startscore på 3 eller høyere på en 11-punkts skala.</w:t>
      </w:r>
    </w:p>
    <w:p w14:paraId="4DC1B4D5" w14:textId="77777777" w:rsidR="00A06174" w:rsidRPr="009C5EFD" w:rsidRDefault="00A06174" w:rsidP="009C5EFD">
      <w:pPr>
        <w:autoSpaceDE w:val="0"/>
        <w:autoSpaceDN w:val="0"/>
        <w:adjustRightInd w:val="0"/>
        <w:rPr>
          <w:rFonts w:eastAsia="TimesNewRoman"/>
          <w:sz w:val="22"/>
          <w:szCs w:val="22"/>
        </w:rPr>
      </w:pPr>
    </w:p>
    <w:p w14:paraId="1B43391B" w14:textId="77777777" w:rsidR="00A06174" w:rsidRPr="009C5EFD" w:rsidRDefault="00E453CD" w:rsidP="009C5EFD">
      <w:pPr>
        <w:autoSpaceDE w:val="0"/>
        <w:autoSpaceDN w:val="0"/>
        <w:adjustRightInd w:val="0"/>
        <w:rPr>
          <w:rFonts w:eastAsia="TimesNewRoman"/>
          <w:sz w:val="22"/>
          <w:szCs w:val="22"/>
        </w:rPr>
      </w:pPr>
      <w:r w:rsidRPr="009C5EFD">
        <w:rPr>
          <w:rFonts w:eastAsia="TimesNewRoman"/>
          <w:sz w:val="22"/>
          <w:szCs w:val="22"/>
        </w:rPr>
        <w:t>Ved uke 12 oppnådde en signifikant høyere andel pasienter behandlet med Humira HiSCR versus de behandlet med placebo. Ved uke 12 opplevde en signifikant høyere andel pasienter i studien HS-II en klinisk relevant reduksjon av HS-relatert</w:t>
      </w:r>
      <w:r w:rsidR="00F05B3E">
        <w:rPr>
          <w:rFonts w:eastAsia="TimesNewRoman"/>
          <w:sz w:val="22"/>
          <w:szCs w:val="22"/>
        </w:rPr>
        <w:t>e</w:t>
      </w:r>
      <w:r w:rsidRPr="009C5EFD">
        <w:rPr>
          <w:rFonts w:eastAsia="TimesNewRoman"/>
          <w:sz w:val="22"/>
          <w:szCs w:val="22"/>
        </w:rPr>
        <w:t xml:space="preserve"> hudsmerte</w:t>
      </w:r>
      <w:r w:rsidR="00F05B3E">
        <w:rPr>
          <w:rFonts w:eastAsia="TimesNewRoman"/>
          <w:sz w:val="22"/>
          <w:szCs w:val="22"/>
        </w:rPr>
        <w:t>r</w:t>
      </w:r>
      <w:r w:rsidRPr="009C5EFD">
        <w:rPr>
          <w:rFonts w:eastAsia="TimesNewRoman"/>
          <w:sz w:val="22"/>
          <w:szCs w:val="22"/>
        </w:rPr>
        <w:t xml:space="preserve"> (se tabell </w:t>
      </w:r>
      <w:r w:rsidR="00634DDF">
        <w:rPr>
          <w:rFonts w:eastAsia="TimesNewRoman"/>
          <w:sz w:val="22"/>
          <w:szCs w:val="22"/>
        </w:rPr>
        <w:t>19</w:t>
      </w:r>
      <w:r w:rsidRPr="009C5EFD">
        <w:rPr>
          <w:rFonts w:eastAsia="TimesNewRoman"/>
          <w:sz w:val="22"/>
          <w:szCs w:val="22"/>
        </w:rPr>
        <w:t>). Pasienter behandlet med Humira hadde signifikant redusert risiko for sykdomsoppbluss i løpet av de første 12 ukene med behandling.</w:t>
      </w:r>
    </w:p>
    <w:p w14:paraId="7CF27F98" w14:textId="77777777" w:rsidR="00A06174" w:rsidRPr="009C5EFD" w:rsidRDefault="00A06174" w:rsidP="009C5EFD">
      <w:pPr>
        <w:autoSpaceDE w:val="0"/>
        <w:autoSpaceDN w:val="0"/>
        <w:adjustRightInd w:val="0"/>
        <w:rPr>
          <w:rFonts w:eastAsia="TimesNewRoman"/>
          <w:sz w:val="22"/>
          <w:szCs w:val="22"/>
        </w:rPr>
      </w:pPr>
    </w:p>
    <w:p w14:paraId="7E15F2A9" w14:textId="77777777" w:rsidR="00A06174" w:rsidRPr="001F5D4B" w:rsidRDefault="00E453CD" w:rsidP="009C5EFD">
      <w:pPr>
        <w:keepNext/>
        <w:keepLines/>
        <w:widowControl w:val="0"/>
        <w:spacing w:after="200" w:line="320" w:lineRule="exact"/>
        <w:ind w:left="360"/>
        <w:jc w:val="center"/>
        <w:rPr>
          <w:rFonts w:eastAsia="MS Mincho"/>
          <w:b/>
          <w:sz w:val="22"/>
          <w:szCs w:val="22"/>
          <w:lang w:eastAsia="ja-JP"/>
        </w:rPr>
      </w:pPr>
      <w:r w:rsidRPr="009C5EFD">
        <w:rPr>
          <w:rFonts w:eastAsia="MS Mincho"/>
          <w:b/>
          <w:sz w:val="22"/>
          <w:szCs w:val="22"/>
          <w:lang w:eastAsia="ja-JP"/>
        </w:rPr>
        <w:t xml:space="preserve">Tabell </w:t>
      </w:r>
      <w:r w:rsidR="00634DDF">
        <w:rPr>
          <w:rFonts w:eastAsia="MS Mincho"/>
          <w:b/>
          <w:sz w:val="22"/>
          <w:szCs w:val="22"/>
          <w:lang w:eastAsia="ja-JP"/>
        </w:rPr>
        <w:t>19</w:t>
      </w:r>
      <w:r w:rsidRPr="009C5EFD">
        <w:rPr>
          <w:rFonts w:eastAsia="MS Mincho"/>
          <w:b/>
          <w:sz w:val="22"/>
          <w:szCs w:val="22"/>
          <w:lang w:eastAsia="ja-JP"/>
        </w:rPr>
        <w:t xml:space="preserve">: </w:t>
      </w:r>
      <w:r w:rsidR="008406E9">
        <w:rPr>
          <w:rFonts w:eastAsia="MS Mincho"/>
          <w:b/>
          <w:sz w:val="22"/>
          <w:szCs w:val="22"/>
          <w:lang w:eastAsia="ja-JP"/>
        </w:rPr>
        <w:t>Effektresultater</w:t>
      </w:r>
      <w:r w:rsidRPr="009C5EFD">
        <w:rPr>
          <w:rFonts w:eastAsia="MS Mincho"/>
          <w:b/>
          <w:sz w:val="22"/>
          <w:szCs w:val="22"/>
          <w:lang w:eastAsia="ja-JP"/>
        </w:rPr>
        <w:t xml:space="preserve"> etter </w:t>
      </w:r>
      <w:r w:rsidRPr="009C5EFD">
        <w:rPr>
          <w:rFonts w:eastAsia="MS Mincho"/>
          <w:b/>
          <w:bCs/>
          <w:iCs/>
          <w:sz w:val="22"/>
          <w:szCs w:val="22"/>
          <w:lang w:eastAsia="ja-JP"/>
        </w:rPr>
        <w:t>12 uker, HS Studier I og II</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4644D4" w14:paraId="4FB9698D" w14:textId="77777777" w:rsidTr="00A06174">
        <w:trPr>
          <w:jc w:val="center"/>
        </w:trPr>
        <w:tc>
          <w:tcPr>
            <w:tcW w:w="2847" w:type="dxa"/>
            <w:vMerge w:val="restart"/>
            <w:tcMar>
              <w:top w:w="0" w:type="dxa"/>
              <w:left w:w="115" w:type="dxa"/>
              <w:bottom w:w="0" w:type="dxa"/>
              <w:right w:w="115" w:type="dxa"/>
            </w:tcMar>
            <w:vAlign w:val="bottom"/>
          </w:tcPr>
          <w:p w14:paraId="2B0B34C2" w14:textId="77777777" w:rsidR="00A06174" w:rsidRPr="007F67EE" w:rsidRDefault="00A06174" w:rsidP="009C5EFD">
            <w:pPr>
              <w:widowControl w:val="0"/>
              <w:rPr>
                <w:b/>
              </w:rPr>
            </w:pPr>
          </w:p>
        </w:tc>
        <w:tc>
          <w:tcPr>
            <w:tcW w:w="3186" w:type="dxa"/>
            <w:gridSpan w:val="2"/>
            <w:tcMar>
              <w:top w:w="0" w:type="dxa"/>
              <w:left w:w="115" w:type="dxa"/>
              <w:bottom w:w="0" w:type="dxa"/>
              <w:right w:w="115" w:type="dxa"/>
            </w:tcMar>
            <w:vAlign w:val="bottom"/>
          </w:tcPr>
          <w:p w14:paraId="67F3B796" w14:textId="77777777" w:rsidR="00A06174" w:rsidRPr="00776A84" w:rsidRDefault="00E453CD" w:rsidP="009C5EFD">
            <w:pPr>
              <w:widowControl w:val="0"/>
              <w:jc w:val="center"/>
              <w:rPr>
                <w:b/>
                <w:sz w:val="22"/>
                <w:szCs w:val="22"/>
              </w:rPr>
            </w:pPr>
            <w:r w:rsidRPr="00776A84">
              <w:rPr>
                <w:b/>
                <w:sz w:val="22"/>
                <w:szCs w:val="22"/>
              </w:rPr>
              <w:t>HS Studie I</w:t>
            </w:r>
          </w:p>
        </w:tc>
        <w:tc>
          <w:tcPr>
            <w:tcW w:w="3260" w:type="dxa"/>
            <w:gridSpan w:val="2"/>
            <w:tcMar>
              <w:top w:w="0" w:type="dxa"/>
              <w:left w:w="115" w:type="dxa"/>
              <w:bottom w:w="0" w:type="dxa"/>
              <w:right w:w="115" w:type="dxa"/>
            </w:tcMar>
            <w:vAlign w:val="bottom"/>
          </w:tcPr>
          <w:p w14:paraId="0BD6EFC7" w14:textId="77777777" w:rsidR="00A06174" w:rsidRPr="00776A84" w:rsidRDefault="00E453CD" w:rsidP="009C5EFD">
            <w:pPr>
              <w:widowControl w:val="0"/>
              <w:jc w:val="center"/>
              <w:rPr>
                <w:b/>
                <w:sz w:val="22"/>
                <w:szCs w:val="22"/>
              </w:rPr>
            </w:pPr>
            <w:r w:rsidRPr="00776A84">
              <w:rPr>
                <w:b/>
                <w:sz w:val="22"/>
                <w:szCs w:val="22"/>
              </w:rPr>
              <w:t>HS Studie II</w:t>
            </w:r>
          </w:p>
        </w:tc>
      </w:tr>
      <w:tr w:rsidR="004644D4" w14:paraId="5990C5F4" w14:textId="77777777" w:rsidTr="00A06174">
        <w:trPr>
          <w:jc w:val="center"/>
        </w:trPr>
        <w:tc>
          <w:tcPr>
            <w:tcW w:w="2847" w:type="dxa"/>
            <w:vMerge/>
            <w:tcMar>
              <w:top w:w="0" w:type="dxa"/>
              <w:left w:w="115" w:type="dxa"/>
              <w:bottom w:w="0" w:type="dxa"/>
              <w:right w:w="115" w:type="dxa"/>
            </w:tcMar>
            <w:vAlign w:val="center"/>
            <w:hideMark/>
          </w:tcPr>
          <w:p w14:paraId="17133246" w14:textId="77777777" w:rsidR="00A06174" w:rsidRPr="009C5EFD" w:rsidRDefault="00A06174" w:rsidP="009C5EFD">
            <w:pPr>
              <w:widowControl w:val="0"/>
            </w:pPr>
          </w:p>
        </w:tc>
        <w:tc>
          <w:tcPr>
            <w:tcW w:w="1440" w:type="dxa"/>
            <w:tcMar>
              <w:top w:w="0" w:type="dxa"/>
              <w:left w:w="115" w:type="dxa"/>
              <w:bottom w:w="0" w:type="dxa"/>
              <w:right w:w="115" w:type="dxa"/>
            </w:tcMar>
            <w:vAlign w:val="bottom"/>
            <w:hideMark/>
          </w:tcPr>
          <w:p w14:paraId="567C580F" w14:textId="77777777" w:rsidR="00A06174" w:rsidRPr="00776A84" w:rsidRDefault="00E453CD" w:rsidP="009C5EFD">
            <w:pPr>
              <w:widowControl w:val="0"/>
              <w:jc w:val="center"/>
              <w:rPr>
                <w:b/>
                <w:sz w:val="22"/>
                <w:szCs w:val="22"/>
              </w:rPr>
            </w:pPr>
            <w:r w:rsidRPr="00776A84">
              <w:rPr>
                <w:b/>
                <w:sz w:val="22"/>
                <w:szCs w:val="22"/>
              </w:rPr>
              <w:t>Placebo</w:t>
            </w:r>
          </w:p>
        </w:tc>
        <w:tc>
          <w:tcPr>
            <w:tcW w:w="1746" w:type="dxa"/>
            <w:tcMar>
              <w:top w:w="0" w:type="dxa"/>
              <w:left w:w="115" w:type="dxa"/>
              <w:bottom w:w="0" w:type="dxa"/>
              <w:right w:w="115" w:type="dxa"/>
            </w:tcMar>
            <w:vAlign w:val="bottom"/>
            <w:hideMark/>
          </w:tcPr>
          <w:p w14:paraId="7B4B0CDD" w14:textId="77777777" w:rsidR="00A06174" w:rsidRPr="00776A84" w:rsidRDefault="00E453CD" w:rsidP="009C5EFD">
            <w:pPr>
              <w:widowControl w:val="0"/>
              <w:jc w:val="center"/>
              <w:rPr>
                <w:b/>
                <w:sz w:val="22"/>
                <w:szCs w:val="22"/>
              </w:rPr>
            </w:pPr>
            <w:r w:rsidRPr="00776A84">
              <w:rPr>
                <w:b/>
                <w:sz w:val="22"/>
                <w:szCs w:val="22"/>
              </w:rPr>
              <w:t>Humira 40 mg Ukentlig</w:t>
            </w:r>
          </w:p>
        </w:tc>
        <w:tc>
          <w:tcPr>
            <w:tcW w:w="1404" w:type="dxa"/>
            <w:tcMar>
              <w:top w:w="0" w:type="dxa"/>
              <w:left w:w="115" w:type="dxa"/>
              <w:bottom w:w="0" w:type="dxa"/>
              <w:right w:w="115" w:type="dxa"/>
            </w:tcMar>
            <w:vAlign w:val="bottom"/>
            <w:hideMark/>
          </w:tcPr>
          <w:p w14:paraId="09397D30" w14:textId="77777777" w:rsidR="00A06174" w:rsidRPr="00776A84" w:rsidRDefault="00E453CD" w:rsidP="009C5EFD">
            <w:pPr>
              <w:widowControl w:val="0"/>
              <w:jc w:val="center"/>
              <w:rPr>
                <w:b/>
                <w:sz w:val="22"/>
                <w:szCs w:val="22"/>
              </w:rPr>
            </w:pPr>
            <w:r w:rsidRPr="00776A84">
              <w:rPr>
                <w:b/>
                <w:sz w:val="22"/>
                <w:szCs w:val="22"/>
              </w:rPr>
              <w:t xml:space="preserve">Placebo </w:t>
            </w:r>
          </w:p>
        </w:tc>
        <w:tc>
          <w:tcPr>
            <w:tcW w:w="1856" w:type="dxa"/>
            <w:tcMar>
              <w:top w:w="0" w:type="dxa"/>
              <w:left w:w="115" w:type="dxa"/>
              <w:bottom w:w="0" w:type="dxa"/>
              <w:right w:w="115" w:type="dxa"/>
            </w:tcMar>
            <w:vAlign w:val="bottom"/>
            <w:hideMark/>
          </w:tcPr>
          <w:p w14:paraId="7D845A7F" w14:textId="77777777" w:rsidR="00A06174" w:rsidRPr="00776A84" w:rsidRDefault="00E453CD" w:rsidP="009C5EFD">
            <w:pPr>
              <w:widowControl w:val="0"/>
              <w:jc w:val="center"/>
              <w:rPr>
                <w:b/>
                <w:sz w:val="22"/>
                <w:szCs w:val="22"/>
              </w:rPr>
            </w:pPr>
            <w:r w:rsidRPr="00776A84">
              <w:rPr>
                <w:b/>
                <w:sz w:val="22"/>
                <w:szCs w:val="22"/>
              </w:rPr>
              <w:t>Humira 40 mg Ukentlig</w:t>
            </w:r>
          </w:p>
        </w:tc>
      </w:tr>
      <w:tr w:rsidR="004644D4" w14:paraId="72CB1D81" w14:textId="77777777" w:rsidTr="00A06174">
        <w:trPr>
          <w:trHeight w:val="755"/>
          <w:jc w:val="center"/>
        </w:trPr>
        <w:tc>
          <w:tcPr>
            <w:tcW w:w="2847" w:type="dxa"/>
            <w:tcMar>
              <w:top w:w="0" w:type="dxa"/>
              <w:left w:w="115" w:type="dxa"/>
              <w:bottom w:w="0" w:type="dxa"/>
              <w:right w:w="115" w:type="dxa"/>
            </w:tcMar>
            <w:vAlign w:val="center"/>
            <w:hideMark/>
          </w:tcPr>
          <w:p w14:paraId="2206F962" w14:textId="77777777" w:rsidR="00A06174" w:rsidRPr="009C5EFD" w:rsidRDefault="00E453CD" w:rsidP="007F67EE">
            <w:pPr>
              <w:widowControl w:val="0"/>
              <w:rPr>
                <w:sz w:val="22"/>
                <w:szCs w:val="22"/>
              </w:rPr>
            </w:pPr>
            <w:r w:rsidRPr="009C5EFD">
              <w:rPr>
                <w:sz w:val="22"/>
                <w:szCs w:val="22"/>
              </w:rPr>
              <w:t>Hidrosadenitt</w:t>
            </w:r>
          </w:p>
          <w:p w14:paraId="0099F2FB" w14:textId="77777777" w:rsidR="00A06174" w:rsidRPr="009C5EFD" w:rsidRDefault="00E453CD" w:rsidP="007F67EE">
            <w:pPr>
              <w:widowControl w:val="0"/>
              <w:rPr>
                <w:sz w:val="22"/>
                <w:szCs w:val="22"/>
              </w:rPr>
            </w:pPr>
            <w:r w:rsidRPr="009C5EFD">
              <w:rPr>
                <w:sz w:val="22"/>
                <w:szCs w:val="22"/>
              </w:rPr>
              <w:t>Klinisk respons (HiSCR)</w:t>
            </w:r>
            <w:r w:rsidRPr="009C5EFD">
              <w:rPr>
                <w:sz w:val="22"/>
                <w:szCs w:val="22"/>
                <w:vertAlign w:val="superscript"/>
              </w:rPr>
              <w:t>a</w:t>
            </w:r>
            <w:r w:rsidRPr="009C5EFD">
              <w:rPr>
                <w:sz w:val="22"/>
                <w:szCs w:val="22"/>
              </w:rPr>
              <w:t xml:space="preserve"> </w:t>
            </w:r>
          </w:p>
          <w:p w14:paraId="2D0B3A83" w14:textId="77777777" w:rsidR="00A06174" w:rsidRPr="009C5EFD" w:rsidRDefault="00A06174" w:rsidP="00193D76">
            <w:pPr>
              <w:widowControl w:val="0"/>
              <w:rPr>
                <w:sz w:val="22"/>
                <w:szCs w:val="22"/>
              </w:rPr>
            </w:pPr>
          </w:p>
        </w:tc>
        <w:tc>
          <w:tcPr>
            <w:tcW w:w="1440" w:type="dxa"/>
            <w:tcMar>
              <w:top w:w="0" w:type="dxa"/>
              <w:left w:w="115" w:type="dxa"/>
              <w:bottom w:w="0" w:type="dxa"/>
              <w:right w:w="115" w:type="dxa"/>
            </w:tcMar>
            <w:hideMark/>
          </w:tcPr>
          <w:p w14:paraId="22D07754" w14:textId="77777777" w:rsidR="00A06174" w:rsidRPr="009C5EFD" w:rsidRDefault="00E453CD" w:rsidP="002D0790">
            <w:pPr>
              <w:widowControl w:val="0"/>
              <w:jc w:val="center"/>
              <w:rPr>
                <w:sz w:val="22"/>
                <w:szCs w:val="22"/>
              </w:rPr>
            </w:pPr>
            <w:r w:rsidRPr="009C5EFD">
              <w:rPr>
                <w:sz w:val="22"/>
                <w:szCs w:val="22"/>
              </w:rPr>
              <w:t>N = 154</w:t>
            </w:r>
            <w:r w:rsidRPr="009C5EFD">
              <w:rPr>
                <w:sz w:val="22"/>
                <w:szCs w:val="22"/>
              </w:rPr>
              <w:br/>
              <w:t>40 (26,0 %)</w:t>
            </w:r>
          </w:p>
        </w:tc>
        <w:tc>
          <w:tcPr>
            <w:tcW w:w="1746" w:type="dxa"/>
            <w:tcMar>
              <w:top w:w="0" w:type="dxa"/>
              <w:left w:w="115" w:type="dxa"/>
              <w:bottom w:w="0" w:type="dxa"/>
              <w:right w:w="115" w:type="dxa"/>
            </w:tcMar>
            <w:hideMark/>
          </w:tcPr>
          <w:p w14:paraId="327E9849" w14:textId="77777777" w:rsidR="00A06174" w:rsidRPr="009C5EFD" w:rsidRDefault="00E453CD" w:rsidP="00C07C98">
            <w:pPr>
              <w:widowControl w:val="0"/>
              <w:jc w:val="center"/>
              <w:rPr>
                <w:sz w:val="22"/>
                <w:szCs w:val="22"/>
              </w:rPr>
            </w:pPr>
            <w:r w:rsidRPr="009C5EFD">
              <w:rPr>
                <w:sz w:val="22"/>
                <w:szCs w:val="22"/>
              </w:rPr>
              <w:t>N = 153</w:t>
            </w:r>
            <w:r w:rsidRPr="009C5EFD">
              <w:rPr>
                <w:sz w:val="22"/>
                <w:szCs w:val="22"/>
              </w:rPr>
              <w:br/>
              <w:t>64 (41,8 %)</w:t>
            </w:r>
            <w:r w:rsidRPr="009C5EFD">
              <w:rPr>
                <w:sz w:val="22"/>
                <w:szCs w:val="22"/>
                <w:vertAlign w:val="superscript"/>
              </w:rPr>
              <w:t>*</w:t>
            </w:r>
          </w:p>
        </w:tc>
        <w:tc>
          <w:tcPr>
            <w:tcW w:w="1404" w:type="dxa"/>
            <w:tcMar>
              <w:top w:w="0" w:type="dxa"/>
              <w:left w:w="115" w:type="dxa"/>
              <w:bottom w:w="0" w:type="dxa"/>
              <w:right w:w="115" w:type="dxa"/>
            </w:tcMar>
          </w:tcPr>
          <w:p w14:paraId="3DA504A5" w14:textId="77777777" w:rsidR="00A06174" w:rsidRPr="009C5EFD" w:rsidRDefault="00E453CD" w:rsidP="00E14E58">
            <w:pPr>
              <w:widowControl w:val="0"/>
              <w:jc w:val="center"/>
              <w:rPr>
                <w:sz w:val="22"/>
                <w:szCs w:val="22"/>
              </w:rPr>
            </w:pPr>
            <w:r w:rsidRPr="009C5EFD">
              <w:rPr>
                <w:sz w:val="22"/>
                <w:szCs w:val="22"/>
              </w:rPr>
              <w:t>N=163</w:t>
            </w:r>
          </w:p>
          <w:p w14:paraId="7EB00125" w14:textId="77777777" w:rsidR="00A06174" w:rsidRPr="009C5EFD" w:rsidRDefault="00E453CD" w:rsidP="009C5EFD">
            <w:pPr>
              <w:widowControl w:val="0"/>
              <w:jc w:val="center"/>
              <w:rPr>
                <w:sz w:val="22"/>
                <w:szCs w:val="22"/>
              </w:rPr>
            </w:pPr>
            <w:r w:rsidRPr="009C5EFD">
              <w:rPr>
                <w:sz w:val="22"/>
                <w:szCs w:val="22"/>
              </w:rPr>
              <w:t>45 (27,6 %)</w:t>
            </w:r>
          </w:p>
        </w:tc>
        <w:tc>
          <w:tcPr>
            <w:tcW w:w="1856" w:type="dxa"/>
            <w:tcMar>
              <w:top w:w="0" w:type="dxa"/>
              <w:left w:w="115" w:type="dxa"/>
              <w:bottom w:w="0" w:type="dxa"/>
              <w:right w:w="115" w:type="dxa"/>
            </w:tcMar>
          </w:tcPr>
          <w:p w14:paraId="4128F0D0" w14:textId="77777777" w:rsidR="00A06174" w:rsidRPr="009C5EFD" w:rsidRDefault="00E453CD" w:rsidP="009C5EFD">
            <w:pPr>
              <w:widowControl w:val="0"/>
              <w:jc w:val="center"/>
              <w:rPr>
                <w:sz w:val="22"/>
                <w:szCs w:val="22"/>
              </w:rPr>
            </w:pPr>
            <w:r w:rsidRPr="009C5EFD">
              <w:rPr>
                <w:sz w:val="22"/>
                <w:szCs w:val="22"/>
              </w:rPr>
              <w:t>N=163</w:t>
            </w:r>
          </w:p>
          <w:p w14:paraId="5AAB2584" w14:textId="77777777" w:rsidR="00A06174" w:rsidRPr="009C5EFD" w:rsidRDefault="00E453CD" w:rsidP="009C5EFD">
            <w:pPr>
              <w:widowControl w:val="0"/>
              <w:jc w:val="center"/>
              <w:rPr>
                <w:sz w:val="22"/>
                <w:szCs w:val="22"/>
              </w:rPr>
            </w:pPr>
            <w:r w:rsidRPr="009C5EFD">
              <w:rPr>
                <w:sz w:val="22"/>
                <w:szCs w:val="22"/>
              </w:rPr>
              <w:t>96 (58,9 %)</w:t>
            </w:r>
            <w:r w:rsidRPr="009C5EFD">
              <w:rPr>
                <w:sz w:val="22"/>
                <w:szCs w:val="22"/>
                <w:vertAlign w:val="superscript"/>
              </w:rPr>
              <w:t>***</w:t>
            </w:r>
          </w:p>
        </w:tc>
      </w:tr>
      <w:tr w:rsidR="004644D4" w14:paraId="7B32F57B" w14:textId="77777777" w:rsidTr="00A06174">
        <w:trPr>
          <w:jc w:val="center"/>
        </w:trPr>
        <w:tc>
          <w:tcPr>
            <w:tcW w:w="2847" w:type="dxa"/>
            <w:tcMar>
              <w:top w:w="0" w:type="dxa"/>
              <w:left w:w="115" w:type="dxa"/>
              <w:bottom w:w="0" w:type="dxa"/>
              <w:right w:w="115" w:type="dxa"/>
            </w:tcMar>
            <w:vAlign w:val="center"/>
            <w:hideMark/>
          </w:tcPr>
          <w:p w14:paraId="7537D4EC" w14:textId="77777777" w:rsidR="00A06174" w:rsidRPr="009C5EFD" w:rsidRDefault="00E453CD" w:rsidP="007F67EE">
            <w:pPr>
              <w:widowControl w:val="0"/>
              <w:rPr>
                <w:sz w:val="22"/>
                <w:szCs w:val="22"/>
              </w:rPr>
            </w:pPr>
            <w:r w:rsidRPr="009C5EFD">
              <w:rPr>
                <w:sz w:val="22"/>
                <w:szCs w:val="22"/>
              </w:rPr>
              <w:t>≥ 30 % Reduksjon i hudsmerter</w:t>
            </w:r>
            <w:r w:rsidRPr="009C5EFD">
              <w:rPr>
                <w:sz w:val="22"/>
                <w:szCs w:val="22"/>
                <w:vertAlign w:val="superscript"/>
              </w:rPr>
              <w:t>b</w:t>
            </w:r>
          </w:p>
        </w:tc>
        <w:tc>
          <w:tcPr>
            <w:tcW w:w="1440" w:type="dxa"/>
            <w:tcMar>
              <w:top w:w="0" w:type="dxa"/>
              <w:left w:w="115" w:type="dxa"/>
              <w:bottom w:w="0" w:type="dxa"/>
              <w:right w:w="115" w:type="dxa"/>
            </w:tcMar>
            <w:hideMark/>
          </w:tcPr>
          <w:p w14:paraId="79F053B2" w14:textId="77777777" w:rsidR="00A06174" w:rsidRPr="009C5EFD" w:rsidRDefault="00E453CD" w:rsidP="007F67EE">
            <w:pPr>
              <w:widowControl w:val="0"/>
              <w:jc w:val="center"/>
              <w:rPr>
                <w:sz w:val="22"/>
                <w:szCs w:val="22"/>
              </w:rPr>
            </w:pPr>
            <w:r w:rsidRPr="009C5EFD">
              <w:rPr>
                <w:sz w:val="22"/>
                <w:szCs w:val="22"/>
              </w:rPr>
              <w:t>N = 109</w:t>
            </w:r>
            <w:r w:rsidRPr="009C5EFD">
              <w:rPr>
                <w:sz w:val="22"/>
                <w:szCs w:val="22"/>
              </w:rPr>
              <w:br/>
              <w:t>27 (24,8 %)</w:t>
            </w:r>
          </w:p>
        </w:tc>
        <w:tc>
          <w:tcPr>
            <w:tcW w:w="1746" w:type="dxa"/>
            <w:tcMar>
              <w:top w:w="0" w:type="dxa"/>
              <w:left w:w="115" w:type="dxa"/>
              <w:bottom w:w="0" w:type="dxa"/>
              <w:right w:w="115" w:type="dxa"/>
            </w:tcMar>
            <w:hideMark/>
          </w:tcPr>
          <w:p w14:paraId="13C7DE82" w14:textId="77777777" w:rsidR="00A06174" w:rsidRPr="009C5EFD" w:rsidRDefault="00E453CD" w:rsidP="00193D76">
            <w:pPr>
              <w:widowControl w:val="0"/>
              <w:jc w:val="center"/>
              <w:rPr>
                <w:sz w:val="22"/>
                <w:szCs w:val="22"/>
              </w:rPr>
            </w:pPr>
            <w:r w:rsidRPr="009C5EFD">
              <w:rPr>
                <w:sz w:val="22"/>
                <w:szCs w:val="22"/>
              </w:rPr>
              <w:t>N = 122</w:t>
            </w:r>
            <w:r w:rsidRPr="009C5EFD">
              <w:rPr>
                <w:sz w:val="22"/>
                <w:szCs w:val="22"/>
              </w:rPr>
              <w:br/>
              <w:t>34 (27,9 %)</w:t>
            </w:r>
          </w:p>
        </w:tc>
        <w:tc>
          <w:tcPr>
            <w:tcW w:w="1404" w:type="dxa"/>
            <w:tcMar>
              <w:top w:w="0" w:type="dxa"/>
              <w:left w:w="115" w:type="dxa"/>
              <w:bottom w:w="0" w:type="dxa"/>
              <w:right w:w="115" w:type="dxa"/>
            </w:tcMar>
          </w:tcPr>
          <w:p w14:paraId="75AFEB07" w14:textId="77777777" w:rsidR="00A06174" w:rsidRPr="009C5EFD" w:rsidRDefault="00E453CD" w:rsidP="002D0790">
            <w:pPr>
              <w:widowControl w:val="0"/>
              <w:jc w:val="center"/>
              <w:rPr>
                <w:sz w:val="22"/>
                <w:szCs w:val="22"/>
              </w:rPr>
            </w:pPr>
            <w:r w:rsidRPr="009C5EFD">
              <w:rPr>
                <w:sz w:val="22"/>
                <w:szCs w:val="22"/>
              </w:rPr>
              <w:t>N=111</w:t>
            </w:r>
          </w:p>
          <w:p w14:paraId="78D86885" w14:textId="77777777" w:rsidR="00A06174" w:rsidRPr="009C5EFD" w:rsidRDefault="00E453CD" w:rsidP="00C07C98">
            <w:pPr>
              <w:widowControl w:val="0"/>
              <w:jc w:val="center"/>
              <w:rPr>
                <w:sz w:val="22"/>
                <w:szCs w:val="22"/>
              </w:rPr>
            </w:pPr>
            <w:r w:rsidRPr="009C5EFD">
              <w:rPr>
                <w:sz w:val="22"/>
                <w:szCs w:val="22"/>
              </w:rPr>
              <w:t>23 (20,7 %)</w:t>
            </w:r>
          </w:p>
        </w:tc>
        <w:tc>
          <w:tcPr>
            <w:tcW w:w="1856" w:type="dxa"/>
            <w:tcMar>
              <w:top w:w="0" w:type="dxa"/>
              <w:left w:w="115" w:type="dxa"/>
              <w:bottom w:w="0" w:type="dxa"/>
              <w:right w:w="115" w:type="dxa"/>
            </w:tcMar>
          </w:tcPr>
          <w:p w14:paraId="212EB59F" w14:textId="77777777" w:rsidR="00A06174" w:rsidRPr="009C5EFD" w:rsidRDefault="00E453CD" w:rsidP="00E14E58">
            <w:pPr>
              <w:widowControl w:val="0"/>
              <w:jc w:val="center"/>
              <w:rPr>
                <w:sz w:val="22"/>
                <w:szCs w:val="22"/>
              </w:rPr>
            </w:pPr>
            <w:r w:rsidRPr="009C5EFD">
              <w:rPr>
                <w:sz w:val="22"/>
                <w:szCs w:val="22"/>
              </w:rPr>
              <w:t>N=105</w:t>
            </w:r>
          </w:p>
          <w:p w14:paraId="17FA5F9E" w14:textId="77777777" w:rsidR="00A06174" w:rsidRPr="009C5EFD" w:rsidRDefault="00E453CD" w:rsidP="009C5EFD">
            <w:pPr>
              <w:widowControl w:val="0"/>
              <w:jc w:val="center"/>
              <w:rPr>
                <w:sz w:val="22"/>
                <w:szCs w:val="22"/>
              </w:rPr>
            </w:pPr>
            <w:r w:rsidRPr="009C5EFD">
              <w:rPr>
                <w:sz w:val="22"/>
                <w:szCs w:val="22"/>
              </w:rPr>
              <w:t>48 (45,7 %)</w:t>
            </w:r>
            <w:r w:rsidRPr="009C5EFD">
              <w:rPr>
                <w:sz w:val="22"/>
                <w:szCs w:val="22"/>
                <w:vertAlign w:val="superscript"/>
              </w:rPr>
              <w:t>***</w:t>
            </w:r>
          </w:p>
        </w:tc>
      </w:tr>
      <w:tr w:rsidR="004644D4" w14:paraId="1E7E760D" w14:textId="77777777" w:rsidTr="00A06174">
        <w:trPr>
          <w:jc w:val="center"/>
        </w:trPr>
        <w:tc>
          <w:tcPr>
            <w:tcW w:w="9293" w:type="dxa"/>
            <w:gridSpan w:val="5"/>
            <w:tcMar>
              <w:top w:w="0" w:type="dxa"/>
              <w:left w:w="115" w:type="dxa"/>
              <w:bottom w:w="0" w:type="dxa"/>
              <w:right w:w="115" w:type="dxa"/>
            </w:tcMar>
            <w:vAlign w:val="center"/>
          </w:tcPr>
          <w:p w14:paraId="6D005BA7" w14:textId="77777777" w:rsidR="00A06174" w:rsidRPr="001F5D4B" w:rsidRDefault="00E453CD" w:rsidP="007F67EE">
            <w:pPr>
              <w:keepNext/>
              <w:widowControl w:val="0"/>
              <w:ind w:left="360"/>
              <w:rPr>
                <w:sz w:val="22"/>
                <w:szCs w:val="22"/>
                <w:lang w:val="en-US"/>
              </w:rPr>
            </w:pPr>
            <w:r w:rsidRPr="001F5D4B">
              <w:rPr>
                <w:sz w:val="22"/>
                <w:szCs w:val="22"/>
                <w:lang w:val="en-US"/>
              </w:rPr>
              <w:t>*</w:t>
            </w:r>
            <w:r w:rsidR="00F05B3E" w:rsidRPr="001F5D4B">
              <w:rPr>
                <w:i/>
                <w:sz w:val="22"/>
                <w:szCs w:val="22"/>
                <w:lang w:val="en-US"/>
              </w:rPr>
              <w:t>p</w:t>
            </w:r>
            <w:r w:rsidRPr="001F5D4B">
              <w:rPr>
                <w:sz w:val="22"/>
                <w:szCs w:val="22"/>
                <w:lang w:val="en-US"/>
              </w:rPr>
              <w:t xml:space="preserve"> &lt; 0,05, ***</w:t>
            </w:r>
            <w:r w:rsidR="00F05B3E" w:rsidRPr="001F5D4B">
              <w:rPr>
                <w:i/>
                <w:sz w:val="22"/>
                <w:szCs w:val="22"/>
                <w:lang w:val="en-US"/>
              </w:rPr>
              <w:t>p</w:t>
            </w:r>
            <w:r w:rsidRPr="001F5D4B">
              <w:rPr>
                <w:i/>
                <w:sz w:val="22"/>
                <w:szCs w:val="22"/>
                <w:lang w:val="en-US"/>
              </w:rPr>
              <w:t xml:space="preserve"> </w:t>
            </w:r>
            <w:r w:rsidRPr="001F5D4B">
              <w:rPr>
                <w:sz w:val="22"/>
                <w:szCs w:val="22"/>
                <w:lang w:val="en-US"/>
              </w:rPr>
              <w:t xml:space="preserve">&lt; 0,001, Humira versus placebo </w:t>
            </w:r>
          </w:p>
          <w:p w14:paraId="41C90C21" w14:textId="77777777" w:rsidR="00A06174" w:rsidRPr="009C5EFD" w:rsidRDefault="00E453CD" w:rsidP="00EE4677">
            <w:pPr>
              <w:keepNext/>
              <w:keepLines/>
              <w:widowControl w:val="0"/>
              <w:numPr>
                <w:ilvl w:val="0"/>
                <w:numId w:val="85"/>
              </w:numPr>
              <w:spacing w:line="240" w:lineRule="exact"/>
              <w:rPr>
                <w:sz w:val="22"/>
                <w:szCs w:val="22"/>
              </w:rPr>
            </w:pPr>
            <w:r w:rsidRPr="009C5EFD">
              <w:rPr>
                <w:sz w:val="22"/>
                <w:szCs w:val="22"/>
              </w:rPr>
              <w:t>Blant alle randomiserte pasienter.</w:t>
            </w:r>
          </w:p>
          <w:p w14:paraId="58E32E92" w14:textId="77777777" w:rsidR="00A06174" w:rsidRPr="009C5EFD" w:rsidRDefault="00E453CD" w:rsidP="00EE4677">
            <w:pPr>
              <w:keepNext/>
              <w:keepLines/>
              <w:widowControl w:val="0"/>
              <w:numPr>
                <w:ilvl w:val="0"/>
                <w:numId w:val="85"/>
              </w:numPr>
              <w:spacing w:line="240" w:lineRule="exact"/>
              <w:rPr>
                <w:sz w:val="22"/>
                <w:szCs w:val="22"/>
              </w:rPr>
            </w:pPr>
            <w:r w:rsidRPr="009C5EFD">
              <w:rPr>
                <w:sz w:val="22"/>
                <w:szCs w:val="22"/>
              </w:rPr>
              <w:t>Blant pasienter med HS-relaterte hudsmerter vurdert til ≥ 3</w:t>
            </w:r>
            <w:r w:rsidR="005B64BC">
              <w:rPr>
                <w:sz w:val="22"/>
                <w:szCs w:val="22"/>
              </w:rPr>
              <w:t xml:space="preserve"> ved baseline</w:t>
            </w:r>
            <w:r w:rsidRPr="009C5EFD">
              <w:rPr>
                <w:sz w:val="22"/>
                <w:szCs w:val="22"/>
              </w:rPr>
              <w:t>, basert på «Numerisk Rating Scale» 0</w:t>
            </w:r>
            <w:r w:rsidR="005D3D27">
              <w:rPr>
                <w:sz w:val="22"/>
                <w:szCs w:val="22"/>
              </w:rPr>
              <w:noBreakHyphen/>
            </w:r>
            <w:r w:rsidRPr="009C5EFD">
              <w:rPr>
                <w:sz w:val="22"/>
                <w:szCs w:val="22"/>
              </w:rPr>
              <w:t>10; 0 = ingen hudsmerter, 10 = hudsmerter så sterke man kan forestille seg.</w:t>
            </w:r>
          </w:p>
        </w:tc>
      </w:tr>
    </w:tbl>
    <w:p w14:paraId="7483907C" w14:textId="77777777" w:rsidR="00A06174" w:rsidRPr="009C5EFD" w:rsidRDefault="00A06174" w:rsidP="007F67EE">
      <w:pPr>
        <w:rPr>
          <w:rFonts w:eastAsia="TimesNewRoman"/>
          <w:sz w:val="22"/>
          <w:szCs w:val="22"/>
        </w:rPr>
      </w:pPr>
    </w:p>
    <w:p w14:paraId="764AD4FD" w14:textId="77777777" w:rsidR="00A06174" w:rsidRPr="009C5EFD" w:rsidRDefault="00E453CD" w:rsidP="007F67EE">
      <w:pPr>
        <w:autoSpaceDE w:val="0"/>
        <w:autoSpaceDN w:val="0"/>
        <w:adjustRightInd w:val="0"/>
        <w:rPr>
          <w:rFonts w:eastAsia="TimesNewRoman"/>
          <w:sz w:val="22"/>
          <w:szCs w:val="22"/>
        </w:rPr>
      </w:pPr>
      <w:r w:rsidRPr="009C5EFD">
        <w:rPr>
          <w:rFonts w:eastAsia="TimesNewRoman"/>
          <w:sz w:val="22"/>
          <w:szCs w:val="22"/>
        </w:rPr>
        <w:t xml:space="preserve">Behandling med </w:t>
      </w:r>
      <w:r w:rsidR="00F05B3E" w:rsidRPr="009C5EFD">
        <w:rPr>
          <w:rFonts w:eastAsia="TimesNewRoman"/>
          <w:sz w:val="22"/>
          <w:szCs w:val="22"/>
        </w:rPr>
        <w:t xml:space="preserve">40 mg </w:t>
      </w:r>
      <w:r w:rsidRPr="009C5EFD">
        <w:rPr>
          <w:rFonts w:eastAsia="TimesNewRoman"/>
          <w:sz w:val="22"/>
          <w:szCs w:val="22"/>
        </w:rPr>
        <w:t>Humira hver uke redusert</w:t>
      </w:r>
      <w:r w:rsidR="00F05B3E">
        <w:rPr>
          <w:rFonts w:eastAsia="TimesNewRoman"/>
          <w:sz w:val="22"/>
          <w:szCs w:val="22"/>
        </w:rPr>
        <w:t>e</w:t>
      </w:r>
      <w:r w:rsidRPr="009C5EFD">
        <w:rPr>
          <w:rFonts w:eastAsia="TimesNewRoman"/>
          <w:sz w:val="22"/>
          <w:szCs w:val="22"/>
        </w:rPr>
        <w:t xml:space="preserve"> signifikant risikoen for forverrelse av abscesser og rennende fistler. I løpet av de første 12 ukene av studiene HS-I og HS-II opplevde omtrent dobbelt så mange pasienter i placebogruppen, sammenlignet med de i Humiragruppen, forverrelse av abscesser (henholdsvis 23,0 % vs. 11,4 %) og rennende fistler (henholdsvis 30,0 % vs. 13,9 %).</w:t>
      </w:r>
    </w:p>
    <w:p w14:paraId="2FD9D623" w14:textId="77777777" w:rsidR="00A06174" w:rsidRPr="009C5EFD" w:rsidRDefault="00A06174" w:rsidP="00193D76">
      <w:pPr>
        <w:rPr>
          <w:sz w:val="22"/>
          <w:szCs w:val="22"/>
          <w:u w:val="single"/>
        </w:rPr>
      </w:pPr>
    </w:p>
    <w:p w14:paraId="52F8C9AA" w14:textId="77777777" w:rsidR="00A06174" w:rsidRPr="009C5EFD" w:rsidRDefault="00E453CD" w:rsidP="002D0790">
      <w:pPr>
        <w:autoSpaceDE w:val="0"/>
        <w:autoSpaceDN w:val="0"/>
        <w:adjustRightInd w:val="0"/>
        <w:rPr>
          <w:rFonts w:eastAsia="TimesNewRoman"/>
          <w:sz w:val="22"/>
          <w:szCs w:val="22"/>
        </w:rPr>
      </w:pPr>
      <w:r w:rsidRPr="009C5EFD">
        <w:rPr>
          <w:rFonts w:eastAsia="TimesNewRoman"/>
          <w:sz w:val="22"/>
          <w:szCs w:val="22"/>
        </w:rPr>
        <w:t xml:space="preserve">Større forbedringer ved uke 12 fra start sammenlignet med placebo ble vist i </w:t>
      </w:r>
      <w:r w:rsidRPr="009C5EFD">
        <w:rPr>
          <w:sz w:val="22"/>
          <w:szCs w:val="22"/>
        </w:rPr>
        <w:t>hudspesifikk helserelatert livskvalitet</w:t>
      </w:r>
      <w:r w:rsidRPr="009C5EFD">
        <w:rPr>
          <w:rFonts w:eastAsia="TimesNewRoman"/>
          <w:sz w:val="22"/>
          <w:szCs w:val="22"/>
        </w:rPr>
        <w:t xml:space="preserve">, målt ved bruk av «Dermatology Life Quality Index» (DLQI; studiene HS-I og HS-II), global pasienttilfredshet med </w:t>
      </w:r>
      <w:r w:rsidR="00F82487">
        <w:rPr>
          <w:rFonts w:eastAsia="TimesNewRoman"/>
          <w:sz w:val="22"/>
          <w:szCs w:val="22"/>
        </w:rPr>
        <w:t>legemiddel</w:t>
      </w:r>
      <w:r w:rsidR="00F82487" w:rsidRPr="009C5EFD">
        <w:rPr>
          <w:rFonts w:eastAsia="TimesNewRoman"/>
          <w:sz w:val="22"/>
          <w:szCs w:val="22"/>
        </w:rPr>
        <w:t xml:space="preserve">behandling </w:t>
      </w:r>
      <w:r w:rsidRPr="009C5EFD">
        <w:rPr>
          <w:rFonts w:eastAsia="TimesNewRoman"/>
          <w:sz w:val="22"/>
          <w:szCs w:val="22"/>
        </w:rPr>
        <w:t>målt ved bruk av «Treatment Satisfaction Questionnaire – medication» (TSQM; studiene HS-I og HS-II) og fysisk helse målt ved bruk av den fysiske komponenten av SF-36 (studie HS-I).</w:t>
      </w:r>
    </w:p>
    <w:p w14:paraId="2D5D6D81" w14:textId="77777777" w:rsidR="00A06174" w:rsidRPr="009C5EFD" w:rsidRDefault="00A06174" w:rsidP="00C07C98">
      <w:pPr>
        <w:rPr>
          <w:sz w:val="22"/>
          <w:szCs w:val="22"/>
          <w:u w:val="single"/>
        </w:rPr>
      </w:pPr>
    </w:p>
    <w:p w14:paraId="743EB32B" w14:textId="77777777" w:rsidR="00A06174" w:rsidRPr="009C5EFD" w:rsidRDefault="00E453CD" w:rsidP="00E14E58">
      <w:pPr>
        <w:pStyle w:val="EMEANormal"/>
        <w:rPr>
          <w:szCs w:val="22"/>
          <w:lang w:val="nb-NO"/>
        </w:rPr>
      </w:pPr>
      <w:r w:rsidRPr="009C5EFD">
        <w:rPr>
          <w:rFonts w:eastAsia="Calibri"/>
          <w:szCs w:val="22"/>
          <w:lang w:val="nb-NO"/>
        </w:rPr>
        <w:t xml:space="preserve">Hos pasienter som fikk </w:t>
      </w:r>
      <w:r w:rsidR="00F05B3E" w:rsidRPr="009C5EFD">
        <w:rPr>
          <w:rFonts w:eastAsia="Calibri"/>
          <w:szCs w:val="22"/>
          <w:lang w:val="nb-NO"/>
        </w:rPr>
        <w:t xml:space="preserve">40 mg </w:t>
      </w:r>
      <w:r w:rsidRPr="009C5EFD">
        <w:rPr>
          <w:rFonts w:eastAsia="Calibri"/>
          <w:szCs w:val="22"/>
          <w:lang w:val="nb-NO"/>
        </w:rPr>
        <w:t>Humira ukentlig med minst en delvis respons ved uke 12, var HiSCR raten ved uke 36 høyere hos pasienter som fortsatte behandling med Humira ukentlig, enn hos pasienter der doseringsfrekvensen ble redusert til annenhver uke eller der behandlingen ble stoppet (se tabell </w:t>
      </w:r>
      <w:r w:rsidR="00634DDF">
        <w:rPr>
          <w:rFonts w:eastAsia="Calibri"/>
          <w:szCs w:val="22"/>
          <w:lang w:val="nb-NO"/>
        </w:rPr>
        <w:t>20</w:t>
      </w:r>
      <w:r w:rsidRPr="009C5EFD">
        <w:rPr>
          <w:rFonts w:eastAsia="Calibri"/>
          <w:szCs w:val="22"/>
          <w:lang w:val="nb-NO"/>
        </w:rPr>
        <w:t>).</w:t>
      </w:r>
    </w:p>
    <w:p w14:paraId="246C7980" w14:textId="77777777" w:rsidR="00A06174" w:rsidRPr="009C5EFD" w:rsidRDefault="00A06174" w:rsidP="009C5EFD">
      <w:pPr>
        <w:tabs>
          <w:tab w:val="left" w:pos="562"/>
        </w:tabs>
        <w:suppressAutoHyphens/>
        <w:rPr>
          <w:sz w:val="22"/>
          <w:szCs w:val="22"/>
        </w:rPr>
      </w:pPr>
    </w:p>
    <w:p w14:paraId="707DE728" w14:textId="77777777" w:rsidR="00A06174" w:rsidRPr="009C5EFD" w:rsidRDefault="00E453CD" w:rsidP="00776A84">
      <w:pPr>
        <w:keepNext/>
        <w:spacing w:after="200" w:line="276" w:lineRule="auto"/>
        <w:ind w:left="720"/>
        <w:jc w:val="center"/>
        <w:rPr>
          <w:rFonts w:eastAsia="MS Mincho"/>
          <w:b/>
          <w:sz w:val="22"/>
          <w:szCs w:val="22"/>
          <w:lang w:eastAsia="ja-JP"/>
        </w:rPr>
      </w:pPr>
      <w:r w:rsidRPr="009C5EFD">
        <w:rPr>
          <w:rFonts w:eastAsia="MS Mincho"/>
          <w:b/>
          <w:sz w:val="22"/>
          <w:szCs w:val="22"/>
          <w:lang w:eastAsia="ja-JP"/>
        </w:rPr>
        <w:t>Tabell </w:t>
      </w:r>
      <w:r w:rsidR="00766BE3">
        <w:rPr>
          <w:rFonts w:eastAsia="MS Mincho"/>
          <w:b/>
          <w:sz w:val="22"/>
          <w:szCs w:val="22"/>
          <w:lang w:eastAsia="ja-JP"/>
        </w:rPr>
        <w:t>2</w:t>
      </w:r>
      <w:r w:rsidR="00634DDF">
        <w:rPr>
          <w:rFonts w:eastAsia="MS Mincho"/>
          <w:b/>
          <w:sz w:val="22"/>
          <w:szCs w:val="22"/>
          <w:lang w:eastAsia="ja-JP"/>
        </w:rPr>
        <w:t>0</w:t>
      </w:r>
      <w:r w:rsidRPr="009C5EFD">
        <w:rPr>
          <w:rFonts w:eastAsia="MS Mincho"/>
          <w:b/>
          <w:sz w:val="22"/>
          <w:szCs w:val="22"/>
          <w:lang w:eastAsia="ja-JP"/>
        </w:rPr>
        <w:t>:</w:t>
      </w:r>
      <w:r w:rsidR="00506332">
        <w:rPr>
          <w:rFonts w:eastAsia="MS Mincho"/>
          <w:b/>
          <w:sz w:val="22"/>
          <w:szCs w:val="22"/>
          <w:lang w:eastAsia="ja-JP"/>
        </w:rPr>
        <w:t xml:space="preserve"> </w:t>
      </w:r>
      <w:r w:rsidRPr="009C5EFD">
        <w:rPr>
          <w:rFonts w:eastAsia="MS Mincho"/>
          <w:b/>
          <w:sz w:val="22"/>
          <w:szCs w:val="22"/>
          <w:lang w:eastAsia="ja-JP"/>
        </w:rPr>
        <w:t>Andel av pasienter</w:t>
      </w:r>
      <w:r w:rsidRPr="009C5EFD">
        <w:rPr>
          <w:rFonts w:eastAsia="MS Mincho"/>
          <w:b/>
          <w:sz w:val="22"/>
          <w:szCs w:val="22"/>
          <w:vertAlign w:val="superscript"/>
          <w:lang w:eastAsia="ja-JP"/>
        </w:rPr>
        <w:t>a</w:t>
      </w:r>
      <w:r w:rsidRPr="009C5EFD">
        <w:rPr>
          <w:rFonts w:eastAsia="MS Mincho"/>
          <w:b/>
          <w:sz w:val="22"/>
          <w:szCs w:val="22"/>
          <w:lang w:eastAsia="ja-JP"/>
        </w:rPr>
        <w:t xml:space="preserve"> som fikk HiSCR</w:t>
      </w:r>
      <w:r w:rsidRPr="009C5EFD">
        <w:rPr>
          <w:rFonts w:eastAsia="MS Mincho"/>
          <w:b/>
          <w:sz w:val="22"/>
          <w:szCs w:val="22"/>
          <w:vertAlign w:val="superscript"/>
          <w:lang w:eastAsia="ja-JP"/>
        </w:rPr>
        <w:t xml:space="preserve">b </w:t>
      </w:r>
      <w:r w:rsidRPr="009C5EFD">
        <w:rPr>
          <w:rFonts w:eastAsia="MS Mincho"/>
          <w:b/>
          <w:sz w:val="22"/>
          <w:szCs w:val="22"/>
          <w:lang w:eastAsia="ja-JP"/>
        </w:rPr>
        <w:t xml:space="preserve">ved uke 24 og 36 </w:t>
      </w:r>
      <w:r w:rsidR="00FB3E60" w:rsidRPr="00600C9D">
        <w:rPr>
          <w:rFonts w:eastAsia="MS Mincho"/>
          <w:b/>
          <w:sz w:val="22"/>
          <w:szCs w:val="22"/>
          <w:lang w:eastAsia="ja-JP"/>
        </w:rPr>
        <w:t>etter behandlingsendring fra ukentlig Humira ved uke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4644D4" w14:paraId="2088A6A6" w14:textId="77777777" w:rsidTr="00A06174">
        <w:trPr>
          <w:tblHeader/>
          <w:jc w:val="center"/>
        </w:trPr>
        <w:tc>
          <w:tcPr>
            <w:tcW w:w="1437" w:type="dxa"/>
            <w:vAlign w:val="bottom"/>
          </w:tcPr>
          <w:p w14:paraId="2919EA8F" w14:textId="77777777" w:rsidR="00A06174" w:rsidRPr="009C5EFD" w:rsidRDefault="00A06174" w:rsidP="009C5EFD">
            <w:pPr>
              <w:keepNext/>
              <w:spacing w:before="40" w:after="40" w:line="240" w:lineRule="exact"/>
              <w:rPr>
                <w:rFonts w:eastAsia="Calibri"/>
                <w:b/>
                <w:sz w:val="22"/>
                <w:szCs w:val="22"/>
                <w:lang w:eastAsia="ja-JP"/>
              </w:rPr>
            </w:pPr>
          </w:p>
        </w:tc>
        <w:tc>
          <w:tcPr>
            <w:tcW w:w="1980" w:type="dxa"/>
            <w:vAlign w:val="bottom"/>
          </w:tcPr>
          <w:p w14:paraId="624841B2" w14:textId="77777777" w:rsidR="00A06174" w:rsidRPr="009C5EFD" w:rsidRDefault="00E453CD" w:rsidP="009C5EFD">
            <w:pPr>
              <w:keepNext/>
              <w:spacing w:before="40" w:after="40" w:line="240" w:lineRule="exact"/>
              <w:jc w:val="center"/>
              <w:rPr>
                <w:rFonts w:eastAsia="Calibri"/>
                <w:b/>
                <w:sz w:val="22"/>
                <w:szCs w:val="22"/>
                <w:lang w:val="en-US" w:eastAsia="ja-JP"/>
              </w:rPr>
            </w:pPr>
            <w:r w:rsidRPr="009C5EFD">
              <w:rPr>
                <w:rFonts w:eastAsia="Calibri"/>
                <w:b/>
                <w:sz w:val="22"/>
                <w:szCs w:val="22"/>
                <w:lang w:val="en-US" w:eastAsia="ja-JP"/>
              </w:rPr>
              <w:t>Placebo</w:t>
            </w:r>
            <w:r w:rsidRPr="009C5EFD">
              <w:rPr>
                <w:rFonts w:eastAsia="Calibri"/>
                <w:b/>
                <w:sz w:val="22"/>
                <w:szCs w:val="22"/>
                <w:lang w:val="en-US" w:eastAsia="ja-JP"/>
              </w:rPr>
              <w:br/>
              <w:t>(behandlingsstans)</w:t>
            </w:r>
            <w:r w:rsidRPr="009C5EFD">
              <w:rPr>
                <w:rFonts w:eastAsia="Calibri"/>
                <w:b/>
                <w:sz w:val="22"/>
                <w:szCs w:val="22"/>
                <w:lang w:val="en-US" w:eastAsia="ja-JP"/>
              </w:rPr>
              <w:br/>
              <w:t>N = 73</w:t>
            </w:r>
          </w:p>
        </w:tc>
        <w:tc>
          <w:tcPr>
            <w:tcW w:w="1980" w:type="dxa"/>
            <w:vAlign w:val="bottom"/>
          </w:tcPr>
          <w:p w14:paraId="090D2A07" w14:textId="77777777" w:rsidR="00A06174" w:rsidRPr="009C5EFD" w:rsidRDefault="00E453CD" w:rsidP="009C5EFD">
            <w:pPr>
              <w:keepNext/>
              <w:spacing w:before="40" w:after="40" w:line="240" w:lineRule="exact"/>
              <w:jc w:val="center"/>
              <w:rPr>
                <w:rFonts w:eastAsia="Calibri"/>
                <w:b/>
                <w:sz w:val="22"/>
                <w:szCs w:val="22"/>
                <w:lang w:eastAsia="ja-JP"/>
              </w:rPr>
            </w:pPr>
            <w:r w:rsidRPr="009C5EFD">
              <w:rPr>
                <w:rFonts w:eastAsia="Calibri"/>
                <w:b/>
                <w:sz w:val="22"/>
                <w:szCs w:val="22"/>
                <w:lang w:eastAsia="ja-JP"/>
              </w:rPr>
              <w:t>Humira 40 mg</w:t>
            </w:r>
            <w:r w:rsidRPr="009C5EFD">
              <w:rPr>
                <w:rFonts w:eastAsia="Calibri"/>
                <w:b/>
                <w:sz w:val="22"/>
                <w:szCs w:val="22"/>
                <w:lang w:eastAsia="ja-JP"/>
              </w:rPr>
              <w:br/>
              <w:t>annenhver uke</w:t>
            </w:r>
            <w:r w:rsidRPr="009C5EFD">
              <w:rPr>
                <w:rFonts w:eastAsia="Calibri"/>
                <w:b/>
                <w:sz w:val="22"/>
                <w:szCs w:val="22"/>
                <w:lang w:eastAsia="ja-JP"/>
              </w:rPr>
              <w:br/>
              <w:t>N = 70</w:t>
            </w:r>
          </w:p>
        </w:tc>
        <w:tc>
          <w:tcPr>
            <w:tcW w:w="1855" w:type="dxa"/>
            <w:vAlign w:val="bottom"/>
          </w:tcPr>
          <w:p w14:paraId="5911F248" w14:textId="77777777" w:rsidR="00A06174" w:rsidRPr="009C5EFD" w:rsidRDefault="00E453CD" w:rsidP="009C5EFD">
            <w:pPr>
              <w:keepNext/>
              <w:spacing w:before="40" w:after="40" w:line="240" w:lineRule="exact"/>
              <w:jc w:val="center"/>
              <w:rPr>
                <w:rFonts w:eastAsia="Calibri"/>
                <w:b/>
                <w:sz w:val="22"/>
                <w:szCs w:val="22"/>
                <w:lang w:val="en-US" w:eastAsia="ja-JP"/>
              </w:rPr>
            </w:pPr>
            <w:r w:rsidRPr="009C5EFD">
              <w:rPr>
                <w:rFonts w:eastAsia="Calibri"/>
                <w:b/>
                <w:sz w:val="22"/>
                <w:szCs w:val="22"/>
                <w:lang w:val="en-US" w:eastAsia="ja-JP"/>
              </w:rPr>
              <w:t>Humira 40 mg</w:t>
            </w:r>
            <w:r w:rsidRPr="009C5EFD">
              <w:rPr>
                <w:rFonts w:eastAsia="Calibri"/>
                <w:b/>
                <w:sz w:val="22"/>
                <w:szCs w:val="22"/>
                <w:lang w:val="en-US" w:eastAsia="ja-JP"/>
              </w:rPr>
              <w:br/>
              <w:t>ukentlig</w:t>
            </w:r>
            <w:r w:rsidRPr="009C5EFD">
              <w:rPr>
                <w:rFonts w:eastAsia="Calibri"/>
                <w:b/>
                <w:sz w:val="22"/>
                <w:szCs w:val="22"/>
                <w:lang w:val="en-US" w:eastAsia="ja-JP"/>
              </w:rPr>
              <w:br/>
              <w:t>N = 70</w:t>
            </w:r>
          </w:p>
        </w:tc>
      </w:tr>
      <w:tr w:rsidR="004644D4" w14:paraId="11CCAA4D" w14:textId="77777777" w:rsidTr="00A06174">
        <w:trPr>
          <w:jc w:val="center"/>
        </w:trPr>
        <w:tc>
          <w:tcPr>
            <w:tcW w:w="1437" w:type="dxa"/>
          </w:tcPr>
          <w:p w14:paraId="356DF6C3" w14:textId="77777777" w:rsidR="00A06174" w:rsidRPr="009C5EFD" w:rsidRDefault="00E453CD" w:rsidP="007F67EE">
            <w:pPr>
              <w:keepNext/>
              <w:spacing w:before="40" w:after="40" w:line="240" w:lineRule="exact"/>
              <w:rPr>
                <w:rFonts w:eastAsia="Calibri"/>
                <w:sz w:val="22"/>
                <w:szCs w:val="22"/>
                <w:lang w:val="en-US" w:eastAsia="ja-JP"/>
              </w:rPr>
            </w:pPr>
            <w:r>
              <w:rPr>
                <w:rFonts w:eastAsia="Calibri"/>
                <w:sz w:val="22"/>
                <w:szCs w:val="22"/>
                <w:lang w:val="en-US" w:eastAsia="ja-JP"/>
              </w:rPr>
              <w:t>Uke</w:t>
            </w:r>
            <w:r w:rsidRPr="009C5EFD">
              <w:rPr>
                <w:rFonts w:eastAsia="Calibri"/>
                <w:sz w:val="22"/>
                <w:szCs w:val="22"/>
                <w:lang w:val="en-US" w:eastAsia="ja-JP"/>
              </w:rPr>
              <w:t xml:space="preserve"> 24</w:t>
            </w:r>
          </w:p>
        </w:tc>
        <w:tc>
          <w:tcPr>
            <w:tcW w:w="1980" w:type="dxa"/>
          </w:tcPr>
          <w:p w14:paraId="56A0631E" w14:textId="77777777" w:rsidR="00A06174" w:rsidRPr="009C5EFD" w:rsidRDefault="00E453CD" w:rsidP="007F67EE">
            <w:pPr>
              <w:keepNext/>
              <w:spacing w:before="40" w:after="40" w:line="240" w:lineRule="exact"/>
              <w:jc w:val="center"/>
              <w:rPr>
                <w:rFonts w:eastAsia="Calibri"/>
                <w:sz w:val="22"/>
                <w:szCs w:val="22"/>
                <w:lang w:val="en-US" w:eastAsia="ja-JP"/>
              </w:rPr>
            </w:pPr>
            <w:r w:rsidRPr="009C5EFD">
              <w:rPr>
                <w:rFonts w:eastAsia="Calibri"/>
                <w:sz w:val="22"/>
                <w:szCs w:val="22"/>
                <w:lang w:val="en-US" w:eastAsia="ja-JP"/>
              </w:rPr>
              <w:t>24 (32,9 %)</w:t>
            </w:r>
          </w:p>
        </w:tc>
        <w:tc>
          <w:tcPr>
            <w:tcW w:w="1980" w:type="dxa"/>
          </w:tcPr>
          <w:p w14:paraId="62074C4A" w14:textId="77777777" w:rsidR="00A06174" w:rsidRPr="009C5EFD" w:rsidRDefault="00E453CD" w:rsidP="00193D76">
            <w:pPr>
              <w:keepNext/>
              <w:spacing w:before="40" w:after="40" w:line="240" w:lineRule="exact"/>
              <w:jc w:val="center"/>
              <w:rPr>
                <w:rFonts w:eastAsia="Calibri"/>
                <w:sz w:val="22"/>
                <w:szCs w:val="22"/>
                <w:lang w:val="en-US" w:eastAsia="ja-JP"/>
              </w:rPr>
            </w:pPr>
            <w:r w:rsidRPr="009C5EFD">
              <w:rPr>
                <w:rFonts w:eastAsia="Calibri"/>
                <w:sz w:val="22"/>
                <w:szCs w:val="22"/>
                <w:lang w:val="en-US" w:eastAsia="ja-JP"/>
              </w:rPr>
              <w:t>36 (51,4 %)</w:t>
            </w:r>
          </w:p>
        </w:tc>
        <w:tc>
          <w:tcPr>
            <w:tcW w:w="1855" w:type="dxa"/>
          </w:tcPr>
          <w:p w14:paraId="4D069D48" w14:textId="77777777" w:rsidR="00A06174" w:rsidRPr="009C5EFD" w:rsidRDefault="00E453CD" w:rsidP="002D0790">
            <w:pPr>
              <w:keepNext/>
              <w:spacing w:before="40" w:after="40" w:line="240" w:lineRule="exact"/>
              <w:jc w:val="center"/>
              <w:rPr>
                <w:rFonts w:eastAsia="Calibri"/>
                <w:sz w:val="22"/>
                <w:szCs w:val="22"/>
                <w:lang w:val="en-US" w:eastAsia="ja-JP"/>
              </w:rPr>
            </w:pPr>
            <w:r w:rsidRPr="009C5EFD">
              <w:rPr>
                <w:rFonts w:eastAsia="Calibri"/>
                <w:sz w:val="22"/>
                <w:szCs w:val="22"/>
                <w:lang w:val="en-US" w:eastAsia="ja-JP"/>
              </w:rPr>
              <w:t>40 (57,1 %)</w:t>
            </w:r>
          </w:p>
        </w:tc>
      </w:tr>
      <w:tr w:rsidR="004644D4" w14:paraId="3B1D4235" w14:textId="77777777" w:rsidTr="00A06174">
        <w:trPr>
          <w:jc w:val="center"/>
        </w:trPr>
        <w:tc>
          <w:tcPr>
            <w:tcW w:w="1437" w:type="dxa"/>
          </w:tcPr>
          <w:p w14:paraId="73AE08F6" w14:textId="77777777" w:rsidR="00A06174" w:rsidRPr="009C5EFD" w:rsidRDefault="00E453CD" w:rsidP="007F67EE">
            <w:pPr>
              <w:keepNext/>
              <w:spacing w:before="40" w:after="40" w:line="240" w:lineRule="exact"/>
              <w:rPr>
                <w:rFonts w:eastAsia="Calibri"/>
                <w:sz w:val="22"/>
                <w:szCs w:val="22"/>
                <w:lang w:val="en-US" w:eastAsia="ja-JP"/>
              </w:rPr>
            </w:pPr>
            <w:r>
              <w:rPr>
                <w:rFonts w:eastAsia="Calibri"/>
                <w:sz w:val="22"/>
                <w:szCs w:val="22"/>
                <w:lang w:val="en-US" w:eastAsia="ja-JP"/>
              </w:rPr>
              <w:t>Uke</w:t>
            </w:r>
            <w:r w:rsidRPr="009C5EFD">
              <w:rPr>
                <w:rFonts w:eastAsia="Calibri"/>
                <w:sz w:val="22"/>
                <w:szCs w:val="22"/>
                <w:lang w:val="en-US" w:eastAsia="ja-JP"/>
              </w:rPr>
              <w:t xml:space="preserve"> 36</w:t>
            </w:r>
          </w:p>
        </w:tc>
        <w:tc>
          <w:tcPr>
            <w:tcW w:w="1980" w:type="dxa"/>
          </w:tcPr>
          <w:p w14:paraId="769AC006" w14:textId="77777777" w:rsidR="00A06174" w:rsidRPr="009C5EFD" w:rsidRDefault="00E453CD" w:rsidP="007F67EE">
            <w:pPr>
              <w:keepNext/>
              <w:spacing w:before="40" w:after="40" w:line="240" w:lineRule="exact"/>
              <w:jc w:val="center"/>
              <w:rPr>
                <w:rFonts w:eastAsia="Calibri"/>
                <w:sz w:val="22"/>
                <w:szCs w:val="22"/>
                <w:lang w:val="en-US" w:eastAsia="ja-JP"/>
              </w:rPr>
            </w:pPr>
            <w:r w:rsidRPr="009C5EFD">
              <w:rPr>
                <w:rFonts w:eastAsia="Calibri"/>
                <w:sz w:val="22"/>
                <w:szCs w:val="22"/>
                <w:lang w:val="en-US" w:eastAsia="ja-JP"/>
              </w:rPr>
              <w:t>22 (30,1 %)</w:t>
            </w:r>
          </w:p>
        </w:tc>
        <w:tc>
          <w:tcPr>
            <w:tcW w:w="1980" w:type="dxa"/>
          </w:tcPr>
          <w:p w14:paraId="29C58D5C" w14:textId="77777777" w:rsidR="00A06174" w:rsidRPr="009C5EFD" w:rsidRDefault="00E453CD" w:rsidP="00193D76">
            <w:pPr>
              <w:keepNext/>
              <w:spacing w:before="40" w:after="40" w:line="240" w:lineRule="exact"/>
              <w:jc w:val="center"/>
              <w:rPr>
                <w:rFonts w:eastAsia="Calibri"/>
                <w:sz w:val="22"/>
                <w:szCs w:val="22"/>
                <w:lang w:val="en-US" w:eastAsia="ja-JP"/>
              </w:rPr>
            </w:pPr>
            <w:r w:rsidRPr="009C5EFD">
              <w:rPr>
                <w:rFonts w:eastAsia="Calibri"/>
                <w:sz w:val="22"/>
                <w:szCs w:val="22"/>
                <w:lang w:val="en-US" w:eastAsia="ja-JP"/>
              </w:rPr>
              <w:t>28 (40,0 %)</w:t>
            </w:r>
          </w:p>
        </w:tc>
        <w:tc>
          <w:tcPr>
            <w:tcW w:w="1855" w:type="dxa"/>
          </w:tcPr>
          <w:p w14:paraId="1ACCBA8C" w14:textId="77777777" w:rsidR="00A06174" w:rsidRPr="009C5EFD" w:rsidRDefault="00E453CD" w:rsidP="002D0790">
            <w:pPr>
              <w:keepNext/>
              <w:spacing w:before="40" w:after="40" w:line="240" w:lineRule="exact"/>
              <w:jc w:val="center"/>
              <w:rPr>
                <w:rFonts w:eastAsia="Calibri"/>
                <w:sz w:val="22"/>
                <w:szCs w:val="22"/>
                <w:lang w:val="en-US" w:eastAsia="ja-JP"/>
              </w:rPr>
            </w:pPr>
            <w:r w:rsidRPr="009C5EFD">
              <w:rPr>
                <w:rFonts w:eastAsia="Calibri"/>
                <w:sz w:val="22"/>
                <w:szCs w:val="22"/>
                <w:lang w:val="en-US" w:eastAsia="ja-JP"/>
              </w:rPr>
              <w:t>39 (55,7 %)</w:t>
            </w:r>
          </w:p>
        </w:tc>
      </w:tr>
      <w:tr w:rsidR="004644D4" w14:paraId="39588280" w14:textId="77777777" w:rsidTr="00A06174">
        <w:trPr>
          <w:jc w:val="center"/>
        </w:trPr>
        <w:tc>
          <w:tcPr>
            <w:tcW w:w="7252" w:type="dxa"/>
            <w:gridSpan w:val="4"/>
          </w:tcPr>
          <w:p w14:paraId="6C81D1AE" w14:textId="77777777" w:rsidR="00A06174" w:rsidRPr="009C5EFD" w:rsidRDefault="00E453CD" w:rsidP="00EE4677">
            <w:pPr>
              <w:keepLines/>
              <w:numPr>
                <w:ilvl w:val="0"/>
                <w:numId w:val="84"/>
              </w:numPr>
              <w:spacing w:line="240" w:lineRule="exact"/>
              <w:rPr>
                <w:rFonts w:eastAsia="MS Mincho"/>
                <w:sz w:val="22"/>
                <w:szCs w:val="22"/>
                <w:lang w:eastAsia="ja-JP"/>
              </w:rPr>
            </w:pPr>
            <w:r w:rsidRPr="009C5EFD">
              <w:rPr>
                <w:rFonts w:eastAsia="MS Mincho"/>
                <w:sz w:val="22"/>
                <w:szCs w:val="22"/>
                <w:lang w:eastAsia="ja-JP"/>
              </w:rPr>
              <w:t>Pasienter med minst en delvis respons på Humira 40 mg ukentlig etter 12 uker behandling.</w:t>
            </w:r>
          </w:p>
          <w:p w14:paraId="4B55E5AA" w14:textId="77777777" w:rsidR="00A06174" w:rsidRPr="009C5EFD" w:rsidRDefault="00E453CD" w:rsidP="00EE4677">
            <w:pPr>
              <w:keepLines/>
              <w:numPr>
                <w:ilvl w:val="0"/>
                <w:numId w:val="84"/>
              </w:numPr>
              <w:spacing w:line="240" w:lineRule="exact"/>
              <w:rPr>
                <w:rFonts w:eastAsia="MS Mincho"/>
                <w:sz w:val="22"/>
                <w:szCs w:val="22"/>
                <w:lang w:eastAsia="ja-JP"/>
              </w:rPr>
            </w:pPr>
            <w:r w:rsidRPr="009C5EFD">
              <w:rPr>
                <w:rFonts w:eastAsia="MS Mincho"/>
                <w:sz w:val="22"/>
                <w:szCs w:val="22"/>
                <w:lang w:eastAsia="ja-JP"/>
              </w:rPr>
              <w:t>Pasienter som oppfylte protokollspesifiserte kriterier for tap av respons eller ingen forbedring ble pålagt å avbryte studiene og ble regnet som ikke</w:t>
            </w:r>
            <w:r w:rsidRPr="009C5EFD">
              <w:rPr>
                <w:rFonts w:eastAsia="MS Mincho"/>
                <w:sz w:val="22"/>
                <w:szCs w:val="22"/>
                <w:lang w:eastAsia="ja-JP"/>
              </w:rPr>
              <w:noBreakHyphen/>
              <w:t>respondere.</w:t>
            </w:r>
          </w:p>
        </w:tc>
      </w:tr>
    </w:tbl>
    <w:p w14:paraId="139336E1" w14:textId="77777777" w:rsidR="00A06174" w:rsidRPr="009C5EFD" w:rsidRDefault="00A06174" w:rsidP="00776A84">
      <w:pPr>
        <w:tabs>
          <w:tab w:val="num" w:pos="720"/>
        </w:tabs>
        <w:spacing w:before="40" w:line="240" w:lineRule="exact"/>
        <w:rPr>
          <w:rFonts w:eastAsia="MS Mincho"/>
          <w:sz w:val="22"/>
          <w:szCs w:val="22"/>
          <w:lang w:eastAsia="ja-JP"/>
        </w:rPr>
      </w:pPr>
    </w:p>
    <w:p w14:paraId="11AD0911" w14:textId="77777777" w:rsidR="00A06174" w:rsidRPr="009C5EFD" w:rsidRDefault="00E453CD" w:rsidP="007F67EE">
      <w:pPr>
        <w:rPr>
          <w:sz w:val="22"/>
          <w:szCs w:val="22"/>
        </w:rPr>
      </w:pPr>
      <w:r w:rsidRPr="009C5EFD">
        <w:rPr>
          <w:sz w:val="22"/>
          <w:szCs w:val="22"/>
        </w:rPr>
        <w:t xml:space="preserve">Blant pasienter med minst en delvis respons ved uke 12 og som </w:t>
      </w:r>
      <w:r w:rsidR="0019503A">
        <w:rPr>
          <w:sz w:val="22"/>
          <w:szCs w:val="22"/>
        </w:rPr>
        <w:t xml:space="preserve">ukentlig </w:t>
      </w:r>
      <w:r w:rsidRPr="009C5EFD">
        <w:rPr>
          <w:sz w:val="22"/>
          <w:szCs w:val="22"/>
        </w:rPr>
        <w:t xml:space="preserve">fikk </w:t>
      </w:r>
      <w:r w:rsidR="00745713">
        <w:rPr>
          <w:sz w:val="22"/>
          <w:szCs w:val="22"/>
        </w:rPr>
        <w:t xml:space="preserve">kontinuerlig </w:t>
      </w:r>
      <w:r w:rsidRPr="009C5EFD">
        <w:rPr>
          <w:sz w:val="22"/>
          <w:szCs w:val="22"/>
        </w:rPr>
        <w:t xml:space="preserve">Humira </w:t>
      </w:r>
      <w:r w:rsidR="00745713">
        <w:rPr>
          <w:sz w:val="22"/>
          <w:szCs w:val="22"/>
        </w:rPr>
        <w:t xml:space="preserve">behandling </w:t>
      </w:r>
      <w:r w:rsidRPr="009C5EFD">
        <w:rPr>
          <w:sz w:val="22"/>
          <w:szCs w:val="22"/>
        </w:rPr>
        <w:t xml:space="preserve">var HiSCR raten </w:t>
      </w:r>
      <w:r w:rsidR="00695E95">
        <w:rPr>
          <w:sz w:val="22"/>
          <w:szCs w:val="22"/>
        </w:rPr>
        <w:t>68,3 </w:t>
      </w:r>
      <w:r w:rsidR="00695E95" w:rsidRPr="002D0790">
        <w:rPr>
          <w:sz w:val="22"/>
          <w:szCs w:val="22"/>
        </w:rPr>
        <w:t>% ved uke</w:t>
      </w:r>
      <w:r w:rsidR="00695E95">
        <w:rPr>
          <w:sz w:val="22"/>
          <w:szCs w:val="22"/>
        </w:rPr>
        <w:t> </w:t>
      </w:r>
      <w:r w:rsidR="00695E95" w:rsidRPr="002D0790">
        <w:rPr>
          <w:sz w:val="22"/>
          <w:szCs w:val="22"/>
        </w:rPr>
        <w:t>48</w:t>
      </w:r>
      <w:r w:rsidR="00695E95">
        <w:rPr>
          <w:sz w:val="22"/>
          <w:szCs w:val="22"/>
        </w:rPr>
        <w:t xml:space="preserve"> og 65,1 % ved uke 96</w:t>
      </w:r>
      <w:r w:rsidR="00695E95" w:rsidRPr="002D0790">
        <w:rPr>
          <w:sz w:val="22"/>
          <w:szCs w:val="22"/>
        </w:rPr>
        <w:t>.</w:t>
      </w:r>
      <w:r w:rsidR="00695E95">
        <w:rPr>
          <w:sz w:val="22"/>
          <w:szCs w:val="22"/>
        </w:rPr>
        <w:t xml:space="preserve"> Langtidsbehandling med 40 mg Humira ukentlig i 96 uker viste ingen nye funn vedrørende sikkerhet.</w:t>
      </w:r>
    </w:p>
    <w:p w14:paraId="364194E9" w14:textId="77777777" w:rsidR="00A06174" w:rsidRPr="009C5EFD" w:rsidRDefault="00A06174" w:rsidP="00193D76">
      <w:pPr>
        <w:rPr>
          <w:sz w:val="22"/>
          <w:szCs w:val="22"/>
        </w:rPr>
      </w:pPr>
    </w:p>
    <w:p w14:paraId="0CFA9048" w14:textId="77777777" w:rsidR="00A06174" w:rsidRDefault="00E453CD" w:rsidP="002D0790">
      <w:pPr>
        <w:rPr>
          <w:sz w:val="22"/>
          <w:szCs w:val="22"/>
        </w:rPr>
      </w:pPr>
      <w:r w:rsidRPr="009C5EFD">
        <w:rPr>
          <w:sz w:val="22"/>
          <w:szCs w:val="22"/>
        </w:rPr>
        <w:t xml:space="preserve">Blant pasienter der behandlingen med Humira ble avsluttet ved uke 12, i studiene HS-I og HS-II, gikk HiSCR raten, </w:t>
      </w:r>
      <w:r w:rsidR="00297A45">
        <w:rPr>
          <w:sz w:val="22"/>
          <w:szCs w:val="22"/>
        </w:rPr>
        <w:t>1</w:t>
      </w:r>
      <w:r w:rsidRPr="009C5EFD">
        <w:rPr>
          <w:sz w:val="22"/>
          <w:szCs w:val="22"/>
        </w:rPr>
        <w:t>2 uker etter re-introduksjon av Humira 40 mg ukentlig, tilbake til nivåer tilsvarende de som ble observert før behandlingen ble stoppet (56,0 %).</w:t>
      </w:r>
    </w:p>
    <w:p w14:paraId="037DC146" w14:textId="77777777" w:rsidR="00DB4B30" w:rsidRDefault="00DB4B30" w:rsidP="002D0790">
      <w:pPr>
        <w:rPr>
          <w:sz w:val="22"/>
          <w:szCs w:val="22"/>
        </w:rPr>
      </w:pPr>
    </w:p>
    <w:p w14:paraId="0A6C46DE" w14:textId="77777777" w:rsidR="001E500F" w:rsidRPr="009C5EFD" w:rsidRDefault="00E453CD" w:rsidP="00776A84">
      <w:pPr>
        <w:keepNext/>
        <w:rPr>
          <w:i/>
          <w:sz w:val="22"/>
          <w:szCs w:val="22"/>
        </w:rPr>
      </w:pPr>
      <w:r w:rsidRPr="009C5EFD">
        <w:rPr>
          <w:i/>
          <w:sz w:val="22"/>
          <w:szCs w:val="22"/>
        </w:rPr>
        <w:t>Crohns sykdom</w:t>
      </w:r>
    </w:p>
    <w:p w14:paraId="76E75B1B" w14:textId="77777777" w:rsidR="001E500F" w:rsidRPr="009C5EFD" w:rsidRDefault="001E500F" w:rsidP="00776A84">
      <w:pPr>
        <w:keepNext/>
        <w:rPr>
          <w:sz w:val="22"/>
          <w:szCs w:val="22"/>
        </w:rPr>
      </w:pPr>
    </w:p>
    <w:p w14:paraId="249F1E4F" w14:textId="77777777" w:rsidR="001E500F" w:rsidRPr="00E14E58" w:rsidRDefault="00E453CD" w:rsidP="009C5EFD">
      <w:pPr>
        <w:rPr>
          <w:sz w:val="22"/>
          <w:szCs w:val="22"/>
        </w:rPr>
      </w:pPr>
      <w:r w:rsidRPr="009C5EFD">
        <w:rPr>
          <w:sz w:val="22"/>
          <w:szCs w:val="22"/>
        </w:rPr>
        <w:t>Sikkerhet og effekt av Humira ble vurdert hos over 1500</w:t>
      </w:r>
      <w:r w:rsidR="00315F16" w:rsidRPr="009C5EFD">
        <w:rPr>
          <w:sz w:val="22"/>
          <w:szCs w:val="22"/>
        </w:rPr>
        <w:t> pasient</w:t>
      </w:r>
      <w:r w:rsidRPr="009C5EFD">
        <w:rPr>
          <w:sz w:val="22"/>
          <w:szCs w:val="22"/>
        </w:rPr>
        <w:t xml:space="preserve">er med moderat til alvorlig aktiv Crohns sykdom (Crohn’s Disease Activity Index (CDAI) </w:t>
      </w:r>
      <w:r w:rsidRPr="007F67EE">
        <w:rPr>
          <w:rFonts w:ascii="Symbol" w:hAnsi="Symbol"/>
          <w:sz w:val="22"/>
          <w:szCs w:val="22"/>
        </w:rPr>
        <w:sym w:font="Symbol" w:char="F0B3"/>
      </w:r>
      <w:r w:rsidR="002010F4" w:rsidRPr="00193D76">
        <w:rPr>
          <w:sz w:val="22"/>
          <w:szCs w:val="22"/>
        </w:rPr>
        <w:t> </w:t>
      </w:r>
      <w:r w:rsidRPr="002D0790">
        <w:rPr>
          <w:sz w:val="22"/>
          <w:szCs w:val="22"/>
        </w:rPr>
        <w:t xml:space="preserve">220 and </w:t>
      </w:r>
      <w:r w:rsidRPr="007F67EE">
        <w:rPr>
          <w:rFonts w:ascii="Symbol" w:hAnsi="Symbol"/>
          <w:sz w:val="22"/>
          <w:szCs w:val="22"/>
        </w:rPr>
        <w:sym w:font="Symbol" w:char="F0A3"/>
      </w:r>
      <w:r w:rsidR="002010F4" w:rsidRPr="00193D76">
        <w:rPr>
          <w:sz w:val="22"/>
          <w:szCs w:val="22"/>
        </w:rPr>
        <w:t> </w:t>
      </w:r>
      <w:r w:rsidRPr="002D0790">
        <w:rPr>
          <w:sz w:val="22"/>
          <w:szCs w:val="22"/>
        </w:rPr>
        <w:t>450) i randomiserte, dobbeltblinde, placebokontrollerte studier. Samtidige stabile doser med aminosalisylater, kortikosteroider og/eller immunmodulerende midler var tillatt og 80</w:t>
      </w:r>
      <w:r w:rsidR="00315F16" w:rsidRPr="00C07C98">
        <w:rPr>
          <w:sz w:val="22"/>
          <w:szCs w:val="22"/>
        </w:rPr>
        <w:t> %</w:t>
      </w:r>
      <w:r w:rsidRPr="00C07C98">
        <w:rPr>
          <w:sz w:val="22"/>
          <w:szCs w:val="22"/>
        </w:rPr>
        <w:t xml:space="preserve"> av pasientene for</w:t>
      </w:r>
      <w:r w:rsidRPr="00E14E58">
        <w:rPr>
          <w:sz w:val="22"/>
          <w:szCs w:val="22"/>
        </w:rPr>
        <w:t>tsatte å ta minst ett av disse legemidlene.</w:t>
      </w:r>
    </w:p>
    <w:p w14:paraId="075A8E26" w14:textId="77777777" w:rsidR="001E500F" w:rsidRPr="009C5EFD" w:rsidRDefault="001E500F" w:rsidP="009C5EFD">
      <w:pPr>
        <w:rPr>
          <w:sz w:val="22"/>
          <w:szCs w:val="22"/>
        </w:rPr>
      </w:pPr>
    </w:p>
    <w:p w14:paraId="380C0C4A" w14:textId="77777777" w:rsidR="001E500F" w:rsidRPr="009C5EFD" w:rsidRDefault="00E453CD" w:rsidP="009C5EFD">
      <w:pPr>
        <w:rPr>
          <w:sz w:val="22"/>
          <w:szCs w:val="22"/>
        </w:rPr>
      </w:pPr>
      <w:r w:rsidRPr="009C5EFD">
        <w:rPr>
          <w:sz w:val="22"/>
          <w:szCs w:val="22"/>
        </w:rPr>
        <w:t>Induksjon av klinisk remisjon (definert som CDAI &lt;</w:t>
      </w:r>
      <w:r w:rsidR="002010F4" w:rsidRPr="009C5EFD">
        <w:rPr>
          <w:sz w:val="22"/>
          <w:szCs w:val="22"/>
        </w:rPr>
        <w:t> </w:t>
      </w:r>
      <w:r w:rsidRPr="009C5EFD">
        <w:rPr>
          <w:sz w:val="22"/>
          <w:szCs w:val="22"/>
        </w:rPr>
        <w:t>150) ble vurdert i to studier, CD-studie I (CLASSIC I) og CD-studie II (GAIN). I CD-studie I ble 299</w:t>
      </w:r>
      <w:r w:rsidR="00315F16" w:rsidRPr="009C5EFD">
        <w:rPr>
          <w:sz w:val="22"/>
          <w:szCs w:val="22"/>
        </w:rPr>
        <w:t> pasient</w:t>
      </w:r>
      <w:r w:rsidRPr="009C5EFD">
        <w:rPr>
          <w:sz w:val="22"/>
          <w:szCs w:val="22"/>
        </w:rPr>
        <w:t xml:space="preserve">er som aldri hadde brukt TNF-antagonister randomisert til en av fire behandlingsgrupper; placebo ved </w:t>
      </w:r>
      <w:r w:rsidR="00315F16" w:rsidRPr="009C5EFD">
        <w:rPr>
          <w:sz w:val="22"/>
          <w:szCs w:val="22"/>
        </w:rPr>
        <w:t>uke </w:t>
      </w:r>
      <w:r w:rsidRPr="009C5EFD">
        <w:rPr>
          <w:sz w:val="22"/>
          <w:szCs w:val="22"/>
        </w:rPr>
        <w:t>0 og 2, 160</w:t>
      </w:r>
      <w:r w:rsidR="00E55E5D"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og 80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2, 80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0 og 40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2, og 40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0 og 20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2. I CD-studie II ble 325</w:t>
      </w:r>
      <w:r w:rsidR="00315F16" w:rsidRPr="009C5EFD">
        <w:rPr>
          <w:sz w:val="22"/>
          <w:szCs w:val="22"/>
        </w:rPr>
        <w:t> pasient</w:t>
      </w:r>
      <w:r w:rsidRPr="009C5EFD">
        <w:rPr>
          <w:sz w:val="22"/>
          <w:szCs w:val="22"/>
        </w:rPr>
        <w:t>er som hadde mistet respons eller var intolerante for infliksimab randomisert til enten 160</w:t>
      </w:r>
      <w:r w:rsidR="00E55E5D"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og 80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 xml:space="preserve">2 eller placebo ved ukene 0 og 2. Primære </w:t>
      </w:r>
      <w:r w:rsidRPr="009C5EFD">
        <w:rPr>
          <w:sz w:val="22"/>
        </w:rPr>
        <w:t>ikke</w:t>
      </w:r>
      <w:r w:rsidRPr="009C5EFD">
        <w:rPr>
          <w:sz w:val="22"/>
          <w:szCs w:val="22"/>
        </w:rPr>
        <w:t xml:space="preserve">-respondere ble ekskludert fra studiene og disse pasientene ble derfor ikke </w:t>
      </w:r>
      <w:r w:rsidR="003D3CAB" w:rsidRPr="003D3CAB">
        <w:rPr>
          <w:sz w:val="22"/>
          <w:szCs w:val="22"/>
        </w:rPr>
        <w:t>vurdert</w:t>
      </w:r>
      <w:r w:rsidRPr="009C5EFD">
        <w:rPr>
          <w:sz w:val="22"/>
          <w:szCs w:val="22"/>
        </w:rPr>
        <w:t xml:space="preserve"> videre.</w:t>
      </w:r>
    </w:p>
    <w:p w14:paraId="41404D79" w14:textId="77777777" w:rsidR="001E500F" w:rsidRPr="009C5EFD" w:rsidRDefault="001E500F" w:rsidP="009C5EFD">
      <w:pPr>
        <w:ind w:left="54"/>
        <w:rPr>
          <w:sz w:val="22"/>
          <w:szCs w:val="22"/>
        </w:rPr>
      </w:pPr>
    </w:p>
    <w:p w14:paraId="5AE8E596" w14:textId="77777777" w:rsidR="001E500F" w:rsidRPr="009C5EFD" w:rsidRDefault="00E453CD" w:rsidP="009C5EFD">
      <w:pPr>
        <w:rPr>
          <w:sz w:val="22"/>
          <w:szCs w:val="22"/>
        </w:rPr>
      </w:pPr>
      <w:r w:rsidRPr="009C5EFD">
        <w:rPr>
          <w:sz w:val="22"/>
          <w:szCs w:val="22"/>
        </w:rPr>
        <w:t>Vedlikehold av klinisk remisjon ble vurdert i CD-studie III (CHARM). I CD-studie III fikk 854</w:t>
      </w:r>
      <w:r w:rsidR="00315F16" w:rsidRPr="009C5EFD">
        <w:rPr>
          <w:sz w:val="22"/>
          <w:szCs w:val="22"/>
        </w:rPr>
        <w:t> pasient</w:t>
      </w:r>
      <w:r w:rsidRPr="009C5EFD">
        <w:rPr>
          <w:sz w:val="22"/>
          <w:szCs w:val="22"/>
        </w:rPr>
        <w:t>er 80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0 og 40</w:t>
      </w:r>
      <w:r w:rsidR="00E55E5D"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 xml:space="preserve">2 (åpen behandling). Ved </w:t>
      </w:r>
      <w:r w:rsidR="00315F16" w:rsidRPr="009C5EFD">
        <w:rPr>
          <w:sz w:val="22"/>
          <w:szCs w:val="22"/>
        </w:rPr>
        <w:t>uke </w:t>
      </w:r>
      <w:r w:rsidRPr="009C5EFD">
        <w:rPr>
          <w:sz w:val="22"/>
          <w:szCs w:val="22"/>
        </w:rPr>
        <w:t>4 ble pasientene randomisert til 40</w:t>
      </w:r>
      <w:r w:rsidR="00E55E5D" w:rsidRPr="009C5EFD">
        <w:rPr>
          <w:sz w:val="22"/>
          <w:szCs w:val="22"/>
        </w:rPr>
        <w:t> mg</w:t>
      </w:r>
      <w:r w:rsidRPr="009C5EFD">
        <w:rPr>
          <w:sz w:val="22"/>
          <w:szCs w:val="22"/>
        </w:rPr>
        <w:t xml:space="preserve"> annenhver uke, 40</w:t>
      </w:r>
      <w:r w:rsidR="00E55E5D" w:rsidRPr="009C5EFD">
        <w:rPr>
          <w:sz w:val="22"/>
          <w:szCs w:val="22"/>
        </w:rPr>
        <w:t> mg</w:t>
      </w:r>
      <w:r w:rsidRPr="009C5EFD">
        <w:rPr>
          <w:sz w:val="22"/>
          <w:szCs w:val="22"/>
        </w:rPr>
        <w:t xml:space="preserve"> hver uke, eller placebo. Studien varte i totalt 56</w:t>
      </w:r>
      <w:r w:rsidR="00315F16" w:rsidRPr="009C5EFD">
        <w:rPr>
          <w:sz w:val="22"/>
          <w:szCs w:val="22"/>
        </w:rPr>
        <w:t> uker</w:t>
      </w:r>
      <w:r w:rsidRPr="009C5EFD">
        <w:rPr>
          <w:sz w:val="22"/>
          <w:szCs w:val="22"/>
        </w:rPr>
        <w:t xml:space="preserve">. Pasienter med klinisk respons (reduksjon i CDAI </w:t>
      </w:r>
      <w:r w:rsidRPr="007F67EE">
        <w:rPr>
          <w:rFonts w:ascii="Symbol" w:hAnsi="Symbol"/>
          <w:sz w:val="22"/>
          <w:szCs w:val="22"/>
        </w:rPr>
        <w:sym w:font="Symbol" w:char="F0B3"/>
      </w:r>
      <w:r w:rsidR="002010F4" w:rsidRPr="00193D76">
        <w:rPr>
          <w:sz w:val="22"/>
          <w:szCs w:val="22"/>
        </w:rPr>
        <w:t> </w:t>
      </w:r>
      <w:r w:rsidRPr="002D0790">
        <w:rPr>
          <w:sz w:val="22"/>
          <w:szCs w:val="22"/>
        </w:rPr>
        <w:t xml:space="preserve">70) ved </w:t>
      </w:r>
      <w:r w:rsidR="00315F16" w:rsidRPr="00E14E58">
        <w:rPr>
          <w:sz w:val="22"/>
          <w:szCs w:val="22"/>
        </w:rPr>
        <w:t>uke </w:t>
      </w:r>
      <w:r w:rsidRPr="009C5EFD">
        <w:rPr>
          <w:sz w:val="22"/>
          <w:szCs w:val="22"/>
        </w:rPr>
        <w:t xml:space="preserve">4 ble stratifisert og analysert separat fra de som ikke hadde klinisk respons ved </w:t>
      </w:r>
      <w:r w:rsidR="00315F16" w:rsidRPr="009C5EFD">
        <w:rPr>
          <w:sz w:val="22"/>
          <w:szCs w:val="22"/>
        </w:rPr>
        <w:t>uke </w:t>
      </w:r>
      <w:r w:rsidRPr="009C5EFD">
        <w:rPr>
          <w:sz w:val="22"/>
          <w:szCs w:val="22"/>
        </w:rPr>
        <w:t>4. Nedtrapping av kortikosteroider ble tillatt etter uke 8.</w:t>
      </w:r>
    </w:p>
    <w:p w14:paraId="33BC8209" w14:textId="77777777" w:rsidR="001E500F" w:rsidRPr="009C5EFD" w:rsidRDefault="001E500F" w:rsidP="009C5EFD">
      <w:pPr>
        <w:rPr>
          <w:sz w:val="22"/>
          <w:szCs w:val="22"/>
        </w:rPr>
      </w:pPr>
    </w:p>
    <w:p w14:paraId="61D5653D" w14:textId="77777777" w:rsidR="001E500F" w:rsidRDefault="00E453CD" w:rsidP="009C5EFD">
      <w:pPr>
        <w:rPr>
          <w:sz w:val="22"/>
          <w:szCs w:val="22"/>
        </w:rPr>
      </w:pPr>
      <w:r w:rsidRPr="009C5EFD">
        <w:rPr>
          <w:sz w:val="22"/>
          <w:szCs w:val="22"/>
        </w:rPr>
        <w:t xml:space="preserve">CD-studie I og CD-studie II induksjon av remisjon og responsnivåer er vist i tabell </w:t>
      </w:r>
      <w:r w:rsidR="00766BE3">
        <w:rPr>
          <w:sz w:val="22"/>
          <w:szCs w:val="22"/>
        </w:rPr>
        <w:t>2</w:t>
      </w:r>
      <w:r w:rsidR="00634DDF">
        <w:rPr>
          <w:sz w:val="22"/>
          <w:szCs w:val="22"/>
        </w:rPr>
        <w:t>1</w:t>
      </w:r>
      <w:r w:rsidRPr="009C5EFD">
        <w:rPr>
          <w:sz w:val="22"/>
          <w:szCs w:val="22"/>
        </w:rPr>
        <w:t>.</w:t>
      </w:r>
    </w:p>
    <w:p w14:paraId="5299CA6C" w14:textId="77777777" w:rsidR="00FC7B73" w:rsidRDefault="00FC7B73" w:rsidP="009C5EFD">
      <w:pPr>
        <w:rPr>
          <w:sz w:val="22"/>
          <w:szCs w:val="22"/>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1192"/>
        <w:gridCol w:w="1249"/>
        <w:gridCol w:w="1176"/>
        <w:gridCol w:w="1495"/>
        <w:gridCol w:w="1818"/>
      </w:tblGrid>
      <w:tr w:rsidR="004644D4" w14:paraId="3F2BF69F" w14:textId="77777777" w:rsidTr="005D54C1">
        <w:trPr>
          <w:cantSplit/>
        </w:trPr>
        <w:tc>
          <w:tcPr>
            <w:tcW w:w="9238" w:type="dxa"/>
            <w:gridSpan w:val="6"/>
            <w:tcBorders>
              <w:top w:val="nil"/>
              <w:left w:val="nil"/>
              <w:right w:val="nil"/>
            </w:tcBorders>
          </w:tcPr>
          <w:p w14:paraId="70F77556" w14:textId="77777777" w:rsidR="00FC7B73" w:rsidRPr="009C5EFD" w:rsidRDefault="00E453CD" w:rsidP="00BA47BC">
            <w:pPr>
              <w:pStyle w:val="TableText"/>
              <w:jc w:val="center"/>
              <w:rPr>
                <w:b/>
                <w:bCs/>
                <w:sz w:val="22"/>
                <w:lang w:val="nb-NO"/>
              </w:rPr>
            </w:pPr>
            <w:r w:rsidRPr="009C5EFD">
              <w:rPr>
                <w:b/>
                <w:bCs/>
                <w:sz w:val="22"/>
                <w:lang w:val="nb-NO"/>
              </w:rPr>
              <w:lastRenderedPageBreak/>
              <w:t xml:space="preserve">Tabell </w:t>
            </w:r>
            <w:r>
              <w:rPr>
                <w:b/>
                <w:bCs/>
                <w:sz w:val="22"/>
                <w:lang w:val="nb-NO"/>
              </w:rPr>
              <w:t>2</w:t>
            </w:r>
            <w:r w:rsidR="00634DDF">
              <w:rPr>
                <w:b/>
                <w:bCs/>
                <w:sz w:val="22"/>
                <w:lang w:val="nb-NO"/>
              </w:rPr>
              <w:t>1</w:t>
            </w:r>
          </w:p>
          <w:p w14:paraId="605D57DB" w14:textId="77777777" w:rsidR="00FC7B73" w:rsidRPr="009C5EFD" w:rsidRDefault="00E453CD" w:rsidP="00BA47BC">
            <w:pPr>
              <w:pStyle w:val="TableText"/>
              <w:jc w:val="center"/>
              <w:rPr>
                <w:b/>
                <w:bCs/>
                <w:sz w:val="22"/>
                <w:lang w:val="nb-NO"/>
              </w:rPr>
            </w:pPr>
            <w:r w:rsidRPr="009C5EFD">
              <w:rPr>
                <w:b/>
                <w:bCs/>
                <w:sz w:val="22"/>
                <w:lang w:val="nb-NO"/>
              </w:rPr>
              <w:t>Induksjon av klinisk remisjon og respons</w:t>
            </w:r>
          </w:p>
          <w:p w14:paraId="780050E2" w14:textId="77777777" w:rsidR="00FC7B73" w:rsidRPr="00DA6326" w:rsidRDefault="00E453CD" w:rsidP="00BA47BC">
            <w:pPr>
              <w:pStyle w:val="TableText"/>
              <w:jc w:val="center"/>
              <w:rPr>
                <w:b/>
                <w:bCs/>
                <w:sz w:val="22"/>
                <w:lang w:val="nb-NO"/>
              </w:rPr>
            </w:pPr>
            <w:r w:rsidRPr="00DA6326">
              <w:rPr>
                <w:b/>
                <w:bCs/>
                <w:sz w:val="22"/>
                <w:lang w:val="nb-NO"/>
              </w:rPr>
              <w:t>(Prosent av pasientene)</w:t>
            </w:r>
          </w:p>
        </w:tc>
      </w:tr>
      <w:tr w:rsidR="004644D4" w14:paraId="072940BF" w14:textId="77777777" w:rsidTr="005D54C1">
        <w:trPr>
          <w:cantSplit/>
        </w:trPr>
        <w:tc>
          <w:tcPr>
            <w:tcW w:w="2308" w:type="dxa"/>
          </w:tcPr>
          <w:p w14:paraId="14A109CE" w14:textId="77777777" w:rsidR="00FC7B73" w:rsidRPr="00DA6326" w:rsidRDefault="00FC7B73" w:rsidP="00BA47BC">
            <w:pPr>
              <w:pStyle w:val="TableText"/>
              <w:rPr>
                <w:b/>
                <w:bCs/>
                <w:sz w:val="22"/>
                <w:lang w:val="nb-NO"/>
              </w:rPr>
            </w:pPr>
          </w:p>
        </w:tc>
        <w:tc>
          <w:tcPr>
            <w:tcW w:w="3617" w:type="dxa"/>
            <w:gridSpan w:val="3"/>
          </w:tcPr>
          <w:p w14:paraId="0101E7BA" w14:textId="77777777" w:rsidR="00FC7B73" w:rsidRPr="009C5EFD" w:rsidRDefault="00E453CD" w:rsidP="00BA47BC">
            <w:pPr>
              <w:pStyle w:val="TableText"/>
              <w:rPr>
                <w:b/>
                <w:bCs/>
                <w:sz w:val="22"/>
                <w:lang w:val="nb-NO"/>
              </w:rPr>
            </w:pPr>
            <w:r w:rsidRPr="007F67EE">
              <w:rPr>
                <w:b/>
                <w:bCs/>
                <w:sz w:val="22"/>
                <w:lang w:val="nb-NO"/>
              </w:rPr>
              <w:t>CD</w:t>
            </w:r>
            <w:r w:rsidRPr="00193D76">
              <w:rPr>
                <w:b/>
                <w:bCs/>
                <w:sz w:val="22"/>
                <w:lang w:val="nb-NO"/>
              </w:rPr>
              <w:t>-</w:t>
            </w:r>
            <w:r w:rsidRPr="009C5EFD">
              <w:rPr>
                <w:b/>
                <w:bCs/>
                <w:sz w:val="22"/>
                <w:lang w:val="nb-NO"/>
              </w:rPr>
              <w:t>studie I: Infliksimab naive pasienter</w:t>
            </w:r>
          </w:p>
        </w:tc>
        <w:tc>
          <w:tcPr>
            <w:tcW w:w="3313" w:type="dxa"/>
            <w:gridSpan w:val="2"/>
          </w:tcPr>
          <w:p w14:paraId="41236D6A" w14:textId="77777777" w:rsidR="00FC7B73" w:rsidRPr="009C5EFD" w:rsidRDefault="00E453CD" w:rsidP="00BA47BC">
            <w:pPr>
              <w:pStyle w:val="TableText"/>
              <w:rPr>
                <w:b/>
                <w:bCs/>
                <w:sz w:val="22"/>
                <w:lang w:val="nb-NO"/>
              </w:rPr>
            </w:pPr>
            <w:r w:rsidRPr="009C5EFD">
              <w:rPr>
                <w:b/>
                <w:bCs/>
                <w:sz w:val="22"/>
                <w:lang w:val="nb-NO"/>
              </w:rPr>
              <w:t>CD-studie II: Infliksimab erfarne pasienter</w:t>
            </w:r>
          </w:p>
        </w:tc>
      </w:tr>
      <w:tr w:rsidR="004644D4" w14:paraId="003D7E4E" w14:textId="77777777" w:rsidTr="005D54C1">
        <w:trPr>
          <w:cantSplit/>
        </w:trPr>
        <w:tc>
          <w:tcPr>
            <w:tcW w:w="2308" w:type="dxa"/>
          </w:tcPr>
          <w:p w14:paraId="54A59808" w14:textId="77777777" w:rsidR="00FC7B73" w:rsidRPr="007F67EE" w:rsidRDefault="00FC7B73" w:rsidP="00BA47BC">
            <w:pPr>
              <w:pStyle w:val="TableText"/>
              <w:jc w:val="center"/>
              <w:rPr>
                <w:b/>
                <w:bCs/>
                <w:sz w:val="22"/>
                <w:lang w:val="nb-NO"/>
              </w:rPr>
            </w:pPr>
          </w:p>
        </w:tc>
        <w:tc>
          <w:tcPr>
            <w:tcW w:w="1192" w:type="dxa"/>
          </w:tcPr>
          <w:p w14:paraId="6FC65108" w14:textId="77777777" w:rsidR="00FC7B73" w:rsidRPr="007F67EE" w:rsidRDefault="00E453CD" w:rsidP="00BA47BC">
            <w:pPr>
              <w:pStyle w:val="TableText"/>
              <w:jc w:val="center"/>
              <w:rPr>
                <w:b/>
                <w:bCs/>
                <w:sz w:val="22"/>
                <w:lang w:val="fr-FR"/>
              </w:rPr>
            </w:pPr>
            <w:r w:rsidRPr="007F67EE">
              <w:rPr>
                <w:b/>
                <w:bCs/>
                <w:sz w:val="22"/>
                <w:lang w:val="fr-FR"/>
              </w:rPr>
              <w:t>Placebo</w:t>
            </w:r>
          </w:p>
          <w:p w14:paraId="261F8FDA" w14:textId="77777777" w:rsidR="00FC7B73" w:rsidRPr="00193D76" w:rsidRDefault="00E453CD" w:rsidP="00BA47BC">
            <w:pPr>
              <w:pStyle w:val="TableText"/>
              <w:jc w:val="center"/>
              <w:rPr>
                <w:b/>
                <w:bCs/>
                <w:sz w:val="22"/>
                <w:lang w:val="fr-FR"/>
              </w:rPr>
            </w:pPr>
            <w:r w:rsidRPr="00193D76">
              <w:rPr>
                <w:b/>
                <w:bCs/>
                <w:sz w:val="22"/>
                <w:lang w:val="fr-FR"/>
              </w:rPr>
              <w:t>N=74</w:t>
            </w:r>
          </w:p>
        </w:tc>
        <w:tc>
          <w:tcPr>
            <w:tcW w:w="1249" w:type="dxa"/>
          </w:tcPr>
          <w:p w14:paraId="23DE600F" w14:textId="77777777" w:rsidR="00FC7B73" w:rsidRPr="002D0790" w:rsidRDefault="00E453CD" w:rsidP="00BA47BC">
            <w:pPr>
              <w:pStyle w:val="TableText"/>
              <w:jc w:val="center"/>
              <w:rPr>
                <w:b/>
                <w:bCs/>
                <w:sz w:val="22"/>
                <w:lang w:val="fr-FR"/>
              </w:rPr>
            </w:pPr>
            <w:r w:rsidRPr="002D0790">
              <w:rPr>
                <w:b/>
                <w:bCs/>
                <w:sz w:val="22"/>
                <w:lang w:val="fr-FR"/>
              </w:rPr>
              <w:t>Humira</w:t>
            </w:r>
          </w:p>
          <w:p w14:paraId="2517EC54" w14:textId="77777777" w:rsidR="00FC7B73" w:rsidRPr="002D0790" w:rsidRDefault="00E453CD" w:rsidP="00BA47BC">
            <w:pPr>
              <w:pStyle w:val="TableText"/>
              <w:jc w:val="center"/>
              <w:rPr>
                <w:b/>
                <w:bCs/>
                <w:sz w:val="22"/>
                <w:lang w:val="fr-FR"/>
              </w:rPr>
            </w:pPr>
            <w:r w:rsidRPr="002D0790">
              <w:rPr>
                <w:b/>
                <w:bCs/>
                <w:sz w:val="22"/>
                <w:lang w:val="fr-FR"/>
              </w:rPr>
              <w:t>80/40 mg</w:t>
            </w:r>
          </w:p>
          <w:p w14:paraId="21D213EE" w14:textId="77777777" w:rsidR="00FC7B73" w:rsidRPr="00E14E58" w:rsidRDefault="00E453CD" w:rsidP="00BA47BC">
            <w:pPr>
              <w:pStyle w:val="TableText"/>
              <w:jc w:val="center"/>
              <w:rPr>
                <w:b/>
                <w:bCs/>
                <w:sz w:val="22"/>
                <w:lang w:val="fr-FR"/>
              </w:rPr>
            </w:pPr>
            <w:r w:rsidRPr="00E14E58">
              <w:rPr>
                <w:b/>
                <w:bCs/>
                <w:sz w:val="22"/>
                <w:lang w:val="fr-FR"/>
              </w:rPr>
              <w:t>N=75</w:t>
            </w:r>
          </w:p>
        </w:tc>
        <w:tc>
          <w:tcPr>
            <w:tcW w:w="1176" w:type="dxa"/>
          </w:tcPr>
          <w:p w14:paraId="13535AE5" w14:textId="77777777" w:rsidR="00FC7B73" w:rsidRPr="009C5EFD" w:rsidRDefault="00E453CD" w:rsidP="00BA47BC">
            <w:pPr>
              <w:pStyle w:val="TableText"/>
              <w:jc w:val="center"/>
              <w:rPr>
                <w:b/>
                <w:bCs/>
                <w:sz w:val="22"/>
                <w:lang w:val="fr-FR"/>
              </w:rPr>
            </w:pPr>
            <w:r w:rsidRPr="009C5EFD">
              <w:rPr>
                <w:b/>
                <w:bCs/>
                <w:sz w:val="22"/>
                <w:lang w:val="fr-FR"/>
              </w:rPr>
              <w:t xml:space="preserve">Humira </w:t>
            </w:r>
          </w:p>
          <w:p w14:paraId="7FD2B6F7" w14:textId="77777777" w:rsidR="00FC7B73" w:rsidRPr="009C5EFD" w:rsidRDefault="00E453CD" w:rsidP="00BA47BC">
            <w:pPr>
              <w:pStyle w:val="TableText"/>
              <w:jc w:val="center"/>
              <w:rPr>
                <w:b/>
                <w:bCs/>
                <w:sz w:val="22"/>
                <w:lang w:val="fr-FR"/>
              </w:rPr>
            </w:pPr>
            <w:r w:rsidRPr="009C5EFD">
              <w:rPr>
                <w:b/>
                <w:bCs/>
                <w:sz w:val="22"/>
                <w:lang w:val="fr-FR"/>
              </w:rPr>
              <w:t>160/80 mg N=76</w:t>
            </w:r>
          </w:p>
        </w:tc>
        <w:tc>
          <w:tcPr>
            <w:tcW w:w="1495" w:type="dxa"/>
          </w:tcPr>
          <w:p w14:paraId="51C20F46" w14:textId="77777777" w:rsidR="00FC7B73" w:rsidRPr="009C5EFD" w:rsidRDefault="00E453CD" w:rsidP="00BA47BC">
            <w:pPr>
              <w:pStyle w:val="TableText"/>
              <w:jc w:val="center"/>
              <w:rPr>
                <w:b/>
                <w:bCs/>
                <w:sz w:val="22"/>
                <w:lang w:val="fr-FR"/>
              </w:rPr>
            </w:pPr>
            <w:r w:rsidRPr="009C5EFD">
              <w:rPr>
                <w:b/>
                <w:bCs/>
                <w:sz w:val="22"/>
                <w:lang w:val="fr-FR"/>
              </w:rPr>
              <w:t>Placebo</w:t>
            </w:r>
          </w:p>
          <w:p w14:paraId="1CD0DFDA" w14:textId="77777777" w:rsidR="00FC7B73" w:rsidRPr="009C5EFD" w:rsidRDefault="00E453CD" w:rsidP="00BA47BC">
            <w:pPr>
              <w:pStyle w:val="TableText"/>
              <w:jc w:val="center"/>
              <w:rPr>
                <w:b/>
                <w:bCs/>
                <w:sz w:val="22"/>
                <w:lang w:val="fr-FR"/>
              </w:rPr>
            </w:pPr>
            <w:r w:rsidRPr="009C5EFD">
              <w:rPr>
                <w:b/>
                <w:bCs/>
                <w:sz w:val="22"/>
                <w:lang w:val="fr-FR"/>
              </w:rPr>
              <w:t>N=166</w:t>
            </w:r>
          </w:p>
        </w:tc>
        <w:tc>
          <w:tcPr>
            <w:tcW w:w="1818" w:type="dxa"/>
          </w:tcPr>
          <w:p w14:paraId="1428657F" w14:textId="77777777" w:rsidR="00FC7B73" w:rsidRPr="009C5EFD" w:rsidRDefault="00E453CD" w:rsidP="00BA47BC">
            <w:pPr>
              <w:pStyle w:val="TableText"/>
              <w:jc w:val="center"/>
              <w:rPr>
                <w:b/>
                <w:bCs/>
                <w:sz w:val="22"/>
                <w:lang w:val="fr-FR"/>
              </w:rPr>
            </w:pPr>
            <w:r w:rsidRPr="009C5EFD">
              <w:rPr>
                <w:b/>
                <w:bCs/>
                <w:sz w:val="22"/>
                <w:lang w:val="fr-FR"/>
              </w:rPr>
              <w:t xml:space="preserve">Humira </w:t>
            </w:r>
          </w:p>
          <w:p w14:paraId="6CCA6E8F" w14:textId="77777777" w:rsidR="00FC7B73" w:rsidRPr="009C5EFD" w:rsidRDefault="00E453CD" w:rsidP="00BA47BC">
            <w:pPr>
              <w:pStyle w:val="TableText"/>
              <w:jc w:val="center"/>
              <w:rPr>
                <w:b/>
                <w:bCs/>
                <w:sz w:val="22"/>
                <w:lang w:val="fr-FR"/>
              </w:rPr>
            </w:pPr>
            <w:r w:rsidRPr="009C5EFD">
              <w:rPr>
                <w:b/>
                <w:bCs/>
                <w:sz w:val="22"/>
                <w:lang w:val="fr-FR"/>
              </w:rPr>
              <w:t>160/80 mg</w:t>
            </w:r>
          </w:p>
          <w:p w14:paraId="2D005159" w14:textId="77777777" w:rsidR="00FC7B73" w:rsidRPr="009C5EFD" w:rsidRDefault="00E453CD" w:rsidP="00BA47BC">
            <w:pPr>
              <w:pStyle w:val="TableText"/>
              <w:jc w:val="center"/>
              <w:rPr>
                <w:b/>
                <w:bCs/>
                <w:sz w:val="22"/>
                <w:lang w:val="en-GB"/>
              </w:rPr>
            </w:pPr>
            <w:r w:rsidRPr="009C5EFD">
              <w:rPr>
                <w:b/>
                <w:bCs/>
                <w:sz w:val="22"/>
                <w:lang w:val="en-GB"/>
              </w:rPr>
              <w:t>N=159</w:t>
            </w:r>
          </w:p>
        </w:tc>
      </w:tr>
      <w:tr w:rsidR="004644D4" w14:paraId="2FE5E08C" w14:textId="77777777" w:rsidTr="005D54C1">
        <w:trPr>
          <w:cantSplit/>
        </w:trPr>
        <w:tc>
          <w:tcPr>
            <w:tcW w:w="2308" w:type="dxa"/>
            <w:vAlign w:val="bottom"/>
          </w:tcPr>
          <w:p w14:paraId="522327F0" w14:textId="77777777" w:rsidR="00FC7B73" w:rsidRPr="007F67EE" w:rsidRDefault="00E453CD" w:rsidP="00BA47BC">
            <w:pPr>
              <w:pStyle w:val="TableText"/>
              <w:rPr>
                <w:sz w:val="22"/>
                <w:lang w:val="en-GB"/>
              </w:rPr>
            </w:pPr>
            <w:r w:rsidRPr="007F67EE">
              <w:rPr>
                <w:sz w:val="22"/>
                <w:lang w:val="en-GB"/>
              </w:rPr>
              <w:t>Uke 4</w:t>
            </w:r>
          </w:p>
        </w:tc>
        <w:tc>
          <w:tcPr>
            <w:tcW w:w="1192" w:type="dxa"/>
            <w:vAlign w:val="bottom"/>
          </w:tcPr>
          <w:p w14:paraId="29C00578" w14:textId="77777777" w:rsidR="00FC7B73" w:rsidRPr="00193D76" w:rsidRDefault="00FC7B73" w:rsidP="00BA47BC">
            <w:pPr>
              <w:pStyle w:val="TableText"/>
              <w:rPr>
                <w:sz w:val="22"/>
                <w:lang w:val="en-GB"/>
              </w:rPr>
            </w:pPr>
          </w:p>
        </w:tc>
        <w:tc>
          <w:tcPr>
            <w:tcW w:w="1249" w:type="dxa"/>
            <w:vAlign w:val="bottom"/>
          </w:tcPr>
          <w:p w14:paraId="469EA84E" w14:textId="77777777" w:rsidR="00FC7B73" w:rsidRPr="009C5EFD" w:rsidRDefault="00FC7B73" w:rsidP="00BA47BC">
            <w:pPr>
              <w:pStyle w:val="TableText"/>
              <w:rPr>
                <w:sz w:val="22"/>
                <w:lang w:val="en-GB"/>
              </w:rPr>
            </w:pPr>
          </w:p>
        </w:tc>
        <w:tc>
          <w:tcPr>
            <w:tcW w:w="1176" w:type="dxa"/>
            <w:vAlign w:val="bottom"/>
          </w:tcPr>
          <w:p w14:paraId="4FAB9EC3" w14:textId="77777777" w:rsidR="00FC7B73" w:rsidRPr="009C5EFD" w:rsidRDefault="00FC7B73" w:rsidP="00BA47BC">
            <w:pPr>
              <w:pStyle w:val="TableText"/>
              <w:rPr>
                <w:sz w:val="22"/>
                <w:lang w:val="en-GB"/>
              </w:rPr>
            </w:pPr>
          </w:p>
        </w:tc>
        <w:tc>
          <w:tcPr>
            <w:tcW w:w="1495" w:type="dxa"/>
            <w:vAlign w:val="bottom"/>
          </w:tcPr>
          <w:p w14:paraId="05F6844C" w14:textId="77777777" w:rsidR="00FC7B73" w:rsidRPr="009C5EFD" w:rsidRDefault="00FC7B73" w:rsidP="00BA47BC">
            <w:pPr>
              <w:pStyle w:val="TableText"/>
              <w:rPr>
                <w:sz w:val="22"/>
                <w:lang w:val="en-GB"/>
              </w:rPr>
            </w:pPr>
          </w:p>
        </w:tc>
        <w:tc>
          <w:tcPr>
            <w:tcW w:w="1818" w:type="dxa"/>
            <w:vAlign w:val="bottom"/>
          </w:tcPr>
          <w:p w14:paraId="5D3E08D6" w14:textId="77777777" w:rsidR="00FC7B73" w:rsidRPr="009C5EFD" w:rsidRDefault="00FC7B73" w:rsidP="00BA47BC">
            <w:pPr>
              <w:pStyle w:val="TableText"/>
              <w:rPr>
                <w:sz w:val="22"/>
                <w:lang w:val="en-GB"/>
              </w:rPr>
            </w:pPr>
          </w:p>
        </w:tc>
      </w:tr>
      <w:tr w:rsidR="004644D4" w14:paraId="152D5F54" w14:textId="77777777" w:rsidTr="005D54C1">
        <w:trPr>
          <w:cantSplit/>
        </w:trPr>
        <w:tc>
          <w:tcPr>
            <w:tcW w:w="2308" w:type="dxa"/>
            <w:vAlign w:val="bottom"/>
          </w:tcPr>
          <w:p w14:paraId="20E4166E" w14:textId="77777777" w:rsidR="00FC7B73" w:rsidRPr="007F67EE" w:rsidRDefault="00E453CD" w:rsidP="00BA47BC">
            <w:pPr>
              <w:pStyle w:val="TableText"/>
              <w:rPr>
                <w:sz w:val="22"/>
                <w:lang w:val="en-GB"/>
              </w:rPr>
            </w:pPr>
            <w:r w:rsidRPr="007F67EE">
              <w:rPr>
                <w:sz w:val="22"/>
                <w:lang w:val="en-GB"/>
              </w:rPr>
              <w:t>Klinisk remisjon</w:t>
            </w:r>
          </w:p>
        </w:tc>
        <w:tc>
          <w:tcPr>
            <w:tcW w:w="1192" w:type="dxa"/>
            <w:vAlign w:val="bottom"/>
          </w:tcPr>
          <w:p w14:paraId="693D3CF2" w14:textId="77777777" w:rsidR="00FC7B73" w:rsidRPr="009C5EFD" w:rsidRDefault="00E453CD" w:rsidP="00BA47BC">
            <w:pPr>
              <w:pStyle w:val="TableText"/>
              <w:jc w:val="center"/>
              <w:rPr>
                <w:sz w:val="22"/>
                <w:lang w:val="en-GB"/>
              </w:rPr>
            </w:pPr>
            <w:r w:rsidRPr="00193D76">
              <w:rPr>
                <w:sz w:val="22"/>
                <w:lang w:val="en-GB"/>
              </w:rPr>
              <w:t>12</w:t>
            </w:r>
            <w:r w:rsidRPr="009C5EFD">
              <w:rPr>
                <w:sz w:val="22"/>
                <w:lang w:val="en-GB"/>
              </w:rPr>
              <w:t xml:space="preserve"> %</w:t>
            </w:r>
          </w:p>
        </w:tc>
        <w:tc>
          <w:tcPr>
            <w:tcW w:w="1249" w:type="dxa"/>
            <w:vAlign w:val="bottom"/>
          </w:tcPr>
          <w:p w14:paraId="6D57F896" w14:textId="77777777" w:rsidR="00FC7B73" w:rsidRPr="009C5EFD" w:rsidRDefault="00E453CD" w:rsidP="00BA47BC">
            <w:pPr>
              <w:pStyle w:val="TableText"/>
              <w:jc w:val="center"/>
              <w:rPr>
                <w:bCs/>
                <w:iCs/>
                <w:sz w:val="22"/>
                <w:lang w:val="en-GB"/>
              </w:rPr>
            </w:pPr>
            <w:r w:rsidRPr="009C5EFD">
              <w:rPr>
                <w:bCs/>
                <w:iCs/>
                <w:sz w:val="22"/>
                <w:lang w:val="en-GB"/>
              </w:rPr>
              <w:t>24 %</w:t>
            </w:r>
          </w:p>
        </w:tc>
        <w:tc>
          <w:tcPr>
            <w:tcW w:w="1176" w:type="dxa"/>
            <w:vAlign w:val="bottom"/>
          </w:tcPr>
          <w:p w14:paraId="62E8892D" w14:textId="77777777" w:rsidR="00FC7B73" w:rsidRPr="009C5EFD" w:rsidRDefault="00E453CD" w:rsidP="00BA47BC">
            <w:pPr>
              <w:pStyle w:val="TableText"/>
              <w:jc w:val="center"/>
              <w:rPr>
                <w:bCs/>
                <w:iCs/>
                <w:sz w:val="22"/>
                <w:lang w:val="en-GB"/>
              </w:rPr>
            </w:pPr>
            <w:r w:rsidRPr="009C5EFD">
              <w:rPr>
                <w:sz w:val="22"/>
                <w:lang w:val="en-GB"/>
              </w:rPr>
              <w:t>36 %</w:t>
            </w:r>
            <w:r w:rsidRPr="009C5EFD">
              <w:rPr>
                <w:sz w:val="22"/>
                <w:vertAlign w:val="superscript"/>
                <w:lang w:val="en-GB"/>
              </w:rPr>
              <w:t>*</w:t>
            </w:r>
          </w:p>
        </w:tc>
        <w:tc>
          <w:tcPr>
            <w:tcW w:w="1495" w:type="dxa"/>
            <w:vAlign w:val="bottom"/>
          </w:tcPr>
          <w:p w14:paraId="0DE378C3" w14:textId="77777777" w:rsidR="00FC7B73" w:rsidRPr="009C5EFD" w:rsidRDefault="00E453CD" w:rsidP="00BA47BC">
            <w:pPr>
              <w:pStyle w:val="TableText"/>
              <w:jc w:val="center"/>
              <w:rPr>
                <w:sz w:val="22"/>
                <w:lang w:val="en-GB"/>
              </w:rPr>
            </w:pPr>
            <w:r w:rsidRPr="009C5EFD">
              <w:rPr>
                <w:sz w:val="22"/>
                <w:lang w:val="en-GB"/>
              </w:rPr>
              <w:t>7 %</w:t>
            </w:r>
          </w:p>
        </w:tc>
        <w:tc>
          <w:tcPr>
            <w:tcW w:w="1818" w:type="dxa"/>
            <w:vAlign w:val="bottom"/>
          </w:tcPr>
          <w:p w14:paraId="6A9C9C84" w14:textId="77777777" w:rsidR="00FC7B73" w:rsidRPr="009C5EFD" w:rsidRDefault="00E453CD" w:rsidP="00BA47BC">
            <w:pPr>
              <w:pStyle w:val="TableText"/>
              <w:jc w:val="center"/>
              <w:rPr>
                <w:sz w:val="22"/>
                <w:lang w:val="en-GB"/>
              </w:rPr>
            </w:pPr>
            <w:r w:rsidRPr="009C5EFD">
              <w:rPr>
                <w:sz w:val="22"/>
                <w:lang w:val="en-GB"/>
              </w:rPr>
              <w:t>21 %</w:t>
            </w:r>
            <w:r w:rsidRPr="009C5EFD">
              <w:rPr>
                <w:sz w:val="22"/>
                <w:vertAlign w:val="superscript"/>
                <w:lang w:val="en-GB"/>
              </w:rPr>
              <w:t>*</w:t>
            </w:r>
          </w:p>
        </w:tc>
      </w:tr>
      <w:tr w:rsidR="004644D4" w14:paraId="167D4411" w14:textId="77777777" w:rsidTr="005D54C1">
        <w:trPr>
          <w:cantSplit/>
        </w:trPr>
        <w:tc>
          <w:tcPr>
            <w:tcW w:w="2308" w:type="dxa"/>
            <w:tcBorders>
              <w:bottom w:val="single" w:sz="4" w:space="0" w:color="auto"/>
            </w:tcBorders>
          </w:tcPr>
          <w:p w14:paraId="08AED829" w14:textId="77777777" w:rsidR="00FC7B73" w:rsidRPr="007F67EE" w:rsidRDefault="00E453CD" w:rsidP="00BA47BC">
            <w:pPr>
              <w:pStyle w:val="TableText"/>
              <w:rPr>
                <w:sz w:val="22"/>
                <w:lang w:val="en-GB"/>
              </w:rPr>
            </w:pPr>
            <w:r w:rsidRPr="007F67EE">
              <w:rPr>
                <w:sz w:val="22"/>
                <w:lang w:val="en-GB"/>
              </w:rPr>
              <w:t>Klinisk respons (CR-100)</w:t>
            </w:r>
          </w:p>
        </w:tc>
        <w:tc>
          <w:tcPr>
            <w:tcW w:w="1192" w:type="dxa"/>
            <w:tcBorders>
              <w:bottom w:val="single" w:sz="4" w:space="0" w:color="auto"/>
            </w:tcBorders>
          </w:tcPr>
          <w:p w14:paraId="36A74AAD" w14:textId="77777777" w:rsidR="00FC7B73" w:rsidRPr="009C5EFD" w:rsidRDefault="00E453CD" w:rsidP="00BA47BC">
            <w:pPr>
              <w:pStyle w:val="TableText"/>
              <w:jc w:val="center"/>
              <w:rPr>
                <w:sz w:val="22"/>
                <w:lang w:val="en-GB"/>
              </w:rPr>
            </w:pPr>
            <w:r w:rsidRPr="00193D76">
              <w:rPr>
                <w:sz w:val="22"/>
                <w:lang w:val="en-GB"/>
              </w:rPr>
              <w:t>24</w:t>
            </w:r>
            <w:r w:rsidRPr="009C5EFD">
              <w:rPr>
                <w:sz w:val="22"/>
                <w:lang w:val="en-GB"/>
              </w:rPr>
              <w:t xml:space="preserve"> %</w:t>
            </w:r>
          </w:p>
        </w:tc>
        <w:tc>
          <w:tcPr>
            <w:tcW w:w="1249" w:type="dxa"/>
            <w:tcBorders>
              <w:bottom w:val="single" w:sz="4" w:space="0" w:color="auto"/>
            </w:tcBorders>
          </w:tcPr>
          <w:p w14:paraId="4AE8A803" w14:textId="77777777" w:rsidR="00FC7B73" w:rsidRPr="009C5EFD" w:rsidRDefault="00E453CD" w:rsidP="00BA47BC">
            <w:pPr>
              <w:pStyle w:val="TableText"/>
              <w:jc w:val="center"/>
              <w:rPr>
                <w:sz w:val="22"/>
                <w:lang w:val="en-GB"/>
              </w:rPr>
            </w:pPr>
            <w:r w:rsidRPr="009C5EFD">
              <w:rPr>
                <w:sz w:val="22"/>
                <w:lang w:val="en-GB"/>
              </w:rPr>
              <w:t>37 %</w:t>
            </w:r>
          </w:p>
        </w:tc>
        <w:tc>
          <w:tcPr>
            <w:tcW w:w="1176" w:type="dxa"/>
            <w:tcBorders>
              <w:bottom w:val="single" w:sz="4" w:space="0" w:color="auto"/>
            </w:tcBorders>
          </w:tcPr>
          <w:p w14:paraId="5A825AC6" w14:textId="77777777" w:rsidR="00FC7B73" w:rsidRPr="009C5EFD" w:rsidRDefault="00E453CD" w:rsidP="00BA47BC">
            <w:pPr>
              <w:pStyle w:val="TableText"/>
              <w:jc w:val="center"/>
              <w:rPr>
                <w:sz w:val="22"/>
                <w:lang w:val="en-GB"/>
              </w:rPr>
            </w:pPr>
            <w:r w:rsidRPr="009C5EFD">
              <w:rPr>
                <w:sz w:val="22"/>
                <w:lang w:val="en-GB"/>
              </w:rPr>
              <w:t>49 %</w:t>
            </w:r>
            <w:r w:rsidRPr="009C5EFD">
              <w:rPr>
                <w:sz w:val="22"/>
                <w:vertAlign w:val="superscript"/>
                <w:lang w:val="en-GB"/>
              </w:rPr>
              <w:t>**</w:t>
            </w:r>
          </w:p>
        </w:tc>
        <w:tc>
          <w:tcPr>
            <w:tcW w:w="1495" w:type="dxa"/>
            <w:tcBorders>
              <w:bottom w:val="single" w:sz="4" w:space="0" w:color="auto"/>
            </w:tcBorders>
          </w:tcPr>
          <w:p w14:paraId="55E1360B" w14:textId="77777777" w:rsidR="00FC7B73" w:rsidRPr="009C5EFD" w:rsidRDefault="00E453CD" w:rsidP="00BA47BC">
            <w:pPr>
              <w:pStyle w:val="TableText"/>
              <w:jc w:val="center"/>
              <w:rPr>
                <w:sz w:val="22"/>
                <w:lang w:val="en-GB"/>
              </w:rPr>
            </w:pPr>
            <w:r w:rsidRPr="009C5EFD">
              <w:rPr>
                <w:sz w:val="22"/>
                <w:lang w:val="en-GB"/>
              </w:rPr>
              <w:t>25 %</w:t>
            </w:r>
          </w:p>
        </w:tc>
        <w:tc>
          <w:tcPr>
            <w:tcW w:w="1818" w:type="dxa"/>
            <w:tcBorders>
              <w:bottom w:val="single" w:sz="4" w:space="0" w:color="auto"/>
            </w:tcBorders>
          </w:tcPr>
          <w:p w14:paraId="3BE33537" w14:textId="77777777" w:rsidR="00FC7B73" w:rsidRPr="009C5EFD" w:rsidRDefault="00E453CD" w:rsidP="00BA47BC">
            <w:pPr>
              <w:pStyle w:val="TableText"/>
              <w:jc w:val="center"/>
              <w:rPr>
                <w:sz w:val="22"/>
                <w:lang w:val="en-GB"/>
              </w:rPr>
            </w:pPr>
            <w:r w:rsidRPr="009C5EFD">
              <w:rPr>
                <w:sz w:val="22"/>
                <w:lang w:val="en-GB"/>
              </w:rPr>
              <w:t>38 %</w:t>
            </w:r>
            <w:r w:rsidRPr="009C5EFD">
              <w:rPr>
                <w:sz w:val="22"/>
                <w:vertAlign w:val="superscript"/>
                <w:lang w:val="en-GB"/>
              </w:rPr>
              <w:t>**</w:t>
            </w:r>
          </w:p>
        </w:tc>
      </w:tr>
      <w:tr w:rsidR="004644D4" w14:paraId="729D46EE" w14:textId="77777777" w:rsidTr="005D54C1">
        <w:trPr>
          <w:cantSplit/>
        </w:trPr>
        <w:tc>
          <w:tcPr>
            <w:tcW w:w="9238" w:type="dxa"/>
            <w:gridSpan w:val="6"/>
            <w:tcBorders>
              <w:left w:val="nil"/>
              <w:bottom w:val="nil"/>
              <w:right w:val="nil"/>
            </w:tcBorders>
          </w:tcPr>
          <w:p w14:paraId="5EA905C8" w14:textId="77777777" w:rsidR="00FC7B73" w:rsidRPr="009C5EFD" w:rsidRDefault="00E453CD" w:rsidP="00BA47BC">
            <w:pPr>
              <w:pStyle w:val="TableText"/>
              <w:spacing w:before="0" w:after="0"/>
              <w:rPr>
                <w:sz w:val="22"/>
                <w:lang w:val="nb-NO"/>
              </w:rPr>
            </w:pPr>
            <w:r w:rsidRPr="007F67EE">
              <w:rPr>
                <w:sz w:val="22"/>
                <w:lang w:val="nb-NO"/>
              </w:rPr>
              <w:t>Alle p-v</w:t>
            </w:r>
            <w:r w:rsidRPr="00193D76">
              <w:rPr>
                <w:sz w:val="22"/>
                <w:lang w:val="nb-NO"/>
              </w:rPr>
              <w:t>erdiene</w:t>
            </w:r>
            <w:r w:rsidRPr="002D0790">
              <w:rPr>
                <w:sz w:val="22"/>
                <w:lang w:val="nb-NO"/>
              </w:rPr>
              <w:t xml:space="preserve"> er parvise sammenligninger av forholdene Humira </w:t>
            </w:r>
            <w:r w:rsidRPr="00E14E58">
              <w:rPr>
                <w:i/>
                <w:iCs/>
                <w:sz w:val="22"/>
                <w:lang w:val="nb-NO"/>
              </w:rPr>
              <w:t>versus</w:t>
            </w:r>
            <w:r w:rsidRPr="009C5EFD">
              <w:rPr>
                <w:sz w:val="22"/>
                <w:lang w:val="nb-NO"/>
              </w:rPr>
              <w:t xml:space="preserve"> placebo</w:t>
            </w:r>
          </w:p>
          <w:p w14:paraId="154FC00C" w14:textId="77777777" w:rsidR="00FC7B73" w:rsidRPr="009C5EFD" w:rsidRDefault="00E453CD" w:rsidP="00BA47BC">
            <w:pPr>
              <w:pStyle w:val="TableText"/>
              <w:spacing w:before="0" w:after="0"/>
              <w:rPr>
                <w:sz w:val="22"/>
                <w:lang w:val="en-GB"/>
              </w:rPr>
            </w:pPr>
            <w:r w:rsidRPr="009C5EFD">
              <w:rPr>
                <w:sz w:val="22"/>
                <w:vertAlign w:val="superscript"/>
                <w:lang w:val="en-GB"/>
              </w:rPr>
              <w:t>*</w:t>
            </w:r>
            <w:r w:rsidRPr="009C5EFD">
              <w:rPr>
                <w:sz w:val="22"/>
                <w:lang w:val="en-GB"/>
              </w:rPr>
              <w:tab/>
              <w:t>p &lt; 0,001</w:t>
            </w:r>
          </w:p>
          <w:p w14:paraId="2F873F89" w14:textId="77777777" w:rsidR="00FC7B73" w:rsidRPr="009C5EFD" w:rsidRDefault="00E453CD" w:rsidP="00BA47BC">
            <w:pPr>
              <w:pStyle w:val="TableText"/>
              <w:spacing w:before="0" w:after="0"/>
              <w:rPr>
                <w:sz w:val="22"/>
                <w:lang w:val="en-GB"/>
              </w:rPr>
            </w:pPr>
            <w:r w:rsidRPr="009C5EFD">
              <w:rPr>
                <w:sz w:val="22"/>
                <w:vertAlign w:val="superscript"/>
                <w:lang w:val="en-GB"/>
              </w:rPr>
              <w:t>**</w:t>
            </w:r>
            <w:r w:rsidRPr="009C5EFD">
              <w:rPr>
                <w:sz w:val="22"/>
                <w:lang w:val="en-GB"/>
              </w:rPr>
              <w:tab/>
              <w:t>p &lt; 0,01</w:t>
            </w:r>
          </w:p>
        </w:tc>
      </w:tr>
    </w:tbl>
    <w:p w14:paraId="16B70256" w14:textId="77777777" w:rsidR="00FC7B73" w:rsidRPr="009C5EFD" w:rsidRDefault="00FC7B73" w:rsidP="009C5EFD">
      <w:pPr>
        <w:rPr>
          <w:sz w:val="22"/>
          <w:szCs w:val="22"/>
        </w:rPr>
      </w:pPr>
    </w:p>
    <w:p w14:paraId="05E16A0C" w14:textId="77777777" w:rsidR="001E500F" w:rsidRPr="009C5EFD" w:rsidRDefault="00E453CD" w:rsidP="00193D76">
      <w:pPr>
        <w:tabs>
          <w:tab w:val="left" w:pos="142"/>
        </w:tabs>
        <w:rPr>
          <w:sz w:val="22"/>
          <w:szCs w:val="22"/>
        </w:rPr>
      </w:pPr>
      <w:r w:rsidRPr="00C07C98">
        <w:rPr>
          <w:sz w:val="22"/>
          <w:szCs w:val="22"/>
        </w:rPr>
        <w:t xml:space="preserve">Lignende resmisjonsnivåer ble observert ved </w:t>
      </w:r>
      <w:r w:rsidR="00315F16" w:rsidRPr="00C07C98">
        <w:rPr>
          <w:sz w:val="22"/>
          <w:szCs w:val="22"/>
        </w:rPr>
        <w:t>uke </w:t>
      </w:r>
      <w:r w:rsidRPr="00E14E58">
        <w:rPr>
          <w:sz w:val="22"/>
          <w:szCs w:val="22"/>
        </w:rPr>
        <w:t>8 for induksjonsregimene med 160/80</w:t>
      </w:r>
      <w:r w:rsidR="00315F16" w:rsidRPr="009C5EFD">
        <w:rPr>
          <w:sz w:val="22"/>
          <w:szCs w:val="22"/>
        </w:rPr>
        <w:t> mg</w:t>
      </w:r>
      <w:r w:rsidRPr="009C5EFD">
        <w:rPr>
          <w:sz w:val="22"/>
          <w:szCs w:val="22"/>
        </w:rPr>
        <w:t xml:space="preserve"> og 80/40</w:t>
      </w:r>
      <w:r w:rsidR="00315F16" w:rsidRPr="009C5EFD">
        <w:rPr>
          <w:sz w:val="22"/>
          <w:szCs w:val="22"/>
        </w:rPr>
        <w:t> mg</w:t>
      </w:r>
      <w:r w:rsidRPr="009C5EFD">
        <w:rPr>
          <w:sz w:val="22"/>
          <w:szCs w:val="22"/>
        </w:rPr>
        <w:t xml:space="preserve">, og bivirkninger ble hyppigere </w:t>
      </w:r>
      <w:r w:rsidRPr="009C5EFD">
        <w:rPr>
          <w:color w:val="000000"/>
          <w:sz w:val="22"/>
          <w:szCs w:val="22"/>
        </w:rPr>
        <w:t xml:space="preserve">observert </w:t>
      </w:r>
      <w:r w:rsidRPr="009C5EFD">
        <w:rPr>
          <w:sz w:val="22"/>
          <w:szCs w:val="22"/>
        </w:rPr>
        <w:t>i gruppen med 160/80</w:t>
      </w:r>
      <w:r w:rsidR="00315F16" w:rsidRPr="009C5EFD">
        <w:rPr>
          <w:sz w:val="22"/>
          <w:szCs w:val="22"/>
        </w:rPr>
        <w:t> mg</w:t>
      </w:r>
      <w:r w:rsidRPr="009C5EFD">
        <w:rPr>
          <w:sz w:val="22"/>
          <w:szCs w:val="22"/>
        </w:rPr>
        <w:t>.</w:t>
      </w:r>
    </w:p>
    <w:p w14:paraId="33AE08CE" w14:textId="77777777" w:rsidR="001E500F" w:rsidRPr="009C5EFD" w:rsidRDefault="001E500F" w:rsidP="002D0790">
      <w:pPr>
        <w:tabs>
          <w:tab w:val="left" w:pos="142"/>
        </w:tabs>
        <w:rPr>
          <w:sz w:val="22"/>
          <w:szCs w:val="22"/>
        </w:rPr>
      </w:pPr>
    </w:p>
    <w:p w14:paraId="36949463" w14:textId="77777777" w:rsidR="001E500F" w:rsidRPr="009C5EFD" w:rsidRDefault="00E453CD" w:rsidP="00C07C98">
      <w:pPr>
        <w:tabs>
          <w:tab w:val="left" w:pos="142"/>
        </w:tabs>
        <w:rPr>
          <w:sz w:val="22"/>
          <w:szCs w:val="22"/>
        </w:rPr>
      </w:pPr>
      <w:r w:rsidRPr="009C5EFD">
        <w:rPr>
          <w:sz w:val="22"/>
          <w:szCs w:val="22"/>
        </w:rPr>
        <w:t xml:space="preserve">Ved </w:t>
      </w:r>
      <w:r w:rsidR="00315F16" w:rsidRPr="009C5EFD">
        <w:rPr>
          <w:sz w:val="22"/>
          <w:szCs w:val="22"/>
        </w:rPr>
        <w:t>uke </w:t>
      </w:r>
      <w:r w:rsidRPr="009C5EFD">
        <w:rPr>
          <w:sz w:val="22"/>
          <w:szCs w:val="22"/>
        </w:rPr>
        <w:t>4 i CD-studie III oppnådde 58</w:t>
      </w:r>
      <w:r w:rsidR="00315F16" w:rsidRPr="009C5EFD">
        <w:rPr>
          <w:sz w:val="22"/>
          <w:szCs w:val="22"/>
        </w:rPr>
        <w:t> %</w:t>
      </w:r>
      <w:r w:rsidRPr="009C5EFD">
        <w:rPr>
          <w:sz w:val="22"/>
          <w:szCs w:val="22"/>
        </w:rPr>
        <w:t xml:space="preserve"> (499/854) av pasienter klinisk respons og ble vurdert i den primære analysen. Av de som oppnådde klinisk respons ved </w:t>
      </w:r>
      <w:r w:rsidR="00315F16" w:rsidRPr="009C5EFD">
        <w:rPr>
          <w:sz w:val="22"/>
          <w:szCs w:val="22"/>
        </w:rPr>
        <w:t>uke </w:t>
      </w:r>
      <w:r w:rsidRPr="009C5EFD">
        <w:rPr>
          <w:sz w:val="22"/>
          <w:szCs w:val="22"/>
        </w:rPr>
        <w:t>4, var 48</w:t>
      </w:r>
      <w:r w:rsidR="00315F16" w:rsidRPr="009C5EFD">
        <w:rPr>
          <w:sz w:val="22"/>
          <w:szCs w:val="22"/>
        </w:rPr>
        <w:t> %</w:t>
      </w:r>
      <w:r w:rsidRPr="009C5EFD">
        <w:rPr>
          <w:sz w:val="22"/>
          <w:szCs w:val="22"/>
        </w:rPr>
        <w:t xml:space="preserve"> tidligere behandlet med </w:t>
      </w:r>
      <w:r w:rsidRPr="009C5EFD">
        <w:rPr>
          <w:color w:val="000000"/>
          <w:sz w:val="22"/>
          <w:szCs w:val="22"/>
        </w:rPr>
        <w:t>andre</w:t>
      </w:r>
      <w:r w:rsidRPr="009C5EFD">
        <w:rPr>
          <w:sz w:val="22"/>
          <w:szCs w:val="22"/>
        </w:rPr>
        <w:t xml:space="preserve"> TNF-antagonister. Vedlikehold av remisjon og responsnivåer er vist i tabell </w:t>
      </w:r>
      <w:r w:rsidR="003508F1">
        <w:rPr>
          <w:sz w:val="22"/>
          <w:szCs w:val="22"/>
        </w:rPr>
        <w:t>2</w:t>
      </w:r>
      <w:r w:rsidR="00620B5E">
        <w:rPr>
          <w:sz w:val="22"/>
          <w:szCs w:val="22"/>
        </w:rPr>
        <w:t>2</w:t>
      </w:r>
      <w:r w:rsidRPr="009C5EFD">
        <w:rPr>
          <w:sz w:val="22"/>
          <w:szCs w:val="22"/>
        </w:rPr>
        <w:t>. Resultater for klinisk remisjon var relativt konstante, uavhengig av tidligere behandling med TNF-antagonist.</w:t>
      </w:r>
    </w:p>
    <w:p w14:paraId="7D0D73BA" w14:textId="77777777" w:rsidR="001E500F" w:rsidRPr="009C5EFD" w:rsidRDefault="001E500F" w:rsidP="00E14E58">
      <w:pPr>
        <w:tabs>
          <w:tab w:val="left" w:pos="142"/>
        </w:tabs>
        <w:rPr>
          <w:sz w:val="22"/>
          <w:szCs w:val="22"/>
        </w:rPr>
      </w:pPr>
    </w:p>
    <w:p w14:paraId="081D97A4" w14:textId="77777777" w:rsidR="001E500F" w:rsidRPr="009C5EFD" w:rsidRDefault="00E453CD" w:rsidP="009C5EFD">
      <w:pPr>
        <w:tabs>
          <w:tab w:val="left" w:pos="142"/>
        </w:tabs>
        <w:rPr>
          <w:sz w:val="22"/>
          <w:szCs w:val="22"/>
        </w:rPr>
      </w:pPr>
      <w:r w:rsidRPr="009C5EFD">
        <w:rPr>
          <w:sz w:val="22"/>
          <w:szCs w:val="22"/>
        </w:rPr>
        <w:t xml:space="preserve">Sykdomsrelatert sykehusinnleggelse og kirurgi var statistisk signifikant redusert med adalimumab sammenlignet med placebo ved </w:t>
      </w:r>
      <w:r w:rsidR="00315F16" w:rsidRPr="009C5EFD">
        <w:rPr>
          <w:sz w:val="22"/>
          <w:szCs w:val="22"/>
        </w:rPr>
        <w:t>uke </w:t>
      </w:r>
      <w:r w:rsidRPr="009C5EFD">
        <w:rPr>
          <w:sz w:val="22"/>
          <w:szCs w:val="22"/>
        </w:rPr>
        <w:t>56.</w:t>
      </w:r>
    </w:p>
    <w:p w14:paraId="724F25CC" w14:textId="77777777" w:rsidR="001E500F" w:rsidRPr="009C5EFD" w:rsidRDefault="001E500F" w:rsidP="00776A8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5"/>
      </w:tblGrid>
      <w:tr w:rsidR="004644D4" w14:paraId="2DCCCE94" w14:textId="77777777" w:rsidTr="00F4044A">
        <w:trPr>
          <w:jc w:val="center"/>
        </w:trPr>
        <w:tc>
          <w:tcPr>
            <w:tcW w:w="9205" w:type="dxa"/>
            <w:tcBorders>
              <w:top w:val="nil"/>
              <w:left w:val="nil"/>
              <w:bottom w:val="nil"/>
              <w:right w:val="nil"/>
            </w:tcBorders>
            <w:hideMark/>
          </w:tcPr>
          <w:p w14:paraId="6169FE4A" w14:textId="77777777" w:rsidR="001E500F" w:rsidRPr="009C5EFD" w:rsidRDefault="00E453CD" w:rsidP="009C5EFD">
            <w:pPr>
              <w:pStyle w:val="EMEANormal"/>
              <w:keepNext/>
              <w:jc w:val="center"/>
              <w:rPr>
                <w:b/>
                <w:lang w:val="nb-NO"/>
              </w:rPr>
            </w:pPr>
            <w:r w:rsidRPr="009C5EFD">
              <w:rPr>
                <w:b/>
                <w:lang w:val="nb-NO"/>
              </w:rPr>
              <w:t xml:space="preserve">Tabell </w:t>
            </w:r>
            <w:r w:rsidR="00634DDF">
              <w:rPr>
                <w:b/>
                <w:lang w:val="nb-NO"/>
              </w:rPr>
              <w:t>22</w:t>
            </w:r>
          </w:p>
          <w:p w14:paraId="3A4D4E66" w14:textId="77777777" w:rsidR="001E500F" w:rsidRPr="009C5EFD" w:rsidRDefault="00E453CD" w:rsidP="009C5EFD">
            <w:pPr>
              <w:pStyle w:val="EMEANormal"/>
              <w:keepNext/>
              <w:jc w:val="center"/>
              <w:rPr>
                <w:b/>
                <w:lang w:val="nb-NO"/>
              </w:rPr>
            </w:pPr>
            <w:r w:rsidRPr="009C5EFD">
              <w:rPr>
                <w:b/>
                <w:lang w:val="nb-NO"/>
              </w:rPr>
              <w:t xml:space="preserve">Vedlikehold av klinisk remisjon og respons </w:t>
            </w:r>
          </w:p>
          <w:p w14:paraId="42C58003" w14:textId="77777777" w:rsidR="001E500F" w:rsidRPr="009C5EFD" w:rsidRDefault="00E453CD" w:rsidP="009C5EFD">
            <w:pPr>
              <w:pStyle w:val="EMEANormal"/>
              <w:keepNext/>
              <w:jc w:val="center"/>
              <w:rPr>
                <w:b/>
                <w:lang w:val="nb-NO"/>
              </w:rPr>
            </w:pPr>
            <w:r w:rsidRPr="009C5EFD">
              <w:rPr>
                <w:b/>
                <w:lang w:val="nb-NO"/>
              </w:rPr>
              <w:t>(Prosent av pasientene)</w:t>
            </w:r>
          </w:p>
        </w:tc>
      </w:tr>
    </w:tbl>
    <w:p w14:paraId="251DD54A" w14:textId="77777777" w:rsidR="001E500F" w:rsidRPr="002D0790" w:rsidRDefault="001E500F" w:rsidP="007F67EE">
      <w:pPr>
        <w:keepNext/>
        <w:ind w:left="54"/>
        <w:rPr>
          <w:sz w:val="22"/>
          <w:szCs w:val="22"/>
        </w:rPr>
      </w:pP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8"/>
        <w:gridCol w:w="2508"/>
        <w:gridCol w:w="2116"/>
        <w:gridCol w:w="1886"/>
        <w:gridCol w:w="283"/>
      </w:tblGrid>
      <w:tr w:rsidR="004644D4" w14:paraId="57534B3D"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tcPr>
          <w:p w14:paraId="048C4357" w14:textId="77777777" w:rsidR="001E500F" w:rsidRPr="00C07C98" w:rsidRDefault="001E500F" w:rsidP="00193D76">
            <w:pPr>
              <w:pStyle w:val="EMEANormal"/>
              <w:keepNext/>
              <w:rPr>
                <w:lang w:val="nb-NO"/>
              </w:rPr>
            </w:pPr>
          </w:p>
        </w:tc>
        <w:tc>
          <w:tcPr>
            <w:tcW w:w="1888" w:type="dxa"/>
            <w:tcBorders>
              <w:top w:val="single" w:sz="4" w:space="0" w:color="auto"/>
              <w:left w:val="single" w:sz="4" w:space="0" w:color="auto"/>
              <w:bottom w:val="single" w:sz="4" w:space="0" w:color="auto"/>
              <w:right w:val="single" w:sz="4" w:space="0" w:color="auto"/>
            </w:tcBorders>
            <w:hideMark/>
          </w:tcPr>
          <w:p w14:paraId="140010B6" w14:textId="77777777" w:rsidR="001E500F" w:rsidRPr="00E14E58" w:rsidRDefault="00E453CD" w:rsidP="002D0790">
            <w:pPr>
              <w:pStyle w:val="EMEANormal"/>
              <w:keepNext/>
              <w:jc w:val="center"/>
              <w:rPr>
                <w:b/>
                <w:lang w:val="nb-NO"/>
              </w:rPr>
            </w:pPr>
            <w:r w:rsidRPr="00E14E58">
              <w:rPr>
                <w:b/>
                <w:lang w:val="nb-NO"/>
              </w:rPr>
              <w:t>Placebo</w:t>
            </w:r>
          </w:p>
        </w:tc>
        <w:tc>
          <w:tcPr>
            <w:tcW w:w="1593" w:type="dxa"/>
            <w:tcBorders>
              <w:top w:val="single" w:sz="4" w:space="0" w:color="auto"/>
              <w:left w:val="single" w:sz="4" w:space="0" w:color="auto"/>
              <w:bottom w:val="single" w:sz="4" w:space="0" w:color="auto"/>
              <w:right w:val="single" w:sz="4" w:space="0" w:color="auto"/>
            </w:tcBorders>
            <w:hideMark/>
          </w:tcPr>
          <w:p w14:paraId="618DE11E" w14:textId="77777777" w:rsidR="001E500F" w:rsidRPr="009C5EFD" w:rsidRDefault="00E453CD" w:rsidP="00C07C98">
            <w:pPr>
              <w:pStyle w:val="EMEANormal"/>
              <w:keepNext/>
              <w:jc w:val="center"/>
              <w:rPr>
                <w:b/>
                <w:lang w:val="nb-NO"/>
              </w:rPr>
            </w:pPr>
            <w:r w:rsidRPr="009C5EFD">
              <w:rPr>
                <w:b/>
                <w:lang w:val="nb-NO"/>
              </w:rPr>
              <w:t>40</w:t>
            </w:r>
            <w:r w:rsidR="00315F16" w:rsidRPr="009C5EFD">
              <w:rPr>
                <w:b/>
                <w:lang w:val="nb-NO"/>
              </w:rPr>
              <w:t> mg</w:t>
            </w:r>
            <w:r w:rsidRPr="009C5EFD">
              <w:rPr>
                <w:b/>
                <w:lang w:val="nb-NO"/>
              </w:rPr>
              <w:t xml:space="preserve"> Humira annenhver uke</w:t>
            </w:r>
          </w:p>
        </w:tc>
        <w:tc>
          <w:tcPr>
            <w:tcW w:w="1633" w:type="dxa"/>
            <w:gridSpan w:val="2"/>
            <w:tcBorders>
              <w:top w:val="single" w:sz="4" w:space="0" w:color="auto"/>
              <w:left w:val="single" w:sz="4" w:space="0" w:color="auto"/>
              <w:bottom w:val="single" w:sz="4" w:space="0" w:color="auto"/>
              <w:right w:val="single" w:sz="4" w:space="0" w:color="auto"/>
            </w:tcBorders>
          </w:tcPr>
          <w:p w14:paraId="1B023549" w14:textId="77777777" w:rsidR="001E500F" w:rsidRPr="009C5EFD" w:rsidRDefault="00E453CD" w:rsidP="00E14E58">
            <w:pPr>
              <w:pStyle w:val="EMEANormal"/>
              <w:keepNext/>
              <w:jc w:val="center"/>
              <w:rPr>
                <w:b/>
                <w:lang w:val="nb-NO"/>
              </w:rPr>
            </w:pPr>
            <w:r w:rsidRPr="009C5EFD">
              <w:rPr>
                <w:b/>
                <w:lang w:val="nb-NO"/>
              </w:rPr>
              <w:t>40</w:t>
            </w:r>
            <w:r w:rsidR="00315F16" w:rsidRPr="009C5EFD">
              <w:rPr>
                <w:b/>
                <w:lang w:val="nb-NO"/>
              </w:rPr>
              <w:t> mg</w:t>
            </w:r>
            <w:r w:rsidRPr="009C5EFD">
              <w:rPr>
                <w:b/>
                <w:lang w:val="nb-NO"/>
              </w:rPr>
              <w:t xml:space="preserve"> Humira hver uke</w:t>
            </w:r>
          </w:p>
          <w:p w14:paraId="3EC2EEE3" w14:textId="77777777" w:rsidR="001E500F" w:rsidRPr="009C5EFD" w:rsidRDefault="001E500F" w:rsidP="009C5EFD">
            <w:pPr>
              <w:pStyle w:val="EMEANormal"/>
              <w:keepNext/>
              <w:rPr>
                <w:b/>
                <w:lang w:val="nb-NO"/>
              </w:rPr>
            </w:pPr>
          </w:p>
        </w:tc>
      </w:tr>
      <w:tr w:rsidR="004644D4" w14:paraId="4A18A989"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317A35A8" w14:textId="77777777" w:rsidR="001E500F" w:rsidRPr="00C07C98" w:rsidRDefault="00E453CD" w:rsidP="007F67EE">
            <w:pPr>
              <w:pStyle w:val="EMEANormal"/>
              <w:keepNext/>
              <w:rPr>
                <w:b/>
                <w:lang w:val="nb-NO"/>
              </w:rPr>
            </w:pPr>
            <w:r w:rsidRPr="00193D76">
              <w:rPr>
                <w:b/>
                <w:lang w:val="nb-NO"/>
              </w:rPr>
              <w:t>Uke </w:t>
            </w:r>
            <w:r w:rsidRPr="00C07C98">
              <w:rPr>
                <w:b/>
                <w:lang w:val="nb-NO"/>
              </w:rPr>
              <w:t>26</w:t>
            </w:r>
          </w:p>
        </w:tc>
        <w:tc>
          <w:tcPr>
            <w:tcW w:w="1888" w:type="dxa"/>
            <w:tcBorders>
              <w:top w:val="single" w:sz="4" w:space="0" w:color="auto"/>
              <w:left w:val="single" w:sz="4" w:space="0" w:color="auto"/>
              <w:bottom w:val="single" w:sz="4" w:space="0" w:color="auto"/>
              <w:right w:val="single" w:sz="4" w:space="0" w:color="auto"/>
            </w:tcBorders>
            <w:hideMark/>
          </w:tcPr>
          <w:p w14:paraId="38694759" w14:textId="77777777" w:rsidR="001E500F" w:rsidRPr="009C5EFD" w:rsidRDefault="00E453CD" w:rsidP="00193D76">
            <w:pPr>
              <w:pStyle w:val="EMEANormal"/>
              <w:keepNext/>
              <w:jc w:val="center"/>
              <w:rPr>
                <w:b/>
                <w:lang w:val="nb-NO"/>
              </w:rPr>
            </w:pPr>
            <w:r w:rsidRPr="009C5EFD">
              <w:rPr>
                <w:b/>
                <w:lang w:val="nb-NO"/>
              </w:rPr>
              <w:t>N=170</w:t>
            </w:r>
          </w:p>
        </w:tc>
        <w:tc>
          <w:tcPr>
            <w:tcW w:w="1593" w:type="dxa"/>
            <w:tcBorders>
              <w:top w:val="single" w:sz="4" w:space="0" w:color="auto"/>
              <w:left w:val="single" w:sz="4" w:space="0" w:color="auto"/>
              <w:bottom w:val="single" w:sz="4" w:space="0" w:color="auto"/>
              <w:right w:val="single" w:sz="4" w:space="0" w:color="auto"/>
            </w:tcBorders>
            <w:hideMark/>
          </w:tcPr>
          <w:p w14:paraId="39E2E897" w14:textId="77777777" w:rsidR="001E500F" w:rsidRPr="009C5EFD" w:rsidRDefault="00E453CD" w:rsidP="002D0790">
            <w:pPr>
              <w:pStyle w:val="EMEANormal"/>
              <w:keepNext/>
              <w:jc w:val="center"/>
              <w:rPr>
                <w:b/>
                <w:lang w:val="nb-NO"/>
              </w:rPr>
            </w:pPr>
            <w:r w:rsidRPr="009C5EFD">
              <w:rPr>
                <w:b/>
                <w:lang w:val="nb-NO"/>
              </w:rPr>
              <w:t>N=172</w:t>
            </w:r>
          </w:p>
        </w:tc>
        <w:tc>
          <w:tcPr>
            <w:tcW w:w="1633" w:type="dxa"/>
            <w:gridSpan w:val="2"/>
            <w:tcBorders>
              <w:top w:val="single" w:sz="4" w:space="0" w:color="auto"/>
              <w:left w:val="single" w:sz="4" w:space="0" w:color="auto"/>
              <w:bottom w:val="single" w:sz="4" w:space="0" w:color="auto"/>
              <w:right w:val="single" w:sz="4" w:space="0" w:color="auto"/>
            </w:tcBorders>
            <w:hideMark/>
          </w:tcPr>
          <w:p w14:paraId="5101B8BA" w14:textId="77777777" w:rsidR="001E500F" w:rsidRPr="009C5EFD" w:rsidRDefault="00E453CD" w:rsidP="00C07C98">
            <w:pPr>
              <w:pStyle w:val="EMEANormal"/>
              <w:keepNext/>
              <w:jc w:val="center"/>
              <w:rPr>
                <w:b/>
                <w:lang w:val="nb-NO"/>
              </w:rPr>
            </w:pPr>
            <w:r w:rsidRPr="009C5EFD">
              <w:rPr>
                <w:b/>
                <w:lang w:val="nb-NO"/>
              </w:rPr>
              <w:t>N=157</w:t>
            </w:r>
          </w:p>
        </w:tc>
      </w:tr>
      <w:tr w:rsidR="004644D4" w14:paraId="0FE1D717"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2F2CD12D" w14:textId="77777777" w:rsidR="001E500F" w:rsidRPr="007F67EE" w:rsidRDefault="00E453CD" w:rsidP="007F67EE">
            <w:pPr>
              <w:pStyle w:val="EMEANormal"/>
              <w:keepNext/>
              <w:rPr>
                <w:lang w:val="nb-NO"/>
              </w:rPr>
            </w:pPr>
            <w:r w:rsidRPr="007F67EE">
              <w:rPr>
                <w:lang w:val="nb-NO"/>
              </w:rPr>
              <w:t>Klinisk remisjon</w:t>
            </w:r>
          </w:p>
        </w:tc>
        <w:tc>
          <w:tcPr>
            <w:tcW w:w="1888" w:type="dxa"/>
            <w:tcBorders>
              <w:top w:val="single" w:sz="4" w:space="0" w:color="auto"/>
              <w:left w:val="single" w:sz="4" w:space="0" w:color="auto"/>
              <w:bottom w:val="single" w:sz="4" w:space="0" w:color="auto"/>
              <w:right w:val="single" w:sz="4" w:space="0" w:color="auto"/>
            </w:tcBorders>
            <w:hideMark/>
          </w:tcPr>
          <w:p w14:paraId="65616E1B" w14:textId="77777777" w:rsidR="001E500F" w:rsidRPr="009C5EFD" w:rsidRDefault="00E453CD" w:rsidP="00193D76">
            <w:pPr>
              <w:pStyle w:val="EMEANormal"/>
              <w:keepNext/>
              <w:jc w:val="center"/>
              <w:rPr>
                <w:lang w:val="nb-NO"/>
              </w:rPr>
            </w:pPr>
            <w:r w:rsidRPr="00193D76">
              <w:rPr>
                <w:lang w:val="nb-NO"/>
              </w:rPr>
              <w:t>17</w:t>
            </w:r>
            <w:r w:rsidR="00315F16" w:rsidRPr="00E14E58">
              <w:rPr>
                <w:lang w:val="nb-NO"/>
              </w:rPr>
              <w:t> %</w:t>
            </w:r>
          </w:p>
        </w:tc>
        <w:tc>
          <w:tcPr>
            <w:tcW w:w="1593" w:type="dxa"/>
            <w:tcBorders>
              <w:top w:val="single" w:sz="4" w:space="0" w:color="auto"/>
              <w:left w:val="single" w:sz="4" w:space="0" w:color="auto"/>
              <w:bottom w:val="single" w:sz="4" w:space="0" w:color="auto"/>
              <w:right w:val="single" w:sz="4" w:space="0" w:color="auto"/>
            </w:tcBorders>
            <w:hideMark/>
          </w:tcPr>
          <w:p w14:paraId="65C9FBF1" w14:textId="77777777" w:rsidR="001E500F" w:rsidRPr="009C5EFD" w:rsidRDefault="00E453CD" w:rsidP="002D0790">
            <w:pPr>
              <w:pStyle w:val="EMEANormal"/>
              <w:keepNext/>
              <w:jc w:val="center"/>
              <w:rPr>
                <w:lang w:val="nb-NO"/>
              </w:rPr>
            </w:pPr>
            <w:r w:rsidRPr="009C5EFD">
              <w:rPr>
                <w:lang w:val="nb-NO"/>
              </w:rPr>
              <w:t>40</w:t>
            </w:r>
            <w:r w:rsidR="00315F16" w:rsidRPr="009C5EFD">
              <w:rPr>
                <w:lang w:val="nb-NO"/>
              </w:rPr>
              <w:t> %</w:t>
            </w:r>
            <w:r w:rsidRPr="009C5EFD">
              <w:rPr>
                <w:lang w:val="nb-NO"/>
              </w:rPr>
              <w:t>*</w:t>
            </w:r>
          </w:p>
        </w:tc>
        <w:tc>
          <w:tcPr>
            <w:tcW w:w="1633" w:type="dxa"/>
            <w:gridSpan w:val="2"/>
            <w:tcBorders>
              <w:top w:val="single" w:sz="4" w:space="0" w:color="auto"/>
              <w:left w:val="single" w:sz="4" w:space="0" w:color="auto"/>
              <w:bottom w:val="single" w:sz="4" w:space="0" w:color="auto"/>
              <w:right w:val="single" w:sz="4" w:space="0" w:color="auto"/>
            </w:tcBorders>
            <w:hideMark/>
          </w:tcPr>
          <w:p w14:paraId="10D3293E" w14:textId="77777777" w:rsidR="001E500F" w:rsidRPr="009C5EFD" w:rsidRDefault="00E453CD" w:rsidP="00C07C98">
            <w:pPr>
              <w:pStyle w:val="EMEANormal"/>
              <w:keepNext/>
              <w:jc w:val="center"/>
              <w:rPr>
                <w:lang w:val="nb-NO"/>
              </w:rPr>
            </w:pPr>
            <w:r w:rsidRPr="009C5EFD">
              <w:rPr>
                <w:lang w:val="nb-NO"/>
              </w:rPr>
              <w:t>47</w:t>
            </w:r>
            <w:r w:rsidR="00315F16" w:rsidRPr="009C5EFD">
              <w:rPr>
                <w:lang w:val="nb-NO"/>
              </w:rPr>
              <w:t> %</w:t>
            </w:r>
            <w:r w:rsidRPr="009C5EFD">
              <w:rPr>
                <w:lang w:val="nb-NO"/>
              </w:rPr>
              <w:t>*</w:t>
            </w:r>
          </w:p>
        </w:tc>
      </w:tr>
      <w:tr w:rsidR="004644D4" w14:paraId="46AE6DC0"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66053D3C" w14:textId="77777777" w:rsidR="001E500F" w:rsidRPr="007F67EE" w:rsidRDefault="00E453CD" w:rsidP="007F67EE">
            <w:pPr>
              <w:pStyle w:val="EMEANormal"/>
              <w:keepNext/>
              <w:rPr>
                <w:lang w:val="nb-NO"/>
              </w:rPr>
            </w:pPr>
            <w:r w:rsidRPr="007F67EE">
              <w:rPr>
                <w:lang w:val="nb-NO"/>
              </w:rPr>
              <w:t>Klinisk respons (CR-100)</w:t>
            </w:r>
          </w:p>
        </w:tc>
        <w:tc>
          <w:tcPr>
            <w:tcW w:w="1888" w:type="dxa"/>
            <w:tcBorders>
              <w:top w:val="single" w:sz="4" w:space="0" w:color="auto"/>
              <w:left w:val="single" w:sz="4" w:space="0" w:color="auto"/>
              <w:bottom w:val="single" w:sz="4" w:space="0" w:color="auto"/>
              <w:right w:val="single" w:sz="4" w:space="0" w:color="auto"/>
            </w:tcBorders>
            <w:hideMark/>
          </w:tcPr>
          <w:p w14:paraId="720B0341" w14:textId="77777777" w:rsidR="001E500F" w:rsidRPr="009C5EFD" w:rsidRDefault="00E453CD" w:rsidP="00193D76">
            <w:pPr>
              <w:pStyle w:val="EMEANormal"/>
              <w:keepNext/>
              <w:jc w:val="center"/>
              <w:rPr>
                <w:lang w:val="nb-NO"/>
              </w:rPr>
            </w:pPr>
            <w:r w:rsidRPr="00193D76">
              <w:rPr>
                <w:lang w:val="nb-NO"/>
              </w:rPr>
              <w:t>27</w:t>
            </w:r>
            <w:r w:rsidR="00315F16" w:rsidRPr="00E14E58">
              <w:rPr>
                <w:lang w:val="nb-NO"/>
              </w:rPr>
              <w:t> %</w:t>
            </w:r>
          </w:p>
        </w:tc>
        <w:tc>
          <w:tcPr>
            <w:tcW w:w="1593" w:type="dxa"/>
            <w:tcBorders>
              <w:top w:val="single" w:sz="4" w:space="0" w:color="auto"/>
              <w:left w:val="single" w:sz="4" w:space="0" w:color="auto"/>
              <w:bottom w:val="single" w:sz="4" w:space="0" w:color="auto"/>
              <w:right w:val="single" w:sz="4" w:space="0" w:color="auto"/>
            </w:tcBorders>
            <w:hideMark/>
          </w:tcPr>
          <w:p w14:paraId="2B88DA5D" w14:textId="77777777" w:rsidR="001E500F" w:rsidRPr="009C5EFD" w:rsidRDefault="00E453CD" w:rsidP="002D0790">
            <w:pPr>
              <w:pStyle w:val="EMEANormal"/>
              <w:keepNext/>
              <w:jc w:val="center"/>
              <w:rPr>
                <w:lang w:val="nb-NO"/>
              </w:rPr>
            </w:pPr>
            <w:r w:rsidRPr="009C5EFD">
              <w:rPr>
                <w:lang w:val="nb-NO"/>
              </w:rPr>
              <w:t>52</w:t>
            </w:r>
            <w:r w:rsidR="00315F16" w:rsidRPr="009C5EFD">
              <w:rPr>
                <w:lang w:val="nb-NO"/>
              </w:rPr>
              <w:t> %</w:t>
            </w:r>
            <w:r w:rsidRPr="009C5EFD">
              <w:rPr>
                <w:lang w:val="nb-NO"/>
              </w:rPr>
              <w:t>*</w:t>
            </w:r>
          </w:p>
        </w:tc>
        <w:tc>
          <w:tcPr>
            <w:tcW w:w="1633" w:type="dxa"/>
            <w:gridSpan w:val="2"/>
            <w:tcBorders>
              <w:top w:val="single" w:sz="4" w:space="0" w:color="auto"/>
              <w:left w:val="single" w:sz="4" w:space="0" w:color="auto"/>
              <w:bottom w:val="single" w:sz="4" w:space="0" w:color="auto"/>
              <w:right w:val="single" w:sz="4" w:space="0" w:color="auto"/>
            </w:tcBorders>
            <w:hideMark/>
          </w:tcPr>
          <w:p w14:paraId="3C2DDE1A" w14:textId="77777777" w:rsidR="001E500F" w:rsidRPr="009C5EFD" w:rsidRDefault="00E453CD" w:rsidP="00C07C98">
            <w:pPr>
              <w:pStyle w:val="EMEANormal"/>
              <w:keepNext/>
              <w:jc w:val="center"/>
              <w:rPr>
                <w:lang w:val="nb-NO"/>
              </w:rPr>
            </w:pPr>
            <w:r w:rsidRPr="009C5EFD">
              <w:rPr>
                <w:lang w:val="nb-NO"/>
              </w:rPr>
              <w:t>52</w:t>
            </w:r>
            <w:r w:rsidR="00315F16" w:rsidRPr="009C5EFD">
              <w:rPr>
                <w:lang w:val="nb-NO"/>
              </w:rPr>
              <w:t> %</w:t>
            </w:r>
            <w:r w:rsidRPr="009C5EFD">
              <w:rPr>
                <w:lang w:val="nb-NO"/>
              </w:rPr>
              <w:t>*</w:t>
            </w:r>
          </w:p>
        </w:tc>
      </w:tr>
      <w:tr w:rsidR="004644D4" w14:paraId="34F2DE04"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2CB54494" w14:textId="77777777" w:rsidR="001E500F" w:rsidRPr="00C07C98" w:rsidRDefault="00E453CD" w:rsidP="007F67EE">
            <w:pPr>
              <w:pStyle w:val="EMEANormal"/>
              <w:keepNext/>
              <w:rPr>
                <w:lang w:val="nb-NO"/>
              </w:rPr>
            </w:pPr>
            <w:r w:rsidRPr="007F67EE">
              <w:rPr>
                <w:lang w:val="nb-NO"/>
              </w:rPr>
              <w:t xml:space="preserve">Pasienter i steroidfri remisjon </w:t>
            </w:r>
            <w:r w:rsidRPr="007F67EE">
              <w:rPr>
                <w:lang w:val="nb-NO"/>
              </w:rPr>
              <w:br/>
              <w:t>for &gt;=90 dager</w:t>
            </w:r>
            <w:r w:rsidRPr="00193D76">
              <w:rPr>
                <w:vertAlign w:val="superscript"/>
                <w:lang w:val="nb-NO"/>
              </w:rPr>
              <w:t>a</w:t>
            </w:r>
          </w:p>
        </w:tc>
        <w:tc>
          <w:tcPr>
            <w:tcW w:w="1888" w:type="dxa"/>
            <w:tcBorders>
              <w:top w:val="single" w:sz="4" w:space="0" w:color="auto"/>
              <w:left w:val="single" w:sz="4" w:space="0" w:color="auto"/>
              <w:bottom w:val="single" w:sz="4" w:space="0" w:color="auto"/>
              <w:right w:val="single" w:sz="4" w:space="0" w:color="auto"/>
            </w:tcBorders>
            <w:hideMark/>
          </w:tcPr>
          <w:p w14:paraId="4114B5D6" w14:textId="77777777" w:rsidR="001E500F" w:rsidRPr="009C5EFD" w:rsidRDefault="00E453CD" w:rsidP="00193D76">
            <w:pPr>
              <w:pStyle w:val="EMEANormal"/>
              <w:keepNext/>
              <w:jc w:val="center"/>
              <w:rPr>
                <w:lang w:val="nb-NO"/>
              </w:rPr>
            </w:pPr>
            <w:r w:rsidRPr="00E14E58">
              <w:rPr>
                <w:lang w:val="nb-NO"/>
              </w:rPr>
              <w:t>3</w:t>
            </w:r>
            <w:r w:rsidR="00315F16" w:rsidRPr="009C5EFD">
              <w:rPr>
                <w:lang w:val="nb-NO"/>
              </w:rPr>
              <w:t> %</w:t>
            </w:r>
            <w:r w:rsidRPr="009C5EFD">
              <w:rPr>
                <w:lang w:val="nb-NO"/>
              </w:rPr>
              <w:t xml:space="preserve"> (2/66)</w:t>
            </w:r>
          </w:p>
        </w:tc>
        <w:tc>
          <w:tcPr>
            <w:tcW w:w="1593" w:type="dxa"/>
            <w:tcBorders>
              <w:top w:val="single" w:sz="4" w:space="0" w:color="auto"/>
              <w:left w:val="single" w:sz="4" w:space="0" w:color="auto"/>
              <w:bottom w:val="single" w:sz="4" w:space="0" w:color="auto"/>
              <w:right w:val="single" w:sz="4" w:space="0" w:color="auto"/>
            </w:tcBorders>
            <w:hideMark/>
          </w:tcPr>
          <w:p w14:paraId="5290A4F0" w14:textId="77777777" w:rsidR="001E500F" w:rsidRPr="009C5EFD" w:rsidRDefault="00E453CD" w:rsidP="002D0790">
            <w:pPr>
              <w:pStyle w:val="EMEANormal"/>
              <w:keepNext/>
              <w:jc w:val="center"/>
              <w:rPr>
                <w:lang w:val="nb-NO"/>
              </w:rPr>
            </w:pPr>
            <w:r w:rsidRPr="009C5EFD">
              <w:rPr>
                <w:lang w:val="nb-NO"/>
              </w:rPr>
              <w:t>19</w:t>
            </w:r>
            <w:r w:rsidR="00315F16" w:rsidRPr="009C5EFD">
              <w:rPr>
                <w:lang w:val="nb-NO"/>
              </w:rPr>
              <w:t> %</w:t>
            </w:r>
            <w:r w:rsidRPr="009C5EFD">
              <w:rPr>
                <w:lang w:val="nb-NO"/>
              </w:rPr>
              <w:t xml:space="preserve"> (11/58)**</w:t>
            </w:r>
          </w:p>
        </w:tc>
        <w:tc>
          <w:tcPr>
            <w:tcW w:w="1633" w:type="dxa"/>
            <w:gridSpan w:val="2"/>
            <w:tcBorders>
              <w:top w:val="single" w:sz="4" w:space="0" w:color="auto"/>
              <w:left w:val="single" w:sz="4" w:space="0" w:color="auto"/>
              <w:bottom w:val="single" w:sz="4" w:space="0" w:color="auto"/>
              <w:right w:val="single" w:sz="4" w:space="0" w:color="auto"/>
            </w:tcBorders>
            <w:hideMark/>
          </w:tcPr>
          <w:p w14:paraId="12146EFF" w14:textId="77777777" w:rsidR="001E500F" w:rsidRPr="009C5EFD" w:rsidRDefault="00E453CD" w:rsidP="00C07C98">
            <w:pPr>
              <w:pStyle w:val="EMEANormal"/>
              <w:keepNext/>
              <w:jc w:val="center"/>
              <w:rPr>
                <w:lang w:val="nb-NO"/>
              </w:rPr>
            </w:pPr>
            <w:r w:rsidRPr="009C5EFD">
              <w:rPr>
                <w:lang w:val="nb-NO"/>
              </w:rPr>
              <w:t>15</w:t>
            </w:r>
            <w:r w:rsidR="00315F16" w:rsidRPr="009C5EFD">
              <w:rPr>
                <w:lang w:val="nb-NO"/>
              </w:rPr>
              <w:t> %</w:t>
            </w:r>
            <w:r w:rsidRPr="009C5EFD">
              <w:rPr>
                <w:lang w:val="nb-NO"/>
              </w:rPr>
              <w:t xml:space="preserve"> (11/74)**</w:t>
            </w:r>
          </w:p>
        </w:tc>
      </w:tr>
      <w:tr w:rsidR="004644D4" w14:paraId="04516A7A"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643C0DD4" w14:textId="77777777" w:rsidR="001E500F" w:rsidRPr="00C07C98" w:rsidRDefault="00E453CD" w:rsidP="007F67EE">
            <w:pPr>
              <w:pStyle w:val="EMEANormal"/>
              <w:keepNext/>
              <w:rPr>
                <w:b/>
                <w:lang w:val="nb-NO"/>
              </w:rPr>
            </w:pPr>
            <w:r w:rsidRPr="00193D76">
              <w:rPr>
                <w:b/>
                <w:lang w:val="nb-NO"/>
              </w:rPr>
              <w:t>Uke </w:t>
            </w:r>
            <w:r w:rsidRPr="00C07C98">
              <w:rPr>
                <w:b/>
                <w:lang w:val="nb-NO"/>
              </w:rPr>
              <w:t>56</w:t>
            </w:r>
          </w:p>
        </w:tc>
        <w:tc>
          <w:tcPr>
            <w:tcW w:w="1888" w:type="dxa"/>
            <w:tcBorders>
              <w:top w:val="single" w:sz="4" w:space="0" w:color="auto"/>
              <w:left w:val="single" w:sz="4" w:space="0" w:color="auto"/>
              <w:bottom w:val="single" w:sz="4" w:space="0" w:color="auto"/>
              <w:right w:val="single" w:sz="4" w:space="0" w:color="auto"/>
            </w:tcBorders>
            <w:hideMark/>
          </w:tcPr>
          <w:p w14:paraId="6EEB57B4" w14:textId="77777777" w:rsidR="001E500F" w:rsidRPr="00E14E58" w:rsidRDefault="00E453CD" w:rsidP="00193D76">
            <w:pPr>
              <w:pStyle w:val="EMEANormal"/>
              <w:keepNext/>
              <w:jc w:val="center"/>
              <w:rPr>
                <w:b/>
                <w:lang w:val="nb-NO"/>
              </w:rPr>
            </w:pPr>
            <w:r w:rsidRPr="00E14E58">
              <w:rPr>
                <w:b/>
                <w:lang w:val="nb-NO"/>
              </w:rPr>
              <w:t>N=170</w:t>
            </w:r>
          </w:p>
        </w:tc>
        <w:tc>
          <w:tcPr>
            <w:tcW w:w="1593" w:type="dxa"/>
            <w:tcBorders>
              <w:top w:val="single" w:sz="4" w:space="0" w:color="auto"/>
              <w:left w:val="single" w:sz="4" w:space="0" w:color="auto"/>
              <w:bottom w:val="single" w:sz="4" w:space="0" w:color="auto"/>
              <w:right w:val="single" w:sz="4" w:space="0" w:color="auto"/>
            </w:tcBorders>
            <w:hideMark/>
          </w:tcPr>
          <w:p w14:paraId="55907E7D" w14:textId="77777777" w:rsidR="001E500F" w:rsidRPr="009C5EFD" w:rsidRDefault="00E453CD" w:rsidP="002D0790">
            <w:pPr>
              <w:pStyle w:val="EMEANormal"/>
              <w:keepNext/>
              <w:jc w:val="center"/>
              <w:rPr>
                <w:b/>
                <w:lang w:val="nb-NO"/>
              </w:rPr>
            </w:pPr>
            <w:r w:rsidRPr="009C5EFD">
              <w:rPr>
                <w:b/>
                <w:lang w:val="nb-NO"/>
              </w:rPr>
              <w:t>N=172</w:t>
            </w:r>
          </w:p>
        </w:tc>
        <w:tc>
          <w:tcPr>
            <w:tcW w:w="1633" w:type="dxa"/>
            <w:gridSpan w:val="2"/>
            <w:tcBorders>
              <w:top w:val="single" w:sz="4" w:space="0" w:color="auto"/>
              <w:left w:val="single" w:sz="4" w:space="0" w:color="auto"/>
              <w:bottom w:val="single" w:sz="4" w:space="0" w:color="auto"/>
              <w:right w:val="single" w:sz="4" w:space="0" w:color="auto"/>
            </w:tcBorders>
            <w:hideMark/>
          </w:tcPr>
          <w:p w14:paraId="2351630B" w14:textId="77777777" w:rsidR="001E500F" w:rsidRPr="009C5EFD" w:rsidRDefault="00E453CD" w:rsidP="00C07C98">
            <w:pPr>
              <w:pStyle w:val="EMEANormal"/>
              <w:keepNext/>
              <w:jc w:val="center"/>
              <w:rPr>
                <w:b/>
                <w:lang w:val="nb-NO"/>
              </w:rPr>
            </w:pPr>
            <w:r w:rsidRPr="009C5EFD">
              <w:rPr>
                <w:b/>
                <w:lang w:val="nb-NO"/>
              </w:rPr>
              <w:t>N=157</w:t>
            </w:r>
          </w:p>
        </w:tc>
      </w:tr>
      <w:tr w:rsidR="004644D4" w14:paraId="219701B6"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426E76C1" w14:textId="77777777" w:rsidR="001E500F" w:rsidRPr="007F67EE" w:rsidRDefault="00E453CD" w:rsidP="007F67EE">
            <w:pPr>
              <w:pStyle w:val="EMEANormal"/>
              <w:keepNext/>
              <w:rPr>
                <w:lang w:val="nb-NO"/>
              </w:rPr>
            </w:pPr>
            <w:r w:rsidRPr="007F67EE">
              <w:rPr>
                <w:lang w:val="nb-NO"/>
              </w:rPr>
              <w:t>Klinisk remisjon</w:t>
            </w:r>
          </w:p>
        </w:tc>
        <w:tc>
          <w:tcPr>
            <w:tcW w:w="1888" w:type="dxa"/>
            <w:tcBorders>
              <w:top w:val="single" w:sz="4" w:space="0" w:color="auto"/>
              <w:left w:val="single" w:sz="4" w:space="0" w:color="auto"/>
              <w:bottom w:val="single" w:sz="4" w:space="0" w:color="auto"/>
              <w:right w:val="single" w:sz="4" w:space="0" w:color="auto"/>
            </w:tcBorders>
            <w:hideMark/>
          </w:tcPr>
          <w:p w14:paraId="22CE98F1" w14:textId="77777777" w:rsidR="001E500F" w:rsidRPr="009C5EFD" w:rsidRDefault="00E453CD" w:rsidP="00193D76">
            <w:pPr>
              <w:pStyle w:val="EMEANormal"/>
              <w:keepNext/>
              <w:jc w:val="center"/>
              <w:rPr>
                <w:lang w:val="nb-NO"/>
              </w:rPr>
            </w:pPr>
            <w:r w:rsidRPr="00193D76">
              <w:rPr>
                <w:lang w:val="nb-NO"/>
              </w:rPr>
              <w:t>12</w:t>
            </w:r>
            <w:r w:rsidR="00315F16" w:rsidRPr="00E14E58">
              <w:rPr>
                <w:lang w:val="nb-NO"/>
              </w:rPr>
              <w:t> %</w:t>
            </w:r>
          </w:p>
        </w:tc>
        <w:tc>
          <w:tcPr>
            <w:tcW w:w="1593" w:type="dxa"/>
            <w:tcBorders>
              <w:top w:val="single" w:sz="4" w:space="0" w:color="auto"/>
              <w:left w:val="single" w:sz="4" w:space="0" w:color="auto"/>
              <w:bottom w:val="single" w:sz="4" w:space="0" w:color="auto"/>
              <w:right w:val="single" w:sz="4" w:space="0" w:color="auto"/>
            </w:tcBorders>
            <w:hideMark/>
          </w:tcPr>
          <w:p w14:paraId="6ACE0C52" w14:textId="77777777" w:rsidR="001E500F" w:rsidRPr="009C5EFD" w:rsidRDefault="00E453CD" w:rsidP="002D0790">
            <w:pPr>
              <w:pStyle w:val="EMEANormal"/>
              <w:keepNext/>
              <w:jc w:val="center"/>
              <w:rPr>
                <w:lang w:val="nb-NO"/>
              </w:rPr>
            </w:pPr>
            <w:r w:rsidRPr="009C5EFD">
              <w:rPr>
                <w:lang w:val="nb-NO"/>
              </w:rPr>
              <w:t>36</w:t>
            </w:r>
            <w:r w:rsidR="00315F16" w:rsidRPr="009C5EFD">
              <w:rPr>
                <w:lang w:val="nb-NO"/>
              </w:rPr>
              <w:t> %</w:t>
            </w:r>
            <w:r w:rsidRPr="009C5EFD">
              <w:rPr>
                <w:lang w:val="nb-NO"/>
              </w:rPr>
              <w:t>*</w:t>
            </w:r>
          </w:p>
        </w:tc>
        <w:tc>
          <w:tcPr>
            <w:tcW w:w="1633" w:type="dxa"/>
            <w:gridSpan w:val="2"/>
            <w:tcBorders>
              <w:top w:val="single" w:sz="4" w:space="0" w:color="auto"/>
              <w:left w:val="single" w:sz="4" w:space="0" w:color="auto"/>
              <w:bottom w:val="single" w:sz="4" w:space="0" w:color="auto"/>
              <w:right w:val="single" w:sz="4" w:space="0" w:color="auto"/>
            </w:tcBorders>
            <w:hideMark/>
          </w:tcPr>
          <w:p w14:paraId="7DBB9D85" w14:textId="77777777" w:rsidR="001E500F" w:rsidRPr="009C5EFD" w:rsidRDefault="00E453CD" w:rsidP="00C07C98">
            <w:pPr>
              <w:pStyle w:val="EMEANormal"/>
              <w:keepNext/>
              <w:jc w:val="center"/>
              <w:rPr>
                <w:lang w:val="nb-NO"/>
              </w:rPr>
            </w:pPr>
            <w:r w:rsidRPr="009C5EFD">
              <w:rPr>
                <w:lang w:val="nb-NO"/>
              </w:rPr>
              <w:t>41</w:t>
            </w:r>
            <w:r w:rsidR="00315F16" w:rsidRPr="009C5EFD">
              <w:rPr>
                <w:lang w:val="nb-NO"/>
              </w:rPr>
              <w:t> %</w:t>
            </w:r>
            <w:r w:rsidRPr="009C5EFD">
              <w:rPr>
                <w:lang w:val="nb-NO"/>
              </w:rPr>
              <w:t>*</w:t>
            </w:r>
          </w:p>
        </w:tc>
      </w:tr>
      <w:tr w:rsidR="004644D4" w14:paraId="523F29C7"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3929697A" w14:textId="77777777" w:rsidR="001E500F" w:rsidRPr="007F67EE" w:rsidRDefault="00E453CD" w:rsidP="007F67EE">
            <w:pPr>
              <w:pStyle w:val="EMEANormal"/>
              <w:keepNext/>
              <w:rPr>
                <w:lang w:val="nb-NO"/>
              </w:rPr>
            </w:pPr>
            <w:r w:rsidRPr="007F67EE">
              <w:rPr>
                <w:lang w:val="nb-NO"/>
              </w:rPr>
              <w:t>Klinisk respons (CR-100)</w:t>
            </w:r>
          </w:p>
        </w:tc>
        <w:tc>
          <w:tcPr>
            <w:tcW w:w="1888" w:type="dxa"/>
            <w:tcBorders>
              <w:top w:val="single" w:sz="4" w:space="0" w:color="auto"/>
              <w:left w:val="single" w:sz="4" w:space="0" w:color="auto"/>
              <w:bottom w:val="single" w:sz="4" w:space="0" w:color="auto"/>
              <w:right w:val="single" w:sz="4" w:space="0" w:color="auto"/>
            </w:tcBorders>
            <w:hideMark/>
          </w:tcPr>
          <w:p w14:paraId="04C0364E" w14:textId="77777777" w:rsidR="001E500F" w:rsidRPr="009C5EFD" w:rsidRDefault="00E453CD" w:rsidP="00193D76">
            <w:pPr>
              <w:pStyle w:val="EMEANormal"/>
              <w:keepNext/>
              <w:jc w:val="center"/>
              <w:rPr>
                <w:lang w:val="nb-NO"/>
              </w:rPr>
            </w:pPr>
            <w:r w:rsidRPr="00193D76">
              <w:rPr>
                <w:lang w:val="nb-NO"/>
              </w:rPr>
              <w:t>17</w:t>
            </w:r>
            <w:r w:rsidR="00315F16" w:rsidRPr="00E14E58">
              <w:rPr>
                <w:lang w:val="nb-NO"/>
              </w:rPr>
              <w:t> %</w:t>
            </w:r>
          </w:p>
        </w:tc>
        <w:tc>
          <w:tcPr>
            <w:tcW w:w="1593" w:type="dxa"/>
            <w:tcBorders>
              <w:top w:val="single" w:sz="4" w:space="0" w:color="auto"/>
              <w:left w:val="single" w:sz="4" w:space="0" w:color="auto"/>
              <w:bottom w:val="single" w:sz="4" w:space="0" w:color="auto"/>
              <w:right w:val="single" w:sz="4" w:space="0" w:color="auto"/>
            </w:tcBorders>
            <w:hideMark/>
          </w:tcPr>
          <w:p w14:paraId="5CEFFEAA" w14:textId="77777777" w:rsidR="001E500F" w:rsidRPr="009C5EFD" w:rsidRDefault="00E453CD" w:rsidP="002D0790">
            <w:pPr>
              <w:pStyle w:val="EMEANormal"/>
              <w:keepNext/>
              <w:jc w:val="center"/>
              <w:rPr>
                <w:lang w:val="nb-NO"/>
              </w:rPr>
            </w:pPr>
            <w:r w:rsidRPr="009C5EFD">
              <w:rPr>
                <w:lang w:val="nb-NO"/>
              </w:rPr>
              <w:t>41</w:t>
            </w:r>
            <w:r w:rsidR="00315F16" w:rsidRPr="009C5EFD">
              <w:rPr>
                <w:lang w:val="nb-NO"/>
              </w:rPr>
              <w:t> %</w:t>
            </w:r>
            <w:r w:rsidRPr="009C5EFD">
              <w:rPr>
                <w:lang w:val="nb-NO"/>
              </w:rPr>
              <w:t>*</w:t>
            </w:r>
          </w:p>
        </w:tc>
        <w:tc>
          <w:tcPr>
            <w:tcW w:w="1633" w:type="dxa"/>
            <w:gridSpan w:val="2"/>
            <w:tcBorders>
              <w:top w:val="single" w:sz="4" w:space="0" w:color="auto"/>
              <w:left w:val="single" w:sz="4" w:space="0" w:color="auto"/>
              <w:bottom w:val="single" w:sz="4" w:space="0" w:color="auto"/>
              <w:right w:val="single" w:sz="4" w:space="0" w:color="auto"/>
            </w:tcBorders>
            <w:hideMark/>
          </w:tcPr>
          <w:p w14:paraId="7E099FAA" w14:textId="77777777" w:rsidR="001E500F" w:rsidRPr="009C5EFD" w:rsidRDefault="00E453CD" w:rsidP="00C07C98">
            <w:pPr>
              <w:pStyle w:val="EMEANormal"/>
              <w:keepNext/>
              <w:jc w:val="center"/>
              <w:rPr>
                <w:lang w:val="nb-NO"/>
              </w:rPr>
            </w:pPr>
            <w:r w:rsidRPr="009C5EFD">
              <w:rPr>
                <w:lang w:val="nb-NO"/>
              </w:rPr>
              <w:t>48</w:t>
            </w:r>
            <w:r w:rsidR="00315F16" w:rsidRPr="009C5EFD">
              <w:rPr>
                <w:lang w:val="nb-NO"/>
              </w:rPr>
              <w:t> %</w:t>
            </w:r>
            <w:r w:rsidRPr="009C5EFD">
              <w:rPr>
                <w:lang w:val="nb-NO"/>
              </w:rPr>
              <w:t>*</w:t>
            </w:r>
          </w:p>
        </w:tc>
      </w:tr>
      <w:tr w:rsidR="004644D4" w14:paraId="783DFC10" w14:textId="77777777" w:rsidTr="00AF70AD">
        <w:trPr>
          <w:jc w:val="center"/>
        </w:trPr>
        <w:tc>
          <w:tcPr>
            <w:tcW w:w="1678" w:type="dxa"/>
            <w:tcBorders>
              <w:top w:val="single" w:sz="4" w:space="0" w:color="auto"/>
              <w:left w:val="single" w:sz="4" w:space="0" w:color="auto"/>
              <w:bottom w:val="single" w:sz="4" w:space="0" w:color="auto"/>
              <w:right w:val="single" w:sz="4" w:space="0" w:color="auto"/>
            </w:tcBorders>
            <w:hideMark/>
          </w:tcPr>
          <w:p w14:paraId="5C329C38" w14:textId="77777777" w:rsidR="001E500F" w:rsidRPr="009C5EFD" w:rsidRDefault="00E453CD" w:rsidP="007F67EE">
            <w:pPr>
              <w:pStyle w:val="EMEANormal"/>
              <w:keepNext/>
              <w:rPr>
                <w:lang w:val="nb-NO"/>
              </w:rPr>
            </w:pPr>
            <w:r w:rsidRPr="007F67EE">
              <w:rPr>
                <w:lang w:val="nb-NO"/>
              </w:rPr>
              <w:t xml:space="preserve">Pasienter i steroidfri remisjon </w:t>
            </w:r>
            <w:r w:rsidRPr="007F67EE">
              <w:rPr>
                <w:lang w:val="nb-NO"/>
              </w:rPr>
              <w:br/>
              <w:t>for &gt;=90</w:t>
            </w:r>
            <w:r w:rsidR="00A05002" w:rsidRPr="00C07C98">
              <w:rPr>
                <w:lang w:val="nb-NO"/>
              </w:rPr>
              <w:t> </w:t>
            </w:r>
            <w:r w:rsidRPr="00E14E58">
              <w:rPr>
                <w:lang w:val="nb-NO"/>
              </w:rPr>
              <w:t>dager</w:t>
            </w:r>
            <w:r w:rsidRPr="009C5EFD">
              <w:rPr>
                <w:vertAlign w:val="superscript"/>
                <w:lang w:val="nb-NO"/>
              </w:rPr>
              <w:t>a</w:t>
            </w:r>
          </w:p>
        </w:tc>
        <w:tc>
          <w:tcPr>
            <w:tcW w:w="1888" w:type="dxa"/>
            <w:tcBorders>
              <w:top w:val="single" w:sz="4" w:space="0" w:color="auto"/>
              <w:left w:val="single" w:sz="4" w:space="0" w:color="auto"/>
              <w:bottom w:val="single" w:sz="4" w:space="0" w:color="auto"/>
              <w:right w:val="single" w:sz="4" w:space="0" w:color="auto"/>
            </w:tcBorders>
            <w:hideMark/>
          </w:tcPr>
          <w:p w14:paraId="1CA003E3" w14:textId="77777777" w:rsidR="001E500F" w:rsidRPr="009C5EFD" w:rsidRDefault="00E453CD" w:rsidP="00193D76">
            <w:pPr>
              <w:pStyle w:val="EMEANormal"/>
              <w:keepNext/>
              <w:jc w:val="center"/>
              <w:rPr>
                <w:lang w:val="nb-NO"/>
              </w:rPr>
            </w:pPr>
            <w:r w:rsidRPr="009C5EFD">
              <w:rPr>
                <w:lang w:val="nb-NO"/>
              </w:rPr>
              <w:t>5</w:t>
            </w:r>
            <w:r w:rsidR="00315F16" w:rsidRPr="009C5EFD">
              <w:rPr>
                <w:lang w:val="nb-NO"/>
              </w:rPr>
              <w:t> %</w:t>
            </w:r>
            <w:r w:rsidRPr="009C5EFD">
              <w:rPr>
                <w:lang w:val="nb-NO"/>
              </w:rPr>
              <w:t xml:space="preserve"> (3/66)</w:t>
            </w:r>
          </w:p>
        </w:tc>
        <w:tc>
          <w:tcPr>
            <w:tcW w:w="1593" w:type="dxa"/>
            <w:tcBorders>
              <w:top w:val="single" w:sz="4" w:space="0" w:color="auto"/>
              <w:left w:val="single" w:sz="4" w:space="0" w:color="auto"/>
              <w:bottom w:val="single" w:sz="4" w:space="0" w:color="auto"/>
              <w:right w:val="single" w:sz="4" w:space="0" w:color="auto"/>
            </w:tcBorders>
            <w:hideMark/>
          </w:tcPr>
          <w:p w14:paraId="41C1D263" w14:textId="77777777" w:rsidR="001E500F" w:rsidRPr="009C5EFD" w:rsidRDefault="00E453CD" w:rsidP="002D0790">
            <w:pPr>
              <w:pStyle w:val="EMEANormal"/>
              <w:keepNext/>
              <w:jc w:val="center"/>
              <w:rPr>
                <w:lang w:val="nb-NO"/>
              </w:rPr>
            </w:pPr>
            <w:r w:rsidRPr="009C5EFD">
              <w:rPr>
                <w:lang w:val="nb-NO"/>
              </w:rPr>
              <w:t>29</w:t>
            </w:r>
            <w:r w:rsidR="00315F16" w:rsidRPr="009C5EFD">
              <w:rPr>
                <w:lang w:val="nb-NO"/>
              </w:rPr>
              <w:t> %</w:t>
            </w:r>
            <w:r w:rsidRPr="009C5EFD">
              <w:rPr>
                <w:lang w:val="nb-NO"/>
              </w:rPr>
              <w:t xml:space="preserve"> (17/58)*</w:t>
            </w:r>
          </w:p>
        </w:tc>
        <w:tc>
          <w:tcPr>
            <w:tcW w:w="1633" w:type="dxa"/>
            <w:gridSpan w:val="2"/>
            <w:tcBorders>
              <w:top w:val="single" w:sz="4" w:space="0" w:color="auto"/>
              <w:left w:val="single" w:sz="4" w:space="0" w:color="auto"/>
              <w:bottom w:val="single" w:sz="4" w:space="0" w:color="auto"/>
              <w:right w:val="single" w:sz="4" w:space="0" w:color="auto"/>
            </w:tcBorders>
            <w:hideMark/>
          </w:tcPr>
          <w:p w14:paraId="43B0FF46" w14:textId="77777777" w:rsidR="001E500F" w:rsidRPr="009C5EFD" w:rsidRDefault="00E453CD" w:rsidP="00C07C98">
            <w:pPr>
              <w:pStyle w:val="EMEANormal"/>
              <w:keepNext/>
              <w:jc w:val="center"/>
              <w:rPr>
                <w:lang w:val="nb-NO"/>
              </w:rPr>
            </w:pPr>
            <w:r w:rsidRPr="009C5EFD">
              <w:rPr>
                <w:lang w:val="nb-NO"/>
              </w:rPr>
              <w:t>20</w:t>
            </w:r>
            <w:r w:rsidR="00315F16" w:rsidRPr="009C5EFD">
              <w:rPr>
                <w:lang w:val="nb-NO"/>
              </w:rPr>
              <w:t> %</w:t>
            </w:r>
            <w:r w:rsidRPr="009C5EFD">
              <w:rPr>
                <w:lang w:val="nb-NO"/>
              </w:rPr>
              <w:t xml:space="preserve"> (15/74)**</w:t>
            </w:r>
          </w:p>
        </w:tc>
      </w:tr>
      <w:tr w:rsidR="004644D4" w14:paraId="1963488A" w14:textId="77777777" w:rsidTr="00AF70AD">
        <w:trPr>
          <w:gridAfter w:val="1"/>
          <w:wAfter w:w="213" w:type="dxa"/>
          <w:jc w:val="center"/>
        </w:trPr>
        <w:tc>
          <w:tcPr>
            <w:tcW w:w="6579" w:type="dxa"/>
            <w:gridSpan w:val="4"/>
            <w:tcBorders>
              <w:top w:val="single" w:sz="4" w:space="0" w:color="auto"/>
              <w:left w:val="nil"/>
              <w:bottom w:val="nil"/>
              <w:right w:val="nil"/>
            </w:tcBorders>
            <w:hideMark/>
          </w:tcPr>
          <w:p w14:paraId="7CFBF7A2" w14:textId="77777777" w:rsidR="001E500F" w:rsidRPr="00C07C98" w:rsidRDefault="00E453CD" w:rsidP="007F67EE">
            <w:pPr>
              <w:pStyle w:val="TableText"/>
              <w:rPr>
                <w:sz w:val="22"/>
                <w:szCs w:val="22"/>
                <w:lang w:val="nb-NO"/>
              </w:rPr>
            </w:pPr>
            <w:r w:rsidRPr="007F67EE">
              <w:rPr>
                <w:sz w:val="22"/>
                <w:szCs w:val="22"/>
                <w:lang w:val="nb-NO"/>
              </w:rPr>
              <w:t>*</w:t>
            </w:r>
            <w:r w:rsidRPr="007F67EE">
              <w:rPr>
                <w:sz w:val="22"/>
                <w:szCs w:val="22"/>
                <w:lang w:val="nb-NO"/>
              </w:rPr>
              <w:tab/>
              <w:t xml:space="preserve">p &lt; 0,001 for Humira </w:t>
            </w:r>
            <w:r w:rsidRPr="00193D76">
              <w:rPr>
                <w:i/>
                <w:sz w:val="22"/>
                <w:szCs w:val="22"/>
                <w:lang w:val="nb-NO"/>
              </w:rPr>
              <w:t>versus</w:t>
            </w:r>
            <w:r w:rsidRPr="002D0790">
              <w:rPr>
                <w:sz w:val="22"/>
                <w:szCs w:val="22"/>
                <w:lang w:val="nb-NO"/>
              </w:rPr>
              <w:t xml:space="preserve"> placebo parvise sammenligninger av</w:t>
            </w:r>
            <w:r w:rsidRPr="00C07C98">
              <w:rPr>
                <w:sz w:val="22"/>
                <w:szCs w:val="22"/>
                <w:lang w:val="nb-NO"/>
              </w:rPr>
              <w:t xml:space="preserve"> proporsjoner</w:t>
            </w:r>
          </w:p>
          <w:p w14:paraId="6957EB93" w14:textId="77777777" w:rsidR="001E500F" w:rsidRPr="009C5EFD" w:rsidRDefault="00E453CD" w:rsidP="00193D76">
            <w:pPr>
              <w:pStyle w:val="TableText"/>
              <w:rPr>
                <w:sz w:val="22"/>
                <w:szCs w:val="22"/>
                <w:lang w:val="nb-NO"/>
              </w:rPr>
            </w:pPr>
            <w:r w:rsidRPr="00E14E58">
              <w:rPr>
                <w:sz w:val="22"/>
                <w:szCs w:val="22"/>
                <w:lang w:val="nb-NO"/>
              </w:rPr>
              <w:t>**</w:t>
            </w:r>
            <w:r w:rsidRPr="00E14E58">
              <w:rPr>
                <w:sz w:val="22"/>
                <w:szCs w:val="22"/>
                <w:lang w:val="nb-NO"/>
              </w:rPr>
              <w:tab/>
              <w:t xml:space="preserve">p &lt; 0,02 for Humira </w:t>
            </w:r>
            <w:r w:rsidRPr="009C5EFD">
              <w:rPr>
                <w:i/>
                <w:sz w:val="22"/>
                <w:szCs w:val="22"/>
                <w:lang w:val="nb-NO"/>
              </w:rPr>
              <w:t>versus</w:t>
            </w:r>
            <w:r w:rsidRPr="009C5EFD">
              <w:rPr>
                <w:sz w:val="22"/>
                <w:szCs w:val="22"/>
                <w:lang w:val="nb-NO"/>
              </w:rPr>
              <w:t xml:space="preserve"> placebo parvise sammenligninger av proporsjoner</w:t>
            </w:r>
          </w:p>
          <w:p w14:paraId="6CF54BA1" w14:textId="77777777" w:rsidR="001E500F" w:rsidRPr="009C5EFD" w:rsidRDefault="00E453CD" w:rsidP="002D0790">
            <w:pPr>
              <w:pStyle w:val="EMEANormal"/>
              <w:keepNext/>
              <w:rPr>
                <w:lang w:val="nb-NO"/>
              </w:rPr>
            </w:pPr>
            <w:r w:rsidRPr="009C5EFD">
              <w:rPr>
                <w:vertAlign w:val="superscript"/>
                <w:lang w:val="nb-NO"/>
              </w:rPr>
              <w:t xml:space="preserve">a        </w:t>
            </w:r>
            <w:r w:rsidRPr="009C5EFD">
              <w:rPr>
                <w:lang w:val="nb-NO"/>
              </w:rPr>
              <w:t>Av de som fikk kortikosteroider ved baseline</w:t>
            </w:r>
          </w:p>
        </w:tc>
      </w:tr>
    </w:tbl>
    <w:p w14:paraId="10E2A316" w14:textId="77777777" w:rsidR="001E500F" w:rsidRPr="002D0790" w:rsidRDefault="001E500F" w:rsidP="007F67EE">
      <w:pPr>
        <w:ind w:left="54"/>
        <w:rPr>
          <w:sz w:val="22"/>
          <w:szCs w:val="22"/>
        </w:rPr>
      </w:pPr>
    </w:p>
    <w:p w14:paraId="61974B5F" w14:textId="77777777" w:rsidR="001E500F" w:rsidRPr="009C5EFD" w:rsidRDefault="00E453CD" w:rsidP="00193D76">
      <w:pPr>
        <w:rPr>
          <w:sz w:val="22"/>
          <w:szCs w:val="22"/>
        </w:rPr>
      </w:pPr>
      <w:r w:rsidRPr="00C07C98">
        <w:rPr>
          <w:sz w:val="22"/>
          <w:szCs w:val="22"/>
        </w:rPr>
        <w:t xml:space="preserve">Blant pasienter som ikke viste respons ved </w:t>
      </w:r>
      <w:r w:rsidR="00315F16" w:rsidRPr="00E14E58">
        <w:rPr>
          <w:sz w:val="22"/>
          <w:szCs w:val="22"/>
        </w:rPr>
        <w:t>uke </w:t>
      </w:r>
      <w:r w:rsidRPr="009C5EFD">
        <w:rPr>
          <w:sz w:val="22"/>
          <w:szCs w:val="22"/>
        </w:rPr>
        <w:t>4, oppnådde 43</w:t>
      </w:r>
      <w:r w:rsidR="00315F16" w:rsidRPr="009C5EFD">
        <w:rPr>
          <w:sz w:val="22"/>
          <w:szCs w:val="22"/>
        </w:rPr>
        <w:t> %</w:t>
      </w:r>
      <w:r w:rsidRPr="009C5EFD">
        <w:rPr>
          <w:sz w:val="22"/>
          <w:szCs w:val="22"/>
        </w:rPr>
        <w:t xml:space="preserve"> av dem som fikk vedlikeholdsdose med Humira respons ved </w:t>
      </w:r>
      <w:r w:rsidR="00315F16" w:rsidRPr="009C5EFD">
        <w:rPr>
          <w:sz w:val="22"/>
          <w:szCs w:val="22"/>
        </w:rPr>
        <w:t>uke </w:t>
      </w:r>
      <w:r w:rsidRPr="009C5EFD">
        <w:rPr>
          <w:sz w:val="22"/>
          <w:szCs w:val="22"/>
        </w:rPr>
        <w:t>12 sammenlignet med 30</w:t>
      </w:r>
      <w:r w:rsidR="00315F16" w:rsidRPr="009C5EFD">
        <w:rPr>
          <w:sz w:val="22"/>
          <w:szCs w:val="22"/>
        </w:rPr>
        <w:t> %</w:t>
      </w:r>
      <w:r w:rsidRPr="009C5EFD">
        <w:rPr>
          <w:sz w:val="22"/>
          <w:szCs w:val="22"/>
        </w:rPr>
        <w:t xml:space="preserve"> av de som fikk vedlikeholdsbehandling med </w:t>
      </w:r>
      <w:r w:rsidRPr="009C5EFD">
        <w:rPr>
          <w:sz w:val="22"/>
          <w:szCs w:val="22"/>
        </w:rPr>
        <w:lastRenderedPageBreak/>
        <w:t xml:space="preserve">placebo. Disse resultatene tyder på at pasienter som ikke viser respons ved </w:t>
      </w:r>
      <w:r w:rsidR="00315F16" w:rsidRPr="009C5EFD">
        <w:rPr>
          <w:sz w:val="22"/>
          <w:szCs w:val="22"/>
        </w:rPr>
        <w:t>uke </w:t>
      </w:r>
      <w:r w:rsidRPr="009C5EFD">
        <w:rPr>
          <w:sz w:val="22"/>
          <w:szCs w:val="22"/>
        </w:rPr>
        <w:t xml:space="preserve">4 drar nytte av å fortsette med vedlikeholdsterapi til </w:t>
      </w:r>
      <w:r w:rsidR="00315F16" w:rsidRPr="009C5EFD">
        <w:rPr>
          <w:sz w:val="22"/>
          <w:szCs w:val="22"/>
        </w:rPr>
        <w:t>uke </w:t>
      </w:r>
      <w:r w:rsidRPr="009C5EFD">
        <w:rPr>
          <w:sz w:val="22"/>
          <w:szCs w:val="22"/>
        </w:rPr>
        <w:t>12. Fortsatt terapi utover 12</w:t>
      </w:r>
      <w:r w:rsidR="00315F16" w:rsidRPr="009C5EFD">
        <w:rPr>
          <w:sz w:val="22"/>
          <w:szCs w:val="22"/>
        </w:rPr>
        <w:t> uker</w:t>
      </w:r>
      <w:r w:rsidRPr="009C5EFD">
        <w:rPr>
          <w:sz w:val="22"/>
          <w:szCs w:val="22"/>
        </w:rPr>
        <w:t xml:space="preserve"> resulterte ikke i signifikant høyere respons (se pkt. 4.2).</w:t>
      </w:r>
    </w:p>
    <w:p w14:paraId="04336730" w14:textId="77777777" w:rsidR="001E500F" w:rsidRPr="009C5EFD" w:rsidRDefault="001E500F" w:rsidP="002D0790">
      <w:pPr>
        <w:ind w:left="54"/>
        <w:rPr>
          <w:sz w:val="22"/>
          <w:szCs w:val="22"/>
        </w:rPr>
      </w:pPr>
    </w:p>
    <w:p w14:paraId="430A5096" w14:textId="77777777" w:rsidR="001E500F" w:rsidRPr="009C5EFD" w:rsidRDefault="00E453CD" w:rsidP="00C07C98">
      <w:pPr>
        <w:rPr>
          <w:sz w:val="22"/>
          <w:szCs w:val="22"/>
        </w:rPr>
      </w:pPr>
      <w:r w:rsidRPr="009C5EFD">
        <w:rPr>
          <w:bCs/>
          <w:sz w:val="22"/>
          <w:szCs w:val="22"/>
        </w:rPr>
        <w:t>117/276</w:t>
      </w:r>
      <w:r w:rsidR="00315F16" w:rsidRPr="009C5EFD">
        <w:rPr>
          <w:bCs/>
          <w:sz w:val="22"/>
          <w:szCs w:val="22"/>
        </w:rPr>
        <w:t> pasient</w:t>
      </w:r>
      <w:r w:rsidRPr="009C5EFD">
        <w:rPr>
          <w:bCs/>
          <w:sz w:val="22"/>
          <w:szCs w:val="22"/>
        </w:rPr>
        <w:t>er fra CD-studie I og 272/777</w:t>
      </w:r>
      <w:r w:rsidR="00315F16" w:rsidRPr="009C5EFD">
        <w:rPr>
          <w:bCs/>
          <w:sz w:val="22"/>
          <w:szCs w:val="22"/>
        </w:rPr>
        <w:t> pasient</w:t>
      </w:r>
      <w:r w:rsidRPr="009C5EFD">
        <w:rPr>
          <w:bCs/>
          <w:sz w:val="22"/>
          <w:szCs w:val="22"/>
        </w:rPr>
        <w:t>er fra CD-studie II og III ble fulgt opp minst 3</w:t>
      </w:r>
      <w:r w:rsidR="00315F16" w:rsidRPr="009C5EFD">
        <w:rPr>
          <w:bCs/>
          <w:sz w:val="22"/>
          <w:szCs w:val="22"/>
        </w:rPr>
        <w:t> år</w:t>
      </w:r>
      <w:r w:rsidRPr="009C5EFD">
        <w:rPr>
          <w:bCs/>
          <w:sz w:val="22"/>
          <w:szCs w:val="22"/>
        </w:rPr>
        <w:t xml:space="preserve"> i åpen behandling med adalimumab. Henholdsvis 88 og 189</w:t>
      </w:r>
      <w:r w:rsidR="00315F16" w:rsidRPr="009C5EFD">
        <w:rPr>
          <w:bCs/>
          <w:sz w:val="22"/>
          <w:szCs w:val="22"/>
        </w:rPr>
        <w:t> pasient</w:t>
      </w:r>
      <w:r w:rsidRPr="009C5EFD">
        <w:rPr>
          <w:bCs/>
          <w:sz w:val="22"/>
          <w:szCs w:val="22"/>
        </w:rPr>
        <w:t>er forble i klinisk remisjon. Klinisk respons (CR-100) ble opprettholdt hos henholdsvis 102 og 233</w:t>
      </w:r>
      <w:r w:rsidR="00315F16" w:rsidRPr="009C5EFD">
        <w:rPr>
          <w:bCs/>
          <w:sz w:val="22"/>
          <w:szCs w:val="22"/>
        </w:rPr>
        <w:t> pasient</w:t>
      </w:r>
      <w:r w:rsidRPr="009C5EFD">
        <w:rPr>
          <w:bCs/>
          <w:sz w:val="22"/>
          <w:szCs w:val="22"/>
        </w:rPr>
        <w:t>er.</w:t>
      </w:r>
    </w:p>
    <w:p w14:paraId="7DC27483" w14:textId="77777777" w:rsidR="001E500F" w:rsidRPr="009C5EFD" w:rsidRDefault="001E500F" w:rsidP="00E14E58">
      <w:pPr>
        <w:ind w:left="54"/>
        <w:rPr>
          <w:sz w:val="22"/>
          <w:szCs w:val="22"/>
        </w:rPr>
      </w:pPr>
    </w:p>
    <w:p w14:paraId="27FCC69E" w14:textId="77777777" w:rsidR="001E500F" w:rsidRPr="009C5EFD" w:rsidRDefault="00E453CD" w:rsidP="00776A84">
      <w:pPr>
        <w:keepNext/>
        <w:rPr>
          <w:i/>
          <w:sz w:val="22"/>
          <w:szCs w:val="22"/>
        </w:rPr>
      </w:pPr>
      <w:r w:rsidRPr="009C5EFD">
        <w:rPr>
          <w:i/>
          <w:sz w:val="22"/>
          <w:szCs w:val="22"/>
          <w:u w:val="single"/>
        </w:rPr>
        <w:t>Livskvalitet</w:t>
      </w:r>
    </w:p>
    <w:p w14:paraId="275C6D26" w14:textId="77777777" w:rsidR="001E500F" w:rsidRPr="009C5EFD" w:rsidRDefault="001E500F" w:rsidP="00776A84">
      <w:pPr>
        <w:keepNext/>
        <w:rPr>
          <w:sz w:val="22"/>
          <w:szCs w:val="22"/>
        </w:rPr>
      </w:pPr>
    </w:p>
    <w:p w14:paraId="1FD404CD" w14:textId="77777777" w:rsidR="001E500F" w:rsidRPr="009C5EFD" w:rsidRDefault="00E453CD" w:rsidP="009C5EFD">
      <w:pPr>
        <w:rPr>
          <w:sz w:val="22"/>
          <w:szCs w:val="22"/>
        </w:rPr>
      </w:pPr>
      <w:r w:rsidRPr="009C5EFD">
        <w:rPr>
          <w:sz w:val="22"/>
          <w:szCs w:val="22"/>
        </w:rPr>
        <w:t xml:space="preserve">CD-studie I og CD-studie II viste statistisk signifikant forbedring i sykdomsspesifikk livskvalitetsscore IBDQ (Inflammatory Bowel Disease Questionnaire) ved </w:t>
      </w:r>
      <w:r w:rsidR="00315F16" w:rsidRPr="009C5EFD">
        <w:rPr>
          <w:sz w:val="22"/>
          <w:szCs w:val="22"/>
        </w:rPr>
        <w:t>uke </w:t>
      </w:r>
      <w:r w:rsidRPr="009C5EFD">
        <w:rPr>
          <w:sz w:val="22"/>
          <w:szCs w:val="22"/>
        </w:rPr>
        <w:t>4 hos pasienter som var randomisert til Humira 80/40</w:t>
      </w:r>
      <w:r w:rsidR="00315F16" w:rsidRPr="009C5EFD">
        <w:rPr>
          <w:sz w:val="22"/>
          <w:szCs w:val="22"/>
        </w:rPr>
        <w:t> mg</w:t>
      </w:r>
      <w:r w:rsidRPr="009C5EFD">
        <w:rPr>
          <w:sz w:val="22"/>
          <w:szCs w:val="22"/>
        </w:rPr>
        <w:t xml:space="preserve"> og Humira 160/80</w:t>
      </w:r>
      <w:r w:rsidR="00315F16" w:rsidRPr="009C5EFD">
        <w:rPr>
          <w:sz w:val="22"/>
          <w:szCs w:val="22"/>
        </w:rPr>
        <w:t> mg</w:t>
      </w:r>
      <w:r w:rsidRPr="009C5EFD">
        <w:rPr>
          <w:sz w:val="22"/>
          <w:szCs w:val="22"/>
        </w:rPr>
        <w:t xml:space="preserve"> sammenlignet med placebo. Det samme ble også sett ved </w:t>
      </w:r>
      <w:r w:rsidR="00315F16" w:rsidRPr="009C5EFD">
        <w:rPr>
          <w:sz w:val="22"/>
          <w:szCs w:val="22"/>
        </w:rPr>
        <w:t>uke </w:t>
      </w:r>
      <w:r w:rsidRPr="009C5EFD">
        <w:rPr>
          <w:sz w:val="22"/>
          <w:szCs w:val="22"/>
        </w:rPr>
        <w:t>26 og 56 i CD-studie III blant gruppene som fikk behandling med adalimumab sammenlignet med placebogruppen.</w:t>
      </w:r>
    </w:p>
    <w:p w14:paraId="23C8F694" w14:textId="77777777" w:rsidR="001E500F" w:rsidRPr="009C5EFD" w:rsidRDefault="001E500F" w:rsidP="009C5EFD">
      <w:pPr>
        <w:ind w:left="54"/>
        <w:rPr>
          <w:sz w:val="22"/>
          <w:szCs w:val="22"/>
        </w:rPr>
      </w:pPr>
    </w:p>
    <w:p w14:paraId="6FA857E4" w14:textId="77777777" w:rsidR="001E500F" w:rsidRPr="009C5EFD" w:rsidRDefault="00E453CD" w:rsidP="00776A84">
      <w:pPr>
        <w:keepNext/>
        <w:suppressAutoHyphens/>
        <w:rPr>
          <w:i/>
          <w:sz w:val="22"/>
          <w:szCs w:val="22"/>
        </w:rPr>
      </w:pPr>
      <w:r w:rsidRPr="009C5EFD">
        <w:rPr>
          <w:i/>
          <w:sz w:val="22"/>
          <w:szCs w:val="22"/>
        </w:rPr>
        <w:t>Ulcerøs kolitt</w:t>
      </w:r>
    </w:p>
    <w:p w14:paraId="2840B4A6" w14:textId="77777777" w:rsidR="001E500F" w:rsidRPr="009C5EFD" w:rsidRDefault="001E500F" w:rsidP="00776A84">
      <w:pPr>
        <w:keepNext/>
        <w:suppressAutoHyphens/>
        <w:rPr>
          <w:sz w:val="22"/>
          <w:szCs w:val="22"/>
          <w:u w:val="single"/>
        </w:rPr>
      </w:pPr>
    </w:p>
    <w:p w14:paraId="555F10A8" w14:textId="77777777" w:rsidR="001E500F" w:rsidRPr="009C5EFD" w:rsidRDefault="00E453CD" w:rsidP="009C5EFD">
      <w:pPr>
        <w:suppressAutoHyphens/>
        <w:rPr>
          <w:sz w:val="22"/>
          <w:szCs w:val="22"/>
        </w:rPr>
      </w:pPr>
      <w:r w:rsidRPr="009C5EFD">
        <w:rPr>
          <w:sz w:val="22"/>
          <w:szCs w:val="22"/>
        </w:rPr>
        <w:t>Sikkerhet og effekt av flere doser Humira ble vurdert hos voksne pasienter med moderat til alvorlig aktiv ulcerøs kolitt (Mayo score 6 til 12 med endoskopi subscore på 2 til 3) i randomiserte, dobbeltblinde, placebokontrollerte studier.</w:t>
      </w:r>
    </w:p>
    <w:p w14:paraId="3B0EDA64" w14:textId="77777777" w:rsidR="001E500F" w:rsidRPr="009C5EFD" w:rsidRDefault="001E500F" w:rsidP="009C5EFD">
      <w:pPr>
        <w:suppressAutoHyphens/>
        <w:rPr>
          <w:sz w:val="22"/>
          <w:szCs w:val="22"/>
        </w:rPr>
      </w:pPr>
    </w:p>
    <w:p w14:paraId="43DD149B" w14:textId="77777777" w:rsidR="001E500F" w:rsidRPr="009C5EFD" w:rsidRDefault="00E453CD" w:rsidP="009C5EFD">
      <w:pPr>
        <w:suppressAutoHyphens/>
        <w:rPr>
          <w:sz w:val="22"/>
          <w:szCs w:val="22"/>
        </w:rPr>
      </w:pPr>
      <w:r w:rsidRPr="009C5EFD">
        <w:rPr>
          <w:sz w:val="22"/>
          <w:szCs w:val="22"/>
        </w:rPr>
        <w:t xml:space="preserve">I studien UC-I ble 390 TNF-antagonistnaive pasienter randomisert til enten placebo ved </w:t>
      </w:r>
      <w:r w:rsidR="00315F16" w:rsidRPr="009C5EFD">
        <w:rPr>
          <w:sz w:val="22"/>
          <w:szCs w:val="22"/>
        </w:rPr>
        <w:t>uke </w:t>
      </w:r>
      <w:r w:rsidRPr="009C5EFD">
        <w:rPr>
          <w:sz w:val="22"/>
          <w:szCs w:val="22"/>
        </w:rPr>
        <w:t>0 og 2, 160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etterfulgt av 80</w:t>
      </w:r>
      <w:r w:rsidR="00315F16"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2, eller 80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etterfulgt av 40</w:t>
      </w:r>
      <w:r w:rsidR="00315F16"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 xml:space="preserve">2. Etter </w:t>
      </w:r>
      <w:r w:rsidR="00315F16" w:rsidRPr="009C5EFD">
        <w:rPr>
          <w:sz w:val="22"/>
          <w:szCs w:val="22"/>
        </w:rPr>
        <w:t>uke </w:t>
      </w:r>
      <w:r w:rsidRPr="009C5EFD">
        <w:rPr>
          <w:sz w:val="22"/>
          <w:szCs w:val="22"/>
        </w:rPr>
        <w:t>2 fikk pasientene i begge adalimumab-armene 40</w:t>
      </w:r>
      <w:r w:rsidR="00315F16" w:rsidRPr="009C5EFD">
        <w:rPr>
          <w:sz w:val="22"/>
          <w:szCs w:val="22"/>
        </w:rPr>
        <w:t> mg</w:t>
      </w:r>
      <w:r w:rsidRPr="009C5EFD">
        <w:rPr>
          <w:sz w:val="22"/>
          <w:szCs w:val="22"/>
        </w:rPr>
        <w:t xml:space="preserve"> annenhver uke. Klinisk remisjon (definert som Mayo score ≤ 2 uten subscore &gt; 1) ble vurdert ved </w:t>
      </w:r>
      <w:r w:rsidR="00315F16" w:rsidRPr="009C5EFD">
        <w:rPr>
          <w:sz w:val="22"/>
          <w:szCs w:val="22"/>
        </w:rPr>
        <w:t>uke </w:t>
      </w:r>
      <w:r w:rsidRPr="009C5EFD">
        <w:rPr>
          <w:sz w:val="22"/>
          <w:szCs w:val="22"/>
        </w:rPr>
        <w:t>8.</w:t>
      </w:r>
    </w:p>
    <w:p w14:paraId="136C55D4" w14:textId="77777777" w:rsidR="001E500F" w:rsidRPr="009C5EFD" w:rsidRDefault="001E500F" w:rsidP="009C5EFD">
      <w:pPr>
        <w:suppressAutoHyphens/>
        <w:rPr>
          <w:sz w:val="22"/>
          <w:szCs w:val="22"/>
        </w:rPr>
      </w:pPr>
    </w:p>
    <w:p w14:paraId="3E255F7C" w14:textId="77777777" w:rsidR="001E500F" w:rsidRPr="009C5EFD" w:rsidRDefault="00E453CD" w:rsidP="009C5EFD">
      <w:pPr>
        <w:suppressAutoHyphens/>
        <w:rPr>
          <w:sz w:val="22"/>
          <w:szCs w:val="22"/>
        </w:rPr>
      </w:pPr>
      <w:r w:rsidRPr="009C5EFD">
        <w:rPr>
          <w:sz w:val="22"/>
          <w:szCs w:val="22"/>
        </w:rPr>
        <w:t>I studien UC-II fikk 248</w:t>
      </w:r>
      <w:r w:rsidR="00315F16" w:rsidRPr="009C5EFD">
        <w:rPr>
          <w:sz w:val="22"/>
          <w:szCs w:val="22"/>
        </w:rPr>
        <w:t> pasient</w:t>
      </w:r>
      <w:r w:rsidRPr="009C5EFD">
        <w:rPr>
          <w:sz w:val="22"/>
          <w:szCs w:val="22"/>
        </w:rPr>
        <w:t>er 160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0, 80</w:t>
      </w:r>
      <w:r w:rsidR="00315F16" w:rsidRPr="009C5EFD">
        <w:rPr>
          <w:sz w:val="22"/>
          <w:szCs w:val="22"/>
        </w:rPr>
        <w:t> mg</w:t>
      </w:r>
      <w:r w:rsidRPr="009C5EFD">
        <w:rPr>
          <w:sz w:val="22"/>
          <w:szCs w:val="22"/>
        </w:rPr>
        <w:t xml:space="preserve"> ved </w:t>
      </w:r>
      <w:r w:rsidR="00315F16" w:rsidRPr="009C5EFD">
        <w:rPr>
          <w:sz w:val="22"/>
          <w:szCs w:val="22"/>
        </w:rPr>
        <w:t>uke </w:t>
      </w:r>
      <w:r w:rsidRPr="009C5EFD">
        <w:rPr>
          <w:sz w:val="22"/>
          <w:szCs w:val="22"/>
        </w:rPr>
        <w:t>2 og deretter 40</w:t>
      </w:r>
      <w:r w:rsidR="00315F16" w:rsidRPr="009C5EFD">
        <w:rPr>
          <w:sz w:val="22"/>
          <w:szCs w:val="22"/>
        </w:rPr>
        <w:t> mg</w:t>
      </w:r>
      <w:r w:rsidRPr="009C5EFD">
        <w:rPr>
          <w:sz w:val="22"/>
          <w:szCs w:val="22"/>
        </w:rPr>
        <w:t xml:space="preserve"> annenhver uke, og 246</w:t>
      </w:r>
      <w:r w:rsidR="00315F16" w:rsidRPr="009C5EFD">
        <w:rPr>
          <w:sz w:val="22"/>
          <w:szCs w:val="22"/>
        </w:rPr>
        <w:t> pasient</w:t>
      </w:r>
      <w:r w:rsidRPr="009C5EFD">
        <w:rPr>
          <w:sz w:val="22"/>
          <w:szCs w:val="22"/>
        </w:rPr>
        <w:t xml:space="preserve">er fikk placebo. Kliniske resultater ble vurdert for induksjon av remisjon ved </w:t>
      </w:r>
      <w:r w:rsidR="00315F16" w:rsidRPr="009C5EFD">
        <w:rPr>
          <w:sz w:val="22"/>
          <w:szCs w:val="22"/>
        </w:rPr>
        <w:t>uke </w:t>
      </w:r>
      <w:r w:rsidRPr="009C5EFD">
        <w:rPr>
          <w:sz w:val="22"/>
          <w:szCs w:val="22"/>
        </w:rPr>
        <w:t xml:space="preserve">8 og for vedlikehold av remisjon ved </w:t>
      </w:r>
      <w:r w:rsidR="00315F16" w:rsidRPr="009C5EFD">
        <w:rPr>
          <w:sz w:val="22"/>
          <w:szCs w:val="22"/>
        </w:rPr>
        <w:t>uke </w:t>
      </w:r>
      <w:r w:rsidRPr="009C5EFD">
        <w:rPr>
          <w:sz w:val="22"/>
          <w:szCs w:val="22"/>
        </w:rPr>
        <w:t>52.</w:t>
      </w:r>
    </w:p>
    <w:p w14:paraId="3ACCFE1A" w14:textId="77777777" w:rsidR="001E500F" w:rsidRPr="009C5EFD" w:rsidRDefault="001E500F" w:rsidP="009C5EFD">
      <w:pPr>
        <w:suppressAutoHyphens/>
        <w:rPr>
          <w:sz w:val="22"/>
          <w:szCs w:val="22"/>
        </w:rPr>
      </w:pPr>
    </w:p>
    <w:p w14:paraId="653CEE0E" w14:textId="77777777" w:rsidR="001E500F" w:rsidRPr="009C5EFD" w:rsidRDefault="00E453CD" w:rsidP="009C5EFD">
      <w:pPr>
        <w:suppressAutoHyphens/>
        <w:rPr>
          <w:sz w:val="22"/>
          <w:szCs w:val="22"/>
        </w:rPr>
      </w:pPr>
      <w:r w:rsidRPr="009C5EFD">
        <w:rPr>
          <w:sz w:val="22"/>
          <w:szCs w:val="22"/>
        </w:rPr>
        <w:t>Pasienter indusert med 160/80</w:t>
      </w:r>
      <w:r w:rsidR="00315F16" w:rsidRPr="009C5EFD">
        <w:rPr>
          <w:sz w:val="22"/>
          <w:szCs w:val="22"/>
        </w:rPr>
        <w:t> mg</w:t>
      </w:r>
      <w:r w:rsidRPr="009C5EFD">
        <w:rPr>
          <w:sz w:val="22"/>
          <w:szCs w:val="22"/>
        </w:rPr>
        <w:t xml:space="preserve"> Humira oppnådde klinisk remisjon versus placebo ved </w:t>
      </w:r>
      <w:r w:rsidR="00315F16" w:rsidRPr="009C5EFD">
        <w:rPr>
          <w:sz w:val="22"/>
          <w:szCs w:val="22"/>
        </w:rPr>
        <w:t>uke </w:t>
      </w:r>
      <w:r w:rsidRPr="009C5EFD">
        <w:rPr>
          <w:sz w:val="22"/>
          <w:szCs w:val="22"/>
        </w:rPr>
        <w:t>8 i statisitisk signifikant større prosentandeler i studie UC-I (</w:t>
      </w:r>
      <w:r w:rsidR="009019DA">
        <w:rPr>
          <w:sz w:val="22"/>
          <w:szCs w:val="22"/>
        </w:rPr>
        <w:t xml:space="preserve">henholdsvis </w:t>
      </w:r>
      <w:r w:rsidRPr="009C5EFD">
        <w:rPr>
          <w:sz w:val="22"/>
          <w:szCs w:val="22"/>
        </w:rPr>
        <w:t>18</w:t>
      </w:r>
      <w:r w:rsidR="00315F16" w:rsidRPr="009C5EFD">
        <w:rPr>
          <w:sz w:val="22"/>
          <w:szCs w:val="22"/>
        </w:rPr>
        <w:t> %</w:t>
      </w:r>
      <w:r w:rsidRPr="009C5EFD">
        <w:rPr>
          <w:sz w:val="22"/>
          <w:szCs w:val="22"/>
        </w:rPr>
        <w:t xml:space="preserve"> vs. 9</w:t>
      </w:r>
      <w:r w:rsidR="00315F16" w:rsidRPr="009C5EFD">
        <w:rPr>
          <w:sz w:val="22"/>
          <w:szCs w:val="22"/>
        </w:rPr>
        <w:t> %</w:t>
      </w:r>
      <w:r w:rsidRPr="009C5EFD">
        <w:rPr>
          <w:sz w:val="22"/>
          <w:szCs w:val="22"/>
        </w:rPr>
        <w:t>, p=0,031) og studie UC-II (</w:t>
      </w:r>
      <w:r w:rsidR="009019DA">
        <w:rPr>
          <w:sz w:val="22"/>
          <w:szCs w:val="22"/>
        </w:rPr>
        <w:t xml:space="preserve">henholdsvis </w:t>
      </w:r>
      <w:r w:rsidRPr="009C5EFD">
        <w:rPr>
          <w:sz w:val="22"/>
          <w:szCs w:val="22"/>
        </w:rPr>
        <w:t>17</w:t>
      </w:r>
      <w:r w:rsidR="00315F16" w:rsidRPr="009C5EFD">
        <w:rPr>
          <w:sz w:val="22"/>
          <w:szCs w:val="22"/>
        </w:rPr>
        <w:t> %</w:t>
      </w:r>
      <w:r w:rsidRPr="009C5EFD">
        <w:rPr>
          <w:sz w:val="22"/>
          <w:szCs w:val="22"/>
        </w:rPr>
        <w:t xml:space="preserve"> vs. 9</w:t>
      </w:r>
      <w:r w:rsidR="00315F16" w:rsidRPr="009C5EFD">
        <w:rPr>
          <w:sz w:val="22"/>
          <w:szCs w:val="22"/>
        </w:rPr>
        <w:t> %</w:t>
      </w:r>
      <w:r w:rsidRPr="009C5EFD">
        <w:rPr>
          <w:sz w:val="22"/>
          <w:szCs w:val="22"/>
        </w:rPr>
        <w:t xml:space="preserve">, p=0,019). Blant pasienter som ble behandlet med Humira i studien UC-II og som var i remisjon ved </w:t>
      </w:r>
      <w:r w:rsidR="00315F16" w:rsidRPr="009C5EFD">
        <w:rPr>
          <w:sz w:val="22"/>
          <w:szCs w:val="22"/>
        </w:rPr>
        <w:t>uke </w:t>
      </w:r>
      <w:r w:rsidRPr="009C5EFD">
        <w:rPr>
          <w:sz w:val="22"/>
          <w:szCs w:val="22"/>
        </w:rPr>
        <w:t xml:space="preserve">8, var 21/41 (51%) også i remisjon ved </w:t>
      </w:r>
      <w:r w:rsidR="00315F16" w:rsidRPr="009C5EFD">
        <w:rPr>
          <w:sz w:val="22"/>
          <w:szCs w:val="22"/>
        </w:rPr>
        <w:t>uke </w:t>
      </w:r>
      <w:r w:rsidRPr="009C5EFD">
        <w:rPr>
          <w:sz w:val="22"/>
          <w:szCs w:val="22"/>
        </w:rPr>
        <w:t>52.</w:t>
      </w:r>
    </w:p>
    <w:p w14:paraId="6D857B48" w14:textId="77777777" w:rsidR="001E500F" w:rsidRPr="009C5EFD" w:rsidRDefault="001E500F" w:rsidP="009C5EFD">
      <w:pPr>
        <w:suppressAutoHyphens/>
        <w:rPr>
          <w:sz w:val="22"/>
          <w:szCs w:val="22"/>
        </w:rPr>
      </w:pPr>
    </w:p>
    <w:p w14:paraId="34D75E16" w14:textId="77777777" w:rsidR="001E500F" w:rsidRPr="009C5EFD" w:rsidRDefault="00E453CD" w:rsidP="009C5EFD">
      <w:pPr>
        <w:suppressAutoHyphens/>
        <w:rPr>
          <w:sz w:val="22"/>
          <w:szCs w:val="22"/>
        </w:rPr>
      </w:pPr>
      <w:r w:rsidRPr="009C5EFD">
        <w:rPr>
          <w:sz w:val="22"/>
          <w:szCs w:val="22"/>
        </w:rPr>
        <w:t xml:space="preserve">Resultater for studiepopulasjonen fra UC-II er vist i tabell </w:t>
      </w:r>
      <w:r w:rsidR="00634DDF">
        <w:rPr>
          <w:sz w:val="22"/>
          <w:szCs w:val="22"/>
        </w:rPr>
        <w:t>23</w:t>
      </w:r>
      <w:r w:rsidRPr="009C5EFD">
        <w:rPr>
          <w:sz w:val="22"/>
          <w:szCs w:val="22"/>
        </w:rPr>
        <w:t>.</w:t>
      </w:r>
    </w:p>
    <w:p w14:paraId="45413F3E" w14:textId="77777777" w:rsidR="001E500F" w:rsidRPr="009C5EFD" w:rsidRDefault="001E500F" w:rsidP="009C5EFD">
      <w:pPr>
        <w:suppressAutoHyphens/>
        <w:rPr>
          <w:sz w:val="22"/>
          <w:szCs w:val="22"/>
        </w:rPr>
      </w:pPr>
    </w:p>
    <w:p w14:paraId="732411C6" w14:textId="77777777" w:rsidR="001E500F" w:rsidRPr="009C5EFD" w:rsidRDefault="00E453CD" w:rsidP="009C5EFD">
      <w:pPr>
        <w:pStyle w:val="EMEANormal"/>
        <w:keepNext/>
        <w:tabs>
          <w:tab w:val="left" w:pos="0"/>
        </w:tabs>
        <w:jc w:val="center"/>
        <w:rPr>
          <w:b/>
          <w:lang w:val="nb-NO"/>
        </w:rPr>
      </w:pPr>
      <w:r w:rsidRPr="009C5EFD">
        <w:rPr>
          <w:b/>
          <w:lang w:val="nb-NO"/>
        </w:rPr>
        <w:lastRenderedPageBreak/>
        <w:t xml:space="preserve">Tabell </w:t>
      </w:r>
      <w:r w:rsidR="003508F1">
        <w:rPr>
          <w:b/>
          <w:lang w:val="nb-NO"/>
        </w:rPr>
        <w:t>2</w:t>
      </w:r>
      <w:r w:rsidR="00634DDF">
        <w:rPr>
          <w:b/>
          <w:lang w:val="nb-NO"/>
        </w:rPr>
        <w:t>3</w:t>
      </w:r>
    </w:p>
    <w:p w14:paraId="49CADA7B" w14:textId="77777777" w:rsidR="001E500F" w:rsidRPr="00FB2118" w:rsidRDefault="00E453CD" w:rsidP="009C5EFD">
      <w:pPr>
        <w:pStyle w:val="EMEANormal"/>
        <w:keepNext/>
        <w:tabs>
          <w:tab w:val="left" w:pos="0"/>
        </w:tabs>
        <w:jc w:val="center"/>
        <w:rPr>
          <w:b/>
          <w:szCs w:val="22"/>
          <w:lang w:val="nb-NO"/>
        </w:rPr>
      </w:pPr>
      <w:r w:rsidRPr="009C5EFD">
        <w:rPr>
          <w:b/>
          <w:lang w:val="nb-NO"/>
        </w:rPr>
        <w:t>Respons, remisjon og tilheling av slimhinner i st</w:t>
      </w:r>
      <w:r w:rsidRPr="00FB2118">
        <w:rPr>
          <w:b/>
          <w:szCs w:val="22"/>
          <w:lang w:val="nb-NO"/>
        </w:rPr>
        <w:t xml:space="preserve">udie UC-II </w:t>
      </w:r>
    </w:p>
    <w:p w14:paraId="062C7CC6" w14:textId="77777777" w:rsidR="001E500F" w:rsidRPr="00776A84" w:rsidRDefault="00E453CD" w:rsidP="009C5EFD">
      <w:pPr>
        <w:keepNext/>
        <w:tabs>
          <w:tab w:val="left" w:pos="0"/>
        </w:tabs>
        <w:suppressAutoHyphens/>
        <w:jc w:val="center"/>
        <w:rPr>
          <w:b/>
          <w:sz w:val="22"/>
          <w:szCs w:val="22"/>
        </w:rPr>
      </w:pPr>
      <w:r w:rsidRPr="00776A84">
        <w:rPr>
          <w:b/>
          <w:sz w:val="22"/>
          <w:szCs w:val="22"/>
        </w:rPr>
        <w:t>(Prosent av pasientene)</w:t>
      </w:r>
    </w:p>
    <w:tbl>
      <w:tblPr>
        <w:tblW w:w="4386" w:type="pct"/>
        <w:jc w:val="center"/>
        <w:tblLook w:val="04A0" w:firstRow="1" w:lastRow="0" w:firstColumn="1" w:lastColumn="0" w:noHBand="0" w:noVBand="1"/>
      </w:tblPr>
      <w:tblGrid>
        <w:gridCol w:w="1805"/>
        <w:gridCol w:w="4324"/>
        <w:gridCol w:w="790"/>
        <w:gridCol w:w="1033"/>
      </w:tblGrid>
      <w:tr w:rsidR="004644D4" w14:paraId="75DCEC03" w14:textId="77777777" w:rsidTr="001C4BD6">
        <w:trPr>
          <w:gridBefore w:val="1"/>
          <w:wBefore w:w="1805" w:type="dxa"/>
          <w:jc w:val="center"/>
        </w:trPr>
        <w:tc>
          <w:tcPr>
            <w:tcW w:w="2969" w:type="pct"/>
            <w:tcBorders>
              <w:top w:val="single" w:sz="6" w:space="0" w:color="000000"/>
              <w:left w:val="nil"/>
              <w:bottom w:val="single" w:sz="6" w:space="0" w:color="000000"/>
              <w:right w:val="nil"/>
            </w:tcBorders>
            <w:tcMar>
              <w:top w:w="15" w:type="dxa"/>
              <w:left w:w="15" w:type="dxa"/>
              <w:bottom w:w="15" w:type="dxa"/>
              <w:right w:w="15" w:type="dxa"/>
            </w:tcMar>
          </w:tcPr>
          <w:p w14:paraId="73BB7478" w14:textId="77777777" w:rsidR="001E500F" w:rsidRPr="009C5EFD" w:rsidRDefault="001E500F" w:rsidP="009C5EFD">
            <w:pPr>
              <w:keepNext/>
              <w:tabs>
                <w:tab w:val="left" w:pos="0"/>
              </w:tabs>
              <w:jc w:val="center"/>
              <w:rPr>
                <w:rFonts w:eastAsia="Arial Unicode MS"/>
                <w:sz w:val="22"/>
                <w:szCs w:val="22"/>
                <w:lang w:val="en-GB"/>
              </w:rPr>
            </w:pPr>
          </w:p>
        </w:tc>
        <w:tc>
          <w:tcPr>
            <w:tcW w:w="632" w:type="pct"/>
            <w:tcBorders>
              <w:top w:val="single" w:sz="6" w:space="0" w:color="000000"/>
              <w:left w:val="nil"/>
              <w:bottom w:val="single" w:sz="6" w:space="0" w:color="000000"/>
              <w:right w:val="nil"/>
            </w:tcBorders>
            <w:tcMar>
              <w:top w:w="15" w:type="dxa"/>
              <w:left w:w="15" w:type="dxa"/>
              <w:bottom w:w="15" w:type="dxa"/>
              <w:right w:w="15" w:type="dxa"/>
            </w:tcMar>
            <w:hideMark/>
          </w:tcPr>
          <w:p w14:paraId="797016CD" w14:textId="77777777" w:rsidR="001E500F" w:rsidRPr="00DC55C8" w:rsidRDefault="00E453CD" w:rsidP="009C5EFD">
            <w:pPr>
              <w:keepNext/>
              <w:tabs>
                <w:tab w:val="left" w:pos="0"/>
              </w:tabs>
              <w:jc w:val="center"/>
              <w:rPr>
                <w:rFonts w:eastAsia="Arial Unicode MS"/>
                <w:sz w:val="22"/>
                <w:szCs w:val="22"/>
                <w:lang w:val="en-GB"/>
              </w:rPr>
            </w:pPr>
            <w:r w:rsidRPr="00776A84">
              <w:rPr>
                <w:rStyle w:val="bold4"/>
                <w:rFonts w:eastAsia="Arial Unicode MS"/>
                <w:sz w:val="22"/>
                <w:szCs w:val="22"/>
                <w:lang w:val="en-GB"/>
              </w:rPr>
              <w:t>Placebo</w:t>
            </w:r>
            <w:r w:rsidRPr="00DC55C8">
              <w:rPr>
                <w:rFonts w:eastAsia="Arial Unicode MS"/>
                <w:sz w:val="22"/>
                <w:szCs w:val="22"/>
                <w:lang w:val="en-GB"/>
              </w:rPr>
              <w:br/>
            </w:r>
          </w:p>
        </w:tc>
        <w:tc>
          <w:tcPr>
            <w:tcW w:w="1386" w:type="pct"/>
            <w:tcBorders>
              <w:top w:val="single" w:sz="6" w:space="0" w:color="000000"/>
              <w:left w:val="nil"/>
              <w:bottom w:val="single" w:sz="6" w:space="0" w:color="000000"/>
              <w:right w:val="nil"/>
            </w:tcBorders>
            <w:tcMar>
              <w:top w:w="15" w:type="dxa"/>
              <w:left w:w="15" w:type="dxa"/>
              <w:bottom w:w="15" w:type="dxa"/>
              <w:right w:w="15" w:type="dxa"/>
            </w:tcMar>
            <w:hideMark/>
          </w:tcPr>
          <w:p w14:paraId="5C27B660" w14:textId="77777777" w:rsidR="001E500F" w:rsidRPr="00776A84" w:rsidRDefault="00E453CD" w:rsidP="009C5EFD">
            <w:pPr>
              <w:keepNext/>
              <w:tabs>
                <w:tab w:val="left" w:pos="0"/>
              </w:tabs>
              <w:jc w:val="center"/>
              <w:rPr>
                <w:rStyle w:val="bold4"/>
                <w:rFonts w:eastAsia="Arial Unicode MS"/>
                <w:sz w:val="22"/>
                <w:szCs w:val="22"/>
                <w:lang w:val="en-GB"/>
              </w:rPr>
            </w:pPr>
            <w:r w:rsidRPr="00776A84">
              <w:rPr>
                <w:rStyle w:val="bold4"/>
                <w:rFonts w:eastAsia="Arial Unicode MS"/>
                <w:sz w:val="22"/>
                <w:szCs w:val="22"/>
                <w:lang w:val="en-GB"/>
              </w:rPr>
              <w:t>Humira 40</w:t>
            </w:r>
            <w:r w:rsidR="00315F16" w:rsidRPr="00776A84">
              <w:rPr>
                <w:rStyle w:val="bold4"/>
                <w:rFonts w:eastAsia="Arial Unicode MS"/>
                <w:sz w:val="22"/>
                <w:szCs w:val="22"/>
                <w:lang w:val="en-GB"/>
              </w:rPr>
              <w:t> mg</w:t>
            </w:r>
            <w:r w:rsidRPr="00776A84">
              <w:rPr>
                <w:rStyle w:val="bold4"/>
                <w:rFonts w:eastAsia="Arial Unicode MS"/>
                <w:sz w:val="22"/>
                <w:szCs w:val="22"/>
                <w:lang w:val="en-GB"/>
              </w:rPr>
              <w:t xml:space="preserve"> </w:t>
            </w:r>
          </w:p>
          <w:p w14:paraId="7A8C5D1C" w14:textId="77777777" w:rsidR="001E500F" w:rsidRPr="00776A84" w:rsidRDefault="00E453CD" w:rsidP="009C5EFD">
            <w:pPr>
              <w:keepNext/>
              <w:tabs>
                <w:tab w:val="left" w:pos="0"/>
              </w:tabs>
              <w:jc w:val="center"/>
              <w:rPr>
                <w:rFonts w:eastAsia="Arial Unicode MS"/>
                <w:sz w:val="22"/>
                <w:szCs w:val="22"/>
              </w:rPr>
            </w:pPr>
            <w:r w:rsidRPr="00776A84">
              <w:rPr>
                <w:rStyle w:val="bold4"/>
                <w:rFonts w:eastAsia="Arial Unicode MS"/>
                <w:sz w:val="22"/>
                <w:szCs w:val="22"/>
                <w:lang w:val="en-GB"/>
              </w:rPr>
              <w:t>annenhver uke</w:t>
            </w:r>
            <w:r w:rsidRPr="00DC55C8">
              <w:rPr>
                <w:rFonts w:eastAsia="Arial Unicode MS"/>
                <w:sz w:val="22"/>
                <w:szCs w:val="22"/>
                <w:lang w:val="en-GB"/>
              </w:rPr>
              <w:br/>
            </w:r>
          </w:p>
        </w:tc>
      </w:tr>
      <w:tr w:rsidR="004644D4" w14:paraId="04F3BBBB" w14:textId="77777777" w:rsidTr="001C4BD6">
        <w:trPr>
          <w:gridBefore w:val="1"/>
          <w:wBefore w:w="1805" w:type="dxa"/>
          <w:jc w:val="center"/>
        </w:trPr>
        <w:tc>
          <w:tcPr>
            <w:tcW w:w="2969" w:type="pct"/>
            <w:tcBorders>
              <w:top w:val="single" w:sz="6" w:space="0" w:color="000000"/>
              <w:left w:val="nil"/>
              <w:bottom w:val="single" w:sz="6" w:space="0" w:color="000000"/>
              <w:right w:val="nil"/>
            </w:tcBorders>
            <w:tcMar>
              <w:top w:w="15" w:type="dxa"/>
              <w:left w:w="15" w:type="dxa"/>
              <w:bottom w:w="15" w:type="dxa"/>
              <w:right w:w="15" w:type="dxa"/>
            </w:tcMar>
            <w:hideMark/>
          </w:tcPr>
          <w:p w14:paraId="37571E36"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Uke 52</w:t>
            </w:r>
          </w:p>
        </w:tc>
        <w:tc>
          <w:tcPr>
            <w:tcW w:w="632" w:type="pct"/>
            <w:tcBorders>
              <w:top w:val="single" w:sz="6" w:space="0" w:color="000000"/>
              <w:left w:val="nil"/>
              <w:bottom w:val="single" w:sz="6" w:space="0" w:color="000000"/>
              <w:right w:val="nil"/>
            </w:tcBorders>
            <w:tcMar>
              <w:top w:w="15" w:type="dxa"/>
              <w:left w:w="15" w:type="dxa"/>
              <w:bottom w:w="15" w:type="dxa"/>
              <w:right w:w="15" w:type="dxa"/>
            </w:tcMar>
            <w:hideMark/>
          </w:tcPr>
          <w:p w14:paraId="242EBF7B" w14:textId="77777777" w:rsidR="001E500F" w:rsidRPr="00776A84" w:rsidRDefault="00E453CD" w:rsidP="00193D76">
            <w:pPr>
              <w:keepNext/>
              <w:tabs>
                <w:tab w:val="left" w:pos="0"/>
              </w:tabs>
              <w:jc w:val="center"/>
              <w:rPr>
                <w:rStyle w:val="bold4"/>
                <w:rFonts w:eastAsia="Arial Unicode MS"/>
                <w:sz w:val="22"/>
                <w:szCs w:val="22"/>
                <w:lang w:val="en-GB"/>
              </w:rPr>
            </w:pPr>
            <w:r w:rsidRPr="00776A84">
              <w:rPr>
                <w:rStyle w:val="bold4"/>
                <w:rFonts w:eastAsia="Arial Unicode MS"/>
                <w:sz w:val="22"/>
                <w:szCs w:val="22"/>
                <w:lang w:val="en-GB"/>
              </w:rPr>
              <w:t>N=246</w:t>
            </w:r>
          </w:p>
        </w:tc>
        <w:tc>
          <w:tcPr>
            <w:tcW w:w="1386" w:type="pct"/>
            <w:tcBorders>
              <w:top w:val="single" w:sz="6" w:space="0" w:color="000000"/>
              <w:left w:val="nil"/>
              <w:bottom w:val="single" w:sz="6" w:space="0" w:color="000000"/>
              <w:right w:val="nil"/>
            </w:tcBorders>
            <w:tcMar>
              <w:top w:w="15" w:type="dxa"/>
              <w:left w:w="15" w:type="dxa"/>
              <w:bottom w:w="15" w:type="dxa"/>
              <w:right w:w="15" w:type="dxa"/>
            </w:tcMar>
            <w:hideMark/>
          </w:tcPr>
          <w:p w14:paraId="30749E90" w14:textId="77777777" w:rsidR="001E500F" w:rsidRPr="00776A84" w:rsidRDefault="00E453CD" w:rsidP="002D0790">
            <w:pPr>
              <w:keepNext/>
              <w:tabs>
                <w:tab w:val="left" w:pos="0"/>
              </w:tabs>
              <w:jc w:val="center"/>
              <w:rPr>
                <w:rStyle w:val="bold4"/>
                <w:rFonts w:eastAsia="Arial Unicode MS"/>
                <w:sz w:val="22"/>
                <w:szCs w:val="22"/>
                <w:lang w:val="en-GB"/>
              </w:rPr>
            </w:pPr>
            <w:r w:rsidRPr="00776A84">
              <w:rPr>
                <w:rStyle w:val="bold4"/>
                <w:rFonts w:eastAsia="Arial Unicode MS"/>
                <w:sz w:val="22"/>
                <w:szCs w:val="22"/>
                <w:lang w:val="en-GB"/>
              </w:rPr>
              <w:t>N=248</w:t>
            </w:r>
          </w:p>
        </w:tc>
      </w:tr>
      <w:tr w:rsidR="004644D4" w14:paraId="154DF13F" w14:textId="77777777" w:rsidTr="001C4BD6">
        <w:trPr>
          <w:gridBefore w:val="1"/>
          <w:wBefore w:w="1805" w:type="dxa"/>
          <w:jc w:val="center"/>
        </w:trPr>
        <w:tc>
          <w:tcPr>
            <w:tcW w:w="2969" w:type="pct"/>
            <w:tcMar>
              <w:top w:w="15" w:type="dxa"/>
              <w:left w:w="15" w:type="dxa"/>
              <w:bottom w:w="15" w:type="dxa"/>
              <w:right w:w="15" w:type="dxa"/>
            </w:tcMar>
            <w:hideMark/>
          </w:tcPr>
          <w:p w14:paraId="15759801"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 xml:space="preserve">  Klinisk respons</w:t>
            </w:r>
          </w:p>
        </w:tc>
        <w:tc>
          <w:tcPr>
            <w:tcW w:w="632" w:type="pct"/>
            <w:tcMar>
              <w:top w:w="15" w:type="dxa"/>
              <w:left w:w="15" w:type="dxa"/>
              <w:bottom w:w="15" w:type="dxa"/>
              <w:right w:w="15" w:type="dxa"/>
            </w:tcMar>
            <w:hideMark/>
          </w:tcPr>
          <w:p w14:paraId="5B551223"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18</w:t>
            </w:r>
            <w:r w:rsidR="00315F16" w:rsidRPr="009C5EFD">
              <w:rPr>
                <w:rFonts w:eastAsia="Arial Unicode MS"/>
                <w:sz w:val="22"/>
                <w:szCs w:val="22"/>
                <w:lang w:val="en-GB"/>
              </w:rPr>
              <w:t> %</w:t>
            </w:r>
            <w:r w:rsidRPr="009C5EFD">
              <w:rPr>
                <w:rFonts w:eastAsia="Arial Unicode MS"/>
                <w:sz w:val="22"/>
                <w:szCs w:val="22"/>
                <w:lang w:val="en-GB"/>
              </w:rPr>
              <w:t xml:space="preserve"> </w:t>
            </w:r>
          </w:p>
        </w:tc>
        <w:tc>
          <w:tcPr>
            <w:tcW w:w="1386" w:type="pct"/>
            <w:tcMar>
              <w:top w:w="15" w:type="dxa"/>
              <w:left w:w="15" w:type="dxa"/>
              <w:bottom w:w="15" w:type="dxa"/>
              <w:right w:w="15" w:type="dxa"/>
            </w:tcMar>
            <w:hideMark/>
          </w:tcPr>
          <w:p w14:paraId="69A5B642"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30</w:t>
            </w:r>
            <w:r w:rsidR="00315F16" w:rsidRPr="009C5EFD">
              <w:rPr>
                <w:rFonts w:eastAsia="Arial Unicode MS"/>
                <w:sz w:val="22"/>
                <w:szCs w:val="22"/>
                <w:lang w:val="en-GB"/>
              </w:rPr>
              <w:t> %</w:t>
            </w:r>
            <w:r w:rsidRPr="009C5EFD">
              <w:rPr>
                <w:rFonts w:eastAsia="Arial Unicode MS"/>
                <w:sz w:val="22"/>
                <w:szCs w:val="22"/>
                <w:lang w:val="en-GB"/>
              </w:rPr>
              <w:t>*</w:t>
            </w:r>
          </w:p>
        </w:tc>
      </w:tr>
      <w:tr w:rsidR="004644D4" w14:paraId="3AA676DC" w14:textId="77777777" w:rsidTr="001C4BD6">
        <w:trPr>
          <w:gridBefore w:val="1"/>
          <w:wBefore w:w="1805" w:type="dxa"/>
          <w:jc w:val="center"/>
        </w:trPr>
        <w:tc>
          <w:tcPr>
            <w:tcW w:w="2969" w:type="pct"/>
            <w:tcMar>
              <w:top w:w="15" w:type="dxa"/>
              <w:left w:w="15" w:type="dxa"/>
              <w:bottom w:w="15" w:type="dxa"/>
              <w:right w:w="15" w:type="dxa"/>
            </w:tcMar>
            <w:hideMark/>
          </w:tcPr>
          <w:p w14:paraId="6A2CCD9C"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 xml:space="preserve">  Klinisk remisjon</w:t>
            </w:r>
          </w:p>
        </w:tc>
        <w:tc>
          <w:tcPr>
            <w:tcW w:w="632" w:type="pct"/>
            <w:tcMar>
              <w:top w:w="15" w:type="dxa"/>
              <w:left w:w="15" w:type="dxa"/>
              <w:bottom w:w="15" w:type="dxa"/>
              <w:right w:w="15" w:type="dxa"/>
            </w:tcMar>
            <w:hideMark/>
          </w:tcPr>
          <w:p w14:paraId="53D8BDB3"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9</w:t>
            </w:r>
            <w:r w:rsidR="00315F16" w:rsidRPr="009C5EFD">
              <w:rPr>
                <w:rFonts w:eastAsia="Arial Unicode MS"/>
                <w:sz w:val="22"/>
                <w:szCs w:val="22"/>
                <w:lang w:val="en-GB"/>
              </w:rPr>
              <w:t> %</w:t>
            </w:r>
          </w:p>
        </w:tc>
        <w:tc>
          <w:tcPr>
            <w:tcW w:w="1386" w:type="pct"/>
            <w:tcMar>
              <w:top w:w="15" w:type="dxa"/>
              <w:left w:w="15" w:type="dxa"/>
              <w:bottom w:w="15" w:type="dxa"/>
              <w:right w:w="15" w:type="dxa"/>
            </w:tcMar>
            <w:hideMark/>
          </w:tcPr>
          <w:p w14:paraId="3CF268AD"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17</w:t>
            </w:r>
            <w:r w:rsidR="00315F16" w:rsidRPr="009C5EFD">
              <w:rPr>
                <w:rFonts w:eastAsia="Arial Unicode MS"/>
                <w:sz w:val="22"/>
                <w:szCs w:val="22"/>
                <w:lang w:val="en-GB"/>
              </w:rPr>
              <w:t> %</w:t>
            </w:r>
            <w:r w:rsidRPr="009C5EFD">
              <w:rPr>
                <w:rFonts w:eastAsia="Arial Unicode MS"/>
                <w:sz w:val="22"/>
                <w:szCs w:val="22"/>
                <w:lang w:val="en-GB"/>
              </w:rPr>
              <w:t>*</w:t>
            </w:r>
          </w:p>
        </w:tc>
      </w:tr>
      <w:tr w:rsidR="004644D4" w14:paraId="77EC150B" w14:textId="77777777" w:rsidTr="001C4BD6">
        <w:trPr>
          <w:gridBefore w:val="1"/>
          <w:wBefore w:w="1805" w:type="dxa"/>
          <w:jc w:val="center"/>
        </w:trPr>
        <w:tc>
          <w:tcPr>
            <w:tcW w:w="2969" w:type="pct"/>
            <w:tcMar>
              <w:top w:w="15" w:type="dxa"/>
              <w:left w:w="15" w:type="dxa"/>
              <w:bottom w:w="15" w:type="dxa"/>
              <w:right w:w="15" w:type="dxa"/>
            </w:tcMar>
            <w:hideMark/>
          </w:tcPr>
          <w:p w14:paraId="1F2AB0BD"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 xml:space="preserve">  Tilheling av slimhinner </w:t>
            </w:r>
          </w:p>
        </w:tc>
        <w:tc>
          <w:tcPr>
            <w:tcW w:w="632" w:type="pct"/>
            <w:tcMar>
              <w:top w:w="15" w:type="dxa"/>
              <w:left w:w="15" w:type="dxa"/>
              <w:bottom w:w="15" w:type="dxa"/>
              <w:right w:w="15" w:type="dxa"/>
            </w:tcMar>
            <w:hideMark/>
          </w:tcPr>
          <w:p w14:paraId="43CAFBD5"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15</w:t>
            </w:r>
            <w:r w:rsidR="00315F16" w:rsidRPr="009C5EFD">
              <w:rPr>
                <w:rFonts w:eastAsia="Arial Unicode MS"/>
                <w:sz w:val="22"/>
                <w:szCs w:val="22"/>
                <w:lang w:val="en-GB"/>
              </w:rPr>
              <w:t> %</w:t>
            </w:r>
          </w:p>
        </w:tc>
        <w:tc>
          <w:tcPr>
            <w:tcW w:w="1386" w:type="pct"/>
            <w:tcMar>
              <w:top w:w="15" w:type="dxa"/>
              <w:left w:w="15" w:type="dxa"/>
              <w:bottom w:w="15" w:type="dxa"/>
              <w:right w:w="15" w:type="dxa"/>
            </w:tcMar>
            <w:hideMark/>
          </w:tcPr>
          <w:p w14:paraId="5D2BE48E"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25</w:t>
            </w:r>
            <w:r w:rsidR="00315F16" w:rsidRPr="009C5EFD">
              <w:rPr>
                <w:rFonts w:eastAsia="Arial Unicode MS"/>
                <w:sz w:val="22"/>
                <w:szCs w:val="22"/>
                <w:lang w:val="en-GB"/>
              </w:rPr>
              <w:t> %</w:t>
            </w:r>
            <w:r w:rsidRPr="009C5EFD">
              <w:rPr>
                <w:rFonts w:eastAsia="Arial Unicode MS"/>
                <w:sz w:val="22"/>
                <w:szCs w:val="22"/>
                <w:lang w:val="en-GB"/>
              </w:rPr>
              <w:t>*</w:t>
            </w:r>
          </w:p>
        </w:tc>
      </w:tr>
      <w:tr w:rsidR="004644D4" w14:paraId="685F0B65" w14:textId="77777777" w:rsidTr="001C4BD6">
        <w:trPr>
          <w:gridBefore w:val="1"/>
          <w:wBefore w:w="1805" w:type="dxa"/>
          <w:jc w:val="center"/>
        </w:trPr>
        <w:tc>
          <w:tcPr>
            <w:tcW w:w="2969" w:type="pct"/>
            <w:tcMar>
              <w:top w:w="15" w:type="dxa"/>
              <w:left w:w="15" w:type="dxa"/>
              <w:bottom w:w="15" w:type="dxa"/>
              <w:right w:w="15" w:type="dxa"/>
            </w:tcMar>
            <w:hideMark/>
          </w:tcPr>
          <w:p w14:paraId="36F031B2" w14:textId="77777777" w:rsidR="001E500F" w:rsidRPr="009C5EFD" w:rsidRDefault="00E453CD" w:rsidP="007F67EE">
            <w:pPr>
              <w:keepNext/>
              <w:tabs>
                <w:tab w:val="left" w:pos="0"/>
              </w:tabs>
              <w:rPr>
                <w:rFonts w:eastAsia="Arial Unicode MS"/>
                <w:sz w:val="22"/>
                <w:szCs w:val="22"/>
              </w:rPr>
            </w:pPr>
            <w:r w:rsidRPr="009C5EFD">
              <w:rPr>
                <w:rFonts w:eastAsia="Arial Unicode MS"/>
                <w:sz w:val="22"/>
                <w:szCs w:val="22"/>
              </w:rPr>
              <w:t xml:space="preserve">  Steroid-fri remisjon ≥ 90 dager</w:t>
            </w:r>
            <w:r w:rsidRPr="009C5EFD">
              <w:rPr>
                <w:sz w:val="22"/>
                <w:szCs w:val="22"/>
                <w:vertAlign w:val="superscript"/>
              </w:rPr>
              <w:t xml:space="preserve"> a</w:t>
            </w:r>
            <w:r w:rsidRPr="009C5EFD">
              <w:rPr>
                <w:rFonts w:eastAsia="Arial Unicode MS"/>
                <w:sz w:val="22"/>
                <w:szCs w:val="22"/>
              </w:rPr>
              <w:t xml:space="preserve"> </w:t>
            </w:r>
          </w:p>
        </w:tc>
        <w:tc>
          <w:tcPr>
            <w:tcW w:w="632" w:type="pct"/>
            <w:tcMar>
              <w:top w:w="15" w:type="dxa"/>
              <w:left w:w="15" w:type="dxa"/>
              <w:bottom w:w="15" w:type="dxa"/>
              <w:right w:w="15" w:type="dxa"/>
            </w:tcMar>
            <w:hideMark/>
          </w:tcPr>
          <w:p w14:paraId="37AF4651"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6</w:t>
            </w:r>
            <w:r w:rsidR="00315F16" w:rsidRPr="009C5EFD">
              <w:rPr>
                <w:rFonts w:eastAsia="Arial Unicode MS"/>
                <w:sz w:val="22"/>
                <w:szCs w:val="22"/>
                <w:lang w:val="en-GB"/>
              </w:rPr>
              <w:t> %</w:t>
            </w:r>
            <w:r w:rsidRPr="009C5EFD">
              <w:rPr>
                <w:rFonts w:eastAsia="Arial Unicode MS"/>
                <w:sz w:val="22"/>
                <w:szCs w:val="22"/>
                <w:lang w:val="en-GB"/>
              </w:rPr>
              <w:t xml:space="preserve"> </w:t>
            </w:r>
          </w:p>
          <w:p w14:paraId="5A29644C"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(N=140)</w:t>
            </w:r>
          </w:p>
        </w:tc>
        <w:tc>
          <w:tcPr>
            <w:tcW w:w="1386" w:type="pct"/>
            <w:tcMar>
              <w:top w:w="15" w:type="dxa"/>
              <w:left w:w="15" w:type="dxa"/>
              <w:bottom w:w="15" w:type="dxa"/>
              <w:right w:w="15" w:type="dxa"/>
            </w:tcMar>
          </w:tcPr>
          <w:p w14:paraId="00F98D68" w14:textId="77777777" w:rsidR="001E500F" w:rsidRPr="009C5EFD" w:rsidRDefault="00E453CD" w:rsidP="00C07C98">
            <w:pPr>
              <w:keepNext/>
              <w:tabs>
                <w:tab w:val="left" w:pos="0"/>
              </w:tabs>
              <w:jc w:val="center"/>
              <w:rPr>
                <w:rFonts w:eastAsia="Arial Unicode MS"/>
                <w:sz w:val="22"/>
                <w:szCs w:val="22"/>
                <w:lang w:val="en-GB"/>
              </w:rPr>
            </w:pPr>
            <w:r w:rsidRPr="009C5EFD">
              <w:rPr>
                <w:rFonts w:eastAsia="Arial Unicode MS"/>
                <w:sz w:val="22"/>
                <w:szCs w:val="22"/>
                <w:lang w:val="en-GB"/>
              </w:rPr>
              <w:t>13</w:t>
            </w:r>
            <w:r w:rsidR="00315F16" w:rsidRPr="009C5EFD">
              <w:rPr>
                <w:rFonts w:eastAsia="Arial Unicode MS"/>
                <w:sz w:val="22"/>
                <w:szCs w:val="22"/>
                <w:lang w:val="en-GB"/>
              </w:rPr>
              <w:t> %</w:t>
            </w:r>
            <w:r w:rsidRPr="009C5EFD">
              <w:rPr>
                <w:rFonts w:eastAsia="Arial Unicode MS"/>
                <w:sz w:val="22"/>
                <w:szCs w:val="22"/>
                <w:lang w:val="en-GB"/>
              </w:rPr>
              <w:t xml:space="preserve"> *</w:t>
            </w:r>
          </w:p>
          <w:p w14:paraId="00B28170" w14:textId="77777777" w:rsidR="001E500F" w:rsidRPr="009C5EFD" w:rsidRDefault="00E453CD" w:rsidP="00E14E58">
            <w:pPr>
              <w:keepNext/>
              <w:tabs>
                <w:tab w:val="left" w:pos="0"/>
              </w:tabs>
              <w:jc w:val="center"/>
              <w:rPr>
                <w:rFonts w:eastAsia="Arial Unicode MS"/>
                <w:sz w:val="22"/>
                <w:szCs w:val="22"/>
                <w:lang w:val="en-GB"/>
              </w:rPr>
            </w:pPr>
            <w:r w:rsidRPr="009C5EFD">
              <w:rPr>
                <w:rFonts w:eastAsia="Arial Unicode MS"/>
                <w:sz w:val="22"/>
                <w:szCs w:val="22"/>
                <w:lang w:val="en-GB"/>
              </w:rPr>
              <w:t>(N=150)</w:t>
            </w:r>
          </w:p>
          <w:p w14:paraId="5B1C5112" w14:textId="77777777" w:rsidR="001E500F" w:rsidRPr="009C5EFD" w:rsidRDefault="001E500F" w:rsidP="009C5EFD">
            <w:pPr>
              <w:keepNext/>
              <w:tabs>
                <w:tab w:val="left" w:pos="0"/>
              </w:tabs>
              <w:rPr>
                <w:rFonts w:eastAsia="Arial Unicode MS"/>
                <w:sz w:val="22"/>
                <w:szCs w:val="22"/>
                <w:lang w:val="en-GB"/>
              </w:rPr>
            </w:pPr>
          </w:p>
        </w:tc>
      </w:tr>
      <w:tr w:rsidR="004644D4" w14:paraId="08103BFD" w14:textId="77777777" w:rsidTr="001C4BD6">
        <w:trPr>
          <w:gridBefore w:val="1"/>
          <w:wBefore w:w="1805" w:type="dxa"/>
          <w:jc w:val="center"/>
        </w:trPr>
        <w:tc>
          <w:tcPr>
            <w:tcW w:w="2969" w:type="pct"/>
            <w:tcMar>
              <w:top w:w="15" w:type="dxa"/>
              <w:left w:w="15" w:type="dxa"/>
              <w:bottom w:w="15" w:type="dxa"/>
              <w:right w:w="15" w:type="dxa"/>
            </w:tcMar>
            <w:hideMark/>
          </w:tcPr>
          <w:p w14:paraId="214509D8"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Uke 8 og 52</w:t>
            </w:r>
          </w:p>
        </w:tc>
        <w:tc>
          <w:tcPr>
            <w:tcW w:w="632" w:type="pct"/>
            <w:tcMar>
              <w:top w:w="15" w:type="dxa"/>
              <w:left w:w="15" w:type="dxa"/>
              <w:bottom w:w="15" w:type="dxa"/>
              <w:right w:w="15" w:type="dxa"/>
            </w:tcMar>
          </w:tcPr>
          <w:p w14:paraId="70976960" w14:textId="77777777" w:rsidR="001E500F" w:rsidRPr="009C5EFD" w:rsidRDefault="001E500F" w:rsidP="00193D76">
            <w:pPr>
              <w:keepNext/>
              <w:tabs>
                <w:tab w:val="left" w:pos="0"/>
              </w:tabs>
              <w:jc w:val="center"/>
              <w:rPr>
                <w:rFonts w:eastAsia="Arial Unicode MS"/>
                <w:sz w:val="22"/>
                <w:szCs w:val="22"/>
                <w:lang w:val="en-GB"/>
              </w:rPr>
            </w:pPr>
          </w:p>
        </w:tc>
        <w:tc>
          <w:tcPr>
            <w:tcW w:w="1386" w:type="pct"/>
            <w:tcMar>
              <w:top w:w="15" w:type="dxa"/>
              <w:left w:w="15" w:type="dxa"/>
              <w:bottom w:w="15" w:type="dxa"/>
              <w:right w:w="15" w:type="dxa"/>
            </w:tcMar>
          </w:tcPr>
          <w:p w14:paraId="7BB273C5" w14:textId="77777777" w:rsidR="001E500F" w:rsidRPr="009C5EFD" w:rsidRDefault="001E500F" w:rsidP="002D0790">
            <w:pPr>
              <w:keepNext/>
              <w:tabs>
                <w:tab w:val="left" w:pos="0"/>
              </w:tabs>
              <w:jc w:val="center"/>
              <w:rPr>
                <w:rFonts w:eastAsia="Arial Unicode MS"/>
                <w:sz w:val="22"/>
                <w:szCs w:val="22"/>
                <w:lang w:val="en-GB"/>
              </w:rPr>
            </w:pPr>
          </w:p>
        </w:tc>
      </w:tr>
      <w:tr w:rsidR="004644D4" w14:paraId="6E3BDBD1" w14:textId="77777777" w:rsidTr="001C4BD6">
        <w:trPr>
          <w:gridBefore w:val="1"/>
          <w:wBefore w:w="1805" w:type="dxa"/>
          <w:jc w:val="center"/>
        </w:trPr>
        <w:tc>
          <w:tcPr>
            <w:tcW w:w="2969" w:type="pct"/>
            <w:tcMar>
              <w:top w:w="15" w:type="dxa"/>
              <w:left w:w="15" w:type="dxa"/>
              <w:bottom w:w="15" w:type="dxa"/>
              <w:right w:w="15" w:type="dxa"/>
            </w:tcMar>
            <w:hideMark/>
          </w:tcPr>
          <w:p w14:paraId="71DA1048"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 xml:space="preserve">  Vedvarende respons</w:t>
            </w:r>
          </w:p>
        </w:tc>
        <w:tc>
          <w:tcPr>
            <w:tcW w:w="632" w:type="pct"/>
            <w:tcMar>
              <w:top w:w="15" w:type="dxa"/>
              <w:left w:w="15" w:type="dxa"/>
              <w:bottom w:w="15" w:type="dxa"/>
              <w:right w:w="15" w:type="dxa"/>
            </w:tcMar>
            <w:hideMark/>
          </w:tcPr>
          <w:p w14:paraId="55AF7CE9"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12</w:t>
            </w:r>
            <w:r w:rsidR="00315F16" w:rsidRPr="009C5EFD">
              <w:rPr>
                <w:rFonts w:eastAsia="Arial Unicode MS"/>
                <w:sz w:val="22"/>
                <w:szCs w:val="22"/>
                <w:lang w:val="en-GB"/>
              </w:rPr>
              <w:t> %</w:t>
            </w:r>
          </w:p>
        </w:tc>
        <w:tc>
          <w:tcPr>
            <w:tcW w:w="1386" w:type="pct"/>
            <w:tcMar>
              <w:top w:w="15" w:type="dxa"/>
              <w:left w:w="15" w:type="dxa"/>
              <w:bottom w:w="15" w:type="dxa"/>
              <w:right w:w="15" w:type="dxa"/>
            </w:tcMar>
            <w:hideMark/>
          </w:tcPr>
          <w:p w14:paraId="4857E012"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24</w:t>
            </w:r>
            <w:r w:rsidR="00315F16" w:rsidRPr="009C5EFD">
              <w:rPr>
                <w:rFonts w:eastAsia="Arial Unicode MS"/>
                <w:sz w:val="22"/>
                <w:szCs w:val="22"/>
                <w:lang w:val="en-GB"/>
              </w:rPr>
              <w:t> %</w:t>
            </w:r>
            <w:r w:rsidRPr="009C5EFD">
              <w:rPr>
                <w:rFonts w:eastAsia="Arial Unicode MS"/>
                <w:sz w:val="22"/>
                <w:szCs w:val="22"/>
                <w:lang w:val="en-GB"/>
              </w:rPr>
              <w:t>**</w:t>
            </w:r>
          </w:p>
        </w:tc>
      </w:tr>
      <w:tr w:rsidR="004644D4" w14:paraId="4567CE3B" w14:textId="77777777" w:rsidTr="001C4BD6">
        <w:trPr>
          <w:gridBefore w:val="1"/>
          <w:wBefore w:w="1805" w:type="dxa"/>
          <w:jc w:val="center"/>
        </w:trPr>
        <w:tc>
          <w:tcPr>
            <w:tcW w:w="2969" w:type="pct"/>
            <w:tcMar>
              <w:top w:w="15" w:type="dxa"/>
              <w:left w:w="15" w:type="dxa"/>
              <w:bottom w:w="15" w:type="dxa"/>
              <w:right w:w="15" w:type="dxa"/>
            </w:tcMar>
            <w:hideMark/>
          </w:tcPr>
          <w:p w14:paraId="096CD37F"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 xml:space="preserve">  Vedvarende remisjon </w:t>
            </w:r>
          </w:p>
        </w:tc>
        <w:tc>
          <w:tcPr>
            <w:tcW w:w="632" w:type="pct"/>
            <w:tcMar>
              <w:top w:w="15" w:type="dxa"/>
              <w:left w:w="15" w:type="dxa"/>
              <w:bottom w:w="15" w:type="dxa"/>
              <w:right w:w="15" w:type="dxa"/>
            </w:tcMar>
            <w:hideMark/>
          </w:tcPr>
          <w:p w14:paraId="2EFA5846"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4</w:t>
            </w:r>
            <w:r w:rsidR="00315F16" w:rsidRPr="009C5EFD">
              <w:rPr>
                <w:rFonts w:eastAsia="Arial Unicode MS"/>
                <w:sz w:val="22"/>
                <w:szCs w:val="22"/>
                <w:lang w:val="en-GB"/>
              </w:rPr>
              <w:t> %</w:t>
            </w:r>
          </w:p>
        </w:tc>
        <w:tc>
          <w:tcPr>
            <w:tcW w:w="1386" w:type="pct"/>
            <w:tcMar>
              <w:top w:w="15" w:type="dxa"/>
              <w:left w:w="15" w:type="dxa"/>
              <w:bottom w:w="15" w:type="dxa"/>
              <w:right w:w="15" w:type="dxa"/>
            </w:tcMar>
            <w:hideMark/>
          </w:tcPr>
          <w:p w14:paraId="5519448E"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8</w:t>
            </w:r>
            <w:r w:rsidR="00315F16" w:rsidRPr="009C5EFD">
              <w:rPr>
                <w:rFonts w:eastAsia="Arial Unicode MS"/>
                <w:sz w:val="22"/>
                <w:szCs w:val="22"/>
                <w:lang w:val="en-GB"/>
              </w:rPr>
              <w:t> %</w:t>
            </w:r>
            <w:r w:rsidRPr="009C5EFD">
              <w:rPr>
                <w:rFonts w:eastAsia="Arial Unicode MS"/>
                <w:sz w:val="22"/>
                <w:szCs w:val="22"/>
                <w:lang w:val="en-GB"/>
              </w:rPr>
              <w:t>*</w:t>
            </w:r>
          </w:p>
        </w:tc>
      </w:tr>
      <w:tr w:rsidR="004644D4" w14:paraId="30C7A444" w14:textId="77777777" w:rsidTr="001C4BD6">
        <w:trPr>
          <w:gridBefore w:val="1"/>
          <w:wBefore w:w="1805" w:type="dxa"/>
          <w:jc w:val="center"/>
        </w:trPr>
        <w:tc>
          <w:tcPr>
            <w:tcW w:w="2969" w:type="pct"/>
            <w:tcBorders>
              <w:top w:val="nil"/>
              <w:left w:val="nil"/>
              <w:bottom w:val="single" w:sz="6" w:space="0" w:color="000000"/>
              <w:right w:val="nil"/>
            </w:tcBorders>
            <w:tcMar>
              <w:top w:w="15" w:type="dxa"/>
              <w:left w:w="15" w:type="dxa"/>
              <w:bottom w:w="15" w:type="dxa"/>
              <w:right w:w="15" w:type="dxa"/>
            </w:tcMar>
            <w:hideMark/>
          </w:tcPr>
          <w:p w14:paraId="3A5F94AF" w14:textId="77777777" w:rsidR="001E500F" w:rsidRPr="009C5EFD" w:rsidRDefault="00E453CD" w:rsidP="007F67EE">
            <w:pPr>
              <w:keepNext/>
              <w:tabs>
                <w:tab w:val="left" w:pos="0"/>
              </w:tabs>
              <w:rPr>
                <w:rFonts w:eastAsia="Arial Unicode MS"/>
                <w:sz w:val="22"/>
                <w:szCs w:val="22"/>
                <w:lang w:val="en-GB"/>
              </w:rPr>
            </w:pPr>
            <w:r w:rsidRPr="009C5EFD">
              <w:rPr>
                <w:rFonts w:eastAsia="Arial Unicode MS"/>
                <w:sz w:val="22"/>
                <w:szCs w:val="22"/>
                <w:lang w:val="en-GB"/>
              </w:rPr>
              <w:t xml:space="preserve">  Vedvarende tilheling av slimhinner </w:t>
            </w:r>
          </w:p>
        </w:tc>
        <w:tc>
          <w:tcPr>
            <w:tcW w:w="632" w:type="pct"/>
            <w:tcBorders>
              <w:top w:val="nil"/>
              <w:left w:val="nil"/>
              <w:bottom w:val="single" w:sz="6" w:space="0" w:color="000000"/>
              <w:right w:val="nil"/>
            </w:tcBorders>
            <w:tcMar>
              <w:top w:w="15" w:type="dxa"/>
              <w:left w:w="15" w:type="dxa"/>
              <w:bottom w:w="15" w:type="dxa"/>
              <w:right w:w="15" w:type="dxa"/>
            </w:tcMar>
            <w:hideMark/>
          </w:tcPr>
          <w:p w14:paraId="7FD7E2F3" w14:textId="77777777" w:rsidR="001E500F" w:rsidRPr="009C5EFD" w:rsidRDefault="00E453CD" w:rsidP="00193D76">
            <w:pPr>
              <w:keepNext/>
              <w:tabs>
                <w:tab w:val="left" w:pos="0"/>
              </w:tabs>
              <w:jc w:val="center"/>
              <w:rPr>
                <w:rFonts w:eastAsia="Arial Unicode MS"/>
                <w:sz w:val="22"/>
                <w:szCs w:val="22"/>
                <w:lang w:val="en-GB"/>
              </w:rPr>
            </w:pPr>
            <w:r w:rsidRPr="009C5EFD">
              <w:rPr>
                <w:rFonts w:eastAsia="Arial Unicode MS"/>
                <w:sz w:val="22"/>
                <w:szCs w:val="22"/>
                <w:lang w:val="en-GB"/>
              </w:rPr>
              <w:t>11</w:t>
            </w:r>
            <w:r w:rsidR="00315F16" w:rsidRPr="009C5EFD">
              <w:rPr>
                <w:rFonts w:eastAsia="Arial Unicode MS"/>
                <w:sz w:val="22"/>
                <w:szCs w:val="22"/>
                <w:lang w:val="en-GB"/>
              </w:rPr>
              <w:t> %</w:t>
            </w:r>
          </w:p>
        </w:tc>
        <w:tc>
          <w:tcPr>
            <w:tcW w:w="1386" w:type="pct"/>
            <w:tcBorders>
              <w:top w:val="nil"/>
              <w:left w:val="nil"/>
              <w:bottom w:val="single" w:sz="6" w:space="0" w:color="000000"/>
              <w:right w:val="nil"/>
            </w:tcBorders>
            <w:tcMar>
              <w:top w:w="15" w:type="dxa"/>
              <w:left w:w="15" w:type="dxa"/>
              <w:bottom w:w="15" w:type="dxa"/>
              <w:right w:w="15" w:type="dxa"/>
            </w:tcMar>
            <w:hideMark/>
          </w:tcPr>
          <w:p w14:paraId="182A7B44" w14:textId="77777777" w:rsidR="001E500F" w:rsidRPr="009C5EFD" w:rsidRDefault="00E453CD" w:rsidP="002D0790">
            <w:pPr>
              <w:keepNext/>
              <w:tabs>
                <w:tab w:val="left" w:pos="0"/>
              </w:tabs>
              <w:jc w:val="center"/>
              <w:rPr>
                <w:rFonts w:eastAsia="Arial Unicode MS"/>
                <w:sz w:val="22"/>
                <w:szCs w:val="22"/>
                <w:lang w:val="en-GB"/>
              </w:rPr>
            </w:pPr>
            <w:r w:rsidRPr="009C5EFD">
              <w:rPr>
                <w:rFonts w:eastAsia="Arial Unicode MS"/>
                <w:sz w:val="22"/>
                <w:szCs w:val="22"/>
                <w:lang w:val="en-GB"/>
              </w:rPr>
              <w:t>19</w:t>
            </w:r>
            <w:r w:rsidR="00315F16" w:rsidRPr="009C5EFD">
              <w:rPr>
                <w:rFonts w:eastAsia="Arial Unicode MS"/>
                <w:sz w:val="22"/>
                <w:szCs w:val="22"/>
                <w:lang w:val="en-GB"/>
              </w:rPr>
              <w:t> %</w:t>
            </w:r>
            <w:r w:rsidRPr="009C5EFD">
              <w:rPr>
                <w:rFonts w:eastAsia="Arial Unicode MS"/>
                <w:sz w:val="22"/>
                <w:szCs w:val="22"/>
                <w:lang w:val="en-GB"/>
              </w:rPr>
              <w:t>*</w:t>
            </w:r>
          </w:p>
        </w:tc>
      </w:tr>
      <w:tr w:rsidR="004644D4" w14:paraId="57933B3B" w14:textId="77777777" w:rsidTr="001C4BD6">
        <w:trPr>
          <w:gridAfter w:val="1"/>
          <w:wAfter w:w="13" w:type="dxa"/>
          <w:jc w:val="center"/>
        </w:trPr>
        <w:tc>
          <w:tcPr>
            <w:tcW w:w="4987" w:type="pct"/>
            <w:gridSpan w:val="3"/>
            <w:tcMar>
              <w:top w:w="15" w:type="dxa"/>
              <w:left w:w="15" w:type="dxa"/>
              <w:bottom w:w="15" w:type="dxa"/>
              <w:right w:w="15" w:type="dxa"/>
            </w:tcMar>
            <w:hideMark/>
          </w:tcPr>
          <w:p w14:paraId="75F57FE5" w14:textId="77777777" w:rsidR="001E500F" w:rsidRPr="009C5EFD" w:rsidRDefault="00E453CD" w:rsidP="007F67EE">
            <w:pPr>
              <w:keepNext/>
              <w:tabs>
                <w:tab w:val="left" w:pos="0"/>
              </w:tabs>
              <w:spacing w:line="264" w:lineRule="atLeast"/>
              <w:rPr>
                <w:rFonts w:eastAsia="Arial Unicode MS"/>
                <w:sz w:val="22"/>
                <w:szCs w:val="22"/>
              </w:rPr>
            </w:pPr>
            <w:r w:rsidRPr="009C5EFD">
              <w:rPr>
                <w:rFonts w:eastAsia="Arial Unicode MS"/>
                <w:sz w:val="22"/>
                <w:szCs w:val="22"/>
              </w:rPr>
              <w:t>Klinisk remisjon er Mayo score ≤ 2 med ingen subscore &gt; 1;</w:t>
            </w:r>
          </w:p>
          <w:p w14:paraId="6638610F" w14:textId="77777777" w:rsidR="001E500F" w:rsidRPr="009C5EFD" w:rsidRDefault="00E453CD" w:rsidP="00193D76">
            <w:pPr>
              <w:keepNext/>
              <w:tabs>
                <w:tab w:val="left" w:pos="0"/>
              </w:tabs>
              <w:spacing w:line="264" w:lineRule="atLeast"/>
              <w:rPr>
                <w:rFonts w:eastAsia="Arial Unicode MS"/>
                <w:sz w:val="22"/>
              </w:rPr>
            </w:pPr>
            <w:r w:rsidRPr="009C5EFD">
              <w:rPr>
                <w:rFonts w:eastAsia="Arial Unicode MS"/>
                <w:sz w:val="22"/>
              </w:rPr>
              <w:t>Klinisk respons er reduksjon fra baseline i Mayo score ≥ 3 poeng og ≥ 30 % pluss en reduksjon i rektal blødning subscore [RMS] ≥ 1 eller en absolutt RBS på 0 eller 1;</w:t>
            </w:r>
          </w:p>
          <w:p w14:paraId="1BF079CF" w14:textId="77777777" w:rsidR="001E500F" w:rsidRPr="009C5EFD" w:rsidRDefault="00E453CD" w:rsidP="002D0790">
            <w:pPr>
              <w:keepNext/>
              <w:tabs>
                <w:tab w:val="left" w:pos="0"/>
              </w:tabs>
              <w:spacing w:line="264" w:lineRule="atLeast"/>
              <w:rPr>
                <w:rFonts w:eastAsia="Arial Unicode MS"/>
                <w:sz w:val="22"/>
                <w:szCs w:val="22"/>
              </w:rPr>
            </w:pPr>
            <w:r w:rsidRPr="009C5EFD">
              <w:rPr>
                <w:rFonts w:eastAsia="Arial Unicode MS"/>
                <w:sz w:val="22"/>
              </w:rPr>
              <w:t>*</w:t>
            </w:r>
            <w:r w:rsidRPr="009C5EFD">
              <w:rPr>
                <w:rFonts w:eastAsia="Arial Unicode MS"/>
                <w:sz w:val="22"/>
                <w:szCs w:val="22"/>
              </w:rPr>
              <w:t xml:space="preserve">p &lt; 0,05 for Humira </w:t>
            </w:r>
            <w:r w:rsidRPr="009C5EFD">
              <w:rPr>
                <w:rFonts w:eastAsia="Arial Unicode MS"/>
                <w:i/>
                <w:iCs/>
                <w:sz w:val="22"/>
              </w:rPr>
              <w:t>vs.</w:t>
            </w:r>
            <w:r w:rsidRPr="009C5EFD">
              <w:rPr>
                <w:rFonts w:eastAsia="Arial Unicode MS"/>
                <w:sz w:val="22"/>
                <w:szCs w:val="22"/>
              </w:rPr>
              <w:t xml:space="preserve"> placebo, parvis sammenligning av proporsjoner </w:t>
            </w:r>
          </w:p>
          <w:p w14:paraId="737DA940" w14:textId="77777777" w:rsidR="001E500F" w:rsidRPr="009C5EFD" w:rsidRDefault="00E453CD" w:rsidP="00C07C98">
            <w:pPr>
              <w:keepNext/>
              <w:tabs>
                <w:tab w:val="left" w:pos="0"/>
              </w:tabs>
              <w:spacing w:line="264" w:lineRule="atLeast"/>
              <w:rPr>
                <w:rFonts w:eastAsia="Arial Unicode MS"/>
                <w:sz w:val="22"/>
                <w:szCs w:val="22"/>
              </w:rPr>
            </w:pPr>
            <w:r w:rsidRPr="009C5EFD">
              <w:rPr>
                <w:rFonts w:eastAsia="Arial Unicode MS"/>
                <w:sz w:val="22"/>
                <w:szCs w:val="22"/>
              </w:rPr>
              <w:t>**p &lt; 0,001 for Humira vs. placebo, parvis sammenligning av proporsjoner</w:t>
            </w:r>
          </w:p>
          <w:p w14:paraId="36D2FF27" w14:textId="77777777" w:rsidR="00A05002" w:rsidRPr="009C5EFD" w:rsidRDefault="00E453CD" w:rsidP="00E14E58">
            <w:pPr>
              <w:keepNext/>
              <w:tabs>
                <w:tab w:val="left" w:pos="0"/>
              </w:tabs>
              <w:spacing w:line="264" w:lineRule="atLeast"/>
              <w:rPr>
                <w:rFonts w:eastAsia="Arial Unicode MS"/>
                <w:b/>
                <w:sz w:val="22"/>
                <w:szCs w:val="22"/>
              </w:rPr>
            </w:pPr>
            <w:r w:rsidRPr="009C5EFD">
              <w:rPr>
                <w:rFonts w:eastAsia="Arial Unicode MS"/>
                <w:sz w:val="22"/>
                <w:szCs w:val="22"/>
                <w:vertAlign w:val="superscript"/>
              </w:rPr>
              <w:t>a</w:t>
            </w:r>
            <w:r w:rsidRPr="009C5EFD">
              <w:rPr>
                <w:rFonts w:eastAsia="Arial Unicode MS"/>
                <w:sz w:val="22"/>
                <w:szCs w:val="22"/>
              </w:rPr>
              <w:t xml:space="preserve"> Av de som mottar kortikosteroider ved baseline</w:t>
            </w:r>
          </w:p>
        </w:tc>
      </w:tr>
    </w:tbl>
    <w:p w14:paraId="46542BE3" w14:textId="77777777" w:rsidR="001E500F" w:rsidRPr="009C5EFD" w:rsidRDefault="001E500F" w:rsidP="00776A84">
      <w:pPr>
        <w:suppressAutoHyphens/>
        <w:rPr>
          <w:b/>
          <w:szCs w:val="22"/>
        </w:rPr>
      </w:pPr>
    </w:p>
    <w:p w14:paraId="26247B0F" w14:textId="77777777" w:rsidR="001E500F" w:rsidRPr="009C5EFD" w:rsidRDefault="00E453CD" w:rsidP="00193D76">
      <w:pPr>
        <w:suppressAutoHyphens/>
        <w:rPr>
          <w:sz w:val="22"/>
          <w:szCs w:val="22"/>
        </w:rPr>
      </w:pPr>
      <w:r w:rsidRPr="009C5EFD">
        <w:rPr>
          <w:sz w:val="22"/>
          <w:szCs w:val="22"/>
        </w:rPr>
        <w:t>Av de pasientene som hadde en respons i uke 8, oppnådde 47 % respons, 29 % var i remisjon, 41 % hadde tilheling av slimhinner, og 20 % var i steroidfri remisjon i ≥ 90 dager ved uke 52.</w:t>
      </w:r>
    </w:p>
    <w:p w14:paraId="6091AEE3" w14:textId="77777777" w:rsidR="001E500F" w:rsidRPr="009C5EFD" w:rsidRDefault="001E500F" w:rsidP="002D0790">
      <w:pPr>
        <w:suppressAutoHyphens/>
        <w:rPr>
          <w:sz w:val="22"/>
          <w:szCs w:val="22"/>
        </w:rPr>
      </w:pPr>
    </w:p>
    <w:p w14:paraId="4FEF1C65" w14:textId="77777777" w:rsidR="001E500F" w:rsidRPr="009C5EFD" w:rsidRDefault="00E453CD" w:rsidP="00C07C98">
      <w:pPr>
        <w:suppressAutoHyphens/>
        <w:rPr>
          <w:sz w:val="22"/>
          <w:szCs w:val="22"/>
        </w:rPr>
      </w:pPr>
      <w:r w:rsidRPr="009C5EFD">
        <w:rPr>
          <w:sz w:val="22"/>
          <w:szCs w:val="22"/>
        </w:rPr>
        <w:t>Omtrent 40</w:t>
      </w:r>
      <w:r w:rsidR="00315F16" w:rsidRPr="009C5EFD">
        <w:rPr>
          <w:sz w:val="22"/>
          <w:szCs w:val="22"/>
        </w:rPr>
        <w:t> %</w:t>
      </w:r>
      <w:r w:rsidRPr="009C5EFD">
        <w:rPr>
          <w:sz w:val="22"/>
          <w:szCs w:val="22"/>
        </w:rPr>
        <w:t xml:space="preserve"> av pasientene i studien UC-II hadde tidligere vært behandlet med TNF-antagonisten infliksimab uten tilfredsstillende effekt. Effekten av adalimumab hos disse pasientene ble redusert sammenlignet med det hos anti-TNF-naive pasienter. Blant pasienter som hadde mislyktes tidligere anti-TNF behandling, ble remisjon ved </w:t>
      </w:r>
      <w:r w:rsidR="00315F16" w:rsidRPr="009C5EFD">
        <w:rPr>
          <w:sz w:val="22"/>
          <w:szCs w:val="22"/>
        </w:rPr>
        <w:t>uke </w:t>
      </w:r>
      <w:r w:rsidRPr="009C5EFD">
        <w:rPr>
          <w:sz w:val="22"/>
          <w:szCs w:val="22"/>
        </w:rPr>
        <w:t>52 oppnådd av 3</w:t>
      </w:r>
      <w:r w:rsidR="00315F16" w:rsidRPr="009C5EFD">
        <w:rPr>
          <w:sz w:val="22"/>
          <w:szCs w:val="22"/>
        </w:rPr>
        <w:t> %</w:t>
      </w:r>
      <w:r w:rsidRPr="009C5EFD">
        <w:rPr>
          <w:sz w:val="22"/>
          <w:szCs w:val="22"/>
        </w:rPr>
        <w:t xml:space="preserve"> på placebo og 10</w:t>
      </w:r>
      <w:r w:rsidR="00315F16" w:rsidRPr="009C5EFD">
        <w:rPr>
          <w:sz w:val="22"/>
          <w:szCs w:val="22"/>
        </w:rPr>
        <w:t> %</w:t>
      </w:r>
      <w:r w:rsidRPr="009C5EFD">
        <w:rPr>
          <w:sz w:val="22"/>
          <w:szCs w:val="22"/>
        </w:rPr>
        <w:t xml:space="preserve"> på adalimumab.</w:t>
      </w:r>
    </w:p>
    <w:p w14:paraId="2321380B" w14:textId="77777777" w:rsidR="001E500F" w:rsidRPr="009C5EFD" w:rsidRDefault="001E500F" w:rsidP="00E14E58">
      <w:pPr>
        <w:suppressAutoHyphens/>
        <w:rPr>
          <w:sz w:val="22"/>
          <w:szCs w:val="22"/>
        </w:rPr>
      </w:pPr>
    </w:p>
    <w:p w14:paraId="4C6FC04F" w14:textId="77777777" w:rsidR="001E500F" w:rsidRPr="009C5EFD" w:rsidRDefault="00E453CD" w:rsidP="009C5EFD">
      <w:pPr>
        <w:suppressAutoHyphens/>
        <w:rPr>
          <w:sz w:val="22"/>
          <w:szCs w:val="22"/>
        </w:rPr>
      </w:pPr>
      <w:r w:rsidRPr="009C5EFD">
        <w:rPr>
          <w:sz w:val="22"/>
          <w:szCs w:val="22"/>
        </w:rPr>
        <w:t>Pasienter fra studiene UC-I og UC-II hadde muligheten til å gå over i en åpen langsiktig forlengelsesstudie (UC-III). Etter 3 års behandling med adalimumab, fortsatte 75 % (301/402) å være i klinisk remisjon per partiell Mayo score.</w:t>
      </w:r>
    </w:p>
    <w:p w14:paraId="76316705" w14:textId="77777777" w:rsidR="001E500F" w:rsidRPr="009C5EFD" w:rsidRDefault="001E500F" w:rsidP="009C5EFD">
      <w:pPr>
        <w:pStyle w:val="Heading8"/>
        <w:keepNext w:val="0"/>
        <w:rPr>
          <w:szCs w:val="22"/>
        </w:rPr>
      </w:pPr>
    </w:p>
    <w:p w14:paraId="604A203A" w14:textId="77777777" w:rsidR="001E500F" w:rsidRPr="009C5EFD" w:rsidRDefault="00E453CD" w:rsidP="00776A84">
      <w:pPr>
        <w:keepNext/>
        <w:rPr>
          <w:sz w:val="22"/>
          <w:szCs w:val="22"/>
          <w:u w:val="single"/>
        </w:rPr>
      </w:pPr>
      <w:r w:rsidRPr="009C5EFD">
        <w:rPr>
          <w:i/>
          <w:sz w:val="22"/>
          <w:szCs w:val="22"/>
          <w:u w:val="single"/>
        </w:rPr>
        <w:t>Forekomst av sykehusinnleggelser</w:t>
      </w:r>
    </w:p>
    <w:p w14:paraId="16C34330" w14:textId="77777777" w:rsidR="001E500F" w:rsidRPr="009C5EFD" w:rsidRDefault="001E500F" w:rsidP="00776A84">
      <w:pPr>
        <w:keepNext/>
        <w:rPr>
          <w:sz w:val="22"/>
          <w:szCs w:val="22"/>
        </w:rPr>
      </w:pPr>
    </w:p>
    <w:p w14:paraId="5BF5546A" w14:textId="77777777" w:rsidR="001E500F" w:rsidRPr="009C5EFD" w:rsidRDefault="00E453CD" w:rsidP="009C5EFD">
      <w:pPr>
        <w:rPr>
          <w:sz w:val="22"/>
          <w:szCs w:val="22"/>
        </w:rPr>
      </w:pPr>
      <w:r w:rsidRPr="009C5EFD">
        <w:rPr>
          <w:sz w:val="22"/>
          <w:szCs w:val="22"/>
        </w:rPr>
        <w:t>I løpet av 52 uker i studiene UC-I og UC-II, ble det observert lavere forekomst av sykehusinnleggelser uansett årsak og UC-relaterte sykehusinnleggelser for behandlingsgruppen som fikk adalimumab sammenlignet med placebogruppen. Antall sykehusinnleggelser uansett årsak i adalimumabgruppen var 0,18</w:t>
      </w:r>
      <w:r w:rsidR="00A05002" w:rsidRPr="009C5EFD">
        <w:rPr>
          <w:sz w:val="22"/>
          <w:szCs w:val="22"/>
        </w:rPr>
        <w:t> </w:t>
      </w:r>
      <w:r w:rsidRPr="009C5EFD">
        <w:rPr>
          <w:sz w:val="22"/>
          <w:szCs w:val="22"/>
        </w:rPr>
        <w:t xml:space="preserve">per pasientår </w:t>
      </w:r>
      <w:r w:rsidRPr="009C5EFD">
        <w:rPr>
          <w:i/>
          <w:sz w:val="22"/>
          <w:szCs w:val="22"/>
        </w:rPr>
        <w:t>vs</w:t>
      </w:r>
      <w:r w:rsidRPr="009C5EFD">
        <w:rPr>
          <w:sz w:val="22"/>
          <w:szCs w:val="22"/>
        </w:rPr>
        <w:t>. 0,26</w:t>
      </w:r>
      <w:r w:rsidR="00A05002" w:rsidRPr="009C5EFD">
        <w:rPr>
          <w:sz w:val="22"/>
          <w:szCs w:val="22"/>
        </w:rPr>
        <w:t> </w:t>
      </w:r>
      <w:r w:rsidRPr="009C5EFD">
        <w:rPr>
          <w:sz w:val="22"/>
          <w:szCs w:val="22"/>
        </w:rPr>
        <w:t>per pasientår i placebogruppen og tilsvarende utfall for UC-relaterte sykehusinnleggelser var 0,12</w:t>
      </w:r>
      <w:r w:rsidR="00A05002" w:rsidRPr="009C5EFD">
        <w:rPr>
          <w:sz w:val="22"/>
          <w:szCs w:val="22"/>
        </w:rPr>
        <w:t> </w:t>
      </w:r>
      <w:r w:rsidRPr="009C5EFD">
        <w:rPr>
          <w:sz w:val="22"/>
          <w:szCs w:val="22"/>
        </w:rPr>
        <w:t xml:space="preserve">per pasientår </w:t>
      </w:r>
      <w:r w:rsidRPr="009C5EFD">
        <w:rPr>
          <w:i/>
          <w:sz w:val="22"/>
          <w:szCs w:val="22"/>
        </w:rPr>
        <w:t>vs</w:t>
      </w:r>
      <w:r w:rsidRPr="009C5EFD">
        <w:rPr>
          <w:sz w:val="22"/>
          <w:szCs w:val="22"/>
        </w:rPr>
        <w:t>. 0,22</w:t>
      </w:r>
      <w:r w:rsidR="00A05002" w:rsidRPr="009C5EFD">
        <w:rPr>
          <w:sz w:val="22"/>
          <w:szCs w:val="22"/>
        </w:rPr>
        <w:t> </w:t>
      </w:r>
      <w:r w:rsidRPr="009C5EFD">
        <w:rPr>
          <w:sz w:val="22"/>
          <w:szCs w:val="22"/>
        </w:rPr>
        <w:t>per pasientår.</w:t>
      </w:r>
    </w:p>
    <w:p w14:paraId="6DB44763" w14:textId="77777777" w:rsidR="001E500F" w:rsidRPr="009C5EFD" w:rsidRDefault="001E500F" w:rsidP="009C5EFD">
      <w:pPr>
        <w:rPr>
          <w:sz w:val="22"/>
          <w:szCs w:val="22"/>
        </w:rPr>
      </w:pPr>
    </w:p>
    <w:p w14:paraId="38239BD9" w14:textId="77777777" w:rsidR="001E500F" w:rsidRPr="009C5EFD" w:rsidRDefault="00E453CD" w:rsidP="009C5EFD">
      <w:pPr>
        <w:keepNext/>
        <w:rPr>
          <w:i/>
          <w:sz w:val="22"/>
          <w:szCs w:val="22"/>
          <w:u w:val="single"/>
        </w:rPr>
      </w:pPr>
      <w:r w:rsidRPr="009C5EFD">
        <w:rPr>
          <w:i/>
          <w:sz w:val="22"/>
          <w:szCs w:val="22"/>
          <w:u w:val="single"/>
        </w:rPr>
        <w:t>Livskvalitet</w:t>
      </w:r>
    </w:p>
    <w:p w14:paraId="491EA97A" w14:textId="77777777" w:rsidR="001E500F" w:rsidRPr="009C5EFD" w:rsidRDefault="001E500F" w:rsidP="009C5EFD">
      <w:pPr>
        <w:keepNext/>
        <w:rPr>
          <w:sz w:val="22"/>
          <w:szCs w:val="22"/>
        </w:rPr>
      </w:pPr>
    </w:p>
    <w:p w14:paraId="38587866" w14:textId="77777777" w:rsidR="001E500F" w:rsidRDefault="00E453CD" w:rsidP="00776A84">
      <w:pPr>
        <w:rPr>
          <w:sz w:val="22"/>
          <w:szCs w:val="22"/>
        </w:rPr>
      </w:pPr>
      <w:r w:rsidRPr="009C5EFD">
        <w:rPr>
          <w:sz w:val="22"/>
          <w:szCs w:val="22"/>
        </w:rPr>
        <w:t>Behandling med adalimumab, i studien UC-II, førte til forbedring i IBDQ (Inflammatory Bowel Disease Questionnaire) score.</w:t>
      </w:r>
    </w:p>
    <w:p w14:paraId="350FBB0B" w14:textId="77777777" w:rsidR="00F75AD6" w:rsidRDefault="00F75AD6" w:rsidP="00776A84">
      <w:pPr>
        <w:rPr>
          <w:sz w:val="22"/>
          <w:szCs w:val="22"/>
        </w:rPr>
      </w:pPr>
    </w:p>
    <w:p w14:paraId="3787749B" w14:textId="77777777" w:rsidR="00F75AD6" w:rsidRPr="00F05EB5" w:rsidRDefault="00E453CD" w:rsidP="00F75AD6">
      <w:pPr>
        <w:pStyle w:val="EMEANormal"/>
        <w:keepNext/>
        <w:rPr>
          <w:bCs/>
          <w:i/>
          <w:szCs w:val="22"/>
          <w:lang w:val="nb-NO"/>
        </w:rPr>
      </w:pPr>
      <w:r w:rsidRPr="00F05EB5">
        <w:rPr>
          <w:bCs/>
          <w:i/>
          <w:szCs w:val="22"/>
          <w:lang w:val="nb-NO"/>
        </w:rPr>
        <w:lastRenderedPageBreak/>
        <w:t>Uveitt</w:t>
      </w:r>
    </w:p>
    <w:p w14:paraId="62912F74" w14:textId="77777777" w:rsidR="00F75AD6" w:rsidRPr="00F05EB5" w:rsidRDefault="00F75AD6" w:rsidP="00F75AD6">
      <w:pPr>
        <w:pStyle w:val="EMEANormal"/>
        <w:keepNext/>
        <w:rPr>
          <w:bCs/>
          <w:szCs w:val="22"/>
          <w:lang w:val="nb-NO"/>
        </w:rPr>
      </w:pPr>
    </w:p>
    <w:p w14:paraId="76D66A7A" w14:textId="77777777" w:rsidR="00F75AD6" w:rsidRPr="00126088" w:rsidRDefault="00E453CD" w:rsidP="00F75AD6">
      <w:pPr>
        <w:pStyle w:val="EMEANormal"/>
        <w:rPr>
          <w:szCs w:val="22"/>
          <w:lang w:val="nb-NO"/>
        </w:rPr>
      </w:pPr>
      <w:r w:rsidRPr="00126088">
        <w:rPr>
          <w:szCs w:val="22"/>
          <w:lang w:val="nb-NO"/>
        </w:rPr>
        <w:t>I</w:t>
      </w:r>
      <w:r w:rsidRPr="00B33BB5">
        <w:rPr>
          <w:szCs w:val="22"/>
          <w:lang w:val="nb-NO"/>
        </w:rPr>
        <w:t xml:space="preserve"> t</w:t>
      </w:r>
      <w:r w:rsidRPr="00E06CB6">
        <w:rPr>
          <w:szCs w:val="22"/>
          <w:lang w:val="nb-NO"/>
        </w:rPr>
        <w:t>o randomise</w:t>
      </w:r>
      <w:r>
        <w:rPr>
          <w:szCs w:val="22"/>
          <w:lang w:val="nb-NO"/>
        </w:rPr>
        <w:t>rte</w:t>
      </w:r>
      <w:r w:rsidRPr="00B33BB5">
        <w:rPr>
          <w:szCs w:val="22"/>
          <w:lang w:val="nb-NO"/>
        </w:rPr>
        <w:t xml:space="preserve">, </w:t>
      </w:r>
      <w:r>
        <w:rPr>
          <w:szCs w:val="22"/>
          <w:lang w:val="nb-NO"/>
        </w:rPr>
        <w:t>dobbeltblinde</w:t>
      </w:r>
      <w:r w:rsidRPr="00B33BB5">
        <w:rPr>
          <w:szCs w:val="22"/>
          <w:lang w:val="nb-NO"/>
        </w:rPr>
        <w:t>, placebo</w:t>
      </w:r>
      <w:r>
        <w:rPr>
          <w:szCs w:val="22"/>
          <w:lang w:val="nb-NO"/>
        </w:rPr>
        <w:t>kontrollerte</w:t>
      </w:r>
      <w:r w:rsidRPr="00B33BB5">
        <w:rPr>
          <w:szCs w:val="22"/>
          <w:lang w:val="nb-NO"/>
        </w:rPr>
        <w:t xml:space="preserve"> studie</w:t>
      </w:r>
      <w:r>
        <w:rPr>
          <w:szCs w:val="22"/>
          <w:lang w:val="nb-NO"/>
        </w:rPr>
        <w:t>r</w:t>
      </w:r>
      <w:r w:rsidRPr="00B33BB5">
        <w:rPr>
          <w:szCs w:val="22"/>
          <w:lang w:val="nb-NO"/>
        </w:rPr>
        <w:t xml:space="preserve"> (UV I </w:t>
      </w:r>
      <w:r>
        <w:rPr>
          <w:szCs w:val="22"/>
          <w:lang w:val="nb-NO"/>
        </w:rPr>
        <w:t>og</w:t>
      </w:r>
      <w:r w:rsidRPr="00B33BB5">
        <w:rPr>
          <w:szCs w:val="22"/>
          <w:lang w:val="nb-NO"/>
        </w:rPr>
        <w:t xml:space="preserve"> II)</w:t>
      </w:r>
      <w:r>
        <w:rPr>
          <w:szCs w:val="22"/>
          <w:lang w:val="nb-NO"/>
        </w:rPr>
        <w:t xml:space="preserve"> ble s</w:t>
      </w:r>
      <w:r w:rsidRPr="00126088">
        <w:rPr>
          <w:szCs w:val="22"/>
          <w:lang w:val="nb-NO"/>
        </w:rPr>
        <w:t xml:space="preserve">ikkerhet og effekt av Humira vurdert hos voksne pasienter med ikke-infeksiøs intermediær, posterior </w:t>
      </w:r>
      <w:r>
        <w:rPr>
          <w:szCs w:val="22"/>
          <w:lang w:val="nb-NO"/>
        </w:rPr>
        <w:t>og</w:t>
      </w:r>
      <w:r w:rsidRPr="00E06CB6">
        <w:rPr>
          <w:szCs w:val="22"/>
          <w:lang w:val="nb-NO"/>
        </w:rPr>
        <w:t xml:space="preserve"> panuvei</w:t>
      </w:r>
      <w:r>
        <w:rPr>
          <w:szCs w:val="22"/>
          <w:lang w:val="nb-NO"/>
        </w:rPr>
        <w:t>tt</w:t>
      </w:r>
      <w:r w:rsidRPr="00126088">
        <w:rPr>
          <w:szCs w:val="22"/>
          <w:lang w:val="nb-NO"/>
        </w:rPr>
        <w:t xml:space="preserve">, </w:t>
      </w:r>
      <w:r>
        <w:rPr>
          <w:szCs w:val="22"/>
          <w:lang w:val="nb-NO"/>
        </w:rPr>
        <w:t>med unntak av pasienter med isolert</w:t>
      </w:r>
      <w:r w:rsidRPr="00E06CB6">
        <w:rPr>
          <w:szCs w:val="22"/>
          <w:lang w:val="nb-NO"/>
        </w:rPr>
        <w:t xml:space="preserve"> anterior uvei</w:t>
      </w:r>
      <w:r>
        <w:rPr>
          <w:szCs w:val="22"/>
          <w:lang w:val="nb-NO"/>
        </w:rPr>
        <w:t>tt</w:t>
      </w:r>
      <w:r w:rsidRPr="00126088">
        <w:rPr>
          <w:szCs w:val="22"/>
          <w:lang w:val="nb-NO"/>
        </w:rPr>
        <w:t>. Pasienter fikk placebo eller Humira med en oppstartsdose på 80 mg</w:t>
      </w:r>
      <w:r w:rsidR="00ED6099">
        <w:rPr>
          <w:szCs w:val="22"/>
          <w:lang w:val="nb-NO"/>
        </w:rPr>
        <w:t>,</w:t>
      </w:r>
      <w:r w:rsidRPr="00126088">
        <w:rPr>
          <w:szCs w:val="22"/>
          <w:lang w:val="nb-NO"/>
        </w:rPr>
        <w:t xml:space="preserve"> etterfulgt av 40 mg </w:t>
      </w:r>
      <w:r>
        <w:rPr>
          <w:szCs w:val="22"/>
          <w:lang w:val="nb-NO"/>
        </w:rPr>
        <w:t xml:space="preserve">annenhver uke med start </w:t>
      </w:r>
      <w:r w:rsidR="00B873CB">
        <w:rPr>
          <w:szCs w:val="22"/>
          <w:lang w:val="nb-NO"/>
        </w:rPr>
        <w:t>é</w:t>
      </w:r>
      <w:r>
        <w:rPr>
          <w:szCs w:val="22"/>
          <w:lang w:val="nb-NO"/>
        </w:rPr>
        <w:t>n uke etter oppstartsdosen</w:t>
      </w:r>
      <w:r w:rsidRPr="00126088">
        <w:rPr>
          <w:szCs w:val="22"/>
          <w:lang w:val="nb-NO"/>
        </w:rPr>
        <w:t xml:space="preserve">. Samtidig </w:t>
      </w:r>
      <w:r>
        <w:rPr>
          <w:szCs w:val="22"/>
          <w:lang w:val="nb-NO"/>
        </w:rPr>
        <w:t>behandling med</w:t>
      </w:r>
      <w:r w:rsidRPr="00AE151F">
        <w:rPr>
          <w:szCs w:val="22"/>
          <w:lang w:val="nb-NO"/>
        </w:rPr>
        <w:t xml:space="preserve"> stabile doser av e</w:t>
      </w:r>
      <w:r>
        <w:rPr>
          <w:szCs w:val="22"/>
          <w:lang w:val="nb-NO"/>
        </w:rPr>
        <w:t>tt</w:t>
      </w:r>
      <w:r w:rsidRPr="00126088">
        <w:rPr>
          <w:szCs w:val="22"/>
          <w:lang w:val="nb-NO"/>
        </w:rPr>
        <w:t xml:space="preserve"> ikke-biologisk </w:t>
      </w:r>
      <w:r>
        <w:rPr>
          <w:szCs w:val="22"/>
          <w:lang w:val="nb-NO"/>
        </w:rPr>
        <w:t>immun</w:t>
      </w:r>
      <w:r w:rsidRPr="00AE151F">
        <w:rPr>
          <w:szCs w:val="22"/>
          <w:lang w:val="nb-NO"/>
        </w:rPr>
        <w:t>suppressivt legemiddel</w:t>
      </w:r>
      <w:r>
        <w:rPr>
          <w:szCs w:val="22"/>
          <w:lang w:val="nb-NO"/>
        </w:rPr>
        <w:t xml:space="preserve"> var tillatt</w:t>
      </w:r>
      <w:r w:rsidRPr="00126088">
        <w:rPr>
          <w:szCs w:val="22"/>
          <w:lang w:val="nb-NO"/>
        </w:rPr>
        <w:t xml:space="preserve">. </w:t>
      </w:r>
    </w:p>
    <w:p w14:paraId="1ABFB565" w14:textId="77777777" w:rsidR="00F75AD6" w:rsidRPr="00126088" w:rsidRDefault="00F75AD6" w:rsidP="00F75AD6">
      <w:pPr>
        <w:pStyle w:val="EMEANormal"/>
        <w:rPr>
          <w:szCs w:val="22"/>
          <w:lang w:val="nb-NO"/>
        </w:rPr>
      </w:pPr>
    </w:p>
    <w:p w14:paraId="479EACE5" w14:textId="77777777" w:rsidR="00F75AD6" w:rsidRPr="00126088" w:rsidRDefault="00E453CD" w:rsidP="00F75AD6">
      <w:pPr>
        <w:pStyle w:val="EMEANormal"/>
        <w:rPr>
          <w:szCs w:val="22"/>
          <w:lang w:val="nb-NO"/>
        </w:rPr>
      </w:pPr>
      <w:r w:rsidRPr="00126088">
        <w:rPr>
          <w:szCs w:val="22"/>
          <w:lang w:val="nb-NO"/>
        </w:rPr>
        <w:t xml:space="preserve">Studie UV I undersøkte 217 pasienter med </w:t>
      </w:r>
      <w:r>
        <w:rPr>
          <w:szCs w:val="22"/>
          <w:lang w:val="nb-NO"/>
        </w:rPr>
        <w:t>aktiv uveitt</w:t>
      </w:r>
      <w:r w:rsidRPr="00126088">
        <w:rPr>
          <w:szCs w:val="22"/>
          <w:lang w:val="nb-NO"/>
        </w:rPr>
        <w:t xml:space="preserve"> </w:t>
      </w:r>
      <w:r>
        <w:rPr>
          <w:szCs w:val="22"/>
          <w:lang w:val="nb-NO"/>
        </w:rPr>
        <w:t>til tross for behandling med kortikosteroider</w:t>
      </w:r>
      <w:r w:rsidRPr="00AE151F">
        <w:rPr>
          <w:szCs w:val="22"/>
          <w:lang w:val="nb-NO"/>
        </w:rPr>
        <w:t xml:space="preserve"> (oral prednison</w:t>
      </w:r>
      <w:r w:rsidRPr="00126088">
        <w:rPr>
          <w:szCs w:val="22"/>
          <w:lang w:val="nb-NO"/>
        </w:rPr>
        <w:t xml:space="preserve"> </w:t>
      </w:r>
      <w:r>
        <w:rPr>
          <w:szCs w:val="22"/>
          <w:lang w:val="nb-NO"/>
        </w:rPr>
        <w:t>i en</w:t>
      </w:r>
      <w:r w:rsidRPr="00126088">
        <w:rPr>
          <w:szCs w:val="22"/>
          <w:lang w:val="nb-NO"/>
        </w:rPr>
        <w:t xml:space="preserve"> dose </w:t>
      </w:r>
      <w:r>
        <w:rPr>
          <w:szCs w:val="22"/>
          <w:lang w:val="nb-NO"/>
        </w:rPr>
        <w:t>på</w:t>
      </w:r>
      <w:r w:rsidRPr="00126088">
        <w:rPr>
          <w:szCs w:val="22"/>
          <w:lang w:val="nb-NO"/>
        </w:rPr>
        <w:t xml:space="preserve"> 10</w:t>
      </w:r>
      <w:r>
        <w:rPr>
          <w:szCs w:val="22"/>
          <w:lang w:val="nb-NO"/>
        </w:rPr>
        <w:t>-</w:t>
      </w:r>
      <w:r w:rsidRPr="00AE151F">
        <w:rPr>
          <w:szCs w:val="22"/>
          <w:lang w:val="nb-NO"/>
        </w:rPr>
        <w:t>60 mg/da</w:t>
      </w:r>
      <w:r>
        <w:rPr>
          <w:szCs w:val="22"/>
          <w:lang w:val="nb-NO"/>
        </w:rPr>
        <w:t>g</w:t>
      </w:r>
      <w:r w:rsidRPr="00126088">
        <w:rPr>
          <w:szCs w:val="22"/>
          <w:lang w:val="nb-NO"/>
        </w:rPr>
        <w:t xml:space="preserve">). </w:t>
      </w:r>
      <w:r>
        <w:rPr>
          <w:szCs w:val="22"/>
          <w:lang w:val="nb-NO"/>
        </w:rPr>
        <w:t>V</w:t>
      </w:r>
      <w:r w:rsidRPr="00620CBF">
        <w:rPr>
          <w:szCs w:val="22"/>
          <w:lang w:val="nb-NO"/>
        </w:rPr>
        <w:t xml:space="preserve">ed </w:t>
      </w:r>
      <w:r>
        <w:rPr>
          <w:szCs w:val="22"/>
          <w:lang w:val="nb-NO"/>
        </w:rPr>
        <w:t>studiestart</w:t>
      </w:r>
      <w:r w:rsidRPr="00620CBF">
        <w:rPr>
          <w:szCs w:val="22"/>
          <w:lang w:val="nb-NO"/>
        </w:rPr>
        <w:t xml:space="preserve"> </w:t>
      </w:r>
      <w:r>
        <w:rPr>
          <w:szCs w:val="22"/>
          <w:lang w:val="nb-NO"/>
        </w:rPr>
        <w:t>fikk a</w:t>
      </w:r>
      <w:r w:rsidRPr="00126088">
        <w:rPr>
          <w:szCs w:val="22"/>
          <w:lang w:val="nb-NO"/>
        </w:rPr>
        <w:t xml:space="preserve">lle pasientene </w:t>
      </w:r>
      <w:r>
        <w:rPr>
          <w:szCs w:val="22"/>
          <w:lang w:val="nb-NO"/>
        </w:rPr>
        <w:t>e</w:t>
      </w:r>
      <w:r w:rsidRPr="00126088">
        <w:rPr>
          <w:szCs w:val="22"/>
          <w:lang w:val="nb-NO"/>
        </w:rPr>
        <w:t>n standar</w:t>
      </w:r>
      <w:r>
        <w:rPr>
          <w:szCs w:val="22"/>
          <w:lang w:val="nb-NO"/>
        </w:rPr>
        <w:t>d</w:t>
      </w:r>
      <w:r w:rsidRPr="00126088">
        <w:rPr>
          <w:szCs w:val="22"/>
          <w:lang w:val="nb-NO"/>
        </w:rPr>
        <w:t xml:space="preserve"> dose av prednison 60 mg/dag </w:t>
      </w:r>
      <w:r>
        <w:rPr>
          <w:szCs w:val="22"/>
          <w:lang w:val="nb-NO"/>
        </w:rPr>
        <w:t xml:space="preserve">i 2 uker, </w:t>
      </w:r>
      <w:r w:rsidRPr="00023DE1">
        <w:rPr>
          <w:szCs w:val="22"/>
          <w:lang w:val="nb-NO"/>
        </w:rPr>
        <w:t>etterfulgt av e</w:t>
      </w:r>
      <w:r>
        <w:rPr>
          <w:szCs w:val="22"/>
          <w:lang w:val="nb-NO"/>
        </w:rPr>
        <w:t>t</w:t>
      </w:r>
      <w:r w:rsidRPr="00126088">
        <w:rPr>
          <w:szCs w:val="22"/>
          <w:lang w:val="nb-NO"/>
        </w:rPr>
        <w:t xml:space="preserve"> </w:t>
      </w:r>
      <w:r>
        <w:rPr>
          <w:szCs w:val="22"/>
          <w:lang w:val="nb-NO"/>
        </w:rPr>
        <w:t>obligatorisk</w:t>
      </w:r>
      <w:r w:rsidRPr="00126088">
        <w:rPr>
          <w:szCs w:val="22"/>
          <w:lang w:val="nb-NO"/>
        </w:rPr>
        <w:t xml:space="preserve"> </w:t>
      </w:r>
      <w:r>
        <w:rPr>
          <w:szCs w:val="22"/>
          <w:lang w:val="nb-NO"/>
        </w:rPr>
        <w:t>nedtrappingsregime</w:t>
      </w:r>
      <w:r w:rsidRPr="00126088">
        <w:rPr>
          <w:szCs w:val="22"/>
          <w:lang w:val="nb-NO"/>
        </w:rPr>
        <w:t xml:space="preserve"> </w:t>
      </w:r>
      <w:r>
        <w:rPr>
          <w:szCs w:val="22"/>
          <w:lang w:val="nb-NO"/>
        </w:rPr>
        <w:t xml:space="preserve">med fullstendig seponering av kortikosteroider ved uke </w:t>
      </w:r>
      <w:r w:rsidRPr="00126088">
        <w:rPr>
          <w:szCs w:val="22"/>
          <w:lang w:val="nb-NO"/>
        </w:rPr>
        <w:t>15</w:t>
      </w:r>
      <w:r>
        <w:rPr>
          <w:szCs w:val="22"/>
          <w:lang w:val="nb-NO"/>
        </w:rPr>
        <w:t>.</w:t>
      </w:r>
    </w:p>
    <w:p w14:paraId="2D5BB8CA" w14:textId="77777777" w:rsidR="00F75AD6" w:rsidRPr="00126088" w:rsidRDefault="00F75AD6" w:rsidP="00F75AD6">
      <w:pPr>
        <w:pStyle w:val="EMEANormal"/>
        <w:rPr>
          <w:szCs w:val="22"/>
          <w:lang w:val="nb-NO"/>
        </w:rPr>
      </w:pPr>
    </w:p>
    <w:p w14:paraId="32CCF0EE" w14:textId="77777777" w:rsidR="00F75AD6" w:rsidRPr="00126088" w:rsidRDefault="00E453CD" w:rsidP="00F75AD6">
      <w:pPr>
        <w:pStyle w:val="EMEANormal"/>
        <w:rPr>
          <w:szCs w:val="22"/>
          <w:lang w:val="nb-NO"/>
        </w:rPr>
      </w:pPr>
      <w:r w:rsidRPr="00126088">
        <w:rPr>
          <w:szCs w:val="22"/>
          <w:lang w:val="nb-NO"/>
        </w:rPr>
        <w:t>Studie UV II undersøkte 226 pasienter med inaktiv uveitt</w:t>
      </w:r>
      <w:r>
        <w:rPr>
          <w:szCs w:val="22"/>
          <w:lang w:val="nb-NO"/>
        </w:rPr>
        <w:t>,</w:t>
      </w:r>
      <w:r w:rsidRPr="00126088">
        <w:rPr>
          <w:szCs w:val="22"/>
          <w:lang w:val="nb-NO"/>
        </w:rPr>
        <w:t xml:space="preserve"> som </w:t>
      </w:r>
      <w:r>
        <w:rPr>
          <w:szCs w:val="22"/>
          <w:lang w:val="nb-NO"/>
        </w:rPr>
        <w:t>krever kronisk</w:t>
      </w:r>
      <w:r w:rsidRPr="00126088">
        <w:rPr>
          <w:szCs w:val="22"/>
          <w:lang w:val="nb-NO"/>
        </w:rPr>
        <w:t xml:space="preserve"> </w:t>
      </w:r>
      <w:r>
        <w:rPr>
          <w:szCs w:val="22"/>
          <w:lang w:val="nb-NO"/>
        </w:rPr>
        <w:t>behandling med kortikosteroider (oral prednison 10-</w:t>
      </w:r>
      <w:r w:rsidRPr="00023DE1">
        <w:rPr>
          <w:szCs w:val="22"/>
          <w:lang w:val="nb-NO"/>
        </w:rPr>
        <w:t>35 mg/da</w:t>
      </w:r>
      <w:r>
        <w:rPr>
          <w:szCs w:val="22"/>
          <w:lang w:val="nb-NO"/>
        </w:rPr>
        <w:t>g</w:t>
      </w:r>
      <w:r w:rsidRPr="00023DE1">
        <w:rPr>
          <w:szCs w:val="22"/>
          <w:lang w:val="nb-NO"/>
        </w:rPr>
        <w:t xml:space="preserve">) </w:t>
      </w:r>
      <w:r>
        <w:rPr>
          <w:szCs w:val="22"/>
          <w:lang w:val="nb-NO"/>
        </w:rPr>
        <w:t>ved</w:t>
      </w:r>
      <w:r w:rsidRPr="00126088">
        <w:rPr>
          <w:szCs w:val="22"/>
          <w:lang w:val="nb-NO"/>
        </w:rPr>
        <w:t xml:space="preserve"> baseline </w:t>
      </w:r>
      <w:r>
        <w:rPr>
          <w:szCs w:val="22"/>
          <w:lang w:val="nb-NO"/>
        </w:rPr>
        <w:t>for å kontrollere sykdom</w:t>
      </w:r>
      <w:r w:rsidR="00B873CB">
        <w:rPr>
          <w:szCs w:val="22"/>
          <w:lang w:val="nb-NO"/>
        </w:rPr>
        <w:t>men</w:t>
      </w:r>
      <w:r w:rsidRPr="00126088">
        <w:rPr>
          <w:szCs w:val="22"/>
          <w:lang w:val="nb-NO"/>
        </w:rPr>
        <w:t>. Pasientene gjennomgikk deretter e</w:t>
      </w:r>
      <w:r w:rsidRPr="00332163">
        <w:rPr>
          <w:szCs w:val="22"/>
          <w:lang w:val="nb-NO"/>
        </w:rPr>
        <w:t>t obligatoisk nedtrappings</w:t>
      </w:r>
      <w:r>
        <w:rPr>
          <w:szCs w:val="22"/>
          <w:lang w:val="nb-NO"/>
        </w:rPr>
        <w:t>regime</w:t>
      </w:r>
      <w:r w:rsidRPr="00126088">
        <w:rPr>
          <w:szCs w:val="22"/>
          <w:lang w:val="nb-NO"/>
        </w:rPr>
        <w:t xml:space="preserve"> med </w:t>
      </w:r>
      <w:r>
        <w:rPr>
          <w:szCs w:val="22"/>
          <w:lang w:val="nb-NO"/>
        </w:rPr>
        <w:t>fullstendig seponering av kortikosteroider ved uke 19</w:t>
      </w:r>
      <w:r w:rsidRPr="00126088">
        <w:rPr>
          <w:szCs w:val="22"/>
          <w:lang w:val="nb-NO"/>
        </w:rPr>
        <w:t xml:space="preserve">. </w:t>
      </w:r>
    </w:p>
    <w:p w14:paraId="7B43A23D" w14:textId="77777777" w:rsidR="00F75AD6" w:rsidRPr="00126088" w:rsidRDefault="00F75AD6" w:rsidP="00F75AD6">
      <w:pPr>
        <w:pStyle w:val="EMEANormal"/>
        <w:rPr>
          <w:szCs w:val="22"/>
          <w:lang w:val="nb-NO"/>
        </w:rPr>
      </w:pPr>
    </w:p>
    <w:p w14:paraId="6CB3FECF" w14:textId="77777777" w:rsidR="00F75AD6" w:rsidRPr="00B23621" w:rsidRDefault="00E453CD" w:rsidP="00F75AD6">
      <w:pPr>
        <w:pStyle w:val="EMEANormal"/>
        <w:rPr>
          <w:szCs w:val="22"/>
          <w:lang w:val="nb-NO"/>
        </w:rPr>
      </w:pPr>
      <w:r>
        <w:rPr>
          <w:szCs w:val="22"/>
          <w:lang w:val="nb-NO"/>
        </w:rPr>
        <w:t>P</w:t>
      </w:r>
      <w:r w:rsidRPr="00B23621">
        <w:rPr>
          <w:szCs w:val="22"/>
          <w:lang w:val="nb-NO"/>
        </w:rPr>
        <w:t xml:space="preserve">rimærendpunktet </w:t>
      </w:r>
      <w:r>
        <w:rPr>
          <w:szCs w:val="22"/>
          <w:lang w:val="nb-NO"/>
        </w:rPr>
        <w:t>i</w:t>
      </w:r>
      <w:r w:rsidRPr="00B23621">
        <w:rPr>
          <w:szCs w:val="22"/>
          <w:lang w:val="nb-NO"/>
        </w:rPr>
        <w:t xml:space="preserve"> begge studier var </w:t>
      </w:r>
      <w:r w:rsidR="00D57009">
        <w:rPr>
          <w:szCs w:val="22"/>
          <w:lang w:val="nb-NO"/>
        </w:rPr>
        <w:t>«</w:t>
      </w:r>
      <w:r w:rsidRPr="00B23621">
        <w:rPr>
          <w:szCs w:val="22"/>
          <w:lang w:val="nb-NO"/>
        </w:rPr>
        <w:t xml:space="preserve">tid til </w:t>
      </w:r>
      <w:r>
        <w:rPr>
          <w:szCs w:val="22"/>
          <w:lang w:val="nb-NO"/>
        </w:rPr>
        <w:t>behandlingssvikt’</w:t>
      </w:r>
      <w:r w:rsidRPr="00B23621">
        <w:rPr>
          <w:szCs w:val="22"/>
          <w:lang w:val="nb-NO"/>
        </w:rPr>
        <w:t xml:space="preserve">. </w:t>
      </w:r>
      <w:r w:rsidRPr="00245016">
        <w:rPr>
          <w:szCs w:val="22"/>
          <w:lang w:val="nb-NO"/>
        </w:rPr>
        <w:t>Behandlingssvikt</w:t>
      </w:r>
      <w:r w:rsidRPr="00B23621">
        <w:rPr>
          <w:szCs w:val="22"/>
          <w:lang w:val="nb-NO"/>
        </w:rPr>
        <w:t xml:space="preserve"> </w:t>
      </w:r>
      <w:r>
        <w:rPr>
          <w:szCs w:val="22"/>
          <w:lang w:val="nb-NO"/>
        </w:rPr>
        <w:t xml:space="preserve">ble definert ut ifra </w:t>
      </w:r>
      <w:r w:rsidRPr="00B23621">
        <w:rPr>
          <w:szCs w:val="22"/>
          <w:lang w:val="nb-NO"/>
        </w:rPr>
        <w:t>resultatet av en sammensatt komponent basert på inflammatorisk</w:t>
      </w:r>
      <w:r w:rsidR="000D728D">
        <w:rPr>
          <w:szCs w:val="22"/>
          <w:lang w:val="nb-NO"/>
        </w:rPr>
        <w:t>e</w:t>
      </w:r>
      <w:r w:rsidRPr="00B23621">
        <w:rPr>
          <w:szCs w:val="22"/>
          <w:lang w:val="nb-NO"/>
        </w:rPr>
        <w:t xml:space="preserve"> </w:t>
      </w:r>
      <w:r>
        <w:rPr>
          <w:szCs w:val="22"/>
          <w:lang w:val="nb-NO"/>
        </w:rPr>
        <w:t>k</w:t>
      </w:r>
      <w:r w:rsidRPr="00B23621">
        <w:rPr>
          <w:szCs w:val="22"/>
          <w:lang w:val="nb-NO"/>
        </w:rPr>
        <w:t>orioretinal</w:t>
      </w:r>
      <w:r w:rsidR="009019DA">
        <w:rPr>
          <w:szCs w:val="22"/>
          <w:lang w:val="nb-NO"/>
        </w:rPr>
        <w:t>e</w:t>
      </w:r>
      <w:r w:rsidRPr="00B23621">
        <w:rPr>
          <w:szCs w:val="22"/>
          <w:lang w:val="nb-NO"/>
        </w:rPr>
        <w:t xml:space="preserve"> </w:t>
      </w:r>
      <w:r>
        <w:rPr>
          <w:szCs w:val="22"/>
          <w:lang w:val="nb-NO"/>
        </w:rPr>
        <w:t>og</w:t>
      </w:r>
      <w:r w:rsidRPr="00B23621">
        <w:rPr>
          <w:szCs w:val="22"/>
          <w:lang w:val="nb-NO"/>
        </w:rPr>
        <w:t>/</w:t>
      </w:r>
      <w:r>
        <w:rPr>
          <w:szCs w:val="22"/>
          <w:lang w:val="nb-NO"/>
        </w:rPr>
        <w:t>eller</w:t>
      </w:r>
      <w:r w:rsidRPr="00B23621">
        <w:rPr>
          <w:szCs w:val="22"/>
          <w:lang w:val="nb-NO"/>
        </w:rPr>
        <w:t xml:space="preserve"> </w:t>
      </w:r>
      <w:r>
        <w:rPr>
          <w:szCs w:val="22"/>
          <w:lang w:val="nb-NO"/>
        </w:rPr>
        <w:t>inflammatorisk</w:t>
      </w:r>
      <w:r w:rsidR="000D728D">
        <w:rPr>
          <w:szCs w:val="22"/>
          <w:lang w:val="nb-NO"/>
        </w:rPr>
        <w:t>e</w:t>
      </w:r>
      <w:r w:rsidRPr="00011795">
        <w:rPr>
          <w:szCs w:val="22"/>
          <w:lang w:val="nb-NO"/>
        </w:rPr>
        <w:t xml:space="preserve"> retinal</w:t>
      </w:r>
      <w:r w:rsidR="009019DA">
        <w:rPr>
          <w:szCs w:val="22"/>
          <w:lang w:val="nb-NO"/>
        </w:rPr>
        <w:t>e</w:t>
      </w:r>
      <w:r w:rsidRPr="00011795">
        <w:rPr>
          <w:szCs w:val="22"/>
          <w:lang w:val="nb-NO"/>
        </w:rPr>
        <w:t xml:space="preserve"> vas</w:t>
      </w:r>
      <w:r>
        <w:rPr>
          <w:szCs w:val="22"/>
          <w:lang w:val="nb-NO"/>
        </w:rPr>
        <w:t>kulære lesjoner</w:t>
      </w:r>
      <w:r w:rsidRPr="00B23621">
        <w:rPr>
          <w:szCs w:val="22"/>
          <w:lang w:val="nb-NO"/>
        </w:rPr>
        <w:t xml:space="preserve">, </w:t>
      </w:r>
      <w:r w:rsidR="000D728D">
        <w:rPr>
          <w:szCs w:val="22"/>
          <w:lang w:val="nb-NO"/>
        </w:rPr>
        <w:t xml:space="preserve">gradering av celler i </w:t>
      </w:r>
      <w:r>
        <w:rPr>
          <w:szCs w:val="22"/>
          <w:lang w:val="nb-NO"/>
        </w:rPr>
        <w:t xml:space="preserve">fremre kammer </w:t>
      </w:r>
      <w:r w:rsidRPr="00011795">
        <w:rPr>
          <w:szCs w:val="22"/>
          <w:lang w:val="nb-NO"/>
        </w:rPr>
        <w:t>(</w:t>
      </w:r>
      <w:r w:rsidR="00D57009">
        <w:rPr>
          <w:szCs w:val="22"/>
          <w:lang w:val="nb-NO"/>
        </w:rPr>
        <w:t>«</w:t>
      </w:r>
      <w:r w:rsidRPr="00B740D9">
        <w:rPr>
          <w:szCs w:val="22"/>
          <w:lang w:val="nb-NO"/>
        </w:rPr>
        <w:t>anterior chamber</w:t>
      </w:r>
      <w:r>
        <w:rPr>
          <w:szCs w:val="22"/>
          <w:lang w:val="nb-NO"/>
        </w:rPr>
        <w:t xml:space="preserve">’, </w:t>
      </w:r>
      <w:r w:rsidRPr="00011795">
        <w:rPr>
          <w:szCs w:val="22"/>
          <w:lang w:val="nb-NO"/>
        </w:rPr>
        <w:t>AC)</w:t>
      </w:r>
      <w:r w:rsidRPr="00B23621">
        <w:rPr>
          <w:szCs w:val="22"/>
          <w:lang w:val="nb-NO"/>
        </w:rPr>
        <w:t>,</w:t>
      </w:r>
      <w:r w:rsidR="000D728D">
        <w:rPr>
          <w:szCs w:val="22"/>
          <w:lang w:val="nb-NO"/>
        </w:rPr>
        <w:t xml:space="preserve"> grad av</w:t>
      </w:r>
      <w:r w:rsidRPr="00B23621">
        <w:rPr>
          <w:szCs w:val="22"/>
          <w:lang w:val="nb-NO"/>
        </w:rPr>
        <w:t xml:space="preserve"> </w:t>
      </w:r>
      <w:r>
        <w:rPr>
          <w:szCs w:val="22"/>
          <w:lang w:val="nb-NO"/>
        </w:rPr>
        <w:t>uklarheter i glasslegemet (</w:t>
      </w:r>
      <w:r w:rsidR="00D57009">
        <w:rPr>
          <w:szCs w:val="22"/>
          <w:lang w:val="nb-NO"/>
        </w:rPr>
        <w:t>«</w:t>
      </w:r>
      <w:r w:rsidRPr="00B23621">
        <w:rPr>
          <w:szCs w:val="22"/>
          <w:lang w:val="nb-NO"/>
        </w:rPr>
        <w:t>vitreous haze</w:t>
      </w:r>
      <w:r>
        <w:rPr>
          <w:szCs w:val="22"/>
          <w:lang w:val="nb-NO"/>
        </w:rPr>
        <w:t>’,</w:t>
      </w:r>
      <w:r w:rsidRPr="00B23621">
        <w:rPr>
          <w:szCs w:val="22"/>
          <w:lang w:val="nb-NO"/>
        </w:rPr>
        <w:t xml:space="preserve"> VH) </w:t>
      </w:r>
      <w:r>
        <w:rPr>
          <w:szCs w:val="22"/>
          <w:lang w:val="nb-NO"/>
        </w:rPr>
        <w:t xml:space="preserve">og </w:t>
      </w:r>
      <w:r w:rsidRPr="00B23621">
        <w:rPr>
          <w:szCs w:val="22"/>
          <w:lang w:val="nb-NO"/>
        </w:rPr>
        <w:t>best</w:t>
      </w:r>
      <w:r w:rsidR="000D728D">
        <w:rPr>
          <w:szCs w:val="22"/>
          <w:lang w:val="nb-NO"/>
        </w:rPr>
        <w:t>e</w:t>
      </w:r>
      <w:r w:rsidRPr="00B23621">
        <w:rPr>
          <w:szCs w:val="22"/>
          <w:lang w:val="nb-NO"/>
        </w:rPr>
        <w:t xml:space="preserve"> </w:t>
      </w:r>
      <w:r>
        <w:rPr>
          <w:szCs w:val="22"/>
          <w:lang w:val="nb-NO"/>
        </w:rPr>
        <w:t>korrigert</w:t>
      </w:r>
      <w:r w:rsidR="000D728D">
        <w:rPr>
          <w:szCs w:val="22"/>
          <w:lang w:val="nb-NO"/>
        </w:rPr>
        <w:t>e</w:t>
      </w:r>
      <w:r>
        <w:rPr>
          <w:szCs w:val="22"/>
          <w:lang w:val="nb-NO"/>
        </w:rPr>
        <w:t xml:space="preserve"> synsskarphet (</w:t>
      </w:r>
      <w:r w:rsidR="00D57009">
        <w:rPr>
          <w:szCs w:val="22"/>
          <w:lang w:val="nb-NO"/>
        </w:rPr>
        <w:t>«</w:t>
      </w:r>
      <w:r>
        <w:rPr>
          <w:szCs w:val="22"/>
          <w:lang w:val="nb-NO"/>
        </w:rPr>
        <w:t xml:space="preserve">best </w:t>
      </w:r>
      <w:r w:rsidRPr="00B23621">
        <w:rPr>
          <w:szCs w:val="22"/>
          <w:lang w:val="nb-NO"/>
        </w:rPr>
        <w:t>corrected visual acuity</w:t>
      </w:r>
      <w:r>
        <w:rPr>
          <w:szCs w:val="22"/>
          <w:lang w:val="nb-NO"/>
        </w:rPr>
        <w:t>’,</w:t>
      </w:r>
      <w:r w:rsidR="00562D43">
        <w:rPr>
          <w:szCs w:val="22"/>
          <w:lang w:val="nb-NO"/>
        </w:rPr>
        <w:t xml:space="preserve"> </w:t>
      </w:r>
      <w:r w:rsidRPr="00B23621">
        <w:rPr>
          <w:szCs w:val="22"/>
          <w:lang w:val="nb-NO"/>
        </w:rPr>
        <w:t xml:space="preserve">BCVA). </w:t>
      </w:r>
    </w:p>
    <w:p w14:paraId="504346C1" w14:textId="77777777" w:rsidR="00F75AD6" w:rsidRDefault="00F75AD6" w:rsidP="00F75AD6">
      <w:pPr>
        <w:pStyle w:val="EMEANormal"/>
        <w:rPr>
          <w:szCs w:val="22"/>
          <w:lang w:val="nb-NO"/>
        </w:rPr>
      </w:pPr>
    </w:p>
    <w:p w14:paraId="3FFE482F" w14:textId="77777777" w:rsidR="002C7948" w:rsidRPr="00484BCF" w:rsidRDefault="00E453CD" w:rsidP="002C7948">
      <w:pPr>
        <w:tabs>
          <w:tab w:val="left" w:pos="3090"/>
        </w:tabs>
        <w:rPr>
          <w:sz w:val="22"/>
          <w:szCs w:val="22"/>
        </w:rPr>
      </w:pPr>
      <w:r w:rsidRPr="00484BCF">
        <w:rPr>
          <w:sz w:val="22"/>
          <w:szCs w:val="22"/>
        </w:rPr>
        <w:t>Pasienter som fullførte UV</w:t>
      </w:r>
      <w:r w:rsidR="001539CD">
        <w:rPr>
          <w:sz w:val="22"/>
          <w:szCs w:val="22"/>
        </w:rPr>
        <w:t> </w:t>
      </w:r>
      <w:r w:rsidRPr="00484BCF">
        <w:rPr>
          <w:sz w:val="22"/>
          <w:szCs w:val="22"/>
        </w:rPr>
        <w:t>I</w:t>
      </w:r>
      <w:r>
        <w:rPr>
          <w:sz w:val="22"/>
          <w:szCs w:val="22"/>
        </w:rPr>
        <w:t>-</w:t>
      </w:r>
      <w:r w:rsidRPr="00484BCF">
        <w:rPr>
          <w:sz w:val="22"/>
          <w:szCs w:val="22"/>
        </w:rPr>
        <w:t xml:space="preserve"> og UV</w:t>
      </w:r>
      <w:r w:rsidR="001539CD">
        <w:rPr>
          <w:sz w:val="22"/>
          <w:szCs w:val="22"/>
        </w:rPr>
        <w:t> </w:t>
      </w:r>
      <w:r w:rsidRPr="00484BCF">
        <w:rPr>
          <w:sz w:val="22"/>
          <w:szCs w:val="22"/>
        </w:rPr>
        <w:t>II</w:t>
      </w:r>
      <w:r w:rsidR="001539CD">
        <w:rPr>
          <w:sz w:val="22"/>
          <w:szCs w:val="22"/>
        </w:rPr>
        <w:t>-</w:t>
      </w:r>
      <w:r>
        <w:rPr>
          <w:sz w:val="22"/>
          <w:szCs w:val="22"/>
        </w:rPr>
        <w:t xml:space="preserve">studiene </w:t>
      </w:r>
      <w:r w:rsidRPr="00484BCF">
        <w:rPr>
          <w:sz w:val="22"/>
          <w:szCs w:val="22"/>
        </w:rPr>
        <w:t xml:space="preserve">ble </w:t>
      </w:r>
      <w:r>
        <w:rPr>
          <w:sz w:val="22"/>
          <w:szCs w:val="22"/>
        </w:rPr>
        <w:t>inkludert</w:t>
      </w:r>
      <w:r w:rsidRPr="00484BCF">
        <w:rPr>
          <w:sz w:val="22"/>
          <w:szCs w:val="22"/>
        </w:rPr>
        <w:t xml:space="preserve"> i en ikke</w:t>
      </w:r>
      <w:r w:rsidRPr="00484BCF">
        <w:rPr>
          <w:sz w:val="22"/>
          <w:szCs w:val="22"/>
        </w:rPr>
        <w:noBreakHyphen/>
        <w:t>kontrollert langtids</w:t>
      </w:r>
      <w:r>
        <w:rPr>
          <w:sz w:val="22"/>
          <w:szCs w:val="22"/>
        </w:rPr>
        <w:t>-</w:t>
      </w:r>
      <w:r w:rsidRPr="00484BCF">
        <w:rPr>
          <w:sz w:val="22"/>
          <w:szCs w:val="22"/>
        </w:rPr>
        <w:t xml:space="preserve"> forlengelsesstudie med en</w:t>
      </w:r>
      <w:r>
        <w:rPr>
          <w:sz w:val="22"/>
          <w:szCs w:val="22"/>
        </w:rPr>
        <w:t xml:space="preserve"> opprinnelig</w:t>
      </w:r>
      <w:r w:rsidRPr="00484BCF">
        <w:rPr>
          <w:sz w:val="22"/>
          <w:szCs w:val="22"/>
        </w:rPr>
        <w:t xml:space="preserve"> planlagt varighet på</w:t>
      </w:r>
      <w:r>
        <w:rPr>
          <w:sz w:val="22"/>
          <w:szCs w:val="22"/>
        </w:rPr>
        <w:t xml:space="preserve"> </w:t>
      </w:r>
      <w:r w:rsidRPr="00484BCF">
        <w:rPr>
          <w:sz w:val="22"/>
          <w:szCs w:val="22"/>
        </w:rPr>
        <w:t>78 uker. Pasienter</w:t>
      </w:r>
      <w:r>
        <w:rPr>
          <w:sz w:val="22"/>
          <w:szCs w:val="22"/>
        </w:rPr>
        <w:t xml:space="preserve"> fikk </w:t>
      </w:r>
      <w:r w:rsidRPr="00484BCF">
        <w:rPr>
          <w:sz w:val="22"/>
          <w:szCs w:val="22"/>
        </w:rPr>
        <w:t xml:space="preserve">fortsette </w:t>
      </w:r>
      <w:r>
        <w:rPr>
          <w:sz w:val="22"/>
          <w:szCs w:val="22"/>
        </w:rPr>
        <w:t>med</w:t>
      </w:r>
      <w:r w:rsidRPr="00484BCF">
        <w:rPr>
          <w:sz w:val="22"/>
          <w:szCs w:val="22"/>
        </w:rPr>
        <w:t xml:space="preserve"> studiemedisin </w:t>
      </w:r>
      <w:r>
        <w:rPr>
          <w:sz w:val="22"/>
          <w:szCs w:val="22"/>
        </w:rPr>
        <w:t xml:space="preserve">etter </w:t>
      </w:r>
      <w:r w:rsidRPr="00484BCF">
        <w:rPr>
          <w:sz w:val="22"/>
          <w:szCs w:val="22"/>
        </w:rPr>
        <w:t>uke 78</w:t>
      </w:r>
      <w:r>
        <w:rPr>
          <w:sz w:val="22"/>
          <w:szCs w:val="22"/>
        </w:rPr>
        <w:t>,</w:t>
      </w:r>
      <w:r w:rsidRPr="00484BCF">
        <w:rPr>
          <w:sz w:val="22"/>
          <w:szCs w:val="22"/>
        </w:rPr>
        <w:t xml:space="preserve"> inntil de </w:t>
      </w:r>
      <w:r>
        <w:rPr>
          <w:sz w:val="22"/>
          <w:szCs w:val="22"/>
        </w:rPr>
        <w:t>fikk</w:t>
      </w:r>
      <w:r w:rsidRPr="00484BCF">
        <w:rPr>
          <w:sz w:val="22"/>
          <w:szCs w:val="22"/>
        </w:rPr>
        <w:t xml:space="preserve"> tilgang på Humira.</w:t>
      </w:r>
    </w:p>
    <w:p w14:paraId="19240666" w14:textId="77777777" w:rsidR="002C7948" w:rsidRPr="00B23621" w:rsidRDefault="002C7948" w:rsidP="00F75AD6">
      <w:pPr>
        <w:pStyle w:val="EMEANormal"/>
        <w:rPr>
          <w:szCs w:val="22"/>
          <w:lang w:val="nb-NO"/>
        </w:rPr>
      </w:pPr>
    </w:p>
    <w:p w14:paraId="161629EF" w14:textId="77777777" w:rsidR="00F75AD6" w:rsidRPr="00F05EB5" w:rsidRDefault="00E453CD" w:rsidP="00F75AD6">
      <w:pPr>
        <w:pStyle w:val="EMEANormal"/>
        <w:rPr>
          <w:i/>
          <w:szCs w:val="22"/>
          <w:u w:val="single"/>
          <w:lang w:val="nb-NO"/>
        </w:rPr>
      </w:pPr>
      <w:r w:rsidRPr="00F05EB5">
        <w:rPr>
          <w:i/>
          <w:szCs w:val="22"/>
          <w:u w:val="single"/>
          <w:lang w:val="nb-NO"/>
        </w:rPr>
        <w:t>Klinisk respons</w:t>
      </w:r>
    </w:p>
    <w:p w14:paraId="6B53761C" w14:textId="77777777" w:rsidR="00F75AD6" w:rsidRPr="00F05EB5" w:rsidRDefault="00F75AD6" w:rsidP="00F75AD6">
      <w:pPr>
        <w:pStyle w:val="EMEANormal"/>
        <w:rPr>
          <w:i/>
          <w:szCs w:val="22"/>
          <w:u w:val="single"/>
          <w:lang w:val="nb-NO"/>
        </w:rPr>
      </w:pPr>
    </w:p>
    <w:p w14:paraId="7BE70A87" w14:textId="77777777" w:rsidR="00F75AD6" w:rsidRPr="00126088" w:rsidRDefault="00E453CD" w:rsidP="00F75AD6">
      <w:pPr>
        <w:pStyle w:val="EMEANormal"/>
        <w:rPr>
          <w:szCs w:val="22"/>
          <w:lang w:val="nb-NO"/>
        </w:rPr>
      </w:pPr>
      <w:r w:rsidRPr="00126088">
        <w:rPr>
          <w:szCs w:val="22"/>
          <w:lang w:val="nb-NO"/>
        </w:rPr>
        <w:t xml:space="preserve">Resultatene fra begge studiene viste statistisk </w:t>
      </w:r>
      <w:r w:rsidRPr="00476EAD">
        <w:rPr>
          <w:szCs w:val="22"/>
          <w:lang w:val="nb-NO"/>
        </w:rPr>
        <w:t>signifi</w:t>
      </w:r>
      <w:r>
        <w:rPr>
          <w:szCs w:val="22"/>
          <w:lang w:val="nb-NO"/>
        </w:rPr>
        <w:t>k</w:t>
      </w:r>
      <w:r w:rsidRPr="00126088">
        <w:rPr>
          <w:szCs w:val="22"/>
          <w:lang w:val="nb-NO"/>
        </w:rPr>
        <w:t xml:space="preserve">ant reduksjon i risiko for behandlingssvikt hos pasienter behandlet med Humira </w:t>
      </w:r>
      <w:r w:rsidRPr="00126088">
        <w:rPr>
          <w:i/>
          <w:szCs w:val="22"/>
          <w:lang w:val="nb-NO"/>
        </w:rPr>
        <w:t>versus</w:t>
      </w:r>
      <w:r w:rsidRPr="00126088">
        <w:rPr>
          <w:szCs w:val="22"/>
          <w:lang w:val="nb-NO"/>
        </w:rPr>
        <w:t xml:space="preserve"> pasiente</w:t>
      </w:r>
      <w:r w:rsidR="006137C2">
        <w:rPr>
          <w:szCs w:val="22"/>
          <w:lang w:val="nb-NO"/>
        </w:rPr>
        <w:t xml:space="preserve">r som fikk placebo (se tabell </w:t>
      </w:r>
      <w:r w:rsidR="003508F1">
        <w:rPr>
          <w:szCs w:val="22"/>
          <w:lang w:val="nb-NO"/>
        </w:rPr>
        <w:t>2</w:t>
      </w:r>
      <w:r w:rsidR="00E54C66">
        <w:rPr>
          <w:szCs w:val="22"/>
          <w:lang w:val="nb-NO"/>
        </w:rPr>
        <w:t>4</w:t>
      </w:r>
      <w:r w:rsidRPr="00126088">
        <w:rPr>
          <w:szCs w:val="22"/>
          <w:lang w:val="nb-NO"/>
        </w:rPr>
        <w:t xml:space="preserve">). </w:t>
      </w:r>
      <w:r>
        <w:rPr>
          <w:szCs w:val="22"/>
          <w:lang w:val="nb-NO"/>
        </w:rPr>
        <w:t xml:space="preserve">Begge studiene viste en tidlig og vedvarende effekt av </w:t>
      </w:r>
      <w:r w:rsidRPr="00126088">
        <w:rPr>
          <w:szCs w:val="22"/>
          <w:lang w:val="nb-NO"/>
        </w:rPr>
        <w:t xml:space="preserve">Humira </w:t>
      </w:r>
      <w:r>
        <w:rPr>
          <w:szCs w:val="22"/>
          <w:lang w:val="nb-NO"/>
        </w:rPr>
        <w:t>på andelen av pasiente</w:t>
      </w:r>
      <w:r w:rsidR="00231840">
        <w:rPr>
          <w:szCs w:val="22"/>
          <w:lang w:val="nb-NO"/>
        </w:rPr>
        <w:t>r</w:t>
      </w:r>
      <w:r>
        <w:rPr>
          <w:szCs w:val="22"/>
          <w:lang w:val="nb-NO"/>
        </w:rPr>
        <w:t xml:space="preserve"> som opplevde behandlingssvikt </w:t>
      </w:r>
      <w:r w:rsidRPr="00126088">
        <w:rPr>
          <w:i/>
          <w:szCs w:val="22"/>
          <w:lang w:val="nb-NO"/>
        </w:rPr>
        <w:t>versus</w:t>
      </w:r>
      <w:r w:rsidR="00231840">
        <w:rPr>
          <w:i/>
          <w:szCs w:val="22"/>
          <w:lang w:val="nb-NO"/>
        </w:rPr>
        <w:t xml:space="preserve"> </w:t>
      </w:r>
      <w:r w:rsidR="003B49EC">
        <w:rPr>
          <w:szCs w:val="22"/>
          <w:lang w:val="nb-NO"/>
        </w:rPr>
        <w:t>pasienter som fikk</w:t>
      </w:r>
      <w:r w:rsidRPr="00F9139E">
        <w:rPr>
          <w:szCs w:val="22"/>
          <w:lang w:val="nb-NO"/>
        </w:rPr>
        <w:t xml:space="preserve"> placebo (se </w:t>
      </w:r>
      <w:r>
        <w:rPr>
          <w:szCs w:val="22"/>
          <w:lang w:val="nb-NO"/>
        </w:rPr>
        <w:t>f</w:t>
      </w:r>
      <w:r w:rsidRPr="00F9139E">
        <w:rPr>
          <w:szCs w:val="22"/>
          <w:lang w:val="nb-NO"/>
        </w:rPr>
        <w:t>igur</w:t>
      </w:r>
      <w:r w:rsidRPr="00126088">
        <w:rPr>
          <w:szCs w:val="22"/>
          <w:lang w:val="nb-NO"/>
        </w:rPr>
        <w:t xml:space="preserve"> </w:t>
      </w:r>
      <w:r w:rsidR="003508F1">
        <w:rPr>
          <w:szCs w:val="22"/>
          <w:lang w:val="nb-NO"/>
        </w:rPr>
        <w:t>2</w:t>
      </w:r>
      <w:r w:rsidRPr="00126088">
        <w:rPr>
          <w:szCs w:val="22"/>
          <w:lang w:val="nb-NO"/>
        </w:rPr>
        <w:t xml:space="preserve">). </w:t>
      </w:r>
    </w:p>
    <w:p w14:paraId="698BCEB5" w14:textId="77777777" w:rsidR="00F75AD6" w:rsidRPr="00126088" w:rsidRDefault="00F75AD6" w:rsidP="00F75AD6">
      <w:pPr>
        <w:pStyle w:val="EMEANormal"/>
        <w:rPr>
          <w:b/>
          <w:szCs w:val="22"/>
          <w:lang w:val="nb-NO"/>
        </w:rPr>
      </w:pPr>
    </w:p>
    <w:p w14:paraId="3385E4B9" w14:textId="77777777" w:rsidR="00F75AD6" w:rsidRPr="00126088" w:rsidRDefault="00E453CD" w:rsidP="00776A84">
      <w:pPr>
        <w:pStyle w:val="EMEANormal"/>
        <w:keepNext/>
        <w:jc w:val="center"/>
        <w:rPr>
          <w:b/>
          <w:szCs w:val="22"/>
          <w:lang w:val="nb-NO"/>
        </w:rPr>
      </w:pPr>
      <w:r>
        <w:rPr>
          <w:b/>
          <w:szCs w:val="22"/>
          <w:lang w:val="nb-NO"/>
        </w:rPr>
        <w:t xml:space="preserve">Tabell </w:t>
      </w:r>
      <w:r w:rsidR="00E54C66">
        <w:rPr>
          <w:b/>
          <w:szCs w:val="22"/>
          <w:lang w:val="nb-NO"/>
        </w:rPr>
        <w:t>24</w:t>
      </w:r>
    </w:p>
    <w:p w14:paraId="32A4676C" w14:textId="77777777" w:rsidR="00F75AD6" w:rsidRPr="00126088" w:rsidRDefault="00E453CD" w:rsidP="00776A84">
      <w:pPr>
        <w:pStyle w:val="EMEANormal"/>
        <w:keepNext/>
        <w:jc w:val="center"/>
        <w:rPr>
          <w:b/>
          <w:szCs w:val="22"/>
          <w:lang w:val="nb-NO"/>
        </w:rPr>
      </w:pPr>
      <w:r w:rsidRPr="00126088">
        <w:rPr>
          <w:b/>
          <w:szCs w:val="22"/>
          <w:lang w:val="nb-NO"/>
        </w:rPr>
        <w:t>Tid til behandlingssvikt i studiene UV I og UV II</w:t>
      </w:r>
    </w:p>
    <w:p w14:paraId="68206862" w14:textId="77777777" w:rsidR="00F75AD6" w:rsidRPr="00126088" w:rsidRDefault="00F75AD6" w:rsidP="00776A84">
      <w:pPr>
        <w:pStyle w:val="EMEANormal"/>
        <w:keepNext/>
        <w:jc w:val="center"/>
        <w:rPr>
          <w:b/>
          <w:szCs w:val="22"/>
          <w:lang w:val="nb-NO"/>
        </w:rPr>
      </w:pPr>
    </w:p>
    <w:tbl>
      <w:tblPr>
        <w:tblW w:w="0" w:type="auto"/>
        <w:tblBorders>
          <w:top w:val="single" w:sz="4" w:space="0" w:color="auto"/>
          <w:bottom w:val="single" w:sz="4" w:space="0" w:color="auto"/>
        </w:tblBorders>
        <w:tblLook w:val="04A0" w:firstRow="1" w:lastRow="0" w:firstColumn="1" w:lastColumn="0" w:noHBand="0" w:noVBand="1"/>
      </w:tblPr>
      <w:tblGrid>
        <w:gridCol w:w="2136"/>
        <w:gridCol w:w="653"/>
        <w:gridCol w:w="1831"/>
        <w:gridCol w:w="1857"/>
        <w:gridCol w:w="680"/>
        <w:gridCol w:w="971"/>
        <w:gridCol w:w="937"/>
      </w:tblGrid>
      <w:tr w:rsidR="004644D4" w14:paraId="3D9B5032" w14:textId="77777777" w:rsidTr="006533CF">
        <w:tc>
          <w:tcPr>
            <w:tcW w:w="2268" w:type="dxa"/>
            <w:tcBorders>
              <w:top w:val="single" w:sz="4" w:space="0" w:color="auto"/>
              <w:left w:val="nil"/>
              <w:bottom w:val="single" w:sz="4" w:space="0" w:color="auto"/>
              <w:right w:val="nil"/>
            </w:tcBorders>
            <w:hideMark/>
          </w:tcPr>
          <w:p w14:paraId="3E5162C0" w14:textId="77777777" w:rsidR="00F75AD6" w:rsidRDefault="00E453CD" w:rsidP="006533CF">
            <w:pPr>
              <w:pStyle w:val="EMEANormal"/>
              <w:rPr>
                <w:b/>
                <w:szCs w:val="22"/>
              </w:rPr>
            </w:pPr>
            <w:r>
              <w:rPr>
                <w:b/>
                <w:szCs w:val="22"/>
              </w:rPr>
              <w:t>Analyse</w:t>
            </w:r>
          </w:p>
          <w:p w14:paraId="53462FD9" w14:textId="77777777" w:rsidR="00F75AD6" w:rsidRDefault="00E453CD" w:rsidP="006533CF">
            <w:pPr>
              <w:pStyle w:val="EMEANormal"/>
              <w:rPr>
                <w:b/>
                <w:szCs w:val="22"/>
              </w:rPr>
            </w:pPr>
            <w:r>
              <w:rPr>
                <w:b/>
                <w:szCs w:val="22"/>
              </w:rPr>
              <w:tab/>
              <w:t>Behandling</w:t>
            </w:r>
          </w:p>
        </w:tc>
        <w:tc>
          <w:tcPr>
            <w:tcW w:w="720" w:type="dxa"/>
            <w:tcBorders>
              <w:top w:val="single" w:sz="4" w:space="0" w:color="auto"/>
              <w:left w:val="nil"/>
              <w:bottom w:val="single" w:sz="4" w:space="0" w:color="auto"/>
              <w:right w:val="nil"/>
            </w:tcBorders>
            <w:hideMark/>
          </w:tcPr>
          <w:p w14:paraId="46A67857" w14:textId="77777777" w:rsidR="00F75AD6" w:rsidRDefault="00E453CD" w:rsidP="006533CF">
            <w:pPr>
              <w:pStyle w:val="EMEANormal"/>
              <w:rPr>
                <w:b/>
                <w:szCs w:val="22"/>
              </w:rPr>
            </w:pPr>
            <w:r>
              <w:rPr>
                <w:b/>
                <w:szCs w:val="22"/>
              </w:rPr>
              <w:t>N</w:t>
            </w:r>
          </w:p>
        </w:tc>
        <w:tc>
          <w:tcPr>
            <w:tcW w:w="1170" w:type="dxa"/>
            <w:tcBorders>
              <w:top w:val="single" w:sz="4" w:space="0" w:color="auto"/>
              <w:left w:val="nil"/>
              <w:bottom w:val="single" w:sz="4" w:space="0" w:color="auto"/>
              <w:right w:val="nil"/>
            </w:tcBorders>
            <w:hideMark/>
          </w:tcPr>
          <w:p w14:paraId="7B6379A5" w14:textId="77777777" w:rsidR="00F75AD6" w:rsidRDefault="00E453CD" w:rsidP="006533CF">
            <w:pPr>
              <w:pStyle w:val="EMEANormal"/>
              <w:rPr>
                <w:b/>
                <w:szCs w:val="22"/>
              </w:rPr>
            </w:pPr>
            <w:r>
              <w:rPr>
                <w:b/>
                <w:szCs w:val="22"/>
                <w:lang w:val="nb-NO"/>
              </w:rPr>
              <w:t>B</w:t>
            </w:r>
            <w:r w:rsidRPr="00126088">
              <w:rPr>
                <w:b/>
                <w:szCs w:val="22"/>
                <w:lang w:val="nb-NO"/>
              </w:rPr>
              <w:t>ehandlingssvikt</w:t>
            </w:r>
            <w:r>
              <w:rPr>
                <w:b/>
                <w:szCs w:val="22"/>
              </w:rPr>
              <w:br/>
              <w:t>N (%)</w:t>
            </w:r>
          </w:p>
        </w:tc>
        <w:tc>
          <w:tcPr>
            <w:tcW w:w="1890" w:type="dxa"/>
            <w:tcBorders>
              <w:top w:val="single" w:sz="4" w:space="0" w:color="auto"/>
              <w:left w:val="nil"/>
              <w:bottom w:val="single" w:sz="4" w:space="0" w:color="auto"/>
              <w:right w:val="nil"/>
            </w:tcBorders>
            <w:hideMark/>
          </w:tcPr>
          <w:p w14:paraId="323E9931" w14:textId="77777777" w:rsidR="00F75AD6" w:rsidRPr="00126088" w:rsidRDefault="00E453CD" w:rsidP="006533CF">
            <w:pPr>
              <w:pStyle w:val="EMEANormal"/>
              <w:rPr>
                <w:b/>
                <w:szCs w:val="22"/>
                <w:lang w:val="nb-NO"/>
              </w:rPr>
            </w:pPr>
            <w:r w:rsidRPr="00126088">
              <w:rPr>
                <w:b/>
                <w:szCs w:val="22"/>
                <w:lang w:val="nb-NO"/>
              </w:rPr>
              <w:t>Median tid til behandlingssvikt (måneder)</w:t>
            </w:r>
          </w:p>
        </w:tc>
        <w:tc>
          <w:tcPr>
            <w:tcW w:w="720" w:type="dxa"/>
            <w:tcBorders>
              <w:top w:val="single" w:sz="4" w:space="0" w:color="auto"/>
              <w:left w:val="nil"/>
              <w:bottom w:val="single" w:sz="4" w:space="0" w:color="auto"/>
              <w:right w:val="nil"/>
            </w:tcBorders>
            <w:hideMark/>
          </w:tcPr>
          <w:p w14:paraId="2687B628" w14:textId="77777777" w:rsidR="00F75AD6" w:rsidRDefault="00E453CD" w:rsidP="006533CF">
            <w:pPr>
              <w:pStyle w:val="EMEANormal"/>
              <w:rPr>
                <w:b/>
                <w:szCs w:val="22"/>
              </w:rPr>
            </w:pPr>
            <w:r>
              <w:rPr>
                <w:b/>
                <w:szCs w:val="22"/>
              </w:rPr>
              <w:t>HR</w:t>
            </w:r>
            <w:r>
              <w:rPr>
                <w:b/>
                <w:szCs w:val="22"/>
                <w:vertAlign w:val="superscript"/>
              </w:rPr>
              <w:t>a</w:t>
            </w:r>
          </w:p>
        </w:tc>
        <w:tc>
          <w:tcPr>
            <w:tcW w:w="1170" w:type="dxa"/>
            <w:tcBorders>
              <w:top w:val="single" w:sz="4" w:space="0" w:color="auto"/>
              <w:left w:val="nil"/>
              <w:bottom w:val="single" w:sz="4" w:space="0" w:color="auto"/>
              <w:right w:val="nil"/>
            </w:tcBorders>
            <w:hideMark/>
          </w:tcPr>
          <w:p w14:paraId="3F63EFB4" w14:textId="77777777" w:rsidR="00F75AD6" w:rsidRDefault="00E453CD" w:rsidP="006533CF">
            <w:pPr>
              <w:pStyle w:val="EMEANormal"/>
              <w:rPr>
                <w:b/>
                <w:szCs w:val="22"/>
              </w:rPr>
            </w:pPr>
            <w:r>
              <w:rPr>
                <w:b/>
                <w:szCs w:val="22"/>
              </w:rPr>
              <w:t>KI 95 % for HR</w:t>
            </w:r>
            <w:r>
              <w:rPr>
                <w:b/>
                <w:szCs w:val="22"/>
                <w:vertAlign w:val="superscript"/>
              </w:rPr>
              <w:t>a</w:t>
            </w:r>
          </w:p>
        </w:tc>
        <w:tc>
          <w:tcPr>
            <w:tcW w:w="1080" w:type="dxa"/>
            <w:tcBorders>
              <w:top w:val="single" w:sz="4" w:space="0" w:color="auto"/>
              <w:left w:val="nil"/>
              <w:bottom w:val="single" w:sz="4" w:space="0" w:color="auto"/>
              <w:right w:val="nil"/>
            </w:tcBorders>
            <w:hideMark/>
          </w:tcPr>
          <w:p w14:paraId="77EF97B1" w14:textId="77777777" w:rsidR="00F75AD6" w:rsidRDefault="00E453CD" w:rsidP="006533CF">
            <w:pPr>
              <w:pStyle w:val="EMEANormal"/>
              <w:rPr>
                <w:b/>
                <w:szCs w:val="22"/>
              </w:rPr>
            </w:pPr>
            <w:r w:rsidRPr="00126088">
              <w:rPr>
                <w:b/>
                <w:szCs w:val="22"/>
              </w:rPr>
              <w:t>p</w:t>
            </w:r>
            <w:r>
              <w:rPr>
                <w:b/>
                <w:i/>
                <w:szCs w:val="22"/>
              </w:rPr>
              <w:t>-</w:t>
            </w:r>
            <w:r>
              <w:rPr>
                <w:b/>
                <w:szCs w:val="22"/>
              </w:rPr>
              <w:t>verdi</w:t>
            </w:r>
            <w:r>
              <w:rPr>
                <w:szCs w:val="22"/>
                <w:vertAlign w:val="superscript"/>
              </w:rPr>
              <w:t xml:space="preserve"> b</w:t>
            </w:r>
          </w:p>
        </w:tc>
      </w:tr>
      <w:tr w:rsidR="004644D4" w14:paraId="2E85CB6B" w14:textId="77777777" w:rsidTr="006533CF">
        <w:tc>
          <w:tcPr>
            <w:tcW w:w="9018" w:type="dxa"/>
            <w:gridSpan w:val="7"/>
            <w:tcBorders>
              <w:top w:val="single" w:sz="4" w:space="0" w:color="auto"/>
              <w:left w:val="nil"/>
              <w:bottom w:val="nil"/>
              <w:right w:val="nil"/>
            </w:tcBorders>
            <w:hideMark/>
          </w:tcPr>
          <w:p w14:paraId="0A60616A" w14:textId="77777777" w:rsidR="00F75AD6" w:rsidRPr="00126088" w:rsidRDefault="00E453CD" w:rsidP="006533CF">
            <w:pPr>
              <w:pStyle w:val="EMEANormal"/>
              <w:rPr>
                <w:b/>
                <w:szCs w:val="22"/>
                <w:lang w:val="nb-NO"/>
              </w:rPr>
            </w:pPr>
            <w:r>
              <w:rPr>
                <w:b/>
                <w:szCs w:val="22"/>
                <w:lang w:val="nb-NO"/>
              </w:rPr>
              <w:t>T</w:t>
            </w:r>
            <w:r w:rsidRPr="00126088">
              <w:rPr>
                <w:b/>
                <w:szCs w:val="22"/>
                <w:lang w:val="nb-NO"/>
              </w:rPr>
              <w:t xml:space="preserve">id til behandlingssvikt ved eller etter uke 6 i studie UV I  </w:t>
            </w:r>
          </w:p>
        </w:tc>
      </w:tr>
      <w:tr w:rsidR="004644D4" w14:paraId="3723570C" w14:textId="77777777" w:rsidTr="006533CF">
        <w:tc>
          <w:tcPr>
            <w:tcW w:w="2988" w:type="dxa"/>
            <w:gridSpan w:val="2"/>
            <w:tcBorders>
              <w:top w:val="nil"/>
              <w:left w:val="nil"/>
              <w:bottom w:val="nil"/>
              <w:right w:val="nil"/>
            </w:tcBorders>
            <w:hideMark/>
          </w:tcPr>
          <w:p w14:paraId="5DD98C47" w14:textId="77777777" w:rsidR="00F75AD6" w:rsidRDefault="00E453CD" w:rsidP="006533CF">
            <w:pPr>
              <w:pStyle w:val="EMEANormal"/>
              <w:rPr>
                <w:szCs w:val="22"/>
              </w:rPr>
            </w:pPr>
            <w:r>
              <w:rPr>
                <w:szCs w:val="22"/>
              </w:rPr>
              <w:t>Primæranalyse (ITT)</w:t>
            </w:r>
          </w:p>
        </w:tc>
        <w:tc>
          <w:tcPr>
            <w:tcW w:w="1170" w:type="dxa"/>
            <w:tcBorders>
              <w:top w:val="nil"/>
              <w:left w:val="nil"/>
              <w:bottom w:val="nil"/>
              <w:right w:val="nil"/>
            </w:tcBorders>
          </w:tcPr>
          <w:p w14:paraId="7DE779C6" w14:textId="77777777" w:rsidR="00F75AD6" w:rsidRDefault="00F75AD6" w:rsidP="006533CF">
            <w:pPr>
              <w:pStyle w:val="EMEANormal"/>
              <w:rPr>
                <w:szCs w:val="22"/>
              </w:rPr>
            </w:pPr>
          </w:p>
        </w:tc>
        <w:tc>
          <w:tcPr>
            <w:tcW w:w="1890" w:type="dxa"/>
            <w:tcBorders>
              <w:top w:val="nil"/>
              <w:left w:val="nil"/>
              <w:bottom w:val="nil"/>
              <w:right w:val="nil"/>
            </w:tcBorders>
          </w:tcPr>
          <w:p w14:paraId="3437960B" w14:textId="77777777" w:rsidR="00F75AD6" w:rsidRDefault="00F75AD6" w:rsidP="006533CF">
            <w:pPr>
              <w:pStyle w:val="EMEANormal"/>
              <w:rPr>
                <w:szCs w:val="22"/>
              </w:rPr>
            </w:pPr>
          </w:p>
        </w:tc>
        <w:tc>
          <w:tcPr>
            <w:tcW w:w="720" w:type="dxa"/>
            <w:tcBorders>
              <w:top w:val="nil"/>
              <w:left w:val="nil"/>
              <w:bottom w:val="nil"/>
              <w:right w:val="nil"/>
            </w:tcBorders>
          </w:tcPr>
          <w:p w14:paraId="5383FA3D" w14:textId="77777777" w:rsidR="00F75AD6" w:rsidRDefault="00F75AD6" w:rsidP="006533CF">
            <w:pPr>
              <w:pStyle w:val="EMEANormal"/>
              <w:rPr>
                <w:szCs w:val="22"/>
              </w:rPr>
            </w:pPr>
          </w:p>
        </w:tc>
        <w:tc>
          <w:tcPr>
            <w:tcW w:w="1170" w:type="dxa"/>
            <w:tcBorders>
              <w:top w:val="nil"/>
              <w:left w:val="nil"/>
              <w:bottom w:val="nil"/>
              <w:right w:val="nil"/>
            </w:tcBorders>
          </w:tcPr>
          <w:p w14:paraId="0923D2A0" w14:textId="77777777" w:rsidR="00F75AD6" w:rsidRDefault="00F75AD6" w:rsidP="006533CF">
            <w:pPr>
              <w:pStyle w:val="EMEANormal"/>
              <w:rPr>
                <w:szCs w:val="22"/>
              </w:rPr>
            </w:pPr>
          </w:p>
        </w:tc>
        <w:tc>
          <w:tcPr>
            <w:tcW w:w="1080" w:type="dxa"/>
            <w:tcBorders>
              <w:top w:val="nil"/>
              <w:left w:val="nil"/>
              <w:bottom w:val="nil"/>
              <w:right w:val="nil"/>
            </w:tcBorders>
          </w:tcPr>
          <w:p w14:paraId="3E53FD25" w14:textId="77777777" w:rsidR="00F75AD6" w:rsidRDefault="00F75AD6" w:rsidP="006533CF">
            <w:pPr>
              <w:pStyle w:val="EMEANormal"/>
              <w:rPr>
                <w:szCs w:val="22"/>
              </w:rPr>
            </w:pPr>
          </w:p>
        </w:tc>
      </w:tr>
      <w:tr w:rsidR="004644D4" w14:paraId="76C8C60C" w14:textId="77777777" w:rsidTr="006533CF">
        <w:tc>
          <w:tcPr>
            <w:tcW w:w="2268" w:type="dxa"/>
            <w:tcBorders>
              <w:top w:val="nil"/>
              <w:left w:val="nil"/>
              <w:bottom w:val="nil"/>
              <w:right w:val="nil"/>
            </w:tcBorders>
            <w:hideMark/>
          </w:tcPr>
          <w:p w14:paraId="61CF42B2" w14:textId="77777777" w:rsidR="00F75AD6" w:rsidRDefault="00E453CD" w:rsidP="006533CF">
            <w:pPr>
              <w:pStyle w:val="EMEANormal"/>
              <w:rPr>
                <w:szCs w:val="22"/>
              </w:rPr>
            </w:pPr>
            <w:r>
              <w:rPr>
                <w:szCs w:val="22"/>
              </w:rPr>
              <w:tab/>
              <w:t>Placebo</w:t>
            </w:r>
          </w:p>
        </w:tc>
        <w:tc>
          <w:tcPr>
            <w:tcW w:w="720" w:type="dxa"/>
            <w:tcBorders>
              <w:top w:val="nil"/>
              <w:left w:val="nil"/>
              <w:bottom w:val="nil"/>
              <w:right w:val="nil"/>
            </w:tcBorders>
            <w:hideMark/>
          </w:tcPr>
          <w:p w14:paraId="673E909C" w14:textId="77777777" w:rsidR="00F75AD6" w:rsidRDefault="00E453CD" w:rsidP="006533CF">
            <w:pPr>
              <w:pStyle w:val="EMEANormal"/>
              <w:rPr>
                <w:szCs w:val="22"/>
              </w:rPr>
            </w:pPr>
            <w:r>
              <w:rPr>
                <w:szCs w:val="22"/>
              </w:rPr>
              <w:t>107</w:t>
            </w:r>
          </w:p>
        </w:tc>
        <w:tc>
          <w:tcPr>
            <w:tcW w:w="1170" w:type="dxa"/>
            <w:tcBorders>
              <w:top w:val="nil"/>
              <w:left w:val="nil"/>
              <w:bottom w:val="nil"/>
              <w:right w:val="nil"/>
            </w:tcBorders>
            <w:hideMark/>
          </w:tcPr>
          <w:p w14:paraId="663EAABA" w14:textId="77777777" w:rsidR="00F75AD6" w:rsidRDefault="00E453CD" w:rsidP="006533CF">
            <w:pPr>
              <w:pStyle w:val="EMEANormal"/>
              <w:rPr>
                <w:szCs w:val="22"/>
              </w:rPr>
            </w:pPr>
            <w:r>
              <w:rPr>
                <w:szCs w:val="22"/>
              </w:rPr>
              <w:t>84 (78,5)</w:t>
            </w:r>
          </w:p>
        </w:tc>
        <w:tc>
          <w:tcPr>
            <w:tcW w:w="1890" w:type="dxa"/>
            <w:tcBorders>
              <w:top w:val="nil"/>
              <w:left w:val="nil"/>
              <w:bottom w:val="nil"/>
              <w:right w:val="nil"/>
            </w:tcBorders>
            <w:hideMark/>
          </w:tcPr>
          <w:p w14:paraId="0D289DA8" w14:textId="77777777" w:rsidR="00F75AD6" w:rsidRDefault="00E453CD" w:rsidP="006533CF">
            <w:pPr>
              <w:pStyle w:val="EMEANormal"/>
              <w:rPr>
                <w:szCs w:val="22"/>
              </w:rPr>
            </w:pPr>
            <w:r>
              <w:rPr>
                <w:szCs w:val="22"/>
              </w:rPr>
              <w:t>3,0</w:t>
            </w:r>
          </w:p>
        </w:tc>
        <w:tc>
          <w:tcPr>
            <w:tcW w:w="720" w:type="dxa"/>
            <w:tcBorders>
              <w:top w:val="nil"/>
              <w:left w:val="nil"/>
              <w:bottom w:val="nil"/>
              <w:right w:val="nil"/>
            </w:tcBorders>
            <w:hideMark/>
          </w:tcPr>
          <w:p w14:paraId="6A34E1B6" w14:textId="77777777" w:rsidR="00F75AD6" w:rsidRDefault="00E453CD" w:rsidP="006533CF">
            <w:pPr>
              <w:pStyle w:val="EMEANormal"/>
              <w:rPr>
                <w:szCs w:val="22"/>
              </w:rPr>
            </w:pPr>
            <w:r>
              <w:rPr>
                <w:szCs w:val="22"/>
              </w:rPr>
              <w:t>--</w:t>
            </w:r>
          </w:p>
        </w:tc>
        <w:tc>
          <w:tcPr>
            <w:tcW w:w="1170" w:type="dxa"/>
            <w:tcBorders>
              <w:top w:val="nil"/>
              <w:left w:val="nil"/>
              <w:bottom w:val="nil"/>
              <w:right w:val="nil"/>
            </w:tcBorders>
            <w:hideMark/>
          </w:tcPr>
          <w:p w14:paraId="09C3FF5A" w14:textId="77777777" w:rsidR="00F75AD6" w:rsidRDefault="00E453CD" w:rsidP="006533CF">
            <w:pPr>
              <w:pStyle w:val="EMEANormal"/>
              <w:rPr>
                <w:szCs w:val="22"/>
              </w:rPr>
            </w:pPr>
            <w:r>
              <w:rPr>
                <w:szCs w:val="22"/>
              </w:rPr>
              <w:t>--</w:t>
            </w:r>
          </w:p>
        </w:tc>
        <w:tc>
          <w:tcPr>
            <w:tcW w:w="1080" w:type="dxa"/>
            <w:tcBorders>
              <w:top w:val="nil"/>
              <w:left w:val="nil"/>
              <w:bottom w:val="nil"/>
              <w:right w:val="nil"/>
            </w:tcBorders>
            <w:hideMark/>
          </w:tcPr>
          <w:p w14:paraId="3F27D951" w14:textId="77777777" w:rsidR="00F75AD6" w:rsidRDefault="00E453CD" w:rsidP="006533CF">
            <w:pPr>
              <w:pStyle w:val="EMEANormal"/>
              <w:rPr>
                <w:szCs w:val="22"/>
              </w:rPr>
            </w:pPr>
            <w:r>
              <w:rPr>
                <w:szCs w:val="22"/>
              </w:rPr>
              <w:t>--</w:t>
            </w:r>
          </w:p>
        </w:tc>
      </w:tr>
      <w:tr w:rsidR="004644D4" w14:paraId="649F2080" w14:textId="77777777" w:rsidTr="006533CF">
        <w:tc>
          <w:tcPr>
            <w:tcW w:w="2268" w:type="dxa"/>
            <w:tcBorders>
              <w:top w:val="nil"/>
              <w:left w:val="nil"/>
              <w:bottom w:val="single" w:sz="4" w:space="0" w:color="auto"/>
              <w:right w:val="nil"/>
            </w:tcBorders>
            <w:hideMark/>
          </w:tcPr>
          <w:p w14:paraId="0F62C175" w14:textId="77777777" w:rsidR="00F75AD6" w:rsidRDefault="00E453CD" w:rsidP="006533CF">
            <w:pPr>
              <w:pStyle w:val="EMEANormal"/>
              <w:rPr>
                <w:szCs w:val="22"/>
              </w:rPr>
            </w:pPr>
            <w:r>
              <w:rPr>
                <w:szCs w:val="22"/>
              </w:rPr>
              <w:tab/>
              <w:t>Adalimumab</w:t>
            </w:r>
          </w:p>
        </w:tc>
        <w:tc>
          <w:tcPr>
            <w:tcW w:w="720" w:type="dxa"/>
            <w:tcBorders>
              <w:top w:val="nil"/>
              <w:left w:val="nil"/>
              <w:bottom w:val="single" w:sz="4" w:space="0" w:color="auto"/>
              <w:right w:val="nil"/>
            </w:tcBorders>
            <w:hideMark/>
          </w:tcPr>
          <w:p w14:paraId="5AA46C29" w14:textId="77777777" w:rsidR="00F75AD6" w:rsidRDefault="00E453CD" w:rsidP="006533CF">
            <w:pPr>
              <w:pStyle w:val="EMEANormal"/>
              <w:rPr>
                <w:szCs w:val="22"/>
              </w:rPr>
            </w:pPr>
            <w:r>
              <w:rPr>
                <w:szCs w:val="22"/>
              </w:rPr>
              <w:t>110</w:t>
            </w:r>
          </w:p>
        </w:tc>
        <w:tc>
          <w:tcPr>
            <w:tcW w:w="1170" w:type="dxa"/>
            <w:tcBorders>
              <w:top w:val="nil"/>
              <w:left w:val="nil"/>
              <w:bottom w:val="single" w:sz="4" w:space="0" w:color="auto"/>
              <w:right w:val="nil"/>
            </w:tcBorders>
            <w:hideMark/>
          </w:tcPr>
          <w:p w14:paraId="70D645BF" w14:textId="77777777" w:rsidR="00F75AD6" w:rsidRDefault="00E453CD" w:rsidP="006533CF">
            <w:pPr>
              <w:pStyle w:val="EMEANormal"/>
              <w:rPr>
                <w:szCs w:val="22"/>
              </w:rPr>
            </w:pPr>
            <w:r>
              <w:rPr>
                <w:szCs w:val="22"/>
              </w:rPr>
              <w:t>60 (54,5)</w:t>
            </w:r>
          </w:p>
        </w:tc>
        <w:tc>
          <w:tcPr>
            <w:tcW w:w="1890" w:type="dxa"/>
            <w:tcBorders>
              <w:top w:val="nil"/>
              <w:left w:val="nil"/>
              <w:bottom w:val="single" w:sz="4" w:space="0" w:color="auto"/>
              <w:right w:val="nil"/>
            </w:tcBorders>
            <w:hideMark/>
          </w:tcPr>
          <w:p w14:paraId="673E9CF5" w14:textId="77777777" w:rsidR="00F75AD6" w:rsidRDefault="00E453CD" w:rsidP="006533CF">
            <w:pPr>
              <w:pStyle w:val="EMEANormal"/>
              <w:rPr>
                <w:szCs w:val="22"/>
              </w:rPr>
            </w:pPr>
            <w:r>
              <w:rPr>
                <w:szCs w:val="22"/>
              </w:rPr>
              <w:t>5,6</w:t>
            </w:r>
          </w:p>
        </w:tc>
        <w:tc>
          <w:tcPr>
            <w:tcW w:w="720" w:type="dxa"/>
            <w:tcBorders>
              <w:top w:val="nil"/>
              <w:left w:val="nil"/>
              <w:bottom w:val="single" w:sz="4" w:space="0" w:color="auto"/>
              <w:right w:val="nil"/>
            </w:tcBorders>
            <w:hideMark/>
          </w:tcPr>
          <w:p w14:paraId="6818447C" w14:textId="77777777" w:rsidR="00F75AD6" w:rsidRDefault="00E453CD" w:rsidP="006533CF">
            <w:pPr>
              <w:pStyle w:val="EMEANormal"/>
              <w:rPr>
                <w:szCs w:val="22"/>
              </w:rPr>
            </w:pPr>
            <w:r>
              <w:rPr>
                <w:szCs w:val="22"/>
              </w:rPr>
              <w:t>0,50</w:t>
            </w:r>
          </w:p>
        </w:tc>
        <w:tc>
          <w:tcPr>
            <w:tcW w:w="1170" w:type="dxa"/>
            <w:tcBorders>
              <w:top w:val="nil"/>
              <w:left w:val="nil"/>
              <w:bottom w:val="single" w:sz="4" w:space="0" w:color="auto"/>
              <w:right w:val="nil"/>
            </w:tcBorders>
            <w:hideMark/>
          </w:tcPr>
          <w:p w14:paraId="06082EF4" w14:textId="77777777" w:rsidR="00F75AD6" w:rsidRDefault="00E453CD" w:rsidP="006533CF">
            <w:pPr>
              <w:pStyle w:val="EMEANormal"/>
              <w:rPr>
                <w:szCs w:val="22"/>
              </w:rPr>
            </w:pPr>
            <w:r>
              <w:rPr>
                <w:szCs w:val="22"/>
              </w:rPr>
              <w:t>0,36, 0,70</w:t>
            </w:r>
            <w:r>
              <w:rPr>
                <w:szCs w:val="22"/>
                <w:vertAlign w:val="superscript"/>
              </w:rPr>
              <w:t xml:space="preserve"> </w:t>
            </w:r>
          </w:p>
        </w:tc>
        <w:tc>
          <w:tcPr>
            <w:tcW w:w="1080" w:type="dxa"/>
            <w:tcBorders>
              <w:top w:val="nil"/>
              <w:left w:val="nil"/>
              <w:bottom w:val="single" w:sz="4" w:space="0" w:color="auto"/>
              <w:right w:val="nil"/>
            </w:tcBorders>
            <w:hideMark/>
          </w:tcPr>
          <w:p w14:paraId="02FDFB52" w14:textId="77777777" w:rsidR="00F75AD6" w:rsidRDefault="00E453CD" w:rsidP="006533CF">
            <w:pPr>
              <w:pStyle w:val="EMEANormal"/>
              <w:rPr>
                <w:szCs w:val="22"/>
              </w:rPr>
            </w:pPr>
            <w:r>
              <w:rPr>
                <w:szCs w:val="22"/>
              </w:rPr>
              <w:t>&lt; 0,001</w:t>
            </w:r>
          </w:p>
        </w:tc>
      </w:tr>
      <w:tr w:rsidR="004644D4" w14:paraId="1409A870" w14:textId="77777777" w:rsidTr="006533CF">
        <w:tc>
          <w:tcPr>
            <w:tcW w:w="9018" w:type="dxa"/>
            <w:gridSpan w:val="7"/>
            <w:tcBorders>
              <w:top w:val="single" w:sz="4" w:space="0" w:color="auto"/>
              <w:left w:val="nil"/>
              <w:bottom w:val="nil"/>
              <w:right w:val="nil"/>
            </w:tcBorders>
            <w:hideMark/>
          </w:tcPr>
          <w:p w14:paraId="47AEB2AE" w14:textId="77777777" w:rsidR="00F75AD6" w:rsidRPr="00126088" w:rsidRDefault="00E453CD" w:rsidP="006533CF">
            <w:pPr>
              <w:pStyle w:val="EMEANormal"/>
              <w:rPr>
                <w:b/>
                <w:szCs w:val="22"/>
                <w:lang w:val="nb-NO"/>
              </w:rPr>
            </w:pPr>
            <w:r>
              <w:rPr>
                <w:b/>
                <w:szCs w:val="22"/>
                <w:lang w:val="nb-NO"/>
              </w:rPr>
              <w:t>T</w:t>
            </w:r>
            <w:r w:rsidRPr="00126088">
              <w:rPr>
                <w:b/>
                <w:szCs w:val="22"/>
                <w:lang w:val="nb-NO"/>
              </w:rPr>
              <w:t xml:space="preserve">id til behandlingssvikt ved eller etter </w:t>
            </w:r>
            <w:r>
              <w:rPr>
                <w:b/>
                <w:szCs w:val="22"/>
                <w:lang w:val="nb-NO"/>
              </w:rPr>
              <w:t>uke</w:t>
            </w:r>
            <w:r w:rsidRPr="00126088">
              <w:rPr>
                <w:b/>
                <w:szCs w:val="22"/>
                <w:lang w:val="nb-NO"/>
              </w:rPr>
              <w:t xml:space="preserve"> 2 i studie UV II</w:t>
            </w:r>
          </w:p>
        </w:tc>
      </w:tr>
      <w:tr w:rsidR="004644D4" w14:paraId="16110A60" w14:textId="77777777" w:rsidTr="006533CF">
        <w:tc>
          <w:tcPr>
            <w:tcW w:w="2988" w:type="dxa"/>
            <w:gridSpan w:val="2"/>
            <w:tcBorders>
              <w:top w:val="nil"/>
              <w:left w:val="nil"/>
              <w:bottom w:val="nil"/>
              <w:right w:val="nil"/>
            </w:tcBorders>
            <w:hideMark/>
          </w:tcPr>
          <w:p w14:paraId="518F8164" w14:textId="77777777" w:rsidR="00F75AD6" w:rsidRDefault="00E453CD" w:rsidP="006533CF">
            <w:pPr>
              <w:pStyle w:val="EMEANormal"/>
              <w:rPr>
                <w:szCs w:val="22"/>
              </w:rPr>
            </w:pPr>
            <w:r>
              <w:rPr>
                <w:szCs w:val="22"/>
              </w:rPr>
              <w:t>Primæranalyse (ITT)</w:t>
            </w:r>
          </w:p>
        </w:tc>
        <w:tc>
          <w:tcPr>
            <w:tcW w:w="1170" w:type="dxa"/>
            <w:tcBorders>
              <w:top w:val="nil"/>
              <w:left w:val="nil"/>
              <w:bottom w:val="nil"/>
              <w:right w:val="nil"/>
            </w:tcBorders>
          </w:tcPr>
          <w:p w14:paraId="0963B5B8" w14:textId="77777777" w:rsidR="00F75AD6" w:rsidRDefault="00F75AD6" w:rsidP="006533CF">
            <w:pPr>
              <w:pStyle w:val="EMEANormal"/>
              <w:rPr>
                <w:szCs w:val="22"/>
              </w:rPr>
            </w:pPr>
          </w:p>
        </w:tc>
        <w:tc>
          <w:tcPr>
            <w:tcW w:w="1890" w:type="dxa"/>
            <w:tcBorders>
              <w:top w:val="nil"/>
              <w:left w:val="nil"/>
              <w:bottom w:val="nil"/>
              <w:right w:val="nil"/>
            </w:tcBorders>
          </w:tcPr>
          <w:p w14:paraId="513F05E5" w14:textId="77777777" w:rsidR="00F75AD6" w:rsidRDefault="00F75AD6" w:rsidP="006533CF">
            <w:pPr>
              <w:pStyle w:val="EMEANormal"/>
              <w:rPr>
                <w:szCs w:val="22"/>
              </w:rPr>
            </w:pPr>
          </w:p>
        </w:tc>
        <w:tc>
          <w:tcPr>
            <w:tcW w:w="720" w:type="dxa"/>
            <w:tcBorders>
              <w:top w:val="nil"/>
              <w:left w:val="nil"/>
              <w:bottom w:val="nil"/>
              <w:right w:val="nil"/>
            </w:tcBorders>
          </w:tcPr>
          <w:p w14:paraId="79D208EA" w14:textId="77777777" w:rsidR="00F75AD6" w:rsidRDefault="00F75AD6" w:rsidP="006533CF">
            <w:pPr>
              <w:pStyle w:val="EMEANormal"/>
              <w:rPr>
                <w:szCs w:val="22"/>
              </w:rPr>
            </w:pPr>
          </w:p>
        </w:tc>
        <w:tc>
          <w:tcPr>
            <w:tcW w:w="1170" w:type="dxa"/>
            <w:tcBorders>
              <w:top w:val="nil"/>
              <w:left w:val="nil"/>
              <w:bottom w:val="nil"/>
              <w:right w:val="nil"/>
            </w:tcBorders>
          </w:tcPr>
          <w:p w14:paraId="09ACFA56" w14:textId="77777777" w:rsidR="00F75AD6" w:rsidRDefault="00F75AD6" w:rsidP="006533CF">
            <w:pPr>
              <w:pStyle w:val="EMEANormal"/>
              <w:rPr>
                <w:szCs w:val="22"/>
              </w:rPr>
            </w:pPr>
          </w:p>
        </w:tc>
        <w:tc>
          <w:tcPr>
            <w:tcW w:w="1080" w:type="dxa"/>
            <w:tcBorders>
              <w:top w:val="nil"/>
              <w:left w:val="nil"/>
              <w:bottom w:val="nil"/>
              <w:right w:val="nil"/>
            </w:tcBorders>
          </w:tcPr>
          <w:p w14:paraId="4C0C7C80" w14:textId="77777777" w:rsidR="00F75AD6" w:rsidRDefault="00F75AD6" w:rsidP="006533CF">
            <w:pPr>
              <w:pStyle w:val="EMEANormal"/>
              <w:rPr>
                <w:szCs w:val="22"/>
              </w:rPr>
            </w:pPr>
          </w:p>
        </w:tc>
      </w:tr>
      <w:tr w:rsidR="004644D4" w14:paraId="1933FDEC" w14:textId="77777777" w:rsidTr="006533CF">
        <w:tc>
          <w:tcPr>
            <w:tcW w:w="2268" w:type="dxa"/>
            <w:tcBorders>
              <w:top w:val="nil"/>
              <w:left w:val="nil"/>
              <w:bottom w:val="nil"/>
              <w:right w:val="nil"/>
            </w:tcBorders>
            <w:hideMark/>
          </w:tcPr>
          <w:p w14:paraId="26C7D07B" w14:textId="77777777" w:rsidR="00F75AD6" w:rsidRDefault="00E453CD" w:rsidP="006533CF">
            <w:pPr>
              <w:pStyle w:val="EMEANormal"/>
              <w:rPr>
                <w:szCs w:val="22"/>
              </w:rPr>
            </w:pPr>
            <w:r>
              <w:rPr>
                <w:szCs w:val="22"/>
              </w:rPr>
              <w:tab/>
              <w:t>Placebo</w:t>
            </w:r>
          </w:p>
        </w:tc>
        <w:tc>
          <w:tcPr>
            <w:tcW w:w="720" w:type="dxa"/>
            <w:tcBorders>
              <w:top w:val="nil"/>
              <w:left w:val="nil"/>
              <w:bottom w:val="nil"/>
              <w:right w:val="nil"/>
            </w:tcBorders>
            <w:hideMark/>
          </w:tcPr>
          <w:p w14:paraId="5A95BCB9" w14:textId="77777777" w:rsidR="00F75AD6" w:rsidRDefault="00E453CD" w:rsidP="006533CF">
            <w:pPr>
              <w:pStyle w:val="EMEANormal"/>
              <w:rPr>
                <w:szCs w:val="22"/>
              </w:rPr>
            </w:pPr>
            <w:r>
              <w:rPr>
                <w:szCs w:val="22"/>
              </w:rPr>
              <w:t>111</w:t>
            </w:r>
          </w:p>
        </w:tc>
        <w:tc>
          <w:tcPr>
            <w:tcW w:w="1170" w:type="dxa"/>
            <w:tcBorders>
              <w:top w:val="nil"/>
              <w:left w:val="nil"/>
              <w:bottom w:val="nil"/>
              <w:right w:val="nil"/>
            </w:tcBorders>
            <w:hideMark/>
          </w:tcPr>
          <w:p w14:paraId="3D75EE55" w14:textId="77777777" w:rsidR="00F75AD6" w:rsidRDefault="00E453CD" w:rsidP="006533CF">
            <w:pPr>
              <w:pStyle w:val="EMEANormal"/>
              <w:rPr>
                <w:szCs w:val="22"/>
              </w:rPr>
            </w:pPr>
            <w:r>
              <w:rPr>
                <w:szCs w:val="22"/>
              </w:rPr>
              <w:t>61 (55,0)</w:t>
            </w:r>
          </w:p>
        </w:tc>
        <w:tc>
          <w:tcPr>
            <w:tcW w:w="1890" w:type="dxa"/>
            <w:tcBorders>
              <w:top w:val="nil"/>
              <w:left w:val="nil"/>
              <w:bottom w:val="nil"/>
              <w:right w:val="nil"/>
            </w:tcBorders>
            <w:hideMark/>
          </w:tcPr>
          <w:p w14:paraId="704506A5" w14:textId="77777777" w:rsidR="00F75AD6" w:rsidRDefault="00E453CD" w:rsidP="006533CF">
            <w:pPr>
              <w:pStyle w:val="EMEANormal"/>
              <w:rPr>
                <w:szCs w:val="22"/>
              </w:rPr>
            </w:pPr>
            <w:r>
              <w:rPr>
                <w:szCs w:val="22"/>
              </w:rPr>
              <w:t>8,3</w:t>
            </w:r>
          </w:p>
        </w:tc>
        <w:tc>
          <w:tcPr>
            <w:tcW w:w="720" w:type="dxa"/>
            <w:tcBorders>
              <w:top w:val="nil"/>
              <w:left w:val="nil"/>
              <w:bottom w:val="nil"/>
              <w:right w:val="nil"/>
            </w:tcBorders>
            <w:hideMark/>
          </w:tcPr>
          <w:p w14:paraId="231CEAFE" w14:textId="77777777" w:rsidR="00F75AD6" w:rsidRDefault="00E453CD" w:rsidP="006533CF">
            <w:pPr>
              <w:pStyle w:val="EMEANormal"/>
              <w:rPr>
                <w:szCs w:val="22"/>
              </w:rPr>
            </w:pPr>
            <w:r>
              <w:rPr>
                <w:szCs w:val="22"/>
              </w:rPr>
              <w:t>--</w:t>
            </w:r>
          </w:p>
        </w:tc>
        <w:tc>
          <w:tcPr>
            <w:tcW w:w="1170" w:type="dxa"/>
            <w:tcBorders>
              <w:top w:val="nil"/>
              <w:left w:val="nil"/>
              <w:bottom w:val="nil"/>
              <w:right w:val="nil"/>
            </w:tcBorders>
            <w:hideMark/>
          </w:tcPr>
          <w:p w14:paraId="276FE047" w14:textId="77777777" w:rsidR="00F75AD6" w:rsidRDefault="00E453CD" w:rsidP="006533CF">
            <w:pPr>
              <w:pStyle w:val="EMEANormal"/>
              <w:rPr>
                <w:szCs w:val="22"/>
              </w:rPr>
            </w:pPr>
            <w:r>
              <w:rPr>
                <w:szCs w:val="22"/>
              </w:rPr>
              <w:t>--</w:t>
            </w:r>
          </w:p>
        </w:tc>
        <w:tc>
          <w:tcPr>
            <w:tcW w:w="1080" w:type="dxa"/>
            <w:tcBorders>
              <w:top w:val="nil"/>
              <w:left w:val="nil"/>
              <w:bottom w:val="nil"/>
              <w:right w:val="nil"/>
            </w:tcBorders>
            <w:hideMark/>
          </w:tcPr>
          <w:p w14:paraId="09FBBAA5" w14:textId="77777777" w:rsidR="00F75AD6" w:rsidRDefault="00E453CD" w:rsidP="006533CF">
            <w:pPr>
              <w:pStyle w:val="EMEANormal"/>
              <w:rPr>
                <w:szCs w:val="22"/>
              </w:rPr>
            </w:pPr>
            <w:r>
              <w:rPr>
                <w:szCs w:val="22"/>
              </w:rPr>
              <w:t>--</w:t>
            </w:r>
          </w:p>
        </w:tc>
      </w:tr>
      <w:tr w:rsidR="004644D4" w14:paraId="499DBD69" w14:textId="77777777" w:rsidTr="006533CF">
        <w:tc>
          <w:tcPr>
            <w:tcW w:w="2268" w:type="dxa"/>
            <w:tcBorders>
              <w:top w:val="nil"/>
              <w:left w:val="nil"/>
              <w:bottom w:val="single" w:sz="4" w:space="0" w:color="auto"/>
              <w:right w:val="nil"/>
            </w:tcBorders>
            <w:hideMark/>
          </w:tcPr>
          <w:p w14:paraId="7AA10020" w14:textId="77777777" w:rsidR="00F75AD6" w:rsidRDefault="00E453CD" w:rsidP="006533CF">
            <w:pPr>
              <w:pStyle w:val="EMEANormal"/>
              <w:rPr>
                <w:szCs w:val="22"/>
              </w:rPr>
            </w:pPr>
            <w:r>
              <w:rPr>
                <w:szCs w:val="22"/>
              </w:rPr>
              <w:tab/>
              <w:t>Adalimumab</w:t>
            </w:r>
          </w:p>
        </w:tc>
        <w:tc>
          <w:tcPr>
            <w:tcW w:w="720" w:type="dxa"/>
            <w:tcBorders>
              <w:top w:val="nil"/>
              <w:left w:val="nil"/>
              <w:bottom w:val="single" w:sz="4" w:space="0" w:color="auto"/>
              <w:right w:val="nil"/>
            </w:tcBorders>
            <w:hideMark/>
          </w:tcPr>
          <w:p w14:paraId="0D8ED113" w14:textId="77777777" w:rsidR="00F75AD6" w:rsidRDefault="00E453CD" w:rsidP="006533CF">
            <w:pPr>
              <w:pStyle w:val="EMEANormal"/>
              <w:rPr>
                <w:szCs w:val="22"/>
              </w:rPr>
            </w:pPr>
            <w:r>
              <w:rPr>
                <w:szCs w:val="22"/>
              </w:rPr>
              <w:t>115</w:t>
            </w:r>
          </w:p>
        </w:tc>
        <w:tc>
          <w:tcPr>
            <w:tcW w:w="1170" w:type="dxa"/>
            <w:tcBorders>
              <w:top w:val="nil"/>
              <w:left w:val="nil"/>
              <w:bottom w:val="single" w:sz="4" w:space="0" w:color="auto"/>
              <w:right w:val="nil"/>
            </w:tcBorders>
            <w:hideMark/>
          </w:tcPr>
          <w:p w14:paraId="3AF78CB6" w14:textId="77777777" w:rsidR="00F75AD6" w:rsidRDefault="00E453CD" w:rsidP="006533CF">
            <w:pPr>
              <w:pStyle w:val="EMEANormal"/>
              <w:rPr>
                <w:szCs w:val="22"/>
              </w:rPr>
            </w:pPr>
            <w:r>
              <w:rPr>
                <w:szCs w:val="22"/>
              </w:rPr>
              <w:t>45 (39,1)</w:t>
            </w:r>
          </w:p>
        </w:tc>
        <w:tc>
          <w:tcPr>
            <w:tcW w:w="1890" w:type="dxa"/>
            <w:tcBorders>
              <w:top w:val="nil"/>
              <w:left w:val="nil"/>
              <w:bottom w:val="single" w:sz="4" w:space="0" w:color="auto"/>
              <w:right w:val="nil"/>
            </w:tcBorders>
            <w:hideMark/>
          </w:tcPr>
          <w:p w14:paraId="45DDEE8B" w14:textId="77777777" w:rsidR="00F75AD6" w:rsidRDefault="00E453CD" w:rsidP="006533CF">
            <w:pPr>
              <w:pStyle w:val="EMEANormal"/>
              <w:rPr>
                <w:szCs w:val="22"/>
              </w:rPr>
            </w:pPr>
            <w:r>
              <w:rPr>
                <w:szCs w:val="22"/>
              </w:rPr>
              <w:t>NE</w:t>
            </w:r>
            <w:r>
              <w:rPr>
                <w:szCs w:val="22"/>
                <w:vertAlign w:val="superscript"/>
              </w:rPr>
              <w:t>c</w:t>
            </w:r>
          </w:p>
        </w:tc>
        <w:tc>
          <w:tcPr>
            <w:tcW w:w="720" w:type="dxa"/>
            <w:tcBorders>
              <w:top w:val="nil"/>
              <w:left w:val="nil"/>
              <w:bottom w:val="single" w:sz="4" w:space="0" w:color="auto"/>
              <w:right w:val="nil"/>
            </w:tcBorders>
            <w:hideMark/>
          </w:tcPr>
          <w:p w14:paraId="6E152ED3" w14:textId="77777777" w:rsidR="00F75AD6" w:rsidRDefault="00E453CD" w:rsidP="006533CF">
            <w:pPr>
              <w:pStyle w:val="EMEANormal"/>
              <w:rPr>
                <w:szCs w:val="22"/>
              </w:rPr>
            </w:pPr>
            <w:r>
              <w:rPr>
                <w:szCs w:val="22"/>
              </w:rPr>
              <w:t>0,57</w:t>
            </w:r>
          </w:p>
        </w:tc>
        <w:tc>
          <w:tcPr>
            <w:tcW w:w="1170" w:type="dxa"/>
            <w:tcBorders>
              <w:top w:val="nil"/>
              <w:left w:val="nil"/>
              <w:bottom w:val="single" w:sz="4" w:space="0" w:color="auto"/>
              <w:right w:val="nil"/>
            </w:tcBorders>
            <w:hideMark/>
          </w:tcPr>
          <w:p w14:paraId="3DB236CF" w14:textId="77777777" w:rsidR="00F75AD6" w:rsidRDefault="00E453CD" w:rsidP="006533CF">
            <w:pPr>
              <w:pStyle w:val="EMEANormal"/>
              <w:rPr>
                <w:szCs w:val="22"/>
              </w:rPr>
            </w:pPr>
            <w:r>
              <w:rPr>
                <w:szCs w:val="22"/>
              </w:rPr>
              <w:t>0,39, 0,84</w:t>
            </w:r>
          </w:p>
        </w:tc>
        <w:tc>
          <w:tcPr>
            <w:tcW w:w="1080" w:type="dxa"/>
            <w:tcBorders>
              <w:top w:val="nil"/>
              <w:left w:val="nil"/>
              <w:bottom w:val="single" w:sz="4" w:space="0" w:color="auto"/>
              <w:right w:val="nil"/>
            </w:tcBorders>
            <w:hideMark/>
          </w:tcPr>
          <w:p w14:paraId="78ED7B3D" w14:textId="77777777" w:rsidR="00F75AD6" w:rsidRDefault="00E453CD" w:rsidP="006533CF">
            <w:pPr>
              <w:pStyle w:val="EMEANormal"/>
              <w:rPr>
                <w:szCs w:val="22"/>
              </w:rPr>
            </w:pPr>
            <w:r>
              <w:rPr>
                <w:szCs w:val="22"/>
              </w:rPr>
              <w:t>0,004</w:t>
            </w:r>
          </w:p>
        </w:tc>
      </w:tr>
    </w:tbl>
    <w:p w14:paraId="43782E80" w14:textId="77777777" w:rsidR="00F75AD6" w:rsidRPr="00126088" w:rsidRDefault="00E453CD" w:rsidP="00F75AD6">
      <w:pPr>
        <w:pStyle w:val="EMEANormal"/>
        <w:rPr>
          <w:szCs w:val="22"/>
          <w:lang w:val="nb-NO"/>
        </w:rPr>
      </w:pPr>
      <w:r w:rsidRPr="00F9139E">
        <w:rPr>
          <w:szCs w:val="22"/>
          <w:lang w:val="nb-NO"/>
        </w:rPr>
        <w:t>Merk</w:t>
      </w:r>
      <w:r w:rsidRPr="00126088">
        <w:rPr>
          <w:szCs w:val="22"/>
          <w:lang w:val="nb-NO"/>
        </w:rPr>
        <w:t>:  B</w:t>
      </w:r>
      <w:r w:rsidRPr="00F9139E">
        <w:rPr>
          <w:szCs w:val="22"/>
          <w:lang w:val="nb-NO"/>
        </w:rPr>
        <w:t xml:space="preserve">ehandlingssvikt </w:t>
      </w:r>
      <w:r>
        <w:rPr>
          <w:szCs w:val="22"/>
          <w:lang w:val="nb-NO"/>
        </w:rPr>
        <w:t>ved</w:t>
      </w:r>
      <w:r w:rsidRPr="00126088">
        <w:rPr>
          <w:szCs w:val="22"/>
          <w:lang w:val="nb-NO"/>
        </w:rPr>
        <w:t xml:space="preserve"> eller etter uke</w:t>
      </w:r>
      <w:r w:rsidRPr="00F9139E">
        <w:rPr>
          <w:szCs w:val="22"/>
          <w:lang w:val="nb-NO"/>
        </w:rPr>
        <w:t xml:space="preserve"> 6 (</w:t>
      </w:r>
      <w:r>
        <w:rPr>
          <w:szCs w:val="22"/>
          <w:lang w:val="nb-NO"/>
        </w:rPr>
        <w:t>studie</w:t>
      </w:r>
      <w:r w:rsidRPr="00126088">
        <w:rPr>
          <w:szCs w:val="22"/>
          <w:lang w:val="nb-NO"/>
        </w:rPr>
        <w:t xml:space="preserve"> UV I), </w:t>
      </w:r>
      <w:r>
        <w:rPr>
          <w:szCs w:val="22"/>
          <w:lang w:val="nb-NO"/>
        </w:rPr>
        <w:t xml:space="preserve">eller ved eller etter uke </w:t>
      </w:r>
      <w:r w:rsidRPr="00F9139E">
        <w:rPr>
          <w:szCs w:val="22"/>
          <w:lang w:val="nb-NO"/>
        </w:rPr>
        <w:t>2 (</w:t>
      </w:r>
      <w:r>
        <w:rPr>
          <w:szCs w:val="22"/>
          <w:lang w:val="nb-NO"/>
        </w:rPr>
        <w:t>studie</w:t>
      </w:r>
      <w:r w:rsidRPr="00126088">
        <w:rPr>
          <w:szCs w:val="22"/>
          <w:lang w:val="nb-NO"/>
        </w:rPr>
        <w:t xml:space="preserve"> UV II), </w:t>
      </w:r>
      <w:r>
        <w:rPr>
          <w:szCs w:val="22"/>
          <w:lang w:val="nb-NO"/>
        </w:rPr>
        <w:t>ble</w:t>
      </w:r>
      <w:r w:rsidRPr="00126088">
        <w:rPr>
          <w:szCs w:val="22"/>
          <w:lang w:val="nb-NO"/>
        </w:rPr>
        <w:t xml:space="preserve"> </w:t>
      </w:r>
      <w:r>
        <w:rPr>
          <w:szCs w:val="22"/>
          <w:lang w:val="nb-NO"/>
        </w:rPr>
        <w:t>regnet som en hendelse</w:t>
      </w:r>
      <w:r w:rsidRPr="00126088">
        <w:rPr>
          <w:szCs w:val="22"/>
          <w:lang w:val="nb-NO"/>
        </w:rPr>
        <w:t xml:space="preserve">. </w:t>
      </w:r>
      <w:r w:rsidR="00567E4B">
        <w:rPr>
          <w:szCs w:val="22"/>
          <w:lang w:val="nb-NO"/>
        </w:rPr>
        <w:t>Frafall</w:t>
      </w:r>
      <w:r w:rsidRPr="00126088">
        <w:rPr>
          <w:szCs w:val="22"/>
          <w:lang w:val="nb-NO"/>
        </w:rPr>
        <w:t xml:space="preserve"> som skyld</w:t>
      </w:r>
      <w:r>
        <w:rPr>
          <w:szCs w:val="22"/>
          <w:lang w:val="nb-NO"/>
        </w:rPr>
        <w:t>t</w:t>
      </w:r>
      <w:r w:rsidRPr="00126088">
        <w:rPr>
          <w:szCs w:val="22"/>
          <w:lang w:val="nb-NO"/>
        </w:rPr>
        <w:t xml:space="preserve">es andre </w:t>
      </w:r>
      <w:r w:rsidR="009019DA">
        <w:rPr>
          <w:szCs w:val="22"/>
          <w:lang w:val="nb-NO"/>
        </w:rPr>
        <w:t>årsaker</w:t>
      </w:r>
      <w:r w:rsidRPr="00126088">
        <w:rPr>
          <w:szCs w:val="22"/>
          <w:lang w:val="nb-NO"/>
        </w:rPr>
        <w:t xml:space="preserve"> enn behandlingssvikt ble sensurert på tidspunktet for </w:t>
      </w:r>
      <w:r w:rsidR="00567E4B">
        <w:rPr>
          <w:szCs w:val="22"/>
          <w:lang w:val="nb-NO"/>
        </w:rPr>
        <w:t>frafall</w:t>
      </w:r>
      <w:r w:rsidRPr="00126088">
        <w:rPr>
          <w:szCs w:val="22"/>
          <w:lang w:val="nb-NO"/>
        </w:rPr>
        <w:t>.</w:t>
      </w:r>
    </w:p>
    <w:p w14:paraId="749CB7AB" w14:textId="77777777" w:rsidR="00F75AD6" w:rsidRPr="00126088" w:rsidRDefault="00E453CD" w:rsidP="00F75AD6">
      <w:pPr>
        <w:pStyle w:val="EMEANormal"/>
        <w:numPr>
          <w:ilvl w:val="0"/>
          <w:numId w:val="107"/>
        </w:numPr>
        <w:rPr>
          <w:szCs w:val="22"/>
          <w:lang w:val="nb-NO"/>
        </w:rPr>
      </w:pPr>
      <w:r w:rsidRPr="00126088">
        <w:rPr>
          <w:szCs w:val="22"/>
          <w:lang w:val="nb-NO"/>
        </w:rPr>
        <w:t>HR av</w:t>
      </w:r>
      <w:r w:rsidRPr="00DF55BB">
        <w:rPr>
          <w:szCs w:val="22"/>
          <w:lang w:val="nb-NO"/>
        </w:rPr>
        <w:t xml:space="preserve"> adalimumab vs placebo fr</w:t>
      </w:r>
      <w:r>
        <w:rPr>
          <w:szCs w:val="22"/>
          <w:lang w:val="nb-NO"/>
        </w:rPr>
        <w:t>a</w:t>
      </w:r>
      <w:r w:rsidRPr="00126088">
        <w:rPr>
          <w:szCs w:val="22"/>
          <w:lang w:val="nb-NO"/>
        </w:rPr>
        <w:t xml:space="preserve"> </w:t>
      </w:r>
      <w:r w:rsidR="00D57009">
        <w:rPr>
          <w:szCs w:val="22"/>
          <w:lang w:val="nb-NO"/>
        </w:rPr>
        <w:t>«</w:t>
      </w:r>
      <w:r w:rsidRPr="00126088">
        <w:rPr>
          <w:szCs w:val="22"/>
          <w:lang w:val="nb-NO"/>
        </w:rPr>
        <w:t>proportional hazards regression</w:t>
      </w:r>
      <w:r>
        <w:rPr>
          <w:szCs w:val="22"/>
          <w:lang w:val="nb-NO"/>
        </w:rPr>
        <w:t>’</w:t>
      </w:r>
      <w:r w:rsidRPr="00126088">
        <w:rPr>
          <w:szCs w:val="22"/>
          <w:lang w:val="nb-NO"/>
        </w:rPr>
        <w:t xml:space="preserve"> med behandling som faktor.</w:t>
      </w:r>
    </w:p>
    <w:p w14:paraId="3B3F0CCA" w14:textId="77777777" w:rsidR="00F75AD6" w:rsidRPr="00126088" w:rsidRDefault="00E453CD" w:rsidP="00F75AD6">
      <w:pPr>
        <w:pStyle w:val="EMEANormal"/>
        <w:numPr>
          <w:ilvl w:val="0"/>
          <w:numId w:val="107"/>
        </w:numPr>
        <w:rPr>
          <w:szCs w:val="22"/>
          <w:lang w:val="nb-NO"/>
        </w:rPr>
      </w:pPr>
      <w:r w:rsidRPr="00126088">
        <w:rPr>
          <w:szCs w:val="22"/>
          <w:lang w:val="nb-NO"/>
        </w:rPr>
        <w:t>2-sidet p-verdi fra log rank test.</w:t>
      </w:r>
    </w:p>
    <w:p w14:paraId="7CDA69FC" w14:textId="77777777" w:rsidR="00F75AD6" w:rsidRPr="00126088" w:rsidRDefault="00E453CD" w:rsidP="00F75AD6">
      <w:pPr>
        <w:pStyle w:val="EMEANormal"/>
        <w:numPr>
          <w:ilvl w:val="0"/>
          <w:numId w:val="107"/>
        </w:numPr>
        <w:rPr>
          <w:szCs w:val="22"/>
          <w:lang w:val="nb-NO"/>
        </w:rPr>
      </w:pPr>
      <w:r w:rsidRPr="00126088">
        <w:rPr>
          <w:szCs w:val="22"/>
          <w:lang w:val="nb-NO"/>
        </w:rPr>
        <w:t xml:space="preserve">NE = kan ikke estimeres. Færre enn halvparten av </w:t>
      </w:r>
      <w:r w:rsidR="00567E4B">
        <w:rPr>
          <w:szCs w:val="22"/>
          <w:lang w:val="nb-NO"/>
        </w:rPr>
        <w:t>risiko</w:t>
      </w:r>
      <w:r w:rsidRPr="00126088">
        <w:rPr>
          <w:szCs w:val="22"/>
          <w:lang w:val="nb-NO"/>
        </w:rPr>
        <w:t>pasientene</w:t>
      </w:r>
      <w:r>
        <w:rPr>
          <w:szCs w:val="22"/>
          <w:lang w:val="nb-NO"/>
        </w:rPr>
        <w:t xml:space="preserve"> hadde en hendelse</w:t>
      </w:r>
      <w:r w:rsidRPr="00126088">
        <w:rPr>
          <w:szCs w:val="22"/>
          <w:lang w:val="nb-NO"/>
        </w:rPr>
        <w:t xml:space="preserve">. </w:t>
      </w:r>
    </w:p>
    <w:p w14:paraId="6220E91F" w14:textId="77777777" w:rsidR="00F75AD6" w:rsidRPr="00126088" w:rsidRDefault="00F75AD6" w:rsidP="00F75AD6">
      <w:pPr>
        <w:pStyle w:val="EMEANormal"/>
        <w:rPr>
          <w:szCs w:val="22"/>
          <w:lang w:val="nb-NO"/>
        </w:rPr>
      </w:pPr>
    </w:p>
    <w:p w14:paraId="239C3EC7" w14:textId="77777777" w:rsidR="00F75AD6" w:rsidRPr="00126088" w:rsidRDefault="00E453CD" w:rsidP="00F75AD6">
      <w:pPr>
        <w:pStyle w:val="EMEANormal"/>
        <w:keepNext/>
        <w:jc w:val="center"/>
        <w:rPr>
          <w:b/>
          <w:szCs w:val="22"/>
          <w:lang w:val="nb-NO"/>
        </w:rPr>
      </w:pPr>
      <w:r w:rsidRPr="00126088">
        <w:rPr>
          <w:b/>
          <w:szCs w:val="22"/>
          <w:lang w:val="nb-NO"/>
        </w:rPr>
        <w:t xml:space="preserve">Figur </w:t>
      </w:r>
      <w:r w:rsidR="003508F1">
        <w:rPr>
          <w:b/>
          <w:szCs w:val="22"/>
          <w:lang w:val="nb-NO"/>
        </w:rPr>
        <w:t>2</w:t>
      </w:r>
      <w:r w:rsidRPr="00126088">
        <w:rPr>
          <w:b/>
          <w:szCs w:val="22"/>
          <w:lang w:val="nb-NO"/>
        </w:rPr>
        <w:t xml:space="preserve">: Kaplan-Meier kurver som </w:t>
      </w:r>
      <w:r>
        <w:rPr>
          <w:b/>
          <w:szCs w:val="22"/>
          <w:lang w:val="nb-NO"/>
        </w:rPr>
        <w:t>opp</w:t>
      </w:r>
      <w:r w:rsidRPr="00126088">
        <w:rPr>
          <w:b/>
          <w:szCs w:val="22"/>
          <w:lang w:val="nb-NO"/>
        </w:rPr>
        <w:t xml:space="preserve">summerer tid til behandlingssvikt </w:t>
      </w:r>
      <w:r>
        <w:rPr>
          <w:b/>
          <w:szCs w:val="22"/>
          <w:lang w:val="nb-NO"/>
        </w:rPr>
        <w:t>ved</w:t>
      </w:r>
      <w:r w:rsidRPr="00126088">
        <w:rPr>
          <w:b/>
          <w:szCs w:val="22"/>
          <w:lang w:val="nb-NO"/>
        </w:rPr>
        <w:t xml:space="preserve"> eller etter </w:t>
      </w:r>
      <w:r>
        <w:rPr>
          <w:b/>
          <w:szCs w:val="22"/>
          <w:lang w:val="nb-NO"/>
        </w:rPr>
        <w:t>uke</w:t>
      </w:r>
      <w:r w:rsidRPr="00126088">
        <w:rPr>
          <w:b/>
          <w:szCs w:val="22"/>
          <w:lang w:val="nb-NO"/>
        </w:rPr>
        <w:t xml:space="preserve"> 6 (</w:t>
      </w:r>
      <w:r>
        <w:rPr>
          <w:b/>
          <w:szCs w:val="22"/>
          <w:lang w:val="nb-NO"/>
        </w:rPr>
        <w:t>studie</w:t>
      </w:r>
      <w:r w:rsidRPr="00126088">
        <w:rPr>
          <w:b/>
          <w:szCs w:val="22"/>
          <w:lang w:val="nb-NO"/>
        </w:rPr>
        <w:t xml:space="preserve"> UV I) </w:t>
      </w:r>
      <w:r>
        <w:rPr>
          <w:b/>
          <w:szCs w:val="22"/>
          <w:lang w:val="nb-NO"/>
        </w:rPr>
        <w:t>eller uke</w:t>
      </w:r>
      <w:r w:rsidRPr="00F9139E">
        <w:rPr>
          <w:b/>
          <w:szCs w:val="22"/>
          <w:lang w:val="nb-NO"/>
        </w:rPr>
        <w:t xml:space="preserve"> 2 (</w:t>
      </w:r>
      <w:r>
        <w:rPr>
          <w:b/>
          <w:szCs w:val="22"/>
          <w:lang w:val="nb-NO"/>
        </w:rPr>
        <w:t>studie</w:t>
      </w:r>
      <w:r w:rsidRPr="00126088">
        <w:rPr>
          <w:b/>
          <w:szCs w:val="22"/>
          <w:lang w:val="nb-NO"/>
        </w:rPr>
        <w:t xml:space="preserve"> UV II) </w:t>
      </w:r>
    </w:p>
    <w:p w14:paraId="3C211D14" w14:textId="77777777" w:rsidR="00F75AD6" w:rsidRPr="00126088" w:rsidRDefault="00F75AD6" w:rsidP="00F75AD6">
      <w:pPr>
        <w:pStyle w:val="EMEANormal"/>
        <w:keepNext/>
        <w:jc w:val="center"/>
        <w:rPr>
          <w:b/>
          <w:szCs w:val="22"/>
          <w:lang w:val="nb-NO"/>
        </w:rPr>
      </w:pPr>
    </w:p>
    <w:tbl>
      <w:tblPr>
        <w:tblW w:w="9285" w:type="dxa"/>
        <w:tblLayout w:type="fixed"/>
        <w:tblLook w:val="04A0" w:firstRow="1" w:lastRow="0" w:firstColumn="1" w:lastColumn="0" w:noHBand="0" w:noVBand="1"/>
      </w:tblPr>
      <w:tblGrid>
        <w:gridCol w:w="481"/>
        <w:gridCol w:w="3495"/>
        <w:gridCol w:w="1170"/>
        <w:gridCol w:w="1350"/>
        <w:gridCol w:w="900"/>
        <w:gridCol w:w="1889"/>
      </w:tblGrid>
      <w:tr w:rsidR="004644D4" w14:paraId="3D3FBD4A" w14:textId="77777777" w:rsidTr="006533CF">
        <w:trPr>
          <w:cantSplit/>
          <w:trHeight w:val="3806"/>
        </w:trPr>
        <w:tc>
          <w:tcPr>
            <w:tcW w:w="482" w:type="dxa"/>
            <w:textDirection w:val="btLr"/>
            <w:vAlign w:val="bottom"/>
            <w:hideMark/>
          </w:tcPr>
          <w:p w14:paraId="5D65585D" w14:textId="77777777" w:rsidR="00F75AD6" w:rsidRDefault="00E453CD" w:rsidP="006533CF">
            <w:pPr>
              <w:pStyle w:val="EMEANormal"/>
              <w:keepNext/>
              <w:ind w:left="113" w:right="113"/>
              <w:jc w:val="center"/>
              <w:rPr>
                <w:b/>
                <w:szCs w:val="22"/>
              </w:rPr>
            </w:pPr>
            <w:r>
              <w:rPr>
                <w:b/>
                <w:szCs w:val="22"/>
              </w:rPr>
              <w:t>BEHANDLINGSSVIKT (%)</w:t>
            </w:r>
          </w:p>
        </w:tc>
        <w:tc>
          <w:tcPr>
            <w:tcW w:w="8806" w:type="dxa"/>
            <w:gridSpan w:val="5"/>
            <w:vAlign w:val="bottom"/>
            <w:hideMark/>
          </w:tcPr>
          <w:p w14:paraId="13FBC84C" w14:textId="77777777" w:rsidR="00F75AD6" w:rsidRDefault="00E453CD" w:rsidP="006533CF">
            <w:pPr>
              <w:pStyle w:val="EMEANormal"/>
              <w:keepNext/>
              <w:rPr>
                <w:szCs w:val="22"/>
              </w:rPr>
            </w:pPr>
            <w:r>
              <w:rPr>
                <w:noProof/>
                <w:lang w:val="en-GB" w:eastAsia="en-GB"/>
              </w:rPr>
              <w:drawing>
                <wp:inline distT="0" distB="0" distL="0" distR="0" wp14:anchorId="1FFC50D5" wp14:editId="2DB5CC3A">
                  <wp:extent cx="5486400" cy="2210435"/>
                  <wp:effectExtent l="0" t="0" r="0" b="0"/>
                  <wp:docPr id="91" name="Picture 9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1" descr="Humira Uveitis Figure 5_6"/>
                          <pic:cNvPicPr>
                            <a:picLocks noChangeAspect="1" noChangeArrowheads="1"/>
                          </pic:cNvPicPr>
                        </pic:nvPicPr>
                        <pic:blipFill>
                          <a:blip r:embed="rId22" r:link="rId23">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p>
        </w:tc>
      </w:tr>
      <w:tr w:rsidR="004644D4" w14:paraId="0DAFA22B" w14:textId="77777777" w:rsidTr="006533CF">
        <w:tc>
          <w:tcPr>
            <w:tcW w:w="482" w:type="dxa"/>
          </w:tcPr>
          <w:p w14:paraId="514D83C4" w14:textId="77777777" w:rsidR="00F75AD6" w:rsidRDefault="00F75AD6" w:rsidP="006533CF">
            <w:pPr>
              <w:pStyle w:val="EMEANormal"/>
              <w:rPr>
                <w:szCs w:val="22"/>
              </w:rPr>
            </w:pPr>
          </w:p>
        </w:tc>
        <w:tc>
          <w:tcPr>
            <w:tcW w:w="8806" w:type="dxa"/>
            <w:gridSpan w:val="5"/>
            <w:hideMark/>
          </w:tcPr>
          <w:p w14:paraId="25C4E5C6" w14:textId="77777777" w:rsidR="00F75AD6" w:rsidRDefault="00E453CD" w:rsidP="006533CF">
            <w:pPr>
              <w:pStyle w:val="EMEANormal"/>
              <w:jc w:val="center"/>
              <w:rPr>
                <w:b/>
                <w:szCs w:val="22"/>
              </w:rPr>
            </w:pPr>
            <w:r>
              <w:rPr>
                <w:b/>
                <w:szCs w:val="22"/>
              </w:rPr>
              <w:t>TID (MÅNEDER)</w:t>
            </w:r>
          </w:p>
        </w:tc>
      </w:tr>
      <w:tr w:rsidR="004644D4" w14:paraId="006A34B7" w14:textId="77777777" w:rsidTr="006533CF">
        <w:tc>
          <w:tcPr>
            <w:tcW w:w="482" w:type="dxa"/>
          </w:tcPr>
          <w:p w14:paraId="25ECF8CE" w14:textId="77777777" w:rsidR="00F75AD6" w:rsidRDefault="00F75AD6" w:rsidP="006533CF">
            <w:pPr>
              <w:pStyle w:val="EMEANormal"/>
              <w:rPr>
                <w:szCs w:val="22"/>
              </w:rPr>
            </w:pPr>
          </w:p>
        </w:tc>
        <w:tc>
          <w:tcPr>
            <w:tcW w:w="3496" w:type="dxa"/>
            <w:hideMark/>
          </w:tcPr>
          <w:p w14:paraId="0F11BE9F" w14:textId="77777777" w:rsidR="00F75AD6" w:rsidRDefault="00E453CD" w:rsidP="006533CF">
            <w:pPr>
              <w:pStyle w:val="EMEANormal"/>
              <w:rPr>
                <w:szCs w:val="22"/>
              </w:rPr>
            </w:pPr>
            <w:r>
              <w:rPr>
                <w:szCs w:val="22"/>
              </w:rPr>
              <w:t>Studie UV I                     Behandling</w:t>
            </w:r>
          </w:p>
        </w:tc>
        <w:tc>
          <w:tcPr>
            <w:tcW w:w="1170" w:type="dxa"/>
            <w:hideMark/>
          </w:tcPr>
          <w:p w14:paraId="36CA8DB0" w14:textId="77777777" w:rsidR="00F75AD6" w:rsidRDefault="00E453CD" w:rsidP="006533CF">
            <w:pPr>
              <w:pStyle w:val="EMEANormal"/>
              <w:jc w:val="right"/>
              <w:rPr>
                <w:szCs w:val="22"/>
              </w:rPr>
            </w:pPr>
            <w:r>
              <w:rPr>
                <w:noProof/>
                <w:szCs w:val="22"/>
                <w:lang w:val="en-GB" w:eastAsia="en-GB"/>
              </w:rPr>
              <w:drawing>
                <wp:inline distT="0" distB="0" distL="0" distR="0" wp14:anchorId="3268A689" wp14:editId="73C9AAF6">
                  <wp:extent cx="400050" cy="180975"/>
                  <wp:effectExtent l="0" t="0" r="0" b="9525"/>
                  <wp:docPr id="77" name="Picture 7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hideMark/>
          </w:tcPr>
          <w:p w14:paraId="13AA6E0F" w14:textId="77777777" w:rsidR="00F75AD6" w:rsidRDefault="00E453CD" w:rsidP="006533CF">
            <w:pPr>
              <w:pStyle w:val="EMEANormal"/>
              <w:rPr>
                <w:szCs w:val="22"/>
              </w:rPr>
            </w:pPr>
            <w:r>
              <w:rPr>
                <w:szCs w:val="22"/>
              </w:rPr>
              <w:t>Placebo</w:t>
            </w:r>
          </w:p>
        </w:tc>
        <w:tc>
          <w:tcPr>
            <w:tcW w:w="900" w:type="dxa"/>
            <w:hideMark/>
          </w:tcPr>
          <w:p w14:paraId="0C4CF61E" w14:textId="77777777" w:rsidR="00F75AD6" w:rsidRDefault="00E453CD" w:rsidP="006533CF">
            <w:pPr>
              <w:pStyle w:val="EMEANormal"/>
              <w:jc w:val="right"/>
              <w:rPr>
                <w:szCs w:val="22"/>
              </w:rPr>
            </w:pPr>
            <w:r>
              <w:rPr>
                <w:noProof/>
                <w:szCs w:val="22"/>
                <w:lang w:val="en-GB" w:eastAsia="en-GB"/>
              </w:rPr>
              <w:drawing>
                <wp:inline distT="0" distB="0" distL="0" distR="0" wp14:anchorId="1AB08D5D" wp14:editId="022BF524">
                  <wp:extent cx="561975" cy="180975"/>
                  <wp:effectExtent l="0" t="0" r="9525" b="9525"/>
                  <wp:docPr id="78" name="Picture 7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4"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hideMark/>
          </w:tcPr>
          <w:p w14:paraId="7F8A8701" w14:textId="77777777" w:rsidR="00F75AD6" w:rsidRDefault="00E453CD" w:rsidP="006533CF">
            <w:pPr>
              <w:pStyle w:val="EMEANormal"/>
              <w:rPr>
                <w:szCs w:val="22"/>
              </w:rPr>
            </w:pPr>
            <w:r>
              <w:rPr>
                <w:szCs w:val="22"/>
              </w:rPr>
              <w:t>Adalimumab</w:t>
            </w:r>
          </w:p>
        </w:tc>
      </w:tr>
      <w:tr w:rsidR="004644D4" w14:paraId="6E481955" w14:textId="77777777" w:rsidTr="006533CF">
        <w:trPr>
          <w:trHeight w:val="3869"/>
        </w:trPr>
        <w:tc>
          <w:tcPr>
            <w:tcW w:w="482" w:type="dxa"/>
            <w:textDirection w:val="btLr"/>
            <w:vAlign w:val="bottom"/>
            <w:hideMark/>
          </w:tcPr>
          <w:p w14:paraId="057513FF" w14:textId="77777777" w:rsidR="00F75AD6" w:rsidRDefault="00E453CD" w:rsidP="006533CF">
            <w:pPr>
              <w:pStyle w:val="EMEANormal"/>
              <w:jc w:val="center"/>
              <w:rPr>
                <w:szCs w:val="22"/>
              </w:rPr>
            </w:pPr>
            <w:r>
              <w:rPr>
                <w:b/>
                <w:szCs w:val="22"/>
              </w:rPr>
              <w:t>BEHANDLINGSSVIKT (%)</w:t>
            </w:r>
          </w:p>
        </w:tc>
        <w:tc>
          <w:tcPr>
            <w:tcW w:w="8806" w:type="dxa"/>
            <w:gridSpan w:val="5"/>
            <w:vAlign w:val="bottom"/>
            <w:hideMark/>
          </w:tcPr>
          <w:p w14:paraId="778CC400" w14:textId="77777777" w:rsidR="00F75AD6" w:rsidRDefault="00E453CD" w:rsidP="006533CF">
            <w:pPr>
              <w:pStyle w:val="EMEANormal"/>
              <w:rPr>
                <w:szCs w:val="22"/>
              </w:rPr>
            </w:pPr>
            <w:r>
              <w:rPr>
                <w:noProof/>
                <w:szCs w:val="22"/>
                <w:lang w:val="en-GB" w:eastAsia="en-GB"/>
              </w:rPr>
              <w:drawing>
                <wp:inline distT="0" distB="0" distL="0" distR="0" wp14:anchorId="6B681D13" wp14:editId="1430482F">
                  <wp:extent cx="5495290" cy="2190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5"/>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495290" cy="2190750"/>
                          </a:xfrm>
                          <a:prstGeom prst="rect">
                            <a:avLst/>
                          </a:prstGeom>
                          <a:noFill/>
                        </pic:spPr>
                      </pic:pic>
                    </a:graphicData>
                  </a:graphic>
                </wp:inline>
              </w:drawing>
            </w:r>
          </w:p>
        </w:tc>
      </w:tr>
      <w:tr w:rsidR="004644D4" w14:paraId="276715C4" w14:textId="77777777" w:rsidTr="006533CF">
        <w:tc>
          <w:tcPr>
            <w:tcW w:w="482" w:type="dxa"/>
          </w:tcPr>
          <w:p w14:paraId="5F00D108" w14:textId="77777777" w:rsidR="00F75AD6" w:rsidRDefault="00F75AD6" w:rsidP="006533CF">
            <w:pPr>
              <w:pStyle w:val="EMEANormal"/>
              <w:rPr>
                <w:szCs w:val="22"/>
              </w:rPr>
            </w:pPr>
          </w:p>
        </w:tc>
        <w:tc>
          <w:tcPr>
            <w:tcW w:w="8806" w:type="dxa"/>
            <w:gridSpan w:val="5"/>
            <w:hideMark/>
          </w:tcPr>
          <w:p w14:paraId="3D600330" w14:textId="77777777" w:rsidR="00F75AD6" w:rsidRDefault="00E453CD" w:rsidP="006533CF">
            <w:pPr>
              <w:pStyle w:val="EMEANormal"/>
              <w:jc w:val="center"/>
              <w:rPr>
                <w:b/>
                <w:szCs w:val="22"/>
              </w:rPr>
            </w:pPr>
            <w:r>
              <w:rPr>
                <w:b/>
                <w:szCs w:val="22"/>
              </w:rPr>
              <w:t>TID (MÅNEDER)</w:t>
            </w:r>
          </w:p>
        </w:tc>
      </w:tr>
      <w:tr w:rsidR="004644D4" w14:paraId="778C6846" w14:textId="77777777" w:rsidTr="006533CF">
        <w:trPr>
          <w:trHeight w:val="369"/>
        </w:trPr>
        <w:tc>
          <w:tcPr>
            <w:tcW w:w="482" w:type="dxa"/>
          </w:tcPr>
          <w:p w14:paraId="38BAC510" w14:textId="77777777" w:rsidR="00F75AD6" w:rsidRDefault="00F75AD6" w:rsidP="006533CF">
            <w:pPr>
              <w:pStyle w:val="EMEANormal"/>
              <w:rPr>
                <w:szCs w:val="22"/>
              </w:rPr>
            </w:pPr>
          </w:p>
        </w:tc>
        <w:tc>
          <w:tcPr>
            <w:tcW w:w="3496" w:type="dxa"/>
            <w:hideMark/>
          </w:tcPr>
          <w:p w14:paraId="7026CDE0" w14:textId="77777777" w:rsidR="00F75AD6" w:rsidRDefault="00E453CD" w:rsidP="006533CF">
            <w:pPr>
              <w:pStyle w:val="EMEANormal"/>
              <w:rPr>
                <w:szCs w:val="22"/>
              </w:rPr>
            </w:pPr>
            <w:r>
              <w:rPr>
                <w:szCs w:val="22"/>
              </w:rPr>
              <w:t>Studie UV II                    Behandling</w:t>
            </w:r>
          </w:p>
        </w:tc>
        <w:tc>
          <w:tcPr>
            <w:tcW w:w="1170" w:type="dxa"/>
            <w:hideMark/>
          </w:tcPr>
          <w:p w14:paraId="1BB50D21" w14:textId="77777777" w:rsidR="00F75AD6" w:rsidRDefault="00E453CD" w:rsidP="006533CF">
            <w:pPr>
              <w:pStyle w:val="EMEANormal"/>
              <w:jc w:val="right"/>
              <w:rPr>
                <w:szCs w:val="22"/>
              </w:rPr>
            </w:pPr>
            <w:r>
              <w:rPr>
                <w:noProof/>
                <w:szCs w:val="22"/>
                <w:lang w:val="en-GB" w:eastAsia="en-GB"/>
              </w:rPr>
              <w:drawing>
                <wp:inline distT="0" distB="0" distL="0" distR="0" wp14:anchorId="1B4DFB3C" wp14:editId="19ABDD34">
                  <wp:extent cx="400050" cy="180975"/>
                  <wp:effectExtent l="0" t="0" r="0" b="9525"/>
                  <wp:docPr id="80" name="Picture 8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6"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hideMark/>
          </w:tcPr>
          <w:p w14:paraId="0BC55D1E" w14:textId="77777777" w:rsidR="00F75AD6" w:rsidRDefault="00E453CD" w:rsidP="006533CF">
            <w:pPr>
              <w:pStyle w:val="EMEANormal"/>
              <w:rPr>
                <w:szCs w:val="22"/>
              </w:rPr>
            </w:pPr>
            <w:r>
              <w:rPr>
                <w:szCs w:val="22"/>
              </w:rPr>
              <w:t>Placebo</w:t>
            </w:r>
          </w:p>
        </w:tc>
        <w:tc>
          <w:tcPr>
            <w:tcW w:w="900" w:type="dxa"/>
            <w:hideMark/>
          </w:tcPr>
          <w:p w14:paraId="2D920F3B" w14:textId="77777777" w:rsidR="00F75AD6" w:rsidRDefault="00E453CD" w:rsidP="006533CF">
            <w:pPr>
              <w:pStyle w:val="EMEANormal"/>
              <w:jc w:val="right"/>
              <w:rPr>
                <w:szCs w:val="22"/>
              </w:rPr>
            </w:pPr>
            <w:r>
              <w:rPr>
                <w:noProof/>
                <w:szCs w:val="22"/>
                <w:lang w:val="en-GB" w:eastAsia="en-GB"/>
              </w:rPr>
              <w:drawing>
                <wp:inline distT="0" distB="0" distL="0" distR="0" wp14:anchorId="7151D467" wp14:editId="6B4E5C51">
                  <wp:extent cx="561975" cy="180975"/>
                  <wp:effectExtent l="0" t="0" r="9525" b="9525"/>
                  <wp:docPr id="81" name="Picture 8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7"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hideMark/>
          </w:tcPr>
          <w:p w14:paraId="575F2146" w14:textId="77777777" w:rsidR="00F75AD6" w:rsidRDefault="00E453CD" w:rsidP="006533CF">
            <w:pPr>
              <w:pStyle w:val="EMEANormal"/>
              <w:rPr>
                <w:szCs w:val="22"/>
              </w:rPr>
            </w:pPr>
            <w:r>
              <w:rPr>
                <w:szCs w:val="22"/>
              </w:rPr>
              <w:t>Adalimumab</w:t>
            </w:r>
          </w:p>
        </w:tc>
      </w:tr>
      <w:tr w:rsidR="004644D4" w14:paraId="092518EF" w14:textId="77777777" w:rsidTr="006533CF">
        <w:trPr>
          <w:trHeight w:val="629"/>
        </w:trPr>
        <w:tc>
          <w:tcPr>
            <w:tcW w:w="9288" w:type="dxa"/>
            <w:gridSpan w:val="6"/>
            <w:vAlign w:val="center"/>
            <w:hideMark/>
          </w:tcPr>
          <w:p w14:paraId="60892A35" w14:textId="77777777" w:rsidR="00F75AD6" w:rsidRPr="00126088" w:rsidRDefault="00E453CD" w:rsidP="006533CF">
            <w:pPr>
              <w:pStyle w:val="EMEANormal"/>
              <w:rPr>
                <w:szCs w:val="22"/>
                <w:lang w:val="nb-NO"/>
              </w:rPr>
            </w:pPr>
            <w:r w:rsidRPr="00CB4B2A">
              <w:rPr>
                <w:szCs w:val="22"/>
                <w:lang w:val="nb-NO"/>
              </w:rPr>
              <w:t>Merk</w:t>
            </w:r>
            <w:r w:rsidRPr="00126088">
              <w:rPr>
                <w:szCs w:val="22"/>
                <w:lang w:val="nb-NO"/>
              </w:rPr>
              <w:t>: P# = Placebo (Antall hendelser/Antall i risiko</w:t>
            </w:r>
            <w:r w:rsidRPr="00CB4B2A">
              <w:rPr>
                <w:szCs w:val="22"/>
                <w:lang w:val="nb-NO"/>
              </w:rPr>
              <w:t>); A# = H</w:t>
            </w:r>
            <w:r>
              <w:rPr>
                <w:szCs w:val="22"/>
                <w:lang w:val="nb-NO"/>
              </w:rPr>
              <w:t>umira</w:t>
            </w:r>
            <w:r w:rsidRPr="00126088">
              <w:rPr>
                <w:szCs w:val="22"/>
                <w:lang w:val="nb-NO"/>
              </w:rPr>
              <w:t xml:space="preserve"> (Antall hendelser/Antall i risiko).</w:t>
            </w:r>
          </w:p>
        </w:tc>
      </w:tr>
    </w:tbl>
    <w:p w14:paraId="6F3A4EF4" w14:textId="77777777" w:rsidR="00F75AD6" w:rsidRPr="00126088" w:rsidRDefault="00F75AD6" w:rsidP="00F75AD6">
      <w:pPr>
        <w:pStyle w:val="EMEANormal"/>
        <w:rPr>
          <w:lang w:val="nb-NO"/>
        </w:rPr>
      </w:pPr>
    </w:p>
    <w:p w14:paraId="2AF3E772" w14:textId="77777777" w:rsidR="00F75AD6" w:rsidRDefault="00E453CD" w:rsidP="00F75AD6">
      <w:pPr>
        <w:pStyle w:val="EMEANormal"/>
        <w:rPr>
          <w:lang w:val="nb-NO"/>
        </w:rPr>
      </w:pPr>
      <w:r w:rsidRPr="00126088">
        <w:rPr>
          <w:lang w:val="nb-NO"/>
        </w:rPr>
        <w:t>I studie UV I ble s</w:t>
      </w:r>
      <w:r w:rsidRPr="00EC0B72">
        <w:rPr>
          <w:lang w:val="nb-NO"/>
        </w:rPr>
        <w:t>tatis</w:t>
      </w:r>
      <w:r>
        <w:rPr>
          <w:lang w:val="nb-NO"/>
        </w:rPr>
        <w:t>t</w:t>
      </w:r>
      <w:r w:rsidRPr="00EC0B72">
        <w:rPr>
          <w:lang w:val="nb-NO"/>
        </w:rPr>
        <w:t>isk</w:t>
      </w:r>
      <w:r w:rsidRPr="00126088">
        <w:rPr>
          <w:lang w:val="nb-NO"/>
        </w:rPr>
        <w:t xml:space="preserve"> signifikante forskjeller </w:t>
      </w:r>
      <w:r>
        <w:rPr>
          <w:lang w:val="nb-NO"/>
        </w:rPr>
        <w:t>i</w:t>
      </w:r>
      <w:r w:rsidRPr="00126088">
        <w:rPr>
          <w:lang w:val="nb-NO"/>
        </w:rPr>
        <w:t xml:space="preserve"> favør av adalimumab </w:t>
      </w:r>
      <w:r w:rsidRPr="00126088">
        <w:rPr>
          <w:i/>
          <w:lang w:val="nb-NO"/>
        </w:rPr>
        <w:t>versus</w:t>
      </w:r>
      <w:r w:rsidRPr="00126088">
        <w:rPr>
          <w:lang w:val="nb-NO"/>
        </w:rPr>
        <w:t xml:space="preserve"> placebo </w:t>
      </w:r>
      <w:r w:rsidRPr="00EC0B72">
        <w:rPr>
          <w:lang w:val="nb-NO"/>
        </w:rPr>
        <w:t>obser</w:t>
      </w:r>
      <w:r>
        <w:rPr>
          <w:lang w:val="nb-NO"/>
        </w:rPr>
        <w:t xml:space="preserve">vert </w:t>
      </w:r>
      <w:r w:rsidRPr="00126088">
        <w:rPr>
          <w:lang w:val="nb-NO"/>
        </w:rPr>
        <w:t xml:space="preserve">for </w:t>
      </w:r>
      <w:r>
        <w:rPr>
          <w:lang w:val="nb-NO"/>
        </w:rPr>
        <w:t xml:space="preserve">hver </w:t>
      </w:r>
      <w:r w:rsidR="00505F9D">
        <w:rPr>
          <w:lang w:val="nb-NO"/>
        </w:rPr>
        <w:t>komponent</w:t>
      </w:r>
      <w:r w:rsidR="00105B47">
        <w:rPr>
          <w:lang w:val="nb-NO"/>
        </w:rPr>
        <w:t xml:space="preserve"> av</w:t>
      </w:r>
      <w:r>
        <w:rPr>
          <w:lang w:val="nb-NO"/>
        </w:rPr>
        <w:t xml:space="preserve"> behandlingssvikt</w:t>
      </w:r>
      <w:r w:rsidR="00105B47">
        <w:rPr>
          <w:lang w:val="nb-NO"/>
        </w:rPr>
        <w:t>en</w:t>
      </w:r>
      <w:r w:rsidRPr="00126088">
        <w:rPr>
          <w:lang w:val="nb-NO"/>
        </w:rPr>
        <w:t xml:space="preserve">. I studie UV II ble </w:t>
      </w:r>
      <w:r w:rsidRPr="00EC0B72">
        <w:rPr>
          <w:lang w:val="nb-NO"/>
        </w:rPr>
        <w:t>statis</w:t>
      </w:r>
      <w:r w:rsidRPr="00126088">
        <w:rPr>
          <w:lang w:val="nb-NO"/>
        </w:rPr>
        <w:t>tisk</w:t>
      </w:r>
      <w:r w:rsidRPr="00EC0B72">
        <w:rPr>
          <w:lang w:val="nb-NO"/>
        </w:rPr>
        <w:t xml:space="preserve"> signifikante forskjeller </w:t>
      </w:r>
      <w:r w:rsidRPr="00126088">
        <w:rPr>
          <w:lang w:val="nb-NO"/>
        </w:rPr>
        <w:t>observer</w:t>
      </w:r>
      <w:r>
        <w:rPr>
          <w:lang w:val="nb-NO"/>
        </w:rPr>
        <w:t>t</w:t>
      </w:r>
      <w:r w:rsidRPr="00126088">
        <w:rPr>
          <w:lang w:val="nb-NO"/>
        </w:rPr>
        <w:t xml:space="preserve"> kun for synsskarphet</w:t>
      </w:r>
      <w:r>
        <w:rPr>
          <w:lang w:val="nb-NO"/>
        </w:rPr>
        <w:t xml:space="preserve"> (BCVA)</w:t>
      </w:r>
      <w:r w:rsidRPr="00126088">
        <w:rPr>
          <w:lang w:val="nb-NO"/>
        </w:rPr>
        <w:t xml:space="preserve">, </w:t>
      </w:r>
      <w:r>
        <w:rPr>
          <w:lang w:val="nb-NO"/>
        </w:rPr>
        <w:t xml:space="preserve">men de andre komponentene viste numerisk forskjell i favør </w:t>
      </w:r>
      <w:r w:rsidRPr="00126088">
        <w:rPr>
          <w:lang w:val="nb-NO"/>
        </w:rPr>
        <w:t>adalimumab.</w:t>
      </w:r>
    </w:p>
    <w:p w14:paraId="6A02BD2E" w14:textId="77777777" w:rsidR="009B6330" w:rsidRDefault="009B6330" w:rsidP="00F75AD6">
      <w:pPr>
        <w:pStyle w:val="EMEANormal"/>
        <w:rPr>
          <w:lang w:val="nb-NO"/>
        </w:rPr>
      </w:pPr>
    </w:p>
    <w:p w14:paraId="06207378" w14:textId="77777777" w:rsidR="009B6330" w:rsidRPr="00126088" w:rsidRDefault="00E453CD" w:rsidP="00F75AD6">
      <w:pPr>
        <w:pStyle w:val="EMEANormal"/>
        <w:rPr>
          <w:lang w:val="nb-NO"/>
        </w:rPr>
      </w:pPr>
      <w:r>
        <w:rPr>
          <w:lang w:val="nb-NO"/>
        </w:rPr>
        <w:t xml:space="preserve">Av de </w:t>
      </w:r>
      <w:r w:rsidR="00CA5718">
        <w:rPr>
          <w:lang w:val="nb-NO"/>
        </w:rPr>
        <w:t>424</w:t>
      </w:r>
      <w:r w:rsidR="001539CD">
        <w:rPr>
          <w:lang w:val="nb-NO"/>
        </w:rPr>
        <w:t> </w:t>
      </w:r>
      <w:r>
        <w:rPr>
          <w:lang w:val="nb-NO"/>
        </w:rPr>
        <w:t xml:space="preserve">pasientene som ble inkludert i den </w:t>
      </w:r>
      <w:r w:rsidR="00DB7B68">
        <w:rPr>
          <w:lang w:val="nb-NO"/>
        </w:rPr>
        <w:t>ukontrollerte</w:t>
      </w:r>
      <w:r>
        <w:rPr>
          <w:lang w:val="nb-NO"/>
        </w:rPr>
        <w:t xml:space="preserve"> langtidsforlengelsesstudien av UV I og UV II, ble </w:t>
      </w:r>
      <w:r w:rsidR="00CA5718">
        <w:rPr>
          <w:lang w:val="nb-NO"/>
        </w:rPr>
        <w:t>60</w:t>
      </w:r>
      <w:r w:rsidR="001539CD">
        <w:rPr>
          <w:lang w:val="nb-NO"/>
        </w:rPr>
        <w:t> </w:t>
      </w:r>
      <w:r>
        <w:rPr>
          <w:lang w:val="nb-NO"/>
        </w:rPr>
        <w:t xml:space="preserve">pasienter </w:t>
      </w:r>
      <w:r w:rsidR="00B32AA0">
        <w:rPr>
          <w:lang w:val="nb-NO"/>
        </w:rPr>
        <w:t>vurdert</w:t>
      </w:r>
      <w:r>
        <w:rPr>
          <w:lang w:val="nb-NO"/>
        </w:rPr>
        <w:t xml:space="preserve"> som ikke-kvalifiserte (f.eks. </w:t>
      </w:r>
      <w:r w:rsidR="005D4073">
        <w:rPr>
          <w:lang w:val="nb-NO"/>
        </w:rPr>
        <w:t>på grunn av avvik eller på grunn av</w:t>
      </w:r>
      <w:r>
        <w:rPr>
          <w:lang w:val="nb-NO"/>
        </w:rPr>
        <w:t xml:space="preserve"> komplikasjoner sekundær</w:t>
      </w:r>
      <w:r w:rsidR="00B32AA0">
        <w:rPr>
          <w:lang w:val="nb-NO"/>
        </w:rPr>
        <w:t>t</w:t>
      </w:r>
      <w:r>
        <w:rPr>
          <w:lang w:val="nb-NO"/>
        </w:rPr>
        <w:t xml:space="preserve"> </w:t>
      </w:r>
      <w:r w:rsidR="00DB7B68">
        <w:rPr>
          <w:lang w:val="nb-NO"/>
        </w:rPr>
        <w:t>til</w:t>
      </w:r>
      <w:r>
        <w:rPr>
          <w:lang w:val="nb-NO"/>
        </w:rPr>
        <w:t xml:space="preserve"> diabetisk retinopati</w:t>
      </w:r>
      <w:r w:rsidR="00B32AA0">
        <w:rPr>
          <w:lang w:val="nb-NO"/>
        </w:rPr>
        <w:t>,</w:t>
      </w:r>
      <w:r>
        <w:rPr>
          <w:lang w:val="nb-NO"/>
        </w:rPr>
        <w:t xml:space="preserve"> på grunn av kataraktoperasjon</w:t>
      </w:r>
      <w:r w:rsidR="00B32AA0">
        <w:rPr>
          <w:lang w:val="nb-NO"/>
        </w:rPr>
        <w:t>,</w:t>
      </w:r>
      <w:r>
        <w:rPr>
          <w:lang w:val="nb-NO"/>
        </w:rPr>
        <w:t xml:space="preserve"> eller vitrektomi) og ble ekskludert fra den primære </w:t>
      </w:r>
      <w:r w:rsidR="00B32AA0">
        <w:rPr>
          <w:lang w:val="nb-NO"/>
        </w:rPr>
        <w:t>effekt</w:t>
      </w:r>
      <w:r>
        <w:rPr>
          <w:lang w:val="nb-NO"/>
        </w:rPr>
        <w:t xml:space="preserve">analysen. Av de </w:t>
      </w:r>
      <w:r w:rsidR="00CA5718">
        <w:rPr>
          <w:lang w:val="nb-NO"/>
        </w:rPr>
        <w:t>364</w:t>
      </w:r>
      <w:r>
        <w:rPr>
          <w:lang w:val="nb-NO"/>
        </w:rPr>
        <w:t xml:space="preserve"> gjenstående pasientene </w:t>
      </w:r>
      <w:r w:rsidR="00B32AA0">
        <w:rPr>
          <w:lang w:val="nb-NO"/>
        </w:rPr>
        <w:t>fullførte</w:t>
      </w:r>
      <w:r>
        <w:rPr>
          <w:lang w:val="nb-NO"/>
        </w:rPr>
        <w:t xml:space="preserve"> </w:t>
      </w:r>
      <w:r w:rsidR="00CA5718">
        <w:rPr>
          <w:lang w:val="nb-NO"/>
        </w:rPr>
        <w:t>269</w:t>
      </w:r>
      <w:r w:rsidR="00793B47">
        <w:rPr>
          <w:lang w:val="nb-NO"/>
        </w:rPr>
        <w:t> </w:t>
      </w:r>
      <w:r>
        <w:rPr>
          <w:lang w:val="nb-NO"/>
        </w:rPr>
        <w:t xml:space="preserve">pasienter </w:t>
      </w:r>
      <w:r w:rsidR="00CA5718">
        <w:rPr>
          <w:lang w:val="nb-NO"/>
        </w:rPr>
        <w:t xml:space="preserve">(74 %) </w:t>
      </w:r>
      <w:r>
        <w:rPr>
          <w:lang w:val="nb-NO"/>
        </w:rPr>
        <w:t xml:space="preserve">78 uker med </w:t>
      </w:r>
      <w:r w:rsidR="00DB7B68">
        <w:rPr>
          <w:lang w:val="nb-NO"/>
        </w:rPr>
        <w:t xml:space="preserve">åpen </w:t>
      </w:r>
      <w:r>
        <w:rPr>
          <w:lang w:val="nb-NO"/>
        </w:rPr>
        <w:t xml:space="preserve">adalimumabbehandling. </w:t>
      </w:r>
      <w:r w:rsidRPr="00AD1854">
        <w:rPr>
          <w:lang w:val="nb-NO"/>
        </w:rPr>
        <w:t>Basert på observert</w:t>
      </w:r>
      <w:r w:rsidR="00B32AA0">
        <w:rPr>
          <w:lang w:val="nb-NO"/>
        </w:rPr>
        <w:t>e</w:t>
      </w:r>
      <w:r w:rsidRPr="00AD1854">
        <w:rPr>
          <w:lang w:val="nb-NO"/>
        </w:rPr>
        <w:t xml:space="preserve"> data </w:t>
      </w:r>
      <w:r w:rsidR="00202681" w:rsidRPr="00202681">
        <w:rPr>
          <w:lang w:val="nb-NO"/>
        </w:rPr>
        <w:t>(«observed data approach»)</w:t>
      </w:r>
      <w:r w:rsidR="00202681">
        <w:rPr>
          <w:lang w:val="nb-NO"/>
        </w:rPr>
        <w:t xml:space="preserve"> </w:t>
      </w:r>
      <w:r w:rsidR="00B32AA0">
        <w:rPr>
          <w:lang w:val="nb-NO"/>
        </w:rPr>
        <w:t>hadde</w:t>
      </w:r>
      <w:r w:rsidRPr="00AD1854">
        <w:rPr>
          <w:lang w:val="nb-NO"/>
        </w:rPr>
        <w:t xml:space="preserve"> </w:t>
      </w:r>
      <w:r w:rsidR="00CA5718">
        <w:rPr>
          <w:lang w:val="nb-NO"/>
        </w:rPr>
        <w:t>216</w:t>
      </w:r>
      <w:r w:rsidRPr="00AD1854">
        <w:rPr>
          <w:lang w:val="nb-NO"/>
        </w:rPr>
        <w:t xml:space="preserve"> (80,</w:t>
      </w:r>
      <w:r w:rsidR="00CA5718">
        <w:rPr>
          <w:lang w:val="nb-NO"/>
        </w:rPr>
        <w:t>3 </w:t>
      </w:r>
      <w:r w:rsidRPr="00AD1854">
        <w:rPr>
          <w:lang w:val="nb-NO"/>
        </w:rPr>
        <w:t xml:space="preserve">%) </w:t>
      </w:r>
      <w:r w:rsidR="00B32AA0">
        <w:rPr>
          <w:lang w:val="nb-NO"/>
        </w:rPr>
        <w:t>inaktiv sykdom</w:t>
      </w:r>
      <w:r w:rsidRPr="00AD1854">
        <w:rPr>
          <w:lang w:val="nb-NO"/>
        </w:rPr>
        <w:t xml:space="preserve"> (ingen aktive inflammatoriske lesjoner, cellegradering</w:t>
      </w:r>
      <w:r w:rsidR="00881525">
        <w:rPr>
          <w:lang w:val="nb-NO"/>
        </w:rPr>
        <w:t xml:space="preserve"> i fremre kammer (AC)</w:t>
      </w:r>
      <w:r w:rsidRPr="00662488">
        <w:rPr>
          <w:lang w:val="nb-NO"/>
        </w:rPr>
        <w:t xml:space="preserve"> ≤ 0,</w:t>
      </w:r>
      <w:r w:rsidRPr="00AD1854">
        <w:rPr>
          <w:lang w:val="nb-NO"/>
        </w:rPr>
        <w:t xml:space="preserve">5+, </w:t>
      </w:r>
      <w:r w:rsidR="00881525">
        <w:rPr>
          <w:lang w:val="nb-NO"/>
        </w:rPr>
        <w:t xml:space="preserve">uklarhet i glasslegemet («vitreous haze», </w:t>
      </w:r>
      <w:r w:rsidRPr="00AD1854">
        <w:rPr>
          <w:lang w:val="nb-NO"/>
        </w:rPr>
        <w:t>VH</w:t>
      </w:r>
      <w:r w:rsidR="00881525">
        <w:rPr>
          <w:lang w:val="nb-NO"/>
        </w:rPr>
        <w:t>)</w:t>
      </w:r>
      <w:r w:rsidRPr="00AD1854">
        <w:rPr>
          <w:lang w:val="nb-NO"/>
        </w:rPr>
        <w:t xml:space="preserve"> grade</w:t>
      </w:r>
      <w:r w:rsidRPr="00662488">
        <w:rPr>
          <w:lang w:val="nb-NO"/>
        </w:rPr>
        <w:t>ring</w:t>
      </w:r>
      <w:r w:rsidRPr="00AD1854">
        <w:rPr>
          <w:lang w:val="nb-NO"/>
        </w:rPr>
        <w:t xml:space="preserve"> ≤ 0</w:t>
      </w:r>
      <w:r>
        <w:rPr>
          <w:lang w:val="nb-NO"/>
        </w:rPr>
        <w:t>,</w:t>
      </w:r>
      <w:r w:rsidRPr="00AD1854">
        <w:rPr>
          <w:lang w:val="nb-NO"/>
        </w:rPr>
        <w:t xml:space="preserve">5+) </w:t>
      </w:r>
      <w:r>
        <w:rPr>
          <w:lang w:val="nb-NO"/>
        </w:rPr>
        <w:t>med en samtidig steroiddose ≤ 7,5 mg per dag</w:t>
      </w:r>
      <w:r w:rsidRPr="00AD1854">
        <w:rPr>
          <w:lang w:val="nb-NO"/>
        </w:rPr>
        <w:t xml:space="preserve">, </w:t>
      </w:r>
      <w:r>
        <w:rPr>
          <w:lang w:val="nb-NO"/>
        </w:rPr>
        <w:t xml:space="preserve">og </w:t>
      </w:r>
      <w:r w:rsidR="00CA5718">
        <w:rPr>
          <w:lang w:val="nb-NO"/>
        </w:rPr>
        <w:t>178</w:t>
      </w:r>
      <w:r>
        <w:rPr>
          <w:lang w:val="nb-NO"/>
        </w:rPr>
        <w:t xml:space="preserve"> (66,</w:t>
      </w:r>
      <w:r w:rsidR="00CA5718">
        <w:rPr>
          <w:lang w:val="nb-NO"/>
        </w:rPr>
        <w:t>2 </w:t>
      </w:r>
      <w:r w:rsidRPr="00AD1854">
        <w:rPr>
          <w:lang w:val="nb-NO"/>
        </w:rPr>
        <w:t>%)</w:t>
      </w:r>
      <w:r w:rsidR="00E722C9">
        <w:rPr>
          <w:lang w:val="nb-NO"/>
        </w:rPr>
        <w:t xml:space="preserve"> </w:t>
      </w:r>
      <w:r w:rsidR="00881525">
        <w:rPr>
          <w:lang w:val="nb-NO"/>
        </w:rPr>
        <w:t xml:space="preserve">oppnådde steroidfri </w:t>
      </w:r>
      <w:r w:rsidR="00DE1BE6">
        <w:rPr>
          <w:lang w:val="nb-NO"/>
        </w:rPr>
        <w:t>inaktiv sykdom</w:t>
      </w:r>
      <w:r w:rsidRPr="00AD1854">
        <w:rPr>
          <w:lang w:val="nb-NO"/>
        </w:rPr>
        <w:t xml:space="preserve">. </w:t>
      </w:r>
      <w:r w:rsidR="00881525">
        <w:rPr>
          <w:lang w:val="nb-NO"/>
        </w:rPr>
        <w:t>Beste korrigerte synskarphet (</w:t>
      </w:r>
      <w:r w:rsidRPr="00697393">
        <w:rPr>
          <w:lang w:val="nb-NO"/>
        </w:rPr>
        <w:t>BCVA</w:t>
      </w:r>
      <w:r w:rsidR="00881525">
        <w:rPr>
          <w:lang w:val="nb-NO"/>
        </w:rPr>
        <w:t>)</w:t>
      </w:r>
      <w:r w:rsidRPr="00697393">
        <w:rPr>
          <w:lang w:val="nb-NO"/>
        </w:rPr>
        <w:t xml:space="preserve"> </w:t>
      </w:r>
      <w:r>
        <w:rPr>
          <w:lang w:val="nb-NO"/>
        </w:rPr>
        <w:t>ble enten forbedret eller opprettholdt</w:t>
      </w:r>
      <w:r w:rsidRPr="00697393">
        <w:rPr>
          <w:lang w:val="nb-NO"/>
        </w:rPr>
        <w:t xml:space="preserve"> (&lt; 5 </w:t>
      </w:r>
      <w:r>
        <w:rPr>
          <w:lang w:val="nb-NO"/>
        </w:rPr>
        <w:t>bokstav</w:t>
      </w:r>
      <w:r w:rsidR="00881525">
        <w:rPr>
          <w:lang w:val="nb-NO"/>
        </w:rPr>
        <w:t>er svekkelse</w:t>
      </w:r>
      <w:r w:rsidRPr="00697393">
        <w:rPr>
          <w:lang w:val="nb-NO"/>
        </w:rPr>
        <w:t xml:space="preserve">) </w:t>
      </w:r>
      <w:r w:rsidR="00881525">
        <w:rPr>
          <w:lang w:val="nb-NO"/>
        </w:rPr>
        <w:t>i</w:t>
      </w:r>
      <w:r>
        <w:rPr>
          <w:lang w:val="nb-NO"/>
        </w:rPr>
        <w:t xml:space="preserve"> 88,</w:t>
      </w:r>
      <w:r w:rsidR="00CA5718">
        <w:rPr>
          <w:lang w:val="nb-NO"/>
        </w:rPr>
        <w:t>6</w:t>
      </w:r>
      <w:r w:rsidR="001539CD" w:rsidRPr="00A81D79">
        <w:rPr>
          <w:lang w:val="nb-NO"/>
        </w:rPr>
        <w:t> </w:t>
      </w:r>
      <w:r w:rsidRPr="00697393">
        <w:rPr>
          <w:lang w:val="nb-NO"/>
        </w:rPr>
        <w:t xml:space="preserve">% </w:t>
      </w:r>
      <w:r>
        <w:rPr>
          <w:lang w:val="nb-NO"/>
        </w:rPr>
        <w:t>av øynene ved uke</w:t>
      </w:r>
      <w:r w:rsidRPr="00697393">
        <w:rPr>
          <w:lang w:val="nb-NO"/>
        </w:rPr>
        <w:t xml:space="preserve"> 78</w:t>
      </w:r>
      <w:r>
        <w:rPr>
          <w:lang w:val="nb-NO"/>
        </w:rPr>
        <w:t xml:space="preserve">. </w:t>
      </w:r>
      <w:r w:rsidR="008164C8">
        <w:rPr>
          <w:lang w:val="nb-NO"/>
        </w:rPr>
        <w:t xml:space="preserve">Etter uke 78 var data generelt konsistent med disse </w:t>
      </w:r>
      <w:r w:rsidR="008164C8">
        <w:rPr>
          <w:lang w:val="nb-NO"/>
        </w:rPr>
        <w:lastRenderedPageBreak/>
        <w:t xml:space="preserve">resultatene, men antall inkluderte pasienter gikk ned. Totalt blant </w:t>
      </w:r>
      <w:r>
        <w:rPr>
          <w:lang w:val="nb-NO"/>
        </w:rPr>
        <w:t xml:space="preserve">pasientene som avsluttet studien, avsluttet </w:t>
      </w:r>
      <w:r w:rsidR="00CA5718">
        <w:rPr>
          <w:lang w:val="nb-NO"/>
        </w:rPr>
        <w:t>18</w:t>
      </w:r>
      <w:r w:rsidR="00793B47">
        <w:rPr>
          <w:lang w:val="nb-NO"/>
        </w:rPr>
        <w:t> </w:t>
      </w:r>
      <w:r>
        <w:rPr>
          <w:lang w:val="nb-NO"/>
        </w:rPr>
        <w:t xml:space="preserve">% på grunn av bivirkninger og </w:t>
      </w:r>
      <w:r w:rsidR="005D4073">
        <w:rPr>
          <w:lang w:val="nb-NO"/>
        </w:rPr>
        <w:t>8</w:t>
      </w:r>
      <w:r w:rsidR="00793B47">
        <w:rPr>
          <w:lang w:val="nb-NO"/>
        </w:rPr>
        <w:t> </w:t>
      </w:r>
      <w:r>
        <w:rPr>
          <w:lang w:val="nb-NO"/>
        </w:rPr>
        <w:t>% på grunn av utilstrekkelig respons på adalimumabbehandling.</w:t>
      </w:r>
    </w:p>
    <w:p w14:paraId="25FA6955" w14:textId="77777777" w:rsidR="00F75AD6" w:rsidRPr="00126088" w:rsidRDefault="00F75AD6" w:rsidP="00F75AD6">
      <w:pPr>
        <w:pStyle w:val="EMEANormal"/>
        <w:rPr>
          <w:lang w:val="nb-NO"/>
        </w:rPr>
      </w:pPr>
    </w:p>
    <w:p w14:paraId="12A7B833" w14:textId="77777777" w:rsidR="00F75AD6" w:rsidRPr="00F05EB5" w:rsidRDefault="00E453CD" w:rsidP="00776A84">
      <w:pPr>
        <w:pStyle w:val="EMEANormal"/>
        <w:keepNext/>
        <w:rPr>
          <w:i/>
          <w:szCs w:val="22"/>
          <w:u w:val="single"/>
          <w:lang w:val="nb-NO"/>
        </w:rPr>
      </w:pPr>
      <w:r w:rsidRPr="00F05EB5">
        <w:rPr>
          <w:i/>
          <w:szCs w:val="22"/>
          <w:u w:val="single"/>
          <w:lang w:val="nb-NO"/>
        </w:rPr>
        <w:t>Livskvalitet</w:t>
      </w:r>
    </w:p>
    <w:p w14:paraId="47523998" w14:textId="77777777" w:rsidR="00F75AD6" w:rsidRPr="00A81D79" w:rsidRDefault="00F75AD6" w:rsidP="00776A84">
      <w:pPr>
        <w:pStyle w:val="EMEANormal"/>
        <w:keepNext/>
        <w:rPr>
          <w:szCs w:val="22"/>
          <w:u w:val="single"/>
          <w:lang w:val="nb-NO"/>
        </w:rPr>
      </w:pPr>
    </w:p>
    <w:p w14:paraId="3878577B" w14:textId="77777777" w:rsidR="00F75AD6" w:rsidRDefault="00E453CD" w:rsidP="00F75AD6">
      <w:pPr>
        <w:keepNext/>
        <w:rPr>
          <w:sz w:val="22"/>
          <w:szCs w:val="22"/>
        </w:rPr>
      </w:pPr>
      <w:r w:rsidRPr="00F05EB5">
        <w:rPr>
          <w:sz w:val="22"/>
          <w:szCs w:val="22"/>
        </w:rPr>
        <w:t>Pasientrapporterte resultater vedrørende synsrelatert funksjon ble målt ved bruk av NEI VFQ-25 i begge kliniske studier. Numerisk forskjell i favør Humira ble vist for de fleste subscores med statistisk signifikant</w:t>
      </w:r>
      <w:r w:rsidR="00E50930">
        <w:rPr>
          <w:sz w:val="22"/>
          <w:szCs w:val="22"/>
        </w:rPr>
        <w:t>e</w:t>
      </w:r>
      <w:r w:rsidRPr="00F05EB5">
        <w:rPr>
          <w:sz w:val="22"/>
          <w:szCs w:val="22"/>
        </w:rPr>
        <w:t xml:space="preserve"> gjennomsnittlige forskjeller for generelt syn, øyesmerter, nærsyn, psykisk helse og total score i studie UV I, og for generelt syn og psykisk helse i studie UV II. Synsrelaterte effekter som ikke var numerisk i favør Humira var fargesyn i studie UV I og fargesyn, sidesyn og nærsyn i studie UV II.</w:t>
      </w:r>
    </w:p>
    <w:p w14:paraId="7BC0ECA9" w14:textId="77777777" w:rsidR="00695E95" w:rsidRDefault="00695E95" w:rsidP="00776A84">
      <w:pPr>
        <w:rPr>
          <w:sz w:val="22"/>
          <w:szCs w:val="22"/>
        </w:rPr>
      </w:pPr>
    </w:p>
    <w:p w14:paraId="33440D93" w14:textId="77777777" w:rsidR="001E500F" w:rsidRPr="009C5EFD" w:rsidRDefault="00E453CD" w:rsidP="00EC62E0">
      <w:pPr>
        <w:pStyle w:val="Heading8"/>
        <w:rPr>
          <w:szCs w:val="22"/>
        </w:rPr>
      </w:pPr>
      <w:r w:rsidRPr="009C5EFD">
        <w:rPr>
          <w:szCs w:val="22"/>
        </w:rPr>
        <w:t>Immunogenisitet</w:t>
      </w:r>
    </w:p>
    <w:p w14:paraId="54C995BF" w14:textId="77777777" w:rsidR="001E500F" w:rsidRPr="009C5EFD" w:rsidRDefault="001E500F" w:rsidP="00EC62E0">
      <w:pPr>
        <w:keepNext/>
        <w:rPr>
          <w:sz w:val="22"/>
          <w:szCs w:val="22"/>
        </w:rPr>
      </w:pPr>
    </w:p>
    <w:p w14:paraId="548295F4" w14:textId="77777777" w:rsidR="001E500F" w:rsidRPr="009C5EFD" w:rsidRDefault="00E453CD" w:rsidP="00776A84">
      <w:pPr>
        <w:rPr>
          <w:sz w:val="22"/>
          <w:szCs w:val="22"/>
        </w:rPr>
      </w:pPr>
      <w:r w:rsidRPr="009C5EFD">
        <w:rPr>
          <w:sz w:val="22"/>
          <w:szCs w:val="22"/>
        </w:rPr>
        <w:t xml:space="preserve">Dannelse av anti-adalimumab antistoffer er knyttet til økt clearance og redusert effekt av adalimumab. Det finnes ingen tydelig sammenheng mellom forekomsten av anti-adalimumab antistoffer og forekomsten av bivirkninger. </w:t>
      </w:r>
    </w:p>
    <w:p w14:paraId="30BF9C1D" w14:textId="77777777" w:rsidR="001E500F" w:rsidRPr="009C5EFD" w:rsidRDefault="001E500F" w:rsidP="009C5EFD">
      <w:pPr>
        <w:rPr>
          <w:sz w:val="22"/>
          <w:szCs w:val="22"/>
        </w:rPr>
      </w:pPr>
    </w:p>
    <w:p w14:paraId="41D4E2A5" w14:textId="77777777" w:rsidR="001E500F" w:rsidRPr="009C5EFD" w:rsidRDefault="00E453CD" w:rsidP="009C5EFD">
      <w:pPr>
        <w:rPr>
          <w:sz w:val="22"/>
          <w:szCs w:val="22"/>
        </w:rPr>
      </w:pPr>
      <w:r w:rsidRPr="009C5EFD">
        <w:rPr>
          <w:sz w:val="22"/>
          <w:szCs w:val="22"/>
        </w:rPr>
        <w:t>Pasienter i revmatoid artritt studiene I, II og III ble testet ved flere tidspunkter med hensyn på antistoffer mot adalimumab i løpet av perioden fra 6 til 12</w:t>
      </w:r>
      <w:r w:rsidR="00315F16" w:rsidRPr="009C5EFD">
        <w:rPr>
          <w:sz w:val="22"/>
          <w:szCs w:val="22"/>
        </w:rPr>
        <w:t> måned</w:t>
      </w:r>
      <w:r w:rsidRPr="009C5EFD">
        <w:rPr>
          <w:sz w:val="22"/>
          <w:szCs w:val="22"/>
        </w:rPr>
        <w:t>er. I de pivotale studiene ble det identifisert antistoffer mot adalimumab hos 5,5</w:t>
      </w:r>
      <w:r w:rsidR="00315F16" w:rsidRPr="009C5EFD">
        <w:rPr>
          <w:sz w:val="22"/>
          <w:szCs w:val="22"/>
        </w:rPr>
        <w:t> %</w:t>
      </w:r>
      <w:r w:rsidRPr="009C5EFD">
        <w:rPr>
          <w:sz w:val="22"/>
          <w:szCs w:val="22"/>
        </w:rPr>
        <w:t xml:space="preserve"> (58/1053) av pasientene som var behandlet med adalimumab, sammenlignet med 0,5</w:t>
      </w:r>
      <w:r w:rsidR="00315F16" w:rsidRPr="009C5EFD">
        <w:rPr>
          <w:sz w:val="22"/>
          <w:szCs w:val="22"/>
        </w:rPr>
        <w:t> %</w:t>
      </w:r>
      <w:r w:rsidRPr="009C5EFD">
        <w:rPr>
          <w:sz w:val="22"/>
          <w:szCs w:val="22"/>
        </w:rPr>
        <w:t xml:space="preserve"> (2/370) hos dem som fikk placebo. Hos pasientene som ikke fikk metotreksat samtidig var forekomsten 12,4</w:t>
      </w:r>
      <w:r w:rsidR="00315F16" w:rsidRPr="009C5EFD">
        <w:rPr>
          <w:sz w:val="22"/>
          <w:szCs w:val="22"/>
        </w:rPr>
        <w:t> %</w:t>
      </w:r>
      <w:r w:rsidRPr="009C5EFD">
        <w:rPr>
          <w:sz w:val="22"/>
          <w:szCs w:val="22"/>
        </w:rPr>
        <w:t xml:space="preserve"> sammenlignet med 0,6</w:t>
      </w:r>
      <w:r w:rsidR="00315F16" w:rsidRPr="009C5EFD">
        <w:rPr>
          <w:sz w:val="22"/>
          <w:szCs w:val="22"/>
        </w:rPr>
        <w:t> %</w:t>
      </w:r>
      <w:r w:rsidRPr="009C5EFD">
        <w:rPr>
          <w:sz w:val="22"/>
          <w:szCs w:val="22"/>
        </w:rPr>
        <w:t xml:space="preserve"> når adalimumab ble gitt som tillegg til metotreksat.</w:t>
      </w:r>
    </w:p>
    <w:p w14:paraId="1F07B32D" w14:textId="77777777" w:rsidR="001E500F" w:rsidRPr="009C5EFD" w:rsidRDefault="001E500F" w:rsidP="009C5EFD">
      <w:pPr>
        <w:ind w:left="57"/>
        <w:rPr>
          <w:sz w:val="22"/>
          <w:szCs w:val="22"/>
        </w:rPr>
      </w:pPr>
    </w:p>
    <w:p w14:paraId="05719A05" w14:textId="77777777" w:rsidR="001E500F" w:rsidRPr="009C5EFD" w:rsidRDefault="00E453CD" w:rsidP="009C5EFD">
      <w:pPr>
        <w:rPr>
          <w:sz w:val="22"/>
          <w:szCs w:val="22"/>
        </w:rPr>
      </w:pPr>
      <w:r w:rsidRPr="009C5EFD">
        <w:rPr>
          <w:sz w:val="22"/>
          <w:szCs w:val="22"/>
        </w:rPr>
        <w:t>Hos pasienter med polyartikulær juvenil idiopatisk artritt i alderen 4 til 17</w:t>
      </w:r>
      <w:r w:rsidR="00315F16" w:rsidRPr="009C5EFD">
        <w:rPr>
          <w:sz w:val="22"/>
          <w:szCs w:val="22"/>
        </w:rPr>
        <w:t> år</w:t>
      </w:r>
      <w:r w:rsidRPr="009C5EFD">
        <w:rPr>
          <w:sz w:val="22"/>
          <w:szCs w:val="22"/>
        </w:rPr>
        <w:t>, ble anti-adalimumab antistoffer identifisert hos 15,8</w:t>
      </w:r>
      <w:r w:rsidR="00315F16" w:rsidRPr="009C5EFD">
        <w:rPr>
          <w:sz w:val="22"/>
          <w:szCs w:val="22"/>
        </w:rPr>
        <w:t> %</w:t>
      </w:r>
      <w:r w:rsidRPr="009C5EFD">
        <w:rPr>
          <w:sz w:val="22"/>
          <w:szCs w:val="22"/>
        </w:rPr>
        <w:t xml:space="preserve"> (27/171) av pasientene  som var behandlet med adalimumab. Hos pasienter som ikke hadde fått metotreksat samtidig var forekomsten 25,6</w:t>
      </w:r>
      <w:r w:rsidR="00315F16" w:rsidRPr="009C5EFD">
        <w:rPr>
          <w:sz w:val="22"/>
          <w:szCs w:val="22"/>
        </w:rPr>
        <w:t> %</w:t>
      </w:r>
      <w:r w:rsidRPr="009C5EFD">
        <w:rPr>
          <w:sz w:val="22"/>
          <w:szCs w:val="22"/>
        </w:rPr>
        <w:t xml:space="preserve"> (22/86) sammenlignet med 5,9</w:t>
      </w:r>
      <w:r w:rsidR="00315F16" w:rsidRPr="009C5EFD">
        <w:rPr>
          <w:sz w:val="22"/>
          <w:szCs w:val="22"/>
        </w:rPr>
        <w:t> %</w:t>
      </w:r>
      <w:r w:rsidRPr="009C5EFD">
        <w:rPr>
          <w:sz w:val="22"/>
          <w:szCs w:val="22"/>
        </w:rPr>
        <w:t xml:space="preserve"> (5/85) når adalimumab var brukt i tillegg til metotreksat.</w:t>
      </w:r>
      <w:r w:rsidR="00A129D3">
        <w:rPr>
          <w:sz w:val="22"/>
          <w:szCs w:val="22"/>
        </w:rPr>
        <w:t xml:space="preserve"> Hos pasienter med </w:t>
      </w:r>
      <w:r w:rsidR="00A129D3" w:rsidRPr="00875D02">
        <w:rPr>
          <w:sz w:val="22"/>
          <w:szCs w:val="22"/>
        </w:rPr>
        <w:t>polyartikulær juvenil idiopatisk artrit</w:t>
      </w:r>
      <w:r w:rsidR="00A129D3">
        <w:rPr>
          <w:sz w:val="22"/>
          <w:szCs w:val="22"/>
        </w:rPr>
        <w:t>t i alderen</w:t>
      </w:r>
      <w:r w:rsidR="000259CC">
        <w:rPr>
          <w:sz w:val="22"/>
          <w:szCs w:val="22"/>
        </w:rPr>
        <w:t> </w:t>
      </w:r>
      <w:r w:rsidR="00A129D3">
        <w:rPr>
          <w:sz w:val="22"/>
          <w:szCs w:val="22"/>
        </w:rPr>
        <w:t>2</w:t>
      </w:r>
      <w:r w:rsidR="000259CC">
        <w:rPr>
          <w:sz w:val="22"/>
          <w:szCs w:val="22"/>
        </w:rPr>
        <w:t> </w:t>
      </w:r>
      <w:r w:rsidR="00A129D3">
        <w:rPr>
          <w:sz w:val="22"/>
          <w:szCs w:val="22"/>
        </w:rPr>
        <w:t>til</w:t>
      </w:r>
      <w:r w:rsidR="000259CC">
        <w:rPr>
          <w:sz w:val="22"/>
          <w:szCs w:val="22"/>
        </w:rPr>
        <w:t> </w:t>
      </w:r>
      <w:r w:rsidR="00A129D3">
        <w:rPr>
          <w:sz w:val="22"/>
          <w:szCs w:val="22"/>
        </w:rPr>
        <w:t>&lt;</w:t>
      </w:r>
      <w:r w:rsidR="000259CC">
        <w:rPr>
          <w:sz w:val="22"/>
          <w:szCs w:val="22"/>
        </w:rPr>
        <w:t> </w:t>
      </w:r>
      <w:r w:rsidR="00A129D3">
        <w:rPr>
          <w:sz w:val="22"/>
          <w:szCs w:val="22"/>
        </w:rPr>
        <w:t>4</w:t>
      </w:r>
      <w:r w:rsidR="000259CC">
        <w:rPr>
          <w:sz w:val="22"/>
          <w:szCs w:val="22"/>
        </w:rPr>
        <w:t> </w:t>
      </w:r>
      <w:r w:rsidR="00A129D3">
        <w:rPr>
          <w:sz w:val="22"/>
          <w:szCs w:val="22"/>
        </w:rPr>
        <w:t>år eller over 4</w:t>
      </w:r>
      <w:r w:rsidR="000259CC">
        <w:rPr>
          <w:sz w:val="22"/>
          <w:szCs w:val="22"/>
        </w:rPr>
        <w:t> </w:t>
      </w:r>
      <w:r w:rsidR="00A129D3">
        <w:rPr>
          <w:sz w:val="22"/>
          <w:szCs w:val="22"/>
        </w:rPr>
        <w:t>år med en kroppsvekt på &lt; 15</w:t>
      </w:r>
      <w:r w:rsidR="000259CC">
        <w:rPr>
          <w:sz w:val="22"/>
          <w:szCs w:val="22"/>
        </w:rPr>
        <w:t> </w:t>
      </w:r>
      <w:r w:rsidR="00A129D3">
        <w:rPr>
          <w:sz w:val="22"/>
          <w:szCs w:val="22"/>
        </w:rPr>
        <w:t>kg, ble anti-adalimumab antistoffer identifisert hos 7</w:t>
      </w:r>
      <w:r w:rsidR="009A60E6">
        <w:rPr>
          <w:sz w:val="22"/>
          <w:szCs w:val="22"/>
        </w:rPr>
        <w:t> </w:t>
      </w:r>
      <w:r w:rsidR="00A129D3">
        <w:rPr>
          <w:sz w:val="22"/>
          <w:szCs w:val="22"/>
        </w:rPr>
        <w:t>% (1/15) av pasientene, og den ene pasienten brukte metotreksat samtidig.</w:t>
      </w:r>
    </w:p>
    <w:p w14:paraId="722E6F08" w14:textId="77777777" w:rsidR="001E500F" w:rsidRPr="009C5EFD" w:rsidRDefault="001E500F" w:rsidP="009C5EFD">
      <w:pPr>
        <w:rPr>
          <w:sz w:val="22"/>
          <w:szCs w:val="22"/>
        </w:rPr>
      </w:pPr>
    </w:p>
    <w:p w14:paraId="7A666F1A" w14:textId="77777777" w:rsidR="001E500F" w:rsidRPr="009C5EFD" w:rsidRDefault="00E453CD" w:rsidP="009C5EFD">
      <w:pPr>
        <w:rPr>
          <w:sz w:val="22"/>
          <w:szCs w:val="22"/>
        </w:rPr>
      </w:pPr>
      <w:r w:rsidRPr="009C5EFD">
        <w:rPr>
          <w:sz w:val="22"/>
          <w:szCs w:val="22"/>
        </w:rPr>
        <w:t>Hos pasienter med entesittrelatert artritt, ble anti-adalimumab antistoff identifisert hos 10,9</w:t>
      </w:r>
      <w:r w:rsidR="00315F16" w:rsidRPr="009C5EFD">
        <w:rPr>
          <w:sz w:val="22"/>
          <w:szCs w:val="22"/>
        </w:rPr>
        <w:t> %</w:t>
      </w:r>
      <w:r w:rsidRPr="009C5EFD">
        <w:rPr>
          <w:sz w:val="22"/>
          <w:szCs w:val="22"/>
        </w:rPr>
        <w:t xml:space="preserve"> (5/46) av pasientene som var behandlet med adalimumab. Hos pasienter som ikke hadde fått metotreksat samtidig var forekomsten 13,6</w:t>
      </w:r>
      <w:r w:rsidR="00315F16" w:rsidRPr="009C5EFD">
        <w:rPr>
          <w:sz w:val="22"/>
          <w:szCs w:val="22"/>
        </w:rPr>
        <w:t> %</w:t>
      </w:r>
      <w:r w:rsidRPr="009C5EFD">
        <w:rPr>
          <w:sz w:val="22"/>
          <w:szCs w:val="22"/>
        </w:rPr>
        <w:t xml:space="preserve"> (3/22) sammenlignet med 8,3</w:t>
      </w:r>
      <w:r w:rsidR="00315F16" w:rsidRPr="009C5EFD">
        <w:rPr>
          <w:sz w:val="22"/>
          <w:szCs w:val="22"/>
        </w:rPr>
        <w:t> %</w:t>
      </w:r>
      <w:r w:rsidRPr="009C5EFD">
        <w:rPr>
          <w:sz w:val="22"/>
          <w:szCs w:val="22"/>
        </w:rPr>
        <w:t xml:space="preserve"> (2/24) når adalimumab var brukt i tillegg til metotreksat.</w:t>
      </w:r>
    </w:p>
    <w:p w14:paraId="46C1398C" w14:textId="77777777" w:rsidR="001E500F" w:rsidRPr="009C5EFD" w:rsidRDefault="001E500F" w:rsidP="009C5EFD">
      <w:pPr>
        <w:rPr>
          <w:sz w:val="22"/>
          <w:szCs w:val="22"/>
        </w:rPr>
      </w:pPr>
    </w:p>
    <w:p w14:paraId="7DC9887F" w14:textId="77777777" w:rsidR="001E500F" w:rsidRPr="009C5EFD" w:rsidRDefault="00E453CD" w:rsidP="009C5EFD">
      <w:pPr>
        <w:rPr>
          <w:sz w:val="22"/>
          <w:szCs w:val="22"/>
        </w:rPr>
      </w:pPr>
      <w:r w:rsidRPr="009C5EFD">
        <w:rPr>
          <w:sz w:val="22"/>
          <w:szCs w:val="22"/>
        </w:rPr>
        <w:t>Hos pasienter med psoriasisartritt ble anti-adalimumab antistoffer identifisert hos 38/376</w:t>
      </w:r>
      <w:r w:rsidR="00315F16" w:rsidRPr="009C5EFD">
        <w:rPr>
          <w:sz w:val="22"/>
          <w:szCs w:val="22"/>
        </w:rPr>
        <w:t> pasient</w:t>
      </w:r>
      <w:r w:rsidRPr="009C5EFD">
        <w:rPr>
          <w:sz w:val="22"/>
          <w:szCs w:val="22"/>
        </w:rPr>
        <w:t>er (10</w:t>
      </w:r>
      <w:r w:rsidR="00315F16" w:rsidRPr="009C5EFD">
        <w:rPr>
          <w:sz w:val="22"/>
          <w:szCs w:val="22"/>
        </w:rPr>
        <w:t> %</w:t>
      </w:r>
      <w:r w:rsidRPr="009C5EFD">
        <w:rPr>
          <w:sz w:val="22"/>
          <w:szCs w:val="22"/>
        </w:rPr>
        <w:t>) som var behandlet med adalimumab. Hos pasienter som ikke samtidig hadde fått metotreksat var forekomsten 13,5</w:t>
      </w:r>
      <w:r w:rsidR="00315F16" w:rsidRPr="009C5EFD">
        <w:rPr>
          <w:sz w:val="22"/>
          <w:szCs w:val="22"/>
        </w:rPr>
        <w:t> %</w:t>
      </w:r>
      <w:r w:rsidRPr="009C5EFD">
        <w:rPr>
          <w:sz w:val="22"/>
          <w:szCs w:val="22"/>
        </w:rPr>
        <w:t xml:space="preserve"> (24/178</w:t>
      </w:r>
      <w:r w:rsidR="00315F16" w:rsidRPr="009C5EFD">
        <w:rPr>
          <w:sz w:val="22"/>
          <w:szCs w:val="22"/>
        </w:rPr>
        <w:t> pasient</w:t>
      </w:r>
      <w:r w:rsidRPr="009C5EFD">
        <w:rPr>
          <w:sz w:val="22"/>
          <w:szCs w:val="22"/>
        </w:rPr>
        <w:t>er), sammenlignet med 7</w:t>
      </w:r>
      <w:r w:rsidR="00315F16" w:rsidRPr="009C5EFD">
        <w:rPr>
          <w:sz w:val="22"/>
          <w:szCs w:val="22"/>
        </w:rPr>
        <w:t> %</w:t>
      </w:r>
      <w:r w:rsidRPr="009C5EFD">
        <w:rPr>
          <w:sz w:val="22"/>
          <w:szCs w:val="22"/>
        </w:rPr>
        <w:t xml:space="preserve"> (14/198</w:t>
      </w:r>
      <w:r w:rsidR="00315F16" w:rsidRPr="009C5EFD">
        <w:rPr>
          <w:sz w:val="22"/>
          <w:szCs w:val="22"/>
        </w:rPr>
        <w:t> pasient</w:t>
      </w:r>
      <w:r w:rsidRPr="009C5EFD">
        <w:rPr>
          <w:sz w:val="22"/>
          <w:szCs w:val="22"/>
        </w:rPr>
        <w:t>er) når adalimumab var brukt i tillegg til metotreksat.</w:t>
      </w:r>
    </w:p>
    <w:p w14:paraId="37866BC5" w14:textId="77777777" w:rsidR="001E500F" w:rsidRPr="009C5EFD" w:rsidRDefault="001E500F" w:rsidP="009C5EFD">
      <w:pPr>
        <w:rPr>
          <w:sz w:val="22"/>
          <w:szCs w:val="22"/>
        </w:rPr>
      </w:pPr>
    </w:p>
    <w:p w14:paraId="3AE13351" w14:textId="77777777" w:rsidR="001E500F" w:rsidRDefault="00E453CD" w:rsidP="009C5EFD">
      <w:pPr>
        <w:rPr>
          <w:sz w:val="22"/>
          <w:szCs w:val="22"/>
        </w:rPr>
      </w:pPr>
      <w:r w:rsidRPr="009C5EFD">
        <w:rPr>
          <w:sz w:val="22"/>
          <w:szCs w:val="22"/>
        </w:rPr>
        <w:t>Hos pasienter med ankyloserende spondylitt (Bekhterevs sykdom) som ble behandlet med adalimumab ble anti-adalimumab antistoffer identifisert hos 17/204</w:t>
      </w:r>
      <w:r w:rsidR="00315F16" w:rsidRPr="009C5EFD">
        <w:rPr>
          <w:sz w:val="22"/>
          <w:szCs w:val="22"/>
        </w:rPr>
        <w:t> pasient</w:t>
      </w:r>
      <w:r w:rsidRPr="009C5EFD">
        <w:rPr>
          <w:sz w:val="22"/>
          <w:szCs w:val="22"/>
        </w:rPr>
        <w:t>er (8,3</w:t>
      </w:r>
      <w:r w:rsidR="00315F16" w:rsidRPr="009C5EFD">
        <w:rPr>
          <w:sz w:val="22"/>
          <w:szCs w:val="22"/>
        </w:rPr>
        <w:t> %</w:t>
      </w:r>
      <w:r w:rsidRPr="009C5EFD">
        <w:rPr>
          <w:sz w:val="22"/>
          <w:szCs w:val="22"/>
        </w:rPr>
        <w:t>). Hos pasienter som ikke samtidig hadde fått metotreksat var forekomsten 16/185 (8,6</w:t>
      </w:r>
      <w:r w:rsidR="00315F16" w:rsidRPr="009C5EFD">
        <w:rPr>
          <w:sz w:val="22"/>
          <w:szCs w:val="22"/>
        </w:rPr>
        <w:t> %</w:t>
      </w:r>
      <w:r w:rsidRPr="009C5EFD">
        <w:rPr>
          <w:sz w:val="22"/>
          <w:szCs w:val="22"/>
        </w:rPr>
        <w:t>), sammenlignet med 1/19 (5,3</w:t>
      </w:r>
      <w:r w:rsidR="00315F16" w:rsidRPr="009C5EFD">
        <w:rPr>
          <w:sz w:val="22"/>
          <w:szCs w:val="22"/>
        </w:rPr>
        <w:t> %</w:t>
      </w:r>
      <w:r w:rsidRPr="009C5EFD">
        <w:rPr>
          <w:sz w:val="22"/>
          <w:szCs w:val="22"/>
        </w:rPr>
        <w:t>) når adalimumab var brukt i tillegg til metotreksat.</w:t>
      </w:r>
    </w:p>
    <w:p w14:paraId="6C7A8097" w14:textId="77777777" w:rsidR="006F2CE1" w:rsidRDefault="006F2CE1" w:rsidP="009C5EFD">
      <w:pPr>
        <w:rPr>
          <w:sz w:val="22"/>
          <w:szCs w:val="22"/>
        </w:rPr>
      </w:pPr>
    </w:p>
    <w:p w14:paraId="32A41CB7" w14:textId="77777777" w:rsidR="006F2CE1" w:rsidRPr="009C5EFD" w:rsidRDefault="00E453CD" w:rsidP="009C5EFD">
      <w:pPr>
        <w:rPr>
          <w:sz w:val="22"/>
          <w:szCs w:val="22"/>
        </w:rPr>
      </w:pPr>
      <w:r>
        <w:rPr>
          <w:sz w:val="22"/>
          <w:szCs w:val="22"/>
        </w:rPr>
        <w:t xml:space="preserve">Hos pasienter med </w:t>
      </w:r>
      <w:r w:rsidRPr="002D0790">
        <w:rPr>
          <w:sz w:val="22"/>
          <w:szCs w:val="22"/>
        </w:rPr>
        <w:t>ikke-radiografisk aksial spondylartritt</w:t>
      </w:r>
      <w:r>
        <w:rPr>
          <w:sz w:val="22"/>
          <w:szCs w:val="22"/>
        </w:rPr>
        <w:t xml:space="preserve"> </w:t>
      </w:r>
      <w:r w:rsidRPr="009C5EFD">
        <w:rPr>
          <w:sz w:val="22"/>
          <w:szCs w:val="22"/>
        </w:rPr>
        <w:t>ble anti-adalimumab antistoffer identifisert ho</w:t>
      </w:r>
      <w:r w:rsidRPr="002D7A45">
        <w:rPr>
          <w:sz w:val="22"/>
          <w:szCs w:val="22"/>
        </w:rPr>
        <w:t xml:space="preserve">s </w:t>
      </w:r>
      <w:r w:rsidRPr="003A6BE9">
        <w:rPr>
          <w:sz w:val="22"/>
          <w:szCs w:val="22"/>
        </w:rPr>
        <w:t xml:space="preserve">8/152 </w:t>
      </w:r>
      <w:r>
        <w:rPr>
          <w:sz w:val="22"/>
          <w:szCs w:val="22"/>
        </w:rPr>
        <w:t>pasienter (5,</w:t>
      </w:r>
      <w:r w:rsidRPr="003A6BE9">
        <w:rPr>
          <w:sz w:val="22"/>
          <w:szCs w:val="22"/>
        </w:rPr>
        <w:t>3</w:t>
      </w:r>
      <w:r>
        <w:rPr>
          <w:sz w:val="22"/>
          <w:szCs w:val="22"/>
        </w:rPr>
        <w:t xml:space="preserve"> </w:t>
      </w:r>
      <w:r w:rsidRPr="003A6BE9">
        <w:rPr>
          <w:sz w:val="22"/>
          <w:szCs w:val="22"/>
        </w:rPr>
        <w:t>%)</w:t>
      </w:r>
      <w:r>
        <w:rPr>
          <w:sz w:val="22"/>
          <w:szCs w:val="22"/>
        </w:rPr>
        <w:t xml:space="preserve"> som ble kontinuerlig behandlet med </w:t>
      </w:r>
      <w:r w:rsidRPr="00D1310A">
        <w:rPr>
          <w:sz w:val="22"/>
          <w:szCs w:val="22"/>
        </w:rPr>
        <w:t>adalimumab</w:t>
      </w:r>
      <w:r>
        <w:rPr>
          <w:sz w:val="22"/>
          <w:szCs w:val="22"/>
        </w:rPr>
        <w:t>.</w:t>
      </w:r>
    </w:p>
    <w:p w14:paraId="5CEE55B2" w14:textId="77777777" w:rsidR="001E500F" w:rsidRPr="009C5EFD" w:rsidRDefault="001E500F" w:rsidP="009C5EFD">
      <w:pPr>
        <w:rPr>
          <w:sz w:val="22"/>
          <w:szCs w:val="22"/>
        </w:rPr>
      </w:pPr>
    </w:p>
    <w:p w14:paraId="3E5A76DD" w14:textId="77777777" w:rsidR="001E500F" w:rsidRPr="009C5EFD" w:rsidRDefault="00E453CD" w:rsidP="009C5EFD">
      <w:pPr>
        <w:rPr>
          <w:sz w:val="22"/>
          <w:szCs w:val="22"/>
        </w:rPr>
      </w:pPr>
      <w:r w:rsidRPr="009C5EFD">
        <w:rPr>
          <w:sz w:val="22"/>
          <w:szCs w:val="22"/>
        </w:rPr>
        <w:t>Hos pasienter med Crohns sykdom ble anti-adalimumab antistoffer påvist hos 7/269</w:t>
      </w:r>
      <w:r w:rsidR="00315F16" w:rsidRPr="009C5EFD">
        <w:rPr>
          <w:sz w:val="22"/>
          <w:szCs w:val="22"/>
        </w:rPr>
        <w:t> pasient</w:t>
      </w:r>
      <w:r w:rsidRPr="009C5EFD">
        <w:rPr>
          <w:sz w:val="22"/>
          <w:szCs w:val="22"/>
        </w:rPr>
        <w:t>er (2,6</w:t>
      </w:r>
      <w:r w:rsidR="00315F16" w:rsidRPr="009C5EFD">
        <w:rPr>
          <w:sz w:val="22"/>
          <w:szCs w:val="22"/>
        </w:rPr>
        <w:t> %</w:t>
      </w:r>
      <w:r w:rsidRPr="009C5EFD">
        <w:rPr>
          <w:sz w:val="22"/>
          <w:szCs w:val="22"/>
        </w:rPr>
        <w:t>) og hos 19/487</w:t>
      </w:r>
      <w:r w:rsidR="00315F16" w:rsidRPr="009C5EFD">
        <w:rPr>
          <w:sz w:val="22"/>
          <w:szCs w:val="22"/>
        </w:rPr>
        <w:t> pasient</w:t>
      </w:r>
      <w:r w:rsidRPr="009C5EFD">
        <w:rPr>
          <w:sz w:val="22"/>
          <w:szCs w:val="22"/>
        </w:rPr>
        <w:t>er (3,9</w:t>
      </w:r>
      <w:r w:rsidR="00315F16" w:rsidRPr="009C5EFD">
        <w:rPr>
          <w:sz w:val="22"/>
          <w:szCs w:val="22"/>
        </w:rPr>
        <w:t> %</w:t>
      </w:r>
      <w:r w:rsidRPr="009C5EFD">
        <w:rPr>
          <w:sz w:val="22"/>
          <w:szCs w:val="22"/>
        </w:rPr>
        <w:t>) med ulcerøs kolitt.</w:t>
      </w:r>
    </w:p>
    <w:p w14:paraId="2F8ED706" w14:textId="77777777" w:rsidR="001E500F" w:rsidRPr="009C5EFD" w:rsidRDefault="001E500F" w:rsidP="009C5EFD">
      <w:pPr>
        <w:rPr>
          <w:sz w:val="22"/>
          <w:szCs w:val="22"/>
        </w:rPr>
      </w:pPr>
    </w:p>
    <w:p w14:paraId="15DBD9BF" w14:textId="77777777" w:rsidR="001E500F" w:rsidRPr="009C5EFD" w:rsidRDefault="00E453CD" w:rsidP="009C5EFD">
      <w:pPr>
        <w:rPr>
          <w:sz w:val="22"/>
          <w:szCs w:val="22"/>
        </w:rPr>
      </w:pPr>
      <w:r w:rsidRPr="009C5EFD">
        <w:rPr>
          <w:sz w:val="22"/>
          <w:szCs w:val="22"/>
        </w:rPr>
        <w:t>Hos voksne pasienter med psoriasis ble anti-adalimumab antistoffer påvist hos 77/920</w:t>
      </w:r>
      <w:r w:rsidR="00315F16" w:rsidRPr="009C5EFD">
        <w:rPr>
          <w:sz w:val="22"/>
          <w:szCs w:val="22"/>
        </w:rPr>
        <w:t> pasient</w:t>
      </w:r>
      <w:r w:rsidRPr="009C5EFD">
        <w:rPr>
          <w:sz w:val="22"/>
          <w:szCs w:val="22"/>
        </w:rPr>
        <w:t>er (8,4</w:t>
      </w:r>
      <w:r w:rsidR="00315F16" w:rsidRPr="009C5EFD">
        <w:rPr>
          <w:sz w:val="22"/>
          <w:szCs w:val="22"/>
        </w:rPr>
        <w:t> %</w:t>
      </w:r>
      <w:r w:rsidRPr="009C5EFD">
        <w:rPr>
          <w:sz w:val="22"/>
          <w:szCs w:val="22"/>
        </w:rPr>
        <w:t>) behandlet med adalimumab som monoterapi.</w:t>
      </w:r>
    </w:p>
    <w:p w14:paraId="2E3D42B0" w14:textId="77777777" w:rsidR="001E500F" w:rsidRPr="00644328" w:rsidRDefault="001E500F" w:rsidP="009C5EFD">
      <w:pPr>
        <w:rPr>
          <w:sz w:val="22"/>
          <w:szCs w:val="22"/>
        </w:rPr>
      </w:pPr>
    </w:p>
    <w:p w14:paraId="7F342CA8" w14:textId="77777777" w:rsidR="001E500F" w:rsidRPr="00644328" w:rsidRDefault="00E453CD" w:rsidP="009C5EFD">
      <w:pPr>
        <w:rPr>
          <w:sz w:val="22"/>
          <w:szCs w:val="22"/>
        </w:rPr>
      </w:pPr>
      <w:r w:rsidRPr="00644328">
        <w:rPr>
          <w:sz w:val="22"/>
          <w:szCs w:val="22"/>
        </w:rPr>
        <w:lastRenderedPageBreak/>
        <w:t xml:space="preserve">Hos voksne pasienter med plakkpsoriasis som hadde fått monoterapi med adalimumab over lang tid og hadde deltatt i en </w:t>
      </w:r>
      <w:r w:rsidR="004F62E0" w:rsidRPr="00644328">
        <w:rPr>
          <w:sz w:val="22"/>
          <w:szCs w:val="22"/>
        </w:rPr>
        <w:t>seponerings-</w:t>
      </w:r>
      <w:r w:rsidRPr="00644328">
        <w:rPr>
          <w:sz w:val="22"/>
          <w:szCs w:val="22"/>
        </w:rPr>
        <w:t xml:space="preserve"> og gjen</w:t>
      </w:r>
      <w:r w:rsidR="004F62E0" w:rsidRPr="00644328">
        <w:rPr>
          <w:sz w:val="22"/>
          <w:szCs w:val="22"/>
        </w:rPr>
        <w:t>tatt</w:t>
      </w:r>
      <w:r w:rsidRPr="00644328">
        <w:rPr>
          <w:sz w:val="22"/>
          <w:szCs w:val="22"/>
        </w:rPr>
        <w:t>behandling</w:t>
      </w:r>
      <w:r w:rsidR="004F62E0" w:rsidRPr="00644328">
        <w:rPr>
          <w:sz w:val="22"/>
          <w:szCs w:val="22"/>
        </w:rPr>
        <w:t>sstudie</w:t>
      </w:r>
      <w:r w:rsidRPr="00644328">
        <w:rPr>
          <w:sz w:val="22"/>
          <w:szCs w:val="22"/>
        </w:rPr>
        <w:t>, var prosenten av adalimumab antistoffer etter gjenopptagelse av behandlingen (11 av 482</w:t>
      </w:r>
      <w:r w:rsidR="00315F16" w:rsidRPr="00644328">
        <w:rPr>
          <w:sz w:val="22"/>
          <w:szCs w:val="22"/>
        </w:rPr>
        <w:t> pasient</w:t>
      </w:r>
      <w:r w:rsidRPr="00644328">
        <w:rPr>
          <w:sz w:val="22"/>
          <w:szCs w:val="22"/>
        </w:rPr>
        <w:t>er, 2,3</w:t>
      </w:r>
      <w:r w:rsidR="00315F16" w:rsidRPr="00644328">
        <w:rPr>
          <w:sz w:val="22"/>
          <w:szCs w:val="22"/>
        </w:rPr>
        <w:t> %</w:t>
      </w:r>
      <w:r w:rsidRPr="00644328">
        <w:rPr>
          <w:sz w:val="22"/>
          <w:szCs w:val="22"/>
        </w:rPr>
        <w:t>) lik prosenten observert før avvenningen (11 av 590</w:t>
      </w:r>
      <w:r w:rsidR="00315F16" w:rsidRPr="00644328">
        <w:rPr>
          <w:sz w:val="22"/>
          <w:szCs w:val="22"/>
        </w:rPr>
        <w:t> pasient</w:t>
      </w:r>
      <w:r w:rsidRPr="00644328">
        <w:rPr>
          <w:sz w:val="22"/>
          <w:szCs w:val="22"/>
        </w:rPr>
        <w:t>er, 1,9</w:t>
      </w:r>
      <w:r w:rsidR="00315F16" w:rsidRPr="00644328">
        <w:rPr>
          <w:sz w:val="22"/>
          <w:szCs w:val="22"/>
        </w:rPr>
        <w:t> %</w:t>
      </w:r>
      <w:r w:rsidRPr="00644328">
        <w:rPr>
          <w:sz w:val="22"/>
          <w:szCs w:val="22"/>
        </w:rPr>
        <w:t>).</w:t>
      </w:r>
    </w:p>
    <w:p w14:paraId="0FA21741" w14:textId="77777777" w:rsidR="001E500F" w:rsidRPr="00644328" w:rsidRDefault="001E500F" w:rsidP="009C5EFD">
      <w:pPr>
        <w:rPr>
          <w:sz w:val="22"/>
          <w:szCs w:val="22"/>
        </w:rPr>
      </w:pPr>
    </w:p>
    <w:p w14:paraId="5862D395" w14:textId="77777777" w:rsidR="001E500F" w:rsidRPr="00644328" w:rsidRDefault="00E453CD" w:rsidP="009C5EFD">
      <w:pPr>
        <w:rPr>
          <w:sz w:val="22"/>
          <w:szCs w:val="22"/>
        </w:rPr>
      </w:pPr>
      <w:r w:rsidRPr="00644328">
        <w:rPr>
          <w:sz w:val="22"/>
          <w:szCs w:val="22"/>
        </w:rPr>
        <w:t>Hos pasienter med pediatrisk psoriasis ble anti-adalimumab antistoffer påvist hos 5/38 pasienter (13</w:t>
      </w:r>
      <w:r w:rsidR="00315F16" w:rsidRPr="00644328">
        <w:rPr>
          <w:sz w:val="22"/>
          <w:szCs w:val="22"/>
        </w:rPr>
        <w:t> %</w:t>
      </w:r>
      <w:r w:rsidRPr="00644328">
        <w:rPr>
          <w:sz w:val="22"/>
          <w:szCs w:val="22"/>
        </w:rPr>
        <w:t>) behandlet med 0,8</w:t>
      </w:r>
      <w:r w:rsidR="00315F16" w:rsidRPr="00644328">
        <w:rPr>
          <w:sz w:val="22"/>
          <w:szCs w:val="22"/>
        </w:rPr>
        <w:t> mg</w:t>
      </w:r>
      <w:r w:rsidRPr="00644328">
        <w:rPr>
          <w:sz w:val="22"/>
          <w:szCs w:val="22"/>
        </w:rPr>
        <w:t>/kg adalimumab som monoterapi.</w:t>
      </w:r>
    </w:p>
    <w:p w14:paraId="625BD318" w14:textId="77777777" w:rsidR="004A6BEE" w:rsidRPr="00644328" w:rsidRDefault="004A6BEE" w:rsidP="009C5EFD">
      <w:pPr>
        <w:rPr>
          <w:sz w:val="22"/>
          <w:szCs w:val="22"/>
        </w:rPr>
      </w:pPr>
    </w:p>
    <w:p w14:paraId="77BE22FF" w14:textId="77777777" w:rsidR="004A6BEE" w:rsidRPr="00644328" w:rsidRDefault="00E453CD" w:rsidP="009C5EFD">
      <w:pPr>
        <w:rPr>
          <w:sz w:val="22"/>
          <w:szCs w:val="22"/>
        </w:rPr>
      </w:pPr>
      <w:r w:rsidRPr="00644328">
        <w:rPr>
          <w:sz w:val="22"/>
          <w:szCs w:val="22"/>
        </w:rPr>
        <w:t xml:space="preserve">Hos pasienter med moderat til alvorlig </w:t>
      </w:r>
      <w:r w:rsidR="007F67EE" w:rsidRPr="00644328">
        <w:rPr>
          <w:sz w:val="22"/>
          <w:szCs w:val="22"/>
        </w:rPr>
        <w:t>hidrosadenitt</w:t>
      </w:r>
      <w:r w:rsidRPr="00644328">
        <w:rPr>
          <w:sz w:val="22"/>
          <w:szCs w:val="22"/>
        </w:rPr>
        <w:t xml:space="preserve"> ble anti-adalimumab antistoffer identifisert hos 10/99 pasienter (10,1 %) behandlet med adalimumab.</w:t>
      </w:r>
    </w:p>
    <w:p w14:paraId="54518453" w14:textId="77777777" w:rsidR="001E500F" w:rsidRPr="00644328" w:rsidRDefault="001E500F" w:rsidP="009C5EFD">
      <w:pPr>
        <w:rPr>
          <w:sz w:val="22"/>
          <w:szCs w:val="22"/>
        </w:rPr>
      </w:pPr>
    </w:p>
    <w:p w14:paraId="564E4F60" w14:textId="77777777" w:rsidR="006076F2" w:rsidRPr="00644328" w:rsidRDefault="00E453CD" w:rsidP="006076F2">
      <w:pPr>
        <w:rPr>
          <w:sz w:val="22"/>
        </w:rPr>
      </w:pPr>
      <w:r w:rsidRPr="00644328">
        <w:rPr>
          <w:sz w:val="22"/>
          <w:szCs w:val="22"/>
        </w:rPr>
        <w:t xml:space="preserve">Hos pasienter med moderat til alvorlig aktiv </w:t>
      </w:r>
      <w:r w:rsidR="00356346" w:rsidRPr="00644328">
        <w:rPr>
          <w:sz w:val="22"/>
          <w:szCs w:val="22"/>
        </w:rPr>
        <w:t xml:space="preserve">pediatrisk </w:t>
      </w:r>
      <w:r w:rsidRPr="00644328">
        <w:rPr>
          <w:sz w:val="22"/>
        </w:rPr>
        <w:t>Crohns sykdom ble anti-adalimumab antistoffer utviklet hos 3,3 % av pasientene behandlet med adalimumab.</w:t>
      </w:r>
    </w:p>
    <w:p w14:paraId="1547ECF2" w14:textId="77777777" w:rsidR="00F722DB" w:rsidRPr="00644328" w:rsidRDefault="00F722DB" w:rsidP="006076F2">
      <w:pPr>
        <w:rPr>
          <w:sz w:val="22"/>
        </w:rPr>
      </w:pPr>
    </w:p>
    <w:p w14:paraId="0359B5F1" w14:textId="77777777" w:rsidR="00F722DB" w:rsidRPr="00644328" w:rsidRDefault="00E453CD" w:rsidP="006076F2">
      <w:pPr>
        <w:rPr>
          <w:sz w:val="22"/>
        </w:rPr>
      </w:pPr>
      <w:r w:rsidRPr="00644328">
        <w:rPr>
          <w:sz w:val="22"/>
          <w:szCs w:val="22"/>
        </w:rPr>
        <w:t>Hos</w:t>
      </w:r>
      <w:r w:rsidR="00766BE3" w:rsidRPr="00644328">
        <w:rPr>
          <w:sz w:val="22"/>
          <w:szCs w:val="22"/>
        </w:rPr>
        <w:t xml:space="preserve"> voksne</w:t>
      </w:r>
      <w:r w:rsidRPr="00644328">
        <w:rPr>
          <w:sz w:val="22"/>
          <w:szCs w:val="22"/>
        </w:rPr>
        <w:t xml:space="preserve"> pasienter med ikke-infeksiøs uveitt ble anti-adalimumab antistoffer påvist hos 4,8 % (12/249) av pasientene behandlet med adalimumab.</w:t>
      </w:r>
    </w:p>
    <w:p w14:paraId="23A5909B" w14:textId="77777777" w:rsidR="006076F2" w:rsidRPr="00644328" w:rsidRDefault="006076F2" w:rsidP="009C5EFD">
      <w:pPr>
        <w:rPr>
          <w:sz w:val="22"/>
          <w:szCs w:val="22"/>
        </w:rPr>
      </w:pPr>
    </w:p>
    <w:p w14:paraId="21A94AAD" w14:textId="77777777" w:rsidR="00E54C66" w:rsidRPr="00E04B2A" w:rsidRDefault="00E453CD" w:rsidP="00E54C66">
      <w:pPr>
        <w:rPr>
          <w:sz w:val="22"/>
        </w:rPr>
      </w:pPr>
      <w:r w:rsidRPr="002F0483">
        <w:rPr>
          <w:sz w:val="22"/>
        </w:rPr>
        <w:t xml:space="preserve">Hos pasienter med moderat til alvorlig aktiv </w:t>
      </w:r>
      <w:r>
        <w:rPr>
          <w:sz w:val="22"/>
        </w:rPr>
        <w:t xml:space="preserve">pediatrisk </w:t>
      </w:r>
      <w:r w:rsidRPr="002F0483">
        <w:rPr>
          <w:sz w:val="22"/>
        </w:rPr>
        <w:t xml:space="preserve">ulcerøs kolitt </w:t>
      </w:r>
      <w:r>
        <w:rPr>
          <w:sz w:val="22"/>
        </w:rPr>
        <w:t>ble</w:t>
      </w:r>
      <w:r w:rsidRPr="002F0483">
        <w:rPr>
          <w:sz w:val="22"/>
        </w:rPr>
        <w:t xml:space="preserve"> anti-adalimumab</w:t>
      </w:r>
      <w:r>
        <w:rPr>
          <w:sz w:val="22"/>
        </w:rPr>
        <w:t xml:space="preserve"> </w:t>
      </w:r>
      <w:r w:rsidRPr="002F0483">
        <w:rPr>
          <w:sz w:val="22"/>
        </w:rPr>
        <w:t>antistoff</w:t>
      </w:r>
      <w:r>
        <w:rPr>
          <w:sz w:val="22"/>
        </w:rPr>
        <w:t>er</w:t>
      </w:r>
      <w:r w:rsidRPr="002F0483">
        <w:rPr>
          <w:sz w:val="22"/>
        </w:rPr>
        <w:t xml:space="preserve"> </w:t>
      </w:r>
      <w:r>
        <w:rPr>
          <w:sz w:val="22"/>
        </w:rPr>
        <w:t>utviklet hos 3</w:t>
      </w:r>
      <w:r w:rsidR="00301726">
        <w:rPr>
          <w:sz w:val="22"/>
        </w:rPr>
        <w:t> </w:t>
      </w:r>
      <w:r>
        <w:rPr>
          <w:sz w:val="22"/>
        </w:rPr>
        <w:t xml:space="preserve">% av </w:t>
      </w:r>
      <w:r w:rsidRPr="002F0483">
        <w:rPr>
          <w:sz w:val="22"/>
        </w:rPr>
        <w:t>pasiente</w:t>
      </w:r>
      <w:r>
        <w:rPr>
          <w:sz w:val="22"/>
        </w:rPr>
        <w:t xml:space="preserve">ne behandlet med </w:t>
      </w:r>
      <w:r w:rsidRPr="002F0483">
        <w:rPr>
          <w:sz w:val="22"/>
        </w:rPr>
        <w:t>adalimumab.</w:t>
      </w:r>
    </w:p>
    <w:p w14:paraId="76A28372" w14:textId="77777777" w:rsidR="00E54C66" w:rsidRPr="00644328" w:rsidRDefault="00E54C66" w:rsidP="009C5EFD">
      <w:pPr>
        <w:rPr>
          <w:sz w:val="22"/>
          <w:szCs w:val="22"/>
        </w:rPr>
      </w:pPr>
    </w:p>
    <w:p w14:paraId="539999E2" w14:textId="77777777" w:rsidR="001E500F" w:rsidRPr="00644328" w:rsidRDefault="00E453CD" w:rsidP="009C5EFD">
      <w:pPr>
        <w:rPr>
          <w:sz w:val="22"/>
          <w:szCs w:val="22"/>
        </w:rPr>
      </w:pPr>
      <w:r w:rsidRPr="00644328">
        <w:rPr>
          <w:sz w:val="22"/>
          <w:szCs w:val="22"/>
        </w:rPr>
        <w:t>Ettersom immunogenisitetsanalyser er produktspesifikke, er en sammenligning av antistoff-forekomst med andre produkter uegnet.</w:t>
      </w:r>
    </w:p>
    <w:p w14:paraId="46B15B7A" w14:textId="77777777" w:rsidR="001E500F" w:rsidRPr="00644328" w:rsidRDefault="001E500F" w:rsidP="009C5EFD">
      <w:pPr>
        <w:rPr>
          <w:sz w:val="22"/>
          <w:szCs w:val="22"/>
        </w:rPr>
      </w:pPr>
    </w:p>
    <w:p w14:paraId="1D0F3223" w14:textId="77777777" w:rsidR="001E500F" w:rsidRPr="00644328" w:rsidRDefault="00E453CD" w:rsidP="00776A84">
      <w:pPr>
        <w:keepNext/>
        <w:rPr>
          <w:sz w:val="22"/>
          <w:szCs w:val="22"/>
        </w:rPr>
      </w:pPr>
      <w:r w:rsidRPr="00644328">
        <w:rPr>
          <w:sz w:val="22"/>
          <w:szCs w:val="22"/>
          <w:u w:val="single"/>
        </w:rPr>
        <w:t>Pediatrisk populasjon</w:t>
      </w:r>
    </w:p>
    <w:p w14:paraId="6B0321E2" w14:textId="77777777" w:rsidR="001E500F" w:rsidRPr="00644328" w:rsidRDefault="001E500F" w:rsidP="00776A84">
      <w:pPr>
        <w:keepNext/>
        <w:rPr>
          <w:sz w:val="22"/>
          <w:szCs w:val="22"/>
        </w:rPr>
      </w:pPr>
    </w:p>
    <w:p w14:paraId="7237CBA4" w14:textId="77777777" w:rsidR="002F0483" w:rsidRPr="009C5EFD" w:rsidRDefault="00E453CD" w:rsidP="002F0483">
      <w:pPr>
        <w:pStyle w:val="EndnoteText"/>
        <w:keepNext/>
        <w:widowControl/>
        <w:tabs>
          <w:tab w:val="clear" w:pos="567"/>
          <w:tab w:val="left" w:pos="708"/>
        </w:tabs>
        <w:suppressAutoHyphens/>
        <w:rPr>
          <w:i/>
          <w:szCs w:val="22"/>
          <w:lang w:val="nb-NO"/>
        </w:rPr>
      </w:pPr>
      <w:r w:rsidRPr="009C5EFD">
        <w:rPr>
          <w:i/>
          <w:szCs w:val="22"/>
          <w:lang w:val="nb-NO"/>
        </w:rPr>
        <w:t>Juvenil idiopatisk artritt (JIA)</w:t>
      </w:r>
    </w:p>
    <w:p w14:paraId="618C4C2F" w14:textId="77777777" w:rsidR="002F0483" w:rsidRPr="009C5EFD" w:rsidRDefault="002F0483" w:rsidP="002F0483">
      <w:pPr>
        <w:keepNext/>
        <w:rPr>
          <w:sz w:val="22"/>
          <w:szCs w:val="22"/>
          <w:u w:val="single"/>
        </w:rPr>
      </w:pPr>
    </w:p>
    <w:p w14:paraId="5E539FC8" w14:textId="77777777" w:rsidR="002F0483" w:rsidRPr="009C5EFD" w:rsidRDefault="00E453CD" w:rsidP="002F0483">
      <w:pPr>
        <w:keepNext/>
        <w:rPr>
          <w:i/>
          <w:sz w:val="22"/>
          <w:szCs w:val="22"/>
          <w:u w:val="single"/>
        </w:rPr>
      </w:pPr>
      <w:r w:rsidRPr="009C5EFD">
        <w:rPr>
          <w:i/>
          <w:sz w:val="22"/>
          <w:szCs w:val="22"/>
          <w:u w:val="single"/>
        </w:rPr>
        <w:t>Polyartikulær juvenil idiopatisk artritt (pJIA)</w:t>
      </w:r>
    </w:p>
    <w:p w14:paraId="4925AD66" w14:textId="77777777" w:rsidR="002F0483" w:rsidRPr="009C5EFD" w:rsidRDefault="002F0483" w:rsidP="002F0483">
      <w:pPr>
        <w:keepNext/>
        <w:rPr>
          <w:sz w:val="22"/>
          <w:szCs w:val="22"/>
        </w:rPr>
      </w:pPr>
    </w:p>
    <w:p w14:paraId="4579F18E" w14:textId="77777777" w:rsidR="002F0483" w:rsidRPr="009C5EFD" w:rsidRDefault="00E453CD" w:rsidP="002F0483">
      <w:pPr>
        <w:pStyle w:val="EndnoteText"/>
        <w:suppressAutoHyphens/>
        <w:rPr>
          <w:szCs w:val="22"/>
          <w:lang w:val="nb-NO"/>
        </w:rPr>
      </w:pPr>
      <w:r w:rsidRPr="009C5EFD">
        <w:rPr>
          <w:szCs w:val="22"/>
          <w:lang w:val="nb-NO"/>
        </w:rPr>
        <w:t>Sikkerhet og effekt av Humira ble vurdert i to studier (pJIA I og II) hos barn med aktiv polyartikulær eller polyartikulær juvenil idiopatisk artritt, som hadde en rekke med JIA utbruddsfaktorer (oftest revmatoid-faktor negativ eller positiv polyartritt og forlenget oligoartritt).</w:t>
      </w:r>
    </w:p>
    <w:p w14:paraId="7234A3B5" w14:textId="77777777" w:rsidR="002F0483" w:rsidRPr="009C5EFD" w:rsidRDefault="002F0483" w:rsidP="002F0483">
      <w:pPr>
        <w:pStyle w:val="EndnoteText"/>
        <w:widowControl/>
        <w:tabs>
          <w:tab w:val="clear" w:pos="567"/>
          <w:tab w:val="left" w:pos="708"/>
        </w:tabs>
        <w:suppressAutoHyphens/>
        <w:rPr>
          <w:szCs w:val="22"/>
          <w:lang w:val="nb-NO"/>
        </w:rPr>
      </w:pPr>
    </w:p>
    <w:p w14:paraId="68794FC3" w14:textId="77777777" w:rsidR="002F0483" w:rsidRPr="009C5EFD" w:rsidRDefault="00E453CD" w:rsidP="002F0483">
      <w:pPr>
        <w:keepNext/>
        <w:rPr>
          <w:sz w:val="22"/>
          <w:szCs w:val="22"/>
        </w:rPr>
      </w:pPr>
      <w:r w:rsidRPr="009C5EFD">
        <w:rPr>
          <w:sz w:val="22"/>
          <w:szCs w:val="22"/>
        </w:rPr>
        <w:t>pJIA-I</w:t>
      </w:r>
    </w:p>
    <w:p w14:paraId="10F5D32B" w14:textId="77777777" w:rsidR="002F0483" w:rsidRPr="009C5EFD" w:rsidRDefault="002F0483" w:rsidP="002F0483">
      <w:pPr>
        <w:keepNext/>
        <w:rPr>
          <w:sz w:val="22"/>
          <w:szCs w:val="22"/>
        </w:rPr>
      </w:pPr>
    </w:p>
    <w:p w14:paraId="41B2DE9B" w14:textId="77777777" w:rsidR="002F0483" w:rsidRPr="009C5EFD" w:rsidRDefault="00E453CD" w:rsidP="002F0483">
      <w:pPr>
        <w:rPr>
          <w:sz w:val="22"/>
          <w:szCs w:val="22"/>
        </w:rPr>
      </w:pPr>
      <w:r w:rsidRPr="009C5EFD">
        <w:rPr>
          <w:sz w:val="22"/>
          <w:szCs w:val="22"/>
        </w:rPr>
        <w:t xml:space="preserve">Sikkerhet og effekt </w:t>
      </w:r>
      <w:r>
        <w:rPr>
          <w:sz w:val="22"/>
          <w:szCs w:val="22"/>
        </w:rPr>
        <w:t>av</w:t>
      </w:r>
      <w:r w:rsidRPr="009C5EFD">
        <w:rPr>
          <w:sz w:val="22"/>
          <w:szCs w:val="22"/>
        </w:rPr>
        <w:t xml:space="preserve"> Humira ble vurdert i en multisenter, randomisert, dobbeltblindet, parallellgruppestudie hos 171 barn (4-17 år) med polyartikulær JIA. I den innledende fasen til open-label-delen (OL LI) ble pasientene stratifisert i to grupper; behandling med og uten metotreksat. Pasienter som var i den gruppen som ikke ble behandlet med metotreksat hadde enten ikke brukt metotreksat tidligere eller de hadde sluttet med metotreksat minst to uker før start av studien. Pasientene sto på stabile doser av NSAIDs og/eller prednison (≤ 0,2 mg/kg/dag eller 10 mg/dag maksimum). I OL LI</w:t>
      </w:r>
      <w:r>
        <w:rPr>
          <w:sz w:val="22"/>
          <w:szCs w:val="22"/>
        </w:rPr>
        <w:noBreakHyphen/>
        <w:t>fasen</w:t>
      </w:r>
      <w:r w:rsidRPr="009C5EFD">
        <w:rPr>
          <w:sz w:val="22"/>
          <w:szCs w:val="22"/>
        </w:rPr>
        <w:t xml:space="preserve"> fikk alle pasienter 24 mg/m</w:t>
      </w:r>
      <w:r w:rsidRPr="009C5EFD">
        <w:rPr>
          <w:sz w:val="22"/>
          <w:szCs w:val="22"/>
          <w:vertAlign w:val="superscript"/>
        </w:rPr>
        <w:t>2</w:t>
      </w:r>
      <w:r w:rsidRPr="009C5EFD">
        <w:rPr>
          <w:sz w:val="22"/>
          <w:szCs w:val="22"/>
        </w:rPr>
        <w:t xml:space="preserve"> opptil maksimum 40 mg Humira annen</w:t>
      </w:r>
      <w:r>
        <w:rPr>
          <w:sz w:val="22"/>
          <w:szCs w:val="22"/>
        </w:rPr>
        <w:t>hver</w:t>
      </w:r>
      <w:r w:rsidRPr="009C5EFD">
        <w:rPr>
          <w:sz w:val="22"/>
          <w:szCs w:val="22"/>
        </w:rPr>
        <w:t xml:space="preserve"> uke i 16 uker. Spredning av pasientene med hensyn til alder, minimum-, median- og maksimumdose under OL LI-fasen er vist i tabell </w:t>
      </w:r>
      <w:r>
        <w:rPr>
          <w:sz w:val="22"/>
          <w:szCs w:val="22"/>
        </w:rPr>
        <w:t>25</w:t>
      </w:r>
      <w:r w:rsidRPr="009C5EFD">
        <w:rPr>
          <w:sz w:val="22"/>
          <w:szCs w:val="22"/>
        </w:rPr>
        <w:t>.</w:t>
      </w:r>
    </w:p>
    <w:p w14:paraId="0612ACD0" w14:textId="77777777" w:rsidR="002F0483" w:rsidRPr="009C5EFD" w:rsidRDefault="002F0483" w:rsidP="002F0483">
      <w:pPr>
        <w:rPr>
          <w:sz w:val="22"/>
          <w:szCs w:val="22"/>
        </w:rPr>
      </w:pPr>
    </w:p>
    <w:p w14:paraId="157C6C80" w14:textId="77777777" w:rsidR="002F0483" w:rsidRPr="009C5EFD" w:rsidRDefault="00E453CD" w:rsidP="002F0483">
      <w:pPr>
        <w:pStyle w:val="BodyTextIndent"/>
        <w:keepNext/>
        <w:ind w:left="0" w:right="51"/>
        <w:jc w:val="center"/>
        <w:rPr>
          <w:b/>
          <w:sz w:val="22"/>
          <w:szCs w:val="22"/>
        </w:rPr>
      </w:pPr>
      <w:r w:rsidRPr="009C5EFD">
        <w:rPr>
          <w:b/>
          <w:sz w:val="22"/>
          <w:szCs w:val="22"/>
        </w:rPr>
        <w:t xml:space="preserve">Tabell </w:t>
      </w:r>
      <w:r>
        <w:rPr>
          <w:b/>
          <w:sz w:val="22"/>
          <w:szCs w:val="22"/>
        </w:rPr>
        <w:t>25</w:t>
      </w:r>
    </w:p>
    <w:p w14:paraId="615B222C" w14:textId="77777777" w:rsidR="002F0483" w:rsidRPr="009C5EFD" w:rsidRDefault="00E453CD" w:rsidP="002F0483">
      <w:pPr>
        <w:pStyle w:val="BodyTextIndent"/>
        <w:keepNext/>
        <w:ind w:left="0" w:right="51"/>
        <w:jc w:val="center"/>
        <w:rPr>
          <w:b/>
          <w:sz w:val="22"/>
          <w:szCs w:val="22"/>
        </w:rPr>
      </w:pPr>
      <w:r w:rsidRPr="009C5EFD">
        <w:rPr>
          <w:b/>
          <w:sz w:val="22"/>
          <w:szCs w:val="22"/>
        </w:rPr>
        <w:t xml:space="preserve">Pasienters aldersspredning og adalimumabdosen </w:t>
      </w:r>
      <w:r>
        <w:rPr>
          <w:b/>
          <w:sz w:val="22"/>
          <w:szCs w:val="22"/>
        </w:rPr>
        <w:t xml:space="preserve">gitt </w:t>
      </w:r>
      <w:r w:rsidRPr="009C5EFD">
        <w:rPr>
          <w:b/>
          <w:sz w:val="22"/>
          <w:szCs w:val="22"/>
        </w:rPr>
        <w:t>under OL LI-fasen</w:t>
      </w:r>
    </w:p>
    <w:p w14:paraId="003ACA41" w14:textId="77777777" w:rsidR="002F0483" w:rsidRPr="009C5EFD" w:rsidRDefault="002F0483" w:rsidP="002F0483">
      <w:pPr>
        <w:pStyle w:val="BodyTextIndent"/>
        <w:keepNext/>
        <w:ind w:left="0" w:right="51"/>
        <w:rPr>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3424"/>
        <w:gridCol w:w="3154"/>
      </w:tblGrid>
      <w:tr w:rsidR="004644D4" w14:paraId="1B2CD762"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6A6DD20A" w14:textId="77777777" w:rsidR="002F0483" w:rsidRPr="009C5EFD" w:rsidRDefault="00E453CD" w:rsidP="002F0483">
            <w:pPr>
              <w:pStyle w:val="BodyTextIndent"/>
              <w:keepNext/>
              <w:ind w:left="0" w:right="51"/>
              <w:rPr>
                <w:sz w:val="22"/>
                <w:szCs w:val="22"/>
              </w:rPr>
            </w:pPr>
            <w:r w:rsidRPr="009C5EFD">
              <w:rPr>
                <w:sz w:val="22"/>
                <w:szCs w:val="22"/>
              </w:rPr>
              <w:t>Aldersgruppe</w:t>
            </w:r>
          </w:p>
        </w:tc>
        <w:tc>
          <w:tcPr>
            <w:tcW w:w="3520" w:type="dxa"/>
            <w:tcBorders>
              <w:top w:val="single" w:sz="4" w:space="0" w:color="auto"/>
              <w:left w:val="single" w:sz="4" w:space="0" w:color="auto"/>
              <w:bottom w:val="single" w:sz="4" w:space="0" w:color="auto"/>
              <w:right w:val="single" w:sz="4" w:space="0" w:color="auto"/>
            </w:tcBorders>
            <w:hideMark/>
          </w:tcPr>
          <w:p w14:paraId="121FACD8" w14:textId="77777777" w:rsidR="002F0483" w:rsidRPr="009C5EFD" w:rsidRDefault="00E453CD" w:rsidP="002F0483">
            <w:pPr>
              <w:pStyle w:val="BodyTextIndent"/>
              <w:keepNext/>
              <w:ind w:left="0" w:right="51"/>
              <w:rPr>
                <w:sz w:val="22"/>
                <w:szCs w:val="22"/>
              </w:rPr>
            </w:pPr>
            <w:r w:rsidRPr="009C5EFD">
              <w:rPr>
                <w:sz w:val="22"/>
                <w:szCs w:val="22"/>
              </w:rPr>
              <w:t>Antall pasienter ved behandlingsstart n (%)</w:t>
            </w:r>
          </w:p>
        </w:tc>
        <w:tc>
          <w:tcPr>
            <w:tcW w:w="3239" w:type="dxa"/>
            <w:tcBorders>
              <w:top w:val="single" w:sz="4" w:space="0" w:color="auto"/>
              <w:left w:val="single" w:sz="4" w:space="0" w:color="auto"/>
              <w:bottom w:val="single" w:sz="4" w:space="0" w:color="auto"/>
              <w:right w:val="single" w:sz="4" w:space="0" w:color="auto"/>
            </w:tcBorders>
            <w:hideMark/>
          </w:tcPr>
          <w:p w14:paraId="643688D9" w14:textId="77777777" w:rsidR="002F0483" w:rsidRPr="009C5EFD" w:rsidRDefault="00E453CD" w:rsidP="002F0483">
            <w:pPr>
              <w:pStyle w:val="BodyTextIndent"/>
              <w:keepNext/>
              <w:ind w:left="0" w:right="51"/>
              <w:rPr>
                <w:sz w:val="22"/>
                <w:szCs w:val="22"/>
              </w:rPr>
            </w:pPr>
            <w:r w:rsidRPr="009C5EFD">
              <w:rPr>
                <w:sz w:val="22"/>
                <w:szCs w:val="22"/>
              </w:rPr>
              <w:t>Minimum-, median- og maksimumdose</w:t>
            </w:r>
          </w:p>
        </w:tc>
      </w:tr>
      <w:tr w:rsidR="004644D4" w14:paraId="656D5067"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224F8952" w14:textId="77777777" w:rsidR="002F0483" w:rsidRPr="00C07C98" w:rsidRDefault="00E453CD" w:rsidP="002F0483">
            <w:pPr>
              <w:pStyle w:val="BodyTextIndent"/>
              <w:keepNext/>
              <w:ind w:left="0" w:right="51"/>
              <w:rPr>
                <w:sz w:val="22"/>
                <w:szCs w:val="22"/>
              </w:rPr>
            </w:pPr>
            <w:r w:rsidRPr="007F67EE">
              <w:rPr>
                <w:sz w:val="22"/>
                <w:szCs w:val="22"/>
              </w:rPr>
              <w:t>4 til 7</w:t>
            </w:r>
            <w:r w:rsidRPr="002D0790">
              <w:rPr>
                <w:sz w:val="22"/>
                <w:szCs w:val="22"/>
              </w:rPr>
              <w:t> </w:t>
            </w:r>
            <w:r w:rsidRPr="00C07C98">
              <w:rPr>
                <w:sz w:val="22"/>
                <w:szCs w:val="22"/>
              </w:rPr>
              <w:t>år</w:t>
            </w:r>
          </w:p>
        </w:tc>
        <w:tc>
          <w:tcPr>
            <w:tcW w:w="3520" w:type="dxa"/>
            <w:tcBorders>
              <w:top w:val="single" w:sz="4" w:space="0" w:color="auto"/>
              <w:left w:val="single" w:sz="4" w:space="0" w:color="auto"/>
              <w:bottom w:val="single" w:sz="4" w:space="0" w:color="auto"/>
              <w:right w:val="single" w:sz="4" w:space="0" w:color="auto"/>
            </w:tcBorders>
            <w:hideMark/>
          </w:tcPr>
          <w:p w14:paraId="6053C389" w14:textId="77777777" w:rsidR="002F0483" w:rsidRPr="009C5EFD" w:rsidRDefault="00E453CD" w:rsidP="002F0483">
            <w:pPr>
              <w:pStyle w:val="BodyTextIndent"/>
              <w:keepNext/>
              <w:ind w:left="0" w:right="51"/>
              <w:rPr>
                <w:sz w:val="22"/>
                <w:szCs w:val="22"/>
              </w:rPr>
            </w:pPr>
            <w:r w:rsidRPr="00E14E58">
              <w:rPr>
                <w:sz w:val="22"/>
                <w:szCs w:val="22"/>
              </w:rPr>
              <w:t>31 (18</w:t>
            </w:r>
            <w:r w:rsidRPr="009C5EFD">
              <w:rPr>
                <w:sz w:val="22"/>
                <w:szCs w:val="22"/>
              </w:rPr>
              <w:t>,1)</w:t>
            </w:r>
          </w:p>
        </w:tc>
        <w:tc>
          <w:tcPr>
            <w:tcW w:w="3239" w:type="dxa"/>
            <w:tcBorders>
              <w:top w:val="single" w:sz="4" w:space="0" w:color="auto"/>
              <w:left w:val="single" w:sz="4" w:space="0" w:color="auto"/>
              <w:bottom w:val="single" w:sz="4" w:space="0" w:color="auto"/>
              <w:right w:val="single" w:sz="4" w:space="0" w:color="auto"/>
            </w:tcBorders>
            <w:hideMark/>
          </w:tcPr>
          <w:p w14:paraId="08815A2E" w14:textId="77777777" w:rsidR="002F0483" w:rsidRPr="009C5EFD" w:rsidRDefault="00E453CD" w:rsidP="002F0483">
            <w:pPr>
              <w:pStyle w:val="BodyTextIndent"/>
              <w:keepNext/>
              <w:ind w:left="0" w:right="51"/>
              <w:rPr>
                <w:sz w:val="22"/>
                <w:szCs w:val="22"/>
              </w:rPr>
            </w:pPr>
            <w:r w:rsidRPr="009C5EFD">
              <w:rPr>
                <w:sz w:val="22"/>
                <w:szCs w:val="22"/>
              </w:rPr>
              <w:t>10, 20 og 25 mg</w:t>
            </w:r>
          </w:p>
        </w:tc>
      </w:tr>
      <w:tr w:rsidR="004644D4" w14:paraId="6B8D0382"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2DB27A60" w14:textId="77777777" w:rsidR="002F0483" w:rsidRPr="00C07C98" w:rsidRDefault="00E453CD" w:rsidP="002F0483">
            <w:pPr>
              <w:pStyle w:val="BodyTextIndent"/>
              <w:keepNext/>
              <w:ind w:left="0" w:right="51"/>
              <w:rPr>
                <w:sz w:val="22"/>
                <w:szCs w:val="22"/>
              </w:rPr>
            </w:pPr>
            <w:r w:rsidRPr="007F67EE">
              <w:rPr>
                <w:sz w:val="22"/>
                <w:szCs w:val="22"/>
              </w:rPr>
              <w:t>8 til 12</w:t>
            </w:r>
            <w:r w:rsidRPr="002D0790">
              <w:rPr>
                <w:sz w:val="22"/>
                <w:szCs w:val="22"/>
              </w:rPr>
              <w:t> </w:t>
            </w:r>
            <w:r w:rsidRPr="00C07C98">
              <w:rPr>
                <w:sz w:val="22"/>
                <w:szCs w:val="22"/>
              </w:rPr>
              <w:t>år</w:t>
            </w:r>
          </w:p>
        </w:tc>
        <w:tc>
          <w:tcPr>
            <w:tcW w:w="3520" w:type="dxa"/>
            <w:tcBorders>
              <w:top w:val="single" w:sz="4" w:space="0" w:color="auto"/>
              <w:left w:val="single" w:sz="4" w:space="0" w:color="auto"/>
              <w:bottom w:val="single" w:sz="4" w:space="0" w:color="auto"/>
              <w:right w:val="single" w:sz="4" w:space="0" w:color="auto"/>
            </w:tcBorders>
            <w:hideMark/>
          </w:tcPr>
          <w:p w14:paraId="330D917D" w14:textId="77777777" w:rsidR="002F0483" w:rsidRPr="009C5EFD" w:rsidRDefault="00E453CD" w:rsidP="002F0483">
            <w:pPr>
              <w:pStyle w:val="BodyTextIndent"/>
              <w:keepNext/>
              <w:ind w:left="0" w:right="51"/>
              <w:rPr>
                <w:sz w:val="22"/>
                <w:szCs w:val="22"/>
              </w:rPr>
            </w:pPr>
            <w:r w:rsidRPr="00E14E58">
              <w:rPr>
                <w:sz w:val="22"/>
                <w:szCs w:val="22"/>
              </w:rPr>
              <w:t>71 (41</w:t>
            </w:r>
            <w:r w:rsidRPr="009C5EFD">
              <w:rPr>
                <w:sz w:val="22"/>
                <w:szCs w:val="22"/>
              </w:rPr>
              <w:t>,5)</w:t>
            </w:r>
          </w:p>
        </w:tc>
        <w:tc>
          <w:tcPr>
            <w:tcW w:w="3239" w:type="dxa"/>
            <w:tcBorders>
              <w:top w:val="single" w:sz="4" w:space="0" w:color="auto"/>
              <w:left w:val="single" w:sz="4" w:space="0" w:color="auto"/>
              <w:bottom w:val="single" w:sz="4" w:space="0" w:color="auto"/>
              <w:right w:val="single" w:sz="4" w:space="0" w:color="auto"/>
            </w:tcBorders>
            <w:hideMark/>
          </w:tcPr>
          <w:p w14:paraId="2A932F5E" w14:textId="77777777" w:rsidR="002F0483" w:rsidRPr="009C5EFD" w:rsidRDefault="00E453CD" w:rsidP="002F0483">
            <w:pPr>
              <w:pStyle w:val="BodyTextIndent"/>
              <w:keepNext/>
              <w:ind w:left="0" w:right="51"/>
              <w:rPr>
                <w:sz w:val="22"/>
                <w:szCs w:val="22"/>
              </w:rPr>
            </w:pPr>
            <w:r w:rsidRPr="009C5EFD">
              <w:rPr>
                <w:sz w:val="22"/>
                <w:szCs w:val="22"/>
              </w:rPr>
              <w:t>20, 25 og 40 mg</w:t>
            </w:r>
          </w:p>
        </w:tc>
      </w:tr>
      <w:tr w:rsidR="004644D4" w14:paraId="5D73D7B9"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1BCC94AE" w14:textId="77777777" w:rsidR="002F0483" w:rsidRPr="00C07C98" w:rsidRDefault="00E453CD" w:rsidP="002F0483">
            <w:pPr>
              <w:pStyle w:val="BodyTextIndent"/>
              <w:ind w:left="0" w:right="53"/>
              <w:rPr>
                <w:sz w:val="22"/>
                <w:szCs w:val="22"/>
              </w:rPr>
            </w:pPr>
            <w:r w:rsidRPr="007F67EE">
              <w:rPr>
                <w:sz w:val="22"/>
                <w:szCs w:val="22"/>
              </w:rPr>
              <w:t>13 til 17</w:t>
            </w:r>
            <w:r w:rsidRPr="002D0790">
              <w:rPr>
                <w:sz w:val="22"/>
                <w:szCs w:val="22"/>
              </w:rPr>
              <w:t> </w:t>
            </w:r>
            <w:r w:rsidRPr="00C07C98">
              <w:rPr>
                <w:sz w:val="22"/>
                <w:szCs w:val="22"/>
              </w:rPr>
              <w:t>år</w:t>
            </w:r>
          </w:p>
        </w:tc>
        <w:tc>
          <w:tcPr>
            <w:tcW w:w="3520" w:type="dxa"/>
            <w:tcBorders>
              <w:top w:val="single" w:sz="4" w:space="0" w:color="auto"/>
              <w:left w:val="single" w:sz="4" w:space="0" w:color="auto"/>
              <w:bottom w:val="single" w:sz="4" w:space="0" w:color="auto"/>
              <w:right w:val="single" w:sz="4" w:space="0" w:color="auto"/>
            </w:tcBorders>
            <w:hideMark/>
          </w:tcPr>
          <w:p w14:paraId="127093D5" w14:textId="77777777" w:rsidR="002F0483" w:rsidRPr="009C5EFD" w:rsidRDefault="00E453CD" w:rsidP="002F0483">
            <w:pPr>
              <w:pStyle w:val="BodyTextIndent"/>
              <w:ind w:left="0" w:right="53"/>
              <w:rPr>
                <w:sz w:val="22"/>
                <w:szCs w:val="22"/>
              </w:rPr>
            </w:pPr>
            <w:r w:rsidRPr="00E14E58">
              <w:rPr>
                <w:sz w:val="22"/>
                <w:szCs w:val="22"/>
              </w:rPr>
              <w:t>69 (40</w:t>
            </w:r>
            <w:r w:rsidRPr="009C5EFD">
              <w:rPr>
                <w:sz w:val="22"/>
                <w:szCs w:val="22"/>
              </w:rPr>
              <w:t>,4)</w:t>
            </w:r>
          </w:p>
        </w:tc>
        <w:tc>
          <w:tcPr>
            <w:tcW w:w="3239" w:type="dxa"/>
            <w:tcBorders>
              <w:top w:val="single" w:sz="4" w:space="0" w:color="auto"/>
              <w:left w:val="single" w:sz="4" w:space="0" w:color="auto"/>
              <w:bottom w:val="single" w:sz="4" w:space="0" w:color="auto"/>
              <w:right w:val="single" w:sz="4" w:space="0" w:color="auto"/>
            </w:tcBorders>
            <w:hideMark/>
          </w:tcPr>
          <w:p w14:paraId="03E403D6" w14:textId="77777777" w:rsidR="002F0483" w:rsidRPr="009C5EFD" w:rsidRDefault="00E453CD" w:rsidP="002F0483">
            <w:pPr>
              <w:pStyle w:val="BodyTextIndent"/>
              <w:ind w:left="0" w:right="53"/>
              <w:rPr>
                <w:sz w:val="22"/>
                <w:szCs w:val="22"/>
              </w:rPr>
            </w:pPr>
            <w:r w:rsidRPr="009C5EFD">
              <w:rPr>
                <w:sz w:val="22"/>
                <w:szCs w:val="22"/>
              </w:rPr>
              <w:t>25, 40 og 40 mg</w:t>
            </w:r>
          </w:p>
        </w:tc>
      </w:tr>
    </w:tbl>
    <w:p w14:paraId="4027A9C7" w14:textId="77777777" w:rsidR="002F0483" w:rsidRPr="009C5EFD" w:rsidRDefault="002F0483" w:rsidP="002F0483">
      <w:pPr>
        <w:tabs>
          <w:tab w:val="left" w:pos="6840"/>
        </w:tabs>
        <w:autoSpaceDE w:val="0"/>
        <w:autoSpaceDN w:val="0"/>
        <w:adjustRightInd w:val="0"/>
        <w:ind w:right="53"/>
        <w:rPr>
          <w:sz w:val="22"/>
          <w:szCs w:val="22"/>
        </w:rPr>
      </w:pPr>
    </w:p>
    <w:p w14:paraId="4CA8FB67" w14:textId="77777777" w:rsidR="002F0483" w:rsidRDefault="00E453CD" w:rsidP="002F0483">
      <w:pPr>
        <w:rPr>
          <w:sz w:val="22"/>
          <w:szCs w:val="22"/>
        </w:rPr>
      </w:pPr>
      <w:r w:rsidRPr="009C5EFD">
        <w:rPr>
          <w:sz w:val="22"/>
          <w:szCs w:val="22"/>
        </w:rPr>
        <w:t>Pasienter som viste en pediatrisk ACR 30-respons ved uke 16 kunne randomiseres til den dobbeltblinde fasen og fikk enten Humira 24 mg/m</w:t>
      </w:r>
      <w:r w:rsidRPr="009C5EFD">
        <w:rPr>
          <w:sz w:val="22"/>
          <w:szCs w:val="22"/>
          <w:vertAlign w:val="superscript"/>
        </w:rPr>
        <w:t>2</w:t>
      </w:r>
      <w:r w:rsidRPr="009C5EFD">
        <w:rPr>
          <w:sz w:val="22"/>
          <w:szCs w:val="22"/>
        </w:rPr>
        <w:t xml:space="preserve"> opptil maksimum 40 mg eller placebo annenhver uke i ytterligere 32 uker eller inntil sykdommen blusset opp. Kriterier for </w:t>
      </w:r>
      <w:r w:rsidRPr="009C5EFD">
        <w:rPr>
          <w:sz w:val="22"/>
        </w:rPr>
        <w:t>sykdomsoppbluss</w:t>
      </w:r>
      <w:r w:rsidRPr="009C5EFD">
        <w:rPr>
          <w:sz w:val="22"/>
          <w:szCs w:val="22"/>
        </w:rPr>
        <w:t xml:space="preserve"> var </w:t>
      </w:r>
      <w:r w:rsidRPr="009C5EFD">
        <w:rPr>
          <w:sz w:val="22"/>
          <w:szCs w:val="22"/>
        </w:rPr>
        <w:lastRenderedPageBreak/>
        <w:t xml:space="preserve">definert som en forverring av ≥ 30 % siden behandlingsstart hos ≥ 3 til 6 pediatrisk ACR kjernekriterier, ≥ 2 aktive ledd og forbedring av &gt; 30 % hos ikke flere enn 1 av 6 kriterier. Etter 32 uker eller ved </w:t>
      </w:r>
      <w:r w:rsidRPr="009C5EFD">
        <w:rPr>
          <w:sz w:val="22"/>
        </w:rPr>
        <w:t xml:space="preserve">sykdomsoppbluss </w:t>
      </w:r>
      <w:r w:rsidRPr="009C5EFD">
        <w:rPr>
          <w:sz w:val="22"/>
          <w:szCs w:val="22"/>
        </w:rPr>
        <w:t xml:space="preserve">kunne pasientene inkluderes i </w:t>
      </w:r>
      <w:r>
        <w:rPr>
          <w:sz w:val="22"/>
          <w:szCs w:val="22"/>
        </w:rPr>
        <w:t xml:space="preserve">den åpne </w:t>
      </w:r>
      <w:r w:rsidRPr="009C5EFD">
        <w:rPr>
          <w:sz w:val="22"/>
          <w:szCs w:val="22"/>
        </w:rPr>
        <w:t>forlengelse</w:t>
      </w:r>
      <w:r>
        <w:rPr>
          <w:sz w:val="22"/>
          <w:szCs w:val="22"/>
        </w:rPr>
        <w:t xml:space="preserve">sfasen </w:t>
      </w:r>
      <w:r w:rsidRPr="009C5EFD">
        <w:rPr>
          <w:sz w:val="22"/>
          <w:szCs w:val="22"/>
        </w:rPr>
        <w:t>(OLE).</w:t>
      </w:r>
    </w:p>
    <w:p w14:paraId="09C17C88" w14:textId="77777777" w:rsidR="002F0483" w:rsidRPr="009C5EFD" w:rsidRDefault="002F0483" w:rsidP="002F0483">
      <w:pPr>
        <w:rPr>
          <w:sz w:val="22"/>
          <w:szCs w:val="22"/>
        </w:rPr>
      </w:pPr>
    </w:p>
    <w:p w14:paraId="5ED32646" w14:textId="77777777" w:rsidR="002F0483" w:rsidRPr="009C5EFD" w:rsidRDefault="00E453CD" w:rsidP="0015674E">
      <w:pPr>
        <w:pStyle w:val="BodyTextIndent"/>
        <w:ind w:left="110" w:right="53"/>
        <w:jc w:val="center"/>
        <w:rPr>
          <w:b/>
          <w:sz w:val="22"/>
          <w:szCs w:val="22"/>
        </w:rPr>
      </w:pPr>
      <w:r w:rsidRPr="009C5EFD">
        <w:rPr>
          <w:b/>
          <w:sz w:val="22"/>
          <w:szCs w:val="22"/>
        </w:rPr>
        <w:t xml:space="preserve">Tabell </w:t>
      </w:r>
      <w:r>
        <w:rPr>
          <w:b/>
          <w:sz w:val="22"/>
          <w:szCs w:val="22"/>
        </w:rPr>
        <w:t>26</w:t>
      </w:r>
    </w:p>
    <w:p w14:paraId="65704676" w14:textId="77777777" w:rsidR="002F0483" w:rsidRPr="009C5EFD" w:rsidRDefault="00E453CD" w:rsidP="002F0483">
      <w:pPr>
        <w:pStyle w:val="BodyTextIndent"/>
        <w:keepNext/>
        <w:ind w:left="110" w:right="51"/>
        <w:jc w:val="center"/>
        <w:rPr>
          <w:b/>
          <w:sz w:val="22"/>
          <w:szCs w:val="22"/>
        </w:rPr>
      </w:pPr>
      <w:r w:rsidRPr="009C5EFD">
        <w:rPr>
          <w:b/>
          <w:sz w:val="22"/>
          <w:szCs w:val="22"/>
        </w:rPr>
        <w:t>Pediatrisk ACR 30-respons i JIA-studie</w:t>
      </w:r>
      <w:r w:rsidRPr="009C5EFD">
        <w:rPr>
          <w:b/>
          <w:bCs/>
          <w:sz w:val="22"/>
          <w:szCs w:val="22"/>
        </w:rPr>
        <w:t>n</w:t>
      </w:r>
    </w:p>
    <w:p w14:paraId="1F4C0073" w14:textId="77777777" w:rsidR="002F0483" w:rsidRPr="009C5EFD" w:rsidRDefault="002F0483" w:rsidP="002F0483">
      <w:pPr>
        <w:pStyle w:val="BodyTextIndent"/>
        <w:keepNext/>
        <w:ind w:left="0" w:right="51"/>
        <w:rPr>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1727"/>
        <w:gridCol w:w="1730"/>
        <w:gridCol w:w="1584"/>
        <w:gridCol w:w="1513"/>
      </w:tblGrid>
      <w:tr w:rsidR="004644D4" w14:paraId="4468E970"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41B9FE9D" w14:textId="77777777" w:rsidR="002F0483" w:rsidRPr="0015674E" w:rsidRDefault="00E453CD" w:rsidP="002F0483">
            <w:pPr>
              <w:pStyle w:val="BodyTextIndent"/>
              <w:keepNext/>
              <w:ind w:left="0" w:right="51"/>
              <w:rPr>
                <w:b/>
                <w:bCs/>
                <w:sz w:val="22"/>
                <w:szCs w:val="22"/>
              </w:rPr>
            </w:pPr>
            <w:r w:rsidRPr="0015674E">
              <w:rPr>
                <w:b/>
                <w:bCs/>
                <w:sz w:val="22"/>
                <w:szCs w:val="22"/>
              </w:rPr>
              <w:t>Gruppe</w:t>
            </w:r>
          </w:p>
        </w:tc>
        <w:tc>
          <w:tcPr>
            <w:tcW w:w="3520" w:type="dxa"/>
            <w:gridSpan w:val="2"/>
            <w:tcBorders>
              <w:top w:val="single" w:sz="4" w:space="0" w:color="auto"/>
              <w:left w:val="single" w:sz="4" w:space="0" w:color="auto"/>
              <w:bottom w:val="single" w:sz="4" w:space="0" w:color="auto"/>
              <w:right w:val="single" w:sz="4" w:space="0" w:color="auto"/>
            </w:tcBorders>
            <w:hideMark/>
          </w:tcPr>
          <w:p w14:paraId="1769A7C7" w14:textId="77777777" w:rsidR="002F0483" w:rsidRPr="0015674E" w:rsidRDefault="00E453CD" w:rsidP="002F0483">
            <w:pPr>
              <w:pStyle w:val="BodyTextIndent"/>
              <w:keepNext/>
              <w:ind w:left="0" w:right="51"/>
              <w:jc w:val="center"/>
              <w:rPr>
                <w:b/>
                <w:bCs/>
                <w:sz w:val="22"/>
                <w:szCs w:val="22"/>
              </w:rPr>
            </w:pPr>
            <w:r w:rsidRPr="0015674E">
              <w:rPr>
                <w:b/>
                <w:bCs/>
                <w:sz w:val="22"/>
                <w:szCs w:val="22"/>
              </w:rPr>
              <w:t>Metotreksat</w:t>
            </w:r>
          </w:p>
        </w:tc>
        <w:tc>
          <w:tcPr>
            <w:tcW w:w="3239" w:type="dxa"/>
            <w:gridSpan w:val="2"/>
            <w:tcBorders>
              <w:top w:val="single" w:sz="4" w:space="0" w:color="auto"/>
              <w:left w:val="single" w:sz="4" w:space="0" w:color="auto"/>
              <w:bottom w:val="single" w:sz="4" w:space="0" w:color="auto"/>
              <w:right w:val="single" w:sz="4" w:space="0" w:color="auto"/>
            </w:tcBorders>
            <w:hideMark/>
          </w:tcPr>
          <w:p w14:paraId="4B562F7F" w14:textId="77777777" w:rsidR="002F0483" w:rsidRPr="0015674E" w:rsidRDefault="00E453CD" w:rsidP="002F0483">
            <w:pPr>
              <w:pStyle w:val="BodyTextIndent"/>
              <w:keepNext/>
              <w:ind w:left="0" w:right="51"/>
              <w:jc w:val="center"/>
              <w:rPr>
                <w:b/>
                <w:bCs/>
                <w:sz w:val="22"/>
                <w:szCs w:val="22"/>
              </w:rPr>
            </w:pPr>
            <w:r w:rsidRPr="0015674E">
              <w:rPr>
                <w:b/>
                <w:bCs/>
                <w:sz w:val="22"/>
                <w:szCs w:val="22"/>
              </w:rPr>
              <w:t>Uten metotreksat</w:t>
            </w:r>
          </w:p>
        </w:tc>
      </w:tr>
      <w:tr w:rsidR="004644D4" w14:paraId="441355F9"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07D04069" w14:textId="77777777" w:rsidR="002F0483" w:rsidRPr="00A15CB1" w:rsidRDefault="00E453CD" w:rsidP="002F0483">
            <w:pPr>
              <w:pStyle w:val="BodyTextIndent"/>
              <w:keepNext/>
              <w:ind w:left="0" w:right="51"/>
              <w:rPr>
                <w:b/>
                <w:sz w:val="22"/>
                <w:szCs w:val="22"/>
              </w:rPr>
            </w:pPr>
            <w:r w:rsidRPr="00A15CB1">
              <w:rPr>
                <w:b/>
                <w:sz w:val="22"/>
                <w:szCs w:val="22"/>
              </w:rPr>
              <w:t>Fase</w:t>
            </w:r>
          </w:p>
        </w:tc>
        <w:tc>
          <w:tcPr>
            <w:tcW w:w="3520" w:type="dxa"/>
            <w:gridSpan w:val="2"/>
            <w:tcBorders>
              <w:top w:val="single" w:sz="4" w:space="0" w:color="auto"/>
              <w:left w:val="single" w:sz="4" w:space="0" w:color="auto"/>
              <w:bottom w:val="single" w:sz="4" w:space="0" w:color="auto"/>
              <w:right w:val="single" w:sz="4" w:space="0" w:color="auto"/>
            </w:tcBorders>
          </w:tcPr>
          <w:p w14:paraId="5B43C400" w14:textId="77777777" w:rsidR="002F0483" w:rsidRPr="00A15CB1" w:rsidRDefault="002F0483" w:rsidP="002F0483">
            <w:pPr>
              <w:pStyle w:val="BodyTextIndent"/>
              <w:keepNext/>
              <w:ind w:left="0" w:right="51"/>
              <w:jc w:val="center"/>
              <w:rPr>
                <w:b/>
                <w:sz w:val="22"/>
                <w:szCs w:val="22"/>
              </w:rPr>
            </w:pPr>
          </w:p>
        </w:tc>
        <w:tc>
          <w:tcPr>
            <w:tcW w:w="3239" w:type="dxa"/>
            <w:gridSpan w:val="2"/>
            <w:tcBorders>
              <w:top w:val="single" w:sz="4" w:space="0" w:color="auto"/>
              <w:left w:val="single" w:sz="4" w:space="0" w:color="auto"/>
              <w:bottom w:val="single" w:sz="4" w:space="0" w:color="auto"/>
              <w:right w:val="single" w:sz="4" w:space="0" w:color="auto"/>
            </w:tcBorders>
          </w:tcPr>
          <w:p w14:paraId="51C31542" w14:textId="77777777" w:rsidR="002F0483" w:rsidRPr="00A15CB1" w:rsidRDefault="002F0483" w:rsidP="002F0483">
            <w:pPr>
              <w:pStyle w:val="BodyTextIndent"/>
              <w:keepNext/>
              <w:ind w:left="0" w:right="51"/>
              <w:jc w:val="center"/>
              <w:rPr>
                <w:b/>
                <w:sz w:val="22"/>
                <w:szCs w:val="22"/>
              </w:rPr>
            </w:pPr>
          </w:p>
        </w:tc>
      </w:tr>
      <w:tr w:rsidR="004644D4" w14:paraId="4BC788C9"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34D618DC" w14:textId="77777777" w:rsidR="002F0483" w:rsidRPr="00C07C98" w:rsidRDefault="00E453CD" w:rsidP="002F0483">
            <w:pPr>
              <w:pStyle w:val="BodyTextIndent"/>
              <w:keepNext/>
              <w:ind w:left="0" w:right="51"/>
              <w:rPr>
                <w:sz w:val="22"/>
                <w:szCs w:val="22"/>
              </w:rPr>
            </w:pPr>
            <w:r w:rsidRPr="007F67EE">
              <w:rPr>
                <w:sz w:val="22"/>
                <w:szCs w:val="22"/>
              </w:rPr>
              <w:t>OL-LI</w:t>
            </w:r>
            <w:r w:rsidRPr="002D0790">
              <w:rPr>
                <w:sz w:val="22"/>
                <w:szCs w:val="22"/>
              </w:rPr>
              <w:t> </w:t>
            </w:r>
            <w:r w:rsidRPr="00C07C98">
              <w:rPr>
                <w:sz w:val="22"/>
                <w:szCs w:val="22"/>
              </w:rPr>
              <w:t xml:space="preserve">16 </w:t>
            </w:r>
            <w:r w:rsidRPr="002D0790">
              <w:rPr>
                <w:sz w:val="22"/>
                <w:szCs w:val="22"/>
              </w:rPr>
              <w:t>uke</w:t>
            </w:r>
            <w:r>
              <w:rPr>
                <w:sz w:val="22"/>
                <w:szCs w:val="22"/>
              </w:rPr>
              <w:t>r</w:t>
            </w:r>
          </w:p>
        </w:tc>
        <w:tc>
          <w:tcPr>
            <w:tcW w:w="3520" w:type="dxa"/>
            <w:gridSpan w:val="2"/>
            <w:tcBorders>
              <w:top w:val="single" w:sz="4" w:space="0" w:color="auto"/>
              <w:left w:val="single" w:sz="4" w:space="0" w:color="auto"/>
              <w:bottom w:val="single" w:sz="4" w:space="0" w:color="auto"/>
              <w:right w:val="single" w:sz="4" w:space="0" w:color="auto"/>
            </w:tcBorders>
          </w:tcPr>
          <w:p w14:paraId="14847CE0" w14:textId="77777777" w:rsidR="002F0483" w:rsidRPr="00E14E58" w:rsidRDefault="002F0483" w:rsidP="002F0483">
            <w:pPr>
              <w:pStyle w:val="BodyTextIndent"/>
              <w:keepNext/>
              <w:ind w:left="0" w:right="51"/>
              <w:jc w:val="center"/>
              <w:rPr>
                <w:sz w:val="22"/>
                <w:szCs w:val="22"/>
              </w:rPr>
            </w:pPr>
          </w:p>
        </w:tc>
        <w:tc>
          <w:tcPr>
            <w:tcW w:w="3239" w:type="dxa"/>
            <w:gridSpan w:val="2"/>
            <w:tcBorders>
              <w:top w:val="single" w:sz="4" w:space="0" w:color="auto"/>
              <w:left w:val="single" w:sz="4" w:space="0" w:color="auto"/>
              <w:bottom w:val="single" w:sz="4" w:space="0" w:color="auto"/>
              <w:right w:val="single" w:sz="4" w:space="0" w:color="auto"/>
            </w:tcBorders>
          </w:tcPr>
          <w:p w14:paraId="39B765C2" w14:textId="77777777" w:rsidR="002F0483" w:rsidRPr="009C5EFD" w:rsidRDefault="002F0483" w:rsidP="002F0483">
            <w:pPr>
              <w:pStyle w:val="BodyTextIndent"/>
              <w:keepNext/>
              <w:ind w:left="0" w:right="51"/>
              <w:jc w:val="center"/>
              <w:rPr>
                <w:sz w:val="22"/>
                <w:szCs w:val="22"/>
              </w:rPr>
            </w:pPr>
          </w:p>
        </w:tc>
      </w:tr>
      <w:tr w:rsidR="004644D4" w14:paraId="2110D1B9" w14:textId="77777777" w:rsidTr="002F0483">
        <w:trPr>
          <w:cantSplit/>
        </w:trPr>
        <w:tc>
          <w:tcPr>
            <w:tcW w:w="2418" w:type="dxa"/>
            <w:tcBorders>
              <w:top w:val="single" w:sz="4" w:space="0" w:color="auto"/>
              <w:left w:val="single" w:sz="4" w:space="0" w:color="auto"/>
              <w:bottom w:val="single" w:sz="4" w:space="0" w:color="auto"/>
              <w:right w:val="single" w:sz="4" w:space="0" w:color="auto"/>
            </w:tcBorders>
            <w:hideMark/>
          </w:tcPr>
          <w:p w14:paraId="40D76188" w14:textId="77777777" w:rsidR="002F0483" w:rsidRPr="007F67EE" w:rsidRDefault="00E453CD" w:rsidP="002F0483">
            <w:pPr>
              <w:pStyle w:val="BodyTextIndent"/>
              <w:keepNext/>
              <w:ind w:right="51"/>
              <w:rPr>
                <w:sz w:val="22"/>
                <w:szCs w:val="22"/>
              </w:rPr>
            </w:pPr>
            <w:r w:rsidRPr="007F67EE">
              <w:rPr>
                <w:sz w:val="22"/>
                <w:szCs w:val="22"/>
              </w:rPr>
              <w:t xml:space="preserve">Pediatrisk ACR </w:t>
            </w:r>
            <w:r>
              <w:rPr>
                <w:sz w:val="22"/>
                <w:szCs w:val="22"/>
              </w:rPr>
              <w:t>30-respons</w:t>
            </w:r>
            <w:r w:rsidRPr="007F67EE">
              <w:rPr>
                <w:sz w:val="22"/>
                <w:szCs w:val="22"/>
              </w:rPr>
              <w:t xml:space="preserve"> (n/N)</w:t>
            </w:r>
          </w:p>
        </w:tc>
        <w:tc>
          <w:tcPr>
            <w:tcW w:w="3520" w:type="dxa"/>
            <w:gridSpan w:val="2"/>
            <w:tcBorders>
              <w:top w:val="single" w:sz="4" w:space="0" w:color="auto"/>
              <w:left w:val="single" w:sz="4" w:space="0" w:color="auto"/>
              <w:bottom w:val="single" w:sz="4" w:space="0" w:color="auto"/>
              <w:right w:val="single" w:sz="4" w:space="0" w:color="auto"/>
            </w:tcBorders>
            <w:hideMark/>
          </w:tcPr>
          <w:p w14:paraId="21C5886F" w14:textId="77777777" w:rsidR="002F0483" w:rsidRPr="00193D76" w:rsidRDefault="00E453CD" w:rsidP="002F0483">
            <w:pPr>
              <w:pStyle w:val="BodyTextIndent"/>
              <w:keepNext/>
              <w:ind w:left="0" w:right="51"/>
              <w:jc w:val="center"/>
              <w:rPr>
                <w:sz w:val="22"/>
                <w:szCs w:val="22"/>
              </w:rPr>
            </w:pPr>
            <w:r w:rsidRPr="00193D76">
              <w:rPr>
                <w:sz w:val="22"/>
                <w:szCs w:val="22"/>
              </w:rPr>
              <w:t>94,1 % (80/85)</w:t>
            </w:r>
          </w:p>
        </w:tc>
        <w:tc>
          <w:tcPr>
            <w:tcW w:w="3239" w:type="dxa"/>
            <w:gridSpan w:val="2"/>
            <w:tcBorders>
              <w:top w:val="single" w:sz="4" w:space="0" w:color="auto"/>
              <w:left w:val="single" w:sz="4" w:space="0" w:color="auto"/>
              <w:bottom w:val="single" w:sz="4" w:space="0" w:color="auto"/>
              <w:right w:val="single" w:sz="4" w:space="0" w:color="auto"/>
            </w:tcBorders>
            <w:hideMark/>
          </w:tcPr>
          <w:p w14:paraId="320FBEA0" w14:textId="77777777" w:rsidR="002F0483" w:rsidRPr="002D0790" w:rsidRDefault="00E453CD" w:rsidP="002F0483">
            <w:pPr>
              <w:pStyle w:val="BodyTextIndent"/>
              <w:keepNext/>
              <w:ind w:left="0" w:right="51"/>
              <w:jc w:val="center"/>
              <w:rPr>
                <w:sz w:val="22"/>
                <w:szCs w:val="22"/>
              </w:rPr>
            </w:pPr>
            <w:r w:rsidRPr="002D0790">
              <w:rPr>
                <w:sz w:val="22"/>
                <w:szCs w:val="22"/>
              </w:rPr>
              <w:t>74,4 % (64/86)</w:t>
            </w:r>
          </w:p>
        </w:tc>
      </w:tr>
      <w:tr w:rsidR="004644D4" w14:paraId="4D028AD6" w14:textId="77777777" w:rsidTr="002F0483">
        <w:trPr>
          <w:cantSplit/>
        </w:trPr>
        <w:tc>
          <w:tcPr>
            <w:tcW w:w="9177" w:type="dxa"/>
            <w:gridSpan w:val="5"/>
            <w:tcBorders>
              <w:top w:val="single" w:sz="4" w:space="0" w:color="auto"/>
              <w:left w:val="single" w:sz="4" w:space="0" w:color="auto"/>
              <w:bottom w:val="single" w:sz="4" w:space="0" w:color="auto"/>
              <w:right w:val="single" w:sz="4" w:space="0" w:color="auto"/>
            </w:tcBorders>
            <w:hideMark/>
          </w:tcPr>
          <w:p w14:paraId="1D4A78A1" w14:textId="77777777" w:rsidR="002F0483" w:rsidRPr="007F67EE" w:rsidRDefault="00E453CD" w:rsidP="002F0483">
            <w:pPr>
              <w:pStyle w:val="BodyTextIndent"/>
              <w:keepNext/>
              <w:ind w:left="0" w:right="51"/>
              <w:jc w:val="center"/>
              <w:rPr>
                <w:sz w:val="22"/>
                <w:szCs w:val="22"/>
              </w:rPr>
            </w:pPr>
            <w:r w:rsidRPr="007F67EE">
              <w:rPr>
                <w:sz w:val="22"/>
                <w:szCs w:val="22"/>
              </w:rPr>
              <w:t>Effektresultater</w:t>
            </w:r>
          </w:p>
        </w:tc>
      </w:tr>
      <w:tr w:rsidR="004644D4" w14:paraId="02799BDC" w14:textId="77777777" w:rsidTr="002F0483">
        <w:tc>
          <w:tcPr>
            <w:tcW w:w="2418" w:type="dxa"/>
            <w:tcBorders>
              <w:top w:val="single" w:sz="4" w:space="0" w:color="auto"/>
              <w:left w:val="single" w:sz="4" w:space="0" w:color="auto"/>
              <w:bottom w:val="single" w:sz="4" w:space="0" w:color="auto"/>
              <w:right w:val="single" w:sz="4" w:space="0" w:color="auto"/>
            </w:tcBorders>
            <w:hideMark/>
          </w:tcPr>
          <w:p w14:paraId="7594FF1E" w14:textId="77777777" w:rsidR="002F0483" w:rsidRPr="007F67EE" w:rsidRDefault="00E453CD" w:rsidP="002F0483">
            <w:pPr>
              <w:pStyle w:val="BodyTextIndent"/>
              <w:keepNext/>
              <w:ind w:left="0" w:right="51"/>
              <w:rPr>
                <w:sz w:val="22"/>
                <w:szCs w:val="22"/>
              </w:rPr>
            </w:pPr>
            <w:r w:rsidRPr="007F67EE">
              <w:rPr>
                <w:sz w:val="22"/>
                <w:szCs w:val="22"/>
              </w:rPr>
              <w:t>Dobbeltblind 32 uker</w:t>
            </w:r>
          </w:p>
        </w:tc>
        <w:tc>
          <w:tcPr>
            <w:tcW w:w="1760" w:type="dxa"/>
            <w:tcBorders>
              <w:top w:val="single" w:sz="4" w:space="0" w:color="auto"/>
              <w:left w:val="single" w:sz="4" w:space="0" w:color="auto"/>
              <w:bottom w:val="single" w:sz="4" w:space="0" w:color="auto"/>
              <w:right w:val="single" w:sz="4" w:space="0" w:color="auto"/>
            </w:tcBorders>
          </w:tcPr>
          <w:p w14:paraId="700C17C2" w14:textId="77777777" w:rsidR="002F0483" w:rsidRPr="00193D76" w:rsidRDefault="00E453CD" w:rsidP="002F0483">
            <w:pPr>
              <w:pStyle w:val="BodyTextIndent"/>
              <w:keepNext/>
              <w:ind w:left="0" w:right="51"/>
              <w:rPr>
                <w:sz w:val="22"/>
                <w:szCs w:val="22"/>
              </w:rPr>
            </w:pPr>
            <w:r w:rsidRPr="00193D76">
              <w:rPr>
                <w:sz w:val="22"/>
                <w:szCs w:val="22"/>
              </w:rPr>
              <w:t xml:space="preserve">Humira/MTX </w:t>
            </w:r>
          </w:p>
          <w:p w14:paraId="1AF8630B" w14:textId="77777777" w:rsidR="002F0483" w:rsidRPr="002D0790" w:rsidRDefault="00E453CD" w:rsidP="002F0483">
            <w:pPr>
              <w:pStyle w:val="BodyTextIndent"/>
              <w:keepNext/>
              <w:ind w:left="0" w:right="51"/>
              <w:rPr>
                <w:sz w:val="22"/>
                <w:szCs w:val="22"/>
              </w:rPr>
            </w:pPr>
            <w:r w:rsidRPr="002D0790">
              <w:rPr>
                <w:sz w:val="22"/>
                <w:szCs w:val="22"/>
              </w:rPr>
              <w:t>(n = 38)</w:t>
            </w:r>
          </w:p>
          <w:p w14:paraId="45FC5052" w14:textId="77777777" w:rsidR="002F0483" w:rsidRPr="00C07C98" w:rsidRDefault="002F0483" w:rsidP="002F0483">
            <w:pPr>
              <w:pStyle w:val="BodyTextIndent"/>
              <w:keepNext/>
              <w:ind w:left="0" w:right="51"/>
              <w:rPr>
                <w:sz w:val="22"/>
                <w:szCs w:val="22"/>
              </w:rPr>
            </w:pPr>
          </w:p>
        </w:tc>
        <w:tc>
          <w:tcPr>
            <w:tcW w:w="1760" w:type="dxa"/>
            <w:tcBorders>
              <w:top w:val="single" w:sz="4" w:space="0" w:color="auto"/>
              <w:left w:val="single" w:sz="4" w:space="0" w:color="auto"/>
              <w:bottom w:val="single" w:sz="4" w:space="0" w:color="auto"/>
              <w:right w:val="single" w:sz="4" w:space="0" w:color="auto"/>
            </w:tcBorders>
            <w:hideMark/>
          </w:tcPr>
          <w:p w14:paraId="7BA243E2" w14:textId="77777777" w:rsidR="002F0483" w:rsidRPr="00C07C98" w:rsidRDefault="00E453CD" w:rsidP="002F0483">
            <w:pPr>
              <w:pStyle w:val="BodyTextIndent"/>
              <w:keepNext/>
              <w:ind w:left="0" w:right="51"/>
              <w:rPr>
                <w:sz w:val="22"/>
                <w:szCs w:val="22"/>
              </w:rPr>
            </w:pPr>
            <w:r w:rsidRPr="00C07C98">
              <w:rPr>
                <w:sz w:val="22"/>
                <w:szCs w:val="22"/>
              </w:rPr>
              <w:t>Placebo/MTX</w:t>
            </w:r>
          </w:p>
          <w:p w14:paraId="1B133D19" w14:textId="77777777" w:rsidR="002F0483" w:rsidRPr="00E14E58" w:rsidRDefault="00E453CD" w:rsidP="002F0483">
            <w:pPr>
              <w:pStyle w:val="BodyTextIndent"/>
              <w:keepNext/>
              <w:ind w:left="0" w:right="51"/>
              <w:rPr>
                <w:sz w:val="22"/>
                <w:szCs w:val="22"/>
              </w:rPr>
            </w:pPr>
            <w:r w:rsidRPr="00E14E58">
              <w:rPr>
                <w:sz w:val="22"/>
                <w:szCs w:val="22"/>
              </w:rPr>
              <w:t>(n = 37)</w:t>
            </w:r>
          </w:p>
        </w:tc>
        <w:tc>
          <w:tcPr>
            <w:tcW w:w="1650" w:type="dxa"/>
            <w:tcBorders>
              <w:top w:val="single" w:sz="4" w:space="0" w:color="auto"/>
              <w:left w:val="single" w:sz="4" w:space="0" w:color="auto"/>
              <w:bottom w:val="single" w:sz="4" w:space="0" w:color="auto"/>
              <w:right w:val="single" w:sz="4" w:space="0" w:color="auto"/>
            </w:tcBorders>
            <w:hideMark/>
          </w:tcPr>
          <w:p w14:paraId="4C1BB5A2" w14:textId="77777777" w:rsidR="002F0483" w:rsidRPr="009C5EFD" w:rsidRDefault="00E453CD" w:rsidP="002F0483">
            <w:pPr>
              <w:pStyle w:val="BodyTextIndent"/>
              <w:keepNext/>
              <w:ind w:left="0" w:right="51"/>
              <w:rPr>
                <w:sz w:val="22"/>
                <w:szCs w:val="22"/>
              </w:rPr>
            </w:pPr>
            <w:r w:rsidRPr="009C5EFD">
              <w:rPr>
                <w:sz w:val="22"/>
                <w:szCs w:val="22"/>
              </w:rPr>
              <w:t xml:space="preserve">Humira </w:t>
            </w:r>
          </w:p>
          <w:p w14:paraId="5E13E19D" w14:textId="77777777" w:rsidR="002F0483" w:rsidRPr="009C5EFD" w:rsidRDefault="00E453CD" w:rsidP="002F0483">
            <w:pPr>
              <w:pStyle w:val="BodyTextIndent"/>
              <w:keepNext/>
              <w:ind w:left="0" w:right="51"/>
              <w:rPr>
                <w:sz w:val="22"/>
                <w:szCs w:val="22"/>
              </w:rPr>
            </w:pPr>
            <w:r w:rsidRPr="009C5EFD">
              <w:rPr>
                <w:sz w:val="22"/>
                <w:szCs w:val="22"/>
              </w:rPr>
              <w:t>(n = 30)</w:t>
            </w:r>
          </w:p>
        </w:tc>
        <w:tc>
          <w:tcPr>
            <w:tcW w:w="1589" w:type="dxa"/>
            <w:tcBorders>
              <w:top w:val="single" w:sz="4" w:space="0" w:color="auto"/>
              <w:left w:val="single" w:sz="4" w:space="0" w:color="auto"/>
              <w:bottom w:val="single" w:sz="4" w:space="0" w:color="auto"/>
              <w:right w:val="single" w:sz="4" w:space="0" w:color="auto"/>
            </w:tcBorders>
            <w:hideMark/>
          </w:tcPr>
          <w:p w14:paraId="3BC3351A" w14:textId="77777777" w:rsidR="002F0483" w:rsidRPr="009C5EFD" w:rsidRDefault="00E453CD" w:rsidP="002F0483">
            <w:pPr>
              <w:pStyle w:val="BodyTextIndent"/>
              <w:keepNext/>
              <w:ind w:left="0" w:right="51"/>
              <w:rPr>
                <w:sz w:val="22"/>
                <w:szCs w:val="22"/>
              </w:rPr>
            </w:pPr>
            <w:r w:rsidRPr="009C5EFD">
              <w:rPr>
                <w:sz w:val="22"/>
                <w:szCs w:val="22"/>
              </w:rPr>
              <w:t>Placebo</w:t>
            </w:r>
          </w:p>
          <w:p w14:paraId="4AD903F5" w14:textId="77777777" w:rsidR="002F0483" w:rsidRPr="009C5EFD" w:rsidRDefault="00E453CD" w:rsidP="002F0483">
            <w:pPr>
              <w:pStyle w:val="BodyTextIndent"/>
              <w:keepNext/>
              <w:ind w:left="0" w:right="51"/>
              <w:rPr>
                <w:sz w:val="22"/>
                <w:szCs w:val="22"/>
              </w:rPr>
            </w:pPr>
            <w:r w:rsidRPr="009C5EFD">
              <w:rPr>
                <w:sz w:val="22"/>
                <w:szCs w:val="22"/>
              </w:rPr>
              <w:t>(n = 28)</w:t>
            </w:r>
          </w:p>
        </w:tc>
      </w:tr>
      <w:tr w:rsidR="004644D4" w14:paraId="1CD801E1" w14:textId="77777777" w:rsidTr="002F0483">
        <w:tc>
          <w:tcPr>
            <w:tcW w:w="2418" w:type="dxa"/>
            <w:tcBorders>
              <w:top w:val="single" w:sz="4" w:space="0" w:color="auto"/>
              <w:left w:val="single" w:sz="4" w:space="0" w:color="auto"/>
              <w:bottom w:val="single" w:sz="4" w:space="0" w:color="auto"/>
              <w:right w:val="single" w:sz="4" w:space="0" w:color="auto"/>
            </w:tcBorders>
            <w:hideMark/>
          </w:tcPr>
          <w:p w14:paraId="0E5CEFD6" w14:textId="77777777" w:rsidR="002F0483" w:rsidRPr="009C5EFD" w:rsidRDefault="00E453CD" w:rsidP="002F0483">
            <w:pPr>
              <w:pStyle w:val="BodyTextIndent"/>
              <w:keepNext/>
              <w:ind w:right="51"/>
              <w:rPr>
                <w:sz w:val="22"/>
                <w:szCs w:val="22"/>
              </w:rPr>
            </w:pPr>
            <w:r w:rsidRPr="007F67EE">
              <w:rPr>
                <w:sz w:val="22"/>
                <w:szCs w:val="22"/>
              </w:rPr>
              <w:t>Sykdomsoppblussing ved slutten av 32</w:t>
            </w:r>
            <w:r w:rsidRPr="00C07C98">
              <w:rPr>
                <w:sz w:val="22"/>
                <w:szCs w:val="22"/>
              </w:rPr>
              <w:t> uker</w:t>
            </w:r>
            <w:r w:rsidRPr="009C5EFD">
              <w:rPr>
                <w:sz w:val="22"/>
                <w:szCs w:val="22"/>
                <w:vertAlign w:val="superscript"/>
              </w:rPr>
              <w:t>a</w:t>
            </w:r>
            <w:r w:rsidRPr="009C5EFD">
              <w:rPr>
                <w:sz w:val="22"/>
                <w:szCs w:val="22"/>
              </w:rPr>
              <w:t xml:space="preserve"> (n/N)</w:t>
            </w:r>
          </w:p>
        </w:tc>
        <w:tc>
          <w:tcPr>
            <w:tcW w:w="1760" w:type="dxa"/>
            <w:tcBorders>
              <w:top w:val="single" w:sz="4" w:space="0" w:color="auto"/>
              <w:left w:val="single" w:sz="4" w:space="0" w:color="auto"/>
              <w:bottom w:val="single" w:sz="4" w:space="0" w:color="auto"/>
              <w:right w:val="single" w:sz="4" w:space="0" w:color="auto"/>
            </w:tcBorders>
            <w:hideMark/>
          </w:tcPr>
          <w:p w14:paraId="1E699EF7" w14:textId="77777777" w:rsidR="002F0483" w:rsidRPr="009C5EFD" w:rsidRDefault="00E453CD" w:rsidP="002F0483">
            <w:pPr>
              <w:pStyle w:val="BodyTextIndent"/>
              <w:keepNext/>
              <w:ind w:left="0" w:right="51"/>
              <w:rPr>
                <w:sz w:val="22"/>
                <w:szCs w:val="22"/>
              </w:rPr>
            </w:pPr>
            <w:r w:rsidRPr="009C5EFD">
              <w:rPr>
                <w:sz w:val="22"/>
                <w:szCs w:val="22"/>
              </w:rPr>
              <w:t>36,8 % (14/38)</w:t>
            </w:r>
          </w:p>
        </w:tc>
        <w:tc>
          <w:tcPr>
            <w:tcW w:w="1760" w:type="dxa"/>
            <w:tcBorders>
              <w:top w:val="single" w:sz="4" w:space="0" w:color="auto"/>
              <w:left w:val="single" w:sz="4" w:space="0" w:color="auto"/>
              <w:bottom w:val="single" w:sz="4" w:space="0" w:color="auto"/>
              <w:right w:val="single" w:sz="4" w:space="0" w:color="auto"/>
            </w:tcBorders>
            <w:hideMark/>
          </w:tcPr>
          <w:p w14:paraId="55043961" w14:textId="77777777" w:rsidR="002F0483" w:rsidRPr="009C5EFD" w:rsidRDefault="00E453CD" w:rsidP="002F0483">
            <w:pPr>
              <w:pStyle w:val="BodyTextIndent"/>
              <w:keepNext/>
              <w:ind w:left="0" w:right="51"/>
              <w:rPr>
                <w:sz w:val="22"/>
                <w:szCs w:val="22"/>
              </w:rPr>
            </w:pPr>
            <w:r w:rsidRPr="009C5EFD">
              <w:rPr>
                <w:sz w:val="22"/>
                <w:szCs w:val="22"/>
              </w:rPr>
              <w:t>64,9 % (24/37)</w:t>
            </w:r>
            <w:r w:rsidRPr="009C5EFD">
              <w:rPr>
                <w:sz w:val="22"/>
                <w:szCs w:val="22"/>
                <w:vertAlign w:val="superscript"/>
              </w:rPr>
              <w:t>b</w:t>
            </w:r>
          </w:p>
        </w:tc>
        <w:tc>
          <w:tcPr>
            <w:tcW w:w="1650" w:type="dxa"/>
            <w:tcBorders>
              <w:top w:val="single" w:sz="4" w:space="0" w:color="auto"/>
              <w:left w:val="single" w:sz="4" w:space="0" w:color="auto"/>
              <w:bottom w:val="single" w:sz="4" w:space="0" w:color="auto"/>
              <w:right w:val="single" w:sz="4" w:space="0" w:color="auto"/>
            </w:tcBorders>
            <w:hideMark/>
          </w:tcPr>
          <w:p w14:paraId="1E1A1B4D" w14:textId="77777777" w:rsidR="002F0483" w:rsidRPr="009C5EFD" w:rsidRDefault="00E453CD" w:rsidP="002F0483">
            <w:pPr>
              <w:pStyle w:val="BodyTextIndent"/>
              <w:keepNext/>
              <w:ind w:left="0" w:right="51"/>
              <w:rPr>
                <w:sz w:val="22"/>
                <w:szCs w:val="22"/>
              </w:rPr>
            </w:pPr>
            <w:r w:rsidRPr="009C5EFD">
              <w:rPr>
                <w:sz w:val="22"/>
                <w:szCs w:val="22"/>
              </w:rPr>
              <w:t>43,3 % (13/30)</w:t>
            </w:r>
          </w:p>
        </w:tc>
        <w:tc>
          <w:tcPr>
            <w:tcW w:w="1589" w:type="dxa"/>
            <w:tcBorders>
              <w:top w:val="single" w:sz="4" w:space="0" w:color="auto"/>
              <w:left w:val="single" w:sz="4" w:space="0" w:color="auto"/>
              <w:bottom w:val="single" w:sz="4" w:space="0" w:color="auto"/>
              <w:right w:val="single" w:sz="4" w:space="0" w:color="auto"/>
            </w:tcBorders>
            <w:hideMark/>
          </w:tcPr>
          <w:p w14:paraId="6A962360" w14:textId="77777777" w:rsidR="002F0483" w:rsidRPr="009C5EFD" w:rsidRDefault="00E453CD" w:rsidP="002F0483">
            <w:pPr>
              <w:pStyle w:val="BodyTextIndent"/>
              <w:keepNext/>
              <w:ind w:left="0" w:right="51"/>
              <w:rPr>
                <w:sz w:val="22"/>
                <w:szCs w:val="22"/>
              </w:rPr>
            </w:pPr>
            <w:r w:rsidRPr="009C5EFD">
              <w:rPr>
                <w:sz w:val="22"/>
                <w:szCs w:val="22"/>
              </w:rPr>
              <w:t>71,4 % (20/28)</w:t>
            </w:r>
            <w:r w:rsidRPr="009C5EFD">
              <w:rPr>
                <w:sz w:val="22"/>
                <w:szCs w:val="22"/>
                <w:vertAlign w:val="superscript"/>
              </w:rPr>
              <w:t>c</w:t>
            </w:r>
          </w:p>
        </w:tc>
      </w:tr>
      <w:tr w:rsidR="004644D4" w14:paraId="43536262" w14:textId="77777777" w:rsidTr="002F0483">
        <w:tc>
          <w:tcPr>
            <w:tcW w:w="2418" w:type="dxa"/>
            <w:tcBorders>
              <w:top w:val="single" w:sz="4" w:space="0" w:color="auto"/>
              <w:left w:val="single" w:sz="4" w:space="0" w:color="auto"/>
              <w:bottom w:val="single" w:sz="4" w:space="0" w:color="auto"/>
              <w:right w:val="single" w:sz="4" w:space="0" w:color="auto"/>
            </w:tcBorders>
            <w:hideMark/>
          </w:tcPr>
          <w:p w14:paraId="25CCCCB6" w14:textId="77777777" w:rsidR="002F0483" w:rsidRPr="007F67EE" w:rsidRDefault="00E453CD" w:rsidP="002F0483">
            <w:pPr>
              <w:pStyle w:val="BodyTextIndent"/>
              <w:keepNext/>
              <w:ind w:right="51"/>
              <w:rPr>
                <w:sz w:val="22"/>
                <w:szCs w:val="22"/>
              </w:rPr>
            </w:pPr>
            <w:r w:rsidRPr="007F67EE">
              <w:rPr>
                <w:sz w:val="22"/>
                <w:szCs w:val="22"/>
              </w:rPr>
              <w:t>Mediantiden til sykdomsoppblussing</w:t>
            </w:r>
          </w:p>
        </w:tc>
        <w:tc>
          <w:tcPr>
            <w:tcW w:w="1760" w:type="dxa"/>
            <w:tcBorders>
              <w:top w:val="single" w:sz="4" w:space="0" w:color="auto"/>
              <w:left w:val="single" w:sz="4" w:space="0" w:color="auto"/>
              <w:bottom w:val="single" w:sz="4" w:space="0" w:color="auto"/>
              <w:right w:val="single" w:sz="4" w:space="0" w:color="auto"/>
            </w:tcBorders>
            <w:hideMark/>
          </w:tcPr>
          <w:p w14:paraId="3CD62FE5" w14:textId="77777777" w:rsidR="002F0483" w:rsidRPr="009C5EFD" w:rsidRDefault="00E453CD" w:rsidP="002F0483">
            <w:pPr>
              <w:pStyle w:val="BodyTextIndent"/>
              <w:keepNext/>
              <w:ind w:left="0" w:right="51"/>
              <w:rPr>
                <w:sz w:val="22"/>
                <w:szCs w:val="22"/>
              </w:rPr>
            </w:pPr>
            <w:r w:rsidRPr="00193D76">
              <w:rPr>
                <w:sz w:val="22"/>
                <w:szCs w:val="22"/>
              </w:rPr>
              <w:t>&gt;</w:t>
            </w:r>
            <w:r w:rsidRPr="00E14E58">
              <w:rPr>
                <w:sz w:val="22"/>
                <w:szCs w:val="22"/>
              </w:rPr>
              <w:t> </w:t>
            </w:r>
            <w:r w:rsidRPr="009C5EFD">
              <w:rPr>
                <w:sz w:val="22"/>
                <w:szCs w:val="22"/>
              </w:rPr>
              <w:t>32 uker</w:t>
            </w:r>
          </w:p>
        </w:tc>
        <w:tc>
          <w:tcPr>
            <w:tcW w:w="1760" w:type="dxa"/>
            <w:tcBorders>
              <w:top w:val="single" w:sz="4" w:space="0" w:color="auto"/>
              <w:left w:val="single" w:sz="4" w:space="0" w:color="auto"/>
              <w:bottom w:val="single" w:sz="4" w:space="0" w:color="auto"/>
              <w:right w:val="single" w:sz="4" w:space="0" w:color="auto"/>
            </w:tcBorders>
            <w:hideMark/>
          </w:tcPr>
          <w:p w14:paraId="7FF82C7E" w14:textId="77777777" w:rsidR="002F0483" w:rsidRPr="009C5EFD" w:rsidRDefault="00E453CD" w:rsidP="002F0483">
            <w:pPr>
              <w:pStyle w:val="BodyTextIndent"/>
              <w:keepNext/>
              <w:ind w:left="0" w:right="51"/>
              <w:rPr>
                <w:sz w:val="22"/>
                <w:szCs w:val="22"/>
              </w:rPr>
            </w:pPr>
            <w:r w:rsidRPr="009C5EFD">
              <w:rPr>
                <w:sz w:val="22"/>
                <w:szCs w:val="22"/>
              </w:rPr>
              <w:t>20 uker</w:t>
            </w:r>
          </w:p>
        </w:tc>
        <w:tc>
          <w:tcPr>
            <w:tcW w:w="1650" w:type="dxa"/>
            <w:tcBorders>
              <w:top w:val="single" w:sz="4" w:space="0" w:color="auto"/>
              <w:left w:val="single" w:sz="4" w:space="0" w:color="auto"/>
              <w:bottom w:val="single" w:sz="4" w:space="0" w:color="auto"/>
              <w:right w:val="single" w:sz="4" w:space="0" w:color="auto"/>
            </w:tcBorders>
            <w:hideMark/>
          </w:tcPr>
          <w:p w14:paraId="6ECFE8D6" w14:textId="77777777" w:rsidR="002F0483" w:rsidRPr="009C5EFD" w:rsidRDefault="00E453CD" w:rsidP="002F0483">
            <w:pPr>
              <w:pStyle w:val="BodyTextIndent"/>
              <w:keepNext/>
              <w:ind w:left="0" w:right="51"/>
              <w:rPr>
                <w:sz w:val="22"/>
                <w:szCs w:val="22"/>
              </w:rPr>
            </w:pPr>
            <w:r w:rsidRPr="009C5EFD">
              <w:rPr>
                <w:sz w:val="22"/>
                <w:szCs w:val="22"/>
              </w:rPr>
              <w:t>&gt; 32 uker</w:t>
            </w:r>
          </w:p>
        </w:tc>
        <w:tc>
          <w:tcPr>
            <w:tcW w:w="1589" w:type="dxa"/>
            <w:tcBorders>
              <w:top w:val="single" w:sz="4" w:space="0" w:color="auto"/>
              <w:left w:val="single" w:sz="4" w:space="0" w:color="auto"/>
              <w:bottom w:val="single" w:sz="4" w:space="0" w:color="auto"/>
              <w:right w:val="single" w:sz="4" w:space="0" w:color="auto"/>
            </w:tcBorders>
            <w:hideMark/>
          </w:tcPr>
          <w:p w14:paraId="39245EBE" w14:textId="77777777" w:rsidR="002F0483" w:rsidRPr="009C5EFD" w:rsidRDefault="00E453CD" w:rsidP="002F0483">
            <w:pPr>
              <w:pStyle w:val="BodyTextIndent"/>
              <w:keepNext/>
              <w:ind w:left="0" w:right="51"/>
              <w:rPr>
                <w:sz w:val="22"/>
                <w:szCs w:val="22"/>
              </w:rPr>
            </w:pPr>
            <w:r w:rsidRPr="009C5EFD">
              <w:rPr>
                <w:sz w:val="22"/>
                <w:szCs w:val="22"/>
              </w:rPr>
              <w:t>14 uker</w:t>
            </w:r>
          </w:p>
        </w:tc>
      </w:tr>
    </w:tbl>
    <w:p w14:paraId="70F22EC1" w14:textId="77777777" w:rsidR="002F0483" w:rsidRPr="007F67EE" w:rsidRDefault="002F0483" w:rsidP="002F0483">
      <w:pPr>
        <w:pStyle w:val="BodyTextIndent"/>
        <w:ind w:left="108" w:right="51"/>
        <w:rPr>
          <w:sz w:val="22"/>
          <w:szCs w:val="22"/>
        </w:rPr>
      </w:pPr>
    </w:p>
    <w:p w14:paraId="15F88433" w14:textId="77777777" w:rsidR="002F0483" w:rsidRPr="009C5EFD" w:rsidRDefault="00E453CD" w:rsidP="002F0483">
      <w:pPr>
        <w:pStyle w:val="BodyTextIndent"/>
        <w:ind w:left="108" w:right="51"/>
        <w:rPr>
          <w:i/>
          <w:sz w:val="22"/>
          <w:szCs w:val="22"/>
        </w:rPr>
      </w:pPr>
      <w:r w:rsidRPr="00193D76">
        <w:rPr>
          <w:sz w:val="22"/>
          <w:szCs w:val="22"/>
          <w:vertAlign w:val="superscript"/>
        </w:rPr>
        <w:t xml:space="preserve">a </w:t>
      </w:r>
      <w:r w:rsidRPr="002D0790">
        <w:rPr>
          <w:sz w:val="22"/>
          <w:szCs w:val="22"/>
        </w:rPr>
        <w:t>Pediatrisk ACR 30/50/</w:t>
      </w:r>
      <w:r>
        <w:rPr>
          <w:sz w:val="22"/>
          <w:szCs w:val="22"/>
        </w:rPr>
        <w:t>70-respons</w:t>
      </w:r>
      <w:r w:rsidRPr="002D0790">
        <w:rPr>
          <w:sz w:val="22"/>
          <w:szCs w:val="22"/>
        </w:rPr>
        <w:t xml:space="preserve"> </w:t>
      </w:r>
      <w:r w:rsidRPr="00C07C98">
        <w:rPr>
          <w:sz w:val="22"/>
          <w:szCs w:val="22"/>
        </w:rPr>
        <w:t>uke 48 var signifikant større enn til de pasientene som var behandlet me</w:t>
      </w:r>
      <w:r w:rsidRPr="00E14E58">
        <w:rPr>
          <w:sz w:val="22"/>
          <w:szCs w:val="22"/>
        </w:rPr>
        <w:t xml:space="preserve">d placebo </w:t>
      </w:r>
    </w:p>
    <w:p w14:paraId="79F44329" w14:textId="77777777" w:rsidR="002F0483" w:rsidRPr="009C5EFD" w:rsidRDefault="00E453CD" w:rsidP="002F0483">
      <w:pPr>
        <w:pStyle w:val="BodyTextIndent"/>
        <w:ind w:left="108" w:right="51"/>
        <w:rPr>
          <w:sz w:val="22"/>
          <w:szCs w:val="22"/>
        </w:rPr>
      </w:pPr>
      <w:r w:rsidRPr="009C5EFD">
        <w:rPr>
          <w:sz w:val="22"/>
          <w:szCs w:val="22"/>
          <w:vertAlign w:val="superscript"/>
        </w:rPr>
        <w:t>b</w:t>
      </w:r>
      <w:r w:rsidRPr="009C5EFD">
        <w:rPr>
          <w:sz w:val="22"/>
          <w:szCs w:val="22"/>
        </w:rPr>
        <w:t xml:space="preserve"> p = 0,015</w:t>
      </w:r>
    </w:p>
    <w:p w14:paraId="2AC1634C" w14:textId="77777777" w:rsidR="002F0483" w:rsidRPr="009C5EFD" w:rsidRDefault="00E453CD" w:rsidP="002F0483">
      <w:pPr>
        <w:pStyle w:val="BodyTextIndent"/>
        <w:ind w:left="108" w:right="51"/>
        <w:rPr>
          <w:sz w:val="22"/>
          <w:szCs w:val="22"/>
        </w:rPr>
      </w:pPr>
      <w:r w:rsidRPr="009C5EFD">
        <w:rPr>
          <w:sz w:val="22"/>
          <w:szCs w:val="22"/>
          <w:vertAlign w:val="superscript"/>
        </w:rPr>
        <w:t>c</w:t>
      </w:r>
      <w:r w:rsidRPr="009C5EFD">
        <w:rPr>
          <w:sz w:val="22"/>
          <w:szCs w:val="22"/>
        </w:rPr>
        <w:t xml:space="preserve"> p = 0,031</w:t>
      </w:r>
    </w:p>
    <w:p w14:paraId="580B278F" w14:textId="77777777" w:rsidR="002F0483" w:rsidRPr="009C5EFD" w:rsidRDefault="002F0483" w:rsidP="002F0483">
      <w:pPr>
        <w:ind w:left="54"/>
        <w:rPr>
          <w:sz w:val="22"/>
          <w:szCs w:val="22"/>
        </w:rPr>
      </w:pPr>
    </w:p>
    <w:p w14:paraId="3EF987B2" w14:textId="77777777" w:rsidR="002F0483" w:rsidRPr="009C5EFD" w:rsidRDefault="00E453CD" w:rsidP="002F0483">
      <w:pPr>
        <w:rPr>
          <w:sz w:val="22"/>
          <w:szCs w:val="22"/>
        </w:rPr>
      </w:pPr>
      <w:r w:rsidRPr="009C5EFD">
        <w:rPr>
          <w:sz w:val="22"/>
          <w:szCs w:val="22"/>
        </w:rPr>
        <w:t>Blant de som responderte ved uke 16 (n=144) var pediatrisk ACR 30/50/70/90 respons vedlikeholdt for opptil seks år i OLE-fasen hos pasienter som fikk Humira gjennom hele studien. Totalt 19 pasienter, hvorav 11 fra baseline aldersgruppen 4 til 12 år og 8 fra baseline aldersgruppen 13 til 17 år ble behandlet i 6 år eller lenger.</w:t>
      </w:r>
    </w:p>
    <w:p w14:paraId="05D77CFA" w14:textId="77777777" w:rsidR="002F0483" w:rsidRPr="009C5EFD" w:rsidRDefault="002F0483" w:rsidP="002F0483">
      <w:pPr>
        <w:rPr>
          <w:sz w:val="22"/>
          <w:szCs w:val="22"/>
        </w:rPr>
      </w:pPr>
    </w:p>
    <w:p w14:paraId="36E236F9" w14:textId="77777777" w:rsidR="002F0483" w:rsidRPr="009C5EFD" w:rsidRDefault="00E453CD" w:rsidP="002F0483">
      <w:pPr>
        <w:rPr>
          <w:sz w:val="22"/>
          <w:szCs w:val="22"/>
        </w:rPr>
      </w:pPr>
      <w:r w:rsidRPr="009C5EFD">
        <w:rPr>
          <w:sz w:val="22"/>
          <w:szCs w:val="22"/>
        </w:rPr>
        <w:t>Responsen var generelt bedre, og færre pasienter utviklet antistoffer når de ble behandlet med kombinasjonen Humira og metotreksat sammenlignet med Humira alene. På bakgrunn av disse resultatene anbefales Humira til bruk i kombinasjon med metotreksat og til bruk som monoterapi hos pasienter som ikke kan bruke metotreksat (se pkt. 4.2).</w:t>
      </w:r>
    </w:p>
    <w:p w14:paraId="1F63B21F" w14:textId="77777777" w:rsidR="002F0483" w:rsidRPr="009C5EFD" w:rsidRDefault="002F0483" w:rsidP="002F0483">
      <w:pPr>
        <w:rPr>
          <w:sz w:val="22"/>
          <w:szCs w:val="22"/>
        </w:rPr>
      </w:pPr>
    </w:p>
    <w:p w14:paraId="4EB50390" w14:textId="77777777" w:rsidR="002F0483" w:rsidRPr="009C5EFD" w:rsidRDefault="00E453CD" w:rsidP="002F0483">
      <w:pPr>
        <w:keepNext/>
        <w:rPr>
          <w:sz w:val="22"/>
          <w:szCs w:val="22"/>
        </w:rPr>
      </w:pPr>
      <w:r w:rsidRPr="009C5EFD">
        <w:rPr>
          <w:sz w:val="22"/>
          <w:szCs w:val="22"/>
        </w:rPr>
        <w:t>pJIA-II</w:t>
      </w:r>
    </w:p>
    <w:p w14:paraId="11567CEA" w14:textId="77777777" w:rsidR="002F0483" w:rsidRPr="009C5EFD" w:rsidRDefault="002F0483" w:rsidP="002F0483">
      <w:pPr>
        <w:keepNext/>
        <w:rPr>
          <w:sz w:val="22"/>
          <w:szCs w:val="22"/>
        </w:rPr>
      </w:pPr>
    </w:p>
    <w:p w14:paraId="3E02C911" w14:textId="77777777" w:rsidR="002F0483" w:rsidRPr="009C5EFD" w:rsidRDefault="00E453CD" w:rsidP="002F0483">
      <w:pPr>
        <w:rPr>
          <w:sz w:val="22"/>
          <w:szCs w:val="22"/>
        </w:rPr>
      </w:pPr>
      <w:r w:rsidRPr="009C5EFD">
        <w:rPr>
          <w:sz w:val="22"/>
          <w:szCs w:val="22"/>
        </w:rPr>
        <w:t>Sikkerhet og effekt av Humira ble vurdert i en åpen, multisenter studie hos 32 barn (2 - &lt; 4 år eller fra 4 år og oppover med kroppsvekt &lt; 15 kg) med moderat til alvorlig aktiv polyartikulær JIA. Pasientene fikk 24 mg/m</w:t>
      </w:r>
      <w:r w:rsidRPr="009C5EFD">
        <w:rPr>
          <w:sz w:val="22"/>
          <w:szCs w:val="22"/>
          <w:vertAlign w:val="superscript"/>
        </w:rPr>
        <w:t>2</w:t>
      </w:r>
      <w:r w:rsidRPr="009C5EFD">
        <w:rPr>
          <w:sz w:val="22"/>
          <w:szCs w:val="22"/>
        </w:rPr>
        <w:t xml:space="preserve"> kroppsoverflate opptil maksimum 20 mg Humira annenhver uke som en enkeltdose via subkutan injeksjon i minst 24 uker. De fleste pasienter brukte metotreksat samtidig i løpet av studien, med færre rapporter om bruk av kortikosteroider eller NSAIDs.</w:t>
      </w:r>
    </w:p>
    <w:p w14:paraId="0BE86387" w14:textId="77777777" w:rsidR="002F0483" w:rsidRPr="009C5EFD" w:rsidRDefault="002F0483" w:rsidP="002F0483">
      <w:pPr>
        <w:rPr>
          <w:sz w:val="22"/>
          <w:szCs w:val="22"/>
        </w:rPr>
      </w:pPr>
    </w:p>
    <w:p w14:paraId="6D3ED70E" w14:textId="77777777" w:rsidR="002F0483" w:rsidRPr="009C5EFD" w:rsidRDefault="00E453CD" w:rsidP="002F0483">
      <w:pPr>
        <w:rPr>
          <w:sz w:val="22"/>
          <w:szCs w:val="22"/>
        </w:rPr>
      </w:pPr>
      <w:r w:rsidRPr="009C5EFD">
        <w:rPr>
          <w:sz w:val="22"/>
          <w:szCs w:val="22"/>
        </w:rPr>
        <w:t xml:space="preserve">Ped ACR </w:t>
      </w:r>
      <w:r>
        <w:rPr>
          <w:sz w:val="22"/>
          <w:szCs w:val="22"/>
        </w:rPr>
        <w:t>30-respons</w:t>
      </w:r>
      <w:r w:rsidRPr="009C5EFD">
        <w:rPr>
          <w:sz w:val="22"/>
          <w:szCs w:val="22"/>
        </w:rPr>
        <w:t xml:space="preserve"> var 93,5 % og 90,0 % ved henholdsvis uke 12 og uke 24 ved bruk av observert data tilnærming. Andelene av personer med Ped ACR 50/70/90 var 90,3 %/61,3 %/38,7 % og 83,3 %/73,3 %/36,7 % ved henholdsvis uke 12 og uke 24. Blant de som responderte (Pediatrisk ACR 30) ved uke 24 (n=27 av 30 pasienter), ble Pediatrisk ACR </w:t>
      </w:r>
      <w:r>
        <w:rPr>
          <w:sz w:val="22"/>
          <w:szCs w:val="22"/>
        </w:rPr>
        <w:t>30-respons</w:t>
      </w:r>
      <w:r w:rsidRPr="009C5EFD">
        <w:rPr>
          <w:sz w:val="22"/>
          <w:szCs w:val="22"/>
        </w:rPr>
        <w:t xml:space="preserve"> vedlikeholdt opptil 60 uker i OLE fasen hos pasienter som fikk Humira gjennom hele denne perioden. I alt ble 20 personer behandlet i 60 uker eller lenger.</w:t>
      </w:r>
    </w:p>
    <w:p w14:paraId="1ECD29F3" w14:textId="77777777" w:rsidR="002F0483" w:rsidRPr="009C5EFD" w:rsidRDefault="002F0483" w:rsidP="002F0483">
      <w:pPr>
        <w:rPr>
          <w:sz w:val="22"/>
          <w:szCs w:val="22"/>
        </w:rPr>
      </w:pPr>
    </w:p>
    <w:p w14:paraId="3FCF1E7A" w14:textId="77777777" w:rsidR="002F0483" w:rsidRPr="009C5EFD" w:rsidRDefault="00E453CD" w:rsidP="002F0483">
      <w:pPr>
        <w:keepNext/>
        <w:rPr>
          <w:i/>
          <w:sz w:val="22"/>
          <w:szCs w:val="22"/>
          <w:u w:val="single"/>
        </w:rPr>
      </w:pPr>
      <w:r w:rsidRPr="009C5EFD">
        <w:rPr>
          <w:i/>
          <w:sz w:val="22"/>
          <w:szCs w:val="22"/>
          <w:u w:val="single"/>
        </w:rPr>
        <w:t>Entesittrelatert artritt</w:t>
      </w:r>
    </w:p>
    <w:p w14:paraId="07D107F0" w14:textId="77777777" w:rsidR="002F0483" w:rsidRPr="009C5EFD" w:rsidRDefault="002F0483" w:rsidP="002F0483">
      <w:pPr>
        <w:keepNext/>
        <w:rPr>
          <w:sz w:val="22"/>
          <w:szCs w:val="22"/>
        </w:rPr>
      </w:pPr>
    </w:p>
    <w:p w14:paraId="792A3EF4" w14:textId="77777777" w:rsidR="002F0483" w:rsidRPr="009C5EFD" w:rsidRDefault="00E453CD" w:rsidP="002F0483">
      <w:pPr>
        <w:rPr>
          <w:sz w:val="22"/>
          <w:szCs w:val="22"/>
        </w:rPr>
      </w:pPr>
      <w:r w:rsidRPr="009C5EFD">
        <w:rPr>
          <w:sz w:val="22"/>
          <w:szCs w:val="22"/>
        </w:rPr>
        <w:t xml:space="preserve">Sikkerhet og effekt av Humira ble vurdert i en multisenter, </w:t>
      </w:r>
      <w:r w:rsidRPr="009C5EFD">
        <w:rPr>
          <w:szCs w:val="22"/>
        </w:rPr>
        <w:t>randomisert,</w:t>
      </w:r>
      <w:r w:rsidRPr="009C5EFD">
        <w:rPr>
          <w:sz w:val="22"/>
          <w:szCs w:val="22"/>
        </w:rPr>
        <w:t xml:space="preserve"> </w:t>
      </w:r>
      <w:r w:rsidRPr="009C5EFD">
        <w:rPr>
          <w:szCs w:val="22"/>
        </w:rPr>
        <w:t>dobbeltblindet</w:t>
      </w:r>
      <w:r w:rsidRPr="009C5EFD">
        <w:rPr>
          <w:sz w:val="22"/>
          <w:szCs w:val="22"/>
        </w:rPr>
        <w:t xml:space="preserve"> studie hos 46 pediatriske pasienter (6 til 17 år) med moderat entesittrelatert artritt. Pasientene ble </w:t>
      </w:r>
      <w:r w:rsidRPr="009C5EFD">
        <w:rPr>
          <w:szCs w:val="22"/>
        </w:rPr>
        <w:t xml:space="preserve">randomisert til </w:t>
      </w:r>
      <w:r w:rsidRPr="009C5EFD">
        <w:rPr>
          <w:szCs w:val="22"/>
        </w:rPr>
        <w:lastRenderedPageBreak/>
        <w:t xml:space="preserve">behandling med </w:t>
      </w:r>
      <w:r w:rsidRPr="009C5EFD">
        <w:rPr>
          <w:sz w:val="22"/>
          <w:szCs w:val="22"/>
        </w:rPr>
        <w:t>enten 24 mg/m</w:t>
      </w:r>
      <w:r w:rsidRPr="009C5EFD">
        <w:rPr>
          <w:sz w:val="22"/>
          <w:szCs w:val="22"/>
          <w:vertAlign w:val="superscript"/>
        </w:rPr>
        <w:t>2</w:t>
      </w:r>
      <w:r w:rsidRPr="009C5EFD">
        <w:rPr>
          <w:sz w:val="22"/>
          <w:szCs w:val="22"/>
        </w:rPr>
        <w:t xml:space="preserve"> kroppsoverflate opptil maksimum 40 mg Humira, eller placebo annenhver uke i 12 uker. Den dobbeltblinde perioden ble</w:t>
      </w:r>
      <w:r w:rsidRPr="009C5EFD">
        <w:t xml:space="preserve"> </w:t>
      </w:r>
      <w:r w:rsidRPr="009C5EFD">
        <w:rPr>
          <w:sz w:val="22"/>
          <w:szCs w:val="22"/>
        </w:rPr>
        <w:t>etterfølgt av en åpen periode, hvor pasientene fikk 24 mg/m</w:t>
      </w:r>
      <w:r w:rsidRPr="009C5EFD">
        <w:rPr>
          <w:sz w:val="22"/>
          <w:szCs w:val="22"/>
          <w:vertAlign w:val="superscript"/>
        </w:rPr>
        <w:t>2</w:t>
      </w:r>
      <w:r w:rsidRPr="009C5EFD">
        <w:rPr>
          <w:sz w:val="22"/>
          <w:szCs w:val="22"/>
        </w:rPr>
        <w:t xml:space="preserve"> kroppsoverflate opptil maksimum 40 mg Humira subkutant annenhver uke  i opptil ytterligere 192 uker. Det primære endepunktet var den prosentvise endring, fra baseline til uke 12, i antall aktive ledd med artritt (hevelse, som ikke skyldes misdannelse, eller ledd med tap av bevegelse pluss smerter og/eller ømhet), som ble oppnådd med gjennomsnittlig prosentvis nedgang på -62,6 % (median prosent endring -88,9 %) hos pasienter i Humira-gruppen sammenlignet med -11,6 % (median prosent endring -50,0 %) hos pasienter i placebogruppen. Forbedring i antall aktive ledd med artritt ble opprettholdt</w:t>
      </w:r>
      <w:r>
        <w:rPr>
          <w:sz w:val="22"/>
          <w:szCs w:val="22"/>
        </w:rPr>
        <w:t xml:space="preserve"> til og med uke</w:t>
      </w:r>
      <w:r w:rsidRPr="009C5EFD">
        <w:rPr>
          <w:sz w:val="22"/>
          <w:szCs w:val="22"/>
        </w:rPr>
        <w:t xml:space="preserve"> </w:t>
      </w:r>
      <w:r>
        <w:rPr>
          <w:sz w:val="22"/>
          <w:szCs w:val="22"/>
        </w:rPr>
        <w:t>156 for 26 av 31 (84 %) pasienter i Humira-gruppen som forble i den åpne perioden av studien</w:t>
      </w:r>
      <w:r w:rsidRPr="009C5EFD">
        <w:rPr>
          <w:sz w:val="22"/>
          <w:szCs w:val="22"/>
        </w:rPr>
        <w:t xml:space="preserve">. Selv om det ikke er statistisk signifikant, viste de fleste av pasientene klinisk bedring i sekundære endepunkter som antall områder med entesitt, antall ømme ledd, antall hovne ledd, pediatrisk ACR </w:t>
      </w:r>
      <w:r>
        <w:rPr>
          <w:sz w:val="22"/>
          <w:szCs w:val="22"/>
        </w:rPr>
        <w:t>50-respons</w:t>
      </w:r>
      <w:r w:rsidRPr="009C5EFD">
        <w:rPr>
          <w:sz w:val="22"/>
          <w:szCs w:val="22"/>
        </w:rPr>
        <w:t xml:space="preserve">, og pediatrisk ACR </w:t>
      </w:r>
      <w:r>
        <w:rPr>
          <w:sz w:val="22"/>
          <w:szCs w:val="22"/>
        </w:rPr>
        <w:t>70-respons</w:t>
      </w:r>
      <w:r w:rsidRPr="009C5EFD">
        <w:rPr>
          <w:sz w:val="22"/>
          <w:szCs w:val="22"/>
        </w:rPr>
        <w:t>.</w:t>
      </w:r>
    </w:p>
    <w:p w14:paraId="64BDFC64" w14:textId="77777777" w:rsidR="002F0483" w:rsidRPr="009C5EFD" w:rsidRDefault="002F0483" w:rsidP="002F0483">
      <w:pPr>
        <w:ind w:left="54"/>
        <w:rPr>
          <w:sz w:val="22"/>
          <w:szCs w:val="22"/>
        </w:rPr>
      </w:pPr>
    </w:p>
    <w:p w14:paraId="67887BF1" w14:textId="77777777" w:rsidR="002F0483" w:rsidRPr="009C5EFD" w:rsidRDefault="00E453CD" w:rsidP="002F0483">
      <w:pPr>
        <w:keepNext/>
        <w:rPr>
          <w:i/>
          <w:sz w:val="22"/>
          <w:szCs w:val="22"/>
        </w:rPr>
      </w:pPr>
      <w:r w:rsidRPr="009C5EFD">
        <w:rPr>
          <w:i/>
          <w:sz w:val="22"/>
          <w:szCs w:val="22"/>
        </w:rPr>
        <w:t>Pediatrisk plakkpsoriasis</w:t>
      </w:r>
    </w:p>
    <w:p w14:paraId="7A07B0CD" w14:textId="77777777" w:rsidR="002F0483" w:rsidRPr="009C5EFD" w:rsidRDefault="002F0483" w:rsidP="002F0483">
      <w:pPr>
        <w:keepNext/>
        <w:rPr>
          <w:sz w:val="22"/>
          <w:szCs w:val="22"/>
        </w:rPr>
      </w:pPr>
    </w:p>
    <w:p w14:paraId="1416AA07" w14:textId="77777777" w:rsidR="002F0483" w:rsidRPr="009C5EFD" w:rsidRDefault="00E453CD" w:rsidP="002F0483">
      <w:pPr>
        <w:rPr>
          <w:sz w:val="22"/>
          <w:szCs w:val="22"/>
        </w:rPr>
      </w:pPr>
      <w:r w:rsidRPr="009C5EFD">
        <w:rPr>
          <w:sz w:val="22"/>
          <w:szCs w:val="22"/>
        </w:rPr>
        <w:t>Effekten av Humira ble undersøkt i en randomisert, dobbeltblindet, kontrollert studie med 114 pediatriske pasienter fra alderen 4 år med alvorlig kronisk plakkpsoriasis (definert ved PGA ≥ 4 eller &gt; 20 % BSA eller &gt; 10 % BSA inkludert veldig tykke lesjoner eller PASI ≥ 20 eller PASI ≥ 10 inkludert klinisk relevant påvirkning av ansikt, genitalia eller hånd/fot)</w:t>
      </w:r>
      <w:r w:rsidRPr="009C5EFD">
        <w:rPr>
          <w:color w:val="FF0000"/>
          <w:sz w:val="22"/>
          <w:szCs w:val="22"/>
        </w:rPr>
        <w:t xml:space="preserve"> </w:t>
      </w:r>
      <w:r w:rsidRPr="009C5EFD">
        <w:rPr>
          <w:sz w:val="22"/>
          <w:szCs w:val="22"/>
        </w:rPr>
        <w:t xml:space="preserve">som var utilstrekkelig behandlet med topikal behandling og helioterapi eller </w:t>
      </w:r>
      <w:r>
        <w:rPr>
          <w:sz w:val="22"/>
          <w:szCs w:val="22"/>
        </w:rPr>
        <w:t>lysbehandling</w:t>
      </w:r>
      <w:r w:rsidRPr="009C5EFD">
        <w:rPr>
          <w:sz w:val="22"/>
          <w:szCs w:val="22"/>
        </w:rPr>
        <w:t>.</w:t>
      </w:r>
    </w:p>
    <w:p w14:paraId="44858444" w14:textId="77777777" w:rsidR="002F0483" w:rsidRPr="009C5EFD" w:rsidRDefault="002F0483" w:rsidP="002F0483">
      <w:pPr>
        <w:rPr>
          <w:sz w:val="22"/>
          <w:szCs w:val="22"/>
        </w:rPr>
      </w:pPr>
    </w:p>
    <w:p w14:paraId="5130079C" w14:textId="77777777" w:rsidR="002F0483" w:rsidRPr="009C5EFD" w:rsidRDefault="00E453CD" w:rsidP="002F0483">
      <w:pPr>
        <w:rPr>
          <w:sz w:val="22"/>
          <w:szCs w:val="22"/>
        </w:rPr>
      </w:pPr>
      <w:r w:rsidRPr="009C5EFD">
        <w:rPr>
          <w:sz w:val="22"/>
          <w:szCs w:val="22"/>
        </w:rPr>
        <w:t>Pasientene fikk enten Humira 0,8 mg/kg annenhver uke (opptil 40 mg), 0,4 mg/kg annenhver uke (opptil 20 mg) eller metotreksat 0,1</w:t>
      </w:r>
      <w:r w:rsidRPr="009C5EFD">
        <w:rPr>
          <w:sz w:val="22"/>
          <w:szCs w:val="22"/>
        </w:rPr>
        <w:noBreakHyphen/>
        <w:t>0,4 mg/kg ukentlig (opptil 25 mg). Ved uke 16, hadde flere pasienter randomisert til Humira 0,8 mg/kg positiv respons (f.eks. PASI 75) sammenlignet med de som ble randomisert til gruppen med 0,4 mg/kg annenhver uke eller metotreksat.</w:t>
      </w:r>
    </w:p>
    <w:p w14:paraId="3AA0BC85" w14:textId="77777777" w:rsidR="002F0483" w:rsidRPr="009C5EFD" w:rsidRDefault="002F0483" w:rsidP="002F0483">
      <w:pPr>
        <w:rPr>
          <w:sz w:val="22"/>
          <w:szCs w:val="22"/>
        </w:rPr>
      </w:pPr>
    </w:p>
    <w:tbl>
      <w:tblPr>
        <w:tblW w:w="4458" w:type="pct"/>
        <w:jc w:val="center"/>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3405"/>
        <w:gridCol w:w="1609"/>
        <w:gridCol w:w="3068"/>
      </w:tblGrid>
      <w:tr w:rsidR="004644D4" w14:paraId="78D2D6D3" w14:textId="77777777" w:rsidTr="002F0483">
        <w:trPr>
          <w:jc w:val="center"/>
        </w:trPr>
        <w:tc>
          <w:tcPr>
            <w:tcW w:w="5000" w:type="pct"/>
            <w:gridSpan w:val="3"/>
            <w:tcBorders>
              <w:top w:val="nil"/>
              <w:left w:val="nil"/>
              <w:bottom w:val="nil"/>
              <w:right w:val="nil"/>
            </w:tcBorders>
            <w:tcMar>
              <w:top w:w="15" w:type="dxa"/>
              <w:left w:w="15" w:type="dxa"/>
              <w:bottom w:w="15" w:type="dxa"/>
              <w:right w:w="15" w:type="dxa"/>
            </w:tcMar>
            <w:vAlign w:val="center"/>
          </w:tcPr>
          <w:p w14:paraId="436D13C8" w14:textId="77777777" w:rsidR="002F0483" w:rsidRPr="00C07C98" w:rsidRDefault="00E453CD" w:rsidP="002F0483">
            <w:pPr>
              <w:keepNext/>
              <w:autoSpaceDE w:val="0"/>
              <w:autoSpaceDN w:val="0"/>
              <w:adjustRightInd w:val="0"/>
              <w:jc w:val="center"/>
              <w:rPr>
                <w:b/>
                <w:bCs/>
                <w:sz w:val="22"/>
                <w:szCs w:val="22"/>
              </w:rPr>
            </w:pPr>
            <w:r w:rsidRPr="009C5EFD">
              <w:rPr>
                <w:rStyle w:val="gtcbold9"/>
                <w:sz w:val="22"/>
                <w:szCs w:val="22"/>
              </w:rPr>
              <w:t xml:space="preserve">Tabell </w:t>
            </w:r>
            <w:r>
              <w:rPr>
                <w:rStyle w:val="gtcbold9"/>
                <w:sz w:val="22"/>
                <w:szCs w:val="22"/>
              </w:rPr>
              <w:t>27:</w:t>
            </w:r>
            <w:r w:rsidRPr="001F5D4B">
              <w:t xml:space="preserve"> </w:t>
            </w:r>
            <w:r w:rsidRPr="007F67EE">
              <w:rPr>
                <w:b/>
                <w:bCs/>
                <w:sz w:val="22"/>
                <w:szCs w:val="22"/>
              </w:rPr>
              <w:t xml:space="preserve">Pediatrisk plakkpsoriasis – </w:t>
            </w:r>
            <w:r>
              <w:rPr>
                <w:b/>
                <w:bCs/>
                <w:sz w:val="22"/>
                <w:szCs w:val="22"/>
              </w:rPr>
              <w:t>effektresultater</w:t>
            </w:r>
            <w:r w:rsidRPr="00193D76">
              <w:rPr>
                <w:b/>
                <w:bCs/>
                <w:sz w:val="22"/>
                <w:szCs w:val="22"/>
              </w:rPr>
              <w:t xml:space="preserve"> ved </w:t>
            </w:r>
            <w:r w:rsidRPr="00C07C98">
              <w:rPr>
                <w:b/>
                <w:bCs/>
                <w:sz w:val="22"/>
                <w:szCs w:val="22"/>
              </w:rPr>
              <w:t>uke 16</w:t>
            </w:r>
          </w:p>
          <w:p w14:paraId="4A9CB4D9" w14:textId="77777777" w:rsidR="002F0483" w:rsidRPr="00E14E58" w:rsidRDefault="002F0483" w:rsidP="002F0483">
            <w:pPr>
              <w:keepNext/>
              <w:jc w:val="center"/>
              <w:rPr>
                <w:b/>
                <w:sz w:val="22"/>
                <w:szCs w:val="22"/>
              </w:rPr>
            </w:pPr>
          </w:p>
        </w:tc>
      </w:tr>
      <w:tr w:rsidR="004644D4" w14:paraId="41812945" w14:textId="77777777" w:rsidTr="002F0483">
        <w:trPr>
          <w:jc w:val="center"/>
        </w:trPr>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tcPr>
          <w:p w14:paraId="4B884F5E" w14:textId="77777777" w:rsidR="002F0483" w:rsidRPr="009C5EFD" w:rsidRDefault="002F0483" w:rsidP="002F0483">
            <w:pPr>
              <w:keepNext/>
              <w:rPr>
                <w:sz w:val="22"/>
                <w:szCs w:val="22"/>
              </w:rPr>
            </w:pPr>
          </w:p>
        </w:tc>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hideMark/>
          </w:tcPr>
          <w:p w14:paraId="4759A695" w14:textId="77777777" w:rsidR="002F0483" w:rsidRPr="009C5EFD" w:rsidRDefault="00E453CD" w:rsidP="002F0483">
            <w:pPr>
              <w:keepNext/>
              <w:jc w:val="center"/>
              <w:rPr>
                <w:sz w:val="22"/>
                <w:szCs w:val="22"/>
              </w:rPr>
            </w:pPr>
            <w:r w:rsidRPr="009C5EFD">
              <w:rPr>
                <w:sz w:val="22"/>
                <w:szCs w:val="22"/>
              </w:rPr>
              <w:t>MTX</w:t>
            </w:r>
            <w:r w:rsidRPr="009C5EFD">
              <w:rPr>
                <w:sz w:val="22"/>
                <w:szCs w:val="22"/>
                <w:vertAlign w:val="superscript"/>
              </w:rPr>
              <w:t>a</w:t>
            </w:r>
            <w:r w:rsidRPr="009C5EFD">
              <w:rPr>
                <w:sz w:val="22"/>
                <w:szCs w:val="22"/>
              </w:rPr>
              <w:br/>
              <w:t xml:space="preserve">N=37 </w:t>
            </w:r>
          </w:p>
        </w:tc>
        <w:tc>
          <w:tcPr>
            <w:tcW w:w="1898" w:type="pct"/>
            <w:tcBorders>
              <w:top w:val="single" w:sz="6" w:space="0" w:color="000000"/>
              <w:left w:val="single" w:sz="6" w:space="0" w:color="000000"/>
              <w:bottom w:val="outset" w:sz="6" w:space="0" w:color="auto"/>
              <w:right w:val="single" w:sz="6" w:space="0" w:color="000000"/>
            </w:tcBorders>
            <w:tcMar>
              <w:top w:w="15" w:type="dxa"/>
              <w:left w:w="15" w:type="dxa"/>
              <w:bottom w:w="15" w:type="dxa"/>
              <w:right w:w="15" w:type="dxa"/>
            </w:tcMar>
            <w:vAlign w:val="center"/>
            <w:hideMark/>
          </w:tcPr>
          <w:p w14:paraId="55588F60" w14:textId="77777777" w:rsidR="002F0483" w:rsidRPr="009C5EFD" w:rsidRDefault="00E453CD" w:rsidP="002F0483">
            <w:pPr>
              <w:keepNext/>
              <w:jc w:val="center"/>
              <w:rPr>
                <w:sz w:val="22"/>
                <w:szCs w:val="22"/>
                <w:lang w:val="pt-BR"/>
              </w:rPr>
            </w:pPr>
            <w:r w:rsidRPr="009C5EFD">
              <w:rPr>
                <w:sz w:val="22"/>
                <w:szCs w:val="22"/>
                <w:lang w:val="pt-BR"/>
              </w:rPr>
              <w:t>Humira 0,8</w:t>
            </w:r>
            <w:r>
              <w:rPr>
                <w:sz w:val="22"/>
                <w:szCs w:val="22"/>
                <w:lang w:val="pt-BR"/>
              </w:rPr>
              <w:t xml:space="preserve"> </w:t>
            </w:r>
            <w:r w:rsidRPr="009C5EFD">
              <w:rPr>
                <w:sz w:val="22"/>
                <w:szCs w:val="22"/>
                <w:lang w:val="pt-BR"/>
              </w:rPr>
              <w:t>mg/kg annenhver uke</w:t>
            </w:r>
            <w:r w:rsidRPr="009C5EFD">
              <w:rPr>
                <w:sz w:val="22"/>
                <w:szCs w:val="22"/>
                <w:lang w:val="pt-BR"/>
              </w:rPr>
              <w:br/>
              <w:t xml:space="preserve">N=38 </w:t>
            </w:r>
          </w:p>
        </w:tc>
      </w:tr>
      <w:tr w:rsidR="004644D4" w14:paraId="55568A5E" w14:textId="77777777" w:rsidTr="002F0483">
        <w:trPr>
          <w:jc w:val="center"/>
        </w:trPr>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hideMark/>
          </w:tcPr>
          <w:p w14:paraId="13191C47" w14:textId="77777777" w:rsidR="002F0483" w:rsidRPr="002D0790" w:rsidRDefault="00E453CD" w:rsidP="002F0483">
            <w:pPr>
              <w:keepNext/>
              <w:rPr>
                <w:sz w:val="22"/>
                <w:szCs w:val="22"/>
              </w:rPr>
            </w:pPr>
            <w:r w:rsidRPr="007F67EE">
              <w:rPr>
                <w:sz w:val="22"/>
                <w:szCs w:val="22"/>
              </w:rPr>
              <w:t> </w:t>
            </w:r>
            <w:r w:rsidRPr="007F67EE">
              <w:rPr>
                <w:sz w:val="22"/>
                <w:szCs w:val="22"/>
              </w:rPr>
              <w:t>PASI 75</w:t>
            </w:r>
            <w:r w:rsidRPr="00193D76">
              <w:rPr>
                <w:sz w:val="22"/>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tcMar>
              <w:top w:w="15" w:type="dxa"/>
              <w:left w:w="15" w:type="dxa"/>
              <w:bottom w:w="15" w:type="dxa"/>
              <w:right w:w="15" w:type="dxa"/>
            </w:tcMar>
            <w:vAlign w:val="center"/>
            <w:hideMark/>
          </w:tcPr>
          <w:p w14:paraId="455E8BF6" w14:textId="77777777" w:rsidR="002F0483" w:rsidRPr="00E14E58" w:rsidRDefault="00E453CD" w:rsidP="002F0483">
            <w:pPr>
              <w:keepNext/>
              <w:jc w:val="center"/>
              <w:rPr>
                <w:sz w:val="22"/>
                <w:szCs w:val="22"/>
              </w:rPr>
            </w:pPr>
            <w:r w:rsidRPr="00C07C98">
              <w:rPr>
                <w:sz w:val="22"/>
                <w:szCs w:val="22"/>
              </w:rPr>
              <w:t>12 (32,4 %</w:t>
            </w:r>
            <w:r w:rsidRPr="00E14E58">
              <w:rPr>
                <w:sz w:val="22"/>
                <w:szCs w:val="22"/>
              </w:rPr>
              <w:t>)</w:t>
            </w:r>
          </w:p>
        </w:tc>
        <w:tc>
          <w:tcPr>
            <w:tcW w:w="1898" w:type="pct"/>
            <w:tcBorders>
              <w:top w:val="single" w:sz="6" w:space="0" w:color="000000"/>
              <w:left w:val="single" w:sz="6" w:space="0" w:color="000000"/>
              <w:bottom w:val="outset" w:sz="6" w:space="0" w:color="auto"/>
              <w:right w:val="single" w:sz="6" w:space="0" w:color="000000"/>
            </w:tcBorders>
            <w:tcMar>
              <w:top w:w="15" w:type="dxa"/>
              <w:left w:w="15" w:type="dxa"/>
              <w:bottom w:w="15" w:type="dxa"/>
              <w:right w:w="15" w:type="dxa"/>
            </w:tcMar>
            <w:vAlign w:val="center"/>
            <w:hideMark/>
          </w:tcPr>
          <w:p w14:paraId="572C30BC" w14:textId="77777777" w:rsidR="002F0483" w:rsidRPr="009C5EFD" w:rsidRDefault="00E453CD" w:rsidP="002F0483">
            <w:pPr>
              <w:keepNext/>
              <w:jc w:val="center"/>
              <w:rPr>
                <w:sz w:val="22"/>
                <w:szCs w:val="22"/>
              </w:rPr>
            </w:pPr>
            <w:r w:rsidRPr="009C5EFD">
              <w:rPr>
                <w:sz w:val="22"/>
                <w:szCs w:val="22"/>
              </w:rPr>
              <w:t>22 (57,9 %)</w:t>
            </w:r>
          </w:p>
        </w:tc>
      </w:tr>
      <w:tr w:rsidR="004644D4" w14:paraId="30F8DBC6" w14:textId="77777777" w:rsidTr="002F0483">
        <w:trPr>
          <w:jc w:val="center"/>
        </w:trPr>
        <w:tc>
          <w:tcPr>
            <w:tcW w:w="0" w:type="auto"/>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hideMark/>
          </w:tcPr>
          <w:p w14:paraId="74070B77" w14:textId="77777777" w:rsidR="002F0483" w:rsidRPr="002D0790" w:rsidRDefault="00E453CD" w:rsidP="002F0483">
            <w:pPr>
              <w:keepNext/>
              <w:rPr>
                <w:sz w:val="22"/>
                <w:szCs w:val="22"/>
              </w:rPr>
            </w:pPr>
            <w:r w:rsidRPr="007F67EE">
              <w:rPr>
                <w:sz w:val="22"/>
                <w:szCs w:val="22"/>
              </w:rPr>
              <w:t> </w:t>
            </w:r>
            <w:r w:rsidRPr="007F67EE">
              <w:rPr>
                <w:sz w:val="22"/>
                <w:szCs w:val="22"/>
              </w:rPr>
              <w:t xml:space="preserve">PGA: </w:t>
            </w:r>
            <w:r>
              <w:rPr>
                <w:sz w:val="22"/>
                <w:szCs w:val="22"/>
              </w:rPr>
              <w:t>«</w:t>
            </w:r>
            <w:r w:rsidRPr="007F67EE">
              <w:rPr>
                <w:sz w:val="22"/>
                <w:szCs w:val="22"/>
              </w:rPr>
              <w:t>Klar</w:t>
            </w:r>
            <w:r>
              <w:rPr>
                <w:sz w:val="22"/>
                <w:szCs w:val="22"/>
              </w:rPr>
              <w:t>»</w:t>
            </w:r>
            <w:r w:rsidRPr="007F67EE">
              <w:rPr>
                <w:sz w:val="22"/>
                <w:szCs w:val="22"/>
              </w:rPr>
              <w:t>/minimal</w:t>
            </w:r>
            <w:r w:rsidRPr="00193D76">
              <w:rPr>
                <w:sz w:val="22"/>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tcMar>
              <w:top w:w="15" w:type="dxa"/>
              <w:left w:w="15" w:type="dxa"/>
              <w:bottom w:w="15" w:type="dxa"/>
              <w:right w:w="15" w:type="dxa"/>
            </w:tcMar>
            <w:vAlign w:val="center"/>
            <w:hideMark/>
          </w:tcPr>
          <w:p w14:paraId="4D4FD3D5" w14:textId="77777777" w:rsidR="002F0483" w:rsidRPr="00E14E58" w:rsidRDefault="00E453CD" w:rsidP="002F0483">
            <w:pPr>
              <w:keepNext/>
              <w:jc w:val="center"/>
              <w:rPr>
                <w:sz w:val="22"/>
                <w:szCs w:val="22"/>
              </w:rPr>
            </w:pPr>
            <w:r w:rsidRPr="00C07C98">
              <w:rPr>
                <w:sz w:val="22"/>
                <w:szCs w:val="22"/>
              </w:rPr>
              <w:t>15 (40,5 %</w:t>
            </w:r>
            <w:r w:rsidRPr="00E14E58">
              <w:rPr>
                <w:sz w:val="22"/>
                <w:szCs w:val="22"/>
              </w:rPr>
              <w:t>)</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7E791C" w14:textId="77777777" w:rsidR="002F0483" w:rsidRPr="009C5EFD" w:rsidRDefault="00E453CD" w:rsidP="002F0483">
            <w:pPr>
              <w:keepNext/>
              <w:jc w:val="center"/>
              <w:rPr>
                <w:sz w:val="22"/>
                <w:szCs w:val="22"/>
              </w:rPr>
            </w:pPr>
            <w:r w:rsidRPr="009C5EFD">
              <w:rPr>
                <w:sz w:val="22"/>
                <w:szCs w:val="22"/>
              </w:rPr>
              <w:t>23 (60,5 %)</w:t>
            </w:r>
          </w:p>
        </w:tc>
      </w:tr>
      <w:tr w:rsidR="004644D4" w14:paraId="56A438C1" w14:textId="77777777" w:rsidTr="002F048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140209" w14:textId="77777777" w:rsidR="002F0483" w:rsidRPr="00E04B2A" w:rsidRDefault="00E453CD" w:rsidP="002F0483">
            <w:pPr>
              <w:keepNext/>
              <w:rPr>
                <w:sz w:val="22"/>
                <w:szCs w:val="22"/>
              </w:rPr>
            </w:pPr>
            <w:r w:rsidRPr="00E04B2A">
              <w:rPr>
                <w:sz w:val="22"/>
                <w:szCs w:val="22"/>
                <w:vertAlign w:val="superscript"/>
              </w:rPr>
              <w:t xml:space="preserve">a </w:t>
            </w:r>
            <w:r w:rsidRPr="00E04B2A">
              <w:rPr>
                <w:sz w:val="22"/>
                <w:szCs w:val="22"/>
              </w:rPr>
              <w:t>MTX = metotreksat</w:t>
            </w:r>
          </w:p>
          <w:p w14:paraId="589EFB92" w14:textId="77777777" w:rsidR="002F0483" w:rsidRPr="00E04B2A" w:rsidRDefault="00E453CD" w:rsidP="002F0483">
            <w:pPr>
              <w:keepNext/>
              <w:rPr>
                <w:sz w:val="22"/>
                <w:szCs w:val="22"/>
              </w:rPr>
            </w:pPr>
            <w:r w:rsidRPr="00E04B2A">
              <w:rPr>
                <w:sz w:val="22"/>
                <w:szCs w:val="22"/>
                <w:vertAlign w:val="superscript"/>
              </w:rPr>
              <w:t>b</w:t>
            </w:r>
            <w:r w:rsidRPr="00E04B2A">
              <w:rPr>
                <w:sz w:val="22"/>
                <w:szCs w:val="22"/>
              </w:rPr>
              <w:t xml:space="preserve"> p=0,027, Humira 0,8 mg/kg vs. MTX</w:t>
            </w:r>
          </w:p>
          <w:p w14:paraId="6625E3E2" w14:textId="77777777" w:rsidR="002F0483" w:rsidRPr="001424DB" w:rsidRDefault="00E453CD" w:rsidP="002F0483">
            <w:pPr>
              <w:keepNext/>
              <w:rPr>
                <w:sz w:val="22"/>
                <w:szCs w:val="22"/>
                <w:lang w:val="sv-SE"/>
              </w:rPr>
            </w:pPr>
            <w:r w:rsidRPr="001424DB">
              <w:rPr>
                <w:sz w:val="22"/>
                <w:szCs w:val="22"/>
                <w:vertAlign w:val="superscript"/>
                <w:lang w:val="sv-SE"/>
              </w:rPr>
              <w:t>c</w:t>
            </w:r>
            <w:r w:rsidRPr="001424DB">
              <w:rPr>
                <w:sz w:val="22"/>
                <w:szCs w:val="22"/>
                <w:lang w:val="sv-SE"/>
              </w:rPr>
              <w:t xml:space="preserve"> p=0,083, Humira 0,8 mg/kg vs. MTX</w:t>
            </w:r>
          </w:p>
        </w:tc>
      </w:tr>
    </w:tbl>
    <w:p w14:paraId="75223447" w14:textId="77777777" w:rsidR="002F0483" w:rsidRPr="009C5EFD" w:rsidRDefault="002F0483" w:rsidP="002F0483">
      <w:pPr>
        <w:rPr>
          <w:sz w:val="22"/>
          <w:szCs w:val="22"/>
          <w:u w:val="single"/>
          <w:lang w:val="sv-SE"/>
        </w:rPr>
      </w:pPr>
    </w:p>
    <w:p w14:paraId="3C3C84C6" w14:textId="77777777" w:rsidR="002F0483" w:rsidRPr="009C5EFD" w:rsidRDefault="00E453CD" w:rsidP="002F0483">
      <w:pPr>
        <w:pStyle w:val="Heading8"/>
        <w:keepNext w:val="0"/>
        <w:rPr>
          <w:szCs w:val="22"/>
          <w:u w:val="none"/>
        </w:rPr>
      </w:pPr>
      <w:r w:rsidRPr="009C5EFD">
        <w:rPr>
          <w:szCs w:val="22"/>
          <w:u w:val="none"/>
        </w:rPr>
        <w:t xml:space="preserve">Pasienter som oppnådde PASI 75 og PGA </w:t>
      </w:r>
      <w:r>
        <w:rPr>
          <w:szCs w:val="22"/>
          <w:u w:val="none"/>
        </w:rPr>
        <w:t>«</w:t>
      </w:r>
      <w:r w:rsidRPr="009C5EFD">
        <w:rPr>
          <w:szCs w:val="22"/>
          <w:u w:val="none"/>
        </w:rPr>
        <w:t>klar</w:t>
      </w:r>
      <w:r>
        <w:rPr>
          <w:szCs w:val="22"/>
          <w:u w:val="none"/>
        </w:rPr>
        <w:t>»</w:t>
      </w:r>
      <w:r w:rsidRPr="009C5EFD">
        <w:rPr>
          <w:szCs w:val="22"/>
          <w:u w:val="none"/>
        </w:rPr>
        <w:t xml:space="preserve"> eller minimal fikk stoppet behandlingen i opptil 36 uker og ble overvåket for tap av sykdomskontroll (f.eks. foverring av PGA med minst 2 i score). Pasientene ble deretter re-behandlet med adalimumab 0,8 mg/kg annenhver uke i 16 tilleggsuker, og responsraten observert under re-behandling var tilsvarende funn fra tidligere dobbeltblindet periode: PASI 75 respons på 78,9 % (15 av 19 personer) og PGA </w:t>
      </w:r>
      <w:r>
        <w:rPr>
          <w:szCs w:val="22"/>
          <w:u w:val="none"/>
        </w:rPr>
        <w:t>«</w:t>
      </w:r>
      <w:r w:rsidRPr="009C5EFD">
        <w:rPr>
          <w:szCs w:val="22"/>
          <w:u w:val="none"/>
        </w:rPr>
        <w:t>klar</w:t>
      </w:r>
      <w:r>
        <w:rPr>
          <w:szCs w:val="22"/>
          <w:u w:val="none"/>
        </w:rPr>
        <w:t>»</w:t>
      </w:r>
      <w:r w:rsidRPr="009C5EFD">
        <w:rPr>
          <w:szCs w:val="22"/>
          <w:u w:val="none"/>
        </w:rPr>
        <w:t xml:space="preserve"> eller minimal på 52,6 % (10 av 19 personer).</w:t>
      </w:r>
    </w:p>
    <w:p w14:paraId="78BE78DE" w14:textId="77777777" w:rsidR="002F0483" w:rsidRPr="009C5EFD" w:rsidRDefault="002F0483" w:rsidP="002F0483">
      <w:pPr>
        <w:rPr>
          <w:sz w:val="22"/>
          <w:szCs w:val="22"/>
        </w:rPr>
      </w:pPr>
    </w:p>
    <w:p w14:paraId="3E2FCDCA" w14:textId="77777777" w:rsidR="002F0483" w:rsidRPr="009C5EFD" w:rsidRDefault="00E453CD" w:rsidP="002F0483">
      <w:r w:rsidRPr="009C5EFD">
        <w:rPr>
          <w:sz w:val="22"/>
          <w:szCs w:val="22"/>
        </w:rPr>
        <w:t xml:space="preserve">I den åpne perioden av studien, ble PASI 75 og PGA </w:t>
      </w:r>
      <w:r>
        <w:rPr>
          <w:sz w:val="22"/>
          <w:szCs w:val="22"/>
        </w:rPr>
        <w:t>«</w:t>
      </w:r>
      <w:r w:rsidRPr="009C5EFD">
        <w:rPr>
          <w:sz w:val="22"/>
          <w:szCs w:val="22"/>
        </w:rPr>
        <w:t>klar</w:t>
      </w:r>
      <w:r>
        <w:rPr>
          <w:sz w:val="22"/>
          <w:szCs w:val="22"/>
        </w:rPr>
        <w:t>»</w:t>
      </w:r>
      <w:r w:rsidRPr="009C5EFD">
        <w:rPr>
          <w:sz w:val="22"/>
          <w:szCs w:val="22"/>
        </w:rPr>
        <w:t xml:space="preserve"> eller mininmal opprettholdt i en tilleggsperiode på 52 uker uten nye sikkerhetsfunn.</w:t>
      </w:r>
    </w:p>
    <w:p w14:paraId="4AF6A303" w14:textId="77777777" w:rsidR="002F0483" w:rsidRPr="009C5EFD" w:rsidRDefault="002F0483" w:rsidP="002F0483">
      <w:pPr>
        <w:rPr>
          <w:sz w:val="22"/>
          <w:szCs w:val="22"/>
          <w:u w:val="single"/>
        </w:rPr>
      </w:pPr>
    </w:p>
    <w:p w14:paraId="72D881C1" w14:textId="77777777" w:rsidR="002F0483" w:rsidRDefault="00E453CD" w:rsidP="002F0483">
      <w:pPr>
        <w:keepNext/>
        <w:rPr>
          <w:rFonts w:eastAsia="TimesNewRoman"/>
          <w:i/>
          <w:sz w:val="22"/>
          <w:szCs w:val="22"/>
        </w:rPr>
      </w:pPr>
      <w:r w:rsidRPr="009C5EFD">
        <w:rPr>
          <w:rFonts w:eastAsia="TimesNewRoman"/>
          <w:i/>
          <w:sz w:val="22"/>
          <w:szCs w:val="22"/>
        </w:rPr>
        <w:t>Hidrosadenitt</w:t>
      </w:r>
      <w:r>
        <w:rPr>
          <w:rFonts w:eastAsia="TimesNewRoman"/>
          <w:i/>
          <w:sz w:val="22"/>
          <w:szCs w:val="22"/>
        </w:rPr>
        <w:t xml:space="preserve"> hos ungdom</w:t>
      </w:r>
    </w:p>
    <w:p w14:paraId="76F6B6E1" w14:textId="77777777" w:rsidR="002F0483" w:rsidRDefault="002F0483" w:rsidP="002F0483">
      <w:pPr>
        <w:keepNext/>
        <w:rPr>
          <w:rFonts w:eastAsia="TimesNewRoman"/>
          <w:i/>
          <w:sz w:val="22"/>
          <w:szCs w:val="22"/>
        </w:rPr>
      </w:pPr>
    </w:p>
    <w:p w14:paraId="71D2D9FC" w14:textId="77777777" w:rsidR="002F0483" w:rsidRPr="009C5EFD" w:rsidRDefault="00E453CD" w:rsidP="002F0483">
      <w:pPr>
        <w:rPr>
          <w:sz w:val="22"/>
          <w:szCs w:val="22"/>
        </w:rPr>
      </w:pPr>
      <w:r>
        <w:rPr>
          <w:sz w:val="22"/>
          <w:szCs w:val="22"/>
        </w:rPr>
        <w:t>Det finnes ingen kliniske studier med Humira hos ungdom med HS. Effekten av adalimumab for behandling av ungdom med HS er forventet basert på demonstrert effekt og eksponering-respons forhold hos voksne pasienter med HS og sannsynligheten for at sykdomsforløpet, patofysiologi og effekt av legemidlet er vesentlig lik som for voksne ved de samme eksponeringsnivåer. Sikkerheten av den anbefalte dosen for adalimumab hos ungdom med HS er basert på sikkerhetsprofilen observert på tvers av indikasjonene ved bruk hos både voksne og pediatriske pasienter ved lik eller hyppigere dosering (se pkt. 5.2).</w:t>
      </w:r>
    </w:p>
    <w:p w14:paraId="41018950" w14:textId="77777777" w:rsidR="002F0483" w:rsidRPr="009C5EFD" w:rsidRDefault="002F0483" w:rsidP="002F0483">
      <w:pPr>
        <w:rPr>
          <w:sz w:val="22"/>
          <w:szCs w:val="22"/>
          <w:u w:val="single"/>
        </w:rPr>
      </w:pPr>
    </w:p>
    <w:p w14:paraId="72FDAA23" w14:textId="77777777" w:rsidR="002F0483" w:rsidRPr="009C5EFD" w:rsidRDefault="00E453CD" w:rsidP="002F0483">
      <w:pPr>
        <w:keepNext/>
        <w:rPr>
          <w:i/>
          <w:sz w:val="22"/>
          <w:szCs w:val="22"/>
        </w:rPr>
      </w:pPr>
      <w:r w:rsidRPr="009C5EFD">
        <w:rPr>
          <w:i/>
          <w:sz w:val="22"/>
          <w:szCs w:val="22"/>
        </w:rPr>
        <w:lastRenderedPageBreak/>
        <w:t>Pediatrisk Crohns sykdom</w:t>
      </w:r>
    </w:p>
    <w:p w14:paraId="0874E606" w14:textId="77777777" w:rsidR="002F0483" w:rsidRPr="009C5EFD" w:rsidRDefault="002F0483" w:rsidP="002F0483">
      <w:pPr>
        <w:keepNext/>
        <w:rPr>
          <w:sz w:val="22"/>
          <w:szCs w:val="22"/>
          <w:u w:val="single"/>
        </w:rPr>
      </w:pPr>
    </w:p>
    <w:p w14:paraId="07A9177A" w14:textId="77777777" w:rsidR="002F0483" w:rsidRPr="009C5EFD" w:rsidRDefault="00E453CD" w:rsidP="002F0483">
      <w:pPr>
        <w:rPr>
          <w:sz w:val="22"/>
          <w:szCs w:val="22"/>
        </w:rPr>
      </w:pPr>
      <w:r w:rsidRPr="009C5EFD">
        <w:rPr>
          <w:sz w:val="22"/>
          <w:szCs w:val="22"/>
        </w:rPr>
        <w:t xml:space="preserve">Humira ble vurdert i en multisenter, randomisert, dobbeltblindet klinisk studie designet for å </w:t>
      </w:r>
      <w:r w:rsidR="00421CF7">
        <w:rPr>
          <w:sz w:val="22"/>
          <w:szCs w:val="22"/>
        </w:rPr>
        <w:t xml:space="preserve">vurdere </w:t>
      </w:r>
      <w:r w:rsidRPr="009C5EFD">
        <w:rPr>
          <w:sz w:val="22"/>
          <w:szCs w:val="22"/>
        </w:rPr>
        <w:t>effekt og sikkerhet av induksjons- og vedlikeholdsbehandling med doser avhenging av kroppsvekt (&lt; 40 kg eller ≥ 40 kg) hos 192 pediatriske pasienter i alderen mellom 6 og 17 år (inklusiv) med moderat til alvorlig Crohns sykdom (CD), definert som Pediatri</w:t>
      </w:r>
      <w:r>
        <w:rPr>
          <w:sz w:val="22"/>
          <w:szCs w:val="22"/>
        </w:rPr>
        <w:t>c</w:t>
      </w:r>
      <w:r w:rsidRPr="009C5EFD">
        <w:rPr>
          <w:sz w:val="22"/>
          <w:szCs w:val="22"/>
        </w:rPr>
        <w:t xml:space="preserve"> Crohn</w:t>
      </w:r>
      <w:r>
        <w:rPr>
          <w:sz w:val="22"/>
          <w:szCs w:val="22"/>
        </w:rPr>
        <w:t>’</w:t>
      </w:r>
      <w:r w:rsidRPr="009C5EFD">
        <w:rPr>
          <w:sz w:val="22"/>
          <w:szCs w:val="22"/>
        </w:rPr>
        <w:t>s</w:t>
      </w:r>
      <w:r w:rsidRPr="008138BF">
        <w:t xml:space="preserve"> </w:t>
      </w:r>
      <w:r w:rsidRPr="008138BF">
        <w:rPr>
          <w:sz w:val="22"/>
          <w:szCs w:val="22"/>
        </w:rPr>
        <w:t>Disease</w:t>
      </w:r>
      <w:r w:rsidRPr="009C5EFD">
        <w:rPr>
          <w:sz w:val="22"/>
          <w:szCs w:val="22"/>
        </w:rPr>
        <w:t xml:space="preserve"> Activity Index (PCDAI) score &gt; 30. Pasientene måtte ha mislyktes på </w:t>
      </w:r>
      <w:r>
        <w:rPr>
          <w:sz w:val="22"/>
          <w:szCs w:val="22"/>
        </w:rPr>
        <w:t>konvensjonell behandling</w:t>
      </w:r>
      <w:r w:rsidRPr="009C5EFD">
        <w:rPr>
          <w:sz w:val="22"/>
          <w:szCs w:val="22"/>
        </w:rPr>
        <w:t xml:space="preserve"> (inkludert et kortikosteroid og/eller et immunmodulerende middel) for CD. Pasientene kan også tidligere ha mistet respons eller vært intolerante overfor infliksimab.</w:t>
      </w:r>
    </w:p>
    <w:p w14:paraId="7CF645A2" w14:textId="77777777" w:rsidR="002F0483" w:rsidRPr="009C5EFD" w:rsidRDefault="002F0483" w:rsidP="002F0483">
      <w:pPr>
        <w:rPr>
          <w:sz w:val="22"/>
          <w:szCs w:val="22"/>
        </w:rPr>
      </w:pPr>
    </w:p>
    <w:p w14:paraId="0EDA5F66" w14:textId="77777777" w:rsidR="002F0483" w:rsidRPr="009C5EFD" w:rsidRDefault="00E453CD" w:rsidP="002F0483">
      <w:pPr>
        <w:rPr>
          <w:sz w:val="22"/>
          <w:szCs w:val="22"/>
        </w:rPr>
      </w:pPr>
      <w:r w:rsidRPr="009C5EFD">
        <w:rPr>
          <w:sz w:val="22"/>
          <w:szCs w:val="22"/>
        </w:rPr>
        <w:t>Alle pasienter fikk åpen induksjonsbehandling med en dose basert på deres baseline kroppsvekt: 160 mg ved uke 0 og 80 mg ved uke 2 for pasienter ≥ 40 kg, og henholdsvis 80 mg og 40 mg for pasienter &lt; 40 kg.</w:t>
      </w:r>
    </w:p>
    <w:p w14:paraId="6A8A9628" w14:textId="77777777" w:rsidR="002F0483" w:rsidRPr="009C5EFD" w:rsidRDefault="002F0483" w:rsidP="002F0483">
      <w:pPr>
        <w:rPr>
          <w:sz w:val="22"/>
          <w:szCs w:val="22"/>
        </w:rPr>
      </w:pPr>
    </w:p>
    <w:p w14:paraId="61AF6F05" w14:textId="77777777" w:rsidR="002F0483" w:rsidRPr="009C5EFD" w:rsidRDefault="00E453CD" w:rsidP="002F0483">
      <w:pPr>
        <w:rPr>
          <w:sz w:val="22"/>
          <w:szCs w:val="22"/>
        </w:rPr>
      </w:pPr>
      <w:r w:rsidRPr="009C5EFD">
        <w:rPr>
          <w:sz w:val="22"/>
          <w:szCs w:val="22"/>
        </w:rPr>
        <w:t xml:space="preserve">Ved uke 4 ble pasientene randomisert til vedlikeholdsbehandling 1:1 basert på deres kroppsvekt til enten lav dose eller standard dose som vist i tabell </w:t>
      </w:r>
      <w:r>
        <w:rPr>
          <w:sz w:val="22"/>
          <w:szCs w:val="22"/>
        </w:rPr>
        <w:t>28</w:t>
      </w:r>
      <w:r w:rsidRPr="009C5EFD">
        <w:rPr>
          <w:sz w:val="22"/>
          <w:szCs w:val="22"/>
        </w:rPr>
        <w:t>.</w:t>
      </w:r>
    </w:p>
    <w:p w14:paraId="224301A3" w14:textId="77777777" w:rsidR="002F0483" w:rsidRPr="009C5EFD" w:rsidRDefault="002F0483" w:rsidP="002F0483">
      <w:pPr>
        <w:rPr>
          <w:sz w:val="22"/>
          <w:szCs w:val="22"/>
        </w:rPr>
      </w:pPr>
    </w:p>
    <w:tbl>
      <w:tblPr>
        <w:tblW w:w="0" w:type="auto"/>
        <w:jc w:val="center"/>
        <w:tblLook w:val="01E0" w:firstRow="1" w:lastRow="1" w:firstColumn="1" w:lastColumn="1" w:noHBand="0" w:noVBand="0"/>
      </w:tblPr>
      <w:tblGrid>
        <w:gridCol w:w="1359"/>
        <w:gridCol w:w="2116"/>
        <w:gridCol w:w="2116"/>
      </w:tblGrid>
      <w:tr w:rsidR="004644D4" w14:paraId="544ED3BB" w14:textId="77777777" w:rsidTr="001C4BD6">
        <w:trPr>
          <w:trHeight w:val="263"/>
          <w:jc w:val="center"/>
        </w:trPr>
        <w:tc>
          <w:tcPr>
            <w:tcW w:w="0" w:type="auto"/>
            <w:gridSpan w:val="3"/>
          </w:tcPr>
          <w:p w14:paraId="7FA2967D" w14:textId="77777777" w:rsidR="002F0483" w:rsidRPr="009C5EFD" w:rsidRDefault="00E453CD" w:rsidP="001C4BD6">
            <w:pPr>
              <w:pStyle w:val="EMEANormal"/>
              <w:keepNext/>
              <w:jc w:val="center"/>
              <w:rPr>
                <w:b/>
                <w:szCs w:val="24"/>
                <w:lang w:val="en-GB"/>
              </w:rPr>
            </w:pPr>
            <w:r w:rsidRPr="009C5EFD">
              <w:rPr>
                <w:b/>
                <w:szCs w:val="24"/>
                <w:lang w:val="en-GB"/>
              </w:rPr>
              <w:t xml:space="preserve">Tabell </w:t>
            </w:r>
            <w:r>
              <w:rPr>
                <w:b/>
                <w:szCs w:val="24"/>
                <w:lang w:val="en-GB"/>
              </w:rPr>
              <w:t>28</w:t>
            </w:r>
          </w:p>
          <w:p w14:paraId="1B74362B" w14:textId="77777777" w:rsidR="002F0483" w:rsidRPr="009C5EFD" w:rsidRDefault="00E453CD" w:rsidP="001C4BD6">
            <w:pPr>
              <w:pStyle w:val="EMEANormal"/>
              <w:keepNext/>
              <w:jc w:val="center"/>
              <w:rPr>
                <w:szCs w:val="24"/>
                <w:lang w:val="en-GB"/>
              </w:rPr>
            </w:pPr>
            <w:r w:rsidRPr="009C5EFD">
              <w:rPr>
                <w:b/>
                <w:szCs w:val="24"/>
                <w:lang w:val="en-GB"/>
              </w:rPr>
              <w:t>Vedlikeholdsbehandling</w:t>
            </w:r>
          </w:p>
        </w:tc>
      </w:tr>
      <w:tr w:rsidR="004644D4" w14:paraId="2C3E48E6" w14:textId="77777777" w:rsidTr="001C4B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Pr>
          <w:p w14:paraId="6F1D8B0A" w14:textId="77777777" w:rsidR="002F0483" w:rsidRPr="00193D76" w:rsidRDefault="00E453CD" w:rsidP="001C4BD6">
            <w:pPr>
              <w:pStyle w:val="EMEANormal"/>
              <w:jc w:val="center"/>
              <w:rPr>
                <w:b/>
                <w:szCs w:val="24"/>
                <w:lang w:val="en-GB"/>
              </w:rPr>
            </w:pPr>
            <w:r w:rsidRPr="007F67EE">
              <w:rPr>
                <w:b/>
                <w:szCs w:val="24"/>
                <w:lang w:val="en-GB"/>
              </w:rPr>
              <w:t>Pasient vekt</w:t>
            </w:r>
          </w:p>
        </w:tc>
        <w:tc>
          <w:tcPr>
            <w:tcW w:w="0" w:type="auto"/>
          </w:tcPr>
          <w:p w14:paraId="5B6C043B" w14:textId="77777777" w:rsidR="002F0483" w:rsidRPr="00C07C98" w:rsidRDefault="00E453CD" w:rsidP="001C4BD6">
            <w:pPr>
              <w:pStyle w:val="EMEANormal"/>
              <w:jc w:val="center"/>
              <w:rPr>
                <w:b/>
                <w:szCs w:val="24"/>
                <w:lang w:val="en-GB"/>
              </w:rPr>
            </w:pPr>
            <w:r w:rsidRPr="002D0790">
              <w:rPr>
                <w:b/>
                <w:szCs w:val="24"/>
                <w:lang w:val="en-GB"/>
              </w:rPr>
              <w:t>Lav dose</w:t>
            </w:r>
          </w:p>
        </w:tc>
        <w:tc>
          <w:tcPr>
            <w:tcW w:w="0" w:type="auto"/>
          </w:tcPr>
          <w:p w14:paraId="59EB202D" w14:textId="77777777" w:rsidR="002F0483" w:rsidRPr="00E14E58" w:rsidRDefault="00E453CD" w:rsidP="001C4BD6">
            <w:pPr>
              <w:pStyle w:val="EMEANormal"/>
              <w:jc w:val="center"/>
              <w:rPr>
                <w:b/>
                <w:szCs w:val="24"/>
                <w:lang w:val="en-GB"/>
              </w:rPr>
            </w:pPr>
            <w:r w:rsidRPr="00E14E58">
              <w:rPr>
                <w:b/>
                <w:szCs w:val="24"/>
                <w:lang w:val="en-GB"/>
              </w:rPr>
              <w:t>Standard dose</w:t>
            </w:r>
          </w:p>
        </w:tc>
      </w:tr>
      <w:tr w:rsidR="004644D4" w14:paraId="2BD7193F" w14:textId="77777777" w:rsidTr="001C4B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Pr>
          <w:p w14:paraId="6C7F5E44" w14:textId="77777777" w:rsidR="002F0483" w:rsidRPr="00C07C98" w:rsidRDefault="00E453CD" w:rsidP="001C4BD6">
            <w:pPr>
              <w:pStyle w:val="EMEANormal"/>
              <w:jc w:val="center"/>
              <w:rPr>
                <w:szCs w:val="24"/>
                <w:lang w:val="en-GB"/>
              </w:rPr>
            </w:pPr>
            <w:r w:rsidRPr="007F67EE">
              <w:rPr>
                <w:szCs w:val="24"/>
                <w:lang w:val="en-GB"/>
              </w:rPr>
              <w:t>&lt; </w:t>
            </w:r>
            <w:r w:rsidRPr="00193D76">
              <w:rPr>
                <w:szCs w:val="24"/>
                <w:lang w:val="en-GB"/>
              </w:rPr>
              <w:t>40</w:t>
            </w:r>
            <w:r w:rsidRPr="00C07C98">
              <w:rPr>
                <w:szCs w:val="24"/>
                <w:lang w:val="en-GB"/>
              </w:rPr>
              <w:t> kg</w:t>
            </w:r>
          </w:p>
        </w:tc>
        <w:tc>
          <w:tcPr>
            <w:tcW w:w="0" w:type="auto"/>
          </w:tcPr>
          <w:p w14:paraId="6D50582D" w14:textId="77777777" w:rsidR="002F0483" w:rsidRPr="009C5EFD" w:rsidRDefault="00E453CD" w:rsidP="001C4BD6">
            <w:pPr>
              <w:pStyle w:val="EMEANormal"/>
              <w:jc w:val="center"/>
              <w:rPr>
                <w:szCs w:val="24"/>
                <w:lang w:val="en-GB"/>
              </w:rPr>
            </w:pPr>
            <w:r w:rsidRPr="00E14E58">
              <w:rPr>
                <w:szCs w:val="24"/>
                <w:lang w:val="en-GB"/>
              </w:rPr>
              <w:t>10 mg annenhver uke</w:t>
            </w:r>
          </w:p>
        </w:tc>
        <w:tc>
          <w:tcPr>
            <w:tcW w:w="0" w:type="auto"/>
          </w:tcPr>
          <w:p w14:paraId="3E53B1C1" w14:textId="77777777" w:rsidR="002F0483" w:rsidRPr="009C5EFD" w:rsidRDefault="00E453CD" w:rsidP="001C4BD6">
            <w:pPr>
              <w:pStyle w:val="EMEANormal"/>
              <w:jc w:val="center"/>
              <w:rPr>
                <w:szCs w:val="24"/>
                <w:lang w:val="en-GB"/>
              </w:rPr>
            </w:pPr>
            <w:r w:rsidRPr="009C5EFD">
              <w:rPr>
                <w:szCs w:val="24"/>
                <w:lang w:val="en-GB"/>
              </w:rPr>
              <w:t>20 mg annenhver uke</w:t>
            </w:r>
          </w:p>
        </w:tc>
      </w:tr>
      <w:tr w:rsidR="004644D4" w14:paraId="58D47EC4" w14:textId="77777777" w:rsidTr="001C4B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Pr>
          <w:p w14:paraId="75F06172" w14:textId="77777777" w:rsidR="002F0483" w:rsidRPr="00C07C98" w:rsidRDefault="00E453CD" w:rsidP="001C4BD6">
            <w:pPr>
              <w:pStyle w:val="EMEANormal"/>
              <w:jc w:val="center"/>
              <w:rPr>
                <w:szCs w:val="24"/>
                <w:lang w:val="en-GB"/>
              </w:rPr>
            </w:pPr>
            <w:r w:rsidRPr="007F67EE">
              <w:rPr>
                <w:szCs w:val="24"/>
                <w:lang w:val="en-GB"/>
              </w:rPr>
              <w:t xml:space="preserve">≥ </w:t>
            </w:r>
            <w:r w:rsidRPr="00193D76">
              <w:rPr>
                <w:szCs w:val="24"/>
                <w:lang w:val="en-GB"/>
              </w:rPr>
              <w:t> </w:t>
            </w:r>
            <w:r w:rsidRPr="00C07C98">
              <w:rPr>
                <w:szCs w:val="24"/>
                <w:lang w:val="en-GB"/>
              </w:rPr>
              <w:t>40 kg</w:t>
            </w:r>
          </w:p>
        </w:tc>
        <w:tc>
          <w:tcPr>
            <w:tcW w:w="0" w:type="auto"/>
          </w:tcPr>
          <w:p w14:paraId="21D75145" w14:textId="77777777" w:rsidR="002F0483" w:rsidRPr="009C5EFD" w:rsidRDefault="00E453CD" w:rsidP="001C4BD6">
            <w:pPr>
              <w:pStyle w:val="EMEANormal"/>
              <w:jc w:val="center"/>
              <w:rPr>
                <w:szCs w:val="24"/>
                <w:lang w:val="en-GB"/>
              </w:rPr>
            </w:pPr>
            <w:r w:rsidRPr="00E14E58">
              <w:rPr>
                <w:szCs w:val="24"/>
                <w:lang w:val="en-GB"/>
              </w:rPr>
              <w:t>20 mg annenhver uke</w:t>
            </w:r>
          </w:p>
        </w:tc>
        <w:tc>
          <w:tcPr>
            <w:tcW w:w="0" w:type="auto"/>
          </w:tcPr>
          <w:p w14:paraId="5C558B79" w14:textId="77777777" w:rsidR="002F0483" w:rsidRPr="009C5EFD" w:rsidRDefault="00E453CD" w:rsidP="001C4BD6">
            <w:pPr>
              <w:pStyle w:val="EMEANormal"/>
              <w:jc w:val="center"/>
              <w:rPr>
                <w:szCs w:val="24"/>
                <w:lang w:val="en-GB"/>
              </w:rPr>
            </w:pPr>
            <w:r>
              <w:rPr>
                <w:szCs w:val="24"/>
                <w:lang w:val="en-GB"/>
              </w:rPr>
              <w:t>4</w:t>
            </w:r>
            <w:r w:rsidRPr="009C5EFD">
              <w:rPr>
                <w:szCs w:val="24"/>
                <w:lang w:val="en-GB"/>
              </w:rPr>
              <w:t>0 mg annenhver uke</w:t>
            </w:r>
          </w:p>
        </w:tc>
      </w:tr>
    </w:tbl>
    <w:p w14:paraId="6B100EED" w14:textId="77777777" w:rsidR="002F0483" w:rsidRPr="002D0790" w:rsidRDefault="002F0483" w:rsidP="002F0483">
      <w:pPr>
        <w:rPr>
          <w:sz w:val="22"/>
          <w:szCs w:val="22"/>
        </w:rPr>
      </w:pPr>
    </w:p>
    <w:p w14:paraId="62197F40" w14:textId="77777777" w:rsidR="002F0483" w:rsidRPr="00C07C98" w:rsidRDefault="00E453CD" w:rsidP="002F0483">
      <w:pPr>
        <w:pStyle w:val="Heading8"/>
        <w:rPr>
          <w:i/>
          <w:szCs w:val="22"/>
        </w:rPr>
      </w:pPr>
      <w:r>
        <w:rPr>
          <w:i/>
          <w:szCs w:val="22"/>
        </w:rPr>
        <w:t>Effektresultater</w:t>
      </w:r>
    </w:p>
    <w:p w14:paraId="07339C7C" w14:textId="77777777" w:rsidR="002F0483" w:rsidRPr="00E14E58" w:rsidRDefault="002F0483" w:rsidP="002F0483">
      <w:pPr>
        <w:pStyle w:val="Heading8"/>
        <w:rPr>
          <w:i/>
          <w:szCs w:val="22"/>
        </w:rPr>
      </w:pPr>
    </w:p>
    <w:p w14:paraId="6206F98B" w14:textId="77777777" w:rsidR="002F0483" w:rsidRPr="009C5EFD" w:rsidRDefault="00E453CD" w:rsidP="002F0483">
      <w:pPr>
        <w:pStyle w:val="Heading8"/>
        <w:keepNext w:val="0"/>
        <w:rPr>
          <w:szCs w:val="22"/>
          <w:u w:val="none"/>
        </w:rPr>
      </w:pPr>
      <w:r w:rsidRPr="009C5EFD">
        <w:rPr>
          <w:szCs w:val="22"/>
          <w:u w:val="none"/>
        </w:rPr>
        <w:t>Studiens primær endepunkt var klinisk remisjon ved uke 26, definert som PCDAI score ≤ 10.</w:t>
      </w:r>
    </w:p>
    <w:p w14:paraId="40A021B0" w14:textId="77777777" w:rsidR="002F0483" w:rsidRPr="009C5EFD" w:rsidRDefault="002F0483" w:rsidP="002F0483">
      <w:pPr>
        <w:pStyle w:val="Heading8"/>
        <w:keepNext w:val="0"/>
        <w:rPr>
          <w:szCs w:val="22"/>
          <w:u w:val="none"/>
        </w:rPr>
      </w:pPr>
    </w:p>
    <w:p w14:paraId="5A392EC2" w14:textId="77777777" w:rsidR="002F0483" w:rsidRPr="009C5EFD" w:rsidRDefault="00E453CD" w:rsidP="002F0483">
      <w:pPr>
        <w:pStyle w:val="Heading8"/>
        <w:keepNext w:val="0"/>
        <w:rPr>
          <w:szCs w:val="22"/>
          <w:u w:val="none"/>
        </w:rPr>
      </w:pPr>
      <w:r w:rsidRPr="009C5EFD">
        <w:rPr>
          <w:szCs w:val="22"/>
          <w:u w:val="none"/>
        </w:rPr>
        <w:t xml:space="preserve">Klinisk remisjon og klinisk respons (definert som reduksjon i PCDAI score på minst 15 poeng fra baseline) er presentert i tabell </w:t>
      </w:r>
      <w:r>
        <w:rPr>
          <w:szCs w:val="22"/>
          <w:u w:val="none"/>
        </w:rPr>
        <w:t>29</w:t>
      </w:r>
      <w:r w:rsidRPr="009C5EFD">
        <w:rPr>
          <w:szCs w:val="22"/>
          <w:u w:val="none"/>
        </w:rPr>
        <w:t xml:space="preserve">. Seponering av kortikosteroider eller immunmodulerende midler er presentert i tabell </w:t>
      </w:r>
      <w:r>
        <w:rPr>
          <w:szCs w:val="22"/>
          <w:u w:val="none"/>
        </w:rPr>
        <w:t>30</w:t>
      </w:r>
      <w:r w:rsidR="00355FBB">
        <w:rPr>
          <w:szCs w:val="22"/>
          <w:u w:val="none"/>
        </w:rPr>
        <w:t>.</w:t>
      </w:r>
    </w:p>
    <w:p w14:paraId="5EC3AFCD" w14:textId="77777777" w:rsidR="002F0483" w:rsidRPr="009C5EFD" w:rsidRDefault="002F0483" w:rsidP="002F0483">
      <w:pPr>
        <w:pStyle w:val="Heading8"/>
        <w:keepNext w:val="0"/>
        <w:rPr>
          <w:szCs w:val="22"/>
          <w:u w:val="none"/>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4644D4" w14:paraId="6811D83E" w14:textId="77777777" w:rsidTr="002F0483">
        <w:trPr>
          <w:jc w:val="center"/>
        </w:trPr>
        <w:tc>
          <w:tcPr>
            <w:tcW w:w="6673" w:type="dxa"/>
            <w:gridSpan w:val="4"/>
            <w:tcBorders>
              <w:top w:val="single" w:sz="6" w:space="0" w:color="000000"/>
              <w:left w:val="single" w:sz="6" w:space="0" w:color="000000"/>
              <w:bottom w:val="single" w:sz="6" w:space="0" w:color="000000"/>
              <w:right w:val="single" w:sz="6" w:space="0" w:color="000000"/>
            </w:tcBorders>
            <w:hideMark/>
          </w:tcPr>
          <w:p w14:paraId="143C37D2" w14:textId="77777777" w:rsidR="002F0483" w:rsidRPr="009C5EFD" w:rsidRDefault="00E453CD" w:rsidP="002F0483">
            <w:pPr>
              <w:keepNext/>
              <w:tabs>
                <w:tab w:val="left" w:pos="-878"/>
              </w:tabs>
              <w:autoSpaceDE w:val="0"/>
              <w:autoSpaceDN w:val="0"/>
              <w:adjustRightInd w:val="0"/>
              <w:ind w:left="17"/>
              <w:jc w:val="center"/>
              <w:rPr>
                <w:b/>
                <w:bCs/>
                <w:sz w:val="22"/>
                <w:szCs w:val="22"/>
              </w:rPr>
            </w:pPr>
            <w:r w:rsidRPr="009C5EFD">
              <w:rPr>
                <w:b/>
                <w:bCs/>
                <w:sz w:val="22"/>
                <w:szCs w:val="22"/>
              </w:rPr>
              <w:t xml:space="preserve">Tabell </w:t>
            </w:r>
            <w:r>
              <w:rPr>
                <w:b/>
                <w:bCs/>
                <w:sz w:val="22"/>
                <w:szCs w:val="22"/>
              </w:rPr>
              <w:t>29</w:t>
            </w:r>
          </w:p>
          <w:p w14:paraId="65363FCA" w14:textId="77777777" w:rsidR="002F0483" w:rsidRPr="009C5EFD" w:rsidRDefault="00E453CD" w:rsidP="002F0483">
            <w:pPr>
              <w:keepNext/>
              <w:tabs>
                <w:tab w:val="left" w:pos="-878"/>
              </w:tabs>
              <w:autoSpaceDE w:val="0"/>
              <w:autoSpaceDN w:val="0"/>
              <w:adjustRightInd w:val="0"/>
              <w:ind w:left="17"/>
              <w:jc w:val="center"/>
              <w:rPr>
                <w:b/>
                <w:bCs/>
                <w:sz w:val="22"/>
                <w:szCs w:val="22"/>
              </w:rPr>
            </w:pPr>
            <w:r w:rsidRPr="009C5EFD">
              <w:rPr>
                <w:b/>
                <w:bCs/>
                <w:sz w:val="22"/>
                <w:szCs w:val="22"/>
              </w:rPr>
              <w:t>Pediatrisk CD studie</w:t>
            </w:r>
          </w:p>
          <w:p w14:paraId="6D3A13AD" w14:textId="77777777" w:rsidR="002F0483" w:rsidRPr="009C5EFD" w:rsidRDefault="00E453CD" w:rsidP="002F0483">
            <w:pPr>
              <w:keepNext/>
              <w:tabs>
                <w:tab w:val="left" w:pos="-878"/>
              </w:tabs>
              <w:autoSpaceDE w:val="0"/>
              <w:autoSpaceDN w:val="0"/>
              <w:adjustRightInd w:val="0"/>
              <w:ind w:left="17"/>
              <w:jc w:val="center"/>
              <w:rPr>
                <w:b/>
                <w:bCs/>
                <w:sz w:val="22"/>
                <w:szCs w:val="22"/>
              </w:rPr>
            </w:pPr>
            <w:r w:rsidRPr="009C5EFD">
              <w:rPr>
                <w:b/>
                <w:bCs/>
                <w:sz w:val="22"/>
                <w:szCs w:val="22"/>
              </w:rPr>
              <w:t>PCDAI klinisk remisjon og respons</w:t>
            </w:r>
          </w:p>
        </w:tc>
      </w:tr>
      <w:tr w:rsidR="004644D4" w14:paraId="13C787A6"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tcPr>
          <w:p w14:paraId="0FA1C13B"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hideMark/>
          </w:tcPr>
          <w:p w14:paraId="4B7EADD4" w14:textId="77777777" w:rsidR="002F0483" w:rsidRPr="001F5D4B" w:rsidRDefault="00E453CD" w:rsidP="002F0483">
            <w:pPr>
              <w:keepLines/>
              <w:tabs>
                <w:tab w:val="left" w:pos="-1080"/>
              </w:tabs>
              <w:autoSpaceDE w:val="0"/>
              <w:autoSpaceDN w:val="0"/>
              <w:adjustRightInd w:val="0"/>
              <w:ind w:left="15"/>
              <w:jc w:val="center"/>
              <w:rPr>
                <w:b/>
                <w:bCs/>
                <w:sz w:val="22"/>
                <w:szCs w:val="22"/>
              </w:rPr>
            </w:pPr>
            <w:r w:rsidRPr="001F5D4B">
              <w:rPr>
                <w:b/>
                <w:bCs/>
                <w:sz w:val="22"/>
                <w:szCs w:val="22"/>
              </w:rPr>
              <w:t>Standard dose</w:t>
            </w:r>
          </w:p>
          <w:p w14:paraId="55DF7D19" w14:textId="77777777" w:rsidR="002F0483" w:rsidRPr="001F5D4B" w:rsidRDefault="00E453CD" w:rsidP="002F0483">
            <w:pPr>
              <w:keepLines/>
              <w:tabs>
                <w:tab w:val="left" w:pos="-1080"/>
              </w:tabs>
              <w:autoSpaceDE w:val="0"/>
              <w:autoSpaceDN w:val="0"/>
              <w:adjustRightInd w:val="0"/>
              <w:ind w:left="15"/>
              <w:jc w:val="center"/>
              <w:rPr>
                <w:b/>
                <w:bCs/>
                <w:sz w:val="22"/>
                <w:szCs w:val="22"/>
              </w:rPr>
            </w:pPr>
            <w:r w:rsidRPr="001F5D4B">
              <w:rPr>
                <w:b/>
                <w:bCs/>
                <w:sz w:val="22"/>
                <w:szCs w:val="22"/>
              </w:rPr>
              <w:t xml:space="preserve">40/20 mg annenhver uke </w:t>
            </w:r>
          </w:p>
          <w:p w14:paraId="79CF152D" w14:textId="77777777" w:rsidR="002F0483" w:rsidRPr="001F5D4B" w:rsidRDefault="00E453CD" w:rsidP="002F0483">
            <w:pPr>
              <w:keepLines/>
              <w:tabs>
                <w:tab w:val="left" w:pos="-1080"/>
              </w:tabs>
              <w:autoSpaceDE w:val="0"/>
              <w:autoSpaceDN w:val="0"/>
              <w:adjustRightInd w:val="0"/>
              <w:ind w:left="15"/>
              <w:jc w:val="center"/>
              <w:rPr>
                <w:b/>
                <w:bCs/>
                <w:sz w:val="22"/>
                <w:szCs w:val="22"/>
              </w:rPr>
            </w:pPr>
            <w:r w:rsidRPr="001F5D4B">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hideMark/>
          </w:tcPr>
          <w:p w14:paraId="186C4B2C"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Lav dose</w:t>
            </w:r>
          </w:p>
          <w:p w14:paraId="0D8C9926"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 xml:space="preserve">20/10 mg annenhver uke </w:t>
            </w:r>
          </w:p>
          <w:p w14:paraId="65DC0930" w14:textId="77777777" w:rsidR="002F0483" w:rsidRPr="009C5EFD" w:rsidRDefault="00E453CD" w:rsidP="002F0483">
            <w:pPr>
              <w:keepLines/>
              <w:tabs>
                <w:tab w:val="left" w:pos="-1080"/>
              </w:tabs>
              <w:autoSpaceDE w:val="0"/>
              <w:autoSpaceDN w:val="0"/>
              <w:adjustRightInd w:val="0"/>
              <w:ind w:left="15"/>
              <w:jc w:val="center"/>
              <w:rPr>
                <w:b/>
                <w:bCs/>
                <w:sz w:val="22"/>
                <w:szCs w:val="22"/>
              </w:rPr>
            </w:pPr>
            <w:r w:rsidRPr="009C5EFD">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hideMark/>
          </w:tcPr>
          <w:p w14:paraId="45597418"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b/>
                <w:bCs/>
                <w:sz w:val="22"/>
                <w:szCs w:val="22"/>
              </w:rPr>
              <w:t>P-verdi</w:t>
            </w:r>
            <w:r w:rsidRPr="009C5EFD">
              <w:rPr>
                <w:sz w:val="22"/>
                <w:szCs w:val="22"/>
              </w:rPr>
              <w:t>*</w:t>
            </w:r>
          </w:p>
        </w:tc>
      </w:tr>
      <w:tr w:rsidR="004644D4" w14:paraId="1C675903"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68ABB75B" w14:textId="77777777" w:rsidR="002F0483" w:rsidRPr="009C5EFD" w:rsidRDefault="00E453CD" w:rsidP="002F0483">
            <w:pPr>
              <w:keepLines/>
              <w:tabs>
                <w:tab w:val="left" w:pos="-1080"/>
              </w:tabs>
              <w:autoSpaceDE w:val="0"/>
              <w:autoSpaceDN w:val="0"/>
              <w:adjustRightInd w:val="0"/>
              <w:ind w:left="15"/>
              <w:rPr>
                <w:b/>
                <w:bCs/>
                <w:sz w:val="22"/>
                <w:szCs w:val="22"/>
              </w:rPr>
            </w:pPr>
            <w:r w:rsidRPr="009C5EFD">
              <w:rPr>
                <w:b/>
                <w:bCs/>
                <w:sz w:val="22"/>
                <w:szCs w:val="22"/>
              </w:rPr>
              <w:t>Uke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1EA605E9"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23D8C0A"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6E325803" w14:textId="77777777" w:rsidR="002F0483" w:rsidRPr="009C5EFD" w:rsidRDefault="002F0483" w:rsidP="002F0483">
            <w:pPr>
              <w:autoSpaceDE w:val="0"/>
              <w:autoSpaceDN w:val="0"/>
              <w:adjustRightInd w:val="0"/>
              <w:ind w:left="15"/>
              <w:rPr>
                <w:b/>
                <w:bCs/>
                <w:sz w:val="22"/>
                <w:szCs w:val="22"/>
              </w:rPr>
            </w:pPr>
          </w:p>
        </w:tc>
      </w:tr>
      <w:tr w:rsidR="004644D4" w14:paraId="19086FA3"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43CE8D8C"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remisjon</w:t>
            </w:r>
          </w:p>
        </w:tc>
        <w:tc>
          <w:tcPr>
            <w:tcW w:w="1614" w:type="dxa"/>
            <w:tcBorders>
              <w:top w:val="single" w:sz="6" w:space="0" w:color="000000"/>
              <w:left w:val="single" w:sz="6" w:space="0" w:color="000000"/>
              <w:bottom w:val="single" w:sz="6" w:space="0" w:color="000000"/>
              <w:right w:val="single" w:sz="6" w:space="0" w:color="000000"/>
            </w:tcBorders>
            <w:vAlign w:val="bottom"/>
            <w:hideMark/>
          </w:tcPr>
          <w:p w14:paraId="66191C4F"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38,7 %</w:t>
            </w:r>
          </w:p>
        </w:tc>
        <w:tc>
          <w:tcPr>
            <w:tcW w:w="1591" w:type="dxa"/>
            <w:tcBorders>
              <w:top w:val="single" w:sz="6" w:space="0" w:color="000000"/>
              <w:left w:val="single" w:sz="6" w:space="0" w:color="000000"/>
              <w:bottom w:val="single" w:sz="6" w:space="0" w:color="000000"/>
              <w:right w:val="single" w:sz="6" w:space="0" w:color="000000"/>
            </w:tcBorders>
            <w:vAlign w:val="bottom"/>
            <w:hideMark/>
          </w:tcPr>
          <w:p w14:paraId="6C5FE47A"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28,4 %</w:t>
            </w:r>
          </w:p>
        </w:tc>
        <w:tc>
          <w:tcPr>
            <w:tcW w:w="1147" w:type="dxa"/>
            <w:tcBorders>
              <w:top w:val="single" w:sz="6" w:space="0" w:color="000000"/>
              <w:left w:val="single" w:sz="6" w:space="0" w:color="000000"/>
              <w:bottom w:val="single" w:sz="6" w:space="0" w:color="000000"/>
              <w:right w:val="single" w:sz="6" w:space="0" w:color="000000"/>
            </w:tcBorders>
            <w:vAlign w:val="bottom"/>
            <w:hideMark/>
          </w:tcPr>
          <w:p w14:paraId="35CD1E19"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0,075</w:t>
            </w:r>
          </w:p>
        </w:tc>
      </w:tr>
      <w:tr w:rsidR="004644D4" w14:paraId="349FDE78"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hideMark/>
          </w:tcPr>
          <w:p w14:paraId="73AF8FC9"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respons </w:t>
            </w:r>
          </w:p>
        </w:tc>
        <w:tc>
          <w:tcPr>
            <w:tcW w:w="1614" w:type="dxa"/>
            <w:tcBorders>
              <w:top w:val="single" w:sz="6" w:space="0" w:color="000000"/>
              <w:left w:val="single" w:sz="6" w:space="0" w:color="000000"/>
              <w:bottom w:val="single" w:sz="6" w:space="0" w:color="000000"/>
              <w:right w:val="single" w:sz="6" w:space="0" w:color="000000"/>
            </w:tcBorders>
            <w:hideMark/>
          </w:tcPr>
          <w:p w14:paraId="312C0E7A"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59,1 %</w:t>
            </w:r>
          </w:p>
        </w:tc>
        <w:tc>
          <w:tcPr>
            <w:tcW w:w="1591" w:type="dxa"/>
            <w:tcBorders>
              <w:top w:val="single" w:sz="6" w:space="0" w:color="000000"/>
              <w:left w:val="single" w:sz="6" w:space="0" w:color="000000"/>
              <w:bottom w:val="single" w:sz="6" w:space="0" w:color="000000"/>
              <w:right w:val="single" w:sz="6" w:space="0" w:color="000000"/>
            </w:tcBorders>
            <w:hideMark/>
          </w:tcPr>
          <w:p w14:paraId="02342CED"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48,4 %</w:t>
            </w:r>
          </w:p>
        </w:tc>
        <w:tc>
          <w:tcPr>
            <w:tcW w:w="1147" w:type="dxa"/>
            <w:tcBorders>
              <w:top w:val="single" w:sz="6" w:space="0" w:color="000000"/>
              <w:left w:val="single" w:sz="6" w:space="0" w:color="000000"/>
              <w:bottom w:val="single" w:sz="6" w:space="0" w:color="000000"/>
              <w:right w:val="single" w:sz="6" w:space="0" w:color="000000"/>
            </w:tcBorders>
            <w:hideMark/>
          </w:tcPr>
          <w:p w14:paraId="26AC21F8"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0,073</w:t>
            </w:r>
          </w:p>
        </w:tc>
      </w:tr>
      <w:tr w:rsidR="004644D4" w14:paraId="42C07A97"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742674FC" w14:textId="77777777" w:rsidR="002F0483" w:rsidRPr="009C5EFD" w:rsidRDefault="00E453CD" w:rsidP="002F0483">
            <w:pPr>
              <w:keepLines/>
              <w:tabs>
                <w:tab w:val="left" w:pos="-1080"/>
              </w:tabs>
              <w:autoSpaceDE w:val="0"/>
              <w:autoSpaceDN w:val="0"/>
              <w:adjustRightInd w:val="0"/>
              <w:ind w:left="15"/>
              <w:rPr>
                <w:b/>
                <w:bCs/>
                <w:sz w:val="22"/>
                <w:szCs w:val="22"/>
              </w:rPr>
            </w:pPr>
            <w:r w:rsidRPr="009C5EFD">
              <w:rPr>
                <w:b/>
                <w:bCs/>
                <w:sz w:val="22"/>
                <w:szCs w:val="22"/>
              </w:rPr>
              <w:t>Uke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0262EE1F"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2855D76E" w14:textId="77777777" w:rsidR="002F0483" w:rsidRPr="009C5EFD" w:rsidRDefault="002F0483" w:rsidP="002F0483">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00366B56" w14:textId="77777777" w:rsidR="002F0483" w:rsidRPr="009C5EFD" w:rsidRDefault="002F0483" w:rsidP="002F0483">
            <w:pPr>
              <w:autoSpaceDE w:val="0"/>
              <w:autoSpaceDN w:val="0"/>
              <w:adjustRightInd w:val="0"/>
              <w:ind w:left="15"/>
              <w:rPr>
                <w:b/>
                <w:bCs/>
                <w:sz w:val="22"/>
                <w:szCs w:val="22"/>
              </w:rPr>
            </w:pPr>
          </w:p>
        </w:tc>
      </w:tr>
      <w:tr w:rsidR="004644D4" w14:paraId="72CC0820"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vAlign w:val="bottom"/>
            <w:hideMark/>
          </w:tcPr>
          <w:p w14:paraId="6D2BBD1C"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remisjon</w:t>
            </w:r>
          </w:p>
        </w:tc>
        <w:tc>
          <w:tcPr>
            <w:tcW w:w="1614" w:type="dxa"/>
            <w:tcBorders>
              <w:top w:val="single" w:sz="6" w:space="0" w:color="000000"/>
              <w:left w:val="single" w:sz="6" w:space="0" w:color="000000"/>
              <w:bottom w:val="single" w:sz="6" w:space="0" w:color="000000"/>
              <w:right w:val="single" w:sz="6" w:space="0" w:color="000000"/>
            </w:tcBorders>
            <w:vAlign w:val="bottom"/>
            <w:hideMark/>
          </w:tcPr>
          <w:p w14:paraId="4202C39F"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33,3 %</w:t>
            </w:r>
          </w:p>
        </w:tc>
        <w:tc>
          <w:tcPr>
            <w:tcW w:w="1591" w:type="dxa"/>
            <w:tcBorders>
              <w:top w:val="single" w:sz="6" w:space="0" w:color="000000"/>
              <w:left w:val="single" w:sz="6" w:space="0" w:color="000000"/>
              <w:bottom w:val="single" w:sz="6" w:space="0" w:color="000000"/>
              <w:right w:val="single" w:sz="6" w:space="0" w:color="000000"/>
            </w:tcBorders>
            <w:vAlign w:val="bottom"/>
            <w:hideMark/>
          </w:tcPr>
          <w:p w14:paraId="7F178CB1"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23,2 %</w:t>
            </w:r>
          </w:p>
        </w:tc>
        <w:tc>
          <w:tcPr>
            <w:tcW w:w="1147" w:type="dxa"/>
            <w:tcBorders>
              <w:top w:val="single" w:sz="6" w:space="0" w:color="000000"/>
              <w:left w:val="single" w:sz="6" w:space="0" w:color="000000"/>
              <w:bottom w:val="single" w:sz="6" w:space="0" w:color="000000"/>
              <w:right w:val="single" w:sz="6" w:space="0" w:color="000000"/>
            </w:tcBorders>
            <w:vAlign w:val="bottom"/>
            <w:hideMark/>
          </w:tcPr>
          <w:p w14:paraId="457D4BA6"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0,100</w:t>
            </w:r>
          </w:p>
        </w:tc>
      </w:tr>
      <w:tr w:rsidR="004644D4" w14:paraId="41CBADF4" w14:textId="77777777" w:rsidTr="002F0483">
        <w:trPr>
          <w:jc w:val="center"/>
        </w:trPr>
        <w:tc>
          <w:tcPr>
            <w:tcW w:w="2321" w:type="dxa"/>
            <w:tcBorders>
              <w:top w:val="single" w:sz="6" w:space="0" w:color="000000"/>
              <w:left w:val="single" w:sz="6" w:space="0" w:color="000000"/>
              <w:bottom w:val="single" w:sz="6" w:space="0" w:color="000000"/>
              <w:right w:val="single" w:sz="6" w:space="0" w:color="000000"/>
            </w:tcBorders>
            <w:hideMark/>
          </w:tcPr>
          <w:p w14:paraId="1860B840"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   Klinisk respons</w:t>
            </w:r>
          </w:p>
        </w:tc>
        <w:tc>
          <w:tcPr>
            <w:tcW w:w="1614" w:type="dxa"/>
            <w:tcBorders>
              <w:top w:val="single" w:sz="6" w:space="0" w:color="000000"/>
              <w:left w:val="single" w:sz="6" w:space="0" w:color="000000"/>
              <w:bottom w:val="single" w:sz="6" w:space="0" w:color="000000"/>
              <w:right w:val="single" w:sz="6" w:space="0" w:color="000000"/>
            </w:tcBorders>
            <w:hideMark/>
          </w:tcPr>
          <w:p w14:paraId="51893635"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41,9 %</w:t>
            </w:r>
          </w:p>
        </w:tc>
        <w:tc>
          <w:tcPr>
            <w:tcW w:w="1591" w:type="dxa"/>
            <w:tcBorders>
              <w:top w:val="single" w:sz="6" w:space="0" w:color="000000"/>
              <w:left w:val="single" w:sz="6" w:space="0" w:color="000000"/>
              <w:bottom w:val="single" w:sz="6" w:space="0" w:color="000000"/>
              <w:right w:val="single" w:sz="6" w:space="0" w:color="000000"/>
            </w:tcBorders>
            <w:hideMark/>
          </w:tcPr>
          <w:p w14:paraId="17F1699F"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28,4 %</w:t>
            </w:r>
          </w:p>
        </w:tc>
        <w:tc>
          <w:tcPr>
            <w:tcW w:w="1147" w:type="dxa"/>
            <w:tcBorders>
              <w:top w:val="single" w:sz="6" w:space="0" w:color="000000"/>
              <w:left w:val="single" w:sz="6" w:space="0" w:color="000000"/>
              <w:bottom w:val="single" w:sz="6" w:space="0" w:color="000000"/>
              <w:right w:val="single" w:sz="6" w:space="0" w:color="000000"/>
            </w:tcBorders>
            <w:hideMark/>
          </w:tcPr>
          <w:p w14:paraId="236DAE7D" w14:textId="77777777" w:rsidR="002F0483" w:rsidRPr="009C5EFD" w:rsidRDefault="00E453CD" w:rsidP="002F0483">
            <w:pPr>
              <w:keepLines/>
              <w:tabs>
                <w:tab w:val="left" w:pos="-1080"/>
              </w:tabs>
              <w:autoSpaceDE w:val="0"/>
              <w:autoSpaceDN w:val="0"/>
              <w:adjustRightInd w:val="0"/>
              <w:ind w:left="15"/>
              <w:jc w:val="center"/>
              <w:rPr>
                <w:sz w:val="22"/>
                <w:szCs w:val="22"/>
              </w:rPr>
            </w:pPr>
            <w:r w:rsidRPr="009C5EFD">
              <w:rPr>
                <w:sz w:val="22"/>
                <w:szCs w:val="22"/>
              </w:rPr>
              <w:t>0,038</w:t>
            </w:r>
          </w:p>
        </w:tc>
      </w:tr>
      <w:tr w:rsidR="004644D4" w14:paraId="6B19A6DF" w14:textId="77777777" w:rsidTr="002F0483">
        <w:trPr>
          <w:jc w:val="center"/>
        </w:trPr>
        <w:tc>
          <w:tcPr>
            <w:tcW w:w="6673" w:type="dxa"/>
            <w:gridSpan w:val="4"/>
            <w:tcBorders>
              <w:top w:val="single" w:sz="6" w:space="0" w:color="000000"/>
              <w:left w:val="single" w:sz="6" w:space="0" w:color="000000"/>
              <w:bottom w:val="single" w:sz="6" w:space="0" w:color="000000"/>
              <w:right w:val="single" w:sz="6" w:space="0" w:color="000000"/>
            </w:tcBorders>
            <w:hideMark/>
          </w:tcPr>
          <w:p w14:paraId="3DDD3A7D" w14:textId="77777777" w:rsidR="002F0483" w:rsidRPr="009C5EFD" w:rsidRDefault="00E453CD" w:rsidP="002F0483">
            <w:pPr>
              <w:keepLines/>
              <w:tabs>
                <w:tab w:val="left" w:pos="-1080"/>
              </w:tabs>
              <w:autoSpaceDE w:val="0"/>
              <w:autoSpaceDN w:val="0"/>
              <w:adjustRightInd w:val="0"/>
              <w:ind w:left="15"/>
              <w:rPr>
                <w:sz w:val="22"/>
                <w:szCs w:val="22"/>
              </w:rPr>
            </w:pPr>
            <w:r w:rsidRPr="009C5EFD">
              <w:rPr>
                <w:sz w:val="22"/>
                <w:szCs w:val="22"/>
              </w:rPr>
              <w:t xml:space="preserve">*p-verdi for standard dose </w:t>
            </w:r>
            <w:r w:rsidRPr="009C5EFD">
              <w:rPr>
                <w:i/>
                <w:iCs/>
                <w:sz w:val="22"/>
                <w:szCs w:val="22"/>
              </w:rPr>
              <w:t>versus</w:t>
            </w:r>
            <w:r w:rsidRPr="009C5EFD">
              <w:rPr>
                <w:sz w:val="22"/>
                <w:szCs w:val="22"/>
              </w:rPr>
              <w:t xml:space="preserve"> lav dose sammenligning.</w:t>
            </w:r>
          </w:p>
        </w:tc>
      </w:tr>
    </w:tbl>
    <w:p w14:paraId="5223B491" w14:textId="77777777" w:rsidR="002F0483" w:rsidRPr="009C5EFD" w:rsidRDefault="002F0483" w:rsidP="002F0483"/>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4644D4" w14:paraId="61BBCCEC" w14:textId="77777777" w:rsidTr="002F0483">
        <w:trPr>
          <w:jc w:val="center"/>
        </w:trPr>
        <w:tc>
          <w:tcPr>
            <w:tcW w:w="8440" w:type="dxa"/>
            <w:gridSpan w:val="4"/>
            <w:tcBorders>
              <w:top w:val="single" w:sz="6" w:space="0" w:color="000000"/>
              <w:left w:val="single" w:sz="6" w:space="0" w:color="000000"/>
              <w:bottom w:val="single" w:sz="6" w:space="0" w:color="000000"/>
              <w:right w:val="single" w:sz="6" w:space="0" w:color="000000"/>
            </w:tcBorders>
            <w:hideMark/>
          </w:tcPr>
          <w:p w14:paraId="3ED30CBF" w14:textId="77777777" w:rsidR="002F0483" w:rsidRPr="009C5EFD" w:rsidRDefault="00E453CD" w:rsidP="002F0483">
            <w:pPr>
              <w:keepNext/>
              <w:tabs>
                <w:tab w:val="left" w:pos="-878"/>
              </w:tabs>
              <w:autoSpaceDE w:val="0"/>
              <w:autoSpaceDN w:val="0"/>
              <w:adjustRightInd w:val="0"/>
              <w:jc w:val="center"/>
              <w:rPr>
                <w:b/>
                <w:bCs/>
                <w:sz w:val="22"/>
                <w:szCs w:val="22"/>
              </w:rPr>
            </w:pPr>
            <w:r w:rsidRPr="009C5EFD">
              <w:rPr>
                <w:b/>
                <w:bCs/>
                <w:sz w:val="22"/>
                <w:szCs w:val="22"/>
              </w:rPr>
              <w:lastRenderedPageBreak/>
              <w:t xml:space="preserve">Tabell </w:t>
            </w:r>
            <w:r>
              <w:rPr>
                <w:b/>
                <w:bCs/>
                <w:sz w:val="22"/>
                <w:szCs w:val="22"/>
              </w:rPr>
              <w:t>30</w:t>
            </w:r>
          </w:p>
          <w:p w14:paraId="419CCEB5" w14:textId="77777777" w:rsidR="002F0483" w:rsidRPr="009C5EFD" w:rsidRDefault="00E453CD" w:rsidP="002F0483">
            <w:pPr>
              <w:keepNext/>
              <w:tabs>
                <w:tab w:val="left" w:pos="-878"/>
              </w:tabs>
              <w:autoSpaceDE w:val="0"/>
              <w:autoSpaceDN w:val="0"/>
              <w:adjustRightInd w:val="0"/>
              <w:jc w:val="center"/>
              <w:rPr>
                <w:b/>
                <w:bCs/>
                <w:sz w:val="22"/>
                <w:szCs w:val="22"/>
              </w:rPr>
            </w:pPr>
            <w:r w:rsidRPr="009C5EFD">
              <w:rPr>
                <w:b/>
                <w:bCs/>
                <w:sz w:val="22"/>
                <w:szCs w:val="22"/>
              </w:rPr>
              <w:t>Pediatrisk CD studie</w:t>
            </w:r>
          </w:p>
          <w:p w14:paraId="37B2CEFF" w14:textId="77777777" w:rsidR="002F0483" w:rsidRPr="009C5EFD" w:rsidRDefault="00E453CD" w:rsidP="002F0483">
            <w:pPr>
              <w:keepNext/>
              <w:tabs>
                <w:tab w:val="left" w:pos="-878"/>
              </w:tabs>
              <w:autoSpaceDE w:val="0"/>
              <w:autoSpaceDN w:val="0"/>
              <w:adjustRightInd w:val="0"/>
              <w:jc w:val="center"/>
              <w:rPr>
                <w:b/>
                <w:bCs/>
                <w:sz w:val="22"/>
                <w:szCs w:val="22"/>
              </w:rPr>
            </w:pPr>
            <w:r w:rsidRPr="009C5EFD">
              <w:rPr>
                <w:b/>
                <w:bCs/>
                <w:sz w:val="22"/>
                <w:szCs w:val="22"/>
              </w:rPr>
              <w:t>Seponering av kortikosteroider eller immunmodulerende midler og fistel remisjon</w:t>
            </w:r>
          </w:p>
        </w:tc>
      </w:tr>
      <w:tr w:rsidR="004644D4" w14:paraId="259864A3"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tcPr>
          <w:p w14:paraId="7CB17417" w14:textId="77777777" w:rsidR="002F0483" w:rsidRPr="007F67EE" w:rsidRDefault="002F0483" w:rsidP="002F0483">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hideMark/>
          </w:tcPr>
          <w:p w14:paraId="3EBF87F2" w14:textId="77777777" w:rsidR="002F0483" w:rsidRPr="00193D76" w:rsidRDefault="00E453CD" w:rsidP="002F0483">
            <w:pPr>
              <w:keepNext/>
              <w:keepLines/>
              <w:tabs>
                <w:tab w:val="left" w:pos="-1080"/>
              </w:tabs>
              <w:autoSpaceDE w:val="0"/>
              <w:autoSpaceDN w:val="0"/>
              <w:adjustRightInd w:val="0"/>
              <w:ind w:left="15"/>
              <w:jc w:val="center"/>
              <w:rPr>
                <w:b/>
                <w:bCs/>
                <w:sz w:val="22"/>
                <w:szCs w:val="22"/>
              </w:rPr>
            </w:pPr>
            <w:r w:rsidRPr="00193D76">
              <w:rPr>
                <w:b/>
                <w:bCs/>
                <w:sz w:val="22"/>
                <w:szCs w:val="22"/>
              </w:rPr>
              <w:t>Standard dose</w:t>
            </w:r>
          </w:p>
          <w:p w14:paraId="54CF36D7" w14:textId="77777777" w:rsidR="002F0483" w:rsidRPr="00C07C98" w:rsidRDefault="00E453CD" w:rsidP="002F0483">
            <w:pPr>
              <w:keepNext/>
              <w:keepLines/>
              <w:tabs>
                <w:tab w:val="left" w:pos="-1080"/>
              </w:tabs>
              <w:autoSpaceDE w:val="0"/>
              <w:autoSpaceDN w:val="0"/>
              <w:adjustRightInd w:val="0"/>
              <w:ind w:left="15"/>
              <w:jc w:val="center"/>
              <w:rPr>
                <w:b/>
                <w:bCs/>
                <w:sz w:val="22"/>
                <w:szCs w:val="22"/>
              </w:rPr>
            </w:pPr>
            <w:r w:rsidRPr="002D0790">
              <w:rPr>
                <w:b/>
                <w:bCs/>
                <w:sz w:val="22"/>
                <w:szCs w:val="22"/>
              </w:rPr>
              <w:t>40/20</w:t>
            </w:r>
            <w:r w:rsidRPr="00C07C98">
              <w:rPr>
                <w:b/>
                <w:bCs/>
                <w:sz w:val="22"/>
                <w:szCs w:val="22"/>
              </w:rPr>
              <w:t xml:space="preserve"> mg annenhver uke </w:t>
            </w:r>
          </w:p>
        </w:tc>
        <w:tc>
          <w:tcPr>
            <w:tcW w:w="1619" w:type="dxa"/>
            <w:tcBorders>
              <w:top w:val="single" w:sz="6" w:space="0" w:color="000000"/>
              <w:left w:val="single" w:sz="6" w:space="0" w:color="000000"/>
              <w:bottom w:val="single" w:sz="6" w:space="0" w:color="000000"/>
              <w:right w:val="single" w:sz="6" w:space="0" w:color="000000"/>
            </w:tcBorders>
            <w:hideMark/>
          </w:tcPr>
          <w:p w14:paraId="2C77AD79" w14:textId="77777777" w:rsidR="002F0483" w:rsidRPr="00E14E58" w:rsidRDefault="00E453CD" w:rsidP="002F0483">
            <w:pPr>
              <w:keepNext/>
              <w:keepLines/>
              <w:tabs>
                <w:tab w:val="left" w:pos="-1080"/>
              </w:tabs>
              <w:autoSpaceDE w:val="0"/>
              <w:autoSpaceDN w:val="0"/>
              <w:adjustRightInd w:val="0"/>
              <w:ind w:left="15"/>
              <w:jc w:val="center"/>
              <w:rPr>
                <w:b/>
                <w:bCs/>
                <w:sz w:val="22"/>
                <w:szCs w:val="22"/>
              </w:rPr>
            </w:pPr>
            <w:r w:rsidRPr="00E14E58">
              <w:rPr>
                <w:b/>
                <w:bCs/>
                <w:sz w:val="22"/>
                <w:szCs w:val="22"/>
              </w:rPr>
              <w:t>Lav dose</w:t>
            </w:r>
          </w:p>
          <w:p w14:paraId="0646CCDC" w14:textId="77777777" w:rsidR="002F0483" w:rsidRPr="009C5EFD" w:rsidRDefault="00E453CD" w:rsidP="002F0483">
            <w:pPr>
              <w:keepNext/>
              <w:keepLines/>
              <w:tabs>
                <w:tab w:val="left" w:pos="-1080"/>
              </w:tabs>
              <w:autoSpaceDE w:val="0"/>
              <w:autoSpaceDN w:val="0"/>
              <w:adjustRightInd w:val="0"/>
              <w:ind w:left="15"/>
              <w:jc w:val="center"/>
              <w:rPr>
                <w:b/>
                <w:bCs/>
                <w:sz w:val="22"/>
                <w:szCs w:val="22"/>
              </w:rPr>
            </w:pPr>
            <w:r w:rsidRPr="009C5EFD">
              <w:rPr>
                <w:b/>
                <w:bCs/>
                <w:sz w:val="22"/>
                <w:szCs w:val="22"/>
              </w:rPr>
              <w:t xml:space="preserve">20/10 mg annenhver uke </w:t>
            </w:r>
          </w:p>
        </w:tc>
        <w:tc>
          <w:tcPr>
            <w:tcW w:w="1140" w:type="dxa"/>
            <w:tcBorders>
              <w:top w:val="single" w:sz="6" w:space="0" w:color="000000"/>
              <w:left w:val="single" w:sz="6" w:space="0" w:color="000000"/>
              <w:bottom w:val="single" w:sz="6" w:space="0" w:color="000000"/>
              <w:right w:val="single" w:sz="6" w:space="0" w:color="000000"/>
            </w:tcBorders>
            <w:hideMark/>
          </w:tcPr>
          <w:p w14:paraId="652DB57D" w14:textId="77777777" w:rsidR="002F0483" w:rsidRPr="009C5EFD" w:rsidRDefault="00E453CD" w:rsidP="002F0483">
            <w:pPr>
              <w:keepNext/>
              <w:keepLines/>
              <w:tabs>
                <w:tab w:val="left" w:pos="-1080"/>
              </w:tabs>
              <w:autoSpaceDE w:val="0"/>
              <w:autoSpaceDN w:val="0"/>
              <w:adjustRightInd w:val="0"/>
              <w:ind w:left="15"/>
              <w:jc w:val="center"/>
              <w:rPr>
                <w:b/>
                <w:bCs/>
                <w:sz w:val="22"/>
                <w:szCs w:val="22"/>
              </w:rPr>
            </w:pPr>
            <w:r w:rsidRPr="009C5EFD">
              <w:rPr>
                <w:b/>
                <w:bCs/>
                <w:sz w:val="22"/>
                <w:szCs w:val="22"/>
              </w:rPr>
              <w:t>P-verdi</w:t>
            </w:r>
            <w:r w:rsidRPr="009C5EFD">
              <w:rPr>
                <w:b/>
                <w:bCs/>
                <w:sz w:val="22"/>
                <w:szCs w:val="22"/>
                <w:vertAlign w:val="superscript"/>
              </w:rPr>
              <w:t>1</w:t>
            </w:r>
          </w:p>
        </w:tc>
      </w:tr>
      <w:tr w:rsidR="004644D4" w14:paraId="36ECFC4B"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62598E17" w14:textId="77777777" w:rsidR="002F0483" w:rsidRPr="007F67EE" w:rsidRDefault="00E453CD" w:rsidP="002F0483">
            <w:pPr>
              <w:keepNext/>
              <w:keepLines/>
              <w:tabs>
                <w:tab w:val="left" w:pos="-1080"/>
              </w:tabs>
              <w:autoSpaceDE w:val="0"/>
              <w:autoSpaceDN w:val="0"/>
              <w:adjustRightInd w:val="0"/>
              <w:rPr>
                <w:b/>
                <w:sz w:val="22"/>
                <w:szCs w:val="22"/>
              </w:rPr>
            </w:pPr>
            <w:r w:rsidRPr="007F67EE">
              <w:rPr>
                <w:b/>
                <w:sz w:val="22"/>
                <w:szCs w:val="22"/>
              </w:rPr>
              <w:t>Seponering av kortikosteroider</w:t>
            </w:r>
          </w:p>
        </w:tc>
        <w:tc>
          <w:tcPr>
            <w:tcW w:w="1656" w:type="dxa"/>
            <w:tcBorders>
              <w:top w:val="single" w:sz="6" w:space="0" w:color="000000"/>
              <w:left w:val="single" w:sz="6" w:space="0" w:color="000000"/>
              <w:bottom w:val="single" w:sz="6" w:space="0" w:color="000000"/>
              <w:right w:val="single" w:sz="6" w:space="0" w:color="000000"/>
            </w:tcBorders>
            <w:vAlign w:val="bottom"/>
            <w:hideMark/>
          </w:tcPr>
          <w:p w14:paraId="20ACF022" w14:textId="77777777" w:rsidR="002F0483" w:rsidRPr="00193D76" w:rsidRDefault="00E453CD" w:rsidP="002F0483">
            <w:pPr>
              <w:keepNext/>
              <w:keepLines/>
              <w:tabs>
                <w:tab w:val="left" w:pos="-1080"/>
              </w:tabs>
              <w:autoSpaceDE w:val="0"/>
              <w:autoSpaceDN w:val="0"/>
              <w:adjustRightInd w:val="0"/>
              <w:ind w:left="15"/>
              <w:jc w:val="center"/>
              <w:rPr>
                <w:b/>
                <w:sz w:val="22"/>
                <w:szCs w:val="22"/>
              </w:rPr>
            </w:pPr>
            <w:r w:rsidRPr="00193D76">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hideMark/>
          </w:tcPr>
          <w:p w14:paraId="258511C9" w14:textId="77777777" w:rsidR="002F0483" w:rsidRPr="002D0790" w:rsidRDefault="00E453CD" w:rsidP="002F0483">
            <w:pPr>
              <w:keepNext/>
              <w:keepLines/>
              <w:tabs>
                <w:tab w:val="left" w:pos="-1080"/>
              </w:tabs>
              <w:autoSpaceDE w:val="0"/>
              <w:autoSpaceDN w:val="0"/>
              <w:adjustRightInd w:val="0"/>
              <w:ind w:left="15"/>
              <w:jc w:val="center"/>
              <w:rPr>
                <w:b/>
                <w:sz w:val="22"/>
                <w:szCs w:val="22"/>
              </w:rPr>
            </w:pPr>
            <w:r w:rsidRPr="002D0790">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7D07FFCB" w14:textId="77777777" w:rsidR="002F0483" w:rsidRPr="00C07C98" w:rsidRDefault="002F0483" w:rsidP="002F0483">
            <w:pPr>
              <w:keepNext/>
              <w:autoSpaceDE w:val="0"/>
              <w:autoSpaceDN w:val="0"/>
              <w:adjustRightInd w:val="0"/>
              <w:ind w:left="15"/>
              <w:rPr>
                <w:b/>
                <w:sz w:val="22"/>
                <w:szCs w:val="22"/>
              </w:rPr>
            </w:pPr>
          </w:p>
        </w:tc>
      </w:tr>
      <w:tr w:rsidR="004644D4" w14:paraId="4BC1DB01"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3C97924D" w14:textId="77777777" w:rsidR="002F0483" w:rsidRPr="002D0790" w:rsidRDefault="00E453CD" w:rsidP="002F0483">
            <w:pPr>
              <w:keepNext/>
              <w:keepLines/>
              <w:tabs>
                <w:tab w:val="left" w:pos="-1080"/>
              </w:tabs>
              <w:autoSpaceDE w:val="0"/>
              <w:autoSpaceDN w:val="0"/>
              <w:adjustRightInd w:val="0"/>
              <w:rPr>
                <w:bCs/>
                <w:sz w:val="22"/>
                <w:szCs w:val="22"/>
              </w:rPr>
            </w:pPr>
            <w:r w:rsidRPr="00193D76">
              <w:rPr>
                <w:bCs/>
                <w:sz w:val="22"/>
                <w:szCs w:val="22"/>
              </w:rPr>
              <w:t>Uke </w:t>
            </w:r>
            <w:r w:rsidRPr="002D0790">
              <w:rPr>
                <w:bCs/>
                <w:sz w:val="22"/>
                <w:szCs w:val="22"/>
              </w:rPr>
              <w:t>26</w:t>
            </w:r>
          </w:p>
        </w:tc>
        <w:tc>
          <w:tcPr>
            <w:tcW w:w="1656" w:type="dxa"/>
            <w:tcBorders>
              <w:top w:val="single" w:sz="6" w:space="0" w:color="000000"/>
              <w:left w:val="single" w:sz="6" w:space="0" w:color="000000"/>
              <w:bottom w:val="single" w:sz="6" w:space="0" w:color="000000"/>
              <w:right w:val="single" w:sz="6" w:space="0" w:color="000000"/>
            </w:tcBorders>
            <w:vAlign w:val="bottom"/>
            <w:hideMark/>
          </w:tcPr>
          <w:p w14:paraId="1DD471A3" w14:textId="77777777" w:rsidR="002F0483" w:rsidRPr="00E14E58" w:rsidRDefault="00E453CD" w:rsidP="002F0483">
            <w:pPr>
              <w:keepNext/>
              <w:keepLines/>
              <w:tabs>
                <w:tab w:val="left" w:pos="-1080"/>
              </w:tabs>
              <w:autoSpaceDE w:val="0"/>
              <w:autoSpaceDN w:val="0"/>
              <w:adjustRightInd w:val="0"/>
              <w:ind w:left="15"/>
              <w:jc w:val="center"/>
              <w:rPr>
                <w:sz w:val="22"/>
                <w:szCs w:val="22"/>
              </w:rPr>
            </w:pPr>
            <w:r w:rsidRPr="00C07C98">
              <w:rPr>
                <w:sz w:val="22"/>
                <w:szCs w:val="22"/>
              </w:rPr>
              <w:t>84,8 %</w:t>
            </w:r>
          </w:p>
        </w:tc>
        <w:tc>
          <w:tcPr>
            <w:tcW w:w="1619" w:type="dxa"/>
            <w:tcBorders>
              <w:top w:val="single" w:sz="6" w:space="0" w:color="000000"/>
              <w:left w:val="single" w:sz="6" w:space="0" w:color="000000"/>
              <w:bottom w:val="single" w:sz="6" w:space="0" w:color="000000"/>
              <w:right w:val="single" w:sz="6" w:space="0" w:color="000000"/>
            </w:tcBorders>
            <w:vAlign w:val="bottom"/>
            <w:hideMark/>
          </w:tcPr>
          <w:p w14:paraId="7A182FA3"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rPr>
              <w:t>65,8 %</w:t>
            </w:r>
          </w:p>
        </w:tc>
        <w:tc>
          <w:tcPr>
            <w:tcW w:w="1140" w:type="dxa"/>
            <w:tcBorders>
              <w:top w:val="single" w:sz="6" w:space="0" w:color="000000"/>
              <w:left w:val="single" w:sz="6" w:space="0" w:color="000000"/>
              <w:bottom w:val="single" w:sz="6" w:space="0" w:color="000000"/>
              <w:right w:val="single" w:sz="6" w:space="0" w:color="000000"/>
            </w:tcBorders>
            <w:vAlign w:val="bottom"/>
            <w:hideMark/>
          </w:tcPr>
          <w:p w14:paraId="0CE86D9D"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rPr>
              <w:t>0,066</w:t>
            </w:r>
          </w:p>
        </w:tc>
      </w:tr>
      <w:tr w:rsidR="004644D4" w14:paraId="251D1BEE"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66FB8D54" w14:textId="77777777" w:rsidR="002F0483" w:rsidRPr="002D0790" w:rsidRDefault="00E453CD" w:rsidP="002F0483">
            <w:pPr>
              <w:keepNext/>
              <w:keepLines/>
              <w:tabs>
                <w:tab w:val="left" w:pos="-1080"/>
              </w:tabs>
              <w:autoSpaceDE w:val="0"/>
              <w:autoSpaceDN w:val="0"/>
              <w:adjustRightInd w:val="0"/>
              <w:rPr>
                <w:bCs/>
                <w:sz w:val="22"/>
                <w:szCs w:val="22"/>
              </w:rPr>
            </w:pPr>
            <w:r w:rsidRPr="00193D76">
              <w:rPr>
                <w:bCs/>
                <w:sz w:val="22"/>
                <w:szCs w:val="22"/>
              </w:rPr>
              <w:t>Uke </w:t>
            </w:r>
            <w:r w:rsidRPr="002D0790">
              <w:rPr>
                <w:bCs/>
                <w:sz w:val="22"/>
                <w:szCs w:val="22"/>
              </w:rPr>
              <w:t>52</w:t>
            </w:r>
          </w:p>
        </w:tc>
        <w:tc>
          <w:tcPr>
            <w:tcW w:w="1656" w:type="dxa"/>
            <w:tcBorders>
              <w:top w:val="single" w:sz="6" w:space="0" w:color="000000"/>
              <w:left w:val="single" w:sz="6" w:space="0" w:color="000000"/>
              <w:bottom w:val="single" w:sz="6" w:space="0" w:color="000000"/>
              <w:right w:val="single" w:sz="6" w:space="0" w:color="000000"/>
            </w:tcBorders>
            <w:hideMark/>
          </w:tcPr>
          <w:p w14:paraId="5B69B2CB" w14:textId="77777777" w:rsidR="002F0483" w:rsidRPr="00E14E58" w:rsidRDefault="00E453CD" w:rsidP="002F0483">
            <w:pPr>
              <w:keepNext/>
              <w:keepLines/>
              <w:tabs>
                <w:tab w:val="left" w:pos="-1080"/>
              </w:tabs>
              <w:autoSpaceDE w:val="0"/>
              <w:autoSpaceDN w:val="0"/>
              <w:adjustRightInd w:val="0"/>
              <w:ind w:left="15"/>
              <w:jc w:val="center"/>
              <w:rPr>
                <w:sz w:val="22"/>
                <w:szCs w:val="22"/>
              </w:rPr>
            </w:pPr>
            <w:r w:rsidRPr="00C07C98">
              <w:rPr>
                <w:sz w:val="22"/>
                <w:szCs w:val="22"/>
              </w:rPr>
              <w:t>69,7 %</w:t>
            </w:r>
          </w:p>
        </w:tc>
        <w:tc>
          <w:tcPr>
            <w:tcW w:w="1619" w:type="dxa"/>
            <w:tcBorders>
              <w:top w:val="single" w:sz="6" w:space="0" w:color="000000"/>
              <w:left w:val="single" w:sz="6" w:space="0" w:color="000000"/>
              <w:bottom w:val="single" w:sz="6" w:space="0" w:color="000000"/>
              <w:right w:val="single" w:sz="6" w:space="0" w:color="000000"/>
            </w:tcBorders>
            <w:hideMark/>
          </w:tcPr>
          <w:p w14:paraId="00FD0971"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rPr>
              <w:t>60,5 %</w:t>
            </w:r>
          </w:p>
        </w:tc>
        <w:tc>
          <w:tcPr>
            <w:tcW w:w="1140" w:type="dxa"/>
            <w:tcBorders>
              <w:top w:val="single" w:sz="6" w:space="0" w:color="000000"/>
              <w:left w:val="single" w:sz="6" w:space="0" w:color="000000"/>
              <w:bottom w:val="single" w:sz="6" w:space="0" w:color="000000"/>
              <w:right w:val="single" w:sz="6" w:space="0" w:color="000000"/>
            </w:tcBorders>
            <w:vAlign w:val="bottom"/>
            <w:hideMark/>
          </w:tcPr>
          <w:p w14:paraId="065FD28D"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rPr>
              <w:t>0,420</w:t>
            </w:r>
          </w:p>
        </w:tc>
      </w:tr>
      <w:tr w:rsidR="004644D4" w14:paraId="4F0A7A9E"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vAlign w:val="bottom"/>
            <w:hideMark/>
          </w:tcPr>
          <w:p w14:paraId="68C53AFB" w14:textId="77777777" w:rsidR="002F0483" w:rsidRPr="00C07C98" w:rsidRDefault="00E453CD" w:rsidP="002F0483">
            <w:pPr>
              <w:keepNext/>
              <w:keepLines/>
              <w:tabs>
                <w:tab w:val="left" w:pos="-1080"/>
              </w:tabs>
              <w:autoSpaceDE w:val="0"/>
              <w:autoSpaceDN w:val="0"/>
              <w:adjustRightInd w:val="0"/>
              <w:rPr>
                <w:b/>
                <w:sz w:val="22"/>
                <w:szCs w:val="22"/>
              </w:rPr>
            </w:pPr>
            <w:r w:rsidRPr="007F67EE">
              <w:rPr>
                <w:b/>
                <w:sz w:val="22"/>
                <w:szCs w:val="22"/>
              </w:rPr>
              <w:t>Seponering av immunm</w:t>
            </w:r>
            <w:r w:rsidRPr="00193D76">
              <w:rPr>
                <w:b/>
                <w:sz w:val="22"/>
                <w:szCs w:val="22"/>
              </w:rPr>
              <w:t>odulerende midler</w:t>
            </w:r>
            <w:r w:rsidRPr="002D0790">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hideMark/>
          </w:tcPr>
          <w:p w14:paraId="71748E9A" w14:textId="77777777" w:rsidR="002F0483" w:rsidRPr="00E14E58" w:rsidRDefault="00E453CD" w:rsidP="002F0483">
            <w:pPr>
              <w:keepNext/>
              <w:keepLines/>
              <w:tabs>
                <w:tab w:val="left" w:pos="-1080"/>
              </w:tabs>
              <w:autoSpaceDE w:val="0"/>
              <w:autoSpaceDN w:val="0"/>
              <w:adjustRightInd w:val="0"/>
              <w:ind w:left="15"/>
              <w:jc w:val="center"/>
              <w:rPr>
                <w:b/>
                <w:sz w:val="22"/>
                <w:szCs w:val="22"/>
              </w:rPr>
            </w:pPr>
            <w:r w:rsidRPr="00E14E58">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hideMark/>
          </w:tcPr>
          <w:p w14:paraId="1F8FA32E" w14:textId="77777777" w:rsidR="002F0483" w:rsidRPr="009C5EFD" w:rsidRDefault="00E453CD" w:rsidP="002F0483">
            <w:pPr>
              <w:keepNext/>
              <w:keepLines/>
              <w:tabs>
                <w:tab w:val="left" w:pos="-1080"/>
              </w:tabs>
              <w:autoSpaceDE w:val="0"/>
              <w:autoSpaceDN w:val="0"/>
              <w:adjustRightInd w:val="0"/>
              <w:ind w:left="15"/>
              <w:jc w:val="center"/>
              <w:rPr>
                <w:b/>
                <w:sz w:val="22"/>
                <w:szCs w:val="22"/>
              </w:rPr>
            </w:pPr>
            <w:r w:rsidRPr="009C5EFD">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6473F1A7" w14:textId="77777777" w:rsidR="002F0483" w:rsidRPr="009C5EFD" w:rsidRDefault="002F0483" w:rsidP="002F0483">
            <w:pPr>
              <w:keepNext/>
              <w:autoSpaceDE w:val="0"/>
              <w:autoSpaceDN w:val="0"/>
              <w:adjustRightInd w:val="0"/>
              <w:ind w:left="15"/>
              <w:rPr>
                <w:b/>
                <w:sz w:val="22"/>
                <w:szCs w:val="22"/>
              </w:rPr>
            </w:pPr>
          </w:p>
        </w:tc>
      </w:tr>
      <w:tr w:rsidR="004644D4" w14:paraId="20B28AFC"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hideMark/>
          </w:tcPr>
          <w:p w14:paraId="600EEF44" w14:textId="77777777" w:rsidR="002F0483" w:rsidRPr="002D0790" w:rsidRDefault="00E453CD" w:rsidP="002F0483">
            <w:pPr>
              <w:keepNext/>
              <w:keepLines/>
              <w:tabs>
                <w:tab w:val="left" w:pos="-1080"/>
              </w:tabs>
              <w:autoSpaceDE w:val="0"/>
              <w:autoSpaceDN w:val="0"/>
              <w:adjustRightInd w:val="0"/>
              <w:rPr>
                <w:bCs/>
                <w:sz w:val="22"/>
                <w:szCs w:val="22"/>
              </w:rPr>
            </w:pPr>
            <w:r w:rsidRPr="00193D76">
              <w:rPr>
                <w:bCs/>
                <w:sz w:val="22"/>
                <w:szCs w:val="22"/>
              </w:rPr>
              <w:t>Uke </w:t>
            </w:r>
            <w:r w:rsidRPr="002D0790">
              <w:rPr>
                <w:bCs/>
                <w:sz w:val="22"/>
                <w:szCs w:val="22"/>
              </w:rPr>
              <w:t>52</w:t>
            </w:r>
          </w:p>
        </w:tc>
        <w:tc>
          <w:tcPr>
            <w:tcW w:w="1656" w:type="dxa"/>
            <w:tcBorders>
              <w:top w:val="single" w:sz="6" w:space="0" w:color="000000"/>
              <w:left w:val="single" w:sz="6" w:space="0" w:color="000000"/>
              <w:bottom w:val="single" w:sz="6" w:space="0" w:color="000000"/>
              <w:right w:val="single" w:sz="6" w:space="0" w:color="000000"/>
            </w:tcBorders>
            <w:hideMark/>
          </w:tcPr>
          <w:p w14:paraId="37FDE4D0" w14:textId="77777777" w:rsidR="002F0483" w:rsidRPr="00E14E58" w:rsidRDefault="00E453CD" w:rsidP="002F0483">
            <w:pPr>
              <w:keepNext/>
              <w:keepLines/>
              <w:tabs>
                <w:tab w:val="left" w:pos="-1080"/>
              </w:tabs>
              <w:autoSpaceDE w:val="0"/>
              <w:autoSpaceDN w:val="0"/>
              <w:adjustRightInd w:val="0"/>
              <w:ind w:left="15"/>
              <w:jc w:val="center"/>
              <w:rPr>
                <w:sz w:val="22"/>
                <w:szCs w:val="22"/>
              </w:rPr>
            </w:pPr>
            <w:r w:rsidRPr="00C07C98">
              <w:rPr>
                <w:sz w:val="22"/>
                <w:szCs w:val="22"/>
              </w:rPr>
              <w:t>30,0 %</w:t>
            </w:r>
          </w:p>
        </w:tc>
        <w:tc>
          <w:tcPr>
            <w:tcW w:w="1619" w:type="dxa"/>
            <w:tcBorders>
              <w:top w:val="single" w:sz="6" w:space="0" w:color="000000"/>
              <w:left w:val="single" w:sz="6" w:space="0" w:color="000000"/>
              <w:bottom w:val="single" w:sz="6" w:space="0" w:color="000000"/>
              <w:right w:val="single" w:sz="6" w:space="0" w:color="000000"/>
            </w:tcBorders>
            <w:hideMark/>
          </w:tcPr>
          <w:p w14:paraId="223FC2A0"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rPr>
              <w:t>29,8 %</w:t>
            </w:r>
          </w:p>
        </w:tc>
        <w:tc>
          <w:tcPr>
            <w:tcW w:w="1140" w:type="dxa"/>
            <w:tcBorders>
              <w:top w:val="single" w:sz="6" w:space="0" w:color="000000"/>
              <w:left w:val="single" w:sz="6" w:space="0" w:color="000000"/>
              <w:bottom w:val="single" w:sz="6" w:space="0" w:color="000000"/>
              <w:right w:val="single" w:sz="6" w:space="0" w:color="000000"/>
            </w:tcBorders>
            <w:hideMark/>
          </w:tcPr>
          <w:p w14:paraId="031A3D69"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rPr>
              <w:t>0,983</w:t>
            </w:r>
          </w:p>
        </w:tc>
      </w:tr>
      <w:tr w:rsidR="004644D4" w14:paraId="3E3A5535"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hideMark/>
          </w:tcPr>
          <w:p w14:paraId="7C8AB4F8" w14:textId="77777777" w:rsidR="002F0483" w:rsidRPr="002D0790" w:rsidRDefault="00E453CD" w:rsidP="002F0483">
            <w:pPr>
              <w:keepNext/>
              <w:keepLines/>
              <w:tabs>
                <w:tab w:val="left" w:pos="-1080"/>
              </w:tabs>
              <w:autoSpaceDE w:val="0"/>
              <w:autoSpaceDN w:val="0"/>
              <w:adjustRightInd w:val="0"/>
              <w:rPr>
                <w:b/>
                <w:bCs/>
                <w:sz w:val="22"/>
                <w:szCs w:val="22"/>
              </w:rPr>
            </w:pPr>
            <w:r w:rsidRPr="007F67EE">
              <w:rPr>
                <w:b/>
                <w:sz w:val="22"/>
                <w:szCs w:val="22"/>
                <w:lang w:val="en-GB"/>
              </w:rPr>
              <w:t>Fistel remisjon</w:t>
            </w:r>
            <w:r w:rsidRPr="00193D76">
              <w:rPr>
                <w:b/>
                <w:sz w:val="22"/>
                <w:szCs w:val="22"/>
                <w:vertAlign w:val="superscript"/>
                <w:lang w:val="en-GB"/>
              </w:rPr>
              <w:t>3</w:t>
            </w:r>
          </w:p>
        </w:tc>
        <w:tc>
          <w:tcPr>
            <w:tcW w:w="1656" w:type="dxa"/>
            <w:tcBorders>
              <w:top w:val="single" w:sz="6" w:space="0" w:color="000000"/>
              <w:left w:val="single" w:sz="6" w:space="0" w:color="000000"/>
              <w:bottom w:val="single" w:sz="6" w:space="0" w:color="000000"/>
              <w:right w:val="single" w:sz="6" w:space="0" w:color="000000"/>
            </w:tcBorders>
            <w:hideMark/>
          </w:tcPr>
          <w:p w14:paraId="704D939D" w14:textId="77777777" w:rsidR="002F0483" w:rsidRPr="00C07C98" w:rsidRDefault="00E453CD" w:rsidP="002F0483">
            <w:pPr>
              <w:keepNext/>
              <w:keepLines/>
              <w:tabs>
                <w:tab w:val="left" w:pos="-1080"/>
              </w:tabs>
              <w:autoSpaceDE w:val="0"/>
              <w:autoSpaceDN w:val="0"/>
              <w:adjustRightInd w:val="0"/>
              <w:ind w:left="15"/>
              <w:jc w:val="center"/>
              <w:rPr>
                <w:b/>
                <w:sz w:val="22"/>
                <w:szCs w:val="22"/>
              </w:rPr>
            </w:pPr>
            <w:r w:rsidRPr="00C07C98">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hideMark/>
          </w:tcPr>
          <w:p w14:paraId="6B24E23F" w14:textId="77777777" w:rsidR="002F0483" w:rsidRPr="00E14E58" w:rsidRDefault="00E453CD" w:rsidP="002F0483">
            <w:pPr>
              <w:keepNext/>
              <w:keepLines/>
              <w:tabs>
                <w:tab w:val="left" w:pos="-1080"/>
              </w:tabs>
              <w:autoSpaceDE w:val="0"/>
              <w:autoSpaceDN w:val="0"/>
              <w:adjustRightInd w:val="0"/>
              <w:ind w:left="15"/>
              <w:jc w:val="center"/>
              <w:rPr>
                <w:b/>
                <w:sz w:val="22"/>
                <w:szCs w:val="22"/>
              </w:rPr>
            </w:pPr>
            <w:r w:rsidRPr="00E14E58">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0108809A" w14:textId="77777777" w:rsidR="002F0483" w:rsidRPr="009C5EFD" w:rsidRDefault="002F0483" w:rsidP="002F0483">
            <w:pPr>
              <w:keepNext/>
              <w:keepLines/>
              <w:tabs>
                <w:tab w:val="left" w:pos="-1080"/>
              </w:tabs>
              <w:autoSpaceDE w:val="0"/>
              <w:autoSpaceDN w:val="0"/>
              <w:adjustRightInd w:val="0"/>
              <w:ind w:left="15"/>
              <w:jc w:val="center"/>
              <w:rPr>
                <w:sz w:val="22"/>
                <w:szCs w:val="22"/>
              </w:rPr>
            </w:pPr>
          </w:p>
        </w:tc>
      </w:tr>
      <w:tr w:rsidR="004644D4" w14:paraId="3F4769CC" w14:textId="77777777" w:rsidTr="002F0483">
        <w:trPr>
          <w:jc w:val="center"/>
        </w:trPr>
        <w:tc>
          <w:tcPr>
            <w:tcW w:w="4025" w:type="dxa"/>
            <w:tcBorders>
              <w:top w:val="single" w:sz="6" w:space="0" w:color="000000"/>
              <w:left w:val="single" w:sz="6" w:space="0" w:color="000000"/>
              <w:bottom w:val="single" w:sz="6" w:space="0" w:color="000000"/>
              <w:right w:val="single" w:sz="6" w:space="0" w:color="000000"/>
            </w:tcBorders>
            <w:hideMark/>
          </w:tcPr>
          <w:p w14:paraId="5EE3B41C" w14:textId="77777777" w:rsidR="002F0483" w:rsidRPr="002D0790" w:rsidRDefault="00E453CD" w:rsidP="002F0483">
            <w:pPr>
              <w:keepNext/>
              <w:keepLines/>
              <w:tabs>
                <w:tab w:val="left" w:pos="-1080"/>
              </w:tabs>
              <w:autoSpaceDE w:val="0"/>
              <w:autoSpaceDN w:val="0"/>
              <w:adjustRightInd w:val="0"/>
              <w:rPr>
                <w:bCs/>
                <w:sz w:val="22"/>
                <w:szCs w:val="22"/>
              </w:rPr>
            </w:pPr>
            <w:r w:rsidRPr="00193D76">
              <w:rPr>
                <w:bCs/>
                <w:sz w:val="22"/>
                <w:szCs w:val="22"/>
              </w:rPr>
              <w:t>Uke </w:t>
            </w:r>
            <w:r w:rsidRPr="002D0790">
              <w:rPr>
                <w:bCs/>
                <w:sz w:val="22"/>
                <w:szCs w:val="22"/>
              </w:rPr>
              <w:t>26</w:t>
            </w:r>
          </w:p>
        </w:tc>
        <w:tc>
          <w:tcPr>
            <w:tcW w:w="1656" w:type="dxa"/>
            <w:tcBorders>
              <w:top w:val="single" w:sz="6" w:space="0" w:color="000000"/>
              <w:left w:val="single" w:sz="6" w:space="0" w:color="000000"/>
              <w:bottom w:val="single" w:sz="6" w:space="0" w:color="000000"/>
              <w:right w:val="single" w:sz="6" w:space="0" w:color="000000"/>
            </w:tcBorders>
            <w:hideMark/>
          </w:tcPr>
          <w:p w14:paraId="60818404" w14:textId="77777777" w:rsidR="002F0483" w:rsidRPr="00E14E58" w:rsidRDefault="00E453CD" w:rsidP="002F0483">
            <w:pPr>
              <w:keepNext/>
              <w:keepLines/>
              <w:tabs>
                <w:tab w:val="left" w:pos="-1080"/>
              </w:tabs>
              <w:autoSpaceDE w:val="0"/>
              <w:autoSpaceDN w:val="0"/>
              <w:adjustRightInd w:val="0"/>
              <w:ind w:left="15"/>
              <w:jc w:val="center"/>
              <w:rPr>
                <w:sz w:val="22"/>
                <w:szCs w:val="22"/>
              </w:rPr>
            </w:pPr>
            <w:r w:rsidRPr="00C07C98">
              <w:rPr>
                <w:sz w:val="22"/>
                <w:szCs w:val="22"/>
                <w:lang w:val="en-GB"/>
              </w:rPr>
              <w:t>46,7 %</w:t>
            </w:r>
          </w:p>
        </w:tc>
        <w:tc>
          <w:tcPr>
            <w:tcW w:w="1619" w:type="dxa"/>
            <w:tcBorders>
              <w:top w:val="single" w:sz="6" w:space="0" w:color="000000"/>
              <w:left w:val="single" w:sz="6" w:space="0" w:color="000000"/>
              <w:bottom w:val="single" w:sz="6" w:space="0" w:color="000000"/>
              <w:right w:val="single" w:sz="6" w:space="0" w:color="000000"/>
            </w:tcBorders>
            <w:hideMark/>
          </w:tcPr>
          <w:p w14:paraId="63B2723B"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lang w:val="en-GB"/>
              </w:rPr>
              <w:t>38,1 %</w:t>
            </w:r>
          </w:p>
        </w:tc>
        <w:tc>
          <w:tcPr>
            <w:tcW w:w="1140" w:type="dxa"/>
            <w:tcBorders>
              <w:top w:val="single" w:sz="6" w:space="0" w:color="000000"/>
              <w:left w:val="single" w:sz="6" w:space="0" w:color="000000"/>
              <w:bottom w:val="single" w:sz="6" w:space="0" w:color="000000"/>
              <w:right w:val="single" w:sz="6" w:space="0" w:color="000000"/>
            </w:tcBorders>
            <w:hideMark/>
          </w:tcPr>
          <w:p w14:paraId="4FD52709" w14:textId="77777777" w:rsidR="002F0483" w:rsidRPr="009C5EFD" w:rsidRDefault="00E453CD" w:rsidP="002F0483">
            <w:pPr>
              <w:keepNext/>
              <w:keepLines/>
              <w:tabs>
                <w:tab w:val="left" w:pos="-1080"/>
              </w:tabs>
              <w:autoSpaceDE w:val="0"/>
              <w:autoSpaceDN w:val="0"/>
              <w:adjustRightInd w:val="0"/>
              <w:ind w:left="15"/>
              <w:jc w:val="center"/>
              <w:rPr>
                <w:sz w:val="22"/>
                <w:szCs w:val="22"/>
              </w:rPr>
            </w:pPr>
            <w:r w:rsidRPr="009C5EFD">
              <w:rPr>
                <w:sz w:val="22"/>
                <w:szCs w:val="22"/>
                <w:lang w:val="en-GB"/>
              </w:rPr>
              <w:t>0,608</w:t>
            </w:r>
          </w:p>
        </w:tc>
      </w:tr>
      <w:tr w:rsidR="004644D4" w14:paraId="0CE36A56" w14:textId="77777777" w:rsidTr="002F0483">
        <w:trPr>
          <w:jc w:val="center"/>
        </w:trPr>
        <w:tc>
          <w:tcPr>
            <w:tcW w:w="4025" w:type="dxa"/>
            <w:tcBorders>
              <w:top w:val="single" w:sz="6" w:space="0" w:color="000000"/>
              <w:left w:val="single" w:sz="6" w:space="0" w:color="000000"/>
              <w:bottom w:val="single" w:sz="4" w:space="0" w:color="auto"/>
              <w:right w:val="single" w:sz="6" w:space="0" w:color="000000"/>
            </w:tcBorders>
            <w:hideMark/>
          </w:tcPr>
          <w:p w14:paraId="31B295AC" w14:textId="77777777" w:rsidR="002F0483" w:rsidRPr="00C07C98" w:rsidRDefault="00E453CD" w:rsidP="002F0483">
            <w:pPr>
              <w:keepNext/>
              <w:keepLines/>
              <w:tabs>
                <w:tab w:val="left" w:pos="-1080"/>
              </w:tabs>
              <w:autoSpaceDE w:val="0"/>
              <w:autoSpaceDN w:val="0"/>
              <w:adjustRightInd w:val="0"/>
              <w:rPr>
                <w:bCs/>
                <w:sz w:val="22"/>
                <w:szCs w:val="22"/>
              </w:rPr>
            </w:pPr>
            <w:r w:rsidRPr="00193D76">
              <w:rPr>
                <w:sz w:val="22"/>
                <w:szCs w:val="22"/>
                <w:lang w:val="en-GB"/>
              </w:rPr>
              <w:t>Uke </w:t>
            </w:r>
            <w:r w:rsidRPr="002D0790">
              <w:rPr>
                <w:sz w:val="22"/>
                <w:szCs w:val="22"/>
                <w:lang w:val="en-GB"/>
              </w:rPr>
              <w:t>52</w:t>
            </w:r>
          </w:p>
        </w:tc>
        <w:tc>
          <w:tcPr>
            <w:tcW w:w="1656" w:type="dxa"/>
            <w:tcBorders>
              <w:top w:val="single" w:sz="6" w:space="0" w:color="000000"/>
              <w:left w:val="single" w:sz="6" w:space="0" w:color="000000"/>
              <w:bottom w:val="single" w:sz="4" w:space="0" w:color="auto"/>
              <w:right w:val="single" w:sz="6" w:space="0" w:color="000000"/>
            </w:tcBorders>
            <w:hideMark/>
          </w:tcPr>
          <w:p w14:paraId="2B24A3CE" w14:textId="77777777" w:rsidR="002F0483" w:rsidRPr="009C5EFD" w:rsidRDefault="00E453CD" w:rsidP="002F0483">
            <w:pPr>
              <w:keepNext/>
              <w:keepLines/>
              <w:tabs>
                <w:tab w:val="left" w:pos="-1080"/>
              </w:tabs>
              <w:autoSpaceDE w:val="0"/>
              <w:autoSpaceDN w:val="0"/>
              <w:adjustRightInd w:val="0"/>
              <w:ind w:left="15"/>
              <w:jc w:val="center"/>
              <w:rPr>
                <w:sz w:val="22"/>
                <w:szCs w:val="22"/>
                <w:lang w:val="en-GB"/>
              </w:rPr>
            </w:pPr>
            <w:r w:rsidRPr="00E14E58">
              <w:rPr>
                <w:sz w:val="22"/>
                <w:szCs w:val="22"/>
                <w:lang w:val="en-GB"/>
              </w:rPr>
              <w:t>40,0</w:t>
            </w:r>
            <w:r w:rsidRPr="009C5EFD">
              <w:rPr>
                <w:sz w:val="22"/>
                <w:szCs w:val="22"/>
                <w:lang w:val="en-GB"/>
              </w:rPr>
              <w:t> %</w:t>
            </w:r>
          </w:p>
        </w:tc>
        <w:tc>
          <w:tcPr>
            <w:tcW w:w="1619" w:type="dxa"/>
            <w:tcBorders>
              <w:top w:val="single" w:sz="6" w:space="0" w:color="000000"/>
              <w:left w:val="single" w:sz="6" w:space="0" w:color="000000"/>
              <w:bottom w:val="single" w:sz="4" w:space="0" w:color="auto"/>
              <w:right w:val="single" w:sz="6" w:space="0" w:color="000000"/>
            </w:tcBorders>
            <w:hideMark/>
          </w:tcPr>
          <w:p w14:paraId="37ACD1C8" w14:textId="77777777" w:rsidR="002F0483" w:rsidRPr="009C5EFD" w:rsidRDefault="00E453CD" w:rsidP="002F0483">
            <w:pPr>
              <w:keepNext/>
              <w:keepLines/>
              <w:tabs>
                <w:tab w:val="left" w:pos="-1080"/>
              </w:tabs>
              <w:autoSpaceDE w:val="0"/>
              <w:autoSpaceDN w:val="0"/>
              <w:adjustRightInd w:val="0"/>
              <w:ind w:left="15"/>
              <w:jc w:val="center"/>
              <w:rPr>
                <w:sz w:val="22"/>
                <w:szCs w:val="22"/>
                <w:lang w:val="en-GB"/>
              </w:rPr>
            </w:pPr>
            <w:r w:rsidRPr="009C5EFD">
              <w:rPr>
                <w:sz w:val="22"/>
                <w:szCs w:val="22"/>
                <w:lang w:val="en-GB"/>
              </w:rPr>
              <w:t>23,8 %</w:t>
            </w:r>
          </w:p>
        </w:tc>
        <w:tc>
          <w:tcPr>
            <w:tcW w:w="1140" w:type="dxa"/>
            <w:tcBorders>
              <w:top w:val="single" w:sz="6" w:space="0" w:color="000000"/>
              <w:left w:val="single" w:sz="6" w:space="0" w:color="000000"/>
              <w:bottom w:val="single" w:sz="4" w:space="0" w:color="auto"/>
              <w:right w:val="single" w:sz="6" w:space="0" w:color="000000"/>
            </w:tcBorders>
            <w:hideMark/>
          </w:tcPr>
          <w:p w14:paraId="7BF8A51E" w14:textId="77777777" w:rsidR="002F0483" w:rsidRPr="009C5EFD" w:rsidRDefault="00E453CD" w:rsidP="002F0483">
            <w:pPr>
              <w:keepNext/>
              <w:keepLines/>
              <w:tabs>
                <w:tab w:val="left" w:pos="-1080"/>
              </w:tabs>
              <w:autoSpaceDE w:val="0"/>
              <w:autoSpaceDN w:val="0"/>
              <w:adjustRightInd w:val="0"/>
              <w:ind w:left="15"/>
              <w:jc w:val="center"/>
              <w:rPr>
                <w:sz w:val="22"/>
                <w:szCs w:val="22"/>
                <w:lang w:val="en-GB"/>
              </w:rPr>
            </w:pPr>
            <w:r w:rsidRPr="009C5EFD">
              <w:rPr>
                <w:sz w:val="22"/>
                <w:szCs w:val="22"/>
                <w:lang w:val="en-GB"/>
              </w:rPr>
              <w:t>0,303</w:t>
            </w:r>
          </w:p>
        </w:tc>
      </w:tr>
      <w:tr w:rsidR="004644D4" w14:paraId="309522EB" w14:textId="77777777" w:rsidTr="002F0483">
        <w:trPr>
          <w:trHeight w:val="177"/>
          <w:jc w:val="center"/>
        </w:trPr>
        <w:tc>
          <w:tcPr>
            <w:tcW w:w="8440" w:type="dxa"/>
            <w:gridSpan w:val="4"/>
            <w:tcBorders>
              <w:top w:val="single" w:sz="4" w:space="0" w:color="auto"/>
              <w:left w:val="nil"/>
              <w:bottom w:val="nil"/>
              <w:right w:val="nil"/>
            </w:tcBorders>
            <w:hideMark/>
          </w:tcPr>
          <w:p w14:paraId="0B73113B" w14:textId="77777777" w:rsidR="002F0483" w:rsidRPr="00C07C98" w:rsidRDefault="00E453CD" w:rsidP="002F0483">
            <w:pPr>
              <w:keepNext/>
              <w:keepLines/>
              <w:tabs>
                <w:tab w:val="left" w:pos="-1080"/>
              </w:tabs>
              <w:autoSpaceDE w:val="0"/>
              <w:autoSpaceDN w:val="0"/>
              <w:adjustRightInd w:val="0"/>
              <w:rPr>
                <w:sz w:val="22"/>
                <w:szCs w:val="22"/>
              </w:rPr>
            </w:pPr>
            <w:r w:rsidRPr="007F67EE">
              <w:rPr>
                <w:sz w:val="22"/>
                <w:szCs w:val="22"/>
                <w:vertAlign w:val="superscript"/>
              </w:rPr>
              <w:t>1</w:t>
            </w:r>
            <w:r w:rsidRPr="00193D76">
              <w:rPr>
                <w:sz w:val="22"/>
                <w:szCs w:val="22"/>
              </w:rPr>
              <w:t xml:space="preserve">  p-verdi for standard dose </w:t>
            </w:r>
            <w:r w:rsidRPr="002D0790">
              <w:rPr>
                <w:i/>
                <w:iCs/>
                <w:sz w:val="22"/>
                <w:szCs w:val="22"/>
              </w:rPr>
              <w:t>versus</w:t>
            </w:r>
            <w:r w:rsidRPr="00C07C98">
              <w:rPr>
                <w:sz w:val="22"/>
                <w:szCs w:val="22"/>
              </w:rPr>
              <w:t xml:space="preserve"> lav dose sammenligning.</w:t>
            </w:r>
          </w:p>
          <w:p w14:paraId="5868A972" w14:textId="77777777" w:rsidR="002F0483" w:rsidRPr="009C5EFD" w:rsidRDefault="00E453CD" w:rsidP="002F0483">
            <w:pPr>
              <w:keepNext/>
              <w:keepLines/>
              <w:tabs>
                <w:tab w:val="left" w:pos="-1080"/>
              </w:tabs>
              <w:autoSpaceDE w:val="0"/>
              <w:autoSpaceDN w:val="0"/>
              <w:adjustRightInd w:val="0"/>
              <w:rPr>
                <w:sz w:val="22"/>
                <w:szCs w:val="22"/>
              </w:rPr>
            </w:pPr>
            <w:r w:rsidRPr="00E14E58">
              <w:rPr>
                <w:sz w:val="22"/>
                <w:szCs w:val="22"/>
                <w:vertAlign w:val="superscript"/>
              </w:rPr>
              <w:t>2</w:t>
            </w:r>
            <w:r w:rsidRPr="009C5EFD">
              <w:rPr>
                <w:sz w:val="22"/>
                <w:szCs w:val="22"/>
              </w:rPr>
              <w:t xml:space="preserve">  Immunsuppressiv behandling kunne bare bli seponert ved eller etter uke 26 ved utprøvers diskresjon hvis pasienten oppfylte kriteriet for klinisk respons </w:t>
            </w:r>
          </w:p>
          <w:p w14:paraId="42397047" w14:textId="77777777" w:rsidR="002F0483" w:rsidRPr="009C5EFD" w:rsidRDefault="00E453CD" w:rsidP="002F0483">
            <w:pPr>
              <w:keepNext/>
              <w:keepLines/>
              <w:tabs>
                <w:tab w:val="left" w:pos="-1080"/>
              </w:tabs>
              <w:autoSpaceDE w:val="0"/>
              <w:autoSpaceDN w:val="0"/>
              <w:adjustRightInd w:val="0"/>
              <w:rPr>
                <w:sz w:val="22"/>
                <w:szCs w:val="22"/>
              </w:rPr>
            </w:pPr>
            <w:r w:rsidRPr="009C5EFD">
              <w:rPr>
                <w:sz w:val="22"/>
                <w:szCs w:val="22"/>
                <w:vertAlign w:val="superscript"/>
              </w:rPr>
              <w:t>3</w:t>
            </w:r>
            <w:r w:rsidRPr="009C5EFD">
              <w:rPr>
                <w:sz w:val="22"/>
                <w:szCs w:val="22"/>
              </w:rPr>
              <w:t xml:space="preserve">  definert som en lukking av alle fistler som ble drenert ved baseline på minst 2 påfølgende post-baseline besøk</w:t>
            </w:r>
          </w:p>
        </w:tc>
      </w:tr>
    </w:tbl>
    <w:p w14:paraId="64696404" w14:textId="77777777" w:rsidR="002F0483" w:rsidRPr="007F67EE" w:rsidRDefault="002F0483" w:rsidP="002F0483">
      <w:pPr>
        <w:pStyle w:val="Heading8"/>
        <w:keepNext w:val="0"/>
        <w:rPr>
          <w:szCs w:val="22"/>
        </w:rPr>
      </w:pPr>
    </w:p>
    <w:p w14:paraId="3A2ED4B4" w14:textId="77777777" w:rsidR="002F0483" w:rsidRPr="00C07C98" w:rsidRDefault="00E453CD" w:rsidP="002F0483">
      <w:pPr>
        <w:pStyle w:val="Heading8"/>
        <w:keepNext w:val="0"/>
        <w:rPr>
          <w:szCs w:val="22"/>
          <w:u w:val="none"/>
        </w:rPr>
      </w:pPr>
      <w:r w:rsidRPr="00193D76">
        <w:rPr>
          <w:szCs w:val="22"/>
          <w:u w:val="none"/>
        </w:rPr>
        <w:t>Statis</w:t>
      </w:r>
      <w:r w:rsidRPr="002D0790">
        <w:rPr>
          <w:szCs w:val="22"/>
          <w:u w:val="none"/>
        </w:rPr>
        <w:t xml:space="preserve">tisk signifikant økning (forbedring) fra baseline til </w:t>
      </w:r>
      <w:r w:rsidRPr="00C07C98">
        <w:rPr>
          <w:szCs w:val="22"/>
          <w:u w:val="none"/>
        </w:rPr>
        <w:t>uke 26 og 52 i Body Mass Index og veksthastighet ble observert for begge behandlingsgrupper.</w:t>
      </w:r>
    </w:p>
    <w:p w14:paraId="31A2E2C5" w14:textId="77777777" w:rsidR="002F0483" w:rsidRPr="00E14E58" w:rsidRDefault="002F0483" w:rsidP="002F0483">
      <w:pPr>
        <w:pStyle w:val="Heading8"/>
        <w:keepNext w:val="0"/>
        <w:rPr>
          <w:szCs w:val="22"/>
          <w:u w:val="none"/>
        </w:rPr>
      </w:pPr>
    </w:p>
    <w:p w14:paraId="50E27030" w14:textId="77777777" w:rsidR="002F0483" w:rsidRPr="009C5EFD" w:rsidRDefault="00E453CD" w:rsidP="002F0483">
      <w:pPr>
        <w:pStyle w:val="Heading8"/>
        <w:keepNext w:val="0"/>
        <w:rPr>
          <w:szCs w:val="22"/>
        </w:rPr>
      </w:pPr>
      <w:r w:rsidRPr="009C5EFD">
        <w:rPr>
          <w:szCs w:val="22"/>
          <w:u w:val="none"/>
        </w:rPr>
        <w:t>Statistisk og klinisk signifikant forbedring fra baseline ble også observert i begge behandlingsgrupper for parametre innen livskvalitet (inkludert IMPACT III).</w:t>
      </w:r>
    </w:p>
    <w:p w14:paraId="19F6CC5D" w14:textId="77777777" w:rsidR="002F0483" w:rsidRDefault="002F0483" w:rsidP="002F0483">
      <w:pPr>
        <w:suppressAutoHyphens/>
        <w:rPr>
          <w:sz w:val="22"/>
          <w:szCs w:val="22"/>
        </w:rPr>
      </w:pPr>
    </w:p>
    <w:p w14:paraId="2C0AC6FB" w14:textId="77777777" w:rsidR="002F0483" w:rsidRPr="00940AAC" w:rsidRDefault="00E453CD" w:rsidP="002F0483">
      <w:pPr>
        <w:suppressAutoHyphens/>
        <w:rPr>
          <w:sz w:val="22"/>
          <w:szCs w:val="22"/>
        </w:rPr>
      </w:pPr>
      <w:r w:rsidRPr="00940AAC">
        <w:rPr>
          <w:sz w:val="22"/>
          <w:szCs w:val="22"/>
        </w:rPr>
        <w:t xml:space="preserve">Ett hundre pasienter (n=100) </w:t>
      </w:r>
      <w:r>
        <w:rPr>
          <w:sz w:val="22"/>
          <w:szCs w:val="22"/>
        </w:rPr>
        <w:t>fra</w:t>
      </w:r>
      <w:r w:rsidRPr="00940AAC">
        <w:rPr>
          <w:sz w:val="22"/>
          <w:szCs w:val="22"/>
        </w:rPr>
        <w:t xml:space="preserve"> Pediatrisk CD</w:t>
      </w:r>
      <w:r>
        <w:rPr>
          <w:sz w:val="22"/>
          <w:szCs w:val="22"/>
        </w:rPr>
        <w:t xml:space="preserve"> </w:t>
      </w:r>
      <w:r w:rsidRPr="00940AAC">
        <w:rPr>
          <w:sz w:val="22"/>
          <w:szCs w:val="22"/>
        </w:rPr>
        <w:t>studie</w:t>
      </w:r>
      <w:r>
        <w:rPr>
          <w:sz w:val="22"/>
          <w:szCs w:val="22"/>
        </w:rPr>
        <w:t>n</w:t>
      </w:r>
      <w:r w:rsidRPr="00940AAC">
        <w:rPr>
          <w:sz w:val="22"/>
          <w:szCs w:val="22"/>
        </w:rPr>
        <w:t xml:space="preserve"> fortsatte i en </w:t>
      </w:r>
      <w:r>
        <w:rPr>
          <w:sz w:val="22"/>
          <w:szCs w:val="22"/>
        </w:rPr>
        <w:t>åpen,</w:t>
      </w:r>
      <w:r w:rsidRPr="00940AAC">
        <w:rPr>
          <w:sz w:val="22"/>
          <w:szCs w:val="22"/>
        </w:rPr>
        <w:t xml:space="preserve"> langtids</w:t>
      </w:r>
      <w:r>
        <w:rPr>
          <w:sz w:val="22"/>
          <w:szCs w:val="22"/>
        </w:rPr>
        <w:t xml:space="preserve">-, </w:t>
      </w:r>
      <w:r w:rsidRPr="00940AAC">
        <w:rPr>
          <w:sz w:val="22"/>
          <w:szCs w:val="22"/>
        </w:rPr>
        <w:t xml:space="preserve">forlengelsesstudie. Etter 5 år med adalimumab-behandling var 74 % (37/50) av de 50 gjenværende </w:t>
      </w:r>
      <w:r>
        <w:rPr>
          <w:sz w:val="22"/>
          <w:szCs w:val="22"/>
        </w:rPr>
        <w:t xml:space="preserve">pasientene </w:t>
      </w:r>
      <w:r w:rsidRPr="00940AAC">
        <w:rPr>
          <w:sz w:val="22"/>
          <w:szCs w:val="22"/>
        </w:rPr>
        <w:t>i studien for</w:t>
      </w:r>
      <w:r>
        <w:rPr>
          <w:sz w:val="22"/>
          <w:szCs w:val="22"/>
        </w:rPr>
        <w:t>t</w:t>
      </w:r>
      <w:r w:rsidRPr="00940AAC">
        <w:rPr>
          <w:sz w:val="22"/>
          <w:szCs w:val="22"/>
        </w:rPr>
        <w:t>satt i klinisk remisjon og 92 % (46/50) av pasientene for</w:t>
      </w:r>
      <w:r>
        <w:rPr>
          <w:sz w:val="22"/>
          <w:szCs w:val="22"/>
        </w:rPr>
        <w:t>t</w:t>
      </w:r>
      <w:r w:rsidRPr="00940AAC">
        <w:rPr>
          <w:sz w:val="22"/>
          <w:szCs w:val="22"/>
        </w:rPr>
        <w:t>satte å ha klinisk respons per PCDAI.</w:t>
      </w:r>
    </w:p>
    <w:p w14:paraId="348051B1" w14:textId="77777777" w:rsidR="002F0483" w:rsidRPr="009C5EFD" w:rsidRDefault="002F0483" w:rsidP="002F0483">
      <w:pPr>
        <w:suppressAutoHyphens/>
        <w:rPr>
          <w:sz w:val="22"/>
          <w:szCs w:val="22"/>
        </w:rPr>
      </w:pPr>
    </w:p>
    <w:p w14:paraId="39CACA38" w14:textId="77777777" w:rsidR="00634DDF" w:rsidRPr="00644328" w:rsidRDefault="00E453CD" w:rsidP="00634DDF">
      <w:pPr>
        <w:keepNext/>
        <w:rPr>
          <w:bCs/>
          <w:i/>
          <w:sz w:val="22"/>
        </w:rPr>
      </w:pPr>
      <w:r w:rsidRPr="00644328">
        <w:rPr>
          <w:i/>
          <w:sz w:val="22"/>
        </w:rPr>
        <w:t>Pediatrisk ulcerøs kolitt</w:t>
      </w:r>
    </w:p>
    <w:p w14:paraId="33BC94CB" w14:textId="77777777" w:rsidR="00634DDF" w:rsidRPr="00644328" w:rsidRDefault="00634DDF" w:rsidP="00634DDF">
      <w:pPr>
        <w:keepNext/>
        <w:rPr>
          <w:bCs/>
          <w:i/>
          <w:sz w:val="22"/>
        </w:rPr>
      </w:pPr>
    </w:p>
    <w:p w14:paraId="64A51067" w14:textId="77777777" w:rsidR="000F27EB" w:rsidRPr="00E04B2A" w:rsidRDefault="00E453CD" w:rsidP="000F27EB">
      <w:pPr>
        <w:rPr>
          <w:sz w:val="22"/>
        </w:rPr>
      </w:pPr>
      <w:r w:rsidRPr="00E04B2A">
        <w:rPr>
          <w:sz w:val="22"/>
        </w:rPr>
        <w:t xml:space="preserve">Sikkerhet og effekt av Humira ble vurdert i en </w:t>
      </w:r>
      <w:r>
        <w:rPr>
          <w:sz w:val="22"/>
        </w:rPr>
        <w:t xml:space="preserve">multisenter, </w:t>
      </w:r>
      <w:r w:rsidRPr="00E04B2A">
        <w:rPr>
          <w:sz w:val="22"/>
        </w:rPr>
        <w:t>randomisert, dobbeltblind</w:t>
      </w:r>
      <w:r>
        <w:rPr>
          <w:sz w:val="22"/>
        </w:rPr>
        <w:t xml:space="preserve">et </w:t>
      </w:r>
      <w:r w:rsidRPr="00E04B2A">
        <w:rPr>
          <w:sz w:val="22"/>
        </w:rPr>
        <w:t>studie hos 93 pediatriske pasienter fra 5 til 17 år med moderat til alvorlig ulcerøs kolitt (Mayo</w:t>
      </w:r>
      <w:r>
        <w:rPr>
          <w:sz w:val="22"/>
        </w:rPr>
        <w:t xml:space="preserve"> </w:t>
      </w:r>
      <w:r w:rsidRPr="00E04B2A">
        <w:rPr>
          <w:sz w:val="22"/>
        </w:rPr>
        <w:t>score 6 til 12 med endoskopi</w:t>
      </w:r>
      <w:r w:rsidRPr="004F50D5">
        <w:rPr>
          <w:sz w:val="22"/>
        </w:rPr>
        <w:t xml:space="preserve"> subscore</w:t>
      </w:r>
      <w:r w:rsidRPr="00E04B2A">
        <w:rPr>
          <w:sz w:val="22"/>
        </w:rPr>
        <w:t xml:space="preserve"> på 2 til 3 poeng,</w:t>
      </w:r>
      <w:r>
        <w:rPr>
          <w:sz w:val="22"/>
        </w:rPr>
        <w:t xml:space="preserve"> </w:t>
      </w:r>
      <w:r w:rsidRPr="00E04B2A">
        <w:rPr>
          <w:sz w:val="22"/>
        </w:rPr>
        <w:t xml:space="preserve">bekreftet </w:t>
      </w:r>
      <w:r>
        <w:rPr>
          <w:sz w:val="22"/>
        </w:rPr>
        <w:t>etter</w:t>
      </w:r>
      <w:r w:rsidRPr="00E04B2A">
        <w:rPr>
          <w:sz w:val="22"/>
        </w:rPr>
        <w:t xml:space="preserve"> </w:t>
      </w:r>
      <w:r w:rsidRPr="00226E80">
        <w:rPr>
          <w:sz w:val="22"/>
        </w:rPr>
        <w:t>sentral</w:t>
      </w:r>
      <w:r>
        <w:rPr>
          <w:sz w:val="22"/>
        </w:rPr>
        <w:t xml:space="preserve"> vurdering av</w:t>
      </w:r>
      <w:r w:rsidRPr="00226E80">
        <w:rPr>
          <w:sz w:val="22"/>
        </w:rPr>
        <w:t xml:space="preserve"> endoskopi</w:t>
      </w:r>
      <w:r>
        <w:rPr>
          <w:sz w:val="22"/>
        </w:rPr>
        <w:t>en</w:t>
      </w:r>
      <w:r w:rsidRPr="00E04B2A">
        <w:rPr>
          <w:sz w:val="22"/>
        </w:rPr>
        <w:t xml:space="preserve">) som hadde en utilstrekkelig respons eller intoleranse </w:t>
      </w:r>
      <w:r>
        <w:rPr>
          <w:sz w:val="22"/>
        </w:rPr>
        <w:t>overfor</w:t>
      </w:r>
      <w:r w:rsidRPr="00E04B2A">
        <w:rPr>
          <w:sz w:val="22"/>
        </w:rPr>
        <w:t xml:space="preserve"> konvensjonell behandling. Omtrent 16 % av pasientene i studien hadde </w:t>
      </w:r>
      <w:r>
        <w:rPr>
          <w:sz w:val="22"/>
        </w:rPr>
        <w:t>mislyktes</w:t>
      </w:r>
      <w:r w:rsidRPr="00E04B2A">
        <w:rPr>
          <w:sz w:val="22"/>
        </w:rPr>
        <w:t xml:space="preserve"> tidligere anti-TNF</w:t>
      </w:r>
      <w:r>
        <w:rPr>
          <w:sz w:val="22"/>
        </w:rPr>
        <w:t xml:space="preserve"> </w:t>
      </w:r>
      <w:r w:rsidRPr="00E04B2A">
        <w:rPr>
          <w:sz w:val="22"/>
        </w:rPr>
        <w:t xml:space="preserve">behandling. Pasienter som </w:t>
      </w:r>
      <w:r>
        <w:rPr>
          <w:sz w:val="22"/>
        </w:rPr>
        <w:t>fikk</w:t>
      </w:r>
      <w:r w:rsidRPr="00E04B2A">
        <w:rPr>
          <w:sz w:val="22"/>
        </w:rPr>
        <w:t xml:space="preserve"> kortikosteroider </w:t>
      </w:r>
      <w:r w:rsidRPr="004F50D5">
        <w:rPr>
          <w:sz w:val="22"/>
        </w:rPr>
        <w:t>ved studiestart kunne gradvis redusere kortikosteroidbehandlingen etter uke 4.</w:t>
      </w:r>
    </w:p>
    <w:p w14:paraId="2B732566" w14:textId="77777777" w:rsidR="000F27EB" w:rsidRPr="00E04B2A" w:rsidRDefault="000F27EB" w:rsidP="000F27EB">
      <w:pPr>
        <w:rPr>
          <w:sz w:val="22"/>
        </w:rPr>
      </w:pPr>
    </w:p>
    <w:p w14:paraId="7B6E75B2" w14:textId="77777777" w:rsidR="000F27EB" w:rsidRPr="00E04B2A" w:rsidRDefault="00E453CD" w:rsidP="000F27EB">
      <w:pPr>
        <w:rPr>
          <w:rStyle w:val="eop"/>
          <w:sz w:val="22"/>
          <w:shd w:val="clear" w:color="auto" w:fill="FFFFFF"/>
        </w:rPr>
      </w:pPr>
      <w:r>
        <w:rPr>
          <w:rStyle w:val="normaltextrun"/>
          <w:sz w:val="22"/>
          <w:shd w:val="clear" w:color="auto" w:fill="FFFFFF"/>
        </w:rPr>
        <w:t>Under</w:t>
      </w:r>
      <w:r w:rsidRPr="00E04B2A">
        <w:rPr>
          <w:rStyle w:val="normaltextrun"/>
          <w:sz w:val="22"/>
          <w:shd w:val="clear" w:color="auto" w:fill="FFFFFF"/>
        </w:rPr>
        <w:t xml:space="preserve"> </w:t>
      </w:r>
      <w:r>
        <w:rPr>
          <w:rStyle w:val="normaltextrun"/>
          <w:sz w:val="22"/>
          <w:shd w:val="clear" w:color="auto" w:fill="FFFFFF"/>
        </w:rPr>
        <w:t xml:space="preserve">studiens </w:t>
      </w:r>
      <w:r w:rsidRPr="00E04B2A">
        <w:rPr>
          <w:rStyle w:val="normaltextrun"/>
          <w:sz w:val="22"/>
          <w:shd w:val="clear" w:color="auto" w:fill="FFFFFF"/>
        </w:rPr>
        <w:t xml:space="preserve">induksjonsperiode ble 77 pasienter randomisert 3:2 </w:t>
      </w:r>
      <w:r>
        <w:rPr>
          <w:rStyle w:val="normaltextrun"/>
          <w:sz w:val="22"/>
          <w:shd w:val="clear" w:color="auto" w:fill="FFFFFF"/>
        </w:rPr>
        <w:t>til</w:t>
      </w:r>
      <w:r w:rsidRPr="00E04B2A">
        <w:rPr>
          <w:rStyle w:val="normaltextrun"/>
          <w:sz w:val="22"/>
          <w:shd w:val="clear" w:color="auto" w:fill="FFFFFF"/>
        </w:rPr>
        <w:t xml:space="preserve"> dobbeltblind</w:t>
      </w:r>
      <w:r>
        <w:rPr>
          <w:rStyle w:val="normaltextrun"/>
          <w:sz w:val="22"/>
          <w:shd w:val="clear" w:color="auto" w:fill="FFFFFF"/>
        </w:rPr>
        <w:t>et</w:t>
      </w:r>
      <w:r w:rsidRPr="00E04B2A">
        <w:rPr>
          <w:rStyle w:val="normaltextrun"/>
          <w:sz w:val="22"/>
          <w:shd w:val="clear" w:color="auto" w:fill="FFFFFF"/>
        </w:rPr>
        <w:t xml:space="preserve"> behandling med Humira </w:t>
      </w:r>
      <w:r>
        <w:rPr>
          <w:rStyle w:val="normaltextrun"/>
          <w:sz w:val="22"/>
          <w:shd w:val="clear" w:color="auto" w:fill="FFFFFF"/>
        </w:rPr>
        <w:t>med</w:t>
      </w:r>
      <w:r w:rsidRPr="00E04B2A">
        <w:rPr>
          <w:rStyle w:val="normaltextrun"/>
          <w:sz w:val="22"/>
          <w:shd w:val="clear" w:color="auto" w:fill="FFFFFF"/>
        </w:rPr>
        <w:t xml:space="preserve"> induksjonsdose på 2,4</w:t>
      </w:r>
      <w:r>
        <w:rPr>
          <w:rStyle w:val="normaltextrun"/>
          <w:sz w:val="22"/>
          <w:shd w:val="clear" w:color="auto" w:fill="FFFFFF"/>
        </w:rPr>
        <w:t> </w:t>
      </w:r>
      <w:r w:rsidRPr="00E04B2A">
        <w:rPr>
          <w:rStyle w:val="normaltextrun"/>
          <w:sz w:val="22"/>
          <w:shd w:val="clear" w:color="auto" w:fill="FFFFFF"/>
        </w:rPr>
        <w:t>mg/kg (maksimalt 160</w:t>
      </w:r>
      <w:r>
        <w:rPr>
          <w:rStyle w:val="normaltextrun"/>
          <w:sz w:val="22"/>
          <w:shd w:val="clear" w:color="auto" w:fill="FFFFFF"/>
        </w:rPr>
        <w:t> </w:t>
      </w:r>
      <w:r w:rsidRPr="00E04B2A">
        <w:rPr>
          <w:rStyle w:val="normaltextrun"/>
          <w:sz w:val="22"/>
          <w:shd w:val="clear" w:color="auto" w:fill="FFFFFF"/>
        </w:rPr>
        <w:t>mg) i uke 0 og uke 1 og 1,2</w:t>
      </w:r>
      <w:r>
        <w:rPr>
          <w:rStyle w:val="normaltextrun"/>
          <w:sz w:val="22"/>
          <w:shd w:val="clear" w:color="auto" w:fill="FFFFFF"/>
        </w:rPr>
        <w:t> </w:t>
      </w:r>
      <w:r w:rsidRPr="00E04B2A">
        <w:rPr>
          <w:rStyle w:val="normaltextrun"/>
          <w:sz w:val="22"/>
          <w:shd w:val="clear" w:color="auto" w:fill="FFFFFF"/>
        </w:rPr>
        <w:t>mg/kg (maksimalt 80</w:t>
      </w:r>
      <w:r>
        <w:rPr>
          <w:rStyle w:val="normaltextrun"/>
          <w:sz w:val="22"/>
          <w:shd w:val="clear" w:color="auto" w:fill="FFFFFF"/>
        </w:rPr>
        <w:t> </w:t>
      </w:r>
      <w:r w:rsidRPr="00E04B2A">
        <w:rPr>
          <w:rStyle w:val="normaltextrun"/>
          <w:sz w:val="22"/>
          <w:shd w:val="clear" w:color="auto" w:fill="FFFFFF"/>
        </w:rPr>
        <w:t>mg) i uke 2</w:t>
      </w:r>
      <w:r>
        <w:rPr>
          <w:rStyle w:val="normaltextrun"/>
          <w:sz w:val="22"/>
          <w:shd w:val="clear" w:color="auto" w:fill="FFFFFF"/>
        </w:rPr>
        <w:t>,</w:t>
      </w:r>
      <w:r w:rsidRPr="00E04B2A">
        <w:rPr>
          <w:rStyle w:val="normaltextrun"/>
          <w:sz w:val="22"/>
          <w:shd w:val="clear" w:color="auto" w:fill="FFFFFF"/>
        </w:rPr>
        <w:t xml:space="preserve"> eller en induksjonsdose på 2,4</w:t>
      </w:r>
      <w:r>
        <w:rPr>
          <w:rStyle w:val="normaltextrun"/>
          <w:sz w:val="22"/>
          <w:shd w:val="clear" w:color="auto" w:fill="FFFFFF"/>
        </w:rPr>
        <w:t> </w:t>
      </w:r>
      <w:r w:rsidRPr="00E04B2A">
        <w:rPr>
          <w:rStyle w:val="normaltextrun"/>
          <w:sz w:val="22"/>
          <w:shd w:val="clear" w:color="auto" w:fill="FFFFFF"/>
        </w:rPr>
        <w:t>mg/kg (</w:t>
      </w:r>
      <w:r>
        <w:rPr>
          <w:rStyle w:val="normaltextrun"/>
          <w:sz w:val="22"/>
          <w:shd w:val="clear" w:color="auto" w:fill="FFFFFF"/>
        </w:rPr>
        <w:t>maksimalt</w:t>
      </w:r>
      <w:r w:rsidRPr="00E04B2A">
        <w:rPr>
          <w:rStyle w:val="normaltextrun"/>
          <w:sz w:val="22"/>
          <w:shd w:val="clear" w:color="auto" w:fill="FFFFFF"/>
        </w:rPr>
        <w:t xml:space="preserve"> 160</w:t>
      </w:r>
      <w:r>
        <w:rPr>
          <w:rStyle w:val="normaltextrun"/>
          <w:sz w:val="22"/>
          <w:shd w:val="clear" w:color="auto" w:fill="FFFFFF"/>
        </w:rPr>
        <w:t> </w:t>
      </w:r>
      <w:r w:rsidRPr="00E04B2A">
        <w:rPr>
          <w:rStyle w:val="normaltextrun"/>
          <w:sz w:val="22"/>
          <w:shd w:val="clear" w:color="auto" w:fill="FFFFFF"/>
        </w:rPr>
        <w:t>mg) i uke 0, placebo i uke 1 og 1,2</w:t>
      </w:r>
      <w:r>
        <w:rPr>
          <w:rStyle w:val="normaltextrun"/>
          <w:sz w:val="22"/>
          <w:shd w:val="clear" w:color="auto" w:fill="FFFFFF"/>
        </w:rPr>
        <w:t> </w:t>
      </w:r>
      <w:r w:rsidRPr="00E04B2A">
        <w:rPr>
          <w:rStyle w:val="normaltextrun"/>
          <w:sz w:val="22"/>
          <w:shd w:val="clear" w:color="auto" w:fill="FFFFFF"/>
        </w:rPr>
        <w:t>mg/kg (</w:t>
      </w:r>
      <w:r>
        <w:rPr>
          <w:rStyle w:val="normaltextrun"/>
          <w:sz w:val="22"/>
          <w:shd w:val="clear" w:color="auto" w:fill="FFFFFF"/>
        </w:rPr>
        <w:t>maksimalt</w:t>
      </w:r>
      <w:r w:rsidRPr="00E04B2A">
        <w:rPr>
          <w:rStyle w:val="normaltextrun"/>
          <w:sz w:val="22"/>
          <w:shd w:val="clear" w:color="auto" w:fill="FFFFFF"/>
        </w:rPr>
        <w:t xml:space="preserve"> 80</w:t>
      </w:r>
      <w:r>
        <w:rPr>
          <w:rStyle w:val="normaltextrun"/>
          <w:sz w:val="22"/>
          <w:shd w:val="clear" w:color="auto" w:fill="FFFFFF"/>
        </w:rPr>
        <w:t> </w:t>
      </w:r>
      <w:r w:rsidRPr="00E04B2A">
        <w:rPr>
          <w:rStyle w:val="normaltextrun"/>
          <w:sz w:val="22"/>
          <w:shd w:val="clear" w:color="auto" w:fill="FFFFFF"/>
        </w:rPr>
        <w:t>mg) i uke 2.</w:t>
      </w:r>
      <w:r>
        <w:rPr>
          <w:rStyle w:val="normaltextrun"/>
          <w:sz w:val="22"/>
          <w:shd w:val="clear" w:color="auto" w:fill="FFFFFF"/>
        </w:rPr>
        <w:t xml:space="preserve"> </w:t>
      </w:r>
      <w:r w:rsidRPr="00E04B2A">
        <w:rPr>
          <w:rStyle w:val="normaltextrun"/>
          <w:sz w:val="22"/>
          <w:shd w:val="clear" w:color="auto" w:fill="FFFFFF"/>
        </w:rPr>
        <w:t>Begge grupper fikk 0,6</w:t>
      </w:r>
      <w:r>
        <w:rPr>
          <w:rStyle w:val="normaltextrun"/>
          <w:sz w:val="22"/>
          <w:shd w:val="clear" w:color="auto" w:fill="FFFFFF"/>
        </w:rPr>
        <w:t> </w:t>
      </w:r>
      <w:r w:rsidRPr="00E04B2A">
        <w:rPr>
          <w:rStyle w:val="normaltextrun"/>
          <w:sz w:val="22"/>
          <w:shd w:val="clear" w:color="auto" w:fill="FFFFFF"/>
        </w:rPr>
        <w:t>mg/kg (maksimalt 40</w:t>
      </w:r>
      <w:r>
        <w:rPr>
          <w:rStyle w:val="normaltextrun"/>
          <w:sz w:val="22"/>
          <w:shd w:val="clear" w:color="auto" w:fill="FFFFFF"/>
        </w:rPr>
        <w:t> </w:t>
      </w:r>
      <w:r w:rsidRPr="00E04B2A">
        <w:rPr>
          <w:rStyle w:val="normaltextrun"/>
          <w:sz w:val="22"/>
          <w:shd w:val="clear" w:color="auto" w:fill="FFFFFF"/>
        </w:rPr>
        <w:t>mg) i uke 4 og uke 6.</w:t>
      </w:r>
      <w:r>
        <w:rPr>
          <w:rStyle w:val="normaltextrun"/>
          <w:sz w:val="22"/>
          <w:shd w:val="clear" w:color="auto" w:fill="FFFFFF"/>
        </w:rPr>
        <w:t xml:space="preserve"> </w:t>
      </w:r>
      <w:r w:rsidRPr="00E04B2A">
        <w:rPr>
          <w:rStyle w:val="normaltextrun"/>
          <w:sz w:val="22"/>
          <w:shd w:val="clear" w:color="auto" w:fill="FFFFFF"/>
        </w:rPr>
        <w:t xml:space="preserve">Etter en endring </w:t>
      </w:r>
      <w:r>
        <w:rPr>
          <w:rStyle w:val="normaltextrun"/>
          <w:sz w:val="22"/>
          <w:shd w:val="clear" w:color="auto" w:fill="FFFFFF"/>
        </w:rPr>
        <w:t>i</w:t>
      </w:r>
      <w:r w:rsidRPr="00E04B2A">
        <w:rPr>
          <w:rStyle w:val="normaltextrun"/>
          <w:sz w:val="22"/>
          <w:shd w:val="clear" w:color="auto" w:fill="FFFFFF"/>
        </w:rPr>
        <w:t xml:space="preserve"> studiedesign fikk de resterende 16 pasientene som deltok i induksjonsperioden åpen behandling med Humira </w:t>
      </w:r>
      <w:r>
        <w:rPr>
          <w:rStyle w:val="normaltextrun"/>
          <w:sz w:val="22"/>
          <w:shd w:val="clear" w:color="auto" w:fill="FFFFFF"/>
        </w:rPr>
        <w:t>med</w:t>
      </w:r>
      <w:r w:rsidRPr="00E04B2A">
        <w:rPr>
          <w:rStyle w:val="normaltextrun"/>
          <w:sz w:val="22"/>
          <w:shd w:val="clear" w:color="auto" w:fill="FFFFFF"/>
        </w:rPr>
        <w:t xml:space="preserve"> induksjonsdose 2,4</w:t>
      </w:r>
      <w:r>
        <w:rPr>
          <w:rStyle w:val="normaltextrun"/>
          <w:sz w:val="22"/>
          <w:shd w:val="clear" w:color="auto" w:fill="FFFFFF"/>
        </w:rPr>
        <w:t> </w:t>
      </w:r>
      <w:r w:rsidRPr="00E04B2A">
        <w:rPr>
          <w:rStyle w:val="normaltextrun"/>
          <w:sz w:val="22"/>
          <w:shd w:val="clear" w:color="auto" w:fill="FFFFFF"/>
        </w:rPr>
        <w:t>mg/kg (</w:t>
      </w:r>
      <w:r>
        <w:rPr>
          <w:rStyle w:val="normaltextrun"/>
          <w:sz w:val="22"/>
          <w:shd w:val="clear" w:color="auto" w:fill="FFFFFF"/>
        </w:rPr>
        <w:t>maksimalt</w:t>
      </w:r>
      <w:r w:rsidRPr="00E04B2A">
        <w:rPr>
          <w:rStyle w:val="normaltextrun"/>
          <w:sz w:val="22"/>
          <w:shd w:val="clear" w:color="auto" w:fill="FFFFFF"/>
        </w:rPr>
        <w:t xml:space="preserve"> 160</w:t>
      </w:r>
      <w:r>
        <w:rPr>
          <w:rStyle w:val="normaltextrun"/>
          <w:sz w:val="22"/>
          <w:shd w:val="clear" w:color="auto" w:fill="FFFFFF"/>
        </w:rPr>
        <w:t> </w:t>
      </w:r>
      <w:r w:rsidRPr="00E04B2A">
        <w:rPr>
          <w:rStyle w:val="normaltextrun"/>
          <w:sz w:val="22"/>
          <w:shd w:val="clear" w:color="auto" w:fill="FFFFFF"/>
        </w:rPr>
        <w:t>mg) i uke 0 og uke 1 og 1,2</w:t>
      </w:r>
      <w:r>
        <w:rPr>
          <w:rStyle w:val="normaltextrun"/>
          <w:sz w:val="22"/>
          <w:shd w:val="clear" w:color="auto" w:fill="FFFFFF"/>
        </w:rPr>
        <w:t> </w:t>
      </w:r>
      <w:r w:rsidRPr="00E04B2A">
        <w:rPr>
          <w:rStyle w:val="normaltextrun"/>
          <w:sz w:val="22"/>
          <w:shd w:val="clear" w:color="auto" w:fill="FFFFFF"/>
        </w:rPr>
        <w:t>mg/kg (maksimalt 80</w:t>
      </w:r>
      <w:r>
        <w:rPr>
          <w:rStyle w:val="normaltextrun"/>
          <w:sz w:val="22"/>
          <w:shd w:val="clear" w:color="auto" w:fill="FFFFFF"/>
        </w:rPr>
        <w:t> </w:t>
      </w:r>
      <w:r w:rsidRPr="00E04B2A">
        <w:rPr>
          <w:rStyle w:val="normaltextrun"/>
          <w:sz w:val="22"/>
          <w:shd w:val="clear" w:color="auto" w:fill="FFFFFF"/>
        </w:rPr>
        <w:t>mg) i uke 2.</w:t>
      </w:r>
    </w:p>
    <w:p w14:paraId="57A61DFB" w14:textId="77777777" w:rsidR="000F27EB" w:rsidRPr="00E04B2A" w:rsidRDefault="000F27EB" w:rsidP="000F27EB">
      <w:pPr>
        <w:rPr>
          <w:sz w:val="22"/>
        </w:rPr>
      </w:pPr>
    </w:p>
    <w:p w14:paraId="1AD90AD1" w14:textId="77777777" w:rsidR="000F27EB" w:rsidRPr="00E04B2A" w:rsidRDefault="00E453CD" w:rsidP="000F27EB">
      <w:pPr>
        <w:rPr>
          <w:rStyle w:val="normaltextrun"/>
          <w:sz w:val="22"/>
          <w:shd w:val="clear" w:color="auto" w:fill="FFFFFF"/>
        </w:rPr>
      </w:pPr>
      <w:r>
        <w:rPr>
          <w:rStyle w:val="normaltextrun"/>
          <w:sz w:val="22"/>
          <w:shd w:val="clear" w:color="auto" w:fill="FFFFFF"/>
        </w:rPr>
        <w:t>Ved</w:t>
      </w:r>
      <w:r w:rsidRPr="00E04B2A">
        <w:rPr>
          <w:rStyle w:val="normaltextrun"/>
          <w:sz w:val="22"/>
          <w:shd w:val="clear" w:color="auto" w:fill="FFFFFF"/>
        </w:rPr>
        <w:t xml:space="preserve"> uke 8 ble 62 pasienter som </w:t>
      </w:r>
      <w:r>
        <w:rPr>
          <w:rStyle w:val="normaltextrun"/>
          <w:sz w:val="22"/>
          <w:shd w:val="clear" w:color="auto" w:fill="FFFFFF"/>
        </w:rPr>
        <w:t>viste</w:t>
      </w:r>
      <w:r w:rsidRPr="00E04B2A">
        <w:rPr>
          <w:rStyle w:val="normaltextrun"/>
          <w:sz w:val="22"/>
          <w:shd w:val="clear" w:color="auto" w:fill="FFFFFF"/>
        </w:rPr>
        <w:t xml:space="preserve"> klinisk respons iht. </w:t>
      </w:r>
      <w:r>
        <w:rPr>
          <w:rStyle w:val="normaltextrun"/>
          <w:sz w:val="22"/>
          <w:shd w:val="clear" w:color="auto" w:fill="FFFFFF"/>
        </w:rPr>
        <w:t>P</w:t>
      </w:r>
      <w:r w:rsidRPr="00E04B2A">
        <w:rPr>
          <w:rStyle w:val="normaltextrun"/>
          <w:sz w:val="22"/>
          <w:shd w:val="clear" w:color="auto" w:fill="FFFFFF"/>
        </w:rPr>
        <w:t>artiell Mayo</w:t>
      </w:r>
      <w:r>
        <w:rPr>
          <w:rStyle w:val="normaltextrun"/>
          <w:sz w:val="22"/>
          <w:shd w:val="clear" w:color="auto" w:fill="FFFFFF"/>
        </w:rPr>
        <w:t xml:space="preserve"> S</w:t>
      </w:r>
      <w:r w:rsidRPr="00E04B2A">
        <w:rPr>
          <w:rStyle w:val="normaltextrun"/>
          <w:sz w:val="22"/>
          <w:shd w:val="clear" w:color="auto" w:fill="FFFFFF"/>
        </w:rPr>
        <w:t>core (PMS</w:t>
      </w:r>
      <w:r>
        <w:rPr>
          <w:rStyle w:val="normaltextrun"/>
          <w:sz w:val="22"/>
          <w:shd w:val="clear" w:color="auto" w:fill="FFFFFF"/>
        </w:rPr>
        <w:t>:</w:t>
      </w:r>
      <w:r w:rsidRPr="00E04B2A">
        <w:rPr>
          <w:rStyle w:val="normaltextrun"/>
          <w:sz w:val="22"/>
          <w:shd w:val="clear" w:color="auto" w:fill="FFFFFF"/>
        </w:rPr>
        <w:t xml:space="preserve"> definert som en reduksjon i PMS ≥</w:t>
      </w:r>
      <w:r>
        <w:rPr>
          <w:rStyle w:val="normaltextrun"/>
          <w:sz w:val="22"/>
          <w:shd w:val="clear" w:color="auto" w:fill="FFFFFF"/>
        </w:rPr>
        <w:t> </w:t>
      </w:r>
      <w:r w:rsidRPr="00E04B2A">
        <w:rPr>
          <w:rStyle w:val="normaltextrun"/>
          <w:sz w:val="22"/>
          <w:shd w:val="clear" w:color="auto" w:fill="FFFFFF"/>
        </w:rPr>
        <w:t>2 poeng og ≥</w:t>
      </w:r>
      <w:r>
        <w:rPr>
          <w:rStyle w:val="normaltextrun"/>
          <w:sz w:val="22"/>
          <w:shd w:val="clear" w:color="auto" w:fill="FFFFFF"/>
        </w:rPr>
        <w:t> </w:t>
      </w:r>
      <w:r w:rsidRPr="00E04B2A">
        <w:rPr>
          <w:rStyle w:val="normaltextrun"/>
          <w:sz w:val="22"/>
          <w:shd w:val="clear" w:color="auto" w:fill="FFFFFF"/>
        </w:rPr>
        <w:t xml:space="preserve">30 % fra baseline) randomisert likt </w:t>
      </w:r>
      <w:r>
        <w:rPr>
          <w:rStyle w:val="normaltextrun"/>
          <w:sz w:val="22"/>
          <w:shd w:val="clear" w:color="auto" w:fill="FFFFFF"/>
        </w:rPr>
        <w:t>til</w:t>
      </w:r>
      <w:r w:rsidRPr="00E04B2A">
        <w:rPr>
          <w:rStyle w:val="normaltextrun"/>
          <w:sz w:val="22"/>
          <w:shd w:val="clear" w:color="auto" w:fill="FFFFFF"/>
        </w:rPr>
        <w:t xml:space="preserve"> dobbeltblind</w:t>
      </w:r>
      <w:r>
        <w:rPr>
          <w:rStyle w:val="normaltextrun"/>
          <w:sz w:val="22"/>
          <w:shd w:val="clear" w:color="auto" w:fill="FFFFFF"/>
        </w:rPr>
        <w:t>et</w:t>
      </w:r>
      <w:r w:rsidRPr="00E04B2A">
        <w:rPr>
          <w:rStyle w:val="normaltextrun"/>
          <w:sz w:val="22"/>
          <w:shd w:val="clear" w:color="auto" w:fill="FFFFFF"/>
        </w:rPr>
        <w:t xml:space="preserve"> vedlikeholdsbehandling med Humira </w:t>
      </w:r>
      <w:r>
        <w:rPr>
          <w:rStyle w:val="normaltextrun"/>
          <w:sz w:val="22"/>
          <w:shd w:val="clear" w:color="auto" w:fill="FFFFFF"/>
        </w:rPr>
        <w:t xml:space="preserve">med </w:t>
      </w:r>
      <w:r w:rsidRPr="00E04B2A">
        <w:rPr>
          <w:rStyle w:val="normaltextrun"/>
          <w:sz w:val="22"/>
          <w:shd w:val="clear" w:color="auto" w:fill="FFFFFF"/>
        </w:rPr>
        <w:t>en dose på 0,6</w:t>
      </w:r>
      <w:r>
        <w:rPr>
          <w:rStyle w:val="normaltextrun"/>
          <w:sz w:val="22"/>
          <w:shd w:val="clear" w:color="auto" w:fill="FFFFFF"/>
        </w:rPr>
        <w:t> </w:t>
      </w:r>
      <w:r w:rsidRPr="00E04B2A">
        <w:rPr>
          <w:rStyle w:val="normaltextrun"/>
          <w:sz w:val="22"/>
          <w:shd w:val="clear" w:color="auto" w:fill="FFFFFF"/>
        </w:rPr>
        <w:t>mg/kg (maks</w:t>
      </w:r>
      <w:r>
        <w:rPr>
          <w:rStyle w:val="normaltextrun"/>
          <w:sz w:val="22"/>
          <w:shd w:val="clear" w:color="auto" w:fill="FFFFFF"/>
        </w:rPr>
        <w:t>imalt</w:t>
      </w:r>
      <w:r w:rsidRPr="00E04B2A">
        <w:rPr>
          <w:rStyle w:val="normaltextrun"/>
          <w:sz w:val="22"/>
          <w:shd w:val="clear" w:color="auto" w:fill="FFFFFF"/>
        </w:rPr>
        <w:t xml:space="preserve"> 40</w:t>
      </w:r>
      <w:r>
        <w:rPr>
          <w:rStyle w:val="normaltextrun"/>
          <w:sz w:val="22"/>
          <w:shd w:val="clear" w:color="auto" w:fill="FFFFFF"/>
        </w:rPr>
        <w:t> </w:t>
      </w:r>
      <w:r w:rsidRPr="00E04B2A">
        <w:rPr>
          <w:rStyle w:val="normaltextrun"/>
          <w:sz w:val="22"/>
          <w:shd w:val="clear" w:color="auto" w:fill="FFFFFF"/>
        </w:rPr>
        <w:t>mg) hver uke</w:t>
      </w:r>
      <w:r>
        <w:rPr>
          <w:rStyle w:val="normaltextrun"/>
          <w:sz w:val="22"/>
          <w:shd w:val="clear" w:color="auto" w:fill="FFFFFF"/>
        </w:rPr>
        <w:t xml:space="preserve"> </w:t>
      </w:r>
      <w:r w:rsidRPr="00E04B2A">
        <w:rPr>
          <w:rStyle w:val="normaltextrun"/>
          <w:sz w:val="22"/>
          <w:shd w:val="clear" w:color="auto" w:fill="FFFFFF"/>
        </w:rPr>
        <w:t>eller en vedlikeholdsdose på 0,6</w:t>
      </w:r>
      <w:r>
        <w:rPr>
          <w:rStyle w:val="normaltextrun"/>
          <w:sz w:val="22"/>
          <w:shd w:val="clear" w:color="auto" w:fill="FFFFFF"/>
        </w:rPr>
        <w:t> </w:t>
      </w:r>
      <w:r w:rsidRPr="00E04B2A">
        <w:rPr>
          <w:rStyle w:val="normaltextrun"/>
          <w:sz w:val="22"/>
          <w:shd w:val="clear" w:color="auto" w:fill="FFFFFF"/>
        </w:rPr>
        <w:t>mg/kg (maks</w:t>
      </w:r>
      <w:r>
        <w:rPr>
          <w:rStyle w:val="normaltextrun"/>
          <w:sz w:val="22"/>
          <w:shd w:val="clear" w:color="auto" w:fill="FFFFFF"/>
        </w:rPr>
        <w:t>imalt</w:t>
      </w:r>
      <w:r w:rsidRPr="00E04B2A">
        <w:rPr>
          <w:rStyle w:val="normaltextrun"/>
          <w:sz w:val="22"/>
          <w:shd w:val="clear" w:color="auto" w:fill="FFFFFF"/>
        </w:rPr>
        <w:t xml:space="preserve"> 40</w:t>
      </w:r>
      <w:r>
        <w:rPr>
          <w:rStyle w:val="normaltextrun"/>
          <w:sz w:val="22"/>
          <w:shd w:val="clear" w:color="auto" w:fill="FFFFFF"/>
        </w:rPr>
        <w:t> </w:t>
      </w:r>
      <w:r w:rsidRPr="00E04B2A">
        <w:rPr>
          <w:rStyle w:val="normaltextrun"/>
          <w:sz w:val="22"/>
          <w:shd w:val="clear" w:color="auto" w:fill="FFFFFF"/>
        </w:rPr>
        <w:t>mg) annenhver uke.</w:t>
      </w:r>
      <w:r>
        <w:rPr>
          <w:rStyle w:val="normaltextrun"/>
          <w:sz w:val="22"/>
          <w:shd w:val="clear" w:color="auto" w:fill="FFFFFF"/>
        </w:rPr>
        <w:t xml:space="preserve"> </w:t>
      </w:r>
      <w:r w:rsidRPr="00E04B2A">
        <w:rPr>
          <w:rStyle w:val="normaltextrun"/>
          <w:sz w:val="22"/>
          <w:shd w:val="clear" w:color="auto" w:fill="FFFFFF"/>
        </w:rPr>
        <w:t xml:space="preserve">Før en endring </w:t>
      </w:r>
      <w:r>
        <w:rPr>
          <w:rStyle w:val="normaltextrun"/>
          <w:sz w:val="22"/>
          <w:shd w:val="clear" w:color="auto" w:fill="FFFFFF"/>
        </w:rPr>
        <w:t>i</w:t>
      </w:r>
      <w:r w:rsidRPr="00E04B2A">
        <w:rPr>
          <w:rStyle w:val="normaltextrun"/>
          <w:sz w:val="22"/>
          <w:shd w:val="clear" w:color="auto" w:fill="FFFFFF"/>
        </w:rPr>
        <w:t xml:space="preserve"> studiedesign ble </w:t>
      </w:r>
      <w:r>
        <w:rPr>
          <w:rStyle w:val="normaltextrun"/>
          <w:sz w:val="22"/>
          <w:shd w:val="clear" w:color="auto" w:fill="FFFFFF"/>
        </w:rPr>
        <w:t xml:space="preserve">ytterligere </w:t>
      </w:r>
      <w:r w:rsidRPr="00E04B2A">
        <w:rPr>
          <w:rStyle w:val="normaltextrun"/>
          <w:sz w:val="22"/>
          <w:shd w:val="clear" w:color="auto" w:fill="FFFFFF"/>
        </w:rPr>
        <w:t>12 pasienter</w:t>
      </w:r>
      <w:r>
        <w:rPr>
          <w:rStyle w:val="normaltextrun"/>
          <w:sz w:val="22"/>
          <w:shd w:val="clear" w:color="auto" w:fill="FFFFFF"/>
        </w:rPr>
        <w:t>,</w:t>
      </w:r>
      <w:r w:rsidRPr="00E04B2A">
        <w:rPr>
          <w:rStyle w:val="normaltextrun"/>
          <w:sz w:val="22"/>
          <w:shd w:val="clear" w:color="auto" w:fill="FFFFFF"/>
        </w:rPr>
        <w:t xml:space="preserve"> som </w:t>
      </w:r>
      <w:r>
        <w:rPr>
          <w:rStyle w:val="normaltextrun"/>
          <w:sz w:val="22"/>
          <w:shd w:val="clear" w:color="auto" w:fill="FFFFFF"/>
        </w:rPr>
        <w:t>viste</w:t>
      </w:r>
      <w:r w:rsidRPr="00E04B2A">
        <w:rPr>
          <w:rStyle w:val="normaltextrun"/>
          <w:sz w:val="22"/>
          <w:shd w:val="clear" w:color="auto" w:fill="FFFFFF"/>
        </w:rPr>
        <w:t xml:space="preserve"> klinisk respons iht. PMS</w:t>
      </w:r>
      <w:r>
        <w:rPr>
          <w:rStyle w:val="normaltextrun"/>
          <w:sz w:val="22"/>
          <w:shd w:val="clear" w:color="auto" w:fill="FFFFFF"/>
        </w:rPr>
        <w:t>,</w:t>
      </w:r>
      <w:r w:rsidRPr="00E04B2A">
        <w:rPr>
          <w:rStyle w:val="normaltextrun"/>
          <w:sz w:val="22"/>
          <w:shd w:val="clear" w:color="auto" w:fill="FFFFFF"/>
        </w:rPr>
        <w:t xml:space="preserve"> randomisert til å </w:t>
      </w:r>
      <w:r>
        <w:rPr>
          <w:rStyle w:val="normaltextrun"/>
          <w:sz w:val="22"/>
          <w:shd w:val="clear" w:color="auto" w:fill="FFFFFF"/>
        </w:rPr>
        <w:t xml:space="preserve">få </w:t>
      </w:r>
      <w:r w:rsidRPr="00E04B2A">
        <w:rPr>
          <w:rStyle w:val="normaltextrun"/>
          <w:sz w:val="22"/>
          <w:shd w:val="clear" w:color="auto" w:fill="FFFFFF"/>
        </w:rPr>
        <w:t>placebo, men ble ikke inkludert i den bekreftende effekt</w:t>
      </w:r>
      <w:r>
        <w:rPr>
          <w:rStyle w:val="normaltextrun"/>
          <w:sz w:val="22"/>
          <w:shd w:val="clear" w:color="auto" w:fill="FFFFFF"/>
        </w:rPr>
        <w:t>analys</w:t>
      </w:r>
      <w:r w:rsidRPr="00E04B2A">
        <w:rPr>
          <w:rStyle w:val="normaltextrun"/>
          <w:sz w:val="22"/>
          <w:shd w:val="clear" w:color="auto" w:fill="FFFFFF"/>
        </w:rPr>
        <w:t>en.</w:t>
      </w:r>
    </w:p>
    <w:p w14:paraId="1380A53B" w14:textId="77777777" w:rsidR="000F27EB" w:rsidRPr="00E04B2A" w:rsidRDefault="000F27EB" w:rsidP="000F27EB">
      <w:pPr>
        <w:rPr>
          <w:sz w:val="22"/>
          <w:shd w:val="clear" w:color="auto" w:fill="FFFFFF"/>
        </w:rPr>
      </w:pPr>
    </w:p>
    <w:p w14:paraId="494F8FD7" w14:textId="77777777" w:rsidR="000F27EB" w:rsidRPr="00E04B2A" w:rsidRDefault="00E453CD" w:rsidP="000F27EB">
      <w:pPr>
        <w:rPr>
          <w:sz w:val="22"/>
        </w:rPr>
      </w:pPr>
      <w:r w:rsidRPr="00E04B2A">
        <w:rPr>
          <w:sz w:val="22"/>
        </w:rPr>
        <w:lastRenderedPageBreak/>
        <w:t>Sykdoms</w:t>
      </w:r>
      <w:r>
        <w:rPr>
          <w:sz w:val="22"/>
        </w:rPr>
        <w:t>opp</w:t>
      </w:r>
      <w:r w:rsidRPr="00E04B2A">
        <w:rPr>
          <w:sz w:val="22"/>
        </w:rPr>
        <w:t>bluss</w:t>
      </w:r>
      <w:r>
        <w:rPr>
          <w:sz w:val="22"/>
        </w:rPr>
        <w:t>ing</w:t>
      </w:r>
      <w:r w:rsidRPr="00E04B2A">
        <w:rPr>
          <w:sz w:val="22"/>
        </w:rPr>
        <w:t xml:space="preserve"> ble definert som en økning i PMS på minst 3 poeng (for pasienter med PMS på 0 til 2 </w:t>
      </w:r>
      <w:r>
        <w:rPr>
          <w:sz w:val="22"/>
        </w:rPr>
        <w:t>ved</w:t>
      </w:r>
      <w:r w:rsidRPr="00E04B2A">
        <w:rPr>
          <w:sz w:val="22"/>
        </w:rPr>
        <w:t xml:space="preserve"> uke 8), minst 2 poeng (for pasienter med PMS på 3 til 4 </w:t>
      </w:r>
      <w:r>
        <w:rPr>
          <w:sz w:val="22"/>
        </w:rPr>
        <w:t>ved</w:t>
      </w:r>
      <w:r w:rsidRPr="00E04B2A">
        <w:rPr>
          <w:sz w:val="22"/>
        </w:rPr>
        <w:t xml:space="preserve"> uke 8) eller minst 1 poeng (for pasienter med PMS på 5 til 6 </w:t>
      </w:r>
      <w:r>
        <w:rPr>
          <w:sz w:val="22"/>
        </w:rPr>
        <w:t>ved</w:t>
      </w:r>
      <w:r w:rsidRPr="00E04B2A">
        <w:rPr>
          <w:sz w:val="22"/>
        </w:rPr>
        <w:t xml:space="preserve"> uke 8).</w:t>
      </w:r>
    </w:p>
    <w:p w14:paraId="0C4E08EB" w14:textId="77777777" w:rsidR="000F27EB" w:rsidRPr="00E04B2A" w:rsidRDefault="000F27EB" w:rsidP="000F27EB">
      <w:pPr>
        <w:rPr>
          <w:sz w:val="22"/>
        </w:rPr>
      </w:pPr>
    </w:p>
    <w:p w14:paraId="28B8E2BC" w14:textId="77777777" w:rsidR="000F27EB" w:rsidRPr="00E04B2A" w:rsidRDefault="00E453CD" w:rsidP="000F27EB">
      <w:pPr>
        <w:rPr>
          <w:sz w:val="22"/>
        </w:rPr>
      </w:pPr>
      <w:r w:rsidRPr="00E04B2A">
        <w:rPr>
          <w:sz w:val="22"/>
        </w:rPr>
        <w:t>Pasienter som oppfylte kriteriene for sykdoms</w:t>
      </w:r>
      <w:r>
        <w:rPr>
          <w:sz w:val="22"/>
        </w:rPr>
        <w:t>opp</w:t>
      </w:r>
      <w:r w:rsidRPr="00E04B2A">
        <w:rPr>
          <w:sz w:val="22"/>
        </w:rPr>
        <w:t xml:space="preserve">bluss ved eller etter uke 12 ble randomisert til å </w:t>
      </w:r>
      <w:r>
        <w:rPr>
          <w:sz w:val="22"/>
        </w:rPr>
        <w:t>få</w:t>
      </w:r>
      <w:r w:rsidRPr="00E04B2A">
        <w:rPr>
          <w:sz w:val="22"/>
        </w:rPr>
        <w:t xml:space="preserve"> en gjentatt induksjonsdose på 2,4</w:t>
      </w:r>
      <w:r>
        <w:rPr>
          <w:sz w:val="22"/>
        </w:rPr>
        <w:t> </w:t>
      </w:r>
      <w:r w:rsidRPr="00E04B2A">
        <w:rPr>
          <w:sz w:val="22"/>
        </w:rPr>
        <w:t>mg/kg (</w:t>
      </w:r>
      <w:r>
        <w:rPr>
          <w:sz w:val="22"/>
        </w:rPr>
        <w:t>maksimalt</w:t>
      </w:r>
      <w:r w:rsidRPr="00E04B2A">
        <w:rPr>
          <w:sz w:val="22"/>
        </w:rPr>
        <w:t xml:space="preserve"> 160</w:t>
      </w:r>
      <w:r>
        <w:rPr>
          <w:sz w:val="22"/>
        </w:rPr>
        <w:t> </w:t>
      </w:r>
      <w:r w:rsidRPr="00E04B2A">
        <w:rPr>
          <w:sz w:val="22"/>
        </w:rPr>
        <w:t>mg) eller en dose på 0,6</w:t>
      </w:r>
      <w:r>
        <w:rPr>
          <w:sz w:val="22"/>
        </w:rPr>
        <w:t> </w:t>
      </w:r>
      <w:r w:rsidRPr="00E04B2A">
        <w:rPr>
          <w:sz w:val="22"/>
        </w:rPr>
        <w:t>mg/kg (</w:t>
      </w:r>
      <w:r>
        <w:rPr>
          <w:sz w:val="22"/>
        </w:rPr>
        <w:t>maksimalt</w:t>
      </w:r>
      <w:r w:rsidRPr="00E04B2A">
        <w:rPr>
          <w:sz w:val="22"/>
        </w:rPr>
        <w:t xml:space="preserve"> 40</w:t>
      </w:r>
      <w:r>
        <w:rPr>
          <w:sz w:val="22"/>
        </w:rPr>
        <w:t> </w:t>
      </w:r>
      <w:r w:rsidRPr="00E04B2A">
        <w:rPr>
          <w:sz w:val="22"/>
        </w:rPr>
        <w:t xml:space="preserve">mg) og fortsatte </w:t>
      </w:r>
      <w:r>
        <w:rPr>
          <w:sz w:val="22"/>
        </w:rPr>
        <w:t>deretter med deres</w:t>
      </w:r>
      <w:r w:rsidRPr="00E04B2A">
        <w:rPr>
          <w:sz w:val="22"/>
        </w:rPr>
        <w:t xml:space="preserve"> respektive vedlikeholdsdose.</w:t>
      </w:r>
    </w:p>
    <w:p w14:paraId="57DF0516" w14:textId="77777777" w:rsidR="000F27EB" w:rsidRPr="00E04B2A" w:rsidRDefault="00E453CD" w:rsidP="000F27EB">
      <w:pPr>
        <w:pStyle w:val="gtcbodytext"/>
        <w:spacing w:after="0" w:line="240" w:lineRule="auto"/>
        <w:rPr>
          <w:i/>
          <w:sz w:val="22"/>
          <w:szCs w:val="22"/>
          <w:lang w:val="nb-NO"/>
        </w:rPr>
      </w:pPr>
      <w:r w:rsidRPr="00E04B2A">
        <w:rPr>
          <w:i/>
          <w:sz w:val="22"/>
          <w:lang w:val="nb-NO"/>
        </w:rPr>
        <w:t>Effektresultater</w:t>
      </w:r>
    </w:p>
    <w:p w14:paraId="21D2FF13" w14:textId="77777777" w:rsidR="000F27EB" w:rsidRPr="00E04B2A" w:rsidRDefault="000F27EB" w:rsidP="000F27EB">
      <w:pPr>
        <w:pStyle w:val="gtcbodytext"/>
        <w:spacing w:before="0" w:after="0" w:line="240" w:lineRule="auto"/>
        <w:rPr>
          <w:i/>
          <w:sz w:val="22"/>
          <w:szCs w:val="22"/>
          <w:lang w:val="nb-NO"/>
        </w:rPr>
      </w:pPr>
    </w:p>
    <w:p w14:paraId="36904CD3" w14:textId="77777777" w:rsidR="000F27EB" w:rsidRPr="00E04B2A" w:rsidRDefault="00E453CD" w:rsidP="000F27EB">
      <w:pPr>
        <w:textAlignment w:val="baseline"/>
        <w:rPr>
          <w:sz w:val="22"/>
        </w:rPr>
      </w:pPr>
      <w:r w:rsidRPr="00E04B2A">
        <w:rPr>
          <w:sz w:val="22"/>
        </w:rPr>
        <w:t>De ko-primære endepunktene i studien var klinisk remisjon iht. PMS (definert som PMS ≤</w:t>
      </w:r>
      <w:r>
        <w:rPr>
          <w:sz w:val="22"/>
        </w:rPr>
        <w:t> </w:t>
      </w:r>
      <w:r w:rsidRPr="00E04B2A">
        <w:rPr>
          <w:sz w:val="22"/>
        </w:rPr>
        <w:t xml:space="preserve">2 og ingen individuell </w:t>
      </w:r>
      <w:r w:rsidRPr="007031B5">
        <w:rPr>
          <w:sz w:val="22"/>
        </w:rPr>
        <w:t>subscore</w:t>
      </w:r>
      <w:r w:rsidRPr="00E04B2A">
        <w:rPr>
          <w:sz w:val="22"/>
        </w:rPr>
        <w:t xml:space="preserve"> &gt;</w:t>
      </w:r>
      <w:r>
        <w:rPr>
          <w:sz w:val="22"/>
        </w:rPr>
        <w:t> </w:t>
      </w:r>
      <w:r w:rsidRPr="00E04B2A">
        <w:rPr>
          <w:sz w:val="22"/>
        </w:rPr>
        <w:t xml:space="preserve">1) </w:t>
      </w:r>
      <w:r>
        <w:rPr>
          <w:sz w:val="22"/>
        </w:rPr>
        <w:t>ved</w:t>
      </w:r>
      <w:r w:rsidRPr="00E04B2A">
        <w:rPr>
          <w:sz w:val="22"/>
        </w:rPr>
        <w:t xml:space="preserve"> uke 8, og klinisk remisjon iht. FMS (</w:t>
      </w:r>
      <w:r>
        <w:rPr>
          <w:sz w:val="22"/>
        </w:rPr>
        <w:t>F</w:t>
      </w:r>
      <w:r w:rsidRPr="00E04B2A">
        <w:rPr>
          <w:sz w:val="22"/>
        </w:rPr>
        <w:t>ull Mayo</w:t>
      </w:r>
      <w:r>
        <w:rPr>
          <w:sz w:val="22"/>
        </w:rPr>
        <w:t xml:space="preserve"> S</w:t>
      </w:r>
      <w:r w:rsidRPr="00E04B2A">
        <w:rPr>
          <w:sz w:val="22"/>
        </w:rPr>
        <w:t>core) (definert som en Mayo</w:t>
      </w:r>
      <w:r>
        <w:rPr>
          <w:sz w:val="22"/>
        </w:rPr>
        <w:t xml:space="preserve"> </w:t>
      </w:r>
      <w:r w:rsidRPr="00E04B2A">
        <w:rPr>
          <w:sz w:val="22"/>
        </w:rPr>
        <w:t>score ≤</w:t>
      </w:r>
      <w:r>
        <w:rPr>
          <w:sz w:val="22"/>
        </w:rPr>
        <w:t> </w:t>
      </w:r>
      <w:r w:rsidRPr="00E04B2A">
        <w:rPr>
          <w:sz w:val="22"/>
        </w:rPr>
        <w:t xml:space="preserve">2 og ingen individuell </w:t>
      </w:r>
      <w:r w:rsidRPr="007031B5">
        <w:rPr>
          <w:sz w:val="22"/>
        </w:rPr>
        <w:t>subscore</w:t>
      </w:r>
      <w:r w:rsidRPr="00E04B2A">
        <w:rPr>
          <w:sz w:val="22"/>
        </w:rPr>
        <w:t xml:space="preserve"> &gt;</w:t>
      </w:r>
      <w:r>
        <w:rPr>
          <w:sz w:val="22"/>
        </w:rPr>
        <w:t> </w:t>
      </w:r>
      <w:r w:rsidRPr="00E04B2A">
        <w:rPr>
          <w:sz w:val="22"/>
        </w:rPr>
        <w:t xml:space="preserve">1) </w:t>
      </w:r>
      <w:r>
        <w:rPr>
          <w:sz w:val="22"/>
        </w:rPr>
        <w:t>ved</w:t>
      </w:r>
      <w:r w:rsidRPr="00E04B2A">
        <w:rPr>
          <w:sz w:val="22"/>
        </w:rPr>
        <w:t xml:space="preserve"> uke 52 hos pasienter som oppnådde klinisk respons iht. PMS </w:t>
      </w:r>
      <w:r>
        <w:rPr>
          <w:sz w:val="22"/>
        </w:rPr>
        <w:t>ved</w:t>
      </w:r>
      <w:r w:rsidRPr="00E04B2A">
        <w:rPr>
          <w:sz w:val="22"/>
        </w:rPr>
        <w:t xml:space="preserve"> uke 8.</w:t>
      </w:r>
    </w:p>
    <w:p w14:paraId="58E01B15" w14:textId="77777777" w:rsidR="000F27EB" w:rsidRPr="00E04B2A" w:rsidRDefault="000F27EB" w:rsidP="000F27EB">
      <w:pPr>
        <w:textAlignment w:val="baseline"/>
        <w:rPr>
          <w:sz w:val="22"/>
          <w:lang w:eastAsia="en-GB"/>
        </w:rPr>
      </w:pPr>
    </w:p>
    <w:p w14:paraId="287BEC11" w14:textId="77777777" w:rsidR="000F27EB" w:rsidRPr="00E04B2A" w:rsidRDefault="00E453CD" w:rsidP="000F27EB">
      <w:pPr>
        <w:textAlignment w:val="baseline"/>
        <w:rPr>
          <w:sz w:val="22"/>
        </w:rPr>
      </w:pPr>
      <w:r w:rsidRPr="00E04B2A">
        <w:rPr>
          <w:sz w:val="22"/>
        </w:rPr>
        <w:t xml:space="preserve">Kliniske remisjonsrater iht. PMS </w:t>
      </w:r>
      <w:r w:rsidR="00852DB1">
        <w:rPr>
          <w:sz w:val="22"/>
        </w:rPr>
        <w:t>ved</w:t>
      </w:r>
      <w:r w:rsidRPr="00E04B2A">
        <w:rPr>
          <w:sz w:val="22"/>
        </w:rPr>
        <w:t xml:space="preserve"> uke 8 for pasienter i hver av de dobbeltblinde</w:t>
      </w:r>
      <w:r>
        <w:rPr>
          <w:sz w:val="22"/>
        </w:rPr>
        <w:t>de</w:t>
      </w:r>
      <w:r w:rsidRPr="00E04B2A">
        <w:rPr>
          <w:sz w:val="22"/>
        </w:rPr>
        <w:t xml:space="preserve"> Humira-induksjonsgruppen</w:t>
      </w:r>
      <w:r>
        <w:rPr>
          <w:sz w:val="22"/>
        </w:rPr>
        <w:t xml:space="preserve">e er vist i </w:t>
      </w:r>
      <w:r w:rsidRPr="00E04B2A">
        <w:rPr>
          <w:sz w:val="22"/>
        </w:rPr>
        <w:t xml:space="preserve">tabell </w:t>
      </w:r>
      <w:r w:rsidR="00301726">
        <w:rPr>
          <w:sz w:val="22"/>
        </w:rPr>
        <w:t>31</w:t>
      </w:r>
      <w:r w:rsidRPr="00E04B2A">
        <w:rPr>
          <w:sz w:val="22"/>
        </w:rPr>
        <w:t>.</w:t>
      </w:r>
    </w:p>
    <w:p w14:paraId="351C102F" w14:textId="77777777" w:rsidR="000F27EB" w:rsidRPr="00E04B2A" w:rsidRDefault="00E453CD" w:rsidP="000F27EB">
      <w:pPr>
        <w:pStyle w:val="gtcbodytext"/>
        <w:spacing w:after="0" w:line="240" w:lineRule="auto"/>
        <w:jc w:val="center"/>
        <w:rPr>
          <w:sz w:val="22"/>
          <w:szCs w:val="22"/>
          <w:lang w:val="nb-NO"/>
        </w:rPr>
      </w:pPr>
      <w:r w:rsidRPr="00E04B2A">
        <w:rPr>
          <w:b/>
          <w:sz w:val="22"/>
          <w:lang w:val="nb-NO"/>
        </w:rPr>
        <w:t>Tabell </w:t>
      </w:r>
      <w:r w:rsidR="00301726">
        <w:rPr>
          <w:b/>
          <w:sz w:val="22"/>
          <w:lang w:val="nb-NO"/>
        </w:rPr>
        <w:t>31</w:t>
      </w:r>
      <w:r w:rsidRPr="00E04B2A">
        <w:rPr>
          <w:b/>
          <w:sz w:val="22"/>
          <w:lang w:val="nb-NO"/>
        </w:rPr>
        <w:t xml:space="preserve">: Klinisk remisjon iht. PMS ved </w:t>
      </w:r>
      <w:r>
        <w:rPr>
          <w:b/>
          <w:sz w:val="22"/>
          <w:lang w:val="nb-NO"/>
        </w:rPr>
        <w:t>uke 8</w:t>
      </w:r>
      <w:r w:rsidRPr="00E04B2A">
        <w:rPr>
          <w:b/>
          <w:sz w:val="22"/>
          <w:lang w:val="nb-NO"/>
        </w:rPr>
        <w:t xml:space="preserve"> </w:t>
      </w:r>
    </w:p>
    <w:tbl>
      <w:tblPr>
        <w:tblW w:w="4246" w:type="pct"/>
        <w:jc w:val="center"/>
        <w:tblLook w:val="04A0" w:firstRow="1" w:lastRow="0" w:firstColumn="1" w:lastColumn="0" w:noHBand="0" w:noVBand="1"/>
      </w:tblPr>
      <w:tblGrid>
        <w:gridCol w:w="1902"/>
        <w:gridCol w:w="2865"/>
        <w:gridCol w:w="2917"/>
      </w:tblGrid>
      <w:tr w:rsidR="004644D4" w14:paraId="78E6E17D" w14:textId="77777777" w:rsidTr="001E18BB">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A5A3E8" w14:textId="77777777" w:rsidR="000F27EB" w:rsidRPr="00E04B2A" w:rsidRDefault="000F27EB" w:rsidP="001E18BB">
            <w:pPr>
              <w:rPr>
                <w:sz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D8DC409" w14:textId="77777777" w:rsidR="000F27EB" w:rsidRPr="00501579" w:rsidRDefault="00E453CD" w:rsidP="001E18BB">
            <w:pPr>
              <w:pStyle w:val="paragraph0"/>
              <w:spacing w:before="0" w:beforeAutospacing="0" w:after="0" w:afterAutospacing="0"/>
              <w:jc w:val="center"/>
              <w:textAlignment w:val="baseline"/>
              <w:rPr>
                <w:sz w:val="22"/>
                <w:szCs w:val="22"/>
              </w:rPr>
            </w:pPr>
            <w:r w:rsidRPr="00EF5F5C">
              <w:rPr>
                <w:rStyle w:val="spellingerror"/>
                <w:b/>
                <w:sz w:val="22"/>
              </w:rPr>
              <w:t>Humira</w:t>
            </w:r>
            <w:r w:rsidRPr="00EF5F5C">
              <w:rPr>
                <w:rStyle w:val="spellingerror"/>
                <w:b/>
                <w:sz w:val="22"/>
                <w:vertAlign w:val="superscript"/>
              </w:rPr>
              <w:t>a</w:t>
            </w:r>
            <w:r w:rsidRPr="00406612">
              <w:rPr>
                <w:rStyle w:val="eop"/>
                <w:sz w:val="22"/>
              </w:rPr>
              <w:t> </w:t>
            </w:r>
          </w:p>
          <w:p w14:paraId="02A6756D" w14:textId="77777777" w:rsidR="000F27EB" w:rsidRPr="00E04B2A" w:rsidRDefault="00E453CD" w:rsidP="001E18BB">
            <w:pPr>
              <w:jc w:val="center"/>
              <w:rPr>
                <w:rStyle w:val="eop"/>
                <w:sz w:val="22"/>
              </w:rPr>
            </w:pPr>
            <w:r w:rsidRPr="00E04B2A">
              <w:rPr>
                <w:rStyle w:val="normaltextrun"/>
                <w:b/>
                <w:sz w:val="22"/>
              </w:rPr>
              <w:t>Maksim</w:t>
            </w:r>
            <w:r w:rsidRPr="001D5C5A">
              <w:rPr>
                <w:rStyle w:val="normaltextrun"/>
                <w:b/>
                <w:sz w:val="22"/>
                <w:szCs w:val="22"/>
              </w:rPr>
              <w:t>a</w:t>
            </w:r>
            <w:r w:rsidRPr="00975795">
              <w:rPr>
                <w:rStyle w:val="normaltextrun"/>
                <w:b/>
                <w:sz w:val="22"/>
                <w:szCs w:val="22"/>
              </w:rPr>
              <w:t>lt</w:t>
            </w:r>
            <w:r w:rsidRPr="00E04B2A">
              <w:rPr>
                <w:rStyle w:val="normaltextrun"/>
                <w:b/>
                <w:sz w:val="22"/>
              </w:rPr>
              <w:t xml:space="preserve"> 160</w:t>
            </w:r>
            <w:r>
              <w:rPr>
                <w:rStyle w:val="normaltextrun"/>
                <w:b/>
                <w:sz w:val="22"/>
              </w:rPr>
              <w:t> </w:t>
            </w:r>
            <w:r w:rsidRPr="00E04B2A">
              <w:rPr>
                <w:rStyle w:val="normaltextrun"/>
                <w:b/>
                <w:sz w:val="22"/>
              </w:rPr>
              <w:t xml:space="preserve">mg </w:t>
            </w:r>
            <w:r>
              <w:rPr>
                <w:rStyle w:val="normaltextrun"/>
                <w:b/>
                <w:sz w:val="22"/>
              </w:rPr>
              <w:t>ved</w:t>
            </w:r>
            <w:r w:rsidRPr="00E04B2A">
              <w:rPr>
                <w:rStyle w:val="normaltextrun"/>
                <w:b/>
                <w:sz w:val="22"/>
              </w:rPr>
              <w:t xml:space="preserve"> uke 0/placebo </w:t>
            </w:r>
            <w:r>
              <w:rPr>
                <w:rStyle w:val="normaltextrun"/>
                <w:b/>
                <w:sz w:val="22"/>
              </w:rPr>
              <w:t>ved</w:t>
            </w:r>
            <w:r w:rsidRPr="00E04B2A">
              <w:rPr>
                <w:rStyle w:val="normaltextrun"/>
                <w:b/>
                <w:sz w:val="22"/>
              </w:rPr>
              <w:t xml:space="preserve"> uke 1</w:t>
            </w:r>
          </w:p>
          <w:p w14:paraId="46F37624" w14:textId="77777777" w:rsidR="000F27EB" w:rsidRPr="00E04B2A" w:rsidRDefault="00E453CD" w:rsidP="001E18BB">
            <w:pPr>
              <w:jc w:val="center"/>
              <w:rPr>
                <w:sz w:val="22"/>
              </w:rPr>
            </w:pPr>
            <w:r w:rsidRPr="00E04B2A">
              <w:rPr>
                <w:rStyle w:val="eop"/>
                <w:sz w:val="22"/>
              </w:rPr>
              <w:t>N = 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082EFB" w14:textId="77777777" w:rsidR="000F27EB" w:rsidRPr="00501579" w:rsidRDefault="00E453CD" w:rsidP="001E18BB">
            <w:pPr>
              <w:pStyle w:val="paragraph0"/>
              <w:spacing w:before="0" w:beforeAutospacing="0" w:after="0" w:afterAutospacing="0"/>
              <w:jc w:val="center"/>
              <w:textAlignment w:val="baseline"/>
              <w:rPr>
                <w:sz w:val="22"/>
                <w:szCs w:val="22"/>
              </w:rPr>
            </w:pPr>
            <w:r w:rsidRPr="00EF5F5C">
              <w:rPr>
                <w:rStyle w:val="spellingerror"/>
                <w:b/>
                <w:sz w:val="22"/>
              </w:rPr>
              <w:t>Humira</w:t>
            </w:r>
            <w:r w:rsidRPr="00EF5F5C">
              <w:rPr>
                <w:rStyle w:val="spellingerror"/>
                <w:b/>
                <w:sz w:val="22"/>
                <w:vertAlign w:val="superscript"/>
              </w:rPr>
              <w:t>b</w:t>
            </w:r>
            <w:r w:rsidRPr="00406612">
              <w:rPr>
                <w:rStyle w:val="normaltextrun"/>
                <w:b/>
                <w:sz w:val="22"/>
                <w:vertAlign w:val="superscript"/>
              </w:rPr>
              <w:t>, c</w:t>
            </w:r>
            <w:r w:rsidRPr="00501579">
              <w:rPr>
                <w:rStyle w:val="eop"/>
                <w:sz w:val="22"/>
              </w:rPr>
              <w:t> </w:t>
            </w:r>
          </w:p>
          <w:p w14:paraId="25FF0CE1" w14:textId="77777777" w:rsidR="000F27EB" w:rsidRPr="00E04B2A" w:rsidRDefault="00E453CD" w:rsidP="001E18BB">
            <w:pPr>
              <w:jc w:val="center"/>
              <w:rPr>
                <w:rStyle w:val="eop"/>
                <w:sz w:val="22"/>
              </w:rPr>
            </w:pPr>
            <w:r w:rsidRPr="00E04B2A">
              <w:rPr>
                <w:rStyle w:val="normaltextrun"/>
                <w:b/>
                <w:sz w:val="22"/>
              </w:rPr>
              <w:t>Maksim</w:t>
            </w:r>
            <w:r>
              <w:rPr>
                <w:rStyle w:val="normaltextrun"/>
                <w:b/>
                <w:sz w:val="22"/>
              </w:rPr>
              <w:t>alt</w:t>
            </w:r>
            <w:r w:rsidRPr="00E04B2A">
              <w:rPr>
                <w:rStyle w:val="normaltextrun"/>
                <w:b/>
                <w:sz w:val="22"/>
              </w:rPr>
              <w:t xml:space="preserve"> 160</w:t>
            </w:r>
            <w:r>
              <w:rPr>
                <w:rStyle w:val="normaltextrun"/>
                <w:b/>
                <w:sz w:val="22"/>
              </w:rPr>
              <w:t> </w:t>
            </w:r>
            <w:r w:rsidRPr="00E04B2A">
              <w:rPr>
                <w:rStyle w:val="normaltextrun"/>
                <w:b/>
                <w:sz w:val="22"/>
              </w:rPr>
              <w:t xml:space="preserve">mg </w:t>
            </w:r>
            <w:r>
              <w:rPr>
                <w:rStyle w:val="normaltextrun"/>
                <w:b/>
                <w:sz w:val="22"/>
              </w:rPr>
              <w:t>ved</w:t>
            </w:r>
            <w:r w:rsidRPr="00E04B2A">
              <w:rPr>
                <w:rStyle w:val="normaltextrun"/>
                <w:b/>
                <w:sz w:val="22"/>
              </w:rPr>
              <w:t xml:space="preserve"> uke 0 og uke 1</w:t>
            </w:r>
          </w:p>
          <w:p w14:paraId="449DE855" w14:textId="77777777" w:rsidR="000F27EB" w:rsidRPr="00E04B2A" w:rsidRDefault="00E453CD" w:rsidP="001E18BB">
            <w:pPr>
              <w:jc w:val="center"/>
              <w:rPr>
                <w:sz w:val="22"/>
              </w:rPr>
            </w:pPr>
            <w:r w:rsidRPr="00E04B2A">
              <w:rPr>
                <w:rStyle w:val="eop"/>
                <w:sz w:val="22"/>
              </w:rPr>
              <w:t>N = 47</w:t>
            </w:r>
          </w:p>
        </w:tc>
      </w:tr>
      <w:tr w:rsidR="004644D4" w14:paraId="0EF1B577" w14:textId="77777777" w:rsidTr="001E18BB">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6565BB" w14:textId="77777777" w:rsidR="000F27EB" w:rsidRPr="00E04B2A" w:rsidRDefault="00E453CD" w:rsidP="001E18BB">
            <w:pPr>
              <w:rPr>
                <w:sz w:val="22"/>
              </w:rPr>
            </w:pPr>
            <w:r w:rsidRPr="00E04B2A">
              <w:rPr>
                <w:sz w:val="22"/>
              </w:rPr>
              <w:t>Klinisk remisjon</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FC915F" w14:textId="77777777" w:rsidR="000F27EB" w:rsidRPr="00E04B2A" w:rsidRDefault="00E453CD" w:rsidP="001E18BB">
            <w:pPr>
              <w:jc w:val="center"/>
              <w:rPr>
                <w:sz w:val="22"/>
              </w:rPr>
            </w:pPr>
            <w:r w:rsidRPr="00E04B2A">
              <w:rPr>
                <w:sz w:val="22"/>
              </w:rPr>
              <w:t>13/30 (43,3</w:t>
            </w:r>
            <w:r>
              <w:rPr>
                <w:sz w:val="22"/>
              </w:rPr>
              <w:t> </w:t>
            </w:r>
            <w:r w:rsidRPr="00E04B2A">
              <w:rPr>
                <w:sz w:val="22"/>
              </w:rPr>
              <w:t>%)</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61CC91" w14:textId="77777777" w:rsidR="000F27EB" w:rsidRPr="00E04B2A" w:rsidRDefault="00E453CD" w:rsidP="001E18BB">
            <w:pPr>
              <w:jc w:val="center"/>
              <w:rPr>
                <w:sz w:val="22"/>
                <w:vertAlign w:val="superscript"/>
              </w:rPr>
            </w:pPr>
            <w:r w:rsidRPr="00E04B2A">
              <w:rPr>
                <w:sz w:val="22"/>
              </w:rPr>
              <w:t>28/47 (59,6</w:t>
            </w:r>
            <w:r>
              <w:rPr>
                <w:sz w:val="22"/>
              </w:rPr>
              <w:t> </w:t>
            </w:r>
            <w:r w:rsidRPr="00E04B2A">
              <w:rPr>
                <w:sz w:val="22"/>
              </w:rPr>
              <w:t>%)</w:t>
            </w:r>
          </w:p>
        </w:tc>
      </w:tr>
      <w:tr w:rsidR="004644D4" w14:paraId="20C8EF47" w14:textId="77777777" w:rsidTr="001E18BB">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9CB4116" w14:textId="77777777" w:rsidR="000F27EB" w:rsidRPr="00501579" w:rsidRDefault="00E453CD" w:rsidP="001E18BB">
            <w:pPr>
              <w:pStyle w:val="paragraph0"/>
              <w:spacing w:before="0" w:beforeAutospacing="0" w:after="0" w:afterAutospacing="0"/>
              <w:textAlignment w:val="baseline"/>
              <w:rPr>
                <w:sz w:val="22"/>
                <w:szCs w:val="22"/>
              </w:rPr>
            </w:pPr>
            <w:r w:rsidRPr="00EF5F5C">
              <w:rPr>
                <w:rStyle w:val="normaltextrun"/>
                <w:sz w:val="22"/>
                <w:vertAlign w:val="superscript"/>
              </w:rPr>
              <w:t>a</w:t>
            </w:r>
            <w:r w:rsidRPr="00EF5F5C">
              <w:rPr>
                <w:rStyle w:val="normaltextrun"/>
                <w:sz w:val="22"/>
              </w:rPr>
              <w:t>Humira 2,4</w:t>
            </w:r>
            <w:r>
              <w:rPr>
                <w:rStyle w:val="normaltextrun"/>
                <w:sz w:val="22"/>
              </w:rPr>
              <w:t> </w:t>
            </w:r>
            <w:r w:rsidRPr="00EF5F5C">
              <w:rPr>
                <w:rStyle w:val="normaltextrun"/>
                <w:sz w:val="22"/>
              </w:rPr>
              <w:t>mg/kg (maksim</w:t>
            </w:r>
            <w:r>
              <w:rPr>
                <w:rStyle w:val="normaltextrun"/>
                <w:sz w:val="22"/>
              </w:rPr>
              <w:t>alt</w:t>
            </w:r>
            <w:r w:rsidRPr="00EF5F5C">
              <w:rPr>
                <w:rStyle w:val="normaltextrun"/>
                <w:sz w:val="22"/>
              </w:rPr>
              <w:t xml:space="preserve"> 160</w:t>
            </w:r>
            <w:r>
              <w:rPr>
                <w:rStyle w:val="normaltextrun"/>
                <w:sz w:val="22"/>
              </w:rPr>
              <w:t> </w:t>
            </w:r>
            <w:r w:rsidRPr="00EF5F5C">
              <w:rPr>
                <w:rStyle w:val="normaltextrun"/>
                <w:sz w:val="22"/>
              </w:rPr>
              <w:t>mg) i uke 0, placebo i uke 1 og 1,2</w:t>
            </w:r>
            <w:r>
              <w:rPr>
                <w:rStyle w:val="normaltextrun"/>
                <w:sz w:val="22"/>
              </w:rPr>
              <w:t> </w:t>
            </w:r>
            <w:r w:rsidRPr="00EF5F5C">
              <w:rPr>
                <w:rStyle w:val="normaltextrun"/>
                <w:sz w:val="22"/>
              </w:rPr>
              <w:t>mg/kg (maksim</w:t>
            </w:r>
            <w:r>
              <w:rPr>
                <w:rStyle w:val="normaltextrun"/>
                <w:sz w:val="22"/>
              </w:rPr>
              <w:t>alt</w:t>
            </w:r>
            <w:r w:rsidRPr="00EF5F5C">
              <w:rPr>
                <w:rStyle w:val="normaltextrun"/>
                <w:sz w:val="22"/>
              </w:rPr>
              <w:t xml:space="preserve"> 80</w:t>
            </w:r>
            <w:r>
              <w:rPr>
                <w:rStyle w:val="normaltextrun"/>
                <w:sz w:val="22"/>
              </w:rPr>
              <w:t> </w:t>
            </w:r>
            <w:r w:rsidRPr="00EF5F5C">
              <w:rPr>
                <w:rStyle w:val="normaltextrun"/>
                <w:sz w:val="22"/>
              </w:rPr>
              <w:t>mg)</w:t>
            </w:r>
            <w:r w:rsidRPr="00406612">
              <w:rPr>
                <w:rStyle w:val="normaltextrun"/>
                <w:sz w:val="22"/>
              </w:rPr>
              <w:t xml:space="preserve"> i uke 2</w:t>
            </w:r>
          </w:p>
          <w:p w14:paraId="358CE54D" w14:textId="77777777" w:rsidR="000F27EB" w:rsidRPr="008F0D97" w:rsidRDefault="00E453CD" w:rsidP="001E18BB">
            <w:pPr>
              <w:pStyle w:val="paragraph0"/>
              <w:spacing w:before="0" w:beforeAutospacing="0" w:after="0" w:afterAutospacing="0"/>
              <w:textAlignment w:val="baseline"/>
              <w:rPr>
                <w:sz w:val="22"/>
                <w:szCs w:val="22"/>
              </w:rPr>
            </w:pPr>
            <w:r w:rsidRPr="0071729B">
              <w:rPr>
                <w:rStyle w:val="normaltextrun"/>
                <w:sz w:val="22"/>
                <w:vertAlign w:val="superscript"/>
              </w:rPr>
              <w:t>b</w:t>
            </w:r>
            <w:r w:rsidRPr="00B61B62">
              <w:rPr>
                <w:rStyle w:val="normaltextrun"/>
                <w:sz w:val="22"/>
              </w:rPr>
              <w:t>Humira 2,4</w:t>
            </w:r>
            <w:r>
              <w:rPr>
                <w:rStyle w:val="normaltextrun"/>
                <w:sz w:val="22"/>
              </w:rPr>
              <w:t> </w:t>
            </w:r>
            <w:r w:rsidRPr="00B61B62">
              <w:rPr>
                <w:rStyle w:val="normaltextrun"/>
                <w:sz w:val="22"/>
              </w:rPr>
              <w:t>mg/kg (maksim</w:t>
            </w:r>
            <w:r>
              <w:rPr>
                <w:rStyle w:val="normaltextrun"/>
                <w:sz w:val="22"/>
              </w:rPr>
              <w:t>alt</w:t>
            </w:r>
            <w:r w:rsidRPr="00B61B62">
              <w:rPr>
                <w:rStyle w:val="normaltextrun"/>
                <w:sz w:val="22"/>
              </w:rPr>
              <w:t xml:space="preserve"> 160</w:t>
            </w:r>
            <w:r>
              <w:rPr>
                <w:rStyle w:val="normaltextrun"/>
                <w:sz w:val="22"/>
              </w:rPr>
              <w:t> </w:t>
            </w:r>
            <w:r w:rsidRPr="00B61B62">
              <w:rPr>
                <w:rStyle w:val="normaltextrun"/>
                <w:sz w:val="22"/>
              </w:rPr>
              <w:t>mg) i uke 0 og uke 1 og 1,2</w:t>
            </w:r>
            <w:r>
              <w:rPr>
                <w:rStyle w:val="normaltextrun"/>
                <w:sz w:val="22"/>
              </w:rPr>
              <w:t> </w:t>
            </w:r>
            <w:r w:rsidRPr="00B61B62">
              <w:rPr>
                <w:rStyle w:val="normaltextrun"/>
                <w:sz w:val="22"/>
              </w:rPr>
              <w:t>mg/kg (maksim</w:t>
            </w:r>
            <w:r>
              <w:rPr>
                <w:rStyle w:val="normaltextrun"/>
                <w:sz w:val="22"/>
              </w:rPr>
              <w:t>alt</w:t>
            </w:r>
            <w:r w:rsidRPr="00B61B62">
              <w:rPr>
                <w:rStyle w:val="normaltextrun"/>
                <w:sz w:val="22"/>
              </w:rPr>
              <w:t xml:space="preserve"> 80</w:t>
            </w:r>
            <w:r>
              <w:rPr>
                <w:rStyle w:val="normaltextrun"/>
                <w:sz w:val="22"/>
              </w:rPr>
              <w:t> </w:t>
            </w:r>
            <w:r w:rsidRPr="00B61B62">
              <w:rPr>
                <w:rStyle w:val="normaltextrun"/>
                <w:sz w:val="22"/>
              </w:rPr>
              <w:t>mg) i uke 2</w:t>
            </w:r>
            <w:r w:rsidRPr="00CA4509">
              <w:rPr>
                <w:rStyle w:val="eop"/>
                <w:sz w:val="22"/>
              </w:rPr>
              <w:t> </w:t>
            </w:r>
          </w:p>
          <w:p w14:paraId="79457B8F" w14:textId="77777777" w:rsidR="000F27EB" w:rsidRPr="0013423D" w:rsidRDefault="00E453CD" w:rsidP="001E18BB">
            <w:pPr>
              <w:pStyle w:val="paragraph0"/>
              <w:spacing w:before="0" w:beforeAutospacing="0" w:after="0" w:afterAutospacing="0"/>
              <w:textAlignment w:val="baseline"/>
              <w:rPr>
                <w:sz w:val="22"/>
                <w:szCs w:val="22"/>
              </w:rPr>
            </w:pPr>
            <w:r w:rsidRPr="00B3193F">
              <w:rPr>
                <w:rStyle w:val="normaltextrun"/>
                <w:sz w:val="22"/>
                <w:vertAlign w:val="superscript"/>
              </w:rPr>
              <w:t>c</w:t>
            </w:r>
            <w:r w:rsidRPr="00205D90">
              <w:rPr>
                <w:rStyle w:val="normaltextrun"/>
                <w:sz w:val="22"/>
              </w:rPr>
              <w:t xml:space="preserve">Inkluderer ikke åpen induksjonsdose </w:t>
            </w:r>
            <w:r w:rsidRPr="00DD085C">
              <w:rPr>
                <w:rStyle w:val="normaltextrun"/>
                <w:sz w:val="22"/>
                <w:szCs w:val="22"/>
              </w:rPr>
              <w:t>m</w:t>
            </w:r>
            <w:r w:rsidRPr="00975795">
              <w:rPr>
                <w:rStyle w:val="normaltextrun"/>
                <w:sz w:val="22"/>
                <w:szCs w:val="22"/>
              </w:rPr>
              <w:t>ed</w:t>
            </w:r>
            <w:r w:rsidRPr="00205D90">
              <w:rPr>
                <w:rStyle w:val="normaltextrun"/>
                <w:sz w:val="22"/>
              </w:rPr>
              <w:t xml:space="preserve"> Humira 2,4</w:t>
            </w:r>
            <w:r>
              <w:rPr>
                <w:rStyle w:val="normaltextrun"/>
                <w:sz w:val="22"/>
              </w:rPr>
              <w:t> </w:t>
            </w:r>
            <w:r w:rsidRPr="00205D90">
              <w:rPr>
                <w:rStyle w:val="normaltextrun"/>
                <w:sz w:val="22"/>
              </w:rPr>
              <w:t>mg/kg (maksim</w:t>
            </w:r>
            <w:r>
              <w:rPr>
                <w:rStyle w:val="normaltextrun"/>
                <w:sz w:val="22"/>
              </w:rPr>
              <w:t>alt</w:t>
            </w:r>
            <w:r w:rsidRPr="00205D90">
              <w:rPr>
                <w:rStyle w:val="normaltextrun"/>
                <w:sz w:val="22"/>
              </w:rPr>
              <w:t xml:space="preserve"> 160</w:t>
            </w:r>
            <w:r>
              <w:rPr>
                <w:rStyle w:val="normaltextrun"/>
                <w:sz w:val="22"/>
              </w:rPr>
              <w:t> </w:t>
            </w:r>
            <w:r w:rsidRPr="00205D90">
              <w:rPr>
                <w:rStyle w:val="normaltextrun"/>
                <w:sz w:val="22"/>
              </w:rPr>
              <w:t>mg) i uke 0 og uke 1 og 1,2 mg/kg (maksim</w:t>
            </w:r>
            <w:r>
              <w:rPr>
                <w:rStyle w:val="normaltextrun"/>
                <w:sz w:val="22"/>
              </w:rPr>
              <w:t>alt</w:t>
            </w:r>
            <w:r w:rsidRPr="00205D90">
              <w:rPr>
                <w:rStyle w:val="normaltextrun"/>
                <w:sz w:val="22"/>
              </w:rPr>
              <w:t xml:space="preserve"> 80</w:t>
            </w:r>
            <w:r>
              <w:rPr>
                <w:rStyle w:val="normaltextrun"/>
                <w:sz w:val="22"/>
              </w:rPr>
              <w:t> </w:t>
            </w:r>
            <w:r w:rsidRPr="00205D90">
              <w:rPr>
                <w:rStyle w:val="normaltextrun"/>
                <w:sz w:val="22"/>
              </w:rPr>
              <w:t>mg) i uke 2</w:t>
            </w:r>
          </w:p>
          <w:p w14:paraId="79A20CD0" w14:textId="77777777" w:rsidR="000F27EB" w:rsidRPr="00E54C66" w:rsidRDefault="00E453CD" w:rsidP="001E18BB">
            <w:pPr>
              <w:pStyle w:val="paragraph0"/>
              <w:spacing w:before="0" w:beforeAutospacing="0" w:after="0" w:afterAutospacing="0"/>
              <w:textAlignment w:val="baseline"/>
              <w:rPr>
                <w:sz w:val="22"/>
                <w:szCs w:val="22"/>
              </w:rPr>
            </w:pPr>
            <w:r w:rsidRPr="00480BF1">
              <w:rPr>
                <w:rStyle w:val="normaltextrun"/>
                <w:sz w:val="22"/>
              </w:rPr>
              <w:t>Merknad 1: Begge induks</w:t>
            </w:r>
            <w:r w:rsidRPr="00D479C1">
              <w:rPr>
                <w:rStyle w:val="normaltextrun"/>
                <w:sz w:val="22"/>
              </w:rPr>
              <w:t>jonsgrupper fikk 0,6</w:t>
            </w:r>
            <w:r>
              <w:rPr>
                <w:rStyle w:val="normaltextrun"/>
                <w:sz w:val="22"/>
              </w:rPr>
              <w:t> </w:t>
            </w:r>
            <w:r w:rsidRPr="00D479C1">
              <w:rPr>
                <w:rStyle w:val="normaltextrun"/>
                <w:sz w:val="22"/>
              </w:rPr>
              <w:t>mg/kg (maksimalt 40</w:t>
            </w:r>
            <w:r>
              <w:rPr>
                <w:rStyle w:val="normaltextrun"/>
                <w:sz w:val="22"/>
              </w:rPr>
              <w:t> </w:t>
            </w:r>
            <w:r w:rsidRPr="00D479C1">
              <w:rPr>
                <w:rStyle w:val="normaltextrun"/>
                <w:sz w:val="22"/>
              </w:rPr>
              <w:t>mg) i uke 4 og uke 6</w:t>
            </w:r>
          </w:p>
          <w:p w14:paraId="58D28F1B" w14:textId="77777777" w:rsidR="000F27EB" w:rsidRPr="005640DB" w:rsidRDefault="00E453CD" w:rsidP="001E18BB">
            <w:pPr>
              <w:pStyle w:val="paragraph0"/>
              <w:spacing w:before="0" w:beforeAutospacing="0" w:after="0" w:afterAutospacing="0"/>
              <w:textAlignment w:val="baseline"/>
              <w:rPr>
                <w:sz w:val="22"/>
                <w:szCs w:val="22"/>
              </w:rPr>
            </w:pPr>
            <w:r w:rsidRPr="00FA6C87">
              <w:rPr>
                <w:rStyle w:val="normaltextrun"/>
                <w:sz w:val="22"/>
              </w:rPr>
              <w:t xml:space="preserve">Merknad 2: Pasienter med manglende verdier </w:t>
            </w:r>
            <w:r>
              <w:rPr>
                <w:rStyle w:val="normaltextrun"/>
                <w:sz w:val="22"/>
              </w:rPr>
              <w:t>ved</w:t>
            </w:r>
            <w:r w:rsidRPr="00FA6C87">
              <w:rPr>
                <w:rStyle w:val="normaltextrun"/>
                <w:sz w:val="22"/>
              </w:rPr>
              <w:t xml:space="preserve"> uke 8 ble ansett som ikke å ha </w:t>
            </w:r>
            <w:r>
              <w:rPr>
                <w:rStyle w:val="normaltextrun"/>
                <w:sz w:val="22"/>
              </w:rPr>
              <w:t>opp</w:t>
            </w:r>
            <w:r w:rsidRPr="00FA6C87">
              <w:rPr>
                <w:rStyle w:val="normaltextrun"/>
                <w:sz w:val="22"/>
              </w:rPr>
              <w:t>nådd endepunktet</w:t>
            </w:r>
            <w:r w:rsidRPr="005640DB">
              <w:rPr>
                <w:rStyle w:val="eop"/>
                <w:sz w:val="22"/>
              </w:rPr>
              <w:t> </w:t>
            </w:r>
          </w:p>
        </w:tc>
      </w:tr>
    </w:tbl>
    <w:p w14:paraId="579042EB" w14:textId="77777777" w:rsidR="000F27EB" w:rsidRPr="00E04B2A" w:rsidRDefault="000F27EB" w:rsidP="000F27EB">
      <w:pPr>
        <w:rPr>
          <w:rStyle w:val="normaltextrun"/>
          <w:sz w:val="22"/>
          <w:shd w:val="clear" w:color="auto" w:fill="FFFFFF"/>
        </w:rPr>
      </w:pPr>
    </w:p>
    <w:p w14:paraId="54642030" w14:textId="77777777" w:rsidR="00994D65" w:rsidRPr="00E04B2A" w:rsidRDefault="00E453CD" w:rsidP="00994D65">
      <w:pPr>
        <w:rPr>
          <w:sz w:val="22"/>
        </w:rPr>
      </w:pPr>
      <w:r w:rsidRPr="006D23E7">
        <w:rPr>
          <w:sz w:val="22"/>
        </w:rPr>
        <w:t>Hos pasienter som fikk Humira dobbeltblindede maksimale vedlikeholdsdoser på 40</w:t>
      </w:r>
      <w:r>
        <w:rPr>
          <w:sz w:val="22"/>
        </w:rPr>
        <w:t> </w:t>
      </w:r>
      <w:r w:rsidRPr="006D23E7">
        <w:rPr>
          <w:sz w:val="22"/>
        </w:rPr>
        <w:t>mg annenhver uke (0,6</w:t>
      </w:r>
      <w:r>
        <w:rPr>
          <w:sz w:val="22"/>
        </w:rPr>
        <w:t> </w:t>
      </w:r>
      <w:r w:rsidRPr="006D23E7">
        <w:rPr>
          <w:sz w:val="22"/>
        </w:rPr>
        <w:t>mg/kg) og 40</w:t>
      </w:r>
      <w:r>
        <w:rPr>
          <w:sz w:val="22"/>
        </w:rPr>
        <w:t> </w:t>
      </w:r>
      <w:r w:rsidRPr="006D23E7">
        <w:rPr>
          <w:sz w:val="22"/>
        </w:rPr>
        <w:t>mg hver uke (0,6</w:t>
      </w:r>
      <w:r>
        <w:rPr>
          <w:sz w:val="22"/>
        </w:rPr>
        <w:t> </w:t>
      </w:r>
      <w:r w:rsidRPr="006D23E7">
        <w:rPr>
          <w:sz w:val="22"/>
        </w:rPr>
        <w:t>mg/kg) ble klinisk remisjon iht. FMS hos pasienter med respons ved uke 8, klinisk respons iht. FMS (definert som en reduksjon i Mayo score ≥</w:t>
      </w:r>
      <w:r>
        <w:rPr>
          <w:sz w:val="22"/>
        </w:rPr>
        <w:t> </w:t>
      </w:r>
      <w:r w:rsidRPr="006D23E7">
        <w:rPr>
          <w:sz w:val="22"/>
        </w:rPr>
        <w:t>3 poeng og ≥</w:t>
      </w:r>
      <w:r>
        <w:rPr>
          <w:sz w:val="22"/>
        </w:rPr>
        <w:t> </w:t>
      </w:r>
      <w:r w:rsidRPr="006D23E7">
        <w:rPr>
          <w:sz w:val="22"/>
        </w:rPr>
        <w:t>30 % fra baseline) hos pasienter med respons ved uke 8, slimhinnetilheling (definert som Mayo</w:t>
      </w:r>
      <w:r w:rsidR="005F1BCB">
        <w:rPr>
          <w:sz w:val="22"/>
        </w:rPr>
        <w:t xml:space="preserve"> </w:t>
      </w:r>
      <w:r w:rsidRPr="006D23E7">
        <w:rPr>
          <w:sz w:val="22"/>
        </w:rPr>
        <w:t>endoskopi</w:t>
      </w:r>
      <w:r w:rsidR="005F1BCB">
        <w:rPr>
          <w:sz w:val="22"/>
        </w:rPr>
        <w:t xml:space="preserve"> sub</w:t>
      </w:r>
      <w:r w:rsidRPr="006D23E7">
        <w:rPr>
          <w:sz w:val="22"/>
        </w:rPr>
        <w:t>score ≤</w:t>
      </w:r>
      <w:r>
        <w:rPr>
          <w:sz w:val="22"/>
        </w:rPr>
        <w:t> </w:t>
      </w:r>
      <w:r w:rsidRPr="006D23E7">
        <w:rPr>
          <w:sz w:val="22"/>
        </w:rPr>
        <w:t xml:space="preserve">1) hos pasienter med respons ved uke 8, klinisk remisjon iht. FMS hos pasienter i remisjon ved uke 8, og andelen pasienter i kortikosteroidfri remisjon iht. FMS hos pasienter med respons ved uke 8 vurdert ved uke 52 (tabell </w:t>
      </w:r>
      <w:r>
        <w:rPr>
          <w:sz w:val="22"/>
        </w:rPr>
        <w:t>32</w:t>
      </w:r>
      <w:r w:rsidRPr="006D23E7">
        <w:rPr>
          <w:sz w:val="22"/>
        </w:rPr>
        <w:t>).</w:t>
      </w:r>
    </w:p>
    <w:p w14:paraId="2033C414" w14:textId="77777777" w:rsidR="000F27EB" w:rsidRPr="00E04B2A" w:rsidRDefault="000F27EB" w:rsidP="000F27EB">
      <w:pPr>
        <w:rPr>
          <w:sz w:val="22"/>
        </w:rPr>
      </w:pPr>
    </w:p>
    <w:p w14:paraId="7CF609A8" w14:textId="77777777" w:rsidR="000F27EB" w:rsidRPr="00E04B2A" w:rsidRDefault="00E453CD" w:rsidP="000F27EB">
      <w:pPr>
        <w:jc w:val="center"/>
        <w:textAlignment w:val="baseline"/>
        <w:rPr>
          <w:sz w:val="22"/>
        </w:rPr>
      </w:pPr>
      <w:r w:rsidRPr="00E04B2A">
        <w:rPr>
          <w:b/>
          <w:sz w:val="22"/>
        </w:rPr>
        <w:t>Tabell </w:t>
      </w:r>
      <w:r w:rsidR="00301726">
        <w:rPr>
          <w:b/>
          <w:sz w:val="22"/>
        </w:rPr>
        <w:t>32</w:t>
      </w:r>
      <w:r w:rsidRPr="00E04B2A">
        <w:rPr>
          <w:b/>
          <w:sz w:val="22"/>
        </w:rPr>
        <w:t xml:space="preserve">: Effektresultater </w:t>
      </w:r>
      <w:r w:rsidRPr="007031B5">
        <w:rPr>
          <w:b/>
          <w:sz w:val="22"/>
        </w:rPr>
        <w:t xml:space="preserve">ved </w:t>
      </w:r>
      <w:r>
        <w:rPr>
          <w:b/>
          <w:sz w:val="22"/>
        </w:rPr>
        <w:t>uke 52</w:t>
      </w:r>
      <w:r w:rsidRPr="00E04B2A">
        <w:rPr>
          <w:sz w:val="22"/>
        </w:rPr>
        <w:t> </w:t>
      </w:r>
    </w:p>
    <w:p w14:paraId="05DD5C6F" w14:textId="77777777" w:rsidR="000F27EB" w:rsidRPr="00E04B2A" w:rsidRDefault="000F27EB" w:rsidP="000F27EB">
      <w:pPr>
        <w:jc w:val="center"/>
        <w:textAlignment w:val="baseline"/>
        <w:rPr>
          <w:sz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49"/>
        <w:gridCol w:w="2633"/>
      </w:tblGrid>
      <w:tr w:rsidR="004644D4" w14:paraId="6C79FA6C" w14:textId="77777777" w:rsidTr="001E18BB">
        <w:trPr>
          <w:trHeight w:val="912"/>
          <w:jc w:val="center"/>
        </w:trPr>
        <w:tc>
          <w:tcPr>
            <w:tcW w:w="2686" w:type="dxa"/>
            <w:tcBorders>
              <w:top w:val="single" w:sz="6" w:space="0" w:color="auto"/>
              <w:left w:val="single" w:sz="6" w:space="0" w:color="auto"/>
              <w:bottom w:val="single" w:sz="6" w:space="0" w:color="auto"/>
              <w:right w:val="single" w:sz="6" w:space="0" w:color="auto"/>
            </w:tcBorders>
            <w:hideMark/>
          </w:tcPr>
          <w:p w14:paraId="182FBF1B" w14:textId="77777777" w:rsidR="000F27EB" w:rsidRPr="00E04B2A" w:rsidRDefault="000F27EB" w:rsidP="001E18BB">
            <w:pPr>
              <w:jc w:val="center"/>
              <w:textAlignment w:val="baseline"/>
              <w:rPr>
                <w:sz w:val="22"/>
                <w:lang w:eastAsia="en-GB"/>
              </w:rPr>
            </w:pPr>
          </w:p>
        </w:tc>
        <w:tc>
          <w:tcPr>
            <w:tcW w:w="2249" w:type="dxa"/>
            <w:tcBorders>
              <w:top w:val="single" w:sz="6" w:space="0" w:color="auto"/>
              <w:left w:val="nil"/>
              <w:bottom w:val="single" w:sz="6" w:space="0" w:color="auto"/>
              <w:right w:val="single" w:sz="6" w:space="0" w:color="auto"/>
            </w:tcBorders>
            <w:vAlign w:val="center"/>
            <w:hideMark/>
          </w:tcPr>
          <w:p w14:paraId="7AC32BCC" w14:textId="77777777" w:rsidR="000F27EB" w:rsidRPr="00E04B2A" w:rsidRDefault="00E453CD" w:rsidP="001E18BB">
            <w:pPr>
              <w:jc w:val="center"/>
              <w:textAlignment w:val="baseline"/>
              <w:rPr>
                <w:sz w:val="22"/>
              </w:rPr>
            </w:pPr>
            <w:r w:rsidRPr="00E04B2A">
              <w:rPr>
                <w:b/>
                <w:sz w:val="22"/>
              </w:rPr>
              <w:t>Humira</w:t>
            </w:r>
            <w:r w:rsidRPr="00E04B2A">
              <w:rPr>
                <w:b/>
                <w:sz w:val="22"/>
                <w:vertAlign w:val="superscript"/>
              </w:rPr>
              <w:t>a</w:t>
            </w:r>
            <w:r w:rsidRPr="00E04B2A">
              <w:rPr>
                <w:b/>
                <w:sz w:val="22"/>
              </w:rPr>
              <w:t> </w:t>
            </w:r>
            <w:r w:rsidRPr="00E04B2A">
              <w:rPr>
                <w:sz w:val="22"/>
              </w:rPr>
              <w:t> </w:t>
            </w:r>
          </w:p>
          <w:p w14:paraId="2C742BC5" w14:textId="77777777" w:rsidR="000F27EB" w:rsidRPr="00E04B2A" w:rsidRDefault="00E453CD" w:rsidP="001E18BB">
            <w:pPr>
              <w:jc w:val="center"/>
              <w:textAlignment w:val="baseline"/>
              <w:rPr>
                <w:sz w:val="22"/>
              </w:rPr>
            </w:pPr>
            <w:r>
              <w:rPr>
                <w:b/>
                <w:sz w:val="22"/>
              </w:rPr>
              <w:t>Maksimalt</w:t>
            </w:r>
            <w:r w:rsidRPr="00E04B2A">
              <w:rPr>
                <w:b/>
                <w:sz w:val="22"/>
              </w:rPr>
              <w:t xml:space="preserve"> 40 mg</w:t>
            </w:r>
            <w:r w:rsidRPr="00E04B2A">
              <w:rPr>
                <w:sz w:val="22"/>
              </w:rPr>
              <w:t xml:space="preserve"> </w:t>
            </w:r>
            <w:r w:rsidRPr="00975795">
              <w:rPr>
                <w:b/>
                <w:sz w:val="22"/>
              </w:rPr>
              <w:t>annenhver uke</w:t>
            </w:r>
          </w:p>
          <w:p w14:paraId="7FBFE560" w14:textId="77777777" w:rsidR="000F27EB" w:rsidRPr="00E04B2A" w:rsidRDefault="00E453CD" w:rsidP="001E18BB">
            <w:pPr>
              <w:jc w:val="center"/>
              <w:textAlignment w:val="baseline"/>
              <w:rPr>
                <w:sz w:val="22"/>
              </w:rPr>
            </w:pPr>
            <w:r w:rsidRPr="00E04B2A">
              <w:rPr>
                <w:sz w:val="22"/>
              </w:rPr>
              <w:t>N = 31</w:t>
            </w:r>
          </w:p>
        </w:tc>
        <w:tc>
          <w:tcPr>
            <w:tcW w:w="2633" w:type="dxa"/>
            <w:tcBorders>
              <w:top w:val="single" w:sz="6" w:space="0" w:color="auto"/>
              <w:left w:val="nil"/>
              <w:bottom w:val="single" w:sz="6" w:space="0" w:color="auto"/>
              <w:right w:val="single" w:sz="6" w:space="0" w:color="auto"/>
            </w:tcBorders>
            <w:vAlign w:val="center"/>
            <w:hideMark/>
          </w:tcPr>
          <w:p w14:paraId="7FCF98A5" w14:textId="77777777" w:rsidR="000F27EB" w:rsidRPr="0015674E" w:rsidRDefault="00E453CD" w:rsidP="001E18BB">
            <w:pPr>
              <w:jc w:val="center"/>
              <w:textAlignment w:val="baseline"/>
              <w:rPr>
                <w:sz w:val="22"/>
              </w:rPr>
            </w:pPr>
            <w:r w:rsidRPr="0015674E">
              <w:rPr>
                <w:b/>
                <w:sz w:val="22"/>
              </w:rPr>
              <w:t>Humira</w:t>
            </w:r>
            <w:r w:rsidRPr="0015674E">
              <w:rPr>
                <w:b/>
                <w:sz w:val="22"/>
                <w:vertAlign w:val="superscript"/>
              </w:rPr>
              <w:t>b</w:t>
            </w:r>
            <w:r w:rsidRPr="0015674E">
              <w:rPr>
                <w:b/>
                <w:sz w:val="22"/>
              </w:rPr>
              <w:t> </w:t>
            </w:r>
            <w:r w:rsidRPr="0015674E">
              <w:rPr>
                <w:sz w:val="22"/>
              </w:rPr>
              <w:t> </w:t>
            </w:r>
          </w:p>
          <w:p w14:paraId="5A1FED0C" w14:textId="77777777" w:rsidR="000F27EB" w:rsidRPr="0015674E" w:rsidRDefault="00E453CD" w:rsidP="001E18BB">
            <w:pPr>
              <w:jc w:val="center"/>
              <w:textAlignment w:val="baseline"/>
              <w:rPr>
                <w:b/>
                <w:sz w:val="22"/>
              </w:rPr>
            </w:pPr>
            <w:r w:rsidRPr="0015674E">
              <w:rPr>
                <w:b/>
                <w:sz w:val="22"/>
              </w:rPr>
              <w:t>Maksimalt 40 mg</w:t>
            </w:r>
          </w:p>
          <w:p w14:paraId="15D5CFFC" w14:textId="77777777" w:rsidR="000F27EB" w:rsidRPr="0015674E" w:rsidRDefault="00E453CD" w:rsidP="001E18BB">
            <w:pPr>
              <w:jc w:val="center"/>
              <w:textAlignment w:val="baseline"/>
              <w:rPr>
                <w:b/>
                <w:bCs/>
                <w:sz w:val="22"/>
              </w:rPr>
            </w:pPr>
            <w:r w:rsidRPr="0015674E">
              <w:rPr>
                <w:b/>
                <w:bCs/>
                <w:sz w:val="22"/>
              </w:rPr>
              <w:t>hver uke</w:t>
            </w:r>
          </w:p>
          <w:p w14:paraId="4698BC3B" w14:textId="77777777" w:rsidR="000F27EB" w:rsidRPr="0015674E" w:rsidRDefault="00E453CD" w:rsidP="001E18BB">
            <w:pPr>
              <w:jc w:val="center"/>
              <w:textAlignment w:val="baseline"/>
              <w:rPr>
                <w:sz w:val="22"/>
              </w:rPr>
            </w:pPr>
            <w:r w:rsidRPr="0015674E">
              <w:rPr>
                <w:sz w:val="22"/>
              </w:rPr>
              <w:t>N = 31</w:t>
            </w:r>
          </w:p>
        </w:tc>
      </w:tr>
      <w:tr w:rsidR="004644D4" w14:paraId="24B346D4" w14:textId="77777777" w:rsidTr="001E18BB">
        <w:trPr>
          <w:trHeight w:val="570"/>
          <w:jc w:val="center"/>
        </w:trPr>
        <w:tc>
          <w:tcPr>
            <w:tcW w:w="2686" w:type="dxa"/>
            <w:tcBorders>
              <w:top w:val="nil"/>
              <w:left w:val="single" w:sz="6" w:space="0" w:color="auto"/>
              <w:bottom w:val="single" w:sz="6" w:space="0" w:color="auto"/>
              <w:right w:val="single" w:sz="6" w:space="0" w:color="auto"/>
            </w:tcBorders>
            <w:vAlign w:val="center"/>
            <w:hideMark/>
          </w:tcPr>
          <w:p w14:paraId="1E88FD05" w14:textId="77777777" w:rsidR="000F27EB" w:rsidRPr="00E04B2A" w:rsidRDefault="00E453CD" w:rsidP="001E18BB">
            <w:pPr>
              <w:textAlignment w:val="baseline"/>
              <w:rPr>
                <w:sz w:val="22"/>
              </w:rPr>
            </w:pPr>
            <w:r w:rsidRPr="00E04B2A">
              <w:rPr>
                <w:sz w:val="22"/>
              </w:rPr>
              <w:t>Klinisk remisjon hos uke 8 PMS-respondere</w:t>
            </w:r>
          </w:p>
        </w:tc>
        <w:tc>
          <w:tcPr>
            <w:tcW w:w="2249" w:type="dxa"/>
            <w:tcBorders>
              <w:top w:val="nil"/>
              <w:left w:val="nil"/>
              <w:bottom w:val="single" w:sz="6" w:space="0" w:color="auto"/>
              <w:right w:val="single" w:sz="6" w:space="0" w:color="auto"/>
            </w:tcBorders>
            <w:vAlign w:val="center"/>
            <w:hideMark/>
          </w:tcPr>
          <w:p w14:paraId="085F5EFE" w14:textId="77777777" w:rsidR="000F27EB" w:rsidRPr="00E04B2A" w:rsidRDefault="00E453CD" w:rsidP="001E18BB">
            <w:pPr>
              <w:jc w:val="center"/>
              <w:textAlignment w:val="baseline"/>
              <w:rPr>
                <w:sz w:val="22"/>
              </w:rPr>
            </w:pPr>
            <w:r w:rsidRPr="00E04B2A">
              <w:rPr>
                <w:sz w:val="22"/>
              </w:rPr>
              <w:t>9/31 (29,0</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4DCBF643" w14:textId="77777777" w:rsidR="000F27EB" w:rsidRPr="00E04B2A" w:rsidRDefault="00E453CD" w:rsidP="001E18BB">
            <w:pPr>
              <w:jc w:val="center"/>
              <w:textAlignment w:val="baseline"/>
              <w:rPr>
                <w:sz w:val="22"/>
              </w:rPr>
            </w:pPr>
            <w:r w:rsidRPr="00E04B2A">
              <w:rPr>
                <w:sz w:val="22"/>
              </w:rPr>
              <w:t>14/31 (45,2</w:t>
            </w:r>
            <w:r>
              <w:rPr>
                <w:sz w:val="22"/>
              </w:rPr>
              <w:t> </w:t>
            </w:r>
            <w:r w:rsidRPr="00E04B2A">
              <w:rPr>
                <w:sz w:val="22"/>
              </w:rPr>
              <w:t>%)</w:t>
            </w:r>
          </w:p>
        </w:tc>
      </w:tr>
      <w:tr w:rsidR="004644D4" w14:paraId="7E020147" w14:textId="77777777" w:rsidTr="001E18BB">
        <w:trPr>
          <w:trHeight w:val="555"/>
          <w:jc w:val="center"/>
        </w:trPr>
        <w:tc>
          <w:tcPr>
            <w:tcW w:w="2686" w:type="dxa"/>
            <w:tcBorders>
              <w:top w:val="nil"/>
              <w:left w:val="single" w:sz="6" w:space="0" w:color="auto"/>
              <w:bottom w:val="single" w:sz="6" w:space="0" w:color="auto"/>
              <w:right w:val="single" w:sz="6" w:space="0" w:color="auto"/>
            </w:tcBorders>
            <w:vAlign w:val="center"/>
            <w:hideMark/>
          </w:tcPr>
          <w:p w14:paraId="0CB0E85E" w14:textId="77777777" w:rsidR="000F27EB" w:rsidRPr="00E04B2A" w:rsidRDefault="00E453CD" w:rsidP="001E18BB">
            <w:pPr>
              <w:textAlignment w:val="baseline"/>
              <w:rPr>
                <w:sz w:val="22"/>
              </w:rPr>
            </w:pPr>
            <w:r w:rsidRPr="00E04B2A">
              <w:rPr>
                <w:sz w:val="22"/>
              </w:rPr>
              <w:t>Klinisk respons hos uke 8 PMS-respondere</w:t>
            </w:r>
          </w:p>
        </w:tc>
        <w:tc>
          <w:tcPr>
            <w:tcW w:w="2249" w:type="dxa"/>
            <w:tcBorders>
              <w:top w:val="nil"/>
              <w:left w:val="nil"/>
              <w:bottom w:val="single" w:sz="6" w:space="0" w:color="auto"/>
              <w:right w:val="single" w:sz="6" w:space="0" w:color="auto"/>
            </w:tcBorders>
            <w:vAlign w:val="center"/>
            <w:hideMark/>
          </w:tcPr>
          <w:p w14:paraId="79CF1E35" w14:textId="77777777" w:rsidR="000F27EB" w:rsidRPr="00E04B2A" w:rsidRDefault="00E453CD" w:rsidP="001E18BB">
            <w:pPr>
              <w:jc w:val="center"/>
              <w:textAlignment w:val="baseline"/>
              <w:rPr>
                <w:sz w:val="22"/>
              </w:rPr>
            </w:pPr>
            <w:r w:rsidRPr="00E04B2A">
              <w:rPr>
                <w:sz w:val="22"/>
              </w:rPr>
              <w:t>19/31 (61,3</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19C6E313" w14:textId="77777777" w:rsidR="000F27EB" w:rsidRPr="00E04B2A" w:rsidRDefault="00E453CD" w:rsidP="001E18BB">
            <w:pPr>
              <w:jc w:val="center"/>
              <w:textAlignment w:val="baseline"/>
              <w:rPr>
                <w:sz w:val="22"/>
              </w:rPr>
            </w:pPr>
            <w:r w:rsidRPr="00E04B2A">
              <w:rPr>
                <w:sz w:val="22"/>
              </w:rPr>
              <w:t>21/31 (67,7</w:t>
            </w:r>
            <w:r>
              <w:rPr>
                <w:sz w:val="22"/>
              </w:rPr>
              <w:t> </w:t>
            </w:r>
            <w:r w:rsidRPr="00E04B2A">
              <w:rPr>
                <w:sz w:val="22"/>
              </w:rPr>
              <w:t>%) </w:t>
            </w:r>
          </w:p>
        </w:tc>
      </w:tr>
      <w:tr w:rsidR="004644D4" w14:paraId="26EA5D57" w14:textId="77777777" w:rsidTr="001E18BB">
        <w:trPr>
          <w:jc w:val="center"/>
        </w:trPr>
        <w:tc>
          <w:tcPr>
            <w:tcW w:w="2686" w:type="dxa"/>
            <w:tcBorders>
              <w:top w:val="nil"/>
              <w:left w:val="single" w:sz="6" w:space="0" w:color="auto"/>
              <w:bottom w:val="single" w:sz="6" w:space="0" w:color="auto"/>
              <w:right w:val="single" w:sz="6" w:space="0" w:color="auto"/>
            </w:tcBorders>
            <w:vAlign w:val="center"/>
            <w:hideMark/>
          </w:tcPr>
          <w:p w14:paraId="2DF7F588" w14:textId="77777777" w:rsidR="000F27EB" w:rsidRPr="00E04B2A" w:rsidRDefault="00E453CD" w:rsidP="001E18BB">
            <w:pPr>
              <w:textAlignment w:val="baseline"/>
              <w:rPr>
                <w:sz w:val="22"/>
              </w:rPr>
            </w:pPr>
            <w:r w:rsidRPr="00E04B2A">
              <w:rPr>
                <w:sz w:val="22"/>
              </w:rPr>
              <w:t>Slimhinne</w:t>
            </w:r>
            <w:r>
              <w:rPr>
                <w:sz w:val="22"/>
              </w:rPr>
              <w:t>til</w:t>
            </w:r>
            <w:r w:rsidRPr="00E04B2A">
              <w:rPr>
                <w:sz w:val="22"/>
              </w:rPr>
              <w:t>heling hos uke 8 PMS-respondere</w:t>
            </w:r>
          </w:p>
        </w:tc>
        <w:tc>
          <w:tcPr>
            <w:tcW w:w="2249" w:type="dxa"/>
            <w:tcBorders>
              <w:top w:val="nil"/>
              <w:left w:val="nil"/>
              <w:bottom w:val="single" w:sz="6" w:space="0" w:color="auto"/>
              <w:right w:val="single" w:sz="6" w:space="0" w:color="auto"/>
            </w:tcBorders>
            <w:vAlign w:val="center"/>
            <w:hideMark/>
          </w:tcPr>
          <w:p w14:paraId="1C933C3F" w14:textId="77777777" w:rsidR="000F27EB" w:rsidRPr="00E04B2A" w:rsidRDefault="00E453CD" w:rsidP="001E18BB">
            <w:pPr>
              <w:jc w:val="center"/>
              <w:textAlignment w:val="baseline"/>
              <w:rPr>
                <w:sz w:val="22"/>
              </w:rPr>
            </w:pPr>
            <w:r w:rsidRPr="00E04B2A">
              <w:rPr>
                <w:sz w:val="22"/>
              </w:rPr>
              <w:t>12/31 (38,7</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577B0E8F" w14:textId="77777777" w:rsidR="000F27EB" w:rsidRPr="00E04B2A" w:rsidRDefault="00E453CD" w:rsidP="001E18BB">
            <w:pPr>
              <w:jc w:val="center"/>
              <w:textAlignment w:val="baseline"/>
              <w:rPr>
                <w:sz w:val="22"/>
              </w:rPr>
            </w:pPr>
            <w:r w:rsidRPr="00E04B2A">
              <w:rPr>
                <w:sz w:val="22"/>
              </w:rPr>
              <w:t>16/31 (51,6</w:t>
            </w:r>
            <w:r>
              <w:rPr>
                <w:sz w:val="22"/>
              </w:rPr>
              <w:t> </w:t>
            </w:r>
            <w:r w:rsidRPr="00E04B2A">
              <w:rPr>
                <w:sz w:val="22"/>
              </w:rPr>
              <w:t>%) </w:t>
            </w:r>
          </w:p>
        </w:tc>
      </w:tr>
      <w:tr w:rsidR="004644D4" w14:paraId="17E21A67" w14:textId="77777777" w:rsidTr="001E18BB">
        <w:trPr>
          <w:jc w:val="center"/>
        </w:trPr>
        <w:tc>
          <w:tcPr>
            <w:tcW w:w="2686" w:type="dxa"/>
            <w:tcBorders>
              <w:top w:val="nil"/>
              <w:left w:val="single" w:sz="6" w:space="0" w:color="auto"/>
              <w:bottom w:val="single" w:sz="6" w:space="0" w:color="auto"/>
              <w:right w:val="single" w:sz="6" w:space="0" w:color="auto"/>
            </w:tcBorders>
            <w:vAlign w:val="center"/>
            <w:hideMark/>
          </w:tcPr>
          <w:p w14:paraId="080BA0D6" w14:textId="77777777" w:rsidR="000F27EB" w:rsidRPr="00E04B2A" w:rsidRDefault="00E453CD" w:rsidP="001E18BB">
            <w:pPr>
              <w:textAlignment w:val="baseline"/>
              <w:rPr>
                <w:sz w:val="22"/>
              </w:rPr>
            </w:pPr>
            <w:r w:rsidRPr="00E04B2A">
              <w:rPr>
                <w:sz w:val="22"/>
              </w:rPr>
              <w:lastRenderedPageBreak/>
              <w:t>Klinisk remisjon hos uke 8 PMS-</w:t>
            </w:r>
            <w:r>
              <w:rPr>
                <w:sz w:val="22"/>
              </w:rPr>
              <w:t>pasienter i remisjon</w:t>
            </w:r>
          </w:p>
        </w:tc>
        <w:tc>
          <w:tcPr>
            <w:tcW w:w="2249" w:type="dxa"/>
            <w:tcBorders>
              <w:top w:val="nil"/>
              <w:left w:val="nil"/>
              <w:bottom w:val="single" w:sz="6" w:space="0" w:color="auto"/>
              <w:right w:val="single" w:sz="6" w:space="0" w:color="auto"/>
            </w:tcBorders>
            <w:vAlign w:val="center"/>
            <w:hideMark/>
          </w:tcPr>
          <w:p w14:paraId="4125D722" w14:textId="77777777" w:rsidR="000F27EB" w:rsidRPr="00E04B2A" w:rsidRDefault="00E453CD" w:rsidP="001E18BB">
            <w:pPr>
              <w:jc w:val="center"/>
              <w:textAlignment w:val="baseline"/>
              <w:rPr>
                <w:sz w:val="22"/>
              </w:rPr>
            </w:pPr>
            <w:r w:rsidRPr="00E04B2A">
              <w:rPr>
                <w:sz w:val="22"/>
              </w:rPr>
              <w:t>9/21 (42,9</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63BAFF54" w14:textId="77777777" w:rsidR="000F27EB" w:rsidRPr="00E04B2A" w:rsidRDefault="00E453CD" w:rsidP="001E18BB">
            <w:pPr>
              <w:jc w:val="center"/>
              <w:textAlignment w:val="baseline"/>
              <w:rPr>
                <w:sz w:val="22"/>
              </w:rPr>
            </w:pPr>
            <w:r w:rsidRPr="00E04B2A">
              <w:rPr>
                <w:sz w:val="22"/>
              </w:rPr>
              <w:t>10/22 (45,5</w:t>
            </w:r>
            <w:r>
              <w:rPr>
                <w:sz w:val="22"/>
              </w:rPr>
              <w:t> </w:t>
            </w:r>
            <w:r w:rsidRPr="00E04B2A">
              <w:rPr>
                <w:sz w:val="22"/>
              </w:rPr>
              <w:t>%) </w:t>
            </w:r>
          </w:p>
        </w:tc>
      </w:tr>
      <w:tr w:rsidR="004644D4" w14:paraId="259ECDAE" w14:textId="77777777" w:rsidTr="001E18BB">
        <w:trPr>
          <w:jc w:val="center"/>
        </w:trPr>
        <w:tc>
          <w:tcPr>
            <w:tcW w:w="2686" w:type="dxa"/>
            <w:tcBorders>
              <w:top w:val="nil"/>
              <w:left w:val="single" w:sz="6" w:space="0" w:color="auto"/>
              <w:bottom w:val="single" w:sz="6" w:space="0" w:color="auto"/>
              <w:right w:val="single" w:sz="6" w:space="0" w:color="auto"/>
            </w:tcBorders>
            <w:vAlign w:val="center"/>
            <w:hideMark/>
          </w:tcPr>
          <w:p w14:paraId="581B8F93" w14:textId="77777777" w:rsidR="000F27EB" w:rsidRPr="00E04B2A" w:rsidRDefault="00E453CD" w:rsidP="001E18BB">
            <w:pPr>
              <w:textAlignment w:val="baseline"/>
              <w:rPr>
                <w:sz w:val="22"/>
              </w:rPr>
            </w:pPr>
            <w:r w:rsidRPr="00F47FD5">
              <w:rPr>
                <w:sz w:val="22"/>
              </w:rPr>
              <w:t>Kortikosteroidfri remisjon</w:t>
            </w:r>
            <w:r w:rsidRPr="00E04B2A">
              <w:rPr>
                <w:sz w:val="22"/>
              </w:rPr>
              <w:t xml:space="preserve"> hos uke 8 PMS-respondere</w:t>
            </w:r>
            <w:r w:rsidRPr="00975795">
              <w:rPr>
                <w:szCs w:val="22"/>
                <w:vertAlign w:val="superscript"/>
                <w:lang w:eastAsia="en-GB"/>
              </w:rPr>
              <w:t>c</w:t>
            </w:r>
            <w:r w:rsidRPr="00E04B2A">
              <w:rPr>
                <w:sz w:val="22"/>
              </w:rPr>
              <w:t> </w:t>
            </w:r>
          </w:p>
        </w:tc>
        <w:tc>
          <w:tcPr>
            <w:tcW w:w="2249" w:type="dxa"/>
            <w:tcBorders>
              <w:top w:val="nil"/>
              <w:left w:val="nil"/>
              <w:bottom w:val="single" w:sz="6" w:space="0" w:color="auto"/>
              <w:right w:val="single" w:sz="6" w:space="0" w:color="auto"/>
            </w:tcBorders>
            <w:vAlign w:val="center"/>
            <w:hideMark/>
          </w:tcPr>
          <w:p w14:paraId="345FD00C" w14:textId="77777777" w:rsidR="000F27EB" w:rsidRPr="00E04B2A" w:rsidRDefault="00E453CD" w:rsidP="001E18BB">
            <w:pPr>
              <w:jc w:val="center"/>
              <w:textAlignment w:val="baseline"/>
              <w:rPr>
                <w:sz w:val="22"/>
              </w:rPr>
            </w:pPr>
            <w:r w:rsidRPr="00E04B2A">
              <w:rPr>
                <w:sz w:val="22"/>
              </w:rPr>
              <w:t>4/13 (30,8</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5ABD2770" w14:textId="77777777" w:rsidR="000F27EB" w:rsidRPr="00E04B2A" w:rsidRDefault="00E453CD" w:rsidP="001E18BB">
            <w:pPr>
              <w:jc w:val="center"/>
              <w:textAlignment w:val="baseline"/>
              <w:rPr>
                <w:sz w:val="22"/>
              </w:rPr>
            </w:pPr>
            <w:r w:rsidRPr="00E04B2A">
              <w:rPr>
                <w:sz w:val="22"/>
              </w:rPr>
              <w:t>5/16 (31,3</w:t>
            </w:r>
            <w:r>
              <w:rPr>
                <w:sz w:val="22"/>
              </w:rPr>
              <w:t> </w:t>
            </w:r>
            <w:r w:rsidRPr="00E04B2A">
              <w:rPr>
                <w:sz w:val="22"/>
              </w:rPr>
              <w:t>%) </w:t>
            </w:r>
          </w:p>
        </w:tc>
      </w:tr>
      <w:tr w:rsidR="004644D4" w14:paraId="59E3A48A" w14:textId="77777777" w:rsidTr="001E18BB">
        <w:trPr>
          <w:jc w:val="center"/>
        </w:trPr>
        <w:tc>
          <w:tcPr>
            <w:tcW w:w="7568" w:type="dxa"/>
            <w:gridSpan w:val="3"/>
            <w:tcBorders>
              <w:top w:val="nil"/>
              <w:left w:val="single" w:sz="6" w:space="0" w:color="auto"/>
              <w:bottom w:val="single" w:sz="6" w:space="0" w:color="auto"/>
              <w:right w:val="single" w:sz="6" w:space="0" w:color="auto"/>
            </w:tcBorders>
            <w:hideMark/>
          </w:tcPr>
          <w:p w14:paraId="58454574" w14:textId="77777777" w:rsidR="000F27EB" w:rsidRPr="00E04B2A" w:rsidRDefault="00E453CD" w:rsidP="001E18BB">
            <w:pPr>
              <w:textAlignment w:val="baseline"/>
              <w:rPr>
                <w:sz w:val="22"/>
              </w:rPr>
            </w:pPr>
            <w:r w:rsidRPr="00E04B2A">
              <w:rPr>
                <w:sz w:val="22"/>
                <w:vertAlign w:val="superscript"/>
              </w:rPr>
              <w:t>a</w:t>
            </w:r>
            <w:r w:rsidRPr="00E04B2A">
              <w:rPr>
                <w:sz w:val="22"/>
              </w:rPr>
              <w:t>Humira 0,6</w:t>
            </w:r>
            <w:r>
              <w:rPr>
                <w:sz w:val="22"/>
              </w:rPr>
              <w:t> </w:t>
            </w:r>
            <w:r w:rsidRPr="00E04B2A">
              <w:rPr>
                <w:sz w:val="22"/>
              </w:rPr>
              <w:t>mg/kg (maksimalt 40</w:t>
            </w:r>
            <w:r>
              <w:rPr>
                <w:sz w:val="22"/>
              </w:rPr>
              <w:t> </w:t>
            </w:r>
            <w:r w:rsidRPr="00E04B2A">
              <w:rPr>
                <w:sz w:val="22"/>
              </w:rPr>
              <w:t>mg) annenhver uke </w:t>
            </w:r>
          </w:p>
          <w:p w14:paraId="74866AA6" w14:textId="77777777" w:rsidR="000F27EB" w:rsidRPr="00E04B2A" w:rsidRDefault="00E453CD" w:rsidP="001E18BB">
            <w:pPr>
              <w:textAlignment w:val="baseline"/>
              <w:rPr>
                <w:sz w:val="22"/>
              </w:rPr>
            </w:pPr>
            <w:r w:rsidRPr="00E04B2A">
              <w:rPr>
                <w:sz w:val="22"/>
                <w:vertAlign w:val="superscript"/>
              </w:rPr>
              <w:t>b</w:t>
            </w:r>
            <w:r w:rsidRPr="00E04B2A">
              <w:rPr>
                <w:sz w:val="22"/>
              </w:rPr>
              <w:t>Humira 0,6</w:t>
            </w:r>
            <w:r>
              <w:rPr>
                <w:sz w:val="22"/>
              </w:rPr>
              <w:t> </w:t>
            </w:r>
            <w:r w:rsidRPr="00E04B2A">
              <w:rPr>
                <w:sz w:val="22"/>
              </w:rPr>
              <w:t>mg/kg (maksimalt 40</w:t>
            </w:r>
            <w:r>
              <w:rPr>
                <w:sz w:val="22"/>
              </w:rPr>
              <w:t> </w:t>
            </w:r>
            <w:r w:rsidRPr="00E04B2A">
              <w:rPr>
                <w:sz w:val="22"/>
              </w:rPr>
              <w:t>mg) hver uke </w:t>
            </w:r>
          </w:p>
          <w:p w14:paraId="63B657A4" w14:textId="77777777" w:rsidR="000F27EB" w:rsidRPr="00E04B2A" w:rsidRDefault="00E453CD" w:rsidP="001E18BB">
            <w:pPr>
              <w:textAlignment w:val="baseline"/>
              <w:rPr>
                <w:sz w:val="22"/>
              </w:rPr>
            </w:pPr>
            <w:r w:rsidRPr="00E04B2A">
              <w:rPr>
                <w:sz w:val="22"/>
                <w:vertAlign w:val="superscript"/>
              </w:rPr>
              <w:t>c</w:t>
            </w:r>
            <w:r w:rsidRPr="00E04B2A">
              <w:rPr>
                <w:sz w:val="22"/>
              </w:rPr>
              <w:t>Hos pasienter som samtidig fikk kortikosteroider ved baseline </w:t>
            </w:r>
          </w:p>
          <w:p w14:paraId="654D19CC" w14:textId="77777777" w:rsidR="000F27EB" w:rsidRPr="00E04B2A" w:rsidRDefault="00E453CD" w:rsidP="001E18BB">
            <w:pPr>
              <w:textAlignment w:val="baseline"/>
              <w:rPr>
                <w:sz w:val="22"/>
              </w:rPr>
            </w:pPr>
            <w:r w:rsidRPr="00E04B2A">
              <w:rPr>
                <w:sz w:val="22"/>
              </w:rPr>
              <w:t xml:space="preserve">Merknad: Pasienter med manglende verdier </w:t>
            </w:r>
            <w:r>
              <w:rPr>
                <w:sz w:val="22"/>
              </w:rPr>
              <w:t>ved</w:t>
            </w:r>
            <w:r w:rsidRPr="00E04B2A">
              <w:rPr>
                <w:sz w:val="22"/>
              </w:rPr>
              <w:t xml:space="preserve"> uke 52 eller som ble randomisert til å få gjentatt induksjons- eller vedlikeholdsbehandling ble ansett som ikke-responderende for endepunktene </w:t>
            </w:r>
            <w:r>
              <w:rPr>
                <w:sz w:val="22"/>
              </w:rPr>
              <w:t>ved</w:t>
            </w:r>
            <w:r w:rsidRPr="00E04B2A">
              <w:rPr>
                <w:sz w:val="22"/>
              </w:rPr>
              <w:t xml:space="preserve"> uke 52 </w:t>
            </w:r>
          </w:p>
        </w:tc>
      </w:tr>
    </w:tbl>
    <w:p w14:paraId="0D2C1E86" w14:textId="77777777" w:rsidR="000F27EB" w:rsidRPr="00E04B2A" w:rsidRDefault="000F27EB" w:rsidP="000F27EB">
      <w:pPr>
        <w:rPr>
          <w:sz w:val="22"/>
        </w:rPr>
      </w:pPr>
    </w:p>
    <w:p w14:paraId="709BACBB" w14:textId="77777777" w:rsidR="000F27EB" w:rsidRPr="00975795" w:rsidRDefault="00E453CD" w:rsidP="000F27EB">
      <w:pPr>
        <w:rPr>
          <w:sz w:val="22"/>
          <w:szCs w:val="22"/>
        </w:rPr>
      </w:pPr>
      <w:r w:rsidRPr="00047F3C">
        <w:rPr>
          <w:sz w:val="22"/>
          <w:szCs w:val="22"/>
        </w:rPr>
        <w:t xml:space="preserve">Andre effektendepunkter inkluderte klinisk respons </w:t>
      </w:r>
      <w:r w:rsidRPr="00975795">
        <w:rPr>
          <w:sz w:val="22"/>
          <w:szCs w:val="22"/>
        </w:rPr>
        <w:t xml:space="preserve">iht. Paediatric Ulcerative Colitis Activity Index (PUCAI) (definert som en reduksjon i PUCAI ≥ 20 poeng fra baseline) og klinisk remisjon iht. PUCAI (definert som PUCAI &lt; 10) ved uke 8 og uke 52 (tabell </w:t>
      </w:r>
      <w:r w:rsidR="00301726">
        <w:rPr>
          <w:sz w:val="22"/>
          <w:szCs w:val="22"/>
        </w:rPr>
        <w:t>33</w:t>
      </w:r>
      <w:r w:rsidRPr="00975795">
        <w:rPr>
          <w:sz w:val="22"/>
          <w:szCs w:val="22"/>
        </w:rPr>
        <w:t xml:space="preserve">). </w:t>
      </w:r>
    </w:p>
    <w:p w14:paraId="1F3E68AA" w14:textId="77777777" w:rsidR="000F27EB" w:rsidRPr="00E04B2A" w:rsidRDefault="000F27EB" w:rsidP="000F27EB">
      <w:pPr>
        <w:rPr>
          <w:sz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4644D4" w14:paraId="5597CE66" w14:textId="77777777" w:rsidTr="001E18BB">
        <w:trPr>
          <w:trHeight w:val="60"/>
          <w:jc w:val="center"/>
        </w:trPr>
        <w:tc>
          <w:tcPr>
            <w:tcW w:w="8262" w:type="dxa"/>
            <w:gridSpan w:val="3"/>
            <w:tcMar>
              <w:top w:w="0" w:type="dxa"/>
              <w:left w:w="108" w:type="dxa"/>
              <w:bottom w:w="0" w:type="dxa"/>
              <w:right w:w="108" w:type="dxa"/>
            </w:tcMar>
            <w:hideMark/>
          </w:tcPr>
          <w:p w14:paraId="3841F66F" w14:textId="77777777" w:rsidR="000F27EB" w:rsidRPr="00E04B2A" w:rsidRDefault="00E453CD" w:rsidP="001E18BB">
            <w:pPr>
              <w:jc w:val="center"/>
              <w:rPr>
                <w:b/>
                <w:bCs/>
                <w:sz w:val="22"/>
              </w:rPr>
            </w:pPr>
            <w:r w:rsidRPr="00E04B2A">
              <w:rPr>
                <w:b/>
                <w:sz w:val="22"/>
              </w:rPr>
              <w:t>Tabell </w:t>
            </w:r>
            <w:r w:rsidR="00301726">
              <w:rPr>
                <w:b/>
                <w:sz w:val="22"/>
              </w:rPr>
              <w:t>33</w:t>
            </w:r>
            <w:r w:rsidRPr="00E04B2A">
              <w:rPr>
                <w:b/>
                <w:sz w:val="22"/>
              </w:rPr>
              <w:t xml:space="preserve">: </w:t>
            </w:r>
            <w:r>
              <w:rPr>
                <w:b/>
                <w:sz w:val="22"/>
              </w:rPr>
              <w:t>E</w:t>
            </w:r>
            <w:r w:rsidRPr="00E04B2A">
              <w:rPr>
                <w:b/>
                <w:sz w:val="22"/>
              </w:rPr>
              <w:t>ndepunktresultater iht. PUCAI</w:t>
            </w:r>
          </w:p>
        </w:tc>
      </w:tr>
      <w:tr w:rsidR="004644D4" w14:paraId="67661E96" w14:textId="77777777" w:rsidTr="001E18BB">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3BD6033C" w14:textId="77777777" w:rsidR="000F27EB" w:rsidRPr="00E04B2A" w:rsidRDefault="000F27EB" w:rsidP="001E18BB">
            <w:pPr>
              <w:rPr>
                <w:sz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6E905" w14:textId="77777777" w:rsidR="000F27EB" w:rsidRPr="00E04B2A" w:rsidRDefault="00E453CD" w:rsidP="001E18BB">
            <w:pPr>
              <w:jc w:val="center"/>
              <w:rPr>
                <w:b/>
                <w:bCs/>
                <w:sz w:val="22"/>
              </w:rPr>
            </w:pPr>
            <w:r w:rsidRPr="00E04B2A">
              <w:rPr>
                <w:b/>
                <w:sz w:val="22"/>
              </w:rPr>
              <w:t>Uke 8</w:t>
            </w:r>
          </w:p>
        </w:tc>
      </w:tr>
      <w:tr w:rsidR="004644D4" w14:paraId="22C032FC" w14:textId="77777777" w:rsidTr="001E18BB">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53B03C0E" w14:textId="77777777" w:rsidR="000F27EB" w:rsidRPr="00E04B2A" w:rsidRDefault="000F27EB" w:rsidP="001E18BB">
            <w:pPr>
              <w:rPr>
                <w:sz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CBD94" w14:textId="77777777" w:rsidR="000F27EB" w:rsidRPr="00E04B2A" w:rsidRDefault="00E453CD" w:rsidP="001E18BB">
            <w:pPr>
              <w:jc w:val="center"/>
              <w:rPr>
                <w:b/>
                <w:bCs/>
                <w:sz w:val="22"/>
                <w:vertAlign w:val="superscript"/>
              </w:rPr>
            </w:pPr>
            <w:r w:rsidRPr="00E04B2A">
              <w:rPr>
                <w:b/>
                <w:sz w:val="22"/>
              </w:rPr>
              <w:t>Humira</w:t>
            </w:r>
            <w:r w:rsidRPr="00E04B2A">
              <w:rPr>
                <w:b/>
                <w:sz w:val="22"/>
                <w:vertAlign w:val="superscript"/>
              </w:rPr>
              <w:t>a</w:t>
            </w:r>
          </w:p>
          <w:p w14:paraId="3D019E19" w14:textId="77777777" w:rsidR="000F27EB" w:rsidRPr="00E04B2A" w:rsidRDefault="00E453CD" w:rsidP="001E18BB">
            <w:pPr>
              <w:jc w:val="center"/>
              <w:rPr>
                <w:b/>
                <w:bCs/>
                <w:sz w:val="22"/>
              </w:rPr>
            </w:pPr>
            <w:r>
              <w:rPr>
                <w:b/>
                <w:sz w:val="22"/>
              </w:rPr>
              <w:t>Maksimalt</w:t>
            </w:r>
            <w:r w:rsidRPr="00E04B2A">
              <w:rPr>
                <w:b/>
                <w:sz w:val="22"/>
              </w:rPr>
              <w:t xml:space="preserve"> 160</w:t>
            </w:r>
            <w:r>
              <w:rPr>
                <w:b/>
                <w:sz w:val="22"/>
              </w:rPr>
              <w:t> </w:t>
            </w:r>
            <w:r w:rsidRPr="00E04B2A">
              <w:rPr>
                <w:b/>
                <w:sz w:val="22"/>
              </w:rPr>
              <w:t xml:space="preserve">mg </w:t>
            </w:r>
            <w:r w:rsidRPr="001D5C5A">
              <w:rPr>
                <w:b/>
                <w:sz w:val="22"/>
              </w:rPr>
              <w:t>v</w:t>
            </w:r>
            <w:r w:rsidRPr="00975795">
              <w:rPr>
                <w:b/>
                <w:sz w:val="22"/>
                <w:szCs w:val="22"/>
              </w:rPr>
              <w:t>ed</w:t>
            </w:r>
            <w:r w:rsidRPr="00E04B2A">
              <w:rPr>
                <w:b/>
                <w:sz w:val="22"/>
              </w:rPr>
              <w:t xml:space="preserve"> uke 0/placebo</w:t>
            </w:r>
            <w:r>
              <w:rPr>
                <w:b/>
                <w:sz w:val="22"/>
              </w:rPr>
              <w:t xml:space="preserve"> ved</w:t>
            </w:r>
            <w:r w:rsidRPr="00E04B2A">
              <w:rPr>
                <w:b/>
                <w:sz w:val="22"/>
              </w:rPr>
              <w:t xml:space="preserve"> uke 1</w:t>
            </w:r>
          </w:p>
          <w:p w14:paraId="021AFBEE" w14:textId="77777777" w:rsidR="000F27EB" w:rsidRPr="00E04B2A" w:rsidRDefault="00E453CD" w:rsidP="001E18BB">
            <w:pPr>
              <w:jc w:val="center"/>
              <w:rPr>
                <w:sz w:val="22"/>
              </w:rPr>
            </w:pPr>
            <w:r w:rsidRPr="00E04B2A">
              <w:rPr>
                <w:sz w:val="22"/>
              </w:rP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3F7A94" w14:textId="77777777" w:rsidR="000F27EB" w:rsidRPr="00E04B2A" w:rsidRDefault="00E453CD" w:rsidP="001E18BB">
            <w:pPr>
              <w:jc w:val="center"/>
              <w:rPr>
                <w:b/>
                <w:bCs/>
                <w:sz w:val="22"/>
                <w:vertAlign w:val="superscript"/>
              </w:rPr>
            </w:pPr>
            <w:r w:rsidRPr="00E04B2A">
              <w:rPr>
                <w:b/>
                <w:sz w:val="22"/>
              </w:rPr>
              <w:t>Humira</w:t>
            </w:r>
            <w:r w:rsidRPr="00E04B2A">
              <w:rPr>
                <w:b/>
                <w:sz w:val="22"/>
                <w:vertAlign w:val="superscript"/>
              </w:rPr>
              <w:t>b,c</w:t>
            </w:r>
          </w:p>
          <w:p w14:paraId="7E4E648B" w14:textId="77777777" w:rsidR="000F27EB" w:rsidRPr="00E04B2A" w:rsidRDefault="00E453CD" w:rsidP="001E18BB">
            <w:pPr>
              <w:jc w:val="center"/>
              <w:rPr>
                <w:b/>
                <w:bCs/>
                <w:sz w:val="22"/>
              </w:rPr>
            </w:pPr>
            <w:r>
              <w:rPr>
                <w:b/>
                <w:sz w:val="22"/>
              </w:rPr>
              <w:t>Maksimalt</w:t>
            </w:r>
            <w:r w:rsidRPr="00E04B2A">
              <w:rPr>
                <w:b/>
                <w:sz w:val="22"/>
              </w:rPr>
              <w:t xml:space="preserve"> 160</w:t>
            </w:r>
            <w:r>
              <w:rPr>
                <w:b/>
                <w:sz w:val="22"/>
              </w:rPr>
              <w:t> </w:t>
            </w:r>
            <w:r w:rsidRPr="00E04B2A">
              <w:rPr>
                <w:b/>
                <w:sz w:val="22"/>
              </w:rPr>
              <w:t xml:space="preserve">mg </w:t>
            </w:r>
            <w:r>
              <w:rPr>
                <w:b/>
                <w:sz w:val="22"/>
              </w:rPr>
              <w:t>ved</w:t>
            </w:r>
            <w:r w:rsidRPr="00E04B2A">
              <w:rPr>
                <w:b/>
                <w:sz w:val="22"/>
              </w:rPr>
              <w:t xml:space="preserve"> uke 0 og uke 1</w:t>
            </w:r>
          </w:p>
          <w:p w14:paraId="2074251B" w14:textId="77777777" w:rsidR="000F27EB" w:rsidRPr="00E04B2A" w:rsidRDefault="00E453CD" w:rsidP="001E18BB">
            <w:pPr>
              <w:jc w:val="center"/>
              <w:rPr>
                <w:sz w:val="22"/>
              </w:rPr>
            </w:pPr>
            <w:r w:rsidRPr="00E04B2A">
              <w:rPr>
                <w:sz w:val="22"/>
              </w:rPr>
              <w:t>N = 47</w:t>
            </w:r>
          </w:p>
        </w:tc>
      </w:tr>
      <w:tr w:rsidR="004644D4" w14:paraId="46E76294" w14:textId="77777777" w:rsidTr="001E18BB">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0AD89" w14:textId="77777777" w:rsidR="000F27EB" w:rsidRPr="00E04B2A" w:rsidRDefault="00E453CD" w:rsidP="001E18BB">
            <w:pPr>
              <w:rPr>
                <w:sz w:val="22"/>
              </w:rPr>
            </w:pPr>
            <w:r w:rsidRPr="00E04B2A">
              <w:rPr>
                <w:sz w:val="22"/>
              </w:rPr>
              <w:t>Klinisk remisjon iht.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77BE3F40" w14:textId="77777777" w:rsidR="000F27EB" w:rsidRPr="00E04B2A" w:rsidRDefault="00E453CD" w:rsidP="001E18BB">
            <w:pPr>
              <w:jc w:val="center"/>
              <w:rPr>
                <w:sz w:val="22"/>
              </w:rPr>
            </w:pPr>
            <w:r w:rsidRPr="00E04B2A">
              <w:rPr>
                <w:sz w:val="22"/>
              </w:rPr>
              <w:t>10/30 (33,3</w:t>
            </w:r>
            <w:r>
              <w:rPr>
                <w:sz w:val="22"/>
              </w:rPr>
              <w:t> </w:t>
            </w:r>
            <w:r w:rsidRPr="00E04B2A">
              <w:rPr>
                <w:sz w:val="22"/>
              </w:rPr>
              <w:t>%)</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88D7C53" w14:textId="77777777" w:rsidR="000F27EB" w:rsidRPr="00E04B2A" w:rsidRDefault="00E453CD" w:rsidP="001E18BB">
            <w:pPr>
              <w:jc w:val="center"/>
              <w:rPr>
                <w:sz w:val="22"/>
              </w:rPr>
            </w:pPr>
            <w:r w:rsidRPr="00E04B2A">
              <w:rPr>
                <w:sz w:val="22"/>
              </w:rPr>
              <w:t>22/47 (46,8</w:t>
            </w:r>
            <w:r>
              <w:rPr>
                <w:sz w:val="22"/>
              </w:rPr>
              <w:t> </w:t>
            </w:r>
            <w:r w:rsidRPr="00E04B2A">
              <w:rPr>
                <w:sz w:val="22"/>
              </w:rPr>
              <w:t>%)</w:t>
            </w:r>
          </w:p>
        </w:tc>
      </w:tr>
      <w:tr w:rsidR="004644D4" w14:paraId="7F180B0E" w14:textId="77777777" w:rsidTr="001E18BB">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5BDAD38" w14:textId="77777777" w:rsidR="000F27EB" w:rsidRPr="00E04B2A" w:rsidRDefault="00E453CD" w:rsidP="001E18BB">
            <w:pPr>
              <w:rPr>
                <w:sz w:val="22"/>
              </w:rPr>
            </w:pPr>
            <w:r w:rsidRPr="00E04B2A">
              <w:rPr>
                <w:sz w:val="22"/>
              </w:rPr>
              <w:t>Klinisk respons iht.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8AB14EF" w14:textId="77777777" w:rsidR="000F27EB" w:rsidRPr="00E04B2A" w:rsidRDefault="00E453CD" w:rsidP="001E18BB">
            <w:pPr>
              <w:jc w:val="center"/>
              <w:rPr>
                <w:sz w:val="22"/>
              </w:rPr>
            </w:pPr>
            <w:r w:rsidRPr="00E04B2A">
              <w:rPr>
                <w:sz w:val="22"/>
              </w:rPr>
              <w:t>15/30 (50,0</w:t>
            </w:r>
            <w:r>
              <w:rPr>
                <w:sz w:val="22"/>
              </w:rPr>
              <w:t> </w:t>
            </w:r>
            <w:r w:rsidRPr="00E04B2A">
              <w:rPr>
                <w:sz w:val="22"/>
              </w:rPr>
              <w:t>%)</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64EFBA0" w14:textId="77777777" w:rsidR="000F27EB" w:rsidRPr="00E04B2A" w:rsidRDefault="00E453CD" w:rsidP="001E18BB">
            <w:pPr>
              <w:jc w:val="center"/>
              <w:rPr>
                <w:sz w:val="22"/>
              </w:rPr>
            </w:pPr>
            <w:r w:rsidRPr="00E04B2A">
              <w:rPr>
                <w:sz w:val="22"/>
              </w:rPr>
              <w:t>32/47 (68,1</w:t>
            </w:r>
            <w:r>
              <w:rPr>
                <w:sz w:val="22"/>
              </w:rPr>
              <w:t> </w:t>
            </w:r>
            <w:r w:rsidRPr="00E04B2A">
              <w:rPr>
                <w:sz w:val="22"/>
              </w:rPr>
              <w:t>%)</w:t>
            </w:r>
          </w:p>
        </w:tc>
      </w:tr>
      <w:tr w:rsidR="004644D4" w14:paraId="7DC2D810" w14:textId="77777777" w:rsidTr="001E18BB">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586D016F" w14:textId="77777777" w:rsidR="000F27EB" w:rsidRPr="00E04B2A" w:rsidRDefault="000F27EB" w:rsidP="001E18BB">
            <w:pPr>
              <w:rPr>
                <w:sz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8DCE826" w14:textId="77777777" w:rsidR="000F27EB" w:rsidRPr="00E04B2A" w:rsidRDefault="00E453CD" w:rsidP="001E18BB">
            <w:pPr>
              <w:jc w:val="center"/>
              <w:rPr>
                <w:b/>
                <w:bCs/>
                <w:sz w:val="22"/>
              </w:rPr>
            </w:pPr>
            <w:r w:rsidRPr="00E04B2A">
              <w:rPr>
                <w:b/>
                <w:sz w:val="22"/>
              </w:rPr>
              <w:t>Uke 52</w:t>
            </w:r>
          </w:p>
        </w:tc>
      </w:tr>
      <w:tr w:rsidR="004644D4" w14:paraId="6A194895" w14:textId="77777777" w:rsidTr="001E18BB">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36E7CAFC" w14:textId="77777777" w:rsidR="000F27EB" w:rsidRPr="00E04B2A" w:rsidRDefault="000F27EB" w:rsidP="001E18BB">
            <w:pPr>
              <w:rPr>
                <w:sz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562F20C" w14:textId="77777777" w:rsidR="000F27EB" w:rsidRPr="00E04B2A" w:rsidRDefault="00E453CD" w:rsidP="001E18BB">
            <w:pPr>
              <w:jc w:val="center"/>
              <w:rPr>
                <w:b/>
                <w:bCs/>
                <w:sz w:val="22"/>
                <w:vertAlign w:val="superscript"/>
              </w:rPr>
            </w:pPr>
            <w:r w:rsidRPr="00E04B2A">
              <w:rPr>
                <w:b/>
                <w:sz w:val="22"/>
              </w:rPr>
              <w:t>Humira</w:t>
            </w:r>
            <w:r w:rsidRPr="00E04B2A">
              <w:rPr>
                <w:b/>
                <w:sz w:val="22"/>
                <w:vertAlign w:val="superscript"/>
              </w:rPr>
              <w:t>d</w:t>
            </w:r>
          </w:p>
          <w:p w14:paraId="6FECA1A7" w14:textId="77777777" w:rsidR="000F27EB" w:rsidRPr="00E04B2A" w:rsidRDefault="00E453CD" w:rsidP="001E18BB">
            <w:pPr>
              <w:jc w:val="center"/>
              <w:rPr>
                <w:b/>
                <w:bCs/>
                <w:sz w:val="22"/>
              </w:rPr>
            </w:pPr>
            <w:r w:rsidRPr="00E04B2A">
              <w:rPr>
                <w:b/>
                <w:sz w:val="22"/>
              </w:rPr>
              <w:t>Maksimalt 40</w:t>
            </w:r>
            <w:r>
              <w:rPr>
                <w:b/>
                <w:sz w:val="22"/>
              </w:rPr>
              <w:t> </w:t>
            </w:r>
            <w:r w:rsidRPr="00E04B2A">
              <w:rPr>
                <w:b/>
                <w:sz w:val="22"/>
              </w:rPr>
              <w:t xml:space="preserve">mg </w:t>
            </w:r>
            <w:r>
              <w:rPr>
                <w:b/>
                <w:sz w:val="22"/>
              </w:rPr>
              <w:t>annenhver uke</w:t>
            </w:r>
          </w:p>
          <w:p w14:paraId="64028810" w14:textId="77777777" w:rsidR="000F27EB" w:rsidRPr="00E04B2A" w:rsidRDefault="00E453CD" w:rsidP="001E18BB">
            <w:pPr>
              <w:jc w:val="center"/>
              <w:rPr>
                <w:sz w:val="22"/>
              </w:rPr>
            </w:pPr>
            <w:r w:rsidRPr="00E04B2A">
              <w:rPr>
                <w:sz w:val="22"/>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02ACC84" w14:textId="77777777" w:rsidR="000F27EB" w:rsidRPr="00E04B2A" w:rsidRDefault="00E453CD" w:rsidP="001E18BB">
            <w:pPr>
              <w:jc w:val="center"/>
              <w:rPr>
                <w:b/>
                <w:bCs/>
                <w:sz w:val="22"/>
                <w:vertAlign w:val="superscript"/>
              </w:rPr>
            </w:pPr>
            <w:r w:rsidRPr="00E04B2A">
              <w:rPr>
                <w:b/>
                <w:sz w:val="22"/>
              </w:rPr>
              <w:t>Humira</w:t>
            </w:r>
            <w:r w:rsidRPr="00E04B2A">
              <w:rPr>
                <w:b/>
                <w:sz w:val="22"/>
                <w:vertAlign w:val="superscript"/>
              </w:rPr>
              <w:t>e</w:t>
            </w:r>
          </w:p>
          <w:p w14:paraId="14F4C3B7" w14:textId="77777777" w:rsidR="000F27EB" w:rsidRDefault="00E453CD" w:rsidP="001E18BB">
            <w:pPr>
              <w:jc w:val="center"/>
              <w:rPr>
                <w:b/>
                <w:sz w:val="22"/>
              </w:rPr>
            </w:pPr>
            <w:r w:rsidRPr="00E04B2A">
              <w:rPr>
                <w:b/>
                <w:sz w:val="22"/>
              </w:rPr>
              <w:t>Maksimalt 40</w:t>
            </w:r>
            <w:r>
              <w:rPr>
                <w:b/>
                <w:sz w:val="22"/>
              </w:rPr>
              <w:t> </w:t>
            </w:r>
            <w:r w:rsidRPr="00E04B2A">
              <w:rPr>
                <w:b/>
                <w:sz w:val="22"/>
              </w:rPr>
              <w:t>mg</w:t>
            </w:r>
            <w:r>
              <w:rPr>
                <w:b/>
                <w:sz w:val="22"/>
              </w:rPr>
              <w:t xml:space="preserve"> </w:t>
            </w:r>
          </w:p>
          <w:p w14:paraId="0D04FC34" w14:textId="77777777" w:rsidR="000F27EB" w:rsidRPr="00E04B2A" w:rsidRDefault="00E453CD" w:rsidP="001E18BB">
            <w:pPr>
              <w:jc w:val="center"/>
              <w:rPr>
                <w:b/>
                <w:bCs/>
                <w:sz w:val="22"/>
              </w:rPr>
            </w:pPr>
            <w:r>
              <w:rPr>
                <w:b/>
                <w:sz w:val="22"/>
              </w:rPr>
              <w:t>hver uke</w:t>
            </w:r>
          </w:p>
          <w:p w14:paraId="134C1DA0" w14:textId="77777777" w:rsidR="000F27EB" w:rsidRPr="00E04B2A" w:rsidRDefault="00E453CD" w:rsidP="001E18BB">
            <w:pPr>
              <w:jc w:val="center"/>
              <w:rPr>
                <w:sz w:val="22"/>
              </w:rPr>
            </w:pPr>
            <w:r w:rsidRPr="00E04B2A">
              <w:rPr>
                <w:sz w:val="22"/>
              </w:rPr>
              <w:t>N = 31</w:t>
            </w:r>
          </w:p>
        </w:tc>
      </w:tr>
      <w:tr w:rsidR="004644D4" w14:paraId="2AEBC0FC" w14:textId="77777777" w:rsidTr="001E18BB">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7026494" w14:textId="77777777" w:rsidR="000F27EB" w:rsidRPr="00E04B2A" w:rsidRDefault="00E453CD" w:rsidP="001E18BB">
            <w:pPr>
              <w:rPr>
                <w:sz w:val="22"/>
              </w:rPr>
            </w:pPr>
            <w:r w:rsidRPr="00E04B2A">
              <w:rPr>
                <w:sz w:val="22"/>
              </w:rPr>
              <w:t>Klinisk remisjon iht. PUCAI hos uke 8 PMS-respondere</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1D9638C" w14:textId="77777777" w:rsidR="000F27EB" w:rsidRPr="00E04B2A" w:rsidRDefault="00E453CD" w:rsidP="001E18BB">
            <w:pPr>
              <w:jc w:val="center"/>
              <w:rPr>
                <w:sz w:val="22"/>
              </w:rPr>
            </w:pPr>
            <w:r w:rsidRPr="00E04B2A">
              <w:rPr>
                <w:sz w:val="22"/>
              </w:rPr>
              <w:t>14/31 (45,2</w:t>
            </w:r>
            <w:r>
              <w:rPr>
                <w:sz w:val="22"/>
              </w:rPr>
              <w:t> </w:t>
            </w:r>
            <w:r w:rsidRPr="00E04B2A">
              <w:rPr>
                <w:sz w:val="22"/>
              </w:rPr>
              <w:t>%)</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BCCCD45" w14:textId="77777777" w:rsidR="000F27EB" w:rsidRPr="00E04B2A" w:rsidRDefault="00E453CD" w:rsidP="001E18BB">
            <w:pPr>
              <w:jc w:val="center"/>
              <w:rPr>
                <w:sz w:val="22"/>
              </w:rPr>
            </w:pPr>
            <w:r w:rsidRPr="00E04B2A">
              <w:rPr>
                <w:sz w:val="22"/>
              </w:rPr>
              <w:t>18/31 (58,1</w:t>
            </w:r>
            <w:r>
              <w:rPr>
                <w:sz w:val="22"/>
              </w:rPr>
              <w:t> </w:t>
            </w:r>
            <w:r w:rsidRPr="00E04B2A">
              <w:rPr>
                <w:sz w:val="22"/>
              </w:rPr>
              <w:t>%)</w:t>
            </w:r>
          </w:p>
        </w:tc>
      </w:tr>
      <w:tr w:rsidR="004644D4" w14:paraId="69E5CB08" w14:textId="77777777" w:rsidTr="001E18BB">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1575332" w14:textId="77777777" w:rsidR="000F27EB" w:rsidRPr="00E04B2A" w:rsidRDefault="00E453CD" w:rsidP="001E18BB">
            <w:pPr>
              <w:rPr>
                <w:sz w:val="22"/>
              </w:rPr>
            </w:pPr>
            <w:r w:rsidRPr="00E04B2A">
              <w:rPr>
                <w:sz w:val="22"/>
              </w:rPr>
              <w:t xml:space="preserve">Klinisk </w:t>
            </w:r>
            <w:r>
              <w:rPr>
                <w:sz w:val="22"/>
              </w:rPr>
              <w:t>respons</w:t>
            </w:r>
            <w:r w:rsidRPr="00E04B2A">
              <w:rPr>
                <w:sz w:val="22"/>
              </w:rPr>
              <w:t xml:space="preserve"> iht. PUCAI hos uke 8 PMS-respondere</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E1F8239" w14:textId="77777777" w:rsidR="000F27EB" w:rsidRPr="00E04B2A" w:rsidRDefault="00E453CD" w:rsidP="001E18BB">
            <w:pPr>
              <w:jc w:val="center"/>
              <w:rPr>
                <w:sz w:val="22"/>
              </w:rPr>
            </w:pPr>
            <w:r w:rsidRPr="00E04B2A">
              <w:rPr>
                <w:sz w:val="22"/>
              </w:rPr>
              <w:t>18/31 (58,1</w:t>
            </w:r>
            <w:r>
              <w:rPr>
                <w:sz w:val="22"/>
              </w:rPr>
              <w:t> </w:t>
            </w:r>
            <w:r w:rsidRPr="00E04B2A">
              <w:rPr>
                <w:sz w:val="22"/>
              </w:rPr>
              <w:t>%)</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9D3B57A" w14:textId="77777777" w:rsidR="000F27EB" w:rsidRPr="00E04B2A" w:rsidRDefault="00E453CD" w:rsidP="001E18BB">
            <w:pPr>
              <w:jc w:val="center"/>
              <w:rPr>
                <w:sz w:val="22"/>
              </w:rPr>
            </w:pPr>
            <w:r w:rsidRPr="00E04B2A">
              <w:rPr>
                <w:sz w:val="22"/>
              </w:rPr>
              <w:t>16/31 (51,6</w:t>
            </w:r>
            <w:r>
              <w:rPr>
                <w:sz w:val="22"/>
              </w:rPr>
              <w:t> </w:t>
            </w:r>
            <w:r w:rsidRPr="00E04B2A">
              <w:rPr>
                <w:sz w:val="22"/>
              </w:rPr>
              <w:t>%)</w:t>
            </w:r>
          </w:p>
        </w:tc>
      </w:tr>
      <w:tr w:rsidR="004644D4" w14:paraId="5B5B68A4" w14:textId="77777777" w:rsidTr="001E18BB">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FAAD736" w14:textId="77777777" w:rsidR="000F27EB" w:rsidRPr="00975795" w:rsidRDefault="00E453CD" w:rsidP="001E18BB">
            <w:pPr>
              <w:rPr>
                <w:rStyle w:val="eop"/>
                <w:sz w:val="22"/>
                <w:szCs w:val="22"/>
              </w:rPr>
            </w:pPr>
            <w:r w:rsidRPr="00047F3C">
              <w:rPr>
                <w:sz w:val="22"/>
                <w:szCs w:val="22"/>
                <w:vertAlign w:val="superscript"/>
              </w:rPr>
              <w:t>a</w:t>
            </w:r>
            <w:r w:rsidRPr="00047F3C">
              <w:rPr>
                <w:rStyle w:val="normaltextrun"/>
                <w:sz w:val="22"/>
                <w:szCs w:val="22"/>
              </w:rPr>
              <w:t>Humira 2,4</w:t>
            </w:r>
            <w:r w:rsidRPr="00387C74">
              <w:rPr>
                <w:rStyle w:val="normaltextrun"/>
                <w:sz w:val="22"/>
                <w:szCs w:val="22"/>
              </w:rPr>
              <w:t> </w:t>
            </w:r>
            <w:r w:rsidRPr="00975795">
              <w:rPr>
                <w:rStyle w:val="normaltextrun"/>
                <w:sz w:val="22"/>
                <w:szCs w:val="22"/>
              </w:rPr>
              <w:t>mg/kg (maksimalt 160</w:t>
            </w:r>
            <w:r>
              <w:rPr>
                <w:rStyle w:val="normaltextrun"/>
                <w:sz w:val="22"/>
                <w:szCs w:val="22"/>
              </w:rPr>
              <w:t> </w:t>
            </w:r>
            <w:r w:rsidRPr="00975795">
              <w:rPr>
                <w:rStyle w:val="normaltextrun"/>
                <w:sz w:val="22"/>
                <w:szCs w:val="22"/>
              </w:rPr>
              <w:t>mg) i uke 0, placebo i uke 1 og 1,2 mg/kg (maksimalt 80</w:t>
            </w:r>
            <w:r>
              <w:rPr>
                <w:rStyle w:val="normaltextrun"/>
                <w:sz w:val="22"/>
                <w:szCs w:val="22"/>
              </w:rPr>
              <w:t> </w:t>
            </w:r>
            <w:r w:rsidRPr="00975795">
              <w:rPr>
                <w:rStyle w:val="normaltextrun"/>
                <w:sz w:val="22"/>
                <w:szCs w:val="22"/>
              </w:rPr>
              <w:t>mg) i uke 2</w:t>
            </w:r>
            <w:r w:rsidRPr="00975795">
              <w:rPr>
                <w:sz w:val="22"/>
                <w:szCs w:val="22"/>
              </w:rPr>
              <w:t> </w:t>
            </w:r>
            <w:r w:rsidRPr="00975795">
              <w:rPr>
                <w:rStyle w:val="eop"/>
                <w:sz w:val="22"/>
                <w:szCs w:val="22"/>
              </w:rPr>
              <w:t> </w:t>
            </w:r>
          </w:p>
          <w:p w14:paraId="480EFC46" w14:textId="77777777" w:rsidR="000F27EB" w:rsidRPr="00047F3C" w:rsidRDefault="00E453CD" w:rsidP="001E18BB">
            <w:pPr>
              <w:pStyle w:val="paragraph0"/>
              <w:spacing w:before="0" w:beforeAutospacing="0" w:after="0" w:afterAutospacing="0"/>
              <w:textAlignment w:val="baseline"/>
              <w:rPr>
                <w:rStyle w:val="eop"/>
                <w:sz w:val="22"/>
                <w:szCs w:val="22"/>
              </w:rPr>
            </w:pPr>
            <w:r w:rsidRPr="00975795">
              <w:rPr>
                <w:sz w:val="22"/>
                <w:szCs w:val="22"/>
                <w:vertAlign w:val="superscript"/>
              </w:rPr>
              <w:t xml:space="preserve">b </w:t>
            </w:r>
            <w:r w:rsidRPr="00975795">
              <w:rPr>
                <w:rStyle w:val="normaltextrun"/>
                <w:sz w:val="22"/>
                <w:szCs w:val="22"/>
                <w:vertAlign w:val="superscript"/>
              </w:rPr>
              <w:t> </w:t>
            </w:r>
            <w:r w:rsidRPr="00975795">
              <w:rPr>
                <w:rStyle w:val="normaltextrun"/>
                <w:sz w:val="22"/>
                <w:szCs w:val="22"/>
              </w:rPr>
              <w:t>Humira 2,4 mg/kg (maksimalt 160</w:t>
            </w:r>
            <w:r>
              <w:rPr>
                <w:rStyle w:val="normaltextrun"/>
                <w:sz w:val="22"/>
                <w:szCs w:val="22"/>
              </w:rPr>
              <w:t> </w:t>
            </w:r>
            <w:r w:rsidRPr="00975795">
              <w:rPr>
                <w:rStyle w:val="normaltextrun"/>
                <w:sz w:val="22"/>
                <w:szCs w:val="22"/>
              </w:rPr>
              <w:t>mg) i uke 0 og uke 1 og 1,2</w:t>
            </w:r>
            <w:r>
              <w:rPr>
                <w:rStyle w:val="normaltextrun"/>
                <w:sz w:val="22"/>
                <w:szCs w:val="22"/>
              </w:rPr>
              <w:t> </w:t>
            </w:r>
            <w:r w:rsidRPr="00975795">
              <w:rPr>
                <w:rStyle w:val="normaltextrun"/>
                <w:sz w:val="22"/>
                <w:szCs w:val="22"/>
              </w:rPr>
              <w:t>mg/kg (maksimalt 80</w:t>
            </w:r>
            <w:r>
              <w:rPr>
                <w:rStyle w:val="normaltextrun"/>
                <w:sz w:val="22"/>
                <w:szCs w:val="22"/>
              </w:rPr>
              <w:t> </w:t>
            </w:r>
            <w:r w:rsidRPr="00975795">
              <w:rPr>
                <w:rStyle w:val="normaltextrun"/>
                <w:sz w:val="22"/>
                <w:szCs w:val="22"/>
              </w:rPr>
              <w:t>mg) i uke 2</w:t>
            </w:r>
            <w:r w:rsidRPr="00975795">
              <w:rPr>
                <w:rStyle w:val="eop"/>
                <w:sz w:val="22"/>
                <w:szCs w:val="22"/>
              </w:rPr>
              <w:t> </w:t>
            </w:r>
          </w:p>
          <w:p w14:paraId="01F0D21D" w14:textId="77777777" w:rsidR="000F27EB" w:rsidRPr="00047F3C" w:rsidRDefault="00E453CD" w:rsidP="001E18BB">
            <w:pPr>
              <w:pStyle w:val="paragraph0"/>
              <w:spacing w:before="0" w:beforeAutospacing="0" w:after="0" w:afterAutospacing="0"/>
              <w:textAlignment w:val="baseline"/>
              <w:rPr>
                <w:rStyle w:val="normaltextrun"/>
                <w:sz w:val="22"/>
                <w:szCs w:val="22"/>
              </w:rPr>
            </w:pPr>
            <w:r w:rsidRPr="005A0BB3">
              <w:rPr>
                <w:rStyle w:val="normaltextrun"/>
                <w:sz w:val="22"/>
                <w:szCs w:val="22"/>
                <w:vertAlign w:val="superscript"/>
              </w:rPr>
              <w:t>c</w:t>
            </w:r>
            <w:r w:rsidRPr="005A0BB3">
              <w:rPr>
                <w:rStyle w:val="normaltextrun"/>
                <w:sz w:val="22"/>
                <w:szCs w:val="22"/>
              </w:rPr>
              <w:t xml:space="preserve">Inkluderer ikke åpen induksjonsdose </w:t>
            </w:r>
            <w:r w:rsidRPr="00975795">
              <w:rPr>
                <w:rStyle w:val="normaltextrun"/>
                <w:sz w:val="22"/>
                <w:szCs w:val="22"/>
              </w:rPr>
              <w:t>med</w:t>
            </w:r>
            <w:r w:rsidRPr="00047F3C">
              <w:rPr>
                <w:rStyle w:val="normaltextrun"/>
                <w:sz w:val="22"/>
                <w:szCs w:val="22"/>
              </w:rPr>
              <w:t xml:space="preserve"> Humira 2,4 </w:t>
            </w:r>
            <w:r w:rsidRPr="00975795">
              <w:rPr>
                <w:rStyle w:val="normaltextrun"/>
                <w:sz w:val="22"/>
                <w:szCs w:val="22"/>
              </w:rPr>
              <w:t>mg/kg (maksimalt 160</w:t>
            </w:r>
            <w:r>
              <w:rPr>
                <w:rStyle w:val="normaltextrun"/>
                <w:sz w:val="22"/>
                <w:szCs w:val="22"/>
              </w:rPr>
              <w:t> </w:t>
            </w:r>
            <w:r w:rsidRPr="00975795">
              <w:rPr>
                <w:rStyle w:val="normaltextrun"/>
                <w:sz w:val="22"/>
                <w:szCs w:val="22"/>
              </w:rPr>
              <w:t>mg) i uke 0 og uke 1 og 1,2 mg/kg (maksimalt 80</w:t>
            </w:r>
            <w:r>
              <w:rPr>
                <w:rStyle w:val="normaltextrun"/>
                <w:sz w:val="22"/>
                <w:szCs w:val="22"/>
              </w:rPr>
              <w:t> </w:t>
            </w:r>
            <w:r w:rsidRPr="00975795">
              <w:rPr>
                <w:rStyle w:val="normaltextrun"/>
                <w:sz w:val="22"/>
                <w:szCs w:val="22"/>
              </w:rPr>
              <w:t>mg) i uke 2</w:t>
            </w:r>
          </w:p>
          <w:p w14:paraId="0EB95D5B" w14:textId="77777777" w:rsidR="000F27EB" w:rsidRPr="00047F3C" w:rsidRDefault="00E453CD" w:rsidP="001E18BB">
            <w:pPr>
              <w:pStyle w:val="paragraph0"/>
              <w:spacing w:before="0" w:beforeAutospacing="0" w:after="0" w:afterAutospacing="0"/>
              <w:textAlignment w:val="baseline"/>
              <w:rPr>
                <w:sz w:val="22"/>
                <w:szCs w:val="22"/>
              </w:rPr>
            </w:pPr>
            <w:r w:rsidRPr="005A0BB3">
              <w:rPr>
                <w:rStyle w:val="normaltextrun"/>
                <w:sz w:val="22"/>
                <w:szCs w:val="22"/>
                <w:vertAlign w:val="superscript"/>
              </w:rPr>
              <w:t>d</w:t>
            </w:r>
            <w:r w:rsidRPr="00975795">
              <w:rPr>
                <w:sz w:val="22"/>
                <w:szCs w:val="22"/>
              </w:rPr>
              <w:t>Humira 0,6 mg/kg (maksimalt 40</w:t>
            </w:r>
            <w:r>
              <w:rPr>
                <w:sz w:val="22"/>
                <w:szCs w:val="22"/>
              </w:rPr>
              <w:t> </w:t>
            </w:r>
            <w:r w:rsidRPr="00975795">
              <w:rPr>
                <w:sz w:val="22"/>
                <w:szCs w:val="22"/>
              </w:rPr>
              <w:t>mg) annenhver uke</w:t>
            </w:r>
          </w:p>
          <w:p w14:paraId="783F3616" w14:textId="77777777" w:rsidR="000F27EB" w:rsidRPr="00975795" w:rsidRDefault="00E453CD" w:rsidP="001E18BB">
            <w:pPr>
              <w:rPr>
                <w:sz w:val="22"/>
                <w:szCs w:val="22"/>
              </w:rPr>
            </w:pPr>
            <w:r w:rsidRPr="005A0BB3">
              <w:rPr>
                <w:sz w:val="22"/>
                <w:szCs w:val="22"/>
                <w:vertAlign w:val="superscript"/>
              </w:rPr>
              <w:t>e</w:t>
            </w:r>
            <w:r w:rsidRPr="00975795">
              <w:rPr>
                <w:sz w:val="22"/>
                <w:szCs w:val="22"/>
              </w:rPr>
              <w:t>Humira 0,6 mg/kg (maksimalt 40</w:t>
            </w:r>
            <w:r>
              <w:rPr>
                <w:sz w:val="22"/>
                <w:szCs w:val="22"/>
              </w:rPr>
              <w:t> </w:t>
            </w:r>
            <w:r w:rsidRPr="00975795">
              <w:rPr>
                <w:sz w:val="22"/>
                <w:szCs w:val="22"/>
              </w:rPr>
              <w:t>mg) hver uke</w:t>
            </w:r>
          </w:p>
          <w:p w14:paraId="2C0AEC85" w14:textId="77777777" w:rsidR="000F27EB" w:rsidRPr="00047F3C" w:rsidRDefault="00E453CD" w:rsidP="001E18BB">
            <w:pPr>
              <w:pStyle w:val="paragraph0"/>
              <w:spacing w:before="0" w:beforeAutospacing="0" w:after="0" w:afterAutospacing="0"/>
              <w:textAlignment w:val="baseline"/>
              <w:rPr>
                <w:sz w:val="22"/>
                <w:szCs w:val="22"/>
              </w:rPr>
            </w:pPr>
            <w:r w:rsidRPr="00975795">
              <w:rPr>
                <w:rStyle w:val="normaltextrun"/>
                <w:sz w:val="22"/>
                <w:szCs w:val="22"/>
              </w:rPr>
              <w:t>Merknad 1: Begge induksjonsgrupper fikk 0,6 mg/kg (maksimalt 40</w:t>
            </w:r>
            <w:r>
              <w:rPr>
                <w:rStyle w:val="normaltextrun"/>
                <w:sz w:val="22"/>
                <w:szCs w:val="22"/>
              </w:rPr>
              <w:t> </w:t>
            </w:r>
            <w:r w:rsidRPr="00975795">
              <w:rPr>
                <w:rStyle w:val="normaltextrun"/>
                <w:sz w:val="22"/>
                <w:szCs w:val="22"/>
              </w:rPr>
              <w:t>mg) i uke 4 og uke 6</w:t>
            </w:r>
            <w:r w:rsidRPr="00975795">
              <w:rPr>
                <w:rStyle w:val="eop"/>
                <w:sz w:val="22"/>
                <w:szCs w:val="22"/>
              </w:rPr>
              <w:t> </w:t>
            </w:r>
          </w:p>
          <w:p w14:paraId="3A206DFA" w14:textId="77777777" w:rsidR="000F27EB" w:rsidRPr="00047F3C" w:rsidRDefault="00E453CD" w:rsidP="001E18BB">
            <w:pPr>
              <w:pStyle w:val="paragraph0"/>
              <w:spacing w:before="0" w:beforeAutospacing="0" w:after="0" w:afterAutospacing="0"/>
              <w:textAlignment w:val="baseline"/>
              <w:rPr>
                <w:rStyle w:val="eop"/>
                <w:sz w:val="22"/>
                <w:szCs w:val="22"/>
              </w:rPr>
            </w:pPr>
            <w:r w:rsidRPr="005A0BB3">
              <w:rPr>
                <w:rStyle w:val="normaltextrun"/>
                <w:sz w:val="22"/>
                <w:szCs w:val="22"/>
              </w:rPr>
              <w:t xml:space="preserve">Merknad 2: Pasienter med manglende verdier </w:t>
            </w:r>
            <w:r w:rsidRPr="00975795">
              <w:rPr>
                <w:rStyle w:val="normaltextrun"/>
                <w:sz w:val="22"/>
                <w:szCs w:val="22"/>
              </w:rPr>
              <w:t>ved</w:t>
            </w:r>
            <w:r w:rsidRPr="00047F3C">
              <w:rPr>
                <w:rStyle w:val="normaltextrun"/>
                <w:sz w:val="22"/>
                <w:szCs w:val="22"/>
              </w:rPr>
              <w:t xml:space="preserve"> uke 8 ble ansett som ikke å ha o</w:t>
            </w:r>
            <w:r w:rsidRPr="00975795">
              <w:rPr>
                <w:rStyle w:val="normaltextrun"/>
                <w:sz w:val="22"/>
                <w:szCs w:val="22"/>
              </w:rPr>
              <w:t>pp</w:t>
            </w:r>
            <w:r w:rsidRPr="00047F3C">
              <w:rPr>
                <w:rStyle w:val="normaltextrun"/>
                <w:sz w:val="22"/>
                <w:szCs w:val="22"/>
              </w:rPr>
              <w:t>nådd endepunktene</w:t>
            </w:r>
          </w:p>
          <w:p w14:paraId="0927EA7D" w14:textId="77777777" w:rsidR="000F27EB" w:rsidRPr="00480BF1" w:rsidRDefault="00E453CD" w:rsidP="001E18BB">
            <w:pPr>
              <w:pStyle w:val="paragraph0"/>
              <w:spacing w:before="0" w:beforeAutospacing="0" w:after="0" w:afterAutospacing="0"/>
              <w:textAlignment w:val="baseline"/>
              <w:rPr>
                <w:sz w:val="22"/>
                <w:szCs w:val="22"/>
              </w:rPr>
            </w:pPr>
            <w:r w:rsidRPr="005A0BB3">
              <w:rPr>
                <w:rStyle w:val="eop"/>
                <w:sz w:val="22"/>
                <w:szCs w:val="22"/>
              </w:rPr>
              <w:t xml:space="preserve">Merknad 3: </w:t>
            </w:r>
            <w:r w:rsidRPr="005A0BB3">
              <w:rPr>
                <w:sz w:val="22"/>
                <w:szCs w:val="22"/>
              </w:rPr>
              <w:t>Pasienter med manglende verdier ved</w:t>
            </w:r>
            <w:r w:rsidRPr="00975795">
              <w:rPr>
                <w:sz w:val="22"/>
                <w:szCs w:val="22"/>
              </w:rPr>
              <w:t xml:space="preserve"> uke 52 eller som ble randomisert til å få gjentatt induksjons- eller vedlikeholdsbehandling ble ansett som ikke-responderende for endepunktene ved uke 52</w:t>
            </w:r>
          </w:p>
        </w:tc>
      </w:tr>
    </w:tbl>
    <w:p w14:paraId="5CCA545C" w14:textId="77777777" w:rsidR="000F27EB" w:rsidRPr="00E04B2A" w:rsidRDefault="000F27EB" w:rsidP="000F27EB">
      <w:pPr>
        <w:rPr>
          <w:sz w:val="22"/>
        </w:rPr>
      </w:pPr>
    </w:p>
    <w:p w14:paraId="59134621" w14:textId="77777777" w:rsidR="000F27EB" w:rsidRPr="00E04B2A" w:rsidRDefault="00E453CD" w:rsidP="000F27EB">
      <w:pPr>
        <w:rPr>
          <w:sz w:val="22"/>
        </w:rPr>
      </w:pPr>
      <w:r w:rsidRPr="00E04B2A">
        <w:rPr>
          <w:sz w:val="22"/>
        </w:rPr>
        <w:t xml:space="preserve">Av de Humirabehandlede pasientene som fikk gjentatt induksjonsbehandling i vedlikeholdsperioden oppnådde 2/6 (33 %) klinisk respons iht. FMS </w:t>
      </w:r>
      <w:r>
        <w:rPr>
          <w:sz w:val="22"/>
        </w:rPr>
        <w:t>ved</w:t>
      </w:r>
      <w:r w:rsidRPr="00E04B2A">
        <w:rPr>
          <w:sz w:val="22"/>
        </w:rPr>
        <w:t xml:space="preserve"> uke 52.</w:t>
      </w:r>
    </w:p>
    <w:p w14:paraId="537651BB" w14:textId="77777777" w:rsidR="000F27EB" w:rsidRPr="00E04B2A" w:rsidRDefault="000F27EB" w:rsidP="000F27EB">
      <w:pPr>
        <w:rPr>
          <w:sz w:val="22"/>
        </w:rPr>
      </w:pPr>
    </w:p>
    <w:p w14:paraId="7D2A426E" w14:textId="77777777" w:rsidR="000F27EB" w:rsidRPr="002455E8" w:rsidRDefault="00E453CD" w:rsidP="000F27EB">
      <w:pPr>
        <w:keepNext/>
        <w:rPr>
          <w:bCs/>
          <w:i/>
          <w:sz w:val="22"/>
          <w:u w:val="single"/>
        </w:rPr>
      </w:pPr>
      <w:r w:rsidRPr="002455E8">
        <w:rPr>
          <w:i/>
          <w:sz w:val="22"/>
          <w:u w:val="single"/>
        </w:rPr>
        <w:lastRenderedPageBreak/>
        <w:t>Livskvalitet</w:t>
      </w:r>
    </w:p>
    <w:p w14:paraId="59436B73" w14:textId="77777777" w:rsidR="000F27EB" w:rsidRPr="00E04B2A" w:rsidRDefault="000F27EB" w:rsidP="000F27EB">
      <w:pPr>
        <w:keepNext/>
        <w:rPr>
          <w:bCs/>
          <w:i/>
          <w:sz w:val="22"/>
          <w:u w:val="single"/>
        </w:rPr>
      </w:pPr>
    </w:p>
    <w:p w14:paraId="0A7DED6D" w14:textId="77777777" w:rsidR="000F27EB" w:rsidRDefault="00E453CD" w:rsidP="000F27EB">
      <w:pPr>
        <w:keepNext/>
        <w:rPr>
          <w:sz w:val="22"/>
        </w:rPr>
      </w:pPr>
      <w:r w:rsidRPr="008A23C0">
        <w:rPr>
          <w:sz w:val="22"/>
        </w:rPr>
        <w:t xml:space="preserve">Kliniske forbedringer av betydning fra baseline ble observert i </w:t>
      </w:r>
      <w:r>
        <w:rPr>
          <w:sz w:val="22"/>
        </w:rPr>
        <w:t xml:space="preserve">score fra </w:t>
      </w:r>
      <w:r w:rsidRPr="00127826">
        <w:rPr>
          <w:sz w:val="22"/>
        </w:rPr>
        <w:t xml:space="preserve">IMPACT III </w:t>
      </w:r>
      <w:r>
        <w:rPr>
          <w:sz w:val="22"/>
        </w:rPr>
        <w:t xml:space="preserve">og </w:t>
      </w:r>
      <w:r w:rsidRPr="008A23C0">
        <w:rPr>
          <w:sz w:val="22"/>
        </w:rPr>
        <w:t>Work Productivity and Activity</w:t>
      </w:r>
      <w:r w:rsidRPr="00E04B2A">
        <w:rPr>
          <w:sz w:val="22"/>
        </w:rPr>
        <w:t xml:space="preserve"> Impairment (WPAI)</w:t>
      </w:r>
      <w:r>
        <w:rPr>
          <w:sz w:val="22"/>
        </w:rPr>
        <w:t xml:space="preserve"> for omsorgsperson</w:t>
      </w:r>
      <w:r w:rsidR="00043EDF">
        <w:rPr>
          <w:sz w:val="22"/>
        </w:rPr>
        <w:t>,</w:t>
      </w:r>
      <w:r>
        <w:rPr>
          <w:sz w:val="22"/>
        </w:rPr>
        <w:t xml:space="preserve"> </w:t>
      </w:r>
      <w:r w:rsidRPr="00E04B2A">
        <w:rPr>
          <w:sz w:val="22"/>
        </w:rPr>
        <w:t>for gruppene behandlet med Humira.</w:t>
      </w:r>
    </w:p>
    <w:p w14:paraId="1C0A2F7D" w14:textId="77777777" w:rsidR="000F27EB" w:rsidRPr="00E04B2A" w:rsidRDefault="000F27EB" w:rsidP="000F27EB">
      <w:pPr>
        <w:keepNext/>
        <w:rPr>
          <w:sz w:val="22"/>
        </w:rPr>
      </w:pPr>
    </w:p>
    <w:p w14:paraId="4DCC8D6D" w14:textId="77777777" w:rsidR="000F27EB" w:rsidRPr="00E04B2A" w:rsidRDefault="00E453CD" w:rsidP="000F27EB">
      <w:pPr>
        <w:rPr>
          <w:sz w:val="22"/>
        </w:rPr>
      </w:pPr>
      <w:r w:rsidRPr="00E04B2A">
        <w:rPr>
          <w:sz w:val="22"/>
        </w:rPr>
        <w:t>Klinisk</w:t>
      </w:r>
      <w:r>
        <w:rPr>
          <w:sz w:val="22"/>
        </w:rPr>
        <w:t>e</w:t>
      </w:r>
      <w:r w:rsidRPr="00E04B2A">
        <w:rPr>
          <w:sz w:val="22"/>
        </w:rPr>
        <w:t xml:space="preserve"> </w:t>
      </w:r>
      <w:r>
        <w:rPr>
          <w:sz w:val="22"/>
        </w:rPr>
        <w:t xml:space="preserve">forbedringer </w:t>
      </w:r>
      <w:r w:rsidR="00994D65">
        <w:rPr>
          <w:sz w:val="22"/>
        </w:rPr>
        <w:t xml:space="preserve">(økninger) </w:t>
      </w:r>
      <w:r>
        <w:rPr>
          <w:sz w:val="22"/>
        </w:rPr>
        <w:t>av betydning</w:t>
      </w:r>
      <w:r w:rsidRPr="00E04B2A">
        <w:rPr>
          <w:sz w:val="22"/>
        </w:rPr>
        <w:t xml:space="preserve"> fra baseline i </w:t>
      </w:r>
      <w:r>
        <w:rPr>
          <w:sz w:val="22"/>
        </w:rPr>
        <w:t>vekst</w:t>
      </w:r>
      <w:r w:rsidRPr="002B4237">
        <w:rPr>
          <w:sz w:val="22"/>
        </w:rPr>
        <w:t>hastighet</w:t>
      </w:r>
      <w:r w:rsidRPr="00E04B2A">
        <w:rPr>
          <w:sz w:val="22"/>
        </w:rPr>
        <w:t xml:space="preserve"> ble observert </w:t>
      </w:r>
      <w:r>
        <w:rPr>
          <w:sz w:val="22"/>
        </w:rPr>
        <w:t>i</w:t>
      </w:r>
      <w:r w:rsidRPr="00E04B2A">
        <w:rPr>
          <w:sz w:val="22"/>
        </w:rPr>
        <w:t xml:space="preserve"> gruppene behandlet med adalimumab, og klinisk</w:t>
      </w:r>
      <w:r>
        <w:rPr>
          <w:sz w:val="22"/>
        </w:rPr>
        <w:t>e</w:t>
      </w:r>
      <w:r w:rsidRPr="00E04B2A">
        <w:rPr>
          <w:sz w:val="22"/>
        </w:rPr>
        <w:t xml:space="preserve"> </w:t>
      </w:r>
      <w:r>
        <w:rPr>
          <w:sz w:val="22"/>
        </w:rPr>
        <w:t>forbedringer</w:t>
      </w:r>
      <w:r w:rsidRPr="00E04B2A">
        <w:rPr>
          <w:sz w:val="22"/>
        </w:rPr>
        <w:t xml:space="preserve"> </w:t>
      </w:r>
      <w:r w:rsidR="00994D65">
        <w:rPr>
          <w:sz w:val="22"/>
        </w:rPr>
        <w:t xml:space="preserve">(økninger) </w:t>
      </w:r>
      <w:r>
        <w:rPr>
          <w:sz w:val="22"/>
        </w:rPr>
        <w:t xml:space="preserve">av betydning </w:t>
      </w:r>
      <w:r w:rsidRPr="00E04B2A">
        <w:rPr>
          <w:sz w:val="22"/>
        </w:rPr>
        <w:t xml:space="preserve">fra baseline i </w:t>
      </w:r>
      <w:r>
        <w:rPr>
          <w:sz w:val="22"/>
        </w:rPr>
        <w:t>Body Mass Index</w:t>
      </w:r>
      <w:r w:rsidRPr="00E04B2A">
        <w:rPr>
          <w:sz w:val="22"/>
        </w:rPr>
        <w:t xml:space="preserve"> ble observert </w:t>
      </w:r>
      <w:r>
        <w:rPr>
          <w:sz w:val="22"/>
        </w:rPr>
        <w:t>hos</w:t>
      </w:r>
      <w:r w:rsidRPr="00E04B2A">
        <w:rPr>
          <w:sz w:val="22"/>
        </w:rPr>
        <w:t xml:space="preserve"> </w:t>
      </w:r>
      <w:r>
        <w:rPr>
          <w:sz w:val="22"/>
        </w:rPr>
        <w:t>pasienter som fikk</w:t>
      </w:r>
      <w:r w:rsidRPr="00E04B2A">
        <w:rPr>
          <w:sz w:val="22"/>
        </w:rPr>
        <w:t xml:space="preserve"> høy vedlikeholdsdose på maksimalt 40</w:t>
      </w:r>
      <w:r>
        <w:rPr>
          <w:sz w:val="22"/>
        </w:rPr>
        <w:t> </w:t>
      </w:r>
      <w:r w:rsidRPr="00E04B2A">
        <w:rPr>
          <w:sz w:val="22"/>
        </w:rPr>
        <w:t>mg (0,6</w:t>
      </w:r>
      <w:r>
        <w:rPr>
          <w:sz w:val="22"/>
        </w:rPr>
        <w:t> </w:t>
      </w:r>
      <w:r w:rsidRPr="00E04B2A">
        <w:rPr>
          <w:sz w:val="22"/>
        </w:rPr>
        <w:t xml:space="preserve">mg/kg) </w:t>
      </w:r>
      <w:r>
        <w:rPr>
          <w:sz w:val="22"/>
        </w:rPr>
        <w:t>hver uke</w:t>
      </w:r>
      <w:r w:rsidRPr="00E04B2A">
        <w:rPr>
          <w:sz w:val="22"/>
        </w:rPr>
        <w:t>.</w:t>
      </w:r>
    </w:p>
    <w:p w14:paraId="3B5A5F39" w14:textId="77777777" w:rsidR="000E26F8" w:rsidRPr="00644328" w:rsidRDefault="000E26F8" w:rsidP="000E26F8">
      <w:pPr>
        <w:suppressAutoHyphens/>
        <w:rPr>
          <w:sz w:val="22"/>
          <w:szCs w:val="22"/>
        </w:rPr>
      </w:pPr>
    </w:p>
    <w:p w14:paraId="1503D245" w14:textId="77777777" w:rsidR="002F0483" w:rsidRPr="00974950" w:rsidRDefault="00E453CD" w:rsidP="002F0483">
      <w:pPr>
        <w:keepNext/>
        <w:rPr>
          <w:i/>
          <w:szCs w:val="22"/>
        </w:rPr>
      </w:pPr>
      <w:r w:rsidRPr="00BF7743">
        <w:rPr>
          <w:i/>
          <w:sz w:val="22"/>
          <w:szCs w:val="22"/>
        </w:rPr>
        <w:t>Pediatrisk uveitt</w:t>
      </w:r>
    </w:p>
    <w:p w14:paraId="4EA65C42" w14:textId="77777777" w:rsidR="002F0483" w:rsidRPr="00974950" w:rsidRDefault="002F0483" w:rsidP="002F0483">
      <w:pPr>
        <w:keepNext/>
        <w:rPr>
          <w:szCs w:val="22"/>
        </w:rPr>
      </w:pPr>
    </w:p>
    <w:p w14:paraId="5F2E3CD9" w14:textId="77777777" w:rsidR="002F0483" w:rsidRDefault="00E453CD" w:rsidP="002F0483">
      <w:pPr>
        <w:rPr>
          <w:bCs/>
        </w:rPr>
      </w:pPr>
      <w:r w:rsidRPr="00BF7743">
        <w:rPr>
          <w:sz w:val="22"/>
          <w:szCs w:val="22"/>
        </w:rPr>
        <w:t xml:space="preserve">Sikkerhet og effekt </w:t>
      </w:r>
      <w:r>
        <w:rPr>
          <w:sz w:val="22"/>
          <w:szCs w:val="22"/>
        </w:rPr>
        <w:t xml:space="preserve">av Humira ble undersøkt i en randomisert, dobbeltblindet, kontrollert studie med 90 pediatriske pasienter mellom 2 og &lt; 18 år med aktiv JIA-assosiert ikke-infeksiøs fremre uveitt, som ikke responderte på behandling etter minst 12 ukers behandling med metotreksat. Pasientene fikk enten placebo eller 20 mg adalimumab (hvis &lt; 30 kg) eller 40 mg adalimumab (hvis </w:t>
      </w:r>
      <w:r w:rsidRPr="00BF7743">
        <w:rPr>
          <w:bCs/>
          <w:sz w:val="22"/>
          <w:szCs w:val="20"/>
        </w:rPr>
        <w:t>≥</w:t>
      </w:r>
      <w:r>
        <w:rPr>
          <w:bCs/>
          <w:sz w:val="22"/>
          <w:szCs w:val="20"/>
        </w:rPr>
        <w:t> 30 kg) annenhver uke i kombinasjon med deres baselinedose av metotreksat.</w:t>
      </w:r>
    </w:p>
    <w:p w14:paraId="0BE127C1" w14:textId="77777777" w:rsidR="002F0483" w:rsidRDefault="002F0483" w:rsidP="002F0483">
      <w:pPr>
        <w:rPr>
          <w:bCs/>
        </w:rPr>
      </w:pPr>
    </w:p>
    <w:p w14:paraId="57BEBF33" w14:textId="77777777" w:rsidR="002F0483" w:rsidRDefault="00E453CD" w:rsidP="002F0483">
      <w:pPr>
        <w:rPr>
          <w:bCs/>
        </w:rPr>
      </w:pPr>
      <w:r>
        <w:rPr>
          <w:bCs/>
          <w:sz w:val="22"/>
          <w:szCs w:val="20"/>
        </w:rPr>
        <w: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t>
      </w:r>
    </w:p>
    <w:p w14:paraId="4BB9E82F" w14:textId="77777777" w:rsidR="002F0483" w:rsidRDefault="002F0483" w:rsidP="002F0483">
      <w:pPr>
        <w:rPr>
          <w:bCs/>
        </w:rPr>
      </w:pPr>
    </w:p>
    <w:p w14:paraId="360D390D" w14:textId="77777777" w:rsidR="002F0483" w:rsidRDefault="00E453CD" w:rsidP="002F0483">
      <w:pPr>
        <w:keepNext/>
        <w:rPr>
          <w:i/>
          <w:szCs w:val="22"/>
        </w:rPr>
      </w:pPr>
      <w:r>
        <w:rPr>
          <w:i/>
          <w:sz w:val="22"/>
          <w:szCs w:val="22"/>
          <w:u w:val="single"/>
        </w:rPr>
        <w:t>Klinisk respons</w:t>
      </w:r>
    </w:p>
    <w:p w14:paraId="345289BB" w14:textId="77777777" w:rsidR="002F0483" w:rsidRDefault="002F0483" w:rsidP="002F0483">
      <w:pPr>
        <w:keepNext/>
        <w:rPr>
          <w:i/>
          <w:szCs w:val="22"/>
        </w:rPr>
      </w:pPr>
    </w:p>
    <w:p w14:paraId="5D7A94E3" w14:textId="77777777" w:rsidR="002F0483" w:rsidRDefault="00E453CD" w:rsidP="002F0483">
      <w:pPr>
        <w:rPr>
          <w:szCs w:val="22"/>
        </w:rPr>
      </w:pPr>
      <w:r>
        <w:rPr>
          <w:sz w:val="22"/>
          <w:szCs w:val="22"/>
        </w:rPr>
        <w:t>Adalimumab forlenget tiden til behandlingssvikt signifikant, sammenlignet med placebo (se figur 3,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t>
      </w:r>
    </w:p>
    <w:p w14:paraId="42AEAD05" w14:textId="77777777" w:rsidR="002F0483" w:rsidRDefault="002F0483" w:rsidP="002F0483">
      <w:pPr>
        <w:rPr>
          <w:szCs w:val="22"/>
        </w:rPr>
      </w:pPr>
    </w:p>
    <w:p w14:paraId="42306984" w14:textId="77777777" w:rsidR="002F0483" w:rsidRPr="00BF7743" w:rsidRDefault="00E453CD" w:rsidP="002F0483">
      <w:pPr>
        <w:keepNext/>
        <w:jc w:val="center"/>
        <w:rPr>
          <w:b/>
          <w:szCs w:val="22"/>
        </w:rPr>
      </w:pPr>
      <w:r>
        <w:rPr>
          <w:b/>
          <w:sz w:val="22"/>
          <w:szCs w:val="22"/>
        </w:rPr>
        <w:lastRenderedPageBreak/>
        <w:t>Figur 3: Kaplan-Meier-kurve som viser tid til behandlingssvikt i studien med pediatrisk uveitt</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4644D4" w14:paraId="48CC8025" w14:textId="77777777" w:rsidTr="002F0483">
        <w:trPr>
          <w:cantSplit/>
          <w:trHeight w:val="3806"/>
        </w:trPr>
        <w:tc>
          <w:tcPr>
            <w:tcW w:w="468" w:type="dxa"/>
            <w:textDirection w:val="btLr"/>
            <w:vAlign w:val="bottom"/>
          </w:tcPr>
          <w:p w14:paraId="564CB87B" w14:textId="77777777" w:rsidR="002F0483" w:rsidRPr="000653BE" w:rsidRDefault="00E453CD" w:rsidP="002F0483">
            <w:pPr>
              <w:pStyle w:val="EMEANormal"/>
              <w:keepNext/>
              <w:ind w:left="113" w:right="113"/>
              <w:jc w:val="center"/>
              <w:rPr>
                <w:b/>
                <w:szCs w:val="22"/>
              </w:rPr>
            </w:pPr>
            <w:r>
              <w:rPr>
                <w:b/>
                <w:szCs w:val="22"/>
              </w:rPr>
              <w:t>SANNSYNLIGHET FOR BEHANDLINGSSVIKT</w:t>
            </w:r>
          </w:p>
        </w:tc>
        <w:tc>
          <w:tcPr>
            <w:tcW w:w="8820" w:type="dxa"/>
            <w:gridSpan w:val="5"/>
            <w:vAlign w:val="bottom"/>
          </w:tcPr>
          <w:p w14:paraId="584E241E" w14:textId="77777777" w:rsidR="002F0483" w:rsidRPr="00B720DC" w:rsidRDefault="00E453CD" w:rsidP="002F0483">
            <w:pPr>
              <w:pStyle w:val="EMEANormal"/>
              <w:keepNext/>
              <w:rPr>
                <w:szCs w:val="22"/>
              </w:rPr>
            </w:pPr>
            <w:r w:rsidRPr="000653BE">
              <w:rPr>
                <w:noProof/>
                <w:szCs w:val="22"/>
                <w:lang w:val="en-GB" w:eastAsia="en-GB"/>
              </w:rPr>
              <w:drawing>
                <wp:inline distT="0" distB="0" distL="0" distR="0" wp14:anchorId="383874A8" wp14:editId="68E013CA">
                  <wp:extent cx="5486400" cy="4552950"/>
                  <wp:effectExtent l="0" t="0" r="0" b="0"/>
                  <wp:docPr id="169" name="Bilde 82"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3"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4644D4" w14:paraId="491B27CF" w14:textId="77777777" w:rsidTr="002F0483">
        <w:tc>
          <w:tcPr>
            <w:tcW w:w="468" w:type="dxa"/>
          </w:tcPr>
          <w:p w14:paraId="685CDED6" w14:textId="77777777" w:rsidR="002F0483" w:rsidRPr="00B720DC" w:rsidRDefault="002F0483" w:rsidP="002F0483">
            <w:pPr>
              <w:pStyle w:val="EMEANormal"/>
              <w:keepNext/>
              <w:rPr>
                <w:szCs w:val="22"/>
              </w:rPr>
            </w:pPr>
          </w:p>
        </w:tc>
        <w:tc>
          <w:tcPr>
            <w:tcW w:w="8820" w:type="dxa"/>
            <w:gridSpan w:val="5"/>
          </w:tcPr>
          <w:p w14:paraId="4DDD97F3" w14:textId="77777777" w:rsidR="002F0483" w:rsidRPr="00B720DC" w:rsidRDefault="00E453CD" w:rsidP="002F0483">
            <w:pPr>
              <w:pStyle w:val="EMEANormal"/>
              <w:keepNext/>
              <w:jc w:val="center"/>
              <w:rPr>
                <w:b/>
                <w:szCs w:val="22"/>
              </w:rPr>
            </w:pPr>
            <w:r>
              <w:rPr>
                <w:b/>
                <w:szCs w:val="22"/>
              </w:rPr>
              <w:t>TID</w:t>
            </w:r>
            <w:r w:rsidRPr="00B720DC">
              <w:rPr>
                <w:b/>
                <w:szCs w:val="22"/>
              </w:rPr>
              <w:t xml:space="preserve"> (</w:t>
            </w:r>
            <w:r>
              <w:rPr>
                <w:b/>
                <w:szCs w:val="22"/>
              </w:rPr>
              <w:t>UKER</w:t>
            </w:r>
            <w:r w:rsidRPr="00B720DC">
              <w:rPr>
                <w:b/>
                <w:szCs w:val="22"/>
              </w:rPr>
              <w:t>)</w:t>
            </w:r>
          </w:p>
        </w:tc>
      </w:tr>
      <w:tr w:rsidR="004644D4" w14:paraId="1A063F1E" w14:textId="77777777" w:rsidTr="002F0483">
        <w:tc>
          <w:tcPr>
            <w:tcW w:w="468" w:type="dxa"/>
          </w:tcPr>
          <w:p w14:paraId="31D30492" w14:textId="77777777" w:rsidR="002F0483" w:rsidRPr="00B720DC" w:rsidRDefault="002F0483" w:rsidP="002F0483">
            <w:pPr>
              <w:pStyle w:val="EMEANormal"/>
              <w:keepNext/>
              <w:rPr>
                <w:szCs w:val="22"/>
              </w:rPr>
            </w:pPr>
          </w:p>
        </w:tc>
        <w:tc>
          <w:tcPr>
            <w:tcW w:w="3510" w:type="dxa"/>
          </w:tcPr>
          <w:p w14:paraId="07631CC0" w14:textId="77777777" w:rsidR="002F0483" w:rsidRPr="00B720DC" w:rsidRDefault="00E453CD" w:rsidP="002F0483">
            <w:pPr>
              <w:pStyle w:val="EMEANormal"/>
              <w:keepNext/>
              <w:rPr>
                <w:szCs w:val="22"/>
              </w:rPr>
            </w:pPr>
            <w:r>
              <w:rPr>
                <w:szCs w:val="22"/>
              </w:rPr>
              <w:t>Behandling</w:t>
            </w:r>
          </w:p>
        </w:tc>
        <w:tc>
          <w:tcPr>
            <w:tcW w:w="1170" w:type="dxa"/>
            <w:vAlign w:val="bottom"/>
          </w:tcPr>
          <w:p w14:paraId="00529EB6" w14:textId="77777777" w:rsidR="002F0483" w:rsidRPr="00B720DC" w:rsidRDefault="00E453CD" w:rsidP="002F0483">
            <w:pPr>
              <w:pStyle w:val="EMEANormal"/>
              <w:keepNext/>
              <w:jc w:val="center"/>
              <w:rPr>
                <w:szCs w:val="22"/>
              </w:rPr>
            </w:pPr>
            <w:r>
              <w:rPr>
                <w:noProof/>
                <w:szCs w:val="22"/>
                <w:lang w:val="en-GB" w:eastAsia="en-GB"/>
              </w:rPr>
              <w:drawing>
                <wp:inline distT="0" distB="0" distL="0" distR="0" wp14:anchorId="77642683" wp14:editId="582672A3">
                  <wp:extent cx="457200" cy="123825"/>
                  <wp:effectExtent l="0" t="0" r="0" b="9525"/>
                  <wp:docPr id="170" name="Bilde 8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4"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14:paraId="7C9F5EFD" w14:textId="77777777" w:rsidR="002F0483" w:rsidRPr="00B720DC" w:rsidRDefault="00E453CD" w:rsidP="002F0483">
            <w:pPr>
              <w:pStyle w:val="EMEANormal"/>
              <w:keepNext/>
              <w:rPr>
                <w:szCs w:val="22"/>
              </w:rPr>
            </w:pPr>
            <w:r>
              <w:rPr>
                <w:szCs w:val="22"/>
              </w:rPr>
              <w:t>p</w:t>
            </w:r>
            <w:r w:rsidRPr="00B720DC">
              <w:rPr>
                <w:szCs w:val="22"/>
              </w:rPr>
              <w:t>lacebo</w:t>
            </w:r>
          </w:p>
        </w:tc>
        <w:tc>
          <w:tcPr>
            <w:tcW w:w="900" w:type="dxa"/>
            <w:vAlign w:val="center"/>
          </w:tcPr>
          <w:p w14:paraId="090C1CEE" w14:textId="77777777" w:rsidR="002F0483" w:rsidRPr="00B720DC" w:rsidRDefault="00E453CD" w:rsidP="002F0483">
            <w:pPr>
              <w:pStyle w:val="EMEANormal"/>
              <w:keepNext/>
              <w:rPr>
                <w:szCs w:val="22"/>
              </w:rPr>
            </w:pPr>
            <w:r>
              <w:rPr>
                <w:noProof/>
                <w:szCs w:val="22"/>
                <w:lang w:val="en-GB" w:eastAsia="en-GB"/>
              </w:rPr>
              <w:drawing>
                <wp:inline distT="0" distB="0" distL="0" distR="0" wp14:anchorId="5608CB94" wp14:editId="2A76C9FA">
                  <wp:extent cx="457200" cy="85725"/>
                  <wp:effectExtent l="0" t="0" r="0" b="9525"/>
                  <wp:docPr id="171" name="Bilde 8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5"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14:paraId="30BE927B" w14:textId="77777777" w:rsidR="002F0483" w:rsidRPr="00B720DC" w:rsidRDefault="00E453CD" w:rsidP="002F0483">
            <w:pPr>
              <w:pStyle w:val="EMEANormal"/>
              <w:keepNext/>
              <w:rPr>
                <w:szCs w:val="22"/>
              </w:rPr>
            </w:pPr>
            <w:r>
              <w:rPr>
                <w:szCs w:val="22"/>
              </w:rPr>
              <w:t>a</w:t>
            </w:r>
            <w:r w:rsidRPr="00B720DC">
              <w:rPr>
                <w:szCs w:val="22"/>
              </w:rPr>
              <w:t>dalimumab</w:t>
            </w:r>
          </w:p>
        </w:tc>
      </w:tr>
      <w:tr w:rsidR="004644D4" w14:paraId="3F0263DA" w14:textId="77777777" w:rsidTr="002F0483">
        <w:tc>
          <w:tcPr>
            <w:tcW w:w="468" w:type="dxa"/>
          </w:tcPr>
          <w:p w14:paraId="7CB031D8" w14:textId="77777777" w:rsidR="002F0483" w:rsidRPr="00B720DC" w:rsidRDefault="002F0483" w:rsidP="002F0483">
            <w:pPr>
              <w:pStyle w:val="EMEANormal"/>
              <w:rPr>
                <w:szCs w:val="22"/>
              </w:rPr>
            </w:pPr>
          </w:p>
        </w:tc>
        <w:tc>
          <w:tcPr>
            <w:tcW w:w="8820" w:type="dxa"/>
            <w:gridSpan w:val="5"/>
          </w:tcPr>
          <w:p w14:paraId="0E752468" w14:textId="77777777" w:rsidR="002F0483" w:rsidRPr="00BF7743" w:rsidRDefault="00E453CD" w:rsidP="002F0483">
            <w:pPr>
              <w:pStyle w:val="EMEANormal"/>
              <w:rPr>
                <w:szCs w:val="22"/>
                <w:lang w:val="nb-NO"/>
              </w:rPr>
            </w:pPr>
            <w:r w:rsidRPr="00BF7743">
              <w:rPr>
                <w:szCs w:val="22"/>
                <w:lang w:val="nb-NO"/>
              </w:rPr>
              <w:t>Merk: P = </w:t>
            </w:r>
            <w:r w:rsidRPr="006B49BD">
              <w:rPr>
                <w:szCs w:val="22"/>
                <w:lang w:val="nb-NO"/>
              </w:rPr>
              <w:t>p</w:t>
            </w:r>
            <w:r w:rsidRPr="00BF7743">
              <w:rPr>
                <w:szCs w:val="22"/>
                <w:lang w:val="nb-NO"/>
              </w:rPr>
              <w:t xml:space="preserve">lacebo (antall </w:t>
            </w:r>
            <w:r>
              <w:rPr>
                <w:szCs w:val="22"/>
                <w:lang w:val="nb-NO"/>
              </w:rPr>
              <w:t>med</w:t>
            </w:r>
            <w:r w:rsidRPr="00BF7743">
              <w:rPr>
                <w:szCs w:val="22"/>
                <w:lang w:val="nb-NO"/>
              </w:rPr>
              <w:t xml:space="preserve"> </w:t>
            </w:r>
            <w:r>
              <w:rPr>
                <w:szCs w:val="22"/>
                <w:lang w:val="nb-NO"/>
              </w:rPr>
              <w:t>risiko</w:t>
            </w:r>
            <w:r w:rsidRPr="00BF7743">
              <w:rPr>
                <w:szCs w:val="22"/>
                <w:lang w:val="nb-NO"/>
              </w:rPr>
              <w:t xml:space="preserve">); H = HUMIRA (antall </w:t>
            </w:r>
            <w:r>
              <w:rPr>
                <w:szCs w:val="22"/>
                <w:lang w:val="nb-NO"/>
              </w:rPr>
              <w:t>med</w:t>
            </w:r>
            <w:r w:rsidRPr="00BF7743">
              <w:rPr>
                <w:szCs w:val="22"/>
                <w:lang w:val="nb-NO"/>
              </w:rPr>
              <w:t xml:space="preserve"> </w:t>
            </w:r>
            <w:r>
              <w:rPr>
                <w:szCs w:val="22"/>
                <w:lang w:val="nb-NO"/>
              </w:rPr>
              <w:t>risiko</w:t>
            </w:r>
            <w:r w:rsidRPr="00BF7743">
              <w:rPr>
                <w:szCs w:val="22"/>
                <w:lang w:val="nb-NO"/>
              </w:rPr>
              <w:t>).</w:t>
            </w:r>
          </w:p>
        </w:tc>
      </w:tr>
    </w:tbl>
    <w:p w14:paraId="59BD7344" w14:textId="77777777" w:rsidR="002F0483" w:rsidRPr="009C5EFD" w:rsidRDefault="002F0483" w:rsidP="002F0483">
      <w:pPr>
        <w:rPr>
          <w:sz w:val="22"/>
          <w:szCs w:val="22"/>
        </w:rPr>
      </w:pPr>
    </w:p>
    <w:p w14:paraId="53FBE612" w14:textId="77777777" w:rsidR="001E500F" w:rsidRPr="009C5EFD" w:rsidRDefault="001E500F" w:rsidP="009C5EFD">
      <w:pPr>
        <w:suppressAutoHyphens/>
        <w:rPr>
          <w:sz w:val="22"/>
          <w:szCs w:val="22"/>
        </w:rPr>
      </w:pPr>
    </w:p>
    <w:p w14:paraId="01B62FBD" w14:textId="77777777" w:rsidR="001E500F" w:rsidRPr="009C5EFD" w:rsidRDefault="00E453CD" w:rsidP="00776A84">
      <w:pPr>
        <w:keepNext/>
        <w:suppressAutoHyphens/>
        <w:ind w:left="576" w:hanging="576"/>
        <w:rPr>
          <w:b/>
          <w:sz w:val="22"/>
          <w:szCs w:val="22"/>
        </w:rPr>
      </w:pPr>
      <w:r w:rsidRPr="009C5EFD">
        <w:rPr>
          <w:b/>
          <w:sz w:val="22"/>
          <w:szCs w:val="22"/>
        </w:rPr>
        <w:t>5.2</w:t>
      </w:r>
      <w:r w:rsidRPr="009C5EFD">
        <w:rPr>
          <w:b/>
          <w:sz w:val="22"/>
          <w:szCs w:val="22"/>
        </w:rPr>
        <w:tab/>
        <w:t>Farmakokinetiske egenskaper</w:t>
      </w:r>
    </w:p>
    <w:p w14:paraId="4552080D" w14:textId="77777777" w:rsidR="001E500F" w:rsidRPr="009C5EFD" w:rsidRDefault="001E500F" w:rsidP="00776A84">
      <w:pPr>
        <w:keepNext/>
        <w:suppressAutoHyphens/>
        <w:rPr>
          <w:sz w:val="22"/>
          <w:szCs w:val="22"/>
        </w:rPr>
      </w:pPr>
    </w:p>
    <w:p w14:paraId="770BC2DF" w14:textId="77777777" w:rsidR="001E500F" w:rsidRPr="009C5EFD" w:rsidRDefault="00E453CD" w:rsidP="00776A84">
      <w:pPr>
        <w:keepNext/>
        <w:rPr>
          <w:sz w:val="22"/>
          <w:szCs w:val="22"/>
          <w:u w:val="single"/>
        </w:rPr>
      </w:pPr>
      <w:r w:rsidRPr="009C5EFD">
        <w:rPr>
          <w:sz w:val="22"/>
          <w:szCs w:val="22"/>
          <w:u w:val="single"/>
        </w:rPr>
        <w:t>Absorpsjon og distribusjon</w:t>
      </w:r>
    </w:p>
    <w:p w14:paraId="193FE84A" w14:textId="77777777" w:rsidR="001E500F" w:rsidRPr="009C5EFD" w:rsidRDefault="001E500F" w:rsidP="00776A84">
      <w:pPr>
        <w:keepNext/>
        <w:rPr>
          <w:sz w:val="22"/>
          <w:szCs w:val="22"/>
          <w:u w:val="single"/>
        </w:rPr>
      </w:pPr>
    </w:p>
    <w:p w14:paraId="43BF1B5A" w14:textId="77777777" w:rsidR="001E500F" w:rsidRPr="009C5EFD" w:rsidRDefault="00E453CD" w:rsidP="009C5EFD">
      <w:pPr>
        <w:rPr>
          <w:sz w:val="22"/>
          <w:szCs w:val="22"/>
        </w:rPr>
      </w:pPr>
      <w:r w:rsidRPr="009C5EFD">
        <w:rPr>
          <w:sz w:val="22"/>
          <w:szCs w:val="22"/>
        </w:rPr>
        <w:t>Etter subkutan administrasjon av</w:t>
      </w:r>
      <w:r w:rsidR="0074117B">
        <w:rPr>
          <w:sz w:val="22"/>
          <w:szCs w:val="22"/>
        </w:rPr>
        <w:t xml:space="preserve"> en enkeltdose på</w:t>
      </w:r>
      <w:r w:rsidRPr="009C5EFD">
        <w:rPr>
          <w:sz w:val="22"/>
          <w:szCs w:val="22"/>
        </w:rPr>
        <w:t xml:space="preserve"> 40</w:t>
      </w:r>
      <w:r w:rsidR="00315F16" w:rsidRPr="009C5EFD">
        <w:rPr>
          <w:sz w:val="22"/>
          <w:szCs w:val="22"/>
        </w:rPr>
        <w:t> mg</w:t>
      </w:r>
      <w:r w:rsidRPr="009C5EFD">
        <w:rPr>
          <w:sz w:val="22"/>
          <w:szCs w:val="22"/>
        </w:rPr>
        <w:t xml:space="preserve"> er absorpsjonen og distribusjonen av adalimumab langsom, med </w:t>
      </w:r>
      <w:r w:rsidR="0074117B">
        <w:rPr>
          <w:sz w:val="22"/>
          <w:szCs w:val="22"/>
        </w:rPr>
        <w:t xml:space="preserve">maksimale </w:t>
      </w:r>
      <w:r w:rsidRPr="009C5EFD">
        <w:rPr>
          <w:sz w:val="22"/>
          <w:szCs w:val="22"/>
        </w:rPr>
        <w:t xml:space="preserve">serumkonsentrasjoner etter omkring 5 dager. Den gjennomsnittlige absolutte biotilgjengeligheten for adalimumab </w:t>
      </w:r>
      <w:r w:rsidR="0074117B">
        <w:rPr>
          <w:sz w:val="22"/>
          <w:szCs w:val="22"/>
        </w:rPr>
        <w:t>estimert</w:t>
      </w:r>
      <w:r w:rsidRPr="009C5EFD">
        <w:rPr>
          <w:sz w:val="22"/>
          <w:szCs w:val="22"/>
        </w:rPr>
        <w:t xml:space="preserve"> fra tre studier etter en enkelt</w:t>
      </w:r>
      <w:r w:rsidR="0074117B">
        <w:rPr>
          <w:sz w:val="22"/>
          <w:szCs w:val="22"/>
        </w:rPr>
        <w:t>dose på</w:t>
      </w:r>
      <w:r w:rsidRPr="009C5EFD">
        <w:rPr>
          <w:sz w:val="22"/>
          <w:szCs w:val="22"/>
        </w:rPr>
        <w:t xml:space="preserve"> 40</w:t>
      </w:r>
      <w:r w:rsidR="00315F16" w:rsidRPr="009C5EFD">
        <w:rPr>
          <w:sz w:val="22"/>
          <w:szCs w:val="22"/>
        </w:rPr>
        <w:t> mg</w:t>
      </w:r>
      <w:r w:rsidR="0074117B">
        <w:rPr>
          <w:sz w:val="22"/>
          <w:szCs w:val="22"/>
        </w:rPr>
        <w:t xml:space="preserve"> gitt</w:t>
      </w:r>
      <w:r w:rsidRPr="009C5EFD">
        <w:rPr>
          <w:sz w:val="22"/>
          <w:szCs w:val="22"/>
        </w:rPr>
        <w:t xml:space="preserve"> subkutan</w:t>
      </w:r>
      <w:r w:rsidR="0074117B">
        <w:rPr>
          <w:sz w:val="22"/>
          <w:szCs w:val="22"/>
        </w:rPr>
        <w:t>t</w:t>
      </w:r>
      <w:r w:rsidRPr="009C5EFD">
        <w:rPr>
          <w:sz w:val="22"/>
          <w:szCs w:val="22"/>
        </w:rPr>
        <w:t xml:space="preserve"> var 64</w:t>
      </w:r>
      <w:r w:rsidR="00315F16" w:rsidRPr="009C5EFD">
        <w:rPr>
          <w:sz w:val="22"/>
          <w:szCs w:val="22"/>
        </w:rPr>
        <w:t> %</w:t>
      </w:r>
      <w:r w:rsidRPr="009C5EFD">
        <w:rPr>
          <w:sz w:val="22"/>
          <w:szCs w:val="22"/>
        </w:rPr>
        <w:t>. Etter enkeltdoser administrert</w:t>
      </w:r>
      <w:r w:rsidR="00410857">
        <w:rPr>
          <w:sz w:val="22"/>
          <w:szCs w:val="22"/>
        </w:rPr>
        <w:t xml:space="preserve"> intravenøst</w:t>
      </w:r>
      <w:r w:rsidRPr="009C5EFD">
        <w:rPr>
          <w:sz w:val="22"/>
          <w:szCs w:val="22"/>
        </w:rPr>
        <w:t xml:space="preserve"> i området 0,25 til 10</w:t>
      </w:r>
      <w:r w:rsidR="00315F16" w:rsidRPr="009C5EFD">
        <w:rPr>
          <w:sz w:val="22"/>
          <w:szCs w:val="22"/>
        </w:rPr>
        <w:t> mg</w:t>
      </w:r>
      <w:r w:rsidRPr="009C5EFD">
        <w:rPr>
          <w:sz w:val="22"/>
          <w:szCs w:val="22"/>
        </w:rPr>
        <w:t>/kg var konsentrasjonene proporsjonale med dosen. Etter doser på 0,5 mg/kg (</w:t>
      </w:r>
      <w:r w:rsidR="00814D0E" w:rsidRPr="00814D0E">
        <w:rPr>
          <w:sz w:val="22"/>
          <w:szCs w:val="22"/>
        </w:rPr>
        <w:t>~</w:t>
      </w:r>
      <w:r w:rsidRPr="009C5EFD">
        <w:rPr>
          <w:sz w:val="22"/>
          <w:szCs w:val="22"/>
        </w:rPr>
        <w:t>40</w:t>
      </w:r>
      <w:r w:rsidR="00315F16" w:rsidRPr="009C5EFD">
        <w:rPr>
          <w:sz w:val="22"/>
          <w:szCs w:val="22"/>
        </w:rPr>
        <w:t> mg</w:t>
      </w:r>
      <w:r w:rsidRPr="009C5EFD">
        <w:rPr>
          <w:sz w:val="22"/>
          <w:szCs w:val="22"/>
        </w:rPr>
        <w:t>) varierte clearance fra 11 til 15</w:t>
      </w:r>
      <w:r w:rsidR="00A05002" w:rsidRPr="009C5EFD">
        <w:rPr>
          <w:sz w:val="22"/>
          <w:szCs w:val="22"/>
        </w:rPr>
        <w:t> </w:t>
      </w:r>
      <w:r w:rsidRPr="009C5EFD">
        <w:rPr>
          <w:sz w:val="22"/>
          <w:szCs w:val="22"/>
        </w:rPr>
        <w:t>ml/time, distribusjonsvolumet (V</w:t>
      </w:r>
      <w:r w:rsidRPr="009C5EFD">
        <w:rPr>
          <w:sz w:val="22"/>
          <w:szCs w:val="22"/>
          <w:vertAlign w:val="subscript"/>
        </w:rPr>
        <w:t>ss</w:t>
      </w:r>
      <w:r w:rsidRPr="009C5EFD">
        <w:rPr>
          <w:sz w:val="22"/>
          <w:szCs w:val="22"/>
        </w:rPr>
        <w:t>) varierte fra 5 til 6</w:t>
      </w:r>
      <w:r w:rsidR="00A05002" w:rsidRPr="009C5EFD">
        <w:rPr>
          <w:sz w:val="22"/>
          <w:szCs w:val="22"/>
        </w:rPr>
        <w:t> </w:t>
      </w:r>
      <w:r w:rsidRPr="009C5EFD">
        <w:rPr>
          <w:sz w:val="22"/>
          <w:szCs w:val="22"/>
        </w:rPr>
        <w:t>liter, og den gjennomsnittlige</w:t>
      </w:r>
      <w:r w:rsidR="00465D4D" w:rsidRPr="009C5EFD">
        <w:rPr>
          <w:sz w:val="22"/>
          <w:szCs w:val="22"/>
        </w:rPr>
        <w:t xml:space="preserve"> halveringstiden</w:t>
      </w:r>
      <w:r w:rsidR="00465D4D">
        <w:rPr>
          <w:sz w:val="22"/>
          <w:szCs w:val="22"/>
        </w:rPr>
        <w:t xml:space="preserve"> ved</w:t>
      </w:r>
      <w:r w:rsidRPr="009C5EFD">
        <w:rPr>
          <w:sz w:val="22"/>
          <w:szCs w:val="22"/>
        </w:rPr>
        <w:t xml:space="preserve"> terminalfase var ca. to uker. Adalimumab-konsentrasjonen i synovialvæsken hos flere pasienter med revmatoid artritt varierte fra 31 til 96</w:t>
      </w:r>
      <w:r w:rsidR="00315F16" w:rsidRPr="009C5EFD">
        <w:rPr>
          <w:sz w:val="22"/>
          <w:szCs w:val="22"/>
        </w:rPr>
        <w:t> %</w:t>
      </w:r>
      <w:r w:rsidRPr="009C5EFD">
        <w:rPr>
          <w:sz w:val="22"/>
          <w:szCs w:val="22"/>
        </w:rPr>
        <w:t xml:space="preserve"> av konsentrasjonen i serum.</w:t>
      </w:r>
    </w:p>
    <w:p w14:paraId="15891594" w14:textId="77777777" w:rsidR="001E500F" w:rsidRPr="009C5EFD" w:rsidRDefault="001E500F" w:rsidP="009C5EFD">
      <w:pPr>
        <w:rPr>
          <w:sz w:val="22"/>
          <w:szCs w:val="22"/>
        </w:rPr>
      </w:pPr>
    </w:p>
    <w:p w14:paraId="470D85FD" w14:textId="77777777" w:rsidR="001E500F" w:rsidRPr="009C5EFD" w:rsidRDefault="00E453CD" w:rsidP="009C5EFD">
      <w:pPr>
        <w:rPr>
          <w:sz w:val="22"/>
          <w:szCs w:val="22"/>
        </w:rPr>
      </w:pPr>
      <w:r w:rsidRPr="009C5EFD">
        <w:rPr>
          <w:sz w:val="22"/>
          <w:szCs w:val="22"/>
        </w:rPr>
        <w:t>Etter subkutan administrasjon av 40</w:t>
      </w:r>
      <w:r w:rsidR="00315F16" w:rsidRPr="009C5EFD">
        <w:rPr>
          <w:sz w:val="22"/>
          <w:szCs w:val="22"/>
        </w:rPr>
        <w:t> mg</w:t>
      </w:r>
      <w:r w:rsidRPr="009C5EFD">
        <w:rPr>
          <w:sz w:val="22"/>
          <w:szCs w:val="22"/>
        </w:rPr>
        <w:t xml:space="preserve"> adalimumab annenhver uke hos voksne pasienter med revmatoid artritt (RA), var gjennomsnittlig </w:t>
      </w:r>
      <w:r w:rsidR="00B125D2">
        <w:rPr>
          <w:sz w:val="22"/>
          <w:szCs w:val="22"/>
        </w:rPr>
        <w:t>bunn</w:t>
      </w:r>
      <w:r w:rsidRPr="009C5EFD">
        <w:rPr>
          <w:sz w:val="22"/>
          <w:szCs w:val="22"/>
        </w:rPr>
        <w:t>konsentrasjon ved steady-state på henholdsvis omkring 5 mikrog/ml (uten samtidig metotreksat) og 8 til 9</w:t>
      </w:r>
      <w:r w:rsidR="00A05002" w:rsidRPr="009C5EFD">
        <w:rPr>
          <w:sz w:val="22"/>
          <w:szCs w:val="22"/>
        </w:rPr>
        <w:t> </w:t>
      </w:r>
      <w:r w:rsidRPr="009C5EFD">
        <w:rPr>
          <w:sz w:val="22"/>
          <w:szCs w:val="22"/>
        </w:rPr>
        <w:t xml:space="preserve">mikrog/ml (med samtidig metotreksat). </w:t>
      </w:r>
      <w:r w:rsidR="00B125D2">
        <w:rPr>
          <w:sz w:val="22"/>
          <w:szCs w:val="22"/>
        </w:rPr>
        <w:t>Bunn</w:t>
      </w:r>
      <w:r w:rsidRPr="009C5EFD">
        <w:rPr>
          <w:color w:val="000000"/>
          <w:sz w:val="22"/>
          <w:szCs w:val="22"/>
        </w:rPr>
        <w:t>nivåene av adalimumab i s</w:t>
      </w:r>
      <w:r w:rsidRPr="009C5EFD">
        <w:rPr>
          <w:sz w:val="22"/>
          <w:szCs w:val="22"/>
        </w:rPr>
        <w:t>erum ved steady-state økte omtrent proporsjonalt med dosen etter 20, 40 og 80</w:t>
      </w:r>
      <w:r w:rsidR="00315F16" w:rsidRPr="009C5EFD">
        <w:rPr>
          <w:sz w:val="22"/>
          <w:szCs w:val="22"/>
        </w:rPr>
        <w:t> mg</w:t>
      </w:r>
      <w:r w:rsidRPr="009C5EFD">
        <w:rPr>
          <w:sz w:val="22"/>
          <w:szCs w:val="22"/>
        </w:rPr>
        <w:t xml:space="preserve"> administrert</w:t>
      </w:r>
      <w:r w:rsidR="00410857">
        <w:rPr>
          <w:sz w:val="22"/>
          <w:szCs w:val="22"/>
        </w:rPr>
        <w:t xml:space="preserve"> subkutant</w:t>
      </w:r>
      <w:r w:rsidRPr="009C5EFD">
        <w:rPr>
          <w:sz w:val="22"/>
          <w:szCs w:val="22"/>
        </w:rPr>
        <w:t xml:space="preserve"> annenhver uke og hver uke.</w:t>
      </w:r>
    </w:p>
    <w:p w14:paraId="6CDA0FBA" w14:textId="77777777" w:rsidR="001E500F" w:rsidRPr="009C5EFD" w:rsidRDefault="001E500F" w:rsidP="009C5EFD">
      <w:pPr>
        <w:rPr>
          <w:sz w:val="22"/>
          <w:szCs w:val="22"/>
        </w:rPr>
      </w:pPr>
    </w:p>
    <w:p w14:paraId="049A4417" w14:textId="77777777" w:rsidR="001E500F" w:rsidRPr="009C5EFD" w:rsidRDefault="00E453CD" w:rsidP="009C5EFD">
      <w:pPr>
        <w:rPr>
          <w:sz w:val="22"/>
          <w:szCs w:val="22"/>
        </w:rPr>
      </w:pPr>
      <w:r w:rsidRPr="009C5EFD">
        <w:rPr>
          <w:sz w:val="22"/>
          <w:szCs w:val="22"/>
        </w:rPr>
        <w:t xml:space="preserve">Etter </w:t>
      </w:r>
      <w:r w:rsidR="00B8124C">
        <w:rPr>
          <w:sz w:val="22"/>
          <w:szCs w:val="22"/>
        </w:rPr>
        <w:t>administrasjon</w:t>
      </w:r>
      <w:r w:rsidRPr="009C5EFD">
        <w:rPr>
          <w:sz w:val="22"/>
          <w:szCs w:val="22"/>
        </w:rPr>
        <w:t xml:space="preserve"> av 24</w:t>
      </w:r>
      <w:r w:rsidR="00315F16" w:rsidRPr="009C5EFD">
        <w:rPr>
          <w:sz w:val="22"/>
          <w:szCs w:val="22"/>
        </w:rPr>
        <w:t> mg</w:t>
      </w:r>
      <w:r w:rsidRPr="009C5EFD">
        <w:rPr>
          <w:sz w:val="22"/>
          <w:szCs w:val="22"/>
        </w:rPr>
        <w:t>/m</w:t>
      </w:r>
      <w:r w:rsidRPr="009C5EFD">
        <w:rPr>
          <w:sz w:val="22"/>
          <w:szCs w:val="22"/>
          <w:vertAlign w:val="superscript"/>
        </w:rPr>
        <w:t>2</w:t>
      </w:r>
      <w:r w:rsidRPr="009C5EFD">
        <w:rPr>
          <w:sz w:val="22"/>
          <w:szCs w:val="22"/>
        </w:rPr>
        <w:t xml:space="preserve"> (maksimum 40</w:t>
      </w:r>
      <w:r w:rsidR="00315F16" w:rsidRPr="009C5EFD">
        <w:rPr>
          <w:sz w:val="22"/>
          <w:szCs w:val="22"/>
        </w:rPr>
        <w:t> mg</w:t>
      </w:r>
      <w:r w:rsidRPr="009C5EFD">
        <w:rPr>
          <w:sz w:val="22"/>
          <w:szCs w:val="22"/>
        </w:rPr>
        <w:t>) subkutant annenhver uke hos pasienter med polyartikulær juvenil idiopatisk artritt (JIA) i alderen 4 til 17</w:t>
      </w:r>
      <w:r w:rsidR="00315F16" w:rsidRPr="009C5EFD">
        <w:rPr>
          <w:sz w:val="22"/>
          <w:szCs w:val="22"/>
        </w:rPr>
        <w:t> år</w:t>
      </w:r>
      <w:r w:rsidRPr="009C5EFD">
        <w:rPr>
          <w:sz w:val="22"/>
          <w:szCs w:val="22"/>
        </w:rPr>
        <w:t xml:space="preserve"> var gjennomsnittlig </w:t>
      </w:r>
      <w:r w:rsidR="008D50A6">
        <w:rPr>
          <w:sz w:val="22"/>
          <w:szCs w:val="22"/>
        </w:rPr>
        <w:t>bunnkonsentrasjon av</w:t>
      </w:r>
      <w:r w:rsidR="00723A4F">
        <w:rPr>
          <w:sz w:val="22"/>
          <w:szCs w:val="22"/>
        </w:rPr>
        <w:t xml:space="preserve"> </w:t>
      </w:r>
      <w:r w:rsidRPr="009C5EFD">
        <w:rPr>
          <w:sz w:val="22"/>
          <w:szCs w:val="22"/>
        </w:rPr>
        <w:t>adalimuma</w:t>
      </w:r>
      <w:r w:rsidR="00357C88">
        <w:rPr>
          <w:sz w:val="22"/>
          <w:szCs w:val="22"/>
        </w:rPr>
        <w:t>b</w:t>
      </w:r>
      <w:r w:rsidRPr="009C5EFD">
        <w:rPr>
          <w:sz w:val="22"/>
          <w:szCs w:val="22"/>
        </w:rPr>
        <w:t xml:space="preserve"> i serum ved steady-state (verdier målt fra </w:t>
      </w:r>
      <w:r w:rsidR="00315F16" w:rsidRPr="009C5EFD">
        <w:rPr>
          <w:sz w:val="22"/>
          <w:szCs w:val="22"/>
        </w:rPr>
        <w:t>uke </w:t>
      </w:r>
      <w:r w:rsidRPr="009C5EFD">
        <w:rPr>
          <w:sz w:val="22"/>
          <w:szCs w:val="22"/>
        </w:rPr>
        <w:t>20 til 48) på 5,6</w:t>
      </w:r>
      <w:r w:rsidR="00D03DF0" w:rsidRPr="009C5EFD">
        <w:rPr>
          <w:sz w:val="22"/>
          <w:szCs w:val="22"/>
        </w:rPr>
        <w:t> ± </w:t>
      </w:r>
      <w:r w:rsidRPr="009C5EFD">
        <w:rPr>
          <w:sz w:val="22"/>
          <w:szCs w:val="22"/>
        </w:rPr>
        <w:t>5,6</w:t>
      </w:r>
      <w:r w:rsidR="00D03DF0" w:rsidRPr="009C5EFD">
        <w:rPr>
          <w:sz w:val="22"/>
          <w:szCs w:val="22"/>
        </w:rPr>
        <w:t> </w:t>
      </w:r>
      <w:r w:rsidRPr="009C5EFD">
        <w:rPr>
          <w:sz w:val="22"/>
          <w:szCs w:val="22"/>
        </w:rPr>
        <w:t>mikrog/ml (102</w:t>
      </w:r>
      <w:r w:rsidR="00315F16" w:rsidRPr="009C5EFD">
        <w:rPr>
          <w:sz w:val="22"/>
          <w:szCs w:val="22"/>
        </w:rPr>
        <w:t> %</w:t>
      </w:r>
      <w:r w:rsidRPr="009C5EFD">
        <w:rPr>
          <w:sz w:val="22"/>
          <w:szCs w:val="22"/>
        </w:rPr>
        <w:t xml:space="preserve"> </w:t>
      </w:r>
      <w:r w:rsidRPr="009C5EFD">
        <w:rPr>
          <w:sz w:val="22"/>
          <w:szCs w:val="22"/>
        </w:rPr>
        <w:lastRenderedPageBreak/>
        <w:t>CV) uten samtidig bruk av metotreksat og 10,9</w:t>
      </w:r>
      <w:r w:rsidR="00D03DF0" w:rsidRPr="009C5EFD">
        <w:rPr>
          <w:sz w:val="22"/>
          <w:szCs w:val="22"/>
        </w:rPr>
        <w:t> ± </w:t>
      </w:r>
      <w:r w:rsidRPr="009C5EFD">
        <w:rPr>
          <w:sz w:val="22"/>
          <w:szCs w:val="22"/>
        </w:rPr>
        <w:t>5,2 mikrog/ml (47,7</w:t>
      </w:r>
      <w:r w:rsidR="00315F16" w:rsidRPr="009C5EFD">
        <w:rPr>
          <w:sz w:val="22"/>
          <w:szCs w:val="22"/>
        </w:rPr>
        <w:t> %</w:t>
      </w:r>
      <w:r w:rsidRPr="009C5EFD">
        <w:rPr>
          <w:sz w:val="22"/>
          <w:szCs w:val="22"/>
        </w:rPr>
        <w:t xml:space="preserve"> CV) ved samtidig bruk av metotreksat.</w:t>
      </w:r>
    </w:p>
    <w:p w14:paraId="2D32E107" w14:textId="77777777" w:rsidR="001E500F" w:rsidRPr="009C5EFD" w:rsidRDefault="001E500F" w:rsidP="009C5EFD">
      <w:pPr>
        <w:rPr>
          <w:sz w:val="22"/>
          <w:szCs w:val="22"/>
        </w:rPr>
      </w:pPr>
    </w:p>
    <w:p w14:paraId="13EF85A3" w14:textId="77777777" w:rsidR="001E500F" w:rsidRPr="009C5EFD" w:rsidRDefault="00E453CD" w:rsidP="009C5EFD">
      <w:pPr>
        <w:rPr>
          <w:sz w:val="22"/>
          <w:szCs w:val="22"/>
        </w:rPr>
      </w:pPr>
      <w:r w:rsidRPr="009C5EFD">
        <w:rPr>
          <w:sz w:val="22"/>
          <w:szCs w:val="22"/>
        </w:rPr>
        <w:t>Hos pasienter med polyartikulær JIA i alderen 2 til &lt;</w:t>
      </w:r>
      <w:r w:rsidR="00D03DF0" w:rsidRPr="009C5EFD">
        <w:rPr>
          <w:sz w:val="22"/>
          <w:szCs w:val="22"/>
        </w:rPr>
        <w:t> </w:t>
      </w:r>
      <w:r w:rsidRPr="009C5EFD">
        <w:rPr>
          <w:sz w:val="22"/>
          <w:szCs w:val="22"/>
        </w:rPr>
        <w:t>4</w:t>
      </w:r>
      <w:r w:rsidR="00315F16" w:rsidRPr="009C5EFD">
        <w:rPr>
          <w:sz w:val="22"/>
          <w:szCs w:val="22"/>
        </w:rPr>
        <w:t> år</w:t>
      </w:r>
      <w:r w:rsidRPr="009C5EFD">
        <w:rPr>
          <w:sz w:val="22"/>
          <w:szCs w:val="22"/>
        </w:rPr>
        <w:t xml:space="preserve"> eller fra 4</w:t>
      </w:r>
      <w:r w:rsidR="00315F16" w:rsidRPr="009C5EFD">
        <w:rPr>
          <w:sz w:val="22"/>
          <w:szCs w:val="22"/>
        </w:rPr>
        <w:t> år</w:t>
      </w:r>
      <w:r w:rsidRPr="009C5EFD">
        <w:rPr>
          <w:sz w:val="22"/>
          <w:szCs w:val="22"/>
        </w:rPr>
        <w:t xml:space="preserve"> og oppover og med kroppsvekt &lt;</w:t>
      </w:r>
      <w:r w:rsidR="00D03DF0" w:rsidRPr="009C5EFD">
        <w:rPr>
          <w:sz w:val="22"/>
          <w:szCs w:val="22"/>
        </w:rPr>
        <w:t> </w:t>
      </w:r>
      <w:r w:rsidRPr="009C5EFD">
        <w:rPr>
          <w:sz w:val="22"/>
          <w:szCs w:val="22"/>
        </w:rPr>
        <w:t>15 kg dosert med 24</w:t>
      </w:r>
      <w:r w:rsidR="00315F16" w:rsidRPr="009C5EFD">
        <w:rPr>
          <w:sz w:val="22"/>
          <w:szCs w:val="22"/>
        </w:rPr>
        <w:t> mg</w:t>
      </w:r>
      <w:r w:rsidRPr="009C5EFD">
        <w:rPr>
          <w:sz w:val="22"/>
          <w:szCs w:val="22"/>
        </w:rPr>
        <w:t>/m</w:t>
      </w:r>
      <w:r w:rsidRPr="009C5EFD">
        <w:rPr>
          <w:sz w:val="22"/>
          <w:szCs w:val="22"/>
          <w:vertAlign w:val="superscript"/>
        </w:rPr>
        <w:t>2</w:t>
      </w:r>
      <w:r w:rsidRPr="009C5EFD">
        <w:rPr>
          <w:sz w:val="22"/>
          <w:szCs w:val="22"/>
        </w:rPr>
        <w:t xml:space="preserve"> var gjennomsnittlig </w:t>
      </w:r>
      <w:r w:rsidR="00B125D2">
        <w:rPr>
          <w:sz w:val="22"/>
          <w:szCs w:val="22"/>
        </w:rPr>
        <w:t>bunn</w:t>
      </w:r>
      <w:r w:rsidRPr="009C5EFD">
        <w:rPr>
          <w:sz w:val="22"/>
          <w:szCs w:val="22"/>
        </w:rPr>
        <w:t>konsentrasjon av adalimumab i serum ved steady-state 6,0</w:t>
      </w:r>
      <w:r w:rsidR="00D03DF0" w:rsidRPr="009C5EFD">
        <w:rPr>
          <w:sz w:val="22"/>
          <w:szCs w:val="22"/>
        </w:rPr>
        <w:t> ± </w:t>
      </w:r>
      <w:r w:rsidRPr="009C5EFD">
        <w:rPr>
          <w:sz w:val="22"/>
          <w:szCs w:val="22"/>
        </w:rPr>
        <w:t>6,1 mikrog/ml (101</w:t>
      </w:r>
      <w:r w:rsidR="00315F16" w:rsidRPr="009C5EFD">
        <w:rPr>
          <w:sz w:val="22"/>
          <w:szCs w:val="22"/>
        </w:rPr>
        <w:t> %</w:t>
      </w:r>
      <w:r w:rsidRPr="009C5EFD">
        <w:rPr>
          <w:sz w:val="22"/>
          <w:szCs w:val="22"/>
        </w:rPr>
        <w:t xml:space="preserve"> CV) uten samtidig bruk av metotreksat og 7,9</w:t>
      </w:r>
      <w:r w:rsidR="00D03DF0" w:rsidRPr="009C5EFD">
        <w:rPr>
          <w:sz w:val="22"/>
          <w:szCs w:val="22"/>
        </w:rPr>
        <w:t> ± </w:t>
      </w:r>
      <w:r w:rsidRPr="009C5EFD">
        <w:rPr>
          <w:sz w:val="22"/>
          <w:szCs w:val="22"/>
        </w:rPr>
        <w:t>5,6 mikrog/ml (71,2</w:t>
      </w:r>
      <w:r w:rsidR="00315F16" w:rsidRPr="009C5EFD">
        <w:rPr>
          <w:sz w:val="22"/>
          <w:szCs w:val="22"/>
        </w:rPr>
        <w:t> %</w:t>
      </w:r>
      <w:r w:rsidRPr="009C5EFD">
        <w:rPr>
          <w:sz w:val="22"/>
          <w:szCs w:val="22"/>
        </w:rPr>
        <w:t xml:space="preserve"> CV) ved samtidig bruk av metotreksat.</w:t>
      </w:r>
    </w:p>
    <w:p w14:paraId="66E68B9D" w14:textId="77777777" w:rsidR="001E500F" w:rsidRPr="009C5EFD" w:rsidRDefault="001E500F" w:rsidP="009C5EFD">
      <w:pPr>
        <w:rPr>
          <w:sz w:val="22"/>
          <w:szCs w:val="22"/>
        </w:rPr>
      </w:pPr>
    </w:p>
    <w:p w14:paraId="3586F83A" w14:textId="77777777" w:rsidR="001E500F" w:rsidRDefault="00E453CD" w:rsidP="009C5EFD">
      <w:pPr>
        <w:suppressAutoHyphens/>
        <w:rPr>
          <w:sz w:val="22"/>
          <w:szCs w:val="22"/>
        </w:rPr>
      </w:pPr>
      <w:r w:rsidRPr="009C5EFD">
        <w:rPr>
          <w:sz w:val="22"/>
          <w:szCs w:val="22"/>
        </w:rPr>
        <w:t xml:space="preserve">Etter </w:t>
      </w:r>
      <w:r w:rsidR="00B8124C">
        <w:rPr>
          <w:sz w:val="22"/>
          <w:szCs w:val="22"/>
        </w:rPr>
        <w:t>administrasjon</w:t>
      </w:r>
      <w:r w:rsidRPr="009C5EFD">
        <w:rPr>
          <w:sz w:val="22"/>
          <w:szCs w:val="22"/>
        </w:rPr>
        <w:t xml:space="preserve"> av 24</w:t>
      </w:r>
      <w:r w:rsidR="00315F16" w:rsidRPr="009C5EFD">
        <w:rPr>
          <w:sz w:val="22"/>
          <w:szCs w:val="22"/>
        </w:rPr>
        <w:t> mg</w:t>
      </w:r>
      <w:r w:rsidRPr="009C5EFD">
        <w:rPr>
          <w:sz w:val="22"/>
          <w:szCs w:val="22"/>
        </w:rPr>
        <w:t>/m</w:t>
      </w:r>
      <w:r w:rsidRPr="009C5EFD">
        <w:rPr>
          <w:sz w:val="22"/>
          <w:szCs w:val="22"/>
          <w:vertAlign w:val="superscript"/>
        </w:rPr>
        <w:t>2</w:t>
      </w:r>
      <w:r w:rsidRPr="009C5EFD">
        <w:rPr>
          <w:sz w:val="22"/>
          <w:szCs w:val="22"/>
        </w:rPr>
        <w:t xml:space="preserve"> (maksimum 40</w:t>
      </w:r>
      <w:r w:rsidR="00315F16" w:rsidRPr="009C5EFD">
        <w:rPr>
          <w:sz w:val="22"/>
          <w:szCs w:val="22"/>
        </w:rPr>
        <w:t> mg</w:t>
      </w:r>
      <w:r w:rsidRPr="009C5EFD">
        <w:rPr>
          <w:sz w:val="22"/>
          <w:szCs w:val="22"/>
        </w:rPr>
        <w:t>) subkutant annenhver uke hos pasienter med entesittrelatert artritt i alderen 6 til 17</w:t>
      </w:r>
      <w:r w:rsidR="00315F16" w:rsidRPr="009C5EFD">
        <w:rPr>
          <w:sz w:val="22"/>
          <w:szCs w:val="22"/>
        </w:rPr>
        <w:t> år</w:t>
      </w:r>
      <w:r w:rsidRPr="009C5EFD">
        <w:rPr>
          <w:sz w:val="22"/>
          <w:szCs w:val="22"/>
        </w:rPr>
        <w:t xml:space="preserve">, var gjennomsnittlig </w:t>
      </w:r>
      <w:r w:rsidR="00B125D2">
        <w:rPr>
          <w:sz w:val="22"/>
          <w:szCs w:val="22"/>
        </w:rPr>
        <w:t>bunn</w:t>
      </w:r>
      <w:r w:rsidRPr="009C5EFD">
        <w:rPr>
          <w:sz w:val="22"/>
          <w:szCs w:val="22"/>
        </w:rPr>
        <w:t xml:space="preserve">konsentrasjon av adalimumab i serum ved steady-state (verdier målt ved </w:t>
      </w:r>
      <w:r w:rsidR="00315F16" w:rsidRPr="009C5EFD">
        <w:rPr>
          <w:sz w:val="22"/>
          <w:szCs w:val="22"/>
        </w:rPr>
        <w:t>uke </w:t>
      </w:r>
      <w:r w:rsidRPr="009C5EFD">
        <w:rPr>
          <w:sz w:val="22"/>
          <w:szCs w:val="22"/>
        </w:rPr>
        <w:t>24) 8,8</w:t>
      </w:r>
      <w:r w:rsidR="00D03DF0" w:rsidRPr="009C5EFD">
        <w:rPr>
          <w:sz w:val="22"/>
          <w:szCs w:val="22"/>
        </w:rPr>
        <w:t> </w:t>
      </w:r>
      <w:r w:rsidRPr="009C5EFD">
        <w:rPr>
          <w:sz w:val="22"/>
          <w:szCs w:val="22"/>
        </w:rPr>
        <w:t>±</w:t>
      </w:r>
      <w:r w:rsidR="00D03DF0" w:rsidRPr="009C5EFD">
        <w:rPr>
          <w:sz w:val="22"/>
          <w:szCs w:val="22"/>
        </w:rPr>
        <w:t> </w:t>
      </w:r>
      <w:r w:rsidRPr="009C5EFD">
        <w:rPr>
          <w:sz w:val="22"/>
          <w:szCs w:val="22"/>
        </w:rPr>
        <w:t>6,6 mikrog/ml uten samtidig bruk av metotreksat og 11,8</w:t>
      </w:r>
      <w:r w:rsidR="00D03DF0" w:rsidRPr="009C5EFD">
        <w:rPr>
          <w:sz w:val="22"/>
          <w:szCs w:val="22"/>
        </w:rPr>
        <w:t> </w:t>
      </w:r>
      <w:r w:rsidRPr="009C5EFD">
        <w:rPr>
          <w:sz w:val="22"/>
          <w:szCs w:val="22"/>
        </w:rPr>
        <w:t>±</w:t>
      </w:r>
      <w:r w:rsidR="00D03DF0" w:rsidRPr="009C5EFD">
        <w:rPr>
          <w:sz w:val="22"/>
          <w:szCs w:val="22"/>
        </w:rPr>
        <w:t> </w:t>
      </w:r>
      <w:r w:rsidRPr="009C5EFD">
        <w:rPr>
          <w:sz w:val="22"/>
          <w:szCs w:val="22"/>
        </w:rPr>
        <w:t>4,3</w:t>
      </w:r>
      <w:r w:rsidR="00D03DF0" w:rsidRPr="009C5EFD">
        <w:rPr>
          <w:sz w:val="22"/>
          <w:szCs w:val="22"/>
        </w:rPr>
        <w:t> </w:t>
      </w:r>
      <w:r w:rsidRPr="009C5EFD">
        <w:rPr>
          <w:sz w:val="22"/>
          <w:szCs w:val="22"/>
        </w:rPr>
        <w:t>mikrog/ml ved samtidig bruk av metotreksat.</w:t>
      </w:r>
    </w:p>
    <w:p w14:paraId="15ED9C05" w14:textId="77777777" w:rsidR="006F2CE1" w:rsidRDefault="006F2CE1" w:rsidP="009C5EFD">
      <w:pPr>
        <w:suppressAutoHyphens/>
        <w:rPr>
          <w:sz w:val="22"/>
          <w:szCs w:val="22"/>
        </w:rPr>
      </w:pPr>
    </w:p>
    <w:p w14:paraId="57872237" w14:textId="77777777" w:rsidR="006F2CE1" w:rsidRPr="009C5EFD" w:rsidRDefault="00E453CD" w:rsidP="009C5EFD">
      <w:pPr>
        <w:suppressAutoHyphens/>
        <w:rPr>
          <w:sz w:val="22"/>
          <w:szCs w:val="22"/>
        </w:rPr>
      </w:pPr>
      <w:r w:rsidRPr="009C5EFD">
        <w:rPr>
          <w:sz w:val="22"/>
          <w:szCs w:val="22"/>
        </w:rPr>
        <w:t xml:space="preserve">Etter subkutan administrasjon av 40 mg adalimumab annenhver uke hos voksne pasienter </w:t>
      </w:r>
      <w:r>
        <w:rPr>
          <w:sz w:val="22"/>
          <w:szCs w:val="22"/>
        </w:rPr>
        <w:t xml:space="preserve">med </w:t>
      </w:r>
      <w:r w:rsidRPr="002D0790">
        <w:rPr>
          <w:sz w:val="22"/>
          <w:szCs w:val="22"/>
        </w:rPr>
        <w:t>ikke-radiografisk aksial spondylartritt</w:t>
      </w:r>
      <w:r>
        <w:rPr>
          <w:sz w:val="22"/>
          <w:szCs w:val="22"/>
        </w:rPr>
        <w:t xml:space="preserve">, </w:t>
      </w:r>
      <w:r w:rsidRPr="009C5EFD">
        <w:rPr>
          <w:sz w:val="22"/>
          <w:szCs w:val="22"/>
        </w:rPr>
        <w:t xml:space="preserve">var </w:t>
      </w:r>
      <w:r>
        <w:rPr>
          <w:sz w:val="22"/>
          <w:szCs w:val="22"/>
        </w:rPr>
        <w:t xml:space="preserve">den </w:t>
      </w:r>
      <w:r w:rsidRPr="009C5EFD">
        <w:rPr>
          <w:sz w:val="22"/>
          <w:szCs w:val="22"/>
        </w:rPr>
        <w:t>gjennomsnittlig</w:t>
      </w:r>
      <w:r>
        <w:rPr>
          <w:sz w:val="22"/>
          <w:szCs w:val="22"/>
        </w:rPr>
        <w:t>e</w:t>
      </w:r>
      <w:r w:rsidRPr="009C5EFD">
        <w:rPr>
          <w:sz w:val="22"/>
          <w:szCs w:val="22"/>
        </w:rPr>
        <w:t xml:space="preserve"> </w:t>
      </w:r>
      <w:r w:rsidR="00357C88">
        <w:rPr>
          <w:sz w:val="22"/>
          <w:szCs w:val="22"/>
        </w:rPr>
        <w:t>bunn</w:t>
      </w:r>
      <w:r w:rsidRPr="009C5EFD">
        <w:rPr>
          <w:sz w:val="22"/>
          <w:szCs w:val="22"/>
        </w:rPr>
        <w:t>konsentrasjon</w:t>
      </w:r>
      <w:r>
        <w:rPr>
          <w:sz w:val="22"/>
          <w:szCs w:val="22"/>
        </w:rPr>
        <w:t>en</w:t>
      </w:r>
      <w:r w:rsidRPr="009C5EFD">
        <w:rPr>
          <w:sz w:val="22"/>
          <w:szCs w:val="22"/>
        </w:rPr>
        <w:t xml:space="preserve"> </w:t>
      </w:r>
      <w:r w:rsidR="00357C88">
        <w:rPr>
          <w:sz w:val="22"/>
          <w:szCs w:val="22"/>
        </w:rPr>
        <w:t xml:space="preserve">ved steady-state </w:t>
      </w:r>
      <w:r>
        <w:rPr>
          <w:sz w:val="22"/>
          <w:szCs w:val="22"/>
        </w:rPr>
        <w:t>8,0</w:t>
      </w:r>
      <w:r w:rsidR="00243DBF">
        <w:rPr>
          <w:sz w:val="22"/>
          <w:szCs w:val="22"/>
        </w:rPr>
        <w:t> </w:t>
      </w:r>
      <w:r>
        <w:rPr>
          <w:sz w:val="22"/>
          <w:szCs w:val="22"/>
        </w:rPr>
        <w:t>± 4,</w:t>
      </w:r>
      <w:r w:rsidRPr="000540C6">
        <w:rPr>
          <w:sz w:val="22"/>
          <w:szCs w:val="22"/>
        </w:rPr>
        <w:t>6</w:t>
      </w:r>
      <w:r w:rsidR="00243DBF">
        <w:rPr>
          <w:sz w:val="22"/>
          <w:szCs w:val="22"/>
        </w:rPr>
        <w:t> </w:t>
      </w:r>
      <w:r w:rsidRPr="009C5EFD">
        <w:rPr>
          <w:sz w:val="22"/>
          <w:szCs w:val="22"/>
        </w:rPr>
        <w:t>mikrog/ml</w:t>
      </w:r>
      <w:r>
        <w:rPr>
          <w:sz w:val="22"/>
          <w:szCs w:val="22"/>
        </w:rPr>
        <w:t xml:space="preserve"> ved uke 68</w:t>
      </w:r>
      <w:r w:rsidRPr="000540C6">
        <w:rPr>
          <w:sz w:val="22"/>
          <w:szCs w:val="22"/>
        </w:rPr>
        <w:t>.</w:t>
      </w:r>
    </w:p>
    <w:p w14:paraId="76386CDF" w14:textId="77777777" w:rsidR="001E500F" w:rsidRPr="009C5EFD" w:rsidRDefault="001E500F" w:rsidP="009C5EFD">
      <w:pPr>
        <w:rPr>
          <w:sz w:val="22"/>
          <w:szCs w:val="22"/>
        </w:rPr>
      </w:pPr>
    </w:p>
    <w:p w14:paraId="6DB59F7E" w14:textId="77777777" w:rsidR="001E500F" w:rsidRPr="009C5EFD" w:rsidRDefault="00E453CD" w:rsidP="009C5EFD">
      <w:pPr>
        <w:autoSpaceDE w:val="0"/>
        <w:autoSpaceDN w:val="0"/>
        <w:adjustRightInd w:val="0"/>
        <w:rPr>
          <w:sz w:val="22"/>
          <w:szCs w:val="22"/>
        </w:rPr>
      </w:pPr>
      <w:r w:rsidRPr="009C5EFD">
        <w:rPr>
          <w:sz w:val="22"/>
          <w:szCs w:val="22"/>
        </w:rPr>
        <w:t xml:space="preserve">Hos voksne pasienter med psoriasis var gjennomsnittlig </w:t>
      </w:r>
      <w:r w:rsidR="00B125D2">
        <w:rPr>
          <w:sz w:val="22"/>
          <w:szCs w:val="22"/>
        </w:rPr>
        <w:t>bunn</w:t>
      </w:r>
      <w:r w:rsidRPr="009C5EFD">
        <w:rPr>
          <w:sz w:val="22"/>
          <w:szCs w:val="22"/>
        </w:rPr>
        <w:t>konsentrasjon ved steady-state 5</w:t>
      </w:r>
      <w:r w:rsidR="00D03DF0" w:rsidRPr="009C5EFD">
        <w:rPr>
          <w:sz w:val="22"/>
          <w:szCs w:val="22"/>
        </w:rPr>
        <w:t> </w:t>
      </w:r>
      <w:r w:rsidRPr="009C5EFD">
        <w:rPr>
          <w:sz w:val="22"/>
          <w:szCs w:val="22"/>
        </w:rPr>
        <w:t>mikrog/ml under monoterapibehandling med 40</w:t>
      </w:r>
      <w:r w:rsidR="00315F16" w:rsidRPr="009C5EFD">
        <w:rPr>
          <w:sz w:val="22"/>
          <w:szCs w:val="22"/>
        </w:rPr>
        <w:t> mg</w:t>
      </w:r>
      <w:r w:rsidRPr="009C5EFD">
        <w:rPr>
          <w:sz w:val="22"/>
          <w:szCs w:val="22"/>
        </w:rPr>
        <w:t xml:space="preserve"> adalimumab annenhver uke.</w:t>
      </w:r>
    </w:p>
    <w:p w14:paraId="6BB4A7F8" w14:textId="77777777" w:rsidR="001E500F" w:rsidRPr="009C5EFD" w:rsidRDefault="001E500F" w:rsidP="009C5EFD">
      <w:pPr>
        <w:rPr>
          <w:sz w:val="22"/>
          <w:szCs w:val="22"/>
        </w:rPr>
      </w:pPr>
    </w:p>
    <w:p w14:paraId="0C9CD766" w14:textId="77777777" w:rsidR="001E500F" w:rsidRPr="009C5EFD" w:rsidRDefault="00E453CD" w:rsidP="009C5EFD">
      <w:pPr>
        <w:suppressAutoHyphens/>
        <w:rPr>
          <w:sz w:val="22"/>
          <w:szCs w:val="22"/>
        </w:rPr>
      </w:pPr>
      <w:r w:rsidRPr="009C5EFD">
        <w:rPr>
          <w:rFonts w:eastAsia="Arial Unicode MS"/>
          <w:sz w:val="22"/>
          <w:szCs w:val="22"/>
        </w:rPr>
        <w:t xml:space="preserve">Etter subkutan </w:t>
      </w:r>
      <w:r w:rsidR="00B8124C">
        <w:rPr>
          <w:rFonts w:eastAsia="Arial Unicode MS"/>
          <w:sz w:val="22"/>
          <w:szCs w:val="22"/>
        </w:rPr>
        <w:t>administrasjon</w:t>
      </w:r>
      <w:r w:rsidRPr="009C5EFD">
        <w:rPr>
          <w:rFonts w:eastAsia="Arial Unicode MS"/>
          <w:sz w:val="22"/>
          <w:szCs w:val="22"/>
        </w:rPr>
        <w:t xml:space="preserve"> av 0,8</w:t>
      </w:r>
      <w:r w:rsidR="00315F16" w:rsidRPr="009C5EFD">
        <w:rPr>
          <w:rFonts w:eastAsia="Arial Unicode MS"/>
          <w:sz w:val="22"/>
          <w:szCs w:val="22"/>
        </w:rPr>
        <w:t> mg</w:t>
      </w:r>
      <w:r w:rsidRPr="009C5EFD">
        <w:rPr>
          <w:rFonts w:eastAsia="Arial Unicode MS"/>
          <w:sz w:val="22"/>
          <w:szCs w:val="22"/>
        </w:rPr>
        <w:t>/kg (maksimum 40</w:t>
      </w:r>
      <w:r w:rsidR="00315F16" w:rsidRPr="009C5EFD">
        <w:rPr>
          <w:rFonts w:eastAsia="Arial Unicode MS"/>
          <w:sz w:val="22"/>
          <w:szCs w:val="22"/>
        </w:rPr>
        <w:t> mg</w:t>
      </w:r>
      <w:r w:rsidRPr="009C5EFD">
        <w:rPr>
          <w:rFonts w:eastAsia="Arial Unicode MS"/>
          <w:sz w:val="22"/>
          <w:szCs w:val="22"/>
        </w:rPr>
        <w:t xml:space="preserve">) annenhver uke hos pediatriske pasienter med kronisk plakkpsoriasis, var gjennomsnittlig </w:t>
      </w:r>
      <w:r w:rsidR="00B125D2">
        <w:rPr>
          <w:rFonts w:eastAsia="Arial Unicode MS"/>
          <w:sz w:val="22"/>
          <w:szCs w:val="22"/>
        </w:rPr>
        <w:t>bunn</w:t>
      </w:r>
      <w:r w:rsidRPr="009C5EFD">
        <w:rPr>
          <w:rFonts w:eastAsia="Arial Unicode MS"/>
          <w:sz w:val="22"/>
          <w:szCs w:val="22"/>
        </w:rPr>
        <w:t>konsentrasjon av adalimumab ved steady-state ca. 7,4</w:t>
      </w:r>
      <w:r w:rsidR="00D03DF0" w:rsidRPr="009C5EFD">
        <w:rPr>
          <w:sz w:val="22"/>
          <w:szCs w:val="22"/>
        </w:rPr>
        <w:t> ± </w:t>
      </w:r>
      <w:r w:rsidRPr="009C5EFD">
        <w:rPr>
          <w:sz w:val="22"/>
          <w:szCs w:val="22"/>
        </w:rPr>
        <w:t>5,8 mikrog/ml (79</w:t>
      </w:r>
      <w:r w:rsidR="00315F16" w:rsidRPr="009C5EFD">
        <w:rPr>
          <w:sz w:val="22"/>
          <w:szCs w:val="22"/>
        </w:rPr>
        <w:t> %</w:t>
      </w:r>
      <w:r w:rsidRPr="009C5EFD">
        <w:rPr>
          <w:sz w:val="22"/>
          <w:szCs w:val="22"/>
        </w:rPr>
        <w:t xml:space="preserve"> CV). </w:t>
      </w:r>
    </w:p>
    <w:p w14:paraId="780012BB" w14:textId="77777777" w:rsidR="004A6BEE" w:rsidRDefault="004A6BEE" w:rsidP="009C5EFD">
      <w:pPr>
        <w:rPr>
          <w:sz w:val="22"/>
          <w:szCs w:val="22"/>
        </w:rPr>
      </w:pPr>
    </w:p>
    <w:p w14:paraId="35DB965B" w14:textId="77777777" w:rsidR="00C07C98" w:rsidRDefault="00E453CD" w:rsidP="009C5EFD">
      <w:pPr>
        <w:rPr>
          <w:rFonts w:eastAsia="TimesNewRoman"/>
          <w:sz w:val="22"/>
          <w:szCs w:val="22"/>
        </w:rPr>
      </w:pPr>
      <w:r w:rsidRPr="00D460F7">
        <w:rPr>
          <w:rFonts w:eastAsia="TimesNewRoman"/>
          <w:sz w:val="22"/>
          <w:szCs w:val="22"/>
        </w:rPr>
        <w:t xml:space="preserve">Hos </w:t>
      </w:r>
      <w:r w:rsidR="00234D28">
        <w:rPr>
          <w:rFonts w:eastAsia="TimesNewRoman"/>
          <w:sz w:val="22"/>
          <w:szCs w:val="22"/>
        </w:rPr>
        <w:t xml:space="preserve">voksne </w:t>
      </w:r>
      <w:r w:rsidRPr="00D460F7">
        <w:rPr>
          <w:rFonts w:eastAsia="TimesNewRoman"/>
          <w:sz w:val="22"/>
          <w:szCs w:val="22"/>
        </w:rPr>
        <w:t xml:space="preserve">pasienter med hidrosadenitt gir en dose på 160 mg Humira ved uke 0 etterfulgt av 80 mg ved uke 2 en </w:t>
      </w:r>
      <w:r w:rsidR="00B125D2">
        <w:rPr>
          <w:rFonts w:eastAsia="TimesNewRoman"/>
          <w:sz w:val="22"/>
          <w:szCs w:val="22"/>
        </w:rPr>
        <w:t>bunn</w:t>
      </w:r>
      <w:r w:rsidRPr="00D460F7">
        <w:rPr>
          <w:rFonts w:eastAsia="TimesNewRoman"/>
          <w:sz w:val="22"/>
          <w:szCs w:val="22"/>
        </w:rPr>
        <w:t xml:space="preserve">konsentrasjon av adalimumab i serum på ca. 7 til 8 mikrog/ml ved uke 2 og uke 4. Gjennomsnittlig </w:t>
      </w:r>
      <w:r w:rsidR="00B125D2">
        <w:rPr>
          <w:rFonts w:eastAsia="TimesNewRoman"/>
          <w:sz w:val="22"/>
          <w:szCs w:val="22"/>
        </w:rPr>
        <w:t>bunn</w:t>
      </w:r>
      <w:r w:rsidRPr="00D460F7">
        <w:rPr>
          <w:rFonts w:eastAsia="TimesNewRoman"/>
          <w:sz w:val="22"/>
          <w:szCs w:val="22"/>
        </w:rPr>
        <w:t xml:space="preserve">konsentrasjon i serum ved steady-state </w:t>
      </w:r>
      <w:r w:rsidR="00CF715C">
        <w:rPr>
          <w:rFonts w:eastAsia="TimesNewRoman"/>
          <w:sz w:val="22"/>
          <w:szCs w:val="22"/>
        </w:rPr>
        <w:t>fra</w:t>
      </w:r>
      <w:r w:rsidRPr="00D460F7">
        <w:rPr>
          <w:rFonts w:eastAsia="TimesNewRoman"/>
          <w:sz w:val="22"/>
          <w:szCs w:val="22"/>
        </w:rPr>
        <w:t xml:space="preserve"> uke 12 </w:t>
      </w:r>
      <w:r w:rsidR="00A04C2D">
        <w:rPr>
          <w:rFonts w:eastAsia="TimesNewRoman"/>
          <w:sz w:val="22"/>
          <w:szCs w:val="22"/>
        </w:rPr>
        <w:t>til og med</w:t>
      </w:r>
      <w:r w:rsidR="00A04C2D" w:rsidRPr="00D460F7">
        <w:rPr>
          <w:rFonts w:eastAsia="TimesNewRoman"/>
          <w:sz w:val="22"/>
          <w:szCs w:val="22"/>
        </w:rPr>
        <w:t xml:space="preserve"> </w:t>
      </w:r>
      <w:r w:rsidRPr="00D460F7">
        <w:rPr>
          <w:rFonts w:eastAsia="TimesNewRoman"/>
          <w:sz w:val="22"/>
          <w:szCs w:val="22"/>
        </w:rPr>
        <w:t>uke 36 var ca. 8 til 10 mikrog/ml under behandling med 40 mg adalimumab hver uke.</w:t>
      </w:r>
    </w:p>
    <w:p w14:paraId="4423F5CD" w14:textId="77777777" w:rsidR="00234D28" w:rsidRDefault="00234D28" w:rsidP="009C5EFD">
      <w:pPr>
        <w:rPr>
          <w:rFonts w:eastAsia="TimesNewRoman"/>
          <w:sz w:val="22"/>
          <w:szCs w:val="22"/>
        </w:rPr>
      </w:pPr>
    </w:p>
    <w:p w14:paraId="3299A406" w14:textId="77777777" w:rsidR="00234D28" w:rsidRPr="00DB4B30" w:rsidRDefault="00E453CD" w:rsidP="009C5EFD">
      <w:pPr>
        <w:rPr>
          <w:sz w:val="22"/>
          <w:szCs w:val="22"/>
        </w:rPr>
      </w:pPr>
      <w:r w:rsidRPr="00DB4B30">
        <w:rPr>
          <w:sz w:val="22"/>
          <w:szCs w:val="22"/>
        </w:rPr>
        <w:t xml:space="preserve">Eksponering </w:t>
      </w:r>
      <w:r w:rsidR="00B22C4C">
        <w:rPr>
          <w:sz w:val="22"/>
          <w:szCs w:val="22"/>
        </w:rPr>
        <w:t>for</w:t>
      </w:r>
      <w:r w:rsidRPr="00DB4B30">
        <w:rPr>
          <w:sz w:val="22"/>
          <w:szCs w:val="22"/>
        </w:rPr>
        <w:t xml:space="preserve"> adalimumab hos ungdom med HS ble </w:t>
      </w:r>
      <w:r w:rsidR="00977D5A" w:rsidRPr="00DB4B30">
        <w:rPr>
          <w:sz w:val="22"/>
          <w:szCs w:val="22"/>
        </w:rPr>
        <w:t>estimert</w:t>
      </w:r>
      <w:r w:rsidRPr="00DB4B30">
        <w:rPr>
          <w:sz w:val="22"/>
          <w:szCs w:val="22"/>
        </w:rPr>
        <w:t xml:space="preserve"> ved å benytte </w:t>
      </w:r>
      <w:r w:rsidR="008138BF">
        <w:rPr>
          <w:sz w:val="22"/>
          <w:szCs w:val="22"/>
        </w:rPr>
        <w:t>farmakokinetisk populasjonsmodellering</w:t>
      </w:r>
      <w:r w:rsidRPr="00DB4B30">
        <w:rPr>
          <w:sz w:val="22"/>
          <w:szCs w:val="22"/>
        </w:rPr>
        <w:t xml:space="preserve"> og simulering</w:t>
      </w:r>
      <w:r w:rsidR="00A847F9" w:rsidRPr="00DB4B30">
        <w:rPr>
          <w:sz w:val="22"/>
          <w:szCs w:val="22"/>
        </w:rPr>
        <w:t>,</w:t>
      </w:r>
      <w:r w:rsidRPr="00DB4B30">
        <w:rPr>
          <w:sz w:val="22"/>
          <w:szCs w:val="22"/>
        </w:rPr>
        <w:t xml:space="preserve"> basert på </w:t>
      </w:r>
      <w:r w:rsidR="000D16C0" w:rsidRPr="00DB4B30">
        <w:rPr>
          <w:sz w:val="22"/>
          <w:szCs w:val="22"/>
        </w:rPr>
        <w:t>farmakokinetikk observert på tvers av indikasjoner ved bruk</w:t>
      </w:r>
      <w:r w:rsidRPr="00DB4B30">
        <w:rPr>
          <w:sz w:val="22"/>
          <w:szCs w:val="22"/>
        </w:rPr>
        <w:t xml:space="preserve"> hos andre pediatriske pasienter (pediatrisk psoriasis, juvenil idiopatisk artritt, pediatrisk Crohns sykdom og entesittrelatert artritt). </w:t>
      </w:r>
      <w:r w:rsidR="003F0C33" w:rsidRPr="00DB4B30">
        <w:rPr>
          <w:sz w:val="22"/>
          <w:szCs w:val="22"/>
        </w:rPr>
        <w:t xml:space="preserve">Anbefalt dosering hos ungdom med HS er 40 mg annenhver uke. Siden eksponeringen av adalimumab  kan påvirkes av kroppsstørrelse, kan ungdom med høyere kroppsvekt og </w:t>
      </w:r>
      <w:r w:rsidR="000D16C0" w:rsidRPr="00DB4B30">
        <w:rPr>
          <w:sz w:val="22"/>
          <w:szCs w:val="22"/>
        </w:rPr>
        <w:t>utilstrekkelig respons ha fordel av å bli behandlet med anbefalt dosering for voksne på 40 mg hver uke</w:t>
      </w:r>
      <w:r w:rsidR="003F0C33" w:rsidRPr="00DB4B30">
        <w:rPr>
          <w:sz w:val="22"/>
          <w:szCs w:val="22"/>
        </w:rPr>
        <w:t>.</w:t>
      </w:r>
    </w:p>
    <w:p w14:paraId="4B3638E5" w14:textId="77777777" w:rsidR="00CF715C" w:rsidRPr="00E14E58" w:rsidRDefault="00CF715C" w:rsidP="009C5EFD">
      <w:pPr>
        <w:rPr>
          <w:sz w:val="22"/>
          <w:szCs w:val="22"/>
        </w:rPr>
      </w:pPr>
    </w:p>
    <w:p w14:paraId="7A31844D" w14:textId="77777777" w:rsidR="001E500F" w:rsidRPr="009C5EFD" w:rsidRDefault="00E453CD" w:rsidP="009C5EFD">
      <w:pPr>
        <w:rPr>
          <w:sz w:val="22"/>
          <w:szCs w:val="22"/>
        </w:rPr>
      </w:pPr>
      <w:r w:rsidRPr="009C5EFD">
        <w:rPr>
          <w:sz w:val="22"/>
          <w:szCs w:val="22"/>
        </w:rPr>
        <w:t xml:space="preserve">Hos pasienter med Crohns sykdom </w:t>
      </w:r>
      <w:r w:rsidR="00410857">
        <w:rPr>
          <w:sz w:val="22"/>
          <w:szCs w:val="22"/>
        </w:rPr>
        <w:t xml:space="preserve">gir en induksjonsdose på 80 mg </w:t>
      </w:r>
      <w:r w:rsidR="005F3531">
        <w:rPr>
          <w:sz w:val="22"/>
          <w:szCs w:val="22"/>
        </w:rPr>
        <w:t xml:space="preserve">Humira </w:t>
      </w:r>
      <w:r w:rsidR="00410857">
        <w:rPr>
          <w:sz w:val="22"/>
          <w:szCs w:val="22"/>
        </w:rPr>
        <w:t xml:space="preserve">ved uke 0 etterfulgt av 40 mg </w:t>
      </w:r>
      <w:r w:rsidR="005F3531">
        <w:rPr>
          <w:sz w:val="22"/>
          <w:szCs w:val="22"/>
        </w:rPr>
        <w:t xml:space="preserve">Humira </w:t>
      </w:r>
      <w:r w:rsidR="00410857">
        <w:rPr>
          <w:sz w:val="22"/>
          <w:szCs w:val="22"/>
        </w:rPr>
        <w:t>ved uke 2 en</w:t>
      </w:r>
      <w:r w:rsidRPr="009C5EFD">
        <w:rPr>
          <w:sz w:val="22"/>
          <w:szCs w:val="22"/>
        </w:rPr>
        <w:t xml:space="preserve"> </w:t>
      </w:r>
      <w:r w:rsidR="00B125D2">
        <w:rPr>
          <w:sz w:val="22"/>
          <w:szCs w:val="22"/>
        </w:rPr>
        <w:t>bunn</w:t>
      </w:r>
      <w:r w:rsidR="00410857">
        <w:rPr>
          <w:sz w:val="22"/>
          <w:szCs w:val="22"/>
        </w:rPr>
        <w:t>konsentrasjon</w:t>
      </w:r>
      <w:r w:rsidRPr="009C5EFD">
        <w:rPr>
          <w:sz w:val="22"/>
          <w:szCs w:val="22"/>
        </w:rPr>
        <w:t xml:space="preserve"> av adalimumab i</w:t>
      </w:r>
      <w:r w:rsidRPr="009C5EFD">
        <w:rPr>
          <w:color w:val="000000"/>
          <w:sz w:val="22"/>
          <w:szCs w:val="22"/>
        </w:rPr>
        <w:t xml:space="preserve"> </w:t>
      </w:r>
      <w:r w:rsidR="00410857">
        <w:rPr>
          <w:color w:val="000000"/>
          <w:sz w:val="22"/>
          <w:szCs w:val="22"/>
        </w:rPr>
        <w:t>serum på omtrent</w:t>
      </w:r>
      <w:r w:rsidRPr="009C5EFD">
        <w:rPr>
          <w:sz w:val="22"/>
          <w:szCs w:val="22"/>
        </w:rPr>
        <w:t xml:space="preserve"> 5,5</w:t>
      </w:r>
      <w:r w:rsidR="00D03DF0" w:rsidRPr="009C5EFD">
        <w:rPr>
          <w:sz w:val="22"/>
          <w:szCs w:val="22"/>
        </w:rPr>
        <w:t> </w:t>
      </w:r>
      <w:r w:rsidRPr="009C5EFD">
        <w:rPr>
          <w:sz w:val="22"/>
          <w:szCs w:val="22"/>
        </w:rPr>
        <w:t xml:space="preserve">mikrog/ml </w:t>
      </w:r>
      <w:r w:rsidR="00410857">
        <w:rPr>
          <w:sz w:val="22"/>
          <w:szCs w:val="22"/>
        </w:rPr>
        <w:t>under</w:t>
      </w:r>
      <w:r w:rsidRPr="009C5EFD">
        <w:rPr>
          <w:sz w:val="22"/>
          <w:szCs w:val="22"/>
        </w:rPr>
        <w:t xml:space="preserve"> induksjons</w:t>
      </w:r>
      <w:r w:rsidR="00410857">
        <w:rPr>
          <w:sz w:val="22"/>
          <w:szCs w:val="22"/>
        </w:rPr>
        <w:t>perioden</w:t>
      </w:r>
      <w:r w:rsidRPr="009C5EFD">
        <w:rPr>
          <w:sz w:val="22"/>
          <w:szCs w:val="22"/>
        </w:rPr>
        <w:t xml:space="preserve">. </w:t>
      </w:r>
      <w:r w:rsidR="00410857">
        <w:rPr>
          <w:sz w:val="22"/>
          <w:szCs w:val="22"/>
        </w:rPr>
        <w:t>En</w:t>
      </w:r>
      <w:r w:rsidRPr="009C5EFD">
        <w:rPr>
          <w:sz w:val="22"/>
          <w:szCs w:val="22"/>
        </w:rPr>
        <w:t xml:space="preserve"> induksjons</w:t>
      </w:r>
      <w:r w:rsidRPr="009C5EFD">
        <w:rPr>
          <w:color w:val="000000"/>
          <w:sz w:val="22"/>
          <w:szCs w:val="22"/>
        </w:rPr>
        <w:t>dose</w:t>
      </w:r>
      <w:r w:rsidR="00410857">
        <w:rPr>
          <w:color w:val="000000"/>
          <w:sz w:val="22"/>
          <w:szCs w:val="22"/>
        </w:rPr>
        <w:t xml:space="preserve"> på</w:t>
      </w:r>
      <w:r w:rsidRPr="009C5EFD">
        <w:rPr>
          <w:sz w:val="22"/>
          <w:szCs w:val="22"/>
        </w:rPr>
        <w:t xml:space="preserve"> 160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etterfulgt av 80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2</w:t>
      </w:r>
      <w:r w:rsidR="00410857">
        <w:rPr>
          <w:sz w:val="22"/>
          <w:szCs w:val="22"/>
        </w:rPr>
        <w:t xml:space="preserve"> gav en</w:t>
      </w:r>
      <w:r w:rsidRPr="009C5EFD">
        <w:rPr>
          <w:sz w:val="22"/>
          <w:szCs w:val="22"/>
        </w:rPr>
        <w:t xml:space="preserve"> </w:t>
      </w:r>
      <w:r w:rsidR="00B125D2">
        <w:rPr>
          <w:sz w:val="22"/>
          <w:szCs w:val="22"/>
        </w:rPr>
        <w:t>bunn</w:t>
      </w:r>
      <w:r w:rsidR="00410857">
        <w:rPr>
          <w:sz w:val="22"/>
          <w:szCs w:val="22"/>
        </w:rPr>
        <w:t>konsentrasjon</w:t>
      </w:r>
      <w:r w:rsidRPr="009C5EFD">
        <w:rPr>
          <w:sz w:val="22"/>
          <w:szCs w:val="22"/>
        </w:rPr>
        <w:t xml:space="preserve"> av adalimumab </w:t>
      </w:r>
      <w:r w:rsidR="00410857">
        <w:rPr>
          <w:sz w:val="22"/>
          <w:szCs w:val="22"/>
        </w:rPr>
        <w:t xml:space="preserve">i serum på </w:t>
      </w:r>
      <w:r w:rsidRPr="009C5EFD">
        <w:rPr>
          <w:sz w:val="22"/>
          <w:szCs w:val="22"/>
        </w:rPr>
        <w:t>ca. 12</w:t>
      </w:r>
      <w:r w:rsidR="00D03DF0" w:rsidRPr="009C5EFD">
        <w:rPr>
          <w:sz w:val="22"/>
          <w:szCs w:val="22"/>
        </w:rPr>
        <w:t> </w:t>
      </w:r>
      <w:r w:rsidRPr="009C5EFD">
        <w:rPr>
          <w:sz w:val="22"/>
          <w:szCs w:val="22"/>
        </w:rPr>
        <w:t>mikrog/ml</w:t>
      </w:r>
      <w:r w:rsidRPr="009C5EFD">
        <w:rPr>
          <w:color w:val="000000"/>
          <w:sz w:val="22"/>
          <w:szCs w:val="22"/>
        </w:rPr>
        <w:t xml:space="preserve"> i induksjonsperioden</w:t>
      </w:r>
      <w:r w:rsidRPr="009C5EFD">
        <w:rPr>
          <w:sz w:val="22"/>
          <w:szCs w:val="22"/>
        </w:rPr>
        <w:t xml:space="preserve">. Gjennomsnittlige </w:t>
      </w:r>
      <w:r w:rsidR="00B125D2">
        <w:rPr>
          <w:sz w:val="22"/>
          <w:szCs w:val="22"/>
        </w:rPr>
        <w:t>bunn</w:t>
      </w:r>
      <w:r w:rsidRPr="009C5EFD">
        <w:rPr>
          <w:sz w:val="22"/>
          <w:szCs w:val="22"/>
        </w:rPr>
        <w:t>nivåer ved steady-state på ca. 7</w:t>
      </w:r>
      <w:r w:rsidR="009A60E6">
        <w:rPr>
          <w:sz w:val="22"/>
          <w:szCs w:val="22"/>
        </w:rPr>
        <w:t> </w:t>
      </w:r>
      <w:r w:rsidRPr="009C5EFD">
        <w:rPr>
          <w:sz w:val="22"/>
          <w:szCs w:val="22"/>
        </w:rPr>
        <w:t xml:space="preserve">mikrog/ml ble observert hos pasienter med Crohns sykdom som fikk </w:t>
      </w:r>
      <w:r w:rsidR="00410857">
        <w:rPr>
          <w:sz w:val="22"/>
          <w:szCs w:val="22"/>
        </w:rPr>
        <w:t xml:space="preserve">en </w:t>
      </w:r>
      <w:r w:rsidRPr="009C5EFD">
        <w:rPr>
          <w:sz w:val="22"/>
          <w:szCs w:val="22"/>
        </w:rPr>
        <w:t xml:space="preserve">vedlikeholdsdose </w:t>
      </w:r>
      <w:r w:rsidR="00410857">
        <w:rPr>
          <w:sz w:val="22"/>
          <w:szCs w:val="22"/>
        </w:rPr>
        <w:t xml:space="preserve">på </w:t>
      </w:r>
      <w:r w:rsidRPr="009C5EFD">
        <w:rPr>
          <w:sz w:val="22"/>
          <w:szCs w:val="22"/>
        </w:rPr>
        <w:t>40</w:t>
      </w:r>
      <w:r w:rsidR="00315F16" w:rsidRPr="009C5EFD">
        <w:rPr>
          <w:sz w:val="22"/>
          <w:szCs w:val="22"/>
        </w:rPr>
        <w:t> mg</w:t>
      </w:r>
      <w:r w:rsidRPr="009C5EFD">
        <w:rPr>
          <w:sz w:val="22"/>
          <w:szCs w:val="22"/>
        </w:rPr>
        <w:t xml:space="preserve"> Humira annenhver uke.</w:t>
      </w:r>
    </w:p>
    <w:p w14:paraId="58AD7961" w14:textId="77777777" w:rsidR="0015011F" w:rsidRPr="009C5EFD" w:rsidRDefault="0015011F" w:rsidP="009C5EFD">
      <w:pPr>
        <w:autoSpaceDE w:val="0"/>
        <w:autoSpaceDN w:val="0"/>
        <w:adjustRightInd w:val="0"/>
        <w:rPr>
          <w:rFonts w:eastAsia="TimesNewRoman"/>
          <w:sz w:val="22"/>
          <w:szCs w:val="22"/>
        </w:rPr>
      </w:pPr>
    </w:p>
    <w:p w14:paraId="12165E60" w14:textId="77777777" w:rsidR="001E500F" w:rsidRPr="009C5EFD" w:rsidRDefault="00E453CD" w:rsidP="009C5EFD">
      <w:pPr>
        <w:suppressAutoHyphens/>
        <w:rPr>
          <w:rFonts w:eastAsia="Arial Unicode MS"/>
          <w:sz w:val="22"/>
          <w:szCs w:val="22"/>
        </w:rPr>
      </w:pPr>
      <w:r w:rsidRPr="009C5EFD">
        <w:rPr>
          <w:sz w:val="22"/>
          <w:szCs w:val="22"/>
        </w:rPr>
        <w:t>Hos pediatriske pasienter med moderat til alvorlig Crohns sykdom var den åpne adalimumab induksjonsdosen 160/80</w:t>
      </w:r>
      <w:r w:rsidR="00315F16" w:rsidRPr="009C5EFD">
        <w:rPr>
          <w:sz w:val="22"/>
          <w:szCs w:val="22"/>
        </w:rPr>
        <w:t> mg</w:t>
      </w:r>
      <w:r w:rsidRPr="009C5EFD">
        <w:rPr>
          <w:sz w:val="22"/>
          <w:szCs w:val="22"/>
        </w:rPr>
        <w:t xml:space="preserve"> eller 80/40</w:t>
      </w:r>
      <w:r w:rsidR="00315F16" w:rsidRPr="009C5EFD">
        <w:rPr>
          <w:sz w:val="22"/>
          <w:szCs w:val="22"/>
        </w:rPr>
        <w:t> mg</w:t>
      </w:r>
      <w:r w:rsidRPr="009C5EFD">
        <w:rPr>
          <w:sz w:val="22"/>
          <w:szCs w:val="22"/>
        </w:rPr>
        <w:t xml:space="preserve"> ved henholdsvis </w:t>
      </w:r>
      <w:r w:rsidR="00315F16" w:rsidRPr="009C5EFD">
        <w:rPr>
          <w:sz w:val="22"/>
          <w:szCs w:val="22"/>
        </w:rPr>
        <w:t>uke </w:t>
      </w:r>
      <w:r w:rsidRPr="009C5EFD">
        <w:rPr>
          <w:sz w:val="22"/>
          <w:szCs w:val="22"/>
        </w:rPr>
        <w:t xml:space="preserve">0 og 2 avhengig av en kroppsvekt avskåret ved 40 kg. Ved </w:t>
      </w:r>
      <w:r w:rsidR="00315F16" w:rsidRPr="009C5EFD">
        <w:rPr>
          <w:sz w:val="22"/>
          <w:szCs w:val="22"/>
        </w:rPr>
        <w:t>uke </w:t>
      </w:r>
      <w:r w:rsidRPr="009C5EFD">
        <w:rPr>
          <w:sz w:val="22"/>
          <w:szCs w:val="22"/>
        </w:rPr>
        <w:t>4 ble pasienter randomisert til vedlikeholdsbehandlingsgrupper 1:1 til enten standard dose (40/20</w:t>
      </w:r>
      <w:r w:rsidR="00315F16" w:rsidRPr="009C5EFD">
        <w:rPr>
          <w:sz w:val="22"/>
          <w:szCs w:val="22"/>
        </w:rPr>
        <w:t> mg</w:t>
      </w:r>
      <w:r w:rsidRPr="009C5EFD">
        <w:rPr>
          <w:sz w:val="22"/>
          <w:szCs w:val="22"/>
        </w:rPr>
        <w:t xml:space="preserve"> annenhver uke) eller lav dose (20/10</w:t>
      </w:r>
      <w:r w:rsidR="00315F16" w:rsidRPr="009C5EFD">
        <w:rPr>
          <w:sz w:val="22"/>
          <w:szCs w:val="22"/>
        </w:rPr>
        <w:t> mg</w:t>
      </w:r>
      <w:r w:rsidRPr="009C5EFD">
        <w:rPr>
          <w:sz w:val="22"/>
          <w:szCs w:val="22"/>
        </w:rPr>
        <w:t xml:space="preserve"> annenhver uke) basert på deres kroppsvekt. Gjennomsnittlige </w:t>
      </w:r>
      <w:r w:rsidRPr="009C5EFD">
        <w:rPr>
          <w:sz w:val="22"/>
          <w:szCs w:val="22"/>
          <w:lang w:eastAsia="en-GB"/>
        </w:rPr>
        <w:t>(</w:t>
      </w:r>
      <w:r w:rsidRPr="009C5EFD">
        <w:rPr>
          <w:rFonts w:eastAsia="Arial Unicode MS"/>
          <w:sz w:val="22"/>
          <w:szCs w:val="22"/>
        </w:rPr>
        <w:t>±SD</w:t>
      </w:r>
      <w:r w:rsidRPr="00AB7697">
        <w:rPr>
          <w:rFonts w:eastAsia="Arial Unicode MS"/>
          <w:sz w:val="22"/>
        </w:rPr>
        <w:t xml:space="preserve">) </w:t>
      </w:r>
      <w:r w:rsidR="00357C88">
        <w:rPr>
          <w:sz w:val="22"/>
          <w:szCs w:val="22"/>
        </w:rPr>
        <w:t>bunn</w:t>
      </w:r>
      <w:r w:rsidRPr="009C5EFD">
        <w:rPr>
          <w:sz w:val="22"/>
          <w:szCs w:val="22"/>
        </w:rPr>
        <w:t xml:space="preserve">konsentrasjoner av adalimumab i serum oppnådd ved </w:t>
      </w:r>
      <w:r w:rsidR="00315F16" w:rsidRPr="009C5EFD">
        <w:rPr>
          <w:sz w:val="22"/>
          <w:szCs w:val="22"/>
        </w:rPr>
        <w:t>uke </w:t>
      </w:r>
      <w:r w:rsidRPr="009C5EFD">
        <w:rPr>
          <w:sz w:val="22"/>
          <w:szCs w:val="22"/>
        </w:rPr>
        <w:t>4 var 15,7</w:t>
      </w:r>
      <w:r w:rsidR="00D03DF0" w:rsidRPr="009C5EFD">
        <w:rPr>
          <w:sz w:val="22"/>
          <w:szCs w:val="22"/>
        </w:rPr>
        <w:t> ± </w:t>
      </w:r>
      <w:r w:rsidRPr="009C5EFD">
        <w:rPr>
          <w:rFonts w:eastAsia="Arial Unicode MS"/>
          <w:sz w:val="22"/>
          <w:szCs w:val="22"/>
        </w:rPr>
        <w:t>6,6 mikrog/ml for pasienter ≥</w:t>
      </w:r>
      <w:r w:rsidR="00D03DF0" w:rsidRPr="009C5EFD">
        <w:rPr>
          <w:rFonts w:eastAsia="Arial Unicode MS"/>
          <w:sz w:val="22"/>
          <w:szCs w:val="22"/>
        </w:rPr>
        <w:t> </w:t>
      </w:r>
      <w:r w:rsidRPr="009C5EFD">
        <w:rPr>
          <w:rFonts w:eastAsia="Arial Unicode MS"/>
          <w:sz w:val="22"/>
          <w:szCs w:val="22"/>
        </w:rPr>
        <w:t>40</w:t>
      </w:r>
      <w:r w:rsidR="00D03DF0" w:rsidRPr="009C5EFD">
        <w:rPr>
          <w:rFonts w:eastAsia="Arial Unicode MS"/>
          <w:sz w:val="22"/>
          <w:szCs w:val="22"/>
        </w:rPr>
        <w:t> </w:t>
      </w:r>
      <w:r w:rsidRPr="009C5EFD">
        <w:rPr>
          <w:rFonts w:eastAsia="Arial Unicode MS"/>
          <w:sz w:val="22"/>
          <w:szCs w:val="22"/>
        </w:rPr>
        <w:t>kg (160/80</w:t>
      </w:r>
      <w:r w:rsidR="00315F16" w:rsidRPr="009C5EFD">
        <w:rPr>
          <w:rFonts w:eastAsia="Arial Unicode MS"/>
          <w:sz w:val="22"/>
          <w:szCs w:val="22"/>
        </w:rPr>
        <w:t> mg</w:t>
      </w:r>
      <w:r w:rsidRPr="009C5EFD">
        <w:rPr>
          <w:rFonts w:eastAsia="Arial Unicode MS"/>
          <w:sz w:val="22"/>
          <w:szCs w:val="22"/>
        </w:rPr>
        <w:t>) og 10,6</w:t>
      </w:r>
      <w:r w:rsidR="00D03DF0" w:rsidRPr="009C5EFD">
        <w:rPr>
          <w:sz w:val="22"/>
          <w:szCs w:val="22"/>
        </w:rPr>
        <w:t> ± </w:t>
      </w:r>
      <w:r w:rsidRPr="009C5EFD">
        <w:rPr>
          <w:rFonts w:eastAsia="Arial Unicode MS"/>
          <w:sz w:val="22"/>
          <w:szCs w:val="22"/>
        </w:rPr>
        <w:t>6,1 mikrog/ml for pasienter &lt;</w:t>
      </w:r>
      <w:r w:rsidR="00D03DF0" w:rsidRPr="009C5EFD">
        <w:rPr>
          <w:rFonts w:eastAsia="Arial Unicode MS"/>
          <w:sz w:val="22"/>
          <w:szCs w:val="22"/>
        </w:rPr>
        <w:t> </w:t>
      </w:r>
      <w:r w:rsidRPr="009C5EFD">
        <w:rPr>
          <w:rFonts w:eastAsia="Arial Unicode MS"/>
          <w:sz w:val="22"/>
          <w:szCs w:val="22"/>
        </w:rPr>
        <w:t>40</w:t>
      </w:r>
      <w:r w:rsidR="00D03DF0" w:rsidRPr="009C5EFD">
        <w:rPr>
          <w:rFonts w:eastAsia="Arial Unicode MS"/>
          <w:sz w:val="22"/>
          <w:szCs w:val="22"/>
        </w:rPr>
        <w:t> </w:t>
      </w:r>
      <w:r w:rsidRPr="009C5EFD">
        <w:rPr>
          <w:rFonts w:eastAsia="Arial Unicode MS"/>
          <w:sz w:val="22"/>
          <w:szCs w:val="22"/>
        </w:rPr>
        <w:t>kg (80/40</w:t>
      </w:r>
      <w:r w:rsidR="00315F16" w:rsidRPr="009C5EFD">
        <w:rPr>
          <w:rFonts w:eastAsia="Arial Unicode MS"/>
          <w:sz w:val="22"/>
          <w:szCs w:val="22"/>
        </w:rPr>
        <w:t> mg</w:t>
      </w:r>
      <w:r w:rsidRPr="009C5EFD">
        <w:rPr>
          <w:rFonts w:eastAsia="Arial Unicode MS"/>
          <w:sz w:val="22"/>
          <w:szCs w:val="22"/>
        </w:rPr>
        <w:t>).</w:t>
      </w:r>
    </w:p>
    <w:p w14:paraId="7F2F3E12" w14:textId="77777777" w:rsidR="001E500F" w:rsidRPr="009C5EFD" w:rsidRDefault="001E500F" w:rsidP="009C5EFD">
      <w:pPr>
        <w:suppressAutoHyphens/>
        <w:rPr>
          <w:rFonts w:eastAsia="Arial Unicode MS"/>
          <w:sz w:val="22"/>
          <w:szCs w:val="22"/>
        </w:rPr>
      </w:pPr>
    </w:p>
    <w:p w14:paraId="526D3764" w14:textId="77777777" w:rsidR="001E500F" w:rsidRPr="009C5EFD" w:rsidRDefault="00E453CD" w:rsidP="009C5EFD">
      <w:pPr>
        <w:rPr>
          <w:sz w:val="22"/>
          <w:szCs w:val="22"/>
        </w:rPr>
      </w:pPr>
      <w:r w:rsidRPr="009C5EFD">
        <w:rPr>
          <w:rFonts w:eastAsia="Arial Unicode MS"/>
          <w:sz w:val="22"/>
          <w:szCs w:val="22"/>
        </w:rPr>
        <w:t xml:space="preserve">For pasienter som fortsatte på deres randomiserte behandling var gjennomsnittlige </w:t>
      </w:r>
      <w:r w:rsidRPr="009C5EFD">
        <w:rPr>
          <w:sz w:val="22"/>
          <w:szCs w:val="22"/>
          <w:lang w:eastAsia="en-GB"/>
        </w:rPr>
        <w:t>(</w:t>
      </w:r>
      <w:r w:rsidRPr="009C5EFD">
        <w:rPr>
          <w:rFonts w:eastAsia="Arial Unicode MS"/>
          <w:sz w:val="22"/>
          <w:szCs w:val="22"/>
        </w:rPr>
        <w:t>±SD</w:t>
      </w:r>
      <w:r w:rsidRPr="00AB7697">
        <w:rPr>
          <w:rFonts w:eastAsia="Arial Unicode MS"/>
          <w:sz w:val="22"/>
        </w:rPr>
        <w:t xml:space="preserve">) </w:t>
      </w:r>
      <w:r w:rsidR="00B125D2">
        <w:rPr>
          <w:sz w:val="22"/>
          <w:szCs w:val="22"/>
        </w:rPr>
        <w:t>bunn</w:t>
      </w:r>
      <w:r w:rsidRPr="009C5EFD">
        <w:rPr>
          <w:sz w:val="22"/>
          <w:szCs w:val="22"/>
        </w:rPr>
        <w:t xml:space="preserve">konsentrasjoner av adalimumab ved </w:t>
      </w:r>
      <w:r w:rsidR="00315F16" w:rsidRPr="009C5EFD">
        <w:rPr>
          <w:sz w:val="22"/>
          <w:szCs w:val="22"/>
        </w:rPr>
        <w:t>uke </w:t>
      </w:r>
      <w:r w:rsidRPr="009C5EFD">
        <w:rPr>
          <w:sz w:val="22"/>
          <w:szCs w:val="22"/>
        </w:rPr>
        <w:t>52 9,5</w:t>
      </w:r>
      <w:r w:rsidR="00D03DF0" w:rsidRPr="009C5EFD">
        <w:rPr>
          <w:sz w:val="22"/>
          <w:szCs w:val="22"/>
        </w:rPr>
        <w:t> ± </w:t>
      </w:r>
      <w:r w:rsidRPr="009C5EFD">
        <w:rPr>
          <w:rFonts w:eastAsia="Arial Unicode MS"/>
          <w:sz w:val="22"/>
          <w:szCs w:val="22"/>
        </w:rPr>
        <w:t xml:space="preserve">5,6 mikrog/ml for </w:t>
      </w:r>
      <w:r w:rsidR="00DB7B68">
        <w:rPr>
          <w:rFonts w:eastAsia="Arial Unicode MS"/>
          <w:sz w:val="22"/>
          <w:szCs w:val="22"/>
        </w:rPr>
        <w:t xml:space="preserve">gruppen som fikk </w:t>
      </w:r>
      <w:r w:rsidRPr="009C5EFD">
        <w:rPr>
          <w:rFonts w:eastAsia="Arial Unicode MS"/>
          <w:sz w:val="22"/>
          <w:szCs w:val="22"/>
        </w:rPr>
        <w:t xml:space="preserve">standard dose og </w:t>
      </w:r>
      <w:r w:rsidRPr="009C5EFD">
        <w:rPr>
          <w:sz w:val="22"/>
          <w:szCs w:val="22"/>
        </w:rPr>
        <w:t>3,5</w:t>
      </w:r>
      <w:r w:rsidR="00D03DF0" w:rsidRPr="009C5EFD">
        <w:rPr>
          <w:sz w:val="22"/>
          <w:szCs w:val="22"/>
        </w:rPr>
        <w:t> ± </w:t>
      </w:r>
      <w:r w:rsidRPr="009C5EFD">
        <w:rPr>
          <w:rFonts w:eastAsia="Arial Unicode MS"/>
          <w:sz w:val="22"/>
          <w:szCs w:val="22"/>
        </w:rPr>
        <w:t>2,2 mikrog/ml for</w:t>
      </w:r>
      <w:r w:rsidR="0074117B">
        <w:rPr>
          <w:rFonts w:eastAsia="Arial Unicode MS"/>
          <w:sz w:val="22"/>
          <w:szCs w:val="22"/>
        </w:rPr>
        <w:t xml:space="preserve"> gruppen som fikk</w:t>
      </w:r>
      <w:r w:rsidRPr="009C5EFD">
        <w:rPr>
          <w:rFonts w:eastAsia="Arial Unicode MS"/>
          <w:sz w:val="22"/>
          <w:szCs w:val="22"/>
        </w:rPr>
        <w:t xml:space="preserve"> lav dose. Gjennomsnittlige </w:t>
      </w:r>
      <w:r w:rsidR="00B125D2">
        <w:rPr>
          <w:rFonts w:eastAsia="Arial Unicode MS"/>
          <w:sz w:val="22"/>
          <w:szCs w:val="22"/>
        </w:rPr>
        <w:t>bunn</w:t>
      </w:r>
      <w:r w:rsidRPr="009C5EFD">
        <w:rPr>
          <w:rFonts w:eastAsia="Arial Unicode MS"/>
          <w:sz w:val="22"/>
          <w:szCs w:val="22"/>
        </w:rPr>
        <w:t>konsentrasjoner ble vedlikeholdt hos pasienter som fortsatte på adalimumab behandling annenhver uke i 52</w:t>
      </w:r>
      <w:r w:rsidR="00315F16" w:rsidRPr="009C5EFD">
        <w:rPr>
          <w:rFonts w:eastAsia="Arial Unicode MS"/>
          <w:sz w:val="22"/>
          <w:szCs w:val="22"/>
        </w:rPr>
        <w:t> uker</w:t>
      </w:r>
      <w:r w:rsidRPr="009C5EFD">
        <w:rPr>
          <w:rFonts w:eastAsia="Arial Unicode MS"/>
          <w:sz w:val="22"/>
          <w:szCs w:val="22"/>
        </w:rPr>
        <w:t xml:space="preserve">. For pasienter som økte dosen fra annenhver uke til ukentlig regime var gjennomsnittlige </w:t>
      </w:r>
      <w:r w:rsidRPr="009C5EFD">
        <w:rPr>
          <w:sz w:val="22"/>
          <w:szCs w:val="22"/>
          <w:lang w:eastAsia="en-GB"/>
        </w:rPr>
        <w:t>(</w:t>
      </w:r>
      <w:r w:rsidRPr="009C5EFD">
        <w:rPr>
          <w:rFonts w:eastAsia="Arial Unicode MS"/>
          <w:sz w:val="22"/>
          <w:szCs w:val="22"/>
        </w:rPr>
        <w:t>±SD</w:t>
      </w:r>
      <w:r w:rsidRPr="00AB7697">
        <w:rPr>
          <w:rFonts w:eastAsia="Arial Unicode MS"/>
          <w:sz w:val="22"/>
        </w:rPr>
        <w:t xml:space="preserve">) serum </w:t>
      </w:r>
      <w:r w:rsidRPr="00AB7697">
        <w:rPr>
          <w:rFonts w:eastAsia="Arial Unicode MS"/>
          <w:sz w:val="22"/>
        </w:rPr>
        <w:lastRenderedPageBreak/>
        <w:t xml:space="preserve">konsentrasjoner av adalimumab ved </w:t>
      </w:r>
      <w:r w:rsidR="00315F16" w:rsidRPr="009C5EFD">
        <w:rPr>
          <w:rFonts w:eastAsia="Arial Unicode MS"/>
          <w:sz w:val="22"/>
          <w:szCs w:val="22"/>
        </w:rPr>
        <w:t>uke </w:t>
      </w:r>
      <w:r w:rsidRPr="009C5EFD">
        <w:rPr>
          <w:rFonts w:eastAsia="Arial Unicode MS"/>
          <w:sz w:val="22"/>
          <w:szCs w:val="22"/>
        </w:rPr>
        <w:t>52 15</w:t>
      </w:r>
      <w:r w:rsidRPr="009C5EFD">
        <w:rPr>
          <w:sz w:val="22"/>
          <w:szCs w:val="22"/>
        </w:rPr>
        <w:t>,3</w:t>
      </w:r>
      <w:r w:rsidR="00D03DF0" w:rsidRPr="009C5EFD">
        <w:rPr>
          <w:sz w:val="22"/>
          <w:szCs w:val="22"/>
        </w:rPr>
        <w:t> ± </w:t>
      </w:r>
      <w:r w:rsidRPr="009C5EFD">
        <w:rPr>
          <w:rFonts w:eastAsia="Arial Unicode MS"/>
          <w:sz w:val="22"/>
          <w:szCs w:val="22"/>
        </w:rPr>
        <w:t>11,4 mikrog/ml (40/20</w:t>
      </w:r>
      <w:r w:rsidR="00315F16" w:rsidRPr="009C5EFD">
        <w:rPr>
          <w:rFonts w:eastAsia="Arial Unicode MS"/>
          <w:sz w:val="22"/>
          <w:szCs w:val="22"/>
        </w:rPr>
        <w:t> mg</w:t>
      </w:r>
      <w:r w:rsidRPr="009C5EFD">
        <w:rPr>
          <w:rFonts w:eastAsia="Arial Unicode MS"/>
          <w:sz w:val="22"/>
          <w:szCs w:val="22"/>
        </w:rPr>
        <w:t xml:space="preserve">, ukentlig) og </w:t>
      </w:r>
      <w:r w:rsidRPr="009C5EFD">
        <w:rPr>
          <w:sz w:val="22"/>
          <w:szCs w:val="22"/>
        </w:rPr>
        <w:t>6,7</w:t>
      </w:r>
      <w:r w:rsidR="00D03DF0" w:rsidRPr="009C5EFD">
        <w:rPr>
          <w:sz w:val="22"/>
          <w:szCs w:val="22"/>
        </w:rPr>
        <w:t> ± </w:t>
      </w:r>
      <w:r w:rsidRPr="009C5EFD">
        <w:rPr>
          <w:rFonts w:eastAsia="Arial Unicode MS"/>
          <w:sz w:val="22"/>
          <w:szCs w:val="22"/>
        </w:rPr>
        <w:t>3,5 mikrog/ml (20/10</w:t>
      </w:r>
      <w:r w:rsidR="00315F16" w:rsidRPr="009C5EFD">
        <w:rPr>
          <w:rFonts w:eastAsia="Arial Unicode MS"/>
          <w:sz w:val="22"/>
          <w:szCs w:val="22"/>
        </w:rPr>
        <w:t> mg</w:t>
      </w:r>
      <w:r w:rsidRPr="009C5EFD">
        <w:rPr>
          <w:rFonts w:eastAsia="Arial Unicode MS"/>
          <w:sz w:val="22"/>
          <w:szCs w:val="22"/>
        </w:rPr>
        <w:t>, ukentlig).</w:t>
      </w:r>
    </w:p>
    <w:p w14:paraId="42F2E519" w14:textId="77777777" w:rsidR="001E500F" w:rsidRPr="009C5EFD" w:rsidRDefault="001E500F" w:rsidP="009C5EFD">
      <w:pPr>
        <w:rPr>
          <w:sz w:val="22"/>
          <w:szCs w:val="22"/>
        </w:rPr>
      </w:pPr>
    </w:p>
    <w:p w14:paraId="7B4BCDE4" w14:textId="77777777" w:rsidR="001E500F" w:rsidRDefault="00E453CD" w:rsidP="009C5EFD">
      <w:pPr>
        <w:autoSpaceDE w:val="0"/>
        <w:autoSpaceDN w:val="0"/>
        <w:adjustRightInd w:val="0"/>
        <w:rPr>
          <w:sz w:val="22"/>
          <w:szCs w:val="22"/>
        </w:rPr>
      </w:pPr>
      <w:r w:rsidRPr="009C5EFD">
        <w:rPr>
          <w:sz w:val="22"/>
          <w:szCs w:val="22"/>
        </w:rPr>
        <w:t xml:space="preserve">Hos pasienter med ulcerøs kolitt var </w:t>
      </w:r>
      <w:r w:rsidR="00B125D2">
        <w:rPr>
          <w:sz w:val="22"/>
          <w:szCs w:val="22"/>
        </w:rPr>
        <w:t>bunn</w:t>
      </w:r>
      <w:r w:rsidRPr="009C5EFD">
        <w:rPr>
          <w:sz w:val="22"/>
          <w:szCs w:val="22"/>
        </w:rPr>
        <w:t>nivået for serumkonsentrasjon av adalimumab i induksjonsperioden ca. 12</w:t>
      </w:r>
      <w:r w:rsidR="00D03DF0" w:rsidRPr="009C5EFD">
        <w:rPr>
          <w:sz w:val="22"/>
          <w:szCs w:val="22"/>
        </w:rPr>
        <w:t> </w:t>
      </w:r>
      <w:r w:rsidRPr="009C5EFD">
        <w:rPr>
          <w:sz w:val="22"/>
          <w:szCs w:val="22"/>
        </w:rPr>
        <w:t>mikrog/ml med induksjonsdose 160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0, etterfulgt av 80</w:t>
      </w:r>
      <w:r w:rsidR="00315F16" w:rsidRPr="009C5EFD">
        <w:rPr>
          <w:sz w:val="22"/>
          <w:szCs w:val="22"/>
        </w:rPr>
        <w:t> mg</w:t>
      </w:r>
      <w:r w:rsidRPr="009C5EFD">
        <w:rPr>
          <w:sz w:val="22"/>
          <w:szCs w:val="22"/>
        </w:rPr>
        <w:t xml:space="preserve"> Humira ved </w:t>
      </w:r>
      <w:r w:rsidR="00315F16" w:rsidRPr="009C5EFD">
        <w:rPr>
          <w:sz w:val="22"/>
          <w:szCs w:val="22"/>
        </w:rPr>
        <w:t>uke </w:t>
      </w:r>
      <w:r w:rsidRPr="009C5EFD">
        <w:rPr>
          <w:sz w:val="22"/>
          <w:szCs w:val="22"/>
        </w:rPr>
        <w:t xml:space="preserve">2. Gjennomsnittlige </w:t>
      </w:r>
      <w:r w:rsidR="00B125D2">
        <w:rPr>
          <w:sz w:val="22"/>
          <w:szCs w:val="22"/>
        </w:rPr>
        <w:t>bunn</w:t>
      </w:r>
      <w:r w:rsidRPr="009C5EFD">
        <w:rPr>
          <w:sz w:val="22"/>
          <w:szCs w:val="22"/>
        </w:rPr>
        <w:t>nivåer ved steady-state på ca. 8</w:t>
      </w:r>
      <w:r w:rsidR="00D03DF0" w:rsidRPr="009C5EFD">
        <w:rPr>
          <w:sz w:val="22"/>
          <w:szCs w:val="22"/>
        </w:rPr>
        <w:t> </w:t>
      </w:r>
      <w:r w:rsidRPr="009C5EFD">
        <w:rPr>
          <w:sz w:val="22"/>
          <w:szCs w:val="22"/>
        </w:rPr>
        <w:t>mikrog/ml ble observert hos pasienter med ulcerøs kolitt som fikk vedlikeholdsdose 40</w:t>
      </w:r>
      <w:r w:rsidR="00315F16" w:rsidRPr="009C5EFD">
        <w:rPr>
          <w:sz w:val="22"/>
          <w:szCs w:val="22"/>
        </w:rPr>
        <w:t> mg</w:t>
      </w:r>
      <w:r w:rsidRPr="009C5EFD">
        <w:rPr>
          <w:sz w:val="22"/>
          <w:szCs w:val="22"/>
        </w:rPr>
        <w:t xml:space="preserve"> Humira annenhver uke.</w:t>
      </w:r>
    </w:p>
    <w:p w14:paraId="26268D8E" w14:textId="77777777" w:rsidR="005640DB" w:rsidRDefault="005640DB" w:rsidP="005640DB">
      <w:pPr>
        <w:rPr>
          <w:rStyle w:val="normaltextrun"/>
          <w:shd w:val="clear" w:color="auto" w:fill="FFFFFF"/>
        </w:rPr>
      </w:pPr>
    </w:p>
    <w:p w14:paraId="30113F74" w14:textId="77777777" w:rsidR="005640DB" w:rsidRPr="00E04B2A" w:rsidRDefault="00E453CD" w:rsidP="005640DB">
      <w:pPr>
        <w:rPr>
          <w:rStyle w:val="normaltextrun"/>
          <w:sz w:val="22"/>
          <w:shd w:val="clear" w:color="auto" w:fill="FFFFFF"/>
        </w:rPr>
      </w:pPr>
      <w:r w:rsidRPr="00E04B2A">
        <w:rPr>
          <w:sz w:val="22"/>
        </w:rPr>
        <w:t xml:space="preserve">Etter subkutan </w:t>
      </w:r>
      <w:r w:rsidR="00B8124C">
        <w:rPr>
          <w:sz w:val="22"/>
        </w:rPr>
        <w:t>administrasjon</w:t>
      </w:r>
      <w:r w:rsidRPr="00E04B2A">
        <w:rPr>
          <w:sz w:val="22"/>
        </w:rPr>
        <w:t xml:space="preserve"> av </w:t>
      </w:r>
      <w:r>
        <w:rPr>
          <w:sz w:val="22"/>
        </w:rPr>
        <w:t xml:space="preserve">en dose </w:t>
      </w:r>
      <w:r w:rsidR="00B8124C">
        <w:rPr>
          <w:sz w:val="22"/>
        </w:rPr>
        <w:t xml:space="preserve">basert på kroppsvekten </w:t>
      </w:r>
      <w:r w:rsidRPr="00E04B2A">
        <w:rPr>
          <w:sz w:val="22"/>
        </w:rPr>
        <w:t>på 0,6</w:t>
      </w:r>
      <w:r w:rsidR="00E47A03">
        <w:rPr>
          <w:sz w:val="22"/>
        </w:rPr>
        <w:t> </w:t>
      </w:r>
      <w:r w:rsidRPr="00E04B2A">
        <w:rPr>
          <w:sz w:val="22"/>
        </w:rPr>
        <w:t>mg/kg (maksimalt 40</w:t>
      </w:r>
      <w:r w:rsidR="00E47A03">
        <w:rPr>
          <w:sz w:val="22"/>
        </w:rPr>
        <w:t> </w:t>
      </w:r>
      <w:r w:rsidRPr="00E04B2A">
        <w:rPr>
          <w:sz w:val="22"/>
        </w:rPr>
        <w:t>mg) annenhver uke til pediatriske pasienter med ulcerøs kolitt, var</w:t>
      </w:r>
      <w:r>
        <w:rPr>
          <w:sz w:val="22"/>
        </w:rPr>
        <w:t xml:space="preserve"> </w:t>
      </w:r>
      <w:r w:rsidRPr="00E04B2A">
        <w:rPr>
          <w:sz w:val="22"/>
        </w:rPr>
        <w:t>gjennomsnittlig</w:t>
      </w:r>
      <w:r>
        <w:rPr>
          <w:sz w:val="22"/>
        </w:rPr>
        <w:t xml:space="preserve"> bunn</w:t>
      </w:r>
      <w:r w:rsidRPr="00E04B2A">
        <w:rPr>
          <w:sz w:val="22"/>
        </w:rPr>
        <w:t>konsentrasjon av adalimumab</w:t>
      </w:r>
      <w:r>
        <w:rPr>
          <w:sz w:val="22"/>
        </w:rPr>
        <w:t xml:space="preserve"> i serum </w:t>
      </w:r>
      <w:r w:rsidRPr="009C5EFD">
        <w:rPr>
          <w:sz w:val="22"/>
          <w:szCs w:val="22"/>
        </w:rPr>
        <w:t>ved steady-state</w:t>
      </w:r>
      <w:r w:rsidRPr="00E04B2A">
        <w:rPr>
          <w:sz w:val="22"/>
        </w:rPr>
        <w:t xml:space="preserve"> 5,01</w:t>
      </w:r>
      <w:r>
        <w:rPr>
          <w:sz w:val="22"/>
        </w:rPr>
        <w:t> </w:t>
      </w:r>
      <w:r w:rsidRPr="00E04B2A">
        <w:rPr>
          <w:sz w:val="22"/>
        </w:rPr>
        <w:t>±</w:t>
      </w:r>
      <w:r>
        <w:rPr>
          <w:sz w:val="22"/>
        </w:rPr>
        <w:t> </w:t>
      </w:r>
      <w:r w:rsidRPr="00E04B2A">
        <w:rPr>
          <w:sz w:val="22"/>
        </w:rPr>
        <w:t>3,28 </w:t>
      </w:r>
      <w:r>
        <w:rPr>
          <w:sz w:val="22"/>
        </w:rPr>
        <w:t>mikrog</w:t>
      </w:r>
      <w:r w:rsidRPr="00E04B2A">
        <w:rPr>
          <w:sz w:val="22"/>
        </w:rPr>
        <w:t xml:space="preserve">/ml </w:t>
      </w:r>
      <w:r>
        <w:rPr>
          <w:sz w:val="22"/>
        </w:rPr>
        <w:t>ved</w:t>
      </w:r>
      <w:r w:rsidRPr="00E04B2A">
        <w:rPr>
          <w:sz w:val="22"/>
        </w:rPr>
        <w:t xml:space="preserve"> uke 52. For pasienter som fikk 0,6</w:t>
      </w:r>
      <w:r w:rsidR="00E47A03">
        <w:rPr>
          <w:sz w:val="22"/>
        </w:rPr>
        <w:t> </w:t>
      </w:r>
      <w:r w:rsidRPr="00E04B2A">
        <w:rPr>
          <w:sz w:val="22"/>
        </w:rPr>
        <w:t>mg/kg (maksimalt 40</w:t>
      </w:r>
      <w:r w:rsidR="00E47A03">
        <w:rPr>
          <w:sz w:val="22"/>
        </w:rPr>
        <w:t> </w:t>
      </w:r>
      <w:r w:rsidRPr="00E04B2A">
        <w:rPr>
          <w:sz w:val="22"/>
        </w:rPr>
        <w:t>mg) hver uke var gjennomsnittlig (± SD)</w:t>
      </w:r>
      <w:r>
        <w:rPr>
          <w:sz w:val="22"/>
        </w:rPr>
        <w:t xml:space="preserve"> bunn</w:t>
      </w:r>
      <w:r w:rsidRPr="00E04B2A">
        <w:rPr>
          <w:sz w:val="22"/>
        </w:rPr>
        <w:t xml:space="preserve">konsentrasjon </w:t>
      </w:r>
      <w:r>
        <w:rPr>
          <w:sz w:val="22"/>
        </w:rPr>
        <w:t xml:space="preserve">av </w:t>
      </w:r>
      <w:r w:rsidRPr="00E04B2A">
        <w:rPr>
          <w:sz w:val="22"/>
        </w:rPr>
        <w:t>adalimumab</w:t>
      </w:r>
      <w:r>
        <w:rPr>
          <w:sz w:val="22"/>
        </w:rPr>
        <w:t xml:space="preserve"> </w:t>
      </w:r>
      <w:r w:rsidRPr="009C5EFD">
        <w:rPr>
          <w:sz w:val="22"/>
          <w:szCs w:val="22"/>
        </w:rPr>
        <w:t xml:space="preserve">ved steady-state </w:t>
      </w:r>
      <w:r w:rsidRPr="00E04B2A">
        <w:rPr>
          <w:sz w:val="22"/>
        </w:rPr>
        <w:t>15,7</w:t>
      </w:r>
      <w:r>
        <w:rPr>
          <w:sz w:val="22"/>
        </w:rPr>
        <w:t> </w:t>
      </w:r>
      <w:r w:rsidRPr="00E04B2A">
        <w:rPr>
          <w:sz w:val="22"/>
        </w:rPr>
        <w:t>±</w:t>
      </w:r>
      <w:r>
        <w:rPr>
          <w:sz w:val="22"/>
        </w:rPr>
        <w:t> </w:t>
      </w:r>
      <w:r w:rsidRPr="00E04B2A">
        <w:rPr>
          <w:sz w:val="22"/>
        </w:rPr>
        <w:t>5,60 </w:t>
      </w:r>
      <w:r>
        <w:rPr>
          <w:sz w:val="22"/>
        </w:rPr>
        <w:t>mikro</w:t>
      </w:r>
      <w:r w:rsidRPr="00E04B2A">
        <w:rPr>
          <w:sz w:val="22"/>
        </w:rPr>
        <w:t xml:space="preserve">g/ml </w:t>
      </w:r>
      <w:r>
        <w:rPr>
          <w:sz w:val="22"/>
        </w:rPr>
        <w:t>ved</w:t>
      </w:r>
      <w:r w:rsidRPr="00E04B2A">
        <w:rPr>
          <w:sz w:val="22"/>
        </w:rPr>
        <w:t xml:space="preserve"> uke 52.</w:t>
      </w:r>
    </w:p>
    <w:p w14:paraId="20BC07D4" w14:textId="77777777" w:rsidR="005640DB" w:rsidRDefault="005640DB" w:rsidP="009C5EFD">
      <w:pPr>
        <w:autoSpaceDE w:val="0"/>
        <w:autoSpaceDN w:val="0"/>
        <w:adjustRightInd w:val="0"/>
        <w:rPr>
          <w:sz w:val="22"/>
          <w:szCs w:val="22"/>
        </w:rPr>
      </w:pPr>
    </w:p>
    <w:p w14:paraId="68851CD1" w14:textId="77777777" w:rsidR="00351095" w:rsidRDefault="00E453CD" w:rsidP="009C5EFD">
      <w:pPr>
        <w:autoSpaceDE w:val="0"/>
        <w:autoSpaceDN w:val="0"/>
        <w:adjustRightInd w:val="0"/>
        <w:rPr>
          <w:sz w:val="22"/>
          <w:szCs w:val="22"/>
        </w:rPr>
      </w:pPr>
      <w:r>
        <w:rPr>
          <w:sz w:val="22"/>
          <w:szCs w:val="22"/>
        </w:rPr>
        <w:t xml:space="preserve">En </w:t>
      </w:r>
      <w:r w:rsidR="00410857">
        <w:rPr>
          <w:sz w:val="22"/>
          <w:szCs w:val="22"/>
        </w:rPr>
        <w:t>induksjons</w:t>
      </w:r>
      <w:r>
        <w:rPr>
          <w:sz w:val="22"/>
          <w:szCs w:val="22"/>
        </w:rPr>
        <w:t xml:space="preserve">dose på 80 mg adalimumab ved uke 0 etterfulgt av 40 mg adalimumab annenhver uke med start fra uke 1 hos </w:t>
      </w:r>
      <w:r w:rsidR="00A129D3">
        <w:rPr>
          <w:sz w:val="22"/>
          <w:szCs w:val="22"/>
        </w:rPr>
        <w:t xml:space="preserve">voksne </w:t>
      </w:r>
      <w:r>
        <w:rPr>
          <w:sz w:val="22"/>
          <w:szCs w:val="22"/>
        </w:rPr>
        <w:t>pasienter med uveitt, resulterte i g</w:t>
      </w:r>
      <w:r w:rsidRPr="00994C9E">
        <w:rPr>
          <w:sz w:val="22"/>
          <w:szCs w:val="22"/>
        </w:rPr>
        <w:t xml:space="preserve">jennomsnittlige steady-state </w:t>
      </w:r>
      <w:r>
        <w:rPr>
          <w:sz w:val="22"/>
          <w:szCs w:val="22"/>
        </w:rPr>
        <w:t xml:space="preserve">konsentrasjoner </w:t>
      </w:r>
      <w:r w:rsidRPr="00994C9E">
        <w:rPr>
          <w:sz w:val="22"/>
          <w:szCs w:val="22"/>
        </w:rPr>
        <w:t>på ca. 8</w:t>
      </w:r>
      <w:r>
        <w:rPr>
          <w:sz w:val="22"/>
          <w:szCs w:val="22"/>
        </w:rPr>
        <w:t xml:space="preserve">-10 </w:t>
      </w:r>
      <w:r w:rsidRPr="00994C9E">
        <w:rPr>
          <w:sz w:val="22"/>
          <w:szCs w:val="22"/>
        </w:rPr>
        <w:t>mikrog/ml</w:t>
      </w:r>
      <w:r>
        <w:rPr>
          <w:sz w:val="22"/>
          <w:szCs w:val="22"/>
        </w:rPr>
        <w:t>.</w:t>
      </w:r>
    </w:p>
    <w:p w14:paraId="55AF5EBB" w14:textId="77777777" w:rsidR="00695E95" w:rsidRDefault="00695E95" w:rsidP="009C5EFD">
      <w:pPr>
        <w:autoSpaceDE w:val="0"/>
        <w:autoSpaceDN w:val="0"/>
        <w:adjustRightInd w:val="0"/>
        <w:rPr>
          <w:sz w:val="22"/>
          <w:szCs w:val="22"/>
        </w:rPr>
      </w:pPr>
    </w:p>
    <w:p w14:paraId="43D21FD9" w14:textId="77777777" w:rsidR="00695E95" w:rsidRDefault="00E453CD" w:rsidP="00B3311E">
      <w:pPr>
        <w:rPr>
          <w:sz w:val="22"/>
          <w:szCs w:val="22"/>
        </w:rPr>
      </w:pPr>
      <w:r>
        <w:rPr>
          <w:sz w:val="22"/>
          <w:szCs w:val="22"/>
        </w:rPr>
        <w:t xml:space="preserve">Adalimumab-eksponeringer hos pasienter med pediatrisk uveitt ble estimert ved å benytte </w:t>
      </w:r>
      <w:r w:rsidR="008138BF">
        <w:rPr>
          <w:sz w:val="22"/>
          <w:szCs w:val="22"/>
        </w:rPr>
        <w:t>farmakokinetisk populasjonsmodellering</w:t>
      </w:r>
      <w:r>
        <w:rPr>
          <w:sz w:val="22"/>
          <w:szCs w:val="22"/>
        </w:rPr>
        <w:t xml:space="preserve"> og simulering basert på farmakokinetikk observert på tvers av indikasjoner ved bruk hos andre pediatriske pasienter (pediatrisk psoriasis, juvenil idiopatisk artritt, pediatrisk Crohns sykdom og entesittrelatert artritt). Det foreligger ingen kliniske eksponeringsdata vedrørende bruk av </w:t>
      </w:r>
      <w:r w:rsidR="005207CC" w:rsidRPr="005207CC">
        <w:rPr>
          <w:sz w:val="22"/>
          <w:szCs w:val="22"/>
        </w:rPr>
        <w:t>induksjonsdose</w:t>
      </w:r>
      <w:r>
        <w:rPr>
          <w:sz w:val="22"/>
          <w:szCs w:val="22"/>
        </w:rPr>
        <w:t xml:space="preserve"> hos barn &lt; 6 år. De forventede eksponeringene indikerer at i fravær av metotreksat kan en </w:t>
      </w:r>
      <w:r w:rsidR="005207CC" w:rsidRPr="005207CC">
        <w:rPr>
          <w:sz w:val="22"/>
          <w:szCs w:val="22"/>
        </w:rPr>
        <w:t>induksjonsdose</w:t>
      </w:r>
      <w:r>
        <w:rPr>
          <w:sz w:val="22"/>
          <w:szCs w:val="22"/>
        </w:rPr>
        <w:t xml:space="preserve"> føre til en initial økning i systemisk eksponering.</w:t>
      </w:r>
    </w:p>
    <w:p w14:paraId="6F1CA198" w14:textId="77777777" w:rsidR="00E571FA" w:rsidRDefault="00E571FA" w:rsidP="00B3311E">
      <w:pPr>
        <w:rPr>
          <w:sz w:val="22"/>
          <w:szCs w:val="22"/>
        </w:rPr>
      </w:pPr>
    </w:p>
    <w:p w14:paraId="38703549" w14:textId="77777777" w:rsidR="00E571FA" w:rsidRPr="00D34056" w:rsidRDefault="00E453CD" w:rsidP="00B3311E">
      <w:pPr>
        <w:rPr>
          <w:sz w:val="22"/>
          <w:szCs w:val="22"/>
        </w:rPr>
      </w:pPr>
      <w:r w:rsidRPr="00AF70AD">
        <w:rPr>
          <w:sz w:val="22"/>
          <w:szCs w:val="22"/>
        </w:rPr>
        <w:t>Farmakokinetisk populasjons- og farmakokinetisk/farmakodynamisk modellering og simulering antar sammenlignbar eksponering og effekt av adalimumab hos pasienter behandlet med 80</w:t>
      </w:r>
      <w:r w:rsidR="00D118C4">
        <w:rPr>
          <w:sz w:val="22"/>
          <w:szCs w:val="22"/>
        </w:rPr>
        <w:t> </w:t>
      </w:r>
      <w:r w:rsidRPr="00AF70AD">
        <w:rPr>
          <w:sz w:val="22"/>
          <w:szCs w:val="22"/>
        </w:rPr>
        <w:t>mg annenhver uke sammenlignet med 40</w:t>
      </w:r>
      <w:r w:rsidR="00D118C4">
        <w:rPr>
          <w:sz w:val="22"/>
          <w:szCs w:val="22"/>
        </w:rPr>
        <w:t> </w:t>
      </w:r>
      <w:r w:rsidRPr="00AF70AD">
        <w:rPr>
          <w:sz w:val="22"/>
          <w:szCs w:val="22"/>
        </w:rPr>
        <w:t>mg hver uke (inkludert voksne pasienter med RA, HS, UC, CD eller Ps, ungdom med HS, og pediatriske pasienter ≥</w:t>
      </w:r>
      <w:r w:rsidR="00D118C4">
        <w:rPr>
          <w:sz w:val="22"/>
          <w:szCs w:val="22"/>
        </w:rPr>
        <w:t> </w:t>
      </w:r>
      <w:r w:rsidRPr="00AF70AD">
        <w:rPr>
          <w:sz w:val="22"/>
          <w:szCs w:val="22"/>
        </w:rPr>
        <w:t>40</w:t>
      </w:r>
      <w:r w:rsidR="00D118C4">
        <w:rPr>
          <w:sz w:val="22"/>
          <w:szCs w:val="22"/>
        </w:rPr>
        <w:t> </w:t>
      </w:r>
      <w:r w:rsidRPr="00AF70AD">
        <w:rPr>
          <w:sz w:val="22"/>
          <w:szCs w:val="22"/>
        </w:rPr>
        <w:t>kg med CD</w:t>
      </w:r>
      <w:r w:rsidR="005640DB">
        <w:rPr>
          <w:sz w:val="22"/>
          <w:szCs w:val="22"/>
        </w:rPr>
        <w:t xml:space="preserve"> og UC</w:t>
      </w:r>
      <w:r w:rsidRPr="00AF70AD">
        <w:rPr>
          <w:sz w:val="22"/>
          <w:szCs w:val="22"/>
        </w:rPr>
        <w:t>).</w:t>
      </w:r>
    </w:p>
    <w:p w14:paraId="43B90F1B" w14:textId="77777777" w:rsidR="001E500F" w:rsidRDefault="001E500F" w:rsidP="009C5EFD">
      <w:pPr>
        <w:autoSpaceDE w:val="0"/>
        <w:autoSpaceDN w:val="0"/>
        <w:adjustRightInd w:val="0"/>
        <w:rPr>
          <w:sz w:val="22"/>
          <w:szCs w:val="22"/>
        </w:rPr>
      </w:pPr>
    </w:p>
    <w:p w14:paraId="2D8553A1" w14:textId="77777777" w:rsidR="00A129D3" w:rsidRPr="00AF70AD" w:rsidRDefault="00E453CD" w:rsidP="00776A84">
      <w:pPr>
        <w:keepNext/>
        <w:rPr>
          <w:sz w:val="22"/>
          <w:u w:val="single"/>
        </w:rPr>
      </w:pPr>
      <w:r w:rsidRPr="00AF70AD">
        <w:rPr>
          <w:sz w:val="22"/>
          <w:u w:val="single"/>
        </w:rPr>
        <w:t>Eksponering-responsforhold i pediatrisk populasjon</w:t>
      </w:r>
    </w:p>
    <w:p w14:paraId="6EE612A4" w14:textId="77777777" w:rsidR="00A129D3" w:rsidRDefault="00A129D3" w:rsidP="00776A84">
      <w:pPr>
        <w:keepNext/>
        <w:rPr>
          <w:sz w:val="22"/>
        </w:rPr>
      </w:pPr>
    </w:p>
    <w:p w14:paraId="0B65FE8A" w14:textId="77777777" w:rsidR="00A129D3" w:rsidRPr="00DB4B30" w:rsidRDefault="00E453CD" w:rsidP="00A129D3">
      <w:pPr>
        <w:rPr>
          <w:sz w:val="22"/>
        </w:rPr>
      </w:pPr>
      <w:r>
        <w:rPr>
          <w:sz w:val="22"/>
        </w:rPr>
        <w:t xml:space="preserve">På bakgrunn av data fra </w:t>
      </w:r>
      <w:r w:rsidR="00581310">
        <w:rPr>
          <w:sz w:val="22"/>
        </w:rPr>
        <w:t>kliniske studier</w:t>
      </w:r>
      <w:r>
        <w:rPr>
          <w:sz w:val="22"/>
        </w:rPr>
        <w:t xml:space="preserve"> hos pasienter med </w:t>
      </w:r>
      <w:r w:rsidRPr="00C5656D">
        <w:rPr>
          <w:sz w:val="22"/>
        </w:rPr>
        <w:t xml:space="preserve">JIA (pJIA </w:t>
      </w:r>
      <w:r w:rsidR="00222143">
        <w:rPr>
          <w:sz w:val="22"/>
        </w:rPr>
        <w:t>og</w:t>
      </w:r>
      <w:r w:rsidR="00222143" w:rsidRPr="00C5656D">
        <w:rPr>
          <w:sz w:val="22"/>
        </w:rPr>
        <w:t xml:space="preserve"> </w:t>
      </w:r>
      <w:r w:rsidRPr="00C5656D">
        <w:rPr>
          <w:sz w:val="22"/>
        </w:rPr>
        <w:t>ERA)</w:t>
      </w:r>
      <w:r>
        <w:rPr>
          <w:sz w:val="22"/>
        </w:rPr>
        <w:t xml:space="preserve">, ble et forhold mellom eksponering og respons etablert mellom plasmakonsentrasjoner og PedACR 50-respons. Den plasmakonsentrasjonen av adalimumab som tilsynelatende gir halvparten av maksimal PedACR 50-respons (EC50) var </w:t>
      </w:r>
      <w:r w:rsidRPr="003443A0">
        <w:rPr>
          <w:sz w:val="22"/>
        </w:rPr>
        <w:t xml:space="preserve">3 </w:t>
      </w:r>
      <w:r w:rsidR="0036529C">
        <w:rPr>
          <w:sz w:val="22"/>
        </w:rPr>
        <w:t>mikro</w:t>
      </w:r>
      <w:r w:rsidRPr="003443A0">
        <w:rPr>
          <w:sz w:val="22"/>
        </w:rPr>
        <w:t>g/ml (95</w:t>
      </w:r>
      <w:r w:rsidR="0036529C">
        <w:rPr>
          <w:sz w:val="22"/>
        </w:rPr>
        <w:t> </w:t>
      </w:r>
      <w:r w:rsidRPr="003443A0">
        <w:rPr>
          <w:sz w:val="22"/>
        </w:rPr>
        <w:t xml:space="preserve">% </w:t>
      </w:r>
      <w:r w:rsidR="0036529C">
        <w:rPr>
          <w:sz w:val="22"/>
        </w:rPr>
        <w:t>K</w:t>
      </w:r>
      <w:r w:rsidRPr="003443A0">
        <w:rPr>
          <w:sz w:val="22"/>
        </w:rPr>
        <w:t>I: 1</w:t>
      </w:r>
      <w:r w:rsidR="0036529C">
        <w:rPr>
          <w:sz w:val="22"/>
        </w:rPr>
        <w:noBreakHyphen/>
      </w:r>
      <w:r w:rsidRPr="003443A0">
        <w:rPr>
          <w:sz w:val="22"/>
        </w:rPr>
        <w:t xml:space="preserve">6 </w:t>
      </w:r>
      <w:r w:rsidR="0036529C">
        <w:rPr>
          <w:sz w:val="22"/>
        </w:rPr>
        <w:t>mikro</w:t>
      </w:r>
      <w:r w:rsidRPr="003443A0">
        <w:rPr>
          <w:sz w:val="22"/>
        </w:rPr>
        <w:t>g/ml).</w:t>
      </w:r>
    </w:p>
    <w:p w14:paraId="62E2A968" w14:textId="77777777" w:rsidR="00A129D3" w:rsidRDefault="00A129D3" w:rsidP="00A129D3">
      <w:pPr>
        <w:rPr>
          <w:sz w:val="22"/>
        </w:rPr>
      </w:pPr>
    </w:p>
    <w:p w14:paraId="2C89DA3E" w14:textId="77777777" w:rsidR="00A129D3" w:rsidRPr="00406E1B" w:rsidRDefault="00E453CD" w:rsidP="00A129D3">
      <w:pPr>
        <w:rPr>
          <w:sz w:val="22"/>
        </w:rPr>
      </w:pPr>
      <w:r>
        <w:rPr>
          <w:sz w:val="22"/>
        </w:rPr>
        <w:t xml:space="preserve">Eksponering-responsforhold mellom adalimumabkonsentrasjon og effekt hos pediatriske pasienter med alvorlig </w:t>
      </w:r>
      <w:r w:rsidR="00F403FB">
        <w:rPr>
          <w:sz w:val="22"/>
        </w:rPr>
        <w:t xml:space="preserve">kronisk </w:t>
      </w:r>
      <w:r>
        <w:rPr>
          <w:sz w:val="22"/>
        </w:rPr>
        <w:t xml:space="preserve">plakkpsoriasis, ble etablert for </w:t>
      </w:r>
      <w:r w:rsidR="0074117B">
        <w:rPr>
          <w:sz w:val="22"/>
        </w:rPr>
        <w:t xml:space="preserve">henholdsvis </w:t>
      </w:r>
      <w:r>
        <w:rPr>
          <w:sz w:val="22"/>
        </w:rPr>
        <w:t xml:space="preserve">PASI 75 og PGA klar eller minimal. PASI 75 og PGA klar eller minimal økte med økte adalimumabkonsentrasjoner, begge med lignende tilsynelatende EC50 på omtrent </w:t>
      </w:r>
      <w:r w:rsidRPr="00570333">
        <w:rPr>
          <w:sz w:val="22"/>
        </w:rPr>
        <w:t>4</w:t>
      </w:r>
      <w:r>
        <w:rPr>
          <w:sz w:val="22"/>
        </w:rPr>
        <w:t xml:space="preserve">,5 </w:t>
      </w:r>
      <w:r w:rsidR="0036529C">
        <w:rPr>
          <w:sz w:val="22"/>
        </w:rPr>
        <w:t>mikro</w:t>
      </w:r>
      <w:r>
        <w:rPr>
          <w:sz w:val="22"/>
        </w:rPr>
        <w:t>g/m</w:t>
      </w:r>
      <w:r w:rsidR="0036529C">
        <w:rPr>
          <w:sz w:val="22"/>
        </w:rPr>
        <w:t>l</w:t>
      </w:r>
      <w:r>
        <w:rPr>
          <w:sz w:val="22"/>
        </w:rPr>
        <w:t xml:space="preserve"> (95</w:t>
      </w:r>
      <w:r w:rsidR="0036529C">
        <w:rPr>
          <w:sz w:val="22"/>
        </w:rPr>
        <w:t> </w:t>
      </w:r>
      <w:r>
        <w:rPr>
          <w:sz w:val="22"/>
        </w:rPr>
        <w:t xml:space="preserve">% </w:t>
      </w:r>
      <w:r w:rsidR="0036529C">
        <w:rPr>
          <w:sz w:val="22"/>
        </w:rPr>
        <w:t>K</w:t>
      </w:r>
      <w:r>
        <w:rPr>
          <w:sz w:val="22"/>
        </w:rPr>
        <w:t>I 0,4-47,6 og 1,9-10,</w:t>
      </w:r>
      <w:r w:rsidRPr="00570333">
        <w:rPr>
          <w:sz w:val="22"/>
        </w:rPr>
        <w:t>5</w:t>
      </w:r>
      <w:r>
        <w:rPr>
          <w:sz w:val="22"/>
        </w:rPr>
        <w:t>, respektivt</w:t>
      </w:r>
      <w:r w:rsidR="0036529C">
        <w:rPr>
          <w:sz w:val="22"/>
        </w:rPr>
        <w:t>)</w:t>
      </w:r>
      <w:r>
        <w:rPr>
          <w:sz w:val="22"/>
        </w:rPr>
        <w:t>.</w:t>
      </w:r>
    </w:p>
    <w:p w14:paraId="3F863FBC" w14:textId="77777777" w:rsidR="00A129D3" w:rsidRPr="009C5EFD" w:rsidRDefault="00A129D3" w:rsidP="009C5EFD">
      <w:pPr>
        <w:autoSpaceDE w:val="0"/>
        <w:autoSpaceDN w:val="0"/>
        <w:adjustRightInd w:val="0"/>
        <w:rPr>
          <w:sz w:val="22"/>
          <w:szCs w:val="22"/>
        </w:rPr>
      </w:pPr>
    </w:p>
    <w:p w14:paraId="1C47E684" w14:textId="77777777" w:rsidR="001E500F" w:rsidRPr="009C5EFD" w:rsidRDefault="00E453CD" w:rsidP="00776A84">
      <w:pPr>
        <w:keepNext/>
        <w:autoSpaceDE w:val="0"/>
        <w:autoSpaceDN w:val="0"/>
        <w:adjustRightInd w:val="0"/>
        <w:rPr>
          <w:sz w:val="22"/>
          <w:szCs w:val="22"/>
          <w:u w:val="single"/>
        </w:rPr>
      </w:pPr>
      <w:r w:rsidRPr="009C5EFD">
        <w:rPr>
          <w:sz w:val="22"/>
          <w:szCs w:val="22"/>
          <w:u w:val="single"/>
        </w:rPr>
        <w:t>Eliminasjon</w:t>
      </w:r>
    </w:p>
    <w:p w14:paraId="0D6319EB" w14:textId="77777777" w:rsidR="001E500F" w:rsidRPr="009C5EFD" w:rsidRDefault="001E500F" w:rsidP="00776A84">
      <w:pPr>
        <w:keepNext/>
        <w:rPr>
          <w:sz w:val="22"/>
          <w:szCs w:val="22"/>
        </w:rPr>
      </w:pPr>
    </w:p>
    <w:p w14:paraId="2DE5F62F" w14:textId="77777777" w:rsidR="001E500F" w:rsidRPr="009C5EFD" w:rsidRDefault="00E453CD" w:rsidP="009C5EFD">
      <w:pPr>
        <w:rPr>
          <w:sz w:val="22"/>
          <w:szCs w:val="22"/>
        </w:rPr>
      </w:pPr>
      <w:r w:rsidRPr="009C5EFD">
        <w:rPr>
          <w:sz w:val="22"/>
          <w:szCs w:val="22"/>
        </w:rPr>
        <w:t xml:space="preserve">Farmakokinetiske populasjonsanalyser med data fra over 1300 RA-pasienter viste en tendens mot høyere tilsynelatende clearance av adalimumab med økende kroppsvekt. Etter korrigering for vektforskjeller, syntes kjønn og alder å ha minimal effekt på clearance av adalimumab. Serumnivåene av fritt adalimumab (ikke bundet til antistoffer mot adalimumab, AAA) ble observert å være lavere hos pasienter med målbart AAA. </w:t>
      </w:r>
    </w:p>
    <w:p w14:paraId="6A222A2F" w14:textId="77777777" w:rsidR="00315F16" w:rsidRPr="009C5EFD" w:rsidRDefault="00315F16" w:rsidP="009C5EFD">
      <w:pPr>
        <w:rPr>
          <w:sz w:val="22"/>
          <w:szCs w:val="22"/>
          <w:u w:val="single"/>
        </w:rPr>
      </w:pPr>
    </w:p>
    <w:p w14:paraId="3BB9475C" w14:textId="77777777" w:rsidR="001E500F" w:rsidRPr="009C5EFD" w:rsidRDefault="00E453CD" w:rsidP="00776A84">
      <w:pPr>
        <w:keepNext/>
        <w:rPr>
          <w:sz w:val="22"/>
          <w:szCs w:val="22"/>
        </w:rPr>
      </w:pPr>
      <w:r w:rsidRPr="009C5EFD">
        <w:rPr>
          <w:sz w:val="22"/>
          <w:szCs w:val="22"/>
          <w:u w:val="single"/>
        </w:rPr>
        <w:t>Nedsatt lever- eller nyrefunksjon</w:t>
      </w:r>
    </w:p>
    <w:p w14:paraId="4DF358AE" w14:textId="77777777" w:rsidR="001E500F" w:rsidRPr="009C5EFD" w:rsidRDefault="001E500F" w:rsidP="00776A84">
      <w:pPr>
        <w:keepNext/>
        <w:rPr>
          <w:sz w:val="22"/>
          <w:szCs w:val="22"/>
        </w:rPr>
      </w:pPr>
    </w:p>
    <w:p w14:paraId="0B9DF743" w14:textId="77777777" w:rsidR="001E500F" w:rsidRPr="009C5EFD" w:rsidRDefault="00E453CD" w:rsidP="009C5EFD">
      <w:pPr>
        <w:rPr>
          <w:sz w:val="22"/>
          <w:szCs w:val="22"/>
        </w:rPr>
      </w:pPr>
      <w:r w:rsidRPr="009C5EFD">
        <w:rPr>
          <w:sz w:val="22"/>
          <w:szCs w:val="22"/>
        </w:rPr>
        <w:t>Humira har ikke blitt undersøkt hos pasienter med nedsatt lever- eller nyrefunksjon.</w:t>
      </w:r>
    </w:p>
    <w:p w14:paraId="462375F8" w14:textId="77777777" w:rsidR="001E500F" w:rsidRPr="009C5EFD" w:rsidRDefault="001E500F" w:rsidP="009C5EFD">
      <w:pPr>
        <w:suppressAutoHyphens/>
        <w:rPr>
          <w:sz w:val="22"/>
          <w:szCs w:val="22"/>
        </w:rPr>
      </w:pPr>
    </w:p>
    <w:p w14:paraId="59718083" w14:textId="77777777" w:rsidR="001E500F" w:rsidRPr="009C5EFD" w:rsidRDefault="00E453CD" w:rsidP="00776A84">
      <w:pPr>
        <w:keepNext/>
        <w:suppressAutoHyphens/>
        <w:ind w:left="576" w:hanging="576"/>
        <w:rPr>
          <w:sz w:val="22"/>
          <w:szCs w:val="22"/>
        </w:rPr>
      </w:pPr>
      <w:r w:rsidRPr="009C5EFD">
        <w:rPr>
          <w:b/>
          <w:sz w:val="22"/>
          <w:szCs w:val="22"/>
        </w:rPr>
        <w:lastRenderedPageBreak/>
        <w:t>5.3</w:t>
      </w:r>
      <w:r w:rsidRPr="009C5EFD">
        <w:rPr>
          <w:b/>
          <w:sz w:val="22"/>
          <w:szCs w:val="22"/>
        </w:rPr>
        <w:tab/>
        <w:t>Prekliniske sikkerhetsdata</w:t>
      </w:r>
    </w:p>
    <w:p w14:paraId="725BFE20" w14:textId="77777777" w:rsidR="001E500F" w:rsidRPr="009C5EFD" w:rsidRDefault="001E500F" w:rsidP="00776A84">
      <w:pPr>
        <w:keepNext/>
        <w:rPr>
          <w:sz w:val="22"/>
          <w:szCs w:val="22"/>
        </w:rPr>
      </w:pPr>
    </w:p>
    <w:p w14:paraId="4E30F7FA" w14:textId="77777777" w:rsidR="001E500F" w:rsidRPr="009C5EFD" w:rsidRDefault="00E453CD" w:rsidP="009C5EFD">
      <w:pPr>
        <w:rPr>
          <w:sz w:val="22"/>
          <w:szCs w:val="22"/>
        </w:rPr>
      </w:pPr>
      <w:r w:rsidRPr="009C5EFD">
        <w:rPr>
          <w:sz w:val="22"/>
          <w:szCs w:val="22"/>
        </w:rPr>
        <w:t>Prekliniske data indikerer ingen spesiell fare for mennesker basert på toksisitetstester etter enkeltdosering, toksisitetstester ved gjentatt dosering eller gentoksisitet.</w:t>
      </w:r>
    </w:p>
    <w:p w14:paraId="47A61074" w14:textId="77777777" w:rsidR="001E500F" w:rsidRPr="009C5EFD" w:rsidRDefault="001E500F" w:rsidP="009C5EFD">
      <w:pPr>
        <w:rPr>
          <w:sz w:val="22"/>
          <w:szCs w:val="22"/>
        </w:rPr>
      </w:pPr>
    </w:p>
    <w:p w14:paraId="48D21BCA" w14:textId="77777777" w:rsidR="001E500F" w:rsidRPr="009C5EFD" w:rsidRDefault="00E453CD" w:rsidP="009C5EFD">
      <w:pPr>
        <w:rPr>
          <w:sz w:val="22"/>
          <w:szCs w:val="22"/>
        </w:rPr>
      </w:pPr>
      <w:r w:rsidRPr="009C5EFD">
        <w:rPr>
          <w:sz w:val="22"/>
          <w:szCs w:val="22"/>
        </w:rPr>
        <w:t xml:space="preserve">En studie på </w:t>
      </w:r>
      <w:r w:rsidR="00581310">
        <w:rPr>
          <w:sz w:val="22"/>
          <w:szCs w:val="22"/>
        </w:rPr>
        <w:t>embryo</w:t>
      </w:r>
      <w:r w:rsidRPr="009C5EFD">
        <w:rPr>
          <w:sz w:val="22"/>
          <w:szCs w:val="22"/>
        </w:rPr>
        <w:t xml:space="preserve">føtal utviklingstoksisitet og perinatal utvikling som ble utført på </w:t>
      </w:r>
      <w:r w:rsidR="006B250F">
        <w:rPr>
          <w:sz w:val="22"/>
          <w:szCs w:val="22"/>
        </w:rPr>
        <w:t>cynomolgus</w:t>
      </w:r>
      <w:r w:rsidRPr="009C5EFD">
        <w:rPr>
          <w:sz w:val="22"/>
          <w:szCs w:val="22"/>
        </w:rPr>
        <w:t>-aper ved 0,30 og 100</w:t>
      </w:r>
      <w:r w:rsidR="00315F16" w:rsidRPr="009C5EFD">
        <w:rPr>
          <w:sz w:val="22"/>
          <w:szCs w:val="22"/>
        </w:rPr>
        <w:t> mg</w:t>
      </w:r>
      <w:r w:rsidRPr="009C5EFD">
        <w:rPr>
          <w:sz w:val="22"/>
          <w:szCs w:val="22"/>
        </w:rPr>
        <w:t>/kg (9-17 aper/gruppe) viste ingen tegn til fosterskader som skyldtes adalimumab. Verken karsinogenitetsstudier eller en standardutredning av fertilitet og postnatal toksisitet er gjennomført med adalimumab på grunn av mangel på egnede modeller på antistoff med begrenset kryss-reaktivitet til TNF fra gnagere, samt utvikling av nøytraliserende antistoffer hos gnagere.</w:t>
      </w:r>
    </w:p>
    <w:p w14:paraId="3F80F291" w14:textId="77777777" w:rsidR="001E500F" w:rsidRPr="009C5EFD" w:rsidRDefault="001E500F" w:rsidP="009C5EFD">
      <w:pPr>
        <w:rPr>
          <w:sz w:val="22"/>
          <w:szCs w:val="22"/>
        </w:rPr>
      </w:pPr>
    </w:p>
    <w:p w14:paraId="50E68AE1" w14:textId="77777777" w:rsidR="001E500F" w:rsidRPr="009C5EFD" w:rsidRDefault="001E500F" w:rsidP="009C5EFD">
      <w:pPr>
        <w:suppressAutoHyphens/>
        <w:rPr>
          <w:sz w:val="22"/>
          <w:szCs w:val="22"/>
        </w:rPr>
      </w:pPr>
    </w:p>
    <w:p w14:paraId="376AAA49" w14:textId="77777777" w:rsidR="001E500F" w:rsidRPr="009C5EFD" w:rsidRDefault="00E453CD" w:rsidP="00602A37">
      <w:pPr>
        <w:keepNext/>
        <w:suppressAutoHyphens/>
        <w:ind w:left="562" w:hanging="562"/>
        <w:rPr>
          <w:b/>
          <w:sz w:val="22"/>
          <w:szCs w:val="22"/>
        </w:rPr>
      </w:pPr>
      <w:r w:rsidRPr="009C5EFD">
        <w:rPr>
          <w:b/>
          <w:sz w:val="22"/>
          <w:szCs w:val="22"/>
        </w:rPr>
        <w:t>6.</w:t>
      </w:r>
      <w:r w:rsidRPr="009C5EFD">
        <w:rPr>
          <w:b/>
          <w:sz w:val="22"/>
          <w:szCs w:val="22"/>
        </w:rPr>
        <w:tab/>
        <w:t>FARMASØYTISKE OPPLYSNINGER</w:t>
      </w:r>
    </w:p>
    <w:p w14:paraId="1213967A" w14:textId="77777777" w:rsidR="001E500F" w:rsidRPr="009C5EFD" w:rsidRDefault="001E500F" w:rsidP="006F6E51">
      <w:pPr>
        <w:keepNext/>
        <w:suppressAutoHyphens/>
        <w:rPr>
          <w:sz w:val="22"/>
          <w:szCs w:val="22"/>
        </w:rPr>
      </w:pPr>
    </w:p>
    <w:p w14:paraId="148085A3" w14:textId="77777777" w:rsidR="001E500F" w:rsidRPr="009C5EFD" w:rsidRDefault="00E453CD" w:rsidP="00602A37">
      <w:pPr>
        <w:keepNext/>
        <w:suppressAutoHyphens/>
        <w:ind w:left="576" w:hanging="576"/>
        <w:rPr>
          <w:sz w:val="22"/>
          <w:szCs w:val="22"/>
        </w:rPr>
      </w:pPr>
      <w:r w:rsidRPr="009C5EFD">
        <w:rPr>
          <w:b/>
          <w:sz w:val="22"/>
          <w:szCs w:val="22"/>
        </w:rPr>
        <w:t>6.1</w:t>
      </w:r>
      <w:r w:rsidRPr="009C5EFD">
        <w:rPr>
          <w:b/>
          <w:sz w:val="22"/>
          <w:szCs w:val="22"/>
        </w:rPr>
        <w:tab/>
      </w:r>
      <w:r w:rsidR="001D434C">
        <w:rPr>
          <w:b/>
          <w:sz w:val="22"/>
          <w:szCs w:val="22"/>
        </w:rPr>
        <w:t>H</w:t>
      </w:r>
      <w:r w:rsidRPr="009C5EFD">
        <w:rPr>
          <w:b/>
          <w:sz w:val="22"/>
          <w:szCs w:val="22"/>
        </w:rPr>
        <w:t>jelpestoffer</w:t>
      </w:r>
    </w:p>
    <w:p w14:paraId="2193845A" w14:textId="77777777" w:rsidR="001E500F" w:rsidRPr="009C5EFD" w:rsidRDefault="001E500F" w:rsidP="006F6E51">
      <w:pPr>
        <w:keepNext/>
        <w:rPr>
          <w:sz w:val="22"/>
          <w:szCs w:val="22"/>
        </w:rPr>
      </w:pPr>
    </w:p>
    <w:p w14:paraId="334924C6" w14:textId="77777777" w:rsidR="001E500F" w:rsidRPr="009C5EFD" w:rsidRDefault="00E453CD" w:rsidP="00776A84">
      <w:pPr>
        <w:rPr>
          <w:sz w:val="22"/>
          <w:szCs w:val="22"/>
        </w:rPr>
      </w:pPr>
      <w:r>
        <w:rPr>
          <w:sz w:val="22"/>
          <w:szCs w:val="22"/>
        </w:rPr>
        <w:t>M</w:t>
      </w:r>
      <w:r w:rsidRPr="009C5EFD">
        <w:rPr>
          <w:sz w:val="22"/>
          <w:szCs w:val="22"/>
        </w:rPr>
        <w:t>annitol</w:t>
      </w:r>
    </w:p>
    <w:p w14:paraId="18147CA0" w14:textId="77777777" w:rsidR="001E500F" w:rsidRPr="009C5EFD" w:rsidRDefault="00E453CD" w:rsidP="009C5EFD">
      <w:pPr>
        <w:rPr>
          <w:sz w:val="22"/>
          <w:szCs w:val="22"/>
        </w:rPr>
      </w:pPr>
      <w:r>
        <w:rPr>
          <w:sz w:val="22"/>
          <w:szCs w:val="22"/>
        </w:rPr>
        <w:t>P</w:t>
      </w:r>
      <w:r w:rsidRPr="009C5EFD">
        <w:rPr>
          <w:sz w:val="22"/>
          <w:szCs w:val="22"/>
        </w:rPr>
        <w:t>olysorbat 80</w:t>
      </w:r>
    </w:p>
    <w:p w14:paraId="64FDBE8B" w14:textId="77777777" w:rsidR="001E500F" w:rsidRPr="009C5EFD" w:rsidRDefault="00E453CD" w:rsidP="009C5EFD">
      <w:pPr>
        <w:rPr>
          <w:sz w:val="22"/>
          <w:szCs w:val="22"/>
        </w:rPr>
      </w:pPr>
      <w:r>
        <w:rPr>
          <w:sz w:val="22"/>
          <w:szCs w:val="22"/>
        </w:rPr>
        <w:t>V</w:t>
      </w:r>
      <w:r w:rsidRPr="009C5EFD">
        <w:rPr>
          <w:sz w:val="22"/>
          <w:szCs w:val="22"/>
        </w:rPr>
        <w:t>ann til injeksjonsvæsker</w:t>
      </w:r>
    </w:p>
    <w:p w14:paraId="7583D214" w14:textId="77777777" w:rsidR="001E500F" w:rsidRPr="009C5EFD" w:rsidRDefault="001E500F" w:rsidP="009C5EFD">
      <w:pPr>
        <w:rPr>
          <w:sz w:val="22"/>
          <w:szCs w:val="22"/>
        </w:rPr>
      </w:pPr>
    </w:p>
    <w:p w14:paraId="5D1F4592" w14:textId="77777777" w:rsidR="001E500F" w:rsidRPr="009C5EFD" w:rsidRDefault="00E453CD" w:rsidP="00602A37">
      <w:pPr>
        <w:keepNext/>
        <w:suppressAutoHyphens/>
        <w:ind w:left="576" w:hanging="576"/>
        <w:rPr>
          <w:sz w:val="22"/>
          <w:szCs w:val="22"/>
        </w:rPr>
      </w:pPr>
      <w:r w:rsidRPr="009C5EFD">
        <w:rPr>
          <w:b/>
          <w:sz w:val="22"/>
          <w:szCs w:val="22"/>
        </w:rPr>
        <w:t>6.2</w:t>
      </w:r>
      <w:r w:rsidRPr="009C5EFD">
        <w:rPr>
          <w:b/>
          <w:sz w:val="22"/>
          <w:szCs w:val="22"/>
        </w:rPr>
        <w:tab/>
        <w:t>Uforlikeligheter</w:t>
      </w:r>
    </w:p>
    <w:p w14:paraId="13BCD912" w14:textId="77777777" w:rsidR="001E500F" w:rsidRPr="009C5EFD" w:rsidRDefault="001E500F" w:rsidP="00F361F7">
      <w:pPr>
        <w:keepNext/>
        <w:rPr>
          <w:sz w:val="22"/>
          <w:szCs w:val="22"/>
        </w:rPr>
      </w:pPr>
    </w:p>
    <w:p w14:paraId="4EE031A6" w14:textId="77777777" w:rsidR="001E500F" w:rsidRPr="009C5EFD" w:rsidRDefault="00E453CD" w:rsidP="009C5EFD">
      <w:pPr>
        <w:suppressAutoHyphens/>
        <w:rPr>
          <w:b/>
          <w:sz w:val="22"/>
          <w:szCs w:val="22"/>
        </w:rPr>
      </w:pPr>
      <w:r w:rsidRPr="001D434C">
        <w:rPr>
          <w:sz w:val="22"/>
          <w:szCs w:val="22"/>
        </w:rPr>
        <w:t>Dette legemidlet skal ikke blandes med andre legemidler da det ikke er gjort studier på</w:t>
      </w:r>
      <w:r>
        <w:rPr>
          <w:sz w:val="22"/>
          <w:szCs w:val="22"/>
        </w:rPr>
        <w:t xml:space="preserve"> u</w:t>
      </w:r>
      <w:r w:rsidRPr="001D434C">
        <w:rPr>
          <w:sz w:val="22"/>
          <w:szCs w:val="22"/>
        </w:rPr>
        <w:t>forlikelighet</w:t>
      </w:r>
      <w:r>
        <w:rPr>
          <w:sz w:val="22"/>
          <w:szCs w:val="22"/>
        </w:rPr>
        <w:t>.</w:t>
      </w:r>
    </w:p>
    <w:p w14:paraId="09DD8A4B" w14:textId="77777777" w:rsidR="003E0F76" w:rsidRDefault="003E0F76" w:rsidP="00602A37">
      <w:pPr>
        <w:keepNext/>
        <w:suppressAutoHyphens/>
        <w:ind w:left="576" w:hanging="576"/>
        <w:rPr>
          <w:b/>
          <w:sz w:val="22"/>
          <w:szCs w:val="22"/>
        </w:rPr>
      </w:pPr>
    </w:p>
    <w:p w14:paraId="130F22AF" w14:textId="77777777" w:rsidR="001E500F" w:rsidRPr="009C5EFD" w:rsidRDefault="00E453CD" w:rsidP="00602A37">
      <w:pPr>
        <w:keepNext/>
        <w:suppressAutoHyphens/>
        <w:ind w:left="576" w:hanging="576"/>
        <w:rPr>
          <w:sz w:val="22"/>
          <w:szCs w:val="22"/>
        </w:rPr>
      </w:pPr>
      <w:r w:rsidRPr="009C5EFD">
        <w:rPr>
          <w:b/>
          <w:sz w:val="22"/>
          <w:szCs w:val="22"/>
        </w:rPr>
        <w:t>6.3</w:t>
      </w:r>
      <w:r w:rsidRPr="009C5EFD">
        <w:rPr>
          <w:b/>
          <w:sz w:val="22"/>
          <w:szCs w:val="22"/>
        </w:rPr>
        <w:tab/>
        <w:t>Holdbarhet</w:t>
      </w:r>
    </w:p>
    <w:p w14:paraId="46B25955" w14:textId="77777777" w:rsidR="001E500F" w:rsidRPr="009C5EFD" w:rsidRDefault="001E500F" w:rsidP="0083562D">
      <w:pPr>
        <w:keepNext/>
        <w:rPr>
          <w:sz w:val="22"/>
          <w:szCs w:val="22"/>
        </w:rPr>
      </w:pPr>
    </w:p>
    <w:p w14:paraId="4319EFD7" w14:textId="77777777" w:rsidR="001E500F" w:rsidRPr="009C5EFD" w:rsidRDefault="00E453CD" w:rsidP="00776A84">
      <w:pPr>
        <w:rPr>
          <w:sz w:val="22"/>
          <w:szCs w:val="22"/>
        </w:rPr>
      </w:pPr>
      <w:r w:rsidRPr="009C5EFD">
        <w:rPr>
          <w:sz w:val="22"/>
          <w:szCs w:val="22"/>
        </w:rPr>
        <w:t>2 år</w:t>
      </w:r>
      <w:r w:rsidR="009A198E" w:rsidRPr="009C5EFD">
        <w:rPr>
          <w:sz w:val="22"/>
          <w:szCs w:val="22"/>
        </w:rPr>
        <w:t>.</w:t>
      </w:r>
    </w:p>
    <w:p w14:paraId="5512DC67" w14:textId="77777777" w:rsidR="001E500F" w:rsidRPr="009C5EFD" w:rsidRDefault="001E500F" w:rsidP="009C5EFD">
      <w:pPr>
        <w:rPr>
          <w:sz w:val="22"/>
          <w:szCs w:val="22"/>
        </w:rPr>
      </w:pPr>
    </w:p>
    <w:p w14:paraId="4F9E3854" w14:textId="77777777" w:rsidR="001E500F" w:rsidRPr="009C5EFD" w:rsidRDefault="00E453CD" w:rsidP="00602A37">
      <w:pPr>
        <w:keepNext/>
        <w:suppressAutoHyphens/>
        <w:ind w:left="576" w:hanging="576"/>
        <w:rPr>
          <w:sz w:val="22"/>
          <w:szCs w:val="22"/>
        </w:rPr>
      </w:pPr>
      <w:r w:rsidRPr="009C5EFD">
        <w:rPr>
          <w:b/>
          <w:sz w:val="22"/>
          <w:szCs w:val="22"/>
        </w:rPr>
        <w:t>6.4</w:t>
      </w:r>
      <w:r w:rsidRPr="009C5EFD">
        <w:rPr>
          <w:b/>
          <w:sz w:val="22"/>
          <w:szCs w:val="22"/>
        </w:rPr>
        <w:tab/>
        <w:t>Oppbevaringsbetingelser</w:t>
      </w:r>
    </w:p>
    <w:p w14:paraId="03E3D15A" w14:textId="77777777" w:rsidR="001E500F" w:rsidRPr="009C5EFD" w:rsidRDefault="001E500F" w:rsidP="009C5EFD">
      <w:pPr>
        <w:keepNext/>
        <w:rPr>
          <w:sz w:val="22"/>
          <w:szCs w:val="22"/>
        </w:rPr>
      </w:pPr>
    </w:p>
    <w:p w14:paraId="55E30D36" w14:textId="77777777" w:rsidR="001E500F" w:rsidRPr="009C5EFD" w:rsidRDefault="00E453CD" w:rsidP="00776A84">
      <w:pPr>
        <w:rPr>
          <w:sz w:val="22"/>
          <w:szCs w:val="22"/>
        </w:rPr>
      </w:pPr>
      <w:r w:rsidRPr="009C5EFD">
        <w:rPr>
          <w:sz w:val="22"/>
          <w:szCs w:val="22"/>
        </w:rPr>
        <w:t>Oppbevares i kjøleskap (2</w:t>
      </w:r>
      <w:r w:rsidR="00410857">
        <w:rPr>
          <w:sz w:val="22"/>
          <w:szCs w:val="22"/>
        </w:rPr>
        <w:t> </w:t>
      </w:r>
      <w:r w:rsidRPr="009C5EFD">
        <w:rPr>
          <w:sz w:val="22"/>
          <w:szCs w:val="22"/>
        </w:rPr>
        <w:t>°C – 8</w:t>
      </w:r>
      <w:r w:rsidR="00410857">
        <w:rPr>
          <w:sz w:val="22"/>
          <w:szCs w:val="22"/>
        </w:rPr>
        <w:t> </w:t>
      </w:r>
      <w:r w:rsidRPr="009C5EFD">
        <w:rPr>
          <w:sz w:val="22"/>
          <w:szCs w:val="22"/>
        </w:rPr>
        <w:t xml:space="preserve">°C). Skal ikke fryses. Oppbevar </w:t>
      </w:r>
      <w:r w:rsidR="00C06A5D">
        <w:rPr>
          <w:sz w:val="22"/>
          <w:szCs w:val="22"/>
        </w:rPr>
        <w:t xml:space="preserve">den ferdigfylte </w:t>
      </w:r>
      <w:r w:rsidRPr="009C5EFD">
        <w:rPr>
          <w:sz w:val="22"/>
          <w:szCs w:val="22"/>
        </w:rPr>
        <w:t xml:space="preserve">sprøyten </w:t>
      </w:r>
      <w:r w:rsidR="00C06A5D">
        <w:rPr>
          <w:sz w:val="22"/>
          <w:szCs w:val="22"/>
        </w:rPr>
        <w:t>eller den ferdigfylte pennen</w:t>
      </w:r>
      <w:r w:rsidR="00C06A5D" w:rsidRPr="009C5EFD">
        <w:rPr>
          <w:sz w:val="22"/>
          <w:szCs w:val="22"/>
        </w:rPr>
        <w:t xml:space="preserve"> </w:t>
      </w:r>
      <w:r w:rsidRPr="009C5EFD">
        <w:rPr>
          <w:sz w:val="22"/>
          <w:szCs w:val="22"/>
        </w:rPr>
        <w:t>i ytteremballasjen for å beskytte mot lys.</w:t>
      </w:r>
    </w:p>
    <w:p w14:paraId="027EAE35" w14:textId="77777777" w:rsidR="001E500F" w:rsidRPr="009C5EFD" w:rsidRDefault="001E500F" w:rsidP="009C5EFD">
      <w:pPr>
        <w:rPr>
          <w:sz w:val="22"/>
          <w:szCs w:val="22"/>
        </w:rPr>
      </w:pPr>
    </w:p>
    <w:p w14:paraId="50EDD5B5" w14:textId="77777777" w:rsidR="001E500F" w:rsidRPr="009C5EFD" w:rsidRDefault="00E453CD" w:rsidP="009C5EFD">
      <w:pPr>
        <w:rPr>
          <w:sz w:val="22"/>
          <w:szCs w:val="22"/>
        </w:rPr>
      </w:pPr>
      <w:r w:rsidRPr="009C5EFD">
        <w:rPr>
          <w:sz w:val="22"/>
          <w:szCs w:val="22"/>
        </w:rPr>
        <w:t xml:space="preserve">En enkelt Humira ferdigfylt sprøyte </w:t>
      </w:r>
      <w:r w:rsidR="00C06A5D">
        <w:rPr>
          <w:sz w:val="22"/>
          <w:szCs w:val="22"/>
        </w:rPr>
        <w:t xml:space="preserve">eller ferdigfylt penn </w:t>
      </w:r>
      <w:r w:rsidRPr="009C5EFD">
        <w:rPr>
          <w:sz w:val="22"/>
          <w:szCs w:val="22"/>
        </w:rPr>
        <w:t xml:space="preserve">kan oppbevares ved temperaturer opptil </w:t>
      </w:r>
      <w:r w:rsidR="00410857">
        <w:rPr>
          <w:sz w:val="22"/>
          <w:szCs w:val="22"/>
        </w:rPr>
        <w:t>maksimalt</w:t>
      </w:r>
      <w:r w:rsidRPr="009C5EFD">
        <w:rPr>
          <w:sz w:val="22"/>
          <w:szCs w:val="22"/>
        </w:rPr>
        <w:t xml:space="preserve"> 25</w:t>
      </w:r>
      <w:r w:rsidR="00410857">
        <w:rPr>
          <w:sz w:val="22"/>
          <w:szCs w:val="22"/>
        </w:rPr>
        <w:t> </w:t>
      </w:r>
      <w:r w:rsidRPr="009C5EFD">
        <w:rPr>
          <w:sz w:val="22"/>
          <w:szCs w:val="22"/>
        </w:rPr>
        <w:t xml:space="preserve">°C for en periode på opptil 14 dager. Sprøyten </w:t>
      </w:r>
      <w:r w:rsidR="00C06A5D">
        <w:rPr>
          <w:sz w:val="22"/>
          <w:szCs w:val="22"/>
        </w:rPr>
        <w:t xml:space="preserve">eller pennen </w:t>
      </w:r>
      <w:r w:rsidRPr="009C5EFD">
        <w:rPr>
          <w:sz w:val="22"/>
          <w:szCs w:val="22"/>
        </w:rPr>
        <w:t xml:space="preserve">må beskyttes mot lys, og kastes hvis den ikke brukes innen 14 dager. </w:t>
      </w:r>
    </w:p>
    <w:p w14:paraId="4F2C7246" w14:textId="77777777" w:rsidR="001E500F" w:rsidRPr="009C5EFD" w:rsidRDefault="001E500F" w:rsidP="009C5EFD">
      <w:pPr>
        <w:rPr>
          <w:sz w:val="22"/>
          <w:szCs w:val="22"/>
        </w:rPr>
      </w:pPr>
    </w:p>
    <w:p w14:paraId="7728B906" w14:textId="77777777" w:rsidR="001E500F" w:rsidRPr="009C5EFD" w:rsidRDefault="00E453CD" w:rsidP="00776A84">
      <w:pPr>
        <w:keepNext/>
        <w:ind w:left="576" w:hanging="576"/>
        <w:rPr>
          <w:b/>
          <w:sz w:val="22"/>
          <w:szCs w:val="22"/>
        </w:rPr>
      </w:pPr>
      <w:r w:rsidRPr="009C5EFD">
        <w:rPr>
          <w:b/>
          <w:sz w:val="22"/>
          <w:szCs w:val="22"/>
        </w:rPr>
        <w:t>6.5</w:t>
      </w:r>
      <w:r w:rsidRPr="009C5EFD">
        <w:rPr>
          <w:b/>
          <w:sz w:val="22"/>
          <w:szCs w:val="22"/>
        </w:rPr>
        <w:tab/>
        <w:t>Emballasje (type og innhold)</w:t>
      </w:r>
    </w:p>
    <w:p w14:paraId="704F13F6" w14:textId="77777777" w:rsidR="001E500F" w:rsidRPr="009C5EFD" w:rsidRDefault="001E500F" w:rsidP="00776A84">
      <w:pPr>
        <w:keepNext/>
        <w:rPr>
          <w:sz w:val="22"/>
          <w:szCs w:val="22"/>
        </w:rPr>
      </w:pPr>
    </w:p>
    <w:p w14:paraId="24BDBD14" w14:textId="77777777" w:rsidR="00C06A5D" w:rsidRDefault="00E453CD" w:rsidP="00776A84">
      <w:pPr>
        <w:keepNext/>
        <w:textAlignment w:val="top"/>
        <w:rPr>
          <w:sz w:val="22"/>
          <w:szCs w:val="22"/>
        </w:rPr>
      </w:pPr>
      <w:r w:rsidRPr="00787C36">
        <w:rPr>
          <w:sz w:val="22"/>
          <w:szCs w:val="22"/>
          <w:u w:val="single"/>
        </w:rPr>
        <w:t>Humira 40 mg inje</w:t>
      </w:r>
      <w:r>
        <w:rPr>
          <w:sz w:val="22"/>
          <w:szCs w:val="22"/>
          <w:u w:val="single"/>
        </w:rPr>
        <w:t>ksjonsvæske, oppløsning</w:t>
      </w:r>
      <w:r w:rsidRPr="00713546">
        <w:rPr>
          <w:sz w:val="22"/>
          <w:szCs w:val="22"/>
          <w:u w:val="single"/>
        </w:rPr>
        <w:t xml:space="preserve"> </w:t>
      </w:r>
      <w:r w:rsidRPr="00787C36">
        <w:rPr>
          <w:sz w:val="22"/>
          <w:szCs w:val="22"/>
          <w:u w:val="single"/>
        </w:rPr>
        <w:t>i ferdigfylt sprøyte</w:t>
      </w:r>
    </w:p>
    <w:p w14:paraId="1E0B73B9" w14:textId="77777777" w:rsidR="001E500F" w:rsidRPr="001F5D4B" w:rsidRDefault="00E453CD" w:rsidP="001F5D4B">
      <w:pPr>
        <w:textAlignment w:val="top"/>
        <w:rPr>
          <w:color w:val="888888"/>
          <w:sz w:val="20"/>
          <w:szCs w:val="20"/>
        </w:rPr>
      </w:pPr>
      <w:r w:rsidRPr="009C5EFD">
        <w:rPr>
          <w:sz w:val="22"/>
          <w:szCs w:val="22"/>
        </w:rPr>
        <w:t>Humira 40</w:t>
      </w:r>
      <w:r w:rsidR="00315F16" w:rsidRPr="009C5EFD">
        <w:rPr>
          <w:sz w:val="22"/>
          <w:szCs w:val="22"/>
        </w:rPr>
        <w:t> mg</w:t>
      </w:r>
      <w:r w:rsidRPr="009C5EFD">
        <w:rPr>
          <w:sz w:val="22"/>
          <w:szCs w:val="22"/>
        </w:rPr>
        <w:t xml:space="preserve"> injeksjonsvæske, oppløsning, endose i ferdigfylt sprøyte (type I glass) med en stempelpropp (brombutylgummi) og en </w:t>
      </w:r>
      <w:r w:rsidR="008138BF">
        <w:rPr>
          <w:sz w:val="22"/>
          <w:szCs w:val="22"/>
        </w:rPr>
        <w:t>kanyle</w:t>
      </w:r>
      <w:r w:rsidRPr="009C5EFD">
        <w:rPr>
          <w:sz w:val="22"/>
          <w:szCs w:val="22"/>
        </w:rPr>
        <w:t xml:space="preserve"> med </w:t>
      </w:r>
      <w:r w:rsidR="00E1458E">
        <w:rPr>
          <w:sz w:val="22"/>
          <w:szCs w:val="22"/>
        </w:rPr>
        <w:t>kanylehette</w:t>
      </w:r>
      <w:r w:rsidRPr="009C5EFD">
        <w:rPr>
          <w:sz w:val="22"/>
          <w:szCs w:val="22"/>
        </w:rPr>
        <w:t xml:space="preserve"> (termoplastisk elastomer).</w:t>
      </w:r>
    </w:p>
    <w:p w14:paraId="38633050" w14:textId="77777777" w:rsidR="001E500F" w:rsidRPr="007F67EE" w:rsidRDefault="001E500F" w:rsidP="007F67EE">
      <w:pPr>
        <w:rPr>
          <w:sz w:val="22"/>
          <w:szCs w:val="22"/>
        </w:rPr>
      </w:pPr>
    </w:p>
    <w:p w14:paraId="50413811" w14:textId="77777777" w:rsidR="001E500F" w:rsidRPr="00193D76" w:rsidRDefault="00E453CD" w:rsidP="00776A84">
      <w:pPr>
        <w:keepNext/>
        <w:rPr>
          <w:sz w:val="22"/>
          <w:szCs w:val="22"/>
        </w:rPr>
      </w:pPr>
      <w:r w:rsidRPr="00193D76">
        <w:rPr>
          <w:sz w:val="22"/>
          <w:szCs w:val="22"/>
        </w:rPr>
        <w:t>Pakninger:</w:t>
      </w:r>
    </w:p>
    <w:p w14:paraId="7110B732" w14:textId="77777777" w:rsidR="001E500F" w:rsidRPr="002D0790" w:rsidRDefault="00E453CD" w:rsidP="00EE4677">
      <w:pPr>
        <w:numPr>
          <w:ilvl w:val="0"/>
          <w:numId w:val="23"/>
        </w:numPr>
        <w:ind w:left="0" w:firstLine="0"/>
        <w:rPr>
          <w:sz w:val="22"/>
          <w:szCs w:val="22"/>
        </w:rPr>
      </w:pPr>
      <w:r w:rsidRPr="002D0790">
        <w:rPr>
          <w:sz w:val="22"/>
          <w:szCs w:val="22"/>
        </w:rPr>
        <w:t xml:space="preserve">1 ferdigfylt sprøyte (0,4 ml steril oppløsning) med </w:t>
      </w:r>
      <w:r w:rsidR="00F066FC">
        <w:rPr>
          <w:sz w:val="22"/>
          <w:szCs w:val="22"/>
        </w:rPr>
        <w:t>1</w:t>
      </w:r>
      <w:r w:rsidRPr="002D0790">
        <w:rPr>
          <w:sz w:val="22"/>
          <w:szCs w:val="22"/>
        </w:rPr>
        <w:t xml:space="preserve"> injeksjonstørk</w:t>
      </w:r>
      <w:r w:rsidR="00410857">
        <w:rPr>
          <w:sz w:val="22"/>
          <w:szCs w:val="22"/>
        </w:rPr>
        <w:t>,</w:t>
      </w:r>
      <w:r w:rsidRPr="002D0790">
        <w:rPr>
          <w:sz w:val="22"/>
          <w:szCs w:val="22"/>
        </w:rPr>
        <w:t xml:space="preserve"> i blisterpakning</w:t>
      </w:r>
      <w:r w:rsidR="005F3531">
        <w:rPr>
          <w:sz w:val="22"/>
          <w:szCs w:val="22"/>
        </w:rPr>
        <w:t>.</w:t>
      </w:r>
    </w:p>
    <w:p w14:paraId="2950DCE5" w14:textId="77777777" w:rsidR="001E500F" w:rsidRPr="00C07C98" w:rsidRDefault="00E453CD" w:rsidP="00EE4677">
      <w:pPr>
        <w:numPr>
          <w:ilvl w:val="0"/>
          <w:numId w:val="23"/>
        </w:numPr>
        <w:ind w:left="0" w:firstLine="0"/>
        <w:rPr>
          <w:sz w:val="22"/>
          <w:szCs w:val="22"/>
        </w:rPr>
      </w:pPr>
      <w:r w:rsidRPr="00C07C98">
        <w:rPr>
          <w:sz w:val="22"/>
          <w:szCs w:val="22"/>
        </w:rPr>
        <w:t xml:space="preserve">2 ferdigfylte sprøyter (0,4 ml steril oppløsning), hver med </w:t>
      </w:r>
      <w:r w:rsidR="00F066FC">
        <w:rPr>
          <w:sz w:val="22"/>
          <w:szCs w:val="22"/>
        </w:rPr>
        <w:t>1</w:t>
      </w:r>
      <w:r w:rsidRPr="00C07C98">
        <w:rPr>
          <w:sz w:val="22"/>
          <w:szCs w:val="22"/>
        </w:rPr>
        <w:t xml:space="preserve"> injeksjonstørk</w:t>
      </w:r>
      <w:r w:rsidR="00410857">
        <w:rPr>
          <w:sz w:val="22"/>
          <w:szCs w:val="22"/>
        </w:rPr>
        <w:t>,</w:t>
      </w:r>
      <w:r w:rsidRPr="00C07C98">
        <w:rPr>
          <w:sz w:val="22"/>
          <w:szCs w:val="22"/>
        </w:rPr>
        <w:t xml:space="preserve"> i blisterpakning</w:t>
      </w:r>
      <w:r w:rsidR="005F3531">
        <w:rPr>
          <w:sz w:val="22"/>
          <w:szCs w:val="22"/>
        </w:rPr>
        <w:t>.</w:t>
      </w:r>
    </w:p>
    <w:p w14:paraId="1E370E0B" w14:textId="77777777" w:rsidR="001E500F" w:rsidRPr="00E14E58" w:rsidRDefault="00E453CD" w:rsidP="00EE4677">
      <w:pPr>
        <w:numPr>
          <w:ilvl w:val="0"/>
          <w:numId w:val="23"/>
        </w:numPr>
        <w:ind w:left="0" w:firstLine="0"/>
        <w:rPr>
          <w:sz w:val="22"/>
          <w:szCs w:val="22"/>
        </w:rPr>
      </w:pPr>
      <w:r w:rsidRPr="00E14E58">
        <w:rPr>
          <w:sz w:val="22"/>
          <w:szCs w:val="22"/>
        </w:rPr>
        <w:t xml:space="preserve">4 ferdigfylte sprøyter (0,4 ml steril oppløsning), hver med </w:t>
      </w:r>
      <w:r w:rsidR="00F066FC">
        <w:rPr>
          <w:sz w:val="22"/>
          <w:szCs w:val="22"/>
        </w:rPr>
        <w:t>1</w:t>
      </w:r>
      <w:r w:rsidRPr="00E14E58">
        <w:rPr>
          <w:sz w:val="22"/>
          <w:szCs w:val="22"/>
        </w:rPr>
        <w:t xml:space="preserve"> injeksjonstørk</w:t>
      </w:r>
      <w:r w:rsidR="00410857">
        <w:rPr>
          <w:sz w:val="22"/>
          <w:szCs w:val="22"/>
        </w:rPr>
        <w:t>,</w:t>
      </w:r>
      <w:r w:rsidRPr="00E14E58">
        <w:rPr>
          <w:sz w:val="22"/>
          <w:szCs w:val="22"/>
        </w:rPr>
        <w:t xml:space="preserve"> i blisterpakning</w:t>
      </w:r>
      <w:r w:rsidR="005F3531">
        <w:rPr>
          <w:sz w:val="22"/>
          <w:szCs w:val="22"/>
        </w:rPr>
        <w:t>.</w:t>
      </w:r>
    </w:p>
    <w:p w14:paraId="41226F19" w14:textId="77777777" w:rsidR="001E500F" w:rsidRDefault="00E453CD" w:rsidP="00EE4677">
      <w:pPr>
        <w:numPr>
          <w:ilvl w:val="0"/>
          <w:numId w:val="23"/>
        </w:numPr>
        <w:ind w:left="0" w:firstLine="0"/>
        <w:rPr>
          <w:sz w:val="22"/>
          <w:szCs w:val="22"/>
        </w:rPr>
      </w:pPr>
      <w:r w:rsidRPr="009C5EFD">
        <w:rPr>
          <w:sz w:val="22"/>
          <w:szCs w:val="22"/>
        </w:rPr>
        <w:t xml:space="preserve">6 ferdigfylte sprøyter (0,4 ml steril oppløsning), hver med </w:t>
      </w:r>
      <w:r w:rsidR="00F066FC">
        <w:rPr>
          <w:sz w:val="22"/>
          <w:szCs w:val="22"/>
        </w:rPr>
        <w:t>1</w:t>
      </w:r>
      <w:r w:rsidRPr="009C5EFD">
        <w:rPr>
          <w:sz w:val="22"/>
          <w:szCs w:val="22"/>
        </w:rPr>
        <w:t xml:space="preserve"> injeksjonstørk</w:t>
      </w:r>
      <w:r w:rsidR="00410857">
        <w:rPr>
          <w:sz w:val="22"/>
          <w:szCs w:val="22"/>
        </w:rPr>
        <w:t>,</w:t>
      </w:r>
      <w:r w:rsidRPr="009C5EFD">
        <w:rPr>
          <w:sz w:val="22"/>
          <w:szCs w:val="22"/>
        </w:rPr>
        <w:t xml:space="preserve"> i blisterpakning</w:t>
      </w:r>
      <w:r w:rsidR="005F3531">
        <w:rPr>
          <w:sz w:val="22"/>
          <w:szCs w:val="22"/>
        </w:rPr>
        <w:t>.</w:t>
      </w:r>
    </w:p>
    <w:p w14:paraId="610CE746" w14:textId="77777777" w:rsidR="00C84EB2" w:rsidRPr="009C5EFD" w:rsidRDefault="00C84EB2" w:rsidP="00776A84">
      <w:pPr>
        <w:rPr>
          <w:sz w:val="22"/>
          <w:szCs w:val="22"/>
        </w:rPr>
      </w:pPr>
    </w:p>
    <w:p w14:paraId="4711566D" w14:textId="77777777" w:rsidR="0085027C" w:rsidRPr="00787C36" w:rsidRDefault="00E453CD" w:rsidP="00776A84">
      <w:pPr>
        <w:keepNext/>
        <w:rPr>
          <w:sz w:val="22"/>
          <w:szCs w:val="22"/>
          <w:u w:val="single"/>
        </w:rPr>
      </w:pPr>
      <w:r>
        <w:rPr>
          <w:sz w:val="22"/>
          <w:szCs w:val="22"/>
          <w:u w:val="single"/>
        </w:rPr>
        <w:t>Humira 40 mg injeksjonsvæske, oppløsning i ferdigfylt penn</w:t>
      </w:r>
    </w:p>
    <w:p w14:paraId="7F2D5FF2" w14:textId="77777777" w:rsidR="0085027C" w:rsidRDefault="00E453CD" w:rsidP="0085027C">
      <w:pPr>
        <w:rPr>
          <w:sz w:val="22"/>
          <w:szCs w:val="22"/>
        </w:rPr>
      </w:pPr>
      <w:r>
        <w:rPr>
          <w:sz w:val="22"/>
          <w:szCs w:val="22"/>
        </w:rPr>
        <w:t xml:space="preserve">Humira 40 mg injeksjonsvæske, oppløsning, endose i ferdigfylt penn for pasientbruk inneholder en ferdigfylt sprøyte. Sprøyten inni pennen er lagd av type </w:t>
      </w:r>
      <w:r w:rsidRPr="00DE70F1">
        <w:rPr>
          <w:sz w:val="22"/>
          <w:szCs w:val="22"/>
        </w:rPr>
        <w:t>1</w:t>
      </w:r>
      <w:r>
        <w:rPr>
          <w:sz w:val="22"/>
          <w:szCs w:val="22"/>
        </w:rPr>
        <w:t xml:space="preserve"> glass med en stempelpropp (brombutylgummi) og en </w:t>
      </w:r>
      <w:r w:rsidR="008138BF">
        <w:rPr>
          <w:sz w:val="22"/>
          <w:szCs w:val="22"/>
        </w:rPr>
        <w:t>kanyle</w:t>
      </w:r>
      <w:r>
        <w:rPr>
          <w:sz w:val="22"/>
          <w:szCs w:val="22"/>
        </w:rPr>
        <w:t xml:space="preserve"> med beskyttelseshette (termoplastisk elastomer).</w:t>
      </w:r>
    </w:p>
    <w:p w14:paraId="0AC6CAA4" w14:textId="77777777" w:rsidR="0085027C" w:rsidRDefault="0085027C" w:rsidP="0085027C">
      <w:pPr>
        <w:rPr>
          <w:sz w:val="22"/>
          <w:szCs w:val="22"/>
        </w:rPr>
      </w:pPr>
    </w:p>
    <w:p w14:paraId="0758B5A5" w14:textId="77777777" w:rsidR="0085027C" w:rsidRDefault="00E453CD" w:rsidP="00776A84">
      <w:pPr>
        <w:keepNext/>
        <w:rPr>
          <w:sz w:val="22"/>
          <w:szCs w:val="22"/>
        </w:rPr>
      </w:pPr>
      <w:r>
        <w:rPr>
          <w:sz w:val="22"/>
          <w:szCs w:val="22"/>
        </w:rPr>
        <w:t>Pakninger:</w:t>
      </w:r>
    </w:p>
    <w:p w14:paraId="713D3A07" w14:textId="77777777" w:rsidR="0085027C" w:rsidRPr="009C5EFD" w:rsidRDefault="00E453CD" w:rsidP="0085027C">
      <w:pPr>
        <w:numPr>
          <w:ilvl w:val="0"/>
          <w:numId w:val="23"/>
        </w:numPr>
        <w:ind w:left="0" w:firstLine="0"/>
        <w:rPr>
          <w:sz w:val="22"/>
          <w:szCs w:val="22"/>
        </w:rPr>
      </w:pPr>
      <w:r>
        <w:rPr>
          <w:sz w:val="22"/>
          <w:szCs w:val="22"/>
        </w:rPr>
        <w:t>1 ferdigfylt penn (0,4</w:t>
      </w:r>
      <w:r w:rsidRPr="009C5EFD">
        <w:rPr>
          <w:sz w:val="22"/>
          <w:szCs w:val="22"/>
        </w:rPr>
        <w:t xml:space="preserve"> ml steril oppløsning) med </w:t>
      </w:r>
      <w:r>
        <w:rPr>
          <w:sz w:val="22"/>
          <w:szCs w:val="22"/>
        </w:rPr>
        <w:t>2</w:t>
      </w:r>
      <w:r w:rsidRPr="009C5EFD">
        <w:rPr>
          <w:sz w:val="22"/>
          <w:szCs w:val="22"/>
        </w:rPr>
        <w:t xml:space="preserve"> injeksjonstørk</w:t>
      </w:r>
      <w:r w:rsidR="00C84EB2">
        <w:rPr>
          <w:sz w:val="22"/>
          <w:szCs w:val="22"/>
        </w:rPr>
        <w:t>,</w:t>
      </w:r>
      <w:r w:rsidRPr="009C5EFD">
        <w:rPr>
          <w:sz w:val="22"/>
          <w:szCs w:val="22"/>
        </w:rPr>
        <w:t xml:space="preserve"> i blisterpakning</w:t>
      </w:r>
      <w:r w:rsidR="00C84EB2">
        <w:rPr>
          <w:sz w:val="22"/>
          <w:szCs w:val="22"/>
        </w:rPr>
        <w:t>.</w:t>
      </w:r>
    </w:p>
    <w:p w14:paraId="54E81C7F" w14:textId="77777777" w:rsidR="0085027C" w:rsidRPr="009C5EFD" w:rsidRDefault="00E453CD" w:rsidP="0085027C">
      <w:pPr>
        <w:numPr>
          <w:ilvl w:val="0"/>
          <w:numId w:val="23"/>
        </w:numPr>
        <w:ind w:left="0" w:firstLine="0"/>
        <w:rPr>
          <w:sz w:val="22"/>
          <w:szCs w:val="22"/>
        </w:rPr>
      </w:pPr>
      <w:r>
        <w:rPr>
          <w:sz w:val="22"/>
          <w:szCs w:val="22"/>
        </w:rPr>
        <w:t>2 ferdigfylte penner (0,4</w:t>
      </w:r>
      <w:r w:rsidRPr="009C5EFD">
        <w:rPr>
          <w:sz w:val="22"/>
          <w:szCs w:val="22"/>
        </w:rPr>
        <w:t xml:space="preserve"> ml steril oppløsning), hver med </w:t>
      </w:r>
      <w:r>
        <w:rPr>
          <w:sz w:val="22"/>
          <w:szCs w:val="22"/>
        </w:rPr>
        <w:t>1</w:t>
      </w:r>
      <w:r w:rsidRPr="009C5EFD">
        <w:rPr>
          <w:sz w:val="22"/>
          <w:szCs w:val="22"/>
        </w:rPr>
        <w:t xml:space="preserve"> injeksjonstørk</w:t>
      </w:r>
      <w:r w:rsidR="00C84EB2">
        <w:rPr>
          <w:sz w:val="22"/>
          <w:szCs w:val="22"/>
        </w:rPr>
        <w:t>,</w:t>
      </w:r>
      <w:r w:rsidRPr="009C5EFD">
        <w:rPr>
          <w:sz w:val="22"/>
          <w:szCs w:val="22"/>
        </w:rPr>
        <w:t xml:space="preserve"> i blisterpakning</w:t>
      </w:r>
      <w:r w:rsidR="00C84EB2">
        <w:rPr>
          <w:sz w:val="22"/>
          <w:szCs w:val="22"/>
        </w:rPr>
        <w:t>.</w:t>
      </w:r>
    </w:p>
    <w:p w14:paraId="679A1B03" w14:textId="77777777" w:rsidR="0085027C" w:rsidRDefault="00E453CD" w:rsidP="0085027C">
      <w:pPr>
        <w:numPr>
          <w:ilvl w:val="0"/>
          <w:numId w:val="23"/>
        </w:numPr>
        <w:ind w:left="0" w:firstLine="0"/>
        <w:rPr>
          <w:sz w:val="22"/>
          <w:szCs w:val="22"/>
        </w:rPr>
      </w:pPr>
      <w:r>
        <w:rPr>
          <w:sz w:val="22"/>
          <w:szCs w:val="22"/>
        </w:rPr>
        <w:lastRenderedPageBreak/>
        <w:t>4 ferdigfylte penner (0,4</w:t>
      </w:r>
      <w:r w:rsidRPr="009C5EFD">
        <w:rPr>
          <w:sz w:val="22"/>
          <w:szCs w:val="22"/>
        </w:rPr>
        <w:t xml:space="preserve"> ml steril oppløsning), hver med </w:t>
      </w:r>
      <w:r>
        <w:rPr>
          <w:sz w:val="22"/>
          <w:szCs w:val="22"/>
        </w:rPr>
        <w:t>1</w:t>
      </w:r>
      <w:r w:rsidRPr="009C5EFD">
        <w:rPr>
          <w:sz w:val="22"/>
          <w:szCs w:val="22"/>
        </w:rPr>
        <w:t xml:space="preserve"> injeksjonstørk</w:t>
      </w:r>
      <w:r w:rsidR="00C84EB2">
        <w:rPr>
          <w:sz w:val="22"/>
          <w:szCs w:val="22"/>
        </w:rPr>
        <w:t>,</w:t>
      </w:r>
      <w:r w:rsidRPr="009C5EFD">
        <w:rPr>
          <w:sz w:val="22"/>
          <w:szCs w:val="22"/>
        </w:rPr>
        <w:t xml:space="preserve"> i blisterpakning</w:t>
      </w:r>
      <w:r w:rsidR="00C84EB2">
        <w:rPr>
          <w:sz w:val="22"/>
          <w:szCs w:val="22"/>
        </w:rPr>
        <w:t>.</w:t>
      </w:r>
    </w:p>
    <w:p w14:paraId="1E0B2AFE" w14:textId="77777777" w:rsidR="0085027C" w:rsidRPr="0085027C" w:rsidRDefault="00E453CD" w:rsidP="00A15CB1">
      <w:pPr>
        <w:numPr>
          <w:ilvl w:val="0"/>
          <w:numId w:val="23"/>
        </w:numPr>
        <w:ind w:left="0" w:firstLine="0"/>
        <w:rPr>
          <w:sz w:val="22"/>
          <w:szCs w:val="22"/>
        </w:rPr>
      </w:pPr>
      <w:r w:rsidRPr="0085027C">
        <w:rPr>
          <w:sz w:val="22"/>
          <w:szCs w:val="22"/>
        </w:rPr>
        <w:t>6 ferdigfylte penner (0,4 ml steril oppløsning), hver med 1</w:t>
      </w:r>
      <w:r w:rsidRPr="0023505E">
        <w:rPr>
          <w:sz w:val="22"/>
          <w:szCs w:val="22"/>
        </w:rPr>
        <w:t xml:space="preserve"> injeksjonstørk</w:t>
      </w:r>
      <w:r w:rsidR="00C84EB2">
        <w:rPr>
          <w:sz w:val="22"/>
          <w:szCs w:val="22"/>
        </w:rPr>
        <w:t>,</w:t>
      </w:r>
      <w:r w:rsidRPr="0023505E">
        <w:rPr>
          <w:sz w:val="22"/>
          <w:szCs w:val="22"/>
        </w:rPr>
        <w:t xml:space="preserve"> i blisterpakning</w:t>
      </w:r>
      <w:r w:rsidR="00C84EB2">
        <w:rPr>
          <w:sz w:val="22"/>
          <w:szCs w:val="22"/>
        </w:rPr>
        <w:t>.</w:t>
      </w:r>
    </w:p>
    <w:p w14:paraId="2D7D1124" w14:textId="77777777" w:rsidR="0085027C" w:rsidRDefault="0085027C" w:rsidP="009C5EFD">
      <w:pPr>
        <w:rPr>
          <w:sz w:val="22"/>
          <w:szCs w:val="22"/>
        </w:rPr>
      </w:pPr>
    </w:p>
    <w:p w14:paraId="320754C4" w14:textId="77777777" w:rsidR="001E500F" w:rsidRPr="009C5EFD" w:rsidRDefault="00E453CD" w:rsidP="009C5EFD">
      <w:pPr>
        <w:rPr>
          <w:sz w:val="22"/>
          <w:szCs w:val="22"/>
        </w:rPr>
      </w:pPr>
      <w:r w:rsidRPr="009C5EFD">
        <w:rPr>
          <w:sz w:val="22"/>
          <w:szCs w:val="22"/>
        </w:rPr>
        <w:t xml:space="preserve">Ikke alle pakningsstørrelser </w:t>
      </w:r>
      <w:r w:rsidR="00A37C1F">
        <w:rPr>
          <w:sz w:val="22"/>
          <w:szCs w:val="22"/>
        </w:rPr>
        <w:t>vil nødvendigvis bli</w:t>
      </w:r>
      <w:r w:rsidRPr="009C5EFD">
        <w:rPr>
          <w:sz w:val="22"/>
          <w:szCs w:val="22"/>
        </w:rPr>
        <w:t xml:space="preserve"> markedsført. </w:t>
      </w:r>
    </w:p>
    <w:p w14:paraId="5E4BB001" w14:textId="77777777" w:rsidR="001E500F" w:rsidRPr="009C5EFD" w:rsidRDefault="001E500F" w:rsidP="009C5EFD">
      <w:pPr>
        <w:rPr>
          <w:sz w:val="22"/>
          <w:szCs w:val="22"/>
        </w:rPr>
      </w:pPr>
    </w:p>
    <w:p w14:paraId="18ABF72C" w14:textId="77777777" w:rsidR="001E500F" w:rsidRPr="009C5EFD" w:rsidRDefault="00E453CD" w:rsidP="00776A84">
      <w:pPr>
        <w:keepNext/>
        <w:suppressAutoHyphens/>
        <w:ind w:left="576" w:hanging="576"/>
        <w:rPr>
          <w:sz w:val="22"/>
          <w:szCs w:val="22"/>
        </w:rPr>
      </w:pPr>
      <w:r w:rsidRPr="009C5EFD">
        <w:rPr>
          <w:b/>
          <w:sz w:val="22"/>
          <w:szCs w:val="22"/>
        </w:rPr>
        <w:t>6.6</w:t>
      </w:r>
      <w:r w:rsidRPr="009C5EFD">
        <w:rPr>
          <w:b/>
          <w:sz w:val="22"/>
          <w:szCs w:val="22"/>
        </w:rPr>
        <w:tab/>
        <w:t>Spesielle forholdsregler for destruksjon</w:t>
      </w:r>
    </w:p>
    <w:p w14:paraId="1836208A" w14:textId="77777777" w:rsidR="001E500F" w:rsidRPr="009C5EFD" w:rsidRDefault="001E500F" w:rsidP="00776A84">
      <w:pPr>
        <w:keepNext/>
        <w:rPr>
          <w:sz w:val="22"/>
          <w:szCs w:val="22"/>
        </w:rPr>
      </w:pPr>
    </w:p>
    <w:p w14:paraId="6F8B0188" w14:textId="77777777" w:rsidR="001E500F" w:rsidRPr="009C5EFD" w:rsidRDefault="00E453CD" w:rsidP="009C5EFD">
      <w:pPr>
        <w:rPr>
          <w:sz w:val="22"/>
          <w:szCs w:val="22"/>
        </w:rPr>
      </w:pPr>
      <w:r w:rsidRPr="009C5EFD">
        <w:rPr>
          <w:sz w:val="22"/>
          <w:szCs w:val="22"/>
        </w:rPr>
        <w:t>Ikke anvendt legemiddel samt avfall bør destrueres i overensstemmelse med lokale krav.</w:t>
      </w:r>
    </w:p>
    <w:p w14:paraId="42C6AF79" w14:textId="77777777" w:rsidR="001E500F" w:rsidRPr="009C5EFD" w:rsidRDefault="001E500F" w:rsidP="009C5EFD">
      <w:pPr>
        <w:rPr>
          <w:sz w:val="22"/>
          <w:szCs w:val="22"/>
        </w:rPr>
      </w:pPr>
    </w:p>
    <w:p w14:paraId="5B46928B" w14:textId="77777777" w:rsidR="001E500F" w:rsidRPr="009C5EFD" w:rsidRDefault="001E500F" w:rsidP="009C5EFD">
      <w:pPr>
        <w:rPr>
          <w:sz w:val="22"/>
          <w:szCs w:val="22"/>
        </w:rPr>
      </w:pPr>
    </w:p>
    <w:p w14:paraId="3D70B351" w14:textId="77777777" w:rsidR="001E500F" w:rsidRPr="009C5EFD" w:rsidRDefault="00E453CD" w:rsidP="00776A84">
      <w:pPr>
        <w:keepNext/>
        <w:suppressAutoHyphens/>
        <w:ind w:left="567" w:hanging="567"/>
        <w:rPr>
          <w:sz w:val="22"/>
          <w:szCs w:val="22"/>
        </w:rPr>
      </w:pPr>
      <w:r w:rsidRPr="009C5EFD">
        <w:rPr>
          <w:b/>
          <w:sz w:val="22"/>
          <w:szCs w:val="22"/>
        </w:rPr>
        <w:t>7.</w:t>
      </w:r>
      <w:r w:rsidRPr="009C5EFD">
        <w:rPr>
          <w:b/>
          <w:sz w:val="22"/>
          <w:szCs w:val="22"/>
        </w:rPr>
        <w:tab/>
        <w:t>INNEHAVER AV MARKEDSFØRINGSTILLATELSEN</w:t>
      </w:r>
    </w:p>
    <w:p w14:paraId="279BF595" w14:textId="77777777" w:rsidR="001E500F" w:rsidRPr="009C5EFD" w:rsidRDefault="001E500F" w:rsidP="00776A84">
      <w:pPr>
        <w:keepNext/>
        <w:rPr>
          <w:sz w:val="22"/>
          <w:szCs w:val="22"/>
        </w:rPr>
      </w:pPr>
    </w:p>
    <w:p w14:paraId="25290FBA" w14:textId="77777777" w:rsidR="00851837" w:rsidRPr="00EF12DF" w:rsidRDefault="00E453CD" w:rsidP="00776A84">
      <w:pPr>
        <w:keepNext/>
        <w:rPr>
          <w:sz w:val="22"/>
          <w:szCs w:val="22"/>
        </w:rPr>
      </w:pPr>
      <w:r w:rsidRPr="00EF12DF">
        <w:rPr>
          <w:sz w:val="22"/>
          <w:szCs w:val="22"/>
        </w:rPr>
        <w:t>AbbVie Deutschland GmbH &amp; Co. KG</w:t>
      </w:r>
    </w:p>
    <w:p w14:paraId="334D07B2" w14:textId="77777777" w:rsidR="00851837" w:rsidRPr="00EF12DF" w:rsidRDefault="00E453CD" w:rsidP="00851837">
      <w:pPr>
        <w:rPr>
          <w:sz w:val="22"/>
          <w:szCs w:val="22"/>
        </w:rPr>
      </w:pPr>
      <w:r w:rsidRPr="00EF12DF">
        <w:rPr>
          <w:sz w:val="22"/>
          <w:szCs w:val="22"/>
        </w:rPr>
        <w:t>Knollstrasse</w:t>
      </w:r>
    </w:p>
    <w:p w14:paraId="2D2D0930" w14:textId="77777777" w:rsidR="00851837" w:rsidRPr="00EF12DF" w:rsidRDefault="00E453CD" w:rsidP="00851837">
      <w:pPr>
        <w:rPr>
          <w:sz w:val="22"/>
          <w:szCs w:val="22"/>
        </w:rPr>
      </w:pPr>
      <w:r w:rsidRPr="00EF12DF">
        <w:rPr>
          <w:sz w:val="22"/>
          <w:szCs w:val="22"/>
        </w:rPr>
        <w:t>67061 Ludwigshafen</w:t>
      </w:r>
    </w:p>
    <w:p w14:paraId="33C641E4" w14:textId="77777777" w:rsidR="00851837" w:rsidRPr="009C5EFD" w:rsidRDefault="00E453CD" w:rsidP="00851837">
      <w:pPr>
        <w:rPr>
          <w:sz w:val="22"/>
          <w:szCs w:val="22"/>
        </w:rPr>
      </w:pPr>
      <w:r>
        <w:rPr>
          <w:sz w:val="22"/>
          <w:szCs w:val="22"/>
        </w:rPr>
        <w:t>Tyskland</w:t>
      </w:r>
    </w:p>
    <w:p w14:paraId="57DA9E4B" w14:textId="77777777" w:rsidR="001E500F" w:rsidRPr="009C5EFD" w:rsidRDefault="001E500F" w:rsidP="009C5EFD">
      <w:pPr>
        <w:rPr>
          <w:sz w:val="22"/>
          <w:szCs w:val="22"/>
        </w:rPr>
      </w:pPr>
    </w:p>
    <w:p w14:paraId="78F7949C" w14:textId="77777777" w:rsidR="001E500F" w:rsidRPr="009C5EFD" w:rsidRDefault="001E500F" w:rsidP="009C5EFD">
      <w:pPr>
        <w:rPr>
          <w:sz w:val="22"/>
          <w:szCs w:val="22"/>
        </w:rPr>
      </w:pPr>
    </w:p>
    <w:p w14:paraId="4D0D1E0E" w14:textId="77777777" w:rsidR="001E500F" w:rsidRPr="009C5EFD" w:rsidRDefault="00E453CD" w:rsidP="00C77ADD">
      <w:pPr>
        <w:keepNext/>
        <w:suppressAutoHyphens/>
        <w:ind w:left="567" w:hanging="567"/>
        <w:rPr>
          <w:b/>
          <w:sz w:val="22"/>
          <w:szCs w:val="22"/>
        </w:rPr>
      </w:pPr>
      <w:r w:rsidRPr="009C5EFD">
        <w:rPr>
          <w:b/>
          <w:sz w:val="22"/>
          <w:szCs w:val="22"/>
        </w:rPr>
        <w:t>8.</w:t>
      </w:r>
      <w:r w:rsidRPr="009C5EFD">
        <w:rPr>
          <w:b/>
          <w:sz w:val="22"/>
          <w:szCs w:val="22"/>
        </w:rPr>
        <w:tab/>
        <w:t xml:space="preserve">MARKEDSFØRINGSTILLATELSESNUMMER (NUMRE) </w:t>
      </w:r>
    </w:p>
    <w:p w14:paraId="0B46E2D2" w14:textId="77777777" w:rsidR="001E500F" w:rsidRPr="009C5EFD" w:rsidRDefault="001E500F" w:rsidP="00C77ADD">
      <w:pPr>
        <w:keepNext/>
        <w:rPr>
          <w:sz w:val="22"/>
          <w:szCs w:val="22"/>
        </w:rPr>
      </w:pPr>
    </w:p>
    <w:p w14:paraId="39783CB3" w14:textId="77777777" w:rsidR="0085027C" w:rsidRPr="00787C36" w:rsidRDefault="00E453CD" w:rsidP="00776A84">
      <w:pPr>
        <w:keepNext/>
        <w:rPr>
          <w:sz w:val="22"/>
          <w:szCs w:val="22"/>
          <w:u w:val="single"/>
        </w:rPr>
      </w:pPr>
      <w:r w:rsidRPr="00787C36">
        <w:rPr>
          <w:sz w:val="22"/>
          <w:szCs w:val="22"/>
          <w:u w:val="single"/>
        </w:rPr>
        <w:t>Humira 40 mg injeksjonsvæske, oppløsning i ferdigfylt sprøyte</w:t>
      </w:r>
    </w:p>
    <w:p w14:paraId="54BD7186" w14:textId="77777777" w:rsidR="001E500F" w:rsidRPr="00C07C98" w:rsidRDefault="00E453CD" w:rsidP="00776A84">
      <w:pPr>
        <w:rPr>
          <w:sz w:val="22"/>
          <w:szCs w:val="22"/>
        </w:rPr>
      </w:pPr>
      <w:r w:rsidRPr="009C5EFD">
        <w:rPr>
          <w:sz w:val="22"/>
          <w:szCs w:val="22"/>
        </w:rPr>
        <w:t>EU/1/03/256/</w:t>
      </w:r>
      <w:r w:rsidR="00C07C98">
        <w:rPr>
          <w:sz w:val="22"/>
          <w:szCs w:val="22"/>
        </w:rPr>
        <w:t>012</w:t>
      </w:r>
    </w:p>
    <w:p w14:paraId="02B8FB00" w14:textId="77777777" w:rsidR="001E500F" w:rsidRPr="00C07C98" w:rsidRDefault="00E453CD" w:rsidP="00776A84">
      <w:pPr>
        <w:rPr>
          <w:sz w:val="22"/>
          <w:szCs w:val="22"/>
        </w:rPr>
      </w:pPr>
      <w:r w:rsidRPr="00C07C98">
        <w:rPr>
          <w:sz w:val="22"/>
          <w:szCs w:val="22"/>
        </w:rPr>
        <w:t>EU/1/03/256/</w:t>
      </w:r>
      <w:r w:rsidR="00C07C98">
        <w:rPr>
          <w:sz w:val="22"/>
          <w:szCs w:val="22"/>
        </w:rPr>
        <w:t>013</w:t>
      </w:r>
    </w:p>
    <w:p w14:paraId="0D81CFE6" w14:textId="77777777" w:rsidR="001E500F" w:rsidRPr="00C07C98" w:rsidRDefault="00E453CD" w:rsidP="00776A84">
      <w:pPr>
        <w:rPr>
          <w:sz w:val="22"/>
          <w:szCs w:val="22"/>
        </w:rPr>
      </w:pPr>
      <w:r w:rsidRPr="00C07C98">
        <w:rPr>
          <w:sz w:val="22"/>
          <w:szCs w:val="22"/>
        </w:rPr>
        <w:t>EU/1/03/256/</w:t>
      </w:r>
      <w:r w:rsidR="00C07C98">
        <w:rPr>
          <w:sz w:val="22"/>
          <w:szCs w:val="22"/>
        </w:rPr>
        <w:t>014</w:t>
      </w:r>
    </w:p>
    <w:p w14:paraId="48115411" w14:textId="77777777" w:rsidR="001E500F" w:rsidRPr="00690BF3" w:rsidRDefault="00E453CD" w:rsidP="00776A84">
      <w:pPr>
        <w:rPr>
          <w:sz w:val="22"/>
          <w:szCs w:val="22"/>
        </w:rPr>
      </w:pPr>
      <w:r w:rsidRPr="00690BF3">
        <w:rPr>
          <w:sz w:val="22"/>
          <w:szCs w:val="22"/>
        </w:rPr>
        <w:t>EU/1/03/256/</w:t>
      </w:r>
      <w:r w:rsidR="00C07C98" w:rsidRPr="00690BF3">
        <w:rPr>
          <w:sz w:val="22"/>
          <w:szCs w:val="22"/>
        </w:rPr>
        <w:t>015</w:t>
      </w:r>
    </w:p>
    <w:p w14:paraId="5BD2F2C8" w14:textId="77777777" w:rsidR="0085027C" w:rsidRPr="00690BF3" w:rsidRDefault="0085027C" w:rsidP="00776A84">
      <w:pPr>
        <w:rPr>
          <w:sz w:val="22"/>
          <w:szCs w:val="22"/>
        </w:rPr>
      </w:pPr>
    </w:p>
    <w:p w14:paraId="46B8BDFE" w14:textId="77777777" w:rsidR="0085027C" w:rsidRPr="00690BF3" w:rsidRDefault="00E453CD" w:rsidP="00776A84">
      <w:pPr>
        <w:keepNext/>
        <w:rPr>
          <w:u w:val="single"/>
        </w:rPr>
      </w:pPr>
      <w:r w:rsidRPr="00690BF3">
        <w:rPr>
          <w:sz w:val="22"/>
          <w:szCs w:val="22"/>
          <w:u w:val="single"/>
        </w:rPr>
        <w:t>Humira 40 mg injeksjonsvæske, oppløsning i ferdigfylt penn</w:t>
      </w:r>
    </w:p>
    <w:p w14:paraId="385DA339" w14:textId="77777777" w:rsidR="0085027C" w:rsidRPr="00690BF3" w:rsidRDefault="00E453CD" w:rsidP="0085027C">
      <w:pPr>
        <w:pStyle w:val="EMEANormal"/>
        <w:rPr>
          <w:lang w:val="nb-NO"/>
        </w:rPr>
      </w:pPr>
      <w:r w:rsidRPr="00690BF3">
        <w:rPr>
          <w:lang w:val="nb-NO"/>
        </w:rPr>
        <w:t>EU/1/03/256/016</w:t>
      </w:r>
    </w:p>
    <w:p w14:paraId="7B4B9566" w14:textId="77777777" w:rsidR="0085027C" w:rsidRPr="00690BF3" w:rsidRDefault="00E453CD" w:rsidP="0085027C">
      <w:pPr>
        <w:pStyle w:val="EMEANormal"/>
        <w:rPr>
          <w:lang w:val="nb-NO"/>
        </w:rPr>
      </w:pPr>
      <w:r w:rsidRPr="00690BF3">
        <w:rPr>
          <w:lang w:val="nb-NO"/>
        </w:rPr>
        <w:t>EU/1/03/256/017</w:t>
      </w:r>
    </w:p>
    <w:p w14:paraId="1DAF6623" w14:textId="77777777" w:rsidR="0085027C" w:rsidRPr="00690BF3" w:rsidRDefault="00E453CD" w:rsidP="0085027C">
      <w:pPr>
        <w:pStyle w:val="EMEANormal"/>
        <w:rPr>
          <w:lang w:val="nb-NO"/>
        </w:rPr>
      </w:pPr>
      <w:r w:rsidRPr="00690BF3">
        <w:rPr>
          <w:lang w:val="nb-NO"/>
        </w:rPr>
        <w:t>EU/1/03/256/018</w:t>
      </w:r>
    </w:p>
    <w:p w14:paraId="6CEE1EC2" w14:textId="77777777" w:rsidR="0085027C" w:rsidRPr="00690BF3" w:rsidRDefault="00E453CD" w:rsidP="00776A84">
      <w:pPr>
        <w:rPr>
          <w:sz w:val="22"/>
          <w:szCs w:val="22"/>
        </w:rPr>
      </w:pPr>
      <w:r w:rsidRPr="00690BF3">
        <w:rPr>
          <w:sz w:val="22"/>
          <w:szCs w:val="22"/>
        </w:rPr>
        <w:t>EU/1/03/256/019</w:t>
      </w:r>
    </w:p>
    <w:p w14:paraId="061EF4B6" w14:textId="77777777" w:rsidR="001E500F" w:rsidRPr="00690BF3" w:rsidRDefault="001E500F" w:rsidP="009C5EFD">
      <w:pPr>
        <w:rPr>
          <w:sz w:val="22"/>
          <w:szCs w:val="22"/>
        </w:rPr>
      </w:pPr>
    </w:p>
    <w:p w14:paraId="6C9EA3E2" w14:textId="77777777" w:rsidR="001E500F" w:rsidRPr="00690BF3" w:rsidRDefault="001E500F" w:rsidP="009C5EFD">
      <w:pPr>
        <w:rPr>
          <w:sz w:val="22"/>
          <w:szCs w:val="22"/>
        </w:rPr>
      </w:pPr>
    </w:p>
    <w:p w14:paraId="1D021708" w14:textId="77777777" w:rsidR="001E500F" w:rsidRPr="009C5EFD" w:rsidRDefault="00E453CD" w:rsidP="00776A84">
      <w:pPr>
        <w:keepNext/>
        <w:suppressAutoHyphens/>
        <w:ind w:left="567" w:hanging="567"/>
        <w:rPr>
          <w:b/>
          <w:sz w:val="22"/>
          <w:szCs w:val="22"/>
        </w:rPr>
      </w:pPr>
      <w:r w:rsidRPr="009C5EFD">
        <w:rPr>
          <w:b/>
          <w:sz w:val="22"/>
          <w:szCs w:val="22"/>
        </w:rPr>
        <w:t>9.</w:t>
      </w:r>
      <w:r w:rsidRPr="009C5EFD">
        <w:rPr>
          <w:b/>
          <w:sz w:val="22"/>
          <w:szCs w:val="22"/>
        </w:rPr>
        <w:tab/>
        <w:t>DATO FOR FØRSTE MARKEDSFØRINGSTILLATELSE/SISTE FORNYELSE</w:t>
      </w:r>
    </w:p>
    <w:p w14:paraId="743A402E" w14:textId="77777777" w:rsidR="001E500F" w:rsidRPr="009C5EFD" w:rsidRDefault="001E500F" w:rsidP="00776A84">
      <w:pPr>
        <w:keepNext/>
        <w:rPr>
          <w:sz w:val="22"/>
          <w:szCs w:val="22"/>
        </w:rPr>
      </w:pPr>
    </w:p>
    <w:p w14:paraId="79BD2057" w14:textId="77777777" w:rsidR="001E500F" w:rsidRPr="009C5EFD" w:rsidRDefault="00E453CD" w:rsidP="009C5EFD">
      <w:pPr>
        <w:rPr>
          <w:sz w:val="22"/>
          <w:szCs w:val="22"/>
        </w:rPr>
      </w:pPr>
      <w:r w:rsidRPr="009C5EFD">
        <w:rPr>
          <w:sz w:val="22"/>
          <w:szCs w:val="22"/>
        </w:rPr>
        <w:t>Dato for første markedsføringstillatelse: 8. september 2003</w:t>
      </w:r>
    </w:p>
    <w:p w14:paraId="678E9EB7" w14:textId="77777777" w:rsidR="001E500F" w:rsidRPr="009C5EFD" w:rsidRDefault="00E453CD" w:rsidP="009C5EFD">
      <w:pPr>
        <w:rPr>
          <w:sz w:val="22"/>
          <w:szCs w:val="22"/>
        </w:rPr>
      </w:pPr>
      <w:r w:rsidRPr="009C5EFD">
        <w:rPr>
          <w:sz w:val="22"/>
          <w:szCs w:val="22"/>
        </w:rPr>
        <w:t>Dato for siste fornyelse: 8. september 2008</w:t>
      </w:r>
    </w:p>
    <w:p w14:paraId="656BCF16" w14:textId="77777777" w:rsidR="001E500F" w:rsidRPr="009C5EFD" w:rsidRDefault="001E500F" w:rsidP="009C5EFD">
      <w:pPr>
        <w:rPr>
          <w:sz w:val="22"/>
          <w:szCs w:val="22"/>
        </w:rPr>
      </w:pPr>
    </w:p>
    <w:p w14:paraId="73F45B73" w14:textId="77777777" w:rsidR="001E500F" w:rsidRPr="009C5EFD" w:rsidRDefault="001E500F" w:rsidP="009C5EFD">
      <w:pPr>
        <w:rPr>
          <w:sz w:val="22"/>
          <w:szCs w:val="22"/>
        </w:rPr>
      </w:pPr>
    </w:p>
    <w:p w14:paraId="00655087" w14:textId="77777777" w:rsidR="001E500F" w:rsidRPr="009C5EFD" w:rsidRDefault="00E453CD" w:rsidP="0083562D">
      <w:pPr>
        <w:keepNext/>
        <w:suppressAutoHyphens/>
        <w:ind w:left="567" w:hanging="567"/>
        <w:rPr>
          <w:b/>
          <w:sz w:val="22"/>
          <w:szCs w:val="22"/>
        </w:rPr>
      </w:pPr>
      <w:r w:rsidRPr="009C5EFD">
        <w:rPr>
          <w:b/>
          <w:sz w:val="22"/>
          <w:szCs w:val="22"/>
        </w:rPr>
        <w:t>10.</w:t>
      </w:r>
      <w:r w:rsidRPr="009C5EFD">
        <w:rPr>
          <w:b/>
          <w:sz w:val="22"/>
          <w:szCs w:val="22"/>
        </w:rPr>
        <w:tab/>
        <w:t>OPPDATERINGSDATO</w:t>
      </w:r>
    </w:p>
    <w:p w14:paraId="49CF075C" w14:textId="77777777" w:rsidR="001E500F" w:rsidRPr="00D968A3" w:rsidRDefault="001E500F" w:rsidP="0083562D">
      <w:pPr>
        <w:keepNext/>
        <w:suppressAutoHyphens/>
        <w:rPr>
          <w:sz w:val="22"/>
          <w:szCs w:val="22"/>
        </w:rPr>
      </w:pPr>
    </w:p>
    <w:p w14:paraId="4C944F5B" w14:textId="40D64BEB" w:rsidR="00C11B06" w:rsidRPr="009C5EFD" w:rsidRDefault="00E453CD" w:rsidP="00776A84">
      <w:pPr>
        <w:suppressAutoHyphens/>
        <w:rPr>
          <w:sz w:val="22"/>
        </w:rPr>
      </w:pPr>
      <w:r w:rsidRPr="009C5EFD">
        <w:rPr>
          <w:sz w:val="22"/>
        </w:rPr>
        <w:t>Detaljert informasjon om dette legemidlet er tilgjengelig på nettstedet til Det europeiske legemiddelkontoret (</w:t>
      </w:r>
      <w:r w:rsidR="001D434C">
        <w:rPr>
          <w:sz w:val="22"/>
        </w:rPr>
        <w:t>t</w:t>
      </w:r>
      <w:r w:rsidRPr="009C5EFD">
        <w:rPr>
          <w:sz w:val="22"/>
        </w:rPr>
        <w:t xml:space="preserve">he European Medicines Agency) </w:t>
      </w:r>
      <w:ins w:id="11584" w:author="AbbVie02no" w:date="2025-05-19T12:59:00Z">
        <w:r w:rsidR="00095E5A" w:rsidRPr="00090EDA">
          <w:rPr>
            <w:rStyle w:val="Hyperlink"/>
            <w:rPrChange w:id="11585" w:author="AbbVie04no" w:date="2025-09-09T10:19:00Z" w16du:dateUtc="2025-09-09T08:19:00Z">
              <w:rPr>
                <w:sz w:val="22"/>
              </w:rPr>
            </w:rPrChange>
          </w:rPr>
          <w:fldChar w:fldCharType="begin"/>
        </w:r>
        <w:r w:rsidR="00095E5A" w:rsidRPr="00090EDA">
          <w:rPr>
            <w:rStyle w:val="Hyperlink"/>
            <w:rPrChange w:id="11586" w:author="AbbVie04no" w:date="2025-09-09T10:19:00Z" w16du:dateUtc="2025-09-09T08:19:00Z">
              <w:rPr>
                <w:sz w:val="22"/>
              </w:rPr>
            </w:rPrChange>
          </w:rPr>
          <w:instrText>HYPERLINK "</w:instrText>
        </w:r>
      </w:ins>
      <w:r w:rsidR="00095E5A" w:rsidRPr="00090EDA">
        <w:rPr>
          <w:rStyle w:val="Hyperlink"/>
          <w:rPrChange w:id="11587" w:author="AbbVie04no" w:date="2025-09-09T10:19:00Z" w16du:dateUtc="2025-09-09T08:19:00Z">
            <w:rPr>
              <w:sz w:val="22"/>
            </w:rPr>
          </w:rPrChange>
        </w:rPr>
        <w:instrText>http</w:instrText>
      </w:r>
      <w:ins w:id="11588" w:author="AbbVie02no" w:date="2025-05-15T12:59:00Z">
        <w:r w:rsidR="00095E5A" w:rsidRPr="00090EDA">
          <w:rPr>
            <w:rStyle w:val="Hyperlink"/>
            <w:rPrChange w:id="11589" w:author="AbbVie04no" w:date="2025-09-09T10:19:00Z" w16du:dateUtc="2025-09-09T08:19:00Z">
              <w:rPr>
                <w:sz w:val="22"/>
              </w:rPr>
            </w:rPrChange>
          </w:rPr>
          <w:instrText>s</w:instrText>
        </w:r>
      </w:ins>
      <w:r w:rsidR="00095E5A" w:rsidRPr="00090EDA">
        <w:rPr>
          <w:rStyle w:val="Hyperlink"/>
          <w:rPrChange w:id="11590" w:author="AbbVie04no" w:date="2025-09-09T10:19:00Z" w16du:dateUtc="2025-09-09T08:19:00Z">
            <w:rPr>
              <w:sz w:val="22"/>
            </w:rPr>
          </w:rPrChange>
        </w:rPr>
        <w:instrText>://www.ema.europa.eu</w:instrText>
      </w:r>
      <w:ins w:id="11591" w:author="AbbVie02no" w:date="2025-05-19T12:59:00Z">
        <w:r w:rsidR="00095E5A" w:rsidRPr="00090EDA">
          <w:rPr>
            <w:rStyle w:val="Hyperlink"/>
            <w:rPrChange w:id="11592" w:author="AbbVie04no" w:date="2025-09-09T10:19:00Z" w16du:dateUtc="2025-09-09T08:19:00Z">
              <w:rPr>
                <w:sz w:val="22"/>
              </w:rPr>
            </w:rPrChange>
          </w:rPr>
          <w:instrText>"</w:instrText>
        </w:r>
        <w:r w:rsidR="00095E5A" w:rsidRPr="007A5E91">
          <w:rPr>
            <w:rStyle w:val="Hyperlink"/>
          </w:rPr>
        </w:r>
        <w:r w:rsidR="00095E5A" w:rsidRPr="00090EDA">
          <w:rPr>
            <w:rStyle w:val="Hyperlink"/>
            <w:rPrChange w:id="11593" w:author="AbbVie04no" w:date="2025-09-09T10:19:00Z" w16du:dateUtc="2025-09-09T08:19:00Z">
              <w:rPr>
                <w:sz w:val="22"/>
              </w:rPr>
            </w:rPrChange>
          </w:rPr>
          <w:fldChar w:fldCharType="separate"/>
        </w:r>
      </w:ins>
      <w:r w:rsidR="00095E5A" w:rsidRPr="00D250E6">
        <w:rPr>
          <w:rStyle w:val="Hyperlink"/>
          <w:sz w:val="22"/>
        </w:rPr>
        <w:t>http</w:t>
      </w:r>
      <w:ins w:id="11594" w:author="AbbVie02no" w:date="2025-05-15T12:59:00Z">
        <w:r w:rsidR="00095E5A" w:rsidRPr="00D250E6">
          <w:rPr>
            <w:rStyle w:val="Hyperlink"/>
            <w:sz w:val="22"/>
          </w:rPr>
          <w:t>s</w:t>
        </w:r>
      </w:ins>
      <w:r w:rsidR="00095E5A" w:rsidRPr="00D250E6">
        <w:rPr>
          <w:rStyle w:val="Hyperlink"/>
          <w:sz w:val="22"/>
        </w:rPr>
        <w:t>://www.ema.europa.eu</w:t>
      </w:r>
      <w:ins w:id="11595" w:author="AbbVie02no" w:date="2025-05-19T12:59:00Z">
        <w:r w:rsidR="00095E5A" w:rsidRPr="00090EDA">
          <w:rPr>
            <w:rStyle w:val="Hyperlink"/>
            <w:rPrChange w:id="11596" w:author="AbbVie04no" w:date="2025-09-09T10:19:00Z" w16du:dateUtc="2025-09-09T08:19:00Z">
              <w:rPr>
                <w:sz w:val="22"/>
              </w:rPr>
            </w:rPrChange>
          </w:rPr>
          <w:fldChar w:fldCharType="end"/>
        </w:r>
      </w:ins>
      <w:r w:rsidRPr="009C5EFD">
        <w:rPr>
          <w:sz w:val="22"/>
        </w:rPr>
        <w:t>.</w:t>
      </w:r>
    </w:p>
    <w:p w14:paraId="6DF271C8" w14:textId="77777777" w:rsidR="001E500F" w:rsidRPr="009C5EFD" w:rsidRDefault="001E500F" w:rsidP="00776A84"/>
    <w:p w14:paraId="0903FB4C" w14:textId="77777777" w:rsidR="001E500F" w:rsidRPr="009C5EFD" w:rsidRDefault="001E500F" w:rsidP="009C5EFD"/>
    <w:p w14:paraId="78CC4CFA" w14:textId="77777777" w:rsidR="009E676E" w:rsidRDefault="00E453CD">
      <w:pPr>
        <w:rPr>
          <w:b/>
          <w:sz w:val="22"/>
          <w:szCs w:val="22"/>
        </w:rPr>
      </w:pPr>
      <w:r>
        <w:rPr>
          <w:b/>
          <w:sz w:val="22"/>
          <w:szCs w:val="22"/>
        </w:rPr>
        <w:br w:type="page"/>
      </w:r>
    </w:p>
    <w:p w14:paraId="50B1FFC4" w14:textId="77777777" w:rsidR="009E676E" w:rsidRPr="009C5EFD" w:rsidRDefault="00E453CD" w:rsidP="00776A84">
      <w:pPr>
        <w:keepNext/>
        <w:suppressAutoHyphens/>
        <w:ind w:left="562" w:hanging="562"/>
        <w:rPr>
          <w:sz w:val="22"/>
          <w:szCs w:val="22"/>
        </w:rPr>
      </w:pPr>
      <w:r w:rsidRPr="009C5EFD">
        <w:rPr>
          <w:b/>
          <w:sz w:val="22"/>
          <w:szCs w:val="22"/>
        </w:rPr>
        <w:lastRenderedPageBreak/>
        <w:t>1.</w:t>
      </w:r>
      <w:r w:rsidRPr="009C5EFD">
        <w:rPr>
          <w:b/>
          <w:sz w:val="22"/>
          <w:szCs w:val="22"/>
        </w:rPr>
        <w:tab/>
        <w:t>LEGEMIDLETS NAVN</w:t>
      </w:r>
    </w:p>
    <w:p w14:paraId="57ADE03D" w14:textId="77777777" w:rsidR="009E676E" w:rsidRPr="009C5EFD" w:rsidRDefault="009E676E" w:rsidP="00776A84">
      <w:pPr>
        <w:keepNext/>
        <w:suppressAutoHyphens/>
        <w:rPr>
          <w:sz w:val="22"/>
          <w:szCs w:val="22"/>
        </w:rPr>
      </w:pPr>
    </w:p>
    <w:p w14:paraId="44805C6D" w14:textId="77777777" w:rsidR="009E676E" w:rsidRDefault="00E453CD" w:rsidP="009E676E">
      <w:pPr>
        <w:suppressAutoHyphens/>
        <w:rPr>
          <w:sz w:val="22"/>
          <w:szCs w:val="22"/>
        </w:rPr>
      </w:pPr>
      <w:r w:rsidRPr="009C5EFD">
        <w:rPr>
          <w:sz w:val="22"/>
          <w:szCs w:val="22"/>
        </w:rPr>
        <w:t xml:space="preserve">Humira </w:t>
      </w:r>
      <w:r w:rsidR="00F6749A">
        <w:rPr>
          <w:sz w:val="22"/>
          <w:szCs w:val="22"/>
        </w:rPr>
        <w:t>8</w:t>
      </w:r>
      <w:r w:rsidRPr="009C5EFD">
        <w:rPr>
          <w:sz w:val="22"/>
          <w:szCs w:val="22"/>
        </w:rPr>
        <w:t>0 mg injeksjonsvæske, oppløsning i ferdigfylt sprøyte</w:t>
      </w:r>
    </w:p>
    <w:p w14:paraId="0B669A64" w14:textId="77777777" w:rsidR="00105380" w:rsidRPr="009C5EFD" w:rsidRDefault="00E453CD" w:rsidP="009E676E">
      <w:pPr>
        <w:suppressAutoHyphens/>
        <w:rPr>
          <w:sz w:val="22"/>
          <w:szCs w:val="22"/>
        </w:rPr>
      </w:pPr>
      <w:r>
        <w:rPr>
          <w:sz w:val="22"/>
          <w:szCs w:val="22"/>
        </w:rPr>
        <w:t>Humira 80 mg injeksjonsvæske, oppløsning i ferdigfylt penn</w:t>
      </w:r>
    </w:p>
    <w:p w14:paraId="7A3DAB2B" w14:textId="77777777" w:rsidR="009E676E" w:rsidRPr="009C5EFD" w:rsidRDefault="009E676E" w:rsidP="009E676E">
      <w:pPr>
        <w:suppressAutoHyphens/>
        <w:rPr>
          <w:sz w:val="22"/>
          <w:szCs w:val="22"/>
        </w:rPr>
      </w:pPr>
    </w:p>
    <w:p w14:paraId="2ADC7D58" w14:textId="77777777" w:rsidR="009E676E" w:rsidRPr="009C5EFD" w:rsidRDefault="009E676E" w:rsidP="009E676E">
      <w:pPr>
        <w:tabs>
          <w:tab w:val="left" w:pos="-720"/>
        </w:tabs>
        <w:suppressAutoHyphens/>
        <w:rPr>
          <w:sz w:val="22"/>
          <w:szCs w:val="22"/>
        </w:rPr>
      </w:pPr>
    </w:p>
    <w:p w14:paraId="67C16206" w14:textId="77777777" w:rsidR="009E676E" w:rsidRPr="009C5EFD" w:rsidRDefault="00E453CD" w:rsidP="00776A84">
      <w:pPr>
        <w:keepNext/>
        <w:suppressAutoHyphens/>
        <w:ind w:left="567" w:hanging="567"/>
        <w:rPr>
          <w:sz w:val="22"/>
          <w:szCs w:val="22"/>
        </w:rPr>
      </w:pPr>
      <w:r w:rsidRPr="009C5EFD">
        <w:rPr>
          <w:b/>
          <w:sz w:val="22"/>
          <w:szCs w:val="22"/>
        </w:rPr>
        <w:t>2.</w:t>
      </w:r>
      <w:r w:rsidRPr="009C5EFD">
        <w:rPr>
          <w:b/>
          <w:sz w:val="22"/>
          <w:szCs w:val="22"/>
        </w:rPr>
        <w:tab/>
        <w:t>KVALITATIV OG KVANTITATIV SAMMENSETNING</w:t>
      </w:r>
    </w:p>
    <w:p w14:paraId="00DA5DD8" w14:textId="77777777" w:rsidR="009E676E" w:rsidRDefault="009E676E" w:rsidP="00776A84">
      <w:pPr>
        <w:keepNext/>
        <w:rPr>
          <w:sz w:val="22"/>
          <w:szCs w:val="22"/>
        </w:rPr>
      </w:pPr>
    </w:p>
    <w:p w14:paraId="544EDCE4" w14:textId="77777777" w:rsidR="00FF24D4" w:rsidRDefault="00E453CD" w:rsidP="00776A84">
      <w:pPr>
        <w:keepNext/>
        <w:rPr>
          <w:sz w:val="22"/>
          <w:szCs w:val="22"/>
          <w:u w:val="single"/>
        </w:rPr>
      </w:pPr>
      <w:r>
        <w:rPr>
          <w:sz w:val="22"/>
          <w:szCs w:val="22"/>
          <w:u w:val="single"/>
        </w:rPr>
        <w:t>Humira 80 </w:t>
      </w:r>
      <w:r w:rsidRPr="007A3AEF">
        <w:rPr>
          <w:sz w:val="22"/>
          <w:szCs w:val="22"/>
          <w:u w:val="single"/>
        </w:rPr>
        <w:t xml:space="preserve">mg injeksjonsvæske, oppløsning i ferdigfylt </w:t>
      </w:r>
      <w:r>
        <w:rPr>
          <w:sz w:val="22"/>
          <w:szCs w:val="22"/>
          <w:u w:val="single"/>
        </w:rPr>
        <w:t>sprøyte</w:t>
      </w:r>
    </w:p>
    <w:p w14:paraId="707D0439" w14:textId="77777777" w:rsidR="009E676E" w:rsidRDefault="00E453CD" w:rsidP="009E676E">
      <w:pPr>
        <w:rPr>
          <w:sz w:val="22"/>
          <w:szCs w:val="22"/>
        </w:rPr>
      </w:pPr>
      <w:r w:rsidRPr="009C5EFD">
        <w:rPr>
          <w:sz w:val="22"/>
          <w:szCs w:val="22"/>
        </w:rPr>
        <w:t xml:space="preserve">Hver 0,8 ml endose ferdigfylt sprøyte inneholder </w:t>
      </w:r>
      <w:r w:rsidR="00F6749A">
        <w:rPr>
          <w:sz w:val="22"/>
          <w:szCs w:val="22"/>
        </w:rPr>
        <w:t>8</w:t>
      </w:r>
      <w:r w:rsidRPr="009C5EFD">
        <w:rPr>
          <w:sz w:val="22"/>
          <w:szCs w:val="22"/>
        </w:rPr>
        <w:t>0 mg adalimumab.</w:t>
      </w:r>
    </w:p>
    <w:p w14:paraId="0717EB82" w14:textId="77777777" w:rsidR="00B6612A" w:rsidRDefault="00B6612A" w:rsidP="009E676E">
      <w:pPr>
        <w:rPr>
          <w:sz w:val="22"/>
          <w:szCs w:val="22"/>
        </w:rPr>
      </w:pPr>
    </w:p>
    <w:p w14:paraId="3BB283D0" w14:textId="77777777" w:rsidR="00105380" w:rsidRPr="007A3AEF" w:rsidRDefault="00E453CD" w:rsidP="00776A84">
      <w:pPr>
        <w:keepNext/>
        <w:suppressAutoHyphens/>
        <w:rPr>
          <w:sz w:val="22"/>
          <w:szCs w:val="22"/>
          <w:u w:val="single"/>
        </w:rPr>
      </w:pPr>
      <w:r>
        <w:rPr>
          <w:sz w:val="22"/>
          <w:szCs w:val="22"/>
          <w:u w:val="single"/>
        </w:rPr>
        <w:t>Humira 80 </w:t>
      </w:r>
      <w:r w:rsidRPr="007A3AEF">
        <w:rPr>
          <w:sz w:val="22"/>
          <w:szCs w:val="22"/>
          <w:u w:val="single"/>
        </w:rPr>
        <w:t>mg injeksjonsvæske, oppløsning i ferdigfylt penn</w:t>
      </w:r>
    </w:p>
    <w:p w14:paraId="4A779522" w14:textId="77777777" w:rsidR="00105380" w:rsidRPr="009C5EFD" w:rsidRDefault="00E453CD" w:rsidP="009E676E">
      <w:pPr>
        <w:rPr>
          <w:sz w:val="22"/>
          <w:szCs w:val="22"/>
        </w:rPr>
      </w:pPr>
      <w:r>
        <w:rPr>
          <w:sz w:val="22"/>
          <w:szCs w:val="22"/>
        </w:rPr>
        <w:t>Hver 0,8 </w:t>
      </w:r>
      <w:r w:rsidRPr="009C5EFD">
        <w:rPr>
          <w:sz w:val="22"/>
          <w:szCs w:val="22"/>
        </w:rPr>
        <w:t>ml end</w:t>
      </w:r>
      <w:r>
        <w:rPr>
          <w:sz w:val="22"/>
          <w:szCs w:val="22"/>
        </w:rPr>
        <w:t>ose ferdigfylt penn inneholder 8</w:t>
      </w:r>
      <w:r w:rsidRPr="009C5EFD">
        <w:rPr>
          <w:sz w:val="22"/>
          <w:szCs w:val="22"/>
        </w:rPr>
        <w:t>0</w:t>
      </w:r>
      <w:r>
        <w:rPr>
          <w:sz w:val="22"/>
          <w:szCs w:val="22"/>
        </w:rPr>
        <w:t> </w:t>
      </w:r>
      <w:r w:rsidRPr="009C5EFD">
        <w:rPr>
          <w:sz w:val="22"/>
          <w:szCs w:val="22"/>
        </w:rPr>
        <w:t>mg adalimumab.</w:t>
      </w:r>
    </w:p>
    <w:p w14:paraId="68A119A2" w14:textId="77777777" w:rsidR="009E676E" w:rsidRPr="009C5EFD" w:rsidRDefault="009E676E" w:rsidP="009E676E">
      <w:pPr>
        <w:pStyle w:val="EndnoteText"/>
        <w:widowControl/>
        <w:tabs>
          <w:tab w:val="clear" w:pos="567"/>
        </w:tabs>
        <w:rPr>
          <w:szCs w:val="22"/>
          <w:lang w:val="nb-NO"/>
        </w:rPr>
      </w:pPr>
    </w:p>
    <w:p w14:paraId="0761455B" w14:textId="77777777" w:rsidR="009E676E" w:rsidRDefault="00E453CD" w:rsidP="009E676E">
      <w:pPr>
        <w:rPr>
          <w:ins w:id="11597" w:author="AbbVie02no" w:date="2025-05-15T12:57:00Z"/>
          <w:sz w:val="22"/>
          <w:szCs w:val="22"/>
        </w:rPr>
      </w:pPr>
      <w:r w:rsidRPr="009C5EFD">
        <w:rPr>
          <w:sz w:val="22"/>
          <w:szCs w:val="22"/>
        </w:rPr>
        <w:t xml:space="preserve">Adalimumab er et rekombinant humant monoklonalt antistoff </w:t>
      </w:r>
      <w:r w:rsidR="000259CC">
        <w:rPr>
          <w:sz w:val="22"/>
          <w:szCs w:val="22"/>
        </w:rPr>
        <w:t>produsert</w:t>
      </w:r>
      <w:r w:rsidR="008138BF">
        <w:rPr>
          <w:sz w:val="22"/>
          <w:szCs w:val="22"/>
        </w:rPr>
        <w:t xml:space="preserve"> </w:t>
      </w:r>
      <w:r w:rsidRPr="009C5EFD">
        <w:rPr>
          <w:sz w:val="22"/>
          <w:szCs w:val="22"/>
        </w:rPr>
        <w:t>i ovarieceller fra kinesisk hamster.</w:t>
      </w:r>
    </w:p>
    <w:p w14:paraId="6E14D5BE" w14:textId="77777777" w:rsidR="002C554D" w:rsidRDefault="002C554D" w:rsidP="009E676E">
      <w:pPr>
        <w:rPr>
          <w:ins w:id="11598" w:author="AbbVie02no" w:date="2025-05-15T12:57:00Z"/>
          <w:sz w:val="22"/>
          <w:szCs w:val="22"/>
        </w:rPr>
      </w:pPr>
    </w:p>
    <w:p w14:paraId="0FF81248" w14:textId="53A58EBB" w:rsidR="002C554D" w:rsidRDefault="00E453CD" w:rsidP="009E676E">
      <w:pPr>
        <w:rPr>
          <w:ins w:id="11599" w:author="AbbVie02no" w:date="2025-05-15T12:58:00Z"/>
          <w:sz w:val="22"/>
          <w:szCs w:val="22"/>
          <w:u w:val="single"/>
        </w:rPr>
      </w:pPr>
      <w:ins w:id="11600" w:author="AbbVie02no" w:date="2025-05-15T12:57:00Z">
        <w:r w:rsidRPr="002C554D">
          <w:rPr>
            <w:sz w:val="22"/>
            <w:szCs w:val="22"/>
            <w:u w:val="single"/>
            <w:rPrChange w:id="11601" w:author="AbbVie02no" w:date="2025-05-15T12:58:00Z">
              <w:rPr>
                <w:sz w:val="22"/>
                <w:szCs w:val="22"/>
              </w:rPr>
            </w:rPrChange>
          </w:rPr>
          <w:t>Hjelp</w:t>
        </w:r>
      </w:ins>
      <w:ins w:id="11602" w:author="AbbVie02no" w:date="2025-05-15T12:58:00Z">
        <w:r w:rsidRPr="002C554D">
          <w:rPr>
            <w:sz w:val="22"/>
            <w:szCs w:val="22"/>
            <w:u w:val="single"/>
            <w:rPrChange w:id="11603" w:author="AbbVie02no" w:date="2025-05-15T12:58:00Z">
              <w:rPr>
                <w:sz w:val="22"/>
                <w:szCs w:val="22"/>
              </w:rPr>
            </w:rPrChange>
          </w:rPr>
          <w:t>estoffer med kjent effekt</w:t>
        </w:r>
      </w:ins>
    </w:p>
    <w:p w14:paraId="377C70CB" w14:textId="77777777" w:rsidR="002C554D" w:rsidRDefault="002C554D" w:rsidP="009E676E">
      <w:pPr>
        <w:rPr>
          <w:ins w:id="11604" w:author="AbbVie02no" w:date="2025-05-15T12:58:00Z"/>
          <w:sz w:val="22"/>
          <w:szCs w:val="22"/>
          <w:u w:val="single"/>
        </w:rPr>
      </w:pPr>
    </w:p>
    <w:p w14:paraId="5291655F" w14:textId="5965EDEC" w:rsidR="002C554D" w:rsidRDefault="00E453CD" w:rsidP="009E676E">
      <w:pPr>
        <w:rPr>
          <w:ins w:id="11605" w:author="AbbVie02no" w:date="2025-05-15T12:58:00Z"/>
          <w:sz w:val="22"/>
          <w:szCs w:val="22"/>
        </w:rPr>
      </w:pPr>
      <w:ins w:id="11606" w:author="AbbVie02no" w:date="2025-05-15T12:58:00Z">
        <w:r>
          <w:rPr>
            <w:sz w:val="22"/>
            <w:szCs w:val="22"/>
          </w:rPr>
          <w:t>Dette legemidlet inneholder 0,</w:t>
        </w:r>
      </w:ins>
      <w:ins w:id="11607" w:author="AbbVie02no" w:date="2025-05-15T13:49:00Z">
        <w:r w:rsidR="004B57B4">
          <w:rPr>
            <w:sz w:val="22"/>
            <w:szCs w:val="22"/>
          </w:rPr>
          <w:t>8</w:t>
        </w:r>
      </w:ins>
      <w:ins w:id="11608" w:author="AbbVie02no" w:date="2025-05-15T12:58:00Z">
        <w:r>
          <w:rPr>
            <w:sz w:val="22"/>
            <w:szCs w:val="22"/>
          </w:rPr>
          <w:t xml:space="preserve"> mg polysorbat 80 i hver </w:t>
        </w:r>
      </w:ins>
      <w:ins w:id="11609" w:author="AbbVie02no" w:date="2025-05-15T13:49:00Z">
        <w:r w:rsidR="004B57B4">
          <w:rPr>
            <w:sz w:val="22"/>
            <w:szCs w:val="22"/>
          </w:rPr>
          <w:t>8</w:t>
        </w:r>
      </w:ins>
      <w:ins w:id="11610" w:author="AbbVie02no" w:date="2025-05-15T12:58:00Z">
        <w:r>
          <w:rPr>
            <w:sz w:val="22"/>
            <w:szCs w:val="22"/>
          </w:rPr>
          <w:t xml:space="preserve">0 mg dose. </w:t>
        </w:r>
      </w:ins>
    </w:p>
    <w:p w14:paraId="21EF37E0" w14:textId="77777777" w:rsidR="002C554D" w:rsidRPr="002C554D" w:rsidRDefault="002C554D" w:rsidP="009E676E">
      <w:pPr>
        <w:rPr>
          <w:sz w:val="22"/>
          <w:szCs w:val="22"/>
        </w:rPr>
      </w:pPr>
    </w:p>
    <w:p w14:paraId="39AE5DF2" w14:textId="77777777" w:rsidR="009E676E" w:rsidRPr="009C5EFD" w:rsidRDefault="009E676E" w:rsidP="009E676E">
      <w:pPr>
        <w:rPr>
          <w:sz w:val="22"/>
          <w:szCs w:val="22"/>
        </w:rPr>
      </w:pPr>
    </w:p>
    <w:p w14:paraId="7156D4FE" w14:textId="77777777" w:rsidR="009E676E" w:rsidRPr="009C5EFD" w:rsidRDefault="00E453CD" w:rsidP="009E676E">
      <w:pPr>
        <w:rPr>
          <w:sz w:val="22"/>
          <w:szCs w:val="22"/>
        </w:rPr>
      </w:pPr>
      <w:r w:rsidRPr="009C5EFD">
        <w:rPr>
          <w:sz w:val="22"/>
          <w:szCs w:val="22"/>
        </w:rPr>
        <w:t>For fullstendig liste over hjelpestoffer, se pkt. 6.1.</w:t>
      </w:r>
    </w:p>
    <w:p w14:paraId="2B360A70" w14:textId="77777777" w:rsidR="009E676E" w:rsidRPr="009C5EFD" w:rsidRDefault="009E676E" w:rsidP="009E676E">
      <w:pPr>
        <w:suppressAutoHyphens/>
        <w:rPr>
          <w:sz w:val="22"/>
          <w:szCs w:val="22"/>
        </w:rPr>
      </w:pPr>
    </w:p>
    <w:p w14:paraId="533B2F65" w14:textId="77777777" w:rsidR="009E676E" w:rsidRPr="009C5EFD" w:rsidRDefault="009E676E" w:rsidP="009E676E">
      <w:pPr>
        <w:suppressAutoHyphens/>
        <w:rPr>
          <w:sz w:val="22"/>
          <w:szCs w:val="22"/>
        </w:rPr>
      </w:pPr>
    </w:p>
    <w:p w14:paraId="20962530" w14:textId="77777777" w:rsidR="009E676E" w:rsidRPr="009C5EFD" w:rsidRDefault="00E453CD" w:rsidP="00776A84">
      <w:pPr>
        <w:keepNext/>
        <w:suppressAutoHyphens/>
        <w:ind w:left="567" w:hanging="567"/>
        <w:rPr>
          <w:sz w:val="22"/>
          <w:szCs w:val="22"/>
        </w:rPr>
      </w:pPr>
      <w:r w:rsidRPr="009C5EFD">
        <w:rPr>
          <w:b/>
          <w:sz w:val="22"/>
          <w:szCs w:val="22"/>
        </w:rPr>
        <w:t>3.</w:t>
      </w:r>
      <w:r w:rsidRPr="009C5EFD">
        <w:rPr>
          <w:b/>
          <w:sz w:val="22"/>
          <w:szCs w:val="22"/>
        </w:rPr>
        <w:tab/>
        <w:t>LEGEMIDDELFORM</w:t>
      </w:r>
    </w:p>
    <w:p w14:paraId="3B1D60B4" w14:textId="77777777" w:rsidR="009E676E" w:rsidRPr="009C5EFD" w:rsidRDefault="009E676E" w:rsidP="00776A84">
      <w:pPr>
        <w:keepNext/>
        <w:suppressAutoHyphens/>
        <w:rPr>
          <w:sz w:val="22"/>
          <w:szCs w:val="22"/>
        </w:rPr>
      </w:pPr>
    </w:p>
    <w:p w14:paraId="7113B10E" w14:textId="77777777" w:rsidR="009E676E" w:rsidRPr="009C5EFD" w:rsidRDefault="00E453CD" w:rsidP="009E676E">
      <w:pPr>
        <w:suppressAutoHyphens/>
        <w:rPr>
          <w:sz w:val="22"/>
          <w:szCs w:val="22"/>
        </w:rPr>
      </w:pPr>
      <w:r w:rsidRPr="009C5EFD">
        <w:rPr>
          <w:sz w:val="22"/>
          <w:szCs w:val="22"/>
        </w:rPr>
        <w:t>Injeksjonsvæske, oppløsning</w:t>
      </w:r>
      <w:r w:rsidR="00766BE3">
        <w:rPr>
          <w:sz w:val="22"/>
          <w:szCs w:val="22"/>
        </w:rPr>
        <w:t xml:space="preserve"> (injeksjon</w:t>
      </w:r>
      <w:r w:rsidR="00D67D8E">
        <w:rPr>
          <w:sz w:val="22"/>
          <w:szCs w:val="22"/>
        </w:rPr>
        <w:t>svæske</w:t>
      </w:r>
      <w:r w:rsidR="00766BE3">
        <w:rPr>
          <w:sz w:val="22"/>
          <w:szCs w:val="22"/>
        </w:rPr>
        <w:t>)</w:t>
      </w:r>
    </w:p>
    <w:p w14:paraId="1B7C53DC" w14:textId="77777777" w:rsidR="009E676E" w:rsidRPr="009C5EFD" w:rsidRDefault="009E676E" w:rsidP="009E676E">
      <w:pPr>
        <w:suppressAutoHyphens/>
        <w:rPr>
          <w:sz w:val="22"/>
          <w:szCs w:val="22"/>
        </w:rPr>
      </w:pPr>
    </w:p>
    <w:p w14:paraId="0BA9D672" w14:textId="77777777" w:rsidR="009E676E" w:rsidRPr="009C5EFD" w:rsidRDefault="00E453CD" w:rsidP="009E676E">
      <w:pPr>
        <w:suppressAutoHyphens/>
        <w:rPr>
          <w:sz w:val="22"/>
          <w:szCs w:val="22"/>
        </w:rPr>
      </w:pPr>
      <w:r w:rsidRPr="009C5EFD">
        <w:rPr>
          <w:sz w:val="22"/>
          <w:szCs w:val="22"/>
        </w:rPr>
        <w:t>Klar, fargeløs oppløsning.</w:t>
      </w:r>
    </w:p>
    <w:p w14:paraId="0D949DBF" w14:textId="77777777" w:rsidR="009E676E" w:rsidRPr="009C5EFD" w:rsidRDefault="009E676E" w:rsidP="009E676E">
      <w:pPr>
        <w:suppressAutoHyphens/>
        <w:rPr>
          <w:sz w:val="22"/>
          <w:szCs w:val="22"/>
        </w:rPr>
      </w:pPr>
    </w:p>
    <w:p w14:paraId="1974630F" w14:textId="77777777" w:rsidR="009E676E" w:rsidRPr="009C5EFD" w:rsidRDefault="009E676E" w:rsidP="009E676E">
      <w:pPr>
        <w:suppressAutoHyphens/>
        <w:rPr>
          <w:sz w:val="22"/>
          <w:szCs w:val="22"/>
        </w:rPr>
      </w:pPr>
    </w:p>
    <w:p w14:paraId="2108F28B" w14:textId="77777777" w:rsidR="009E676E" w:rsidRPr="009C5EFD" w:rsidRDefault="00E453CD" w:rsidP="00776A84">
      <w:pPr>
        <w:keepNext/>
        <w:suppressAutoHyphens/>
        <w:ind w:left="540" w:hanging="540"/>
        <w:rPr>
          <w:sz w:val="22"/>
          <w:szCs w:val="22"/>
        </w:rPr>
      </w:pPr>
      <w:r w:rsidRPr="009C5EFD">
        <w:rPr>
          <w:b/>
          <w:sz w:val="22"/>
          <w:szCs w:val="22"/>
        </w:rPr>
        <w:t>4.</w:t>
      </w:r>
      <w:r w:rsidRPr="009C5EFD">
        <w:rPr>
          <w:b/>
          <w:sz w:val="22"/>
          <w:szCs w:val="22"/>
        </w:rPr>
        <w:tab/>
        <w:t>KLINISKE OPPLYSNINGER</w:t>
      </w:r>
    </w:p>
    <w:p w14:paraId="6F4D8BE5" w14:textId="77777777" w:rsidR="009E676E" w:rsidRPr="009C5EFD" w:rsidRDefault="009E676E" w:rsidP="00776A84">
      <w:pPr>
        <w:keepNext/>
        <w:suppressAutoHyphens/>
        <w:rPr>
          <w:sz w:val="22"/>
          <w:szCs w:val="22"/>
        </w:rPr>
      </w:pPr>
    </w:p>
    <w:p w14:paraId="0CFCC263" w14:textId="77777777" w:rsidR="009E676E" w:rsidRPr="009C5EFD" w:rsidRDefault="00E453CD" w:rsidP="00776A84">
      <w:pPr>
        <w:keepNext/>
        <w:suppressAutoHyphens/>
        <w:ind w:left="570" w:hanging="570"/>
        <w:rPr>
          <w:sz w:val="22"/>
          <w:szCs w:val="22"/>
        </w:rPr>
      </w:pPr>
      <w:r w:rsidRPr="009C5EFD">
        <w:rPr>
          <w:b/>
          <w:sz w:val="22"/>
          <w:szCs w:val="22"/>
        </w:rPr>
        <w:t>4.1</w:t>
      </w:r>
      <w:r w:rsidRPr="009C5EFD">
        <w:rPr>
          <w:b/>
          <w:sz w:val="22"/>
          <w:szCs w:val="22"/>
        </w:rPr>
        <w:tab/>
        <w:t>Indikasjoner</w:t>
      </w:r>
    </w:p>
    <w:p w14:paraId="57B9FC8C" w14:textId="77777777" w:rsidR="009E676E" w:rsidRPr="009C5EFD" w:rsidRDefault="009E676E" w:rsidP="00776A84">
      <w:pPr>
        <w:keepNext/>
        <w:rPr>
          <w:sz w:val="22"/>
          <w:szCs w:val="22"/>
        </w:rPr>
      </w:pPr>
    </w:p>
    <w:p w14:paraId="151A63A0" w14:textId="77777777" w:rsidR="00CE15E0" w:rsidRPr="009C5EFD" w:rsidRDefault="00E453CD" w:rsidP="00776A84">
      <w:pPr>
        <w:keepNext/>
        <w:rPr>
          <w:sz w:val="22"/>
          <w:szCs w:val="22"/>
          <w:u w:val="single"/>
        </w:rPr>
      </w:pPr>
      <w:r w:rsidRPr="009C5EFD">
        <w:rPr>
          <w:sz w:val="22"/>
          <w:szCs w:val="22"/>
          <w:u w:val="single"/>
        </w:rPr>
        <w:t>Revmatoid artritt</w:t>
      </w:r>
    </w:p>
    <w:p w14:paraId="306C9FA8" w14:textId="77777777" w:rsidR="00CE15E0" w:rsidRPr="009C5EFD" w:rsidRDefault="00CE15E0" w:rsidP="00776A84">
      <w:pPr>
        <w:keepNext/>
        <w:rPr>
          <w:sz w:val="22"/>
          <w:szCs w:val="22"/>
        </w:rPr>
      </w:pPr>
    </w:p>
    <w:p w14:paraId="5235C227" w14:textId="77777777" w:rsidR="00CE15E0" w:rsidRPr="009C5EFD" w:rsidRDefault="00E453CD" w:rsidP="00776A84">
      <w:pPr>
        <w:keepNext/>
        <w:rPr>
          <w:sz w:val="22"/>
          <w:szCs w:val="22"/>
        </w:rPr>
      </w:pPr>
      <w:r w:rsidRPr="009C5EFD">
        <w:rPr>
          <w:sz w:val="22"/>
          <w:szCs w:val="22"/>
        </w:rPr>
        <w:t>Humira i kombinasjon med metotreksat er indisert til:</w:t>
      </w:r>
    </w:p>
    <w:p w14:paraId="73662F00" w14:textId="77777777" w:rsidR="00CE15E0" w:rsidRPr="009C5EFD" w:rsidRDefault="00CE15E0" w:rsidP="00CE15E0">
      <w:pPr>
        <w:rPr>
          <w:sz w:val="22"/>
          <w:szCs w:val="22"/>
        </w:rPr>
      </w:pPr>
    </w:p>
    <w:p w14:paraId="3226153A" w14:textId="77777777" w:rsidR="00CE15E0" w:rsidRPr="009C5EFD" w:rsidRDefault="00E453CD" w:rsidP="00CE15E0">
      <w:pPr>
        <w:numPr>
          <w:ilvl w:val="0"/>
          <w:numId w:val="17"/>
        </w:numPr>
        <w:rPr>
          <w:sz w:val="22"/>
          <w:szCs w:val="22"/>
        </w:rPr>
      </w:pPr>
      <w:r w:rsidRPr="009C5EFD">
        <w:rPr>
          <w:sz w:val="22"/>
          <w:szCs w:val="22"/>
        </w:rPr>
        <w:t>behandling av moderat til alvorlig aktiv revmatoid artritt hos voksne pasienter når responsen på sykdomsmodifiserende antireumatiske legemidler inkludert metotreksat ikke har vært tilstrekkelig.</w:t>
      </w:r>
    </w:p>
    <w:p w14:paraId="7A092038" w14:textId="77777777" w:rsidR="00CE15E0" w:rsidRPr="009C5EFD" w:rsidRDefault="00E453CD" w:rsidP="00CE15E0">
      <w:pPr>
        <w:numPr>
          <w:ilvl w:val="0"/>
          <w:numId w:val="18"/>
        </w:numPr>
        <w:rPr>
          <w:sz w:val="22"/>
          <w:szCs w:val="22"/>
        </w:rPr>
      </w:pPr>
      <w:r w:rsidRPr="009C5EFD">
        <w:rPr>
          <w:sz w:val="22"/>
          <w:szCs w:val="22"/>
        </w:rPr>
        <w:t>behandling av alvorlig, aktiv og progredierende revmatoid artritt hos voksne som ikke tidligere er behandlet med metotreksat.</w:t>
      </w:r>
    </w:p>
    <w:p w14:paraId="4B25EF7E" w14:textId="77777777" w:rsidR="00CE15E0" w:rsidRPr="009C5EFD" w:rsidRDefault="00CE15E0" w:rsidP="00CE15E0">
      <w:pPr>
        <w:rPr>
          <w:sz w:val="22"/>
          <w:szCs w:val="22"/>
        </w:rPr>
      </w:pPr>
    </w:p>
    <w:p w14:paraId="09618506" w14:textId="77777777" w:rsidR="00CE15E0" w:rsidRPr="009C5EFD" w:rsidRDefault="00E453CD" w:rsidP="00CE15E0">
      <w:pPr>
        <w:rPr>
          <w:sz w:val="22"/>
          <w:szCs w:val="22"/>
        </w:rPr>
      </w:pPr>
      <w:r w:rsidRPr="009C5EFD">
        <w:rPr>
          <w:sz w:val="22"/>
          <w:szCs w:val="22"/>
        </w:rPr>
        <w:t>Humira kan gis som monoterapi ved intoleranse overfor metotreksat eller når behandling med metotreksat ikke er egnet.</w:t>
      </w:r>
    </w:p>
    <w:p w14:paraId="7D38FF42" w14:textId="77777777" w:rsidR="00CE15E0" w:rsidRPr="009C5EFD" w:rsidRDefault="00CE15E0" w:rsidP="00CE15E0">
      <w:pPr>
        <w:rPr>
          <w:sz w:val="22"/>
          <w:szCs w:val="22"/>
        </w:rPr>
      </w:pPr>
    </w:p>
    <w:p w14:paraId="0EA57D24" w14:textId="77777777" w:rsidR="00CE15E0" w:rsidRDefault="00E453CD" w:rsidP="00CE15E0">
      <w:pPr>
        <w:rPr>
          <w:sz w:val="22"/>
          <w:szCs w:val="22"/>
          <w:u w:val="single"/>
        </w:rPr>
      </w:pPr>
      <w:r w:rsidRPr="009C5EFD">
        <w:rPr>
          <w:sz w:val="22"/>
          <w:szCs w:val="22"/>
        </w:rPr>
        <w:t xml:space="preserve">Gitt i kombinasjon med metotreksat har Humira vist seg å redusere </w:t>
      </w:r>
      <w:r w:rsidRPr="009C5EFD">
        <w:rPr>
          <w:color w:val="000000"/>
          <w:sz w:val="22"/>
          <w:szCs w:val="22"/>
        </w:rPr>
        <w:t>progresjonshastighet</w:t>
      </w:r>
      <w:r w:rsidRPr="009C5EFD">
        <w:rPr>
          <w:sz w:val="22"/>
          <w:szCs w:val="22"/>
        </w:rPr>
        <w:t xml:space="preserve"> av leddskade, målt ved røntgenundersøkelser, og å forbedre fysisk funksjon.</w:t>
      </w:r>
    </w:p>
    <w:p w14:paraId="7DBE92C9" w14:textId="77777777" w:rsidR="00CE15E0" w:rsidRDefault="00CE15E0" w:rsidP="009E676E">
      <w:pPr>
        <w:rPr>
          <w:sz w:val="22"/>
          <w:szCs w:val="22"/>
          <w:u w:val="single"/>
        </w:rPr>
      </w:pPr>
    </w:p>
    <w:p w14:paraId="13121884" w14:textId="77777777" w:rsidR="009E676E" w:rsidRPr="007F67EE" w:rsidRDefault="00E453CD" w:rsidP="00776A84">
      <w:pPr>
        <w:keepNext/>
        <w:rPr>
          <w:sz w:val="22"/>
          <w:szCs w:val="22"/>
          <w:u w:val="single"/>
        </w:rPr>
      </w:pPr>
      <w:r w:rsidRPr="007F67EE">
        <w:rPr>
          <w:sz w:val="22"/>
          <w:szCs w:val="22"/>
          <w:u w:val="single"/>
        </w:rPr>
        <w:t>Psoriasis</w:t>
      </w:r>
    </w:p>
    <w:p w14:paraId="38433E38" w14:textId="77777777" w:rsidR="009E676E" w:rsidRPr="001F5D4B" w:rsidRDefault="009E676E" w:rsidP="00776A84">
      <w:pPr>
        <w:keepNext/>
        <w:rPr>
          <w:sz w:val="22"/>
          <w:szCs w:val="22"/>
        </w:rPr>
      </w:pPr>
    </w:p>
    <w:p w14:paraId="06B6C204" w14:textId="77777777" w:rsidR="009E676E" w:rsidRPr="002D0790" w:rsidRDefault="00E453CD" w:rsidP="009E676E">
      <w:pPr>
        <w:rPr>
          <w:sz w:val="22"/>
          <w:szCs w:val="22"/>
        </w:rPr>
      </w:pPr>
      <w:r w:rsidRPr="007F67EE">
        <w:rPr>
          <w:sz w:val="22"/>
          <w:szCs w:val="22"/>
        </w:rPr>
        <w:t xml:space="preserve">Humira er indisert </w:t>
      </w:r>
      <w:r w:rsidRPr="00193D76">
        <w:rPr>
          <w:sz w:val="22"/>
          <w:szCs w:val="22"/>
        </w:rPr>
        <w:t>til</w:t>
      </w:r>
      <w:r w:rsidRPr="002D0790">
        <w:rPr>
          <w:sz w:val="22"/>
          <w:szCs w:val="22"/>
        </w:rPr>
        <w:t xml:space="preserve"> behandling av moderat til alvorlig kronisk plakkpsoriasis hos voksne pasienter som </w:t>
      </w:r>
      <w:r>
        <w:rPr>
          <w:sz w:val="22"/>
          <w:szCs w:val="22"/>
        </w:rPr>
        <w:t xml:space="preserve">er kandidater for </w:t>
      </w:r>
      <w:r w:rsidRPr="002D0790">
        <w:rPr>
          <w:sz w:val="22"/>
          <w:szCs w:val="22"/>
        </w:rPr>
        <w:t xml:space="preserve">systemisk </w:t>
      </w:r>
      <w:r>
        <w:rPr>
          <w:sz w:val="22"/>
          <w:szCs w:val="22"/>
        </w:rPr>
        <w:t>behandling</w:t>
      </w:r>
      <w:r w:rsidRPr="002D0790">
        <w:rPr>
          <w:sz w:val="22"/>
          <w:szCs w:val="22"/>
        </w:rPr>
        <w:t>.</w:t>
      </w:r>
    </w:p>
    <w:p w14:paraId="2C3DB47F" w14:textId="77777777" w:rsidR="009E676E" w:rsidRPr="00E14E58" w:rsidRDefault="009E676E" w:rsidP="009E676E">
      <w:pPr>
        <w:rPr>
          <w:sz w:val="22"/>
          <w:szCs w:val="22"/>
          <w:u w:val="single"/>
        </w:rPr>
      </w:pPr>
    </w:p>
    <w:p w14:paraId="564249F2" w14:textId="77777777" w:rsidR="009E676E" w:rsidRPr="002D0790" w:rsidRDefault="00E453CD" w:rsidP="00B07EA9">
      <w:pPr>
        <w:keepNext/>
        <w:rPr>
          <w:sz w:val="22"/>
          <w:szCs w:val="22"/>
          <w:u w:val="single"/>
        </w:rPr>
      </w:pPr>
      <w:r w:rsidRPr="009C5EFD">
        <w:rPr>
          <w:sz w:val="22"/>
          <w:szCs w:val="22"/>
          <w:u w:val="single"/>
        </w:rPr>
        <w:lastRenderedPageBreak/>
        <w:t>H</w:t>
      </w:r>
      <w:r w:rsidRPr="00776A84">
        <w:rPr>
          <w:iCs/>
          <w:u w:val="single"/>
        </w:rPr>
        <w:t>idradenitis</w:t>
      </w:r>
      <w:r w:rsidRPr="001C217B">
        <w:rPr>
          <w:i/>
          <w:u w:val="single"/>
        </w:rPr>
        <w:t xml:space="preserve"> </w:t>
      </w:r>
      <w:r w:rsidRPr="00776A84">
        <w:rPr>
          <w:iCs/>
          <w:u w:val="single"/>
        </w:rPr>
        <w:t>suppurativa</w:t>
      </w:r>
      <w:r w:rsidRPr="002D0790">
        <w:rPr>
          <w:sz w:val="22"/>
          <w:szCs w:val="22"/>
          <w:u w:val="single"/>
        </w:rPr>
        <w:t xml:space="preserve"> </w:t>
      </w:r>
      <w:r w:rsidR="009E6457">
        <w:rPr>
          <w:sz w:val="22"/>
          <w:szCs w:val="22"/>
          <w:u w:val="single"/>
        </w:rPr>
        <w:t>(</w:t>
      </w:r>
      <w:r w:rsidRPr="002D0790">
        <w:rPr>
          <w:sz w:val="22"/>
          <w:szCs w:val="22"/>
          <w:u w:val="single"/>
        </w:rPr>
        <w:t>HS)</w:t>
      </w:r>
    </w:p>
    <w:p w14:paraId="481BB2A3" w14:textId="77777777" w:rsidR="009E676E" w:rsidRPr="002D0790" w:rsidRDefault="009E676E" w:rsidP="00B07EA9">
      <w:pPr>
        <w:keepNext/>
        <w:rPr>
          <w:sz w:val="22"/>
          <w:szCs w:val="22"/>
          <w:u w:val="single"/>
        </w:rPr>
      </w:pPr>
    </w:p>
    <w:p w14:paraId="69A0FC5E" w14:textId="77777777" w:rsidR="009E676E" w:rsidRPr="009C5EFD" w:rsidRDefault="00E453CD" w:rsidP="009E676E">
      <w:pPr>
        <w:rPr>
          <w:sz w:val="22"/>
          <w:szCs w:val="22"/>
        </w:rPr>
      </w:pPr>
      <w:r w:rsidRPr="00E14E58">
        <w:rPr>
          <w:sz w:val="22"/>
          <w:szCs w:val="22"/>
        </w:rPr>
        <w:t xml:space="preserve">Humira er indisert til behandling av aktiv moderat til alvorlig </w:t>
      </w:r>
      <w:r w:rsidRPr="009C5EFD">
        <w:rPr>
          <w:sz w:val="22"/>
          <w:szCs w:val="22"/>
        </w:rPr>
        <w:t xml:space="preserve">hidrosadenitt (svettekjertelbetennelse) hos voksne </w:t>
      </w:r>
      <w:r>
        <w:rPr>
          <w:sz w:val="22"/>
          <w:szCs w:val="22"/>
        </w:rPr>
        <w:t xml:space="preserve">og ungdom </w:t>
      </w:r>
      <w:r w:rsidR="00D67D8E">
        <w:rPr>
          <w:sz w:val="22"/>
          <w:szCs w:val="22"/>
        </w:rPr>
        <w:t>over</w:t>
      </w:r>
      <w:r>
        <w:rPr>
          <w:sz w:val="22"/>
          <w:szCs w:val="22"/>
        </w:rPr>
        <w:t xml:space="preserve"> 12 år,</w:t>
      </w:r>
      <w:r w:rsidRPr="009C5EFD">
        <w:rPr>
          <w:sz w:val="22"/>
          <w:szCs w:val="22"/>
        </w:rPr>
        <w:t xml:space="preserve"> som har respondert utilstrekkelig på konvensjonell systemisk behandling av HS</w:t>
      </w:r>
      <w:r>
        <w:rPr>
          <w:sz w:val="22"/>
          <w:szCs w:val="22"/>
        </w:rPr>
        <w:t xml:space="preserve"> </w:t>
      </w:r>
      <w:r w:rsidRPr="00A1249D">
        <w:rPr>
          <w:sz w:val="22"/>
          <w:szCs w:val="22"/>
        </w:rPr>
        <w:t>(se pkt. 5.1 og 5.2)</w:t>
      </w:r>
      <w:r w:rsidRPr="009C5EFD">
        <w:rPr>
          <w:sz w:val="22"/>
          <w:szCs w:val="22"/>
        </w:rPr>
        <w:t>.</w:t>
      </w:r>
    </w:p>
    <w:p w14:paraId="5FFE843A" w14:textId="77777777" w:rsidR="009E676E" w:rsidRPr="009C5EFD" w:rsidRDefault="009E676E" w:rsidP="009E676E">
      <w:pPr>
        <w:rPr>
          <w:sz w:val="22"/>
          <w:szCs w:val="22"/>
          <w:u w:val="single"/>
        </w:rPr>
      </w:pPr>
    </w:p>
    <w:p w14:paraId="42239C5B" w14:textId="77777777" w:rsidR="009E676E" w:rsidRPr="009C5EFD" w:rsidRDefault="00E453CD" w:rsidP="00776A84">
      <w:pPr>
        <w:keepNext/>
        <w:rPr>
          <w:sz w:val="22"/>
          <w:szCs w:val="22"/>
        </w:rPr>
      </w:pPr>
      <w:r w:rsidRPr="009C5EFD">
        <w:rPr>
          <w:sz w:val="22"/>
          <w:szCs w:val="22"/>
          <w:u w:val="single"/>
        </w:rPr>
        <w:t>Crohns sykdom</w:t>
      </w:r>
    </w:p>
    <w:p w14:paraId="6B322F7D" w14:textId="77777777" w:rsidR="009E676E" w:rsidRPr="009C5EFD" w:rsidRDefault="009E676E" w:rsidP="00776A84">
      <w:pPr>
        <w:keepNext/>
        <w:rPr>
          <w:sz w:val="22"/>
          <w:szCs w:val="22"/>
        </w:rPr>
      </w:pPr>
    </w:p>
    <w:p w14:paraId="7F54C5D8" w14:textId="77777777" w:rsidR="009E676E" w:rsidRPr="009C5EFD" w:rsidRDefault="00E453CD" w:rsidP="009E676E">
      <w:pPr>
        <w:rPr>
          <w:sz w:val="22"/>
          <w:szCs w:val="22"/>
        </w:rPr>
      </w:pPr>
      <w:r w:rsidRPr="009C5EFD">
        <w:rPr>
          <w:sz w:val="22"/>
          <w:szCs w:val="22"/>
        </w:rPr>
        <w:t>Humira er indisert til behandling av moderat til alvorlig aktiv Crohns sykdom hos voksne pasienter som ikke har respondert på en fullstendig og adekvat behandling med kortikosteroid og/eller immunsuppressivt legemiddel, eller som ikke tolererer eller har kontraindikasjoner mot slik behandling.</w:t>
      </w:r>
    </w:p>
    <w:p w14:paraId="7236DDFC" w14:textId="77777777" w:rsidR="009E676E" w:rsidRPr="009C5EFD" w:rsidRDefault="009E676E" w:rsidP="009E676E">
      <w:pPr>
        <w:rPr>
          <w:sz w:val="22"/>
          <w:szCs w:val="22"/>
        </w:rPr>
      </w:pPr>
    </w:p>
    <w:p w14:paraId="3DEF09C1" w14:textId="77777777" w:rsidR="009E676E" w:rsidRPr="009C5EFD" w:rsidRDefault="00E453CD" w:rsidP="00776A84">
      <w:pPr>
        <w:pStyle w:val="EMEANormal"/>
        <w:keepNext/>
        <w:rPr>
          <w:szCs w:val="22"/>
          <w:u w:val="single"/>
          <w:lang w:val="nb-NO"/>
        </w:rPr>
      </w:pPr>
      <w:r w:rsidRPr="009C5EFD">
        <w:rPr>
          <w:szCs w:val="22"/>
          <w:u w:val="single"/>
          <w:lang w:val="nb-NO"/>
        </w:rPr>
        <w:t>Pediatrisk Crohns sykdom</w:t>
      </w:r>
    </w:p>
    <w:p w14:paraId="1655F8AC" w14:textId="77777777" w:rsidR="009E676E" w:rsidRPr="009C5EFD" w:rsidRDefault="009E676E" w:rsidP="00776A84">
      <w:pPr>
        <w:pStyle w:val="EMEANormal"/>
        <w:keepNext/>
        <w:rPr>
          <w:szCs w:val="22"/>
          <w:u w:val="single"/>
          <w:lang w:val="nb-NO"/>
        </w:rPr>
      </w:pPr>
    </w:p>
    <w:p w14:paraId="7B31A3DD" w14:textId="77777777" w:rsidR="009E676E" w:rsidRPr="009C5EFD" w:rsidRDefault="00E453CD" w:rsidP="009E676E">
      <w:pPr>
        <w:rPr>
          <w:sz w:val="22"/>
          <w:szCs w:val="22"/>
        </w:rPr>
      </w:pPr>
      <w:r w:rsidRPr="009C5EFD">
        <w:rPr>
          <w:sz w:val="22"/>
          <w:szCs w:val="22"/>
        </w:rPr>
        <w:t xml:space="preserve">Humira er indisert til behandling av </w:t>
      </w:r>
      <w:r>
        <w:rPr>
          <w:sz w:val="22"/>
          <w:szCs w:val="22"/>
        </w:rPr>
        <w:t xml:space="preserve">moderat til </w:t>
      </w:r>
      <w:r w:rsidRPr="009C5EFD">
        <w:rPr>
          <w:sz w:val="22"/>
          <w:szCs w:val="22"/>
        </w:rPr>
        <w:t>alvorlig aktiv Crohns sykdom hos pediatriske pasienter (</w:t>
      </w:r>
      <w:r w:rsidR="00D67D8E">
        <w:rPr>
          <w:sz w:val="22"/>
          <w:szCs w:val="22"/>
        </w:rPr>
        <w:t>over</w:t>
      </w:r>
      <w:r w:rsidRPr="009C5EFD">
        <w:rPr>
          <w:sz w:val="22"/>
          <w:szCs w:val="22"/>
        </w:rPr>
        <w:t xml:space="preserve"> 6 år), som har respondert utilstrekkelig på </w:t>
      </w:r>
      <w:r w:rsidR="007A1E0A">
        <w:rPr>
          <w:sz w:val="22"/>
          <w:szCs w:val="22"/>
        </w:rPr>
        <w:t>konvensjonell behandling</w:t>
      </w:r>
      <w:r w:rsidRPr="009C5EFD">
        <w:rPr>
          <w:sz w:val="22"/>
          <w:szCs w:val="22"/>
        </w:rPr>
        <w:t xml:space="preserve"> inkludert primær ernæringsterapi </w:t>
      </w:r>
      <w:r>
        <w:rPr>
          <w:sz w:val="22"/>
          <w:szCs w:val="22"/>
        </w:rPr>
        <w:t xml:space="preserve">og </w:t>
      </w:r>
      <w:r w:rsidRPr="009C5EFD">
        <w:rPr>
          <w:sz w:val="22"/>
          <w:szCs w:val="22"/>
        </w:rPr>
        <w:t>et kortikosteroid og</w:t>
      </w:r>
      <w:r>
        <w:rPr>
          <w:sz w:val="22"/>
          <w:szCs w:val="22"/>
        </w:rPr>
        <w:t>/eller</w:t>
      </w:r>
      <w:r w:rsidRPr="009C5EFD">
        <w:rPr>
          <w:sz w:val="22"/>
          <w:szCs w:val="22"/>
        </w:rPr>
        <w:t xml:space="preserve"> et immunmodulerende legemiddel, eller som ikke tolererer eller har kontraindikasjoner mot slike behandlinger.</w:t>
      </w:r>
    </w:p>
    <w:p w14:paraId="3A685D21" w14:textId="77777777" w:rsidR="009E676E" w:rsidRPr="009C5EFD" w:rsidRDefault="009E676E" w:rsidP="009E676E">
      <w:pPr>
        <w:rPr>
          <w:sz w:val="22"/>
          <w:szCs w:val="22"/>
        </w:rPr>
      </w:pPr>
    </w:p>
    <w:p w14:paraId="50C9A0F7" w14:textId="77777777" w:rsidR="009E676E" w:rsidRPr="009C5EFD" w:rsidRDefault="00E453CD" w:rsidP="009E676E">
      <w:pPr>
        <w:keepNext/>
        <w:rPr>
          <w:sz w:val="22"/>
          <w:szCs w:val="22"/>
          <w:u w:val="single"/>
        </w:rPr>
      </w:pPr>
      <w:r w:rsidRPr="009C5EFD">
        <w:rPr>
          <w:sz w:val="22"/>
          <w:szCs w:val="22"/>
          <w:u w:val="single"/>
        </w:rPr>
        <w:t>Ulcerøs kolitt</w:t>
      </w:r>
    </w:p>
    <w:p w14:paraId="623105BC" w14:textId="77777777" w:rsidR="009E676E" w:rsidRPr="009C5EFD" w:rsidRDefault="009E676E" w:rsidP="009E676E">
      <w:pPr>
        <w:keepNext/>
        <w:rPr>
          <w:sz w:val="22"/>
          <w:szCs w:val="22"/>
          <w:u w:val="single"/>
        </w:rPr>
      </w:pPr>
    </w:p>
    <w:p w14:paraId="0DB5ED9E" w14:textId="77777777" w:rsidR="009E676E" w:rsidRDefault="00E453CD" w:rsidP="009E676E">
      <w:pPr>
        <w:rPr>
          <w:sz w:val="22"/>
          <w:szCs w:val="22"/>
        </w:rPr>
      </w:pPr>
      <w:r w:rsidRPr="009C5EFD">
        <w:rPr>
          <w:sz w:val="22"/>
          <w:szCs w:val="22"/>
        </w:rPr>
        <w:t>Humira er indisert til behandling av moderat til alvorlig aktiv ulcerøs kolitt hos voksne pasienter som har hatt utilstrekkelig respons på konvensjonell behandling inklusive kortikosteroider og 6-merkaptopurin (6-MP) eller azatioprin (AZA), eller som ikke tolererer eller har kontraindikasjoner mot slike behandlinger.</w:t>
      </w:r>
    </w:p>
    <w:p w14:paraId="17698497" w14:textId="77777777" w:rsidR="005640DB" w:rsidRDefault="005640DB" w:rsidP="009E676E">
      <w:pPr>
        <w:rPr>
          <w:sz w:val="22"/>
          <w:szCs w:val="22"/>
        </w:rPr>
      </w:pPr>
    </w:p>
    <w:p w14:paraId="4610658E" w14:textId="77777777" w:rsidR="005640DB" w:rsidRPr="00E04B2A" w:rsidRDefault="00E453CD" w:rsidP="005640DB">
      <w:pPr>
        <w:rPr>
          <w:sz w:val="22"/>
          <w:u w:val="single"/>
        </w:rPr>
      </w:pPr>
      <w:r w:rsidRPr="00E04B2A">
        <w:rPr>
          <w:sz w:val="22"/>
          <w:u w:val="single"/>
        </w:rPr>
        <w:t>Pediatrisk ulcerøs kolitt</w:t>
      </w:r>
    </w:p>
    <w:p w14:paraId="7E14C41C" w14:textId="77777777" w:rsidR="005640DB" w:rsidRPr="00E04B2A" w:rsidRDefault="005640DB" w:rsidP="005640DB">
      <w:pPr>
        <w:rPr>
          <w:sz w:val="22"/>
        </w:rPr>
      </w:pPr>
    </w:p>
    <w:p w14:paraId="7DB469F8" w14:textId="77777777" w:rsidR="005640DB" w:rsidRPr="005640DB" w:rsidRDefault="00E453CD" w:rsidP="005640DB">
      <w:pPr>
        <w:rPr>
          <w:sz w:val="22"/>
          <w:szCs w:val="22"/>
        </w:rPr>
      </w:pPr>
      <w:r w:rsidRPr="00E04B2A">
        <w:rPr>
          <w:sz w:val="22"/>
        </w:rPr>
        <w:t xml:space="preserve">Humira er indisert </w:t>
      </w:r>
      <w:r w:rsidR="004567EE">
        <w:rPr>
          <w:sz w:val="22"/>
        </w:rPr>
        <w:t>til</w:t>
      </w:r>
      <w:r w:rsidRPr="00E04B2A">
        <w:rPr>
          <w:sz w:val="22"/>
        </w:rPr>
        <w:t xml:space="preserve"> behandling av moderat til alvorlig aktiv ulcerøs kolitt hos </w:t>
      </w:r>
      <w:r w:rsidR="004567EE" w:rsidRPr="004567EE">
        <w:rPr>
          <w:sz w:val="22"/>
        </w:rPr>
        <w:t>pediatriske pasienter</w:t>
      </w:r>
      <w:r w:rsidRPr="00E04B2A">
        <w:rPr>
          <w:sz w:val="22"/>
        </w:rPr>
        <w:t xml:space="preserve"> (</w:t>
      </w:r>
      <w:r w:rsidR="004567EE">
        <w:rPr>
          <w:sz w:val="22"/>
        </w:rPr>
        <w:t>over</w:t>
      </w:r>
      <w:r w:rsidRPr="00E04B2A">
        <w:rPr>
          <w:sz w:val="22"/>
        </w:rPr>
        <w:t xml:space="preserve"> 6 år) som har </w:t>
      </w:r>
      <w:r w:rsidR="004567EE" w:rsidRPr="004567EE">
        <w:rPr>
          <w:sz w:val="22"/>
        </w:rPr>
        <w:t>respondert</w:t>
      </w:r>
      <w:r w:rsidRPr="00E04B2A">
        <w:rPr>
          <w:sz w:val="22"/>
        </w:rPr>
        <w:t xml:space="preserve"> utilstrekkelig på konvensjonell behandling inkludert kortikosteroider og/eller 6-merkaptopurin (6-MP) eller azatioprin (AZA), eller som </w:t>
      </w:r>
      <w:r w:rsidR="004567EE" w:rsidRPr="004567EE">
        <w:rPr>
          <w:sz w:val="22"/>
        </w:rPr>
        <w:t>ikke tolererer</w:t>
      </w:r>
      <w:r w:rsidRPr="00E04B2A">
        <w:rPr>
          <w:sz w:val="22"/>
        </w:rPr>
        <w:t xml:space="preserve"> eller har medisinske kontraindikasjoner </w:t>
      </w:r>
      <w:r w:rsidR="004567EE">
        <w:rPr>
          <w:sz w:val="22"/>
        </w:rPr>
        <w:t>mot</w:t>
      </w:r>
      <w:r w:rsidRPr="00E04B2A">
        <w:rPr>
          <w:sz w:val="22"/>
        </w:rPr>
        <w:t xml:space="preserve"> slike behandlinger.</w:t>
      </w:r>
    </w:p>
    <w:p w14:paraId="0D523C6B" w14:textId="77777777" w:rsidR="009E676E" w:rsidRDefault="009E676E" w:rsidP="009E676E">
      <w:pPr>
        <w:rPr>
          <w:sz w:val="22"/>
          <w:szCs w:val="22"/>
        </w:rPr>
      </w:pPr>
    </w:p>
    <w:p w14:paraId="26E488F3" w14:textId="77777777" w:rsidR="009E676E" w:rsidRDefault="00E453CD" w:rsidP="00776A84">
      <w:pPr>
        <w:keepNext/>
        <w:rPr>
          <w:sz w:val="22"/>
          <w:szCs w:val="22"/>
        </w:rPr>
      </w:pPr>
      <w:r w:rsidRPr="009C5EFD">
        <w:rPr>
          <w:sz w:val="22"/>
          <w:szCs w:val="22"/>
          <w:u w:val="single"/>
        </w:rPr>
        <w:t>U</w:t>
      </w:r>
      <w:r>
        <w:rPr>
          <w:sz w:val="22"/>
          <w:szCs w:val="22"/>
          <w:u w:val="single"/>
        </w:rPr>
        <w:t>veitt</w:t>
      </w:r>
    </w:p>
    <w:p w14:paraId="28668EF9" w14:textId="77777777" w:rsidR="009E676E" w:rsidRDefault="009E676E" w:rsidP="00776A84">
      <w:pPr>
        <w:keepNext/>
        <w:rPr>
          <w:sz w:val="22"/>
          <w:szCs w:val="22"/>
        </w:rPr>
      </w:pPr>
    </w:p>
    <w:p w14:paraId="01879EE2" w14:textId="77777777" w:rsidR="009E676E" w:rsidRDefault="00E453CD" w:rsidP="009E676E">
      <w:pPr>
        <w:rPr>
          <w:sz w:val="22"/>
          <w:szCs w:val="22"/>
        </w:rPr>
      </w:pPr>
      <w:r>
        <w:rPr>
          <w:sz w:val="22"/>
          <w:szCs w:val="22"/>
        </w:rPr>
        <w:t>Humira er indisert til behandling av ikke-infeksiøs intermediær, posterior og panuveitt hos voksne pasienter som har utilstrekkelig respons på kortikosteroider, hos pasienter med behov for kortikosteroid-sparende midler eller hos pasienter der behandling med kortikosteroid ikke er egnet.</w:t>
      </w:r>
    </w:p>
    <w:p w14:paraId="4AE6EEF6" w14:textId="77777777" w:rsidR="00695E95" w:rsidRDefault="00695E95" w:rsidP="009E676E">
      <w:pPr>
        <w:rPr>
          <w:sz w:val="22"/>
          <w:szCs w:val="22"/>
        </w:rPr>
      </w:pPr>
    </w:p>
    <w:p w14:paraId="186A2950" w14:textId="77777777" w:rsidR="00695E95" w:rsidRDefault="00E453CD" w:rsidP="00695E95">
      <w:pPr>
        <w:pStyle w:val="EMEANormal"/>
        <w:keepNext/>
        <w:rPr>
          <w:szCs w:val="22"/>
          <w:u w:val="single"/>
          <w:lang w:val="nb-NO"/>
        </w:rPr>
      </w:pPr>
      <w:r>
        <w:rPr>
          <w:szCs w:val="22"/>
          <w:u w:val="single"/>
          <w:lang w:val="nb-NO"/>
        </w:rPr>
        <w:t>Pediatrisk uveitt</w:t>
      </w:r>
    </w:p>
    <w:p w14:paraId="3BBFAE1E" w14:textId="77777777" w:rsidR="00695E95" w:rsidRDefault="00695E95" w:rsidP="00695E95">
      <w:pPr>
        <w:pStyle w:val="EMEANormal"/>
        <w:keepNext/>
        <w:rPr>
          <w:u w:val="single"/>
          <w:lang w:val="nb-NO"/>
        </w:rPr>
      </w:pPr>
    </w:p>
    <w:p w14:paraId="43877663" w14:textId="77777777" w:rsidR="00695E95" w:rsidRPr="00C602BE" w:rsidRDefault="00E453CD" w:rsidP="00776A84">
      <w:pPr>
        <w:pStyle w:val="EMEANormal"/>
        <w:rPr>
          <w:lang w:val="nb-NO"/>
        </w:rPr>
      </w:pPr>
      <w:r>
        <w:rPr>
          <w:lang w:val="nb-NO"/>
        </w:rPr>
        <w:t xml:space="preserve">Humira er indisert til behandling av pediatrisk kronisk ikke-infeksiøs fremre uveitt hos pasienter </w:t>
      </w:r>
      <w:r w:rsidR="00D67D8E">
        <w:rPr>
          <w:lang w:val="nb-NO"/>
        </w:rPr>
        <w:t>over</w:t>
      </w:r>
      <w:r>
        <w:rPr>
          <w:lang w:val="nb-NO"/>
        </w:rPr>
        <w:t xml:space="preserve"> 2 år, som har respondert utilstrekkelig på eller er intolerante overfor konvensjonell behandling, eller der konvensjonell behandling ikke er hensiktsmessig.</w:t>
      </w:r>
    </w:p>
    <w:p w14:paraId="3ED5845D" w14:textId="77777777" w:rsidR="009E676E" w:rsidRPr="001F5D4B" w:rsidRDefault="009E676E" w:rsidP="009E676E">
      <w:pPr>
        <w:rPr>
          <w:sz w:val="22"/>
          <w:szCs w:val="22"/>
        </w:rPr>
      </w:pPr>
    </w:p>
    <w:p w14:paraId="2043B9CE" w14:textId="77777777" w:rsidR="009E676E" w:rsidRPr="002D0790" w:rsidRDefault="00E453CD" w:rsidP="00776A84">
      <w:pPr>
        <w:keepNext/>
        <w:suppressAutoHyphens/>
        <w:ind w:left="570" w:hanging="570"/>
        <w:rPr>
          <w:b/>
          <w:sz w:val="22"/>
          <w:szCs w:val="22"/>
        </w:rPr>
      </w:pPr>
      <w:r w:rsidRPr="007F67EE">
        <w:rPr>
          <w:b/>
          <w:sz w:val="22"/>
          <w:szCs w:val="22"/>
        </w:rPr>
        <w:t>4.2</w:t>
      </w:r>
      <w:r w:rsidRPr="00193D76">
        <w:rPr>
          <w:b/>
          <w:sz w:val="22"/>
          <w:szCs w:val="22"/>
        </w:rPr>
        <w:tab/>
      </w:r>
      <w:r w:rsidRPr="002D0790">
        <w:rPr>
          <w:b/>
          <w:sz w:val="22"/>
          <w:szCs w:val="22"/>
        </w:rPr>
        <w:t>Dosering og administrasjonsmåte</w:t>
      </w:r>
    </w:p>
    <w:p w14:paraId="613BDB64" w14:textId="77777777" w:rsidR="009E676E" w:rsidRPr="009C5EFD" w:rsidRDefault="009E676E" w:rsidP="00776A84">
      <w:pPr>
        <w:pStyle w:val="EndnoteText"/>
        <w:keepNext/>
        <w:tabs>
          <w:tab w:val="clear" w:pos="567"/>
        </w:tabs>
        <w:rPr>
          <w:szCs w:val="22"/>
          <w:lang w:val="nb-NO"/>
        </w:rPr>
      </w:pPr>
    </w:p>
    <w:p w14:paraId="505C7713" w14:textId="77777777" w:rsidR="009E676E" w:rsidRPr="009C5EFD" w:rsidRDefault="00E453CD" w:rsidP="009E676E">
      <w:pPr>
        <w:pStyle w:val="EndnoteText"/>
        <w:tabs>
          <w:tab w:val="clear" w:pos="567"/>
        </w:tabs>
        <w:rPr>
          <w:szCs w:val="22"/>
          <w:lang w:val="nb-NO"/>
        </w:rPr>
      </w:pPr>
      <w:r w:rsidRPr="009C5EFD">
        <w:rPr>
          <w:szCs w:val="22"/>
          <w:lang w:val="nb-NO"/>
        </w:rPr>
        <w:t xml:space="preserve">Behandling med Humira bør startes opp og overvåkes av spesialistlege med erfaring i diagnostikk og behandling av tilstander der Humira er indisert. </w:t>
      </w:r>
      <w:r>
        <w:rPr>
          <w:szCs w:val="22"/>
          <w:lang w:val="nb-NO"/>
        </w:rPr>
        <w:t>Ofta</w:t>
      </w:r>
      <w:r w:rsidR="00097E59">
        <w:rPr>
          <w:szCs w:val="22"/>
          <w:lang w:val="nb-NO"/>
        </w:rPr>
        <w:t>l</w:t>
      </w:r>
      <w:r>
        <w:rPr>
          <w:szCs w:val="22"/>
          <w:lang w:val="nb-NO"/>
        </w:rPr>
        <w:t xml:space="preserve">mologer rådes til å konsultere en </w:t>
      </w:r>
      <w:r w:rsidR="00097E59">
        <w:rPr>
          <w:szCs w:val="22"/>
          <w:lang w:val="nb-NO"/>
        </w:rPr>
        <w:t xml:space="preserve">passende </w:t>
      </w:r>
      <w:r>
        <w:rPr>
          <w:szCs w:val="22"/>
          <w:lang w:val="nb-NO"/>
        </w:rPr>
        <w:t xml:space="preserve">spesialist før oppstart av behandling med Humira (se pkt. 4.4). </w:t>
      </w:r>
      <w:r w:rsidRPr="009C5EFD">
        <w:rPr>
          <w:szCs w:val="22"/>
          <w:lang w:val="nb-NO"/>
        </w:rPr>
        <w:t xml:space="preserve">Pasienter som behandles med Humira </w:t>
      </w:r>
      <w:r w:rsidRPr="009C5EFD">
        <w:rPr>
          <w:color w:val="000000"/>
          <w:szCs w:val="22"/>
          <w:lang w:val="nb-NO"/>
        </w:rPr>
        <w:t>bør gis</w:t>
      </w:r>
      <w:r w:rsidRPr="009C5EFD">
        <w:rPr>
          <w:szCs w:val="22"/>
          <w:lang w:val="nb-NO"/>
        </w:rPr>
        <w:t xml:space="preserve"> et pasientkort med sikkerhetsinformasjon.</w:t>
      </w:r>
    </w:p>
    <w:p w14:paraId="0650F563" w14:textId="77777777" w:rsidR="009E676E" w:rsidRPr="009C5EFD" w:rsidRDefault="009E676E" w:rsidP="009E676E">
      <w:pPr>
        <w:pStyle w:val="EndnoteText"/>
        <w:tabs>
          <w:tab w:val="clear" w:pos="567"/>
        </w:tabs>
        <w:rPr>
          <w:szCs w:val="22"/>
          <w:lang w:val="nb-NO"/>
        </w:rPr>
      </w:pPr>
    </w:p>
    <w:p w14:paraId="6AE29680" w14:textId="77777777" w:rsidR="009E676E" w:rsidRPr="009C5EFD" w:rsidRDefault="00E453CD" w:rsidP="009E676E">
      <w:pPr>
        <w:rPr>
          <w:sz w:val="22"/>
          <w:szCs w:val="22"/>
        </w:rPr>
      </w:pPr>
      <w:r w:rsidRPr="009C5EFD">
        <w:rPr>
          <w:sz w:val="22"/>
          <w:szCs w:val="22"/>
        </w:rPr>
        <w:t>Etter opplæring i injeksjonsteknikk kan pasientene selv injisere Humira dersom legen mener det er forsvarlig, og med den nødvendige medisinske oppfølging.</w:t>
      </w:r>
    </w:p>
    <w:p w14:paraId="11B4ADE8" w14:textId="77777777" w:rsidR="009E676E" w:rsidRPr="009C5EFD" w:rsidRDefault="009E676E" w:rsidP="009E676E">
      <w:pPr>
        <w:rPr>
          <w:sz w:val="22"/>
          <w:szCs w:val="22"/>
        </w:rPr>
      </w:pPr>
    </w:p>
    <w:p w14:paraId="5B804511" w14:textId="77777777" w:rsidR="009E676E" w:rsidRPr="009C5EFD" w:rsidRDefault="00E453CD" w:rsidP="009E676E">
      <w:pPr>
        <w:rPr>
          <w:sz w:val="22"/>
          <w:szCs w:val="22"/>
        </w:rPr>
      </w:pPr>
      <w:r w:rsidRPr="009C5EFD">
        <w:rPr>
          <w:sz w:val="22"/>
          <w:szCs w:val="22"/>
        </w:rPr>
        <w:lastRenderedPageBreak/>
        <w:t>Under behandling med Humira bør annen samtidig terapi (f.eks. kortikosteroider og/eller immunmodulerende midler) være optimalisert.</w:t>
      </w:r>
    </w:p>
    <w:p w14:paraId="62E68852" w14:textId="77777777" w:rsidR="009E676E" w:rsidRPr="009C5EFD" w:rsidRDefault="009E676E" w:rsidP="009E676E">
      <w:pPr>
        <w:rPr>
          <w:sz w:val="22"/>
          <w:szCs w:val="22"/>
        </w:rPr>
      </w:pPr>
    </w:p>
    <w:p w14:paraId="4108A840" w14:textId="77777777" w:rsidR="009E676E" w:rsidRPr="001F5D4B" w:rsidRDefault="00E453CD" w:rsidP="00B07EA9">
      <w:pPr>
        <w:keepNext/>
        <w:rPr>
          <w:sz w:val="22"/>
          <w:szCs w:val="22"/>
          <w:u w:val="single"/>
        </w:rPr>
      </w:pPr>
      <w:r w:rsidRPr="001F5D4B">
        <w:rPr>
          <w:sz w:val="22"/>
          <w:szCs w:val="22"/>
          <w:u w:val="single"/>
        </w:rPr>
        <w:t>Dosering</w:t>
      </w:r>
    </w:p>
    <w:p w14:paraId="042B7FC3" w14:textId="77777777" w:rsidR="009E676E" w:rsidRDefault="009E676E" w:rsidP="00B07EA9">
      <w:pPr>
        <w:keepNext/>
        <w:rPr>
          <w:sz w:val="22"/>
          <w:szCs w:val="22"/>
        </w:rPr>
      </w:pPr>
    </w:p>
    <w:p w14:paraId="13D10D85" w14:textId="77777777" w:rsidR="00CE15E0" w:rsidRPr="009C5EFD" w:rsidRDefault="00E453CD" w:rsidP="00B07EA9">
      <w:pPr>
        <w:keepNext/>
        <w:rPr>
          <w:i/>
          <w:sz w:val="22"/>
          <w:szCs w:val="22"/>
        </w:rPr>
      </w:pPr>
      <w:r w:rsidRPr="009C5EFD">
        <w:rPr>
          <w:i/>
          <w:sz w:val="22"/>
          <w:szCs w:val="22"/>
        </w:rPr>
        <w:t>Revmatoid artritt</w:t>
      </w:r>
    </w:p>
    <w:p w14:paraId="56006B33" w14:textId="77777777" w:rsidR="00CE15E0" w:rsidRPr="009C5EFD" w:rsidRDefault="00CE15E0" w:rsidP="00B07EA9">
      <w:pPr>
        <w:keepNext/>
        <w:rPr>
          <w:sz w:val="22"/>
          <w:szCs w:val="22"/>
        </w:rPr>
      </w:pPr>
    </w:p>
    <w:p w14:paraId="691D7318" w14:textId="77777777" w:rsidR="00CE15E0" w:rsidRPr="009C5EFD" w:rsidRDefault="00E453CD" w:rsidP="00CE15E0">
      <w:pPr>
        <w:rPr>
          <w:sz w:val="22"/>
          <w:szCs w:val="22"/>
        </w:rPr>
      </w:pPr>
      <w:r w:rsidRPr="009C5EFD">
        <w:rPr>
          <w:sz w:val="22"/>
          <w:szCs w:val="22"/>
        </w:rPr>
        <w:t>Anbefalt dose av Humira til voksne pasienter med revmatoid artritt er en enkeltdose 40 mg adalimumab gitt som subkutan injeksjon annen</w:t>
      </w:r>
      <w:r w:rsidR="005D10BA">
        <w:rPr>
          <w:sz w:val="22"/>
          <w:szCs w:val="22"/>
        </w:rPr>
        <w:t>hver</w:t>
      </w:r>
      <w:r w:rsidRPr="009C5EFD">
        <w:rPr>
          <w:sz w:val="22"/>
          <w:szCs w:val="22"/>
        </w:rPr>
        <w:t xml:space="preserve"> uke. Det bør fortsettes med metotreksat under behandling med Humira.</w:t>
      </w:r>
    </w:p>
    <w:p w14:paraId="29D54B51" w14:textId="77777777" w:rsidR="00CE15E0" w:rsidRPr="009C5EFD" w:rsidRDefault="00CE15E0" w:rsidP="00CE15E0">
      <w:pPr>
        <w:rPr>
          <w:sz w:val="22"/>
          <w:szCs w:val="22"/>
        </w:rPr>
      </w:pPr>
    </w:p>
    <w:p w14:paraId="76B735F8" w14:textId="77777777" w:rsidR="00CE15E0" w:rsidRPr="009C5EFD" w:rsidRDefault="00E453CD" w:rsidP="00CE15E0">
      <w:pPr>
        <w:rPr>
          <w:sz w:val="22"/>
          <w:szCs w:val="22"/>
        </w:rPr>
      </w:pPr>
      <w:r w:rsidRPr="009C5EFD">
        <w:rPr>
          <w:sz w:val="22"/>
          <w:szCs w:val="22"/>
        </w:rPr>
        <w:t xml:space="preserve">Glukokortikoider, salisylater, ikke-steroide antiinflammatoriske midler </w:t>
      </w:r>
      <w:r w:rsidR="003F10B3" w:rsidRPr="003F10B3">
        <w:rPr>
          <w:sz w:val="22"/>
          <w:szCs w:val="22"/>
        </w:rPr>
        <w:t>(NSAIDs)</w:t>
      </w:r>
      <w:r w:rsidR="003F10B3">
        <w:rPr>
          <w:sz w:val="22"/>
          <w:szCs w:val="22"/>
        </w:rPr>
        <w:t xml:space="preserve"> </w:t>
      </w:r>
      <w:r w:rsidRPr="009C5EFD">
        <w:rPr>
          <w:sz w:val="22"/>
          <w:szCs w:val="22"/>
        </w:rPr>
        <w:t>eller smertestillende midler kan fortsatt gis under behandling med Humira. Når det gjelder kombinasjon med andre sykdomsmodifiserende legemidler enn metotreksat se pkt.</w:t>
      </w:r>
      <w:r w:rsidR="00B279C4">
        <w:rPr>
          <w:sz w:val="22"/>
          <w:szCs w:val="22"/>
        </w:rPr>
        <w:t> </w:t>
      </w:r>
      <w:r w:rsidRPr="009C5EFD">
        <w:rPr>
          <w:sz w:val="22"/>
          <w:szCs w:val="22"/>
        </w:rPr>
        <w:t>4.4 og 5.1.</w:t>
      </w:r>
    </w:p>
    <w:p w14:paraId="6D9E593C" w14:textId="77777777" w:rsidR="00CE15E0" w:rsidRPr="009C5EFD" w:rsidRDefault="00CE15E0" w:rsidP="00CE15E0">
      <w:pPr>
        <w:pStyle w:val="EndnoteText"/>
        <w:widowControl/>
        <w:tabs>
          <w:tab w:val="clear" w:pos="567"/>
          <w:tab w:val="left" w:pos="708"/>
        </w:tabs>
        <w:rPr>
          <w:szCs w:val="22"/>
          <w:lang w:val="nb-NO"/>
        </w:rPr>
      </w:pPr>
    </w:p>
    <w:p w14:paraId="6ED25399" w14:textId="77777777" w:rsidR="00CE15E0" w:rsidRDefault="00E453CD" w:rsidP="00CE15E0">
      <w:pPr>
        <w:rPr>
          <w:sz w:val="22"/>
          <w:szCs w:val="22"/>
        </w:rPr>
      </w:pPr>
      <w:r>
        <w:rPr>
          <w:sz w:val="22"/>
          <w:szCs w:val="22"/>
        </w:rPr>
        <w:t>Ved</w:t>
      </w:r>
      <w:r w:rsidRPr="009C5EFD">
        <w:rPr>
          <w:sz w:val="22"/>
          <w:szCs w:val="22"/>
        </w:rPr>
        <w:t xml:space="preserve"> monoterapi, kan noen pasienter som </w:t>
      </w:r>
      <w:r w:rsidRPr="009C5EFD">
        <w:rPr>
          <w:color w:val="000000"/>
          <w:sz w:val="22"/>
          <w:szCs w:val="22"/>
        </w:rPr>
        <w:t>opplever en reduksjon i</w:t>
      </w:r>
      <w:r w:rsidRPr="009C5EFD">
        <w:rPr>
          <w:sz w:val="22"/>
          <w:szCs w:val="22"/>
        </w:rPr>
        <w:t xml:space="preserve"> respons på Humira </w:t>
      </w:r>
      <w:r>
        <w:rPr>
          <w:sz w:val="22"/>
          <w:szCs w:val="22"/>
        </w:rPr>
        <w:t>40</w:t>
      </w:r>
      <w:r w:rsidR="00B279C4">
        <w:rPr>
          <w:sz w:val="22"/>
          <w:szCs w:val="22"/>
        </w:rPr>
        <w:t> </w:t>
      </w:r>
      <w:r>
        <w:rPr>
          <w:sz w:val="22"/>
          <w:szCs w:val="22"/>
        </w:rPr>
        <w:t xml:space="preserve">mg annenhver uke </w:t>
      </w:r>
      <w:r w:rsidRPr="009C5EFD">
        <w:rPr>
          <w:sz w:val="22"/>
          <w:szCs w:val="22"/>
        </w:rPr>
        <w:t>ha nytte av en økning i dose</w:t>
      </w:r>
      <w:r>
        <w:rPr>
          <w:sz w:val="22"/>
          <w:szCs w:val="22"/>
        </w:rPr>
        <w:t>ring</w:t>
      </w:r>
      <w:r w:rsidRPr="009C5EFD">
        <w:rPr>
          <w:sz w:val="22"/>
          <w:szCs w:val="22"/>
        </w:rPr>
        <w:t xml:space="preserve"> til 40 mg adalimumab hver uke</w:t>
      </w:r>
      <w:r>
        <w:rPr>
          <w:sz w:val="22"/>
          <w:szCs w:val="22"/>
        </w:rPr>
        <w:t xml:space="preserve"> eller 80</w:t>
      </w:r>
      <w:r w:rsidR="00B279C4">
        <w:rPr>
          <w:sz w:val="22"/>
          <w:szCs w:val="22"/>
        </w:rPr>
        <w:t> </w:t>
      </w:r>
      <w:r>
        <w:rPr>
          <w:sz w:val="22"/>
          <w:szCs w:val="22"/>
        </w:rPr>
        <w:t>mg annenhver uke</w:t>
      </w:r>
      <w:r w:rsidRPr="009C5EFD">
        <w:rPr>
          <w:sz w:val="22"/>
          <w:szCs w:val="22"/>
        </w:rPr>
        <w:t>.</w:t>
      </w:r>
    </w:p>
    <w:p w14:paraId="15DDF7B7" w14:textId="77777777" w:rsidR="00CE15E0" w:rsidRDefault="00CE15E0" w:rsidP="00CE15E0">
      <w:pPr>
        <w:rPr>
          <w:sz w:val="22"/>
          <w:szCs w:val="22"/>
        </w:rPr>
      </w:pPr>
    </w:p>
    <w:p w14:paraId="7F74E6F1" w14:textId="77777777" w:rsidR="00CE15E0" w:rsidRDefault="00E453CD" w:rsidP="00CE15E0">
      <w:pPr>
        <w:rPr>
          <w:sz w:val="22"/>
          <w:szCs w:val="22"/>
        </w:rPr>
      </w:pPr>
      <w:r w:rsidRPr="009C5EFD">
        <w:rPr>
          <w:sz w:val="22"/>
          <w:szCs w:val="22"/>
        </w:rPr>
        <w:t xml:space="preserve">Tilgjengelig data </w:t>
      </w:r>
      <w:r w:rsidR="00B061AD">
        <w:rPr>
          <w:sz w:val="22"/>
          <w:szCs w:val="22"/>
        </w:rPr>
        <w:t>an</w:t>
      </w:r>
      <w:r w:rsidRPr="009C5EFD">
        <w:rPr>
          <w:sz w:val="22"/>
          <w:szCs w:val="22"/>
        </w:rPr>
        <w:t xml:space="preserve">tyder at klinisk respons vanligvis oppnås innen </w:t>
      </w:r>
      <w:r>
        <w:rPr>
          <w:sz w:val="22"/>
          <w:szCs w:val="22"/>
        </w:rPr>
        <w:t>12</w:t>
      </w:r>
      <w:r w:rsidR="00B279C4">
        <w:rPr>
          <w:sz w:val="22"/>
          <w:szCs w:val="22"/>
        </w:rPr>
        <w:t> </w:t>
      </w:r>
      <w:r w:rsidRPr="009C5EFD">
        <w:rPr>
          <w:sz w:val="22"/>
          <w:szCs w:val="22"/>
        </w:rPr>
        <w:t xml:space="preserve">ukers behandling. </w:t>
      </w:r>
      <w:r>
        <w:rPr>
          <w:sz w:val="22"/>
          <w:szCs w:val="22"/>
        </w:rPr>
        <w:t>Videre b</w:t>
      </w:r>
      <w:r w:rsidRPr="009C5EFD">
        <w:rPr>
          <w:sz w:val="22"/>
          <w:szCs w:val="22"/>
        </w:rPr>
        <w:t xml:space="preserve">ehandling </w:t>
      </w:r>
      <w:r>
        <w:rPr>
          <w:sz w:val="22"/>
          <w:szCs w:val="22"/>
        </w:rPr>
        <w:t>av</w:t>
      </w:r>
      <w:r w:rsidRPr="009C5EFD">
        <w:rPr>
          <w:sz w:val="22"/>
          <w:szCs w:val="22"/>
        </w:rPr>
        <w:t xml:space="preserve"> </w:t>
      </w:r>
      <w:r>
        <w:rPr>
          <w:sz w:val="22"/>
          <w:szCs w:val="22"/>
        </w:rPr>
        <w:t xml:space="preserve">en </w:t>
      </w:r>
      <w:r w:rsidRPr="009C5EFD">
        <w:rPr>
          <w:sz w:val="22"/>
          <w:szCs w:val="22"/>
        </w:rPr>
        <w:t xml:space="preserve">pasient som ikke </w:t>
      </w:r>
      <w:r>
        <w:rPr>
          <w:sz w:val="22"/>
          <w:szCs w:val="22"/>
        </w:rPr>
        <w:t xml:space="preserve">har </w:t>
      </w:r>
      <w:r w:rsidRPr="009C5EFD">
        <w:rPr>
          <w:sz w:val="22"/>
          <w:szCs w:val="22"/>
        </w:rPr>
        <w:t>re</w:t>
      </w:r>
      <w:r>
        <w:rPr>
          <w:sz w:val="22"/>
          <w:szCs w:val="22"/>
        </w:rPr>
        <w:t>spondert</w:t>
      </w:r>
      <w:r w:rsidRPr="009C5EFD">
        <w:rPr>
          <w:sz w:val="22"/>
          <w:szCs w:val="22"/>
        </w:rPr>
        <w:t xml:space="preserve"> i</w:t>
      </w:r>
      <w:r>
        <w:rPr>
          <w:sz w:val="22"/>
          <w:szCs w:val="22"/>
        </w:rPr>
        <w:t>nnen denne perioden bør overveies</w:t>
      </w:r>
      <w:r w:rsidRPr="009C5EFD">
        <w:rPr>
          <w:sz w:val="22"/>
          <w:szCs w:val="22"/>
        </w:rPr>
        <w:t>.</w:t>
      </w:r>
    </w:p>
    <w:p w14:paraId="42CCA5FC" w14:textId="77777777" w:rsidR="00CE15E0" w:rsidRDefault="00CE15E0" w:rsidP="00CE15E0">
      <w:pPr>
        <w:rPr>
          <w:sz w:val="22"/>
          <w:szCs w:val="22"/>
        </w:rPr>
      </w:pPr>
    </w:p>
    <w:p w14:paraId="400886E5" w14:textId="77777777" w:rsidR="00CE15E0" w:rsidRDefault="00E453CD" w:rsidP="00CE15E0">
      <w:pPr>
        <w:rPr>
          <w:sz w:val="22"/>
          <w:szCs w:val="22"/>
        </w:rPr>
      </w:pPr>
      <w:r w:rsidRPr="00D115E8">
        <w:rPr>
          <w:sz w:val="22"/>
          <w:szCs w:val="22"/>
        </w:rPr>
        <w:t>Humira kan være tilgjengelig i andre styrker og/eller formuleringer avhengig av individuelle behandlingsbehov.</w:t>
      </w:r>
    </w:p>
    <w:p w14:paraId="222BCA92" w14:textId="77777777" w:rsidR="00CE15E0" w:rsidRPr="007F67EE" w:rsidRDefault="00CE15E0" w:rsidP="009E676E">
      <w:pPr>
        <w:rPr>
          <w:sz w:val="22"/>
          <w:szCs w:val="22"/>
        </w:rPr>
      </w:pPr>
    </w:p>
    <w:p w14:paraId="0507128B" w14:textId="77777777" w:rsidR="009E676E" w:rsidRPr="001F5D4B" w:rsidRDefault="00E453CD" w:rsidP="00776A84">
      <w:pPr>
        <w:pStyle w:val="Heading8"/>
        <w:rPr>
          <w:i/>
          <w:szCs w:val="22"/>
          <w:u w:val="none"/>
        </w:rPr>
      </w:pPr>
      <w:r w:rsidRPr="001F5D4B">
        <w:rPr>
          <w:i/>
          <w:szCs w:val="22"/>
          <w:u w:val="none"/>
        </w:rPr>
        <w:t>Psoriasis</w:t>
      </w:r>
    </w:p>
    <w:p w14:paraId="7B5F0741" w14:textId="77777777" w:rsidR="009E676E" w:rsidRPr="007F67EE" w:rsidRDefault="009E676E" w:rsidP="00776A84">
      <w:pPr>
        <w:keepNext/>
        <w:rPr>
          <w:sz w:val="22"/>
          <w:szCs w:val="22"/>
        </w:rPr>
      </w:pPr>
    </w:p>
    <w:p w14:paraId="07A641A0" w14:textId="77777777" w:rsidR="009E676E" w:rsidRPr="00193D76" w:rsidRDefault="00E453CD" w:rsidP="009E676E">
      <w:pPr>
        <w:rPr>
          <w:sz w:val="22"/>
          <w:szCs w:val="22"/>
        </w:rPr>
      </w:pPr>
      <w:r w:rsidRPr="007F67EE">
        <w:rPr>
          <w:sz w:val="22"/>
          <w:szCs w:val="22"/>
        </w:rPr>
        <w:t xml:space="preserve">Anbefalt </w:t>
      </w:r>
      <w:r>
        <w:rPr>
          <w:sz w:val="22"/>
          <w:szCs w:val="22"/>
        </w:rPr>
        <w:t>start</w:t>
      </w:r>
      <w:r w:rsidRPr="007F67EE">
        <w:rPr>
          <w:sz w:val="22"/>
          <w:szCs w:val="22"/>
        </w:rPr>
        <w:t>dose av Humira til voksne pasienter er 80 mg gitt subkutant et</w:t>
      </w:r>
      <w:r w:rsidRPr="00193D76">
        <w:rPr>
          <w:sz w:val="22"/>
          <w:szCs w:val="22"/>
        </w:rPr>
        <w:t>terfulgt av 40 mg subkutant etter en uke, og deretter 40 mg annenhver uke.</w:t>
      </w:r>
      <w:r w:rsidR="00FD5FF1">
        <w:rPr>
          <w:sz w:val="22"/>
          <w:szCs w:val="22"/>
        </w:rPr>
        <w:t xml:space="preserve"> Humira </w:t>
      </w:r>
      <w:r w:rsidR="00A94269">
        <w:rPr>
          <w:sz w:val="22"/>
          <w:szCs w:val="22"/>
        </w:rPr>
        <w:t xml:space="preserve">40 mg </w:t>
      </w:r>
      <w:r w:rsidR="00FD5FF1" w:rsidRPr="00FD5FF1">
        <w:rPr>
          <w:sz w:val="22"/>
          <w:szCs w:val="22"/>
        </w:rPr>
        <w:t>injeksjonsvæske, oppløsning i ferdigfylt sprøyte</w:t>
      </w:r>
      <w:r w:rsidR="00FD5FF1">
        <w:rPr>
          <w:sz w:val="22"/>
          <w:szCs w:val="22"/>
        </w:rPr>
        <w:t xml:space="preserve"> og/eller penn er tilgjengelig for vedlikeholdsdose</w:t>
      </w:r>
      <w:r w:rsidR="007A625D">
        <w:rPr>
          <w:sz w:val="22"/>
          <w:szCs w:val="22"/>
        </w:rPr>
        <w:t>n</w:t>
      </w:r>
      <w:r w:rsidR="00FD5FF1">
        <w:rPr>
          <w:sz w:val="22"/>
          <w:szCs w:val="22"/>
        </w:rPr>
        <w:t>.</w:t>
      </w:r>
    </w:p>
    <w:p w14:paraId="10305817" w14:textId="77777777" w:rsidR="009E676E" w:rsidRPr="002D0790" w:rsidRDefault="009E676E" w:rsidP="009E676E">
      <w:pPr>
        <w:rPr>
          <w:sz w:val="22"/>
          <w:szCs w:val="22"/>
        </w:rPr>
      </w:pPr>
    </w:p>
    <w:p w14:paraId="29B03057" w14:textId="77777777" w:rsidR="009E676E" w:rsidRDefault="00E453CD" w:rsidP="009E676E">
      <w:pPr>
        <w:rPr>
          <w:sz w:val="22"/>
          <w:szCs w:val="22"/>
        </w:rPr>
      </w:pPr>
      <w:r w:rsidRPr="002D0790">
        <w:rPr>
          <w:sz w:val="22"/>
          <w:szCs w:val="22"/>
        </w:rPr>
        <w:t>Videre b</w:t>
      </w:r>
      <w:r w:rsidRPr="00E14E58">
        <w:rPr>
          <w:sz w:val="22"/>
          <w:szCs w:val="22"/>
        </w:rPr>
        <w:t xml:space="preserve">ehandling </w:t>
      </w:r>
      <w:r>
        <w:rPr>
          <w:sz w:val="22"/>
          <w:szCs w:val="22"/>
        </w:rPr>
        <w:t>ut</w:t>
      </w:r>
      <w:r w:rsidRPr="00E14E58">
        <w:rPr>
          <w:sz w:val="22"/>
          <w:szCs w:val="22"/>
        </w:rPr>
        <w:t>over 16 uker bør nøye overveies hos pasienter som ikke re</w:t>
      </w:r>
      <w:r w:rsidRPr="009C5EFD">
        <w:rPr>
          <w:sz w:val="22"/>
          <w:szCs w:val="22"/>
        </w:rPr>
        <w:t>sponderer innen denne perioden.</w:t>
      </w:r>
    </w:p>
    <w:p w14:paraId="673B461B" w14:textId="77777777" w:rsidR="009E676E" w:rsidRDefault="009E676E" w:rsidP="009E676E">
      <w:pPr>
        <w:rPr>
          <w:sz w:val="22"/>
          <w:szCs w:val="22"/>
        </w:rPr>
      </w:pPr>
    </w:p>
    <w:p w14:paraId="67FD651B" w14:textId="77777777" w:rsidR="009E676E" w:rsidRDefault="00E453CD" w:rsidP="009E676E">
      <w:pPr>
        <w:rPr>
          <w:sz w:val="22"/>
          <w:szCs w:val="22"/>
        </w:rPr>
      </w:pPr>
      <w:r w:rsidRPr="00884304">
        <w:rPr>
          <w:sz w:val="22"/>
          <w:szCs w:val="22"/>
        </w:rPr>
        <w:t>Utover 16</w:t>
      </w:r>
      <w:r w:rsidR="00B279C4">
        <w:rPr>
          <w:sz w:val="22"/>
          <w:szCs w:val="22"/>
        </w:rPr>
        <w:t> </w:t>
      </w:r>
      <w:r w:rsidRPr="00884304">
        <w:rPr>
          <w:sz w:val="22"/>
          <w:szCs w:val="22"/>
        </w:rPr>
        <w:t xml:space="preserve">uker, kan pasienter med utilstrekkelig respons </w:t>
      </w:r>
      <w:r w:rsidR="007250BA">
        <w:rPr>
          <w:sz w:val="22"/>
          <w:szCs w:val="22"/>
        </w:rPr>
        <w:t>på</w:t>
      </w:r>
      <w:r w:rsidR="00CE15E0">
        <w:rPr>
          <w:sz w:val="22"/>
          <w:szCs w:val="22"/>
        </w:rPr>
        <w:t xml:space="preserve"> Humira 40</w:t>
      </w:r>
      <w:r w:rsidR="00B279C4">
        <w:rPr>
          <w:sz w:val="22"/>
          <w:szCs w:val="22"/>
        </w:rPr>
        <w:t> </w:t>
      </w:r>
      <w:r w:rsidR="00CE15E0">
        <w:rPr>
          <w:sz w:val="22"/>
          <w:szCs w:val="22"/>
        </w:rPr>
        <w:t xml:space="preserve">mg annenhver uke </w:t>
      </w:r>
      <w:r>
        <w:rPr>
          <w:sz w:val="22"/>
          <w:szCs w:val="22"/>
        </w:rPr>
        <w:t xml:space="preserve">ha </w:t>
      </w:r>
      <w:r w:rsidRPr="00884304">
        <w:rPr>
          <w:sz w:val="22"/>
          <w:szCs w:val="22"/>
        </w:rPr>
        <w:t>nytte av en økning i dosering til 40</w:t>
      </w:r>
      <w:r w:rsidR="00B279C4">
        <w:rPr>
          <w:sz w:val="22"/>
          <w:szCs w:val="22"/>
        </w:rPr>
        <w:t> </w:t>
      </w:r>
      <w:r w:rsidRPr="00884304">
        <w:rPr>
          <w:sz w:val="22"/>
          <w:szCs w:val="22"/>
        </w:rPr>
        <w:t>mg hver uke</w:t>
      </w:r>
      <w:r w:rsidR="00CE15E0">
        <w:rPr>
          <w:sz w:val="22"/>
          <w:szCs w:val="22"/>
        </w:rPr>
        <w:t xml:space="preserve"> eller 80</w:t>
      </w:r>
      <w:r w:rsidR="00B279C4">
        <w:rPr>
          <w:sz w:val="22"/>
          <w:szCs w:val="22"/>
        </w:rPr>
        <w:t> </w:t>
      </w:r>
      <w:r w:rsidR="00CE15E0">
        <w:rPr>
          <w:sz w:val="22"/>
          <w:szCs w:val="22"/>
        </w:rPr>
        <w:t>mg annenhver uke</w:t>
      </w:r>
      <w:r w:rsidRPr="00884304">
        <w:rPr>
          <w:sz w:val="22"/>
          <w:szCs w:val="22"/>
        </w:rPr>
        <w:t xml:space="preserve">. </w:t>
      </w:r>
      <w:r w:rsidR="009B6A5C">
        <w:rPr>
          <w:sz w:val="22"/>
          <w:szCs w:val="22"/>
        </w:rPr>
        <w:t>Nytte</w:t>
      </w:r>
      <w:r w:rsidR="009B6A5C" w:rsidRPr="00884304">
        <w:rPr>
          <w:sz w:val="22"/>
          <w:szCs w:val="22"/>
        </w:rPr>
        <w:t xml:space="preserve"> </w:t>
      </w:r>
      <w:r w:rsidRPr="00884304">
        <w:rPr>
          <w:sz w:val="22"/>
          <w:szCs w:val="22"/>
        </w:rPr>
        <w:t xml:space="preserve">og risiko ved fortsatt ukentlig behandling med </w:t>
      </w:r>
      <w:r w:rsidR="00CE15E0">
        <w:rPr>
          <w:sz w:val="22"/>
          <w:szCs w:val="22"/>
        </w:rPr>
        <w:t>40</w:t>
      </w:r>
      <w:r w:rsidR="009B6A5C">
        <w:rPr>
          <w:sz w:val="22"/>
          <w:szCs w:val="22"/>
        </w:rPr>
        <w:t> </w:t>
      </w:r>
      <w:r w:rsidR="00CE15E0">
        <w:rPr>
          <w:sz w:val="22"/>
          <w:szCs w:val="22"/>
        </w:rPr>
        <w:t>mg</w:t>
      </w:r>
      <w:r w:rsidR="00CE15E0" w:rsidRPr="00884304">
        <w:rPr>
          <w:sz w:val="22"/>
          <w:szCs w:val="22"/>
        </w:rPr>
        <w:t xml:space="preserve"> </w:t>
      </w:r>
      <w:r w:rsidR="00CE15E0">
        <w:rPr>
          <w:sz w:val="22"/>
          <w:szCs w:val="22"/>
        </w:rPr>
        <w:t>eller 80</w:t>
      </w:r>
      <w:r w:rsidR="009B6A5C">
        <w:rPr>
          <w:sz w:val="22"/>
          <w:szCs w:val="22"/>
        </w:rPr>
        <w:t> </w:t>
      </w:r>
      <w:r w:rsidR="00CE15E0">
        <w:rPr>
          <w:sz w:val="22"/>
          <w:szCs w:val="22"/>
        </w:rPr>
        <w:t xml:space="preserve">mg annenhver uke </w:t>
      </w:r>
      <w:r w:rsidRPr="00884304">
        <w:rPr>
          <w:sz w:val="22"/>
          <w:szCs w:val="22"/>
        </w:rPr>
        <w:t>bør revurderes nøye hos en pasient med en utilstrekkelig respons ett</w:t>
      </w:r>
      <w:r>
        <w:rPr>
          <w:sz w:val="22"/>
          <w:szCs w:val="22"/>
        </w:rPr>
        <w:t>er økningen i dosering (se p</w:t>
      </w:r>
      <w:r w:rsidRPr="00884304">
        <w:rPr>
          <w:sz w:val="22"/>
          <w:szCs w:val="22"/>
        </w:rPr>
        <w:t>kt</w:t>
      </w:r>
      <w:r>
        <w:rPr>
          <w:sz w:val="22"/>
          <w:szCs w:val="22"/>
        </w:rPr>
        <w:t>.</w:t>
      </w:r>
      <w:r w:rsidR="009B6A5C">
        <w:rPr>
          <w:sz w:val="22"/>
          <w:szCs w:val="22"/>
        </w:rPr>
        <w:t> </w:t>
      </w:r>
      <w:r w:rsidR="007A78A6">
        <w:rPr>
          <w:sz w:val="22"/>
          <w:szCs w:val="22"/>
        </w:rPr>
        <w:t xml:space="preserve">5.1). </w:t>
      </w:r>
      <w:r w:rsidRPr="00884304">
        <w:rPr>
          <w:sz w:val="22"/>
          <w:szCs w:val="22"/>
        </w:rPr>
        <w:t xml:space="preserve">Dersom tilstrekkelig respons oppnås med </w:t>
      </w:r>
      <w:r w:rsidR="007A78A6">
        <w:rPr>
          <w:sz w:val="22"/>
          <w:szCs w:val="22"/>
        </w:rPr>
        <w:t>40</w:t>
      </w:r>
      <w:r w:rsidR="009B6A5C">
        <w:rPr>
          <w:sz w:val="22"/>
          <w:szCs w:val="22"/>
        </w:rPr>
        <w:t> </w:t>
      </w:r>
      <w:r w:rsidR="007A78A6">
        <w:rPr>
          <w:sz w:val="22"/>
          <w:szCs w:val="22"/>
        </w:rPr>
        <w:t>mg hver uke eller 80</w:t>
      </w:r>
      <w:r w:rsidR="009B6A5C">
        <w:rPr>
          <w:sz w:val="22"/>
          <w:szCs w:val="22"/>
        </w:rPr>
        <w:t> </w:t>
      </w:r>
      <w:r w:rsidR="007A78A6">
        <w:rPr>
          <w:sz w:val="22"/>
          <w:szCs w:val="22"/>
        </w:rPr>
        <w:t>mg annenhver uke</w:t>
      </w:r>
      <w:r w:rsidRPr="00884304">
        <w:rPr>
          <w:sz w:val="22"/>
          <w:szCs w:val="22"/>
        </w:rPr>
        <w:t>, kan dose</w:t>
      </w:r>
      <w:r w:rsidR="007A78A6">
        <w:rPr>
          <w:sz w:val="22"/>
          <w:szCs w:val="22"/>
        </w:rPr>
        <w:t>ring</w:t>
      </w:r>
      <w:r w:rsidR="00E646EF">
        <w:rPr>
          <w:sz w:val="22"/>
          <w:szCs w:val="22"/>
        </w:rPr>
        <w:t>en</w:t>
      </w:r>
      <w:r w:rsidRPr="00884304">
        <w:rPr>
          <w:sz w:val="22"/>
          <w:szCs w:val="22"/>
        </w:rPr>
        <w:t xml:space="preserve"> deretter reduseres til 40</w:t>
      </w:r>
      <w:r w:rsidR="009B6A5C">
        <w:rPr>
          <w:sz w:val="22"/>
          <w:szCs w:val="22"/>
        </w:rPr>
        <w:t> </w:t>
      </w:r>
      <w:r w:rsidRPr="00884304">
        <w:rPr>
          <w:sz w:val="22"/>
          <w:szCs w:val="22"/>
        </w:rPr>
        <w:t>mg annenhver uke.</w:t>
      </w:r>
    </w:p>
    <w:p w14:paraId="7F1C9AD7" w14:textId="77777777" w:rsidR="007A78A6" w:rsidRDefault="007A78A6" w:rsidP="009E676E">
      <w:pPr>
        <w:rPr>
          <w:sz w:val="22"/>
          <w:szCs w:val="22"/>
        </w:rPr>
      </w:pPr>
    </w:p>
    <w:p w14:paraId="076D28BD" w14:textId="77777777" w:rsidR="007A78A6" w:rsidRPr="009C5EFD" w:rsidRDefault="00E453CD" w:rsidP="009E676E">
      <w:pPr>
        <w:rPr>
          <w:sz w:val="22"/>
          <w:szCs w:val="22"/>
        </w:rPr>
      </w:pPr>
      <w:r w:rsidRPr="00D115E8">
        <w:rPr>
          <w:sz w:val="22"/>
          <w:szCs w:val="22"/>
        </w:rPr>
        <w:t>Humira kan være tilgjengelig i andre styrker og/eller formuleringer avhengig av individuelle behandlingsbehov.</w:t>
      </w:r>
    </w:p>
    <w:p w14:paraId="01C08D3E" w14:textId="77777777" w:rsidR="009E676E" w:rsidRPr="009C5EFD" w:rsidRDefault="009E676E" w:rsidP="009E676E">
      <w:pPr>
        <w:rPr>
          <w:sz w:val="22"/>
          <w:szCs w:val="22"/>
        </w:rPr>
      </w:pPr>
    </w:p>
    <w:p w14:paraId="52F727F0" w14:textId="77777777" w:rsidR="009E676E" w:rsidRPr="009C5EFD" w:rsidRDefault="00E453CD" w:rsidP="00776A84">
      <w:pPr>
        <w:keepNext/>
        <w:rPr>
          <w:i/>
          <w:sz w:val="22"/>
          <w:szCs w:val="22"/>
        </w:rPr>
      </w:pPr>
      <w:r w:rsidRPr="009C5EFD">
        <w:rPr>
          <w:i/>
          <w:sz w:val="22"/>
          <w:szCs w:val="22"/>
        </w:rPr>
        <w:t>Hidrosadenitt</w:t>
      </w:r>
    </w:p>
    <w:p w14:paraId="6EC406AB" w14:textId="77777777" w:rsidR="009E676E" w:rsidRPr="009C5EFD" w:rsidRDefault="009E676E" w:rsidP="00776A84">
      <w:pPr>
        <w:keepNext/>
        <w:rPr>
          <w:sz w:val="22"/>
          <w:szCs w:val="22"/>
        </w:rPr>
      </w:pPr>
    </w:p>
    <w:p w14:paraId="7140AEDA" w14:textId="77777777" w:rsidR="009E676E" w:rsidRPr="009C5EFD" w:rsidRDefault="00E453CD" w:rsidP="009E676E">
      <w:pPr>
        <w:rPr>
          <w:sz w:val="22"/>
          <w:szCs w:val="22"/>
        </w:rPr>
      </w:pPr>
      <w:r w:rsidRPr="009C5EFD">
        <w:rPr>
          <w:sz w:val="22"/>
          <w:szCs w:val="22"/>
        </w:rPr>
        <w:t xml:space="preserve">Anbefalt dosering </w:t>
      </w:r>
      <w:r>
        <w:rPr>
          <w:sz w:val="22"/>
          <w:szCs w:val="22"/>
        </w:rPr>
        <w:t>av</w:t>
      </w:r>
      <w:r w:rsidRPr="009C5EFD">
        <w:rPr>
          <w:sz w:val="22"/>
          <w:szCs w:val="22"/>
        </w:rPr>
        <w:t xml:space="preserve"> Humira hos voksne pasienter med hidrosadenitt (HS) er 160</w:t>
      </w:r>
      <w:r w:rsidR="009B6A5C">
        <w:rPr>
          <w:sz w:val="22"/>
          <w:szCs w:val="22"/>
        </w:rPr>
        <w:t> </w:t>
      </w:r>
      <w:r w:rsidRPr="009C5EFD">
        <w:rPr>
          <w:sz w:val="22"/>
          <w:szCs w:val="22"/>
        </w:rPr>
        <w:t>mg initialt ved dag</w:t>
      </w:r>
      <w:r w:rsidR="009B6A5C">
        <w:rPr>
          <w:sz w:val="22"/>
          <w:szCs w:val="22"/>
        </w:rPr>
        <w:t> </w:t>
      </w:r>
      <w:r w:rsidRPr="009C5EFD">
        <w:rPr>
          <w:sz w:val="22"/>
          <w:szCs w:val="22"/>
        </w:rPr>
        <w:t xml:space="preserve">1 (dosen gis som </w:t>
      </w:r>
      <w:r w:rsidR="00FD5FF1">
        <w:rPr>
          <w:sz w:val="22"/>
          <w:szCs w:val="22"/>
        </w:rPr>
        <w:t>to</w:t>
      </w:r>
      <w:r w:rsidRPr="009C5EFD">
        <w:rPr>
          <w:sz w:val="22"/>
          <w:szCs w:val="22"/>
        </w:rPr>
        <w:t xml:space="preserve"> </w:t>
      </w:r>
      <w:r w:rsidR="00FD5FF1">
        <w:rPr>
          <w:sz w:val="22"/>
          <w:szCs w:val="22"/>
        </w:rPr>
        <w:t>8</w:t>
      </w:r>
      <w:r w:rsidRPr="009C5EFD">
        <w:rPr>
          <w:sz w:val="22"/>
          <w:szCs w:val="22"/>
        </w:rPr>
        <w:t>0</w:t>
      </w:r>
      <w:r w:rsidR="009B6A5C">
        <w:rPr>
          <w:sz w:val="22"/>
          <w:szCs w:val="22"/>
        </w:rPr>
        <w:t> </w:t>
      </w:r>
      <w:r w:rsidRPr="009C5EFD">
        <w:rPr>
          <w:sz w:val="22"/>
          <w:szCs w:val="22"/>
        </w:rPr>
        <w:t xml:space="preserve">mg injeksjoner </w:t>
      </w:r>
      <w:r w:rsidR="00593397">
        <w:rPr>
          <w:sz w:val="22"/>
          <w:szCs w:val="22"/>
        </w:rPr>
        <w:t>på</w:t>
      </w:r>
      <w:r w:rsidRPr="009C5EFD">
        <w:rPr>
          <w:sz w:val="22"/>
          <w:szCs w:val="22"/>
        </w:rPr>
        <w:t xml:space="preserve"> en dag eller som </w:t>
      </w:r>
      <w:r w:rsidR="00FD5FF1">
        <w:rPr>
          <w:sz w:val="22"/>
          <w:szCs w:val="22"/>
        </w:rPr>
        <w:t>en</w:t>
      </w:r>
      <w:r w:rsidRPr="009C5EFD">
        <w:rPr>
          <w:sz w:val="22"/>
          <w:szCs w:val="22"/>
        </w:rPr>
        <w:t xml:space="preserve"> </w:t>
      </w:r>
      <w:r w:rsidR="00FD5FF1">
        <w:rPr>
          <w:sz w:val="22"/>
          <w:szCs w:val="22"/>
        </w:rPr>
        <w:t>80</w:t>
      </w:r>
      <w:r w:rsidR="009B6A5C">
        <w:rPr>
          <w:sz w:val="22"/>
          <w:szCs w:val="22"/>
        </w:rPr>
        <w:t> </w:t>
      </w:r>
      <w:r w:rsidR="00FD5FF1">
        <w:rPr>
          <w:sz w:val="22"/>
          <w:szCs w:val="22"/>
        </w:rPr>
        <w:t>mg injeksjon</w:t>
      </w:r>
      <w:r w:rsidRPr="009C5EFD">
        <w:rPr>
          <w:sz w:val="22"/>
          <w:szCs w:val="22"/>
        </w:rPr>
        <w:t xml:space="preserve"> dag</w:t>
      </w:r>
      <w:r w:rsidR="00EF5E79">
        <w:rPr>
          <w:sz w:val="22"/>
          <w:szCs w:val="22"/>
        </w:rPr>
        <w:t>lig</w:t>
      </w:r>
      <w:r w:rsidRPr="009C5EFD">
        <w:rPr>
          <w:sz w:val="22"/>
          <w:szCs w:val="22"/>
        </w:rPr>
        <w:t xml:space="preserve"> </w:t>
      </w:r>
      <w:r w:rsidR="00287CCF">
        <w:rPr>
          <w:sz w:val="22"/>
          <w:szCs w:val="22"/>
        </w:rPr>
        <w:t xml:space="preserve">i </w:t>
      </w:r>
      <w:r w:rsidRPr="009C5EFD">
        <w:rPr>
          <w:sz w:val="22"/>
          <w:szCs w:val="22"/>
        </w:rPr>
        <w:t>to påfølgende dager), etterfulgt av 80</w:t>
      </w:r>
      <w:r w:rsidR="009B6A5C">
        <w:rPr>
          <w:sz w:val="22"/>
          <w:szCs w:val="22"/>
        </w:rPr>
        <w:t> </w:t>
      </w:r>
      <w:r w:rsidRPr="009C5EFD">
        <w:rPr>
          <w:sz w:val="22"/>
          <w:szCs w:val="22"/>
        </w:rPr>
        <w:t>mg to uker senere ved dag</w:t>
      </w:r>
      <w:r w:rsidR="009B6A5C">
        <w:rPr>
          <w:sz w:val="22"/>
          <w:szCs w:val="22"/>
        </w:rPr>
        <w:t> </w:t>
      </w:r>
      <w:r w:rsidRPr="009C5EFD">
        <w:rPr>
          <w:sz w:val="22"/>
          <w:szCs w:val="22"/>
        </w:rPr>
        <w:t>15. To uker senere (dag</w:t>
      </w:r>
      <w:r w:rsidR="009B6A5C">
        <w:rPr>
          <w:sz w:val="22"/>
          <w:szCs w:val="22"/>
        </w:rPr>
        <w:t> </w:t>
      </w:r>
      <w:r w:rsidRPr="009C5EFD">
        <w:rPr>
          <w:sz w:val="22"/>
          <w:szCs w:val="22"/>
        </w:rPr>
        <w:t xml:space="preserve">29) fortsettes behandlingen med </w:t>
      </w:r>
      <w:r w:rsidR="008D0004">
        <w:rPr>
          <w:sz w:val="22"/>
          <w:szCs w:val="22"/>
        </w:rPr>
        <w:t xml:space="preserve">én </w:t>
      </w:r>
      <w:r w:rsidRPr="009C5EFD">
        <w:rPr>
          <w:sz w:val="22"/>
          <w:szCs w:val="22"/>
        </w:rPr>
        <w:t>dose på 40</w:t>
      </w:r>
      <w:r w:rsidR="009B6A5C">
        <w:rPr>
          <w:sz w:val="22"/>
          <w:szCs w:val="22"/>
        </w:rPr>
        <w:t> </w:t>
      </w:r>
      <w:r w:rsidRPr="009C5EFD">
        <w:rPr>
          <w:sz w:val="22"/>
          <w:szCs w:val="22"/>
        </w:rPr>
        <w:t>mg hver uke</w:t>
      </w:r>
      <w:r w:rsidR="007A78A6">
        <w:rPr>
          <w:sz w:val="22"/>
          <w:szCs w:val="22"/>
        </w:rPr>
        <w:t xml:space="preserve"> eller 80</w:t>
      </w:r>
      <w:r w:rsidR="009B6A5C">
        <w:rPr>
          <w:sz w:val="22"/>
          <w:szCs w:val="22"/>
        </w:rPr>
        <w:t> </w:t>
      </w:r>
      <w:r w:rsidR="007A78A6">
        <w:rPr>
          <w:sz w:val="22"/>
          <w:szCs w:val="22"/>
        </w:rPr>
        <w:t>mg annenhver uke</w:t>
      </w:r>
      <w:r w:rsidRPr="009C5EFD">
        <w:rPr>
          <w:sz w:val="22"/>
          <w:szCs w:val="22"/>
        </w:rPr>
        <w:t>. Behandling med antibiotika kan fortsette under behandling med Humira om nødvendig. Det anbefales at pasienten bruke</w:t>
      </w:r>
      <w:r>
        <w:rPr>
          <w:sz w:val="22"/>
          <w:szCs w:val="22"/>
        </w:rPr>
        <w:t>r</w:t>
      </w:r>
      <w:r w:rsidRPr="009C5EFD">
        <w:rPr>
          <w:sz w:val="22"/>
          <w:szCs w:val="22"/>
        </w:rPr>
        <w:t xml:space="preserve"> en topikal antiseptisk vask på HS</w:t>
      </w:r>
      <w:r w:rsidR="00AF5E0A">
        <w:rPr>
          <w:sz w:val="22"/>
          <w:szCs w:val="22"/>
        </w:rPr>
        <w:noBreakHyphen/>
      </w:r>
      <w:r w:rsidRPr="009C5EFD">
        <w:rPr>
          <w:sz w:val="22"/>
          <w:szCs w:val="22"/>
        </w:rPr>
        <w:t>sår</w:t>
      </w:r>
      <w:r w:rsidR="00A94269">
        <w:rPr>
          <w:sz w:val="22"/>
          <w:szCs w:val="22"/>
        </w:rPr>
        <w:t>ene</w:t>
      </w:r>
      <w:r w:rsidRPr="009C5EFD">
        <w:rPr>
          <w:sz w:val="22"/>
          <w:szCs w:val="22"/>
        </w:rPr>
        <w:t xml:space="preserve"> daglig under behandling med Humira.</w:t>
      </w:r>
    </w:p>
    <w:p w14:paraId="5980CE37" w14:textId="77777777" w:rsidR="009E676E" w:rsidRPr="009C5EFD" w:rsidRDefault="009E676E" w:rsidP="009E676E">
      <w:pPr>
        <w:rPr>
          <w:sz w:val="22"/>
          <w:szCs w:val="22"/>
        </w:rPr>
      </w:pPr>
    </w:p>
    <w:p w14:paraId="3D73F8E9" w14:textId="77777777" w:rsidR="009E676E" w:rsidRPr="009C5EFD" w:rsidRDefault="00E453CD" w:rsidP="009E676E">
      <w:pPr>
        <w:rPr>
          <w:sz w:val="22"/>
          <w:szCs w:val="22"/>
        </w:rPr>
      </w:pPr>
      <w:r w:rsidRPr="009C5EFD">
        <w:rPr>
          <w:sz w:val="22"/>
          <w:szCs w:val="22"/>
        </w:rPr>
        <w:t xml:space="preserve">Videre behandling utover 12 uker bør nøye overveies hos pasienter </w:t>
      </w:r>
      <w:r>
        <w:rPr>
          <w:sz w:val="22"/>
          <w:szCs w:val="22"/>
        </w:rPr>
        <w:t>uten</w:t>
      </w:r>
      <w:r w:rsidRPr="009C5EFD">
        <w:rPr>
          <w:sz w:val="22"/>
          <w:szCs w:val="22"/>
        </w:rPr>
        <w:t xml:space="preserve"> forbedring </w:t>
      </w:r>
      <w:r>
        <w:rPr>
          <w:sz w:val="22"/>
          <w:szCs w:val="22"/>
        </w:rPr>
        <w:t>i løpet av</w:t>
      </w:r>
      <w:r w:rsidRPr="009C5EFD">
        <w:rPr>
          <w:sz w:val="22"/>
          <w:szCs w:val="22"/>
        </w:rPr>
        <w:t xml:space="preserve"> denne perioden.</w:t>
      </w:r>
    </w:p>
    <w:p w14:paraId="2520CFD3" w14:textId="77777777" w:rsidR="009E676E" w:rsidRPr="009C5EFD" w:rsidRDefault="009E676E" w:rsidP="009E676E">
      <w:pPr>
        <w:rPr>
          <w:sz w:val="22"/>
          <w:szCs w:val="22"/>
        </w:rPr>
      </w:pPr>
    </w:p>
    <w:p w14:paraId="76D18892" w14:textId="77777777" w:rsidR="009E676E" w:rsidRPr="009C5EFD" w:rsidRDefault="00E453CD" w:rsidP="009E676E">
      <w:pPr>
        <w:rPr>
          <w:sz w:val="22"/>
          <w:szCs w:val="22"/>
        </w:rPr>
      </w:pPr>
      <w:r w:rsidRPr="009C5EFD">
        <w:rPr>
          <w:sz w:val="22"/>
          <w:szCs w:val="22"/>
        </w:rPr>
        <w:t xml:space="preserve">Skulle det være nødvendig å avbryte behandlingen, kan ukentlig behandling med 40 mg Humira </w:t>
      </w:r>
      <w:r w:rsidR="007A78A6">
        <w:rPr>
          <w:sz w:val="22"/>
          <w:szCs w:val="22"/>
        </w:rPr>
        <w:t>eller 80</w:t>
      </w:r>
      <w:r w:rsidR="009B6A5C">
        <w:rPr>
          <w:sz w:val="22"/>
          <w:szCs w:val="22"/>
        </w:rPr>
        <w:t> </w:t>
      </w:r>
      <w:r w:rsidR="007A78A6">
        <w:rPr>
          <w:sz w:val="22"/>
          <w:szCs w:val="22"/>
        </w:rPr>
        <w:t xml:space="preserve">mg annenhver uke </w:t>
      </w:r>
      <w:r w:rsidRPr="009C5EFD">
        <w:rPr>
          <w:sz w:val="22"/>
          <w:szCs w:val="22"/>
        </w:rPr>
        <w:t>startes igjen (se pkt. 5.1)</w:t>
      </w:r>
      <w:r w:rsidR="00A94269">
        <w:rPr>
          <w:sz w:val="22"/>
          <w:szCs w:val="22"/>
        </w:rPr>
        <w:t>.</w:t>
      </w:r>
    </w:p>
    <w:p w14:paraId="5F714EB6" w14:textId="77777777" w:rsidR="009E676E" w:rsidRPr="009C5EFD" w:rsidRDefault="009E676E" w:rsidP="009E676E">
      <w:pPr>
        <w:rPr>
          <w:sz w:val="22"/>
          <w:szCs w:val="22"/>
        </w:rPr>
      </w:pPr>
    </w:p>
    <w:p w14:paraId="18E577C2" w14:textId="77777777" w:rsidR="009E676E" w:rsidRDefault="00E453CD" w:rsidP="009E676E">
      <w:pPr>
        <w:rPr>
          <w:sz w:val="22"/>
          <w:szCs w:val="22"/>
        </w:rPr>
      </w:pPr>
      <w:r w:rsidRPr="00A15CB1">
        <w:rPr>
          <w:sz w:val="22"/>
          <w:szCs w:val="22"/>
        </w:rPr>
        <w:t xml:space="preserve">Nytte og risiko ved videre langvarig behandling bør </w:t>
      </w:r>
      <w:r w:rsidR="00421CF7">
        <w:rPr>
          <w:sz w:val="22"/>
          <w:szCs w:val="22"/>
        </w:rPr>
        <w:t>vurderes</w:t>
      </w:r>
      <w:r w:rsidRPr="00A15CB1">
        <w:rPr>
          <w:sz w:val="22"/>
          <w:szCs w:val="22"/>
        </w:rPr>
        <w:t xml:space="preserve"> regelmessig (se pkt. 5.1).</w:t>
      </w:r>
    </w:p>
    <w:p w14:paraId="36300693" w14:textId="77777777" w:rsidR="007A78A6" w:rsidRDefault="007A78A6" w:rsidP="009E676E">
      <w:pPr>
        <w:rPr>
          <w:sz w:val="22"/>
          <w:szCs w:val="22"/>
        </w:rPr>
      </w:pPr>
    </w:p>
    <w:p w14:paraId="6B78F89C" w14:textId="77777777" w:rsidR="007A78A6" w:rsidRPr="009C5EFD" w:rsidRDefault="00E453CD" w:rsidP="009E676E">
      <w:pPr>
        <w:rPr>
          <w:sz w:val="22"/>
          <w:szCs w:val="22"/>
        </w:rPr>
      </w:pPr>
      <w:r w:rsidRPr="00D115E8">
        <w:rPr>
          <w:sz w:val="22"/>
          <w:szCs w:val="22"/>
        </w:rPr>
        <w:t>Humira kan være tilgjengelig i andre styrker og/eller formuleringer avhengig av individuelle behandlingsbehov.</w:t>
      </w:r>
    </w:p>
    <w:p w14:paraId="1AE67641" w14:textId="77777777" w:rsidR="009E676E" w:rsidRPr="009C5EFD" w:rsidRDefault="009E676E" w:rsidP="009E676E">
      <w:pPr>
        <w:tabs>
          <w:tab w:val="left" w:pos="3060"/>
        </w:tabs>
        <w:rPr>
          <w:sz w:val="22"/>
          <w:szCs w:val="22"/>
        </w:rPr>
      </w:pPr>
    </w:p>
    <w:p w14:paraId="16535F93" w14:textId="77777777" w:rsidR="009E676E" w:rsidRPr="001F5D4B" w:rsidRDefault="00E453CD" w:rsidP="00B72858">
      <w:pPr>
        <w:keepNext/>
        <w:rPr>
          <w:i/>
          <w:sz w:val="22"/>
          <w:szCs w:val="22"/>
        </w:rPr>
      </w:pPr>
      <w:r w:rsidRPr="009C5EFD">
        <w:rPr>
          <w:i/>
          <w:sz w:val="22"/>
          <w:szCs w:val="22"/>
        </w:rPr>
        <w:t>Crohns sykdom</w:t>
      </w:r>
    </w:p>
    <w:p w14:paraId="17865A94" w14:textId="77777777" w:rsidR="009E676E" w:rsidRPr="007F67EE" w:rsidRDefault="009E676E" w:rsidP="00B72858">
      <w:pPr>
        <w:keepNext/>
        <w:rPr>
          <w:sz w:val="22"/>
          <w:szCs w:val="22"/>
        </w:rPr>
      </w:pPr>
    </w:p>
    <w:p w14:paraId="184DA0E2" w14:textId="77777777" w:rsidR="009E676E" w:rsidRPr="009C5EFD" w:rsidRDefault="00E453CD" w:rsidP="00776A84">
      <w:pPr>
        <w:rPr>
          <w:sz w:val="22"/>
          <w:szCs w:val="22"/>
        </w:rPr>
      </w:pPr>
      <w:r w:rsidRPr="00193D76">
        <w:rPr>
          <w:sz w:val="22"/>
          <w:szCs w:val="22"/>
        </w:rPr>
        <w:t>Anbefalt induksjonsr</w:t>
      </w:r>
      <w:r w:rsidRPr="002D0790">
        <w:rPr>
          <w:sz w:val="22"/>
          <w:szCs w:val="22"/>
        </w:rPr>
        <w:t xml:space="preserve">egime med Humira hos voksne pasienter med moderat til </w:t>
      </w:r>
      <w:r w:rsidRPr="00E14E58">
        <w:rPr>
          <w:sz w:val="22"/>
          <w:szCs w:val="22"/>
        </w:rPr>
        <w:t xml:space="preserve">alvorlig </w:t>
      </w:r>
      <w:r w:rsidRPr="009C5EFD">
        <w:rPr>
          <w:sz w:val="22"/>
          <w:szCs w:val="22"/>
        </w:rPr>
        <w:t xml:space="preserve">aktiv Crohns sykdom er 80 mg initialt (ved uke 0) etterfulgt av 40 mg ved uke 2. Dersom det er behov for </w:t>
      </w:r>
      <w:r w:rsidR="00A94269">
        <w:rPr>
          <w:sz w:val="22"/>
          <w:szCs w:val="22"/>
        </w:rPr>
        <w:t xml:space="preserve">en </w:t>
      </w:r>
      <w:r w:rsidRPr="009C5EFD">
        <w:rPr>
          <w:sz w:val="22"/>
          <w:szCs w:val="22"/>
        </w:rPr>
        <w:t>rask</w:t>
      </w:r>
      <w:r w:rsidR="00A94269">
        <w:rPr>
          <w:sz w:val="22"/>
          <w:szCs w:val="22"/>
        </w:rPr>
        <w:t>ere</w:t>
      </w:r>
      <w:r w:rsidRPr="009C5EFD">
        <w:rPr>
          <w:sz w:val="22"/>
          <w:szCs w:val="22"/>
        </w:rPr>
        <w:t xml:space="preserve"> behandlingsrespons kan et regime med 160 mg </w:t>
      </w:r>
      <w:r w:rsidR="008D0102">
        <w:rPr>
          <w:sz w:val="22"/>
          <w:szCs w:val="22"/>
        </w:rPr>
        <w:t>ved</w:t>
      </w:r>
      <w:r w:rsidRPr="009C5EFD">
        <w:rPr>
          <w:sz w:val="22"/>
          <w:szCs w:val="22"/>
        </w:rPr>
        <w:t xml:space="preserve"> uke 0 (</w:t>
      </w:r>
      <w:r w:rsidR="007250BA">
        <w:rPr>
          <w:sz w:val="22"/>
          <w:szCs w:val="22"/>
        </w:rPr>
        <w:t>gitt</w:t>
      </w:r>
      <w:r w:rsidRPr="009C5EFD">
        <w:rPr>
          <w:sz w:val="22"/>
          <w:szCs w:val="22"/>
        </w:rPr>
        <w:t xml:space="preserve"> som </w:t>
      </w:r>
      <w:r w:rsidR="00293A09">
        <w:rPr>
          <w:sz w:val="22"/>
          <w:szCs w:val="22"/>
        </w:rPr>
        <w:t xml:space="preserve">to 80 mg </w:t>
      </w:r>
      <w:r w:rsidRPr="009C5EFD">
        <w:rPr>
          <w:sz w:val="22"/>
          <w:szCs w:val="22"/>
        </w:rPr>
        <w:t xml:space="preserve">injeksjoner </w:t>
      </w:r>
      <w:r w:rsidR="00593397">
        <w:rPr>
          <w:sz w:val="22"/>
          <w:szCs w:val="22"/>
        </w:rPr>
        <w:t>på</w:t>
      </w:r>
      <w:r w:rsidRPr="009C5EFD">
        <w:rPr>
          <w:sz w:val="22"/>
          <w:szCs w:val="22"/>
        </w:rPr>
        <w:t xml:space="preserve"> en dag eller </w:t>
      </w:r>
      <w:r w:rsidR="00293A09">
        <w:rPr>
          <w:sz w:val="22"/>
          <w:szCs w:val="22"/>
        </w:rPr>
        <w:t xml:space="preserve">som en 80 mg </w:t>
      </w:r>
      <w:r w:rsidRPr="009C5EFD">
        <w:rPr>
          <w:sz w:val="22"/>
          <w:szCs w:val="22"/>
        </w:rPr>
        <w:t>injeksjon dag</w:t>
      </w:r>
      <w:r w:rsidR="00EF5E79">
        <w:rPr>
          <w:sz w:val="22"/>
          <w:szCs w:val="22"/>
        </w:rPr>
        <w:t>lig</w:t>
      </w:r>
      <w:r w:rsidRPr="009C5EFD">
        <w:rPr>
          <w:sz w:val="22"/>
          <w:szCs w:val="22"/>
        </w:rPr>
        <w:t xml:space="preserve"> </w:t>
      </w:r>
      <w:r w:rsidR="00326F9C">
        <w:rPr>
          <w:sz w:val="22"/>
          <w:szCs w:val="22"/>
        </w:rPr>
        <w:t>i</w:t>
      </w:r>
      <w:r w:rsidR="007250BA">
        <w:rPr>
          <w:sz w:val="22"/>
          <w:szCs w:val="22"/>
        </w:rPr>
        <w:t xml:space="preserve"> </w:t>
      </w:r>
      <w:r w:rsidRPr="009C5EFD">
        <w:rPr>
          <w:sz w:val="22"/>
          <w:szCs w:val="22"/>
        </w:rPr>
        <w:t xml:space="preserve">to påfølgende dager), </w:t>
      </w:r>
      <w:r w:rsidR="005640DB">
        <w:rPr>
          <w:sz w:val="22"/>
          <w:szCs w:val="22"/>
        </w:rPr>
        <w:t xml:space="preserve">etterfulgt av </w:t>
      </w:r>
      <w:r w:rsidRPr="009C5EFD">
        <w:rPr>
          <w:sz w:val="22"/>
          <w:szCs w:val="22"/>
        </w:rPr>
        <w:t xml:space="preserve">80 mg i uke 2, brukes med viten om at risikoen for bivirkninger er høyere under induksjonen. </w:t>
      </w:r>
    </w:p>
    <w:p w14:paraId="7521ABA8" w14:textId="77777777" w:rsidR="009E676E" w:rsidRPr="009C5EFD" w:rsidRDefault="009E676E" w:rsidP="009E676E">
      <w:pPr>
        <w:rPr>
          <w:sz w:val="22"/>
          <w:szCs w:val="22"/>
          <w:u w:val="single"/>
        </w:rPr>
      </w:pPr>
    </w:p>
    <w:p w14:paraId="27C336A8" w14:textId="77777777" w:rsidR="009E676E" w:rsidRPr="009C5EFD" w:rsidRDefault="00E453CD" w:rsidP="009E676E">
      <w:pPr>
        <w:rPr>
          <w:sz w:val="22"/>
          <w:szCs w:val="22"/>
        </w:rPr>
      </w:pPr>
      <w:r w:rsidRPr="009C5EFD">
        <w:rPr>
          <w:sz w:val="22"/>
          <w:szCs w:val="22"/>
        </w:rPr>
        <w:t>Etter induksjon er anbefalt dose 40 mg annenhver uke via subkutan injeksjon. Hvis en pasient har seponert Humira og sykdoms</w:t>
      </w:r>
      <w:r w:rsidR="005C4746">
        <w:rPr>
          <w:sz w:val="22"/>
          <w:szCs w:val="22"/>
        </w:rPr>
        <w:t xml:space="preserve">tegn og </w:t>
      </w:r>
      <w:r w:rsidRPr="009C5EFD">
        <w:rPr>
          <w:sz w:val="22"/>
          <w:szCs w:val="22"/>
        </w:rPr>
        <w:t>symptomer kommer tilbake, kan Humira reintroduseres. Det er lite erfaring med reintroduksjon av Humira mer enn 8 uker etter forrige dose.</w:t>
      </w:r>
    </w:p>
    <w:p w14:paraId="071490CB" w14:textId="77777777" w:rsidR="009E676E" w:rsidRPr="009C5EFD" w:rsidRDefault="009E676E" w:rsidP="009E676E">
      <w:pPr>
        <w:rPr>
          <w:sz w:val="22"/>
          <w:szCs w:val="22"/>
        </w:rPr>
      </w:pPr>
    </w:p>
    <w:p w14:paraId="3B037358" w14:textId="77777777" w:rsidR="009E676E" w:rsidRPr="009C5EFD" w:rsidRDefault="00E453CD" w:rsidP="009E676E">
      <w:pPr>
        <w:rPr>
          <w:sz w:val="22"/>
          <w:szCs w:val="22"/>
        </w:rPr>
      </w:pPr>
      <w:r w:rsidRPr="009C5EFD">
        <w:rPr>
          <w:sz w:val="22"/>
          <w:szCs w:val="22"/>
        </w:rPr>
        <w:t>I løpet av vedlikeholdsbehandling kan kortikosteroider gradvis seponeres i henhold til kliniske retningslinjer.</w:t>
      </w:r>
    </w:p>
    <w:p w14:paraId="0E6CC845" w14:textId="77777777" w:rsidR="009E676E" w:rsidRPr="009C5EFD" w:rsidRDefault="009E676E" w:rsidP="009E676E">
      <w:pPr>
        <w:rPr>
          <w:sz w:val="22"/>
          <w:szCs w:val="22"/>
        </w:rPr>
      </w:pPr>
    </w:p>
    <w:p w14:paraId="7E4BB59C" w14:textId="77777777" w:rsidR="009E676E" w:rsidRPr="009C5EFD" w:rsidRDefault="00E453CD" w:rsidP="009E676E">
      <w:pPr>
        <w:rPr>
          <w:sz w:val="22"/>
          <w:szCs w:val="22"/>
        </w:rPr>
      </w:pPr>
      <w:r w:rsidRPr="009C5EFD">
        <w:rPr>
          <w:sz w:val="22"/>
          <w:szCs w:val="22"/>
        </w:rPr>
        <w:t xml:space="preserve">Enkelte pasienter som opplever en reduksjon i respons </w:t>
      </w:r>
      <w:r w:rsidR="007250BA">
        <w:rPr>
          <w:sz w:val="22"/>
          <w:szCs w:val="22"/>
        </w:rPr>
        <w:t>på</w:t>
      </w:r>
      <w:r w:rsidR="007A78A6">
        <w:rPr>
          <w:sz w:val="22"/>
          <w:szCs w:val="22"/>
        </w:rPr>
        <w:t xml:space="preserve"> Humira 40</w:t>
      </w:r>
      <w:r w:rsidR="009B6A5C">
        <w:rPr>
          <w:sz w:val="22"/>
          <w:szCs w:val="22"/>
        </w:rPr>
        <w:t> </w:t>
      </w:r>
      <w:r w:rsidR="007A78A6">
        <w:rPr>
          <w:sz w:val="22"/>
          <w:szCs w:val="22"/>
        </w:rPr>
        <w:t xml:space="preserve">mg annenhver uke, </w:t>
      </w:r>
      <w:r w:rsidRPr="009C5EFD">
        <w:rPr>
          <w:sz w:val="22"/>
          <w:szCs w:val="22"/>
        </w:rPr>
        <w:t>kan ha nytte av en økning i dosering til 40</w:t>
      </w:r>
      <w:r w:rsidR="009B6A5C">
        <w:rPr>
          <w:sz w:val="22"/>
          <w:szCs w:val="22"/>
        </w:rPr>
        <w:t> </w:t>
      </w:r>
      <w:r w:rsidRPr="009C5EFD">
        <w:rPr>
          <w:sz w:val="22"/>
          <w:szCs w:val="22"/>
        </w:rPr>
        <w:t>mg Humira hver uke</w:t>
      </w:r>
      <w:r w:rsidR="007A78A6">
        <w:rPr>
          <w:sz w:val="22"/>
          <w:szCs w:val="22"/>
        </w:rPr>
        <w:t xml:space="preserve"> eller 80</w:t>
      </w:r>
      <w:r w:rsidR="009B6A5C">
        <w:rPr>
          <w:sz w:val="22"/>
          <w:szCs w:val="22"/>
        </w:rPr>
        <w:t> </w:t>
      </w:r>
      <w:r w:rsidR="007A78A6">
        <w:rPr>
          <w:sz w:val="22"/>
          <w:szCs w:val="22"/>
        </w:rPr>
        <w:t>mg annenhver uke</w:t>
      </w:r>
      <w:r w:rsidRPr="009C5EFD">
        <w:rPr>
          <w:sz w:val="22"/>
          <w:szCs w:val="22"/>
        </w:rPr>
        <w:t xml:space="preserve">. </w:t>
      </w:r>
    </w:p>
    <w:p w14:paraId="39832ADE" w14:textId="77777777" w:rsidR="009E676E" w:rsidRPr="009C5EFD" w:rsidRDefault="009E676E" w:rsidP="009E676E">
      <w:pPr>
        <w:rPr>
          <w:sz w:val="22"/>
          <w:szCs w:val="22"/>
        </w:rPr>
      </w:pPr>
    </w:p>
    <w:p w14:paraId="78105099" w14:textId="77777777" w:rsidR="009E676E" w:rsidRDefault="00E453CD" w:rsidP="009E676E">
      <w:pPr>
        <w:rPr>
          <w:sz w:val="22"/>
          <w:szCs w:val="22"/>
        </w:rPr>
      </w:pPr>
      <w:r w:rsidRPr="009C5EFD">
        <w:rPr>
          <w:sz w:val="22"/>
          <w:szCs w:val="22"/>
        </w:rPr>
        <w:t>Noen pasienter som ikke responderer innen uke 4 kan ha nytte av fortsatt behandling til og med uke 12. Fortsettelse av behandling bør overveies nøye hos pasienter som ikke responderer i løpet av denne tiden.</w:t>
      </w:r>
    </w:p>
    <w:p w14:paraId="24F10880" w14:textId="77777777" w:rsidR="007A78A6" w:rsidRDefault="007A78A6" w:rsidP="009E676E">
      <w:pPr>
        <w:rPr>
          <w:sz w:val="22"/>
          <w:szCs w:val="22"/>
        </w:rPr>
      </w:pPr>
    </w:p>
    <w:p w14:paraId="4DDFE759" w14:textId="77777777" w:rsidR="007A78A6" w:rsidRPr="009C5EFD" w:rsidRDefault="00E453CD" w:rsidP="009E676E">
      <w:pPr>
        <w:rPr>
          <w:sz w:val="22"/>
          <w:szCs w:val="22"/>
          <w:u w:val="single"/>
        </w:rPr>
      </w:pPr>
      <w:r w:rsidRPr="00D115E8">
        <w:rPr>
          <w:sz w:val="22"/>
          <w:szCs w:val="22"/>
        </w:rPr>
        <w:t>Humira kan være tilgjengelig i andre styrker og/eller formuleringer avhengig av individuelle behandlingsbehov.</w:t>
      </w:r>
    </w:p>
    <w:p w14:paraId="21BB1ACC" w14:textId="77777777" w:rsidR="009E676E" w:rsidRPr="009C5EFD" w:rsidRDefault="009E676E" w:rsidP="009E676E">
      <w:pPr>
        <w:rPr>
          <w:sz w:val="22"/>
          <w:szCs w:val="22"/>
          <w:u w:val="single"/>
        </w:rPr>
      </w:pPr>
    </w:p>
    <w:p w14:paraId="21FFD94E" w14:textId="77777777" w:rsidR="009E676E" w:rsidRPr="001F5D4B" w:rsidRDefault="00E453CD" w:rsidP="009E676E">
      <w:pPr>
        <w:keepNext/>
        <w:rPr>
          <w:i/>
          <w:sz w:val="22"/>
          <w:szCs w:val="22"/>
        </w:rPr>
      </w:pPr>
      <w:r w:rsidRPr="001F5D4B">
        <w:rPr>
          <w:i/>
          <w:sz w:val="22"/>
          <w:szCs w:val="22"/>
        </w:rPr>
        <w:t>Ulcerøs kolitt</w:t>
      </w:r>
    </w:p>
    <w:p w14:paraId="6F404CF7" w14:textId="77777777" w:rsidR="009E676E" w:rsidRPr="007F67EE" w:rsidRDefault="009E676E" w:rsidP="009E676E">
      <w:pPr>
        <w:keepNext/>
        <w:rPr>
          <w:sz w:val="22"/>
          <w:szCs w:val="22"/>
          <w:u w:val="single"/>
        </w:rPr>
      </w:pPr>
    </w:p>
    <w:p w14:paraId="10D59273" w14:textId="77777777" w:rsidR="009E676E" w:rsidRPr="009C5EFD" w:rsidRDefault="00E453CD" w:rsidP="00776A84">
      <w:pPr>
        <w:rPr>
          <w:sz w:val="22"/>
          <w:szCs w:val="22"/>
        </w:rPr>
      </w:pPr>
      <w:r w:rsidRPr="00193D76">
        <w:rPr>
          <w:sz w:val="22"/>
          <w:szCs w:val="22"/>
        </w:rPr>
        <w:t xml:space="preserve">Anbefalt induksjonsregime med Humira hos voksne pasienter med </w:t>
      </w:r>
      <w:r w:rsidRPr="002D0790">
        <w:rPr>
          <w:sz w:val="22"/>
          <w:szCs w:val="22"/>
        </w:rPr>
        <w:t>moderat til alvorlig ulcerøs kolitt er 160</w:t>
      </w:r>
      <w:r w:rsidR="009B6A5C">
        <w:rPr>
          <w:sz w:val="22"/>
          <w:szCs w:val="22"/>
        </w:rPr>
        <w:t> </w:t>
      </w:r>
      <w:r w:rsidRPr="002D0790">
        <w:rPr>
          <w:sz w:val="22"/>
          <w:szCs w:val="22"/>
        </w:rPr>
        <w:t>mg ved uke</w:t>
      </w:r>
      <w:r w:rsidR="009B6A5C">
        <w:rPr>
          <w:sz w:val="22"/>
          <w:szCs w:val="22"/>
        </w:rPr>
        <w:t> </w:t>
      </w:r>
      <w:r w:rsidRPr="002D0790">
        <w:rPr>
          <w:sz w:val="22"/>
          <w:szCs w:val="22"/>
        </w:rPr>
        <w:t>0 (</w:t>
      </w:r>
      <w:r w:rsidR="007250BA">
        <w:rPr>
          <w:sz w:val="22"/>
          <w:szCs w:val="22"/>
        </w:rPr>
        <w:t>gitt</w:t>
      </w:r>
      <w:r w:rsidR="00293A09" w:rsidRPr="009C5EFD">
        <w:rPr>
          <w:sz w:val="22"/>
          <w:szCs w:val="22"/>
        </w:rPr>
        <w:t xml:space="preserve"> som </w:t>
      </w:r>
      <w:r w:rsidR="00293A09">
        <w:rPr>
          <w:sz w:val="22"/>
          <w:szCs w:val="22"/>
        </w:rPr>
        <w:t>to 80</w:t>
      </w:r>
      <w:r w:rsidR="009B6A5C">
        <w:rPr>
          <w:sz w:val="22"/>
          <w:szCs w:val="22"/>
        </w:rPr>
        <w:t> </w:t>
      </w:r>
      <w:r w:rsidR="00293A09">
        <w:rPr>
          <w:sz w:val="22"/>
          <w:szCs w:val="22"/>
        </w:rPr>
        <w:t xml:space="preserve">mg </w:t>
      </w:r>
      <w:r w:rsidR="00293A09" w:rsidRPr="009C5EFD">
        <w:rPr>
          <w:sz w:val="22"/>
          <w:szCs w:val="22"/>
        </w:rPr>
        <w:t xml:space="preserve">injeksjoner </w:t>
      </w:r>
      <w:r w:rsidR="00593397">
        <w:rPr>
          <w:sz w:val="22"/>
          <w:szCs w:val="22"/>
        </w:rPr>
        <w:t>på</w:t>
      </w:r>
      <w:r w:rsidR="00293A09" w:rsidRPr="009C5EFD">
        <w:rPr>
          <w:sz w:val="22"/>
          <w:szCs w:val="22"/>
        </w:rPr>
        <w:t xml:space="preserve"> en dag eller </w:t>
      </w:r>
      <w:r w:rsidR="00293A09">
        <w:rPr>
          <w:sz w:val="22"/>
          <w:szCs w:val="22"/>
        </w:rPr>
        <w:t>som en 80</w:t>
      </w:r>
      <w:r w:rsidR="009B6A5C">
        <w:rPr>
          <w:sz w:val="22"/>
          <w:szCs w:val="22"/>
        </w:rPr>
        <w:t> </w:t>
      </w:r>
      <w:r w:rsidR="00293A09">
        <w:rPr>
          <w:sz w:val="22"/>
          <w:szCs w:val="22"/>
        </w:rPr>
        <w:t xml:space="preserve">mg </w:t>
      </w:r>
      <w:r w:rsidR="00293A09" w:rsidRPr="009C5EFD">
        <w:rPr>
          <w:sz w:val="22"/>
          <w:szCs w:val="22"/>
        </w:rPr>
        <w:t>injeksjon dag</w:t>
      </w:r>
      <w:r w:rsidR="00EF5E79">
        <w:rPr>
          <w:sz w:val="22"/>
          <w:szCs w:val="22"/>
        </w:rPr>
        <w:t>lig</w:t>
      </w:r>
      <w:r w:rsidR="00293A09" w:rsidRPr="009C5EFD">
        <w:rPr>
          <w:sz w:val="22"/>
          <w:szCs w:val="22"/>
        </w:rPr>
        <w:t xml:space="preserve"> </w:t>
      </w:r>
      <w:r w:rsidR="00326F9C">
        <w:rPr>
          <w:sz w:val="22"/>
          <w:szCs w:val="22"/>
        </w:rPr>
        <w:t>i</w:t>
      </w:r>
      <w:r w:rsidR="007250BA">
        <w:rPr>
          <w:sz w:val="22"/>
          <w:szCs w:val="22"/>
        </w:rPr>
        <w:t xml:space="preserve"> </w:t>
      </w:r>
      <w:r w:rsidR="00293A09" w:rsidRPr="009C5EFD">
        <w:rPr>
          <w:sz w:val="22"/>
          <w:szCs w:val="22"/>
        </w:rPr>
        <w:t>to påfølgende dager</w:t>
      </w:r>
      <w:r w:rsidRPr="009C5EFD">
        <w:rPr>
          <w:sz w:val="22"/>
          <w:szCs w:val="22"/>
        </w:rPr>
        <w:t>), etterfulgt av 80</w:t>
      </w:r>
      <w:r w:rsidR="009B6A5C">
        <w:rPr>
          <w:sz w:val="22"/>
          <w:szCs w:val="22"/>
        </w:rPr>
        <w:t> </w:t>
      </w:r>
      <w:r w:rsidRPr="009C5EFD">
        <w:rPr>
          <w:sz w:val="22"/>
          <w:szCs w:val="22"/>
        </w:rPr>
        <w:t>mg ved uke 2. Etter induksjon er anbefalt dose 40</w:t>
      </w:r>
      <w:r w:rsidR="009B6A5C">
        <w:rPr>
          <w:sz w:val="22"/>
          <w:szCs w:val="22"/>
        </w:rPr>
        <w:t> </w:t>
      </w:r>
      <w:r w:rsidRPr="009C5EFD">
        <w:rPr>
          <w:sz w:val="22"/>
          <w:szCs w:val="22"/>
        </w:rPr>
        <w:t>mg annenhver uke via subkutan injeksjon.</w:t>
      </w:r>
    </w:p>
    <w:p w14:paraId="6C5FFCD9" w14:textId="77777777" w:rsidR="009E676E" w:rsidRPr="009C5EFD" w:rsidRDefault="009E676E" w:rsidP="009E676E">
      <w:pPr>
        <w:rPr>
          <w:sz w:val="22"/>
          <w:szCs w:val="22"/>
        </w:rPr>
      </w:pPr>
    </w:p>
    <w:p w14:paraId="3973FE14" w14:textId="77777777" w:rsidR="009E676E" w:rsidRPr="009C5EFD" w:rsidRDefault="00E453CD" w:rsidP="009E676E">
      <w:pPr>
        <w:rPr>
          <w:sz w:val="22"/>
          <w:szCs w:val="22"/>
        </w:rPr>
      </w:pPr>
      <w:r w:rsidRPr="009C5EFD">
        <w:rPr>
          <w:sz w:val="22"/>
          <w:szCs w:val="22"/>
        </w:rPr>
        <w:t>I løpet av vedlikeholdsbehandling kan kortikosteroider gradvis seponeres i henhold til kliniske retningslinjer.</w:t>
      </w:r>
    </w:p>
    <w:p w14:paraId="31E718D0" w14:textId="77777777" w:rsidR="009E676E" w:rsidRPr="009C5EFD" w:rsidRDefault="009E676E" w:rsidP="009E676E">
      <w:pPr>
        <w:rPr>
          <w:sz w:val="22"/>
          <w:szCs w:val="22"/>
        </w:rPr>
      </w:pPr>
    </w:p>
    <w:p w14:paraId="09AFAB59" w14:textId="77777777" w:rsidR="009E676E" w:rsidRPr="009C5EFD" w:rsidRDefault="00E453CD" w:rsidP="009E676E">
      <w:pPr>
        <w:rPr>
          <w:sz w:val="22"/>
          <w:szCs w:val="22"/>
        </w:rPr>
      </w:pPr>
      <w:r w:rsidRPr="009C5EFD">
        <w:rPr>
          <w:sz w:val="22"/>
          <w:szCs w:val="22"/>
        </w:rPr>
        <w:t>Enkelte pasienter som opplever en reduksjon i respons</w:t>
      </w:r>
      <w:r w:rsidR="007250BA">
        <w:rPr>
          <w:sz w:val="22"/>
          <w:szCs w:val="22"/>
        </w:rPr>
        <w:t xml:space="preserve"> på</w:t>
      </w:r>
      <w:r w:rsidR="007A78A6">
        <w:rPr>
          <w:sz w:val="22"/>
          <w:szCs w:val="22"/>
        </w:rPr>
        <w:t xml:space="preserve"> Humira 40</w:t>
      </w:r>
      <w:r w:rsidR="00875A7E">
        <w:rPr>
          <w:sz w:val="22"/>
          <w:szCs w:val="22"/>
        </w:rPr>
        <w:t> </w:t>
      </w:r>
      <w:r w:rsidR="007A78A6">
        <w:rPr>
          <w:sz w:val="22"/>
          <w:szCs w:val="22"/>
        </w:rPr>
        <w:t>mg annenhver uke</w:t>
      </w:r>
      <w:r w:rsidRPr="009C5EFD">
        <w:rPr>
          <w:sz w:val="22"/>
          <w:szCs w:val="22"/>
        </w:rPr>
        <w:t>, kan ha nytte av en økning i dosering til 40</w:t>
      </w:r>
      <w:r w:rsidR="00875A7E">
        <w:rPr>
          <w:sz w:val="22"/>
          <w:szCs w:val="22"/>
        </w:rPr>
        <w:t> </w:t>
      </w:r>
      <w:r w:rsidRPr="009C5EFD">
        <w:rPr>
          <w:sz w:val="22"/>
          <w:szCs w:val="22"/>
        </w:rPr>
        <w:t>mg Humira hver uke</w:t>
      </w:r>
      <w:r w:rsidR="007A78A6">
        <w:rPr>
          <w:sz w:val="22"/>
          <w:szCs w:val="22"/>
        </w:rPr>
        <w:t xml:space="preserve"> eller 80</w:t>
      </w:r>
      <w:r w:rsidR="00875A7E">
        <w:rPr>
          <w:sz w:val="22"/>
          <w:szCs w:val="22"/>
        </w:rPr>
        <w:t> </w:t>
      </w:r>
      <w:r w:rsidR="007A78A6">
        <w:rPr>
          <w:sz w:val="22"/>
          <w:szCs w:val="22"/>
        </w:rPr>
        <w:t>mg annenhver uke</w:t>
      </w:r>
      <w:r w:rsidRPr="009C5EFD">
        <w:rPr>
          <w:sz w:val="22"/>
          <w:szCs w:val="22"/>
        </w:rPr>
        <w:t>.</w:t>
      </w:r>
    </w:p>
    <w:p w14:paraId="334D2942" w14:textId="77777777" w:rsidR="009E676E" w:rsidRPr="009C5EFD" w:rsidRDefault="009E676E" w:rsidP="009E676E">
      <w:pPr>
        <w:rPr>
          <w:sz w:val="22"/>
          <w:szCs w:val="22"/>
        </w:rPr>
      </w:pPr>
    </w:p>
    <w:p w14:paraId="32349E19" w14:textId="77777777" w:rsidR="009E676E" w:rsidRDefault="00E453CD" w:rsidP="009E676E">
      <w:pPr>
        <w:rPr>
          <w:sz w:val="22"/>
          <w:szCs w:val="22"/>
        </w:rPr>
      </w:pPr>
      <w:r w:rsidRPr="009C5EFD">
        <w:rPr>
          <w:sz w:val="22"/>
          <w:szCs w:val="22"/>
        </w:rPr>
        <w:t xml:space="preserve">Tilgjengelig data </w:t>
      </w:r>
      <w:r w:rsidR="00B061AD">
        <w:rPr>
          <w:sz w:val="22"/>
          <w:szCs w:val="22"/>
        </w:rPr>
        <w:t>an</w:t>
      </w:r>
      <w:r w:rsidRPr="009C5EFD">
        <w:rPr>
          <w:sz w:val="22"/>
          <w:szCs w:val="22"/>
        </w:rPr>
        <w:t>tyder at klinisk respons vanligvis oppnås innen 2-8 ukers behandling. Behandling med Humira bør ikke fortsette hos pasienter som ikke responderer i løpet av denne tiden.</w:t>
      </w:r>
    </w:p>
    <w:p w14:paraId="27A1E5BF" w14:textId="77777777" w:rsidR="003B1129" w:rsidRDefault="003B1129" w:rsidP="009E676E">
      <w:pPr>
        <w:rPr>
          <w:sz w:val="22"/>
          <w:szCs w:val="22"/>
        </w:rPr>
      </w:pPr>
    </w:p>
    <w:p w14:paraId="08F7A0DD" w14:textId="77777777" w:rsidR="003B1129" w:rsidRDefault="00E453CD" w:rsidP="009E676E">
      <w:pPr>
        <w:rPr>
          <w:sz w:val="22"/>
          <w:szCs w:val="22"/>
        </w:rPr>
      </w:pPr>
      <w:r w:rsidRPr="00D115E8">
        <w:rPr>
          <w:sz w:val="22"/>
          <w:szCs w:val="22"/>
        </w:rPr>
        <w:t>Humira kan være tilgjengelig i andre styrker og/eller formuleringer avhengig av individuelle behandlingsbehov.</w:t>
      </w:r>
    </w:p>
    <w:p w14:paraId="1EE2F4E9" w14:textId="77777777" w:rsidR="009E676E" w:rsidRDefault="009E676E" w:rsidP="009E676E">
      <w:pPr>
        <w:rPr>
          <w:sz w:val="22"/>
          <w:szCs w:val="22"/>
        </w:rPr>
      </w:pPr>
    </w:p>
    <w:p w14:paraId="03DA5216" w14:textId="77777777" w:rsidR="009E676E" w:rsidRDefault="00E453CD" w:rsidP="00776A84">
      <w:pPr>
        <w:keepNext/>
        <w:rPr>
          <w:i/>
          <w:sz w:val="22"/>
          <w:szCs w:val="22"/>
        </w:rPr>
      </w:pPr>
      <w:r w:rsidRPr="001F5D4B">
        <w:rPr>
          <w:i/>
          <w:sz w:val="22"/>
          <w:szCs w:val="22"/>
        </w:rPr>
        <w:t>U</w:t>
      </w:r>
      <w:r>
        <w:rPr>
          <w:i/>
          <w:sz w:val="22"/>
          <w:szCs w:val="22"/>
        </w:rPr>
        <w:t>veitt</w:t>
      </w:r>
    </w:p>
    <w:p w14:paraId="698BB563" w14:textId="77777777" w:rsidR="009E676E" w:rsidRDefault="009E676E" w:rsidP="00776A84">
      <w:pPr>
        <w:keepNext/>
        <w:rPr>
          <w:i/>
          <w:sz w:val="22"/>
          <w:szCs w:val="22"/>
        </w:rPr>
      </w:pPr>
    </w:p>
    <w:p w14:paraId="2FBA74ED" w14:textId="77777777" w:rsidR="009E676E" w:rsidRDefault="00E453CD" w:rsidP="009E676E">
      <w:pPr>
        <w:rPr>
          <w:sz w:val="22"/>
          <w:szCs w:val="22"/>
        </w:rPr>
      </w:pPr>
      <w:r w:rsidRPr="009C5EFD">
        <w:rPr>
          <w:sz w:val="22"/>
          <w:szCs w:val="22"/>
        </w:rPr>
        <w:t xml:space="preserve">Anbefalt </w:t>
      </w:r>
      <w:r w:rsidRPr="00FE3CA6">
        <w:rPr>
          <w:sz w:val="22"/>
          <w:szCs w:val="22"/>
        </w:rPr>
        <w:t>startdose</w:t>
      </w:r>
      <w:r w:rsidRPr="009C5EFD">
        <w:rPr>
          <w:sz w:val="22"/>
          <w:szCs w:val="22"/>
        </w:rPr>
        <w:t xml:space="preserve"> </w:t>
      </w:r>
      <w:r>
        <w:rPr>
          <w:sz w:val="22"/>
          <w:szCs w:val="22"/>
        </w:rPr>
        <w:t>av</w:t>
      </w:r>
      <w:r w:rsidRPr="009C5EFD">
        <w:rPr>
          <w:sz w:val="22"/>
          <w:szCs w:val="22"/>
        </w:rPr>
        <w:t xml:space="preserve"> Humira </w:t>
      </w:r>
      <w:r>
        <w:rPr>
          <w:sz w:val="22"/>
          <w:szCs w:val="22"/>
        </w:rPr>
        <w:t>til</w:t>
      </w:r>
      <w:r w:rsidRPr="009C5EFD">
        <w:rPr>
          <w:sz w:val="22"/>
          <w:szCs w:val="22"/>
        </w:rPr>
        <w:t xml:space="preserve"> voksne pasienter</w:t>
      </w:r>
      <w:r>
        <w:rPr>
          <w:sz w:val="22"/>
          <w:szCs w:val="22"/>
        </w:rPr>
        <w:t xml:space="preserve"> med uveitt er </w:t>
      </w:r>
      <w:r w:rsidRPr="00FE3CA6">
        <w:rPr>
          <w:sz w:val="22"/>
          <w:szCs w:val="22"/>
        </w:rPr>
        <w:t>80 mg etterfulgt av 40 mg etter en uke, og deretter 40 mg annenhver uke.</w:t>
      </w:r>
      <w:r>
        <w:rPr>
          <w:sz w:val="22"/>
          <w:szCs w:val="22"/>
        </w:rPr>
        <w:t xml:space="preserve"> </w:t>
      </w:r>
      <w:r w:rsidR="00293A09">
        <w:rPr>
          <w:sz w:val="22"/>
          <w:szCs w:val="22"/>
        </w:rPr>
        <w:t xml:space="preserve">Humira </w:t>
      </w:r>
      <w:r w:rsidR="00A94269">
        <w:rPr>
          <w:sz w:val="22"/>
          <w:szCs w:val="22"/>
        </w:rPr>
        <w:t xml:space="preserve">40 mg </w:t>
      </w:r>
      <w:r w:rsidR="00293A09" w:rsidRPr="00FD5FF1">
        <w:rPr>
          <w:sz w:val="22"/>
          <w:szCs w:val="22"/>
        </w:rPr>
        <w:t>injeksjonsvæske, oppløsning i ferdigfylt sprøyte</w:t>
      </w:r>
      <w:r w:rsidR="00293A09">
        <w:rPr>
          <w:sz w:val="22"/>
          <w:szCs w:val="22"/>
        </w:rPr>
        <w:t xml:space="preserve"> og/eller penn er tilgjengelig for vedlikeholdsdose</w:t>
      </w:r>
      <w:r w:rsidR="008D2639">
        <w:rPr>
          <w:sz w:val="22"/>
          <w:szCs w:val="22"/>
        </w:rPr>
        <w:t>n</w:t>
      </w:r>
      <w:r w:rsidR="00293A09">
        <w:rPr>
          <w:sz w:val="22"/>
          <w:szCs w:val="22"/>
        </w:rPr>
        <w:t xml:space="preserve">. </w:t>
      </w:r>
      <w:r>
        <w:rPr>
          <w:sz w:val="22"/>
          <w:szCs w:val="22"/>
        </w:rPr>
        <w:t xml:space="preserve">Det er begrenset erfaring med oppstart av behandling med Humira alene. Behandling med Humira kan startes i kombinasjon med kortikosteroider og/eller med andre ikke-biologiske immunmodulerende midler. To uker etter oppstart </w:t>
      </w:r>
      <w:r>
        <w:rPr>
          <w:sz w:val="22"/>
          <w:szCs w:val="22"/>
        </w:rPr>
        <w:lastRenderedPageBreak/>
        <w:t>av behandling med Humira kan samtidig behandling med kortikosteroider trappes ned i henhold til klinisk praksis.</w:t>
      </w:r>
    </w:p>
    <w:p w14:paraId="1F247966" w14:textId="77777777" w:rsidR="009E676E" w:rsidRDefault="009E676E" w:rsidP="009E676E">
      <w:pPr>
        <w:rPr>
          <w:sz w:val="22"/>
          <w:szCs w:val="22"/>
        </w:rPr>
      </w:pPr>
    </w:p>
    <w:p w14:paraId="5551F49A" w14:textId="77777777" w:rsidR="009E676E" w:rsidRDefault="00E453CD" w:rsidP="009E676E">
      <w:pPr>
        <w:rPr>
          <w:sz w:val="22"/>
          <w:szCs w:val="22"/>
        </w:rPr>
      </w:pPr>
      <w:r>
        <w:rPr>
          <w:sz w:val="22"/>
          <w:szCs w:val="22"/>
        </w:rPr>
        <w:t>Det anbefales at nytte og risiko ved fortsatt langtidsbehandling vurderes årlig (se pkt. 5.1).</w:t>
      </w:r>
    </w:p>
    <w:p w14:paraId="44219AC7" w14:textId="77777777" w:rsidR="00875A7E" w:rsidRDefault="00875A7E" w:rsidP="009E676E">
      <w:pPr>
        <w:rPr>
          <w:sz w:val="22"/>
          <w:szCs w:val="22"/>
        </w:rPr>
      </w:pPr>
    </w:p>
    <w:p w14:paraId="583B8E2C" w14:textId="77777777" w:rsidR="003B1129" w:rsidRDefault="00E453CD" w:rsidP="009E676E">
      <w:pPr>
        <w:rPr>
          <w:sz w:val="22"/>
          <w:szCs w:val="22"/>
        </w:rPr>
      </w:pPr>
      <w:r w:rsidRPr="00D115E8">
        <w:rPr>
          <w:sz w:val="22"/>
          <w:szCs w:val="22"/>
        </w:rPr>
        <w:t>Humira kan være tilgjengelig i andre styrker og/eller formuleringer avhengig av individuelle behandlingsbehov.</w:t>
      </w:r>
    </w:p>
    <w:p w14:paraId="7FCA0B91" w14:textId="77777777" w:rsidR="00A77DEC" w:rsidRDefault="00A77DEC" w:rsidP="009E676E">
      <w:pPr>
        <w:rPr>
          <w:sz w:val="22"/>
          <w:szCs w:val="22"/>
        </w:rPr>
      </w:pPr>
    </w:p>
    <w:p w14:paraId="052AB4DD" w14:textId="77777777" w:rsidR="00A77DEC" w:rsidRPr="00AB7697" w:rsidRDefault="00E453CD" w:rsidP="000624CD">
      <w:pPr>
        <w:keepNext/>
        <w:rPr>
          <w:sz w:val="22"/>
          <w:szCs w:val="22"/>
          <w:u w:val="single"/>
        </w:rPr>
      </w:pPr>
      <w:r w:rsidRPr="00AB7697">
        <w:rPr>
          <w:sz w:val="22"/>
          <w:szCs w:val="22"/>
          <w:u w:val="single"/>
        </w:rPr>
        <w:t>Spesielle populasjoner</w:t>
      </w:r>
    </w:p>
    <w:p w14:paraId="52692713" w14:textId="77777777" w:rsidR="009E676E" w:rsidRPr="009C5EFD" w:rsidRDefault="009E676E" w:rsidP="000624CD">
      <w:pPr>
        <w:keepNext/>
        <w:rPr>
          <w:sz w:val="22"/>
          <w:szCs w:val="22"/>
        </w:rPr>
      </w:pPr>
    </w:p>
    <w:p w14:paraId="270CE4DD" w14:textId="77777777" w:rsidR="009E676E" w:rsidRPr="00AB7697" w:rsidRDefault="00E453CD" w:rsidP="000624CD">
      <w:pPr>
        <w:keepNext/>
        <w:rPr>
          <w:sz w:val="22"/>
          <w:szCs w:val="22"/>
        </w:rPr>
      </w:pPr>
      <w:r w:rsidRPr="00AB7697">
        <w:rPr>
          <w:sz w:val="22"/>
          <w:szCs w:val="22"/>
        </w:rPr>
        <w:t>Eldre</w:t>
      </w:r>
    </w:p>
    <w:p w14:paraId="34B4A769" w14:textId="77777777" w:rsidR="009E676E" w:rsidRPr="009C5EFD" w:rsidRDefault="009E676E" w:rsidP="00AF70AD">
      <w:pPr>
        <w:keepNext/>
        <w:rPr>
          <w:sz w:val="22"/>
          <w:szCs w:val="22"/>
        </w:rPr>
      </w:pPr>
    </w:p>
    <w:p w14:paraId="118738AB" w14:textId="77777777" w:rsidR="009E676E" w:rsidRPr="009C5EFD" w:rsidRDefault="00E453CD" w:rsidP="00875A7E">
      <w:pPr>
        <w:rPr>
          <w:sz w:val="22"/>
          <w:szCs w:val="22"/>
        </w:rPr>
      </w:pPr>
      <w:r w:rsidRPr="009C5EFD">
        <w:rPr>
          <w:sz w:val="22"/>
          <w:szCs w:val="22"/>
        </w:rPr>
        <w:t>Det er ikke nødvendig med justering av dosen.</w:t>
      </w:r>
    </w:p>
    <w:p w14:paraId="0B95C394" w14:textId="77777777" w:rsidR="009E676E" w:rsidRPr="009C5EFD" w:rsidRDefault="009E676E" w:rsidP="009E676E">
      <w:pPr>
        <w:rPr>
          <w:sz w:val="22"/>
          <w:szCs w:val="22"/>
        </w:rPr>
      </w:pPr>
    </w:p>
    <w:p w14:paraId="0B7CB4E0" w14:textId="77777777" w:rsidR="009E676E" w:rsidRPr="00AB7697" w:rsidRDefault="00E453CD" w:rsidP="00B72858">
      <w:pPr>
        <w:pStyle w:val="Heading8"/>
        <w:rPr>
          <w:szCs w:val="22"/>
          <w:u w:val="none"/>
        </w:rPr>
      </w:pPr>
      <w:r w:rsidRPr="00AB7697">
        <w:rPr>
          <w:szCs w:val="22"/>
          <w:u w:val="none"/>
        </w:rPr>
        <w:t>Nedsatt nyre- og/eller leverfunksjon</w:t>
      </w:r>
    </w:p>
    <w:p w14:paraId="4A339A04" w14:textId="77777777" w:rsidR="009E676E" w:rsidRPr="009C5EFD" w:rsidRDefault="009E676E" w:rsidP="00B72858">
      <w:pPr>
        <w:keepNext/>
        <w:rPr>
          <w:b/>
          <w:bCs/>
          <w:i/>
          <w:iCs/>
          <w:sz w:val="22"/>
          <w:szCs w:val="22"/>
        </w:rPr>
      </w:pPr>
    </w:p>
    <w:p w14:paraId="38A85E79" w14:textId="77777777" w:rsidR="009E676E" w:rsidRPr="009C5EFD" w:rsidRDefault="00E453CD" w:rsidP="00AF70AD">
      <w:pPr>
        <w:rPr>
          <w:sz w:val="22"/>
          <w:szCs w:val="22"/>
        </w:rPr>
      </w:pPr>
      <w:r w:rsidRPr="009C5EFD">
        <w:rPr>
          <w:sz w:val="22"/>
          <w:szCs w:val="22"/>
        </w:rPr>
        <w:t xml:space="preserve">Humira er ikke </w:t>
      </w:r>
      <w:r>
        <w:rPr>
          <w:sz w:val="22"/>
          <w:szCs w:val="22"/>
        </w:rPr>
        <w:t>undersøkt hos</w:t>
      </w:r>
      <w:r w:rsidRPr="009C5EFD">
        <w:rPr>
          <w:sz w:val="22"/>
          <w:szCs w:val="22"/>
        </w:rPr>
        <w:t xml:space="preserve"> disse pasientpopulasjonene</w:t>
      </w:r>
      <w:r w:rsidRPr="009C5EFD">
        <w:rPr>
          <w:b/>
          <w:bCs/>
          <w:i/>
          <w:iCs/>
          <w:sz w:val="22"/>
          <w:szCs w:val="22"/>
        </w:rPr>
        <w:t>.</w:t>
      </w:r>
      <w:r w:rsidRPr="009C5EFD">
        <w:rPr>
          <w:i/>
          <w:iCs/>
          <w:sz w:val="22"/>
          <w:szCs w:val="22"/>
        </w:rPr>
        <w:t xml:space="preserve"> </w:t>
      </w:r>
      <w:r w:rsidRPr="009C5EFD">
        <w:rPr>
          <w:sz w:val="22"/>
          <w:szCs w:val="22"/>
        </w:rPr>
        <w:t>Ingen doseanbefaling kan gis.</w:t>
      </w:r>
    </w:p>
    <w:p w14:paraId="2E3D2BB0" w14:textId="77777777" w:rsidR="009E676E" w:rsidRPr="009C5EFD" w:rsidRDefault="009E676E" w:rsidP="009E676E">
      <w:pPr>
        <w:rPr>
          <w:sz w:val="22"/>
          <w:szCs w:val="22"/>
        </w:rPr>
      </w:pPr>
    </w:p>
    <w:p w14:paraId="7BC1CFB5" w14:textId="77777777" w:rsidR="009E676E" w:rsidRPr="00AB7697" w:rsidRDefault="00E453CD" w:rsidP="00AF70AD">
      <w:pPr>
        <w:keepNext/>
        <w:rPr>
          <w:sz w:val="22"/>
          <w:szCs w:val="22"/>
        </w:rPr>
      </w:pPr>
      <w:r w:rsidRPr="00AB7697">
        <w:rPr>
          <w:sz w:val="22"/>
          <w:szCs w:val="22"/>
        </w:rPr>
        <w:t>Pediatrisk populasjon</w:t>
      </w:r>
    </w:p>
    <w:p w14:paraId="554A4B9D" w14:textId="77777777" w:rsidR="009E676E" w:rsidRPr="009C5EFD" w:rsidRDefault="009E676E" w:rsidP="00AF70AD">
      <w:pPr>
        <w:keepNext/>
        <w:rPr>
          <w:sz w:val="22"/>
          <w:szCs w:val="22"/>
          <w:u w:val="single"/>
        </w:rPr>
      </w:pPr>
    </w:p>
    <w:p w14:paraId="1E439F6D" w14:textId="77777777" w:rsidR="00C95D55" w:rsidRDefault="00E453CD" w:rsidP="00C95D55">
      <w:pPr>
        <w:keepNext/>
        <w:rPr>
          <w:sz w:val="22"/>
          <w:szCs w:val="22"/>
        </w:rPr>
      </w:pPr>
      <w:r w:rsidRPr="001F5D4B">
        <w:rPr>
          <w:i/>
          <w:sz w:val="22"/>
          <w:szCs w:val="22"/>
        </w:rPr>
        <w:t xml:space="preserve">Pediatrisk </w:t>
      </w:r>
      <w:r>
        <w:rPr>
          <w:i/>
          <w:sz w:val="22"/>
          <w:szCs w:val="22"/>
        </w:rPr>
        <w:t>plakkpsoriasis</w:t>
      </w:r>
    </w:p>
    <w:p w14:paraId="2347E6D3" w14:textId="77777777" w:rsidR="00C95D55" w:rsidRDefault="00C95D55" w:rsidP="00C95D55">
      <w:pPr>
        <w:keepNext/>
        <w:rPr>
          <w:sz w:val="22"/>
          <w:szCs w:val="22"/>
        </w:rPr>
      </w:pPr>
    </w:p>
    <w:p w14:paraId="186EF868" w14:textId="77777777" w:rsidR="00C95D55" w:rsidRDefault="00E453CD" w:rsidP="00C95D55">
      <w:pPr>
        <w:tabs>
          <w:tab w:val="left" w:pos="705"/>
        </w:tabs>
        <w:suppressAutoHyphens/>
        <w:rPr>
          <w:sz w:val="22"/>
          <w:szCs w:val="22"/>
        </w:rPr>
      </w:pPr>
      <w:r>
        <w:rPr>
          <w:sz w:val="22"/>
          <w:szCs w:val="22"/>
        </w:rPr>
        <w:t>Sikkerhet og effekt av Humira hos barn i alderen 4-17 år har blitt fastslått for plakkpsoriasis. Anbefalt dose av Humira er opptil maksimum 40 mg per dosering.</w:t>
      </w:r>
    </w:p>
    <w:p w14:paraId="743C79C1" w14:textId="77777777" w:rsidR="005640DB" w:rsidRDefault="005640DB" w:rsidP="00AF70AD">
      <w:pPr>
        <w:keepNext/>
        <w:rPr>
          <w:i/>
          <w:sz w:val="22"/>
          <w:szCs w:val="22"/>
        </w:rPr>
      </w:pPr>
    </w:p>
    <w:p w14:paraId="4F17E85C" w14:textId="77777777" w:rsidR="009E676E" w:rsidRPr="009C5EFD" w:rsidRDefault="00E453CD" w:rsidP="00AF70AD">
      <w:pPr>
        <w:keepNext/>
        <w:rPr>
          <w:i/>
          <w:sz w:val="22"/>
          <w:szCs w:val="22"/>
        </w:rPr>
      </w:pPr>
      <w:r w:rsidRPr="009C5EFD">
        <w:rPr>
          <w:i/>
          <w:sz w:val="22"/>
          <w:szCs w:val="22"/>
        </w:rPr>
        <w:t>Hidrosadenitt</w:t>
      </w:r>
      <w:r>
        <w:rPr>
          <w:i/>
          <w:sz w:val="22"/>
          <w:szCs w:val="22"/>
        </w:rPr>
        <w:t xml:space="preserve"> hos ungdom (</w:t>
      </w:r>
      <w:r w:rsidR="00D67D8E">
        <w:rPr>
          <w:i/>
          <w:sz w:val="22"/>
          <w:szCs w:val="22"/>
        </w:rPr>
        <w:t>over</w:t>
      </w:r>
      <w:r>
        <w:rPr>
          <w:i/>
          <w:sz w:val="22"/>
          <w:szCs w:val="22"/>
        </w:rPr>
        <w:t xml:space="preserve"> 12 år, kroppsvekt på minst 30 kg)</w:t>
      </w:r>
    </w:p>
    <w:p w14:paraId="6339E604" w14:textId="77777777" w:rsidR="009E676E" w:rsidRPr="009C5EFD" w:rsidRDefault="009E676E" w:rsidP="00AF70AD">
      <w:pPr>
        <w:keepNext/>
        <w:rPr>
          <w:sz w:val="22"/>
          <w:szCs w:val="22"/>
        </w:rPr>
      </w:pPr>
    </w:p>
    <w:p w14:paraId="3F3A0411" w14:textId="77777777" w:rsidR="009E676E" w:rsidRDefault="00E453CD" w:rsidP="009E676E">
      <w:pPr>
        <w:rPr>
          <w:sz w:val="22"/>
          <w:szCs w:val="22"/>
        </w:rPr>
      </w:pPr>
      <w:r>
        <w:rPr>
          <w:sz w:val="22"/>
          <w:szCs w:val="22"/>
        </w:rPr>
        <w:t>Det finnes ingen kliniske studier med Humira hos ungdom med HS. Doseringen av Humira hos disse pasientene har blitt bestemt fra farmakokinetisk modellering og simulering (se pkt. 5.2).</w:t>
      </w:r>
    </w:p>
    <w:p w14:paraId="2FBAC722" w14:textId="77777777" w:rsidR="009E676E" w:rsidRDefault="009E676E" w:rsidP="009E676E">
      <w:pPr>
        <w:rPr>
          <w:sz w:val="22"/>
          <w:szCs w:val="22"/>
        </w:rPr>
      </w:pPr>
    </w:p>
    <w:p w14:paraId="2B763DB7" w14:textId="77777777" w:rsidR="009E676E" w:rsidRDefault="00E453CD" w:rsidP="009E676E">
      <w:pPr>
        <w:rPr>
          <w:sz w:val="22"/>
          <w:szCs w:val="22"/>
        </w:rPr>
      </w:pPr>
      <w:r w:rsidRPr="009C5EFD">
        <w:rPr>
          <w:sz w:val="22"/>
          <w:szCs w:val="22"/>
        </w:rPr>
        <w:t xml:space="preserve">Anbefalt dosering </w:t>
      </w:r>
      <w:r>
        <w:rPr>
          <w:sz w:val="22"/>
          <w:szCs w:val="22"/>
        </w:rPr>
        <w:t>av</w:t>
      </w:r>
      <w:r w:rsidRPr="009C5EFD">
        <w:rPr>
          <w:sz w:val="22"/>
          <w:szCs w:val="22"/>
        </w:rPr>
        <w:t xml:space="preserve"> Humira </w:t>
      </w:r>
      <w:r>
        <w:rPr>
          <w:sz w:val="22"/>
          <w:szCs w:val="22"/>
        </w:rPr>
        <w:t>er 80 mg ved uke 0, etterfulgt av 40 mg annenhver uke fra uke 1 via subkutan injeksjon.</w:t>
      </w:r>
    </w:p>
    <w:p w14:paraId="722A7191" w14:textId="77777777" w:rsidR="009E676E" w:rsidRDefault="009E676E" w:rsidP="009E676E">
      <w:pPr>
        <w:rPr>
          <w:sz w:val="22"/>
          <w:szCs w:val="22"/>
        </w:rPr>
      </w:pPr>
    </w:p>
    <w:p w14:paraId="6153AA94" w14:textId="77777777" w:rsidR="009E676E" w:rsidRDefault="00E453CD" w:rsidP="009E676E">
      <w:pPr>
        <w:rPr>
          <w:sz w:val="22"/>
          <w:szCs w:val="22"/>
        </w:rPr>
      </w:pPr>
      <w:r>
        <w:rPr>
          <w:sz w:val="22"/>
          <w:szCs w:val="22"/>
        </w:rPr>
        <w:t>Hos ungdom med utilstrekkelig respons på Humira 40 mg annenhver uke, kan en økning i dosering til 40</w:t>
      </w:r>
      <w:r w:rsidR="00875A7E">
        <w:rPr>
          <w:sz w:val="22"/>
          <w:szCs w:val="22"/>
        </w:rPr>
        <w:t> </w:t>
      </w:r>
      <w:r>
        <w:rPr>
          <w:sz w:val="22"/>
          <w:szCs w:val="22"/>
        </w:rPr>
        <w:t xml:space="preserve">mg hver uke </w:t>
      </w:r>
      <w:r w:rsidR="003B1129">
        <w:rPr>
          <w:sz w:val="22"/>
          <w:szCs w:val="22"/>
        </w:rPr>
        <w:t>eller 80</w:t>
      </w:r>
      <w:r w:rsidR="00875A7E">
        <w:rPr>
          <w:sz w:val="22"/>
          <w:szCs w:val="22"/>
        </w:rPr>
        <w:t> </w:t>
      </w:r>
      <w:r w:rsidR="003B1129">
        <w:rPr>
          <w:sz w:val="22"/>
          <w:szCs w:val="22"/>
        </w:rPr>
        <w:t xml:space="preserve">mg annenhver uke </w:t>
      </w:r>
      <w:r>
        <w:rPr>
          <w:sz w:val="22"/>
          <w:szCs w:val="22"/>
        </w:rPr>
        <w:t>vurderes.</w:t>
      </w:r>
    </w:p>
    <w:p w14:paraId="61C3E6FA" w14:textId="77777777" w:rsidR="009E676E" w:rsidRDefault="009E676E" w:rsidP="009E676E">
      <w:pPr>
        <w:rPr>
          <w:sz w:val="22"/>
          <w:szCs w:val="22"/>
        </w:rPr>
      </w:pPr>
    </w:p>
    <w:p w14:paraId="3380DE49" w14:textId="77777777" w:rsidR="009E676E" w:rsidRPr="009C5EFD" w:rsidRDefault="00E453CD" w:rsidP="009E676E">
      <w:pPr>
        <w:rPr>
          <w:sz w:val="22"/>
          <w:szCs w:val="22"/>
        </w:rPr>
      </w:pPr>
      <w:r w:rsidRPr="009C5EFD">
        <w:rPr>
          <w:sz w:val="22"/>
          <w:szCs w:val="22"/>
        </w:rPr>
        <w:t>Behandling med antibiotika kan fortsette under behandling med Humira om nødvendig. Det anbefales at pasienten bruke</w:t>
      </w:r>
      <w:r>
        <w:rPr>
          <w:sz w:val="22"/>
          <w:szCs w:val="22"/>
        </w:rPr>
        <w:t>r</w:t>
      </w:r>
      <w:r w:rsidRPr="009C5EFD">
        <w:rPr>
          <w:sz w:val="22"/>
          <w:szCs w:val="22"/>
        </w:rPr>
        <w:t xml:space="preserve"> en topikal antiseptisk vask på sine HS sår daglig under behandling med Humira.</w:t>
      </w:r>
    </w:p>
    <w:p w14:paraId="71DC6BB6" w14:textId="77777777" w:rsidR="009E676E" w:rsidRPr="009C5EFD" w:rsidRDefault="009E676E" w:rsidP="009E676E">
      <w:pPr>
        <w:rPr>
          <w:sz w:val="22"/>
          <w:szCs w:val="22"/>
        </w:rPr>
      </w:pPr>
    </w:p>
    <w:p w14:paraId="301D131D" w14:textId="77777777" w:rsidR="009E676E" w:rsidRDefault="00E453CD" w:rsidP="009E676E">
      <w:pPr>
        <w:rPr>
          <w:sz w:val="22"/>
          <w:szCs w:val="22"/>
        </w:rPr>
      </w:pPr>
      <w:r w:rsidRPr="009C5EFD">
        <w:rPr>
          <w:sz w:val="22"/>
          <w:szCs w:val="22"/>
        </w:rPr>
        <w:t xml:space="preserve">Videre behandling utover 12 uker bør nøye overveies hos pasienter </w:t>
      </w:r>
      <w:r>
        <w:rPr>
          <w:sz w:val="22"/>
          <w:szCs w:val="22"/>
        </w:rPr>
        <w:t>uten</w:t>
      </w:r>
      <w:r w:rsidRPr="009C5EFD">
        <w:rPr>
          <w:sz w:val="22"/>
          <w:szCs w:val="22"/>
        </w:rPr>
        <w:t xml:space="preserve"> f</w:t>
      </w:r>
      <w:r>
        <w:rPr>
          <w:sz w:val="22"/>
          <w:szCs w:val="22"/>
        </w:rPr>
        <w:t>orbedring i løpet av denne perioden.</w:t>
      </w:r>
    </w:p>
    <w:p w14:paraId="66730BE3" w14:textId="77777777" w:rsidR="009E676E" w:rsidRDefault="009E676E" w:rsidP="009E676E">
      <w:pPr>
        <w:rPr>
          <w:sz w:val="22"/>
          <w:szCs w:val="22"/>
        </w:rPr>
      </w:pPr>
    </w:p>
    <w:p w14:paraId="669BE0D3" w14:textId="77777777" w:rsidR="009E676E" w:rsidRDefault="00E453CD" w:rsidP="009E676E">
      <w:pPr>
        <w:rPr>
          <w:sz w:val="22"/>
          <w:szCs w:val="22"/>
        </w:rPr>
      </w:pPr>
      <w:r w:rsidRPr="009C5EFD">
        <w:rPr>
          <w:sz w:val="22"/>
          <w:szCs w:val="22"/>
        </w:rPr>
        <w:t>Skulle det være nødvendig å avbryte behandlingen,</w:t>
      </w:r>
      <w:r>
        <w:rPr>
          <w:sz w:val="22"/>
          <w:szCs w:val="22"/>
        </w:rPr>
        <w:t xml:space="preserve"> kan behandling med Humira startes igjen etter behov.</w:t>
      </w:r>
    </w:p>
    <w:p w14:paraId="050CE4EF" w14:textId="77777777" w:rsidR="009E676E" w:rsidRDefault="009E676E" w:rsidP="009E676E">
      <w:pPr>
        <w:rPr>
          <w:sz w:val="22"/>
          <w:szCs w:val="22"/>
        </w:rPr>
      </w:pPr>
    </w:p>
    <w:p w14:paraId="5AB755FA" w14:textId="77777777" w:rsidR="009E676E" w:rsidRDefault="00E453CD" w:rsidP="009E676E">
      <w:pPr>
        <w:rPr>
          <w:sz w:val="22"/>
          <w:szCs w:val="22"/>
        </w:rPr>
      </w:pPr>
      <w:r w:rsidRPr="009C5EFD">
        <w:rPr>
          <w:sz w:val="22"/>
          <w:szCs w:val="22"/>
        </w:rPr>
        <w:t xml:space="preserve">Nytte og risiko ved videre langvarig behandling bør </w:t>
      </w:r>
      <w:r w:rsidR="00421CF7">
        <w:rPr>
          <w:sz w:val="22"/>
          <w:szCs w:val="22"/>
        </w:rPr>
        <w:t>vurderes</w:t>
      </w:r>
      <w:r w:rsidRPr="009C5EFD">
        <w:rPr>
          <w:sz w:val="22"/>
          <w:szCs w:val="22"/>
        </w:rPr>
        <w:t xml:space="preserve"> regelmessig (se </w:t>
      </w:r>
      <w:r>
        <w:rPr>
          <w:sz w:val="22"/>
          <w:szCs w:val="22"/>
        </w:rPr>
        <w:t xml:space="preserve">data for voksne i </w:t>
      </w:r>
      <w:r w:rsidRPr="009C5EFD">
        <w:rPr>
          <w:sz w:val="22"/>
          <w:szCs w:val="22"/>
        </w:rPr>
        <w:t>pkt. 5.1).</w:t>
      </w:r>
    </w:p>
    <w:p w14:paraId="466A37A7" w14:textId="77777777" w:rsidR="009E676E" w:rsidRPr="009C5EFD" w:rsidRDefault="009E676E" w:rsidP="009E676E">
      <w:pPr>
        <w:rPr>
          <w:sz w:val="22"/>
          <w:szCs w:val="22"/>
        </w:rPr>
      </w:pPr>
    </w:p>
    <w:p w14:paraId="73E5E7B8" w14:textId="77777777" w:rsidR="009E676E" w:rsidRDefault="00E453CD" w:rsidP="009E676E">
      <w:pPr>
        <w:keepNext/>
        <w:rPr>
          <w:sz w:val="22"/>
          <w:szCs w:val="22"/>
        </w:rPr>
      </w:pPr>
      <w:r w:rsidRPr="009C5EFD">
        <w:rPr>
          <w:sz w:val="22"/>
          <w:szCs w:val="22"/>
        </w:rPr>
        <w:t xml:space="preserve">Det er ikke relevant å bruke Humira hos barn </w:t>
      </w:r>
      <w:r w:rsidR="00D67D8E">
        <w:rPr>
          <w:sz w:val="22"/>
          <w:szCs w:val="22"/>
        </w:rPr>
        <w:t>under</w:t>
      </w:r>
      <w:r w:rsidRPr="009C5EFD">
        <w:rPr>
          <w:sz w:val="22"/>
          <w:szCs w:val="22"/>
        </w:rPr>
        <w:t xml:space="preserve"> </w:t>
      </w:r>
      <w:r>
        <w:rPr>
          <w:sz w:val="22"/>
          <w:szCs w:val="22"/>
        </w:rPr>
        <w:t>12</w:t>
      </w:r>
      <w:r w:rsidRPr="009C5EFD">
        <w:rPr>
          <w:sz w:val="22"/>
          <w:szCs w:val="22"/>
        </w:rPr>
        <w:t xml:space="preserve"> år ved denne indikasjonen.</w:t>
      </w:r>
    </w:p>
    <w:p w14:paraId="55F766D1" w14:textId="77777777" w:rsidR="003B1129" w:rsidRDefault="003B1129" w:rsidP="009E676E">
      <w:pPr>
        <w:keepNext/>
        <w:rPr>
          <w:sz w:val="22"/>
          <w:szCs w:val="22"/>
        </w:rPr>
      </w:pPr>
    </w:p>
    <w:p w14:paraId="0F304C33" w14:textId="77777777" w:rsidR="003B1129" w:rsidRDefault="00E453CD" w:rsidP="00776A84">
      <w:pPr>
        <w:rPr>
          <w:sz w:val="22"/>
          <w:szCs w:val="22"/>
        </w:rPr>
      </w:pPr>
      <w:r w:rsidRPr="00EC22C8">
        <w:rPr>
          <w:sz w:val="22"/>
          <w:szCs w:val="22"/>
        </w:rPr>
        <w:t>Humira kan være tilgjengelig i andre styrker og/eller formuleringer avhengig av individuelle behandlingsbehov.</w:t>
      </w:r>
    </w:p>
    <w:p w14:paraId="4AE8060F" w14:textId="77777777" w:rsidR="009E676E" w:rsidRPr="009C5EFD" w:rsidRDefault="009E676E" w:rsidP="00776A84">
      <w:pPr>
        <w:rPr>
          <w:sz w:val="22"/>
          <w:szCs w:val="22"/>
        </w:rPr>
      </w:pPr>
    </w:p>
    <w:p w14:paraId="423D5CDE" w14:textId="77777777" w:rsidR="00EC22C8" w:rsidRPr="00193D76" w:rsidRDefault="00E453CD" w:rsidP="00776A84">
      <w:pPr>
        <w:keepNext/>
        <w:rPr>
          <w:sz w:val="22"/>
          <w:szCs w:val="22"/>
          <w:u w:val="single"/>
        </w:rPr>
      </w:pPr>
      <w:r w:rsidRPr="001F5D4B">
        <w:rPr>
          <w:i/>
          <w:sz w:val="22"/>
          <w:szCs w:val="22"/>
        </w:rPr>
        <w:t>Pediatrisk Crohns sykdom</w:t>
      </w:r>
    </w:p>
    <w:p w14:paraId="47208E4F" w14:textId="77777777" w:rsidR="00EC22C8" w:rsidRDefault="00EC22C8" w:rsidP="00776A84">
      <w:pPr>
        <w:keepNext/>
        <w:rPr>
          <w:sz w:val="22"/>
          <w:szCs w:val="22"/>
          <w:u w:val="single"/>
        </w:rPr>
      </w:pPr>
    </w:p>
    <w:p w14:paraId="4700487C" w14:textId="77777777" w:rsidR="00EC22C8" w:rsidRDefault="00E453CD" w:rsidP="00EC22C8">
      <w:pPr>
        <w:rPr>
          <w:sz w:val="22"/>
          <w:szCs w:val="22"/>
        </w:rPr>
      </w:pPr>
      <w:r>
        <w:rPr>
          <w:sz w:val="22"/>
          <w:szCs w:val="22"/>
        </w:rPr>
        <w:t>Anbefalt dose av Humira</w:t>
      </w:r>
      <w:r w:rsidRPr="00406E1B">
        <w:rPr>
          <w:sz w:val="22"/>
          <w:szCs w:val="22"/>
        </w:rPr>
        <w:t xml:space="preserve"> </w:t>
      </w:r>
      <w:r w:rsidRPr="00844FD5">
        <w:rPr>
          <w:sz w:val="22"/>
          <w:szCs w:val="22"/>
        </w:rPr>
        <w:t xml:space="preserve">for pasienter fra </w:t>
      </w:r>
      <w:r>
        <w:rPr>
          <w:sz w:val="22"/>
          <w:szCs w:val="22"/>
        </w:rPr>
        <w:t>6</w:t>
      </w:r>
      <w:r w:rsidRPr="00406E1B">
        <w:rPr>
          <w:sz w:val="22"/>
          <w:szCs w:val="22"/>
        </w:rPr>
        <w:t xml:space="preserve"> til 17</w:t>
      </w:r>
      <w:r w:rsidR="00C2780F">
        <w:rPr>
          <w:sz w:val="22"/>
          <w:szCs w:val="22"/>
        </w:rPr>
        <w:t> </w:t>
      </w:r>
      <w:r w:rsidRPr="00406E1B">
        <w:rPr>
          <w:sz w:val="22"/>
          <w:szCs w:val="22"/>
        </w:rPr>
        <w:t xml:space="preserve">år med </w:t>
      </w:r>
      <w:r>
        <w:rPr>
          <w:sz w:val="22"/>
          <w:szCs w:val="22"/>
        </w:rPr>
        <w:t>Cro</w:t>
      </w:r>
      <w:r w:rsidR="000259CC">
        <w:rPr>
          <w:sz w:val="22"/>
          <w:szCs w:val="22"/>
        </w:rPr>
        <w:t>h</w:t>
      </w:r>
      <w:r>
        <w:rPr>
          <w:sz w:val="22"/>
          <w:szCs w:val="22"/>
        </w:rPr>
        <w:t>ns sykdom</w:t>
      </w:r>
      <w:r w:rsidRPr="00406E1B">
        <w:rPr>
          <w:sz w:val="22"/>
          <w:szCs w:val="22"/>
        </w:rPr>
        <w:t xml:space="preserve"> e</w:t>
      </w:r>
      <w:r w:rsidRPr="00844FD5">
        <w:rPr>
          <w:sz w:val="22"/>
          <w:szCs w:val="22"/>
        </w:rPr>
        <w:t>r basert på kroppsvekt (</w:t>
      </w:r>
      <w:r w:rsidR="009A60E6">
        <w:rPr>
          <w:sz w:val="22"/>
          <w:szCs w:val="22"/>
        </w:rPr>
        <w:t>t</w:t>
      </w:r>
      <w:r w:rsidRPr="00844FD5">
        <w:rPr>
          <w:sz w:val="22"/>
          <w:szCs w:val="22"/>
        </w:rPr>
        <w:t>abell</w:t>
      </w:r>
      <w:r w:rsidR="00C2780F">
        <w:rPr>
          <w:sz w:val="22"/>
          <w:szCs w:val="22"/>
        </w:rPr>
        <w:t> 1</w:t>
      </w:r>
      <w:r w:rsidRPr="00406E1B">
        <w:rPr>
          <w:sz w:val="22"/>
          <w:szCs w:val="22"/>
        </w:rPr>
        <w:t>).</w:t>
      </w:r>
      <w:r>
        <w:rPr>
          <w:sz w:val="22"/>
          <w:szCs w:val="22"/>
        </w:rPr>
        <w:t xml:space="preserve"> </w:t>
      </w:r>
      <w:r w:rsidRPr="006B1B0E">
        <w:rPr>
          <w:sz w:val="22"/>
          <w:szCs w:val="22"/>
        </w:rPr>
        <w:t>Humira admini</w:t>
      </w:r>
      <w:r>
        <w:rPr>
          <w:sz w:val="22"/>
          <w:szCs w:val="22"/>
        </w:rPr>
        <w:t xml:space="preserve">streres </w:t>
      </w:r>
      <w:r w:rsidR="003B1129">
        <w:rPr>
          <w:sz w:val="22"/>
          <w:szCs w:val="22"/>
        </w:rPr>
        <w:t xml:space="preserve">som </w:t>
      </w:r>
      <w:r>
        <w:rPr>
          <w:sz w:val="22"/>
          <w:szCs w:val="22"/>
        </w:rPr>
        <w:t>subkutan</w:t>
      </w:r>
      <w:r w:rsidR="003B1129">
        <w:rPr>
          <w:sz w:val="22"/>
          <w:szCs w:val="22"/>
        </w:rPr>
        <w:t xml:space="preserve"> injeksjon</w:t>
      </w:r>
      <w:r>
        <w:rPr>
          <w:sz w:val="22"/>
          <w:szCs w:val="22"/>
        </w:rPr>
        <w:t>.</w:t>
      </w:r>
    </w:p>
    <w:p w14:paraId="70E9AA71" w14:textId="77777777" w:rsidR="00EC22C8" w:rsidRDefault="00EC22C8" w:rsidP="00EC22C8">
      <w:pPr>
        <w:rPr>
          <w:sz w:val="22"/>
          <w:szCs w:val="22"/>
        </w:rPr>
      </w:pPr>
    </w:p>
    <w:p w14:paraId="4F3C9262" w14:textId="77777777" w:rsidR="00EC22C8" w:rsidRPr="00AB7697" w:rsidRDefault="00E453CD" w:rsidP="00661964">
      <w:pPr>
        <w:keepNext/>
        <w:jc w:val="center"/>
        <w:rPr>
          <w:b/>
          <w:sz w:val="22"/>
          <w:szCs w:val="22"/>
        </w:rPr>
      </w:pPr>
      <w:r w:rsidRPr="00AB7697">
        <w:rPr>
          <w:b/>
          <w:sz w:val="22"/>
          <w:szCs w:val="22"/>
        </w:rPr>
        <w:t>Tabell</w:t>
      </w:r>
      <w:r w:rsidR="00C2780F" w:rsidRPr="00AB7697">
        <w:rPr>
          <w:b/>
          <w:sz w:val="22"/>
          <w:szCs w:val="22"/>
        </w:rPr>
        <w:t> 1</w:t>
      </w:r>
      <w:r w:rsidRPr="00AB7697">
        <w:rPr>
          <w:b/>
          <w:sz w:val="22"/>
          <w:szCs w:val="22"/>
        </w:rPr>
        <w:t>. Humiradosering for pediatriske pasienter med Cro</w:t>
      </w:r>
      <w:r w:rsidR="000259CC" w:rsidRPr="00AB7697">
        <w:rPr>
          <w:b/>
          <w:sz w:val="22"/>
          <w:szCs w:val="22"/>
        </w:rPr>
        <w:t>h</w:t>
      </w:r>
      <w:r w:rsidRPr="00AB7697">
        <w:rPr>
          <w:b/>
          <w:sz w:val="22"/>
          <w:szCs w:val="22"/>
        </w:rPr>
        <w:t>ns sykdom</w:t>
      </w:r>
    </w:p>
    <w:p w14:paraId="61C891A4" w14:textId="77777777" w:rsidR="00EC22C8" w:rsidRPr="00AB7697" w:rsidRDefault="00EC22C8" w:rsidP="00661964">
      <w:pPr>
        <w:keepNext/>
        <w:rPr>
          <w:sz w:val="22"/>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3"/>
        <w:gridCol w:w="5960"/>
        <w:gridCol w:w="1946"/>
      </w:tblGrid>
      <w:tr w:rsidR="004644D4" w14:paraId="47F2F418" w14:textId="77777777" w:rsidTr="002A2660">
        <w:trPr>
          <w:tblHeader/>
        </w:trPr>
        <w:tc>
          <w:tcPr>
            <w:tcW w:w="0" w:type="auto"/>
            <w:tcBorders>
              <w:top w:val="single" w:sz="6" w:space="0" w:color="000000"/>
              <w:left w:val="single" w:sz="6" w:space="0" w:color="000000"/>
              <w:bottom w:val="single" w:sz="6" w:space="0" w:color="000000"/>
              <w:right w:val="single" w:sz="6" w:space="0" w:color="000000"/>
            </w:tcBorders>
            <w:hideMark/>
          </w:tcPr>
          <w:p w14:paraId="66882AD3" w14:textId="77777777" w:rsidR="00EC22C8" w:rsidRPr="00AB7697" w:rsidRDefault="00E453CD" w:rsidP="00661964">
            <w:pPr>
              <w:keepNext/>
              <w:jc w:val="center"/>
              <w:rPr>
                <w:sz w:val="22"/>
              </w:rPr>
            </w:pPr>
            <w:r w:rsidRPr="00AB7697">
              <w:rPr>
                <w:b/>
                <w:sz w:val="22"/>
              </w:rPr>
              <w:t>Kroppsvekt</w:t>
            </w:r>
          </w:p>
        </w:tc>
        <w:tc>
          <w:tcPr>
            <w:tcW w:w="0" w:type="auto"/>
            <w:tcBorders>
              <w:top w:val="single" w:sz="6" w:space="0" w:color="000000"/>
              <w:left w:val="single" w:sz="6" w:space="0" w:color="000000"/>
              <w:bottom w:val="single" w:sz="6" w:space="0" w:color="000000"/>
              <w:right w:val="single" w:sz="6" w:space="0" w:color="000000"/>
            </w:tcBorders>
            <w:hideMark/>
          </w:tcPr>
          <w:p w14:paraId="10DFD039" w14:textId="77777777" w:rsidR="00EC22C8" w:rsidRPr="00AB7697" w:rsidRDefault="00E453CD" w:rsidP="00661964">
            <w:pPr>
              <w:keepNext/>
              <w:jc w:val="center"/>
              <w:rPr>
                <w:sz w:val="22"/>
              </w:rPr>
            </w:pPr>
            <w:r w:rsidRPr="00AB7697">
              <w:rPr>
                <w:b/>
                <w:sz w:val="22"/>
              </w:rPr>
              <w:t>Startdose</w:t>
            </w:r>
          </w:p>
        </w:tc>
        <w:tc>
          <w:tcPr>
            <w:tcW w:w="0" w:type="auto"/>
            <w:tcBorders>
              <w:top w:val="single" w:sz="6" w:space="0" w:color="000000"/>
              <w:left w:val="single" w:sz="6" w:space="0" w:color="000000"/>
              <w:bottom w:val="single" w:sz="6" w:space="0" w:color="000000"/>
              <w:right w:val="single" w:sz="6" w:space="0" w:color="000000"/>
            </w:tcBorders>
            <w:hideMark/>
          </w:tcPr>
          <w:p w14:paraId="7543DFF0" w14:textId="77777777" w:rsidR="00EC22C8" w:rsidRPr="00AB7697" w:rsidRDefault="00E453CD" w:rsidP="00661964">
            <w:pPr>
              <w:keepNext/>
              <w:jc w:val="center"/>
              <w:rPr>
                <w:sz w:val="22"/>
                <w:lang w:val="en-US"/>
              </w:rPr>
            </w:pPr>
            <w:r w:rsidRPr="00AB7697">
              <w:rPr>
                <w:b/>
                <w:sz w:val="22"/>
                <w:lang w:val="en-US"/>
              </w:rPr>
              <w:t>Vedlikeholdsdose fra uke 4</w:t>
            </w:r>
          </w:p>
        </w:tc>
      </w:tr>
      <w:tr w:rsidR="004644D4" w14:paraId="4C139639" w14:textId="77777777" w:rsidTr="002A2660">
        <w:tc>
          <w:tcPr>
            <w:tcW w:w="0" w:type="auto"/>
            <w:tcBorders>
              <w:top w:val="single" w:sz="6" w:space="0" w:color="000000"/>
              <w:left w:val="single" w:sz="6" w:space="0" w:color="000000"/>
              <w:bottom w:val="single" w:sz="6" w:space="0" w:color="000000"/>
              <w:right w:val="single" w:sz="6" w:space="0" w:color="000000"/>
            </w:tcBorders>
            <w:hideMark/>
          </w:tcPr>
          <w:p w14:paraId="4E8B2AF0" w14:textId="77777777" w:rsidR="00EC22C8" w:rsidRPr="00AB7697" w:rsidRDefault="00E453CD" w:rsidP="00661964">
            <w:pPr>
              <w:keepNext/>
              <w:jc w:val="center"/>
              <w:rPr>
                <w:sz w:val="22"/>
              </w:rPr>
            </w:pPr>
            <w:r w:rsidRPr="00AB7697">
              <w:rPr>
                <w:sz w:val="22"/>
              </w:rPr>
              <w:t>&lt; 40 kg</w:t>
            </w:r>
          </w:p>
        </w:tc>
        <w:tc>
          <w:tcPr>
            <w:tcW w:w="0" w:type="auto"/>
            <w:tcBorders>
              <w:top w:val="single" w:sz="6" w:space="0" w:color="000000"/>
              <w:left w:val="single" w:sz="6" w:space="0" w:color="000000"/>
              <w:bottom w:val="single" w:sz="6" w:space="0" w:color="000000"/>
              <w:right w:val="single" w:sz="6" w:space="0" w:color="000000"/>
            </w:tcBorders>
            <w:hideMark/>
          </w:tcPr>
          <w:p w14:paraId="4BFB1A72" w14:textId="77777777" w:rsidR="00EC22C8" w:rsidRPr="00AB7697" w:rsidRDefault="00E453CD" w:rsidP="00661964">
            <w:pPr>
              <w:keepNext/>
              <w:numPr>
                <w:ilvl w:val="0"/>
                <w:numId w:val="135"/>
              </w:numPr>
              <w:tabs>
                <w:tab w:val="left" w:pos="720"/>
              </w:tabs>
              <w:spacing w:line="276" w:lineRule="auto"/>
              <w:ind w:left="317" w:hanging="187"/>
              <w:rPr>
                <w:sz w:val="22"/>
                <w:szCs w:val="22"/>
              </w:rPr>
            </w:pPr>
            <w:r w:rsidRPr="00AB7697">
              <w:rPr>
                <w:sz w:val="22"/>
                <w:szCs w:val="22"/>
              </w:rPr>
              <w:t>40 mg ved uke 0 og 20 mg ved uke 2</w:t>
            </w:r>
          </w:p>
          <w:p w14:paraId="7B325869" w14:textId="77777777" w:rsidR="00EC22C8" w:rsidRPr="00AB7697" w:rsidRDefault="00EC22C8" w:rsidP="00661964">
            <w:pPr>
              <w:keepNext/>
              <w:tabs>
                <w:tab w:val="left" w:pos="720"/>
              </w:tabs>
              <w:spacing w:line="276" w:lineRule="auto"/>
              <w:ind w:left="337"/>
              <w:rPr>
                <w:sz w:val="22"/>
                <w:szCs w:val="22"/>
              </w:rPr>
            </w:pPr>
          </w:p>
          <w:p w14:paraId="55769B8B" w14:textId="77777777" w:rsidR="00EC22C8" w:rsidRPr="00AB7697" w:rsidRDefault="00E453CD" w:rsidP="00661964">
            <w:pPr>
              <w:keepNext/>
              <w:tabs>
                <w:tab w:val="left" w:pos="720"/>
              </w:tabs>
              <w:spacing w:line="276" w:lineRule="auto"/>
              <w:ind w:left="150"/>
              <w:rPr>
                <w:sz w:val="22"/>
                <w:szCs w:val="22"/>
              </w:rPr>
            </w:pPr>
            <w:r w:rsidRPr="00AB7697">
              <w:rPr>
                <w:sz w:val="22"/>
                <w:szCs w:val="22"/>
              </w:rPr>
              <w:t xml:space="preserve">Dersom det er behov for raskere respons på </w:t>
            </w:r>
            <w:r w:rsidR="00D67D8E">
              <w:rPr>
                <w:sz w:val="22"/>
                <w:szCs w:val="22"/>
              </w:rPr>
              <w:t>behandlingen</w:t>
            </w:r>
            <w:r w:rsidRPr="00AB7697">
              <w:rPr>
                <w:sz w:val="22"/>
                <w:szCs w:val="22"/>
              </w:rPr>
              <w:t xml:space="preserve"> og med viten om at bivirkningsrisiko kan være høyere ved bruk av høyere startdose, kan følgende dosering benyttes:</w:t>
            </w:r>
          </w:p>
          <w:p w14:paraId="423A16D0" w14:textId="77777777" w:rsidR="00EC22C8" w:rsidRPr="00AB7697" w:rsidRDefault="00E453CD" w:rsidP="00661964">
            <w:pPr>
              <w:keepNext/>
              <w:numPr>
                <w:ilvl w:val="0"/>
                <w:numId w:val="135"/>
              </w:numPr>
              <w:ind w:left="317" w:hanging="187"/>
              <w:rPr>
                <w:iCs/>
                <w:sz w:val="22"/>
                <w:szCs w:val="22"/>
              </w:rPr>
            </w:pPr>
            <w:r w:rsidRPr="00AB7697">
              <w:rPr>
                <w:sz w:val="22"/>
                <w:szCs w:val="22"/>
              </w:rPr>
              <w:t>80 mg ved uke 0 og 40 mg ved uke 2</w:t>
            </w:r>
          </w:p>
        </w:tc>
        <w:tc>
          <w:tcPr>
            <w:tcW w:w="0" w:type="auto"/>
            <w:tcBorders>
              <w:top w:val="single" w:sz="6" w:space="0" w:color="000000"/>
              <w:left w:val="single" w:sz="6" w:space="0" w:color="000000"/>
              <w:bottom w:val="single" w:sz="6" w:space="0" w:color="000000"/>
              <w:right w:val="single" w:sz="6" w:space="0" w:color="000000"/>
            </w:tcBorders>
            <w:hideMark/>
          </w:tcPr>
          <w:p w14:paraId="4989F1F1" w14:textId="77777777" w:rsidR="00EC22C8" w:rsidRPr="00AB7697" w:rsidRDefault="00E453CD" w:rsidP="00661964">
            <w:pPr>
              <w:keepNext/>
              <w:ind w:left="16"/>
              <w:jc w:val="center"/>
              <w:rPr>
                <w:sz w:val="22"/>
              </w:rPr>
            </w:pPr>
            <w:r w:rsidRPr="00AB7697">
              <w:rPr>
                <w:sz w:val="22"/>
              </w:rPr>
              <w:t>20 mg annenhver uke</w:t>
            </w:r>
          </w:p>
        </w:tc>
      </w:tr>
      <w:tr w:rsidR="004644D4" w14:paraId="0A3E1334" w14:textId="77777777" w:rsidTr="002A2660">
        <w:tc>
          <w:tcPr>
            <w:tcW w:w="0" w:type="auto"/>
            <w:tcBorders>
              <w:top w:val="single" w:sz="6" w:space="0" w:color="000000"/>
              <w:left w:val="single" w:sz="6" w:space="0" w:color="000000"/>
              <w:bottom w:val="single" w:sz="6" w:space="0" w:color="000000"/>
              <w:right w:val="single" w:sz="6" w:space="0" w:color="000000"/>
            </w:tcBorders>
            <w:hideMark/>
          </w:tcPr>
          <w:p w14:paraId="2676E339" w14:textId="77777777" w:rsidR="00EC22C8" w:rsidRPr="00AB7697" w:rsidRDefault="00E453CD" w:rsidP="00661964">
            <w:pPr>
              <w:keepNext/>
              <w:jc w:val="center"/>
              <w:rPr>
                <w:sz w:val="22"/>
              </w:rPr>
            </w:pPr>
            <w:r w:rsidRPr="00AB7697">
              <w:rPr>
                <w:sz w:val="22"/>
              </w:rPr>
              <w:t>≥ 40 kg</w:t>
            </w:r>
          </w:p>
        </w:tc>
        <w:tc>
          <w:tcPr>
            <w:tcW w:w="0" w:type="auto"/>
            <w:tcBorders>
              <w:top w:val="single" w:sz="6" w:space="0" w:color="000000"/>
              <w:left w:val="single" w:sz="6" w:space="0" w:color="000000"/>
              <w:bottom w:val="single" w:sz="6" w:space="0" w:color="000000"/>
              <w:right w:val="single" w:sz="6" w:space="0" w:color="000000"/>
            </w:tcBorders>
            <w:hideMark/>
          </w:tcPr>
          <w:p w14:paraId="39F7C55E" w14:textId="77777777" w:rsidR="00EC22C8" w:rsidRPr="00AB7697" w:rsidRDefault="00E453CD" w:rsidP="00661964">
            <w:pPr>
              <w:keepNext/>
              <w:numPr>
                <w:ilvl w:val="0"/>
                <w:numId w:val="137"/>
              </w:numPr>
              <w:tabs>
                <w:tab w:val="left" w:pos="720"/>
              </w:tabs>
              <w:spacing w:line="276" w:lineRule="auto"/>
              <w:ind w:left="317" w:hanging="187"/>
              <w:rPr>
                <w:sz w:val="22"/>
                <w:szCs w:val="22"/>
              </w:rPr>
            </w:pPr>
            <w:r>
              <w:rPr>
                <w:sz w:val="22"/>
                <w:szCs w:val="22"/>
              </w:rPr>
              <w:t>80 mg ved uke 0 og 4</w:t>
            </w:r>
            <w:r w:rsidRPr="00AB7697">
              <w:rPr>
                <w:sz w:val="22"/>
                <w:szCs w:val="22"/>
              </w:rPr>
              <w:t>0 mg ved uke 2</w:t>
            </w:r>
          </w:p>
          <w:p w14:paraId="715B81CF" w14:textId="77777777" w:rsidR="00EC22C8" w:rsidRPr="00AB7697" w:rsidRDefault="00EC22C8" w:rsidP="00661964">
            <w:pPr>
              <w:keepNext/>
              <w:tabs>
                <w:tab w:val="left" w:pos="720"/>
              </w:tabs>
              <w:spacing w:line="276" w:lineRule="auto"/>
              <w:ind w:left="337"/>
              <w:rPr>
                <w:sz w:val="22"/>
                <w:szCs w:val="22"/>
              </w:rPr>
            </w:pPr>
          </w:p>
          <w:p w14:paraId="5E8FDA28" w14:textId="77777777" w:rsidR="00EC22C8" w:rsidRPr="00AB7697" w:rsidRDefault="00E453CD" w:rsidP="00661964">
            <w:pPr>
              <w:keepNext/>
              <w:tabs>
                <w:tab w:val="left" w:pos="720"/>
              </w:tabs>
              <w:spacing w:line="276" w:lineRule="auto"/>
              <w:ind w:left="150"/>
              <w:rPr>
                <w:sz w:val="22"/>
                <w:szCs w:val="22"/>
              </w:rPr>
            </w:pPr>
            <w:r w:rsidRPr="00AB7697">
              <w:rPr>
                <w:sz w:val="22"/>
                <w:szCs w:val="22"/>
              </w:rPr>
              <w:t xml:space="preserve">Dersom det er behov for raskere respons på </w:t>
            </w:r>
            <w:r w:rsidR="00D67D8E">
              <w:rPr>
                <w:sz w:val="22"/>
                <w:szCs w:val="22"/>
              </w:rPr>
              <w:t>behandlingen</w:t>
            </w:r>
            <w:r w:rsidRPr="00AB7697">
              <w:rPr>
                <w:sz w:val="22"/>
                <w:szCs w:val="22"/>
              </w:rPr>
              <w:t xml:space="preserve"> og med viten om at bivirkningsrisiko kan være høyere ved bruk av høyere startdose, kan følgende dosering benyttes:</w:t>
            </w:r>
          </w:p>
          <w:p w14:paraId="4FB12964" w14:textId="77777777" w:rsidR="00EC22C8" w:rsidRPr="00AB7697" w:rsidRDefault="00E453CD" w:rsidP="00661964">
            <w:pPr>
              <w:keepNext/>
              <w:numPr>
                <w:ilvl w:val="0"/>
                <w:numId w:val="137"/>
              </w:numPr>
              <w:ind w:left="317" w:hanging="187"/>
              <w:rPr>
                <w:sz w:val="22"/>
                <w:szCs w:val="22"/>
              </w:rPr>
            </w:pPr>
            <w:r w:rsidRPr="00AB7697">
              <w:rPr>
                <w:sz w:val="22"/>
                <w:szCs w:val="22"/>
              </w:rPr>
              <w:t>160 mg ved uke 0 og 80 mg ved uke 2</w:t>
            </w:r>
          </w:p>
        </w:tc>
        <w:tc>
          <w:tcPr>
            <w:tcW w:w="0" w:type="auto"/>
            <w:tcBorders>
              <w:top w:val="single" w:sz="6" w:space="0" w:color="000000"/>
              <w:left w:val="single" w:sz="6" w:space="0" w:color="000000"/>
              <w:bottom w:val="single" w:sz="6" w:space="0" w:color="000000"/>
              <w:right w:val="single" w:sz="6" w:space="0" w:color="000000"/>
            </w:tcBorders>
            <w:hideMark/>
          </w:tcPr>
          <w:p w14:paraId="5A8DBAA4" w14:textId="77777777" w:rsidR="00EC22C8" w:rsidRPr="00AB7697" w:rsidRDefault="00E453CD" w:rsidP="00661964">
            <w:pPr>
              <w:keepNext/>
              <w:ind w:left="16"/>
              <w:jc w:val="center"/>
              <w:rPr>
                <w:sz w:val="22"/>
              </w:rPr>
            </w:pPr>
            <w:r w:rsidRPr="00AB7697">
              <w:rPr>
                <w:sz w:val="22"/>
              </w:rPr>
              <w:t>40 mg annenhver uke</w:t>
            </w:r>
          </w:p>
        </w:tc>
      </w:tr>
    </w:tbl>
    <w:p w14:paraId="0A735B68" w14:textId="77777777" w:rsidR="00EC22C8" w:rsidRDefault="00EC22C8" w:rsidP="00776A84">
      <w:pPr>
        <w:rPr>
          <w:lang w:val="en-GB"/>
        </w:rPr>
      </w:pPr>
    </w:p>
    <w:p w14:paraId="06864A06" w14:textId="77777777" w:rsidR="00EC22C8" w:rsidRPr="00644328" w:rsidRDefault="00E453CD" w:rsidP="00776A84">
      <w:pPr>
        <w:keepNext/>
        <w:rPr>
          <w:sz w:val="22"/>
          <w:szCs w:val="22"/>
        </w:rPr>
      </w:pPr>
      <w:r w:rsidRPr="00644328">
        <w:rPr>
          <w:sz w:val="22"/>
          <w:szCs w:val="22"/>
        </w:rPr>
        <w:t>Pasienter som opplever utilstrekkelig respons kan ha nytte av en økning i dosering:</w:t>
      </w:r>
    </w:p>
    <w:p w14:paraId="68D28638" w14:textId="77777777" w:rsidR="00EC22C8" w:rsidRPr="00644328" w:rsidRDefault="00E453CD" w:rsidP="00776A84">
      <w:pPr>
        <w:numPr>
          <w:ilvl w:val="0"/>
          <w:numId w:val="140"/>
        </w:numPr>
        <w:tabs>
          <w:tab w:val="left" w:pos="562"/>
        </w:tabs>
        <w:suppressAutoHyphens/>
        <w:ind w:left="540" w:hanging="540"/>
        <w:rPr>
          <w:sz w:val="22"/>
          <w:szCs w:val="22"/>
        </w:rPr>
      </w:pPr>
      <w:r w:rsidRPr="00644328">
        <w:rPr>
          <w:sz w:val="22"/>
          <w:szCs w:val="22"/>
        </w:rPr>
        <w:t>&lt; 40 kg: 20 mg hver uke</w:t>
      </w:r>
    </w:p>
    <w:p w14:paraId="6F73FB77" w14:textId="77777777" w:rsidR="00EC22C8" w:rsidRPr="00644328" w:rsidRDefault="00E453CD" w:rsidP="00776A84">
      <w:pPr>
        <w:numPr>
          <w:ilvl w:val="0"/>
          <w:numId w:val="140"/>
        </w:numPr>
        <w:tabs>
          <w:tab w:val="left" w:pos="562"/>
        </w:tabs>
        <w:suppressAutoHyphens/>
        <w:ind w:left="540" w:hanging="540"/>
        <w:rPr>
          <w:sz w:val="22"/>
          <w:szCs w:val="22"/>
        </w:rPr>
      </w:pPr>
      <w:r w:rsidRPr="00644328">
        <w:rPr>
          <w:sz w:val="22"/>
          <w:szCs w:val="22"/>
        </w:rPr>
        <w:t>≥ 40 kg: 40 mg hver uke</w:t>
      </w:r>
      <w:r w:rsidR="003B1129" w:rsidRPr="00644328">
        <w:rPr>
          <w:sz w:val="22"/>
          <w:szCs w:val="22"/>
        </w:rPr>
        <w:t xml:space="preserve"> eller 80</w:t>
      </w:r>
      <w:r w:rsidR="00875A7E" w:rsidRPr="00644328">
        <w:rPr>
          <w:sz w:val="22"/>
          <w:szCs w:val="22"/>
        </w:rPr>
        <w:t> </w:t>
      </w:r>
      <w:r w:rsidR="003B1129" w:rsidRPr="00644328">
        <w:rPr>
          <w:sz w:val="22"/>
          <w:szCs w:val="22"/>
        </w:rPr>
        <w:t>mg annenhver uke</w:t>
      </w:r>
    </w:p>
    <w:p w14:paraId="4F82FE5D" w14:textId="77777777" w:rsidR="00EC22C8" w:rsidRPr="00644328" w:rsidRDefault="00EC22C8" w:rsidP="00EC22C8">
      <w:pPr>
        <w:rPr>
          <w:sz w:val="22"/>
          <w:szCs w:val="22"/>
        </w:rPr>
      </w:pPr>
    </w:p>
    <w:p w14:paraId="6F65129E" w14:textId="77777777" w:rsidR="00EC22C8" w:rsidRPr="00644328" w:rsidRDefault="00E453CD" w:rsidP="00EC22C8">
      <w:pPr>
        <w:rPr>
          <w:sz w:val="22"/>
          <w:szCs w:val="22"/>
        </w:rPr>
      </w:pPr>
      <w:r w:rsidRPr="00644328">
        <w:rPr>
          <w:sz w:val="22"/>
          <w:szCs w:val="22"/>
        </w:rPr>
        <w:t>Fortsettelse av behandlingen hos pasienter som ikke responderer innen uke 12, bør vurderes nøye.</w:t>
      </w:r>
    </w:p>
    <w:p w14:paraId="138839A0" w14:textId="77777777" w:rsidR="00EC22C8" w:rsidRPr="00644328" w:rsidRDefault="00EC22C8" w:rsidP="00EC22C8">
      <w:pPr>
        <w:rPr>
          <w:sz w:val="22"/>
          <w:szCs w:val="22"/>
        </w:rPr>
      </w:pPr>
    </w:p>
    <w:p w14:paraId="6C177D46" w14:textId="77777777" w:rsidR="00EC22C8" w:rsidRPr="00644328" w:rsidRDefault="00E453CD" w:rsidP="00EC22C8">
      <w:pPr>
        <w:rPr>
          <w:sz w:val="22"/>
          <w:szCs w:val="22"/>
        </w:rPr>
      </w:pPr>
      <w:r w:rsidRPr="00644328">
        <w:rPr>
          <w:sz w:val="22"/>
          <w:szCs w:val="22"/>
        </w:rPr>
        <w:t xml:space="preserve">Det er ikke relevant å bruke Humira hos barn </w:t>
      </w:r>
      <w:r w:rsidR="00D67D8E" w:rsidRPr="00644328">
        <w:rPr>
          <w:sz w:val="22"/>
          <w:szCs w:val="22"/>
        </w:rPr>
        <w:t>under</w:t>
      </w:r>
      <w:r w:rsidRPr="00644328">
        <w:rPr>
          <w:sz w:val="22"/>
          <w:szCs w:val="22"/>
        </w:rPr>
        <w:t xml:space="preserve"> 6 år ved denne indikasjonen.</w:t>
      </w:r>
    </w:p>
    <w:p w14:paraId="5C2DD193" w14:textId="77777777" w:rsidR="003B1129" w:rsidRPr="00644328" w:rsidRDefault="003B1129" w:rsidP="00EC22C8">
      <w:pPr>
        <w:rPr>
          <w:sz w:val="22"/>
          <w:szCs w:val="22"/>
        </w:rPr>
      </w:pPr>
    </w:p>
    <w:p w14:paraId="64CDEB03" w14:textId="77777777" w:rsidR="003B1129" w:rsidRPr="00644328" w:rsidRDefault="00E453CD" w:rsidP="00EC22C8">
      <w:pPr>
        <w:rPr>
          <w:sz w:val="22"/>
          <w:szCs w:val="22"/>
        </w:rPr>
      </w:pPr>
      <w:r w:rsidRPr="00644328">
        <w:rPr>
          <w:sz w:val="22"/>
          <w:szCs w:val="22"/>
        </w:rPr>
        <w:t>Humira kan være tilgjengelig i andre styrker og/eller formuleringer avhengig av individuelle behandlingsbehov.</w:t>
      </w:r>
    </w:p>
    <w:p w14:paraId="4ABDC089" w14:textId="77777777" w:rsidR="005640DB" w:rsidRPr="00644328" w:rsidRDefault="005640DB" w:rsidP="00EC22C8">
      <w:pPr>
        <w:rPr>
          <w:sz w:val="22"/>
          <w:szCs w:val="22"/>
        </w:rPr>
      </w:pPr>
    </w:p>
    <w:p w14:paraId="6C901791" w14:textId="77777777" w:rsidR="005640DB" w:rsidRPr="00E04B2A" w:rsidRDefault="00E453CD" w:rsidP="005640DB">
      <w:pPr>
        <w:rPr>
          <w:b/>
          <w:bCs/>
          <w:iCs/>
          <w:sz w:val="22"/>
        </w:rPr>
      </w:pPr>
      <w:r w:rsidRPr="00E04B2A">
        <w:rPr>
          <w:i/>
          <w:sz w:val="22"/>
        </w:rPr>
        <w:t>Pediatrisk ulcerøs kolitt</w:t>
      </w:r>
      <w:r w:rsidRPr="00E04B2A">
        <w:rPr>
          <w:b/>
          <w:sz w:val="22"/>
        </w:rPr>
        <w:t xml:space="preserve"> </w:t>
      </w:r>
    </w:p>
    <w:p w14:paraId="6EE500AC" w14:textId="77777777" w:rsidR="005640DB" w:rsidRPr="00E04B2A" w:rsidRDefault="005640DB" w:rsidP="005640DB">
      <w:pPr>
        <w:rPr>
          <w:sz w:val="22"/>
        </w:rPr>
      </w:pPr>
    </w:p>
    <w:p w14:paraId="6257AF02" w14:textId="77777777" w:rsidR="005640DB" w:rsidRPr="00E04B2A" w:rsidRDefault="00E453CD" w:rsidP="005640DB">
      <w:pPr>
        <w:rPr>
          <w:sz w:val="22"/>
        </w:rPr>
      </w:pPr>
      <w:r>
        <w:rPr>
          <w:sz w:val="22"/>
        </w:rPr>
        <w:t>A</w:t>
      </w:r>
      <w:r w:rsidRPr="00E04B2A">
        <w:rPr>
          <w:sz w:val="22"/>
        </w:rPr>
        <w:t>nbefalt dose</w:t>
      </w:r>
      <w:r>
        <w:rPr>
          <w:sz w:val="22"/>
        </w:rPr>
        <w:t xml:space="preserve"> av</w:t>
      </w:r>
      <w:r w:rsidRPr="00E04B2A">
        <w:rPr>
          <w:sz w:val="22"/>
        </w:rPr>
        <w:t xml:space="preserve"> Humira for pasienter </w:t>
      </w:r>
      <w:r>
        <w:rPr>
          <w:sz w:val="22"/>
        </w:rPr>
        <w:t>fra</w:t>
      </w:r>
      <w:r w:rsidRPr="00E04B2A">
        <w:rPr>
          <w:sz w:val="22"/>
        </w:rPr>
        <w:t xml:space="preserve"> 6 til 17 år med ulcerøs kolitt er basert på kroppsvekt (tabell </w:t>
      </w:r>
      <w:r w:rsidR="0070176C">
        <w:rPr>
          <w:sz w:val="22"/>
        </w:rPr>
        <w:t>2</w:t>
      </w:r>
      <w:r w:rsidRPr="00E04B2A">
        <w:rPr>
          <w:sz w:val="22"/>
        </w:rPr>
        <w:t xml:space="preserve">). Humira administreres </w:t>
      </w:r>
      <w:r>
        <w:rPr>
          <w:sz w:val="22"/>
        </w:rPr>
        <w:t>som</w:t>
      </w:r>
      <w:r w:rsidRPr="00E04B2A">
        <w:rPr>
          <w:sz w:val="22"/>
        </w:rPr>
        <w:t xml:space="preserve"> subkutan injeksjon. </w:t>
      </w:r>
    </w:p>
    <w:p w14:paraId="58E1C88D" w14:textId="77777777" w:rsidR="005640DB" w:rsidRPr="00E04B2A" w:rsidRDefault="005640DB" w:rsidP="005640DB">
      <w:pPr>
        <w:rPr>
          <w:sz w:val="22"/>
        </w:rPr>
      </w:pPr>
    </w:p>
    <w:p w14:paraId="68D7A77B" w14:textId="77777777" w:rsidR="005640DB" w:rsidRPr="00E04B2A" w:rsidRDefault="00E453CD" w:rsidP="005640DB">
      <w:pPr>
        <w:keepNext/>
        <w:jc w:val="center"/>
        <w:rPr>
          <w:sz w:val="22"/>
        </w:rPr>
      </w:pPr>
      <w:r w:rsidRPr="00E04B2A">
        <w:rPr>
          <w:b/>
          <w:sz w:val="22"/>
        </w:rPr>
        <w:t>Tabell </w:t>
      </w:r>
      <w:r w:rsidR="0070176C">
        <w:rPr>
          <w:b/>
          <w:sz w:val="22"/>
        </w:rPr>
        <w:t>2</w:t>
      </w:r>
      <w:r w:rsidRPr="00E04B2A">
        <w:rPr>
          <w:b/>
          <w:sz w:val="22"/>
        </w:rPr>
        <w:t>. Humiradose</w:t>
      </w:r>
      <w:r w:rsidR="00476983">
        <w:rPr>
          <w:b/>
          <w:sz w:val="22"/>
        </w:rPr>
        <w:t>ring</w:t>
      </w:r>
      <w:r w:rsidRPr="00E04B2A">
        <w:rPr>
          <w:b/>
          <w:sz w:val="22"/>
        </w:rPr>
        <w:t xml:space="preserve"> for </w:t>
      </w:r>
      <w:r w:rsidR="00476983" w:rsidRPr="00476983">
        <w:rPr>
          <w:b/>
          <w:sz w:val="22"/>
        </w:rPr>
        <w:t>pediatriske pasienter</w:t>
      </w:r>
      <w:r w:rsidRPr="00E04B2A">
        <w:rPr>
          <w:b/>
          <w:sz w:val="22"/>
        </w:rPr>
        <w:t xml:space="preserve"> med ulcerøs kolitt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3"/>
        <w:gridCol w:w="3319"/>
        <w:gridCol w:w="3156"/>
      </w:tblGrid>
      <w:tr w:rsidR="004644D4" w14:paraId="6C0D8187" w14:textId="77777777" w:rsidTr="00D42865">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4106DB" w14:textId="77777777" w:rsidR="005640DB" w:rsidRPr="00E04B2A" w:rsidRDefault="00E453CD" w:rsidP="00D42865">
            <w:pPr>
              <w:jc w:val="center"/>
              <w:rPr>
                <w:b/>
                <w:sz w:val="22"/>
              </w:rPr>
            </w:pPr>
            <w:r>
              <w:rPr>
                <w:b/>
                <w:sz w:val="22"/>
              </w:rPr>
              <w:t>Kropps</w:t>
            </w:r>
            <w:r w:rsidRPr="00E04B2A">
              <w:rPr>
                <w:b/>
                <w:sz w:val="22"/>
              </w:rPr>
              <w:t>vekt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3DB0CBFC" w14:textId="77777777" w:rsidR="005640DB" w:rsidRPr="00E04B2A" w:rsidRDefault="00E453CD" w:rsidP="00D42865">
            <w:pPr>
              <w:jc w:val="center"/>
              <w:rPr>
                <w:b/>
                <w:sz w:val="22"/>
              </w:rPr>
            </w:pPr>
            <w:r>
              <w:rPr>
                <w:b/>
                <w:sz w:val="22"/>
              </w:rPr>
              <w:t>Start</w:t>
            </w:r>
            <w:r w:rsidRPr="00E04B2A">
              <w:rPr>
                <w:b/>
                <w:sz w:val="22"/>
              </w:rPr>
              <w:t>dose</w:t>
            </w:r>
          </w:p>
        </w:tc>
        <w:tc>
          <w:tcPr>
            <w:tcW w:w="1906" w:type="pct"/>
            <w:tcBorders>
              <w:top w:val="single" w:sz="6" w:space="0" w:color="000000"/>
              <w:left w:val="single" w:sz="6" w:space="0" w:color="000000"/>
              <w:bottom w:val="single" w:sz="6" w:space="0" w:color="000000"/>
              <w:right w:val="single" w:sz="6" w:space="0" w:color="000000"/>
            </w:tcBorders>
            <w:hideMark/>
          </w:tcPr>
          <w:p w14:paraId="428E66E0" w14:textId="77777777" w:rsidR="005640DB" w:rsidRPr="00E04B2A" w:rsidRDefault="00E453CD" w:rsidP="00D42865">
            <w:pPr>
              <w:jc w:val="center"/>
              <w:rPr>
                <w:b/>
                <w:sz w:val="22"/>
              </w:rPr>
            </w:pPr>
            <w:r w:rsidRPr="00E04B2A">
              <w:rPr>
                <w:b/>
                <w:sz w:val="22"/>
              </w:rPr>
              <w:t xml:space="preserve">Vedlikeholdsdose </w:t>
            </w:r>
            <w:r w:rsidRPr="00E04B2A">
              <w:rPr>
                <w:b/>
                <w:sz w:val="22"/>
              </w:rPr>
              <w:br/>
              <w:t>fra uke 4*</w:t>
            </w:r>
          </w:p>
        </w:tc>
      </w:tr>
      <w:tr w:rsidR="004644D4" w14:paraId="0CDEE3BE" w14:textId="77777777" w:rsidTr="00D42865">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5D2F164C" w14:textId="77777777" w:rsidR="005640DB" w:rsidRPr="00E04B2A" w:rsidRDefault="00E453CD" w:rsidP="00D42865">
            <w:pPr>
              <w:jc w:val="center"/>
              <w:rPr>
                <w:sz w:val="22"/>
              </w:rPr>
            </w:pPr>
            <w:r w:rsidRPr="00E04B2A">
              <w:rPr>
                <w:sz w:val="22"/>
              </w:rPr>
              <w:t>&lt;40 kg</w:t>
            </w:r>
          </w:p>
        </w:tc>
        <w:tc>
          <w:tcPr>
            <w:tcW w:w="2005" w:type="pct"/>
            <w:tcBorders>
              <w:top w:val="single" w:sz="6" w:space="0" w:color="000000"/>
              <w:left w:val="single" w:sz="6" w:space="0" w:color="000000"/>
              <w:bottom w:val="single" w:sz="6" w:space="0" w:color="000000"/>
              <w:right w:val="single" w:sz="6" w:space="0" w:color="000000"/>
            </w:tcBorders>
            <w:hideMark/>
          </w:tcPr>
          <w:p w14:paraId="72773DFE" w14:textId="77777777" w:rsidR="005640DB" w:rsidRPr="00E04B2A" w:rsidRDefault="00E453CD" w:rsidP="005640DB">
            <w:pPr>
              <w:numPr>
                <w:ilvl w:val="0"/>
                <w:numId w:val="162"/>
              </w:numPr>
              <w:ind w:left="360" w:hanging="210"/>
              <w:rPr>
                <w:sz w:val="22"/>
              </w:rPr>
            </w:pPr>
            <w:r w:rsidRPr="00E04B2A">
              <w:rPr>
                <w:sz w:val="22"/>
              </w:rPr>
              <w:t>80</w:t>
            </w:r>
            <w:r w:rsidR="00E47A03">
              <w:rPr>
                <w:sz w:val="22"/>
              </w:rPr>
              <w:t> </w:t>
            </w:r>
            <w:r w:rsidRPr="00E04B2A">
              <w:rPr>
                <w:sz w:val="22"/>
              </w:rPr>
              <w:t xml:space="preserve">mg </w:t>
            </w:r>
            <w:r w:rsidR="00FB0A87">
              <w:rPr>
                <w:sz w:val="22"/>
              </w:rPr>
              <w:t>ved</w:t>
            </w:r>
            <w:r w:rsidRPr="00E04B2A">
              <w:rPr>
                <w:sz w:val="22"/>
              </w:rPr>
              <w:t xml:space="preserve"> uke 0 (gitt som </w:t>
            </w:r>
            <w:r w:rsidR="00112C61" w:rsidRPr="00644328">
              <w:rPr>
                <w:sz w:val="22"/>
              </w:rPr>
              <w:t>é</w:t>
            </w:r>
            <w:r w:rsidRPr="00E04B2A">
              <w:rPr>
                <w:sz w:val="22"/>
              </w:rPr>
              <w:t>n 80</w:t>
            </w:r>
            <w:r w:rsidR="00E47A03">
              <w:rPr>
                <w:sz w:val="22"/>
              </w:rPr>
              <w:t> </w:t>
            </w:r>
            <w:r w:rsidRPr="00E04B2A">
              <w:rPr>
                <w:sz w:val="22"/>
              </w:rPr>
              <w:t>mg injeksjon) og</w:t>
            </w:r>
          </w:p>
          <w:p w14:paraId="6392380D" w14:textId="77777777" w:rsidR="005640DB" w:rsidRPr="00E04B2A" w:rsidRDefault="00E453CD" w:rsidP="005640DB">
            <w:pPr>
              <w:numPr>
                <w:ilvl w:val="0"/>
                <w:numId w:val="162"/>
              </w:numPr>
              <w:ind w:left="360" w:hanging="210"/>
              <w:rPr>
                <w:sz w:val="22"/>
              </w:rPr>
            </w:pPr>
            <w:r w:rsidRPr="00E04B2A">
              <w:rPr>
                <w:sz w:val="22"/>
              </w:rPr>
              <w:t>40</w:t>
            </w:r>
            <w:r w:rsidR="00E47A03">
              <w:rPr>
                <w:sz w:val="22"/>
              </w:rPr>
              <w:t> </w:t>
            </w:r>
            <w:r w:rsidRPr="00E04B2A">
              <w:rPr>
                <w:sz w:val="22"/>
              </w:rPr>
              <w:t xml:space="preserve">mg </w:t>
            </w:r>
            <w:r w:rsidR="00FB0A87">
              <w:rPr>
                <w:sz w:val="22"/>
              </w:rPr>
              <w:t>ved</w:t>
            </w:r>
            <w:r w:rsidRPr="00E04B2A">
              <w:rPr>
                <w:sz w:val="22"/>
              </w:rPr>
              <w:t xml:space="preserve"> uke 2 (gitt som </w:t>
            </w:r>
            <w:r w:rsidR="00112C61" w:rsidRPr="00644328">
              <w:rPr>
                <w:sz w:val="22"/>
              </w:rPr>
              <w:t>é</w:t>
            </w:r>
            <w:r w:rsidRPr="00E04B2A">
              <w:rPr>
                <w:sz w:val="22"/>
              </w:rPr>
              <w:t>n 40</w:t>
            </w:r>
            <w:r w:rsidR="00E47A03">
              <w:rPr>
                <w:sz w:val="22"/>
              </w:rPr>
              <w:t> </w:t>
            </w:r>
            <w:r w:rsidRPr="00E04B2A">
              <w:rPr>
                <w:sz w:val="22"/>
              </w:rPr>
              <w:t>mg injeksjon)</w:t>
            </w:r>
          </w:p>
        </w:tc>
        <w:tc>
          <w:tcPr>
            <w:tcW w:w="1906" w:type="pct"/>
            <w:tcBorders>
              <w:top w:val="single" w:sz="6" w:space="0" w:color="000000"/>
              <w:left w:val="single" w:sz="6" w:space="0" w:color="000000"/>
              <w:bottom w:val="single" w:sz="6" w:space="0" w:color="000000"/>
              <w:right w:val="single" w:sz="6" w:space="0" w:color="000000"/>
            </w:tcBorders>
            <w:hideMark/>
          </w:tcPr>
          <w:p w14:paraId="7B7D3172" w14:textId="77777777" w:rsidR="005640DB" w:rsidRPr="00E04B2A" w:rsidRDefault="00E453CD" w:rsidP="005640DB">
            <w:pPr>
              <w:numPr>
                <w:ilvl w:val="0"/>
                <w:numId w:val="162"/>
              </w:numPr>
              <w:ind w:left="360" w:hanging="210"/>
              <w:rPr>
                <w:sz w:val="22"/>
              </w:rPr>
            </w:pPr>
            <w:r w:rsidRPr="00E04B2A">
              <w:rPr>
                <w:sz w:val="22"/>
              </w:rPr>
              <w:t>40</w:t>
            </w:r>
            <w:r w:rsidR="00E47A03">
              <w:rPr>
                <w:sz w:val="22"/>
              </w:rPr>
              <w:t> </w:t>
            </w:r>
            <w:r w:rsidRPr="00E04B2A">
              <w:rPr>
                <w:sz w:val="22"/>
              </w:rPr>
              <w:t>mg annenhver uke</w:t>
            </w:r>
          </w:p>
        </w:tc>
      </w:tr>
      <w:tr w:rsidR="004644D4" w14:paraId="66C3639C" w14:textId="77777777" w:rsidTr="00D42865">
        <w:trPr>
          <w:jc w:val="center"/>
        </w:trPr>
        <w:tc>
          <w:tcPr>
            <w:tcW w:w="0" w:type="auto"/>
            <w:tcBorders>
              <w:top w:val="single" w:sz="6" w:space="0" w:color="000000"/>
              <w:left w:val="single" w:sz="6" w:space="0" w:color="000000"/>
              <w:bottom w:val="single" w:sz="4" w:space="0" w:color="auto"/>
              <w:right w:val="single" w:sz="6" w:space="0" w:color="000000"/>
            </w:tcBorders>
            <w:hideMark/>
          </w:tcPr>
          <w:p w14:paraId="5DD3B747" w14:textId="77777777" w:rsidR="005640DB" w:rsidRPr="00E04B2A" w:rsidRDefault="00E453CD" w:rsidP="00D42865">
            <w:pPr>
              <w:jc w:val="center"/>
              <w:rPr>
                <w:sz w:val="22"/>
              </w:rPr>
            </w:pPr>
            <w:r w:rsidRPr="00E04B2A">
              <w:rPr>
                <w:sz w:val="22"/>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1E2B1508" w14:textId="77777777" w:rsidR="0015674E" w:rsidRPr="00E04B2A" w:rsidRDefault="00E453CD" w:rsidP="0015674E">
            <w:pPr>
              <w:numPr>
                <w:ilvl w:val="0"/>
                <w:numId w:val="163"/>
              </w:numPr>
              <w:ind w:left="360" w:hanging="210"/>
              <w:rPr>
                <w:sz w:val="22"/>
              </w:rPr>
            </w:pPr>
            <w:r w:rsidRPr="00E04B2A">
              <w:rPr>
                <w:sz w:val="22"/>
              </w:rPr>
              <w:t>160</w:t>
            </w:r>
            <w:r>
              <w:rPr>
                <w:sz w:val="22"/>
              </w:rPr>
              <w:t> </w:t>
            </w:r>
            <w:r w:rsidRPr="00E04B2A">
              <w:rPr>
                <w:sz w:val="22"/>
              </w:rPr>
              <w:t xml:space="preserve">mg </w:t>
            </w:r>
            <w:r>
              <w:rPr>
                <w:sz w:val="22"/>
              </w:rPr>
              <w:t>ved</w:t>
            </w:r>
            <w:r w:rsidRPr="00E04B2A">
              <w:rPr>
                <w:sz w:val="22"/>
              </w:rPr>
              <w:t xml:space="preserve"> uke 0 (gitt som to 80</w:t>
            </w:r>
            <w:r>
              <w:rPr>
                <w:sz w:val="22"/>
              </w:rPr>
              <w:t> </w:t>
            </w:r>
            <w:r w:rsidRPr="00E04B2A">
              <w:rPr>
                <w:sz w:val="22"/>
              </w:rPr>
              <w:t xml:space="preserve">mg injeksjoner på </w:t>
            </w:r>
            <w:r>
              <w:rPr>
                <w:sz w:val="22"/>
              </w:rPr>
              <w:t>é</w:t>
            </w:r>
            <w:r w:rsidRPr="00E04B2A">
              <w:rPr>
                <w:sz w:val="22"/>
              </w:rPr>
              <w:t>n dag eller én 80</w:t>
            </w:r>
            <w:r>
              <w:rPr>
                <w:sz w:val="22"/>
              </w:rPr>
              <w:t> </w:t>
            </w:r>
            <w:r w:rsidRPr="00E04B2A">
              <w:rPr>
                <w:sz w:val="22"/>
              </w:rPr>
              <w:t>mg injeksjon dag</w:t>
            </w:r>
            <w:r>
              <w:rPr>
                <w:sz w:val="22"/>
              </w:rPr>
              <w:t>lig</w:t>
            </w:r>
            <w:r w:rsidRPr="00E04B2A">
              <w:rPr>
                <w:sz w:val="22"/>
              </w:rPr>
              <w:t xml:space="preserve"> </w:t>
            </w:r>
            <w:r w:rsidR="00326F9C">
              <w:rPr>
                <w:sz w:val="22"/>
              </w:rPr>
              <w:t>i</w:t>
            </w:r>
            <w:r w:rsidRPr="00E04B2A">
              <w:rPr>
                <w:sz w:val="22"/>
              </w:rPr>
              <w:t xml:space="preserve"> to påfølgende dager) og</w:t>
            </w:r>
          </w:p>
          <w:p w14:paraId="75D29F82" w14:textId="77777777" w:rsidR="005640DB" w:rsidRPr="00E04B2A" w:rsidRDefault="00E453CD" w:rsidP="0015674E">
            <w:pPr>
              <w:numPr>
                <w:ilvl w:val="0"/>
                <w:numId w:val="163"/>
              </w:numPr>
              <w:ind w:left="360" w:hanging="210"/>
              <w:rPr>
                <w:sz w:val="22"/>
              </w:rPr>
            </w:pPr>
            <w:r w:rsidRPr="00E04B2A">
              <w:rPr>
                <w:sz w:val="22"/>
              </w:rPr>
              <w:t>80</w:t>
            </w:r>
            <w:r>
              <w:rPr>
                <w:sz w:val="22"/>
              </w:rPr>
              <w:t> </w:t>
            </w:r>
            <w:r w:rsidRPr="00E04B2A">
              <w:rPr>
                <w:sz w:val="22"/>
              </w:rPr>
              <w:t xml:space="preserve">mg </w:t>
            </w:r>
            <w:r>
              <w:rPr>
                <w:sz w:val="22"/>
              </w:rPr>
              <w:t>ved</w:t>
            </w:r>
            <w:r w:rsidRPr="00E04B2A">
              <w:rPr>
                <w:sz w:val="22"/>
              </w:rPr>
              <w:t xml:space="preserve"> uke 2 (gitt som </w:t>
            </w:r>
            <w:r w:rsidRPr="00644328">
              <w:rPr>
                <w:sz w:val="22"/>
              </w:rPr>
              <w:t>é</w:t>
            </w:r>
            <w:r w:rsidRPr="00E04B2A">
              <w:rPr>
                <w:sz w:val="22"/>
              </w:rPr>
              <w:t>n 80</w:t>
            </w:r>
            <w:r>
              <w:rPr>
                <w:sz w:val="22"/>
              </w:rPr>
              <w:t> </w:t>
            </w:r>
            <w:r w:rsidRPr="00E04B2A">
              <w:rPr>
                <w:sz w:val="22"/>
              </w:rPr>
              <w:t>mg injeksjon)</w:t>
            </w:r>
          </w:p>
        </w:tc>
        <w:tc>
          <w:tcPr>
            <w:tcW w:w="1906" w:type="pct"/>
            <w:tcBorders>
              <w:top w:val="single" w:sz="6" w:space="0" w:color="000000"/>
              <w:left w:val="single" w:sz="6" w:space="0" w:color="000000"/>
              <w:bottom w:val="single" w:sz="4" w:space="0" w:color="auto"/>
              <w:right w:val="single" w:sz="6" w:space="0" w:color="000000"/>
            </w:tcBorders>
            <w:hideMark/>
          </w:tcPr>
          <w:p w14:paraId="2C3E22A2" w14:textId="77777777" w:rsidR="005640DB" w:rsidRPr="00E04B2A" w:rsidRDefault="00E453CD" w:rsidP="005640DB">
            <w:pPr>
              <w:numPr>
                <w:ilvl w:val="0"/>
                <w:numId w:val="162"/>
              </w:numPr>
              <w:ind w:left="360" w:hanging="210"/>
              <w:rPr>
                <w:sz w:val="22"/>
              </w:rPr>
            </w:pPr>
            <w:r w:rsidRPr="00E04B2A">
              <w:rPr>
                <w:sz w:val="22"/>
              </w:rPr>
              <w:t>80</w:t>
            </w:r>
            <w:r w:rsidR="00E47A03">
              <w:rPr>
                <w:sz w:val="22"/>
              </w:rPr>
              <w:t> </w:t>
            </w:r>
            <w:r w:rsidRPr="00E04B2A">
              <w:rPr>
                <w:sz w:val="22"/>
              </w:rPr>
              <w:t>mg annenhver uke</w:t>
            </w:r>
          </w:p>
        </w:tc>
      </w:tr>
      <w:tr w:rsidR="004644D4" w14:paraId="293C2886" w14:textId="77777777" w:rsidTr="00D42865">
        <w:trPr>
          <w:jc w:val="center"/>
        </w:trPr>
        <w:tc>
          <w:tcPr>
            <w:tcW w:w="5000" w:type="pct"/>
            <w:gridSpan w:val="3"/>
            <w:tcBorders>
              <w:top w:val="single" w:sz="4" w:space="0" w:color="auto"/>
              <w:left w:val="nil"/>
              <w:bottom w:val="nil"/>
              <w:right w:val="nil"/>
            </w:tcBorders>
          </w:tcPr>
          <w:p w14:paraId="70D151CD" w14:textId="77777777" w:rsidR="005640DB" w:rsidRPr="00E04B2A" w:rsidRDefault="00E453CD" w:rsidP="00D42865">
            <w:pPr>
              <w:rPr>
                <w:sz w:val="22"/>
              </w:rPr>
            </w:pPr>
            <w:r w:rsidRPr="00E04B2A">
              <w:rPr>
                <w:sz w:val="22"/>
                <w:vertAlign w:val="superscript"/>
              </w:rPr>
              <w:t>*</w:t>
            </w:r>
            <w:r w:rsidRPr="00644328">
              <w:rPr>
                <w:sz w:val="22"/>
              </w:rPr>
              <w:t>Pediatriske pasienter som fyller 18</w:t>
            </w:r>
            <w:r w:rsidRPr="00E04B2A">
              <w:rPr>
                <w:sz w:val="22"/>
              </w:rPr>
              <w:t xml:space="preserve"> år mens de bruker Humira, bør fortsette sin foreskrevne vedlikeholdsdose.</w:t>
            </w:r>
          </w:p>
        </w:tc>
      </w:tr>
    </w:tbl>
    <w:p w14:paraId="03EB6AAF" w14:textId="77777777" w:rsidR="005640DB" w:rsidRPr="00E04B2A" w:rsidRDefault="005640DB" w:rsidP="005640DB">
      <w:pPr>
        <w:pStyle w:val="gtctablespaceafter"/>
        <w:numPr>
          <w:ilvl w:val="0"/>
          <w:numId w:val="164"/>
        </w:numPr>
        <w:spacing w:after="0"/>
        <w:rPr>
          <w:sz w:val="22"/>
          <w:szCs w:val="22"/>
          <w:lang w:val="nb-NO"/>
        </w:rPr>
      </w:pPr>
    </w:p>
    <w:p w14:paraId="7968726B" w14:textId="77777777" w:rsidR="005640DB" w:rsidRPr="00E04B2A" w:rsidRDefault="00E453CD" w:rsidP="005640DB">
      <w:pPr>
        <w:rPr>
          <w:sz w:val="22"/>
        </w:rPr>
      </w:pPr>
      <w:r>
        <w:rPr>
          <w:sz w:val="22"/>
        </w:rPr>
        <w:t>Videre</w:t>
      </w:r>
      <w:r w:rsidRPr="00E04B2A">
        <w:rPr>
          <w:sz w:val="22"/>
        </w:rPr>
        <w:t xml:space="preserve"> behandling utover 8 uker bør vurderes nøye hos pasienter som ikke viser tegn til respons innen denne tidsperioden.</w:t>
      </w:r>
    </w:p>
    <w:p w14:paraId="36FA7193" w14:textId="77777777" w:rsidR="005640DB" w:rsidRPr="00E04B2A" w:rsidRDefault="005640DB" w:rsidP="005640DB">
      <w:pPr>
        <w:rPr>
          <w:sz w:val="22"/>
        </w:rPr>
      </w:pPr>
    </w:p>
    <w:p w14:paraId="40E3F43C" w14:textId="77777777" w:rsidR="005640DB" w:rsidRPr="00E04B2A" w:rsidRDefault="00E453CD" w:rsidP="005640DB">
      <w:pPr>
        <w:rPr>
          <w:sz w:val="22"/>
        </w:rPr>
      </w:pPr>
      <w:r w:rsidRPr="00E04B2A">
        <w:rPr>
          <w:sz w:val="22"/>
        </w:rPr>
        <w:t xml:space="preserve">Det er </w:t>
      </w:r>
      <w:r w:rsidR="002E27D2">
        <w:rPr>
          <w:sz w:val="22"/>
        </w:rPr>
        <w:t>ikke</w:t>
      </w:r>
      <w:r w:rsidRPr="00E04B2A">
        <w:rPr>
          <w:sz w:val="22"/>
        </w:rPr>
        <w:t xml:space="preserve"> relevant </w:t>
      </w:r>
      <w:r w:rsidR="002E27D2">
        <w:rPr>
          <w:sz w:val="22"/>
        </w:rPr>
        <w:t xml:space="preserve">å </w:t>
      </w:r>
      <w:r w:rsidRPr="00E04B2A">
        <w:rPr>
          <w:sz w:val="22"/>
        </w:rPr>
        <w:t>bruk</w:t>
      </w:r>
      <w:r w:rsidR="002E27D2">
        <w:rPr>
          <w:sz w:val="22"/>
        </w:rPr>
        <w:t>e</w:t>
      </w:r>
      <w:r w:rsidRPr="00E04B2A">
        <w:rPr>
          <w:sz w:val="22"/>
        </w:rPr>
        <w:t xml:space="preserve"> Humira hos barn under 6 år </w:t>
      </w:r>
      <w:r w:rsidR="002E27D2">
        <w:rPr>
          <w:sz w:val="22"/>
        </w:rPr>
        <w:t>ved</w:t>
      </w:r>
      <w:r w:rsidRPr="00E04B2A">
        <w:rPr>
          <w:sz w:val="22"/>
        </w:rPr>
        <w:t xml:space="preserve"> denne indikasjonen.</w:t>
      </w:r>
    </w:p>
    <w:p w14:paraId="041D87DA" w14:textId="77777777" w:rsidR="005640DB" w:rsidRPr="00E04B2A" w:rsidRDefault="005640DB" w:rsidP="005640DB">
      <w:pPr>
        <w:rPr>
          <w:sz w:val="22"/>
        </w:rPr>
      </w:pPr>
    </w:p>
    <w:p w14:paraId="7BF178CE" w14:textId="77777777" w:rsidR="005640DB" w:rsidRPr="00C95D55" w:rsidRDefault="00E453CD" w:rsidP="00EC22C8">
      <w:pPr>
        <w:rPr>
          <w:sz w:val="22"/>
        </w:rPr>
      </w:pPr>
      <w:r w:rsidRPr="00E04B2A">
        <w:rPr>
          <w:sz w:val="22"/>
        </w:rPr>
        <w:t xml:space="preserve">Humira kan være tilgjengelig i </w:t>
      </w:r>
      <w:r w:rsidR="002E27D2">
        <w:rPr>
          <w:sz w:val="22"/>
        </w:rPr>
        <w:t>andre</w:t>
      </w:r>
      <w:r w:rsidRPr="00E04B2A">
        <w:rPr>
          <w:sz w:val="22"/>
        </w:rPr>
        <w:t xml:space="preserve"> styrker og/eller </w:t>
      </w:r>
      <w:r w:rsidR="002E27D2" w:rsidRPr="002E27D2">
        <w:rPr>
          <w:sz w:val="22"/>
        </w:rPr>
        <w:t>formuleringer</w:t>
      </w:r>
      <w:r w:rsidRPr="00E04B2A">
        <w:rPr>
          <w:sz w:val="22"/>
        </w:rPr>
        <w:t xml:space="preserve"> avhengig av individuelle behandlingsbehov. </w:t>
      </w:r>
    </w:p>
    <w:p w14:paraId="79B46307" w14:textId="77777777" w:rsidR="00EC22C8" w:rsidRDefault="00EC22C8" w:rsidP="00EC22C8">
      <w:pPr>
        <w:tabs>
          <w:tab w:val="left" w:pos="705"/>
        </w:tabs>
        <w:suppressAutoHyphens/>
        <w:rPr>
          <w:sz w:val="22"/>
          <w:szCs w:val="22"/>
        </w:rPr>
      </w:pPr>
    </w:p>
    <w:p w14:paraId="18480ED6" w14:textId="77777777" w:rsidR="00EC22C8" w:rsidRPr="00B3311E" w:rsidRDefault="00E453CD" w:rsidP="00EC22C8">
      <w:pPr>
        <w:keepNext/>
        <w:tabs>
          <w:tab w:val="left" w:pos="705"/>
        </w:tabs>
        <w:suppressAutoHyphens/>
        <w:rPr>
          <w:i/>
          <w:sz w:val="22"/>
          <w:szCs w:val="22"/>
        </w:rPr>
      </w:pPr>
      <w:r w:rsidRPr="00B3311E">
        <w:rPr>
          <w:i/>
          <w:sz w:val="22"/>
          <w:szCs w:val="22"/>
        </w:rPr>
        <w:t>Pediatrisk uveitt</w:t>
      </w:r>
    </w:p>
    <w:p w14:paraId="1F6DF4FF" w14:textId="77777777" w:rsidR="00EC22C8" w:rsidRDefault="00EC22C8" w:rsidP="00EC22C8">
      <w:pPr>
        <w:keepNext/>
        <w:tabs>
          <w:tab w:val="left" w:pos="705"/>
        </w:tabs>
        <w:suppressAutoHyphens/>
        <w:rPr>
          <w:i/>
          <w:sz w:val="22"/>
          <w:szCs w:val="22"/>
          <w:u w:val="single"/>
        </w:rPr>
      </w:pPr>
    </w:p>
    <w:p w14:paraId="585C9887" w14:textId="77777777" w:rsidR="00EC22C8" w:rsidRDefault="00E453CD" w:rsidP="00EC22C8">
      <w:pPr>
        <w:rPr>
          <w:sz w:val="22"/>
          <w:szCs w:val="22"/>
        </w:rPr>
      </w:pPr>
      <w:r>
        <w:rPr>
          <w:sz w:val="22"/>
        </w:rPr>
        <w:t>Anbefalt dose av Humira for pedi</w:t>
      </w:r>
      <w:r w:rsidR="005313F8">
        <w:rPr>
          <w:sz w:val="22"/>
        </w:rPr>
        <w:t>a</w:t>
      </w:r>
      <w:r>
        <w:rPr>
          <w:sz w:val="22"/>
        </w:rPr>
        <w:t>triske pasienter</w:t>
      </w:r>
      <w:r w:rsidR="005313F8">
        <w:rPr>
          <w:sz w:val="22"/>
        </w:rPr>
        <w:t xml:space="preserve"> over 2 år</w:t>
      </w:r>
      <w:r>
        <w:rPr>
          <w:sz w:val="22"/>
        </w:rPr>
        <w:t xml:space="preserve"> med uveitt er basert på kroppsvekt (</w:t>
      </w:r>
      <w:r w:rsidR="00B22C4C">
        <w:rPr>
          <w:sz w:val="22"/>
        </w:rPr>
        <w:t>t</w:t>
      </w:r>
      <w:r>
        <w:rPr>
          <w:sz w:val="22"/>
        </w:rPr>
        <w:t>abell</w:t>
      </w:r>
      <w:r w:rsidR="00C2780F">
        <w:rPr>
          <w:sz w:val="22"/>
        </w:rPr>
        <w:t> </w:t>
      </w:r>
      <w:r w:rsidR="00092F9F">
        <w:rPr>
          <w:sz w:val="22"/>
        </w:rPr>
        <w:t>3</w:t>
      </w:r>
      <w:r>
        <w:rPr>
          <w:sz w:val="22"/>
        </w:rPr>
        <w:t>). Humira administreres som subkutan injeksjon.</w:t>
      </w:r>
    </w:p>
    <w:p w14:paraId="73544E3A" w14:textId="77777777" w:rsidR="00EC22C8" w:rsidRDefault="00EC22C8" w:rsidP="00EC22C8">
      <w:pPr>
        <w:rPr>
          <w:sz w:val="22"/>
          <w:szCs w:val="22"/>
        </w:rPr>
      </w:pPr>
    </w:p>
    <w:p w14:paraId="044A0973" w14:textId="77777777" w:rsidR="00EC22C8" w:rsidRDefault="00E453CD" w:rsidP="00EC22C8">
      <w:pPr>
        <w:tabs>
          <w:tab w:val="left" w:pos="705"/>
        </w:tabs>
        <w:suppressAutoHyphens/>
        <w:rPr>
          <w:sz w:val="22"/>
          <w:szCs w:val="22"/>
        </w:rPr>
      </w:pPr>
      <w:r>
        <w:rPr>
          <w:sz w:val="22"/>
          <w:szCs w:val="22"/>
        </w:rPr>
        <w:t>Det foreligger ikke erfaring med behandling av pediatrisk uveitt med Humira uten samtidig behandling med metotreksat.</w:t>
      </w:r>
    </w:p>
    <w:p w14:paraId="2759365A" w14:textId="77777777" w:rsidR="00EC22C8" w:rsidRDefault="00EC22C8" w:rsidP="00EC22C8">
      <w:pPr>
        <w:rPr>
          <w:sz w:val="22"/>
          <w:szCs w:val="22"/>
        </w:rPr>
      </w:pPr>
    </w:p>
    <w:p w14:paraId="2486EFAA" w14:textId="77777777" w:rsidR="00EC22C8" w:rsidRPr="00AB7697" w:rsidRDefault="00E453CD" w:rsidP="00AF70AD">
      <w:pPr>
        <w:keepNext/>
        <w:jc w:val="center"/>
        <w:rPr>
          <w:b/>
          <w:sz w:val="22"/>
          <w:szCs w:val="22"/>
        </w:rPr>
      </w:pPr>
      <w:r w:rsidRPr="00AB7697">
        <w:rPr>
          <w:b/>
          <w:sz w:val="22"/>
          <w:szCs w:val="22"/>
        </w:rPr>
        <w:t>Tabell</w:t>
      </w:r>
      <w:r w:rsidR="00C2780F" w:rsidRPr="00AB7697">
        <w:rPr>
          <w:b/>
          <w:sz w:val="22"/>
          <w:szCs w:val="22"/>
        </w:rPr>
        <w:t> </w:t>
      </w:r>
      <w:r w:rsidR="00092F9F">
        <w:rPr>
          <w:b/>
          <w:sz w:val="22"/>
          <w:szCs w:val="22"/>
        </w:rPr>
        <w:t>3</w:t>
      </w:r>
      <w:r w:rsidRPr="00AB7697">
        <w:rPr>
          <w:b/>
          <w:sz w:val="22"/>
          <w:szCs w:val="22"/>
        </w:rPr>
        <w:t>. Humiradosering for pediatriske pasienter med uveitt</w:t>
      </w:r>
    </w:p>
    <w:p w14:paraId="67A525D8" w14:textId="77777777" w:rsidR="00EC22C8" w:rsidRPr="00406E1B" w:rsidRDefault="00EC22C8" w:rsidP="00AF70AD">
      <w:pPr>
        <w:keepNext/>
        <w:jc w:val="center"/>
      </w:pPr>
    </w:p>
    <w:tbl>
      <w:tblPr>
        <w:tblW w:w="6795" w:type="dxa"/>
        <w:jc w:val="center"/>
        <w:tblLayout w:type="fixed"/>
        <w:tblLook w:val="04A0" w:firstRow="1" w:lastRow="0" w:firstColumn="1" w:lastColumn="0" w:noHBand="0" w:noVBand="1"/>
      </w:tblPr>
      <w:tblGrid>
        <w:gridCol w:w="3401"/>
        <w:gridCol w:w="3394"/>
      </w:tblGrid>
      <w:tr w:rsidR="004644D4" w14:paraId="3DAE6290" w14:textId="77777777" w:rsidTr="002A2660">
        <w:trPr>
          <w:tblHeader/>
          <w:jc w:val="center"/>
        </w:trPr>
        <w:tc>
          <w:tcPr>
            <w:tcW w:w="3401" w:type="dxa"/>
            <w:tcBorders>
              <w:top w:val="single" w:sz="4" w:space="0" w:color="auto"/>
              <w:left w:val="nil"/>
              <w:bottom w:val="single" w:sz="4" w:space="0" w:color="auto"/>
              <w:right w:val="nil"/>
            </w:tcBorders>
            <w:hideMark/>
          </w:tcPr>
          <w:p w14:paraId="45A9CE8C" w14:textId="77777777" w:rsidR="00EC22C8" w:rsidRDefault="00E453CD" w:rsidP="002A2660">
            <w:pPr>
              <w:pStyle w:val="TableLeft"/>
              <w:jc w:val="center"/>
              <w:rPr>
                <w:b/>
                <w:sz w:val="22"/>
                <w:szCs w:val="22"/>
              </w:rPr>
            </w:pPr>
            <w:r>
              <w:rPr>
                <w:b/>
                <w:sz w:val="22"/>
                <w:szCs w:val="22"/>
              </w:rPr>
              <w:t>Kroppsvekt</w:t>
            </w:r>
          </w:p>
        </w:tc>
        <w:tc>
          <w:tcPr>
            <w:tcW w:w="3394" w:type="dxa"/>
            <w:tcBorders>
              <w:top w:val="single" w:sz="4" w:space="0" w:color="auto"/>
              <w:left w:val="nil"/>
              <w:bottom w:val="single" w:sz="4" w:space="0" w:color="auto"/>
              <w:right w:val="nil"/>
            </w:tcBorders>
            <w:hideMark/>
          </w:tcPr>
          <w:p w14:paraId="1E65AD19" w14:textId="77777777" w:rsidR="00EC22C8" w:rsidRDefault="00E453CD" w:rsidP="002A2660">
            <w:pPr>
              <w:pStyle w:val="TableLeft"/>
              <w:jc w:val="center"/>
              <w:rPr>
                <w:b/>
                <w:sz w:val="22"/>
                <w:szCs w:val="22"/>
              </w:rPr>
            </w:pPr>
            <w:r>
              <w:rPr>
                <w:b/>
                <w:sz w:val="22"/>
                <w:szCs w:val="22"/>
              </w:rPr>
              <w:t>Dosering</w:t>
            </w:r>
          </w:p>
        </w:tc>
      </w:tr>
      <w:tr w:rsidR="004644D4" w14:paraId="24FD9BA5" w14:textId="77777777" w:rsidTr="002A2660">
        <w:trPr>
          <w:tblHeader/>
          <w:jc w:val="center"/>
        </w:trPr>
        <w:tc>
          <w:tcPr>
            <w:tcW w:w="3401" w:type="dxa"/>
            <w:tcBorders>
              <w:top w:val="single" w:sz="4" w:space="0" w:color="auto"/>
              <w:left w:val="nil"/>
              <w:bottom w:val="single" w:sz="4" w:space="0" w:color="auto"/>
              <w:right w:val="nil"/>
            </w:tcBorders>
            <w:hideMark/>
          </w:tcPr>
          <w:p w14:paraId="6607F6EB" w14:textId="77777777" w:rsidR="00EC22C8" w:rsidRDefault="00E453CD" w:rsidP="002A2660">
            <w:pPr>
              <w:pStyle w:val="TableLeft"/>
              <w:jc w:val="center"/>
              <w:rPr>
                <w:b/>
                <w:sz w:val="22"/>
                <w:szCs w:val="22"/>
              </w:rPr>
            </w:pPr>
            <w:r>
              <w:rPr>
                <w:sz w:val="22"/>
                <w:szCs w:val="22"/>
              </w:rPr>
              <w:t>&lt; 30 kg</w:t>
            </w:r>
          </w:p>
        </w:tc>
        <w:tc>
          <w:tcPr>
            <w:tcW w:w="3394" w:type="dxa"/>
            <w:tcBorders>
              <w:top w:val="single" w:sz="4" w:space="0" w:color="auto"/>
              <w:left w:val="nil"/>
              <w:bottom w:val="single" w:sz="4" w:space="0" w:color="auto"/>
              <w:right w:val="nil"/>
            </w:tcBorders>
            <w:hideMark/>
          </w:tcPr>
          <w:p w14:paraId="5A986F95" w14:textId="77777777" w:rsidR="00EC22C8" w:rsidRPr="0017427F" w:rsidRDefault="00E453CD" w:rsidP="002A2660">
            <w:pPr>
              <w:pStyle w:val="TableLeft"/>
              <w:jc w:val="center"/>
              <w:rPr>
                <w:b/>
                <w:sz w:val="22"/>
                <w:szCs w:val="22"/>
                <w:lang w:val="nb-NO"/>
              </w:rPr>
            </w:pPr>
            <w:r w:rsidRPr="0017427F">
              <w:rPr>
                <w:sz w:val="22"/>
                <w:szCs w:val="22"/>
                <w:lang w:val="nb-NO"/>
              </w:rPr>
              <w:t>20 mg annenhver uke i kombinasjon med metotreksat</w:t>
            </w:r>
            <w:r>
              <w:rPr>
                <w:sz w:val="22"/>
                <w:szCs w:val="22"/>
                <w:lang w:val="nb-NO"/>
              </w:rPr>
              <w:t xml:space="preserve"> </w:t>
            </w:r>
            <w:r w:rsidRPr="0017427F">
              <w:rPr>
                <w:sz w:val="22"/>
                <w:szCs w:val="22"/>
                <w:lang w:val="nb-NO"/>
              </w:rPr>
              <w:t xml:space="preserve"> </w:t>
            </w:r>
          </w:p>
        </w:tc>
      </w:tr>
      <w:tr w:rsidR="004644D4" w14:paraId="1E6A08A2" w14:textId="77777777" w:rsidTr="002A2660">
        <w:trPr>
          <w:tblHeader/>
          <w:jc w:val="center"/>
        </w:trPr>
        <w:tc>
          <w:tcPr>
            <w:tcW w:w="3401" w:type="dxa"/>
            <w:tcBorders>
              <w:top w:val="single" w:sz="4" w:space="0" w:color="auto"/>
              <w:left w:val="nil"/>
              <w:bottom w:val="single" w:sz="4" w:space="0" w:color="auto"/>
              <w:right w:val="nil"/>
            </w:tcBorders>
            <w:hideMark/>
          </w:tcPr>
          <w:p w14:paraId="3048CDBA" w14:textId="77777777" w:rsidR="00EC22C8" w:rsidRDefault="00E453CD" w:rsidP="002A2660">
            <w:pPr>
              <w:pStyle w:val="TableLeft"/>
              <w:jc w:val="center"/>
              <w:rPr>
                <w:b/>
                <w:sz w:val="22"/>
                <w:szCs w:val="22"/>
              </w:rPr>
            </w:pPr>
            <w:r>
              <w:rPr>
                <w:sz w:val="22"/>
                <w:szCs w:val="22"/>
              </w:rPr>
              <w:t>≥ 30 kg</w:t>
            </w:r>
          </w:p>
        </w:tc>
        <w:tc>
          <w:tcPr>
            <w:tcW w:w="3394" w:type="dxa"/>
            <w:tcBorders>
              <w:top w:val="single" w:sz="4" w:space="0" w:color="auto"/>
              <w:left w:val="nil"/>
              <w:bottom w:val="single" w:sz="4" w:space="0" w:color="auto"/>
              <w:right w:val="nil"/>
            </w:tcBorders>
            <w:hideMark/>
          </w:tcPr>
          <w:p w14:paraId="740928AA" w14:textId="77777777" w:rsidR="00EC22C8" w:rsidRPr="0017427F" w:rsidRDefault="00E453CD" w:rsidP="002A2660">
            <w:pPr>
              <w:pStyle w:val="TableLeft"/>
              <w:jc w:val="center"/>
              <w:rPr>
                <w:b/>
                <w:sz w:val="22"/>
                <w:szCs w:val="22"/>
                <w:lang w:val="nb-NO"/>
              </w:rPr>
            </w:pPr>
            <w:r>
              <w:rPr>
                <w:sz w:val="22"/>
                <w:szCs w:val="22"/>
                <w:lang w:val="nb-NO"/>
              </w:rPr>
              <w:t>4</w:t>
            </w:r>
            <w:r w:rsidRPr="00BA33D6">
              <w:rPr>
                <w:sz w:val="22"/>
                <w:szCs w:val="22"/>
                <w:lang w:val="nb-NO"/>
              </w:rPr>
              <w:t>0 mg annenhver uke i kombinasjon med metotreksat</w:t>
            </w:r>
          </w:p>
        </w:tc>
      </w:tr>
    </w:tbl>
    <w:p w14:paraId="64D9E087" w14:textId="77777777" w:rsidR="00EC22C8" w:rsidRDefault="00EC22C8" w:rsidP="00EC22C8">
      <w:pPr>
        <w:tabs>
          <w:tab w:val="left" w:pos="705"/>
        </w:tabs>
        <w:suppressAutoHyphens/>
        <w:rPr>
          <w:sz w:val="22"/>
          <w:szCs w:val="22"/>
        </w:rPr>
      </w:pPr>
    </w:p>
    <w:p w14:paraId="1587854B" w14:textId="77777777" w:rsidR="00EC22C8" w:rsidRDefault="00E453CD" w:rsidP="00EC22C8">
      <w:pPr>
        <w:tabs>
          <w:tab w:val="left" w:pos="705"/>
        </w:tabs>
        <w:suppressAutoHyphens/>
        <w:rPr>
          <w:sz w:val="22"/>
          <w:szCs w:val="22"/>
        </w:rPr>
      </w:pPr>
      <w:r>
        <w:rPr>
          <w:sz w:val="22"/>
          <w:szCs w:val="22"/>
        </w:rPr>
        <w:t xml:space="preserve">Når behandling med Humira startes opp, kan en </w:t>
      </w:r>
      <w:r w:rsidR="005207CC" w:rsidRPr="00AB7697">
        <w:rPr>
          <w:bCs/>
          <w:sz w:val="22"/>
          <w:szCs w:val="22"/>
        </w:rPr>
        <w:t>induksjonsdose</w:t>
      </w:r>
      <w:r>
        <w:rPr>
          <w:sz w:val="22"/>
          <w:szCs w:val="22"/>
        </w:rPr>
        <w:t xml:space="preserve"> på 40 mg for pasienter &lt; 30 kg eller 80 mg for pasienter ≥ 30 kg administreres én uke før oppstart av vedlikeholdsbehandling. Det foreligger ingen kliniske data vedrørende bruk av en </w:t>
      </w:r>
      <w:r w:rsidR="005207CC" w:rsidRPr="005207CC">
        <w:rPr>
          <w:sz w:val="22"/>
          <w:szCs w:val="22"/>
        </w:rPr>
        <w:t>induksjonsdose</w:t>
      </w:r>
      <w:r>
        <w:rPr>
          <w:sz w:val="22"/>
          <w:szCs w:val="22"/>
        </w:rPr>
        <w:t xml:space="preserve"> av Humira hos barn &lt; 6 år (se pkt. 5.2).</w:t>
      </w:r>
    </w:p>
    <w:p w14:paraId="0B115774" w14:textId="77777777" w:rsidR="00EC22C8" w:rsidRDefault="00EC22C8" w:rsidP="00EC22C8">
      <w:pPr>
        <w:tabs>
          <w:tab w:val="left" w:pos="705"/>
        </w:tabs>
        <w:suppressAutoHyphens/>
        <w:rPr>
          <w:bCs/>
          <w:iCs/>
          <w:sz w:val="22"/>
        </w:rPr>
      </w:pPr>
    </w:p>
    <w:p w14:paraId="3354C260" w14:textId="77777777" w:rsidR="00EC22C8" w:rsidRDefault="00E453CD" w:rsidP="00EC22C8">
      <w:pPr>
        <w:tabs>
          <w:tab w:val="left" w:pos="705"/>
        </w:tabs>
        <w:suppressAutoHyphens/>
        <w:rPr>
          <w:bCs/>
          <w:iCs/>
          <w:sz w:val="22"/>
        </w:rPr>
      </w:pPr>
      <w:r>
        <w:rPr>
          <w:bCs/>
          <w:iCs/>
          <w:sz w:val="22"/>
        </w:rPr>
        <w:t>Det er ikke relevant å bruke Humira hos barn under 2 år ved denne indikasjonen.</w:t>
      </w:r>
    </w:p>
    <w:p w14:paraId="55B1B06B" w14:textId="77777777" w:rsidR="00EC22C8" w:rsidRDefault="00EC22C8" w:rsidP="00EC22C8">
      <w:pPr>
        <w:tabs>
          <w:tab w:val="left" w:pos="705"/>
        </w:tabs>
        <w:suppressAutoHyphens/>
        <w:rPr>
          <w:bCs/>
          <w:iCs/>
          <w:sz w:val="22"/>
        </w:rPr>
      </w:pPr>
    </w:p>
    <w:p w14:paraId="1CC9E705" w14:textId="77777777" w:rsidR="00EC22C8" w:rsidRDefault="00E453CD" w:rsidP="00EC22C8">
      <w:pPr>
        <w:tabs>
          <w:tab w:val="left" w:pos="705"/>
        </w:tabs>
        <w:suppressAutoHyphens/>
        <w:rPr>
          <w:bCs/>
          <w:iCs/>
          <w:sz w:val="22"/>
        </w:rPr>
      </w:pPr>
      <w:r>
        <w:rPr>
          <w:bCs/>
          <w:iCs/>
          <w:sz w:val="22"/>
        </w:rPr>
        <w:t xml:space="preserve">Det anbefales at nytte og risiko ved </w:t>
      </w:r>
      <w:r w:rsidR="00C80F0C">
        <w:rPr>
          <w:bCs/>
          <w:iCs/>
          <w:sz w:val="22"/>
        </w:rPr>
        <w:t>fortsettelse av</w:t>
      </w:r>
      <w:r>
        <w:rPr>
          <w:bCs/>
          <w:iCs/>
          <w:sz w:val="22"/>
        </w:rPr>
        <w:t xml:space="preserve"> langtidsbehandling vurderes årlig (se pkt. 5.1).</w:t>
      </w:r>
    </w:p>
    <w:p w14:paraId="08B05EBF" w14:textId="77777777" w:rsidR="003B1129" w:rsidRDefault="003B1129" w:rsidP="00EC22C8">
      <w:pPr>
        <w:tabs>
          <w:tab w:val="left" w:pos="705"/>
        </w:tabs>
        <w:suppressAutoHyphens/>
        <w:rPr>
          <w:bCs/>
          <w:iCs/>
          <w:sz w:val="22"/>
        </w:rPr>
      </w:pPr>
    </w:p>
    <w:p w14:paraId="712F7424" w14:textId="77777777" w:rsidR="003B1129" w:rsidRDefault="00E453CD" w:rsidP="00EC22C8">
      <w:pPr>
        <w:tabs>
          <w:tab w:val="left" w:pos="705"/>
        </w:tabs>
        <w:suppressAutoHyphens/>
        <w:rPr>
          <w:bCs/>
          <w:iCs/>
          <w:sz w:val="22"/>
        </w:rPr>
      </w:pPr>
      <w:r>
        <w:rPr>
          <w:sz w:val="22"/>
          <w:szCs w:val="22"/>
        </w:rPr>
        <w:t>Humira kan være tilgjengelig i andre styrker og/eller formuleringer avhengig av individuelle behandlingsbehov.</w:t>
      </w:r>
    </w:p>
    <w:p w14:paraId="4487701B" w14:textId="77777777" w:rsidR="0093441D" w:rsidRPr="00C95067" w:rsidRDefault="0093441D" w:rsidP="00EC22C8">
      <w:pPr>
        <w:tabs>
          <w:tab w:val="left" w:pos="705"/>
        </w:tabs>
        <w:suppressAutoHyphens/>
        <w:rPr>
          <w:sz w:val="22"/>
          <w:szCs w:val="22"/>
        </w:rPr>
      </w:pPr>
    </w:p>
    <w:p w14:paraId="1AE48C5C" w14:textId="77777777" w:rsidR="00EC22C8" w:rsidRPr="009C5EFD" w:rsidRDefault="00E453CD" w:rsidP="00776A84">
      <w:pPr>
        <w:keepNext/>
        <w:suppressAutoHyphens/>
        <w:rPr>
          <w:sz w:val="22"/>
          <w:szCs w:val="22"/>
        </w:rPr>
      </w:pPr>
      <w:r w:rsidRPr="009C5EFD">
        <w:rPr>
          <w:sz w:val="22"/>
          <w:szCs w:val="22"/>
          <w:u w:val="single"/>
        </w:rPr>
        <w:t>Administrasjonsmåte</w:t>
      </w:r>
    </w:p>
    <w:p w14:paraId="4CE96303" w14:textId="77777777" w:rsidR="00EC22C8" w:rsidRPr="009C5EFD" w:rsidRDefault="00EC22C8" w:rsidP="00776A84">
      <w:pPr>
        <w:keepNext/>
        <w:suppressAutoHyphens/>
        <w:rPr>
          <w:sz w:val="22"/>
          <w:szCs w:val="22"/>
        </w:rPr>
      </w:pPr>
    </w:p>
    <w:p w14:paraId="30884FC5" w14:textId="77777777" w:rsidR="00EC22C8" w:rsidRPr="009C5EFD" w:rsidRDefault="00E453CD" w:rsidP="00EC22C8">
      <w:pPr>
        <w:suppressAutoHyphens/>
        <w:rPr>
          <w:sz w:val="22"/>
          <w:szCs w:val="22"/>
        </w:rPr>
      </w:pPr>
      <w:r w:rsidRPr="009C5EFD">
        <w:rPr>
          <w:sz w:val="22"/>
          <w:szCs w:val="22"/>
        </w:rPr>
        <w:t xml:space="preserve">Humira administreres ved subkutan injeksjon. Fullstendig </w:t>
      </w:r>
      <w:r w:rsidR="00067DE7">
        <w:rPr>
          <w:sz w:val="22"/>
          <w:szCs w:val="22"/>
        </w:rPr>
        <w:t>bruksanvisning</w:t>
      </w:r>
      <w:r w:rsidRPr="009C5EFD">
        <w:rPr>
          <w:sz w:val="22"/>
          <w:szCs w:val="22"/>
        </w:rPr>
        <w:t xml:space="preserve"> for riktig bruk finnes i pakningsvedlegget.</w:t>
      </w:r>
    </w:p>
    <w:p w14:paraId="7868FEB2" w14:textId="77777777" w:rsidR="00EC22C8" w:rsidRDefault="00EC22C8" w:rsidP="00EC22C8">
      <w:pPr>
        <w:rPr>
          <w:sz w:val="22"/>
          <w:szCs w:val="22"/>
        </w:rPr>
      </w:pPr>
    </w:p>
    <w:p w14:paraId="6EFFF377" w14:textId="77777777" w:rsidR="00EC22C8" w:rsidRPr="009C5EFD" w:rsidRDefault="00E453CD" w:rsidP="00EC22C8">
      <w:pPr>
        <w:rPr>
          <w:sz w:val="22"/>
          <w:szCs w:val="22"/>
        </w:rPr>
      </w:pPr>
      <w:r>
        <w:rPr>
          <w:sz w:val="22"/>
          <w:szCs w:val="22"/>
        </w:rPr>
        <w:t xml:space="preserve">Humira </w:t>
      </w:r>
      <w:r w:rsidR="00501A63">
        <w:rPr>
          <w:sz w:val="22"/>
          <w:szCs w:val="22"/>
        </w:rPr>
        <w:t>er</w:t>
      </w:r>
      <w:r>
        <w:rPr>
          <w:sz w:val="22"/>
          <w:szCs w:val="22"/>
        </w:rPr>
        <w:t xml:space="preserve"> tilgjengelig i andre styrker og formuleringer.</w:t>
      </w:r>
    </w:p>
    <w:p w14:paraId="6C2BFF5C" w14:textId="77777777" w:rsidR="009E676E" w:rsidRPr="009C5EFD" w:rsidRDefault="009E676E" w:rsidP="00776A84">
      <w:pPr>
        <w:rPr>
          <w:sz w:val="22"/>
          <w:szCs w:val="22"/>
        </w:rPr>
      </w:pPr>
    </w:p>
    <w:p w14:paraId="6EF0523F" w14:textId="77777777" w:rsidR="009E676E" w:rsidRPr="009C5EFD" w:rsidRDefault="00E453CD" w:rsidP="00776A84">
      <w:pPr>
        <w:keepNext/>
        <w:suppressAutoHyphens/>
        <w:ind w:left="570" w:hanging="570"/>
        <w:rPr>
          <w:sz w:val="22"/>
          <w:szCs w:val="22"/>
        </w:rPr>
      </w:pPr>
      <w:r w:rsidRPr="009C5EFD">
        <w:rPr>
          <w:b/>
          <w:sz w:val="22"/>
          <w:szCs w:val="22"/>
        </w:rPr>
        <w:t>4.3</w:t>
      </w:r>
      <w:r w:rsidRPr="009C5EFD">
        <w:rPr>
          <w:b/>
          <w:sz w:val="22"/>
          <w:szCs w:val="22"/>
        </w:rPr>
        <w:tab/>
        <w:t>Kontraindikasjoner</w:t>
      </w:r>
    </w:p>
    <w:p w14:paraId="14903566" w14:textId="77777777" w:rsidR="009E676E" w:rsidRPr="009C5EFD" w:rsidRDefault="009E676E" w:rsidP="00776A84">
      <w:pPr>
        <w:keepNext/>
        <w:rPr>
          <w:sz w:val="22"/>
          <w:szCs w:val="22"/>
        </w:rPr>
      </w:pPr>
    </w:p>
    <w:p w14:paraId="7B5D3CED" w14:textId="77777777" w:rsidR="009E676E" w:rsidRPr="009C5EFD" w:rsidRDefault="00E453CD" w:rsidP="009E676E">
      <w:pPr>
        <w:rPr>
          <w:sz w:val="22"/>
          <w:szCs w:val="22"/>
        </w:rPr>
      </w:pPr>
      <w:r w:rsidRPr="009C5EFD">
        <w:rPr>
          <w:sz w:val="22"/>
          <w:szCs w:val="22"/>
        </w:rPr>
        <w:t xml:space="preserve">Overfølsomhet overfor virkestoffet eller overfor </w:t>
      </w:r>
      <w:r w:rsidRPr="009C5EFD">
        <w:rPr>
          <w:sz w:val="22"/>
        </w:rPr>
        <w:t xml:space="preserve">noen </w:t>
      </w:r>
      <w:r w:rsidRPr="009C5EFD">
        <w:rPr>
          <w:sz w:val="22"/>
          <w:szCs w:val="22"/>
        </w:rPr>
        <w:t>av hjelpestoffene listet opp i pkt. 6.1.</w:t>
      </w:r>
    </w:p>
    <w:p w14:paraId="42F75D1D" w14:textId="77777777" w:rsidR="009E676E" w:rsidRPr="009C5EFD" w:rsidRDefault="009E676E" w:rsidP="009E676E">
      <w:pPr>
        <w:rPr>
          <w:sz w:val="22"/>
          <w:szCs w:val="22"/>
        </w:rPr>
      </w:pPr>
    </w:p>
    <w:p w14:paraId="26BBF5AE" w14:textId="77777777" w:rsidR="009E676E" w:rsidRPr="009C5EFD" w:rsidRDefault="00E453CD" w:rsidP="009E676E">
      <w:pPr>
        <w:rPr>
          <w:sz w:val="22"/>
          <w:szCs w:val="22"/>
        </w:rPr>
      </w:pPr>
      <w:r w:rsidRPr="009C5EFD">
        <w:rPr>
          <w:sz w:val="22"/>
          <w:szCs w:val="22"/>
        </w:rPr>
        <w:t xml:space="preserve">Aktiv tuberkulose eller annen </w:t>
      </w:r>
      <w:r w:rsidR="00021903">
        <w:rPr>
          <w:sz w:val="22"/>
          <w:szCs w:val="22"/>
        </w:rPr>
        <w:t>alvorlig</w:t>
      </w:r>
      <w:r w:rsidRPr="009C5EFD">
        <w:rPr>
          <w:sz w:val="22"/>
          <w:szCs w:val="22"/>
        </w:rPr>
        <w:t xml:space="preserve"> infeksjon som sepsis</w:t>
      </w:r>
      <w:r>
        <w:rPr>
          <w:sz w:val="22"/>
          <w:szCs w:val="22"/>
        </w:rPr>
        <w:t>,</w:t>
      </w:r>
      <w:r w:rsidRPr="009C5EFD">
        <w:rPr>
          <w:sz w:val="22"/>
          <w:szCs w:val="22"/>
        </w:rPr>
        <w:t xml:space="preserve"> og opportunistiske infeksjoner (se pkt. 4.4).</w:t>
      </w:r>
    </w:p>
    <w:p w14:paraId="13CCED61" w14:textId="77777777" w:rsidR="009E676E" w:rsidRPr="009C5EFD" w:rsidRDefault="009E676E" w:rsidP="009E676E">
      <w:pPr>
        <w:rPr>
          <w:sz w:val="22"/>
          <w:szCs w:val="22"/>
        </w:rPr>
      </w:pPr>
    </w:p>
    <w:p w14:paraId="37BB5B8F" w14:textId="77777777" w:rsidR="009E676E" w:rsidRPr="009C5EFD" w:rsidRDefault="00E453CD" w:rsidP="009E676E">
      <w:pPr>
        <w:rPr>
          <w:sz w:val="22"/>
          <w:szCs w:val="22"/>
        </w:rPr>
      </w:pPr>
      <w:r w:rsidRPr="009C5EFD">
        <w:rPr>
          <w:sz w:val="22"/>
          <w:szCs w:val="22"/>
        </w:rPr>
        <w:t>Moderat til alvorlig hjertesvikt (NYHA klasse III/IV) (se pkt. 4.4).</w:t>
      </w:r>
    </w:p>
    <w:p w14:paraId="29B45511" w14:textId="77777777" w:rsidR="009E676E" w:rsidRPr="009C5EFD" w:rsidRDefault="009E676E" w:rsidP="009E676E">
      <w:pPr>
        <w:rPr>
          <w:sz w:val="22"/>
          <w:szCs w:val="22"/>
        </w:rPr>
      </w:pPr>
    </w:p>
    <w:p w14:paraId="06303808" w14:textId="77777777" w:rsidR="009E676E" w:rsidRPr="009C5EFD" w:rsidRDefault="00E453CD" w:rsidP="00776A84">
      <w:pPr>
        <w:keepNext/>
        <w:suppressAutoHyphens/>
        <w:ind w:left="567" w:hanging="567"/>
        <w:rPr>
          <w:sz w:val="22"/>
          <w:szCs w:val="22"/>
        </w:rPr>
      </w:pPr>
      <w:r w:rsidRPr="009C5EFD">
        <w:rPr>
          <w:b/>
          <w:sz w:val="22"/>
          <w:szCs w:val="22"/>
        </w:rPr>
        <w:t>4.4</w:t>
      </w:r>
      <w:r w:rsidRPr="009C5EFD">
        <w:rPr>
          <w:b/>
          <w:sz w:val="22"/>
          <w:szCs w:val="22"/>
        </w:rPr>
        <w:tab/>
        <w:t>Advarsler og forsiktighetsregler</w:t>
      </w:r>
    </w:p>
    <w:p w14:paraId="02E24FFF" w14:textId="77777777" w:rsidR="009E676E" w:rsidRPr="009C5EFD" w:rsidRDefault="009E676E" w:rsidP="00776A84">
      <w:pPr>
        <w:keepNext/>
        <w:rPr>
          <w:sz w:val="22"/>
          <w:szCs w:val="22"/>
        </w:rPr>
      </w:pPr>
    </w:p>
    <w:p w14:paraId="3F2388E2" w14:textId="77777777" w:rsidR="00766BE3" w:rsidRPr="00AB7697" w:rsidRDefault="00E453CD" w:rsidP="00776A84">
      <w:pPr>
        <w:keepNext/>
        <w:rPr>
          <w:sz w:val="22"/>
          <w:u w:val="single"/>
        </w:rPr>
      </w:pPr>
      <w:r w:rsidRPr="00AB7697">
        <w:rPr>
          <w:sz w:val="22"/>
          <w:u w:val="single"/>
        </w:rPr>
        <w:t>Sporbarhet</w:t>
      </w:r>
    </w:p>
    <w:p w14:paraId="51471620" w14:textId="77777777" w:rsidR="00766BE3" w:rsidRDefault="00766BE3" w:rsidP="00776A84">
      <w:pPr>
        <w:keepNext/>
        <w:rPr>
          <w:sz w:val="22"/>
        </w:rPr>
      </w:pPr>
    </w:p>
    <w:p w14:paraId="2F28BA2B" w14:textId="77777777" w:rsidR="00766BE3" w:rsidRPr="009C5EFD" w:rsidRDefault="00E453CD" w:rsidP="00776A84">
      <w:pPr>
        <w:pStyle w:val="Heading8"/>
        <w:keepNext w:val="0"/>
        <w:rPr>
          <w:szCs w:val="22"/>
          <w:u w:val="none"/>
        </w:rPr>
      </w:pPr>
      <w:r w:rsidRPr="009C5EFD">
        <w:rPr>
          <w:szCs w:val="22"/>
          <w:u w:val="none"/>
        </w:rPr>
        <w:t xml:space="preserve">For å bedre sporbarheten av biologiske legemidler, skal </w:t>
      </w:r>
      <w:r>
        <w:rPr>
          <w:szCs w:val="22"/>
          <w:u w:val="none"/>
        </w:rPr>
        <w:t xml:space="preserve">navnet </w:t>
      </w:r>
      <w:r w:rsidRPr="009C5EFD">
        <w:rPr>
          <w:szCs w:val="22"/>
          <w:u w:val="none"/>
        </w:rPr>
        <w:t>og batchnummeret for det administrerte legemidlet registreres tydelig.</w:t>
      </w:r>
    </w:p>
    <w:p w14:paraId="487AD6B7" w14:textId="77777777" w:rsidR="009E676E" w:rsidRPr="009C5EFD" w:rsidRDefault="009E676E" w:rsidP="009E676E">
      <w:pPr>
        <w:pStyle w:val="Heading8"/>
        <w:keepNext w:val="0"/>
        <w:rPr>
          <w:szCs w:val="22"/>
        </w:rPr>
      </w:pPr>
    </w:p>
    <w:p w14:paraId="2B8C152E" w14:textId="77777777" w:rsidR="009E676E" w:rsidRPr="009C5EFD" w:rsidRDefault="00E453CD" w:rsidP="00776A84">
      <w:pPr>
        <w:pStyle w:val="Heading8"/>
        <w:rPr>
          <w:szCs w:val="22"/>
        </w:rPr>
      </w:pPr>
      <w:r w:rsidRPr="009C5EFD">
        <w:rPr>
          <w:szCs w:val="22"/>
        </w:rPr>
        <w:lastRenderedPageBreak/>
        <w:t>Infeksjoner</w:t>
      </w:r>
    </w:p>
    <w:p w14:paraId="3815525D" w14:textId="77777777" w:rsidR="009E676E" w:rsidRPr="009C5EFD" w:rsidRDefault="009E676E" w:rsidP="00776A84">
      <w:pPr>
        <w:keepNext/>
        <w:rPr>
          <w:sz w:val="22"/>
          <w:szCs w:val="22"/>
        </w:rPr>
      </w:pPr>
    </w:p>
    <w:p w14:paraId="25058CA8" w14:textId="77777777" w:rsidR="009E676E" w:rsidRPr="009C5EFD" w:rsidRDefault="00E453CD" w:rsidP="009E676E">
      <w:pPr>
        <w:rPr>
          <w:sz w:val="22"/>
          <w:szCs w:val="22"/>
        </w:rPr>
      </w:pPr>
      <w:r w:rsidRPr="009C5EFD">
        <w:rPr>
          <w:sz w:val="22"/>
          <w:szCs w:val="22"/>
        </w:rPr>
        <w:t>Pasienter som behandles med TNF-antagonister er mer mottagelige for alvorlige infeksjoner. Nedsatt lungefunksjon kan øke risikoen for å utvikle infeksjoner. Derfor må pasienter overvåkes nøye med henblikk på mulige infeksjoner - deriblant tuberkulose - før, under og etter behandling med Humira. Da eliminasjon av adalimumab kan ta opptil fire måneder, bør overvåking fortsette ut denne perioden.</w:t>
      </w:r>
    </w:p>
    <w:p w14:paraId="60F1DED3" w14:textId="77777777" w:rsidR="009E676E" w:rsidRPr="009C5EFD" w:rsidRDefault="009E676E" w:rsidP="009E676E">
      <w:pPr>
        <w:rPr>
          <w:sz w:val="22"/>
          <w:szCs w:val="22"/>
        </w:rPr>
      </w:pPr>
    </w:p>
    <w:p w14:paraId="39FE1DAB" w14:textId="77777777" w:rsidR="009E676E" w:rsidRPr="009C5EFD" w:rsidRDefault="00E453CD" w:rsidP="009E676E">
      <w:pPr>
        <w:rPr>
          <w:sz w:val="22"/>
          <w:szCs w:val="22"/>
        </w:rPr>
      </w:pPr>
      <w:r w:rsidRPr="009C5EFD">
        <w:rPr>
          <w:sz w:val="22"/>
          <w:szCs w:val="22"/>
        </w:rPr>
        <w:t xml:space="preserve">Behandling med Humira bør ikke startes opp hos pasienter med aktive infeksjoner, inkludert kroniske eller lokaliserte infeksjoner, før infeksjonene er under kontroll. Hos pasienter som har vært utsatt for tuberkulose eller har reist i områder hvor det er høy risiko for tuberkulose eller endemiske mykoser, som histoplasmose, koksidioidomykose eller blastomykose, skal nytte og risiko ved behandling med Humira avveies før start av behandlingen (se </w:t>
      </w:r>
      <w:r w:rsidRPr="009C5EFD">
        <w:rPr>
          <w:i/>
          <w:sz w:val="22"/>
          <w:szCs w:val="22"/>
        </w:rPr>
        <w:t>Andre opportunistiske infeksjoner</w:t>
      </w:r>
      <w:r w:rsidRPr="009C5EFD">
        <w:rPr>
          <w:sz w:val="22"/>
          <w:szCs w:val="22"/>
        </w:rPr>
        <w:t xml:space="preserve">).    </w:t>
      </w:r>
    </w:p>
    <w:p w14:paraId="64C4FADE" w14:textId="77777777" w:rsidR="009E676E" w:rsidRPr="009C5EFD" w:rsidRDefault="009E676E" w:rsidP="009E676E">
      <w:pPr>
        <w:rPr>
          <w:sz w:val="22"/>
          <w:szCs w:val="22"/>
        </w:rPr>
      </w:pPr>
    </w:p>
    <w:p w14:paraId="73D8F701" w14:textId="77777777" w:rsidR="009E676E" w:rsidRPr="009C5EFD" w:rsidRDefault="00E453CD" w:rsidP="009E676E">
      <w:pPr>
        <w:rPr>
          <w:sz w:val="22"/>
          <w:szCs w:val="22"/>
        </w:rPr>
      </w:pPr>
      <w:r w:rsidRPr="009C5EFD">
        <w:rPr>
          <w:sz w:val="22"/>
          <w:szCs w:val="22"/>
        </w:rPr>
        <w:t xml:space="preserve">Pasienter som utvikler en ny infeksjon i løpet av behandling med Humira bør overvåkes nøye og gjennomgå en fullstendig diagnostisering. Dersom pasienten utvikler en ny alvorlig infeksjon eller sepsis, bør behandling med Humira seponeres og passende behandling med antimikrobielle eller antimykotiske legemidler bør startes inntil infeksjonen er under kontroll. Legen bør utvise varsomhet </w:t>
      </w:r>
      <w:r w:rsidR="00FB2118">
        <w:rPr>
          <w:sz w:val="22"/>
          <w:szCs w:val="22"/>
        </w:rPr>
        <w:t>når det vurderes å bruke</w:t>
      </w:r>
      <w:r w:rsidRPr="009C5EFD">
        <w:rPr>
          <w:sz w:val="22"/>
          <w:szCs w:val="22"/>
        </w:rPr>
        <w:t xml:space="preserve"> Humira </w:t>
      </w:r>
      <w:r w:rsidR="00FB2118">
        <w:rPr>
          <w:sz w:val="22"/>
          <w:szCs w:val="22"/>
        </w:rPr>
        <w:t>hos</w:t>
      </w:r>
      <w:r w:rsidR="00FB2118" w:rsidRPr="009C5EFD">
        <w:rPr>
          <w:sz w:val="22"/>
          <w:szCs w:val="22"/>
        </w:rPr>
        <w:t xml:space="preserve"> </w:t>
      </w:r>
      <w:r w:rsidRPr="009C5EFD">
        <w:rPr>
          <w:sz w:val="22"/>
          <w:szCs w:val="22"/>
        </w:rPr>
        <w:t>pasienter som har hatt gjentatte infeksjoner eller som har underliggende lidelser som predisponerer for infeksjoner, inkludert samtidig bruk av immunsuppressive legemidler.</w:t>
      </w:r>
    </w:p>
    <w:p w14:paraId="6588D1D4" w14:textId="77777777" w:rsidR="009E676E" w:rsidRPr="009C5EFD" w:rsidRDefault="009E676E" w:rsidP="009E676E">
      <w:pPr>
        <w:rPr>
          <w:i/>
          <w:sz w:val="22"/>
          <w:szCs w:val="22"/>
        </w:rPr>
      </w:pPr>
    </w:p>
    <w:p w14:paraId="4CE6A495" w14:textId="77777777" w:rsidR="009E676E" w:rsidRPr="009C5EFD" w:rsidRDefault="00E453CD" w:rsidP="009E676E">
      <w:pPr>
        <w:keepNext/>
        <w:rPr>
          <w:i/>
          <w:sz w:val="22"/>
          <w:szCs w:val="22"/>
        </w:rPr>
      </w:pPr>
      <w:r w:rsidRPr="009C5EFD">
        <w:rPr>
          <w:i/>
          <w:sz w:val="22"/>
          <w:szCs w:val="22"/>
        </w:rPr>
        <w:t>Alvorlige infeksjoner</w:t>
      </w:r>
    </w:p>
    <w:p w14:paraId="4744B78E" w14:textId="77777777" w:rsidR="009E676E" w:rsidRPr="009C5EFD" w:rsidRDefault="009E676E" w:rsidP="009E676E">
      <w:pPr>
        <w:keepNext/>
        <w:rPr>
          <w:sz w:val="22"/>
          <w:szCs w:val="22"/>
        </w:rPr>
      </w:pPr>
    </w:p>
    <w:p w14:paraId="32428ABE" w14:textId="77777777" w:rsidR="009E676E" w:rsidRPr="009C5EFD" w:rsidRDefault="00E453CD" w:rsidP="00776A84">
      <w:pPr>
        <w:rPr>
          <w:sz w:val="22"/>
          <w:szCs w:val="22"/>
        </w:rPr>
      </w:pPr>
      <w:r w:rsidRPr="009C5EFD">
        <w:rPr>
          <w:sz w:val="22"/>
          <w:szCs w:val="22"/>
        </w:rPr>
        <w:t xml:space="preserve">Alvorlige infeksjoner, inkludert sepsis, pga. bakterielle, mykobakterielle, invasive sopp-, parasitt-, virus- og andre opportunistiske infeksjoner som listeriose, legionellose og pneumocystose, er rapportert hos pasienter som behandles med Humira. </w:t>
      </w:r>
    </w:p>
    <w:p w14:paraId="3DD171CA" w14:textId="77777777" w:rsidR="009E676E" w:rsidRPr="009C5EFD" w:rsidRDefault="009E676E" w:rsidP="009E676E">
      <w:pPr>
        <w:rPr>
          <w:sz w:val="22"/>
          <w:szCs w:val="22"/>
        </w:rPr>
      </w:pPr>
    </w:p>
    <w:p w14:paraId="27073943" w14:textId="77777777" w:rsidR="009E676E" w:rsidRPr="009C5EFD" w:rsidRDefault="00E453CD" w:rsidP="009E676E">
      <w:pPr>
        <w:rPr>
          <w:sz w:val="22"/>
          <w:szCs w:val="22"/>
        </w:rPr>
      </w:pPr>
      <w:r w:rsidRPr="009C5EFD">
        <w:rPr>
          <w:sz w:val="22"/>
          <w:szCs w:val="22"/>
        </w:rPr>
        <w:t>Andre alvorlige infeksjoner inklusive pneumoni, pyelonefritt, septisk artritt og septikemi er sett i kliniske studier. Sykehusinnleggelse eller fatale følger assosiert med infeksjoner er rapportert.</w:t>
      </w:r>
    </w:p>
    <w:p w14:paraId="5B2C81E0" w14:textId="77777777" w:rsidR="009E676E" w:rsidRPr="009C5EFD" w:rsidRDefault="009E676E" w:rsidP="009E676E">
      <w:pPr>
        <w:rPr>
          <w:sz w:val="22"/>
          <w:szCs w:val="22"/>
        </w:rPr>
      </w:pPr>
    </w:p>
    <w:p w14:paraId="557F539A" w14:textId="77777777" w:rsidR="009E676E" w:rsidRPr="009C5EFD" w:rsidRDefault="00E453CD" w:rsidP="00776A84">
      <w:pPr>
        <w:keepNext/>
        <w:rPr>
          <w:sz w:val="22"/>
          <w:szCs w:val="22"/>
        </w:rPr>
      </w:pPr>
      <w:r w:rsidRPr="009C5EFD">
        <w:rPr>
          <w:i/>
          <w:sz w:val="22"/>
          <w:szCs w:val="22"/>
        </w:rPr>
        <w:t>Tuberkulose</w:t>
      </w:r>
    </w:p>
    <w:p w14:paraId="10B723FF" w14:textId="77777777" w:rsidR="009E676E" w:rsidRPr="009C5EFD" w:rsidRDefault="009E676E" w:rsidP="00776A84">
      <w:pPr>
        <w:keepNext/>
        <w:rPr>
          <w:sz w:val="22"/>
          <w:szCs w:val="22"/>
        </w:rPr>
      </w:pPr>
    </w:p>
    <w:p w14:paraId="5CECBA70" w14:textId="77777777" w:rsidR="009E676E" w:rsidRPr="009C5EFD" w:rsidRDefault="00E453CD" w:rsidP="009E676E">
      <w:pPr>
        <w:rPr>
          <w:sz w:val="22"/>
          <w:szCs w:val="22"/>
        </w:rPr>
      </w:pPr>
      <w:r w:rsidRPr="009C5EFD">
        <w:rPr>
          <w:sz w:val="22"/>
          <w:szCs w:val="22"/>
        </w:rPr>
        <w:t xml:space="preserve">Det er rapportert tilfeller av tuberkulose, inkludert reaktivering og nyoppstått tuberkulose, hos pasienter som behandles med Humira. Rapporter inkluderte tilfeller av pulmonær og ekstrapulmonær (dvs. disseminert) tuberkulose. </w:t>
      </w:r>
    </w:p>
    <w:p w14:paraId="00B93B80" w14:textId="77777777" w:rsidR="009E676E" w:rsidRPr="009C5EFD" w:rsidRDefault="009E676E" w:rsidP="009E676E">
      <w:pPr>
        <w:rPr>
          <w:sz w:val="22"/>
          <w:szCs w:val="22"/>
        </w:rPr>
      </w:pPr>
    </w:p>
    <w:p w14:paraId="5D2C44B0" w14:textId="77777777" w:rsidR="008A1EAC" w:rsidRDefault="00E453CD" w:rsidP="009E676E">
      <w:pPr>
        <w:rPr>
          <w:sz w:val="22"/>
          <w:szCs w:val="22"/>
        </w:rPr>
      </w:pPr>
      <w:r w:rsidRPr="009C5EFD">
        <w:rPr>
          <w:sz w:val="22"/>
          <w:szCs w:val="22"/>
        </w:rPr>
        <w:t>Alle pasienter må vurderes med henblikk på både aktiv eller inaktiv (’latent’) tuberkuløs infeksjon før behandling med Humira startes opp. Evalueringen bør omfatte en detaljert medisinsk vurdering av pasientenes tidligere historie med tuberkulose eller mulig tidligere eksponering for mennesker med aktiv tuberkulose samt tidligere og/eller pågående immunsuppressiv behandling. Passende screeningtester (dvs. tuberkulin hudprøve og thoraxrøntgen) bør gjennomføres hos alle pasienter (nasjonale anbefalinger kan brukes). Det anbefales at disse testene og testresultatene registreres i pasientkortet. Forskrivende leger bør være oppmerksom på risikoen for falske negative resultater av tuberkulintest, spesielt hos pasienter som er alvorlig syke eller har immunsvikt.</w:t>
      </w:r>
    </w:p>
    <w:p w14:paraId="0653EDB5" w14:textId="77777777" w:rsidR="008A1EAC" w:rsidRDefault="008A1EAC" w:rsidP="009E676E">
      <w:pPr>
        <w:rPr>
          <w:sz w:val="22"/>
          <w:szCs w:val="22"/>
        </w:rPr>
      </w:pPr>
    </w:p>
    <w:p w14:paraId="5CD2E88F" w14:textId="77777777" w:rsidR="009E676E" w:rsidRPr="009C5EFD" w:rsidRDefault="00E453CD" w:rsidP="009E676E">
      <w:pPr>
        <w:rPr>
          <w:sz w:val="22"/>
          <w:szCs w:val="22"/>
        </w:rPr>
      </w:pPr>
      <w:r w:rsidRPr="009C5EFD">
        <w:rPr>
          <w:sz w:val="22"/>
          <w:szCs w:val="22"/>
        </w:rPr>
        <w:t>Behandling med Humira skal ikke startes opp dersom det diagnostiseres aktiv tuberkulose (se pkt. 4.3).</w:t>
      </w:r>
    </w:p>
    <w:p w14:paraId="22308B72" w14:textId="77777777" w:rsidR="009E676E" w:rsidRPr="009C5EFD" w:rsidRDefault="009E676E" w:rsidP="009E676E">
      <w:pPr>
        <w:rPr>
          <w:sz w:val="22"/>
          <w:szCs w:val="22"/>
        </w:rPr>
      </w:pPr>
    </w:p>
    <w:p w14:paraId="3B62518E" w14:textId="77777777" w:rsidR="009E676E" w:rsidRPr="009C5EFD" w:rsidRDefault="00E453CD" w:rsidP="009E676E">
      <w:pPr>
        <w:rPr>
          <w:sz w:val="22"/>
          <w:szCs w:val="22"/>
        </w:rPr>
      </w:pPr>
      <w:r w:rsidRPr="009C5EFD">
        <w:rPr>
          <w:sz w:val="22"/>
          <w:szCs w:val="22"/>
        </w:rPr>
        <w:t>I alle situasjoner som er beskrevet under, bør behandlingens nytte</w:t>
      </w:r>
      <w:r w:rsidR="00D67D8E">
        <w:rPr>
          <w:sz w:val="22"/>
          <w:szCs w:val="22"/>
        </w:rPr>
        <w:t>-</w:t>
      </w:r>
      <w:r w:rsidRPr="009C5EFD">
        <w:rPr>
          <w:sz w:val="22"/>
          <w:szCs w:val="22"/>
        </w:rPr>
        <w:t>/risikoforhold vurderes nøye.</w:t>
      </w:r>
    </w:p>
    <w:p w14:paraId="45DF96D1" w14:textId="77777777" w:rsidR="009E676E" w:rsidRPr="009C5EFD" w:rsidRDefault="009E676E" w:rsidP="009E676E">
      <w:pPr>
        <w:rPr>
          <w:sz w:val="22"/>
          <w:szCs w:val="22"/>
        </w:rPr>
      </w:pPr>
    </w:p>
    <w:p w14:paraId="2DA9AEC9" w14:textId="77777777" w:rsidR="009E676E" w:rsidRPr="009C5EFD" w:rsidRDefault="00E453CD" w:rsidP="009E676E">
      <w:pPr>
        <w:rPr>
          <w:sz w:val="22"/>
          <w:szCs w:val="22"/>
        </w:rPr>
      </w:pPr>
      <w:r w:rsidRPr="009C5EFD">
        <w:rPr>
          <w:sz w:val="22"/>
          <w:szCs w:val="22"/>
        </w:rPr>
        <w:t xml:space="preserve">Hvis latent tuberkulose mistenkes, bør lege </w:t>
      </w:r>
      <w:r w:rsidRPr="009C5EFD">
        <w:rPr>
          <w:color w:val="000000"/>
          <w:sz w:val="22"/>
          <w:szCs w:val="22"/>
        </w:rPr>
        <w:t xml:space="preserve">som er </w:t>
      </w:r>
      <w:r w:rsidRPr="009C5EFD">
        <w:rPr>
          <w:sz w:val="22"/>
          <w:szCs w:val="22"/>
        </w:rPr>
        <w:t xml:space="preserve">ekspert på tuberkulose konsulteres. </w:t>
      </w:r>
    </w:p>
    <w:p w14:paraId="61A32D35" w14:textId="77777777" w:rsidR="009E676E" w:rsidRPr="009C5EFD" w:rsidRDefault="009E676E" w:rsidP="009E676E">
      <w:pPr>
        <w:rPr>
          <w:sz w:val="22"/>
          <w:szCs w:val="22"/>
        </w:rPr>
      </w:pPr>
    </w:p>
    <w:p w14:paraId="4C0A4270" w14:textId="77777777" w:rsidR="009E676E" w:rsidRPr="009C5EFD" w:rsidRDefault="00E453CD" w:rsidP="009E676E">
      <w:pPr>
        <w:rPr>
          <w:sz w:val="22"/>
          <w:szCs w:val="22"/>
        </w:rPr>
      </w:pPr>
      <w:r w:rsidRPr="009C5EFD">
        <w:rPr>
          <w:sz w:val="22"/>
          <w:szCs w:val="22"/>
        </w:rPr>
        <w:t>Hvis</w:t>
      </w:r>
      <w:r w:rsidR="008A1EAC">
        <w:rPr>
          <w:sz w:val="22"/>
          <w:szCs w:val="22"/>
        </w:rPr>
        <w:t xml:space="preserve"> </w:t>
      </w:r>
      <w:r w:rsidRPr="009C5EFD">
        <w:rPr>
          <w:sz w:val="22"/>
          <w:szCs w:val="22"/>
        </w:rPr>
        <w:t>latent tuberkulose er diagnostisert må passende anti</w:t>
      </w:r>
      <w:r w:rsidR="008A1EAC">
        <w:rPr>
          <w:sz w:val="22"/>
          <w:szCs w:val="22"/>
        </w:rPr>
        <w:t>-</w:t>
      </w:r>
      <w:r w:rsidRPr="009C5EFD">
        <w:rPr>
          <w:sz w:val="22"/>
          <w:szCs w:val="22"/>
        </w:rPr>
        <w:t xml:space="preserve">tuberkulose profylaksebehandling startes før behandling med Humira begynner, og i samsvar med lokale retningslinjer. </w:t>
      </w:r>
    </w:p>
    <w:p w14:paraId="40A3AA04" w14:textId="77777777" w:rsidR="009E676E" w:rsidRPr="009C5EFD" w:rsidRDefault="009E676E" w:rsidP="009E676E">
      <w:pPr>
        <w:autoSpaceDE w:val="0"/>
        <w:autoSpaceDN w:val="0"/>
        <w:adjustRightInd w:val="0"/>
        <w:rPr>
          <w:sz w:val="22"/>
          <w:szCs w:val="22"/>
        </w:rPr>
      </w:pPr>
    </w:p>
    <w:p w14:paraId="61BE216F" w14:textId="77777777" w:rsidR="009E676E" w:rsidRPr="009C5EFD" w:rsidRDefault="00E453CD" w:rsidP="009E676E">
      <w:pPr>
        <w:rPr>
          <w:sz w:val="22"/>
          <w:szCs w:val="22"/>
        </w:rPr>
      </w:pPr>
      <w:r w:rsidRPr="009C5EFD">
        <w:rPr>
          <w:sz w:val="22"/>
          <w:szCs w:val="22"/>
        </w:rPr>
        <w:t>Bruk av anti</w:t>
      </w:r>
      <w:r w:rsidR="008A1EAC">
        <w:rPr>
          <w:sz w:val="22"/>
          <w:szCs w:val="22"/>
        </w:rPr>
        <w:t>-</w:t>
      </w:r>
      <w:r w:rsidRPr="009C5EFD">
        <w:rPr>
          <w:sz w:val="22"/>
          <w:szCs w:val="22"/>
        </w:rPr>
        <w:t xml:space="preserve">tuberkulose profylaksebehandling bør også vurderes før start av behandling med Humira hos pasienter med flere eller signifikante risikofaktorer for tuberkulose til tross for en negativ </w:t>
      </w:r>
      <w:r w:rsidRPr="009C5EFD">
        <w:rPr>
          <w:sz w:val="22"/>
          <w:szCs w:val="22"/>
        </w:rPr>
        <w:lastRenderedPageBreak/>
        <w:t xml:space="preserve">tuberkulosetest, og hos pasienter med en tidligere historie med latent eller aktiv tuberkulose hvor tilstrekkelig behandling ikke kan bekreftes. </w:t>
      </w:r>
    </w:p>
    <w:p w14:paraId="56159230" w14:textId="77777777" w:rsidR="009E676E" w:rsidRPr="009C5EFD" w:rsidRDefault="009E676E" w:rsidP="009E676E">
      <w:pPr>
        <w:rPr>
          <w:sz w:val="22"/>
          <w:szCs w:val="22"/>
        </w:rPr>
      </w:pPr>
    </w:p>
    <w:p w14:paraId="149626BD" w14:textId="77777777" w:rsidR="009E676E" w:rsidRPr="009C5EFD" w:rsidRDefault="00E453CD" w:rsidP="009E676E">
      <w:pPr>
        <w:rPr>
          <w:sz w:val="22"/>
          <w:szCs w:val="22"/>
        </w:rPr>
      </w:pPr>
      <w:r w:rsidRPr="009C5EFD">
        <w:rPr>
          <w:sz w:val="22"/>
          <w:szCs w:val="22"/>
        </w:rPr>
        <w:t xml:space="preserve">Tilfeller av reaktivert tuberkulose har </w:t>
      </w:r>
      <w:r w:rsidR="000452D8">
        <w:rPr>
          <w:sz w:val="22"/>
          <w:szCs w:val="22"/>
        </w:rPr>
        <w:t>forekommet</w:t>
      </w:r>
      <w:r w:rsidRPr="009C5EFD">
        <w:rPr>
          <w:sz w:val="22"/>
          <w:szCs w:val="22"/>
        </w:rPr>
        <w:t xml:space="preserve"> hos pasienter behandlet med Humira til tross for tuberkulose profylaksebehandling. Noen pasienter med vellykket behandling for aktiv tuberkulose, har  igjen utviklet tuberkulose under behandling med Humira.</w:t>
      </w:r>
    </w:p>
    <w:p w14:paraId="5F58D855" w14:textId="77777777" w:rsidR="009E676E" w:rsidRPr="009C5EFD" w:rsidRDefault="009E676E" w:rsidP="009E676E">
      <w:pPr>
        <w:rPr>
          <w:sz w:val="22"/>
          <w:szCs w:val="22"/>
        </w:rPr>
      </w:pPr>
    </w:p>
    <w:p w14:paraId="6E700D24" w14:textId="77777777" w:rsidR="009E676E" w:rsidRPr="009C5EFD" w:rsidRDefault="00E453CD" w:rsidP="009E676E">
      <w:pPr>
        <w:rPr>
          <w:sz w:val="22"/>
          <w:szCs w:val="22"/>
        </w:rPr>
      </w:pPr>
      <w:r w:rsidRPr="009C5EFD">
        <w:rPr>
          <w:sz w:val="22"/>
          <w:szCs w:val="22"/>
        </w:rPr>
        <w:t>Pasienter bør instrueres til å oppsøke medisinsk hjelp dersom det oppstår tegn/symptomer som tyder på tuberkuløs infeksjon (f.eks. vedvarende hoste, vekttap, lavgradig feber, slapphet) under eller etter behandling med Humira.</w:t>
      </w:r>
    </w:p>
    <w:p w14:paraId="5BB51D3B" w14:textId="77777777" w:rsidR="009E676E" w:rsidRPr="009C5EFD" w:rsidRDefault="009E676E" w:rsidP="009E676E">
      <w:pPr>
        <w:rPr>
          <w:sz w:val="22"/>
          <w:szCs w:val="22"/>
        </w:rPr>
      </w:pPr>
    </w:p>
    <w:p w14:paraId="4E2F43B7" w14:textId="77777777" w:rsidR="009E676E" w:rsidRPr="009C5EFD" w:rsidRDefault="00E453CD" w:rsidP="009E676E">
      <w:pPr>
        <w:pStyle w:val="Heading6"/>
        <w:rPr>
          <w:szCs w:val="22"/>
        </w:rPr>
      </w:pPr>
      <w:r w:rsidRPr="009C5EFD">
        <w:rPr>
          <w:szCs w:val="22"/>
        </w:rPr>
        <w:t>Andre opportunistiske infeksjoner</w:t>
      </w:r>
    </w:p>
    <w:p w14:paraId="064590CF" w14:textId="77777777" w:rsidR="009E676E" w:rsidRPr="009C5EFD" w:rsidRDefault="009E676E" w:rsidP="009E676E">
      <w:pPr>
        <w:keepNext/>
        <w:rPr>
          <w:sz w:val="22"/>
          <w:szCs w:val="22"/>
        </w:rPr>
      </w:pPr>
    </w:p>
    <w:p w14:paraId="35D11A0F" w14:textId="77777777" w:rsidR="009E676E" w:rsidRPr="009C5EFD" w:rsidRDefault="00E453CD" w:rsidP="00776A84">
      <w:pPr>
        <w:rPr>
          <w:sz w:val="22"/>
          <w:szCs w:val="22"/>
        </w:rPr>
      </w:pPr>
      <w:r w:rsidRPr="009C5EFD">
        <w:rPr>
          <w:sz w:val="22"/>
          <w:szCs w:val="22"/>
        </w:rPr>
        <w:t>Opportunistiske infeksjoner, inkludert invasive soppinfeksjoner er observert hos pasienter som behandles med Humira. Disse infeksjonene har ikke konsekvent blitt gjenkjent hos pasienter som tar TNF-antagonister, noe som har ført til forsinkelser av hensiktsmessig behandling, noen ganger med fatale følger.</w:t>
      </w:r>
    </w:p>
    <w:p w14:paraId="31E18884" w14:textId="77777777" w:rsidR="009E676E" w:rsidRPr="009C5EFD" w:rsidRDefault="009E676E" w:rsidP="009E676E">
      <w:pPr>
        <w:rPr>
          <w:sz w:val="22"/>
          <w:szCs w:val="22"/>
        </w:rPr>
      </w:pPr>
    </w:p>
    <w:p w14:paraId="343F0C57" w14:textId="77777777" w:rsidR="009E676E" w:rsidRPr="009C5EFD" w:rsidRDefault="00E453CD" w:rsidP="009E676E">
      <w:pPr>
        <w:rPr>
          <w:sz w:val="22"/>
          <w:szCs w:val="22"/>
        </w:rPr>
      </w:pPr>
      <w:r w:rsidRPr="009C5EFD">
        <w:rPr>
          <w:sz w:val="22"/>
          <w:szCs w:val="22"/>
        </w:rPr>
        <w:t xml:space="preserve">Hos pasienter som utvikler symptomer som feber, malaise, vekttap, svette, hoste, dyspné og/eller lungeinfiltrat eller andre alvorlige systemiske sykdommer med eller uten samtidig sjokk bør en invasiv soppinfeksjon mistenkes og behandling med Humira avbrytes omgående. Diagnostisering og håndtering av empirisk behandling med antimykotika hos disse pasientene, bør skje i samråd med en lege som har erfaring med å behandle pasienter med invasive soppinfeksjoner. </w:t>
      </w:r>
    </w:p>
    <w:p w14:paraId="71C93E05" w14:textId="77777777" w:rsidR="009E676E" w:rsidRPr="009C5EFD" w:rsidRDefault="009E676E" w:rsidP="009E676E">
      <w:pPr>
        <w:rPr>
          <w:sz w:val="22"/>
          <w:szCs w:val="22"/>
        </w:rPr>
      </w:pPr>
    </w:p>
    <w:p w14:paraId="505D2C8B" w14:textId="77777777" w:rsidR="009E676E" w:rsidRPr="009C5EFD" w:rsidRDefault="00E453CD" w:rsidP="009E676E">
      <w:pPr>
        <w:pStyle w:val="Heading1"/>
        <w:rPr>
          <w:color w:val="auto"/>
          <w:sz w:val="22"/>
          <w:szCs w:val="22"/>
        </w:rPr>
      </w:pPr>
      <w:r w:rsidRPr="009C5EFD">
        <w:rPr>
          <w:color w:val="auto"/>
          <w:sz w:val="22"/>
          <w:szCs w:val="22"/>
        </w:rPr>
        <w:t>Reaktivering av hepatitt B</w:t>
      </w:r>
    </w:p>
    <w:p w14:paraId="2182AB89" w14:textId="77777777" w:rsidR="009E676E" w:rsidRPr="009C5EFD" w:rsidRDefault="009E676E" w:rsidP="009E676E">
      <w:pPr>
        <w:keepNext/>
        <w:autoSpaceDE w:val="0"/>
        <w:autoSpaceDN w:val="0"/>
        <w:adjustRightInd w:val="0"/>
        <w:spacing w:line="240" w:lineRule="atLeast"/>
        <w:rPr>
          <w:sz w:val="22"/>
          <w:szCs w:val="22"/>
          <w:u w:val="single"/>
        </w:rPr>
      </w:pPr>
    </w:p>
    <w:p w14:paraId="2CFB74D9" w14:textId="77777777" w:rsidR="009E676E" w:rsidRPr="009C5EFD" w:rsidRDefault="00E453CD" w:rsidP="00776A84">
      <w:pPr>
        <w:rPr>
          <w:sz w:val="22"/>
          <w:szCs w:val="22"/>
        </w:rPr>
      </w:pPr>
      <w:r w:rsidRPr="009C5EFD">
        <w:rPr>
          <w:sz w:val="22"/>
          <w:szCs w:val="22"/>
        </w:rPr>
        <w:t xml:space="preserve">Reaktivering av hepatitt B har forekommet hos pasienter som behandles med TNF-antagonister inklusive Humira, og som er kroniske bærere av viruset og (dvs. overflateantigen-positive). Noen tilfeller var fatale. Pasienter bør testes for HBV-infeksjon før oppstart av Humira-behandling. For pasienter som testes positiv for hepatitt B-infeksjon, anbefales det å konsultere en lege med ekspertise på behandling av hepatitt B. </w:t>
      </w:r>
    </w:p>
    <w:p w14:paraId="45BE66A6" w14:textId="77777777" w:rsidR="009E676E" w:rsidRPr="009C5EFD" w:rsidRDefault="009E676E" w:rsidP="009E676E">
      <w:pPr>
        <w:rPr>
          <w:sz w:val="22"/>
          <w:szCs w:val="22"/>
        </w:rPr>
      </w:pPr>
    </w:p>
    <w:p w14:paraId="3474C286" w14:textId="77777777" w:rsidR="009E676E" w:rsidRPr="009C5EFD" w:rsidRDefault="00E453CD" w:rsidP="009E676E">
      <w:pPr>
        <w:rPr>
          <w:sz w:val="22"/>
          <w:szCs w:val="22"/>
        </w:rPr>
      </w:pPr>
      <w:r w:rsidRPr="009C5EFD">
        <w:rPr>
          <w:sz w:val="22"/>
          <w:szCs w:val="22"/>
        </w:rPr>
        <w:t>HBV-bærere som krever behandling med Humira bør overvåkes nøye med hensyn på sykdomstegn og symptomer på aktiv HBV-infeksjon under behandlingen og flere måneder etter avsluttet behandling. Tilstrekkelig data om behandling av pasienter som er HBV-bærere med antiviralterapi for å forebygge HBV-reaktivering, samtidig med TNF-antagonistterapi, er ikke tilgjengelig. Humira bør seponeres hos pasienter som utvikler HBV-reaktivering og effektiv antiviralterapi med passende støttebehandling bør startes.</w:t>
      </w:r>
    </w:p>
    <w:p w14:paraId="7E576ECF" w14:textId="77777777" w:rsidR="009E676E" w:rsidRPr="009C5EFD" w:rsidRDefault="009E676E" w:rsidP="009E676E">
      <w:pPr>
        <w:pStyle w:val="Heading8"/>
        <w:keepNext w:val="0"/>
        <w:rPr>
          <w:szCs w:val="22"/>
        </w:rPr>
      </w:pPr>
    </w:p>
    <w:p w14:paraId="7B42FD1F" w14:textId="77777777" w:rsidR="009E676E" w:rsidRPr="009C5EFD" w:rsidRDefault="00E453CD" w:rsidP="00776A84">
      <w:pPr>
        <w:pStyle w:val="Heading8"/>
        <w:rPr>
          <w:szCs w:val="22"/>
        </w:rPr>
      </w:pPr>
      <w:r w:rsidRPr="009C5EFD">
        <w:rPr>
          <w:szCs w:val="22"/>
        </w:rPr>
        <w:t>Nevrologiske hendelser</w:t>
      </w:r>
    </w:p>
    <w:p w14:paraId="53F58D44" w14:textId="77777777" w:rsidR="009E676E" w:rsidRPr="009C5EFD" w:rsidRDefault="009E676E" w:rsidP="00776A84">
      <w:pPr>
        <w:keepNext/>
        <w:rPr>
          <w:sz w:val="22"/>
          <w:szCs w:val="22"/>
        </w:rPr>
      </w:pPr>
    </w:p>
    <w:p w14:paraId="0E393F0D" w14:textId="77777777" w:rsidR="009E676E" w:rsidRPr="009C5EFD" w:rsidRDefault="00E453CD" w:rsidP="009E676E">
      <w:pPr>
        <w:rPr>
          <w:sz w:val="22"/>
          <w:szCs w:val="22"/>
        </w:rPr>
      </w:pPr>
      <w:r w:rsidRPr="009C5EFD">
        <w:rPr>
          <w:sz w:val="22"/>
          <w:szCs w:val="22"/>
        </w:rPr>
        <w:t xml:space="preserve">TNF-antagonister, også Humira, er i sjeldne tilfeller satt i sammenheng med oppblussing eller forverring av kliniske symptomer og/eller radiografisk indikasjon på demyeliniserende sykdom i sentralnervesystemet, </w:t>
      </w:r>
      <w:r w:rsidRPr="009C5EFD">
        <w:rPr>
          <w:color w:val="000000"/>
          <w:sz w:val="22"/>
          <w:szCs w:val="22"/>
        </w:rPr>
        <w:t>inkludert</w:t>
      </w:r>
      <w:r w:rsidRPr="009C5EFD">
        <w:rPr>
          <w:sz w:val="22"/>
          <w:szCs w:val="22"/>
        </w:rPr>
        <w:t xml:space="preserve"> multippel sklerose og optikusneurit</w:t>
      </w:r>
      <w:r w:rsidR="00644A9B">
        <w:rPr>
          <w:sz w:val="22"/>
          <w:szCs w:val="22"/>
        </w:rPr>
        <w:t xml:space="preserve">t, </w:t>
      </w:r>
      <w:r w:rsidRPr="009C5EFD">
        <w:rPr>
          <w:sz w:val="22"/>
          <w:szCs w:val="22"/>
        </w:rPr>
        <w:t>og perifer demyeliniserende sykdom, inkludert Guillain-Barré syndrom. Forskrivende lege bør utvise varsomhet når Humira vurderes til pasienter med tidligere eksisterende eller nylig oppståtte demyeliniserende sykdommer i det sentrale- eller perifere nervesystemet.</w:t>
      </w:r>
      <w:r>
        <w:rPr>
          <w:sz w:val="22"/>
          <w:szCs w:val="22"/>
        </w:rPr>
        <w:t xml:space="preserve"> Seponering av Humira bør vurderes dersom noen av disse sykdommene utvikles. Det er en kjent sammenhen</w:t>
      </w:r>
      <w:r w:rsidR="00644A9B">
        <w:rPr>
          <w:sz w:val="22"/>
          <w:szCs w:val="22"/>
        </w:rPr>
        <w:t xml:space="preserve">g mellom intermediær uveitt og </w:t>
      </w:r>
      <w:r>
        <w:rPr>
          <w:sz w:val="22"/>
          <w:szCs w:val="22"/>
        </w:rPr>
        <w:t xml:space="preserve">demyeliniserende sykdom i sentralnervesystemet. Nevrologisk undersøkelse bør gjennomføres hos pasienter med ikke-infeksiøs intermediær uveitt før oppstart av behandling med Humira og regelmessig under behandlingen, for å sjekke for pre-eksisterende eller utviklende </w:t>
      </w:r>
      <w:r w:rsidRPr="005C6A76">
        <w:rPr>
          <w:sz w:val="22"/>
          <w:szCs w:val="22"/>
        </w:rPr>
        <w:t>demyeliniserende sykdom</w:t>
      </w:r>
      <w:r>
        <w:rPr>
          <w:sz w:val="22"/>
          <w:szCs w:val="22"/>
        </w:rPr>
        <w:t xml:space="preserve"> i sentralnervesystemet</w:t>
      </w:r>
      <w:r w:rsidR="005C1783">
        <w:rPr>
          <w:sz w:val="22"/>
          <w:szCs w:val="22"/>
        </w:rPr>
        <w:t>.</w:t>
      </w:r>
    </w:p>
    <w:p w14:paraId="453484ED" w14:textId="77777777" w:rsidR="009E676E" w:rsidRPr="009C5EFD" w:rsidRDefault="009E676E" w:rsidP="009E676E">
      <w:pPr>
        <w:rPr>
          <w:sz w:val="22"/>
          <w:szCs w:val="22"/>
        </w:rPr>
      </w:pPr>
    </w:p>
    <w:p w14:paraId="0ADC6293" w14:textId="77777777" w:rsidR="009E676E" w:rsidRPr="009C5EFD" w:rsidRDefault="00E453CD" w:rsidP="00776A84">
      <w:pPr>
        <w:pStyle w:val="Heading8"/>
        <w:rPr>
          <w:szCs w:val="22"/>
        </w:rPr>
      </w:pPr>
      <w:r w:rsidRPr="009C5EFD">
        <w:rPr>
          <w:szCs w:val="22"/>
        </w:rPr>
        <w:t>Allergiske reaksjoner</w:t>
      </w:r>
    </w:p>
    <w:p w14:paraId="43BE5926" w14:textId="77777777" w:rsidR="009E676E" w:rsidRPr="009C5EFD" w:rsidRDefault="009E676E" w:rsidP="00776A84">
      <w:pPr>
        <w:keepNext/>
        <w:rPr>
          <w:sz w:val="22"/>
          <w:szCs w:val="22"/>
        </w:rPr>
      </w:pPr>
    </w:p>
    <w:p w14:paraId="786EE609" w14:textId="77777777" w:rsidR="009E676E" w:rsidRPr="009C5EFD" w:rsidRDefault="00E453CD" w:rsidP="009E676E">
      <w:pPr>
        <w:rPr>
          <w:sz w:val="22"/>
          <w:szCs w:val="22"/>
        </w:rPr>
      </w:pPr>
      <w:r w:rsidRPr="009C5EFD">
        <w:rPr>
          <w:sz w:val="22"/>
          <w:szCs w:val="22"/>
        </w:rPr>
        <w:t xml:space="preserve">Alvorlige allergiske reaksjoner forbundet med  Humira var sjelden i kliniske studier. Ikke-alvorlige allergiske reaksjoner forbundet med Humira var mindre vanlige i kliniske studier. Rapporter på </w:t>
      </w:r>
      <w:r w:rsidRPr="009C5EFD">
        <w:rPr>
          <w:sz w:val="22"/>
          <w:szCs w:val="22"/>
        </w:rPr>
        <w:lastRenderedPageBreak/>
        <w:t xml:space="preserve">alvorlige allergiske reaksjoner, inklusive anafylaksi, har blitt mottatt etter administrasjon av Humira. Hvis det oppstår anafylaktiske reaksjoner eller annen alvorlig allergisk reaksjon, må </w:t>
      </w:r>
      <w:r w:rsidR="00B8124C">
        <w:rPr>
          <w:sz w:val="22"/>
          <w:szCs w:val="22"/>
        </w:rPr>
        <w:t>administrasjon</w:t>
      </w:r>
      <w:r w:rsidR="00797AFC" w:rsidRPr="00797AFC">
        <w:rPr>
          <w:sz w:val="22"/>
          <w:szCs w:val="22"/>
        </w:rPr>
        <w:t>en</w:t>
      </w:r>
      <w:r w:rsidR="00797AFC">
        <w:rPr>
          <w:sz w:val="22"/>
          <w:szCs w:val="22"/>
        </w:rPr>
        <w:t xml:space="preserve"> </w:t>
      </w:r>
      <w:r w:rsidRPr="009C5EFD">
        <w:rPr>
          <w:sz w:val="22"/>
          <w:szCs w:val="22"/>
        </w:rPr>
        <w:t>av Humira seponeres umiddelbart og nødvendig behandling initieres.</w:t>
      </w:r>
    </w:p>
    <w:p w14:paraId="517BE24D" w14:textId="77777777" w:rsidR="009E676E" w:rsidRPr="009C5EFD" w:rsidRDefault="009E676E" w:rsidP="009E676E">
      <w:pPr>
        <w:pStyle w:val="Heading8"/>
        <w:keepNext w:val="0"/>
        <w:rPr>
          <w:szCs w:val="22"/>
        </w:rPr>
      </w:pPr>
    </w:p>
    <w:p w14:paraId="18A587B4" w14:textId="77777777" w:rsidR="009E676E" w:rsidRPr="009C5EFD" w:rsidRDefault="00E453CD" w:rsidP="00776A84">
      <w:pPr>
        <w:pStyle w:val="Heading8"/>
        <w:rPr>
          <w:szCs w:val="22"/>
        </w:rPr>
      </w:pPr>
      <w:r w:rsidRPr="009C5EFD">
        <w:rPr>
          <w:szCs w:val="22"/>
        </w:rPr>
        <w:t>Immunsuppresjon</w:t>
      </w:r>
    </w:p>
    <w:p w14:paraId="2153D52A" w14:textId="77777777" w:rsidR="009E676E" w:rsidRPr="009C5EFD" w:rsidRDefault="009E676E" w:rsidP="00776A84">
      <w:pPr>
        <w:keepNext/>
        <w:rPr>
          <w:sz w:val="22"/>
          <w:szCs w:val="22"/>
        </w:rPr>
      </w:pPr>
    </w:p>
    <w:p w14:paraId="28257EC1" w14:textId="77777777" w:rsidR="009E676E" w:rsidRPr="009C5EFD" w:rsidRDefault="00E453CD" w:rsidP="009E676E">
      <w:pPr>
        <w:rPr>
          <w:sz w:val="22"/>
          <w:szCs w:val="22"/>
        </w:rPr>
      </w:pPr>
      <w:r w:rsidRPr="009C5EFD">
        <w:rPr>
          <w:sz w:val="22"/>
          <w:szCs w:val="22"/>
        </w:rPr>
        <w:t xml:space="preserve">I en studie med 64 pasienter med revmatoid artritt som ble behandlet med Humira, ble det ikke funnet bevis for nedsettelse av forsinket hypersensitivitet, nedsettelse av immunglobulinnivåer eller forandring av </w:t>
      </w:r>
      <w:r w:rsidR="007527E2">
        <w:rPr>
          <w:sz w:val="22"/>
          <w:szCs w:val="22"/>
        </w:rPr>
        <w:t>telte</w:t>
      </w:r>
      <w:r w:rsidRPr="009C5EFD">
        <w:rPr>
          <w:sz w:val="22"/>
          <w:szCs w:val="22"/>
        </w:rPr>
        <w:t xml:space="preserve"> effektor T-, B-, NK-celler, monocytter/makrofager og </w:t>
      </w:r>
      <w:r w:rsidRPr="009C5EFD">
        <w:rPr>
          <w:sz w:val="22"/>
        </w:rPr>
        <w:t>nøytrofile</w:t>
      </w:r>
      <w:r w:rsidRPr="009C5EFD">
        <w:rPr>
          <w:sz w:val="22"/>
          <w:szCs w:val="22"/>
        </w:rPr>
        <w:t xml:space="preserve">. </w:t>
      </w:r>
    </w:p>
    <w:p w14:paraId="417C8B6E" w14:textId="77777777" w:rsidR="009E676E" w:rsidRPr="009C5EFD" w:rsidRDefault="009E676E" w:rsidP="009E676E">
      <w:pPr>
        <w:rPr>
          <w:sz w:val="22"/>
          <w:szCs w:val="22"/>
          <w:u w:val="single"/>
        </w:rPr>
      </w:pPr>
    </w:p>
    <w:p w14:paraId="61FDC237" w14:textId="77777777" w:rsidR="009E676E" w:rsidRPr="009C5EFD" w:rsidRDefault="00E453CD" w:rsidP="009E676E">
      <w:pPr>
        <w:keepNext/>
        <w:rPr>
          <w:sz w:val="22"/>
          <w:szCs w:val="22"/>
          <w:u w:val="single"/>
        </w:rPr>
      </w:pPr>
      <w:r w:rsidRPr="009C5EFD">
        <w:rPr>
          <w:sz w:val="22"/>
          <w:szCs w:val="22"/>
          <w:u w:val="single"/>
        </w:rPr>
        <w:t>Maligniteter og lymfoproliferative sykdommer</w:t>
      </w:r>
    </w:p>
    <w:p w14:paraId="5F10AE37" w14:textId="77777777" w:rsidR="009E676E" w:rsidRPr="009C5EFD" w:rsidRDefault="009E676E" w:rsidP="009E676E">
      <w:pPr>
        <w:keepNext/>
        <w:rPr>
          <w:sz w:val="22"/>
          <w:szCs w:val="22"/>
        </w:rPr>
      </w:pPr>
    </w:p>
    <w:p w14:paraId="1DF865F3" w14:textId="77777777" w:rsidR="009E676E" w:rsidRPr="009C5EFD" w:rsidRDefault="00E453CD" w:rsidP="00776A84">
      <w:pPr>
        <w:rPr>
          <w:sz w:val="22"/>
          <w:szCs w:val="22"/>
        </w:rPr>
      </w:pPr>
      <w:r w:rsidRPr="009C5EFD">
        <w:rPr>
          <w:sz w:val="22"/>
          <w:szCs w:val="22"/>
        </w:rPr>
        <w:t xml:space="preserve">I kontrollerte kliniske studier med TNF-antagonister ble det observert flere tilfeller med maligniteter inkludert lymfom hos pasienter behandlet med TNF-antagonister sammenlignet med pasienter i kontrollgruppen. Forekomsten var likevel lav. Etter markedsføring er tilfeller med leukemi hos pasienter som ble behandlet med en TNF-antagonist, rapportert. Pasienter med revmatoid artritt med langvarig, svært aktiv, inflammatorisk sykdom har økt risiko for lymfomer og leukemi. Dette kompliserer estimering av risiko. Med nåværende kunnskap kan det ikke utelukkes at pasienter som behandles med TNF-antagonister har en mulig risiko for utvikling av lymfomer, leukemi og andre maligniteter. </w:t>
      </w:r>
    </w:p>
    <w:p w14:paraId="5D6BD951" w14:textId="77777777" w:rsidR="009E676E" w:rsidRPr="009C5EFD" w:rsidRDefault="009E676E" w:rsidP="009E676E">
      <w:pPr>
        <w:rPr>
          <w:sz w:val="22"/>
          <w:szCs w:val="22"/>
        </w:rPr>
      </w:pPr>
    </w:p>
    <w:p w14:paraId="0D7CE18E" w14:textId="77777777" w:rsidR="009E676E" w:rsidRPr="009C5EFD" w:rsidRDefault="00E453CD" w:rsidP="009E676E">
      <w:pPr>
        <w:rPr>
          <w:sz w:val="22"/>
          <w:szCs w:val="22"/>
        </w:rPr>
      </w:pPr>
      <w:r w:rsidRPr="009C5EFD">
        <w:rPr>
          <w:sz w:val="22"/>
          <w:szCs w:val="22"/>
        </w:rPr>
        <w:t>Etter markedsføring</w:t>
      </w:r>
      <w:r>
        <w:rPr>
          <w:sz w:val="22"/>
          <w:szCs w:val="22"/>
        </w:rPr>
        <w:t xml:space="preserve"> har det blitt rapportert om</w:t>
      </w:r>
      <w:r w:rsidRPr="009C5EFD">
        <w:rPr>
          <w:sz w:val="22"/>
          <w:szCs w:val="22"/>
        </w:rPr>
        <w:t xml:space="preserve"> maligniteter, noen fatale, hos barn</w:t>
      </w:r>
      <w:r>
        <w:rPr>
          <w:sz w:val="22"/>
          <w:szCs w:val="22"/>
        </w:rPr>
        <w:t>,</w:t>
      </w:r>
      <w:r w:rsidRPr="009C5EFD">
        <w:rPr>
          <w:sz w:val="22"/>
          <w:szCs w:val="22"/>
        </w:rPr>
        <w:t xml:space="preserve"> ungdom og </w:t>
      </w:r>
      <w:r>
        <w:rPr>
          <w:sz w:val="22"/>
          <w:szCs w:val="22"/>
        </w:rPr>
        <w:t>unge voksne</w:t>
      </w:r>
      <w:r w:rsidRPr="009C5EFD">
        <w:rPr>
          <w:sz w:val="22"/>
          <w:szCs w:val="22"/>
        </w:rPr>
        <w:t xml:space="preserve"> (opptil 22 år) som ble behandlet med TNF-antagonister, inkludert adalimumab (start av behandling ≤ 18 år). </w:t>
      </w:r>
      <w:r>
        <w:rPr>
          <w:sz w:val="22"/>
          <w:szCs w:val="22"/>
        </w:rPr>
        <w:t>Omtrent</w:t>
      </w:r>
      <w:r w:rsidRPr="009C5EFD">
        <w:rPr>
          <w:sz w:val="22"/>
          <w:szCs w:val="22"/>
        </w:rPr>
        <w:t xml:space="preserve"> halvparten av tilfellene var lymfomer. Andre tilfeller representerte forskjellige maligniteter og inkluderte sjeldne maligniteter som vanligvis er assosiert med immunsuppresjon. Risiko for utvikling av maligniteter hos barn og ungdom som er behandlet med TNF-antagonister, kan ikke utelukkes.</w:t>
      </w:r>
    </w:p>
    <w:p w14:paraId="0AE5B1FF" w14:textId="77777777" w:rsidR="009E676E" w:rsidRPr="009C5EFD" w:rsidRDefault="009E676E" w:rsidP="009E676E">
      <w:pPr>
        <w:rPr>
          <w:sz w:val="22"/>
          <w:szCs w:val="22"/>
        </w:rPr>
      </w:pPr>
    </w:p>
    <w:p w14:paraId="28EA39F6" w14:textId="77777777" w:rsidR="009E676E" w:rsidRPr="009C5EFD" w:rsidRDefault="00E453CD" w:rsidP="009E676E">
      <w:pPr>
        <w:rPr>
          <w:sz w:val="22"/>
          <w:szCs w:val="22"/>
        </w:rPr>
      </w:pPr>
      <w:r w:rsidRPr="009C5EFD">
        <w:rPr>
          <w:sz w:val="22"/>
          <w:szCs w:val="22"/>
        </w:rPr>
        <w:t xml:space="preserve">Sjeldne tilfeller av hepatosplenisk T-cellelymfom hos pasienter behandlet med adalimumab er sett etter markedsføring. Denne sjeldne typen T-cellelymfom har en meget aggressiv sykdomsprogresjon og er vanligvis fatal. Noen av tilfellene med hepatosplenisk T-cellelymfom med Humira har skjedd hos unge voksne som samtidig ble behandlet med azatioprin eller 6-merkaptopurin for inflammatorisk tarmsykdom. </w:t>
      </w:r>
      <w:r w:rsidRPr="009C5EFD">
        <w:rPr>
          <w:sz w:val="22"/>
        </w:rPr>
        <w:t xml:space="preserve">Den potensielle risikoen ved samtidig bruk av azatioprin eller 6-merkaptopurin og Humira bør vurderes nøye. </w:t>
      </w:r>
      <w:r w:rsidRPr="009C5EFD">
        <w:rPr>
          <w:sz w:val="22"/>
          <w:szCs w:val="22"/>
        </w:rPr>
        <w:t>Man kan ikke utelukke en risiko for å utvikle hepatosplenisk T-cellelymfom hos pasienter som behandles med Humira (se pkt. 4.8).</w:t>
      </w:r>
    </w:p>
    <w:p w14:paraId="3CBE604B" w14:textId="77777777" w:rsidR="009E676E" w:rsidRPr="009C5EFD" w:rsidRDefault="009E676E" w:rsidP="009E676E">
      <w:pPr>
        <w:rPr>
          <w:sz w:val="22"/>
          <w:szCs w:val="22"/>
        </w:rPr>
      </w:pPr>
    </w:p>
    <w:p w14:paraId="6E80F37C" w14:textId="77777777" w:rsidR="009E676E" w:rsidRPr="009C5EFD" w:rsidRDefault="00E453CD" w:rsidP="009E676E">
      <w:pPr>
        <w:rPr>
          <w:sz w:val="22"/>
          <w:szCs w:val="22"/>
        </w:rPr>
      </w:pPr>
      <w:r w:rsidRPr="009C5EFD">
        <w:rPr>
          <w:sz w:val="22"/>
          <w:szCs w:val="22"/>
        </w:rPr>
        <w:t>Det er ikke utført studier som inkluderer pasienter med tidligere malignitet eller hos pasienter som fortsetter med behandling av Humira etter utvikling av malignitet. Ekstra varsomhet bør derfor utvises når behandling med Humira vurderes hos disse pasientene (se pkt. 4.8).</w:t>
      </w:r>
    </w:p>
    <w:p w14:paraId="6409DEDF" w14:textId="77777777" w:rsidR="009E676E" w:rsidRPr="009C5EFD" w:rsidRDefault="009E676E" w:rsidP="009E676E">
      <w:pPr>
        <w:rPr>
          <w:sz w:val="22"/>
          <w:szCs w:val="22"/>
        </w:rPr>
      </w:pPr>
    </w:p>
    <w:p w14:paraId="69B7F08B" w14:textId="77777777" w:rsidR="009E676E" w:rsidRPr="009C5EFD" w:rsidRDefault="00E453CD" w:rsidP="009E676E">
      <w:pPr>
        <w:pStyle w:val="EMEAFigureTitle"/>
        <w:tabs>
          <w:tab w:val="clear" w:pos="562"/>
        </w:tabs>
        <w:suppressAutoHyphens w:val="0"/>
        <w:rPr>
          <w:szCs w:val="22"/>
          <w:lang w:val="nb-NO"/>
        </w:rPr>
      </w:pPr>
      <w:r w:rsidRPr="009C5EFD">
        <w:rPr>
          <w:szCs w:val="22"/>
          <w:lang w:val="nb-NO"/>
        </w:rPr>
        <w:t xml:space="preserve">Alle pasienter, særlig de med en tidligere omfattende </w:t>
      </w:r>
      <w:r w:rsidR="007527E2">
        <w:rPr>
          <w:szCs w:val="22"/>
          <w:lang w:val="nb-NO"/>
        </w:rPr>
        <w:t>immunsuppressiv behandling</w:t>
      </w:r>
      <w:r w:rsidRPr="009C5EFD">
        <w:rPr>
          <w:szCs w:val="22"/>
          <w:lang w:val="nb-NO"/>
        </w:rPr>
        <w:t xml:space="preserve"> eller psoriasispasienter med en tidligere PUVA-behandling bør undersøkes for </w:t>
      </w:r>
      <w:r>
        <w:rPr>
          <w:szCs w:val="22"/>
          <w:lang w:val="nb-NO"/>
        </w:rPr>
        <w:t>tilstedeværelse</w:t>
      </w:r>
      <w:r w:rsidRPr="009C5EFD">
        <w:rPr>
          <w:szCs w:val="22"/>
          <w:lang w:val="nb-NO"/>
        </w:rPr>
        <w:t xml:space="preserve"> av ikke-melanom hudkreft før og under behandling med Humira. Melanom og merkelcellekarsinom har også blitt rapportert hos pasienter behandlet med TNF-antagonister, inkludert adalimumab (se pkt. 4.8).</w:t>
      </w:r>
    </w:p>
    <w:p w14:paraId="5093F50A" w14:textId="77777777" w:rsidR="009E676E" w:rsidRPr="009C5EFD" w:rsidRDefault="009E676E" w:rsidP="009E676E">
      <w:pPr>
        <w:rPr>
          <w:sz w:val="22"/>
          <w:szCs w:val="22"/>
        </w:rPr>
      </w:pPr>
    </w:p>
    <w:p w14:paraId="572C53BA" w14:textId="77777777" w:rsidR="009E676E" w:rsidRPr="009C5EFD" w:rsidRDefault="00E453CD" w:rsidP="009E676E">
      <w:pPr>
        <w:rPr>
          <w:sz w:val="22"/>
          <w:szCs w:val="22"/>
        </w:rPr>
      </w:pPr>
      <w:r w:rsidRPr="009C5EFD">
        <w:rPr>
          <w:sz w:val="22"/>
          <w:szCs w:val="22"/>
        </w:rPr>
        <w:t xml:space="preserve">I en klinisk studie som undersøkte bruken av en annen TNF-antagonist, </w:t>
      </w:r>
      <w:r w:rsidR="007527E2">
        <w:rPr>
          <w:sz w:val="22"/>
          <w:szCs w:val="22"/>
        </w:rPr>
        <w:t>infliksimab</w:t>
      </w:r>
      <w:r w:rsidRPr="009C5EFD">
        <w:rPr>
          <w:sz w:val="22"/>
          <w:szCs w:val="22"/>
        </w:rPr>
        <w:t xml:space="preserve">, hos pasienter med moderat til alvorlig kronisk obstruktiv lungesykdom (KOLS), ble flere maligniteter, mest i lungene eller hode og nakke, rapportert hos pasienter som fikk infliksimab sammenlignet med kontrollgruppen. Alle pasientene var tidligere storrøykere. Derfor skal forsiktighet utvises når en TNF-antagonist brukes hos KOLS-pasienter, </w:t>
      </w:r>
      <w:r w:rsidR="00947491">
        <w:rPr>
          <w:sz w:val="22"/>
          <w:szCs w:val="22"/>
        </w:rPr>
        <w:t>o</w:t>
      </w:r>
      <w:r w:rsidR="00C40CB6">
        <w:rPr>
          <w:sz w:val="22"/>
          <w:szCs w:val="22"/>
        </w:rPr>
        <w:t>g</w:t>
      </w:r>
      <w:r w:rsidRPr="009C5EFD">
        <w:rPr>
          <w:sz w:val="22"/>
          <w:szCs w:val="22"/>
        </w:rPr>
        <w:t xml:space="preserve"> hos pasienter som pga. storrøyking har økt risiko for malignitet.   </w:t>
      </w:r>
    </w:p>
    <w:p w14:paraId="5A94F144" w14:textId="77777777" w:rsidR="009E676E" w:rsidRPr="009C5EFD" w:rsidRDefault="009E676E" w:rsidP="009E676E">
      <w:pPr>
        <w:rPr>
          <w:sz w:val="22"/>
          <w:szCs w:val="22"/>
        </w:rPr>
      </w:pPr>
    </w:p>
    <w:p w14:paraId="1EF8B0B8" w14:textId="77777777" w:rsidR="009E676E" w:rsidRPr="009C5EFD" w:rsidRDefault="00E453CD" w:rsidP="009E676E">
      <w:pPr>
        <w:rPr>
          <w:sz w:val="22"/>
          <w:szCs w:val="22"/>
        </w:rPr>
      </w:pPr>
      <w:r>
        <w:rPr>
          <w:rStyle w:val="hps"/>
          <w:sz w:val="22"/>
          <w:szCs w:val="22"/>
        </w:rPr>
        <w:t>Basert på</w:t>
      </w:r>
      <w:r w:rsidRPr="009C5EFD">
        <w:rPr>
          <w:sz w:val="22"/>
          <w:szCs w:val="22"/>
        </w:rPr>
        <w:t xml:space="preserve"> </w:t>
      </w:r>
      <w:r w:rsidRPr="009C5EFD">
        <w:rPr>
          <w:rStyle w:val="hps"/>
          <w:sz w:val="22"/>
          <w:szCs w:val="22"/>
        </w:rPr>
        <w:t>nåværende</w:t>
      </w:r>
      <w:r w:rsidRPr="009C5EFD">
        <w:rPr>
          <w:sz w:val="22"/>
          <w:szCs w:val="22"/>
        </w:rPr>
        <w:t xml:space="preserve"> </w:t>
      </w:r>
      <w:r w:rsidRPr="009C5EFD">
        <w:rPr>
          <w:rStyle w:val="hps"/>
          <w:sz w:val="22"/>
          <w:szCs w:val="22"/>
        </w:rPr>
        <w:t>data</w:t>
      </w:r>
      <w:r w:rsidRPr="009C5EFD">
        <w:rPr>
          <w:sz w:val="22"/>
          <w:szCs w:val="22"/>
        </w:rPr>
        <w:t xml:space="preserve"> </w:t>
      </w:r>
      <w:r w:rsidRPr="009C5EFD">
        <w:rPr>
          <w:rStyle w:val="hps"/>
          <w:sz w:val="22"/>
          <w:szCs w:val="22"/>
        </w:rPr>
        <w:t>er det ikke</w:t>
      </w:r>
      <w:r w:rsidRPr="009C5EFD">
        <w:rPr>
          <w:sz w:val="22"/>
          <w:szCs w:val="22"/>
        </w:rPr>
        <w:t xml:space="preserve"> </w:t>
      </w:r>
      <w:r w:rsidRPr="009C5EFD">
        <w:rPr>
          <w:rStyle w:val="hps"/>
          <w:sz w:val="22"/>
          <w:szCs w:val="22"/>
        </w:rPr>
        <w:t>kjent om</w:t>
      </w:r>
      <w:r w:rsidRPr="009C5EFD">
        <w:rPr>
          <w:sz w:val="22"/>
          <w:szCs w:val="22"/>
        </w:rPr>
        <w:t xml:space="preserve"> </w:t>
      </w:r>
      <w:r w:rsidRPr="009C5EFD">
        <w:rPr>
          <w:rStyle w:val="hps"/>
          <w:sz w:val="22"/>
          <w:szCs w:val="22"/>
        </w:rPr>
        <w:t>adalimumabbehandling</w:t>
      </w:r>
      <w:r w:rsidRPr="009C5EFD">
        <w:rPr>
          <w:sz w:val="22"/>
          <w:szCs w:val="22"/>
        </w:rPr>
        <w:t xml:space="preserve"> </w:t>
      </w:r>
      <w:r w:rsidRPr="009C5EFD">
        <w:rPr>
          <w:rStyle w:val="hps"/>
          <w:sz w:val="22"/>
          <w:szCs w:val="22"/>
        </w:rPr>
        <w:t>påvirker</w:t>
      </w:r>
      <w:r w:rsidRPr="009C5EFD">
        <w:rPr>
          <w:sz w:val="22"/>
          <w:szCs w:val="22"/>
        </w:rPr>
        <w:t xml:space="preserve"> </w:t>
      </w:r>
      <w:r w:rsidRPr="009C5EFD">
        <w:rPr>
          <w:rStyle w:val="hps"/>
          <w:sz w:val="22"/>
          <w:szCs w:val="22"/>
        </w:rPr>
        <w:t>risikoen</w:t>
      </w:r>
      <w:r w:rsidRPr="009C5EFD">
        <w:rPr>
          <w:sz w:val="22"/>
          <w:szCs w:val="22"/>
        </w:rPr>
        <w:t xml:space="preserve"> </w:t>
      </w:r>
      <w:r w:rsidRPr="009C5EFD">
        <w:rPr>
          <w:rStyle w:val="hps"/>
          <w:sz w:val="22"/>
          <w:szCs w:val="22"/>
        </w:rPr>
        <w:t>for å utvikle</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 tykktarmskreft</w:t>
      </w:r>
      <w:r w:rsidRPr="009C5EFD">
        <w:rPr>
          <w:sz w:val="22"/>
          <w:szCs w:val="22"/>
        </w:rPr>
        <w:t xml:space="preserve">. </w:t>
      </w:r>
      <w:r w:rsidRPr="009C5EFD">
        <w:rPr>
          <w:rStyle w:val="hps"/>
          <w:sz w:val="22"/>
          <w:szCs w:val="22"/>
        </w:rPr>
        <w:t>Alle pasienter med</w:t>
      </w:r>
      <w:r w:rsidRPr="009C5EFD">
        <w:rPr>
          <w:sz w:val="22"/>
          <w:szCs w:val="22"/>
        </w:rPr>
        <w:t xml:space="preserve"> </w:t>
      </w:r>
      <w:r w:rsidRPr="009C5EFD">
        <w:rPr>
          <w:rStyle w:val="hps"/>
          <w:sz w:val="22"/>
          <w:szCs w:val="22"/>
        </w:rPr>
        <w:t>ulcerøs</w:t>
      </w:r>
      <w:r w:rsidRPr="009C5EFD">
        <w:rPr>
          <w:sz w:val="22"/>
          <w:szCs w:val="22"/>
        </w:rPr>
        <w:t xml:space="preserve"> </w:t>
      </w:r>
      <w:r w:rsidRPr="009C5EFD">
        <w:rPr>
          <w:rStyle w:val="hps"/>
          <w:sz w:val="22"/>
          <w:szCs w:val="22"/>
        </w:rPr>
        <w:t>kolitt</w:t>
      </w:r>
      <w:r w:rsidRPr="009C5EFD">
        <w:rPr>
          <w:sz w:val="22"/>
          <w:szCs w:val="22"/>
        </w:rPr>
        <w:t xml:space="preserve"> </w:t>
      </w:r>
      <w:r w:rsidRPr="009C5EFD">
        <w:rPr>
          <w:rStyle w:val="hps"/>
          <w:sz w:val="22"/>
          <w:szCs w:val="22"/>
        </w:rPr>
        <w:t>som</w:t>
      </w:r>
      <w:r w:rsidRPr="009C5EFD">
        <w:rPr>
          <w:sz w:val="22"/>
          <w:szCs w:val="22"/>
        </w:rPr>
        <w:t xml:space="preserve"> </w:t>
      </w:r>
      <w:r w:rsidRPr="009C5EFD">
        <w:rPr>
          <w:rStyle w:val="hps"/>
          <w:sz w:val="22"/>
          <w:szCs w:val="22"/>
        </w:rPr>
        <w:t>har økt risiko</w:t>
      </w:r>
      <w:r w:rsidRPr="009C5EFD">
        <w:rPr>
          <w:sz w:val="22"/>
          <w:szCs w:val="22"/>
        </w:rPr>
        <w:t xml:space="preserve"> </w:t>
      </w:r>
      <w:r w:rsidRPr="009C5EFD">
        <w:rPr>
          <w:rStyle w:val="hps"/>
          <w:sz w:val="22"/>
          <w:szCs w:val="22"/>
        </w:rPr>
        <w:t>for</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w:t>
      </w:r>
      <w:r w:rsidRPr="009C5EFD">
        <w:rPr>
          <w:sz w:val="22"/>
          <w:szCs w:val="22"/>
        </w:rPr>
        <w:t xml:space="preserve"> </w:t>
      </w:r>
      <w:r w:rsidRPr="009C5EFD">
        <w:rPr>
          <w:rStyle w:val="hps"/>
          <w:sz w:val="22"/>
          <w:szCs w:val="22"/>
        </w:rPr>
        <w:t>kolonkarsinom</w:t>
      </w:r>
      <w:r w:rsidRPr="009C5EFD">
        <w:rPr>
          <w:sz w:val="22"/>
          <w:szCs w:val="22"/>
        </w:rPr>
        <w:t xml:space="preserve"> </w:t>
      </w:r>
      <w:r w:rsidRPr="009C5EFD">
        <w:rPr>
          <w:rStyle w:val="hpsatn"/>
          <w:sz w:val="22"/>
          <w:szCs w:val="22"/>
        </w:rPr>
        <w:t>(</w:t>
      </w:r>
      <w:r w:rsidRPr="009C5EFD">
        <w:rPr>
          <w:sz w:val="22"/>
          <w:szCs w:val="22"/>
        </w:rPr>
        <w:t xml:space="preserve">for </w:t>
      </w:r>
      <w:r w:rsidRPr="009C5EFD">
        <w:rPr>
          <w:rStyle w:val="hps"/>
          <w:sz w:val="22"/>
          <w:szCs w:val="22"/>
        </w:rPr>
        <w:t>eksempel</w:t>
      </w:r>
      <w:r w:rsidRPr="009C5EFD">
        <w:rPr>
          <w:sz w:val="22"/>
          <w:szCs w:val="22"/>
        </w:rPr>
        <w:t xml:space="preserve"> </w:t>
      </w:r>
      <w:r w:rsidRPr="009C5EFD">
        <w:rPr>
          <w:rStyle w:val="hps"/>
          <w:sz w:val="22"/>
          <w:szCs w:val="22"/>
        </w:rPr>
        <w:t>pasienter med</w:t>
      </w:r>
      <w:r w:rsidRPr="009C5EFD">
        <w:rPr>
          <w:sz w:val="22"/>
          <w:szCs w:val="22"/>
        </w:rPr>
        <w:t xml:space="preserve"> </w:t>
      </w:r>
      <w:r w:rsidRPr="009C5EFD">
        <w:rPr>
          <w:rStyle w:val="hps"/>
          <w:sz w:val="22"/>
          <w:szCs w:val="22"/>
        </w:rPr>
        <w:t>langvarig</w:t>
      </w:r>
      <w:r w:rsidRPr="009C5EFD">
        <w:rPr>
          <w:sz w:val="22"/>
          <w:szCs w:val="22"/>
        </w:rPr>
        <w:t xml:space="preserve"> </w:t>
      </w:r>
      <w:r w:rsidRPr="009C5EFD">
        <w:rPr>
          <w:rStyle w:val="hps"/>
          <w:sz w:val="22"/>
          <w:szCs w:val="22"/>
        </w:rPr>
        <w:t>ulcerøs</w:t>
      </w:r>
      <w:r w:rsidRPr="009C5EFD">
        <w:rPr>
          <w:sz w:val="22"/>
          <w:szCs w:val="22"/>
        </w:rPr>
        <w:t xml:space="preserve"> </w:t>
      </w:r>
      <w:r w:rsidRPr="009C5EFD">
        <w:rPr>
          <w:rStyle w:val="hps"/>
          <w:sz w:val="22"/>
          <w:szCs w:val="22"/>
        </w:rPr>
        <w:t>kolitt eller</w:t>
      </w:r>
      <w:r w:rsidRPr="009C5EFD">
        <w:rPr>
          <w:sz w:val="22"/>
          <w:szCs w:val="22"/>
        </w:rPr>
        <w:t xml:space="preserve"> </w:t>
      </w:r>
      <w:r w:rsidRPr="009C5EFD">
        <w:rPr>
          <w:rStyle w:val="hps"/>
          <w:sz w:val="22"/>
          <w:szCs w:val="22"/>
        </w:rPr>
        <w:t>primær</w:t>
      </w:r>
      <w:r w:rsidRPr="009C5EFD">
        <w:rPr>
          <w:sz w:val="22"/>
          <w:szCs w:val="22"/>
        </w:rPr>
        <w:t xml:space="preserve"> </w:t>
      </w:r>
      <w:r w:rsidRPr="009C5EFD">
        <w:rPr>
          <w:rStyle w:val="hps"/>
          <w:sz w:val="22"/>
          <w:szCs w:val="22"/>
        </w:rPr>
        <w:t>skleroserende</w:t>
      </w:r>
      <w:r w:rsidRPr="009C5EFD">
        <w:rPr>
          <w:sz w:val="22"/>
          <w:szCs w:val="22"/>
        </w:rPr>
        <w:t xml:space="preserve"> </w:t>
      </w:r>
      <w:r w:rsidRPr="009C5EFD">
        <w:rPr>
          <w:rStyle w:val="hps"/>
          <w:sz w:val="22"/>
          <w:szCs w:val="22"/>
        </w:rPr>
        <w:t>kolangitt</w:t>
      </w:r>
      <w:r w:rsidRPr="009C5EFD">
        <w:rPr>
          <w:sz w:val="22"/>
          <w:szCs w:val="22"/>
        </w:rPr>
        <w:t xml:space="preserve">), </w:t>
      </w:r>
      <w:r w:rsidRPr="009C5EFD">
        <w:rPr>
          <w:rStyle w:val="hps"/>
          <w:sz w:val="22"/>
          <w:szCs w:val="22"/>
        </w:rPr>
        <w:t>eller som har</w:t>
      </w:r>
      <w:r w:rsidRPr="009C5EFD">
        <w:rPr>
          <w:sz w:val="22"/>
          <w:szCs w:val="22"/>
        </w:rPr>
        <w:t xml:space="preserve"> </w:t>
      </w:r>
      <w:r w:rsidRPr="009C5EFD">
        <w:rPr>
          <w:rStyle w:val="hps"/>
          <w:sz w:val="22"/>
          <w:szCs w:val="22"/>
        </w:rPr>
        <w:t>en forhistorie med</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eller</w:t>
      </w:r>
      <w:r w:rsidRPr="009C5EFD">
        <w:rPr>
          <w:sz w:val="22"/>
          <w:szCs w:val="22"/>
        </w:rPr>
        <w:t xml:space="preserve"> </w:t>
      </w:r>
      <w:r w:rsidRPr="009C5EFD">
        <w:rPr>
          <w:rStyle w:val="hps"/>
          <w:sz w:val="22"/>
          <w:szCs w:val="22"/>
        </w:rPr>
        <w:t>kolonkarsinom,</w:t>
      </w:r>
      <w:r w:rsidRPr="009C5EFD">
        <w:rPr>
          <w:sz w:val="22"/>
          <w:szCs w:val="22"/>
        </w:rPr>
        <w:t xml:space="preserve"> </w:t>
      </w:r>
      <w:r w:rsidRPr="009C5EFD">
        <w:rPr>
          <w:rStyle w:val="hps"/>
          <w:sz w:val="22"/>
          <w:szCs w:val="22"/>
        </w:rPr>
        <w:t>bør regelmessig screenes</w:t>
      </w:r>
      <w:r w:rsidRPr="009C5EFD">
        <w:rPr>
          <w:sz w:val="22"/>
          <w:szCs w:val="22"/>
        </w:rPr>
        <w:t xml:space="preserve"> </w:t>
      </w:r>
      <w:r w:rsidRPr="009C5EFD">
        <w:rPr>
          <w:rStyle w:val="hps"/>
          <w:sz w:val="22"/>
          <w:szCs w:val="22"/>
        </w:rPr>
        <w:t>for</w:t>
      </w:r>
      <w:r w:rsidRPr="009C5EFD">
        <w:rPr>
          <w:sz w:val="22"/>
          <w:szCs w:val="22"/>
        </w:rPr>
        <w:t xml:space="preserve"> </w:t>
      </w:r>
      <w:r w:rsidRPr="009C5EFD">
        <w:rPr>
          <w:rStyle w:val="hps"/>
          <w:sz w:val="22"/>
          <w:szCs w:val="22"/>
        </w:rPr>
        <w:t>dysplasi</w:t>
      </w:r>
      <w:r w:rsidRPr="009C5EFD">
        <w:rPr>
          <w:sz w:val="22"/>
          <w:szCs w:val="22"/>
        </w:rPr>
        <w:t xml:space="preserve"> </w:t>
      </w:r>
      <w:r w:rsidRPr="009C5EFD">
        <w:rPr>
          <w:rStyle w:val="hps"/>
          <w:sz w:val="22"/>
          <w:szCs w:val="22"/>
        </w:rPr>
        <w:t>før</w:t>
      </w:r>
      <w:r w:rsidRPr="009C5EFD">
        <w:rPr>
          <w:sz w:val="22"/>
          <w:szCs w:val="22"/>
        </w:rPr>
        <w:t xml:space="preserve"> </w:t>
      </w:r>
      <w:r w:rsidRPr="009C5EFD">
        <w:rPr>
          <w:rStyle w:val="hps"/>
          <w:sz w:val="22"/>
          <w:szCs w:val="22"/>
        </w:rPr>
        <w:t>terapi initieres og</w:t>
      </w:r>
      <w:r w:rsidRPr="009C5EFD">
        <w:rPr>
          <w:sz w:val="22"/>
          <w:szCs w:val="22"/>
        </w:rPr>
        <w:t xml:space="preserve"> </w:t>
      </w:r>
      <w:r w:rsidRPr="009C5EFD">
        <w:rPr>
          <w:rStyle w:val="hps"/>
          <w:sz w:val="22"/>
          <w:szCs w:val="22"/>
        </w:rPr>
        <w:t>gjennom hele</w:t>
      </w:r>
      <w:r w:rsidRPr="009C5EFD">
        <w:rPr>
          <w:sz w:val="22"/>
          <w:szCs w:val="22"/>
        </w:rPr>
        <w:t xml:space="preserve"> </w:t>
      </w:r>
      <w:r w:rsidRPr="009C5EFD">
        <w:rPr>
          <w:rStyle w:val="hps"/>
          <w:sz w:val="22"/>
          <w:szCs w:val="22"/>
        </w:rPr>
        <w:t>sykdomsforløpet.</w:t>
      </w:r>
      <w:r w:rsidRPr="009C5EFD">
        <w:rPr>
          <w:sz w:val="22"/>
          <w:szCs w:val="22"/>
        </w:rPr>
        <w:t xml:space="preserve"> </w:t>
      </w:r>
      <w:r w:rsidRPr="009C5EFD">
        <w:rPr>
          <w:rStyle w:val="hps"/>
          <w:sz w:val="22"/>
          <w:szCs w:val="22"/>
        </w:rPr>
        <w:t xml:space="preserve">Denne </w:t>
      </w:r>
      <w:r w:rsidR="00BF02E7">
        <w:rPr>
          <w:rStyle w:val="hps"/>
          <w:sz w:val="22"/>
          <w:szCs w:val="22"/>
        </w:rPr>
        <w:t>vurdering</w:t>
      </w:r>
      <w:r w:rsidRPr="009C5EFD">
        <w:rPr>
          <w:rStyle w:val="hps"/>
          <w:sz w:val="22"/>
          <w:szCs w:val="22"/>
        </w:rPr>
        <w:t>en</w:t>
      </w:r>
      <w:r w:rsidRPr="009C5EFD">
        <w:rPr>
          <w:sz w:val="22"/>
          <w:szCs w:val="22"/>
        </w:rPr>
        <w:t xml:space="preserve"> </w:t>
      </w:r>
      <w:r w:rsidRPr="009C5EFD">
        <w:rPr>
          <w:rStyle w:val="hps"/>
          <w:sz w:val="22"/>
          <w:szCs w:val="22"/>
        </w:rPr>
        <w:t>skal</w:t>
      </w:r>
      <w:r w:rsidRPr="009C5EFD">
        <w:rPr>
          <w:sz w:val="22"/>
          <w:szCs w:val="22"/>
        </w:rPr>
        <w:t xml:space="preserve"> </w:t>
      </w:r>
      <w:r w:rsidRPr="009C5EFD">
        <w:rPr>
          <w:rStyle w:val="hps"/>
          <w:sz w:val="22"/>
          <w:szCs w:val="22"/>
        </w:rPr>
        <w:t>omfatte</w:t>
      </w:r>
      <w:r w:rsidRPr="009C5EFD">
        <w:rPr>
          <w:sz w:val="22"/>
          <w:szCs w:val="22"/>
        </w:rPr>
        <w:t xml:space="preserve"> </w:t>
      </w:r>
      <w:r w:rsidRPr="009C5EFD">
        <w:rPr>
          <w:rStyle w:val="hps"/>
          <w:sz w:val="22"/>
          <w:szCs w:val="22"/>
        </w:rPr>
        <w:t>koloskopi</w:t>
      </w:r>
      <w:r w:rsidRPr="009C5EFD">
        <w:rPr>
          <w:sz w:val="22"/>
          <w:szCs w:val="22"/>
        </w:rPr>
        <w:t xml:space="preserve"> </w:t>
      </w:r>
      <w:r w:rsidRPr="009C5EFD">
        <w:rPr>
          <w:rStyle w:val="hps"/>
          <w:sz w:val="22"/>
          <w:szCs w:val="22"/>
        </w:rPr>
        <w:t>og</w:t>
      </w:r>
      <w:r w:rsidRPr="009C5EFD">
        <w:rPr>
          <w:sz w:val="22"/>
          <w:szCs w:val="22"/>
        </w:rPr>
        <w:t xml:space="preserve"> </w:t>
      </w:r>
      <w:r w:rsidRPr="009C5EFD">
        <w:rPr>
          <w:rStyle w:val="hps"/>
          <w:sz w:val="22"/>
          <w:szCs w:val="22"/>
        </w:rPr>
        <w:t>biopsi</w:t>
      </w:r>
      <w:r w:rsidRPr="009C5EFD">
        <w:rPr>
          <w:sz w:val="22"/>
          <w:szCs w:val="22"/>
        </w:rPr>
        <w:t xml:space="preserve"> </w:t>
      </w:r>
      <w:r w:rsidRPr="009C5EFD">
        <w:rPr>
          <w:rStyle w:val="hps"/>
          <w:sz w:val="22"/>
          <w:szCs w:val="22"/>
        </w:rPr>
        <w:t>etter</w:t>
      </w:r>
      <w:r w:rsidRPr="009C5EFD">
        <w:rPr>
          <w:sz w:val="22"/>
          <w:szCs w:val="22"/>
        </w:rPr>
        <w:t xml:space="preserve"> </w:t>
      </w:r>
      <w:r w:rsidRPr="009C5EFD">
        <w:rPr>
          <w:rStyle w:val="hps"/>
          <w:sz w:val="22"/>
          <w:szCs w:val="22"/>
        </w:rPr>
        <w:t>lokale anbefalinger.</w:t>
      </w:r>
    </w:p>
    <w:p w14:paraId="45A055B7" w14:textId="77777777" w:rsidR="009E676E" w:rsidRPr="009C5EFD" w:rsidRDefault="009E676E" w:rsidP="009E676E">
      <w:pPr>
        <w:rPr>
          <w:sz w:val="22"/>
          <w:szCs w:val="22"/>
        </w:rPr>
      </w:pPr>
    </w:p>
    <w:p w14:paraId="33052346" w14:textId="77777777" w:rsidR="009E676E" w:rsidRPr="009C5EFD" w:rsidRDefault="00E453CD" w:rsidP="00776A84">
      <w:pPr>
        <w:keepNext/>
        <w:rPr>
          <w:sz w:val="22"/>
          <w:szCs w:val="22"/>
          <w:u w:val="single"/>
        </w:rPr>
      </w:pPr>
      <w:r w:rsidRPr="009C5EFD">
        <w:rPr>
          <w:sz w:val="22"/>
          <w:szCs w:val="22"/>
          <w:u w:val="single"/>
        </w:rPr>
        <w:t>Hematologiske reaksjoner</w:t>
      </w:r>
    </w:p>
    <w:p w14:paraId="67270D71" w14:textId="77777777" w:rsidR="009E676E" w:rsidRPr="009C5EFD" w:rsidRDefault="009E676E" w:rsidP="00776A84">
      <w:pPr>
        <w:keepNext/>
        <w:rPr>
          <w:sz w:val="22"/>
          <w:szCs w:val="22"/>
        </w:rPr>
      </w:pPr>
    </w:p>
    <w:p w14:paraId="603BA029" w14:textId="77777777" w:rsidR="009E676E" w:rsidRPr="009C5EFD" w:rsidRDefault="00E453CD" w:rsidP="009E676E">
      <w:pPr>
        <w:rPr>
          <w:sz w:val="22"/>
          <w:szCs w:val="22"/>
        </w:rPr>
      </w:pPr>
      <w:r w:rsidRPr="009C5EFD">
        <w:rPr>
          <w:sz w:val="22"/>
          <w:szCs w:val="22"/>
        </w:rPr>
        <w:t xml:space="preserve">Sjeldne tilfeller av pancytopeni inkludert aplastisk anemi er rapportert med TNF-antagonister. Bivirkninger i form av hematologiske reaksjoner, inkludert klinisk signifikant cytopeni (f. eks. trombocytopeni, leukopeni) er rapportert ved bruk av Humira. Alle pasienter bør rådes til øyeblikkelig å søke medisinsk hjelp hvis de utvikler tegn og symptomer på bloddyskrasier (f. eks. vedvarende feber, bloduttredelser, blødninger, blekhet) under behandling med Humira. Seponering av behandling med Humira bør vurderes hos pasienter med bekreftet signifikante hematologiske abnormaliteter. </w:t>
      </w:r>
    </w:p>
    <w:p w14:paraId="6A7C2540" w14:textId="77777777" w:rsidR="009E676E" w:rsidRPr="009C5EFD" w:rsidRDefault="009E676E" w:rsidP="009E676E">
      <w:pPr>
        <w:pStyle w:val="Heading8"/>
        <w:keepNext w:val="0"/>
        <w:rPr>
          <w:szCs w:val="22"/>
        </w:rPr>
      </w:pPr>
    </w:p>
    <w:p w14:paraId="37ADF8B8" w14:textId="77777777" w:rsidR="009E676E" w:rsidRPr="009C5EFD" w:rsidRDefault="00E453CD" w:rsidP="00776A84">
      <w:pPr>
        <w:pStyle w:val="Heading8"/>
        <w:rPr>
          <w:szCs w:val="22"/>
        </w:rPr>
      </w:pPr>
      <w:r w:rsidRPr="009C5EFD">
        <w:rPr>
          <w:szCs w:val="22"/>
        </w:rPr>
        <w:t>Vaksinasjoner</w:t>
      </w:r>
    </w:p>
    <w:p w14:paraId="282B76F9" w14:textId="77777777" w:rsidR="009E676E" w:rsidRPr="009C5EFD" w:rsidRDefault="009E676E" w:rsidP="00776A84">
      <w:pPr>
        <w:keepNext/>
        <w:rPr>
          <w:sz w:val="22"/>
          <w:szCs w:val="22"/>
        </w:rPr>
      </w:pPr>
    </w:p>
    <w:p w14:paraId="267FF6EA" w14:textId="77777777" w:rsidR="009E676E" w:rsidRPr="009C5EFD" w:rsidRDefault="00E453CD" w:rsidP="009E676E">
      <w:pPr>
        <w:pStyle w:val="Heading8"/>
        <w:keepNext w:val="0"/>
        <w:rPr>
          <w:szCs w:val="22"/>
          <w:u w:val="none"/>
        </w:rPr>
      </w:pPr>
      <w:r w:rsidRPr="009C5EFD">
        <w:rPr>
          <w:szCs w:val="22"/>
          <w:u w:val="none"/>
        </w:rPr>
        <w:t xml:space="preserve">Like antistoffresponser på standard 23-valent pneumokokkvaksinasjon og influensatrivalent-virusvaksinasjon ble observert i en studie med 226 voksne pasienter med revmatoid artritt som ble behandlet med adalimumab eller placebo. Ingen data om sekundær overføring av infeksjon med levende vaksiner hos pasienter som får Humira er tilgjengelig. </w:t>
      </w:r>
    </w:p>
    <w:p w14:paraId="16303B4A" w14:textId="77777777" w:rsidR="009E676E" w:rsidRPr="009C5EFD" w:rsidRDefault="009E676E" w:rsidP="009E676E">
      <w:pPr>
        <w:rPr>
          <w:sz w:val="22"/>
          <w:szCs w:val="22"/>
        </w:rPr>
      </w:pPr>
    </w:p>
    <w:p w14:paraId="535F35E9" w14:textId="77777777" w:rsidR="009E676E" w:rsidRPr="009C5EFD" w:rsidRDefault="00E453CD" w:rsidP="009E676E">
      <w:pPr>
        <w:pStyle w:val="Heading8"/>
        <w:keepNext w:val="0"/>
        <w:rPr>
          <w:szCs w:val="22"/>
          <w:u w:val="none"/>
        </w:rPr>
      </w:pPr>
      <w:r w:rsidRPr="009C5EFD">
        <w:rPr>
          <w:szCs w:val="22"/>
          <w:u w:val="none"/>
        </w:rPr>
        <w:t>Det anbefales, hvis mulig, at pediatriske pasienter vaksineres i tråd med gjeldende vaksinasjonsveiledninger før behandling med Humira startes.</w:t>
      </w:r>
    </w:p>
    <w:p w14:paraId="06A4160C" w14:textId="77777777" w:rsidR="009E676E" w:rsidRPr="009C5EFD" w:rsidRDefault="009E676E" w:rsidP="009E676E">
      <w:pPr>
        <w:rPr>
          <w:sz w:val="22"/>
          <w:szCs w:val="22"/>
        </w:rPr>
      </w:pPr>
    </w:p>
    <w:p w14:paraId="5FEE7B23" w14:textId="77777777" w:rsidR="009E676E" w:rsidRPr="009C5EFD" w:rsidRDefault="00E453CD" w:rsidP="009E676E">
      <w:pPr>
        <w:pStyle w:val="Heading8"/>
        <w:keepNext w:val="0"/>
        <w:rPr>
          <w:szCs w:val="22"/>
          <w:u w:val="none"/>
        </w:rPr>
      </w:pPr>
      <w:r w:rsidRPr="009C5EFD">
        <w:rPr>
          <w:szCs w:val="22"/>
          <w:u w:val="none"/>
        </w:rPr>
        <w:t xml:space="preserve">Pasienter som behandles med Humira kan få kombinerte vaksinasjoner, med unntak av levende vaksiner. </w:t>
      </w:r>
      <w:r w:rsidRPr="009C5EFD">
        <w:rPr>
          <w:u w:val="none"/>
        </w:rPr>
        <w:t xml:space="preserve">Administrasjon av levende vaksiner </w:t>
      </w:r>
      <w:r w:rsidR="00552339">
        <w:rPr>
          <w:szCs w:val="22"/>
          <w:u w:val="none"/>
        </w:rPr>
        <w:t xml:space="preserve">(f.eks. BCG vaksine) </w:t>
      </w:r>
      <w:r w:rsidRPr="009C5EFD">
        <w:rPr>
          <w:u w:val="none"/>
        </w:rPr>
        <w:t>på spedbarn eksponert for adalimumab intrauterint anbefales ikke før 5 måneder etter morens siste injeksjon med adalimumab under graviditeten.</w:t>
      </w:r>
    </w:p>
    <w:p w14:paraId="5AF6D112" w14:textId="77777777" w:rsidR="009E676E" w:rsidRPr="009C5EFD" w:rsidRDefault="009E676E" w:rsidP="009E676E">
      <w:pPr>
        <w:pStyle w:val="Heading8"/>
        <w:keepNext w:val="0"/>
        <w:rPr>
          <w:szCs w:val="22"/>
        </w:rPr>
      </w:pPr>
    </w:p>
    <w:p w14:paraId="49BF73D5" w14:textId="77777777" w:rsidR="009E676E" w:rsidRPr="009C5EFD" w:rsidRDefault="00E453CD" w:rsidP="009E676E">
      <w:pPr>
        <w:pStyle w:val="Heading8"/>
        <w:rPr>
          <w:szCs w:val="22"/>
        </w:rPr>
      </w:pPr>
      <w:r w:rsidRPr="009C5EFD">
        <w:rPr>
          <w:szCs w:val="22"/>
        </w:rPr>
        <w:t>Kongestiv hjertesvikt</w:t>
      </w:r>
    </w:p>
    <w:p w14:paraId="50CB997B" w14:textId="77777777" w:rsidR="009E676E" w:rsidRPr="009C5EFD" w:rsidRDefault="009E676E" w:rsidP="009E676E">
      <w:pPr>
        <w:keepNext/>
        <w:rPr>
          <w:sz w:val="22"/>
          <w:szCs w:val="22"/>
        </w:rPr>
      </w:pPr>
    </w:p>
    <w:p w14:paraId="2DCBDB20" w14:textId="77777777" w:rsidR="009E676E" w:rsidRPr="009C5EFD" w:rsidRDefault="00E453CD" w:rsidP="00776A84">
      <w:pPr>
        <w:rPr>
          <w:sz w:val="22"/>
          <w:szCs w:val="22"/>
        </w:rPr>
      </w:pPr>
      <w:r w:rsidRPr="009C5EFD">
        <w:rPr>
          <w:sz w:val="22"/>
          <w:szCs w:val="22"/>
        </w:rPr>
        <w:t>I en klinisk studie med en annen TNF-antagonist er det observert forverret kongestiv hjertesvikt og økt mortalitet på grunn av kongestiv hjertesvikt. Tilfeller med forverret kongestiv hjertesvikt er også rapportert hos pasienter som fikk Humira. Det bør utvises varsomhet ved bruk av Humira hos pasienter med lett hjertesvikt (NYHA klasse I/II). Humira er kontraindisert ved moderat eller alvorlig hjertesvikt (se pkt. 4.3). Behandling med Humira skal seponeres hos pasienter som utvikler nye eller forverrede symptomer på kongestiv hjertesvikt.</w:t>
      </w:r>
    </w:p>
    <w:p w14:paraId="00A2337F" w14:textId="77777777" w:rsidR="009E676E" w:rsidRPr="009C5EFD" w:rsidRDefault="009E676E" w:rsidP="009E676E">
      <w:pPr>
        <w:pStyle w:val="Heading8"/>
        <w:keepNext w:val="0"/>
        <w:rPr>
          <w:szCs w:val="22"/>
        </w:rPr>
      </w:pPr>
    </w:p>
    <w:p w14:paraId="699E2C95" w14:textId="77777777" w:rsidR="009E676E" w:rsidRPr="009C5EFD" w:rsidRDefault="00E453CD" w:rsidP="00776A84">
      <w:pPr>
        <w:pStyle w:val="Heading8"/>
        <w:rPr>
          <w:szCs w:val="22"/>
        </w:rPr>
      </w:pPr>
      <w:r w:rsidRPr="009C5EFD">
        <w:rPr>
          <w:szCs w:val="22"/>
        </w:rPr>
        <w:t>Autoimmun aktivitet</w:t>
      </w:r>
    </w:p>
    <w:p w14:paraId="742138BA" w14:textId="77777777" w:rsidR="009E676E" w:rsidRPr="009C5EFD" w:rsidRDefault="009E676E" w:rsidP="00776A84">
      <w:pPr>
        <w:keepNext/>
        <w:rPr>
          <w:sz w:val="22"/>
          <w:szCs w:val="22"/>
        </w:rPr>
      </w:pPr>
    </w:p>
    <w:p w14:paraId="398A32C1" w14:textId="77777777" w:rsidR="009E676E" w:rsidRPr="009C5EFD" w:rsidRDefault="00E453CD" w:rsidP="009E676E">
      <w:pPr>
        <w:rPr>
          <w:sz w:val="22"/>
          <w:szCs w:val="22"/>
        </w:rPr>
      </w:pPr>
      <w:r w:rsidRPr="009C5EFD">
        <w:rPr>
          <w:sz w:val="22"/>
          <w:szCs w:val="22"/>
        </w:rPr>
        <w:t>Behandling med Humira kan forårsake dannelse av autoimmune antistoffer. Effekten av langtidsbehandling med Humira med hensyn til utvikling av autoimmune sykdommer er ukjent. Dersom en pasient etter behandling med Humira utvikler symptomer på lupuslignende syndrom og er positiv for antistoffer mot dobbelkjedet DNA, skal videre behandling med Humira stoppes (se pkt. 4.8).</w:t>
      </w:r>
    </w:p>
    <w:p w14:paraId="05C9E145" w14:textId="77777777" w:rsidR="009E676E" w:rsidRPr="009C5EFD" w:rsidRDefault="009E676E" w:rsidP="009E676E">
      <w:pPr>
        <w:rPr>
          <w:sz w:val="22"/>
          <w:szCs w:val="22"/>
          <w:u w:val="single"/>
        </w:rPr>
      </w:pPr>
    </w:p>
    <w:p w14:paraId="2CD3CEA9" w14:textId="77777777" w:rsidR="009E676E" w:rsidRPr="009C5EFD" w:rsidRDefault="00E453CD" w:rsidP="00776A84">
      <w:pPr>
        <w:keepNext/>
        <w:rPr>
          <w:sz w:val="22"/>
          <w:szCs w:val="22"/>
          <w:u w:val="single"/>
        </w:rPr>
      </w:pPr>
      <w:r w:rsidRPr="009C5EFD">
        <w:rPr>
          <w:sz w:val="22"/>
          <w:szCs w:val="22"/>
          <w:u w:val="single"/>
        </w:rPr>
        <w:t xml:space="preserve">Samtidig </w:t>
      </w:r>
      <w:r>
        <w:rPr>
          <w:sz w:val="22"/>
          <w:szCs w:val="22"/>
          <w:u w:val="single"/>
        </w:rPr>
        <w:t>bruk</w:t>
      </w:r>
      <w:r w:rsidRPr="009C5EFD">
        <w:rPr>
          <w:sz w:val="22"/>
          <w:szCs w:val="22"/>
          <w:u w:val="single"/>
        </w:rPr>
        <w:t xml:space="preserve"> av biologisk</w:t>
      </w:r>
      <w:r w:rsidR="00C40CB6">
        <w:rPr>
          <w:sz w:val="22"/>
          <w:szCs w:val="22"/>
          <w:u w:val="single"/>
        </w:rPr>
        <w:t>e</w:t>
      </w:r>
      <w:r w:rsidRPr="009C5EFD">
        <w:rPr>
          <w:sz w:val="22"/>
          <w:szCs w:val="22"/>
          <w:u w:val="single"/>
        </w:rPr>
        <w:t xml:space="preserve"> DMARD</w:t>
      </w:r>
      <w:r w:rsidR="00D67D8E">
        <w:rPr>
          <w:sz w:val="22"/>
          <w:szCs w:val="22"/>
          <w:u w:val="single"/>
        </w:rPr>
        <w:t>s</w:t>
      </w:r>
      <w:r w:rsidRPr="009C5EFD">
        <w:rPr>
          <w:sz w:val="22"/>
          <w:szCs w:val="22"/>
          <w:u w:val="single"/>
        </w:rPr>
        <w:t xml:space="preserve"> eller TNF-antagonister</w:t>
      </w:r>
    </w:p>
    <w:p w14:paraId="54AC04E2" w14:textId="77777777" w:rsidR="009E676E" w:rsidRPr="009C5EFD" w:rsidRDefault="009E676E" w:rsidP="00776A84">
      <w:pPr>
        <w:keepNext/>
        <w:rPr>
          <w:sz w:val="22"/>
          <w:szCs w:val="22"/>
        </w:rPr>
      </w:pPr>
    </w:p>
    <w:p w14:paraId="6644239F" w14:textId="77777777" w:rsidR="009E676E" w:rsidRPr="009C5EFD" w:rsidRDefault="00E453CD" w:rsidP="009E676E">
      <w:pPr>
        <w:rPr>
          <w:sz w:val="22"/>
          <w:szCs w:val="22"/>
        </w:rPr>
      </w:pPr>
      <w:r w:rsidRPr="009C5EFD">
        <w:rPr>
          <w:sz w:val="22"/>
          <w:szCs w:val="22"/>
        </w:rPr>
        <w:t xml:space="preserve">Alvorlige infeksjoner ble observert i kliniske studier med samtidig bruk av anakinra og en annen TNF-antagonist, etanercept, uten å gi </w:t>
      </w:r>
      <w:r w:rsidR="00C40CB6">
        <w:rPr>
          <w:sz w:val="22"/>
          <w:szCs w:val="22"/>
        </w:rPr>
        <w:t>tillegg av klinisk effekt</w:t>
      </w:r>
      <w:r w:rsidRPr="009C5EFD">
        <w:rPr>
          <w:sz w:val="22"/>
          <w:szCs w:val="22"/>
        </w:rPr>
        <w:t xml:space="preserve"> sammenlignet med etanercept alene. På grunn av egenskapene til de bivirkningene som er sett med kombinasjonsbehandling med etanercept og anakinra, kan kombinasjonen med anakinra og andre TNF-antagonister også resultere i </w:t>
      </w:r>
      <w:r w:rsidR="00C40CB6">
        <w:rPr>
          <w:sz w:val="22"/>
          <w:szCs w:val="22"/>
        </w:rPr>
        <w:t>lignende toksisitet</w:t>
      </w:r>
      <w:r w:rsidRPr="009C5EFD">
        <w:rPr>
          <w:sz w:val="22"/>
          <w:szCs w:val="22"/>
        </w:rPr>
        <w:t xml:space="preserve">. Kombinasjonen av adalimumab og anakinra anbefales derfor ikke (se pkt. 4.5). </w:t>
      </w:r>
    </w:p>
    <w:p w14:paraId="5F177C94" w14:textId="77777777" w:rsidR="009E676E" w:rsidRPr="009C5EFD" w:rsidRDefault="009E676E" w:rsidP="009E676E">
      <w:pPr>
        <w:rPr>
          <w:sz w:val="22"/>
          <w:szCs w:val="22"/>
        </w:rPr>
      </w:pPr>
    </w:p>
    <w:p w14:paraId="2313103C" w14:textId="77777777" w:rsidR="009E676E" w:rsidRPr="009C5EFD" w:rsidRDefault="00E453CD" w:rsidP="009E676E">
      <w:pPr>
        <w:rPr>
          <w:sz w:val="22"/>
          <w:szCs w:val="22"/>
        </w:rPr>
      </w:pPr>
      <w:r w:rsidRPr="009C5EFD">
        <w:rPr>
          <w:sz w:val="22"/>
          <w:szCs w:val="22"/>
        </w:rPr>
        <w:t xml:space="preserve">Samtidig </w:t>
      </w:r>
      <w:r>
        <w:rPr>
          <w:sz w:val="22"/>
          <w:szCs w:val="22"/>
        </w:rPr>
        <w:t>bruk</w:t>
      </w:r>
      <w:r w:rsidRPr="009C5EFD">
        <w:rPr>
          <w:sz w:val="22"/>
          <w:szCs w:val="22"/>
        </w:rPr>
        <w:t xml:space="preserve"> av adalimumab med andre biologiske DMARD</w:t>
      </w:r>
      <w:r w:rsidR="00D67D8E">
        <w:rPr>
          <w:sz w:val="22"/>
          <w:szCs w:val="22"/>
        </w:rPr>
        <w:t>s</w:t>
      </w:r>
      <w:r w:rsidRPr="009C5EFD">
        <w:rPr>
          <w:sz w:val="22"/>
          <w:szCs w:val="22"/>
        </w:rPr>
        <w:t xml:space="preserve"> (f.eks. anakinra og abatacept) eller andre TNF-antagonister anbefales ikke basert på mulig økt risiko for infeksjoner, inkludert alvorlige infeksjoner og andre potensielle farmakologiske interaksjoner (se pkt. 4.5).</w:t>
      </w:r>
    </w:p>
    <w:p w14:paraId="2D6298CD" w14:textId="77777777" w:rsidR="009E676E" w:rsidRPr="009C5EFD" w:rsidRDefault="009E676E" w:rsidP="009E676E">
      <w:pPr>
        <w:rPr>
          <w:sz w:val="22"/>
          <w:szCs w:val="22"/>
          <w:u w:val="single"/>
        </w:rPr>
      </w:pPr>
    </w:p>
    <w:p w14:paraId="3A8CC37E" w14:textId="77777777" w:rsidR="009E676E" w:rsidRPr="009C5EFD" w:rsidRDefault="00E453CD" w:rsidP="00776A84">
      <w:pPr>
        <w:keepNext/>
        <w:rPr>
          <w:sz w:val="22"/>
          <w:szCs w:val="22"/>
          <w:u w:val="single"/>
        </w:rPr>
      </w:pPr>
      <w:r w:rsidRPr="009C5EFD">
        <w:rPr>
          <w:sz w:val="22"/>
          <w:szCs w:val="22"/>
          <w:u w:val="single"/>
        </w:rPr>
        <w:lastRenderedPageBreak/>
        <w:t>Kirurgi</w:t>
      </w:r>
    </w:p>
    <w:p w14:paraId="45349C81" w14:textId="77777777" w:rsidR="009E676E" w:rsidRPr="009C5EFD" w:rsidRDefault="009E676E" w:rsidP="00776A84">
      <w:pPr>
        <w:keepNext/>
        <w:rPr>
          <w:sz w:val="22"/>
          <w:szCs w:val="22"/>
        </w:rPr>
      </w:pPr>
    </w:p>
    <w:p w14:paraId="0E64D1A4" w14:textId="77777777" w:rsidR="009E676E" w:rsidRPr="009C5EFD" w:rsidRDefault="00E453CD" w:rsidP="009E676E">
      <w:pPr>
        <w:rPr>
          <w:sz w:val="22"/>
          <w:szCs w:val="22"/>
        </w:rPr>
      </w:pPr>
      <w:r w:rsidRPr="009C5EFD">
        <w:rPr>
          <w:sz w:val="22"/>
          <w:szCs w:val="22"/>
        </w:rPr>
        <w:t xml:space="preserve">Det er begrenset erfaring med hensyn til sikkerhet ved kirurgiske inngrep hos pasienter behandlet med Humira. Den lange halveringstiden for adalimumab bør tas med i vurderingen når det planlegges kirurgiske inngrep. En pasient som må opereres </w:t>
      </w:r>
      <w:r w:rsidRPr="009C5EFD">
        <w:rPr>
          <w:color w:val="000000"/>
          <w:sz w:val="22"/>
          <w:szCs w:val="22"/>
        </w:rPr>
        <w:t xml:space="preserve">under behandling med </w:t>
      </w:r>
      <w:r w:rsidRPr="009C5EFD">
        <w:rPr>
          <w:sz w:val="22"/>
          <w:szCs w:val="22"/>
        </w:rPr>
        <w:t>Humira skal følges nøye opp med tanke på infeksjoner, og nødvendige tiltak må iverksettes. Det er begrenset erfaring med hensyn til sikkerhet hos pasienter som får artroplastikk mens de behandles med Humira.</w:t>
      </w:r>
    </w:p>
    <w:p w14:paraId="4CCB2CB6" w14:textId="77777777" w:rsidR="009E676E" w:rsidRPr="009C5EFD" w:rsidRDefault="009E676E" w:rsidP="009E676E">
      <w:pPr>
        <w:rPr>
          <w:sz w:val="22"/>
          <w:szCs w:val="22"/>
          <w:u w:val="single"/>
        </w:rPr>
      </w:pPr>
    </w:p>
    <w:p w14:paraId="297F1B6F" w14:textId="77777777" w:rsidR="009E676E" w:rsidRPr="009C5EFD" w:rsidRDefault="00E453CD" w:rsidP="00776A84">
      <w:pPr>
        <w:keepNext/>
        <w:rPr>
          <w:sz w:val="22"/>
          <w:szCs w:val="22"/>
        </w:rPr>
      </w:pPr>
      <w:r w:rsidRPr="009C5EFD">
        <w:rPr>
          <w:sz w:val="22"/>
          <w:szCs w:val="22"/>
          <w:u w:val="single"/>
        </w:rPr>
        <w:t>Tynntarmobstruksjon</w:t>
      </w:r>
    </w:p>
    <w:p w14:paraId="0C4C3896" w14:textId="77777777" w:rsidR="009E676E" w:rsidRPr="009C5EFD" w:rsidRDefault="009E676E" w:rsidP="00776A84">
      <w:pPr>
        <w:keepNext/>
        <w:rPr>
          <w:sz w:val="22"/>
          <w:szCs w:val="22"/>
        </w:rPr>
      </w:pPr>
    </w:p>
    <w:p w14:paraId="63237C00" w14:textId="77777777" w:rsidR="009E676E" w:rsidRPr="009C5EFD" w:rsidRDefault="00E453CD" w:rsidP="009E676E">
      <w:pPr>
        <w:pStyle w:val="BodyText2"/>
        <w:autoSpaceDE/>
        <w:autoSpaceDN/>
        <w:adjustRightInd/>
        <w:rPr>
          <w:color w:val="auto"/>
          <w:szCs w:val="22"/>
        </w:rPr>
      </w:pPr>
      <w:r w:rsidRPr="009C5EFD">
        <w:rPr>
          <w:color w:val="auto"/>
          <w:szCs w:val="22"/>
        </w:rPr>
        <w:t>Manglende respons på behandling av Crohns sykdom kan indikere forekomst av fibrotisk striktur som kan kreve kirurgisk behandling. Tilgjengelig data antyder at Humira ikke forverrer eller forårsaker strikturer.</w:t>
      </w:r>
    </w:p>
    <w:p w14:paraId="6358FDF7" w14:textId="77777777" w:rsidR="009E676E" w:rsidRPr="009C5EFD" w:rsidRDefault="009E676E" w:rsidP="009E676E">
      <w:pPr>
        <w:rPr>
          <w:sz w:val="22"/>
          <w:szCs w:val="22"/>
        </w:rPr>
      </w:pPr>
    </w:p>
    <w:p w14:paraId="6813D122" w14:textId="77777777" w:rsidR="009E676E" w:rsidRPr="009C5EFD" w:rsidRDefault="00E453CD" w:rsidP="009E676E">
      <w:pPr>
        <w:keepNext/>
        <w:rPr>
          <w:sz w:val="22"/>
          <w:szCs w:val="22"/>
        </w:rPr>
      </w:pPr>
      <w:r w:rsidRPr="009C5EFD">
        <w:rPr>
          <w:sz w:val="22"/>
          <w:szCs w:val="22"/>
          <w:u w:val="single"/>
        </w:rPr>
        <w:t>Eldre</w:t>
      </w:r>
    </w:p>
    <w:p w14:paraId="5B4AEE7A" w14:textId="77777777" w:rsidR="009E676E" w:rsidRPr="009C5EFD" w:rsidRDefault="009E676E" w:rsidP="009E676E">
      <w:pPr>
        <w:keepNext/>
        <w:rPr>
          <w:sz w:val="22"/>
          <w:szCs w:val="22"/>
        </w:rPr>
      </w:pPr>
    </w:p>
    <w:p w14:paraId="64AB9217" w14:textId="77777777" w:rsidR="009E676E" w:rsidRPr="009C5EFD" w:rsidRDefault="00E453CD" w:rsidP="009E676E">
      <w:pPr>
        <w:pStyle w:val="BodyText2"/>
        <w:autoSpaceDE/>
        <w:autoSpaceDN/>
        <w:adjustRightInd/>
        <w:rPr>
          <w:szCs w:val="22"/>
        </w:rPr>
      </w:pPr>
      <w:r w:rsidRPr="009C5EFD">
        <w:rPr>
          <w:szCs w:val="22"/>
        </w:rPr>
        <w:t>Forekomsten av alvorlige infeksjoner hos pasienter over 65 år (3,</w:t>
      </w:r>
      <w:r>
        <w:rPr>
          <w:szCs w:val="22"/>
        </w:rPr>
        <w:t>7</w:t>
      </w:r>
      <w:r w:rsidRPr="009C5EFD">
        <w:rPr>
          <w:szCs w:val="22"/>
        </w:rPr>
        <w:t xml:space="preserve"> %) som ble behandlet med Humira var høyere enn hos pasienter under 65 år (1,</w:t>
      </w:r>
      <w:r>
        <w:rPr>
          <w:szCs w:val="22"/>
        </w:rPr>
        <w:t>5</w:t>
      </w:r>
      <w:r w:rsidRPr="009C5EFD">
        <w:rPr>
          <w:szCs w:val="22"/>
        </w:rPr>
        <w:t xml:space="preserve"> %). Noen av disse hadde dødelig utgang. Man skal være særlig oppmerksom på risiko for infeksjoner når eldre pasienter behandles.</w:t>
      </w:r>
    </w:p>
    <w:p w14:paraId="2510590B" w14:textId="77777777" w:rsidR="009E676E" w:rsidRPr="009C5EFD" w:rsidRDefault="009E676E" w:rsidP="009E676E">
      <w:pPr>
        <w:pStyle w:val="BodyText2"/>
        <w:autoSpaceDE/>
        <w:autoSpaceDN/>
        <w:adjustRightInd/>
        <w:rPr>
          <w:szCs w:val="22"/>
        </w:rPr>
      </w:pPr>
    </w:p>
    <w:p w14:paraId="7F34C8EB" w14:textId="77777777" w:rsidR="009E676E" w:rsidRPr="009C5EFD" w:rsidRDefault="00E453CD" w:rsidP="009E676E">
      <w:pPr>
        <w:keepNext/>
        <w:rPr>
          <w:sz w:val="22"/>
          <w:szCs w:val="22"/>
          <w:u w:val="single"/>
        </w:rPr>
      </w:pPr>
      <w:r w:rsidRPr="009C5EFD">
        <w:rPr>
          <w:sz w:val="22"/>
          <w:szCs w:val="22"/>
          <w:u w:val="single"/>
        </w:rPr>
        <w:t>Pediatrisk populasjon</w:t>
      </w:r>
    </w:p>
    <w:p w14:paraId="270CDBFB" w14:textId="77777777" w:rsidR="009E676E" w:rsidRPr="009C5EFD" w:rsidRDefault="009E676E" w:rsidP="009E676E">
      <w:pPr>
        <w:keepNext/>
        <w:rPr>
          <w:sz w:val="22"/>
          <w:szCs w:val="22"/>
          <w:u w:val="single"/>
        </w:rPr>
      </w:pPr>
    </w:p>
    <w:p w14:paraId="335FE25C" w14:textId="77777777" w:rsidR="009E676E" w:rsidRDefault="00E453CD" w:rsidP="00776A84">
      <w:pPr>
        <w:pStyle w:val="BodyText2"/>
        <w:autoSpaceDE/>
        <w:autoSpaceDN/>
        <w:adjustRightInd/>
        <w:rPr>
          <w:ins w:id="11611" w:author="AbbVie02no" w:date="2025-05-15T13:50:00Z"/>
          <w:szCs w:val="22"/>
        </w:rPr>
      </w:pPr>
      <w:r w:rsidRPr="009C5EFD">
        <w:rPr>
          <w:szCs w:val="22"/>
        </w:rPr>
        <w:t>Se Vaksinasjoner over.</w:t>
      </w:r>
    </w:p>
    <w:p w14:paraId="1892F3E3" w14:textId="77777777" w:rsidR="004B57B4" w:rsidRDefault="004B57B4" w:rsidP="00776A84">
      <w:pPr>
        <w:pStyle w:val="BodyText2"/>
        <w:autoSpaceDE/>
        <w:autoSpaceDN/>
        <w:adjustRightInd/>
        <w:rPr>
          <w:ins w:id="11612" w:author="AbbVie02no" w:date="2025-05-15T13:50:00Z"/>
          <w:szCs w:val="22"/>
        </w:rPr>
      </w:pPr>
    </w:p>
    <w:p w14:paraId="7E3FCEDE" w14:textId="3EF695AA" w:rsidR="004B57B4" w:rsidRDefault="00E453CD" w:rsidP="00776A84">
      <w:pPr>
        <w:pStyle w:val="BodyText2"/>
        <w:autoSpaceDE/>
        <w:autoSpaceDN/>
        <w:adjustRightInd/>
        <w:rPr>
          <w:ins w:id="11613" w:author="AbbVie02no" w:date="2025-05-15T13:50:00Z"/>
          <w:szCs w:val="22"/>
          <w:u w:val="single"/>
        </w:rPr>
      </w:pPr>
      <w:ins w:id="11614" w:author="AbbVie02no" w:date="2025-05-15T13:50:00Z">
        <w:r>
          <w:rPr>
            <w:szCs w:val="22"/>
            <w:u w:val="single"/>
          </w:rPr>
          <w:t>Hjelpestoffer med kjent effekt</w:t>
        </w:r>
      </w:ins>
    </w:p>
    <w:p w14:paraId="2E8B8F95" w14:textId="77777777" w:rsidR="004B57B4" w:rsidRDefault="004B57B4" w:rsidP="00776A84">
      <w:pPr>
        <w:pStyle w:val="BodyText2"/>
        <w:autoSpaceDE/>
        <w:autoSpaceDN/>
        <w:adjustRightInd/>
        <w:rPr>
          <w:ins w:id="11615" w:author="AbbVie02no" w:date="2025-05-15T13:50:00Z"/>
          <w:szCs w:val="22"/>
          <w:u w:val="single"/>
        </w:rPr>
      </w:pPr>
    </w:p>
    <w:p w14:paraId="71DD81E6" w14:textId="2EB10CED" w:rsidR="004B57B4" w:rsidRDefault="00E453CD" w:rsidP="00776A84">
      <w:pPr>
        <w:pStyle w:val="BodyText2"/>
        <w:autoSpaceDE/>
        <w:autoSpaceDN/>
        <w:adjustRightInd/>
        <w:rPr>
          <w:ins w:id="11616" w:author="AbbVie02no" w:date="2025-05-15T13:51:00Z"/>
          <w:szCs w:val="22"/>
        </w:rPr>
      </w:pPr>
      <w:ins w:id="11617" w:author="AbbVie02no" w:date="2025-05-15T13:50:00Z">
        <w:r>
          <w:rPr>
            <w:szCs w:val="22"/>
          </w:rPr>
          <w:t>Dette legemidlet inneholder 0,8 mg polysor</w:t>
        </w:r>
      </w:ins>
      <w:ins w:id="11618" w:author="AbbVie02no" w:date="2025-05-15T13:51:00Z">
        <w:r>
          <w:rPr>
            <w:szCs w:val="22"/>
          </w:rPr>
          <w:t>bat 80 i hver 80 mg dose.</w:t>
        </w:r>
      </w:ins>
      <w:ins w:id="11619" w:author="AbbVie02no" w:date="2025-09-08T10:11:00Z">
        <w:r w:rsidR="00962DFF">
          <w:rPr>
            <w:szCs w:val="22"/>
          </w:rPr>
          <w:t xml:space="preserve"> Polysorbater kan forårsake allergiske reaksjoner. </w:t>
        </w:r>
      </w:ins>
    </w:p>
    <w:p w14:paraId="46049961" w14:textId="77777777" w:rsidR="004B57B4" w:rsidRPr="004B57B4" w:rsidRDefault="004B57B4" w:rsidP="00776A84">
      <w:pPr>
        <w:pStyle w:val="BodyText2"/>
        <w:autoSpaceDE/>
        <w:autoSpaceDN/>
        <w:adjustRightInd/>
        <w:rPr>
          <w:color w:val="auto"/>
          <w:szCs w:val="22"/>
        </w:rPr>
      </w:pPr>
    </w:p>
    <w:p w14:paraId="007BA36A" w14:textId="77777777" w:rsidR="009E676E" w:rsidRPr="001F5D4B" w:rsidRDefault="009E676E" w:rsidP="009E676E">
      <w:pPr>
        <w:suppressAutoHyphens/>
        <w:ind w:left="567" w:hanging="567"/>
        <w:rPr>
          <w:sz w:val="22"/>
          <w:szCs w:val="22"/>
        </w:rPr>
      </w:pPr>
    </w:p>
    <w:p w14:paraId="2238D1A2" w14:textId="77777777" w:rsidR="009E676E" w:rsidRPr="00193D76" w:rsidRDefault="00E453CD" w:rsidP="009E676E">
      <w:pPr>
        <w:keepNext/>
        <w:suppressAutoHyphens/>
        <w:ind w:left="567" w:hanging="567"/>
        <w:rPr>
          <w:sz w:val="22"/>
          <w:szCs w:val="22"/>
        </w:rPr>
      </w:pPr>
      <w:r w:rsidRPr="007F67EE">
        <w:rPr>
          <w:b/>
          <w:sz w:val="22"/>
          <w:szCs w:val="22"/>
        </w:rPr>
        <w:t>4.5</w:t>
      </w:r>
      <w:r w:rsidRPr="007F67EE">
        <w:rPr>
          <w:b/>
          <w:sz w:val="22"/>
          <w:szCs w:val="22"/>
        </w:rPr>
        <w:tab/>
        <w:t>Interaksjon med andre legemidler og andre former for interaksjon</w:t>
      </w:r>
    </w:p>
    <w:p w14:paraId="78CEE933" w14:textId="77777777" w:rsidR="009E676E" w:rsidRPr="002D0790" w:rsidRDefault="009E676E" w:rsidP="009E676E">
      <w:pPr>
        <w:keepNext/>
        <w:rPr>
          <w:sz w:val="22"/>
          <w:szCs w:val="22"/>
        </w:rPr>
      </w:pPr>
    </w:p>
    <w:p w14:paraId="34D53B75" w14:textId="77777777" w:rsidR="009E676E" w:rsidRPr="009C5EFD" w:rsidRDefault="00E453CD" w:rsidP="00776A84">
      <w:pPr>
        <w:rPr>
          <w:sz w:val="22"/>
          <w:szCs w:val="22"/>
        </w:rPr>
      </w:pPr>
      <w:r w:rsidRPr="002D0790">
        <w:rPr>
          <w:sz w:val="22"/>
          <w:szCs w:val="22"/>
        </w:rPr>
        <w:t xml:space="preserve">Humira har vært undersøkt hos pasienter med revmatoid artritt, polyartikulær juvenil idiopatisk artritt og </w:t>
      </w:r>
      <w:r w:rsidRPr="00E14E58">
        <w:rPr>
          <w:sz w:val="22"/>
          <w:szCs w:val="22"/>
        </w:rPr>
        <w:t>psoriasisartritt</w:t>
      </w:r>
      <w:r w:rsidRPr="009C5EFD">
        <w:rPr>
          <w:sz w:val="22"/>
          <w:szCs w:val="22"/>
        </w:rPr>
        <w:t xml:space="preserve"> som får Humira som monoterapi og hos de som samtidig får metotreksat. Antistoffdannelsen var lavere når Humira ble gitt sammen med metotreksat sammenlignet med bruk som monoterapi. Administrasjon av Humira uten metotreksat ga økt dannelse av antistoffer, økt clearance og redusert effekt av adalimumab (se pkt. 5.1).</w:t>
      </w:r>
    </w:p>
    <w:p w14:paraId="7356C55A" w14:textId="77777777" w:rsidR="009E676E" w:rsidRPr="009C5EFD" w:rsidRDefault="009E676E" w:rsidP="009E676E">
      <w:pPr>
        <w:rPr>
          <w:sz w:val="22"/>
          <w:szCs w:val="22"/>
        </w:rPr>
      </w:pPr>
    </w:p>
    <w:p w14:paraId="62DE0355" w14:textId="77777777" w:rsidR="009E676E" w:rsidRPr="009C5EFD" w:rsidRDefault="00E453CD" w:rsidP="009E676E">
      <w:pPr>
        <w:autoSpaceDE w:val="0"/>
        <w:autoSpaceDN w:val="0"/>
        <w:adjustRightInd w:val="0"/>
        <w:rPr>
          <w:sz w:val="22"/>
          <w:szCs w:val="22"/>
        </w:rPr>
      </w:pPr>
      <w:r w:rsidRPr="009C5EFD">
        <w:rPr>
          <w:sz w:val="22"/>
          <w:szCs w:val="22"/>
        </w:rPr>
        <w:t xml:space="preserve">Kombinasjonen av Humira og anakinra er ikke anbefalt (se pkt. 4.4 </w:t>
      </w:r>
      <w:r w:rsidR="00D57009">
        <w:rPr>
          <w:sz w:val="22"/>
          <w:szCs w:val="22"/>
        </w:rPr>
        <w:t>«</w:t>
      </w:r>
      <w:r w:rsidRPr="009C5EFD">
        <w:rPr>
          <w:sz w:val="22"/>
          <w:szCs w:val="22"/>
        </w:rPr>
        <w:t xml:space="preserve">Samtidig </w:t>
      </w:r>
      <w:r>
        <w:rPr>
          <w:sz w:val="22"/>
          <w:szCs w:val="22"/>
        </w:rPr>
        <w:t>bruk</w:t>
      </w:r>
      <w:r w:rsidRPr="009C5EFD">
        <w:rPr>
          <w:sz w:val="22"/>
          <w:szCs w:val="22"/>
        </w:rPr>
        <w:t xml:space="preserve"> av biologisk</w:t>
      </w:r>
      <w:r w:rsidR="00C40CB6">
        <w:rPr>
          <w:sz w:val="22"/>
          <w:szCs w:val="22"/>
        </w:rPr>
        <w:t>e</w:t>
      </w:r>
      <w:r w:rsidRPr="009C5EFD">
        <w:rPr>
          <w:sz w:val="22"/>
          <w:szCs w:val="22"/>
        </w:rPr>
        <w:t xml:space="preserve"> DMARD</w:t>
      </w:r>
      <w:r w:rsidR="00D67D8E">
        <w:rPr>
          <w:sz w:val="22"/>
          <w:szCs w:val="22"/>
        </w:rPr>
        <w:t>s</w:t>
      </w:r>
      <w:r w:rsidRPr="009C5EFD">
        <w:rPr>
          <w:sz w:val="22"/>
          <w:szCs w:val="22"/>
        </w:rPr>
        <w:t xml:space="preserve"> eller TNF-antagonister</w:t>
      </w:r>
      <w:r w:rsidR="00D57009">
        <w:rPr>
          <w:sz w:val="22"/>
          <w:szCs w:val="22"/>
        </w:rPr>
        <w:t>»</w:t>
      </w:r>
      <w:r w:rsidRPr="009C5EFD">
        <w:rPr>
          <w:sz w:val="22"/>
          <w:szCs w:val="22"/>
        </w:rPr>
        <w:t>).</w:t>
      </w:r>
    </w:p>
    <w:p w14:paraId="7A32B49C" w14:textId="77777777" w:rsidR="009E676E" w:rsidRPr="009C5EFD" w:rsidRDefault="009E676E" w:rsidP="009E676E">
      <w:pPr>
        <w:pStyle w:val="EndnoteText"/>
        <w:widowControl/>
        <w:tabs>
          <w:tab w:val="clear" w:pos="567"/>
        </w:tabs>
        <w:autoSpaceDE w:val="0"/>
        <w:autoSpaceDN w:val="0"/>
        <w:adjustRightInd w:val="0"/>
        <w:rPr>
          <w:szCs w:val="22"/>
          <w:lang w:val="nb-NO"/>
        </w:rPr>
      </w:pPr>
    </w:p>
    <w:p w14:paraId="0647B19F" w14:textId="77777777" w:rsidR="009E676E" w:rsidRPr="009C5EFD" w:rsidRDefault="00E453CD" w:rsidP="009E676E">
      <w:pPr>
        <w:rPr>
          <w:sz w:val="22"/>
          <w:szCs w:val="22"/>
        </w:rPr>
      </w:pPr>
      <w:r w:rsidRPr="009C5EFD">
        <w:rPr>
          <w:sz w:val="22"/>
          <w:szCs w:val="22"/>
        </w:rPr>
        <w:t xml:space="preserve">Kombinasjonen av Humira og abatacept er ikke anbefalt (se pkt. 4.4 </w:t>
      </w:r>
      <w:r w:rsidR="00D57009">
        <w:rPr>
          <w:sz w:val="22"/>
          <w:szCs w:val="22"/>
        </w:rPr>
        <w:t>«</w:t>
      </w:r>
      <w:r w:rsidRPr="009C5EFD">
        <w:rPr>
          <w:sz w:val="22"/>
          <w:szCs w:val="22"/>
        </w:rPr>
        <w:t xml:space="preserve">Samtidig </w:t>
      </w:r>
      <w:r>
        <w:rPr>
          <w:sz w:val="22"/>
          <w:szCs w:val="22"/>
        </w:rPr>
        <w:t>bruk</w:t>
      </w:r>
      <w:r w:rsidRPr="009C5EFD">
        <w:rPr>
          <w:sz w:val="22"/>
          <w:szCs w:val="22"/>
        </w:rPr>
        <w:t xml:space="preserve"> av biologisk</w:t>
      </w:r>
      <w:r w:rsidR="00C40CB6">
        <w:rPr>
          <w:sz w:val="22"/>
          <w:szCs w:val="22"/>
        </w:rPr>
        <w:t>e</w:t>
      </w:r>
      <w:r w:rsidRPr="009C5EFD">
        <w:rPr>
          <w:sz w:val="22"/>
          <w:szCs w:val="22"/>
        </w:rPr>
        <w:t xml:space="preserve"> DMARD</w:t>
      </w:r>
      <w:r w:rsidR="00D67D8E">
        <w:rPr>
          <w:sz w:val="22"/>
          <w:szCs w:val="22"/>
        </w:rPr>
        <w:t>s</w:t>
      </w:r>
      <w:r w:rsidRPr="009C5EFD">
        <w:rPr>
          <w:sz w:val="22"/>
          <w:szCs w:val="22"/>
        </w:rPr>
        <w:t xml:space="preserve"> eller TNF-antagonister</w:t>
      </w:r>
      <w:r w:rsidR="00D57009">
        <w:rPr>
          <w:sz w:val="22"/>
          <w:szCs w:val="22"/>
        </w:rPr>
        <w:t>»</w:t>
      </w:r>
      <w:r w:rsidRPr="009C5EFD">
        <w:rPr>
          <w:sz w:val="22"/>
          <w:szCs w:val="22"/>
        </w:rPr>
        <w:t>).</w:t>
      </w:r>
    </w:p>
    <w:p w14:paraId="0775D870" w14:textId="77777777" w:rsidR="009E676E" w:rsidRPr="009C5EFD" w:rsidRDefault="009E676E" w:rsidP="009E676E">
      <w:pPr>
        <w:rPr>
          <w:sz w:val="22"/>
          <w:szCs w:val="22"/>
        </w:rPr>
      </w:pPr>
    </w:p>
    <w:p w14:paraId="4EFCF297" w14:textId="77777777" w:rsidR="009E676E" w:rsidRPr="009C5EFD" w:rsidRDefault="00E453CD" w:rsidP="00776A84">
      <w:pPr>
        <w:keepNext/>
        <w:suppressAutoHyphens/>
        <w:ind w:left="567" w:hanging="567"/>
        <w:rPr>
          <w:sz w:val="22"/>
          <w:szCs w:val="22"/>
        </w:rPr>
      </w:pPr>
      <w:r w:rsidRPr="009C5EFD">
        <w:rPr>
          <w:b/>
          <w:sz w:val="22"/>
          <w:szCs w:val="22"/>
        </w:rPr>
        <w:t>4.6</w:t>
      </w:r>
      <w:r w:rsidRPr="009C5EFD">
        <w:rPr>
          <w:b/>
          <w:sz w:val="22"/>
          <w:szCs w:val="22"/>
        </w:rPr>
        <w:tab/>
        <w:t>Fertilitet, graviditet og amming</w:t>
      </w:r>
    </w:p>
    <w:p w14:paraId="58F363A5" w14:textId="77777777" w:rsidR="009E676E" w:rsidRPr="009C5EFD" w:rsidRDefault="009E676E" w:rsidP="00776A84">
      <w:pPr>
        <w:keepNext/>
        <w:rPr>
          <w:sz w:val="22"/>
          <w:szCs w:val="22"/>
        </w:rPr>
      </w:pPr>
    </w:p>
    <w:p w14:paraId="0C429426" w14:textId="77777777" w:rsidR="009E676E" w:rsidRPr="009C5EFD" w:rsidRDefault="00E453CD" w:rsidP="00776A84">
      <w:pPr>
        <w:keepNext/>
        <w:rPr>
          <w:sz w:val="22"/>
          <w:szCs w:val="22"/>
        </w:rPr>
      </w:pPr>
      <w:r w:rsidRPr="009C5EFD">
        <w:rPr>
          <w:sz w:val="22"/>
          <w:szCs w:val="22"/>
          <w:u w:val="single"/>
        </w:rPr>
        <w:t>Kvinner i fertil alder</w:t>
      </w:r>
    </w:p>
    <w:p w14:paraId="713A3C29" w14:textId="77777777" w:rsidR="009E676E" w:rsidRPr="009C5EFD" w:rsidRDefault="009E676E" w:rsidP="00776A84">
      <w:pPr>
        <w:keepNext/>
        <w:rPr>
          <w:sz w:val="22"/>
          <w:szCs w:val="22"/>
        </w:rPr>
      </w:pPr>
    </w:p>
    <w:p w14:paraId="6222E03C" w14:textId="77777777" w:rsidR="009E676E" w:rsidRPr="009C5EFD" w:rsidRDefault="00E453CD" w:rsidP="009E676E">
      <w:pPr>
        <w:rPr>
          <w:sz w:val="22"/>
          <w:szCs w:val="22"/>
        </w:rPr>
      </w:pPr>
      <w:r w:rsidRPr="009C5EFD">
        <w:rPr>
          <w:sz w:val="22"/>
          <w:szCs w:val="22"/>
        </w:rPr>
        <w:t xml:space="preserve">Kvinner i fertil alder </w:t>
      </w:r>
      <w:r w:rsidR="00552339">
        <w:rPr>
          <w:sz w:val="22"/>
          <w:szCs w:val="22"/>
        </w:rPr>
        <w:t>bør vurdere</w:t>
      </w:r>
      <w:r w:rsidR="00552339" w:rsidRPr="009C5EFD">
        <w:rPr>
          <w:sz w:val="22"/>
          <w:szCs w:val="22"/>
        </w:rPr>
        <w:t xml:space="preserve"> </w:t>
      </w:r>
      <w:r w:rsidRPr="009C5EFD">
        <w:rPr>
          <w:sz w:val="22"/>
          <w:szCs w:val="22"/>
        </w:rPr>
        <w:t>å benytte sikker prevensjon for å forhindre graviditet og fortsette å bruke det i minst fem måneder etter siste Humira-behandling.</w:t>
      </w:r>
    </w:p>
    <w:p w14:paraId="6F015B00" w14:textId="77777777" w:rsidR="009E676E" w:rsidRPr="009C5EFD" w:rsidRDefault="009E676E" w:rsidP="009E676E">
      <w:pPr>
        <w:rPr>
          <w:sz w:val="22"/>
          <w:u w:val="single"/>
        </w:rPr>
      </w:pPr>
    </w:p>
    <w:p w14:paraId="220CFCD9" w14:textId="77777777" w:rsidR="009E676E" w:rsidRPr="009C5EFD" w:rsidRDefault="00E453CD" w:rsidP="00D35625">
      <w:pPr>
        <w:keepNext/>
        <w:rPr>
          <w:sz w:val="22"/>
          <w:u w:val="single"/>
        </w:rPr>
      </w:pPr>
      <w:r w:rsidRPr="009C5EFD">
        <w:rPr>
          <w:sz w:val="22"/>
          <w:u w:val="single"/>
        </w:rPr>
        <w:t>Graviditet</w:t>
      </w:r>
    </w:p>
    <w:p w14:paraId="674CCF65" w14:textId="77777777" w:rsidR="009E676E" w:rsidRPr="009C5EFD" w:rsidRDefault="009E676E" w:rsidP="00D35625">
      <w:pPr>
        <w:keepNext/>
        <w:rPr>
          <w:sz w:val="22"/>
        </w:rPr>
      </w:pPr>
    </w:p>
    <w:p w14:paraId="08BD493C" w14:textId="77777777" w:rsidR="00552339" w:rsidRPr="009C5EFD" w:rsidRDefault="00E453CD" w:rsidP="00552339">
      <w:pPr>
        <w:rPr>
          <w:sz w:val="22"/>
          <w:szCs w:val="22"/>
        </w:rPr>
      </w:pPr>
      <w:r>
        <w:rPr>
          <w:sz w:val="22"/>
          <w:szCs w:val="22"/>
        </w:rPr>
        <w:t>Et stort antall (omtrent 2100) av prospektivt innsamlede graviditeter eksponert for adalimumab som resulterte i levende fødsel med kjent utfall, inkludert mer enn 1500 eksponert i første trimester, indikerer ikke en økning i forekomsten av misdannelser hos nyfødte.</w:t>
      </w:r>
    </w:p>
    <w:p w14:paraId="60AF39B8" w14:textId="77777777" w:rsidR="00552339" w:rsidRDefault="00552339" w:rsidP="00552339">
      <w:pPr>
        <w:rPr>
          <w:sz w:val="22"/>
          <w:szCs w:val="22"/>
        </w:rPr>
      </w:pPr>
    </w:p>
    <w:p w14:paraId="3D462727" w14:textId="77777777" w:rsidR="009E676E" w:rsidRPr="009C5EFD" w:rsidRDefault="00E453CD" w:rsidP="009E676E">
      <w:pPr>
        <w:rPr>
          <w:sz w:val="22"/>
          <w:szCs w:val="22"/>
        </w:rPr>
      </w:pPr>
      <w:r>
        <w:rPr>
          <w:sz w:val="22"/>
          <w:szCs w:val="22"/>
        </w:rPr>
        <w:lastRenderedPageBreak/>
        <w:t>I en prospektiv kohort registerstudie, ble det inkludert 257 kvinner med revmatoid artritt (RA) eller Crohns sykdom (CD) behandlet med adalimumab i minimum første trimester og 120 kvinner med RA eller CD som ikke var behandlet med adalimumab. Det primære endepunktet var prevalensen av alvorlig fødselsdefekt. Forekomsten av graviditeter med minst en levende nyfødt med alvorlig fødselsdefekt var 6/69 (8,7 %) hos kvinner med RA behandlet med adalimumab og 5/74 (6,8 %) hos ubehandlede kvinner med RA (ikke</w:t>
      </w:r>
      <w:r>
        <w:rPr>
          <w:sz w:val="22"/>
          <w:szCs w:val="22"/>
        </w:rPr>
        <w:noBreakHyphen/>
        <w:t>justert OR 1,</w:t>
      </w:r>
      <w:r w:rsidRPr="00B2265A">
        <w:rPr>
          <w:sz w:val="22"/>
          <w:szCs w:val="22"/>
        </w:rPr>
        <w:t>31, 95</w:t>
      </w:r>
      <w:r>
        <w:rPr>
          <w:sz w:val="22"/>
          <w:szCs w:val="22"/>
        </w:rPr>
        <w:t> % KI 0,38</w:t>
      </w:r>
      <w:r>
        <w:rPr>
          <w:sz w:val="22"/>
          <w:szCs w:val="22"/>
        </w:rPr>
        <w:noBreakHyphen/>
        <w:t>4,</w:t>
      </w:r>
      <w:r w:rsidRPr="00B2265A">
        <w:rPr>
          <w:sz w:val="22"/>
          <w:szCs w:val="22"/>
        </w:rPr>
        <w:t>52)</w:t>
      </w:r>
      <w:r>
        <w:rPr>
          <w:sz w:val="22"/>
          <w:szCs w:val="22"/>
        </w:rPr>
        <w:t xml:space="preserve"> og</w:t>
      </w:r>
      <w:r w:rsidRPr="00B2265A">
        <w:rPr>
          <w:sz w:val="22"/>
          <w:szCs w:val="22"/>
        </w:rPr>
        <w:t xml:space="preserve"> </w:t>
      </w:r>
      <w:r>
        <w:rPr>
          <w:sz w:val="22"/>
          <w:szCs w:val="22"/>
        </w:rPr>
        <w:t>16/152 (10,5 %) hos kvinner med CD behandlet med adalimumab og 3/32 (9,4 %) hos ubehandlede kvinner med CD (ikke</w:t>
      </w:r>
      <w:r>
        <w:rPr>
          <w:sz w:val="22"/>
          <w:szCs w:val="22"/>
        </w:rPr>
        <w:noBreakHyphen/>
        <w:t>justert OR</w:t>
      </w:r>
      <w:r w:rsidRPr="00B2265A">
        <w:rPr>
          <w:sz w:val="22"/>
          <w:szCs w:val="22"/>
        </w:rPr>
        <w:t xml:space="preserve"> 1</w:t>
      </w:r>
      <w:r>
        <w:rPr>
          <w:sz w:val="22"/>
          <w:szCs w:val="22"/>
        </w:rPr>
        <w:t>,</w:t>
      </w:r>
      <w:r w:rsidRPr="00B2265A">
        <w:rPr>
          <w:sz w:val="22"/>
          <w:szCs w:val="22"/>
        </w:rPr>
        <w:t>14, 95</w:t>
      </w:r>
      <w:r>
        <w:rPr>
          <w:sz w:val="22"/>
          <w:szCs w:val="22"/>
        </w:rPr>
        <w:t> </w:t>
      </w:r>
      <w:r w:rsidRPr="00B2265A">
        <w:rPr>
          <w:sz w:val="22"/>
          <w:szCs w:val="22"/>
        </w:rPr>
        <w:t xml:space="preserve">% </w:t>
      </w:r>
      <w:r>
        <w:rPr>
          <w:sz w:val="22"/>
          <w:szCs w:val="22"/>
        </w:rPr>
        <w:t>K</w:t>
      </w:r>
      <w:r w:rsidRPr="00B2265A">
        <w:rPr>
          <w:sz w:val="22"/>
          <w:szCs w:val="22"/>
        </w:rPr>
        <w:t>I 0</w:t>
      </w:r>
      <w:r>
        <w:rPr>
          <w:sz w:val="22"/>
          <w:szCs w:val="22"/>
        </w:rPr>
        <w:t>,</w:t>
      </w:r>
      <w:r w:rsidRPr="00B2265A">
        <w:rPr>
          <w:sz w:val="22"/>
          <w:szCs w:val="22"/>
        </w:rPr>
        <w:t>31</w:t>
      </w:r>
      <w:r>
        <w:rPr>
          <w:sz w:val="22"/>
          <w:szCs w:val="22"/>
        </w:rPr>
        <w:noBreakHyphen/>
      </w:r>
      <w:r w:rsidRPr="00B2265A">
        <w:rPr>
          <w:sz w:val="22"/>
          <w:szCs w:val="22"/>
        </w:rPr>
        <w:t>4</w:t>
      </w:r>
      <w:r>
        <w:rPr>
          <w:sz w:val="22"/>
          <w:szCs w:val="22"/>
        </w:rPr>
        <w:t>,</w:t>
      </w:r>
      <w:r w:rsidRPr="00B2265A">
        <w:rPr>
          <w:sz w:val="22"/>
          <w:szCs w:val="22"/>
        </w:rPr>
        <w:t>16).</w:t>
      </w:r>
      <w:r>
        <w:rPr>
          <w:sz w:val="22"/>
          <w:szCs w:val="22"/>
        </w:rPr>
        <w:t xml:space="preserve"> Den justerte OR (tatt hensyn til forskjeller ved baseline) var </w:t>
      </w:r>
      <w:r w:rsidRPr="00A63CE3">
        <w:rPr>
          <w:sz w:val="22"/>
          <w:szCs w:val="22"/>
        </w:rPr>
        <w:t>1</w:t>
      </w:r>
      <w:r>
        <w:rPr>
          <w:sz w:val="22"/>
          <w:szCs w:val="22"/>
        </w:rPr>
        <w:t>,</w:t>
      </w:r>
      <w:r w:rsidRPr="00A63CE3">
        <w:rPr>
          <w:sz w:val="22"/>
          <w:szCs w:val="22"/>
        </w:rPr>
        <w:t>10 (95</w:t>
      </w:r>
      <w:r>
        <w:rPr>
          <w:sz w:val="22"/>
          <w:szCs w:val="22"/>
        </w:rPr>
        <w:t> </w:t>
      </w:r>
      <w:r w:rsidRPr="00A63CE3">
        <w:rPr>
          <w:sz w:val="22"/>
          <w:szCs w:val="22"/>
        </w:rPr>
        <w:t xml:space="preserve">% </w:t>
      </w:r>
      <w:r>
        <w:rPr>
          <w:sz w:val="22"/>
          <w:szCs w:val="22"/>
        </w:rPr>
        <w:t>KI 0,45</w:t>
      </w:r>
      <w:r>
        <w:rPr>
          <w:sz w:val="22"/>
          <w:szCs w:val="22"/>
        </w:rPr>
        <w:noBreakHyphen/>
      </w:r>
      <w:r w:rsidRPr="00A63CE3">
        <w:rPr>
          <w:sz w:val="22"/>
          <w:szCs w:val="22"/>
        </w:rPr>
        <w:t>2</w:t>
      </w:r>
      <w:r>
        <w:rPr>
          <w:sz w:val="22"/>
          <w:szCs w:val="22"/>
        </w:rPr>
        <w:t>,</w:t>
      </w:r>
      <w:r w:rsidRPr="00A63CE3">
        <w:rPr>
          <w:sz w:val="22"/>
          <w:szCs w:val="22"/>
        </w:rPr>
        <w:t>73)</w:t>
      </w:r>
      <w:r>
        <w:rPr>
          <w:sz w:val="22"/>
          <w:szCs w:val="22"/>
        </w:rPr>
        <w:t xml:space="preserve"> ved kombinasjon av RA og CD. Det var ingen distinkte forskjeller mellom adalimumab-behandlede og ubehandlede kvinner for de sekundære endepunktene spontanabort, mindre fødselsdefekter, prematur fødsel, størrelse ved fødsel, og alvorlige eller opportunistiske infeksjoner, og ingen dødfødsler eller maligniteter ble rapportert. Tolkningen av data kan være påvirket av metodebegrensninger i studien, inkludert begrenset utvalgsstørrelse og ikke-randomisert design.</w:t>
      </w:r>
    </w:p>
    <w:p w14:paraId="4758DECE" w14:textId="77777777" w:rsidR="009E676E" w:rsidRPr="009C5EFD" w:rsidRDefault="009E676E" w:rsidP="009E676E">
      <w:pPr>
        <w:rPr>
          <w:sz w:val="22"/>
          <w:szCs w:val="22"/>
        </w:rPr>
      </w:pPr>
    </w:p>
    <w:p w14:paraId="3768644C" w14:textId="77777777" w:rsidR="009E676E" w:rsidRPr="009C5EFD" w:rsidRDefault="00E453CD" w:rsidP="009E676E">
      <w:pPr>
        <w:rPr>
          <w:sz w:val="22"/>
          <w:szCs w:val="22"/>
        </w:rPr>
      </w:pPr>
      <w:r w:rsidRPr="009C5EFD">
        <w:rPr>
          <w:sz w:val="22"/>
          <w:szCs w:val="22"/>
        </w:rPr>
        <w:t>I en toksisitetsstudie av fosterutvikling hos aper var det ingen indikasjon på maternell toksisitet, embryotoksisitet eller teratogenisitet. Prekliniske data vedrørende postnatal toksisitet på grunn av adalimumab er ikke tilgjengelige (se pkt. 5.3).</w:t>
      </w:r>
    </w:p>
    <w:p w14:paraId="3ADC7AD2" w14:textId="77777777" w:rsidR="009E676E" w:rsidRPr="009C5EFD" w:rsidRDefault="009E676E" w:rsidP="009E676E">
      <w:pPr>
        <w:rPr>
          <w:b/>
          <w:sz w:val="22"/>
          <w:szCs w:val="22"/>
        </w:rPr>
      </w:pPr>
    </w:p>
    <w:p w14:paraId="3760A182" w14:textId="77777777" w:rsidR="009E676E" w:rsidRPr="009C5EFD" w:rsidRDefault="00E453CD" w:rsidP="009E676E">
      <w:pPr>
        <w:rPr>
          <w:sz w:val="22"/>
          <w:szCs w:val="22"/>
        </w:rPr>
      </w:pPr>
      <w:r w:rsidRPr="009C5EFD">
        <w:rPr>
          <w:sz w:val="22"/>
          <w:szCs w:val="22"/>
        </w:rPr>
        <w:t xml:space="preserve">På grunn av hemming av TNFα kan adalimumab som gis i løpet av graviditeten påvirke den normale immunresponsen hos nyfødte. </w:t>
      </w:r>
      <w:r w:rsidR="00A81956">
        <w:rPr>
          <w:sz w:val="22"/>
          <w:szCs w:val="22"/>
        </w:rPr>
        <w:t>Adalimumab skal kun brukes under graviditet dersom det er helt nødvendig.</w:t>
      </w:r>
    </w:p>
    <w:p w14:paraId="1120BC31" w14:textId="77777777" w:rsidR="009E676E" w:rsidRPr="009C5EFD" w:rsidRDefault="009E676E" w:rsidP="009E676E">
      <w:pPr>
        <w:rPr>
          <w:sz w:val="22"/>
          <w:szCs w:val="22"/>
        </w:rPr>
      </w:pPr>
    </w:p>
    <w:p w14:paraId="2FE04D9D" w14:textId="77777777" w:rsidR="009E676E" w:rsidRPr="009C5EFD" w:rsidRDefault="00E453CD" w:rsidP="009E676E">
      <w:pPr>
        <w:rPr>
          <w:sz w:val="22"/>
        </w:rPr>
      </w:pPr>
      <w:r w:rsidRPr="009C5EFD">
        <w:rPr>
          <w:sz w:val="22"/>
        </w:rPr>
        <w:t xml:space="preserve">Adalimumab kan </w:t>
      </w:r>
      <w:r>
        <w:rPr>
          <w:sz w:val="22"/>
        </w:rPr>
        <w:t>passere</w:t>
      </w:r>
      <w:r w:rsidRPr="009C5EFD">
        <w:rPr>
          <w:sz w:val="22"/>
        </w:rPr>
        <w:t xml:space="preserve"> placenta og </w:t>
      </w:r>
      <w:r>
        <w:rPr>
          <w:sz w:val="22"/>
        </w:rPr>
        <w:t>over</w:t>
      </w:r>
      <w:r w:rsidRPr="009C5EFD">
        <w:rPr>
          <w:sz w:val="22"/>
        </w:rPr>
        <w:t xml:space="preserve"> i serumet hos spedbarn født av kvinner behandlet med adalimumab under graviditet. Som konsekvens kan slike spedbarn ha høyere risiko for infeksjon. Administrasjon av levende vaksiner </w:t>
      </w:r>
      <w:r w:rsidR="00A81956" w:rsidRPr="004849ED">
        <w:rPr>
          <w:sz w:val="22"/>
          <w:szCs w:val="22"/>
        </w:rPr>
        <w:t>(f.eks. BCG vaksine)</w:t>
      </w:r>
      <w:r w:rsidR="00A81956">
        <w:rPr>
          <w:sz w:val="22"/>
          <w:szCs w:val="22"/>
        </w:rPr>
        <w:t xml:space="preserve"> </w:t>
      </w:r>
      <w:r w:rsidRPr="009C5EFD">
        <w:rPr>
          <w:sz w:val="22"/>
        </w:rPr>
        <w:t>på spedbarn eksponert for adalimumab intrauterint anbefales ikke før 5 måneder etter morens siste injeksjon med adalimumab under graviditeten.</w:t>
      </w:r>
    </w:p>
    <w:p w14:paraId="4B0E4126" w14:textId="77777777" w:rsidR="009E676E" w:rsidRPr="009C5EFD" w:rsidRDefault="009E676E" w:rsidP="009E676E">
      <w:pPr>
        <w:rPr>
          <w:sz w:val="22"/>
          <w:u w:val="single"/>
        </w:rPr>
      </w:pPr>
    </w:p>
    <w:p w14:paraId="7CE622B9" w14:textId="77777777" w:rsidR="009E676E" w:rsidRPr="009C5EFD" w:rsidRDefault="00E453CD" w:rsidP="00D35625">
      <w:pPr>
        <w:keepNext/>
        <w:rPr>
          <w:sz w:val="22"/>
          <w:u w:val="single"/>
        </w:rPr>
      </w:pPr>
      <w:r w:rsidRPr="009C5EFD">
        <w:rPr>
          <w:sz w:val="22"/>
          <w:u w:val="single"/>
        </w:rPr>
        <w:t>Amming</w:t>
      </w:r>
    </w:p>
    <w:p w14:paraId="23CEFDD5" w14:textId="77777777" w:rsidR="009E676E" w:rsidRPr="009C5EFD" w:rsidRDefault="009E676E" w:rsidP="00D35625">
      <w:pPr>
        <w:keepNext/>
        <w:rPr>
          <w:sz w:val="22"/>
        </w:rPr>
      </w:pPr>
    </w:p>
    <w:p w14:paraId="56EC9A23" w14:textId="77777777" w:rsidR="00A81956" w:rsidRPr="009C5EFD" w:rsidRDefault="00E453CD" w:rsidP="00776A84">
      <w:pPr>
        <w:rPr>
          <w:sz w:val="22"/>
          <w:szCs w:val="22"/>
        </w:rPr>
      </w:pPr>
      <w:r>
        <w:rPr>
          <w:sz w:val="22"/>
          <w:szCs w:val="22"/>
        </w:rPr>
        <w:t xml:space="preserve">Begrenset informasjon fra publisert litteratur indikerer at adalimumab skilles ut i morsmelk ved svært lave konsentrasjoner med tilstedeværelse av adalimumab i morsmelk ved konsentrasjoner på 0,1 % til 1 % av serumnivåene hos mor. Immunoglobulin G proteiner gitt oralt gjennomgår proteolyse i tarmen og har dårlig biotilgjengelighet. Det forventes ingen effekter på den nyfødte/spedbarn som ammes. Humira kan derfor benyttes ved amming. </w:t>
      </w:r>
    </w:p>
    <w:p w14:paraId="4DE20EAD" w14:textId="77777777" w:rsidR="009E676E" w:rsidRPr="009C5EFD" w:rsidRDefault="009E676E" w:rsidP="009E676E">
      <w:pPr>
        <w:rPr>
          <w:sz w:val="22"/>
          <w:szCs w:val="22"/>
        </w:rPr>
      </w:pPr>
    </w:p>
    <w:p w14:paraId="7459D424" w14:textId="77777777" w:rsidR="009E676E" w:rsidRPr="009C5EFD" w:rsidRDefault="00E453CD" w:rsidP="009E676E">
      <w:pPr>
        <w:keepNext/>
        <w:rPr>
          <w:sz w:val="22"/>
          <w:szCs w:val="22"/>
        </w:rPr>
      </w:pPr>
      <w:r w:rsidRPr="009C5EFD">
        <w:rPr>
          <w:sz w:val="22"/>
          <w:szCs w:val="22"/>
          <w:u w:val="single"/>
        </w:rPr>
        <w:t>Fertilitet</w:t>
      </w:r>
    </w:p>
    <w:p w14:paraId="352C6C5A" w14:textId="77777777" w:rsidR="009E676E" w:rsidRPr="009C5EFD" w:rsidRDefault="009E676E" w:rsidP="009E676E">
      <w:pPr>
        <w:keepNext/>
        <w:rPr>
          <w:sz w:val="22"/>
          <w:szCs w:val="22"/>
        </w:rPr>
      </w:pPr>
    </w:p>
    <w:p w14:paraId="04459B88" w14:textId="77777777" w:rsidR="009E676E" w:rsidRPr="009C5EFD" w:rsidRDefault="00E453CD" w:rsidP="00776A84">
      <w:pPr>
        <w:rPr>
          <w:sz w:val="22"/>
          <w:szCs w:val="22"/>
        </w:rPr>
      </w:pPr>
      <w:r w:rsidRPr="009C5EFD">
        <w:rPr>
          <w:sz w:val="22"/>
          <w:szCs w:val="22"/>
        </w:rPr>
        <w:t>Prekliniske data vedrørende påvirkning på fertilitet av adalimumab er ikke tilgjengelig.</w:t>
      </w:r>
    </w:p>
    <w:p w14:paraId="7D6C53EB" w14:textId="77777777" w:rsidR="009E676E" w:rsidRPr="001F5D4B" w:rsidRDefault="009E676E" w:rsidP="00776A84">
      <w:pPr>
        <w:rPr>
          <w:sz w:val="22"/>
          <w:szCs w:val="22"/>
        </w:rPr>
      </w:pPr>
    </w:p>
    <w:p w14:paraId="3FDC6252" w14:textId="77777777" w:rsidR="009E676E" w:rsidRPr="002D0790" w:rsidRDefault="00E453CD" w:rsidP="009E676E">
      <w:pPr>
        <w:keepNext/>
        <w:suppressAutoHyphens/>
        <w:ind w:left="570" w:hanging="570"/>
        <w:rPr>
          <w:sz w:val="22"/>
          <w:szCs w:val="22"/>
        </w:rPr>
      </w:pPr>
      <w:r w:rsidRPr="007F67EE">
        <w:rPr>
          <w:b/>
          <w:sz w:val="22"/>
          <w:szCs w:val="22"/>
        </w:rPr>
        <w:t>4.7</w:t>
      </w:r>
      <w:r w:rsidRPr="007F67EE">
        <w:rPr>
          <w:b/>
          <w:sz w:val="22"/>
          <w:szCs w:val="22"/>
        </w:rPr>
        <w:tab/>
        <w:t xml:space="preserve">Påvirkning av evnen til å kjøre bil </w:t>
      </w:r>
      <w:r w:rsidRPr="00193D76">
        <w:rPr>
          <w:b/>
          <w:sz w:val="22"/>
          <w:szCs w:val="22"/>
        </w:rPr>
        <w:t xml:space="preserve">og </w:t>
      </w:r>
      <w:r w:rsidRPr="002D0790">
        <w:rPr>
          <w:b/>
          <w:sz w:val="22"/>
          <w:szCs w:val="22"/>
        </w:rPr>
        <w:t>bruke maskiner</w:t>
      </w:r>
    </w:p>
    <w:p w14:paraId="04B4B8B0" w14:textId="77777777" w:rsidR="009E676E" w:rsidRPr="00E14E58" w:rsidRDefault="009E676E" w:rsidP="009E676E">
      <w:pPr>
        <w:keepNext/>
        <w:rPr>
          <w:sz w:val="22"/>
          <w:szCs w:val="22"/>
        </w:rPr>
      </w:pPr>
    </w:p>
    <w:p w14:paraId="241DE3B3" w14:textId="77777777" w:rsidR="009E676E" w:rsidRPr="009C5EFD" w:rsidRDefault="00E453CD" w:rsidP="00776A84">
      <w:pPr>
        <w:rPr>
          <w:sz w:val="22"/>
          <w:szCs w:val="22"/>
        </w:rPr>
      </w:pPr>
      <w:r w:rsidRPr="009C5EFD">
        <w:rPr>
          <w:sz w:val="22"/>
          <w:szCs w:val="22"/>
        </w:rPr>
        <w:t xml:space="preserve">Humira kan ha </w:t>
      </w:r>
      <w:r>
        <w:rPr>
          <w:sz w:val="22"/>
          <w:szCs w:val="22"/>
        </w:rPr>
        <w:t>en liten</w:t>
      </w:r>
      <w:r w:rsidRPr="009C5EFD">
        <w:rPr>
          <w:sz w:val="22"/>
          <w:szCs w:val="22"/>
        </w:rPr>
        <w:t xml:space="preserve"> påvirkning på evnen til å kjøre bil og bruke maskiner. Vertigo og svekket syn kan oppstå etter </w:t>
      </w:r>
      <w:r w:rsidR="00B8124C">
        <w:rPr>
          <w:sz w:val="22"/>
          <w:szCs w:val="22"/>
        </w:rPr>
        <w:t>administrasjon</w:t>
      </w:r>
      <w:r w:rsidRPr="009C5EFD">
        <w:rPr>
          <w:sz w:val="22"/>
          <w:szCs w:val="22"/>
        </w:rPr>
        <w:t xml:space="preserve"> av Humira, se pkt. 4.8.</w:t>
      </w:r>
    </w:p>
    <w:p w14:paraId="29B50080" w14:textId="77777777" w:rsidR="009E676E" w:rsidRPr="009C5EFD" w:rsidRDefault="009E676E" w:rsidP="009E676E">
      <w:pPr>
        <w:rPr>
          <w:sz w:val="22"/>
          <w:szCs w:val="22"/>
        </w:rPr>
      </w:pPr>
    </w:p>
    <w:p w14:paraId="1FE10A5D" w14:textId="77777777" w:rsidR="009E676E" w:rsidRPr="009C5EFD" w:rsidRDefault="00E453CD" w:rsidP="009E676E">
      <w:pPr>
        <w:keepNext/>
        <w:suppressAutoHyphens/>
        <w:ind w:left="567" w:hanging="567"/>
        <w:rPr>
          <w:sz w:val="22"/>
          <w:szCs w:val="22"/>
        </w:rPr>
      </w:pPr>
      <w:r w:rsidRPr="009C5EFD">
        <w:rPr>
          <w:b/>
          <w:sz w:val="22"/>
          <w:szCs w:val="22"/>
        </w:rPr>
        <w:t>4.8</w:t>
      </w:r>
      <w:r w:rsidRPr="009C5EFD">
        <w:rPr>
          <w:b/>
          <w:sz w:val="22"/>
          <w:szCs w:val="22"/>
        </w:rPr>
        <w:tab/>
        <w:t>Bivirkninger</w:t>
      </w:r>
    </w:p>
    <w:p w14:paraId="17575FCA" w14:textId="77777777" w:rsidR="009E676E" w:rsidRPr="009C5EFD" w:rsidRDefault="009E676E" w:rsidP="009E676E">
      <w:pPr>
        <w:keepNext/>
        <w:rPr>
          <w:sz w:val="22"/>
          <w:szCs w:val="22"/>
          <w:u w:val="single"/>
        </w:rPr>
      </w:pPr>
    </w:p>
    <w:p w14:paraId="0E027F3C" w14:textId="77777777" w:rsidR="009E676E" w:rsidRPr="009C5EFD" w:rsidRDefault="00E453CD">
      <w:pPr>
        <w:keepNext/>
        <w:rPr>
          <w:sz w:val="22"/>
          <w:szCs w:val="22"/>
          <w:u w:val="single"/>
        </w:rPr>
      </w:pPr>
      <w:r w:rsidRPr="009C5EFD">
        <w:rPr>
          <w:sz w:val="22"/>
          <w:szCs w:val="22"/>
          <w:u w:val="single"/>
        </w:rPr>
        <w:t>Oppsummering av sikkerhetsprofilen</w:t>
      </w:r>
    </w:p>
    <w:p w14:paraId="10D7D2C7" w14:textId="77777777" w:rsidR="009E676E" w:rsidRPr="009C5EFD" w:rsidRDefault="009E676E" w:rsidP="00776A84">
      <w:pPr>
        <w:keepNext/>
        <w:rPr>
          <w:sz w:val="22"/>
          <w:szCs w:val="22"/>
        </w:rPr>
      </w:pPr>
    </w:p>
    <w:p w14:paraId="42BDD5B0" w14:textId="77777777" w:rsidR="009E676E" w:rsidRPr="009C5EFD" w:rsidRDefault="00E453CD" w:rsidP="009E676E">
      <w:pPr>
        <w:rPr>
          <w:sz w:val="22"/>
          <w:szCs w:val="22"/>
        </w:rPr>
      </w:pPr>
      <w:r w:rsidRPr="009C5EFD">
        <w:rPr>
          <w:sz w:val="22"/>
          <w:szCs w:val="22"/>
        </w:rPr>
        <w:t xml:space="preserve">Humira er undersøkt hos </w:t>
      </w:r>
      <w:r>
        <w:rPr>
          <w:sz w:val="22"/>
          <w:szCs w:val="22"/>
        </w:rPr>
        <w:t>9506</w:t>
      </w:r>
      <w:r w:rsidRPr="009C5EFD">
        <w:rPr>
          <w:sz w:val="22"/>
          <w:szCs w:val="22"/>
        </w:rPr>
        <w:t xml:space="preserve"> pasienter i pivotale kontrollerte og åpne studier i opptil 60 måneder eller mer. Disse studiene inkluderte pasienter med nydiagnostisert og langvarig revmatoid artritt, juvenil idiopatisk artritt (polyartikulær juvenil idiopatisk artritt og entesittrelatert artritt) og pasienter med aksial spondylartritt (Bekhterevs sykdom/ankyloserende spondylitt og aksial spondylartritt uten radiografisk bekreftelse på ankyloserende spondylitt), psoriasisartritt, Crohns sykdom, ulcerøs kolitt, psoriasis</w:t>
      </w:r>
      <w:r>
        <w:rPr>
          <w:sz w:val="22"/>
          <w:szCs w:val="22"/>
        </w:rPr>
        <w:t>,</w:t>
      </w:r>
      <w:r w:rsidRPr="009C5EFD">
        <w:rPr>
          <w:sz w:val="22"/>
          <w:szCs w:val="22"/>
        </w:rPr>
        <w:t xml:space="preserve"> hidrosadenitt</w:t>
      </w:r>
      <w:r>
        <w:rPr>
          <w:sz w:val="22"/>
          <w:szCs w:val="22"/>
        </w:rPr>
        <w:t xml:space="preserve"> og uveitt</w:t>
      </w:r>
      <w:r w:rsidRPr="009C5EFD">
        <w:rPr>
          <w:sz w:val="22"/>
          <w:szCs w:val="22"/>
        </w:rPr>
        <w:t xml:space="preserve">. De pivotale kontrollerte studiene som inkluderer </w:t>
      </w:r>
      <w:r>
        <w:rPr>
          <w:sz w:val="22"/>
          <w:szCs w:val="22"/>
        </w:rPr>
        <w:t>6089</w:t>
      </w:r>
      <w:r w:rsidRPr="009C5EFD">
        <w:rPr>
          <w:sz w:val="22"/>
          <w:szCs w:val="22"/>
        </w:rPr>
        <w:t xml:space="preserve"> pasienter som </w:t>
      </w:r>
      <w:r w:rsidRPr="009C5EFD">
        <w:rPr>
          <w:sz w:val="22"/>
          <w:szCs w:val="22"/>
        </w:rPr>
        <w:lastRenderedPageBreak/>
        <w:t xml:space="preserve">ble behandlet med Humira og </w:t>
      </w:r>
      <w:r>
        <w:rPr>
          <w:sz w:val="22"/>
          <w:szCs w:val="22"/>
        </w:rPr>
        <w:t>3801</w:t>
      </w:r>
      <w:r w:rsidRPr="009C5EFD">
        <w:rPr>
          <w:sz w:val="22"/>
          <w:szCs w:val="22"/>
        </w:rPr>
        <w:t xml:space="preserve"> pasienter som fikk placebo eller aktiv kontroll i løpet av kontrollperioden.</w:t>
      </w:r>
    </w:p>
    <w:p w14:paraId="07BBA006" w14:textId="77777777" w:rsidR="009E676E" w:rsidRPr="009C5EFD" w:rsidRDefault="009E676E" w:rsidP="009E676E">
      <w:pPr>
        <w:rPr>
          <w:sz w:val="22"/>
          <w:szCs w:val="22"/>
        </w:rPr>
      </w:pPr>
    </w:p>
    <w:p w14:paraId="43F6CCE9" w14:textId="77777777" w:rsidR="009E676E" w:rsidRPr="009C5EFD" w:rsidRDefault="00E453CD" w:rsidP="009E676E">
      <w:pPr>
        <w:rPr>
          <w:sz w:val="22"/>
        </w:rPr>
      </w:pPr>
      <w:r w:rsidRPr="009C5EFD">
        <w:rPr>
          <w:sz w:val="22"/>
          <w:szCs w:val="22"/>
        </w:rPr>
        <w:t>Andelen pasienter som fikk seponert behandlingen på grunn av bivirkninger under den dobbeltblinde, kontrollerte delen av pivotale studier, var 5,</w:t>
      </w:r>
      <w:r>
        <w:rPr>
          <w:sz w:val="22"/>
          <w:szCs w:val="22"/>
        </w:rPr>
        <w:t>9</w:t>
      </w:r>
      <w:r w:rsidRPr="009C5EFD">
        <w:rPr>
          <w:sz w:val="22"/>
          <w:szCs w:val="22"/>
        </w:rPr>
        <w:t xml:space="preserve"> % for pasienter som fikk Humira og 5,4 % for pasienter i kontrollgrupper.</w:t>
      </w:r>
    </w:p>
    <w:p w14:paraId="6E1FF277" w14:textId="77777777" w:rsidR="009E676E" w:rsidRPr="009C5EFD" w:rsidRDefault="009E676E" w:rsidP="009E676E">
      <w:pPr>
        <w:rPr>
          <w:sz w:val="22"/>
          <w:szCs w:val="22"/>
        </w:rPr>
      </w:pPr>
    </w:p>
    <w:p w14:paraId="5AA5A7AE" w14:textId="77777777" w:rsidR="009E676E" w:rsidRPr="009C5EFD" w:rsidRDefault="00E453CD" w:rsidP="009E676E">
      <w:pPr>
        <w:rPr>
          <w:sz w:val="22"/>
          <w:szCs w:val="22"/>
        </w:rPr>
      </w:pPr>
      <w:r w:rsidRPr="009C5EFD">
        <w:rPr>
          <w:sz w:val="22"/>
          <w:szCs w:val="22"/>
        </w:rPr>
        <w:t>De mest vanlig rapporterte bivirkninger er infeksjoner (som nasofaryngitt, øvre luftveisinfeksjon og sinusitt), reaksjoner på injeksjonssted (erytem, kløe, blødning, smerte</w:t>
      </w:r>
      <w:r>
        <w:rPr>
          <w:sz w:val="22"/>
          <w:szCs w:val="22"/>
        </w:rPr>
        <w:t>r</w:t>
      </w:r>
      <w:r w:rsidRPr="009C5EFD">
        <w:rPr>
          <w:sz w:val="22"/>
          <w:szCs w:val="22"/>
        </w:rPr>
        <w:t xml:space="preserve"> eller hevelse), hodepine og smerter i skjelett og muskulatur. </w:t>
      </w:r>
    </w:p>
    <w:p w14:paraId="201EA025" w14:textId="77777777" w:rsidR="009E676E" w:rsidRPr="009C5EFD" w:rsidRDefault="009E676E" w:rsidP="009E676E">
      <w:pPr>
        <w:rPr>
          <w:sz w:val="22"/>
          <w:szCs w:val="22"/>
        </w:rPr>
      </w:pPr>
    </w:p>
    <w:p w14:paraId="51F26E6D" w14:textId="77777777" w:rsidR="009E676E" w:rsidRPr="009C5EFD" w:rsidRDefault="00E453CD" w:rsidP="009E676E">
      <w:pPr>
        <w:rPr>
          <w:sz w:val="22"/>
          <w:szCs w:val="22"/>
        </w:rPr>
      </w:pPr>
      <w:r w:rsidRPr="009C5EFD">
        <w:rPr>
          <w:sz w:val="22"/>
          <w:szCs w:val="22"/>
        </w:rPr>
        <w:t xml:space="preserve">Alvorlige bivirkninger er rapportert for Humira. TNF-antagonister som Humira påvirker immunsystemet og bruk av dem kan påvirke kroppens forsvar mot infeksjon og kreft. </w:t>
      </w:r>
    </w:p>
    <w:p w14:paraId="5C833445" w14:textId="77777777" w:rsidR="009E676E" w:rsidRPr="009C5EFD" w:rsidRDefault="00E453CD" w:rsidP="009E676E">
      <w:pPr>
        <w:rPr>
          <w:sz w:val="22"/>
          <w:szCs w:val="22"/>
        </w:rPr>
      </w:pPr>
      <w:r w:rsidRPr="009C5EFD">
        <w:rPr>
          <w:sz w:val="22"/>
          <w:szCs w:val="22"/>
        </w:rPr>
        <w:t xml:space="preserve">Fatale og livstruende </w:t>
      </w:r>
      <w:r w:rsidR="00257EC7">
        <w:rPr>
          <w:sz w:val="22"/>
          <w:szCs w:val="22"/>
        </w:rPr>
        <w:t>infeksjoner</w:t>
      </w:r>
      <w:r w:rsidR="00257EC7" w:rsidRPr="009C5EFD">
        <w:rPr>
          <w:sz w:val="22"/>
          <w:szCs w:val="22"/>
        </w:rPr>
        <w:t xml:space="preserve"> </w:t>
      </w:r>
      <w:r w:rsidRPr="009C5EFD">
        <w:rPr>
          <w:sz w:val="22"/>
          <w:szCs w:val="22"/>
        </w:rPr>
        <w:t>(inklusive sepsis, opportunistiske infeksjoner og TB), HBV-reaktivering og forskjellige maligniteter (inklusive leukemi, lymfom og HSTCL) er også rapportert ved bruk av Humira.</w:t>
      </w:r>
    </w:p>
    <w:p w14:paraId="307931C1" w14:textId="77777777" w:rsidR="009E676E" w:rsidRPr="009C5EFD" w:rsidRDefault="009E676E" w:rsidP="009E676E">
      <w:pPr>
        <w:rPr>
          <w:sz w:val="22"/>
          <w:szCs w:val="22"/>
        </w:rPr>
      </w:pPr>
    </w:p>
    <w:p w14:paraId="3476882A" w14:textId="77777777" w:rsidR="009E676E" w:rsidRPr="009C5EFD" w:rsidRDefault="00E453CD" w:rsidP="009E676E">
      <w:pPr>
        <w:rPr>
          <w:sz w:val="22"/>
          <w:szCs w:val="22"/>
        </w:rPr>
      </w:pPr>
      <w:r w:rsidRPr="009C5EFD">
        <w:rPr>
          <w:sz w:val="22"/>
          <w:szCs w:val="22"/>
        </w:rPr>
        <w:t>Alvorlige hematologiske, nevrologiske og autoimmune reaksjoner er også rapportert. Disse inkluderer sjeldne tilfeller av pancytopeni, aplastisk anemi, sentrale og perifere demyeliniseringsforstyrrelser og tilfeller av lupus, lupusrelaterte tilstander og Stevens-Johnson syndrom.</w:t>
      </w:r>
    </w:p>
    <w:p w14:paraId="42527EF0" w14:textId="77777777" w:rsidR="009E676E" w:rsidRPr="009C5EFD" w:rsidRDefault="009E676E" w:rsidP="009E676E">
      <w:pPr>
        <w:rPr>
          <w:sz w:val="22"/>
          <w:szCs w:val="22"/>
        </w:rPr>
      </w:pPr>
    </w:p>
    <w:p w14:paraId="71DC8232" w14:textId="77777777" w:rsidR="009E676E" w:rsidRPr="009C5EFD" w:rsidRDefault="00E453CD" w:rsidP="009E676E">
      <w:pPr>
        <w:keepNext/>
        <w:rPr>
          <w:sz w:val="22"/>
          <w:szCs w:val="22"/>
          <w:u w:val="single"/>
        </w:rPr>
      </w:pPr>
      <w:r w:rsidRPr="009C5EFD">
        <w:rPr>
          <w:sz w:val="22"/>
          <w:szCs w:val="22"/>
          <w:u w:val="single"/>
        </w:rPr>
        <w:t>Pediatrisk populasjon</w:t>
      </w:r>
    </w:p>
    <w:p w14:paraId="337B9D2B" w14:textId="77777777" w:rsidR="009E676E" w:rsidRPr="009C5EFD" w:rsidRDefault="009E676E" w:rsidP="00B07EA9">
      <w:pPr>
        <w:keepNext/>
        <w:rPr>
          <w:sz w:val="22"/>
          <w:szCs w:val="22"/>
        </w:rPr>
      </w:pPr>
    </w:p>
    <w:p w14:paraId="28494EC4" w14:textId="77777777" w:rsidR="009E676E" w:rsidRPr="009C5EFD" w:rsidRDefault="00E453CD" w:rsidP="009E676E">
      <w:pPr>
        <w:rPr>
          <w:sz w:val="22"/>
          <w:szCs w:val="22"/>
        </w:rPr>
      </w:pPr>
      <w:r w:rsidRPr="009C5EFD">
        <w:rPr>
          <w:sz w:val="22"/>
          <w:szCs w:val="22"/>
        </w:rPr>
        <w:t>Generelt hadde bivirkninger hos barn samme frekvens og type som hos voksne pasienter.</w:t>
      </w:r>
    </w:p>
    <w:p w14:paraId="1F5F8E5F" w14:textId="77777777" w:rsidR="009E676E" w:rsidRPr="009C5EFD" w:rsidRDefault="009E676E" w:rsidP="009E676E">
      <w:pPr>
        <w:rPr>
          <w:sz w:val="22"/>
          <w:szCs w:val="22"/>
        </w:rPr>
      </w:pPr>
    </w:p>
    <w:p w14:paraId="2FE58BD5" w14:textId="77777777" w:rsidR="009E676E" w:rsidRPr="009C5EFD" w:rsidRDefault="00E453CD" w:rsidP="00B07EA9">
      <w:pPr>
        <w:keepNext/>
        <w:rPr>
          <w:sz w:val="22"/>
          <w:szCs w:val="22"/>
          <w:u w:val="single"/>
        </w:rPr>
      </w:pPr>
      <w:r>
        <w:rPr>
          <w:sz w:val="22"/>
          <w:szCs w:val="22"/>
          <w:u w:val="single"/>
        </w:rPr>
        <w:t>Bivirkningstabell</w:t>
      </w:r>
    </w:p>
    <w:p w14:paraId="1432427F" w14:textId="77777777" w:rsidR="009E676E" w:rsidRPr="009C5EFD" w:rsidRDefault="009E676E" w:rsidP="00B07EA9">
      <w:pPr>
        <w:keepNext/>
        <w:rPr>
          <w:sz w:val="22"/>
          <w:szCs w:val="22"/>
        </w:rPr>
      </w:pPr>
    </w:p>
    <w:p w14:paraId="672DCCFD" w14:textId="77777777" w:rsidR="009E676E" w:rsidRPr="009C5EFD" w:rsidRDefault="00E453CD" w:rsidP="009E676E">
      <w:pPr>
        <w:rPr>
          <w:iCs/>
          <w:color w:val="000000"/>
          <w:sz w:val="22"/>
          <w:szCs w:val="22"/>
          <w:lang w:eastAsia="en-GB"/>
        </w:rPr>
      </w:pPr>
      <w:r w:rsidRPr="009C5EFD">
        <w:rPr>
          <w:sz w:val="22"/>
          <w:szCs w:val="22"/>
        </w:rPr>
        <w:t>Følgende liste av bivirkninger er basert på erfaring fra kliniske studier og erfaring etter markedsføring og er vist i henhold til organklas</w:t>
      </w:r>
      <w:r w:rsidR="000167E4">
        <w:rPr>
          <w:sz w:val="22"/>
          <w:szCs w:val="22"/>
        </w:rPr>
        <w:t xml:space="preserve">sesystem og forekomst i tabell </w:t>
      </w:r>
      <w:r w:rsidR="003F5EAC">
        <w:rPr>
          <w:sz w:val="22"/>
          <w:szCs w:val="22"/>
        </w:rPr>
        <w:t>4</w:t>
      </w:r>
      <w:r w:rsidR="003F5EAC" w:rsidRPr="009C5EFD">
        <w:rPr>
          <w:sz w:val="22"/>
          <w:szCs w:val="22"/>
        </w:rPr>
        <w:t xml:space="preserve"> </w:t>
      </w:r>
      <w:r w:rsidRPr="009C5EFD">
        <w:rPr>
          <w:sz w:val="22"/>
          <w:szCs w:val="22"/>
        </w:rPr>
        <w:t>nedenfor: Svært vanlige (</w:t>
      </w:r>
      <w:r w:rsidRPr="007F67EE">
        <w:rPr>
          <w:rFonts w:ascii="Symbol" w:hAnsi="Symbol"/>
          <w:sz w:val="22"/>
          <w:szCs w:val="22"/>
        </w:rPr>
        <w:sym w:font="Symbol" w:char="F0B3"/>
      </w:r>
      <w:r w:rsidRPr="007F67EE">
        <w:rPr>
          <w:sz w:val="22"/>
          <w:szCs w:val="22"/>
        </w:rPr>
        <w:t> </w:t>
      </w:r>
      <w:r w:rsidRPr="00193D76">
        <w:rPr>
          <w:sz w:val="22"/>
          <w:szCs w:val="22"/>
        </w:rPr>
        <w:t>1/10</w:t>
      </w:r>
      <w:r w:rsidRPr="002D0790">
        <w:rPr>
          <w:sz w:val="22"/>
          <w:szCs w:val="22"/>
        </w:rPr>
        <w:t>); vanlige</w:t>
      </w:r>
      <w:r w:rsidRPr="009C5EFD">
        <w:rPr>
          <w:sz w:val="22"/>
          <w:szCs w:val="22"/>
        </w:rPr>
        <w:t xml:space="preserve"> (</w:t>
      </w:r>
      <w:r w:rsidRPr="007F67EE">
        <w:rPr>
          <w:rFonts w:ascii="Symbol" w:hAnsi="Symbol"/>
          <w:sz w:val="22"/>
          <w:szCs w:val="22"/>
        </w:rPr>
        <w:sym w:font="Symbol" w:char="F0B3"/>
      </w:r>
      <w:r w:rsidRPr="007F67EE">
        <w:rPr>
          <w:sz w:val="22"/>
          <w:szCs w:val="22"/>
        </w:rPr>
        <w:t> </w:t>
      </w:r>
      <w:r w:rsidRPr="00193D76">
        <w:rPr>
          <w:sz w:val="22"/>
          <w:szCs w:val="22"/>
        </w:rPr>
        <w:t>1/100</w:t>
      </w:r>
      <w:r w:rsidRPr="002D0790">
        <w:rPr>
          <w:sz w:val="22"/>
          <w:szCs w:val="22"/>
        </w:rPr>
        <w:t> </w:t>
      </w:r>
      <w:r w:rsidRPr="00E14E58">
        <w:rPr>
          <w:sz w:val="22"/>
          <w:szCs w:val="22"/>
        </w:rPr>
        <w:t>til &lt;</w:t>
      </w:r>
      <w:r w:rsidRPr="009C5EFD">
        <w:rPr>
          <w:sz w:val="22"/>
          <w:szCs w:val="22"/>
        </w:rPr>
        <w:t> 1/10); mindre vanlige (</w:t>
      </w:r>
      <w:r w:rsidRPr="007F67EE">
        <w:rPr>
          <w:rFonts w:ascii="Symbol" w:hAnsi="Symbol"/>
          <w:sz w:val="22"/>
          <w:szCs w:val="22"/>
        </w:rPr>
        <w:sym w:font="Symbol" w:char="F0B3"/>
      </w:r>
      <w:r w:rsidRPr="007F67EE">
        <w:rPr>
          <w:sz w:val="22"/>
          <w:szCs w:val="22"/>
        </w:rPr>
        <w:t> </w:t>
      </w:r>
      <w:r w:rsidRPr="00193D76">
        <w:rPr>
          <w:sz w:val="22"/>
          <w:szCs w:val="22"/>
        </w:rPr>
        <w:t>1/1000 til &lt;</w:t>
      </w:r>
      <w:r w:rsidRPr="002D0790">
        <w:rPr>
          <w:sz w:val="22"/>
          <w:szCs w:val="22"/>
        </w:rPr>
        <w:t> </w:t>
      </w:r>
      <w:r w:rsidRPr="00E14E58">
        <w:rPr>
          <w:sz w:val="22"/>
          <w:szCs w:val="22"/>
        </w:rPr>
        <w:t>1/100</w:t>
      </w:r>
      <w:r w:rsidRPr="009C5EFD">
        <w:rPr>
          <w:sz w:val="22"/>
          <w:szCs w:val="22"/>
        </w:rPr>
        <w:t>)</w:t>
      </w:r>
      <w:r w:rsidR="00465D4D">
        <w:rPr>
          <w:sz w:val="22"/>
          <w:szCs w:val="22"/>
        </w:rPr>
        <w:t>;</w:t>
      </w:r>
      <w:r w:rsidRPr="009C5EFD">
        <w:rPr>
          <w:sz w:val="22"/>
          <w:szCs w:val="22"/>
        </w:rPr>
        <w:t xml:space="preserve"> sjeldne (</w:t>
      </w:r>
      <w:r w:rsidRPr="007F67EE">
        <w:rPr>
          <w:rFonts w:ascii="Symbol" w:hAnsi="Symbol"/>
          <w:sz w:val="22"/>
          <w:szCs w:val="22"/>
        </w:rPr>
        <w:sym w:font="Symbol" w:char="F0B3"/>
      </w:r>
      <w:r w:rsidRPr="007F67EE">
        <w:rPr>
          <w:sz w:val="22"/>
          <w:szCs w:val="22"/>
        </w:rPr>
        <w:t> </w:t>
      </w:r>
      <w:r w:rsidRPr="00193D76">
        <w:rPr>
          <w:sz w:val="22"/>
          <w:szCs w:val="22"/>
        </w:rPr>
        <w:t>1/10</w:t>
      </w:r>
      <w:r w:rsidRPr="002D0790">
        <w:rPr>
          <w:sz w:val="22"/>
          <w:szCs w:val="22"/>
        </w:rPr>
        <w:t xml:space="preserve"> 000 til</w:t>
      </w:r>
      <w:r w:rsidRPr="00E14E58">
        <w:rPr>
          <w:sz w:val="22"/>
          <w:szCs w:val="22"/>
        </w:rPr>
        <w:t xml:space="preserve"> &lt;</w:t>
      </w:r>
      <w:r w:rsidRPr="009C5EFD">
        <w:rPr>
          <w:sz w:val="22"/>
          <w:szCs w:val="22"/>
        </w:rPr>
        <w:t xml:space="preserve"> 1/1000); og ikke kjent (kan ikke anslås ut ifra tilgjengelig data). Innenfor hver frekvensgruppering er bivirkninger presentert etter synkende alvorlighetsgrad. Den høyeste frekvens som er sett blant de forskjellige indikasjonene er inkludert. Dersom det finnes ytterligere informasjon et annet sted i </w:t>
      </w:r>
      <w:r w:rsidR="00ED6DD4">
        <w:rPr>
          <w:sz w:val="22"/>
          <w:szCs w:val="22"/>
        </w:rPr>
        <w:t>pkt.</w:t>
      </w:r>
      <w:r w:rsidRPr="009C5EFD">
        <w:rPr>
          <w:sz w:val="22"/>
          <w:szCs w:val="22"/>
        </w:rPr>
        <w:t xml:space="preserve"> 4.3, 4.4. og 4.8 vil denne bli merket med stjerne </w:t>
      </w:r>
      <w:r>
        <w:rPr>
          <w:sz w:val="22"/>
          <w:szCs w:val="22"/>
        </w:rPr>
        <w:t>(*)</w:t>
      </w:r>
      <w:r w:rsidRPr="009C5EFD">
        <w:rPr>
          <w:sz w:val="22"/>
          <w:szCs w:val="22"/>
        </w:rPr>
        <w:t xml:space="preserve"> i organ</w:t>
      </w:r>
      <w:r w:rsidR="00257EC7">
        <w:rPr>
          <w:sz w:val="22"/>
          <w:szCs w:val="22"/>
        </w:rPr>
        <w:t>klasse</w:t>
      </w:r>
      <w:r w:rsidRPr="009C5EFD">
        <w:rPr>
          <w:sz w:val="22"/>
          <w:szCs w:val="22"/>
        </w:rPr>
        <w:t>system kolonnen.</w:t>
      </w:r>
    </w:p>
    <w:p w14:paraId="631DF15B" w14:textId="77777777" w:rsidR="009E676E" w:rsidRPr="009C5EFD" w:rsidRDefault="009E676E" w:rsidP="009E676E">
      <w:pPr>
        <w:jc w:val="center"/>
        <w:rPr>
          <w:b/>
          <w:sz w:val="22"/>
          <w:szCs w:val="22"/>
        </w:rPr>
      </w:pPr>
    </w:p>
    <w:p w14:paraId="0EC11C09" w14:textId="77777777" w:rsidR="009E676E" w:rsidRPr="009C5EFD" w:rsidRDefault="00E453CD" w:rsidP="009E676E">
      <w:pPr>
        <w:keepNext/>
        <w:jc w:val="center"/>
        <w:rPr>
          <w:b/>
          <w:sz w:val="22"/>
          <w:szCs w:val="22"/>
        </w:rPr>
      </w:pPr>
      <w:r>
        <w:rPr>
          <w:b/>
          <w:sz w:val="22"/>
          <w:szCs w:val="22"/>
        </w:rPr>
        <w:t xml:space="preserve">Tabell </w:t>
      </w:r>
      <w:r w:rsidR="003F5EAC">
        <w:rPr>
          <w:b/>
          <w:sz w:val="22"/>
          <w:szCs w:val="22"/>
        </w:rPr>
        <w:t>4</w:t>
      </w:r>
    </w:p>
    <w:p w14:paraId="215D2EEF" w14:textId="77777777" w:rsidR="009E676E" w:rsidRPr="009C5EFD" w:rsidRDefault="00E453CD" w:rsidP="009E676E">
      <w:pPr>
        <w:keepNext/>
        <w:jc w:val="center"/>
        <w:rPr>
          <w:b/>
          <w:sz w:val="22"/>
          <w:szCs w:val="22"/>
        </w:rPr>
      </w:pPr>
      <w:r w:rsidRPr="009C5EFD">
        <w:rPr>
          <w:b/>
          <w:sz w:val="22"/>
          <w:szCs w:val="22"/>
        </w:rPr>
        <w:t xml:space="preserve">Bivirkninger </w:t>
      </w:r>
    </w:p>
    <w:p w14:paraId="0EDE3A01" w14:textId="77777777" w:rsidR="009E676E" w:rsidRPr="009C5EFD" w:rsidRDefault="009E676E" w:rsidP="009E676E">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9"/>
        <w:gridCol w:w="1682"/>
        <w:gridCol w:w="4294"/>
      </w:tblGrid>
      <w:tr w:rsidR="004644D4" w14:paraId="3AD664F5" w14:textId="77777777" w:rsidTr="00032240">
        <w:tc>
          <w:tcPr>
            <w:tcW w:w="3079" w:type="dxa"/>
          </w:tcPr>
          <w:p w14:paraId="7E63EE29" w14:textId="77777777" w:rsidR="009E676E" w:rsidRPr="009C5EFD" w:rsidRDefault="00E453CD" w:rsidP="00FD5FF1">
            <w:pPr>
              <w:pStyle w:val="EndnoteText"/>
              <w:keepNext/>
              <w:tabs>
                <w:tab w:val="clear" w:pos="567"/>
              </w:tabs>
              <w:jc w:val="center"/>
              <w:rPr>
                <w:b/>
                <w:szCs w:val="22"/>
                <w:lang w:val="nb-NO"/>
              </w:rPr>
            </w:pPr>
            <w:r w:rsidRPr="009C5EFD">
              <w:rPr>
                <w:b/>
                <w:szCs w:val="22"/>
                <w:lang w:val="nb-NO"/>
              </w:rPr>
              <w:t>Organklassesystem</w:t>
            </w:r>
          </w:p>
        </w:tc>
        <w:tc>
          <w:tcPr>
            <w:tcW w:w="1682" w:type="dxa"/>
          </w:tcPr>
          <w:p w14:paraId="5AB484C4" w14:textId="77777777" w:rsidR="009E676E" w:rsidRPr="009C5EFD" w:rsidRDefault="00E453CD" w:rsidP="00FD5FF1">
            <w:pPr>
              <w:pStyle w:val="EndnoteText"/>
              <w:keepNext/>
              <w:tabs>
                <w:tab w:val="clear" w:pos="567"/>
              </w:tabs>
              <w:jc w:val="center"/>
              <w:rPr>
                <w:b/>
                <w:szCs w:val="22"/>
                <w:lang w:val="nb-NO"/>
              </w:rPr>
            </w:pPr>
            <w:r w:rsidRPr="009C5EFD">
              <w:rPr>
                <w:b/>
                <w:szCs w:val="22"/>
                <w:lang w:val="nb-NO"/>
              </w:rPr>
              <w:t>Frekvens</w:t>
            </w:r>
          </w:p>
        </w:tc>
        <w:tc>
          <w:tcPr>
            <w:tcW w:w="4294" w:type="dxa"/>
          </w:tcPr>
          <w:p w14:paraId="5A56465E" w14:textId="77777777" w:rsidR="009E676E" w:rsidRPr="009C5EFD" w:rsidRDefault="00E453CD" w:rsidP="00FD5FF1">
            <w:pPr>
              <w:pStyle w:val="EndnoteText"/>
              <w:keepNext/>
              <w:tabs>
                <w:tab w:val="clear" w:pos="567"/>
              </w:tabs>
              <w:jc w:val="center"/>
              <w:rPr>
                <w:b/>
                <w:szCs w:val="22"/>
                <w:lang w:val="nb-NO"/>
              </w:rPr>
            </w:pPr>
            <w:r w:rsidRPr="009C5EFD">
              <w:rPr>
                <w:b/>
                <w:szCs w:val="22"/>
                <w:lang w:val="nb-NO"/>
              </w:rPr>
              <w:t>Bivirkninger</w:t>
            </w:r>
          </w:p>
        </w:tc>
      </w:tr>
      <w:tr w:rsidR="004644D4" w14:paraId="2C63DE14" w14:textId="77777777" w:rsidTr="00032240">
        <w:trPr>
          <w:trHeight w:val="1061"/>
        </w:trPr>
        <w:tc>
          <w:tcPr>
            <w:tcW w:w="3079" w:type="dxa"/>
            <w:vMerge w:val="restart"/>
          </w:tcPr>
          <w:p w14:paraId="4DEBD88E" w14:textId="77777777" w:rsidR="009E676E" w:rsidRPr="00193D76" w:rsidRDefault="00E453CD" w:rsidP="00FD5FF1">
            <w:pPr>
              <w:pStyle w:val="EndnoteText"/>
              <w:keepNext/>
              <w:tabs>
                <w:tab w:val="clear" w:pos="567"/>
              </w:tabs>
              <w:rPr>
                <w:szCs w:val="22"/>
                <w:lang w:val="nb-NO"/>
              </w:rPr>
            </w:pPr>
            <w:r w:rsidRPr="007F67EE">
              <w:rPr>
                <w:szCs w:val="22"/>
                <w:lang w:val="nb-NO"/>
              </w:rPr>
              <w:t>Infeksiøse og par</w:t>
            </w:r>
            <w:r w:rsidRPr="00193D76">
              <w:rPr>
                <w:szCs w:val="22"/>
                <w:lang w:val="nb-NO"/>
              </w:rPr>
              <w:t>asittære sykdommer*</w:t>
            </w:r>
          </w:p>
        </w:tc>
        <w:tc>
          <w:tcPr>
            <w:tcW w:w="1682" w:type="dxa"/>
          </w:tcPr>
          <w:p w14:paraId="6BDF9959" w14:textId="77777777" w:rsidR="009E676E" w:rsidRPr="00E14E58" w:rsidRDefault="00E453CD" w:rsidP="00FD5FF1">
            <w:pPr>
              <w:pStyle w:val="EndnoteText"/>
              <w:keepNext/>
              <w:tabs>
                <w:tab w:val="clear" w:pos="567"/>
              </w:tabs>
              <w:rPr>
                <w:szCs w:val="22"/>
                <w:lang w:val="nb-NO"/>
              </w:rPr>
            </w:pPr>
            <w:r w:rsidRPr="00E14E58">
              <w:rPr>
                <w:szCs w:val="22"/>
                <w:lang w:val="nb-NO"/>
              </w:rPr>
              <w:t>Svært vanlige</w:t>
            </w:r>
          </w:p>
          <w:p w14:paraId="7C0ADC65" w14:textId="77777777" w:rsidR="009E676E" w:rsidRPr="009C5EFD" w:rsidRDefault="009E676E" w:rsidP="00FD5FF1">
            <w:pPr>
              <w:pStyle w:val="EndnoteText"/>
              <w:keepNext/>
              <w:tabs>
                <w:tab w:val="clear" w:pos="567"/>
              </w:tabs>
              <w:rPr>
                <w:szCs w:val="22"/>
                <w:lang w:val="nb-NO"/>
              </w:rPr>
            </w:pPr>
          </w:p>
        </w:tc>
        <w:tc>
          <w:tcPr>
            <w:tcW w:w="4294" w:type="dxa"/>
          </w:tcPr>
          <w:p w14:paraId="47B612A4" w14:textId="77777777" w:rsidR="009E676E" w:rsidRPr="009C5EFD" w:rsidRDefault="00E453CD" w:rsidP="00FD5FF1">
            <w:pPr>
              <w:pStyle w:val="EMEAFigureTitle"/>
              <w:keepNext/>
              <w:tabs>
                <w:tab w:val="clear" w:pos="562"/>
              </w:tabs>
              <w:suppressAutoHyphens w:val="0"/>
              <w:rPr>
                <w:szCs w:val="22"/>
                <w:lang w:val="nb-NO"/>
              </w:rPr>
            </w:pPr>
            <w:r w:rsidRPr="009C5EFD">
              <w:rPr>
                <w:szCs w:val="22"/>
                <w:lang w:val="nb-NO"/>
              </w:rPr>
              <w:t xml:space="preserve">Luftveisinfeksjon (inkludert nedre og øvre luftveisinfeksjon, </w:t>
            </w:r>
            <w:r w:rsidR="00D67D8E">
              <w:rPr>
                <w:szCs w:val="22"/>
                <w:lang w:val="nb-NO"/>
              </w:rPr>
              <w:t>pneumoni</w:t>
            </w:r>
            <w:r w:rsidRPr="009C5EFD">
              <w:rPr>
                <w:szCs w:val="22"/>
                <w:lang w:val="nb-NO"/>
              </w:rPr>
              <w:t>, sinusitt, faryngitt, nasofaryngitt og herpesvirus pneumoni)</w:t>
            </w:r>
          </w:p>
          <w:p w14:paraId="2EF5F279" w14:textId="77777777" w:rsidR="009E676E" w:rsidRPr="009C5EFD" w:rsidRDefault="009E676E" w:rsidP="00FD5FF1">
            <w:pPr>
              <w:pStyle w:val="EMEAFigureTitle"/>
              <w:keepNext/>
              <w:tabs>
                <w:tab w:val="clear" w:pos="562"/>
              </w:tabs>
              <w:suppressAutoHyphens w:val="0"/>
              <w:rPr>
                <w:szCs w:val="22"/>
                <w:lang w:val="nb-NO"/>
              </w:rPr>
            </w:pPr>
          </w:p>
        </w:tc>
      </w:tr>
      <w:tr w:rsidR="004644D4" w14:paraId="1D5F618F" w14:textId="77777777" w:rsidTr="00032240">
        <w:trPr>
          <w:trHeight w:val="3116"/>
        </w:trPr>
        <w:tc>
          <w:tcPr>
            <w:tcW w:w="3079" w:type="dxa"/>
            <w:vMerge/>
          </w:tcPr>
          <w:p w14:paraId="0E4B821B" w14:textId="77777777" w:rsidR="009E676E" w:rsidRPr="009C5EFD" w:rsidRDefault="009E676E" w:rsidP="00FD5FF1">
            <w:pPr>
              <w:pStyle w:val="EndnoteText"/>
              <w:tabs>
                <w:tab w:val="clear" w:pos="567"/>
              </w:tabs>
              <w:rPr>
                <w:szCs w:val="22"/>
                <w:lang w:val="nb-NO"/>
              </w:rPr>
            </w:pPr>
          </w:p>
        </w:tc>
        <w:tc>
          <w:tcPr>
            <w:tcW w:w="1682" w:type="dxa"/>
          </w:tcPr>
          <w:p w14:paraId="01CAFB50" w14:textId="77777777" w:rsidR="009E676E" w:rsidRPr="009C5EFD" w:rsidRDefault="00E453CD" w:rsidP="00FD5FF1">
            <w:pPr>
              <w:pStyle w:val="EndnoteText"/>
              <w:tabs>
                <w:tab w:val="clear" w:pos="567"/>
              </w:tabs>
              <w:rPr>
                <w:szCs w:val="22"/>
                <w:lang w:val="nb-NO"/>
              </w:rPr>
            </w:pPr>
            <w:r w:rsidRPr="009C5EFD">
              <w:rPr>
                <w:szCs w:val="22"/>
                <w:lang w:val="nb-NO"/>
              </w:rPr>
              <w:t>Vanlige</w:t>
            </w:r>
          </w:p>
          <w:p w14:paraId="6317D3B3" w14:textId="77777777" w:rsidR="009E676E" w:rsidRPr="009C5EFD" w:rsidRDefault="009E676E" w:rsidP="00FD5FF1">
            <w:pPr>
              <w:pStyle w:val="EndnoteText"/>
              <w:tabs>
                <w:tab w:val="clear" w:pos="567"/>
              </w:tabs>
              <w:rPr>
                <w:szCs w:val="22"/>
                <w:lang w:val="nb-NO"/>
              </w:rPr>
            </w:pPr>
          </w:p>
        </w:tc>
        <w:tc>
          <w:tcPr>
            <w:tcW w:w="4294" w:type="dxa"/>
          </w:tcPr>
          <w:p w14:paraId="2421573E" w14:textId="77777777" w:rsidR="009E676E" w:rsidRPr="009C5EFD" w:rsidRDefault="00E453CD" w:rsidP="00FD5FF1">
            <w:pPr>
              <w:widowControl w:val="0"/>
              <w:rPr>
                <w:sz w:val="22"/>
                <w:szCs w:val="22"/>
              </w:rPr>
            </w:pPr>
            <w:r w:rsidRPr="009C5EFD">
              <w:rPr>
                <w:sz w:val="22"/>
                <w:szCs w:val="22"/>
              </w:rPr>
              <w:t xml:space="preserve">Systemiske infeksjoner (inkludert </w:t>
            </w:r>
            <w:r w:rsidR="00D67D8E">
              <w:rPr>
                <w:sz w:val="22"/>
                <w:szCs w:val="22"/>
              </w:rPr>
              <w:t>sepsis</w:t>
            </w:r>
            <w:r w:rsidRPr="009C5EFD">
              <w:rPr>
                <w:sz w:val="22"/>
                <w:szCs w:val="22"/>
              </w:rPr>
              <w:t xml:space="preserve">, candidiasis og influensa), intestinale infeksjoner (inkludert viral gastroenteritt), hud- og bløtvevsinfeksjoner (inkludert paronyki, cellulitt, impetigo, nekrotiserende fasciitt og herpes zoster), øreinfeksjoner, orale infeksjoner (inkludert herpes simplex, oral herpes, tanninfeksjoner), infeksjoner i reproduksjonsorgan (inkludert vulvovaginal soppinfeksjon), urinveisinfeksjoner (inkludert pyelonefritt), soppinfeksjoner, </w:t>
            </w:r>
            <w:r w:rsidRPr="009C5EFD">
              <w:rPr>
                <w:szCs w:val="22"/>
              </w:rPr>
              <w:t>leddinfeksjoner</w:t>
            </w:r>
          </w:p>
          <w:p w14:paraId="2E1CAE81" w14:textId="77777777" w:rsidR="009E676E" w:rsidRPr="009C5EFD" w:rsidRDefault="009E676E" w:rsidP="00FD5FF1">
            <w:pPr>
              <w:pStyle w:val="EndnoteText"/>
              <w:tabs>
                <w:tab w:val="clear" w:pos="567"/>
              </w:tabs>
              <w:rPr>
                <w:szCs w:val="22"/>
                <w:lang w:val="nb-NO"/>
              </w:rPr>
            </w:pPr>
          </w:p>
        </w:tc>
      </w:tr>
      <w:tr w:rsidR="004644D4" w14:paraId="5077CF77" w14:textId="77777777" w:rsidTr="00032240">
        <w:trPr>
          <w:trHeight w:val="1594"/>
        </w:trPr>
        <w:tc>
          <w:tcPr>
            <w:tcW w:w="3079" w:type="dxa"/>
            <w:vMerge/>
          </w:tcPr>
          <w:p w14:paraId="6F2E647E" w14:textId="77777777" w:rsidR="009E676E" w:rsidRPr="009C5EFD" w:rsidRDefault="009E676E" w:rsidP="00FD5FF1">
            <w:pPr>
              <w:pStyle w:val="EndnoteText"/>
              <w:tabs>
                <w:tab w:val="clear" w:pos="567"/>
              </w:tabs>
              <w:rPr>
                <w:szCs w:val="22"/>
                <w:lang w:val="nb-NO"/>
              </w:rPr>
            </w:pPr>
          </w:p>
        </w:tc>
        <w:tc>
          <w:tcPr>
            <w:tcW w:w="1682" w:type="dxa"/>
          </w:tcPr>
          <w:p w14:paraId="61D222CB" w14:textId="77777777" w:rsidR="009E676E" w:rsidRPr="009C5EFD" w:rsidRDefault="00E453CD" w:rsidP="00FD5FF1">
            <w:pPr>
              <w:pStyle w:val="EndnoteText"/>
              <w:tabs>
                <w:tab w:val="clear" w:pos="567"/>
              </w:tabs>
              <w:rPr>
                <w:szCs w:val="22"/>
                <w:lang w:val="nb-NO"/>
              </w:rPr>
            </w:pPr>
            <w:r w:rsidRPr="009C5EFD">
              <w:rPr>
                <w:szCs w:val="22"/>
                <w:lang w:val="nb-NO"/>
              </w:rPr>
              <w:t>Mindre vanlige</w:t>
            </w:r>
          </w:p>
        </w:tc>
        <w:tc>
          <w:tcPr>
            <w:tcW w:w="4294" w:type="dxa"/>
          </w:tcPr>
          <w:p w14:paraId="558DAAAC" w14:textId="77777777" w:rsidR="009E676E" w:rsidRPr="009C5EFD" w:rsidRDefault="00E453CD" w:rsidP="00FD5FF1">
            <w:pPr>
              <w:pStyle w:val="EMEANormal"/>
              <w:widowControl w:val="0"/>
              <w:rPr>
                <w:szCs w:val="22"/>
                <w:vertAlign w:val="superscript"/>
                <w:lang w:val="nb-NO"/>
              </w:rPr>
            </w:pPr>
            <w:r w:rsidRPr="009C5EFD">
              <w:rPr>
                <w:szCs w:val="22"/>
                <w:lang w:val="nb-NO"/>
              </w:rPr>
              <w:t>Nevrologiske infeksjoner (inkludert viral meningitt), opportunistiske infeksjoner og tuberkulose (inkludert koksidioidomykose, histoplamose og mycobactrium avium kompleks-infeksjon), bakterieinfeksjoner, øyeinfeksjoner, divertikulitt</w:t>
            </w:r>
            <w:r w:rsidRPr="009C5EFD">
              <w:rPr>
                <w:szCs w:val="22"/>
                <w:vertAlign w:val="superscript"/>
                <w:lang w:val="nb-NO"/>
              </w:rPr>
              <w:t>1)</w:t>
            </w:r>
          </w:p>
          <w:p w14:paraId="36D97C06" w14:textId="77777777" w:rsidR="009E676E" w:rsidRPr="009C5EFD" w:rsidRDefault="009E676E" w:rsidP="00FD5FF1">
            <w:pPr>
              <w:pStyle w:val="EMEANormal"/>
              <w:widowControl w:val="0"/>
              <w:rPr>
                <w:szCs w:val="22"/>
                <w:vertAlign w:val="superscript"/>
                <w:lang w:val="nb-NO"/>
              </w:rPr>
            </w:pPr>
          </w:p>
        </w:tc>
      </w:tr>
      <w:tr w:rsidR="004644D4" w14:paraId="2650F12C" w14:textId="77777777" w:rsidTr="00032240">
        <w:tc>
          <w:tcPr>
            <w:tcW w:w="3079" w:type="dxa"/>
            <w:vMerge w:val="restart"/>
          </w:tcPr>
          <w:p w14:paraId="1F5EE78B" w14:textId="77777777" w:rsidR="009E676E" w:rsidRPr="009C5EFD" w:rsidRDefault="00E453CD" w:rsidP="00FD5FF1">
            <w:pPr>
              <w:rPr>
                <w:sz w:val="22"/>
                <w:szCs w:val="22"/>
              </w:rPr>
            </w:pPr>
            <w:r w:rsidRPr="009C5EFD">
              <w:rPr>
                <w:sz w:val="22"/>
                <w:szCs w:val="22"/>
              </w:rPr>
              <w:t>Godartede, ondartede og uspesifiserte svulster (inkludert cyster og polypper)*</w:t>
            </w:r>
          </w:p>
        </w:tc>
        <w:tc>
          <w:tcPr>
            <w:tcW w:w="1682" w:type="dxa"/>
          </w:tcPr>
          <w:p w14:paraId="16E574C6" w14:textId="77777777" w:rsidR="009E676E" w:rsidRPr="009C5EFD" w:rsidRDefault="00E453CD" w:rsidP="00FD5FF1">
            <w:pPr>
              <w:rPr>
                <w:sz w:val="22"/>
                <w:szCs w:val="22"/>
              </w:rPr>
            </w:pPr>
            <w:r w:rsidRPr="009C5EFD">
              <w:rPr>
                <w:sz w:val="22"/>
                <w:szCs w:val="22"/>
              </w:rPr>
              <w:t>Vanlige</w:t>
            </w:r>
          </w:p>
          <w:p w14:paraId="7BBD8906" w14:textId="77777777" w:rsidR="009E676E" w:rsidRPr="009C5EFD" w:rsidRDefault="009E676E" w:rsidP="00FD5FF1">
            <w:pPr>
              <w:rPr>
                <w:sz w:val="22"/>
                <w:szCs w:val="22"/>
              </w:rPr>
            </w:pPr>
          </w:p>
          <w:p w14:paraId="313E94C1" w14:textId="77777777" w:rsidR="009E676E" w:rsidRPr="009C5EFD" w:rsidRDefault="009E676E" w:rsidP="00FD5FF1">
            <w:pPr>
              <w:rPr>
                <w:sz w:val="22"/>
                <w:szCs w:val="22"/>
              </w:rPr>
            </w:pPr>
          </w:p>
        </w:tc>
        <w:tc>
          <w:tcPr>
            <w:tcW w:w="4294" w:type="dxa"/>
          </w:tcPr>
          <w:p w14:paraId="48DD8768" w14:textId="77777777" w:rsidR="009E676E" w:rsidRPr="009C5EFD" w:rsidRDefault="00E453CD" w:rsidP="00FD5FF1">
            <w:pPr>
              <w:rPr>
                <w:sz w:val="22"/>
                <w:szCs w:val="22"/>
              </w:rPr>
            </w:pPr>
            <w:r w:rsidRPr="009C5EFD">
              <w:rPr>
                <w:sz w:val="22"/>
                <w:szCs w:val="22"/>
              </w:rPr>
              <w:t xml:space="preserve">Hudkreft unntatt melanom (inkludert basalcellekarsinom og </w:t>
            </w:r>
            <w:r w:rsidRPr="009C5EFD">
              <w:rPr>
                <w:rStyle w:val="equivalent"/>
                <w:sz w:val="22"/>
                <w:szCs w:val="22"/>
              </w:rPr>
              <w:t>plateepitelkarsinom</w:t>
            </w:r>
            <w:r w:rsidRPr="009C5EFD">
              <w:rPr>
                <w:sz w:val="22"/>
                <w:szCs w:val="22"/>
              </w:rPr>
              <w:t xml:space="preserve">), godartet svulst </w:t>
            </w:r>
          </w:p>
          <w:p w14:paraId="75A06BB5" w14:textId="77777777" w:rsidR="009E676E" w:rsidRPr="009C5EFD" w:rsidRDefault="009E676E" w:rsidP="00FD5FF1">
            <w:pPr>
              <w:rPr>
                <w:sz w:val="22"/>
                <w:szCs w:val="22"/>
              </w:rPr>
            </w:pPr>
          </w:p>
        </w:tc>
      </w:tr>
      <w:tr w:rsidR="004644D4" w14:paraId="29EE8E8D" w14:textId="77777777" w:rsidTr="00032240">
        <w:tc>
          <w:tcPr>
            <w:tcW w:w="3079" w:type="dxa"/>
            <w:vMerge/>
          </w:tcPr>
          <w:p w14:paraId="0A40E68D" w14:textId="77777777" w:rsidR="009E676E" w:rsidRPr="009C5EFD" w:rsidRDefault="009E676E" w:rsidP="00FD5FF1">
            <w:pPr>
              <w:rPr>
                <w:sz w:val="22"/>
                <w:szCs w:val="22"/>
              </w:rPr>
            </w:pPr>
          </w:p>
        </w:tc>
        <w:tc>
          <w:tcPr>
            <w:tcW w:w="1682" w:type="dxa"/>
          </w:tcPr>
          <w:p w14:paraId="76D96039" w14:textId="77777777" w:rsidR="009E676E" w:rsidRPr="009C5EFD" w:rsidRDefault="00E453CD" w:rsidP="00FD5FF1">
            <w:pPr>
              <w:rPr>
                <w:sz w:val="22"/>
                <w:szCs w:val="22"/>
              </w:rPr>
            </w:pPr>
            <w:r w:rsidRPr="009C5EFD">
              <w:rPr>
                <w:sz w:val="22"/>
                <w:szCs w:val="22"/>
              </w:rPr>
              <w:t>Mindre vanlige</w:t>
            </w:r>
          </w:p>
          <w:p w14:paraId="0C4D62F8" w14:textId="77777777" w:rsidR="009E676E" w:rsidRPr="009C5EFD" w:rsidRDefault="009E676E" w:rsidP="00FD5FF1">
            <w:pPr>
              <w:rPr>
                <w:sz w:val="22"/>
                <w:szCs w:val="22"/>
              </w:rPr>
            </w:pPr>
          </w:p>
        </w:tc>
        <w:tc>
          <w:tcPr>
            <w:tcW w:w="4294" w:type="dxa"/>
          </w:tcPr>
          <w:p w14:paraId="0FDA8C1A" w14:textId="77777777" w:rsidR="009E676E" w:rsidRPr="009C5EFD" w:rsidRDefault="00E453CD" w:rsidP="00FD5FF1">
            <w:pPr>
              <w:rPr>
                <w:bCs/>
                <w:sz w:val="22"/>
                <w:szCs w:val="22"/>
              </w:rPr>
            </w:pPr>
            <w:r w:rsidRPr="009C5EFD">
              <w:rPr>
                <w:bCs/>
                <w:sz w:val="22"/>
                <w:szCs w:val="22"/>
              </w:rPr>
              <w:t>Lymfom**, solid organneoplasme (inkludert brystkreft, svulst i lunge, svulst i skjoldbruskkjertel), melanom**</w:t>
            </w:r>
          </w:p>
          <w:p w14:paraId="4E3D8A46" w14:textId="77777777" w:rsidR="009E676E" w:rsidRPr="009C5EFD" w:rsidRDefault="009E676E" w:rsidP="00FD5FF1">
            <w:pPr>
              <w:rPr>
                <w:sz w:val="22"/>
                <w:szCs w:val="22"/>
              </w:rPr>
            </w:pPr>
          </w:p>
        </w:tc>
      </w:tr>
      <w:tr w:rsidR="004644D4" w14:paraId="0E831C01" w14:textId="77777777" w:rsidTr="00032240">
        <w:tc>
          <w:tcPr>
            <w:tcW w:w="3079" w:type="dxa"/>
            <w:vMerge/>
          </w:tcPr>
          <w:p w14:paraId="3FDF7903" w14:textId="77777777" w:rsidR="009E676E" w:rsidRPr="009C5EFD" w:rsidRDefault="009E676E" w:rsidP="00FD5FF1">
            <w:pPr>
              <w:rPr>
                <w:sz w:val="22"/>
                <w:szCs w:val="22"/>
              </w:rPr>
            </w:pPr>
          </w:p>
        </w:tc>
        <w:tc>
          <w:tcPr>
            <w:tcW w:w="1682" w:type="dxa"/>
          </w:tcPr>
          <w:p w14:paraId="7B322DFF" w14:textId="77777777" w:rsidR="009E676E" w:rsidRPr="009C5EFD" w:rsidRDefault="00E453CD" w:rsidP="00FD5FF1">
            <w:pPr>
              <w:rPr>
                <w:sz w:val="22"/>
                <w:szCs w:val="22"/>
              </w:rPr>
            </w:pPr>
            <w:r w:rsidRPr="009C5EFD">
              <w:rPr>
                <w:sz w:val="22"/>
                <w:szCs w:val="22"/>
              </w:rPr>
              <w:t>Sjeldne</w:t>
            </w:r>
          </w:p>
          <w:p w14:paraId="4F1B7B88" w14:textId="77777777" w:rsidR="009E676E" w:rsidRPr="009C5EFD" w:rsidRDefault="009E676E" w:rsidP="00FD5FF1">
            <w:pPr>
              <w:rPr>
                <w:sz w:val="22"/>
                <w:szCs w:val="22"/>
              </w:rPr>
            </w:pPr>
          </w:p>
        </w:tc>
        <w:tc>
          <w:tcPr>
            <w:tcW w:w="4294" w:type="dxa"/>
          </w:tcPr>
          <w:p w14:paraId="6C5EFFD2" w14:textId="77777777" w:rsidR="009E676E" w:rsidRPr="009C5EFD" w:rsidRDefault="00E453CD" w:rsidP="00FD5FF1">
            <w:pPr>
              <w:rPr>
                <w:sz w:val="22"/>
                <w:szCs w:val="22"/>
                <w:vertAlign w:val="superscript"/>
              </w:rPr>
            </w:pPr>
            <w:r w:rsidRPr="009C5EFD">
              <w:rPr>
                <w:sz w:val="22"/>
                <w:szCs w:val="22"/>
              </w:rPr>
              <w:t>Leukemi</w:t>
            </w:r>
            <w:r w:rsidRPr="009C5EFD">
              <w:rPr>
                <w:sz w:val="22"/>
                <w:szCs w:val="22"/>
                <w:vertAlign w:val="superscript"/>
              </w:rPr>
              <w:t>1)</w:t>
            </w:r>
          </w:p>
          <w:p w14:paraId="13891F51" w14:textId="77777777" w:rsidR="009E676E" w:rsidRPr="009C5EFD" w:rsidRDefault="009E676E" w:rsidP="00FD5FF1">
            <w:pPr>
              <w:rPr>
                <w:sz w:val="22"/>
                <w:szCs w:val="22"/>
              </w:rPr>
            </w:pPr>
          </w:p>
        </w:tc>
      </w:tr>
      <w:tr w:rsidR="004644D4" w14:paraId="1AF44422" w14:textId="77777777" w:rsidTr="00032240">
        <w:tc>
          <w:tcPr>
            <w:tcW w:w="3079" w:type="dxa"/>
            <w:vMerge/>
          </w:tcPr>
          <w:p w14:paraId="56D600F8" w14:textId="77777777" w:rsidR="009E676E" w:rsidRPr="009C5EFD" w:rsidRDefault="009E676E" w:rsidP="00FD5FF1">
            <w:pPr>
              <w:rPr>
                <w:sz w:val="22"/>
                <w:szCs w:val="22"/>
              </w:rPr>
            </w:pPr>
          </w:p>
        </w:tc>
        <w:tc>
          <w:tcPr>
            <w:tcW w:w="1682" w:type="dxa"/>
          </w:tcPr>
          <w:p w14:paraId="6AF0032E" w14:textId="77777777" w:rsidR="009E676E" w:rsidRPr="009C5EFD" w:rsidRDefault="00E453CD" w:rsidP="00FD5FF1">
            <w:pPr>
              <w:rPr>
                <w:sz w:val="22"/>
                <w:szCs w:val="22"/>
              </w:rPr>
            </w:pPr>
            <w:r w:rsidRPr="009C5EFD">
              <w:rPr>
                <w:sz w:val="22"/>
                <w:szCs w:val="22"/>
              </w:rPr>
              <w:t>Ikke kjent</w:t>
            </w:r>
          </w:p>
        </w:tc>
        <w:tc>
          <w:tcPr>
            <w:tcW w:w="4294" w:type="dxa"/>
          </w:tcPr>
          <w:p w14:paraId="14B6FACB" w14:textId="77777777" w:rsidR="009E676E" w:rsidRDefault="00E453CD" w:rsidP="00FD5FF1">
            <w:pPr>
              <w:rPr>
                <w:sz w:val="22"/>
                <w:szCs w:val="22"/>
                <w:lang w:val="sv-SE"/>
              </w:rPr>
            </w:pPr>
            <w:r w:rsidRPr="009C5EFD">
              <w:rPr>
                <w:sz w:val="22"/>
                <w:szCs w:val="22"/>
                <w:lang w:val="sv-SE"/>
              </w:rPr>
              <w:t>Hepatosplenisk T-cellelymfom</w:t>
            </w:r>
            <w:r w:rsidRPr="009C5EFD">
              <w:rPr>
                <w:sz w:val="22"/>
                <w:szCs w:val="22"/>
                <w:vertAlign w:val="superscript"/>
                <w:lang w:val="sv-SE"/>
              </w:rPr>
              <w:t>1)</w:t>
            </w:r>
            <w:r w:rsidRPr="009C5EFD">
              <w:rPr>
                <w:sz w:val="22"/>
                <w:szCs w:val="22"/>
                <w:lang w:val="sv-SE"/>
              </w:rPr>
              <w:t>, merkelcellekarsinom (neuroendokrin karsinom av huden</w:t>
            </w:r>
            <w:r w:rsidRPr="009C5EFD">
              <w:rPr>
                <w:sz w:val="22"/>
                <w:szCs w:val="22"/>
                <w:vertAlign w:val="superscript"/>
                <w:lang w:val="sv-SE"/>
              </w:rPr>
              <w:t>1)</w:t>
            </w:r>
            <w:r w:rsidR="00E238E9">
              <w:rPr>
                <w:sz w:val="22"/>
                <w:szCs w:val="22"/>
                <w:lang w:val="sv-SE"/>
              </w:rPr>
              <w:t>,</w:t>
            </w:r>
          </w:p>
          <w:p w14:paraId="4ABFF39F" w14:textId="77777777" w:rsidR="00E238E9" w:rsidRPr="00E238E9" w:rsidRDefault="00E453CD" w:rsidP="00FD5FF1">
            <w:pPr>
              <w:rPr>
                <w:sz w:val="22"/>
                <w:szCs w:val="22"/>
                <w:lang w:val="sv-SE"/>
              </w:rPr>
            </w:pPr>
            <w:r>
              <w:rPr>
                <w:sz w:val="22"/>
                <w:szCs w:val="22"/>
                <w:lang w:val="sv-SE"/>
              </w:rPr>
              <w:t>Kaposis sarkom</w:t>
            </w:r>
          </w:p>
          <w:p w14:paraId="40F1E53E" w14:textId="77777777" w:rsidR="009E676E" w:rsidRPr="009C5EFD" w:rsidRDefault="009E676E" w:rsidP="00FD5FF1">
            <w:pPr>
              <w:rPr>
                <w:sz w:val="22"/>
                <w:szCs w:val="22"/>
                <w:vertAlign w:val="superscript"/>
                <w:lang w:val="sv-SE"/>
              </w:rPr>
            </w:pPr>
          </w:p>
        </w:tc>
      </w:tr>
      <w:tr w:rsidR="004644D4" w14:paraId="33B7564E" w14:textId="77777777" w:rsidTr="00032240">
        <w:tc>
          <w:tcPr>
            <w:tcW w:w="3079" w:type="dxa"/>
            <w:vMerge w:val="restart"/>
          </w:tcPr>
          <w:p w14:paraId="27E68034" w14:textId="77777777" w:rsidR="009E676E" w:rsidRPr="007F67EE" w:rsidRDefault="00E453CD" w:rsidP="00FD5FF1">
            <w:pPr>
              <w:pStyle w:val="EndnoteText"/>
              <w:rPr>
                <w:szCs w:val="22"/>
                <w:lang w:val="nb-NO"/>
              </w:rPr>
            </w:pPr>
            <w:r w:rsidRPr="007F67EE">
              <w:rPr>
                <w:szCs w:val="22"/>
                <w:lang w:val="nb-NO"/>
              </w:rPr>
              <w:t>Sykdommer i blod og lymfatiske organer</w:t>
            </w:r>
          </w:p>
        </w:tc>
        <w:tc>
          <w:tcPr>
            <w:tcW w:w="1682" w:type="dxa"/>
          </w:tcPr>
          <w:p w14:paraId="50D1190A" w14:textId="77777777" w:rsidR="009E676E" w:rsidRPr="00193D76" w:rsidRDefault="00E453CD" w:rsidP="00FD5FF1">
            <w:pPr>
              <w:rPr>
                <w:sz w:val="22"/>
                <w:szCs w:val="22"/>
              </w:rPr>
            </w:pPr>
            <w:r w:rsidRPr="00193D76">
              <w:rPr>
                <w:sz w:val="22"/>
                <w:szCs w:val="22"/>
              </w:rPr>
              <w:t>Svært vanlige</w:t>
            </w:r>
          </w:p>
          <w:p w14:paraId="00BA7FC9" w14:textId="77777777" w:rsidR="009E676E" w:rsidRPr="00193D76" w:rsidRDefault="009E676E" w:rsidP="00FD5FF1">
            <w:pPr>
              <w:rPr>
                <w:sz w:val="22"/>
                <w:szCs w:val="22"/>
              </w:rPr>
            </w:pPr>
          </w:p>
        </w:tc>
        <w:tc>
          <w:tcPr>
            <w:tcW w:w="4294" w:type="dxa"/>
          </w:tcPr>
          <w:p w14:paraId="0DC4EBC2" w14:textId="77777777" w:rsidR="009E676E" w:rsidRPr="00E14E58" w:rsidRDefault="00E453CD" w:rsidP="00FD5FF1">
            <w:pPr>
              <w:rPr>
                <w:sz w:val="22"/>
                <w:szCs w:val="22"/>
              </w:rPr>
            </w:pPr>
            <w:r w:rsidRPr="002D0790">
              <w:rPr>
                <w:sz w:val="22"/>
                <w:szCs w:val="22"/>
              </w:rPr>
              <w:t>Leu</w:t>
            </w:r>
            <w:r w:rsidRPr="00E14E58">
              <w:rPr>
                <w:sz w:val="22"/>
                <w:szCs w:val="22"/>
              </w:rPr>
              <w:t>kopeni (inkludert nøytropeni og agranulocytose), anemi</w:t>
            </w:r>
          </w:p>
          <w:p w14:paraId="56952B9F" w14:textId="77777777" w:rsidR="009E676E" w:rsidRPr="009C5EFD" w:rsidRDefault="009E676E" w:rsidP="00FD5FF1">
            <w:pPr>
              <w:rPr>
                <w:sz w:val="22"/>
                <w:szCs w:val="22"/>
              </w:rPr>
            </w:pPr>
          </w:p>
        </w:tc>
      </w:tr>
      <w:tr w:rsidR="004644D4" w14:paraId="28063BA5" w14:textId="77777777" w:rsidTr="00032240">
        <w:tc>
          <w:tcPr>
            <w:tcW w:w="3079" w:type="dxa"/>
            <w:vMerge/>
          </w:tcPr>
          <w:p w14:paraId="1B76C0E9" w14:textId="77777777" w:rsidR="009E676E" w:rsidRPr="009C5EFD" w:rsidRDefault="009E676E" w:rsidP="00FD5FF1">
            <w:pPr>
              <w:pStyle w:val="EndnoteText"/>
              <w:rPr>
                <w:szCs w:val="22"/>
                <w:lang w:val="nb-NO"/>
              </w:rPr>
            </w:pPr>
          </w:p>
        </w:tc>
        <w:tc>
          <w:tcPr>
            <w:tcW w:w="1682" w:type="dxa"/>
          </w:tcPr>
          <w:p w14:paraId="35D36491" w14:textId="77777777" w:rsidR="009E676E" w:rsidRPr="009C5EFD" w:rsidRDefault="00E453CD" w:rsidP="00FD5FF1">
            <w:pPr>
              <w:rPr>
                <w:sz w:val="22"/>
                <w:szCs w:val="22"/>
              </w:rPr>
            </w:pPr>
            <w:r w:rsidRPr="009C5EFD">
              <w:rPr>
                <w:sz w:val="22"/>
                <w:szCs w:val="22"/>
              </w:rPr>
              <w:t>Vanlige</w:t>
            </w:r>
          </w:p>
          <w:p w14:paraId="09C5D1D1" w14:textId="77777777" w:rsidR="009E676E" w:rsidRPr="009C5EFD" w:rsidRDefault="009E676E" w:rsidP="00FD5FF1">
            <w:pPr>
              <w:rPr>
                <w:sz w:val="22"/>
                <w:szCs w:val="22"/>
              </w:rPr>
            </w:pPr>
          </w:p>
        </w:tc>
        <w:tc>
          <w:tcPr>
            <w:tcW w:w="4294" w:type="dxa"/>
          </w:tcPr>
          <w:p w14:paraId="050EE8D1" w14:textId="77777777" w:rsidR="009E676E" w:rsidRPr="009C5EFD" w:rsidRDefault="00E453CD" w:rsidP="00FD5FF1">
            <w:pPr>
              <w:rPr>
                <w:sz w:val="22"/>
                <w:szCs w:val="22"/>
              </w:rPr>
            </w:pPr>
            <w:r w:rsidRPr="009C5EFD">
              <w:rPr>
                <w:sz w:val="22"/>
                <w:szCs w:val="22"/>
              </w:rPr>
              <w:t>Leukocytose, trombocytopeni</w:t>
            </w:r>
          </w:p>
        </w:tc>
      </w:tr>
      <w:tr w:rsidR="004644D4" w14:paraId="485F5089" w14:textId="77777777" w:rsidTr="00032240">
        <w:tc>
          <w:tcPr>
            <w:tcW w:w="3079" w:type="dxa"/>
            <w:vMerge/>
          </w:tcPr>
          <w:p w14:paraId="122AF8BE" w14:textId="77777777" w:rsidR="009E676E" w:rsidRPr="009C5EFD" w:rsidRDefault="009E676E" w:rsidP="00FD5FF1">
            <w:pPr>
              <w:pStyle w:val="EndnoteText"/>
              <w:rPr>
                <w:szCs w:val="22"/>
                <w:lang w:val="nb-NO"/>
              </w:rPr>
            </w:pPr>
          </w:p>
        </w:tc>
        <w:tc>
          <w:tcPr>
            <w:tcW w:w="1682" w:type="dxa"/>
          </w:tcPr>
          <w:p w14:paraId="159555A9" w14:textId="77777777" w:rsidR="009E676E" w:rsidRPr="009C5EFD" w:rsidRDefault="00E453CD" w:rsidP="00FD5FF1">
            <w:pPr>
              <w:rPr>
                <w:sz w:val="22"/>
                <w:szCs w:val="22"/>
              </w:rPr>
            </w:pPr>
            <w:r w:rsidRPr="009C5EFD">
              <w:rPr>
                <w:sz w:val="22"/>
                <w:szCs w:val="22"/>
              </w:rPr>
              <w:t>Mindre vanlige</w:t>
            </w:r>
          </w:p>
          <w:p w14:paraId="1D03F68F" w14:textId="77777777" w:rsidR="009E676E" w:rsidRPr="009C5EFD" w:rsidRDefault="009E676E" w:rsidP="00FD5FF1">
            <w:pPr>
              <w:rPr>
                <w:sz w:val="22"/>
                <w:szCs w:val="22"/>
              </w:rPr>
            </w:pPr>
          </w:p>
        </w:tc>
        <w:tc>
          <w:tcPr>
            <w:tcW w:w="4294" w:type="dxa"/>
          </w:tcPr>
          <w:p w14:paraId="3C168E56" w14:textId="77777777" w:rsidR="009E676E" w:rsidRPr="009C5EFD" w:rsidRDefault="00E453CD" w:rsidP="00FD5FF1">
            <w:pPr>
              <w:rPr>
                <w:sz w:val="22"/>
                <w:szCs w:val="22"/>
              </w:rPr>
            </w:pPr>
            <w:r w:rsidRPr="009C5EFD">
              <w:rPr>
                <w:sz w:val="22"/>
                <w:szCs w:val="22"/>
              </w:rPr>
              <w:t>Idiopatisk trombocytopenisk purpura</w:t>
            </w:r>
          </w:p>
        </w:tc>
      </w:tr>
      <w:tr w:rsidR="004644D4" w14:paraId="0E5068A1" w14:textId="77777777" w:rsidTr="00032240">
        <w:tc>
          <w:tcPr>
            <w:tcW w:w="3079" w:type="dxa"/>
            <w:vMerge/>
          </w:tcPr>
          <w:p w14:paraId="0BA162B4" w14:textId="77777777" w:rsidR="009E676E" w:rsidRPr="009C5EFD" w:rsidRDefault="009E676E" w:rsidP="00FD5FF1">
            <w:pPr>
              <w:pStyle w:val="EndnoteText"/>
              <w:tabs>
                <w:tab w:val="clear" w:pos="567"/>
              </w:tabs>
              <w:rPr>
                <w:szCs w:val="22"/>
                <w:lang w:val="nb-NO"/>
              </w:rPr>
            </w:pPr>
          </w:p>
        </w:tc>
        <w:tc>
          <w:tcPr>
            <w:tcW w:w="1682" w:type="dxa"/>
          </w:tcPr>
          <w:p w14:paraId="49543914" w14:textId="77777777" w:rsidR="009E676E" w:rsidRPr="009C5EFD" w:rsidRDefault="00E453CD" w:rsidP="00FD5FF1">
            <w:pPr>
              <w:rPr>
                <w:sz w:val="22"/>
                <w:szCs w:val="22"/>
              </w:rPr>
            </w:pPr>
            <w:r w:rsidRPr="009C5EFD">
              <w:rPr>
                <w:sz w:val="22"/>
                <w:szCs w:val="22"/>
              </w:rPr>
              <w:t>Sjeldne</w:t>
            </w:r>
          </w:p>
        </w:tc>
        <w:tc>
          <w:tcPr>
            <w:tcW w:w="4294" w:type="dxa"/>
          </w:tcPr>
          <w:p w14:paraId="3F1E9C1E" w14:textId="77777777" w:rsidR="009E676E" w:rsidRPr="009C5EFD" w:rsidRDefault="00E453CD" w:rsidP="00FD5FF1">
            <w:pPr>
              <w:rPr>
                <w:sz w:val="22"/>
                <w:szCs w:val="22"/>
              </w:rPr>
            </w:pPr>
            <w:r w:rsidRPr="009C5EFD">
              <w:rPr>
                <w:sz w:val="22"/>
                <w:szCs w:val="22"/>
              </w:rPr>
              <w:t>Pancytopeni</w:t>
            </w:r>
          </w:p>
          <w:p w14:paraId="1457FB4D" w14:textId="77777777" w:rsidR="009E676E" w:rsidRPr="009C5EFD" w:rsidRDefault="009E676E" w:rsidP="00FD5FF1">
            <w:pPr>
              <w:rPr>
                <w:sz w:val="22"/>
                <w:szCs w:val="22"/>
              </w:rPr>
            </w:pPr>
          </w:p>
        </w:tc>
      </w:tr>
      <w:tr w:rsidR="004644D4" w14:paraId="2A3F7B3E" w14:textId="77777777" w:rsidTr="00032240">
        <w:tc>
          <w:tcPr>
            <w:tcW w:w="3079" w:type="dxa"/>
            <w:vMerge w:val="restart"/>
          </w:tcPr>
          <w:p w14:paraId="3DCAB00C" w14:textId="77777777" w:rsidR="009E676E" w:rsidRPr="007F67EE" w:rsidRDefault="00E453CD" w:rsidP="00FD5FF1">
            <w:pPr>
              <w:pStyle w:val="EndnoteText"/>
              <w:tabs>
                <w:tab w:val="clear" w:pos="567"/>
              </w:tabs>
              <w:rPr>
                <w:szCs w:val="22"/>
                <w:lang w:val="nb-NO"/>
              </w:rPr>
            </w:pPr>
            <w:r w:rsidRPr="007F67EE">
              <w:rPr>
                <w:szCs w:val="22"/>
                <w:lang w:val="nb-NO"/>
              </w:rPr>
              <w:t>Forstyrrelser i immunsystemet*</w:t>
            </w:r>
          </w:p>
        </w:tc>
        <w:tc>
          <w:tcPr>
            <w:tcW w:w="1682" w:type="dxa"/>
          </w:tcPr>
          <w:p w14:paraId="23D081BF" w14:textId="77777777" w:rsidR="009E676E" w:rsidRPr="00193D76" w:rsidRDefault="00E453CD" w:rsidP="00FD5FF1">
            <w:pPr>
              <w:rPr>
                <w:sz w:val="22"/>
                <w:szCs w:val="22"/>
              </w:rPr>
            </w:pPr>
            <w:r w:rsidRPr="00193D76">
              <w:rPr>
                <w:sz w:val="22"/>
                <w:szCs w:val="22"/>
              </w:rPr>
              <w:t>Vanlige</w:t>
            </w:r>
          </w:p>
        </w:tc>
        <w:tc>
          <w:tcPr>
            <w:tcW w:w="4294" w:type="dxa"/>
          </w:tcPr>
          <w:p w14:paraId="110E3782" w14:textId="77777777" w:rsidR="009E676E" w:rsidRPr="00193D76" w:rsidRDefault="00E453CD" w:rsidP="00FD5FF1">
            <w:pPr>
              <w:rPr>
                <w:sz w:val="22"/>
                <w:szCs w:val="22"/>
              </w:rPr>
            </w:pPr>
            <w:r w:rsidRPr="00193D76">
              <w:rPr>
                <w:sz w:val="22"/>
                <w:szCs w:val="22"/>
              </w:rPr>
              <w:t>Hypersensitivitet, allergier (inkludert sesongbetinget allergi)</w:t>
            </w:r>
          </w:p>
          <w:p w14:paraId="697435C3" w14:textId="77777777" w:rsidR="009E676E" w:rsidRPr="002D0790" w:rsidRDefault="009E676E" w:rsidP="00FD5FF1">
            <w:pPr>
              <w:rPr>
                <w:sz w:val="22"/>
                <w:szCs w:val="22"/>
                <w:vertAlign w:val="superscript"/>
              </w:rPr>
            </w:pPr>
          </w:p>
        </w:tc>
      </w:tr>
      <w:tr w:rsidR="004644D4" w14:paraId="3C31E5CB" w14:textId="77777777" w:rsidTr="00032240">
        <w:tc>
          <w:tcPr>
            <w:tcW w:w="3079" w:type="dxa"/>
            <w:vMerge/>
          </w:tcPr>
          <w:p w14:paraId="6067C799" w14:textId="77777777" w:rsidR="009E676E" w:rsidRPr="009C5EFD" w:rsidRDefault="009E676E" w:rsidP="00FD5FF1">
            <w:pPr>
              <w:pStyle w:val="EndnoteText"/>
              <w:tabs>
                <w:tab w:val="clear" w:pos="567"/>
              </w:tabs>
              <w:rPr>
                <w:szCs w:val="22"/>
                <w:lang w:val="nb-NO"/>
              </w:rPr>
            </w:pPr>
          </w:p>
        </w:tc>
        <w:tc>
          <w:tcPr>
            <w:tcW w:w="1682" w:type="dxa"/>
          </w:tcPr>
          <w:p w14:paraId="08611CC4" w14:textId="77777777" w:rsidR="009E676E" w:rsidRPr="009C5EFD" w:rsidRDefault="00E453CD" w:rsidP="00FD5FF1">
            <w:pPr>
              <w:rPr>
                <w:sz w:val="22"/>
                <w:szCs w:val="22"/>
              </w:rPr>
            </w:pPr>
            <w:r w:rsidRPr="009C5EFD">
              <w:rPr>
                <w:sz w:val="22"/>
                <w:szCs w:val="22"/>
              </w:rPr>
              <w:t>Mindre vanlige</w:t>
            </w:r>
          </w:p>
          <w:p w14:paraId="10993910" w14:textId="77777777" w:rsidR="009E676E" w:rsidRPr="009C5EFD" w:rsidRDefault="009E676E" w:rsidP="00FD5FF1">
            <w:pPr>
              <w:rPr>
                <w:sz w:val="22"/>
                <w:szCs w:val="22"/>
              </w:rPr>
            </w:pPr>
          </w:p>
        </w:tc>
        <w:tc>
          <w:tcPr>
            <w:tcW w:w="4294" w:type="dxa"/>
          </w:tcPr>
          <w:p w14:paraId="612ED495" w14:textId="77777777" w:rsidR="009E676E" w:rsidRPr="009C5EFD" w:rsidRDefault="00E453CD" w:rsidP="00FD5FF1">
            <w:pPr>
              <w:rPr>
                <w:sz w:val="22"/>
                <w:szCs w:val="22"/>
              </w:rPr>
            </w:pPr>
            <w:r w:rsidRPr="009C5EFD">
              <w:rPr>
                <w:sz w:val="22"/>
                <w:szCs w:val="22"/>
              </w:rPr>
              <w:t>Sarkoidose</w:t>
            </w:r>
            <w:r w:rsidRPr="009C5EFD">
              <w:rPr>
                <w:sz w:val="22"/>
                <w:szCs w:val="22"/>
                <w:vertAlign w:val="superscript"/>
              </w:rPr>
              <w:t>1)</w:t>
            </w:r>
            <w:r w:rsidRPr="009C5EFD">
              <w:rPr>
                <w:sz w:val="22"/>
                <w:szCs w:val="22"/>
              </w:rPr>
              <w:t>, vaskulitt</w:t>
            </w:r>
          </w:p>
          <w:p w14:paraId="5C9E33B1" w14:textId="77777777" w:rsidR="009E676E" w:rsidRPr="009C5EFD" w:rsidRDefault="009E676E" w:rsidP="00FD5FF1">
            <w:pPr>
              <w:rPr>
                <w:sz w:val="22"/>
                <w:szCs w:val="22"/>
              </w:rPr>
            </w:pPr>
          </w:p>
        </w:tc>
      </w:tr>
      <w:tr w:rsidR="004644D4" w14:paraId="6494AD17" w14:textId="77777777" w:rsidTr="00032240">
        <w:tc>
          <w:tcPr>
            <w:tcW w:w="3079" w:type="dxa"/>
            <w:vMerge/>
          </w:tcPr>
          <w:p w14:paraId="61496413" w14:textId="77777777" w:rsidR="009E676E" w:rsidRPr="009C5EFD" w:rsidRDefault="009E676E" w:rsidP="00FD5FF1">
            <w:pPr>
              <w:pStyle w:val="EndnoteText"/>
              <w:tabs>
                <w:tab w:val="clear" w:pos="567"/>
              </w:tabs>
              <w:rPr>
                <w:szCs w:val="22"/>
                <w:lang w:val="nb-NO"/>
              </w:rPr>
            </w:pPr>
          </w:p>
        </w:tc>
        <w:tc>
          <w:tcPr>
            <w:tcW w:w="1682" w:type="dxa"/>
          </w:tcPr>
          <w:p w14:paraId="57912A1B" w14:textId="77777777" w:rsidR="009E676E" w:rsidRPr="009C5EFD" w:rsidRDefault="00E453CD" w:rsidP="00FD5FF1">
            <w:pPr>
              <w:rPr>
                <w:sz w:val="22"/>
                <w:szCs w:val="22"/>
              </w:rPr>
            </w:pPr>
            <w:r w:rsidRPr="009C5EFD">
              <w:rPr>
                <w:sz w:val="22"/>
                <w:szCs w:val="22"/>
              </w:rPr>
              <w:t>Sjeldne</w:t>
            </w:r>
          </w:p>
          <w:p w14:paraId="77093BA7" w14:textId="77777777" w:rsidR="009E676E" w:rsidRPr="009C5EFD" w:rsidRDefault="009E676E" w:rsidP="00FD5FF1">
            <w:pPr>
              <w:rPr>
                <w:sz w:val="22"/>
                <w:szCs w:val="22"/>
              </w:rPr>
            </w:pPr>
          </w:p>
        </w:tc>
        <w:tc>
          <w:tcPr>
            <w:tcW w:w="4294" w:type="dxa"/>
          </w:tcPr>
          <w:p w14:paraId="38425A73" w14:textId="77777777" w:rsidR="009E676E" w:rsidRPr="009C5EFD" w:rsidRDefault="00E453CD" w:rsidP="00FD5FF1">
            <w:pPr>
              <w:rPr>
                <w:sz w:val="22"/>
                <w:szCs w:val="22"/>
              </w:rPr>
            </w:pPr>
            <w:r w:rsidRPr="009C5EFD">
              <w:rPr>
                <w:sz w:val="22"/>
                <w:szCs w:val="22"/>
              </w:rPr>
              <w:t>Anafylaksi</w:t>
            </w:r>
            <w:r w:rsidRPr="009C5EFD">
              <w:rPr>
                <w:sz w:val="22"/>
                <w:szCs w:val="22"/>
                <w:vertAlign w:val="superscript"/>
              </w:rPr>
              <w:t>1)</w:t>
            </w:r>
          </w:p>
        </w:tc>
      </w:tr>
      <w:tr w:rsidR="004644D4" w14:paraId="4AEF3000" w14:textId="77777777" w:rsidTr="00032240">
        <w:tc>
          <w:tcPr>
            <w:tcW w:w="3079" w:type="dxa"/>
            <w:vMerge w:val="restart"/>
          </w:tcPr>
          <w:p w14:paraId="36C137DA" w14:textId="77777777" w:rsidR="009E676E" w:rsidRPr="00193D76" w:rsidRDefault="00E453CD" w:rsidP="00FD5FF1">
            <w:pPr>
              <w:pStyle w:val="EndnoteText"/>
              <w:rPr>
                <w:szCs w:val="22"/>
                <w:lang w:val="nb-NO"/>
              </w:rPr>
            </w:pPr>
            <w:r w:rsidRPr="007F67EE">
              <w:rPr>
                <w:szCs w:val="22"/>
                <w:lang w:val="nb-NO"/>
              </w:rPr>
              <w:t>Stoffskifte- og</w:t>
            </w:r>
            <w:r w:rsidRPr="00193D76">
              <w:rPr>
                <w:szCs w:val="22"/>
                <w:lang w:val="nb-NO"/>
              </w:rPr>
              <w:t xml:space="preserve"> ernæringsbetingede sykdommer</w:t>
            </w:r>
          </w:p>
        </w:tc>
        <w:tc>
          <w:tcPr>
            <w:tcW w:w="1682" w:type="dxa"/>
          </w:tcPr>
          <w:p w14:paraId="2D8880A3" w14:textId="77777777" w:rsidR="009E676E" w:rsidRPr="002D0790" w:rsidRDefault="00E453CD" w:rsidP="00FD5FF1">
            <w:pPr>
              <w:rPr>
                <w:sz w:val="22"/>
                <w:szCs w:val="22"/>
              </w:rPr>
            </w:pPr>
            <w:r w:rsidRPr="002D0790">
              <w:rPr>
                <w:sz w:val="22"/>
                <w:szCs w:val="22"/>
              </w:rPr>
              <w:t>Svært vanlige</w:t>
            </w:r>
          </w:p>
          <w:p w14:paraId="68BBA9E8" w14:textId="77777777" w:rsidR="009E676E" w:rsidRPr="002D0790" w:rsidRDefault="009E676E" w:rsidP="00FD5FF1">
            <w:pPr>
              <w:rPr>
                <w:sz w:val="22"/>
                <w:szCs w:val="22"/>
              </w:rPr>
            </w:pPr>
          </w:p>
        </w:tc>
        <w:tc>
          <w:tcPr>
            <w:tcW w:w="4294" w:type="dxa"/>
          </w:tcPr>
          <w:p w14:paraId="02720812" w14:textId="77777777" w:rsidR="009E676E" w:rsidRPr="00E14E58" w:rsidRDefault="00E453CD" w:rsidP="00FD5FF1">
            <w:pPr>
              <w:rPr>
                <w:sz w:val="22"/>
                <w:szCs w:val="22"/>
              </w:rPr>
            </w:pPr>
            <w:r w:rsidRPr="00E14E58">
              <w:rPr>
                <w:sz w:val="22"/>
                <w:szCs w:val="22"/>
              </w:rPr>
              <w:t>Lipidøkning</w:t>
            </w:r>
          </w:p>
          <w:p w14:paraId="6BAC4565" w14:textId="77777777" w:rsidR="009E676E" w:rsidRPr="009C5EFD" w:rsidRDefault="009E676E" w:rsidP="00FD5FF1">
            <w:pPr>
              <w:rPr>
                <w:sz w:val="22"/>
                <w:szCs w:val="22"/>
              </w:rPr>
            </w:pPr>
          </w:p>
        </w:tc>
      </w:tr>
      <w:tr w:rsidR="004644D4" w14:paraId="4AC6699C" w14:textId="77777777" w:rsidTr="00032240">
        <w:tc>
          <w:tcPr>
            <w:tcW w:w="3079" w:type="dxa"/>
            <w:vMerge/>
          </w:tcPr>
          <w:p w14:paraId="55114797" w14:textId="77777777" w:rsidR="009E676E" w:rsidRPr="009C5EFD" w:rsidRDefault="009E676E" w:rsidP="00FD5FF1">
            <w:pPr>
              <w:pStyle w:val="EndnoteText"/>
              <w:tabs>
                <w:tab w:val="clear" w:pos="567"/>
              </w:tabs>
              <w:rPr>
                <w:szCs w:val="22"/>
                <w:lang w:val="nb-NO"/>
              </w:rPr>
            </w:pPr>
          </w:p>
        </w:tc>
        <w:tc>
          <w:tcPr>
            <w:tcW w:w="1682" w:type="dxa"/>
          </w:tcPr>
          <w:p w14:paraId="12F452A9" w14:textId="77777777" w:rsidR="009E676E" w:rsidRPr="009C5EFD" w:rsidRDefault="00E453CD" w:rsidP="00FD5FF1">
            <w:pPr>
              <w:rPr>
                <w:sz w:val="22"/>
                <w:szCs w:val="22"/>
              </w:rPr>
            </w:pPr>
            <w:r w:rsidRPr="009C5EFD">
              <w:rPr>
                <w:sz w:val="22"/>
                <w:szCs w:val="22"/>
              </w:rPr>
              <w:t>Vanlige</w:t>
            </w:r>
          </w:p>
          <w:p w14:paraId="4213D8F6" w14:textId="77777777" w:rsidR="009E676E" w:rsidRPr="009C5EFD" w:rsidRDefault="009E676E" w:rsidP="00FD5FF1">
            <w:pPr>
              <w:rPr>
                <w:sz w:val="22"/>
                <w:szCs w:val="22"/>
              </w:rPr>
            </w:pPr>
          </w:p>
          <w:p w14:paraId="0E773EB8" w14:textId="77777777" w:rsidR="009E676E" w:rsidRPr="009C5EFD" w:rsidRDefault="009E676E" w:rsidP="00FD5FF1">
            <w:pPr>
              <w:rPr>
                <w:sz w:val="22"/>
                <w:szCs w:val="22"/>
              </w:rPr>
            </w:pPr>
          </w:p>
          <w:p w14:paraId="0FADDB29" w14:textId="77777777" w:rsidR="009E676E" w:rsidRPr="009C5EFD" w:rsidRDefault="009E676E" w:rsidP="00FD5FF1">
            <w:pPr>
              <w:rPr>
                <w:sz w:val="22"/>
                <w:szCs w:val="22"/>
              </w:rPr>
            </w:pPr>
          </w:p>
        </w:tc>
        <w:tc>
          <w:tcPr>
            <w:tcW w:w="4294" w:type="dxa"/>
          </w:tcPr>
          <w:p w14:paraId="1BBD5DDB" w14:textId="77777777" w:rsidR="009E676E" w:rsidRPr="009C5EFD" w:rsidRDefault="00E453CD" w:rsidP="00FD5FF1">
            <w:pPr>
              <w:rPr>
                <w:sz w:val="22"/>
                <w:szCs w:val="22"/>
              </w:rPr>
            </w:pPr>
            <w:r w:rsidRPr="009C5EFD">
              <w:rPr>
                <w:sz w:val="22"/>
                <w:szCs w:val="22"/>
              </w:rPr>
              <w:t>Hypokalemi, forhøyet urinsyre, unormale natriumverdier i blod, hypokalsemi, hyperglykemi, hypofosfatemi, dehydrering</w:t>
            </w:r>
          </w:p>
        </w:tc>
      </w:tr>
      <w:tr w:rsidR="004644D4" w14:paraId="3D192FF7" w14:textId="77777777" w:rsidTr="00032240">
        <w:tc>
          <w:tcPr>
            <w:tcW w:w="3079" w:type="dxa"/>
          </w:tcPr>
          <w:p w14:paraId="38CE515A" w14:textId="77777777" w:rsidR="009E676E" w:rsidRPr="007F67EE" w:rsidRDefault="00E453CD" w:rsidP="00FD5FF1">
            <w:pPr>
              <w:pStyle w:val="EndnoteText"/>
              <w:tabs>
                <w:tab w:val="clear" w:pos="567"/>
              </w:tabs>
              <w:rPr>
                <w:szCs w:val="22"/>
                <w:lang w:val="nb-NO"/>
              </w:rPr>
            </w:pPr>
            <w:r w:rsidRPr="007F67EE">
              <w:rPr>
                <w:szCs w:val="22"/>
                <w:lang w:val="nb-NO"/>
              </w:rPr>
              <w:t>Psykiatriske lidelser</w:t>
            </w:r>
          </w:p>
        </w:tc>
        <w:tc>
          <w:tcPr>
            <w:tcW w:w="1682" w:type="dxa"/>
          </w:tcPr>
          <w:p w14:paraId="5E13AEB4" w14:textId="77777777" w:rsidR="009E676E" w:rsidRPr="00193D76" w:rsidRDefault="00E453CD" w:rsidP="00FD5FF1">
            <w:pPr>
              <w:rPr>
                <w:sz w:val="22"/>
                <w:szCs w:val="22"/>
              </w:rPr>
            </w:pPr>
            <w:r w:rsidRPr="00193D76">
              <w:rPr>
                <w:sz w:val="22"/>
                <w:szCs w:val="22"/>
              </w:rPr>
              <w:t>Vanlige</w:t>
            </w:r>
          </w:p>
        </w:tc>
        <w:tc>
          <w:tcPr>
            <w:tcW w:w="4294" w:type="dxa"/>
          </w:tcPr>
          <w:p w14:paraId="34221465" w14:textId="77777777" w:rsidR="009E676E" w:rsidRPr="002D0790" w:rsidRDefault="00E453CD" w:rsidP="00FD5FF1">
            <w:pPr>
              <w:pStyle w:val="EMEAFigureTitle"/>
              <w:tabs>
                <w:tab w:val="clear" w:pos="562"/>
              </w:tabs>
              <w:suppressAutoHyphens w:val="0"/>
              <w:rPr>
                <w:szCs w:val="22"/>
                <w:lang w:val="nb-NO"/>
              </w:rPr>
            </w:pPr>
            <w:r w:rsidRPr="00193D76">
              <w:rPr>
                <w:szCs w:val="22"/>
                <w:lang w:val="nb-NO"/>
              </w:rPr>
              <w:t>Humørforandringer (inkludert depresjo</w:t>
            </w:r>
            <w:r w:rsidRPr="002D0790">
              <w:rPr>
                <w:szCs w:val="22"/>
                <w:lang w:val="nb-NO"/>
              </w:rPr>
              <w:t>n), angst,</w:t>
            </w:r>
          </w:p>
          <w:p w14:paraId="1A753AD7" w14:textId="77777777" w:rsidR="009E676E" w:rsidRPr="009C5EFD" w:rsidRDefault="00E453CD" w:rsidP="00FD5FF1">
            <w:pPr>
              <w:pStyle w:val="EMEAFigureTitle"/>
              <w:tabs>
                <w:tab w:val="clear" w:pos="562"/>
              </w:tabs>
              <w:suppressAutoHyphens w:val="0"/>
              <w:rPr>
                <w:szCs w:val="22"/>
                <w:lang w:val="nb-NO"/>
              </w:rPr>
            </w:pPr>
            <w:r w:rsidRPr="009C5EFD">
              <w:rPr>
                <w:szCs w:val="22"/>
                <w:lang w:val="nb-NO"/>
              </w:rPr>
              <w:t>søvnløshet</w:t>
            </w:r>
          </w:p>
          <w:p w14:paraId="1E5EFCE9" w14:textId="77777777" w:rsidR="009E676E" w:rsidRPr="009C5EFD" w:rsidRDefault="009E676E" w:rsidP="00FD5FF1">
            <w:pPr>
              <w:rPr>
                <w:sz w:val="22"/>
                <w:szCs w:val="22"/>
              </w:rPr>
            </w:pPr>
          </w:p>
        </w:tc>
      </w:tr>
      <w:tr w:rsidR="004644D4" w14:paraId="77D11A67" w14:textId="77777777" w:rsidTr="00032240">
        <w:tc>
          <w:tcPr>
            <w:tcW w:w="3079" w:type="dxa"/>
            <w:vMerge w:val="restart"/>
          </w:tcPr>
          <w:p w14:paraId="0A51EEDA" w14:textId="77777777" w:rsidR="009E676E" w:rsidRPr="009C5EFD" w:rsidRDefault="00E453CD" w:rsidP="00FD5FF1">
            <w:pPr>
              <w:rPr>
                <w:sz w:val="22"/>
                <w:szCs w:val="22"/>
              </w:rPr>
            </w:pPr>
            <w:r w:rsidRPr="009C5EFD">
              <w:rPr>
                <w:sz w:val="22"/>
                <w:szCs w:val="22"/>
              </w:rPr>
              <w:t xml:space="preserve">Nevrologiske sykdommer* </w:t>
            </w:r>
          </w:p>
        </w:tc>
        <w:tc>
          <w:tcPr>
            <w:tcW w:w="1682" w:type="dxa"/>
          </w:tcPr>
          <w:p w14:paraId="0444C5B0" w14:textId="77777777" w:rsidR="009E676E" w:rsidRPr="009C5EFD" w:rsidRDefault="00E453CD" w:rsidP="00FD5FF1">
            <w:pPr>
              <w:rPr>
                <w:sz w:val="22"/>
                <w:szCs w:val="22"/>
              </w:rPr>
            </w:pPr>
            <w:r w:rsidRPr="009C5EFD">
              <w:rPr>
                <w:sz w:val="22"/>
                <w:szCs w:val="22"/>
              </w:rPr>
              <w:t>Svært vanlige</w:t>
            </w:r>
          </w:p>
          <w:p w14:paraId="5D60B605" w14:textId="77777777" w:rsidR="009E676E" w:rsidRPr="009C5EFD" w:rsidRDefault="009E676E" w:rsidP="00FD5FF1">
            <w:pPr>
              <w:rPr>
                <w:sz w:val="22"/>
                <w:szCs w:val="22"/>
              </w:rPr>
            </w:pPr>
          </w:p>
        </w:tc>
        <w:tc>
          <w:tcPr>
            <w:tcW w:w="4294" w:type="dxa"/>
          </w:tcPr>
          <w:p w14:paraId="6233C9C9" w14:textId="77777777" w:rsidR="009E676E" w:rsidRPr="009C5EFD" w:rsidRDefault="00E453CD" w:rsidP="00FD5FF1">
            <w:pPr>
              <w:rPr>
                <w:sz w:val="22"/>
                <w:szCs w:val="22"/>
              </w:rPr>
            </w:pPr>
            <w:r w:rsidRPr="009C5EFD">
              <w:rPr>
                <w:sz w:val="22"/>
                <w:szCs w:val="22"/>
              </w:rPr>
              <w:t>Hodepine</w:t>
            </w:r>
          </w:p>
        </w:tc>
      </w:tr>
      <w:tr w:rsidR="004644D4" w14:paraId="6F4A6D3B" w14:textId="77777777" w:rsidTr="00032240">
        <w:tc>
          <w:tcPr>
            <w:tcW w:w="3079" w:type="dxa"/>
            <w:vMerge/>
          </w:tcPr>
          <w:p w14:paraId="2BEEE152" w14:textId="77777777" w:rsidR="009E676E" w:rsidRPr="009C5EFD" w:rsidRDefault="009E676E" w:rsidP="00FD5FF1">
            <w:pPr>
              <w:rPr>
                <w:sz w:val="22"/>
                <w:szCs w:val="22"/>
              </w:rPr>
            </w:pPr>
          </w:p>
        </w:tc>
        <w:tc>
          <w:tcPr>
            <w:tcW w:w="1682" w:type="dxa"/>
          </w:tcPr>
          <w:p w14:paraId="0646E308" w14:textId="77777777" w:rsidR="009E676E" w:rsidRPr="009C5EFD" w:rsidRDefault="00E453CD" w:rsidP="00FD5FF1">
            <w:pPr>
              <w:rPr>
                <w:sz w:val="22"/>
                <w:szCs w:val="22"/>
              </w:rPr>
            </w:pPr>
            <w:r w:rsidRPr="009C5EFD">
              <w:rPr>
                <w:sz w:val="22"/>
                <w:szCs w:val="22"/>
              </w:rPr>
              <w:t>Vanlige</w:t>
            </w:r>
          </w:p>
          <w:p w14:paraId="68804E05" w14:textId="77777777" w:rsidR="009E676E" w:rsidRPr="009C5EFD" w:rsidRDefault="009E676E" w:rsidP="00FD5FF1">
            <w:pPr>
              <w:rPr>
                <w:sz w:val="22"/>
                <w:szCs w:val="22"/>
              </w:rPr>
            </w:pPr>
          </w:p>
        </w:tc>
        <w:tc>
          <w:tcPr>
            <w:tcW w:w="4294" w:type="dxa"/>
          </w:tcPr>
          <w:p w14:paraId="1D3E04CA" w14:textId="77777777" w:rsidR="009E676E" w:rsidRPr="009C5EFD" w:rsidRDefault="00E453CD" w:rsidP="00FD5FF1">
            <w:pPr>
              <w:rPr>
                <w:sz w:val="22"/>
                <w:szCs w:val="22"/>
              </w:rPr>
            </w:pPr>
            <w:r w:rsidRPr="009C5EFD">
              <w:rPr>
                <w:sz w:val="22"/>
                <w:szCs w:val="22"/>
              </w:rPr>
              <w:t xml:space="preserve">Parestesier (inkludert hypoestesi), migrene, kompresjon av nerverot </w:t>
            </w:r>
          </w:p>
        </w:tc>
      </w:tr>
      <w:tr w:rsidR="004644D4" w14:paraId="4EDF01DF" w14:textId="77777777" w:rsidTr="00032240">
        <w:tc>
          <w:tcPr>
            <w:tcW w:w="3079" w:type="dxa"/>
            <w:vMerge/>
          </w:tcPr>
          <w:p w14:paraId="154D64F3" w14:textId="77777777" w:rsidR="009E676E" w:rsidRPr="009C5EFD" w:rsidRDefault="009E676E" w:rsidP="00FD5FF1">
            <w:pPr>
              <w:rPr>
                <w:sz w:val="22"/>
                <w:szCs w:val="22"/>
              </w:rPr>
            </w:pPr>
          </w:p>
        </w:tc>
        <w:tc>
          <w:tcPr>
            <w:tcW w:w="1682" w:type="dxa"/>
          </w:tcPr>
          <w:p w14:paraId="55268323" w14:textId="77777777" w:rsidR="009E676E" w:rsidRPr="009C5EFD" w:rsidRDefault="00E453CD" w:rsidP="00FD5FF1">
            <w:pPr>
              <w:rPr>
                <w:sz w:val="22"/>
                <w:szCs w:val="22"/>
              </w:rPr>
            </w:pPr>
            <w:r w:rsidRPr="009C5EFD">
              <w:rPr>
                <w:sz w:val="22"/>
                <w:szCs w:val="22"/>
              </w:rPr>
              <w:t>Mindre vanlige</w:t>
            </w:r>
          </w:p>
          <w:p w14:paraId="4181ACC8" w14:textId="77777777" w:rsidR="009E676E" w:rsidRPr="009C5EFD" w:rsidRDefault="009E676E" w:rsidP="00FD5FF1">
            <w:pPr>
              <w:rPr>
                <w:sz w:val="22"/>
                <w:szCs w:val="22"/>
              </w:rPr>
            </w:pPr>
          </w:p>
        </w:tc>
        <w:tc>
          <w:tcPr>
            <w:tcW w:w="4294" w:type="dxa"/>
          </w:tcPr>
          <w:p w14:paraId="26CE510B" w14:textId="77777777" w:rsidR="009E676E" w:rsidRPr="009C5EFD" w:rsidRDefault="00E453CD" w:rsidP="00FD5FF1">
            <w:pPr>
              <w:pStyle w:val="Heading9"/>
              <w:spacing w:before="0" w:after="0"/>
              <w:rPr>
                <w:rFonts w:ascii="Times New Roman" w:hAnsi="Times New Roman" w:cs="Times New Roman"/>
              </w:rPr>
            </w:pPr>
            <w:r w:rsidRPr="009C5EFD">
              <w:rPr>
                <w:rFonts w:ascii="Times New Roman" w:hAnsi="Times New Roman" w:cs="Times New Roman"/>
              </w:rPr>
              <w:t>Cerebrovaskulær sykdom</w:t>
            </w:r>
            <w:r w:rsidRPr="009C5EFD">
              <w:rPr>
                <w:rFonts w:ascii="Times New Roman" w:hAnsi="Times New Roman" w:cs="Times New Roman"/>
                <w:vertAlign w:val="superscript"/>
              </w:rPr>
              <w:t>1)</w:t>
            </w:r>
            <w:r w:rsidRPr="009C5EFD">
              <w:rPr>
                <w:rFonts w:ascii="Times New Roman" w:hAnsi="Times New Roman" w:cs="Times New Roman"/>
              </w:rPr>
              <w:t>, tremor, neuropati</w:t>
            </w:r>
          </w:p>
          <w:p w14:paraId="5407EB69" w14:textId="77777777" w:rsidR="009E676E" w:rsidRPr="009C5EFD" w:rsidRDefault="009E676E" w:rsidP="00FD5FF1">
            <w:pPr>
              <w:rPr>
                <w:sz w:val="22"/>
                <w:szCs w:val="22"/>
              </w:rPr>
            </w:pPr>
          </w:p>
        </w:tc>
      </w:tr>
      <w:tr w:rsidR="004644D4" w14:paraId="6BCEB125" w14:textId="77777777" w:rsidTr="00032240">
        <w:trPr>
          <w:trHeight w:val="1012"/>
        </w:trPr>
        <w:tc>
          <w:tcPr>
            <w:tcW w:w="3079" w:type="dxa"/>
            <w:vMerge/>
          </w:tcPr>
          <w:p w14:paraId="5C57A2F9" w14:textId="77777777" w:rsidR="007866C9" w:rsidRPr="009C5EFD" w:rsidRDefault="007866C9" w:rsidP="00FD5FF1">
            <w:pPr>
              <w:rPr>
                <w:sz w:val="22"/>
                <w:szCs w:val="22"/>
              </w:rPr>
            </w:pPr>
          </w:p>
        </w:tc>
        <w:tc>
          <w:tcPr>
            <w:tcW w:w="1682" w:type="dxa"/>
          </w:tcPr>
          <w:p w14:paraId="291417EE" w14:textId="77777777" w:rsidR="007866C9" w:rsidRPr="009C5EFD" w:rsidRDefault="00E453CD" w:rsidP="00FD5FF1">
            <w:pPr>
              <w:rPr>
                <w:sz w:val="22"/>
                <w:szCs w:val="22"/>
              </w:rPr>
            </w:pPr>
            <w:r w:rsidRPr="009C5EFD">
              <w:rPr>
                <w:sz w:val="22"/>
                <w:szCs w:val="22"/>
              </w:rPr>
              <w:t>Sjeldne</w:t>
            </w:r>
          </w:p>
          <w:p w14:paraId="02E6C767" w14:textId="77777777" w:rsidR="007866C9" w:rsidRPr="009C5EFD" w:rsidRDefault="007866C9" w:rsidP="00FD5FF1">
            <w:pPr>
              <w:rPr>
                <w:sz w:val="22"/>
                <w:szCs w:val="22"/>
              </w:rPr>
            </w:pPr>
          </w:p>
        </w:tc>
        <w:tc>
          <w:tcPr>
            <w:tcW w:w="4294" w:type="dxa"/>
          </w:tcPr>
          <w:p w14:paraId="6A7C67E6" w14:textId="77777777" w:rsidR="007866C9" w:rsidRPr="009C5EFD" w:rsidRDefault="00E453CD" w:rsidP="00FD5FF1">
            <w:pPr>
              <w:rPr>
                <w:sz w:val="22"/>
                <w:szCs w:val="22"/>
              </w:rPr>
            </w:pPr>
            <w:r w:rsidRPr="009C5EFD">
              <w:rPr>
                <w:sz w:val="22"/>
                <w:szCs w:val="22"/>
              </w:rPr>
              <w:t>Multippel sklerose</w:t>
            </w:r>
          </w:p>
          <w:p w14:paraId="41AAC636" w14:textId="77777777" w:rsidR="007866C9" w:rsidRPr="009C5EFD" w:rsidRDefault="00E453CD" w:rsidP="00FD5FF1">
            <w:pPr>
              <w:rPr>
                <w:sz w:val="22"/>
                <w:szCs w:val="22"/>
                <w:vertAlign w:val="superscript"/>
              </w:rPr>
            </w:pPr>
            <w:r w:rsidRPr="009C5EFD">
              <w:rPr>
                <w:sz w:val="22"/>
                <w:szCs w:val="22"/>
              </w:rPr>
              <w:t>Demyeliniseringsforstyrrelser (f. eks. optisk nevritt, Guillain-Barré syndrom)</w:t>
            </w:r>
            <w:r w:rsidRPr="009C5EFD">
              <w:rPr>
                <w:sz w:val="22"/>
                <w:szCs w:val="22"/>
                <w:vertAlign w:val="superscript"/>
              </w:rPr>
              <w:t>1)</w:t>
            </w:r>
          </w:p>
          <w:p w14:paraId="4F82E66D" w14:textId="77777777" w:rsidR="007866C9" w:rsidRPr="009C5EFD" w:rsidRDefault="007866C9" w:rsidP="00FD5FF1">
            <w:pPr>
              <w:rPr>
                <w:sz w:val="22"/>
                <w:szCs w:val="22"/>
              </w:rPr>
            </w:pPr>
          </w:p>
        </w:tc>
      </w:tr>
      <w:tr w:rsidR="004644D4" w14:paraId="445EA334" w14:textId="77777777" w:rsidTr="00032240">
        <w:tc>
          <w:tcPr>
            <w:tcW w:w="3079" w:type="dxa"/>
            <w:vMerge w:val="restart"/>
          </w:tcPr>
          <w:p w14:paraId="736ED891" w14:textId="77777777" w:rsidR="009E676E" w:rsidRPr="009C5EFD" w:rsidRDefault="00E453CD" w:rsidP="00FD5FF1">
            <w:pPr>
              <w:rPr>
                <w:sz w:val="22"/>
                <w:szCs w:val="22"/>
              </w:rPr>
            </w:pPr>
            <w:r w:rsidRPr="009C5EFD">
              <w:rPr>
                <w:sz w:val="22"/>
                <w:szCs w:val="22"/>
              </w:rPr>
              <w:t>Øyesykdommer</w:t>
            </w:r>
          </w:p>
        </w:tc>
        <w:tc>
          <w:tcPr>
            <w:tcW w:w="1682" w:type="dxa"/>
          </w:tcPr>
          <w:p w14:paraId="7E7723E4" w14:textId="77777777" w:rsidR="009E676E" w:rsidRPr="009C5EFD" w:rsidRDefault="00E453CD" w:rsidP="00FD5FF1">
            <w:pPr>
              <w:pStyle w:val="EndnoteText"/>
              <w:tabs>
                <w:tab w:val="clear" w:pos="567"/>
              </w:tabs>
              <w:rPr>
                <w:szCs w:val="22"/>
                <w:lang w:val="nb-NO"/>
              </w:rPr>
            </w:pPr>
            <w:r w:rsidRPr="009C5EFD">
              <w:rPr>
                <w:szCs w:val="22"/>
                <w:lang w:val="nb-NO"/>
              </w:rPr>
              <w:t>Vanlige</w:t>
            </w:r>
          </w:p>
          <w:p w14:paraId="3BA8CD5A" w14:textId="77777777" w:rsidR="009E676E" w:rsidRPr="009C5EFD" w:rsidRDefault="009E676E" w:rsidP="00FD5FF1">
            <w:pPr>
              <w:pStyle w:val="EndnoteText"/>
              <w:tabs>
                <w:tab w:val="clear" w:pos="567"/>
              </w:tabs>
              <w:rPr>
                <w:szCs w:val="22"/>
                <w:lang w:val="nb-NO"/>
              </w:rPr>
            </w:pPr>
          </w:p>
        </w:tc>
        <w:tc>
          <w:tcPr>
            <w:tcW w:w="4294" w:type="dxa"/>
          </w:tcPr>
          <w:p w14:paraId="55DAC259" w14:textId="77777777" w:rsidR="009E676E" w:rsidRPr="009C5EFD" w:rsidRDefault="00E453CD" w:rsidP="00FD5FF1">
            <w:pPr>
              <w:rPr>
                <w:sz w:val="22"/>
                <w:szCs w:val="22"/>
              </w:rPr>
            </w:pPr>
            <w:r w:rsidRPr="009C5EFD">
              <w:rPr>
                <w:sz w:val="22"/>
                <w:szCs w:val="22"/>
              </w:rPr>
              <w:t>Synsforstyrrelser, konjunktivitt, blefaritt, hevelse i øye</w:t>
            </w:r>
          </w:p>
        </w:tc>
      </w:tr>
      <w:tr w:rsidR="004644D4" w14:paraId="36B98171" w14:textId="77777777" w:rsidTr="00032240">
        <w:tc>
          <w:tcPr>
            <w:tcW w:w="3079" w:type="dxa"/>
            <w:vMerge/>
          </w:tcPr>
          <w:p w14:paraId="7DA7D7AE" w14:textId="77777777" w:rsidR="009E676E" w:rsidRPr="009C5EFD" w:rsidRDefault="009E676E" w:rsidP="00FD5FF1">
            <w:pPr>
              <w:rPr>
                <w:sz w:val="22"/>
                <w:szCs w:val="22"/>
              </w:rPr>
            </w:pPr>
          </w:p>
        </w:tc>
        <w:tc>
          <w:tcPr>
            <w:tcW w:w="1682" w:type="dxa"/>
          </w:tcPr>
          <w:p w14:paraId="2B0A2D97" w14:textId="77777777" w:rsidR="009E676E" w:rsidRPr="009C5EFD" w:rsidRDefault="00E453CD" w:rsidP="00FD5FF1">
            <w:pPr>
              <w:pStyle w:val="EndnoteText"/>
              <w:tabs>
                <w:tab w:val="clear" w:pos="567"/>
              </w:tabs>
              <w:rPr>
                <w:szCs w:val="22"/>
                <w:lang w:val="nb-NO"/>
              </w:rPr>
            </w:pPr>
            <w:r w:rsidRPr="009C5EFD">
              <w:rPr>
                <w:szCs w:val="22"/>
                <w:lang w:val="nb-NO"/>
              </w:rPr>
              <w:t>Mindre vanlige</w:t>
            </w:r>
          </w:p>
        </w:tc>
        <w:tc>
          <w:tcPr>
            <w:tcW w:w="4294" w:type="dxa"/>
          </w:tcPr>
          <w:p w14:paraId="4083CB9A" w14:textId="77777777" w:rsidR="009E676E" w:rsidRPr="009C5EFD" w:rsidRDefault="00E453CD" w:rsidP="00FD5FF1">
            <w:pPr>
              <w:rPr>
                <w:sz w:val="22"/>
                <w:szCs w:val="22"/>
              </w:rPr>
            </w:pPr>
            <w:r w:rsidRPr="009C5EFD">
              <w:rPr>
                <w:sz w:val="22"/>
                <w:szCs w:val="22"/>
              </w:rPr>
              <w:t xml:space="preserve">Diplopi </w:t>
            </w:r>
          </w:p>
          <w:p w14:paraId="1B26B34E" w14:textId="77777777" w:rsidR="009E676E" w:rsidRPr="009C5EFD" w:rsidRDefault="009E676E" w:rsidP="00FD5FF1">
            <w:pPr>
              <w:rPr>
                <w:sz w:val="22"/>
                <w:szCs w:val="22"/>
              </w:rPr>
            </w:pPr>
          </w:p>
        </w:tc>
      </w:tr>
      <w:tr w:rsidR="004644D4" w14:paraId="1B450527" w14:textId="77777777" w:rsidTr="00032240">
        <w:tc>
          <w:tcPr>
            <w:tcW w:w="3079" w:type="dxa"/>
            <w:vMerge w:val="restart"/>
          </w:tcPr>
          <w:p w14:paraId="05A7982F" w14:textId="77777777" w:rsidR="009E676E" w:rsidRPr="009C5EFD" w:rsidRDefault="00E453CD" w:rsidP="00FD5FF1">
            <w:pPr>
              <w:rPr>
                <w:sz w:val="22"/>
                <w:szCs w:val="22"/>
              </w:rPr>
            </w:pPr>
            <w:r w:rsidRPr="009C5EFD">
              <w:rPr>
                <w:sz w:val="22"/>
                <w:szCs w:val="22"/>
              </w:rPr>
              <w:t>Sykdommer i øre og labyrint</w:t>
            </w:r>
          </w:p>
        </w:tc>
        <w:tc>
          <w:tcPr>
            <w:tcW w:w="1682" w:type="dxa"/>
          </w:tcPr>
          <w:p w14:paraId="0985E52C" w14:textId="77777777" w:rsidR="009E676E" w:rsidRPr="009C5EFD" w:rsidRDefault="00E453CD" w:rsidP="00FD5FF1">
            <w:pPr>
              <w:pStyle w:val="EndnoteText"/>
              <w:tabs>
                <w:tab w:val="clear" w:pos="567"/>
              </w:tabs>
              <w:rPr>
                <w:szCs w:val="22"/>
                <w:lang w:val="nb-NO"/>
              </w:rPr>
            </w:pPr>
            <w:r w:rsidRPr="009C5EFD">
              <w:rPr>
                <w:szCs w:val="22"/>
                <w:lang w:val="nb-NO"/>
              </w:rPr>
              <w:t>Vanlige</w:t>
            </w:r>
          </w:p>
          <w:p w14:paraId="70B56EE5" w14:textId="77777777" w:rsidR="009E676E" w:rsidRPr="009C5EFD" w:rsidRDefault="009E676E" w:rsidP="00FD5FF1">
            <w:pPr>
              <w:pStyle w:val="EndnoteText"/>
              <w:tabs>
                <w:tab w:val="clear" w:pos="567"/>
              </w:tabs>
              <w:rPr>
                <w:szCs w:val="22"/>
                <w:lang w:val="nb-NO"/>
              </w:rPr>
            </w:pPr>
          </w:p>
        </w:tc>
        <w:tc>
          <w:tcPr>
            <w:tcW w:w="4294" w:type="dxa"/>
          </w:tcPr>
          <w:p w14:paraId="7B6C43F2" w14:textId="77777777" w:rsidR="009E676E" w:rsidRPr="009C5EFD" w:rsidRDefault="00E453CD" w:rsidP="00FD5FF1">
            <w:pPr>
              <w:rPr>
                <w:sz w:val="22"/>
                <w:szCs w:val="22"/>
              </w:rPr>
            </w:pPr>
            <w:r w:rsidRPr="009C5EFD">
              <w:rPr>
                <w:sz w:val="22"/>
                <w:szCs w:val="22"/>
              </w:rPr>
              <w:t>Svimmelhet</w:t>
            </w:r>
          </w:p>
          <w:p w14:paraId="03778564" w14:textId="77777777" w:rsidR="009E676E" w:rsidRPr="009C5EFD" w:rsidRDefault="009E676E" w:rsidP="00FD5FF1">
            <w:pPr>
              <w:rPr>
                <w:sz w:val="22"/>
                <w:szCs w:val="22"/>
              </w:rPr>
            </w:pPr>
          </w:p>
        </w:tc>
      </w:tr>
      <w:tr w:rsidR="004644D4" w14:paraId="0A04244B" w14:textId="77777777" w:rsidTr="00032240">
        <w:tc>
          <w:tcPr>
            <w:tcW w:w="3079" w:type="dxa"/>
            <w:vMerge/>
          </w:tcPr>
          <w:p w14:paraId="41E36902" w14:textId="77777777" w:rsidR="009E676E" w:rsidRPr="009C5EFD" w:rsidRDefault="009E676E" w:rsidP="00FD5FF1">
            <w:pPr>
              <w:rPr>
                <w:sz w:val="22"/>
                <w:szCs w:val="22"/>
              </w:rPr>
            </w:pPr>
          </w:p>
        </w:tc>
        <w:tc>
          <w:tcPr>
            <w:tcW w:w="1682" w:type="dxa"/>
          </w:tcPr>
          <w:p w14:paraId="4C404246" w14:textId="77777777" w:rsidR="009E676E" w:rsidRPr="009C5EFD" w:rsidRDefault="00E453CD" w:rsidP="00FD5FF1">
            <w:pPr>
              <w:pStyle w:val="EndnoteText"/>
              <w:tabs>
                <w:tab w:val="clear" w:pos="567"/>
              </w:tabs>
              <w:rPr>
                <w:szCs w:val="22"/>
                <w:lang w:val="nb-NO"/>
              </w:rPr>
            </w:pPr>
            <w:r w:rsidRPr="009C5EFD">
              <w:rPr>
                <w:szCs w:val="22"/>
                <w:lang w:val="nb-NO"/>
              </w:rPr>
              <w:t>Mindre vanlige</w:t>
            </w:r>
          </w:p>
        </w:tc>
        <w:tc>
          <w:tcPr>
            <w:tcW w:w="4294" w:type="dxa"/>
          </w:tcPr>
          <w:p w14:paraId="583B5B62" w14:textId="77777777" w:rsidR="009E676E" w:rsidRPr="009C5EFD" w:rsidRDefault="00E453CD" w:rsidP="00FD5FF1">
            <w:pPr>
              <w:rPr>
                <w:sz w:val="22"/>
                <w:szCs w:val="22"/>
              </w:rPr>
            </w:pPr>
            <w:r w:rsidRPr="009C5EFD">
              <w:rPr>
                <w:sz w:val="22"/>
                <w:szCs w:val="22"/>
              </w:rPr>
              <w:t>Døvhet, øresus</w:t>
            </w:r>
          </w:p>
          <w:p w14:paraId="782DA447" w14:textId="77777777" w:rsidR="009E676E" w:rsidRPr="009C5EFD" w:rsidRDefault="009E676E" w:rsidP="00FD5FF1">
            <w:pPr>
              <w:rPr>
                <w:sz w:val="22"/>
                <w:szCs w:val="22"/>
              </w:rPr>
            </w:pPr>
          </w:p>
        </w:tc>
      </w:tr>
      <w:tr w:rsidR="004644D4" w14:paraId="29A653B0" w14:textId="77777777" w:rsidTr="00032240">
        <w:tc>
          <w:tcPr>
            <w:tcW w:w="3079" w:type="dxa"/>
            <w:vMerge w:val="restart"/>
          </w:tcPr>
          <w:p w14:paraId="5BF10552" w14:textId="77777777" w:rsidR="009E676E" w:rsidRPr="009C5EFD" w:rsidRDefault="00E453CD" w:rsidP="00FD5FF1">
            <w:pPr>
              <w:rPr>
                <w:sz w:val="22"/>
                <w:szCs w:val="22"/>
              </w:rPr>
            </w:pPr>
            <w:r w:rsidRPr="009C5EFD">
              <w:rPr>
                <w:sz w:val="22"/>
                <w:szCs w:val="22"/>
              </w:rPr>
              <w:t>Hjertesykdommer*</w:t>
            </w:r>
          </w:p>
        </w:tc>
        <w:tc>
          <w:tcPr>
            <w:tcW w:w="1682" w:type="dxa"/>
          </w:tcPr>
          <w:p w14:paraId="4865FDD8" w14:textId="77777777" w:rsidR="009E676E" w:rsidRPr="009C5EFD" w:rsidRDefault="00E453CD" w:rsidP="00FD5FF1">
            <w:pPr>
              <w:rPr>
                <w:sz w:val="22"/>
                <w:szCs w:val="22"/>
              </w:rPr>
            </w:pPr>
            <w:r w:rsidRPr="009C5EFD">
              <w:rPr>
                <w:sz w:val="22"/>
                <w:szCs w:val="22"/>
              </w:rPr>
              <w:t>Vanlige</w:t>
            </w:r>
          </w:p>
          <w:p w14:paraId="0BC82642" w14:textId="77777777" w:rsidR="009E676E" w:rsidRPr="009C5EFD" w:rsidRDefault="009E676E" w:rsidP="00FD5FF1">
            <w:pPr>
              <w:rPr>
                <w:sz w:val="22"/>
                <w:szCs w:val="22"/>
              </w:rPr>
            </w:pPr>
          </w:p>
        </w:tc>
        <w:tc>
          <w:tcPr>
            <w:tcW w:w="4294" w:type="dxa"/>
          </w:tcPr>
          <w:p w14:paraId="18705CD7" w14:textId="77777777" w:rsidR="009E676E" w:rsidRPr="009C5EFD" w:rsidRDefault="00E453CD" w:rsidP="00FD5FF1">
            <w:pPr>
              <w:rPr>
                <w:sz w:val="22"/>
                <w:szCs w:val="22"/>
              </w:rPr>
            </w:pPr>
            <w:r w:rsidRPr="009C5EFD">
              <w:rPr>
                <w:sz w:val="22"/>
                <w:szCs w:val="22"/>
              </w:rPr>
              <w:t>Takykardi</w:t>
            </w:r>
          </w:p>
        </w:tc>
      </w:tr>
      <w:tr w:rsidR="004644D4" w14:paraId="23B8EE0B" w14:textId="77777777" w:rsidTr="00032240">
        <w:tc>
          <w:tcPr>
            <w:tcW w:w="3079" w:type="dxa"/>
            <w:vMerge/>
          </w:tcPr>
          <w:p w14:paraId="6CE54786" w14:textId="77777777" w:rsidR="009E676E" w:rsidRPr="009C5EFD" w:rsidRDefault="009E676E" w:rsidP="00FD5FF1">
            <w:pPr>
              <w:rPr>
                <w:sz w:val="22"/>
                <w:szCs w:val="22"/>
              </w:rPr>
            </w:pPr>
          </w:p>
        </w:tc>
        <w:tc>
          <w:tcPr>
            <w:tcW w:w="1682" w:type="dxa"/>
          </w:tcPr>
          <w:p w14:paraId="32F5CF8C" w14:textId="77777777" w:rsidR="009E676E" w:rsidRPr="009C5EFD" w:rsidRDefault="00E453CD" w:rsidP="00FD5FF1">
            <w:pPr>
              <w:rPr>
                <w:sz w:val="22"/>
                <w:szCs w:val="22"/>
              </w:rPr>
            </w:pPr>
            <w:r w:rsidRPr="009C5EFD">
              <w:rPr>
                <w:sz w:val="22"/>
                <w:szCs w:val="22"/>
              </w:rPr>
              <w:t>Mindre vanlige</w:t>
            </w:r>
          </w:p>
          <w:p w14:paraId="1B280F0B" w14:textId="77777777" w:rsidR="009E676E" w:rsidRPr="009C5EFD" w:rsidRDefault="009E676E" w:rsidP="00FD5FF1">
            <w:pPr>
              <w:rPr>
                <w:sz w:val="22"/>
                <w:szCs w:val="22"/>
              </w:rPr>
            </w:pPr>
          </w:p>
        </w:tc>
        <w:tc>
          <w:tcPr>
            <w:tcW w:w="4294" w:type="dxa"/>
          </w:tcPr>
          <w:p w14:paraId="6AD5E306" w14:textId="77777777" w:rsidR="009E676E" w:rsidRPr="009C5EFD" w:rsidRDefault="00E453CD" w:rsidP="00FD5FF1">
            <w:pPr>
              <w:rPr>
                <w:sz w:val="22"/>
                <w:szCs w:val="22"/>
              </w:rPr>
            </w:pPr>
            <w:r w:rsidRPr="009C5EFD">
              <w:rPr>
                <w:sz w:val="22"/>
                <w:szCs w:val="22"/>
              </w:rPr>
              <w:t>Hjerteinfarkt</w:t>
            </w:r>
            <w:r w:rsidRPr="009C5EFD">
              <w:rPr>
                <w:sz w:val="22"/>
                <w:szCs w:val="22"/>
                <w:vertAlign w:val="superscript"/>
              </w:rPr>
              <w:t>1)</w:t>
            </w:r>
            <w:r w:rsidRPr="009C5EFD">
              <w:rPr>
                <w:sz w:val="22"/>
                <w:szCs w:val="22"/>
              </w:rPr>
              <w:t>, arytmi, kongestiv hjertesvikt</w:t>
            </w:r>
          </w:p>
          <w:p w14:paraId="2A7348B4" w14:textId="77777777" w:rsidR="009E676E" w:rsidRPr="009C5EFD" w:rsidRDefault="009E676E" w:rsidP="00FD5FF1">
            <w:pPr>
              <w:rPr>
                <w:sz w:val="22"/>
                <w:szCs w:val="22"/>
              </w:rPr>
            </w:pPr>
          </w:p>
        </w:tc>
      </w:tr>
      <w:tr w:rsidR="004644D4" w14:paraId="3EE7DF18" w14:textId="77777777" w:rsidTr="00032240">
        <w:tc>
          <w:tcPr>
            <w:tcW w:w="3079" w:type="dxa"/>
            <w:vMerge/>
          </w:tcPr>
          <w:p w14:paraId="0890EEDF" w14:textId="77777777" w:rsidR="009E676E" w:rsidRPr="009C5EFD" w:rsidRDefault="009E676E" w:rsidP="00FD5FF1">
            <w:pPr>
              <w:rPr>
                <w:sz w:val="22"/>
                <w:szCs w:val="22"/>
              </w:rPr>
            </w:pPr>
          </w:p>
        </w:tc>
        <w:tc>
          <w:tcPr>
            <w:tcW w:w="1682" w:type="dxa"/>
          </w:tcPr>
          <w:p w14:paraId="3B289071" w14:textId="77777777" w:rsidR="009E676E" w:rsidRPr="009C5EFD" w:rsidRDefault="00E453CD" w:rsidP="00FD5FF1">
            <w:pPr>
              <w:rPr>
                <w:sz w:val="22"/>
                <w:szCs w:val="22"/>
              </w:rPr>
            </w:pPr>
            <w:r w:rsidRPr="009C5EFD">
              <w:rPr>
                <w:sz w:val="22"/>
                <w:szCs w:val="22"/>
              </w:rPr>
              <w:t>Sjeldne</w:t>
            </w:r>
          </w:p>
          <w:p w14:paraId="1E3A1811" w14:textId="77777777" w:rsidR="009E676E" w:rsidRPr="009C5EFD" w:rsidRDefault="009E676E" w:rsidP="00FD5FF1">
            <w:pPr>
              <w:rPr>
                <w:sz w:val="22"/>
                <w:szCs w:val="22"/>
              </w:rPr>
            </w:pPr>
          </w:p>
        </w:tc>
        <w:tc>
          <w:tcPr>
            <w:tcW w:w="4294" w:type="dxa"/>
          </w:tcPr>
          <w:p w14:paraId="35BA15EC" w14:textId="77777777" w:rsidR="009E676E" w:rsidRPr="009C5EFD" w:rsidRDefault="00E453CD" w:rsidP="00FD5FF1">
            <w:pPr>
              <w:rPr>
                <w:sz w:val="22"/>
                <w:szCs w:val="22"/>
              </w:rPr>
            </w:pPr>
            <w:r w:rsidRPr="009C5EFD">
              <w:rPr>
                <w:sz w:val="22"/>
                <w:szCs w:val="22"/>
              </w:rPr>
              <w:t>Hjertestans</w:t>
            </w:r>
          </w:p>
        </w:tc>
      </w:tr>
      <w:tr w:rsidR="004644D4" w14:paraId="7EB625F4" w14:textId="77777777" w:rsidTr="00032240">
        <w:tc>
          <w:tcPr>
            <w:tcW w:w="3079" w:type="dxa"/>
            <w:vMerge w:val="restart"/>
          </w:tcPr>
          <w:p w14:paraId="606665D2" w14:textId="77777777" w:rsidR="009E676E" w:rsidRPr="009C5EFD" w:rsidRDefault="00E453CD" w:rsidP="00FD5FF1">
            <w:pPr>
              <w:rPr>
                <w:sz w:val="22"/>
                <w:szCs w:val="22"/>
              </w:rPr>
            </w:pPr>
            <w:r w:rsidRPr="009C5EFD">
              <w:rPr>
                <w:sz w:val="22"/>
                <w:szCs w:val="22"/>
              </w:rPr>
              <w:t>Karsykdommer</w:t>
            </w:r>
          </w:p>
        </w:tc>
        <w:tc>
          <w:tcPr>
            <w:tcW w:w="1682" w:type="dxa"/>
          </w:tcPr>
          <w:p w14:paraId="535D1BC7" w14:textId="77777777" w:rsidR="009E676E" w:rsidRPr="009C5EFD" w:rsidRDefault="00E453CD" w:rsidP="00FD5FF1">
            <w:pPr>
              <w:pStyle w:val="EndnoteText"/>
              <w:tabs>
                <w:tab w:val="clear" w:pos="567"/>
              </w:tabs>
              <w:jc w:val="both"/>
              <w:rPr>
                <w:szCs w:val="22"/>
                <w:lang w:val="nb-NO"/>
              </w:rPr>
            </w:pPr>
            <w:r w:rsidRPr="009C5EFD">
              <w:rPr>
                <w:szCs w:val="22"/>
                <w:lang w:val="nb-NO"/>
              </w:rPr>
              <w:t>Vanlige</w:t>
            </w:r>
          </w:p>
          <w:p w14:paraId="35FF901D" w14:textId="77777777" w:rsidR="009E676E" w:rsidRPr="009C5EFD" w:rsidRDefault="009E676E" w:rsidP="00FD5FF1">
            <w:pPr>
              <w:rPr>
                <w:sz w:val="22"/>
                <w:szCs w:val="22"/>
              </w:rPr>
            </w:pPr>
          </w:p>
        </w:tc>
        <w:tc>
          <w:tcPr>
            <w:tcW w:w="4294" w:type="dxa"/>
          </w:tcPr>
          <w:p w14:paraId="284874D0" w14:textId="77777777" w:rsidR="009E676E" w:rsidRPr="009C5EFD" w:rsidRDefault="00E453CD" w:rsidP="00FD5FF1">
            <w:pPr>
              <w:rPr>
                <w:sz w:val="22"/>
                <w:szCs w:val="22"/>
              </w:rPr>
            </w:pPr>
            <w:r w:rsidRPr="009C5EFD">
              <w:rPr>
                <w:sz w:val="22"/>
                <w:szCs w:val="22"/>
              </w:rPr>
              <w:t>Hypertensjon, flushing, hematom</w:t>
            </w:r>
          </w:p>
        </w:tc>
      </w:tr>
      <w:tr w:rsidR="004644D4" w14:paraId="3B09E7BD" w14:textId="77777777" w:rsidTr="00032240">
        <w:tc>
          <w:tcPr>
            <w:tcW w:w="3079" w:type="dxa"/>
            <w:vMerge/>
          </w:tcPr>
          <w:p w14:paraId="2CDAEC0A" w14:textId="77777777" w:rsidR="009E676E" w:rsidRPr="009C5EFD" w:rsidRDefault="009E676E" w:rsidP="00FD5FF1">
            <w:pPr>
              <w:rPr>
                <w:sz w:val="22"/>
                <w:szCs w:val="22"/>
              </w:rPr>
            </w:pPr>
          </w:p>
        </w:tc>
        <w:tc>
          <w:tcPr>
            <w:tcW w:w="1682" w:type="dxa"/>
          </w:tcPr>
          <w:p w14:paraId="659E12C6" w14:textId="77777777" w:rsidR="009E676E" w:rsidRPr="009C5EFD" w:rsidRDefault="00E453CD" w:rsidP="00FD5FF1">
            <w:pPr>
              <w:pStyle w:val="EndnoteText"/>
              <w:tabs>
                <w:tab w:val="clear" w:pos="567"/>
              </w:tabs>
              <w:jc w:val="both"/>
              <w:rPr>
                <w:szCs w:val="22"/>
                <w:lang w:val="nb-NO"/>
              </w:rPr>
            </w:pPr>
            <w:r w:rsidRPr="009C5EFD">
              <w:rPr>
                <w:szCs w:val="22"/>
                <w:lang w:val="nb-NO"/>
              </w:rPr>
              <w:t>Mindre vanlige</w:t>
            </w:r>
          </w:p>
        </w:tc>
        <w:tc>
          <w:tcPr>
            <w:tcW w:w="4294" w:type="dxa"/>
          </w:tcPr>
          <w:p w14:paraId="7C431948" w14:textId="77777777" w:rsidR="009E676E" w:rsidRPr="009C5EFD" w:rsidRDefault="00E453CD" w:rsidP="00FD5FF1">
            <w:pPr>
              <w:rPr>
                <w:sz w:val="22"/>
                <w:szCs w:val="22"/>
              </w:rPr>
            </w:pPr>
            <w:r w:rsidRPr="009C5EFD">
              <w:rPr>
                <w:sz w:val="22"/>
                <w:szCs w:val="22"/>
              </w:rPr>
              <w:t>Aortaaneurisme, vaskulær arteriell okklusjon, tromboflebitt</w:t>
            </w:r>
          </w:p>
          <w:p w14:paraId="352DD9D1" w14:textId="77777777" w:rsidR="009E676E" w:rsidRPr="009C5EFD" w:rsidRDefault="009E676E" w:rsidP="00FD5FF1">
            <w:pPr>
              <w:rPr>
                <w:sz w:val="22"/>
                <w:szCs w:val="22"/>
              </w:rPr>
            </w:pPr>
          </w:p>
        </w:tc>
      </w:tr>
      <w:tr w:rsidR="004644D4" w14:paraId="31FB4FB5" w14:textId="77777777" w:rsidTr="00032240">
        <w:tc>
          <w:tcPr>
            <w:tcW w:w="3079" w:type="dxa"/>
            <w:vMerge w:val="restart"/>
          </w:tcPr>
          <w:p w14:paraId="060C1C13" w14:textId="77777777" w:rsidR="009E676E" w:rsidRPr="009C5EFD" w:rsidRDefault="00E453CD" w:rsidP="00FD5FF1">
            <w:pPr>
              <w:rPr>
                <w:sz w:val="22"/>
                <w:szCs w:val="22"/>
              </w:rPr>
            </w:pPr>
            <w:r w:rsidRPr="009C5EFD">
              <w:rPr>
                <w:sz w:val="22"/>
                <w:szCs w:val="22"/>
              </w:rPr>
              <w:t>Sykdommer i respirasjonsorganer, thorax og mediastinum*</w:t>
            </w:r>
          </w:p>
        </w:tc>
        <w:tc>
          <w:tcPr>
            <w:tcW w:w="1682" w:type="dxa"/>
          </w:tcPr>
          <w:p w14:paraId="199DB349" w14:textId="77777777" w:rsidR="009E676E" w:rsidRPr="009C5EFD" w:rsidRDefault="00E453CD" w:rsidP="00FD5FF1">
            <w:pPr>
              <w:rPr>
                <w:sz w:val="22"/>
                <w:szCs w:val="22"/>
              </w:rPr>
            </w:pPr>
            <w:r w:rsidRPr="009C5EFD">
              <w:rPr>
                <w:sz w:val="22"/>
                <w:szCs w:val="22"/>
              </w:rPr>
              <w:t>Vanlige</w:t>
            </w:r>
          </w:p>
          <w:p w14:paraId="51F3BBB4" w14:textId="77777777" w:rsidR="009E676E" w:rsidRPr="009C5EFD" w:rsidRDefault="009E676E" w:rsidP="00FD5FF1">
            <w:pPr>
              <w:pStyle w:val="EndnoteText"/>
              <w:tabs>
                <w:tab w:val="clear" w:pos="567"/>
              </w:tabs>
              <w:jc w:val="both"/>
              <w:rPr>
                <w:szCs w:val="22"/>
                <w:lang w:val="nb-NO"/>
              </w:rPr>
            </w:pPr>
          </w:p>
        </w:tc>
        <w:tc>
          <w:tcPr>
            <w:tcW w:w="4294" w:type="dxa"/>
          </w:tcPr>
          <w:p w14:paraId="0E74CD79" w14:textId="77777777" w:rsidR="009E676E" w:rsidRPr="009C5EFD" w:rsidRDefault="00E453CD" w:rsidP="00FD5FF1">
            <w:pPr>
              <w:autoSpaceDE w:val="0"/>
              <w:autoSpaceDN w:val="0"/>
              <w:adjustRightInd w:val="0"/>
              <w:rPr>
                <w:sz w:val="22"/>
                <w:szCs w:val="22"/>
              </w:rPr>
            </w:pPr>
            <w:r w:rsidRPr="009C5EFD">
              <w:rPr>
                <w:sz w:val="22"/>
                <w:szCs w:val="22"/>
              </w:rPr>
              <w:t>Astma, dyspné, hoste</w:t>
            </w:r>
          </w:p>
        </w:tc>
      </w:tr>
      <w:tr w:rsidR="004644D4" w14:paraId="7B4C595A" w14:textId="77777777" w:rsidTr="00032240">
        <w:tc>
          <w:tcPr>
            <w:tcW w:w="3079" w:type="dxa"/>
            <w:vMerge/>
          </w:tcPr>
          <w:p w14:paraId="112DA7CD" w14:textId="77777777" w:rsidR="009E676E" w:rsidRPr="009C5EFD" w:rsidRDefault="009E676E" w:rsidP="00FD5FF1">
            <w:pPr>
              <w:rPr>
                <w:sz w:val="22"/>
                <w:szCs w:val="22"/>
              </w:rPr>
            </w:pPr>
          </w:p>
        </w:tc>
        <w:tc>
          <w:tcPr>
            <w:tcW w:w="1682" w:type="dxa"/>
          </w:tcPr>
          <w:p w14:paraId="1F8B1D2B" w14:textId="77777777" w:rsidR="009E676E" w:rsidRPr="009C5EFD" w:rsidRDefault="00E453CD" w:rsidP="00FD5FF1">
            <w:pPr>
              <w:pStyle w:val="EndnoteText"/>
              <w:tabs>
                <w:tab w:val="clear" w:pos="567"/>
              </w:tabs>
              <w:jc w:val="both"/>
              <w:rPr>
                <w:szCs w:val="22"/>
                <w:lang w:val="nb-NO"/>
              </w:rPr>
            </w:pPr>
            <w:r w:rsidRPr="009C5EFD">
              <w:rPr>
                <w:szCs w:val="22"/>
                <w:lang w:val="nb-NO"/>
              </w:rPr>
              <w:t>Mindre vanlige</w:t>
            </w:r>
          </w:p>
          <w:p w14:paraId="36EACF37" w14:textId="77777777" w:rsidR="009E676E" w:rsidRPr="009C5EFD" w:rsidRDefault="009E676E" w:rsidP="00FD5FF1">
            <w:pPr>
              <w:rPr>
                <w:sz w:val="22"/>
                <w:szCs w:val="22"/>
              </w:rPr>
            </w:pPr>
          </w:p>
        </w:tc>
        <w:tc>
          <w:tcPr>
            <w:tcW w:w="4294" w:type="dxa"/>
          </w:tcPr>
          <w:p w14:paraId="691C4D97" w14:textId="77777777" w:rsidR="009E676E" w:rsidRPr="009C5EFD" w:rsidRDefault="00E453CD" w:rsidP="00FD5FF1">
            <w:pPr>
              <w:rPr>
                <w:sz w:val="22"/>
                <w:szCs w:val="22"/>
              </w:rPr>
            </w:pPr>
            <w:r w:rsidRPr="009C5EFD">
              <w:rPr>
                <w:sz w:val="22"/>
                <w:szCs w:val="22"/>
              </w:rPr>
              <w:t>Lungeemboli</w:t>
            </w:r>
            <w:r w:rsidRPr="009C5EFD">
              <w:rPr>
                <w:sz w:val="22"/>
                <w:szCs w:val="22"/>
                <w:vertAlign w:val="superscript"/>
              </w:rPr>
              <w:t>1)</w:t>
            </w:r>
            <w:r w:rsidRPr="009C5EFD">
              <w:rPr>
                <w:sz w:val="22"/>
                <w:szCs w:val="22"/>
              </w:rPr>
              <w:t xml:space="preserve">, interstitiell lungesykdom, kronisk obstruktiv lungesykdom, pneumonitt, </w:t>
            </w:r>
          </w:p>
          <w:p w14:paraId="7DD9872C" w14:textId="77777777" w:rsidR="009E676E" w:rsidRPr="009C5EFD" w:rsidRDefault="00E453CD" w:rsidP="00FD5FF1">
            <w:pPr>
              <w:rPr>
                <w:sz w:val="22"/>
                <w:szCs w:val="22"/>
              </w:rPr>
            </w:pPr>
            <w:r>
              <w:rPr>
                <w:sz w:val="22"/>
                <w:szCs w:val="22"/>
              </w:rPr>
              <w:t>hydrothorax</w:t>
            </w:r>
            <w:r w:rsidRPr="009C5EFD">
              <w:rPr>
                <w:sz w:val="22"/>
                <w:szCs w:val="22"/>
                <w:vertAlign w:val="superscript"/>
              </w:rPr>
              <w:t>1)</w:t>
            </w:r>
            <w:r w:rsidRPr="009C5EFD">
              <w:rPr>
                <w:sz w:val="22"/>
                <w:szCs w:val="22"/>
              </w:rPr>
              <w:t xml:space="preserve"> </w:t>
            </w:r>
          </w:p>
          <w:p w14:paraId="1D23A3B7" w14:textId="77777777" w:rsidR="009E676E" w:rsidRPr="009C5EFD" w:rsidRDefault="009E676E" w:rsidP="00FD5FF1">
            <w:pPr>
              <w:autoSpaceDE w:val="0"/>
              <w:autoSpaceDN w:val="0"/>
              <w:adjustRightInd w:val="0"/>
              <w:rPr>
                <w:sz w:val="22"/>
                <w:szCs w:val="22"/>
              </w:rPr>
            </w:pPr>
          </w:p>
        </w:tc>
      </w:tr>
      <w:tr w:rsidR="004644D4" w14:paraId="75D11F0C" w14:textId="77777777" w:rsidTr="00032240">
        <w:tc>
          <w:tcPr>
            <w:tcW w:w="3079" w:type="dxa"/>
            <w:vMerge/>
          </w:tcPr>
          <w:p w14:paraId="3B0CC28A" w14:textId="77777777" w:rsidR="009E676E" w:rsidRPr="009C5EFD" w:rsidRDefault="009E676E" w:rsidP="00FD5FF1">
            <w:pPr>
              <w:rPr>
                <w:sz w:val="22"/>
                <w:szCs w:val="22"/>
              </w:rPr>
            </w:pPr>
          </w:p>
        </w:tc>
        <w:tc>
          <w:tcPr>
            <w:tcW w:w="1682" w:type="dxa"/>
          </w:tcPr>
          <w:p w14:paraId="738FF0E3" w14:textId="77777777" w:rsidR="009E676E" w:rsidRPr="009C5EFD" w:rsidRDefault="00E453CD" w:rsidP="00FD5FF1">
            <w:pPr>
              <w:pStyle w:val="EndnoteText"/>
              <w:tabs>
                <w:tab w:val="clear" w:pos="567"/>
              </w:tabs>
              <w:jc w:val="both"/>
              <w:rPr>
                <w:szCs w:val="22"/>
                <w:lang w:val="nb-NO"/>
              </w:rPr>
            </w:pPr>
            <w:r w:rsidRPr="009C5EFD">
              <w:rPr>
                <w:szCs w:val="22"/>
                <w:lang w:val="nb-NO"/>
              </w:rPr>
              <w:t>Sjeldne</w:t>
            </w:r>
          </w:p>
          <w:p w14:paraId="74191C9D" w14:textId="77777777" w:rsidR="009E676E" w:rsidRPr="009C5EFD" w:rsidRDefault="009E676E" w:rsidP="00FD5FF1">
            <w:pPr>
              <w:rPr>
                <w:sz w:val="22"/>
                <w:szCs w:val="22"/>
              </w:rPr>
            </w:pPr>
          </w:p>
        </w:tc>
        <w:tc>
          <w:tcPr>
            <w:tcW w:w="4294" w:type="dxa"/>
          </w:tcPr>
          <w:p w14:paraId="026B9F76" w14:textId="77777777" w:rsidR="009E676E" w:rsidRPr="009C5EFD" w:rsidRDefault="00E453CD" w:rsidP="00FD5FF1">
            <w:pPr>
              <w:autoSpaceDE w:val="0"/>
              <w:autoSpaceDN w:val="0"/>
              <w:adjustRightInd w:val="0"/>
              <w:rPr>
                <w:sz w:val="22"/>
                <w:szCs w:val="22"/>
              </w:rPr>
            </w:pPr>
            <w:r w:rsidRPr="009C5EFD">
              <w:rPr>
                <w:sz w:val="22"/>
                <w:szCs w:val="22"/>
              </w:rPr>
              <w:t>Lungefibrose</w:t>
            </w:r>
            <w:r w:rsidRPr="009C5EFD">
              <w:rPr>
                <w:sz w:val="22"/>
                <w:szCs w:val="22"/>
                <w:vertAlign w:val="superscript"/>
              </w:rPr>
              <w:t>1)</w:t>
            </w:r>
          </w:p>
        </w:tc>
      </w:tr>
      <w:tr w:rsidR="004644D4" w14:paraId="3C4F8EB8" w14:textId="77777777" w:rsidTr="00032240">
        <w:tc>
          <w:tcPr>
            <w:tcW w:w="3079" w:type="dxa"/>
            <w:vMerge w:val="restart"/>
          </w:tcPr>
          <w:p w14:paraId="72A0FD81" w14:textId="77777777" w:rsidR="009E676E" w:rsidRPr="009C5EFD" w:rsidRDefault="00E453CD" w:rsidP="00FD5FF1">
            <w:pPr>
              <w:rPr>
                <w:sz w:val="22"/>
                <w:szCs w:val="22"/>
              </w:rPr>
            </w:pPr>
            <w:r w:rsidRPr="009C5EFD">
              <w:rPr>
                <w:sz w:val="22"/>
                <w:szCs w:val="22"/>
              </w:rPr>
              <w:t>Gastrointestinale sykdommer</w:t>
            </w:r>
          </w:p>
        </w:tc>
        <w:tc>
          <w:tcPr>
            <w:tcW w:w="1682" w:type="dxa"/>
          </w:tcPr>
          <w:p w14:paraId="252A2F3B" w14:textId="77777777" w:rsidR="009E676E" w:rsidRPr="009C5EFD" w:rsidRDefault="00E453CD" w:rsidP="00FD5FF1">
            <w:pPr>
              <w:rPr>
                <w:sz w:val="22"/>
                <w:szCs w:val="22"/>
              </w:rPr>
            </w:pPr>
            <w:r w:rsidRPr="009C5EFD">
              <w:rPr>
                <w:sz w:val="22"/>
                <w:szCs w:val="22"/>
              </w:rPr>
              <w:t>Svært vanlige</w:t>
            </w:r>
          </w:p>
          <w:p w14:paraId="5E62BD87" w14:textId="77777777" w:rsidR="009E676E" w:rsidRPr="009C5EFD" w:rsidRDefault="009E676E" w:rsidP="00FD5FF1">
            <w:pPr>
              <w:rPr>
                <w:sz w:val="22"/>
                <w:szCs w:val="22"/>
              </w:rPr>
            </w:pPr>
          </w:p>
        </w:tc>
        <w:tc>
          <w:tcPr>
            <w:tcW w:w="4294" w:type="dxa"/>
          </w:tcPr>
          <w:p w14:paraId="0D0DCEBF" w14:textId="77777777" w:rsidR="009E676E" w:rsidRPr="009C5EFD" w:rsidRDefault="00E453CD" w:rsidP="00FD5FF1">
            <w:pPr>
              <w:rPr>
                <w:sz w:val="22"/>
                <w:szCs w:val="22"/>
              </w:rPr>
            </w:pPr>
            <w:r w:rsidRPr="009C5EFD">
              <w:rPr>
                <w:sz w:val="22"/>
                <w:szCs w:val="22"/>
              </w:rPr>
              <w:t>Abdominal</w:t>
            </w:r>
            <w:r>
              <w:rPr>
                <w:sz w:val="22"/>
                <w:szCs w:val="22"/>
              </w:rPr>
              <w:t>e</w:t>
            </w:r>
            <w:r w:rsidRPr="009C5EFD">
              <w:rPr>
                <w:sz w:val="22"/>
                <w:szCs w:val="22"/>
              </w:rPr>
              <w:t xml:space="preserve"> smerte</w:t>
            </w:r>
            <w:r>
              <w:rPr>
                <w:sz w:val="22"/>
                <w:szCs w:val="22"/>
              </w:rPr>
              <w:t>r</w:t>
            </w:r>
            <w:r w:rsidRPr="009C5EFD">
              <w:rPr>
                <w:sz w:val="22"/>
                <w:szCs w:val="22"/>
              </w:rPr>
              <w:t>, kvalme og oppkast</w:t>
            </w:r>
          </w:p>
          <w:p w14:paraId="65C11BAC" w14:textId="77777777" w:rsidR="009E676E" w:rsidRPr="009C5EFD" w:rsidRDefault="009E676E" w:rsidP="00FD5FF1">
            <w:pPr>
              <w:rPr>
                <w:sz w:val="22"/>
                <w:szCs w:val="22"/>
                <w:vertAlign w:val="superscript"/>
              </w:rPr>
            </w:pPr>
          </w:p>
        </w:tc>
      </w:tr>
      <w:tr w:rsidR="004644D4" w14:paraId="08D71439" w14:textId="77777777" w:rsidTr="00032240">
        <w:tc>
          <w:tcPr>
            <w:tcW w:w="3079" w:type="dxa"/>
            <w:vMerge/>
          </w:tcPr>
          <w:p w14:paraId="5322FEA3" w14:textId="77777777" w:rsidR="009E676E" w:rsidRPr="009C5EFD" w:rsidRDefault="009E676E" w:rsidP="00FD5FF1">
            <w:pPr>
              <w:rPr>
                <w:sz w:val="22"/>
                <w:szCs w:val="22"/>
              </w:rPr>
            </w:pPr>
          </w:p>
        </w:tc>
        <w:tc>
          <w:tcPr>
            <w:tcW w:w="1682" w:type="dxa"/>
          </w:tcPr>
          <w:p w14:paraId="008F8C3C" w14:textId="77777777" w:rsidR="009E676E" w:rsidRPr="009C5EFD" w:rsidRDefault="00E453CD" w:rsidP="00FD5FF1">
            <w:pPr>
              <w:rPr>
                <w:sz w:val="22"/>
                <w:szCs w:val="22"/>
              </w:rPr>
            </w:pPr>
            <w:r w:rsidRPr="009C5EFD">
              <w:rPr>
                <w:sz w:val="22"/>
                <w:szCs w:val="22"/>
              </w:rPr>
              <w:t>Vanlige</w:t>
            </w:r>
          </w:p>
          <w:p w14:paraId="1E03852F" w14:textId="77777777" w:rsidR="009E676E" w:rsidRPr="009C5EFD" w:rsidRDefault="009E676E" w:rsidP="00FD5FF1">
            <w:pPr>
              <w:rPr>
                <w:sz w:val="22"/>
                <w:szCs w:val="22"/>
              </w:rPr>
            </w:pPr>
          </w:p>
        </w:tc>
        <w:tc>
          <w:tcPr>
            <w:tcW w:w="4294" w:type="dxa"/>
          </w:tcPr>
          <w:p w14:paraId="08191613" w14:textId="77777777" w:rsidR="009E676E" w:rsidRPr="009C5EFD" w:rsidRDefault="00E453CD" w:rsidP="00FD5FF1">
            <w:pPr>
              <w:autoSpaceDE w:val="0"/>
              <w:autoSpaceDN w:val="0"/>
              <w:adjustRightInd w:val="0"/>
              <w:rPr>
                <w:sz w:val="22"/>
                <w:szCs w:val="22"/>
              </w:rPr>
            </w:pPr>
            <w:r w:rsidRPr="009C5EFD">
              <w:rPr>
                <w:sz w:val="22"/>
                <w:szCs w:val="22"/>
              </w:rPr>
              <w:t xml:space="preserve">Gastrointestinal blødning, dyspepsi, refluksøsofagitt (GERD), Sjøgrens syndrom </w:t>
            </w:r>
          </w:p>
          <w:p w14:paraId="45708625" w14:textId="77777777" w:rsidR="009E676E" w:rsidRPr="009C5EFD" w:rsidRDefault="009E676E" w:rsidP="00FD5FF1">
            <w:pPr>
              <w:rPr>
                <w:sz w:val="22"/>
                <w:szCs w:val="22"/>
              </w:rPr>
            </w:pPr>
          </w:p>
        </w:tc>
      </w:tr>
      <w:tr w:rsidR="004644D4" w14:paraId="0B398AA1" w14:textId="77777777" w:rsidTr="00032240">
        <w:tc>
          <w:tcPr>
            <w:tcW w:w="3079" w:type="dxa"/>
            <w:vMerge/>
          </w:tcPr>
          <w:p w14:paraId="3E2F712D" w14:textId="77777777" w:rsidR="009E676E" w:rsidRPr="009C5EFD" w:rsidRDefault="009E676E" w:rsidP="00FD5FF1">
            <w:pPr>
              <w:rPr>
                <w:sz w:val="22"/>
                <w:szCs w:val="22"/>
              </w:rPr>
            </w:pPr>
          </w:p>
        </w:tc>
        <w:tc>
          <w:tcPr>
            <w:tcW w:w="1682" w:type="dxa"/>
          </w:tcPr>
          <w:p w14:paraId="3D15941B" w14:textId="77777777" w:rsidR="009E676E" w:rsidRPr="009C5EFD" w:rsidRDefault="00E453CD" w:rsidP="00FD5FF1">
            <w:pPr>
              <w:rPr>
                <w:sz w:val="22"/>
                <w:szCs w:val="22"/>
              </w:rPr>
            </w:pPr>
            <w:r w:rsidRPr="009C5EFD">
              <w:rPr>
                <w:sz w:val="22"/>
                <w:szCs w:val="22"/>
              </w:rPr>
              <w:t>Mindre vanlige</w:t>
            </w:r>
          </w:p>
          <w:p w14:paraId="7FDF9198" w14:textId="77777777" w:rsidR="009E676E" w:rsidRPr="009C5EFD" w:rsidRDefault="009E676E" w:rsidP="00FD5FF1">
            <w:pPr>
              <w:rPr>
                <w:sz w:val="22"/>
                <w:szCs w:val="22"/>
              </w:rPr>
            </w:pPr>
          </w:p>
        </w:tc>
        <w:tc>
          <w:tcPr>
            <w:tcW w:w="4294" w:type="dxa"/>
          </w:tcPr>
          <w:p w14:paraId="3EE1607E" w14:textId="77777777" w:rsidR="009E676E" w:rsidRPr="009C5EFD" w:rsidRDefault="00E453CD" w:rsidP="00FD5FF1">
            <w:pPr>
              <w:rPr>
                <w:sz w:val="22"/>
                <w:szCs w:val="22"/>
              </w:rPr>
            </w:pPr>
            <w:r w:rsidRPr="009C5EFD">
              <w:rPr>
                <w:sz w:val="22"/>
                <w:szCs w:val="22"/>
              </w:rPr>
              <w:t xml:space="preserve">Pankreatitt, dysfagi, ansiktsødem </w:t>
            </w:r>
          </w:p>
          <w:p w14:paraId="673F8761" w14:textId="77777777" w:rsidR="009E676E" w:rsidRPr="009C5EFD" w:rsidRDefault="009E676E" w:rsidP="00FD5FF1">
            <w:pPr>
              <w:rPr>
                <w:sz w:val="22"/>
                <w:szCs w:val="22"/>
              </w:rPr>
            </w:pPr>
          </w:p>
        </w:tc>
      </w:tr>
      <w:tr w:rsidR="004644D4" w14:paraId="142720E1" w14:textId="77777777" w:rsidTr="00032240">
        <w:tc>
          <w:tcPr>
            <w:tcW w:w="3079" w:type="dxa"/>
            <w:vMerge/>
          </w:tcPr>
          <w:p w14:paraId="3987F5AA" w14:textId="77777777" w:rsidR="009E676E" w:rsidRPr="009C5EFD" w:rsidRDefault="009E676E" w:rsidP="00FD5FF1">
            <w:pPr>
              <w:rPr>
                <w:sz w:val="22"/>
                <w:szCs w:val="22"/>
              </w:rPr>
            </w:pPr>
          </w:p>
        </w:tc>
        <w:tc>
          <w:tcPr>
            <w:tcW w:w="1682" w:type="dxa"/>
          </w:tcPr>
          <w:p w14:paraId="2FE856EC" w14:textId="77777777" w:rsidR="009E676E" w:rsidRPr="009C5EFD" w:rsidRDefault="00E453CD" w:rsidP="00FD5FF1">
            <w:pPr>
              <w:rPr>
                <w:sz w:val="22"/>
                <w:szCs w:val="22"/>
              </w:rPr>
            </w:pPr>
            <w:r w:rsidRPr="009C5EFD">
              <w:rPr>
                <w:sz w:val="22"/>
                <w:szCs w:val="22"/>
              </w:rPr>
              <w:t>Sjeldne</w:t>
            </w:r>
          </w:p>
          <w:p w14:paraId="7F5B5F3E" w14:textId="77777777" w:rsidR="009E676E" w:rsidRPr="009C5EFD" w:rsidRDefault="009E676E" w:rsidP="00FD5FF1">
            <w:pPr>
              <w:rPr>
                <w:sz w:val="22"/>
                <w:szCs w:val="22"/>
              </w:rPr>
            </w:pPr>
          </w:p>
        </w:tc>
        <w:tc>
          <w:tcPr>
            <w:tcW w:w="4294" w:type="dxa"/>
          </w:tcPr>
          <w:p w14:paraId="6F61C09C" w14:textId="77777777" w:rsidR="009E676E" w:rsidRPr="009C5EFD" w:rsidRDefault="00E453CD" w:rsidP="00FD5FF1">
            <w:pPr>
              <w:rPr>
                <w:sz w:val="22"/>
                <w:szCs w:val="22"/>
              </w:rPr>
            </w:pPr>
            <w:r w:rsidRPr="009C5EFD">
              <w:rPr>
                <w:sz w:val="22"/>
                <w:szCs w:val="22"/>
              </w:rPr>
              <w:t>Intestinal perforasjon</w:t>
            </w:r>
            <w:r w:rsidRPr="009C5EFD">
              <w:rPr>
                <w:sz w:val="22"/>
                <w:szCs w:val="22"/>
                <w:vertAlign w:val="superscript"/>
              </w:rPr>
              <w:t>1)</w:t>
            </w:r>
          </w:p>
        </w:tc>
      </w:tr>
      <w:tr w:rsidR="004644D4" w14:paraId="009D9BA0" w14:textId="77777777" w:rsidTr="00032240">
        <w:tc>
          <w:tcPr>
            <w:tcW w:w="3079" w:type="dxa"/>
            <w:vMerge w:val="restart"/>
          </w:tcPr>
          <w:p w14:paraId="3C25031F" w14:textId="77777777" w:rsidR="009E676E" w:rsidRPr="009C5EFD" w:rsidRDefault="00E453CD" w:rsidP="00FD5FF1">
            <w:pPr>
              <w:rPr>
                <w:sz w:val="22"/>
                <w:szCs w:val="22"/>
              </w:rPr>
            </w:pPr>
            <w:r w:rsidRPr="009C5EFD">
              <w:rPr>
                <w:sz w:val="22"/>
                <w:szCs w:val="22"/>
              </w:rPr>
              <w:t>Sykdommer i lever og galleveier*</w:t>
            </w:r>
          </w:p>
        </w:tc>
        <w:tc>
          <w:tcPr>
            <w:tcW w:w="1682" w:type="dxa"/>
          </w:tcPr>
          <w:p w14:paraId="72F59C9E" w14:textId="77777777" w:rsidR="009E676E" w:rsidRPr="009C5EFD" w:rsidRDefault="00E453CD" w:rsidP="00FD5FF1">
            <w:pPr>
              <w:rPr>
                <w:sz w:val="22"/>
                <w:szCs w:val="22"/>
              </w:rPr>
            </w:pPr>
            <w:r w:rsidRPr="009C5EFD">
              <w:rPr>
                <w:sz w:val="22"/>
                <w:szCs w:val="22"/>
              </w:rPr>
              <w:t>Svært vanlige</w:t>
            </w:r>
          </w:p>
          <w:p w14:paraId="538649DD" w14:textId="77777777" w:rsidR="009E676E" w:rsidRPr="009C5EFD" w:rsidRDefault="009E676E" w:rsidP="00FD5FF1">
            <w:pPr>
              <w:rPr>
                <w:sz w:val="22"/>
                <w:szCs w:val="22"/>
              </w:rPr>
            </w:pPr>
          </w:p>
        </w:tc>
        <w:tc>
          <w:tcPr>
            <w:tcW w:w="4294" w:type="dxa"/>
          </w:tcPr>
          <w:p w14:paraId="61CC95D9" w14:textId="77777777" w:rsidR="009E676E" w:rsidRPr="009C5EFD" w:rsidRDefault="00E453CD" w:rsidP="00FD5FF1">
            <w:pPr>
              <w:rPr>
                <w:sz w:val="22"/>
                <w:szCs w:val="22"/>
              </w:rPr>
            </w:pPr>
            <w:r w:rsidRPr="009C5EFD">
              <w:rPr>
                <w:sz w:val="22"/>
                <w:szCs w:val="22"/>
              </w:rPr>
              <w:t>Stigning i leverenzymer</w:t>
            </w:r>
          </w:p>
        </w:tc>
      </w:tr>
      <w:tr w:rsidR="004644D4" w14:paraId="257FD02F" w14:textId="77777777" w:rsidTr="00032240">
        <w:tc>
          <w:tcPr>
            <w:tcW w:w="3079" w:type="dxa"/>
            <w:vMerge/>
          </w:tcPr>
          <w:p w14:paraId="3967EAEB" w14:textId="77777777" w:rsidR="009E676E" w:rsidRPr="009C5EFD" w:rsidRDefault="009E676E" w:rsidP="00FD5FF1">
            <w:pPr>
              <w:rPr>
                <w:sz w:val="22"/>
                <w:szCs w:val="22"/>
              </w:rPr>
            </w:pPr>
          </w:p>
        </w:tc>
        <w:tc>
          <w:tcPr>
            <w:tcW w:w="1682" w:type="dxa"/>
          </w:tcPr>
          <w:p w14:paraId="62AC1023" w14:textId="77777777" w:rsidR="009E676E" w:rsidRPr="009C5EFD" w:rsidRDefault="00E453CD" w:rsidP="00FD5FF1">
            <w:pPr>
              <w:rPr>
                <w:sz w:val="22"/>
                <w:szCs w:val="22"/>
              </w:rPr>
            </w:pPr>
            <w:r w:rsidRPr="009C5EFD">
              <w:rPr>
                <w:sz w:val="22"/>
                <w:szCs w:val="22"/>
              </w:rPr>
              <w:t xml:space="preserve">Mindre vanlige </w:t>
            </w:r>
          </w:p>
          <w:p w14:paraId="7DF4010D" w14:textId="77777777" w:rsidR="009E676E" w:rsidRPr="009C5EFD" w:rsidRDefault="009E676E" w:rsidP="00FD5FF1">
            <w:pPr>
              <w:rPr>
                <w:sz w:val="22"/>
                <w:szCs w:val="22"/>
              </w:rPr>
            </w:pPr>
          </w:p>
        </w:tc>
        <w:tc>
          <w:tcPr>
            <w:tcW w:w="4294" w:type="dxa"/>
          </w:tcPr>
          <w:p w14:paraId="14D956F9" w14:textId="77777777" w:rsidR="009E676E" w:rsidRPr="009C5EFD" w:rsidRDefault="00E453CD" w:rsidP="00FD5FF1">
            <w:pPr>
              <w:pStyle w:val="EMEAFigureTitle"/>
              <w:tabs>
                <w:tab w:val="clear" w:pos="562"/>
              </w:tabs>
              <w:suppressAutoHyphens w:val="0"/>
              <w:rPr>
                <w:szCs w:val="22"/>
                <w:lang w:val="nb-NO"/>
              </w:rPr>
            </w:pPr>
            <w:r w:rsidRPr="009C5EFD">
              <w:rPr>
                <w:szCs w:val="22"/>
                <w:lang w:val="nb-NO"/>
              </w:rPr>
              <w:t>Kolecystitt og kolelitiasis, hepatisk steatose</w:t>
            </w:r>
          </w:p>
          <w:p w14:paraId="70EA3CAF" w14:textId="77777777" w:rsidR="009E676E" w:rsidRPr="009C5EFD" w:rsidRDefault="00E453CD" w:rsidP="00FD5FF1">
            <w:pPr>
              <w:pStyle w:val="EMEAFigureTitle"/>
              <w:tabs>
                <w:tab w:val="clear" w:pos="562"/>
              </w:tabs>
              <w:suppressAutoHyphens w:val="0"/>
              <w:rPr>
                <w:szCs w:val="22"/>
                <w:lang w:val="nb-NO"/>
              </w:rPr>
            </w:pPr>
            <w:r w:rsidRPr="009C5EFD">
              <w:rPr>
                <w:szCs w:val="22"/>
                <w:lang w:val="nb-NO"/>
              </w:rPr>
              <w:t>forhøyet bilirubin i blod</w:t>
            </w:r>
          </w:p>
          <w:p w14:paraId="6527088C" w14:textId="77777777" w:rsidR="009E676E" w:rsidRPr="009C5EFD" w:rsidRDefault="009E676E" w:rsidP="00FD5FF1">
            <w:pPr>
              <w:rPr>
                <w:sz w:val="22"/>
                <w:szCs w:val="22"/>
              </w:rPr>
            </w:pPr>
          </w:p>
        </w:tc>
      </w:tr>
      <w:tr w:rsidR="004644D4" w14:paraId="4CB00DE2" w14:textId="77777777" w:rsidTr="00032240">
        <w:tc>
          <w:tcPr>
            <w:tcW w:w="3079" w:type="dxa"/>
            <w:vMerge/>
          </w:tcPr>
          <w:p w14:paraId="33624F13" w14:textId="77777777" w:rsidR="009E676E" w:rsidRPr="009C5EFD" w:rsidRDefault="009E676E" w:rsidP="00FD5FF1">
            <w:pPr>
              <w:rPr>
                <w:sz w:val="22"/>
                <w:szCs w:val="22"/>
              </w:rPr>
            </w:pPr>
          </w:p>
        </w:tc>
        <w:tc>
          <w:tcPr>
            <w:tcW w:w="1682" w:type="dxa"/>
          </w:tcPr>
          <w:p w14:paraId="5D8067FD" w14:textId="77777777" w:rsidR="009E676E" w:rsidRPr="009C5EFD" w:rsidRDefault="00E453CD" w:rsidP="00FD5FF1">
            <w:pPr>
              <w:rPr>
                <w:sz w:val="22"/>
                <w:szCs w:val="22"/>
              </w:rPr>
            </w:pPr>
            <w:r w:rsidRPr="009C5EFD">
              <w:rPr>
                <w:sz w:val="22"/>
                <w:szCs w:val="22"/>
              </w:rPr>
              <w:t>Sjeldne</w:t>
            </w:r>
          </w:p>
          <w:p w14:paraId="222237D1" w14:textId="77777777" w:rsidR="009E676E" w:rsidRPr="009C5EFD" w:rsidRDefault="009E676E" w:rsidP="00FD5FF1">
            <w:pPr>
              <w:rPr>
                <w:sz w:val="22"/>
                <w:szCs w:val="22"/>
              </w:rPr>
            </w:pPr>
          </w:p>
        </w:tc>
        <w:tc>
          <w:tcPr>
            <w:tcW w:w="4294" w:type="dxa"/>
          </w:tcPr>
          <w:p w14:paraId="15C41DC7" w14:textId="77777777" w:rsidR="009E676E" w:rsidRPr="009C5EFD" w:rsidRDefault="00E453CD" w:rsidP="00FD5FF1">
            <w:pPr>
              <w:rPr>
                <w:sz w:val="22"/>
                <w:szCs w:val="22"/>
              </w:rPr>
            </w:pPr>
            <w:r w:rsidRPr="009C5EFD">
              <w:rPr>
                <w:sz w:val="22"/>
                <w:szCs w:val="22"/>
              </w:rPr>
              <w:t>Hepatitt, reaktivering av Hepatitt B</w:t>
            </w:r>
            <w:r w:rsidRPr="009C5EFD">
              <w:rPr>
                <w:sz w:val="22"/>
                <w:szCs w:val="22"/>
                <w:vertAlign w:val="superscript"/>
              </w:rPr>
              <w:t>1)</w:t>
            </w:r>
            <w:r w:rsidRPr="009C5EFD">
              <w:rPr>
                <w:sz w:val="22"/>
                <w:szCs w:val="22"/>
              </w:rPr>
              <w:t>, autoimmun hepatitt</w:t>
            </w:r>
            <w:r w:rsidRPr="009C5EFD">
              <w:rPr>
                <w:sz w:val="22"/>
                <w:szCs w:val="22"/>
                <w:vertAlign w:val="superscript"/>
              </w:rPr>
              <w:t>1)</w:t>
            </w:r>
          </w:p>
          <w:p w14:paraId="1FB70E65" w14:textId="77777777" w:rsidR="009E676E" w:rsidRPr="009C5EFD" w:rsidRDefault="009E676E" w:rsidP="00FD5FF1">
            <w:pPr>
              <w:pStyle w:val="EMEAFigureTitle"/>
              <w:tabs>
                <w:tab w:val="clear" w:pos="562"/>
              </w:tabs>
              <w:suppressAutoHyphens w:val="0"/>
              <w:rPr>
                <w:szCs w:val="22"/>
                <w:lang w:val="nb-NO"/>
              </w:rPr>
            </w:pPr>
          </w:p>
        </w:tc>
      </w:tr>
      <w:tr w:rsidR="004644D4" w14:paraId="69B4CDF3" w14:textId="77777777" w:rsidTr="00032240">
        <w:tc>
          <w:tcPr>
            <w:tcW w:w="3079" w:type="dxa"/>
            <w:vMerge/>
          </w:tcPr>
          <w:p w14:paraId="19118519" w14:textId="77777777" w:rsidR="009E676E" w:rsidRPr="009C5EFD" w:rsidRDefault="009E676E" w:rsidP="00FD5FF1">
            <w:pPr>
              <w:rPr>
                <w:sz w:val="22"/>
                <w:szCs w:val="22"/>
              </w:rPr>
            </w:pPr>
          </w:p>
        </w:tc>
        <w:tc>
          <w:tcPr>
            <w:tcW w:w="1682" w:type="dxa"/>
          </w:tcPr>
          <w:p w14:paraId="502BDC6F" w14:textId="77777777" w:rsidR="009E676E" w:rsidRPr="009C5EFD" w:rsidRDefault="00E453CD" w:rsidP="00FD5FF1">
            <w:pPr>
              <w:rPr>
                <w:sz w:val="22"/>
                <w:szCs w:val="22"/>
              </w:rPr>
            </w:pPr>
            <w:r w:rsidRPr="009C5EFD">
              <w:rPr>
                <w:sz w:val="22"/>
                <w:szCs w:val="22"/>
              </w:rPr>
              <w:t>Ikke kjent</w:t>
            </w:r>
          </w:p>
          <w:p w14:paraId="3DB46BAF" w14:textId="77777777" w:rsidR="009E676E" w:rsidRPr="009C5EFD" w:rsidRDefault="009E676E" w:rsidP="00FD5FF1">
            <w:pPr>
              <w:rPr>
                <w:sz w:val="22"/>
                <w:szCs w:val="22"/>
              </w:rPr>
            </w:pPr>
          </w:p>
        </w:tc>
        <w:tc>
          <w:tcPr>
            <w:tcW w:w="4294" w:type="dxa"/>
          </w:tcPr>
          <w:p w14:paraId="4D93FEDA" w14:textId="77777777" w:rsidR="009E676E" w:rsidRPr="009C5EFD" w:rsidRDefault="00E453CD" w:rsidP="00FD5FF1">
            <w:pPr>
              <w:rPr>
                <w:sz w:val="22"/>
                <w:szCs w:val="22"/>
              </w:rPr>
            </w:pPr>
            <w:r w:rsidRPr="009C5EFD">
              <w:rPr>
                <w:sz w:val="22"/>
                <w:szCs w:val="22"/>
              </w:rPr>
              <w:t>Leversvikt</w:t>
            </w:r>
            <w:r w:rsidRPr="009C5EFD">
              <w:rPr>
                <w:sz w:val="22"/>
                <w:szCs w:val="22"/>
                <w:vertAlign w:val="superscript"/>
              </w:rPr>
              <w:t>1)</w:t>
            </w:r>
          </w:p>
          <w:p w14:paraId="41A4C8B6" w14:textId="77777777" w:rsidR="009E676E" w:rsidRPr="009C5EFD" w:rsidRDefault="009E676E" w:rsidP="00FD5FF1">
            <w:pPr>
              <w:rPr>
                <w:sz w:val="22"/>
                <w:szCs w:val="22"/>
              </w:rPr>
            </w:pPr>
          </w:p>
        </w:tc>
      </w:tr>
      <w:tr w:rsidR="004644D4" w14:paraId="75B98B65" w14:textId="77777777" w:rsidTr="00032240">
        <w:tc>
          <w:tcPr>
            <w:tcW w:w="3079" w:type="dxa"/>
            <w:vMerge w:val="restart"/>
          </w:tcPr>
          <w:p w14:paraId="584DC954" w14:textId="77777777" w:rsidR="009E676E" w:rsidRPr="009C5EFD" w:rsidRDefault="00E453CD" w:rsidP="00FD5FF1">
            <w:pPr>
              <w:rPr>
                <w:sz w:val="22"/>
                <w:szCs w:val="22"/>
              </w:rPr>
            </w:pPr>
            <w:r w:rsidRPr="009C5EFD">
              <w:rPr>
                <w:sz w:val="22"/>
                <w:szCs w:val="22"/>
              </w:rPr>
              <w:t>Hud- og underhudssykdommer</w:t>
            </w:r>
          </w:p>
        </w:tc>
        <w:tc>
          <w:tcPr>
            <w:tcW w:w="1682" w:type="dxa"/>
          </w:tcPr>
          <w:p w14:paraId="3B31847E" w14:textId="77777777" w:rsidR="009E676E" w:rsidRPr="009C5EFD" w:rsidRDefault="00E453CD" w:rsidP="00FD5FF1">
            <w:pPr>
              <w:rPr>
                <w:sz w:val="22"/>
                <w:szCs w:val="22"/>
              </w:rPr>
            </w:pPr>
            <w:r w:rsidRPr="009C5EFD">
              <w:rPr>
                <w:sz w:val="22"/>
                <w:szCs w:val="22"/>
              </w:rPr>
              <w:t>Svært vanlige</w:t>
            </w:r>
          </w:p>
          <w:p w14:paraId="75B49B9B" w14:textId="77777777" w:rsidR="009E676E" w:rsidRPr="009C5EFD" w:rsidRDefault="009E676E" w:rsidP="00FD5FF1">
            <w:pPr>
              <w:rPr>
                <w:sz w:val="22"/>
                <w:szCs w:val="22"/>
              </w:rPr>
            </w:pPr>
          </w:p>
        </w:tc>
        <w:tc>
          <w:tcPr>
            <w:tcW w:w="4294" w:type="dxa"/>
          </w:tcPr>
          <w:p w14:paraId="2CC26E3D" w14:textId="77777777" w:rsidR="009E676E" w:rsidRPr="009C5EFD" w:rsidRDefault="00E453CD" w:rsidP="00FD5FF1">
            <w:pPr>
              <w:rPr>
                <w:sz w:val="22"/>
                <w:szCs w:val="22"/>
              </w:rPr>
            </w:pPr>
            <w:r w:rsidRPr="009C5EFD">
              <w:rPr>
                <w:sz w:val="22"/>
                <w:szCs w:val="22"/>
              </w:rPr>
              <w:t>Utslett (inkludert eksfoliativt utslett)</w:t>
            </w:r>
          </w:p>
          <w:p w14:paraId="3A0BE769" w14:textId="77777777" w:rsidR="009E676E" w:rsidRPr="009C5EFD" w:rsidRDefault="009E676E" w:rsidP="00FD5FF1">
            <w:pPr>
              <w:rPr>
                <w:sz w:val="22"/>
                <w:szCs w:val="22"/>
              </w:rPr>
            </w:pPr>
          </w:p>
        </w:tc>
      </w:tr>
      <w:tr w:rsidR="004644D4" w14:paraId="11916D91" w14:textId="77777777" w:rsidTr="00032240">
        <w:tc>
          <w:tcPr>
            <w:tcW w:w="3079" w:type="dxa"/>
            <w:vMerge/>
          </w:tcPr>
          <w:p w14:paraId="6A25A33D" w14:textId="77777777" w:rsidR="009E676E" w:rsidRPr="009C5EFD" w:rsidRDefault="009E676E" w:rsidP="00FD5FF1">
            <w:pPr>
              <w:rPr>
                <w:sz w:val="22"/>
                <w:szCs w:val="22"/>
              </w:rPr>
            </w:pPr>
          </w:p>
        </w:tc>
        <w:tc>
          <w:tcPr>
            <w:tcW w:w="1682" w:type="dxa"/>
          </w:tcPr>
          <w:p w14:paraId="40F45D9C" w14:textId="77777777" w:rsidR="009E676E" w:rsidRPr="009C5EFD" w:rsidRDefault="00E453CD" w:rsidP="00FD5FF1">
            <w:pPr>
              <w:rPr>
                <w:sz w:val="22"/>
                <w:szCs w:val="22"/>
              </w:rPr>
            </w:pPr>
            <w:r w:rsidRPr="009C5EFD">
              <w:rPr>
                <w:sz w:val="22"/>
                <w:szCs w:val="22"/>
              </w:rPr>
              <w:t>Vanlige</w:t>
            </w:r>
          </w:p>
          <w:p w14:paraId="79B80C93" w14:textId="77777777" w:rsidR="009E676E" w:rsidRPr="009C5EFD" w:rsidRDefault="009E676E" w:rsidP="00FD5FF1">
            <w:pPr>
              <w:rPr>
                <w:sz w:val="22"/>
                <w:szCs w:val="22"/>
              </w:rPr>
            </w:pPr>
          </w:p>
        </w:tc>
        <w:tc>
          <w:tcPr>
            <w:tcW w:w="4294" w:type="dxa"/>
          </w:tcPr>
          <w:p w14:paraId="24C75A9E" w14:textId="77777777" w:rsidR="009E676E" w:rsidRPr="009C5EFD" w:rsidRDefault="00E453CD" w:rsidP="00FD5FF1">
            <w:pPr>
              <w:rPr>
                <w:sz w:val="22"/>
                <w:szCs w:val="22"/>
              </w:rPr>
            </w:pPr>
            <w:r w:rsidRPr="009C5EFD">
              <w:rPr>
                <w:sz w:val="22"/>
                <w:szCs w:val="22"/>
              </w:rPr>
              <w:t>Forverring eller nytt tilfelle av psoriasis (inkludert palmoplantar pustul</w:t>
            </w:r>
            <w:r w:rsidR="00D67D8E">
              <w:rPr>
                <w:sz w:val="22"/>
                <w:szCs w:val="22"/>
              </w:rPr>
              <w:t>øs</w:t>
            </w:r>
            <w:r w:rsidRPr="009C5EFD">
              <w:rPr>
                <w:sz w:val="22"/>
                <w:szCs w:val="22"/>
              </w:rPr>
              <w:t xml:space="preserve"> psoriasis)</w:t>
            </w:r>
            <w:r w:rsidRPr="009C5EFD">
              <w:rPr>
                <w:sz w:val="22"/>
                <w:szCs w:val="22"/>
                <w:vertAlign w:val="superscript"/>
              </w:rPr>
              <w:t>1)</w:t>
            </w:r>
            <w:r w:rsidRPr="009C5EFD">
              <w:rPr>
                <w:sz w:val="22"/>
                <w:szCs w:val="22"/>
              </w:rPr>
              <w:t xml:space="preserve">, urtikaria, blåmerker (inkludert purpura), </w:t>
            </w:r>
            <w:r w:rsidRPr="009C5EFD">
              <w:rPr>
                <w:sz w:val="22"/>
                <w:szCs w:val="22"/>
              </w:rPr>
              <w:lastRenderedPageBreak/>
              <w:t>dermatitt (inkludert eksem), onychoclasis, hyperhidrose, alopeci</w:t>
            </w:r>
            <w:r w:rsidRPr="009C5EFD">
              <w:rPr>
                <w:sz w:val="22"/>
                <w:szCs w:val="22"/>
                <w:vertAlign w:val="superscript"/>
              </w:rPr>
              <w:t>1)</w:t>
            </w:r>
            <w:r w:rsidRPr="009C5EFD">
              <w:rPr>
                <w:sz w:val="22"/>
                <w:szCs w:val="22"/>
              </w:rPr>
              <w:t>, pruritus</w:t>
            </w:r>
          </w:p>
          <w:p w14:paraId="0EEC1294" w14:textId="77777777" w:rsidR="009E676E" w:rsidRPr="009C5EFD" w:rsidRDefault="009E676E" w:rsidP="00FD5FF1">
            <w:pPr>
              <w:rPr>
                <w:sz w:val="22"/>
                <w:szCs w:val="22"/>
              </w:rPr>
            </w:pPr>
          </w:p>
        </w:tc>
      </w:tr>
      <w:tr w:rsidR="004644D4" w14:paraId="10E7E5D5" w14:textId="77777777" w:rsidTr="00032240">
        <w:tc>
          <w:tcPr>
            <w:tcW w:w="3079" w:type="dxa"/>
            <w:vMerge/>
          </w:tcPr>
          <w:p w14:paraId="13251730" w14:textId="77777777" w:rsidR="009E676E" w:rsidRPr="009C5EFD" w:rsidRDefault="009E676E" w:rsidP="00FD5FF1">
            <w:pPr>
              <w:rPr>
                <w:sz w:val="22"/>
                <w:szCs w:val="22"/>
              </w:rPr>
            </w:pPr>
          </w:p>
        </w:tc>
        <w:tc>
          <w:tcPr>
            <w:tcW w:w="1682" w:type="dxa"/>
          </w:tcPr>
          <w:p w14:paraId="10F7592B" w14:textId="77777777" w:rsidR="009E676E" w:rsidRPr="009C5EFD" w:rsidRDefault="00E453CD" w:rsidP="00FD5FF1">
            <w:pPr>
              <w:rPr>
                <w:sz w:val="22"/>
                <w:szCs w:val="22"/>
              </w:rPr>
            </w:pPr>
            <w:r w:rsidRPr="009C5EFD">
              <w:rPr>
                <w:sz w:val="22"/>
                <w:szCs w:val="22"/>
              </w:rPr>
              <w:t>Mindre vanlige</w:t>
            </w:r>
          </w:p>
          <w:p w14:paraId="7C247A18" w14:textId="77777777" w:rsidR="009E676E" w:rsidRPr="009C5EFD" w:rsidRDefault="009E676E" w:rsidP="00FD5FF1">
            <w:pPr>
              <w:rPr>
                <w:sz w:val="22"/>
                <w:szCs w:val="22"/>
              </w:rPr>
            </w:pPr>
          </w:p>
        </w:tc>
        <w:tc>
          <w:tcPr>
            <w:tcW w:w="4294" w:type="dxa"/>
          </w:tcPr>
          <w:p w14:paraId="1E6CE2C2" w14:textId="77777777" w:rsidR="009E676E" w:rsidRPr="009C5EFD" w:rsidRDefault="00E453CD" w:rsidP="00FD5FF1">
            <w:pPr>
              <w:rPr>
                <w:sz w:val="22"/>
                <w:szCs w:val="22"/>
              </w:rPr>
            </w:pPr>
            <w:r w:rsidRPr="009C5EFD">
              <w:rPr>
                <w:sz w:val="22"/>
                <w:szCs w:val="22"/>
              </w:rPr>
              <w:t xml:space="preserve">Nattesvette, arrdannelse </w:t>
            </w:r>
          </w:p>
          <w:p w14:paraId="5243DFA7" w14:textId="77777777" w:rsidR="009E676E" w:rsidRPr="009C5EFD" w:rsidRDefault="009E676E" w:rsidP="00FD5FF1">
            <w:pPr>
              <w:rPr>
                <w:sz w:val="22"/>
                <w:szCs w:val="22"/>
              </w:rPr>
            </w:pPr>
          </w:p>
        </w:tc>
      </w:tr>
      <w:tr w:rsidR="004644D4" w14:paraId="5BA58E9E" w14:textId="77777777" w:rsidTr="00032240">
        <w:tc>
          <w:tcPr>
            <w:tcW w:w="3079" w:type="dxa"/>
            <w:vMerge/>
          </w:tcPr>
          <w:p w14:paraId="2B68DFE4" w14:textId="77777777" w:rsidR="009E676E" w:rsidRPr="009C5EFD" w:rsidRDefault="009E676E" w:rsidP="00FD5FF1">
            <w:pPr>
              <w:rPr>
                <w:sz w:val="22"/>
                <w:szCs w:val="22"/>
              </w:rPr>
            </w:pPr>
          </w:p>
        </w:tc>
        <w:tc>
          <w:tcPr>
            <w:tcW w:w="1682" w:type="dxa"/>
          </w:tcPr>
          <w:p w14:paraId="7161FA8D" w14:textId="77777777" w:rsidR="009E676E" w:rsidRPr="009C5EFD" w:rsidRDefault="00E453CD" w:rsidP="00FD5FF1">
            <w:pPr>
              <w:rPr>
                <w:sz w:val="22"/>
                <w:szCs w:val="22"/>
              </w:rPr>
            </w:pPr>
            <w:r w:rsidRPr="009C5EFD">
              <w:rPr>
                <w:sz w:val="22"/>
                <w:szCs w:val="22"/>
              </w:rPr>
              <w:t>Sjeldne</w:t>
            </w:r>
          </w:p>
          <w:p w14:paraId="56D5F36D" w14:textId="77777777" w:rsidR="009E676E" w:rsidRPr="009C5EFD" w:rsidRDefault="009E676E" w:rsidP="00FD5FF1">
            <w:pPr>
              <w:rPr>
                <w:sz w:val="22"/>
                <w:szCs w:val="22"/>
              </w:rPr>
            </w:pPr>
          </w:p>
        </w:tc>
        <w:tc>
          <w:tcPr>
            <w:tcW w:w="4294" w:type="dxa"/>
          </w:tcPr>
          <w:p w14:paraId="68E86E58" w14:textId="77777777" w:rsidR="009E676E" w:rsidRPr="006936CB" w:rsidRDefault="00E453CD" w:rsidP="001424DB">
            <w:pPr>
              <w:spacing w:after="120"/>
              <w:rPr>
                <w:sz w:val="22"/>
                <w:szCs w:val="22"/>
              </w:rPr>
            </w:pPr>
            <w:r w:rsidRPr="009C5EFD">
              <w:rPr>
                <w:sz w:val="22"/>
                <w:szCs w:val="22"/>
              </w:rPr>
              <w:t>Erythema multiforme</w:t>
            </w:r>
            <w:r w:rsidRPr="009C5EFD">
              <w:rPr>
                <w:sz w:val="22"/>
                <w:szCs w:val="22"/>
                <w:vertAlign w:val="superscript"/>
              </w:rPr>
              <w:t>1)</w:t>
            </w:r>
            <w:r w:rsidRPr="009C5EFD">
              <w:rPr>
                <w:sz w:val="22"/>
                <w:szCs w:val="22"/>
              </w:rPr>
              <w:t>, Stevens-Johnson syndrom</w:t>
            </w:r>
            <w:r w:rsidRPr="009C5EFD">
              <w:rPr>
                <w:sz w:val="22"/>
                <w:szCs w:val="22"/>
                <w:vertAlign w:val="superscript"/>
              </w:rPr>
              <w:t>1)</w:t>
            </w:r>
            <w:r w:rsidRPr="009C5EFD">
              <w:rPr>
                <w:sz w:val="22"/>
                <w:szCs w:val="22"/>
              </w:rPr>
              <w:t>, angioødem</w:t>
            </w:r>
            <w:r w:rsidRPr="009C5EFD">
              <w:rPr>
                <w:sz w:val="22"/>
                <w:szCs w:val="22"/>
                <w:vertAlign w:val="superscript"/>
              </w:rPr>
              <w:t>1)</w:t>
            </w:r>
            <w:r w:rsidRPr="009C5EFD">
              <w:rPr>
                <w:sz w:val="22"/>
                <w:szCs w:val="22"/>
              </w:rPr>
              <w:t>, kutan vaskulitt</w:t>
            </w:r>
            <w:r w:rsidRPr="009C5EFD">
              <w:rPr>
                <w:sz w:val="22"/>
                <w:szCs w:val="22"/>
                <w:vertAlign w:val="superscript"/>
              </w:rPr>
              <w:t>1)</w:t>
            </w:r>
            <w:r w:rsidR="00486C52">
              <w:rPr>
                <w:sz w:val="22"/>
                <w:szCs w:val="22"/>
              </w:rPr>
              <w:t>, lichenoid</w:t>
            </w:r>
            <w:r w:rsidR="00506C98">
              <w:rPr>
                <w:sz w:val="22"/>
                <w:szCs w:val="22"/>
              </w:rPr>
              <w:t xml:space="preserve"> hudreaksjon</w:t>
            </w:r>
            <w:r w:rsidR="00506C98" w:rsidRPr="009C5EFD">
              <w:rPr>
                <w:sz w:val="22"/>
                <w:szCs w:val="22"/>
                <w:vertAlign w:val="superscript"/>
              </w:rPr>
              <w:t>1)</w:t>
            </w:r>
          </w:p>
          <w:p w14:paraId="37DE0654" w14:textId="77777777" w:rsidR="009E676E" w:rsidRPr="009C5EFD" w:rsidRDefault="009E676E" w:rsidP="00FD5FF1">
            <w:pPr>
              <w:rPr>
                <w:sz w:val="22"/>
                <w:szCs w:val="22"/>
              </w:rPr>
            </w:pPr>
          </w:p>
        </w:tc>
      </w:tr>
      <w:tr w:rsidR="004644D4" w14:paraId="1D37EACB" w14:textId="77777777" w:rsidTr="00032240">
        <w:tc>
          <w:tcPr>
            <w:tcW w:w="3079" w:type="dxa"/>
            <w:vMerge/>
          </w:tcPr>
          <w:p w14:paraId="795D35E3" w14:textId="77777777" w:rsidR="009E676E" w:rsidRPr="009C5EFD" w:rsidRDefault="009E676E" w:rsidP="00FD5FF1">
            <w:pPr>
              <w:rPr>
                <w:sz w:val="22"/>
                <w:szCs w:val="22"/>
              </w:rPr>
            </w:pPr>
          </w:p>
        </w:tc>
        <w:tc>
          <w:tcPr>
            <w:tcW w:w="1682" w:type="dxa"/>
          </w:tcPr>
          <w:p w14:paraId="07E9344A" w14:textId="77777777" w:rsidR="009E676E" w:rsidRPr="009C5EFD" w:rsidRDefault="00E453CD" w:rsidP="00FD5FF1">
            <w:pPr>
              <w:rPr>
                <w:sz w:val="22"/>
                <w:szCs w:val="22"/>
              </w:rPr>
            </w:pPr>
            <w:r w:rsidRPr="009C5EFD">
              <w:rPr>
                <w:sz w:val="22"/>
                <w:szCs w:val="22"/>
              </w:rPr>
              <w:t>Ikke kjent</w:t>
            </w:r>
          </w:p>
        </w:tc>
        <w:tc>
          <w:tcPr>
            <w:tcW w:w="4294" w:type="dxa"/>
          </w:tcPr>
          <w:p w14:paraId="1887A0E0" w14:textId="77777777" w:rsidR="009E676E" w:rsidRPr="009C5EFD" w:rsidRDefault="00E453CD" w:rsidP="00FD5FF1">
            <w:pPr>
              <w:rPr>
                <w:sz w:val="22"/>
                <w:szCs w:val="22"/>
              </w:rPr>
            </w:pPr>
            <w:r w:rsidRPr="009C5EFD">
              <w:rPr>
                <w:sz w:val="22"/>
                <w:szCs w:val="22"/>
              </w:rPr>
              <w:t>Forverring av dermatomyositt symptomer</w:t>
            </w:r>
            <w:r w:rsidRPr="009C5EFD">
              <w:rPr>
                <w:sz w:val="22"/>
                <w:szCs w:val="22"/>
                <w:vertAlign w:val="superscript"/>
              </w:rPr>
              <w:t>1)</w:t>
            </w:r>
          </w:p>
          <w:p w14:paraId="26336860" w14:textId="77777777" w:rsidR="009E676E" w:rsidRPr="009C5EFD" w:rsidRDefault="009E676E" w:rsidP="00FD5FF1">
            <w:pPr>
              <w:rPr>
                <w:sz w:val="22"/>
                <w:szCs w:val="22"/>
              </w:rPr>
            </w:pPr>
          </w:p>
        </w:tc>
      </w:tr>
      <w:tr w:rsidR="004644D4" w14:paraId="5EDA48CB" w14:textId="77777777" w:rsidTr="00032240">
        <w:tc>
          <w:tcPr>
            <w:tcW w:w="3079" w:type="dxa"/>
            <w:vMerge w:val="restart"/>
          </w:tcPr>
          <w:p w14:paraId="05371EE7" w14:textId="77777777" w:rsidR="009E676E" w:rsidRPr="002D0790" w:rsidRDefault="00E453CD" w:rsidP="00FD5FF1">
            <w:pPr>
              <w:pStyle w:val="EndnoteText"/>
              <w:widowControl/>
              <w:tabs>
                <w:tab w:val="clear" w:pos="567"/>
              </w:tabs>
              <w:rPr>
                <w:szCs w:val="22"/>
                <w:lang w:val="nb-NO"/>
              </w:rPr>
            </w:pPr>
            <w:r w:rsidRPr="007F67EE">
              <w:rPr>
                <w:szCs w:val="22"/>
                <w:lang w:val="nb-NO"/>
              </w:rPr>
              <w:t>Sykdommer i muskler</w:t>
            </w:r>
            <w:r w:rsidRPr="00193D76">
              <w:rPr>
                <w:szCs w:val="22"/>
                <w:lang w:val="nb-NO"/>
              </w:rPr>
              <w:t xml:space="preserve"> og </w:t>
            </w:r>
            <w:r w:rsidRPr="002D0790">
              <w:rPr>
                <w:szCs w:val="22"/>
                <w:lang w:val="nb-NO"/>
              </w:rPr>
              <w:t>bindevev</w:t>
            </w:r>
          </w:p>
        </w:tc>
        <w:tc>
          <w:tcPr>
            <w:tcW w:w="1682" w:type="dxa"/>
          </w:tcPr>
          <w:p w14:paraId="2EA93D64" w14:textId="77777777" w:rsidR="009E676E" w:rsidRPr="002D0790" w:rsidRDefault="00E453CD" w:rsidP="00FD5FF1">
            <w:pPr>
              <w:rPr>
                <w:sz w:val="22"/>
                <w:szCs w:val="22"/>
              </w:rPr>
            </w:pPr>
            <w:r w:rsidRPr="002D0790">
              <w:rPr>
                <w:sz w:val="22"/>
                <w:szCs w:val="22"/>
              </w:rPr>
              <w:t>Svært vanlige</w:t>
            </w:r>
          </w:p>
          <w:p w14:paraId="2DA4E505" w14:textId="77777777" w:rsidR="009E676E" w:rsidRPr="00E14E58" w:rsidRDefault="009E676E" w:rsidP="00FD5FF1">
            <w:pPr>
              <w:rPr>
                <w:sz w:val="22"/>
                <w:szCs w:val="22"/>
              </w:rPr>
            </w:pPr>
          </w:p>
        </w:tc>
        <w:tc>
          <w:tcPr>
            <w:tcW w:w="4294" w:type="dxa"/>
          </w:tcPr>
          <w:p w14:paraId="29F2B36E" w14:textId="77777777" w:rsidR="009E676E" w:rsidRPr="009C5EFD" w:rsidRDefault="00E453CD" w:rsidP="00FD5FF1">
            <w:pPr>
              <w:rPr>
                <w:sz w:val="22"/>
                <w:szCs w:val="22"/>
              </w:rPr>
            </w:pPr>
            <w:r w:rsidRPr="009C5EFD">
              <w:rPr>
                <w:sz w:val="22"/>
                <w:szCs w:val="22"/>
              </w:rPr>
              <w:t>Smerter i skjelett og muskulatur</w:t>
            </w:r>
          </w:p>
        </w:tc>
      </w:tr>
      <w:tr w:rsidR="004644D4" w14:paraId="15079F2D" w14:textId="77777777" w:rsidTr="00032240">
        <w:tc>
          <w:tcPr>
            <w:tcW w:w="3079" w:type="dxa"/>
            <w:vMerge/>
          </w:tcPr>
          <w:p w14:paraId="772778AC" w14:textId="77777777" w:rsidR="009E676E" w:rsidRPr="009C5EFD" w:rsidRDefault="009E676E" w:rsidP="00FD5FF1">
            <w:pPr>
              <w:pStyle w:val="EndnoteText"/>
              <w:widowControl/>
              <w:tabs>
                <w:tab w:val="clear" w:pos="567"/>
              </w:tabs>
              <w:rPr>
                <w:szCs w:val="22"/>
                <w:lang w:val="nb-NO"/>
              </w:rPr>
            </w:pPr>
          </w:p>
        </w:tc>
        <w:tc>
          <w:tcPr>
            <w:tcW w:w="1682" w:type="dxa"/>
          </w:tcPr>
          <w:p w14:paraId="404D5206" w14:textId="77777777" w:rsidR="009E676E" w:rsidRPr="009C5EFD" w:rsidRDefault="00E453CD" w:rsidP="00FD5FF1">
            <w:pPr>
              <w:rPr>
                <w:sz w:val="22"/>
                <w:szCs w:val="22"/>
              </w:rPr>
            </w:pPr>
            <w:r w:rsidRPr="009C5EFD">
              <w:rPr>
                <w:sz w:val="22"/>
                <w:szCs w:val="22"/>
              </w:rPr>
              <w:t>Vanlige</w:t>
            </w:r>
          </w:p>
          <w:p w14:paraId="71508D9D" w14:textId="77777777" w:rsidR="009E676E" w:rsidRPr="009C5EFD" w:rsidRDefault="009E676E" w:rsidP="00FD5FF1">
            <w:pPr>
              <w:rPr>
                <w:sz w:val="22"/>
                <w:szCs w:val="22"/>
              </w:rPr>
            </w:pPr>
          </w:p>
        </w:tc>
        <w:tc>
          <w:tcPr>
            <w:tcW w:w="4294" w:type="dxa"/>
          </w:tcPr>
          <w:p w14:paraId="3A55AD48" w14:textId="77777777" w:rsidR="009E676E" w:rsidRPr="009C5EFD" w:rsidRDefault="00E453CD" w:rsidP="00FD5FF1">
            <w:pPr>
              <w:rPr>
                <w:sz w:val="22"/>
                <w:szCs w:val="22"/>
              </w:rPr>
            </w:pPr>
            <w:r w:rsidRPr="009C5EFD">
              <w:rPr>
                <w:sz w:val="22"/>
                <w:szCs w:val="22"/>
              </w:rPr>
              <w:t xml:space="preserve">Muskelspasmer (inkludert forhøyet kreatinfosfokinase i blod) </w:t>
            </w:r>
          </w:p>
          <w:p w14:paraId="03E576B5" w14:textId="77777777" w:rsidR="009E676E" w:rsidRPr="009C5EFD" w:rsidRDefault="009E676E" w:rsidP="00FD5FF1">
            <w:pPr>
              <w:rPr>
                <w:sz w:val="22"/>
                <w:szCs w:val="22"/>
              </w:rPr>
            </w:pPr>
          </w:p>
        </w:tc>
      </w:tr>
      <w:tr w:rsidR="004644D4" w14:paraId="32B7219A" w14:textId="77777777" w:rsidTr="00032240">
        <w:tc>
          <w:tcPr>
            <w:tcW w:w="3079" w:type="dxa"/>
            <w:vMerge/>
          </w:tcPr>
          <w:p w14:paraId="60723545" w14:textId="77777777" w:rsidR="009E676E" w:rsidRPr="009C5EFD" w:rsidRDefault="009E676E" w:rsidP="00FD5FF1">
            <w:pPr>
              <w:pStyle w:val="EndnoteText"/>
              <w:widowControl/>
              <w:tabs>
                <w:tab w:val="clear" w:pos="567"/>
              </w:tabs>
              <w:rPr>
                <w:szCs w:val="22"/>
                <w:lang w:val="nb-NO"/>
              </w:rPr>
            </w:pPr>
          </w:p>
        </w:tc>
        <w:tc>
          <w:tcPr>
            <w:tcW w:w="1682" w:type="dxa"/>
          </w:tcPr>
          <w:p w14:paraId="1872938D" w14:textId="77777777" w:rsidR="009E676E" w:rsidRPr="009C5EFD" w:rsidRDefault="00E453CD" w:rsidP="00FD5FF1">
            <w:pPr>
              <w:rPr>
                <w:sz w:val="22"/>
                <w:szCs w:val="22"/>
              </w:rPr>
            </w:pPr>
            <w:r w:rsidRPr="009C5EFD">
              <w:rPr>
                <w:sz w:val="22"/>
                <w:szCs w:val="22"/>
              </w:rPr>
              <w:t>Mindre vanlige</w:t>
            </w:r>
          </w:p>
          <w:p w14:paraId="7E9348E2" w14:textId="77777777" w:rsidR="009E676E" w:rsidRPr="009C5EFD" w:rsidRDefault="009E676E" w:rsidP="00FD5FF1">
            <w:pPr>
              <w:rPr>
                <w:sz w:val="22"/>
                <w:szCs w:val="22"/>
              </w:rPr>
            </w:pPr>
          </w:p>
        </w:tc>
        <w:tc>
          <w:tcPr>
            <w:tcW w:w="4294" w:type="dxa"/>
          </w:tcPr>
          <w:p w14:paraId="735FFCEF" w14:textId="77777777" w:rsidR="009E676E" w:rsidRPr="009C5EFD" w:rsidRDefault="00E453CD" w:rsidP="00FD5FF1">
            <w:pPr>
              <w:rPr>
                <w:sz w:val="22"/>
                <w:szCs w:val="22"/>
              </w:rPr>
            </w:pPr>
            <w:r w:rsidRPr="009C5EFD">
              <w:rPr>
                <w:sz w:val="22"/>
                <w:szCs w:val="22"/>
              </w:rPr>
              <w:t>Rabdomyolyse, systemisk lupus erythematosus</w:t>
            </w:r>
          </w:p>
          <w:p w14:paraId="44776053" w14:textId="77777777" w:rsidR="009E676E" w:rsidRPr="009C5EFD" w:rsidRDefault="009E676E" w:rsidP="00FD5FF1">
            <w:pPr>
              <w:rPr>
                <w:sz w:val="22"/>
                <w:szCs w:val="22"/>
              </w:rPr>
            </w:pPr>
          </w:p>
        </w:tc>
      </w:tr>
      <w:tr w:rsidR="004644D4" w14:paraId="2FAB17B5" w14:textId="77777777" w:rsidTr="00032240">
        <w:tc>
          <w:tcPr>
            <w:tcW w:w="3079" w:type="dxa"/>
            <w:vMerge/>
          </w:tcPr>
          <w:p w14:paraId="3690D56E" w14:textId="77777777" w:rsidR="009E676E" w:rsidRPr="009C5EFD" w:rsidRDefault="009E676E" w:rsidP="00FD5FF1">
            <w:pPr>
              <w:pStyle w:val="EndnoteText"/>
              <w:widowControl/>
              <w:tabs>
                <w:tab w:val="clear" w:pos="567"/>
              </w:tabs>
              <w:rPr>
                <w:szCs w:val="22"/>
                <w:lang w:val="nb-NO"/>
              </w:rPr>
            </w:pPr>
          </w:p>
        </w:tc>
        <w:tc>
          <w:tcPr>
            <w:tcW w:w="1682" w:type="dxa"/>
          </w:tcPr>
          <w:p w14:paraId="6D58B78C" w14:textId="77777777" w:rsidR="009E676E" w:rsidRPr="009C5EFD" w:rsidRDefault="00E453CD" w:rsidP="00FD5FF1">
            <w:pPr>
              <w:rPr>
                <w:sz w:val="22"/>
                <w:szCs w:val="22"/>
              </w:rPr>
            </w:pPr>
            <w:r w:rsidRPr="009C5EFD">
              <w:rPr>
                <w:sz w:val="22"/>
                <w:szCs w:val="22"/>
              </w:rPr>
              <w:t>Sjeldne</w:t>
            </w:r>
          </w:p>
        </w:tc>
        <w:tc>
          <w:tcPr>
            <w:tcW w:w="4294" w:type="dxa"/>
          </w:tcPr>
          <w:p w14:paraId="7F8666D9" w14:textId="77777777" w:rsidR="009E676E" w:rsidRPr="009C5EFD" w:rsidRDefault="00E453CD" w:rsidP="00FD5FF1">
            <w:pPr>
              <w:rPr>
                <w:sz w:val="22"/>
                <w:szCs w:val="22"/>
                <w:vertAlign w:val="superscript"/>
              </w:rPr>
            </w:pPr>
            <w:r w:rsidRPr="009C5EFD">
              <w:rPr>
                <w:sz w:val="22"/>
                <w:szCs w:val="22"/>
              </w:rPr>
              <w:t>Lupus-lignende syndrom</w:t>
            </w:r>
            <w:r w:rsidRPr="009C5EFD">
              <w:rPr>
                <w:sz w:val="22"/>
                <w:szCs w:val="22"/>
                <w:vertAlign w:val="superscript"/>
              </w:rPr>
              <w:t>1)</w:t>
            </w:r>
          </w:p>
          <w:p w14:paraId="62248FBC" w14:textId="77777777" w:rsidR="009E676E" w:rsidRPr="009C5EFD" w:rsidRDefault="009E676E" w:rsidP="00FD5FF1">
            <w:pPr>
              <w:rPr>
                <w:sz w:val="22"/>
                <w:szCs w:val="22"/>
              </w:rPr>
            </w:pPr>
          </w:p>
        </w:tc>
      </w:tr>
      <w:tr w:rsidR="004644D4" w14:paraId="295EF03D" w14:textId="77777777" w:rsidTr="00032240">
        <w:tc>
          <w:tcPr>
            <w:tcW w:w="3079" w:type="dxa"/>
            <w:vMerge w:val="restart"/>
          </w:tcPr>
          <w:p w14:paraId="51B9509F" w14:textId="77777777" w:rsidR="009E676E" w:rsidRPr="009C5EFD" w:rsidRDefault="00E453CD" w:rsidP="00FD5FF1">
            <w:pPr>
              <w:rPr>
                <w:sz w:val="22"/>
                <w:szCs w:val="22"/>
              </w:rPr>
            </w:pPr>
            <w:r w:rsidRPr="009C5EFD">
              <w:rPr>
                <w:sz w:val="22"/>
                <w:szCs w:val="22"/>
              </w:rPr>
              <w:t>Sykdommer i nyre og urinveier</w:t>
            </w:r>
          </w:p>
        </w:tc>
        <w:tc>
          <w:tcPr>
            <w:tcW w:w="1682" w:type="dxa"/>
          </w:tcPr>
          <w:p w14:paraId="4D56C3BF" w14:textId="77777777" w:rsidR="009E676E" w:rsidRPr="009C5EFD" w:rsidRDefault="00E453CD" w:rsidP="00FD5FF1">
            <w:pPr>
              <w:rPr>
                <w:sz w:val="22"/>
                <w:szCs w:val="22"/>
              </w:rPr>
            </w:pPr>
            <w:r w:rsidRPr="009C5EFD">
              <w:rPr>
                <w:sz w:val="22"/>
                <w:szCs w:val="22"/>
              </w:rPr>
              <w:t>Vanlige</w:t>
            </w:r>
          </w:p>
          <w:p w14:paraId="14A04404" w14:textId="77777777" w:rsidR="009E676E" w:rsidRPr="009C5EFD" w:rsidRDefault="009E676E" w:rsidP="00FD5FF1">
            <w:pPr>
              <w:rPr>
                <w:sz w:val="22"/>
                <w:szCs w:val="22"/>
              </w:rPr>
            </w:pPr>
          </w:p>
        </w:tc>
        <w:tc>
          <w:tcPr>
            <w:tcW w:w="4294" w:type="dxa"/>
          </w:tcPr>
          <w:p w14:paraId="635E07D2" w14:textId="77777777" w:rsidR="009E676E" w:rsidRPr="009C5EFD" w:rsidRDefault="00E453CD" w:rsidP="00FD5FF1">
            <w:pPr>
              <w:rPr>
                <w:sz w:val="22"/>
                <w:szCs w:val="22"/>
              </w:rPr>
            </w:pPr>
            <w:r w:rsidRPr="009C5EFD">
              <w:rPr>
                <w:sz w:val="22"/>
                <w:szCs w:val="22"/>
              </w:rPr>
              <w:t>Nedsatt nyrefunksjon, hematuri</w:t>
            </w:r>
          </w:p>
        </w:tc>
      </w:tr>
      <w:tr w:rsidR="004644D4" w14:paraId="1FDD8DB3" w14:textId="77777777" w:rsidTr="00032240">
        <w:tc>
          <w:tcPr>
            <w:tcW w:w="3079" w:type="dxa"/>
            <w:vMerge/>
          </w:tcPr>
          <w:p w14:paraId="3A330BAF" w14:textId="77777777" w:rsidR="009E676E" w:rsidRPr="009C5EFD" w:rsidRDefault="009E676E" w:rsidP="00FD5FF1">
            <w:pPr>
              <w:rPr>
                <w:sz w:val="22"/>
                <w:szCs w:val="22"/>
              </w:rPr>
            </w:pPr>
          </w:p>
        </w:tc>
        <w:tc>
          <w:tcPr>
            <w:tcW w:w="1682" w:type="dxa"/>
          </w:tcPr>
          <w:p w14:paraId="535402E7" w14:textId="77777777" w:rsidR="009E676E" w:rsidRPr="009C5EFD" w:rsidRDefault="00E453CD" w:rsidP="00FD5FF1">
            <w:pPr>
              <w:rPr>
                <w:sz w:val="22"/>
                <w:szCs w:val="22"/>
              </w:rPr>
            </w:pPr>
            <w:r w:rsidRPr="009C5EFD">
              <w:rPr>
                <w:sz w:val="22"/>
                <w:szCs w:val="22"/>
              </w:rPr>
              <w:t>Mindre vanlige</w:t>
            </w:r>
          </w:p>
        </w:tc>
        <w:tc>
          <w:tcPr>
            <w:tcW w:w="4294" w:type="dxa"/>
          </w:tcPr>
          <w:p w14:paraId="590038F3" w14:textId="77777777" w:rsidR="009E676E" w:rsidRPr="009C5EFD" w:rsidRDefault="00E453CD" w:rsidP="00FD5FF1">
            <w:pPr>
              <w:rPr>
                <w:sz w:val="22"/>
                <w:szCs w:val="22"/>
              </w:rPr>
            </w:pPr>
            <w:r w:rsidRPr="009C5EFD">
              <w:rPr>
                <w:sz w:val="22"/>
                <w:szCs w:val="22"/>
              </w:rPr>
              <w:t>Nokturi</w:t>
            </w:r>
          </w:p>
          <w:p w14:paraId="7895A4BB" w14:textId="77777777" w:rsidR="009E676E" w:rsidRPr="009C5EFD" w:rsidRDefault="009E676E" w:rsidP="00FD5FF1">
            <w:pPr>
              <w:rPr>
                <w:sz w:val="22"/>
                <w:szCs w:val="22"/>
              </w:rPr>
            </w:pPr>
          </w:p>
        </w:tc>
      </w:tr>
      <w:tr w:rsidR="004644D4" w14:paraId="55D0D04E" w14:textId="77777777" w:rsidTr="00032240">
        <w:tc>
          <w:tcPr>
            <w:tcW w:w="3079" w:type="dxa"/>
          </w:tcPr>
          <w:p w14:paraId="1191D7EF" w14:textId="77777777" w:rsidR="009E676E" w:rsidRPr="009C5EFD" w:rsidRDefault="00E453CD" w:rsidP="00FD5FF1">
            <w:pPr>
              <w:rPr>
                <w:sz w:val="22"/>
                <w:szCs w:val="22"/>
              </w:rPr>
            </w:pPr>
            <w:r w:rsidRPr="009C5EFD">
              <w:rPr>
                <w:sz w:val="22"/>
                <w:szCs w:val="22"/>
              </w:rPr>
              <w:t>Lidelser i kjønnsorganer og brystsykdommer</w:t>
            </w:r>
          </w:p>
          <w:p w14:paraId="23159F61" w14:textId="77777777" w:rsidR="009E676E" w:rsidRPr="009C5EFD" w:rsidRDefault="009E676E" w:rsidP="00FD5FF1">
            <w:pPr>
              <w:rPr>
                <w:sz w:val="22"/>
                <w:szCs w:val="22"/>
              </w:rPr>
            </w:pPr>
          </w:p>
        </w:tc>
        <w:tc>
          <w:tcPr>
            <w:tcW w:w="1682" w:type="dxa"/>
          </w:tcPr>
          <w:p w14:paraId="0F8FFE85" w14:textId="77777777" w:rsidR="009E676E" w:rsidRPr="009C5EFD" w:rsidRDefault="00E453CD" w:rsidP="00FD5FF1">
            <w:pPr>
              <w:rPr>
                <w:sz w:val="22"/>
                <w:szCs w:val="22"/>
              </w:rPr>
            </w:pPr>
            <w:r w:rsidRPr="009C5EFD">
              <w:rPr>
                <w:sz w:val="22"/>
                <w:szCs w:val="22"/>
              </w:rPr>
              <w:t>Mindre vanlige</w:t>
            </w:r>
          </w:p>
        </w:tc>
        <w:tc>
          <w:tcPr>
            <w:tcW w:w="4294" w:type="dxa"/>
          </w:tcPr>
          <w:p w14:paraId="2223E339" w14:textId="77777777" w:rsidR="009E676E" w:rsidRPr="009C5EFD" w:rsidRDefault="00E453CD" w:rsidP="00FD5FF1">
            <w:pPr>
              <w:rPr>
                <w:sz w:val="22"/>
                <w:szCs w:val="22"/>
              </w:rPr>
            </w:pPr>
            <w:r w:rsidRPr="009C5EFD">
              <w:rPr>
                <w:sz w:val="22"/>
                <w:szCs w:val="22"/>
              </w:rPr>
              <w:t>Erektil dysfunksjon</w:t>
            </w:r>
          </w:p>
        </w:tc>
      </w:tr>
      <w:tr w:rsidR="004644D4" w14:paraId="20E051CD" w14:textId="77777777" w:rsidTr="00032240">
        <w:tc>
          <w:tcPr>
            <w:tcW w:w="3079" w:type="dxa"/>
            <w:vMerge w:val="restart"/>
          </w:tcPr>
          <w:p w14:paraId="46D42EEE" w14:textId="77777777" w:rsidR="009E676E" w:rsidRPr="009C5EFD" w:rsidRDefault="00E453CD" w:rsidP="00FD5FF1">
            <w:pPr>
              <w:rPr>
                <w:sz w:val="22"/>
                <w:szCs w:val="22"/>
              </w:rPr>
            </w:pPr>
            <w:r w:rsidRPr="009C5EFD">
              <w:rPr>
                <w:sz w:val="22"/>
                <w:szCs w:val="22"/>
              </w:rPr>
              <w:t>Generelle lidelser og reaksjoner på administrasjonsstedet*</w:t>
            </w:r>
          </w:p>
          <w:p w14:paraId="55193E32" w14:textId="77777777" w:rsidR="009E676E" w:rsidRPr="009C5EFD" w:rsidRDefault="009E676E" w:rsidP="00FD5FF1">
            <w:pPr>
              <w:rPr>
                <w:sz w:val="22"/>
                <w:szCs w:val="22"/>
              </w:rPr>
            </w:pPr>
          </w:p>
        </w:tc>
        <w:tc>
          <w:tcPr>
            <w:tcW w:w="1682" w:type="dxa"/>
          </w:tcPr>
          <w:p w14:paraId="4473E6EB" w14:textId="77777777" w:rsidR="009E676E" w:rsidRPr="009C5EFD" w:rsidRDefault="00E453CD" w:rsidP="00FD5FF1">
            <w:pPr>
              <w:rPr>
                <w:sz w:val="22"/>
                <w:szCs w:val="22"/>
              </w:rPr>
            </w:pPr>
            <w:r w:rsidRPr="009C5EFD">
              <w:rPr>
                <w:sz w:val="22"/>
                <w:szCs w:val="22"/>
              </w:rPr>
              <w:t>Svært vanlige</w:t>
            </w:r>
          </w:p>
          <w:p w14:paraId="2D6EAEA6" w14:textId="77777777" w:rsidR="009E676E" w:rsidRPr="009C5EFD" w:rsidRDefault="009E676E" w:rsidP="00FD5FF1">
            <w:pPr>
              <w:rPr>
                <w:sz w:val="22"/>
                <w:szCs w:val="22"/>
              </w:rPr>
            </w:pPr>
          </w:p>
          <w:p w14:paraId="0A2ED1A7" w14:textId="77777777" w:rsidR="009E676E" w:rsidRPr="009C5EFD" w:rsidRDefault="009E676E" w:rsidP="00FD5FF1">
            <w:pPr>
              <w:rPr>
                <w:sz w:val="22"/>
                <w:szCs w:val="22"/>
              </w:rPr>
            </w:pPr>
          </w:p>
        </w:tc>
        <w:tc>
          <w:tcPr>
            <w:tcW w:w="4294" w:type="dxa"/>
          </w:tcPr>
          <w:p w14:paraId="412DA1C0" w14:textId="77777777" w:rsidR="009E676E" w:rsidRPr="009C5EFD" w:rsidRDefault="00E453CD" w:rsidP="00FD5FF1">
            <w:pPr>
              <w:autoSpaceDE w:val="0"/>
              <w:autoSpaceDN w:val="0"/>
              <w:adjustRightInd w:val="0"/>
              <w:rPr>
                <w:sz w:val="22"/>
                <w:szCs w:val="22"/>
              </w:rPr>
            </w:pPr>
            <w:r w:rsidRPr="009C5EFD">
              <w:rPr>
                <w:sz w:val="22"/>
                <w:szCs w:val="22"/>
              </w:rPr>
              <w:t>Reaksjoner på injeksjonsstedet (inkludert erytem på injeksjonsstedet)</w:t>
            </w:r>
          </w:p>
          <w:p w14:paraId="0EA3116E" w14:textId="77777777" w:rsidR="009E676E" w:rsidRPr="001F5D4B" w:rsidRDefault="009E676E" w:rsidP="00FD5FF1">
            <w:pPr>
              <w:pStyle w:val="Heading9"/>
              <w:spacing w:before="0" w:after="0"/>
              <w:rPr>
                <w:rFonts w:ascii="Times New Roman" w:hAnsi="Times New Roman" w:cs="Times New Roman"/>
              </w:rPr>
            </w:pPr>
          </w:p>
        </w:tc>
      </w:tr>
      <w:tr w:rsidR="004644D4" w14:paraId="2D847940" w14:textId="77777777" w:rsidTr="00032240">
        <w:tc>
          <w:tcPr>
            <w:tcW w:w="3079" w:type="dxa"/>
            <w:vMerge/>
          </w:tcPr>
          <w:p w14:paraId="58AED8B9" w14:textId="77777777" w:rsidR="009E676E" w:rsidRPr="009C5EFD" w:rsidRDefault="009E676E" w:rsidP="00FD5FF1">
            <w:pPr>
              <w:rPr>
                <w:sz w:val="22"/>
                <w:szCs w:val="22"/>
              </w:rPr>
            </w:pPr>
          </w:p>
        </w:tc>
        <w:tc>
          <w:tcPr>
            <w:tcW w:w="1682" w:type="dxa"/>
          </w:tcPr>
          <w:p w14:paraId="46BD1456" w14:textId="77777777" w:rsidR="009E676E" w:rsidRPr="009C5EFD" w:rsidRDefault="00E453CD" w:rsidP="00FD5FF1">
            <w:pPr>
              <w:rPr>
                <w:sz w:val="22"/>
                <w:szCs w:val="22"/>
              </w:rPr>
            </w:pPr>
            <w:r w:rsidRPr="009C5EFD">
              <w:rPr>
                <w:sz w:val="22"/>
                <w:szCs w:val="22"/>
              </w:rPr>
              <w:t>Vanlige</w:t>
            </w:r>
          </w:p>
          <w:p w14:paraId="5EC20CFE" w14:textId="77777777" w:rsidR="009E676E" w:rsidRPr="009C5EFD" w:rsidRDefault="009E676E" w:rsidP="00FD5FF1">
            <w:pPr>
              <w:rPr>
                <w:sz w:val="22"/>
                <w:szCs w:val="22"/>
              </w:rPr>
            </w:pPr>
          </w:p>
        </w:tc>
        <w:tc>
          <w:tcPr>
            <w:tcW w:w="4294" w:type="dxa"/>
          </w:tcPr>
          <w:p w14:paraId="55795FBD" w14:textId="77777777" w:rsidR="009E676E" w:rsidRPr="009C5EFD" w:rsidRDefault="00E453CD" w:rsidP="00FD5FF1">
            <w:pPr>
              <w:autoSpaceDE w:val="0"/>
              <w:autoSpaceDN w:val="0"/>
              <w:adjustRightInd w:val="0"/>
              <w:rPr>
                <w:sz w:val="22"/>
                <w:szCs w:val="22"/>
              </w:rPr>
            </w:pPr>
            <w:r w:rsidRPr="009C5EFD">
              <w:rPr>
                <w:sz w:val="22"/>
                <w:szCs w:val="22"/>
              </w:rPr>
              <w:t>Brystsmerter, ødem, pyreksi</w:t>
            </w:r>
            <w:r w:rsidRPr="009C5EFD">
              <w:rPr>
                <w:sz w:val="22"/>
                <w:szCs w:val="22"/>
                <w:vertAlign w:val="superscript"/>
              </w:rPr>
              <w:t>1)</w:t>
            </w:r>
          </w:p>
          <w:p w14:paraId="2C5AABFB" w14:textId="77777777" w:rsidR="009E676E" w:rsidRPr="009C5EFD" w:rsidRDefault="009E676E" w:rsidP="00FD5FF1">
            <w:pPr>
              <w:autoSpaceDE w:val="0"/>
              <w:autoSpaceDN w:val="0"/>
              <w:adjustRightInd w:val="0"/>
              <w:rPr>
                <w:sz w:val="22"/>
                <w:szCs w:val="22"/>
              </w:rPr>
            </w:pPr>
          </w:p>
        </w:tc>
      </w:tr>
      <w:tr w:rsidR="004644D4" w14:paraId="43F6E47C" w14:textId="77777777" w:rsidTr="00032240">
        <w:tc>
          <w:tcPr>
            <w:tcW w:w="3079" w:type="dxa"/>
            <w:vMerge/>
          </w:tcPr>
          <w:p w14:paraId="4E2C6783" w14:textId="77777777" w:rsidR="009E676E" w:rsidRPr="009C5EFD" w:rsidRDefault="009E676E" w:rsidP="00FD5FF1">
            <w:pPr>
              <w:rPr>
                <w:sz w:val="22"/>
                <w:szCs w:val="22"/>
              </w:rPr>
            </w:pPr>
          </w:p>
        </w:tc>
        <w:tc>
          <w:tcPr>
            <w:tcW w:w="1682" w:type="dxa"/>
          </w:tcPr>
          <w:p w14:paraId="188BEF93" w14:textId="77777777" w:rsidR="009E676E" w:rsidRPr="009C5EFD" w:rsidRDefault="00E453CD" w:rsidP="00FD5FF1">
            <w:pPr>
              <w:rPr>
                <w:sz w:val="22"/>
                <w:szCs w:val="22"/>
              </w:rPr>
            </w:pPr>
            <w:r w:rsidRPr="009C5EFD">
              <w:rPr>
                <w:sz w:val="22"/>
                <w:szCs w:val="22"/>
              </w:rPr>
              <w:t>Mindre vanlige</w:t>
            </w:r>
          </w:p>
        </w:tc>
        <w:tc>
          <w:tcPr>
            <w:tcW w:w="4294" w:type="dxa"/>
          </w:tcPr>
          <w:p w14:paraId="4B728BDB" w14:textId="77777777" w:rsidR="009E676E" w:rsidRPr="009C5EFD" w:rsidRDefault="00E453CD" w:rsidP="00FD5FF1">
            <w:pPr>
              <w:pStyle w:val="Heading9"/>
              <w:spacing w:before="0" w:after="0"/>
              <w:rPr>
                <w:rFonts w:ascii="Times New Roman" w:hAnsi="Times New Roman" w:cs="Times New Roman"/>
              </w:rPr>
            </w:pPr>
            <w:r w:rsidRPr="009C5EFD">
              <w:rPr>
                <w:rFonts w:ascii="Times New Roman" w:hAnsi="Times New Roman" w:cs="Times New Roman"/>
              </w:rPr>
              <w:t xml:space="preserve">Inflammasjon </w:t>
            </w:r>
          </w:p>
          <w:p w14:paraId="046C25E8" w14:textId="77777777" w:rsidR="009E676E" w:rsidRPr="009C5EFD" w:rsidRDefault="009E676E" w:rsidP="00FD5FF1">
            <w:pPr>
              <w:autoSpaceDE w:val="0"/>
              <w:autoSpaceDN w:val="0"/>
              <w:adjustRightInd w:val="0"/>
              <w:rPr>
                <w:sz w:val="22"/>
                <w:szCs w:val="22"/>
              </w:rPr>
            </w:pPr>
          </w:p>
        </w:tc>
      </w:tr>
      <w:tr w:rsidR="004644D4" w14:paraId="09389A64" w14:textId="77777777" w:rsidTr="00032240">
        <w:tc>
          <w:tcPr>
            <w:tcW w:w="3079" w:type="dxa"/>
            <w:vMerge w:val="restart"/>
          </w:tcPr>
          <w:p w14:paraId="71A85384" w14:textId="77777777" w:rsidR="00B64797" w:rsidRPr="009C5EFD" w:rsidRDefault="00E453CD" w:rsidP="00FD5FF1">
            <w:pPr>
              <w:rPr>
                <w:sz w:val="22"/>
                <w:szCs w:val="22"/>
              </w:rPr>
            </w:pPr>
            <w:r w:rsidRPr="009C5EFD">
              <w:rPr>
                <w:sz w:val="22"/>
                <w:szCs w:val="22"/>
              </w:rPr>
              <w:t>Undersøkelser*</w:t>
            </w:r>
          </w:p>
        </w:tc>
        <w:tc>
          <w:tcPr>
            <w:tcW w:w="1682" w:type="dxa"/>
          </w:tcPr>
          <w:p w14:paraId="6198F36D" w14:textId="77777777" w:rsidR="00B64797" w:rsidRPr="009C5EFD" w:rsidRDefault="00E453CD" w:rsidP="00FD5FF1">
            <w:pPr>
              <w:pStyle w:val="EndnoteText"/>
              <w:tabs>
                <w:tab w:val="clear" w:pos="567"/>
              </w:tabs>
              <w:rPr>
                <w:szCs w:val="22"/>
                <w:lang w:val="nb-NO"/>
              </w:rPr>
            </w:pPr>
            <w:r w:rsidRPr="009C5EFD">
              <w:rPr>
                <w:szCs w:val="22"/>
                <w:lang w:val="nb-NO"/>
              </w:rPr>
              <w:t>Vanlige</w:t>
            </w:r>
          </w:p>
          <w:p w14:paraId="43BF7BD5" w14:textId="77777777" w:rsidR="00B64797" w:rsidRPr="009C5EFD" w:rsidRDefault="00B64797" w:rsidP="00FD5FF1">
            <w:pPr>
              <w:rPr>
                <w:sz w:val="22"/>
                <w:szCs w:val="22"/>
              </w:rPr>
            </w:pPr>
          </w:p>
        </w:tc>
        <w:tc>
          <w:tcPr>
            <w:tcW w:w="4294" w:type="dxa"/>
          </w:tcPr>
          <w:p w14:paraId="23FE6F0D" w14:textId="77777777" w:rsidR="00B64797" w:rsidRPr="009C5EFD" w:rsidRDefault="00E453CD" w:rsidP="00FD5FF1">
            <w:pPr>
              <w:autoSpaceDE w:val="0"/>
              <w:autoSpaceDN w:val="0"/>
              <w:adjustRightInd w:val="0"/>
              <w:rPr>
                <w:sz w:val="22"/>
                <w:szCs w:val="22"/>
              </w:rPr>
            </w:pPr>
            <w:r w:rsidRPr="009C5EFD">
              <w:rPr>
                <w:sz w:val="22"/>
                <w:szCs w:val="22"/>
              </w:rPr>
              <w:t>Koagulasjons- og blødningsforstyrrelser (inkludert forlenget aktivert partiell tromboplastintid), positiv test på autoantistoff (inkludert dobbel</w:t>
            </w:r>
            <w:r>
              <w:rPr>
                <w:sz w:val="22"/>
                <w:szCs w:val="22"/>
              </w:rPr>
              <w:t>t</w:t>
            </w:r>
            <w:r w:rsidRPr="009C5EFD">
              <w:rPr>
                <w:sz w:val="22"/>
                <w:szCs w:val="22"/>
              </w:rPr>
              <w:t>kjedet DNA</w:t>
            </w:r>
            <w:r>
              <w:rPr>
                <w:sz w:val="22"/>
                <w:szCs w:val="22"/>
              </w:rPr>
              <w:t xml:space="preserve"> antistoff</w:t>
            </w:r>
            <w:r w:rsidRPr="009C5EFD">
              <w:rPr>
                <w:sz w:val="22"/>
                <w:szCs w:val="22"/>
              </w:rPr>
              <w:t xml:space="preserve">), forhøyet laktatdehydrogenase i blod </w:t>
            </w:r>
          </w:p>
          <w:p w14:paraId="72F702F0" w14:textId="77777777" w:rsidR="00B64797" w:rsidRPr="009C5EFD" w:rsidRDefault="00B64797" w:rsidP="00FD5FF1">
            <w:pPr>
              <w:pStyle w:val="EndnoteText"/>
              <w:tabs>
                <w:tab w:val="clear" w:pos="567"/>
              </w:tabs>
              <w:rPr>
                <w:szCs w:val="22"/>
                <w:lang w:val="nb-NO"/>
              </w:rPr>
            </w:pPr>
          </w:p>
        </w:tc>
      </w:tr>
      <w:tr w:rsidR="004644D4" w14:paraId="429A1722" w14:textId="77777777" w:rsidTr="00B64797">
        <w:tc>
          <w:tcPr>
            <w:tcW w:w="3079" w:type="dxa"/>
            <w:vMerge/>
          </w:tcPr>
          <w:p w14:paraId="5B87A2B4" w14:textId="77777777" w:rsidR="00B64797" w:rsidRPr="009C5EFD" w:rsidRDefault="00B64797" w:rsidP="00FD5FF1">
            <w:pPr>
              <w:rPr>
                <w:sz w:val="22"/>
                <w:szCs w:val="22"/>
              </w:rPr>
            </w:pPr>
          </w:p>
        </w:tc>
        <w:tc>
          <w:tcPr>
            <w:tcW w:w="1682" w:type="dxa"/>
          </w:tcPr>
          <w:p w14:paraId="7D79ABF4" w14:textId="77777777" w:rsidR="00B64797" w:rsidRPr="009C5EFD" w:rsidRDefault="00E453CD" w:rsidP="00FD5FF1">
            <w:pPr>
              <w:pStyle w:val="EndnoteText"/>
              <w:tabs>
                <w:tab w:val="clear" w:pos="567"/>
              </w:tabs>
              <w:rPr>
                <w:szCs w:val="22"/>
                <w:lang w:val="nb-NO"/>
              </w:rPr>
            </w:pPr>
            <w:r>
              <w:rPr>
                <w:szCs w:val="22"/>
                <w:lang w:val="nb-NO"/>
              </w:rPr>
              <w:t>Ikke kjent</w:t>
            </w:r>
          </w:p>
        </w:tc>
        <w:tc>
          <w:tcPr>
            <w:tcW w:w="4294" w:type="dxa"/>
          </w:tcPr>
          <w:p w14:paraId="3FC6A44E" w14:textId="77777777" w:rsidR="00B64797" w:rsidRPr="009C5EFD" w:rsidRDefault="00E453CD" w:rsidP="00FD5FF1">
            <w:pPr>
              <w:autoSpaceDE w:val="0"/>
              <w:autoSpaceDN w:val="0"/>
              <w:adjustRightInd w:val="0"/>
              <w:rPr>
                <w:sz w:val="22"/>
                <w:szCs w:val="22"/>
              </w:rPr>
            </w:pPr>
            <w:r>
              <w:rPr>
                <w:sz w:val="22"/>
                <w:szCs w:val="22"/>
              </w:rPr>
              <w:t>Økt vekt</w:t>
            </w:r>
            <w:r w:rsidRPr="00E57788">
              <w:rPr>
                <w:sz w:val="22"/>
                <w:szCs w:val="22"/>
                <w:vertAlign w:val="superscript"/>
              </w:rPr>
              <w:t>2)</w:t>
            </w:r>
          </w:p>
        </w:tc>
      </w:tr>
      <w:tr w:rsidR="004644D4" w14:paraId="0E3C5F76" w14:textId="77777777" w:rsidTr="00032240">
        <w:tc>
          <w:tcPr>
            <w:tcW w:w="3079" w:type="dxa"/>
          </w:tcPr>
          <w:p w14:paraId="2C76422D" w14:textId="77777777" w:rsidR="009E676E" w:rsidRPr="009C5EFD" w:rsidRDefault="00E453CD" w:rsidP="00FD5FF1">
            <w:pPr>
              <w:keepNext/>
              <w:rPr>
                <w:sz w:val="22"/>
                <w:szCs w:val="22"/>
              </w:rPr>
            </w:pPr>
            <w:r w:rsidRPr="009C5EFD">
              <w:rPr>
                <w:sz w:val="22"/>
                <w:szCs w:val="22"/>
              </w:rPr>
              <w:t>Skader, forgiftninger og prosedyrerelaterte bivirkninger</w:t>
            </w:r>
          </w:p>
        </w:tc>
        <w:tc>
          <w:tcPr>
            <w:tcW w:w="1682" w:type="dxa"/>
          </w:tcPr>
          <w:p w14:paraId="4FD5957C" w14:textId="77777777" w:rsidR="009E676E" w:rsidRPr="009C5EFD" w:rsidRDefault="00E453CD" w:rsidP="00FD5FF1">
            <w:pPr>
              <w:rPr>
                <w:sz w:val="22"/>
                <w:szCs w:val="22"/>
              </w:rPr>
            </w:pPr>
            <w:r w:rsidRPr="009C5EFD">
              <w:rPr>
                <w:sz w:val="22"/>
                <w:szCs w:val="22"/>
              </w:rPr>
              <w:t>Vanlige</w:t>
            </w:r>
          </w:p>
        </w:tc>
        <w:tc>
          <w:tcPr>
            <w:tcW w:w="4294" w:type="dxa"/>
          </w:tcPr>
          <w:p w14:paraId="4FD4876B" w14:textId="77777777" w:rsidR="009E676E" w:rsidRPr="009C5EFD" w:rsidRDefault="00E453CD" w:rsidP="00FD5FF1">
            <w:pPr>
              <w:autoSpaceDE w:val="0"/>
              <w:autoSpaceDN w:val="0"/>
              <w:adjustRightInd w:val="0"/>
              <w:rPr>
                <w:sz w:val="22"/>
                <w:szCs w:val="22"/>
              </w:rPr>
            </w:pPr>
            <w:r>
              <w:rPr>
                <w:sz w:val="22"/>
                <w:szCs w:val="22"/>
              </w:rPr>
              <w:t>Nedsatt</w:t>
            </w:r>
            <w:r w:rsidRPr="009C5EFD">
              <w:rPr>
                <w:sz w:val="22"/>
                <w:szCs w:val="22"/>
              </w:rPr>
              <w:t xml:space="preserve"> tilhelning </w:t>
            </w:r>
          </w:p>
          <w:p w14:paraId="275BF7C1" w14:textId="77777777" w:rsidR="009E676E" w:rsidRPr="009C5EFD" w:rsidRDefault="009E676E" w:rsidP="00FD5FF1">
            <w:pPr>
              <w:rPr>
                <w:sz w:val="22"/>
                <w:szCs w:val="22"/>
              </w:rPr>
            </w:pPr>
          </w:p>
        </w:tc>
      </w:tr>
    </w:tbl>
    <w:p w14:paraId="3D26FC1F" w14:textId="77777777" w:rsidR="009E676E" w:rsidRPr="009C5EFD" w:rsidRDefault="00E453CD" w:rsidP="009E676E">
      <w:pPr>
        <w:rPr>
          <w:sz w:val="22"/>
          <w:szCs w:val="22"/>
        </w:rPr>
      </w:pPr>
      <w:r w:rsidRPr="009C5EFD">
        <w:rPr>
          <w:sz w:val="22"/>
          <w:szCs w:val="22"/>
        </w:rPr>
        <w:t xml:space="preserve">* ytterligere informasjon finnes i </w:t>
      </w:r>
      <w:r w:rsidR="00ED6DD4">
        <w:rPr>
          <w:sz w:val="22"/>
          <w:szCs w:val="22"/>
        </w:rPr>
        <w:t>pkt.</w:t>
      </w:r>
      <w:r w:rsidRPr="009C5EFD">
        <w:rPr>
          <w:sz w:val="22"/>
          <w:szCs w:val="22"/>
        </w:rPr>
        <w:t xml:space="preserve"> 4.3, 4.4. og 4.8</w:t>
      </w:r>
    </w:p>
    <w:p w14:paraId="1BA30B54" w14:textId="77777777" w:rsidR="009E676E" w:rsidRPr="009C5EFD" w:rsidRDefault="00E453CD" w:rsidP="009E676E">
      <w:pPr>
        <w:rPr>
          <w:sz w:val="22"/>
          <w:szCs w:val="22"/>
        </w:rPr>
      </w:pPr>
      <w:r w:rsidRPr="009C5EFD">
        <w:rPr>
          <w:sz w:val="22"/>
          <w:szCs w:val="22"/>
        </w:rPr>
        <w:t xml:space="preserve">** inkludert </w:t>
      </w:r>
      <w:r w:rsidR="00ED6DD4">
        <w:rPr>
          <w:sz w:val="22"/>
          <w:szCs w:val="22"/>
        </w:rPr>
        <w:t>åpne forlengelsesstudier</w:t>
      </w:r>
    </w:p>
    <w:p w14:paraId="58F655BA" w14:textId="77777777" w:rsidR="009E676E" w:rsidRPr="009C5EFD" w:rsidRDefault="00E453CD" w:rsidP="009E676E">
      <w:pPr>
        <w:rPr>
          <w:sz w:val="22"/>
          <w:szCs w:val="22"/>
        </w:rPr>
      </w:pPr>
      <w:r w:rsidRPr="009C5EFD">
        <w:rPr>
          <w:sz w:val="22"/>
          <w:szCs w:val="22"/>
          <w:vertAlign w:val="superscript"/>
        </w:rPr>
        <w:t>1)</w:t>
      </w:r>
      <w:r w:rsidRPr="009C5EFD">
        <w:rPr>
          <w:sz w:val="22"/>
          <w:szCs w:val="22"/>
        </w:rPr>
        <w:t xml:space="preserve"> inkluderer data fra spontanrapportering</w:t>
      </w:r>
    </w:p>
    <w:p w14:paraId="7D43B3F5" w14:textId="77777777" w:rsidR="009E676E" w:rsidRPr="00E57788" w:rsidRDefault="00E453CD" w:rsidP="00B64797">
      <w:pPr>
        <w:pStyle w:val="Heading8"/>
        <w:keepNext w:val="0"/>
        <w:rPr>
          <w:szCs w:val="22"/>
          <w:u w:val="none"/>
        </w:rPr>
      </w:pPr>
      <w:r w:rsidRPr="00E57788">
        <w:rPr>
          <w:szCs w:val="22"/>
          <w:u w:val="none"/>
          <w:vertAlign w:val="superscript"/>
        </w:rPr>
        <w:t>2)</w:t>
      </w:r>
      <w:r w:rsidRPr="00E57788">
        <w:rPr>
          <w:szCs w:val="22"/>
          <w:u w:val="none"/>
        </w:rPr>
        <w:t xml:space="preserve"> I løpet av en behandlingsperiode på 4-6 uker lå den gjennomsnittlige vektendringen fra utgangspunktet på mellom 0,3 kg og 1,0 kg for adalimumab sammenlignet med mellom -0,4 kg og 0,4 kg for placebo ved indikasjoner til voksne. En vektøkning på 5-6 kg er også observert i langtids utvidelsesstudier med gjennomsnittlig eksponeringstid på omtrent 1-2 år uten kontrollgruppe, spesielt hos pasienter med Crohns sykdom og ulcerøs kolitt. Mekanismen bak denne effekten er uklar, men kan ha sammenheng med adalimumabs antiinflammatoriske virkning.</w:t>
      </w:r>
    </w:p>
    <w:p w14:paraId="295BB3B8" w14:textId="77777777" w:rsidR="001D45AD" w:rsidRPr="001D45AD" w:rsidRDefault="001D45AD" w:rsidP="00032240"/>
    <w:p w14:paraId="3E0A5B1B" w14:textId="77777777" w:rsidR="009E676E" w:rsidRPr="001F5D4B" w:rsidRDefault="00E453CD" w:rsidP="00776A84">
      <w:pPr>
        <w:pStyle w:val="EMEANormal"/>
        <w:keepNext/>
        <w:rPr>
          <w:szCs w:val="22"/>
          <w:u w:val="single"/>
          <w:lang w:val="nb-NO"/>
        </w:rPr>
      </w:pPr>
      <w:r w:rsidRPr="007F67EE">
        <w:rPr>
          <w:szCs w:val="22"/>
          <w:u w:val="single"/>
          <w:lang w:val="nb-NO"/>
        </w:rPr>
        <w:lastRenderedPageBreak/>
        <w:t>Hidrosadenitt</w:t>
      </w:r>
    </w:p>
    <w:p w14:paraId="2E55FCAB" w14:textId="77777777" w:rsidR="009E676E" w:rsidRPr="007F67EE" w:rsidRDefault="009E676E" w:rsidP="00776A84">
      <w:pPr>
        <w:keepNext/>
        <w:rPr>
          <w:sz w:val="22"/>
          <w:szCs w:val="22"/>
        </w:rPr>
      </w:pPr>
    </w:p>
    <w:p w14:paraId="33CAE824" w14:textId="77777777" w:rsidR="009E676E" w:rsidRDefault="00E453CD" w:rsidP="009E676E">
      <w:pPr>
        <w:rPr>
          <w:sz w:val="22"/>
          <w:szCs w:val="22"/>
        </w:rPr>
      </w:pPr>
      <w:r w:rsidRPr="00193D76">
        <w:rPr>
          <w:sz w:val="22"/>
          <w:szCs w:val="22"/>
        </w:rPr>
        <w:t>Sikkerhetsprofilen for pasienter med HS</w:t>
      </w:r>
      <w:r w:rsidRPr="002D0790">
        <w:rPr>
          <w:sz w:val="22"/>
          <w:szCs w:val="22"/>
        </w:rPr>
        <w:t xml:space="preserve"> behandlet med Humira ukentlig er i overensstemmelse med den kjente sikkerhetsprofilen til Humira.</w:t>
      </w:r>
    </w:p>
    <w:p w14:paraId="0A387384" w14:textId="77777777" w:rsidR="009E676E" w:rsidRDefault="009E676E" w:rsidP="009E676E">
      <w:pPr>
        <w:rPr>
          <w:sz w:val="22"/>
          <w:szCs w:val="22"/>
        </w:rPr>
      </w:pPr>
    </w:p>
    <w:p w14:paraId="32B4388A" w14:textId="77777777" w:rsidR="009E676E" w:rsidRPr="001F5D4B" w:rsidRDefault="00E453CD" w:rsidP="00776A84">
      <w:pPr>
        <w:pStyle w:val="EMEANormal"/>
        <w:keepNext/>
        <w:rPr>
          <w:szCs w:val="22"/>
          <w:u w:val="single"/>
          <w:lang w:val="nb-NO"/>
        </w:rPr>
      </w:pPr>
      <w:r>
        <w:rPr>
          <w:szCs w:val="22"/>
          <w:u w:val="single"/>
          <w:lang w:val="nb-NO"/>
        </w:rPr>
        <w:t>Uveitt</w:t>
      </w:r>
    </w:p>
    <w:p w14:paraId="46E9D8B4" w14:textId="77777777" w:rsidR="009E676E" w:rsidRPr="007F67EE" w:rsidRDefault="009E676E" w:rsidP="00776A84">
      <w:pPr>
        <w:keepNext/>
        <w:rPr>
          <w:sz w:val="22"/>
          <w:szCs w:val="22"/>
        </w:rPr>
      </w:pPr>
    </w:p>
    <w:p w14:paraId="142B51AD" w14:textId="77777777" w:rsidR="009E676E" w:rsidRPr="00E14E58" w:rsidRDefault="00E453CD" w:rsidP="009E676E">
      <w:pPr>
        <w:rPr>
          <w:sz w:val="22"/>
          <w:szCs w:val="22"/>
        </w:rPr>
      </w:pPr>
      <w:r w:rsidRPr="00193D76">
        <w:rPr>
          <w:sz w:val="22"/>
          <w:szCs w:val="22"/>
        </w:rPr>
        <w:t xml:space="preserve">Sikkerhetsprofilen for pasienter med </w:t>
      </w:r>
      <w:r>
        <w:rPr>
          <w:sz w:val="22"/>
          <w:szCs w:val="22"/>
        </w:rPr>
        <w:t>uveitt</w:t>
      </w:r>
      <w:r w:rsidRPr="002D0790">
        <w:rPr>
          <w:sz w:val="22"/>
          <w:szCs w:val="22"/>
        </w:rPr>
        <w:t xml:space="preserve"> behandlet med Humira </w:t>
      </w:r>
      <w:r>
        <w:rPr>
          <w:sz w:val="22"/>
          <w:szCs w:val="22"/>
        </w:rPr>
        <w:t>annenhver uke</w:t>
      </w:r>
      <w:r w:rsidRPr="002D0790">
        <w:rPr>
          <w:sz w:val="22"/>
          <w:szCs w:val="22"/>
        </w:rPr>
        <w:t xml:space="preserve"> er i overensstemmelse med den kjente sikkerhetsprofilen til Humira.</w:t>
      </w:r>
    </w:p>
    <w:p w14:paraId="5CE91CFB" w14:textId="77777777" w:rsidR="009E676E" w:rsidRPr="009C5EFD" w:rsidRDefault="009E676E" w:rsidP="009E676E">
      <w:pPr>
        <w:rPr>
          <w:sz w:val="22"/>
          <w:szCs w:val="22"/>
        </w:rPr>
      </w:pPr>
    </w:p>
    <w:p w14:paraId="7609BFCB" w14:textId="77777777" w:rsidR="009E676E" w:rsidRPr="009C5EFD" w:rsidRDefault="00E453CD" w:rsidP="00776A84">
      <w:pPr>
        <w:pStyle w:val="Heading8"/>
        <w:rPr>
          <w:szCs w:val="22"/>
        </w:rPr>
      </w:pPr>
      <w:r w:rsidRPr="009C5EFD">
        <w:rPr>
          <w:szCs w:val="22"/>
        </w:rPr>
        <w:t>Beskrivelse av utvalgte bivirkninger</w:t>
      </w:r>
    </w:p>
    <w:p w14:paraId="6F0FBD30" w14:textId="77777777" w:rsidR="009E676E" w:rsidRPr="009C5EFD" w:rsidRDefault="009E676E" w:rsidP="00776A84">
      <w:pPr>
        <w:pStyle w:val="Heading8"/>
        <w:rPr>
          <w:szCs w:val="22"/>
        </w:rPr>
      </w:pPr>
    </w:p>
    <w:p w14:paraId="49D9D0C0" w14:textId="77777777" w:rsidR="009E676E" w:rsidRPr="001F5D4B" w:rsidRDefault="00E453CD" w:rsidP="00776A84">
      <w:pPr>
        <w:pStyle w:val="Heading8"/>
        <w:rPr>
          <w:i/>
          <w:szCs w:val="22"/>
          <w:u w:val="none"/>
        </w:rPr>
      </w:pPr>
      <w:r w:rsidRPr="001F5D4B">
        <w:rPr>
          <w:i/>
          <w:szCs w:val="22"/>
          <w:u w:val="none"/>
        </w:rPr>
        <w:t>Reaksjoner på injeksjonsstedet</w:t>
      </w:r>
    </w:p>
    <w:p w14:paraId="442A2865" w14:textId="77777777" w:rsidR="009E676E" w:rsidRPr="007F67EE" w:rsidRDefault="009E676E" w:rsidP="00776A84">
      <w:pPr>
        <w:keepNext/>
        <w:rPr>
          <w:sz w:val="22"/>
          <w:szCs w:val="22"/>
        </w:rPr>
      </w:pPr>
    </w:p>
    <w:p w14:paraId="205C91F2" w14:textId="77777777" w:rsidR="009E676E" w:rsidRPr="009C5EFD" w:rsidRDefault="00E453CD" w:rsidP="009E676E">
      <w:pPr>
        <w:rPr>
          <w:sz w:val="22"/>
          <w:szCs w:val="22"/>
        </w:rPr>
      </w:pPr>
      <w:r w:rsidRPr="00193D76">
        <w:rPr>
          <w:sz w:val="22"/>
          <w:szCs w:val="22"/>
        </w:rPr>
        <w:t xml:space="preserve">I de pivotale kontrollerte studiene </w:t>
      </w:r>
      <w:r w:rsidRPr="002D0790">
        <w:rPr>
          <w:sz w:val="22"/>
          <w:szCs w:val="22"/>
        </w:rPr>
        <w:t xml:space="preserve">hos voksne og barn fikk </w:t>
      </w:r>
      <w:r w:rsidRPr="009C5EFD">
        <w:rPr>
          <w:sz w:val="22"/>
          <w:szCs w:val="22"/>
        </w:rPr>
        <w:t>12,9 % av pasientene som ble behandlet med Humira reaksjoner på injeksjonsstedet (erytem og/eller kløe, blødning, smerte</w:t>
      </w:r>
      <w:r>
        <w:rPr>
          <w:sz w:val="22"/>
          <w:szCs w:val="22"/>
        </w:rPr>
        <w:t>r</w:t>
      </w:r>
      <w:r w:rsidRPr="009C5EFD">
        <w:rPr>
          <w:sz w:val="22"/>
          <w:szCs w:val="22"/>
        </w:rPr>
        <w:t xml:space="preserve"> eller hevelse), sammenlignet med 7,</w:t>
      </w:r>
      <w:r>
        <w:rPr>
          <w:sz w:val="22"/>
          <w:szCs w:val="22"/>
        </w:rPr>
        <w:t>2</w:t>
      </w:r>
      <w:r w:rsidRPr="009C5EFD">
        <w:rPr>
          <w:sz w:val="22"/>
          <w:szCs w:val="22"/>
        </w:rPr>
        <w:t xml:space="preserve"> % av pasientene som fikk placebo eller aktiv kontroll. Det var oftest ikke nødvendig å seponere </w:t>
      </w:r>
      <w:r w:rsidRPr="009C5EFD">
        <w:rPr>
          <w:color w:val="000000"/>
          <w:sz w:val="22"/>
          <w:szCs w:val="22"/>
        </w:rPr>
        <w:t>legemidlet</w:t>
      </w:r>
      <w:r w:rsidRPr="009C5EFD">
        <w:rPr>
          <w:sz w:val="22"/>
          <w:szCs w:val="22"/>
        </w:rPr>
        <w:t xml:space="preserve"> på grunn av reaksjonen på injeksjonsstedet.</w:t>
      </w:r>
    </w:p>
    <w:p w14:paraId="1A57AFEE" w14:textId="77777777" w:rsidR="009E676E" w:rsidRPr="009C5EFD" w:rsidRDefault="009E676E" w:rsidP="009E676E">
      <w:pPr>
        <w:rPr>
          <w:sz w:val="22"/>
          <w:szCs w:val="22"/>
        </w:rPr>
      </w:pPr>
    </w:p>
    <w:p w14:paraId="31050E16" w14:textId="77777777" w:rsidR="009E676E" w:rsidRPr="001F5D4B" w:rsidRDefault="00E453CD" w:rsidP="00776A84">
      <w:pPr>
        <w:pStyle w:val="Heading8"/>
        <w:rPr>
          <w:i/>
          <w:szCs w:val="22"/>
          <w:u w:val="none"/>
        </w:rPr>
      </w:pPr>
      <w:r w:rsidRPr="001F5D4B">
        <w:rPr>
          <w:i/>
          <w:szCs w:val="22"/>
          <w:u w:val="none"/>
        </w:rPr>
        <w:t>Infeksjoner</w:t>
      </w:r>
    </w:p>
    <w:p w14:paraId="29FA268E" w14:textId="77777777" w:rsidR="009E676E" w:rsidRPr="007F67EE" w:rsidRDefault="009E676E" w:rsidP="00776A84">
      <w:pPr>
        <w:keepNext/>
        <w:rPr>
          <w:sz w:val="22"/>
          <w:szCs w:val="22"/>
        </w:rPr>
      </w:pPr>
    </w:p>
    <w:p w14:paraId="7CA5D0C7" w14:textId="77777777" w:rsidR="009E676E" w:rsidRPr="009C5EFD" w:rsidRDefault="00E453CD">
      <w:pPr>
        <w:rPr>
          <w:sz w:val="22"/>
          <w:szCs w:val="22"/>
        </w:rPr>
      </w:pPr>
      <w:r w:rsidRPr="00193D76">
        <w:rPr>
          <w:sz w:val="22"/>
          <w:szCs w:val="22"/>
        </w:rPr>
        <w:t xml:space="preserve">I de pivotale kontrollerte studiene </w:t>
      </w:r>
      <w:r w:rsidRPr="002D0790">
        <w:rPr>
          <w:sz w:val="22"/>
          <w:szCs w:val="22"/>
        </w:rPr>
        <w:t xml:space="preserve">hos voksne og barn var </w:t>
      </w:r>
      <w:r w:rsidRPr="00E14E58">
        <w:rPr>
          <w:color w:val="000000"/>
          <w:sz w:val="22"/>
          <w:szCs w:val="22"/>
        </w:rPr>
        <w:t>infeksj</w:t>
      </w:r>
      <w:r w:rsidRPr="009C5EFD">
        <w:rPr>
          <w:color w:val="000000"/>
          <w:sz w:val="22"/>
          <w:szCs w:val="22"/>
        </w:rPr>
        <w:t>onsfrekvensen</w:t>
      </w:r>
      <w:r w:rsidRPr="009C5EFD">
        <w:rPr>
          <w:sz w:val="22"/>
          <w:szCs w:val="22"/>
        </w:rPr>
        <w:t xml:space="preserve"> 1,51 </w:t>
      </w:r>
      <w:r w:rsidR="003721B0">
        <w:rPr>
          <w:sz w:val="22"/>
          <w:szCs w:val="22"/>
        </w:rPr>
        <w:t>per</w:t>
      </w:r>
      <w:r w:rsidRPr="009C5EFD">
        <w:rPr>
          <w:sz w:val="22"/>
          <w:szCs w:val="22"/>
        </w:rPr>
        <w:t xml:space="preserve"> pasientår blant pasienter behandlet med Humira og 1,46 </w:t>
      </w:r>
      <w:r w:rsidR="003721B0">
        <w:rPr>
          <w:sz w:val="22"/>
          <w:szCs w:val="22"/>
        </w:rPr>
        <w:t>per</w:t>
      </w:r>
      <w:r w:rsidRPr="009C5EFD">
        <w:rPr>
          <w:sz w:val="22"/>
          <w:szCs w:val="22"/>
        </w:rPr>
        <w:t xml:space="preserve"> pasientår for </w:t>
      </w:r>
      <w:r w:rsidR="003B49EC">
        <w:rPr>
          <w:sz w:val="22"/>
          <w:szCs w:val="22"/>
        </w:rPr>
        <w:t>pasienter som fikk</w:t>
      </w:r>
      <w:r w:rsidRPr="009C5EFD">
        <w:rPr>
          <w:sz w:val="22"/>
          <w:szCs w:val="22"/>
        </w:rPr>
        <w:t xml:space="preserve"> placebo eller aktiv kontroll. Infeksjonene var primært nasofaryngitt, øvre luftveisinfeksjoner og sinusitt. De fleste pasientene fortsatte behandling med Humira etter at infeksjonen var over.</w:t>
      </w:r>
    </w:p>
    <w:p w14:paraId="00474F2B" w14:textId="77777777" w:rsidR="009E676E" w:rsidRPr="009C5EFD" w:rsidRDefault="009E676E" w:rsidP="009E676E">
      <w:pPr>
        <w:rPr>
          <w:sz w:val="22"/>
          <w:szCs w:val="22"/>
        </w:rPr>
      </w:pPr>
    </w:p>
    <w:p w14:paraId="4AB4D540" w14:textId="77777777" w:rsidR="009E676E" w:rsidRPr="009C5EFD" w:rsidRDefault="00E453CD" w:rsidP="009E676E">
      <w:pPr>
        <w:rPr>
          <w:sz w:val="22"/>
          <w:szCs w:val="22"/>
        </w:rPr>
      </w:pPr>
      <w:r w:rsidRPr="009C5EFD">
        <w:rPr>
          <w:sz w:val="22"/>
          <w:szCs w:val="22"/>
        </w:rPr>
        <w:t xml:space="preserve">Forekomsten av alvorlige infeksjoner var 0,04 </w:t>
      </w:r>
      <w:r w:rsidR="003721B0">
        <w:rPr>
          <w:sz w:val="22"/>
          <w:szCs w:val="22"/>
        </w:rPr>
        <w:t>per</w:t>
      </w:r>
      <w:r w:rsidRPr="009C5EFD">
        <w:rPr>
          <w:sz w:val="22"/>
          <w:szCs w:val="22"/>
        </w:rPr>
        <w:t xml:space="preserve"> pasientår blant Humira-behandlede pasienter og 0,03 </w:t>
      </w:r>
      <w:r w:rsidR="003721B0">
        <w:rPr>
          <w:sz w:val="22"/>
          <w:szCs w:val="22"/>
        </w:rPr>
        <w:t>per</w:t>
      </w:r>
      <w:r w:rsidRPr="009C5EFD">
        <w:rPr>
          <w:sz w:val="22"/>
          <w:szCs w:val="22"/>
        </w:rPr>
        <w:t xml:space="preserve"> pasientår blant </w:t>
      </w:r>
      <w:r w:rsidR="003B49EC">
        <w:rPr>
          <w:sz w:val="22"/>
          <w:szCs w:val="22"/>
        </w:rPr>
        <w:t>pasienter som fikk</w:t>
      </w:r>
      <w:r w:rsidRPr="009C5EFD">
        <w:rPr>
          <w:sz w:val="22"/>
          <w:szCs w:val="22"/>
        </w:rPr>
        <w:t xml:space="preserve"> placebo eller aktiv kontroll. </w:t>
      </w:r>
    </w:p>
    <w:p w14:paraId="1665CDAC" w14:textId="77777777" w:rsidR="009E676E" w:rsidRPr="009C5EFD" w:rsidRDefault="009E676E" w:rsidP="009E676E">
      <w:pPr>
        <w:rPr>
          <w:sz w:val="22"/>
          <w:szCs w:val="22"/>
        </w:rPr>
      </w:pPr>
    </w:p>
    <w:p w14:paraId="5A90040B" w14:textId="77777777" w:rsidR="009E676E" w:rsidRPr="009C5EFD" w:rsidRDefault="00E453CD" w:rsidP="009E676E">
      <w:pPr>
        <w:rPr>
          <w:sz w:val="22"/>
          <w:szCs w:val="22"/>
        </w:rPr>
      </w:pPr>
      <w:r w:rsidRPr="009C5EFD">
        <w:rPr>
          <w:sz w:val="22"/>
          <w:szCs w:val="22"/>
        </w:rPr>
        <w:t xml:space="preserve">I kontrollerte og åpne </w:t>
      </w:r>
      <w:r>
        <w:rPr>
          <w:sz w:val="22"/>
          <w:szCs w:val="22"/>
        </w:rPr>
        <w:t>studier hos</w:t>
      </w:r>
      <w:r w:rsidRPr="009C5EFD">
        <w:rPr>
          <w:sz w:val="22"/>
          <w:szCs w:val="22"/>
        </w:rPr>
        <w:t xml:space="preserve"> voksne og pediatriske studier med Humira er det rapportert alvorlige infeksjoner (inkludert fatale reaksjoner, hvilket forekom sjeldent); tuberkulose (inkludert miliær og ekstrapulmonær lokalisasjon) og invasive opportunistiske infeksjoner (f eks disseminert eller ekstrapulmonal histoplasmose, blastomykose, koksidioidomykose, pneumocystose, candidiasis, aspergillose og listeriose). De fleste tilfellene av tuberkulose oppsto i løpet av de første åtte månedene etter behandlingsstart og kan reflektere gjenoppblussing av latent sykdom.</w:t>
      </w:r>
    </w:p>
    <w:p w14:paraId="61F7FB8D" w14:textId="77777777" w:rsidR="009E676E" w:rsidRPr="009C5EFD" w:rsidRDefault="009E676E" w:rsidP="009E676E">
      <w:pPr>
        <w:rPr>
          <w:sz w:val="22"/>
          <w:szCs w:val="22"/>
        </w:rPr>
      </w:pPr>
    </w:p>
    <w:p w14:paraId="017A3D19" w14:textId="77777777" w:rsidR="009E676E" w:rsidRPr="001F5D4B" w:rsidRDefault="00E453CD" w:rsidP="00B07EA9">
      <w:pPr>
        <w:pStyle w:val="Heading8"/>
        <w:rPr>
          <w:i/>
          <w:szCs w:val="22"/>
          <w:u w:val="none"/>
        </w:rPr>
      </w:pPr>
      <w:r w:rsidRPr="001F5D4B">
        <w:rPr>
          <w:i/>
          <w:szCs w:val="22"/>
          <w:u w:val="none"/>
        </w:rPr>
        <w:t>Maligniteter og lymfoproliferative sykdommer</w:t>
      </w:r>
    </w:p>
    <w:p w14:paraId="498698A3" w14:textId="77777777" w:rsidR="009E676E" w:rsidRPr="007F67EE" w:rsidRDefault="009E676E" w:rsidP="00B07EA9">
      <w:pPr>
        <w:keepNext/>
        <w:rPr>
          <w:sz w:val="22"/>
          <w:szCs w:val="22"/>
        </w:rPr>
      </w:pPr>
    </w:p>
    <w:p w14:paraId="4B9A73AA" w14:textId="77777777" w:rsidR="009E676E" w:rsidRPr="009C5EFD" w:rsidRDefault="00E453CD" w:rsidP="009E676E">
      <w:pPr>
        <w:rPr>
          <w:sz w:val="22"/>
          <w:szCs w:val="22"/>
        </w:rPr>
      </w:pPr>
      <w:r w:rsidRPr="00193D76">
        <w:rPr>
          <w:sz w:val="22"/>
          <w:szCs w:val="22"/>
        </w:rPr>
        <w:t xml:space="preserve">Ingen maligniteter ble sett hos </w:t>
      </w:r>
      <w:r w:rsidRPr="002D0790">
        <w:rPr>
          <w:sz w:val="22"/>
          <w:szCs w:val="22"/>
        </w:rPr>
        <w:t xml:space="preserve">249 </w:t>
      </w:r>
      <w:r w:rsidRPr="00E14E58">
        <w:rPr>
          <w:sz w:val="22"/>
          <w:szCs w:val="22"/>
        </w:rPr>
        <w:t xml:space="preserve">pediatriske </w:t>
      </w:r>
      <w:r w:rsidRPr="009C5EFD">
        <w:rPr>
          <w:sz w:val="22"/>
          <w:szCs w:val="22"/>
        </w:rPr>
        <w:t xml:space="preserve">pasienter med en eksponering på 655,6 pasientår under kliniske studier med Humira hos pasienter med juvenil idiopatisk artritt (polyartikulær juvenil idiopatisk artritt og entesittrelatert artritt). I tillegg ble ingen maligniteter sett hos 192 pediatriske pasienter med en eksponering på </w:t>
      </w:r>
      <w:r>
        <w:rPr>
          <w:sz w:val="22"/>
          <w:szCs w:val="22"/>
        </w:rPr>
        <w:t>498,1</w:t>
      </w:r>
      <w:r w:rsidRPr="009C5EFD">
        <w:rPr>
          <w:sz w:val="22"/>
          <w:szCs w:val="22"/>
        </w:rPr>
        <w:t xml:space="preserve"> pasientår under klinisk</w:t>
      </w:r>
      <w:r>
        <w:rPr>
          <w:sz w:val="22"/>
          <w:szCs w:val="22"/>
        </w:rPr>
        <w:t>e</w:t>
      </w:r>
      <w:r w:rsidRPr="009C5EFD">
        <w:rPr>
          <w:sz w:val="22"/>
          <w:szCs w:val="22"/>
        </w:rPr>
        <w:t xml:space="preserve"> studie</w:t>
      </w:r>
      <w:r>
        <w:rPr>
          <w:sz w:val="22"/>
          <w:szCs w:val="22"/>
        </w:rPr>
        <w:t>r</w:t>
      </w:r>
      <w:r w:rsidRPr="009C5EFD">
        <w:rPr>
          <w:sz w:val="22"/>
          <w:szCs w:val="22"/>
        </w:rPr>
        <w:t xml:space="preserve"> med Humira hos pediatriske pasienter med Crohns sykdom. Ingen maligniteter ble sett hos 77 pediatriske pasienter med en ekspon</w:t>
      </w:r>
      <w:r w:rsidRPr="003F5EAC">
        <w:rPr>
          <w:sz w:val="22"/>
          <w:szCs w:val="22"/>
        </w:rPr>
        <w:t>ering på 80,0 pasientår, under kliniske studier med Humira hos pediatriske pasienter med kronisk plakkpsoriasis.</w:t>
      </w:r>
      <w:r w:rsidR="000877DF" w:rsidRPr="0023095F">
        <w:rPr>
          <w:sz w:val="22"/>
          <w:szCs w:val="22"/>
        </w:rPr>
        <w:t xml:space="preserve"> </w:t>
      </w:r>
      <w:r w:rsidR="00F47FD5">
        <w:rPr>
          <w:rStyle w:val="normaltextrun"/>
          <w:sz w:val="22"/>
          <w:shd w:val="clear" w:color="auto" w:fill="FFFFFF"/>
        </w:rPr>
        <w:t>Det ble ikke observert</w:t>
      </w:r>
      <w:r w:rsidR="003F5EAC" w:rsidRPr="00E04B2A">
        <w:rPr>
          <w:rStyle w:val="normaltextrun"/>
          <w:sz w:val="22"/>
          <w:shd w:val="clear" w:color="auto" w:fill="FFFFFF"/>
        </w:rPr>
        <w:t xml:space="preserve"> maligniteter hos 93 pediatriske pasienter med en eksponering på 65,3 pasientår under en Humira-studie </w:t>
      </w:r>
      <w:r w:rsidR="00B1016F">
        <w:rPr>
          <w:rStyle w:val="normaltextrun"/>
          <w:sz w:val="22"/>
          <w:shd w:val="clear" w:color="auto" w:fill="FFFFFF"/>
        </w:rPr>
        <w:t>hos</w:t>
      </w:r>
      <w:r w:rsidR="003F5EAC" w:rsidRPr="00E04B2A">
        <w:rPr>
          <w:rStyle w:val="normaltextrun"/>
          <w:sz w:val="22"/>
          <w:shd w:val="clear" w:color="auto" w:fill="FFFFFF"/>
        </w:rPr>
        <w:t xml:space="preserve"> pediatriske pasienter med ulcerøs kolitt. </w:t>
      </w:r>
      <w:r w:rsidR="000877DF">
        <w:rPr>
          <w:sz w:val="22"/>
          <w:szCs w:val="22"/>
        </w:rPr>
        <w:t>Det ble ikke observert maligniteter hos 60 pediatriske pasienter med en eksponering på 58,4 pasientår under en Humira-studie hos pediatriske pasienter med uveitt.</w:t>
      </w:r>
    </w:p>
    <w:p w14:paraId="7F542CE0" w14:textId="77777777" w:rsidR="009E676E" w:rsidRPr="009C5EFD" w:rsidRDefault="009E676E" w:rsidP="009E676E">
      <w:pPr>
        <w:rPr>
          <w:sz w:val="22"/>
          <w:szCs w:val="22"/>
        </w:rPr>
      </w:pPr>
    </w:p>
    <w:p w14:paraId="5B4A91B2" w14:textId="77777777" w:rsidR="009E676E" w:rsidRPr="009C5EFD" w:rsidRDefault="00E453CD" w:rsidP="009E676E">
      <w:pPr>
        <w:rPr>
          <w:sz w:val="22"/>
          <w:szCs w:val="22"/>
        </w:rPr>
      </w:pPr>
      <w:r w:rsidRPr="009C5EFD">
        <w:rPr>
          <w:sz w:val="22"/>
          <w:szCs w:val="22"/>
        </w:rPr>
        <w:t xml:space="preserve">Under de kontrollerte delene av pivotale kliniske studier </w:t>
      </w:r>
      <w:r w:rsidRPr="009C5EFD">
        <w:rPr>
          <w:color w:val="000000"/>
          <w:sz w:val="22"/>
          <w:szCs w:val="22"/>
        </w:rPr>
        <w:t xml:space="preserve">med Humira hos voksne, </w:t>
      </w:r>
      <w:r w:rsidRPr="009C5EFD">
        <w:rPr>
          <w:sz w:val="22"/>
          <w:szCs w:val="22"/>
        </w:rPr>
        <w:t xml:space="preserve">som varte </w:t>
      </w:r>
      <w:r>
        <w:rPr>
          <w:sz w:val="22"/>
          <w:szCs w:val="22"/>
        </w:rPr>
        <w:t>i</w:t>
      </w:r>
      <w:r w:rsidRPr="009C5EFD">
        <w:rPr>
          <w:sz w:val="22"/>
          <w:szCs w:val="22"/>
        </w:rPr>
        <w:t xml:space="preserve"> minimum 12 uker hos pasienter med moderat til alvorlig aktiv revmatoid artritt, ankyloserende spondylitt, aksial spondylartritt uten radiografisk bekreftelse på ankyloserende spondylitt, psoriasisartritt, psoriasis, hidrosadenitt, Crohns sykdom</w:t>
      </w:r>
      <w:r>
        <w:rPr>
          <w:sz w:val="22"/>
          <w:szCs w:val="22"/>
        </w:rPr>
        <w:t>,</w:t>
      </w:r>
      <w:r w:rsidRPr="009C5EFD">
        <w:rPr>
          <w:sz w:val="22"/>
          <w:szCs w:val="22"/>
        </w:rPr>
        <w:t xml:space="preserve"> ulcerøs kolitt</w:t>
      </w:r>
      <w:r>
        <w:rPr>
          <w:sz w:val="22"/>
          <w:szCs w:val="22"/>
        </w:rPr>
        <w:t xml:space="preserve"> og uveitt</w:t>
      </w:r>
      <w:r w:rsidRPr="009C5EFD">
        <w:rPr>
          <w:sz w:val="22"/>
          <w:szCs w:val="22"/>
        </w:rPr>
        <w:t xml:space="preserve">, var forekomsten (95 % konfidensintervall) av de observerte maligniteter, andre enn lymfomer og ikke-melanom hudkreft, </w:t>
      </w:r>
      <w:r>
        <w:rPr>
          <w:sz w:val="22"/>
          <w:szCs w:val="22"/>
        </w:rPr>
        <w:t>6,8 (4,4, 10,</w:t>
      </w:r>
      <w:r w:rsidRPr="002838F8">
        <w:rPr>
          <w:sz w:val="22"/>
          <w:szCs w:val="22"/>
        </w:rPr>
        <w:t>5)</w:t>
      </w:r>
      <w:r w:rsidRPr="009C5EFD">
        <w:rPr>
          <w:sz w:val="22"/>
          <w:szCs w:val="22"/>
        </w:rPr>
        <w:t xml:space="preserve"> per 1000 pasientår blant </w:t>
      </w:r>
      <w:r>
        <w:rPr>
          <w:sz w:val="22"/>
          <w:szCs w:val="22"/>
        </w:rPr>
        <w:t>5291</w:t>
      </w:r>
      <w:r w:rsidRPr="009C5EFD">
        <w:rPr>
          <w:sz w:val="22"/>
          <w:szCs w:val="22"/>
        </w:rPr>
        <w:t xml:space="preserve"> pasienter som ble behandlet med Humira </w:t>
      </w:r>
      <w:r w:rsidRPr="009C5EFD">
        <w:rPr>
          <w:i/>
          <w:sz w:val="22"/>
          <w:szCs w:val="22"/>
        </w:rPr>
        <w:t>versus</w:t>
      </w:r>
      <w:r w:rsidRPr="009C5EFD">
        <w:rPr>
          <w:sz w:val="22"/>
          <w:szCs w:val="22"/>
        </w:rPr>
        <w:t xml:space="preserve"> </w:t>
      </w:r>
      <w:r>
        <w:rPr>
          <w:sz w:val="22"/>
          <w:szCs w:val="22"/>
        </w:rPr>
        <w:t>6,</w:t>
      </w:r>
      <w:r w:rsidRPr="002838F8">
        <w:rPr>
          <w:sz w:val="22"/>
          <w:szCs w:val="22"/>
        </w:rPr>
        <w:t>3 (3</w:t>
      </w:r>
      <w:r>
        <w:rPr>
          <w:sz w:val="22"/>
          <w:szCs w:val="22"/>
        </w:rPr>
        <w:t>,4, 11,</w:t>
      </w:r>
      <w:r w:rsidRPr="002838F8">
        <w:rPr>
          <w:sz w:val="22"/>
          <w:szCs w:val="22"/>
        </w:rPr>
        <w:t>8)</w:t>
      </w:r>
      <w:r w:rsidRPr="009C5EFD">
        <w:rPr>
          <w:sz w:val="22"/>
          <w:szCs w:val="22"/>
        </w:rPr>
        <w:t xml:space="preserve"> per 1000 pasientår blant </w:t>
      </w:r>
      <w:r>
        <w:rPr>
          <w:sz w:val="22"/>
          <w:szCs w:val="22"/>
        </w:rPr>
        <w:t>3444</w:t>
      </w:r>
      <w:r w:rsidRPr="009C5EFD">
        <w:rPr>
          <w:sz w:val="22"/>
          <w:szCs w:val="22"/>
        </w:rPr>
        <w:t xml:space="preserve"> pasienter i kontrollgruppen (gjennomsnittsvarighet for behandlingen var 4,0 måneder for Humira og 3,</w:t>
      </w:r>
      <w:r>
        <w:rPr>
          <w:sz w:val="22"/>
          <w:szCs w:val="22"/>
        </w:rPr>
        <w:t>8</w:t>
      </w:r>
      <w:r w:rsidRPr="009C5EFD">
        <w:rPr>
          <w:sz w:val="22"/>
          <w:szCs w:val="22"/>
        </w:rPr>
        <w:t xml:space="preserve"> måneder for pasienter i kontrollgruppen). </w:t>
      </w:r>
      <w:r w:rsidRPr="009C5EFD">
        <w:rPr>
          <w:sz w:val="22"/>
          <w:szCs w:val="22"/>
        </w:rPr>
        <w:lastRenderedPageBreak/>
        <w:t xml:space="preserve">Forekomsten (95 % konfidensintervall) for ikke-melanom hudkreft var </w:t>
      </w:r>
      <w:r>
        <w:rPr>
          <w:sz w:val="22"/>
          <w:szCs w:val="22"/>
        </w:rPr>
        <w:t>8,8 (6,0, 13,</w:t>
      </w:r>
      <w:r w:rsidRPr="002838F8">
        <w:rPr>
          <w:sz w:val="22"/>
          <w:szCs w:val="22"/>
        </w:rPr>
        <w:t>0)</w:t>
      </w:r>
      <w:r w:rsidRPr="009C5EFD">
        <w:rPr>
          <w:sz w:val="22"/>
          <w:szCs w:val="22"/>
        </w:rPr>
        <w:t xml:space="preserve"> per 1000 pasientår blant pasienter som fikk Humira og </w:t>
      </w:r>
      <w:r>
        <w:rPr>
          <w:sz w:val="22"/>
          <w:szCs w:val="22"/>
        </w:rPr>
        <w:t>3,2 (1,3, 7,</w:t>
      </w:r>
      <w:r w:rsidRPr="00B700AF">
        <w:rPr>
          <w:sz w:val="22"/>
          <w:szCs w:val="22"/>
        </w:rPr>
        <w:t>6)</w:t>
      </w:r>
      <w:r w:rsidRPr="009C5EFD">
        <w:rPr>
          <w:sz w:val="22"/>
          <w:szCs w:val="22"/>
        </w:rPr>
        <w:t xml:space="preserve"> per 1000 pasientår blant pasienter i kontrollgruppen. Av disse hudkrefttypene forekom (95 % konfidensintervall) plateepitelkarsinom med frekvensen </w:t>
      </w:r>
      <w:r>
        <w:rPr>
          <w:sz w:val="22"/>
          <w:szCs w:val="22"/>
        </w:rPr>
        <w:t>2,</w:t>
      </w:r>
      <w:r w:rsidRPr="00B700AF">
        <w:rPr>
          <w:sz w:val="22"/>
          <w:szCs w:val="22"/>
        </w:rPr>
        <w:t>7 (1</w:t>
      </w:r>
      <w:r>
        <w:rPr>
          <w:sz w:val="22"/>
          <w:szCs w:val="22"/>
        </w:rPr>
        <w:t>,</w:t>
      </w:r>
      <w:r w:rsidRPr="00B700AF">
        <w:rPr>
          <w:sz w:val="22"/>
          <w:szCs w:val="22"/>
        </w:rPr>
        <w:t>4, 5</w:t>
      </w:r>
      <w:r>
        <w:rPr>
          <w:sz w:val="22"/>
          <w:szCs w:val="22"/>
        </w:rPr>
        <w:t>,</w:t>
      </w:r>
      <w:r w:rsidRPr="00B700AF">
        <w:rPr>
          <w:sz w:val="22"/>
          <w:szCs w:val="22"/>
        </w:rPr>
        <w:t>4)</w:t>
      </w:r>
      <w:r w:rsidRPr="009C5EFD">
        <w:rPr>
          <w:sz w:val="22"/>
          <w:szCs w:val="22"/>
        </w:rPr>
        <w:t xml:space="preserve"> per 1000 pasientår blant pasienter som fikk Humira og </w:t>
      </w:r>
      <w:r>
        <w:rPr>
          <w:sz w:val="22"/>
          <w:szCs w:val="22"/>
        </w:rPr>
        <w:t>0,</w:t>
      </w:r>
      <w:r w:rsidRPr="00B700AF">
        <w:rPr>
          <w:sz w:val="22"/>
          <w:szCs w:val="22"/>
        </w:rPr>
        <w:t>6 (0</w:t>
      </w:r>
      <w:r>
        <w:rPr>
          <w:sz w:val="22"/>
          <w:szCs w:val="22"/>
        </w:rPr>
        <w:t>,</w:t>
      </w:r>
      <w:r w:rsidRPr="00B700AF">
        <w:rPr>
          <w:sz w:val="22"/>
          <w:szCs w:val="22"/>
        </w:rPr>
        <w:t>1, 4</w:t>
      </w:r>
      <w:r>
        <w:rPr>
          <w:sz w:val="22"/>
          <w:szCs w:val="22"/>
        </w:rPr>
        <w:t>,</w:t>
      </w:r>
      <w:r w:rsidRPr="00B700AF">
        <w:rPr>
          <w:sz w:val="22"/>
          <w:szCs w:val="22"/>
        </w:rPr>
        <w:t>5)</w:t>
      </w:r>
      <w:r w:rsidRPr="009C5EFD">
        <w:rPr>
          <w:sz w:val="22"/>
          <w:szCs w:val="22"/>
        </w:rPr>
        <w:t xml:space="preserve"> per 1000 pasientår blant pasienter i kontrollgruppen. Forekomsten (95 % konfidensintervall) for lymfomer var 0,7 (</w:t>
      </w:r>
      <w:r>
        <w:rPr>
          <w:sz w:val="22"/>
          <w:szCs w:val="22"/>
        </w:rPr>
        <w:t>0,</w:t>
      </w:r>
      <w:r w:rsidRPr="00B700AF">
        <w:rPr>
          <w:sz w:val="22"/>
          <w:szCs w:val="22"/>
        </w:rPr>
        <w:t>2, 2</w:t>
      </w:r>
      <w:r>
        <w:rPr>
          <w:sz w:val="22"/>
          <w:szCs w:val="22"/>
        </w:rPr>
        <w:t>,</w:t>
      </w:r>
      <w:r w:rsidRPr="00B700AF">
        <w:rPr>
          <w:sz w:val="22"/>
          <w:szCs w:val="22"/>
        </w:rPr>
        <w:t>7</w:t>
      </w:r>
      <w:r w:rsidRPr="009C5EFD">
        <w:rPr>
          <w:sz w:val="22"/>
          <w:szCs w:val="22"/>
        </w:rPr>
        <w:t xml:space="preserve">) per 1000 pasientår blant pasienter som ble behandlet med Humira og </w:t>
      </w:r>
      <w:r>
        <w:rPr>
          <w:sz w:val="22"/>
          <w:szCs w:val="22"/>
        </w:rPr>
        <w:t>0,6 (0,1, 4,</w:t>
      </w:r>
      <w:r w:rsidRPr="00061CCF">
        <w:rPr>
          <w:sz w:val="22"/>
          <w:szCs w:val="22"/>
        </w:rPr>
        <w:t>5)</w:t>
      </w:r>
      <w:r w:rsidRPr="009C5EFD">
        <w:rPr>
          <w:sz w:val="22"/>
          <w:szCs w:val="22"/>
        </w:rPr>
        <w:t xml:space="preserve"> per 1000 pasientår blant pasienter i kontrollgruppen.</w:t>
      </w:r>
    </w:p>
    <w:p w14:paraId="56C45179" w14:textId="77777777" w:rsidR="009E676E" w:rsidRPr="009C5EFD" w:rsidRDefault="009E676E" w:rsidP="009E676E">
      <w:pPr>
        <w:rPr>
          <w:sz w:val="22"/>
          <w:szCs w:val="22"/>
        </w:rPr>
      </w:pPr>
    </w:p>
    <w:p w14:paraId="447679CE" w14:textId="77777777" w:rsidR="009E676E" w:rsidRPr="009C5EFD" w:rsidRDefault="00E453CD" w:rsidP="009E676E">
      <w:pPr>
        <w:rPr>
          <w:sz w:val="22"/>
          <w:szCs w:val="22"/>
        </w:rPr>
      </w:pPr>
      <w:r w:rsidRPr="009C5EFD">
        <w:rPr>
          <w:sz w:val="22"/>
          <w:szCs w:val="22"/>
        </w:rPr>
        <w:t>Når man kombinerer de kontrollerte delene til disse studiene og pågående og avsluttede åpne studier, med en gjennomsnittsvarighet på ca. 3,</w:t>
      </w:r>
      <w:r>
        <w:rPr>
          <w:sz w:val="22"/>
          <w:szCs w:val="22"/>
        </w:rPr>
        <w:t>3</w:t>
      </w:r>
      <w:r w:rsidRPr="009C5EFD">
        <w:rPr>
          <w:sz w:val="22"/>
          <w:szCs w:val="22"/>
        </w:rPr>
        <w:t xml:space="preserve"> år, inkludert </w:t>
      </w:r>
      <w:r>
        <w:rPr>
          <w:sz w:val="22"/>
          <w:szCs w:val="22"/>
        </w:rPr>
        <w:t>6427</w:t>
      </w:r>
      <w:r w:rsidRPr="009C5EFD">
        <w:rPr>
          <w:sz w:val="22"/>
          <w:szCs w:val="22"/>
        </w:rPr>
        <w:t xml:space="preserve"> pasienter og mer enn </w:t>
      </w:r>
      <w:r>
        <w:rPr>
          <w:sz w:val="22"/>
          <w:szCs w:val="22"/>
        </w:rPr>
        <w:t>26 439</w:t>
      </w:r>
      <w:r w:rsidRPr="009C5EFD">
        <w:rPr>
          <w:sz w:val="22"/>
          <w:szCs w:val="22"/>
        </w:rPr>
        <w:t xml:space="preserve"> pasientår, </w:t>
      </w:r>
      <w:r w:rsidRPr="009C5EFD">
        <w:rPr>
          <w:color w:val="000000"/>
          <w:sz w:val="22"/>
          <w:szCs w:val="22"/>
        </w:rPr>
        <w:t xml:space="preserve">er den observerte </w:t>
      </w:r>
      <w:r w:rsidRPr="009C5EFD">
        <w:rPr>
          <w:sz w:val="22"/>
          <w:szCs w:val="22"/>
        </w:rPr>
        <w:t>forekomsten av maligniteter, foruten lymfomer og ikke-melanom hudkreft, ca. 8,5 per 1000 pasientår. Den observerte forekomsten for ikke-melanom hudkreft er på ca. 9,</w:t>
      </w:r>
      <w:r>
        <w:rPr>
          <w:sz w:val="22"/>
          <w:szCs w:val="22"/>
        </w:rPr>
        <w:t>6</w:t>
      </w:r>
      <w:r w:rsidRPr="009C5EFD">
        <w:rPr>
          <w:sz w:val="22"/>
          <w:szCs w:val="22"/>
        </w:rPr>
        <w:t xml:space="preserve"> per 1000 pasientår, og den observerte forekomsten for lymfomer er ca. 1,3 per 1000 pasientår.</w:t>
      </w:r>
    </w:p>
    <w:p w14:paraId="102BAE6D" w14:textId="77777777" w:rsidR="009E676E" w:rsidRPr="009C5EFD" w:rsidRDefault="009E676E" w:rsidP="009E676E">
      <w:pPr>
        <w:rPr>
          <w:sz w:val="22"/>
          <w:szCs w:val="22"/>
        </w:rPr>
      </w:pPr>
    </w:p>
    <w:p w14:paraId="76CF5639" w14:textId="42FA3D87" w:rsidR="009E676E" w:rsidRPr="009C5EFD" w:rsidRDefault="00E453CD" w:rsidP="009E676E">
      <w:pPr>
        <w:rPr>
          <w:sz w:val="22"/>
          <w:szCs w:val="22"/>
        </w:rPr>
      </w:pPr>
      <w:r w:rsidRPr="009C5EFD">
        <w:rPr>
          <w:sz w:val="22"/>
          <w:szCs w:val="22"/>
        </w:rPr>
        <w:t xml:space="preserve">I perioden etter markedsføring fra januar 2003 til desember 2010, hovedsakelig hos pasienter med revmatoid artritt, er den </w:t>
      </w:r>
      <w:r>
        <w:rPr>
          <w:sz w:val="22"/>
          <w:szCs w:val="22"/>
        </w:rPr>
        <w:t>spontant rapporterte</w:t>
      </w:r>
      <w:r w:rsidRPr="009C5EFD">
        <w:rPr>
          <w:sz w:val="22"/>
          <w:szCs w:val="22"/>
        </w:rPr>
        <w:t xml:space="preserve"> forekomsten for maligniteter ca. 2,7 per 1000 pasientår. De </w:t>
      </w:r>
      <w:r>
        <w:rPr>
          <w:sz w:val="22"/>
          <w:szCs w:val="22"/>
        </w:rPr>
        <w:t>spontant rapporterte</w:t>
      </w:r>
      <w:r w:rsidRPr="009C5EFD">
        <w:rPr>
          <w:sz w:val="22"/>
          <w:szCs w:val="22"/>
        </w:rPr>
        <w:t xml:space="preserve"> forekomstene for ikke-melanom hudkreft og lymfomer er henholdsvis ca. 0,2 og 0,3 per 1000 pasientår (se pkt. 4.4).    </w:t>
      </w:r>
    </w:p>
    <w:p w14:paraId="0B2BC59E" w14:textId="77777777" w:rsidR="009E676E" w:rsidRDefault="009E676E" w:rsidP="009E676E">
      <w:pPr>
        <w:rPr>
          <w:sz w:val="22"/>
          <w:szCs w:val="22"/>
        </w:rPr>
      </w:pPr>
    </w:p>
    <w:p w14:paraId="2948EA15" w14:textId="77777777" w:rsidR="009E676E" w:rsidRPr="009C5EFD" w:rsidRDefault="00E453CD" w:rsidP="009E676E">
      <w:pPr>
        <w:rPr>
          <w:sz w:val="22"/>
          <w:szCs w:val="22"/>
        </w:rPr>
      </w:pPr>
      <w:r w:rsidRPr="009C5EFD">
        <w:rPr>
          <w:sz w:val="22"/>
          <w:szCs w:val="22"/>
        </w:rPr>
        <w:t>Sjeldne tilfeller av hepatosplenisk T-cellelymfom hos pasienter behandlet med adalimumab er rapportert etter markedsføring (se pkt. 4.4).</w:t>
      </w:r>
    </w:p>
    <w:p w14:paraId="6D48FD7F" w14:textId="77777777" w:rsidR="009E676E" w:rsidRPr="009C5EFD" w:rsidRDefault="009E676E" w:rsidP="009E676E">
      <w:pPr>
        <w:pStyle w:val="Heading8"/>
        <w:keepNext w:val="0"/>
        <w:rPr>
          <w:szCs w:val="22"/>
        </w:rPr>
      </w:pPr>
    </w:p>
    <w:p w14:paraId="2431D11F" w14:textId="77777777" w:rsidR="009E676E" w:rsidRPr="001F5D4B" w:rsidRDefault="00E453CD" w:rsidP="00776A84">
      <w:pPr>
        <w:pStyle w:val="Heading8"/>
        <w:rPr>
          <w:i/>
          <w:szCs w:val="22"/>
          <w:u w:val="none"/>
        </w:rPr>
      </w:pPr>
      <w:r w:rsidRPr="001F5D4B">
        <w:rPr>
          <w:i/>
          <w:szCs w:val="22"/>
          <w:u w:val="none"/>
        </w:rPr>
        <w:t>Autoantistoffer</w:t>
      </w:r>
    </w:p>
    <w:p w14:paraId="26305FF7" w14:textId="77777777" w:rsidR="009E676E" w:rsidRPr="007F67EE" w:rsidRDefault="009E676E" w:rsidP="00776A84">
      <w:pPr>
        <w:keepNext/>
        <w:rPr>
          <w:sz w:val="22"/>
          <w:szCs w:val="22"/>
        </w:rPr>
      </w:pPr>
    </w:p>
    <w:p w14:paraId="28DE4812" w14:textId="77777777" w:rsidR="009E676E" w:rsidRPr="009C5EFD" w:rsidRDefault="00E453CD" w:rsidP="009E676E">
      <w:pPr>
        <w:rPr>
          <w:sz w:val="22"/>
          <w:szCs w:val="22"/>
        </w:rPr>
      </w:pPr>
      <w:r w:rsidRPr="00193D76">
        <w:rPr>
          <w:sz w:val="22"/>
          <w:szCs w:val="22"/>
        </w:rPr>
        <w:t xml:space="preserve">Serumprøver fra pasienter ble analysert for autoantistoffer på flere tidspunkter i studiene I – V ved revmatoid artritt. Blant pasienter med negative </w:t>
      </w:r>
      <w:r w:rsidRPr="002D0790">
        <w:rPr>
          <w:color w:val="000000"/>
          <w:sz w:val="22"/>
          <w:szCs w:val="22"/>
        </w:rPr>
        <w:t xml:space="preserve">verdier </w:t>
      </w:r>
      <w:r w:rsidR="001646EE">
        <w:rPr>
          <w:sz w:val="22"/>
          <w:szCs w:val="22"/>
        </w:rPr>
        <w:t>ved baseline</w:t>
      </w:r>
      <w:r w:rsidR="00C27926">
        <w:rPr>
          <w:sz w:val="22"/>
          <w:szCs w:val="22"/>
        </w:rPr>
        <w:t xml:space="preserve"> </w:t>
      </w:r>
      <w:r w:rsidRPr="002D0790">
        <w:rPr>
          <w:sz w:val="22"/>
          <w:szCs w:val="22"/>
        </w:rPr>
        <w:t xml:space="preserve">for antinukleære antistoff </w:t>
      </w:r>
      <w:r w:rsidRPr="00E14E58">
        <w:rPr>
          <w:sz w:val="22"/>
          <w:szCs w:val="22"/>
        </w:rPr>
        <w:t>i disse studiene ble 11,9 % av pasientene som ble behandlet med Humira og 8,1 % av pasientene i kontrollgruppene angitt å ha positive verdier ved uke 24. To pasienter av de 3441 som ble behandlet med Humira i alle studiene av revmatoid artritt og psoriasis</w:t>
      </w:r>
      <w:r w:rsidRPr="009C5EFD">
        <w:rPr>
          <w:sz w:val="22"/>
          <w:szCs w:val="22"/>
        </w:rPr>
        <w:t>artritt utviklet kliniske tegn på nyutviklet lupuslignende syndrom. Pasientene ble bedre etter at behandlingen ble avbrutt. Ingen pasienter utviklet lupusnefritt eller symptomer i sentralnervesystemet.</w:t>
      </w:r>
    </w:p>
    <w:p w14:paraId="727F9CFF" w14:textId="77777777" w:rsidR="009E676E" w:rsidRPr="009C5EFD" w:rsidRDefault="009E676E" w:rsidP="009E676E">
      <w:pPr>
        <w:rPr>
          <w:sz w:val="22"/>
          <w:szCs w:val="22"/>
        </w:rPr>
      </w:pPr>
    </w:p>
    <w:p w14:paraId="24B6E743" w14:textId="77777777" w:rsidR="009E676E" w:rsidRPr="001F5D4B" w:rsidRDefault="00E453CD" w:rsidP="00776A84">
      <w:pPr>
        <w:keepNext/>
        <w:rPr>
          <w:i/>
          <w:sz w:val="22"/>
          <w:szCs w:val="22"/>
        </w:rPr>
      </w:pPr>
      <w:r w:rsidRPr="001F5D4B">
        <w:rPr>
          <w:i/>
          <w:sz w:val="22"/>
          <w:szCs w:val="22"/>
        </w:rPr>
        <w:t>Bivirkninger i lever og galleveier</w:t>
      </w:r>
    </w:p>
    <w:p w14:paraId="17D2BC4D" w14:textId="77777777" w:rsidR="009E676E" w:rsidRPr="007F67EE" w:rsidRDefault="009E676E" w:rsidP="00776A84">
      <w:pPr>
        <w:keepNext/>
        <w:rPr>
          <w:i/>
          <w:sz w:val="22"/>
          <w:szCs w:val="22"/>
        </w:rPr>
      </w:pPr>
    </w:p>
    <w:p w14:paraId="0A8E89FA" w14:textId="77777777" w:rsidR="009E676E" w:rsidRPr="002D0790" w:rsidRDefault="00E453CD" w:rsidP="009E676E">
      <w:pPr>
        <w:rPr>
          <w:sz w:val="22"/>
          <w:szCs w:val="22"/>
        </w:rPr>
      </w:pPr>
      <w:r w:rsidRPr="00193D76">
        <w:rPr>
          <w:sz w:val="22"/>
          <w:szCs w:val="22"/>
        </w:rPr>
        <w:t>I kontrollerte fase 3 studi</w:t>
      </w:r>
      <w:r w:rsidRPr="002D0790">
        <w:rPr>
          <w:sz w:val="22"/>
          <w:szCs w:val="22"/>
        </w:rPr>
        <w:t xml:space="preserve">er med Humira hos pasienter med revmatoid artritt og psoriasisartritt med en varighet på kontrollperioden varierende fra 4 til 104 uker, oppstod stigninger i ALAT ≥ 3 x ULN hos 3,7 % av pasientene behandlet med Humira og hos 1,6 % av pasientene i kontrollgruppen.  </w:t>
      </w:r>
    </w:p>
    <w:p w14:paraId="194FF18C" w14:textId="77777777" w:rsidR="009E676E" w:rsidRPr="009C5EFD" w:rsidRDefault="009E676E" w:rsidP="009E676E">
      <w:pPr>
        <w:rPr>
          <w:sz w:val="22"/>
          <w:szCs w:val="22"/>
        </w:rPr>
      </w:pPr>
    </w:p>
    <w:p w14:paraId="2AF24467" w14:textId="77777777" w:rsidR="009E676E" w:rsidRPr="009C5EFD" w:rsidRDefault="00E453CD" w:rsidP="009E676E">
      <w:pPr>
        <w:rPr>
          <w:sz w:val="22"/>
          <w:szCs w:val="22"/>
        </w:rPr>
      </w:pPr>
      <w:r w:rsidRPr="009C5EFD">
        <w:rPr>
          <w:sz w:val="22"/>
          <w:szCs w:val="22"/>
        </w:rPr>
        <w:t>I kontrollerte fase 3 studier med Humira hos pasienter med polyartikulær juvenil idiopatisk artritt i alderen 4 til 17 år og entesittrelatert artritt i alderen 6 til 17 år, oppstod stigninger i ALAT ≥ 3 x ULN hos 6,1 % av pasientene behandlet med Humira og hos 1,3 % av pasientene i kontrollgruppen. De fleste stigninger i ALAT oppstod ved samtidig bruk av metotreksat. Det var ingen stigninger i ALAT ≥ 3 x ULN i fase 3 studien med Humira hos pasienter med polyartikulær juvenil idiopatisk artritt i alderen 2 til &lt; 4 år.</w:t>
      </w:r>
    </w:p>
    <w:p w14:paraId="2B36F444" w14:textId="77777777" w:rsidR="009E676E" w:rsidRPr="009C5EFD" w:rsidRDefault="009E676E" w:rsidP="009E676E">
      <w:pPr>
        <w:rPr>
          <w:i/>
          <w:sz w:val="22"/>
          <w:szCs w:val="22"/>
        </w:rPr>
      </w:pPr>
    </w:p>
    <w:p w14:paraId="7645AE2A" w14:textId="77777777" w:rsidR="009E676E" w:rsidRPr="009C5EFD" w:rsidRDefault="00E453CD" w:rsidP="009E676E">
      <w:pPr>
        <w:rPr>
          <w:sz w:val="22"/>
          <w:szCs w:val="22"/>
        </w:rPr>
      </w:pPr>
      <w:r w:rsidRPr="009C5EFD">
        <w:rPr>
          <w:sz w:val="22"/>
          <w:szCs w:val="22"/>
        </w:rPr>
        <w:t>I kontrollerte fase 3 studier med Humira hos pasienter med Crohns sykdom og ulcerøs kolitt med en varighet på kontrollperioden varierende fra 4 til 52 uker, oppstod stigninger i ALAT ≥ 3 x ULN hos 0,9 % av pasientene behandlet med Humira og hos 0,9 % av pasientene i kontrollgruppen.</w:t>
      </w:r>
    </w:p>
    <w:p w14:paraId="6A377CD0" w14:textId="77777777" w:rsidR="009E676E" w:rsidRPr="009C5EFD" w:rsidRDefault="009E676E" w:rsidP="009E676E">
      <w:pPr>
        <w:rPr>
          <w:sz w:val="22"/>
          <w:szCs w:val="22"/>
        </w:rPr>
      </w:pPr>
    </w:p>
    <w:p w14:paraId="6DBC25A1" w14:textId="77777777" w:rsidR="009E676E" w:rsidRPr="009C5EFD" w:rsidRDefault="00E453CD" w:rsidP="009E676E">
      <w:pPr>
        <w:rPr>
          <w:sz w:val="22"/>
          <w:szCs w:val="22"/>
        </w:rPr>
      </w:pPr>
      <w:r w:rsidRPr="009C5EFD">
        <w:rPr>
          <w:sz w:val="22"/>
          <w:szCs w:val="22"/>
        </w:rPr>
        <w:t xml:space="preserve">I fase 3 studien med Humira hos pasienter med pediatrisk Crohns sykdom som </w:t>
      </w:r>
      <w:r w:rsidR="006B250F">
        <w:rPr>
          <w:sz w:val="22"/>
          <w:szCs w:val="22"/>
        </w:rPr>
        <w:t>vurderte</w:t>
      </w:r>
      <w:r w:rsidRPr="009C5EFD">
        <w:rPr>
          <w:sz w:val="22"/>
          <w:szCs w:val="22"/>
        </w:rPr>
        <w:t xml:space="preserve"> effekt og sikkerhet av to kroppsvektjusterte vedlikeholdsdoseregimer etter kroppsvektjustert </w:t>
      </w:r>
      <w:r w:rsidR="005C4746">
        <w:rPr>
          <w:sz w:val="22"/>
          <w:szCs w:val="22"/>
        </w:rPr>
        <w:t>induksjonsbehandling</w:t>
      </w:r>
      <w:r w:rsidRPr="009C5EFD">
        <w:rPr>
          <w:sz w:val="22"/>
          <w:szCs w:val="22"/>
        </w:rPr>
        <w:t xml:space="preserve"> opptil 52 ukers behandling,</w:t>
      </w:r>
      <w:r w:rsidR="00BA7F2F">
        <w:rPr>
          <w:sz w:val="22"/>
          <w:szCs w:val="22"/>
        </w:rPr>
        <w:t xml:space="preserve"> </w:t>
      </w:r>
      <w:r w:rsidRPr="009C5EFD">
        <w:rPr>
          <w:sz w:val="22"/>
          <w:szCs w:val="22"/>
        </w:rPr>
        <w:t>oppstod stigninger i ALAT ≥ 3 x ULN hos 2,6 % (5/192) av pasientene hvor 4 av de fikk samtidig immundempende behandling ved baseline.</w:t>
      </w:r>
    </w:p>
    <w:p w14:paraId="65FC8B2B" w14:textId="77777777" w:rsidR="009E676E" w:rsidRPr="009C5EFD" w:rsidRDefault="009E676E" w:rsidP="009E676E">
      <w:pPr>
        <w:rPr>
          <w:sz w:val="22"/>
          <w:szCs w:val="22"/>
        </w:rPr>
      </w:pPr>
    </w:p>
    <w:p w14:paraId="2473F03A" w14:textId="77777777" w:rsidR="009E676E" w:rsidRPr="009C5EFD" w:rsidRDefault="00E453CD" w:rsidP="009E676E">
      <w:pPr>
        <w:rPr>
          <w:sz w:val="22"/>
          <w:szCs w:val="22"/>
        </w:rPr>
      </w:pPr>
      <w:r w:rsidRPr="009C5EFD">
        <w:rPr>
          <w:sz w:val="22"/>
          <w:szCs w:val="22"/>
        </w:rPr>
        <w:t xml:space="preserve">I kontrollerte fase 3 studier med Humira hos pasienter med plakkpsoriasis med en kontrollperiode varierende fra 12 til 24 uker, oppstod stigninger i ALAT ≥ 3 x ULN hos 1,8 % av pasientene behandlet med Humira og hos 1,8 % av pasientene i kontrollgruppen. </w:t>
      </w:r>
    </w:p>
    <w:p w14:paraId="0ED3A15D" w14:textId="77777777" w:rsidR="009E676E" w:rsidRPr="009C5EFD" w:rsidRDefault="009E676E" w:rsidP="009E676E">
      <w:pPr>
        <w:rPr>
          <w:sz w:val="22"/>
          <w:szCs w:val="22"/>
        </w:rPr>
      </w:pPr>
    </w:p>
    <w:p w14:paraId="67E21A6A" w14:textId="77777777" w:rsidR="009E676E" w:rsidRPr="009C5EFD" w:rsidRDefault="00E453CD" w:rsidP="009E676E">
      <w:pPr>
        <w:rPr>
          <w:sz w:val="22"/>
          <w:szCs w:val="22"/>
        </w:rPr>
      </w:pPr>
      <w:r w:rsidRPr="009C5EFD">
        <w:rPr>
          <w:sz w:val="22"/>
          <w:szCs w:val="22"/>
        </w:rPr>
        <w:t>Ingen stigninger i ALAT ≥ 3 x ULN ble sett i fase 3 studier med Humira hos pediatriske pasienter med plakkpsoriasis.</w:t>
      </w:r>
    </w:p>
    <w:p w14:paraId="681C4619" w14:textId="77777777" w:rsidR="009E676E" w:rsidRPr="009C5EFD" w:rsidRDefault="009E676E" w:rsidP="009E676E">
      <w:pPr>
        <w:rPr>
          <w:sz w:val="22"/>
          <w:szCs w:val="22"/>
        </w:rPr>
      </w:pPr>
    </w:p>
    <w:p w14:paraId="1FBA1503" w14:textId="77777777" w:rsidR="009E676E" w:rsidRDefault="00E453CD" w:rsidP="009E676E">
      <w:pPr>
        <w:rPr>
          <w:sz w:val="22"/>
          <w:szCs w:val="22"/>
        </w:rPr>
      </w:pPr>
      <w:r w:rsidRPr="009C5EFD">
        <w:rPr>
          <w:sz w:val="22"/>
          <w:szCs w:val="22"/>
        </w:rPr>
        <w:t xml:space="preserve">I kontrollerte studier med Humira (startdoser på 160 mg ved uke 0 og 80 mg ved uke 2, etterfulgt av 40 mg hver uke </w:t>
      </w:r>
      <w:r w:rsidR="00EE0275">
        <w:rPr>
          <w:sz w:val="22"/>
          <w:szCs w:val="22"/>
        </w:rPr>
        <w:t>fra</w:t>
      </w:r>
      <w:r w:rsidRPr="009C5EFD">
        <w:rPr>
          <w:sz w:val="22"/>
          <w:szCs w:val="22"/>
        </w:rPr>
        <w:t xml:space="preserve"> uke 4) hos pasienter med hidrosadenitt med en kontrollperiode </w:t>
      </w:r>
      <w:r>
        <w:rPr>
          <w:sz w:val="22"/>
          <w:szCs w:val="22"/>
        </w:rPr>
        <w:t>mellom</w:t>
      </w:r>
      <w:r w:rsidRPr="009C5EFD">
        <w:rPr>
          <w:sz w:val="22"/>
          <w:szCs w:val="22"/>
        </w:rPr>
        <w:t xml:space="preserve"> 12 til 16 uker, oppstod stigninger i ALAT ≥ 3 x ULN hos 0,3 % av pasientene behandlet med Humira og hos 0,6 % av pasientene i kontrollgruppen.</w:t>
      </w:r>
    </w:p>
    <w:p w14:paraId="40C4C518" w14:textId="77777777" w:rsidR="009E676E" w:rsidRDefault="009E676E" w:rsidP="009E676E">
      <w:pPr>
        <w:rPr>
          <w:sz w:val="22"/>
          <w:szCs w:val="22"/>
        </w:rPr>
      </w:pPr>
    </w:p>
    <w:p w14:paraId="57C9FB9D" w14:textId="77777777" w:rsidR="009E676E" w:rsidRPr="009C5EFD" w:rsidRDefault="00E453CD" w:rsidP="009E676E">
      <w:pPr>
        <w:rPr>
          <w:sz w:val="22"/>
          <w:szCs w:val="22"/>
        </w:rPr>
      </w:pPr>
      <w:r w:rsidRPr="009C5EFD">
        <w:rPr>
          <w:sz w:val="22"/>
          <w:szCs w:val="22"/>
        </w:rPr>
        <w:t xml:space="preserve">I kontrollerte studier med Humira (startdoser på </w:t>
      </w:r>
      <w:r>
        <w:rPr>
          <w:sz w:val="22"/>
          <w:szCs w:val="22"/>
        </w:rPr>
        <w:t>8</w:t>
      </w:r>
      <w:r w:rsidRPr="009C5EFD">
        <w:rPr>
          <w:sz w:val="22"/>
          <w:szCs w:val="22"/>
        </w:rPr>
        <w:t xml:space="preserve">0 mg ved uke 0 </w:t>
      </w:r>
      <w:r>
        <w:rPr>
          <w:sz w:val="22"/>
          <w:szCs w:val="22"/>
        </w:rPr>
        <w:t>etterfulgt av</w:t>
      </w:r>
      <w:r w:rsidRPr="009C5EFD">
        <w:rPr>
          <w:sz w:val="22"/>
          <w:szCs w:val="22"/>
        </w:rPr>
        <w:t xml:space="preserve"> </w:t>
      </w:r>
      <w:r>
        <w:rPr>
          <w:sz w:val="22"/>
          <w:szCs w:val="22"/>
        </w:rPr>
        <w:t>4</w:t>
      </w:r>
      <w:r w:rsidRPr="009C5EFD">
        <w:rPr>
          <w:sz w:val="22"/>
          <w:szCs w:val="22"/>
        </w:rPr>
        <w:t xml:space="preserve">0 mg </w:t>
      </w:r>
      <w:r>
        <w:rPr>
          <w:sz w:val="22"/>
          <w:szCs w:val="22"/>
        </w:rPr>
        <w:t>annenhver</w:t>
      </w:r>
      <w:r w:rsidRPr="009C5EFD">
        <w:rPr>
          <w:sz w:val="22"/>
          <w:szCs w:val="22"/>
        </w:rPr>
        <w:t xml:space="preserve"> uke </w:t>
      </w:r>
      <w:r>
        <w:rPr>
          <w:sz w:val="22"/>
          <w:szCs w:val="22"/>
        </w:rPr>
        <w:t>fra og med uke 1</w:t>
      </w:r>
      <w:r w:rsidRPr="009C5EFD">
        <w:rPr>
          <w:sz w:val="22"/>
          <w:szCs w:val="22"/>
        </w:rPr>
        <w:t>) hos</w:t>
      </w:r>
      <w:r w:rsidR="00EC22C8">
        <w:rPr>
          <w:sz w:val="22"/>
          <w:szCs w:val="22"/>
        </w:rPr>
        <w:t xml:space="preserve"> voksne</w:t>
      </w:r>
      <w:r w:rsidRPr="009C5EFD">
        <w:rPr>
          <w:sz w:val="22"/>
          <w:szCs w:val="22"/>
        </w:rPr>
        <w:t xml:space="preserve"> pasienter med </w:t>
      </w:r>
      <w:r>
        <w:rPr>
          <w:sz w:val="22"/>
          <w:szCs w:val="22"/>
        </w:rPr>
        <w:t>uveitt opptil 80 uker, med en median eksponering på henholdsvis 166,5 dager og 105,0 dager hos pasienter behandlet med Humira og pasientene i kontrollgruppen</w:t>
      </w:r>
      <w:r w:rsidRPr="009C5EFD">
        <w:rPr>
          <w:sz w:val="22"/>
          <w:szCs w:val="22"/>
        </w:rPr>
        <w:t xml:space="preserve">, oppstod stigninger i ALAT ≥ 3 x ULN hos </w:t>
      </w:r>
      <w:r>
        <w:rPr>
          <w:sz w:val="22"/>
          <w:szCs w:val="22"/>
        </w:rPr>
        <w:t>2,4</w:t>
      </w:r>
      <w:r w:rsidRPr="009C5EFD">
        <w:rPr>
          <w:sz w:val="22"/>
          <w:szCs w:val="22"/>
        </w:rPr>
        <w:t xml:space="preserve"> % av pasientene behandlet med Humira og hos </w:t>
      </w:r>
      <w:r>
        <w:rPr>
          <w:sz w:val="22"/>
          <w:szCs w:val="22"/>
        </w:rPr>
        <w:t>2,4</w:t>
      </w:r>
      <w:r w:rsidRPr="009C5EFD">
        <w:rPr>
          <w:sz w:val="22"/>
          <w:szCs w:val="22"/>
        </w:rPr>
        <w:t xml:space="preserve"> % av pasientene i kontrollgruppen.</w:t>
      </w:r>
    </w:p>
    <w:p w14:paraId="7AC6A454" w14:textId="77777777" w:rsidR="009E676E" w:rsidRDefault="009E676E" w:rsidP="009E676E">
      <w:pPr>
        <w:rPr>
          <w:sz w:val="22"/>
          <w:szCs w:val="22"/>
        </w:rPr>
      </w:pPr>
    </w:p>
    <w:p w14:paraId="319B12BE" w14:textId="77777777" w:rsidR="0015674E" w:rsidRPr="00E04B2A" w:rsidRDefault="00E453CD" w:rsidP="0015674E">
      <w:pPr>
        <w:rPr>
          <w:sz w:val="22"/>
        </w:rPr>
      </w:pPr>
      <w:r w:rsidRPr="00E04B2A">
        <w:rPr>
          <w:rStyle w:val="normaltextrun"/>
          <w:sz w:val="22"/>
          <w:shd w:val="clear" w:color="auto" w:fill="FFFFFF"/>
        </w:rPr>
        <w:t>I den kontrollerte fase 3</w:t>
      </w:r>
      <w:r>
        <w:rPr>
          <w:rStyle w:val="normaltextrun"/>
          <w:sz w:val="22"/>
          <w:shd w:val="clear" w:color="auto" w:fill="FFFFFF"/>
        </w:rPr>
        <w:t xml:space="preserve"> </w:t>
      </w:r>
      <w:r w:rsidRPr="00E04B2A">
        <w:rPr>
          <w:rStyle w:val="normaltextrun"/>
          <w:sz w:val="22"/>
          <w:shd w:val="clear" w:color="auto" w:fill="FFFFFF"/>
        </w:rPr>
        <w:t xml:space="preserve">studien </w:t>
      </w:r>
      <w:r>
        <w:rPr>
          <w:rStyle w:val="normaltextrun"/>
          <w:sz w:val="22"/>
          <w:shd w:val="clear" w:color="auto" w:fill="FFFFFF"/>
        </w:rPr>
        <w:t>med</w:t>
      </w:r>
      <w:r w:rsidRPr="00E04B2A">
        <w:rPr>
          <w:rStyle w:val="normaltextrun"/>
          <w:sz w:val="22"/>
          <w:shd w:val="clear" w:color="auto" w:fill="FFFFFF"/>
        </w:rPr>
        <w:t xml:space="preserve"> Humira hos pasienter med pediatrisk ulcerøs kolitt (N = 93) som </w:t>
      </w:r>
      <w:r w:rsidR="006B250F">
        <w:rPr>
          <w:rStyle w:val="normaltextrun"/>
          <w:sz w:val="22"/>
          <w:shd w:val="clear" w:color="auto" w:fill="FFFFFF"/>
        </w:rPr>
        <w:t>vurderte</w:t>
      </w:r>
      <w:r w:rsidRPr="00E04B2A">
        <w:rPr>
          <w:rStyle w:val="normaltextrun"/>
          <w:sz w:val="22"/>
          <w:shd w:val="clear" w:color="auto" w:fill="FFFFFF"/>
        </w:rPr>
        <w:t xml:space="preserve"> effekt og sikkerhet av en vedlikeholdsdose på 0,6</w:t>
      </w:r>
      <w:r>
        <w:rPr>
          <w:rStyle w:val="normaltextrun"/>
          <w:sz w:val="22"/>
          <w:shd w:val="clear" w:color="auto" w:fill="FFFFFF"/>
        </w:rPr>
        <w:t> </w:t>
      </w:r>
      <w:r w:rsidRPr="00E04B2A">
        <w:rPr>
          <w:rStyle w:val="normaltextrun"/>
          <w:sz w:val="22"/>
          <w:shd w:val="clear" w:color="auto" w:fill="FFFFFF"/>
        </w:rPr>
        <w:t>mg/kg (maksimalt 40</w:t>
      </w:r>
      <w:r>
        <w:rPr>
          <w:rStyle w:val="normaltextrun"/>
          <w:sz w:val="22"/>
          <w:shd w:val="clear" w:color="auto" w:fill="FFFFFF"/>
        </w:rPr>
        <w:t> </w:t>
      </w:r>
      <w:r w:rsidRPr="00E04B2A">
        <w:rPr>
          <w:rStyle w:val="normaltextrun"/>
          <w:sz w:val="22"/>
          <w:shd w:val="clear" w:color="auto" w:fill="FFFFFF"/>
        </w:rPr>
        <w:t>mg) annenhver uke (N = 31) og en vedlikeholdsdose på 0,6</w:t>
      </w:r>
      <w:r>
        <w:rPr>
          <w:rStyle w:val="normaltextrun"/>
          <w:sz w:val="22"/>
          <w:shd w:val="clear" w:color="auto" w:fill="FFFFFF"/>
        </w:rPr>
        <w:t> </w:t>
      </w:r>
      <w:r w:rsidRPr="00E04B2A">
        <w:rPr>
          <w:rStyle w:val="normaltextrun"/>
          <w:sz w:val="22"/>
          <w:shd w:val="clear" w:color="auto" w:fill="FFFFFF"/>
        </w:rPr>
        <w:t>mg/kg (maksim</w:t>
      </w:r>
      <w:r>
        <w:rPr>
          <w:rStyle w:val="normaltextrun"/>
          <w:sz w:val="22"/>
          <w:shd w:val="clear" w:color="auto" w:fill="FFFFFF"/>
        </w:rPr>
        <w:t>alt</w:t>
      </w:r>
      <w:r w:rsidRPr="00E04B2A">
        <w:rPr>
          <w:rStyle w:val="normaltextrun"/>
          <w:sz w:val="22"/>
          <w:shd w:val="clear" w:color="auto" w:fill="FFFFFF"/>
        </w:rPr>
        <w:t xml:space="preserve"> 40</w:t>
      </w:r>
      <w:r>
        <w:rPr>
          <w:rStyle w:val="normaltextrun"/>
          <w:sz w:val="22"/>
          <w:shd w:val="clear" w:color="auto" w:fill="FFFFFF"/>
        </w:rPr>
        <w:t> </w:t>
      </w:r>
      <w:r w:rsidRPr="00E04B2A">
        <w:rPr>
          <w:rStyle w:val="normaltextrun"/>
          <w:sz w:val="22"/>
          <w:shd w:val="clear" w:color="auto" w:fill="FFFFFF"/>
        </w:rPr>
        <w:t>mg) hver uke (N = 32), etter kroppsvektjustert induksjonsdose på 2,4</w:t>
      </w:r>
      <w:r>
        <w:rPr>
          <w:rStyle w:val="normaltextrun"/>
          <w:sz w:val="22"/>
          <w:shd w:val="clear" w:color="auto" w:fill="FFFFFF"/>
        </w:rPr>
        <w:t> </w:t>
      </w:r>
      <w:r w:rsidRPr="00E04B2A">
        <w:rPr>
          <w:rStyle w:val="normaltextrun"/>
          <w:sz w:val="22"/>
          <w:shd w:val="clear" w:color="auto" w:fill="FFFFFF"/>
        </w:rPr>
        <w:t>mg/kg (maksim</w:t>
      </w:r>
      <w:r>
        <w:rPr>
          <w:rStyle w:val="normaltextrun"/>
          <w:sz w:val="22"/>
          <w:shd w:val="clear" w:color="auto" w:fill="FFFFFF"/>
        </w:rPr>
        <w:t>alt</w:t>
      </w:r>
      <w:r w:rsidRPr="00E04B2A">
        <w:rPr>
          <w:rStyle w:val="normaltextrun"/>
          <w:sz w:val="22"/>
          <w:shd w:val="clear" w:color="auto" w:fill="FFFFFF"/>
        </w:rPr>
        <w:t xml:space="preserve"> 160</w:t>
      </w:r>
      <w:r>
        <w:rPr>
          <w:rStyle w:val="normaltextrun"/>
          <w:sz w:val="22"/>
          <w:shd w:val="clear" w:color="auto" w:fill="FFFFFF"/>
        </w:rPr>
        <w:t> </w:t>
      </w:r>
      <w:r w:rsidRPr="00E04B2A">
        <w:rPr>
          <w:rStyle w:val="normaltextrun"/>
          <w:sz w:val="22"/>
          <w:shd w:val="clear" w:color="auto" w:fill="FFFFFF"/>
        </w:rPr>
        <w:t>mg) i uke 0 og uke 1 og 1,2</w:t>
      </w:r>
      <w:r>
        <w:rPr>
          <w:rStyle w:val="normaltextrun"/>
          <w:sz w:val="22"/>
          <w:shd w:val="clear" w:color="auto" w:fill="FFFFFF"/>
        </w:rPr>
        <w:t> </w:t>
      </w:r>
      <w:r w:rsidRPr="00E04B2A">
        <w:rPr>
          <w:rStyle w:val="normaltextrun"/>
          <w:sz w:val="22"/>
          <w:shd w:val="clear" w:color="auto" w:fill="FFFFFF"/>
        </w:rPr>
        <w:t>mg/kg (maksimalt 80</w:t>
      </w:r>
      <w:r>
        <w:rPr>
          <w:rStyle w:val="normaltextrun"/>
          <w:sz w:val="22"/>
          <w:shd w:val="clear" w:color="auto" w:fill="FFFFFF"/>
        </w:rPr>
        <w:t> </w:t>
      </w:r>
      <w:r w:rsidRPr="00E04B2A">
        <w:rPr>
          <w:rStyle w:val="normaltextrun"/>
          <w:sz w:val="22"/>
          <w:shd w:val="clear" w:color="auto" w:fill="FFFFFF"/>
        </w:rPr>
        <w:t>mg) i uke 2 (N = 63), eller en induksjonsdose på 2,4</w:t>
      </w:r>
      <w:r>
        <w:rPr>
          <w:rStyle w:val="normaltextrun"/>
          <w:sz w:val="22"/>
          <w:shd w:val="clear" w:color="auto" w:fill="FFFFFF"/>
        </w:rPr>
        <w:t> </w:t>
      </w:r>
      <w:r w:rsidRPr="00E04B2A">
        <w:rPr>
          <w:rStyle w:val="normaltextrun"/>
          <w:sz w:val="22"/>
          <w:shd w:val="clear" w:color="auto" w:fill="FFFFFF"/>
        </w:rPr>
        <w:t>mg/kg (maksim</w:t>
      </w:r>
      <w:r>
        <w:rPr>
          <w:rStyle w:val="normaltextrun"/>
          <w:sz w:val="22"/>
          <w:shd w:val="clear" w:color="auto" w:fill="FFFFFF"/>
        </w:rPr>
        <w:t>alt</w:t>
      </w:r>
      <w:r w:rsidRPr="00E04B2A">
        <w:rPr>
          <w:rStyle w:val="normaltextrun"/>
          <w:sz w:val="22"/>
          <w:shd w:val="clear" w:color="auto" w:fill="FFFFFF"/>
        </w:rPr>
        <w:t xml:space="preserve"> 160</w:t>
      </w:r>
      <w:r>
        <w:rPr>
          <w:rStyle w:val="normaltextrun"/>
          <w:sz w:val="22"/>
          <w:shd w:val="clear" w:color="auto" w:fill="FFFFFF"/>
        </w:rPr>
        <w:t> </w:t>
      </w:r>
      <w:r w:rsidRPr="00E04B2A">
        <w:rPr>
          <w:rStyle w:val="normaltextrun"/>
          <w:sz w:val="22"/>
          <w:shd w:val="clear" w:color="auto" w:fill="FFFFFF"/>
        </w:rPr>
        <w:t>mg) i uke 0, placebo i uke 1 og 1,2 mg/kg (maksim</w:t>
      </w:r>
      <w:r>
        <w:rPr>
          <w:rStyle w:val="normaltextrun"/>
          <w:sz w:val="22"/>
          <w:shd w:val="clear" w:color="auto" w:fill="FFFFFF"/>
        </w:rPr>
        <w:t>alt</w:t>
      </w:r>
      <w:r w:rsidRPr="00E04B2A">
        <w:rPr>
          <w:rStyle w:val="normaltextrun"/>
          <w:sz w:val="22"/>
          <w:shd w:val="clear" w:color="auto" w:fill="FFFFFF"/>
        </w:rPr>
        <w:t xml:space="preserve"> 80</w:t>
      </w:r>
      <w:r>
        <w:rPr>
          <w:rStyle w:val="normaltextrun"/>
          <w:sz w:val="22"/>
          <w:shd w:val="clear" w:color="auto" w:fill="FFFFFF"/>
        </w:rPr>
        <w:t> </w:t>
      </w:r>
      <w:r w:rsidRPr="00E04B2A">
        <w:rPr>
          <w:rStyle w:val="normaltextrun"/>
          <w:sz w:val="22"/>
          <w:shd w:val="clear" w:color="auto" w:fill="FFFFFF"/>
        </w:rPr>
        <w:t xml:space="preserve">mg) </w:t>
      </w:r>
      <w:r>
        <w:rPr>
          <w:rStyle w:val="normaltextrun"/>
          <w:sz w:val="22"/>
          <w:shd w:val="clear" w:color="auto" w:fill="FFFFFF"/>
        </w:rPr>
        <w:t>i</w:t>
      </w:r>
      <w:r w:rsidRPr="00E04B2A">
        <w:rPr>
          <w:rStyle w:val="normaltextrun"/>
          <w:sz w:val="22"/>
          <w:shd w:val="clear" w:color="auto" w:fill="FFFFFF"/>
        </w:rPr>
        <w:t xml:space="preserve"> uke 2 (N = 30), </w:t>
      </w:r>
      <w:r>
        <w:rPr>
          <w:rStyle w:val="normaltextrun"/>
          <w:sz w:val="22"/>
          <w:shd w:val="clear" w:color="auto" w:fill="FFFFFF"/>
        </w:rPr>
        <w:t>oppstod</w:t>
      </w:r>
      <w:r w:rsidRPr="00E04B2A">
        <w:rPr>
          <w:rStyle w:val="normaltextrun"/>
          <w:sz w:val="22"/>
          <w:shd w:val="clear" w:color="auto" w:fill="FFFFFF"/>
        </w:rPr>
        <w:t xml:space="preserve"> </w:t>
      </w:r>
      <w:r>
        <w:rPr>
          <w:rStyle w:val="normaltextrun"/>
          <w:sz w:val="22"/>
          <w:shd w:val="clear" w:color="auto" w:fill="FFFFFF"/>
        </w:rPr>
        <w:t xml:space="preserve">stigninger i </w:t>
      </w:r>
      <w:r w:rsidRPr="00E04B2A">
        <w:rPr>
          <w:rStyle w:val="normaltextrun"/>
          <w:sz w:val="22"/>
          <w:shd w:val="clear" w:color="auto" w:fill="FFFFFF"/>
        </w:rPr>
        <w:t>ALAT ≥</w:t>
      </w:r>
      <w:r>
        <w:rPr>
          <w:rStyle w:val="normaltextrun"/>
          <w:sz w:val="22"/>
          <w:shd w:val="clear" w:color="auto" w:fill="FFFFFF"/>
        </w:rPr>
        <w:t> </w:t>
      </w:r>
      <w:r w:rsidRPr="00E04B2A">
        <w:rPr>
          <w:rStyle w:val="normaltextrun"/>
          <w:sz w:val="22"/>
          <w:shd w:val="clear" w:color="auto" w:fill="FFFFFF"/>
        </w:rPr>
        <w:t>3</w:t>
      </w:r>
      <w:r>
        <w:rPr>
          <w:rStyle w:val="normaltextrun"/>
          <w:sz w:val="22"/>
          <w:shd w:val="clear" w:color="auto" w:fill="FFFFFF"/>
        </w:rPr>
        <w:t> </w:t>
      </w:r>
      <w:r w:rsidRPr="00E04B2A">
        <w:rPr>
          <w:rStyle w:val="normaltextrun"/>
          <w:sz w:val="22"/>
          <w:shd w:val="clear" w:color="auto" w:fill="FFFFFF"/>
        </w:rPr>
        <w:t xml:space="preserve"> </w:t>
      </w:r>
      <w:r>
        <w:rPr>
          <w:rStyle w:val="normaltextrun"/>
          <w:sz w:val="22"/>
          <w:shd w:val="clear" w:color="auto" w:fill="FFFFFF"/>
        </w:rPr>
        <w:t>x </w:t>
      </w:r>
      <w:r w:rsidRPr="00E04B2A">
        <w:rPr>
          <w:rStyle w:val="normaltextrun"/>
          <w:sz w:val="22"/>
          <w:shd w:val="clear" w:color="auto" w:fill="FFFFFF"/>
        </w:rPr>
        <w:t>ULN hos 1,1 % (1/93) av pasientene.</w:t>
      </w:r>
    </w:p>
    <w:p w14:paraId="252ACFFA" w14:textId="77777777" w:rsidR="003F5EAC" w:rsidRDefault="003F5EAC" w:rsidP="009E676E">
      <w:pPr>
        <w:rPr>
          <w:sz w:val="22"/>
          <w:szCs w:val="22"/>
        </w:rPr>
      </w:pPr>
    </w:p>
    <w:p w14:paraId="76797233" w14:textId="77777777" w:rsidR="009E676E" w:rsidRPr="009C5EFD" w:rsidRDefault="00E453CD" w:rsidP="009E676E">
      <w:pPr>
        <w:suppressAutoHyphens/>
        <w:rPr>
          <w:sz w:val="22"/>
          <w:szCs w:val="22"/>
        </w:rPr>
      </w:pPr>
      <w:r w:rsidRPr="009C5EFD">
        <w:rPr>
          <w:sz w:val="22"/>
          <w:szCs w:val="22"/>
        </w:rPr>
        <w:t>På tvers av alle indikasjoner i kliniske studier var pasienter med stigning i ALAT asymptomatiske, og i de fleste tilfeller var stigningene forbigående ved fortsatt behandling. Imidlertid har det også etter markedsføring vært rapportert leversvikt samt mindre alvorlige leversykdommer som kan oppstå før leversvikt, for eksempel hepatitt inkludert autoimmun hepatitt hos pasienter som får adalimumab.</w:t>
      </w:r>
    </w:p>
    <w:p w14:paraId="2C1EFA33" w14:textId="77777777" w:rsidR="009E676E" w:rsidRPr="009C5EFD" w:rsidRDefault="009E676E" w:rsidP="009E676E">
      <w:pPr>
        <w:suppressAutoHyphens/>
        <w:rPr>
          <w:sz w:val="22"/>
          <w:szCs w:val="22"/>
        </w:rPr>
      </w:pPr>
    </w:p>
    <w:p w14:paraId="3B71511E" w14:textId="77777777" w:rsidR="009E676E" w:rsidRPr="009C5EFD" w:rsidRDefault="00E453CD" w:rsidP="00776A84">
      <w:pPr>
        <w:keepNext/>
        <w:rPr>
          <w:sz w:val="22"/>
          <w:szCs w:val="22"/>
          <w:u w:val="single"/>
        </w:rPr>
      </w:pPr>
      <w:r w:rsidRPr="009C5EFD">
        <w:rPr>
          <w:sz w:val="22"/>
          <w:szCs w:val="22"/>
          <w:u w:val="single"/>
        </w:rPr>
        <w:t>Samtidig behandling med azatioprin/6-merkaptopurin</w:t>
      </w:r>
    </w:p>
    <w:p w14:paraId="0541B688" w14:textId="77777777" w:rsidR="009E676E" w:rsidRPr="009C5EFD" w:rsidRDefault="009E676E" w:rsidP="00776A84">
      <w:pPr>
        <w:keepNext/>
        <w:rPr>
          <w:sz w:val="22"/>
          <w:szCs w:val="22"/>
        </w:rPr>
      </w:pPr>
    </w:p>
    <w:p w14:paraId="45042F96" w14:textId="77777777" w:rsidR="009E676E" w:rsidRPr="009C5EFD" w:rsidRDefault="00E453CD" w:rsidP="009E676E">
      <w:pPr>
        <w:rPr>
          <w:sz w:val="22"/>
          <w:szCs w:val="22"/>
        </w:rPr>
      </w:pPr>
      <w:r w:rsidRPr="009C5EFD">
        <w:rPr>
          <w:sz w:val="22"/>
          <w:szCs w:val="22"/>
        </w:rPr>
        <w:t>I studier med Crohns sykdom hos voksne var forekomsten av maligne og alvorlige infeksjonsrelaterte bivirkninger høyere ved kombinasjon av Humira og azatioprin/6-merkaptopurin, sammenlignet med Humira alene.</w:t>
      </w:r>
    </w:p>
    <w:p w14:paraId="4CA25F77" w14:textId="77777777" w:rsidR="009E676E" w:rsidRPr="009C5EFD" w:rsidRDefault="009E676E" w:rsidP="009E676E">
      <w:pPr>
        <w:rPr>
          <w:sz w:val="22"/>
          <w:szCs w:val="22"/>
        </w:rPr>
      </w:pPr>
    </w:p>
    <w:p w14:paraId="0C352722" w14:textId="77777777" w:rsidR="009E676E" w:rsidRDefault="00E453CD" w:rsidP="00776A84">
      <w:pPr>
        <w:keepNext/>
        <w:rPr>
          <w:sz w:val="22"/>
          <w:u w:val="single"/>
        </w:rPr>
      </w:pPr>
      <w:r w:rsidRPr="00EE4677">
        <w:rPr>
          <w:sz w:val="22"/>
          <w:u w:val="single"/>
        </w:rPr>
        <w:t>Melding av mistenkte bivirkninger</w:t>
      </w:r>
    </w:p>
    <w:p w14:paraId="6E2B0117" w14:textId="77777777" w:rsidR="009E676E" w:rsidRPr="00460BE1" w:rsidRDefault="009E676E" w:rsidP="00776A84">
      <w:pPr>
        <w:keepNext/>
        <w:rPr>
          <w:sz w:val="22"/>
          <w:szCs w:val="22"/>
          <w:u w:val="single"/>
        </w:rPr>
      </w:pPr>
    </w:p>
    <w:p w14:paraId="02D5C2F9" w14:textId="77777777" w:rsidR="009E676E" w:rsidRPr="007F67EE" w:rsidRDefault="00E453CD" w:rsidP="009E676E">
      <w:pPr>
        <w:rPr>
          <w:sz w:val="22"/>
          <w:szCs w:val="22"/>
        </w:rPr>
      </w:pPr>
      <w:r w:rsidRPr="009C5EFD">
        <w:rPr>
          <w:sz w:val="22"/>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53198B">
        <w:rPr>
          <w:noProof/>
          <w:sz w:val="22"/>
          <w:szCs w:val="22"/>
          <w:highlight w:val="lightGray"/>
        </w:rPr>
        <w:t>det nasjonale meldesystemet som beskrevet i</w:t>
      </w:r>
      <w:r w:rsidRPr="0053198B">
        <w:rPr>
          <w:sz w:val="22"/>
          <w:szCs w:val="22"/>
          <w:highlight w:val="lightGray"/>
        </w:rPr>
        <w:t xml:space="preserve"> </w:t>
      </w:r>
      <w:hyperlink r:id="rId26" w:history="1">
        <w:r w:rsidR="009E676E" w:rsidRPr="0053198B">
          <w:rPr>
            <w:color w:val="0000FF"/>
            <w:sz w:val="22"/>
            <w:szCs w:val="22"/>
            <w:highlight w:val="lightGray"/>
            <w:u w:val="single"/>
          </w:rPr>
          <w:t>Appendix V</w:t>
        </w:r>
      </w:hyperlink>
      <w:r w:rsidRPr="0053198B">
        <w:rPr>
          <w:sz w:val="22"/>
          <w:szCs w:val="22"/>
          <w:highlight w:val="lightGray"/>
        </w:rPr>
        <w:t>.</w:t>
      </w:r>
    </w:p>
    <w:p w14:paraId="5DA5886C" w14:textId="77777777" w:rsidR="009E676E" w:rsidRPr="00193D76" w:rsidRDefault="009E676E" w:rsidP="009E676E">
      <w:pPr>
        <w:suppressAutoHyphens/>
        <w:rPr>
          <w:sz w:val="22"/>
          <w:szCs w:val="22"/>
        </w:rPr>
      </w:pPr>
    </w:p>
    <w:p w14:paraId="326F7965" w14:textId="77777777" w:rsidR="009E676E" w:rsidRPr="002D0790" w:rsidRDefault="00E453CD" w:rsidP="00602A37">
      <w:pPr>
        <w:keepNext/>
        <w:suppressAutoHyphens/>
        <w:ind w:left="576" w:hanging="576"/>
        <w:rPr>
          <w:sz w:val="22"/>
          <w:szCs w:val="22"/>
        </w:rPr>
      </w:pPr>
      <w:r w:rsidRPr="002D0790">
        <w:rPr>
          <w:b/>
          <w:sz w:val="22"/>
          <w:szCs w:val="22"/>
        </w:rPr>
        <w:t>4.9</w:t>
      </w:r>
      <w:r w:rsidRPr="002D0790">
        <w:rPr>
          <w:b/>
          <w:sz w:val="22"/>
          <w:szCs w:val="22"/>
        </w:rPr>
        <w:tab/>
        <w:t>Overdosering</w:t>
      </w:r>
    </w:p>
    <w:p w14:paraId="7990E038" w14:textId="77777777" w:rsidR="009E676E" w:rsidRPr="00E14E58" w:rsidRDefault="009E676E" w:rsidP="009E676E">
      <w:pPr>
        <w:keepNext/>
        <w:rPr>
          <w:sz w:val="22"/>
          <w:szCs w:val="22"/>
        </w:rPr>
      </w:pPr>
    </w:p>
    <w:p w14:paraId="45F6BDF4" w14:textId="77777777" w:rsidR="009E676E" w:rsidRPr="009C5EFD" w:rsidRDefault="00E453CD" w:rsidP="00776A84">
      <w:pPr>
        <w:rPr>
          <w:sz w:val="22"/>
          <w:szCs w:val="22"/>
        </w:rPr>
      </w:pPr>
      <w:r w:rsidRPr="009C5EFD">
        <w:rPr>
          <w:sz w:val="22"/>
          <w:szCs w:val="22"/>
        </w:rPr>
        <w:t>Det ble ikke observert dosebegrensende toksisitet under kliniske utprøvninger. Høyeste doseringsnivå som har vært undersøkt er multiple intravenøse doser på 10 mg/kg som er ca. 15 ganger større enn anbefalt dose.</w:t>
      </w:r>
    </w:p>
    <w:p w14:paraId="25E20BFD" w14:textId="77777777" w:rsidR="009E676E" w:rsidRPr="009C5EFD" w:rsidRDefault="009E676E" w:rsidP="009E676E">
      <w:pPr>
        <w:rPr>
          <w:sz w:val="22"/>
          <w:szCs w:val="22"/>
        </w:rPr>
      </w:pPr>
    </w:p>
    <w:p w14:paraId="6BF2B449" w14:textId="77777777" w:rsidR="009E676E" w:rsidRPr="009C5EFD" w:rsidRDefault="009E676E" w:rsidP="009E676E">
      <w:pPr>
        <w:rPr>
          <w:sz w:val="22"/>
          <w:szCs w:val="22"/>
        </w:rPr>
      </w:pPr>
    </w:p>
    <w:p w14:paraId="58FB4A61" w14:textId="77777777" w:rsidR="009E676E" w:rsidRPr="009C5EFD" w:rsidRDefault="00E453CD" w:rsidP="00776A84">
      <w:pPr>
        <w:keepNext/>
        <w:suppressAutoHyphens/>
        <w:ind w:left="567" w:hanging="567"/>
        <w:rPr>
          <w:sz w:val="22"/>
          <w:szCs w:val="22"/>
        </w:rPr>
      </w:pPr>
      <w:r w:rsidRPr="009C5EFD">
        <w:rPr>
          <w:b/>
          <w:sz w:val="22"/>
          <w:szCs w:val="22"/>
        </w:rPr>
        <w:t>5.</w:t>
      </w:r>
      <w:r w:rsidRPr="009C5EFD">
        <w:rPr>
          <w:b/>
          <w:sz w:val="22"/>
          <w:szCs w:val="22"/>
        </w:rPr>
        <w:tab/>
        <w:t>FARMAKOLOGISKE EGENSKAPER</w:t>
      </w:r>
    </w:p>
    <w:p w14:paraId="3B6160CD" w14:textId="77777777" w:rsidR="009E676E" w:rsidRPr="009C5EFD" w:rsidRDefault="009E676E" w:rsidP="00776A84">
      <w:pPr>
        <w:keepNext/>
        <w:rPr>
          <w:sz w:val="22"/>
          <w:szCs w:val="22"/>
        </w:rPr>
      </w:pPr>
    </w:p>
    <w:p w14:paraId="21CB7217" w14:textId="77777777" w:rsidR="009E676E" w:rsidRPr="009C5EFD" w:rsidRDefault="00E453CD" w:rsidP="00776A84">
      <w:pPr>
        <w:keepNext/>
        <w:suppressAutoHyphens/>
        <w:ind w:left="567" w:hanging="567"/>
        <w:rPr>
          <w:sz w:val="22"/>
          <w:szCs w:val="22"/>
        </w:rPr>
      </w:pPr>
      <w:r w:rsidRPr="009C5EFD">
        <w:rPr>
          <w:b/>
          <w:sz w:val="22"/>
          <w:szCs w:val="22"/>
        </w:rPr>
        <w:t>5.1</w:t>
      </w:r>
      <w:r w:rsidRPr="009C5EFD">
        <w:rPr>
          <w:b/>
          <w:sz w:val="22"/>
          <w:szCs w:val="22"/>
        </w:rPr>
        <w:tab/>
        <w:t>Farmakodynamiske egenskaper</w:t>
      </w:r>
    </w:p>
    <w:p w14:paraId="14E49920" w14:textId="77777777" w:rsidR="009E676E" w:rsidRPr="009C5EFD" w:rsidRDefault="009E676E" w:rsidP="00776A84">
      <w:pPr>
        <w:keepNext/>
        <w:rPr>
          <w:sz w:val="22"/>
          <w:szCs w:val="22"/>
        </w:rPr>
      </w:pPr>
    </w:p>
    <w:p w14:paraId="20D32004" w14:textId="77777777" w:rsidR="009E676E" w:rsidRPr="009C5EFD" w:rsidRDefault="00E453CD" w:rsidP="009E676E">
      <w:pPr>
        <w:suppressAutoHyphens/>
        <w:rPr>
          <w:sz w:val="22"/>
          <w:szCs w:val="22"/>
        </w:rPr>
      </w:pPr>
      <w:r w:rsidRPr="009C5EFD">
        <w:rPr>
          <w:sz w:val="22"/>
          <w:szCs w:val="22"/>
        </w:rPr>
        <w:t>Farmakoterapeutisk gruppe: Immunsuppressiv</w:t>
      </w:r>
      <w:r>
        <w:rPr>
          <w:sz w:val="22"/>
          <w:szCs w:val="22"/>
        </w:rPr>
        <w:t>a</w:t>
      </w:r>
      <w:r w:rsidRPr="009C5EFD">
        <w:rPr>
          <w:sz w:val="22"/>
          <w:szCs w:val="22"/>
        </w:rPr>
        <w:t xml:space="preserve">, tumornekrosefaktor alfa </w:t>
      </w:r>
      <w:r w:rsidRPr="009C5EFD">
        <w:t>(TNF-</w:t>
      </w:r>
      <w:r w:rsidRPr="009C5EFD">
        <w:rPr>
          <w:lang w:val="en-GB"/>
        </w:rPr>
        <w:t>α</w:t>
      </w:r>
      <w:r w:rsidRPr="009C5EFD">
        <w:t xml:space="preserve">)-hemmere. </w:t>
      </w:r>
      <w:r w:rsidRPr="009C5EFD">
        <w:rPr>
          <w:sz w:val="22"/>
          <w:szCs w:val="22"/>
        </w:rPr>
        <w:t>ATC-kode: L04AB04</w:t>
      </w:r>
    </w:p>
    <w:p w14:paraId="5E80068E" w14:textId="77777777" w:rsidR="009E676E" w:rsidRPr="009C5EFD" w:rsidRDefault="009E676E" w:rsidP="009E676E">
      <w:pPr>
        <w:suppressAutoHyphens/>
        <w:rPr>
          <w:sz w:val="22"/>
          <w:szCs w:val="22"/>
        </w:rPr>
      </w:pPr>
    </w:p>
    <w:p w14:paraId="70884BE7" w14:textId="77777777" w:rsidR="009E676E" w:rsidRPr="009C5EFD" w:rsidRDefault="00E453CD" w:rsidP="00661964">
      <w:pPr>
        <w:keepNext/>
        <w:suppressAutoHyphens/>
        <w:ind w:left="567" w:hanging="567"/>
        <w:rPr>
          <w:sz w:val="22"/>
          <w:szCs w:val="22"/>
          <w:u w:val="single"/>
        </w:rPr>
      </w:pPr>
      <w:r w:rsidRPr="009C5EFD">
        <w:rPr>
          <w:sz w:val="22"/>
          <w:szCs w:val="22"/>
          <w:u w:val="single"/>
        </w:rPr>
        <w:lastRenderedPageBreak/>
        <w:t>Virkningsmekanisme</w:t>
      </w:r>
    </w:p>
    <w:p w14:paraId="37D4C059" w14:textId="77777777" w:rsidR="009E676E" w:rsidRPr="009C5EFD" w:rsidRDefault="009E676E" w:rsidP="00661964">
      <w:pPr>
        <w:keepNext/>
        <w:suppressAutoHyphens/>
        <w:rPr>
          <w:sz w:val="22"/>
          <w:szCs w:val="22"/>
        </w:rPr>
      </w:pPr>
    </w:p>
    <w:p w14:paraId="77E3F1AB" w14:textId="77777777" w:rsidR="009E676E" w:rsidRPr="009C5EFD" w:rsidRDefault="00E453CD" w:rsidP="00776A84">
      <w:pPr>
        <w:suppressAutoHyphens/>
        <w:rPr>
          <w:sz w:val="22"/>
          <w:szCs w:val="22"/>
        </w:rPr>
      </w:pPr>
      <w:r w:rsidRPr="009C5EFD">
        <w:rPr>
          <w:sz w:val="22"/>
          <w:szCs w:val="22"/>
        </w:rPr>
        <w:t>Adalimumab binder seg spesifikt til TNF og nøytraliserer TNFs biologiske funksjon ved å blokkere interaksjonen med TNF-reseptorene p55 og p75 på celleoverflaten.</w:t>
      </w:r>
    </w:p>
    <w:p w14:paraId="7EBB1711" w14:textId="77777777" w:rsidR="009E676E" w:rsidRPr="009C5EFD" w:rsidRDefault="009E676E" w:rsidP="009E676E">
      <w:pPr>
        <w:suppressAutoHyphens/>
        <w:rPr>
          <w:sz w:val="22"/>
          <w:szCs w:val="22"/>
        </w:rPr>
      </w:pPr>
    </w:p>
    <w:p w14:paraId="6A70E162" w14:textId="77777777" w:rsidR="009E676E" w:rsidRPr="009C5EFD" w:rsidRDefault="00E453CD" w:rsidP="009E676E">
      <w:pPr>
        <w:suppressAutoHyphens/>
        <w:rPr>
          <w:sz w:val="22"/>
          <w:szCs w:val="22"/>
        </w:rPr>
      </w:pPr>
      <w:r w:rsidRPr="009C5EFD">
        <w:rPr>
          <w:sz w:val="22"/>
          <w:szCs w:val="22"/>
        </w:rPr>
        <w:t>Adalimumab modulerer også biologiske responser som induseres eller reguleres av TNF, deriblant endringer i mengden av adhesjonsmolekyler som er ansvarlig for leukocyttmigrasjonen (ELAM</w:t>
      </w:r>
      <w:r w:rsidRPr="009C5EFD">
        <w:rPr>
          <w:sz w:val="22"/>
          <w:szCs w:val="22"/>
        </w:rPr>
        <w:noBreakHyphen/>
        <w:t>1, VCAM-1 og ICAM-1 med en IC</w:t>
      </w:r>
      <w:r w:rsidRPr="009C5EFD">
        <w:rPr>
          <w:sz w:val="22"/>
          <w:szCs w:val="22"/>
          <w:vertAlign w:val="subscript"/>
        </w:rPr>
        <w:t>50</w:t>
      </w:r>
      <w:r w:rsidRPr="009C5EFD">
        <w:rPr>
          <w:sz w:val="22"/>
          <w:szCs w:val="22"/>
        </w:rPr>
        <w:t xml:space="preserve"> på 0,1-0,2 nM).</w:t>
      </w:r>
    </w:p>
    <w:p w14:paraId="07835056" w14:textId="77777777" w:rsidR="009E676E" w:rsidRPr="009C5EFD" w:rsidRDefault="009E676E" w:rsidP="009E676E">
      <w:pPr>
        <w:suppressAutoHyphens/>
        <w:rPr>
          <w:sz w:val="22"/>
          <w:szCs w:val="22"/>
        </w:rPr>
      </w:pPr>
    </w:p>
    <w:p w14:paraId="53AD9DA7" w14:textId="77777777" w:rsidR="009E676E" w:rsidRPr="009C5EFD" w:rsidRDefault="00E453CD" w:rsidP="009E676E">
      <w:pPr>
        <w:pStyle w:val="Heading8"/>
        <w:suppressAutoHyphens/>
        <w:rPr>
          <w:szCs w:val="22"/>
        </w:rPr>
      </w:pPr>
      <w:r w:rsidRPr="009C5EFD">
        <w:rPr>
          <w:szCs w:val="22"/>
        </w:rPr>
        <w:t>Farmakodynamiske effekter</w:t>
      </w:r>
    </w:p>
    <w:p w14:paraId="4685E22A" w14:textId="77777777" w:rsidR="009E676E" w:rsidRPr="009C5EFD" w:rsidRDefault="009E676E" w:rsidP="009E676E">
      <w:pPr>
        <w:keepNext/>
        <w:suppressAutoHyphens/>
        <w:rPr>
          <w:sz w:val="22"/>
          <w:szCs w:val="22"/>
        </w:rPr>
      </w:pPr>
    </w:p>
    <w:p w14:paraId="19423E93" w14:textId="77777777" w:rsidR="009E676E" w:rsidRPr="009C5EFD" w:rsidRDefault="00E453CD" w:rsidP="00776A84">
      <w:pPr>
        <w:suppressAutoHyphens/>
        <w:rPr>
          <w:sz w:val="22"/>
          <w:szCs w:val="22"/>
        </w:rPr>
      </w:pPr>
      <w:r w:rsidRPr="009C5EFD">
        <w:rPr>
          <w:sz w:val="22"/>
          <w:szCs w:val="22"/>
        </w:rPr>
        <w:t>Etter behandling med Humira, ble det hos pasienter med revmatoid artritt observert hurtig reduksjon i nivåene på akuttfase-reaktantene (C-reaktivt protein (CRP) og senkningsreaksjonen (SR)) og serumcytokinene (IL-6) sammenlignet med verdier ved oppstart. Serumnivåene til matri</w:t>
      </w:r>
      <w:r w:rsidR="00D67D8E">
        <w:rPr>
          <w:sz w:val="22"/>
          <w:szCs w:val="22"/>
        </w:rPr>
        <w:t>k</w:t>
      </w:r>
      <w:r w:rsidRPr="009C5EFD">
        <w:rPr>
          <w:sz w:val="22"/>
          <w:szCs w:val="22"/>
        </w:rPr>
        <w:t xml:space="preserve">s metalloproteinaser (MMP-1 og MMP-3) som forårsaker </w:t>
      </w:r>
      <w:r w:rsidRPr="009C5EFD">
        <w:rPr>
          <w:sz w:val="22"/>
        </w:rPr>
        <w:t>vevsremodelleringen</w:t>
      </w:r>
      <w:r w:rsidRPr="009C5EFD">
        <w:rPr>
          <w:sz w:val="22"/>
          <w:szCs w:val="22"/>
        </w:rPr>
        <w:t xml:space="preserve"> ansvarlig for bruskødeleggelse avtok også etter administrasjon av Humira. Pasienter behandlet med Humira opplevde vanligvis en bedring av disse hematologiske tegnene på kronisk inflammasjon.</w:t>
      </w:r>
    </w:p>
    <w:p w14:paraId="1D6754A9" w14:textId="77777777" w:rsidR="009E676E" w:rsidRPr="009C5EFD" w:rsidRDefault="009E676E" w:rsidP="009E676E">
      <w:pPr>
        <w:pStyle w:val="EndnoteText"/>
        <w:widowControl/>
        <w:tabs>
          <w:tab w:val="clear" w:pos="567"/>
        </w:tabs>
        <w:suppressAutoHyphens/>
        <w:rPr>
          <w:szCs w:val="22"/>
          <w:lang w:val="nb-NO"/>
        </w:rPr>
      </w:pPr>
    </w:p>
    <w:p w14:paraId="2027A745" w14:textId="77777777" w:rsidR="009E676E" w:rsidRPr="009C5EFD" w:rsidRDefault="00E453CD" w:rsidP="009E676E">
      <w:pPr>
        <w:pStyle w:val="EndnoteText"/>
        <w:widowControl/>
        <w:tabs>
          <w:tab w:val="clear" w:pos="567"/>
        </w:tabs>
        <w:suppressAutoHyphens/>
        <w:rPr>
          <w:szCs w:val="22"/>
          <w:lang w:val="nb-NO"/>
        </w:rPr>
      </w:pPr>
      <w:r w:rsidRPr="009C5EFD">
        <w:rPr>
          <w:lang w:val="nb-NO"/>
        </w:rPr>
        <w:t xml:space="preserve">En rask reduksjon i CRP-nivå ble også observert hos pasienter med polyartikulær juvenil idiopatisk artritt, Crohns sykdom, ulcerøs kolitt og hidrosadenitt etter behandling med Humira. </w:t>
      </w:r>
      <w:r w:rsidRPr="009C5EFD">
        <w:rPr>
          <w:szCs w:val="22"/>
          <w:lang w:val="nb-NO"/>
        </w:rPr>
        <w:t>Hos pasienter med Crohns sykdom ble en reduksjon i antall celler som uttrykker inflammasjonsmarkører i tykktarmen, inkludert en signifikant reduksjon i TNFα, observert. Endoskopiske studier i intestinal mukosa har vist slimhinnetilheling hos pasienter som ble behandlet med adalimumab.</w:t>
      </w:r>
    </w:p>
    <w:p w14:paraId="2C48CDAC" w14:textId="77777777" w:rsidR="009E676E" w:rsidRPr="009C5EFD" w:rsidRDefault="009E676E" w:rsidP="009E676E">
      <w:pPr>
        <w:pStyle w:val="EndnoteText"/>
        <w:widowControl/>
        <w:tabs>
          <w:tab w:val="clear" w:pos="567"/>
        </w:tabs>
        <w:suppressAutoHyphens/>
        <w:rPr>
          <w:szCs w:val="22"/>
          <w:lang w:val="nb-NO"/>
        </w:rPr>
      </w:pPr>
    </w:p>
    <w:p w14:paraId="0006FD87" w14:textId="77777777" w:rsidR="009E676E" w:rsidRPr="009C5EFD" w:rsidRDefault="00E453CD" w:rsidP="00776A84">
      <w:pPr>
        <w:pStyle w:val="EndnoteText"/>
        <w:keepNext/>
        <w:widowControl/>
        <w:tabs>
          <w:tab w:val="clear" w:pos="567"/>
        </w:tabs>
        <w:suppressAutoHyphens/>
        <w:rPr>
          <w:szCs w:val="22"/>
          <w:u w:val="single"/>
          <w:lang w:val="nb-NO"/>
        </w:rPr>
      </w:pPr>
      <w:r w:rsidRPr="009C5EFD">
        <w:rPr>
          <w:szCs w:val="22"/>
          <w:u w:val="single"/>
          <w:lang w:val="nb-NO"/>
        </w:rPr>
        <w:t>Klinisk effekt og sikkerhet</w:t>
      </w:r>
    </w:p>
    <w:p w14:paraId="2738E6CE" w14:textId="77777777" w:rsidR="009E676E" w:rsidRDefault="009E676E" w:rsidP="00776A84">
      <w:pPr>
        <w:pStyle w:val="EndnoteText"/>
        <w:keepNext/>
        <w:widowControl/>
        <w:tabs>
          <w:tab w:val="clear" w:pos="567"/>
        </w:tabs>
        <w:suppressAutoHyphens/>
        <w:rPr>
          <w:szCs w:val="22"/>
          <w:lang w:val="nb-NO"/>
        </w:rPr>
      </w:pPr>
    </w:p>
    <w:p w14:paraId="4CFB409B" w14:textId="77777777" w:rsidR="003B1129" w:rsidRPr="009C5EFD" w:rsidRDefault="00E453CD" w:rsidP="00776A84">
      <w:pPr>
        <w:pStyle w:val="EndnoteText"/>
        <w:keepNext/>
        <w:widowControl/>
        <w:tabs>
          <w:tab w:val="clear" w:pos="567"/>
          <w:tab w:val="left" w:pos="708"/>
        </w:tabs>
        <w:suppressAutoHyphens/>
        <w:rPr>
          <w:i/>
          <w:szCs w:val="22"/>
          <w:lang w:val="nb-NO"/>
        </w:rPr>
      </w:pPr>
      <w:r w:rsidRPr="009C5EFD">
        <w:rPr>
          <w:i/>
          <w:szCs w:val="22"/>
          <w:lang w:val="nb-NO"/>
        </w:rPr>
        <w:t>Revmatoid artritt</w:t>
      </w:r>
    </w:p>
    <w:p w14:paraId="5DEA64A1" w14:textId="77777777" w:rsidR="003B1129" w:rsidRPr="009C5EFD" w:rsidRDefault="003B1129" w:rsidP="00776A84">
      <w:pPr>
        <w:pStyle w:val="EndnoteText"/>
        <w:keepNext/>
        <w:widowControl/>
        <w:tabs>
          <w:tab w:val="clear" w:pos="567"/>
          <w:tab w:val="left" w:pos="708"/>
        </w:tabs>
        <w:suppressAutoHyphens/>
        <w:rPr>
          <w:szCs w:val="22"/>
          <w:lang w:val="nb-NO"/>
        </w:rPr>
      </w:pPr>
    </w:p>
    <w:p w14:paraId="04236B07" w14:textId="77777777" w:rsidR="003B1129" w:rsidRPr="009C5EFD" w:rsidRDefault="00E453CD" w:rsidP="003B1129">
      <w:pPr>
        <w:pStyle w:val="EndnoteText"/>
        <w:widowControl/>
        <w:tabs>
          <w:tab w:val="clear" w:pos="567"/>
          <w:tab w:val="left" w:pos="708"/>
        </w:tabs>
        <w:suppressAutoHyphens/>
        <w:rPr>
          <w:szCs w:val="22"/>
          <w:lang w:val="nb-NO"/>
        </w:rPr>
      </w:pPr>
      <w:r w:rsidRPr="009C5EFD">
        <w:rPr>
          <w:szCs w:val="22"/>
          <w:lang w:val="nb-NO"/>
        </w:rPr>
        <w:t xml:space="preserve">Humira </w:t>
      </w:r>
      <w:r w:rsidR="004C100E" w:rsidRPr="00E14E58">
        <w:rPr>
          <w:szCs w:val="22"/>
          <w:lang w:val="nb-NO"/>
        </w:rPr>
        <w:t>ble</w:t>
      </w:r>
      <w:r w:rsidR="004C100E" w:rsidRPr="009C5EFD">
        <w:rPr>
          <w:szCs w:val="22"/>
          <w:lang w:val="nb-NO"/>
        </w:rPr>
        <w:t xml:space="preserve"> </w:t>
      </w:r>
      <w:r w:rsidR="003D3CAB">
        <w:rPr>
          <w:szCs w:val="22"/>
        </w:rPr>
        <w:t>vurdert</w:t>
      </w:r>
      <w:r w:rsidR="004C100E" w:rsidRPr="009C5EFD">
        <w:rPr>
          <w:szCs w:val="22"/>
          <w:lang w:val="nb-NO"/>
        </w:rPr>
        <w:t xml:space="preserve"> </w:t>
      </w:r>
      <w:r w:rsidR="00173377">
        <w:rPr>
          <w:szCs w:val="22"/>
          <w:lang w:val="nb-NO"/>
        </w:rPr>
        <w:t>hos</w:t>
      </w:r>
      <w:r w:rsidRPr="009C5EFD">
        <w:rPr>
          <w:szCs w:val="22"/>
          <w:lang w:val="nb-NO"/>
        </w:rPr>
        <w:t xml:space="preserve"> mer enn 3000 pasienter </w:t>
      </w:r>
      <w:r w:rsidR="00173377">
        <w:rPr>
          <w:szCs w:val="22"/>
          <w:lang w:val="nb-NO"/>
        </w:rPr>
        <w:t>i alle kliniske studier på</w:t>
      </w:r>
      <w:r w:rsidRPr="009C5EFD">
        <w:rPr>
          <w:szCs w:val="22"/>
          <w:lang w:val="nb-NO"/>
        </w:rPr>
        <w:t xml:space="preserve"> revmatoid artritt. Effekt og sikkerhet av Humira ble utredet i fem randomiserte, dobbeltblinde og velkontrollerte studier. Enkelte pasienter fikk behandling som varte i inntil 120 måneder. Smerte</w:t>
      </w:r>
      <w:r>
        <w:rPr>
          <w:szCs w:val="22"/>
          <w:lang w:val="nb-NO"/>
        </w:rPr>
        <w:t>r</w:t>
      </w:r>
      <w:r w:rsidRPr="009C5EFD">
        <w:rPr>
          <w:szCs w:val="22"/>
          <w:lang w:val="nb-NO"/>
        </w:rPr>
        <w:t xml:space="preserve"> ved injeksjonsstedet forårsaket av Humira 40 mg/0,4 ml ble undersøkt i to randomiserte, aktivt kontrollerte, enkelt</w:t>
      </w:r>
      <w:r w:rsidR="005E64F3">
        <w:rPr>
          <w:szCs w:val="22"/>
          <w:lang w:val="nb-NO"/>
        </w:rPr>
        <w:t>blinde</w:t>
      </w:r>
      <w:r w:rsidRPr="009C5EFD">
        <w:rPr>
          <w:szCs w:val="22"/>
          <w:lang w:val="nb-NO"/>
        </w:rPr>
        <w:t xml:space="preserve">, </w:t>
      </w:r>
      <w:r w:rsidR="009359D2">
        <w:rPr>
          <w:szCs w:val="22"/>
          <w:lang w:val="nb-NO"/>
        </w:rPr>
        <w:t>«</w:t>
      </w:r>
      <w:r w:rsidRPr="009C5EFD">
        <w:rPr>
          <w:szCs w:val="22"/>
          <w:lang w:val="nb-NO"/>
        </w:rPr>
        <w:t>crossover</w:t>
      </w:r>
      <w:r w:rsidR="009359D2">
        <w:rPr>
          <w:szCs w:val="22"/>
          <w:lang w:val="nb-NO"/>
        </w:rPr>
        <w:t>»</w:t>
      </w:r>
      <w:r w:rsidRPr="009C5EFD">
        <w:rPr>
          <w:szCs w:val="22"/>
          <w:lang w:val="nb-NO"/>
        </w:rPr>
        <w:t xml:space="preserve"> studier som gikk over to perioder.</w:t>
      </w:r>
    </w:p>
    <w:p w14:paraId="5DCDACA7" w14:textId="77777777" w:rsidR="003B1129" w:rsidRPr="009C5EFD" w:rsidRDefault="003B1129" w:rsidP="003B1129">
      <w:pPr>
        <w:pStyle w:val="EndnoteText"/>
        <w:widowControl/>
        <w:tabs>
          <w:tab w:val="clear" w:pos="567"/>
          <w:tab w:val="left" w:pos="708"/>
        </w:tabs>
        <w:suppressAutoHyphens/>
        <w:rPr>
          <w:szCs w:val="22"/>
          <w:lang w:val="nb-NO"/>
        </w:rPr>
      </w:pPr>
    </w:p>
    <w:p w14:paraId="36657CF4" w14:textId="77777777" w:rsidR="003B1129" w:rsidRPr="009C5EFD" w:rsidRDefault="00E453CD" w:rsidP="003B1129">
      <w:pPr>
        <w:pStyle w:val="EndnoteText"/>
        <w:widowControl/>
        <w:tabs>
          <w:tab w:val="clear" w:pos="567"/>
          <w:tab w:val="left" w:pos="708"/>
        </w:tabs>
        <w:suppressAutoHyphens/>
        <w:rPr>
          <w:szCs w:val="22"/>
          <w:lang w:val="nb-NO"/>
        </w:rPr>
      </w:pPr>
      <w:r w:rsidRPr="009C5EFD">
        <w:rPr>
          <w:szCs w:val="22"/>
          <w:lang w:val="nb-NO"/>
        </w:rPr>
        <w:t xml:space="preserve">RA-studie I </w:t>
      </w:r>
      <w:r w:rsidR="003D3CAB">
        <w:rPr>
          <w:szCs w:val="22"/>
        </w:rPr>
        <w:t>vurderte</w:t>
      </w:r>
      <w:r w:rsidRPr="009C5EFD">
        <w:rPr>
          <w:szCs w:val="22"/>
          <w:lang w:val="nb-NO"/>
        </w:rPr>
        <w:t xml:space="preserve"> 271 pasienter med moderat til </w:t>
      </w:r>
      <w:r w:rsidR="00021903">
        <w:rPr>
          <w:szCs w:val="22"/>
          <w:lang w:val="nb-NO"/>
        </w:rPr>
        <w:t>alvorlig</w:t>
      </w:r>
      <w:r w:rsidRPr="009C5EFD">
        <w:rPr>
          <w:szCs w:val="22"/>
          <w:lang w:val="nb-NO"/>
        </w:rPr>
        <w:t xml:space="preserve"> aktiv revmatoid artritt som var ≥ 18 år, hvor behandlingen hadde mislyktes med minst ett sykdomsmodifiserende antirevmatisk legemiddel, hvor metotreksatdoser på 12,5 til 25 mg (10 mg ved metotreksatintoleranse) i uken ikke hadde hatt tilstrekkelig effekt, og hvor metotreksatdosen ble holdt konstant på 10 til 25 mg i uken. Doser på 20, 40 eller 80 mg Humira eller placebo ble gitt annenhver uke i 24 uker.</w:t>
      </w:r>
    </w:p>
    <w:p w14:paraId="6E7760E6" w14:textId="77777777" w:rsidR="003B1129" w:rsidRPr="009C5EFD" w:rsidRDefault="003B1129" w:rsidP="003B1129">
      <w:pPr>
        <w:pStyle w:val="EndnoteText"/>
        <w:widowControl/>
        <w:tabs>
          <w:tab w:val="clear" w:pos="567"/>
          <w:tab w:val="left" w:pos="708"/>
        </w:tabs>
        <w:suppressAutoHyphens/>
        <w:rPr>
          <w:szCs w:val="22"/>
          <w:lang w:val="nb-NO"/>
        </w:rPr>
      </w:pPr>
    </w:p>
    <w:p w14:paraId="74CD4399" w14:textId="77777777" w:rsidR="003B1129" w:rsidRPr="009C5EFD" w:rsidRDefault="00E453CD" w:rsidP="003B1129">
      <w:pPr>
        <w:pStyle w:val="EndnoteText"/>
        <w:widowControl/>
        <w:tabs>
          <w:tab w:val="clear" w:pos="567"/>
          <w:tab w:val="left" w:pos="708"/>
        </w:tabs>
        <w:suppressAutoHyphens/>
        <w:rPr>
          <w:szCs w:val="22"/>
          <w:lang w:val="nb-NO"/>
        </w:rPr>
      </w:pPr>
      <w:r w:rsidRPr="009C5EFD">
        <w:rPr>
          <w:szCs w:val="22"/>
          <w:lang w:val="nb-NO"/>
        </w:rPr>
        <w:t xml:space="preserve">RA-studie II </w:t>
      </w:r>
      <w:r w:rsidR="003D3CAB">
        <w:rPr>
          <w:szCs w:val="22"/>
        </w:rPr>
        <w:t>vurderte</w:t>
      </w:r>
      <w:r w:rsidR="006D6C62">
        <w:rPr>
          <w:szCs w:val="22"/>
          <w:lang w:val="nb-NO"/>
        </w:rPr>
        <w:t xml:space="preserve"> </w:t>
      </w:r>
      <w:r w:rsidRPr="009C5EFD">
        <w:rPr>
          <w:szCs w:val="22"/>
          <w:lang w:val="nb-NO"/>
        </w:rPr>
        <w:t xml:space="preserve">544 pasienter med moderat til </w:t>
      </w:r>
      <w:r w:rsidR="00021903">
        <w:rPr>
          <w:szCs w:val="22"/>
          <w:lang w:val="nb-NO"/>
        </w:rPr>
        <w:t>alvorlig</w:t>
      </w:r>
      <w:r w:rsidRPr="009C5EFD">
        <w:rPr>
          <w:szCs w:val="22"/>
          <w:lang w:val="nb-NO"/>
        </w:rPr>
        <w:t xml:space="preserve"> aktiv revmatoid artritt som var ≥ 18 år, hvor behandlingen hadde mislyktes med minst ett sykdomsmodifiserende antirevmatisk legemiddel. Doser på 20 og 40 mg Humira ble gitt subkutant annen</w:t>
      </w:r>
      <w:r w:rsidR="006D6C62">
        <w:rPr>
          <w:szCs w:val="22"/>
          <w:lang w:val="nb-NO"/>
        </w:rPr>
        <w:t>hver</w:t>
      </w:r>
      <w:r w:rsidRPr="009C5EFD">
        <w:rPr>
          <w:szCs w:val="22"/>
          <w:lang w:val="nb-NO"/>
        </w:rPr>
        <w:t xml:space="preserve"> uke med placebo i de mellomliggende ukene, eller hver uke i 26 uker; placebo ble gitt hver uke av samme varighet. Andre sykdomsmodifiserende antirevmatiske legemidler var ikke tillatt.</w:t>
      </w:r>
    </w:p>
    <w:p w14:paraId="01A74217" w14:textId="77777777" w:rsidR="003B1129" w:rsidRPr="009C5EFD" w:rsidRDefault="003B1129" w:rsidP="003B1129">
      <w:pPr>
        <w:pStyle w:val="EndnoteText"/>
        <w:widowControl/>
        <w:tabs>
          <w:tab w:val="clear" w:pos="567"/>
          <w:tab w:val="left" w:pos="708"/>
        </w:tabs>
        <w:suppressAutoHyphens/>
        <w:rPr>
          <w:szCs w:val="22"/>
          <w:lang w:val="nb-NO"/>
        </w:rPr>
      </w:pPr>
    </w:p>
    <w:p w14:paraId="089F296D" w14:textId="77777777" w:rsidR="003B1129" w:rsidRPr="009C5EFD" w:rsidRDefault="00E453CD" w:rsidP="003B1129">
      <w:pPr>
        <w:pStyle w:val="EndnoteText"/>
        <w:widowControl/>
        <w:tabs>
          <w:tab w:val="clear" w:pos="567"/>
          <w:tab w:val="left" w:pos="708"/>
        </w:tabs>
        <w:suppressAutoHyphens/>
        <w:rPr>
          <w:szCs w:val="22"/>
          <w:lang w:val="nb-NO"/>
        </w:rPr>
      </w:pPr>
      <w:r w:rsidRPr="009C5EFD">
        <w:rPr>
          <w:szCs w:val="22"/>
          <w:lang w:val="nb-NO"/>
        </w:rPr>
        <w:t xml:space="preserve">RA-studie III </w:t>
      </w:r>
      <w:r w:rsidR="003D3CAB">
        <w:rPr>
          <w:szCs w:val="22"/>
        </w:rPr>
        <w:t>vurderte</w:t>
      </w:r>
      <w:r w:rsidRPr="009C5EFD">
        <w:rPr>
          <w:szCs w:val="22"/>
          <w:lang w:val="nb-NO"/>
        </w:rPr>
        <w:t xml:space="preserve"> 619 pasienter med moderat til </w:t>
      </w:r>
      <w:r w:rsidR="00021903">
        <w:rPr>
          <w:szCs w:val="22"/>
          <w:lang w:val="nb-NO"/>
        </w:rPr>
        <w:t>alvorlig</w:t>
      </w:r>
      <w:r w:rsidRPr="009C5EFD">
        <w:rPr>
          <w:szCs w:val="22"/>
          <w:lang w:val="nb-NO"/>
        </w:rPr>
        <w:t xml:space="preserve"> aktiv revmatoid artritt som var ≥ 18 år og som hadde en ineffektiv respons på metotreksat ved doser mellom 12,5 til 25 mg eller var intolerante overfor 10 mg metotreksat hver uke. I denne studien var det tre grupper. Den første fikk placebo-injeksjoner hver uke i 52 uker. Den andre fikk 20 mg Humira hver uke i 52 uker. Den tredje gruppen fikk 40 mg Humira annenhver uke med placebo-injeksjoner i de mellomliggende ukene. Etter avslutning av de første 52 uker ble 457 pasienter inkludert i en åpen oppfølgingsstudie hvor det ble gitt 40 mg Humira/MTX annenhver uke i inntil 10 år.</w:t>
      </w:r>
    </w:p>
    <w:p w14:paraId="5D04EF7F" w14:textId="77777777" w:rsidR="003B1129" w:rsidRPr="009C5EFD" w:rsidRDefault="003B1129" w:rsidP="003B1129">
      <w:pPr>
        <w:rPr>
          <w:sz w:val="22"/>
          <w:szCs w:val="22"/>
        </w:rPr>
      </w:pPr>
    </w:p>
    <w:p w14:paraId="2164C99F" w14:textId="77777777" w:rsidR="003B1129" w:rsidRPr="009C5EFD" w:rsidRDefault="00E453CD" w:rsidP="003B1129">
      <w:pPr>
        <w:rPr>
          <w:sz w:val="22"/>
          <w:szCs w:val="22"/>
        </w:rPr>
      </w:pPr>
      <w:r w:rsidRPr="009C5EFD">
        <w:rPr>
          <w:sz w:val="22"/>
          <w:szCs w:val="22"/>
        </w:rPr>
        <w:t xml:space="preserve">RA-studie IV utredet først og fremst sikkerhet hos 636 pasienter med moderat til </w:t>
      </w:r>
      <w:r w:rsidR="00021903">
        <w:rPr>
          <w:sz w:val="22"/>
          <w:szCs w:val="22"/>
        </w:rPr>
        <w:t>alvorlig</w:t>
      </w:r>
      <w:r w:rsidRPr="009C5EFD">
        <w:rPr>
          <w:sz w:val="22"/>
          <w:szCs w:val="22"/>
        </w:rPr>
        <w:t xml:space="preserve"> aktiv revmatoid artritt og som var </w:t>
      </w:r>
      <w:r w:rsidRPr="009C5EFD">
        <w:rPr>
          <w:szCs w:val="22"/>
        </w:rPr>
        <w:t>≥ </w:t>
      </w:r>
      <w:r w:rsidRPr="009C5EFD">
        <w:rPr>
          <w:sz w:val="22"/>
          <w:szCs w:val="22"/>
        </w:rPr>
        <w:t xml:space="preserve">18 år. Pasientene hadde enten aldri brukt sykdomsmodifiserende, antirevmatiske midler eller de </w:t>
      </w:r>
      <w:r w:rsidRPr="009C5EFD">
        <w:rPr>
          <w:sz w:val="22"/>
        </w:rPr>
        <w:t>fortsatte</w:t>
      </w:r>
      <w:r w:rsidRPr="009C5EFD">
        <w:rPr>
          <w:sz w:val="22"/>
          <w:szCs w:val="22"/>
        </w:rPr>
        <w:t xml:space="preserve"> med den revmatologiske behandling som allerede var innledet, </w:t>
      </w:r>
      <w:r w:rsidRPr="009C5EFD">
        <w:rPr>
          <w:sz w:val="22"/>
          <w:szCs w:val="22"/>
        </w:rPr>
        <w:lastRenderedPageBreak/>
        <w:t>forutsatt at behandlingen hadde vært stabil i minst 28 dager. Disse legemidlene inkluderer metotreksat, leflunomid, hydroksyklorokin, sulfasalazin og/eller gullsalter. Pasientene ble randomisert til behandling med enten 40 mg Humira eller placebo annenhver uke i 24 uker.</w:t>
      </w:r>
    </w:p>
    <w:p w14:paraId="329798E7" w14:textId="77777777" w:rsidR="003B1129" w:rsidRPr="009C5EFD" w:rsidRDefault="003B1129" w:rsidP="003B1129">
      <w:pPr>
        <w:rPr>
          <w:sz w:val="22"/>
          <w:szCs w:val="22"/>
        </w:rPr>
      </w:pPr>
    </w:p>
    <w:p w14:paraId="7CD19BF9" w14:textId="77777777" w:rsidR="003B1129" w:rsidRPr="009C5EFD" w:rsidRDefault="00E453CD" w:rsidP="003B1129">
      <w:pPr>
        <w:rPr>
          <w:sz w:val="22"/>
          <w:szCs w:val="22"/>
        </w:rPr>
      </w:pPr>
      <w:r w:rsidRPr="009C5EFD">
        <w:rPr>
          <w:sz w:val="22"/>
          <w:szCs w:val="22"/>
        </w:rPr>
        <w:t xml:space="preserve">RA-studie V </w:t>
      </w:r>
      <w:r w:rsidR="003D3CAB">
        <w:rPr>
          <w:sz w:val="22"/>
          <w:szCs w:val="22"/>
        </w:rPr>
        <w:t>vurderte</w:t>
      </w:r>
      <w:r w:rsidRPr="009C5EFD">
        <w:rPr>
          <w:sz w:val="22"/>
          <w:szCs w:val="22"/>
        </w:rPr>
        <w:t xml:space="preserve"> 799</w:t>
      </w:r>
      <w:r w:rsidR="00E55A21">
        <w:rPr>
          <w:sz w:val="22"/>
          <w:szCs w:val="22"/>
        </w:rPr>
        <w:t> </w:t>
      </w:r>
      <w:r w:rsidRPr="009C5EFD">
        <w:rPr>
          <w:sz w:val="22"/>
          <w:szCs w:val="22"/>
        </w:rPr>
        <w:t xml:space="preserve">voksne pasienter med moderat til alvorlig aktiv tidlig revmatoid artritt, som ikke hadde fått metotreksat tidligere (gjennomsnittlig sykdomsvarighet mindre enn 9 måneder). Denne studien </w:t>
      </w:r>
      <w:r w:rsidR="006B250F">
        <w:rPr>
          <w:sz w:val="22"/>
          <w:szCs w:val="22"/>
        </w:rPr>
        <w:t>vurderte</w:t>
      </w:r>
      <w:r w:rsidRPr="009C5EFD">
        <w:rPr>
          <w:sz w:val="22"/>
          <w:szCs w:val="22"/>
        </w:rPr>
        <w:t xml:space="preserve"> effekten av kombinasjonsbehandling Humira 40 mg annen</w:t>
      </w:r>
      <w:r w:rsidR="00994487">
        <w:rPr>
          <w:sz w:val="22"/>
          <w:szCs w:val="22"/>
        </w:rPr>
        <w:t>hver</w:t>
      </w:r>
      <w:r w:rsidRPr="009C5EFD">
        <w:rPr>
          <w:sz w:val="22"/>
          <w:szCs w:val="22"/>
        </w:rPr>
        <w:t xml:space="preserve"> uke/metotreksat, Humira 40 mg annen</w:t>
      </w:r>
      <w:r w:rsidR="00994487">
        <w:rPr>
          <w:sz w:val="22"/>
          <w:szCs w:val="22"/>
        </w:rPr>
        <w:t>hver</w:t>
      </w:r>
      <w:r w:rsidRPr="009C5EFD">
        <w:rPr>
          <w:sz w:val="22"/>
          <w:szCs w:val="22"/>
        </w:rPr>
        <w:t xml:space="preserve"> uke i monoterapi og metotreksat monoterapi, på reduksjon av tegn og symptomer og grad av progresjon i leddskade ved revmatoid artritt i 104 uker.</w:t>
      </w:r>
      <w:r>
        <w:rPr>
          <w:sz w:val="22"/>
          <w:szCs w:val="22"/>
        </w:rPr>
        <w:t xml:space="preserve"> Etter avslutning av de første 104</w:t>
      </w:r>
      <w:r w:rsidR="00994487">
        <w:rPr>
          <w:sz w:val="22"/>
          <w:szCs w:val="22"/>
        </w:rPr>
        <w:t> </w:t>
      </w:r>
      <w:r>
        <w:rPr>
          <w:sz w:val="22"/>
          <w:szCs w:val="22"/>
        </w:rPr>
        <w:t>ukene, ble 497</w:t>
      </w:r>
      <w:r w:rsidR="00994487">
        <w:rPr>
          <w:sz w:val="22"/>
          <w:szCs w:val="22"/>
        </w:rPr>
        <w:t> </w:t>
      </w:r>
      <w:r>
        <w:rPr>
          <w:sz w:val="22"/>
          <w:szCs w:val="22"/>
        </w:rPr>
        <w:t>pasienter inkludert i en åpen forlengelsesfase hvor Humira 40</w:t>
      </w:r>
      <w:r w:rsidR="00994487">
        <w:rPr>
          <w:sz w:val="22"/>
          <w:szCs w:val="22"/>
        </w:rPr>
        <w:t> </w:t>
      </w:r>
      <w:r>
        <w:rPr>
          <w:sz w:val="22"/>
          <w:szCs w:val="22"/>
        </w:rPr>
        <w:t>mg ble gitt annenhver uke i opptil 10</w:t>
      </w:r>
      <w:r w:rsidR="00994487">
        <w:rPr>
          <w:sz w:val="22"/>
          <w:szCs w:val="22"/>
        </w:rPr>
        <w:t> </w:t>
      </w:r>
      <w:r>
        <w:rPr>
          <w:sz w:val="22"/>
          <w:szCs w:val="22"/>
        </w:rPr>
        <w:t>år.</w:t>
      </w:r>
    </w:p>
    <w:p w14:paraId="1059994B" w14:textId="77777777" w:rsidR="003B1129" w:rsidRPr="009C5EFD" w:rsidRDefault="003B1129" w:rsidP="003B1129">
      <w:pPr>
        <w:rPr>
          <w:sz w:val="22"/>
          <w:szCs w:val="22"/>
        </w:rPr>
      </w:pPr>
    </w:p>
    <w:p w14:paraId="585A9335" w14:textId="77777777" w:rsidR="003B1129" w:rsidRPr="009C5EFD" w:rsidRDefault="00E453CD" w:rsidP="003B1129">
      <w:pPr>
        <w:rPr>
          <w:sz w:val="22"/>
          <w:szCs w:val="22"/>
        </w:rPr>
      </w:pPr>
      <w:r w:rsidRPr="009C5EFD">
        <w:rPr>
          <w:sz w:val="22"/>
          <w:szCs w:val="22"/>
        </w:rPr>
        <w:t xml:space="preserve">RA-studier VI og VII </w:t>
      </w:r>
      <w:r w:rsidR="003D3CAB">
        <w:rPr>
          <w:sz w:val="22"/>
          <w:szCs w:val="22"/>
        </w:rPr>
        <w:t>vurderte</w:t>
      </w:r>
      <w:r w:rsidRPr="009C5EFD">
        <w:rPr>
          <w:sz w:val="22"/>
          <w:szCs w:val="22"/>
        </w:rPr>
        <w:t xml:space="preserve"> 60 pasienter hver med moderat til </w:t>
      </w:r>
      <w:r w:rsidR="00021903">
        <w:rPr>
          <w:sz w:val="22"/>
          <w:szCs w:val="22"/>
        </w:rPr>
        <w:t>alvorlig</w:t>
      </w:r>
      <w:r w:rsidRPr="009C5EFD">
        <w:rPr>
          <w:sz w:val="22"/>
          <w:szCs w:val="22"/>
        </w:rPr>
        <w:t xml:space="preserve"> aktiv revmatoid artritt og som var </w:t>
      </w:r>
      <w:r w:rsidRPr="00776A84">
        <w:rPr>
          <w:sz w:val="22"/>
          <w:szCs w:val="22"/>
        </w:rPr>
        <w:t>≥ </w:t>
      </w:r>
      <w:r w:rsidRPr="007866C9">
        <w:rPr>
          <w:sz w:val="22"/>
          <w:szCs w:val="22"/>
        </w:rPr>
        <w:t>18 år</w:t>
      </w:r>
      <w:r w:rsidRPr="009C5EFD">
        <w:rPr>
          <w:sz w:val="22"/>
          <w:szCs w:val="22"/>
        </w:rPr>
        <w:t>. Inkluderte pasienter var enten nåværende brukere av Humira 40 mg/0,8 ml og som rangerte den gjennomsnittlige smerten ved injeksjonsstedet til minst 3 cm (på en 0-10 cm VAS) eller pasienter som var naive til biologiske legemidler når de startet med Humira 40 mg/0,8 ml. Pasienter ble randomisert til å få en enkelt dose Humira 40 mg/0,8 ml eller Humira 40 mg/0,4 ml, etterfulgt av en enkeltinjeksjon med den motsatte behandlingen ved den neste dosen.</w:t>
      </w:r>
    </w:p>
    <w:p w14:paraId="25CE449A" w14:textId="77777777" w:rsidR="003B1129" w:rsidRPr="009C5EFD" w:rsidRDefault="003B1129" w:rsidP="003B1129">
      <w:pPr>
        <w:rPr>
          <w:sz w:val="22"/>
          <w:szCs w:val="22"/>
        </w:rPr>
      </w:pPr>
    </w:p>
    <w:p w14:paraId="752A9472" w14:textId="77777777" w:rsidR="003B1129" w:rsidRPr="009C5EFD" w:rsidRDefault="00E453CD" w:rsidP="003B1129">
      <w:pPr>
        <w:rPr>
          <w:sz w:val="22"/>
          <w:szCs w:val="22"/>
        </w:rPr>
      </w:pPr>
      <w:r w:rsidRPr="009C5EFD">
        <w:rPr>
          <w:sz w:val="22"/>
          <w:szCs w:val="22"/>
        </w:rPr>
        <w:t xml:space="preserve">Det primære endepunkt i RA-studiene I, II og III og det sekundære endepunkt i RA-studie IV var prosentandelen av pasientene som oppnådde en ACR (American College of Rheumatology) 20-respons ved uke 24 eller 26. Primært endepunkt i RA-studie V var andel pasienter som oppnådde ACR 50-respons ved uke 52. RA-studiene III og V hadde i tillegg et primært endepunkt ved uke 52 som gjaldt forsinkelse av sykdomsprogresjon (vurdert på grunnlag av røntgenundersøkelse). RA-studie III hadde også forandringer i livskvalitet som et primært endepunkt. Det primære endepunktet i RA-studiene VI og VII var smerter ved injeksjonsstedet </w:t>
      </w:r>
      <w:r w:rsidR="00994487">
        <w:rPr>
          <w:sz w:val="22"/>
          <w:szCs w:val="22"/>
        </w:rPr>
        <w:t xml:space="preserve">umiddelbart etter injeksjon </w:t>
      </w:r>
      <w:r w:rsidRPr="009C5EFD">
        <w:rPr>
          <w:sz w:val="22"/>
          <w:szCs w:val="22"/>
        </w:rPr>
        <w:t>som målt ved 0-10 cm VAS.</w:t>
      </w:r>
    </w:p>
    <w:p w14:paraId="7D8DC4B5" w14:textId="77777777" w:rsidR="003B1129" w:rsidRPr="009C5EFD" w:rsidRDefault="003B1129" w:rsidP="003B1129">
      <w:pPr>
        <w:pStyle w:val="Heading8"/>
        <w:keepNext w:val="0"/>
        <w:rPr>
          <w:szCs w:val="22"/>
        </w:rPr>
      </w:pPr>
    </w:p>
    <w:p w14:paraId="42C05827" w14:textId="77777777" w:rsidR="003B1129" w:rsidRPr="009C5EFD" w:rsidRDefault="00E453CD" w:rsidP="00776A84">
      <w:pPr>
        <w:pStyle w:val="Heading8"/>
        <w:rPr>
          <w:i/>
          <w:szCs w:val="22"/>
        </w:rPr>
      </w:pPr>
      <w:r w:rsidRPr="009C5EFD">
        <w:rPr>
          <w:i/>
          <w:szCs w:val="22"/>
        </w:rPr>
        <w:t>ACR-respons</w:t>
      </w:r>
    </w:p>
    <w:p w14:paraId="6802A882" w14:textId="77777777" w:rsidR="003B1129" w:rsidRPr="009C5EFD" w:rsidRDefault="003B1129" w:rsidP="00776A84">
      <w:pPr>
        <w:keepNext/>
        <w:rPr>
          <w:sz w:val="22"/>
          <w:szCs w:val="22"/>
        </w:rPr>
      </w:pPr>
    </w:p>
    <w:p w14:paraId="490762FC" w14:textId="77777777" w:rsidR="003B1129" w:rsidRPr="009C5EFD" w:rsidRDefault="00E453CD" w:rsidP="003B1129">
      <w:pPr>
        <w:rPr>
          <w:sz w:val="22"/>
        </w:rPr>
      </w:pPr>
      <w:r w:rsidRPr="009C5EFD">
        <w:rPr>
          <w:sz w:val="22"/>
          <w:szCs w:val="22"/>
        </w:rPr>
        <w:t xml:space="preserve">Prosentandelen av pasienter behandlet med Humira som oppnådde respons på ACR 20, 50 eller 70 i RA-studiene I, II og III var samsvarende. Resultatene for doseringen på 40 mg annenhver uke er oppsummert i tabell </w:t>
      </w:r>
      <w:r w:rsidR="003F5EAC">
        <w:rPr>
          <w:sz w:val="22"/>
          <w:szCs w:val="22"/>
        </w:rPr>
        <w:t>5</w:t>
      </w:r>
      <w:r w:rsidRPr="009C5EFD">
        <w:rPr>
          <w:sz w:val="22"/>
          <w:szCs w:val="22"/>
        </w:rPr>
        <w:t>.</w:t>
      </w:r>
    </w:p>
    <w:p w14:paraId="3B6D3CA2" w14:textId="77777777" w:rsidR="003B1129" w:rsidRPr="009C5EFD" w:rsidRDefault="003B1129" w:rsidP="003B1129"/>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68"/>
        <w:gridCol w:w="1284"/>
        <w:gridCol w:w="1417"/>
      </w:tblGrid>
      <w:tr w:rsidR="004644D4" w14:paraId="040B96BB" w14:textId="77777777" w:rsidTr="00CC0DA9">
        <w:tc>
          <w:tcPr>
            <w:tcW w:w="9124" w:type="dxa"/>
            <w:gridSpan w:val="7"/>
          </w:tcPr>
          <w:p w14:paraId="68BBD995" w14:textId="77777777" w:rsidR="003B1129" w:rsidRPr="009C5EFD" w:rsidRDefault="00E453CD">
            <w:pPr>
              <w:pStyle w:val="Brdtekst10"/>
              <w:keepNext/>
              <w:tabs>
                <w:tab w:val="left" w:pos="708"/>
              </w:tabs>
              <w:spacing w:after="0" w:line="240" w:lineRule="auto"/>
              <w:ind w:left="0"/>
              <w:jc w:val="center"/>
              <w:rPr>
                <w:b/>
                <w:sz w:val="22"/>
                <w:szCs w:val="22"/>
                <w:lang w:val="nb-NO"/>
              </w:rPr>
            </w:pPr>
            <w:r w:rsidRPr="009C5EFD">
              <w:rPr>
                <w:b/>
                <w:sz w:val="22"/>
                <w:szCs w:val="22"/>
                <w:lang w:val="nb-NO"/>
              </w:rPr>
              <w:t xml:space="preserve">Tabell </w:t>
            </w:r>
            <w:r w:rsidR="003F5EAC">
              <w:rPr>
                <w:b/>
                <w:sz w:val="22"/>
                <w:szCs w:val="22"/>
                <w:lang w:val="nb-NO"/>
              </w:rPr>
              <w:t>5</w:t>
            </w:r>
          </w:p>
          <w:p w14:paraId="099714F4" w14:textId="77777777" w:rsidR="003B1129" w:rsidRPr="009C5EFD" w:rsidRDefault="00E453CD">
            <w:pPr>
              <w:pStyle w:val="Brdtekst10"/>
              <w:keepNext/>
              <w:tabs>
                <w:tab w:val="clear" w:pos="1152"/>
                <w:tab w:val="clear" w:pos="1872"/>
              </w:tabs>
              <w:spacing w:after="0" w:line="240" w:lineRule="auto"/>
              <w:ind w:left="0"/>
              <w:jc w:val="center"/>
              <w:rPr>
                <w:b/>
                <w:sz w:val="22"/>
                <w:lang w:val="nb-NO"/>
              </w:rPr>
            </w:pPr>
            <w:r w:rsidRPr="009C5EFD">
              <w:rPr>
                <w:b/>
                <w:sz w:val="22"/>
                <w:szCs w:val="22"/>
                <w:lang w:val="nb-NO"/>
              </w:rPr>
              <w:t>ACR-respons i placebokontrollerte studier (prosentandel av pasientene)</w:t>
            </w:r>
          </w:p>
        </w:tc>
      </w:tr>
      <w:tr w:rsidR="004644D4" w14:paraId="4FF0114B" w14:textId="77777777" w:rsidTr="00E04B2A">
        <w:trPr>
          <w:cantSplit/>
        </w:trPr>
        <w:tc>
          <w:tcPr>
            <w:tcW w:w="1186" w:type="dxa"/>
            <w:tcBorders>
              <w:top w:val="single" w:sz="6" w:space="0" w:color="auto"/>
              <w:right w:val="single" w:sz="6" w:space="0" w:color="auto"/>
            </w:tcBorders>
          </w:tcPr>
          <w:p w14:paraId="4BA23F5A" w14:textId="77777777" w:rsidR="003B1129" w:rsidRPr="007F67EE" w:rsidRDefault="00E453CD" w:rsidP="00CC0DA9">
            <w:pPr>
              <w:pStyle w:val="In-texttable"/>
              <w:spacing w:line="240" w:lineRule="auto"/>
              <w:rPr>
                <w:rFonts w:ascii="Times New Roman" w:hAnsi="Times New Roman"/>
                <w:sz w:val="22"/>
                <w:lang w:val="en-GB"/>
              </w:rPr>
            </w:pPr>
            <w:r w:rsidRPr="007F67EE">
              <w:rPr>
                <w:rFonts w:ascii="Times New Roman" w:hAnsi="Times New Roman"/>
                <w:sz w:val="22"/>
                <w:szCs w:val="22"/>
                <w:lang w:val="nb-NO"/>
              </w:rPr>
              <w:t>Respons</w:t>
            </w:r>
          </w:p>
        </w:tc>
        <w:tc>
          <w:tcPr>
            <w:tcW w:w="2684" w:type="dxa"/>
            <w:gridSpan w:val="2"/>
            <w:tcBorders>
              <w:top w:val="single" w:sz="6" w:space="0" w:color="auto"/>
              <w:left w:val="single" w:sz="6" w:space="0" w:color="auto"/>
              <w:bottom w:val="single" w:sz="6" w:space="0" w:color="auto"/>
              <w:right w:val="single" w:sz="6" w:space="0" w:color="auto"/>
            </w:tcBorders>
          </w:tcPr>
          <w:p w14:paraId="2A653B1C" w14:textId="77777777" w:rsidR="003B1129" w:rsidRPr="00C07C98" w:rsidRDefault="00E453CD" w:rsidP="00CC0DA9">
            <w:pPr>
              <w:pStyle w:val="In-texttable"/>
              <w:spacing w:line="240" w:lineRule="auto"/>
              <w:jc w:val="center"/>
              <w:rPr>
                <w:rFonts w:ascii="Times New Roman" w:hAnsi="Times New Roman"/>
                <w:sz w:val="22"/>
                <w:lang w:val="en-GB"/>
              </w:rPr>
            </w:pPr>
            <w:r w:rsidRPr="00193D76">
              <w:rPr>
                <w:rFonts w:ascii="Times New Roman" w:hAnsi="Times New Roman"/>
                <w:sz w:val="22"/>
                <w:szCs w:val="22"/>
                <w:lang w:val="nb-NO"/>
              </w:rPr>
              <w:t>RA-studie I</w:t>
            </w:r>
            <w:r w:rsidRPr="002D0790">
              <w:rPr>
                <w:rFonts w:ascii="Times New Roman" w:hAnsi="Times New Roman"/>
                <w:sz w:val="22"/>
                <w:szCs w:val="22"/>
                <w:vertAlign w:val="superscript"/>
                <w:lang w:val="nb-NO"/>
              </w:rPr>
              <w:t>a</w:t>
            </w:r>
            <w:r w:rsidRPr="00C07C98">
              <w:rPr>
                <w:rFonts w:ascii="Times New Roman" w:hAnsi="Times New Roman"/>
                <w:sz w:val="22"/>
                <w:szCs w:val="22"/>
                <w:lang w:val="nb-NO"/>
              </w:rPr>
              <w:t>**</w:t>
            </w:r>
          </w:p>
        </w:tc>
        <w:tc>
          <w:tcPr>
            <w:tcW w:w="2553" w:type="dxa"/>
            <w:gridSpan w:val="2"/>
            <w:tcBorders>
              <w:top w:val="single" w:sz="6" w:space="0" w:color="auto"/>
              <w:left w:val="single" w:sz="6" w:space="0" w:color="auto"/>
              <w:bottom w:val="single" w:sz="6" w:space="0" w:color="auto"/>
              <w:right w:val="single" w:sz="6" w:space="0" w:color="auto"/>
            </w:tcBorders>
          </w:tcPr>
          <w:p w14:paraId="08996BBB" w14:textId="77777777" w:rsidR="003B1129" w:rsidRPr="009C5EFD" w:rsidRDefault="00E453CD" w:rsidP="00CC0DA9">
            <w:pPr>
              <w:pStyle w:val="In-texttable"/>
              <w:spacing w:line="240" w:lineRule="auto"/>
              <w:jc w:val="center"/>
              <w:rPr>
                <w:rFonts w:ascii="Times New Roman" w:hAnsi="Times New Roman"/>
                <w:sz w:val="22"/>
                <w:lang w:val="en-GB"/>
              </w:rPr>
            </w:pPr>
            <w:r w:rsidRPr="00E14E58">
              <w:rPr>
                <w:rFonts w:ascii="Times New Roman" w:hAnsi="Times New Roman"/>
                <w:sz w:val="22"/>
                <w:szCs w:val="22"/>
                <w:lang w:val="nb-NO"/>
              </w:rPr>
              <w:t>RA-studie II</w:t>
            </w:r>
            <w:r w:rsidRPr="009C5EFD">
              <w:rPr>
                <w:rFonts w:ascii="Times New Roman" w:hAnsi="Times New Roman"/>
                <w:sz w:val="22"/>
                <w:szCs w:val="22"/>
                <w:vertAlign w:val="superscript"/>
                <w:lang w:val="nb-NO"/>
              </w:rPr>
              <w:t>a</w:t>
            </w:r>
            <w:r w:rsidRPr="009C5EFD">
              <w:rPr>
                <w:rFonts w:ascii="Times New Roman" w:hAnsi="Times New Roman"/>
                <w:sz w:val="22"/>
                <w:szCs w:val="22"/>
                <w:lang w:val="nb-NO"/>
              </w:rPr>
              <w:t>**</w:t>
            </w:r>
          </w:p>
        </w:tc>
        <w:tc>
          <w:tcPr>
            <w:tcW w:w="2701" w:type="dxa"/>
            <w:gridSpan w:val="2"/>
            <w:tcBorders>
              <w:top w:val="single" w:sz="6" w:space="0" w:color="auto"/>
              <w:left w:val="single" w:sz="6" w:space="0" w:color="auto"/>
              <w:bottom w:val="single" w:sz="6" w:space="0" w:color="auto"/>
            </w:tcBorders>
          </w:tcPr>
          <w:p w14:paraId="00C68E26" w14:textId="77777777" w:rsidR="003B1129" w:rsidRPr="009C5EFD" w:rsidRDefault="00E453CD" w:rsidP="00CC0DA9">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RA-studie III</w:t>
            </w:r>
            <w:r w:rsidRPr="009C5EFD">
              <w:rPr>
                <w:rFonts w:ascii="Times New Roman" w:hAnsi="Times New Roman"/>
                <w:sz w:val="22"/>
                <w:szCs w:val="22"/>
                <w:vertAlign w:val="superscript"/>
                <w:lang w:val="nb-NO"/>
              </w:rPr>
              <w:t>a</w:t>
            </w:r>
            <w:r w:rsidRPr="009C5EFD">
              <w:rPr>
                <w:rFonts w:ascii="Times New Roman" w:hAnsi="Times New Roman"/>
                <w:sz w:val="22"/>
                <w:szCs w:val="22"/>
                <w:lang w:val="nb-NO"/>
              </w:rPr>
              <w:t>**</w:t>
            </w:r>
          </w:p>
          <w:p w14:paraId="5C47F788" w14:textId="77777777" w:rsidR="003B1129" w:rsidRPr="009C5EFD" w:rsidRDefault="003B1129" w:rsidP="00CC0DA9">
            <w:pPr>
              <w:pStyle w:val="In-texttable"/>
              <w:spacing w:line="240" w:lineRule="auto"/>
              <w:jc w:val="center"/>
              <w:rPr>
                <w:rFonts w:ascii="Times New Roman" w:hAnsi="Times New Roman"/>
                <w:sz w:val="22"/>
                <w:lang w:val="en-GB"/>
              </w:rPr>
            </w:pPr>
          </w:p>
        </w:tc>
      </w:tr>
      <w:tr w:rsidR="004644D4" w14:paraId="09A66E1E" w14:textId="77777777" w:rsidTr="00E04B2A">
        <w:trPr>
          <w:cantSplit/>
        </w:trPr>
        <w:tc>
          <w:tcPr>
            <w:tcW w:w="1186" w:type="dxa"/>
            <w:tcBorders>
              <w:bottom w:val="single" w:sz="6" w:space="0" w:color="auto"/>
              <w:right w:val="single" w:sz="6" w:space="0" w:color="auto"/>
            </w:tcBorders>
            <w:vAlign w:val="center"/>
          </w:tcPr>
          <w:p w14:paraId="47D45D56" w14:textId="77777777" w:rsidR="003B1129" w:rsidRPr="007F67EE" w:rsidRDefault="003B1129" w:rsidP="00CC0DA9">
            <w:pPr>
              <w:pStyle w:val="In-texttable"/>
              <w:spacing w:line="240" w:lineRule="auto"/>
              <w:rPr>
                <w:rFonts w:ascii="Times New Roman" w:hAnsi="Times New Roman"/>
                <w:sz w:val="22"/>
                <w:lang w:val="en-GB"/>
              </w:rPr>
            </w:pPr>
          </w:p>
        </w:tc>
        <w:tc>
          <w:tcPr>
            <w:tcW w:w="1134" w:type="dxa"/>
            <w:tcBorders>
              <w:top w:val="single" w:sz="6" w:space="0" w:color="auto"/>
              <w:left w:val="single" w:sz="6" w:space="0" w:color="auto"/>
              <w:bottom w:val="single" w:sz="6" w:space="0" w:color="auto"/>
            </w:tcBorders>
          </w:tcPr>
          <w:p w14:paraId="390D8615" w14:textId="77777777" w:rsidR="003B1129" w:rsidRPr="00C07C98" w:rsidRDefault="00E453CD" w:rsidP="00CC0DA9">
            <w:pPr>
              <w:pStyle w:val="In-texttable"/>
              <w:spacing w:line="240" w:lineRule="auto"/>
              <w:jc w:val="center"/>
              <w:rPr>
                <w:rFonts w:ascii="Times New Roman" w:hAnsi="Times New Roman"/>
                <w:sz w:val="22"/>
                <w:szCs w:val="22"/>
                <w:lang w:val="nb-NO"/>
              </w:rPr>
            </w:pPr>
            <w:r w:rsidRPr="007F67EE">
              <w:rPr>
                <w:rFonts w:ascii="Times New Roman" w:hAnsi="Times New Roman"/>
                <w:sz w:val="22"/>
                <w:szCs w:val="22"/>
                <w:lang w:val="nb-NO"/>
              </w:rPr>
              <w:t>Placebo/ MTX</w:t>
            </w:r>
            <w:r w:rsidRPr="00193D76">
              <w:rPr>
                <w:rFonts w:ascii="Times New Roman" w:hAnsi="Times New Roman"/>
                <w:sz w:val="22"/>
                <w:szCs w:val="22"/>
                <w:vertAlign w:val="superscript"/>
                <w:lang w:val="nb-NO"/>
              </w:rPr>
              <w:t>c</w:t>
            </w:r>
          </w:p>
          <w:p w14:paraId="56DDA54D" w14:textId="77777777" w:rsidR="003B1129" w:rsidRPr="009C5EFD" w:rsidRDefault="00E453CD" w:rsidP="00CC0DA9">
            <w:pPr>
              <w:pStyle w:val="In-texttable"/>
              <w:spacing w:line="240" w:lineRule="auto"/>
              <w:jc w:val="center"/>
              <w:rPr>
                <w:rFonts w:ascii="Times New Roman" w:hAnsi="Times New Roman"/>
                <w:sz w:val="22"/>
                <w:lang w:val="en-GB"/>
              </w:rPr>
            </w:pPr>
            <w:r w:rsidRPr="00E14E58">
              <w:rPr>
                <w:rFonts w:ascii="Times New Roman" w:hAnsi="Times New Roman"/>
                <w:sz w:val="22"/>
                <w:szCs w:val="22"/>
                <w:lang w:val="nb-NO"/>
              </w:rPr>
              <w:t>n=60</w:t>
            </w:r>
          </w:p>
        </w:tc>
        <w:tc>
          <w:tcPr>
            <w:tcW w:w="1550" w:type="dxa"/>
            <w:tcBorders>
              <w:top w:val="single" w:sz="6" w:space="0" w:color="auto"/>
              <w:bottom w:val="single" w:sz="6" w:space="0" w:color="auto"/>
              <w:right w:val="single" w:sz="6" w:space="0" w:color="auto"/>
            </w:tcBorders>
          </w:tcPr>
          <w:p w14:paraId="101B545E" w14:textId="77777777" w:rsidR="003B1129" w:rsidRPr="009C5EFD" w:rsidRDefault="00E453CD" w:rsidP="00CC0DA9">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r w:rsidRPr="009C5EFD">
              <w:rPr>
                <w:rFonts w:ascii="Times New Roman" w:hAnsi="Times New Roman"/>
                <w:sz w:val="22"/>
                <w:szCs w:val="22"/>
                <w:lang w:val="nb-NO"/>
              </w:rPr>
              <w:t>/ MTX</w:t>
            </w:r>
            <w:r w:rsidRPr="009C5EFD">
              <w:rPr>
                <w:rFonts w:ascii="Times New Roman" w:hAnsi="Times New Roman"/>
                <w:sz w:val="22"/>
                <w:szCs w:val="22"/>
                <w:vertAlign w:val="superscript"/>
                <w:lang w:val="nb-NO"/>
              </w:rPr>
              <w:t>c</w:t>
            </w:r>
          </w:p>
          <w:p w14:paraId="03804204" w14:textId="77777777" w:rsidR="003B1129" w:rsidRPr="009C5EFD" w:rsidRDefault="00E453CD" w:rsidP="00CC0DA9">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n=63</w:t>
            </w:r>
          </w:p>
        </w:tc>
        <w:tc>
          <w:tcPr>
            <w:tcW w:w="1285" w:type="dxa"/>
            <w:tcBorders>
              <w:top w:val="single" w:sz="6" w:space="0" w:color="auto"/>
              <w:left w:val="single" w:sz="6" w:space="0" w:color="auto"/>
              <w:bottom w:val="single" w:sz="6" w:space="0" w:color="auto"/>
            </w:tcBorders>
          </w:tcPr>
          <w:p w14:paraId="6A7138D7" w14:textId="77777777" w:rsidR="003B1129" w:rsidRPr="009C5EFD" w:rsidRDefault="00E453CD" w:rsidP="00CC0DA9">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w:t>
            </w:r>
          </w:p>
          <w:p w14:paraId="149E8273" w14:textId="77777777" w:rsidR="003B1129" w:rsidRPr="009C5EFD" w:rsidRDefault="00E453CD" w:rsidP="00CC0DA9">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n=110</w:t>
            </w:r>
          </w:p>
        </w:tc>
        <w:tc>
          <w:tcPr>
            <w:tcW w:w="1268" w:type="dxa"/>
            <w:tcBorders>
              <w:top w:val="single" w:sz="6" w:space="0" w:color="auto"/>
              <w:bottom w:val="single" w:sz="6" w:space="0" w:color="auto"/>
              <w:right w:val="single" w:sz="6" w:space="0" w:color="auto"/>
            </w:tcBorders>
          </w:tcPr>
          <w:p w14:paraId="1FFF304C" w14:textId="77777777" w:rsidR="003B1129" w:rsidRPr="009C5EFD" w:rsidRDefault="00E453CD" w:rsidP="00CC0DA9">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p>
          <w:p w14:paraId="1BECA822" w14:textId="77777777" w:rsidR="003B1129" w:rsidRPr="009C5EFD" w:rsidRDefault="00E453CD" w:rsidP="00CC0DA9">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n=113</w:t>
            </w:r>
          </w:p>
        </w:tc>
        <w:tc>
          <w:tcPr>
            <w:tcW w:w="1284" w:type="dxa"/>
            <w:tcBorders>
              <w:top w:val="single" w:sz="6" w:space="0" w:color="auto"/>
              <w:left w:val="single" w:sz="6" w:space="0" w:color="auto"/>
              <w:bottom w:val="single" w:sz="6" w:space="0" w:color="auto"/>
            </w:tcBorders>
          </w:tcPr>
          <w:p w14:paraId="60FACFA1" w14:textId="77777777" w:rsidR="003B1129" w:rsidRPr="009C5EFD" w:rsidRDefault="00E453CD" w:rsidP="00CC0DA9">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Placebo/ MTX</w:t>
            </w:r>
            <w:r w:rsidRPr="009C5EFD">
              <w:rPr>
                <w:rFonts w:ascii="Times New Roman" w:hAnsi="Times New Roman"/>
                <w:sz w:val="22"/>
                <w:szCs w:val="22"/>
                <w:vertAlign w:val="superscript"/>
                <w:lang w:val="nb-NO"/>
              </w:rPr>
              <w:t>c</w:t>
            </w:r>
          </w:p>
          <w:p w14:paraId="10FC44EF" w14:textId="77777777" w:rsidR="003B1129" w:rsidRPr="009C5EFD" w:rsidRDefault="00E453CD" w:rsidP="00CC0DA9">
            <w:pPr>
              <w:pStyle w:val="In-texttable"/>
              <w:spacing w:line="240" w:lineRule="auto"/>
              <w:jc w:val="center"/>
              <w:rPr>
                <w:rFonts w:ascii="Times New Roman" w:hAnsi="Times New Roman"/>
                <w:sz w:val="22"/>
                <w:lang w:val="fr-FR"/>
              </w:rPr>
            </w:pPr>
            <w:r w:rsidRPr="009C5EFD">
              <w:rPr>
                <w:rFonts w:ascii="Times New Roman" w:hAnsi="Times New Roman"/>
                <w:sz w:val="22"/>
                <w:szCs w:val="22"/>
                <w:lang w:val="nb-NO"/>
              </w:rPr>
              <w:t>n=200</w:t>
            </w:r>
          </w:p>
        </w:tc>
        <w:tc>
          <w:tcPr>
            <w:tcW w:w="1417" w:type="dxa"/>
            <w:tcBorders>
              <w:top w:val="single" w:sz="6" w:space="0" w:color="auto"/>
              <w:bottom w:val="single" w:sz="6" w:space="0" w:color="auto"/>
            </w:tcBorders>
          </w:tcPr>
          <w:p w14:paraId="38ED3873" w14:textId="77777777" w:rsidR="003B1129" w:rsidRPr="009C5EFD" w:rsidRDefault="00E453CD" w:rsidP="00CC0DA9">
            <w:pPr>
              <w:pStyle w:val="In-texttable"/>
              <w:spacing w:line="240" w:lineRule="auto"/>
              <w:jc w:val="center"/>
              <w:rPr>
                <w:rFonts w:ascii="Times New Roman" w:hAnsi="Times New Roman"/>
                <w:sz w:val="22"/>
                <w:szCs w:val="22"/>
                <w:lang w:val="nb-NO"/>
              </w:rPr>
            </w:pPr>
            <w:r w:rsidRPr="009C5EFD">
              <w:rPr>
                <w:rFonts w:ascii="Times New Roman" w:hAnsi="Times New Roman"/>
                <w:sz w:val="22"/>
                <w:szCs w:val="22"/>
                <w:lang w:val="nb-NO"/>
              </w:rPr>
              <w:t>Humira</w:t>
            </w:r>
            <w:r w:rsidRPr="009C5EFD">
              <w:rPr>
                <w:rFonts w:ascii="Times New Roman" w:hAnsi="Times New Roman"/>
                <w:sz w:val="22"/>
                <w:szCs w:val="22"/>
                <w:vertAlign w:val="superscript"/>
                <w:lang w:val="nb-NO"/>
              </w:rPr>
              <w:t>b</w:t>
            </w:r>
            <w:r w:rsidRPr="009C5EFD">
              <w:rPr>
                <w:rFonts w:ascii="Times New Roman" w:hAnsi="Times New Roman"/>
                <w:sz w:val="22"/>
                <w:szCs w:val="22"/>
                <w:lang w:val="nb-NO"/>
              </w:rPr>
              <w:t>/ MTX</w:t>
            </w:r>
            <w:r w:rsidRPr="009C5EFD">
              <w:rPr>
                <w:rFonts w:ascii="Times New Roman" w:hAnsi="Times New Roman"/>
                <w:sz w:val="22"/>
                <w:szCs w:val="22"/>
                <w:vertAlign w:val="superscript"/>
                <w:lang w:val="nb-NO"/>
              </w:rPr>
              <w:t>c</w:t>
            </w:r>
          </w:p>
          <w:p w14:paraId="7F9B7362"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n=207</w:t>
            </w:r>
          </w:p>
        </w:tc>
      </w:tr>
      <w:tr w:rsidR="004644D4" w14:paraId="2ECF7F8B" w14:textId="77777777" w:rsidTr="00E04B2A">
        <w:trPr>
          <w:cantSplit/>
        </w:trPr>
        <w:tc>
          <w:tcPr>
            <w:tcW w:w="1186" w:type="dxa"/>
            <w:tcBorders>
              <w:right w:val="single" w:sz="6" w:space="0" w:color="auto"/>
            </w:tcBorders>
          </w:tcPr>
          <w:p w14:paraId="50DB1D95" w14:textId="77777777" w:rsidR="003B1129" w:rsidRPr="007F67EE"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ACR 20</w:t>
            </w:r>
          </w:p>
        </w:tc>
        <w:tc>
          <w:tcPr>
            <w:tcW w:w="1134" w:type="dxa"/>
            <w:tcBorders>
              <w:left w:val="single" w:sz="6" w:space="0" w:color="auto"/>
            </w:tcBorders>
          </w:tcPr>
          <w:p w14:paraId="010ACF2D" w14:textId="77777777" w:rsidR="003B1129" w:rsidRPr="00193D76" w:rsidRDefault="003B1129" w:rsidP="00CC0DA9">
            <w:pPr>
              <w:pStyle w:val="In-texttable"/>
              <w:spacing w:line="240" w:lineRule="auto"/>
              <w:rPr>
                <w:rFonts w:ascii="Times New Roman" w:hAnsi="Times New Roman"/>
                <w:sz w:val="22"/>
                <w:lang w:val="en-GB"/>
              </w:rPr>
            </w:pPr>
          </w:p>
        </w:tc>
        <w:tc>
          <w:tcPr>
            <w:tcW w:w="1550" w:type="dxa"/>
            <w:tcBorders>
              <w:right w:val="single" w:sz="6" w:space="0" w:color="auto"/>
            </w:tcBorders>
          </w:tcPr>
          <w:p w14:paraId="16BA8FFF" w14:textId="77777777" w:rsidR="003B1129" w:rsidRPr="00C07C98" w:rsidRDefault="003B1129" w:rsidP="00CC0DA9">
            <w:pPr>
              <w:pStyle w:val="In-texttable"/>
              <w:spacing w:line="240" w:lineRule="auto"/>
              <w:rPr>
                <w:rFonts w:ascii="Times New Roman" w:hAnsi="Times New Roman"/>
                <w:sz w:val="22"/>
                <w:lang w:val="en-GB"/>
              </w:rPr>
            </w:pPr>
          </w:p>
        </w:tc>
        <w:tc>
          <w:tcPr>
            <w:tcW w:w="1285" w:type="dxa"/>
            <w:tcBorders>
              <w:left w:val="single" w:sz="6" w:space="0" w:color="auto"/>
            </w:tcBorders>
          </w:tcPr>
          <w:p w14:paraId="0E32E848" w14:textId="77777777" w:rsidR="003B1129" w:rsidRPr="009C5EFD" w:rsidRDefault="003B1129" w:rsidP="00CC0DA9">
            <w:pPr>
              <w:pStyle w:val="In-texttable"/>
              <w:spacing w:line="240" w:lineRule="auto"/>
              <w:rPr>
                <w:rFonts w:ascii="Times New Roman" w:hAnsi="Times New Roman"/>
                <w:sz w:val="22"/>
                <w:lang w:val="en-GB"/>
              </w:rPr>
            </w:pPr>
          </w:p>
        </w:tc>
        <w:tc>
          <w:tcPr>
            <w:tcW w:w="1268" w:type="dxa"/>
            <w:tcBorders>
              <w:right w:val="single" w:sz="6" w:space="0" w:color="auto"/>
            </w:tcBorders>
          </w:tcPr>
          <w:p w14:paraId="5205CB70" w14:textId="77777777" w:rsidR="003B1129" w:rsidRPr="009C5EFD" w:rsidRDefault="003B1129" w:rsidP="00CC0DA9">
            <w:pPr>
              <w:pStyle w:val="In-texttable"/>
              <w:spacing w:line="240" w:lineRule="auto"/>
              <w:rPr>
                <w:rFonts w:ascii="Times New Roman" w:hAnsi="Times New Roman"/>
                <w:sz w:val="22"/>
                <w:lang w:val="en-GB"/>
              </w:rPr>
            </w:pPr>
          </w:p>
        </w:tc>
        <w:tc>
          <w:tcPr>
            <w:tcW w:w="1284" w:type="dxa"/>
            <w:tcBorders>
              <w:top w:val="single" w:sz="6" w:space="0" w:color="auto"/>
              <w:left w:val="single" w:sz="6" w:space="0" w:color="auto"/>
            </w:tcBorders>
          </w:tcPr>
          <w:p w14:paraId="435A6F80" w14:textId="77777777" w:rsidR="003B1129" w:rsidRPr="009C5EFD" w:rsidRDefault="003B1129" w:rsidP="00CC0DA9">
            <w:pPr>
              <w:pStyle w:val="In-texttable"/>
              <w:spacing w:line="240" w:lineRule="auto"/>
              <w:rPr>
                <w:rFonts w:ascii="Times New Roman" w:hAnsi="Times New Roman"/>
                <w:sz w:val="22"/>
                <w:lang w:val="en-GB"/>
              </w:rPr>
            </w:pPr>
          </w:p>
        </w:tc>
        <w:tc>
          <w:tcPr>
            <w:tcW w:w="1417" w:type="dxa"/>
            <w:tcBorders>
              <w:top w:val="single" w:sz="6" w:space="0" w:color="auto"/>
            </w:tcBorders>
          </w:tcPr>
          <w:p w14:paraId="7F74618E" w14:textId="77777777" w:rsidR="003B1129" w:rsidRPr="009C5EFD" w:rsidRDefault="003B1129" w:rsidP="00CC0DA9">
            <w:pPr>
              <w:pStyle w:val="In-texttable"/>
              <w:spacing w:line="240" w:lineRule="auto"/>
              <w:rPr>
                <w:rFonts w:ascii="Times New Roman" w:hAnsi="Times New Roman"/>
                <w:sz w:val="22"/>
                <w:lang w:val="en-GB"/>
              </w:rPr>
            </w:pPr>
          </w:p>
        </w:tc>
      </w:tr>
      <w:tr w:rsidR="004644D4" w14:paraId="26C0F86E" w14:textId="77777777" w:rsidTr="00E04B2A">
        <w:trPr>
          <w:cantSplit/>
        </w:trPr>
        <w:tc>
          <w:tcPr>
            <w:tcW w:w="1186" w:type="dxa"/>
            <w:tcBorders>
              <w:right w:val="single" w:sz="6" w:space="0" w:color="auto"/>
            </w:tcBorders>
          </w:tcPr>
          <w:p w14:paraId="695CD42E" w14:textId="77777777" w:rsidR="003B1129" w:rsidRPr="00C07C98"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6 </w:t>
            </w:r>
            <w:r w:rsidRPr="00193D76">
              <w:rPr>
                <w:rFonts w:ascii="Times New Roman" w:hAnsi="Times New Roman"/>
                <w:sz w:val="22"/>
                <w:szCs w:val="22"/>
                <w:lang w:val="nb-NO"/>
              </w:rPr>
              <w:t>måneder</w:t>
            </w:r>
          </w:p>
        </w:tc>
        <w:tc>
          <w:tcPr>
            <w:tcW w:w="1134" w:type="dxa"/>
            <w:tcBorders>
              <w:left w:val="single" w:sz="6" w:space="0" w:color="auto"/>
            </w:tcBorders>
          </w:tcPr>
          <w:p w14:paraId="2944DD00"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13,3 %</w:t>
            </w:r>
          </w:p>
        </w:tc>
        <w:tc>
          <w:tcPr>
            <w:tcW w:w="1550" w:type="dxa"/>
            <w:tcBorders>
              <w:right w:val="single" w:sz="6" w:space="0" w:color="auto"/>
            </w:tcBorders>
          </w:tcPr>
          <w:p w14:paraId="51DF1F3E"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65,1 %</w:t>
            </w:r>
          </w:p>
        </w:tc>
        <w:tc>
          <w:tcPr>
            <w:tcW w:w="1285" w:type="dxa"/>
            <w:tcBorders>
              <w:left w:val="single" w:sz="6" w:space="0" w:color="auto"/>
            </w:tcBorders>
          </w:tcPr>
          <w:p w14:paraId="77BE69FB"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19,1 %</w:t>
            </w:r>
          </w:p>
        </w:tc>
        <w:tc>
          <w:tcPr>
            <w:tcW w:w="1268" w:type="dxa"/>
            <w:tcBorders>
              <w:right w:val="single" w:sz="6" w:space="0" w:color="auto"/>
            </w:tcBorders>
          </w:tcPr>
          <w:p w14:paraId="5EF4C7EE"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46,0 %</w:t>
            </w:r>
          </w:p>
        </w:tc>
        <w:tc>
          <w:tcPr>
            <w:tcW w:w="1284" w:type="dxa"/>
            <w:tcBorders>
              <w:left w:val="single" w:sz="6" w:space="0" w:color="auto"/>
            </w:tcBorders>
          </w:tcPr>
          <w:p w14:paraId="6FA6D824" w14:textId="77777777" w:rsidR="003B1129" w:rsidRPr="009C5EFD" w:rsidRDefault="00E453CD" w:rsidP="00CC0DA9">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29,5 %</w:t>
            </w:r>
          </w:p>
        </w:tc>
        <w:tc>
          <w:tcPr>
            <w:tcW w:w="1417" w:type="dxa"/>
          </w:tcPr>
          <w:p w14:paraId="6EBEBF62" w14:textId="77777777" w:rsidR="003B1129" w:rsidRPr="009C5EFD" w:rsidRDefault="00E453CD" w:rsidP="00CC0DA9">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63,3 %</w:t>
            </w:r>
          </w:p>
        </w:tc>
      </w:tr>
      <w:tr w:rsidR="004644D4" w14:paraId="7C471C10" w14:textId="77777777" w:rsidTr="00E04B2A">
        <w:trPr>
          <w:cantSplit/>
        </w:trPr>
        <w:tc>
          <w:tcPr>
            <w:tcW w:w="1186" w:type="dxa"/>
            <w:tcBorders>
              <w:right w:val="single" w:sz="6" w:space="0" w:color="auto"/>
            </w:tcBorders>
          </w:tcPr>
          <w:p w14:paraId="5407681B" w14:textId="77777777" w:rsidR="003B1129" w:rsidRPr="00C07C98"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12 </w:t>
            </w:r>
            <w:r w:rsidRPr="00193D76">
              <w:rPr>
                <w:rFonts w:ascii="Times New Roman" w:hAnsi="Times New Roman"/>
                <w:sz w:val="22"/>
                <w:szCs w:val="22"/>
                <w:lang w:val="nb-NO"/>
              </w:rPr>
              <w:t>måneder</w:t>
            </w:r>
          </w:p>
        </w:tc>
        <w:tc>
          <w:tcPr>
            <w:tcW w:w="1134" w:type="dxa"/>
            <w:tcBorders>
              <w:left w:val="single" w:sz="6" w:space="0" w:color="auto"/>
            </w:tcBorders>
          </w:tcPr>
          <w:p w14:paraId="3B31ACF9"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550" w:type="dxa"/>
            <w:tcBorders>
              <w:right w:val="single" w:sz="6" w:space="0" w:color="auto"/>
            </w:tcBorders>
          </w:tcPr>
          <w:p w14:paraId="7BC5AC23"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285" w:type="dxa"/>
            <w:tcBorders>
              <w:left w:val="single" w:sz="6" w:space="0" w:color="auto"/>
            </w:tcBorders>
          </w:tcPr>
          <w:p w14:paraId="6969B931" w14:textId="77777777" w:rsidR="003B1129" w:rsidRPr="009C5EFD" w:rsidRDefault="00E453CD" w:rsidP="00CC0DA9">
            <w:pPr>
              <w:pStyle w:val="In-texttable"/>
              <w:tabs>
                <w:tab w:val="decimal" w:pos="151"/>
              </w:tabs>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68" w:type="dxa"/>
            <w:tcBorders>
              <w:right w:val="single" w:sz="6" w:space="0" w:color="auto"/>
            </w:tcBorders>
          </w:tcPr>
          <w:p w14:paraId="17F27E05" w14:textId="77777777" w:rsidR="003B1129" w:rsidRPr="009C5EFD" w:rsidRDefault="00E453CD" w:rsidP="00CC0DA9">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84" w:type="dxa"/>
            <w:tcBorders>
              <w:left w:val="single" w:sz="6" w:space="0" w:color="auto"/>
            </w:tcBorders>
          </w:tcPr>
          <w:p w14:paraId="4CD94AE6" w14:textId="77777777" w:rsidR="003B1129" w:rsidRPr="009C5EFD" w:rsidRDefault="00E453CD" w:rsidP="00CC0DA9">
            <w:pPr>
              <w:pStyle w:val="In-texttable"/>
              <w:tabs>
                <w:tab w:val="decimal" w:pos="567"/>
              </w:tabs>
              <w:spacing w:line="240" w:lineRule="auto"/>
              <w:rPr>
                <w:rFonts w:ascii="Times New Roman" w:hAnsi="Times New Roman"/>
                <w:sz w:val="22"/>
                <w:lang w:val="it-IT"/>
              </w:rPr>
            </w:pPr>
            <w:r w:rsidRPr="009C5EFD">
              <w:rPr>
                <w:rFonts w:ascii="Times New Roman" w:hAnsi="Times New Roman"/>
                <w:sz w:val="22"/>
                <w:szCs w:val="22"/>
                <w:lang w:val="nb-NO"/>
              </w:rPr>
              <w:t>24,0 %</w:t>
            </w:r>
          </w:p>
        </w:tc>
        <w:tc>
          <w:tcPr>
            <w:tcW w:w="1417" w:type="dxa"/>
          </w:tcPr>
          <w:p w14:paraId="471B4587" w14:textId="77777777" w:rsidR="003B1129" w:rsidRPr="009C5EFD" w:rsidRDefault="00E453CD" w:rsidP="00CC0DA9">
            <w:pPr>
              <w:pStyle w:val="In-texttable"/>
              <w:tabs>
                <w:tab w:val="decimal" w:pos="662"/>
              </w:tabs>
              <w:spacing w:line="240" w:lineRule="auto"/>
              <w:rPr>
                <w:rFonts w:ascii="Times New Roman" w:hAnsi="Times New Roman"/>
                <w:sz w:val="22"/>
                <w:lang w:val="it-IT"/>
              </w:rPr>
            </w:pPr>
            <w:r w:rsidRPr="009C5EFD">
              <w:rPr>
                <w:rFonts w:ascii="Times New Roman" w:hAnsi="Times New Roman"/>
                <w:sz w:val="22"/>
                <w:szCs w:val="22"/>
                <w:lang w:val="nb-NO"/>
              </w:rPr>
              <w:t>58,9 %</w:t>
            </w:r>
          </w:p>
        </w:tc>
      </w:tr>
      <w:tr w:rsidR="004644D4" w14:paraId="2F29C07A" w14:textId="77777777" w:rsidTr="00E04B2A">
        <w:trPr>
          <w:cantSplit/>
        </w:trPr>
        <w:tc>
          <w:tcPr>
            <w:tcW w:w="1186" w:type="dxa"/>
            <w:tcBorders>
              <w:right w:val="single" w:sz="6" w:space="0" w:color="auto"/>
            </w:tcBorders>
          </w:tcPr>
          <w:p w14:paraId="4F0C91B7" w14:textId="77777777" w:rsidR="003B1129" w:rsidRPr="007F67EE" w:rsidRDefault="00E453CD" w:rsidP="00CC0DA9">
            <w:pPr>
              <w:pStyle w:val="In-texttable"/>
              <w:tabs>
                <w:tab w:val="left" w:pos="144"/>
              </w:tabs>
              <w:spacing w:line="240" w:lineRule="auto"/>
              <w:rPr>
                <w:rFonts w:ascii="Times New Roman" w:hAnsi="Times New Roman"/>
                <w:sz w:val="22"/>
                <w:lang w:val="it-IT"/>
              </w:rPr>
            </w:pPr>
            <w:r w:rsidRPr="007F67EE">
              <w:rPr>
                <w:rFonts w:ascii="Times New Roman" w:hAnsi="Times New Roman"/>
                <w:sz w:val="22"/>
                <w:szCs w:val="22"/>
                <w:lang w:val="nb-NO"/>
              </w:rPr>
              <w:t>ACR 50</w:t>
            </w:r>
          </w:p>
        </w:tc>
        <w:tc>
          <w:tcPr>
            <w:tcW w:w="1134" w:type="dxa"/>
            <w:tcBorders>
              <w:left w:val="single" w:sz="6" w:space="0" w:color="auto"/>
            </w:tcBorders>
          </w:tcPr>
          <w:p w14:paraId="303EF5B8" w14:textId="77777777" w:rsidR="003B1129" w:rsidRPr="00193D76" w:rsidRDefault="003B1129" w:rsidP="00CC0DA9">
            <w:pPr>
              <w:pStyle w:val="In-texttable"/>
              <w:spacing w:line="240" w:lineRule="auto"/>
              <w:jc w:val="center"/>
              <w:rPr>
                <w:rFonts w:ascii="Times New Roman" w:hAnsi="Times New Roman"/>
                <w:sz w:val="22"/>
                <w:lang w:val="it-IT"/>
              </w:rPr>
            </w:pPr>
          </w:p>
        </w:tc>
        <w:tc>
          <w:tcPr>
            <w:tcW w:w="1550" w:type="dxa"/>
            <w:tcBorders>
              <w:right w:val="single" w:sz="6" w:space="0" w:color="auto"/>
            </w:tcBorders>
          </w:tcPr>
          <w:p w14:paraId="7A655E52" w14:textId="77777777" w:rsidR="003B1129" w:rsidRPr="00C07C98" w:rsidRDefault="003B1129" w:rsidP="00CC0DA9">
            <w:pPr>
              <w:pStyle w:val="In-texttable"/>
              <w:spacing w:line="240" w:lineRule="auto"/>
              <w:jc w:val="center"/>
              <w:rPr>
                <w:rFonts w:ascii="Times New Roman" w:hAnsi="Times New Roman"/>
                <w:sz w:val="22"/>
                <w:lang w:val="it-IT"/>
              </w:rPr>
            </w:pPr>
          </w:p>
        </w:tc>
        <w:tc>
          <w:tcPr>
            <w:tcW w:w="1285" w:type="dxa"/>
            <w:tcBorders>
              <w:left w:val="single" w:sz="6" w:space="0" w:color="auto"/>
            </w:tcBorders>
          </w:tcPr>
          <w:p w14:paraId="1DE05EC3" w14:textId="77777777" w:rsidR="003B1129" w:rsidRPr="009C5EFD" w:rsidRDefault="003B1129" w:rsidP="00CC0DA9">
            <w:pPr>
              <w:pStyle w:val="In-texttable"/>
              <w:tabs>
                <w:tab w:val="decimal" w:pos="151"/>
              </w:tabs>
              <w:spacing w:line="240" w:lineRule="auto"/>
              <w:jc w:val="center"/>
              <w:rPr>
                <w:rFonts w:ascii="Times New Roman" w:hAnsi="Times New Roman"/>
                <w:sz w:val="22"/>
                <w:lang w:val="it-IT"/>
              </w:rPr>
            </w:pPr>
          </w:p>
        </w:tc>
        <w:tc>
          <w:tcPr>
            <w:tcW w:w="1268" w:type="dxa"/>
            <w:tcBorders>
              <w:right w:val="single" w:sz="6" w:space="0" w:color="auto"/>
            </w:tcBorders>
          </w:tcPr>
          <w:p w14:paraId="43A012C4" w14:textId="77777777" w:rsidR="003B1129" w:rsidRPr="009C5EFD" w:rsidRDefault="003B1129" w:rsidP="00CC0DA9">
            <w:pPr>
              <w:pStyle w:val="In-texttable"/>
              <w:spacing w:line="240" w:lineRule="auto"/>
              <w:jc w:val="center"/>
              <w:rPr>
                <w:rFonts w:ascii="Times New Roman" w:hAnsi="Times New Roman"/>
                <w:sz w:val="22"/>
                <w:lang w:val="it-IT"/>
              </w:rPr>
            </w:pPr>
          </w:p>
        </w:tc>
        <w:tc>
          <w:tcPr>
            <w:tcW w:w="1284" w:type="dxa"/>
            <w:tcBorders>
              <w:left w:val="single" w:sz="6" w:space="0" w:color="auto"/>
            </w:tcBorders>
          </w:tcPr>
          <w:p w14:paraId="6EFCBE52" w14:textId="77777777" w:rsidR="003B1129" w:rsidRPr="009C5EFD" w:rsidRDefault="003B1129" w:rsidP="00CC0DA9">
            <w:pPr>
              <w:pStyle w:val="In-texttable"/>
              <w:tabs>
                <w:tab w:val="decimal" w:pos="567"/>
              </w:tabs>
              <w:spacing w:line="240" w:lineRule="auto"/>
              <w:rPr>
                <w:rFonts w:ascii="Times New Roman" w:hAnsi="Times New Roman"/>
                <w:sz w:val="22"/>
                <w:lang w:val="it-IT"/>
              </w:rPr>
            </w:pPr>
          </w:p>
        </w:tc>
        <w:tc>
          <w:tcPr>
            <w:tcW w:w="1417" w:type="dxa"/>
          </w:tcPr>
          <w:p w14:paraId="711E36D0" w14:textId="77777777" w:rsidR="003B1129" w:rsidRPr="009C5EFD" w:rsidRDefault="003B1129" w:rsidP="00CC0DA9">
            <w:pPr>
              <w:pStyle w:val="In-texttable"/>
              <w:tabs>
                <w:tab w:val="decimal" w:pos="662"/>
              </w:tabs>
              <w:spacing w:line="240" w:lineRule="auto"/>
              <w:rPr>
                <w:rFonts w:ascii="Times New Roman" w:hAnsi="Times New Roman"/>
                <w:sz w:val="22"/>
                <w:lang w:val="it-IT"/>
              </w:rPr>
            </w:pPr>
          </w:p>
        </w:tc>
      </w:tr>
      <w:tr w:rsidR="004644D4" w14:paraId="4990EC92" w14:textId="77777777" w:rsidTr="00E04B2A">
        <w:trPr>
          <w:cantSplit/>
        </w:trPr>
        <w:tc>
          <w:tcPr>
            <w:tcW w:w="1186" w:type="dxa"/>
            <w:tcBorders>
              <w:right w:val="single" w:sz="6" w:space="0" w:color="auto"/>
            </w:tcBorders>
          </w:tcPr>
          <w:p w14:paraId="6FC9C5FC" w14:textId="77777777" w:rsidR="003B1129" w:rsidRPr="00C07C98"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6 </w:t>
            </w:r>
            <w:r w:rsidRPr="00193D76">
              <w:rPr>
                <w:rFonts w:ascii="Times New Roman" w:hAnsi="Times New Roman"/>
                <w:sz w:val="22"/>
                <w:szCs w:val="22"/>
                <w:lang w:val="nb-NO"/>
              </w:rPr>
              <w:t>måneder</w:t>
            </w:r>
          </w:p>
        </w:tc>
        <w:tc>
          <w:tcPr>
            <w:tcW w:w="1134" w:type="dxa"/>
            <w:tcBorders>
              <w:left w:val="single" w:sz="6" w:space="0" w:color="auto"/>
            </w:tcBorders>
          </w:tcPr>
          <w:p w14:paraId="2ABD4132" w14:textId="77777777" w:rsidR="003B1129" w:rsidRPr="009C5EFD" w:rsidRDefault="00E453CD" w:rsidP="00CC0DA9">
            <w:pPr>
              <w:pStyle w:val="In-texttable"/>
              <w:tabs>
                <w:tab w:val="decimal" w:pos="117"/>
              </w:tabs>
              <w:spacing w:line="240" w:lineRule="auto"/>
              <w:jc w:val="center"/>
              <w:rPr>
                <w:rFonts w:ascii="Times New Roman" w:hAnsi="Times New Roman"/>
                <w:sz w:val="22"/>
                <w:lang w:val="en-GB"/>
              </w:rPr>
            </w:pPr>
            <w:r w:rsidRPr="009C5EFD">
              <w:rPr>
                <w:rFonts w:ascii="Times New Roman" w:hAnsi="Times New Roman"/>
                <w:sz w:val="22"/>
                <w:szCs w:val="22"/>
                <w:lang w:val="nb-NO"/>
              </w:rPr>
              <w:t>6,7 %</w:t>
            </w:r>
          </w:p>
        </w:tc>
        <w:tc>
          <w:tcPr>
            <w:tcW w:w="1550" w:type="dxa"/>
            <w:tcBorders>
              <w:right w:val="single" w:sz="6" w:space="0" w:color="auto"/>
            </w:tcBorders>
          </w:tcPr>
          <w:p w14:paraId="397ADD54"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52,4 %</w:t>
            </w:r>
          </w:p>
        </w:tc>
        <w:tc>
          <w:tcPr>
            <w:tcW w:w="1285" w:type="dxa"/>
            <w:tcBorders>
              <w:left w:val="single" w:sz="6" w:space="0" w:color="auto"/>
            </w:tcBorders>
          </w:tcPr>
          <w:p w14:paraId="3989A1E7" w14:textId="77777777" w:rsidR="003B1129" w:rsidRPr="009C5EFD" w:rsidRDefault="00E453CD" w:rsidP="00CC0DA9">
            <w:pPr>
              <w:pStyle w:val="In-texttable"/>
              <w:tabs>
                <w:tab w:val="decimal" w:pos="151"/>
              </w:tabs>
              <w:spacing w:line="240" w:lineRule="auto"/>
              <w:jc w:val="center"/>
              <w:rPr>
                <w:rFonts w:ascii="Times New Roman" w:hAnsi="Times New Roman"/>
                <w:sz w:val="22"/>
                <w:lang w:val="en-GB"/>
              </w:rPr>
            </w:pPr>
            <w:r w:rsidRPr="009C5EFD">
              <w:rPr>
                <w:rFonts w:ascii="Times New Roman" w:hAnsi="Times New Roman"/>
                <w:sz w:val="22"/>
                <w:szCs w:val="22"/>
                <w:lang w:val="nb-NO"/>
              </w:rPr>
              <w:t>8,2 %</w:t>
            </w:r>
          </w:p>
        </w:tc>
        <w:tc>
          <w:tcPr>
            <w:tcW w:w="1268" w:type="dxa"/>
            <w:tcBorders>
              <w:right w:val="single" w:sz="6" w:space="0" w:color="auto"/>
            </w:tcBorders>
          </w:tcPr>
          <w:p w14:paraId="7014F235"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22,1 %</w:t>
            </w:r>
          </w:p>
        </w:tc>
        <w:tc>
          <w:tcPr>
            <w:tcW w:w="1284" w:type="dxa"/>
            <w:tcBorders>
              <w:left w:val="single" w:sz="6" w:space="0" w:color="auto"/>
            </w:tcBorders>
          </w:tcPr>
          <w:p w14:paraId="6E9CCC8B" w14:textId="77777777" w:rsidR="003B1129" w:rsidRPr="009C5EFD" w:rsidRDefault="00E453CD" w:rsidP="00CC0DA9">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9,5 %</w:t>
            </w:r>
          </w:p>
        </w:tc>
        <w:tc>
          <w:tcPr>
            <w:tcW w:w="1417" w:type="dxa"/>
          </w:tcPr>
          <w:p w14:paraId="105FE2EA" w14:textId="77777777" w:rsidR="003B1129" w:rsidRPr="009C5EFD" w:rsidRDefault="00E453CD" w:rsidP="00CC0DA9">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39,1 %</w:t>
            </w:r>
          </w:p>
        </w:tc>
      </w:tr>
      <w:tr w:rsidR="004644D4" w14:paraId="2F341267" w14:textId="77777777" w:rsidTr="00E04B2A">
        <w:trPr>
          <w:cantSplit/>
        </w:trPr>
        <w:tc>
          <w:tcPr>
            <w:tcW w:w="1186" w:type="dxa"/>
            <w:tcBorders>
              <w:right w:val="single" w:sz="6" w:space="0" w:color="auto"/>
            </w:tcBorders>
          </w:tcPr>
          <w:p w14:paraId="57D07468" w14:textId="77777777" w:rsidR="003B1129" w:rsidRPr="00C07C98"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12 </w:t>
            </w:r>
            <w:r w:rsidRPr="00193D76">
              <w:rPr>
                <w:rFonts w:ascii="Times New Roman" w:hAnsi="Times New Roman"/>
                <w:sz w:val="22"/>
                <w:szCs w:val="22"/>
                <w:lang w:val="nb-NO"/>
              </w:rPr>
              <w:t>måneder</w:t>
            </w:r>
          </w:p>
        </w:tc>
        <w:tc>
          <w:tcPr>
            <w:tcW w:w="1134" w:type="dxa"/>
            <w:tcBorders>
              <w:left w:val="single" w:sz="6" w:space="0" w:color="auto"/>
            </w:tcBorders>
          </w:tcPr>
          <w:p w14:paraId="730E8BAD" w14:textId="77777777" w:rsidR="003B1129" w:rsidRPr="009C5EFD" w:rsidRDefault="00E453CD" w:rsidP="00CC0DA9">
            <w:pPr>
              <w:pStyle w:val="In-texttable"/>
              <w:tabs>
                <w:tab w:val="decimal" w:pos="117"/>
              </w:tabs>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550" w:type="dxa"/>
            <w:tcBorders>
              <w:right w:val="single" w:sz="6" w:space="0" w:color="auto"/>
            </w:tcBorders>
          </w:tcPr>
          <w:p w14:paraId="10115A25" w14:textId="77777777" w:rsidR="003B1129" w:rsidRPr="009C5EFD" w:rsidRDefault="00E453CD" w:rsidP="00CC0DA9">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85" w:type="dxa"/>
            <w:tcBorders>
              <w:left w:val="single" w:sz="6" w:space="0" w:color="auto"/>
            </w:tcBorders>
          </w:tcPr>
          <w:p w14:paraId="04BBFF4F" w14:textId="77777777" w:rsidR="003B1129" w:rsidRPr="009C5EFD" w:rsidRDefault="00E453CD" w:rsidP="00CC0DA9">
            <w:pPr>
              <w:pStyle w:val="In-texttable"/>
              <w:tabs>
                <w:tab w:val="decimal" w:pos="151"/>
              </w:tabs>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68" w:type="dxa"/>
            <w:tcBorders>
              <w:right w:val="single" w:sz="6" w:space="0" w:color="auto"/>
            </w:tcBorders>
          </w:tcPr>
          <w:p w14:paraId="3B3E2037" w14:textId="77777777" w:rsidR="003B1129" w:rsidRPr="009C5EFD" w:rsidRDefault="00E453CD" w:rsidP="00CC0DA9">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84" w:type="dxa"/>
            <w:tcBorders>
              <w:left w:val="single" w:sz="6" w:space="0" w:color="auto"/>
            </w:tcBorders>
          </w:tcPr>
          <w:p w14:paraId="59669F64" w14:textId="77777777" w:rsidR="003B1129" w:rsidRPr="009C5EFD" w:rsidRDefault="00E453CD" w:rsidP="00CC0DA9">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9,5 %</w:t>
            </w:r>
          </w:p>
        </w:tc>
        <w:tc>
          <w:tcPr>
            <w:tcW w:w="1417" w:type="dxa"/>
          </w:tcPr>
          <w:p w14:paraId="50FDAF1F" w14:textId="77777777" w:rsidR="003B1129" w:rsidRPr="009C5EFD" w:rsidRDefault="00E453CD" w:rsidP="00CC0DA9">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41,5 %</w:t>
            </w:r>
          </w:p>
        </w:tc>
      </w:tr>
      <w:tr w:rsidR="004644D4" w14:paraId="163A5AC4" w14:textId="77777777" w:rsidTr="00E04B2A">
        <w:trPr>
          <w:cantSplit/>
        </w:trPr>
        <w:tc>
          <w:tcPr>
            <w:tcW w:w="1186" w:type="dxa"/>
            <w:tcBorders>
              <w:right w:val="single" w:sz="6" w:space="0" w:color="auto"/>
            </w:tcBorders>
          </w:tcPr>
          <w:p w14:paraId="7BB2C099" w14:textId="77777777" w:rsidR="003B1129" w:rsidRPr="007F67EE" w:rsidRDefault="00E453CD" w:rsidP="00CC0DA9">
            <w:pPr>
              <w:pStyle w:val="In-texttable"/>
              <w:tabs>
                <w:tab w:val="left" w:pos="144"/>
              </w:tabs>
              <w:spacing w:line="240" w:lineRule="auto"/>
              <w:rPr>
                <w:rFonts w:ascii="Times New Roman" w:hAnsi="Times New Roman"/>
                <w:sz w:val="22"/>
                <w:lang w:val="en-GB"/>
              </w:rPr>
            </w:pPr>
            <w:r>
              <w:rPr>
                <w:rFonts w:ascii="Times New Roman" w:hAnsi="Times New Roman"/>
                <w:noProof/>
                <w:lang w:val="en-GB" w:eastAsia="en-GB"/>
              </w:rPr>
              <mc:AlternateContent>
                <mc:Choice Requires="wps">
                  <w:drawing>
                    <wp:anchor distT="0" distB="0" distL="114300" distR="114300" simplePos="0" relativeHeight="251658251" behindDoc="0" locked="0" layoutInCell="0" allowOverlap="1" wp14:anchorId="2A2F542A" wp14:editId="74BC88A6">
                      <wp:simplePos x="0" y="0"/>
                      <wp:positionH relativeFrom="column">
                        <wp:posOffset>-4972050</wp:posOffset>
                      </wp:positionH>
                      <wp:positionV relativeFrom="paragraph">
                        <wp:posOffset>38735</wp:posOffset>
                      </wp:positionV>
                      <wp:extent cx="3543300" cy="342900"/>
                      <wp:effectExtent l="0" t="0" r="0" b="0"/>
                      <wp:wrapNone/>
                      <wp:docPr id="3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0333" w14:textId="77777777" w:rsidR="001F4B85" w:rsidRDefault="001F4B85" w:rsidP="003B1129">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A2F542A" id="_x0000_s1037" type="#_x0000_t202" style="position:absolute;margin-left:-391.5pt;margin-top:3.05pt;width:279pt;height:2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o0GW+oBAAC4AwAADgAAAAAAAAAAAAAAAAAuAgAAZHJzL2Uyb0RvYy54&#10;bWxQSwECLQAUAAYACAAAACEAFQe2a94AAAAKAQAADwAAAAAAAAAAAAAAAABEBAAAZHJzL2Rvd25y&#10;ZXYueG1sUEsFBgAAAAAEAAQA8wAAAE8FAAAAAA==&#10;" o:allowincell="f" stroked="f">
                      <v:textbox>
                        <w:txbxContent>
                          <w:p w14:paraId="41460333" w14:textId="77777777" w:rsidR="001F4B85" w:rsidRDefault="001F4B85" w:rsidP="003B1129">
                            <w:pPr>
                              <w:rPr>
                                <w:sz w:val="20"/>
                              </w:rPr>
                            </w:pPr>
                          </w:p>
                        </w:txbxContent>
                      </v:textbox>
                    </v:shape>
                  </w:pict>
                </mc:Fallback>
              </mc:AlternateContent>
            </w:r>
            <w:r w:rsidRPr="007F67EE">
              <w:rPr>
                <w:rFonts w:ascii="Times New Roman" w:hAnsi="Times New Roman"/>
                <w:sz w:val="22"/>
                <w:szCs w:val="22"/>
                <w:lang w:val="nb-NO"/>
              </w:rPr>
              <w:t>ACR 70</w:t>
            </w:r>
          </w:p>
        </w:tc>
        <w:tc>
          <w:tcPr>
            <w:tcW w:w="1134" w:type="dxa"/>
            <w:tcBorders>
              <w:left w:val="single" w:sz="6" w:space="0" w:color="auto"/>
            </w:tcBorders>
          </w:tcPr>
          <w:p w14:paraId="13939CDB" w14:textId="77777777" w:rsidR="003B1129" w:rsidRPr="00193D76" w:rsidRDefault="003B1129" w:rsidP="00CC0DA9">
            <w:pPr>
              <w:pStyle w:val="In-texttable"/>
              <w:tabs>
                <w:tab w:val="decimal" w:pos="117"/>
              </w:tabs>
              <w:spacing w:line="240" w:lineRule="auto"/>
              <w:jc w:val="center"/>
              <w:rPr>
                <w:rFonts w:ascii="Times New Roman" w:hAnsi="Times New Roman"/>
                <w:sz w:val="22"/>
                <w:lang w:val="en-GB"/>
              </w:rPr>
            </w:pPr>
          </w:p>
        </w:tc>
        <w:tc>
          <w:tcPr>
            <w:tcW w:w="1550" w:type="dxa"/>
            <w:tcBorders>
              <w:right w:val="single" w:sz="6" w:space="0" w:color="auto"/>
            </w:tcBorders>
          </w:tcPr>
          <w:p w14:paraId="20F526FF" w14:textId="77777777" w:rsidR="003B1129" w:rsidRPr="002D0790" w:rsidRDefault="003B1129" w:rsidP="00CC0DA9">
            <w:pPr>
              <w:pStyle w:val="In-texttable"/>
              <w:spacing w:line="240" w:lineRule="auto"/>
              <w:jc w:val="center"/>
              <w:rPr>
                <w:rFonts w:ascii="Times New Roman" w:hAnsi="Times New Roman"/>
                <w:sz w:val="22"/>
                <w:lang w:val="en-GB"/>
              </w:rPr>
            </w:pPr>
          </w:p>
        </w:tc>
        <w:tc>
          <w:tcPr>
            <w:tcW w:w="1285" w:type="dxa"/>
            <w:tcBorders>
              <w:left w:val="single" w:sz="6" w:space="0" w:color="auto"/>
            </w:tcBorders>
          </w:tcPr>
          <w:p w14:paraId="77E5C945" w14:textId="77777777" w:rsidR="003B1129" w:rsidRPr="00C07C98" w:rsidRDefault="003B1129" w:rsidP="00CC0DA9">
            <w:pPr>
              <w:pStyle w:val="In-texttable"/>
              <w:tabs>
                <w:tab w:val="decimal" w:pos="151"/>
              </w:tabs>
              <w:spacing w:line="240" w:lineRule="auto"/>
              <w:jc w:val="center"/>
              <w:rPr>
                <w:rFonts w:ascii="Times New Roman" w:hAnsi="Times New Roman"/>
                <w:sz w:val="22"/>
                <w:lang w:val="en-GB"/>
              </w:rPr>
            </w:pPr>
          </w:p>
        </w:tc>
        <w:tc>
          <w:tcPr>
            <w:tcW w:w="1268" w:type="dxa"/>
            <w:tcBorders>
              <w:right w:val="single" w:sz="6" w:space="0" w:color="auto"/>
            </w:tcBorders>
          </w:tcPr>
          <w:p w14:paraId="45674497" w14:textId="77777777" w:rsidR="003B1129" w:rsidRPr="00C07C98" w:rsidRDefault="003B1129" w:rsidP="00CC0DA9">
            <w:pPr>
              <w:pStyle w:val="In-texttable"/>
              <w:spacing w:line="240" w:lineRule="auto"/>
              <w:jc w:val="center"/>
              <w:rPr>
                <w:rFonts w:ascii="Times New Roman" w:hAnsi="Times New Roman"/>
                <w:sz w:val="22"/>
                <w:lang w:val="en-GB"/>
              </w:rPr>
            </w:pPr>
          </w:p>
        </w:tc>
        <w:tc>
          <w:tcPr>
            <w:tcW w:w="1284" w:type="dxa"/>
            <w:tcBorders>
              <w:left w:val="single" w:sz="6" w:space="0" w:color="auto"/>
            </w:tcBorders>
          </w:tcPr>
          <w:p w14:paraId="25BF3DAF" w14:textId="77777777" w:rsidR="003B1129" w:rsidRPr="00E14E58" w:rsidRDefault="003B1129" w:rsidP="00CC0DA9">
            <w:pPr>
              <w:pStyle w:val="In-texttable"/>
              <w:tabs>
                <w:tab w:val="decimal" w:pos="567"/>
              </w:tabs>
              <w:spacing w:line="240" w:lineRule="auto"/>
              <w:rPr>
                <w:rFonts w:ascii="Times New Roman" w:hAnsi="Times New Roman"/>
                <w:sz w:val="22"/>
                <w:lang w:val="en-GB"/>
              </w:rPr>
            </w:pPr>
          </w:p>
        </w:tc>
        <w:tc>
          <w:tcPr>
            <w:tcW w:w="1417" w:type="dxa"/>
          </w:tcPr>
          <w:p w14:paraId="34AE1A79" w14:textId="77777777" w:rsidR="003B1129" w:rsidRPr="009C5EFD" w:rsidRDefault="003B1129" w:rsidP="00CC0DA9">
            <w:pPr>
              <w:pStyle w:val="In-texttable"/>
              <w:tabs>
                <w:tab w:val="decimal" w:pos="662"/>
              </w:tabs>
              <w:spacing w:line="240" w:lineRule="auto"/>
              <w:rPr>
                <w:rFonts w:ascii="Times New Roman" w:hAnsi="Times New Roman"/>
                <w:sz w:val="22"/>
                <w:lang w:val="en-GB"/>
              </w:rPr>
            </w:pPr>
          </w:p>
        </w:tc>
      </w:tr>
      <w:tr w:rsidR="004644D4" w14:paraId="6930D0F1" w14:textId="77777777" w:rsidTr="00E04B2A">
        <w:trPr>
          <w:cantSplit/>
        </w:trPr>
        <w:tc>
          <w:tcPr>
            <w:tcW w:w="1186" w:type="dxa"/>
            <w:tcBorders>
              <w:right w:val="single" w:sz="6" w:space="0" w:color="auto"/>
            </w:tcBorders>
          </w:tcPr>
          <w:p w14:paraId="57B8DDA1" w14:textId="77777777" w:rsidR="003B1129" w:rsidRPr="00C07C98"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6 </w:t>
            </w:r>
            <w:r w:rsidRPr="00193D76">
              <w:rPr>
                <w:rFonts w:ascii="Times New Roman" w:hAnsi="Times New Roman"/>
                <w:sz w:val="22"/>
                <w:szCs w:val="22"/>
                <w:lang w:val="nb-NO"/>
              </w:rPr>
              <w:t>måneder</w:t>
            </w:r>
          </w:p>
        </w:tc>
        <w:tc>
          <w:tcPr>
            <w:tcW w:w="1134" w:type="dxa"/>
            <w:tcBorders>
              <w:left w:val="single" w:sz="6" w:space="0" w:color="auto"/>
            </w:tcBorders>
          </w:tcPr>
          <w:p w14:paraId="6A1B4DD1" w14:textId="77777777" w:rsidR="003B1129" w:rsidRPr="009C5EFD" w:rsidRDefault="00E453CD" w:rsidP="00CC0DA9">
            <w:pPr>
              <w:pStyle w:val="In-texttable"/>
              <w:tabs>
                <w:tab w:val="decimal" w:pos="117"/>
              </w:tabs>
              <w:spacing w:line="240" w:lineRule="auto"/>
              <w:jc w:val="center"/>
              <w:rPr>
                <w:rFonts w:ascii="Times New Roman" w:hAnsi="Times New Roman"/>
                <w:sz w:val="22"/>
                <w:lang w:val="en-GB"/>
              </w:rPr>
            </w:pPr>
            <w:r w:rsidRPr="009C5EFD">
              <w:rPr>
                <w:rFonts w:ascii="Times New Roman" w:hAnsi="Times New Roman"/>
                <w:sz w:val="22"/>
                <w:szCs w:val="22"/>
                <w:lang w:val="nb-NO"/>
              </w:rPr>
              <w:t>3,3 %</w:t>
            </w:r>
          </w:p>
        </w:tc>
        <w:tc>
          <w:tcPr>
            <w:tcW w:w="1550" w:type="dxa"/>
            <w:tcBorders>
              <w:right w:val="single" w:sz="6" w:space="0" w:color="auto"/>
            </w:tcBorders>
          </w:tcPr>
          <w:p w14:paraId="34852D15"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23,8 %</w:t>
            </w:r>
          </w:p>
        </w:tc>
        <w:tc>
          <w:tcPr>
            <w:tcW w:w="1285" w:type="dxa"/>
            <w:tcBorders>
              <w:left w:val="single" w:sz="6" w:space="0" w:color="auto"/>
            </w:tcBorders>
          </w:tcPr>
          <w:p w14:paraId="741F5684" w14:textId="77777777" w:rsidR="003B1129" w:rsidRPr="009C5EFD" w:rsidRDefault="00E453CD" w:rsidP="00CC0DA9">
            <w:pPr>
              <w:pStyle w:val="In-texttable"/>
              <w:tabs>
                <w:tab w:val="decimal" w:pos="151"/>
              </w:tabs>
              <w:spacing w:line="240" w:lineRule="auto"/>
              <w:jc w:val="center"/>
              <w:rPr>
                <w:rFonts w:ascii="Times New Roman" w:hAnsi="Times New Roman"/>
                <w:sz w:val="22"/>
                <w:lang w:val="en-GB"/>
              </w:rPr>
            </w:pPr>
            <w:r w:rsidRPr="009C5EFD">
              <w:rPr>
                <w:rFonts w:ascii="Times New Roman" w:hAnsi="Times New Roman"/>
                <w:sz w:val="22"/>
                <w:szCs w:val="22"/>
                <w:lang w:val="nb-NO"/>
              </w:rPr>
              <w:t>1,8 %</w:t>
            </w:r>
          </w:p>
        </w:tc>
        <w:tc>
          <w:tcPr>
            <w:tcW w:w="1268" w:type="dxa"/>
            <w:tcBorders>
              <w:right w:val="single" w:sz="6" w:space="0" w:color="auto"/>
            </w:tcBorders>
          </w:tcPr>
          <w:p w14:paraId="714708A0"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12,4 %</w:t>
            </w:r>
          </w:p>
        </w:tc>
        <w:tc>
          <w:tcPr>
            <w:tcW w:w="1284" w:type="dxa"/>
            <w:tcBorders>
              <w:left w:val="single" w:sz="6" w:space="0" w:color="auto"/>
            </w:tcBorders>
          </w:tcPr>
          <w:p w14:paraId="4D22D9EF" w14:textId="77777777" w:rsidR="003B1129" w:rsidRPr="009C5EFD" w:rsidRDefault="00E453CD" w:rsidP="00CC0DA9">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2,5 %</w:t>
            </w:r>
          </w:p>
        </w:tc>
        <w:tc>
          <w:tcPr>
            <w:tcW w:w="1417" w:type="dxa"/>
          </w:tcPr>
          <w:p w14:paraId="4D0F90BF" w14:textId="77777777" w:rsidR="003B1129" w:rsidRPr="009C5EFD" w:rsidRDefault="00E453CD" w:rsidP="00CC0DA9">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20,8 %</w:t>
            </w:r>
          </w:p>
        </w:tc>
      </w:tr>
      <w:tr w:rsidR="004644D4" w14:paraId="09C5F344" w14:textId="77777777" w:rsidTr="00E04B2A">
        <w:trPr>
          <w:cantSplit/>
        </w:trPr>
        <w:tc>
          <w:tcPr>
            <w:tcW w:w="1186" w:type="dxa"/>
            <w:tcBorders>
              <w:bottom w:val="single" w:sz="6" w:space="0" w:color="auto"/>
              <w:right w:val="single" w:sz="6" w:space="0" w:color="auto"/>
            </w:tcBorders>
          </w:tcPr>
          <w:p w14:paraId="10CC9A6D" w14:textId="77777777" w:rsidR="003B1129" w:rsidRPr="00C07C98" w:rsidRDefault="00E453CD" w:rsidP="00CC0DA9">
            <w:pPr>
              <w:pStyle w:val="In-texttable"/>
              <w:tabs>
                <w:tab w:val="left" w:pos="144"/>
              </w:tabs>
              <w:spacing w:line="240" w:lineRule="auto"/>
              <w:rPr>
                <w:rFonts w:ascii="Times New Roman" w:hAnsi="Times New Roman"/>
                <w:sz w:val="22"/>
                <w:lang w:val="en-GB"/>
              </w:rPr>
            </w:pPr>
            <w:r w:rsidRPr="007F67EE">
              <w:rPr>
                <w:rFonts w:ascii="Times New Roman" w:hAnsi="Times New Roman"/>
                <w:sz w:val="22"/>
                <w:szCs w:val="22"/>
                <w:lang w:val="nb-NO"/>
              </w:rPr>
              <w:tab/>
              <w:t>12 </w:t>
            </w:r>
            <w:r w:rsidRPr="00193D76">
              <w:rPr>
                <w:rFonts w:ascii="Times New Roman" w:hAnsi="Times New Roman"/>
                <w:sz w:val="22"/>
                <w:szCs w:val="22"/>
                <w:lang w:val="nb-NO"/>
              </w:rPr>
              <w:t>måneder</w:t>
            </w:r>
          </w:p>
        </w:tc>
        <w:tc>
          <w:tcPr>
            <w:tcW w:w="1134" w:type="dxa"/>
            <w:tcBorders>
              <w:left w:val="single" w:sz="6" w:space="0" w:color="auto"/>
              <w:bottom w:val="single" w:sz="6" w:space="0" w:color="auto"/>
            </w:tcBorders>
          </w:tcPr>
          <w:p w14:paraId="144CF827" w14:textId="77777777" w:rsidR="003B1129" w:rsidRPr="009C5EFD" w:rsidRDefault="00E453CD" w:rsidP="00CC0DA9">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550" w:type="dxa"/>
            <w:tcBorders>
              <w:bottom w:val="single" w:sz="6" w:space="0" w:color="auto"/>
              <w:right w:val="single" w:sz="6" w:space="0" w:color="auto"/>
            </w:tcBorders>
          </w:tcPr>
          <w:p w14:paraId="67D8BE9E" w14:textId="77777777" w:rsidR="003B1129" w:rsidRPr="009C5EFD" w:rsidRDefault="00E453CD" w:rsidP="00CC0DA9">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85" w:type="dxa"/>
            <w:tcBorders>
              <w:left w:val="single" w:sz="6" w:space="0" w:color="auto"/>
              <w:bottom w:val="single" w:sz="6" w:space="0" w:color="auto"/>
            </w:tcBorders>
          </w:tcPr>
          <w:p w14:paraId="0115940F" w14:textId="77777777" w:rsidR="003B1129" w:rsidRPr="009C5EFD" w:rsidRDefault="00E453CD" w:rsidP="00CC0DA9">
            <w:pPr>
              <w:pStyle w:val="In-texttable"/>
              <w:spacing w:line="240" w:lineRule="auto"/>
              <w:jc w:val="center"/>
              <w:rPr>
                <w:rFonts w:ascii="Times New Roman" w:hAnsi="Times New Roman"/>
                <w:sz w:val="22"/>
                <w:lang w:val="it-IT"/>
              </w:rPr>
            </w:pPr>
            <w:r w:rsidRPr="009C5EFD">
              <w:rPr>
                <w:rFonts w:ascii="Times New Roman" w:hAnsi="Times New Roman"/>
                <w:sz w:val="22"/>
                <w:szCs w:val="22"/>
                <w:lang w:val="nb-NO"/>
              </w:rPr>
              <w:t>NA</w:t>
            </w:r>
          </w:p>
        </w:tc>
        <w:tc>
          <w:tcPr>
            <w:tcW w:w="1268" w:type="dxa"/>
            <w:tcBorders>
              <w:bottom w:val="single" w:sz="6" w:space="0" w:color="auto"/>
              <w:right w:val="single" w:sz="6" w:space="0" w:color="auto"/>
            </w:tcBorders>
          </w:tcPr>
          <w:p w14:paraId="33DDC310" w14:textId="77777777" w:rsidR="003B1129" w:rsidRPr="009C5EFD" w:rsidRDefault="00E453CD" w:rsidP="00CC0DA9">
            <w:pPr>
              <w:pStyle w:val="In-texttable"/>
              <w:spacing w:line="240" w:lineRule="auto"/>
              <w:jc w:val="center"/>
              <w:rPr>
                <w:rFonts w:ascii="Times New Roman" w:hAnsi="Times New Roman"/>
                <w:sz w:val="22"/>
                <w:lang w:val="en-GB"/>
              </w:rPr>
            </w:pPr>
            <w:r w:rsidRPr="009C5EFD">
              <w:rPr>
                <w:rFonts w:ascii="Times New Roman" w:hAnsi="Times New Roman"/>
                <w:sz w:val="22"/>
                <w:szCs w:val="22"/>
                <w:lang w:val="nb-NO"/>
              </w:rPr>
              <w:t>NA</w:t>
            </w:r>
          </w:p>
        </w:tc>
        <w:tc>
          <w:tcPr>
            <w:tcW w:w="1284" w:type="dxa"/>
            <w:tcBorders>
              <w:left w:val="single" w:sz="6" w:space="0" w:color="auto"/>
              <w:bottom w:val="single" w:sz="6" w:space="0" w:color="auto"/>
            </w:tcBorders>
          </w:tcPr>
          <w:p w14:paraId="5D911ED2" w14:textId="77777777" w:rsidR="003B1129" w:rsidRPr="009C5EFD" w:rsidRDefault="00E453CD" w:rsidP="00CC0DA9">
            <w:pPr>
              <w:pStyle w:val="In-texttable"/>
              <w:tabs>
                <w:tab w:val="decimal" w:pos="567"/>
              </w:tabs>
              <w:spacing w:line="240" w:lineRule="auto"/>
              <w:rPr>
                <w:rFonts w:ascii="Times New Roman" w:hAnsi="Times New Roman"/>
                <w:sz w:val="22"/>
                <w:lang w:val="en-GB"/>
              </w:rPr>
            </w:pPr>
            <w:r w:rsidRPr="009C5EFD">
              <w:rPr>
                <w:rFonts w:ascii="Times New Roman" w:hAnsi="Times New Roman"/>
                <w:sz w:val="22"/>
                <w:szCs w:val="22"/>
                <w:lang w:val="nb-NO"/>
              </w:rPr>
              <w:t>4,5 %</w:t>
            </w:r>
          </w:p>
        </w:tc>
        <w:tc>
          <w:tcPr>
            <w:tcW w:w="1417" w:type="dxa"/>
            <w:tcBorders>
              <w:bottom w:val="single" w:sz="6" w:space="0" w:color="auto"/>
            </w:tcBorders>
          </w:tcPr>
          <w:p w14:paraId="235833BF" w14:textId="77777777" w:rsidR="003B1129" w:rsidRPr="009C5EFD" w:rsidRDefault="00E453CD" w:rsidP="00CC0DA9">
            <w:pPr>
              <w:pStyle w:val="In-texttable"/>
              <w:tabs>
                <w:tab w:val="decimal" w:pos="662"/>
              </w:tabs>
              <w:spacing w:line="240" w:lineRule="auto"/>
              <w:rPr>
                <w:rFonts w:ascii="Times New Roman" w:hAnsi="Times New Roman"/>
                <w:sz w:val="22"/>
                <w:lang w:val="en-GB"/>
              </w:rPr>
            </w:pPr>
            <w:r w:rsidRPr="009C5EFD">
              <w:rPr>
                <w:rFonts w:ascii="Times New Roman" w:hAnsi="Times New Roman"/>
                <w:sz w:val="22"/>
                <w:szCs w:val="22"/>
                <w:lang w:val="nb-NO"/>
              </w:rPr>
              <w:t>23,2 %</w:t>
            </w:r>
          </w:p>
        </w:tc>
      </w:tr>
      <w:tr w:rsidR="004644D4" w14:paraId="46286BC2" w14:textId="77777777" w:rsidTr="00CC0DA9">
        <w:trPr>
          <w:cantSplit/>
        </w:trPr>
        <w:tc>
          <w:tcPr>
            <w:tcW w:w="9124" w:type="dxa"/>
            <w:gridSpan w:val="7"/>
          </w:tcPr>
          <w:p w14:paraId="0A12391F" w14:textId="77777777" w:rsidR="003B1129" w:rsidRPr="007F67EE" w:rsidRDefault="00E453CD" w:rsidP="00CC0DA9">
            <w:pPr>
              <w:pStyle w:val="In-textfootnote"/>
              <w:spacing w:before="0" w:line="240" w:lineRule="auto"/>
              <w:ind w:left="144" w:hanging="144"/>
              <w:rPr>
                <w:rFonts w:ascii="Times New Roman" w:hAnsi="Times New Roman"/>
                <w:sz w:val="22"/>
                <w:szCs w:val="22"/>
                <w:lang w:val="nb-NO"/>
              </w:rPr>
            </w:pPr>
            <w:r w:rsidRPr="007F67EE">
              <w:rPr>
                <w:rFonts w:ascii="Times New Roman" w:hAnsi="Times New Roman"/>
                <w:sz w:val="22"/>
                <w:szCs w:val="22"/>
                <w:vertAlign w:val="superscript"/>
                <w:lang w:val="nb-NO"/>
              </w:rPr>
              <w:t>a</w:t>
            </w:r>
            <w:r w:rsidRPr="007F67EE">
              <w:rPr>
                <w:rFonts w:ascii="Times New Roman" w:hAnsi="Times New Roman"/>
                <w:sz w:val="22"/>
                <w:szCs w:val="22"/>
                <w:lang w:val="nb-NO"/>
              </w:rPr>
              <w:tab/>
              <w:t>RA-studie I ved 24 uker, RA-studie II ved 26 uker og RA-studie III ved 24 og 52 uker</w:t>
            </w:r>
          </w:p>
          <w:p w14:paraId="7825FD53" w14:textId="77777777" w:rsidR="003B1129" w:rsidRPr="00C07C98" w:rsidRDefault="00E453CD" w:rsidP="00CC0DA9">
            <w:pPr>
              <w:pStyle w:val="In-textfootnote"/>
              <w:spacing w:before="0" w:line="240" w:lineRule="auto"/>
              <w:ind w:left="144" w:hanging="144"/>
              <w:rPr>
                <w:rFonts w:ascii="Times New Roman" w:hAnsi="Times New Roman"/>
                <w:sz w:val="22"/>
                <w:szCs w:val="22"/>
                <w:lang w:val="nb-NO"/>
              </w:rPr>
            </w:pPr>
            <w:r w:rsidRPr="00193D76">
              <w:rPr>
                <w:rFonts w:ascii="Times New Roman" w:hAnsi="Times New Roman"/>
                <w:sz w:val="22"/>
                <w:szCs w:val="22"/>
                <w:vertAlign w:val="superscript"/>
                <w:lang w:val="nb-NO"/>
              </w:rPr>
              <w:t>b</w:t>
            </w:r>
            <w:r w:rsidRPr="002D0790">
              <w:rPr>
                <w:rFonts w:ascii="Times New Roman" w:hAnsi="Times New Roman"/>
                <w:sz w:val="22"/>
                <w:szCs w:val="22"/>
                <w:lang w:val="nb-NO"/>
              </w:rPr>
              <w:tab/>
              <w:t>40 mg Humira administrert annenhver uke</w:t>
            </w:r>
          </w:p>
          <w:p w14:paraId="647459A7" w14:textId="77777777" w:rsidR="003B1129" w:rsidRPr="001F5D4B" w:rsidRDefault="00E453CD" w:rsidP="00CC0DA9">
            <w:pPr>
              <w:pStyle w:val="In-textfootnote"/>
              <w:spacing w:before="0" w:line="240" w:lineRule="auto"/>
              <w:ind w:left="144" w:hanging="144"/>
              <w:rPr>
                <w:rFonts w:ascii="Times New Roman" w:hAnsi="Times New Roman"/>
                <w:sz w:val="22"/>
                <w:szCs w:val="22"/>
                <w:lang w:val="sv-SE"/>
              </w:rPr>
            </w:pPr>
            <w:r w:rsidRPr="001F5D4B">
              <w:rPr>
                <w:rFonts w:ascii="Times New Roman" w:hAnsi="Times New Roman"/>
                <w:sz w:val="22"/>
                <w:szCs w:val="22"/>
                <w:vertAlign w:val="superscript"/>
                <w:lang w:val="sv-SE"/>
              </w:rPr>
              <w:t>c</w:t>
            </w:r>
            <w:r w:rsidRPr="001F5D4B">
              <w:rPr>
                <w:rFonts w:ascii="Times New Roman" w:hAnsi="Times New Roman"/>
                <w:sz w:val="22"/>
                <w:szCs w:val="22"/>
                <w:lang w:val="sv-SE"/>
              </w:rPr>
              <w:t xml:space="preserve"> MTX = metotreksat</w:t>
            </w:r>
          </w:p>
          <w:p w14:paraId="5EA04949" w14:textId="77777777" w:rsidR="003B1129" w:rsidRPr="009C5EFD" w:rsidRDefault="00E453CD" w:rsidP="00CC0DA9">
            <w:pPr>
              <w:pStyle w:val="In-textfootnote"/>
              <w:spacing w:before="0" w:line="240" w:lineRule="auto"/>
              <w:ind w:left="144" w:hanging="144"/>
              <w:rPr>
                <w:rFonts w:ascii="Times New Roman" w:hAnsi="Times New Roman"/>
                <w:sz w:val="22"/>
                <w:lang w:val="fr-FR"/>
              </w:rPr>
            </w:pPr>
            <w:r w:rsidRPr="001F5D4B">
              <w:rPr>
                <w:rFonts w:ascii="Times New Roman" w:hAnsi="Times New Roman"/>
                <w:sz w:val="22"/>
                <w:szCs w:val="22"/>
                <w:lang w:val="sv-SE"/>
              </w:rPr>
              <w:t xml:space="preserve">**p &lt; 0,01, Humira </w:t>
            </w:r>
            <w:r w:rsidRPr="001F5D4B">
              <w:rPr>
                <w:rFonts w:ascii="Times New Roman" w:hAnsi="Times New Roman"/>
                <w:i/>
                <w:sz w:val="22"/>
                <w:szCs w:val="22"/>
                <w:lang w:val="sv-SE"/>
              </w:rPr>
              <w:t>versus</w:t>
            </w:r>
            <w:r w:rsidRPr="001F5D4B">
              <w:rPr>
                <w:rFonts w:ascii="Times New Roman" w:hAnsi="Times New Roman"/>
                <w:sz w:val="22"/>
                <w:szCs w:val="22"/>
                <w:lang w:val="sv-SE"/>
              </w:rPr>
              <w:t xml:space="preserve"> placebo</w:t>
            </w:r>
          </w:p>
        </w:tc>
      </w:tr>
    </w:tbl>
    <w:p w14:paraId="17BABD15" w14:textId="77777777" w:rsidR="003B1129" w:rsidRPr="001F5D4B" w:rsidRDefault="003B1129" w:rsidP="003B1129">
      <w:pPr>
        <w:rPr>
          <w:sz w:val="22"/>
          <w:szCs w:val="22"/>
          <w:lang w:val="sv-SE"/>
        </w:rPr>
      </w:pPr>
    </w:p>
    <w:p w14:paraId="71F48CAB" w14:textId="77777777" w:rsidR="003B1129" w:rsidRPr="009C5EFD" w:rsidRDefault="00E453CD" w:rsidP="003B1129">
      <w:pPr>
        <w:rPr>
          <w:sz w:val="22"/>
          <w:szCs w:val="22"/>
        </w:rPr>
      </w:pPr>
      <w:r w:rsidRPr="00C07C98">
        <w:rPr>
          <w:sz w:val="22"/>
          <w:szCs w:val="22"/>
        </w:rPr>
        <w:t xml:space="preserve">I RA-studiene I-IV var det bedring etter 24 og 26 uker sammenlignet med placebo av alle individuelle komponenter for ACR-responskriteriene (antall ømme og hovne ledd, legens og pasientens vurdering </w:t>
      </w:r>
      <w:r w:rsidRPr="00C07C98">
        <w:rPr>
          <w:sz w:val="22"/>
          <w:szCs w:val="22"/>
        </w:rPr>
        <w:lastRenderedPageBreak/>
        <w:t>a</w:t>
      </w:r>
      <w:r w:rsidRPr="00E14E58">
        <w:rPr>
          <w:sz w:val="22"/>
          <w:szCs w:val="22"/>
        </w:rPr>
        <w:t xml:space="preserve">v sykdomsaktivitet og smerte, uførhetsindeks (HAQ) og CRP-verdier (mg/dl)). I RA-studie III vedvarte disse forbedringene frem til </w:t>
      </w:r>
      <w:r w:rsidRPr="009C5EFD">
        <w:rPr>
          <w:sz w:val="22"/>
          <w:szCs w:val="22"/>
        </w:rPr>
        <w:t>uke 52.</w:t>
      </w:r>
    </w:p>
    <w:p w14:paraId="4DC5653F" w14:textId="77777777" w:rsidR="003B1129" w:rsidRPr="009C5EFD" w:rsidRDefault="003B1129" w:rsidP="003B1129">
      <w:pPr>
        <w:rPr>
          <w:sz w:val="22"/>
          <w:szCs w:val="22"/>
        </w:rPr>
      </w:pPr>
    </w:p>
    <w:p w14:paraId="28C9F5BC" w14:textId="77777777" w:rsidR="003B1129" w:rsidRPr="009C5EFD" w:rsidRDefault="00E453CD" w:rsidP="003B1129">
      <w:pPr>
        <w:rPr>
          <w:sz w:val="22"/>
          <w:szCs w:val="22"/>
        </w:rPr>
      </w:pPr>
      <w:r w:rsidRPr="009C5EFD">
        <w:rPr>
          <w:sz w:val="22"/>
          <w:szCs w:val="22"/>
        </w:rPr>
        <w:t xml:space="preserve">I den åpne forlengelsen av RA-studie III, vedlikeholdt de fleste pasientene som var ACR respondere sin respons ved oppfølging i opptil 10 år. Av 207 pasienter som ble randomisert til 40 mg Humira annenhver uke fortsatte 114 pasienter behandling med 40 mg Humira annenhver uke i 5 år. Blant disse hadde 86 pasienter (75,4 %) ACR </w:t>
      </w:r>
      <w:r w:rsidR="00EC5A19">
        <w:rPr>
          <w:sz w:val="22"/>
          <w:szCs w:val="22"/>
        </w:rPr>
        <w:t>20-respons</w:t>
      </w:r>
      <w:r w:rsidRPr="009C5EFD">
        <w:rPr>
          <w:sz w:val="22"/>
          <w:szCs w:val="22"/>
        </w:rPr>
        <w:t xml:space="preserve">, 72 pasienter (63,2 %) hadde ACR </w:t>
      </w:r>
      <w:r w:rsidR="00EC5A19">
        <w:rPr>
          <w:sz w:val="22"/>
          <w:szCs w:val="22"/>
        </w:rPr>
        <w:t>50-respons</w:t>
      </w:r>
      <w:r w:rsidRPr="009C5EFD">
        <w:rPr>
          <w:sz w:val="22"/>
          <w:szCs w:val="22"/>
        </w:rPr>
        <w:t xml:space="preserve"> og 41 pasienter (36,0 %) hadde ACR </w:t>
      </w:r>
      <w:r w:rsidR="00366B6C">
        <w:rPr>
          <w:sz w:val="22"/>
          <w:szCs w:val="22"/>
        </w:rPr>
        <w:t>70-respons</w:t>
      </w:r>
      <w:r w:rsidRPr="009C5EFD">
        <w:rPr>
          <w:sz w:val="22"/>
          <w:szCs w:val="22"/>
        </w:rPr>
        <w:t>. Av 207 pasienter fortsatte 81 </w:t>
      </w:r>
      <w:r w:rsidR="003B49EC">
        <w:rPr>
          <w:sz w:val="22"/>
          <w:szCs w:val="22"/>
        </w:rPr>
        <w:t xml:space="preserve">pasienter </w:t>
      </w:r>
      <w:r w:rsidR="002353DA">
        <w:rPr>
          <w:sz w:val="22"/>
          <w:szCs w:val="22"/>
        </w:rPr>
        <w:t>med</w:t>
      </w:r>
      <w:r w:rsidRPr="009C5EFD">
        <w:rPr>
          <w:sz w:val="22"/>
          <w:szCs w:val="22"/>
        </w:rPr>
        <w:t xml:space="preserve"> 40 mg Humira annenhver uke i 10 år. Blant disse hadde 64 pasienter (79,0 %) ACR </w:t>
      </w:r>
      <w:r w:rsidR="00EC5A19">
        <w:rPr>
          <w:sz w:val="22"/>
          <w:szCs w:val="22"/>
        </w:rPr>
        <w:t>20-respons</w:t>
      </w:r>
      <w:r w:rsidRPr="009C5EFD">
        <w:rPr>
          <w:sz w:val="22"/>
          <w:szCs w:val="22"/>
        </w:rPr>
        <w:t xml:space="preserve">, 56 pasienter (69,1 %) hadde ACR </w:t>
      </w:r>
      <w:r w:rsidR="00EC5A19">
        <w:rPr>
          <w:sz w:val="22"/>
          <w:szCs w:val="22"/>
        </w:rPr>
        <w:t>50-respons</w:t>
      </w:r>
      <w:r w:rsidRPr="009C5EFD">
        <w:rPr>
          <w:sz w:val="22"/>
          <w:szCs w:val="22"/>
        </w:rPr>
        <w:t xml:space="preserve"> og 43 pasienter (53,1 %) hadde ACR </w:t>
      </w:r>
      <w:r w:rsidR="00366B6C">
        <w:rPr>
          <w:sz w:val="22"/>
          <w:szCs w:val="22"/>
        </w:rPr>
        <w:t>70-respons</w:t>
      </w:r>
      <w:r w:rsidRPr="009C5EFD">
        <w:rPr>
          <w:sz w:val="22"/>
          <w:szCs w:val="22"/>
        </w:rPr>
        <w:t>.</w:t>
      </w:r>
    </w:p>
    <w:p w14:paraId="66E4EA96" w14:textId="77777777" w:rsidR="003B1129" w:rsidRPr="009C5EFD" w:rsidRDefault="003B1129" w:rsidP="003B1129">
      <w:pPr>
        <w:rPr>
          <w:sz w:val="22"/>
          <w:szCs w:val="22"/>
        </w:rPr>
      </w:pPr>
    </w:p>
    <w:p w14:paraId="77086CA8" w14:textId="77777777" w:rsidR="003B1129" w:rsidRPr="009C5EFD" w:rsidRDefault="00E453CD" w:rsidP="003B1129">
      <w:pPr>
        <w:rPr>
          <w:sz w:val="22"/>
          <w:szCs w:val="22"/>
        </w:rPr>
      </w:pPr>
      <w:r w:rsidRPr="009C5EFD">
        <w:rPr>
          <w:sz w:val="22"/>
          <w:szCs w:val="22"/>
        </w:rPr>
        <w:t>I RA-studie IV var ACR 20-respons hos pasienter som fikk Humira samt standardomsorg statistisk signifikant bedre enn hos pasienter som fikk placebo samt standardomsorg (p</w:t>
      </w:r>
      <w:r w:rsidR="003C4D79">
        <w:rPr>
          <w:sz w:val="22"/>
          <w:szCs w:val="22"/>
        </w:rPr>
        <w:t> </w:t>
      </w:r>
      <w:r w:rsidRPr="009C5EFD">
        <w:rPr>
          <w:sz w:val="22"/>
          <w:szCs w:val="22"/>
        </w:rPr>
        <w:t>&lt;</w:t>
      </w:r>
      <w:r w:rsidR="003C4D79">
        <w:rPr>
          <w:sz w:val="22"/>
          <w:szCs w:val="22"/>
        </w:rPr>
        <w:t> </w:t>
      </w:r>
      <w:r w:rsidRPr="009C5EFD">
        <w:rPr>
          <w:sz w:val="22"/>
          <w:szCs w:val="22"/>
        </w:rPr>
        <w:t xml:space="preserve">0,001). </w:t>
      </w:r>
    </w:p>
    <w:p w14:paraId="193D6604" w14:textId="77777777" w:rsidR="003B1129" w:rsidRPr="009C5EFD" w:rsidRDefault="003B1129" w:rsidP="003B1129">
      <w:pPr>
        <w:rPr>
          <w:sz w:val="22"/>
          <w:szCs w:val="22"/>
        </w:rPr>
      </w:pPr>
    </w:p>
    <w:p w14:paraId="637F5A07" w14:textId="77777777" w:rsidR="003B1129" w:rsidRPr="009C5EFD" w:rsidRDefault="00E453CD" w:rsidP="003B1129">
      <w:pPr>
        <w:rPr>
          <w:sz w:val="22"/>
          <w:szCs w:val="22"/>
        </w:rPr>
      </w:pPr>
      <w:r w:rsidRPr="009C5EFD">
        <w:rPr>
          <w:sz w:val="22"/>
          <w:szCs w:val="22"/>
        </w:rPr>
        <w:t>I RA-studiene I-IV oppnådde Humira-behandlede pasienter statistisk signifikant ACR 20- og 50</w:t>
      </w:r>
      <w:r w:rsidR="003C4D79">
        <w:rPr>
          <w:sz w:val="22"/>
          <w:szCs w:val="22"/>
        </w:rPr>
        <w:noBreakHyphen/>
      </w:r>
      <w:r w:rsidRPr="009C5EFD">
        <w:rPr>
          <w:sz w:val="22"/>
          <w:szCs w:val="22"/>
        </w:rPr>
        <w:t xml:space="preserve">respons sammenlignet med placebo så tidlig som en til to uker etter at behandlingen var initiert. </w:t>
      </w:r>
    </w:p>
    <w:p w14:paraId="27ADAFB0" w14:textId="77777777" w:rsidR="003B1129" w:rsidRPr="009C5EFD" w:rsidRDefault="003B1129" w:rsidP="003B1129">
      <w:pPr>
        <w:rPr>
          <w:sz w:val="22"/>
          <w:szCs w:val="22"/>
        </w:rPr>
      </w:pPr>
    </w:p>
    <w:p w14:paraId="4D39B10D" w14:textId="77777777" w:rsidR="003B1129" w:rsidRPr="009C5EFD" w:rsidRDefault="00E453CD" w:rsidP="003B1129">
      <w:pPr>
        <w:rPr>
          <w:sz w:val="22"/>
          <w:szCs w:val="22"/>
        </w:rPr>
      </w:pPr>
      <w:r w:rsidRPr="009C5EFD">
        <w:rPr>
          <w:sz w:val="22"/>
          <w:szCs w:val="22"/>
        </w:rPr>
        <w:t xml:space="preserve">I RA-studie V med pasienter med tidlig revmatoid artritt og som ikke tidligere var behandlet med metotreksat, førte kombinasjonsbehandlingen med Humira og metotreksat til raskere og signifikant større ACR-responser enn metotreksat monoterapi </w:t>
      </w:r>
      <w:r w:rsidR="003C4D79">
        <w:rPr>
          <w:sz w:val="22"/>
          <w:szCs w:val="22"/>
        </w:rPr>
        <w:t xml:space="preserve">og Humira monoterapi </w:t>
      </w:r>
      <w:r w:rsidRPr="009C5EFD">
        <w:rPr>
          <w:sz w:val="22"/>
          <w:szCs w:val="22"/>
        </w:rPr>
        <w:t xml:space="preserve">ved uke 52, og responsene vedvarte ved uke 104 (se tabell </w:t>
      </w:r>
      <w:r w:rsidR="003F5EAC">
        <w:rPr>
          <w:sz w:val="22"/>
          <w:szCs w:val="22"/>
        </w:rPr>
        <w:t>6</w:t>
      </w:r>
      <w:r w:rsidRPr="009C5EFD">
        <w:rPr>
          <w:sz w:val="22"/>
          <w:szCs w:val="22"/>
        </w:rPr>
        <w:t>).</w:t>
      </w:r>
    </w:p>
    <w:p w14:paraId="394A2FD1" w14:textId="77777777" w:rsidR="003B1129" w:rsidRPr="009C5EFD" w:rsidRDefault="003B1129" w:rsidP="003B1129">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4644D4" w14:paraId="60BBB997" w14:textId="77777777" w:rsidTr="00CC0DA9">
        <w:trPr>
          <w:gridBefore w:val="1"/>
          <w:wBefore w:w="9" w:type="dxa"/>
          <w:cantSplit/>
          <w:jc w:val="center"/>
        </w:trPr>
        <w:tc>
          <w:tcPr>
            <w:tcW w:w="9250" w:type="dxa"/>
            <w:gridSpan w:val="8"/>
            <w:tcBorders>
              <w:top w:val="nil"/>
              <w:left w:val="nil"/>
              <w:bottom w:val="nil"/>
              <w:right w:val="nil"/>
            </w:tcBorders>
            <w:vAlign w:val="center"/>
          </w:tcPr>
          <w:p w14:paraId="6E193492" w14:textId="77777777" w:rsidR="003B1129" w:rsidRPr="009C5EFD" w:rsidRDefault="00E453CD" w:rsidP="00CC0DA9">
            <w:pPr>
              <w:pStyle w:val="BodyText"/>
              <w:keepNext/>
              <w:tabs>
                <w:tab w:val="left" w:pos="3600"/>
                <w:tab w:val="center" w:pos="5760"/>
              </w:tabs>
              <w:jc w:val="center"/>
              <w:rPr>
                <w:noProof w:val="0"/>
                <w:szCs w:val="22"/>
              </w:rPr>
            </w:pPr>
            <w:r w:rsidRPr="009C5EFD">
              <w:rPr>
                <w:noProof w:val="0"/>
                <w:szCs w:val="22"/>
              </w:rPr>
              <w:t xml:space="preserve">Tabell </w:t>
            </w:r>
            <w:r w:rsidR="003F5EAC">
              <w:rPr>
                <w:noProof w:val="0"/>
                <w:szCs w:val="22"/>
              </w:rPr>
              <w:t>6</w:t>
            </w:r>
          </w:p>
          <w:p w14:paraId="5802C876" w14:textId="77777777" w:rsidR="003B1129" w:rsidRPr="009C5EFD" w:rsidRDefault="00E453CD" w:rsidP="00CC0DA9">
            <w:pPr>
              <w:pStyle w:val="BodyText"/>
              <w:keepNext/>
              <w:tabs>
                <w:tab w:val="left" w:pos="3600"/>
                <w:tab w:val="center" w:pos="5760"/>
              </w:tabs>
              <w:jc w:val="center"/>
              <w:rPr>
                <w:noProof w:val="0"/>
                <w:szCs w:val="22"/>
              </w:rPr>
            </w:pPr>
            <w:r w:rsidRPr="009C5EFD">
              <w:rPr>
                <w:noProof w:val="0"/>
                <w:szCs w:val="22"/>
              </w:rPr>
              <w:t>ACR-responser i RA-studie V</w:t>
            </w:r>
          </w:p>
          <w:p w14:paraId="7DD147C8" w14:textId="77777777" w:rsidR="003B1129" w:rsidRPr="001F5D4B" w:rsidRDefault="00E453CD">
            <w:pPr>
              <w:pStyle w:val="BodyText"/>
              <w:keepNext/>
              <w:tabs>
                <w:tab w:val="left" w:pos="3600"/>
                <w:tab w:val="center" w:pos="5760"/>
              </w:tabs>
              <w:jc w:val="center"/>
              <w:rPr>
                <w:b w:val="0"/>
                <w:bCs/>
                <w:szCs w:val="22"/>
              </w:rPr>
            </w:pPr>
            <w:r w:rsidRPr="009C5EFD">
              <w:rPr>
                <w:noProof w:val="0"/>
                <w:szCs w:val="22"/>
              </w:rPr>
              <w:t>(prosent av pasientene</w:t>
            </w:r>
            <w:r w:rsidRPr="009C5EFD">
              <w:rPr>
                <w:caps/>
                <w:noProof w:val="0"/>
                <w:szCs w:val="22"/>
              </w:rPr>
              <w:t>)</w:t>
            </w:r>
            <w:r w:rsidRPr="009C5EFD">
              <w:rPr>
                <w:i/>
                <w:caps/>
                <w:noProof w:val="0"/>
                <w:szCs w:val="22"/>
              </w:rPr>
              <w:t xml:space="preserve"> </w:t>
            </w:r>
          </w:p>
        </w:tc>
      </w:tr>
      <w:tr w:rsidR="004644D4" w14:paraId="2401F3E6" w14:textId="77777777" w:rsidTr="00CC0DA9">
        <w:trPr>
          <w:gridAfter w:val="1"/>
          <w:wAfter w:w="12" w:type="dxa"/>
          <w:cantSplit/>
          <w:jc w:val="center"/>
        </w:trPr>
        <w:tc>
          <w:tcPr>
            <w:tcW w:w="1548" w:type="dxa"/>
            <w:gridSpan w:val="2"/>
          </w:tcPr>
          <w:p w14:paraId="1CCBD277" w14:textId="77777777" w:rsidR="003B1129" w:rsidRPr="004267D4" w:rsidRDefault="00E453CD" w:rsidP="00CC0DA9">
            <w:pPr>
              <w:keepNext/>
              <w:rPr>
                <w:b/>
                <w:bCs/>
                <w:sz w:val="22"/>
                <w:szCs w:val="22"/>
                <w:lang w:val="fr-FR"/>
              </w:rPr>
            </w:pPr>
            <w:r w:rsidRPr="0015674E">
              <w:rPr>
                <w:b/>
                <w:bCs/>
                <w:sz w:val="22"/>
                <w:szCs w:val="22"/>
              </w:rPr>
              <w:t>Respons</w:t>
            </w:r>
          </w:p>
        </w:tc>
        <w:tc>
          <w:tcPr>
            <w:tcW w:w="1320" w:type="dxa"/>
          </w:tcPr>
          <w:p w14:paraId="5255D554" w14:textId="77777777" w:rsidR="003B1129" w:rsidRPr="0015674E" w:rsidRDefault="00E453CD" w:rsidP="00CC0DA9">
            <w:pPr>
              <w:keepNext/>
              <w:jc w:val="center"/>
              <w:rPr>
                <w:b/>
                <w:bCs/>
                <w:sz w:val="22"/>
                <w:szCs w:val="22"/>
              </w:rPr>
            </w:pPr>
            <w:r w:rsidRPr="0015674E">
              <w:rPr>
                <w:b/>
                <w:bCs/>
                <w:sz w:val="22"/>
                <w:szCs w:val="22"/>
              </w:rPr>
              <w:t>MTX</w:t>
            </w:r>
          </w:p>
          <w:p w14:paraId="41E5D6E6" w14:textId="77777777" w:rsidR="003B1129" w:rsidRPr="004267D4" w:rsidRDefault="00E453CD" w:rsidP="00CC0DA9">
            <w:pPr>
              <w:pStyle w:val="EndnoteText"/>
              <w:keepNext/>
              <w:jc w:val="center"/>
              <w:rPr>
                <w:b/>
                <w:bCs/>
                <w:szCs w:val="22"/>
                <w:lang w:val="fr-FR"/>
              </w:rPr>
            </w:pPr>
            <w:r w:rsidRPr="0015674E">
              <w:rPr>
                <w:b/>
                <w:bCs/>
                <w:szCs w:val="22"/>
                <w:lang w:val="nb-NO"/>
              </w:rPr>
              <w:t>n=257</w:t>
            </w:r>
          </w:p>
        </w:tc>
        <w:tc>
          <w:tcPr>
            <w:tcW w:w="1320" w:type="dxa"/>
          </w:tcPr>
          <w:p w14:paraId="29721829" w14:textId="77777777" w:rsidR="003B1129" w:rsidRPr="0015674E" w:rsidRDefault="00E453CD" w:rsidP="00CC0DA9">
            <w:pPr>
              <w:keepNext/>
              <w:jc w:val="center"/>
              <w:rPr>
                <w:b/>
                <w:bCs/>
                <w:sz w:val="22"/>
                <w:szCs w:val="22"/>
              </w:rPr>
            </w:pPr>
            <w:r w:rsidRPr="0015674E">
              <w:rPr>
                <w:b/>
                <w:bCs/>
                <w:sz w:val="22"/>
                <w:szCs w:val="22"/>
              </w:rPr>
              <w:t>Humira</w:t>
            </w:r>
          </w:p>
          <w:p w14:paraId="1915B83C" w14:textId="77777777" w:rsidR="003B1129" w:rsidRPr="004267D4" w:rsidRDefault="00E453CD" w:rsidP="00CC0DA9">
            <w:pPr>
              <w:keepNext/>
              <w:jc w:val="center"/>
              <w:rPr>
                <w:b/>
                <w:bCs/>
                <w:sz w:val="22"/>
                <w:szCs w:val="22"/>
                <w:lang w:val="fr-FR"/>
              </w:rPr>
            </w:pPr>
            <w:r w:rsidRPr="0015674E">
              <w:rPr>
                <w:b/>
                <w:bCs/>
                <w:sz w:val="22"/>
                <w:szCs w:val="22"/>
              </w:rPr>
              <w:t>n=274</w:t>
            </w:r>
          </w:p>
        </w:tc>
        <w:tc>
          <w:tcPr>
            <w:tcW w:w="1576" w:type="dxa"/>
          </w:tcPr>
          <w:p w14:paraId="71499961" w14:textId="77777777" w:rsidR="003B1129" w:rsidRPr="0015674E" w:rsidRDefault="00E453CD" w:rsidP="00CC0DA9">
            <w:pPr>
              <w:keepNext/>
              <w:jc w:val="center"/>
              <w:rPr>
                <w:b/>
                <w:bCs/>
                <w:sz w:val="22"/>
                <w:szCs w:val="22"/>
              </w:rPr>
            </w:pPr>
            <w:r w:rsidRPr="0015674E">
              <w:rPr>
                <w:b/>
                <w:bCs/>
                <w:sz w:val="22"/>
                <w:szCs w:val="22"/>
              </w:rPr>
              <w:t>Humira/MTX</w:t>
            </w:r>
          </w:p>
          <w:p w14:paraId="2F8E184C" w14:textId="77777777" w:rsidR="003B1129" w:rsidRPr="004267D4" w:rsidRDefault="00E453CD" w:rsidP="00CC0DA9">
            <w:pPr>
              <w:keepNext/>
              <w:jc w:val="center"/>
              <w:rPr>
                <w:b/>
                <w:bCs/>
                <w:sz w:val="22"/>
                <w:szCs w:val="22"/>
                <w:lang w:val="fr-FR"/>
              </w:rPr>
            </w:pPr>
            <w:r w:rsidRPr="0015674E">
              <w:rPr>
                <w:b/>
                <w:bCs/>
                <w:sz w:val="22"/>
                <w:szCs w:val="22"/>
              </w:rPr>
              <w:t>n=268</w:t>
            </w:r>
          </w:p>
        </w:tc>
        <w:tc>
          <w:tcPr>
            <w:tcW w:w="1100" w:type="dxa"/>
          </w:tcPr>
          <w:p w14:paraId="7946F166" w14:textId="77777777" w:rsidR="003B1129" w:rsidRPr="004267D4" w:rsidRDefault="00E453CD" w:rsidP="00CC0DA9">
            <w:pPr>
              <w:pStyle w:val="EndnoteText"/>
              <w:keepNext/>
              <w:jc w:val="center"/>
              <w:rPr>
                <w:b/>
                <w:bCs/>
                <w:szCs w:val="22"/>
                <w:lang w:val="fr-FR"/>
              </w:rPr>
            </w:pPr>
            <w:r w:rsidRPr="0015674E">
              <w:rPr>
                <w:b/>
                <w:bCs/>
                <w:szCs w:val="22"/>
                <w:lang w:val="nb-NO"/>
              </w:rPr>
              <w:t>p-verdi</w:t>
            </w:r>
            <w:r w:rsidRPr="0015674E">
              <w:rPr>
                <w:b/>
                <w:bCs/>
                <w:szCs w:val="22"/>
                <w:vertAlign w:val="superscript"/>
                <w:lang w:val="nb-NO"/>
              </w:rPr>
              <w:t>a</w:t>
            </w:r>
          </w:p>
        </w:tc>
        <w:tc>
          <w:tcPr>
            <w:tcW w:w="1173" w:type="dxa"/>
          </w:tcPr>
          <w:p w14:paraId="31A7D56F" w14:textId="77777777" w:rsidR="003B1129" w:rsidRPr="004267D4" w:rsidRDefault="00E453CD" w:rsidP="00CC0DA9">
            <w:pPr>
              <w:keepNext/>
              <w:jc w:val="center"/>
              <w:rPr>
                <w:b/>
                <w:bCs/>
                <w:sz w:val="22"/>
                <w:szCs w:val="22"/>
                <w:lang w:val="fr-FR"/>
              </w:rPr>
            </w:pPr>
            <w:r w:rsidRPr="0015674E">
              <w:rPr>
                <w:b/>
                <w:bCs/>
                <w:sz w:val="22"/>
                <w:szCs w:val="22"/>
              </w:rPr>
              <w:t>p-verdi</w:t>
            </w:r>
            <w:r w:rsidRPr="0015674E">
              <w:rPr>
                <w:b/>
                <w:bCs/>
                <w:sz w:val="22"/>
                <w:szCs w:val="22"/>
                <w:vertAlign w:val="superscript"/>
              </w:rPr>
              <w:t>b</w:t>
            </w:r>
          </w:p>
        </w:tc>
        <w:tc>
          <w:tcPr>
            <w:tcW w:w="1210" w:type="dxa"/>
          </w:tcPr>
          <w:p w14:paraId="0EB3D513" w14:textId="77777777" w:rsidR="003B1129" w:rsidRPr="0015674E" w:rsidRDefault="00E453CD" w:rsidP="00CC0DA9">
            <w:pPr>
              <w:keepNext/>
              <w:jc w:val="center"/>
              <w:rPr>
                <w:b/>
                <w:bCs/>
                <w:sz w:val="22"/>
                <w:szCs w:val="22"/>
                <w:lang w:val="en-GB"/>
              </w:rPr>
            </w:pPr>
            <w:r w:rsidRPr="0015674E">
              <w:rPr>
                <w:b/>
                <w:bCs/>
                <w:sz w:val="22"/>
                <w:szCs w:val="22"/>
              </w:rPr>
              <w:t>p-verdi</w:t>
            </w:r>
            <w:r w:rsidRPr="0015674E">
              <w:rPr>
                <w:b/>
                <w:bCs/>
                <w:sz w:val="22"/>
                <w:szCs w:val="22"/>
                <w:vertAlign w:val="superscript"/>
              </w:rPr>
              <w:t>c</w:t>
            </w:r>
          </w:p>
        </w:tc>
      </w:tr>
      <w:tr w:rsidR="004644D4" w14:paraId="38CCA563" w14:textId="77777777" w:rsidTr="00CC0DA9">
        <w:trPr>
          <w:gridAfter w:val="1"/>
          <w:wAfter w:w="12" w:type="dxa"/>
          <w:cantSplit/>
          <w:jc w:val="center"/>
        </w:trPr>
        <w:tc>
          <w:tcPr>
            <w:tcW w:w="1548" w:type="dxa"/>
            <w:gridSpan w:val="2"/>
          </w:tcPr>
          <w:p w14:paraId="79F688A8" w14:textId="77777777" w:rsidR="003B1129" w:rsidRPr="009C5EFD" w:rsidRDefault="00E453CD" w:rsidP="00CC0DA9">
            <w:pPr>
              <w:keepNext/>
              <w:rPr>
                <w:sz w:val="22"/>
                <w:szCs w:val="22"/>
                <w:lang w:val="en-GB"/>
              </w:rPr>
            </w:pPr>
            <w:r w:rsidRPr="009C5EFD">
              <w:rPr>
                <w:sz w:val="22"/>
                <w:szCs w:val="22"/>
              </w:rPr>
              <w:t>ACR 20</w:t>
            </w:r>
          </w:p>
        </w:tc>
        <w:tc>
          <w:tcPr>
            <w:tcW w:w="1320" w:type="dxa"/>
          </w:tcPr>
          <w:p w14:paraId="01E58787" w14:textId="77777777" w:rsidR="003B1129" w:rsidRPr="009C5EFD" w:rsidRDefault="003B1129" w:rsidP="00CC0DA9">
            <w:pPr>
              <w:keepNext/>
              <w:jc w:val="center"/>
              <w:rPr>
                <w:sz w:val="22"/>
                <w:szCs w:val="22"/>
                <w:lang w:val="en-GB"/>
              </w:rPr>
            </w:pPr>
          </w:p>
        </w:tc>
        <w:tc>
          <w:tcPr>
            <w:tcW w:w="1320" w:type="dxa"/>
          </w:tcPr>
          <w:p w14:paraId="5D8CE822" w14:textId="77777777" w:rsidR="003B1129" w:rsidRPr="009C5EFD" w:rsidRDefault="003B1129" w:rsidP="00CC0DA9">
            <w:pPr>
              <w:keepNext/>
              <w:jc w:val="center"/>
              <w:rPr>
                <w:sz w:val="22"/>
                <w:szCs w:val="22"/>
                <w:lang w:val="en-GB"/>
              </w:rPr>
            </w:pPr>
          </w:p>
        </w:tc>
        <w:tc>
          <w:tcPr>
            <w:tcW w:w="1576" w:type="dxa"/>
          </w:tcPr>
          <w:p w14:paraId="01B25300" w14:textId="77777777" w:rsidR="003B1129" w:rsidRPr="009C5EFD" w:rsidRDefault="003B1129" w:rsidP="00CC0DA9">
            <w:pPr>
              <w:keepNext/>
              <w:jc w:val="center"/>
              <w:rPr>
                <w:sz w:val="22"/>
                <w:szCs w:val="22"/>
                <w:lang w:val="en-GB"/>
              </w:rPr>
            </w:pPr>
          </w:p>
        </w:tc>
        <w:tc>
          <w:tcPr>
            <w:tcW w:w="1100" w:type="dxa"/>
          </w:tcPr>
          <w:p w14:paraId="3126C7AC" w14:textId="77777777" w:rsidR="003B1129" w:rsidRPr="009C5EFD" w:rsidRDefault="003B1129" w:rsidP="00CC0DA9">
            <w:pPr>
              <w:keepNext/>
              <w:jc w:val="center"/>
              <w:rPr>
                <w:sz w:val="22"/>
                <w:szCs w:val="22"/>
                <w:lang w:val="en-GB"/>
              </w:rPr>
            </w:pPr>
          </w:p>
        </w:tc>
        <w:tc>
          <w:tcPr>
            <w:tcW w:w="1173" w:type="dxa"/>
          </w:tcPr>
          <w:p w14:paraId="37C6CC75" w14:textId="77777777" w:rsidR="003B1129" w:rsidRPr="009C5EFD" w:rsidRDefault="003B1129" w:rsidP="00CC0DA9">
            <w:pPr>
              <w:keepNext/>
              <w:jc w:val="center"/>
              <w:rPr>
                <w:sz w:val="22"/>
                <w:szCs w:val="22"/>
                <w:lang w:val="en-GB"/>
              </w:rPr>
            </w:pPr>
          </w:p>
        </w:tc>
        <w:tc>
          <w:tcPr>
            <w:tcW w:w="1210" w:type="dxa"/>
          </w:tcPr>
          <w:p w14:paraId="609E6D1C" w14:textId="77777777" w:rsidR="003B1129" w:rsidRPr="009C5EFD" w:rsidRDefault="003B1129" w:rsidP="00CC0DA9">
            <w:pPr>
              <w:keepNext/>
              <w:jc w:val="center"/>
              <w:rPr>
                <w:sz w:val="22"/>
                <w:szCs w:val="22"/>
                <w:lang w:val="en-GB"/>
              </w:rPr>
            </w:pPr>
          </w:p>
        </w:tc>
      </w:tr>
      <w:tr w:rsidR="004644D4" w14:paraId="06D4904E" w14:textId="77777777" w:rsidTr="00CC0DA9">
        <w:trPr>
          <w:gridAfter w:val="1"/>
          <w:wAfter w:w="12" w:type="dxa"/>
          <w:cantSplit/>
          <w:jc w:val="center"/>
        </w:trPr>
        <w:tc>
          <w:tcPr>
            <w:tcW w:w="1548" w:type="dxa"/>
            <w:gridSpan w:val="2"/>
          </w:tcPr>
          <w:p w14:paraId="1DF1951E" w14:textId="77777777" w:rsidR="003B1129" w:rsidRPr="009C5EFD" w:rsidRDefault="00E453CD" w:rsidP="00CC0DA9">
            <w:pPr>
              <w:keepNext/>
              <w:tabs>
                <w:tab w:val="left" w:pos="561"/>
              </w:tabs>
              <w:rPr>
                <w:sz w:val="22"/>
                <w:szCs w:val="22"/>
                <w:lang w:val="en-GB"/>
              </w:rPr>
            </w:pPr>
            <w:r w:rsidRPr="009C5EFD">
              <w:rPr>
                <w:sz w:val="22"/>
                <w:szCs w:val="22"/>
              </w:rPr>
              <w:tab/>
              <w:t>Uke 52</w:t>
            </w:r>
          </w:p>
        </w:tc>
        <w:tc>
          <w:tcPr>
            <w:tcW w:w="1320" w:type="dxa"/>
          </w:tcPr>
          <w:p w14:paraId="57F264AE" w14:textId="77777777" w:rsidR="003B1129" w:rsidRPr="009C5EFD" w:rsidRDefault="00E453CD" w:rsidP="00CC0DA9">
            <w:pPr>
              <w:keepNext/>
              <w:jc w:val="center"/>
              <w:rPr>
                <w:sz w:val="22"/>
                <w:szCs w:val="22"/>
                <w:lang w:val="en-GB"/>
              </w:rPr>
            </w:pPr>
            <w:r w:rsidRPr="009C5EFD">
              <w:rPr>
                <w:sz w:val="22"/>
                <w:szCs w:val="22"/>
              </w:rPr>
              <w:t>62,6 %</w:t>
            </w:r>
          </w:p>
        </w:tc>
        <w:tc>
          <w:tcPr>
            <w:tcW w:w="1320" w:type="dxa"/>
          </w:tcPr>
          <w:p w14:paraId="090D5DAD" w14:textId="77777777" w:rsidR="003B1129" w:rsidRPr="009C5EFD" w:rsidRDefault="00E453CD" w:rsidP="00CC0DA9">
            <w:pPr>
              <w:keepNext/>
              <w:jc w:val="center"/>
              <w:rPr>
                <w:sz w:val="22"/>
                <w:szCs w:val="22"/>
                <w:lang w:val="en-GB"/>
              </w:rPr>
            </w:pPr>
            <w:r w:rsidRPr="009C5EFD">
              <w:rPr>
                <w:sz w:val="22"/>
                <w:szCs w:val="22"/>
              </w:rPr>
              <w:t>54,4 %</w:t>
            </w:r>
          </w:p>
        </w:tc>
        <w:tc>
          <w:tcPr>
            <w:tcW w:w="1576" w:type="dxa"/>
          </w:tcPr>
          <w:p w14:paraId="60CF6FFE" w14:textId="77777777" w:rsidR="003B1129" w:rsidRPr="009C5EFD" w:rsidRDefault="00E453CD" w:rsidP="00CC0DA9">
            <w:pPr>
              <w:keepNext/>
              <w:jc w:val="center"/>
              <w:rPr>
                <w:sz w:val="22"/>
                <w:szCs w:val="22"/>
                <w:lang w:val="en-GB"/>
              </w:rPr>
            </w:pPr>
            <w:r w:rsidRPr="009C5EFD">
              <w:rPr>
                <w:sz w:val="22"/>
                <w:szCs w:val="22"/>
              </w:rPr>
              <w:t>72,8 %</w:t>
            </w:r>
          </w:p>
        </w:tc>
        <w:tc>
          <w:tcPr>
            <w:tcW w:w="1100" w:type="dxa"/>
          </w:tcPr>
          <w:p w14:paraId="11083B51" w14:textId="77777777" w:rsidR="003B1129" w:rsidRPr="009C5EFD" w:rsidRDefault="00E453CD" w:rsidP="00CC0DA9">
            <w:pPr>
              <w:keepNext/>
              <w:jc w:val="center"/>
              <w:rPr>
                <w:sz w:val="22"/>
                <w:szCs w:val="22"/>
                <w:lang w:val="en-GB"/>
              </w:rPr>
            </w:pPr>
            <w:r w:rsidRPr="009C5EFD">
              <w:rPr>
                <w:sz w:val="22"/>
                <w:szCs w:val="22"/>
              </w:rPr>
              <w:t>0,013</w:t>
            </w:r>
          </w:p>
        </w:tc>
        <w:tc>
          <w:tcPr>
            <w:tcW w:w="1173" w:type="dxa"/>
          </w:tcPr>
          <w:p w14:paraId="03D85651" w14:textId="77777777" w:rsidR="003B1129" w:rsidRPr="009C5EFD" w:rsidRDefault="00E453CD" w:rsidP="00CC0DA9">
            <w:pPr>
              <w:keepNext/>
              <w:jc w:val="center"/>
              <w:rPr>
                <w:sz w:val="22"/>
                <w:szCs w:val="22"/>
                <w:lang w:val="en-GB"/>
              </w:rPr>
            </w:pPr>
            <w:r w:rsidRPr="009C5EFD">
              <w:rPr>
                <w:sz w:val="22"/>
                <w:szCs w:val="22"/>
              </w:rPr>
              <w:t>&lt; 0,001</w:t>
            </w:r>
          </w:p>
        </w:tc>
        <w:tc>
          <w:tcPr>
            <w:tcW w:w="1210" w:type="dxa"/>
          </w:tcPr>
          <w:p w14:paraId="1D740445" w14:textId="77777777" w:rsidR="003B1129" w:rsidRPr="009C5EFD" w:rsidRDefault="00E453CD" w:rsidP="00CC0DA9">
            <w:pPr>
              <w:keepNext/>
              <w:jc w:val="center"/>
              <w:rPr>
                <w:sz w:val="22"/>
                <w:szCs w:val="22"/>
                <w:lang w:val="en-GB"/>
              </w:rPr>
            </w:pPr>
            <w:r w:rsidRPr="009C5EFD">
              <w:rPr>
                <w:sz w:val="22"/>
                <w:szCs w:val="22"/>
              </w:rPr>
              <w:t>0,043</w:t>
            </w:r>
          </w:p>
        </w:tc>
      </w:tr>
      <w:tr w:rsidR="004644D4" w14:paraId="540DC9F8" w14:textId="77777777" w:rsidTr="00CC0DA9">
        <w:trPr>
          <w:gridAfter w:val="1"/>
          <w:wAfter w:w="12" w:type="dxa"/>
          <w:cantSplit/>
          <w:jc w:val="center"/>
        </w:trPr>
        <w:tc>
          <w:tcPr>
            <w:tcW w:w="1548" w:type="dxa"/>
            <w:gridSpan w:val="2"/>
          </w:tcPr>
          <w:p w14:paraId="23B0AD85" w14:textId="77777777" w:rsidR="003B1129" w:rsidRPr="009C5EFD" w:rsidRDefault="00E453CD" w:rsidP="00CC0DA9">
            <w:pPr>
              <w:keepNext/>
              <w:tabs>
                <w:tab w:val="left" w:pos="561"/>
              </w:tabs>
              <w:rPr>
                <w:sz w:val="22"/>
                <w:szCs w:val="22"/>
                <w:lang w:val="en-GB"/>
              </w:rPr>
            </w:pPr>
            <w:r w:rsidRPr="009C5EFD">
              <w:rPr>
                <w:sz w:val="22"/>
                <w:szCs w:val="22"/>
              </w:rPr>
              <w:tab/>
              <w:t>Uke 104</w:t>
            </w:r>
          </w:p>
        </w:tc>
        <w:tc>
          <w:tcPr>
            <w:tcW w:w="1320" w:type="dxa"/>
          </w:tcPr>
          <w:p w14:paraId="4BFD8F19" w14:textId="77777777" w:rsidR="003B1129" w:rsidRPr="009C5EFD" w:rsidRDefault="00E453CD" w:rsidP="00CC0DA9">
            <w:pPr>
              <w:keepNext/>
              <w:jc w:val="center"/>
              <w:rPr>
                <w:sz w:val="22"/>
                <w:szCs w:val="22"/>
                <w:lang w:val="en-GB"/>
              </w:rPr>
            </w:pPr>
            <w:r w:rsidRPr="009C5EFD">
              <w:rPr>
                <w:sz w:val="22"/>
                <w:szCs w:val="22"/>
              </w:rPr>
              <w:t>56,0 %</w:t>
            </w:r>
          </w:p>
        </w:tc>
        <w:tc>
          <w:tcPr>
            <w:tcW w:w="1320" w:type="dxa"/>
          </w:tcPr>
          <w:p w14:paraId="59678C5F" w14:textId="77777777" w:rsidR="003B1129" w:rsidRPr="009C5EFD" w:rsidRDefault="00E453CD" w:rsidP="00CC0DA9">
            <w:pPr>
              <w:keepNext/>
              <w:jc w:val="center"/>
              <w:rPr>
                <w:sz w:val="22"/>
                <w:szCs w:val="22"/>
                <w:lang w:val="en-GB"/>
              </w:rPr>
            </w:pPr>
            <w:r w:rsidRPr="009C5EFD">
              <w:rPr>
                <w:sz w:val="22"/>
                <w:szCs w:val="22"/>
              </w:rPr>
              <w:t>49,3 %</w:t>
            </w:r>
          </w:p>
        </w:tc>
        <w:tc>
          <w:tcPr>
            <w:tcW w:w="1576" w:type="dxa"/>
          </w:tcPr>
          <w:p w14:paraId="7480EDA1" w14:textId="77777777" w:rsidR="003B1129" w:rsidRPr="009C5EFD" w:rsidRDefault="00E453CD" w:rsidP="00CC0DA9">
            <w:pPr>
              <w:keepNext/>
              <w:jc w:val="center"/>
              <w:rPr>
                <w:sz w:val="22"/>
                <w:szCs w:val="22"/>
                <w:lang w:val="en-GB"/>
              </w:rPr>
            </w:pPr>
            <w:r w:rsidRPr="009C5EFD">
              <w:rPr>
                <w:sz w:val="22"/>
                <w:szCs w:val="22"/>
              </w:rPr>
              <w:t>69,4 %</w:t>
            </w:r>
          </w:p>
        </w:tc>
        <w:tc>
          <w:tcPr>
            <w:tcW w:w="1100" w:type="dxa"/>
          </w:tcPr>
          <w:p w14:paraId="11292085" w14:textId="77777777" w:rsidR="003B1129" w:rsidRPr="009C5EFD" w:rsidRDefault="00E453CD" w:rsidP="00CC0DA9">
            <w:pPr>
              <w:keepNext/>
              <w:jc w:val="center"/>
              <w:rPr>
                <w:sz w:val="22"/>
                <w:szCs w:val="22"/>
                <w:lang w:val="en-GB"/>
              </w:rPr>
            </w:pPr>
            <w:r w:rsidRPr="009C5EFD">
              <w:rPr>
                <w:sz w:val="22"/>
                <w:szCs w:val="22"/>
              </w:rPr>
              <w:t>0,002</w:t>
            </w:r>
          </w:p>
        </w:tc>
        <w:tc>
          <w:tcPr>
            <w:tcW w:w="1173" w:type="dxa"/>
          </w:tcPr>
          <w:p w14:paraId="71D13880" w14:textId="77777777" w:rsidR="003B1129" w:rsidRPr="009C5EFD" w:rsidRDefault="00E453CD" w:rsidP="00CC0DA9">
            <w:pPr>
              <w:keepNext/>
              <w:jc w:val="center"/>
              <w:rPr>
                <w:sz w:val="22"/>
                <w:szCs w:val="22"/>
                <w:lang w:val="en-GB"/>
              </w:rPr>
            </w:pPr>
            <w:r w:rsidRPr="009C5EFD">
              <w:rPr>
                <w:sz w:val="22"/>
                <w:szCs w:val="22"/>
              </w:rPr>
              <w:t>&lt; 0,001</w:t>
            </w:r>
          </w:p>
        </w:tc>
        <w:tc>
          <w:tcPr>
            <w:tcW w:w="1210" w:type="dxa"/>
          </w:tcPr>
          <w:p w14:paraId="02716A75" w14:textId="77777777" w:rsidR="003B1129" w:rsidRPr="009C5EFD" w:rsidRDefault="00E453CD" w:rsidP="00CC0DA9">
            <w:pPr>
              <w:keepNext/>
              <w:jc w:val="center"/>
              <w:rPr>
                <w:sz w:val="22"/>
                <w:szCs w:val="22"/>
                <w:lang w:val="en-GB"/>
              </w:rPr>
            </w:pPr>
            <w:r w:rsidRPr="009C5EFD">
              <w:rPr>
                <w:sz w:val="22"/>
                <w:szCs w:val="22"/>
              </w:rPr>
              <w:t>0,140</w:t>
            </w:r>
          </w:p>
        </w:tc>
      </w:tr>
      <w:tr w:rsidR="004644D4" w14:paraId="1676803F" w14:textId="77777777" w:rsidTr="00CC0DA9">
        <w:trPr>
          <w:gridAfter w:val="1"/>
          <w:wAfter w:w="12" w:type="dxa"/>
          <w:cantSplit/>
          <w:jc w:val="center"/>
        </w:trPr>
        <w:tc>
          <w:tcPr>
            <w:tcW w:w="1548" w:type="dxa"/>
            <w:gridSpan w:val="2"/>
          </w:tcPr>
          <w:p w14:paraId="300A032B" w14:textId="77777777" w:rsidR="003B1129" w:rsidRPr="009C5EFD" w:rsidRDefault="00E453CD" w:rsidP="00CC0DA9">
            <w:pPr>
              <w:keepNext/>
              <w:rPr>
                <w:sz w:val="22"/>
                <w:szCs w:val="22"/>
                <w:lang w:val="en-GB"/>
              </w:rPr>
            </w:pPr>
            <w:r w:rsidRPr="009C5EFD">
              <w:rPr>
                <w:sz w:val="22"/>
                <w:szCs w:val="22"/>
              </w:rPr>
              <w:t>ACR 50</w:t>
            </w:r>
          </w:p>
        </w:tc>
        <w:tc>
          <w:tcPr>
            <w:tcW w:w="1320" w:type="dxa"/>
          </w:tcPr>
          <w:p w14:paraId="0B284B76" w14:textId="77777777" w:rsidR="003B1129" w:rsidRPr="009C5EFD" w:rsidRDefault="003B1129" w:rsidP="00CC0DA9">
            <w:pPr>
              <w:keepNext/>
              <w:jc w:val="center"/>
              <w:rPr>
                <w:sz w:val="22"/>
                <w:szCs w:val="22"/>
                <w:lang w:val="en-GB"/>
              </w:rPr>
            </w:pPr>
          </w:p>
        </w:tc>
        <w:tc>
          <w:tcPr>
            <w:tcW w:w="1320" w:type="dxa"/>
          </w:tcPr>
          <w:p w14:paraId="23E3A23E" w14:textId="77777777" w:rsidR="003B1129" w:rsidRPr="009C5EFD" w:rsidRDefault="003B1129" w:rsidP="00CC0DA9">
            <w:pPr>
              <w:keepNext/>
              <w:jc w:val="center"/>
              <w:rPr>
                <w:sz w:val="22"/>
                <w:szCs w:val="22"/>
                <w:lang w:val="en-GB"/>
              </w:rPr>
            </w:pPr>
          </w:p>
        </w:tc>
        <w:tc>
          <w:tcPr>
            <w:tcW w:w="1576" w:type="dxa"/>
          </w:tcPr>
          <w:p w14:paraId="6ED3FD16" w14:textId="77777777" w:rsidR="003B1129" w:rsidRPr="009C5EFD" w:rsidRDefault="003B1129" w:rsidP="00CC0DA9">
            <w:pPr>
              <w:keepNext/>
              <w:jc w:val="center"/>
              <w:rPr>
                <w:sz w:val="22"/>
                <w:szCs w:val="22"/>
                <w:lang w:val="en-GB"/>
              </w:rPr>
            </w:pPr>
          </w:p>
        </w:tc>
        <w:tc>
          <w:tcPr>
            <w:tcW w:w="1100" w:type="dxa"/>
          </w:tcPr>
          <w:p w14:paraId="55A129A8" w14:textId="77777777" w:rsidR="003B1129" w:rsidRPr="009C5EFD" w:rsidRDefault="003B1129" w:rsidP="00CC0DA9">
            <w:pPr>
              <w:keepNext/>
              <w:jc w:val="center"/>
              <w:rPr>
                <w:sz w:val="22"/>
                <w:szCs w:val="22"/>
                <w:lang w:val="en-GB"/>
              </w:rPr>
            </w:pPr>
          </w:p>
        </w:tc>
        <w:tc>
          <w:tcPr>
            <w:tcW w:w="1173" w:type="dxa"/>
          </w:tcPr>
          <w:p w14:paraId="22C7E4D4" w14:textId="77777777" w:rsidR="003B1129" w:rsidRPr="009C5EFD" w:rsidRDefault="003B1129" w:rsidP="00CC0DA9">
            <w:pPr>
              <w:keepNext/>
              <w:jc w:val="center"/>
              <w:rPr>
                <w:sz w:val="22"/>
                <w:szCs w:val="22"/>
                <w:lang w:val="en-GB"/>
              </w:rPr>
            </w:pPr>
          </w:p>
        </w:tc>
        <w:tc>
          <w:tcPr>
            <w:tcW w:w="1210" w:type="dxa"/>
          </w:tcPr>
          <w:p w14:paraId="69A267D7" w14:textId="77777777" w:rsidR="003B1129" w:rsidRPr="009C5EFD" w:rsidRDefault="003B1129" w:rsidP="00CC0DA9">
            <w:pPr>
              <w:keepNext/>
              <w:jc w:val="center"/>
              <w:rPr>
                <w:sz w:val="22"/>
                <w:szCs w:val="22"/>
                <w:lang w:val="en-GB"/>
              </w:rPr>
            </w:pPr>
          </w:p>
        </w:tc>
      </w:tr>
      <w:tr w:rsidR="004644D4" w14:paraId="7617E797" w14:textId="77777777" w:rsidTr="00CC0DA9">
        <w:trPr>
          <w:gridAfter w:val="1"/>
          <w:wAfter w:w="12" w:type="dxa"/>
          <w:cantSplit/>
          <w:jc w:val="center"/>
        </w:trPr>
        <w:tc>
          <w:tcPr>
            <w:tcW w:w="1548" w:type="dxa"/>
            <w:gridSpan w:val="2"/>
          </w:tcPr>
          <w:p w14:paraId="5B229BE5" w14:textId="77777777" w:rsidR="003B1129" w:rsidRPr="009C5EFD" w:rsidRDefault="00E453CD" w:rsidP="00CC0DA9">
            <w:pPr>
              <w:keepNext/>
              <w:tabs>
                <w:tab w:val="left" w:pos="561"/>
              </w:tabs>
              <w:rPr>
                <w:sz w:val="22"/>
                <w:szCs w:val="22"/>
                <w:lang w:val="en-GB"/>
              </w:rPr>
            </w:pPr>
            <w:r w:rsidRPr="009C5EFD">
              <w:rPr>
                <w:sz w:val="22"/>
                <w:szCs w:val="22"/>
              </w:rPr>
              <w:tab/>
              <w:t>Uke 52</w:t>
            </w:r>
          </w:p>
        </w:tc>
        <w:tc>
          <w:tcPr>
            <w:tcW w:w="1320" w:type="dxa"/>
          </w:tcPr>
          <w:p w14:paraId="59C38412" w14:textId="77777777" w:rsidR="003B1129" w:rsidRPr="009C5EFD" w:rsidRDefault="00E453CD" w:rsidP="00CC0DA9">
            <w:pPr>
              <w:keepNext/>
              <w:jc w:val="center"/>
              <w:rPr>
                <w:sz w:val="22"/>
                <w:szCs w:val="22"/>
                <w:lang w:val="en-GB"/>
              </w:rPr>
            </w:pPr>
            <w:r w:rsidRPr="009C5EFD">
              <w:rPr>
                <w:sz w:val="22"/>
                <w:szCs w:val="22"/>
              </w:rPr>
              <w:t>45,9 %</w:t>
            </w:r>
          </w:p>
        </w:tc>
        <w:tc>
          <w:tcPr>
            <w:tcW w:w="1320" w:type="dxa"/>
          </w:tcPr>
          <w:p w14:paraId="3CAE8540" w14:textId="77777777" w:rsidR="003B1129" w:rsidRPr="009C5EFD" w:rsidRDefault="00E453CD" w:rsidP="00CC0DA9">
            <w:pPr>
              <w:keepNext/>
              <w:jc w:val="center"/>
              <w:rPr>
                <w:sz w:val="22"/>
                <w:szCs w:val="22"/>
                <w:lang w:val="en-GB"/>
              </w:rPr>
            </w:pPr>
            <w:r w:rsidRPr="009C5EFD">
              <w:rPr>
                <w:sz w:val="22"/>
                <w:szCs w:val="22"/>
              </w:rPr>
              <w:t>41,2 %</w:t>
            </w:r>
          </w:p>
        </w:tc>
        <w:tc>
          <w:tcPr>
            <w:tcW w:w="1576" w:type="dxa"/>
          </w:tcPr>
          <w:p w14:paraId="0E3AB282" w14:textId="77777777" w:rsidR="003B1129" w:rsidRPr="009C5EFD" w:rsidRDefault="00E453CD" w:rsidP="00CC0DA9">
            <w:pPr>
              <w:keepNext/>
              <w:jc w:val="center"/>
              <w:rPr>
                <w:sz w:val="22"/>
                <w:szCs w:val="22"/>
                <w:lang w:val="en-GB"/>
              </w:rPr>
            </w:pPr>
            <w:r w:rsidRPr="009C5EFD">
              <w:rPr>
                <w:sz w:val="22"/>
                <w:szCs w:val="22"/>
              </w:rPr>
              <w:t>61,6 %</w:t>
            </w:r>
          </w:p>
        </w:tc>
        <w:tc>
          <w:tcPr>
            <w:tcW w:w="1100" w:type="dxa"/>
          </w:tcPr>
          <w:p w14:paraId="7CDED8EC" w14:textId="77777777" w:rsidR="003B1129" w:rsidRPr="009C5EFD" w:rsidRDefault="00E453CD" w:rsidP="00CC0DA9">
            <w:pPr>
              <w:keepNext/>
              <w:jc w:val="center"/>
              <w:rPr>
                <w:sz w:val="22"/>
                <w:szCs w:val="22"/>
                <w:lang w:val="en-GB"/>
              </w:rPr>
            </w:pPr>
            <w:r w:rsidRPr="009C5EFD">
              <w:rPr>
                <w:sz w:val="22"/>
                <w:szCs w:val="22"/>
              </w:rPr>
              <w:t>&lt; 0,001</w:t>
            </w:r>
          </w:p>
        </w:tc>
        <w:tc>
          <w:tcPr>
            <w:tcW w:w="1173" w:type="dxa"/>
          </w:tcPr>
          <w:p w14:paraId="0C34E2AE" w14:textId="77777777" w:rsidR="003B1129" w:rsidRPr="009C5EFD" w:rsidRDefault="00E453CD" w:rsidP="00CC0DA9">
            <w:pPr>
              <w:keepNext/>
              <w:jc w:val="center"/>
              <w:rPr>
                <w:sz w:val="22"/>
                <w:szCs w:val="22"/>
                <w:lang w:val="en-GB"/>
              </w:rPr>
            </w:pPr>
            <w:r w:rsidRPr="009C5EFD">
              <w:rPr>
                <w:sz w:val="22"/>
                <w:szCs w:val="22"/>
              </w:rPr>
              <w:t>&lt; 0,001</w:t>
            </w:r>
          </w:p>
        </w:tc>
        <w:tc>
          <w:tcPr>
            <w:tcW w:w="1210" w:type="dxa"/>
          </w:tcPr>
          <w:p w14:paraId="63E8D3F2" w14:textId="77777777" w:rsidR="003B1129" w:rsidRPr="009C5EFD" w:rsidRDefault="00E453CD" w:rsidP="00CC0DA9">
            <w:pPr>
              <w:keepNext/>
              <w:jc w:val="center"/>
              <w:rPr>
                <w:sz w:val="22"/>
                <w:szCs w:val="22"/>
                <w:lang w:val="en-GB"/>
              </w:rPr>
            </w:pPr>
            <w:r w:rsidRPr="009C5EFD">
              <w:rPr>
                <w:sz w:val="22"/>
                <w:szCs w:val="22"/>
              </w:rPr>
              <w:t>0,317</w:t>
            </w:r>
          </w:p>
        </w:tc>
      </w:tr>
      <w:tr w:rsidR="004644D4" w14:paraId="537980F6" w14:textId="77777777" w:rsidTr="00CC0DA9">
        <w:trPr>
          <w:gridAfter w:val="1"/>
          <w:wAfter w:w="12" w:type="dxa"/>
          <w:cantSplit/>
          <w:jc w:val="center"/>
        </w:trPr>
        <w:tc>
          <w:tcPr>
            <w:tcW w:w="1548" w:type="dxa"/>
            <w:gridSpan w:val="2"/>
          </w:tcPr>
          <w:p w14:paraId="0E1C95A7" w14:textId="77777777" w:rsidR="003B1129" w:rsidRPr="009C5EFD" w:rsidRDefault="00E453CD" w:rsidP="00CC0DA9">
            <w:pPr>
              <w:keepNext/>
              <w:tabs>
                <w:tab w:val="left" w:pos="561"/>
              </w:tabs>
              <w:rPr>
                <w:sz w:val="22"/>
                <w:szCs w:val="22"/>
              </w:rPr>
            </w:pPr>
            <w:r w:rsidRPr="009C5EFD">
              <w:rPr>
                <w:sz w:val="22"/>
                <w:szCs w:val="22"/>
              </w:rPr>
              <w:tab/>
              <w:t>Uke 104</w:t>
            </w:r>
          </w:p>
        </w:tc>
        <w:tc>
          <w:tcPr>
            <w:tcW w:w="1320" w:type="dxa"/>
          </w:tcPr>
          <w:p w14:paraId="79A5DCA4" w14:textId="77777777" w:rsidR="003B1129" w:rsidRPr="009C5EFD" w:rsidRDefault="00E453CD" w:rsidP="00CC0DA9">
            <w:pPr>
              <w:keepNext/>
              <w:jc w:val="center"/>
              <w:rPr>
                <w:sz w:val="22"/>
                <w:szCs w:val="22"/>
                <w:lang w:val="en-GB"/>
              </w:rPr>
            </w:pPr>
            <w:r w:rsidRPr="009C5EFD">
              <w:rPr>
                <w:sz w:val="22"/>
                <w:szCs w:val="22"/>
              </w:rPr>
              <w:t>42,8 %</w:t>
            </w:r>
          </w:p>
        </w:tc>
        <w:tc>
          <w:tcPr>
            <w:tcW w:w="1320" w:type="dxa"/>
          </w:tcPr>
          <w:p w14:paraId="6B0E6986" w14:textId="77777777" w:rsidR="003B1129" w:rsidRPr="009C5EFD" w:rsidRDefault="00E453CD" w:rsidP="00CC0DA9">
            <w:pPr>
              <w:keepNext/>
              <w:jc w:val="center"/>
              <w:rPr>
                <w:sz w:val="22"/>
                <w:szCs w:val="22"/>
                <w:lang w:val="en-GB"/>
              </w:rPr>
            </w:pPr>
            <w:r w:rsidRPr="009C5EFD">
              <w:rPr>
                <w:sz w:val="22"/>
                <w:szCs w:val="22"/>
              </w:rPr>
              <w:t>36,9 %</w:t>
            </w:r>
          </w:p>
        </w:tc>
        <w:tc>
          <w:tcPr>
            <w:tcW w:w="1576" w:type="dxa"/>
          </w:tcPr>
          <w:p w14:paraId="22F333E4" w14:textId="77777777" w:rsidR="003B1129" w:rsidRPr="009C5EFD" w:rsidRDefault="00E453CD" w:rsidP="00CC0DA9">
            <w:pPr>
              <w:keepNext/>
              <w:jc w:val="center"/>
              <w:rPr>
                <w:sz w:val="22"/>
                <w:szCs w:val="22"/>
                <w:lang w:val="en-GB"/>
              </w:rPr>
            </w:pPr>
            <w:r w:rsidRPr="009C5EFD">
              <w:rPr>
                <w:sz w:val="22"/>
                <w:szCs w:val="22"/>
              </w:rPr>
              <w:t>59,0 %</w:t>
            </w:r>
          </w:p>
        </w:tc>
        <w:tc>
          <w:tcPr>
            <w:tcW w:w="1100" w:type="dxa"/>
          </w:tcPr>
          <w:p w14:paraId="671A6F31" w14:textId="77777777" w:rsidR="003B1129" w:rsidRPr="009C5EFD" w:rsidRDefault="00E453CD" w:rsidP="00CC0DA9">
            <w:pPr>
              <w:keepNext/>
              <w:jc w:val="center"/>
              <w:rPr>
                <w:sz w:val="22"/>
                <w:szCs w:val="22"/>
                <w:lang w:val="en-GB"/>
              </w:rPr>
            </w:pPr>
            <w:r w:rsidRPr="009C5EFD">
              <w:rPr>
                <w:sz w:val="22"/>
                <w:szCs w:val="22"/>
              </w:rPr>
              <w:t>&lt; 0,001</w:t>
            </w:r>
          </w:p>
        </w:tc>
        <w:tc>
          <w:tcPr>
            <w:tcW w:w="1173" w:type="dxa"/>
          </w:tcPr>
          <w:p w14:paraId="7C28A1EF" w14:textId="77777777" w:rsidR="003B1129" w:rsidRPr="009C5EFD" w:rsidRDefault="00E453CD" w:rsidP="00CC0DA9">
            <w:pPr>
              <w:keepNext/>
              <w:jc w:val="center"/>
              <w:rPr>
                <w:sz w:val="22"/>
                <w:szCs w:val="22"/>
                <w:lang w:val="en-GB"/>
              </w:rPr>
            </w:pPr>
            <w:r w:rsidRPr="009C5EFD">
              <w:rPr>
                <w:sz w:val="22"/>
                <w:szCs w:val="22"/>
              </w:rPr>
              <w:t>&lt; 0,001</w:t>
            </w:r>
          </w:p>
        </w:tc>
        <w:tc>
          <w:tcPr>
            <w:tcW w:w="1210" w:type="dxa"/>
          </w:tcPr>
          <w:p w14:paraId="3DD946AF" w14:textId="77777777" w:rsidR="003B1129" w:rsidRPr="009C5EFD" w:rsidRDefault="00E453CD" w:rsidP="00CC0DA9">
            <w:pPr>
              <w:keepNext/>
              <w:jc w:val="center"/>
              <w:rPr>
                <w:sz w:val="22"/>
                <w:szCs w:val="22"/>
                <w:lang w:val="en-GB"/>
              </w:rPr>
            </w:pPr>
            <w:r w:rsidRPr="009C5EFD">
              <w:rPr>
                <w:sz w:val="22"/>
                <w:szCs w:val="22"/>
              </w:rPr>
              <w:t>0,162</w:t>
            </w:r>
          </w:p>
        </w:tc>
      </w:tr>
      <w:tr w:rsidR="004644D4" w14:paraId="0357D85C" w14:textId="77777777" w:rsidTr="00CC0DA9">
        <w:trPr>
          <w:gridAfter w:val="1"/>
          <w:wAfter w:w="12" w:type="dxa"/>
          <w:cantSplit/>
          <w:jc w:val="center"/>
        </w:trPr>
        <w:tc>
          <w:tcPr>
            <w:tcW w:w="1548" w:type="dxa"/>
            <w:gridSpan w:val="2"/>
          </w:tcPr>
          <w:p w14:paraId="775551F4" w14:textId="77777777" w:rsidR="003B1129" w:rsidRPr="009C5EFD" w:rsidRDefault="00E453CD" w:rsidP="00CC0DA9">
            <w:pPr>
              <w:keepNext/>
              <w:tabs>
                <w:tab w:val="left" w:pos="561"/>
              </w:tabs>
              <w:rPr>
                <w:sz w:val="22"/>
                <w:szCs w:val="22"/>
              </w:rPr>
            </w:pPr>
            <w:r w:rsidRPr="009C5EFD">
              <w:rPr>
                <w:sz w:val="22"/>
                <w:szCs w:val="22"/>
              </w:rPr>
              <w:t>ACR 70</w:t>
            </w:r>
          </w:p>
        </w:tc>
        <w:tc>
          <w:tcPr>
            <w:tcW w:w="1320" w:type="dxa"/>
          </w:tcPr>
          <w:p w14:paraId="1F35EFC2" w14:textId="77777777" w:rsidR="003B1129" w:rsidRPr="009C5EFD" w:rsidRDefault="003B1129" w:rsidP="00CC0DA9">
            <w:pPr>
              <w:keepNext/>
              <w:jc w:val="center"/>
              <w:rPr>
                <w:sz w:val="22"/>
                <w:szCs w:val="22"/>
                <w:lang w:val="en-GB"/>
              </w:rPr>
            </w:pPr>
          </w:p>
        </w:tc>
        <w:tc>
          <w:tcPr>
            <w:tcW w:w="1320" w:type="dxa"/>
          </w:tcPr>
          <w:p w14:paraId="733BB187" w14:textId="77777777" w:rsidR="003B1129" w:rsidRPr="009C5EFD" w:rsidRDefault="003B1129" w:rsidP="00CC0DA9">
            <w:pPr>
              <w:keepNext/>
              <w:jc w:val="center"/>
              <w:rPr>
                <w:sz w:val="22"/>
                <w:szCs w:val="22"/>
                <w:lang w:val="en-GB"/>
              </w:rPr>
            </w:pPr>
          </w:p>
        </w:tc>
        <w:tc>
          <w:tcPr>
            <w:tcW w:w="1576" w:type="dxa"/>
          </w:tcPr>
          <w:p w14:paraId="54166FE5" w14:textId="77777777" w:rsidR="003B1129" w:rsidRPr="009C5EFD" w:rsidRDefault="003B1129" w:rsidP="00CC0DA9">
            <w:pPr>
              <w:keepNext/>
              <w:jc w:val="center"/>
              <w:rPr>
                <w:sz w:val="22"/>
                <w:szCs w:val="22"/>
                <w:lang w:val="en-GB"/>
              </w:rPr>
            </w:pPr>
          </w:p>
        </w:tc>
        <w:tc>
          <w:tcPr>
            <w:tcW w:w="1100" w:type="dxa"/>
          </w:tcPr>
          <w:p w14:paraId="7BCF74BC" w14:textId="77777777" w:rsidR="003B1129" w:rsidRPr="009C5EFD" w:rsidRDefault="003B1129" w:rsidP="00CC0DA9">
            <w:pPr>
              <w:keepNext/>
              <w:jc w:val="center"/>
              <w:rPr>
                <w:sz w:val="22"/>
                <w:szCs w:val="22"/>
                <w:lang w:val="en-GB"/>
              </w:rPr>
            </w:pPr>
          </w:p>
        </w:tc>
        <w:tc>
          <w:tcPr>
            <w:tcW w:w="1173" w:type="dxa"/>
          </w:tcPr>
          <w:p w14:paraId="60BE5A9D" w14:textId="77777777" w:rsidR="003B1129" w:rsidRPr="009C5EFD" w:rsidRDefault="003B1129" w:rsidP="00CC0DA9">
            <w:pPr>
              <w:keepNext/>
              <w:jc w:val="center"/>
              <w:rPr>
                <w:sz w:val="22"/>
                <w:szCs w:val="22"/>
                <w:lang w:val="en-GB"/>
              </w:rPr>
            </w:pPr>
          </w:p>
        </w:tc>
        <w:tc>
          <w:tcPr>
            <w:tcW w:w="1210" w:type="dxa"/>
          </w:tcPr>
          <w:p w14:paraId="01A71EDE" w14:textId="77777777" w:rsidR="003B1129" w:rsidRPr="009C5EFD" w:rsidRDefault="003B1129" w:rsidP="00CC0DA9">
            <w:pPr>
              <w:keepNext/>
              <w:jc w:val="center"/>
              <w:rPr>
                <w:sz w:val="22"/>
                <w:szCs w:val="22"/>
                <w:lang w:val="en-GB"/>
              </w:rPr>
            </w:pPr>
          </w:p>
        </w:tc>
      </w:tr>
      <w:tr w:rsidR="004644D4" w14:paraId="3CC738BA" w14:textId="77777777" w:rsidTr="00CC0DA9">
        <w:trPr>
          <w:gridAfter w:val="1"/>
          <w:wAfter w:w="12" w:type="dxa"/>
          <w:cantSplit/>
          <w:trHeight w:val="70"/>
          <w:jc w:val="center"/>
        </w:trPr>
        <w:tc>
          <w:tcPr>
            <w:tcW w:w="1548" w:type="dxa"/>
            <w:gridSpan w:val="2"/>
          </w:tcPr>
          <w:p w14:paraId="5C13ED41" w14:textId="77777777" w:rsidR="003B1129" w:rsidRPr="009C5EFD" w:rsidRDefault="00E453CD" w:rsidP="00CC0DA9">
            <w:pPr>
              <w:keepNext/>
              <w:tabs>
                <w:tab w:val="left" w:pos="561"/>
              </w:tabs>
              <w:rPr>
                <w:sz w:val="22"/>
                <w:szCs w:val="22"/>
              </w:rPr>
            </w:pPr>
            <w:r w:rsidRPr="009C5EFD">
              <w:rPr>
                <w:sz w:val="22"/>
                <w:szCs w:val="22"/>
              </w:rPr>
              <w:tab/>
              <w:t>Uke 52</w:t>
            </w:r>
          </w:p>
        </w:tc>
        <w:tc>
          <w:tcPr>
            <w:tcW w:w="1320" w:type="dxa"/>
          </w:tcPr>
          <w:p w14:paraId="0381C5EB" w14:textId="77777777" w:rsidR="003B1129" w:rsidRPr="009C5EFD" w:rsidRDefault="00E453CD" w:rsidP="00CC0DA9">
            <w:pPr>
              <w:keepNext/>
              <w:jc w:val="center"/>
              <w:rPr>
                <w:sz w:val="22"/>
                <w:szCs w:val="22"/>
                <w:lang w:val="en-GB"/>
              </w:rPr>
            </w:pPr>
            <w:r w:rsidRPr="009C5EFD">
              <w:rPr>
                <w:sz w:val="22"/>
                <w:szCs w:val="22"/>
              </w:rPr>
              <w:t>27,2 %</w:t>
            </w:r>
          </w:p>
        </w:tc>
        <w:tc>
          <w:tcPr>
            <w:tcW w:w="1320" w:type="dxa"/>
          </w:tcPr>
          <w:p w14:paraId="249280CB" w14:textId="77777777" w:rsidR="003B1129" w:rsidRPr="009C5EFD" w:rsidRDefault="00E453CD" w:rsidP="00CC0DA9">
            <w:pPr>
              <w:keepNext/>
              <w:jc w:val="center"/>
              <w:rPr>
                <w:sz w:val="22"/>
                <w:szCs w:val="22"/>
                <w:lang w:val="en-GB"/>
              </w:rPr>
            </w:pPr>
            <w:r w:rsidRPr="009C5EFD">
              <w:rPr>
                <w:sz w:val="22"/>
                <w:szCs w:val="22"/>
              </w:rPr>
              <w:t>25,9 %</w:t>
            </w:r>
          </w:p>
        </w:tc>
        <w:tc>
          <w:tcPr>
            <w:tcW w:w="1576" w:type="dxa"/>
          </w:tcPr>
          <w:p w14:paraId="2363BCF8" w14:textId="77777777" w:rsidR="003B1129" w:rsidRPr="009C5EFD" w:rsidRDefault="00E453CD" w:rsidP="00CC0DA9">
            <w:pPr>
              <w:keepNext/>
              <w:jc w:val="center"/>
              <w:rPr>
                <w:sz w:val="22"/>
                <w:szCs w:val="22"/>
                <w:lang w:val="en-GB"/>
              </w:rPr>
            </w:pPr>
            <w:r w:rsidRPr="009C5EFD">
              <w:rPr>
                <w:sz w:val="22"/>
                <w:szCs w:val="22"/>
              </w:rPr>
              <w:t>45,5 %</w:t>
            </w:r>
          </w:p>
        </w:tc>
        <w:tc>
          <w:tcPr>
            <w:tcW w:w="1100" w:type="dxa"/>
          </w:tcPr>
          <w:p w14:paraId="44554C09" w14:textId="77777777" w:rsidR="003B1129" w:rsidRPr="009C5EFD" w:rsidRDefault="00E453CD" w:rsidP="00CC0DA9">
            <w:pPr>
              <w:keepNext/>
              <w:jc w:val="center"/>
              <w:rPr>
                <w:sz w:val="22"/>
                <w:szCs w:val="22"/>
                <w:lang w:val="en-GB"/>
              </w:rPr>
            </w:pPr>
            <w:r w:rsidRPr="009C5EFD">
              <w:rPr>
                <w:sz w:val="22"/>
                <w:szCs w:val="22"/>
              </w:rPr>
              <w:t>&lt; 0,001</w:t>
            </w:r>
          </w:p>
        </w:tc>
        <w:tc>
          <w:tcPr>
            <w:tcW w:w="1173" w:type="dxa"/>
          </w:tcPr>
          <w:p w14:paraId="1752DC39" w14:textId="77777777" w:rsidR="003B1129" w:rsidRPr="009C5EFD" w:rsidRDefault="00E453CD" w:rsidP="00CC0DA9">
            <w:pPr>
              <w:keepNext/>
              <w:jc w:val="center"/>
              <w:rPr>
                <w:sz w:val="22"/>
                <w:szCs w:val="22"/>
                <w:lang w:val="en-GB"/>
              </w:rPr>
            </w:pPr>
            <w:r w:rsidRPr="009C5EFD">
              <w:rPr>
                <w:sz w:val="22"/>
                <w:szCs w:val="22"/>
              </w:rPr>
              <w:t>&lt; 0,001</w:t>
            </w:r>
          </w:p>
        </w:tc>
        <w:tc>
          <w:tcPr>
            <w:tcW w:w="1210" w:type="dxa"/>
          </w:tcPr>
          <w:p w14:paraId="60D74036" w14:textId="77777777" w:rsidR="003B1129" w:rsidRPr="009C5EFD" w:rsidRDefault="00E453CD" w:rsidP="00CC0DA9">
            <w:pPr>
              <w:keepNext/>
              <w:jc w:val="center"/>
              <w:rPr>
                <w:sz w:val="22"/>
                <w:szCs w:val="22"/>
                <w:lang w:val="en-GB"/>
              </w:rPr>
            </w:pPr>
            <w:r w:rsidRPr="009C5EFD">
              <w:rPr>
                <w:sz w:val="22"/>
                <w:szCs w:val="22"/>
              </w:rPr>
              <w:t>0,656</w:t>
            </w:r>
          </w:p>
        </w:tc>
      </w:tr>
      <w:tr w:rsidR="004644D4" w14:paraId="50EBA965" w14:textId="77777777" w:rsidTr="00CC0DA9">
        <w:trPr>
          <w:gridAfter w:val="1"/>
          <w:wAfter w:w="12" w:type="dxa"/>
          <w:cantSplit/>
          <w:jc w:val="center"/>
        </w:trPr>
        <w:tc>
          <w:tcPr>
            <w:tcW w:w="1548" w:type="dxa"/>
            <w:gridSpan w:val="2"/>
          </w:tcPr>
          <w:p w14:paraId="41D7FAA2" w14:textId="77777777" w:rsidR="003B1129" w:rsidRPr="009C5EFD" w:rsidRDefault="00E453CD" w:rsidP="00CC0DA9">
            <w:pPr>
              <w:keepNext/>
              <w:tabs>
                <w:tab w:val="left" w:pos="561"/>
              </w:tabs>
              <w:rPr>
                <w:sz w:val="22"/>
                <w:szCs w:val="22"/>
              </w:rPr>
            </w:pPr>
            <w:r w:rsidRPr="009C5EFD">
              <w:rPr>
                <w:sz w:val="22"/>
                <w:szCs w:val="22"/>
              </w:rPr>
              <w:tab/>
              <w:t>Uke 104</w:t>
            </w:r>
          </w:p>
        </w:tc>
        <w:tc>
          <w:tcPr>
            <w:tcW w:w="1320" w:type="dxa"/>
          </w:tcPr>
          <w:p w14:paraId="15B6E222" w14:textId="77777777" w:rsidR="003B1129" w:rsidRPr="009C5EFD" w:rsidRDefault="00E453CD" w:rsidP="00CC0DA9">
            <w:pPr>
              <w:keepNext/>
              <w:jc w:val="center"/>
              <w:rPr>
                <w:sz w:val="22"/>
                <w:szCs w:val="22"/>
                <w:lang w:val="en-GB"/>
              </w:rPr>
            </w:pPr>
            <w:r w:rsidRPr="009C5EFD">
              <w:rPr>
                <w:sz w:val="22"/>
                <w:szCs w:val="22"/>
              </w:rPr>
              <w:t>28,4 %</w:t>
            </w:r>
          </w:p>
        </w:tc>
        <w:tc>
          <w:tcPr>
            <w:tcW w:w="1320" w:type="dxa"/>
          </w:tcPr>
          <w:p w14:paraId="240DFE8E" w14:textId="77777777" w:rsidR="003B1129" w:rsidRPr="009C5EFD" w:rsidRDefault="00E453CD" w:rsidP="00CC0DA9">
            <w:pPr>
              <w:keepNext/>
              <w:jc w:val="center"/>
              <w:rPr>
                <w:sz w:val="22"/>
                <w:szCs w:val="22"/>
                <w:lang w:val="en-GB"/>
              </w:rPr>
            </w:pPr>
            <w:r w:rsidRPr="009C5EFD">
              <w:rPr>
                <w:sz w:val="22"/>
                <w:szCs w:val="22"/>
              </w:rPr>
              <w:t>28,1 %</w:t>
            </w:r>
          </w:p>
        </w:tc>
        <w:tc>
          <w:tcPr>
            <w:tcW w:w="1576" w:type="dxa"/>
          </w:tcPr>
          <w:p w14:paraId="47EB5D03" w14:textId="77777777" w:rsidR="003B1129" w:rsidRPr="009C5EFD" w:rsidRDefault="00E453CD" w:rsidP="00CC0DA9">
            <w:pPr>
              <w:keepNext/>
              <w:jc w:val="center"/>
              <w:rPr>
                <w:sz w:val="22"/>
                <w:szCs w:val="22"/>
                <w:lang w:val="en-GB"/>
              </w:rPr>
            </w:pPr>
            <w:r w:rsidRPr="009C5EFD">
              <w:rPr>
                <w:sz w:val="22"/>
                <w:szCs w:val="22"/>
              </w:rPr>
              <w:t>46,6 %</w:t>
            </w:r>
          </w:p>
        </w:tc>
        <w:tc>
          <w:tcPr>
            <w:tcW w:w="1100" w:type="dxa"/>
          </w:tcPr>
          <w:p w14:paraId="2B5C043F" w14:textId="77777777" w:rsidR="003B1129" w:rsidRPr="009C5EFD" w:rsidRDefault="00E453CD" w:rsidP="00CC0DA9">
            <w:pPr>
              <w:keepNext/>
              <w:jc w:val="center"/>
              <w:rPr>
                <w:sz w:val="22"/>
                <w:szCs w:val="22"/>
                <w:lang w:val="en-GB"/>
              </w:rPr>
            </w:pPr>
            <w:r w:rsidRPr="009C5EFD">
              <w:rPr>
                <w:sz w:val="22"/>
                <w:szCs w:val="22"/>
              </w:rPr>
              <w:t>&lt; 0,001</w:t>
            </w:r>
          </w:p>
        </w:tc>
        <w:tc>
          <w:tcPr>
            <w:tcW w:w="1173" w:type="dxa"/>
          </w:tcPr>
          <w:p w14:paraId="041BBBA8" w14:textId="77777777" w:rsidR="003B1129" w:rsidRPr="009C5EFD" w:rsidRDefault="00E453CD" w:rsidP="00CC0DA9">
            <w:pPr>
              <w:keepNext/>
              <w:jc w:val="center"/>
              <w:rPr>
                <w:sz w:val="22"/>
                <w:szCs w:val="22"/>
                <w:lang w:val="en-GB"/>
              </w:rPr>
            </w:pPr>
            <w:r w:rsidRPr="009C5EFD">
              <w:rPr>
                <w:sz w:val="22"/>
                <w:szCs w:val="22"/>
              </w:rPr>
              <w:t>&lt; 0,001</w:t>
            </w:r>
          </w:p>
        </w:tc>
        <w:tc>
          <w:tcPr>
            <w:tcW w:w="1210" w:type="dxa"/>
          </w:tcPr>
          <w:p w14:paraId="36FADC8C" w14:textId="77777777" w:rsidR="003B1129" w:rsidRPr="009C5EFD" w:rsidRDefault="00E453CD" w:rsidP="00CC0DA9">
            <w:pPr>
              <w:keepNext/>
              <w:jc w:val="center"/>
              <w:rPr>
                <w:sz w:val="22"/>
                <w:szCs w:val="22"/>
                <w:lang w:val="en-GB"/>
              </w:rPr>
            </w:pPr>
            <w:r w:rsidRPr="009C5EFD">
              <w:rPr>
                <w:sz w:val="22"/>
                <w:szCs w:val="22"/>
              </w:rPr>
              <w:t>0,864</w:t>
            </w:r>
          </w:p>
        </w:tc>
      </w:tr>
      <w:tr w:rsidR="004644D4" w14:paraId="35D4C1D2" w14:textId="77777777" w:rsidTr="00CC0DA9">
        <w:trPr>
          <w:gridBefore w:val="1"/>
          <w:wBefore w:w="9" w:type="dxa"/>
          <w:cantSplit/>
          <w:jc w:val="center"/>
        </w:trPr>
        <w:tc>
          <w:tcPr>
            <w:tcW w:w="9250" w:type="dxa"/>
            <w:gridSpan w:val="8"/>
          </w:tcPr>
          <w:p w14:paraId="7BCE6CEB" w14:textId="77777777" w:rsidR="003B1129" w:rsidRPr="007F67EE" w:rsidRDefault="00E453CD" w:rsidP="00CC0DA9">
            <w:pPr>
              <w:pStyle w:val="BodyTextIndent2"/>
              <w:keepNext/>
              <w:tabs>
                <w:tab w:val="left" w:pos="330"/>
              </w:tabs>
              <w:ind w:left="330" w:hanging="330"/>
              <w:rPr>
                <w:szCs w:val="22"/>
              </w:rPr>
            </w:pPr>
            <w:r w:rsidRPr="007F67EE">
              <w:rPr>
                <w:szCs w:val="22"/>
              </w:rPr>
              <w:t>a.</w:t>
            </w:r>
            <w:r w:rsidRPr="007F67EE">
              <w:rPr>
                <w:szCs w:val="22"/>
              </w:rPr>
              <w:tab/>
              <w:t>p-verdien er fra den parvise sammenligningen av metotreksat monoterapi og Humira/metotreksat kombinasjonsbehandling med Mann-Whitney U testen.</w:t>
            </w:r>
          </w:p>
          <w:p w14:paraId="39355C6C" w14:textId="77777777" w:rsidR="003B1129" w:rsidRPr="002D0790" w:rsidRDefault="00E453CD" w:rsidP="00CC0DA9">
            <w:pPr>
              <w:pStyle w:val="BodyTextIndent2"/>
              <w:keepNext/>
              <w:tabs>
                <w:tab w:val="left" w:pos="330"/>
              </w:tabs>
              <w:ind w:left="329" w:hanging="329"/>
              <w:rPr>
                <w:szCs w:val="22"/>
              </w:rPr>
            </w:pPr>
            <w:r w:rsidRPr="007F67EE">
              <w:rPr>
                <w:szCs w:val="22"/>
              </w:rPr>
              <w:t>b.</w:t>
            </w:r>
            <w:r w:rsidRPr="007F67EE">
              <w:rPr>
                <w:szCs w:val="22"/>
              </w:rPr>
              <w:tab/>
              <w:t>p-verdien er fra den parvise sammenligningen av Humira monoterapi o</w:t>
            </w:r>
            <w:r w:rsidRPr="00193D76">
              <w:rPr>
                <w:szCs w:val="22"/>
              </w:rPr>
              <w:t>g Humira/metotreksat kombinasjonsbehandling med Mann-Whitney U testen.</w:t>
            </w:r>
          </w:p>
          <w:p w14:paraId="4F27682F" w14:textId="77777777" w:rsidR="003B1129" w:rsidRPr="00E14E58" w:rsidRDefault="00E453CD" w:rsidP="00CC0DA9">
            <w:pPr>
              <w:pStyle w:val="BodyTextIndent2"/>
              <w:keepNext/>
              <w:tabs>
                <w:tab w:val="left" w:pos="330"/>
              </w:tabs>
              <w:ind w:left="329" w:hanging="329"/>
              <w:rPr>
                <w:szCs w:val="22"/>
              </w:rPr>
            </w:pPr>
            <w:r w:rsidRPr="00C07C98">
              <w:rPr>
                <w:szCs w:val="22"/>
              </w:rPr>
              <w:t>c.</w:t>
            </w:r>
            <w:r w:rsidRPr="00C07C98">
              <w:rPr>
                <w:szCs w:val="22"/>
              </w:rPr>
              <w:tab/>
              <w:t>p-verdien er fra den parvise sammenligningen av Humira monoterapi og metotreksat monoterapi med Mann-Whitney U testen.</w:t>
            </w:r>
          </w:p>
        </w:tc>
      </w:tr>
    </w:tbl>
    <w:p w14:paraId="3E1C5A99" w14:textId="77777777" w:rsidR="003B1129" w:rsidRPr="007F67EE" w:rsidRDefault="003B1129" w:rsidP="003B1129">
      <w:pPr>
        <w:ind w:left="54"/>
        <w:rPr>
          <w:sz w:val="22"/>
          <w:szCs w:val="22"/>
        </w:rPr>
      </w:pPr>
    </w:p>
    <w:p w14:paraId="60CC7A18" w14:textId="77777777" w:rsidR="003B1129" w:rsidRDefault="00E453CD" w:rsidP="003B1129">
      <w:pPr>
        <w:rPr>
          <w:sz w:val="22"/>
          <w:szCs w:val="22"/>
        </w:rPr>
      </w:pPr>
      <w:r>
        <w:rPr>
          <w:sz w:val="22"/>
          <w:szCs w:val="22"/>
        </w:rPr>
        <w:t>I den åpne forlengelsesfasen for RA studie V, ble ACR-responsrater vedlikeholdt i opptil 10</w:t>
      </w:r>
      <w:r w:rsidR="00E8216E">
        <w:rPr>
          <w:sz w:val="22"/>
          <w:szCs w:val="22"/>
        </w:rPr>
        <w:t> </w:t>
      </w:r>
      <w:r>
        <w:rPr>
          <w:sz w:val="22"/>
          <w:szCs w:val="22"/>
        </w:rPr>
        <w:t>år. Av 542 pasienter randomisert til Humira 40</w:t>
      </w:r>
      <w:r w:rsidR="00E8216E">
        <w:rPr>
          <w:sz w:val="22"/>
          <w:szCs w:val="22"/>
        </w:rPr>
        <w:t> </w:t>
      </w:r>
      <w:r>
        <w:rPr>
          <w:sz w:val="22"/>
          <w:szCs w:val="22"/>
        </w:rPr>
        <w:t>mg annenhver uke, fortsatte 170</w:t>
      </w:r>
      <w:r w:rsidR="00E8216E">
        <w:rPr>
          <w:sz w:val="22"/>
          <w:szCs w:val="22"/>
        </w:rPr>
        <w:t> </w:t>
      </w:r>
      <w:r w:rsidR="003B49EC">
        <w:rPr>
          <w:sz w:val="22"/>
          <w:szCs w:val="22"/>
        </w:rPr>
        <w:t xml:space="preserve">pasienter </w:t>
      </w:r>
      <w:r w:rsidR="00505F9D">
        <w:rPr>
          <w:sz w:val="22"/>
          <w:szCs w:val="22"/>
        </w:rPr>
        <w:t>med</w:t>
      </w:r>
      <w:r>
        <w:rPr>
          <w:sz w:val="22"/>
          <w:szCs w:val="22"/>
        </w:rPr>
        <w:t xml:space="preserve"> Humira 40</w:t>
      </w:r>
      <w:r w:rsidR="00E8216E">
        <w:rPr>
          <w:sz w:val="22"/>
          <w:szCs w:val="22"/>
        </w:rPr>
        <w:t> </w:t>
      </w:r>
      <w:r>
        <w:rPr>
          <w:sz w:val="22"/>
          <w:szCs w:val="22"/>
        </w:rPr>
        <w:t>mg annenhver uke i 10</w:t>
      </w:r>
      <w:r w:rsidR="00E8216E">
        <w:rPr>
          <w:sz w:val="22"/>
          <w:szCs w:val="22"/>
        </w:rPr>
        <w:t> </w:t>
      </w:r>
      <w:r>
        <w:rPr>
          <w:sz w:val="22"/>
          <w:szCs w:val="22"/>
        </w:rPr>
        <w:t>år. Av disse hadde 154</w:t>
      </w:r>
      <w:r w:rsidR="00E8216E">
        <w:rPr>
          <w:sz w:val="22"/>
          <w:szCs w:val="22"/>
        </w:rPr>
        <w:t> </w:t>
      </w:r>
      <w:r>
        <w:rPr>
          <w:sz w:val="22"/>
          <w:szCs w:val="22"/>
        </w:rPr>
        <w:t>pasienter (90,6</w:t>
      </w:r>
      <w:r w:rsidR="00E8216E">
        <w:rPr>
          <w:sz w:val="22"/>
          <w:szCs w:val="22"/>
        </w:rPr>
        <w:t> </w:t>
      </w:r>
      <w:r>
        <w:rPr>
          <w:sz w:val="22"/>
          <w:szCs w:val="22"/>
        </w:rPr>
        <w:t>%) ACR</w:t>
      </w:r>
      <w:r w:rsidR="00E8216E">
        <w:rPr>
          <w:sz w:val="22"/>
          <w:szCs w:val="22"/>
        </w:rPr>
        <w:t> </w:t>
      </w:r>
      <w:r w:rsidR="00EC5A19">
        <w:rPr>
          <w:sz w:val="22"/>
          <w:szCs w:val="22"/>
        </w:rPr>
        <w:t>20-respons</w:t>
      </w:r>
      <w:r>
        <w:rPr>
          <w:sz w:val="22"/>
          <w:szCs w:val="22"/>
        </w:rPr>
        <w:t>, 127</w:t>
      </w:r>
      <w:r w:rsidR="00E8216E">
        <w:rPr>
          <w:sz w:val="22"/>
          <w:szCs w:val="22"/>
        </w:rPr>
        <w:t> </w:t>
      </w:r>
      <w:r>
        <w:rPr>
          <w:sz w:val="22"/>
          <w:szCs w:val="22"/>
        </w:rPr>
        <w:t>pasienter (74,7</w:t>
      </w:r>
      <w:r w:rsidR="00E8216E">
        <w:rPr>
          <w:sz w:val="22"/>
          <w:szCs w:val="22"/>
        </w:rPr>
        <w:t> </w:t>
      </w:r>
      <w:r>
        <w:rPr>
          <w:sz w:val="22"/>
          <w:szCs w:val="22"/>
        </w:rPr>
        <w:t>%) hadde ACR</w:t>
      </w:r>
      <w:r w:rsidR="00E8216E">
        <w:rPr>
          <w:sz w:val="22"/>
          <w:szCs w:val="22"/>
        </w:rPr>
        <w:t> </w:t>
      </w:r>
      <w:r w:rsidR="00EC5A19">
        <w:rPr>
          <w:sz w:val="22"/>
          <w:szCs w:val="22"/>
        </w:rPr>
        <w:t>50-respons</w:t>
      </w:r>
      <w:r>
        <w:rPr>
          <w:sz w:val="22"/>
          <w:szCs w:val="22"/>
        </w:rPr>
        <w:t xml:space="preserve"> og 102</w:t>
      </w:r>
      <w:r w:rsidR="00E8216E">
        <w:rPr>
          <w:sz w:val="22"/>
          <w:szCs w:val="22"/>
        </w:rPr>
        <w:t> </w:t>
      </w:r>
      <w:r>
        <w:rPr>
          <w:sz w:val="22"/>
          <w:szCs w:val="22"/>
        </w:rPr>
        <w:t>pasienter (60,0</w:t>
      </w:r>
      <w:r w:rsidR="00E8216E">
        <w:rPr>
          <w:sz w:val="22"/>
          <w:szCs w:val="22"/>
        </w:rPr>
        <w:t> </w:t>
      </w:r>
      <w:r>
        <w:rPr>
          <w:sz w:val="22"/>
          <w:szCs w:val="22"/>
        </w:rPr>
        <w:t>%) hadde ACR</w:t>
      </w:r>
      <w:r w:rsidR="00E8216E">
        <w:rPr>
          <w:sz w:val="22"/>
          <w:szCs w:val="22"/>
        </w:rPr>
        <w:t> </w:t>
      </w:r>
      <w:r w:rsidR="00366B6C">
        <w:rPr>
          <w:sz w:val="22"/>
          <w:szCs w:val="22"/>
        </w:rPr>
        <w:t>70-respons</w:t>
      </w:r>
      <w:r>
        <w:rPr>
          <w:sz w:val="22"/>
          <w:szCs w:val="22"/>
        </w:rPr>
        <w:t>.</w:t>
      </w:r>
    </w:p>
    <w:p w14:paraId="1F74D4BF" w14:textId="77777777" w:rsidR="003B1129" w:rsidRDefault="003B1129" w:rsidP="003B1129">
      <w:pPr>
        <w:rPr>
          <w:sz w:val="22"/>
          <w:szCs w:val="22"/>
        </w:rPr>
      </w:pPr>
    </w:p>
    <w:p w14:paraId="601257AF" w14:textId="77777777" w:rsidR="003B1129" w:rsidRPr="009C5EFD" w:rsidRDefault="00E453CD" w:rsidP="003B1129">
      <w:pPr>
        <w:rPr>
          <w:sz w:val="22"/>
          <w:szCs w:val="22"/>
        </w:rPr>
      </w:pPr>
      <w:r w:rsidRPr="007F67EE">
        <w:rPr>
          <w:sz w:val="22"/>
          <w:szCs w:val="22"/>
        </w:rPr>
        <w:t>Ved uke 52 oppnådde 42,9</w:t>
      </w:r>
      <w:r w:rsidRPr="002D0790">
        <w:rPr>
          <w:sz w:val="22"/>
          <w:szCs w:val="22"/>
        </w:rPr>
        <w:t> %</w:t>
      </w:r>
      <w:r w:rsidRPr="00C07C98">
        <w:rPr>
          <w:sz w:val="22"/>
          <w:szCs w:val="22"/>
        </w:rPr>
        <w:t xml:space="preserve"> av pasientene som fikk kombinasjonsbehandling med Humira/metotreksat klinisk remisjon (DAS28 </w:t>
      </w:r>
      <w:r>
        <w:rPr>
          <w:sz w:val="22"/>
          <w:szCs w:val="22"/>
        </w:rPr>
        <w:t xml:space="preserve">(CRP) </w:t>
      </w:r>
      <w:r w:rsidRPr="00C07C98">
        <w:rPr>
          <w:sz w:val="22"/>
          <w:szCs w:val="22"/>
        </w:rPr>
        <w:t>&lt;</w:t>
      </w:r>
      <w:r w:rsidRPr="009C5EFD">
        <w:rPr>
          <w:sz w:val="22"/>
          <w:szCs w:val="22"/>
        </w:rPr>
        <w:t> 2,6) sammenlignet med 20,6 % av pasientene som fikk metotreksat monoterapi og 23,4 % av pasientene som fikk Humira monoterapi. Kombinasjonsbehandling med Humira/metotreksat var klinisk og statistisk bedre enn metotreksat (p &lt; 0,001) og Humira monoterapi (p &lt; 0,001), for å oppnå en lettere sykdomstilstand, for pasienter som nylig var diagnostisert med moderat til alvorlig revmatoid artritt. Responsen for de to monoterapiarmene var lik (p = 0,447).</w:t>
      </w:r>
      <w:r>
        <w:rPr>
          <w:sz w:val="22"/>
          <w:szCs w:val="22"/>
        </w:rPr>
        <w:t xml:space="preserve"> Av 342</w:t>
      </w:r>
      <w:r w:rsidR="00E8216E">
        <w:rPr>
          <w:sz w:val="22"/>
          <w:szCs w:val="22"/>
        </w:rPr>
        <w:t> </w:t>
      </w:r>
      <w:r>
        <w:rPr>
          <w:sz w:val="22"/>
          <w:szCs w:val="22"/>
        </w:rPr>
        <w:t xml:space="preserve">pasienter </w:t>
      </w:r>
      <w:r w:rsidR="000E3D8A">
        <w:rPr>
          <w:sz w:val="22"/>
          <w:szCs w:val="22"/>
        </w:rPr>
        <w:t xml:space="preserve">opprinnelig </w:t>
      </w:r>
      <w:r>
        <w:rPr>
          <w:sz w:val="22"/>
          <w:szCs w:val="22"/>
        </w:rPr>
        <w:t xml:space="preserve">randomisert til Humira monoterapi eller Humira/metotreksat kombinasjonsbehandling, som ble inkludert i den åpne </w:t>
      </w:r>
      <w:r>
        <w:rPr>
          <w:sz w:val="22"/>
          <w:szCs w:val="22"/>
        </w:rPr>
        <w:lastRenderedPageBreak/>
        <w:t>forlengelsesfasen, fullførte 171</w:t>
      </w:r>
      <w:r w:rsidR="00E8216E">
        <w:rPr>
          <w:sz w:val="22"/>
          <w:szCs w:val="22"/>
        </w:rPr>
        <w:t> </w:t>
      </w:r>
      <w:r>
        <w:rPr>
          <w:sz w:val="22"/>
          <w:szCs w:val="22"/>
        </w:rPr>
        <w:t>pasienter 10</w:t>
      </w:r>
      <w:r w:rsidR="00E8216E">
        <w:rPr>
          <w:sz w:val="22"/>
          <w:szCs w:val="22"/>
        </w:rPr>
        <w:t> </w:t>
      </w:r>
      <w:r>
        <w:rPr>
          <w:sz w:val="22"/>
          <w:szCs w:val="22"/>
        </w:rPr>
        <w:t>år med Humira-behandling. Blant disse ble 109</w:t>
      </w:r>
      <w:r w:rsidR="00E8216E">
        <w:rPr>
          <w:sz w:val="22"/>
          <w:szCs w:val="22"/>
        </w:rPr>
        <w:t> </w:t>
      </w:r>
      <w:r>
        <w:rPr>
          <w:sz w:val="22"/>
          <w:szCs w:val="22"/>
        </w:rPr>
        <w:t>pasienter (63,7</w:t>
      </w:r>
      <w:r w:rsidR="00E8216E">
        <w:rPr>
          <w:sz w:val="22"/>
          <w:szCs w:val="22"/>
        </w:rPr>
        <w:t> </w:t>
      </w:r>
      <w:r>
        <w:rPr>
          <w:sz w:val="22"/>
          <w:szCs w:val="22"/>
        </w:rPr>
        <w:t>%) rapportert til å være i remisjon etter 10</w:t>
      </w:r>
      <w:r w:rsidR="00E8216E">
        <w:rPr>
          <w:sz w:val="22"/>
          <w:szCs w:val="22"/>
        </w:rPr>
        <w:t> </w:t>
      </w:r>
      <w:r>
        <w:rPr>
          <w:sz w:val="22"/>
          <w:szCs w:val="22"/>
        </w:rPr>
        <w:t>år.</w:t>
      </w:r>
    </w:p>
    <w:p w14:paraId="3ABACC89" w14:textId="77777777" w:rsidR="003B1129" w:rsidRPr="009C5EFD" w:rsidRDefault="003B1129" w:rsidP="003B1129">
      <w:pPr>
        <w:rPr>
          <w:sz w:val="22"/>
          <w:szCs w:val="22"/>
        </w:rPr>
      </w:pPr>
    </w:p>
    <w:p w14:paraId="2B457631" w14:textId="77777777" w:rsidR="003B1129" w:rsidRPr="007F67EE" w:rsidRDefault="00E453CD" w:rsidP="003B1129">
      <w:pPr>
        <w:pStyle w:val="Heading7"/>
        <w:rPr>
          <w:szCs w:val="22"/>
          <w:u w:val="single"/>
        </w:rPr>
      </w:pPr>
      <w:r>
        <w:rPr>
          <w:noProof/>
          <w:lang w:val="en-GB" w:eastAsia="en-GB"/>
        </w:rPr>
        <mc:AlternateContent>
          <mc:Choice Requires="wps">
            <w:drawing>
              <wp:anchor distT="0" distB="0" distL="114300" distR="114300" simplePos="0" relativeHeight="251658248" behindDoc="0" locked="0" layoutInCell="0" allowOverlap="1" wp14:anchorId="7FD34DC0" wp14:editId="685AABEB">
                <wp:simplePos x="0" y="0"/>
                <wp:positionH relativeFrom="column">
                  <wp:posOffset>-1943100</wp:posOffset>
                </wp:positionH>
                <wp:positionV relativeFrom="paragraph">
                  <wp:posOffset>67310</wp:posOffset>
                </wp:positionV>
                <wp:extent cx="571500" cy="335280"/>
                <wp:effectExtent l="0" t="0" r="0" b="7620"/>
                <wp:wrapNone/>
                <wp:docPr id="33"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2093F" w14:textId="77777777" w:rsidR="001F4B85" w:rsidRDefault="001F4B85" w:rsidP="003B1129">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FD34DC0" id="_x0000_s1038" type="#_x0000_t202" style="position:absolute;left:0;text-align:left;margin-left:-153pt;margin-top:5.3pt;width:45pt;height:26.4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" o:allowincell="f" stroked="f">
                <v:textbox>
                  <w:txbxContent>
                    <w:p w14:paraId="1262093F" w14:textId="77777777" w:rsidR="001F4B85" w:rsidRDefault="001F4B85" w:rsidP="003B1129">
                      <w:pPr>
                        <w:rPr>
                          <w:sz w:val="20"/>
                        </w:rPr>
                      </w:pPr>
                    </w:p>
                  </w:txbxContent>
                </v:textbox>
              </v:shape>
            </w:pict>
          </mc:Fallback>
        </mc:AlternateContent>
      </w:r>
      <w:r w:rsidRPr="007F67EE">
        <w:rPr>
          <w:szCs w:val="22"/>
          <w:u w:val="single"/>
        </w:rPr>
        <w:t>Radiografisk respons</w:t>
      </w:r>
    </w:p>
    <w:p w14:paraId="22D40826" w14:textId="77777777" w:rsidR="003B1129" w:rsidRPr="00193D76" w:rsidRDefault="003B1129" w:rsidP="003B1129">
      <w:pPr>
        <w:keepNext/>
        <w:rPr>
          <w:sz w:val="22"/>
          <w:szCs w:val="22"/>
        </w:rPr>
      </w:pPr>
    </w:p>
    <w:p w14:paraId="3B49652F" w14:textId="77777777" w:rsidR="003B1129" w:rsidRPr="009C5EFD" w:rsidRDefault="00E453CD" w:rsidP="00776A84">
      <w:pPr>
        <w:rPr>
          <w:sz w:val="22"/>
          <w:szCs w:val="22"/>
        </w:rPr>
      </w:pPr>
      <w:r w:rsidRPr="002D0790">
        <w:rPr>
          <w:sz w:val="22"/>
          <w:szCs w:val="22"/>
        </w:rPr>
        <w:t>I RA-studie III, der pasienter behandlet med Humira hadde hatt revmatoid artritt i gjennomsnittlig 11</w:t>
      </w:r>
      <w:r w:rsidRPr="00C07C98">
        <w:rPr>
          <w:sz w:val="22"/>
          <w:szCs w:val="22"/>
        </w:rPr>
        <w:t> år</w:t>
      </w:r>
      <w:r w:rsidRPr="00E14E58">
        <w:rPr>
          <w:sz w:val="22"/>
          <w:szCs w:val="22"/>
        </w:rPr>
        <w:t>, ble den strukturelle leddskaden vurdert radiografisk og uttrykt som endringer i den modifiserte Total Sharp Score (</w:t>
      </w:r>
      <w:r w:rsidRPr="009C5EFD">
        <w:rPr>
          <w:sz w:val="22"/>
          <w:szCs w:val="22"/>
        </w:rPr>
        <w:t xml:space="preserve">TSS) og dens delkomponenter, erosjonsscoren og leddspaltescoren. Humira/metotreksat pasienter viste signifikant mindre radiografisk progresjon enn pasienter som kun fikk metotreksat ved 6 og 12 måneder (se tabell </w:t>
      </w:r>
      <w:r w:rsidR="003F5EAC">
        <w:rPr>
          <w:sz w:val="22"/>
          <w:szCs w:val="22"/>
        </w:rPr>
        <w:t>7</w:t>
      </w:r>
      <w:r w:rsidRPr="009C5EFD">
        <w:rPr>
          <w:sz w:val="22"/>
          <w:szCs w:val="22"/>
        </w:rPr>
        <w:t>).</w:t>
      </w:r>
    </w:p>
    <w:p w14:paraId="09BB8B94" w14:textId="77777777" w:rsidR="003B1129" w:rsidRPr="009C5EFD" w:rsidRDefault="003B1129" w:rsidP="003B1129">
      <w:pPr>
        <w:rPr>
          <w:sz w:val="22"/>
          <w:szCs w:val="22"/>
        </w:rPr>
      </w:pPr>
    </w:p>
    <w:p w14:paraId="7AE65586" w14:textId="77777777" w:rsidR="003B1129" w:rsidRPr="009C5EFD" w:rsidRDefault="00E453CD" w:rsidP="003B1129">
      <w:pPr>
        <w:rPr>
          <w:sz w:val="22"/>
          <w:szCs w:val="22"/>
        </w:rPr>
      </w:pPr>
      <w:r w:rsidRPr="009C5EFD">
        <w:rPr>
          <w:sz w:val="22"/>
          <w:szCs w:val="22"/>
        </w:rPr>
        <w:t>I den åpne oppfølgingsstudien av RA-studie III opprettholdes reduksjonen i progresjonshastighet på strukturell skade hos en gruppe av pasienter i 8 og 10 år. 81 av 207 pasienter opprinnelig behandlet med 40 mg Humira annenhver uke ble radiografisk undersøkt etter 8 år. Blant disse viste 48 pasienter ingen progresjon på strukturell skade, definert ved forandring fra baseline i mTSS på 0,5 eller lavere. 79 av 207 pasienter opprinnelig behandlet med 40 mg Humira annenhver uke ble radiografisk undersøkt etter 10 år. Blant disse viste 40 pasienter ingen progresjon på strukturell skade, definert ved forandring fra baseline i mTSS på 0,5 eller lavere.</w:t>
      </w:r>
    </w:p>
    <w:p w14:paraId="716BEEB0" w14:textId="77777777" w:rsidR="003B1129" w:rsidRPr="009C5EFD" w:rsidRDefault="003B1129" w:rsidP="003B1129">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4644D4" w14:paraId="7BE7F0DF" w14:textId="77777777" w:rsidTr="00CC0DA9">
        <w:trPr>
          <w:cantSplit/>
        </w:trPr>
        <w:tc>
          <w:tcPr>
            <w:tcW w:w="8856" w:type="dxa"/>
            <w:gridSpan w:val="5"/>
            <w:tcBorders>
              <w:top w:val="nil"/>
              <w:left w:val="nil"/>
              <w:right w:val="nil"/>
            </w:tcBorders>
          </w:tcPr>
          <w:p w14:paraId="54B0BD43" w14:textId="77777777" w:rsidR="003B1129" w:rsidRPr="009C5EFD" w:rsidRDefault="00E453CD" w:rsidP="00CC0DA9">
            <w:pPr>
              <w:pStyle w:val="Heading9"/>
              <w:keepNext/>
              <w:spacing w:before="0" w:after="0"/>
              <w:jc w:val="center"/>
              <w:rPr>
                <w:rFonts w:ascii="Times New Roman" w:hAnsi="Times New Roman" w:cs="Times New Roman"/>
                <w:b/>
                <w:bCs/>
              </w:rPr>
            </w:pPr>
            <w:r w:rsidRPr="009C5EFD">
              <w:rPr>
                <w:rFonts w:ascii="Times New Roman" w:hAnsi="Times New Roman" w:cs="Times New Roman"/>
                <w:b/>
                <w:bCs/>
              </w:rPr>
              <w:t>Tabell </w:t>
            </w:r>
            <w:r w:rsidR="003F5EAC">
              <w:rPr>
                <w:rFonts w:ascii="Times New Roman" w:hAnsi="Times New Roman" w:cs="Times New Roman"/>
                <w:b/>
                <w:bCs/>
              </w:rPr>
              <w:t>7</w:t>
            </w:r>
          </w:p>
          <w:p w14:paraId="1B599FC3" w14:textId="77777777" w:rsidR="003B1129" w:rsidRPr="009C5EFD" w:rsidRDefault="00E453CD" w:rsidP="00CC0DA9">
            <w:pPr>
              <w:pStyle w:val="EMEATitle"/>
              <w:keepNext/>
              <w:rPr>
                <w:rFonts w:ascii="Times New Roman" w:hAnsi="Times New Roman"/>
                <w:bCs/>
                <w:caps w:val="0"/>
                <w:lang w:val="nb-NO"/>
              </w:rPr>
            </w:pPr>
            <w:r w:rsidRPr="009C5EFD">
              <w:rPr>
                <w:rFonts w:ascii="Times New Roman" w:hAnsi="Times New Roman"/>
                <w:bCs/>
                <w:caps w:val="0"/>
                <w:lang w:val="nb-NO"/>
              </w:rPr>
              <w:t>Radiografisk gjennomsnittlig endring over 12 måneder i RA-studie III</w:t>
            </w:r>
          </w:p>
          <w:p w14:paraId="5852CF4F" w14:textId="77777777" w:rsidR="003B1129" w:rsidRPr="009C5EFD" w:rsidRDefault="003B1129" w:rsidP="00CC0DA9">
            <w:pPr>
              <w:pStyle w:val="EMEATitle"/>
              <w:keepNext/>
              <w:rPr>
                <w:rFonts w:ascii="Times New Roman" w:hAnsi="Times New Roman"/>
                <w:bCs/>
                <w:caps w:val="0"/>
                <w:szCs w:val="24"/>
                <w:lang w:val="nb-NO"/>
              </w:rPr>
            </w:pPr>
          </w:p>
        </w:tc>
      </w:tr>
      <w:tr w:rsidR="004644D4" w14:paraId="51B0C4F7" w14:textId="77777777" w:rsidTr="00CC0DA9">
        <w:tc>
          <w:tcPr>
            <w:tcW w:w="2088" w:type="dxa"/>
          </w:tcPr>
          <w:p w14:paraId="0C109FCA" w14:textId="77777777" w:rsidR="003B1129" w:rsidRPr="009C5EFD" w:rsidRDefault="003B1129" w:rsidP="00CC0DA9">
            <w:pPr>
              <w:keepNext/>
              <w:jc w:val="center"/>
            </w:pPr>
          </w:p>
        </w:tc>
        <w:tc>
          <w:tcPr>
            <w:tcW w:w="1430" w:type="dxa"/>
          </w:tcPr>
          <w:p w14:paraId="74CEB6C3" w14:textId="77777777" w:rsidR="003B1129" w:rsidRPr="009C5EFD" w:rsidRDefault="00E453CD" w:rsidP="00CC0DA9">
            <w:pPr>
              <w:keepNext/>
              <w:rPr>
                <w:sz w:val="22"/>
                <w:szCs w:val="22"/>
              </w:rPr>
            </w:pPr>
            <w:r w:rsidRPr="009C5EFD">
              <w:rPr>
                <w:sz w:val="22"/>
                <w:szCs w:val="22"/>
              </w:rPr>
              <w:t>Placebo/</w:t>
            </w:r>
          </w:p>
          <w:p w14:paraId="39464163" w14:textId="77777777" w:rsidR="003B1129" w:rsidRPr="009C5EFD" w:rsidRDefault="00E453CD" w:rsidP="00CC0DA9">
            <w:pPr>
              <w:keepNext/>
              <w:rPr>
                <w:vertAlign w:val="superscript"/>
                <w:lang w:val="en-GB"/>
              </w:rPr>
            </w:pPr>
            <w:r w:rsidRPr="009C5EFD">
              <w:rPr>
                <w:sz w:val="22"/>
                <w:szCs w:val="22"/>
              </w:rPr>
              <w:t>MTX</w:t>
            </w:r>
            <w:r w:rsidRPr="009C5EFD">
              <w:rPr>
                <w:sz w:val="22"/>
                <w:szCs w:val="22"/>
                <w:vertAlign w:val="superscript"/>
              </w:rPr>
              <w:t>a</w:t>
            </w:r>
          </w:p>
        </w:tc>
        <w:tc>
          <w:tcPr>
            <w:tcW w:w="1790" w:type="dxa"/>
          </w:tcPr>
          <w:p w14:paraId="57475831" w14:textId="77777777" w:rsidR="003B1129" w:rsidRPr="009C5EFD" w:rsidRDefault="00E453CD" w:rsidP="00CC0DA9">
            <w:pPr>
              <w:keepNext/>
              <w:jc w:val="center"/>
              <w:rPr>
                <w:sz w:val="22"/>
                <w:szCs w:val="22"/>
              </w:rPr>
            </w:pPr>
            <w:r w:rsidRPr="009C5EFD">
              <w:rPr>
                <w:sz w:val="22"/>
                <w:szCs w:val="22"/>
              </w:rPr>
              <w:t>Humira/MTX</w:t>
            </w:r>
          </w:p>
          <w:p w14:paraId="670F38D9" w14:textId="77777777" w:rsidR="003B1129" w:rsidRPr="009C5EFD" w:rsidRDefault="00E453CD">
            <w:pPr>
              <w:keepNext/>
              <w:jc w:val="center"/>
            </w:pPr>
            <w:r w:rsidRPr="009C5EFD">
              <w:rPr>
                <w:sz w:val="22"/>
                <w:szCs w:val="22"/>
              </w:rPr>
              <w:t>40 mg annen</w:t>
            </w:r>
            <w:r w:rsidR="005D10BA">
              <w:rPr>
                <w:sz w:val="22"/>
                <w:szCs w:val="22"/>
              </w:rPr>
              <w:t>hver</w:t>
            </w:r>
            <w:r w:rsidRPr="009C5EFD">
              <w:rPr>
                <w:sz w:val="22"/>
                <w:szCs w:val="22"/>
              </w:rPr>
              <w:t xml:space="preserve"> uke </w:t>
            </w:r>
          </w:p>
        </w:tc>
        <w:tc>
          <w:tcPr>
            <w:tcW w:w="2000" w:type="dxa"/>
          </w:tcPr>
          <w:p w14:paraId="4E04CFFF" w14:textId="77777777" w:rsidR="003B1129" w:rsidRPr="001F5D4B" w:rsidRDefault="00E453CD" w:rsidP="00CC0DA9">
            <w:pPr>
              <w:keepNext/>
              <w:jc w:val="center"/>
              <w:rPr>
                <w:lang w:val="sv-SE"/>
              </w:rPr>
            </w:pPr>
            <w:r w:rsidRPr="009C5EFD">
              <w:rPr>
                <w:sz w:val="22"/>
                <w:szCs w:val="22"/>
                <w:lang w:val="sv-SE"/>
              </w:rPr>
              <w:t>Placebo/MTX-Humira/MTX (95 % konfidens intervall</w:t>
            </w:r>
            <w:r w:rsidRPr="009C5EFD">
              <w:rPr>
                <w:sz w:val="22"/>
                <w:szCs w:val="22"/>
                <w:vertAlign w:val="superscript"/>
                <w:lang w:val="sv-SE"/>
              </w:rPr>
              <w:t>b</w:t>
            </w:r>
            <w:r w:rsidRPr="009C5EFD">
              <w:rPr>
                <w:sz w:val="22"/>
                <w:szCs w:val="22"/>
                <w:lang w:val="sv-SE"/>
              </w:rPr>
              <w:t>)</w:t>
            </w:r>
          </w:p>
        </w:tc>
        <w:tc>
          <w:tcPr>
            <w:tcW w:w="1548" w:type="dxa"/>
          </w:tcPr>
          <w:p w14:paraId="29AC4A72" w14:textId="77777777" w:rsidR="003B1129" w:rsidRPr="009C5EFD" w:rsidRDefault="00E453CD" w:rsidP="00CC0DA9">
            <w:pPr>
              <w:keepNext/>
              <w:jc w:val="center"/>
              <w:rPr>
                <w:lang w:val="en-GB"/>
              </w:rPr>
            </w:pPr>
            <w:r w:rsidRPr="009C5EFD">
              <w:rPr>
                <w:sz w:val="22"/>
                <w:szCs w:val="22"/>
              </w:rPr>
              <w:t>p-verdi</w:t>
            </w:r>
          </w:p>
        </w:tc>
      </w:tr>
      <w:tr w:rsidR="004644D4" w14:paraId="79990E21" w14:textId="77777777" w:rsidTr="00CC0DA9">
        <w:tc>
          <w:tcPr>
            <w:tcW w:w="2088" w:type="dxa"/>
          </w:tcPr>
          <w:p w14:paraId="05811180" w14:textId="77777777" w:rsidR="003B1129" w:rsidRPr="009C5EFD" w:rsidRDefault="00E453CD" w:rsidP="00CC0DA9">
            <w:pPr>
              <w:keepNext/>
              <w:jc w:val="center"/>
              <w:rPr>
                <w:lang w:val="en-GB"/>
              </w:rPr>
            </w:pPr>
            <w:r w:rsidRPr="009C5EFD">
              <w:rPr>
                <w:sz w:val="22"/>
                <w:szCs w:val="22"/>
              </w:rPr>
              <w:t>Total Sharp Score</w:t>
            </w:r>
          </w:p>
        </w:tc>
        <w:tc>
          <w:tcPr>
            <w:tcW w:w="1430" w:type="dxa"/>
          </w:tcPr>
          <w:p w14:paraId="4388FFD7" w14:textId="77777777" w:rsidR="003B1129" w:rsidRPr="009C5EFD" w:rsidRDefault="00E453CD" w:rsidP="00CC0DA9">
            <w:pPr>
              <w:keepNext/>
              <w:jc w:val="center"/>
              <w:rPr>
                <w:lang w:val="it-IT"/>
              </w:rPr>
            </w:pPr>
            <w:r w:rsidRPr="009C5EFD">
              <w:rPr>
                <w:sz w:val="22"/>
                <w:szCs w:val="22"/>
              </w:rPr>
              <w:t>2,7</w:t>
            </w:r>
          </w:p>
        </w:tc>
        <w:tc>
          <w:tcPr>
            <w:tcW w:w="1790" w:type="dxa"/>
          </w:tcPr>
          <w:p w14:paraId="79CBB89D" w14:textId="77777777" w:rsidR="003B1129" w:rsidRPr="009C5EFD" w:rsidRDefault="00E453CD" w:rsidP="00CC0DA9">
            <w:pPr>
              <w:keepNext/>
              <w:jc w:val="center"/>
              <w:rPr>
                <w:lang w:val="it-IT"/>
              </w:rPr>
            </w:pPr>
            <w:r w:rsidRPr="009C5EFD">
              <w:rPr>
                <w:sz w:val="22"/>
                <w:szCs w:val="22"/>
              </w:rPr>
              <w:t>0,1</w:t>
            </w:r>
          </w:p>
        </w:tc>
        <w:tc>
          <w:tcPr>
            <w:tcW w:w="2000" w:type="dxa"/>
          </w:tcPr>
          <w:p w14:paraId="17765340" w14:textId="77777777" w:rsidR="003B1129" w:rsidRPr="009C5EFD" w:rsidRDefault="00E453CD" w:rsidP="00CC0DA9">
            <w:pPr>
              <w:keepNext/>
              <w:jc w:val="center"/>
              <w:rPr>
                <w:lang w:val="it-IT"/>
              </w:rPr>
            </w:pPr>
            <w:r w:rsidRPr="009C5EFD">
              <w:rPr>
                <w:sz w:val="22"/>
                <w:szCs w:val="22"/>
              </w:rPr>
              <w:t>2,6 (1,4, 3,8)</w:t>
            </w:r>
          </w:p>
        </w:tc>
        <w:tc>
          <w:tcPr>
            <w:tcW w:w="1548" w:type="dxa"/>
          </w:tcPr>
          <w:p w14:paraId="31648D9A" w14:textId="77777777" w:rsidR="003B1129" w:rsidRPr="009C5EFD" w:rsidRDefault="00E453CD" w:rsidP="00CC0DA9">
            <w:pPr>
              <w:keepNext/>
              <w:jc w:val="center"/>
              <w:rPr>
                <w:vertAlign w:val="superscript"/>
                <w:lang w:val="it-IT"/>
              </w:rPr>
            </w:pPr>
            <w:r w:rsidRPr="009C5EFD">
              <w:rPr>
                <w:sz w:val="22"/>
                <w:szCs w:val="22"/>
              </w:rPr>
              <w:t>&lt; 0,001</w:t>
            </w:r>
            <w:r w:rsidRPr="009C5EFD">
              <w:rPr>
                <w:sz w:val="22"/>
                <w:szCs w:val="22"/>
                <w:vertAlign w:val="superscript"/>
              </w:rPr>
              <w:t>c</w:t>
            </w:r>
          </w:p>
        </w:tc>
      </w:tr>
      <w:tr w:rsidR="004644D4" w14:paraId="29FA6DA0" w14:textId="77777777" w:rsidTr="00CC0DA9">
        <w:tc>
          <w:tcPr>
            <w:tcW w:w="2088" w:type="dxa"/>
          </w:tcPr>
          <w:p w14:paraId="7FC0093C" w14:textId="77777777" w:rsidR="003B1129" w:rsidRPr="009C5EFD" w:rsidRDefault="00E453CD" w:rsidP="00CC0DA9">
            <w:pPr>
              <w:keepNext/>
              <w:jc w:val="center"/>
              <w:rPr>
                <w:lang w:val="it-IT"/>
              </w:rPr>
            </w:pPr>
            <w:r w:rsidRPr="009C5EFD">
              <w:rPr>
                <w:sz w:val="22"/>
                <w:szCs w:val="22"/>
              </w:rPr>
              <w:t>Erosjonsscore</w:t>
            </w:r>
          </w:p>
        </w:tc>
        <w:tc>
          <w:tcPr>
            <w:tcW w:w="1430" w:type="dxa"/>
          </w:tcPr>
          <w:p w14:paraId="052F4FBE" w14:textId="77777777" w:rsidR="003B1129" w:rsidRPr="009C5EFD" w:rsidRDefault="00E453CD" w:rsidP="00CC0DA9">
            <w:pPr>
              <w:keepNext/>
              <w:jc w:val="center"/>
              <w:rPr>
                <w:lang w:val="en-GB"/>
              </w:rPr>
            </w:pPr>
            <w:r w:rsidRPr="009C5EFD">
              <w:rPr>
                <w:sz w:val="22"/>
                <w:szCs w:val="22"/>
              </w:rPr>
              <w:t>1,6</w:t>
            </w:r>
          </w:p>
        </w:tc>
        <w:tc>
          <w:tcPr>
            <w:tcW w:w="1790" w:type="dxa"/>
          </w:tcPr>
          <w:p w14:paraId="0312D2C4" w14:textId="77777777" w:rsidR="003B1129" w:rsidRPr="009C5EFD" w:rsidRDefault="00E453CD" w:rsidP="00CC0DA9">
            <w:pPr>
              <w:keepNext/>
              <w:jc w:val="center"/>
              <w:rPr>
                <w:lang w:val="en-GB"/>
              </w:rPr>
            </w:pPr>
            <w:r w:rsidRPr="009C5EFD">
              <w:rPr>
                <w:sz w:val="22"/>
                <w:szCs w:val="22"/>
              </w:rPr>
              <w:t>0,0</w:t>
            </w:r>
          </w:p>
        </w:tc>
        <w:tc>
          <w:tcPr>
            <w:tcW w:w="2000" w:type="dxa"/>
          </w:tcPr>
          <w:p w14:paraId="042C5929" w14:textId="77777777" w:rsidR="003B1129" w:rsidRPr="009C5EFD" w:rsidRDefault="00E453CD" w:rsidP="00CC0DA9">
            <w:pPr>
              <w:keepNext/>
              <w:jc w:val="center"/>
              <w:rPr>
                <w:lang w:val="en-GB"/>
              </w:rPr>
            </w:pPr>
            <w:r w:rsidRPr="009C5EFD">
              <w:rPr>
                <w:sz w:val="22"/>
                <w:szCs w:val="22"/>
              </w:rPr>
              <w:t>1,6 (0,9, 2,2)</w:t>
            </w:r>
          </w:p>
        </w:tc>
        <w:tc>
          <w:tcPr>
            <w:tcW w:w="1548" w:type="dxa"/>
          </w:tcPr>
          <w:p w14:paraId="346536F7" w14:textId="77777777" w:rsidR="003B1129" w:rsidRPr="009C5EFD" w:rsidRDefault="00E453CD" w:rsidP="00CC0DA9">
            <w:pPr>
              <w:keepNext/>
              <w:jc w:val="center"/>
              <w:rPr>
                <w:lang w:val="en-GB"/>
              </w:rPr>
            </w:pPr>
            <w:r w:rsidRPr="009C5EFD">
              <w:rPr>
                <w:sz w:val="22"/>
                <w:szCs w:val="22"/>
              </w:rPr>
              <w:t>&lt; 0,001</w:t>
            </w:r>
          </w:p>
        </w:tc>
      </w:tr>
      <w:tr w:rsidR="004644D4" w14:paraId="411EDD2F" w14:textId="77777777" w:rsidTr="00CC0DA9">
        <w:tc>
          <w:tcPr>
            <w:tcW w:w="2088" w:type="dxa"/>
          </w:tcPr>
          <w:p w14:paraId="074C5DCB" w14:textId="77777777" w:rsidR="003B1129" w:rsidRPr="009C5EFD" w:rsidRDefault="00E453CD" w:rsidP="00CC0DA9">
            <w:pPr>
              <w:keepNext/>
              <w:jc w:val="center"/>
              <w:rPr>
                <w:lang w:val="en-GB"/>
              </w:rPr>
            </w:pPr>
            <w:r w:rsidRPr="009C5EFD">
              <w:rPr>
                <w:sz w:val="22"/>
                <w:szCs w:val="22"/>
              </w:rPr>
              <w:t>JSN</w:t>
            </w:r>
            <w:r w:rsidRPr="009C5EFD">
              <w:rPr>
                <w:sz w:val="22"/>
                <w:szCs w:val="22"/>
                <w:vertAlign w:val="superscript"/>
              </w:rPr>
              <w:t>d</w:t>
            </w:r>
            <w:r w:rsidRPr="009C5EFD">
              <w:rPr>
                <w:sz w:val="22"/>
                <w:szCs w:val="22"/>
              </w:rPr>
              <w:t xml:space="preserve"> score</w:t>
            </w:r>
          </w:p>
        </w:tc>
        <w:tc>
          <w:tcPr>
            <w:tcW w:w="1430" w:type="dxa"/>
          </w:tcPr>
          <w:p w14:paraId="17B6FB98" w14:textId="77777777" w:rsidR="003B1129" w:rsidRPr="009C5EFD" w:rsidRDefault="00E453CD" w:rsidP="00CC0DA9">
            <w:pPr>
              <w:keepNext/>
              <w:jc w:val="center"/>
              <w:rPr>
                <w:lang w:val="en-GB"/>
              </w:rPr>
            </w:pPr>
            <w:r w:rsidRPr="009C5EFD">
              <w:rPr>
                <w:sz w:val="22"/>
                <w:szCs w:val="22"/>
              </w:rPr>
              <w:t>1,0</w:t>
            </w:r>
          </w:p>
        </w:tc>
        <w:tc>
          <w:tcPr>
            <w:tcW w:w="1790" w:type="dxa"/>
          </w:tcPr>
          <w:p w14:paraId="61DEB2F2" w14:textId="77777777" w:rsidR="003B1129" w:rsidRPr="009C5EFD" w:rsidRDefault="00E453CD" w:rsidP="00CC0DA9">
            <w:pPr>
              <w:keepNext/>
              <w:jc w:val="center"/>
              <w:rPr>
                <w:lang w:val="en-GB"/>
              </w:rPr>
            </w:pPr>
            <w:r w:rsidRPr="009C5EFD">
              <w:rPr>
                <w:sz w:val="22"/>
                <w:szCs w:val="22"/>
              </w:rPr>
              <w:t>0,1</w:t>
            </w:r>
          </w:p>
        </w:tc>
        <w:tc>
          <w:tcPr>
            <w:tcW w:w="2000" w:type="dxa"/>
          </w:tcPr>
          <w:p w14:paraId="3783E35D" w14:textId="77777777" w:rsidR="003B1129" w:rsidRPr="009C5EFD" w:rsidRDefault="00E453CD" w:rsidP="00CC0DA9">
            <w:pPr>
              <w:keepNext/>
              <w:jc w:val="center"/>
              <w:rPr>
                <w:lang w:val="en-GB"/>
              </w:rPr>
            </w:pPr>
            <w:r w:rsidRPr="009C5EFD">
              <w:rPr>
                <w:sz w:val="22"/>
                <w:szCs w:val="22"/>
              </w:rPr>
              <w:t>0,9 (0,3, 1,4)</w:t>
            </w:r>
          </w:p>
        </w:tc>
        <w:tc>
          <w:tcPr>
            <w:tcW w:w="1548" w:type="dxa"/>
          </w:tcPr>
          <w:p w14:paraId="59B64917" w14:textId="77777777" w:rsidR="003B1129" w:rsidRPr="009C5EFD" w:rsidRDefault="00E453CD" w:rsidP="00CC0DA9">
            <w:pPr>
              <w:keepNext/>
              <w:jc w:val="center"/>
              <w:rPr>
                <w:lang w:val="en-GB"/>
              </w:rPr>
            </w:pPr>
            <w:r w:rsidRPr="009C5EFD">
              <w:rPr>
                <w:sz w:val="22"/>
                <w:szCs w:val="22"/>
              </w:rPr>
              <w:t>0,002</w:t>
            </w:r>
          </w:p>
        </w:tc>
      </w:tr>
    </w:tbl>
    <w:p w14:paraId="58182825" w14:textId="77777777" w:rsidR="003B1129" w:rsidRPr="009C5EFD" w:rsidRDefault="00E453CD" w:rsidP="003B1129">
      <w:pPr>
        <w:keepNext/>
        <w:rPr>
          <w:sz w:val="22"/>
          <w:szCs w:val="22"/>
        </w:rPr>
      </w:pPr>
      <w:r w:rsidRPr="009C5EFD">
        <w:rPr>
          <w:sz w:val="22"/>
          <w:szCs w:val="22"/>
          <w:vertAlign w:val="superscript"/>
        </w:rPr>
        <w:t>a</w:t>
      </w:r>
      <w:r w:rsidRPr="009C5EFD">
        <w:rPr>
          <w:sz w:val="22"/>
          <w:szCs w:val="22"/>
        </w:rPr>
        <w:t>metotreksat</w:t>
      </w:r>
    </w:p>
    <w:p w14:paraId="31C8E5A4" w14:textId="77777777" w:rsidR="003B1129" w:rsidRPr="009C5EFD" w:rsidRDefault="00E453CD" w:rsidP="00776A84">
      <w:pPr>
        <w:rPr>
          <w:sz w:val="22"/>
          <w:szCs w:val="22"/>
        </w:rPr>
      </w:pPr>
      <w:r w:rsidRPr="009C5EFD">
        <w:rPr>
          <w:sz w:val="22"/>
          <w:szCs w:val="22"/>
          <w:vertAlign w:val="superscript"/>
        </w:rPr>
        <w:t>b</w:t>
      </w:r>
      <w:r w:rsidRPr="009C5EFD">
        <w:rPr>
          <w:sz w:val="22"/>
          <w:szCs w:val="22"/>
        </w:rPr>
        <w:t xml:space="preserve">95 % konfidensintervall for forskjellen i score mellom metotreksat og Humira. </w:t>
      </w:r>
    </w:p>
    <w:p w14:paraId="031E8206" w14:textId="77777777" w:rsidR="003B1129" w:rsidRPr="009C5EFD" w:rsidRDefault="00E453CD" w:rsidP="00776A84">
      <w:pPr>
        <w:rPr>
          <w:sz w:val="22"/>
          <w:szCs w:val="22"/>
        </w:rPr>
      </w:pPr>
      <w:r w:rsidRPr="009C5EFD">
        <w:rPr>
          <w:sz w:val="22"/>
          <w:szCs w:val="22"/>
          <w:vertAlign w:val="superscript"/>
        </w:rPr>
        <w:t>c</w:t>
      </w:r>
      <w:r w:rsidRPr="009C5EFD">
        <w:rPr>
          <w:sz w:val="22"/>
          <w:szCs w:val="22"/>
        </w:rPr>
        <w:t>Basert på rankanalyse</w:t>
      </w:r>
    </w:p>
    <w:p w14:paraId="446ED18F" w14:textId="77777777" w:rsidR="003B1129" w:rsidRPr="009C5EFD" w:rsidRDefault="00E453CD" w:rsidP="00776A84">
      <w:pPr>
        <w:rPr>
          <w:sz w:val="22"/>
          <w:szCs w:val="22"/>
        </w:rPr>
      </w:pPr>
      <w:r w:rsidRPr="009C5EFD">
        <w:rPr>
          <w:sz w:val="22"/>
          <w:szCs w:val="22"/>
          <w:vertAlign w:val="superscript"/>
        </w:rPr>
        <w:t>d</w:t>
      </w:r>
      <w:r w:rsidRPr="009C5EFD">
        <w:rPr>
          <w:sz w:val="22"/>
          <w:szCs w:val="22"/>
        </w:rPr>
        <w:t>Joint Space Narrowing</w:t>
      </w:r>
    </w:p>
    <w:p w14:paraId="6A6A2953" w14:textId="77777777" w:rsidR="003B1129" w:rsidRPr="009C5EFD" w:rsidRDefault="003B1129" w:rsidP="003B1129">
      <w:pPr>
        <w:rPr>
          <w:sz w:val="22"/>
          <w:szCs w:val="22"/>
        </w:rPr>
      </w:pPr>
    </w:p>
    <w:p w14:paraId="05C045D9" w14:textId="77777777" w:rsidR="003B1129" w:rsidRPr="009C5EFD" w:rsidRDefault="00E453CD" w:rsidP="003B1129">
      <w:pPr>
        <w:rPr>
          <w:sz w:val="22"/>
          <w:szCs w:val="22"/>
        </w:rPr>
      </w:pPr>
      <w:r w:rsidRPr="009C5EFD">
        <w:rPr>
          <w:sz w:val="22"/>
          <w:szCs w:val="22"/>
        </w:rPr>
        <w:t xml:space="preserve">I RA-studie V ble strukturell leddskade vurderte radiografisk og uttrykt som en endring i modifisert Total Sharp Score (se tabell </w:t>
      </w:r>
      <w:r w:rsidR="003F5EAC">
        <w:rPr>
          <w:sz w:val="22"/>
          <w:szCs w:val="22"/>
        </w:rPr>
        <w:t>8</w:t>
      </w:r>
      <w:r w:rsidRPr="009C5EFD">
        <w:rPr>
          <w:sz w:val="22"/>
          <w:szCs w:val="22"/>
        </w:rPr>
        <w:t>).</w:t>
      </w:r>
    </w:p>
    <w:p w14:paraId="3C445080" w14:textId="77777777" w:rsidR="003B1129" w:rsidRPr="009C5EFD" w:rsidRDefault="003B1129" w:rsidP="003B1129">
      <w:pPr>
        <w:rPr>
          <w:sz w:val="22"/>
          <w:szCs w:val="22"/>
        </w:rPr>
      </w:pPr>
    </w:p>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4644D4" w14:paraId="0343B49F" w14:textId="77777777" w:rsidTr="00CC0DA9">
        <w:trPr>
          <w:cantSplit/>
        </w:trPr>
        <w:tc>
          <w:tcPr>
            <w:tcW w:w="8910" w:type="dxa"/>
            <w:gridSpan w:val="7"/>
            <w:tcBorders>
              <w:bottom w:val="single" w:sz="4" w:space="0" w:color="auto"/>
            </w:tcBorders>
          </w:tcPr>
          <w:p w14:paraId="23D120F5" w14:textId="77777777" w:rsidR="003B1129" w:rsidRPr="009C5EFD" w:rsidRDefault="00E453CD" w:rsidP="00CC0DA9">
            <w:pPr>
              <w:pStyle w:val="CommentText"/>
              <w:keepNext/>
              <w:tabs>
                <w:tab w:val="left" w:pos="330"/>
              </w:tabs>
              <w:suppressAutoHyphens/>
              <w:ind w:left="330" w:hanging="330"/>
              <w:jc w:val="center"/>
              <w:rPr>
                <w:b/>
                <w:sz w:val="22"/>
                <w:szCs w:val="22"/>
              </w:rPr>
            </w:pPr>
            <w:r w:rsidRPr="009C5EFD">
              <w:rPr>
                <w:b/>
                <w:sz w:val="22"/>
                <w:szCs w:val="22"/>
              </w:rPr>
              <w:t xml:space="preserve">Tabell </w:t>
            </w:r>
            <w:r w:rsidR="003F5EAC">
              <w:rPr>
                <w:b/>
                <w:sz w:val="22"/>
                <w:szCs w:val="22"/>
              </w:rPr>
              <w:t>8</w:t>
            </w:r>
          </w:p>
          <w:p w14:paraId="28EA2468" w14:textId="77777777" w:rsidR="003B1129" w:rsidRPr="009C5EFD" w:rsidRDefault="00E453CD" w:rsidP="00CC0DA9">
            <w:pPr>
              <w:keepNext/>
              <w:jc w:val="center"/>
            </w:pPr>
            <w:r w:rsidRPr="009C5EFD">
              <w:rPr>
                <w:b/>
                <w:sz w:val="22"/>
                <w:szCs w:val="22"/>
              </w:rPr>
              <w:t>Radiografisk gjennomsnittlig endring ved uke 52 i RA-studie V</w:t>
            </w:r>
          </w:p>
          <w:p w14:paraId="3983759C" w14:textId="77777777" w:rsidR="003B1129" w:rsidRPr="009C5EFD" w:rsidRDefault="003B1129" w:rsidP="00CC0DA9">
            <w:pPr>
              <w:keepNext/>
              <w:jc w:val="center"/>
            </w:pPr>
          </w:p>
        </w:tc>
      </w:tr>
      <w:tr w:rsidR="004644D4" w14:paraId="2F05CD50" w14:textId="77777777" w:rsidTr="00CC0DA9">
        <w:tc>
          <w:tcPr>
            <w:tcW w:w="1430" w:type="dxa"/>
            <w:tcBorders>
              <w:top w:val="single" w:sz="4" w:space="0" w:color="auto"/>
              <w:left w:val="single" w:sz="4" w:space="0" w:color="auto"/>
              <w:bottom w:val="single" w:sz="4" w:space="0" w:color="auto"/>
              <w:right w:val="single" w:sz="4" w:space="0" w:color="auto"/>
            </w:tcBorders>
            <w:vAlign w:val="center"/>
          </w:tcPr>
          <w:p w14:paraId="5774EE29" w14:textId="77777777" w:rsidR="003B1129" w:rsidRPr="009C5EFD" w:rsidRDefault="003B1129" w:rsidP="00CC0DA9">
            <w:pPr>
              <w:keepNext/>
            </w:pPr>
          </w:p>
        </w:tc>
        <w:tc>
          <w:tcPr>
            <w:tcW w:w="1540" w:type="dxa"/>
            <w:tcBorders>
              <w:top w:val="single" w:sz="4" w:space="0" w:color="auto"/>
              <w:left w:val="single" w:sz="4" w:space="0" w:color="auto"/>
              <w:bottom w:val="single" w:sz="4" w:space="0" w:color="auto"/>
              <w:right w:val="single" w:sz="4" w:space="0" w:color="auto"/>
            </w:tcBorders>
          </w:tcPr>
          <w:p w14:paraId="3BE16FCB" w14:textId="77777777" w:rsidR="003B1129" w:rsidRPr="009C5EFD" w:rsidRDefault="00E453CD" w:rsidP="00CC0DA9">
            <w:pPr>
              <w:keepNext/>
              <w:jc w:val="center"/>
              <w:rPr>
                <w:sz w:val="22"/>
                <w:szCs w:val="22"/>
              </w:rPr>
            </w:pPr>
            <w:r w:rsidRPr="009C5EFD">
              <w:rPr>
                <w:sz w:val="22"/>
                <w:szCs w:val="22"/>
              </w:rPr>
              <w:t>MTX</w:t>
            </w:r>
          </w:p>
          <w:p w14:paraId="528A8182" w14:textId="77777777" w:rsidR="003B1129" w:rsidRPr="009C5EFD" w:rsidRDefault="00E453CD" w:rsidP="00CC0DA9">
            <w:pPr>
              <w:keepNext/>
              <w:jc w:val="center"/>
              <w:rPr>
                <w:sz w:val="22"/>
                <w:szCs w:val="22"/>
              </w:rPr>
            </w:pPr>
            <w:r w:rsidRPr="009C5EFD">
              <w:rPr>
                <w:sz w:val="22"/>
                <w:szCs w:val="22"/>
              </w:rPr>
              <w:t>n=257</w:t>
            </w:r>
          </w:p>
          <w:p w14:paraId="26972C00" w14:textId="77777777" w:rsidR="003B1129" w:rsidRPr="009C5EFD" w:rsidRDefault="00E453CD" w:rsidP="00CC0DA9">
            <w:pPr>
              <w:keepNext/>
              <w:jc w:val="center"/>
              <w:rPr>
                <w:lang w:val="en-GB"/>
              </w:rPr>
            </w:pPr>
            <w:r w:rsidRPr="009C5EFD">
              <w:rPr>
                <w:sz w:val="22"/>
                <w:szCs w:val="22"/>
              </w:rPr>
              <w:t>(95 % KI)</w:t>
            </w:r>
          </w:p>
        </w:tc>
        <w:tc>
          <w:tcPr>
            <w:tcW w:w="1482" w:type="dxa"/>
            <w:tcBorders>
              <w:top w:val="single" w:sz="4" w:space="0" w:color="auto"/>
              <w:left w:val="single" w:sz="4" w:space="0" w:color="auto"/>
              <w:bottom w:val="single" w:sz="4" w:space="0" w:color="auto"/>
              <w:right w:val="single" w:sz="4" w:space="0" w:color="auto"/>
            </w:tcBorders>
          </w:tcPr>
          <w:p w14:paraId="107FB254" w14:textId="77777777" w:rsidR="003B1129" w:rsidRPr="009C5EFD" w:rsidRDefault="00E453CD" w:rsidP="00CC0DA9">
            <w:pPr>
              <w:keepNext/>
              <w:jc w:val="center"/>
              <w:rPr>
                <w:sz w:val="22"/>
                <w:szCs w:val="22"/>
              </w:rPr>
            </w:pPr>
            <w:r w:rsidRPr="009C5EFD">
              <w:rPr>
                <w:sz w:val="22"/>
                <w:szCs w:val="22"/>
              </w:rPr>
              <w:t>Humira</w:t>
            </w:r>
          </w:p>
          <w:p w14:paraId="0DE8E815" w14:textId="77777777" w:rsidR="003B1129" w:rsidRPr="009C5EFD" w:rsidRDefault="00E453CD" w:rsidP="00CC0DA9">
            <w:pPr>
              <w:pStyle w:val="EMEAFigureTitle"/>
              <w:keepNext/>
              <w:jc w:val="center"/>
              <w:rPr>
                <w:lang w:val="nb-NO"/>
              </w:rPr>
            </w:pPr>
            <w:r w:rsidRPr="009C5EFD">
              <w:rPr>
                <w:lang w:val="nb-NO"/>
              </w:rPr>
              <w:t>n=274</w:t>
            </w:r>
          </w:p>
          <w:p w14:paraId="3B1C1D82" w14:textId="77777777" w:rsidR="003B1129" w:rsidRPr="009C5EFD" w:rsidRDefault="00E453CD" w:rsidP="00CC0DA9">
            <w:pPr>
              <w:keepNext/>
              <w:jc w:val="center"/>
              <w:rPr>
                <w:lang w:val="en-GB"/>
              </w:rPr>
            </w:pPr>
            <w:r w:rsidRPr="009C5EFD">
              <w:rPr>
                <w:sz w:val="22"/>
                <w:szCs w:val="22"/>
              </w:rPr>
              <w:t>(95 % KI)</w:t>
            </w:r>
          </w:p>
        </w:tc>
        <w:tc>
          <w:tcPr>
            <w:tcW w:w="1488" w:type="dxa"/>
            <w:tcBorders>
              <w:top w:val="single" w:sz="4" w:space="0" w:color="auto"/>
              <w:left w:val="single" w:sz="4" w:space="0" w:color="auto"/>
              <w:bottom w:val="single" w:sz="4" w:space="0" w:color="auto"/>
              <w:right w:val="single" w:sz="4" w:space="0" w:color="auto"/>
            </w:tcBorders>
          </w:tcPr>
          <w:p w14:paraId="40A4E0B0" w14:textId="77777777" w:rsidR="003B1129" w:rsidRPr="009C5EFD" w:rsidRDefault="00E453CD" w:rsidP="00CC0DA9">
            <w:pPr>
              <w:keepNext/>
              <w:jc w:val="center"/>
              <w:rPr>
                <w:sz w:val="22"/>
                <w:szCs w:val="22"/>
              </w:rPr>
            </w:pPr>
            <w:r w:rsidRPr="009C5EFD">
              <w:rPr>
                <w:sz w:val="22"/>
                <w:szCs w:val="22"/>
              </w:rPr>
              <w:t>Humira/MTX</w:t>
            </w:r>
          </w:p>
          <w:p w14:paraId="104C9F53" w14:textId="77777777" w:rsidR="003B1129" w:rsidRPr="009C5EFD" w:rsidRDefault="00E453CD" w:rsidP="00CC0DA9">
            <w:pPr>
              <w:pStyle w:val="EMEAFigureTitle"/>
              <w:keepNext/>
              <w:jc w:val="center"/>
              <w:rPr>
                <w:lang w:val="nb-NO"/>
              </w:rPr>
            </w:pPr>
            <w:r w:rsidRPr="009C5EFD">
              <w:rPr>
                <w:lang w:val="nb-NO"/>
              </w:rPr>
              <w:t>n=268</w:t>
            </w:r>
          </w:p>
          <w:p w14:paraId="6688EF65" w14:textId="77777777" w:rsidR="003B1129" w:rsidRPr="009C5EFD" w:rsidRDefault="00E453CD" w:rsidP="00CC0DA9">
            <w:pPr>
              <w:pStyle w:val="EMEANormal"/>
              <w:keepNext/>
              <w:jc w:val="center"/>
              <w:rPr>
                <w:lang w:val="en-GB"/>
              </w:rPr>
            </w:pPr>
            <w:r w:rsidRPr="009C5EFD">
              <w:rPr>
                <w:lang w:val="nb-NO"/>
              </w:rPr>
              <w:t>(95 % KI)</w:t>
            </w:r>
          </w:p>
        </w:tc>
        <w:tc>
          <w:tcPr>
            <w:tcW w:w="990" w:type="dxa"/>
            <w:tcBorders>
              <w:top w:val="single" w:sz="4" w:space="0" w:color="auto"/>
              <w:left w:val="single" w:sz="4" w:space="0" w:color="auto"/>
              <w:bottom w:val="single" w:sz="4" w:space="0" w:color="auto"/>
              <w:right w:val="single" w:sz="4" w:space="0" w:color="auto"/>
            </w:tcBorders>
          </w:tcPr>
          <w:p w14:paraId="2E54D108" w14:textId="77777777" w:rsidR="003B1129" w:rsidRPr="009C5EFD" w:rsidRDefault="00E453CD" w:rsidP="00CC0DA9">
            <w:pPr>
              <w:pStyle w:val="EMEANormal"/>
              <w:keepNext/>
              <w:jc w:val="center"/>
              <w:rPr>
                <w:lang w:val="en-GB"/>
              </w:rPr>
            </w:pPr>
            <w:r w:rsidRPr="009C5EFD">
              <w:rPr>
                <w:lang w:val="nb-NO"/>
              </w:rPr>
              <w:t>p-verdi</w:t>
            </w:r>
            <w:r w:rsidRPr="009C5EFD">
              <w:rPr>
                <w:vertAlign w:val="superscript"/>
                <w:lang w:val="nb-NO"/>
              </w:rPr>
              <w:t>a</w:t>
            </w:r>
          </w:p>
        </w:tc>
        <w:tc>
          <w:tcPr>
            <w:tcW w:w="990" w:type="dxa"/>
            <w:tcBorders>
              <w:top w:val="single" w:sz="4" w:space="0" w:color="auto"/>
              <w:left w:val="single" w:sz="4" w:space="0" w:color="auto"/>
              <w:bottom w:val="single" w:sz="4" w:space="0" w:color="auto"/>
              <w:right w:val="single" w:sz="4" w:space="0" w:color="auto"/>
            </w:tcBorders>
          </w:tcPr>
          <w:p w14:paraId="06E3E37F" w14:textId="77777777" w:rsidR="003B1129" w:rsidRPr="009C5EFD" w:rsidRDefault="00E453CD" w:rsidP="00CC0DA9">
            <w:pPr>
              <w:keepNext/>
              <w:jc w:val="center"/>
              <w:rPr>
                <w:lang w:val="en-GB"/>
              </w:rPr>
            </w:pPr>
            <w:r w:rsidRPr="009C5EFD">
              <w:rPr>
                <w:sz w:val="22"/>
                <w:szCs w:val="22"/>
              </w:rPr>
              <w:t>p-verdi</w:t>
            </w:r>
            <w:r w:rsidRPr="009C5EFD">
              <w:rPr>
                <w:sz w:val="22"/>
                <w:szCs w:val="22"/>
                <w:vertAlign w:val="superscript"/>
              </w:rPr>
              <w:t>b</w:t>
            </w:r>
          </w:p>
        </w:tc>
        <w:tc>
          <w:tcPr>
            <w:tcW w:w="990" w:type="dxa"/>
            <w:tcBorders>
              <w:top w:val="single" w:sz="4" w:space="0" w:color="auto"/>
              <w:left w:val="single" w:sz="4" w:space="0" w:color="auto"/>
              <w:bottom w:val="single" w:sz="4" w:space="0" w:color="auto"/>
              <w:right w:val="single" w:sz="4" w:space="0" w:color="auto"/>
            </w:tcBorders>
          </w:tcPr>
          <w:p w14:paraId="6F9B2C77" w14:textId="77777777" w:rsidR="003B1129" w:rsidRPr="009C5EFD" w:rsidRDefault="00E453CD" w:rsidP="00CC0DA9">
            <w:pPr>
              <w:keepNext/>
              <w:jc w:val="center"/>
              <w:rPr>
                <w:lang w:val="en-GB"/>
              </w:rPr>
            </w:pPr>
            <w:r w:rsidRPr="009C5EFD">
              <w:rPr>
                <w:sz w:val="22"/>
                <w:szCs w:val="22"/>
              </w:rPr>
              <w:t>p-verdi</w:t>
            </w:r>
            <w:r w:rsidRPr="009C5EFD">
              <w:rPr>
                <w:sz w:val="22"/>
                <w:szCs w:val="22"/>
                <w:vertAlign w:val="superscript"/>
              </w:rPr>
              <w:t>c</w:t>
            </w:r>
          </w:p>
        </w:tc>
      </w:tr>
      <w:tr w:rsidR="004644D4" w14:paraId="6E0AC45A" w14:textId="77777777" w:rsidTr="00CC0DA9">
        <w:tc>
          <w:tcPr>
            <w:tcW w:w="1430" w:type="dxa"/>
            <w:tcBorders>
              <w:top w:val="single" w:sz="4" w:space="0" w:color="auto"/>
              <w:left w:val="single" w:sz="4" w:space="0" w:color="auto"/>
              <w:bottom w:val="single" w:sz="4" w:space="0" w:color="auto"/>
              <w:right w:val="single" w:sz="4" w:space="0" w:color="auto"/>
            </w:tcBorders>
          </w:tcPr>
          <w:p w14:paraId="0CA2481D" w14:textId="77777777" w:rsidR="003B1129" w:rsidRPr="00193D76" w:rsidRDefault="00E453CD" w:rsidP="00CC0DA9">
            <w:pPr>
              <w:pStyle w:val="EMEAFigureTitle"/>
              <w:keepNext/>
              <w:jc w:val="center"/>
              <w:rPr>
                <w:szCs w:val="24"/>
                <w:lang w:val="en-GB"/>
              </w:rPr>
            </w:pPr>
            <w:r w:rsidRPr="007F67EE">
              <w:rPr>
                <w:lang w:val="nb-NO"/>
              </w:rPr>
              <w:t>Total Sharp Score</w:t>
            </w:r>
          </w:p>
        </w:tc>
        <w:tc>
          <w:tcPr>
            <w:tcW w:w="1540" w:type="dxa"/>
            <w:tcBorders>
              <w:top w:val="single" w:sz="4" w:space="0" w:color="auto"/>
              <w:left w:val="single" w:sz="4" w:space="0" w:color="auto"/>
              <w:bottom w:val="single" w:sz="4" w:space="0" w:color="auto"/>
              <w:right w:val="single" w:sz="4" w:space="0" w:color="auto"/>
            </w:tcBorders>
          </w:tcPr>
          <w:p w14:paraId="48B5300A" w14:textId="77777777" w:rsidR="003B1129" w:rsidRPr="00C07C98" w:rsidRDefault="00E453CD" w:rsidP="00CC0DA9">
            <w:pPr>
              <w:keepNext/>
              <w:jc w:val="center"/>
              <w:rPr>
                <w:lang w:val="it-IT"/>
              </w:rPr>
            </w:pPr>
            <w:r w:rsidRPr="002D0790">
              <w:rPr>
                <w:sz w:val="22"/>
                <w:szCs w:val="22"/>
              </w:rPr>
              <w:t>5,7 (4,2-7,3)</w:t>
            </w:r>
          </w:p>
        </w:tc>
        <w:tc>
          <w:tcPr>
            <w:tcW w:w="1482" w:type="dxa"/>
            <w:tcBorders>
              <w:top w:val="single" w:sz="4" w:space="0" w:color="auto"/>
              <w:left w:val="single" w:sz="4" w:space="0" w:color="auto"/>
              <w:bottom w:val="single" w:sz="4" w:space="0" w:color="auto"/>
              <w:right w:val="single" w:sz="4" w:space="0" w:color="auto"/>
            </w:tcBorders>
          </w:tcPr>
          <w:p w14:paraId="6A00CF9D" w14:textId="77777777" w:rsidR="003B1129" w:rsidRPr="009C5EFD" w:rsidRDefault="00E453CD" w:rsidP="00CC0DA9">
            <w:pPr>
              <w:pStyle w:val="EndnoteText"/>
              <w:keepNext/>
              <w:jc w:val="center"/>
              <w:rPr>
                <w:szCs w:val="24"/>
                <w:lang w:val="it-IT"/>
              </w:rPr>
            </w:pPr>
            <w:r w:rsidRPr="00E14E58">
              <w:rPr>
                <w:szCs w:val="22"/>
                <w:lang w:val="nb-NO"/>
              </w:rPr>
              <w:t>3,0 (1,7-4,3)</w:t>
            </w:r>
          </w:p>
        </w:tc>
        <w:tc>
          <w:tcPr>
            <w:tcW w:w="1488" w:type="dxa"/>
            <w:tcBorders>
              <w:top w:val="single" w:sz="4" w:space="0" w:color="auto"/>
              <w:left w:val="single" w:sz="4" w:space="0" w:color="auto"/>
              <w:bottom w:val="single" w:sz="4" w:space="0" w:color="auto"/>
              <w:right w:val="single" w:sz="4" w:space="0" w:color="auto"/>
            </w:tcBorders>
          </w:tcPr>
          <w:p w14:paraId="3C29AE06" w14:textId="77777777" w:rsidR="003B1129" w:rsidRPr="009C5EFD" w:rsidRDefault="00E453CD" w:rsidP="00CC0DA9">
            <w:pPr>
              <w:pStyle w:val="EndnoteText"/>
              <w:keepNext/>
              <w:jc w:val="center"/>
              <w:rPr>
                <w:szCs w:val="24"/>
                <w:lang w:val="it-IT"/>
              </w:rPr>
            </w:pPr>
            <w:r w:rsidRPr="009C5EFD">
              <w:rPr>
                <w:szCs w:val="22"/>
                <w:lang w:val="nb-NO"/>
              </w:rPr>
              <w:t>1,3 (0,5-2,1)</w:t>
            </w:r>
          </w:p>
        </w:tc>
        <w:tc>
          <w:tcPr>
            <w:tcW w:w="990" w:type="dxa"/>
            <w:tcBorders>
              <w:top w:val="single" w:sz="4" w:space="0" w:color="auto"/>
              <w:left w:val="single" w:sz="4" w:space="0" w:color="auto"/>
              <w:bottom w:val="single" w:sz="4" w:space="0" w:color="auto"/>
              <w:right w:val="single" w:sz="4" w:space="0" w:color="auto"/>
            </w:tcBorders>
          </w:tcPr>
          <w:p w14:paraId="2605FCEA" w14:textId="77777777" w:rsidR="003B1129" w:rsidRPr="009C5EFD" w:rsidRDefault="00E453CD" w:rsidP="00CC0DA9">
            <w:pPr>
              <w:pStyle w:val="EndnoteText"/>
              <w:keepNext/>
              <w:jc w:val="center"/>
              <w:rPr>
                <w:szCs w:val="24"/>
                <w:lang w:val="it-IT"/>
              </w:rPr>
            </w:pPr>
            <w:r w:rsidRPr="009C5EFD">
              <w:rPr>
                <w:szCs w:val="22"/>
                <w:lang w:val="nb-NO"/>
              </w:rPr>
              <w:t>&lt; 0,001</w:t>
            </w:r>
          </w:p>
        </w:tc>
        <w:tc>
          <w:tcPr>
            <w:tcW w:w="990" w:type="dxa"/>
            <w:tcBorders>
              <w:top w:val="single" w:sz="4" w:space="0" w:color="auto"/>
              <w:left w:val="single" w:sz="4" w:space="0" w:color="auto"/>
              <w:bottom w:val="single" w:sz="4" w:space="0" w:color="auto"/>
              <w:right w:val="single" w:sz="4" w:space="0" w:color="auto"/>
            </w:tcBorders>
          </w:tcPr>
          <w:p w14:paraId="4EC46397" w14:textId="77777777" w:rsidR="003B1129" w:rsidRPr="009C5EFD" w:rsidRDefault="00E453CD" w:rsidP="00CC0DA9">
            <w:pPr>
              <w:keepNext/>
              <w:jc w:val="center"/>
              <w:rPr>
                <w:lang w:val="it-IT"/>
              </w:rPr>
            </w:pPr>
            <w:r w:rsidRPr="009C5EFD">
              <w:rPr>
                <w:sz w:val="22"/>
                <w:szCs w:val="22"/>
              </w:rPr>
              <w:t>0,0020</w:t>
            </w:r>
          </w:p>
        </w:tc>
        <w:tc>
          <w:tcPr>
            <w:tcW w:w="990" w:type="dxa"/>
            <w:tcBorders>
              <w:top w:val="single" w:sz="4" w:space="0" w:color="auto"/>
              <w:left w:val="single" w:sz="4" w:space="0" w:color="auto"/>
              <w:bottom w:val="single" w:sz="4" w:space="0" w:color="auto"/>
              <w:right w:val="single" w:sz="4" w:space="0" w:color="auto"/>
            </w:tcBorders>
          </w:tcPr>
          <w:p w14:paraId="5F2D75BD" w14:textId="77777777" w:rsidR="003B1129" w:rsidRPr="009C5EFD" w:rsidRDefault="00E453CD" w:rsidP="00CC0DA9">
            <w:pPr>
              <w:keepNext/>
              <w:jc w:val="center"/>
              <w:rPr>
                <w:lang w:val="it-IT"/>
              </w:rPr>
            </w:pPr>
            <w:r w:rsidRPr="009C5EFD">
              <w:rPr>
                <w:sz w:val="22"/>
                <w:szCs w:val="22"/>
              </w:rPr>
              <w:t>&lt; 0,001</w:t>
            </w:r>
          </w:p>
        </w:tc>
      </w:tr>
      <w:tr w:rsidR="004644D4" w14:paraId="05AA1929" w14:textId="77777777" w:rsidTr="00CC0DA9">
        <w:tc>
          <w:tcPr>
            <w:tcW w:w="1430" w:type="dxa"/>
            <w:tcBorders>
              <w:top w:val="single" w:sz="4" w:space="0" w:color="auto"/>
              <w:left w:val="single" w:sz="4" w:space="0" w:color="auto"/>
              <w:bottom w:val="single" w:sz="4" w:space="0" w:color="auto"/>
              <w:right w:val="single" w:sz="4" w:space="0" w:color="auto"/>
            </w:tcBorders>
          </w:tcPr>
          <w:p w14:paraId="2E1B91BB" w14:textId="77777777" w:rsidR="003B1129" w:rsidRPr="009C5EFD" w:rsidRDefault="00E453CD" w:rsidP="00CC0DA9">
            <w:pPr>
              <w:jc w:val="center"/>
              <w:rPr>
                <w:lang w:val="it-IT"/>
              </w:rPr>
            </w:pPr>
            <w:r w:rsidRPr="009C5EFD">
              <w:rPr>
                <w:sz w:val="22"/>
                <w:szCs w:val="22"/>
              </w:rPr>
              <w:t>Erosjons score</w:t>
            </w:r>
          </w:p>
        </w:tc>
        <w:tc>
          <w:tcPr>
            <w:tcW w:w="1540" w:type="dxa"/>
            <w:tcBorders>
              <w:top w:val="single" w:sz="4" w:space="0" w:color="auto"/>
              <w:left w:val="single" w:sz="4" w:space="0" w:color="auto"/>
              <w:bottom w:val="single" w:sz="4" w:space="0" w:color="auto"/>
              <w:right w:val="single" w:sz="4" w:space="0" w:color="auto"/>
            </w:tcBorders>
          </w:tcPr>
          <w:p w14:paraId="72B26F19" w14:textId="77777777" w:rsidR="003B1129" w:rsidRPr="009C5EFD" w:rsidRDefault="00E453CD" w:rsidP="00CC0DA9">
            <w:pPr>
              <w:jc w:val="center"/>
              <w:rPr>
                <w:lang w:val="it-IT"/>
              </w:rPr>
            </w:pPr>
            <w:r w:rsidRPr="009C5EFD">
              <w:rPr>
                <w:sz w:val="22"/>
                <w:szCs w:val="22"/>
              </w:rPr>
              <w:t>3,7 (2,7-4,7)</w:t>
            </w:r>
          </w:p>
        </w:tc>
        <w:tc>
          <w:tcPr>
            <w:tcW w:w="1482" w:type="dxa"/>
            <w:tcBorders>
              <w:top w:val="single" w:sz="4" w:space="0" w:color="auto"/>
              <w:left w:val="single" w:sz="4" w:space="0" w:color="auto"/>
              <w:bottom w:val="single" w:sz="4" w:space="0" w:color="auto"/>
              <w:right w:val="single" w:sz="4" w:space="0" w:color="auto"/>
            </w:tcBorders>
          </w:tcPr>
          <w:p w14:paraId="425D0CD1" w14:textId="77777777" w:rsidR="003B1129" w:rsidRPr="009C5EFD" w:rsidRDefault="00E453CD" w:rsidP="00CC0DA9">
            <w:pPr>
              <w:jc w:val="center"/>
              <w:rPr>
                <w:lang w:val="it-IT"/>
              </w:rPr>
            </w:pPr>
            <w:r w:rsidRPr="009C5EFD">
              <w:rPr>
                <w:sz w:val="22"/>
                <w:szCs w:val="22"/>
              </w:rPr>
              <w:t>1,7 (1,0-2,4)</w:t>
            </w:r>
          </w:p>
        </w:tc>
        <w:tc>
          <w:tcPr>
            <w:tcW w:w="1488" w:type="dxa"/>
            <w:tcBorders>
              <w:top w:val="single" w:sz="4" w:space="0" w:color="auto"/>
              <w:left w:val="single" w:sz="4" w:space="0" w:color="auto"/>
              <w:bottom w:val="single" w:sz="4" w:space="0" w:color="auto"/>
              <w:right w:val="single" w:sz="4" w:space="0" w:color="auto"/>
            </w:tcBorders>
          </w:tcPr>
          <w:p w14:paraId="06C175C9" w14:textId="77777777" w:rsidR="003B1129" w:rsidRPr="009C5EFD" w:rsidRDefault="00E453CD" w:rsidP="00CC0DA9">
            <w:pPr>
              <w:jc w:val="center"/>
              <w:rPr>
                <w:lang w:val="it-IT"/>
              </w:rPr>
            </w:pPr>
            <w:r w:rsidRPr="009C5EFD">
              <w:rPr>
                <w:sz w:val="22"/>
                <w:szCs w:val="22"/>
              </w:rPr>
              <w:t>0,8 (0,4-1,2)</w:t>
            </w:r>
          </w:p>
        </w:tc>
        <w:tc>
          <w:tcPr>
            <w:tcW w:w="990" w:type="dxa"/>
            <w:tcBorders>
              <w:top w:val="single" w:sz="4" w:space="0" w:color="auto"/>
              <w:left w:val="single" w:sz="4" w:space="0" w:color="auto"/>
              <w:bottom w:val="single" w:sz="4" w:space="0" w:color="auto"/>
              <w:right w:val="single" w:sz="4" w:space="0" w:color="auto"/>
            </w:tcBorders>
          </w:tcPr>
          <w:p w14:paraId="46D05AEA" w14:textId="77777777" w:rsidR="003B1129" w:rsidRPr="009C5EFD" w:rsidRDefault="00E453CD" w:rsidP="00CC0DA9">
            <w:pPr>
              <w:jc w:val="center"/>
              <w:rPr>
                <w:lang w:val="it-IT"/>
              </w:rPr>
            </w:pPr>
            <w:r w:rsidRPr="009C5EFD">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423C9401" w14:textId="77777777" w:rsidR="003B1129" w:rsidRPr="009C5EFD" w:rsidRDefault="00E453CD" w:rsidP="00CC0DA9">
            <w:pPr>
              <w:jc w:val="center"/>
              <w:rPr>
                <w:lang w:val="it-IT"/>
              </w:rPr>
            </w:pPr>
            <w:r w:rsidRPr="009C5EFD">
              <w:rPr>
                <w:sz w:val="22"/>
                <w:szCs w:val="22"/>
              </w:rPr>
              <w:t>0,0082</w:t>
            </w:r>
          </w:p>
        </w:tc>
        <w:tc>
          <w:tcPr>
            <w:tcW w:w="990" w:type="dxa"/>
            <w:tcBorders>
              <w:top w:val="single" w:sz="4" w:space="0" w:color="auto"/>
              <w:left w:val="single" w:sz="4" w:space="0" w:color="auto"/>
              <w:bottom w:val="single" w:sz="4" w:space="0" w:color="auto"/>
              <w:right w:val="single" w:sz="4" w:space="0" w:color="auto"/>
            </w:tcBorders>
          </w:tcPr>
          <w:p w14:paraId="2906D1C4" w14:textId="77777777" w:rsidR="003B1129" w:rsidRPr="009C5EFD" w:rsidRDefault="00E453CD" w:rsidP="00CC0DA9">
            <w:pPr>
              <w:jc w:val="center"/>
              <w:rPr>
                <w:lang w:val="it-IT"/>
              </w:rPr>
            </w:pPr>
            <w:r w:rsidRPr="009C5EFD">
              <w:rPr>
                <w:sz w:val="22"/>
                <w:szCs w:val="22"/>
              </w:rPr>
              <w:t>&lt; 0,001</w:t>
            </w:r>
          </w:p>
        </w:tc>
      </w:tr>
      <w:tr w:rsidR="004644D4" w14:paraId="3E8E941E" w14:textId="77777777" w:rsidTr="00CC0DA9">
        <w:tc>
          <w:tcPr>
            <w:tcW w:w="1430" w:type="dxa"/>
            <w:tcBorders>
              <w:top w:val="single" w:sz="4" w:space="0" w:color="auto"/>
              <w:left w:val="single" w:sz="4" w:space="0" w:color="auto"/>
              <w:bottom w:val="single" w:sz="4" w:space="0" w:color="auto"/>
              <w:right w:val="single" w:sz="4" w:space="0" w:color="auto"/>
            </w:tcBorders>
          </w:tcPr>
          <w:p w14:paraId="6993DBE9" w14:textId="77777777" w:rsidR="003B1129" w:rsidRPr="009C5EFD" w:rsidRDefault="00E453CD" w:rsidP="00CC0DA9">
            <w:pPr>
              <w:jc w:val="center"/>
              <w:rPr>
                <w:lang w:val="it-IT"/>
              </w:rPr>
            </w:pPr>
            <w:r w:rsidRPr="009C5EFD">
              <w:rPr>
                <w:sz w:val="22"/>
                <w:szCs w:val="22"/>
              </w:rPr>
              <w:t>JSN score</w:t>
            </w:r>
          </w:p>
        </w:tc>
        <w:tc>
          <w:tcPr>
            <w:tcW w:w="1540" w:type="dxa"/>
            <w:tcBorders>
              <w:top w:val="single" w:sz="4" w:space="0" w:color="auto"/>
              <w:left w:val="single" w:sz="4" w:space="0" w:color="auto"/>
              <w:bottom w:val="single" w:sz="4" w:space="0" w:color="auto"/>
              <w:right w:val="single" w:sz="4" w:space="0" w:color="auto"/>
            </w:tcBorders>
          </w:tcPr>
          <w:p w14:paraId="68686550" w14:textId="77777777" w:rsidR="003B1129" w:rsidRPr="009C5EFD" w:rsidRDefault="00E453CD" w:rsidP="00CC0DA9">
            <w:pPr>
              <w:jc w:val="center"/>
              <w:rPr>
                <w:lang w:val="en-GB"/>
              </w:rPr>
            </w:pPr>
            <w:r w:rsidRPr="009C5EFD">
              <w:rPr>
                <w:sz w:val="22"/>
                <w:szCs w:val="22"/>
              </w:rPr>
              <w:t>2,0 (1,2-2,8)</w:t>
            </w:r>
          </w:p>
        </w:tc>
        <w:tc>
          <w:tcPr>
            <w:tcW w:w="1482" w:type="dxa"/>
            <w:tcBorders>
              <w:top w:val="single" w:sz="4" w:space="0" w:color="auto"/>
              <w:left w:val="single" w:sz="4" w:space="0" w:color="auto"/>
              <w:bottom w:val="single" w:sz="4" w:space="0" w:color="auto"/>
              <w:right w:val="single" w:sz="4" w:space="0" w:color="auto"/>
            </w:tcBorders>
          </w:tcPr>
          <w:p w14:paraId="0803AEF1" w14:textId="77777777" w:rsidR="003B1129" w:rsidRPr="009C5EFD" w:rsidRDefault="00E453CD" w:rsidP="00CC0DA9">
            <w:pPr>
              <w:jc w:val="center"/>
              <w:rPr>
                <w:lang w:val="en-GB"/>
              </w:rPr>
            </w:pPr>
            <w:r w:rsidRPr="009C5EFD">
              <w:rPr>
                <w:sz w:val="22"/>
                <w:szCs w:val="22"/>
              </w:rPr>
              <w:t>1,3 (0,5-2,1)</w:t>
            </w:r>
          </w:p>
        </w:tc>
        <w:tc>
          <w:tcPr>
            <w:tcW w:w="1488" w:type="dxa"/>
            <w:tcBorders>
              <w:top w:val="single" w:sz="4" w:space="0" w:color="auto"/>
              <w:left w:val="single" w:sz="4" w:space="0" w:color="auto"/>
              <w:bottom w:val="single" w:sz="4" w:space="0" w:color="auto"/>
              <w:right w:val="single" w:sz="4" w:space="0" w:color="auto"/>
            </w:tcBorders>
          </w:tcPr>
          <w:p w14:paraId="105B1737" w14:textId="77777777" w:rsidR="003B1129" w:rsidRPr="009C5EFD" w:rsidRDefault="00E453CD" w:rsidP="00CC0DA9">
            <w:pPr>
              <w:jc w:val="center"/>
              <w:rPr>
                <w:lang w:val="en-GB"/>
              </w:rPr>
            </w:pPr>
            <w:r w:rsidRPr="009C5EFD">
              <w:rPr>
                <w:sz w:val="22"/>
                <w:szCs w:val="22"/>
              </w:rPr>
              <w:t>0,5 (0-1,0)</w:t>
            </w:r>
          </w:p>
        </w:tc>
        <w:tc>
          <w:tcPr>
            <w:tcW w:w="990" w:type="dxa"/>
            <w:tcBorders>
              <w:top w:val="single" w:sz="4" w:space="0" w:color="auto"/>
              <w:left w:val="single" w:sz="4" w:space="0" w:color="auto"/>
              <w:bottom w:val="single" w:sz="4" w:space="0" w:color="auto"/>
              <w:right w:val="single" w:sz="4" w:space="0" w:color="auto"/>
            </w:tcBorders>
          </w:tcPr>
          <w:p w14:paraId="11964D49" w14:textId="77777777" w:rsidR="003B1129" w:rsidRPr="009C5EFD" w:rsidRDefault="00E453CD" w:rsidP="00CC0DA9">
            <w:pPr>
              <w:jc w:val="center"/>
              <w:rPr>
                <w:lang w:val="en-GB"/>
              </w:rPr>
            </w:pPr>
            <w:r w:rsidRPr="009C5EFD">
              <w:rPr>
                <w:sz w:val="22"/>
                <w:szCs w:val="22"/>
              </w:rPr>
              <w:t>&lt; 0,001</w:t>
            </w:r>
          </w:p>
        </w:tc>
        <w:tc>
          <w:tcPr>
            <w:tcW w:w="990" w:type="dxa"/>
            <w:tcBorders>
              <w:top w:val="single" w:sz="4" w:space="0" w:color="auto"/>
              <w:left w:val="single" w:sz="4" w:space="0" w:color="auto"/>
              <w:bottom w:val="single" w:sz="4" w:space="0" w:color="auto"/>
              <w:right w:val="single" w:sz="4" w:space="0" w:color="auto"/>
            </w:tcBorders>
          </w:tcPr>
          <w:p w14:paraId="4E1F94C1" w14:textId="77777777" w:rsidR="003B1129" w:rsidRPr="009C5EFD" w:rsidRDefault="00E453CD" w:rsidP="00CC0DA9">
            <w:pPr>
              <w:jc w:val="center"/>
              <w:rPr>
                <w:lang w:val="en-GB"/>
              </w:rPr>
            </w:pPr>
            <w:r w:rsidRPr="009C5EFD">
              <w:rPr>
                <w:sz w:val="22"/>
                <w:szCs w:val="22"/>
              </w:rPr>
              <w:t>0,0037</w:t>
            </w:r>
          </w:p>
        </w:tc>
        <w:tc>
          <w:tcPr>
            <w:tcW w:w="990" w:type="dxa"/>
            <w:tcBorders>
              <w:top w:val="single" w:sz="4" w:space="0" w:color="auto"/>
              <w:left w:val="single" w:sz="4" w:space="0" w:color="auto"/>
              <w:bottom w:val="single" w:sz="4" w:space="0" w:color="auto"/>
              <w:right w:val="single" w:sz="4" w:space="0" w:color="auto"/>
            </w:tcBorders>
          </w:tcPr>
          <w:p w14:paraId="2C9A8289" w14:textId="77777777" w:rsidR="003B1129" w:rsidRPr="009C5EFD" w:rsidRDefault="00E453CD" w:rsidP="00CC0DA9">
            <w:pPr>
              <w:jc w:val="center"/>
              <w:rPr>
                <w:lang w:val="en-GB"/>
              </w:rPr>
            </w:pPr>
            <w:r w:rsidRPr="009C5EFD">
              <w:rPr>
                <w:sz w:val="22"/>
                <w:szCs w:val="22"/>
              </w:rPr>
              <w:t>0,151</w:t>
            </w:r>
          </w:p>
        </w:tc>
      </w:tr>
      <w:tr w:rsidR="004644D4" w14:paraId="5E0BDC07" w14:textId="77777777" w:rsidTr="00CC0DA9">
        <w:trPr>
          <w:cantSplit/>
        </w:trPr>
        <w:tc>
          <w:tcPr>
            <w:tcW w:w="8910" w:type="dxa"/>
            <w:gridSpan w:val="7"/>
            <w:tcBorders>
              <w:top w:val="single" w:sz="4" w:space="0" w:color="auto"/>
            </w:tcBorders>
          </w:tcPr>
          <w:p w14:paraId="7ED50E46" w14:textId="77777777" w:rsidR="003B1129" w:rsidRPr="002D0790" w:rsidRDefault="00E453CD" w:rsidP="00CC0DA9">
            <w:pPr>
              <w:pStyle w:val="BodyTextIndent2"/>
              <w:pBdr>
                <w:top w:val="single" w:sz="4" w:space="1" w:color="auto"/>
                <w:right w:val="single" w:sz="4" w:space="4" w:color="auto"/>
              </w:pBdr>
              <w:tabs>
                <w:tab w:val="left" w:pos="330"/>
              </w:tabs>
              <w:ind w:left="330" w:hanging="330"/>
              <w:rPr>
                <w:szCs w:val="22"/>
              </w:rPr>
            </w:pPr>
            <w:r w:rsidRPr="007F67EE">
              <w:rPr>
                <w:szCs w:val="22"/>
                <w:vertAlign w:val="superscript"/>
              </w:rPr>
              <w:t xml:space="preserve">a </w:t>
            </w:r>
            <w:r w:rsidRPr="00193D76">
              <w:rPr>
                <w:szCs w:val="22"/>
              </w:rPr>
              <w:t>p-verdien er fra den parvise sammenligningen av metotreksat monoterapi og Humira/metotreksat kombinasjonsbehan</w:t>
            </w:r>
            <w:r w:rsidRPr="002D0790">
              <w:rPr>
                <w:szCs w:val="22"/>
              </w:rPr>
              <w:t>dling med Mann-Whitney U testen.</w:t>
            </w:r>
          </w:p>
          <w:p w14:paraId="4E91894B" w14:textId="77777777" w:rsidR="003B1129" w:rsidRPr="00C07C98" w:rsidRDefault="00E453CD" w:rsidP="00CC0DA9">
            <w:pPr>
              <w:pStyle w:val="BodyTextIndent2"/>
              <w:pBdr>
                <w:top w:val="single" w:sz="4" w:space="1" w:color="auto"/>
                <w:right w:val="single" w:sz="4" w:space="4" w:color="auto"/>
              </w:pBdr>
              <w:tabs>
                <w:tab w:val="left" w:pos="330"/>
              </w:tabs>
              <w:ind w:left="330" w:hanging="330"/>
              <w:rPr>
                <w:szCs w:val="22"/>
              </w:rPr>
            </w:pPr>
            <w:r w:rsidRPr="00C07C98">
              <w:rPr>
                <w:szCs w:val="22"/>
                <w:vertAlign w:val="superscript"/>
              </w:rPr>
              <w:t xml:space="preserve">b </w:t>
            </w:r>
            <w:r w:rsidRPr="00C07C98">
              <w:rPr>
                <w:szCs w:val="22"/>
              </w:rPr>
              <w:t>p-verdien er fra den parvise sammenligningen av Humira monoterapi og Humira/metotreksat kombinasjonsbehandling med Mann-Whitney U testen.</w:t>
            </w:r>
          </w:p>
          <w:p w14:paraId="404CD172" w14:textId="77777777" w:rsidR="003B1129" w:rsidRPr="009C5EFD" w:rsidRDefault="00E453CD" w:rsidP="00CC0DA9">
            <w:pPr>
              <w:tabs>
                <w:tab w:val="left" w:pos="330"/>
              </w:tabs>
              <w:ind w:left="360" w:hanging="360"/>
              <w:rPr>
                <w:bCs/>
              </w:rPr>
            </w:pPr>
            <w:r w:rsidRPr="00E14E58">
              <w:rPr>
                <w:sz w:val="22"/>
                <w:szCs w:val="22"/>
                <w:vertAlign w:val="superscript"/>
              </w:rPr>
              <w:t xml:space="preserve">c </w:t>
            </w:r>
            <w:r w:rsidRPr="009C5EFD">
              <w:rPr>
                <w:sz w:val="22"/>
                <w:szCs w:val="22"/>
              </w:rPr>
              <w:t>p-verdien er fra den parvise sammenligningen av Humira monoterapi og metotreksat monoterapi med Mann-Whitney U testen.</w:t>
            </w:r>
          </w:p>
        </w:tc>
      </w:tr>
    </w:tbl>
    <w:p w14:paraId="0804DBAD" w14:textId="77777777" w:rsidR="003B1129" w:rsidRPr="009C5EFD" w:rsidRDefault="003B1129" w:rsidP="003B1129">
      <w:pPr>
        <w:rPr>
          <w:sz w:val="22"/>
          <w:szCs w:val="22"/>
        </w:rPr>
      </w:pPr>
    </w:p>
    <w:p w14:paraId="3D6C3B3D" w14:textId="77777777" w:rsidR="003B1129" w:rsidRDefault="00E453CD" w:rsidP="003B1129">
      <w:pPr>
        <w:pStyle w:val="EMEANormal"/>
        <w:rPr>
          <w:lang w:val="nb-NO"/>
        </w:rPr>
      </w:pPr>
      <w:r w:rsidRPr="009C5EFD">
        <w:rPr>
          <w:lang w:val="nb-NO"/>
        </w:rPr>
        <w:lastRenderedPageBreak/>
        <w:t xml:space="preserve">Etter behandling i 52 uker og 104 uker var andelen pasienter uten progresjon (forandring i den modifiserte totale Sharp score </w:t>
      </w:r>
      <w:r w:rsidRPr="007F67EE">
        <w:rPr>
          <w:rFonts w:ascii="Symbol" w:hAnsi="Symbol"/>
          <w:lang w:val="nb-NO"/>
        </w:rPr>
        <w:sym w:font="Symbol" w:char="F0A3"/>
      </w:r>
      <w:r w:rsidRPr="007F67EE">
        <w:rPr>
          <w:lang w:val="nb-NO"/>
        </w:rPr>
        <w:t> 0,5 siden oppstart) signifikant høyere med kombinasjonsbehandling med Humira/metotreksat</w:t>
      </w:r>
      <w:r w:rsidRPr="00193D76">
        <w:rPr>
          <w:lang w:val="nb-NO"/>
        </w:rPr>
        <w:t xml:space="preserve"> (henholdsvis 63,8</w:t>
      </w:r>
      <w:r w:rsidRPr="00C07C98">
        <w:rPr>
          <w:lang w:val="nb-NO"/>
        </w:rPr>
        <w:t> % og 61,2</w:t>
      </w:r>
      <w:r w:rsidRPr="009C5EFD">
        <w:rPr>
          <w:lang w:val="nb-NO"/>
        </w:rPr>
        <w:t> %) sammenlignet med metotreksat monoterapi (henholdsvis 37,4 % og 33,5 %, p &lt; 0,001) og Humira monoterapi (henholdsvis 50,7 %, p &lt; 0,002 og 44,5 %, p &lt; 0,001).</w:t>
      </w:r>
    </w:p>
    <w:p w14:paraId="7C296042" w14:textId="77777777" w:rsidR="003B1129" w:rsidRDefault="003B1129" w:rsidP="003B1129">
      <w:pPr>
        <w:pStyle w:val="EMEANormal"/>
        <w:rPr>
          <w:lang w:val="nb-NO"/>
        </w:rPr>
      </w:pPr>
    </w:p>
    <w:p w14:paraId="5A5EC0A8" w14:textId="77777777" w:rsidR="003B1129" w:rsidRPr="009C5EFD" w:rsidRDefault="00E453CD" w:rsidP="003B1129">
      <w:pPr>
        <w:pStyle w:val="EMEANormal"/>
        <w:rPr>
          <w:lang w:val="nb-NO"/>
        </w:rPr>
      </w:pPr>
      <w:r>
        <w:rPr>
          <w:szCs w:val="22"/>
          <w:lang w:val="nb-NO"/>
        </w:rPr>
        <w:t>I den åpne forlengelsesfasen av</w:t>
      </w:r>
      <w:r w:rsidRPr="00635DEA">
        <w:rPr>
          <w:szCs w:val="22"/>
          <w:lang w:val="nb-NO"/>
        </w:rPr>
        <w:t xml:space="preserve"> RA studie V, </w:t>
      </w:r>
      <w:r>
        <w:rPr>
          <w:szCs w:val="22"/>
          <w:lang w:val="nb-NO"/>
        </w:rPr>
        <w:t xml:space="preserve">var gjennomsnittlig endring fra baseline ved år 10 i den  </w:t>
      </w:r>
      <w:r w:rsidRPr="00635DEA">
        <w:rPr>
          <w:szCs w:val="22"/>
          <w:lang w:val="nb-NO"/>
        </w:rPr>
        <w:t>modifiserte totale Sharp score</w:t>
      </w:r>
      <w:r>
        <w:rPr>
          <w:szCs w:val="22"/>
          <w:lang w:val="nb-NO"/>
        </w:rPr>
        <w:t xml:space="preserve"> 10,8, 9,2 og 3,9 hos pasienter henholdsvis opprinnelig randomisert til metotreksat monoterapi, Humira monoterapi og </w:t>
      </w:r>
      <w:r w:rsidRPr="00453752">
        <w:rPr>
          <w:szCs w:val="22"/>
          <w:lang w:val="nb-NO"/>
        </w:rPr>
        <w:t>Humira/metotreksat kombinasjonsbehandling</w:t>
      </w:r>
      <w:r>
        <w:rPr>
          <w:szCs w:val="22"/>
          <w:lang w:val="nb-NO"/>
        </w:rPr>
        <w:t>. De tilsvarende andeler pasienter uten radiografisk progresjon var henholdsvis 31,3</w:t>
      </w:r>
      <w:r w:rsidR="00BF5D1A">
        <w:rPr>
          <w:szCs w:val="22"/>
          <w:lang w:val="nb-NO"/>
        </w:rPr>
        <w:t> </w:t>
      </w:r>
      <w:r>
        <w:rPr>
          <w:szCs w:val="22"/>
          <w:lang w:val="nb-NO"/>
        </w:rPr>
        <w:t>%, 23,7</w:t>
      </w:r>
      <w:r w:rsidR="00BF5D1A">
        <w:rPr>
          <w:szCs w:val="22"/>
          <w:lang w:val="nb-NO"/>
        </w:rPr>
        <w:t> </w:t>
      </w:r>
      <w:r>
        <w:rPr>
          <w:szCs w:val="22"/>
          <w:lang w:val="nb-NO"/>
        </w:rPr>
        <w:t>% og 36,7</w:t>
      </w:r>
      <w:r w:rsidR="00BF5D1A">
        <w:rPr>
          <w:szCs w:val="22"/>
          <w:lang w:val="nb-NO"/>
        </w:rPr>
        <w:t> </w:t>
      </w:r>
      <w:r>
        <w:rPr>
          <w:szCs w:val="22"/>
          <w:lang w:val="nb-NO"/>
        </w:rPr>
        <w:t>%.</w:t>
      </w:r>
    </w:p>
    <w:p w14:paraId="0011D077" w14:textId="77777777" w:rsidR="003B1129" w:rsidRPr="009C5EFD" w:rsidRDefault="003B1129" w:rsidP="003B1129">
      <w:pPr>
        <w:rPr>
          <w:sz w:val="22"/>
          <w:szCs w:val="22"/>
        </w:rPr>
      </w:pPr>
    </w:p>
    <w:p w14:paraId="46771A21" w14:textId="77777777" w:rsidR="003B1129" w:rsidRPr="009C5EFD" w:rsidRDefault="00E453CD" w:rsidP="003B1129">
      <w:pPr>
        <w:keepNext/>
        <w:rPr>
          <w:i/>
          <w:sz w:val="22"/>
          <w:szCs w:val="22"/>
          <w:u w:val="single"/>
        </w:rPr>
      </w:pPr>
      <w:r w:rsidRPr="009C5EFD">
        <w:rPr>
          <w:i/>
          <w:sz w:val="22"/>
          <w:szCs w:val="22"/>
          <w:u w:val="single"/>
        </w:rPr>
        <w:t>Livskvalitet og fysisk funksjon</w:t>
      </w:r>
    </w:p>
    <w:p w14:paraId="623246F8" w14:textId="77777777" w:rsidR="003B1129" w:rsidRPr="009C5EFD" w:rsidRDefault="003B1129" w:rsidP="00776A84">
      <w:pPr>
        <w:keepNext/>
        <w:rPr>
          <w:sz w:val="22"/>
          <w:szCs w:val="22"/>
        </w:rPr>
      </w:pPr>
    </w:p>
    <w:p w14:paraId="3DD97D8C" w14:textId="77777777" w:rsidR="003B1129" w:rsidRPr="009C5EFD" w:rsidRDefault="00E453CD" w:rsidP="003B1129">
      <w:pPr>
        <w:rPr>
          <w:sz w:val="22"/>
          <w:szCs w:val="22"/>
        </w:rPr>
      </w:pPr>
      <w:r w:rsidRPr="009C5EFD">
        <w:rPr>
          <w:sz w:val="22"/>
          <w:szCs w:val="22"/>
        </w:rPr>
        <w:t>Helserelatert livskvalitet og fysisk funksjon ble vurdert ved hjelp av uførhetsindeksen i spørreskjemaet for helseutredning (Health Assessment Questionnaire HAQ) i de fire opprinnelige, veldefinerte og kontrollerte studiene, som var et forhåndsspesifisert primærendepunkt ved uke 52 i RA-studie III. Alle doseringer/regimer for Humira i alle fire studie</w:t>
      </w:r>
      <w:r w:rsidR="00BF5D1A">
        <w:rPr>
          <w:sz w:val="22"/>
          <w:szCs w:val="22"/>
        </w:rPr>
        <w:t>r</w:t>
      </w:r>
      <w:r w:rsidRPr="009C5EFD">
        <w:rPr>
          <w:sz w:val="22"/>
          <w:szCs w:val="22"/>
        </w:rPr>
        <w:t xml:space="preserve"> viste statistisk signifikant større forbedring i uførhetsindeksen til HAQ fra oppstart til 6. måned sammenlignet med placebo og i RA-studie III ble det samme observert ved uke 52. Resultater fra </w:t>
      </w:r>
      <w:r w:rsidR="00D57009">
        <w:rPr>
          <w:sz w:val="22"/>
          <w:szCs w:val="22"/>
        </w:rPr>
        <w:t>«</w:t>
      </w:r>
      <w:r w:rsidRPr="009C5EFD">
        <w:rPr>
          <w:sz w:val="22"/>
          <w:szCs w:val="22"/>
        </w:rPr>
        <w:t>Short Form Health Survey</w:t>
      </w:r>
      <w:r w:rsidR="00D57009">
        <w:rPr>
          <w:sz w:val="22"/>
          <w:szCs w:val="22"/>
        </w:rPr>
        <w:t>»</w:t>
      </w:r>
      <w:r w:rsidRPr="009C5EFD">
        <w:rPr>
          <w:sz w:val="22"/>
          <w:szCs w:val="22"/>
        </w:rPr>
        <w:t xml:space="preserve"> (SF36) ved alle doseringer/regimer av Humira i alle de fire studiene støtter disse funnene, med statistisk signifikante poengverdier for </w:t>
      </w:r>
      <w:r w:rsidR="00D57009">
        <w:rPr>
          <w:sz w:val="22"/>
          <w:szCs w:val="22"/>
        </w:rPr>
        <w:t>«</w:t>
      </w:r>
      <w:r w:rsidRPr="009C5EFD">
        <w:rPr>
          <w:sz w:val="22"/>
          <w:szCs w:val="22"/>
        </w:rPr>
        <w:t>Physical Component Summary</w:t>
      </w:r>
      <w:r w:rsidR="00D57009">
        <w:rPr>
          <w:sz w:val="22"/>
          <w:szCs w:val="22"/>
        </w:rPr>
        <w:t>»</w:t>
      </w:r>
      <w:r w:rsidRPr="009C5EFD">
        <w:rPr>
          <w:sz w:val="22"/>
          <w:szCs w:val="22"/>
        </w:rPr>
        <w:t xml:space="preserve"> (PCS), og dessuten statistisk signifikante poengverdier for smerte- og vitalitetsområdet ved 40 mg dosert annenhver uke. Statistisk signifikant reduksjon i tretthet (fatigue) målt med poengverdier for funksjonell vurdering av behandling av kronisk sykdom (Functional assessment of chronic illness therapy – FACIT) ble observert i alle tre studier hvor det ble vurdert (RA-studiene I, III, IV).</w:t>
      </w:r>
    </w:p>
    <w:p w14:paraId="5BB23B73" w14:textId="77777777" w:rsidR="003B1129" w:rsidRPr="009C5EFD" w:rsidRDefault="003B1129" w:rsidP="003B1129">
      <w:pPr>
        <w:rPr>
          <w:sz w:val="22"/>
          <w:szCs w:val="22"/>
        </w:rPr>
      </w:pPr>
    </w:p>
    <w:p w14:paraId="5F9F9194" w14:textId="77777777" w:rsidR="003B1129" w:rsidRPr="009C5EFD" w:rsidRDefault="00E453CD" w:rsidP="00776A84">
      <w:pPr>
        <w:rPr>
          <w:sz w:val="22"/>
          <w:szCs w:val="22"/>
        </w:rPr>
      </w:pPr>
      <w:r w:rsidRPr="009C5EFD">
        <w:rPr>
          <w:sz w:val="22"/>
          <w:szCs w:val="22"/>
        </w:rPr>
        <w:t>I RA-studie III, vedvarte forbedringene i fysisk funksjon gjennom 520 uker (120 måneder) med åpen behandling hos de fleste pasienter som oppnådde forbedring i fysisk funksjon og fortsatte behandlingen. Forbedring i livskvalitet ble målt opptil 156 uker (36 måneder) og forbedringen vedvarte gjennom denne perioden.</w:t>
      </w:r>
    </w:p>
    <w:p w14:paraId="07A0BCB3" w14:textId="77777777" w:rsidR="003B1129" w:rsidRPr="009C5EFD" w:rsidRDefault="003B1129">
      <w:pPr>
        <w:rPr>
          <w:sz w:val="22"/>
          <w:szCs w:val="22"/>
        </w:rPr>
      </w:pPr>
    </w:p>
    <w:p w14:paraId="3C73E204" w14:textId="77777777" w:rsidR="003B1129" w:rsidRPr="009C5EFD" w:rsidRDefault="00E453CD" w:rsidP="00776A84">
      <w:pPr>
        <w:rPr>
          <w:sz w:val="22"/>
          <w:szCs w:val="22"/>
        </w:rPr>
      </w:pPr>
      <w:r w:rsidRPr="009C5EFD">
        <w:rPr>
          <w:sz w:val="22"/>
          <w:szCs w:val="22"/>
        </w:rPr>
        <w:t>I R</w:t>
      </w:r>
      <w:r>
        <w:rPr>
          <w:sz w:val="22"/>
          <w:szCs w:val="22"/>
        </w:rPr>
        <w:t>A</w:t>
      </w:r>
      <w:r w:rsidRPr="009C5EFD">
        <w:rPr>
          <w:sz w:val="22"/>
          <w:szCs w:val="22"/>
        </w:rPr>
        <w:t xml:space="preserve">-studie V viste forbedring i uførhetsindeksen til HAQ og den fysiske delen av SF 36, større forbedring (p &lt; 0,001) for kombinasjonsbehandling med Humira/metotreksat i forhold til metotreksat monoterapi </w:t>
      </w:r>
      <w:r w:rsidR="006233DF">
        <w:rPr>
          <w:sz w:val="22"/>
          <w:szCs w:val="22"/>
        </w:rPr>
        <w:t xml:space="preserve">og Humira monoterapi </w:t>
      </w:r>
      <w:r w:rsidRPr="009C5EFD">
        <w:rPr>
          <w:sz w:val="22"/>
          <w:szCs w:val="22"/>
        </w:rPr>
        <w:t>ved uke 52, noe som ble vedlikeholdt gjennom uke 104.</w:t>
      </w:r>
      <w:r>
        <w:rPr>
          <w:sz w:val="22"/>
          <w:szCs w:val="22"/>
        </w:rPr>
        <w:t xml:space="preserve"> Blant de 250 pasientene som fullførte den åpne forlengelsesstudien, ble forbedringer i fysisk funksjon opprettholdt gjennom 10 år med behandling.</w:t>
      </w:r>
    </w:p>
    <w:p w14:paraId="44B275C4" w14:textId="77777777" w:rsidR="003B1129" w:rsidRPr="009C5EFD" w:rsidRDefault="003B1129" w:rsidP="00776A84">
      <w:pPr>
        <w:rPr>
          <w:sz w:val="22"/>
          <w:szCs w:val="22"/>
        </w:rPr>
      </w:pPr>
    </w:p>
    <w:p w14:paraId="0D5CB088" w14:textId="77777777" w:rsidR="003B1129" w:rsidRPr="009C5EFD" w:rsidRDefault="00E453CD" w:rsidP="003B1129">
      <w:pPr>
        <w:keepNext/>
        <w:rPr>
          <w:i/>
          <w:sz w:val="22"/>
          <w:szCs w:val="22"/>
          <w:u w:val="single"/>
        </w:rPr>
      </w:pPr>
      <w:r w:rsidRPr="009C5EFD">
        <w:rPr>
          <w:i/>
          <w:sz w:val="22"/>
          <w:szCs w:val="22"/>
          <w:u w:val="single"/>
        </w:rPr>
        <w:t>Smerte</w:t>
      </w:r>
      <w:r>
        <w:rPr>
          <w:i/>
          <w:sz w:val="22"/>
          <w:szCs w:val="22"/>
          <w:u w:val="single"/>
        </w:rPr>
        <w:t>r</w:t>
      </w:r>
      <w:r w:rsidRPr="009C5EFD">
        <w:rPr>
          <w:i/>
          <w:sz w:val="22"/>
          <w:szCs w:val="22"/>
          <w:u w:val="single"/>
        </w:rPr>
        <w:t xml:space="preserve"> ved injeksjonsstedet</w:t>
      </w:r>
    </w:p>
    <w:p w14:paraId="37ECFA18" w14:textId="77777777" w:rsidR="003B1129" w:rsidRPr="009C5EFD" w:rsidRDefault="003B1129" w:rsidP="003B1129">
      <w:pPr>
        <w:keepNext/>
        <w:rPr>
          <w:sz w:val="22"/>
          <w:szCs w:val="22"/>
        </w:rPr>
      </w:pPr>
    </w:p>
    <w:p w14:paraId="19433666" w14:textId="77777777" w:rsidR="003B1129" w:rsidRDefault="00E453CD" w:rsidP="003B1129">
      <w:pPr>
        <w:pStyle w:val="EndnoteText"/>
        <w:widowControl/>
        <w:tabs>
          <w:tab w:val="clear" w:pos="567"/>
        </w:tabs>
        <w:suppressAutoHyphens/>
        <w:rPr>
          <w:szCs w:val="22"/>
          <w:lang w:val="nb-NO"/>
        </w:rPr>
      </w:pPr>
      <w:r w:rsidRPr="009C5EFD">
        <w:rPr>
          <w:szCs w:val="22"/>
        </w:rPr>
        <w:t xml:space="preserve">For de samlede RA </w:t>
      </w:r>
      <w:r w:rsidR="00D57009">
        <w:rPr>
          <w:szCs w:val="22"/>
        </w:rPr>
        <w:t>«</w:t>
      </w:r>
      <w:r w:rsidRPr="009C5EFD">
        <w:rPr>
          <w:szCs w:val="22"/>
        </w:rPr>
        <w:t>crossover' studiene VI og VII, ble det umiddelbart etter dosering observert en statistisk signifikant forskjell på smerte</w:t>
      </w:r>
      <w:r>
        <w:rPr>
          <w:szCs w:val="22"/>
        </w:rPr>
        <w:t>r</w:t>
      </w:r>
      <w:r w:rsidRPr="009C5EFD">
        <w:rPr>
          <w:szCs w:val="22"/>
        </w:rPr>
        <w:t xml:space="preserve"> ved injeksjonsstedet mellom Humira 40 mg/0,8 ml og Humira 40 mg/0,4 ml (gjennomsnittlig VAS på 3,7 cm versus 1,2 cm, skala på 0-10 cm, p </w:t>
      </w:r>
      <w:r w:rsidRPr="009C5EFD">
        <w:t>&lt;</w:t>
      </w:r>
      <w:r w:rsidRPr="009C5EFD">
        <w:rPr>
          <w:szCs w:val="22"/>
        </w:rPr>
        <w:t> 0,001). Dette utgjorde en median reduksjon av smerte</w:t>
      </w:r>
      <w:r>
        <w:rPr>
          <w:szCs w:val="22"/>
        </w:rPr>
        <w:t>r</w:t>
      </w:r>
      <w:r w:rsidRPr="009C5EFD">
        <w:rPr>
          <w:szCs w:val="22"/>
        </w:rPr>
        <w:t xml:space="preserve"> ved injeksjonsstedet på 84 %.</w:t>
      </w:r>
    </w:p>
    <w:p w14:paraId="428AAC10" w14:textId="77777777" w:rsidR="003B1129" w:rsidRPr="009C5EFD" w:rsidRDefault="003B1129" w:rsidP="009E676E">
      <w:pPr>
        <w:pStyle w:val="EndnoteText"/>
        <w:widowControl/>
        <w:tabs>
          <w:tab w:val="clear" w:pos="567"/>
        </w:tabs>
        <w:suppressAutoHyphens/>
        <w:rPr>
          <w:szCs w:val="22"/>
          <w:lang w:val="nb-NO"/>
        </w:rPr>
      </w:pPr>
    </w:p>
    <w:p w14:paraId="5CF7C6D0" w14:textId="77777777" w:rsidR="009E676E" w:rsidRPr="001F5D4B" w:rsidRDefault="00E453CD" w:rsidP="00776A84">
      <w:pPr>
        <w:pStyle w:val="Heading2"/>
        <w:ind w:left="0"/>
        <w:rPr>
          <w:i/>
          <w:szCs w:val="22"/>
          <w:u w:val="none"/>
        </w:rPr>
      </w:pPr>
      <w:r w:rsidRPr="001F5D4B">
        <w:rPr>
          <w:i/>
          <w:szCs w:val="22"/>
          <w:u w:val="none"/>
        </w:rPr>
        <w:t>Psoriasis</w:t>
      </w:r>
    </w:p>
    <w:p w14:paraId="28931412" w14:textId="77777777" w:rsidR="009E676E" w:rsidRPr="007F67EE" w:rsidRDefault="009E676E" w:rsidP="00776A84">
      <w:pPr>
        <w:keepNext/>
        <w:rPr>
          <w:sz w:val="22"/>
          <w:szCs w:val="22"/>
          <w:u w:val="single"/>
        </w:rPr>
      </w:pPr>
    </w:p>
    <w:p w14:paraId="2D75CFB5" w14:textId="77777777" w:rsidR="009E676E" w:rsidRPr="009C5EFD" w:rsidRDefault="00E453CD" w:rsidP="009E676E">
      <w:pPr>
        <w:rPr>
          <w:sz w:val="22"/>
          <w:szCs w:val="22"/>
        </w:rPr>
      </w:pPr>
      <w:r w:rsidRPr="00193D76">
        <w:rPr>
          <w:sz w:val="22"/>
          <w:szCs w:val="22"/>
        </w:rPr>
        <w:t>Sikkerhet og effekt av</w:t>
      </w:r>
      <w:r w:rsidRPr="002D0790">
        <w:rPr>
          <w:sz w:val="22"/>
          <w:szCs w:val="22"/>
        </w:rPr>
        <w:t xml:space="preserve"> Humira har vært undersøkt hos voksne pasienter med kronisk plakkpsoriasis (</w:t>
      </w:r>
      <w:r w:rsidRPr="007F67EE">
        <w:rPr>
          <w:rFonts w:ascii="Symbol" w:hAnsi="Symbol"/>
          <w:sz w:val="22"/>
          <w:szCs w:val="22"/>
        </w:rPr>
        <w:sym w:font="Symbol" w:char="F0B3"/>
      </w:r>
      <w:r w:rsidRPr="007F67EE">
        <w:rPr>
          <w:sz w:val="22"/>
          <w:szCs w:val="22"/>
        </w:rPr>
        <w:t xml:space="preserve"> 10 % BSA</w:t>
      </w:r>
      <w:r w:rsidRPr="00193D76">
        <w:rPr>
          <w:sz w:val="22"/>
          <w:szCs w:val="22"/>
        </w:rPr>
        <w:t xml:space="preserve"> </w:t>
      </w:r>
      <w:r w:rsidRPr="002D0790">
        <w:rPr>
          <w:sz w:val="22"/>
          <w:szCs w:val="22"/>
        </w:rPr>
        <w:t xml:space="preserve">og </w:t>
      </w:r>
      <w:r w:rsidRPr="002D0790">
        <w:rPr>
          <w:sz w:val="22"/>
          <w:szCs w:val="22"/>
          <w:lang w:eastAsia="nb-NO"/>
        </w:rPr>
        <w:t>Psoriasis Area and Severity Index</w:t>
      </w:r>
      <w:r w:rsidRPr="00E14E58">
        <w:rPr>
          <w:sz w:val="22"/>
          <w:szCs w:val="22"/>
        </w:rPr>
        <w:t xml:space="preserve"> (PASI) </w:t>
      </w:r>
      <w:r w:rsidRPr="007F67EE">
        <w:rPr>
          <w:rFonts w:ascii="Symbol" w:hAnsi="Symbol"/>
          <w:sz w:val="22"/>
          <w:szCs w:val="22"/>
        </w:rPr>
        <w:sym w:font="Symbol" w:char="F0B3"/>
      </w:r>
      <w:r w:rsidRPr="007F67EE">
        <w:rPr>
          <w:sz w:val="22"/>
          <w:szCs w:val="22"/>
        </w:rPr>
        <w:t xml:space="preserve"> 12 eller </w:t>
      </w:r>
      <w:r w:rsidRPr="007F67EE">
        <w:rPr>
          <w:rFonts w:ascii="Symbol" w:hAnsi="Symbol"/>
          <w:sz w:val="22"/>
          <w:szCs w:val="22"/>
        </w:rPr>
        <w:sym w:font="Symbol" w:char="F0B3"/>
      </w:r>
      <w:r w:rsidRPr="007F67EE">
        <w:rPr>
          <w:sz w:val="22"/>
          <w:szCs w:val="22"/>
        </w:rPr>
        <w:t xml:space="preserve"> 10)</w:t>
      </w:r>
      <w:r w:rsidR="000452D8">
        <w:rPr>
          <w:sz w:val="22"/>
          <w:szCs w:val="22"/>
        </w:rPr>
        <w:t xml:space="preserve"> </w:t>
      </w:r>
      <w:r w:rsidRPr="007F67EE">
        <w:rPr>
          <w:sz w:val="22"/>
          <w:szCs w:val="22"/>
        </w:rPr>
        <w:t xml:space="preserve">som var kandidater </w:t>
      </w:r>
      <w:r w:rsidRPr="00193D76">
        <w:rPr>
          <w:sz w:val="22"/>
          <w:szCs w:val="22"/>
        </w:rPr>
        <w:t>for</w:t>
      </w:r>
      <w:r w:rsidRPr="002D0790">
        <w:rPr>
          <w:sz w:val="22"/>
          <w:szCs w:val="22"/>
        </w:rPr>
        <w:t xml:space="preserve"> systemisk behandling eller </w:t>
      </w:r>
      <w:r>
        <w:rPr>
          <w:sz w:val="22"/>
          <w:szCs w:val="22"/>
        </w:rPr>
        <w:t>lysbehandling</w:t>
      </w:r>
      <w:r w:rsidRPr="00E14E58">
        <w:rPr>
          <w:sz w:val="22"/>
          <w:szCs w:val="22"/>
        </w:rPr>
        <w:t xml:space="preserve"> </w:t>
      </w:r>
      <w:r w:rsidRPr="009C5EFD">
        <w:rPr>
          <w:sz w:val="22"/>
          <w:szCs w:val="22"/>
        </w:rPr>
        <w:t xml:space="preserve">i randomiserte, dobbeltblinde studier. </w:t>
      </w:r>
      <w:r w:rsidR="00C211E7">
        <w:rPr>
          <w:sz w:val="22"/>
          <w:szCs w:val="22"/>
        </w:rPr>
        <w:t>I</w:t>
      </w:r>
      <w:r w:rsidR="00C211E7" w:rsidRPr="009C5EFD">
        <w:rPr>
          <w:sz w:val="22"/>
          <w:szCs w:val="22"/>
        </w:rPr>
        <w:t xml:space="preserve"> psoriasisstudiene I og II var </w:t>
      </w:r>
      <w:r w:rsidRPr="009C5EFD">
        <w:rPr>
          <w:sz w:val="22"/>
          <w:szCs w:val="22"/>
        </w:rPr>
        <w:t xml:space="preserve">73 % av pasientene tidligere behandlet med systemisk behandling eller </w:t>
      </w:r>
      <w:r>
        <w:rPr>
          <w:sz w:val="22"/>
          <w:szCs w:val="22"/>
        </w:rPr>
        <w:t>lysbehandling</w:t>
      </w:r>
      <w:r w:rsidRPr="009C5EFD">
        <w:rPr>
          <w:sz w:val="22"/>
          <w:szCs w:val="22"/>
        </w:rPr>
        <w:t>. Sikkerhet og effekt av Humira ble også undersøkt hos voksne pasienter med moderat til alvorlig kronisk plakkpsoriasis med samtidig hånd og/eller fot psoriasis, som var kandidater for systemisk behandling i en randomisert, dobbeltblindet studie (Psoriasisstudie III).</w:t>
      </w:r>
    </w:p>
    <w:p w14:paraId="1BAE0C14" w14:textId="77777777" w:rsidR="009E676E" w:rsidRPr="009C5EFD" w:rsidRDefault="009E676E" w:rsidP="009E676E">
      <w:pPr>
        <w:rPr>
          <w:sz w:val="22"/>
          <w:szCs w:val="22"/>
        </w:rPr>
      </w:pPr>
    </w:p>
    <w:p w14:paraId="7F120D04" w14:textId="77777777" w:rsidR="009E676E" w:rsidRPr="009C5EFD" w:rsidRDefault="00E453CD" w:rsidP="009E676E">
      <w:pPr>
        <w:rPr>
          <w:sz w:val="22"/>
          <w:szCs w:val="22"/>
        </w:rPr>
      </w:pPr>
      <w:r w:rsidRPr="009C5EFD">
        <w:rPr>
          <w:sz w:val="22"/>
          <w:szCs w:val="22"/>
        </w:rPr>
        <w:t>Psoriasisstudie I (REVEAL) undersøkte 1212 pasienter innenfor tre behandlingsperioder. I periode A fikk pasientene placebo og Humira med en startdose på 80 mg, etterfulgt av 40 mg annenhver uke én uke etter den første dosen. Etter 16 uker med behandling gikk pasienter som oppnådde minst en PASI-</w:t>
      </w:r>
      <w:r w:rsidRPr="009C5EFD">
        <w:rPr>
          <w:sz w:val="22"/>
          <w:szCs w:val="22"/>
        </w:rPr>
        <w:lastRenderedPageBreak/>
        <w:t xml:space="preserve">respons på 75 (PASI score forbedring minst 75 % i forhold til behandlingsstart), videre til periode B og fikk </w:t>
      </w:r>
      <w:r w:rsidR="00D57009">
        <w:rPr>
          <w:sz w:val="22"/>
          <w:szCs w:val="22"/>
        </w:rPr>
        <w:t>«</w:t>
      </w:r>
      <w:r w:rsidRPr="009C5EFD">
        <w:rPr>
          <w:sz w:val="22"/>
          <w:szCs w:val="22"/>
        </w:rPr>
        <w:t>open-label</w:t>
      </w:r>
      <w:r w:rsidR="00D57009">
        <w:rPr>
          <w:sz w:val="22"/>
          <w:szCs w:val="22"/>
        </w:rPr>
        <w:t>»</w:t>
      </w:r>
      <w:r w:rsidRPr="009C5EFD">
        <w:rPr>
          <w:sz w:val="22"/>
          <w:szCs w:val="22"/>
        </w:rPr>
        <w:t xml:space="preserve"> 40 mg Humira annenhver uke. Pasienter som opprettholdt </w:t>
      </w:r>
      <w:r w:rsidRPr="007F67EE">
        <w:rPr>
          <w:rFonts w:ascii="Symbol" w:hAnsi="Symbol"/>
          <w:sz w:val="22"/>
          <w:szCs w:val="22"/>
        </w:rPr>
        <w:sym w:font="Symbol" w:char="F0B3"/>
      </w:r>
      <w:r w:rsidRPr="007F67EE">
        <w:rPr>
          <w:sz w:val="22"/>
          <w:szCs w:val="22"/>
        </w:rPr>
        <w:t xml:space="preserve"> PASI 75-respons ved uke 33 og </w:t>
      </w:r>
      <w:r w:rsidRPr="00193D76">
        <w:rPr>
          <w:sz w:val="22"/>
          <w:szCs w:val="22"/>
        </w:rPr>
        <w:t xml:space="preserve">som </w:t>
      </w:r>
      <w:r w:rsidRPr="002D0790">
        <w:rPr>
          <w:sz w:val="22"/>
          <w:szCs w:val="22"/>
        </w:rPr>
        <w:t xml:space="preserve">var opprinnelig randomiserte til aktiv behandling </w:t>
      </w:r>
      <w:r w:rsidRPr="00E14E58">
        <w:rPr>
          <w:sz w:val="22"/>
          <w:szCs w:val="22"/>
        </w:rPr>
        <w:t>i peri</w:t>
      </w:r>
      <w:r w:rsidRPr="009C5EFD">
        <w:rPr>
          <w:sz w:val="22"/>
          <w:szCs w:val="22"/>
        </w:rPr>
        <w:t xml:space="preserve">ode A, ble randomisert på nytt i periode C til å få 40 mg Humira annenhver uke eller placebo i ytterligere 19 uker. På tvers av alle behandlingsgrupper var den gjennomsnittlige PASI score 18,9 ved behandlingsstart, og Physician’s Global Assessment (PGA) score var klassifisert fra </w:t>
      </w:r>
      <w:r w:rsidR="00D57009">
        <w:rPr>
          <w:sz w:val="22"/>
          <w:szCs w:val="22"/>
        </w:rPr>
        <w:t>«</w:t>
      </w:r>
      <w:r w:rsidRPr="009C5EFD">
        <w:rPr>
          <w:sz w:val="22"/>
          <w:szCs w:val="22"/>
        </w:rPr>
        <w:t>moderat</w:t>
      </w:r>
      <w:r w:rsidR="00D57009">
        <w:rPr>
          <w:sz w:val="22"/>
          <w:szCs w:val="22"/>
        </w:rPr>
        <w:t>»</w:t>
      </w:r>
      <w:r w:rsidRPr="009C5EFD">
        <w:rPr>
          <w:sz w:val="22"/>
          <w:szCs w:val="22"/>
        </w:rPr>
        <w:t xml:space="preserve"> (53 % av de inkluderte pasientene) til </w:t>
      </w:r>
      <w:r w:rsidR="00D57009">
        <w:rPr>
          <w:sz w:val="22"/>
          <w:szCs w:val="22"/>
        </w:rPr>
        <w:t>«</w:t>
      </w:r>
      <w:r w:rsidRPr="009C5EFD">
        <w:rPr>
          <w:sz w:val="22"/>
          <w:szCs w:val="22"/>
        </w:rPr>
        <w:t>alvorlig</w:t>
      </w:r>
      <w:r w:rsidR="00D57009">
        <w:rPr>
          <w:sz w:val="22"/>
          <w:szCs w:val="22"/>
        </w:rPr>
        <w:t>»</w:t>
      </w:r>
      <w:r w:rsidRPr="009C5EFD">
        <w:rPr>
          <w:sz w:val="22"/>
          <w:szCs w:val="22"/>
        </w:rPr>
        <w:t xml:space="preserve"> (41 %) eller </w:t>
      </w:r>
      <w:r w:rsidR="00D57009">
        <w:rPr>
          <w:sz w:val="22"/>
          <w:szCs w:val="22"/>
        </w:rPr>
        <w:t>«</w:t>
      </w:r>
      <w:r w:rsidRPr="009C5EFD">
        <w:rPr>
          <w:sz w:val="22"/>
          <w:szCs w:val="22"/>
        </w:rPr>
        <w:t>svært alvorlig</w:t>
      </w:r>
      <w:r w:rsidR="00D57009">
        <w:rPr>
          <w:sz w:val="22"/>
          <w:szCs w:val="22"/>
        </w:rPr>
        <w:t>»</w:t>
      </w:r>
      <w:r w:rsidRPr="009C5EFD">
        <w:rPr>
          <w:sz w:val="22"/>
          <w:szCs w:val="22"/>
        </w:rPr>
        <w:t xml:space="preserve"> (6 %).</w:t>
      </w:r>
    </w:p>
    <w:p w14:paraId="728A43AB" w14:textId="77777777" w:rsidR="009E676E" w:rsidRPr="009C5EFD" w:rsidRDefault="009E676E" w:rsidP="009E676E">
      <w:pPr>
        <w:rPr>
          <w:sz w:val="22"/>
          <w:szCs w:val="22"/>
        </w:rPr>
      </w:pPr>
    </w:p>
    <w:p w14:paraId="3D52E2A5" w14:textId="77777777" w:rsidR="009E676E" w:rsidRPr="009C5EFD" w:rsidRDefault="00E453CD" w:rsidP="009E676E">
      <w:pPr>
        <w:rPr>
          <w:sz w:val="22"/>
          <w:szCs w:val="22"/>
        </w:rPr>
      </w:pPr>
      <w:r w:rsidRPr="009C5EFD">
        <w:rPr>
          <w:sz w:val="22"/>
          <w:szCs w:val="22"/>
        </w:rPr>
        <w:t xml:space="preserve">Psoriasisstudie II (CHAMPION) sammenlignet effekt og sikkerhet av Humira </w:t>
      </w:r>
      <w:r w:rsidRPr="009C5EFD">
        <w:rPr>
          <w:i/>
          <w:sz w:val="22"/>
          <w:szCs w:val="22"/>
        </w:rPr>
        <w:t>versus</w:t>
      </w:r>
      <w:r w:rsidRPr="009C5EFD">
        <w:rPr>
          <w:sz w:val="22"/>
          <w:szCs w:val="22"/>
        </w:rPr>
        <w:t xml:space="preserve"> metotreksat og placebo hos 271 pasienter. Pasientene fikk enten placebo, en startdose på 7,5 mg metotreksat og deretter opptrapping av dosen frem til uke 12 med en maksimumsdose på 25 mg, eller en startdose på 80 mg Humira etterfulgt av 40 mg annenhver uke (starter en uke etter den første dosen) i 16 uker. Det finnes ingen data som sammenligner Humira og metotreksat utover 16 uker. Pasienter som fikk metotreksat og som oppnådde </w:t>
      </w:r>
      <w:r w:rsidRPr="007F67EE">
        <w:rPr>
          <w:rFonts w:ascii="Symbol" w:hAnsi="Symbol"/>
          <w:sz w:val="22"/>
          <w:szCs w:val="22"/>
        </w:rPr>
        <w:sym w:font="Symbol" w:char="F0B3"/>
      </w:r>
      <w:r w:rsidRPr="007F67EE">
        <w:rPr>
          <w:sz w:val="22"/>
          <w:szCs w:val="22"/>
        </w:rPr>
        <w:t xml:space="preserve"> PASI 50-respons ved uke 8 og/eller 12</w:t>
      </w:r>
      <w:r w:rsidRPr="00193D76">
        <w:rPr>
          <w:sz w:val="22"/>
          <w:szCs w:val="22"/>
        </w:rPr>
        <w:t>,</w:t>
      </w:r>
      <w:r w:rsidRPr="002D0790">
        <w:rPr>
          <w:sz w:val="22"/>
          <w:szCs w:val="22"/>
        </w:rPr>
        <w:t xml:space="preserve"> fikk ingen ytterligere doseøkning. </w:t>
      </w:r>
      <w:r w:rsidRPr="00E14E58">
        <w:rPr>
          <w:sz w:val="22"/>
          <w:szCs w:val="22"/>
        </w:rPr>
        <w:t>På tvers av</w:t>
      </w:r>
      <w:r w:rsidRPr="009C5EFD">
        <w:rPr>
          <w:sz w:val="22"/>
          <w:szCs w:val="22"/>
        </w:rPr>
        <w:t xml:space="preserve"> alle behandlingsgrupper var den gjennomsnittlige PASI score 19,7 ved behandlingsstart, og PGA score var klassifisert fra </w:t>
      </w:r>
      <w:r w:rsidR="00D57009">
        <w:rPr>
          <w:sz w:val="22"/>
          <w:szCs w:val="22"/>
        </w:rPr>
        <w:t>«</w:t>
      </w:r>
      <w:r w:rsidRPr="009C5EFD">
        <w:rPr>
          <w:sz w:val="22"/>
          <w:szCs w:val="22"/>
        </w:rPr>
        <w:t>mild</w:t>
      </w:r>
      <w:r w:rsidR="00D57009">
        <w:rPr>
          <w:sz w:val="22"/>
          <w:szCs w:val="22"/>
        </w:rPr>
        <w:t>»</w:t>
      </w:r>
      <w:r w:rsidRPr="009C5EFD">
        <w:rPr>
          <w:sz w:val="22"/>
          <w:szCs w:val="22"/>
        </w:rPr>
        <w:t xml:space="preserve"> (&lt; 1 %) til </w:t>
      </w:r>
      <w:r w:rsidR="00D57009">
        <w:rPr>
          <w:sz w:val="22"/>
          <w:szCs w:val="22"/>
        </w:rPr>
        <w:t>«</w:t>
      </w:r>
      <w:r w:rsidRPr="009C5EFD">
        <w:rPr>
          <w:sz w:val="22"/>
          <w:szCs w:val="22"/>
        </w:rPr>
        <w:t>moderat</w:t>
      </w:r>
      <w:r w:rsidR="00D57009">
        <w:rPr>
          <w:sz w:val="22"/>
          <w:szCs w:val="22"/>
        </w:rPr>
        <w:t>»</w:t>
      </w:r>
      <w:r w:rsidRPr="009C5EFD">
        <w:rPr>
          <w:sz w:val="22"/>
          <w:szCs w:val="22"/>
        </w:rPr>
        <w:t xml:space="preserve"> (48 %) til </w:t>
      </w:r>
      <w:r w:rsidR="00D57009">
        <w:rPr>
          <w:sz w:val="22"/>
          <w:szCs w:val="22"/>
        </w:rPr>
        <w:t>«</w:t>
      </w:r>
      <w:r w:rsidRPr="009C5EFD">
        <w:rPr>
          <w:sz w:val="22"/>
          <w:szCs w:val="22"/>
        </w:rPr>
        <w:t>alvorlig</w:t>
      </w:r>
      <w:r w:rsidR="00D57009">
        <w:rPr>
          <w:sz w:val="22"/>
          <w:szCs w:val="22"/>
        </w:rPr>
        <w:t>»</w:t>
      </w:r>
      <w:r w:rsidRPr="009C5EFD">
        <w:rPr>
          <w:sz w:val="22"/>
          <w:szCs w:val="22"/>
        </w:rPr>
        <w:t xml:space="preserve"> (46 %) eller </w:t>
      </w:r>
      <w:r w:rsidR="00D57009">
        <w:rPr>
          <w:sz w:val="22"/>
          <w:szCs w:val="22"/>
        </w:rPr>
        <w:t>«</w:t>
      </w:r>
      <w:r w:rsidRPr="009C5EFD">
        <w:rPr>
          <w:sz w:val="22"/>
          <w:szCs w:val="22"/>
        </w:rPr>
        <w:t>svært alvorlig</w:t>
      </w:r>
      <w:r w:rsidR="00D57009">
        <w:rPr>
          <w:sz w:val="22"/>
          <w:szCs w:val="22"/>
        </w:rPr>
        <w:t>»</w:t>
      </w:r>
      <w:r w:rsidRPr="009C5EFD">
        <w:rPr>
          <w:sz w:val="22"/>
          <w:szCs w:val="22"/>
        </w:rPr>
        <w:t xml:space="preserve"> (6 %).</w:t>
      </w:r>
    </w:p>
    <w:p w14:paraId="2FCDA098" w14:textId="77777777" w:rsidR="009E676E" w:rsidRPr="009C5EFD" w:rsidRDefault="009E676E" w:rsidP="009E676E">
      <w:pPr>
        <w:rPr>
          <w:sz w:val="22"/>
          <w:szCs w:val="22"/>
        </w:rPr>
      </w:pPr>
    </w:p>
    <w:p w14:paraId="7E96BA16" w14:textId="77777777" w:rsidR="009E676E" w:rsidRPr="009C5EFD" w:rsidRDefault="00E453CD" w:rsidP="009E676E">
      <w:pPr>
        <w:rPr>
          <w:sz w:val="22"/>
          <w:szCs w:val="22"/>
        </w:rPr>
      </w:pPr>
      <w:r w:rsidRPr="009C5EFD">
        <w:rPr>
          <w:sz w:val="22"/>
          <w:szCs w:val="22"/>
        </w:rPr>
        <w:t>Pasientene som deltok i alle fase 2 og fase 3 psoriasisstudier var kvalifiserte til å delta i en åpen forlengelsesstudie, hvor Humira ble gitt i en tilleggsperiode på minst 108 uker.</w:t>
      </w:r>
    </w:p>
    <w:p w14:paraId="776DDA25" w14:textId="77777777" w:rsidR="009E676E" w:rsidRPr="009C5EFD" w:rsidRDefault="009E676E" w:rsidP="009E676E">
      <w:pPr>
        <w:rPr>
          <w:sz w:val="22"/>
          <w:szCs w:val="22"/>
        </w:rPr>
      </w:pPr>
    </w:p>
    <w:p w14:paraId="4C56BCE5" w14:textId="77777777" w:rsidR="009E676E" w:rsidRPr="009C5EFD" w:rsidRDefault="00E453CD" w:rsidP="009E676E">
      <w:pPr>
        <w:rPr>
          <w:sz w:val="22"/>
          <w:szCs w:val="22"/>
        </w:rPr>
      </w:pPr>
      <w:r w:rsidRPr="009C5EFD">
        <w:rPr>
          <w:sz w:val="22"/>
          <w:szCs w:val="22"/>
        </w:rPr>
        <w:t xml:space="preserve">I psoriasisstudiene I og II var et primærendepunkt andel pasienter som oppnådde PASI 75-respons fra behandlingsstart til uke 16 (se tabellene </w:t>
      </w:r>
      <w:r w:rsidR="003F5EAC">
        <w:rPr>
          <w:sz w:val="22"/>
          <w:szCs w:val="22"/>
        </w:rPr>
        <w:t>9</w:t>
      </w:r>
      <w:r w:rsidR="003F5EAC" w:rsidRPr="009C5EFD">
        <w:rPr>
          <w:sz w:val="22"/>
          <w:szCs w:val="22"/>
        </w:rPr>
        <w:t xml:space="preserve"> </w:t>
      </w:r>
      <w:r w:rsidRPr="009C5EFD">
        <w:rPr>
          <w:sz w:val="22"/>
          <w:szCs w:val="22"/>
        </w:rPr>
        <w:t xml:space="preserve">og </w:t>
      </w:r>
      <w:r w:rsidR="003F5EAC">
        <w:rPr>
          <w:sz w:val="22"/>
          <w:szCs w:val="22"/>
        </w:rPr>
        <w:t>10</w:t>
      </w:r>
      <w:r w:rsidRPr="009C5EFD">
        <w:rPr>
          <w:sz w:val="22"/>
          <w:szCs w:val="22"/>
        </w:rPr>
        <w:t xml:space="preserve">). </w:t>
      </w:r>
    </w:p>
    <w:p w14:paraId="369975FB" w14:textId="77777777" w:rsidR="009E676E" w:rsidRPr="009C5EFD" w:rsidRDefault="009E676E" w:rsidP="009E676E">
      <w:pPr>
        <w:pStyle w:val="DefaultText"/>
        <w:rPr>
          <w:rFonts w:ascii="Times New Roman" w:hAnsi="Times New Roman"/>
          <w:szCs w:val="22"/>
          <w:lang w:val="nb-NO"/>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4644D4" w14:paraId="3AB6ED37" w14:textId="77777777" w:rsidTr="00FD5FF1">
        <w:trPr>
          <w:cantSplit/>
          <w:jc w:val="center"/>
        </w:trPr>
        <w:tc>
          <w:tcPr>
            <w:tcW w:w="6949" w:type="dxa"/>
            <w:gridSpan w:val="3"/>
            <w:tcBorders>
              <w:top w:val="nil"/>
              <w:left w:val="nil"/>
              <w:bottom w:val="single" w:sz="4" w:space="0" w:color="auto"/>
              <w:right w:val="nil"/>
            </w:tcBorders>
          </w:tcPr>
          <w:p w14:paraId="38500164" w14:textId="77777777" w:rsidR="009E676E" w:rsidRPr="00DA6326" w:rsidRDefault="00E453CD" w:rsidP="00FD5FF1">
            <w:pPr>
              <w:pStyle w:val="DefaultText"/>
              <w:keepNext/>
              <w:ind w:left="57"/>
              <w:jc w:val="center"/>
              <w:rPr>
                <w:rFonts w:ascii="Times New Roman" w:hAnsi="Times New Roman"/>
                <w:b/>
                <w:bCs w:val="0"/>
                <w:szCs w:val="22"/>
                <w:lang w:val="nn-NO"/>
              </w:rPr>
            </w:pPr>
            <w:r w:rsidRPr="00DA6326">
              <w:rPr>
                <w:rFonts w:ascii="Times New Roman" w:hAnsi="Times New Roman"/>
                <w:b/>
                <w:bCs w:val="0"/>
                <w:szCs w:val="22"/>
                <w:lang w:val="nn-NO"/>
              </w:rPr>
              <w:t xml:space="preserve">Tabell </w:t>
            </w:r>
            <w:r w:rsidR="003F5EAC">
              <w:rPr>
                <w:rFonts w:ascii="Times New Roman" w:hAnsi="Times New Roman"/>
                <w:b/>
                <w:bCs w:val="0"/>
                <w:szCs w:val="22"/>
                <w:lang w:val="nn-NO"/>
              </w:rPr>
              <w:t>9</w:t>
            </w:r>
          </w:p>
          <w:p w14:paraId="70521FAF" w14:textId="77777777" w:rsidR="009E676E" w:rsidRPr="00DA6326" w:rsidRDefault="00E453CD" w:rsidP="00FD5FF1">
            <w:pPr>
              <w:pStyle w:val="DefaultText"/>
              <w:keepNext/>
              <w:ind w:left="57"/>
              <w:jc w:val="center"/>
              <w:rPr>
                <w:rFonts w:ascii="Times New Roman" w:hAnsi="Times New Roman"/>
                <w:b/>
                <w:bCs w:val="0"/>
                <w:szCs w:val="22"/>
                <w:lang w:val="nn-NO"/>
              </w:rPr>
            </w:pPr>
            <w:r w:rsidRPr="00DA6326">
              <w:rPr>
                <w:rFonts w:ascii="Times New Roman" w:hAnsi="Times New Roman"/>
                <w:b/>
                <w:bCs w:val="0"/>
                <w:szCs w:val="22"/>
                <w:lang w:val="nn-NO"/>
              </w:rPr>
              <w:t>Psoriasis Studie I (REVEAL)</w:t>
            </w:r>
          </w:p>
          <w:p w14:paraId="19966BEC" w14:textId="77777777" w:rsidR="009E676E" w:rsidRPr="009C5EFD" w:rsidRDefault="00E453CD" w:rsidP="00FD5FF1">
            <w:pPr>
              <w:pStyle w:val="DefaultText"/>
              <w:keepNext/>
              <w:ind w:left="57"/>
              <w:jc w:val="center"/>
              <w:rPr>
                <w:rFonts w:ascii="Times New Roman" w:hAnsi="Times New Roman"/>
                <w:b/>
                <w:bCs w:val="0"/>
                <w:szCs w:val="22"/>
                <w:u w:val="single"/>
                <w:lang w:val="nb-NO"/>
              </w:rPr>
            </w:pPr>
            <w:r>
              <w:rPr>
                <w:rFonts w:ascii="Times New Roman" w:hAnsi="Times New Roman"/>
                <w:b/>
                <w:bCs w:val="0"/>
                <w:szCs w:val="22"/>
                <w:lang w:val="nb-NO"/>
              </w:rPr>
              <w:t>Effektresultater</w:t>
            </w:r>
            <w:r w:rsidRPr="009C5EFD">
              <w:rPr>
                <w:rFonts w:ascii="Times New Roman" w:hAnsi="Times New Roman"/>
                <w:b/>
                <w:bCs w:val="0"/>
                <w:szCs w:val="22"/>
                <w:lang w:val="nb-NO"/>
              </w:rPr>
              <w:t xml:space="preserve"> ved uke 16 </w:t>
            </w:r>
          </w:p>
        </w:tc>
      </w:tr>
      <w:tr w:rsidR="004644D4" w14:paraId="74077E78" w14:textId="77777777" w:rsidTr="00FD5FF1">
        <w:trPr>
          <w:cantSplit/>
          <w:jc w:val="center"/>
        </w:trPr>
        <w:tc>
          <w:tcPr>
            <w:tcW w:w="2977" w:type="dxa"/>
            <w:tcBorders>
              <w:top w:val="single" w:sz="4" w:space="0" w:color="auto"/>
            </w:tcBorders>
            <w:vAlign w:val="center"/>
          </w:tcPr>
          <w:p w14:paraId="16B71E77" w14:textId="77777777" w:rsidR="009E676E" w:rsidRPr="007F67EE" w:rsidRDefault="009E676E" w:rsidP="00FD5FF1">
            <w:pPr>
              <w:pStyle w:val="DefaultText"/>
              <w:keepNext/>
              <w:ind w:left="57"/>
              <w:rPr>
                <w:rFonts w:ascii="Times New Roman" w:hAnsi="Times New Roman"/>
                <w:bCs w:val="0"/>
                <w:szCs w:val="22"/>
                <w:lang w:val="nb-NO"/>
              </w:rPr>
            </w:pPr>
          </w:p>
        </w:tc>
        <w:tc>
          <w:tcPr>
            <w:tcW w:w="1620" w:type="dxa"/>
            <w:tcBorders>
              <w:top w:val="single" w:sz="4" w:space="0" w:color="auto"/>
            </w:tcBorders>
            <w:vAlign w:val="center"/>
          </w:tcPr>
          <w:p w14:paraId="0A1879A6" w14:textId="77777777" w:rsidR="009E676E" w:rsidRPr="00193D76" w:rsidRDefault="00E453CD" w:rsidP="00FD5FF1">
            <w:pPr>
              <w:pStyle w:val="DefaultText"/>
              <w:keepNext/>
              <w:ind w:left="57"/>
              <w:jc w:val="center"/>
              <w:rPr>
                <w:rFonts w:ascii="Times New Roman" w:hAnsi="Times New Roman"/>
                <w:b/>
                <w:bCs w:val="0"/>
                <w:szCs w:val="22"/>
                <w:lang w:val="nb-NO"/>
              </w:rPr>
            </w:pPr>
            <w:r w:rsidRPr="00193D76">
              <w:rPr>
                <w:rFonts w:ascii="Times New Roman" w:hAnsi="Times New Roman"/>
                <w:b/>
                <w:bCs w:val="0"/>
                <w:szCs w:val="22"/>
                <w:lang w:val="nb-NO"/>
              </w:rPr>
              <w:t>Placebo</w:t>
            </w:r>
          </w:p>
          <w:p w14:paraId="67FF948B" w14:textId="77777777" w:rsidR="009E676E" w:rsidRPr="002D0790" w:rsidRDefault="00E453CD" w:rsidP="00FD5FF1">
            <w:pPr>
              <w:pStyle w:val="DefaultText"/>
              <w:keepNext/>
              <w:ind w:left="57"/>
              <w:jc w:val="center"/>
              <w:rPr>
                <w:rFonts w:ascii="Times New Roman" w:hAnsi="Times New Roman"/>
                <w:b/>
                <w:bCs w:val="0"/>
                <w:szCs w:val="22"/>
                <w:lang w:val="nb-NO"/>
              </w:rPr>
            </w:pPr>
            <w:r w:rsidRPr="002D0790">
              <w:rPr>
                <w:rFonts w:ascii="Times New Roman" w:hAnsi="Times New Roman"/>
                <w:b/>
                <w:bCs w:val="0"/>
                <w:szCs w:val="22"/>
                <w:lang w:val="nb-NO"/>
              </w:rPr>
              <w:t>N=398</w:t>
            </w:r>
          </w:p>
          <w:p w14:paraId="52F27E06" w14:textId="77777777" w:rsidR="009E676E" w:rsidRPr="002D0790" w:rsidRDefault="00E453CD" w:rsidP="00FD5FF1">
            <w:pPr>
              <w:pStyle w:val="DefaultText"/>
              <w:keepNext/>
              <w:ind w:left="57"/>
              <w:jc w:val="center"/>
              <w:rPr>
                <w:rFonts w:ascii="Times New Roman" w:hAnsi="Times New Roman"/>
                <w:b/>
                <w:bCs w:val="0"/>
                <w:szCs w:val="22"/>
                <w:lang w:val="nb-NO"/>
              </w:rPr>
            </w:pPr>
            <w:r w:rsidRPr="002D0790">
              <w:rPr>
                <w:rFonts w:ascii="Times New Roman" w:hAnsi="Times New Roman"/>
                <w:b/>
                <w:bCs w:val="0"/>
                <w:szCs w:val="22"/>
                <w:lang w:val="nb-NO"/>
              </w:rPr>
              <w:t>n (%)</w:t>
            </w:r>
          </w:p>
        </w:tc>
        <w:tc>
          <w:tcPr>
            <w:tcW w:w="2352" w:type="dxa"/>
            <w:tcBorders>
              <w:top w:val="single" w:sz="4" w:space="0" w:color="auto"/>
            </w:tcBorders>
            <w:vAlign w:val="center"/>
          </w:tcPr>
          <w:p w14:paraId="3BD98ABD" w14:textId="77777777" w:rsidR="009E676E" w:rsidRPr="009C5EFD" w:rsidRDefault="00E453CD" w:rsidP="00FD5FF1">
            <w:pPr>
              <w:pStyle w:val="DefaultText"/>
              <w:ind w:left="54"/>
              <w:jc w:val="center"/>
              <w:rPr>
                <w:rFonts w:ascii="Times New Roman" w:hAnsi="Times New Roman"/>
                <w:b/>
                <w:bCs w:val="0"/>
                <w:szCs w:val="22"/>
                <w:lang w:val="nb-NO"/>
              </w:rPr>
            </w:pPr>
            <w:r w:rsidRPr="00E14E58">
              <w:rPr>
                <w:rFonts w:ascii="Times New Roman" w:hAnsi="Times New Roman"/>
                <w:b/>
                <w:bCs w:val="0"/>
                <w:szCs w:val="22"/>
                <w:lang w:val="nb-NO"/>
              </w:rPr>
              <w:t xml:space="preserve">Humira 40 mg </w:t>
            </w:r>
            <w:r w:rsidRPr="009C5EFD">
              <w:rPr>
                <w:rFonts w:ascii="Times New Roman" w:hAnsi="Times New Roman"/>
                <w:b/>
                <w:bCs w:val="0"/>
                <w:szCs w:val="22"/>
                <w:lang w:val="nb-NO"/>
              </w:rPr>
              <w:t>annenhver uke</w:t>
            </w:r>
          </w:p>
          <w:p w14:paraId="23AC5758"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N=814</w:t>
            </w:r>
          </w:p>
          <w:p w14:paraId="259F86EA"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r>
      <w:tr w:rsidR="004644D4" w14:paraId="080C18C2" w14:textId="77777777" w:rsidTr="00FD5FF1">
        <w:trPr>
          <w:cantSplit/>
          <w:jc w:val="center"/>
        </w:trPr>
        <w:tc>
          <w:tcPr>
            <w:tcW w:w="2977" w:type="dxa"/>
          </w:tcPr>
          <w:p w14:paraId="5E8BBC06" w14:textId="77777777" w:rsidR="009E676E" w:rsidRPr="002D0790" w:rsidRDefault="00E453CD" w:rsidP="00FD5FF1">
            <w:pPr>
              <w:pStyle w:val="DefaultText"/>
              <w:keepNext/>
              <w:ind w:left="57"/>
              <w:rPr>
                <w:rFonts w:ascii="Times New Roman" w:hAnsi="Times New Roman"/>
                <w:b/>
                <w:bCs w:val="0"/>
                <w:szCs w:val="22"/>
                <w:lang w:val="nb-NO"/>
              </w:rPr>
            </w:pPr>
            <w:r w:rsidRPr="007F67EE">
              <w:rPr>
                <w:rFonts w:ascii="Times New Roman" w:hAnsi="Times New Roman"/>
                <w:b/>
                <w:bCs w:val="0"/>
                <w:szCs w:val="22"/>
                <w:lang w:val="nb-NO"/>
              </w:rPr>
              <w:t xml:space="preserve">    </w:t>
            </w:r>
            <w:r w:rsidRPr="007F67EE">
              <w:rPr>
                <w:rFonts w:ascii="Symbol" w:hAnsi="Symbol"/>
                <w:b/>
                <w:bCs w:val="0"/>
                <w:szCs w:val="22"/>
                <w:lang w:val="nb-NO"/>
              </w:rPr>
              <w:sym w:font="Symbol" w:char="F0B3"/>
            </w:r>
            <w:r w:rsidRPr="007F67EE">
              <w:rPr>
                <w:rFonts w:ascii="Times New Roman" w:hAnsi="Times New Roman"/>
                <w:b/>
                <w:bCs w:val="0"/>
                <w:szCs w:val="22"/>
                <w:lang w:val="nb-NO"/>
              </w:rPr>
              <w:t> </w:t>
            </w:r>
            <w:r w:rsidRPr="00193D76">
              <w:rPr>
                <w:rFonts w:ascii="Times New Roman" w:hAnsi="Times New Roman"/>
                <w:b/>
                <w:bCs w:val="0"/>
                <w:szCs w:val="22"/>
                <w:lang w:val="nb-NO"/>
              </w:rPr>
              <w:t>PASI 75</w:t>
            </w:r>
            <w:r w:rsidRPr="002D0790">
              <w:rPr>
                <w:rFonts w:ascii="Times New Roman" w:hAnsi="Times New Roman"/>
                <w:b/>
                <w:bCs w:val="0"/>
                <w:szCs w:val="22"/>
                <w:vertAlign w:val="superscript"/>
                <w:lang w:val="nb-NO"/>
              </w:rPr>
              <w:t>a</w:t>
            </w:r>
          </w:p>
        </w:tc>
        <w:tc>
          <w:tcPr>
            <w:tcW w:w="1620" w:type="dxa"/>
          </w:tcPr>
          <w:p w14:paraId="31B92AE4" w14:textId="77777777" w:rsidR="009E676E" w:rsidRPr="00E14E58" w:rsidRDefault="00E453CD" w:rsidP="00FD5FF1">
            <w:pPr>
              <w:pStyle w:val="DefaultText"/>
              <w:keepNext/>
              <w:ind w:left="57"/>
              <w:jc w:val="center"/>
              <w:rPr>
                <w:rFonts w:ascii="Times New Roman" w:hAnsi="Times New Roman"/>
                <w:szCs w:val="22"/>
                <w:lang w:val="nb-NO"/>
              </w:rPr>
            </w:pPr>
            <w:r w:rsidRPr="00E14E58">
              <w:rPr>
                <w:rFonts w:ascii="Times New Roman" w:hAnsi="Times New Roman"/>
                <w:szCs w:val="22"/>
                <w:lang w:val="nb-NO"/>
              </w:rPr>
              <w:t>26 (6,5)</w:t>
            </w:r>
          </w:p>
        </w:tc>
        <w:tc>
          <w:tcPr>
            <w:tcW w:w="2352" w:type="dxa"/>
          </w:tcPr>
          <w:p w14:paraId="27AF3835"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578 (70,9)</w:t>
            </w:r>
            <w:r w:rsidRPr="009C5EFD">
              <w:rPr>
                <w:rFonts w:ascii="Times New Roman" w:hAnsi="Times New Roman"/>
                <w:szCs w:val="22"/>
                <w:vertAlign w:val="superscript"/>
                <w:lang w:val="nb-NO"/>
              </w:rPr>
              <w:t>b</w:t>
            </w:r>
          </w:p>
        </w:tc>
      </w:tr>
      <w:tr w:rsidR="004644D4" w14:paraId="30A7845F" w14:textId="77777777" w:rsidTr="00FD5FF1">
        <w:trPr>
          <w:cantSplit/>
          <w:trHeight w:val="70"/>
          <w:jc w:val="center"/>
        </w:trPr>
        <w:tc>
          <w:tcPr>
            <w:tcW w:w="2977" w:type="dxa"/>
          </w:tcPr>
          <w:p w14:paraId="531E733D" w14:textId="77777777" w:rsidR="009E676E" w:rsidRPr="007F67EE" w:rsidRDefault="00E453CD" w:rsidP="00FD5FF1">
            <w:pPr>
              <w:pStyle w:val="DefaultText"/>
              <w:keepNext/>
              <w:ind w:left="57"/>
              <w:rPr>
                <w:rFonts w:ascii="Times New Roman" w:hAnsi="Times New Roman"/>
                <w:b/>
                <w:bCs w:val="0"/>
                <w:szCs w:val="22"/>
                <w:lang w:val="nb-NO"/>
              </w:rPr>
            </w:pPr>
            <w:r w:rsidRPr="007F67EE">
              <w:rPr>
                <w:rFonts w:ascii="Times New Roman" w:hAnsi="Times New Roman"/>
                <w:b/>
                <w:bCs w:val="0"/>
                <w:szCs w:val="22"/>
                <w:lang w:val="nb-NO"/>
              </w:rPr>
              <w:t xml:space="preserve">    PASI 100</w:t>
            </w:r>
          </w:p>
        </w:tc>
        <w:tc>
          <w:tcPr>
            <w:tcW w:w="1620" w:type="dxa"/>
          </w:tcPr>
          <w:p w14:paraId="5237BDCE" w14:textId="77777777" w:rsidR="009E676E" w:rsidRPr="00193D76" w:rsidRDefault="00E453CD" w:rsidP="00FD5FF1">
            <w:pPr>
              <w:pStyle w:val="DefaultText"/>
              <w:keepNext/>
              <w:ind w:left="57"/>
              <w:jc w:val="center"/>
              <w:rPr>
                <w:rFonts w:ascii="Times New Roman" w:hAnsi="Times New Roman"/>
                <w:szCs w:val="22"/>
                <w:lang w:val="nb-NO"/>
              </w:rPr>
            </w:pPr>
            <w:r w:rsidRPr="00193D76">
              <w:rPr>
                <w:rFonts w:ascii="Times New Roman" w:hAnsi="Times New Roman"/>
                <w:szCs w:val="22"/>
                <w:lang w:val="nb-NO"/>
              </w:rPr>
              <w:t>3 (0,8)</w:t>
            </w:r>
          </w:p>
        </w:tc>
        <w:tc>
          <w:tcPr>
            <w:tcW w:w="2352" w:type="dxa"/>
          </w:tcPr>
          <w:p w14:paraId="3F796F16" w14:textId="77777777" w:rsidR="009E676E" w:rsidRPr="00E14E58" w:rsidRDefault="00E453CD" w:rsidP="00FD5FF1">
            <w:pPr>
              <w:pStyle w:val="DefaultText"/>
              <w:ind w:left="54"/>
              <w:jc w:val="center"/>
              <w:rPr>
                <w:rFonts w:ascii="Times New Roman" w:hAnsi="Times New Roman"/>
                <w:szCs w:val="22"/>
                <w:lang w:val="nb-NO"/>
              </w:rPr>
            </w:pPr>
            <w:r w:rsidRPr="002D0790">
              <w:rPr>
                <w:rFonts w:ascii="Times New Roman" w:hAnsi="Times New Roman"/>
                <w:szCs w:val="22"/>
                <w:lang w:val="nb-NO"/>
              </w:rPr>
              <w:t>163 (20,0)</w:t>
            </w:r>
            <w:r w:rsidRPr="002D0790">
              <w:rPr>
                <w:rFonts w:ascii="Times New Roman" w:hAnsi="Times New Roman"/>
                <w:szCs w:val="22"/>
                <w:vertAlign w:val="superscript"/>
                <w:lang w:val="nb-NO"/>
              </w:rPr>
              <w:t>b</w:t>
            </w:r>
          </w:p>
        </w:tc>
      </w:tr>
      <w:tr w:rsidR="004644D4" w14:paraId="348D366B" w14:textId="77777777" w:rsidTr="00FD5FF1">
        <w:trPr>
          <w:cantSplit/>
          <w:jc w:val="center"/>
        </w:trPr>
        <w:tc>
          <w:tcPr>
            <w:tcW w:w="2977" w:type="dxa"/>
          </w:tcPr>
          <w:p w14:paraId="258E0123" w14:textId="77777777" w:rsidR="009E676E" w:rsidRPr="009C5EFD" w:rsidRDefault="00E453CD" w:rsidP="00FD5FF1">
            <w:pPr>
              <w:pStyle w:val="DefaultText"/>
              <w:keepNext/>
              <w:ind w:left="57"/>
              <w:rPr>
                <w:rFonts w:ascii="Times New Roman" w:hAnsi="Times New Roman"/>
                <w:b/>
                <w:bCs w:val="0"/>
                <w:szCs w:val="22"/>
                <w:lang w:val="nb-NO"/>
              </w:rPr>
            </w:pPr>
            <w:r w:rsidRPr="007F67EE">
              <w:rPr>
                <w:rFonts w:ascii="Times New Roman" w:hAnsi="Times New Roman"/>
                <w:b/>
                <w:bCs w:val="0"/>
                <w:szCs w:val="22"/>
                <w:lang w:val="nb-NO"/>
              </w:rPr>
              <w:t xml:space="preserve">    PGA: </w:t>
            </w:r>
            <w:r w:rsidR="009359D2">
              <w:rPr>
                <w:rFonts w:ascii="Times New Roman" w:hAnsi="Times New Roman"/>
                <w:b/>
                <w:bCs w:val="0"/>
                <w:szCs w:val="22"/>
                <w:lang w:val="nb-NO"/>
              </w:rPr>
              <w:t>«</w:t>
            </w:r>
            <w:r w:rsidRPr="002D0790">
              <w:rPr>
                <w:rFonts w:ascii="Times New Roman" w:hAnsi="Times New Roman"/>
                <w:b/>
                <w:bCs w:val="0"/>
                <w:szCs w:val="22"/>
                <w:lang w:val="nb-NO"/>
              </w:rPr>
              <w:t>Klar</w:t>
            </w:r>
            <w:r w:rsidR="009359D2">
              <w:rPr>
                <w:rFonts w:ascii="Times New Roman" w:hAnsi="Times New Roman"/>
                <w:b/>
                <w:bCs w:val="0"/>
                <w:szCs w:val="22"/>
                <w:lang w:val="nb-NO"/>
              </w:rPr>
              <w:t>»</w:t>
            </w:r>
            <w:r w:rsidRPr="00E14E58">
              <w:rPr>
                <w:rFonts w:ascii="Times New Roman" w:hAnsi="Times New Roman"/>
                <w:b/>
                <w:bCs w:val="0"/>
                <w:szCs w:val="22"/>
                <w:lang w:val="nb-NO"/>
              </w:rPr>
              <w:t>/minim</w:t>
            </w:r>
            <w:r w:rsidRPr="009C5EFD">
              <w:rPr>
                <w:rFonts w:ascii="Times New Roman" w:hAnsi="Times New Roman"/>
                <w:b/>
                <w:bCs w:val="0"/>
                <w:szCs w:val="22"/>
                <w:lang w:val="nb-NO"/>
              </w:rPr>
              <w:t>al</w:t>
            </w:r>
          </w:p>
        </w:tc>
        <w:tc>
          <w:tcPr>
            <w:tcW w:w="1620" w:type="dxa"/>
          </w:tcPr>
          <w:p w14:paraId="53CE6046" w14:textId="77777777" w:rsidR="009E676E" w:rsidRPr="009C5EFD" w:rsidRDefault="00E453CD" w:rsidP="00FD5FF1">
            <w:pPr>
              <w:pStyle w:val="DefaultText"/>
              <w:keepNext/>
              <w:ind w:left="57"/>
              <w:jc w:val="center"/>
              <w:rPr>
                <w:rFonts w:ascii="Times New Roman" w:hAnsi="Times New Roman"/>
                <w:szCs w:val="22"/>
                <w:lang w:val="nb-NO"/>
              </w:rPr>
            </w:pPr>
            <w:r w:rsidRPr="009C5EFD">
              <w:rPr>
                <w:rFonts w:ascii="Times New Roman" w:hAnsi="Times New Roman"/>
                <w:szCs w:val="22"/>
                <w:lang w:val="nb-NO"/>
              </w:rPr>
              <w:t>17 (4,3)</w:t>
            </w:r>
          </w:p>
        </w:tc>
        <w:tc>
          <w:tcPr>
            <w:tcW w:w="2352" w:type="dxa"/>
          </w:tcPr>
          <w:p w14:paraId="2F503EFD"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506 (62,2)</w:t>
            </w:r>
            <w:r w:rsidRPr="009C5EFD">
              <w:rPr>
                <w:rFonts w:ascii="Times New Roman" w:hAnsi="Times New Roman"/>
                <w:szCs w:val="22"/>
                <w:vertAlign w:val="superscript"/>
                <w:lang w:val="nb-NO"/>
              </w:rPr>
              <w:t>b</w:t>
            </w:r>
          </w:p>
        </w:tc>
      </w:tr>
      <w:tr w:rsidR="004644D4" w:rsidRPr="00090EDA" w14:paraId="34E4D80A" w14:textId="77777777" w:rsidTr="00FD5FF1">
        <w:trPr>
          <w:cantSplit/>
          <w:jc w:val="center"/>
        </w:trPr>
        <w:tc>
          <w:tcPr>
            <w:tcW w:w="6949" w:type="dxa"/>
            <w:gridSpan w:val="3"/>
          </w:tcPr>
          <w:p w14:paraId="286D7DCA" w14:textId="77777777" w:rsidR="009E676E" w:rsidRPr="002D0790" w:rsidRDefault="00E453CD" w:rsidP="00FD5FF1">
            <w:pPr>
              <w:pStyle w:val="DefaultText"/>
              <w:keepNext/>
              <w:ind w:left="57"/>
              <w:rPr>
                <w:rFonts w:ascii="Times New Roman" w:hAnsi="Times New Roman"/>
                <w:szCs w:val="22"/>
                <w:lang w:val="nb-NO"/>
              </w:rPr>
            </w:pPr>
            <w:r w:rsidRPr="007F67EE">
              <w:rPr>
                <w:rFonts w:ascii="Times New Roman" w:hAnsi="Times New Roman"/>
                <w:szCs w:val="22"/>
                <w:vertAlign w:val="superscript"/>
                <w:lang w:val="nb-NO"/>
              </w:rPr>
              <w:t>a</w:t>
            </w:r>
            <w:r w:rsidRPr="00193D76">
              <w:rPr>
                <w:rFonts w:ascii="Times New Roman" w:hAnsi="Times New Roman"/>
                <w:szCs w:val="22"/>
                <w:lang w:val="nb-NO"/>
              </w:rPr>
              <w:t xml:space="preserve"> Prosent av p</w:t>
            </w:r>
            <w:r w:rsidRPr="002D0790">
              <w:rPr>
                <w:rFonts w:ascii="Times New Roman" w:hAnsi="Times New Roman"/>
                <w:szCs w:val="22"/>
                <w:lang w:val="nb-NO"/>
              </w:rPr>
              <w:t>asienter som oppnådde PASI 75-respons ble regnet som senterjustert rate</w:t>
            </w:r>
          </w:p>
          <w:p w14:paraId="0B7F7CD6" w14:textId="77777777" w:rsidR="009E676E" w:rsidRPr="009C5EFD" w:rsidRDefault="00E453CD" w:rsidP="00FD5FF1">
            <w:pPr>
              <w:pStyle w:val="DefaultText"/>
              <w:keepNext/>
              <w:ind w:left="57"/>
              <w:rPr>
                <w:rFonts w:ascii="Times New Roman" w:hAnsi="Times New Roman"/>
                <w:szCs w:val="22"/>
              </w:rPr>
            </w:pPr>
            <w:r w:rsidRPr="002D0790">
              <w:rPr>
                <w:rFonts w:ascii="Times New Roman" w:hAnsi="Times New Roman"/>
                <w:szCs w:val="22"/>
                <w:vertAlign w:val="superscript"/>
              </w:rPr>
              <w:t>b</w:t>
            </w:r>
            <w:r w:rsidRPr="00E14E58">
              <w:rPr>
                <w:rFonts w:ascii="Times New Roman" w:hAnsi="Times New Roman"/>
                <w:szCs w:val="22"/>
              </w:rPr>
              <w:t xml:space="preserve"> p</w:t>
            </w:r>
            <w:r w:rsidRPr="009C5EFD">
              <w:rPr>
                <w:rFonts w:ascii="Times New Roman" w:hAnsi="Times New Roman"/>
                <w:szCs w:val="22"/>
              </w:rPr>
              <w:t xml:space="preserve"> &lt; 0,001, Humira </w:t>
            </w:r>
            <w:r w:rsidRPr="009C5EFD">
              <w:rPr>
                <w:rFonts w:ascii="Times New Roman" w:hAnsi="Times New Roman"/>
                <w:i/>
                <w:szCs w:val="22"/>
              </w:rPr>
              <w:t>versus</w:t>
            </w:r>
            <w:r w:rsidRPr="009C5EFD">
              <w:rPr>
                <w:rFonts w:ascii="Times New Roman" w:hAnsi="Times New Roman"/>
                <w:szCs w:val="22"/>
              </w:rPr>
              <w:t xml:space="preserve"> placebo</w:t>
            </w:r>
          </w:p>
        </w:tc>
      </w:tr>
    </w:tbl>
    <w:p w14:paraId="4A40B73F" w14:textId="77777777" w:rsidR="009E676E" w:rsidRPr="002D0790" w:rsidRDefault="009E676E" w:rsidP="009E676E">
      <w:pPr>
        <w:rPr>
          <w:lang w:val="en-US"/>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4"/>
        <w:gridCol w:w="1563"/>
        <w:gridCol w:w="1419"/>
        <w:gridCol w:w="2290"/>
      </w:tblGrid>
      <w:tr w:rsidR="004644D4" w14:paraId="07408E57" w14:textId="77777777" w:rsidTr="00FD5FF1">
        <w:trPr>
          <w:cantSplit/>
          <w:jc w:val="center"/>
        </w:trPr>
        <w:tc>
          <w:tcPr>
            <w:tcW w:w="7046" w:type="dxa"/>
            <w:gridSpan w:val="4"/>
            <w:tcBorders>
              <w:top w:val="nil"/>
              <w:left w:val="nil"/>
              <w:bottom w:val="single" w:sz="4" w:space="0" w:color="auto"/>
              <w:right w:val="nil"/>
            </w:tcBorders>
          </w:tcPr>
          <w:p w14:paraId="2FC2CDE5" w14:textId="77777777" w:rsidR="009E676E" w:rsidRPr="003F000C" w:rsidRDefault="00E453CD" w:rsidP="00776A84">
            <w:pPr>
              <w:pStyle w:val="DefaultText"/>
              <w:keepNext/>
              <w:ind w:left="57"/>
              <w:jc w:val="center"/>
              <w:rPr>
                <w:rFonts w:ascii="Times New Roman" w:hAnsi="Times New Roman"/>
                <w:b/>
                <w:szCs w:val="22"/>
                <w:lang w:val="sv-SE"/>
              </w:rPr>
            </w:pPr>
            <w:r w:rsidRPr="003F000C">
              <w:rPr>
                <w:rFonts w:ascii="Times New Roman" w:hAnsi="Times New Roman"/>
                <w:b/>
                <w:szCs w:val="22"/>
                <w:lang w:val="sv-SE"/>
              </w:rPr>
              <w:t xml:space="preserve">Tabell </w:t>
            </w:r>
            <w:r w:rsidR="003F5EAC" w:rsidRPr="003F000C">
              <w:rPr>
                <w:rFonts w:ascii="Times New Roman" w:hAnsi="Times New Roman"/>
                <w:b/>
                <w:szCs w:val="22"/>
                <w:lang w:val="sv-SE"/>
              </w:rPr>
              <w:t>10</w:t>
            </w:r>
          </w:p>
          <w:p w14:paraId="5F619425" w14:textId="77777777" w:rsidR="009E676E" w:rsidRPr="003F000C" w:rsidRDefault="00E453CD" w:rsidP="00776A84">
            <w:pPr>
              <w:pStyle w:val="DefaultText"/>
              <w:keepNext/>
              <w:ind w:left="57"/>
              <w:jc w:val="center"/>
              <w:rPr>
                <w:rFonts w:ascii="Times New Roman" w:hAnsi="Times New Roman"/>
                <w:b/>
                <w:szCs w:val="22"/>
                <w:lang w:val="sv-SE"/>
              </w:rPr>
            </w:pPr>
            <w:r w:rsidRPr="003F000C">
              <w:rPr>
                <w:rFonts w:ascii="Times New Roman" w:hAnsi="Times New Roman"/>
                <w:b/>
                <w:szCs w:val="22"/>
                <w:lang w:val="sv-SE"/>
              </w:rPr>
              <w:t>Psoriasis Studie II (CHAMPION)</w:t>
            </w:r>
          </w:p>
          <w:p w14:paraId="3D7D33FF" w14:textId="77777777" w:rsidR="009E676E" w:rsidRPr="009C5EFD" w:rsidRDefault="00E453CD" w:rsidP="00776A84">
            <w:pPr>
              <w:pStyle w:val="DefaultText"/>
              <w:keepNext/>
              <w:ind w:left="57"/>
              <w:jc w:val="center"/>
              <w:rPr>
                <w:rFonts w:ascii="Times New Roman" w:hAnsi="Times New Roman"/>
                <w:szCs w:val="22"/>
                <w:u w:val="single"/>
                <w:lang w:val="nb-NO"/>
              </w:rPr>
            </w:pPr>
            <w:r>
              <w:rPr>
                <w:rFonts w:ascii="Times New Roman" w:hAnsi="Times New Roman"/>
                <w:b/>
                <w:bCs w:val="0"/>
                <w:szCs w:val="22"/>
                <w:lang w:val="nb-NO"/>
              </w:rPr>
              <w:t>Effektresultater</w:t>
            </w:r>
            <w:r w:rsidRPr="009C5EFD">
              <w:rPr>
                <w:rFonts w:ascii="Times New Roman" w:hAnsi="Times New Roman"/>
                <w:b/>
                <w:bCs w:val="0"/>
                <w:szCs w:val="22"/>
                <w:lang w:val="nb-NO"/>
              </w:rPr>
              <w:t xml:space="preserve"> ved uke 16</w:t>
            </w:r>
          </w:p>
        </w:tc>
      </w:tr>
      <w:tr w:rsidR="004644D4" w14:paraId="44EFBFB5" w14:textId="77777777" w:rsidTr="00FD5FF1">
        <w:trPr>
          <w:cantSplit/>
          <w:jc w:val="center"/>
        </w:trPr>
        <w:tc>
          <w:tcPr>
            <w:tcW w:w="1691" w:type="dxa"/>
            <w:tcBorders>
              <w:top w:val="single" w:sz="4" w:space="0" w:color="auto"/>
            </w:tcBorders>
          </w:tcPr>
          <w:p w14:paraId="52A144C5" w14:textId="77777777" w:rsidR="009E676E" w:rsidRPr="007F67EE" w:rsidRDefault="009E676E" w:rsidP="00FD5FF1">
            <w:pPr>
              <w:pStyle w:val="DefaultText"/>
              <w:ind w:left="54"/>
              <w:jc w:val="center"/>
              <w:rPr>
                <w:rFonts w:ascii="Times New Roman" w:hAnsi="Times New Roman"/>
                <w:b/>
                <w:bCs w:val="0"/>
                <w:szCs w:val="22"/>
                <w:lang w:val="nb-NO"/>
              </w:rPr>
            </w:pPr>
          </w:p>
        </w:tc>
        <w:tc>
          <w:tcPr>
            <w:tcW w:w="1592" w:type="dxa"/>
            <w:tcBorders>
              <w:top w:val="single" w:sz="4" w:space="0" w:color="auto"/>
            </w:tcBorders>
            <w:vAlign w:val="center"/>
          </w:tcPr>
          <w:p w14:paraId="0FD81701" w14:textId="77777777" w:rsidR="009E676E" w:rsidRPr="00193D76" w:rsidRDefault="00E453CD" w:rsidP="00FD5FF1">
            <w:pPr>
              <w:pStyle w:val="DefaultText"/>
              <w:ind w:left="54"/>
              <w:jc w:val="center"/>
              <w:rPr>
                <w:rFonts w:ascii="Times New Roman" w:hAnsi="Times New Roman"/>
                <w:b/>
                <w:bCs w:val="0"/>
                <w:szCs w:val="22"/>
                <w:lang w:val="nb-NO"/>
              </w:rPr>
            </w:pPr>
            <w:r w:rsidRPr="00193D76">
              <w:rPr>
                <w:rFonts w:ascii="Times New Roman" w:hAnsi="Times New Roman"/>
                <w:b/>
                <w:bCs w:val="0"/>
                <w:szCs w:val="22"/>
                <w:lang w:val="nb-NO"/>
              </w:rPr>
              <w:t>Placebo</w:t>
            </w:r>
          </w:p>
          <w:p w14:paraId="6FF7483E" w14:textId="77777777" w:rsidR="009E676E" w:rsidRPr="00E14E58" w:rsidRDefault="00E453CD" w:rsidP="00FD5FF1">
            <w:pPr>
              <w:pStyle w:val="DefaultText"/>
              <w:ind w:left="54"/>
              <w:jc w:val="center"/>
              <w:rPr>
                <w:rFonts w:ascii="Times New Roman" w:hAnsi="Times New Roman"/>
                <w:b/>
                <w:bCs w:val="0"/>
                <w:szCs w:val="22"/>
                <w:lang w:val="nb-NO"/>
              </w:rPr>
            </w:pPr>
            <w:r w:rsidRPr="00E14E58">
              <w:rPr>
                <w:rFonts w:ascii="Times New Roman" w:hAnsi="Times New Roman"/>
                <w:b/>
                <w:bCs w:val="0"/>
                <w:szCs w:val="22"/>
                <w:lang w:val="nb-NO"/>
              </w:rPr>
              <w:t>N=53</w:t>
            </w:r>
          </w:p>
          <w:p w14:paraId="7C9B6C47"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c>
          <w:tcPr>
            <w:tcW w:w="1419" w:type="dxa"/>
            <w:tcBorders>
              <w:top w:val="single" w:sz="4" w:space="0" w:color="auto"/>
            </w:tcBorders>
            <w:vAlign w:val="center"/>
          </w:tcPr>
          <w:p w14:paraId="7195E670"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Metotreksat</w:t>
            </w:r>
          </w:p>
          <w:p w14:paraId="1EB64044"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N=110</w:t>
            </w:r>
          </w:p>
          <w:p w14:paraId="50CC21A1"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c>
          <w:tcPr>
            <w:tcW w:w="2344" w:type="dxa"/>
            <w:tcBorders>
              <w:top w:val="single" w:sz="4" w:space="0" w:color="auto"/>
            </w:tcBorders>
            <w:vAlign w:val="center"/>
          </w:tcPr>
          <w:p w14:paraId="42330EC8"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Humira 40 mg annenhver uke</w:t>
            </w:r>
          </w:p>
          <w:p w14:paraId="3BCADAB6"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N=108</w:t>
            </w:r>
          </w:p>
          <w:p w14:paraId="7035399A" w14:textId="77777777" w:rsidR="009E676E" w:rsidRPr="009C5EFD" w:rsidRDefault="00E453CD" w:rsidP="00FD5FF1">
            <w:pPr>
              <w:pStyle w:val="DefaultText"/>
              <w:ind w:left="54"/>
              <w:jc w:val="center"/>
              <w:rPr>
                <w:rFonts w:ascii="Times New Roman" w:hAnsi="Times New Roman"/>
                <w:b/>
                <w:bCs w:val="0"/>
                <w:szCs w:val="22"/>
                <w:lang w:val="nb-NO"/>
              </w:rPr>
            </w:pPr>
            <w:r w:rsidRPr="009C5EFD">
              <w:rPr>
                <w:rFonts w:ascii="Times New Roman" w:hAnsi="Times New Roman"/>
                <w:b/>
                <w:bCs w:val="0"/>
                <w:szCs w:val="22"/>
                <w:lang w:val="nb-NO"/>
              </w:rPr>
              <w:t>n (%)</w:t>
            </w:r>
          </w:p>
        </w:tc>
      </w:tr>
      <w:tr w:rsidR="004644D4" w14:paraId="0930FE58" w14:textId="77777777" w:rsidTr="00FD5FF1">
        <w:trPr>
          <w:cantSplit/>
          <w:jc w:val="center"/>
        </w:trPr>
        <w:tc>
          <w:tcPr>
            <w:tcW w:w="1691" w:type="dxa"/>
          </w:tcPr>
          <w:p w14:paraId="3C9A58D9" w14:textId="77777777" w:rsidR="009E676E" w:rsidRPr="00193D76" w:rsidRDefault="00E453CD" w:rsidP="00FD5FF1">
            <w:pPr>
              <w:pStyle w:val="DefaultText"/>
              <w:ind w:left="54"/>
              <w:rPr>
                <w:rFonts w:ascii="Times New Roman" w:hAnsi="Times New Roman"/>
                <w:b/>
                <w:bCs w:val="0"/>
                <w:szCs w:val="22"/>
                <w:lang w:val="nb-NO"/>
              </w:rPr>
            </w:pPr>
            <w:r w:rsidRPr="007F67EE">
              <w:rPr>
                <w:rFonts w:ascii="Times New Roman" w:hAnsi="Times New Roman"/>
                <w:b/>
                <w:bCs w:val="0"/>
                <w:szCs w:val="22"/>
                <w:lang w:val="nb-NO"/>
              </w:rPr>
              <w:t xml:space="preserve">    </w:t>
            </w:r>
            <w:r w:rsidRPr="007F67EE">
              <w:rPr>
                <w:rFonts w:ascii="Symbol" w:hAnsi="Symbol"/>
                <w:b/>
                <w:bCs w:val="0"/>
                <w:szCs w:val="22"/>
                <w:lang w:val="nb-NO"/>
              </w:rPr>
              <w:sym w:font="Symbol" w:char="F0B3"/>
            </w:r>
            <w:r w:rsidRPr="007F67EE">
              <w:rPr>
                <w:rFonts w:ascii="Times New Roman" w:hAnsi="Times New Roman"/>
                <w:b/>
                <w:bCs w:val="0"/>
                <w:szCs w:val="22"/>
                <w:lang w:val="nb-NO"/>
              </w:rPr>
              <w:t> </w:t>
            </w:r>
            <w:r w:rsidRPr="00193D76">
              <w:rPr>
                <w:rFonts w:ascii="Times New Roman" w:hAnsi="Times New Roman"/>
                <w:b/>
                <w:bCs w:val="0"/>
                <w:szCs w:val="22"/>
                <w:lang w:val="nb-NO"/>
              </w:rPr>
              <w:t>PASI 75</w:t>
            </w:r>
          </w:p>
        </w:tc>
        <w:tc>
          <w:tcPr>
            <w:tcW w:w="1592" w:type="dxa"/>
          </w:tcPr>
          <w:p w14:paraId="084F4B5C"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10 (18,9)</w:t>
            </w:r>
          </w:p>
        </w:tc>
        <w:tc>
          <w:tcPr>
            <w:tcW w:w="1419" w:type="dxa"/>
          </w:tcPr>
          <w:p w14:paraId="650AC9AF"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39 (35,5)</w:t>
            </w:r>
          </w:p>
        </w:tc>
        <w:tc>
          <w:tcPr>
            <w:tcW w:w="2344" w:type="dxa"/>
          </w:tcPr>
          <w:p w14:paraId="69E8206E"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86 (79,6)</w:t>
            </w:r>
            <w:r w:rsidRPr="009C5EFD">
              <w:rPr>
                <w:rFonts w:ascii="Times New Roman" w:hAnsi="Times New Roman"/>
                <w:szCs w:val="22"/>
                <w:vertAlign w:val="superscript"/>
                <w:lang w:val="nb-NO"/>
              </w:rPr>
              <w:t xml:space="preserve"> a, b</w:t>
            </w:r>
          </w:p>
        </w:tc>
      </w:tr>
      <w:tr w:rsidR="004644D4" w14:paraId="3011DB33" w14:textId="77777777" w:rsidTr="00FD5FF1">
        <w:trPr>
          <w:cantSplit/>
          <w:jc w:val="center"/>
        </w:trPr>
        <w:tc>
          <w:tcPr>
            <w:tcW w:w="1691" w:type="dxa"/>
          </w:tcPr>
          <w:p w14:paraId="379A3C67" w14:textId="77777777" w:rsidR="009E676E" w:rsidRPr="007F67EE" w:rsidRDefault="00E453CD" w:rsidP="00FD5FF1">
            <w:pPr>
              <w:pStyle w:val="DefaultText"/>
              <w:ind w:left="54"/>
              <w:rPr>
                <w:rFonts w:ascii="Times New Roman" w:hAnsi="Times New Roman"/>
                <w:b/>
                <w:bCs w:val="0"/>
                <w:szCs w:val="22"/>
                <w:lang w:val="nb-NO"/>
              </w:rPr>
            </w:pPr>
            <w:r w:rsidRPr="007F67EE">
              <w:rPr>
                <w:rFonts w:ascii="Times New Roman" w:hAnsi="Times New Roman"/>
                <w:b/>
                <w:bCs w:val="0"/>
                <w:szCs w:val="22"/>
                <w:lang w:val="nb-NO"/>
              </w:rPr>
              <w:t xml:space="preserve">    PASI 100</w:t>
            </w:r>
          </w:p>
        </w:tc>
        <w:tc>
          <w:tcPr>
            <w:tcW w:w="1592" w:type="dxa"/>
          </w:tcPr>
          <w:p w14:paraId="330C0B5E" w14:textId="77777777" w:rsidR="009E676E" w:rsidRPr="00193D76" w:rsidRDefault="00E453CD" w:rsidP="00FD5FF1">
            <w:pPr>
              <w:pStyle w:val="DefaultText"/>
              <w:ind w:left="54"/>
              <w:jc w:val="center"/>
              <w:rPr>
                <w:rFonts w:ascii="Times New Roman" w:hAnsi="Times New Roman"/>
                <w:szCs w:val="22"/>
                <w:lang w:val="nb-NO"/>
              </w:rPr>
            </w:pPr>
            <w:r w:rsidRPr="00193D76">
              <w:rPr>
                <w:rFonts w:ascii="Times New Roman" w:hAnsi="Times New Roman"/>
                <w:szCs w:val="22"/>
                <w:lang w:val="nb-NO"/>
              </w:rPr>
              <w:t>1 (1,9)</w:t>
            </w:r>
          </w:p>
        </w:tc>
        <w:tc>
          <w:tcPr>
            <w:tcW w:w="1419" w:type="dxa"/>
          </w:tcPr>
          <w:p w14:paraId="701CE7B8" w14:textId="77777777" w:rsidR="009E676E" w:rsidRPr="00E14E58" w:rsidRDefault="00E453CD" w:rsidP="00FD5FF1">
            <w:pPr>
              <w:pStyle w:val="DefaultText"/>
              <w:ind w:left="54"/>
              <w:jc w:val="center"/>
              <w:rPr>
                <w:rFonts w:ascii="Times New Roman" w:hAnsi="Times New Roman"/>
                <w:szCs w:val="22"/>
                <w:lang w:val="nb-NO"/>
              </w:rPr>
            </w:pPr>
            <w:r w:rsidRPr="00E14E58">
              <w:rPr>
                <w:rFonts w:ascii="Times New Roman" w:hAnsi="Times New Roman"/>
                <w:szCs w:val="22"/>
                <w:lang w:val="nb-NO"/>
              </w:rPr>
              <w:t>8 (7,3)</w:t>
            </w:r>
          </w:p>
        </w:tc>
        <w:tc>
          <w:tcPr>
            <w:tcW w:w="2344" w:type="dxa"/>
          </w:tcPr>
          <w:p w14:paraId="1FF25E21"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18 (16,7)</w:t>
            </w:r>
            <w:r w:rsidRPr="009C5EFD">
              <w:rPr>
                <w:rFonts w:ascii="Times New Roman" w:hAnsi="Times New Roman"/>
                <w:szCs w:val="22"/>
                <w:vertAlign w:val="superscript"/>
                <w:lang w:val="nb-NO"/>
              </w:rPr>
              <w:t xml:space="preserve"> c, d</w:t>
            </w:r>
          </w:p>
        </w:tc>
      </w:tr>
      <w:tr w:rsidR="004644D4" w14:paraId="55059886" w14:textId="77777777" w:rsidTr="00FD5FF1">
        <w:trPr>
          <w:cantSplit/>
          <w:jc w:val="center"/>
        </w:trPr>
        <w:tc>
          <w:tcPr>
            <w:tcW w:w="1691" w:type="dxa"/>
          </w:tcPr>
          <w:p w14:paraId="38130ABF" w14:textId="77777777" w:rsidR="009E676E" w:rsidRPr="009C5EFD" w:rsidRDefault="00E453CD" w:rsidP="00FD5FF1">
            <w:pPr>
              <w:pStyle w:val="DefaultText"/>
              <w:ind w:left="54"/>
              <w:rPr>
                <w:rFonts w:ascii="Times New Roman" w:hAnsi="Times New Roman"/>
                <w:b/>
                <w:bCs w:val="0"/>
                <w:szCs w:val="22"/>
                <w:lang w:val="nb-NO"/>
              </w:rPr>
            </w:pPr>
            <w:r w:rsidRPr="007F67EE">
              <w:rPr>
                <w:rFonts w:ascii="Times New Roman" w:hAnsi="Times New Roman"/>
                <w:b/>
                <w:bCs w:val="0"/>
                <w:szCs w:val="22"/>
                <w:lang w:val="nb-NO"/>
              </w:rPr>
              <w:t xml:space="preserve">    PGA: </w:t>
            </w:r>
            <w:r w:rsidR="009359D2">
              <w:rPr>
                <w:rFonts w:ascii="Times New Roman" w:hAnsi="Times New Roman"/>
                <w:b/>
                <w:bCs w:val="0"/>
                <w:szCs w:val="22"/>
                <w:lang w:val="nb-NO"/>
              </w:rPr>
              <w:t>«</w:t>
            </w:r>
            <w:r w:rsidRPr="00E14E58">
              <w:rPr>
                <w:rFonts w:ascii="Times New Roman" w:hAnsi="Times New Roman"/>
                <w:b/>
                <w:bCs w:val="0"/>
                <w:szCs w:val="22"/>
                <w:lang w:val="nb-NO"/>
              </w:rPr>
              <w:t>Klar</w:t>
            </w:r>
            <w:r w:rsidR="009359D2">
              <w:rPr>
                <w:rFonts w:ascii="Times New Roman" w:hAnsi="Times New Roman"/>
                <w:b/>
                <w:bCs w:val="0"/>
                <w:szCs w:val="22"/>
                <w:lang w:val="nb-NO"/>
              </w:rPr>
              <w:t>»</w:t>
            </w:r>
            <w:r w:rsidRPr="009C5EFD">
              <w:rPr>
                <w:rFonts w:ascii="Times New Roman" w:hAnsi="Times New Roman"/>
                <w:b/>
                <w:bCs w:val="0"/>
                <w:szCs w:val="22"/>
                <w:lang w:val="nb-NO"/>
              </w:rPr>
              <w:t>/minimal</w:t>
            </w:r>
          </w:p>
        </w:tc>
        <w:tc>
          <w:tcPr>
            <w:tcW w:w="1592" w:type="dxa"/>
          </w:tcPr>
          <w:p w14:paraId="4D900559"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6 (11,3)</w:t>
            </w:r>
          </w:p>
        </w:tc>
        <w:tc>
          <w:tcPr>
            <w:tcW w:w="1419" w:type="dxa"/>
          </w:tcPr>
          <w:p w14:paraId="2929F782"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33 (30,0)</w:t>
            </w:r>
          </w:p>
        </w:tc>
        <w:tc>
          <w:tcPr>
            <w:tcW w:w="2344" w:type="dxa"/>
          </w:tcPr>
          <w:p w14:paraId="4A08F757" w14:textId="77777777" w:rsidR="009E676E" w:rsidRPr="009C5EFD" w:rsidRDefault="00E453CD" w:rsidP="00FD5FF1">
            <w:pPr>
              <w:pStyle w:val="DefaultText"/>
              <w:ind w:left="54"/>
              <w:jc w:val="center"/>
              <w:rPr>
                <w:rFonts w:ascii="Times New Roman" w:hAnsi="Times New Roman"/>
                <w:szCs w:val="22"/>
                <w:lang w:val="nb-NO"/>
              </w:rPr>
            </w:pPr>
            <w:r w:rsidRPr="009C5EFD">
              <w:rPr>
                <w:rFonts w:ascii="Times New Roman" w:hAnsi="Times New Roman"/>
                <w:szCs w:val="22"/>
                <w:lang w:val="nb-NO"/>
              </w:rPr>
              <w:t>79 (73,1)</w:t>
            </w:r>
            <w:r w:rsidRPr="009C5EFD">
              <w:rPr>
                <w:rFonts w:ascii="Times New Roman" w:hAnsi="Times New Roman"/>
                <w:szCs w:val="22"/>
                <w:vertAlign w:val="superscript"/>
                <w:lang w:val="nb-NO"/>
              </w:rPr>
              <w:t xml:space="preserve"> a, b</w:t>
            </w:r>
          </w:p>
        </w:tc>
      </w:tr>
      <w:tr w:rsidR="004644D4" w14:paraId="7FD8B6EE" w14:textId="77777777" w:rsidTr="00FD5FF1">
        <w:trPr>
          <w:cantSplit/>
          <w:jc w:val="center"/>
        </w:trPr>
        <w:tc>
          <w:tcPr>
            <w:tcW w:w="7046" w:type="dxa"/>
            <w:gridSpan w:val="4"/>
          </w:tcPr>
          <w:p w14:paraId="52B9374D" w14:textId="77777777" w:rsidR="009E676E" w:rsidRPr="009C5EFD" w:rsidRDefault="00E453CD" w:rsidP="00FD5FF1">
            <w:pPr>
              <w:pStyle w:val="DefaultText"/>
              <w:ind w:left="54"/>
              <w:rPr>
                <w:rFonts w:ascii="Times New Roman" w:hAnsi="Times New Roman"/>
                <w:szCs w:val="22"/>
                <w:lang w:val="sv-SE"/>
              </w:rPr>
            </w:pPr>
            <w:r w:rsidRPr="007F67EE">
              <w:rPr>
                <w:rFonts w:ascii="Times New Roman" w:hAnsi="Times New Roman"/>
                <w:szCs w:val="22"/>
                <w:vertAlign w:val="superscript"/>
                <w:lang w:val="sv-SE"/>
              </w:rPr>
              <w:t>a</w:t>
            </w:r>
            <w:r w:rsidRPr="00193D76">
              <w:rPr>
                <w:rFonts w:ascii="Times New Roman" w:hAnsi="Times New Roman"/>
                <w:szCs w:val="22"/>
                <w:lang w:val="sv-SE"/>
              </w:rPr>
              <w:t xml:space="preserve"> p</w:t>
            </w:r>
            <w:r w:rsidRPr="00E14E58">
              <w:rPr>
                <w:rFonts w:ascii="Times New Roman" w:hAnsi="Times New Roman"/>
                <w:szCs w:val="22"/>
                <w:lang w:val="sv-SE"/>
              </w:rPr>
              <w:t> </w:t>
            </w:r>
            <w:r w:rsidRPr="009C5EFD">
              <w:rPr>
                <w:rFonts w:ascii="Times New Roman" w:hAnsi="Times New Roman"/>
                <w:szCs w:val="22"/>
                <w:lang w:val="sv-SE"/>
              </w:rPr>
              <w:t xml:space="preserve">&lt; 0,001 Humira </w:t>
            </w:r>
            <w:r w:rsidRPr="009C5EFD">
              <w:rPr>
                <w:rFonts w:ascii="Times New Roman" w:hAnsi="Times New Roman"/>
                <w:i/>
                <w:szCs w:val="22"/>
                <w:lang w:val="sv-SE"/>
              </w:rPr>
              <w:t>versus</w:t>
            </w:r>
            <w:r w:rsidRPr="009C5EFD">
              <w:rPr>
                <w:rFonts w:ascii="Times New Roman" w:hAnsi="Times New Roman"/>
                <w:szCs w:val="22"/>
                <w:lang w:val="sv-SE"/>
              </w:rPr>
              <w:t xml:space="preserve"> placebo</w:t>
            </w:r>
          </w:p>
          <w:p w14:paraId="268B7105" w14:textId="77777777" w:rsidR="009E676E" w:rsidRPr="009C5EFD" w:rsidRDefault="00E453CD" w:rsidP="00FD5FF1">
            <w:pPr>
              <w:pStyle w:val="DefaultText"/>
              <w:ind w:left="54"/>
              <w:rPr>
                <w:rFonts w:ascii="Times New Roman" w:hAnsi="Times New Roman"/>
                <w:szCs w:val="22"/>
                <w:lang w:val="sv-SE"/>
              </w:rPr>
            </w:pPr>
            <w:r w:rsidRPr="009C5EFD">
              <w:rPr>
                <w:rFonts w:ascii="Times New Roman" w:hAnsi="Times New Roman"/>
                <w:szCs w:val="22"/>
                <w:vertAlign w:val="superscript"/>
                <w:lang w:val="sv-SE"/>
              </w:rPr>
              <w:t>b</w:t>
            </w:r>
            <w:r w:rsidRPr="009C5EFD">
              <w:rPr>
                <w:rFonts w:ascii="Times New Roman" w:hAnsi="Times New Roman"/>
                <w:szCs w:val="22"/>
                <w:lang w:val="sv-SE"/>
              </w:rPr>
              <w:t xml:space="preserve"> p &lt; 0,001 Humira </w:t>
            </w:r>
            <w:r w:rsidRPr="009C5EFD">
              <w:rPr>
                <w:rFonts w:ascii="Times New Roman" w:hAnsi="Times New Roman"/>
                <w:i/>
                <w:szCs w:val="22"/>
                <w:lang w:val="sv-SE"/>
              </w:rPr>
              <w:t>versus</w:t>
            </w:r>
            <w:r w:rsidRPr="009C5EFD">
              <w:rPr>
                <w:rFonts w:ascii="Times New Roman" w:hAnsi="Times New Roman"/>
                <w:szCs w:val="22"/>
                <w:lang w:val="sv-SE"/>
              </w:rPr>
              <w:t xml:space="preserve"> metotreksat</w:t>
            </w:r>
          </w:p>
          <w:p w14:paraId="4E7BA3CF" w14:textId="77777777" w:rsidR="009E676E" w:rsidRPr="009C5EFD" w:rsidRDefault="00E453CD" w:rsidP="00FD5FF1">
            <w:pPr>
              <w:pStyle w:val="DefaultText"/>
              <w:ind w:left="54"/>
              <w:rPr>
                <w:rFonts w:ascii="Times New Roman" w:hAnsi="Times New Roman"/>
                <w:szCs w:val="22"/>
                <w:lang w:val="sv-SE"/>
              </w:rPr>
            </w:pPr>
            <w:r w:rsidRPr="009C5EFD">
              <w:rPr>
                <w:rFonts w:ascii="Times New Roman" w:hAnsi="Times New Roman"/>
                <w:szCs w:val="22"/>
                <w:vertAlign w:val="superscript"/>
                <w:lang w:val="sv-SE"/>
              </w:rPr>
              <w:t>c</w:t>
            </w:r>
            <w:r w:rsidRPr="009C5EFD">
              <w:rPr>
                <w:rFonts w:ascii="Times New Roman" w:hAnsi="Times New Roman"/>
                <w:szCs w:val="22"/>
                <w:lang w:val="sv-SE"/>
              </w:rPr>
              <w:t xml:space="preserve"> p &lt; 0,01 Humira </w:t>
            </w:r>
            <w:r w:rsidRPr="009C5EFD">
              <w:rPr>
                <w:rFonts w:ascii="Times New Roman" w:hAnsi="Times New Roman"/>
                <w:i/>
                <w:szCs w:val="22"/>
                <w:lang w:val="sv-SE"/>
              </w:rPr>
              <w:t>versus</w:t>
            </w:r>
            <w:r w:rsidRPr="009C5EFD">
              <w:rPr>
                <w:rFonts w:ascii="Times New Roman" w:hAnsi="Times New Roman"/>
                <w:szCs w:val="22"/>
                <w:lang w:val="sv-SE"/>
              </w:rPr>
              <w:t xml:space="preserve"> placebo</w:t>
            </w:r>
          </w:p>
          <w:p w14:paraId="7848119D" w14:textId="77777777" w:rsidR="009E676E" w:rsidRPr="009C5EFD" w:rsidRDefault="00E453CD" w:rsidP="00FD5FF1">
            <w:pPr>
              <w:pStyle w:val="DefaultText"/>
              <w:ind w:left="54"/>
              <w:rPr>
                <w:rFonts w:ascii="Times New Roman" w:hAnsi="Times New Roman"/>
                <w:szCs w:val="22"/>
                <w:lang w:val="sv-SE"/>
              </w:rPr>
            </w:pPr>
            <w:r w:rsidRPr="009C5EFD">
              <w:rPr>
                <w:rFonts w:ascii="Times New Roman" w:hAnsi="Times New Roman"/>
                <w:szCs w:val="22"/>
                <w:vertAlign w:val="superscript"/>
                <w:lang w:val="sv-SE"/>
              </w:rPr>
              <w:t>d</w:t>
            </w:r>
            <w:r w:rsidRPr="009C5EFD">
              <w:rPr>
                <w:rFonts w:ascii="Times New Roman" w:hAnsi="Times New Roman"/>
                <w:szCs w:val="22"/>
                <w:lang w:val="sv-SE"/>
              </w:rPr>
              <w:t xml:space="preserve"> p &lt; 0,05 Humira </w:t>
            </w:r>
            <w:r w:rsidRPr="009C5EFD">
              <w:rPr>
                <w:rFonts w:ascii="Times New Roman" w:hAnsi="Times New Roman"/>
                <w:i/>
                <w:szCs w:val="22"/>
                <w:lang w:val="sv-SE"/>
              </w:rPr>
              <w:t>versus</w:t>
            </w:r>
            <w:r w:rsidRPr="009C5EFD">
              <w:rPr>
                <w:rFonts w:ascii="Times New Roman" w:hAnsi="Times New Roman"/>
                <w:szCs w:val="22"/>
                <w:lang w:val="sv-SE"/>
              </w:rPr>
              <w:t xml:space="preserve"> metotreksat</w:t>
            </w:r>
          </w:p>
        </w:tc>
      </w:tr>
    </w:tbl>
    <w:p w14:paraId="37EED541" w14:textId="77777777" w:rsidR="009E676E" w:rsidRPr="002D0790" w:rsidRDefault="009E676E" w:rsidP="009E676E">
      <w:pPr>
        <w:ind w:left="54"/>
        <w:rPr>
          <w:sz w:val="22"/>
          <w:szCs w:val="22"/>
          <w:lang w:val="sv-SE"/>
        </w:rPr>
      </w:pPr>
    </w:p>
    <w:p w14:paraId="6077DDC7" w14:textId="77777777" w:rsidR="009E676E" w:rsidRPr="009C5EFD" w:rsidRDefault="00E453CD" w:rsidP="009E676E">
      <w:pPr>
        <w:rPr>
          <w:sz w:val="22"/>
          <w:szCs w:val="22"/>
        </w:rPr>
      </w:pPr>
      <w:r w:rsidRPr="002D0790">
        <w:rPr>
          <w:sz w:val="22"/>
          <w:szCs w:val="22"/>
        </w:rPr>
        <w:t xml:space="preserve">I psoriasisstudie I opplevde 28 % av pasientene som hadde PASI 75-respons og </w:t>
      </w:r>
      <w:r w:rsidRPr="00E14E58">
        <w:rPr>
          <w:sz w:val="22"/>
          <w:szCs w:val="22"/>
        </w:rPr>
        <w:t xml:space="preserve">som </w:t>
      </w:r>
      <w:r w:rsidRPr="009C5EFD">
        <w:rPr>
          <w:sz w:val="22"/>
          <w:szCs w:val="22"/>
        </w:rPr>
        <w:t xml:space="preserve">var randomisert på nytt til placebo ved uke 33, </w:t>
      </w:r>
      <w:r w:rsidR="00D57009">
        <w:rPr>
          <w:sz w:val="22"/>
          <w:szCs w:val="22"/>
        </w:rPr>
        <w:t>«</w:t>
      </w:r>
      <w:r w:rsidRPr="009C5EFD">
        <w:rPr>
          <w:sz w:val="22"/>
          <w:szCs w:val="22"/>
        </w:rPr>
        <w:t>tap av tilfredsstillende respons</w:t>
      </w:r>
      <w:r w:rsidR="00D57009">
        <w:rPr>
          <w:sz w:val="22"/>
          <w:szCs w:val="22"/>
        </w:rPr>
        <w:t>»</w:t>
      </w:r>
      <w:r w:rsidRPr="009C5EFD">
        <w:rPr>
          <w:sz w:val="22"/>
          <w:szCs w:val="22"/>
        </w:rPr>
        <w:t xml:space="preserve"> (PASI score etter uke 33 og ved eller </w:t>
      </w:r>
      <w:r w:rsidRPr="009C5EFD">
        <w:rPr>
          <w:sz w:val="22"/>
          <w:szCs w:val="22"/>
        </w:rPr>
        <w:lastRenderedPageBreak/>
        <w:t xml:space="preserve">før uke 52 som resulterte i &lt; PASI 50-respons i forhold til baseline, med en minimum 6-punkts økning i PASI score i forhold til uke 33). Tilsvarende for pasienter som fortsatte med Humira var 5 %, p &lt; 0,001. Av de pasientene som opplevde tap av tilfredsstillende respons etter ny randomisering til placebo og som deretter ble inkludert i en åpen forlengelsesstudie, gjenvant 38 % (25/66) og 55 % (36/66) PASI 75-respons etter henholdsvis 12 og 24 uker med re-behandling. </w:t>
      </w:r>
    </w:p>
    <w:p w14:paraId="7183F9DA" w14:textId="77777777" w:rsidR="009E676E" w:rsidRPr="009C5EFD" w:rsidRDefault="009E676E" w:rsidP="009E676E">
      <w:pPr>
        <w:rPr>
          <w:sz w:val="22"/>
          <w:szCs w:val="22"/>
        </w:rPr>
      </w:pPr>
    </w:p>
    <w:p w14:paraId="6F1502E0" w14:textId="77777777" w:rsidR="009E676E" w:rsidRPr="009C5EFD" w:rsidRDefault="00E453CD" w:rsidP="009E676E">
      <w:pPr>
        <w:rPr>
          <w:sz w:val="22"/>
          <w:szCs w:val="22"/>
        </w:rPr>
      </w:pPr>
      <w:r w:rsidRPr="009C5EFD">
        <w:rPr>
          <w:sz w:val="22"/>
          <w:szCs w:val="22"/>
        </w:rPr>
        <w:t>Totalt 233 pasienter med PASI 75-respons ved uke 16 og 33 fikk kontinuerlig behandling med Humira i psoriasisstudie I i 52 uker, og fortsatte med Humira i en åpen forlengelsesstudie. PASI 75 og PGA-</w:t>
      </w:r>
      <w:r w:rsidR="009359D2">
        <w:rPr>
          <w:sz w:val="22"/>
          <w:szCs w:val="22"/>
        </w:rPr>
        <w:t>«</w:t>
      </w:r>
      <w:r w:rsidRPr="009C5EFD">
        <w:rPr>
          <w:sz w:val="22"/>
          <w:szCs w:val="22"/>
        </w:rPr>
        <w:t>klar</w:t>
      </w:r>
      <w:r w:rsidR="009359D2">
        <w:rPr>
          <w:sz w:val="22"/>
          <w:szCs w:val="22"/>
        </w:rPr>
        <w:t>»</w:t>
      </w:r>
      <w:r w:rsidRPr="009C5EFD">
        <w:rPr>
          <w:sz w:val="22"/>
          <w:szCs w:val="22"/>
        </w:rPr>
        <w:t xml:space="preserve"> eller -minimal responsrate hos disse pasientene var henholdsvis 74,7 % og 59,0 % etter en periode på 108 uker i den åpne forlengelsesstudien (totalt 160 uker). I en analyse ble alle pasientene som hadde frafall pga. bivirkninger, mangel på effekt eller som dose-eskalerte, ansett som ikke-respondere. Hos disse pasientene var PASI 75 og PGA-</w:t>
      </w:r>
      <w:r w:rsidR="009359D2">
        <w:rPr>
          <w:sz w:val="22"/>
          <w:szCs w:val="22"/>
        </w:rPr>
        <w:t>«</w:t>
      </w:r>
      <w:r w:rsidRPr="009C5EFD">
        <w:rPr>
          <w:sz w:val="22"/>
          <w:szCs w:val="22"/>
        </w:rPr>
        <w:t>klar</w:t>
      </w:r>
      <w:r w:rsidR="009359D2">
        <w:rPr>
          <w:sz w:val="22"/>
          <w:szCs w:val="22"/>
        </w:rPr>
        <w:t>»</w:t>
      </w:r>
      <w:r w:rsidRPr="009C5EFD">
        <w:rPr>
          <w:sz w:val="22"/>
          <w:szCs w:val="22"/>
        </w:rPr>
        <w:t xml:space="preserve"> eller -minimal responsrater henholdsvis 69,6 % og 55,7 % etter en tilleggsperiode på 108 uker i den åpne forlengelsesstudien (totalt 160 uker).</w:t>
      </w:r>
    </w:p>
    <w:p w14:paraId="141C2DC2" w14:textId="77777777" w:rsidR="009E676E" w:rsidRPr="009C5EFD" w:rsidRDefault="009E676E" w:rsidP="009E676E">
      <w:pPr>
        <w:rPr>
          <w:sz w:val="22"/>
          <w:szCs w:val="22"/>
        </w:rPr>
      </w:pPr>
    </w:p>
    <w:p w14:paraId="181431FD" w14:textId="77777777" w:rsidR="009E676E" w:rsidRPr="009C5EFD" w:rsidRDefault="00E453CD" w:rsidP="009E676E">
      <w:pPr>
        <w:rPr>
          <w:sz w:val="22"/>
          <w:szCs w:val="22"/>
        </w:rPr>
      </w:pPr>
      <w:r w:rsidRPr="009C5EFD">
        <w:rPr>
          <w:sz w:val="22"/>
          <w:szCs w:val="22"/>
        </w:rPr>
        <w:t xml:space="preserve">Totalt 347 stabile respondere deltok i en åpen forlengelsesstudie der seponering og re-behandling ble </w:t>
      </w:r>
      <w:r w:rsidR="003D3CAB" w:rsidRPr="003D3CAB">
        <w:rPr>
          <w:sz w:val="22"/>
          <w:szCs w:val="22"/>
        </w:rPr>
        <w:t>vurdert</w:t>
      </w:r>
      <w:r w:rsidRPr="009C5EFD">
        <w:rPr>
          <w:sz w:val="22"/>
          <w:szCs w:val="22"/>
        </w:rPr>
        <w:t xml:space="preserve">. Under seponeringsperioden kom symptomene på psoriasis tilbake over tid med en mediantid for tilbakefall (nedgang i PGA </w:t>
      </w:r>
      <w:r w:rsidR="00D57009">
        <w:rPr>
          <w:sz w:val="22"/>
          <w:szCs w:val="22"/>
        </w:rPr>
        <w:t>«</w:t>
      </w:r>
      <w:r w:rsidRPr="009C5EFD">
        <w:rPr>
          <w:sz w:val="22"/>
          <w:szCs w:val="22"/>
        </w:rPr>
        <w:t>moderat</w:t>
      </w:r>
      <w:r w:rsidR="00D57009">
        <w:rPr>
          <w:sz w:val="22"/>
          <w:szCs w:val="22"/>
        </w:rPr>
        <w:t>»</w:t>
      </w:r>
      <w:r w:rsidRPr="009C5EFD">
        <w:rPr>
          <w:sz w:val="22"/>
          <w:szCs w:val="22"/>
        </w:rPr>
        <w:t xml:space="preserve"> eller verre) på ca. 5 måneder. Ingen av disse pasientene opplevde tilbakefall (</w:t>
      </w:r>
      <w:r w:rsidR="00D57009">
        <w:rPr>
          <w:sz w:val="22"/>
          <w:szCs w:val="22"/>
        </w:rPr>
        <w:t>«</w:t>
      </w:r>
      <w:r w:rsidRPr="009C5EFD">
        <w:rPr>
          <w:sz w:val="22"/>
          <w:szCs w:val="22"/>
        </w:rPr>
        <w:t>rebound</w:t>
      </w:r>
      <w:r w:rsidR="00D57009">
        <w:rPr>
          <w:sz w:val="22"/>
          <w:szCs w:val="22"/>
        </w:rPr>
        <w:t>»</w:t>
      </w:r>
      <w:r w:rsidRPr="009C5EFD">
        <w:rPr>
          <w:sz w:val="22"/>
          <w:szCs w:val="22"/>
        </w:rPr>
        <w:t>) under seponeringsperioden. Totalt 76,5 % (218/285) av pasientene som startet behandlingen på nytt hadde en PGA-</w:t>
      </w:r>
      <w:r w:rsidR="00D57009">
        <w:rPr>
          <w:sz w:val="22"/>
          <w:szCs w:val="22"/>
        </w:rPr>
        <w:t>«</w:t>
      </w:r>
      <w:r w:rsidRPr="009C5EFD">
        <w:rPr>
          <w:sz w:val="22"/>
          <w:szCs w:val="22"/>
        </w:rPr>
        <w:t>klar</w:t>
      </w:r>
      <w:r w:rsidR="00D57009">
        <w:rPr>
          <w:sz w:val="22"/>
          <w:szCs w:val="22"/>
        </w:rPr>
        <w:t>»</w:t>
      </w:r>
      <w:r w:rsidRPr="009C5EFD">
        <w:rPr>
          <w:sz w:val="22"/>
          <w:szCs w:val="22"/>
        </w:rPr>
        <w:t xml:space="preserve"> eller -minimal respons etter 16 uker med behandling, uavhengig om de hadde tilbakefall under seponeringsperioden (69,1 % [123/178] og 88,8 % [95/107] henholdsvis for pasienter som hadde tilbakefall eller ikke hadde tilbakefall under seponeringsperioden). En tilsvarende sikkerhetsprofil ble observert under gjenopptagelse av behandlingen som før seponering.</w:t>
      </w:r>
    </w:p>
    <w:p w14:paraId="59CE6776" w14:textId="77777777" w:rsidR="009E676E" w:rsidRPr="009C5EFD" w:rsidRDefault="009E676E" w:rsidP="009E676E">
      <w:pPr>
        <w:rPr>
          <w:sz w:val="22"/>
          <w:szCs w:val="22"/>
        </w:rPr>
      </w:pPr>
    </w:p>
    <w:p w14:paraId="5E640EAE" w14:textId="77777777" w:rsidR="009E676E" w:rsidRPr="009C5EFD" w:rsidRDefault="00E453CD" w:rsidP="009E676E">
      <w:pPr>
        <w:rPr>
          <w:sz w:val="22"/>
          <w:szCs w:val="22"/>
        </w:rPr>
      </w:pPr>
      <w:r w:rsidRPr="009C5EFD">
        <w:rPr>
          <w:sz w:val="22"/>
          <w:szCs w:val="22"/>
        </w:rPr>
        <w:t>Signifikant forbedring ved uke 16 fra behandlingsstart sammenlignet med placebo (studiene I og II) og metotreksat (studie II) ble vist i DLQI (Dermatology Life Quality Index). I studie I var også forbedringer i sammenlagt score for de fysiske og mentale komponentene i SF-36 signifikante sammenlignet med placebo.</w:t>
      </w:r>
    </w:p>
    <w:p w14:paraId="3F9409DE" w14:textId="77777777" w:rsidR="009E676E" w:rsidRPr="009C5EFD" w:rsidRDefault="009E676E" w:rsidP="009E676E">
      <w:pPr>
        <w:rPr>
          <w:sz w:val="22"/>
          <w:szCs w:val="22"/>
        </w:rPr>
      </w:pPr>
    </w:p>
    <w:p w14:paraId="2D4B6FA1" w14:textId="77777777" w:rsidR="009E676E" w:rsidRPr="009C5EFD" w:rsidRDefault="00E453CD" w:rsidP="009E676E">
      <w:pPr>
        <w:rPr>
          <w:sz w:val="22"/>
          <w:szCs w:val="22"/>
        </w:rPr>
      </w:pPr>
      <w:r w:rsidRPr="005A2FD7">
        <w:rPr>
          <w:sz w:val="22"/>
          <w:szCs w:val="22"/>
        </w:rPr>
        <w:t xml:space="preserve">I en åpen forlengelsesstudie hos pasienter som økte dosen fra 40 mg </w:t>
      </w:r>
      <w:r>
        <w:rPr>
          <w:sz w:val="22"/>
          <w:szCs w:val="22"/>
        </w:rPr>
        <w:t xml:space="preserve">annenhver uke til 40 mg </w:t>
      </w:r>
      <w:r w:rsidR="003721B0">
        <w:rPr>
          <w:sz w:val="22"/>
          <w:szCs w:val="22"/>
        </w:rPr>
        <w:t>per</w:t>
      </w:r>
      <w:r>
        <w:rPr>
          <w:sz w:val="22"/>
          <w:szCs w:val="22"/>
        </w:rPr>
        <w:t xml:space="preserve"> uke</w:t>
      </w:r>
      <w:r w:rsidRPr="005A2FD7">
        <w:rPr>
          <w:sz w:val="22"/>
          <w:szCs w:val="22"/>
        </w:rPr>
        <w:t xml:space="preserve"> på grunn av PASI respons under 50 %</w:t>
      </w:r>
      <w:r>
        <w:rPr>
          <w:sz w:val="22"/>
          <w:szCs w:val="22"/>
        </w:rPr>
        <w:t>,</w:t>
      </w:r>
      <w:r w:rsidRPr="005A2FD7">
        <w:rPr>
          <w:sz w:val="22"/>
          <w:szCs w:val="22"/>
        </w:rPr>
        <w:t xml:space="preserve"> oppnådde 26,4 % (92/349) og 37,8 % (132/349) av pasientene PASI 75-respons ved henholdsvis uke 12 og 24.</w:t>
      </w:r>
    </w:p>
    <w:p w14:paraId="42062F22" w14:textId="77777777" w:rsidR="009E676E" w:rsidRPr="009C5EFD" w:rsidRDefault="009E676E" w:rsidP="009E676E">
      <w:pPr>
        <w:rPr>
          <w:sz w:val="22"/>
          <w:szCs w:val="22"/>
        </w:rPr>
      </w:pPr>
    </w:p>
    <w:p w14:paraId="024AF54F" w14:textId="77777777" w:rsidR="009E676E" w:rsidRDefault="00E453CD" w:rsidP="009E676E">
      <w:pPr>
        <w:rPr>
          <w:sz w:val="22"/>
          <w:szCs w:val="22"/>
        </w:rPr>
      </w:pPr>
      <w:r w:rsidRPr="009C5EFD">
        <w:rPr>
          <w:sz w:val="22"/>
          <w:szCs w:val="22"/>
        </w:rPr>
        <w:t xml:space="preserve">Psoriasisstudie III (REACH) sammenlignet effekt og sikkerhet av Humira </w:t>
      </w:r>
      <w:r w:rsidRPr="009C5EFD">
        <w:rPr>
          <w:i/>
          <w:sz w:val="22"/>
          <w:szCs w:val="22"/>
        </w:rPr>
        <w:t xml:space="preserve">versus </w:t>
      </w:r>
      <w:r w:rsidRPr="009C5EFD">
        <w:rPr>
          <w:sz w:val="22"/>
          <w:szCs w:val="22"/>
        </w:rPr>
        <w:t>placebo hos 7</w:t>
      </w:r>
      <w:r>
        <w:rPr>
          <w:sz w:val="22"/>
          <w:szCs w:val="22"/>
        </w:rPr>
        <w:t>2</w:t>
      </w:r>
      <w:r w:rsidRPr="009C5EFD">
        <w:rPr>
          <w:sz w:val="22"/>
          <w:szCs w:val="22"/>
        </w:rPr>
        <w:t xml:space="preserve"> pasienter med moderat til alvorlig kronisk plakkpsoriasis og hånd og/eller fot psoriasis. Pasientene fikk en startdose på 80 mg Humira etterfulgt av 40 mg annenhver uke (med oppstart én uke etter den første dosen) eller placebo i 16 uker. Ved uke 16 hadde en statistisk signifikant større andel av pasientene som fikk Humira oppnådd PGA score </w:t>
      </w:r>
      <w:r w:rsidR="00D57009">
        <w:rPr>
          <w:sz w:val="22"/>
          <w:szCs w:val="22"/>
        </w:rPr>
        <w:t>«</w:t>
      </w:r>
      <w:r w:rsidRPr="009C5EFD">
        <w:rPr>
          <w:sz w:val="22"/>
          <w:szCs w:val="22"/>
        </w:rPr>
        <w:t xml:space="preserve">klar’ eller </w:t>
      </w:r>
      <w:r w:rsidR="00D57009">
        <w:rPr>
          <w:sz w:val="22"/>
          <w:szCs w:val="22"/>
        </w:rPr>
        <w:t>«</w:t>
      </w:r>
      <w:r w:rsidRPr="009C5EFD">
        <w:rPr>
          <w:sz w:val="22"/>
          <w:szCs w:val="22"/>
        </w:rPr>
        <w:t xml:space="preserve">nesten klar’ for hender og/eller føtter, sammenlignet med pasientene som fikk placebo (henholdsvis 30,6 % </w:t>
      </w:r>
      <w:r w:rsidRPr="009C5EFD">
        <w:rPr>
          <w:i/>
          <w:sz w:val="22"/>
          <w:szCs w:val="22"/>
        </w:rPr>
        <w:t>versus</w:t>
      </w:r>
      <w:r w:rsidRPr="009C5EFD">
        <w:rPr>
          <w:sz w:val="22"/>
          <w:szCs w:val="22"/>
        </w:rPr>
        <w:t xml:space="preserve"> 4,3 %, [p = 0,014]).</w:t>
      </w:r>
    </w:p>
    <w:p w14:paraId="10B195E5" w14:textId="77777777" w:rsidR="0023505E" w:rsidRDefault="0023505E" w:rsidP="009E676E">
      <w:pPr>
        <w:rPr>
          <w:sz w:val="22"/>
          <w:szCs w:val="22"/>
        </w:rPr>
      </w:pPr>
    </w:p>
    <w:p w14:paraId="07D01C88" w14:textId="77777777" w:rsidR="0023505E" w:rsidRDefault="00E453CD" w:rsidP="0023505E">
      <w:pPr>
        <w:rPr>
          <w:sz w:val="22"/>
          <w:szCs w:val="22"/>
        </w:rPr>
      </w:pPr>
      <w:r w:rsidRPr="00553387">
        <w:rPr>
          <w:sz w:val="22"/>
          <w:szCs w:val="22"/>
        </w:rPr>
        <w:t xml:space="preserve">Psoriasisstudie IV sammenlignet effekt og sikkerhet av Humira versus placebo hos 217 </w:t>
      </w:r>
      <w:r>
        <w:rPr>
          <w:sz w:val="22"/>
          <w:szCs w:val="22"/>
        </w:rPr>
        <w:t xml:space="preserve">voksne </w:t>
      </w:r>
      <w:r w:rsidRPr="00553387">
        <w:rPr>
          <w:sz w:val="22"/>
          <w:szCs w:val="22"/>
        </w:rPr>
        <w:t>pasienter med moderat til alvorlig neglepsoriasis. Pasientene fikk en startdose på 80 mg Humira etterfulgt av 40 mg annenhver uke (med oppstart én uke etter den første dosen) eller placebo i 26 uker, etterfulgt av en åpen forlengelses</w:t>
      </w:r>
      <w:r>
        <w:rPr>
          <w:sz w:val="22"/>
          <w:szCs w:val="22"/>
        </w:rPr>
        <w:t xml:space="preserve">periode med </w:t>
      </w:r>
      <w:r w:rsidRPr="00553387">
        <w:rPr>
          <w:sz w:val="22"/>
          <w:szCs w:val="22"/>
        </w:rPr>
        <w:t xml:space="preserve">Humirabehandling i ytterligere 26 uker. Vurdering av neglepsoriasis inkluderte Modified Nail Psoriasis Severity Index (mNAPSI), Physician’s Global Assessment of Fingernail Psoriasis (PGA-F) og Nail Psoriasis Severity Index (NAPSI) (se tabell </w:t>
      </w:r>
      <w:r w:rsidR="00FB4C84">
        <w:rPr>
          <w:sz w:val="22"/>
          <w:szCs w:val="22"/>
        </w:rPr>
        <w:t>1</w:t>
      </w:r>
      <w:r w:rsidR="003F5EAC">
        <w:rPr>
          <w:sz w:val="22"/>
          <w:szCs w:val="22"/>
        </w:rPr>
        <w:t>1</w:t>
      </w:r>
      <w:r w:rsidRPr="00553387">
        <w:rPr>
          <w:sz w:val="22"/>
          <w:szCs w:val="22"/>
        </w:rPr>
        <w:t>). Behandling med Humira viste en behandlingsfordel hos pasienter med neglepsoriasis med ulik grad av hudpåvirkning (BSA</w:t>
      </w:r>
      <w:r>
        <w:rPr>
          <w:sz w:val="22"/>
          <w:szCs w:val="22"/>
        </w:rPr>
        <w:t xml:space="preserve"> </w:t>
      </w:r>
      <w:r w:rsidRPr="00553387">
        <w:rPr>
          <w:sz w:val="22"/>
          <w:szCs w:val="22"/>
        </w:rPr>
        <w:t>≥</w:t>
      </w:r>
      <w:r>
        <w:rPr>
          <w:sz w:val="22"/>
          <w:szCs w:val="22"/>
        </w:rPr>
        <w:t xml:space="preserve"> </w:t>
      </w:r>
      <w:r w:rsidRPr="00553387">
        <w:rPr>
          <w:sz w:val="22"/>
          <w:szCs w:val="22"/>
        </w:rPr>
        <w:t>10</w:t>
      </w:r>
      <w:r>
        <w:rPr>
          <w:sz w:val="22"/>
          <w:szCs w:val="22"/>
        </w:rPr>
        <w:t xml:space="preserve"> </w:t>
      </w:r>
      <w:r w:rsidRPr="00553387">
        <w:rPr>
          <w:sz w:val="22"/>
          <w:szCs w:val="22"/>
        </w:rPr>
        <w:t xml:space="preserve">% </w:t>
      </w:r>
      <w:r>
        <w:rPr>
          <w:sz w:val="22"/>
          <w:szCs w:val="22"/>
        </w:rPr>
        <w:t xml:space="preserve">(60 % av pasientene) </w:t>
      </w:r>
      <w:r w:rsidRPr="00553387">
        <w:rPr>
          <w:sz w:val="22"/>
          <w:szCs w:val="22"/>
        </w:rPr>
        <w:t>og BSA</w:t>
      </w:r>
      <w:r>
        <w:rPr>
          <w:sz w:val="22"/>
          <w:szCs w:val="22"/>
        </w:rPr>
        <w:t xml:space="preserve"> </w:t>
      </w:r>
      <w:r w:rsidRPr="00553387">
        <w:rPr>
          <w:sz w:val="22"/>
          <w:szCs w:val="22"/>
        </w:rPr>
        <w:t>&lt;</w:t>
      </w:r>
      <w:r>
        <w:rPr>
          <w:sz w:val="22"/>
          <w:szCs w:val="22"/>
        </w:rPr>
        <w:t xml:space="preserve"> </w:t>
      </w:r>
      <w:r w:rsidRPr="00553387">
        <w:rPr>
          <w:sz w:val="22"/>
          <w:szCs w:val="22"/>
        </w:rPr>
        <w:t>10</w:t>
      </w:r>
      <w:r>
        <w:rPr>
          <w:sz w:val="22"/>
          <w:szCs w:val="22"/>
        </w:rPr>
        <w:t xml:space="preserve"> </w:t>
      </w:r>
      <w:r w:rsidRPr="00553387">
        <w:rPr>
          <w:sz w:val="22"/>
          <w:szCs w:val="22"/>
        </w:rPr>
        <w:t>% og ≥</w:t>
      </w:r>
      <w:r>
        <w:rPr>
          <w:sz w:val="22"/>
          <w:szCs w:val="22"/>
        </w:rPr>
        <w:t xml:space="preserve"> </w:t>
      </w:r>
      <w:r w:rsidRPr="00553387">
        <w:rPr>
          <w:sz w:val="22"/>
          <w:szCs w:val="22"/>
        </w:rPr>
        <w:t>5</w:t>
      </w:r>
      <w:r>
        <w:rPr>
          <w:sz w:val="22"/>
          <w:szCs w:val="22"/>
        </w:rPr>
        <w:t xml:space="preserve"> </w:t>
      </w:r>
      <w:r w:rsidRPr="00553387">
        <w:rPr>
          <w:sz w:val="22"/>
          <w:szCs w:val="22"/>
        </w:rPr>
        <w:t>%</w:t>
      </w:r>
      <w:r>
        <w:rPr>
          <w:sz w:val="22"/>
          <w:szCs w:val="22"/>
        </w:rPr>
        <w:t xml:space="preserve"> (40 % av pasientene)</w:t>
      </w:r>
      <w:r w:rsidRPr="00553387">
        <w:rPr>
          <w:sz w:val="22"/>
          <w:szCs w:val="22"/>
        </w:rPr>
        <w:t>).</w:t>
      </w:r>
      <w:r>
        <w:rPr>
          <w:sz w:val="22"/>
          <w:szCs w:val="22"/>
        </w:rPr>
        <w:t xml:space="preserve"> </w:t>
      </w:r>
    </w:p>
    <w:p w14:paraId="55E34993" w14:textId="77777777" w:rsidR="0023505E" w:rsidRDefault="0023505E" w:rsidP="0023505E">
      <w:pPr>
        <w:rPr>
          <w:sz w:val="22"/>
          <w:szCs w:val="22"/>
        </w:rPr>
      </w:pPr>
    </w:p>
    <w:p w14:paraId="0B8A60C6" w14:textId="77777777" w:rsidR="0023505E" w:rsidRPr="007A3AEF" w:rsidRDefault="00E453CD" w:rsidP="0023505E">
      <w:pPr>
        <w:pStyle w:val="gtctabletitleotherwise"/>
        <w:keepNext/>
        <w:spacing w:before="0"/>
        <w:rPr>
          <w:bCs w:val="0"/>
          <w:sz w:val="22"/>
          <w:szCs w:val="22"/>
          <w:lang w:val="nb-NO"/>
        </w:rPr>
      </w:pPr>
      <w:r>
        <w:rPr>
          <w:bCs w:val="0"/>
          <w:sz w:val="22"/>
          <w:szCs w:val="22"/>
          <w:lang w:val="nb-NO"/>
        </w:rPr>
        <w:t xml:space="preserve">Tabell </w:t>
      </w:r>
      <w:r w:rsidR="003F5EAC">
        <w:rPr>
          <w:bCs w:val="0"/>
          <w:sz w:val="22"/>
          <w:szCs w:val="22"/>
          <w:lang w:val="nb-NO"/>
        </w:rPr>
        <w:t>11</w:t>
      </w:r>
    </w:p>
    <w:p w14:paraId="56AF53A3" w14:textId="77777777" w:rsidR="0023505E" w:rsidRPr="007A3AEF" w:rsidRDefault="00E453CD" w:rsidP="0023505E">
      <w:pPr>
        <w:pStyle w:val="gtctabletitleotherwise"/>
        <w:keepNext/>
        <w:spacing w:before="0"/>
        <w:rPr>
          <w:sz w:val="22"/>
          <w:szCs w:val="22"/>
          <w:lang w:val="nb-NO"/>
        </w:rPr>
      </w:pPr>
      <w:r w:rsidRPr="007A3AEF">
        <w:rPr>
          <w:bCs w:val="0"/>
          <w:sz w:val="22"/>
          <w:szCs w:val="22"/>
          <w:lang w:val="nb-NO"/>
        </w:rPr>
        <w:t xml:space="preserve">Psoriasisstudie IV </w:t>
      </w:r>
      <w:r w:rsidR="00F33557">
        <w:rPr>
          <w:bCs w:val="0"/>
          <w:sz w:val="22"/>
          <w:szCs w:val="22"/>
          <w:lang w:val="nb-NO"/>
        </w:rPr>
        <w:t>Effektresultater</w:t>
      </w:r>
      <w:r w:rsidRPr="007A3AEF">
        <w:rPr>
          <w:bCs w:val="0"/>
          <w:sz w:val="22"/>
          <w:szCs w:val="22"/>
          <w:lang w:val="nb-NO"/>
        </w:rPr>
        <w:t xml:space="preserve"> ved 16, 26 og 52 </w:t>
      </w:r>
      <w:r>
        <w:rPr>
          <w:bCs w:val="0"/>
          <w:sz w:val="22"/>
          <w:szCs w:val="22"/>
          <w:lang w:val="nb-NO"/>
        </w:rPr>
        <w:t>uker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4644D4" w14:paraId="322570FC" w14:textId="77777777" w:rsidTr="008460E8">
        <w:tc>
          <w:tcPr>
            <w:tcW w:w="2718" w:type="dxa"/>
            <w:vMerge w:val="restart"/>
          </w:tcPr>
          <w:p w14:paraId="1F28678A" w14:textId="77777777" w:rsidR="0023505E" w:rsidRPr="00901AFA" w:rsidRDefault="00E453CD" w:rsidP="008460E8">
            <w:pPr>
              <w:pStyle w:val="gtctablespaceafter"/>
              <w:spacing w:after="0"/>
              <w:rPr>
                <w:sz w:val="22"/>
                <w:szCs w:val="22"/>
              </w:rPr>
            </w:pPr>
            <w:r w:rsidRPr="00901AFA">
              <w:rPr>
                <w:sz w:val="22"/>
                <w:szCs w:val="22"/>
              </w:rPr>
              <w:t>End</w:t>
            </w:r>
            <w:r>
              <w:rPr>
                <w:sz w:val="22"/>
                <w:szCs w:val="22"/>
              </w:rPr>
              <w:t>e</w:t>
            </w:r>
            <w:r w:rsidRPr="00901AFA">
              <w:rPr>
                <w:sz w:val="22"/>
                <w:szCs w:val="22"/>
              </w:rPr>
              <w:t>p</w:t>
            </w:r>
            <w:r>
              <w:rPr>
                <w:sz w:val="22"/>
                <w:szCs w:val="22"/>
              </w:rPr>
              <w:t>unkt</w:t>
            </w:r>
          </w:p>
        </w:tc>
        <w:tc>
          <w:tcPr>
            <w:tcW w:w="2340" w:type="dxa"/>
            <w:gridSpan w:val="2"/>
          </w:tcPr>
          <w:p w14:paraId="6C18CC02" w14:textId="77777777" w:rsidR="0023505E" w:rsidRPr="00901AFA" w:rsidRDefault="00E453CD" w:rsidP="008460E8">
            <w:pPr>
              <w:pStyle w:val="gtctablespaceafter"/>
              <w:spacing w:after="0"/>
              <w:jc w:val="center"/>
              <w:rPr>
                <w:sz w:val="22"/>
                <w:szCs w:val="22"/>
              </w:rPr>
            </w:pPr>
            <w:r>
              <w:rPr>
                <w:sz w:val="22"/>
                <w:szCs w:val="22"/>
              </w:rPr>
              <w:t>Uke</w:t>
            </w:r>
            <w:r w:rsidRPr="00901AFA">
              <w:rPr>
                <w:sz w:val="22"/>
                <w:szCs w:val="22"/>
              </w:rPr>
              <w:t xml:space="preserve"> 16</w:t>
            </w:r>
          </w:p>
          <w:p w14:paraId="0E574F62" w14:textId="77777777" w:rsidR="0023505E" w:rsidRPr="00901AFA" w:rsidRDefault="00E453CD" w:rsidP="008460E8">
            <w:pPr>
              <w:pStyle w:val="gtctablespaceafter"/>
              <w:spacing w:after="0"/>
              <w:jc w:val="center"/>
              <w:rPr>
                <w:sz w:val="22"/>
                <w:szCs w:val="22"/>
              </w:rPr>
            </w:pPr>
            <w:r w:rsidRPr="00901AFA">
              <w:rPr>
                <w:sz w:val="22"/>
                <w:szCs w:val="22"/>
              </w:rPr>
              <w:t>Placebo</w:t>
            </w:r>
            <w:r>
              <w:rPr>
                <w:sz w:val="22"/>
                <w:szCs w:val="22"/>
              </w:rPr>
              <w:t>kontrollert</w:t>
            </w:r>
          </w:p>
        </w:tc>
        <w:tc>
          <w:tcPr>
            <w:tcW w:w="2250" w:type="dxa"/>
            <w:gridSpan w:val="2"/>
          </w:tcPr>
          <w:p w14:paraId="468D1062" w14:textId="77777777" w:rsidR="0023505E" w:rsidRPr="00901AFA" w:rsidRDefault="00E453CD" w:rsidP="008460E8">
            <w:pPr>
              <w:pStyle w:val="gtctablespaceafter"/>
              <w:spacing w:after="0"/>
              <w:jc w:val="center"/>
              <w:rPr>
                <w:sz w:val="22"/>
                <w:szCs w:val="22"/>
              </w:rPr>
            </w:pPr>
            <w:r>
              <w:rPr>
                <w:sz w:val="22"/>
                <w:szCs w:val="22"/>
              </w:rPr>
              <w:t>Uke</w:t>
            </w:r>
            <w:r w:rsidRPr="00901AFA">
              <w:rPr>
                <w:sz w:val="22"/>
                <w:szCs w:val="22"/>
              </w:rPr>
              <w:t xml:space="preserve"> 26</w:t>
            </w:r>
          </w:p>
          <w:p w14:paraId="2CBA58C5" w14:textId="77777777" w:rsidR="0023505E" w:rsidRPr="00901AFA" w:rsidRDefault="00E453CD" w:rsidP="008460E8">
            <w:pPr>
              <w:pStyle w:val="gtctablespaceafter"/>
              <w:spacing w:after="0"/>
              <w:jc w:val="center"/>
              <w:rPr>
                <w:sz w:val="22"/>
                <w:szCs w:val="22"/>
              </w:rPr>
            </w:pPr>
            <w:r w:rsidRPr="00901AFA">
              <w:rPr>
                <w:sz w:val="22"/>
                <w:szCs w:val="22"/>
              </w:rPr>
              <w:t>Placebo</w:t>
            </w:r>
            <w:r>
              <w:rPr>
                <w:sz w:val="22"/>
                <w:szCs w:val="22"/>
              </w:rPr>
              <w:t>kontrollert</w:t>
            </w:r>
          </w:p>
        </w:tc>
        <w:tc>
          <w:tcPr>
            <w:tcW w:w="2268" w:type="dxa"/>
          </w:tcPr>
          <w:p w14:paraId="03EC36E4" w14:textId="77777777" w:rsidR="0023505E" w:rsidRPr="00901AFA" w:rsidRDefault="00E453CD" w:rsidP="008460E8">
            <w:pPr>
              <w:pStyle w:val="gtctablespaceafter"/>
              <w:spacing w:after="0"/>
              <w:jc w:val="center"/>
              <w:rPr>
                <w:sz w:val="22"/>
                <w:szCs w:val="22"/>
              </w:rPr>
            </w:pPr>
            <w:r>
              <w:rPr>
                <w:sz w:val="22"/>
                <w:szCs w:val="22"/>
              </w:rPr>
              <w:t>Uke</w:t>
            </w:r>
            <w:r w:rsidRPr="00901AFA">
              <w:rPr>
                <w:sz w:val="22"/>
                <w:szCs w:val="22"/>
              </w:rPr>
              <w:t xml:space="preserve"> 52</w:t>
            </w:r>
          </w:p>
          <w:p w14:paraId="18027A95" w14:textId="77777777" w:rsidR="0023505E" w:rsidRPr="00901AFA" w:rsidRDefault="00E453CD" w:rsidP="008460E8">
            <w:pPr>
              <w:pStyle w:val="gtctablespaceafter"/>
              <w:spacing w:after="0"/>
              <w:jc w:val="center"/>
              <w:rPr>
                <w:sz w:val="22"/>
                <w:szCs w:val="22"/>
              </w:rPr>
            </w:pPr>
            <w:r>
              <w:rPr>
                <w:sz w:val="22"/>
                <w:szCs w:val="22"/>
              </w:rPr>
              <w:t>Åpen studie</w:t>
            </w:r>
          </w:p>
        </w:tc>
      </w:tr>
      <w:tr w:rsidR="004644D4" w14:paraId="299FA654" w14:textId="77777777" w:rsidTr="008460E8">
        <w:tc>
          <w:tcPr>
            <w:tcW w:w="2718" w:type="dxa"/>
            <w:vMerge/>
          </w:tcPr>
          <w:p w14:paraId="616C38A1" w14:textId="77777777" w:rsidR="0023505E" w:rsidRPr="00901AFA" w:rsidRDefault="0023505E" w:rsidP="008460E8">
            <w:pPr>
              <w:pStyle w:val="gtctablespaceafter"/>
              <w:spacing w:after="0"/>
              <w:rPr>
                <w:sz w:val="22"/>
                <w:szCs w:val="22"/>
              </w:rPr>
            </w:pPr>
          </w:p>
        </w:tc>
        <w:tc>
          <w:tcPr>
            <w:tcW w:w="1080" w:type="dxa"/>
          </w:tcPr>
          <w:p w14:paraId="0FC56477" w14:textId="77777777" w:rsidR="0023505E" w:rsidRPr="00AF793E" w:rsidRDefault="00E453CD" w:rsidP="008460E8">
            <w:pPr>
              <w:pStyle w:val="gtctablespaceafter"/>
              <w:spacing w:after="0"/>
              <w:jc w:val="center"/>
              <w:rPr>
                <w:sz w:val="22"/>
                <w:szCs w:val="22"/>
              </w:rPr>
            </w:pPr>
            <w:r w:rsidRPr="00AF793E">
              <w:rPr>
                <w:sz w:val="22"/>
              </w:rPr>
              <w:t>Placebo</w:t>
            </w:r>
            <w:r w:rsidRPr="00AF793E">
              <w:rPr>
                <w:sz w:val="22"/>
              </w:rPr>
              <w:br/>
              <w:t>N=108</w:t>
            </w:r>
          </w:p>
        </w:tc>
        <w:tc>
          <w:tcPr>
            <w:tcW w:w="1260" w:type="dxa"/>
          </w:tcPr>
          <w:p w14:paraId="22ABD2E5" w14:textId="77777777" w:rsidR="0023505E" w:rsidRPr="007A3AEF" w:rsidRDefault="00E453CD" w:rsidP="008460E8">
            <w:pPr>
              <w:pStyle w:val="In-texttable"/>
              <w:keepNext w:val="0"/>
              <w:spacing w:line="240" w:lineRule="auto"/>
              <w:jc w:val="center"/>
              <w:rPr>
                <w:rFonts w:ascii="Times New Roman" w:hAnsi="Times New Roman"/>
                <w:sz w:val="22"/>
                <w:lang w:val="nb-NO"/>
              </w:rPr>
            </w:pPr>
            <w:r w:rsidRPr="007A3AEF">
              <w:rPr>
                <w:rFonts w:ascii="Times New Roman" w:hAnsi="Times New Roman"/>
                <w:sz w:val="22"/>
                <w:lang w:val="nb-NO"/>
              </w:rPr>
              <w:t>Humira</w:t>
            </w:r>
          </w:p>
          <w:p w14:paraId="34C64E5E" w14:textId="77777777" w:rsidR="0023505E" w:rsidRPr="007A3AEF" w:rsidRDefault="00E453CD" w:rsidP="008460E8">
            <w:pPr>
              <w:pStyle w:val="gtctablespaceafter"/>
              <w:spacing w:after="0"/>
              <w:jc w:val="center"/>
              <w:rPr>
                <w:sz w:val="22"/>
                <w:szCs w:val="22"/>
                <w:lang w:val="nb-NO"/>
              </w:rPr>
            </w:pPr>
            <w:r w:rsidRPr="007A3AEF">
              <w:rPr>
                <w:sz w:val="22"/>
                <w:lang w:val="nb-NO"/>
              </w:rPr>
              <w:t xml:space="preserve">40 mg annenhver </w:t>
            </w:r>
            <w:r w:rsidRPr="007A3AEF">
              <w:rPr>
                <w:sz w:val="22"/>
                <w:lang w:val="nb-NO"/>
              </w:rPr>
              <w:lastRenderedPageBreak/>
              <w:t xml:space="preserve">uke </w:t>
            </w:r>
            <w:r w:rsidRPr="007A3AEF">
              <w:rPr>
                <w:sz w:val="22"/>
                <w:lang w:val="nb-NO"/>
              </w:rPr>
              <w:br/>
              <w:t>N=109</w:t>
            </w:r>
          </w:p>
        </w:tc>
        <w:tc>
          <w:tcPr>
            <w:tcW w:w="990" w:type="dxa"/>
          </w:tcPr>
          <w:p w14:paraId="36B94850" w14:textId="77777777" w:rsidR="0023505E" w:rsidRPr="00AF793E" w:rsidRDefault="00E453CD" w:rsidP="008460E8">
            <w:pPr>
              <w:pStyle w:val="gtctablespaceafter"/>
              <w:spacing w:after="0"/>
              <w:jc w:val="center"/>
              <w:rPr>
                <w:sz w:val="22"/>
                <w:szCs w:val="22"/>
              </w:rPr>
            </w:pPr>
            <w:r w:rsidRPr="00AF793E">
              <w:rPr>
                <w:sz w:val="22"/>
              </w:rPr>
              <w:lastRenderedPageBreak/>
              <w:t>Placebo</w:t>
            </w:r>
            <w:r w:rsidRPr="00AF793E">
              <w:rPr>
                <w:sz w:val="22"/>
              </w:rPr>
              <w:br/>
              <w:t>N=108</w:t>
            </w:r>
          </w:p>
        </w:tc>
        <w:tc>
          <w:tcPr>
            <w:tcW w:w="1260" w:type="dxa"/>
          </w:tcPr>
          <w:p w14:paraId="7D17E892" w14:textId="77777777" w:rsidR="0023505E" w:rsidRPr="007A3AEF" w:rsidRDefault="00E453CD" w:rsidP="008460E8">
            <w:pPr>
              <w:pStyle w:val="In-texttable"/>
              <w:keepNext w:val="0"/>
              <w:spacing w:line="240" w:lineRule="auto"/>
              <w:jc w:val="center"/>
              <w:rPr>
                <w:rFonts w:ascii="Times New Roman" w:hAnsi="Times New Roman"/>
                <w:sz w:val="22"/>
                <w:lang w:val="nb-NO"/>
              </w:rPr>
            </w:pPr>
            <w:r w:rsidRPr="007A3AEF">
              <w:rPr>
                <w:rFonts w:ascii="Times New Roman" w:hAnsi="Times New Roman"/>
                <w:sz w:val="22"/>
                <w:lang w:val="nb-NO"/>
              </w:rPr>
              <w:t>Humira</w:t>
            </w:r>
          </w:p>
          <w:p w14:paraId="19421C22" w14:textId="77777777" w:rsidR="0023505E" w:rsidRPr="007A3AEF" w:rsidRDefault="00E453CD" w:rsidP="008460E8">
            <w:pPr>
              <w:pStyle w:val="gtctablespaceafter"/>
              <w:spacing w:after="0"/>
              <w:jc w:val="center"/>
              <w:rPr>
                <w:sz w:val="22"/>
                <w:szCs w:val="22"/>
                <w:lang w:val="nb-NO"/>
              </w:rPr>
            </w:pPr>
            <w:r w:rsidRPr="007A3AEF">
              <w:rPr>
                <w:sz w:val="22"/>
                <w:lang w:val="nb-NO"/>
              </w:rPr>
              <w:t xml:space="preserve">40 mg annenhver </w:t>
            </w:r>
            <w:r w:rsidRPr="007A3AEF">
              <w:rPr>
                <w:sz w:val="22"/>
                <w:lang w:val="nb-NO"/>
              </w:rPr>
              <w:lastRenderedPageBreak/>
              <w:t xml:space="preserve">uke </w:t>
            </w:r>
            <w:r w:rsidRPr="007A3AEF">
              <w:rPr>
                <w:sz w:val="22"/>
                <w:lang w:val="nb-NO"/>
              </w:rPr>
              <w:br/>
              <w:t>N=109</w:t>
            </w:r>
          </w:p>
        </w:tc>
        <w:tc>
          <w:tcPr>
            <w:tcW w:w="2268" w:type="dxa"/>
          </w:tcPr>
          <w:p w14:paraId="183DF7D4" w14:textId="77777777" w:rsidR="0023505E" w:rsidRPr="007A3AEF" w:rsidRDefault="00E453CD" w:rsidP="008460E8">
            <w:pPr>
              <w:pStyle w:val="In-texttable"/>
              <w:keepNext w:val="0"/>
              <w:spacing w:line="240" w:lineRule="auto"/>
              <w:jc w:val="center"/>
              <w:rPr>
                <w:rFonts w:ascii="Times New Roman" w:hAnsi="Times New Roman"/>
                <w:sz w:val="22"/>
                <w:lang w:val="nb-NO"/>
              </w:rPr>
            </w:pPr>
            <w:r w:rsidRPr="007A3AEF">
              <w:rPr>
                <w:rFonts w:ascii="Times New Roman" w:hAnsi="Times New Roman"/>
                <w:sz w:val="22"/>
                <w:lang w:val="nb-NO"/>
              </w:rPr>
              <w:lastRenderedPageBreak/>
              <w:t>Humira</w:t>
            </w:r>
          </w:p>
          <w:p w14:paraId="1C5951B1" w14:textId="77777777" w:rsidR="0023505E" w:rsidRPr="007A3AEF" w:rsidRDefault="00E453CD" w:rsidP="008460E8">
            <w:pPr>
              <w:pStyle w:val="gtctablespaceafter"/>
              <w:spacing w:after="0"/>
              <w:jc w:val="center"/>
              <w:rPr>
                <w:sz w:val="22"/>
                <w:szCs w:val="22"/>
                <w:lang w:val="nb-NO"/>
              </w:rPr>
            </w:pPr>
            <w:r w:rsidRPr="007A3AEF">
              <w:rPr>
                <w:sz w:val="22"/>
                <w:lang w:val="nb-NO"/>
              </w:rPr>
              <w:t xml:space="preserve">40 mg annenhver uke </w:t>
            </w:r>
            <w:r w:rsidRPr="007A3AEF">
              <w:rPr>
                <w:sz w:val="22"/>
                <w:lang w:val="nb-NO"/>
              </w:rPr>
              <w:br/>
              <w:t>N=80</w:t>
            </w:r>
          </w:p>
        </w:tc>
      </w:tr>
      <w:tr w:rsidR="004644D4" w14:paraId="0F430E90" w14:textId="77777777" w:rsidTr="008460E8">
        <w:tc>
          <w:tcPr>
            <w:tcW w:w="2718" w:type="dxa"/>
          </w:tcPr>
          <w:p w14:paraId="6CBCB2BD" w14:textId="77777777" w:rsidR="0023505E" w:rsidRPr="00AF793E" w:rsidRDefault="00E453CD" w:rsidP="008460E8">
            <w:pPr>
              <w:pStyle w:val="gtctablespaceafter"/>
              <w:spacing w:after="0"/>
              <w:rPr>
                <w:sz w:val="22"/>
                <w:szCs w:val="22"/>
              </w:rPr>
            </w:pPr>
            <w:r w:rsidRPr="00AF793E">
              <w:rPr>
                <w:sz w:val="22"/>
              </w:rPr>
              <w:t>≥ mNAPSI 75 (%)</w:t>
            </w:r>
          </w:p>
        </w:tc>
        <w:tc>
          <w:tcPr>
            <w:tcW w:w="1080" w:type="dxa"/>
          </w:tcPr>
          <w:p w14:paraId="1E21EEC7" w14:textId="77777777" w:rsidR="0023505E" w:rsidRPr="00AF793E" w:rsidRDefault="00E453CD" w:rsidP="008460E8">
            <w:pPr>
              <w:pStyle w:val="gtctablespaceafter"/>
              <w:spacing w:after="0"/>
              <w:jc w:val="center"/>
              <w:rPr>
                <w:sz w:val="22"/>
                <w:szCs w:val="22"/>
              </w:rPr>
            </w:pPr>
            <w:r w:rsidRPr="00AF793E">
              <w:rPr>
                <w:sz w:val="22"/>
                <w:szCs w:val="22"/>
              </w:rPr>
              <w:t>2</w:t>
            </w:r>
            <w:r>
              <w:rPr>
                <w:sz w:val="22"/>
                <w:szCs w:val="22"/>
              </w:rPr>
              <w:t>,</w:t>
            </w:r>
            <w:r w:rsidRPr="00AF793E">
              <w:rPr>
                <w:sz w:val="22"/>
                <w:szCs w:val="22"/>
              </w:rPr>
              <w:t>9</w:t>
            </w:r>
          </w:p>
        </w:tc>
        <w:tc>
          <w:tcPr>
            <w:tcW w:w="1260" w:type="dxa"/>
          </w:tcPr>
          <w:p w14:paraId="16D21459" w14:textId="77777777" w:rsidR="0023505E" w:rsidRPr="00AF793E" w:rsidRDefault="00E453CD" w:rsidP="008460E8">
            <w:pPr>
              <w:pStyle w:val="gtctablespaceafter"/>
              <w:spacing w:after="0"/>
              <w:jc w:val="center"/>
              <w:rPr>
                <w:sz w:val="22"/>
                <w:szCs w:val="22"/>
              </w:rPr>
            </w:pPr>
            <w:r w:rsidRPr="00AF793E">
              <w:rPr>
                <w:sz w:val="22"/>
                <w:szCs w:val="22"/>
              </w:rPr>
              <w:t>26</w:t>
            </w:r>
            <w:r>
              <w:rPr>
                <w:sz w:val="22"/>
                <w:szCs w:val="22"/>
              </w:rPr>
              <w:t>,</w:t>
            </w:r>
            <w:r w:rsidRPr="00AF793E">
              <w:rPr>
                <w:sz w:val="22"/>
                <w:szCs w:val="22"/>
              </w:rPr>
              <w:t>0</w:t>
            </w:r>
            <w:r w:rsidRPr="00AF793E">
              <w:rPr>
                <w:sz w:val="22"/>
                <w:szCs w:val="22"/>
                <w:vertAlign w:val="superscript"/>
              </w:rPr>
              <w:t>a</w:t>
            </w:r>
          </w:p>
        </w:tc>
        <w:tc>
          <w:tcPr>
            <w:tcW w:w="990" w:type="dxa"/>
          </w:tcPr>
          <w:p w14:paraId="14635BD3" w14:textId="77777777" w:rsidR="0023505E" w:rsidRPr="00AF793E" w:rsidRDefault="00E453CD" w:rsidP="008460E8">
            <w:pPr>
              <w:keepNext/>
              <w:jc w:val="center"/>
              <w:rPr>
                <w:szCs w:val="22"/>
              </w:rPr>
            </w:pPr>
            <w:r w:rsidRPr="00AF793E">
              <w:rPr>
                <w:szCs w:val="22"/>
              </w:rPr>
              <w:t>3</w:t>
            </w:r>
            <w:r>
              <w:rPr>
                <w:szCs w:val="22"/>
              </w:rPr>
              <w:t>,</w:t>
            </w:r>
            <w:r w:rsidRPr="00AF793E">
              <w:rPr>
                <w:szCs w:val="22"/>
              </w:rPr>
              <w:t>4</w:t>
            </w:r>
          </w:p>
        </w:tc>
        <w:tc>
          <w:tcPr>
            <w:tcW w:w="1260" w:type="dxa"/>
          </w:tcPr>
          <w:p w14:paraId="42C657B0" w14:textId="77777777" w:rsidR="0023505E" w:rsidRPr="00AF793E" w:rsidRDefault="00E453CD" w:rsidP="008460E8">
            <w:pPr>
              <w:keepNext/>
              <w:jc w:val="center"/>
              <w:rPr>
                <w:szCs w:val="22"/>
              </w:rPr>
            </w:pPr>
            <w:r w:rsidRPr="00AF793E">
              <w:rPr>
                <w:szCs w:val="22"/>
              </w:rPr>
              <w:t>46</w:t>
            </w:r>
            <w:r>
              <w:rPr>
                <w:szCs w:val="22"/>
              </w:rPr>
              <w:t>,</w:t>
            </w:r>
            <w:r w:rsidRPr="00AF793E">
              <w:rPr>
                <w:szCs w:val="22"/>
              </w:rPr>
              <w:t>6</w:t>
            </w:r>
            <w:r w:rsidRPr="00AF793E">
              <w:rPr>
                <w:szCs w:val="22"/>
                <w:vertAlign w:val="superscript"/>
              </w:rPr>
              <w:t>a</w:t>
            </w:r>
          </w:p>
        </w:tc>
        <w:tc>
          <w:tcPr>
            <w:tcW w:w="2268" w:type="dxa"/>
          </w:tcPr>
          <w:p w14:paraId="4E1ED0F4" w14:textId="77777777" w:rsidR="0023505E" w:rsidRPr="00AF793E" w:rsidRDefault="00E453CD" w:rsidP="008460E8">
            <w:pPr>
              <w:pStyle w:val="gtctablespaceafter"/>
              <w:spacing w:after="0"/>
              <w:jc w:val="center"/>
              <w:rPr>
                <w:sz w:val="22"/>
                <w:szCs w:val="22"/>
              </w:rPr>
            </w:pPr>
            <w:r w:rsidRPr="00AF793E">
              <w:rPr>
                <w:sz w:val="22"/>
                <w:szCs w:val="22"/>
              </w:rPr>
              <w:t>65</w:t>
            </w:r>
            <w:r>
              <w:rPr>
                <w:sz w:val="22"/>
                <w:szCs w:val="22"/>
              </w:rPr>
              <w:t>,</w:t>
            </w:r>
            <w:r w:rsidRPr="00AF793E">
              <w:rPr>
                <w:sz w:val="22"/>
                <w:szCs w:val="22"/>
              </w:rPr>
              <w:t>0</w:t>
            </w:r>
          </w:p>
        </w:tc>
      </w:tr>
      <w:tr w:rsidR="004644D4" w14:paraId="4AA3B5F6" w14:textId="77777777" w:rsidTr="008460E8">
        <w:tc>
          <w:tcPr>
            <w:tcW w:w="2718" w:type="dxa"/>
          </w:tcPr>
          <w:p w14:paraId="1A926FB3" w14:textId="77777777" w:rsidR="0023505E" w:rsidRPr="007A3AEF" w:rsidRDefault="00E453CD" w:rsidP="008460E8">
            <w:pPr>
              <w:pStyle w:val="gtctablespaceafter"/>
              <w:spacing w:after="0"/>
              <w:rPr>
                <w:sz w:val="22"/>
                <w:szCs w:val="22"/>
                <w:lang w:val="nb-NO"/>
              </w:rPr>
            </w:pPr>
            <w:r w:rsidRPr="007A3AEF">
              <w:rPr>
                <w:sz w:val="22"/>
                <w:szCs w:val="22"/>
                <w:lang w:val="nb-NO"/>
              </w:rPr>
              <w:t>PGA-F klar/minimal og  ≥</w:t>
            </w:r>
            <w:r>
              <w:rPr>
                <w:sz w:val="22"/>
                <w:szCs w:val="22"/>
                <w:lang w:val="nb-NO"/>
              </w:rPr>
              <w:t xml:space="preserve"> </w:t>
            </w:r>
            <w:r w:rsidRPr="007A3AEF">
              <w:rPr>
                <w:sz w:val="22"/>
                <w:szCs w:val="22"/>
                <w:lang w:val="nb-NO"/>
              </w:rPr>
              <w:t>2-grad forbedring (%)</w:t>
            </w:r>
          </w:p>
        </w:tc>
        <w:tc>
          <w:tcPr>
            <w:tcW w:w="1080" w:type="dxa"/>
          </w:tcPr>
          <w:p w14:paraId="7ED3E124" w14:textId="77777777" w:rsidR="0023505E" w:rsidRPr="00AF793E" w:rsidRDefault="00E453CD" w:rsidP="008460E8">
            <w:pPr>
              <w:pStyle w:val="gtctablespaceafter"/>
              <w:spacing w:after="0"/>
              <w:jc w:val="center"/>
              <w:rPr>
                <w:sz w:val="22"/>
                <w:szCs w:val="22"/>
              </w:rPr>
            </w:pPr>
            <w:r w:rsidRPr="00AF793E">
              <w:rPr>
                <w:sz w:val="22"/>
                <w:szCs w:val="22"/>
              </w:rPr>
              <w:t>2</w:t>
            </w:r>
            <w:r>
              <w:rPr>
                <w:sz w:val="22"/>
                <w:szCs w:val="22"/>
              </w:rPr>
              <w:t>,</w:t>
            </w:r>
            <w:r w:rsidRPr="00AF793E">
              <w:rPr>
                <w:sz w:val="22"/>
                <w:szCs w:val="22"/>
              </w:rPr>
              <w:t>9</w:t>
            </w:r>
          </w:p>
        </w:tc>
        <w:tc>
          <w:tcPr>
            <w:tcW w:w="1260" w:type="dxa"/>
          </w:tcPr>
          <w:p w14:paraId="21712E59" w14:textId="77777777" w:rsidR="0023505E" w:rsidRPr="00AF793E" w:rsidRDefault="00E453CD" w:rsidP="008460E8">
            <w:pPr>
              <w:pStyle w:val="gtctablespaceafter"/>
              <w:spacing w:after="0"/>
              <w:jc w:val="center"/>
              <w:rPr>
                <w:sz w:val="22"/>
                <w:szCs w:val="22"/>
              </w:rPr>
            </w:pPr>
            <w:r w:rsidRPr="00AF793E">
              <w:rPr>
                <w:sz w:val="22"/>
                <w:szCs w:val="22"/>
              </w:rPr>
              <w:t>29</w:t>
            </w:r>
            <w:r>
              <w:rPr>
                <w:sz w:val="22"/>
                <w:szCs w:val="22"/>
              </w:rPr>
              <w:t>,</w:t>
            </w:r>
            <w:r w:rsidRPr="00AF793E">
              <w:rPr>
                <w:sz w:val="22"/>
                <w:szCs w:val="22"/>
              </w:rPr>
              <w:t>7</w:t>
            </w:r>
            <w:r w:rsidRPr="00AF793E">
              <w:rPr>
                <w:sz w:val="22"/>
                <w:szCs w:val="22"/>
                <w:vertAlign w:val="superscript"/>
              </w:rPr>
              <w:t>a</w:t>
            </w:r>
          </w:p>
        </w:tc>
        <w:tc>
          <w:tcPr>
            <w:tcW w:w="990" w:type="dxa"/>
          </w:tcPr>
          <w:p w14:paraId="0E0BC103" w14:textId="77777777" w:rsidR="0023505E" w:rsidRPr="00AF793E" w:rsidRDefault="00E453CD" w:rsidP="008460E8">
            <w:pPr>
              <w:keepNext/>
              <w:jc w:val="center"/>
              <w:rPr>
                <w:szCs w:val="22"/>
              </w:rPr>
            </w:pPr>
            <w:r w:rsidRPr="00AF793E">
              <w:rPr>
                <w:szCs w:val="22"/>
              </w:rPr>
              <w:t>6</w:t>
            </w:r>
            <w:r>
              <w:rPr>
                <w:szCs w:val="22"/>
              </w:rPr>
              <w:t>,</w:t>
            </w:r>
            <w:r w:rsidRPr="00AF793E">
              <w:rPr>
                <w:szCs w:val="22"/>
              </w:rPr>
              <w:t>9</w:t>
            </w:r>
          </w:p>
        </w:tc>
        <w:tc>
          <w:tcPr>
            <w:tcW w:w="1260" w:type="dxa"/>
          </w:tcPr>
          <w:p w14:paraId="73F837CD" w14:textId="77777777" w:rsidR="0023505E" w:rsidRPr="00AF793E" w:rsidRDefault="00E453CD" w:rsidP="008460E8">
            <w:pPr>
              <w:keepNext/>
              <w:jc w:val="center"/>
              <w:rPr>
                <w:szCs w:val="22"/>
              </w:rPr>
            </w:pPr>
            <w:r w:rsidRPr="00AF793E">
              <w:rPr>
                <w:szCs w:val="22"/>
              </w:rPr>
              <w:t>48</w:t>
            </w:r>
            <w:r>
              <w:rPr>
                <w:szCs w:val="22"/>
              </w:rPr>
              <w:t>,</w:t>
            </w:r>
            <w:r w:rsidRPr="00AF793E">
              <w:rPr>
                <w:szCs w:val="22"/>
              </w:rPr>
              <w:t>9</w:t>
            </w:r>
            <w:r w:rsidRPr="00AF793E">
              <w:rPr>
                <w:szCs w:val="22"/>
                <w:vertAlign w:val="superscript"/>
              </w:rPr>
              <w:t>a</w:t>
            </w:r>
          </w:p>
        </w:tc>
        <w:tc>
          <w:tcPr>
            <w:tcW w:w="2268" w:type="dxa"/>
          </w:tcPr>
          <w:p w14:paraId="148197A8" w14:textId="77777777" w:rsidR="0023505E" w:rsidRPr="00AF793E" w:rsidRDefault="00E453CD" w:rsidP="008460E8">
            <w:pPr>
              <w:pStyle w:val="gtctablespaceafter"/>
              <w:spacing w:after="0"/>
              <w:jc w:val="center"/>
              <w:rPr>
                <w:sz w:val="22"/>
                <w:szCs w:val="22"/>
              </w:rPr>
            </w:pPr>
            <w:r w:rsidRPr="00AF793E">
              <w:rPr>
                <w:sz w:val="22"/>
                <w:szCs w:val="22"/>
              </w:rPr>
              <w:t>61</w:t>
            </w:r>
            <w:r>
              <w:rPr>
                <w:sz w:val="22"/>
                <w:szCs w:val="22"/>
              </w:rPr>
              <w:t>,</w:t>
            </w:r>
            <w:r w:rsidRPr="00AF793E">
              <w:rPr>
                <w:sz w:val="22"/>
                <w:szCs w:val="22"/>
              </w:rPr>
              <w:t>3</w:t>
            </w:r>
          </w:p>
        </w:tc>
      </w:tr>
      <w:tr w:rsidR="004644D4" w14:paraId="60B3B0C2" w14:textId="77777777" w:rsidTr="008460E8">
        <w:tc>
          <w:tcPr>
            <w:tcW w:w="2718" w:type="dxa"/>
          </w:tcPr>
          <w:p w14:paraId="05888579" w14:textId="77777777" w:rsidR="0023505E" w:rsidRPr="007A3AEF" w:rsidRDefault="00E453CD" w:rsidP="008460E8">
            <w:pPr>
              <w:pStyle w:val="gtctablespaceafter"/>
              <w:spacing w:after="0"/>
              <w:rPr>
                <w:sz w:val="22"/>
                <w:szCs w:val="22"/>
                <w:lang w:val="nb-NO"/>
              </w:rPr>
            </w:pPr>
            <w:r w:rsidRPr="007A3AEF">
              <w:rPr>
                <w:sz w:val="22"/>
                <w:szCs w:val="22"/>
                <w:lang w:val="nb-NO"/>
              </w:rPr>
              <w:t>Prosentvis endring i total fingernegl NAPSI (%)</w:t>
            </w:r>
          </w:p>
        </w:tc>
        <w:tc>
          <w:tcPr>
            <w:tcW w:w="1080" w:type="dxa"/>
          </w:tcPr>
          <w:p w14:paraId="61752409" w14:textId="77777777" w:rsidR="0023505E" w:rsidRPr="00AF793E" w:rsidRDefault="00E453CD" w:rsidP="008460E8">
            <w:pPr>
              <w:pStyle w:val="gtctablespaceafter"/>
              <w:spacing w:after="0"/>
              <w:jc w:val="center"/>
              <w:rPr>
                <w:sz w:val="22"/>
                <w:szCs w:val="22"/>
              </w:rPr>
            </w:pPr>
            <w:r w:rsidRPr="00AF793E">
              <w:rPr>
                <w:sz w:val="22"/>
                <w:szCs w:val="22"/>
              </w:rPr>
              <w:t>-7</w:t>
            </w:r>
            <w:r>
              <w:rPr>
                <w:sz w:val="22"/>
                <w:szCs w:val="22"/>
              </w:rPr>
              <w:t>,</w:t>
            </w:r>
            <w:r w:rsidRPr="00AF793E">
              <w:rPr>
                <w:sz w:val="22"/>
                <w:szCs w:val="22"/>
              </w:rPr>
              <w:t>8</w:t>
            </w:r>
          </w:p>
        </w:tc>
        <w:tc>
          <w:tcPr>
            <w:tcW w:w="1260" w:type="dxa"/>
          </w:tcPr>
          <w:p w14:paraId="65F44622" w14:textId="77777777" w:rsidR="0023505E" w:rsidRPr="00AF793E" w:rsidRDefault="00E453CD" w:rsidP="008460E8">
            <w:pPr>
              <w:pStyle w:val="gtctablespaceafter"/>
              <w:spacing w:after="0"/>
              <w:jc w:val="center"/>
              <w:rPr>
                <w:sz w:val="22"/>
                <w:szCs w:val="22"/>
              </w:rPr>
            </w:pPr>
            <w:r w:rsidRPr="00AF793E">
              <w:rPr>
                <w:sz w:val="22"/>
                <w:szCs w:val="22"/>
              </w:rPr>
              <w:t>-44</w:t>
            </w:r>
            <w:r>
              <w:rPr>
                <w:sz w:val="22"/>
                <w:szCs w:val="22"/>
              </w:rPr>
              <w:t>,</w:t>
            </w:r>
            <w:r w:rsidRPr="00AF793E">
              <w:rPr>
                <w:sz w:val="22"/>
                <w:szCs w:val="22"/>
              </w:rPr>
              <w:t>2</w:t>
            </w:r>
            <w:r w:rsidRPr="00AF793E">
              <w:rPr>
                <w:sz w:val="22"/>
                <w:szCs w:val="22"/>
                <w:vertAlign w:val="superscript"/>
              </w:rPr>
              <w:t xml:space="preserve"> a</w:t>
            </w:r>
          </w:p>
        </w:tc>
        <w:tc>
          <w:tcPr>
            <w:tcW w:w="990" w:type="dxa"/>
          </w:tcPr>
          <w:p w14:paraId="67337086" w14:textId="77777777" w:rsidR="0023505E" w:rsidRPr="00AF793E" w:rsidRDefault="00E453CD" w:rsidP="008460E8">
            <w:pPr>
              <w:keepNext/>
              <w:jc w:val="center"/>
              <w:rPr>
                <w:szCs w:val="22"/>
              </w:rPr>
            </w:pPr>
            <w:r w:rsidRPr="00AF793E">
              <w:rPr>
                <w:szCs w:val="22"/>
              </w:rPr>
              <w:t>-11</w:t>
            </w:r>
            <w:r>
              <w:rPr>
                <w:szCs w:val="22"/>
              </w:rPr>
              <w:t>,</w:t>
            </w:r>
            <w:r w:rsidRPr="00AF793E">
              <w:rPr>
                <w:szCs w:val="22"/>
              </w:rPr>
              <w:t>5</w:t>
            </w:r>
          </w:p>
        </w:tc>
        <w:tc>
          <w:tcPr>
            <w:tcW w:w="1260" w:type="dxa"/>
          </w:tcPr>
          <w:p w14:paraId="3B70AD48" w14:textId="77777777" w:rsidR="0023505E" w:rsidRPr="00AF793E" w:rsidRDefault="00E453CD" w:rsidP="008460E8">
            <w:pPr>
              <w:keepNext/>
              <w:jc w:val="center"/>
              <w:rPr>
                <w:szCs w:val="22"/>
              </w:rPr>
            </w:pPr>
            <w:r w:rsidRPr="00AF793E">
              <w:rPr>
                <w:szCs w:val="22"/>
              </w:rPr>
              <w:t>-56</w:t>
            </w:r>
            <w:r>
              <w:rPr>
                <w:szCs w:val="22"/>
              </w:rPr>
              <w:t>,</w:t>
            </w:r>
            <w:r w:rsidRPr="00AF793E">
              <w:rPr>
                <w:szCs w:val="22"/>
              </w:rPr>
              <w:t>2</w:t>
            </w:r>
            <w:r w:rsidRPr="00AF793E">
              <w:rPr>
                <w:szCs w:val="22"/>
                <w:vertAlign w:val="superscript"/>
              </w:rPr>
              <w:t>a</w:t>
            </w:r>
          </w:p>
        </w:tc>
        <w:tc>
          <w:tcPr>
            <w:tcW w:w="2268" w:type="dxa"/>
          </w:tcPr>
          <w:p w14:paraId="6CB46C82" w14:textId="77777777" w:rsidR="0023505E" w:rsidRPr="00AF793E" w:rsidRDefault="00E453CD" w:rsidP="008460E8">
            <w:pPr>
              <w:pStyle w:val="gtctablespaceafter"/>
              <w:spacing w:after="0"/>
              <w:jc w:val="center"/>
              <w:rPr>
                <w:sz w:val="22"/>
                <w:szCs w:val="22"/>
              </w:rPr>
            </w:pPr>
            <w:r w:rsidRPr="00AF793E">
              <w:rPr>
                <w:sz w:val="22"/>
                <w:szCs w:val="22"/>
              </w:rPr>
              <w:t>-72</w:t>
            </w:r>
            <w:r>
              <w:rPr>
                <w:sz w:val="22"/>
                <w:szCs w:val="22"/>
              </w:rPr>
              <w:t>,</w:t>
            </w:r>
            <w:r w:rsidRPr="00AF793E">
              <w:rPr>
                <w:sz w:val="22"/>
                <w:szCs w:val="22"/>
              </w:rPr>
              <w:t>2</w:t>
            </w:r>
          </w:p>
        </w:tc>
      </w:tr>
      <w:tr w:rsidR="004644D4" w:rsidRPr="00090EDA" w14:paraId="1BF8B7B7" w14:textId="77777777" w:rsidTr="008460E8">
        <w:tc>
          <w:tcPr>
            <w:tcW w:w="9576" w:type="dxa"/>
            <w:gridSpan w:val="6"/>
          </w:tcPr>
          <w:p w14:paraId="6890F44A" w14:textId="77777777" w:rsidR="0023505E" w:rsidRPr="00E04B2A" w:rsidRDefault="00E453CD" w:rsidP="008460E8">
            <w:pPr>
              <w:pStyle w:val="gtctablespaceafter"/>
              <w:spacing w:after="0"/>
              <w:rPr>
                <w:sz w:val="22"/>
                <w:szCs w:val="22"/>
                <w:lang w:val="pt-PT"/>
              </w:rPr>
            </w:pPr>
            <w:r w:rsidRPr="00E04B2A">
              <w:rPr>
                <w:sz w:val="22"/>
                <w:szCs w:val="22"/>
                <w:vertAlign w:val="superscript"/>
                <w:lang w:val="pt-PT"/>
              </w:rPr>
              <w:t>a</w:t>
            </w:r>
            <w:r w:rsidRPr="00E04B2A">
              <w:rPr>
                <w:sz w:val="22"/>
                <w:szCs w:val="22"/>
                <w:lang w:val="pt-PT"/>
              </w:rPr>
              <w:t xml:space="preserve"> p &lt; 0,001, Humira </w:t>
            </w:r>
            <w:r w:rsidRPr="00E04B2A">
              <w:rPr>
                <w:i/>
                <w:sz w:val="22"/>
                <w:szCs w:val="22"/>
                <w:lang w:val="pt-PT"/>
              </w:rPr>
              <w:t>vs.</w:t>
            </w:r>
            <w:r w:rsidRPr="00E04B2A">
              <w:rPr>
                <w:sz w:val="22"/>
                <w:szCs w:val="22"/>
                <w:lang w:val="pt-PT"/>
              </w:rPr>
              <w:t xml:space="preserve"> placebo </w:t>
            </w:r>
          </w:p>
        </w:tc>
      </w:tr>
    </w:tbl>
    <w:p w14:paraId="2FACB27C" w14:textId="77777777" w:rsidR="0023505E" w:rsidRPr="00E04B2A" w:rsidRDefault="0023505E" w:rsidP="0023505E">
      <w:pPr>
        <w:rPr>
          <w:sz w:val="22"/>
          <w:szCs w:val="22"/>
          <w:lang w:val="pt-PT"/>
        </w:rPr>
      </w:pPr>
    </w:p>
    <w:p w14:paraId="0F481212" w14:textId="77777777" w:rsidR="0023505E" w:rsidRPr="009C5EFD" w:rsidRDefault="00E453CD" w:rsidP="0023505E">
      <w:pPr>
        <w:rPr>
          <w:sz w:val="22"/>
          <w:szCs w:val="22"/>
        </w:rPr>
      </w:pPr>
      <w:r w:rsidRPr="007A3AEF">
        <w:rPr>
          <w:sz w:val="22"/>
          <w:szCs w:val="22"/>
        </w:rPr>
        <w:t>Pasienter behandlet med Humira viste ved uke 26</w:t>
      </w:r>
      <w:r w:rsidRPr="00AF793E">
        <w:rPr>
          <w:sz w:val="22"/>
          <w:szCs w:val="22"/>
        </w:rPr>
        <w:t xml:space="preserve"> </w:t>
      </w:r>
      <w:r w:rsidRPr="007A3AEF">
        <w:rPr>
          <w:sz w:val="22"/>
          <w:szCs w:val="22"/>
        </w:rPr>
        <w:t>statistisk signifikant</w:t>
      </w:r>
      <w:r w:rsidRPr="00AF793E">
        <w:rPr>
          <w:sz w:val="22"/>
          <w:szCs w:val="22"/>
        </w:rPr>
        <w:t xml:space="preserve">e forbedringer sammenlignet med pasienter behandlet med placebo </w:t>
      </w:r>
      <w:r w:rsidRPr="00AD50BB">
        <w:rPr>
          <w:sz w:val="22"/>
          <w:szCs w:val="22"/>
        </w:rPr>
        <w:t>i DLQI.</w:t>
      </w:r>
    </w:p>
    <w:p w14:paraId="5AE9F9E7" w14:textId="77777777" w:rsidR="009E676E" w:rsidRPr="009C5EFD" w:rsidRDefault="009E676E" w:rsidP="009E676E">
      <w:pPr>
        <w:rPr>
          <w:sz w:val="22"/>
          <w:szCs w:val="22"/>
          <w:u w:val="single"/>
        </w:rPr>
      </w:pPr>
    </w:p>
    <w:p w14:paraId="5D250A0D" w14:textId="77777777" w:rsidR="009E676E" w:rsidRPr="009C5EFD" w:rsidRDefault="00E453CD" w:rsidP="00776A84">
      <w:pPr>
        <w:keepNext/>
        <w:autoSpaceDE w:val="0"/>
        <w:autoSpaceDN w:val="0"/>
        <w:adjustRightInd w:val="0"/>
        <w:rPr>
          <w:rFonts w:eastAsia="TimesNewRoman"/>
          <w:i/>
          <w:sz w:val="22"/>
          <w:szCs w:val="22"/>
        </w:rPr>
      </w:pPr>
      <w:r w:rsidRPr="009C5EFD">
        <w:rPr>
          <w:rFonts w:eastAsia="TimesNewRoman"/>
          <w:i/>
          <w:sz w:val="22"/>
          <w:szCs w:val="22"/>
        </w:rPr>
        <w:t>Hidrosadenitt</w:t>
      </w:r>
    </w:p>
    <w:p w14:paraId="70FF8D94" w14:textId="77777777" w:rsidR="009E676E" w:rsidRPr="009C5EFD" w:rsidRDefault="009E676E" w:rsidP="00776A84">
      <w:pPr>
        <w:keepNext/>
        <w:autoSpaceDE w:val="0"/>
        <w:autoSpaceDN w:val="0"/>
        <w:adjustRightInd w:val="0"/>
        <w:rPr>
          <w:rFonts w:eastAsia="TimesNewRoman"/>
          <w:sz w:val="22"/>
          <w:szCs w:val="22"/>
        </w:rPr>
      </w:pPr>
    </w:p>
    <w:p w14:paraId="16E76672"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 xml:space="preserve">Sikkerhet og effekt av Humira ble vurdert i randomiserte, dobbeltblinde, placebo-kontrollerte studier og en </w:t>
      </w:r>
      <w:r>
        <w:rPr>
          <w:rFonts w:eastAsia="TimesNewRoman"/>
          <w:sz w:val="22"/>
          <w:szCs w:val="22"/>
        </w:rPr>
        <w:t>åpen</w:t>
      </w:r>
      <w:r w:rsidRPr="009C5EFD">
        <w:rPr>
          <w:rFonts w:eastAsia="TimesNewRoman"/>
          <w:sz w:val="22"/>
          <w:szCs w:val="22"/>
        </w:rPr>
        <w:t xml:space="preserve"> forlengelsesstudie hos voksne pasienter med moderat til alvorlig hidrosadenitt (HS) som var intolerante, hadde en kontraindikasjon eller en utilstrekkelig respons </w:t>
      </w:r>
      <w:r>
        <w:rPr>
          <w:rFonts w:eastAsia="TimesNewRoman"/>
          <w:sz w:val="22"/>
          <w:szCs w:val="22"/>
        </w:rPr>
        <w:t>over</w:t>
      </w:r>
      <w:r w:rsidRPr="009C5EFD">
        <w:rPr>
          <w:rFonts w:eastAsia="TimesNewRoman"/>
          <w:sz w:val="22"/>
          <w:szCs w:val="22"/>
        </w:rPr>
        <w:t xml:space="preserve"> minst en tre måneders </w:t>
      </w:r>
      <w:r w:rsidR="006528F9">
        <w:rPr>
          <w:rFonts w:eastAsia="TimesNewRoman"/>
          <w:sz w:val="22"/>
          <w:szCs w:val="22"/>
        </w:rPr>
        <w:t xml:space="preserve">behandlingsperiode med </w:t>
      </w:r>
      <w:r w:rsidRPr="009C5EFD">
        <w:rPr>
          <w:rFonts w:eastAsia="TimesNewRoman"/>
          <w:sz w:val="22"/>
          <w:szCs w:val="22"/>
        </w:rPr>
        <w:t>systemisk antibiotikabehandling. Pasientene i HS-I og HS-II hadde sykdomsgrad «Hurley Stage» II eller III med minst 3 abscesser eller inflammatoriske knuter/byller.</w:t>
      </w:r>
    </w:p>
    <w:p w14:paraId="4651EAAC" w14:textId="77777777" w:rsidR="009E676E" w:rsidRPr="009C5EFD" w:rsidRDefault="009E676E" w:rsidP="009E676E">
      <w:pPr>
        <w:rPr>
          <w:sz w:val="22"/>
          <w:szCs w:val="22"/>
          <w:u w:val="single"/>
        </w:rPr>
      </w:pPr>
    </w:p>
    <w:p w14:paraId="4FA4985B"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 xml:space="preserve">Studie HS-I (PIONEER I) undersøkte 307 pasienter innenfor to behandlingsperioder. I periode A fikk pasientene placebo eller Humira med en startdose på 160 mg ved uke 0, 80 mg ved uke 2 og 40 mg hver uke ved uke 4 til uke 11. Samtidig behandling med antibiotika ble ikke tillatt under studien. Etter 12 ukers behandling ble pasientene som fikk Humira i periode A re-randomisert i periode B til </w:t>
      </w:r>
      <w:r>
        <w:rPr>
          <w:rFonts w:eastAsia="TimesNewRoman"/>
          <w:sz w:val="22"/>
          <w:szCs w:val="22"/>
        </w:rPr>
        <w:t>é</w:t>
      </w:r>
      <w:r w:rsidRPr="009C5EFD">
        <w:rPr>
          <w:rFonts w:eastAsia="TimesNewRoman"/>
          <w:sz w:val="22"/>
          <w:szCs w:val="22"/>
        </w:rPr>
        <w:t>n av tre behandlingsgrupper (40 mg Humira hver uke, 40 mg Humira annenhver uke, eller placebo fra uke 12 til uke 35). Pasientene som fikk placebo i periode A ble gitt Humira 40 mg hver uke i periode B.</w:t>
      </w:r>
    </w:p>
    <w:p w14:paraId="7875CD05" w14:textId="77777777" w:rsidR="009E676E" w:rsidRPr="009C5EFD" w:rsidRDefault="009E676E" w:rsidP="009E676E">
      <w:pPr>
        <w:autoSpaceDE w:val="0"/>
        <w:autoSpaceDN w:val="0"/>
        <w:adjustRightInd w:val="0"/>
        <w:rPr>
          <w:rFonts w:eastAsia="TimesNewRoman"/>
          <w:sz w:val="22"/>
          <w:szCs w:val="22"/>
        </w:rPr>
      </w:pPr>
    </w:p>
    <w:p w14:paraId="5A474395"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 xml:space="preserve">Studie HS-II (PIONEER II) undersøkte 326 pasienter innenfor to behandlingsperioder. I periode A fikk pasientene placebo eller Humira med en startdose på 160 mg ved uke 0, 80 mg ved uke 2 og 40 mg hver uke ved uke 4 til uke 11. I løpet av studien fortsatte 19,3 % av pasientene med samtidig oral antiobiotikabehandling. Etter 12 ukers behandling ble pasientene som fikk Humira i periode A re-randomisert i periode B til </w:t>
      </w:r>
      <w:r>
        <w:rPr>
          <w:rFonts w:eastAsia="TimesNewRoman"/>
          <w:sz w:val="22"/>
          <w:szCs w:val="22"/>
        </w:rPr>
        <w:t>é</w:t>
      </w:r>
      <w:r w:rsidRPr="009C5EFD">
        <w:rPr>
          <w:rFonts w:eastAsia="TimesNewRoman"/>
          <w:sz w:val="22"/>
          <w:szCs w:val="22"/>
        </w:rPr>
        <w:t>n av tre behandlingsgrupper (40 mg Humira hver uke, 40 mg Humira annenhver uke, eller placebo fra uke 12 til uke 35). Pasientene som fikk placebo i periode A ble gitt placebo i periode B.</w:t>
      </w:r>
    </w:p>
    <w:p w14:paraId="7AF89440" w14:textId="77777777" w:rsidR="009E676E" w:rsidRPr="009C5EFD" w:rsidRDefault="009E676E" w:rsidP="009E676E">
      <w:pPr>
        <w:autoSpaceDE w:val="0"/>
        <w:autoSpaceDN w:val="0"/>
        <w:adjustRightInd w:val="0"/>
        <w:rPr>
          <w:rFonts w:eastAsia="TimesNewRoman"/>
          <w:sz w:val="22"/>
          <w:szCs w:val="22"/>
        </w:rPr>
      </w:pPr>
    </w:p>
    <w:p w14:paraId="2D5C5562"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 xml:space="preserve">Pasientene som deltok i studiene HS-I og HS-II var kvalifisert til å være med i en </w:t>
      </w:r>
      <w:r>
        <w:rPr>
          <w:rFonts w:eastAsia="TimesNewRoman"/>
          <w:sz w:val="22"/>
          <w:szCs w:val="22"/>
        </w:rPr>
        <w:t>åpen</w:t>
      </w:r>
      <w:r w:rsidRPr="009C5EFD">
        <w:rPr>
          <w:rFonts w:eastAsia="TimesNewRoman"/>
          <w:sz w:val="22"/>
          <w:szCs w:val="22"/>
        </w:rPr>
        <w:t xml:space="preserve"> forlengelsesstudie hvor 40 mg Humira ble administrert hver uke. </w:t>
      </w:r>
      <w:r w:rsidR="000877DF">
        <w:rPr>
          <w:rFonts w:eastAsia="TimesNewRoman"/>
          <w:sz w:val="22"/>
          <w:szCs w:val="22"/>
        </w:rPr>
        <w:t xml:space="preserve">Gjennomsnittlig eksponering i alle adalimumab-populasjoner var 762 dager. </w:t>
      </w:r>
      <w:r w:rsidRPr="009C5EFD">
        <w:rPr>
          <w:rFonts w:eastAsia="TimesNewRoman"/>
          <w:sz w:val="22"/>
          <w:szCs w:val="22"/>
        </w:rPr>
        <w:t>Pasientene brukte topikal antiseptisk vask daglig gjennom alle de tre studiene.</w:t>
      </w:r>
    </w:p>
    <w:p w14:paraId="4A446D70" w14:textId="77777777" w:rsidR="009E676E" w:rsidRPr="009C5EFD" w:rsidRDefault="009E676E" w:rsidP="009E676E">
      <w:pPr>
        <w:autoSpaceDE w:val="0"/>
        <w:autoSpaceDN w:val="0"/>
        <w:adjustRightInd w:val="0"/>
        <w:rPr>
          <w:rFonts w:eastAsia="TimesNewRoman"/>
          <w:sz w:val="22"/>
          <w:szCs w:val="22"/>
        </w:rPr>
      </w:pPr>
    </w:p>
    <w:p w14:paraId="3E273D8D" w14:textId="77777777" w:rsidR="009E676E" w:rsidRPr="009C5EFD" w:rsidRDefault="00E453CD" w:rsidP="00B77853">
      <w:pPr>
        <w:keepNext/>
        <w:autoSpaceDE w:val="0"/>
        <w:autoSpaceDN w:val="0"/>
        <w:adjustRightInd w:val="0"/>
        <w:rPr>
          <w:rFonts w:eastAsia="TimesNewRoman"/>
          <w:i/>
          <w:sz w:val="22"/>
          <w:szCs w:val="22"/>
          <w:u w:val="single"/>
        </w:rPr>
      </w:pPr>
      <w:r w:rsidRPr="009C5EFD">
        <w:rPr>
          <w:rFonts w:eastAsia="TimesNewRoman"/>
          <w:i/>
          <w:sz w:val="22"/>
          <w:szCs w:val="22"/>
          <w:u w:val="single"/>
        </w:rPr>
        <w:t>Klinisk respons</w:t>
      </w:r>
    </w:p>
    <w:p w14:paraId="0271183A" w14:textId="77777777" w:rsidR="009E676E" w:rsidRPr="009C5EFD" w:rsidRDefault="009E676E" w:rsidP="00B77853">
      <w:pPr>
        <w:keepNext/>
        <w:autoSpaceDE w:val="0"/>
        <w:autoSpaceDN w:val="0"/>
        <w:adjustRightInd w:val="0"/>
        <w:rPr>
          <w:rFonts w:eastAsia="TimesNewRoman"/>
          <w:sz w:val="22"/>
          <w:szCs w:val="22"/>
        </w:rPr>
      </w:pPr>
    </w:p>
    <w:p w14:paraId="47BB1FEB" w14:textId="77777777" w:rsidR="009E676E" w:rsidRPr="009C5EFD" w:rsidRDefault="00E453CD" w:rsidP="00776A84">
      <w:pPr>
        <w:autoSpaceDE w:val="0"/>
        <w:autoSpaceDN w:val="0"/>
        <w:adjustRightInd w:val="0"/>
        <w:rPr>
          <w:rFonts w:eastAsia="TimesNewRoman"/>
          <w:sz w:val="22"/>
          <w:szCs w:val="22"/>
        </w:rPr>
      </w:pPr>
      <w:r w:rsidRPr="009C5EFD">
        <w:rPr>
          <w:rFonts w:eastAsia="TimesNewRoman"/>
          <w:sz w:val="22"/>
          <w:szCs w:val="22"/>
        </w:rPr>
        <w:t>Reduksjon av inflammatoriske sår og hindring av forverrelse av abscesser og rennende fistler ble undersøkt ved å bruke «</w:t>
      </w:r>
      <w:r w:rsidRPr="003A3FDB">
        <w:rPr>
          <w:rFonts w:eastAsia="TimesNewRoman"/>
          <w:sz w:val="22"/>
          <w:szCs w:val="22"/>
        </w:rPr>
        <w:t>Hidradenitis Suppurativa</w:t>
      </w:r>
      <w:r w:rsidRPr="009C5EFD">
        <w:rPr>
          <w:rFonts w:eastAsia="TimesNewRoman"/>
          <w:sz w:val="22"/>
          <w:szCs w:val="22"/>
        </w:rPr>
        <w:t xml:space="preserve"> Clinical Response» (HiSCR; </w:t>
      </w:r>
      <w:r>
        <w:rPr>
          <w:rFonts w:eastAsia="TimesNewRoman"/>
          <w:sz w:val="22"/>
          <w:szCs w:val="22"/>
        </w:rPr>
        <w:t xml:space="preserve">minst en </w:t>
      </w:r>
      <w:r w:rsidRPr="009C5EFD">
        <w:rPr>
          <w:rFonts w:eastAsia="TimesNewRoman"/>
          <w:sz w:val="22"/>
          <w:szCs w:val="22"/>
        </w:rPr>
        <w:t>50 % reduksjon i total antall abscesser og inflammatoriske byller/knuter uten økning i antall abscesser og ingen økning av antall rennende fistler i forhold til start). Reduksjon i HS-relaterte hudsmerter ble undersøkt ved bruk av «Numerisk Rating Scale» hos pasienter som gikk inn i studien med en startscore på 3 eller høyere på en 11-punkts skala.</w:t>
      </w:r>
    </w:p>
    <w:p w14:paraId="70C452B6" w14:textId="77777777" w:rsidR="009E676E" w:rsidRPr="009C5EFD" w:rsidRDefault="009E676E" w:rsidP="009E676E">
      <w:pPr>
        <w:autoSpaceDE w:val="0"/>
        <w:autoSpaceDN w:val="0"/>
        <w:adjustRightInd w:val="0"/>
        <w:rPr>
          <w:rFonts w:eastAsia="TimesNewRoman"/>
          <w:sz w:val="22"/>
          <w:szCs w:val="22"/>
        </w:rPr>
      </w:pPr>
    </w:p>
    <w:p w14:paraId="36A606E1"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Ved uke 12 oppnådde en signifikant høyere andel pasienter behandlet med Humira HiSCR versus de behandlet med placebo. Ved uke 12 opplevde en signifikant høyere andel pasienter i studien HS-II en klinisk relevant reduksjon av HS-relatert</w:t>
      </w:r>
      <w:r>
        <w:rPr>
          <w:rFonts w:eastAsia="TimesNewRoman"/>
          <w:sz w:val="22"/>
          <w:szCs w:val="22"/>
        </w:rPr>
        <w:t>e</w:t>
      </w:r>
      <w:r w:rsidRPr="009C5EFD">
        <w:rPr>
          <w:rFonts w:eastAsia="TimesNewRoman"/>
          <w:sz w:val="22"/>
          <w:szCs w:val="22"/>
        </w:rPr>
        <w:t xml:space="preserve"> hudsmerte</w:t>
      </w:r>
      <w:r>
        <w:rPr>
          <w:rFonts w:eastAsia="TimesNewRoman"/>
          <w:sz w:val="22"/>
          <w:szCs w:val="22"/>
        </w:rPr>
        <w:t>r</w:t>
      </w:r>
      <w:r w:rsidRPr="009C5EFD">
        <w:rPr>
          <w:rFonts w:eastAsia="TimesNewRoman"/>
          <w:sz w:val="22"/>
          <w:szCs w:val="22"/>
        </w:rPr>
        <w:t xml:space="preserve"> (se tabell </w:t>
      </w:r>
      <w:r w:rsidR="003F5EAC">
        <w:rPr>
          <w:rFonts w:eastAsia="TimesNewRoman"/>
          <w:sz w:val="22"/>
          <w:szCs w:val="22"/>
        </w:rPr>
        <w:t>12</w:t>
      </w:r>
      <w:r w:rsidRPr="009C5EFD">
        <w:rPr>
          <w:rFonts w:eastAsia="TimesNewRoman"/>
          <w:sz w:val="22"/>
          <w:szCs w:val="22"/>
        </w:rPr>
        <w:t>). Pasienter behandlet med Humira hadde signifikant redusert risiko for sykdomsoppbluss i løpet av de første 12 ukene med behandling.</w:t>
      </w:r>
    </w:p>
    <w:p w14:paraId="1A62BBD5" w14:textId="77777777" w:rsidR="009E676E" w:rsidRPr="009C5EFD" w:rsidRDefault="009E676E" w:rsidP="009E676E">
      <w:pPr>
        <w:autoSpaceDE w:val="0"/>
        <w:autoSpaceDN w:val="0"/>
        <w:adjustRightInd w:val="0"/>
        <w:rPr>
          <w:rFonts w:eastAsia="TimesNewRoman"/>
          <w:sz w:val="22"/>
          <w:szCs w:val="22"/>
        </w:rPr>
      </w:pPr>
    </w:p>
    <w:p w14:paraId="58CCA8E7" w14:textId="77777777" w:rsidR="009E676E" w:rsidRPr="001F5D4B" w:rsidRDefault="00E453CD" w:rsidP="009E676E">
      <w:pPr>
        <w:keepNext/>
        <w:keepLines/>
        <w:widowControl w:val="0"/>
        <w:spacing w:after="200" w:line="320" w:lineRule="exact"/>
        <w:ind w:left="360"/>
        <w:jc w:val="center"/>
        <w:rPr>
          <w:rFonts w:eastAsia="MS Mincho"/>
          <w:b/>
          <w:sz w:val="22"/>
          <w:szCs w:val="22"/>
          <w:lang w:eastAsia="ja-JP"/>
        </w:rPr>
      </w:pPr>
      <w:r w:rsidRPr="009C5EFD">
        <w:rPr>
          <w:rFonts w:eastAsia="MS Mincho"/>
          <w:b/>
          <w:sz w:val="22"/>
          <w:szCs w:val="22"/>
          <w:lang w:eastAsia="ja-JP"/>
        </w:rPr>
        <w:t xml:space="preserve">Tabell </w:t>
      </w:r>
      <w:r w:rsidR="00FB4C84">
        <w:rPr>
          <w:rFonts w:eastAsia="MS Mincho"/>
          <w:b/>
          <w:sz w:val="22"/>
          <w:szCs w:val="22"/>
          <w:lang w:eastAsia="ja-JP"/>
        </w:rPr>
        <w:t>1</w:t>
      </w:r>
      <w:r w:rsidR="003F5EAC">
        <w:rPr>
          <w:rFonts w:eastAsia="MS Mincho"/>
          <w:b/>
          <w:sz w:val="22"/>
          <w:szCs w:val="22"/>
          <w:lang w:eastAsia="ja-JP"/>
        </w:rPr>
        <w:t>2</w:t>
      </w:r>
      <w:r w:rsidRPr="009C5EFD">
        <w:rPr>
          <w:rFonts w:eastAsia="MS Mincho"/>
          <w:b/>
          <w:sz w:val="22"/>
          <w:szCs w:val="22"/>
          <w:lang w:eastAsia="ja-JP"/>
        </w:rPr>
        <w:t xml:space="preserve">: </w:t>
      </w:r>
      <w:r w:rsidR="008406E9">
        <w:rPr>
          <w:rFonts w:eastAsia="MS Mincho"/>
          <w:b/>
          <w:sz w:val="22"/>
          <w:szCs w:val="22"/>
          <w:lang w:eastAsia="ja-JP"/>
        </w:rPr>
        <w:t>Effektresultater</w:t>
      </w:r>
      <w:r w:rsidRPr="009C5EFD">
        <w:rPr>
          <w:rFonts w:eastAsia="MS Mincho"/>
          <w:b/>
          <w:sz w:val="22"/>
          <w:szCs w:val="22"/>
          <w:lang w:eastAsia="ja-JP"/>
        </w:rPr>
        <w:t xml:space="preserve"> etter </w:t>
      </w:r>
      <w:r w:rsidRPr="009C5EFD">
        <w:rPr>
          <w:rFonts w:eastAsia="MS Mincho"/>
          <w:b/>
          <w:bCs/>
          <w:iCs/>
          <w:sz w:val="22"/>
          <w:szCs w:val="22"/>
          <w:lang w:eastAsia="ja-JP"/>
        </w:rPr>
        <w:t>12 uker, HS Studier I og II</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4644D4" w14:paraId="7616EFB2" w14:textId="77777777" w:rsidTr="00FD5FF1">
        <w:trPr>
          <w:jc w:val="center"/>
        </w:trPr>
        <w:tc>
          <w:tcPr>
            <w:tcW w:w="2847" w:type="dxa"/>
            <w:vMerge w:val="restart"/>
            <w:tcMar>
              <w:top w:w="0" w:type="dxa"/>
              <w:left w:w="115" w:type="dxa"/>
              <w:bottom w:w="0" w:type="dxa"/>
              <w:right w:w="115" w:type="dxa"/>
            </w:tcMar>
            <w:vAlign w:val="bottom"/>
          </w:tcPr>
          <w:p w14:paraId="3E788D8B" w14:textId="77777777" w:rsidR="009E676E" w:rsidRPr="007F67EE" w:rsidRDefault="009E676E" w:rsidP="00FD5FF1">
            <w:pPr>
              <w:widowControl w:val="0"/>
              <w:rPr>
                <w:b/>
                <w:sz w:val="22"/>
                <w:szCs w:val="22"/>
              </w:rPr>
            </w:pPr>
          </w:p>
        </w:tc>
        <w:tc>
          <w:tcPr>
            <w:tcW w:w="3186" w:type="dxa"/>
            <w:gridSpan w:val="2"/>
            <w:tcMar>
              <w:top w:w="0" w:type="dxa"/>
              <w:left w:w="115" w:type="dxa"/>
              <w:bottom w:w="0" w:type="dxa"/>
              <w:right w:w="115" w:type="dxa"/>
            </w:tcMar>
            <w:vAlign w:val="bottom"/>
          </w:tcPr>
          <w:p w14:paraId="31DAEF5B" w14:textId="77777777" w:rsidR="009E676E" w:rsidRPr="002D0790" w:rsidRDefault="00E453CD" w:rsidP="00FD5FF1">
            <w:pPr>
              <w:widowControl w:val="0"/>
              <w:jc w:val="center"/>
              <w:rPr>
                <w:b/>
                <w:bCs/>
                <w:sz w:val="22"/>
                <w:szCs w:val="22"/>
              </w:rPr>
            </w:pPr>
            <w:r w:rsidRPr="00193D76">
              <w:rPr>
                <w:b/>
                <w:bCs/>
                <w:sz w:val="22"/>
                <w:szCs w:val="22"/>
              </w:rPr>
              <w:t>HS Stud</w:t>
            </w:r>
            <w:r w:rsidRPr="002D0790">
              <w:rPr>
                <w:b/>
                <w:bCs/>
                <w:sz w:val="22"/>
                <w:szCs w:val="22"/>
              </w:rPr>
              <w:t>ie I</w:t>
            </w:r>
          </w:p>
        </w:tc>
        <w:tc>
          <w:tcPr>
            <w:tcW w:w="3260" w:type="dxa"/>
            <w:gridSpan w:val="2"/>
            <w:tcMar>
              <w:top w:w="0" w:type="dxa"/>
              <w:left w:w="115" w:type="dxa"/>
              <w:bottom w:w="0" w:type="dxa"/>
              <w:right w:w="115" w:type="dxa"/>
            </w:tcMar>
            <w:vAlign w:val="bottom"/>
          </w:tcPr>
          <w:p w14:paraId="371D3214" w14:textId="77777777" w:rsidR="009E676E" w:rsidRPr="009C5EFD" w:rsidRDefault="00E453CD" w:rsidP="00FD5FF1">
            <w:pPr>
              <w:widowControl w:val="0"/>
              <w:jc w:val="center"/>
              <w:rPr>
                <w:b/>
                <w:bCs/>
                <w:sz w:val="22"/>
                <w:szCs w:val="22"/>
              </w:rPr>
            </w:pPr>
            <w:r w:rsidRPr="00E14E58">
              <w:rPr>
                <w:b/>
                <w:bCs/>
                <w:sz w:val="22"/>
                <w:szCs w:val="22"/>
              </w:rPr>
              <w:t>HS Stud</w:t>
            </w:r>
            <w:r w:rsidRPr="009C5EFD">
              <w:rPr>
                <w:b/>
                <w:bCs/>
                <w:sz w:val="22"/>
                <w:szCs w:val="22"/>
              </w:rPr>
              <w:t>ie II</w:t>
            </w:r>
          </w:p>
        </w:tc>
      </w:tr>
      <w:tr w:rsidR="004644D4" w14:paraId="0841B540" w14:textId="77777777" w:rsidTr="00FD5FF1">
        <w:trPr>
          <w:jc w:val="center"/>
        </w:trPr>
        <w:tc>
          <w:tcPr>
            <w:tcW w:w="2847" w:type="dxa"/>
            <w:vMerge/>
            <w:tcMar>
              <w:top w:w="0" w:type="dxa"/>
              <w:left w:w="115" w:type="dxa"/>
              <w:bottom w:w="0" w:type="dxa"/>
              <w:right w:w="115" w:type="dxa"/>
            </w:tcMar>
            <w:vAlign w:val="center"/>
            <w:hideMark/>
          </w:tcPr>
          <w:p w14:paraId="68F675F9" w14:textId="77777777" w:rsidR="009E676E" w:rsidRPr="009C5EFD" w:rsidRDefault="009E676E" w:rsidP="00FD5FF1">
            <w:pPr>
              <w:widowControl w:val="0"/>
              <w:rPr>
                <w:sz w:val="22"/>
                <w:szCs w:val="22"/>
              </w:rPr>
            </w:pPr>
          </w:p>
        </w:tc>
        <w:tc>
          <w:tcPr>
            <w:tcW w:w="1440" w:type="dxa"/>
            <w:tcMar>
              <w:top w:w="0" w:type="dxa"/>
              <w:left w:w="115" w:type="dxa"/>
              <w:bottom w:w="0" w:type="dxa"/>
              <w:right w:w="115" w:type="dxa"/>
            </w:tcMar>
            <w:vAlign w:val="bottom"/>
            <w:hideMark/>
          </w:tcPr>
          <w:p w14:paraId="5218CA77" w14:textId="77777777" w:rsidR="009E676E" w:rsidRPr="009C5EFD" w:rsidRDefault="00E453CD" w:rsidP="00FD5FF1">
            <w:pPr>
              <w:widowControl w:val="0"/>
              <w:jc w:val="center"/>
              <w:rPr>
                <w:sz w:val="22"/>
                <w:szCs w:val="22"/>
              </w:rPr>
            </w:pPr>
            <w:r w:rsidRPr="009C5EFD">
              <w:rPr>
                <w:b/>
                <w:bCs/>
                <w:sz w:val="22"/>
                <w:szCs w:val="22"/>
              </w:rPr>
              <w:t>Placebo</w:t>
            </w:r>
          </w:p>
        </w:tc>
        <w:tc>
          <w:tcPr>
            <w:tcW w:w="1746" w:type="dxa"/>
            <w:tcMar>
              <w:top w:w="0" w:type="dxa"/>
              <w:left w:w="115" w:type="dxa"/>
              <w:bottom w:w="0" w:type="dxa"/>
              <w:right w:w="115" w:type="dxa"/>
            </w:tcMar>
            <w:vAlign w:val="bottom"/>
            <w:hideMark/>
          </w:tcPr>
          <w:p w14:paraId="1C1C1E7C" w14:textId="77777777" w:rsidR="009E676E" w:rsidRPr="009C5EFD" w:rsidRDefault="00E453CD" w:rsidP="00FD5FF1">
            <w:pPr>
              <w:widowControl w:val="0"/>
              <w:jc w:val="center"/>
              <w:rPr>
                <w:b/>
                <w:bCs/>
                <w:sz w:val="22"/>
                <w:szCs w:val="22"/>
              </w:rPr>
            </w:pPr>
            <w:r w:rsidRPr="009C5EFD">
              <w:rPr>
                <w:b/>
                <w:bCs/>
                <w:sz w:val="22"/>
                <w:szCs w:val="22"/>
              </w:rPr>
              <w:t>Humira 40 mg Ukentlig</w:t>
            </w:r>
          </w:p>
        </w:tc>
        <w:tc>
          <w:tcPr>
            <w:tcW w:w="1404" w:type="dxa"/>
            <w:tcMar>
              <w:top w:w="0" w:type="dxa"/>
              <w:left w:w="115" w:type="dxa"/>
              <w:bottom w:w="0" w:type="dxa"/>
              <w:right w:w="115" w:type="dxa"/>
            </w:tcMar>
            <w:vAlign w:val="bottom"/>
            <w:hideMark/>
          </w:tcPr>
          <w:p w14:paraId="7DCA3A0F" w14:textId="77777777" w:rsidR="009E676E" w:rsidRPr="009C5EFD" w:rsidRDefault="00E453CD" w:rsidP="00FD5FF1">
            <w:pPr>
              <w:widowControl w:val="0"/>
              <w:jc w:val="center"/>
              <w:rPr>
                <w:b/>
                <w:bCs/>
                <w:sz w:val="22"/>
                <w:szCs w:val="22"/>
              </w:rPr>
            </w:pPr>
            <w:r w:rsidRPr="009C5EFD">
              <w:rPr>
                <w:b/>
                <w:bCs/>
                <w:sz w:val="22"/>
                <w:szCs w:val="22"/>
              </w:rPr>
              <w:t xml:space="preserve">Placebo </w:t>
            </w:r>
          </w:p>
        </w:tc>
        <w:tc>
          <w:tcPr>
            <w:tcW w:w="1856" w:type="dxa"/>
            <w:tcMar>
              <w:top w:w="0" w:type="dxa"/>
              <w:left w:w="115" w:type="dxa"/>
              <w:bottom w:w="0" w:type="dxa"/>
              <w:right w:w="115" w:type="dxa"/>
            </w:tcMar>
            <w:vAlign w:val="bottom"/>
            <w:hideMark/>
          </w:tcPr>
          <w:p w14:paraId="5222486F" w14:textId="77777777" w:rsidR="009E676E" w:rsidRPr="009C5EFD" w:rsidRDefault="00E453CD" w:rsidP="00FD5FF1">
            <w:pPr>
              <w:widowControl w:val="0"/>
              <w:jc w:val="center"/>
              <w:rPr>
                <w:b/>
                <w:bCs/>
                <w:sz w:val="22"/>
                <w:szCs w:val="22"/>
              </w:rPr>
            </w:pPr>
            <w:r w:rsidRPr="009C5EFD">
              <w:rPr>
                <w:b/>
                <w:bCs/>
                <w:sz w:val="22"/>
                <w:szCs w:val="22"/>
              </w:rPr>
              <w:t>Humira 40 mg Ukentlig</w:t>
            </w:r>
          </w:p>
        </w:tc>
      </w:tr>
      <w:tr w:rsidR="004644D4" w14:paraId="460DA6C6" w14:textId="77777777" w:rsidTr="00FD5FF1">
        <w:trPr>
          <w:trHeight w:val="755"/>
          <w:jc w:val="center"/>
        </w:trPr>
        <w:tc>
          <w:tcPr>
            <w:tcW w:w="2847" w:type="dxa"/>
            <w:tcMar>
              <w:top w:w="0" w:type="dxa"/>
              <w:left w:w="115" w:type="dxa"/>
              <w:bottom w:w="0" w:type="dxa"/>
              <w:right w:w="115" w:type="dxa"/>
            </w:tcMar>
            <w:vAlign w:val="center"/>
            <w:hideMark/>
          </w:tcPr>
          <w:p w14:paraId="5BD31371" w14:textId="77777777" w:rsidR="009E676E" w:rsidRPr="009C5EFD" w:rsidRDefault="00E453CD" w:rsidP="00FD5FF1">
            <w:pPr>
              <w:widowControl w:val="0"/>
              <w:rPr>
                <w:sz w:val="22"/>
                <w:szCs w:val="22"/>
              </w:rPr>
            </w:pPr>
            <w:r w:rsidRPr="009C5EFD">
              <w:rPr>
                <w:sz w:val="22"/>
                <w:szCs w:val="22"/>
                <w:lang w:val="en-US"/>
              </w:rPr>
              <w:t>Hidrosadenitt</w:t>
            </w:r>
          </w:p>
          <w:p w14:paraId="4B9DC2EC" w14:textId="77777777" w:rsidR="009E676E" w:rsidRPr="009C5EFD" w:rsidRDefault="00E453CD" w:rsidP="00FD5FF1">
            <w:pPr>
              <w:widowControl w:val="0"/>
              <w:rPr>
                <w:sz w:val="22"/>
                <w:szCs w:val="22"/>
              </w:rPr>
            </w:pPr>
            <w:r w:rsidRPr="009C5EFD">
              <w:rPr>
                <w:sz w:val="22"/>
                <w:szCs w:val="22"/>
                <w:lang w:val="en-US"/>
              </w:rPr>
              <w:t>Klinisk respons</w:t>
            </w:r>
            <w:r w:rsidRPr="009C5EFD">
              <w:rPr>
                <w:sz w:val="22"/>
                <w:szCs w:val="22"/>
              </w:rPr>
              <w:t xml:space="preserve"> (HiSCR)</w:t>
            </w:r>
            <w:r w:rsidRPr="009C5EFD">
              <w:rPr>
                <w:sz w:val="22"/>
                <w:szCs w:val="22"/>
                <w:vertAlign w:val="superscript"/>
              </w:rPr>
              <w:t>a</w:t>
            </w:r>
            <w:r w:rsidRPr="009C5EFD">
              <w:rPr>
                <w:sz w:val="22"/>
                <w:szCs w:val="22"/>
              </w:rPr>
              <w:t xml:space="preserve"> </w:t>
            </w:r>
          </w:p>
          <w:p w14:paraId="7E4BAEA6" w14:textId="77777777" w:rsidR="009E676E" w:rsidRPr="009C5EFD" w:rsidRDefault="009E676E" w:rsidP="00FD5FF1">
            <w:pPr>
              <w:widowControl w:val="0"/>
              <w:rPr>
                <w:sz w:val="22"/>
                <w:szCs w:val="22"/>
              </w:rPr>
            </w:pPr>
          </w:p>
        </w:tc>
        <w:tc>
          <w:tcPr>
            <w:tcW w:w="1440" w:type="dxa"/>
            <w:tcMar>
              <w:top w:w="0" w:type="dxa"/>
              <w:left w:w="115" w:type="dxa"/>
              <w:bottom w:w="0" w:type="dxa"/>
              <w:right w:w="115" w:type="dxa"/>
            </w:tcMar>
            <w:hideMark/>
          </w:tcPr>
          <w:p w14:paraId="38780B1E" w14:textId="77777777" w:rsidR="009E676E" w:rsidRPr="009C5EFD" w:rsidRDefault="00E453CD" w:rsidP="00FD5FF1">
            <w:pPr>
              <w:widowControl w:val="0"/>
              <w:jc w:val="center"/>
              <w:rPr>
                <w:sz w:val="22"/>
                <w:szCs w:val="22"/>
              </w:rPr>
            </w:pPr>
            <w:r w:rsidRPr="009C5EFD">
              <w:rPr>
                <w:sz w:val="22"/>
                <w:szCs w:val="22"/>
              </w:rPr>
              <w:t>N = 154</w:t>
            </w:r>
            <w:r w:rsidRPr="009C5EFD">
              <w:rPr>
                <w:sz w:val="22"/>
                <w:szCs w:val="22"/>
              </w:rPr>
              <w:br/>
              <w:t>40 (26,0 %)</w:t>
            </w:r>
          </w:p>
        </w:tc>
        <w:tc>
          <w:tcPr>
            <w:tcW w:w="1746" w:type="dxa"/>
            <w:tcMar>
              <w:top w:w="0" w:type="dxa"/>
              <w:left w:w="115" w:type="dxa"/>
              <w:bottom w:w="0" w:type="dxa"/>
              <w:right w:w="115" w:type="dxa"/>
            </w:tcMar>
            <w:hideMark/>
          </w:tcPr>
          <w:p w14:paraId="704F5EA1" w14:textId="77777777" w:rsidR="009E676E" w:rsidRPr="009C5EFD" w:rsidRDefault="00E453CD">
            <w:pPr>
              <w:widowControl w:val="0"/>
              <w:jc w:val="center"/>
              <w:rPr>
                <w:sz w:val="22"/>
                <w:szCs w:val="22"/>
              </w:rPr>
            </w:pPr>
            <w:r w:rsidRPr="009C5EFD">
              <w:rPr>
                <w:sz w:val="22"/>
                <w:szCs w:val="22"/>
              </w:rPr>
              <w:t>N = 153</w:t>
            </w:r>
            <w:r w:rsidRPr="009C5EFD">
              <w:rPr>
                <w:sz w:val="22"/>
                <w:szCs w:val="22"/>
              </w:rPr>
              <w:br/>
              <w:t>64 (41,8 %)</w:t>
            </w:r>
            <w:r w:rsidRPr="009C5EFD">
              <w:rPr>
                <w:sz w:val="22"/>
                <w:szCs w:val="22"/>
                <w:vertAlign w:val="superscript"/>
              </w:rPr>
              <w:t>*</w:t>
            </w:r>
          </w:p>
        </w:tc>
        <w:tc>
          <w:tcPr>
            <w:tcW w:w="1404" w:type="dxa"/>
            <w:tcMar>
              <w:top w:w="0" w:type="dxa"/>
              <w:left w:w="115" w:type="dxa"/>
              <w:bottom w:w="0" w:type="dxa"/>
              <w:right w:w="115" w:type="dxa"/>
            </w:tcMar>
          </w:tcPr>
          <w:p w14:paraId="2FEE336F" w14:textId="77777777" w:rsidR="009E676E" w:rsidRPr="009C5EFD" w:rsidRDefault="00E453CD" w:rsidP="00FD5FF1">
            <w:pPr>
              <w:widowControl w:val="0"/>
              <w:jc w:val="center"/>
              <w:rPr>
                <w:sz w:val="22"/>
                <w:szCs w:val="22"/>
              </w:rPr>
            </w:pPr>
            <w:r w:rsidRPr="009C5EFD">
              <w:rPr>
                <w:sz w:val="22"/>
                <w:szCs w:val="22"/>
              </w:rPr>
              <w:t>N=163</w:t>
            </w:r>
          </w:p>
          <w:p w14:paraId="6038075C" w14:textId="77777777" w:rsidR="009E676E" w:rsidRPr="009C5EFD" w:rsidRDefault="00E453CD" w:rsidP="00FD5FF1">
            <w:pPr>
              <w:widowControl w:val="0"/>
              <w:jc w:val="center"/>
              <w:rPr>
                <w:sz w:val="22"/>
                <w:szCs w:val="22"/>
              </w:rPr>
            </w:pPr>
            <w:r w:rsidRPr="009C5EFD">
              <w:rPr>
                <w:sz w:val="22"/>
                <w:szCs w:val="22"/>
              </w:rPr>
              <w:t>45 (27,6 %)</w:t>
            </w:r>
          </w:p>
        </w:tc>
        <w:tc>
          <w:tcPr>
            <w:tcW w:w="1856" w:type="dxa"/>
            <w:tcMar>
              <w:top w:w="0" w:type="dxa"/>
              <w:left w:w="115" w:type="dxa"/>
              <w:bottom w:w="0" w:type="dxa"/>
              <w:right w:w="115" w:type="dxa"/>
            </w:tcMar>
          </w:tcPr>
          <w:p w14:paraId="607F2CB0" w14:textId="77777777" w:rsidR="009E676E" w:rsidRPr="009C5EFD" w:rsidRDefault="00E453CD" w:rsidP="00FD5FF1">
            <w:pPr>
              <w:widowControl w:val="0"/>
              <w:jc w:val="center"/>
              <w:rPr>
                <w:sz w:val="22"/>
                <w:szCs w:val="22"/>
              </w:rPr>
            </w:pPr>
            <w:r w:rsidRPr="009C5EFD">
              <w:rPr>
                <w:sz w:val="22"/>
                <w:szCs w:val="22"/>
              </w:rPr>
              <w:t>N=163</w:t>
            </w:r>
          </w:p>
          <w:p w14:paraId="09E234BB" w14:textId="77777777" w:rsidR="009E676E" w:rsidRPr="009C5EFD" w:rsidRDefault="00E453CD" w:rsidP="00FD5FF1">
            <w:pPr>
              <w:widowControl w:val="0"/>
              <w:jc w:val="center"/>
              <w:rPr>
                <w:sz w:val="22"/>
                <w:szCs w:val="22"/>
              </w:rPr>
            </w:pPr>
            <w:r w:rsidRPr="009C5EFD">
              <w:rPr>
                <w:sz w:val="22"/>
                <w:szCs w:val="22"/>
              </w:rPr>
              <w:t>96 (58,9 %)</w:t>
            </w:r>
            <w:r w:rsidRPr="009C5EFD">
              <w:rPr>
                <w:sz w:val="22"/>
                <w:szCs w:val="22"/>
                <w:vertAlign w:val="superscript"/>
              </w:rPr>
              <w:t>***</w:t>
            </w:r>
          </w:p>
        </w:tc>
      </w:tr>
      <w:tr w:rsidR="004644D4" w14:paraId="4F489030" w14:textId="77777777" w:rsidTr="00FD5FF1">
        <w:trPr>
          <w:jc w:val="center"/>
        </w:trPr>
        <w:tc>
          <w:tcPr>
            <w:tcW w:w="2847" w:type="dxa"/>
            <w:tcMar>
              <w:top w:w="0" w:type="dxa"/>
              <w:left w:w="115" w:type="dxa"/>
              <w:bottom w:w="0" w:type="dxa"/>
              <w:right w:w="115" w:type="dxa"/>
            </w:tcMar>
            <w:vAlign w:val="center"/>
            <w:hideMark/>
          </w:tcPr>
          <w:p w14:paraId="14C3E6A7" w14:textId="77777777" w:rsidR="009E676E" w:rsidRPr="009C5EFD" w:rsidRDefault="00E453CD" w:rsidP="00FD5FF1">
            <w:pPr>
              <w:widowControl w:val="0"/>
              <w:rPr>
                <w:sz w:val="22"/>
                <w:szCs w:val="22"/>
              </w:rPr>
            </w:pPr>
            <w:r w:rsidRPr="009C5EFD">
              <w:rPr>
                <w:sz w:val="22"/>
                <w:szCs w:val="22"/>
              </w:rPr>
              <w:t>≥ 30 % Reduksjon i hudsmerter</w:t>
            </w:r>
            <w:r w:rsidRPr="009C5EFD">
              <w:rPr>
                <w:sz w:val="22"/>
                <w:szCs w:val="22"/>
                <w:vertAlign w:val="superscript"/>
              </w:rPr>
              <w:t>b</w:t>
            </w:r>
          </w:p>
        </w:tc>
        <w:tc>
          <w:tcPr>
            <w:tcW w:w="1440" w:type="dxa"/>
            <w:tcMar>
              <w:top w:w="0" w:type="dxa"/>
              <w:left w:w="115" w:type="dxa"/>
              <w:bottom w:w="0" w:type="dxa"/>
              <w:right w:w="115" w:type="dxa"/>
            </w:tcMar>
            <w:hideMark/>
          </w:tcPr>
          <w:p w14:paraId="3A745DA6" w14:textId="77777777" w:rsidR="009E676E" w:rsidRPr="009C5EFD" w:rsidRDefault="00E453CD" w:rsidP="00FD5FF1">
            <w:pPr>
              <w:widowControl w:val="0"/>
              <w:jc w:val="center"/>
              <w:rPr>
                <w:sz w:val="22"/>
                <w:szCs w:val="22"/>
              </w:rPr>
            </w:pPr>
            <w:r w:rsidRPr="009C5EFD">
              <w:rPr>
                <w:sz w:val="22"/>
                <w:szCs w:val="22"/>
              </w:rPr>
              <w:t>N = 109</w:t>
            </w:r>
            <w:r w:rsidRPr="009C5EFD">
              <w:rPr>
                <w:sz w:val="22"/>
                <w:szCs w:val="22"/>
              </w:rPr>
              <w:br/>
              <w:t>27 (24,8 %)</w:t>
            </w:r>
          </w:p>
        </w:tc>
        <w:tc>
          <w:tcPr>
            <w:tcW w:w="1746" w:type="dxa"/>
            <w:tcMar>
              <w:top w:w="0" w:type="dxa"/>
              <w:left w:w="115" w:type="dxa"/>
              <w:bottom w:w="0" w:type="dxa"/>
              <w:right w:w="115" w:type="dxa"/>
            </w:tcMar>
            <w:hideMark/>
          </w:tcPr>
          <w:p w14:paraId="1D398000" w14:textId="77777777" w:rsidR="009E676E" w:rsidRPr="009C5EFD" w:rsidRDefault="00E453CD" w:rsidP="00FD5FF1">
            <w:pPr>
              <w:widowControl w:val="0"/>
              <w:jc w:val="center"/>
              <w:rPr>
                <w:sz w:val="22"/>
                <w:szCs w:val="22"/>
              </w:rPr>
            </w:pPr>
            <w:r w:rsidRPr="009C5EFD">
              <w:rPr>
                <w:sz w:val="22"/>
                <w:szCs w:val="22"/>
              </w:rPr>
              <w:t>N = 122</w:t>
            </w:r>
            <w:r w:rsidRPr="009C5EFD">
              <w:rPr>
                <w:sz w:val="22"/>
                <w:szCs w:val="22"/>
              </w:rPr>
              <w:br/>
              <w:t>34 (27,9 %)</w:t>
            </w:r>
          </w:p>
        </w:tc>
        <w:tc>
          <w:tcPr>
            <w:tcW w:w="1404" w:type="dxa"/>
            <w:tcMar>
              <w:top w:w="0" w:type="dxa"/>
              <w:left w:w="115" w:type="dxa"/>
              <w:bottom w:w="0" w:type="dxa"/>
              <w:right w:w="115" w:type="dxa"/>
            </w:tcMar>
          </w:tcPr>
          <w:p w14:paraId="41F0398C" w14:textId="77777777" w:rsidR="009E676E" w:rsidRPr="009C5EFD" w:rsidRDefault="00E453CD" w:rsidP="00FD5FF1">
            <w:pPr>
              <w:widowControl w:val="0"/>
              <w:jc w:val="center"/>
              <w:rPr>
                <w:sz w:val="22"/>
                <w:szCs w:val="22"/>
              </w:rPr>
            </w:pPr>
            <w:r w:rsidRPr="009C5EFD">
              <w:rPr>
                <w:sz w:val="22"/>
                <w:szCs w:val="22"/>
              </w:rPr>
              <w:t>N=111</w:t>
            </w:r>
          </w:p>
          <w:p w14:paraId="37DC7685" w14:textId="77777777" w:rsidR="009E676E" w:rsidRPr="009C5EFD" w:rsidRDefault="00E453CD" w:rsidP="00FD5FF1">
            <w:pPr>
              <w:widowControl w:val="0"/>
              <w:jc w:val="center"/>
              <w:rPr>
                <w:sz w:val="22"/>
                <w:szCs w:val="22"/>
              </w:rPr>
            </w:pPr>
            <w:r w:rsidRPr="009C5EFD">
              <w:rPr>
                <w:sz w:val="22"/>
                <w:szCs w:val="22"/>
              </w:rPr>
              <w:t>23 (20,7 %)</w:t>
            </w:r>
          </w:p>
        </w:tc>
        <w:tc>
          <w:tcPr>
            <w:tcW w:w="1856" w:type="dxa"/>
            <w:tcMar>
              <w:top w:w="0" w:type="dxa"/>
              <w:left w:w="115" w:type="dxa"/>
              <w:bottom w:w="0" w:type="dxa"/>
              <w:right w:w="115" w:type="dxa"/>
            </w:tcMar>
          </w:tcPr>
          <w:p w14:paraId="1FBB8ACF" w14:textId="77777777" w:rsidR="009E676E" w:rsidRPr="009C5EFD" w:rsidRDefault="00E453CD" w:rsidP="00FD5FF1">
            <w:pPr>
              <w:widowControl w:val="0"/>
              <w:jc w:val="center"/>
              <w:rPr>
                <w:sz w:val="22"/>
                <w:szCs w:val="22"/>
              </w:rPr>
            </w:pPr>
            <w:r w:rsidRPr="009C5EFD">
              <w:rPr>
                <w:sz w:val="22"/>
                <w:szCs w:val="22"/>
              </w:rPr>
              <w:t>N=105</w:t>
            </w:r>
          </w:p>
          <w:p w14:paraId="78C8ED67" w14:textId="77777777" w:rsidR="009E676E" w:rsidRPr="009C5EFD" w:rsidRDefault="00E453CD" w:rsidP="00FD5FF1">
            <w:pPr>
              <w:widowControl w:val="0"/>
              <w:jc w:val="center"/>
              <w:rPr>
                <w:sz w:val="22"/>
                <w:szCs w:val="22"/>
              </w:rPr>
            </w:pPr>
            <w:r w:rsidRPr="009C5EFD">
              <w:rPr>
                <w:sz w:val="22"/>
                <w:szCs w:val="22"/>
              </w:rPr>
              <w:t>48 (45,7 %)</w:t>
            </w:r>
            <w:r w:rsidRPr="009C5EFD">
              <w:rPr>
                <w:sz w:val="22"/>
                <w:szCs w:val="22"/>
                <w:vertAlign w:val="superscript"/>
              </w:rPr>
              <w:t>***</w:t>
            </w:r>
          </w:p>
        </w:tc>
      </w:tr>
      <w:tr w:rsidR="004644D4" w14:paraId="7258C9C6" w14:textId="77777777" w:rsidTr="00FD5FF1">
        <w:trPr>
          <w:jc w:val="center"/>
        </w:trPr>
        <w:tc>
          <w:tcPr>
            <w:tcW w:w="9293" w:type="dxa"/>
            <w:gridSpan w:val="5"/>
            <w:tcMar>
              <w:top w:w="0" w:type="dxa"/>
              <w:left w:w="115" w:type="dxa"/>
              <w:bottom w:w="0" w:type="dxa"/>
              <w:right w:w="115" w:type="dxa"/>
            </w:tcMar>
            <w:vAlign w:val="center"/>
          </w:tcPr>
          <w:p w14:paraId="2DD06060" w14:textId="77777777" w:rsidR="009E676E" w:rsidRPr="001F5D4B" w:rsidRDefault="00E453CD" w:rsidP="00FD5FF1">
            <w:pPr>
              <w:keepNext/>
              <w:widowControl w:val="0"/>
              <w:ind w:left="360"/>
              <w:rPr>
                <w:sz w:val="22"/>
                <w:szCs w:val="22"/>
                <w:lang w:val="sv-SE"/>
              </w:rPr>
            </w:pPr>
            <w:r w:rsidRPr="009C5EFD">
              <w:rPr>
                <w:sz w:val="22"/>
                <w:szCs w:val="22"/>
              </w:rPr>
              <w:t>*</w:t>
            </w:r>
            <w:r>
              <w:rPr>
                <w:i/>
                <w:sz w:val="22"/>
                <w:szCs w:val="22"/>
              </w:rPr>
              <w:t>p</w:t>
            </w:r>
            <w:r w:rsidRPr="009C5EFD">
              <w:rPr>
                <w:sz w:val="22"/>
                <w:szCs w:val="22"/>
              </w:rPr>
              <w:t xml:space="preserve"> &lt; 0,05, ***</w:t>
            </w:r>
            <w:r>
              <w:rPr>
                <w:i/>
                <w:sz w:val="22"/>
                <w:szCs w:val="22"/>
              </w:rPr>
              <w:t>p</w:t>
            </w:r>
            <w:r w:rsidRPr="009C5EFD">
              <w:rPr>
                <w:i/>
                <w:sz w:val="22"/>
                <w:szCs w:val="22"/>
              </w:rPr>
              <w:t xml:space="preserve"> </w:t>
            </w:r>
            <w:r w:rsidRPr="009C5EFD">
              <w:rPr>
                <w:sz w:val="22"/>
                <w:szCs w:val="22"/>
              </w:rPr>
              <w:t xml:space="preserve">&lt; 0,001, Humira versus placebo </w:t>
            </w:r>
          </w:p>
          <w:p w14:paraId="2E0DFBAC" w14:textId="77777777" w:rsidR="009E676E" w:rsidRPr="009C5EFD" w:rsidRDefault="00E453CD" w:rsidP="00A15CB1">
            <w:pPr>
              <w:keepNext/>
              <w:keepLines/>
              <w:widowControl w:val="0"/>
              <w:numPr>
                <w:ilvl w:val="0"/>
                <w:numId w:val="126"/>
              </w:numPr>
              <w:spacing w:before="40" w:line="240" w:lineRule="exact"/>
              <w:rPr>
                <w:sz w:val="22"/>
                <w:szCs w:val="22"/>
              </w:rPr>
            </w:pPr>
            <w:r w:rsidRPr="009C5EFD">
              <w:rPr>
                <w:sz w:val="22"/>
                <w:szCs w:val="22"/>
              </w:rPr>
              <w:t>Blant alle randomiserte pasienter.</w:t>
            </w:r>
          </w:p>
          <w:p w14:paraId="697CC32F" w14:textId="77777777" w:rsidR="009E676E" w:rsidRPr="009C5EFD" w:rsidRDefault="00E453CD">
            <w:pPr>
              <w:keepNext/>
              <w:keepLines/>
              <w:widowControl w:val="0"/>
              <w:numPr>
                <w:ilvl w:val="0"/>
                <w:numId w:val="126"/>
              </w:numPr>
              <w:spacing w:before="40" w:line="240" w:lineRule="exact"/>
              <w:rPr>
                <w:sz w:val="22"/>
                <w:szCs w:val="22"/>
              </w:rPr>
            </w:pPr>
            <w:r w:rsidRPr="009C5EFD">
              <w:rPr>
                <w:sz w:val="22"/>
                <w:szCs w:val="22"/>
              </w:rPr>
              <w:t>Blant pasienter med HS-relaterte hudsmerter vurdert til ≥ 3</w:t>
            </w:r>
            <w:r w:rsidR="005B64BC">
              <w:rPr>
                <w:sz w:val="22"/>
                <w:szCs w:val="22"/>
              </w:rPr>
              <w:t xml:space="preserve"> ved baseline</w:t>
            </w:r>
            <w:r w:rsidRPr="009C5EFD">
              <w:rPr>
                <w:sz w:val="22"/>
                <w:szCs w:val="22"/>
              </w:rPr>
              <w:t>, basert på «Numerisk Rating Scale» 0</w:t>
            </w:r>
            <w:r w:rsidR="005D3D27">
              <w:rPr>
                <w:sz w:val="22"/>
                <w:szCs w:val="22"/>
              </w:rPr>
              <w:noBreakHyphen/>
            </w:r>
            <w:r w:rsidRPr="009C5EFD">
              <w:rPr>
                <w:sz w:val="22"/>
                <w:szCs w:val="22"/>
              </w:rPr>
              <w:t>10; 0 = ingen hudsmerter, 10 = hudsmerter så sterke man kan forestille seg.</w:t>
            </w:r>
          </w:p>
        </w:tc>
      </w:tr>
    </w:tbl>
    <w:p w14:paraId="534199C1" w14:textId="77777777" w:rsidR="009E676E" w:rsidRPr="009C5EFD" w:rsidRDefault="009E676E" w:rsidP="009E676E">
      <w:pPr>
        <w:rPr>
          <w:rFonts w:eastAsia="TimesNewRoman"/>
          <w:sz w:val="22"/>
          <w:szCs w:val="22"/>
        </w:rPr>
      </w:pPr>
    </w:p>
    <w:p w14:paraId="16B45F73"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 xml:space="preserve">Behandling med </w:t>
      </w:r>
      <w:r>
        <w:rPr>
          <w:rFonts w:eastAsia="TimesNewRoman"/>
          <w:sz w:val="22"/>
          <w:szCs w:val="22"/>
        </w:rPr>
        <w:t xml:space="preserve">40 mg </w:t>
      </w:r>
      <w:r w:rsidRPr="009C5EFD">
        <w:rPr>
          <w:rFonts w:eastAsia="TimesNewRoman"/>
          <w:sz w:val="22"/>
          <w:szCs w:val="22"/>
        </w:rPr>
        <w:t>Humira hver uke redusert</w:t>
      </w:r>
      <w:r>
        <w:rPr>
          <w:rFonts w:eastAsia="TimesNewRoman"/>
          <w:sz w:val="22"/>
          <w:szCs w:val="22"/>
        </w:rPr>
        <w:t>e</w:t>
      </w:r>
      <w:r w:rsidRPr="009C5EFD">
        <w:rPr>
          <w:rFonts w:eastAsia="TimesNewRoman"/>
          <w:sz w:val="22"/>
          <w:szCs w:val="22"/>
        </w:rPr>
        <w:t xml:space="preserve"> signifikant risikoen for forverrelse av abscesser og rennende fistler. I løpet av de første 12 ukene av studiene HS-I og HS-II opplevde omtrent dobbelt så mange pasienter i placebogruppen, sammenlignet med de i Humiragruppen, forverrelse av abscesser (henholdsvis 23,0 % vs. 11,4 %) og rennende fistler (henholdsvis 30,0 % vs. 13,9 %).</w:t>
      </w:r>
    </w:p>
    <w:p w14:paraId="20BE8C8E" w14:textId="77777777" w:rsidR="009E676E" w:rsidRPr="009C5EFD" w:rsidRDefault="009E676E" w:rsidP="009E676E">
      <w:pPr>
        <w:rPr>
          <w:sz w:val="22"/>
          <w:szCs w:val="22"/>
          <w:u w:val="single"/>
        </w:rPr>
      </w:pPr>
    </w:p>
    <w:p w14:paraId="4922EBE4"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 xml:space="preserve">Større forbedringer ved uke 12 fra start sammenlignet med placebo ble vist i </w:t>
      </w:r>
      <w:r w:rsidRPr="001C217B">
        <w:rPr>
          <w:sz w:val="22"/>
        </w:rPr>
        <w:t>hudspesifikk helserelatert livskvalitet</w:t>
      </w:r>
      <w:r w:rsidRPr="009C5EFD">
        <w:rPr>
          <w:rFonts w:eastAsia="TimesNewRoman"/>
          <w:sz w:val="22"/>
          <w:szCs w:val="22"/>
        </w:rPr>
        <w:t xml:space="preserve">, målt ved bruk av «Dermatology Life Quality Index» (DLQI; studiene HS-I og HS-II), global pasienttilfredshet med </w:t>
      </w:r>
      <w:r>
        <w:rPr>
          <w:rFonts w:eastAsia="TimesNewRoman"/>
          <w:sz w:val="22"/>
          <w:szCs w:val="22"/>
        </w:rPr>
        <w:t>legemiddel</w:t>
      </w:r>
      <w:r w:rsidRPr="009C5EFD">
        <w:rPr>
          <w:rFonts w:eastAsia="TimesNewRoman"/>
          <w:sz w:val="22"/>
          <w:szCs w:val="22"/>
        </w:rPr>
        <w:t>behandling målt ved bruk av «Treatment Satisfaction Questionnaire – medication» (TSQM; studiene HS-I og HS-II) og fysisk helse målt ved bruk av den fysiske komponenten av SF-36 (studie HS-I).</w:t>
      </w:r>
    </w:p>
    <w:p w14:paraId="5BC06E88" w14:textId="77777777" w:rsidR="009E676E" w:rsidRPr="009C5EFD" w:rsidRDefault="009E676E" w:rsidP="009E676E">
      <w:pPr>
        <w:rPr>
          <w:sz w:val="22"/>
          <w:szCs w:val="22"/>
          <w:u w:val="single"/>
        </w:rPr>
      </w:pPr>
    </w:p>
    <w:p w14:paraId="005D360B" w14:textId="77777777" w:rsidR="009E676E" w:rsidRDefault="00E453CD" w:rsidP="009E676E">
      <w:pPr>
        <w:pStyle w:val="EMEANormal"/>
        <w:rPr>
          <w:rFonts w:eastAsia="Calibri"/>
          <w:szCs w:val="22"/>
          <w:lang w:val="nb-NO"/>
        </w:rPr>
      </w:pPr>
      <w:r w:rsidRPr="009C5EFD">
        <w:rPr>
          <w:rFonts w:eastAsia="Calibri"/>
          <w:szCs w:val="22"/>
          <w:lang w:val="nb-NO"/>
        </w:rPr>
        <w:t xml:space="preserve">Hos pasienter som fikk </w:t>
      </w:r>
      <w:r>
        <w:rPr>
          <w:rFonts w:eastAsia="Calibri"/>
          <w:szCs w:val="22"/>
          <w:lang w:val="nb-NO"/>
        </w:rPr>
        <w:t xml:space="preserve">40 mg </w:t>
      </w:r>
      <w:r w:rsidRPr="009C5EFD">
        <w:rPr>
          <w:rFonts w:eastAsia="Calibri"/>
          <w:szCs w:val="22"/>
          <w:lang w:val="nb-NO"/>
        </w:rPr>
        <w:t>Humira ukentlig med minst en delvis respons ved uke 12, var HiSCR raten ved uke 36 høyere hos pasienter som fortsatte behandling med Humira ukentlig, enn hos pasienter der doseringsfrekvensen ble redusert til annenhver uke eller der behandlingen ble stoppet (se tabell </w:t>
      </w:r>
      <w:r w:rsidR="00FB4C84">
        <w:rPr>
          <w:rFonts w:eastAsia="Calibri"/>
          <w:szCs w:val="22"/>
          <w:lang w:val="nb-NO"/>
        </w:rPr>
        <w:t>1</w:t>
      </w:r>
      <w:r w:rsidR="003F5EAC">
        <w:rPr>
          <w:rFonts w:eastAsia="Calibri"/>
          <w:szCs w:val="22"/>
          <w:lang w:val="nb-NO"/>
        </w:rPr>
        <w:t>3</w:t>
      </w:r>
      <w:r w:rsidRPr="009C5EFD">
        <w:rPr>
          <w:rFonts w:eastAsia="Calibri"/>
          <w:szCs w:val="22"/>
          <w:lang w:val="nb-NO"/>
        </w:rPr>
        <w:t>).</w:t>
      </w:r>
    </w:p>
    <w:p w14:paraId="12EF0749" w14:textId="77777777" w:rsidR="009E676E" w:rsidRPr="009C5EFD" w:rsidRDefault="009E676E" w:rsidP="009E676E">
      <w:pPr>
        <w:pStyle w:val="EMEANormal"/>
        <w:rPr>
          <w:szCs w:val="22"/>
          <w:lang w:val="nb-NO"/>
        </w:rPr>
      </w:pPr>
    </w:p>
    <w:p w14:paraId="76F73357" w14:textId="77777777" w:rsidR="009E676E" w:rsidRPr="009C5EFD" w:rsidRDefault="00E453CD" w:rsidP="00B77853">
      <w:pPr>
        <w:pStyle w:val="Paragraph"/>
        <w:keepNext/>
        <w:spacing w:after="0" w:line="240" w:lineRule="auto"/>
        <w:ind w:left="567"/>
        <w:jc w:val="center"/>
        <w:rPr>
          <w:b/>
          <w:sz w:val="22"/>
          <w:szCs w:val="22"/>
          <w:lang w:val="nb-NO"/>
        </w:rPr>
      </w:pPr>
      <w:r w:rsidRPr="009C5EFD">
        <w:rPr>
          <w:b/>
          <w:sz w:val="22"/>
          <w:szCs w:val="22"/>
          <w:lang w:val="nb-NO"/>
        </w:rPr>
        <w:t>Tabell </w:t>
      </w:r>
      <w:r w:rsidR="003F5EAC">
        <w:rPr>
          <w:b/>
          <w:sz w:val="22"/>
          <w:szCs w:val="22"/>
          <w:lang w:val="nb-NO"/>
        </w:rPr>
        <w:t>13</w:t>
      </w:r>
      <w:r w:rsidR="0013382B">
        <w:rPr>
          <w:b/>
          <w:sz w:val="22"/>
          <w:szCs w:val="22"/>
          <w:lang w:val="nb-NO"/>
        </w:rPr>
        <w:t>:</w:t>
      </w:r>
      <w:r>
        <w:rPr>
          <w:b/>
          <w:sz w:val="22"/>
          <w:szCs w:val="22"/>
          <w:lang w:val="nb-NO"/>
        </w:rPr>
        <w:t xml:space="preserve"> </w:t>
      </w:r>
      <w:r w:rsidRPr="009C5EFD">
        <w:rPr>
          <w:b/>
          <w:sz w:val="22"/>
          <w:szCs w:val="22"/>
          <w:lang w:val="nb-NO"/>
        </w:rPr>
        <w:t>Andel av pasienter</w:t>
      </w:r>
      <w:r w:rsidRPr="009C5EFD">
        <w:rPr>
          <w:b/>
          <w:sz w:val="22"/>
          <w:szCs w:val="22"/>
          <w:vertAlign w:val="superscript"/>
          <w:lang w:val="nb-NO"/>
        </w:rPr>
        <w:t>a</w:t>
      </w:r>
      <w:r w:rsidRPr="009C5EFD">
        <w:rPr>
          <w:b/>
          <w:sz w:val="22"/>
          <w:szCs w:val="22"/>
          <w:lang w:val="nb-NO"/>
        </w:rPr>
        <w:t xml:space="preserve"> som </w:t>
      </w:r>
      <w:r>
        <w:rPr>
          <w:b/>
          <w:sz w:val="22"/>
          <w:szCs w:val="22"/>
          <w:lang w:val="nb-NO"/>
        </w:rPr>
        <w:t>oppnådde</w:t>
      </w:r>
      <w:r w:rsidRPr="009C5EFD">
        <w:rPr>
          <w:b/>
          <w:sz w:val="22"/>
          <w:szCs w:val="22"/>
          <w:lang w:val="nb-NO"/>
        </w:rPr>
        <w:t xml:space="preserve"> HiSCR</w:t>
      </w:r>
      <w:r w:rsidRPr="009C5EFD">
        <w:rPr>
          <w:b/>
          <w:sz w:val="22"/>
          <w:szCs w:val="22"/>
          <w:vertAlign w:val="superscript"/>
          <w:lang w:val="nb-NO"/>
        </w:rPr>
        <w:t xml:space="preserve">b </w:t>
      </w:r>
      <w:r w:rsidRPr="009C5EFD">
        <w:rPr>
          <w:b/>
          <w:sz w:val="22"/>
          <w:szCs w:val="22"/>
          <w:lang w:val="nb-NO"/>
        </w:rPr>
        <w:t xml:space="preserve">ved uke 24 og 36 </w:t>
      </w:r>
      <w:r w:rsidRPr="00537347">
        <w:rPr>
          <w:b/>
          <w:sz w:val="22"/>
          <w:szCs w:val="22"/>
          <w:lang w:val="nb-NO"/>
        </w:rPr>
        <w:t>etter</w:t>
      </w:r>
      <w:r>
        <w:rPr>
          <w:b/>
          <w:sz w:val="22"/>
          <w:szCs w:val="22"/>
          <w:lang w:val="nb-NO"/>
        </w:rPr>
        <w:t xml:space="preserve"> behandlingsendring fra </w:t>
      </w:r>
      <w:r w:rsidRPr="00537347">
        <w:rPr>
          <w:b/>
          <w:sz w:val="22"/>
          <w:szCs w:val="22"/>
          <w:lang w:val="nb-NO"/>
        </w:rPr>
        <w:t xml:space="preserve">ukentlig Humira </w:t>
      </w:r>
      <w:r>
        <w:rPr>
          <w:b/>
          <w:sz w:val="22"/>
          <w:szCs w:val="22"/>
          <w:lang w:val="nb-NO"/>
        </w:rPr>
        <w:t>ved uke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4644D4" w14:paraId="794B98E8" w14:textId="77777777" w:rsidTr="00FD5FF1">
        <w:trPr>
          <w:tblHeader/>
          <w:jc w:val="center"/>
        </w:trPr>
        <w:tc>
          <w:tcPr>
            <w:tcW w:w="1437" w:type="dxa"/>
            <w:vAlign w:val="bottom"/>
          </w:tcPr>
          <w:p w14:paraId="0479852E" w14:textId="77777777" w:rsidR="009E676E" w:rsidRPr="009C5EFD" w:rsidRDefault="009E676E" w:rsidP="00B77853">
            <w:pPr>
              <w:pStyle w:val="TableLeft"/>
              <w:rPr>
                <w:b/>
                <w:sz w:val="22"/>
                <w:szCs w:val="22"/>
                <w:lang w:val="nb-NO"/>
              </w:rPr>
            </w:pPr>
          </w:p>
        </w:tc>
        <w:tc>
          <w:tcPr>
            <w:tcW w:w="1980" w:type="dxa"/>
            <w:vAlign w:val="bottom"/>
          </w:tcPr>
          <w:p w14:paraId="44F6E30B" w14:textId="77777777" w:rsidR="009E676E" w:rsidRPr="009C5EFD" w:rsidRDefault="00E453CD" w:rsidP="00B77853">
            <w:pPr>
              <w:pStyle w:val="TableLeft"/>
              <w:jc w:val="center"/>
              <w:rPr>
                <w:b/>
                <w:sz w:val="22"/>
                <w:szCs w:val="22"/>
              </w:rPr>
            </w:pPr>
            <w:r w:rsidRPr="009C5EFD">
              <w:rPr>
                <w:b/>
                <w:sz w:val="22"/>
                <w:szCs w:val="22"/>
              </w:rPr>
              <w:t>Placebo</w:t>
            </w:r>
            <w:r w:rsidRPr="009C5EFD">
              <w:rPr>
                <w:b/>
                <w:sz w:val="22"/>
                <w:szCs w:val="22"/>
              </w:rPr>
              <w:br/>
              <w:t>(behandlingsstans)</w:t>
            </w:r>
            <w:r w:rsidRPr="009C5EFD">
              <w:rPr>
                <w:b/>
                <w:sz w:val="22"/>
                <w:szCs w:val="22"/>
              </w:rPr>
              <w:br/>
              <w:t>N = 73</w:t>
            </w:r>
          </w:p>
        </w:tc>
        <w:tc>
          <w:tcPr>
            <w:tcW w:w="1980" w:type="dxa"/>
            <w:vAlign w:val="bottom"/>
          </w:tcPr>
          <w:p w14:paraId="4E70F2B7" w14:textId="77777777" w:rsidR="009E676E" w:rsidRPr="009C5EFD" w:rsidRDefault="00E453CD" w:rsidP="00B77853">
            <w:pPr>
              <w:pStyle w:val="TableLeft"/>
              <w:jc w:val="center"/>
              <w:rPr>
                <w:b/>
                <w:sz w:val="22"/>
                <w:szCs w:val="22"/>
                <w:lang w:val="nb-NO"/>
              </w:rPr>
            </w:pPr>
            <w:r w:rsidRPr="009C5EFD">
              <w:rPr>
                <w:b/>
                <w:sz w:val="22"/>
                <w:szCs w:val="22"/>
                <w:lang w:val="nb-NO"/>
              </w:rPr>
              <w:t>Humira 40 mg</w:t>
            </w:r>
            <w:r w:rsidRPr="009C5EFD">
              <w:rPr>
                <w:b/>
                <w:sz w:val="22"/>
                <w:szCs w:val="22"/>
                <w:lang w:val="nb-NO"/>
              </w:rPr>
              <w:br/>
              <w:t>annenhver uke</w:t>
            </w:r>
            <w:r w:rsidRPr="009C5EFD">
              <w:rPr>
                <w:b/>
                <w:sz w:val="22"/>
                <w:szCs w:val="22"/>
                <w:lang w:val="nb-NO"/>
              </w:rPr>
              <w:br/>
              <w:t>N = 70</w:t>
            </w:r>
          </w:p>
        </w:tc>
        <w:tc>
          <w:tcPr>
            <w:tcW w:w="1855" w:type="dxa"/>
            <w:vAlign w:val="bottom"/>
          </w:tcPr>
          <w:p w14:paraId="5E1C2887" w14:textId="77777777" w:rsidR="009E676E" w:rsidRPr="009C5EFD" w:rsidRDefault="00E453CD" w:rsidP="00B77853">
            <w:pPr>
              <w:pStyle w:val="TableLeft"/>
              <w:jc w:val="center"/>
              <w:rPr>
                <w:b/>
                <w:sz w:val="22"/>
                <w:szCs w:val="22"/>
              </w:rPr>
            </w:pPr>
            <w:r w:rsidRPr="009C5EFD">
              <w:rPr>
                <w:b/>
                <w:sz w:val="22"/>
                <w:szCs w:val="22"/>
              </w:rPr>
              <w:t>Humira 40 mg</w:t>
            </w:r>
            <w:r w:rsidRPr="009C5EFD">
              <w:rPr>
                <w:b/>
                <w:sz w:val="22"/>
                <w:szCs w:val="22"/>
              </w:rPr>
              <w:br/>
              <w:t>ukentlig</w:t>
            </w:r>
            <w:r w:rsidRPr="009C5EFD">
              <w:rPr>
                <w:b/>
                <w:sz w:val="22"/>
                <w:szCs w:val="22"/>
              </w:rPr>
              <w:br/>
              <w:t>N = 70</w:t>
            </w:r>
          </w:p>
        </w:tc>
      </w:tr>
      <w:tr w:rsidR="004644D4" w14:paraId="394EA078" w14:textId="77777777" w:rsidTr="00FD5FF1">
        <w:trPr>
          <w:jc w:val="center"/>
        </w:trPr>
        <w:tc>
          <w:tcPr>
            <w:tcW w:w="1437" w:type="dxa"/>
          </w:tcPr>
          <w:p w14:paraId="643602A0" w14:textId="77777777" w:rsidR="009E676E" w:rsidRPr="007F67EE" w:rsidRDefault="00E453CD" w:rsidP="00B77853">
            <w:pPr>
              <w:pStyle w:val="TableLeft"/>
              <w:rPr>
                <w:sz w:val="22"/>
                <w:szCs w:val="22"/>
              </w:rPr>
            </w:pPr>
            <w:r>
              <w:rPr>
                <w:sz w:val="22"/>
                <w:szCs w:val="22"/>
              </w:rPr>
              <w:t>Uke</w:t>
            </w:r>
            <w:r w:rsidRPr="007F67EE">
              <w:rPr>
                <w:sz w:val="22"/>
                <w:szCs w:val="22"/>
              </w:rPr>
              <w:t xml:space="preserve"> 24</w:t>
            </w:r>
          </w:p>
        </w:tc>
        <w:tc>
          <w:tcPr>
            <w:tcW w:w="1980" w:type="dxa"/>
          </w:tcPr>
          <w:p w14:paraId="070FA831" w14:textId="77777777" w:rsidR="009E676E" w:rsidRPr="002D0790" w:rsidRDefault="00E453CD" w:rsidP="00B77853">
            <w:pPr>
              <w:pStyle w:val="TableLeft"/>
              <w:jc w:val="center"/>
              <w:rPr>
                <w:sz w:val="22"/>
                <w:szCs w:val="22"/>
              </w:rPr>
            </w:pPr>
            <w:r w:rsidRPr="00193D76">
              <w:rPr>
                <w:sz w:val="22"/>
                <w:szCs w:val="22"/>
              </w:rPr>
              <w:t>24 (32,9</w:t>
            </w:r>
            <w:r w:rsidRPr="002D0790">
              <w:rPr>
                <w:sz w:val="22"/>
                <w:szCs w:val="22"/>
              </w:rPr>
              <w:t> %)</w:t>
            </w:r>
          </w:p>
        </w:tc>
        <w:tc>
          <w:tcPr>
            <w:tcW w:w="1980" w:type="dxa"/>
          </w:tcPr>
          <w:p w14:paraId="7EB42122" w14:textId="77777777" w:rsidR="009E676E" w:rsidRPr="009C5EFD" w:rsidRDefault="00E453CD" w:rsidP="00B77853">
            <w:pPr>
              <w:pStyle w:val="TableLeft"/>
              <w:jc w:val="center"/>
              <w:rPr>
                <w:sz w:val="22"/>
                <w:szCs w:val="22"/>
              </w:rPr>
            </w:pPr>
            <w:r w:rsidRPr="00E14E58">
              <w:rPr>
                <w:sz w:val="22"/>
                <w:szCs w:val="22"/>
              </w:rPr>
              <w:t>36 (51,4</w:t>
            </w:r>
            <w:r w:rsidRPr="009C5EFD">
              <w:rPr>
                <w:sz w:val="22"/>
                <w:szCs w:val="22"/>
              </w:rPr>
              <w:t> %)</w:t>
            </w:r>
          </w:p>
        </w:tc>
        <w:tc>
          <w:tcPr>
            <w:tcW w:w="1855" w:type="dxa"/>
          </w:tcPr>
          <w:p w14:paraId="5F68248A" w14:textId="77777777" w:rsidR="009E676E" w:rsidRPr="009C5EFD" w:rsidRDefault="00E453CD" w:rsidP="00B77853">
            <w:pPr>
              <w:pStyle w:val="TableLeft"/>
              <w:jc w:val="center"/>
              <w:rPr>
                <w:sz w:val="22"/>
                <w:szCs w:val="22"/>
              </w:rPr>
            </w:pPr>
            <w:r w:rsidRPr="009C5EFD">
              <w:rPr>
                <w:sz w:val="22"/>
                <w:szCs w:val="22"/>
              </w:rPr>
              <w:t>40 (57,1 %)</w:t>
            </w:r>
          </w:p>
        </w:tc>
      </w:tr>
      <w:tr w:rsidR="004644D4" w14:paraId="59E2E4E9" w14:textId="77777777" w:rsidTr="00FD5FF1">
        <w:trPr>
          <w:jc w:val="center"/>
        </w:trPr>
        <w:tc>
          <w:tcPr>
            <w:tcW w:w="1437" w:type="dxa"/>
          </w:tcPr>
          <w:p w14:paraId="186EE95F" w14:textId="77777777" w:rsidR="009E676E" w:rsidRPr="007F67EE" w:rsidRDefault="00E453CD" w:rsidP="00B77853">
            <w:pPr>
              <w:pStyle w:val="TableLeft"/>
              <w:rPr>
                <w:sz w:val="22"/>
                <w:szCs w:val="22"/>
              </w:rPr>
            </w:pPr>
            <w:r>
              <w:rPr>
                <w:sz w:val="22"/>
                <w:szCs w:val="22"/>
              </w:rPr>
              <w:t>Uke</w:t>
            </w:r>
            <w:r w:rsidRPr="007F67EE">
              <w:rPr>
                <w:sz w:val="22"/>
                <w:szCs w:val="22"/>
              </w:rPr>
              <w:t xml:space="preserve"> 36</w:t>
            </w:r>
          </w:p>
        </w:tc>
        <w:tc>
          <w:tcPr>
            <w:tcW w:w="1980" w:type="dxa"/>
          </w:tcPr>
          <w:p w14:paraId="71FBA9D1" w14:textId="77777777" w:rsidR="009E676E" w:rsidRPr="00E14E58" w:rsidRDefault="00E453CD" w:rsidP="00B77853">
            <w:pPr>
              <w:pStyle w:val="TableLeft"/>
              <w:jc w:val="center"/>
              <w:rPr>
                <w:sz w:val="22"/>
                <w:szCs w:val="22"/>
              </w:rPr>
            </w:pPr>
            <w:r w:rsidRPr="00193D76">
              <w:rPr>
                <w:sz w:val="22"/>
                <w:szCs w:val="22"/>
              </w:rPr>
              <w:t>22 (30,</w:t>
            </w:r>
            <w:r w:rsidRPr="002D0790">
              <w:rPr>
                <w:sz w:val="22"/>
                <w:szCs w:val="22"/>
              </w:rPr>
              <w:t>1 </w:t>
            </w:r>
            <w:r w:rsidRPr="00E14E58">
              <w:rPr>
                <w:sz w:val="22"/>
                <w:szCs w:val="22"/>
              </w:rPr>
              <w:t>%)</w:t>
            </w:r>
          </w:p>
        </w:tc>
        <w:tc>
          <w:tcPr>
            <w:tcW w:w="1980" w:type="dxa"/>
          </w:tcPr>
          <w:p w14:paraId="5EAE9BA1" w14:textId="77777777" w:rsidR="009E676E" w:rsidRPr="009C5EFD" w:rsidRDefault="00E453CD" w:rsidP="00B77853">
            <w:pPr>
              <w:pStyle w:val="TableLeft"/>
              <w:jc w:val="center"/>
              <w:rPr>
                <w:sz w:val="22"/>
                <w:szCs w:val="22"/>
              </w:rPr>
            </w:pPr>
            <w:r w:rsidRPr="009C5EFD">
              <w:rPr>
                <w:sz w:val="22"/>
                <w:szCs w:val="22"/>
              </w:rPr>
              <w:t>28 (40,0 %)</w:t>
            </w:r>
          </w:p>
        </w:tc>
        <w:tc>
          <w:tcPr>
            <w:tcW w:w="1855" w:type="dxa"/>
          </w:tcPr>
          <w:p w14:paraId="6B954E1F" w14:textId="77777777" w:rsidR="009E676E" w:rsidRPr="009C5EFD" w:rsidRDefault="00E453CD" w:rsidP="00B77853">
            <w:pPr>
              <w:pStyle w:val="TableLeft"/>
              <w:jc w:val="center"/>
              <w:rPr>
                <w:sz w:val="22"/>
                <w:szCs w:val="22"/>
              </w:rPr>
            </w:pPr>
            <w:r w:rsidRPr="009C5EFD">
              <w:rPr>
                <w:sz w:val="22"/>
                <w:szCs w:val="22"/>
              </w:rPr>
              <w:t>39 (55,7 %)</w:t>
            </w:r>
          </w:p>
        </w:tc>
      </w:tr>
      <w:tr w:rsidR="004644D4" w14:paraId="3EF8A3D3" w14:textId="77777777" w:rsidTr="00FD5FF1">
        <w:trPr>
          <w:jc w:val="center"/>
        </w:trPr>
        <w:tc>
          <w:tcPr>
            <w:tcW w:w="7252" w:type="dxa"/>
            <w:gridSpan w:val="4"/>
          </w:tcPr>
          <w:p w14:paraId="70749CFA" w14:textId="77777777" w:rsidR="009E676E" w:rsidRPr="009C5EFD" w:rsidRDefault="00E453CD" w:rsidP="00B77853">
            <w:pPr>
              <w:pStyle w:val="TableFootnoteLetter"/>
              <w:keepNext/>
              <w:numPr>
                <w:ilvl w:val="0"/>
                <w:numId w:val="127"/>
              </w:numPr>
              <w:rPr>
                <w:rFonts w:ascii="Times New Roman" w:hAnsi="Times New Roman"/>
                <w:sz w:val="22"/>
                <w:szCs w:val="22"/>
                <w:lang w:val="nb-NO"/>
              </w:rPr>
            </w:pPr>
            <w:r w:rsidRPr="007F67EE">
              <w:rPr>
                <w:rFonts w:ascii="Times New Roman" w:hAnsi="Times New Roman"/>
                <w:sz w:val="22"/>
                <w:szCs w:val="22"/>
                <w:lang w:val="nb-NO"/>
              </w:rPr>
              <w:t>P</w:t>
            </w:r>
            <w:r w:rsidRPr="00193D76">
              <w:rPr>
                <w:rFonts w:ascii="Times New Roman" w:hAnsi="Times New Roman"/>
                <w:sz w:val="22"/>
                <w:szCs w:val="22"/>
                <w:lang w:val="nb-NO"/>
              </w:rPr>
              <w:t>asienter med minst en delvis respons på Humira 40 mg ukentlig etter 12 uke</w:t>
            </w:r>
            <w:r w:rsidRPr="002D0790">
              <w:rPr>
                <w:rFonts w:ascii="Times New Roman" w:hAnsi="Times New Roman"/>
                <w:sz w:val="22"/>
                <w:szCs w:val="22"/>
                <w:lang w:val="nb-NO"/>
              </w:rPr>
              <w:t>rs</w:t>
            </w:r>
            <w:r w:rsidRPr="00E14E58">
              <w:rPr>
                <w:rFonts w:ascii="Times New Roman" w:hAnsi="Times New Roman"/>
                <w:sz w:val="22"/>
                <w:szCs w:val="22"/>
                <w:lang w:val="nb-NO"/>
              </w:rPr>
              <w:t xml:space="preserve"> behandling</w:t>
            </w:r>
            <w:r w:rsidRPr="009C5EFD">
              <w:rPr>
                <w:rFonts w:ascii="Times New Roman" w:hAnsi="Times New Roman"/>
                <w:sz w:val="22"/>
                <w:szCs w:val="22"/>
                <w:lang w:val="nb-NO"/>
              </w:rPr>
              <w:t>.</w:t>
            </w:r>
          </w:p>
          <w:p w14:paraId="44B716F6" w14:textId="77777777" w:rsidR="009E676E" w:rsidRPr="009C5EFD" w:rsidRDefault="00E453CD" w:rsidP="00B77853">
            <w:pPr>
              <w:pStyle w:val="TableFootnoteLetter"/>
              <w:keepNext/>
              <w:numPr>
                <w:ilvl w:val="0"/>
                <w:numId w:val="127"/>
              </w:numPr>
              <w:rPr>
                <w:rFonts w:ascii="Times New Roman" w:hAnsi="Times New Roman"/>
                <w:sz w:val="22"/>
                <w:szCs w:val="22"/>
                <w:lang w:val="nb-NO"/>
              </w:rPr>
            </w:pPr>
            <w:r w:rsidRPr="009C5EFD">
              <w:rPr>
                <w:rFonts w:ascii="Times New Roman" w:hAnsi="Times New Roman"/>
                <w:sz w:val="22"/>
                <w:szCs w:val="22"/>
                <w:lang w:val="nb-NO"/>
              </w:rPr>
              <w:t>Pasienter som oppfylte protokollspesifiserte kriterier for tap av respons eller ingen forbedring ble pålagt å avbryte studiene og ble regnet som ikke</w:t>
            </w:r>
            <w:r w:rsidRPr="009C5EFD">
              <w:rPr>
                <w:rFonts w:ascii="Times New Roman" w:hAnsi="Times New Roman"/>
                <w:sz w:val="22"/>
                <w:szCs w:val="22"/>
                <w:lang w:val="nb-NO"/>
              </w:rPr>
              <w:noBreakHyphen/>
              <w:t>respondere.</w:t>
            </w:r>
          </w:p>
        </w:tc>
      </w:tr>
    </w:tbl>
    <w:p w14:paraId="63B1A1ED" w14:textId="77777777" w:rsidR="009E676E" w:rsidRPr="007F67EE" w:rsidRDefault="009E676E" w:rsidP="00776A84">
      <w:pPr>
        <w:pStyle w:val="TableFootnoteLetter"/>
        <w:keepLines w:val="0"/>
        <w:numPr>
          <w:ilvl w:val="0"/>
          <w:numId w:val="0"/>
        </w:numPr>
        <w:tabs>
          <w:tab w:val="num" w:pos="720"/>
        </w:tabs>
        <w:ind w:left="357" w:hanging="357"/>
        <w:jc w:val="both"/>
        <w:rPr>
          <w:rFonts w:ascii="Times New Roman" w:hAnsi="Times New Roman"/>
          <w:sz w:val="22"/>
          <w:szCs w:val="22"/>
          <w:lang w:val="nb-NO"/>
        </w:rPr>
      </w:pPr>
    </w:p>
    <w:p w14:paraId="309DFDDB" w14:textId="77777777" w:rsidR="009E676E" w:rsidRPr="009C5EFD" w:rsidRDefault="00E453CD" w:rsidP="009E676E">
      <w:pPr>
        <w:rPr>
          <w:sz w:val="22"/>
          <w:szCs w:val="22"/>
        </w:rPr>
      </w:pPr>
      <w:r w:rsidRPr="00193D76">
        <w:rPr>
          <w:sz w:val="22"/>
          <w:szCs w:val="22"/>
        </w:rPr>
        <w:t>Blant pasiente</w:t>
      </w:r>
      <w:r w:rsidRPr="002D0790">
        <w:rPr>
          <w:sz w:val="22"/>
          <w:szCs w:val="22"/>
        </w:rPr>
        <w:t xml:space="preserve">r </w:t>
      </w:r>
      <w:r w:rsidRPr="00E14E58">
        <w:rPr>
          <w:sz w:val="22"/>
          <w:szCs w:val="22"/>
        </w:rPr>
        <w:t xml:space="preserve">med </w:t>
      </w:r>
      <w:r w:rsidRPr="009C5EFD">
        <w:rPr>
          <w:sz w:val="22"/>
          <w:szCs w:val="22"/>
        </w:rPr>
        <w:t xml:space="preserve">minst en delvis respons ved uke 12 og som </w:t>
      </w:r>
      <w:r w:rsidR="0019503A">
        <w:rPr>
          <w:sz w:val="22"/>
          <w:szCs w:val="22"/>
        </w:rPr>
        <w:t xml:space="preserve">ukentlig </w:t>
      </w:r>
      <w:r w:rsidRPr="009C5EFD">
        <w:rPr>
          <w:sz w:val="22"/>
          <w:szCs w:val="22"/>
        </w:rPr>
        <w:t xml:space="preserve">fikk </w:t>
      </w:r>
      <w:r w:rsidR="00745713">
        <w:rPr>
          <w:sz w:val="22"/>
          <w:szCs w:val="22"/>
        </w:rPr>
        <w:t>kontinuerlig</w:t>
      </w:r>
      <w:r w:rsidR="00A20B5A" w:rsidRPr="009C5EFD">
        <w:rPr>
          <w:sz w:val="22"/>
          <w:szCs w:val="22"/>
        </w:rPr>
        <w:t xml:space="preserve"> </w:t>
      </w:r>
      <w:r w:rsidRPr="009C5EFD">
        <w:rPr>
          <w:sz w:val="22"/>
          <w:szCs w:val="22"/>
        </w:rPr>
        <w:t xml:space="preserve">Humira </w:t>
      </w:r>
      <w:r w:rsidR="00745713">
        <w:rPr>
          <w:sz w:val="22"/>
          <w:szCs w:val="22"/>
        </w:rPr>
        <w:t xml:space="preserve">behandling </w:t>
      </w:r>
      <w:r w:rsidRPr="009C5EFD">
        <w:rPr>
          <w:sz w:val="22"/>
          <w:szCs w:val="22"/>
        </w:rPr>
        <w:t xml:space="preserve">var HiSCR raten </w:t>
      </w:r>
      <w:r w:rsidR="000877DF">
        <w:rPr>
          <w:sz w:val="22"/>
          <w:szCs w:val="22"/>
        </w:rPr>
        <w:t>68,3 </w:t>
      </w:r>
      <w:r w:rsidR="000877DF" w:rsidRPr="002D0790">
        <w:rPr>
          <w:sz w:val="22"/>
          <w:szCs w:val="22"/>
        </w:rPr>
        <w:t>% ved uke</w:t>
      </w:r>
      <w:r w:rsidR="000877DF">
        <w:rPr>
          <w:sz w:val="22"/>
          <w:szCs w:val="22"/>
        </w:rPr>
        <w:t> </w:t>
      </w:r>
      <w:r w:rsidR="000877DF" w:rsidRPr="002D0790">
        <w:rPr>
          <w:sz w:val="22"/>
          <w:szCs w:val="22"/>
        </w:rPr>
        <w:t>48</w:t>
      </w:r>
      <w:r w:rsidR="000877DF">
        <w:rPr>
          <w:sz w:val="22"/>
          <w:szCs w:val="22"/>
        </w:rPr>
        <w:t xml:space="preserve"> og 65,1 % ved uke 96</w:t>
      </w:r>
      <w:r w:rsidR="000877DF" w:rsidRPr="002D0790">
        <w:rPr>
          <w:sz w:val="22"/>
          <w:szCs w:val="22"/>
        </w:rPr>
        <w:t>.</w:t>
      </w:r>
      <w:r w:rsidR="000877DF">
        <w:rPr>
          <w:sz w:val="22"/>
          <w:szCs w:val="22"/>
        </w:rPr>
        <w:t xml:space="preserve"> Langtidsbehandling med 40 mg Humira ukentlig i 96 uker viste ingen nye funn vedrørende sikkerhet.</w:t>
      </w:r>
    </w:p>
    <w:p w14:paraId="38207E98" w14:textId="77777777" w:rsidR="009E676E" w:rsidRPr="009C5EFD" w:rsidRDefault="009E676E" w:rsidP="009E676E">
      <w:pPr>
        <w:rPr>
          <w:sz w:val="22"/>
          <w:szCs w:val="22"/>
        </w:rPr>
      </w:pPr>
    </w:p>
    <w:p w14:paraId="51A5645C" w14:textId="77777777" w:rsidR="009E676E" w:rsidRDefault="00E453CD" w:rsidP="009E676E">
      <w:pPr>
        <w:rPr>
          <w:sz w:val="22"/>
          <w:szCs w:val="22"/>
        </w:rPr>
      </w:pPr>
      <w:r w:rsidRPr="009C5EFD">
        <w:rPr>
          <w:sz w:val="22"/>
          <w:szCs w:val="22"/>
        </w:rPr>
        <w:t xml:space="preserve">Blant pasienter der behandlingen med Humira ble avsluttet ved uke 12, i studiene HS-I og HS-II, gikk HiSCR raten, </w:t>
      </w:r>
      <w:r>
        <w:rPr>
          <w:sz w:val="22"/>
          <w:szCs w:val="22"/>
        </w:rPr>
        <w:t>1</w:t>
      </w:r>
      <w:r w:rsidRPr="009C5EFD">
        <w:rPr>
          <w:sz w:val="22"/>
          <w:szCs w:val="22"/>
        </w:rPr>
        <w:t xml:space="preserve">2 uker etter re-introduksjon av </w:t>
      </w:r>
      <w:r>
        <w:rPr>
          <w:sz w:val="22"/>
          <w:szCs w:val="22"/>
        </w:rPr>
        <w:t xml:space="preserve">40 mg </w:t>
      </w:r>
      <w:r w:rsidRPr="009C5EFD">
        <w:rPr>
          <w:sz w:val="22"/>
          <w:szCs w:val="22"/>
        </w:rPr>
        <w:t>Humira ukentlig, tilbake til nivåer tilsvarende de som ble observert før behandlingen ble stoppet (56,0 %).</w:t>
      </w:r>
    </w:p>
    <w:p w14:paraId="510800C7" w14:textId="77777777" w:rsidR="003158FF" w:rsidRDefault="003158FF" w:rsidP="009E676E">
      <w:pPr>
        <w:rPr>
          <w:sz w:val="22"/>
          <w:szCs w:val="22"/>
        </w:rPr>
      </w:pPr>
    </w:p>
    <w:p w14:paraId="3B12A697" w14:textId="77777777" w:rsidR="009E676E" w:rsidRPr="001F5D4B" w:rsidRDefault="00E453CD" w:rsidP="00776A84">
      <w:pPr>
        <w:keepNext/>
        <w:rPr>
          <w:i/>
          <w:sz w:val="22"/>
          <w:szCs w:val="22"/>
        </w:rPr>
      </w:pPr>
      <w:r w:rsidRPr="001F5D4B">
        <w:rPr>
          <w:i/>
          <w:sz w:val="22"/>
          <w:szCs w:val="22"/>
        </w:rPr>
        <w:t>Crohns sykdom</w:t>
      </w:r>
    </w:p>
    <w:p w14:paraId="558DAF98" w14:textId="77777777" w:rsidR="009E676E" w:rsidRPr="007F67EE" w:rsidRDefault="009E676E" w:rsidP="00776A84">
      <w:pPr>
        <w:keepNext/>
        <w:rPr>
          <w:sz w:val="22"/>
          <w:szCs w:val="22"/>
        </w:rPr>
      </w:pPr>
    </w:p>
    <w:p w14:paraId="379631A9" w14:textId="77777777" w:rsidR="009E676E" w:rsidRPr="009C5EFD" w:rsidRDefault="00E453CD" w:rsidP="009E676E">
      <w:pPr>
        <w:rPr>
          <w:sz w:val="22"/>
          <w:szCs w:val="22"/>
        </w:rPr>
      </w:pPr>
      <w:r w:rsidRPr="00193D76">
        <w:rPr>
          <w:sz w:val="22"/>
          <w:szCs w:val="22"/>
        </w:rPr>
        <w:t xml:space="preserve">Sikkerhet og effekt </w:t>
      </w:r>
      <w:r w:rsidRPr="002D0790">
        <w:rPr>
          <w:sz w:val="22"/>
          <w:szCs w:val="22"/>
        </w:rPr>
        <w:t xml:space="preserve">av Humira </w:t>
      </w:r>
      <w:r w:rsidRPr="00E14E58">
        <w:rPr>
          <w:sz w:val="22"/>
          <w:szCs w:val="22"/>
        </w:rPr>
        <w:t>ble</w:t>
      </w:r>
      <w:r w:rsidRPr="009C5EFD">
        <w:rPr>
          <w:sz w:val="22"/>
          <w:szCs w:val="22"/>
        </w:rPr>
        <w:t xml:space="preserve"> vurdert hos over 1500 pasienter med moderat til alvorlig aktiv Crohns sykdom (Crohn’s Disease Activity Index (CDAI) </w:t>
      </w:r>
      <w:r w:rsidRPr="007F67EE">
        <w:rPr>
          <w:rFonts w:ascii="Symbol" w:hAnsi="Symbol"/>
          <w:sz w:val="22"/>
          <w:szCs w:val="22"/>
        </w:rPr>
        <w:sym w:font="Symbol" w:char="F0B3"/>
      </w:r>
      <w:r w:rsidRPr="007F67EE">
        <w:rPr>
          <w:sz w:val="22"/>
          <w:szCs w:val="22"/>
        </w:rPr>
        <w:t xml:space="preserve"> 220 and </w:t>
      </w:r>
      <w:r w:rsidRPr="007F67EE">
        <w:rPr>
          <w:rFonts w:ascii="Symbol" w:hAnsi="Symbol"/>
          <w:sz w:val="22"/>
          <w:szCs w:val="22"/>
        </w:rPr>
        <w:sym w:font="Symbol" w:char="F0A3"/>
      </w:r>
      <w:r w:rsidRPr="007F67EE">
        <w:rPr>
          <w:sz w:val="22"/>
          <w:szCs w:val="22"/>
        </w:rPr>
        <w:t xml:space="preserve"> 450) i randomiserte,</w:t>
      </w:r>
      <w:r w:rsidRPr="00193D76">
        <w:rPr>
          <w:sz w:val="22"/>
          <w:szCs w:val="22"/>
        </w:rPr>
        <w:t xml:space="preserve"> dobbeltblinde, placebokontrollerte studier. Samtidige stabile doser med aminosalisylater, kortikosteroider og/eller immunmodulerende midler var tillatt og 80</w:t>
      </w:r>
      <w:r w:rsidRPr="002D0790">
        <w:rPr>
          <w:sz w:val="22"/>
          <w:szCs w:val="22"/>
        </w:rPr>
        <w:t xml:space="preserve"> % av pasientene fortsatte å ta minst et</w:t>
      </w:r>
      <w:r w:rsidRPr="00E14E58">
        <w:rPr>
          <w:sz w:val="22"/>
          <w:szCs w:val="22"/>
        </w:rPr>
        <w:t>t</w:t>
      </w:r>
      <w:r w:rsidRPr="009C5EFD">
        <w:rPr>
          <w:sz w:val="22"/>
          <w:szCs w:val="22"/>
        </w:rPr>
        <w:t xml:space="preserve"> av disse legemidlene.</w:t>
      </w:r>
    </w:p>
    <w:p w14:paraId="17FBF943" w14:textId="77777777" w:rsidR="009E676E" w:rsidRPr="009C5EFD" w:rsidRDefault="009E676E" w:rsidP="009E676E">
      <w:pPr>
        <w:rPr>
          <w:sz w:val="22"/>
          <w:szCs w:val="22"/>
        </w:rPr>
      </w:pPr>
    </w:p>
    <w:p w14:paraId="38964327" w14:textId="77777777" w:rsidR="009E676E" w:rsidRPr="009C5EFD" w:rsidRDefault="00E453CD" w:rsidP="009E676E">
      <w:pPr>
        <w:rPr>
          <w:sz w:val="22"/>
          <w:szCs w:val="22"/>
        </w:rPr>
      </w:pPr>
      <w:r w:rsidRPr="009C5EFD">
        <w:rPr>
          <w:sz w:val="22"/>
          <w:szCs w:val="22"/>
        </w:rPr>
        <w:t xml:space="preserve">Induksjon av klinisk remisjon (definert som CDAI &lt; 150) ble vurdert i to studier, CD-studie I (CLASSIC I) og CD-studie II (GAIN). I CD-studie I ble 299 pasienter som aldri hadde brukt TNF-antagonister randomisert til en av fire behandlingsgrupper; placebo ved uke 0 og 2, 160 mg Humira ved uke 0 og 80 mg ved uke 2, 80 mg ved uke 0 og 40 mg ved uke 2, og 40 mg ved uke 0 og 20 mg ved uke 2. I CD-studie II ble 325 pasienter som hadde mistet respons eller var intolerante for infliksimab randomisert til enten 160 mg Humira ved uke 0 og 80 mg ved uke 2 eller placebo ved ukene 0 og 2. Primære </w:t>
      </w:r>
      <w:r w:rsidRPr="009C5EFD">
        <w:rPr>
          <w:sz w:val="22"/>
        </w:rPr>
        <w:t>ikke</w:t>
      </w:r>
      <w:r w:rsidRPr="009C5EFD">
        <w:rPr>
          <w:sz w:val="22"/>
          <w:szCs w:val="22"/>
        </w:rPr>
        <w:t xml:space="preserve">-respondere ble ekskludert fra studiene og disse pasientene ble derfor ikke </w:t>
      </w:r>
      <w:r w:rsidR="003D3CAB" w:rsidRPr="003D3CAB">
        <w:rPr>
          <w:sz w:val="22"/>
          <w:szCs w:val="22"/>
        </w:rPr>
        <w:t>vurdert</w:t>
      </w:r>
      <w:r w:rsidRPr="009C5EFD">
        <w:rPr>
          <w:sz w:val="22"/>
          <w:szCs w:val="22"/>
        </w:rPr>
        <w:t xml:space="preserve"> videre.</w:t>
      </w:r>
    </w:p>
    <w:p w14:paraId="779AF167" w14:textId="77777777" w:rsidR="009E676E" w:rsidRPr="009C5EFD" w:rsidRDefault="009E676E" w:rsidP="009E676E">
      <w:pPr>
        <w:ind w:left="54"/>
        <w:rPr>
          <w:sz w:val="22"/>
          <w:szCs w:val="22"/>
        </w:rPr>
      </w:pPr>
    </w:p>
    <w:p w14:paraId="0E2BEC24" w14:textId="77777777" w:rsidR="009E676E" w:rsidRPr="009C5EFD" w:rsidRDefault="00E453CD" w:rsidP="009E676E">
      <w:pPr>
        <w:rPr>
          <w:sz w:val="22"/>
          <w:szCs w:val="22"/>
        </w:rPr>
      </w:pPr>
      <w:r w:rsidRPr="009C5EFD">
        <w:rPr>
          <w:sz w:val="22"/>
          <w:szCs w:val="22"/>
        </w:rPr>
        <w:t xml:space="preserve">Vedlikehold av klinisk remisjon ble vurdert i CD-studie III (CHARM). I CD-studie III fikk 854 pasienter 80 mg ved uke 0 og 40 mg ved uke 2 (åpen behandling). Ved uke 4 ble pasientene randomisert til 40 mg annenhver uke, 40 mg hver uke, eller placebo. Studien varte i totalt 56 uker. Pasienter med klinisk respons (reduksjon i CDAI </w:t>
      </w:r>
      <w:r w:rsidRPr="007F67EE">
        <w:rPr>
          <w:rFonts w:ascii="Symbol" w:hAnsi="Symbol"/>
          <w:sz w:val="22"/>
          <w:szCs w:val="22"/>
        </w:rPr>
        <w:sym w:font="Symbol" w:char="F0B3"/>
      </w:r>
      <w:r w:rsidRPr="007F67EE">
        <w:rPr>
          <w:sz w:val="22"/>
          <w:szCs w:val="22"/>
        </w:rPr>
        <w:t xml:space="preserve"> 70) ved uke 4 ble stratifisert og </w:t>
      </w:r>
      <w:r w:rsidRPr="00193D76">
        <w:rPr>
          <w:sz w:val="22"/>
          <w:szCs w:val="22"/>
        </w:rPr>
        <w:t>analysert separat fra de som ikke hadde klinisk respons ved uke 4.</w:t>
      </w:r>
      <w:r w:rsidRPr="002D0790">
        <w:rPr>
          <w:sz w:val="22"/>
          <w:szCs w:val="22"/>
        </w:rPr>
        <w:t xml:space="preserve"> Nedtrapping</w:t>
      </w:r>
      <w:r w:rsidRPr="00E14E58">
        <w:rPr>
          <w:sz w:val="22"/>
          <w:szCs w:val="22"/>
        </w:rPr>
        <w:t xml:space="preserve"> av kortikosteroider ble tillatt etter uke 8.</w:t>
      </w:r>
    </w:p>
    <w:p w14:paraId="460ECDF6" w14:textId="77777777" w:rsidR="009E676E" w:rsidRPr="009C5EFD" w:rsidRDefault="009E676E" w:rsidP="009E676E">
      <w:pPr>
        <w:rPr>
          <w:sz w:val="22"/>
          <w:szCs w:val="22"/>
        </w:rPr>
      </w:pPr>
    </w:p>
    <w:p w14:paraId="410028A4" w14:textId="77777777" w:rsidR="009E676E" w:rsidRDefault="00E453CD" w:rsidP="009E676E">
      <w:pPr>
        <w:rPr>
          <w:sz w:val="22"/>
          <w:szCs w:val="22"/>
        </w:rPr>
      </w:pPr>
      <w:r w:rsidRPr="009C5EFD">
        <w:rPr>
          <w:sz w:val="22"/>
          <w:szCs w:val="22"/>
        </w:rPr>
        <w:t xml:space="preserve">CD-studie I og CD-studie II induksjon av remisjon og responsnivåer er vist i tabell </w:t>
      </w:r>
      <w:r w:rsidR="003F5EAC">
        <w:rPr>
          <w:sz w:val="22"/>
          <w:szCs w:val="22"/>
        </w:rPr>
        <w:t>14</w:t>
      </w:r>
      <w:r w:rsidRPr="009C5EFD">
        <w:rPr>
          <w:sz w:val="22"/>
          <w:szCs w:val="22"/>
        </w:rPr>
        <w:t>.</w:t>
      </w:r>
    </w:p>
    <w:p w14:paraId="3E23DFFD" w14:textId="77777777" w:rsidR="00FC7B73" w:rsidRDefault="00FC7B73" w:rsidP="009E676E">
      <w:pPr>
        <w:rPr>
          <w:sz w:val="22"/>
          <w:szCs w:val="22"/>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1192"/>
        <w:gridCol w:w="1249"/>
        <w:gridCol w:w="1176"/>
        <w:gridCol w:w="1495"/>
        <w:gridCol w:w="1818"/>
      </w:tblGrid>
      <w:tr w:rsidR="004644D4" w14:paraId="569D2805" w14:textId="77777777" w:rsidTr="005D54C1">
        <w:trPr>
          <w:cantSplit/>
        </w:trPr>
        <w:tc>
          <w:tcPr>
            <w:tcW w:w="9238" w:type="dxa"/>
            <w:gridSpan w:val="6"/>
            <w:tcBorders>
              <w:top w:val="nil"/>
              <w:left w:val="nil"/>
              <w:right w:val="nil"/>
            </w:tcBorders>
          </w:tcPr>
          <w:p w14:paraId="0154C089" w14:textId="77777777" w:rsidR="00FC7B73" w:rsidRPr="009C5EFD" w:rsidRDefault="00E453CD" w:rsidP="005D54C1">
            <w:pPr>
              <w:pStyle w:val="TableText"/>
              <w:jc w:val="center"/>
              <w:rPr>
                <w:b/>
                <w:bCs/>
                <w:sz w:val="22"/>
                <w:lang w:val="nb-NO"/>
              </w:rPr>
            </w:pPr>
            <w:r w:rsidRPr="009C5EFD">
              <w:rPr>
                <w:b/>
                <w:bCs/>
                <w:sz w:val="22"/>
                <w:lang w:val="nb-NO"/>
              </w:rPr>
              <w:t xml:space="preserve">Tabell </w:t>
            </w:r>
            <w:r>
              <w:rPr>
                <w:b/>
                <w:bCs/>
                <w:sz w:val="22"/>
                <w:lang w:val="nb-NO"/>
              </w:rPr>
              <w:t>1</w:t>
            </w:r>
            <w:r w:rsidR="003F5EAC">
              <w:rPr>
                <w:b/>
                <w:bCs/>
                <w:sz w:val="22"/>
                <w:lang w:val="nb-NO"/>
              </w:rPr>
              <w:t>4</w:t>
            </w:r>
          </w:p>
          <w:p w14:paraId="2B6AF028" w14:textId="77777777" w:rsidR="00FC7B73" w:rsidRPr="009C5EFD" w:rsidRDefault="00E453CD" w:rsidP="005D54C1">
            <w:pPr>
              <w:pStyle w:val="TableText"/>
              <w:jc w:val="center"/>
              <w:rPr>
                <w:b/>
                <w:bCs/>
                <w:sz w:val="22"/>
                <w:lang w:val="nb-NO"/>
              </w:rPr>
            </w:pPr>
            <w:r w:rsidRPr="009C5EFD">
              <w:rPr>
                <w:b/>
                <w:bCs/>
                <w:sz w:val="22"/>
                <w:lang w:val="nb-NO"/>
              </w:rPr>
              <w:t>Induksjon av klinisk remisjon og respons</w:t>
            </w:r>
          </w:p>
          <w:p w14:paraId="408C04B3" w14:textId="77777777" w:rsidR="00FC7B73" w:rsidRPr="00DA6326" w:rsidRDefault="00E453CD" w:rsidP="005D54C1">
            <w:pPr>
              <w:pStyle w:val="TableText"/>
              <w:jc w:val="center"/>
              <w:rPr>
                <w:b/>
                <w:bCs/>
                <w:sz w:val="22"/>
                <w:lang w:val="nb-NO"/>
              </w:rPr>
            </w:pPr>
            <w:r w:rsidRPr="00DA6326">
              <w:rPr>
                <w:b/>
                <w:bCs/>
                <w:sz w:val="22"/>
                <w:lang w:val="nb-NO"/>
              </w:rPr>
              <w:t>(Prosent av pasientene)</w:t>
            </w:r>
          </w:p>
        </w:tc>
      </w:tr>
      <w:tr w:rsidR="004644D4" w14:paraId="243BF5C8" w14:textId="77777777" w:rsidTr="005D54C1">
        <w:trPr>
          <w:cantSplit/>
        </w:trPr>
        <w:tc>
          <w:tcPr>
            <w:tcW w:w="2308" w:type="dxa"/>
          </w:tcPr>
          <w:p w14:paraId="66153A01" w14:textId="77777777" w:rsidR="00FC7B73" w:rsidRPr="00DA6326" w:rsidRDefault="00FC7B73" w:rsidP="005D54C1">
            <w:pPr>
              <w:pStyle w:val="TableText"/>
              <w:keepNext w:val="0"/>
              <w:rPr>
                <w:b/>
                <w:bCs/>
                <w:sz w:val="22"/>
                <w:lang w:val="nb-NO"/>
              </w:rPr>
            </w:pPr>
          </w:p>
        </w:tc>
        <w:tc>
          <w:tcPr>
            <w:tcW w:w="3617" w:type="dxa"/>
            <w:gridSpan w:val="3"/>
          </w:tcPr>
          <w:p w14:paraId="575F31AC" w14:textId="77777777" w:rsidR="00FC7B73" w:rsidRPr="009C5EFD" w:rsidRDefault="00E453CD" w:rsidP="005D54C1">
            <w:pPr>
              <w:pStyle w:val="TableText"/>
              <w:keepNext w:val="0"/>
              <w:rPr>
                <w:b/>
                <w:bCs/>
                <w:sz w:val="22"/>
                <w:lang w:val="nb-NO"/>
              </w:rPr>
            </w:pPr>
            <w:r w:rsidRPr="007F67EE">
              <w:rPr>
                <w:b/>
                <w:bCs/>
                <w:sz w:val="22"/>
                <w:lang w:val="nb-NO"/>
              </w:rPr>
              <w:t>CD</w:t>
            </w:r>
            <w:r w:rsidRPr="00193D76">
              <w:rPr>
                <w:b/>
                <w:bCs/>
                <w:sz w:val="22"/>
                <w:lang w:val="nb-NO"/>
              </w:rPr>
              <w:t>-</w:t>
            </w:r>
            <w:r w:rsidRPr="009C5EFD">
              <w:rPr>
                <w:b/>
                <w:bCs/>
                <w:sz w:val="22"/>
                <w:lang w:val="nb-NO"/>
              </w:rPr>
              <w:t>studie I: Infliksimab naive pasienter</w:t>
            </w:r>
          </w:p>
        </w:tc>
        <w:tc>
          <w:tcPr>
            <w:tcW w:w="3313" w:type="dxa"/>
            <w:gridSpan w:val="2"/>
          </w:tcPr>
          <w:p w14:paraId="7A01703E" w14:textId="77777777" w:rsidR="00FC7B73" w:rsidRPr="009C5EFD" w:rsidRDefault="00E453CD" w:rsidP="005D54C1">
            <w:pPr>
              <w:pStyle w:val="TableText"/>
              <w:keepNext w:val="0"/>
              <w:rPr>
                <w:b/>
                <w:bCs/>
                <w:sz w:val="22"/>
                <w:lang w:val="nb-NO"/>
              </w:rPr>
            </w:pPr>
            <w:r w:rsidRPr="009C5EFD">
              <w:rPr>
                <w:b/>
                <w:bCs/>
                <w:sz w:val="22"/>
                <w:lang w:val="nb-NO"/>
              </w:rPr>
              <w:t>CD-studie II: Infliksimab erfarne pasienter</w:t>
            </w:r>
          </w:p>
        </w:tc>
      </w:tr>
      <w:tr w:rsidR="004644D4" w14:paraId="52521DB2" w14:textId="77777777" w:rsidTr="005D54C1">
        <w:trPr>
          <w:cantSplit/>
        </w:trPr>
        <w:tc>
          <w:tcPr>
            <w:tcW w:w="2308" w:type="dxa"/>
          </w:tcPr>
          <w:p w14:paraId="2B50CBDB" w14:textId="77777777" w:rsidR="00FC7B73" w:rsidRPr="007F67EE" w:rsidRDefault="00FC7B73" w:rsidP="005D54C1">
            <w:pPr>
              <w:pStyle w:val="TableText"/>
              <w:keepNext w:val="0"/>
              <w:jc w:val="center"/>
              <w:rPr>
                <w:b/>
                <w:bCs/>
                <w:sz w:val="22"/>
                <w:lang w:val="nb-NO"/>
              </w:rPr>
            </w:pPr>
          </w:p>
        </w:tc>
        <w:tc>
          <w:tcPr>
            <w:tcW w:w="1192" w:type="dxa"/>
          </w:tcPr>
          <w:p w14:paraId="55A94E00" w14:textId="77777777" w:rsidR="00FC7B73" w:rsidRPr="007F67EE" w:rsidRDefault="00E453CD" w:rsidP="005D54C1">
            <w:pPr>
              <w:pStyle w:val="TableText"/>
              <w:keepNext w:val="0"/>
              <w:jc w:val="center"/>
              <w:rPr>
                <w:b/>
                <w:bCs/>
                <w:sz w:val="22"/>
                <w:lang w:val="fr-FR"/>
              </w:rPr>
            </w:pPr>
            <w:r w:rsidRPr="007F67EE">
              <w:rPr>
                <w:b/>
                <w:bCs/>
                <w:sz w:val="22"/>
                <w:lang w:val="fr-FR"/>
              </w:rPr>
              <w:t>Placebo</w:t>
            </w:r>
          </w:p>
          <w:p w14:paraId="5B222DBD" w14:textId="77777777" w:rsidR="00FC7B73" w:rsidRPr="00193D76" w:rsidRDefault="00E453CD" w:rsidP="005D54C1">
            <w:pPr>
              <w:pStyle w:val="TableText"/>
              <w:keepNext w:val="0"/>
              <w:jc w:val="center"/>
              <w:rPr>
                <w:b/>
                <w:bCs/>
                <w:sz w:val="22"/>
                <w:lang w:val="fr-FR"/>
              </w:rPr>
            </w:pPr>
            <w:r w:rsidRPr="00193D76">
              <w:rPr>
                <w:b/>
                <w:bCs/>
                <w:sz w:val="22"/>
                <w:lang w:val="fr-FR"/>
              </w:rPr>
              <w:t>N=74</w:t>
            </w:r>
          </w:p>
        </w:tc>
        <w:tc>
          <w:tcPr>
            <w:tcW w:w="1249" w:type="dxa"/>
          </w:tcPr>
          <w:p w14:paraId="4941A066" w14:textId="77777777" w:rsidR="00FC7B73" w:rsidRPr="002D0790" w:rsidRDefault="00E453CD" w:rsidP="005D54C1">
            <w:pPr>
              <w:pStyle w:val="TableText"/>
              <w:keepNext w:val="0"/>
              <w:jc w:val="center"/>
              <w:rPr>
                <w:b/>
                <w:bCs/>
                <w:sz w:val="22"/>
                <w:lang w:val="fr-FR"/>
              </w:rPr>
            </w:pPr>
            <w:r w:rsidRPr="002D0790">
              <w:rPr>
                <w:b/>
                <w:bCs/>
                <w:sz w:val="22"/>
                <w:lang w:val="fr-FR"/>
              </w:rPr>
              <w:t>Humira</w:t>
            </w:r>
          </w:p>
          <w:p w14:paraId="75B342BE" w14:textId="77777777" w:rsidR="00FC7B73" w:rsidRPr="002D0790" w:rsidRDefault="00E453CD" w:rsidP="005D54C1">
            <w:pPr>
              <w:pStyle w:val="TableText"/>
              <w:keepNext w:val="0"/>
              <w:jc w:val="center"/>
              <w:rPr>
                <w:b/>
                <w:bCs/>
                <w:sz w:val="22"/>
                <w:lang w:val="fr-FR"/>
              </w:rPr>
            </w:pPr>
            <w:r w:rsidRPr="002D0790">
              <w:rPr>
                <w:b/>
                <w:bCs/>
                <w:sz w:val="22"/>
                <w:lang w:val="fr-FR"/>
              </w:rPr>
              <w:t>80/40 mg</w:t>
            </w:r>
          </w:p>
          <w:p w14:paraId="79145D1E" w14:textId="77777777" w:rsidR="00FC7B73" w:rsidRPr="00E14E58" w:rsidRDefault="00E453CD" w:rsidP="005D54C1">
            <w:pPr>
              <w:pStyle w:val="TableText"/>
              <w:keepNext w:val="0"/>
              <w:jc w:val="center"/>
              <w:rPr>
                <w:b/>
                <w:bCs/>
                <w:sz w:val="22"/>
                <w:lang w:val="fr-FR"/>
              </w:rPr>
            </w:pPr>
            <w:r w:rsidRPr="00E14E58">
              <w:rPr>
                <w:b/>
                <w:bCs/>
                <w:sz w:val="22"/>
                <w:lang w:val="fr-FR"/>
              </w:rPr>
              <w:t>N=75</w:t>
            </w:r>
          </w:p>
        </w:tc>
        <w:tc>
          <w:tcPr>
            <w:tcW w:w="1176" w:type="dxa"/>
          </w:tcPr>
          <w:p w14:paraId="1D454FE5" w14:textId="77777777" w:rsidR="00FC7B73" w:rsidRPr="009C5EFD" w:rsidRDefault="00E453CD" w:rsidP="005D54C1">
            <w:pPr>
              <w:pStyle w:val="TableText"/>
              <w:keepNext w:val="0"/>
              <w:jc w:val="center"/>
              <w:rPr>
                <w:b/>
                <w:bCs/>
                <w:sz w:val="22"/>
                <w:lang w:val="fr-FR"/>
              </w:rPr>
            </w:pPr>
            <w:r w:rsidRPr="009C5EFD">
              <w:rPr>
                <w:b/>
                <w:bCs/>
                <w:sz w:val="22"/>
                <w:lang w:val="fr-FR"/>
              </w:rPr>
              <w:t xml:space="preserve">Humira </w:t>
            </w:r>
          </w:p>
          <w:p w14:paraId="0716D1BF" w14:textId="77777777" w:rsidR="00FC7B73" w:rsidRPr="009C5EFD" w:rsidRDefault="00E453CD" w:rsidP="005D54C1">
            <w:pPr>
              <w:pStyle w:val="TableText"/>
              <w:keepNext w:val="0"/>
              <w:jc w:val="center"/>
              <w:rPr>
                <w:b/>
                <w:bCs/>
                <w:sz w:val="22"/>
                <w:lang w:val="fr-FR"/>
              </w:rPr>
            </w:pPr>
            <w:r w:rsidRPr="009C5EFD">
              <w:rPr>
                <w:b/>
                <w:bCs/>
                <w:sz w:val="22"/>
                <w:lang w:val="fr-FR"/>
              </w:rPr>
              <w:t>160/80 mg N=76</w:t>
            </w:r>
          </w:p>
        </w:tc>
        <w:tc>
          <w:tcPr>
            <w:tcW w:w="1495" w:type="dxa"/>
          </w:tcPr>
          <w:p w14:paraId="11793FCA" w14:textId="77777777" w:rsidR="00FC7B73" w:rsidRPr="009C5EFD" w:rsidRDefault="00E453CD" w:rsidP="005D54C1">
            <w:pPr>
              <w:pStyle w:val="TableText"/>
              <w:keepNext w:val="0"/>
              <w:jc w:val="center"/>
              <w:rPr>
                <w:b/>
                <w:bCs/>
                <w:sz w:val="22"/>
                <w:lang w:val="fr-FR"/>
              </w:rPr>
            </w:pPr>
            <w:r w:rsidRPr="009C5EFD">
              <w:rPr>
                <w:b/>
                <w:bCs/>
                <w:sz w:val="22"/>
                <w:lang w:val="fr-FR"/>
              </w:rPr>
              <w:t>Placebo</w:t>
            </w:r>
          </w:p>
          <w:p w14:paraId="7390F315" w14:textId="77777777" w:rsidR="00FC7B73" w:rsidRPr="009C5EFD" w:rsidRDefault="00E453CD" w:rsidP="005D54C1">
            <w:pPr>
              <w:pStyle w:val="TableText"/>
              <w:keepNext w:val="0"/>
              <w:jc w:val="center"/>
              <w:rPr>
                <w:b/>
                <w:bCs/>
                <w:sz w:val="22"/>
                <w:lang w:val="fr-FR"/>
              </w:rPr>
            </w:pPr>
            <w:r w:rsidRPr="009C5EFD">
              <w:rPr>
                <w:b/>
                <w:bCs/>
                <w:sz w:val="22"/>
                <w:lang w:val="fr-FR"/>
              </w:rPr>
              <w:t>N=166</w:t>
            </w:r>
          </w:p>
        </w:tc>
        <w:tc>
          <w:tcPr>
            <w:tcW w:w="1818" w:type="dxa"/>
          </w:tcPr>
          <w:p w14:paraId="1ACA7081" w14:textId="77777777" w:rsidR="00FC7B73" w:rsidRPr="009C5EFD" w:rsidRDefault="00E453CD" w:rsidP="005D54C1">
            <w:pPr>
              <w:pStyle w:val="TableText"/>
              <w:keepNext w:val="0"/>
              <w:jc w:val="center"/>
              <w:rPr>
                <w:b/>
                <w:bCs/>
                <w:sz w:val="22"/>
                <w:lang w:val="fr-FR"/>
              </w:rPr>
            </w:pPr>
            <w:r w:rsidRPr="009C5EFD">
              <w:rPr>
                <w:b/>
                <w:bCs/>
                <w:sz w:val="22"/>
                <w:lang w:val="fr-FR"/>
              </w:rPr>
              <w:t xml:space="preserve">Humira </w:t>
            </w:r>
          </w:p>
          <w:p w14:paraId="634AD2B6" w14:textId="77777777" w:rsidR="00FC7B73" w:rsidRPr="009C5EFD" w:rsidRDefault="00E453CD" w:rsidP="005D54C1">
            <w:pPr>
              <w:pStyle w:val="TableText"/>
              <w:keepNext w:val="0"/>
              <w:jc w:val="center"/>
              <w:rPr>
                <w:b/>
                <w:bCs/>
                <w:sz w:val="22"/>
                <w:lang w:val="fr-FR"/>
              </w:rPr>
            </w:pPr>
            <w:r w:rsidRPr="009C5EFD">
              <w:rPr>
                <w:b/>
                <w:bCs/>
                <w:sz w:val="22"/>
                <w:lang w:val="fr-FR"/>
              </w:rPr>
              <w:t>160/80 mg</w:t>
            </w:r>
          </w:p>
          <w:p w14:paraId="488285C1" w14:textId="77777777" w:rsidR="00FC7B73" w:rsidRPr="009C5EFD" w:rsidRDefault="00E453CD" w:rsidP="005D54C1">
            <w:pPr>
              <w:pStyle w:val="TableText"/>
              <w:keepNext w:val="0"/>
              <w:jc w:val="center"/>
              <w:rPr>
                <w:b/>
                <w:bCs/>
                <w:sz w:val="22"/>
                <w:lang w:val="en-GB"/>
              </w:rPr>
            </w:pPr>
            <w:r w:rsidRPr="009C5EFD">
              <w:rPr>
                <w:b/>
                <w:bCs/>
                <w:sz w:val="22"/>
                <w:lang w:val="en-GB"/>
              </w:rPr>
              <w:t>N=159</w:t>
            </w:r>
          </w:p>
        </w:tc>
      </w:tr>
      <w:tr w:rsidR="004644D4" w14:paraId="61442680" w14:textId="77777777" w:rsidTr="005D54C1">
        <w:trPr>
          <w:cantSplit/>
        </w:trPr>
        <w:tc>
          <w:tcPr>
            <w:tcW w:w="2308" w:type="dxa"/>
            <w:vAlign w:val="bottom"/>
          </w:tcPr>
          <w:p w14:paraId="334A14AD" w14:textId="77777777" w:rsidR="00FC7B73" w:rsidRPr="007F67EE" w:rsidRDefault="00E453CD" w:rsidP="005D54C1">
            <w:pPr>
              <w:pStyle w:val="TableText"/>
              <w:keepNext w:val="0"/>
              <w:rPr>
                <w:sz w:val="22"/>
                <w:lang w:val="en-GB"/>
              </w:rPr>
            </w:pPr>
            <w:r w:rsidRPr="007F67EE">
              <w:rPr>
                <w:sz w:val="22"/>
                <w:lang w:val="en-GB"/>
              </w:rPr>
              <w:t>Uke 4</w:t>
            </w:r>
          </w:p>
        </w:tc>
        <w:tc>
          <w:tcPr>
            <w:tcW w:w="1192" w:type="dxa"/>
            <w:vAlign w:val="bottom"/>
          </w:tcPr>
          <w:p w14:paraId="3C07F09D" w14:textId="77777777" w:rsidR="00FC7B73" w:rsidRPr="00193D76" w:rsidRDefault="00FC7B73" w:rsidP="005D54C1">
            <w:pPr>
              <w:pStyle w:val="TableText"/>
              <w:keepNext w:val="0"/>
              <w:rPr>
                <w:sz w:val="22"/>
                <w:lang w:val="en-GB"/>
              </w:rPr>
            </w:pPr>
          </w:p>
        </w:tc>
        <w:tc>
          <w:tcPr>
            <w:tcW w:w="1249" w:type="dxa"/>
            <w:vAlign w:val="bottom"/>
          </w:tcPr>
          <w:p w14:paraId="17A6809E" w14:textId="77777777" w:rsidR="00FC7B73" w:rsidRPr="009C5EFD" w:rsidRDefault="00FC7B73" w:rsidP="005D54C1">
            <w:pPr>
              <w:pStyle w:val="TableText"/>
              <w:keepNext w:val="0"/>
              <w:rPr>
                <w:sz w:val="22"/>
                <w:lang w:val="en-GB"/>
              </w:rPr>
            </w:pPr>
          </w:p>
        </w:tc>
        <w:tc>
          <w:tcPr>
            <w:tcW w:w="1176" w:type="dxa"/>
            <w:vAlign w:val="bottom"/>
          </w:tcPr>
          <w:p w14:paraId="69A0EF1C" w14:textId="77777777" w:rsidR="00FC7B73" w:rsidRPr="009C5EFD" w:rsidRDefault="00FC7B73" w:rsidP="005D54C1">
            <w:pPr>
              <w:pStyle w:val="TableText"/>
              <w:keepNext w:val="0"/>
              <w:rPr>
                <w:sz w:val="22"/>
                <w:lang w:val="en-GB"/>
              </w:rPr>
            </w:pPr>
          </w:p>
        </w:tc>
        <w:tc>
          <w:tcPr>
            <w:tcW w:w="1495" w:type="dxa"/>
            <w:vAlign w:val="bottom"/>
          </w:tcPr>
          <w:p w14:paraId="5E01EA79" w14:textId="77777777" w:rsidR="00FC7B73" w:rsidRPr="009C5EFD" w:rsidRDefault="00FC7B73" w:rsidP="005D54C1">
            <w:pPr>
              <w:pStyle w:val="TableText"/>
              <w:keepNext w:val="0"/>
              <w:rPr>
                <w:sz w:val="22"/>
                <w:lang w:val="en-GB"/>
              </w:rPr>
            </w:pPr>
          </w:p>
        </w:tc>
        <w:tc>
          <w:tcPr>
            <w:tcW w:w="1818" w:type="dxa"/>
            <w:vAlign w:val="bottom"/>
          </w:tcPr>
          <w:p w14:paraId="0A8D13FA" w14:textId="77777777" w:rsidR="00FC7B73" w:rsidRPr="009C5EFD" w:rsidRDefault="00FC7B73" w:rsidP="005D54C1">
            <w:pPr>
              <w:pStyle w:val="TableText"/>
              <w:keepNext w:val="0"/>
              <w:rPr>
                <w:sz w:val="22"/>
                <w:lang w:val="en-GB"/>
              </w:rPr>
            </w:pPr>
          </w:p>
        </w:tc>
      </w:tr>
      <w:tr w:rsidR="004644D4" w14:paraId="223035E1" w14:textId="77777777" w:rsidTr="005D54C1">
        <w:trPr>
          <w:cantSplit/>
        </w:trPr>
        <w:tc>
          <w:tcPr>
            <w:tcW w:w="2308" w:type="dxa"/>
            <w:vAlign w:val="bottom"/>
          </w:tcPr>
          <w:p w14:paraId="0E85DDAF" w14:textId="77777777" w:rsidR="00FC7B73" w:rsidRPr="007F67EE" w:rsidRDefault="00E453CD" w:rsidP="005D54C1">
            <w:pPr>
              <w:pStyle w:val="TableText"/>
              <w:keepNext w:val="0"/>
              <w:rPr>
                <w:sz w:val="22"/>
                <w:lang w:val="en-GB"/>
              </w:rPr>
            </w:pPr>
            <w:r w:rsidRPr="007F67EE">
              <w:rPr>
                <w:sz w:val="22"/>
                <w:lang w:val="en-GB"/>
              </w:rPr>
              <w:t>Klinisk remisjon</w:t>
            </w:r>
          </w:p>
        </w:tc>
        <w:tc>
          <w:tcPr>
            <w:tcW w:w="1192" w:type="dxa"/>
            <w:vAlign w:val="bottom"/>
          </w:tcPr>
          <w:p w14:paraId="40964C9B" w14:textId="77777777" w:rsidR="00FC7B73" w:rsidRPr="009C5EFD" w:rsidRDefault="00E453CD" w:rsidP="005D54C1">
            <w:pPr>
              <w:pStyle w:val="TableText"/>
              <w:keepNext w:val="0"/>
              <w:jc w:val="center"/>
              <w:rPr>
                <w:sz w:val="22"/>
                <w:lang w:val="en-GB"/>
              </w:rPr>
            </w:pPr>
            <w:r w:rsidRPr="00193D76">
              <w:rPr>
                <w:sz w:val="22"/>
                <w:lang w:val="en-GB"/>
              </w:rPr>
              <w:t>12</w:t>
            </w:r>
            <w:r w:rsidRPr="009C5EFD">
              <w:rPr>
                <w:sz w:val="22"/>
                <w:lang w:val="en-GB"/>
              </w:rPr>
              <w:t xml:space="preserve"> %</w:t>
            </w:r>
          </w:p>
        </w:tc>
        <w:tc>
          <w:tcPr>
            <w:tcW w:w="1249" w:type="dxa"/>
            <w:vAlign w:val="bottom"/>
          </w:tcPr>
          <w:p w14:paraId="61059B77" w14:textId="77777777" w:rsidR="00FC7B73" w:rsidRPr="009C5EFD" w:rsidRDefault="00E453CD" w:rsidP="005D54C1">
            <w:pPr>
              <w:pStyle w:val="TableText"/>
              <w:keepNext w:val="0"/>
              <w:jc w:val="center"/>
              <w:rPr>
                <w:bCs/>
                <w:iCs/>
                <w:sz w:val="22"/>
                <w:lang w:val="en-GB"/>
              </w:rPr>
            </w:pPr>
            <w:r w:rsidRPr="009C5EFD">
              <w:rPr>
                <w:bCs/>
                <w:iCs/>
                <w:sz w:val="22"/>
                <w:lang w:val="en-GB"/>
              </w:rPr>
              <w:t>24 %</w:t>
            </w:r>
          </w:p>
        </w:tc>
        <w:tc>
          <w:tcPr>
            <w:tcW w:w="1176" w:type="dxa"/>
            <w:vAlign w:val="bottom"/>
          </w:tcPr>
          <w:p w14:paraId="2F2A172C" w14:textId="77777777" w:rsidR="00FC7B73" w:rsidRPr="009C5EFD" w:rsidRDefault="00E453CD" w:rsidP="005D54C1">
            <w:pPr>
              <w:pStyle w:val="TableText"/>
              <w:keepNext w:val="0"/>
              <w:jc w:val="center"/>
              <w:rPr>
                <w:bCs/>
                <w:iCs/>
                <w:sz w:val="22"/>
                <w:lang w:val="en-GB"/>
              </w:rPr>
            </w:pPr>
            <w:r w:rsidRPr="009C5EFD">
              <w:rPr>
                <w:sz w:val="22"/>
                <w:lang w:val="en-GB"/>
              </w:rPr>
              <w:t>36 %</w:t>
            </w:r>
            <w:r w:rsidRPr="009C5EFD">
              <w:rPr>
                <w:sz w:val="22"/>
                <w:vertAlign w:val="superscript"/>
                <w:lang w:val="en-GB"/>
              </w:rPr>
              <w:t>*</w:t>
            </w:r>
          </w:p>
        </w:tc>
        <w:tc>
          <w:tcPr>
            <w:tcW w:w="1495" w:type="dxa"/>
            <w:vAlign w:val="bottom"/>
          </w:tcPr>
          <w:p w14:paraId="7CC7BEE2" w14:textId="77777777" w:rsidR="00FC7B73" w:rsidRPr="009C5EFD" w:rsidRDefault="00E453CD" w:rsidP="005D54C1">
            <w:pPr>
              <w:pStyle w:val="TableText"/>
              <w:keepNext w:val="0"/>
              <w:jc w:val="center"/>
              <w:rPr>
                <w:sz w:val="22"/>
                <w:lang w:val="en-GB"/>
              </w:rPr>
            </w:pPr>
            <w:r w:rsidRPr="009C5EFD">
              <w:rPr>
                <w:sz w:val="22"/>
                <w:lang w:val="en-GB"/>
              </w:rPr>
              <w:t>7 %</w:t>
            </w:r>
          </w:p>
        </w:tc>
        <w:tc>
          <w:tcPr>
            <w:tcW w:w="1818" w:type="dxa"/>
            <w:vAlign w:val="bottom"/>
          </w:tcPr>
          <w:p w14:paraId="15F2E462" w14:textId="77777777" w:rsidR="00FC7B73" w:rsidRPr="009C5EFD" w:rsidRDefault="00E453CD" w:rsidP="005D54C1">
            <w:pPr>
              <w:pStyle w:val="TableText"/>
              <w:keepNext w:val="0"/>
              <w:jc w:val="center"/>
              <w:rPr>
                <w:sz w:val="22"/>
                <w:lang w:val="en-GB"/>
              </w:rPr>
            </w:pPr>
            <w:r w:rsidRPr="009C5EFD">
              <w:rPr>
                <w:sz w:val="22"/>
                <w:lang w:val="en-GB"/>
              </w:rPr>
              <w:t>21 %</w:t>
            </w:r>
            <w:r w:rsidRPr="009C5EFD">
              <w:rPr>
                <w:sz w:val="22"/>
                <w:vertAlign w:val="superscript"/>
                <w:lang w:val="en-GB"/>
              </w:rPr>
              <w:t>*</w:t>
            </w:r>
          </w:p>
        </w:tc>
      </w:tr>
      <w:tr w:rsidR="004644D4" w14:paraId="15E90F48" w14:textId="77777777" w:rsidTr="005D54C1">
        <w:trPr>
          <w:cantSplit/>
        </w:trPr>
        <w:tc>
          <w:tcPr>
            <w:tcW w:w="2308" w:type="dxa"/>
            <w:tcBorders>
              <w:bottom w:val="single" w:sz="4" w:space="0" w:color="auto"/>
            </w:tcBorders>
          </w:tcPr>
          <w:p w14:paraId="2E8FCE02" w14:textId="77777777" w:rsidR="00FC7B73" w:rsidRPr="007F67EE" w:rsidRDefault="00E453CD" w:rsidP="005D54C1">
            <w:pPr>
              <w:pStyle w:val="TableText"/>
              <w:keepNext w:val="0"/>
              <w:rPr>
                <w:sz w:val="22"/>
                <w:lang w:val="en-GB"/>
              </w:rPr>
            </w:pPr>
            <w:r w:rsidRPr="007F67EE">
              <w:rPr>
                <w:sz w:val="22"/>
                <w:lang w:val="en-GB"/>
              </w:rPr>
              <w:t>Klinisk respons (CR-100)</w:t>
            </w:r>
          </w:p>
        </w:tc>
        <w:tc>
          <w:tcPr>
            <w:tcW w:w="1192" w:type="dxa"/>
            <w:tcBorders>
              <w:bottom w:val="single" w:sz="4" w:space="0" w:color="auto"/>
            </w:tcBorders>
          </w:tcPr>
          <w:p w14:paraId="5DDEF153" w14:textId="77777777" w:rsidR="00FC7B73" w:rsidRPr="009C5EFD" w:rsidRDefault="00E453CD" w:rsidP="005D54C1">
            <w:pPr>
              <w:pStyle w:val="TableText"/>
              <w:keepNext w:val="0"/>
              <w:jc w:val="center"/>
              <w:rPr>
                <w:sz w:val="22"/>
                <w:lang w:val="en-GB"/>
              </w:rPr>
            </w:pPr>
            <w:r w:rsidRPr="00193D76">
              <w:rPr>
                <w:sz w:val="22"/>
                <w:lang w:val="en-GB"/>
              </w:rPr>
              <w:t>24</w:t>
            </w:r>
            <w:r w:rsidRPr="009C5EFD">
              <w:rPr>
                <w:sz w:val="22"/>
                <w:lang w:val="en-GB"/>
              </w:rPr>
              <w:t xml:space="preserve"> %</w:t>
            </w:r>
          </w:p>
        </w:tc>
        <w:tc>
          <w:tcPr>
            <w:tcW w:w="1249" w:type="dxa"/>
            <w:tcBorders>
              <w:bottom w:val="single" w:sz="4" w:space="0" w:color="auto"/>
            </w:tcBorders>
          </w:tcPr>
          <w:p w14:paraId="4CDCEBBF" w14:textId="77777777" w:rsidR="00FC7B73" w:rsidRPr="009C5EFD" w:rsidRDefault="00E453CD" w:rsidP="005D54C1">
            <w:pPr>
              <w:pStyle w:val="TableText"/>
              <w:keepNext w:val="0"/>
              <w:jc w:val="center"/>
              <w:rPr>
                <w:sz w:val="22"/>
                <w:lang w:val="en-GB"/>
              </w:rPr>
            </w:pPr>
            <w:r w:rsidRPr="009C5EFD">
              <w:rPr>
                <w:sz w:val="22"/>
                <w:lang w:val="en-GB"/>
              </w:rPr>
              <w:t>37 %</w:t>
            </w:r>
          </w:p>
        </w:tc>
        <w:tc>
          <w:tcPr>
            <w:tcW w:w="1176" w:type="dxa"/>
            <w:tcBorders>
              <w:bottom w:val="single" w:sz="4" w:space="0" w:color="auto"/>
            </w:tcBorders>
          </w:tcPr>
          <w:p w14:paraId="524CDC1F" w14:textId="77777777" w:rsidR="00FC7B73" w:rsidRPr="009C5EFD" w:rsidRDefault="00E453CD" w:rsidP="005D54C1">
            <w:pPr>
              <w:pStyle w:val="TableText"/>
              <w:keepNext w:val="0"/>
              <w:jc w:val="center"/>
              <w:rPr>
                <w:sz w:val="22"/>
                <w:lang w:val="en-GB"/>
              </w:rPr>
            </w:pPr>
            <w:r w:rsidRPr="009C5EFD">
              <w:rPr>
                <w:sz w:val="22"/>
                <w:lang w:val="en-GB"/>
              </w:rPr>
              <w:t>49 %</w:t>
            </w:r>
            <w:r w:rsidRPr="009C5EFD">
              <w:rPr>
                <w:sz w:val="22"/>
                <w:vertAlign w:val="superscript"/>
                <w:lang w:val="en-GB"/>
              </w:rPr>
              <w:t>**</w:t>
            </w:r>
          </w:p>
        </w:tc>
        <w:tc>
          <w:tcPr>
            <w:tcW w:w="1495" w:type="dxa"/>
            <w:tcBorders>
              <w:bottom w:val="single" w:sz="4" w:space="0" w:color="auto"/>
            </w:tcBorders>
          </w:tcPr>
          <w:p w14:paraId="69A57404" w14:textId="77777777" w:rsidR="00FC7B73" w:rsidRPr="009C5EFD" w:rsidRDefault="00E453CD" w:rsidP="005D54C1">
            <w:pPr>
              <w:pStyle w:val="TableText"/>
              <w:keepNext w:val="0"/>
              <w:jc w:val="center"/>
              <w:rPr>
                <w:sz w:val="22"/>
                <w:lang w:val="en-GB"/>
              </w:rPr>
            </w:pPr>
            <w:r w:rsidRPr="009C5EFD">
              <w:rPr>
                <w:sz w:val="22"/>
                <w:lang w:val="en-GB"/>
              </w:rPr>
              <w:t>25 %</w:t>
            </w:r>
          </w:p>
        </w:tc>
        <w:tc>
          <w:tcPr>
            <w:tcW w:w="1818" w:type="dxa"/>
            <w:tcBorders>
              <w:bottom w:val="single" w:sz="4" w:space="0" w:color="auto"/>
            </w:tcBorders>
          </w:tcPr>
          <w:p w14:paraId="0B60A6BB" w14:textId="77777777" w:rsidR="00FC7B73" w:rsidRPr="009C5EFD" w:rsidRDefault="00E453CD" w:rsidP="005D54C1">
            <w:pPr>
              <w:pStyle w:val="TableText"/>
              <w:keepNext w:val="0"/>
              <w:jc w:val="center"/>
              <w:rPr>
                <w:sz w:val="22"/>
                <w:lang w:val="en-GB"/>
              </w:rPr>
            </w:pPr>
            <w:r w:rsidRPr="009C5EFD">
              <w:rPr>
                <w:sz w:val="22"/>
                <w:lang w:val="en-GB"/>
              </w:rPr>
              <w:t>38 %</w:t>
            </w:r>
            <w:r w:rsidRPr="009C5EFD">
              <w:rPr>
                <w:sz w:val="22"/>
                <w:vertAlign w:val="superscript"/>
                <w:lang w:val="en-GB"/>
              </w:rPr>
              <w:t>**</w:t>
            </w:r>
          </w:p>
        </w:tc>
      </w:tr>
      <w:tr w:rsidR="004644D4" w14:paraId="7726F029" w14:textId="77777777" w:rsidTr="005D54C1">
        <w:trPr>
          <w:cantSplit/>
        </w:trPr>
        <w:tc>
          <w:tcPr>
            <w:tcW w:w="9238" w:type="dxa"/>
            <w:gridSpan w:val="6"/>
            <w:tcBorders>
              <w:left w:val="nil"/>
              <w:bottom w:val="nil"/>
              <w:right w:val="nil"/>
            </w:tcBorders>
          </w:tcPr>
          <w:p w14:paraId="28FBEB3D" w14:textId="77777777" w:rsidR="00FC7B73" w:rsidRPr="009C5EFD" w:rsidRDefault="00E453CD" w:rsidP="005D54C1">
            <w:pPr>
              <w:pStyle w:val="TableText"/>
              <w:keepNext w:val="0"/>
              <w:spacing w:before="0" w:after="0"/>
              <w:rPr>
                <w:sz w:val="22"/>
                <w:lang w:val="nb-NO"/>
              </w:rPr>
            </w:pPr>
            <w:r w:rsidRPr="007F67EE">
              <w:rPr>
                <w:sz w:val="22"/>
                <w:lang w:val="nb-NO"/>
              </w:rPr>
              <w:t>Alle p-v</w:t>
            </w:r>
            <w:r w:rsidRPr="00193D76">
              <w:rPr>
                <w:sz w:val="22"/>
                <w:lang w:val="nb-NO"/>
              </w:rPr>
              <w:t>erdiene</w:t>
            </w:r>
            <w:r w:rsidRPr="002D0790">
              <w:rPr>
                <w:sz w:val="22"/>
                <w:lang w:val="nb-NO"/>
              </w:rPr>
              <w:t xml:space="preserve"> er parvise sammenligninger av forholdene Humira </w:t>
            </w:r>
            <w:r w:rsidRPr="00E14E58">
              <w:rPr>
                <w:i/>
                <w:iCs/>
                <w:sz w:val="22"/>
                <w:lang w:val="nb-NO"/>
              </w:rPr>
              <w:t>versus</w:t>
            </w:r>
            <w:r w:rsidRPr="009C5EFD">
              <w:rPr>
                <w:sz w:val="22"/>
                <w:lang w:val="nb-NO"/>
              </w:rPr>
              <w:t xml:space="preserve"> placebo</w:t>
            </w:r>
          </w:p>
          <w:p w14:paraId="637C51D5" w14:textId="77777777" w:rsidR="00FC7B73" w:rsidRPr="009C5EFD" w:rsidRDefault="00E453CD" w:rsidP="005D54C1">
            <w:pPr>
              <w:pStyle w:val="TableText"/>
              <w:keepNext w:val="0"/>
              <w:spacing w:before="0" w:after="0"/>
              <w:rPr>
                <w:sz w:val="22"/>
                <w:lang w:val="en-GB"/>
              </w:rPr>
            </w:pPr>
            <w:r w:rsidRPr="009C5EFD">
              <w:rPr>
                <w:sz w:val="22"/>
                <w:vertAlign w:val="superscript"/>
                <w:lang w:val="en-GB"/>
              </w:rPr>
              <w:t>*</w:t>
            </w:r>
            <w:r w:rsidRPr="009C5EFD">
              <w:rPr>
                <w:sz w:val="22"/>
                <w:lang w:val="en-GB"/>
              </w:rPr>
              <w:tab/>
              <w:t>p &lt; 0,001</w:t>
            </w:r>
          </w:p>
          <w:p w14:paraId="335C4DF1" w14:textId="77777777" w:rsidR="00FC7B73" w:rsidRPr="009C5EFD" w:rsidRDefault="00E453CD" w:rsidP="005D54C1">
            <w:pPr>
              <w:pStyle w:val="TableText"/>
              <w:keepNext w:val="0"/>
              <w:spacing w:before="0" w:after="0"/>
              <w:rPr>
                <w:sz w:val="22"/>
                <w:lang w:val="en-GB"/>
              </w:rPr>
            </w:pPr>
            <w:r w:rsidRPr="009C5EFD">
              <w:rPr>
                <w:sz w:val="22"/>
                <w:vertAlign w:val="superscript"/>
                <w:lang w:val="en-GB"/>
              </w:rPr>
              <w:t>**</w:t>
            </w:r>
            <w:r w:rsidRPr="009C5EFD">
              <w:rPr>
                <w:sz w:val="22"/>
                <w:lang w:val="en-GB"/>
              </w:rPr>
              <w:tab/>
              <w:t>p &lt; 0,01</w:t>
            </w:r>
          </w:p>
        </w:tc>
      </w:tr>
    </w:tbl>
    <w:p w14:paraId="2BD85E64" w14:textId="77777777" w:rsidR="009E676E" w:rsidRPr="009C5EFD" w:rsidRDefault="009E676E" w:rsidP="00776A84"/>
    <w:p w14:paraId="26A9E1CB" w14:textId="77777777" w:rsidR="009E676E" w:rsidRPr="009C5EFD" w:rsidRDefault="00E453CD" w:rsidP="009E676E">
      <w:pPr>
        <w:tabs>
          <w:tab w:val="left" w:pos="142"/>
        </w:tabs>
        <w:rPr>
          <w:sz w:val="22"/>
          <w:szCs w:val="22"/>
        </w:rPr>
      </w:pPr>
      <w:r w:rsidRPr="009C5EFD">
        <w:rPr>
          <w:sz w:val="22"/>
          <w:szCs w:val="22"/>
        </w:rPr>
        <w:t xml:space="preserve">Lignende resmisjonsnivåer ble observert ved uke 8 for induksjonsregimene med 160/80 mg og 80/40 mg, og bivirkninger ble hyppigere </w:t>
      </w:r>
      <w:r w:rsidRPr="009C5EFD">
        <w:rPr>
          <w:color w:val="000000"/>
          <w:sz w:val="22"/>
          <w:szCs w:val="22"/>
        </w:rPr>
        <w:t xml:space="preserve">observert </w:t>
      </w:r>
      <w:r w:rsidRPr="009C5EFD">
        <w:rPr>
          <w:sz w:val="22"/>
          <w:szCs w:val="22"/>
        </w:rPr>
        <w:t>i gruppen med 160/80 mg.</w:t>
      </w:r>
    </w:p>
    <w:p w14:paraId="5E47FCD0" w14:textId="77777777" w:rsidR="009E676E" w:rsidRPr="009C5EFD" w:rsidRDefault="009E676E" w:rsidP="00AF70AD">
      <w:pPr>
        <w:tabs>
          <w:tab w:val="left" w:pos="142"/>
        </w:tabs>
        <w:rPr>
          <w:sz w:val="22"/>
          <w:szCs w:val="22"/>
        </w:rPr>
      </w:pPr>
    </w:p>
    <w:p w14:paraId="0ABAB020" w14:textId="77777777" w:rsidR="009E676E" w:rsidRPr="009C5EFD" w:rsidRDefault="00E453CD" w:rsidP="009E676E">
      <w:pPr>
        <w:tabs>
          <w:tab w:val="left" w:pos="142"/>
        </w:tabs>
        <w:rPr>
          <w:sz w:val="22"/>
          <w:szCs w:val="22"/>
        </w:rPr>
      </w:pPr>
      <w:r w:rsidRPr="009C5EFD">
        <w:rPr>
          <w:sz w:val="22"/>
          <w:szCs w:val="22"/>
        </w:rPr>
        <w:t xml:space="preserve">Ved uke 4 i CD-studie III oppnådde 58 % (499/854) av pasienter klinisk respons og ble vurdert i den primære analysen. Av de som oppnådde klinisk respons ved uke 4, var 48 % tidligere behandlet med </w:t>
      </w:r>
      <w:r w:rsidRPr="009C5EFD">
        <w:rPr>
          <w:color w:val="000000"/>
          <w:sz w:val="22"/>
          <w:szCs w:val="22"/>
        </w:rPr>
        <w:t>andre</w:t>
      </w:r>
      <w:r w:rsidRPr="009C5EFD">
        <w:rPr>
          <w:sz w:val="22"/>
          <w:szCs w:val="22"/>
        </w:rPr>
        <w:t xml:space="preserve"> TNF-antagonister. Vedlikehold av remisjon og responsnivåer er vist i tabell </w:t>
      </w:r>
      <w:r w:rsidR="00FB4C84">
        <w:rPr>
          <w:sz w:val="22"/>
          <w:szCs w:val="22"/>
        </w:rPr>
        <w:t>1</w:t>
      </w:r>
      <w:r w:rsidR="003F5EAC">
        <w:rPr>
          <w:sz w:val="22"/>
          <w:szCs w:val="22"/>
        </w:rPr>
        <w:t>5</w:t>
      </w:r>
      <w:r w:rsidRPr="009C5EFD">
        <w:rPr>
          <w:sz w:val="22"/>
          <w:szCs w:val="22"/>
        </w:rPr>
        <w:t>. Resultater for klinisk remisjon var relativt konstante, uavhengig av tidligere behandling med TNF-antagonist.</w:t>
      </w:r>
    </w:p>
    <w:p w14:paraId="37037911" w14:textId="77777777" w:rsidR="009E676E" w:rsidRPr="009C5EFD" w:rsidRDefault="009E676E" w:rsidP="009E676E">
      <w:pPr>
        <w:tabs>
          <w:tab w:val="left" w:pos="142"/>
        </w:tabs>
        <w:rPr>
          <w:sz w:val="22"/>
          <w:szCs w:val="22"/>
        </w:rPr>
      </w:pPr>
    </w:p>
    <w:p w14:paraId="1B4858EB" w14:textId="77777777" w:rsidR="009E676E" w:rsidRPr="009C5EFD" w:rsidRDefault="00E453CD" w:rsidP="009E676E">
      <w:pPr>
        <w:tabs>
          <w:tab w:val="left" w:pos="142"/>
        </w:tabs>
        <w:rPr>
          <w:sz w:val="22"/>
          <w:szCs w:val="22"/>
        </w:rPr>
      </w:pPr>
      <w:r w:rsidRPr="009C5EFD">
        <w:rPr>
          <w:sz w:val="22"/>
          <w:szCs w:val="22"/>
        </w:rPr>
        <w:t>Sykdomsrelatert sykehusinnleggelse og kirurgi var statistisk signifikant redusert med adalimumab sammenlignet med placebo ved uke 56.</w:t>
      </w:r>
    </w:p>
    <w:p w14:paraId="4187FDBF" w14:textId="77777777" w:rsidR="009E676E" w:rsidRPr="009C5EFD" w:rsidRDefault="009E676E" w:rsidP="00776A8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5"/>
      </w:tblGrid>
      <w:tr w:rsidR="004644D4" w14:paraId="37B7D654" w14:textId="77777777" w:rsidTr="00FD5FF1">
        <w:trPr>
          <w:jc w:val="center"/>
        </w:trPr>
        <w:tc>
          <w:tcPr>
            <w:tcW w:w="9205" w:type="dxa"/>
            <w:tcBorders>
              <w:top w:val="nil"/>
              <w:left w:val="nil"/>
              <w:bottom w:val="nil"/>
              <w:right w:val="nil"/>
            </w:tcBorders>
          </w:tcPr>
          <w:p w14:paraId="191E6214" w14:textId="77777777" w:rsidR="009E676E" w:rsidRPr="009C5EFD" w:rsidRDefault="00E453CD" w:rsidP="00FD5FF1">
            <w:pPr>
              <w:pStyle w:val="EMEANormal"/>
              <w:keepNext/>
              <w:jc w:val="center"/>
              <w:rPr>
                <w:b/>
                <w:szCs w:val="22"/>
                <w:lang w:val="nb-NO"/>
              </w:rPr>
            </w:pPr>
            <w:r w:rsidRPr="009C5EFD">
              <w:rPr>
                <w:b/>
                <w:szCs w:val="22"/>
                <w:lang w:val="nb-NO"/>
              </w:rPr>
              <w:lastRenderedPageBreak/>
              <w:t xml:space="preserve">Tabell </w:t>
            </w:r>
            <w:r w:rsidR="00FB4C84">
              <w:rPr>
                <w:b/>
                <w:szCs w:val="22"/>
                <w:lang w:val="nb-NO"/>
              </w:rPr>
              <w:t>1</w:t>
            </w:r>
            <w:r w:rsidR="003F5EAC">
              <w:rPr>
                <w:b/>
                <w:szCs w:val="22"/>
                <w:lang w:val="nb-NO"/>
              </w:rPr>
              <w:t>5</w:t>
            </w:r>
          </w:p>
          <w:p w14:paraId="3DA55D00" w14:textId="77777777" w:rsidR="009E676E" w:rsidRPr="009C5EFD" w:rsidRDefault="00E453CD" w:rsidP="00FD5FF1">
            <w:pPr>
              <w:pStyle w:val="EMEANormal"/>
              <w:keepNext/>
              <w:jc w:val="center"/>
              <w:rPr>
                <w:b/>
                <w:szCs w:val="22"/>
                <w:lang w:val="nb-NO"/>
              </w:rPr>
            </w:pPr>
            <w:r w:rsidRPr="009C5EFD">
              <w:rPr>
                <w:b/>
                <w:szCs w:val="22"/>
                <w:lang w:val="nb-NO"/>
              </w:rPr>
              <w:t xml:space="preserve">Vedlikehold av klinisk remisjon og respons </w:t>
            </w:r>
          </w:p>
          <w:p w14:paraId="0BEDAAA3" w14:textId="77777777" w:rsidR="009E676E" w:rsidRPr="009C5EFD" w:rsidRDefault="00E453CD" w:rsidP="00FD5FF1">
            <w:pPr>
              <w:pStyle w:val="EMEANormal"/>
              <w:keepNext/>
              <w:jc w:val="center"/>
              <w:rPr>
                <w:b/>
                <w:szCs w:val="22"/>
                <w:lang w:val="nb-NO"/>
              </w:rPr>
            </w:pPr>
            <w:r w:rsidRPr="009C5EFD">
              <w:rPr>
                <w:b/>
                <w:szCs w:val="22"/>
                <w:lang w:val="nb-NO"/>
              </w:rPr>
              <w:t>(Prosent av pasientene)</w:t>
            </w:r>
          </w:p>
        </w:tc>
      </w:tr>
    </w:tbl>
    <w:p w14:paraId="22A62750" w14:textId="77777777" w:rsidR="009E676E" w:rsidRPr="002D0790" w:rsidRDefault="009E676E" w:rsidP="009E676E">
      <w:pPr>
        <w:keepNext/>
        <w:ind w:left="54"/>
        <w:rPr>
          <w:sz w:val="22"/>
          <w:szCs w:val="22"/>
        </w:rPr>
      </w:pPr>
    </w:p>
    <w:tbl>
      <w:tblPr>
        <w:tblW w:w="90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
        <w:gridCol w:w="1641"/>
        <w:gridCol w:w="2451"/>
        <w:gridCol w:w="2063"/>
        <w:gridCol w:w="2117"/>
        <w:gridCol w:w="276"/>
      </w:tblGrid>
      <w:tr w:rsidR="004644D4" w14:paraId="7B5FF09C"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5B3EF6E3" w14:textId="77777777" w:rsidR="009E676E" w:rsidRPr="002D0790" w:rsidRDefault="009E676E" w:rsidP="00FD5FF1">
            <w:pPr>
              <w:pStyle w:val="EMEANormal"/>
              <w:keepNext/>
              <w:rPr>
                <w:szCs w:val="22"/>
                <w:lang w:val="nb-NO"/>
              </w:rPr>
            </w:pPr>
          </w:p>
        </w:tc>
        <w:tc>
          <w:tcPr>
            <w:tcW w:w="1897" w:type="dxa"/>
            <w:tcBorders>
              <w:top w:val="single" w:sz="4" w:space="0" w:color="auto"/>
              <w:left w:val="single" w:sz="4" w:space="0" w:color="auto"/>
              <w:bottom w:val="single" w:sz="4" w:space="0" w:color="auto"/>
              <w:right w:val="single" w:sz="4" w:space="0" w:color="auto"/>
            </w:tcBorders>
          </w:tcPr>
          <w:p w14:paraId="19923F9A" w14:textId="77777777" w:rsidR="009E676E" w:rsidRPr="00E14E58" w:rsidRDefault="00E453CD" w:rsidP="00FD5FF1">
            <w:pPr>
              <w:pStyle w:val="EMEANormal"/>
              <w:keepNext/>
              <w:jc w:val="center"/>
              <w:rPr>
                <w:b/>
                <w:szCs w:val="22"/>
                <w:lang w:val="nb-NO"/>
              </w:rPr>
            </w:pPr>
            <w:r w:rsidRPr="00E14E58">
              <w:rPr>
                <w:b/>
                <w:szCs w:val="22"/>
                <w:lang w:val="nb-NO"/>
              </w:rPr>
              <w:t>Placebo</w:t>
            </w:r>
          </w:p>
        </w:tc>
        <w:tc>
          <w:tcPr>
            <w:tcW w:w="1597" w:type="dxa"/>
            <w:tcBorders>
              <w:top w:val="single" w:sz="4" w:space="0" w:color="auto"/>
              <w:left w:val="single" w:sz="4" w:space="0" w:color="auto"/>
              <w:bottom w:val="single" w:sz="4" w:space="0" w:color="auto"/>
              <w:right w:val="single" w:sz="4" w:space="0" w:color="auto"/>
            </w:tcBorders>
          </w:tcPr>
          <w:p w14:paraId="1A9EC852" w14:textId="77777777" w:rsidR="009E676E" w:rsidRPr="009C5EFD" w:rsidRDefault="00E453CD" w:rsidP="00FD5FF1">
            <w:pPr>
              <w:pStyle w:val="EMEANormal"/>
              <w:keepNext/>
              <w:jc w:val="center"/>
              <w:rPr>
                <w:b/>
                <w:szCs w:val="22"/>
                <w:lang w:val="nb-NO"/>
              </w:rPr>
            </w:pPr>
            <w:r w:rsidRPr="009C5EFD">
              <w:rPr>
                <w:b/>
                <w:szCs w:val="22"/>
                <w:lang w:val="nb-NO"/>
              </w:rPr>
              <w:t>40 mg Humira annenhver uke</w:t>
            </w:r>
          </w:p>
        </w:tc>
        <w:tc>
          <w:tcPr>
            <w:tcW w:w="1639" w:type="dxa"/>
            <w:tcBorders>
              <w:top w:val="single" w:sz="4" w:space="0" w:color="auto"/>
              <w:left w:val="single" w:sz="4" w:space="0" w:color="auto"/>
              <w:bottom w:val="single" w:sz="4" w:space="0" w:color="auto"/>
              <w:right w:val="single" w:sz="4" w:space="0" w:color="auto"/>
            </w:tcBorders>
          </w:tcPr>
          <w:p w14:paraId="5877AF4E" w14:textId="77777777" w:rsidR="009E676E" w:rsidRPr="009C5EFD" w:rsidRDefault="00E453CD" w:rsidP="00FD5FF1">
            <w:pPr>
              <w:pStyle w:val="EMEANormal"/>
              <w:keepNext/>
              <w:jc w:val="center"/>
              <w:rPr>
                <w:b/>
                <w:szCs w:val="22"/>
                <w:lang w:val="nb-NO"/>
              </w:rPr>
            </w:pPr>
            <w:r w:rsidRPr="009C5EFD">
              <w:rPr>
                <w:b/>
                <w:szCs w:val="22"/>
                <w:lang w:val="nb-NO"/>
              </w:rPr>
              <w:t>40 mg Humira hver uke</w:t>
            </w:r>
          </w:p>
          <w:p w14:paraId="028D220D" w14:textId="77777777" w:rsidR="009E676E" w:rsidRPr="009C5EFD" w:rsidRDefault="009E676E" w:rsidP="00FD5FF1">
            <w:pPr>
              <w:pStyle w:val="EMEANormal"/>
              <w:keepNext/>
              <w:rPr>
                <w:b/>
                <w:szCs w:val="22"/>
                <w:lang w:val="nb-NO"/>
              </w:rPr>
            </w:pPr>
          </w:p>
        </w:tc>
      </w:tr>
      <w:tr w:rsidR="004644D4" w14:paraId="4FC5BA22"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2A9E911A" w14:textId="77777777" w:rsidR="009E676E" w:rsidRPr="009C5EFD" w:rsidRDefault="00E453CD" w:rsidP="00FD5FF1">
            <w:pPr>
              <w:pStyle w:val="EMEANormal"/>
              <w:keepNext/>
              <w:rPr>
                <w:b/>
                <w:szCs w:val="22"/>
                <w:lang w:val="nb-NO"/>
              </w:rPr>
            </w:pPr>
            <w:r w:rsidRPr="007F67EE">
              <w:rPr>
                <w:b/>
                <w:szCs w:val="22"/>
                <w:lang w:val="nb-NO"/>
              </w:rPr>
              <w:t>Uke</w:t>
            </w:r>
            <w:r w:rsidRPr="00193D76">
              <w:rPr>
                <w:b/>
                <w:szCs w:val="22"/>
                <w:lang w:val="nb-NO"/>
              </w:rPr>
              <w:t xml:space="preserve"> 26</w:t>
            </w:r>
          </w:p>
        </w:tc>
        <w:tc>
          <w:tcPr>
            <w:tcW w:w="1897" w:type="dxa"/>
            <w:tcBorders>
              <w:top w:val="single" w:sz="4" w:space="0" w:color="auto"/>
              <w:left w:val="single" w:sz="4" w:space="0" w:color="auto"/>
              <w:bottom w:val="single" w:sz="4" w:space="0" w:color="auto"/>
              <w:right w:val="single" w:sz="4" w:space="0" w:color="auto"/>
            </w:tcBorders>
          </w:tcPr>
          <w:p w14:paraId="203169BD" w14:textId="77777777" w:rsidR="009E676E" w:rsidRPr="009C5EFD" w:rsidRDefault="00E453CD" w:rsidP="00FD5FF1">
            <w:pPr>
              <w:pStyle w:val="EMEANormal"/>
              <w:keepNext/>
              <w:jc w:val="center"/>
              <w:rPr>
                <w:b/>
                <w:szCs w:val="22"/>
                <w:lang w:val="nb-NO"/>
              </w:rPr>
            </w:pPr>
            <w:r w:rsidRPr="009C5EFD">
              <w:rPr>
                <w:b/>
                <w:szCs w:val="22"/>
                <w:lang w:val="nb-NO"/>
              </w:rPr>
              <w:t>N=170</w:t>
            </w:r>
          </w:p>
        </w:tc>
        <w:tc>
          <w:tcPr>
            <w:tcW w:w="1597" w:type="dxa"/>
            <w:tcBorders>
              <w:top w:val="single" w:sz="4" w:space="0" w:color="auto"/>
              <w:left w:val="single" w:sz="4" w:space="0" w:color="auto"/>
              <w:bottom w:val="single" w:sz="4" w:space="0" w:color="auto"/>
              <w:right w:val="single" w:sz="4" w:space="0" w:color="auto"/>
            </w:tcBorders>
          </w:tcPr>
          <w:p w14:paraId="22B24297" w14:textId="77777777" w:rsidR="009E676E" w:rsidRPr="009C5EFD" w:rsidRDefault="00E453CD" w:rsidP="00FD5FF1">
            <w:pPr>
              <w:pStyle w:val="EMEANormal"/>
              <w:keepNext/>
              <w:jc w:val="center"/>
              <w:rPr>
                <w:b/>
                <w:szCs w:val="22"/>
                <w:lang w:val="nb-NO"/>
              </w:rPr>
            </w:pPr>
            <w:r w:rsidRPr="009C5EFD">
              <w:rPr>
                <w:b/>
                <w:szCs w:val="22"/>
                <w:lang w:val="nb-NO"/>
              </w:rPr>
              <w:t>N=172</w:t>
            </w:r>
          </w:p>
        </w:tc>
        <w:tc>
          <w:tcPr>
            <w:tcW w:w="1639" w:type="dxa"/>
            <w:tcBorders>
              <w:top w:val="single" w:sz="4" w:space="0" w:color="auto"/>
              <w:left w:val="single" w:sz="4" w:space="0" w:color="auto"/>
              <w:bottom w:val="single" w:sz="4" w:space="0" w:color="auto"/>
              <w:right w:val="single" w:sz="4" w:space="0" w:color="auto"/>
            </w:tcBorders>
          </w:tcPr>
          <w:p w14:paraId="2BB166E9" w14:textId="77777777" w:rsidR="009E676E" w:rsidRPr="009C5EFD" w:rsidRDefault="00E453CD" w:rsidP="00FD5FF1">
            <w:pPr>
              <w:pStyle w:val="EMEANormal"/>
              <w:keepNext/>
              <w:jc w:val="center"/>
              <w:rPr>
                <w:b/>
                <w:szCs w:val="22"/>
                <w:lang w:val="nb-NO"/>
              </w:rPr>
            </w:pPr>
            <w:r w:rsidRPr="009C5EFD">
              <w:rPr>
                <w:b/>
                <w:szCs w:val="22"/>
                <w:lang w:val="nb-NO"/>
              </w:rPr>
              <w:t>N=157</w:t>
            </w:r>
          </w:p>
        </w:tc>
      </w:tr>
      <w:tr w:rsidR="004644D4" w14:paraId="208AD115"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6F827ABF" w14:textId="77777777" w:rsidR="009E676E" w:rsidRPr="007F67EE" w:rsidRDefault="00E453CD" w:rsidP="00FD5FF1">
            <w:pPr>
              <w:pStyle w:val="EMEANormal"/>
              <w:keepNext/>
              <w:rPr>
                <w:szCs w:val="22"/>
                <w:lang w:val="nb-NO"/>
              </w:rPr>
            </w:pPr>
            <w:r w:rsidRPr="007F67EE">
              <w:rPr>
                <w:szCs w:val="22"/>
                <w:lang w:val="nb-NO"/>
              </w:rPr>
              <w:t>Klinisk remisjon</w:t>
            </w:r>
          </w:p>
        </w:tc>
        <w:tc>
          <w:tcPr>
            <w:tcW w:w="1897" w:type="dxa"/>
            <w:tcBorders>
              <w:top w:val="single" w:sz="4" w:space="0" w:color="auto"/>
              <w:left w:val="single" w:sz="4" w:space="0" w:color="auto"/>
              <w:bottom w:val="single" w:sz="4" w:space="0" w:color="auto"/>
              <w:right w:val="single" w:sz="4" w:space="0" w:color="auto"/>
            </w:tcBorders>
          </w:tcPr>
          <w:p w14:paraId="7BABEDC4" w14:textId="77777777" w:rsidR="009E676E" w:rsidRPr="009C5EFD" w:rsidRDefault="00E453CD" w:rsidP="00FD5FF1">
            <w:pPr>
              <w:pStyle w:val="EMEANormal"/>
              <w:keepNext/>
              <w:jc w:val="center"/>
              <w:rPr>
                <w:szCs w:val="22"/>
                <w:lang w:val="nb-NO"/>
              </w:rPr>
            </w:pPr>
            <w:r w:rsidRPr="00193D76">
              <w:rPr>
                <w:szCs w:val="22"/>
                <w:lang w:val="nb-NO"/>
              </w:rPr>
              <w:t>17</w:t>
            </w:r>
            <w:r w:rsidRPr="00E14E58">
              <w:rPr>
                <w:szCs w:val="22"/>
                <w:lang w:val="nb-NO"/>
              </w:rPr>
              <w:t xml:space="preserve"> %</w:t>
            </w:r>
          </w:p>
        </w:tc>
        <w:tc>
          <w:tcPr>
            <w:tcW w:w="1597" w:type="dxa"/>
            <w:tcBorders>
              <w:top w:val="single" w:sz="4" w:space="0" w:color="auto"/>
              <w:left w:val="single" w:sz="4" w:space="0" w:color="auto"/>
              <w:bottom w:val="single" w:sz="4" w:space="0" w:color="auto"/>
              <w:right w:val="single" w:sz="4" w:space="0" w:color="auto"/>
            </w:tcBorders>
          </w:tcPr>
          <w:p w14:paraId="0DCD6620" w14:textId="77777777" w:rsidR="009E676E" w:rsidRPr="009C5EFD" w:rsidRDefault="00E453CD" w:rsidP="00FD5FF1">
            <w:pPr>
              <w:pStyle w:val="EMEANormal"/>
              <w:keepNext/>
              <w:jc w:val="center"/>
              <w:rPr>
                <w:szCs w:val="22"/>
                <w:lang w:val="nb-NO"/>
              </w:rPr>
            </w:pPr>
            <w:r w:rsidRPr="009C5EFD">
              <w:rPr>
                <w:szCs w:val="22"/>
                <w:lang w:val="nb-NO"/>
              </w:rPr>
              <w:t>40 %*</w:t>
            </w:r>
          </w:p>
        </w:tc>
        <w:tc>
          <w:tcPr>
            <w:tcW w:w="1639" w:type="dxa"/>
            <w:tcBorders>
              <w:top w:val="single" w:sz="4" w:space="0" w:color="auto"/>
              <w:left w:val="single" w:sz="4" w:space="0" w:color="auto"/>
              <w:bottom w:val="single" w:sz="4" w:space="0" w:color="auto"/>
              <w:right w:val="single" w:sz="4" w:space="0" w:color="auto"/>
            </w:tcBorders>
          </w:tcPr>
          <w:p w14:paraId="1BD39F16" w14:textId="77777777" w:rsidR="009E676E" w:rsidRPr="009C5EFD" w:rsidRDefault="00E453CD" w:rsidP="00FD5FF1">
            <w:pPr>
              <w:pStyle w:val="EMEANormal"/>
              <w:keepNext/>
              <w:jc w:val="center"/>
              <w:rPr>
                <w:szCs w:val="22"/>
                <w:lang w:val="nb-NO"/>
              </w:rPr>
            </w:pPr>
            <w:r w:rsidRPr="009C5EFD">
              <w:rPr>
                <w:szCs w:val="22"/>
                <w:lang w:val="nb-NO"/>
              </w:rPr>
              <w:t>47 %*</w:t>
            </w:r>
          </w:p>
        </w:tc>
      </w:tr>
      <w:tr w:rsidR="004644D4" w14:paraId="301714DB"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0883CE0D" w14:textId="77777777" w:rsidR="009E676E" w:rsidRPr="007F67EE" w:rsidRDefault="00E453CD" w:rsidP="00FD5FF1">
            <w:pPr>
              <w:pStyle w:val="EMEANormal"/>
              <w:keepNext/>
              <w:rPr>
                <w:szCs w:val="22"/>
                <w:lang w:val="nb-NO"/>
              </w:rPr>
            </w:pPr>
            <w:r w:rsidRPr="007F67EE">
              <w:rPr>
                <w:szCs w:val="22"/>
                <w:lang w:val="nb-NO"/>
              </w:rPr>
              <w:t>Klinisk respons (CR-100)</w:t>
            </w:r>
          </w:p>
        </w:tc>
        <w:tc>
          <w:tcPr>
            <w:tcW w:w="1897" w:type="dxa"/>
            <w:tcBorders>
              <w:top w:val="single" w:sz="4" w:space="0" w:color="auto"/>
              <w:left w:val="single" w:sz="4" w:space="0" w:color="auto"/>
              <w:bottom w:val="single" w:sz="4" w:space="0" w:color="auto"/>
              <w:right w:val="single" w:sz="4" w:space="0" w:color="auto"/>
            </w:tcBorders>
          </w:tcPr>
          <w:p w14:paraId="43847DC6" w14:textId="77777777" w:rsidR="009E676E" w:rsidRPr="009C5EFD" w:rsidRDefault="00E453CD" w:rsidP="00FD5FF1">
            <w:pPr>
              <w:pStyle w:val="EMEANormal"/>
              <w:keepNext/>
              <w:jc w:val="center"/>
              <w:rPr>
                <w:szCs w:val="22"/>
                <w:lang w:val="nb-NO"/>
              </w:rPr>
            </w:pPr>
            <w:r w:rsidRPr="00193D76">
              <w:rPr>
                <w:szCs w:val="22"/>
                <w:lang w:val="nb-NO"/>
              </w:rPr>
              <w:t>27</w:t>
            </w:r>
            <w:r w:rsidRPr="00E14E58">
              <w:rPr>
                <w:szCs w:val="22"/>
                <w:lang w:val="nb-NO"/>
              </w:rPr>
              <w:t xml:space="preserve"> %</w:t>
            </w:r>
          </w:p>
        </w:tc>
        <w:tc>
          <w:tcPr>
            <w:tcW w:w="1597" w:type="dxa"/>
            <w:tcBorders>
              <w:top w:val="single" w:sz="4" w:space="0" w:color="auto"/>
              <w:left w:val="single" w:sz="4" w:space="0" w:color="auto"/>
              <w:bottom w:val="single" w:sz="4" w:space="0" w:color="auto"/>
              <w:right w:val="single" w:sz="4" w:space="0" w:color="auto"/>
            </w:tcBorders>
          </w:tcPr>
          <w:p w14:paraId="4CD9DF7C" w14:textId="77777777" w:rsidR="009E676E" w:rsidRPr="009C5EFD" w:rsidRDefault="00E453CD" w:rsidP="00FD5FF1">
            <w:pPr>
              <w:pStyle w:val="EMEANormal"/>
              <w:keepNext/>
              <w:jc w:val="center"/>
              <w:rPr>
                <w:szCs w:val="22"/>
                <w:lang w:val="nb-NO"/>
              </w:rPr>
            </w:pPr>
            <w:r w:rsidRPr="009C5EFD">
              <w:rPr>
                <w:szCs w:val="22"/>
                <w:lang w:val="nb-NO"/>
              </w:rPr>
              <w:t>52 %*</w:t>
            </w:r>
          </w:p>
        </w:tc>
        <w:tc>
          <w:tcPr>
            <w:tcW w:w="1639" w:type="dxa"/>
            <w:tcBorders>
              <w:top w:val="single" w:sz="4" w:space="0" w:color="auto"/>
              <w:left w:val="single" w:sz="4" w:space="0" w:color="auto"/>
              <w:bottom w:val="single" w:sz="4" w:space="0" w:color="auto"/>
              <w:right w:val="single" w:sz="4" w:space="0" w:color="auto"/>
            </w:tcBorders>
          </w:tcPr>
          <w:p w14:paraId="5D5F679F" w14:textId="77777777" w:rsidR="009E676E" w:rsidRPr="009C5EFD" w:rsidRDefault="00E453CD" w:rsidP="00FD5FF1">
            <w:pPr>
              <w:pStyle w:val="EMEANormal"/>
              <w:keepNext/>
              <w:jc w:val="center"/>
              <w:rPr>
                <w:szCs w:val="22"/>
                <w:lang w:val="nb-NO"/>
              </w:rPr>
            </w:pPr>
            <w:r w:rsidRPr="009C5EFD">
              <w:rPr>
                <w:szCs w:val="22"/>
                <w:lang w:val="nb-NO"/>
              </w:rPr>
              <w:t>52 %*</w:t>
            </w:r>
          </w:p>
        </w:tc>
      </w:tr>
      <w:tr w:rsidR="004644D4" w14:paraId="093C6E57"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0087E416" w14:textId="77777777" w:rsidR="009E676E" w:rsidRPr="00E14E58" w:rsidRDefault="00E453CD" w:rsidP="00FD5FF1">
            <w:pPr>
              <w:pStyle w:val="EMEANormal"/>
              <w:keepNext/>
              <w:rPr>
                <w:szCs w:val="22"/>
                <w:lang w:val="nb-NO"/>
              </w:rPr>
            </w:pPr>
            <w:r w:rsidRPr="007F67EE">
              <w:rPr>
                <w:szCs w:val="22"/>
                <w:lang w:val="nb-NO"/>
              </w:rPr>
              <w:t xml:space="preserve">Pasienter i steroidfri remisjon </w:t>
            </w:r>
            <w:r w:rsidRPr="007F67EE">
              <w:rPr>
                <w:szCs w:val="22"/>
                <w:lang w:val="nb-NO"/>
              </w:rPr>
              <w:br/>
              <w:t>for &gt;=90 dager</w:t>
            </w:r>
            <w:r w:rsidRPr="00193D76">
              <w:rPr>
                <w:szCs w:val="22"/>
                <w:vertAlign w:val="superscript"/>
                <w:lang w:val="nb-NO"/>
              </w:rPr>
              <w:t>a</w:t>
            </w:r>
          </w:p>
        </w:tc>
        <w:tc>
          <w:tcPr>
            <w:tcW w:w="1897" w:type="dxa"/>
            <w:tcBorders>
              <w:top w:val="single" w:sz="4" w:space="0" w:color="auto"/>
              <w:left w:val="single" w:sz="4" w:space="0" w:color="auto"/>
              <w:bottom w:val="single" w:sz="4" w:space="0" w:color="auto"/>
              <w:right w:val="single" w:sz="4" w:space="0" w:color="auto"/>
            </w:tcBorders>
          </w:tcPr>
          <w:p w14:paraId="7845E140" w14:textId="77777777" w:rsidR="009E676E" w:rsidRPr="009C5EFD" w:rsidRDefault="00E453CD" w:rsidP="00FD5FF1">
            <w:pPr>
              <w:pStyle w:val="EMEANormal"/>
              <w:keepNext/>
              <w:jc w:val="center"/>
              <w:rPr>
                <w:szCs w:val="22"/>
                <w:lang w:val="nb-NO"/>
              </w:rPr>
            </w:pPr>
            <w:r w:rsidRPr="009C5EFD">
              <w:rPr>
                <w:szCs w:val="22"/>
                <w:lang w:val="nb-NO"/>
              </w:rPr>
              <w:t>3 % (2/66)</w:t>
            </w:r>
          </w:p>
        </w:tc>
        <w:tc>
          <w:tcPr>
            <w:tcW w:w="1597" w:type="dxa"/>
            <w:tcBorders>
              <w:top w:val="single" w:sz="4" w:space="0" w:color="auto"/>
              <w:left w:val="single" w:sz="4" w:space="0" w:color="auto"/>
              <w:bottom w:val="single" w:sz="4" w:space="0" w:color="auto"/>
              <w:right w:val="single" w:sz="4" w:space="0" w:color="auto"/>
            </w:tcBorders>
          </w:tcPr>
          <w:p w14:paraId="2BDF5C79" w14:textId="77777777" w:rsidR="009E676E" w:rsidRPr="009C5EFD" w:rsidRDefault="00E453CD" w:rsidP="00FD5FF1">
            <w:pPr>
              <w:pStyle w:val="EMEANormal"/>
              <w:keepNext/>
              <w:jc w:val="center"/>
              <w:rPr>
                <w:szCs w:val="22"/>
                <w:lang w:val="nb-NO"/>
              </w:rPr>
            </w:pPr>
            <w:r w:rsidRPr="009C5EFD">
              <w:rPr>
                <w:szCs w:val="22"/>
                <w:lang w:val="nb-NO"/>
              </w:rPr>
              <w:t>19 % (11/58)**</w:t>
            </w:r>
          </w:p>
        </w:tc>
        <w:tc>
          <w:tcPr>
            <w:tcW w:w="1639" w:type="dxa"/>
            <w:tcBorders>
              <w:top w:val="single" w:sz="4" w:space="0" w:color="auto"/>
              <w:left w:val="single" w:sz="4" w:space="0" w:color="auto"/>
              <w:bottom w:val="single" w:sz="4" w:space="0" w:color="auto"/>
              <w:right w:val="single" w:sz="4" w:space="0" w:color="auto"/>
            </w:tcBorders>
          </w:tcPr>
          <w:p w14:paraId="32EB5584" w14:textId="77777777" w:rsidR="009E676E" w:rsidRPr="009C5EFD" w:rsidRDefault="00E453CD" w:rsidP="00FD5FF1">
            <w:pPr>
              <w:pStyle w:val="EMEANormal"/>
              <w:keepNext/>
              <w:jc w:val="center"/>
              <w:rPr>
                <w:szCs w:val="22"/>
                <w:lang w:val="nb-NO"/>
              </w:rPr>
            </w:pPr>
            <w:r w:rsidRPr="009C5EFD">
              <w:rPr>
                <w:szCs w:val="22"/>
                <w:lang w:val="nb-NO"/>
              </w:rPr>
              <w:t>15 % (11/74)**</w:t>
            </w:r>
          </w:p>
        </w:tc>
      </w:tr>
      <w:tr w:rsidR="004644D4" w14:paraId="165AC57C"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6E61BAB9" w14:textId="77777777" w:rsidR="009E676E" w:rsidRPr="00193D76" w:rsidRDefault="00E453CD" w:rsidP="00FD5FF1">
            <w:pPr>
              <w:pStyle w:val="EMEANormal"/>
              <w:keepNext/>
              <w:rPr>
                <w:b/>
                <w:szCs w:val="22"/>
                <w:lang w:val="nb-NO"/>
              </w:rPr>
            </w:pPr>
            <w:r w:rsidRPr="007F67EE">
              <w:rPr>
                <w:b/>
                <w:szCs w:val="22"/>
                <w:lang w:val="nb-NO"/>
              </w:rPr>
              <w:t>Uke</w:t>
            </w:r>
            <w:r w:rsidRPr="00193D76">
              <w:rPr>
                <w:b/>
                <w:szCs w:val="22"/>
                <w:lang w:val="nb-NO"/>
              </w:rPr>
              <w:t xml:space="preserve"> 56</w:t>
            </w:r>
          </w:p>
        </w:tc>
        <w:tc>
          <w:tcPr>
            <w:tcW w:w="1897" w:type="dxa"/>
            <w:tcBorders>
              <w:top w:val="single" w:sz="4" w:space="0" w:color="auto"/>
              <w:left w:val="single" w:sz="4" w:space="0" w:color="auto"/>
              <w:bottom w:val="single" w:sz="4" w:space="0" w:color="auto"/>
              <w:right w:val="single" w:sz="4" w:space="0" w:color="auto"/>
            </w:tcBorders>
          </w:tcPr>
          <w:p w14:paraId="3645311C" w14:textId="77777777" w:rsidR="009E676E" w:rsidRPr="00E14E58" w:rsidRDefault="00E453CD" w:rsidP="00FD5FF1">
            <w:pPr>
              <w:pStyle w:val="EMEANormal"/>
              <w:keepNext/>
              <w:jc w:val="center"/>
              <w:rPr>
                <w:b/>
                <w:szCs w:val="22"/>
                <w:lang w:val="nb-NO"/>
              </w:rPr>
            </w:pPr>
            <w:r w:rsidRPr="00E14E58">
              <w:rPr>
                <w:b/>
                <w:szCs w:val="22"/>
                <w:lang w:val="nb-NO"/>
              </w:rPr>
              <w:t>N=170</w:t>
            </w:r>
          </w:p>
        </w:tc>
        <w:tc>
          <w:tcPr>
            <w:tcW w:w="1597" w:type="dxa"/>
            <w:tcBorders>
              <w:top w:val="single" w:sz="4" w:space="0" w:color="auto"/>
              <w:left w:val="single" w:sz="4" w:space="0" w:color="auto"/>
              <w:bottom w:val="single" w:sz="4" w:space="0" w:color="auto"/>
              <w:right w:val="single" w:sz="4" w:space="0" w:color="auto"/>
            </w:tcBorders>
          </w:tcPr>
          <w:p w14:paraId="1779DA36" w14:textId="77777777" w:rsidR="009E676E" w:rsidRPr="009C5EFD" w:rsidRDefault="00E453CD" w:rsidP="00FD5FF1">
            <w:pPr>
              <w:pStyle w:val="EMEANormal"/>
              <w:keepNext/>
              <w:jc w:val="center"/>
              <w:rPr>
                <w:b/>
                <w:szCs w:val="22"/>
                <w:lang w:val="nb-NO"/>
              </w:rPr>
            </w:pPr>
            <w:r w:rsidRPr="009C5EFD">
              <w:rPr>
                <w:b/>
                <w:szCs w:val="22"/>
                <w:lang w:val="nb-NO"/>
              </w:rPr>
              <w:t>N=172</w:t>
            </w:r>
          </w:p>
        </w:tc>
        <w:tc>
          <w:tcPr>
            <w:tcW w:w="1639" w:type="dxa"/>
            <w:tcBorders>
              <w:top w:val="single" w:sz="4" w:space="0" w:color="auto"/>
              <w:left w:val="single" w:sz="4" w:space="0" w:color="auto"/>
              <w:bottom w:val="single" w:sz="4" w:space="0" w:color="auto"/>
              <w:right w:val="single" w:sz="4" w:space="0" w:color="auto"/>
            </w:tcBorders>
          </w:tcPr>
          <w:p w14:paraId="38B517B1" w14:textId="77777777" w:rsidR="009E676E" w:rsidRPr="009C5EFD" w:rsidRDefault="00E453CD" w:rsidP="00FD5FF1">
            <w:pPr>
              <w:pStyle w:val="EMEANormal"/>
              <w:keepNext/>
              <w:jc w:val="center"/>
              <w:rPr>
                <w:b/>
                <w:szCs w:val="22"/>
                <w:lang w:val="nb-NO"/>
              </w:rPr>
            </w:pPr>
            <w:r w:rsidRPr="009C5EFD">
              <w:rPr>
                <w:b/>
                <w:szCs w:val="22"/>
                <w:lang w:val="nb-NO"/>
              </w:rPr>
              <w:t>N=157</w:t>
            </w:r>
          </w:p>
        </w:tc>
      </w:tr>
      <w:tr w:rsidR="004644D4" w14:paraId="0E61B66D"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3356D3E7" w14:textId="77777777" w:rsidR="009E676E" w:rsidRPr="007F67EE" w:rsidRDefault="00E453CD" w:rsidP="00FD5FF1">
            <w:pPr>
              <w:pStyle w:val="EMEANormal"/>
              <w:keepNext/>
              <w:rPr>
                <w:szCs w:val="22"/>
                <w:lang w:val="nb-NO"/>
              </w:rPr>
            </w:pPr>
            <w:r w:rsidRPr="007F67EE">
              <w:rPr>
                <w:szCs w:val="22"/>
                <w:lang w:val="nb-NO"/>
              </w:rPr>
              <w:t>Klinisk remisjon</w:t>
            </w:r>
          </w:p>
        </w:tc>
        <w:tc>
          <w:tcPr>
            <w:tcW w:w="1897" w:type="dxa"/>
            <w:tcBorders>
              <w:top w:val="single" w:sz="4" w:space="0" w:color="auto"/>
              <w:left w:val="single" w:sz="4" w:space="0" w:color="auto"/>
              <w:bottom w:val="single" w:sz="4" w:space="0" w:color="auto"/>
              <w:right w:val="single" w:sz="4" w:space="0" w:color="auto"/>
            </w:tcBorders>
          </w:tcPr>
          <w:p w14:paraId="250C250E" w14:textId="77777777" w:rsidR="009E676E" w:rsidRPr="009C5EFD" w:rsidRDefault="00E453CD" w:rsidP="00FD5FF1">
            <w:pPr>
              <w:pStyle w:val="EMEANormal"/>
              <w:keepNext/>
              <w:jc w:val="center"/>
              <w:rPr>
                <w:szCs w:val="22"/>
                <w:lang w:val="nb-NO"/>
              </w:rPr>
            </w:pPr>
            <w:r w:rsidRPr="00193D76">
              <w:rPr>
                <w:szCs w:val="22"/>
                <w:lang w:val="nb-NO"/>
              </w:rPr>
              <w:t>12</w:t>
            </w:r>
            <w:r w:rsidRPr="00E14E58">
              <w:rPr>
                <w:szCs w:val="22"/>
                <w:lang w:val="nb-NO"/>
              </w:rPr>
              <w:t xml:space="preserve"> %</w:t>
            </w:r>
          </w:p>
        </w:tc>
        <w:tc>
          <w:tcPr>
            <w:tcW w:w="1597" w:type="dxa"/>
            <w:tcBorders>
              <w:top w:val="single" w:sz="4" w:space="0" w:color="auto"/>
              <w:left w:val="single" w:sz="4" w:space="0" w:color="auto"/>
              <w:bottom w:val="single" w:sz="4" w:space="0" w:color="auto"/>
              <w:right w:val="single" w:sz="4" w:space="0" w:color="auto"/>
            </w:tcBorders>
          </w:tcPr>
          <w:p w14:paraId="5DF63F49" w14:textId="77777777" w:rsidR="009E676E" w:rsidRPr="009C5EFD" w:rsidRDefault="00E453CD" w:rsidP="00FD5FF1">
            <w:pPr>
              <w:pStyle w:val="EMEANormal"/>
              <w:keepNext/>
              <w:jc w:val="center"/>
              <w:rPr>
                <w:szCs w:val="22"/>
                <w:lang w:val="nb-NO"/>
              </w:rPr>
            </w:pPr>
            <w:r w:rsidRPr="009C5EFD">
              <w:rPr>
                <w:szCs w:val="22"/>
                <w:lang w:val="nb-NO"/>
              </w:rPr>
              <w:t>36 %*</w:t>
            </w:r>
          </w:p>
        </w:tc>
        <w:tc>
          <w:tcPr>
            <w:tcW w:w="1639" w:type="dxa"/>
            <w:tcBorders>
              <w:top w:val="single" w:sz="4" w:space="0" w:color="auto"/>
              <w:left w:val="single" w:sz="4" w:space="0" w:color="auto"/>
              <w:bottom w:val="single" w:sz="4" w:space="0" w:color="auto"/>
              <w:right w:val="single" w:sz="4" w:space="0" w:color="auto"/>
            </w:tcBorders>
          </w:tcPr>
          <w:p w14:paraId="4AE6AC02" w14:textId="77777777" w:rsidR="009E676E" w:rsidRPr="009C5EFD" w:rsidRDefault="00E453CD" w:rsidP="00FD5FF1">
            <w:pPr>
              <w:pStyle w:val="EMEANormal"/>
              <w:keepNext/>
              <w:jc w:val="center"/>
              <w:rPr>
                <w:szCs w:val="22"/>
                <w:lang w:val="nb-NO"/>
              </w:rPr>
            </w:pPr>
            <w:r w:rsidRPr="009C5EFD">
              <w:rPr>
                <w:szCs w:val="22"/>
                <w:lang w:val="nb-NO"/>
              </w:rPr>
              <w:t>41 %*</w:t>
            </w:r>
          </w:p>
        </w:tc>
      </w:tr>
      <w:tr w:rsidR="004644D4" w14:paraId="228E1353"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55A02413" w14:textId="77777777" w:rsidR="009E676E" w:rsidRPr="00193D76" w:rsidRDefault="00E453CD" w:rsidP="00FD5FF1">
            <w:pPr>
              <w:pStyle w:val="EMEANormal"/>
              <w:keepNext/>
              <w:rPr>
                <w:szCs w:val="22"/>
                <w:lang w:val="nb-NO"/>
              </w:rPr>
            </w:pPr>
            <w:r w:rsidRPr="007F67EE">
              <w:rPr>
                <w:szCs w:val="22"/>
                <w:lang w:val="nb-NO"/>
              </w:rPr>
              <w:t>Klinis</w:t>
            </w:r>
            <w:r w:rsidRPr="00193D76">
              <w:rPr>
                <w:szCs w:val="22"/>
                <w:lang w:val="nb-NO"/>
              </w:rPr>
              <w:t>k respons (CR-100)</w:t>
            </w:r>
          </w:p>
        </w:tc>
        <w:tc>
          <w:tcPr>
            <w:tcW w:w="1897" w:type="dxa"/>
            <w:tcBorders>
              <w:top w:val="single" w:sz="4" w:space="0" w:color="auto"/>
              <w:left w:val="single" w:sz="4" w:space="0" w:color="auto"/>
              <w:bottom w:val="single" w:sz="4" w:space="0" w:color="auto"/>
              <w:right w:val="single" w:sz="4" w:space="0" w:color="auto"/>
            </w:tcBorders>
          </w:tcPr>
          <w:p w14:paraId="7B94DABE" w14:textId="77777777" w:rsidR="009E676E" w:rsidRPr="009C5EFD" w:rsidRDefault="00E453CD" w:rsidP="00FD5FF1">
            <w:pPr>
              <w:pStyle w:val="EMEANormal"/>
              <w:keepNext/>
              <w:jc w:val="center"/>
              <w:rPr>
                <w:szCs w:val="22"/>
                <w:lang w:val="nb-NO"/>
              </w:rPr>
            </w:pPr>
            <w:r w:rsidRPr="00E14E58">
              <w:rPr>
                <w:szCs w:val="22"/>
                <w:lang w:val="nb-NO"/>
              </w:rPr>
              <w:t>17</w:t>
            </w:r>
            <w:r w:rsidRPr="009C5EFD">
              <w:rPr>
                <w:szCs w:val="22"/>
                <w:lang w:val="nb-NO"/>
              </w:rPr>
              <w:t xml:space="preserve"> %</w:t>
            </w:r>
          </w:p>
        </w:tc>
        <w:tc>
          <w:tcPr>
            <w:tcW w:w="1597" w:type="dxa"/>
            <w:tcBorders>
              <w:top w:val="single" w:sz="4" w:space="0" w:color="auto"/>
              <w:left w:val="single" w:sz="4" w:space="0" w:color="auto"/>
              <w:bottom w:val="single" w:sz="4" w:space="0" w:color="auto"/>
              <w:right w:val="single" w:sz="4" w:space="0" w:color="auto"/>
            </w:tcBorders>
          </w:tcPr>
          <w:p w14:paraId="1898B62B" w14:textId="77777777" w:rsidR="009E676E" w:rsidRPr="009C5EFD" w:rsidRDefault="00E453CD" w:rsidP="00FD5FF1">
            <w:pPr>
              <w:pStyle w:val="EMEANormal"/>
              <w:keepNext/>
              <w:jc w:val="center"/>
              <w:rPr>
                <w:szCs w:val="22"/>
                <w:lang w:val="nb-NO"/>
              </w:rPr>
            </w:pPr>
            <w:r w:rsidRPr="009C5EFD">
              <w:rPr>
                <w:szCs w:val="22"/>
                <w:lang w:val="nb-NO"/>
              </w:rPr>
              <w:t>41 %*</w:t>
            </w:r>
          </w:p>
        </w:tc>
        <w:tc>
          <w:tcPr>
            <w:tcW w:w="1639" w:type="dxa"/>
            <w:tcBorders>
              <w:top w:val="single" w:sz="4" w:space="0" w:color="auto"/>
              <w:left w:val="single" w:sz="4" w:space="0" w:color="auto"/>
              <w:bottom w:val="single" w:sz="4" w:space="0" w:color="auto"/>
              <w:right w:val="single" w:sz="4" w:space="0" w:color="auto"/>
            </w:tcBorders>
          </w:tcPr>
          <w:p w14:paraId="35914EF0" w14:textId="77777777" w:rsidR="009E676E" w:rsidRPr="009C5EFD" w:rsidRDefault="00E453CD" w:rsidP="00FD5FF1">
            <w:pPr>
              <w:pStyle w:val="EMEANormal"/>
              <w:keepNext/>
              <w:jc w:val="center"/>
              <w:rPr>
                <w:szCs w:val="22"/>
                <w:lang w:val="nb-NO"/>
              </w:rPr>
            </w:pPr>
            <w:r w:rsidRPr="009C5EFD">
              <w:rPr>
                <w:szCs w:val="22"/>
                <w:lang w:val="nb-NO"/>
              </w:rPr>
              <w:t>48 %*</w:t>
            </w:r>
          </w:p>
        </w:tc>
      </w:tr>
      <w:tr w:rsidR="004644D4" w14:paraId="2C527E18" w14:textId="77777777" w:rsidTr="00AF70AD">
        <w:trPr>
          <w:gridAfter w:val="1"/>
          <w:wAfter w:w="8" w:type="dxa"/>
        </w:trPr>
        <w:tc>
          <w:tcPr>
            <w:tcW w:w="1636" w:type="dxa"/>
            <w:gridSpan w:val="2"/>
            <w:tcBorders>
              <w:top w:val="single" w:sz="4" w:space="0" w:color="auto"/>
              <w:left w:val="single" w:sz="4" w:space="0" w:color="auto"/>
              <w:bottom w:val="single" w:sz="4" w:space="0" w:color="auto"/>
              <w:right w:val="single" w:sz="4" w:space="0" w:color="auto"/>
            </w:tcBorders>
          </w:tcPr>
          <w:p w14:paraId="3F880B3A" w14:textId="77777777" w:rsidR="009E676E" w:rsidRPr="00E14E58" w:rsidRDefault="00E453CD" w:rsidP="00FD5FF1">
            <w:pPr>
              <w:pStyle w:val="EMEANormal"/>
              <w:keepNext/>
              <w:rPr>
                <w:szCs w:val="22"/>
                <w:lang w:val="nb-NO"/>
              </w:rPr>
            </w:pPr>
            <w:r w:rsidRPr="007F67EE">
              <w:rPr>
                <w:szCs w:val="22"/>
                <w:lang w:val="nb-NO"/>
              </w:rPr>
              <w:t xml:space="preserve">Pasienter i steroidfri remisjon </w:t>
            </w:r>
            <w:r w:rsidRPr="007F67EE">
              <w:rPr>
                <w:szCs w:val="22"/>
                <w:lang w:val="nb-NO"/>
              </w:rPr>
              <w:br/>
              <w:t>for &gt;=90 dager</w:t>
            </w:r>
            <w:r w:rsidRPr="00193D76">
              <w:rPr>
                <w:szCs w:val="22"/>
                <w:vertAlign w:val="superscript"/>
                <w:lang w:val="nb-NO"/>
              </w:rPr>
              <w:t>a</w:t>
            </w:r>
          </w:p>
        </w:tc>
        <w:tc>
          <w:tcPr>
            <w:tcW w:w="1897" w:type="dxa"/>
            <w:tcBorders>
              <w:top w:val="single" w:sz="4" w:space="0" w:color="auto"/>
              <w:left w:val="single" w:sz="4" w:space="0" w:color="auto"/>
              <w:bottom w:val="single" w:sz="4" w:space="0" w:color="auto"/>
              <w:right w:val="single" w:sz="4" w:space="0" w:color="auto"/>
            </w:tcBorders>
          </w:tcPr>
          <w:p w14:paraId="61239320" w14:textId="77777777" w:rsidR="009E676E" w:rsidRPr="009C5EFD" w:rsidRDefault="00E453CD" w:rsidP="00FD5FF1">
            <w:pPr>
              <w:pStyle w:val="EMEANormal"/>
              <w:keepNext/>
              <w:jc w:val="center"/>
              <w:rPr>
                <w:szCs w:val="22"/>
                <w:lang w:val="nb-NO"/>
              </w:rPr>
            </w:pPr>
            <w:r w:rsidRPr="009C5EFD">
              <w:rPr>
                <w:szCs w:val="22"/>
                <w:lang w:val="nb-NO"/>
              </w:rPr>
              <w:t>5 % (3/66)</w:t>
            </w:r>
          </w:p>
        </w:tc>
        <w:tc>
          <w:tcPr>
            <w:tcW w:w="1597" w:type="dxa"/>
            <w:tcBorders>
              <w:top w:val="single" w:sz="4" w:space="0" w:color="auto"/>
              <w:left w:val="single" w:sz="4" w:space="0" w:color="auto"/>
              <w:bottom w:val="single" w:sz="4" w:space="0" w:color="auto"/>
              <w:right w:val="single" w:sz="4" w:space="0" w:color="auto"/>
            </w:tcBorders>
          </w:tcPr>
          <w:p w14:paraId="2CD01169" w14:textId="77777777" w:rsidR="009E676E" w:rsidRPr="009C5EFD" w:rsidRDefault="00E453CD" w:rsidP="00FD5FF1">
            <w:pPr>
              <w:pStyle w:val="EMEANormal"/>
              <w:keepNext/>
              <w:jc w:val="center"/>
              <w:rPr>
                <w:szCs w:val="22"/>
                <w:lang w:val="nb-NO"/>
              </w:rPr>
            </w:pPr>
            <w:r w:rsidRPr="009C5EFD">
              <w:rPr>
                <w:szCs w:val="22"/>
                <w:lang w:val="nb-NO"/>
              </w:rPr>
              <w:t>29 % (17/58)*</w:t>
            </w:r>
          </w:p>
        </w:tc>
        <w:tc>
          <w:tcPr>
            <w:tcW w:w="1639" w:type="dxa"/>
            <w:tcBorders>
              <w:top w:val="single" w:sz="4" w:space="0" w:color="auto"/>
              <w:left w:val="single" w:sz="4" w:space="0" w:color="auto"/>
              <w:bottom w:val="single" w:sz="4" w:space="0" w:color="auto"/>
              <w:right w:val="single" w:sz="4" w:space="0" w:color="auto"/>
            </w:tcBorders>
          </w:tcPr>
          <w:p w14:paraId="4538BA5E" w14:textId="77777777" w:rsidR="009E676E" w:rsidRPr="009C5EFD" w:rsidRDefault="00E453CD" w:rsidP="00FD5FF1">
            <w:pPr>
              <w:pStyle w:val="EMEANormal"/>
              <w:keepNext/>
              <w:jc w:val="center"/>
              <w:rPr>
                <w:szCs w:val="22"/>
                <w:lang w:val="nb-NO"/>
              </w:rPr>
            </w:pPr>
            <w:r w:rsidRPr="009C5EFD">
              <w:rPr>
                <w:szCs w:val="22"/>
                <w:lang w:val="nb-NO"/>
              </w:rPr>
              <w:t>20 % (15/74)**</w:t>
            </w:r>
          </w:p>
        </w:tc>
      </w:tr>
      <w:tr w:rsidR="004644D4" w14:paraId="1F7459EF" w14:textId="77777777" w:rsidTr="00AF70AD">
        <w:trPr>
          <w:gridBefore w:val="1"/>
          <w:wBefore w:w="366" w:type="dxa"/>
        </w:trPr>
        <w:tc>
          <w:tcPr>
            <w:tcW w:w="6617" w:type="dxa"/>
            <w:gridSpan w:val="5"/>
            <w:tcBorders>
              <w:top w:val="single" w:sz="4" w:space="0" w:color="auto"/>
              <w:left w:val="nil"/>
              <w:bottom w:val="nil"/>
              <w:right w:val="nil"/>
            </w:tcBorders>
          </w:tcPr>
          <w:p w14:paraId="73BC1F4E" w14:textId="77777777" w:rsidR="009E676E" w:rsidRPr="002D0790" w:rsidRDefault="00E453CD" w:rsidP="00FD5FF1">
            <w:pPr>
              <w:pStyle w:val="TableText"/>
              <w:rPr>
                <w:sz w:val="22"/>
                <w:szCs w:val="22"/>
                <w:lang w:val="nb-NO"/>
              </w:rPr>
            </w:pPr>
            <w:r w:rsidRPr="007F67EE">
              <w:rPr>
                <w:sz w:val="22"/>
                <w:szCs w:val="22"/>
                <w:lang w:val="nb-NO"/>
              </w:rPr>
              <w:t>*</w:t>
            </w:r>
            <w:r w:rsidRPr="007F67EE">
              <w:rPr>
                <w:sz w:val="22"/>
                <w:szCs w:val="22"/>
                <w:lang w:val="nb-NO"/>
              </w:rPr>
              <w:tab/>
              <w:t xml:space="preserve">p &lt; 0,001 for Humira </w:t>
            </w:r>
            <w:r w:rsidRPr="00193D76">
              <w:rPr>
                <w:i/>
                <w:sz w:val="22"/>
                <w:szCs w:val="22"/>
                <w:lang w:val="nb-NO"/>
              </w:rPr>
              <w:t>versus</w:t>
            </w:r>
            <w:r w:rsidRPr="002D0790">
              <w:rPr>
                <w:sz w:val="22"/>
                <w:szCs w:val="22"/>
                <w:lang w:val="nb-NO"/>
              </w:rPr>
              <w:t xml:space="preserve"> placebo parvise sammenligninger av proporsjoner</w:t>
            </w:r>
          </w:p>
          <w:p w14:paraId="1309E335" w14:textId="77777777" w:rsidR="009E676E" w:rsidRPr="009C5EFD" w:rsidRDefault="00E453CD" w:rsidP="00FD5FF1">
            <w:pPr>
              <w:pStyle w:val="TableText"/>
              <w:rPr>
                <w:sz w:val="22"/>
                <w:szCs w:val="22"/>
                <w:lang w:val="nb-NO"/>
              </w:rPr>
            </w:pPr>
            <w:r w:rsidRPr="00E14E58">
              <w:rPr>
                <w:sz w:val="22"/>
                <w:szCs w:val="22"/>
                <w:lang w:val="nb-NO"/>
              </w:rPr>
              <w:t>**</w:t>
            </w:r>
            <w:r w:rsidRPr="00E14E58">
              <w:rPr>
                <w:sz w:val="22"/>
                <w:szCs w:val="22"/>
                <w:lang w:val="nb-NO"/>
              </w:rPr>
              <w:tab/>
              <w:t xml:space="preserve">p &lt; 0,02 for Humira </w:t>
            </w:r>
            <w:r w:rsidRPr="009C5EFD">
              <w:rPr>
                <w:i/>
                <w:sz w:val="22"/>
                <w:szCs w:val="22"/>
                <w:lang w:val="nb-NO"/>
              </w:rPr>
              <w:t>versus</w:t>
            </w:r>
            <w:r w:rsidRPr="009C5EFD">
              <w:rPr>
                <w:sz w:val="22"/>
                <w:szCs w:val="22"/>
                <w:lang w:val="nb-NO"/>
              </w:rPr>
              <w:t xml:space="preserve"> placebo parvise sammenligninger av proporsjoner</w:t>
            </w:r>
          </w:p>
          <w:p w14:paraId="7D5E2312" w14:textId="77777777" w:rsidR="009E676E" w:rsidRPr="009C5EFD" w:rsidRDefault="00E453CD" w:rsidP="00FD5FF1">
            <w:pPr>
              <w:pStyle w:val="EMEANormal"/>
              <w:keepNext/>
              <w:rPr>
                <w:szCs w:val="22"/>
                <w:lang w:val="nb-NO"/>
              </w:rPr>
            </w:pPr>
            <w:r w:rsidRPr="009C5EFD">
              <w:rPr>
                <w:szCs w:val="22"/>
                <w:vertAlign w:val="superscript"/>
                <w:lang w:val="nb-NO"/>
              </w:rPr>
              <w:t xml:space="preserve">a        </w:t>
            </w:r>
            <w:r w:rsidRPr="009C5EFD">
              <w:rPr>
                <w:szCs w:val="22"/>
                <w:lang w:val="nb-NO"/>
              </w:rPr>
              <w:t>Av de som fikk kortikosteroider ved baseline</w:t>
            </w:r>
          </w:p>
        </w:tc>
      </w:tr>
    </w:tbl>
    <w:p w14:paraId="4DAAEAFC" w14:textId="77777777" w:rsidR="009E676E" w:rsidRPr="009C5EFD" w:rsidRDefault="009E676E" w:rsidP="009E676E">
      <w:pPr>
        <w:ind w:left="54"/>
        <w:rPr>
          <w:sz w:val="22"/>
          <w:szCs w:val="22"/>
        </w:rPr>
      </w:pPr>
    </w:p>
    <w:p w14:paraId="31059220" w14:textId="77777777" w:rsidR="009E676E" w:rsidRPr="009C5EFD" w:rsidRDefault="00E453CD" w:rsidP="009E676E">
      <w:pPr>
        <w:rPr>
          <w:sz w:val="22"/>
          <w:szCs w:val="22"/>
        </w:rPr>
      </w:pPr>
      <w:r w:rsidRPr="009C5EFD">
        <w:rPr>
          <w:sz w:val="22"/>
          <w:szCs w:val="22"/>
        </w:rPr>
        <w:t>Blant pasienter som ikke viste respons ved uke 4, oppnådde 43 % av dem som fikk vedlikeholdsdose med Humira respons ved uke 12 sammenlignet med 30 % av de som fikk vedlikeholdsbehandling med placebo. Disse resultatene tyder på at pasienter som ikke viser respons ved uke 4 drar nytte av å fortsette med vedlikeholdsterapi til uke 12. Fortsatt terapi utover 12 uker resulterte ikke i signifikant høyere respons (se pkt. 4.2).</w:t>
      </w:r>
    </w:p>
    <w:p w14:paraId="3DC3A187" w14:textId="77777777" w:rsidR="009E676E" w:rsidRPr="009C5EFD" w:rsidRDefault="009E676E" w:rsidP="009E676E">
      <w:pPr>
        <w:rPr>
          <w:sz w:val="22"/>
          <w:szCs w:val="22"/>
        </w:rPr>
      </w:pPr>
    </w:p>
    <w:p w14:paraId="151891F6" w14:textId="77777777" w:rsidR="009E676E" w:rsidRPr="009C5EFD" w:rsidRDefault="00E453CD" w:rsidP="009E676E">
      <w:pPr>
        <w:rPr>
          <w:sz w:val="22"/>
          <w:szCs w:val="22"/>
        </w:rPr>
      </w:pPr>
      <w:r w:rsidRPr="009C5EFD">
        <w:rPr>
          <w:bCs/>
          <w:sz w:val="22"/>
          <w:szCs w:val="22"/>
        </w:rPr>
        <w:t>117/276 pasienter fra CD-studie I og 272/777 pasienter fra CD-studie II og III ble fulgt opp minst 3 år i åpen behandling med adalimumab. Henholdsvis 88 og 189 pasienter forble i klinisk remisjon. Klinisk respons (CR-100) ble opprettholdt hos henholdsvis 102 og 233 pasienter.</w:t>
      </w:r>
    </w:p>
    <w:p w14:paraId="6AA43CA4" w14:textId="77777777" w:rsidR="009E676E" w:rsidRPr="009C5EFD" w:rsidRDefault="009E676E" w:rsidP="009E676E">
      <w:pPr>
        <w:rPr>
          <w:sz w:val="22"/>
          <w:szCs w:val="22"/>
        </w:rPr>
      </w:pPr>
    </w:p>
    <w:p w14:paraId="39B75B36" w14:textId="77777777" w:rsidR="009E676E" w:rsidRPr="001F5D4B" w:rsidRDefault="00E453CD" w:rsidP="00776A84">
      <w:pPr>
        <w:keepNext/>
        <w:rPr>
          <w:i/>
          <w:sz w:val="22"/>
          <w:szCs w:val="22"/>
        </w:rPr>
      </w:pPr>
      <w:r w:rsidRPr="001F5D4B">
        <w:rPr>
          <w:i/>
          <w:sz w:val="22"/>
          <w:szCs w:val="22"/>
          <w:u w:val="single"/>
        </w:rPr>
        <w:t>Livskvalitet</w:t>
      </w:r>
    </w:p>
    <w:p w14:paraId="4A32F537" w14:textId="77777777" w:rsidR="009E676E" w:rsidRPr="007F67EE" w:rsidRDefault="009E676E" w:rsidP="00776A84">
      <w:pPr>
        <w:keepNext/>
        <w:rPr>
          <w:sz w:val="22"/>
          <w:szCs w:val="22"/>
        </w:rPr>
      </w:pPr>
    </w:p>
    <w:p w14:paraId="1FF62D94" w14:textId="77777777" w:rsidR="009E676E" w:rsidRPr="00E14E58" w:rsidRDefault="00E453CD" w:rsidP="009E676E">
      <w:pPr>
        <w:rPr>
          <w:sz w:val="22"/>
          <w:szCs w:val="22"/>
        </w:rPr>
      </w:pPr>
      <w:r w:rsidRPr="00193D76">
        <w:rPr>
          <w:sz w:val="22"/>
          <w:szCs w:val="22"/>
        </w:rPr>
        <w:t>CD-studie I og CD-studie II viste statistisk signifikant forbedring i sykdomsspesifikk livsk</w:t>
      </w:r>
      <w:r w:rsidRPr="002D0790">
        <w:rPr>
          <w:sz w:val="22"/>
          <w:szCs w:val="22"/>
        </w:rPr>
        <w:t>valitetsscore IBDQ (Inflammatory Bowel Disease Questionnaire) ved uke 4 hos pas</w:t>
      </w:r>
      <w:r w:rsidRPr="00E14E58">
        <w:rPr>
          <w:sz w:val="22"/>
          <w:szCs w:val="22"/>
        </w:rPr>
        <w:t>ienter som var randomisert til Humira 80/40 mg og Humira 160/80 mg sammenlignet med placebo. Det samme ble også sett ved uke 26 og 56 i CD-studie III blant gruppene som fikk behandling med adalimumab sammenlignet med placebogruppen.</w:t>
      </w:r>
    </w:p>
    <w:p w14:paraId="423F3E23" w14:textId="77777777" w:rsidR="009E676E" w:rsidRPr="009C5EFD" w:rsidRDefault="009E676E" w:rsidP="009E676E">
      <w:pPr>
        <w:rPr>
          <w:sz w:val="22"/>
          <w:szCs w:val="22"/>
        </w:rPr>
      </w:pPr>
    </w:p>
    <w:p w14:paraId="0F3FA779" w14:textId="77777777" w:rsidR="009E676E" w:rsidRPr="001F5D4B" w:rsidRDefault="00E453CD" w:rsidP="00776A84">
      <w:pPr>
        <w:keepNext/>
        <w:suppressAutoHyphens/>
        <w:rPr>
          <w:i/>
          <w:sz w:val="22"/>
          <w:szCs w:val="22"/>
        </w:rPr>
      </w:pPr>
      <w:r w:rsidRPr="001F5D4B">
        <w:rPr>
          <w:i/>
          <w:sz w:val="22"/>
          <w:szCs w:val="22"/>
        </w:rPr>
        <w:t>Ulcerøs kolitt</w:t>
      </w:r>
    </w:p>
    <w:p w14:paraId="18088FDF" w14:textId="77777777" w:rsidR="009E676E" w:rsidRPr="007F67EE" w:rsidRDefault="009E676E" w:rsidP="00776A84">
      <w:pPr>
        <w:keepNext/>
        <w:suppressAutoHyphens/>
        <w:rPr>
          <w:sz w:val="22"/>
          <w:szCs w:val="22"/>
          <w:u w:val="single"/>
        </w:rPr>
      </w:pPr>
    </w:p>
    <w:p w14:paraId="1B84195C" w14:textId="77777777" w:rsidR="009E676E" w:rsidRPr="009C5EFD" w:rsidRDefault="00E453CD" w:rsidP="009E676E">
      <w:pPr>
        <w:suppressAutoHyphens/>
        <w:rPr>
          <w:sz w:val="22"/>
          <w:szCs w:val="22"/>
        </w:rPr>
      </w:pPr>
      <w:r w:rsidRPr="00193D76">
        <w:rPr>
          <w:sz w:val="22"/>
          <w:szCs w:val="22"/>
        </w:rPr>
        <w:t>Sikk</w:t>
      </w:r>
      <w:r w:rsidRPr="002D0790">
        <w:rPr>
          <w:sz w:val="22"/>
          <w:szCs w:val="22"/>
        </w:rPr>
        <w:t>erhet og effekt av flere doser Humira ble vurdert hos voksne pasienter med moderat til alvorlig aktiv ulcerøs kolitt (M</w:t>
      </w:r>
      <w:r w:rsidRPr="00E14E58">
        <w:rPr>
          <w:sz w:val="22"/>
          <w:szCs w:val="22"/>
        </w:rPr>
        <w:t>ayo score 6 til 12 med endoskopi subscore på 2 til 3)</w:t>
      </w:r>
      <w:r w:rsidRPr="009C5EFD">
        <w:rPr>
          <w:sz w:val="22"/>
          <w:szCs w:val="22"/>
        </w:rPr>
        <w:t xml:space="preserve"> i randomiserte, dobbeltblinde, placebokontrollerte studier.</w:t>
      </w:r>
    </w:p>
    <w:p w14:paraId="35CD8C81" w14:textId="77777777" w:rsidR="009E676E" w:rsidRPr="009C5EFD" w:rsidRDefault="009E676E" w:rsidP="009E676E">
      <w:pPr>
        <w:suppressAutoHyphens/>
        <w:rPr>
          <w:sz w:val="22"/>
          <w:szCs w:val="22"/>
        </w:rPr>
      </w:pPr>
    </w:p>
    <w:p w14:paraId="2993FF8A" w14:textId="77777777" w:rsidR="009E676E" w:rsidRPr="009C5EFD" w:rsidRDefault="00E453CD" w:rsidP="009E676E">
      <w:pPr>
        <w:suppressAutoHyphens/>
        <w:rPr>
          <w:sz w:val="22"/>
          <w:szCs w:val="22"/>
        </w:rPr>
      </w:pPr>
      <w:r w:rsidRPr="009C5EFD">
        <w:rPr>
          <w:sz w:val="22"/>
          <w:szCs w:val="22"/>
        </w:rPr>
        <w:t>I studien UC-I ble 390 TNF-antagonistnaive pasienter randomisert til enten placebo ved uke 0 og 2, 160 mg Humira ved uke 0 etterfulgt av 80 mg ved uke 2, eller 80 mg Humira ved uke 0 etterfulgt av 40 mg ved uke 2. Etter uke 2 fikk pasientene i begge adalimumab-armene 40 mg annenhver uke. Klinisk remisjon (definert som Mayo score ≤ 2 uten subscore &gt; 1) ble vurdert ved uke 8.</w:t>
      </w:r>
    </w:p>
    <w:p w14:paraId="2DBF2055" w14:textId="77777777" w:rsidR="009E676E" w:rsidRPr="009C5EFD" w:rsidRDefault="009E676E" w:rsidP="009E676E">
      <w:pPr>
        <w:suppressAutoHyphens/>
        <w:rPr>
          <w:sz w:val="22"/>
          <w:szCs w:val="22"/>
        </w:rPr>
      </w:pPr>
    </w:p>
    <w:p w14:paraId="1848367F" w14:textId="77777777" w:rsidR="009E676E" w:rsidRPr="009C5EFD" w:rsidRDefault="00E453CD" w:rsidP="009E676E">
      <w:pPr>
        <w:suppressAutoHyphens/>
        <w:rPr>
          <w:sz w:val="22"/>
          <w:szCs w:val="22"/>
        </w:rPr>
      </w:pPr>
      <w:r w:rsidRPr="009C5EFD">
        <w:rPr>
          <w:sz w:val="22"/>
          <w:szCs w:val="22"/>
        </w:rPr>
        <w:lastRenderedPageBreak/>
        <w:t>I studien UC-II fikk 248 pasienter 160 mg Humira ved uke 0, 80 mg ved uke 2 og deretter 40 mg annenhver uke, og 246 pasienter fikk placebo. Kliniske resultater ble vurdert for induksjon av remisjon ved uke 8 og for vedlikehold av remisjon ved uke 52.</w:t>
      </w:r>
    </w:p>
    <w:p w14:paraId="255F62E8" w14:textId="77777777" w:rsidR="009E676E" w:rsidRPr="009C5EFD" w:rsidRDefault="009E676E" w:rsidP="009E676E">
      <w:pPr>
        <w:suppressAutoHyphens/>
        <w:rPr>
          <w:sz w:val="22"/>
          <w:szCs w:val="22"/>
        </w:rPr>
      </w:pPr>
    </w:p>
    <w:p w14:paraId="57621DAB" w14:textId="77777777" w:rsidR="009E676E" w:rsidRPr="009C5EFD" w:rsidRDefault="00E453CD" w:rsidP="009E676E">
      <w:pPr>
        <w:suppressAutoHyphens/>
        <w:rPr>
          <w:sz w:val="22"/>
          <w:szCs w:val="22"/>
        </w:rPr>
      </w:pPr>
      <w:r w:rsidRPr="009C5EFD">
        <w:rPr>
          <w:sz w:val="22"/>
          <w:szCs w:val="22"/>
        </w:rPr>
        <w:t>Pasienter indusert med 160/80 mg Humira oppnådde klinisk remisjon versus placebo ved uke 8 i statisitisk signifikant større prosentandeler i studie UC-I (</w:t>
      </w:r>
      <w:r w:rsidR="009019DA">
        <w:rPr>
          <w:sz w:val="22"/>
          <w:szCs w:val="22"/>
        </w:rPr>
        <w:t xml:space="preserve">henholdsvis </w:t>
      </w:r>
      <w:r w:rsidRPr="009C5EFD">
        <w:rPr>
          <w:sz w:val="22"/>
          <w:szCs w:val="22"/>
        </w:rPr>
        <w:t>18 % vs. 9 %, p=0,031) og studie UC-II (</w:t>
      </w:r>
      <w:r w:rsidR="009019DA">
        <w:rPr>
          <w:sz w:val="22"/>
          <w:szCs w:val="22"/>
        </w:rPr>
        <w:t xml:space="preserve">henholdsvis </w:t>
      </w:r>
      <w:r w:rsidRPr="009C5EFD">
        <w:rPr>
          <w:sz w:val="22"/>
          <w:szCs w:val="22"/>
        </w:rPr>
        <w:t>17</w:t>
      </w:r>
      <w:r w:rsidR="009A60E6">
        <w:rPr>
          <w:sz w:val="22"/>
          <w:szCs w:val="22"/>
        </w:rPr>
        <w:t> </w:t>
      </w:r>
      <w:r w:rsidRPr="009C5EFD">
        <w:rPr>
          <w:sz w:val="22"/>
          <w:szCs w:val="22"/>
        </w:rPr>
        <w:t>% vs. 9 %, p=0,019). Blant pasienter som ble behandlet med Humira i studien UC-II og som var i remisjon ved uke 8, var 21/41 (51%) også i remisjon ved uke 52.</w:t>
      </w:r>
    </w:p>
    <w:p w14:paraId="6A191C95" w14:textId="77777777" w:rsidR="009E676E" w:rsidRPr="009C5EFD" w:rsidRDefault="009E676E" w:rsidP="009E676E">
      <w:pPr>
        <w:suppressAutoHyphens/>
        <w:rPr>
          <w:sz w:val="22"/>
          <w:szCs w:val="22"/>
        </w:rPr>
      </w:pPr>
    </w:p>
    <w:p w14:paraId="606A7CCF" w14:textId="77777777" w:rsidR="009E676E" w:rsidRPr="009C5EFD" w:rsidRDefault="00E453CD" w:rsidP="009E676E">
      <w:pPr>
        <w:suppressAutoHyphens/>
        <w:rPr>
          <w:sz w:val="22"/>
          <w:szCs w:val="22"/>
        </w:rPr>
      </w:pPr>
      <w:r w:rsidRPr="009C5EFD">
        <w:rPr>
          <w:sz w:val="22"/>
          <w:szCs w:val="22"/>
        </w:rPr>
        <w:t xml:space="preserve">Resultater for studiepopulasjonen fra UC-II er vist i tabell </w:t>
      </w:r>
      <w:r w:rsidR="00FB4C84">
        <w:rPr>
          <w:sz w:val="22"/>
          <w:szCs w:val="22"/>
        </w:rPr>
        <w:t>1</w:t>
      </w:r>
      <w:r w:rsidR="003F5EAC">
        <w:rPr>
          <w:sz w:val="22"/>
          <w:szCs w:val="22"/>
        </w:rPr>
        <w:t>6</w:t>
      </w:r>
      <w:r w:rsidRPr="009C5EFD">
        <w:rPr>
          <w:sz w:val="22"/>
          <w:szCs w:val="22"/>
        </w:rPr>
        <w:t>.</w:t>
      </w:r>
    </w:p>
    <w:p w14:paraId="7042F4A0" w14:textId="77777777" w:rsidR="009E676E" w:rsidRPr="009C5EFD" w:rsidRDefault="009E676E" w:rsidP="009E676E">
      <w:pPr>
        <w:suppressAutoHyphens/>
        <w:rPr>
          <w:sz w:val="22"/>
          <w:szCs w:val="22"/>
        </w:rPr>
      </w:pPr>
    </w:p>
    <w:p w14:paraId="53AF9FC0" w14:textId="77777777" w:rsidR="009E676E" w:rsidRPr="009C5EFD" w:rsidRDefault="00E453CD" w:rsidP="009E676E">
      <w:pPr>
        <w:pStyle w:val="EMEANormal"/>
        <w:keepNext/>
        <w:tabs>
          <w:tab w:val="clear" w:pos="562"/>
          <w:tab w:val="left" w:pos="0"/>
        </w:tabs>
        <w:jc w:val="center"/>
        <w:rPr>
          <w:b/>
          <w:szCs w:val="22"/>
          <w:lang w:val="nb-NO"/>
        </w:rPr>
      </w:pPr>
      <w:r w:rsidRPr="009C5EFD">
        <w:rPr>
          <w:b/>
          <w:szCs w:val="22"/>
          <w:lang w:val="nb-NO"/>
        </w:rPr>
        <w:t xml:space="preserve">Tabell </w:t>
      </w:r>
      <w:r w:rsidR="00FB4C84">
        <w:rPr>
          <w:b/>
          <w:szCs w:val="22"/>
          <w:lang w:val="nb-NO"/>
        </w:rPr>
        <w:t>1</w:t>
      </w:r>
      <w:r w:rsidR="003F5EAC">
        <w:rPr>
          <w:b/>
          <w:szCs w:val="22"/>
          <w:lang w:val="nb-NO"/>
        </w:rPr>
        <w:t>6</w:t>
      </w:r>
    </w:p>
    <w:p w14:paraId="13906BE2" w14:textId="77777777" w:rsidR="009E676E" w:rsidRPr="009C5EFD" w:rsidRDefault="00E453CD" w:rsidP="009E676E">
      <w:pPr>
        <w:pStyle w:val="EMEANormal"/>
        <w:keepNext/>
        <w:tabs>
          <w:tab w:val="clear" w:pos="562"/>
          <w:tab w:val="left" w:pos="0"/>
        </w:tabs>
        <w:jc w:val="center"/>
        <w:rPr>
          <w:b/>
          <w:szCs w:val="22"/>
          <w:lang w:val="nb-NO"/>
        </w:rPr>
      </w:pPr>
      <w:r w:rsidRPr="009C5EFD">
        <w:rPr>
          <w:b/>
          <w:szCs w:val="22"/>
          <w:lang w:val="nb-NO"/>
        </w:rPr>
        <w:t xml:space="preserve">Respons, remisjon og tilheling av slimhinner i studie UC-II </w:t>
      </w:r>
    </w:p>
    <w:p w14:paraId="26877C7E" w14:textId="77777777" w:rsidR="009E676E" w:rsidRPr="009C5EFD" w:rsidRDefault="00E453CD" w:rsidP="009E676E">
      <w:pPr>
        <w:keepNext/>
        <w:tabs>
          <w:tab w:val="left" w:pos="0"/>
        </w:tabs>
        <w:suppressAutoHyphens/>
        <w:jc w:val="center"/>
        <w:rPr>
          <w:b/>
          <w:szCs w:val="22"/>
        </w:rPr>
      </w:pPr>
      <w:r w:rsidRPr="009C5EFD">
        <w:rPr>
          <w:b/>
          <w:szCs w:val="22"/>
        </w:rPr>
        <w:t>(Prosent av pasientene)</w:t>
      </w:r>
    </w:p>
    <w:tbl>
      <w:tblPr>
        <w:tblW w:w="4573" w:type="pct"/>
        <w:jc w:val="center"/>
        <w:tblCellMar>
          <w:top w:w="15" w:type="dxa"/>
          <w:left w:w="15" w:type="dxa"/>
          <w:bottom w:w="15" w:type="dxa"/>
          <w:right w:w="15" w:type="dxa"/>
        </w:tblCellMar>
        <w:tblLook w:val="0000" w:firstRow="0" w:lastRow="0" w:firstColumn="0" w:lastColumn="0" w:noHBand="0" w:noVBand="0"/>
      </w:tblPr>
      <w:tblGrid>
        <w:gridCol w:w="4254"/>
        <w:gridCol w:w="2356"/>
        <w:gridCol w:w="1681"/>
      </w:tblGrid>
      <w:tr w:rsidR="004644D4" w14:paraId="0F8A4C05" w14:textId="77777777" w:rsidTr="001C4BD6">
        <w:trPr>
          <w:jc w:val="center"/>
        </w:trPr>
        <w:tc>
          <w:tcPr>
            <w:tcW w:w="2565" w:type="pct"/>
            <w:tcBorders>
              <w:top w:val="single" w:sz="6" w:space="0" w:color="000000"/>
              <w:left w:val="nil"/>
              <w:bottom w:val="single" w:sz="6" w:space="0" w:color="000000"/>
              <w:right w:val="nil"/>
            </w:tcBorders>
          </w:tcPr>
          <w:p w14:paraId="36BFBAE0" w14:textId="77777777" w:rsidR="009E676E" w:rsidRPr="009C5EFD" w:rsidRDefault="009E676E" w:rsidP="00FD5FF1">
            <w:pPr>
              <w:keepNext/>
              <w:tabs>
                <w:tab w:val="left" w:pos="0"/>
              </w:tabs>
              <w:jc w:val="center"/>
              <w:rPr>
                <w:rFonts w:eastAsia="Arial Unicode MS"/>
                <w:sz w:val="22"/>
                <w:szCs w:val="22"/>
                <w:lang w:val="en-GB"/>
              </w:rPr>
            </w:pPr>
          </w:p>
        </w:tc>
        <w:tc>
          <w:tcPr>
            <w:tcW w:w="1421" w:type="pct"/>
            <w:tcBorders>
              <w:top w:val="single" w:sz="6" w:space="0" w:color="000000"/>
              <w:left w:val="nil"/>
              <w:bottom w:val="single" w:sz="6" w:space="0" w:color="000000"/>
              <w:right w:val="nil"/>
            </w:tcBorders>
          </w:tcPr>
          <w:p w14:paraId="7470F9B1" w14:textId="77777777" w:rsidR="009E676E" w:rsidRPr="009C5EFD" w:rsidRDefault="00E453CD" w:rsidP="00FD5FF1">
            <w:pPr>
              <w:keepNext/>
              <w:tabs>
                <w:tab w:val="left" w:pos="0"/>
              </w:tabs>
              <w:jc w:val="center"/>
              <w:rPr>
                <w:rFonts w:eastAsia="Arial Unicode MS"/>
                <w:sz w:val="22"/>
                <w:szCs w:val="22"/>
                <w:lang w:val="en-GB"/>
              </w:rPr>
            </w:pPr>
            <w:r w:rsidRPr="009C5EFD">
              <w:rPr>
                <w:rStyle w:val="bold4"/>
                <w:rFonts w:eastAsia="Arial Unicode MS"/>
                <w:sz w:val="22"/>
                <w:szCs w:val="22"/>
                <w:lang w:val="en-GB"/>
              </w:rPr>
              <w:t>Placebo</w:t>
            </w:r>
            <w:r w:rsidRPr="009C5EFD">
              <w:rPr>
                <w:rFonts w:eastAsia="Arial Unicode MS"/>
                <w:sz w:val="22"/>
                <w:szCs w:val="22"/>
                <w:lang w:val="en-GB"/>
              </w:rPr>
              <w:br/>
            </w:r>
          </w:p>
        </w:tc>
        <w:tc>
          <w:tcPr>
            <w:tcW w:w="1014" w:type="pct"/>
            <w:tcBorders>
              <w:top w:val="single" w:sz="6" w:space="0" w:color="000000"/>
              <w:left w:val="nil"/>
              <w:bottom w:val="single" w:sz="6" w:space="0" w:color="000000"/>
              <w:right w:val="nil"/>
            </w:tcBorders>
          </w:tcPr>
          <w:p w14:paraId="2D27DEBB" w14:textId="77777777" w:rsidR="009E676E" w:rsidRPr="009C5EFD" w:rsidRDefault="00E453CD" w:rsidP="00FD5FF1">
            <w:pPr>
              <w:keepNext/>
              <w:tabs>
                <w:tab w:val="left" w:pos="0"/>
              </w:tabs>
              <w:jc w:val="center"/>
              <w:rPr>
                <w:rStyle w:val="bold4"/>
                <w:rFonts w:eastAsia="Arial Unicode MS"/>
                <w:sz w:val="22"/>
                <w:szCs w:val="22"/>
                <w:lang w:val="en-GB"/>
              </w:rPr>
            </w:pPr>
            <w:r w:rsidRPr="009C5EFD">
              <w:rPr>
                <w:rStyle w:val="bold4"/>
                <w:rFonts w:eastAsia="Arial Unicode MS"/>
                <w:sz w:val="22"/>
                <w:szCs w:val="22"/>
                <w:lang w:val="en-GB"/>
              </w:rPr>
              <w:t xml:space="preserve">Humira 40 mg </w:t>
            </w:r>
          </w:p>
          <w:p w14:paraId="6D988745" w14:textId="77777777" w:rsidR="009E676E" w:rsidRPr="009C5EFD" w:rsidRDefault="00E453CD" w:rsidP="00FD5FF1">
            <w:pPr>
              <w:keepNext/>
              <w:tabs>
                <w:tab w:val="left" w:pos="0"/>
              </w:tabs>
              <w:jc w:val="center"/>
              <w:rPr>
                <w:rFonts w:eastAsia="Arial Unicode MS"/>
                <w:sz w:val="22"/>
                <w:szCs w:val="22"/>
                <w:lang w:val="en-GB"/>
              </w:rPr>
            </w:pPr>
            <w:r w:rsidRPr="009C5EFD">
              <w:rPr>
                <w:rStyle w:val="bold4"/>
                <w:rFonts w:eastAsia="Arial Unicode MS"/>
                <w:sz w:val="22"/>
                <w:szCs w:val="22"/>
                <w:lang w:val="en-GB"/>
              </w:rPr>
              <w:t>annenhver uke</w:t>
            </w:r>
            <w:r w:rsidRPr="009C5EFD">
              <w:rPr>
                <w:rFonts w:eastAsia="Arial Unicode MS"/>
                <w:sz w:val="22"/>
                <w:szCs w:val="22"/>
                <w:lang w:val="en-GB"/>
              </w:rPr>
              <w:br/>
            </w:r>
          </w:p>
        </w:tc>
      </w:tr>
      <w:tr w:rsidR="004644D4" w14:paraId="36F70FEB" w14:textId="77777777" w:rsidTr="001C4BD6">
        <w:trPr>
          <w:jc w:val="center"/>
        </w:trPr>
        <w:tc>
          <w:tcPr>
            <w:tcW w:w="2565" w:type="pct"/>
            <w:tcBorders>
              <w:top w:val="single" w:sz="6" w:space="0" w:color="000000"/>
              <w:left w:val="nil"/>
              <w:bottom w:val="single" w:sz="6" w:space="0" w:color="000000"/>
              <w:right w:val="nil"/>
            </w:tcBorders>
          </w:tcPr>
          <w:p w14:paraId="4793094C"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Uke 52</w:t>
            </w:r>
          </w:p>
        </w:tc>
        <w:tc>
          <w:tcPr>
            <w:tcW w:w="1421" w:type="pct"/>
            <w:tcBorders>
              <w:top w:val="single" w:sz="6" w:space="0" w:color="000000"/>
              <w:left w:val="nil"/>
              <w:bottom w:val="single" w:sz="6" w:space="0" w:color="000000"/>
              <w:right w:val="nil"/>
            </w:tcBorders>
          </w:tcPr>
          <w:p w14:paraId="6ED88C43" w14:textId="77777777" w:rsidR="009E676E" w:rsidRPr="009C5EFD" w:rsidRDefault="00E453CD" w:rsidP="00FD5FF1">
            <w:pPr>
              <w:keepNext/>
              <w:tabs>
                <w:tab w:val="left" w:pos="0"/>
              </w:tabs>
              <w:jc w:val="center"/>
              <w:rPr>
                <w:rStyle w:val="bold4"/>
                <w:rFonts w:eastAsia="Arial Unicode MS"/>
                <w:sz w:val="22"/>
                <w:szCs w:val="22"/>
                <w:lang w:val="en-GB"/>
              </w:rPr>
            </w:pPr>
            <w:r w:rsidRPr="009C5EFD">
              <w:rPr>
                <w:rStyle w:val="bold4"/>
                <w:rFonts w:eastAsia="Arial Unicode MS"/>
                <w:sz w:val="22"/>
                <w:szCs w:val="22"/>
                <w:lang w:val="en-GB"/>
              </w:rPr>
              <w:t>N=246</w:t>
            </w:r>
          </w:p>
        </w:tc>
        <w:tc>
          <w:tcPr>
            <w:tcW w:w="1014" w:type="pct"/>
            <w:tcBorders>
              <w:top w:val="single" w:sz="6" w:space="0" w:color="000000"/>
              <w:left w:val="nil"/>
              <w:bottom w:val="single" w:sz="6" w:space="0" w:color="000000"/>
              <w:right w:val="nil"/>
            </w:tcBorders>
          </w:tcPr>
          <w:p w14:paraId="0489D683" w14:textId="77777777" w:rsidR="009E676E" w:rsidRPr="009C5EFD" w:rsidRDefault="00E453CD" w:rsidP="00FD5FF1">
            <w:pPr>
              <w:keepNext/>
              <w:tabs>
                <w:tab w:val="left" w:pos="0"/>
              </w:tabs>
              <w:jc w:val="center"/>
              <w:rPr>
                <w:rStyle w:val="bold4"/>
                <w:rFonts w:eastAsia="Arial Unicode MS"/>
                <w:sz w:val="22"/>
                <w:szCs w:val="22"/>
                <w:lang w:val="en-GB"/>
              </w:rPr>
            </w:pPr>
            <w:r w:rsidRPr="009C5EFD">
              <w:rPr>
                <w:rStyle w:val="bold4"/>
                <w:rFonts w:eastAsia="Arial Unicode MS"/>
                <w:sz w:val="22"/>
                <w:szCs w:val="22"/>
                <w:lang w:val="en-GB"/>
              </w:rPr>
              <w:t>N=248</w:t>
            </w:r>
          </w:p>
        </w:tc>
      </w:tr>
      <w:tr w:rsidR="004644D4" w14:paraId="54F36114" w14:textId="77777777" w:rsidTr="001C4BD6">
        <w:trPr>
          <w:jc w:val="center"/>
        </w:trPr>
        <w:tc>
          <w:tcPr>
            <w:tcW w:w="2565" w:type="pct"/>
            <w:tcBorders>
              <w:top w:val="nil"/>
              <w:left w:val="nil"/>
              <w:right w:val="nil"/>
            </w:tcBorders>
          </w:tcPr>
          <w:p w14:paraId="3F2A8A48"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 xml:space="preserve">  Klinisk respons</w:t>
            </w:r>
          </w:p>
        </w:tc>
        <w:tc>
          <w:tcPr>
            <w:tcW w:w="1421" w:type="pct"/>
            <w:tcBorders>
              <w:top w:val="nil"/>
              <w:left w:val="nil"/>
              <w:right w:val="nil"/>
            </w:tcBorders>
          </w:tcPr>
          <w:p w14:paraId="5E07B2D0"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18 % </w:t>
            </w:r>
          </w:p>
        </w:tc>
        <w:tc>
          <w:tcPr>
            <w:tcW w:w="1014" w:type="pct"/>
            <w:tcBorders>
              <w:top w:val="nil"/>
              <w:left w:val="nil"/>
              <w:right w:val="nil"/>
            </w:tcBorders>
          </w:tcPr>
          <w:p w14:paraId="6863BA6A"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30 %*</w:t>
            </w:r>
          </w:p>
        </w:tc>
      </w:tr>
      <w:tr w:rsidR="004644D4" w14:paraId="282F669C" w14:textId="77777777" w:rsidTr="001C4BD6">
        <w:trPr>
          <w:jc w:val="center"/>
        </w:trPr>
        <w:tc>
          <w:tcPr>
            <w:tcW w:w="2565" w:type="pct"/>
            <w:tcBorders>
              <w:top w:val="nil"/>
              <w:left w:val="nil"/>
              <w:right w:val="nil"/>
            </w:tcBorders>
          </w:tcPr>
          <w:p w14:paraId="17E01DAD"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 xml:space="preserve">  Klinisk remisjon</w:t>
            </w:r>
          </w:p>
        </w:tc>
        <w:tc>
          <w:tcPr>
            <w:tcW w:w="1421" w:type="pct"/>
            <w:tcBorders>
              <w:top w:val="nil"/>
              <w:left w:val="nil"/>
              <w:right w:val="nil"/>
            </w:tcBorders>
          </w:tcPr>
          <w:p w14:paraId="0BDF2E6C"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9 %</w:t>
            </w:r>
          </w:p>
        </w:tc>
        <w:tc>
          <w:tcPr>
            <w:tcW w:w="1014" w:type="pct"/>
            <w:tcBorders>
              <w:top w:val="nil"/>
              <w:left w:val="nil"/>
              <w:right w:val="nil"/>
            </w:tcBorders>
          </w:tcPr>
          <w:p w14:paraId="0C049E09"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17 %*</w:t>
            </w:r>
          </w:p>
        </w:tc>
      </w:tr>
      <w:tr w:rsidR="004644D4" w14:paraId="73D38C00" w14:textId="77777777" w:rsidTr="001C4BD6">
        <w:trPr>
          <w:jc w:val="center"/>
        </w:trPr>
        <w:tc>
          <w:tcPr>
            <w:tcW w:w="2565" w:type="pct"/>
            <w:tcBorders>
              <w:top w:val="nil"/>
              <w:left w:val="nil"/>
              <w:right w:val="nil"/>
            </w:tcBorders>
          </w:tcPr>
          <w:p w14:paraId="3D803003"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 xml:space="preserve">  Tilheling av slimhinner </w:t>
            </w:r>
          </w:p>
        </w:tc>
        <w:tc>
          <w:tcPr>
            <w:tcW w:w="1421" w:type="pct"/>
            <w:tcBorders>
              <w:top w:val="nil"/>
              <w:left w:val="nil"/>
              <w:right w:val="nil"/>
            </w:tcBorders>
          </w:tcPr>
          <w:p w14:paraId="79BEA58C"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15 %</w:t>
            </w:r>
          </w:p>
        </w:tc>
        <w:tc>
          <w:tcPr>
            <w:tcW w:w="1014" w:type="pct"/>
            <w:tcBorders>
              <w:top w:val="nil"/>
              <w:left w:val="nil"/>
              <w:right w:val="nil"/>
            </w:tcBorders>
          </w:tcPr>
          <w:p w14:paraId="21E1F07C"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25 %*</w:t>
            </w:r>
          </w:p>
        </w:tc>
      </w:tr>
      <w:tr w:rsidR="004644D4" w14:paraId="1DE65803" w14:textId="77777777" w:rsidTr="001C4BD6">
        <w:trPr>
          <w:trHeight w:val="504"/>
          <w:jc w:val="center"/>
        </w:trPr>
        <w:tc>
          <w:tcPr>
            <w:tcW w:w="2565" w:type="pct"/>
            <w:tcBorders>
              <w:top w:val="nil"/>
              <w:left w:val="nil"/>
              <w:right w:val="nil"/>
            </w:tcBorders>
          </w:tcPr>
          <w:p w14:paraId="15AEDCBB" w14:textId="77777777" w:rsidR="009E676E" w:rsidRPr="009C5EFD" w:rsidRDefault="00E453CD" w:rsidP="00FD5FF1">
            <w:pPr>
              <w:keepNext/>
              <w:tabs>
                <w:tab w:val="left" w:pos="0"/>
              </w:tabs>
              <w:rPr>
                <w:rFonts w:eastAsia="Arial Unicode MS"/>
                <w:sz w:val="22"/>
                <w:szCs w:val="22"/>
              </w:rPr>
            </w:pPr>
            <w:r w:rsidRPr="009C5EFD">
              <w:rPr>
                <w:rFonts w:eastAsia="Arial Unicode MS"/>
                <w:sz w:val="22"/>
                <w:szCs w:val="22"/>
              </w:rPr>
              <w:t xml:space="preserve">  Steroid-fri remisjon ≥ 90 dager</w:t>
            </w:r>
            <w:r w:rsidRPr="009C5EFD">
              <w:rPr>
                <w:sz w:val="22"/>
                <w:szCs w:val="22"/>
                <w:vertAlign w:val="superscript"/>
              </w:rPr>
              <w:t xml:space="preserve"> a</w:t>
            </w:r>
            <w:r w:rsidRPr="009C5EFD">
              <w:rPr>
                <w:rFonts w:eastAsia="Arial Unicode MS"/>
                <w:sz w:val="22"/>
                <w:szCs w:val="22"/>
              </w:rPr>
              <w:t xml:space="preserve"> </w:t>
            </w:r>
          </w:p>
        </w:tc>
        <w:tc>
          <w:tcPr>
            <w:tcW w:w="1421" w:type="pct"/>
            <w:tcBorders>
              <w:top w:val="nil"/>
              <w:left w:val="nil"/>
              <w:right w:val="nil"/>
            </w:tcBorders>
          </w:tcPr>
          <w:p w14:paraId="7056A7CE"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6 % </w:t>
            </w:r>
          </w:p>
          <w:p w14:paraId="47707AAE"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(N=140)</w:t>
            </w:r>
          </w:p>
        </w:tc>
        <w:tc>
          <w:tcPr>
            <w:tcW w:w="1014" w:type="pct"/>
            <w:tcBorders>
              <w:top w:val="nil"/>
              <w:left w:val="nil"/>
              <w:right w:val="nil"/>
            </w:tcBorders>
          </w:tcPr>
          <w:p w14:paraId="411F2DF7"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13 % *</w:t>
            </w:r>
          </w:p>
          <w:p w14:paraId="643344E1" w14:textId="77777777" w:rsidR="009E676E" w:rsidRPr="009C5EFD" w:rsidRDefault="00E453CD" w:rsidP="001C4BD6">
            <w:pPr>
              <w:keepNext/>
              <w:tabs>
                <w:tab w:val="left" w:pos="0"/>
              </w:tabs>
              <w:jc w:val="center"/>
              <w:rPr>
                <w:rFonts w:eastAsia="Arial Unicode MS"/>
                <w:sz w:val="22"/>
                <w:szCs w:val="22"/>
                <w:lang w:val="en-GB"/>
              </w:rPr>
            </w:pPr>
            <w:r w:rsidRPr="009C5EFD">
              <w:rPr>
                <w:rFonts w:eastAsia="Arial Unicode MS"/>
                <w:sz w:val="22"/>
                <w:szCs w:val="22"/>
                <w:lang w:val="en-GB"/>
              </w:rPr>
              <w:t>(N=150)</w:t>
            </w:r>
          </w:p>
        </w:tc>
      </w:tr>
      <w:tr w:rsidR="004644D4" w14:paraId="6A609D4C" w14:textId="77777777" w:rsidTr="001C4BD6">
        <w:trPr>
          <w:jc w:val="center"/>
        </w:trPr>
        <w:tc>
          <w:tcPr>
            <w:tcW w:w="2565" w:type="pct"/>
            <w:tcBorders>
              <w:top w:val="nil"/>
              <w:left w:val="nil"/>
              <w:right w:val="nil"/>
            </w:tcBorders>
          </w:tcPr>
          <w:p w14:paraId="28CB30A0"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Uke 8 og 52</w:t>
            </w:r>
          </w:p>
        </w:tc>
        <w:tc>
          <w:tcPr>
            <w:tcW w:w="1421" w:type="pct"/>
            <w:tcBorders>
              <w:top w:val="nil"/>
              <w:left w:val="nil"/>
              <w:right w:val="nil"/>
            </w:tcBorders>
          </w:tcPr>
          <w:p w14:paraId="1615332F" w14:textId="77777777" w:rsidR="009E676E" w:rsidRPr="009C5EFD" w:rsidRDefault="009E676E" w:rsidP="00FD5FF1">
            <w:pPr>
              <w:keepNext/>
              <w:tabs>
                <w:tab w:val="left" w:pos="0"/>
              </w:tabs>
              <w:jc w:val="center"/>
              <w:rPr>
                <w:rFonts w:eastAsia="Arial Unicode MS"/>
                <w:sz w:val="22"/>
                <w:szCs w:val="22"/>
                <w:lang w:val="en-GB"/>
              </w:rPr>
            </w:pPr>
          </w:p>
        </w:tc>
        <w:tc>
          <w:tcPr>
            <w:tcW w:w="1014" w:type="pct"/>
            <w:tcBorders>
              <w:top w:val="nil"/>
              <w:left w:val="nil"/>
              <w:right w:val="nil"/>
            </w:tcBorders>
          </w:tcPr>
          <w:p w14:paraId="4659495F" w14:textId="77777777" w:rsidR="009E676E" w:rsidRPr="009C5EFD" w:rsidRDefault="009E676E" w:rsidP="00FD5FF1">
            <w:pPr>
              <w:keepNext/>
              <w:tabs>
                <w:tab w:val="left" w:pos="0"/>
              </w:tabs>
              <w:jc w:val="center"/>
              <w:rPr>
                <w:rFonts w:eastAsia="Arial Unicode MS"/>
                <w:sz w:val="22"/>
                <w:szCs w:val="22"/>
                <w:lang w:val="en-GB"/>
              </w:rPr>
            </w:pPr>
          </w:p>
        </w:tc>
      </w:tr>
      <w:tr w:rsidR="004644D4" w14:paraId="0C4A38C6" w14:textId="77777777" w:rsidTr="001C4BD6">
        <w:trPr>
          <w:jc w:val="center"/>
        </w:trPr>
        <w:tc>
          <w:tcPr>
            <w:tcW w:w="2565" w:type="pct"/>
            <w:tcBorders>
              <w:top w:val="nil"/>
              <w:left w:val="nil"/>
              <w:right w:val="nil"/>
            </w:tcBorders>
          </w:tcPr>
          <w:p w14:paraId="177F5A02"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 xml:space="preserve">  Vedvarende respons</w:t>
            </w:r>
          </w:p>
        </w:tc>
        <w:tc>
          <w:tcPr>
            <w:tcW w:w="1421" w:type="pct"/>
            <w:tcBorders>
              <w:top w:val="nil"/>
              <w:left w:val="nil"/>
              <w:right w:val="nil"/>
            </w:tcBorders>
          </w:tcPr>
          <w:p w14:paraId="0BACB9B3"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12 %</w:t>
            </w:r>
          </w:p>
        </w:tc>
        <w:tc>
          <w:tcPr>
            <w:tcW w:w="1014" w:type="pct"/>
            <w:tcBorders>
              <w:top w:val="nil"/>
              <w:left w:val="nil"/>
              <w:right w:val="nil"/>
            </w:tcBorders>
          </w:tcPr>
          <w:p w14:paraId="7C5CB9A0"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24 %**</w:t>
            </w:r>
          </w:p>
        </w:tc>
      </w:tr>
      <w:tr w:rsidR="004644D4" w14:paraId="3CE60F0C" w14:textId="77777777" w:rsidTr="001C4BD6">
        <w:trPr>
          <w:jc w:val="center"/>
        </w:trPr>
        <w:tc>
          <w:tcPr>
            <w:tcW w:w="2565" w:type="pct"/>
            <w:tcBorders>
              <w:top w:val="nil"/>
              <w:left w:val="nil"/>
              <w:right w:val="nil"/>
            </w:tcBorders>
          </w:tcPr>
          <w:p w14:paraId="1670AAF8"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 xml:space="preserve">  Vedvarende remisjon </w:t>
            </w:r>
          </w:p>
        </w:tc>
        <w:tc>
          <w:tcPr>
            <w:tcW w:w="1421" w:type="pct"/>
            <w:tcBorders>
              <w:top w:val="nil"/>
              <w:left w:val="nil"/>
              <w:right w:val="nil"/>
            </w:tcBorders>
          </w:tcPr>
          <w:p w14:paraId="7B5BB7EB"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4 %</w:t>
            </w:r>
          </w:p>
        </w:tc>
        <w:tc>
          <w:tcPr>
            <w:tcW w:w="1014" w:type="pct"/>
            <w:tcBorders>
              <w:top w:val="nil"/>
              <w:left w:val="nil"/>
              <w:right w:val="nil"/>
            </w:tcBorders>
          </w:tcPr>
          <w:p w14:paraId="08ABABAF"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8 %*</w:t>
            </w:r>
          </w:p>
        </w:tc>
      </w:tr>
      <w:tr w:rsidR="004644D4" w14:paraId="303F0712" w14:textId="77777777" w:rsidTr="001C4BD6">
        <w:trPr>
          <w:jc w:val="center"/>
        </w:trPr>
        <w:tc>
          <w:tcPr>
            <w:tcW w:w="2565" w:type="pct"/>
            <w:tcBorders>
              <w:top w:val="nil"/>
              <w:left w:val="nil"/>
              <w:bottom w:val="single" w:sz="6" w:space="0" w:color="000000"/>
              <w:right w:val="nil"/>
            </w:tcBorders>
          </w:tcPr>
          <w:p w14:paraId="60DC1B38" w14:textId="77777777" w:rsidR="009E676E" w:rsidRPr="009C5EFD" w:rsidRDefault="00E453CD" w:rsidP="00FD5FF1">
            <w:pPr>
              <w:keepNext/>
              <w:tabs>
                <w:tab w:val="left" w:pos="0"/>
              </w:tabs>
              <w:rPr>
                <w:rFonts w:eastAsia="Arial Unicode MS"/>
                <w:sz w:val="22"/>
                <w:szCs w:val="22"/>
                <w:lang w:val="en-GB"/>
              </w:rPr>
            </w:pPr>
            <w:r w:rsidRPr="009C5EFD">
              <w:rPr>
                <w:rFonts w:eastAsia="Arial Unicode MS"/>
                <w:sz w:val="22"/>
                <w:szCs w:val="22"/>
                <w:lang w:val="en-GB"/>
              </w:rPr>
              <w:t xml:space="preserve">  Vedvarende tilheling av slimhinner </w:t>
            </w:r>
          </w:p>
        </w:tc>
        <w:tc>
          <w:tcPr>
            <w:tcW w:w="1421" w:type="pct"/>
            <w:tcBorders>
              <w:top w:val="nil"/>
              <w:left w:val="nil"/>
              <w:bottom w:val="single" w:sz="6" w:space="0" w:color="000000"/>
              <w:right w:val="nil"/>
            </w:tcBorders>
          </w:tcPr>
          <w:p w14:paraId="770D27B4"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11 %</w:t>
            </w:r>
          </w:p>
        </w:tc>
        <w:tc>
          <w:tcPr>
            <w:tcW w:w="1014" w:type="pct"/>
            <w:tcBorders>
              <w:top w:val="nil"/>
              <w:left w:val="nil"/>
              <w:bottom w:val="single" w:sz="6" w:space="0" w:color="000000"/>
              <w:right w:val="nil"/>
            </w:tcBorders>
          </w:tcPr>
          <w:p w14:paraId="4EB927F7" w14:textId="77777777" w:rsidR="009E676E" w:rsidRPr="009C5EFD" w:rsidRDefault="00E453CD" w:rsidP="00FD5FF1">
            <w:pPr>
              <w:keepNext/>
              <w:tabs>
                <w:tab w:val="left" w:pos="0"/>
              </w:tabs>
              <w:jc w:val="center"/>
              <w:rPr>
                <w:rFonts w:eastAsia="Arial Unicode MS"/>
                <w:sz w:val="22"/>
                <w:szCs w:val="22"/>
                <w:lang w:val="en-GB"/>
              </w:rPr>
            </w:pPr>
            <w:r w:rsidRPr="009C5EFD">
              <w:rPr>
                <w:rFonts w:eastAsia="Arial Unicode MS"/>
                <w:sz w:val="22"/>
                <w:szCs w:val="22"/>
                <w:lang w:val="en-GB"/>
              </w:rPr>
              <w:t xml:space="preserve">  19 %*</w:t>
            </w:r>
          </w:p>
        </w:tc>
      </w:tr>
      <w:tr w:rsidR="004644D4" w14:paraId="4A78CB9E" w14:textId="77777777" w:rsidTr="001C4BD6">
        <w:trPr>
          <w:trHeight w:val="1327"/>
          <w:jc w:val="center"/>
        </w:trPr>
        <w:tc>
          <w:tcPr>
            <w:tcW w:w="5000" w:type="pct"/>
            <w:gridSpan w:val="3"/>
            <w:tcBorders>
              <w:top w:val="nil"/>
              <w:left w:val="nil"/>
              <w:bottom w:val="nil"/>
              <w:right w:val="nil"/>
            </w:tcBorders>
          </w:tcPr>
          <w:p w14:paraId="7CFF1D4B" w14:textId="77777777" w:rsidR="009E676E" w:rsidRPr="009C5EFD" w:rsidRDefault="00E453CD" w:rsidP="00AF70AD">
            <w:pPr>
              <w:keepNext/>
              <w:tabs>
                <w:tab w:val="left" w:pos="0"/>
              </w:tabs>
              <w:spacing w:line="264" w:lineRule="atLeast"/>
              <w:rPr>
                <w:rFonts w:eastAsia="Arial Unicode MS"/>
                <w:sz w:val="22"/>
                <w:szCs w:val="22"/>
              </w:rPr>
            </w:pPr>
            <w:r w:rsidRPr="009C5EFD">
              <w:rPr>
                <w:rFonts w:eastAsia="Arial Unicode MS"/>
                <w:sz w:val="22"/>
                <w:szCs w:val="22"/>
              </w:rPr>
              <w:t>Klinisk remisjon er Mayo score ≤ 2 med ingen subscore &gt; 1;</w:t>
            </w:r>
          </w:p>
          <w:p w14:paraId="6213CBB1" w14:textId="77777777" w:rsidR="009E676E" w:rsidRPr="009C5EFD" w:rsidRDefault="00E453CD" w:rsidP="00AF70AD">
            <w:pPr>
              <w:keepNext/>
              <w:tabs>
                <w:tab w:val="left" w:pos="0"/>
              </w:tabs>
              <w:spacing w:line="264" w:lineRule="atLeast"/>
              <w:rPr>
                <w:rStyle w:val="sup1"/>
                <w:rFonts w:eastAsia="Arial Unicode MS"/>
                <w:sz w:val="22"/>
                <w:szCs w:val="22"/>
              </w:rPr>
            </w:pPr>
            <w:r w:rsidRPr="009C5EFD">
              <w:rPr>
                <w:rStyle w:val="sup1"/>
                <w:rFonts w:eastAsia="Arial Unicode MS"/>
                <w:sz w:val="22"/>
                <w:szCs w:val="22"/>
              </w:rPr>
              <w:t>Klinisk respons er reduksjon fra baseline i Mayo score ≥ 3 poeng og ≥ 30 % pluss en reduksjon i rektal blødning subscore [RMS] ≥ 1 eller en absolutt RBS på 0 eller 1;</w:t>
            </w:r>
          </w:p>
          <w:p w14:paraId="2C7A3279" w14:textId="77777777" w:rsidR="009E676E" w:rsidRPr="009C5EFD" w:rsidRDefault="00E453CD" w:rsidP="00AF70AD">
            <w:pPr>
              <w:keepNext/>
              <w:tabs>
                <w:tab w:val="left" w:pos="0"/>
              </w:tabs>
              <w:spacing w:line="264" w:lineRule="atLeast"/>
              <w:rPr>
                <w:rFonts w:eastAsia="Arial Unicode MS"/>
                <w:sz w:val="22"/>
                <w:szCs w:val="22"/>
              </w:rPr>
            </w:pPr>
            <w:r w:rsidRPr="00A15CB1">
              <w:rPr>
                <w:rStyle w:val="sup1"/>
                <w:rFonts w:eastAsia="Arial Unicode MS"/>
                <w:sz w:val="22"/>
                <w:szCs w:val="22"/>
              </w:rPr>
              <w:t>*</w:t>
            </w:r>
            <w:r w:rsidRPr="009C5EFD">
              <w:rPr>
                <w:rFonts w:eastAsia="Arial Unicode MS"/>
                <w:sz w:val="22"/>
                <w:szCs w:val="22"/>
              </w:rPr>
              <w:t xml:space="preserve">p &lt; 0,05 for Humira </w:t>
            </w:r>
            <w:r w:rsidRPr="009C5EFD">
              <w:rPr>
                <w:rStyle w:val="italics5"/>
                <w:rFonts w:eastAsia="Arial Unicode MS"/>
                <w:i w:val="0"/>
                <w:sz w:val="22"/>
                <w:szCs w:val="22"/>
              </w:rPr>
              <w:t>vs</w:t>
            </w:r>
            <w:r w:rsidRPr="009C5EFD">
              <w:rPr>
                <w:rStyle w:val="italics5"/>
                <w:rFonts w:eastAsia="Arial Unicode MS"/>
                <w:sz w:val="22"/>
                <w:szCs w:val="22"/>
              </w:rPr>
              <w:t>.</w:t>
            </w:r>
            <w:r w:rsidRPr="009C5EFD">
              <w:rPr>
                <w:rFonts w:eastAsia="Arial Unicode MS"/>
                <w:sz w:val="22"/>
                <w:szCs w:val="22"/>
              </w:rPr>
              <w:t xml:space="preserve"> placebo, parvis sammenligning av proporsjoner </w:t>
            </w:r>
          </w:p>
          <w:p w14:paraId="66EF1862" w14:textId="77777777" w:rsidR="009E676E" w:rsidRPr="009C5EFD" w:rsidRDefault="00E453CD" w:rsidP="00AF70AD">
            <w:pPr>
              <w:keepNext/>
              <w:tabs>
                <w:tab w:val="left" w:pos="0"/>
              </w:tabs>
              <w:spacing w:line="264" w:lineRule="atLeast"/>
              <w:rPr>
                <w:rFonts w:eastAsia="Arial Unicode MS"/>
                <w:sz w:val="22"/>
                <w:szCs w:val="22"/>
              </w:rPr>
            </w:pPr>
            <w:r w:rsidRPr="009C5EFD">
              <w:rPr>
                <w:rFonts w:eastAsia="Arial Unicode MS"/>
                <w:sz w:val="22"/>
                <w:szCs w:val="22"/>
              </w:rPr>
              <w:t>**p &lt; 0,001 for Humira vs</w:t>
            </w:r>
            <w:r w:rsidRPr="009C5EFD">
              <w:rPr>
                <w:rFonts w:eastAsia="Arial Unicode MS"/>
                <w:i/>
                <w:sz w:val="22"/>
                <w:szCs w:val="22"/>
              </w:rPr>
              <w:t>.</w:t>
            </w:r>
            <w:r w:rsidRPr="009C5EFD">
              <w:rPr>
                <w:rFonts w:eastAsia="Arial Unicode MS"/>
                <w:sz w:val="22"/>
                <w:szCs w:val="22"/>
              </w:rPr>
              <w:t xml:space="preserve"> placebo, parvis sammenligning av proporsjoner</w:t>
            </w:r>
          </w:p>
          <w:p w14:paraId="7D874BED" w14:textId="77777777" w:rsidR="009E676E" w:rsidRPr="009C5EFD" w:rsidRDefault="00E453CD" w:rsidP="00AF70AD">
            <w:pPr>
              <w:keepNext/>
              <w:tabs>
                <w:tab w:val="left" w:pos="0"/>
              </w:tabs>
              <w:spacing w:line="264" w:lineRule="atLeast"/>
              <w:rPr>
                <w:rFonts w:eastAsia="Arial Unicode MS"/>
                <w:b/>
                <w:sz w:val="22"/>
                <w:szCs w:val="22"/>
              </w:rPr>
            </w:pPr>
            <w:r w:rsidRPr="009C5EFD">
              <w:rPr>
                <w:sz w:val="22"/>
                <w:szCs w:val="22"/>
                <w:vertAlign w:val="superscript"/>
              </w:rPr>
              <w:t xml:space="preserve">a </w:t>
            </w:r>
            <w:r w:rsidRPr="009C5EFD">
              <w:rPr>
                <w:sz w:val="22"/>
                <w:szCs w:val="22"/>
              </w:rPr>
              <w:t>Av de som mottar kortikosteroider ved baseline</w:t>
            </w:r>
          </w:p>
        </w:tc>
      </w:tr>
    </w:tbl>
    <w:p w14:paraId="17284471" w14:textId="77777777" w:rsidR="009E676E" w:rsidRPr="009C5EFD" w:rsidRDefault="009E676E" w:rsidP="00776A84">
      <w:pPr>
        <w:suppressAutoHyphens/>
        <w:rPr>
          <w:b/>
          <w:szCs w:val="22"/>
        </w:rPr>
      </w:pPr>
    </w:p>
    <w:p w14:paraId="7ED666EF" w14:textId="77777777" w:rsidR="009E676E" w:rsidRPr="009C5EFD" w:rsidRDefault="00E453CD" w:rsidP="009E676E">
      <w:pPr>
        <w:suppressAutoHyphens/>
        <w:rPr>
          <w:sz w:val="22"/>
          <w:szCs w:val="22"/>
        </w:rPr>
      </w:pPr>
      <w:r w:rsidRPr="009C5EFD">
        <w:rPr>
          <w:sz w:val="22"/>
          <w:szCs w:val="22"/>
        </w:rPr>
        <w:t>Av de pasientene som hadde en respons i uke 8, oppnådde 47 % respons, 29 % var i remisjon, 41 % hadde tilheling av slimhinner, og 20 % var i steroidfri remisjon i ≥ 90 dager ved uke 52.</w:t>
      </w:r>
    </w:p>
    <w:p w14:paraId="0237CE66" w14:textId="77777777" w:rsidR="009E676E" w:rsidRPr="009C5EFD" w:rsidRDefault="009E676E" w:rsidP="009E676E">
      <w:pPr>
        <w:suppressAutoHyphens/>
        <w:rPr>
          <w:sz w:val="22"/>
          <w:szCs w:val="22"/>
        </w:rPr>
      </w:pPr>
    </w:p>
    <w:p w14:paraId="31F5BE00" w14:textId="77777777" w:rsidR="009E676E" w:rsidRPr="009C5EFD" w:rsidRDefault="00E453CD" w:rsidP="009E676E">
      <w:pPr>
        <w:suppressAutoHyphens/>
        <w:rPr>
          <w:sz w:val="22"/>
          <w:szCs w:val="22"/>
        </w:rPr>
      </w:pPr>
      <w:r w:rsidRPr="009C5EFD">
        <w:rPr>
          <w:sz w:val="22"/>
          <w:szCs w:val="22"/>
        </w:rPr>
        <w:t>Omtrent 40 % av pasientene i studien UC-II hadde tidligere vært behandlet med TNF-antagonisten infliksimab uten tilfredsstillende effekt. Effekten av adalimumab hos disse pasientene ble redusert sammenlignet med det hos anti-TNF-naive pasienter. Blant pasienter som hadde mislyktes tidligere anti-TNF behandling, ble remisjon ved uke 52 oppnådd av 3 % på placebo og 10 % på adalimumab.</w:t>
      </w:r>
    </w:p>
    <w:p w14:paraId="3B86E084" w14:textId="77777777" w:rsidR="009E676E" w:rsidRPr="009C5EFD" w:rsidRDefault="009E676E" w:rsidP="009E676E">
      <w:pPr>
        <w:suppressAutoHyphens/>
        <w:rPr>
          <w:sz w:val="22"/>
          <w:szCs w:val="22"/>
        </w:rPr>
      </w:pPr>
    </w:p>
    <w:p w14:paraId="4060029E" w14:textId="77777777" w:rsidR="009E676E" w:rsidRPr="009C5EFD" w:rsidRDefault="00E453CD" w:rsidP="009E676E">
      <w:pPr>
        <w:suppressAutoHyphens/>
        <w:rPr>
          <w:sz w:val="22"/>
          <w:szCs w:val="22"/>
        </w:rPr>
      </w:pPr>
      <w:r w:rsidRPr="009C5EFD">
        <w:rPr>
          <w:sz w:val="22"/>
          <w:szCs w:val="22"/>
        </w:rPr>
        <w:t>Pasienter fra studiene UC-I og UC-II hadde muligheten til å gå over i en åpen langsiktig forlengelsesstudie (UC-III). Etter 3 års behandling med adalimumab, fortsatte 75 % (301/402) å være i klinisk remisjon per partiell Mayo score.</w:t>
      </w:r>
    </w:p>
    <w:p w14:paraId="3E5138FF" w14:textId="77777777" w:rsidR="009E676E" w:rsidRPr="009C5EFD" w:rsidRDefault="009E676E" w:rsidP="009E676E">
      <w:pPr>
        <w:pStyle w:val="Heading8"/>
        <w:keepNext w:val="0"/>
        <w:rPr>
          <w:szCs w:val="22"/>
        </w:rPr>
      </w:pPr>
    </w:p>
    <w:p w14:paraId="4D04610F" w14:textId="77777777" w:rsidR="009E676E" w:rsidRPr="001F5D4B" w:rsidRDefault="00E453CD" w:rsidP="00776A84">
      <w:pPr>
        <w:keepNext/>
        <w:rPr>
          <w:sz w:val="22"/>
          <w:szCs w:val="22"/>
          <w:u w:val="single"/>
        </w:rPr>
      </w:pPr>
      <w:r w:rsidRPr="001F5D4B">
        <w:rPr>
          <w:i/>
          <w:sz w:val="22"/>
          <w:szCs w:val="22"/>
          <w:u w:val="single"/>
        </w:rPr>
        <w:t>Forekomst av sykehusinnleggelser</w:t>
      </w:r>
    </w:p>
    <w:p w14:paraId="3C0C4ECC" w14:textId="77777777" w:rsidR="009E676E" w:rsidRPr="007F67EE" w:rsidRDefault="009E676E" w:rsidP="00776A84">
      <w:pPr>
        <w:keepNext/>
        <w:rPr>
          <w:sz w:val="22"/>
          <w:szCs w:val="22"/>
        </w:rPr>
      </w:pPr>
    </w:p>
    <w:p w14:paraId="3F37B37D" w14:textId="77777777" w:rsidR="009E676E" w:rsidRPr="009C5EFD" w:rsidRDefault="00E453CD" w:rsidP="009E676E">
      <w:pPr>
        <w:rPr>
          <w:sz w:val="22"/>
          <w:szCs w:val="22"/>
        </w:rPr>
      </w:pPr>
      <w:r w:rsidRPr="00193D76">
        <w:rPr>
          <w:sz w:val="22"/>
          <w:szCs w:val="22"/>
        </w:rPr>
        <w:t>I løpet av</w:t>
      </w:r>
      <w:r w:rsidRPr="002D0790">
        <w:rPr>
          <w:sz w:val="22"/>
          <w:szCs w:val="22"/>
        </w:rPr>
        <w:t xml:space="preserve"> 52 uker</w:t>
      </w:r>
      <w:r w:rsidRPr="00E14E58">
        <w:rPr>
          <w:sz w:val="22"/>
          <w:szCs w:val="22"/>
        </w:rPr>
        <w:t xml:space="preserve"> </w:t>
      </w:r>
      <w:r w:rsidRPr="009C5EFD">
        <w:rPr>
          <w:sz w:val="22"/>
          <w:szCs w:val="22"/>
        </w:rPr>
        <w:t xml:space="preserve">i studiene UC-I og UC-II, ble det observert lavere forekomst av sykehusinnleggelser uansett årsak og UC-relaterte sykehusinnleggelser for behandlingsgruppen som fikk adalimumab sammenlignet med placebogruppen. Antall sykehusinnleggelser uansett årsak i adalimumabgruppen var 0,18 per pasientår </w:t>
      </w:r>
      <w:r w:rsidRPr="009C5EFD">
        <w:rPr>
          <w:i/>
          <w:sz w:val="22"/>
          <w:szCs w:val="22"/>
        </w:rPr>
        <w:t>vs</w:t>
      </w:r>
      <w:r w:rsidRPr="009C5EFD">
        <w:rPr>
          <w:sz w:val="22"/>
          <w:szCs w:val="22"/>
        </w:rPr>
        <w:t xml:space="preserve">. 0,26 per pasientår i placebogruppen og tilsvarende utfall for UC-relaterte sykehusinnleggelser var 0,12 per pasientår </w:t>
      </w:r>
      <w:r w:rsidRPr="009C5EFD">
        <w:rPr>
          <w:i/>
          <w:sz w:val="22"/>
          <w:szCs w:val="22"/>
        </w:rPr>
        <w:t>vs</w:t>
      </w:r>
      <w:r w:rsidRPr="009C5EFD">
        <w:rPr>
          <w:sz w:val="22"/>
          <w:szCs w:val="22"/>
        </w:rPr>
        <w:t>. 0,22 per pasientår.</w:t>
      </w:r>
    </w:p>
    <w:p w14:paraId="56ED91E8" w14:textId="77777777" w:rsidR="009E676E" w:rsidRPr="009C5EFD" w:rsidRDefault="009E676E" w:rsidP="009E676E">
      <w:pPr>
        <w:rPr>
          <w:sz w:val="22"/>
          <w:szCs w:val="22"/>
        </w:rPr>
      </w:pPr>
    </w:p>
    <w:p w14:paraId="730366C4" w14:textId="77777777" w:rsidR="009E676E" w:rsidRPr="001F5D4B" w:rsidRDefault="00E453CD" w:rsidP="009E676E">
      <w:pPr>
        <w:keepNext/>
        <w:rPr>
          <w:i/>
          <w:sz w:val="22"/>
          <w:szCs w:val="22"/>
          <w:u w:val="single"/>
        </w:rPr>
      </w:pPr>
      <w:r w:rsidRPr="001F5D4B">
        <w:rPr>
          <w:i/>
          <w:sz w:val="22"/>
          <w:szCs w:val="22"/>
          <w:u w:val="single"/>
        </w:rPr>
        <w:lastRenderedPageBreak/>
        <w:t>Livskvalitet</w:t>
      </w:r>
    </w:p>
    <w:p w14:paraId="648A6636" w14:textId="77777777" w:rsidR="009E676E" w:rsidRPr="007F67EE" w:rsidRDefault="009E676E" w:rsidP="009E676E">
      <w:pPr>
        <w:keepNext/>
        <w:rPr>
          <w:sz w:val="22"/>
          <w:szCs w:val="22"/>
        </w:rPr>
      </w:pPr>
    </w:p>
    <w:p w14:paraId="2C800CF2" w14:textId="77777777" w:rsidR="009E676E" w:rsidRDefault="00E453CD" w:rsidP="009E676E">
      <w:pPr>
        <w:rPr>
          <w:sz w:val="22"/>
          <w:szCs w:val="22"/>
        </w:rPr>
      </w:pPr>
      <w:r w:rsidRPr="00193D76">
        <w:rPr>
          <w:sz w:val="22"/>
          <w:szCs w:val="22"/>
        </w:rPr>
        <w:t>Behandling med adalimumab, i studien UC-II, førte til forbedring i IBDQ (</w:t>
      </w:r>
      <w:r w:rsidRPr="002D0790">
        <w:rPr>
          <w:sz w:val="22"/>
          <w:szCs w:val="22"/>
        </w:rPr>
        <w:t>Inflammatory Bowel Disease Questionnaire) score.</w:t>
      </w:r>
    </w:p>
    <w:p w14:paraId="477D65E6" w14:textId="77777777" w:rsidR="009E676E" w:rsidRDefault="009E676E" w:rsidP="009E676E">
      <w:pPr>
        <w:rPr>
          <w:sz w:val="22"/>
          <w:szCs w:val="22"/>
        </w:rPr>
      </w:pPr>
    </w:p>
    <w:p w14:paraId="30BAF50F" w14:textId="77777777" w:rsidR="009E676E" w:rsidRPr="00F05EB5" w:rsidRDefault="00E453CD" w:rsidP="009E676E">
      <w:pPr>
        <w:pStyle w:val="EMEANormal"/>
        <w:keepNext/>
        <w:rPr>
          <w:bCs/>
          <w:i/>
          <w:szCs w:val="22"/>
          <w:lang w:val="nb-NO"/>
        </w:rPr>
      </w:pPr>
      <w:r w:rsidRPr="00F05EB5">
        <w:rPr>
          <w:bCs/>
          <w:i/>
          <w:szCs w:val="22"/>
          <w:lang w:val="nb-NO"/>
        </w:rPr>
        <w:t>Uveitt</w:t>
      </w:r>
    </w:p>
    <w:p w14:paraId="0F580563" w14:textId="77777777" w:rsidR="009E676E" w:rsidRPr="00F05EB5" w:rsidRDefault="009E676E" w:rsidP="009E676E">
      <w:pPr>
        <w:pStyle w:val="EMEANormal"/>
        <w:keepNext/>
        <w:rPr>
          <w:bCs/>
          <w:szCs w:val="22"/>
          <w:lang w:val="nb-NO"/>
        </w:rPr>
      </w:pPr>
    </w:p>
    <w:p w14:paraId="3ED35EA3" w14:textId="77777777" w:rsidR="009E676E" w:rsidRPr="00F05EB5" w:rsidRDefault="00E453CD" w:rsidP="009E676E">
      <w:pPr>
        <w:pStyle w:val="EMEANormal"/>
        <w:rPr>
          <w:szCs w:val="22"/>
          <w:lang w:val="nb-NO"/>
        </w:rPr>
      </w:pPr>
      <w:r w:rsidRPr="00F05EB5">
        <w:rPr>
          <w:szCs w:val="22"/>
          <w:lang w:val="nb-NO"/>
        </w:rPr>
        <w:t>I</w:t>
      </w:r>
      <w:r w:rsidRPr="00B33BB5">
        <w:rPr>
          <w:szCs w:val="22"/>
          <w:lang w:val="nb-NO"/>
        </w:rPr>
        <w:t xml:space="preserve"> t</w:t>
      </w:r>
      <w:r w:rsidRPr="00E06CB6">
        <w:rPr>
          <w:szCs w:val="22"/>
          <w:lang w:val="nb-NO"/>
        </w:rPr>
        <w:t>o randomise</w:t>
      </w:r>
      <w:r>
        <w:rPr>
          <w:szCs w:val="22"/>
          <w:lang w:val="nb-NO"/>
        </w:rPr>
        <w:t>rte</w:t>
      </w:r>
      <w:r w:rsidRPr="00B33BB5">
        <w:rPr>
          <w:szCs w:val="22"/>
          <w:lang w:val="nb-NO"/>
        </w:rPr>
        <w:t xml:space="preserve">, </w:t>
      </w:r>
      <w:r>
        <w:rPr>
          <w:szCs w:val="22"/>
          <w:lang w:val="nb-NO"/>
        </w:rPr>
        <w:t>dobbeltblinde</w:t>
      </w:r>
      <w:r w:rsidRPr="00B33BB5">
        <w:rPr>
          <w:szCs w:val="22"/>
          <w:lang w:val="nb-NO"/>
        </w:rPr>
        <w:t>, placebo</w:t>
      </w:r>
      <w:r>
        <w:rPr>
          <w:szCs w:val="22"/>
          <w:lang w:val="nb-NO"/>
        </w:rPr>
        <w:t>kontrollerte</w:t>
      </w:r>
      <w:r w:rsidRPr="00B33BB5">
        <w:rPr>
          <w:szCs w:val="22"/>
          <w:lang w:val="nb-NO"/>
        </w:rPr>
        <w:t xml:space="preserve"> studie</w:t>
      </w:r>
      <w:r>
        <w:rPr>
          <w:szCs w:val="22"/>
          <w:lang w:val="nb-NO"/>
        </w:rPr>
        <w:t>r</w:t>
      </w:r>
      <w:r w:rsidRPr="00B33BB5">
        <w:rPr>
          <w:szCs w:val="22"/>
          <w:lang w:val="nb-NO"/>
        </w:rPr>
        <w:t xml:space="preserve"> (UV I </w:t>
      </w:r>
      <w:r>
        <w:rPr>
          <w:szCs w:val="22"/>
          <w:lang w:val="nb-NO"/>
        </w:rPr>
        <w:t>og</w:t>
      </w:r>
      <w:r w:rsidRPr="00B33BB5">
        <w:rPr>
          <w:szCs w:val="22"/>
          <w:lang w:val="nb-NO"/>
        </w:rPr>
        <w:t xml:space="preserve"> II)</w:t>
      </w:r>
      <w:r>
        <w:rPr>
          <w:szCs w:val="22"/>
          <w:lang w:val="nb-NO"/>
        </w:rPr>
        <w:t xml:space="preserve"> ble s</w:t>
      </w:r>
      <w:r w:rsidRPr="00F05EB5">
        <w:rPr>
          <w:szCs w:val="22"/>
          <w:lang w:val="nb-NO"/>
        </w:rPr>
        <w:t xml:space="preserve">ikkerhet og effekt av Humira vurdert hos voksne pasienter med ikke-infeksiøs intermediær, posterior </w:t>
      </w:r>
      <w:r>
        <w:rPr>
          <w:szCs w:val="22"/>
          <w:lang w:val="nb-NO"/>
        </w:rPr>
        <w:t>og</w:t>
      </w:r>
      <w:r w:rsidRPr="00E06CB6">
        <w:rPr>
          <w:szCs w:val="22"/>
          <w:lang w:val="nb-NO"/>
        </w:rPr>
        <w:t xml:space="preserve"> panuvei</w:t>
      </w:r>
      <w:r>
        <w:rPr>
          <w:szCs w:val="22"/>
          <w:lang w:val="nb-NO"/>
        </w:rPr>
        <w:t>tt</w:t>
      </w:r>
      <w:r w:rsidRPr="00F05EB5">
        <w:rPr>
          <w:szCs w:val="22"/>
          <w:lang w:val="nb-NO"/>
        </w:rPr>
        <w:t xml:space="preserve">, </w:t>
      </w:r>
      <w:r>
        <w:rPr>
          <w:szCs w:val="22"/>
          <w:lang w:val="nb-NO"/>
        </w:rPr>
        <w:t>med unntak av pasienter med isolert</w:t>
      </w:r>
      <w:r w:rsidRPr="00E06CB6">
        <w:rPr>
          <w:szCs w:val="22"/>
          <w:lang w:val="nb-NO"/>
        </w:rPr>
        <w:t xml:space="preserve"> anterior uvei</w:t>
      </w:r>
      <w:r>
        <w:rPr>
          <w:szCs w:val="22"/>
          <w:lang w:val="nb-NO"/>
        </w:rPr>
        <w:t>tt</w:t>
      </w:r>
      <w:r w:rsidRPr="00F05EB5">
        <w:rPr>
          <w:szCs w:val="22"/>
          <w:lang w:val="nb-NO"/>
        </w:rPr>
        <w:t>. Pasienter fikk placebo eller Humira med en oppstartsdose på 80 mg</w:t>
      </w:r>
      <w:r>
        <w:rPr>
          <w:szCs w:val="22"/>
          <w:lang w:val="nb-NO"/>
        </w:rPr>
        <w:t>,</w:t>
      </w:r>
      <w:r w:rsidRPr="00F05EB5">
        <w:rPr>
          <w:szCs w:val="22"/>
          <w:lang w:val="nb-NO"/>
        </w:rPr>
        <w:t xml:space="preserve"> etterfulgt av 40 mg </w:t>
      </w:r>
      <w:r>
        <w:rPr>
          <w:szCs w:val="22"/>
          <w:lang w:val="nb-NO"/>
        </w:rPr>
        <w:t>annenhver uke med start én uke etter oppstartsdosen</w:t>
      </w:r>
      <w:r w:rsidRPr="00F05EB5">
        <w:rPr>
          <w:szCs w:val="22"/>
          <w:lang w:val="nb-NO"/>
        </w:rPr>
        <w:t xml:space="preserve">. Samtidig </w:t>
      </w:r>
      <w:r>
        <w:rPr>
          <w:szCs w:val="22"/>
          <w:lang w:val="nb-NO"/>
        </w:rPr>
        <w:t>behandling med</w:t>
      </w:r>
      <w:r w:rsidRPr="00AE151F">
        <w:rPr>
          <w:szCs w:val="22"/>
          <w:lang w:val="nb-NO"/>
        </w:rPr>
        <w:t xml:space="preserve"> stabile doser av e</w:t>
      </w:r>
      <w:r>
        <w:rPr>
          <w:szCs w:val="22"/>
          <w:lang w:val="nb-NO"/>
        </w:rPr>
        <w:t>tt</w:t>
      </w:r>
      <w:r w:rsidRPr="00F05EB5">
        <w:rPr>
          <w:szCs w:val="22"/>
          <w:lang w:val="nb-NO"/>
        </w:rPr>
        <w:t xml:space="preserve"> ikke-biologisk </w:t>
      </w:r>
      <w:r>
        <w:rPr>
          <w:szCs w:val="22"/>
          <w:lang w:val="nb-NO"/>
        </w:rPr>
        <w:t>immun</w:t>
      </w:r>
      <w:r w:rsidRPr="00AE151F">
        <w:rPr>
          <w:szCs w:val="22"/>
          <w:lang w:val="nb-NO"/>
        </w:rPr>
        <w:t>suppressivt legemiddel</w:t>
      </w:r>
      <w:r>
        <w:rPr>
          <w:szCs w:val="22"/>
          <w:lang w:val="nb-NO"/>
        </w:rPr>
        <w:t xml:space="preserve"> var tillatt</w:t>
      </w:r>
      <w:r w:rsidRPr="00F05EB5">
        <w:rPr>
          <w:szCs w:val="22"/>
          <w:lang w:val="nb-NO"/>
        </w:rPr>
        <w:t xml:space="preserve">. </w:t>
      </w:r>
    </w:p>
    <w:p w14:paraId="4DE26B7B" w14:textId="77777777" w:rsidR="009E676E" w:rsidRPr="00F05EB5" w:rsidRDefault="009E676E" w:rsidP="009E676E">
      <w:pPr>
        <w:pStyle w:val="EMEANormal"/>
        <w:rPr>
          <w:szCs w:val="22"/>
          <w:lang w:val="nb-NO"/>
        </w:rPr>
      </w:pPr>
    </w:p>
    <w:p w14:paraId="0242267A" w14:textId="77777777" w:rsidR="009E676E" w:rsidRPr="00F05EB5" w:rsidRDefault="00E453CD" w:rsidP="009E676E">
      <w:pPr>
        <w:pStyle w:val="EMEANormal"/>
        <w:rPr>
          <w:szCs w:val="22"/>
          <w:lang w:val="nb-NO"/>
        </w:rPr>
      </w:pPr>
      <w:r w:rsidRPr="00F05EB5">
        <w:rPr>
          <w:szCs w:val="22"/>
          <w:lang w:val="nb-NO"/>
        </w:rPr>
        <w:t xml:space="preserve">Studie UV I undersøkte 217 pasienter med </w:t>
      </w:r>
      <w:r>
        <w:rPr>
          <w:szCs w:val="22"/>
          <w:lang w:val="nb-NO"/>
        </w:rPr>
        <w:t>aktiv uveitt</w:t>
      </w:r>
      <w:r w:rsidRPr="00F05EB5">
        <w:rPr>
          <w:szCs w:val="22"/>
          <w:lang w:val="nb-NO"/>
        </w:rPr>
        <w:t xml:space="preserve"> </w:t>
      </w:r>
      <w:r>
        <w:rPr>
          <w:szCs w:val="22"/>
          <w:lang w:val="nb-NO"/>
        </w:rPr>
        <w:t>til tross for behandling med kortikosteroider</w:t>
      </w:r>
      <w:r w:rsidRPr="00AE151F">
        <w:rPr>
          <w:szCs w:val="22"/>
          <w:lang w:val="nb-NO"/>
        </w:rPr>
        <w:t xml:space="preserve"> (oral prednison</w:t>
      </w:r>
      <w:r w:rsidRPr="00F05EB5">
        <w:rPr>
          <w:szCs w:val="22"/>
          <w:lang w:val="nb-NO"/>
        </w:rPr>
        <w:t xml:space="preserve"> </w:t>
      </w:r>
      <w:r>
        <w:rPr>
          <w:szCs w:val="22"/>
          <w:lang w:val="nb-NO"/>
        </w:rPr>
        <w:t>i en</w:t>
      </w:r>
      <w:r w:rsidRPr="00F05EB5">
        <w:rPr>
          <w:szCs w:val="22"/>
          <w:lang w:val="nb-NO"/>
        </w:rPr>
        <w:t xml:space="preserve"> dose </w:t>
      </w:r>
      <w:r>
        <w:rPr>
          <w:szCs w:val="22"/>
          <w:lang w:val="nb-NO"/>
        </w:rPr>
        <w:t>på</w:t>
      </w:r>
      <w:r w:rsidRPr="00F05EB5">
        <w:rPr>
          <w:szCs w:val="22"/>
          <w:lang w:val="nb-NO"/>
        </w:rPr>
        <w:t xml:space="preserve"> 10</w:t>
      </w:r>
      <w:r>
        <w:rPr>
          <w:szCs w:val="22"/>
          <w:lang w:val="nb-NO"/>
        </w:rPr>
        <w:t>-</w:t>
      </w:r>
      <w:r w:rsidRPr="00AE151F">
        <w:rPr>
          <w:szCs w:val="22"/>
          <w:lang w:val="nb-NO"/>
        </w:rPr>
        <w:t>60 mg/da</w:t>
      </w:r>
      <w:r>
        <w:rPr>
          <w:szCs w:val="22"/>
          <w:lang w:val="nb-NO"/>
        </w:rPr>
        <w:t>g</w:t>
      </w:r>
      <w:r w:rsidRPr="00F05EB5">
        <w:rPr>
          <w:szCs w:val="22"/>
          <w:lang w:val="nb-NO"/>
        </w:rPr>
        <w:t xml:space="preserve">). </w:t>
      </w:r>
      <w:r>
        <w:rPr>
          <w:szCs w:val="22"/>
          <w:lang w:val="nb-NO"/>
        </w:rPr>
        <w:t>V</w:t>
      </w:r>
      <w:r w:rsidRPr="00620CBF">
        <w:rPr>
          <w:szCs w:val="22"/>
          <w:lang w:val="nb-NO"/>
        </w:rPr>
        <w:t xml:space="preserve">ed </w:t>
      </w:r>
      <w:r>
        <w:rPr>
          <w:szCs w:val="22"/>
          <w:lang w:val="nb-NO"/>
        </w:rPr>
        <w:t>studiestart</w:t>
      </w:r>
      <w:r w:rsidRPr="00620CBF">
        <w:rPr>
          <w:szCs w:val="22"/>
          <w:lang w:val="nb-NO"/>
        </w:rPr>
        <w:t xml:space="preserve"> </w:t>
      </w:r>
      <w:r>
        <w:rPr>
          <w:szCs w:val="22"/>
          <w:lang w:val="nb-NO"/>
        </w:rPr>
        <w:t>fikk a</w:t>
      </w:r>
      <w:r w:rsidRPr="00F05EB5">
        <w:rPr>
          <w:szCs w:val="22"/>
          <w:lang w:val="nb-NO"/>
        </w:rPr>
        <w:t xml:space="preserve">lle pasientene </w:t>
      </w:r>
      <w:r>
        <w:rPr>
          <w:szCs w:val="22"/>
          <w:lang w:val="nb-NO"/>
        </w:rPr>
        <w:t>e</w:t>
      </w:r>
      <w:r w:rsidRPr="00F05EB5">
        <w:rPr>
          <w:szCs w:val="22"/>
          <w:lang w:val="nb-NO"/>
        </w:rPr>
        <w:t>n standar</w:t>
      </w:r>
      <w:r>
        <w:rPr>
          <w:szCs w:val="22"/>
          <w:lang w:val="nb-NO"/>
        </w:rPr>
        <w:t>d</w:t>
      </w:r>
      <w:r w:rsidRPr="00F05EB5">
        <w:rPr>
          <w:szCs w:val="22"/>
          <w:lang w:val="nb-NO"/>
        </w:rPr>
        <w:t xml:space="preserve"> dose av prednison 60 mg/dag </w:t>
      </w:r>
      <w:r>
        <w:rPr>
          <w:szCs w:val="22"/>
          <w:lang w:val="nb-NO"/>
        </w:rPr>
        <w:t xml:space="preserve">i 2 uker, </w:t>
      </w:r>
      <w:r w:rsidRPr="00023DE1">
        <w:rPr>
          <w:szCs w:val="22"/>
          <w:lang w:val="nb-NO"/>
        </w:rPr>
        <w:t>etterfulgt av e</w:t>
      </w:r>
      <w:r>
        <w:rPr>
          <w:szCs w:val="22"/>
          <w:lang w:val="nb-NO"/>
        </w:rPr>
        <w:t>t</w:t>
      </w:r>
      <w:r w:rsidRPr="00F05EB5">
        <w:rPr>
          <w:szCs w:val="22"/>
          <w:lang w:val="nb-NO"/>
        </w:rPr>
        <w:t xml:space="preserve"> </w:t>
      </w:r>
      <w:r>
        <w:rPr>
          <w:szCs w:val="22"/>
          <w:lang w:val="nb-NO"/>
        </w:rPr>
        <w:t>obligatorisk</w:t>
      </w:r>
      <w:r w:rsidRPr="00F05EB5">
        <w:rPr>
          <w:szCs w:val="22"/>
          <w:lang w:val="nb-NO"/>
        </w:rPr>
        <w:t xml:space="preserve"> </w:t>
      </w:r>
      <w:r>
        <w:rPr>
          <w:szCs w:val="22"/>
          <w:lang w:val="nb-NO"/>
        </w:rPr>
        <w:t>nedtrappingsregime</w:t>
      </w:r>
      <w:r w:rsidRPr="00F05EB5">
        <w:rPr>
          <w:szCs w:val="22"/>
          <w:lang w:val="nb-NO"/>
        </w:rPr>
        <w:t xml:space="preserve"> </w:t>
      </w:r>
      <w:r>
        <w:rPr>
          <w:szCs w:val="22"/>
          <w:lang w:val="nb-NO"/>
        </w:rPr>
        <w:t xml:space="preserve">med fullstendig seponering av kortikosteroider ved uke </w:t>
      </w:r>
      <w:r w:rsidRPr="00F05EB5">
        <w:rPr>
          <w:szCs w:val="22"/>
          <w:lang w:val="nb-NO"/>
        </w:rPr>
        <w:t>15</w:t>
      </w:r>
      <w:r>
        <w:rPr>
          <w:szCs w:val="22"/>
          <w:lang w:val="nb-NO"/>
        </w:rPr>
        <w:t>.</w:t>
      </w:r>
    </w:p>
    <w:p w14:paraId="3ECAD32A" w14:textId="77777777" w:rsidR="009E676E" w:rsidRPr="00F05EB5" w:rsidRDefault="009E676E" w:rsidP="009E676E">
      <w:pPr>
        <w:pStyle w:val="EMEANormal"/>
        <w:rPr>
          <w:szCs w:val="22"/>
          <w:lang w:val="nb-NO"/>
        </w:rPr>
      </w:pPr>
    </w:p>
    <w:p w14:paraId="0613B89F" w14:textId="77777777" w:rsidR="009E676E" w:rsidRPr="00F05EB5" w:rsidRDefault="00E453CD" w:rsidP="009E676E">
      <w:pPr>
        <w:pStyle w:val="EMEANormal"/>
        <w:rPr>
          <w:szCs w:val="22"/>
          <w:lang w:val="nb-NO"/>
        </w:rPr>
      </w:pPr>
      <w:r w:rsidRPr="00F05EB5">
        <w:rPr>
          <w:szCs w:val="22"/>
          <w:lang w:val="nb-NO"/>
        </w:rPr>
        <w:t>Studie UV II undersøkte 226 pasienter med inaktiv uveitt</w:t>
      </w:r>
      <w:r>
        <w:rPr>
          <w:szCs w:val="22"/>
          <w:lang w:val="nb-NO"/>
        </w:rPr>
        <w:t>,</w:t>
      </w:r>
      <w:r w:rsidRPr="00F05EB5">
        <w:rPr>
          <w:szCs w:val="22"/>
          <w:lang w:val="nb-NO"/>
        </w:rPr>
        <w:t xml:space="preserve"> som </w:t>
      </w:r>
      <w:r>
        <w:rPr>
          <w:szCs w:val="22"/>
          <w:lang w:val="nb-NO"/>
        </w:rPr>
        <w:t>krever kronisk</w:t>
      </w:r>
      <w:r w:rsidRPr="00F05EB5">
        <w:rPr>
          <w:szCs w:val="22"/>
          <w:lang w:val="nb-NO"/>
        </w:rPr>
        <w:t xml:space="preserve"> </w:t>
      </w:r>
      <w:r>
        <w:rPr>
          <w:szCs w:val="22"/>
          <w:lang w:val="nb-NO"/>
        </w:rPr>
        <w:t>behandling med kortikosteroider (oral prednison 10-</w:t>
      </w:r>
      <w:r w:rsidRPr="00023DE1">
        <w:rPr>
          <w:szCs w:val="22"/>
          <w:lang w:val="nb-NO"/>
        </w:rPr>
        <w:t>35 mg/da</w:t>
      </w:r>
      <w:r>
        <w:rPr>
          <w:szCs w:val="22"/>
          <w:lang w:val="nb-NO"/>
        </w:rPr>
        <w:t>g</w:t>
      </w:r>
      <w:r w:rsidRPr="00023DE1">
        <w:rPr>
          <w:szCs w:val="22"/>
          <w:lang w:val="nb-NO"/>
        </w:rPr>
        <w:t xml:space="preserve">) </w:t>
      </w:r>
      <w:r>
        <w:rPr>
          <w:szCs w:val="22"/>
          <w:lang w:val="nb-NO"/>
        </w:rPr>
        <w:t>ved</w:t>
      </w:r>
      <w:r w:rsidRPr="00F05EB5">
        <w:rPr>
          <w:szCs w:val="22"/>
          <w:lang w:val="nb-NO"/>
        </w:rPr>
        <w:t xml:space="preserve"> baseline </w:t>
      </w:r>
      <w:r>
        <w:rPr>
          <w:szCs w:val="22"/>
          <w:lang w:val="nb-NO"/>
        </w:rPr>
        <w:t>for å kontrollere sykdommen</w:t>
      </w:r>
      <w:r w:rsidRPr="00F05EB5">
        <w:rPr>
          <w:szCs w:val="22"/>
          <w:lang w:val="nb-NO"/>
        </w:rPr>
        <w:t>. Pasientene gjennomgikk deretter e</w:t>
      </w:r>
      <w:r w:rsidRPr="00332163">
        <w:rPr>
          <w:szCs w:val="22"/>
          <w:lang w:val="nb-NO"/>
        </w:rPr>
        <w:t>t obligatoisk nedtrappings</w:t>
      </w:r>
      <w:r>
        <w:rPr>
          <w:szCs w:val="22"/>
          <w:lang w:val="nb-NO"/>
        </w:rPr>
        <w:t>regime</w:t>
      </w:r>
      <w:r w:rsidRPr="00F05EB5">
        <w:rPr>
          <w:szCs w:val="22"/>
          <w:lang w:val="nb-NO"/>
        </w:rPr>
        <w:t xml:space="preserve"> med </w:t>
      </w:r>
      <w:r>
        <w:rPr>
          <w:szCs w:val="22"/>
          <w:lang w:val="nb-NO"/>
        </w:rPr>
        <w:t>fullstendig seponering av kortikosteroider ved uke 19</w:t>
      </w:r>
      <w:r w:rsidRPr="00126088">
        <w:rPr>
          <w:szCs w:val="22"/>
          <w:lang w:val="nb-NO"/>
        </w:rPr>
        <w:t>.</w:t>
      </w:r>
      <w:r w:rsidRPr="00F05EB5">
        <w:rPr>
          <w:szCs w:val="22"/>
          <w:lang w:val="nb-NO"/>
        </w:rPr>
        <w:t xml:space="preserve"> </w:t>
      </w:r>
    </w:p>
    <w:p w14:paraId="3D9E6562" w14:textId="77777777" w:rsidR="009E676E" w:rsidRPr="00F05EB5" w:rsidRDefault="009E676E" w:rsidP="009E676E">
      <w:pPr>
        <w:pStyle w:val="EMEANormal"/>
        <w:rPr>
          <w:szCs w:val="22"/>
          <w:lang w:val="nb-NO"/>
        </w:rPr>
      </w:pPr>
    </w:p>
    <w:p w14:paraId="00A42E3B" w14:textId="77777777" w:rsidR="009E676E" w:rsidRPr="00B23621" w:rsidRDefault="00E453CD" w:rsidP="009E676E">
      <w:pPr>
        <w:pStyle w:val="EMEANormal"/>
        <w:rPr>
          <w:szCs w:val="22"/>
          <w:lang w:val="nb-NO"/>
        </w:rPr>
      </w:pPr>
      <w:r>
        <w:rPr>
          <w:szCs w:val="22"/>
          <w:lang w:val="nb-NO"/>
        </w:rPr>
        <w:t>P</w:t>
      </w:r>
      <w:r w:rsidRPr="00B23621">
        <w:rPr>
          <w:szCs w:val="22"/>
          <w:lang w:val="nb-NO"/>
        </w:rPr>
        <w:t xml:space="preserve">rimærendpunktet </w:t>
      </w:r>
      <w:r>
        <w:rPr>
          <w:szCs w:val="22"/>
          <w:lang w:val="nb-NO"/>
        </w:rPr>
        <w:t>i</w:t>
      </w:r>
      <w:r w:rsidRPr="00B23621">
        <w:rPr>
          <w:szCs w:val="22"/>
          <w:lang w:val="nb-NO"/>
        </w:rPr>
        <w:t xml:space="preserve"> begge studier var </w:t>
      </w:r>
      <w:r w:rsidR="00D57009">
        <w:rPr>
          <w:szCs w:val="22"/>
          <w:lang w:val="nb-NO"/>
        </w:rPr>
        <w:t>«</w:t>
      </w:r>
      <w:r w:rsidRPr="00B23621">
        <w:rPr>
          <w:szCs w:val="22"/>
          <w:lang w:val="nb-NO"/>
        </w:rPr>
        <w:t xml:space="preserve">tid til </w:t>
      </w:r>
      <w:r>
        <w:rPr>
          <w:szCs w:val="22"/>
          <w:lang w:val="nb-NO"/>
        </w:rPr>
        <w:t>behandlingssvikt’</w:t>
      </w:r>
      <w:r w:rsidRPr="00B23621">
        <w:rPr>
          <w:szCs w:val="22"/>
          <w:lang w:val="nb-NO"/>
        </w:rPr>
        <w:t xml:space="preserve">. </w:t>
      </w:r>
      <w:r w:rsidRPr="00245016">
        <w:rPr>
          <w:szCs w:val="22"/>
          <w:lang w:val="nb-NO"/>
        </w:rPr>
        <w:t>Behandlingssvikt</w:t>
      </w:r>
      <w:r w:rsidRPr="00B23621">
        <w:rPr>
          <w:szCs w:val="22"/>
          <w:lang w:val="nb-NO"/>
        </w:rPr>
        <w:t xml:space="preserve"> </w:t>
      </w:r>
      <w:r>
        <w:rPr>
          <w:szCs w:val="22"/>
          <w:lang w:val="nb-NO"/>
        </w:rPr>
        <w:t xml:space="preserve">ble definert ut ifra </w:t>
      </w:r>
      <w:r w:rsidRPr="00B23621">
        <w:rPr>
          <w:szCs w:val="22"/>
          <w:lang w:val="nb-NO"/>
        </w:rPr>
        <w:t>resultatet av en sammensatt komponent basert på inflammatorisk</w:t>
      </w:r>
      <w:r>
        <w:rPr>
          <w:szCs w:val="22"/>
          <w:lang w:val="nb-NO"/>
        </w:rPr>
        <w:t>e</w:t>
      </w:r>
      <w:r w:rsidRPr="00B23621">
        <w:rPr>
          <w:szCs w:val="22"/>
          <w:lang w:val="nb-NO"/>
        </w:rPr>
        <w:t xml:space="preserve"> </w:t>
      </w:r>
      <w:r>
        <w:rPr>
          <w:szCs w:val="22"/>
          <w:lang w:val="nb-NO"/>
        </w:rPr>
        <w:t>k</w:t>
      </w:r>
      <w:r w:rsidRPr="00B23621">
        <w:rPr>
          <w:szCs w:val="22"/>
          <w:lang w:val="nb-NO"/>
        </w:rPr>
        <w:t>orioretinal</w:t>
      </w:r>
      <w:r w:rsidR="009019DA">
        <w:rPr>
          <w:szCs w:val="22"/>
          <w:lang w:val="nb-NO"/>
        </w:rPr>
        <w:t>e</w:t>
      </w:r>
      <w:r w:rsidRPr="00B23621">
        <w:rPr>
          <w:szCs w:val="22"/>
          <w:lang w:val="nb-NO"/>
        </w:rPr>
        <w:t xml:space="preserve"> </w:t>
      </w:r>
      <w:r>
        <w:rPr>
          <w:szCs w:val="22"/>
          <w:lang w:val="nb-NO"/>
        </w:rPr>
        <w:t>og</w:t>
      </w:r>
      <w:r w:rsidRPr="00B23621">
        <w:rPr>
          <w:szCs w:val="22"/>
          <w:lang w:val="nb-NO"/>
        </w:rPr>
        <w:t>/</w:t>
      </w:r>
      <w:r>
        <w:rPr>
          <w:szCs w:val="22"/>
          <w:lang w:val="nb-NO"/>
        </w:rPr>
        <w:t>eller</w:t>
      </w:r>
      <w:r w:rsidRPr="00B23621">
        <w:rPr>
          <w:szCs w:val="22"/>
          <w:lang w:val="nb-NO"/>
        </w:rPr>
        <w:t xml:space="preserve"> </w:t>
      </w:r>
      <w:r>
        <w:rPr>
          <w:szCs w:val="22"/>
          <w:lang w:val="nb-NO"/>
        </w:rPr>
        <w:t>inflammatoriske</w:t>
      </w:r>
      <w:r w:rsidRPr="00011795">
        <w:rPr>
          <w:szCs w:val="22"/>
          <w:lang w:val="nb-NO"/>
        </w:rPr>
        <w:t xml:space="preserve"> retinal</w:t>
      </w:r>
      <w:r w:rsidR="009019DA">
        <w:rPr>
          <w:szCs w:val="22"/>
          <w:lang w:val="nb-NO"/>
        </w:rPr>
        <w:t>e</w:t>
      </w:r>
      <w:r w:rsidRPr="00011795">
        <w:rPr>
          <w:szCs w:val="22"/>
          <w:lang w:val="nb-NO"/>
        </w:rPr>
        <w:t xml:space="preserve"> vas</w:t>
      </w:r>
      <w:r>
        <w:rPr>
          <w:szCs w:val="22"/>
          <w:lang w:val="nb-NO"/>
        </w:rPr>
        <w:t>kulære lesjoner</w:t>
      </w:r>
      <w:r w:rsidRPr="00B23621">
        <w:rPr>
          <w:szCs w:val="22"/>
          <w:lang w:val="nb-NO"/>
        </w:rPr>
        <w:t xml:space="preserve">, </w:t>
      </w:r>
      <w:r w:rsidRPr="00051351">
        <w:rPr>
          <w:szCs w:val="22"/>
          <w:lang w:val="nb-NO"/>
        </w:rPr>
        <w:t xml:space="preserve">gradering av celler i fremre kammer </w:t>
      </w:r>
      <w:r w:rsidRPr="00011795">
        <w:rPr>
          <w:szCs w:val="22"/>
          <w:lang w:val="nb-NO"/>
        </w:rPr>
        <w:t>(</w:t>
      </w:r>
      <w:r w:rsidR="00D57009">
        <w:rPr>
          <w:szCs w:val="22"/>
          <w:lang w:val="nb-NO"/>
        </w:rPr>
        <w:t>«</w:t>
      </w:r>
      <w:r w:rsidRPr="00B740D9">
        <w:rPr>
          <w:szCs w:val="22"/>
          <w:lang w:val="nb-NO"/>
        </w:rPr>
        <w:t>anterior chamber</w:t>
      </w:r>
      <w:r>
        <w:rPr>
          <w:szCs w:val="22"/>
          <w:lang w:val="nb-NO"/>
        </w:rPr>
        <w:t xml:space="preserve">’, </w:t>
      </w:r>
      <w:r w:rsidRPr="00011795">
        <w:rPr>
          <w:szCs w:val="22"/>
          <w:lang w:val="nb-NO"/>
        </w:rPr>
        <w:t>AC)</w:t>
      </w:r>
      <w:r w:rsidRPr="00B23621">
        <w:rPr>
          <w:szCs w:val="22"/>
          <w:lang w:val="nb-NO"/>
        </w:rPr>
        <w:t>,</w:t>
      </w:r>
      <w:r>
        <w:rPr>
          <w:szCs w:val="22"/>
          <w:lang w:val="nb-NO"/>
        </w:rPr>
        <w:t xml:space="preserve"> grad av</w:t>
      </w:r>
      <w:r w:rsidRPr="00B23621">
        <w:rPr>
          <w:szCs w:val="22"/>
          <w:lang w:val="nb-NO"/>
        </w:rPr>
        <w:t xml:space="preserve"> </w:t>
      </w:r>
      <w:r>
        <w:rPr>
          <w:szCs w:val="22"/>
          <w:lang w:val="nb-NO"/>
        </w:rPr>
        <w:t>uklarheter i glasslegemet (</w:t>
      </w:r>
      <w:r w:rsidR="00D57009">
        <w:rPr>
          <w:szCs w:val="22"/>
          <w:lang w:val="nb-NO"/>
        </w:rPr>
        <w:t>«</w:t>
      </w:r>
      <w:r w:rsidRPr="00B23621">
        <w:rPr>
          <w:szCs w:val="22"/>
          <w:lang w:val="nb-NO"/>
        </w:rPr>
        <w:t>vitreous haze</w:t>
      </w:r>
      <w:r>
        <w:rPr>
          <w:szCs w:val="22"/>
          <w:lang w:val="nb-NO"/>
        </w:rPr>
        <w:t>’,</w:t>
      </w:r>
      <w:r w:rsidRPr="00B23621">
        <w:rPr>
          <w:szCs w:val="22"/>
          <w:lang w:val="nb-NO"/>
        </w:rPr>
        <w:t xml:space="preserve"> VH)</w:t>
      </w:r>
      <w:r>
        <w:rPr>
          <w:szCs w:val="22"/>
          <w:lang w:val="nb-NO"/>
        </w:rPr>
        <w:t xml:space="preserve"> og</w:t>
      </w:r>
      <w:r w:rsidRPr="00B23621">
        <w:rPr>
          <w:szCs w:val="22"/>
          <w:lang w:val="nb-NO"/>
        </w:rPr>
        <w:t xml:space="preserve"> best</w:t>
      </w:r>
      <w:r>
        <w:rPr>
          <w:szCs w:val="22"/>
          <w:lang w:val="nb-NO"/>
        </w:rPr>
        <w:t>e</w:t>
      </w:r>
      <w:r w:rsidRPr="00B23621">
        <w:rPr>
          <w:szCs w:val="22"/>
          <w:lang w:val="nb-NO"/>
        </w:rPr>
        <w:t xml:space="preserve"> </w:t>
      </w:r>
      <w:r>
        <w:rPr>
          <w:szCs w:val="22"/>
          <w:lang w:val="nb-NO"/>
        </w:rPr>
        <w:t>korrigerte synsskarphet (</w:t>
      </w:r>
      <w:r w:rsidR="00D57009">
        <w:rPr>
          <w:szCs w:val="22"/>
          <w:lang w:val="nb-NO"/>
        </w:rPr>
        <w:t>«</w:t>
      </w:r>
      <w:r>
        <w:rPr>
          <w:szCs w:val="22"/>
          <w:lang w:val="nb-NO"/>
        </w:rPr>
        <w:t xml:space="preserve">best </w:t>
      </w:r>
      <w:r w:rsidRPr="00B23621">
        <w:rPr>
          <w:szCs w:val="22"/>
          <w:lang w:val="nb-NO"/>
        </w:rPr>
        <w:t>corrected visual acuity</w:t>
      </w:r>
      <w:r>
        <w:rPr>
          <w:szCs w:val="22"/>
          <w:lang w:val="nb-NO"/>
        </w:rPr>
        <w:t xml:space="preserve">’, </w:t>
      </w:r>
      <w:r w:rsidRPr="00B23621">
        <w:rPr>
          <w:szCs w:val="22"/>
          <w:lang w:val="nb-NO"/>
        </w:rPr>
        <w:t xml:space="preserve">BCVA). </w:t>
      </w:r>
    </w:p>
    <w:p w14:paraId="358E47CE" w14:textId="77777777" w:rsidR="009E676E" w:rsidRDefault="009E676E" w:rsidP="009E676E">
      <w:pPr>
        <w:pStyle w:val="EMEANormal"/>
        <w:rPr>
          <w:szCs w:val="22"/>
          <w:lang w:val="nb-NO"/>
        </w:rPr>
      </w:pPr>
    </w:p>
    <w:p w14:paraId="2E65706C" w14:textId="77777777" w:rsidR="002C7948" w:rsidRPr="00484BCF" w:rsidRDefault="00E453CD" w:rsidP="002C7948">
      <w:pPr>
        <w:tabs>
          <w:tab w:val="left" w:pos="3090"/>
        </w:tabs>
        <w:rPr>
          <w:sz w:val="22"/>
          <w:szCs w:val="22"/>
        </w:rPr>
      </w:pPr>
      <w:r w:rsidRPr="00484BCF">
        <w:rPr>
          <w:sz w:val="22"/>
          <w:szCs w:val="22"/>
        </w:rPr>
        <w:t>Pasienter som fullførte UV</w:t>
      </w:r>
      <w:r w:rsidR="001539CD">
        <w:rPr>
          <w:sz w:val="22"/>
          <w:szCs w:val="22"/>
        </w:rPr>
        <w:t> </w:t>
      </w:r>
      <w:r w:rsidRPr="00484BCF">
        <w:rPr>
          <w:sz w:val="22"/>
          <w:szCs w:val="22"/>
        </w:rPr>
        <w:t>I</w:t>
      </w:r>
      <w:r>
        <w:rPr>
          <w:sz w:val="22"/>
          <w:szCs w:val="22"/>
        </w:rPr>
        <w:t>-</w:t>
      </w:r>
      <w:r w:rsidRPr="00484BCF">
        <w:rPr>
          <w:sz w:val="22"/>
          <w:szCs w:val="22"/>
        </w:rPr>
        <w:t xml:space="preserve"> og UV</w:t>
      </w:r>
      <w:r w:rsidR="001539CD">
        <w:rPr>
          <w:sz w:val="22"/>
          <w:szCs w:val="22"/>
        </w:rPr>
        <w:t> </w:t>
      </w:r>
      <w:r w:rsidRPr="00484BCF">
        <w:rPr>
          <w:sz w:val="22"/>
          <w:szCs w:val="22"/>
        </w:rPr>
        <w:t>II</w:t>
      </w:r>
      <w:r w:rsidR="001539CD">
        <w:rPr>
          <w:sz w:val="22"/>
          <w:szCs w:val="22"/>
        </w:rPr>
        <w:t>-</w:t>
      </w:r>
      <w:r>
        <w:rPr>
          <w:sz w:val="22"/>
          <w:szCs w:val="22"/>
        </w:rPr>
        <w:t xml:space="preserve">studiene </w:t>
      </w:r>
      <w:r w:rsidRPr="00484BCF">
        <w:rPr>
          <w:sz w:val="22"/>
          <w:szCs w:val="22"/>
        </w:rPr>
        <w:t xml:space="preserve">ble </w:t>
      </w:r>
      <w:r>
        <w:rPr>
          <w:sz w:val="22"/>
          <w:szCs w:val="22"/>
        </w:rPr>
        <w:t>inkludert</w:t>
      </w:r>
      <w:r w:rsidRPr="00484BCF">
        <w:rPr>
          <w:sz w:val="22"/>
          <w:szCs w:val="22"/>
        </w:rPr>
        <w:t xml:space="preserve"> i en ikke</w:t>
      </w:r>
      <w:r w:rsidRPr="00484BCF">
        <w:rPr>
          <w:sz w:val="22"/>
          <w:szCs w:val="22"/>
        </w:rPr>
        <w:noBreakHyphen/>
        <w:t>kontrollert langtids</w:t>
      </w:r>
      <w:r>
        <w:rPr>
          <w:sz w:val="22"/>
          <w:szCs w:val="22"/>
        </w:rPr>
        <w:t>-</w:t>
      </w:r>
      <w:r w:rsidRPr="00484BCF">
        <w:rPr>
          <w:sz w:val="22"/>
          <w:szCs w:val="22"/>
        </w:rPr>
        <w:t xml:space="preserve"> forlengelsesstudie med en</w:t>
      </w:r>
      <w:r>
        <w:rPr>
          <w:sz w:val="22"/>
          <w:szCs w:val="22"/>
        </w:rPr>
        <w:t xml:space="preserve"> opprinnelig</w:t>
      </w:r>
      <w:r w:rsidRPr="00484BCF">
        <w:rPr>
          <w:sz w:val="22"/>
          <w:szCs w:val="22"/>
        </w:rPr>
        <w:t xml:space="preserve"> planlagt varighet på</w:t>
      </w:r>
      <w:r>
        <w:rPr>
          <w:sz w:val="22"/>
          <w:szCs w:val="22"/>
        </w:rPr>
        <w:t xml:space="preserve"> </w:t>
      </w:r>
      <w:r w:rsidRPr="00484BCF">
        <w:rPr>
          <w:sz w:val="22"/>
          <w:szCs w:val="22"/>
        </w:rPr>
        <w:t>78 uker. Pasienter</w:t>
      </w:r>
      <w:r>
        <w:rPr>
          <w:sz w:val="22"/>
          <w:szCs w:val="22"/>
        </w:rPr>
        <w:t xml:space="preserve"> fikk </w:t>
      </w:r>
      <w:r w:rsidRPr="00484BCF">
        <w:rPr>
          <w:sz w:val="22"/>
          <w:szCs w:val="22"/>
        </w:rPr>
        <w:t xml:space="preserve">fortsette </w:t>
      </w:r>
      <w:r>
        <w:rPr>
          <w:sz w:val="22"/>
          <w:szCs w:val="22"/>
        </w:rPr>
        <w:t>med</w:t>
      </w:r>
      <w:r w:rsidRPr="00484BCF">
        <w:rPr>
          <w:sz w:val="22"/>
          <w:szCs w:val="22"/>
        </w:rPr>
        <w:t xml:space="preserve"> studiemedisin </w:t>
      </w:r>
      <w:r>
        <w:rPr>
          <w:sz w:val="22"/>
          <w:szCs w:val="22"/>
        </w:rPr>
        <w:t xml:space="preserve">etter </w:t>
      </w:r>
      <w:r w:rsidRPr="00484BCF">
        <w:rPr>
          <w:sz w:val="22"/>
          <w:szCs w:val="22"/>
        </w:rPr>
        <w:t>uke 78</w:t>
      </w:r>
      <w:r>
        <w:rPr>
          <w:sz w:val="22"/>
          <w:szCs w:val="22"/>
        </w:rPr>
        <w:t>,</w:t>
      </w:r>
      <w:r w:rsidRPr="00484BCF">
        <w:rPr>
          <w:sz w:val="22"/>
          <w:szCs w:val="22"/>
        </w:rPr>
        <w:t xml:space="preserve"> inntil de </w:t>
      </w:r>
      <w:r>
        <w:rPr>
          <w:sz w:val="22"/>
          <w:szCs w:val="22"/>
        </w:rPr>
        <w:t>fikk</w:t>
      </w:r>
      <w:r w:rsidRPr="00484BCF">
        <w:rPr>
          <w:sz w:val="22"/>
          <w:szCs w:val="22"/>
        </w:rPr>
        <w:t xml:space="preserve"> tilgang på Humira.</w:t>
      </w:r>
    </w:p>
    <w:p w14:paraId="0496A239" w14:textId="77777777" w:rsidR="002C7948" w:rsidRPr="00B23621" w:rsidRDefault="002C7948" w:rsidP="00ED7103">
      <w:pPr>
        <w:pStyle w:val="EMEANormal"/>
        <w:rPr>
          <w:szCs w:val="22"/>
          <w:lang w:val="nb-NO"/>
        </w:rPr>
      </w:pPr>
    </w:p>
    <w:p w14:paraId="21DA2705" w14:textId="77777777" w:rsidR="009E676E" w:rsidRPr="00F05EB5" w:rsidRDefault="00E453CD" w:rsidP="00776A84">
      <w:pPr>
        <w:pStyle w:val="EMEANormal"/>
        <w:keepNext/>
        <w:rPr>
          <w:i/>
          <w:szCs w:val="22"/>
          <w:u w:val="single"/>
          <w:lang w:val="nb-NO"/>
        </w:rPr>
      </w:pPr>
      <w:r w:rsidRPr="00F05EB5">
        <w:rPr>
          <w:i/>
          <w:szCs w:val="22"/>
          <w:u w:val="single"/>
          <w:lang w:val="nb-NO"/>
        </w:rPr>
        <w:t>Klinisk respons</w:t>
      </w:r>
    </w:p>
    <w:p w14:paraId="4917BB24" w14:textId="77777777" w:rsidR="009E676E" w:rsidRPr="00F05EB5" w:rsidRDefault="009E676E" w:rsidP="00776A84">
      <w:pPr>
        <w:pStyle w:val="EMEANormal"/>
        <w:keepNext/>
        <w:rPr>
          <w:i/>
          <w:szCs w:val="22"/>
          <w:u w:val="single"/>
          <w:lang w:val="nb-NO"/>
        </w:rPr>
      </w:pPr>
    </w:p>
    <w:p w14:paraId="2E732321" w14:textId="77777777" w:rsidR="009E676E" w:rsidRPr="00F05EB5" w:rsidRDefault="00E453CD" w:rsidP="009E676E">
      <w:pPr>
        <w:pStyle w:val="EMEANormal"/>
        <w:rPr>
          <w:szCs w:val="22"/>
          <w:lang w:val="nb-NO"/>
        </w:rPr>
      </w:pPr>
      <w:r w:rsidRPr="00F05EB5">
        <w:rPr>
          <w:szCs w:val="22"/>
          <w:lang w:val="nb-NO"/>
        </w:rPr>
        <w:t xml:space="preserve">Resultatene fra begge studiene viste statistisk </w:t>
      </w:r>
      <w:r w:rsidRPr="00476EAD">
        <w:rPr>
          <w:szCs w:val="22"/>
          <w:lang w:val="nb-NO"/>
        </w:rPr>
        <w:t>signifi</w:t>
      </w:r>
      <w:r>
        <w:rPr>
          <w:szCs w:val="22"/>
          <w:lang w:val="nb-NO"/>
        </w:rPr>
        <w:t>k</w:t>
      </w:r>
      <w:r w:rsidRPr="00F05EB5">
        <w:rPr>
          <w:szCs w:val="22"/>
          <w:lang w:val="nb-NO"/>
        </w:rPr>
        <w:t xml:space="preserve">ant reduksjon i risiko for behandlingssvikt hos pasienter behandlet med Humira </w:t>
      </w:r>
      <w:r w:rsidRPr="00F05EB5">
        <w:rPr>
          <w:i/>
          <w:szCs w:val="22"/>
          <w:lang w:val="nb-NO"/>
        </w:rPr>
        <w:t>versus</w:t>
      </w:r>
      <w:r w:rsidRPr="00F05EB5">
        <w:rPr>
          <w:szCs w:val="22"/>
          <w:lang w:val="nb-NO"/>
        </w:rPr>
        <w:t xml:space="preserve"> pasienter som fikk placebo (se tabell </w:t>
      </w:r>
      <w:r w:rsidR="00FB4C84">
        <w:rPr>
          <w:szCs w:val="22"/>
          <w:lang w:val="nb-NO"/>
        </w:rPr>
        <w:t>1</w:t>
      </w:r>
      <w:r w:rsidR="003F5EAC">
        <w:rPr>
          <w:szCs w:val="22"/>
          <w:lang w:val="nb-NO"/>
        </w:rPr>
        <w:t>7</w:t>
      </w:r>
      <w:r w:rsidRPr="00F05EB5">
        <w:rPr>
          <w:szCs w:val="22"/>
          <w:lang w:val="nb-NO"/>
        </w:rPr>
        <w:t xml:space="preserve">). </w:t>
      </w:r>
      <w:r>
        <w:rPr>
          <w:szCs w:val="22"/>
          <w:lang w:val="nb-NO"/>
        </w:rPr>
        <w:t xml:space="preserve">Begge studiene viste en tidlig og vedvarende effekt av </w:t>
      </w:r>
      <w:r w:rsidRPr="00F05EB5">
        <w:rPr>
          <w:szCs w:val="22"/>
          <w:lang w:val="nb-NO"/>
        </w:rPr>
        <w:t xml:space="preserve">Humira </w:t>
      </w:r>
      <w:r>
        <w:rPr>
          <w:szCs w:val="22"/>
          <w:lang w:val="nb-NO"/>
        </w:rPr>
        <w:t xml:space="preserve">på andelen av pasienter som opplevde behandlingssvikt </w:t>
      </w:r>
      <w:r w:rsidRPr="00F05EB5">
        <w:rPr>
          <w:i/>
          <w:szCs w:val="22"/>
          <w:lang w:val="nb-NO"/>
        </w:rPr>
        <w:t>versus</w:t>
      </w:r>
      <w:r>
        <w:rPr>
          <w:i/>
          <w:szCs w:val="22"/>
          <w:lang w:val="nb-NO"/>
        </w:rPr>
        <w:t xml:space="preserve"> </w:t>
      </w:r>
      <w:r w:rsidR="003B49EC">
        <w:rPr>
          <w:szCs w:val="22"/>
          <w:lang w:val="nb-NO"/>
        </w:rPr>
        <w:t>pasienter som fikk</w:t>
      </w:r>
      <w:r w:rsidRPr="00567E4B">
        <w:rPr>
          <w:szCs w:val="22"/>
          <w:lang w:val="nb-NO"/>
        </w:rPr>
        <w:t xml:space="preserve"> </w:t>
      </w:r>
      <w:r w:rsidRPr="00F9139E">
        <w:rPr>
          <w:szCs w:val="22"/>
          <w:lang w:val="nb-NO"/>
        </w:rPr>
        <w:t xml:space="preserve">placebo (se </w:t>
      </w:r>
      <w:r>
        <w:rPr>
          <w:szCs w:val="22"/>
          <w:lang w:val="nb-NO"/>
        </w:rPr>
        <w:t>f</w:t>
      </w:r>
      <w:r w:rsidRPr="00F9139E">
        <w:rPr>
          <w:szCs w:val="22"/>
          <w:lang w:val="nb-NO"/>
        </w:rPr>
        <w:t>igur</w:t>
      </w:r>
      <w:r w:rsidRPr="00F05EB5">
        <w:rPr>
          <w:szCs w:val="22"/>
          <w:lang w:val="nb-NO"/>
        </w:rPr>
        <w:t xml:space="preserve"> 1). </w:t>
      </w:r>
    </w:p>
    <w:p w14:paraId="121774AB" w14:textId="77777777" w:rsidR="009E676E" w:rsidRPr="00F05EB5" w:rsidRDefault="009E676E" w:rsidP="009E676E">
      <w:pPr>
        <w:pStyle w:val="EMEANormal"/>
        <w:rPr>
          <w:b/>
          <w:szCs w:val="22"/>
          <w:lang w:val="nb-NO"/>
        </w:rPr>
      </w:pPr>
    </w:p>
    <w:p w14:paraId="28E38922" w14:textId="77777777" w:rsidR="009E676E" w:rsidRPr="00F05EB5" w:rsidRDefault="00E453CD" w:rsidP="00776A84">
      <w:pPr>
        <w:pStyle w:val="EMEANormal"/>
        <w:keepNext/>
        <w:jc w:val="center"/>
        <w:rPr>
          <w:b/>
          <w:szCs w:val="22"/>
          <w:lang w:val="nb-NO"/>
        </w:rPr>
      </w:pPr>
      <w:r w:rsidRPr="00F05EB5">
        <w:rPr>
          <w:b/>
          <w:szCs w:val="22"/>
          <w:lang w:val="nb-NO"/>
        </w:rPr>
        <w:t xml:space="preserve">Tabell </w:t>
      </w:r>
      <w:r w:rsidR="00FB4C84">
        <w:rPr>
          <w:b/>
          <w:szCs w:val="22"/>
          <w:lang w:val="nb-NO"/>
        </w:rPr>
        <w:t>1</w:t>
      </w:r>
      <w:r w:rsidR="003F5EAC">
        <w:rPr>
          <w:b/>
          <w:szCs w:val="22"/>
          <w:lang w:val="nb-NO"/>
        </w:rPr>
        <w:t>7</w:t>
      </w:r>
      <w:r w:rsidR="00FB4C84" w:rsidRPr="00F05EB5">
        <w:rPr>
          <w:b/>
          <w:szCs w:val="22"/>
          <w:lang w:val="nb-NO"/>
        </w:rPr>
        <w:t xml:space="preserve"> </w:t>
      </w:r>
    </w:p>
    <w:p w14:paraId="3C109BFE" w14:textId="77777777" w:rsidR="009E676E" w:rsidRPr="00F05EB5" w:rsidRDefault="00E453CD" w:rsidP="00776A84">
      <w:pPr>
        <w:pStyle w:val="EMEANormal"/>
        <w:keepNext/>
        <w:jc w:val="center"/>
        <w:rPr>
          <w:b/>
          <w:szCs w:val="22"/>
          <w:lang w:val="nb-NO"/>
        </w:rPr>
      </w:pPr>
      <w:r w:rsidRPr="00F05EB5">
        <w:rPr>
          <w:b/>
          <w:szCs w:val="22"/>
          <w:lang w:val="nb-NO"/>
        </w:rPr>
        <w:t>Tid til behandlingssvikt i studiene UV I og UV II</w:t>
      </w:r>
    </w:p>
    <w:p w14:paraId="643D336B" w14:textId="77777777" w:rsidR="009E676E" w:rsidRPr="00F05EB5" w:rsidRDefault="009E676E" w:rsidP="00776A84">
      <w:pPr>
        <w:pStyle w:val="EMEANormal"/>
        <w:keepNext/>
        <w:jc w:val="center"/>
        <w:rPr>
          <w:b/>
          <w:szCs w:val="22"/>
          <w:lang w:val="nb-NO"/>
        </w:rPr>
      </w:pPr>
    </w:p>
    <w:tbl>
      <w:tblPr>
        <w:tblW w:w="0" w:type="auto"/>
        <w:tblBorders>
          <w:top w:val="single" w:sz="4" w:space="0" w:color="auto"/>
          <w:bottom w:val="single" w:sz="4" w:space="0" w:color="auto"/>
        </w:tblBorders>
        <w:tblLook w:val="04A0" w:firstRow="1" w:lastRow="0" w:firstColumn="1" w:lastColumn="0" w:noHBand="0" w:noVBand="1"/>
      </w:tblPr>
      <w:tblGrid>
        <w:gridCol w:w="2136"/>
        <w:gridCol w:w="653"/>
        <w:gridCol w:w="1831"/>
        <w:gridCol w:w="1857"/>
        <w:gridCol w:w="680"/>
        <w:gridCol w:w="971"/>
        <w:gridCol w:w="937"/>
      </w:tblGrid>
      <w:tr w:rsidR="004644D4" w14:paraId="13AABBB5" w14:textId="77777777" w:rsidTr="00FD5FF1">
        <w:tc>
          <w:tcPr>
            <w:tcW w:w="2268" w:type="dxa"/>
            <w:tcBorders>
              <w:top w:val="single" w:sz="4" w:space="0" w:color="auto"/>
              <w:left w:val="nil"/>
              <w:bottom w:val="single" w:sz="4" w:space="0" w:color="auto"/>
              <w:right w:val="nil"/>
            </w:tcBorders>
            <w:hideMark/>
          </w:tcPr>
          <w:p w14:paraId="1AEA690A" w14:textId="77777777" w:rsidR="009E676E" w:rsidRDefault="00E453CD" w:rsidP="00FD5FF1">
            <w:pPr>
              <w:pStyle w:val="EMEANormal"/>
              <w:rPr>
                <w:b/>
                <w:szCs w:val="22"/>
              </w:rPr>
            </w:pPr>
            <w:r>
              <w:rPr>
                <w:b/>
                <w:szCs w:val="22"/>
              </w:rPr>
              <w:t>Analyse</w:t>
            </w:r>
          </w:p>
          <w:p w14:paraId="2DCC5DF4" w14:textId="77777777" w:rsidR="009E676E" w:rsidRDefault="00E453CD" w:rsidP="00FD5FF1">
            <w:pPr>
              <w:pStyle w:val="EMEANormal"/>
              <w:rPr>
                <w:b/>
                <w:szCs w:val="22"/>
              </w:rPr>
            </w:pPr>
            <w:r>
              <w:rPr>
                <w:b/>
                <w:szCs w:val="22"/>
              </w:rPr>
              <w:tab/>
              <w:t>Behandling</w:t>
            </w:r>
          </w:p>
        </w:tc>
        <w:tc>
          <w:tcPr>
            <w:tcW w:w="720" w:type="dxa"/>
            <w:tcBorders>
              <w:top w:val="single" w:sz="4" w:space="0" w:color="auto"/>
              <w:left w:val="nil"/>
              <w:bottom w:val="single" w:sz="4" w:space="0" w:color="auto"/>
              <w:right w:val="nil"/>
            </w:tcBorders>
            <w:hideMark/>
          </w:tcPr>
          <w:p w14:paraId="143D31C2" w14:textId="77777777" w:rsidR="009E676E" w:rsidRDefault="00E453CD" w:rsidP="00FD5FF1">
            <w:pPr>
              <w:pStyle w:val="EMEANormal"/>
              <w:rPr>
                <w:b/>
                <w:szCs w:val="22"/>
              </w:rPr>
            </w:pPr>
            <w:r>
              <w:rPr>
                <w:b/>
                <w:szCs w:val="22"/>
              </w:rPr>
              <w:t>N</w:t>
            </w:r>
          </w:p>
        </w:tc>
        <w:tc>
          <w:tcPr>
            <w:tcW w:w="1170" w:type="dxa"/>
            <w:tcBorders>
              <w:top w:val="single" w:sz="4" w:space="0" w:color="auto"/>
              <w:left w:val="nil"/>
              <w:bottom w:val="single" w:sz="4" w:space="0" w:color="auto"/>
              <w:right w:val="nil"/>
            </w:tcBorders>
            <w:hideMark/>
          </w:tcPr>
          <w:p w14:paraId="0AAAAA55" w14:textId="77777777" w:rsidR="009E676E" w:rsidRDefault="00E453CD" w:rsidP="00FD5FF1">
            <w:pPr>
              <w:pStyle w:val="EMEANormal"/>
              <w:rPr>
                <w:b/>
                <w:szCs w:val="22"/>
              </w:rPr>
            </w:pPr>
            <w:r>
              <w:rPr>
                <w:b/>
                <w:szCs w:val="22"/>
                <w:lang w:val="nb-NO"/>
              </w:rPr>
              <w:t>B</w:t>
            </w:r>
            <w:r w:rsidRPr="00126088">
              <w:rPr>
                <w:b/>
                <w:szCs w:val="22"/>
                <w:lang w:val="nb-NO"/>
              </w:rPr>
              <w:t>ehandlingssvikt</w:t>
            </w:r>
            <w:r>
              <w:rPr>
                <w:b/>
                <w:szCs w:val="22"/>
              </w:rPr>
              <w:br/>
              <w:t>N (%)</w:t>
            </w:r>
          </w:p>
        </w:tc>
        <w:tc>
          <w:tcPr>
            <w:tcW w:w="1890" w:type="dxa"/>
            <w:tcBorders>
              <w:top w:val="single" w:sz="4" w:space="0" w:color="auto"/>
              <w:left w:val="nil"/>
              <w:bottom w:val="single" w:sz="4" w:space="0" w:color="auto"/>
              <w:right w:val="nil"/>
            </w:tcBorders>
            <w:hideMark/>
          </w:tcPr>
          <w:p w14:paraId="505543F6" w14:textId="77777777" w:rsidR="009E676E" w:rsidRPr="00F05EB5" w:rsidRDefault="00E453CD" w:rsidP="00FD5FF1">
            <w:pPr>
              <w:pStyle w:val="EMEANormal"/>
              <w:rPr>
                <w:b/>
                <w:szCs w:val="22"/>
                <w:lang w:val="nb-NO"/>
              </w:rPr>
            </w:pPr>
            <w:r w:rsidRPr="00F05EB5">
              <w:rPr>
                <w:b/>
                <w:szCs w:val="22"/>
                <w:lang w:val="nb-NO"/>
              </w:rPr>
              <w:t>Median tid til behandlingssvikt (måneder)</w:t>
            </w:r>
          </w:p>
        </w:tc>
        <w:tc>
          <w:tcPr>
            <w:tcW w:w="720" w:type="dxa"/>
            <w:tcBorders>
              <w:top w:val="single" w:sz="4" w:space="0" w:color="auto"/>
              <w:left w:val="nil"/>
              <w:bottom w:val="single" w:sz="4" w:space="0" w:color="auto"/>
              <w:right w:val="nil"/>
            </w:tcBorders>
            <w:hideMark/>
          </w:tcPr>
          <w:p w14:paraId="721D2056" w14:textId="77777777" w:rsidR="009E676E" w:rsidRDefault="00E453CD" w:rsidP="00FD5FF1">
            <w:pPr>
              <w:pStyle w:val="EMEANormal"/>
              <w:rPr>
                <w:b/>
                <w:szCs w:val="22"/>
              </w:rPr>
            </w:pPr>
            <w:r>
              <w:rPr>
                <w:b/>
                <w:szCs w:val="22"/>
              </w:rPr>
              <w:t>HR</w:t>
            </w:r>
            <w:r>
              <w:rPr>
                <w:b/>
                <w:szCs w:val="22"/>
                <w:vertAlign w:val="superscript"/>
              </w:rPr>
              <w:t>a</w:t>
            </w:r>
          </w:p>
        </w:tc>
        <w:tc>
          <w:tcPr>
            <w:tcW w:w="1170" w:type="dxa"/>
            <w:tcBorders>
              <w:top w:val="single" w:sz="4" w:space="0" w:color="auto"/>
              <w:left w:val="nil"/>
              <w:bottom w:val="single" w:sz="4" w:space="0" w:color="auto"/>
              <w:right w:val="nil"/>
            </w:tcBorders>
            <w:hideMark/>
          </w:tcPr>
          <w:p w14:paraId="626E79A1" w14:textId="77777777" w:rsidR="009E676E" w:rsidRDefault="00E453CD" w:rsidP="00FD5FF1">
            <w:pPr>
              <w:pStyle w:val="EMEANormal"/>
              <w:rPr>
                <w:b/>
                <w:szCs w:val="22"/>
              </w:rPr>
            </w:pPr>
            <w:r>
              <w:rPr>
                <w:b/>
                <w:szCs w:val="22"/>
              </w:rPr>
              <w:t>KI 95 % for HR</w:t>
            </w:r>
            <w:r>
              <w:rPr>
                <w:b/>
                <w:szCs w:val="22"/>
                <w:vertAlign w:val="superscript"/>
              </w:rPr>
              <w:t>a</w:t>
            </w:r>
          </w:p>
        </w:tc>
        <w:tc>
          <w:tcPr>
            <w:tcW w:w="1080" w:type="dxa"/>
            <w:tcBorders>
              <w:top w:val="single" w:sz="4" w:space="0" w:color="auto"/>
              <w:left w:val="nil"/>
              <w:bottom w:val="single" w:sz="4" w:space="0" w:color="auto"/>
              <w:right w:val="nil"/>
            </w:tcBorders>
            <w:hideMark/>
          </w:tcPr>
          <w:p w14:paraId="433CEF07" w14:textId="77777777" w:rsidR="009E676E" w:rsidRDefault="00E453CD" w:rsidP="00FD5FF1">
            <w:pPr>
              <w:pStyle w:val="EMEANormal"/>
              <w:rPr>
                <w:b/>
                <w:szCs w:val="22"/>
              </w:rPr>
            </w:pPr>
            <w:r w:rsidRPr="00F05EB5">
              <w:rPr>
                <w:b/>
                <w:szCs w:val="22"/>
              </w:rPr>
              <w:t>p</w:t>
            </w:r>
            <w:r>
              <w:rPr>
                <w:b/>
                <w:i/>
                <w:szCs w:val="22"/>
              </w:rPr>
              <w:t>-</w:t>
            </w:r>
            <w:r>
              <w:rPr>
                <w:b/>
                <w:szCs w:val="22"/>
              </w:rPr>
              <w:t>verdi</w:t>
            </w:r>
            <w:r>
              <w:rPr>
                <w:szCs w:val="22"/>
                <w:vertAlign w:val="superscript"/>
              </w:rPr>
              <w:t xml:space="preserve"> b</w:t>
            </w:r>
          </w:p>
        </w:tc>
      </w:tr>
      <w:tr w:rsidR="004644D4" w14:paraId="6662476D" w14:textId="77777777" w:rsidTr="00FD5FF1">
        <w:tc>
          <w:tcPr>
            <w:tcW w:w="9018" w:type="dxa"/>
            <w:gridSpan w:val="7"/>
            <w:tcBorders>
              <w:top w:val="single" w:sz="4" w:space="0" w:color="auto"/>
              <w:left w:val="nil"/>
              <w:bottom w:val="nil"/>
              <w:right w:val="nil"/>
            </w:tcBorders>
            <w:hideMark/>
          </w:tcPr>
          <w:p w14:paraId="17EFD244" w14:textId="77777777" w:rsidR="009E676E" w:rsidRPr="00F05EB5" w:rsidRDefault="00E453CD" w:rsidP="00FD5FF1">
            <w:pPr>
              <w:pStyle w:val="EMEANormal"/>
              <w:rPr>
                <w:b/>
                <w:szCs w:val="22"/>
                <w:lang w:val="nb-NO"/>
              </w:rPr>
            </w:pPr>
            <w:r>
              <w:rPr>
                <w:b/>
                <w:szCs w:val="22"/>
                <w:lang w:val="nb-NO"/>
              </w:rPr>
              <w:t>T</w:t>
            </w:r>
            <w:r w:rsidRPr="00126088">
              <w:rPr>
                <w:b/>
                <w:szCs w:val="22"/>
                <w:lang w:val="nb-NO"/>
              </w:rPr>
              <w:t xml:space="preserve">id til behandlingssvikt </w:t>
            </w:r>
            <w:r w:rsidRPr="00F05EB5">
              <w:rPr>
                <w:b/>
                <w:szCs w:val="22"/>
                <w:lang w:val="nb-NO"/>
              </w:rPr>
              <w:t xml:space="preserve">ved eller etter uke 6 i studie UV I  </w:t>
            </w:r>
          </w:p>
        </w:tc>
      </w:tr>
      <w:tr w:rsidR="004644D4" w14:paraId="50E0CC44" w14:textId="77777777" w:rsidTr="00FD5FF1">
        <w:tc>
          <w:tcPr>
            <w:tcW w:w="2988" w:type="dxa"/>
            <w:gridSpan w:val="2"/>
            <w:tcBorders>
              <w:top w:val="nil"/>
              <w:left w:val="nil"/>
              <w:bottom w:val="nil"/>
              <w:right w:val="nil"/>
            </w:tcBorders>
            <w:hideMark/>
          </w:tcPr>
          <w:p w14:paraId="635B20CC" w14:textId="77777777" w:rsidR="009E676E" w:rsidRDefault="00E453CD" w:rsidP="00FD5FF1">
            <w:pPr>
              <w:pStyle w:val="EMEANormal"/>
              <w:rPr>
                <w:szCs w:val="22"/>
              </w:rPr>
            </w:pPr>
            <w:r>
              <w:rPr>
                <w:szCs w:val="22"/>
              </w:rPr>
              <w:t>Primæranalyse (ITT)</w:t>
            </w:r>
          </w:p>
        </w:tc>
        <w:tc>
          <w:tcPr>
            <w:tcW w:w="1170" w:type="dxa"/>
            <w:tcBorders>
              <w:top w:val="nil"/>
              <w:left w:val="nil"/>
              <w:bottom w:val="nil"/>
              <w:right w:val="nil"/>
            </w:tcBorders>
          </w:tcPr>
          <w:p w14:paraId="3A062A25" w14:textId="77777777" w:rsidR="009E676E" w:rsidRDefault="009E676E" w:rsidP="00FD5FF1">
            <w:pPr>
              <w:pStyle w:val="EMEANormal"/>
              <w:rPr>
                <w:szCs w:val="22"/>
              </w:rPr>
            </w:pPr>
          </w:p>
        </w:tc>
        <w:tc>
          <w:tcPr>
            <w:tcW w:w="1890" w:type="dxa"/>
            <w:tcBorders>
              <w:top w:val="nil"/>
              <w:left w:val="nil"/>
              <w:bottom w:val="nil"/>
              <w:right w:val="nil"/>
            </w:tcBorders>
          </w:tcPr>
          <w:p w14:paraId="198BA6D5" w14:textId="77777777" w:rsidR="009E676E" w:rsidRDefault="009E676E" w:rsidP="00FD5FF1">
            <w:pPr>
              <w:pStyle w:val="EMEANormal"/>
              <w:rPr>
                <w:szCs w:val="22"/>
              </w:rPr>
            </w:pPr>
          </w:p>
        </w:tc>
        <w:tc>
          <w:tcPr>
            <w:tcW w:w="720" w:type="dxa"/>
            <w:tcBorders>
              <w:top w:val="nil"/>
              <w:left w:val="nil"/>
              <w:bottom w:val="nil"/>
              <w:right w:val="nil"/>
            </w:tcBorders>
          </w:tcPr>
          <w:p w14:paraId="1D8C079B" w14:textId="77777777" w:rsidR="009E676E" w:rsidRDefault="009E676E" w:rsidP="00FD5FF1">
            <w:pPr>
              <w:pStyle w:val="EMEANormal"/>
              <w:rPr>
                <w:szCs w:val="22"/>
              </w:rPr>
            </w:pPr>
          </w:p>
        </w:tc>
        <w:tc>
          <w:tcPr>
            <w:tcW w:w="1170" w:type="dxa"/>
            <w:tcBorders>
              <w:top w:val="nil"/>
              <w:left w:val="nil"/>
              <w:bottom w:val="nil"/>
              <w:right w:val="nil"/>
            </w:tcBorders>
          </w:tcPr>
          <w:p w14:paraId="200C9110" w14:textId="77777777" w:rsidR="009E676E" w:rsidRDefault="009E676E" w:rsidP="00FD5FF1">
            <w:pPr>
              <w:pStyle w:val="EMEANormal"/>
              <w:rPr>
                <w:szCs w:val="22"/>
              </w:rPr>
            </w:pPr>
          </w:p>
        </w:tc>
        <w:tc>
          <w:tcPr>
            <w:tcW w:w="1080" w:type="dxa"/>
            <w:tcBorders>
              <w:top w:val="nil"/>
              <w:left w:val="nil"/>
              <w:bottom w:val="nil"/>
              <w:right w:val="nil"/>
            </w:tcBorders>
          </w:tcPr>
          <w:p w14:paraId="1D25DECB" w14:textId="77777777" w:rsidR="009E676E" w:rsidRDefault="009E676E" w:rsidP="00FD5FF1">
            <w:pPr>
              <w:pStyle w:val="EMEANormal"/>
              <w:rPr>
                <w:szCs w:val="22"/>
              </w:rPr>
            </w:pPr>
          </w:p>
        </w:tc>
      </w:tr>
      <w:tr w:rsidR="004644D4" w14:paraId="5F089678" w14:textId="77777777" w:rsidTr="00FD5FF1">
        <w:tc>
          <w:tcPr>
            <w:tcW w:w="2268" w:type="dxa"/>
            <w:tcBorders>
              <w:top w:val="nil"/>
              <w:left w:val="nil"/>
              <w:bottom w:val="nil"/>
              <w:right w:val="nil"/>
            </w:tcBorders>
            <w:hideMark/>
          </w:tcPr>
          <w:p w14:paraId="5B092139" w14:textId="77777777" w:rsidR="009E676E" w:rsidRDefault="00E453CD" w:rsidP="00FD5FF1">
            <w:pPr>
              <w:pStyle w:val="EMEANormal"/>
              <w:rPr>
                <w:szCs w:val="22"/>
              </w:rPr>
            </w:pPr>
            <w:r>
              <w:rPr>
                <w:szCs w:val="22"/>
              </w:rPr>
              <w:tab/>
              <w:t>Placebo</w:t>
            </w:r>
          </w:p>
        </w:tc>
        <w:tc>
          <w:tcPr>
            <w:tcW w:w="720" w:type="dxa"/>
            <w:tcBorders>
              <w:top w:val="nil"/>
              <w:left w:val="nil"/>
              <w:bottom w:val="nil"/>
              <w:right w:val="nil"/>
            </w:tcBorders>
            <w:hideMark/>
          </w:tcPr>
          <w:p w14:paraId="084C5D5B" w14:textId="77777777" w:rsidR="009E676E" w:rsidRDefault="00E453CD" w:rsidP="00FD5FF1">
            <w:pPr>
              <w:pStyle w:val="EMEANormal"/>
              <w:rPr>
                <w:szCs w:val="22"/>
              </w:rPr>
            </w:pPr>
            <w:r>
              <w:rPr>
                <w:szCs w:val="22"/>
              </w:rPr>
              <w:t>107</w:t>
            </w:r>
          </w:p>
        </w:tc>
        <w:tc>
          <w:tcPr>
            <w:tcW w:w="1170" w:type="dxa"/>
            <w:tcBorders>
              <w:top w:val="nil"/>
              <w:left w:val="nil"/>
              <w:bottom w:val="nil"/>
              <w:right w:val="nil"/>
            </w:tcBorders>
            <w:hideMark/>
          </w:tcPr>
          <w:p w14:paraId="74A610C5" w14:textId="77777777" w:rsidR="009E676E" w:rsidRDefault="00E453CD" w:rsidP="00FD5FF1">
            <w:pPr>
              <w:pStyle w:val="EMEANormal"/>
              <w:rPr>
                <w:szCs w:val="22"/>
              </w:rPr>
            </w:pPr>
            <w:r>
              <w:rPr>
                <w:szCs w:val="22"/>
              </w:rPr>
              <w:t>84 (78,5)</w:t>
            </w:r>
          </w:p>
        </w:tc>
        <w:tc>
          <w:tcPr>
            <w:tcW w:w="1890" w:type="dxa"/>
            <w:tcBorders>
              <w:top w:val="nil"/>
              <w:left w:val="nil"/>
              <w:bottom w:val="nil"/>
              <w:right w:val="nil"/>
            </w:tcBorders>
            <w:hideMark/>
          </w:tcPr>
          <w:p w14:paraId="21DE55EC" w14:textId="77777777" w:rsidR="009E676E" w:rsidRDefault="00E453CD" w:rsidP="00FD5FF1">
            <w:pPr>
              <w:pStyle w:val="EMEANormal"/>
              <w:rPr>
                <w:szCs w:val="22"/>
              </w:rPr>
            </w:pPr>
            <w:r>
              <w:rPr>
                <w:szCs w:val="22"/>
              </w:rPr>
              <w:t>3,0</w:t>
            </w:r>
          </w:p>
        </w:tc>
        <w:tc>
          <w:tcPr>
            <w:tcW w:w="720" w:type="dxa"/>
            <w:tcBorders>
              <w:top w:val="nil"/>
              <w:left w:val="nil"/>
              <w:bottom w:val="nil"/>
              <w:right w:val="nil"/>
            </w:tcBorders>
            <w:hideMark/>
          </w:tcPr>
          <w:p w14:paraId="6992F80D" w14:textId="77777777" w:rsidR="009E676E" w:rsidRDefault="00E453CD" w:rsidP="00FD5FF1">
            <w:pPr>
              <w:pStyle w:val="EMEANormal"/>
              <w:rPr>
                <w:szCs w:val="22"/>
              </w:rPr>
            </w:pPr>
            <w:r>
              <w:rPr>
                <w:szCs w:val="22"/>
              </w:rPr>
              <w:t>--</w:t>
            </w:r>
          </w:p>
        </w:tc>
        <w:tc>
          <w:tcPr>
            <w:tcW w:w="1170" w:type="dxa"/>
            <w:tcBorders>
              <w:top w:val="nil"/>
              <w:left w:val="nil"/>
              <w:bottom w:val="nil"/>
              <w:right w:val="nil"/>
            </w:tcBorders>
            <w:hideMark/>
          </w:tcPr>
          <w:p w14:paraId="46430934" w14:textId="77777777" w:rsidR="009E676E" w:rsidRDefault="00E453CD" w:rsidP="00FD5FF1">
            <w:pPr>
              <w:pStyle w:val="EMEANormal"/>
              <w:rPr>
                <w:szCs w:val="22"/>
              </w:rPr>
            </w:pPr>
            <w:r>
              <w:rPr>
                <w:szCs w:val="22"/>
              </w:rPr>
              <w:t>--</w:t>
            </w:r>
          </w:p>
        </w:tc>
        <w:tc>
          <w:tcPr>
            <w:tcW w:w="1080" w:type="dxa"/>
            <w:tcBorders>
              <w:top w:val="nil"/>
              <w:left w:val="nil"/>
              <w:bottom w:val="nil"/>
              <w:right w:val="nil"/>
            </w:tcBorders>
            <w:hideMark/>
          </w:tcPr>
          <w:p w14:paraId="14C4DABF" w14:textId="77777777" w:rsidR="009E676E" w:rsidRDefault="00E453CD" w:rsidP="00FD5FF1">
            <w:pPr>
              <w:pStyle w:val="EMEANormal"/>
              <w:rPr>
                <w:szCs w:val="22"/>
              </w:rPr>
            </w:pPr>
            <w:r>
              <w:rPr>
                <w:szCs w:val="22"/>
              </w:rPr>
              <w:t>--</w:t>
            </w:r>
          </w:p>
        </w:tc>
      </w:tr>
      <w:tr w:rsidR="004644D4" w14:paraId="21E607BE" w14:textId="77777777" w:rsidTr="00FD5FF1">
        <w:tc>
          <w:tcPr>
            <w:tcW w:w="2268" w:type="dxa"/>
            <w:tcBorders>
              <w:top w:val="nil"/>
              <w:left w:val="nil"/>
              <w:bottom w:val="single" w:sz="4" w:space="0" w:color="auto"/>
              <w:right w:val="nil"/>
            </w:tcBorders>
            <w:hideMark/>
          </w:tcPr>
          <w:p w14:paraId="67816590" w14:textId="77777777" w:rsidR="009E676E" w:rsidRDefault="00E453CD" w:rsidP="00FD5FF1">
            <w:pPr>
              <w:pStyle w:val="EMEANormal"/>
              <w:rPr>
                <w:szCs w:val="22"/>
              </w:rPr>
            </w:pPr>
            <w:r>
              <w:rPr>
                <w:szCs w:val="22"/>
              </w:rPr>
              <w:tab/>
              <w:t>Adalimumab</w:t>
            </w:r>
          </w:p>
        </w:tc>
        <w:tc>
          <w:tcPr>
            <w:tcW w:w="720" w:type="dxa"/>
            <w:tcBorders>
              <w:top w:val="nil"/>
              <w:left w:val="nil"/>
              <w:bottom w:val="single" w:sz="4" w:space="0" w:color="auto"/>
              <w:right w:val="nil"/>
            </w:tcBorders>
            <w:hideMark/>
          </w:tcPr>
          <w:p w14:paraId="6A223BB2" w14:textId="77777777" w:rsidR="009E676E" w:rsidRDefault="00E453CD" w:rsidP="00FD5FF1">
            <w:pPr>
              <w:pStyle w:val="EMEANormal"/>
              <w:rPr>
                <w:szCs w:val="22"/>
              </w:rPr>
            </w:pPr>
            <w:r>
              <w:rPr>
                <w:szCs w:val="22"/>
              </w:rPr>
              <w:t>110</w:t>
            </w:r>
          </w:p>
        </w:tc>
        <w:tc>
          <w:tcPr>
            <w:tcW w:w="1170" w:type="dxa"/>
            <w:tcBorders>
              <w:top w:val="nil"/>
              <w:left w:val="nil"/>
              <w:bottom w:val="single" w:sz="4" w:space="0" w:color="auto"/>
              <w:right w:val="nil"/>
            </w:tcBorders>
            <w:hideMark/>
          </w:tcPr>
          <w:p w14:paraId="3E591B91" w14:textId="77777777" w:rsidR="009E676E" w:rsidRDefault="00E453CD" w:rsidP="00FD5FF1">
            <w:pPr>
              <w:pStyle w:val="EMEANormal"/>
              <w:rPr>
                <w:szCs w:val="22"/>
              </w:rPr>
            </w:pPr>
            <w:r>
              <w:rPr>
                <w:szCs w:val="22"/>
              </w:rPr>
              <w:t>60 (54,5)</w:t>
            </w:r>
          </w:p>
        </w:tc>
        <w:tc>
          <w:tcPr>
            <w:tcW w:w="1890" w:type="dxa"/>
            <w:tcBorders>
              <w:top w:val="nil"/>
              <w:left w:val="nil"/>
              <w:bottom w:val="single" w:sz="4" w:space="0" w:color="auto"/>
              <w:right w:val="nil"/>
            </w:tcBorders>
            <w:hideMark/>
          </w:tcPr>
          <w:p w14:paraId="7B8365D6" w14:textId="77777777" w:rsidR="009E676E" w:rsidRDefault="00E453CD" w:rsidP="00FD5FF1">
            <w:pPr>
              <w:pStyle w:val="EMEANormal"/>
              <w:rPr>
                <w:szCs w:val="22"/>
              </w:rPr>
            </w:pPr>
            <w:r>
              <w:rPr>
                <w:szCs w:val="22"/>
              </w:rPr>
              <w:t>5,6</w:t>
            </w:r>
          </w:p>
        </w:tc>
        <w:tc>
          <w:tcPr>
            <w:tcW w:w="720" w:type="dxa"/>
            <w:tcBorders>
              <w:top w:val="nil"/>
              <w:left w:val="nil"/>
              <w:bottom w:val="single" w:sz="4" w:space="0" w:color="auto"/>
              <w:right w:val="nil"/>
            </w:tcBorders>
            <w:hideMark/>
          </w:tcPr>
          <w:p w14:paraId="7AE6AC9D" w14:textId="77777777" w:rsidR="009E676E" w:rsidRDefault="00E453CD" w:rsidP="00FD5FF1">
            <w:pPr>
              <w:pStyle w:val="EMEANormal"/>
              <w:rPr>
                <w:szCs w:val="22"/>
              </w:rPr>
            </w:pPr>
            <w:r>
              <w:rPr>
                <w:szCs w:val="22"/>
              </w:rPr>
              <w:t>0,50</w:t>
            </w:r>
          </w:p>
        </w:tc>
        <w:tc>
          <w:tcPr>
            <w:tcW w:w="1170" w:type="dxa"/>
            <w:tcBorders>
              <w:top w:val="nil"/>
              <w:left w:val="nil"/>
              <w:bottom w:val="single" w:sz="4" w:space="0" w:color="auto"/>
              <w:right w:val="nil"/>
            </w:tcBorders>
            <w:hideMark/>
          </w:tcPr>
          <w:p w14:paraId="7E78F632" w14:textId="77777777" w:rsidR="009E676E" w:rsidRDefault="00E453CD" w:rsidP="00FD5FF1">
            <w:pPr>
              <w:pStyle w:val="EMEANormal"/>
              <w:rPr>
                <w:szCs w:val="22"/>
              </w:rPr>
            </w:pPr>
            <w:r>
              <w:rPr>
                <w:szCs w:val="22"/>
              </w:rPr>
              <w:t>0,36, 0,70</w:t>
            </w:r>
            <w:r>
              <w:rPr>
                <w:szCs w:val="22"/>
                <w:vertAlign w:val="superscript"/>
              </w:rPr>
              <w:t xml:space="preserve"> </w:t>
            </w:r>
          </w:p>
        </w:tc>
        <w:tc>
          <w:tcPr>
            <w:tcW w:w="1080" w:type="dxa"/>
            <w:tcBorders>
              <w:top w:val="nil"/>
              <w:left w:val="nil"/>
              <w:bottom w:val="single" w:sz="4" w:space="0" w:color="auto"/>
              <w:right w:val="nil"/>
            </w:tcBorders>
            <w:hideMark/>
          </w:tcPr>
          <w:p w14:paraId="0189E36A" w14:textId="77777777" w:rsidR="009E676E" w:rsidRDefault="00E453CD" w:rsidP="00FD5FF1">
            <w:pPr>
              <w:pStyle w:val="EMEANormal"/>
              <w:rPr>
                <w:szCs w:val="22"/>
              </w:rPr>
            </w:pPr>
            <w:r>
              <w:rPr>
                <w:szCs w:val="22"/>
              </w:rPr>
              <w:t>&lt; 0,001</w:t>
            </w:r>
          </w:p>
        </w:tc>
      </w:tr>
      <w:tr w:rsidR="004644D4" w14:paraId="3FCDE1E3" w14:textId="77777777" w:rsidTr="00FD5FF1">
        <w:tc>
          <w:tcPr>
            <w:tcW w:w="9018" w:type="dxa"/>
            <w:gridSpan w:val="7"/>
            <w:tcBorders>
              <w:top w:val="single" w:sz="4" w:space="0" w:color="auto"/>
              <w:left w:val="nil"/>
              <w:bottom w:val="nil"/>
              <w:right w:val="nil"/>
            </w:tcBorders>
            <w:hideMark/>
          </w:tcPr>
          <w:p w14:paraId="10C3BA47" w14:textId="77777777" w:rsidR="009E676E" w:rsidRPr="00F05EB5" w:rsidRDefault="00E453CD" w:rsidP="00FD5FF1">
            <w:pPr>
              <w:pStyle w:val="EMEANormal"/>
              <w:rPr>
                <w:b/>
                <w:szCs w:val="22"/>
                <w:lang w:val="nb-NO"/>
              </w:rPr>
            </w:pPr>
            <w:r>
              <w:rPr>
                <w:b/>
                <w:szCs w:val="22"/>
                <w:lang w:val="nb-NO"/>
              </w:rPr>
              <w:t>T</w:t>
            </w:r>
            <w:r w:rsidRPr="00126088">
              <w:rPr>
                <w:b/>
                <w:szCs w:val="22"/>
                <w:lang w:val="nb-NO"/>
              </w:rPr>
              <w:t xml:space="preserve">id til behandlingssvikt ved eller etter </w:t>
            </w:r>
            <w:r>
              <w:rPr>
                <w:b/>
                <w:szCs w:val="22"/>
                <w:lang w:val="nb-NO"/>
              </w:rPr>
              <w:t>uke</w:t>
            </w:r>
            <w:r w:rsidRPr="00F05EB5">
              <w:rPr>
                <w:b/>
                <w:szCs w:val="22"/>
                <w:lang w:val="nb-NO"/>
              </w:rPr>
              <w:t xml:space="preserve"> 2 i studie UV II</w:t>
            </w:r>
          </w:p>
        </w:tc>
      </w:tr>
      <w:tr w:rsidR="004644D4" w14:paraId="0A9570B1" w14:textId="77777777" w:rsidTr="00FD5FF1">
        <w:tc>
          <w:tcPr>
            <w:tcW w:w="2988" w:type="dxa"/>
            <w:gridSpan w:val="2"/>
            <w:tcBorders>
              <w:top w:val="nil"/>
              <w:left w:val="nil"/>
              <w:bottom w:val="nil"/>
              <w:right w:val="nil"/>
            </w:tcBorders>
            <w:hideMark/>
          </w:tcPr>
          <w:p w14:paraId="585FAA7A" w14:textId="77777777" w:rsidR="009E676E" w:rsidRDefault="00E453CD" w:rsidP="00FD5FF1">
            <w:pPr>
              <w:pStyle w:val="EMEANormal"/>
              <w:rPr>
                <w:szCs w:val="22"/>
              </w:rPr>
            </w:pPr>
            <w:r>
              <w:rPr>
                <w:szCs w:val="22"/>
              </w:rPr>
              <w:t>Primæranalyse (ITT)</w:t>
            </w:r>
          </w:p>
        </w:tc>
        <w:tc>
          <w:tcPr>
            <w:tcW w:w="1170" w:type="dxa"/>
            <w:tcBorders>
              <w:top w:val="nil"/>
              <w:left w:val="nil"/>
              <w:bottom w:val="nil"/>
              <w:right w:val="nil"/>
            </w:tcBorders>
          </w:tcPr>
          <w:p w14:paraId="691BE6C8" w14:textId="77777777" w:rsidR="009E676E" w:rsidRDefault="009E676E" w:rsidP="00FD5FF1">
            <w:pPr>
              <w:pStyle w:val="EMEANormal"/>
              <w:rPr>
                <w:szCs w:val="22"/>
              </w:rPr>
            </w:pPr>
          </w:p>
        </w:tc>
        <w:tc>
          <w:tcPr>
            <w:tcW w:w="1890" w:type="dxa"/>
            <w:tcBorders>
              <w:top w:val="nil"/>
              <w:left w:val="nil"/>
              <w:bottom w:val="nil"/>
              <w:right w:val="nil"/>
            </w:tcBorders>
          </w:tcPr>
          <w:p w14:paraId="6E71660A" w14:textId="77777777" w:rsidR="009E676E" w:rsidRDefault="009E676E" w:rsidP="00FD5FF1">
            <w:pPr>
              <w:pStyle w:val="EMEANormal"/>
              <w:rPr>
                <w:szCs w:val="22"/>
              </w:rPr>
            </w:pPr>
          </w:p>
        </w:tc>
        <w:tc>
          <w:tcPr>
            <w:tcW w:w="720" w:type="dxa"/>
            <w:tcBorders>
              <w:top w:val="nil"/>
              <w:left w:val="nil"/>
              <w:bottom w:val="nil"/>
              <w:right w:val="nil"/>
            </w:tcBorders>
          </w:tcPr>
          <w:p w14:paraId="0F64703E" w14:textId="77777777" w:rsidR="009E676E" w:rsidRDefault="009E676E" w:rsidP="00FD5FF1">
            <w:pPr>
              <w:pStyle w:val="EMEANormal"/>
              <w:rPr>
                <w:szCs w:val="22"/>
              </w:rPr>
            </w:pPr>
          </w:p>
        </w:tc>
        <w:tc>
          <w:tcPr>
            <w:tcW w:w="1170" w:type="dxa"/>
            <w:tcBorders>
              <w:top w:val="nil"/>
              <w:left w:val="nil"/>
              <w:bottom w:val="nil"/>
              <w:right w:val="nil"/>
            </w:tcBorders>
          </w:tcPr>
          <w:p w14:paraId="1B32AF80" w14:textId="77777777" w:rsidR="009E676E" w:rsidRDefault="009E676E" w:rsidP="00FD5FF1">
            <w:pPr>
              <w:pStyle w:val="EMEANormal"/>
              <w:rPr>
                <w:szCs w:val="22"/>
              </w:rPr>
            </w:pPr>
          </w:p>
        </w:tc>
        <w:tc>
          <w:tcPr>
            <w:tcW w:w="1080" w:type="dxa"/>
            <w:tcBorders>
              <w:top w:val="nil"/>
              <w:left w:val="nil"/>
              <w:bottom w:val="nil"/>
              <w:right w:val="nil"/>
            </w:tcBorders>
          </w:tcPr>
          <w:p w14:paraId="02838517" w14:textId="77777777" w:rsidR="009E676E" w:rsidRDefault="009E676E" w:rsidP="00FD5FF1">
            <w:pPr>
              <w:pStyle w:val="EMEANormal"/>
              <w:rPr>
                <w:szCs w:val="22"/>
              </w:rPr>
            </w:pPr>
          </w:p>
        </w:tc>
      </w:tr>
      <w:tr w:rsidR="004644D4" w14:paraId="7676A867" w14:textId="77777777" w:rsidTr="00FD5FF1">
        <w:tc>
          <w:tcPr>
            <w:tcW w:w="2268" w:type="dxa"/>
            <w:tcBorders>
              <w:top w:val="nil"/>
              <w:left w:val="nil"/>
              <w:bottom w:val="nil"/>
              <w:right w:val="nil"/>
            </w:tcBorders>
            <w:hideMark/>
          </w:tcPr>
          <w:p w14:paraId="2210E5A9" w14:textId="77777777" w:rsidR="009E676E" w:rsidRDefault="00E453CD" w:rsidP="00FD5FF1">
            <w:pPr>
              <w:pStyle w:val="EMEANormal"/>
              <w:rPr>
                <w:szCs w:val="22"/>
              </w:rPr>
            </w:pPr>
            <w:r>
              <w:rPr>
                <w:szCs w:val="22"/>
              </w:rPr>
              <w:tab/>
              <w:t>Placebo</w:t>
            </w:r>
          </w:p>
        </w:tc>
        <w:tc>
          <w:tcPr>
            <w:tcW w:w="720" w:type="dxa"/>
            <w:tcBorders>
              <w:top w:val="nil"/>
              <w:left w:val="nil"/>
              <w:bottom w:val="nil"/>
              <w:right w:val="nil"/>
            </w:tcBorders>
            <w:hideMark/>
          </w:tcPr>
          <w:p w14:paraId="7D474711" w14:textId="77777777" w:rsidR="009E676E" w:rsidRDefault="00E453CD" w:rsidP="00FD5FF1">
            <w:pPr>
              <w:pStyle w:val="EMEANormal"/>
              <w:rPr>
                <w:szCs w:val="22"/>
              </w:rPr>
            </w:pPr>
            <w:r>
              <w:rPr>
                <w:szCs w:val="22"/>
              </w:rPr>
              <w:t>111</w:t>
            </w:r>
          </w:p>
        </w:tc>
        <w:tc>
          <w:tcPr>
            <w:tcW w:w="1170" w:type="dxa"/>
            <w:tcBorders>
              <w:top w:val="nil"/>
              <w:left w:val="nil"/>
              <w:bottom w:val="nil"/>
              <w:right w:val="nil"/>
            </w:tcBorders>
            <w:hideMark/>
          </w:tcPr>
          <w:p w14:paraId="327E6175" w14:textId="77777777" w:rsidR="009E676E" w:rsidRDefault="00E453CD" w:rsidP="00FD5FF1">
            <w:pPr>
              <w:pStyle w:val="EMEANormal"/>
              <w:rPr>
                <w:szCs w:val="22"/>
              </w:rPr>
            </w:pPr>
            <w:r>
              <w:rPr>
                <w:szCs w:val="22"/>
              </w:rPr>
              <w:t>61 (55,0)</w:t>
            </w:r>
          </w:p>
        </w:tc>
        <w:tc>
          <w:tcPr>
            <w:tcW w:w="1890" w:type="dxa"/>
            <w:tcBorders>
              <w:top w:val="nil"/>
              <w:left w:val="nil"/>
              <w:bottom w:val="nil"/>
              <w:right w:val="nil"/>
            </w:tcBorders>
            <w:hideMark/>
          </w:tcPr>
          <w:p w14:paraId="356D948E" w14:textId="77777777" w:rsidR="009E676E" w:rsidRDefault="00E453CD" w:rsidP="00FD5FF1">
            <w:pPr>
              <w:pStyle w:val="EMEANormal"/>
              <w:rPr>
                <w:szCs w:val="22"/>
              </w:rPr>
            </w:pPr>
            <w:r>
              <w:rPr>
                <w:szCs w:val="22"/>
              </w:rPr>
              <w:t>8,3</w:t>
            </w:r>
          </w:p>
        </w:tc>
        <w:tc>
          <w:tcPr>
            <w:tcW w:w="720" w:type="dxa"/>
            <w:tcBorders>
              <w:top w:val="nil"/>
              <w:left w:val="nil"/>
              <w:bottom w:val="nil"/>
              <w:right w:val="nil"/>
            </w:tcBorders>
            <w:hideMark/>
          </w:tcPr>
          <w:p w14:paraId="47E8D743" w14:textId="77777777" w:rsidR="009E676E" w:rsidRDefault="00E453CD" w:rsidP="00FD5FF1">
            <w:pPr>
              <w:pStyle w:val="EMEANormal"/>
              <w:rPr>
                <w:szCs w:val="22"/>
              </w:rPr>
            </w:pPr>
            <w:r>
              <w:rPr>
                <w:szCs w:val="22"/>
              </w:rPr>
              <w:t>--</w:t>
            </w:r>
          </w:p>
        </w:tc>
        <w:tc>
          <w:tcPr>
            <w:tcW w:w="1170" w:type="dxa"/>
            <w:tcBorders>
              <w:top w:val="nil"/>
              <w:left w:val="nil"/>
              <w:bottom w:val="nil"/>
              <w:right w:val="nil"/>
            </w:tcBorders>
            <w:hideMark/>
          </w:tcPr>
          <w:p w14:paraId="4A9710B6" w14:textId="77777777" w:rsidR="009E676E" w:rsidRDefault="00E453CD" w:rsidP="00FD5FF1">
            <w:pPr>
              <w:pStyle w:val="EMEANormal"/>
              <w:rPr>
                <w:szCs w:val="22"/>
              </w:rPr>
            </w:pPr>
            <w:r>
              <w:rPr>
                <w:szCs w:val="22"/>
              </w:rPr>
              <w:t>--</w:t>
            </w:r>
          </w:p>
        </w:tc>
        <w:tc>
          <w:tcPr>
            <w:tcW w:w="1080" w:type="dxa"/>
            <w:tcBorders>
              <w:top w:val="nil"/>
              <w:left w:val="nil"/>
              <w:bottom w:val="nil"/>
              <w:right w:val="nil"/>
            </w:tcBorders>
            <w:hideMark/>
          </w:tcPr>
          <w:p w14:paraId="2068FB1F" w14:textId="77777777" w:rsidR="009E676E" w:rsidRDefault="00E453CD" w:rsidP="00FD5FF1">
            <w:pPr>
              <w:pStyle w:val="EMEANormal"/>
              <w:rPr>
                <w:szCs w:val="22"/>
              </w:rPr>
            </w:pPr>
            <w:r>
              <w:rPr>
                <w:szCs w:val="22"/>
              </w:rPr>
              <w:t>--</w:t>
            </w:r>
          </w:p>
        </w:tc>
      </w:tr>
      <w:tr w:rsidR="004644D4" w14:paraId="79337A72" w14:textId="77777777" w:rsidTr="00FD5FF1">
        <w:tc>
          <w:tcPr>
            <w:tcW w:w="2268" w:type="dxa"/>
            <w:tcBorders>
              <w:top w:val="nil"/>
              <w:left w:val="nil"/>
              <w:bottom w:val="single" w:sz="4" w:space="0" w:color="auto"/>
              <w:right w:val="nil"/>
            </w:tcBorders>
            <w:hideMark/>
          </w:tcPr>
          <w:p w14:paraId="412776F2" w14:textId="77777777" w:rsidR="009E676E" w:rsidRDefault="00E453CD" w:rsidP="00FD5FF1">
            <w:pPr>
              <w:pStyle w:val="EMEANormal"/>
              <w:rPr>
                <w:szCs w:val="22"/>
              </w:rPr>
            </w:pPr>
            <w:r>
              <w:rPr>
                <w:szCs w:val="22"/>
              </w:rPr>
              <w:tab/>
              <w:t>Adalimumab</w:t>
            </w:r>
          </w:p>
        </w:tc>
        <w:tc>
          <w:tcPr>
            <w:tcW w:w="720" w:type="dxa"/>
            <w:tcBorders>
              <w:top w:val="nil"/>
              <w:left w:val="nil"/>
              <w:bottom w:val="single" w:sz="4" w:space="0" w:color="auto"/>
              <w:right w:val="nil"/>
            </w:tcBorders>
            <w:hideMark/>
          </w:tcPr>
          <w:p w14:paraId="220B01C0" w14:textId="77777777" w:rsidR="009E676E" w:rsidRDefault="00E453CD" w:rsidP="00FD5FF1">
            <w:pPr>
              <w:pStyle w:val="EMEANormal"/>
              <w:rPr>
                <w:szCs w:val="22"/>
              </w:rPr>
            </w:pPr>
            <w:r>
              <w:rPr>
                <w:szCs w:val="22"/>
              </w:rPr>
              <w:t>115</w:t>
            </w:r>
          </w:p>
        </w:tc>
        <w:tc>
          <w:tcPr>
            <w:tcW w:w="1170" w:type="dxa"/>
            <w:tcBorders>
              <w:top w:val="nil"/>
              <w:left w:val="nil"/>
              <w:bottom w:val="single" w:sz="4" w:space="0" w:color="auto"/>
              <w:right w:val="nil"/>
            </w:tcBorders>
            <w:hideMark/>
          </w:tcPr>
          <w:p w14:paraId="1B4EE271" w14:textId="77777777" w:rsidR="009E676E" w:rsidRDefault="00E453CD" w:rsidP="00FD5FF1">
            <w:pPr>
              <w:pStyle w:val="EMEANormal"/>
              <w:rPr>
                <w:szCs w:val="22"/>
              </w:rPr>
            </w:pPr>
            <w:r>
              <w:rPr>
                <w:szCs w:val="22"/>
              </w:rPr>
              <w:t>45 (39,1)</w:t>
            </w:r>
          </w:p>
        </w:tc>
        <w:tc>
          <w:tcPr>
            <w:tcW w:w="1890" w:type="dxa"/>
            <w:tcBorders>
              <w:top w:val="nil"/>
              <w:left w:val="nil"/>
              <w:bottom w:val="single" w:sz="4" w:space="0" w:color="auto"/>
              <w:right w:val="nil"/>
            </w:tcBorders>
            <w:hideMark/>
          </w:tcPr>
          <w:p w14:paraId="3C51CBAA" w14:textId="77777777" w:rsidR="009E676E" w:rsidRDefault="00E453CD" w:rsidP="00FD5FF1">
            <w:pPr>
              <w:pStyle w:val="EMEANormal"/>
              <w:rPr>
                <w:szCs w:val="22"/>
              </w:rPr>
            </w:pPr>
            <w:r>
              <w:rPr>
                <w:szCs w:val="22"/>
              </w:rPr>
              <w:t>NE</w:t>
            </w:r>
            <w:r>
              <w:rPr>
                <w:szCs w:val="22"/>
                <w:vertAlign w:val="superscript"/>
              </w:rPr>
              <w:t>c</w:t>
            </w:r>
          </w:p>
        </w:tc>
        <w:tc>
          <w:tcPr>
            <w:tcW w:w="720" w:type="dxa"/>
            <w:tcBorders>
              <w:top w:val="nil"/>
              <w:left w:val="nil"/>
              <w:bottom w:val="single" w:sz="4" w:space="0" w:color="auto"/>
              <w:right w:val="nil"/>
            </w:tcBorders>
            <w:hideMark/>
          </w:tcPr>
          <w:p w14:paraId="28FEFE98" w14:textId="77777777" w:rsidR="009E676E" w:rsidRDefault="00E453CD" w:rsidP="00FD5FF1">
            <w:pPr>
              <w:pStyle w:val="EMEANormal"/>
              <w:rPr>
                <w:szCs w:val="22"/>
              </w:rPr>
            </w:pPr>
            <w:r>
              <w:rPr>
                <w:szCs w:val="22"/>
              </w:rPr>
              <w:t>0,57</w:t>
            </w:r>
          </w:p>
        </w:tc>
        <w:tc>
          <w:tcPr>
            <w:tcW w:w="1170" w:type="dxa"/>
            <w:tcBorders>
              <w:top w:val="nil"/>
              <w:left w:val="nil"/>
              <w:bottom w:val="single" w:sz="4" w:space="0" w:color="auto"/>
              <w:right w:val="nil"/>
            </w:tcBorders>
            <w:hideMark/>
          </w:tcPr>
          <w:p w14:paraId="5979CBC8" w14:textId="77777777" w:rsidR="009E676E" w:rsidRDefault="00E453CD" w:rsidP="00FD5FF1">
            <w:pPr>
              <w:pStyle w:val="EMEANormal"/>
              <w:rPr>
                <w:szCs w:val="22"/>
              </w:rPr>
            </w:pPr>
            <w:r>
              <w:rPr>
                <w:szCs w:val="22"/>
              </w:rPr>
              <w:t>0,39, 0,84</w:t>
            </w:r>
          </w:p>
        </w:tc>
        <w:tc>
          <w:tcPr>
            <w:tcW w:w="1080" w:type="dxa"/>
            <w:tcBorders>
              <w:top w:val="nil"/>
              <w:left w:val="nil"/>
              <w:bottom w:val="single" w:sz="4" w:space="0" w:color="auto"/>
              <w:right w:val="nil"/>
            </w:tcBorders>
            <w:hideMark/>
          </w:tcPr>
          <w:p w14:paraId="308BAB32" w14:textId="77777777" w:rsidR="009E676E" w:rsidRDefault="00E453CD" w:rsidP="00FD5FF1">
            <w:pPr>
              <w:pStyle w:val="EMEANormal"/>
              <w:rPr>
                <w:szCs w:val="22"/>
              </w:rPr>
            </w:pPr>
            <w:r>
              <w:rPr>
                <w:szCs w:val="22"/>
              </w:rPr>
              <w:t>0,004</w:t>
            </w:r>
          </w:p>
        </w:tc>
      </w:tr>
    </w:tbl>
    <w:p w14:paraId="46ED6D16" w14:textId="77777777" w:rsidR="009E676E" w:rsidRPr="00F05EB5" w:rsidRDefault="00E453CD" w:rsidP="009E676E">
      <w:pPr>
        <w:pStyle w:val="EMEANormal"/>
        <w:rPr>
          <w:szCs w:val="22"/>
          <w:lang w:val="nb-NO"/>
        </w:rPr>
      </w:pPr>
      <w:r w:rsidRPr="00F9139E">
        <w:rPr>
          <w:szCs w:val="22"/>
          <w:lang w:val="nb-NO"/>
        </w:rPr>
        <w:lastRenderedPageBreak/>
        <w:t>Merk</w:t>
      </w:r>
      <w:r w:rsidRPr="00F05EB5">
        <w:rPr>
          <w:szCs w:val="22"/>
          <w:lang w:val="nb-NO"/>
        </w:rPr>
        <w:t>:  B</w:t>
      </w:r>
      <w:r w:rsidRPr="00F9139E">
        <w:rPr>
          <w:szCs w:val="22"/>
          <w:lang w:val="nb-NO"/>
        </w:rPr>
        <w:t xml:space="preserve">ehandlingssvikt </w:t>
      </w:r>
      <w:r>
        <w:rPr>
          <w:szCs w:val="22"/>
          <w:lang w:val="nb-NO"/>
        </w:rPr>
        <w:t>ved</w:t>
      </w:r>
      <w:r w:rsidRPr="00F05EB5">
        <w:rPr>
          <w:szCs w:val="22"/>
          <w:lang w:val="nb-NO"/>
        </w:rPr>
        <w:t xml:space="preserve"> eller etter uke</w:t>
      </w:r>
      <w:r w:rsidRPr="00F9139E">
        <w:rPr>
          <w:szCs w:val="22"/>
          <w:lang w:val="nb-NO"/>
        </w:rPr>
        <w:t xml:space="preserve"> 6 (</w:t>
      </w:r>
      <w:r>
        <w:rPr>
          <w:szCs w:val="22"/>
          <w:lang w:val="nb-NO"/>
        </w:rPr>
        <w:t>studie</w:t>
      </w:r>
      <w:r w:rsidRPr="00F05EB5">
        <w:rPr>
          <w:szCs w:val="22"/>
          <w:lang w:val="nb-NO"/>
        </w:rPr>
        <w:t xml:space="preserve"> UV I), </w:t>
      </w:r>
      <w:r>
        <w:rPr>
          <w:szCs w:val="22"/>
          <w:lang w:val="nb-NO"/>
        </w:rPr>
        <w:t xml:space="preserve">eller ved eller etter uke </w:t>
      </w:r>
      <w:r w:rsidRPr="00F9139E">
        <w:rPr>
          <w:szCs w:val="22"/>
          <w:lang w:val="nb-NO"/>
        </w:rPr>
        <w:t>2 (</w:t>
      </w:r>
      <w:r>
        <w:rPr>
          <w:szCs w:val="22"/>
          <w:lang w:val="nb-NO"/>
        </w:rPr>
        <w:t>studie</w:t>
      </w:r>
      <w:r w:rsidRPr="00F05EB5">
        <w:rPr>
          <w:szCs w:val="22"/>
          <w:lang w:val="nb-NO"/>
        </w:rPr>
        <w:t xml:space="preserve"> UV II), </w:t>
      </w:r>
      <w:r>
        <w:rPr>
          <w:szCs w:val="22"/>
          <w:lang w:val="nb-NO"/>
        </w:rPr>
        <w:t>ble</w:t>
      </w:r>
      <w:r w:rsidRPr="00F05EB5">
        <w:rPr>
          <w:szCs w:val="22"/>
          <w:lang w:val="nb-NO"/>
        </w:rPr>
        <w:t xml:space="preserve"> </w:t>
      </w:r>
      <w:r>
        <w:rPr>
          <w:szCs w:val="22"/>
          <w:lang w:val="nb-NO"/>
        </w:rPr>
        <w:t>regnet som en hendelse</w:t>
      </w:r>
      <w:r w:rsidRPr="00F05EB5">
        <w:rPr>
          <w:szCs w:val="22"/>
          <w:lang w:val="nb-NO"/>
        </w:rPr>
        <w:t xml:space="preserve">. </w:t>
      </w:r>
      <w:r>
        <w:rPr>
          <w:szCs w:val="22"/>
          <w:lang w:val="nb-NO"/>
        </w:rPr>
        <w:t xml:space="preserve">Frafall </w:t>
      </w:r>
      <w:r w:rsidRPr="00F05EB5">
        <w:rPr>
          <w:szCs w:val="22"/>
          <w:lang w:val="nb-NO"/>
        </w:rPr>
        <w:t>som skyld</w:t>
      </w:r>
      <w:r>
        <w:rPr>
          <w:szCs w:val="22"/>
          <w:lang w:val="nb-NO"/>
        </w:rPr>
        <w:t>t</w:t>
      </w:r>
      <w:r w:rsidRPr="00F05EB5">
        <w:rPr>
          <w:szCs w:val="22"/>
          <w:lang w:val="nb-NO"/>
        </w:rPr>
        <w:t xml:space="preserve">es andre </w:t>
      </w:r>
      <w:r w:rsidR="009019DA">
        <w:rPr>
          <w:szCs w:val="22"/>
          <w:lang w:val="nb-NO"/>
        </w:rPr>
        <w:t>årsaker</w:t>
      </w:r>
      <w:r w:rsidRPr="00F05EB5">
        <w:rPr>
          <w:szCs w:val="22"/>
          <w:lang w:val="nb-NO"/>
        </w:rPr>
        <w:t xml:space="preserve"> enn behandlingssvikt ble sensurert på tidspunktet for </w:t>
      </w:r>
      <w:r>
        <w:rPr>
          <w:szCs w:val="22"/>
          <w:lang w:val="nb-NO"/>
        </w:rPr>
        <w:t>frafall</w:t>
      </w:r>
      <w:r w:rsidRPr="00F05EB5">
        <w:rPr>
          <w:szCs w:val="22"/>
          <w:lang w:val="nb-NO"/>
        </w:rPr>
        <w:t>.</w:t>
      </w:r>
    </w:p>
    <w:p w14:paraId="1D7EC0A2" w14:textId="77777777" w:rsidR="009E676E" w:rsidRPr="00F05EB5" w:rsidRDefault="00E453CD" w:rsidP="00A15CB1">
      <w:pPr>
        <w:pStyle w:val="EMEANormal"/>
        <w:numPr>
          <w:ilvl w:val="0"/>
          <w:numId w:val="128"/>
        </w:numPr>
        <w:rPr>
          <w:szCs w:val="22"/>
          <w:lang w:val="nb-NO"/>
        </w:rPr>
      </w:pPr>
      <w:r w:rsidRPr="00F05EB5">
        <w:rPr>
          <w:szCs w:val="22"/>
          <w:lang w:val="nb-NO"/>
        </w:rPr>
        <w:t>HR av</w:t>
      </w:r>
      <w:r w:rsidRPr="00DF55BB">
        <w:rPr>
          <w:szCs w:val="22"/>
          <w:lang w:val="nb-NO"/>
        </w:rPr>
        <w:t xml:space="preserve"> adalimumab vs placebo fr</w:t>
      </w:r>
      <w:r>
        <w:rPr>
          <w:szCs w:val="22"/>
          <w:lang w:val="nb-NO"/>
        </w:rPr>
        <w:t>a</w:t>
      </w:r>
      <w:r w:rsidRPr="00F05EB5">
        <w:rPr>
          <w:szCs w:val="22"/>
          <w:lang w:val="nb-NO"/>
        </w:rPr>
        <w:t xml:space="preserve"> </w:t>
      </w:r>
      <w:r w:rsidR="00D57009">
        <w:rPr>
          <w:szCs w:val="22"/>
          <w:lang w:val="nb-NO"/>
        </w:rPr>
        <w:t>«</w:t>
      </w:r>
      <w:r w:rsidRPr="00F05EB5">
        <w:rPr>
          <w:szCs w:val="22"/>
          <w:lang w:val="nb-NO"/>
        </w:rPr>
        <w:t>proportional hazards regression</w:t>
      </w:r>
      <w:r>
        <w:rPr>
          <w:szCs w:val="22"/>
          <w:lang w:val="nb-NO"/>
        </w:rPr>
        <w:t>’</w:t>
      </w:r>
      <w:r w:rsidRPr="00F05EB5">
        <w:rPr>
          <w:szCs w:val="22"/>
          <w:lang w:val="nb-NO"/>
        </w:rPr>
        <w:t xml:space="preserve"> med behandling som faktor.</w:t>
      </w:r>
    </w:p>
    <w:p w14:paraId="22B0BFF3" w14:textId="77777777" w:rsidR="009E676E" w:rsidRPr="00F05EB5" w:rsidRDefault="00E453CD" w:rsidP="00A15CB1">
      <w:pPr>
        <w:pStyle w:val="EMEANormal"/>
        <w:numPr>
          <w:ilvl w:val="0"/>
          <w:numId w:val="128"/>
        </w:numPr>
        <w:rPr>
          <w:szCs w:val="22"/>
          <w:lang w:val="nb-NO"/>
        </w:rPr>
      </w:pPr>
      <w:r w:rsidRPr="00F05EB5">
        <w:rPr>
          <w:szCs w:val="22"/>
          <w:lang w:val="nb-NO"/>
        </w:rPr>
        <w:t>2-sidet p-verdi fra log rank test.</w:t>
      </w:r>
    </w:p>
    <w:p w14:paraId="71C0907C" w14:textId="77777777" w:rsidR="009E676E" w:rsidRPr="00F05EB5" w:rsidRDefault="00E453CD" w:rsidP="00A15CB1">
      <w:pPr>
        <w:pStyle w:val="EMEANormal"/>
        <w:numPr>
          <w:ilvl w:val="0"/>
          <w:numId w:val="128"/>
        </w:numPr>
        <w:rPr>
          <w:szCs w:val="22"/>
          <w:lang w:val="nb-NO"/>
        </w:rPr>
      </w:pPr>
      <w:r w:rsidRPr="00F05EB5">
        <w:rPr>
          <w:szCs w:val="22"/>
          <w:lang w:val="nb-NO"/>
        </w:rPr>
        <w:t xml:space="preserve">NE = kan ikke estimeres. Færre enn halvparten av </w:t>
      </w:r>
      <w:r>
        <w:rPr>
          <w:szCs w:val="22"/>
          <w:lang w:val="nb-NO"/>
        </w:rPr>
        <w:t>risiko</w:t>
      </w:r>
      <w:r w:rsidRPr="00F05EB5">
        <w:rPr>
          <w:szCs w:val="22"/>
          <w:lang w:val="nb-NO"/>
        </w:rPr>
        <w:t>pasientene</w:t>
      </w:r>
      <w:r>
        <w:rPr>
          <w:szCs w:val="22"/>
          <w:lang w:val="nb-NO"/>
        </w:rPr>
        <w:t xml:space="preserve"> hadde en hendelse</w:t>
      </w:r>
      <w:r w:rsidRPr="00F05EB5">
        <w:rPr>
          <w:szCs w:val="22"/>
          <w:lang w:val="nb-NO"/>
        </w:rPr>
        <w:t xml:space="preserve">. </w:t>
      </w:r>
    </w:p>
    <w:p w14:paraId="0373E2A1" w14:textId="77777777" w:rsidR="009E676E" w:rsidRPr="00F05EB5" w:rsidRDefault="009E676E" w:rsidP="009E676E">
      <w:pPr>
        <w:pStyle w:val="EMEANormal"/>
        <w:rPr>
          <w:szCs w:val="22"/>
          <w:lang w:val="nb-NO"/>
        </w:rPr>
      </w:pPr>
    </w:p>
    <w:p w14:paraId="0FC9FE74" w14:textId="77777777" w:rsidR="009E676E" w:rsidRPr="00F05EB5" w:rsidRDefault="00E453CD" w:rsidP="009E676E">
      <w:pPr>
        <w:pStyle w:val="EMEANormal"/>
        <w:keepNext/>
        <w:jc w:val="center"/>
        <w:rPr>
          <w:b/>
          <w:szCs w:val="22"/>
          <w:lang w:val="nb-NO"/>
        </w:rPr>
      </w:pPr>
      <w:r w:rsidRPr="00F05EB5">
        <w:rPr>
          <w:b/>
          <w:szCs w:val="22"/>
          <w:lang w:val="nb-NO"/>
        </w:rPr>
        <w:t xml:space="preserve">Figur 1: Kaplan-Meier kurver som </w:t>
      </w:r>
      <w:r>
        <w:rPr>
          <w:b/>
          <w:szCs w:val="22"/>
          <w:lang w:val="nb-NO"/>
        </w:rPr>
        <w:t>opp</w:t>
      </w:r>
      <w:r w:rsidRPr="00F05EB5">
        <w:rPr>
          <w:b/>
          <w:szCs w:val="22"/>
          <w:lang w:val="nb-NO"/>
        </w:rPr>
        <w:t xml:space="preserve">summerer tid til behandlingssvikt </w:t>
      </w:r>
      <w:r>
        <w:rPr>
          <w:b/>
          <w:szCs w:val="22"/>
          <w:lang w:val="nb-NO"/>
        </w:rPr>
        <w:t>ved</w:t>
      </w:r>
      <w:r w:rsidRPr="00F05EB5">
        <w:rPr>
          <w:b/>
          <w:szCs w:val="22"/>
          <w:lang w:val="nb-NO"/>
        </w:rPr>
        <w:t xml:space="preserve"> eller etter </w:t>
      </w:r>
      <w:r>
        <w:rPr>
          <w:b/>
          <w:szCs w:val="22"/>
          <w:lang w:val="nb-NO"/>
        </w:rPr>
        <w:t>uke</w:t>
      </w:r>
      <w:r w:rsidRPr="00F05EB5">
        <w:rPr>
          <w:b/>
          <w:szCs w:val="22"/>
          <w:lang w:val="nb-NO"/>
        </w:rPr>
        <w:t xml:space="preserve"> 6 (</w:t>
      </w:r>
      <w:r>
        <w:rPr>
          <w:b/>
          <w:szCs w:val="22"/>
          <w:lang w:val="nb-NO"/>
        </w:rPr>
        <w:t>studie</w:t>
      </w:r>
      <w:r w:rsidRPr="00F05EB5">
        <w:rPr>
          <w:b/>
          <w:szCs w:val="22"/>
          <w:lang w:val="nb-NO"/>
        </w:rPr>
        <w:t xml:space="preserve"> UV I) </w:t>
      </w:r>
      <w:r>
        <w:rPr>
          <w:b/>
          <w:szCs w:val="22"/>
          <w:lang w:val="nb-NO"/>
        </w:rPr>
        <w:t>eller uke</w:t>
      </w:r>
      <w:r w:rsidRPr="00F9139E">
        <w:rPr>
          <w:b/>
          <w:szCs w:val="22"/>
          <w:lang w:val="nb-NO"/>
        </w:rPr>
        <w:t xml:space="preserve"> 2 (</w:t>
      </w:r>
      <w:r>
        <w:rPr>
          <w:b/>
          <w:szCs w:val="22"/>
          <w:lang w:val="nb-NO"/>
        </w:rPr>
        <w:t>studie</w:t>
      </w:r>
      <w:r w:rsidRPr="00F05EB5">
        <w:rPr>
          <w:b/>
          <w:szCs w:val="22"/>
          <w:lang w:val="nb-NO"/>
        </w:rPr>
        <w:t xml:space="preserve"> UV II) </w:t>
      </w:r>
    </w:p>
    <w:p w14:paraId="533351F3" w14:textId="77777777" w:rsidR="009E676E" w:rsidRPr="00F05EB5" w:rsidRDefault="009E676E" w:rsidP="009E676E">
      <w:pPr>
        <w:pStyle w:val="EMEANormal"/>
        <w:keepNext/>
        <w:jc w:val="center"/>
        <w:rPr>
          <w:b/>
          <w:szCs w:val="22"/>
          <w:lang w:val="nb-NO"/>
        </w:rPr>
      </w:pPr>
    </w:p>
    <w:tbl>
      <w:tblPr>
        <w:tblW w:w="9285" w:type="dxa"/>
        <w:tblLayout w:type="fixed"/>
        <w:tblLook w:val="04A0" w:firstRow="1" w:lastRow="0" w:firstColumn="1" w:lastColumn="0" w:noHBand="0" w:noVBand="1"/>
      </w:tblPr>
      <w:tblGrid>
        <w:gridCol w:w="481"/>
        <w:gridCol w:w="3495"/>
        <w:gridCol w:w="1170"/>
        <w:gridCol w:w="1350"/>
        <w:gridCol w:w="900"/>
        <w:gridCol w:w="1889"/>
      </w:tblGrid>
      <w:tr w:rsidR="004644D4" w14:paraId="57870B87" w14:textId="77777777" w:rsidTr="00FD5FF1">
        <w:trPr>
          <w:cantSplit/>
          <w:trHeight w:val="3806"/>
        </w:trPr>
        <w:tc>
          <w:tcPr>
            <w:tcW w:w="482" w:type="dxa"/>
            <w:textDirection w:val="btLr"/>
            <w:vAlign w:val="bottom"/>
            <w:hideMark/>
          </w:tcPr>
          <w:p w14:paraId="72DBBEC0" w14:textId="77777777" w:rsidR="009E676E" w:rsidRDefault="00E453CD" w:rsidP="00FD5FF1">
            <w:pPr>
              <w:pStyle w:val="EMEANormal"/>
              <w:keepNext/>
              <w:ind w:left="113" w:right="113"/>
              <w:jc w:val="center"/>
              <w:rPr>
                <w:b/>
                <w:szCs w:val="22"/>
              </w:rPr>
            </w:pPr>
            <w:r>
              <w:rPr>
                <w:b/>
                <w:szCs w:val="22"/>
              </w:rPr>
              <w:t>BEHANDLINGSSVIKT (%)</w:t>
            </w:r>
          </w:p>
        </w:tc>
        <w:tc>
          <w:tcPr>
            <w:tcW w:w="8806" w:type="dxa"/>
            <w:gridSpan w:val="5"/>
            <w:vAlign w:val="bottom"/>
            <w:hideMark/>
          </w:tcPr>
          <w:p w14:paraId="7331C608" w14:textId="77777777" w:rsidR="009E676E" w:rsidRDefault="00E453CD" w:rsidP="00FD5FF1">
            <w:pPr>
              <w:pStyle w:val="EMEANormal"/>
              <w:keepNext/>
              <w:rPr>
                <w:szCs w:val="22"/>
              </w:rPr>
            </w:pPr>
            <w:r>
              <w:rPr>
                <w:noProof/>
                <w:lang w:val="en-GB" w:eastAsia="en-GB"/>
              </w:rPr>
              <w:drawing>
                <wp:inline distT="0" distB="0" distL="0" distR="0" wp14:anchorId="7982493C" wp14:editId="16406E19">
                  <wp:extent cx="5486400" cy="2210435"/>
                  <wp:effectExtent l="0" t="0" r="0" b="0"/>
                  <wp:docPr id="51" name="Picture 5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descr="Humira Uveitis Figure 5_6"/>
                          <pic:cNvPicPr>
                            <a:picLocks noChangeAspect="1" noChangeArrowheads="1"/>
                          </pic:cNvPicPr>
                        </pic:nvPicPr>
                        <pic:blipFill>
                          <a:blip r:embed="rId22" r:link="rId23">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p>
        </w:tc>
      </w:tr>
      <w:tr w:rsidR="004644D4" w14:paraId="702EF0CA" w14:textId="77777777" w:rsidTr="00FD5FF1">
        <w:tc>
          <w:tcPr>
            <w:tcW w:w="482" w:type="dxa"/>
          </w:tcPr>
          <w:p w14:paraId="72D22629" w14:textId="77777777" w:rsidR="009E676E" w:rsidRDefault="009E676E" w:rsidP="00FD5FF1">
            <w:pPr>
              <w:pStyle w:val="EMEANormal"/>
              <w:rPr>
                <w:szCs w:val="22"/>
              </w:rPr>
            </w:pPr>
          </w:p>
        </w:tc>
        <w:tc>
          <w:tcPr>
            <w:tcW w:w="8806" w:type="dxa"/>
            <w:gridSpan w:val="5"/>
            <w:hideMark/>
          </w:tcPr>
          <w:p w14:paraId="030EF739" w14:textId="77777777" w:rsidR="009E676E" w:rsidRDefault="00E453CD" w:rsidP="00FD5FF1">
            <w:pPr>
              <w:pStyle w:val="EMEANormal"/>
              <w:jc w:val="center"/>
              <w:rPr>
                <w:b/>
                <w:szCs w:val="22"/>
              </w:rPr>
            </w:pPr>
            <w:r>
              <w:rPr>
                <w:b/>
                <w:szCs w:val="22"/>
              </w:rPr>
              <w:t>TID (MÅNEDER)</w:t>
            </w:r>
          </w:p>
        </w:tc>
      </w:tr>
      <w:tr w:rsidR="004644D4" w14:paraId="6F5CF70E" w14:textId="77777777" w:rsidTr="00FD5FF1">
        <w:tc>
          <w:tcPr>
            <w:tcW w:w="482" w:type="dxa"/>
          </w:tcPr>
          <w:p w14:paraId="53D8603B" w14:textId="77777777" w:rsidR="009E676E" w:rsidRDefault="009E676E" w:rsidP="00FD5FF1">
            <w:pPr>
              <w:pStyle w:val="EMEANormal"/>
              <w:rPr>
                <w:szCs w:val="22"/>
              </w:rPr>
            </w:pPr>
          </w:p>
        </w:tc>
        <w:tc>
          <w:tcPr>
            <w:tcW w:w="3496" w:type="dxa"/>
            <w:hideMark/>
          </w:tcPr>
          <w:p w14:paraId="2EF0A91A" w14:textId="77777777" w:rsidR="009E676E" w:rsidRDefault="00E453CD" w:rsidP="00FD5FF1">
            <w:pPr>
              <w:pStyle w:val="EMEANormal"/>
              <w:rPr>
                <w:szCs w:val="22"/>
              </w:rPr>
            </w:pPr>
            <w:r>
              <w:rPr>
                <w:szCs w:val="22"/>
              </w:rPr>
              <w:t>Studie UV I                     Behandling</w:t>
            </w:r>
          </w:p>
        </w:tc>
        <w:tc>
          <w:tcPr>
            <w:tcW w:w="1170" w:type="dxa"/>
            <w:hideMark/>
          </w:tcPr>
          <w:p w14:paraId="619412F9" w14:textId="77777777" w:rsidR="009E676E" w:rsidRDefault="00E453CD" w:rsidP="00FD5FF1">
            <w:pPr>
              <w:pStyle w:val="EMEANormal"/>
              <w:jc w:val="right"/>
              <w:rPr>
                <w:szCs w:val="22"/>
              </w:rPr>
            </w:pPr>
            <w:r>
              <w:rPr>
                <w:noProof/>
                <w:szCs w:val="22"/>
                <w:lang w:val="en-GB" w:eastAsia="en-GB"/>
              </w:rPr>
              <w:drawing>
                <wp:inline distT="0" distB="0" distL="0" distR="0" wp14:anchorId="40CC6CC1" wp14:editId="7D750060">
                  <wp:extent cx="400050" cy="180975"/>
                  <wp:effectExtent l="0" t="0" r="0" b="9525"/>
                  <wp:docPr id="52" name="Picture 5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hideMark/>
          </w:tcPr>
          <w:p w14:paraId="08A8D412" w14:textId="77777777" w:rsidR="009E676E" w:rsidRDefault="00E453CD" w:rsidP="00FD5FF1">
            <w:pPr>
              <w:pStyle w:val="EMEANormal"/>
              <w:rPr>
                <w:szCs w:val="22"/>
              </w:rPr>
            </w:pPr>
            <w:r>
              <w:rPr>
                <w:szCs w:val="22"/>
              </w:rPr>
              <w:t>Placebo</w:t>
            </w:r>
          </w:p>
        </w:tc>
        <w:tc>
          <w:tcPr>
            <w:tcW w:w="900" w:type="dxa"/>
            <w:hideMark/>
          </w:tcPr>
          <w:p w14:paraId="4FDC6272" w14:textId="77777777" w:rsidR="009E676E" w:rsidRDefault="00E453CD" w:rsidP="00FD5FF1">
            <w:pPr>
              <w:pStyle w:val="EMEANormal"/>
              <w:jc w:val="right"/>
              <w:rPr>
                <w:szCs w:val="22"/>
              </w:rPr>
            </w:pPr>
            <w:r>
              <w:rPr>
                <w:noProof/>
                <w:szCs w:val="22"/>
                <w:lang w:val="en-GB" w:eastAsia="en-GB"/>
              </w:rPr>
              <w:drawing>
                <wp:inline distT="0" distB="0" distL="0" distR="0" wp14:anchorId="0C9C6208" wp14:editId="666989D2">
                  <wp:extent cx="561975" cy="180975"/>
                  <wp:effectExtent l="0" t="0" r="9525" b="9525"/>
                  <wp:docPr id="55" name="Picture 5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hideMark/>
          </w:tcPr>
          <w:p w14:paraId="54B99A30" w14:textId="77777777" w:rsidR="009E676E" w:rsidRDefault="00E453CD" w:rsidP="00FD5FF1">
            <w:pPr>
              <w:pStyle w:val="EMEANormal"/>
              <w:rPr>
                <w:szCs w:val="22"/>
              </w:rPr>
            </w:pPr>
            <w:r>
              <w:rPr>
                <w:szCs w:val="22"/>
              </w:rPr>
              <w:t>Adalimumab</w:t>
            </w:r>
          </w:p>
        </w:tc>
      </w:tr>
      <w:tr w:rsidR="004644D4" w14:paraId="2CA78508" w14:textId="77777777" w:rsidTr="00FD5FF1">
        <w:trPr>
          <w:trHeight w:val="3869"/>
        </w:trPr>
        <w:tc>
          <w:tcPr>
            <w:tcW w:w="482" w:type="dxa"/>
            <w:textDirection w:val="btLr"/>
            <w:vAlign w:val="bottom"/>
            <w:hideMark/>
          </w:tcPr>
          <w:p w14:paraId="5C7EC933" w14:textId="77777777" w:rsidR="009E676E" w:rsidRDefault="00E453CD" w:rsidP="00FD5FF1">
            <w:pPr>
              <w:pStyle w:val="EMEANormal"/>
              <w:jc w:val="center"/>
              <w:rPr>
                <w:szCs w:val="22"/>
              </w:rPr>
            </w:pPr>
            <w:r>
              <w:rPr>
                <w:b/>
                <w:szCs w:val="22"/>
              </w:rPr>
              <w:t>BEHANDLINGSSVIKT (%)</w:t>
            </w:r>
          </w:p>
        </w:tc>
        <w:tc>
          <w:tcPr>
            <w:tcW w:w="8806" w:type="dxa"/>
            <w:gridSpan w:val="5"/>
            <w:vAlign w:val="bottom"/>
            <w:hideMark/>
          </w:tcPr>
          <w:p w14:paraId="06F97FC6" w14:textId="77777777" w:rsidR="009E676E" w:rsidRDefault="00E453CD" w:rsidP="00FD5FF1">
            <w:pPr>
              <w:pStyle w:val="EMEANormal"/>
              <w:rPr>
                <w:szCs w:val="22"/>
              </w:rPr>
            </w:pPr>
            <w:r>
              <w:rPr>
                <w:noProof/>
                <w:szCs w:val="22"/>
                <w:lang w:val="en-GB" w:eastAsia="en-GB"/>
              </w:rPr>
              <w:drawing>
                <wp:inline distT="0" distB="0" distL="0" distR="0" wp14:anchorId="79D930FA" wp14:editId="1C38D20C">
                  <wp:extent cx="5486400" cy="2181225"/>
                  <wp:effectExtent l="0" t="0" r="0" b="9525"/>
                  <wp:docPr id="67" name="Picture 6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r w:rsidR="004644D4" w14:paraId="627AFEBA" w14:textId="77777777" w:rsidTr="00FD5FF1">
        <w:tc>
          <w:tcPr>
            <w:tcW w:w="482" w:type="dxa"/>
          </w:tcPr>
          <w:p w14:paraId="31A73CEE" w14:textId="77777777" w:rsidR="009E676E" w:rsidRDefault="009E676E" w:rsidP="00FD5FF1">
            <w:pPr>
              <w:pStyle w:val="EMEANormal"/>
              <w:rPr>
                <w:szCs w:val="22"/>
              </w:rPr>
            </w:pPr>
          </w:p>
        </w:tc>
        <w:tc>
          <w:tcPr>
            <w:tcW w:w="8806" w:type="dxa"/>
            <w:gridSpan w:val="5"/>
            <w:hideMark/>
          </w:tcPr>
          <w:p w14:paraId="77D932B3" w14:textId="77777777" w:rsidR="009E676E" w:rsidRDefault="00E453CD" w:rsidP="00FD5FF1">
            <w:pPr>
              <w:pStyle w:val="EMEANormal"/>
              <w:jc w:val="center"/>
              <w:rPr>
                <w:b/>
                <w:szCs w:val="22"/>
              </w:rPr>
            </w:pPr>
            <w:r>
              <w:rPr>
                <w:b/>
                <w:szCs w:val="22"/>
              </w:rPr>
              <w:t>TID (MÅNEDER)</w:t>
            </w:r>
          </w:p>
        </w:tc>
      </w:tr>
      <w:tr w:rsidR="004644D4" w14:paraId="4AFA6ADD" w14:textId="77777777" w:rsidTr="00FD5FF1">
        <w:trPr>
          <w:trHeight w:val="369"/>
        </w:trPr>
        <w:tc>
          <w:tcPr>
            <w:tcW w:w="482" w:type="dxa"/>
          </w:tcPr>
          <w:p w14:paraId="238B0F99" w14:textId="77777777" w:rsidR="009E676E" w:rsidRDefault="009E676E" w:rsidP="00FD5FF1">
            <w:pPr>
              <w:pStyle w:val="EMEANormal"/>
              <w:rPr>
                <w:szCs w:val="22"/>
              </w:rPr>
            </w:pPr>
          </w:p>
        </w:tc>
        <w:tc>
          <w:tcPr>
            <w:tcW w:w="3496" w:type="dxa"/>
            <w:hideMark/>
          </w:tcPr>
          <w:p w14:paraId="28E214E2" w14:textId="77777777" w:rsidR="009E676E" w:rsidRDefault="00E453CD" w:rsidP="00FD5FF1">
            <w:pPr>
              <w:pStyle w:val="EMEANormal"/>
              <w:rPr>
                <w:szCs w:val="22"/>
              </w:rPr>
            </w:pPr>
            <w:r>
              <w:rPr>
                <w:szCs w:val="22"/>
              </w:rPr>
              <w:t>Studie UV II                    Behandling</w:t>
            </w:r>
          </w:p>
        </w:tc>
        <w:tc>
          <w:tcPr>
            <w:tcW w:w="1170" w:type="dxa"/>
            <w:hideMark/>
          </w:tcPr>
          <w:p w14:paraId="0447F3B4" w14:textId="77777777" w:rsidR="009E676E" w:rsidRDefault="00E453CD" w:rsidP="00FD5FF1">
            <w:pPr>
              <w:pStyle w:val="EMEANormal"/>
              <w:jc w:val="right"/>
              <w:rPr>
                <w:szCs w:val="22"/>
              </w:rPr>
            </w:pPr>
            <w:r>
              <w:rPr>
                <w:noProof/>
                <w:szCs w:val="22"/>
                <w:lang w:val="en-GB" w:eastAsia="en-GB"/>
              </w:rPr>
              <w:drawing>
                <wp:inline distT="0" distB="0" distL="0" distR="0" wp14:anchorId="4ADEC723" wp14:editId="5F8A6D11">
                  <wp:extent cx="400050" cy="180975"/>
                  <wp:effectExtent l="0" t="0" r="0" b="9525"/>
                  <wp:docPr id="73" name="Picture 7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6"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00050" cy="180975"/>
                          </a:xfrm>
                          <a:prstGeom prst="rect">
                            <a:avLst/>
                          </a:prstGeom>
                          <a:noFill/>
                          <a:ln>
                            <a:noFill/>
                          </a:ln>
                        </pic:spPr>
                      </pic:pic>
                    </a:graphicData>
                  </a:graphic>
                </wp:inline>
              </w:drawing>
            </w:r>
          </w:p>
        </w:tc>
        <w:tc>
          <w:tcPr>
            <w:tcW w:w="1350" w:type="dxa"/>
            <w:hideMark/>
          </w:tcPr>
          <w:p w14:paraId="575CEC73" w14:textId="77777777" w:rsidR="009E676E" w:rsidRDefault="00E453CD" w:rsidP="00FD5FF1">
            <w:pPr>
              <w:pStyle w:val="EMEANormal"/>
              <w:rPr>
                <w:szCs w:val="22"/>
              </w:rPr>
            </w:pPr>
            <w:r>
              <w:rPr>
                <w:szCs w:val="22"/>
              </w:rPr>
              <w:t>Placebo</w:t>
            </w:r>
          </w:p>
        </w:tc>
        <w:tc>
          <w:tcPr>
            <w:tcW w:w="900" w:type="dxa"/>
            <w:hideMark/>
          </w:tcPr>
          <w:p w14:paraId="22E7CA20" w14:textId="77777777" w:rsidR="009E676E" w:rsidRDefault="00E453CD" w:rsidP="00FD5FF1">
            <w:pPr>
              <w:pStyle w:val="EMEANormal"/>
              <w:jc w:val="right"/>
              <w:rPr>
                <w:szCs w:val="22"/>
              </w:rPr>
            </w:pPr>
            <w:r>
              <w:rPr>
                <w:noProof/>
                <w:szCs w:val="22"/>
                <w:lang w:val="en-GB" w:eastAsia="en-GB"/>
              </w:rPr>
              <w:drawing>
                <wp:inline distT="0" distB="0" distL="0" distR="0" wp14:anchorId="5C871FD5" wp14:editId="46DD157B">
                  <wp:extent cx="561975" cy="180975"/>
                  <wp:effectExtent l="0" t="0" r="9525" b="9525"/>
                  <wp:docPr id="79" name="Picture 7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1975" cy="180975"/>
                          </a:xfrm>
                          <a:prstGeom prst="rect">
                            <a:avLst/>
                          </a:prstGeom>
                          <a:noFill/>
                          <a:ln>
                            <a:noFill/>
                          </a:ln>
                        </pic:spPr>
                      </pic:pic>
                    </a:graphicData>
                  </a:graphic>
                </wp:inline>
              </w:drawing>
            </w:r>
          </w:p>
        </w:tc>
        <w:tc>
          <w:tcPr>
            <w:tcW w:w="1890" w:type="dxa"/>
            <w:hideMark/>
          </w:tcPr>
          <w:p w14:paraId="3141F901" w14:textId="77777777" w:rsidR="009E676E" w:rsidRDefault="00E453CD" w:rsidP="00FD5FF1">
            <w:pPr>
              <w:pStyle w:val="EMEANormal"/>
              <w:rPr>
                <w:szCs w:val="22"/>
              </w:rPr>
            </w:pPr>
            <w:r>
              <w:rPr>
                <w:szCs w:val="22"/>
              </w:rPr>
              <w:t>Adalimumab</w:t>
            </w:r>
          </w:p>
        </w:tc>
      </w:tr>
      <w:tr w:rsidR="004644D4" w14:paraId="20D8E1CB" w14:textId="77777777" w:rsidTr="00FD5FF1">
        <w:trPr>
          <w:trHeight w:val="629"/>
        </w:trPr>
        <w:tc>
          <w:tcPr>
            <w:tcW w:w="9288" w:type="dxa"/>
            <w:gridSpan w:val="6"/>
            <w:vAlign w:val="center"/>
            <w:hideMark/>
          </w:tcPr>
          <w:p w14:paraId="03E26F6A" w14:textId="77777777" w:rsidR="009E676E" w:rsidRPr="00F05EB5" w:rsidRDefault="00E453CD" w:rsidP="00FD5FF1">
            <w:pPr>
              <w:pStyle w:val="EMEANormal"/>
              <w:rPr>
                <w:szCs w:val="22"/>
                <w:lang w:val="nb-NO"/>
              </w:rPr>
            </w:pPr>
            <w:r w:rsidRPr="00CB4B2A">
              <w:rPr>
                <w:szCs w:val="22"/>
                <w:lang w:val="nb-NO"/>
              </w:rPr>
              <w:t>Merk</w:t>
            </w:r>
            <w:r w:rsidRPr="00F05EB5">
              <w:rPr>
                <w:szCs w:val="22"/>
                <w:lang w:val="nb-NO"/>
              </w:rPr>
              <w:t>: P# = Placebo (Antall hendelser/Antall i risiko</w:t>
            </w:r>
            <w:r w:rsidRPr="00CB4B2A">
              <w:rPr>
                <w:szCs w:val="22"/>
                <w:lang w:val="nb-NO"/>
              </w:rPr>
              <w:t>); A# = H</w:t>
            </w:r>
            <w:r>
              <w:rPr>
                <w:szCs w:val="22"/>
                <w:lang w:val="nb-NO"/>
              </w:rPr>
              <w:t>umira</w:t>
            </w:r>
            <w:r w:rsidRPr="00F05EB5">
              <w:rPr>
                <w:szCs w:val="22"/>
                <w:lang w:val="nb-NO"/>
              </w:rPr>
              <w:t xml:space="preserve"> (Antall hendelser/Antall i risiko).</w:t>
            </w:r>
          </w:p>
        </w:tc>
      </w:tr>
    </w:tbl>
    <w:p w14:paraId="3B5AE9A2" w14:textId="77777777" w:rsidR="009E676E" w:rsidRPr="00F05EB5" w:rsidRDefault="009E676E" w:rsidP="009E676E">
      <w:pPr>
        <w:pStyle w:val="EMEANormal"/>
        <w:rPr>
          <w:lang w:val="nb-NO"/>
        </w:rPr>
      </w:pPr>
    </w:p>
    <w:p w14:paraId="29C1D13B" w14:textId="77777777" w:rsidR="009E676E" w:rsidRDefault="00E453CD" w:rsidP="009E676E">
      <w:pPr>
        <w:pStyle w:val="EMEANormal"/>
        <w:rPr>
          <w:lang w:val="nb-NO"/>
        </w:rPr>
      </w:pPr>
      <w:r w:rsidRPr="00F05EB5">
        <w:rPr>
          <w:lang w:val="nb-NO"/>
        </w:rPr>
        <w:t>I studie UV I ble s</w:t>
      </w:r>
      <w:r w:rsidRPr="00EC0B72">
        <w:rPr>
          <w:lang w:val="nb-NO"/>
        </w:rPr>
        <w:t>tatis</w:t>
      </w:r>
      <w:r>
        <w:rPr>
          <w:lang w:val="nb-NO"/>
        </w:rPr>
        <w:t>t</w:t>
      </w:r>
      <w:r w:rsidRPr="00EC0B72">
        <w:rPr>
          <w:lang w:val="nb-NO"/>
        </w:rPr>
        <w:t>isk</w:t>
      </w:r>
      <w:r w:rsidRPr="00F05EB5">
        <w:rPr>
          <w:lang w:val="nb-NO"/>
        </w:rPr>
        <w:t xml:space="preserve"> signifikante forskjeller </w:t>
      </w:r>
      <w:r>
        <w:rPr>
          <w:lang w:val="nb-NO"/>
        </w:rPr>
        <w:t>i</w:t>
      </w:r>
      <w:r w:rsidRPr="00F05EB5">
        <w:rPr>
          <w:lang w:val="nb-NO"/>
        </w:rPr>
        <w:t xml:space="preserve"> favør av adalimumab </w:t>
      </w:r>
      <w:r w:rsidRPr="00F05EB5">
        <w:rPr>
          <w:i/>
          <w:lang w:val="nb-NO"/>
        </w:rPr>
        <w:t>versus</w:t>
      </w:r>
      <w:r w:rsidRPr="00F05EB5">
        <w:rPr>
          <w:lang w:val="nb-NO"/>
        </w:rPr>
        <w:t xml:space="preserve"> placebo </w:t>
      </w:r>
      <w:r w:rsidRPr="00EC0B72">
        <w:rPr>
          <w:lang w:val="nb-NO"/>
        </w:rPr>
        <w:t>obser</w:t>
      </w:r>
      <w:r>
        <w:rPr>
          <w:lang w:val="nb-NO"/>
        </w:rPr>
        <w:t xml:space="preserve">vert </w:t>
      </w:r>
      <w:r w:rsidRPr="00F05EB5">
        <w:rPr>
          <w:lang w:val="nb-NO"/>
        </w:rPr>
        <w:t xml:space="preserve">for </w:t>
      </w:r>
      <w:r>
        <w:rPr>
          <w:lang w:val="nb-NO"/>
        </w:rPr>
        <w:t xml:space="preserve">hver </w:t>
      </w:r>
      <w:r w:rsidR="00505F9D">
        <w:rPr>
          <w:lang w:val="nb-NO"/>
        </w:rPr>
        <w:t>komponent</w:t>
      </w:r>
      <w:r w:rsidR="00105B47">
        <w:rPr>
          <w:lang w:val="nb-NO"/>
        </w:rPr>
        <w:t xml:space="preserve"> av </w:t>
      </w:r>
      <w:r>
        <w:rPr>
          <w:lang w:val="nb-NO"/>
        </w:rPr>
        <w:t>behandlingssvikt</w:t>
      </w:r>
      <w:r w:rsidR="00105B47">
        <w:rPr>
          <w:lang w:val="nb-NO"/>
        </w:rPr>
        <w:t>en</w:t>
      </w:r>
      <w:r w:rsidRPr="00F05EB5">
        <w:rPr>
          <w:lang w:val="nb-NO"/>
        </w:rPr>
        <w:t xml:space="preserve">. I studie UV II ble </w:t>
      </w:r>
      <w:r w:rsidRPr="00EC0B72">
        <w:rPr>
          <w:lang w:val="nb-NO"/>
        </w:rPr>
        <w:t>statis</w:t>
      </w:r>
      <w:r w:rsidRPr="00F05EB5">
        <w:rPr>
          <w:lang w:val="nb-NO"/>
        </w:rPr>
        <w:t>tisk</w:t>
      </w:r>
      <w:r w:rsidRPr="00EC0B72">
        <w:rPr>
          <w:lang w:val="nb-NO"/>
        </w:rPr>
        <w:t xml:space="preserve"> signifikante forskjeller </w:t>
      </w:r>
      <w:r w:rsidRPr="00F05EB5">
        <w:rPr>
          <w:lang w:val="nb-NO"/>
        </w:rPr>
        <w:t>observer</w:t>
      </w:r>
      <w:r>
        <w:rPr>
          <w:lang w:val="nb-NO"/>
        </w:rPr>
        <w:t>t</w:t>
      </w:r>
      <w:r w:rsidRPr="00F05EB5">
        <w:rPr>
          <w:lang w:val="nb-NO"/>
        </w:rPr>
        <w:t xml:space="preserve"> kun for synsskarphet</w:t>
      </w:r>
      <w:r>
        <w:rPr>
          <w:lang w:val="nb-NO"/>
        </w:rPr>
        <w:t xml:space="preserve"> (BCVA)</w:t>
      </w:r>
      <w:r w:rsidRPr="00F05EB5">
        <w:rPr>
          <w:lang w:val="nb-NO"/>
        </w:rPr>
        <w:t xml:space="preserve">, </w:t>
      </w:r>
      <w:r>
        <w:rPr>
          <w:lang w:val="nb-NO"/>
        </w:rPr>
        <w:t xml:space="preserve">men de andre komponentene viste numerisk forskjell i favør </w:t>
      </w:r>
      <w:r w:rsidRPr="00F05EB5">
        <w:rPr>
          <w:lang w:val="nb-NO"/>
        </w:rPr>
        <w:t>adalimumab.</w:t>
      </w:r>
    </w:p>
    <w:p w14:paraId="0B84950F" w14:textId="77777777" w:rsidR="009B6330" w:rsidRDefault="009B6330" w:rsidP="009E676E">
      <w:pPr>
        <w:pStyle w:val="EMEANormal"/>
        <w:rPr>
          <w:lang w:val="nb-NO"/>
        </w:rPr>
      </w:pPr>
    </w:p>
    <w:p w14:paraId="78572501" w14:textId="77777777" w:rsidR="009B6330" w:rsidRPr="00F05EB5" w:rsidRDefault="00E453CD" w:rsidP="009E676E">
      <w:pPr>
        <w:pStyle w:val="EMEANormal"/>
        <w:rPr>
          <w:lang w:val="nb-NO"/>
        </w:rPr>
      </w:pPr>
      <w:r>
        <w:rPr>
          <w:lang w:val="nb-NO"/>
        </w:rPr>
        <w:t>Av de 4</w:t>
      </w:r>
      <w:r w:rsidR="00CA5718">
        <w:rPr>
          <w:lang w:val="nb-NO"/>
        </w:rPr>
        <w:t>24</w:t>
      </w:r>
      <w:r w:rsidR="001539CD">
        <w:rPr>
          <w:lang w:val="nb-NO"/>
        </w:rPr>
        <w:t> </w:t>
      </w:r>
      <w:r>
        <w:rPr>
          <w:lang w:val="nb-NO"/>
        </w:rPr>
        <w:t xml:space="preserve">pasientene som ble inkludert i den </w:t>
      </w:r>
      <w:r w:rsidR="00D67D8E">
        <w:rPr>
          <w:lang w:val="nb-NO"/>
        </w:rPr>
        <w:t>ukontrollerte</w:t>
      </w:r>
      <w:r>
        <w:rPr>
          <w:lang w:val="nb-NO"/>
        </w:rPr>
        <w:t xml:space="preserve"> langtidsforlengelsesstudien av UV I og UV II, ble </w:t>
      </w:r>
      <w:r w:rsidR="00CA5718">
        <w:rPr>
          <w:lang w:val="nb-NO"/>
        </w:rPr>
        <w:t>60</w:t>
      </w:r>
      <w:r w:rsidR="001539CD">
        <w:rPr>
          <w:lang w:val="nb-NO"/>
        </w:rPr>
        <w:t> </w:t>
      </w:r>
      <w:r>
        <w:rPr>
          <w:lang w:val="nb-NO"/>
        </w:rPr>
        <w:t xml:space="preserve">pasienter </w:t>
      </w:r>
      <w:r w:rsidR="00CE5663">
        <w:rPr>
          <w:lang w:val="nb-NO"/>
        </w:rPr>
        <w:t>vurdert</w:t>
      </w:r>
      <w:r>
        <w:rPr>
          <w:lang w:val="nb-NO"/>
        </w:rPr>
        <w:t xml:space="preserve"> som ikke-kvalifiserte (f.eks. </w:t>
      </w:r>
      <w:r w:rsidR="005D4073">
        <w:rPr>
          <w:lang w:val="nb-NO"/>
        </w:rPr>
        <w:t>på grunn av avvik eller på grunn av</w:t>
      </w:r>
      <w:r>
        <w:rPr>
          <w:lang w:val="nb-NO"/>
        </w:rPr>
        <w:t xml:space="preserve"> komplikasjoner sekundær</w:t>
      </w:r>
      <w:r w:rsidR="00CE5663">
        <w:rPr>
          <w:lang w:val="nb-NO"/>
        </w:rPr>
        <w:t>t</w:t>
      </w:r>
      <w:r>
        <w:rPr>
          <w:lang w:val="nb-NO"/>
        </w:rPr>
        <w:t xml:space="preserve"> </w:t>
      </w:r>
      <w:r w:rsidR="00D67D8E">
        <w:rPr>
          <w:lang w:val="nb-NO"/>
        </w:rPr>
        <w:t>til</w:t>
      </w:r>
      <w:r>
        <w:rPr>
          <w:lang w:val="nb-NO"/>
        </w:rPr>
        <w:t xml:space="preserve"> diabetisk retinopati</w:t>
      </w:r>
      <w:r w:rsidR="00CE5663">
        <w:rPr>
          <w:lang w:val="nb-NO"/>
        </w:rPr>
        <w:t>,</w:t>
      </w:r>
      <w:r>
        <w:rPr>
          <w:lang w:val="nb-NO"/>
        </w:rPr>
        <w:t xml:space="preserve"> på grunn av kataraktoperasjon</w:t>
      </w:r>
      <w:r w:rsidR="00CE5663">
        <w:rPr>
          <w:lang w:val="nb-NO"/>
        </w:rPr>
        <w:t>,</w:t>
      </w:r>
      <w:r>
        <w:rPr>
          <w:lang w:val="nb-NO"/>
        </w:rPr>
        <w:t xml:space="preserve"> eller vitrektomi) og ble ekskludert fra den primære </w:t>
      </w:r>
      <w:r w:rsidR="00CE5663">
        <w:rPr>
          <w:lang w:val="nb-NO"/>
        </w:rPr>
        <w:t>effekt</w:t>
      </w:r>
      <w:r>
        <w:rPr>
          <w:lang w:val="nb-NO"/>
        </w:rPr>
        <w:t xml:space="preserve">analysen. Av de </w:t>
      </w:r>
      <w:r w:rsidR="00CA5718">
        <w:rPr>
          <w:lang w:val="nb-NO"/>
        </w:rPr>
        <w:t>364</w:t>
      </w:r>
      <w:r>
        <w:rPr>
          <w:lang w:val="nb-NO"/>
        </w:rPr>
        <w:t xml:space="preserve"> gjenstående pasientene </w:t>
      </w:r>
      <w:r w:rsidR="00CE5663">
        <w:rPr>
          <w:lang w:val="nb-NO"/>
        </w:rPr>
        <w:t>fullførte</w:t>
      </w:r>
      <w:r>
        <w:rPr>
          <w:lang w:val="nb-NO"/>
        </w:rPr>
        <w:t xml:space="preserve"> </w:t>
      </w:r>
      <w:r w:rsidR="00CA5718">
        <w:rPr>
          <w:lang w:val="nb-NO"/>
        </w:rPr>
        <w:lastRenderedPageBreak/>
        <w:t>269</w:t>
      </w:r>
      <w:r w:rsidR="00793B47">
        <w:rPr>
          <w:lang w:val="nb-NO"/>
        </w:rPr>
        <w:t> </w:t>
      </w:r>
      <w:r>
        <w:rPr>
          <w:lang w:val="nb-NO"/>
        </w:rPr>
        <w:t xml:space="preserve">pasienter </w:t>
      </w:r>
      <w:r w:rsidR="00CA5718">
        <w:rPr>
          <w:lang w:val="nb-NO"/>
        </w:rPr>
        <w:t xml:space="preserve">(74 %) </w:t>
      </w:r>
      <w:r>
        <w:rPr>
          <w:lang w:val="nb-NO"/>
        </w:rPr>
        <w:t xml:space="preserve">78 uker med </w:t>
      </w:r>
      <w:r w:rsidR="00D67D8E">
        <w:rPr>
          <w:lang w:val="nb-NO"/>
        </w:rPr>
        <w:t xml:space="preserve">åpen </w:t>
      </w:r>
      <w:r>
        <w:rPr>
          <w:lang w:val="nb-NO"/>
        </w:rPr>
        <w:t xml:space="preserve">adalimumabbehandling. </w:t>
      </w:r>
      <w:r w:rsidRPr="00AD1854">
        <w:rPr>
          <w:lang w:val="nb-NO"/>
        </w:rPr>
        <w:t>Basert på observert</w:t>
      </w:r>
      <w:r w:rsidR="00CE5663">
        <w:rPr>
          <w:lang w:val="nb-NO"/>
        </w:rPr>
        <w:t>e</w:t>
      </w:r>
      <w:r w:rsidRPr="00AD1854">
        <w:rPr>
          <w:lang w:val="nb-NO"/>
        </w:rPr>
        <w:t xml:space="preserve"> data</w:t>
      </w:r>
      <w:r w:rsidR="00CE5663">
        <w:rPr>
          <w:lang w:val="nb-NO"/>
        </w:rPr>
        <w:t xml:space="preserve"> («observed data approach») hadde</w:t>
      </w:r>
      <w:r w:rsidRPr="00AD1854">
        <w:rPr>
          <w:lang w:val="nb-NO"/>
        </w:rPr>
        <w:t xml:space="preserve"> 2</w:t>
      </w:r>
      <w:r w:rsidR="00CA5718">
        <w:rPr>
          <w:lang w:val="nb-NO"/>
        </w:rPr>
        <w:t>16</w:t>
      </w:r>
      <w:r w:rsidRPr="00AD1854">
        <w:rPr>
          <w:lang w:val="nb-NO"/>
        </w:rPr>
        <w:t xml:space="preserve"> (80,</w:t>
      </w:r>
      <w:r w:rsidR="00CA5718">
        <w:rPr>
          <w:lang w:val="nb-NO"/>
        </w:rPr>
        <w:t>3 </w:t>
      </w:r>
      <w:r w:rsidRPr="00AD1854">
        <w:rPr>
          <w:lang w:val="nb-NO"/>
        </w:rPr>
        <w:t xml:space="preserve">%) </w:t>
      </w:r>
      <w:r w:rsidR="00CE5663">
        <w:rPr>
          <w:lang w:val="nb-NO"/>
        </w:rPr>
        <w:t>inaktiv sykdom</w:t>
      </w:r>
      <w:r w:rsidRPr="00AD1854">
        <w:rPr>
          <w:lang w:val="nb-NO"/>
        </w:rPr>
        <w:t xml:space="preserve"> (ingen aktive inflammatoriske lesjoner, cellegradering</w:t>
      </w:r>
      <w:r w:rsidR="00CE5663">
        <w:rPr>
          <w:lang w:val="nb-NO"/>
        </w:rPr>
        <w:t xml:space="preserve"> i fremre kammer (AC)</w:t>
      </w:r>
      <w:r w:rsidRPr="00662488">
        <w:rPr>
          <w:lang w:val="nb-NO"/>
        </w:rPr>
        <w:t xml:space="preserve"> ≤ 0,</w:t>
      </w:r>
      <w:r w:rsidRPr="00AD1854">
        <w:rPr>
          <w:lang w:val="nb-NO"/>
        </w:rPr>
        <w:t xml:space="preserve">5+, </w:t>
      </w:r>
      <w:r w:rsidR="00CE5663">
        <w:rPr>
          <w:lang w:val="nb-NO"/>
        </w:rPr>
        <w:t>uklarhet i glasslegemet («vitreous haze»,</w:t>
      </w:r>
      <w:r w:rsidR="00465D4D">
        <w:rPr>
          <w:lang w:val="nb-NO"/>
        </w:rPr>
        <w:t xml:space="preserve"> </w:t>
      </w:r>
      <w:r w:rsidRPr="00AD1854">
        <w:rPr>
          <w:lang w:val="nb-NO"/>
        </w:rPr>
        <w:t>VH</w:t>
      </w:r>
      <w:r w:rsidR="00CE5663">
        <w:rPr>
          <w:lang w:val="nb-NO"/>
        </w:rPr>
        <w:t>)</w:t>
      </w:r>
      <w:r w:rsidRPr="00AD1854">
        <w:rPr>
          <w:lang w:val="nb-NO"/>
        </w:rPr>
        <w:t xml:space="preserve"> grade</w:t>
      </w:r>
      <w:r w:rsidRPr="00662488">
        <w:rPr>
          <w:lang w:val="nb-NO"/>
        </w:rPr>
        <w:t>ring</w:t>
      </w:r>
      <w:r w:rsidRPr="00AD1854">
        <w:rPr>
          <w:lang w:val="nb-NO"/>
        </w:rPr>
        <w:t xml:space="preserve"> ≤ 0</w:t>
      </w:r>
      <w:r>
        <w:rPr>
          <w:lang w:val="nb-NO"/>
        </w:rPr>
        <w:t>,</w:t>
      </w:r>
      <w:r w:rsidRPr="00AD1854">
        <w:rPr>
          <w:lang w:val="nb-NO"/>
        </w:rPr>
        <w:t xml:space="preserve">5+) </w:t>
      </w:r>
      <w:r>
        <w:rPr>
          <w:lang w:val="nb-NO"/>
        </w:rPr>
        <w:t>med en samtidig steroiddose ≤ 7,5 mg per dag</w:t>
      </w:r>
      <w:r w:rsidRPr="00AD1854">
        <w:rPr>
          <w:lang w:val="nb-NO"/>
        </w:rPr>
        <w:t xml:space="preserve">, </w:t>
      </w:r>
      <w:r>
        <w:rPr>
          <w:lang w:val="nb-NO"/>
        </w:rPr>
        <w:t xml:space="preserve">og </w:t>
      </w:r>
      <w:r w:rsidR="00CA5718">
        <w:rPr>
          <w:lang w:val="nb-NO"/>
        </w:rPr>
        <w:t>178</w:t>
      </w:r>
      <w:r>
        <w:rPr>
          <w:lang w:val="nb-NO"/>
        </w:rPr>
        <w:t xml:space="preserve"> (66,</w:t>
      </w:r>
      <w:r w:rsidR="00CA5718">
        <w:rPr>
          <w:lang w:val="nb-NO"/>
        </w:rPr>
        <w:t>2</w:t>
      </w:r>
      <w:r w:rsidR="001539CD" w:rsidRPr="00A81D79">
        <w:rPr>
          <w:lang w:val="nb-NO"/>
        </w:rPr>
        <w:t> </w:t>
      </w:r>
      <w:r w:rsidRPr="00AD1854">
        <w:rPr>
          <w:lang w:val="nb-NO"/>
        </w:rPr>
        <w:t xml:space="preserve">%) </w:t>
      </w:r>
      <w:r w:rsidR="00CE5663">
        <w:rPr>
          <w:lang w:val="nb-NO"/>
        </w:rPr>
        <w:t xml:space="preserve">oppnådde steroidfri </w:t>
      </w:r>
      <w:r w:rsidR="00DE1BE6">
        <w:rPr>
          <w:lang w:val="nb-NO"/>
        </w:rPr>
        <w:t>inaktiv sykdom</w:t>
      </w:r>
      <w:r w:rsidRPr="00AD1854">
        <w:rPr>
          <w:lang w:val="nb-NO"/>
        </w:rPr>
        <w:t xml:space="preserve">. </w:t>
      </w:r>
      <w:r w:rsidR="00CE5663">
        <w:rPr>
          <w:lang w:val="nb-NO"/>
        </w:rPr>
        <w:t>Beste korrigerte synskarphet (</w:t>
      </w:r>
      <w:r w:rsidRPr="00697393">
        <w:rPr>
          <w:lang w:val="nb-NO"/>
        </w:rPr>
        <w:t>BCVA</w:t>
      </w:r>
      <w:r w:rsidR="00CE5663">
        <w:rPr>
          <w:lang w:val="nb-NO"/>
        </w:rPr>
        <w:t>)</w:t>
      </w:r>
      <w:r w:rsidRPr="00697393">
        <w:rPr>
          <w:lang w:val="nb-NO"/>
        </w:rPr>
        <w:t xml:space="preserve"> </w:t>
      </w:r>
      <w:r>
        <w:rPr>
          <w:lang w:val="nb-NO"/>
        </w:rPr>
        <w:t>ble enten forbedret eller opprettholdt</w:t>
      </w:r>
      <w:r w:rsidRPr="00697393">
        <w:rPr>
          <w:lang w:val="nb-NO"/>
        </w:rPr>
        <w:t xml:space="preserve"> (&lt; 5 </w:t>
      </w:r>
      <w:r>
        <w:rPr>
          <w:lang w:val="nb-NO"/>
        </w:rPr>
        <w:t>bokstav</w:t>
      </w:r>
      <w:r w:rsidR="00CE5663">
        <w:rPr>
          <w:lang w:val="nb-NO"/>
        </w:rPr>
        <w:t>er svekkelse</w:t>
      </w:r>
      <w:r w:rsidRPr="00697393">
        <w:rPr>
          <w:lang w:val="nb-NO"/>
        </w:rPr>
        <w:t xml:space="preserve">) </w:t>
      </w:r>
      <w:r w:rsidR="00CE5663">
        <w:rPr>
          <w:lang w:val="nb-NO"/>
        </w:rPr>
        <w:t>i</w:t>
      </w:r>
      <w:r>
        <w:rPr>
          <w:lang w:val="nb-NO"/>
        </w:rPr>
        <w:t xml:space="preserve"> 88,</w:t>
      </w:r>
      <w:r w:rsidR="00CA5718">
        <w:rPr>
          <w:lang w:val="nb-NO"/>
        </w:rPr>
        <w:t>6</w:t>
      </w:r>
      <w:r w:rsidR="001539CD" w:rsidRPr="00A81D79">
        <w:rPr>
          <w:lang w:val="nb-NO"/>
        </w:rPr>
        <w:t> </w:t>
      </w:r>
      <w:r w:rsidRPr="00697393">
        <w:rPr>
          <w:lang w:val="nb-NO"/>
        </w:rPr>
        <w:t xml:space="preserve">% </w:t>
      </w:r>
      <w:r>
        <w:rPr>
          <w:lang w:val="nb-NO"/>
        </w:rPr>
        <w:t>av øynene ved uke</w:t>
      </w:r>
      <w:r w:rsidRPr="00697393">
        <w:rPr>
          <w:lang w:val="nb-NO"/>
        </w:rPr>
        <w:t xml:space="preserve"> 78</w:t>
      </w:r>
      <w:r>
        <w:rPr>
          <w:lang w:val="nb-NO"/>
        </w:rPr>
        <w:t xml:space="preserve">. </w:t>
      </w:r>
      <w:r w:rsidR="008164C8">
        <w:rPr>
          <w:lang w:val="nb-NO"/>
        </w:rPr>
        <w:t xml:space="preserve">Etter uke 78 var data generelt konsistent med disse resultatene, men antall inkluderte pasienter gikk ned. Totalt blant </w:t>
      </w:r>
      <w:r>
        <w:rPr>
          <w:lang w:val="nb-NO"/>
        </w:rPr>
        <w:t>pasientene som avsluttet studien, avsluttet 1</w:t>
      </w:r>
      <w:r w:rsidR="00CA5718">
        <w:rPr>
          <w:lang w:val="nb-NO"/>
        </w:rPr>
        <w:t>8 </w:t>
      </w:r>
      <w:r>
        <w:rPr>
          <w:lang w:val="nb-NO"/>
        </w:rPr>
        <w:t xml:space="preserve">% på grunn av bivirkninger og </w:t>
      </w:r>
      <w:r w:rsidR="00CA5718">
        <w:rPr>
          <w:lang w:val="nb-NO"/>
        </w:rPr>
        <w:t>8 </w:t>
      </w:r>
      <w:r>
        <w:rPr>
          <w:lang w:val="nb-NO"/>
        </w:rPr>
        <w:t>% på grunn av utilstrekkelig respons på adalimumabbehandling.</w:t>
      </w:r>
    </w:p>
    <w:p w14:paraId="42339F49" w14:textId="77777777" w:rsidR="009E676E" w:rsidRPr="00F05EB5" w:rsidRDefault="009E676E" w:rsidP="009E676E">
      <w:pPr>
        <w:pStyle w:val="EMEANormal"/>
        <w:rPr>
          <w:lang w:val="nb-NO"/>
        </w:rPr>
      </w:pPr>
    </w:p>
    <w:p w14:paraId="51727A2D" w14:textId="77777777" w:rsidR="009E676E" w:rsidRPr="00F05EB5" w:rsidRDefault="00E453CD" w:rsidP="00776A84">
      <w:pPr>
        <w:pStyle w:val="EMEANormal"/>
        <w:keepNext/>
        <w:rPr>
          <w:i/>
          <w:szCs w:val="22"/>
          <w:u w:val="single"/>
          <w:lang w:val="nb-NO"/>
        </w:rPr>
      </w:pPr>
      <w:r w:rsidRPr="00F05EB5">
        <w:rPr>
          <w:i/>
          <w:szCs w:val="22"/>
          <w:u w:val="single"/>
          <w:lang w:val="nb-NO"/>
        </w:rPr>
        <w:t>Livskvalitet</w:t>
      </w:r>
    </w:p>
    <w:p w14:paraId="2FC5F534" w14:textId="77777777" w:rsidR="009E676E" w:rsidRPr="00A81D79" w:rsidRDefault="009E676E" w:rsidP="00776A84">
      <w:pPr>
        <w:pStyle w:val="EMEANormal"/>
        <w:keepNext/>
        <w:rPr>
          <w:szCs w:val="22"/>
          <w:u w:val="single"/>
          <w:lang w:val="nb-NO"/>
        </w:rPr>
      </w:pPr>
    </w:p>
    <w:p w14:paraId="585C9219" w14:textId="77777777" w:rsidR="009E676E" w:rsidRPr="0061743D" w:rsidRDefault="00E453CD" w:rsidP="009E676E">
      <w:pPr>
        <w:pStyle w:val="EMEANormal"/>
        <w:rPr>
          <w:szCs w:val="22"/>
          <w:lang w:val="nb-NO"/>
        </w:rPr>
      </w:pPr>
      <w:r w:rsidRPr="00F05EB5">
        <w:rPr>
          <w:lang w:val="nb-NO"/>
        </w:rPr>
        <w:t xml:space="preserve">Pasientrapporterte </w:t>
      </w:r>
      <w:r>
        <w:rPr>
          <w:lang w:val="nb-NO"/>
        </w:rPr>
        <w:t>resultater</w:t>
      </w:r>
      <w:r w:rsidRPr="00F05EB5">
        <w:rPr>
          <w:lang w:val="nb-NO"/>
        </w:rPr>
        <w:t xml:space="preserve"> vedrørende synsrelatert funksjon ble målt </w:t>
      </w:r>
      <w:r w:rsidRPr="004A0F71">
        <w:rPr>
          <w:lang w:val="nb-NO"/>
        </w:rPr>
        <w:t>ved bruk av NEI VFQ-25</w:t>
      </w:r>
      <w:r>
        <w:rPr>
          <w:lang w:val="nb-NO"/>
        </w:rPr>
        <w:t xml:space="preserve"> </w:t>
      </w:r>
      <w:r w:rsidRPr="00F05EB5">
        <w:rPr>
          <w:lang w:val="nb-NO"/>
        </w:rPr>
        <w:t xml:space="preserve">i </w:t>
      </w:r>
      <w:r>
        <w:rPr>
          <w:lang w:val="nb-NO"/>
        </w:rPr>
        <w:t xml:space="preserve">begge </w:t>
      </w:r>
      <w:r w:rsidRPr="00F05EB5">
        <w:rPr>
          <w:lang w:val="nb-NO"/>
        </w:rPr>
        <w:t xml:space="preserve">kliniske studier. </w:t>
      </w:r>
      <w:r>
        <w:rPr>
          <w:lang w:val="nb-NO"/>
        </w:rPr>
        <w:t>Numerisk</w:t>
      </w:r>
      <w:r w:rsidRPr="004062C7">
        <w:rPr>
          <w:lang w:val="nb-NO"/>
        </w:rPr>
        <w:t xml:space="preserve"> </w:t>
      </w:r>
      <w:r>
        <w:rPr>
          <w:lang w:val="nb-NO"/>
        </w:rPr>
        <w:t xml:space="preserve">forskjell </w:t>
      </w:r>
      <w:r w:rsidRPr="00A433B4">
        <w:rPr>
          <w:lang w:val="nb-NO"/>
        </w:rPr>
        <w:t xml:space="preserve">i favør </w:t>
      </w:r>
      <w:r w:rsidRPr="00F05EB5">
        <w:rPr>
          <w:lang w:val="nb-NO"/>
        </w:rPr>
        <w:t xml:space="preserve">Humira </w:t>
      </w:r>
      <w:r>
        <w:rPr>
          <w:lang w:val="nb-NO"/>
        </w:rPr>
        <w:t>ble vist</w:t>
      </w:r>
      <w:r w:rsidRPr="00F05EB5">
        <w:rPr>
          <w:lang w:val="nb-NO"/>
        </w:rPr>
        <w:t xml:space="preserve"> for de fleste subscores med statistisk signifikant</w:t>
      </w:r>
      <w:r>
        <w:rPr>
          <w:lang w:val="nb-NO"/>
        </w:rPr>
        <w:t>e</w:t>
      </w:r>
      <w:r w:rsidRPr="00F05EB5">
        <w:rPr>
          <w:lang w:val="nb-NO"/>
        </w:rPr>
        <w:t xml:space="preserve"> gjennomsnittlige forskjeller for gener</w:t>
      </w:r>
      <w:r>
        <w:rPr>
          <w:lang w:val="nb-NO"/>
        </w:rPr>
        <w:t>elt syn</w:t>
      </w:r>
      <w:r w:rsidRPr="00F05EB5">
        <w:rPr>
          <w:lang w:val="nb-NO"/>
        </w:rPr>
        <w:t xml:space="preserve">, </w:t>
      </w:r>
      <w:r>
        <w:rPr>
          <w:lang w:val="nb-NO"/>
        </w:rPr>
        <w:t>øyesmerter</w:t>
      </w:r>
      <w:r w:rsidRPr="00F05EB5">
        <w:rPr>
          <w:lang w:val="nb-NO"/>
        </w:rPr>
        <w:t xml:space="preserve">, </w:t>
      </w:r>
      <w:r>
        <w:rPr>
          <w:lang w:val="nb-NO"/>
        </w:rPr>
        <w:t>nærsyn</w:t>
      </w:r>
      <w:r w:rsidRPr="00F05EB5">
        <w:rPr>
          <w:lang w:val="nb-NO"/>
        </w:rPr>
        <w:t xml:space="preserve">, </w:t>
      </w:r>
      <w:r>
        <w:rPr>
          <w:lang w:val="nb-NO"/>
        </w:rPr>
        <w:t>psykisk</w:t>
      </w:r>
      <w:r w:rsidRPr="00F05EB5">
        <w:rPr>
          <w:lang w:val="nb-NO"/>
        </w:rPr>
        <w:t xml:space="preserve"> </w:t>
      </w:r>
      <w:r>
        <w:rPr>
          <w:lang w:val="nb-NO"/>
        </w:rPr>
        <w:t>helse</w:t>
      </w:r>
      <w:r w:rsidRPr="00F05EB5">
        <w:rPr>
          <w:lang w:val="nb-NO"/>
        </w:rPr>
        <w:t xml:space="preserve"> </w:t>
      </w:r>
      <w:r>
        <w:rPr>
          <w:lang w:val="nb-NO"/>
        </w:rPr>
        <w:t xml:space="preserve">og </w:t>
      </w:r>
      <w:r w:rsidRPr="009E697C">
        <w:rPr>
          <w:lang w:val="nb-NO"/>
        </w:rPr>
        <w:t>total score i</w:t>
      </w:r>
      <w:r w:rsidRPr="00F05EB5">
        <w:rPr>
          <w:lang w:val="nb-NO"/>
        </w:rPr>
        <w:t xml:space="preserve"> </w:t>
      </w:r>
      <w:r>
        <w:rPr>
          <w:lang w:val="nb-NO"/>
        </w:rPr>
        <w:t>s</w:t>
      </w:r>
      <w:r w:rsidRPr="00F05EB5">
        <w:rPr>
          <w:lang w:val="nb-NO"/>
        </w:rPr>
        <w:t>tud</w:t>
      </w:r>
      <w:r>
        <w:rPr>
          <w:lang w:val="nb-NO"/>
        </w:rPr>
        <w:t xml:space="preserve">ie </w:t>
      </w:r>
      <w:r w:rsidRPr="00F05EB5">
        <w:rPr>
          <w:lang w:val="nb-NO"/>
        </w:rPr>
        <w:t xml:space="preserve">UV I, </w:t>
      </w:r>
      <w:r>
        <w:rPr>
          <w:lang w:val="nb-NO"/>
        </w:rPr>
        <w:t>og</w:t>
      </w:r>
      <w:r w:rsidRPr="009E697C">
        <w:rPr>
          <w:lang w:val="nb-NO"/>
        </w:rPr>
        <w:t xml:space="preserve"> for gener</w:t>
      </w:r>
      <w:r>
        <w:rPr>
          <w:lang w:val="nb-NO"/>
        </w:rPr>
        <w:t>elt</w:t>
      </w:r>
      <w:r w:rsidRPr="00F05EB5">
        <w:rPr>
          <w:lang w:val="nb-NO"/>
        </w:rPr>
        <w:t xml:space="preserve"> </w:t>
      </w:r>
      <w:r>
        <w:rPr>
          <w:lang w:val="nb-NO"/>
        </w:rPr>
        <w:t>syn</w:t>
      </w:r>
      <w:r w:rsidRPr="00F05EB5">
        <w:rPr>
          <w:lang w:val="nb-NO"/>
        </w:rPr>
        <w:t xml:space="preserve"> </w:t>
      </w:r>
      <w:r>
        <w:rPr>
          <w:lang w:val="nb-NO"/>
        </w:rPr>
        <w:t>og</w:t>
      </w:r>
      <w:r w:rsidRPr="00F05EB5">
        <w:rPr>
          <w:lang w:val="nb-NO"/>
        </w:rPr>
        <w:t xml:space="preserve"> </w:t>
      </w:r>
      <w:r>
        <w:rPr>
          <w:lang w:val="nb-NO"/>
        </w:rPr>
        <w:t>psykisk</w:t>
      </w:r>
      <w:r w:rsidRPr="00F05EB5">
        <w:rPr>
          <w:lang w:val="nb-NO"/>
        </w:rPr>
        <w:t xml:space="preserve"> </w:t>
      </w:r>
      <w:r>
        <w:rPr>
          <w:lang w:val="nb-NO"/>
        </w:rPr>
        <w:t>helse</w:t>
      </w:r>
      <w:r w:rsidRPr="00F05EB5">
        <w:rPr>
          <w:lang w:val="nb-NO"/>
        </w:rPr>
        <w:t xml:space="preserve"> i </w:t>
      </w:r>
      <w:r>
        <w:rPr>
          <w:lang w:val="nb-NO"/>
        </w:rPr>
        <w:t>s</w:t>
      </w:r>
      <w:r w:rsidRPr="00F05EB5">
        <w:rPr>
          <w:lang w:val="nb-NO"/>
        </w:rPr>
        <w:t>tud</w:t>
      </w:r>
      <w:r>
        <w:rPr>
          <w:lang w:val="nb-NO"/>
        </w:rPr>
        <w:t>ie</w:t>
      </w:r>
      <w:r w:rsidRPr="00F05EB5">
        <w:rPr>
          <w:lang w:val="nb-NO"/>
        </w:rPr>
        <w:t xml:space="preserve"> UV II. Synsrelaterte effe</w:t>
      </w:r>
      <w:r>
        <w:rPr>
          <w:lang w:val="nb-NO"/>
        </w:rPr>
        <w:t>k</w:t>
      </w:r>
      <w:r w:rsidRPr="00F05EB5">
        <w:rPr>
          <w:lang w:val="nb-NO"/>
        </w:rPr>
        <w:t xml:space="preserve">ter </w:t>
      </w:r>
      <w:r>
        <w:rPr>
          <w:lang w:val="nb-NO"/>
        </w:rPr>
        <w:t xml:space="preserve">som ikke </w:t>
      </w:r>
      <w:r w:rsidRPr="00F05EB5">
        <w:rPr>
          <w:lang w:val="nb-NO"/>
        </w:rPr>
        <w:t xml:space="preserve">var </w:t>
      </w:r>
      <w:r>
        <w:rPr>
          <w:lang w:val="nb-NO"/>
        </w:rPr>
        <w:t>numerisk</w:t>
      </w:r>
      <w:r w:rsidRPr="00F05EB5">
        <w:rPr>
          <w:lang w:val="nb-NO"/>
        </w:rPr>
        <w:t xml:space="preserve"> </w:t>
      </w:r>
      <w:r>
        <w:rPr>
          <w:lang w:val="nb-NO"/>
        </w:rPr>
        <w:t>i</w:t>
      </w:r>
      <w:r w:rsidRPr="00F05EB5">
        <w:rPr>
          <w:lang w:val="nb-NO"/>
        </w:rPr>
        <w:t xml:space="preserve"> favør Humira </w:t>
      </w:r>
      <w:r>
        <w:rPr>
          <w:lang w:val="nb-NO"/>
        </w:rPr>
        <w:t>var</w:t>
      </w:r>
      <w:r w:rsidRPr="00F05EB5">
        <w:rPr>
          <w:lang w:val="nb-NO"/>
        </w:rPr>
        <w:t xml:space="preserve"> fargesyn i </w:t>
      </w:r>
      <w:r>
        <w:rPr>
          <w:lang w:val="nb-NO"/>
        </w:rPr>
        <w:t>s</w:t>
      </w:r>
      <w:r w:rsidRPr="00F05EB5">
        <w:rPr>
          <w:lang w:val="nb-NO"/>
        </w:rPr>
        <w:t>tud</w:t>
      </w:r>
      <w:r>
        <w:rPr>
          <w:lang w:val="nb-NO"/>
        </w:rPr>
        <w:t>ie</w:t>
      </w:r>
      <w:r w:rsidRPr="00F05EB5">
        <w:rPr>
          <w:lang w:val="nb-NO"/>
        </w:rPr>
        <w:t xml:space="preserve"> UV</w:t>
      </w:r>
      <w:r>
        <w:rPr>
          <w:lang w:val="nb-NO"/>
        </w:rPr>
        <w:t xml:space="preserve"> </w:t>
      </w:r>
      <w:r w:rsidRPr="00F05EB5">
        <w:rPr>
          <w:lang w:val="nb-NO"/>
        </w:rPr>
        <w:t xml:space="preserve">I </w:t>
      </w:r>
      <w:r>
        <w:rPr>
          <w:lang w:val="nb-NO"/>
        </w:rPr>
        <w:t>og fargesyn</w:t>
      </w:r>
      <w:r w:rsidRPr="00F05EB5">
        <w:rPr>
          <w:lang w:val="nb-NO"/>
        </w:rPr>
        <w:t xml:space="preserve">, </w:t>
      </w:r>
      <w:r>
        <w:rPr>
          <w:lang w:val="nb-NO"/>
        </w:rPr>
        <w:t xml:space="preserve">sidesyn og nærsyn </w:t>
      </w:r>
      <w:r w:rsidRPr="00F05EB5">
        <w:rPr>
          <w:lang w:val="nb-NO"/>
        </w:rPr>
        <w:t xml:space="preserve">i </w:t>
      </w:r>
      <w:r>
        <w:rPr>
          <w:lang w:val="nb-NO"/>
        </w:rPr>
        <w:t>s</w:t>
      </w:r>
      <w:r w:rsidRPr="00F05EB5">
        <w:rPr>
          <w:lang w:val="nb-NO"/>
        </w:rPr>
        <w:t>tud</w:t>
      </w:r>
      <w:r>
        <w:rPr>
          <w:lang w:val="nb-NO"/>
        </w:rPr>
        <w:t>ie</w:t>
      </w:r>
      <w:r w:rsidRPr="00F05EB5">
        <w:rPr>
          <w:lang w:val="nb-NO"/>
        </w:rPr>
        <w:t xml:space="preserve"> UV II.</w:t>
      </w:r>
    </w:p>
    <w:p w14:paraId="725DAA7C" w14:textId="77777777" w:rsidR="009E676E" w:rsidRDefault="009E676E" w:rsidP="009E676E">
      <w:pPr>
        <w:rPr>
          <w:sz w:val="22"/>
          <w:szCs w:val="22"/>
        </w:rPr>
      </w:pPr>
    </w:p>
    <w:p w14:paraId="0E625C59" w14:textId="77777777" w:rsidR="009E676E" w:rsidRPr="009C5EFD" w:rsidRDefault="00E453CD" w:rsidP="009E676E">
      <w:pPr>
        <w:pStyle w:val="Heading8"/>
        <w:rPr>
          <w:szCs w:val="22"/>
        </w:rPr>
      </w:pPr>
      <w:r w:rsidRPr="009C5EFD">
        <w:rPr>
          <w:szCs w:val="22"/>
        </w:rPr>
        <w:t>Immunogenisitet</w:t>
      </w:r>
    </w:p>
    <w:p w14:paraId="6E7D7B33" w14:textId="77777777" w:rsidR="009E676E" w:rsidRPr="009C5EFD" w:rsidRDefault="009E676E" w:rsidP="009E676E">
      <w:pPr>
        <w:keepNext/>
        <w:rPr>
          <w:sz w:val="22"/>
          <w:szCs w:val="22"/>
        </w:rPr>
      </w:pPr>
    </w:p>
    <w:p w14:paraId="5EEC4E8F" w14:textId="77777777" w:rsidR="009E676E" w:rsidRDefault="00E453CD" w:rsidP="00776A84">
      <w:pPr>
        <w:rPr>
          <w:sz w:val="22"/>
          <w:szCs w:val="22"/>
        </w:rPr>
      </w:pPr>
      <w:r w:rsidRPr="009C5EFD">
        <w:rPr>
          <w:sz w:val="22"/>
          <w:szCs w:val="22"/>
        </w:rPr>
        <w:t>Dannelse av anti-adalimumab antistoffer er knyttet til økt clearance og redusert effekt av adalimumab. Det finnes ingen tydelig sammenheng mellom forekomsten av anti-adalimumab antistoffer og forekomsten av bivirkninger.</w:t>
      </w:r>
    </w:p>
    <w:p w14:paraId="2A8EA7AE" w14:textId="77777777" w:rsidR="00FB4C84" w:rsidRDefault="00FB4C84" w:rsidP="00776A84">
      <w:pPr>
        <w:rPr>
          <w:sz w:val="22"/>
          <w:szCs w:val="22"/>
        </w:rPr>
      </w:pPr>
    </w:p>
    <w:p w14:paraId="3DC38EFC" w14:textId="77777777" w:rsidR="00FB4C84" w:rsidRPr="009C5EFD" w:rsidRDefault="00E453CD" w:rsidP="00776A84">
      <w:pPr>
        <w:rPr>
          <w:sz w:val="22"/>
          <w:szCs w:val="22"/>
        </w:rPr>
      </w:pPr>
      <w:r w:rsidRPr="009C5EFD">
        <w:rPr>
          <w:sz w:val="22"/>
          <w:szCs w:val="22"/>
        </w:rPr>
        <w:t>Pasienter i revmatoid artritt studiene I, II og III ble testet ved flere tidspunkter med hensyn på antistoffer mot adalimumab i løpet av perioden fra 6 til 12 måneder. I de pivotale studiene ble det identifisert antistoffer mot adalimumab hos 5,5 % (58/1053) av pasientene som var behandlet med adalimumab, sammenlignet med 0,5 % (2/370) hos dem som fikk placebo. Hos pasientene som ikke fikk metotreksat samtidig var forekomsten 12,4 % sammenlignet med 0,6 % når adalimumab ble gitt som tillegg til metotreksat.</w:t>
      </w:r>
    </w:p>
    <w:p w14:paraId="12512C0C" w14:textId="77777777" w:rsidR="009E676E" w:rsidRPr="009C5EFD" w:rsidRDefault="009E676E" w:rsidP="009E676E">
      <w:pPr>
        <w:rPr>
          <w:sz w:val="22"/>
          <w:szCs w:val="22"/>
        </w:rPr>
      </w:pPr>
    </w:p>
    <w:p w14:paraId="4F137B4F" w14:textId="77777777" w:rsidR="009E676E" w:rsidRPr="009C5EFD" w:rsidRDefault="00E453CD" w:rsidP="009E676E">
      <w:pPr>
        <w:rPr>
          <w:sz w:val="22"/>
          <w:szCs w:val="22"/>
        </w:rPr>
      </w:pPr>
      <w:r w:rsidRPr="009C5EFD">
        <w:rPr>
          <w:sz w:val="22"/>
          <w:szCs w:val="22"/>
        </w:rPr>
        <w:t>Hos pasienter med Crohns sykdom ble anti-adalimumab antistoffer påvist hos 7/269 pasienter (2,6 %) og hos 19/487 pasienter (3,9 %) med ulcerøs kolitt.</w:t>
      </w:r>
    </w:p>
    <w:p w14:paraId="396E7352" w14:textId="77777777" w:rsidR="009E676E" w:rsidRPr="009C5EFD" w:rsidRDefault="009E676E" w:rsidP="009E676E">
      <w:pPr>
        <w:rPr>
          <w:sz w:val="22"/>
          <w:szCs w:val="22"/>
        </w:rPr>
      </w:pPr>
    </w:p>
    <w:p w14:paraId="5D4AE0A9" w14:textId="77777777" w:rsidR="009E676E" w:rsidRPr="009C5EFD" w:rsidRDefault="00E453CD" w:rsidP="009E676E">
      <w:pPr>
        <w:rPr>
          <w:sz w:val="22"/>
          <w:szCs w:val="22"/>
        </w:rPr>
      </w:pPr>
      <w:r w:rsidRPr="009C5EFD">
        <w:rPr>
          <w:sz w:val="22"/>
          <w:szCs w:val="22"/>
        </w:rPr>
        <w:t>Hos voksne pasienter med psoriasis ble anti-adalimumab antistoffer påvist hos 77/920 pasienter (8,4 %) behandlet med adalimumab som monoterapi.</w:t>
      </w:r>
    </w:p>
    <w:p w14:paraId="1C99A55D" w14:textId="77777777" w:rsidR="009E676E" w:rsidRPr="009C5EFD" w:rsidRDefault="009E676E" w:rsidP="009E676E">
      <w:pPr>
        <w:rPr>
          <w:sz w:val="22"/>
          <w:szCs w:val="22"/>
        </w:rPr>
      </w:pPr>
    </w:p>
    <w:p w14:paraId="4D699ED3" w14:textId="77777777" w:rsidR="009E676E" w:rsidRPr="009C5EFD" w:rsidRDefault="00E453CD" w:rsidP="009E676E">
      <w:pPr>
        <w:rPr>
          <w:sz w:val="22"/>
          <w:szCs w:val="22"/>
        </w:rPr>
      </w:pPr>
      <w:r w:rsidRPr="009C5EFD">
        <w:rPr>
          <w:sz w:val="22"/>
          <w:szCs w:val="22"/>
        </w:rPr>
        <w:t xml:space="preserve">Hos voksne pasienter med plakkpsoriasis som hadde fått monoterapi med adalimumab over lang tid og hadde deltatt i en </w:t>
      </w:r>
      <w:r w:rsidR="004F62E0">
        <w:rPr>
          <w:sz w:val="22"/>
          <w:szCs w:val="22"/>
        </w:rPr>
        <w:t xml:space="preserve">seponerings- </w:t>
      </w:r>
      <w:r w:rsidRPr="009C5EFD">
        <w:rPr>
          <w:sz w:val="22"/>
          <w:szCs w:val="22"/>
        </w:rPr>
        <w:t>og gjen</w:t>
      </w:r>
      <w:r w:rsidR="004F62E0">
        <w:rPr>
          <w:sz w:val="22"/>
          <w:szCs w:val="22"/>
        </w:rPr>
        <w:t>tatt</w:t>
      </w:r>
      <w:r w:rsidRPr="009C5EFD">
        <w:rPr>
          <w:sz w:val="22"/>
          <w:szCs w:val="22"/>
        </w:rPr>
        <w:t xml:space="preserve"> behandling</w:t>
      </w:r>
      <w:r w:rsidR="004F62E0">
        <w:rPr>
          <w:sz w:val="22"/>
          <w:szCs w:val="22"/>
        </w:rPr>
        <w:t>sstudie</w:t>
      </w:r>
      <w:r w:rsidRPr="009C5EFD">
        <w:rPr>
          <w:sz w:val="22"/>
          <w:szCs w:val="22"/>
        </w:rPr>
        <w:t>, var prosenten av adalimumab antistoffer etter gjenopptagelse av behandlingen (11 av 482 pasienter, 2,3 %) lik prosenten observert før avvenningen (11 av 590 pasienter, 1,9 %).</w:t>
      </w:r>
    </w:p>
    <w:p w14:paraId="67FEEDC6" w14:textId="77777777" w:rsidR="009E676E" w:rsidRPr="009C5EFD" w:rsidRDefault="009E676E" w:rsidP="009E676E">
      <w:pPr>
        <w:rPr>
          <w:sz w:val="22"/>
          <w:szCs w:val="22"/>
        </w:rPr>
      </w:pPr>
    </w:p>
    <w:p w14:paraId="39F4BF10" w14:textId="77777777" w:rsidR="009E676E" w:rsidRPr="009C5EFD" w:rsidRDefault="00E453CD" w:rsidP="009E676E">
      <w:pPr>
        <w:rPr>
          <w:sz w:val="22"/>
          <w:szCs w:val="22"/>
        </w:rPr>
      </w:pPr>
      <w:r w:rsidRPr="009C5EFD">
        <w:rPr>
          <w:sz w:val="22"/>
          <w:szCs w:val="22"/>
        </w:rPr>
        <w:t>Hos pasienter med moderat til alvorlig hidrosadenitt ble anti-adalimumab antistoffer identifisert hos 10/99 pasienter (10,1 %) behandlet med adalimumab.</w:t>
      </w:r>
    </w:p>
    <w:p w14:paraId="7D52A57F" w14:textId="77777777" w:rsidR="009E676E" w:rsidRDefault="009E676E" w:rsidP="009E676E">
      <w:pPr>
        <w:rPr>
          <w:sz w:val="22"/>
          <w:szCs w:val="22"/>
        </w:rPr>
      </w:pPr>
    </w:p>
    <w:p w14:paraId="66A3ED6C" w14:textId="77777777" w:rsidR="009E676E" w:rsidRPr="00644328" w:rsidRDefault="00E453CD" w:rsidP="009E676E">
      <w:pPr>
        <w:rPr>
          <w:sz w:val="22"/>
        </w:rPr>
      </w:pPr>
      <w:r w:rsidRPr="006533CF">
        <w:rPr>
          <w:sz w:val="22"/>
          <w:szCs w:val="22"/>
        </w:rPr>
        <w:t xml:space="preserve">Hos pasienter med moderat til alvorlig aktiv pediatrisk </w:t>
      </w:r>
      <w:r w:rsidRPr="005A1DEF">
        <w:rPr>
          <w:sz w:val="22"/>
        </w:rPr>
        <w:t>Crohns sykdom ble anti-adali</w:t>
      </w:r>
      <w:r w:rsidRPr="00644328">
        <w:rPr>
          <w:sz w:val="22"/>
        </w:rPr>
        <w:t>mumab antistoffer utviklet hos 3,3 % av pasientene behandlet med adalimumab.</w:t>
      </w:r>
    </w:p>
    <w:p w14:paraId="39D844D7" w14:textId="77777777" w:rsidR="009E676E" w:rsidRPr="00644328" w:rsidRDefault="009E676E" w:rsidP="009E676E">
      <w:pPr>
        <w:rPr>
          <w:sz w:val="22"/>
          <w:szCs w:val="22"/>
        </w:rPr>
      </w:pPr>
    </w:p>
    <w:p w14:paraId="38D5C891" w14:textId="77777777" w:rsidR="009E676E" w:rsidRPr="00644328" w:rsidRDefault="00E453CD" w:rsidP="009E676E">
      <w:pPr>
        <w:rPr>
          <w:sz w:val="22"/>
          <w:szCs w:val="22"/>
        </w:rPr>
      </w:pPr>
      <w:r w:rsidRPr="00644328">
        <w:rPr>
          <w:sz w:val="22"/>
          <w:szCs w:val="22"/>
        </w:rPr>
        <w:t>Hos</w:t>
      </w:r>
      <w:r w:rsidR="00766BE3" w:rsidRPr="00644328">
        <w:rPr>
          <w:sz w:val="22"/>
          <w:szCs w:val="22"/>
        </w:rPr>
        <w:t xml:space="preserve"> voksne</w:t>
      </w:r>
      <w:r w:rsidRPr="00644328">
        <w:rPr>
          <w:sz w:val="22"/>
          <w:szCs w:val="22"/>
        </w:rPr>
        <w:t xml:space="preserve"> pasienter med ikke-infeksiøs uveitt ble anti-adalimumab antistoffer påvist hos 4,8 % (12/249) av pasientene behandlet med adalimumab.</w:t>
      </w:r>
    </w:p>
    <w:p w14:paraId="7C7C420E" w14:textId="77777777" w:rsidR="003F5EAC" w:rsidRPr="00644328" w:rsidRDefault="003F5EAC" w:rsidP="009E676E">
      <w:pPr>
        <w:rPr>
          <w:sz w:val="22"/>
          <w:szCs w:val="22"/>
        </w:rPr>
      </w:pPr>
    </w:p>
    <w:p w14:paraId="45FF1C0E" w14:textId="77777777" w:rsidR="00E04B2A" w:rsidRDefault="00E453CD" w:rsidP="009E676E">
      <w:r w:rsidRPr="002F0483">
        <w:rPr>
          <w:sz w:val="22"/>
        </w:rPr>
        <w:t xml:space="preserve">Hos pasienter med moderat til alvorlig aktiv </w:t>
      </w:r>
      <w:r>
        <w:rPr>
          <w:sz w:val="22"/>
        </w:rPr>
        <w:t xml:space="preserve">pediatrisk </w:t>
      </w:r>
      <w:r w:rsidRPr="002F0483">
        <w:rPr>
          <w:sz w:val="22"/>
        </w:rPr>
        <w:t xml:space="preserve">ulcerøs kolitt </w:t>
      </w:r>
      <w:r>
        <w:rPr>
          <w:sz w:val="22"/>
        </w:rPr>
        <w:t>ble</w:t>
      </w:r>
      <w:r w:rsidRPr="002F0483">
        <w:rPr>
          <w:sz w:val="22"/>
        </w:rPr>
        <w:t xml:space="preserve"> anti-adalimumab</w:t>
      </w:r>
      <w:r>
        <w:rPr>
          <w:sz w:val="22"/>
        </w:rPr>
        <w:t xml:space="preserve"> </w:t>
      </w:r>
      <w:r w:rsidRPr="002F0483">
        <w:rPr>
          <w:sz w:val="22"/>
        </w:rPr>
        <w:t>antistoff</w:t>
      </w:r>
      <w:r>
        <w:rPr>
          <w:sz w:val="22"/>
        </w:rPr>
        <w:t>er</w:t>
      </w:r>
      <w:r w:rsidRPr="002F0483">
        <w:rPr>
          <w:sz w:val="22"/>
        </w:rPr>
        <w:t xml:space="preserve"> </w:t>
      </w:r>
      <w:r>
        <w:rPr>
          <w:sz w:val="22"/>
        </w:rPr>
        <w:t>utviklet hos 3</w:t>
      </w:r>
      <w:r w:rsidR="00DF4E4A">
        <w:rPr>
          <w:sz w:val="22"/>
        </w:rPr>
        <w:t> </w:t>
      </w:r>
      <w:r>
        <w:rPr>
          <w:sz w:val="22"/>
        </w:rPr>
        <w:t xml:space="preserve">% av </w:t>
      </w:r>
      <w:r w:rsidRPr="002F0483">
        <w:rPr>
          <w:sz w:val="22"/>
        </w:rPr>
        <w:t>pasiente</w:t>
      </w:r>
      <w:r>
        <w:rPr>
          <w:sz w:val="22"/>
        </w:rPr>
        <w:t xml:space="preserve">ne behandlet med </w:t>
      </w:r>
      <w:r w:rsidRPr="002F0483">
        <w:rPr>
          <w:sz w:val="22"/>
        </w:rPr>
        <w:t>adalimumab.</w:t>
      </w:r>
    </w:p>
    <w:p w14:paraId="66E4206C" w14:textId="77777777" w:rsidR="00F71619" w:rsidRPr="00644328" w:rsidRDefault="00F71619" w:rsidP="009E676E"/>
    <w:p w14:paraId="58BCB92F" w14:textId="77777777" w:rsidR="009E676E" w:rsidRPr="00644328" w:rsidRDefault="00E453CD" w:rsidP="009E676E">
      <w:pPr>
        <w:rPr>
          <w:sz w:val="22"/>
          <w:szCs w:val="22"/>
        </w:rPr>
      </w:pPr>
      <w:r w:rsidRPr="00644328">
        <w:rPr>
          <w:sz w:val="22"/>
          <w:szCs w:val="22"/>
        </w:rPr>
        <w:t>Ettersom immunogenisitetsanalyser er produktspesifikke, er en sammenligning av antistoff-forekomst med andre produkter uegnet.</w:t>
      </w:r>
    </w:p>
    <w:p w14:paraId="5B1913C5" w14:textId="77777777" w:rsidR="009E676E" w:rsidRPr="00644328" w:rsidRDefault="009E676E" w:rsidP="009E676E">
      <w:pPr>
        <w:rPr>
          <w:sz w:val="22"/>
          <w:szCs w:val="22"/>
        </w:rPr>
      </w:pPr>
    </w:p>
    <w:p w14:paraId="6C184248" w14:textId="77777777" w:rsidR="009E676E" w:rsidRPr="00644328" w:rsidRDefault="00E453CD" w:rsidP="00776A84">
      <w:pPr>
        <w:keepNext/>
        <w:rPr>
          <w:sz w:val="22"/>
          <w:szCs w:val="22"/>
        </w:rPr>
      </w:pPr>
      <w:r w:rsidRPr="00644328">
        <w:rPr>
          <w:sz w:val="22"/>
          <w:szCs w:val="22"/>
          <w:u w:val="single"/>
        </w:rPr>
        <w:lastRenderedPageBreak/>
        <w:t>Pediatrisk populasjon</w:t>
      </w:r>
    </w:p>
    <w:p w14:paraId="79B3BC90" w14:textId="77777777" w:rsidR="009E676E" w:rsidRPr="00644328" w:rsidRDefault="009E676E" w:rsidP="00776A84">
      <w:pPr>
        <w:keepNext/>
        <w:rPr>
          <w:sz w:val="22"/>
          <w:szCs w:val="22"/>
        </w:rPr>
      </w:pPr>
    </w:p>
    <w:p w14:paraId="7F55DC9D" w14:textId="77777777" w:rsidR="00C95D55" w:rsidRDefault="00E453CD" w:rsidP="00C95D55">
      <w:pPr>
        <w:keepNext/>
        <w:rPr>
          <w:rFonts w:eastAsia="TimesNewRoman"/>
          <w:i/>
          <w:sz w:val="22"/>
          <w:szCs w:val="22"/>
        </w:rPr>
      </w:pPr>
      <w:r w:rsidRPr="009C5EFD">
        <w:rPr>
          <w:rFonts w:eastAsia="TimesNewRoman"/>
          <w:i/>
          <w:sz w:val="22"/>
          <w:szCs w:val="22"/>
        </w:rPr>
        <w:t>Hidrosadenitt</w:t>
      </w:r>
      <w:r>
        <w:rPr>
          <w:rFonts w:eastAsia="TimesNewRoman"/>
          <w:i/>
          <w:sz w:val="22"/>
          <w:szCs w:val="22"/>
        </w:rPr>
        <w:t xml:space="preserve"> hos ungdom</w:t>
      </w:r>
    </w:p>
    <w:p w14:paraId="1BFD806D" w14:textId="77777777" w:rsidR="00C95D55" w:rsidRDefault="00C95D55" w:rsidP="00C95D55">
      <w:pPr>
        <w:keepNext/>
        <w:rPr>
          <w:rFonts w:eastAsia="TimesNewRoman"/>
          <w:i/>
          <w:sz w:val="22"/>
          <w:szCs w:val="22"/>
        </w:rPr>
      </w:pPr>
    </w:p>
    <w:p w14:paraId="6734A625" w14:textId="77777777" w:rsidR="00C95D55" w:rsidRPr="009C5EFD" w:rsidRDefault="00E453CD" w:rsidP="00C95D55">
      <w:pPr>
        <w:rPr>
          <w:sz w:val="22"/>
          <w:szCs w:val="22"/>
        </w:rPr>
      </w:pPr>
      <w:r>
        <w:rPr>
          <w:sz w:val="22"/>
          <w:szCs w:val="22"/>
        </w:rPr>
        <w:t>Det finnes ingen kliniske studier med Humira hos ungdom med HS. Effekten av adalimumab for behandling av ungdom med HS er forventet basert på demonstrert effekt og eksponering-respons forhold hos voksne pasienter med HS og sannsynligheten for at sykdomsforløpet, patofysiologi og effekt av legemidlet er vesentlig lik som for voksne ved de samme eksponeringsnivåer. Sikkerheten av den anbefalte dosen for adalimumab hos ungdom med HS er basert på sikkerhetsprofilen observert på tvers av indikasjonene ved bruk hos både voksne og pediatriske pasienter ved lik eller hyppigere dosering (se pkt. 5.2).</w:t>
      </w:r>
    </w:p>
    <w:p w14:paraId="69D6BD65" w14:textId="77777777" w:rsidR="00C95D55" w:rsidRPr="009C5EFD" w:rsidRDefault="00C95D55" w:rsidP="00C95D55">
      <w:pPr>
        <w:rPr>
          <w:sz w:val="22"/>
          <w:szCs w:val="22"/>
          <w:u w:val="single"/>
        </w:rPr>
      </w:pPr>
    </w:p>
    <w:p w14:paraId="6E2CB15E" w14:textId="77777777" w:rsidR="00C95D55" w:rsidRPr="001F5D4B" w:rsidRDefault="00E453CD" w:rsidP="00C95D55">
      <w:pPr>
        <w:keepNext/>
        <w:rPr>
          <w:i/>
          <w:sz w:val="22"/>
          <w:szCs w:val="22"/>
        </w:rPr>
      </w:pPr>
      <w:r w:rsidRPr="001F5D4B">
        <w:rPr>
          <w:i/>
          <w:sz w:val="22"/>
          <w:szCs w:val="22"/>
        </w:rPr>
        <w:t>Pediatrisk Crohns sykdom</w:t>
      </w:r>
    </w:p>
    <w:p w14:paraId="439D4FA5" w14:textId="77777777" w:rsidR="00C95D55" w:rsidRPr="007F67EE" w:rsidRDefault="00C95D55" w:rsidP="00C95D55">
      <w:pPr>
        <w:keepNext/>
        <w:rPr>
          <w:sz w:val="22"/>
          <w:szCs w:val="22"/>
          <w:u w:val="single"/>
        </w:rPr>
      </w:pPr>
    </w:p>
    <w:p w14:paraId="05054762" w14:textId="77777777" w:rsidR="00C95D55" w:rsidRPr="009C5EFD" w:rsidRDefault="00E453CD" w:rsidP="00C95D55">
      <w:pPr>
        <w:rPr>
          <w:sz w:val="22"/>
          <w:szCs w:val="22"/>
        </w:rPr>
      </w:pPr>
      <w:r w:rsidRPr="00193D76">
        <w:rPr>
          <w:sz w:val="22"/>
          <w:szCs w:val="22"/>
        </w:rPr>
        <w:t>Humira ble vurdert i en multisenter, randomisert</w:t>
      </w:r>
      <w:r w:rsidRPr="002D0790">
        <w:rPr>
          <w:sz w:val="22"/>
          <w:szCs w:val="22"/>
        </w:rPr>
        <w:t>, dobbeltblindet</w:t>
      </w:r>
      <w:r w:rsidRPr="00E14E58">
        <w:rPr>
          <w:sz w:val="22"/>
          <w:szCs w:val="22"/>
        </w:rPr>
        <w:t xml:space="preserve"> klinisk studie designet for å </w:t>
      </w:r>
      <w:r w:rsidR="00421CF7">
        <w:rPr>
          <w:sz w:val="22"/>
          <w:szCs w:val="22"/>
        </w:rPr>
        <w:t xml:space="preserve">vurdere </w:t>
      </w:r>
      <w:r w:rsidRPr="00E14E58">
        <w:rPr>
          <w:sz w:val="22"/>
          <w:szCs w:val="22"/>
        </w:rPr>
        <w:t xml:space="preserve">effekt og sikkerhet av </w:t>
      </w:r>
      <w:r w:rsidRPr="009C5EFD">
        <w:rPr>
          <w:sz w:val="22"/>
          <w:szCs w:val="22"/>
        </w:rPr>
        <w:t>induksjons- og vedlikeholdsbehandling med doser avhenging av kroppsvekt (&lt; 40 kg eller ≥ 40 kg) hos 192 pediatriske pasienter i alderen mellom 6 og 17 år (inklusiv) med moderat til alvorlig Crohns sykdom (CD), definert som Pediatri</w:t>
      </w:r>
      <w:r>
        <w:rPr>
          <w:sz w:val="22"/>
          <w:szCs w:val="22"/>
        </w:rPr>
        <w:t>c</w:t>
      </w:r>
      <w:r w:rsidRPr="009C5EFD">
        <w:rPr>
          <w:sz w:val="22"/>
          <w:szCs w:val="22"/>
        </w:rPr>
        <w:t xml:space="preserve"> Crohn</w:t>
      </w:r>
      <w:r>
        <w:rPr>
          <w:sz w:val="22"/>
          <w:szCs w:val="22"/>
        </w:rPr>
        <w:t>’</w:t>
      </w:r>
      <w:r w:rsidRPr="009C5EFD">
        <w:rPr>
          <w:sz w:val="22"/>
          <w:szCs w:val="22"/>
        </w:rPr>
        <w:t>s</w:t>
      </w:r>
      <w:r w:rsidRPr="008138BF">
        <w:t xml:space="preserve"> </w:t>
      </w:r>
      <w:r w:rsidRPr="008138BF">
        <w:rPr>
          <w:sz w:val="22"/>
          <w:szCs w:val="22"/>
        </w:rPr>
        <w:t>Disease</w:t>
      </w:r>
      <w:r w:rsidRPr="009C5EFD">
        <w:rPr>
          <w:sz w:val="22"/>
          <w:szCs w:val="22"/>
        </w:rPr>
        <w:t xml:space="preserve"> Activity Index (PCDAI) score &gt; 30. Pasientene måtte ha mislyktes på </w:t>
      </w:r>
      <w:r>
        <w:rPr>
          <w:sz w:val="22"/>
          <w:szCs w:val="22"/>
        </w:rPr>
        <w:t>konvensjonell behandling</w:t>
      </w:r>
      <w:r w:rsidRPr="009C5EFD">
        <w:rPr>
          <w:sz w:val="22"/>
          <w:szCs w:val="22"/>
        </w:rPr>
        <w:t xml:space="preserve"> (inkludert et kortikosteroid og/eller et immunmodulerende middel) for CD. Pasientene kan også tidligere ha mistet respons eller vært intolerante overfor infliksimab.</w:t>
      </w:r>
    </w:p>
    <w:p w14:paraId="3690374B" w14:textId="77777777" w:rsidR="00C95D55" w:rsidRPr="009C5EFD" w:rsidRDefault="00C95D55" w:rsidP="00C95D55">
      <w:pPr>
        <w:rPr>
          <w:sz w:val="22"/>
          <w:szCs w:val="22"/>
        </w:rPr>
      </w:pPr>
    </w:p>
    <w:p w14:paraId="55A61708" w14:textId="77777777" w:rsidR="00C95D55" w:rsidRPr="009C5EFD" w:rsidRDefault="00E453CD" w:rsidP="00C95D55">
      <w:pPr>
        <w:rPr>
          <w:sz w:val="22"/>
          <w:szCs w:val="22"/>
        </w:rPr>
      </w:pPr>
      <w:r w:rsidRPr="009C5EFD">
        <w:rPr>
          <w:sz w:val="22"/>
          <w:szCs w:val="22"/>
        </w:rPr>
        <w:t>Alle pasienter fikk åpen induksjonsbehandling med en dose basert på deres baseline kroppsvekt: 160 mg ved uke 0 og 80 mg ved uke 2 for pasienter ≥ 40 kg, og henholdsvis 80 mg og 40 mg for pasienter &lt; 40 kg.</w:t>
      </w:r>
    </w:p>
    <w:p w14:paraId="5FCE5F20" w14:textId="77777777" w:rsidR="00C95D55" w:rsidRPr="009C5EFD" w:rsidRDefault="00C95D55" w:rsidP="00C95D55">
      <w:pPr>
        <w:rPr>
          <w:sz w:val="22"/>
          <w:szCs w:val="22"/>
        </w:rPr>
      </w:pPr>
    </w:p>
    <w:p w14:paraId="0B244AEF" w14:textId="77777777" w:rsidR="00C95D55" w:rsidRPr="009C5EFD" w:rsidRDefault="00E453CD" w:rsidP="00C95D55">
      <w:pPr>
        <w:rPr>
          <w:sz w:val="22"/>
          <w:szCs w:val="22"/>
        </w:rPr>
      </w:pPr>
      <w:r w:rsidRPr="009C5EFD">
        <w:rPr>
          <w:sz w:val="22"/>
          <w:szCs w:val="22"/>
        </w:rPr>
        <w:t>Ved uke</w:t>
      </w:r>
      <w:r>
        <w:rPr>
          <w:sz w:val="22"/>
          <w:szCs w:val="22"/>
        </w:rPr>
        <w:t> </w:t>
      </w:r>
      <w:r w:rsidRPr="009C5EFD">
        <w:rPr>
          <w:sz w:val="22"/>
          <w:szCs w:val="22"/>
        </w:rPr>
        <w:t xml:space="preserve">4 ble pasientene randomisert til vedlikeholdsbehandling 1:1 basert på deres kroppsvekt til enten lav dose eller standard dose som vist i tabell </w:t>
      </w:r>
      <w:r>
        <w:rPr>
          <w:sz w:val="22"/>
          <w:szCs w:val="22"/>
        </w:rPr>
        <w:t>1</w:t>
      </w:r>
      <w:r w:rsidR="00E04B2A">
        <w:rPr>
          <w:sz w:val="22"/>
          <w:szCs w:val="22"/>
        </w:rPr>
        <w:t>8</w:t>
      </w:r>
      <w:r w:rsidRPr="009C5EFD">
        <w:rPr>
          <w:sz w:val="22"/>
          <w:szCs w:val="22"/>
        </w:rPr>
        <w:t>.</w:t>
      </w:r>
    </w:p>
    <w:p w14:paraId="0A5B736A" w14:textId="77777777" w:rsidR="00C95D55" w:rsidRDefault="00C95D55" w:rsidP="00C95D55">
      <w:pPr>
        <w:rPr>
          <w:sz w:val="22"/>
          <w:szCs w:val="22"/>
        </w:rPr>
      </w:pPr>
    </w:p>
    <w:p w14:paraId="71677303" w14:textId="77777777" w:rsidR="00C95D55" w:rsidRPr="00DD5322" w:rsidRDefault="00E453CD" w:rsidP="001C4BD6">
      <w:pPr>
        <w:pStyle w:val="EMEANormal"/>
        <w:keepNext/>
        <w:jc w:val="center"/>
        <w:rPr>
          <w:b/>
          <w:lang w:val="nb-NO"/>
        </w:rPr>
      </w:pPr>
      <w:r w:rsidRPr="00DD5322">
        <w:rPr>
          <w:b/>
          <w:szCs w:val="24"/>
          <w:lang w:val="nb-NO"/>
        </w:rPr>
        <w:t>Tabell 1</w:t>
      </w:r>
      <w:r w:rsidR="00E04B2A">
        <w:rPr>
          <w:b/>
          <w:szCs w:val="24"/>
          <w:lang w:val="nb-NO"/>
        </w:rPr>
        <w:t>8</w:t>
      </w:r>
    </w:p>
    <w:p w14:paraId="28B41B33" w14:textId="77777777" w:rsidR="00C95D55" w:rsidRPr="00DD5322" w:rsidRDefault="00E453CD" w:rsidP="001C4BD6">
      <w:pPr>
        <w:pStyle w:val="EMEANormal"/>
        <w:keepNext/>
        <w:jc w:val="center"/>
        <w:rPr>
          <w:b/>
          <w:lang w:val="nb-NO"/>
        </w:rPr>
      </w:pPr>
      <w:r w:rsidRPr="00DD5322">
        <w:rPr>
          <w:b/>
          <w:szCs w:val="24"/>
          <w:lang w:val="nb-NO"/>
        </w:rPr>
        <w:t>Vedlikeholdsbehandling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2116"/>
        <w:gridCol w:w="2116"/>
      </w:tblGrid>
      <w:tr w:rsidR="004644D4" w14:paraId="170EF0CC" w14:textId="77777777" w:rsidTr="001C4BD6">
        <w:trPr>
          <w:jc w:val="center"/>
        </w:trPr>
        <w:tc>
          <w:tcPr>
            <w:tcW w:w="0" w:type="auto"/>
          </w:tcPr>
          <w:p w14:paraId="20843697" w14:textId="77777777" w:rsidR="00C95D55" w:rsidRPr="00DD5322" w:rsidRDefault="00E453CD" w:rsidP="001C4BD6">
            <w:pPr>
              <w:pStyle w:val="EMEANormal"/>
              <w:jc w:val="center"/>
              <w:rPr>
                <w:b/>
                <w:szCs w:val="24"/>
                <w:lang w:val="nb-NO"/>
              </w:rPr>
            </w:pPr>
            <w:r w:rsidRPr="00DD5322">
              <w:rPr>
                <w:b/>
                <w:szCs w:val="24"/>
                <w:lang w:val="nb-NO"/>
              </w:rPr>
              <w:t>Pasient vekt</w:t>
            </w:r>
          </w:p>
        </w:tc>
        <w:tc>
          <w:tcPr>
            <w:tcW w:w="0" w:type="auto"/>
          </w:tcPr>
          <w:p w14:paraId="0B2F0824" w14:textId="77777777" w:rsidR="00C95D55" w:rsidRPr="00DD5322" w:rsidRDefault="00E453CD" w:rsidP="001C4BD6">
            <w:pPr>
              <w:pStyle w:val="EMEANormal"/>
              <w:jc w:val="center"/>
              <w:rPr>
                <w:b/>
                <w:szCs w:val="24"/>
                <w:lang w:val="nb-NO"/>
              </w:rPr>
            </w:pPr>
            <w:r w:rsidRPr="00DD5322">
              <w:rPr>
                <w:b/>
                <w:szCs w:val="24"/>
                <w:lang w:val="nb-NO"/>
              </w:rPr>
              <w:t>Lav dose</w:t>
            </w:r>
          </w:p>
        </w:tc>
        <w:tc>
          <w:tcPr>
            <w:tcW w:w="0" w:type="auto"/>
          </w:tcPr>
          <w:p w14:paraId="2657F2EB" w14:textId="77777777" w:rsidR="00C95D55" w:rsidRPr="00DD5322" w:rsidRDefault="00E453CD" w:rsidP="001C4BD6">
            <w:pPr>
              <w:pStyle w:val="EMEANormal"/>
              <w:jc w:val="center"/>
              <w:rPr>
                <w:b/>
                <w:szCs w:val="24"/>
                <w:lang w:val="nb-NO"/>
              </w:rPr>
            </w:pPr>
            <w:r w:rsidRPr="00DD5322">
              <w:rPr>
                <w:b/>
                <w:szCs w:val="24"/>
                <w:lang w:val="nb-NO"/>
              </w:rPr>
              <w:t>Standard dose</w:t>
            </w:r>
          </w:p>
        </w:tc>
      </w:tr>
      <w:tr w:rsidR="004644D4" w14:paraId="730D2F7E" w14:textId="77777777" w:rsidTr="001C4BD6">
        <w:trPr>
          <w:jc w:val="center"/>
        </w:trPr>
        <w:tc>
          <w:tcPr>
            <w:tcW w:w="0" w:type="auto"/>
          </w:tcPr>
          <w:p w14:paraId="33388A44" w14:textId="77777777" w:rsidR="00C95D55" w:rsidRPr="00DD5322" w:rsidRDefault="00E453CD" w:rsidP="001C4BD6">
            <w:pPr>
              <w:pStyle w:val="EMEANormal"/>
              <w:jc w:val="center"/>
              <w:rPr>
                <w:szCs w:val="24"/>
                <w:lang w:val="nb-NO"/>
              </w:rPr>
            </w:pPr>
            <w:r w:rsidRPr="00DD5322">
              <w:rPr>
                <w:szCs w:val="24"/>
                <w:lang w:val="nb-NO"/>
              </w:rPr>
              <w:t>&lt; 40 kg</w:t>
            </w:r>
          </w:p>
        </w:tc>
        <w:tc>
          <w:tcPr>
            <w:tcW w:w="0" w:type="auto"/>
          </w:tcPr>
          <w:p w14:paraId="1B1D2979" w14:textId="77777777" w:rsidR="00C95D55" w:rsidRPr="00DD5322" w:rsidRDefault="00E453CD" w:rsidP="001C4BD6">
            <w:pPr>
              <w:pStyle w:val="EMEANormal"/>
              <w:jc w:val="center"/>
              <w:rPr>
                <w:szCs w:val="24"/>
                <w:lang w:val="nb-NO"/>
              </w:rPr>
            </w:pPr>
            <w:r w:rsidRPr="00DD5322">
              <w:rPr>
                <w:szCs w:val="24"/>
                <w:lang w:val="nb-NO"/>
              </w:rPr>
              <w:t>10 mg annenhver uke</w:t>
            </w:r>
          </w:p>
        </w:tc>
        <w:tc>
          <w:tcPr>
            <w:tcW w:w="0" w:type="auto"/>
          </w:tcPr>
          <w:p w14:paraId="48CCC778" w14:textId="77777777" w:rsidR="00C95D55" w:rsidRPr="00DD5322" w:rsidRDefault="00E453CD" w:rsidP="001C4BD6">
            <w:pPr>
              <w:pStyle w:val="EMEANormal"/>
              <w:jc w:val="center"/>
              <w:rPr>
                <w:szCs w:val="24"/>
                <w:lang w:val="nb-NO"/>
              </w:rPr>
            </w:pPr>
            <w:r w:rsidRPr="00DD5322">
              <w:rPr>
                <w:szCs w:val="24"/>
                <w:lang w:val="nb-NO"/>
              </w:rPr>
              <w:t>20 mg annenhver uke</w:t>
            </w:r>
          </w:p>
        </w:tc>
      </w:tr>
      <w:tr w:rsidR="004644D4" w14:paraId="2607F561" w14:textId="77777777" w:rsidTr="001C4BD6">
        <w:trPr>
          <w:jc w:val="center"/>
        </w:trPr>
        <w:tc>
          <w:tcPr>
            <w:tcW w:w="0" w:type="auto"/>
          </w:tcPr>
          <w:p w14:paraId="5BE3DA00" w14:textId="77777777" w:rsidR="00C95D55" w:rsidRPr="00DD5322" w:rsidRDefault="00E453CD" w:rsidP="001C4BD6">
            <w:pPr>
              <w:pStyle w:val="EMEANormal"/>
              <w:jc w:val="center"/>
              <w:rPr>
                <w:szCs w:val="24"/>
                <w:lang w:val="nb-NO"/>
              </w:rPr>
            </w:pPr>
            <w:r w:rsidRPr="00DD5322">
              <w:rPr>
                <w:szCs w:val="24"/>
                <w:lang w:val="nb-NO"/>
              </w:rPr>
              <w:t>≥ 40 kg</w:t>
            </w:r>
          </w:p>
        </w:tc>
        <w:tc>
          <w:tcPr>
            <w:tcW w:w="0" w:type="auto"/>
          </w:tcPr>
          <w:p w14:paraId="4F2F1B20" w14:textId="77777777" w:rsidR="00C95D55" w:rsidRPr="00DD5322" w:rsidRDefault="00E453CD" w:rsidP="001C4BD6">
            <w:pPr>
              <w:pStyle w:val="EMEANormal"/>
              <w:jc w:val="center"/>
              <w:rPr>
                <w:szCs w:val="24"/>
                <w:lang w:val="nb-NO"/>
              </w:rPr>
            </w:pPr>
            <w:r w:rsidRPr="00DD5322">
              <w:rPr>
                <w:szCs w:val="24"/>
                <w:lang w:val="nb-NO"/>
              </w:rPr>
              <w:t>20 mg annenhver uke</w:t>
            </w:r>
          </w:p>
        </w:tc>
        <w:tc>
          <w:tcPr>
            <w:tcW w:w="0" w:type="auto"/>
          </w:tcPr>
          <w:p w14:paraId="5D306E65" w14:textId="77777777" w:rsidR="00C95D55" w:rsidRPr="00DD5322" w:rsidRDefault="00E453CD" w:rsidP="001C4BD6">
            <w:pPr>
              <w:pStyle w:val="EMEANormal"/>
              <w:jc w:val="center"/>
              <w:rPr>
                <w:szCs w:val="24"/>
                <w:lang w:val="nb-NO"/>
              </w:rPr>
            </w:pPr>
            <w:r w:rsidRPr="00DD5322">
              <w:rPr>
                <w:szCs w:val="24"/>
                <w:lang w:val="nb-NO"/>
              </w:rPr>
              <w:t>40 mg annenhver uke</w:t>
            </w:r>
          </w:p>
        </w:tc>
      </w:tr>
    </w:tbl>
    <w:p w14:paraId="1A5D582B" w14:textId="77777777" w:rsidR="00C95D55" w:rsidRPr="009C5EFD" w:rsidRDefault="00C95D55" w:rsidP="001C4BD6">
      <w:pPr>
        <w:jc w:val="center"/>
        <w:rPr>
          <w:sz w:val="22"/>
          <w:szCs w:val="22"/>
        </w:rPr>
      </w:pPr>
    </w:p>
    <w:p w14:paraId="0A0C1981" w14:textId="77777777" w:rsidR="00C95D55" w:rsidRPr="009C5EFD" w:rsidRDefault="00E453CD" w:rsidP="00C95D55">
      <w:pPr>
        <w:pStyle w:val="Heading8"/>
        <w:rPr>
          <w:i/>
          <w:szCs w:val="22"/>
        </w:rPr>
      </w:pPr>
      <w:r>
        <w:rPr>
          <w:i/>
          <w:szCs w:val="22"/>
        </w:rPr>
        <w:t>Effektresultater</w:t>
      </w:r>
    </w:p>
    <w:p w14:paraId="0D3B1FF7" w14:textId="77777777" w:rsidR="00C95D55" w:rsidRPr="001F5D4B" w:rsidRDefault="00C95D55" w:rsidP="00C95D55">
      <w:pPr>
        <w:pStyle w:val="Heading8"/>
        <w:rPr>
          <w:szCs w:val="22"/>
          <w:u w:val="none"/>
        </w:rPr>
      </w:pPr>
    </w:p>
    <w:p w14:paraId="3045FFC1" w14:textId="77777777" w:rsidR="00C95D55" w:rsidRPr="00193D76" w:rsidRDefault="00E453CD" w:rsidP="00C95D55">
      <w:pPr>
        <w:pStyle w:val="Heading8"/>
        <w:keepNext w:val="0"/>
        <w:rPr>
          <w:szCs w:val="22"/>
          <w:u w:val="none"/>
        </w:rPr>
      </w:pPr>
      <w:r w:rsidRPr="007F67EE">
        <w:rPr>
          <w:szCs w:val="22"/>
          <w:u w:val="none"/>
        </w:rPr>
        <w:t>Studiens primær endepunkt var klinisk remisjon ved uke 26, de</w:t>
      </w:r>
      <w:r w:rsidRPr="00193D76">
        <w:rPr>
          <w:szCs w:val="22"/>
          <w:u w:val="none"/>
        </w:rPr>
        <w:t>finert som PCDAI score ≤ 10.</w:t>
      </w:r>
    </w:p>
    <w:p w14:paraId="08714B5C" w14:textId="77777777" w:rsidR="00C95D55" w:rsidRPr="002D0790" w:rsidRDefault="00C95D55" w:rsidP="00C95D55">
      <w:pPr>
        <w:pStyle w:val="Heading8"/>
        <w:keepNext w:val="0"/>
        <w:rPr>
          <w:szCs w:val="22"/>
          <w:u w:val="none"/>
        </w:rPr>
      </w:pPr>
    </w:p>
    <w:p w14:paraId="7D64BD65" w14:textId="77777777" w:rsidR="00C95D55" w:rsidRPr="009C5EFD" w:rsidRDefault="00E453CD" w:rsidP="00C95D55">
      <w:pPr>
        <w:pStyle w:val="Heading8"/>
        <w:keepNext w:val="0"/>
        <w:rPr>
          <w:szCs w:val="22"/>
          <w:u w:val="none"/>
        </w:rPr>
      </w:pPr>
      <w:r w:rsidRPr="002D0790">
        <w:rPr>
          <w:szCs w:val="22"/>
          <w:u w:val="none"/>
        </w:rPr>
        <w:t xml:space="preserve">Klinisk remisjon og klinisk respons (definert som reduksjon i PCDAI score på minst 15 poeng fra baseline) er presentert i tabell </w:t>
      </w:r>
      <w:r>
        <w:rPr>
          <w:szCs w:val="22"/>
          <w:u w:val="none"/>
        </w:rPr>
        <w:t>1</w:t>
      </w:r>
      <w:r w:rsidR="00E04B2A">
        <w:rPr>
          <w:szCs w:val="22"/>
          <w:u w:val="none"/>
        </w:rPr>
        <w:t>9</w:t>
      </w:r>
      <w:r w:rsidRPr="009C5EFD">
        <w:rPr>
          <w:szCs w:val="22"/>
          <w:u w:val="none"/>
        </w:rPr>
        <w:t xml:space="preserve">. Seponering av kortikosteroider eller immunmodulerende midler er presentert i tabell </w:t>
      </w:r>
      <w:r w:rsidR="00E04B2A">
        <w:rPr>
          <w:szCs w:val="22"/>
          <w:u w:val="none"/>
        </w:rPr>
        <w:t>20</w:t>
      </w:r>
      <w:r w:rsidRPr="009C5EFD">
        <w:rPr>
          <w:szCs w:val="22"/>
          <w:u w:val="none"/>
        </w:rPr>
        <w:t>.</w:t>
      </w:r>
    </w:p>
    <w:p w14:paraId="1CC2B5A4" w14:textId="77777777" w:rsidR="00C95D55" w:rsidRPr="009C5EFD" w:rsidRDefault="00C95D55" w:rsidP="00C95D55">
      <w:pPr>
        <w:pStyle w:val="Heading8"/>
        <w:keepNext w:val="0"/>
        <w:rPr>
          <w:szCs w:val="22"/>
          <w:u w:val="none"/>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4644D4" w14:paraId="388A6B36" w14:textId="77777777" w:rsidTr="00C95D55">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74BF286C" w14:textId="77777777" w:rsidR="00C95D55" w:rsidRPr="00CB31ED" w:rsidRDefault="00E453CD" w:rsidP="00C95D55">
            <w:pPr>
              <w:tabs>
                <w:tab w:val="left" w:pos="-878"/>
              </w:tabs>
              <w:autoSpaceDE w:val="0"/>
              <w:autoSpaceDN w:val="0"/>
              <w:adjustRightInd w:val="0"/>
              <w:ind w:left="15"/>
              <w:jc w:val="center"/>
              <w:rPr>
                <w:b/>
                <w:bCs/>
                <w:sz w:val="22"/>
                <w:szCs w:val="22"/>
              </w:rPr>
            </w:pPr>
            <w:r w:rsidRPr="00CB31ED">
              <w:rPr>
                <w:b/>
                <w:bCs/>
                <w:sz w:val="22"/>
                <w:szCs w:val="22"/>
              </w:rPr>
              <w:t xml:space="preserve">Tabell </w:t>
            </w:r>
            <w:r>
              <w:rPr>
                <w:b/>
                <w:bCs/>
                <w:sz w:val="22"/>
                <w:szCs w:val="22"/>
              </w:rPr>
              <w:t>1</w:t>
            </w:r>
            <w:r w:rsidR="00E04B2A">
              <w:rPr>
                <w:b/>
                <w:bCs/>
                <w:sz w:val="22"/>
                <w:szCs w:val="22"/>
              </w:rPr>
              <w:t>9</w:t>
            </w:r>
          </w:p>
          <w:p w14:paraId="647E9AE3" w14:textId="77777777" w:rsidR="00C95D55" w:rsidRPr="00CB31ED" w:rsidRDefault="00E453CD" w:rsidP="00C95D55">
            <w:pPr>
              <w:tabs>
                <w:tab w:val="left" w:pos="-878"/>
              </w:tabs>
              <w:autoSpaceDE w:val="0"/>
              <w:autoSpaceDN w:val="0"/>
              <w:adjustRightInd w:val="0"/>
              <w:ind w:left="15"/>
              <w:jc w:val="center"/>
              <w:rPr>
                <w:b/>
                <w:bCs/>
                <w:sz w:val="22"/>
                <w:szCs w:val="22"/>
              </w:rPr>
            </w:pPr>
            <w:r w:rsidRPr="00CB31ED">
              <w:rPr>
                <w:b/>
                <w:bCs/>
                <w:sz w:val="22"/>
                <w:szCs w:val="22"/>
              </w:rPr>
              <w:t>Pediatrisk CD studie</w:t>
            </w:r>
          </w:p>
          <w:p w14:paraId="6808E6C8" w14:textId="77777777" w:rsidR="00C95D55" w:rsidRPr="00CB31ED" w:rsidRDefault="00E453CD" w:rsidP="00C95D55">
            <w:pPr>
              <w:tabs>
                <w:tab w:val="left" w:pos="-878"/>
              </w:tabs>
              <w:autoSpaceDE w:val="0"/>
              <w:autoSpaceDN w:val="0"/>
              <w:adjustRightInd w:val="0"/>
              <w:ind w:left="15"/>
              <w:jc w:val="center"/>
              <w:rPr>
                <w:b/>
                <w:bCs/>
                <w:sz w:val="22"/>
                <w:szCs w:val="22"/>
              </w:rPr>
            </w:pPr>
            <w:r w:rsidRPr="00CB31ED">
              <w:rPr>
                <w:b/>
                <w:bCs/>
                <w:sz w:val="22"/>
                <w:szCs w:val="22"/>
              </w:rPr>
              <w:t>PCDAI klinisk remisjon og respons</w:t>
            </w:r>
          </w:p>
        </w:tc>
      </w:tr>
      <w:tr w:rsidR="004644D4" w14:paraId="0EDD5595"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tcPr>
          <w:p w14:paraId="313FC751" w14:textId="77777777" w:rsidR="00C95D55" w:rsidRPr="00CB31ED" w:rsidRDefault="00C95D55" w:rsidP="00C95D55">
            <w:pPr>
              <w:keepLines/>
              <w:tabs>
                <w:tab w:val="left" w:pos="-1080"/>
              </w:tabs>
              <w:autoSpaceDE w:val="0"/>
              <w:autoSpaceDN w:val="0"/>
              <w:adjustRightInd w:val="0"/>
              <w:ind w:left="15"/>
              <w:jc w:val="center"/>
              <w:rPr>
                <w:b/>
                <w:bCs/>
                <w:sz w:val="22"/>
                <w:szCs w:val="22"/>
              </w:rPr>
            </w:pPr>
          </w:p>
        </w:tc>
        <w:tc>
          <w:tcPr>
            <w:tcW w:w="1614" w:type="dxa"/>
            <w:tcBorders>
              <w:top w:val="single" w:sz="6" w:space="0" w:color="000000"/>
              <w:left w:val="single" w:sz="6" w:space="0" w:color="000000"/>
              <w:bottom w:val="single" w:sz="6" w:space="0" w:color="000000"/>
              <w:right w:val="single" w:sz="6" w:space="0" w:color="000000"/>
            </w:tcBorders>
          </w:tcPr>
          <w:p w14:paraId="76CE39F3" w14:textId="77777777" w:rsidR="00C95D55" w:rsidRPr="00CB31ED" w:rsidRDefault="00E453CD" w:rsidP="00C95D55">
            <w:pPr>
              <w:keepLines/>
              <w:tabs>
                <w:tab w:val="left" w:pos="-1080"/>
              </w:tabs>
              <w:autoSpaceDE w:val="0"/>
              <w:autoSpaceDN w:val="0"/>
              <w:adjustRightInd w:val="0"/>
              <w:ind w:left="15"/>
              <w:jc w:val="center"/>
              <w:rPr>
                <w:b/>
                <w:bCs/>
                <w:sz w:val="22"/>
                <w:szCs w:val="22"/>
              </w:rPr>
            </w:pPr>
            <w:r w:rsidRPr="00CB31ED">
              <w:rPr>
                <w:b/>
                <w:bCs/>
                <w:sz w:val="22"/>
                <w:szCs w:val="22"/>
              </w:rPr>
              <w:t>Standard dose</w:t>
            </w:r>
          </w:p>
          <w:p w14:paraId="60922313" w14:textId="77777777" w:rsidR="00C95D55" w:rsidRPr="00CB31ED" w:rsidRDefault="00E453CD" w:rsidP="00C95D55">
            <w:pPr>
              <w:keepLines/>
              <w:tabs>
                <w:tab w:val="left" w:pos="-1080"/>
              </w:tabs>
              <w:autoSpaceDE w:val="0"/>
              <w:autoSpaceDN w:val="0"/>
              <w:adjustRightInd w:val="0"/>
              <w:ind w:left="15"/>
              <w:jc w:val="center"/>
              <w:rPr>
                <w:b/>
                <w:bCs/>
                <w:sz w:val="22"/>
                <w:szCs w:val="22"/>
              </w:rPr>
            </w:pPr>
            <w:r w:rsidRPr="00CB31ED">
              <w:rPr>
                <w:b/>
                <w:bCs/>
                <w:sz w:val="22"/>
                <w:szCs w:val="22"/>
              </w:rPr>
              <w:t xml:space="preserve">40/20 mg annenhver uke </w:t>
            </w:r>
          </w:p>
          <w:p w14:paraId="61587D39" w14:textId="77777777" w:rsidR="00C95D55" w:rsidRPr="00CB31ED" w:rsidRDefault="00E453CD" w:rsidP="00C95D55">
            <w:pPr>
              <w:keepLines/>
              <w:tabs>
                <w:tab w:val="left" w:pos="-1080"/>
              </w:tabs>
              <w:autoSpaceDE w:val="0"/>
              <w:autoSpaceDN w:val="0"/>
              <w:adjustRightInd w:val="0"/>
              <w:ind w:left="15"/>
              <w:jc w:val="center"/>
              <w:rPr>
                <w:b/>
                <w:bCs/>
                <w:sz w:val="22"/>
                <w:szCs w:val="22"/>
              </w:rPr>
            </w:pPr>
            <w:r w:rsidRPr="00CB31ED">
              <w:rPr>
                <w:b/>
                <w:bCs/>
                <w:sz w:val="22"/>
                <w:szCs w:val="22"/>
              </w:rPr>
              <w:t>N = 93</w:t>
            </w:r>
          </w:p>
        </w:tc>
        <w:tc>
          <w:tcPr>
            <w:tcW w:w="1591" w:type="dxa"/>
            <w:tcBorders>
              <w:top w:val="single" w:sz="6" w:space="0" w:color="000000"/>
              <w:left w:val="single" w:sz="6" w:space="0" w:color="000000"/>
              <w:bottom w:val="single" w:sz="6" w:space="0" w:color="000000"/>
              <w:right w:val="single" w:sz="6" w:space="0" w:color="000000"/>
            </w:tcBorders>
          </w:tcPr>
          <w:p w14:paraId="1AC8CE13" w14:textId="77777777" w:rsidR="00C95D55" w:rsidRPr="00CB31ED" w:rsidRDefault="00E453CD" w:rsidP="00C95D55">
            <w:pPr>
              <w:keepLines/>
              <w:tabs>
                <w:tab w:val="left" w:pos="-1080"/>
              </w:tabs>
              <w:autoSpaceDE w:val="0"/>
              <w:autoSpaceDN w:val="0"/>
              <w:adjustRightInd w:val="0"/>
              <w:ind w:left="15"/>
              <w:jc w:val="center"/>
              <w:rPr>
                <w:b/>
                <w:bCs/>
                <w:sz w:val="22"/>
                <w:szCs w:val="22"/>
              </w:rPr>
            </w:pPr>
            <w:r w:rsidRPr="00CB31ED">
              <w:rPr>
                <w:b/>
                <w:bCs/>
                <w:sz w:val="22"/>
                <w:szCs w:val="22"/>
              </w:rPr>
              <w:t>Lav dose</w:t>
            </w:r>
          </w:p>
          <w:p w14:paraId="249664A1" w14:textId="77777777" w:rsidR="00C95D55" w:rsidRPr="00CB31ED" w:rsidRDefault="00E453CD" w:rsidP="00C95D55">
            <w:pPr>
              <w:keepLines/>
              <w:tabs>
                <w:tab w:val="left" w:pos="-1080"/>
              </w:tabs>
              <w:autoSpaceDE w:val="0"/>
              <w:autoSpaceDN w:val="0"/>
              <w:adjustRightInd w:val="0"/>
              <w:ind w:left="15"/>
              <w:jc w:val="center"/>
              <w:rPr>
                <w:b/>
                <w:bCs/>
                <w:sz w:val="22"/>
                <w:szCs w:val="22"/>
              </w:rPr>
            </w:pPr>
            <w:r w:rsidRPr="00CB31ED">
              <w:rPr>
                <w:b/>
                <w:bCs/>
                <w:sz w:val="22"/>
                <w:szCs w:val="22"/>
              </w:rPr>
              <w:t xml:space="preserve">20/10 mg annenhver uke </w:t>
            </w:r>
          </w:p>
          <w:p w14:paraId="389F3108" w14:textId="77777777" w:rsidR="00C95D55" w:rsidRPr="00CB31ED" w:rsidRDefault="00E453CD" w:rsidP="00C95D55">
            <w:pPr>
              <w:keepLines/>
              <w:tabs>
                <w:tab w:val="left" w:pos="-1080"/>
              </w:tabs>
              <w:autoSpaceDE w:val="0"/>
              <w:autoSpaceDN w:val="0"/>
              <w:adjustRightInd w:val="0"/>
              <w:ind w:left="15"/>
              <w:jc w:val="center"/>
              <w:rPr>
                <w:b/>
                <w:bCs/>
                <w:sz w:val="22"/>
                <w:szCs w:val="22"/>
              </w:rPr>
            </w:pPr>
            <w:r w:rsidRPr="00CB31ED">
              <w:rPr>
                <w:b/>
                <w:bCs/>
                <w:sz w:val="22"/>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4E28D0C1"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b/>
                <w:bCs/>
                <w:sz w:val="22"/>
                <w:szCs w:val="22"/>
              </w:rPr>
              <w:t>P-verdi</w:t>
            </w:r>
            <w:r w:rsidRPr="00CB31ED">
              <w:rPr>
                <w:sz w:val="22"/>
                <w:szCs w:val="22"/>
              </w:rPr>
              <w:t>*</w:t>
            </w:r>
          </w:p>
        </w:tc>
      </w:tr>
      <w:tr w:rsidR="004644D4" w14:paraId="213C695E"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C28E3F5" w14:textId="77777777" w:rsidR="00C95D55" w:rsidRPr="00CB31ED" w:rsidRDefault="00E453CD" w:rsidP="00C95D55">
            <w:pPr>
              <w:keepLines/>
              <w:tabs>
                <w:tab w:val="left" w:pos="-1080"/>
              </w:tabs>
              <w:autoSpaceDE w:val="0"/>
              <w:autoSpaceDN w:val="0"/>
              <w:adjustRightInd w:val="0"/>
              <w:ind w:left="15"/>
              <w:rPr>
                <w:b/>
                <w:bCs/>
                <w:sz w:val="22"/>
                <w:szCs w:val="22"/>
              </w:rPr>
            </w:pPr>
            <w:r w:rsidRPr="00CB31ED">
              <w:rPr>
                <w:b/>
                <w:bCs/>
                <w:sz w:val="22"/>
                <w:szCs w:val="22"/>
              </w:rPr>
              <w:t>Uke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27BE1C00" w14:textId="77777777" w:rsidR="00C95D55" w:rsidRPr="00CB31ED" w:rsidRDefault="00C95D55" w:rsidP="00C95D55">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4344F85A" w14:textId="77777777" w:rsidR="00C95D55" w:rsidRPr="00CB31ED" w:rsidRDefault="00C95D55" w:rsidP="00C95D55">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47F8720E" w14:textId="77777777" w:rsidR="00C95D55" w:rsidRPr="00CB31ED" w:rsidRDefault="00C95D55" w:rsidP="00C95D55">
            <w:pPr>
              <w:autoSpaceDE w:val="0"/>
              <w:autoSpaceDN w:val="0"/>
              <w:adjustRightInd w:val="0"/>
              <w:ind w:left="15"/>
              <w:rPr>
                <w:b/>
                <w:bCs/>
                <w:sz w:val="22"/>
                <w:szCs w:val="22"/>
              </w:rPr>
            </w:pPr>
          </w:p>
        </w:tc>
      </w:tr>
      <w:tr w:rsidR="004644D4" w14:paraId="3EE72AB3"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25A2EC4E" w14:textId="77777777" w:rsidR="00C95D55" w:rsidRPr="00CB31ED" w:rsidRDefault="00E453CD" w:rsidP="00C95D55">
            <w:pPr>
              <w:keepLines/>
              <w:tabs>
                <w:tab w:val="left" w:pos="-1080"/>
              </w:tabs>
              <w:autoSpaceDE w:val="0"/>
              <w:autoSpaceDN w:val="0"/>
              <w:adjustRightInd w:val="0"/>
              <w:ind w:left="15"/>
              <w:rPr>
                <w:sz w:val="22"/>
                <w:szCs w:val="22"/>
              </w:rPr>
            </w:pPr>
            <w:r w:rsidRPr="00CB31ED">
              <w:rPr>
                <w:sz w:val="22"/>
                <w:szCs w:val="22"/>
              </w:rPr>
              <w:t xml:space="preserve">   Klinisk remisjon</w:t>
            </w:r>
          </w:p>
        </w:tc>
        <w:tc>
          <w:tcPr>
            <w:tcW w:w="1614" w:type="dxa"/>
            <w:tcBorders>
              <w:top w:val="single" w:sz="6" w:space="0" w:color="000000"/>
              <w:left w:val="single" w:sz="6" w:space="0" w:color="000000"/>
              <w:bottom w:val="single" w:sz="6" w:space="0" w:color="000000"/>
              <w:right w:val="single" w:sz="6" w:space="0" w:color="000000"/>
            </w:tcBorders>
            <w:vAlign w:val="bottom"/>
          </w:tcPr>
          <w:p w14:paraId="765025CE"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38,7 %</w:t>
            </w:r>
          </w:p>
        </w:tc>
        <w:tc>
          <w:tcPr>
            <w:tcW w:w="1591" w:type="dxa"/>
            <w:tcBorders>
              <w:top w:val="single" w:sz="6" w:space="0" w:color="000000"/>
              <w:left w:val="single" w:sz="6" w:space="0" w:color="000000"/>
              <w:bottom w:val="single" w:sz="6" w:space="0" w:color="000000"/>
              <w:right w:val="single" w:sz="6" w:space="0" w:color="000000"/>
            </w:tcBorders>
            <w:vAlign w:val="bottom"/>
          </w:tcPr>
          <w:p w14:paraId="7BC735E3"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28,4 %</w:t>
            </w:r>
          </w:p>
        </w:tc>
        <w:tc>
          <w:tcPr>
            <w:tcW w:w="1147" w:type="dxa"/>
            <w:tcBorders>
              <w:top w:val="single" w:sz="6" w:space="0" w:color="000000"/>
              <w:left w:val="single" w:sz="6" w:space="0" w:color="000000"/>
              <w:bottom w:val="single" w:sz="6" w:space="0" w:color="000000"/>
              <w:right w:val="single" w:sz="6" w:space="0" w:color="000000"/>
            </w:tcBorders>
            <w:vAlign w:val="bottom"/>
          </w:tcPr>
          <w:p w14:paraId="246B2E97"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0,075</w:t>
            </w:r>
          </w:p>
        </w:tc>
      </w:tr>
      <w:tr w:rsidR="004644D4" w14:paraId="0C2DD948"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tcPr>
          <w:p w14:paraId="455DF8AF" w14:textId="77777777" w:rsidR="00C95D55" w:rsidRPr="00CB31ED" w:rsidRDefault="00E453CD" w:rsidP="00C95D55">
            <w:pPr>
              <w:keepLines/>
              <w:tabs>
                <w:tab w:val="left" w:pos="-1080"/>
              </w:tabs>
              <w:autoSpaceDE w:val="0"/>
              <w:autoSpaceDN w:val="0"/>
              <w:adjustRightInd w:val="0"/>
              <w:ind w:left="15"/>
              <w:rPr>
                <w:sz w:val="22"/>
                <w:szCs w:val="22"/>
              </w:rPr>
            </w:pPr>
            <w:r w:rsidRPr="00CB31ED">
              <w:rPr>
                <w:sz w:val="22"/>
                <w:szCs w:val="22"/>
              </w:rPr>
              <w:t xml:space="preserve">   Klinisk respons </w:t>
            </w:r>
          </w:p>
        </w:tc>
        <w:tc>
          <w:tcPr>
            <w:tcW w:w="1614" w:type="dxa"/>
            <w:tcBorders>
              <w:top w:val="single" w:sz="6" w:space="0" w:color="000000"/>
              <w:left w:val="single" w:sz="6" w:space="0" w:color="000000"/>
              <w:bottom w:val="single" w:sz="6" w:space="0" w:color="000000"/>
              <w:right w:val="single" w:sz="6" w:space="0" w:color="000000"/>
            </w:tcBorders>
          </w:tcPr>
          <w:p w14:paraId="411A1B61"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59,1 %</w:t>
            </w:r>
          </w:p>
        </w:tc>
        <w:tc>
          <w:tcPr>
            <w:tcW w:w="1591" w:type="dxa"/>
            <w:tcBorders>
              <w:top w:val="single" w:sz="6" w:space="0" w:color="000000"/>
              <w:left w:val="single" w:sz="6" w:space="0" w:color="000000"/>
              <w:bottom w:val="single" w:sz="6" w:space="0" w:color="000000"/>
              <w:right w:val="single" w:sz="6" w:space="0" w:color="000000"/>
            </w:tcBorders>
          </w:tcPr>
          <w:p w14:paraId="21992EDC"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48,4 %</w:t>
            </w:r>
          </w:p>
        </w:tc>
        <w:tc>
          <w:tcPr>
            <w:tcW w:w="1147" w:type="dxa"/>
            <w:tcBorders>
              <w:top w:val="single" w:sz="6" w:space="0" w:color="000000"/>
              <w:left w:val="single" w:sz="6" w:space="0" w:color="000000"/>
              <w:bottom w:val="single" w:sz="6" w:space="0" w:color="000000"/>
              <w:right w:val="single" w:sz="6" w:space="0" w:color="000000"/>
            </w:tcBorders>
          </w:tcPr>
          <w:p w14:paraId="0CA76080"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0,073</w:t>
            </w:r>
          </w:p>
        </w:tc>
      </w:tr>
      <w:tr w:rsidR="004644D4" w14:paraId="04536982"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5F55D45" w14:textId="77777777" w:rsidR="00C95D55" w:rsidRPr="00CB31ED" w:rsidRDefault="00E453CD" w:rsidP="00C95D55">
            <w:pPr>
              <w:keepLines/>
              <w:tabs>
                <w:tab w:val="left" w:pos="-1080"/>
              </w:tabs>
              <w:autoSpaceDE w:val="0"/>
              <w:autoSpaceDN w:val="0"/>
              <w:adjustRightInd w:val="0"/>
              <w:ind w:left="15"/>
              <w:rPr>
                <w:b/>
                <w:bCs/>
                <w:sz w:val="22"/>
                <w:szCs w:val="22"/>
              </w:rPr>
            </w:pPr>
            <w:r w:rsidRPr="00CB31ED">
              <w:rPr>
                <w:b/>
                <w:bCs/>
                <w:sz w:val="22"/>
                <w:szCs w:val="22"/>
              </w:rPr>
              <w:t>Uke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41081029" w14:textId="77777777" w:rsidR="00C95D55" w:rsidRPr="00CB31ED" w:rsidRDefault="00C95D55" w:rsidP="00C95D55">
            <w:pPr>
              <w:keepLines/>
              <w:tabs>
                <w:tab w:val="left" w:pos="-1080"/>
              </w:tabs>
              <w:autoSpaceDE w:val="0"/>
              <w:autoSpaceDN w:val="0"/>
              <w:adjustRightInd w:val="0"/>
              <w:ind w:left="15"/>
              <w:jc w:val="center"/>
              <w:rPr>
                <w:b/>
                <w:bCs/>
                <w:sz w:val="22"/>
                <w:szCs w:val="22"/>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D60C48A" w14:textId="77777777" w:rsidR="00C95D55" w:rsidRPr="00CB31ED" w:rsidRDefault="00C95D55" w:rsidP="00C95D55">
            <w:pPr>
              <w:keepLines/>
              <w:tabs>
                <w:tab w:val="left" w:pos="-1080"/>
              </w:tabs>
              <w:autoSpaceDE w:val="0"/>
              <w:autoSpaceDN w:val="0"/>
              <w:adjustRightInd w:val="0"/>
              <w:ind w:left="15"/>
              <w:jc w:val="center"/>
              <w:rPr>
                <w:b/>
                <w:bCs/>
                <w:sz w:val="22"/>
                <w:szCs w:val="22"/>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460E58F" w14:textId="77777777" w:rsidR="00C95D55" w:rsidRPr="00CB31ED" w:rsidRDefault="00C95D55" w:rsidP="00C95D55">
            <w:pPr>
              <w:autoSpaceDE w:val="0"/>
              <w:autoSpaceDN w:val="0"/>
              <w:adjustRightInd w:val="0"/>
              <w:ind w:left="15"/>
              <w:rPr>
                <w:b/>
                <w:bCs/>
                <w:sz w:val="22"/>
                <w:szCs w:val="22"/>
              </w:rPr>
            </w:pPr>
          </w:p>
        </w:tc>
      </w:tr>
      <w:tr w:rsidR="004644D4" w14:paraId="5D25CF19"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0F034971" w14:textId="77777777" w:rsidR="00C95D55" w:rsidRPr="00CB31ED" w:rsidRDefault="00E453CD" w:rsidP="00C95D55">
            <w:pPr>
              <w:keepLines/>
              <w:tabs>
                <w:tab w:val="left" w:pos="-1080"/>
              </w:tabs>
              <w:autoSpaceDE w:val="0"/>
              <w:autoSpaceDN w:val="0"/>
              <w:adjustRightInd w:val="0"/>
              <w:ind w:left="15"/>
              <w:rPr>
                <w:sz w:val="22"/>
                <w:szCs w:val="22"/>
              </w:rPr>
            </w:pPr>
            <w:r w:rsidRPr="00CB31ED">
              <w:rPr>
                <w:sz w:val="22"/>
                <w:szCs w:val="22"/>
              </w:rPr>
              <w:t xml:space="preserve">   Klinisk remisjon</w:t>
            </w:r>
          </w:p>
        </w:tc>
        <w:tc>
          <w:tcPr>
            <w:tcW w:w="1614" w:type="dxa"/>
            <w:tcBorders>
              <w:top w:val="single" w:sz="6" w:space="0" w:color="000000"/>
              <w:left w:val="single" w:sz="6" w:space="0" w:color="000000"/>
              <w:bottom w:val="single" w:sz="6" w:space="0" w:color="000000"/>
              <w:right w:val="single" w:sz="6" w:space="0" w:color="000000"/>
            </w:tcBorders>
            <w:vAlign w:val="bottom"/>
          </w:tcPr>
          <w:p w14:paraId="0C2523C9"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33,3 %</w:t>
            </w:r>
          </w:p>
        </w:tc>
        <w:tc>
          <w:tcPr>
            <w:tcW w:w="1591" w:type="dxa"/>
            <w:tcBorders>
              <w:top w:val="single" w:sz="6" w:space="0" w:color="000000"/>
              <w:left w:val="single" w:sz="6" w:space="0" w:color="000000"/>
              <w:bottom w:val="single" w:sz="6" w:space="0" w:color="000000"/>
              <w:right w:val="single" w:sz="6" w:space="0" w:color="000000"/>
            </w:tcBorders>
            <w:vAlign w:val="bottom"/>
          </w:tcPr>
          <w:p w14:paraId="07DA7E2F"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23,2 %</w:t>
            </w:r>
          </w:p>
        </w:tc>
        <w:tc>
          <w:tcPr>
            <w:tcW w:w="1147" w:type="dxa"/>
            <w:tcBorders>
              <w:top w:val="single" w:sz="6" w:space="0" w:color="000000"/>
              <w:left w:val="single" w:sz="6" w:space="0" w:color="000000"/>
              <w:bottom w:val="single" w:sz="6" w:space="0" w:color="000000"/>
              <w:right w:val="single" w:sz="6" w:space="0" w:color="000000"/>
            </w:tcBorders>
            <w:vAlign w:val="bottom"/>
          </w:tcPr>
          <w:p w14:paraId="64279256"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0,100</w:t>
            </w:r>
          </w:p>
        </w:tc>
      </w:tr>
      <w:tr w:rsidR="004644D4" w14:paraId="3F8CA670" w14:textId="77777777" w:rsidTr="00C95D55">
        <w:trPr>
          <w:jc w:val="center"/>
        </w:trPr>
        <w:tc>
          <w:tcPr>
            <w:tcW w:w="2321" w:type="dxa"/>
            <w:tcBorders>
              <w:top w:val="single" w:sz="6" w:space="0" w:color="000000"/>
              <w:left w:val="single" w:sz="6" w:space="0" w:color="000000"/>
              <w:bottom w:val="single" w:sz="6" w:space="0" w:color="000000"/>
              <w:right w:val="single" w:sz="6" w:space="0" w:color="000000"/>
            </w:tcBorders>
          </w:tcPr>
          <w:p w14:paraId="0E86D477" w14:textId="77777777" w:rsidR="00C95D55" w:rsidRPr="00CB31ED" w:rsidRDefault="00E453CD" w:rsidP="00C95D55">
            <w:pPr>
              <w:keepLines/>
              <w:tabs>
                <w:tab w:val="left" w:pos="-1080"/>
              </w:tabs>
              <w:autoSpaceDE w:val="0"/>
              <w:autoSpaceDN w:val="0"/>
              <w:adjustRightInd w:val="0"/>
              <w:ind w:left="15"/>
              <w:rPr>
                <w:sz w:val="22"/>
                <w:szCs w:val="22"/>
              </w:rPr>
            </w:pPr>
            <w:r w:rsidRPr="00CB31ED">
              <w:rPr>
                <w:sz w:val="22"/>
                <w:szCs w:val="22"/>
              </w:rPr>
              <w:t xml:space="preserve">   Klinisk respons</w:t>
            </w:r>
          </w:p>
        </w:tc>
        <w:tc>
          <w:tcPr>
            <w:tcW w:w="1614" w:type="dxa"/>
            <w:tcBorders>
              <w:top w:val="single" w:sz="6" w:space="0" w:color="000000"/>
              <w:left w:val="single" w:sz="6" w:space="0" w:color="000000"/>
              <w:bottom w:val="single" w:sz="6" w:space="0" w:color="000000"/>
              <w:right w:val="single" w:sz="6" w:space="0" w:color="000000"/>
            </w:tcBorders>
          </w:tcPr>
          <w:p w14:paraId="65919FA9"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41,9 %</w:t>
            </w:r>
          </w:p>
        </w:tc>
        <w:tc>
          <w:tcPr>
            <w:tcW w:w="1591" w:type="dxa"/>
            <w:tcBorders>
              <w:top w:val="single" w:sz="6" w:space="0" w:color="000000"/>
              <w:left w:val="single" w:sz="6" w:space="0" w:color="000000"/>
              <w:bottom w:val="single" w:sz="6" w:space="0" w:color="000000"/>
              <w:right w:val="single" w:sz="6" w:space="0" w:color="000000"/>
            </w:tcBorders>
          </w:tcPr>
          <w:p w14:paraId="1EA70CB5"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28,4 %</w:t>
            </w:r>
          </w:p>
        </w:tc>
        <w:tc>
          <w:tcPr>
            <w:tcW w:w="1147" w:type="dxa"/>
            <w:tcBorders>
              <w:top w:val="single" w:sz="6" w:space="0" w:color="000000"/>
              <w:left w:val="single" w:sz="6" w:space="0" w:color="000000"/>
              <w:bottom w:val="single" w:sz="6" w:space="0" w:color="000000"/>
              <w:right w:val="single" w:sz="6" w:space="0" w:color="000000"/>
            </w:tcBorders>
          </w:tcPr>
          <w:p w14:paraId="099F4E54" w14:textId="77777777" w:rsidR="00C95D55" w:rsidRPr="00CB31ED" w:rsidRDefault="00E453CD" w:rsidP="00C95D55">
            <w:pPr>
              <w:keepLines/>
              <w:tabs>
                <w:tab w:val="left" w:pos="-1080"/>
              </w:tabs>
              <w:autoSpaceDE w:val="0"/>
              <w:autoSpaceDN w:val="0"/>
              <w:adjustRightInd w:val="0"/>
              <w:ind w:left="15"/>
              <w:jc w:val="center"/>
              <w:rPr>
                <w:sz w:val="22"/>
                <w:szCs w:val="22"/>
              </w:rPr>
            </w:pPr>
            <w:r w:rsidRPr="00CB31ED">
              <w:rPr>
                <w:sz w:val="22"/>
                <w:szCs w:val="22"/>
              </w:rPr>
              <w:t>0,038</w:t>
            </w:r>
          </w:p>
        </w:tc>
      </w:tr>
      <w:tr w:rsidR="004644D4" w14:paraId="6D8643E6" w14:textId="77777777" w:rsidTr="00C95D55">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11D9D9D4" w14:textId="77777777" w:rsidR="00C95D55" w:rsidRPr="00CB31ED" w:rsidRDefault="00E453CD" w:rsidP="00C95D55">
            <w:pPr>
              <w:keepLines/>
              <w:tabs>
                <w:tab w:val="left" w:pos="-1080"/>
              </w:tabs>
              <w:autoSpaceDE w:val="0"/>
              <w:autoSpaceDN w:val="0"/>
              <w:adjustRightInd w:val="0"/>
              <w:ind w:left="15"/>
              <w:rPr>
                <w:sz w:val="22"/>
                <w:szCs w:val="22"/>
              </w:rPr>
            </w:pPr>
            <w:r w:rsidRPr="00CB31ED">
              <w:rPr>
                <w:sz w:val="22"/>
                <w:szCs w:val="22"/>
              </w:rPr>
              <w:lastRenderedPageBreak/>
              <w:t xml:space="preserve">*p-verdi for standard dose </w:t>
            </w:r>
            <w:r w:rsidRPr="00CB31ED">
              <w:rPr>
                <w:i/>
                <w:iCs/>
                <w:sz w:val="22"/>
                <w:szCs w:val="22"/>
              </w:rPr>
              <w:t>versus</w:t>
            </w:r>
            <w:r w:rsidRPr="00CB31ED">
              <w:rPr>
                <w:sz w:val="22"/>
                <w:szCs w:val="22"/>
              </w:rPr>
              <w:t xml:space="preserve"> lav dose sammenligning.</w:t>
            </w:r>
          </w:p>
        </w:tc>
      </w:tr>
    </w:tbl>
    <w:p w14:paraId="52E7BD00" w14:textId="77777777" w:rsidR="00C95D55" w:rsidRPr="009C5EFD" w:rsidRDefault="00C95D55" w:rsidP="00C95D55"/>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4644D4" w14:paraId="60B56708" w14:textId="77777777" w:rsidTr="00C95D55">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1F4A78F3" w14:textId="77777777" w:rsidR="00C95D55" w:rsidRPr="009C5EFD" w:rsidRDefault="00E453CD" w:rsidP="00C95D55">
            <w:pPr>
              <w:keepNext/>
              <w:tabs>
                <w:tab w:val="left" w:pos="-878"/>
              </w:tabs>
              <w:autoSpaceDE w:val="0"/>
              <w:autoSpaceDN w:val="0"/>
              <w:adjustRightInd w:val="0"/>
              <w:jc w:val="center"/>
              <w:rPr>
                <w:b/>
                <w:bCs/>
                <w:sz w:val="22"/>
                <w:szCs w:val="22"/>
              </w:rPr>
            </w:pPr>
            <w:r w:rsidRPr="009C5EFD">
              <w:rPr>
                <w:b/>
                <w:bCs/>
                <w:sz w:val="22"/>
                <w:szCs w:val="22"/>
              </w:rPr>
              <w:t xml:space="preserve">Tabell </w:t>
            </w:r>
            <w:r w:rsidR="00E04B2A">
              <w:rPr>
                <w:b/>
                <w:bCs/>
                <w:sz w:val="22"/>
                <w:szCs w:val="22"/>
              </w:rPr>
              <w:t>20</w:t>
            </w:r>
          </w:p>
          <w:p w14:paraId="070ED4DA" w14:textId="77777777" w:rsidR="00C95D55" w:rsidRPr="009C5EFD" w:rsidRDefault="00E453CD" w:rsidP="00C95D55">
            <w:pPr>
              <w:keepNext/>
              <w:tabs>
                <w:tab w:val="left" w:pos="-878"/>
              </w:tabs>
              <w:autoSpaceDE w:val="0"/>
              <w:autoSpaceDN w:val="0"/>
              <w:adjustRightInd w:val="0"/>
              <w:jc w:val="center"/>
              <w:rPr>
                <w:b/>
                <w:bCs/>
                <w:sz w:val="22"/>
                <w:szCs w:val="22"/>
              </w:rPr>
            </w:pPr>
            <w:r w:rsidRPr="009C5EFD">
              <w:rPr>
                <w:b/>
                <w:bCs/>
                <w:sz w:val="22"/>
                <w:szCs w:val="22"/>
              </w:rPr>
              <w:t>Pediatrisk CD studie</w:t>
            </w:r>
          </w:p>
          <w:p w14:paraId="5F08691D" w14:textId="77777777" w:rsidR="00C95D55" w:rsidRPr="009C5EFD" w:rsidRDefault="00E453CD" w:rsidP="00C95D55">
            <w:pPr>
              <w:keepNext/>
              <w:tabs>
                <w:tab w:val="left" w:pos="-878"/>
              </w:tabs>
              <w:autoSpaceDE w:val="0"/>
              <w:autoSpaceDN w:val="0"/>
              <w:adjustRightInd w:val="0"/>
              <w:jc w:val="center"/>
              <w:rPr>
                <w:b/>
                <w:bCs/>
                <w:sz w:val="22"/>
                <w:szCs w:val="22"/>
              </w:rPr>
            </w:pPr>
            <w:r w:rsidRPr="009C5EFD">
              <w:rPr>
                <w:b/>
                <w:bCs/>
                <w:sz w:val="22"/>
                <w:szCs w:val="22"/>
              </w:rPr>
              <w:t>Seponering av kortikosteroider eller immunmodulerende midler og fistel remisjon</w:t>
            </w:r>
          </w:p>
        </w:tc>
      </w:tr>
      <w:tr w:rsidR="004644D4" w14:paraId="1693255D"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tcPr>
          <w:p w14:paraId="2A3E9485" w14:textId="77777777" w:rsidR="00C95D55" w:rsidRPr="009C5EFD" w:rsidRDefault="00C95D55" w:rsidP="00C95D55">
            <w:pPr>
              <w:keepNext/>
              <w:keepLines/>
              <w:tabs>
                <w:tab w:val="left" w:pos="-1080"/>
              </w:tabs>
              <w:autoSpaceDE w:val="0"/>
              <w:autoSpaceDN w:val="0"/>
              <w:adjustRightInd w:val="0"/>
              <w:jc w:val="center"/>
              <w:rPr>
                <w:b/>
                <w:bCs/>
                <w:sz w:val="22"/>
                <w:szCs w:val="22"/>
              </w:rPr>
            </w:pPr>
          </w:p>
        </w:tc>
        <w:tc>
          <w:tcPr>
            <w:tcW w:w="1656" w:type="dxa"/>
            <w:tcBorders>
              <w:top w:val="single" w:sz="6" w:space="0" w:color="000000"/>
              <w:left w:val="single" w:sz="6" w:space="0" w:color="000000"/>
              <w:bottom w:val="single" w:sz="6" w:space="0" w:color="000000"/>
              <w:right w:val="single" w:sz="6" w:space="0" w:color="000000"/>
            </w:tcBorders>
          </w:tcPr>
          <w:p w14:paraId="3DD47A66" w14:textId="77777777" w:rsidR="00C95D55" w:rsidRPr="009C5EFD" w:rsidRDefault="00E453CD" w:rsidP="00C95D55">
            <w:pPr>
              <w:keepNext/>
              <w:keepLines/>
              <w:tabs>
                <w:tab w:val="left" w:pos="-1080"/>
              </w:tabs>
              <w:autoSpaceDE w:val="0"/>
              <w:autoSpaceDN w:val="0"/>
              <w:adjustRightInd w:val="0"/>
              <w:ind w:left="15"/>
              <w:jc w:val="center"/>
              <w:rPr>
                <w:b/>
                <w:bCs/>
                <w:sz w:val="22"/>
                <w:szCs w:val="22"/>
              </w:rPr>
            </w:pPr>
            <w:r w:rsidRPr="009C5EFD">
              <w:rPr>
                <w:b/>
                <w:bCs/>
                <w:sz w:val="22"/>
                <w:szCs w:val="22"/>
              </w:rPr>
              <w:t>Standard dose</w:t>
            </w:r>
          </w:p>
          <w:p w14:paraId="1B686ADB" w14:textId="77777777" w:rsidR="00C95D55" w:rsidRPr="009C5EFD" w:rsidRDefault="00E453CD" w:rsidP="00C95D55">
            <w:pPr>
              <w:keepNext/>
              <w:keepLines/>
              <w:tabs>
                <w:tab w:val="left" w:pos="-1080"/>
              </w:tabs>
              <w:autoSpaceDE w:val="0"/>
              <w:autoSpaceDN w:val="0"/>
              <w:adjustRightInd w:val="0"/>
              <w:ind w:left="15"/>
              <w:jc w:val="center"/>
              <w:rPr>
                <w:b/>
                <w:bCs/>
                <w:sz w:val="22"/>
                <w:szCs w:val="22"/>
              </w:rPr>
            </w:pPr>
            <w:r w:rsidRPr="009C5EFD">
              <w:rPr>
                <w:b/>
                <w:bCs/>
                <w:sz w:val="22"/>
                <w:szCs w:val="22"/>
              </w:rPr>
              <w:t xml:space="preserve">40/20 mg annenhver uke </w:t>
            </w:r>
          </w:p>
        </w:tc>
        <w:tc>
          <w:tcPr>
            <w:tcW w:w="1619" w:type="dxa"/>
            <w:tcBorders>
              <w:top w:val="single" w:sz="6" w:space="0" w:color="000000"/>
              <w:left w:val="single" w:sz="6" w:space="0" w:color="000000"/>
              <w:bottom w:val="single" w:sz="6" w:space="0" w:color="000000"/>
              <w:right w:val="single" w:sz="6" w:space="0" w:color="000000"/>
            </w:tcBorders>
          </w:tcPr>
          <w:p w14:paraId="0FD81832" w14:textId="77777777" w:rsidR="00C95D55" w:rsidRPr="009C5EFD" w:rsidRDefault="00E453CD" w:rsidP="00C95D55">
            <w:pPr>
              <w:keepNext/>
              <w:keepLines/>
              <w:tabs>
                <w:tab w:val="left" w:pos="-1080"/>
              </w:tabs>
              <w:autoSpaceDE w:val="0"/>
              <w:autoSpaceDN w:val="0"/>
              <w:adjustRightInd w:val="0"/>
              <w:ind w:left="15"/>
              <w:jc w:val="center"/>
              <w:rPr>
                <w:b/>
                <w:bCs/>
                <w:sz w:val="22"/>
                <w:szCs w:val="22"/>
              </w:rPr>
            </w:pPr>
            <w:r w:rsidRPr="009C5EFD">
              <w:rPr>
                <w:b/>
                <w:bCs/>
                <w:sz w:val="22"/>
                <w:szCs w:val="22"/>
              </w:rPr>
              <w:t>Lav dose</w:t>
            </w:r>
          </w:p>
          <w:p w14:paraId="7024F853" w14:textId="77777777" w:rsidR="00C95D55" w:rsidRPr="009C5EFD" w:rsidRDefault="00E453CD" w:rsidP="00C95D55">
            <w:pPr>
              <w:keepNext/>
              <w:keepLines/>
              <w:tabs>
                <w:tab w:val="left" w:pos="-1080"/>
              </w:tabs>
              <w:autoSpaceDE w:val="0"/>
              <w:autoSpaceDN w:val="0"/>
              <w:adjustRightInd w:val="0"/>
              <w:ind w:left="15"/>
              <w:jc w:val="center"/>
              <w:rPr>
                <w:b/>
                <w:bCs/>
                <w:sz w:val="22"/>
                <w:szCs w:val="22"/>
              </w:rPr>
            </w:pPr>
            <w:r w:rsidRPr="009C5EFD">
              <w:rPr>
                <w:b/>
                <w:bCs/>
                <w:sz w:val="22"/>
                <w:szCs w:val="22"/>
              </w:rPr>
              <w:t xml:space="preserve">20/10 mg annenhver uke </w:t>
            </w:r>
          </w:p>
        </w:tc>
        <w:tc>
          <w:tcPr>
            <w:tcW w:w="1140" w:type="dxa"/>
            <w:tcBorders>
              <w:top w:val="single" w:sz="6" w:space="0" w:color="000000"/>
              <w:left w:val="single" w:sz="6" w:space="0" w:color="000000"/>
              <w:bottom w:val="single" w:sz="6" w:space="0" w:color="000000"/>
              <w:right w:val="single" w:sz="6" w:space="0" w:color="000000"/>
            </w:tcBorders>
          </w:tcPr>
          <w:p w14:paraId="555770E7" w14:textId="77777777" w:rsidR="00C95D55" w:rsidRPr="009C5EFD" w:rsidRDefault="00E453CD" w:rsidP="00C95D55">
            <w:pPr>
              <w:keepNext/>
              <w:keepLines/>
              <w:tabs>
                <w:tab w:val="left" w:pos="-1080"/>
              </w:tabs>
              <w:autoSpaceDE w:val="0"/>
              <w:autoSpaceDN w:val="0"/>
              <w:adjustRightInd w:val="0"/>
              <w:ind w:left="15"/>
              <w:jc w:val="center"/>
              <w:rPr>
                <w:b/>
                <w:bCs/>
                <w:sz w:val="22"/>
                <w:szCs w:val="22"/>
              </w:rPr>
            </w:pPr>
            <w:r w:rsidRPr="009C5EFD">
              <w:rPr>
                <w:b/>
                <w:bCs/>
                <w:sz w:val="22"/>
                <w:szCs w:val="22"/>
              </w:rPr>
              <w:t>P-verdi</w:t>
            </w:r>
            <w:r w:rsidRPr="009C5EFD">
              <w:rPr>
                <w:b/>
                <w:bCs/>
                <w:sz w:val="22"/>
                <w:szCs w:val="22"/>
                <w:vertAlign w:val="superscript"/>
              </w:rPr>
              <w:t>1</w:t>
            </w:r>
          </w:p>
        </w:tc>
      </w:tr>
      <w:tr w:rsidR="004644D4" w14:paraId="0FDDDE9A"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260D134A" w14:textId="77777777" w:rsidR="00C95D55" w:rsidRPr="009C5EFD" w:rsidRDefault="00E453CD" w:rsidP="00C95D55">
            <w:pPr>
              <w:keepNext/>
              <w:keepLines/>
              <w:tabs>
                <w:tab w:val="left" w:pos="-1080"/>
              </w:tabs>
              <w:autoSpaceDE w:val="0"/>
              <w:autoSpaceDN w:val="0"/>
              <w:adjustRightInd w:val="0"/>
              <w:rPr>
                <w:b/>
                <w:sz w:val="22"/>
                <w:szCs w:val="22"/>
              </w:rPr>
            </w:pPr>
            <w:r w:rsidRPr="009C5EFD">
              <w:rPr>
                <w:b/>
                <w:sz w:val="22"/>
                <w:szCs w:val="22"/>
              </w:rPr>
              <w:t>Seponering av kortikosteroider</w:t>
            </w:r>
          </w:p>
        </w:tc>
        <w:tc>
          <w:tcPr>
            <w:tcW w:w="1656" w:type="dxa"/>
            <w:tcBorders>
              <w:top w:val="single" w:sz="6" w:space="0" w:color="000000"/>
              <w:left w:val="single" w:sz="6" w:space="0" w:color="000000"/>
              <w:bottom w:val="single" w:sz="6" w:space="0" w:color="000000"/>
              <w:right w:val="single" w:sz="6" w:space="0" w:color="000000"/>
            </w:tcBorders>
            <w:vAlign w:val="bottom"/>
          </w:tcPr>
          <w:p w14:paraId="5EA9C1B1" w14:textId="77777777" w:rsidR="00C95D55" w:rsidRPr="009C5EFD" w:rsidRDefault="00E453CD" w:rsidP="00C95D55">
            <w:pPr>
              <w:keepNext/>
              <w:keepLines/>
              <w:tabs>
                <w:tab w:val="left" w:pos="-1080"/>
              </w:tabs>
              <w:autoSpaceDE w:val="0"/>
              <w:autoSpaceDN w:val="0"/>
              <w:adjustRightInd w:val="0"/>
              <w:ind w:left="15"/>
              <w:jc w:val="center"/>
              <w:rPr>
                <w:b/>
                <w:sz w:val="22"/>
                <w:szCs w:val="22"/>
              </w:rPr>
            </w:pPr>
            <w:r w:rsidRPr="009C5EFD">
              <w:rPr>
                <w:b/>
                <w:sz w:val="22"/>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31788BE7" w14:textId="77777777" w:rsidR="00C95D55" w:rsidRPr="009C5EFD" w:rsidRDefault="00E453CD" w:rsidP="00C95D55">
            <w:pPr>
              <w:keepNext/>
              <w:keepLines/>
              <w:tabs>
                <w:tab w:val="left" w:pos="-1080"/>
              </w:tabs>
              <w:autoSpaceDE w:val="0"/>
              <w:autoSpaceDN w:val="0"/>
              <w:adjustRightInd w:val="0"/>
              <w:ind w:left="15"/>
              <w:jc w:val="center"/>
              <w:rPr>
                <w:b/>
                <w:sz w:val="22"/>
                <w:szCs w:val="22"/>
              </w:rPr>
            </w:pPr>
            <w:r w:rsidRPr="009C5EFD">
              <w:rPr>
                <w:b/>
                <w:sz w:val="22"/>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789BE645" w14:textId="77777777" w:rsidR="00C95D55" w:rsidRPr="009C5EFD" w:rsidRDefault="00C95D55" w:rsidP="00C95D55">
            <w:pPr>
              <w:keepNext/>
              <w:autoSpaceDE w:val="0"/>
              <w:autoSpaceDN w:val="0"/>
              <w:adjustRightInd w:val="0"/>
              <w:ind w:left="15"/>
              <w:rPr>
                <w:b/>
                <w:sz w:val="22"/>
                <w:szCs w:val="22"/>
              </w:rPr>
            </w:pPr>
          </w:p>
        </w:tc>
      </w:tr>
      <w:tr w:rsidR="004644D4" w14:paraId="3DC24DF3"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DB18566" w14:textId="77777777" w:rsidR="00C95D55" w:rsidRPr="009C5EFD" w:rsidRDefault="00E453CD" w:rsidP="00C95D55">
            <w:pPr>
              <w:keepNext/>
              <w:keepLines/>
              <w:tabs>
                <w:tab w:val="left" w:pos="-1080"/>
              </w:tabs>
              <w:autoSpaceDE w:val="0"/>
              <w:autoSpaceDN w:val="0"/>
              <w:adjustRightInd w:val="0"/>
              <w:rPr>
                <w:bCs/>
                <w:sz w:val="22"/>
                <w:szCs w:val="22"/>
              </w:rPr>
            </w:pPr>
            <w:r w:rsidRPr="009C5EFD">
              <w:rPr>
                <w:bCs/>
                <w:sz w:val="22"/>
                <w:szCs w:val="22"/>
              </w:rPr>
              <w:t>Uke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2E577086"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84,8 %</w:t>
            </w:r>
          </w:p>
        </w:tc>
        <w:tc>
          <w:tcPr>
            <w:tcW w:w="1619" w:type="dxa"/>
            <w:tcBorders>
              <w:top w:val="single" w:sz="6" w:space="0" w:color="000000"/>
              <w:left w:val="single" w:sz="6" w:space="0" w:color="000000"/>
              <w:bottom w:val="single" w:sz="6" w:space="0" w:color="000000"/>
              <w:right w:val="single" w:sz="6" w:space="0" w:color="000000"/>
            </w:tcBorders>
            <w:vAlign w:val="bottom"/>
          </w:tcPr>
          <w:p w14:paraId="6B848FAE"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65,8 %</w:t>
            </w:r>
          </w:p>
        </w:tc>
        <w:tc>
          <w:tcPr>
            <w:tcW w:w="1140" w:type="dxa"/>
            <w:tcBorders>
              <w:top w:val="single" w:sz="6" w:space="0" w:color="000000"/>
              <w:left w:val="single" w:sz="6" w:space="0" w:color="000000"/>
              <w:bottom w:val="single" w:sz="6" w:space="0" w:color="000000"/>
              <w:right w:val="single" w:sz="6" w:space="0" w:color="000000"/>
            </w:tcBorders>
            <w:vAlign w:val="bottom"/>
          </w:tcPr>
          <w:p w14:paraId="5788FF98"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0,066</w:t>
            </w:r>
          </w:p>
        </w:tc>
      </w:tr>
      <w:tr w:rsidR="004644D4" w14:paraId="1A1C7A8B"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235340C" w14:textId="77777777" w:rsidR="00C95D55" w:rsidRPr="009C5EFD" w:rsidRDefault="00E453CD" w:rsidP="00C95D55">
            <w:pPr>
              <w:keepNext/>
              <w:keepLines/>
              <w:tabs>
                <w:tab w:val="left" w:pos="-1080"/>
              </w:tabs>
              <w:autoSpaceDE w:val="0"/>
              <w:autoSpaceDN w:val="0"/>
              <w:adjustRightInd w:val="0"/>
              <w:rPr>
                <w:bCs/>
                <w:sz w:val="22"/>
                <w:szCs w:val="22"/>
              </w:rPr>
            </w:pPr>
            <w:r w:rsidRPr="009C5EFD">
              <w:rPr>
                <w:bCs/>
                <w:sz w:val="22"/>
                <w:szCs w:val="22"/>
              </w:rPr>
              <w:t>Uke 52</w:t>
            </w:r>
          </w:p>
        </w:tc>
        <w:tc>
          <w:tcPr>
            <w:tcW w:w="1656" w:type="dxa"/>
            <w:tcBorders>
              <w:top w:val="single" w:sz="6" w:space="0" w:color="000000"/>
              <w:left w:val="single" w:sz="6" w:space="0" w:color="000000"/>
              <w:bottom w:val="single" w:sz="6" w:space="0" w:color="000000"/>
              <w:right w:val="single" w:sz="6" w:space="0" w:color="000000"/>
            </w:tcBorders>
          </w:tcPr>
          <w:p w14:paraId="2E1AA938"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69,7 %</w:t>
            </w:r>
          </w:p>
        </w:tc>
        <w:tc>
          <w:tcPr>
            <w:tcW w:w="1619" w:type="dxa"/>
            <w:tcBorders>
              <w:top w:val="single" w:sz="6" w:space="0" w:color="000000"/>
              <w:left w:val="single" w:sz="6" w:space="0" w:color="000000"/>
              <w:bottom w:val="single" w:sz="6" w:space="0" w:color="000000"/>
              <w:right w:val="single" w:sz="6" w:space="0" w:color="000000"/>
            </w:tcBorders>
          </w:tcPr>
          <w:p w14:paraId="4FDAA2A8"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60,5 %</w:t>
            </w:r>
          </w:p>
        </w:tc>
        <w:tc>
          <w:tcPr>
            <w:tcW w:w="1140" w:type="dxa"/>
            <w:tcBorders>
              <w:top w:val="single" w:sz="6" w:space="0" w:color="000000"/>
              <w:left w:val="single" w:sz="6" w:space="0" w:color="000000"/>
              <w:bottom w:val="single" w:sz="6" w:space="0" w:color="000000"/>
              <w:right w:val="single" w:sz="6" w:space="0" w:color="000000"/>
            </w:tcBorders>
            <w:vAlign w:val="bottom"/>
          </w:tcPr>
          <w:p w14:paraId="119EF4A8"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0,420</w:t>
            </w:r>
          </w:p>
        </w:tc>
      </w:tr>
      <w:tr w:rsidR="004644D4" w14:paraId="704D6243"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195F219" w14:textId="77777777" w:rsidR="00C95D55" w:rsidRPr="009C5EFD" w:rsidRDefault="00E453CD" w:rsidP="00C95D55">
            <w:pPr>
              <w:keepNext/>
              <w:keepLines/>
              <w:tabs>
                <w:tab w:val="left" w:pos="-1080"/>
              </w:tabs>
              <w:autoSpaceDE w:val="0"/>
              <w:autoSpaceDN w:val="0"/>
              <w:adjustRightInd w:val="0"/>
              <w:rPr>
                <w:b/>
                <w:sz w:val="22"/>
                <w:szCs w:val="22"/>
              </w:rPr>
            </w:pPr>
            <w:r w:rsidRPr="009C5EFD">
              <w:rPr>
                <w:b/>
                <w:sz w:val="22"/>
                <w:szCs w:val="22"/>
              </w:rPr>
              <w:t>Seponering av immunmodulerende midler</w:t>
            </w:r>
            <w:r w:rsidRPr="009C5EFD">
              <w:rPr>
                <w:b/>
                <w:sz w:val="22"/>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00758D7D" w14:textId="77777777" w:rsidR="00C95D55" w:rsidRPr="009C5EFD" w:rsidRDefault="00E453CD" w:rsidP="00C95D55">
            <w:pPr>
              <w:keepNext/>
              <w:keepLines/>
              <w:tabs>
                <w:tab w:val="left" w:pos="-1080"/>
              </w:tabs>
              <w:autoSpaceDE w:val="0"/>
              <w:autoSpaceDN w:val="0"/>
              <w:adjustRightInd w:val="0"/>
              <w:ind w:left="15"/>
              <w:jc w:val="center"/>
              <w:rPr>
                <w:b/>
                <w:sz w:val="22"/>
                <w:szCs w:val="22"/>
              </w:rPr>
            </w:pPr>
            <w:r w:rsidRPr="009C5EFD">
              <w:rPr>
                <w:b/>
                <w:sz w:val="22"/>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38C1B72C" w14:textId="77777777" w:rsidR="00C95D55" w:rsidRPr="009C5EFD" w:rsidRDefault="00E453CD" w:rsidP="00C95D55">
            <w:pPr>
              <w:keepNext/>
              <w:keepLines/>
              <w:tabs>
                <w:tab w:val="left" w:pos="-1080"/>
              </w:tabs>
              <w:autoSpaceDE w:val="0"/>
              <w:autoSpaceDN w:val="0"/>
              <w:adjustRightInd w:val="0"/>
              <w:ind w:left="15"/>
              <w:jc w:val="center"/>
              <w:rPr>
                <w:b/>
                <w:sz w:val="22"/>
                <w:szCs w:val="22"/>
              </w:rPr>
            </w:pPr>
            <w:r w:rsidRPr="009C5EFD">
              <w:rPr>
                <w:b/>
                <w:sz w:val="22"/>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7A9CE6C1" w14:textId="77777777" w:rsidR="00C95D55" w:rsidRPr="009C5EFD" w:rsidRDefault="00C95D55" w:rsidP="00C95D55">
            <w:pPr>
              <w:keepNext/>
              <w:autoSpaceDE w:val="0"/>
              <w:autoSpaceDN w:val="0"/>
              <w:adjustRightInd w:val="0"/>
              <w:ind w:left="15"/>
              <w:rPr>
                <w:b/>
                <w:sz w:val="22"/>
                <w:szCs w:val="22"/>
              </w:rPr>
            </w:pPr>
          </w:p>
        </w:tc>
      </w:tr>
      <w:tr w:rsidR="004644D4" w14:paraId="374BC7F8"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tcPr>
          <w:p w14:paraId="63BF90C2" w14:textId="77777777" w:rsidR="00C95D55" w:rsidRPr="009C5EFD" w:rsidRDefault="00E453CD" w:rsidP="00C95D55">
            <w:pPr>
              <w:keepNext/>
              <w:keepLines/>
              <w:tabs>
                <w:tab w:val="left" w:pos="-1080"/>
              </w:tabs>
              <w:autoSpaceDE w:val="0"/>
              <w:autoSpaceDN w:val="0"/>
              <w:adjustRightInd w:val="0"/>
              <w:rPr>
                <w:bCs/>
                <w:sz w:val="22"/>
                <w:szCs w:val="22"/>
              </w:rPr>
            </w:pPr>
            <w:r w:rsidRPr="009C5EFD">
              <w:rPr>
                <w:bCs/>
                <w:sz w:val="22"/>
                <w:szCs w:val="22"/>
              </w:rPr>
              <w:t>Uke 52</w:t>
            </w:r>
          </w:p>
        </w:tc>
        <w:tc>
          <w:tcPr>
            <w:tcW w:w="1656" w:type="dxa"/>
            <w:tcBorders>
              <w:top w:val="single" w:sz="6" w:space="0" w:color="000000"/>
              <w:left w:val="single" w:sz="6" w:space="0" w:color="000000"/>
              <w:bottom w:val="single" w:sz="6" w:space="0" w:color="000000"/>
              <w:right w:val="single" w:sz="6" w:space="0" w:color="000000"/>
            </w:tcBorders>
          </w:tcPr>
          <w:p w14:paraId="47215C63"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30,0 %</w:t>
            </w:r>
          </w:p>
        </w:tc>
        <w:tc>
          <w:tcPr>
            <w:tcW w:w="1619" w:type="dxa"/>
            <w:tcBorders>
              <w:top w:val="single" w:sz="6" w:space="0" w:color="000000"/>
              <w:left w:val="single" w:sz="6" w:space="0" w:color="000000"/>
              <w:bottom w:val="single" w:sz="6" w:space="0" w:color="000000"/>
              <w:right w:val="single" w:sz="6" w:space="0" w:color="000000"/>
            </w:tcBorders>
          </w:tcPr>
          <w:p w14:paraId="65E209BF"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29,8 %</w:t>
            </w:r>
          </w:p>
        </w:tc>
        <w:tc>
          <w:tcPr>
            <w:tcW w:w="1140" w:type="dxa"/>
            <w:tcBorders>
              <w:top w:val="single" w:sz="6" w:space="0" w:color="000000"/>
              <w:left w:val="single" w:sz="6" w:space="0" w:color="000000"/>
              <w:bottom w:val="single" w:sz="6" w:space="0" w:color="000000"/>
              <w:right w:val="single" w:sz="6" w:space="0" w:color="000000"/>
            </w:tcBorders>
          </w:tcPr>
          <w:p w14:paraId="2B9CBEAD"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9C5EFD">
              <w:rPr>
                <w:sz w:val="22"/>
                <w:szCs w:val="22"/>
              </w:rPr>
              <w:t>0,983</w:t>
            </w:r>
          </w:p>
        </w:tc>
      </w:tr>
      <w:tr w:rsidR="004644D4" w14:paraId="13DC109F"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tcPr>
          <w:p w14:paraId="714335C1" w14:textId="77777777" w:rsidR="00C95D55" w:rsidRPr="009C5EFD" w:rsidRDefault="00E453CD" w:rsidP="00C95D55">
            <w:pPr>
              <w:keepNext/>
              <w:keepLines/>
              <w:tabs>
                <w:tab w:val="left" w:pos="-1080"/>
              </w:tabs>
              <w:autoSpaceDE w:val="0"/>
              <w:autoSpaceDN w:val="0"/>
              <w:adjustRightInd w:val="0"/>
              <w:rPr>
                <w:b/>
                <w:bCs/>
                <w:sz w:val="22"/>
                <w:szCs w:val="22"/>
              </w:rPr>
            </w:pPr>
            <w:r w:rsidRPr="00DD5322">
              <w:rPr>
                <w:b/>
                <w:sz w:val="22"/>
                <w:szCs w:val="22"/>
              </w:rPr>
              <w:t>Fistel remisjon</w:t>
            </w:r>
            <w:r w:rsidRPr="00DD5322">
              <w:rPr>
                <w:b/>
                <w:sz w:val="22"/>
                <w:szCs w:val="22"/>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3A7223F3" w14:textId="77777777" w:rsidR="00C95D55" w:rsidRPr="009C5EFD" w:rsidRDefault="00E453CD" w:rsidP="00C95D55">
            <w:pPr>
              <w:keepNext/>
              <w:keepLines/>
              <w:tabs>
                <w:tab w:val="left" w:pos="-1080"/>
              </w:tabs>
              <w:autoSpaceDE w:val="0"/>
              <w:autoSpaceDN w:val="0"/>
              <w:adjustRightInd w:val="0"/>
              <w:ind w:left="15"/>
              <w:jc w:val="center"/>
              <w:rPr>
                <w:b/>
                <w:sz w:val="22"/>
                <w:szCs w:val="22"/>
              </w:rPr>
            </w:pPr>
            <w:r w:rsidRPr="009C5EFD">
              <w:rPr>
                <w:b/>
                <w:sz w:val="22"/>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47D9FE6A" w14:textId="77777777" w:rsidR="00C95D55" w:rsidRPr="009C5EFD" w:rsidRDefault="00E453CD" w:rsidP="00C95D55">
            <w:pPr>
              <w:keepNext/>
              <w:keepLines/>
              <w:tabs>
                <w:tab w:val="left" w:pos="-1080"/>
              </w:tabs>
              <w:autoSpaceDE w:val="0"/>
              <w:autoSpaceDN w:val="0"/>
              <w:adjustRightInd w:val="0"/>
              <w:ind w:left="15"/>
              <w:jc w:val="center"/>
              <w:rPr>
                <w:b/>
                <w:sz w:val="22"/>
                <w:szCs w:val="22"/>
              </w:rPr>
            </w:pPr>
            <w:r w:rsidRPr="009C5EFD">
              <w:rPr>
                <w:b/>
                <w:sz w:val="22"/>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1101F9E2" w14:textId="77777777" w:rsidR="00C95D55" w:rsidRPr="009C5EFD" w:rsidRDefault="00C95D55" w:rsidP="00C95D55">
            <w:pPr>
              <w:keepNext/>
              <w:keepLines/>
              <w:tabs>
                <w:tab w:val="left" w:pos="-1080"/>
              </w:tabs>
              <w:autoSpaceDE w:val="0"/>
              <w:autoSpaceDN w:val="0"/>
              <w:adjustRightInd w:val="0"/>
              <w:ind w:left="15"/>
              <w:jc w:val="center"/>
              <w:rPr>
                <w:sz w:val="22"/>
                <w:szCs w:val="22"/>
              </w:rPr>
            </w:pPr>
          </w:p>
        </w:tc>
      </w:tr>
      <w:tr w:rsidR="004644D4" w14:paraId="35482B60" w14:textId="77777777" w:rsidTr="00C95D55">
        <w:trPr>
          <w:jc w:val="center"/>
        </w:trPr>
        <w:tc>
          <w:tcPr>
            <w:tcW w:w="4025" w:type="dxa"/>
            <w:tcBorders>
              <w:top w:val="single" w:sz="6" w:space="0" w:color="000000"/>
              <w:left w:val="single" w:sz="6" w:space="0" w:color="000000"/>
              <w:bottom w:val="single" w:sz="6" w:space="0" w:color="000000"/>
              <w:right w:val="single" w:sz="6" w:space="0" w:color="000000"/>
            </w:tcBorders>
          </w:tcPr>
          <w:p w14:paraId="7C765C1B" w14:textId="77777777" w:rsidR="00C95D55" w:rsidRPr="009C5EFD" w:rsidRDefault="00E453CD" w:rsidP="00C95D55">
            <w:pPr>
              <w:keepNext/>
              <w:keepLines/>
              <w:tabs>
                <w:tab w:val="left" w:pos="-1080"/>
              </w:tabs>
              <w:autoSpaceDE w:val="0"/>
              <w:autoSpaceDN w:val="0"/>
              <w:adjustRightInd w:val="0"/>
              <w:rPr>
                <w:bCs/>
                <w:sz w:val="22"/>
                <w:szCs w:val="22"/>
              </w:rPr>
            </w:pPr>
            <w:r w:rsidRPr="009C5EFD">
              <w:rPr>
                <w:bCs/>
                <w:sz w:val="22"/>
                <w:szCs w:val="22"/>
              </w:rPr>
              <w:t>Uke 26</w:t>
            </w:r>
          </w:p>
        </w:tc>
        <w:tc>
          <w:tcPr>
            <w:tcW w:w="1656" w:type="dxa"/>
            <w:tcBorders>
              <w:top w:val="single" w:sz="6" w:space="0" w:color="000000"/>
              <w:left w:val="single" w:sz="6" w:space="0" w:color="000000"/>
              <w:bottom w:val="single" w:sz="6" w:space="0" w:color="000000"/>
              <w:right w:val="single" w:sz="6" w:space="0" w:color="000000"/>
            </w:tcBorders>
          </w:tcPr>
          <w:p w14:paraId="63B8686D"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DD5322">
              <w:rPr>
                <w:sz w:val="22"/>
                <w:szCs w:val="22"/>
              </w:rPr>
              <w:t>46,7 %</w:t>
            </w:r>
          </w:p>
        </w:tc>
        <w:tc>
          <w:tcPr>
            <w:tcW w:w="1619" w:type="dxa"/>
            <w:tcBorders>
              <w:top w:val="single" w:sz="6" w:space="0" w:color="000000"/>
              <w:left w:val="single" w:sz="6" w:space="0" w:color="000000"/>
              <w:bottom w:val="single" w:sz="6" w:space="0" w:color="000000"/>
              <w:right w:val="single" w:sz="6" w:space="0" w:color="000000"/>
            </w:tcBorders>
          </w:tcPr>
          <w:p w14:paraId="348AF7BD"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DD5322">
              <w:rPr>
                <w:sz w:val="22"/>
                <w:szCs w:val="22"/>
              </w:rPr>
              <w:t>38,1 %</w:t>
            </w:r>
          </w:p>
        </w:tc>
        <w:tc>
          <w:tcPr>
            <w:tcW w:w="1140" w:type="dxa"/>
            <w:tcBorders>
              <w:top w:val="single" w:sz="6" w:space="0" w:color="000000"/>
              <w:left w:val="single" w:sz="6" w:space="0" w:color="000000"/>
              <w:bottom w:val="single" w:sz="6" w:space="0" w:color="000000"/>
              <w:right w:val="single" w:sz="6" w:space="0" w:color="000000"/>
            </w:tcBorders>
          </w:tcPr>
          <w:p w14:paraId="524ED4D7" w14:textId="77777777" w:rsidR="00C95D55" w:rsidRPr="009C5EFD" w:rsidRDefault="00E453CD" w:rsidP="00C95D55">
            <w:pPr>
              <w:keepNext/>
              <w:keepLines/>
              <w:tabs>
                <w:tab w:val="left" w:pos="-1080"/>
              </w:tabs>
              <w:autoSpaceDE w:val="0"/>
              <w:autoSpaceDN w:val="0"/>
              <w:adjustRightInd w:val="0"/>
              <w:ind w:left="15"/>
              <w:jc w:val="center"/>
              <w:rPr>
                <w:sz w:val="22"/>
                <w:szCs w:val="22"/>
              </w:rPr>
            </w:pPr>
            <w:r w:rsidRPr="00DD5322">
              <w:rPr>
                <w:sz w:val="22"/>
                <w:szCs w:val="22"/>
              </w:rPr>
              <w:t>0,608</w:t>
            </w:r>
          </w:p>
        </w:tc>
      </w:tr>
      <w:tr w:rsidR="004644D4" w14:paraId="5FF0BD49" w14:textId="77777777" w:rsidTr="00C95D55">
        <w:trPr>
          <w:jc w:val="center"/>
        </w:trPr>
        <w:tc>
          <w:tcPr>
            <w:tcW w:w="4025" w:type="dxa"/>
            <w:tcBorders>
              <w:top w:val="single" w:sz="6" w:space="0" w:color="000000"/>
              <w:left w:val="single" w:sz="6" w:space="0" w:color="000000"/>
              <w:bottom w:val="single" w:sz="4" w:space="0" w:color="auto"/>
              <w:right w:val="single" w:sz="6" w:space="0" w:color="000000"/>
            </w:tcBorders>
          </w:tcPr>
          <w:p w14:paraId="2CB4D19A" w14:textId="77777777" w:rsidR="00C95D55" w:rsidRPr="009C5EFD" w:rsidRDefault="00E453CD" w:rsidP="00C95D55">
            <w:pPr>
              <w:keepNext/>
              <w:keepLines/>
              <w:tabs>
                <w:tab w:val="left" w:pos="-1080"/>
              </w:tabs>
              <w:autoSpaceDE w:val="0"/>
              <w:autoSpaceDN w:val="0"/>
              <w:adjustRightInd w:val="0"/>
              <w:rPr>
                <w:bCs/>
                <w:sz w:val="22"/>
                <w:szCs w:val="22"/>
              </w:rPr>
            </w:pPr>
            <w:r w:rsidRPr="00DD5322">
              <w:rPr>
                <w:sz w:val="22"/>
                <w:szCs w:val="22"/>
              </w:rPr>
              <w:t>Uke 52</w:t>
            </w:r>
          </w:p>
        </w:tc>
        <w:tc>
          <w:tcPr>
            <w:tcW w:w="1656" w:type="dxa"/>
            <w:tcBorders>
              <w:top w:val="single" w:sz="6" w:space="0" w:color="000000"/>
              <w:left w:val="single" w:sz="6" w:space="0" w:color="000000"/>
              <w:bottom w:val="single" w:sz="4" w:space="0" w:color="auto"/>
              <w:right w:val="single" w:sz="6" w:space="0" w:color="000000"/>
            </w:tcBorders>
          </w:tcPr>
          <w:p w14:paraId="2FD9BE9D" w14:textId="77777777" w:rsidR="00C95D55" w:rsidRPr="00DD5322" w:rsidRDefault="00E453CD" w:rsidP="00C95D55">
            <w:pPr>
              <w:keepNext/>
              <w:keepLines/>
              <w:tabs>
                <w:tab w:val="left" w:pos="-1080"/>
              </w:tabs>
              <w:autoSpaceDE w:val="0"/>
              <w:autoSpaceDN w:val="0"/>
              <w:adjustRightInd w:val="0"/>
              <w:ind w:left="15"/>
              <w:jc w:val="center"/>
              <w:rPr>
                <w:sz w:val="22"/>
                <w:szCs w:val="22"/>
              </w:rPr>
            </w:pPr>
            <w:r w:rsidRPr="00DD5322">
              <w:rPr>
                <w:sz w:val="22"/>
                <w:szCs w:val="22"/>
              </w:rPr>
              <w:t>40,0 %</w:t>
            </w:r>
          </w:p>
        </w:tc>
        <w:tc>
          <w:tcPr>
            <w:tcW w:w="1619" w:type="dxa"/>
            <w:tcBorders>
              <w:top w:val="single" w:sz="6" w:space="0" w:color="000000"/>
              <w:left w:val="single" w:sz="6" w:space="0" w:color="000000"/>
              <w:bottom w:val="single" w:sz="4" w:space="0" w:color="auto"/>
              <w:right w:val="single" w:sz="6" w:space="0" w:color="000000"/>
            </w:tcBorders>
          </w:tcPr>
          <w:p w14:paraId="4F725351" w14:textId="77777777" w:rsidR="00C95D55" w:rsidRPr="00DD5322" w:rsidRDefault="00E453CD" w:rsidP="00C95D55">
            <w:pPr>
              <w:keepNext/>
              <w:keepLines/>
              <w:tabs>
                <w:tab w:val="left" w:pos="-1080"/>
              </w:tabs>
              <w:autoSpaceDE w:val="0"/>
              <w:autoSpaceDN w:val="0"/>
              <w:adjustRightInd w:val="0"/>
              <w:ind w:left="15"/>
              <w:jc w:val="center"/>
              <w:rPr>
                <w:sz w:val="22"/>
                <w:szCs w:val="22"/>
              </w:rPr>
            </w:pPr>
            <w:r w:rsidRPr="00DD5322">
              <w:rPr>
                <w:sz w:val="22"/>
                <w:szCs w:val="22"/>
              </w:rPr>
              <w:t>23,8 %</w:t>
            </w:r>
          </w:p>
        </w:tc>
        <w:tc>
          <w:tcPr>
            <w:tcW w:w="1140" w:type="dxa"/>
            <w:tcBorders>
              <w:top w:val="single" w:sz="6" w:space="0" w:color="000000"/>
              <w:left w:val="single" w:sz="6" w:space="0" w:color="000000"/>
              <w:bottom w:val="single" w:sz="4" w:space="0" w:color="auto"/>
              <w:right w:val="single" w:sz="6" w:space="0" w:color="000000"/>
            </w:tcBorders>
          </w:tcPr>
          <w:p w14:paraId="6FF332CC" w14:textId="77777777" w:rsidR="00C95D55" w:rsidRPr="00DD5322" w:rsidRDefault="00E453CD" w:rsidP="00C95D55">
            <w:pPr>
              <w:keepNext/>
              <w:keepLines/>
              <w:tabs>
                <w:tab w:val="left" w:pos="-1080"/>
              </w:tabs>
              <w:autoSpaceDE w:val="0"/>
              <w:autoSpaceDN w:val="0"/>
              <w:adjustRightInd w:val="0"/>
              <w:ind w:left="15"/>
              <w:jc w:val="center"/>
              <w:rPr>
                <w:sz w:val="22"/>
                <w:szCs w:val="22"/>
              </w:rPr>
            </w:pPr>
            <w:r w:rsidRPr="00DD5322">
              <w:rPr>
                <w:sz w:val="22"/>
                <w:szCs w:val="22"/>
              </w:rPr>
              <w:t>0,303</w:t>
            </w:r>
          </w:p>
        </w:tc>
      </w:tr>
      <w:tr w:rsidR="004644D4" w14:paraId="57CD2BCE" w14:textId="77777777" w:rsidTr="00C95D55">
        <w:trPr>
          <w:trHeight w:val="177"/>
          <w:jc w:val="center"/>
        </w:trPr>
        <w:tc>
          <w:tcPr>
            <w:tcW w:w="8440" w:type="dxa"/>
            <w:gridSpan w:val="4"/>
            <w:tcBorders>
              <w:top w:val="single" w:sz="4" w:space="0" w:color="auto"/>
            </w:tcBorders>
          </w:tcPr>
          <w:p w14:paraId="319A790E" w14:textId="77777777" w:rsidR="00C95D55" w:rsidRPr="009C5EFD" w:rsidRDefault="00E453CD" w:rsidP="00C95D55">
            <w:pPr>
              <w:keepNext/>
              <w:keepLines/>
              <w:tabs>
                <w:tab w:val="left" w:pos="-1080"/>
              </w:tabs>
              <w:autoSpaceDE w:val="0"/>
              <w:autoSpaceDN w:val="0"/>
              <w:adjustRightInd w:val="0"/>
              <w:rPr>
                <w:sz w:val="22"/>
                <w:szCs w:val="22"/>
              </w:rPr>
            </w:pPr>
            <w:r w:rsidRPr="009C5EFD">
              <w:rPr>
                <w:sz w:val="22"/>
                <w:szCs w:val="22"/>
                <w:vertAlign w:val="superscript"/>
              </w:rPr>
              <w:t>1</w:t>
            </w:r>
            <w:r w:rsidRPr="009C5EFD">
              <w:rPr>
                <w:sz w:val="22"/>
                <w:szCs w:val="22"/>
              </w:rPr>
              <w:t xml:space="preserve">  p-verdi for standard dose </w:t>
            </w:r>
            <w:r w:rsidRPr="009C5EFD">
              <w:rPr>
                <w:i/>
                <w:iCs/>
                <w:sz w:val="22"/>
                <w:szCs w:val="22"/>
              </w:rPr>
              <w:t>versus</w:t>
            </w:r>
            <w:r w:rsidRPr="009C5EFD">
              <w:rPr>
                <w:sz w:val="22"/>
                <w:szCs w:val="22"/>
              </w:rPr>
              <w:t xml:space="preserve"> lav dose sammenligning.</w:t>
            </w:r>
          </w:p>
          <w:p w14:paraId="0E22D845" w14:textId="77777777" w:rsidR="00C95D55" w:rsidRPr="009C5EFD" w:rsidRDefault="00E453CD" w:rsidP="00C95D55">
            <w:pPr>
              <w:keepNext/>
              <w:keepLines/>
              <w:tabs>
                <w:tab w:val="left" w:pos="-1080"/>
              </w:tabs>
              <w:autoSpaceDE w:val="0"/>
              <w:autoSpaceDN w:val="0"/>
              <w:adjustRightInd w:val="0"/>
              <w:rPr>
                <w:sz w:val="22"/>
                <w:szCs w:val="22"/>
              </w:rPr>
            </w:pPr>
            <w:r w:rsidRPr="009C5EFD">
              <w:rPr>
                <w:sz w:val="22"/>
                <w:szCs w:val="22"/>
                <w:vertAlign w:val="superscript"/>
              </w:rPr>
              <w:t>2</w:t>
            </w:r>
            <w:r w:rsidRPr="009C5EFD">
              <w:rPr>
                <w:sz w:val="22"/>
                <w:szCs w:val="22"/>
              </w:rPr>
              <w:t xml:space="preserve">  Immunsuppressiv behandling kunne bare bli seponert ved eller etter uke 26 ved utprøvers diskresjon hvis pasienten oppfylte kriteriet for klinisk respons </w:t>
            </w:r>
          </w:p>
          <w:p w14:paraId="69CF7BCC" w14:textId="77777777" w:rsidR="00C95D55" w:rsidRPr="009C5EFD" w:rsidRDefault="00E453CD" w:rsidP="00C95D55">
            <w:pPr>
              <w:keepNext/>
              <w:keepLines/>
              <w:tabs>
                <w:tab w:val="left" w:pos="-1080"/>
              </w:tabs>
              <w:autoSpaceDE w:val="0"/>
              <w:autoSpaceDN w:val="0"/>
              <w:adjustRightInd w:val="0"/>
              <w:rPr>
                <w:sz w:val="22"/>
                <w:szCs w:val="22"/>
              </w:rPr>
            </w:pPr>
            <w:r w:rsidRPr="009C5EFD">
              <w:rPr>
                <w:sz w:val="22"/>
                <w:szCs w:val="22"/>
                <w:vertAlign w:val="superscript"/>
              </w:rPr>
              <w:t>3</w:t>
            </w:r>
            <w:r w:rsidRPr="009C5EFD">
              <w:rPr>
                <w:sz w:val="22"/>
                <w:szCs w:val="22"/>
              </w:rPr>
              <w:t xml:space="preserve">  definert som en lukking av alle fistler som ble drenert ved baseline på minst 2 påfølgende post-baseline besøk</w:t>
            </w:r>
          </w:p>
        </w:tc>
      </w:tr>
    </w:tbl>
    <w:p w14:paraId="751670D9" w14:textId="77777777" w:rsidR="00C95D55" w:rsidRPr="007F67EE" w:rsidRDefault="00C95D55" w:rsidP="00C95D55">
      <w:pPr>
        <w:pStyle w:val="Heading8"/>
        <w:keepNext w:val="0"/>
        <w:rPr>
          <w:szCs w:val="22"/>
        </w:rPr>
      </w:pPr>
    </w:p>
    <w:p w14:paraId="78F42E10" w14:textId="77777777" w:rsidR="00C95D55" w:rsidRPr="002D0790" w:rsidRDefault="00E453CD" w:rsidP="00C95D55">
      <w:pPr>
        <w:pStyle w:val="Heading8"/>
        <w:keepNext w:val="0"/>
        <w:rPr>
          <w:szCs w:val="22"/>
          <w:u w:val="none"/>
        </w:rPr>
      </w:pPr>
      <w:bookmarkStart w:id="11620" w:name="_Hlk53390024"/>
      <w:r w:rsidRPr="00193D76">
        <w:rPr>
          <w:szCs w:val="22"/>
          <w:u w:val="none"/>
        </w:rPr>
        <w:t xml:space="preserve">Statistisk signifikant økning (forbedring) fra baseline til uke 26 og 52 i Body </w:t>
      </w:r>
      <w:r w:rsidRPr="002D0790">
        <w:rPr>
          <w:szCs w:val="22"/>
          <w:u w:val="none"/>
        </w:rPr>
        <w:t>Mass Index og veksthastighet ble observert for begge behandlingsgrupper.</w:t>
      </w:r>
    </w:p>
    <w:bookmarkEnd w:id="11620"/>
    <w:p w14:paraId="4A98181E" w14:textId="77777777" w:rsidR="00C95D55" w:rsidRPr="002D0790" w:rsidRDefault="00C95D55" w:rsidP="00C95D55">
      <w:pPr>
        <w:pStyle w:val="Heading8"/>
        <w:keepNext w:val="0"/>
        <w:rPr>
          <w:szCs w:val="22"/>
          <w:u w:val="none"/>
        </w:rPr>
      </w:pPr>
    </w:p>
    <w:p w14:paraId="47E21DED" w14:textId="77777777" w:rsidR="00C95D55" w:rsidRPr="009C5EFD" w:rsidRDefault="00E453CD" w:rsidP="00C95D55">
      <w:pPr>
        <w:pStyle w:val="Heading8"/>
        <w:keepNext w:val="0"/>
        <w:rPr>
          <w:szCs w:val="22"/>
        </w:rPr>
      </w:pPr>
      <w:r w:rsidRPr="00E14E58">
        <w:rPr>
          <w:szCs w:val="22"/>
          <w:u w:val="none"/>
        </w:rPr>
        <w:t>Statistisk og klinisk signifikant forbedring fra baseline ble også observert i begge behandlingsgrupper for parametre innen livskvalitet (inkludert IMPACT III).</w:t>
      </w:r>
    </w:p>
    <w:p w14:paraId="48A2DD92" w14:textId="77777777" w:rsidR="00C95D55" w:rsidRDefault="00C95D55" w:rsidP="00C95D55">
      <w:pPr>
        <w:suppressAutoHyphens/>
        <w:rPr>
          <w:i/>
          <w:sz w:val="22"/>
          <w:szCs w:val="22"/>
        </w:rPr>
      </w:pPr>
    </w:p>
    <w:p w14:paraId="2B1B0707" w14:textId="77777777" w:rsidR="00C95D55" w:rsidRPr="00DD19BD" w:rsidRDefault="00E453CD" w:rsidP="00C95D55">
      <w:pPr>
        <w:suppressAutoHyphens/>
        <w:rPr>
          <w:sz w:val="22"/>
          <w:szCs w:val="22"/>
        </w:rPr>
      </w:pPr>
      <w:r w:rsidRPr="00DD19BD">
        <w:rPr>
          <w:sz w:val="22"/>
          <w:szCs w:val="22"/>
        </w:rPr>
        <w:t xml:space="preserve">Ett hundre pasienter (n=100) </w:t>
      </w:r>
      <w:r>
        <w:rPr>
          <w:sz w:val="22"/>
          <w:szCs w:val="22"/>
        </w:rPr>
        <w:t>fra</w:t>
      </w:r>
      <w:r w:rsidRPr="00DD19BD">
        <w:rPr>
          <w:sz w:val="22"/>
          <w:szCs w:val="22"/>
        </w:rPr>
        <w:t xml:space="preserve"> Pediatrisk CD</w:t>
      </w:r>
      <w:r>
        <w:rPr>
          <w:sz w:val="22"/>
          <w:szCs w:val="22"/>
        </w:rPr>
        <w:t xml:space="preserve"> </w:t>
      </w:r>
      <w:r w:rsidRPr="00DD19BD">
        <w:rPr>
          <w:sz w:val="22"/>
          <w:szCs w:val="22"/>
        </w:rPr>
        <w:t>studie</w:t>
      </w:r>
      <w:r>
        <w:rPr>
          <w:sz w:val="22"/>
          <w:szCs w:val="22"/>
        </w:rPr>
        <w:t>n</w:t>
      </w:r>
      <w:r w:rsidRPr="00DD19BD">
        <w:rPr>
          <w:sz w:val="22"/>
          <w:szCs w:val="22"/>
        </w:rPr>
        <w:t xml:space="preserve"> fortsatte i en </w:t>
      </w:r>
      <w:r>
        <w:rPr>
          <w:sz w:val="22"/>
          <w:szCs w:val="22"/>
        </w:rPr>
        <w:t>åpen,</w:t>
      </w:r>
      <w:r w:rsidRPr="00DD19BD">
        <w:rPr>
          <w:sz w:val="22"/>
          <w:szCs w:val="22"/>
        </w:rPr>
        <w:t xml:space="preserve"> langtids</w:t>
      </w:r>
      <w:r>
        <w:rPr>
          <w:sz w:val="22"/>
          <w:szCs w:val="22"/>
        </w:rPr>
        <w:t>-,</w:t>
      </w:r>
      <w:r w:rsidRPr="00DD19BD">
        <w:rPr>
          <w:sz w:val="22"/>
          <w:szCs w:val="22"/>
        </w:rPr>
        <w:t xml:space="preserve"> forlengelsesstudie. Etter 5 år med adalimumab-behandling var 74 % (37/50) av de 50 gjenværende </w:t>
      </w:r>
      <w:r>
        <w:rPr>
          <w:sz w:val="22"/>
          <w:szCs w:val="22"/>
        </w:rPr>
        <w:t xml:space="preserve">pasientene </w:t>
      </w:r>
      <w:r w:rsidRPr="00DD19BD">
        <w:rPr>
          <w:sz w:val="22"/>
          <w:szCs w:val="22"/>
        </w:rPr>
        <w:t>i studien for</w:t>
      </w:r>
      <w:r>
        <w:rPr>
          <w:sz w:val="22"/>
          <w:szCs w:val="22"/>
        </w:rPr>
        <w:t>t</w:t>
      </w:r>
      <w:r w:rsidRPr="00DD19BD">
        <w:rPr>
          <w:sz w:val="22"/>
          <w:szCs w:val="22"/>
        </w:rPr>
        <w:t>satt i klinisk remisjon og 92 % (46/50) av pasientene for</w:t>
      </w:r>
      <w:r>
        <w:rPr>
          <w:sz w:val="22"/>
          <w:szCs w:val="22"/>
        </w:rPr>
        <w:t>t</w:t>
      </w:r>
      <w:r w:rsidRPr="00DD19BD">
        <w:rPr>
          <w:sz w:val="22"/>
          <w:szCs w:val="22"/>
        </w:rPr>
        <w:t>satte å ha klinisk respons per PCDAI.</w:t>
      </w:r>
    </w:p>
    <w:p w14:paraId="46E95AFA" w14:textId="77777777" w:rsidR="00C95D55" w:rsidRPr="001F5D4B" w:rsidRDefault="00C95D55" w:rsidP="00C95D55">
      <w:pPr>
        <w:suppressAutoHyphens/>
        <w:rPr>
          <w:i/>
          <w:sz w:val="22"/>
          <w:szCs w:val="22"/>
        </w:rPr>
      </w:pPr>
    </w:p>
    <w:p w14:paraId="015414F2" w14:textId="77777777" w:rsidR="008800F8" w:rsidRPr="00644328" w:rsidRDefault="00E453CD" w:rsidP="008800F8">
      <w:pPr>
        <w:keepNext/>
        <w:rPr>
          <w:bCs/>
          <w:i/>
          <w:sz w:val="22"/>
        </w:rPr>
      </w:pPr>
      <w:r w:rsidRPr="00644328">
        <w:rPr>
          <w:i/>
          <w:sz w:val="22"/>
        </w:rPr>
        <w:t>Pediatrisk ulcerøs kolitt</w:t>
      </w:r>
    </w:p>
    <w:p w14:paraId="11B43F84" w14:textId="77777777" w:rsidR="008800F8" w:rsidRPr="00644328" w:rsidRDefault="008800F8" w:rsidP="008800F8">
      <w:pPr>
        <w:keepNext/>
        <w:rPr>
          <w:bCs/>
          <w:i/>
          <w:sz w:val="22"/>
        </w:rPr>
      </w:pPr>
    </w:p>
    <w:p w14:paraId="4AF555E3" w14:textId="77777777" w:rsidR="001E18BB" w:rsidRPr="00E04B2A" w:rsidRDefault="00E453CD" w:rsidP="001E18BB">
      <w:pPr>
        <w:rPr>
          <w:sz w:val="22"/>
        </w:rPr>
      </w:pPr>
      <w:r w:rsidRPr="00E04B2A">
        <w:rPr>
          <w:sz w:val="22"/>
        </w:rPr>
        <w:t xml:space="preserve">Sikkerhet og effekt av Humira ble vurdert i en </w:t>
      </w:r>
      <w:r>
        <w:rPr>
          <w:sz w:val="22"/>
        </w:rPr>
        <w:t xml:space="preserve">multisenter, </w:t>
      </w:r>
      <w:r w:rsidRPr="00E04B2A">
        <w:rPr>
          <w:sz w:val="22"/>
        </w:rPr>
        <w:t>randomisert, dobbeltblind</w:t>
      </w:r>
      <w:r>
        <w:rPr>
          <w:sz w:val="22"/>
        </w:rPr>
        <w:t xml:space="preserve">et </w:t>
      </w:r>
      <w:r w:rsidRPr="00E04B2A">
        <w:rPr>
          <w:sz w:val="22"/>
        </w:rPr>
        <w:t>studie hos 93 pediatriske pasienter fra 5 til 17 år med moderat til alvorlig ulcerøs kolitt (Mayo</w:t>
      </w:r>
      <w:r>
        <w:rPr>
          <w:sz w:val="22"/>
        </w:rPr>
        <w:t xml:space="preserve"> </w:t>
      </w:r>
      <w:r w:rsidRPr="00E04B2A">
        <w:rPr>
          <w:sz w:val="22"/>
        </w:rPr>
        <w:t>score 6 til 12 med endoskopi</w:t>
      </w:r>
      <w:r w:rsidRPr="004F50D5">
        <w:rPr>
          <w:sz w:val="22"/>
        </w:rPr>
        <w:t xml:space="preserve"> subscore</w:t>
      </w:r>
      <w:r w:rsidRPr="00E04B2A">
        <w:rPr>
          <w:sz w:val="22"/>
        </w:rPr>
        <w:t xml:space="preserve"> på 2 til 3 poeng,</w:t>
      </w:r>
      <w:r>
        <w:rPr>
          <w:sz w:val="22"/>
        </w:rPr>
        <w:t xml:space="preserve"> </w:t>
      </w:r>
      <w:r w:rsidRPr="00E04B2A">
        <w:rPr>
          <w:sz w:val="22"/>
        </w:rPr>
        <w:t xml:space="preserve">bekreftet </w:t>
      </w:r>
      <w:r>
        <w:rPr>
          <w:sz w:val="22"/>
        </w:rPr>
        <w:t>etter</w:t>
      </w:r>
      <w:r w:rsidRPr="00E04B2A">
        <w:rPr>
          <w:sz w:val="22"/>
        </w:rPr>
        <w:t xml:space="preserve"> </w:t>
      </w:r>
      <w:r w:rsidRPr="00226E80">
        <w:rPr>
          <w:sz w:val="22"/>
        </w:rPr>
        <w:t>sentral</w:t>
      </w:r>
      <w:r>
        <w:rPr>
          <w:sz w:val="22"/>
        </w:rPr>
        <w:t xml:space="preserve"> vurdering av</w:t>
      </w:r>
      <w:r w:rsidRPr="00226E80">
        <w:rPr>
          <w:sz w:val="22"/>
        </w:rPr>
        <w:t xml:space="preserve"> endoskopi</w:t>
      </w:r>
      <w:r>
        <w:rPr>
          <w:sz w:val="22"/>
        </w:rPr>
        <w:t>en</w:t>
      </w:r>
      <w:r w:rsidRPr="00E04B2A">
        <w:rPr>
          <w:sz w:val="22"/>
        </w:rPr>
        <w:t xml:space="preserve">) som hadde en utilstrekkelig respons eller intoleranse </w:t>
      </w:r>
      <w:r>
        <w:rPr>
          <w:sz w:val="22"/>
        </w:rPr>
        <w:t>overfor</w:t>
      </w:r>
      <w:r w:rsidRPr="00E04B2A">
        <w:rPr>
          <w:sz w:val="22"/>
        </w:rPr>
        <w:t xml:space="preserve"> konvensjonell behandling. Omtrent 16 % av pasientene i studien hadde </w:t>
      </w:r>
      <w:r>
        <w:rPr>
          <w:sz w:val="22"/>
        </w:rPr>
        <w:t>mislyktes</w:t>
      </w:r>
      <w:r w:rsidRPr="00E04B2A">
        <w:rPr>
          <w:sz w:val="22"/>
        </w:rPr>
        <w:t xml:space="preserve"> tidligere anti-TNF</w:t>
      </w:r>
      <w:r>
        <w:rPr>
          <w:sz w:val="22"/>
        </w:rPr>
        <w:t xml:space="preserve"> </w:t>
      </w:r>
      <w:r w:rsidRPr="00E04B2A">
        <w:rPr>
          <w:sz w:val="22"/>
        </w:rPr>
        <w:t xml:space="preserve">behandling. Pasienter som </w:t>
      </w:r>
      <w:r>
        <w:rPr>
          <w:sz w:val="22"/>
        </w:rPr>
        <w:t>fikk</w:t>
      </w:r>
      <w:r w:rsidRPr="00E04B2A">
        <w:rPr>
          <w:sz w:val="22"/>
        </w:rPr>
        <w:t xml:space="preserve"> kortikosteroider </w:t>
      </w:r>
      <w:r w:rsidRPr="004F50D5">
        <w:rPr>
          <w:sz w:val="22"/>
        </w:rPr>
        <w:t>ved studiestart kunne gradvis redusere kortikosteroidbehandlingen etter uke 4.</w:t>
      </w:r>
    </w:p>
    <w:p w14:paraId="40ECCDE1" w14:textId="77777777" w:rsidR="001E18BB" w:rsidRPr="00E04B2A" w:rsidRDefault="001E18BB" w:rsidP="001E18BB">
      <w:pPr>
        <w:rPr>
          <w:sz w:val="22"/>
        </w:rPr>
      </w:pPr>
    </w:p>
    <w:p w14:paraId="57A2FBD1" w14:textId="77777777" w:rsidR="001E18BB" w:rsidRPr="00E04B2A" w:rsidRDefault="00E453CD" w:rsidP="001E18BB">
      <w:pPr>
        <w:rPr>
          <w:rStyle w:val="eop"/>
          <w:sz w:val="22"/>
          <w:shd w:val="clear" w:color="auto" w:fill="FFFFFF"/>
        </w:rPr>
      </w:pPr>
      <w:r>
        <w:rPr>
          <w:rStyle w:val="normaltextrun"/>
          <w:sz w:val="22"/>
          <w:shd w:val="clear" w:color="auto" w:fill="FFFFFF"/>
        </w:rPr>
        <w:t>Under</w:t>
      </w:r>
      <w:r w:rsidRPr="00E04B2A">
        <w:rPr>
          <w:rStyle w:val="normaltextrun"/>
          <w:sz w:val="22"/>
          <w:shd w:val="clear" w:color="auto" w:fill="FFFFFF"/>
        </w:rPr>
        <w:t xml:space="preserve"> </w:t>
      </w:r>
      <w:r>
        <w:rPr>
          <w:rStyle w:val="normaltextrun"/>
          <w:sz w:val="22"/>
          <w:shd w:val="clear" w:color="auto" w:fill="FFFFFF"/>
        </w:rPr>
        <w:t xml:space="preserve">studiens </w:t>
      </w:r>
      <w:r w:rsidRPr="00E04B2A">
        <w:rPr>
          <w:rStyle w:val="normaltextrun"/>
          <w:sz w:val="22"/>
          <w:shd w:val="clear" w:color="auto" w:fill="FFFFFF"/>
        </w:rPr>
        <w:t xml:space="preserve">induksjonsperiode ble 77 pasienter randomisert 3:2 </w:t>
      </w:r>
      <w:r>
        <w:rPr>
          <w:rStyle w:val="normaltextrun"/>
          <w:sz w:val="22"/>
          <w:shd w:val="clear" w:color="auto" w:fill="FFFFFF"/>
        </w:rPr>
        <w:t>til</w:t>
      </w:r>
      <w:r w:rsidRPr="00E04B2A">
        <w:rPr>
          <w:rStyle w:val="normaltextrun"/>
          <w:sz w:val="22"/>
          <w:shd w:val="clear" w:color="auto" w:fill="FFFFFF"/>
        </w:rPr>
        <w:t xml:space="preserve"> dobbeltblind</w:t>
      </w:r>
      <w:r>
        <w:rPr>
          <w:rStyle w:val="normaltextrun"/>
          <w:sz w:val="22"/>
          <w:shd w:val="clear" w:color="auto" w:fill="FFFFFF"/>
        </w:rPr>
        <w:t>et</w:t>
      </w:r>
      <w:r w:rsidRPr="00E04B2A">
        <w:rPr>
          <w:rStyle w:val="normaltextrun"/>
          <w:sz w:val="22"/>
          <w:shd w:val="clear" w:color="auto" w:fill="FFFFFF"/>
        </w:rPr>
        <w:t xml:space="preserve"> behandling med Humira </w:t>
      </w:r>
      <w:r>
        <w:rPr>
          <w:rStyle w:val="normaltextrun"/>
          <w:sz w:val="22"/>
          <w:shd w:val="clear" w:color="auto" w:fill="FFFFFF"/>
        </w:rPr>
        <w:t>med</w:t>
      </w:r>
      <w:r w:rsidRPr="00E04B2A">
        <w:rPr>
          <w:rStyle w:val="normaltextrun"/>
          <w:sz w:val="22"/>
          <w:shd w:val="clear" w:color="auto" w:fill="FFFFFF"/>
        </w:rPr>
        <w:t xml:space="preserve"> induksjonsdose på 2,4</w:t>
      </w:r>
      <w:r>
        <w:rPr>
          <w:rStyle w:val="normaltextrun"/>
          <w:sz w:val="22"/>
          <w:shd w:val="clear" w:color="auto" w:fill="FFFFFF"/>
        </w:rPr>
        <w:t> </w:t>
      </w:r>
      <w:r w:rsidRPr="00E04B2A">
        <w:rPr>
          <w:rStyle w:val="normaltextrun"/>
          <w:sz w:val="22"/>
          <w:shd w:val="clear" w:color="auto" w:fill="FFFFFF"/>
        </w:rPr>
        <w:t>mg/kg (maksimalt 160</w:t>
      </w:r>
      <w:r>
        <w:rPr>
          <w:rStyle w:val="normaltextrun"/>
          <w:sz w:val="22"/>
          <w:shd w:val="clear" w:color="auto" w:fill="FFFFFF"/>
        </w:rPr>
        <w:t> </w:t>
      </w:r>
      <w:r w:rsidRPr="00E04B2A">
        <w:rPr>
          <w:rStyle w:val="normaltextrun"/>
          <w:sz w:val="22"/>
          <w:shd w:val="clear" w:color="auto" w:fill="FFFFFF"/>
        </w:rPr>
        <w:t>mg) i uke 0 og uke 1 og 1,2</w:t>
      </w:r>
      <w:r>
        <w:rPr>
          <w:rStyle w:val="normaltextrun"/>
          <w:sz w:val="22"/>
          <w:shd w:val="clear" w:color="auto" w:fill="FFFFFF"/>
        </w:rPr>
        <w:t> </w:t>
      </w:r>
      <w:r w:rsidRPr="00E04B2A">
        <w:rPr>
          <w:rStyle w:val="normaltextrun"/>
          <w:sz w:val="22"/>
          <w:shd w:val="clear" w:color="auto" w:fill="FFFFFF"/>
        </w:rPr>
        <w:t>mg/kg (maksimalt 80</w:t>
      </w:r>
      <w:r>
        <w:rPr>
          <w:rStyle w:val="normaltextrun"/>
          <w:sz w:val="22"/>
          <w:shd w:val="clear" w:color="auto" w:fill="FFFFFF"/>
        </w:rPr>
        <w:t> </w:t>
      </w:r>
      <w:r w:rsidRPr="00E04B2A">
        <w:rPr>
          <w:rStyle w:val="normaltextrun"/>
          <w:sz w:val="22"/>
          <w:shd w:val="clear" w:color="auto" w:fill="FFFFFF"/>
        </w:rPr>
        <w:t>mg) i uke 2</w:t>
      </w:r>
      <w:r>
        <w:rPr>
          <w:rStyle w:val="normaltextrun"/>
          <w:sz w:val="22"/>
          <w:shd w:val="clear" w:color="auto" w:fill="FFFFFF"/>
        </w:rPr>
        <w:t>,</w:t>
      </w:r>
      <w:r w:rsidRPr="00E04B2A">
        <w:rPr>
          <w:rStyle w:val="normaltextrun"/>
          <w:sz w:val="22"/>
          <w:shd w:val="clear" w:color="auto" w:fill="FFFFFF"/>
        </w:rPr>
        <w:t xml:space="preserve"> eller en induksjonsdose på 2,4</w:t>
      </w:r>
      <w:r>
        <w:rPr>
          <w:rStyle w:val="normaltextrun"/>
          <w:sz w:val="22"/>
          <w:shd w:val="clear" w:color="auto" w:fill="FFFFFF"/>
        </w:rPr>
        <w:t> </w:t>
      </w:r>
      <w:r w:rsidRPr="00E04B2A">
        <w:rPr>
          <w:rStyle w:val="normaltextrun"/>
          <w:sz w:val="22"/>
          <w:shd w:val="clear" w:color="auto" w:fill="FFFFFF"/>
        </w:rPr>
        <w:t>mg/kg (</w:t>
      </w:r>
      <w:r>
        <w:rPr>
          <w:rStyle w:val="normaltextrun"/>
          <w:sz w:val="22"/>
          <w:shd w:val="clear" w:color="auto" w:fill="FFFFFF"/>
        </w:rPr>
        <w:t>maksimalt</w:t>
      </w:r>
      <w:r w:rsidRPr="00E04B2A">
        <w:rPr>
          <w:rStyle w:val="normaltextrun"/>
          <w:sz w:val="22"/>
          <w:shd w:val="clear" w:color="auto" w:fill="FFFFFF"/>
        </w:rPr>
        <w:t xml:space="preserve"> 160</w:t>
      </w:r>
      <w:r>
        <w:rPr>
          <w:rStyle w:val="normaltextrun"/>
          <w:sz w:val="22"/>
          <w:shd w:val="clear" w:color="auto" w:fill="FFFFFF"/>
        </w:rPr>
        <w:t> </w:t>
      </w:r>
      <w:r w:rsidRPr="00E04B2A">
        <w:rPr>
          <w:rStyle w:val="normaltextrun"/>
          <w:sz w:val="22"/>
          <w:shd w:val="clear" w:color="auto" w:fill="FFFFFF"/>
        </w:rPr>
        <w:t>mg) i uke 0, placebo i uke 1 og 1,2</w:t>
      </w:r>
      <w:r>
        <w:rPr>
          <w:rStyle w:val="normaltextrun"/>
          <w:sz w:val="22"/>
          <w:shd w:val="clear" w:color="auto" w:fill="FFFFFF"/>
        </w:rPr>
        <w:t> </w:t>
      </w:r>
      <w:r w:rsidRPr="00E04B2A">
        <w:rPr>
          <w:rStyle w:val="normaltextrun"/>
          <w:sz w:val="22"/>
          <w:shd w:val="clear" w:color="auto" w:fill="FFFFFF"/>
        </w:rPr>
        <w:t>mg/kg (</w:t>
      </w:r>
      <w:r>
        <w:rPr>
          <w:rStyle w:val="normaltextrun"/>
          <w:sz w:val="22"/>
          <w:shd w:val="clear" w:color="auto" w:fill="FFFFFF"/>
        </w:rPr>
        <w:t>maksimalt</w:t>
      </w:r>
      <w:r w:rsidRPr="00E04B2A">
        <w:rPr>
          <w:rStyle w:val="normaltextrun"/>
          <w:sz w:val="22"/>
          <w:shd w:val="clear" w:color="auto" w:fill="FFFFFF"/>
        </w:rPr>
        <w:t xml:space="preserve"> 80</w:t>
      </w:r>
      <w:r>
        <w:rPr>
          <w:rStyle w:val="normaltextrun"/>
          <w:sz w:val="22"/>
          <w:shd w:val="clear" w:color="auto" w:fill="FFFFFF"/>
        </w:rPr>
        <w:t> </w:t>
      </w:r>
      <w:r w:rsidRPr="00E04B2A">
        <w:rPr>
          <w:rStyle w:val="normaltextrun"/>
          <w:sz w:val="22"/>
          <w:shd w:val="clear" w:color="auto" w:fill="FFFFFF"/>
        </w:rPr>
        <w:t>mg) i uke 2.</w:t>
      </w:r>
      <w:r>
        <w:rPr>
          <w:rStyle w:val="normaltextrun"/>
          <w:sz w:val="22"/>
          <w:shd w:val="clear" w:color="auto" w:fill="FFFFFF"/>
        </w:rPr>
        <w:t xml:space="preserve"> </w:t>
      </w:r>
      <w:r w:rsidRPr="00E04B2A">
        <w:rPr>
          <w:rStyle w:val="normaltextrun"/>
          <w:sz w:val="22"/>
          <w:shd w:val="clear" w:color="auto" w:fill="FFFFFF"/>
        </w:rPr>
        <w:t>Begge grupper fikk 0,6</w:t>
      </w:r>
      <w:r>
        <w:rPr>
          <w:rStyle w:val="normaltextrun"/>
          <w:sz w:val="22"/>
          <w:shd w:val="clear" w:color="auto" w:fill="FFFFFF"/>
        </w:rPr>
        <w:t> </w:t>
      </w:r>
      <w:r w:rsidRPr="00E04B2A">
        <w:rPr>
          <w:rStyle w:val="normaltextrun"/>
          <w:sz w:val="22"/>
          <w:shd w:val="clear" w:color="auto" w:fill="FFFFFF"/>
        </w:rPr>
        <w:t>mg/kg (maksimalt 40</w:t>
      </w:r>
      <w:r>
        <w:rPr>
          <w:rStyle w:val="normaltextrun"/>
          <w:sz w:val="22"/>
          <w:shd w:val="clear" w:color="auto" w:fill="FFFFFF"/>
        </w:rPr>
        <w:t> </w:t>
      </w:r>
      <w:r w:rsidRPr="00E04B2A">
        <w:rPr>
          <w:rStyle w:val="normaltextrun"/>
          <w:sz w:val="22"/>
          <w:shd w:val="clear" w:color="auto" w:fill="FFFFFF"/>
        </w:rPr>
        <w:t>mg) i uke 4 og uke 6.</w:t>
      </w:r>
      <w:r>
        <w:rPr>
          <w:rStyle w:val="normaltextrun"/>
          <w:sz w:val="22"/>
          <w:shd w:val="clear" w:color="auto" w:fill="FFFFFF"/>
        </w:rPr>
        <w:t xml:space="preserve"> </w:t>
      </w:r>
      <w:r w:rsidRPr="00E04B2A">
        <w:rPr>
          <w:rStyle w:val="normaltextrun"/>
          <w:sz w:val="22"/>
          <w:shd w:val="clear" w:color="auto" w:fill="FFFFFF"/>
        </w:rPr>
        <w:t xml:space="preserve">Etter en endring </w:t>
      </w:r>
      <w:r>
        <w:rPr>
          <w:rStyle w:val="normaltextrun"/>
          <w:sz w:val="22"/>
          <w:shd w:val="clear" w:color="auto" w:fill="FFFFFF"/>
        </w:rPr>
        <w:t>i</w:t>
      </w:r>
      <w:r w:rsidRPr="00E04B2A">
        <w:rPr>
          <w:rStyle w:val="normaltextrun"/>
          <w:sz w:val="22"/>
          <w:shd w:val="clear" w:color="auto" w:fill="FFFFFF"/>
        </w:rPr>
        <w:t xml:space="preserve"> studiedesign fikk de resterende 16 pasientene som deltok i induksjonsperioden åpen behandling med Humira </w:t>
      </w:r>
      <w:r>
        <w:rPr>
          <w:rStyle w:val="normaltextrun"/>
          <w:sz w:val="22"/>
          <w:shd w:val="clear" w:color="auto" w:fill="FFFFFF"/>
        </w:rPr>
        <w:t>med</w:t>
      </w:r>
      <w:r w:rsidRPr="00E04B2A">
        <w:rPr>
          <w:rStyle w:val="normaltextrun"/>
          <w:sz w:val="22"/>
          <w:shd w:val="clear" w:color="auto" w:fill="FFFFFF"/>
        </w:rPr>
        <w:t xml:space="preserve"> induksjonsdose 2,4</w:t>
      </w:r>
      <w:r>
        <w:rPr>
          <w:rStyle w:val="normaltextrun"/>
          <w:sz w:val="22"/>
          <w:shd w:val="clear" w:color="auto" w:fill="FFFFFF"/>
        </w:rPr>
        <w:t> </w:t>
      </w:r>
      <w:r w:rsidRPr="00E04B2A">
        <w:rPr>
          <w:rStyle w:val="normaltextrun"/>
          <w:sz w:val="22"/>
          <w:shd w:val="clear" w:color="auto" w:fill="FFFFFF"/>
        </w:rPr>
        <w:t>mg/kg (</w:t>
      </w:r>
      <w:r>
        <w:rPr>
          <w:rStyle w:val="normaltextrun"/>
          <w:sz w:val="22"/>
          <w:shd w:val="clear" w:color="auto" w:fill="FFFFFF"/>
        </w:rPr>
        <w:t>maksimalt</w:t>
      </w:r>
      <w:r w:rsidRPr="00E04B2A">
        <w:rPr>
          <w:rStyle w:val="normaltextrun"/>
          <w:sz w:val="22"/>
          <w:shd w:val="clear" w:color="auto" w:fill="FFFFFF"/>
        </w:rPr>
        <w:t xml:space="preserve"> 160</w:t>
      </w:r>
      <w:r>
        <w:rPr>
          <w:rStyle w:val="normaltextrun"/>
          <w:sz w:val="22"/>
          <w:shd w:val="clear" w:color="auto" w:fill="FFFFFF"/>
        </w:rPr>
        <w:t> </w:t>
      </w:r>
      <w:r w:rsidRPr="00E04B2A">
        <w:rPr>
          <w:rStyle w:val="normaltextrun"/>
          <w:sz w:val="22"/>
          <w:shd w:val="clear" w:color="auto" w:fill="FFFFFF"/>
        </w:rPr>
        <w:t>mg) i uke 0 og uke 1 og 1,2</w:t>
      </w:r>
      <w:r>
        <w:rPr>
          <w:rStyle w:val="normaltextrun"/>
          <w:sz w:val="22"/>
          <w:shd w:val="clear" w:color="auto" w:fill="FFFFFF"/>
        </w:rPr>
        <w:t> </w:t>
      </w:r>
      <w:r w:rsidRPr="00E04B2A">
        <w:rPr>
          <w:rStyle w:val="normaltextrun"/>
          <w:sz w:val="22"/>
          <w:shd w:val="clear" w:color="auto" w:fill="FFFFFF"/>
        </w:rPr>
        <w:t>mg/kg (maksimalt 80</w:t>
      </w:r>
      <w:r>
        <w:rPr>
          <w:rStyle w:val="normaltextrun"/>
          <w:sz w:val="22"/>
          <w:shd w:val="clear" w:color="auto" w:fill="FFFFFF"/>
        </w:rPr>
        <w:t> </w:t>
      </w:r>
      <w:r w:rsidRPr="00E04B2A">
        <w:rPr>
          <w:rStyle w:val="normaltextrun"/>
          <w:sz w:val="22"/>
          <w:shd w:val="clear" w:color="auto" w:fill="FFFFFF"/>
        </w:rPr>
        <w:t>mg) i uke 2.</w:t>
      </w:r>
    </w:p>
    <w:p w14:paraId="22A35AEB" w14:textId="77777777" w:rsidR="001E18BB" w:rsidRPr="00E04B2A" w:rsidRDefault="001E18BB" w:rsidP="001E18BB">
      <w:pPr>
        <w:rPr>
          <w:sz w:val="22"/>
        </w:rPr>
      </w:pPr>
    </w:p>
    <w:p w14:paraId="6FE3A29D" w14:textId="77777777" w:rsidR="001E18BB" w:rsidRPr="00E04B2A" w:rsidRDefault="00E453CD" w:rsidP="001E18BB">
      <w:pPr>
        <w:rPr>
          <w:rStyle w:val="normaltextrun"/>
          <w:sz w:val="22"/>
          <w:shd w:val="clear" w:color="auto" w:fill="FFFFFF"/>
        </w:rPr>
      </w:pPr>
      <w:r>
        <w:rPr>
          <w:rStyle w:val="normaltextrun"/>
          <w:sz w:val="22"/>
          <w:shd w:val="clear" w:color="auto" w:fill="FFFFFF"/>
        </w:rPr>
        <w:t>Ved</w:t>
      </w:r>
      <w:r w:rsidRPr="00E04B2A">
        <w:rPr>
          <w:rStyle w:val="normaltextrun"/>
          <w:sz w:val="22"/>
          <w:shd w:val="clear" w:color="auto" w:fill="FFFFFF"/>
        </w:rPr>
        <w:t xml:space="preserve"> uke 8 ble 62 pasienter som </w:t>
      </w:r>
      <w:r>
        <w:rPr>
          <w:rStyle w:val="normaltextrun"/>
          <w:sz w:val="22"/>
          <w:shd w:val="clear" w:color="auto" w:fill="FFFFFF"/>
        </w:rPr>
        <w:t>viste</w:t>
      </w:r>
      <w:r w:rsidRPr="00E04B2A">
        <w:rPr>
          <w:rStyle w:val="normaltextrun"/>
          <w:sz w:val="22"/>
          <w:shd w:val="clear" w:color="auto" w:fill="FFFFFF"/>
        </w:rPr>
        <w:t xml:space="preserve"> klinisk respons iht. </w:t>
      </w:r>
      <w:r>
        <w:rPr>
          <w:rStyle w:val="normaltextrun"/>
          <w:sz w:val="22"/>
          <w:shd w:val="clear" w:color="auto" w:fill="FFFFFF"/>
        </w:rPr>
        <w:t>P</w:t>
      </w:r>
      <w:r w:rsidRPr="00E04B2A">
        <w:rPr>
          <w:rStyle w:val="normaltextrun"/>
          <w:sz w:val="22"/>
          <w:shd w:val="clear" w:color="auto" w:fill="FFFFFF"/>
        </w:rPr>
        <w:t>artiell Mayo</w:t>
      </w:r>
      <w:r>
        <w:rPr>
          <w:rStyle w:val="normaltextrun"/>
          <w:sz w:val="22"/>
          <w:shd w:val="clear" w:color="auto" w:fill="FFFFFF"/>
        </w:rPr>
        <w:t xml:space="preserve"> S</w:t>
      </w:r>
      <w:r w:rsidRPr="00E04B2A">
        <w:rPr>
          <w:rStyle w:val="normaltextrun"/>
          <w:sz w:val="22"/>
          <w:shd w:val="clear" w:color="auto" w:fill="FFFFFF"/>
        </w:rPr>
        <w:t>core (PMS</w:t>
      </w:r>
      <w:r>
        <w:rPr>
          <w:rStyle w:val="normaltextrun"/>
          <w:sz w:val="22"/>
          <w:shd w:val="clear" w:color="auto" w:fill="FFFFFF"/>
        </w:rPr>
        <w:t>:</w:t>
      </w:r>
      <w:r w:rsidRPr="00E04B2A">
        <w:rPr>
          <w:rStyle w:val="normaltextrun"/>
          <w:sz w:val="22"/>
          <w:shd w:val="clear" w:color="auto" w:fill="FFFFFF"/>
        </w:rPr>
        <w:t xml:space="preserve"> definert som en reduksjon i PMS ≥</w:t>
      </w:r>
      <w:r>
        <w:rPr>
          <w:rStyle w:val="normaltextrun"/>
          <w:sz w:val="22"/>
          <w:shd w:val="clear" w:color="auto" w:fill="FFFFFF"/>
        </w:rPr>
        <w:t> </w:t>
      </w:r>
      <w:r w:rsidRPr="00E04B2A">
        <w:rPr>
          <w:rStyle w:val="normaltextrun"/>
          <w:sz w:val="22"/>
          <w:shd w:val="clear" w:color="auto" w:fill="FFFFFF"/>
        </w:rPr>
        <w:t>2 poeng og ≥</w:t>
      </w:r>
      <w:r>
        <w:rPr>
          <w:rStyle w:val="normaltextrun"/>
          <w:sz w:val="22"/>
          <w:shd w:val="clear" w:color="auto" w:fill="FFFFFF"/>
        </w:rPr>
        <w:t> </w:t>
      </w:r>
      <w:r w:rsidRPr="00E04B2A">
        <w:rPr>
          <w:rStyle w:val="normaltextrun"/>
          <w:sz w:val="22"/>
          <w:shd w:val="clear" w:color="auto" w:fill="FFFFFF"/>
        </w:rPr>
        <w:t xml:space="preserve">30 % fra baseline) randomisert likt </w:t>
      </w:r>
      <w:r>
        <w:rPr>
          <w:rStyle w:val="normaltextrun"/>
          <w:sz w:val="22"/>
          <w:shd w:val="clear" w:color="auto" w:fill="FFFFFF"/>
        </w:rPr>
        <w:t>til</w:t>
      </w:r>
      <w:r w:rsidRPr="00E04B2A">
        <w:rPr>
          <w:rStyle w:val="normaltextrun"/>
          <w:sz w:val="22"/>
          <w:shd w:val="clear" w:color="auto" w:fill="FFFFFF"/>
        </w:rPr>
        <w:t xml:space="preserve"> dobbeltblind</w:t>
      </w:r>
      <w:r>
        <w:rPr>
          <w:rStyle w:val="normaltextrun"/>
          <w:sz w:val="22"/>
          <w:shd w:val="clear" w:color="auto" w:fill="FFFFFF"/>
        </w:rPr>
        <w:t>et</w:t>
      </w:r>
      <w:r w:rsidRPr="00E04B2A">
        <w:rPr>
          <w:rStyle w:val="normaltextrun"/>
          <w:sz w:val="22"/>
          <w:shd w:val="clear" w:color="auto" w:fill="FFFFFF"/>
        </w:rPr>
        <w:t xml:space="preserve"> vedlikeholdsbehandling med Humira </w:t>
      </w:r>
      <w:r>
        <w:rPr>
          <w:rStyle w:val="normaltextrun"/>
          <w:sz w:val="22"/>
          <w:shd w:val="clear" w:color="auto" w:fill="FFFFFF"/>
        </w:rPr>
        <w:t xml:space="preserve">med </w:t>
      </w:r>
      <w:r w:rsidRPr="00E04B2A">
        <w:rPr>
          <w:rStyle w:val="normaltextrun"/>
          <w:sz w:val="22"/>
          <w:shd w:val="clear" w:color="auto" w:fill="FFFFFF"/>
        </w:rPr>
        <w:t>en dose på 0,6</w:t>
      </w:r>
      <w:r>
        <w:rPr>
          <w:rStyle w:val="normaltextrun"/>
          <w:sz w:val="22"/>
          <w:shd w:val="clear" w:color="auto" w:fill="FFFFFF"/>
        </w:rPr>
        <w:t> </w:t>
      </w:r>
      <w:r w:rsidRPr="00E04B2A">
        <w:rPr>
          <w:rStyle w:val="normaltextrun"/>
          <w:sz w:val="22"/>
          <w:shd w:val="clear" w:color="auto" w:fill="FFFFFF"/>
        </w:rPr>
        <w:t>mg/kg (maks</w:t>
      </w:r>
      <w:r>
        <w:rPr>
          <w:rStyle w:val="normaltextrun"/>
          <w:sz w:val="22"/>
          <w:shd w:val="clear" w:color="auto" w:fill="FFFFFF"/>
        </w:rPr>
        <w:t>imalt</w:t>
      </w:r>
      <w:r w:rsidRPr="00E04B2A">
        <w:rPr>
          <w:rStyle w:val="normaltextrun"/>
          <w:sz w:val="22"/>
          <w:shd w:val="clear" w:color="auto" w:fill="FFFFFF"/>
        </w:rPr>
        <w:t xml:space="preserve"> 40</w:t>
      </w:r>
      <w:r>
        <w:rPr>
          <w:rStyle w:val="normaltextrun"/>
          <w:sz w:val="22"/>
          <w:shd w:val="clear" w:color="auto" w:fill="FFFFFF"/>
        </w:rPr>
        <w:t> </w:t>
      </w:r>
      <w:r w:rsidRPr="00E04B2A">
        <w:rPr>
          <w:rStyle w:val="normaltextrun"/>
          <w:sz w:val="22"/>
          <w:shd w:val="clear" w:color="auto" w:fill="FFFFFF"/>
        </w:rPr>
        <w:t>mg) hver uke</w:t>
      </w:r>
      <w:r>
        <w:rPr>
          <w:rStyle w:val="normaltextrun"/>
          <w:sz w:val="22"/>
          <w:shd w:val="clear" w:color="auto" w:fill="FFFFFF"/>
        </w:rPr>
        <w:t xml:space="preserve"> </w:t>
      </w:r>
      <w:r w:rsidRPr="00E04B2A">
        <w:rPr>
          <w:rStyle w:val="normaltextrun"/>
          <w:sz w:val="22"/>
          <w:shd w:val="clear" w:color="auto" w:fill="FFFFFF"/>
        </w:rPr>
        <w:t>eller en vedlikeholdsdose på 0,6</w:t>
      </w:r>
      <w:r>
        <w:rPr>
          <w:rStyle w:val="normaltextrun"/>
          <w:sz w:val="22"/>
          <w:shd w:val="clear" w:color="auto" w:fill="FFFFFF"/>
        </w:rPr>
        <w:t> </w:t>
      </w:r>
      <w:r w:rsidRPr="00E04B2A">
        <w:rPr>
          <w:rStyle w:val="normaltextrun"/>
          <w:sz w:val="22"/>
          <w:shd w:val="clear" w:color="auto" w:fill="FFFFFF"/>
        </w:rPr>
        <w:t>mg/kg (maks</w:t>
      </w:r>
      <w:r>
        <w:rPr>
          <w:rStyle w:val="normaltextrun"/>
          <w:sz w:val="22"/>
          <w:shd w:val="clear" w:color="auto" w:fill="FFFFFF"/>
        </w:rPr>
        <w:t>imalt</w:t>
      </w:r>
      <w:r w:rsidRPr="00E04B2A">
        <w:rPr>
          <w:rStyle w:val="normaltextrun"/>
          <w:sz w:val="22"/>
          <w:shd w:val="clear" w:color="auto" w:fill="FFFFFF"/>
        </w:rPr>
        <w:t xml:space="preserve"> 40</w:t>
      </w:r>
      <w:r>
        <w:rPr>
          <w:rStyle w:val="normaltextrun"/>
          <w:sz w:val="22"/>
          <w:shd w:val="clear" w:color="auto" w:fill="FFFFFF"/>
        </w:rPr>
        <w:t> </w:t>
      </w:r>
      <w:r w:rsidRPr="00E04B2A">
        <w:rPr>
          <w:rStyle w:val="normaltextrun"/>
          <w:sz w:val="22"/>
          <w:shd w:val="clear" w:color="auto" w:fill="FFFFFF"/>
        </w:rPr>
        <w:t>mg) annenhver uke.</w:t>
      </w:r>
      <w:r>
        <w:rPr>
          <w:rStyle w:val="normaltextrun"/>
          <w:sz w:val="22"/>
          <w:shd w:val="clear" w:color="auto" w:fill="FFFFFF"/>
        </w:rPr>
        <w:t xml:space="preserve"> </w:t>
      </w:r>
      <w:r w:rsidRPr="00E04B2A">
        <w:rPr>
          <w:rStyle w:val="normaltextrun"/>
          <w:sz w:val="22"/>
          <w:shd w:val="clear" w:color="auto" w:fill="FFFFFF"/>
        </w:rPr>
        <w:t xml:space="preserve">Før en endring </w:t>
      </w:r>
      <w:r>
        <w:rPr>
          <w:rStyle w:val="normaltextrun"/>
          <w:sz w:val="22"/>
          <w:shd w:val="clear" w:color="auto" w:fill="FFFFFF"/>
        </w:rPr>
        <w:t>i</w:t>
      </w:r>
      <w:r w:rsidRPr="00E04B2A">
        <w:rPr>
          <w:rStyle w:val="normaltextrun"/>
          <w:sz w:val="22"/>
          <w:shd w:val="clear" w:color="auto" w:fill="FFFFFF"/>
        </w:rPr>
        <w:t xml:space="preserve"> studiedesign ble </w:t>
      </w:r>
      <w:r>
        <w:rPr>
          <w:rStyle w:val="normaltextrun"/>
          <w:sz w:val="22"/>
          <w:shd w:val="clear" w:color="auto" w:fill="FFFFFF"/>
        </w:rPr>
        <w:lastRenderedPageBreak/>
        <w:t xml:space="preserve">ytterligere </w:t>
      </w:r>
      <w:r w:rsidRPr="00E04B2A">
        <w:rPr>
          <w:rStyle w:val="normaltextrun"/>
          <w:sz w:val="22"/>
          <w:shd w:val="clear" w:color="auto" w:fill="FFFFFF"/>
        </w:rPr>
        <w:t>12 pasienter</w:t>
      </w:r>
      <w:r>
        <w:rPr>
          <w:rStyle w:val="normaltextrun"/>
          <w:sz w:val="22"/>
          <w:shd w:val="clear" w:color="auto" w:fill="FFFFFF"/>
        </w:rPr>
        <w:t>,</w:t>
      </w:r>
      <w:r w:rsidRPr="00E04B2A">
        <w:rPr>
          <w:rStyle w:val="normaltextrun"/>
          <w:sz w:val="22"/>
          <w:shd w:val="clear" w:color="auto" w:fill="FFFFFF"/>
        </w:rPr>
        <w:t xml:space="preserve"> som </w:t>
      </w:r>
      <w:r>
        <w:rPr>
          <w:rStyle w:val="normaltextrun"/>
          <w:sz w:val="22"/>
          <w:shd w:val="clear" w:color="auto" w:fill="FFFFFF"/>
        </w:rPr>
        <w:t>viste</w:t>
      </w:r>
      <w:r w:rsidRPr="00E04B2A">
        <w:rPr>
          <w:rStyle w:val="normaltextrun"/>
          <w:sz w:val="22"/>
          <w:shd w:val="clear" w:color="auto" w:fill="FFFFFF"/>
        </w:rPr>
        <w:t xml:space="preserve"> klinisk respons iht. PMS</w:t>
      </w:r>
      <w:r>
        <w:rPr>
          <w:rStyle w:val="normaltextrun"/>
          <w:sz w:val="22"/>
          <w:shd w:val="clear" w:color="auto" w:fill="FFFFFF"/>
        </w:rPr>
        <w:t>,</w:t>
      </w:r>
      <w:r w:rsidRPr="00E04B2A">
        <w:rPr>
          <w:rStyle w:val="normaltextrun"/>
          <w:sz w:val="22"/>
          <w:shd w:val="clear" w:color="auto" w:fill="FFFFFF"/>
        </w:rPr>
        <w:t xml:space="preserve"> randomisert til å </w:t>
      </w:r>
      <w:r>
        <w:rPr>
          <w:rStyle w:val="normaltextrun"/>
          <w:sz w:val="22"/>
          <w:shd w:val="clear" w:color="auto" w:fill="FFFFFF"/>
        </w:rPr>
        <w:t xml:space="preserve">få </w:t>
      </w:r>
      <w:r w:rsidRPr="00E04B2A">
        <w:rPr>
          <w:rStyle w:val="normaltextrun"/>
          <w:sz w:val="22"/>
          <w:shd w:val="clear" w:color="auto" w:fill="FFFFFF"/>
        </w:rPr>
        <w:t>placebo, men ble ikke inkludert i den bekreftende effekt</w:t>
      </w:r>
      <w:r>
        <w:rPr>
          <w:rStyle w:val="normaltextrun"/>
          <w:sz w:val="22"/>
          <w:shd w:val="clear" w:color="auto" w:fill="FFFFFF"/>
        </w:rPr>
        <w:t>analys</w:t>
      </w:r>
      <w:r w:rsidRPr="00E04B2A">
        <w:rPr>
          <w:rStyle w:val="normaltextrun"/>
          <w:sz w:val="22"/>
          <w:shd w:val="clear" w:color="auto" w:fill="FFFFFF"/>
        </w:rPr>
        <w:t>en.</w:t>
      </w:r>
    </w:p>
    <w:p w14:paraId="0AE2588D" w14:textId="77777777" w:rsidR="001E18BB" w:rsidRPr="00E04B2A" w:rsidRDefault="001E18BB" w:rsidP="001E18BB">
      <w:pPr>
        <w:rPr>
          <w:sz w:val="22"/>
          <w:shd w:val="clear" w:color="auto" w:fill="FFFFFF"/>
        </w:rPr>
      </w:pPr>
    </w:p>
    <w:p w14:paraId="286BC1E9" w14:textId="77777777" w:rsidR="001E18BB" w:rsidRPr="00E04B2A" w:rsidRDefault="00E453CD" w:rsidP="001E18BB">
      <w:pPr>
        <w:rPr>
          <w:sz w:val="22"/>
        </w:rPr>
      </w:pPr>
      <w:r w:rsidRPr="00E04B2A">
        <w:rPr>
          <w:sz w:val="22"/>
        </w:rPr>
        <w:t>Sykdoms</w:t>
      </w:r>
      <w:r>
        <w:rPr>
          <w:sz w:val="22"/>
        </w:rPr>
        <w:t>opp</w:t>
      </w:r>
      <w:r w:rsidRPr="00E04B2A">
        <w:rPr>
          <w:sz w:val="22"/>
        </w:rPr>
        <w:t>bluss</w:t>
      </w:r>
      <w:r>
        <w:rPr>
          <w:sz w:val="22"/>
        </w:rPr>
        <w:t>ing</w:t>
      </w:r>
      <w:r w:rsidRPr="00E04B2A">
        <w:rPr>
          <w:sz w:val="22"/>
        </w:rPr>
        <w:t xml:space="preserve"> ble definert som en økning i PMS på minst 3 poeng (for pasienter med PMS på 0 til 2 </w:t>
      </w:r>
      <w:r>
        <w:rPr>
          <w:sz w:val="22"/>
        </w:rPr>
        <w:t>ved</w:t>
      </w:r>
      <w:r w:rsidRPr="00E04B2A">
        <w:rPr>
          <w:sz w:val="22"/>
        </w:rPr>
        <w:t xml:space="preserve"> uke 8), minst 2 poeng (for pasienter med PMS på 3 til 4 </w:t>
      </w:r>
      <w:r>
        <w:rPr>
          <w:sz w:val="22"/>
        </w:rPr>
        <w:t>ved</w:t>
      </w:r>
      <w:r w:rsidRPr="00E04B2A">
        <w:rPr>
          <w:sz w:val="22"/>
        </w:rPr>
        <w:t xml:space="preserve"> uke 8) eller minst 1 poeng (for pasienter med PMS på 5 til 6 </w:t>
      </w:r>
      <w:r>
        <w:rPr>
          <w:sz w:val="22"/>
        </w:rPr>
        <w:t>ved</w:t>
      </w:r>
      <w:r w:rsidRPr="00E04B2A">
        <w:rPr>
          <w:sz w:val="22"/>
        </w:rPr>
        <w:t xml:space="preserve"> uke 8).</w:t>
      </w:r>
    </w:p>
    <w:p w14:paraId="48FAD352" w14:textId="77777777" w:rsidR="001E18BB" w:rsidRPr="00E04B2A" w:rsidRDefault="001E18BB" w:rsidP="001E18BB">
      <w:pPr>
        <w:rPr>
          <w:sz w:val="22"/>
        </w:rPr>
      </w:pPr>
    </w:p>
    <w:p w14:paraId="5989DC29" w14:textId="77777777" w:rsidR="001E18BB" w:rsidRPr="00E04B2A" w:rsidRDefault="00E453CD" w:rsidP="001E18BB">
      <w:pPr>
        <w:rPr>
          <w:sz w:val="22"/>
        </w:rPr>
      </w:pPr>
      <w:r w:rsidRPr="00E04B2A">
        <w:rPr>
          <w:sz w:val="22"/>
        </w:rPr>
        <w:t>Pasienter som oppfylte kriteriene for sykdoms</w:t>
      </w:r>
      <w:r>
        <w:rPr>
          <w:sz w:val="22"/>
        </w:rPr>
        <w:t>opp</w:t>
      </w:r>
      <w:r w:rsidRPr="00E04B2A">
        <w:rPr>
          <w:sz w:val="22"/>
        </w:rPr>
        <w:t xml:space="preserve">bluss ved eller etter uke 12 ble randomisert til å </w:t>
      </w:r>
      <w:r>
        <w:rPr>
          <w:sz w:val="22"/>
        </w:rPr>
        <w:t>få</w:t>
      </w:r>
      <w:r w:rsidRPr="00E04B2A">
        <w:rPr>
          <w:sz w:val="22"/>
        </w:rPr>
        <w:t xml:space="preserve"> en gjentatt induksjonsdose på 2,4</w:t>
      </w:r>
      <w:r>
        <w:rPr>
          <w:sz w:val="22"/>
        </w:rPr>
        <w:t> </w:t>
      </w:r>
      <w:r w:rsidRPr="00E04B2A">
        <w:rPr>
          <w:sz w:val="22"/>
        </w:rPr>
        <w:t>mg/kg (</w:t>
      </w:r>
      <w:r>
        <w:rPr>
          <w:sz w:val="22"/>
        </w:rPr>
        <w:t>maksimalt</w:t>
      </w:r>
      <w:r w:rsidRPr="00E04B2A">
        <w:rPr>
          <w:sz w:val="22"/>
        </w:rPr>
        <w:t xml:space="preserve"> 160</w:t>
      </w:r>
      <w:r>
        <w:rPr>
          <w:sz w:val="22"/>
        </w:rPr>
        <w:t> </w:t>
      </w:r>
      <w:r w:rsidRPr="00E04B2A">
        <w:rPr>
          <w:sz w:val="22"/>
        </w:rPr>
        <w:t>mg) eller en dose på 0,6</w:t>
      </w:r>
      <w:r>
        <w:rPr>
          <w:sz w:val="22"/>
        </w:rPr>
        <w:t> </w:t>
      </w:r>
      <w:r w:rsidRPr="00E04B2A">
        <w:rPr>
          <w:sz w:val="22"/>
        </w:rPr>
        <w:t>mg/kg (</w:t>
      </w:r>
      <w:r>
        <w:rPr>
          <w:sz w:val="22"/>
        </w:rPr>
        <w:t>maksimalt</w:t>
      </w:r>
      <w:r w:rsidRPr="00E04B2A">
        <w:rPr>
          <w:sz w:val="22"/>
        </w:rPr>
        <w:t xml:space="preserve"> 40</w:t>
      </w:r>
      <w:r>
        <w:rPr>
          <w:sz w:val="22"/>
        </w:rPr>
        <w:t> </w:t>
      </w:r>
      <w:r w:rsidRPr="00E04B2A">
        <w:rPr>
          <w:sz w:val="22"/>
        </w:rPr>
        <w:t xml:space="preserve">mg) og fortsatte </w:t>
      </w:r>
      <w:r>
        <w:rPr>
          <w:sz w:val="22"/>
        </w:rPr>
        <w:t>deretter med deres</w:t>
      </w:r>
      <w:r w:rsidRPr="00E04B2A">
        <w:rPr>
          <w:sz w:val="22"/>
        </w:rPr>
        <w:t xml:space="preserve"> respektive vedlikeholdsdose.</w:t>
      </w:r>
    </w:p>
    <w:p w14:paraId="18CFF5E7" w14:textId="77777777" w:rsidR="001E18BB" w:rsidRPr="00E04B2A" w:rsidRDefault="00E453CD" w:rsidP="001E18BB">
      <w:pPr>
        <w:pStyle w:val="gtcbodytext"/>
        <w:spacing w:after="0" w:line="240" w:lineRule="auto"/>
        <w:rPr>
          <w:i/>
          <w:sz w:val="22"/>
          <w:szCs w:val="22"/>
          <w:lang w:val="nb-NO"/>
        </w:rPr>
      </w:pPr>
      <w:r w:rsidRPr="00E04B2A">
        <w:rPr>
          <w:i/>
          <w:sz w:val="22"/>
          <w:lang w:val="nb-NO"/>
        </w:rPr>
        <w:t>Effektresultater</w:t>
      </w:r>
    </w:p>
    <w:p w14:paraId="7D194CB2" w14:textId="77777777" w:rsidR="001E18BB" w:rsidRPr="00E04B2A" w:rsidRDefault="001E18BB" w:rsidP="001E18BB">
      <w:pPr>
        <w:pStyle w:val="gtcbodytext"/>
        <w:spacing w:before="0" w:after="0" w:line="240" w:lineRule="auto"/>
        <w:rPr>
          <w:i/>
          <w:sz w:val="22"/>
          <w:szCs w:val="22"/>
          <w:lang w:val="nb-NO"/>
        </w:rPr>
      </w:pPr>
    </w:p>
    <w:p w14:paraId="4EA04831" w14:textId="77777777" w:rsidR="001E18BB" w:rsidRPr="00E04B2A" w:rsidRDefault="00E453CD" w:rsidP="001E18BB">
      <w:pPr>
        <w:textAlignment w:val="baseline"/>
        <w:rPr>
          <w:sz w:val="22"/>
        </w:rPr>
      </w:pPr>
      <w:r w:rsidRPr="00E04B2A">
        <w:rPr>
          <w:sz w:val="22"/>
        </w:rPr>
        <w:t>De ko-primære endepunktene i studien var klinisk remisjon iht. PMS (definert som PMS ≤</w:t>
      </w:r>
      <w:r>
        <w:rPr>
          <w:sz w:val="22"/>
        </w:rPr>
        <w:t> </w:t>
      </w:r>
      <w:r w:rsidRPr="00E04B2A">
        <w:rPr>
          <w:sz w:val="22"/>
        </w:rPr>
        <w:t xml:space="preserve">2 og ingen individuell </w:t>
      </w:r>
      <w:r w:rsidRPr="007031B5">
        <w:rPr>
          <w:sz w:val="22"/>
        </w:rPr>
        <w:t>subscore</w:t>
      </w:r>
      <w:r w:rsidRPr="00E04B2A">
        <w:rPr>
          <w:sz w:val="22"/>
        </w:rPr>
        <w:t xml:space="preserve"> &gt;</w:t>
      </w:r>
      <w:r>
        <w:rPr>
          <w:sz w:val="22"/>
        </w:rPr>
        <w:t> </w:t>
      </w:r>
      <w:r w:rsidRPr="00E04B2A">
        <w:rPr>
          <w:sz w:val="22"/>
        </w:rPr>
        <w:t xml:space="preserve">1) </w:t>
      </w:r>
      <w:r>
        <w:rPr>
          <w:sz w:val="22"/>
        </w:rPr>
        <w:t>ved</w:t>
      </w:r>
      <w:r w:rsidRPr="00E04B2A">
        <w:rPr>
          <w:sz w:val="22"/>
        </w:rPr>
        <w:t xml:space="preserve"> uke 8, og klinisk remisjon iht. FMS (</w:t>
      </w:r>
      <w:r>
        <w:rPr>
          <w:sz w:val="22"/>
        </w:rPr>
        <w:t>F</w:t>
      </w:r>
      <w:r w:rsidRPr="00E04B2A">
        <w:rPr>
          <w:sz w:val="22"/>
        </w:rPr>
        <w:t>ull Mayo</w:t>
      </w:r>
      <w:r>
        <w:rPr>
          <w:sz w:val="22"/>
        </w:rPr>
        <w:t xml:space="preserve"> S</w:t>
      </w:r>
      <w:r w:rsidRPr="00E04B2A">
        <w:rPr>
          <w:sz w:val="22"/>
        </w:rPr>
        <w:t>core) (definert som en Mayo</w:t>
      </w:r>
      <w:r>
        <w:rPr>
          <w:sz w:val="22"/>
        </w:rPr>
        <w:t xml:space="preserve"> </w:t>
      </w:r>
      <w:r w:rsidRPr="00E04B2A">
        <w:rPr>
          <w:sz w:val="22"/>
        </w:rPr>
        <w:t>score ≤</w:t>
      </w:r>
      <w:r>
        <w:rPr>
          <w:sz w:val="22"/>
        </w:rPr>
        <w:t> </w:t>
      </w:r>
      <w:r w:rsidRPr="00E04B2A">
        <w:rPr>
          <w:sz w:val="22"/>
        </w:rPr>
        <w:t xml:space="preserve">2 og ingen individuell </w:t>
      </w:r>
      <w:r w:rsidRPr="007031B5">
        <w:rPr>
          <w:sz w:val="22"/>
        </w:rPr>
        <w:t>subscore</w:t>
      </w:r>
      <w:r w:rsidRPr="00E04B2A">
        <w:rPr>
          <w:sz w:val="22"/>
        </w:rPr>
        <w:t xml:space="preserve"> &gt;</w:t>
      </w:r>
      <w:r>
        <w:rPr>
          <w:sz w:val="22"/>
        </w:rPr>
        <w:t> </w:t>
      </w:r>
      <w:r w:rsidRPr="00E04B2A">
        <w:rPr>
          <w:sz w:val="22"/>
        </w:rPr>
        <w:t xml:space="preserve">1) </w:t>
      </w:r>
      <w:r>
        <w:rPr>
          <w:sz w:val="22"/>
        </w:rPr>
        <w:t>ved</w:t>
      </w:r>
      <w:r w:rsidRPr="00E04B2A">
        <w:rPr>
          <w:sz w:val="22"/>
        </w:rPr>
        <w:t xml:space="preserve"> uke 52 hos pasienter som oppnådde klinisk respons iht. PMS </w:t>
      </w:r>
      <w:r>
        <w:rPr>
          <w:sz w:val="22"/>
        </w:rPr>
        <w:t>ved</w:t>
      </w:r>
      <w:r w:rsidRPr="00E04B2A">
        <w:rPr>
          <w:sz w:val="22"/>
        </w:rPr>
        <w:t xml:space="preserve"> uke 8.</w:t>
      </w:r>
    </w:p>
    <w:p w14:paraId="75FE5FA2" w14:textId="77777777" w:rsidR="001E18BB" w:rsidRPr="00E04B2A" w:rsidRDefault="001E18BB" w:rsidP="001E18BB">
      <w:pPr>
        <w:textAlignment w:val="baseline"/>
        <w:rPr>
          <w:sz w:val="22"/>
          <w:lang w:eastAsia="en-GB"/>
        </w:rPr>
      </w:pPr>
    </w:p>
    <w:p w14:paraId="3AA7AFE8" w14:textId="77777777" w:rsidR="001E18BB" w:rsidRPr="00E04B2A" w:rsidRDefault="00E453CD" w:rsidP="001E18BB">
      <w:pPr>
        <w:textAlignment w:val="baseline"/>
        <w:rPr>
          <w:sz w:val="22"/>
        </w:rPr>
      </w:pPr>
      <w:r w:rsidRPr="00E04B2A">
        <w:rPr>
          <w:sz w:val="22"/>
        </w:rPr>
        <w:t xml:space="preserve">Kliniske remisjonsrater iht. PMS </w:t>
      </w:r>
      <w:r w:rsidR="00852DB1">
        <w:rPr>
          <w:sz w:val="22"/>
        </w:rPr>
        <w:t>ved</w:t>
      </w:r>
      <w:r w:rsidRPr="00E04B2A">
        <w:rPr>
          <w:sz w:val="22"/>
        </w:rPr>
        <w:t xml:space="preserve"> uke 8 for pasienter i hver av de dobbeltblinde</w:t>
      </w:r>
      <w:r>
        <w:rPr>
          <w:sz w:val="22"/>
        </w:rPr>
        <w:t>de</w:t>
      </w:r>
      <w:r w:rsidRPr="00E04B2A">
        <w:rPr>
          <w:sz w:val="22"/>
        </w:rPr>
        <w:t xml:space="preserve"> Humira-induksjonsgruppen</w:t>
      </w:r>
      <w:r>
        <w:rPr>
          <w:sz w:val="22"/>
        </w:rPr>
        <w:t xml:space="preserve">e er vist i </w:t>
      </w:r>
      <w:r w:rsidRPr="00E04B2A">
        <w:rPr>
          <w:sz w:val="22"/>
        </w:rPr>
        <w:t>tabell 2</w:t>
      </w:r>
      <w:r w:rsidR="00DF4E4A">
        <w:rPr>
          <w:sz w:val="22"/>
        </w:rPr>
        <w:t>1</w:t>
      </w:r>
      <w:r w:rsidRPr="00E04B2A">
        <w:rPr>
          <w:sz w:val="22"/>
        </w:rPr>
        <w:t>.</w:t>
      </w:r>
    </w:p>
    <w:p w14:paraId="4E141A0B" w14:textId="77777777" w:rsidR="001E18BB" w:rsidRPr="00E04B2A" w:rsidRDefault="00E453CD" w:rsidP="001E18BB">
      <w:pPr>
        <w:pStyle w:val="gtcbodytext"/>
        <w:spacing w:after="0" w:line="240" w:lineRule="auto"/>
        <w:jc w:val="center"/>
        <w:rPr>
          <w:sz w:val="22"/>
          <w:szCs w:val="22"/>
          <w:lang w:val="nb-NO"/>
        </w:rPr>
      </w:pPr>
      <w:r w:rsidRPr="00E04B2A">
        <w:rPr>
          <w:b/>
          <w:sz w:val="22"/>
          <w:lang w:val="nb-NO"/>
        </w:rPr>
        <w:t>Tabell 2</w:t>
      </w:r>
      <w:r w:rsidR="00DF4E4A">
        <w:rPr>
          <w:b/>
          <w:sz w:val="22"/>
          <w:lang w:val="nb-NO"/>
        </w:rPr>
        <w:t>1</w:t>
      </w:r>
      <w:r w:rsidRPr="00E04B2A">
        <w:rPr>
          <w:b/>
          <w:sz w:val="22"/>
          <w:lang w:val="nb-NO"/>
        </w:rPr>
        <w:t xml:space="preserve">: Klinisk remisjon iht. PMS ved </w:t>
      </w:r>
      <w:r>
        <w:rPr>
          <w:b/>
          <w:sz w:val="22"/>
          <w:lang w:val="nb-NO"/>
        </w:rPr>
        <w:t>uke 8</w:t>
      </w:r>
      <w:r w:rsidRPr="00E04B2A">
        <w:rPr>
          <w:b/>
          <w:sz w:val="22"/>
          <w:lang w:val="nb-NO"/>
        </w:rPr>
        <w:t xml:space="preserve"> </w:t>
      </w:r>
    </w:p>
    <w:tbl>
      <w:tblPr>
        <w:tblW w:w="4246" w:type="pct"/>
        <w:jc w:val="center"/>
        <w:tblLook w:val="04A0" w:firstRow="1" w:lastRow="0" w:firstColumn="1" w:lastColumn="0" w:noHBand="0" w:noVBand="1"/>
      </w:tblPr>
      <w:tblGrid>
        <w:gridCol w:w="1902"/>
        <w:gridCol w:w="2865"/>
        <w:gridCol w:w="2917"/>
      </w:tblGrid>
      <w:tr w:rsidR="004644D4" w14:paraId="5F989A18" w14:textId="77777777" w:rsidTr="001E18BB">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437EBC3" w14:textId="77777777" w:rsidR="001E18BB" w:rsidRPr="00E04B2A" w:rsidRDefault="001E18BB" w:rsidP="001E18BB">
            <w:pPr>
              <w:rPr>
                <w:sz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5C9AE4" w14:textId="77777777" w:rsidR="001E18BB" w:rsidRPr="00501579" w:rsidRDefault="00E453CD" w:rsidP="001E18BB">
            <w:pPr>
              <w:pStyle w:val="paragraph0"/>
              <w:spacing w:before="0" w:beforeAutospacing="0" w:after="0" w:afterAutospacing="0"/>
              <w:jc w:val="center"/>
              <w:textAlignment w:val="baseline"/>
              <w:rPr>
                <w:sz w:val="22"/>
                <w:szCs w:val="22"/>
              </w:rPr>
            </w:pPr>
            <w:r w:rsidRPr="00EF5F5C">
              <w:rPr>
                <w:rStyle w:val="spellingerror"/>
                <w:b/>
                <w:sz w:val="22"/>
              </w:rPr>
              <w:t>Humira</w:t>
            </w:r>
            <w:r w:rsidRPr="00EF5F5C">
              <w:rPr>
                <w:rStyle w:val="spellingerror"/>
                <w:b/>
                <w:sz w:val="22"/>
                <w:vertAlign w:val="superscript"/>
              </w:rPr>
              <w:t>a</w:t>
            </w:r>
            <w:r w:rsidRPr="00406612">
              <w:rPr>
                <w:rStyle w:val="eop"/>
                <w:sz w:val="22"/>
              </w:rPr>
              <w:t> </w:t>
            </w:r>
          </w:p>
          <w:p w14:paraId="1BAEEAD5" w14:textId="77777777" w:rsidR="001E18BB" w:rsidRPr="00E04B2A" w:rsidRDefault="00E453CD" w:rsidP="001E18BB">
            <w:pPr>
              <w:jc w:val="center"/>
              <w:rPr>
                <w:rStyle w:val="eop"/>
                <w:sz w:val="22"/>
              </w:rPr>
            </w:pPr>
            <w:r w:rsidRPr="00E04B2A">
              <w:rPr>
                <w:rStyle w:val="normaltextrun"/>
                <w:b/>
                <w:sz w:val="22"/>
              </w:rPr>
              <w:t>Maksim</w:t>
            </w:r>
            <w:r w:rsidRPr="001D5C5A">
              <w:rPr>
                <w:rStyle w:val="normaltextrun"/>
                <w:b/>
                <w:sz w:val="22"/>
                <w:szCs w:val="22"/>
              </w:rPr>
              <w:t>a</w:t>
            </w:r>
            <w:r w:rsidRPr="00975795">
              <w:rPr>
                <w:rStyle w:val="normaltextrun"/>
                <w:b/>
                <w:sz w:val="22"/>
                <w:szCs w:val="22"/>
              </w:rPr>
              <w:t>lt</w:t>
            </w:r>
            <w:r w:rsidRPr="00E04B2A">
              <w:rPr>
                <w:rStyle w:val="normaltextrun"/>
                <w:b/>
                <w:sz w:val="22"/>
              </w:rPr>
              <w:t xml:space="preserve"> 160</w:t>
            </w:r>
            <w:r>
              <w:rPr>
                <w:rStyle w:val="normaltextrun"/>
                <w:b/>
                <w:sz w:val="22"/>
              </w:rPr>
              <w:t> </w:t>
            </w:r>
            <w:r w:rsidRPr="00E04B2A">
              <w:rPr>
                <w:rStyle w:val="normaltextrun"/>
                <w:b/>
                <w:sz w:val="22"/>
              </w:rPr>
              <w:t xml:space="preserve">mg </w:t>
            </w:r>
            <w:r>
              <w:rPr>
                <w:rStyle w:val="normaltextrun"/>
                <w:b/>
                <w:sz w:val="22"/>
              </w:rPr>
              <w:t>ved</w:t>
            </w:r>
            <w:r w:rsidRPr="00E04B2A">
              <w:rPr>
                <w:rStyle w:val="normaltextrun"/>
                <w:b/>
                <w:sz w:val="22"/>
              </w:rPr>
              <w:t xml:space="preserve"> uke 0/placebo </w:t>
            </w:r>
            <w:r>
              <w:rPr>
                <w:rStyle w:val="normaltextrun"/>
                <w:b/>
                <w:sz w:val="22"/>
              </w:rPr>
              <w:t>ved</w:t>
            </w:r>
            <w:r w:rsidRPr="00E04B2A">
              <w:rPr>
                <w:rStyle w:val="normaltextrun"/>
                <w:b/>
                <w:sz w:val="22"/>
              </w:rPr>
              <w:t xml:space="preserve"> uke 1</w:t>
            </w:r>
          </w:p>
          <w:p w14:paraId="2073A43B" w14:textId="77777777" w:rsidR="001E18BB" w:rsidRPr="00E04B2A" w:rsidRDefault="00E453CD" w:rsidP="001E18BB">
            <w:pPr>
              <w:jc w:val="center"/>
              <w:rPr>
                <w:sz w:val="22"/>
              </w:rPr>
            </w:pPr>
            <w:r w:rsidRPr="00E04B2A">
              <w:rPr>
                <w:rStyle w:val="eop"/>
                <w:sz w:val="22"/>
              </w:rPr>
              <w:t>N = 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701D6A" w14:textId="77777777" w:rsidR="001E18BB" w:rsidRPr="00501579" w:rsidRDefault="00E453CD" w:rsidP="001E18BB">
            <w:pPr>
              <w:pStyle w:val="paragraph0"/>
              <w:spacing w:before="0" w:beforeAutospacing="0" w:after="0" w:afterAutospacing="0"/>
              <w:jc w:val="center"/>
              <w:textAlignment w:val="baseline"/>
              <w:rPr>
                <w:sz w:val="22"/>
                <w:szCs w:val="22"/>
              </w:rPr>
            </w:pPr>
            <w:r w:rsidRPr="00EF5F5C">
              <w:rPr>
                <w:rStyle w:val="spellingerror"/>
                <w:b/>
                <w:sz w:val="22"/>
              </w:rPr>
              <w:t>Humira</w:t>
            </w:r>
            <w:r w:rsidRPr="00EF5F5C">
              <w:rPr>
                <w:rStyle w:val="spellingerror"/>
                <w:b/>
                <w:sz w:val="22"/>
                <w:vertAlign w:val="superscript"/>
              </w:rPr>
              <w:t>b</w:t>
            </w:r>
            <w:r w:rsidRPr="00406612">
              <w:rPr>
                <w:rStyle w:val="normaltextrun"/>
                <w:b/>
                <w:sz w:val="22"/>
                <w:vertAlign w:val="superscript"/>
              </w:rPr>
              <w:t>, c</w:t>
            </w:r>
            <w:r w:rsidRPr="00501579">
              <w:rPr>
                <w:rStyle w:val="eop"/>
                <w:sz w:val="22"/>
              </w:rPr>
              <w:t> </w:t>
            </w:r>
          </w:p>
          <w:p w14:paraId="5B2524E7" w14:textId="77777777" w:rsidR="001E18BB" w:rsidRPr="00E04B2A" w:rsidRDefault="00E453CD" w:rsidP="001E18BB">
            <w:pPr>
              <w:jc w:val="center"/>
              <w:rPr>
                <w:rStyle w:val="eop"/>
                <w:sz w:val="22"/>
              </w:rPr>
            </w:pPr>
            <w:r w:rsidRPr="00E04B2A">
              <w:rPr>
                <w:rStyle w:val="normaltextrun"/>
                <w:b/>
                <w:sz w:val="22"/>
              </w:rPr>
              <w:t>Maksim</w:t>
            </w:r>
            <w:r>
              <w:rPr>
                <w:rStyle w:val="normaltextrun"/>
                <w:b/>
                <w:sz w:val="22"/>
              </w:rPr>
              <w:t>alt</w:t>
            </w:r>
            <w:r w:rsidRPr="00E04B2A">
              <w:rPr>
                <w:rStyle w:val="normaltextrun"/>
                <w:b/>
                <w:sz w:val="22"/>
              </w:rPr>
              <w:t xml:space="preserve"> 160</w:t>
            </w:r>
            <w:r>
              <w:rPr>
                <w:rStyle w:val="normaltextrun"/>
                <w:b/>
                <w:sz w:val="22"/>
              </w:rPr>
              <w:t> </w:t>
            </w:r>
            <w:r w:rsidRPr="00E04B2A">
              <w:rPr>
                <w:rStyle w:val="normaltextrun"/>
                <w:b/>
                <w:sz w:val="22"/>
              </w:rPr>
              <w:t xml:space="preserve">mg </w:t>
            </w:r>
            <w:r>
              <w:rPr>
                <w:rStyle w:val="normaltextrun"/>
                <w:b/>
                <w:sz w:val="22"/>
              </w:rPr>
              <w:t>ved</w:t>
            </w:r>
            <w:r w:rsidRPr="00E04B2A">
              <w:rPr>
                <w:rStyle w:val="normaltextrun"/>
                <w:b/>
                <w:sz w:val="22"/>
              </w:rPr>
              <w:t xml:space="preserve"> uke 0 og uke 1</w:t>
            </w:r>
          </w:p>
          <w:p w14:paraId="3B059101" w14:textId="77777777" w:rsidR="001E18BB" w:rsidRPr="00E04B2A" w:rsidRDefault="00E453CD" w:rsidP="001E18BB">
            <w:pPr>
              <w:jc w:val="center"/>
              <w:rPr>
                <w:sz w:val="22"/>
              </w:rPr>
            </w:pPr>
            <w:r w:rsidRPr="00E04B2A">
              <w:rPr>
                <w:rStyle w:val="eop"/>
                <w:sz w:val="22"/>
              </w:rPr>
              <w:t>N = 47</w:t>
            </w:r>
          </w:p>
        </w:tc>
      </w:tr>
      <w:tr w:rsidR="004644D4" w14:paraId="1FF8DACE" w14:textId="77777777" w:rsidTr="001E18BB">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C5C768A" w14:textId="77777777" w:rsidR="001E18BB" w:rsidRPr="00E04B2A" w:rsidRDefault="00E453CD" w:rsidP="001E18BB">
            <w:pPr>
              <w:rPr>
                <w:sz w:val="22"/>
              </w:rPr>
            </w:pPr>
            <w:r w:rsidRPr="00E04B2A">
              <w:rPr>
                <w:sz w:val="22"/>
              </w:rPr>
              <w:t>Klinisk remisjon</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3C7496" w14:textId="77777777" w:rsidR="001E18BB" w:rsidRPr="00E04B2A" w:rsidRDefault="00E453CD" w:rsidP="001E18BB">
            <w:pPr>
              <w:jc w:val="center"/>
              <w:rPr>
                <w:sz w:val="22"/>
              </w:rPr>
            </w:pPr>
            <w:r w:rsidRPr="00E04B2A">
              <w:rPr>
                <w:sz w:val="22"/>
              </w:rPr>
              <w:t>13/30 (43,3</w:t>
            </w:r>
            <w:r>
              <w:rPr>
                <w:sz w:val="22"/>
              </w:rPr>
              <w:t> </w:t>
            </w:r>
            <w:r w:rsidRPr="00E04B2A">
              <w:rPr>
                <w:sz w:val="22"/>
              </w:rPr>
              <w:t>%)</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515A0F" w14:textId="77777777" w:rsidR="001E18BB" w:rsidRPr="00E04B2A" w:rsidRDefault="00E453CD" w:rsidP="001E18BB">
            <w:pPr>
              <w:jc w:val="center"/>
              <w:rPr>
                <w:sz w:val="22"/>
                <w:vertAlign w:val="superscript"/>
              </w:rPr>
            </w:pPr>
            <w:r w:rsidRPr="00E04B2A">
              <w:rPr>
                <w:sz w:val="22"/>
              </w:rPr>
              <w:t>28/47 (59,6</w:t>
            </w:r>
            <w:r>
              <w:rPr>
                <w:sz w:val="22"/>
              </w:rPr>
              <w:t> </w:t>
            </w:r>
            <w:r w:rsidRPr="00E04B2A">
              <w:rPr>
                <w:sz w:val="22"/>
              </w:rPr>
              <w:t>%)</w:t>
            </w:r>
          </w:p>
        </w:tc>
      </w:tr>
      <w:tr w:rsidR="004644D4" w14:paraId="3AB37281" w14:textId="77777777" w:rsidTr="001E18BB">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8EEC3CA" w14:textId="77777777" w:rsidR="001E18BB" w:rsidRPr="00501579" w:rsidRDefault="00E453CD" w:rsidP="001E18BB">
            <w:pPr>
              <w:pStyle w:val="paragraph0"/>
              <w:spacing w:before="0" w:beforeAutospacing="0" w:after="0" w:afterAutospacing="0"/>
              <w:textAlignment w:val="baseline"/>
              <w:rPr>
                <w:sz w:val="22"/>
                <w:szCs w:val="22"/>
              </w:rPr>
            </w:pPr>
            <w:r w:rsidRPr="00EF5F5C">
              <w:rPr>
                <w:rStyle w:val="normaltextrun"/>
                <w:sz w:val="22"/>
                <w:vertAlign w:val="superscript"/>
              </w:rPr>
              <w:t>a</w:t>
            </w:r>
            <w:r w:rsidRPr="00EF5F5C">
              <w:rPr>
                <w:rStyle w:val="normaltextrun"/>
                <w:sz w:val="22"/>
              </w:rPr>
              <w:t>Humira 2,4</w:t>
            </w:r>
            <w:r>
              <w:rPr>
                <w:rStyle w:val="normaltextrun"/>
                <w:sz w:val="22"/>
              </w:rPr>
              <w:t> </w:t>
            </w:r>
            <w:r w:rsidRPr="00EF5F5C">
              <w:rPr>
                <w:rStyle w:val="normaltextrun"/>
                <w:sz w:val="22"/>
              </w:rPr>
              <w:t>mg/kg (maksim</w:t>
            </w:r>
            <w:r>
              <w:rPr>
                <w:rStyle w:val="normaltextrun"/>
                <w:sz w:val="22"/>
              </w:rPr>
              <w:t>alt</w:t>
            </w:r>
            <w:r w:rsidRPr="00EF5F5C">
              <w:rPr>
                <w:rStyle w:val="normaltextrun"/>
                <w:sz w:val="22"/>
              </w:rPr>
              <w:t xml:space="preserve"> 160</w:t>
            </w:r>
            <w:r>
              <w:rPr>
                <w:rStyle w:val="normaltextrun"/>
                <w:sz w:val="22"/>
              </w:rPr>
              <w:t> </w:t>
            </w:r>
            <w:r w:rsidRPr="00EF5F5C">
              <w:rPr>
                <w:rStyle w:val="normaltextrun"/>
                <w:sz w:val="22"/>
              </w:rPr>
              <w:t>mg) i uke 0, placebo i uke 1 og 1,2</w:t>
            </w:r>
            <w:r>
              <w:rPr>
                <w:rStyle w:val="normaltextrun"/>
                <w:sz w:val="22"/>
              </w:rPr>
              <w:t> </w:t>
            </w:r>
            <w:r w:rsidRPr="00EF5F5C">
              <w:rPr>
                <w:rStyle w:val="normaltextrun"/>
                <w:sz w:val="22"/>
              </w:rPr>
              <w:t>mg/kg (maksim</w:t>
            </w:r>
            <w:r>
              <w:rPr>
                <w:rStyle w:val="normaltextrun"/>
                <w:sz w:val="22"/>
              </w:rPr>
              <w:t>alt</w:t>
            </w:r>
            <w:r w:rsidRPr="00EF5F5C">
              <w:rPr>
                <w:rStyle w:val="normaltextrun"/>
                <w:sz w:val="22"/>
              </w:rPr>
              <w:t xml:space="preserve"> 80</w:t>
            </w:r>
            <w:r>
              <w:rPr>
                <w:rStyle w:val="normaltextrun"/>
                <w:sz w:val="22"/>
              </w:rPr>
              <w:t> </w:t>
            </w:r>
            <w:r w:rsidRPr="00EF5F5C">
              <w:rPr>
                <w:rStyle w:val="normaltextrun"/>
                <w:sz w:val="22"/>
              </w:rPr>
              <w:t>mg)</w:t>
            </w:r>
            <w:r w:rsidRPr="00406612">
              <w:rPr>
                <w:rStyle w:val="normaltextrun"/>
                <w:sz w:val="22"/>
              </w:rPr>
              <w:t xml:space="preserve"> i uke 2</w:t>
            </w:r>
          </w:p>
          <w:p w14:paraId="6AD9E3A3" w14:textId="77777777" w:rsidR="001E18BB" w:rsidRPr="008F0D97" w:rsidRDefault="00E453CD" w:rsidP="001E18BB">
            <w:pPr>
              <w:pStyle w:val="paragraph0"/>
              <w:spacing w:before="0" w:beforeAutospacing="0" w:after="0" w:afterAutospacing="0"/>
              <w:textAlignment w:val="baseline"/>
              <w:rPr>
                <w:sz w:val="22"/>
                <w:szCs w:val="22"/>
              </w:rPr>
            </w:pPr>
            <w:r w:rsidRPr="0071729B">
              <w:rPr>
                <w:rStyle w:val="normaltextrun"/>
                <w:sz w:val="22"/>
                <w:vertAlign w:val="superscript"/>
              </w:rPr>
              <w:t>b</w:t>
            </w:r>
            <w:r w:rsidRPr="00B61B62">
              <w:rPr>
                <w:rStyle w:val="normaltextrun"/>
                <w:sz w:val="22"/>
              </w:rPr>
              <w:t>Humira 2,4</w:t>
            </w:r>
            <w:r>
              <w:rPr>
                <w:rStyle w:val="normaltextrun"/>
                <w:sz w:val="22"/>
              </w:rPr>
              <w:t> </w:t>
            </w:r>
            <w:r w:rsidRPr="00B61B62">
              <w:rPr>
                <w:rStyle w:val="normaltextrun"/>
                <w:sz w:val="22"/>
              </w:rPr>
              <w:t>mg/kg (maksim</w:t>
            </w:r>
            <w:r>
              <w:rPr>
                <w:rStyle w:val="normaltextrun"/>
                <w:sz w:val="22"/>
              </w:rPr>
              <w:t>alt</w:t>
            </w:r>
            <w:r w:rsidRPr="00B61B62">
              <w:rPr>
                <w:rStyle w:val="normaltextrun"/>
                <w:sz w:val="22"/>
              </w:rPr>
              <w:t xml:space="preserve"> 160</w:t>
            </w:r>
            <w:r>
              <w:rPr>
                <w:rStyle w:val="normaltextrun"/>
                <w:sz w:val="22"/>
              </w:rPr>
              <w:t> </w:t>
            </w:r>
            <w:r w:rsidRPr="00B61B62">
              <w:rPr>
                <w:rStyle w:val="normaltextrun"/>
                <w:sz w:val="22"/>
              </w:rPr>
              <w:t>mg) i uke 0 og uke 1 og 1,2</w:t>
            </w:r>
            <w:r>
              <w:rPr>
                <w:rStyle w:val="normaltextrun"/>
                <w:sz w:val="22"/>
              </w:rPr>
              <w:t> </w:t>
            </w:r>
            <w:r w:rsidRPr="00B61B62">
              <w:rPr>
                <w:rStyle w:val="normaltextrun"/>
                <w:sz w:val="22"/>
              </w:rPr>
              <w:t>mg/kg (maksim</w:t>
            </w:r>
            <w:r>
              <w:rPr>
                <w:rStyle w:val="normaltextrun"/>
                <w:sz w:val="22"/>
              </w:rPr>
              <w:t>alt</w:t>
            </w:r>
            <w:r w:rsidRPr="00B61B62">
              <w:rPr>
                <w:rStyle w:val="normaltextrun"/>
                <w:sz w:val="22"/>
              </w:rPr>
              <w:t xml:space="preserve"> 80</w:t>
            </w:r>
            <w:r>
              <w:rPr>
                <w:rStyle w:val="normaltextrun"/>
                <w:sz w:val="22"/>
              </w:rPr>
              <w:t> </w:t>
            </w:r>
            <w:r w:rsidRPr="00B61B62">
              <w:rPr>
                <w:rStyle w:val="normaltextrun"/>
                <w:sz w:val="22"/>
              </w:rPr>
              <w:t>mg) i uke 2</w:t>
            </w:r>
            <w:r w:rsidRPr="00CA4509">
              <w:rPr>
                <w:rStyle w:val="eop"/>
                <w:sz w:val="22"/>
              </w:rPr>
              <w:t> </w:t>
            </w:r>
          </w:p>
          <w:p w14:paraId="43FEDA74" w14:textId="77777777" w:rsidR="001E18BB" w:rsidRPr="0013423D" w:rsidRDefault="00E453CD" w:rsidP="001E18BB">
            <w:pPr>
              <w:pStyle w:val="paragraph0"/>
              <w:spacing w:before="0" w:beforeAutospacing="0" w:after="0" w:afterAutospacing="0"/>
              <w:textAlignment w:val="baseline"/>
              <w:rPr>
                <w:sz w:val="22"/>
                <w:szCs w:val="22"/>
              </w:rPr>
            </w:pPr>
            <w:r w:rsidRPr="00B3193F">
              <w:rPr>
                <w:rStyle w:val="normaltextrun"/>
                <w:sz w:val="22"/>
                <w:vertAlign w:val="superscript"/>
              </w:rPr>
              <w:t>c</w:t>
            </w:r>
            <w:r w:rsidRPr="00205D90">
              <w:rPr>
                <w:rStyle w:val="normaltextrun"/>
                <w:sz w:val="22"/>
              </w:rPr>
              <w:t xml:space="preserve">Inkluderer ikke åpen induksjonsdose </w:t>
            </w:r>
            <w:r w:rsidRPr="00DD085C">
              <w:rPr>
                <w:rStyle w:val="normaltextrun"/>
                <w:sz w:val="22"/>
                <w:szCs w:val="22"/>
              </w:rPr>
              <w:t>m</w:t>
            </w:r>
            <w:r w:rsidRPr="00975795">
              <w:rPr>
                <w:rStyle w:val="normaltextrun"/>
                <w:sz w:val="22"/>
                <w:szCs w:val="22"/>
              </w:rPr>
              <w:t>ed</w:t>
            </w:r>
            <w:r w:rsidRPr="00205D90">
              <w:rPr>
                <w:rStyle w:val="normaltextrun"/>
                <w:sz w:val="22"/>
              </w:rPr>
              <w:t xml:space="preserve"> Humira 2,4</w:t>
            </w:r>
            <w:r>
              <w:rPr>
                <w:rStyle w:val="normaltextrun"/>
                <w:sz w:val="22"/>
              </w:rPr>
              <w:t> </w:t>
            </w:r>
            <w:r w:rsidRPr="00205D90">
              <w:rPr>
                <w:rStyle w:val="normaltextrun"/>
                <w:sz w:val="22"/>
              </w:rPr>
              <w:t>mg/kg (maksim</w:t>
            </w:r>
            <w:r>
              <w:rPr>
                <w:rStyle w:val="normaltextrun"/>
                <w:sz w:val="22"/>
              </w:rPr>
              <w:t>alt</w:t>
            </w:r>
            <w:r w:rsidRPr="00205D90">
              <w:rPr>
                <w:rStyle w:val="normaltextrun"/>
                <w:sz w:val="22"/>
              </w:rPr>
              <w:t xml:space="preserve"> 160</w:t>
            </w:r>
            <w:r>
              <w:rPr>
                <w:rStyle w:val="normaltextrun"/>
                <w:sz w:val="22"/>
              </w:rPr>
              <w:t> </w:t>
            </w:r>
            <w:r w:rsidRPr="00205D90">
              <w:rPr>
                <w:rStyle w:val="normaltextrun"/>
                <w:sz w:val="22"/>
              </w:rPr>
              <w:t>mg) i uke 0 og uke 1 og 1,2 mg/kg (maksim</w:t>
            </w:r>
            <w:r>
              <w:rPr>
                <w:rStyle w:val="normaltextrun"/>
                <w:sz w:val="22"/>
              </w:rPr>
              <w:t>alt</w:t>
            </w:r>
            <w:r w:rsidRPr="00205D90">
              <w:rPr>
                <w:rStyle w:val="normaltextrun"/>
                <w:sz w:val="22"/>
              </w:rPr>
              <w:t xml:space="preserve"> 80</w:t>
            </w:r>
            <w:r>
              <w:rPr>
                <w:rStyle w:val="normaltextrun"/>
                <w:sz w:val="22"/>
              </w:rPr>
              <w:t> </w:t>
            </w:r>
            <w:r w:rsidRPr="00205D90">
              <w:rPr>
                <w:rStyle w:val="normaltextrun"/>
                <w:sz w:val="22"/>
              </w:rPr>
              <w:t>mg) i uke 2</w:t>
            </w:r>
          </w:p>
          <w:p w14:paraId="230F5FE5" w14:textId="77777777" w:rsidR="001E18BB" w:rsidRPr="00E54C66" w:rsidRDefault="00E453CD" w:rsidP="001E18BB">
            <w:pPr>
              <w:pStyle w:val="paragraph0"/>
              <w:spacing w:before="0" w:beforeAutospacing="0" w:after="0" w:afterAutospacing="0"/>
              <w:textAlignment w:val="baseline"/>
              <w:rPr>
                <w:sz w:val="22"/>
                <w:szCs w:val="22"/>
              </w:rPr>
            </w:pPr>
            <w:r w:rsidRPr="00480BF1">
              <w:rPr>
                <w:rStyle w:val="normaltextrun"/>
                <w:sz w:val="22"/>
              </w:rPr>
              <w:t>Merknad 1: Begge induks</w:t>
            </w:r>
            <w:r w:rsidRPr="00D479C1">
              <w:rPr>
                <w:rStyle w:val="normaltextrun"/>
                <w:sz w:val="22"/>
              </w:rPr>
              <w:t>jonsgrupper fikk 0,6</w:t>
            </w:r>
            <w:r>
              <w:rPr>
                <w:rStyle w:val="normaltextrun"/>
                <w:sz w:val="22"/>
              </w:rPr>
              <w:t> </w:t>
            </w:r>
            <w:r w:rsidRPr="00D479C1">
              <w:rPr>
                <w:rStyle w:val="normaltextrun"/>
                <w:sz w:val="22"/>
              </w:rPr>
              <w:t>mg/kg (maksimalt 40</w:t>
            </w:r>
            <w:r>
              <w:rPr>
                <w:rStyle w:val="normaltextrun"/>
                <w:sz w:val="22"/>
              </w:rPr>
              <w:t> </w:t>
            </w:r>
            <w:r w:rsidRPr="00D479C1">
              <w:rPr>
                <w:rStyle w:val="normaltextrun"/>
                <w:sz w:val="22"/>
              </w:rPr>
              <w:t>mg) i uke 4 og uke 6</w:t>
            </w:r>
          </w:p>
          <w:p w14:paraId="1FDEA02C" w14:textId="77777777" w:rsidR="001E18BB" w:rsidRPr="005640DB" w:rsidRDefault="00E453CD" w:rsidP="001E18BB">
            <w:pPr>
              <w:pStyle w:val="paragraph0"/>
              <w:spacing w:before="0" w:beforeAutospacing="0" w:after="0" w:afterAutospacing="0"/>
              <w:textAlignment w:val="baseline"/>
              <w:rPr>
                <w:sz w:val="22"/>
                <w:szCs w:val="22"/>
              </w:rPr>
            </w:pPr>
            <w:r w:rsidRPr="00FA6C87">
              <w:rPr>
                <w:rStyle w:val="normaltextrun"/>
                <w:sz w:val="22"/>
              </w:rPr>
              <w:t xml:space="preserve">Merknad 2: Pasienter med manglende verdier </w:t>
            </w:r>
            <w:r>
              <w:rPr>
                <w:rStyle w:val="normaltextrun"/>
                <w:sz w:val="22"/>
              </w:rPr>
              <w:t>ved</w:t>
            </w:r>
            <w:r w:rsidRPr="00FA6C87">
              <w:rPr>
                <w:rStyle w:val="normaltextrun"/>
                <w:sz w:val="22"/>
              </w:rPr>
              <w:t xml:space="preserve"> uke 8 ble ansett som ikke å ha </w:t>
            </w:r>
            <w:r>
              <w:rPr>
                <w:rStyle w:val="normaltextrun"/>
                <w:sz w:val="22"/>
              </w:rPr>
              <w:t>opp</w:t>
            </w:r>
            <w:r w:rsidRPr="00FA6C87">
              <w:rPr>
                <w:rStyle w:val="normaltextrun"/>
                <w:sz w:val="22"/>
              </w:rPr>
              <w:t>nådd endepunktet</w:t>
            </w:r>
            <w:r w:rsidRPr="005640DB">
              <w:rPr>
                <w:rStyle w:val="eop"/>
                <w:sz w:val="22"/>
              </w:rPr>
              <w:t> </w:t>
            </w:r>
          </w:p>
        </w:tc>
      </w:tr>
    </w:tbl>
    <w:p w14:paraId="113C9363" w14:textId="77777777" w:rsidR="001E18BB" w:rsidRPr="00E04B2A" w:rsidRDefault="001E18BB" w:rsidP="001E18BB">
      <w:pPr>
        <w:rPr>
          <w:rStyle w:val="normaltextrun"/>
          <w:sz w:val="22"/>
          <w:shd w:val="clear" w:color="auto" w:fill="FFFFFF"/>
        </w:rPr>
      </w:pPr>
    </w:p>
    <w:p w14:paraId="5BEEEC3E" w14:textId="77777777" w:rsidR="00994D65" w:rsidRPr="00E04B2A" w:rsidRDefault="00E453CD" w:rsidP="00994D65">
      <w:pPr>
        <w:rPr>
          <w:sz w:val="22"/>
        </w:rPr>
      </w:pPr>
      <w:r w:rsidRPr="006D23E7">
        <w:rPr>
          <w:sz w:val="22"/>
        </w:rPr>
        <w:t>Hos pasienter som fikk Humira dobbeltblindede maksimale vedlikeholdsdoser på 40</w:t>
      </w:r>
      <w:r>
        <w:rPr>
          <w:sz w:val="22"/>
        </w:rPr>
        <w:t> </w:t>
      </w:r>
      <w:r w:rsidRPr="006D23E7">
        <w:rPr>
          <w:sz w:val="22"/>
        </w:rPr>
        <w:t>mg annenhver uke (0,6</w:t>
      </w:r>
      <w:r>
        <w:rPr>
          <w:sz w:val="22"/>
        </w:rPr>
        <w:t> </w:t>
      </w:r>
      <w:r w:rsidRPr="006D23E7">
        <w:rPr>
          <w:sz w:val="22"/>
        </w:rPr>
        <w:t>mg/kg) og 40</w:t>
      </w:r>
      <w:r>
        <w:rPr>
          <w:sz w:val="22"/>
        </w:rPr>
        <w:t> </w:t>
      </w:r>
      <w:r w:rsidRPr="006D23E7">
        <w:rPr>
          <w:sz w:val="22"/>
        </w:rPr>
        <w:t>mg hver uke (0,6</w:t>
      </w:r>
      <w:r>
        <w:rPr>
          <w:sz w:val="22"/>
        </w:rPr>
        <w:t> </w:t>
      </w:r>
      <w:r w:rsidRPr="006D23E7">
        <w:rPr>
          <w:sz w:val="22"/>
        </w:rPr>
        <w:t>mg/kg) ble klinisk remisjon iht. FMS hos pasienter med respons ved uke 8, klinisk respons iht. FMS (definert som en reduksjon i Mayo score ≥</w:t>
      </w:r>
      <w:r>
        <w:rPr>
          <w:sz w:val="22"/>
        </w:rPr>
        <w:t> </w:t>
      </w:r>
      <w:r w:rsidRPr="006D23E7">
        <w:rPr>
          <w:sz w:val="22"/>
        </w:rPr>
        <w:t>3 poeng og ≥</w:t>
      </w:r>
      <w:r>
        <w:rPr>
          <w:sz w:val="22"/>
        </w:rPr>
        <w:t> </w:t>
      </w:r>
      <w:r w:rsidRPr="006D23E7">
        <w:rPr>
          <w:sz w:val="22"/>
        </w:rPr>
        <w:t>30 % fra baseline) hos pasienter med respons ved uke 8, slimhinnetilheling (definert som Mayo</w:t>
      </w:r>
      <w:r w:rsidR="005F1BCB">
        <w:rPr>
          <w:sz w:val="22"/>
        </w:rPr>
        <w:t xml:space="preserve"> </w:t>
      </w:r>
      <w:r w:rsidRPr="006D23E7">
        <w:rPr>
          <w:sz w:val="22"/>
        </w:rPr>
        <w:t>endoskopi</w:t>
      </w:r>
      <w:r w:rsidR="005F1BCB">
        <w:rPr>
          <w:sz w:val="22"/>
        </w:rPr>
        <w:t xml:space="preserve"> sub</w:t>
      </w:r>
      <w:r w:rsidRPr="006D23E7">
        <w:rPr>
          <w:sz w:val="22"/>
        </w:rPr>
        <w:t>score ≤</w:t>
      </w:r>
      <w:r>
        <w:rPr>
          <w:sz w:val="22"/>
        </w:rPr>
        <w:t> </w:t>
      </w:r>
      <w:r w:rsidRPr="006D23E7">
        <w:rPr>
          <w:sz w:val="22"/>
        </w:rPr>
        <w:t>1) hos pasienter med respons ved uke 8, klinisk remisjon iht. FMS hos pasienter i remisjon ved uke 8, og andelen pasienter i kortikosteroidfri remisjon iht. FMS hos pasienter med respons ved uke 8 vurdert ved uke 52 (tabell 2</w:t>
      </w:r>
      <w:r>
        <w:rPr>
          <w:sz w:val="22"/>
        </w:rPr>
        <w:t>2</w:t>
      </w:r>
      <w:r w:rsidRPr="006D23E7">
        <w:rPr>
          <w:sz w:val="22"/>
        </w:rPr>
        <w:t>).</w:t>
      </w:r>
    </w:p>
    <w:p w14:paraId="77E9F7F6" w14:textId="77777777" w:rsidR="001E18BB" w:rsidRPr="00E04B2A" w:rsidRDefault="001E18BB" w:rsidP="001E18BB">
      <w:pPr>
        <w:rPr>
          <w:sz w:val="22"/>
        </w:rPr>
      </w:pPr>
    </w:p>
    <w:p w14:paraId="65DA98B8" w14:textId="77777777" w:rsidR="001E18BB" w:rsidRPr="00E04B2A" w:rsidRDefault="00E453CD" w:rsidP="001C4BD6">
      <w:pPr>
        <w:keepNext/>
        <w:jc w:val="center"/>
        <w:textAlignment w:val="baseline"/>
        <w:rPr>
          <w:sz w:val="22"/>
        </w:rPr>
      </w:pPr>
      <w:r w:rsidRPr="00E04B2A">
        <w:rPr>
          <w:b/>
          <w:sz w:val="22"/>
        </w:rPr>
        <w:lastRenderedPageBreak/>
        <w:t>Tabell 2</w:t>
      </w:r>
      <w:r w:rsidR="00DF4E4A">
        <w:rPr>
          <w:b/>
          <w:sz w:val="22"/>
        </w:rPr>
        <w:t>2</w:t>
      </w:r>
      <w:r w:rsidRPr="00E04B2A">
        <w:rPr>
          <w:b/>
          <w:sz w:val="22"/>
        </w:rPr>
        <w:t xml:space="preserve">: Effektresultater </w:t>
      </w:r>
      <w:r w:rsidRPr="007031B5">
        <w:rPr>
          <w:b/>
          <w:sz w:val="22"/>
        </w:rPr>
        <w:t xml:space="preserve">ved </w:t>
      </w:r>
      <w:r>
        <w:rPr>
          <w:b/>
          <w:sz w:val="22"/>
        </w:rPr>
        <w:t>uke 52</w:t>
      </w:r>
      <w:r w:rsidRPr="00E04B2A">
        <w:rPr>
          <w:sz w:val="22"/>
        </w:rPr>
        <w:t> </w:t>
      </w:r>
    </w:p>
    <w:p w14:paraId="0E21AA88" w14:textId="77777777" w:rsidR="001E18BB" w:rsidRPr="00E04B2A" w:rsidRDefault="001E18BB" w:rsidP="001C4BD6">
      <w:pPr>
        <w:keepNext/>
        <w:jc w:val="center"/>
        <w:textAlignment w:val="baseline"/>
        <w:rPr>
          <w:sz w:val="22"/>
          <w:lang w:eastAsia="en-GB"/>
        </w:rPr>
      </w:pPr>
    </w:p>
    <w:tbl>
      <w:tblPr>
        <w:tblW w:w="900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0"/>
        <w:gridCol w:w="2249"/>
        <w:gridCol w:w="2633"/>
      </w:tblGrid>
      <w:tr w:rsidR="004644D4" w14:paraId="0910F336" w14:textId="77777777" w:rsidTr="001C4BD6">
        <w:trPr>
          <w:trHeight w:val="912"/>
          <w:jc w:val="center"/>
        </w:trPr>
        <w:tc>
          <w:tcPr>
            <w:tcW w:w="4120" w:type="dxa"/>
            <w:tcBorders>
              <w:top w:val="single" w:sz="6" w:space="0" w:color="auto"/>
              <w:left w:val="single" w:sz="6" w:space="0" w:color="auto"/>
              <w:bottom w:val="single" w:sz="6" w:space="0" w:color="auto"/>
              <w:right w:val="single" w:sz="6" w:space="0" w:color="auto"/>
            </w:tcBorders>
            <w:hideMark/>
          </w:tcPr>
          <w:p w14:paraId="3C97D529" w14:textId="77777777" w:rsidR="001E18BB" w:rsidRPr="00E04B2A" w:rsidRDefault="001E18BB" w:rsidP="001C4BD6">
            <w:pPr>
              <w:keepNext/>
              <w:jc w:val="center"/>
              <w:textAlignment w:val="baseline"/>
              <w:rPr>
                <w:sz w:val="22"/>
                <w:lang w:eastAsia="en-GB"/>
              </w:rPr>
            </w:pPr>
          </w:p>
        </w:tc>
        <w:tc>
          <w:tcPr>
            <w:tcW w:w="2249" w:type="dxa"/>
            <w:tcBorders>
              <w:top w:val="single" w:sz="6" w:space="0" w:color="auto"/>
              <w:left w:val="nil"/>
              <w:bottom w:val="single" w:sz="6" w:space="0" w:color="auto"/>
              <w:right w:val="single" w:sz="6" w:space="0" w:color="auto"/>
            </w:tcBorders>
            <w:vAlign w:val="center"/>
            <w:hideMark/>
          </w:tcPr>
          <w:p w14:paraId="27D950C0" w14:textId="77777777" w:rsidR="001E18BB" w:rsidRPr="00E04B2A" w:rsidRDefault="00E453CD" w:rsidP="001C4BD6">
            <w:pPr>
              <w:keepNext/>
              <w:jc w:val="center"/>
              <w:textAlignment w:val="baseline"/>
              <w:rPr>
                <w:sz w:val="22"/>
              </w:rPr>
            </w:pPr>
            <w:r w:rsidRPr="00E04B2A">
              <w:rPr>
                <w:b/>
                <w:sz w:val="22"/>
              </w:rPr>
              <w:t>Humira</w:t>
            </w:r>
            <w:r w:rsidRPr="00E04B2A">
              <w:rPr>
                <w:b/>
                <w:sz w:val="22"/>
                <w:vertAlign w:val="superscript"/>
              </w:rPr>
              <w:t>a</w:t>
            </w:r>
            <w:r w:rsidRPr="00E04B2A">
              <w:rPr>
                <w:b/>
                <w:sz w:val="22"/>
              </w:rPr>
              <w:t> </w:t>
            </w:r>
            <w:r w:rsidRPr="00E04B2A">
              <w:rPr>
                <w:sz w:val="22"/>
              </w:rPr>
              <w:t> </w:t>
            </w:r>
          </w:p>
          <w:p w14:paraId="56FB9AD5" w14:textId="77777777" w:rsidR="001E18BB" w:rsidRPr="00E04B2A" w:rsidRDefault="00E453CD" w:rsidP="001C4BD6">
            <w:pPr>
              <w:keepNext/>
              <w:jc w:val="center"/>
              <w:textAlignment w:val="baseline"/>
              <w:rPr>
                <w:sz w:val="22"/>
              </w:rPr>
            </w:pPr>
            <w:r>
              <w:rPr>
                <w:b/>
                <w:sz w:val="22"/>
              </w:rPr>
              <w:t>Maksimalt</w:t>
            </w:r>
            <w:r w:rsidRPr="00E04B2A">
              <w:rPr>
                <w:b/>
                <w:sz w:val="22"/>
              </w:rPr>
              <w:t xml:space="preserve"> 40</w:t>
            </w:r>
            <w:r w:rsidR="00DF4E4A">
              <w:rPr>
                <w:b/>
                <w:sz w:val="22"/>
              </w:rPr>
              <w:t> </w:t>
            </w:r>
            <w:r w:rsidRPr="00E04B2A">
              <w:rPr>
                <w:b/>
                <w:sz w:val="22"/>
              </w:rPr>
              <w:t>mg</w:t>
            </w:r>
            <w:r w:rsidRPr="00E04B2A">
              <w:rPr>
                <w:sz w:val="22"/>
              </w:rPr>
              <w:t xml:space="preserve"> </w:t>
            </w:r>
            <w:r w:rsidRPr="00975795">
              <w:rPr>
                <w:b/>
                <w:sz w:val="22"/>
              </w:rPr>
              <w:t>annenhver uke</w:t>
            </w:r>
          </w:p>
          <w:p w14:paraId="0D6FC95B" w14:textId="77777777" w:rsidR="001E18BB" w:rsidRPr="00E04B2A" w:rsidRDefault="00E453CD" w:rsidP="001C4BD6">
            <w:pPr>
              <w:keepNext/>
              <w:jc w:val="center"/>
              <w:textAlignment w:val="baseline"/>
              <w:rPr>
                <w:sz w:val="22"/>
              </w:rPr>
            </w:pPr>
            <w:r w:rsidRPr="00E04B2A">
              <w:rPr>
                <w:sz w:val="22"/>
              </w:rPr>
              <w:t>N = 31</w:t>
            </w:r>
          </w:p>
        </w:tc>
        <w:tc>
          <w:tcPr>
            <w:tcW w:w="2633" w:type="dxa"/>
            <w:tcBorders>
              <w:top w:val="single" w:sz="6" w:space="0" w:color="auto"/>
              <w:left w:val="nil"/>
              <w:bottom w:val="single" w:sz="6" w:space="0" w:color="auto"/>
              <w:right w:val="single" w:sz="6" w:space="0" w:color="auto"/>
            </w:tcBorders>
            <w:vAlign w:val="center"/>
            <w:hideMark/>
          </w:tcPr>
          <w:p w14:paraId="148C51B9" w14:textId="77777777" w:rsidR="001E18BB" w:rsidRPr="0015674E" w:rsidRDefault="00E453CD" w:rsidP="001C4BD6">
            <w:pPr>
              <w:keepNext/>
              <w:jc w:val="center"/>
              <w:textAlignment w:val="baseline"/>
              <w:rPr>
                <w:sz w:val="22"/>
              </w:rPr>
            </w:pPr>
            <w:r w:rsidRPr="0015674E">
              <w:rPr>
                <w:b/>
                <w:sz w:val="22"/>
              </w:rPr>
              <w:t>Humira</w:t>
            </w:r>
            <w:r w:rsidRPr="0015674E">
              <w:rPr>
                <w:b/>
                <w:sz w:val="22"/>
                <w:vertAlign w:val="superscript"/>
              </w:rPr>
              <w:t>b</w:t>
            </w:r>
            <w:r w:rsidRPr="0015674E">
              <w:rPr>
                <w:b/>
                <w:sz w:val="22"/>
              </w:rPr>
              <w:t> </w:t>
            </w:r>
            <w:r w:rsidRPr="0015674E">
              <w:rPr>
                <w:sz w:val="22"/>
              </w:rPr>
              <w:t> </w:t>
            </w:r>
          </w:p>
          <w:p w14:paraId="6627D962" w14:textId="77777777" w:rsidR="001E18BB" w:rsidRPr="0015674E" w:rsidRDefault="00E453CD" w:rsidP="001C4BD6">
            <w:pPr>
              <w:keepNext/>
              <w:jc w:val="center"/>
              <w:textAlignment w:val="baseline"/>
              <w:rPr>
                <w:b/>
                <w:sz w:val="22"/>
              </w:rPr>
            </w:pPr>
            <w:r w:rsidRPr="0015674E">
              <w:rPr>
                <w:b/>
                <w:sz w:val="22"/>
              </w:rPr>
              <w:t>Maksimalt 40</w:t>
            </w:r>
            <w:r w:rsidR="00DF4E4A" w:rsidRPr="0015674E">
              <w:rPr>
                <w:b/>
                <w:sz w:val="22"/>
              </w:rPr>
              <w:t> </w:t>
            </w:r>
            <w:r w:rsidRPr="0015674E">
              <w:rPr>
                <w:b/>
                <w:sz w:val="22"/>
              </w:rPr>
              <w:t>mg</w:t>
            </w:r>
          </w:p>
          <w:p w14:paraId="21CB60C4" w14:textId="77777777" w:rsidR="001E18BB" w:rsidRPr="0015674E" w:rsidRDefault="00E453CD" w:rsidP="001C4BD6">
            <w:pPr>
              <w:keepNext/>
              <w:jc w:val="center"/>
              <w:textAlignment w:val="baseline"/>
              <w:rPr>
                <w:b/>
                <w:bCs/>
                <w:sz w:val="22"/>
              </w:rPr>
            </w:pPr>
            <w:r w:rsidRPr="0015674E">
              <w:rPr>
                <w:b/>
                <w:bCs/>
                <w:sz w:val="22"/>
              </w:rPr>
              <w:t>hver uke</w:t>
            </w:r>
          </w:p>
          <w:p w14:paraId="124C02B7" w14:textId="77777777" w:rsidR="001E18BB" w:rsidRPr="0015674E" w:rsidRDefault="00E453CD" w:rsidP="001C4BD6">
            <w:pPr>
              <w:keepNext/>
              <w:jc w:val="center"/>
              <w:textAlignment w:val="baseline"/>
              <w:rPr>
                <w:sz w:val="22"/>
              </w:rPr>
            </w:pPr>
            <w:r w:rsidRPr="0015674E">
              <w:rPr>
                <w:sz w:val="22"/>
              </w:rPr>
              <w:t>N = 31</w:t>
            </w:r>
          </w:p>
        </w:tc>
      </w:tr>
      <w:tr w:rsidR="004644D4" w14:paraId="39A35625" w14:textId="77777777" w:rsidTr="001C4BD6">
        <w:trPr>
          <w:trHeight w:val="570"/>
          <w:jc w:val="center"/>
        </w:trPr>
        <w:tc>
          <w:tcPr>
            <w:tcW w:w="4120" w:type="dxa"/>
            <w:tcBorders>
              <w:top w:val="nil"/>
              <w:left w:val="single" w:sz="6" w:space="0" w:color="auto"/>
              <w:bottom w:val="single" w:sz="6" w:space="0" w:color="auto"/>
              <w:right w:val="single" w:sz="6" w:space="0" w:color="auto"/>
            </w:tcBorders>
            <w:vAlign w:val="center"/>
            <w:hideMark/>
          </w:tcPr>
          <w:p w14:paraId="6A4F1217" w14:textId="77777777" w:rsidR="001E18BB" w:rsidRPr="00E04B2A" w:rsidRDefault="00E453CD" w:rsidP="001C4BD6">
            <w:pPr>
              <w:keepNext/>
              <w:textAlignment w:val="baseline"/>
              <w:rPr>
                <w:sz w:val="22"/>
              </w:rPr>
            </w:pPr>
            <w:r w:rsidRPr="00E04B2A">
              <w:rPr>
                <w:sz w:val="22"/>
              </w:rPr>
              <w:t>Klinisk remisjon hos uke 8 PMS-respondere</w:t>
            </w:r>
          </w:p>
        </w:tc>
        <w:tc>
          <w:tcPr>
            <w:tcW w:w="2249" w:type="dxa"/>
            <w:tcBorders>
              <w:top w:val="nil"/>
              <w:left w:val="nil"/>
              <w:bottom w:val="single" w:sz="6" w:space="0" w:color="auto"/>
              <w:right w:val="single" w:sz="6" w:space="0" w:color="auto"/>
            </w:tcBorders>
            <w:vAlign w:val="center"/>
            <w:hideMark/>
          </w:tcPr>
          <w:p w14:paraId="7675F463" w14:textId="77777777" w:rsidR="001E18BB" w:rsidRPr="00E04B2A" w:rsidRDefault="00E453CD" w:rsidP="001C4BD6">
            <w:pPr>
              <w:keepNext/>
              <w:jc w:val="center"/>
              <w:textAlignment w:val="baseline"/>
              <w:rPr>
                <w:sz w:val="22"/>
              </w:rPr>
            </w:pPr>
            <w:r w:rsidRPr="00E04B2A">
              <w:rPr>
                <w:sz w:val="22"/>
              </w:rPr>
              <w:t>9/31 (29,0</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262D79B8" w14:textId="77777777" w:rsidR="001E18BB" w:rsidRPr="00E04B2A" w:rsidRDefault="00E453CD" w:rsidP="001C4BD6">
            <w:pPr>
              <w:keepNext/>
              <w:jc w:val="center"/>
              <w:textAlignment w:val="baseline"/>
              <w:rPr>
                <w:sz w:val="22"/>
              </w:rPr>
            </w:pPr>
            <w:r w:rsidRPr="00E04B2A">
              <w:rPr>
                <w:sz w:val="22"/>
              </w:rPr>
              <w:t>14/31 (45,2</w:t>
            </w:r>
            <w:r>
              <w:rPr>
                <w:sz w:val="22"/>
              </w:rPr>
              <w:t> </w:t>
            </w:r>
            <w:r w:rsidRPr="00E04B2A">
              <w:rPr>
                <w:sz w:val="22"/>
              </w:rPr>
              <w:t>%)</w:t>
            </w:r>
          </w:p>
        </w:tc>
      </w:tr>
      <w:tr w:rsidR="004644D4" w14:paraId="63A2E8BE" w14:textId="77777777" w:rsidTr="001C4BD6">
        <w:trPr>
          <w:trHeight w:val="555"/>
          <w:jc w:val="center"/>
        </w:trPr>
        <w:tc>
          <w:tcPr>
            <w:tcW w:w="4120" w:type="dxa"/>
            <w:tcBorders>
              <w:top w:val="nil"/>
              <w:left w:val="single" w:sz="6" w:space="0" w:color="auto"/>
              <w:bottom w:val="single" w:sz="6" w:space="0" w:color="auto"/>
              <w:right w:val="single" w:sz="6" w:space="0" w:color="auto"/>
            </w:tcBorders>
            <w:vAlign w:val="center"/>
            <w:hideMark/>
          </w:tcPr>
          <w:p w14:paraId="4A2C9C29" w14:textId="77777777" w:rsidR="001E18BB" w:rsidRPr="00E04B2A" w:rsidRDefault="00E453CD" w:rsidP="001C4BD6">
            <w:pPr>
              <w:keepNext/>
              <w:textAlignment w:val="baseline"/>
              <w:rPr>
                <w:sz w:val="22"/>
              </w:rPr>
            </w:pPr>
            <w:r w:rsidRPr="00E04B2A">
              <w:rPr>
                <w:sz w:val="22"/>
              </w:rPr>
              <w:t>Klinisk respons hos uke 8 PMS-respondere</w:t>
            </w:r>
          </w:p>
        </w:tc>
        <w:tc>
          <w:tcPr>
            <w:tcW w:w="2249" w:type="dxa"/>
            <w:tcBorders>
              <w:top w:val="nil"/>
              <w:left w:val="nil"/>
              <w:bottom w:val="single" w:sz="6" w:space="0" w:color="auto"/>
              <w:right w:val="single" w:sz="6" w:space="0" w:color="auto"/>
            </w:tcBorders>
            <w:vAlign w:val="center"/>
            <w:hideMark/>
          </w:tcPr>
          <w:p w14:paraId="2C6FBF1E" w14:textId="77777777" w:rsidR="001E18BB" w:rsidRPr="00E04B2A" w:rsidRDefault="00E453CD" w:rsidP="001C4BD6">
            <w:pPr>
              <w:keepNext/>
              <w:jc w:val="center"/>
              <w:textAlignment w:val="baseline"/>
              <w:rPr>
                <w:sz w:val="22"/>
              </w:rPr>
            </w:pPr>
            <w:r w:rsidRPr="00E04B2A">
              <w:rPr>
                <w:sz w:val="22"/>
              </w:rPr>
              <w:t>19/31 (61,3</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56039CCB" w14:textId="77777777" w:rsidR="001E18BB" w:rsidRPr="00E04B2A" w:rsidRDefault="00E453CD" w:rsidP="001C4BD6">
            <w:pPr>
              <w:keepNext/>
              <w:jc w:val="center"/>
              <w:textAlignment w:val="baseline"/>
              <w:rPr>
                <w:sz w:val="22"/>
              </w:rPr>
            </w:pPr>
            <w:r w:rsidRPr="00E04B2A">
              <w:rPr>
                <w:sz w:val="22"/>
              </w:rPr>
              <w:t>21/31 (67,7</w:t>
            </w:r>
            <w:r>
              <w:rPr>
                <w:sz w:val="22"/>
              </w:rPr>
              <w:t> </w:t>
            </w:r>
            <w:r w:rsidRPr="00E04B2A">
              <w:rPr>
                <w:sz w:val="22"/>
              </w:rPr>
              <w:t>%) </w:t>
            </w:r>
          </w:p>
        </w:tc>
      </w:tr>
      <w:tr w:rsidR="004644D4" w14:paraId="072E7E7E" w14:textId="77777777" w:rsidTr="001C4BD6">
        <w:trPr>
          <w:jc w:val="center"/>
        </w:trPr>
        <w:tc>
          <w:tcPr>
            <w:tcW w:w="4120" w:type="dxa"/>
            <w:tcBorders>
              <w:top w:val="nil"/>
              <w:left w:val="single" w:sz="6" w:space="0" w:color="auto"/>
              <w:bottom w:val="single" w:sz="6" w:space="0" w:color="auto"/>
              <w:right w:val="single" w:sz="6" w:space="0" w:color="auto"/>
            </w:tcBorders>
            <w:vAlign w:val="center"/>
            <w:hideMark/>
          </w:tcPr>
          <w:p w14:paraId="7BC7A86C" w14:textId="77777777" w:rsidR="001E18BB" w:rsidRPr="00E04B2A" w:rsidRDefault="00E453CD" w:rsidP="001C4BD6">
            <w:pPr>
              <w:keepNext/>
              <w:textAlignment w:val="baseline"/>
              <w:rPr>
                <w:sz w:val="22"/>
              </w:rPr>
            </w:pPr>
            <w:r w:rsidRPr="00E04B2A">
              <w:rPr>
                <w:sz w:val="22"/>
              </w:rPr>
              <w:t>Slimhinne</w:t>
            </w:r>
            <w:r>
              <w:rPr>
                <w:sz w:val="22"/>
              </w:rPr>
              <w:t>til</w:t>
            </w:r>
            <w:r w:rsidRPr="00E04B2A">
              <w:rPr>
                <w:sz w:val="22"/>
              </w:rPr>
              <w:t>heling hos uke 8 PMS-respondere</w:t>
            </w:r>
          </w:p>
        </w:tc>
        <w:tc>
          <w:tcPr>
            <w:tcW w:w="2249" w:type="dxa"/>
            <w:tcBorders>
              <w:top w:val="nil"/>
              <w:left w:val="nil"/>
              <w:bottom w:val="single" w:sz="6" w:space="0" w:color="auto"/>
              <w:right w:val="single" w:sz="6" w:space="0" w:color="auto"/>
            </w:tcBorders>
            <w:vAlign w:val="center"/>
            <w:hideMark/>
          </w:tcPr>
          <w:p w14:paraId="35952A8D" w14:textId="77777777" w:rsidR="001E18BB" w:rsidRPr="00E04B2A" w:rsidRDefault="00E453CD" w:rsidP="001C4BD6">
            <w:pPr>
              <w:keepNext/>
              <w:jc w:val="center"/>
              <w:textAlignment w:val="baseline"/>
              <w:rPr>
                <w:sz w:val="22"/>
              </w:rPr>
            </w:pPr>
            <w:r w:rsidRPr="00E04B2A">
              <w:rPr>
                <w:sz w:val="22"/>
              </w:rPr>
              <w:t>12/31 (38,7</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368E2BAE" w14:textId="77777777" w:rsidR="001E18BB" w:rsidRPr="00E04B2A" w:rsidRDefault="00E453CD" w:rsidP="001C4BD6">
            <w:pPr>
              <w:keepNext/>
              <w:jc w:val="center"/>
              <w:textAlignment w:val="baseline"/>
              <w:rPr>
                <w:sz w:val="22"/>
              </w:rPr>
            </w:pPr>
            <w:r w:rsidRPr="00E04B2A">
              <w:rPr>
                <w:sz w:val="22"/>
              </w:rPr>
              <w:t>16/31 (51,6</w:t>
            </w:r>
            <w:r>
              <w:rPr>
                <w:sz w:val="22"/>
              </w:rPr>
              <w:t> </w:t>
            </w:r>
            <w:r w:rsidRPr="00E04B2A">
              <w:rPr>
                <w:sz w:val="22"/>
              </w:rPr>
              <w:t>%) </w:t>
            </w:r>
          </w:p>
        </w:tc>
      </w:tr>
      <w:tr w:rsidR="004644D4" w14:paraId="48159A86" w14:textId="77777777" w:rsidTr="001C4BD6">
        <w:trPr>
          <w:jc w:val="center"/>
        </w:trPr>
        <w:tc>
          <w:tcPr>
            <w:tcW w:w="4120" w:type="dxa"/>
            <w:tcBorders>
              <w:top w:val="nil"/>
              <w:left w:val="single" w:sz="6" w:space="0" w:color="auto"/>
              <w:bottom w:val="single" w:sz="6" w:space="0" w:color="auto"/>
              <w:right w:val="single" w:sz="6" w:space="0" w:color="auto"/>
            </w:tcBorders>
            <w:vAlign w:val="center"/>
            <w:hideMark/>
          </w:tcPr>
          <w:p w14:paraId="1DB757CE" w14:textId="77777777" w:rsidR="001E18BB" w:rsidRPr="00E04B2A" w:rsidRDefault="00E453CD" w:rsidP="001C4BD6">
            <w:pPr>
              <w:keepNext/>
              <w:textAlignment w:val="baseline"/>
              <w:rPr>
                <w:sz w:val="22"/>
              </w:rPr>
            </w:pPr>
            <w:r w:rsidRPr="00E04B2A">
              <w:rPr>
                <w:sz w:val="22"/>
              </w:rPr>
              <w:t>Klinisk remisjon hos uke 8 PMS-</w:t>
            </w:r>
            <w:r>
              <w:rPr>
                <w:sz w:val="22"/>
              </w:rPr>
              <w:t>pasienter i remisjon</w:t>
            </w:r>
          </w:p>
        </w:tc>
        <w:tc>
          <w:tcPr>
            <w:tcW w:w="2249" w:type="dxa"/>
            <w:tcBorders>
              <w:top w:val="nil"/>
              <w:left w:val="nil"/>
              <w:bottom w:val="single" w:sz="6" w:space="0" w:color="auto"/>
              <w:right w:val="single" w:sz="6" w:space="0" w:color="auto"/>
            </w:tcBorders>
            <w:vAlign w:val="center"/>
            <w:hideMark/>
          </w:tcPr>
          <w:p w14:paraId="1DB03DE0" w14:textId="77777777" w:rsidR="001E18BB" w:rsidRPr="00E04B2A" w:rsidRDefault="00E453CD" w:rsidP="001C4BD6">
            <w:pPr>
              <w:keepNext/>
              <w:jc w:val="center"/>
              <w:textAlignment w:val="baseline"/>
              <w:rPr>
                <w:sz w:val="22"/>
              </w:rPr>
            </w:pPr>
            <w:r w:rsidRPr="00E04B2A">
              <w:rPr>
                <w:sz w:val="22"/>
              </w:rPr>
              <w:t>9/21 (42,9</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0D426B28" w14:textId="77777777" w:rsidR="001E18BB" w:rsidRPr="00E04B2A" w:rsidRDefault="00E453CD" w:rsidP="001C4BD6">
            <w:pPr>
              <w:keepNext/>
              <w:jc w:val="center"/>
              <w:textAlignment w:val="baseline"/>
              <w:rPr>
                <w:sz w:val="22"/>
              </w:rPr>
            </w:pPr>
            <w:r w:rsidRPr="00E04B2A">
              <w:rPr>
                <w:sz w:val="22"/>
              </w:rPr>
              <w:t>10/22 (45,5</w:t>
            </w:r>
            <w:r>
              <w:rPr>
                <w:sz w:val="22"/>
              </w:rPr>
              <w:t> </w:t>
            </w:r>
            <w:r w:rsidRPr="00E04B2A">
              <w:rPr>
                <w:sz w:val="22"/>
              </w:rPr>
              <w:t>%) </w:t>
            </w:r>
          </w:p>
        </w:tc>
      </w:tr>
      <w:tr w:rsidR="004644D4" w14:paraId="42525731" w14:textId="77777777" w:rsidTr="001C4BD6">
        <w:trPr>
          <w:jc w:val="center"/>
        </w:trPr>
        <w:tc>
          <w:tcPr>
            <w:tcW w:w="4120" w:type="dxa"/>
            <w:tcBorders>
              <w:top w:val="nil"/>
              <w:left w:val="single" w:sz="6" w:space="0" w:color="auto"/>
              <w:bottom w:val="single" w:sz="6" w:space="0" w:color="auto"/>
              <w:right w:val="single" w:sz="6" w:space="0" w:color="auto"/>
            </w:tcBorders>
            <w:vAlign w:val="center"/>
            <w:hideMark/>
          </w:tcPr>
          <w:p w14:paraId="7FD5DAF8" w14:textId="77777777" w:rsidR="001E18BB" w:rsidRPr="00E04B2A" w:rsidRDefault="00E453CD" w:rsidP="001E18BB">
            <w:pPr>
              <w:textAlignment w:val="baseline"/>
              <w:rPr>
                <w:sz w:val="22"/>
              </w:rPr>
            </w:pPr>
            <w:r w:rsidRPr="00F47FD5">
              <w:rPr>
                <w:sz w:val="22"/>
              </w:rPr>
              <w:t>Kortikosteroidfri remisjon</w:t>
            </w:r>
            <w:r w:rsidRPr="00E04B2A">
              <w:rPr>
                <w:sz w:val="22"/>
              </w:rPr>
              <w:t xml:space="preserve"> hos uke 8 PMS-respondere</w:t>
            </w:r>
            <w:r w:rsidRPr="00975795">
              <w:rPr>
                <w:szCs w:val="22"/>
                <w:vertAlign w:val="superscript"/>
                <w:lang w:eastAsia="en-GB"/>
              </w:rPr>
              <w:t>c</w:t>
            </w:r>
            <w:r w:rsidRPr="00E04B2A">
              <w:rPr>
                <w:sz w:val="22"/>
              </w:rPr>
              <w:t> </w:t>
            </w:r>
          </w:p>
        </w:tc>
        <w:tc>
          <w:tcPr>
            <w:tcW w:w="2249" w:type="dxa"/>
            <w:tcBorders>
              <w:top w:val="nil"/>
              <w:left w:val="nil"/>
              <w:bottom w:val="single" w:sz="6" w:space="0" w:color="auto"/>
              <w:right w:val="single" w:sz="6" w:space="0" w:color="auto"/>
            </w:tcBorders>
            <w:vAlign w:val="center"/>
            <w:hideMark/>
          </w:tcPr>
          <w:p w14:paraId="4A3E698F" w14:textId="77777777" w:rsidR="001E18BB" w:rsidRPr="00E04B2A" w:rsidRDefault="00E453CD" w:rsidP="001E18BB">
            <w:pPr>
              <w:jc w:val="center"/>
              <w:textAlignment w:val="baseline"/>
              <w:rPr>
                <w:sz w:val="22"/>
              </w:rPr>
            </w:pPr>
            <w:r w:rsidRPr="00E04B2A">
              <w:rPr>
                <w:sz w:val="22"/>
              </w:rPr>
              <w:t>4/13 (30,8</w:t>
            </w:r>
            <w:r>
              <w:rPr>
                <w:sz w:val="22"/>
              </w:rPr>
              <w:t> </w:t>
            </w:r>
            <w:r w:rsidRPr="00E04B2A">
              <w:rPr>
                <w:sz w:val="22"/>
              </w:rPr>
              <w:t>%) </w:t>
            </w:r>
          </w:p>
        </w:tc>
        <w:tc>
          <w:tcPr>
            <w:tcW w:w="2633" w:type="dxa"/>
            <w:tcBorders>
              <w:top w:val="nil"/>
              <w:left w:val="nil"/>
              <w:bottom w:val="single" w:sz="6" w:space="0" w:color="auto"/>
              <w:right w:val="single" w:sz="6" w:space="0" w:color="auto"/>
            </w:tcBorders>
            <w:vAlign w:val="center"/>
            <w:hideMark/>
          </w:tcPr>
          <w:p w14:paraId="57646A64" w14:textId="77777777" w:rsidR="001E18BB" w:rsidRPr="00E04B2A" w:rsidRDefault="00E453CD" w:rsidP="001E18BB">
            <w:pPr>
              <w:jc w:val="center"/>
              <w:textAlignment w:val="baseline"/>
              <w:rPr>
                <w:sz w:val="22"/>
              </w:rPr>
            </w:pPr>
            <w:r w:rsidRPr="00E04B2A">
              <w:rPr>
                <w:sz w:val="22"/>
              </w:rPr>
              <w:t>5/16 (31,3</w:t>
            </w:r>
            <w:r>
              <w:rPr>
                <w:sz w:val="22"/>
              </w:rPr>
              <w:t> </w:t>
            </w:r>
            <w:r w:rsidRPr="00E04B2A">
              <w:rPr>
                <w:sz w:val="22"/>
              </w:rPr>
              <w:t>%) </w:t>
            </w:r>
          </w:p>
        </w:tc>
      </w:tr>
      <w:tr w:rsidR="004644D4" w14:paraId="675FC32D" w14:textId="77777777" w:rsidTr="001C4BD6">
        <w:trPr>
          <w:jc w:val="center"/>
        </w:trPr>
        <w:tc>
          <w:tcPr>
            <w:tcW w:w="9002" w:type="dxa"/>
            <w:gridSpan w:val="3"/>
            <w:tcBorders>
              <w:top w:val="nil"/>
              <w:left w:val="single" w:sz="6" w:space="0" w:color="auto"/>
              <w:bottom w:val="single" w:sz="6" w:space="0" w:color="auto"/>
              <w:right w:val="single" w:sz="6" w:space="0" w:color="auto"/>
            </w:tcBorders>
            <w:hideMark/>
          </w:tcPr>
          <w:p w14:paraId="6BE7DCF9" w14:textId="77777777" w:rsidR="001E18BB" w:rsidRPr="00E04B2A" w:rsidRDefault="00E453CD" w:rsidP="001E18BB">
            <w:pPr>
              <w:textAlignment w:val="baseline"/>
              <w:rPr>
                <w:sz w:val="22"/>
              </w:rPr>
            </w:pPr>
            <w:r w:rsidRPr="00E04B2A">
              <w:rPr>
                <w:sz w:val="22"/>
                <w:vertAlign w:val="superscript"/>
              </w:rPr>
              <w:t>a</w:t>
            </w:r>
            <w:r w:rsidRPr="00E04B2A">
              <w:rPr>
                <w:sz w:val="22"/>
              </w:rPr>
              <w:t>Humira 0,6</w:t>
            </w:r>
            <w:r>
              <w:rPr>
                <w:sz w:val="22"/>
              </w:rPr>
              <w:t> </w:t>
            </w:r>
            <w:r w:rsidRPr="00E04B2A">
              <w:rPr>
                <w:sz w:val="22"/>
              </w:rPr>
              <w:t>mg/kg (maksimalt 40</w:t>
            </w:r>
            <w:r>
              <w:rPr>
                <w:sz w:val="22"/>
              </w:rPr>
              <w:t> </w:t>
            </w:r>
            <w:r w:rsidRPr="00E04B2A">
              <w:rPr>
                <w:sz w:val="22"/>
              </w:rPr>
              <w:t>mg) annenhver uke </w:t>
            </w:r>
          </w:p>
          <w:p w14:paraId="3915250F" w14:textId="77777777" w:rsidR="001E18BB" w:rsidRPr="00E04B2A" w:rsidRDefault="00E453CD" w:rsidP="001E18BB">
            <w:pPr>
              <w:textAlignment w:val="baseline"/>
              <w:rPr>
                <w:sz w:val="22"/>
              </w:rPr>
            </w:pPr>
            <w:r w:rsidRPr="00E04B2A">
              <w:rPr>
                <w:sz w:val="22"/>
                <w:vertAlign w:val="superscript"/>
              </w:rPr>
              <w:t>b</w:t>
            </w:r>
            <w:r w:rsidRPr="00E04B2A">
              <w:rPr>
                <w:sz w:val="22"/>
              </w:rPr>
              <w:t>Humira 0,6</w:t>
            </w:r>
            <w:r>
              <w:rPr>
                <w:sz w:val="22"/>
              </w:rPr>
              <w:t> </w:t>
            </w:r>
            <w:r w:rsidRPr="00E04B2A">
              <w:rPr>
                <w:sz w:val="22"/>
              </w:rPr>
              <w:t>mg/kg (maksimalt 40</w:t>
            </w:r>
            <w:r>
              <w:rPr>
                <w:sz w:val="22"/>
              </w:rPr>
              <w:t> </w:t>
            </w:r>
            <w:r w:rsidRPr="00E04B2A">
              <w:rPr>
                <w:sz w:val="22"/>
              </w:rPr>
              <w:t>mg) hver uke </w:t>
            </w:r>
          </w:p>
          <w:p w14:paraId="7B3B79CD" w14:textId="77777777" w:rsidR="001E18BB" w:rsidRPr="00E04B2A" w:rsidRDefault="00E453CD" w:rsidP="001E18BB">
            <w:pPr>
              <w:textAlignment w:val="baseline"/>
              <w:rPr>
                <w:sz w:val="22"/>
              </w:rPr>
            </w:pPr>
            <w:r w:rsidRPr="00E04B2A">
              <w:rPr>
                <w:sz w:val="22"/>
                <w:vertAlign w:val="superscript"/>
              </w:rPr>
              <w:t>c</w:t>
            </w:r>
            <w:r w:rsidRPr="00E04B2A">
              <w:rPr>
                <w:sz w:val="22"/>
              </w:rPr>
              <w:t>Hos pasienter som samtidig fikk kortikosteroider ved baseline </w:t>
            </w:r>
          </w:p>
          <w:p w14:paraId="33BCA702" w14:textId="77777777" w:rsidR="001E18BB" w:rsidRPr="00E04B2A" w:rsidRDefault="00E453CD" w:rsidP="001E18BB">
            <w:pPr>
              <w:textAlignment w:val="baseline"/>
              <w:rPr>
                <w:sz w:val="22"/>
              </w:rPr>
            </w:pPr>
            <w:r w:rsidRPr="00E04B2A">
              <w:rPr>
                <w:sz w:val="22"/>
              </w:rPr>
              <w:t xml:space="preserve">Merknad: Pasienter med manglende verdier </w:t>
            </w:r>
            <w:r>
              <w:rPr>
                <w:sz w:val="22"/>
              </w:rPr>
              <w:t>ved</w:t>
            </w:r>
            <w:r w:rsidRPr="00E04B2A">
              <w:rPr>
                <w:sz w:val="22"/>
              </w:rPr>
              <w:t xml:space="preserve"> uke 52 eller som ble randomisert til å få gjentatt induksjons- eller vedlikeholdsbehandling ble ansett som ikke-responderende for endepunktene </w:t>
            </w:r>
            <w:r>
              <w:rPr>
                <w:sz w:val="22"/>
              </w:rPr>
              <w:t>ved</w:t>
            </w:r>
            <w:r w:rsidRPr="00E04B2A">
              <w:rPr>
                <w:sz w:val="22"/>
              </w:rPr>
              <w:t xml:space="preserve"> uke 52 </w:t>
            </w:r>
          </w:p>
        </w:tc>
      </w:tr>
    </w:tbl>
    <w:p w14:paraId="5FCF922D" w14:textId="77777777" w:rsidR="001E18BB" w:rsidRPr="00E04B2A" w:rsidRDefault="001E18BB" w:rsidP="001E18BB">
      <w:pPr>
        <w:rPr>
          <w:sz w:val="22"/>
        </w:rPr>
      </w:pPr>
    </w:p>
    <w:p w14:paraId="3927B9B7" w14:textId="77777777" w:rsidR="001E18BB" w:rsidRPr="00975795" w:rsidRDefault="00E453CD" w:rsidP="001E18BB">
      <w:pPr>
        <w:rPr>
          <w:sz w:val="22"/>
          <w:szCs w:val="22"/>
        </w:rPr>
      </w:pPr>
      <w:r w:rsidRPr="00047F3C">
        <w:rPr>
          <w:sz w:val="22"/>
          <w:szCs w:val="22"/>
        </w:rPr>
        <w:t xml:space="preserve">Andre effektendepunkter inkluderte klinisk respons </w:t>
      </w:r>
      <w:r w:rsidRPr="00975795">
        <w:rPr>
          <w:sz w:val="22"/>
          <w:szCs w:val="22"/>
        </w:rPr>
        <w:t>iht. Paediatric Ulcerative Colitis Activity Index (PUCAI) (definert som en reduksjon i PUCAI ≥ 20 poeng fra baseline) og klinisk remisjon iht. PUCAI (definert som PUCAI &lt; 10) ved uke 8 og uke 52 (tabell 2</w:t>
      </w:r>
      <w:r w:rsidR="00DF4E4A">
        <w:rPr>
          <w:sz w:val="22"/>
          <w:szCs w:val="22"/>
        </w:rPr>
        <w:t>3</w:t>
      </w:r>
      <w:r w:rsidRPr="00975795">
        <w:rPr>
          <w:sz w:val="22"/>
          <w:szCs w:val="22"/>
        </w:rPr>
        <w:t xml:space="preserve">). </w:t>
      </w:r>
    </w:p>
    <w:p w14:paraId="440C7480" w14:textId="77777777" w:rsidR="001E18BB" w:rsidRPr="00E04B2A" w:rsidRDefault="001E18BB" w:rsidP="001E18BB">
      <w:pPr>
        <w:rPr>
          <w:sz w:val="22"/>
        </w:rPr>
      </w:pPr>
    </w:p>
    <w:tbl>
      <w:tblPr>
        <w:tblW w:w="8971" w:type="dxa"/>
        <w:jc w:val="center"/>
        <w:tblCellMar>
          <w:left w:w="0" w:type="dxa"/>
          <w:right w:w="0" w:type="dxa"/>
        </w:tblCellMar>
        <w:tblLook w:val="04A0" w:firstRow="1" w:lastRow="0" w:firstColumn="1" w:lastColumn="0" w:noHBand="0" w:noVBand="1"/>
      </w:tblPr>
      <w:tblGrid>
        <w:gridCol w:w="3643"/>
        <w:gridCol w:w="2898"/>
        <w:gridCol w:w="2430"/>
      </w:tblGrid>
      <w:tr w:rsidR="004644D4" w14:paraId="63D34634" w14:textId="77777777" w:rsidTr="001C4BD6">
        <w:trPr>
          <w:trHeight w:val="60"/>
          <w:jc w:val="center"/>
        </w:trPr>
        <w:tc>
          <w:tcPr>
            <w:tcW w:w="8971" w:type="dxa"/>
            <w:gridSpan w:val="3"/>
            <w:tcMar>
              <w:top w:w="0" w:type="dxa"/>
              <w:left w:w="108" w:type="dxa"/>
              <w:bottom w:w="0" w:type="dxa"/>
              <w:right w:w="108" w:type="dxa"/>
            </w:tcMar>
            <w:hideMark/>
          </w:tcPr>
          <w:p w14:paraId="2CDE363B" w14:textId="77777777" w:rsidR="001E18BB" w:rsidRPr="00E04B2A" w:rsidRDefault="00E453CD" w:rsidP="001E18BB">
            <w:pPr>
              <w:jc w:val="center"/>
              <w:rPr>
                <w:b/>
                <w:bCs/>
                <w:sz w:val="22"/>
              </w:rPr>
            </w:pPr>
            <w:r w:rsidRPr="00E04B2A">
              <w:rPr>
                <w:b/>
                <w:sz w:val="22"/>
              </w:rPr>
              <w:t>Tabell 2</w:t>
            </w:r>
            <w:r w:rsidR="00DF4E4A">
              <w:rPr>
                <w:b/>
                <w:sz w:val="22"/>
              </w:rPr>
              <w:t>3</w:t>
            </w:r>
            <w:r w:rsidRPr="00E04B2A">
              <w:rPr>
                <w:b/>
                <w:sz w:val="22"/>
              </w:rPr>
              <w:t xml:space="preserve">: </w:t>
            </w:r>
            <w:r>
              <w:rPr>
                <w:b/>
                <w:sz w:val="22"/>
              </w:rPr>
              <w:t>E</w:t>
            </w:r>
            <w:r w:rsidRPr="00E04B2A">
              <w:rPr>
                <w:b/>
                <w:sz w:val="22"/>
              </w:rPr>
              <w:t>ndepunktresultater iht. PUCAI</w:t>
            </w:r>
          </w:p>
        </w:tc>
      </w:tr>
      <w:tr w:rsidR="004644D4" w14:paraId="6EDC8F6E" w14:textId="77777777" w:rsidTr="001C4BD6">
        <w:trPr>
          <w:trHeight w:val="265"/>
          <w:jc w:val="center"/>
        </w:trPr>
        <w:tc>
          <w:tcPr>
            <w:tcW w:w="3643"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3B3931C0" w14:textId="77777777" w:rsidR="001E18BB" w:rsidRPr="00E04B2A" w:rsidRDefault="001E18BB" w:rsidP="001E18BB">
            <w:pPr>
              <w:rPr>
                <w:sz w:val="22"/>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366C11" w14:textId="77777777" w:rsidR="001E18BB" w:rsidRPr="00E04B2A" w:rsidRDefault="00E453CD" w:rsidP="001E18BB">
            <w:pPr>
              <w:jc w:val="center"/>
              <w:rPr>
                <w:b/>
                <w:bCs/>
                <w:sz w:val="22"/>
              </w:rPr>
            </w:pPr>
            <w:r w:rsidRPr="00E04B2A">
              <w:rPr>
                <w:b/>
                <w:sz w:val="22"/>
              </w:rPr>
              <w:t>Uke 8</w:t>
            </w:r>
          </w:p>
        </w:tc>
      </w:tr>
      <w:tr w:rsidR="004644D4" w14:paraId="7B0EEB89" w14:textId="77777777" w:rsidTr="001C4BD6">
        <w:trPr>
          <w:trHeight w:val="1042"/>
          <w:jc w:val="center"/>
        </w:trPr>
        <w:tc>
          <w:tcPr>
            <w:tcW w:w="3643" w:type="dxa"/>
            <w:vMerge/>
            <w:tcBorders>
              <w:top w:val="single" w:sz="4" w:space="0" w:color="auto"/>
              <w:left w:val="single" w:sz="8" w:space="0" w:color="auto"/>
              <w:bottom w:val="single" w:sz="8" w:space="0" w:color="auto"/>
              <w:right w:val="single" w:sz="4" w:space="0" w:color="auto"/>
            </w:tcBorders>
            <w:vAlign w:val="center"/>
            <w:hideMark/>
          </w:tcPr>
          <w:p w14:paraId="1E776533" w14:textId="77777777" w:rsidR="001E18BB" w:rsidRPr="00E04B2A" w:rsidRDefault="001E18BB" w:rsidP="001E18BB">
            <w:pPr>
              <w:rPr>
                <w:sz w:val="22"/>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722147" w14:textId="77777777" w:rsidR="001E18BB" w:rsidRPr="00E04B2A" w:rsidRDefault="00E453CD" w:rsidP="001E18BB">
            <w:pPr>
              <w:jc w:val="center"/>
              <w:rPr>
                <w:b/>
                <w:bCs/>
                <w:sz w:val="22"/>
                <w:vertAlign w:val="superscript"/>
              </w:rPr>
            </w:pPr>
            <w:r w:rsidRPr="00E04B2A">
              <w:rPr>
                <w:b/>
                <w:sz w:val="22"/>
              </w:rPr>
              <w:t>Humira</w:t>
            </w:r>
            <w:r w:rsidRPr="00E04B2A">
              <w:rPr>
                <w:b/>
                <w:sz w:val="22"/>
                <w:vertAlign w:val="superscript"/>
              </w:rPr>
              <w:t>a</w:t>
            </w:r>
          </w:p>
          <w:p w14:paraId="66739322" w14:textId="77777777" w:rsidR="001E18BB" w:rsidRPr="00E04B2A" w:rsidRDefault="00E453CD" w:rsidP="001E18BB">
            <w:pPr>
              <w:jc w:val="center"/>
              <w:rPr>
                <w:b/>
                <w:bCs/>
                <w:sz w:val="22"/>
              </w:rPr>
            </w:pPr>
            <w:r>
              <w:rPr>
                <w:b/>
                <w:sz w:val="22"/>
              </w:rPr>
              <w:t>Maksimalt</w:t>
            </w:r>
            <w:r w:rsidRPr="00E04B2A">
              <w:rPr>
                <w:b/>
                <w:sz w:val="22"/>
              </w:rPr>
              <w:t xml:space="preserve"> 160</w:t>
            </w:r>
            <w:r>
              <w:rPr>
                <w:b/>
                <w:sz w:val="22"/>
              </w:rPr>
              <w:t> </w:t>
            </w:r>
            <w:r w:rsidRPr="00E04B2A">
              <w:rPr>
                <w:b/>
                <w:sz w:val="22"/>
              </w:rPr>
              <w:t xml:space="preserve">mg </w:t>
            </w:r>
            <w:r w:rsidRPr="001D5C5A">
              <w:rPr>
                <w:b/>
                <w:sz w:val="22"/>
              </w:rPr>
              <w:t>v</w:t>
            </w:r>
            <w:r w:rsidRPr="00975795">
              <w:rPr>
                <w:b/>
                <w:sz w:val="22"/>
                <w:szCs w:val="22"/>
              </w:rPr>
              <w:t>ed</w:t>
            </w:r>
            <w:r w:rsidRPr="00E04B2A">
              <w:rPr>
                <w:b/>
                <w:sz w:val="22"/>
              </w:rPr>
              <w:t xml:space="preserve"> uke 0/placebo</w:t>
            </w:r>
            <w:r>
              <w:rPr>
                <w:b/>
                <w:sz w:val="22"/>
              </w:rPr>
              <w:t xml:space="preserve"> ved</w:t>
            </w:r>
            <w:r w:rsidRPr="00E04B2A">
              <w:rPr>
                <w:b/>
                <w:sz w:val="22"/>
              </w:rPr>
              <w:t xml:space="preserve"> uke 1</w:t>
            </w:r>
          </w:p>
          <w:p w14:paraId="7AE0603B" w14:textId="77777777" w:rsidR="001E18BB" w:rsidRPr="00E04B2A" w:rsidRDefault="00E453CD" w:rsidP="001E18BB">
            <w:pPr>
              <w:jc w:val="center"/>
              <w:rPr>
                <w:sz w:val="22"/>
              </w:rPr>
            </w:pPr>
            <w:r w:rsidRPr="00E04B2A">
              <w:rPr>
                <w:sz w:val="22"/>
              </w:rP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D8B252" w14:textId="77777777" w:rsidR="001E18BB" w:rsidRPr="00E04B2A" w:rsidRDefault="00E453CD" w:rsidP="001E18BB">
            <w:pPr>
              <w:jc w:val="center"/>
              <w:rPr>
                <w:b/>
                <w:bCs/>
                <w:sz w:val="22"/>
                <w:vertAlign w:val="superscript"/>
              </w:rPr>
            </w:pPr>
            <w:r w:rsidRPr="00E04B2A">
              <w:rPr>
                <w:b/>
                <w:sz w:val="22"/>
              </w:rPr>
              <w:t>Humira</w:t>
            </w:r>
            <w:r w:rsidRPr="00E04B2A">
              <w:rPr>
                <w:b/>
                <w:sz w:val="22"/>
                <w:vertAlign w:val="superscript"/>
              </w:rPr>
              <w:t>b,c</w:t>
            </w:r>
          </w:p>
          <w:p w14:paraId="703DA311" w14:textId="77777777" w:rsidR="001E18BB" w:rsidRPr="00E04B2A" w:rsidRDefault="00E453CD" w:rsidP="001E18BB">
            <w:pPr>
              <w:jc w:val="center"/>
              <w:rPr>
                <w:b/>
                <w:bCs/>
                <w:sz w:val="22"/>
              </w:rPr>
            </w:pPr>
            <w:r>
              <w:rPr>
                <w:b/>
                <w:sz w:val="22"/>
              </w:rPr>
              <w:t>Maksimalt</w:t>
            </w:r>
            <w:r w:rsidRPr="00E04B2A">
              <w:rPr>
                <w:b/>
                <w:sz w:val="22"/>
              </w:rPr>
              <w:t xml:space="preserve"> 160</w:t>
            </w:r>
            <w:r>
              <w:rPr>
                <w:b/>
                <w:sz w:val="22"/>
              </w:rPr>
              <w:t> </w:t>
            </w:r>
            <w:r w:rsidRPr="00E04B2A">
              <w:rPr>
                <w:b/>
                <w:sz w:val="22"/>
              </w:rPr>
              <w:t xml:space="preserve">mg </w:t>
            </w:r>
            <w:r>
              <w:rPr>
                <w:b/>
                <w:sz w:val="22"/>
              </w:rPr>
              <w:t>ved</w:t>
            </w:r>
            <w:r w:rsidRPr="00E04B2A">
              <w:rPr>
                <w:b/>
                <w:sz w:val="22"/>
              </w:rPr>
              <w:t xml:space="preserve"> uke 0 og uke 1</w:t>
            </w:r>
          </w:p>
          <w:p w14:paraId="07A5B49F" w14:textId="77777777" w:rsidR="001E18BB" w:rsidRPr="00E04B2A" w:rsidRDefault="00E453CD" w:rsidP="001E18BB">
            <w:pPr>
              <w:jc w:val="center"/>
              <w:rPr>
                <w:sz w:val="22"/>
              </w:rPr>
            </w:pPr>
            <w:r w:rsidRPr="00E04B2A">
              <w:rPr>
                <w:sz w:val="22"/>
              </w:rPr>
              <w:t>N = 47</w:t>
            </w:r>
          </w:p>
        </w:tc>
      </w:tr>
      <w:tr w:rsidR="004644D4" w14:paraId="4D5817C1" w14:textId="77777777" w:rsidTr="001C4BD6">
        <w:trPr>
          <w:trHeight w:val="202"/>
          <w:jc w:val="center"/>
        </w:trPr>
        <w:tc>
          <w:tcPr>
            <w:tcW w:w="3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ED452" w14:textId="77777777" w:rsidR="001E18BB" w:rsidRPr="00E04B2A" w:rsidRDefault="00E453CD" w:rsidP="001E18BB">
            <w:pPr>
              <w:rPr>
                <w:sz w:val="22"/>
              </w:rPr>
            </w:pPr>
            <w:r w:rsidRPr="00E04B2A">
              <w:rPr>
                <w:sz w:val="22"/>
              </w:rPr>
              <w:t>Klinisk remisjon iht.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64D3F07B" w14:textId="77777777" w:rsidR="001E18BB" w:rsidRPr="00E04B2A" w:rsidRDefault="00E453CD" w:rsidP="001E18BB">
            <w:pPr>
              <w:jc w:val="center"/>
              <w:rPr>
                <w:sz w:val="22"/>
              </w:rPr>
            </w:pPr>
            <w:r w:rsidRPr="00E04B2A">
              <w:rPr>
                <w:sz w:val="22"/>
              </w:rPr>
              <w:t>10/30 (33,3</w:t>
            </w:r>
            <w:r>
              <w:rPr>
                <w:sz w:val="22"/>
              </w:rPr>
              <w:t> </w:t>
            </w:r>
            <w:r w:rsidRPr="00E04B2A">
              <w:rPr>
                <w:sz w:val="22"/>
              </w:rPr>
              <w:t>%)</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1BD7C58" w14:textId="77777777" w:rsidR="001E18BB" w:rsidRPr="00E04B2A" w:rsidRDefault="00E453CD" w:rsidP="001E18BB">
            <w:pPr>
              <w:jc w:val="center"/>
              <w:rPr>
                <w:sz w:val="22"/>
              </w:rPr>
            </w:pPr>
            <w:r w:rsidRPr="00E04B2A">
              <w:rPr>
                <w:sz w:val="22"/>
              </w:rPr>
              <w:t>22/47 (46,8</w:t>
            </w:r>
            <w:r>
              <w:rPr>
                <w:sz w:val="22"/>
              </w:rPr>
              <w:t> </w:t>
            </w:r>
            <w:r w:rsidRPr="00E04B2A">
              <w:rPr>
                <w:sz w:val="22"/>
              </w:rPr>
              <w:t>%)</w:t>
            </w:r>
          </w:p>
        </w:tc>
      </w:tr>
      <w:tr w:rsidR="004644D4" w14:paraId="6BBA4549" w14:textId="77777777" w:rsidTr="001C4BD6">
        <w:trPr>
          <w:trHeight w:val="238"/>
          <w:jc w:val="center"/>
        </w:trPr>
        <w:tc>
          <w:tcPr>
            <w:tcW w:w="36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7943482" w14:textId="77777777" w:rsidR="001E18BB" w:rsidRPr="00E04B2A" w:rsidRDefault="00E453CD" w:rsidP="001E18BB">
            <w:pPr>
              <w:rPr>
                <w:sz w:val="22"/>
              </w:rPr>
            </w:pPr>
            <w:r w:rsidRPr="00E04B2A">
              <w:rPr>
                <w:sz w:val="22"/>
              </w:rPr>
              <w:t>Klinisk respons iht.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BAF4090" w14:textId="77777777" w:rsidR="001E18BB" w:rsidRPr="00E04B2A" w:rsidRDefault="00E453CD" w:rsidP="001E18BB">
            <w:pPr>
              <w:jc w:val="center"/>
              <w:rPr>
                <w:sz w:val="22"/>
              </w:rPr>
            </w:pPr>
            <w:r w:rsidRPr="00E04B2A">
              <w:rPr>
                <w:sz w:val="22"/>
              </w:rPr>
              <w:t>15/30 (50,0</w:t>
            </w:r>
            <w:r>
              <w:rPr>
                <w:sz w:val="22"/>
              </w:rPr>
              <w:t> </w:t>
            </w:r>
            <w:r w:rsidRPr="00E04B2A">
              <w:rPr>
                <w:sz w:val="22"/>
              </w:rPr>
              <w:t>%)</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D4C85EB" w14:textId="77777777" w:rsidR="001E18BB" w:rsidRPr="00E04B2A" w:rsidRDefault="00E453CD" w:rsidP="001E18BB">
            <w:pPr>
              <w:jc w:val="center"/>
              <w:rPr>
                <w:sz w:val="22"/>
              </w:rPr>
            </w:pPr>
            <w:r w:rsidRPr="00E04B2A">
              <w:rPr>
                <w:sz w:val="22"/>
              </w:rPr>
              <w:t>32/47 (68,1</w:t>
            </w:r>
            <w:r>
              <w:rPr>
                <w:sz w:val="22"/>
              </w:rPr>
              <w:t> </w:t>
            </w:r>
            <w:r w:rsidRPr="00E04B2A">
              <w:rPr>
                <w:sz w:val="22"/>
              </w:rPr>
              <w:t>%)</w:t>
            </w:r>
          </w:p>
        </w:tc>
      </w:tr>
      <w:tr w:rsidR="004644D4" w14:paraId="0EFC6864" w14:textId="77777777" w:rsidTr="001C4BD6">
        <w:trPr>
          <w:trHeight w:val="238"/>
          <w:jc w:val="center"/>
        </w:trPr>
        <w:tc>
          <w:tcPr>
            <w:tcW w:w="3643"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6400F535" w14:textId="77777777" w:rsidR="001E18BB" w:rsidRPr="00E04B2A" w:rsidRDefault="001E18BB" w:rsidP="001E18BB">
            <w:pPr>
              <w:rPr>
                <w:sz w:val="22"/>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3CBDD7B" w14:textId="77777777" w:rsidR="001E18BB" w:rsidRPr="00E04B2A" w:rsidRDefault="00E453CD" w:rsidP="001E18BB">
            <w:pPr>
              <w:jc w:val="center"/>
              <w:rPr>
                <w:b/>
                <w:bCs/>
                <w:sz w:val="22"/>
              </w:rPr>
            </w:pPr>
            <w:r w:rsidRPr="00E04B2A">
              <w:rPr>
                <w:b/>
                <w:sz w:val="22"/>
              </w:rPr>
              <w:t>Uke 52</w:t>
            </w:r>
          </w:p>
        </w:tc>
      </w:tr>
      <w:tr w:rsidR="004644D4" w14:paraId="4ABD721B" w14:textId="77777777" w:rsidTr="001C4BD6">
        <w:trPr>
          <w:trHeight w:val="238"/>
          <w:jc w:val="center"/>
        </w:trPr>
        <w:tc>
          <w:tcPr>
            <w:tcW w:w="3643" w:type="dxa"/>
            <w:vMerge/>
            <w:tcBorders>
              <w:top w:val="nil"/>
              <w:left w:val="single" w:sz="8" w:space="0" w:color="auto"/>
              <w:bottom w:val="single" w:sz="4" w:space="0" w:color="auto"/>
              <w:right w:val="single" w:sz="8" w:space="0" w:color="auto"/>
            </w:tcBorders>
            <w:vAlign w:val="center"/>
            <w:hideMark/>
          </w:tcPr>
          <w:p w14:paraId="043D7A5B" w14:textId="77777777" w:rsidR="001E18BB" w:rsidRPr="00E04B2A" w:rsidRDefault="001E18BB" w:rsidP="001E18BB">
            <w:pPr>
              <w:rPr>
                <w:sz w:val="22"/>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58BA71C" w14:textId="77777777" w:rsidR="001E18BB" w:rsidRPr="00E04B2A" w:rsidRDefault="00E453CD" w:rsidP="001E18BB">
            <w:pPr>
              <w:jc w:val="center"/>
              <w:rPr>
                <w:b/>
                <w:bCs/>
                <w:sz w:val="22"/>
                <w:vertAlign w:val="superscript"/>
              </w:rPr>
            </w:pPr>
            <w:r w:rsidRPr="00E04B2A">
              <w:rPr>
                <w:b/>
                <w:sz w:val="22"/>
              </w:rPr>
              <w:t>Humira</w:t>
            </w:r>
            <w:r w:rsidRPr="00E04B2A">
              <w:rPr>
                <w:b/>
                <w:sz w:val="22"/>
                <w:vertAlign w:val="superscript"/>
              </w:rPr>
              <w:t>d</w:t>
            </w:r>
          </w:p>
          <w:p w14:paraId="1996C3E7" w14:textId="77777777" w:rsidR="001E18BB" w:rsidRPr="00E04B2A" w:rsidRDefault="00E453CD" w:rsidP="001E18BB">
            <w:pPr>
              <w:jc w:val="center"/>
              <w:rPr>
                <w:b/>
                <w:bCs/>
                <w:sz w:val="22"/>
              </w:rPr>
            </w:pPr>
            <w:r w:rsidRPr="00E04B2A">
              <w:rPr>
                <w:b/>
                <w:sz w:val="22"/>
              </w:rPr>
              <w:t>Maksimalt 40</w:t>
            </w:r>
            <w:r>
              <w:rPr>
                <w:b/>
                <w:sz w:val="22"/>
              </w:rPr>
              <w:t> </w:t>
            </w:r>
            <w:r w:rsidRPr="00E04B2A">
              <w:rPr>
                <w:b/>
                <w:sz w:val="22"/>
              </w:rPr>
              <w:t xml:space="preserve">mg </w:t>
            </w:r>
            <w:r>
              <w:rPr>
                <w:b/>
                <w:sz w:val="22"/>
              </w:rPr>
              <w:t>annenhver uke</w:t>
            </w:r>
          </w:p>
          <w:p w14:paraId="47E62984" w14:textId="77777777" w:rsidR="001E18BB" w:rsidRPr="00E04B2A" w:rsidRDefault="00E453CD" w:rsidP="001E18BB">
            <w:pPr>
              <w:jc w:val="center"/>
              <w:rPr>
                <w:sz w:val="22"/>
              </w:rPr>
            </w:pPr>
            <w:r w:rsidRPr="00E04B2A">
              <w:rPr>
                <w:sz w:val="22"/>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3D39A6C" w14:textId="77777777" w:rsidR="001E18BB" w:rsidRPr="00E04B2A" w:rsidRDefault="00E453CD" w:rsidP="001E18BB">
            <w:pPr>
              <w:jc w:val="center"/>
              <w:rPr>
                <w:b/>
                <w:bCs/>
                <w:sz w:val="22"/>
                <w:vertAlign w:val="superscript"/>
              </w:rPr>
            </w:pPr>
            <w:r w:rsidRPr="00E04B2A">
              <w:rPr>
                <w:b/>
                <w:sz w:val="22"/>
              </w:rPr>
              <w:t>Humira</w:t>
            </w:r>
            <w:r w:rsidRPr="00E04B2A">
              <w:rPr>
                <w:b/>
                <w:sz w:val="22"/>
                <w:vertAlign w:val="superscript"/>
              </w:rPr>
              <w:t>e</w:t>
            </w:r>
          </w:p>
          <w:p w14:paraId="47D80989" w14:textId="77777777" w:rsidR="001E18BB" w:rsidRDefault="00E453CD" w:rsidP="001E18BB">
            <w:pPr>
              <w:jc w:val="center"/>
              <w:rPr>
                <w:b/>
                <w:sz w:val="22"/>
              </w:rPr>
            </w:pPr>
            <w:r w:rsidRPr="00E04B2A">
              <w:rPr>
                <w:b/>
                <w:sz w:val="22"/>
              </w:rPr>
              <w:t>Maksimalt 40</w:t>
            </w:r>
            <w:r>
              <w:rPr>
                <w:b/>
                <w:sz w:val="22"/>
              </w:rPr>
              <w:t> </w:t>
            </w:r>
            <w:r w:rsidRPr="00E04B2A">
              <w:rPr>
                <w:b/>
                <w:sz w:val="22"/>
              </w:rPr>
              <w:t>mg</w:t>
            </w:r>
            <w:r>
              <w:rPr>
                <w:b/>
                <w:sz w:val="22"/>
              </w:rPr>
              <w:t xml:space="preserve"> </w:t>
            </w:r>
          </w:p>
          <w:p w14:paraId="45F2A09D" w14:textId="77777777" w:rsidR="001E18BB" w:rsidRPr="00E04B2A" w:rsidRDefault="00E453CD" w:rsidP="001E18BB">
            <w:pPr>
              <w:jc w:val="center"/>
              <w:rPr>
                <w:b/>
                <w:bCs/>
                <w:sz w:val="22"/>
              </w:rPr>
            </w:pPr>
            <w:r>
              <w:rPr>
                <w:b/>
                <w:sz w:val="22"/>
              </w:rPr>
              <w:t>hver uke</w:t>
            </w:r>
          </w:p>
          <w:p w14:paraId="08088AB2" w14:textId="77777777" w:rsidR="001E18BB" w:rsidRPr="00E04B2A" w:rsidRDefault="00E453CD" w:rsidP="001E18BB">
            <w:pPr>
              <w:jc w:val="center"/>
              <w:rPr>
                <w:sz w:val="22"/>
              </w:rPr>
            </w:pPr>
            <w:r w:rsidRPr="00E04B2A">
              <w:rPr>
                <w:sz w:val="22"/>
              </w:rPr>
              <w:t>N = 31</w:t>
            </w:r>
          </w:p>
        </w:tc>
      </w:tr>
      <w:tr w:rsidR="004644D4" w14:paraId="10740120" w14:textId="77777777" w:rsidTr="001C4BD6">
        <w:trPr>
          <w:trHeight w:val="238"/>
          <w:jc w:val="center"/>
        </w:trPr>
        <w:tc>
          <w:tcPr>
            <w:tcW w:w="36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0CF4C6D" w14:textId="77777777" w:rsidR="001E18BB" w:rsidRPr="00E04B2A" w:rsidRDefault="00E453CD" w:rsidP="001E18BB">
            <w:pPr>
              <w:rPr>
                <w:sz w:val="22"/>
              </w:rPr>
            </w:pPr>
            <w:r w:rsidRPr="00E04B2A">
              <w:rPr>
                <w:sz w:val="22"/>
              </w:rPr>
              <w:t>Klinisk remisjon iht. PUCAI hos uke 8 PMS-respondere</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BB3CA8B" w14:textId="77777777" w:rsidR="001E18BB" w:rsidRPr="00E04B2A" w:rsidRDefault="00E453CD" w:rsidP="001E18BB">
            <w:pPr>
              <w:jc w:val="center"/>
              <w:rPr>
                <w:sz w:val="22"/>
              </w:rPr>
            </w:pPr>
            <w:r w:rsidRPr="00E04B2A">
              <w:rPr>
                <w:sz w:val="22"/>
              </w:rPr>
              <w:t>14/31 (45,2</w:t>
            </w:r>
            <w:r>
              <w:rPr>
                <w:sz w:val="22"/>
              </w:rPr>
              <w:t> </w:t>
            </w:r>
            <w:r w:rsidRPr="00E04B2A">
              <w:rPr>
                <w:sz w:val="22"/>
              </w:rPr>
              <w:t>%)</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B6DDAEA" w14:textId="77777777" w:rsidR="001E18BB" w:rsidRPr="00E04B2A" w:rsidRDefault="00E453CD" w:rsidP="001E18BB">
            <w:pPr>
              <w:jc w:val="center"/>
              <w:rPr>
                <w:sz w:val="22"/>
              </w:rPr>
            </w:pPr>
            <w:r w:rsidRPr="00E04B2A">
              <w:rPr>
                <w:sz w:val="22"/>
              </w:rPr>
              <w:t>18/31 (58,1</w:t>
            </w:r>
            <w:r>
              <w:rPr>
                <w:sz w:val="22"/>
              </w:rPr>
              <w:t> </w:t>
            </w:r>
            <w:r w:rsidRPr="00E04B2A">
              <w:rPr>
                <w:sz w:val="22"/>
              </w:rPr>
              <w:t>%)</w:t>
            </w:r>
          </w:p>
        </w:tc>
      </w:tr>
      <w:tr w:rsidR="004644D4" w14:paraId="11E3E455" w14:textId="77777777" w:rsidTr="001C4BD6">
        <w:trPr>
          <w:trHeight w:val="238"/>
          <w:jc w:val="center"/>
        </w:trPr>
        <w:tc>
          <w:tcPr>
            <w:tcW w:w="36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D5BF25B" w14:textId="77777777" w:rsidR="001E18BB" w:rsidRPr="00E04B2A" w:rsidRDefault="00E453CD" w:rsidP="001E18BB">
            <w:pPr>
              <w:rPr>
                <w:sz w:val="22"/>
              </w:rPr>
            </w:pPr>
            <w:r w:rsidRPr="00E04B2A">
              <w:rPr>
                <w:sz w:val="22"/>
              </w:rPr>
              <w:t xml:space="preserve">Klinisk </w:t>
            </w:r>
            <w:r>
              <w:rPr>
                <w:sz w:val="22"/>
              </w:rPr>
              <w:t>respons</w:t>
            </w:r>
            <w:r w:rsidRPr="00E04B2A">
              <w:rPr>
                <w:sz w:val="22"/>
              </w:rPr>
              <w:t xml:space="preserve"> iht. PUCAI hos uke 8 PMS-respondere</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B6D5CB5" w14:textId="77777777" w:rsidR="001E18BB" w:rsidRPr="00E04B2A" w:rsidRDefault="00E453CD" w:rsidP="001E18BB">
            <w:pPr>
              <w:jc w:val="center"/>
              <w:rPr>
                <w:sz w:val="22"/>
              </w:rPr>
            </w:pPr>
            <w:r w:rsidRPr="00E04B2A">
              <w:rPr>
                <w:sz w:val="22"/>
              </w:rPr>
              <w:t>18/31 (58,1</w:t>
            </w:r>
            <w:r>
              <w:rPr>
                <w:sz w:val="22"/>
              </w:rPr>
              <w:t> </w:t>
            </w:r>
            <w:r w:rsidRPr="00E04B2A">
              <w:rPr>
                <w:sz w:val="22"/>
              </w:rPr>
              <w:t>%)</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D8A68D1" w14:textId="77777777" w:rsidR="001E18BB" w:rsidRPr="00E04B2A" w:rsidRDefault="00E453CD" w:rsidP="001E18BB">
            <w:pPr>
              <w:jc w:val="center"/>
              <w:rPr>
                <w:sz w:val="22"/>
              </w:rPr>
            </w:pPr>
            <w:r w:rsidRPr="00E04B2A">
              <w:rPr>
                <w:sz w:val="22"/>
              </w:rPr>
              <w:t>16/31 (51,6</w:t>
            </w:r>
            <w:r>
              <w:rPr>
                <w:sz w:val="22"/>
              </w:rPr>
              <w:t> </w:t>
            </w:r>
            <w:r w:rsidRPr="00E04B2A">
              <w:rPr>
                <w:sz w:val="22"/>
              </w:rPr>
              <w:t>%)</w:t>
            </w:r>
          </w:p>
        </w:tc>
      </w:tr>
      <w:tr w:rsidR="004644D4" w14:paraId="53CDD178" w14:textId="77777777" w:rsidTr="001C4BD6">
        <w:trPr>
          <w:trHeight w:val="533"/>
          <w:jc w:val="center"/>
        </w:trPr>
        <w:tc>
          <w:tcPr>
            <w:tcW w:w="8971"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EBB5283" w14:textId="77777777" w:rsidR="001E18BB" w:rsidRPr="00975795" w:rsidRDefault="00E453CD" w:rsidP="001E18BB">
            <w:pPr>
              <w:rPr>
                <w:rStyle w:val="eop"/>
                <w:sz w:val="22"/>
                <w:szCs w:val="22"/>
              </w:rPr>
            </w:pPr>
            <w:r w:rsidRPr="00047F3C">
              <w:rPr>
                <w:sz w:val="22"/>
                <w:szCs w:val="22"/>
                <w:vertAlign w:val="superscript"/>
              </w:rPr>
              <w:t>a</w:t>
            </w:r>
            <w:r w:rsidRPr="00047F3C">
              <w:rPr>
                <w:rStyle w:val="normaltextrun"/>
                <w:sz w:val="22"/>
                <w:szCs w:val="22"/>
              </w:rPr>
              <w:t>Humira 2,4</w:t>
            </w:r>
            <w:r w:rsidRPr="00387C74">
              <w:rPr>
                <w:rStyle w:val="normaltextrun"/>
                <w:sz w:val="22"/>
                <w:szCs w:val="22"/>
              </w:rPr>
              <w:t> </w:t>
            </w:r>
            <w:r w:rsidRPr="00975795">
              <w:rPr>
                <w:rStyle w:val="normaltextrun"/>
                <w:sz w:val="22"/>
                <w:szCs w:val="22"/>
              </w:rPr>
              <w:t>mg/kg (maksimalt 160</w:t>
            </w:r>
            <w:r>
              <w:rPr>
                <w:rStyle w:val="normaltextrun"/>
                <w:sz w:val="22"/>
                <w:szCs w:val="22"/>
              </w:rPr>
              <w:t> </w:t>
            </w:r>
            <w:r w:rsidRPr="00975795">
              <w:rPr>
                <w:rStyle w:val="normaltextrun"/>
                <w:sz w:val="22"/>
                <w:szCs w:val="22"/>
              </w:rPr>
              <w:t>mg) i uke 0, placebo i uke 1 og 1,2 mg/kg (maksimalt 80</w:t>
            </w:r>
            <w:r>
              <w:rPr>
                <w:rStyle w:val="normaltextrun"/>
                <w:sz w:val="22"/>
                <w:szCs w:val="22"/>
              </w:rPr>
              <w:t> </w:t>
            </w:r>
            <w:r w:rsidRPr="00975795">
              <w:rPr>
                <w:rStyle w:val="normaltextrun"/>
                <w:sz w:val="22"/>
                <w:szCs w:val="22"/>
              </w:rPr>
              <w:t>mg) i uke 2</w:t>
            </w:r>
            <w:r w:rsidRPr="00975795">
              <w:rPr>
                <w:sz w:val="22"/>
                <w:szCs w:val="22"/>
              </w:rPr>
              <w:t> </w:t>
            </w:r>
            <w:r w:rsidRPr="00975795">
              <w:rPr>
                <w:rStyle w:val="eop"/>
                <w:sz w:val="22"/>
                <w:szCs w:val="22"/>
              </w:rPr>
              <w:t> </w:t>
            </w:r>
          </w:p>
          <w:p w14:paraId="2359704A" w14:textId="77777777" w:rsidR="001E18BB" w:rsidRPr="00047F3C" w:rsidRDefault="00E453CD" w:rsidP="001E18BB">
            <w:pPr>
              <w:pStyle w:val="paragraph0"/>
              <w:spacing w:before="0" w:beforeAutospacing="0" w:after="0" w:afterAutospacing="0"/>
              <w:textAlignment w:val="baseline"/>
              <w:rPr>
                <w:rStyle w:val="eop"/>
                <w:sz w:val="22"/>
                <w:szCs w:val="22"/>
              </w:rPr>
            </w:pPr>
            <w:r w:rsidRPr="00975795">
              <w:rPr>
                <w:sz w:val="22"/>
                <w:szCs w:val="22"/>
                <w:vertAlign w:val="superscript"/>
              </w:rPr>
              <w:t xml:space="preserve">b </w:t>
            </w:r>
            <w:r w:rsidRPr="00975795">
              <w:rPr>
                <w:rStyle w:val="normaltextrun"/>
                <w:sz w:val="22"/>
                <w:szCs w:val="22"/>
                <w:vertAlign w:val="superscript"/>
              </w:rPr>
              <w:t> </w:t>
            </w:r>
            <w:r w:rsidRPr="00975795">
              <w:rPr>
                <w:rStyle w:val="normaltextrun"/>
                <w:sz w:val="22"/>
                <w:szCs w:val="22"/>
              </w:rPr>
              <w:t>Humira 2,4 mg/kg (maksimalt 160</w:t>
            </w:r>
            <w:r>
              <w:rPr>
                <w:rStyle w:val="normaltextrun"/>
                <w:sz w:val="22"/>
                <w:szCs w:val="22"/>
              </w:rPr>
              <w:t> </w:t>
            </w:r>
            <w:r w:rsidRPr="00975795">
              <w:rPr>
                <w:rStyle w:val="normaltextrun"/>
                <w:sz w:val="22"/>
                <w:szCs w:val="22"/>
              </w:rPr>
              <w:t>mg) i uke 0 og uke 1 og 1,2</w:t>
            </w:r>
            <w:r>
              <w:rPr>
                <w:rStyle w:val="normaltextrun"/>
                <w:sz w:val="22"/>
                <w:szCs w:val="22"/>
              </w:rPr>
              <w:t> </w:t>
            </w:r>
            <w:r w:rsidRPr="00975795">
              <w:rPr>
                <w:rStyle w:val="normaltextrun"/>
                <w:sz w:val="22"/>
                <w:szCs w:val="22"/>
              </w:rPr>
              <w:t>mg/kg (maksimalt 80</w:t>
            </w:r>
            <w:r>
              <w:rPr>
                <w:rStyle w:val="normaltextrun"/>
                <w:sz w:val="22"/>
                <w:szCs w:val="22"/>
              </w:rPr>
              <w:t> </w:t>
            </w:r>
            <w:r w:rsidRPr="00975795">
              <w:rPr>
                <w:rStyle w:val="normaltextrun"/>
                <w:sz w:val="22"/>
                <w:szCs w:val="22"/>
              </w:rPr>
              <w:t>mg) i uke 2</w:t>
            </w:r>
            <w:r w:rsidRPr="00975795">
              <w:rPr>
                <w:rStyle w:val="eop"/>
                <w:sz w:val="22"/>
                <w:szCs w:val="22"/>
              </w:rPr>
              <w:t> </w:t>
            </w:r>
          </w:p>
          <w:p w14:paraId="393594BC" w14:textId="77777777" w:rsidR="001E18BB" w:rsidRPr="00047F3C" w:rsidRDefault="00E453CD" w:rsidP="001E18BB">
            <w:pPr>
              <w:pStyle w:val="paragraph0"/>
              <w:spacing w:before="0" w:beforeAutospacing="0" w:after="0" w:afterAutospacing="0"/>
              <w:textAlignment w:val="baseline"/>
              <w:rPr>
                <w:rStyle w:val="normaltextrun"/>
                <w:sz w:val="22"/>
                <w:szCs w:val="22"/>
              </w:rPr>
            </w:pPr>
            <w:r w:rsidRPr="005A0BB3">
              <w:rPr>
                <w:rStyle w:val="normaltextrun"/>
                <w:sz w:val="22"/>
                <w:szCs w:val="22"/>
                <w:vertAlign w:val="superscript"/>
              </w:rPr>
              <w:t>c</w:t>
            </w:r>
            <w:r w:rsidRPr="005A0BB3">
              <w:rPr>
                <w:rStyle w:val="normaltextrun"/>
                <w:sz w:val="22"/>
                <w:szCs w:val="22"/>
              </w:rPr>
              <w:t xml:space="preserve">Inkluderer ikke åpen induksjonsdose </w:t>
            </w:r>
            <w:r w:rsidRPr="00975795">
              <w:rPr>
                <w:rStyle w:val="normaltextrun"/>
                <w:sz w:val="22"/>
                <w:szCs w:val="22"/>
              </w:rPr>
              <w:t>med</w:t>
            </w:r>
            <w:r w:rsidRPr="00047F3C">
              <w:rPr>
                <w:rStyle w:val="normaltextrun"/>
                <w:sz w:val="22"/>
                <w:szCs w:val="22"/>
              </w:rPr>
              <w:t xml:space="preserve"> Humira 2,4 </w:t>
            </w:r>
            <w:r w:rsidRPr="00975795">
              <w:rPr>
                <w:rStyle w:val="normaltextrun"/>
                <w:sz w:val="22"/>
                <w:szCs w:val="22"/>
              </w:rPr>
              <w:t>mg/kg (maksimalt 160</w:t>
            </w:r>
            <w:r>
              <w:rPr>
                <w:rStyle w:val="normaltextrun"/>
                <w:sz w:val="22"/>
                <w:szCs w:val="22"/>
              </w:rPr>
              <w:t> </w:t>
            </w:r>
            <w:r w:rsidRPr="00975795">
              <w:rPr>
                <w:rStyle w:val="normaltextrun"/>
                <w:sz w:val="22"/>
                <w:szCs w:val="22"/>
              </w:rPr>
              <w:t>mg) i uke 0 og uke 1 og 1,2 mg/kg (maksimalt 80</w:t>
            </w:r>
            <w:r>
              <w:rPr>
                <w:rStyle w:val="normaltextrun"/>
                <w:sz w:val="22"/>
                <w:szCs w:val="22"/>
              </w:rPr>
              <w:t> </w:t>
            </w:r>
            <w:r w:rsidRPr="00975795">
              <w:rPr>
                <w:rStyle w:val="normaltextrun"/>
                <w:sz w:val="22"/>
                <w:szCs w:val="22"/>
              </w:rPr>
              <w:t>mg) i uke 2</w:t>
            </w:r>
          </w:p>
          <w:p w14:paraId="5797BF92" w14:textId="77777777" w:rsidR="001E18BB" w:rsidRPr="00047F3C" w:rsidRDefault="00E453CD" w:rsidP="001E18BB">
            <w:pPr>
              <w:pStyle w:val="paragraph0"/>
              <w:spacing w:before="0" w:beforeAutospacing="0" w:after="0" w:afterAutospacing="0"/>
              <w:textAlignment w:val="baseline"/>
              <w:rPr>
                <w:sz w:val="22"/>
                <w:szCs w:val="22"/>
              </w:rPr>
            </w:pPr>
            <w:r w:rsidRPr="005A0BB3">
              <w:rPr>
                <w:rStyle w:val="normaltextrun"/>
                <w:sz w:val="22"/>
                <w:szCs w:val="22"/>
                <w:vertAlign w:val="superscript"/>
              </w:rPr>
              <w:t>d</w:t>
            </w:r>
            <w:r w:rsidRPr="00975795">
              <w:rPr>
                <w:sz w:val="22"/>
                <w:szCs w:val="22"/>
              </w:rPr>
              <w:t>Humira 0,6 mg/kg (maksimalt 40</w:t>
            </w:r>
            <w:r>
              <w:rPr>
                <w:sz w:val="22"/>
                <w:szCs w:val="22"/>
              </w:rPr>
              <w:t> </w:t>
            </w:r>
            <w:r w:rsidRPr="00975795">
              <w:rPr>
                <w:sz w:val="22"/>
                <w:szCs w:val="22"/>
              </w:rPr>
              <w:t>mg) annenhver uke</w:t>
            </w:r>
          </w:p>
          <w:p w14:paraId="739D249E" w14:textId="77777777" w:rsidR="001E18BB" w:rsidRPr="00975795" w:rsidRDefault="00E453CD" w:rsidP="001E18BB">
            <w:pPr>
              <w:rPr>
                <w:sz w:val="22"/>
                <w:szCs w:val="22"/>
              </w:rPr>
            </w:pPr>
            <w:r w:rsidRPr="005A0BB3">
              <w:rPr>
                <w:sz w:val="22"/>
                <w:szCs w:val="22"/>
                <w:vertAlign w:val="superscript"/>
              </w:rPr>
              <w:t>e</w:t>
            </w:r>
            <w:r w:rsidRPr="00975795">
              <w:rPr>
                <w:sz w:val="22"/>
                <w:szCs w:val="22"/>
              </w:rPr>
              <w:t>Humira 0,6 mg/kg (maksimalt 40</w:t>
            </w:r>
            <w:r>
              <w:rPr>
                <w:sz w:val="22"/>
                <w:szCs w:val="22"/>
              </w:rPr>
              <w:t> </w:t>
            </w:r>
            <w:r w:rsidRPr="00975795">
              <w:rPr>
                <w:sz w:val="22"/>
                <w:szCs w:val="22"/>
              </w:rPr>
              <w:t>mg) hver uke</w:t>
            </w:r>
          </w:p>
          <w:p w14:paraId="6E92C6C5" w14:textId="77777777" w:rsidR="001E18BB" w:rsidRPr="00047F3C" w:rsidRDefault="00E453CD" w:rsidP="001E18BB">
            <w:pPr>
              <w:pStyle w:val="paragraph0"/>
              <w:spacing w:before="0" w:beforeAutospacing="0" w:after="0" w:afterAutospacing="0"/>
              <w:textAlignment w:val="baseline"/>
              <w:rPr>
                <w:sz w:val="22"/>
                <w:szCs w:val="22"/>
              </w:rPr>
            </w:pPr>
            <w:r w:rsidRPr="00975795">
              <w:rPr>
                <w:rStyle w:val="normaltextrun"/>
                <w:sz w:val="22"/>
                <w:szCs w:val="22"/>
              </w:rPr>
              <w:t>Merknad 1: Begge induksjonsgrupper fikk 0,6 mg/kg (maksimalt 40</w:t>
            </w:r>
            <w:r>
              <w:rPr>
                <w:rStyle w:val="normaltextrun"/>
                <w:sz w:val="22"/>
                <w:szCs w:val="22"/>
              </w:rPr>
              <w:t> </w:t>
            </w:r>
            <w:r w:rsidRPr="00975795">
              <w:rPr>
                <w:rStyle w:val="normaltextrun"/>
                <w:sz w:val="22"/>
                <w:szCs w:val="22"/>
              </w:rPr>
              <w:t>mg) i uke 4 og uke 6</w:t>
            </w:r>
            <w:r w:rsidRPr="00975795">
              <w:rPr>
                <w:rStyle w:val="eop"/>
                <w:sz w:val="22"/>
                <w:szCs w:val="22"/>
              </w:rPr>
              <w:t> </w:t>
            </w:r>
          </w:p>
          <w:p w14:paraId="0FE059B2" w14:textId="77777777" w:rsidR="001E18BB" w:rsidRPr="00047F3C" w:rsidRDefault="00E453CD" w:rsidP="001E18BB">
            <w:pPr>
              <w:pStyle w:val="paragraph0"/>
              <w:spacing w:before="0" w:beforeAutospacing="0" w:after="0" w:afterAutospacing="0"/>
              <w:textAlignment w:val="baseline"/>
              <w:rPr>
                <w:rStyle w:val="eop"/>
                <w:sz w:val="22"/>
                <w:szCs w:val="22"/>
              </w:rPr>
            </w:pPr>
            <w:r w:rsidRPr="005A0BB3">
              <w:rPr>
                <w:rStyle w:val="normaltextrun"/>
                <w:sz w:val="22"/>
                <w:szCs w:val="22"/>
              </w:rPr>
              <w:t xml:space="preserve">Merknad 2: Pasienter med manglende verdier </w:t>
            </w:r>
            <w:r w:rsidRPr="00975795">
              <w:rPr>
                <w:rStyle w:val="normaltextrun"/>
                <w:sz w:val="22"/>
                <w:szCs w:val="22"/>
              </w:rPr>
              <w:t>ved</w:t>
            </w:r>
            <w:r w:rsidRPr="00047F3C">
              <w:rPr>
                <w:rStyle w:val="normaltextrun"/>
                <w:sz w:val="22"/>
                <w:szCs w:val="22"/>
              </w:rPr>
              <w:t xml:space="preserve"> uke 8 ble ansett som ikke å ha o</w:t>
            </w:r>
            <w:r w:rsidRPr="00975795">
              <w:rPr>
                <w:rStyle w:val="normaltextrun"/>
                <w:sz w:val="22"/>
                <w:szCs w:val="22"/>
              </w:rPr>
              <w:t>pp</w:t>
            </w:r>
            <w:r w:rsidRPr="00047F3C">
              <w:rPr>
                <w:rStyle w:val="normaltextrun"/>
                <w:sz w:val="22"/>
                <w:szCs w:val="22"/>
              </w:rPr>
              <w:t>nådd endepunktene</w:t>
            </w:r>
          </w:p>
          <w:p w14:paraId="2CDDCB52" w14:textId="77777777" w:rsidR="001E18BB" w:rsidRPr="00480BF1" w:rsidRDefault="00E453CD" w:rsidP="001E18BB">
            <w:pPr>
              <w:pStyle w:val="paragraph0"/>
              <w:spacing w:before="0" w:beforeAutospacing="0" w:after="0" w:afterAutospacing="0"/>
              <w:textAlignment w:val="baseline"/>
              <w:rPr>
                <w:sz w:val="22"/>
                <w:szCs w:val="22"/>
              </w:rPr>
            </w:pPr>
            <w:r w:rsidRPr="005A0BB3">
              <w:rPr>
                <w:rStyle w:val="eop"/>
                <w:sz w:val="22"/>
                <w:szCs w:val="22"/>
              </w:rPr>
              <w:lastRenderedPageBreak/>
              <w:t xml:space="preserve">Merknad 3: </w:t>
            </w:r>
            <w:r w:rsidRPr="005A0BB3">
              <w:rPr>
                <w:sz w:val="22"/>
                <w:szCs w:val="22"/>
              </w:rPr>
              <w:t>Pasienter med manglende verdier ved</w:t>
            </w:r>
            <w:r w:rsidRPr="00975795">
              <w:rPr>
                <w:sz w:val="22"/>
                <w:szCs w:val="22"/>
              </w:rPr>
              <w:t xml:space="preserve"> uke 52 eller som ble randomisert til å få gjentatt induksjons- eller vedlikeholdsbehandling ble ansett som ikke-responderende for endepunktene ved uke 52</w:t>
            </w:r>
          </w:p>
        </w:tc>
      </w:tr>
    </w:tbl>
    <w:p w14:paraId="19E9C9C7" w14:textId="77777777" w:rsidR="001E18BB" w:rsidRPr="00E04B2A" w:rsidRDefault="001E18BB" w:rsidP="001E18BB">
      <w:pPr>
        <w:rPr>
          <w:sz w:val="22"/>
        </w:rPr>
      </w:pPr>
    </w:p>
    <w:p w14:paraId="38EEA153" w14:textId="77777777" w:rsidR="001E18BB" w:rsidRPr="00E04B2A" w:rsidRDefault="00E453CD" w:rsidP="001E18BB">
      <w:pPr>
        <w:rPr>
          <w:sz w:val="22"/>
        </w:rPr>
      </w:pPr>
      <w:r w:rsidRPr="00E04B2A">
        <w:rPr>
          <w:sz w:val="22"/>
        </w:rPr>
        <w:t xml:space="preserve">Av de Humirabehandlede pasientene som fikk gjentatt induksjonsbehandling i vedlikeholdsperioden oppnådde 2/6 (33 %) klinisk respons iht. FMS </w:t>
      </w:r>
      <w:r>
        <w:rPr>
          <w:sz w:val="22"/>
        </w:rPr>
        <w:t>ved</w:t>
      </w:r>
      <w:r w:rsidRPr="00E04B2A">
        <w:rPr>
          <w:sz w:val="22"/>
        </w:rPr>
        <w:t xml:space="preserve"> uke 52.</w:t>
      </w:r>
    </w:p>
    <w:p w14:paraId="35AFB250" w14:textId="77777777" w:rsidR="001E18BB" w:rsidRPr="00E04B2A" w:rsidRDefault="001E18BB" w:rsidP="001E18BB">
      <w:pPr>
        <w:rPr>
          <w:sz w:val="22"/>
        </w:rPr>
      </w:pPr>
    </w:p>
    <w:p w14:paraId="305873A4" w14:textId="77777777" w:rsidR="001E18BB" w:rsidRPr="00E04B2A" w:rsidRDefault="00E453CD" w:rsidP="001E18BB">
      <w:pPr>
        <w:keepNext/>
        <w:rPr>
          <w:bCs/>
          <w:i/>
          <w:sz w:val="22"/>
          <w:u w:val="single"/>
        </w:rPr>
      </w:pPr>
      <w:r w:rsidRPr="00E04B2A">
        <w:rPr>
          <w:i/>
          <w:sz w:val="22"/>
          <w:u w:val="single"/>
        </w:rPr>
        <w:t>Livskvalitet</w:t>
      </w:r>
    </w:p>
    <w:p w14:paraId="4C59267B" w14:textId="77777777" w:rsidR="001E18BB" w:rsidRPr="00E04B2A" w:rsidRDefault="001E18BB" w:rsidP="001E18BB">
      <w:pPr>
        <w:keepNext/>
        <w:rPr>
          <w:bCs/>
          <w:i/>
          <w:sz w:val="22"/>
          <w:u w:val="single"/>
        </w:rPr>
      </w:pPr>
    </w:p>
    <w:p w14:paraId="1326169A" w14:textId="77777777" w:rsidR="001E18BB" w:rsidRDefault="00E453CD" w:rsidP="001E18BB">
      <w:pPr>
        <w:keepNext/>
        <w:rPr>
          <w:sz w:val="22"/>
        </w:rPr>
      </w:pPr>
      <w:r w:rsidRPr="008A23C0">
        <w:rPr>
          <w:sz w:val="22"/>
        </w:rPr>
        <w:t xml:space="preserve">Kliniske forbedringer av betydning fra baseline ble observert i </w:t>
      </w:r>
      <w:r>
        <w:rPr>
          <w:sz w:val="22"/>
        </w:rPr>
        <w:t xml:space="preserve">score fra </w:t>
      </w:r>
      <w:r w:rsidRPr="00127826">
        <w:rPr>
          <w:sz w:val="22"/>
        </w:rPr>
        <w:t xml:space="preserve">IMPACT III </w:t>
      </w:r>
      <w:r>
        <w:rPr>
          <w:sz w:val="22"/>
        </w:rPr>
        <w:t xml:space="preserve">og </w:t>
      </w:r>
      <w:r w:rsidRPr="008A23C0">
        <w:rPr>
          <w:sz w:val="22"/>
        </w:rPr>
        <w:t>Work Productivity and Activity</w:t>
      </w:r>
      <w:r w:rsidRPr="00E04B2A">
        <w:rPr>
          <w:sz w:val="22"/>
        </w:rPr>
        <w:t xml:space="preserve"> Impairment (WPAI)</w:t>
      </w:r>
      <w:r>
        <w:rPr>
          <w:sz w:val="22"/>
        </w:rPr>
        <w:t xml:space="preserve"> for omsorgsperson</w:t>
      </w:r>
      <w:r w:rsidR="00043EDF">
        <w:rPr>
          <w:sz w:val="22"/>
        </w:rPr>
        <w:t>,</w:t>
      </w:r>
      <w:r>
        <w:rPr>
          <w:sz w:val="22"/>
        </w:rPr>
        <w:t xml:space="preserve"> </w:t>
      </w:r>
      <w:r w:rsidRPr="00E04B2A">
        <w:rPr>
          <w:sz w:val="22"/>
        </w:rPr>
        <w:t>for gruppene behandlet med Humira.</w:t>
      </w:r>
    </w:p>
    <w:p w14:paraId="373DC439" w14:textId="77777777" w:rsidR="001E18BB" w:rsidRPr="00E04B2A" w:rsidRDefault="001E18BB" w:rsidP="001E18BB">
      <w:pPr>
        <w:keepNext/>
        <w:rPr>
          <w:sz w:val="22"/>
        </w:rPr>
      </w:pPr>
    </w:p>
    <w:p w14:paraId="579D93F9" w14:textId="77777777" w:rsidR="001E18BB" w:rsidRPr="00E04B2A" w:rsidRDefault="00E453CD" w:rsidP="001E18BB">
      <w:pPr>
        <w:rPr>
          <w:sz w:val="22"/>
        </w:rPr>
      </w:pPr>
      <w:r w:rsidRPr="00E04B2A">
        <w:rPr>
          <w:sz w:val="22"/>
        </w:rPr>
        <w:t>Klinisk</w:t>
      </w:r>
      <w:r>
        <w:rPr>
          <w:sz w:val="22"/>
        </w:rPr>
        <w:t>e</w:t>
      </w:r>
      <w:r w:rsidRPr="00E04B2A">
        <w:rPr>
          <w:sz w:val="22"/>
        </w:rPr>
        <w:t xml:space="preserve"> </w:t>
      </w:r>
      <w:r>
        <w:rPr>
          <w:sz w:val="22"/>
        </w:rPr>
        <w:t>forbedringer</w:t>
      </w:r>
      <w:r w:rsidR="00994D65">
        <w:rPr>
          <w:sz w:val="22"/>
        </w:rPr>
        <w:t xml:space="preserve"> (økninger)</w:t>
      </w:r>
      <w:r>
        <w:rPr>
          <w:sz w:val="22"/>
        </w:rPr>
        <w:t xml:space="preserve"> av betydning</w:t>
      </w:r>
      <w:r w:rsidRPr="00E04B2A">
        <w:rPr>
          <w:sz w:val="22"/>
        </w:rPr>
        <w:t xml:space="preserve"> fra baseline i </w:t>
      </w:r>
      <w:r>
        <w:rPr>
          <w:sz w:val="22"/>
        </w:rPr>
        <w:t>vekst</w:t>
      </w:r>
      <w:r w:rsidRPr="002B4237">
        <w:rPr>
          <w:sz w:val="22"/>
        </w:rPr>
        <w:t>hastighet</w:t>
      </w:r>
      <w:r w:rsidRPr="00E04B2A">
        <w:rPr>
          <w:sz w:val="22"/>
        </w:rPr>
        <w:t xml:space="preserve"> ble observert </w:t>
      </w:r>
      <w:r>
        <w:rPr>
          <w:sz w:val="22"/>
        </w:rPr>
        <w:t>i</w:t>
      </w:r>
      <w:r w:rsidRPr="00E04B2A">
        <w:rPr>
          <w:sz w:val="22"/>
        </w:rPr>
        <w:t xml:space="preserve"> gruppene behandlet med adalimumab, og klinisk</w:t>
      </w:r>
      <w:r>
        <w:rPr>
          <w:sz w:val="22"/>
        </w:rPr>
        <w:t>e</w:t>
      </w:r>
      <w:r w:rsidRPr="00E04B2A">
        <w:rPr>
          <w:sz w:val="22"/>
        </w:rPr>
        <w:t xml:space="preserve"> </w:t>
      </w:r>
      <w:r>
        <w:rPr>
          <w:sz w:val="22"/>
        </w:rPr>
        <w:t>forbedringer</w:t>
      </w:r>
      <w:r w:rsidR="00994D65">
        <w:rPr>
          <w:sz w:val="22"/>
        </w:rPr>
        <w:t xml:space="preserve"> (økninger)</w:t>
      </w:r>
      <w:r w:rsidRPr="00E04B2A">
        <w:rPr>
          <w:sz w:val="22"/>
        </w:rPr>
        <w:t xml:space="preserve"> </w:t>
      </w:r>
      <w:r>
        <w:rPr>
          <w:sz w:val="22"/>
        </w:rPr>
        <w:t xml:space="preserve">av betydning </w:t>
      </w:r>
      <w:r w:rsidRPr="00E04B2A">
        <w:rPr>
          <w:sz w:val="22"/>
        </w:rPr>
        <w:t xml:space="preserve">fra baseline i </w:t>
      </w:r>
      <w:r>
        <w:rPr>
          <w:sz w:val="22"/>
        </w:rPr>
        <w:t>Body Mass Index</w:t>
      </w:r>
      <w:r w:rsidRPr="00E04B2A">
        <w:rPr>
          <w:sz w:val="22"/>
        </w:rPr>
        <w:t xml:space="preserve"> ble observert </w:t>
      </w:r>
      <w:r>
        <w:rPr>
          <w:sz w:val="22"/>
        </w:rPr>
        <w:t>hos</w:t>
      </w:r>
      <w:r w:rsidRPr="00E04B2A">
        <w:rPr>
          <w:sz w:val="22"/>
        </w:rPr>
        <w:t xml:space="preserve"> </w:t>
      </w:r>
      <w:r>
        <w:rPr>
          <w:sz w:val="22"/>
        </w:rPr>
        <w:t>pasienter som fikk</w:t>
      </w:r>
      <w:r w:rsidRPr="00E04B2A">
        <w:rPr>
          <w:sz w:val="22"/>
        </w:rPr>
        <w:t xml:space="preserve"> høy vedlikeholdsdose på maksimalt 40</w:t>
      </w:r>
      <w:r>
        <w:rPr>
          <w:sz w:val="22"/>
        </w:rPr>
        <w:t> </w:t>
      </w:r>
      <w:r w:rsidRPr="00E04B2A">
        <w:rPr>
          <w:sz w:val="22"/>
        </w:rPr>
        <w:t>mg (0,6</w:t>
      </w:r>
      <w:r>
        <w:rPr>
          <w:sz w:val="22"/>
        </w:rPr>
        <w:t> </w:t>
      </w:r>
      <w:r w:rsidRPr="00E04B2A">
        <w:rPr>
          <w:sz w:val="22"/>
        </w:rPr>
        <w:t xml:space="preserve">mg/kg) </w:t>
      </w:r>
      <w:r>
        <w:rPr>
          <w:sz w:val="22"/>
        </w:rPr>
        <w:t>hver uke</w:t>
      </w:r>
      <w:r w:rsidRPr="00E04B2A">
        <w:rPr>
          <w:sz w:val="22"/>
        </w:rPr>
        <w:t>.</w:t>
      </w:r>
    </w:p>
    <w:p w14:paraId="5342AC6B" w14:textId="77777777" w:rsidR="000E26F8" w:rsidRPr="00644328" w:rsidRDefault="000E26F8" w:rsidP="000E26F8">
      <w:pPr>
        <w:suppressAutoHyphens/>
        <w:rPr>
          <w:sz w:val="22"/>
          <w:szCs w:val="22"/>
        </w:rPr>
      </w:pPr>
    </w:p>
    <w:p w14:paraId="3FDD7377" w14:textId="77777777" w:rsidR="00E04B2A" w:rsidRPr="00974950" w:rsidRDefault="00E453CD" w:rsidP="00E04B2A">
      <w:pPr>
        <w:keepNext/>
        <w:rPr>
          <w:i/>
          <w:szCs w:val="22"/>
        </w:rPr>
      </w:pPr>
      <w:r w:rsidRPr="00BF7743">
        <w:rPr>
          <w:i/>
          <w:sz w:val="22"/>
          <w:szCs w:val="22"/>
        </w:rPr>
        <w:t>Pediatrisk uveitt</w:t>
      </w:r>
    </w:p>
    <w:p w14:paraId="2DA379F8" w14:textId="77777777" w:rsidR="00E04B2A" w:rsidRPr="00974950" w:rsidRDefault="00E04B2A" w:rsidP="00E04B2A">
      <w:pPr>
        <w:keepNext/>
        <w:rPr>
          <w:szCs w:val="22"/>
        </w:rPr>
      </w:pPr>
    </w:p>
    <w:p w14:paraId="738ADB7C" w14:textId="77777777" w:rsidR="00E04B2A" w:rsidRDefault="00E453CD" w:rsidP="00E04B2A">
      <w:pPr>
        <w:rPr>
          <w:bCs/>
        </w:rPr>
      </w:pPr>
      <w:r w:rsidRPr="00BF7743">
        <w:rPr>
          <w:sz w:val="22"/>
          <w:szCs w:val="22"/>
        </w:rPr>
        <w:t xml:space="preserve">Sikkerhet og effekt </w:t>
      </w:r>
      <w:r>
        <w:rPr>
          <w:sz w:val="22"/>
          <w:szCs w:val="22"/>
        </w:rPr>
        <w:t xml:space="preserve">av Humira ble undersøkt i en randomisert, dobbeltblindet, kontrollert studie med 90 pediatriske pasienter mellom 2 og &lt; 18 år med aktiv JIA-assosiert ikke-infeksiøs fremre uveitt, som ikke responderte på behandling etter minst 12 ukers behandling med metotreksat. Pasientene fikk enten placebo eller 20 mg adalimumab (hvis &lt; 30 kg) eller 40 mg adalimumab (hvis </w:t>
      </w:r>
      <w:r w:rsidRPr="00BF7743">
        <w:rPr>
          <w:bCs/>
          <w:sz w:val="22"/>
          <w:szCs w:val="20"/>
        </w:rPr>
        <w:t>≥</w:t>
      </w:r>
      <w:r>
        <w:rPr>
          <w:bCs/>
          <w:sz w:val="22"/>
          <w:szCs w:val="20"/>
        </w:rPr>
        <w:t> 30 kg) annenhver uke i kombinasjon med deres baselinedose av metotreksat.</w:t>
      </w:r>
    </w:p>
    <w:p w14:paraId="31130D53" w14:textId="77777777" w:rsidR="00E04B2A" w:rsidRDefault="00E04B2A" w:rsidP="00E04B2A">
      <w:pPr>
        <w:rPr>
          <w:bCs/>
        </w:rPr>
      </w:pPr>
    </w:p>
    <w:p w14:paraId="42F2E492" w14:textId="77777777" w:rsidR="00E04B2A" w:rsidRDefault="00E453CD" w:rsidP="00E04B2A">
      <w:pPr>
        <w:rPr>
          <w:bCs/>
        </w:rPr>
      </w:pPr>
      <w:r>
        <w:rPr>
          <w:bCs/>
          <w:sz w:val="22"/>
          <w:szCs w:val="20"/>
        </w:rPr>
        <w:t>Det primære endepunktet var tid til behandlingssvikt. Kriteriene som definerte behandlingssvikt var forverret eller vedvarende okulær inflammasjon uten forbedring, delvis forbedring med utvikling av vedvarende okulære komorbiditeter eller forverring av okulære komorbiditeter, bruk av samtidige legemidler uten tillatelse, og behandlingspause i en lengre tidsperiode.</w:t>
      </w:r>
    </w:p>
    <w:p w14:paraId="7B379073" w14:textId="77777777" w:rsidR="00E04B2A" w:rsidRDefault="00E04B2A" w:rsidP="00E04B2A">
      <w:pPr>
        <w:rPr>
          <w:bCs/>
        </w:rPr>
      </w:pPr>
    </w:p>
    <w:p w14:paraId="1DAD7CB2" w14:textId="77777777" w:rsidR="00E04B2A" w:rsidRDefault="00E453CD" w:rsidP="00E04B2A">
      <w:pPr>
        <w:keepNext/>
        <w:rPr>
          <w:i/>
          <w:szCs w:val="22"/>
        </w:rPr>
      </w:pPr>
      <w:r>
        <w:rPr>
          <w:i/>
          <w:sz w:val="22"/>
          <w:szCs w:val="22"/>
          <w:u w:val="single"/>
        </w:rPr>
        <w:t>Klinisk respons</w:t>
      </w:r>
    </w:p>
    <w:p w14:paraId="23958851" w14:textId="77777777" w:rsidR="00E04B2A" w:rsidRDefault="00E04B2A" w:rsidP="00E04B2A">
      <w:pPr>
        <w:keepNext/>
        <w:rPr>
          <w:i/>
          <w:szCs w:val="22"/>
        </w:rPr>
      </w:pPr>
    </w:p>
    <w:p w14:paraId="3A9B4220" w14:textId="77777777" w:rsidR="00E04B2A" w:rsidRDefault="00E453CD" w:rsidP="00E04B2A">
      <w:pPr>
        <w:rPr>
          <w:szCs w:val="22"/>
        </w:rPr>
      </w:pPr>
      <w:r>
        <w:rPr>
          <w:sz w:val="22"/>
          <w:szCs w:val="22"/>
        </w:rPr>
        <w:t>Adalimumab forlenget tiden til behandlingssvikt signifikant, sammenlignet med placebo (se figur 2, p &lt; 0,0001 ved log rank test). Median tid til behandlingssvikt var 24,1 uker for pasienter behandlet med placebo. Det var ikke mulig å vurdere median tid til behandlingssvikt for pasienter behandlet med adalimumab, fordi mindre enn halvparten av pasientene opplevde behandlingssvikt. Adalimumab reduserte risikoen for behandlingssvikt signifikant med 75 % i forhold til placebo, som vist ved hazard ratio (HR = 0,25 [95 % KI: 0,12, 0,49]).</w:t>
      </w:r>
    </w:p>
    <w:p w14:paraId="71449007" w14:textId="77777777" w:rsidR="00E04B2A" w:rsidRDefault="00E04B2A" w:rsidP="00E04B2A">
      <w:pPr>
        <w:rPr>
          <w:szCs w:val="22"/>
        </w:rPr>
      </w:pPr>
    </w:p>
    <w:p w14:paraId="6E56448A" w14:textId="77777777" w:rsidR="00E04B2A" w:rsidRPr="00BF7743" w:rsidRDefault="00E453CD" w:rsidP="00E04B2A">
      <w:pPr>
        <w:keepNext/>
        <w:jc w:val="center"/>
        <w:rPr>
          <w:b/>
          <w:szCs w:val="22"/>
        </w:rPr>
      </w:pPr>
      <w:r>
        <w:rPr>
          <w:b/>
          <w:sz w:val="22"/>
          <w:szCs w:val="22"/>
        </w:rPr>
        <w:lastRenderedPageBreak/>
        <w:t>Figur 2: Kaplan-Meier-kurve som viser tid til behandlingssvikt i studien med pediatrisk uveitt</w:t>
      </w:r>
    </w:p>
    <w:tbl>
      <w:tblPr>
        <w:tblW w:w="9288" w:type="dxa"/>
        <w:tblLayout w:type="fixed"/>
        <w:tblLook w:val="04A0" w:firstRow="1" w:lastRow="0" w:firstColumn="1" w:lastColumn="0" w:noHBand="0" w:noVBand="1"/>
      </w:tblPr>
      <w:tblGrid>
        <w:gridCol w:w="468"/>
        <w:gridCol w:w="3510"/>
        <w:gridCol w:w="1170"/>
        <w:gridCol w:w="1350"/>
        <w:gridCol w:w="900"/>
        <w:gridCol w:w="1890"/>
      </w:tblGrid>
      <w:tr w:rsidR="004644D4" w14:paraId="3278F1C9" w14:textId="77777777" w:rsidTr="00BF20F2">
        <w:trPr>
          <w:cantSplit/>
          <w:trHeight w:val="3806"/>
        </w:trPr>
        <w:tc>
          <w:tcPr>
            <w:tcW w:w="468" w:type="dxa"/>
            <w:textDirection w:val="btLr"/>
            <w:vAlign w:val="bottom"/>
          </w:tcPr>
          <w:p w14:paraId="7E9066D4" w14:textId="77777777" w:rsidR="00E04B2A" w:rsidRPr="00DD5322" w:rsidRDefault="00E453CD" w:rsidP="00BF20F2">
            <w:pPr>
              <w:pStyle w:val="EMEANormal"/>
              <w:keepNext/>
              <w:ind w:left="113" w:right="113"/>
              <w:jc w:val="center"/>
              <w:rPr>
                <w:b/>
                <w:szCs w:val="22"/>
                <w:lang w:val="nb-NO"/>
              </w:rPr>
            </w:pPr>
            <w:r w:rsidRPr="00DD5322">
              <w:rPr>
                <w:b/>
                <w:szCs w:val="22"/>
                <w:lang w:val="nb-NO"/>
              </w:rPr>
              <w:t>SANNSYNLIGHET FOR BEHANDLINGSSVIKT</w:t>
            </w:r>
          </w:p>
        </w:tc>
        <w:tc>
          <w:tcPr>
            <w:tcW w:w="8820" w:type="dxa"/>
            <w:gridSpan w:val="5"/>
            <w:vAlign w:val="bottom"/>
          </w:tcPr>
          <w:p w14:paraId="04C5C73C" w14:textId="77777777" w:rsidR="00E04B2A" w:rsidRPr="00DD5322" w:rsidRDefault="00E453CD" w:rsidP="00BF20F2">
            <w:pPr>
              <w:pStyle w:val="EMEANormal"/>
              <w:keepNext/>
              <w:rPr>
                <w:szCs w:val="22"/>
                <w:lang w:val="nb-NO"/>
              </w:rPr>
            </w:pPr>
            <w:r w:rsidRPr="000653BE">
              <w:rPr>
                <w:noProof/>
                <w:szCs w:val="22"/>
                <w:lang w:val="en-GB" w:eastAsia="en-GB"/>
              </w:rPr>
              <w:drawing>
                <wp:inline distT="0" distB="0" distL="0" distR="0" wp14:anchorId="2A8DE720" wp14:editId="20E88F7E">
                  <wp:extent cx="5486400" cy="4552950"/>
                  <wp:effectExtent l="0" t="0" r="0" b="0"/>
                  <wp:docPr id="175" name="Bilde 85"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3"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2950"/>
                          </a:xfrm>
                          <a:prstGeom prst="rect">
                            <a:avLst/>
                          </a:prstGeom>
                          <a:noFill/>
                          <a:ln>
                            <a:noFill/>
                          </a:ln>
                        </pic:spPr>
                      </pic:pic>
                    </a:graphicData>
                  </a:graphic>
                </wp:inline>
              </w:drawing>
            </w:r>
          </w:p>
        </w:tc>
      </w:tr>
      <w:tr w:rsidR="004644D4" w14:paraId="3F96FC95" w14:textId="77777777" w:rsidTr="00BF20F2">
        <w:tc>
          <w:tcPr>
            <w:tcW w:w="468" w:type="dxa"/>
          </w:tcPr>
          <w:p w14:paraId="64E06D35" w14:textId="77777777" w:rsidR="00E04B2A" w:rsidRPr="00DD5322" w:rsidRDefault="00E04B2A" w:rsidP="00BF20F2">
            <w:pPr>
              <w:pStyle w:val="EMEANormal"/>
              <w:keepNext/>
              <w:rPr>
                <w:szCs w:val="22"/>
                <w:lang w:val="nb-NO"/>
              </w:rPr>
            </w:pPr>
          </w:p>
        </w:tc>
        <w:tc>
          <w:tcPr>
            <w:tcW w:w="8820" w:type="dxa"/>
            <w:gridSpan w:val="5"/>
          </w:tcPr>
          <w:p w14:paraId="10CA6525" w14:textId="77777777" w:rsidR="00E04B2A" w:rsidRPr="00DD5322" w:rsidRDefault="00E453CD" w:rsidP="00BF20F2">
            <w:pPr>
              <w:pStyle w:val="EMEANormal"/>
              <w:keepNext/>
              <w:jc w:val="center"/>
              <w:rPr>
                <w:b/>
                <w:szCs w:val="22"/>
                <w:lang w:val="nb-NO"/>
              </w:rPr>
            </w:pPr>
            <w:r w:rsidRPr="00DD5322">
              <w:rPr>
                <w:b/>
                <w:szCs w:val="22"/>
                <w:lang w:val="nb-NO"/>
              </w:rPr>
              <w:t>TID (UKER)</w:t>
            </w:r>
          </w:p>
        </w:tc>
      </w:tr>
      <w:tr w:rsidR="004644D4" w14:paraId="4B3488B0" w14:textId="77777777" w:rsidTr="00BF20F2">
        <w:tc>
          <w:tcPr>
            <w:tcW w:w="468" w:type="dxa"/>
          </w:tcPr>
          <w:p w14:paraId="1E64A630" w14:textId="77777777" w:rsidR="00E04B2A" w:rsidRPr="00DD5322" w:rsidRDefault="00E04B2A" w:rsidP="00BF20F2">
            <w:pPr>
              <w:pStyle w:val="EMEANormal"/>
              <w:keepNext/>
              <w:rPr>
                <w:szCs w:val="22"/>
                <w:lang w:val="nb-NO"/>
              </w:rPr>
            </w:pPr>
          </w:p>
        </w:tc>
        <w:tc>
          <w:tcPr>
            <w:tcW w:w="3510" w:type="dxa"/>
          </w:tcPr>
          <w:p w14:paraId="164852E9" w14:textId="77777777" w:rsidR="00E04B2A" w:rsidRPr="00DD5322" w:rsidRDefault="00E453CD" w:rsidP="00BF20F2">
            <w:pPr>
              <w:pStyle w:val="EMEANormal"/>
              <w:keepNext/>
              <w:rPr>
                <w:szCs w:val="22"/>
                <w:lang w:val="nb-NO"/>
              </w:rPr>
            </w:pPr>
            <w:r w:rsidRPr="00DD5322">
              <w:rPr>
                <w:szCs w:val="22"/>
                <w:lang w:val="nb-NO"/>
              </w:rPr>
              <w:t>Behandling</w:t>
            </w:r>
          </w:p>
        </w:tc>
        <w:tc>
          <w:tcPr>
            <w:tcW w:w="1170" w:type="dxa"/>
            <w:vAlign w:val="bottom"/>
          </w:tcPr>
          <w:p w14:paraId="6FA17574" w14:textId="77777777" w:rsidR="00E04B2A" w:rsidRPr="00DD5322" w:rsidRDefault="00E453CD" w:rsidP="00BF20F2">
            <w:pPr>
              <w:pStyle w:val="EMEANormal"/>
              <w:keepNext/>
              <w:jc w:val="center"/>
              <w:rPr>
                <w:szCs w:val="22"/>
                <w:lang w:val="nb-NO"/>
              </w:rPr>
            </w:pPr>
            <w:r>
              <w:rPr>
                <w:noProof/>
                <w:szCs w:val="22"/>
                <w:lang w:val="en-GB" w:eastAsia="en-GB"/>
              </w:rPr>
              <w:drawing>
                <wp:inline distT="0" distB="0" distL="0" distR="0" wp14:anchorId="14D59896" wp14:editId="614B74BA">
                  <wp:extent cx="457200" cy="123825"/>
                  <wp:effectExtent l="0" t="0" r="0" b="9525"/>
                  <wp:docPr id="176" name="Bilde 8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4"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57200" cy="123825"/>
                          </a:xfrm>
                          <a:prstGeom prst="rect">
                            <a:avLst/>
                          </a:prstGeom>
                          <a:noFill/>
                          <a:ln>
                            <a:noFill/>
                          </a:ln>
                        </pic:spPr>
                      </pic:pic>
                    </a:graphicData>
                  </a:graphic>
                </wp:inline>
              </w:drawing>
            </w:r>
          </w:p>
        </w:tc>
        <w:tc>
          <w:tcPr>
            <w:tcW w:w="1350" w:type="dxa"/>
          </w:tcPr>
          <w:p w14:paraId="2023E7EA" w14:textId="77777777" w:rsidR="00E04B2A" w:rsidRPr="00DD5322" w:rsidRDefault="00E453CD" w:rsidP="00BF20F2">
            <w:pPr>
              <w:pStyle w:val="EMEANormal"/>
              <w:keepNext/>
              <w:rPr>
                <w:szCs w:val="22"/>
                <w:lang w:val="nb-NO"/>
              </w:rPr>
            </w:pPr>
            <w:r w:rsidRPr="00DD5322">
              <w:rPr>
                <w:szCs w:val="22"/>
                <w:lang w:val="nb-NO"/>
              </w:rPr>
              <w:t>placebo</w:t>
            </w:r>
          </w:p>
        </w:tc>
        <w:tc>
          <w:tcPr>
            <w:tcW w:w="900" w:type="dxa"/>
            <w:vAlign w:val="center"/>
          </w:tcPr>
          <w:p w14:paraId="1C84D0C1" w14:textId="77777777" w:rsidR="00E04B2A" w:rsidRPr="00DD5322" w:rsidRDefault="00E453CD" w:rsidP="00BF20F2">
            <w:pPr>
              <w:pStyle w:val="EMEANormal"/>
              <w:keepNext/>
              <w:rPr>
                <w:szCs w:val="22"/>
                <w:lang w:val="nb-NO"/>
              </w:rPr>
            </w:pPr>
            <w:r>
              <w:rPr>
                <w:noProof/>
                <w:szCs w:val="22"/>
                <w:lang w:val="en-GB" w:eastAsia="en-GB"/>
              </w:rPr>
              <w:drawing>
                <wp:inline distT="0" distB="0" distL="0" distR="0" wp14:anchorId="26C9F34A" wp14:editId="2C87310E">
                  <wp:extent cx="457200" cy="85725"/>
                  <wp:effectExtent l="0" t="0" r="0" b="9525"/>
                  <wp:docPr id="177" name="Bilde 8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5"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7200" cy="85725"/>
                          </a:xfrm>
                          <a:prstGeom prst="rect">
                            <a:avLst/>
                          </a:prstGeom>
                          <a:noFill/>
                          <a:ln>
                            <a:noFill/>
                          </a:ln>
                        </pic:spPr>
                      </pic:pic>
                    </a:graphicData>
                  </a:graphic>
                </wp:inline>
              </w:drawing>
            </w:r>
          </w:p>
        </w:tc>
        <w:tc>
          <w:tcPr>
            <w:tcW w:w="1890" w:type="dxa"/>
          </w:tcPr>
          <w:p w14:paraId="2E49404D" w14:textId="77777777" w:rsidR="00E04B2A" w:rsidRPr="00DD5322" w:rsidRDefault="00E453CD" w:rsidP="00BF20F2">
            <w:pPr>
              <w:pStyle w:val="EMEANormal"/>
              <w:keepNext/>
              <w:rPr>
                <w:szCs w:val="22"/>
                <w:lang w:val="nb-NO"/>
              </w:rPr>
            </w:pPr>
            <w:r w:rsidRPr="00DD5322">
              <w:rPr>
                <w:szCs w:val="22"/>
                <w:lang w:val="nb-NO"/>
              </w:rPr>
              <w:t>adalimumab</w:t>
            </w:r>
          </w:p>
        </w:tc>
      </w:tr>
      <w:tr w:rsidR="004644D4" w14:paraId="08B58544" w14:textId="77777777" w:rsidTr="00BF20F2">
        <w:tc>
          <w:tcPr>
            <w:tcW w:w="468" w:type="dxa"/>
          </w:tcPr>
          <w:p w14:paraId="396CA30D" w14:textId="77777777" w:rsidR="00E04B2A" w:rsidRPr="00DD5322" w:rsidRDefault="00E04B2A" w:rsidP="00BF20F2">
            <w:pPr>
              <w:pStyle w:val="EMEANormal"/>
              <w:rPr>
                <w:szCs w:val="22"/>
                <w:lang w:val="nb-NO"/>
              </w:rPr>
            </w:pPr>
          </w:p>
        </w:tc>
        <w:tc>
          <w:tcPr>
            <w:tcW w:w="8820" w:type="dxa"/>
            <w:gridSpan w:val="5"/>
          </w:tcPr>
          <w:p w14:paraId="17B7FEC5" w14:textId="77777777" w:rsidR="00E04B2A" w:rsidRPr="00BF7743" w:rsidRDefault="00E453CD" w:rsidP="00BF20F2">
            <w:pPr>
              <w:pStyle w:val="EMEANormal"/>
              <w:rPr>
                <w:szCs w:val="22"/>
                <w:lang w:val="nb-NO"/>
              </w:rPr>
            </w:pPr>
            <w:r w:rsidRPr="00BF7743">
              <w:rPr>
                <w:szCs w:val="22"/>
                <w:lang w:val="nb-NO"/>
              </w:rPr>
              <w:t>Merk: P = </w:t>
            </w:r>
            <w:r w:rsidRPr="006B49BD">
              <w:rPr>
                <w:szCs w:val="22"/>
                <w:lang w:val="nb-NO"/>
              </w:rPr>
              <w:t>p</w:t>
            </w:r>
            <w:r w:rsidRPr="00BF7743">
              <w:rPr>
                <w:szCs w:val="22"/>
                <w:lang w:val="nb-NO"/>
              </w:rPr>
              <w:t xml:space="preserve">lacebo (antall </w:t>
            </w:r>
            <w:r>
              <w:rPr>
                <w:szCs w:val="22"/>
                <w:lang w:val="nb-NO"/>
              </w:rPr>
              <w:t>med</w:t>
            </w:r>
            <w:r w:rsidRPr="00BF7743">
              <w:rPr>
                <w:szCs w:val="22"/>
                <w:lang w:val="nb-NO"/>
              </w:rPr>
              <w:t xml:space="preserve"> </w:t>
            </w:r>
            <w:r>
              <w:rPr>
                <w:szCs w:val="22"/>
                <w:lang w:val="nb-NO"/>
              </w:rPr>
              <w:t>risiko</w:t>
            </w:r>
            <w:r w:rsidRPr="00BF7743">
              <w:rPr>
                <w:szCs w:val="22"/>
                <w:lang w:val="nb-NO"/>
              </w:rPr>
              <w:t xml:space="preserve">); H = HUMIRA (antall </w:t>
            </w:r>
            <w:r>
              <w:rPr>
                <w:szCs w:val="22"/>
                <w:lang w:val="nb-NO"/>
              </w:rPr>
              <w:t>med</w:t>
            </w:r>
            <w:r w:rsidRPr="00BF7743">
              <w:rPr>
                <w:szCs w:val="22"/>
                <w:lang w:val="nb-NO"/>
              </w:rPr>
              <w:t xml:space="preserve"> </w:t>
            </w:r>
            <w:r>
              <w:rPr>
                <w:szCs w:val="22"/>
                <w:lang w:val="nb-NO"/>
              </w:rPr>
              <w:t>risiko</w:t>
            </w:r>
            <w:r w:rsidRPr="00BF7743">
              <w:rPr>
                <w:szCs w:val="22"/>
                <w:lang w:val="nb-NO"/>
              </w:rPr>
              <w:t>).</w:t>
            </w:r>
          </w:p>
        </w:tc>
      </w:tr>
    </w:tbl>
    <w:p w14:paraId="36C62FEF" w14:textId="77777777" w:rsidR="009E676E" w:rsidRPr="00644328" w:rsidRDefault="009E676E" w:rsidP="009E676E">
      <w:pPr>
        <w:suppressAutoHyphens/>
        <w:rPr>
          <w:sz w:val="22"/>
          <w:szCs w:val="22"/>
        </w:rPr>
      </w:pPr>
    </w:p>
    <w:p w14:paraId="6C29C06F" w14:textId="77777777" w:rsidR="009E676E" w:rsidRPr="00644328" w:rsidRDefault="00E453CD" w:rsidP="00776A84">
      <w:pPr>
        <w:keepNext/>
        <w:suppressAutoHyphens/>
        <w:ind w:left="576" w:hanging="576"/>
        <w:rPr>
          <w:b/>
          <w:sz w:val="22"/>
          <w:szCs w:val="22"/>
        </w:rPr>
      </w:pPr>
      <w:r w:rsidRPr="00644328">
        <w:rPr>
          <w:b/>
          <w:sz w:val="22"/>
          <w:szCs w:val="22"/>
        </w:rPr>
        <w:t>5.2</w:t>
      </w:r>
      <w:r w:rsidRPr="00644328">
        <w:rPr>
          <w:b/>
          <w:sz w:val="22"/>
          <w:szCs w:val="22"/>
        </w:rPr>
        <w:tab/>
        <w:t>Farmakokinetiske egenskaper</w:t>
      </w:r>
    </w:p>
    <w:p w14:paraId="18C84FA6" w14:textId="77777777" w:rsidR="009E676E" w:rsidRPr="009C5EFD" w:rsidRDefault="009E676E" w:rsidP="00776A84">
      <w:pPr>
        <w:keepNext/>
        <w:suppressAutoHyphens/>
        <w:rPr>
          <w:sz w:val="22"/>
          <w:szCs w:val="22"/>
        </w:rPr>
      </w:pPr>
    </w:p>
    <w:p w14:paraId="57A44761" w14:textId="77777777" w:rsidR="009E676E" w:rsidRPr="009C5EFD" w:rsidRDefault="00E453CD" w:rsidP="00776A84">
      <w:pPr>
        <w:keepNext/>
        <w:rPr>
          <w:sz w:val="22"/>
          <w:szCs w:val="22"/>
          <w:u w:val="single"/>
        </w:rPr>
      </w:pPr>
      <w:r w:rsidRPr="009C5EFD">
        <w:rPr>
          <w:sz w:val="22"/>
          <w:szCs w:val="22"/>
          <w:u w:val="single"/>
        </w:rPr>
        <w:t>Absorpsjon og distribusjon</w:t>
      </w:r>
    </w:p>
    <w:p w14:paraId="5453374B" w14:textId="77777777" w:rsidR="009E676E" w:rsidRPr="009C5EFD" w:rsidRDefault="009E676E" w:rsidP="00776A84">
      <w:pPr>
        <w:keepNext/>
        <w:rPr>
          <w:sz w:val="22"/>
          <w:szCs w:val="22"/>
          <w:u w:val="single"/>
        </w:rPr>
      </w:pPr>
    </w:p>
    <w:p w14:paraId="177D1708" w14:textId="77777777" w:rsidR="009E676E" w:rsidRDefault="00E453CD" w:rsidP="009E676E">
      <w:pPr>
        <w:rPr>
          <w:sz w:val="22"/>
          <w:szCs w:val="22"/>
        </w:rPr>
      </w:pPr>
      <w:r w:rsidRPr="009C5EFD">
        <w:rPr>
          <w:sz w:val="22"/>
          <w:szCs w:val="22"/>
        </w:rPr>
        <w:t>Etter subkutan administrasjon av</w:t>
      </w:r>
      <w:r w:rsidR="00D41447">
        <w:rPr>
          <w:sz w:val="22"/>
          <w:szCs w:val="22"/>
        </w:rPr>
        <w:t xml:space="preserve"> en enkeltdose på</w:t>
      </w:r>
      <w:r w:rsidRPr="009C5EFD">
        <w:rPr>
          <w:sz w:val="22"/>
          <w:szCs w:val="22"/>
        </w:rPr>
        <w:t xml:space="preserve"> 40 mg er absorpsjonen og distribusjonen av adalimumab langsom, med</w:t>
      </w:r>
      <w:r w:rsidR="00D41447">
        <w:rPr>
          <w:sz w:val="22"/>
          <w:szCs w:val="22"/>
        </w:rPr>
        <w:t xml:space="preserve"> maksimale</w:t>
      </w:r>
      <w:r w:rsidRPr="009C5EFD">
        <w:rPr>
          <w:sz w:val="22"/>
          <w:szCs w:val="22"/>
        </w:rPr>
        <w:t xml:space="preserve"> serumkonsentrasjoner etter omkring 5 dager. Den gjennomsnittlige absolutte biotilgjengeligheten for adalimumab </w:t>
      </w:r>
      <w:r w:rsidR="00D41447">
        <w:rPr>
          <w:sz w:val="22"/>
          <w:szCs w:val="22"/>
        </w:rPr>
        <w:t>estimert</w:t>
      </w:r>
      <w:r w:rsidR="00D41447" w:rsidRPr="009C5EFD">
        <w:rPr>
          <w:sz w:val="22"/>
          <w:szCs w:val="22"/>
        </w:rPr>
        <w:t xml:space="preserve"> </w:t>
      </w:r>
      <w:r w:rsidRPr="009C5EFD">
        <w:rPr>
          <w:sz w:val="22"/>
          <w:szCs w:val="22"/>
        </w:rPr>
        <w:t>fra tre studier etter en enkelt</w:t>
      </w:r>
      <w:r w:rsidR="00D41447">
        <w:rPr>
          <w:sz w:val="22"/>
          <w:szCs w:val="22"/>
        </w:rPr>
        <w:t>dose på</w:t>
      </w:r>
      <w:r w:rsidRPr="009C5EFD">
        <w:rPr>
          <w:sz w:val="22"/>
          <w:szCs w:val="22"/>
        </w:rPr>
        <w:t xml:space="preserve"> 40 mg</w:t>
      </w:r>
      <w:r w:rsidR="00D41447">
        <w:rPr>
          <w:sz w:val="22"/>
          <w:szCs w:val="22"/>
        </w:rPr>
        <w:t xml:space="preserve"> gitt</w:t>
      </w:r>
      <w:r w:rsidRPr="009C5EFD">
        <w:rPr>
          <w:sz w:val="22"/>
          <w:szCs w:val="22"/>
        </w:rPr>
        <w:t xml:space="preserve"> subkutan</w:t>
      </w:r>
      <w:r w:rsidR="00D41447">
        <w:rPr>
          <w:sz w:val="22"/>
          <w:szCs w:val="22"/>
        </w:rPr>
        <w:t>t</w:t>
      </w:r>
      <w:r w:rsidRPr="009C5EFD">
        <w:rPr>
          <w:sz w:val="22"/>
          <w:szCs w:val="22"/>
        </w:rPr>
        <w:t xml:space="preserve"> var 64</w:t>
      </w:r>
      <w:r w:rsidR="009A60E6">
        <w:rPr>
          <w:sz w:val="22"/>
          <w:szCs w:val="22"/>
        </w:rPr>
        <w:t> </w:t>
      </w:r>
      <w:r w:rsidRPr="009C5EFD">
        <w:rPr>
          <w:sz w:val="22"/>
          <w:szCs w:val="22"/>
        </w:rPr>
        <w:t>%. Etter enkeltdoser administrert</w:t>
      </w:r>
      <w:r w:rsidR="00D41447">
        <w:rPr>
          <w:sz w:val="22"/>
          <w:szCs w:val="22"/>
        </w:rPr>
        <w:t xml:space="preserve"> intravenøst</w:t>
      </w:r>
      <w:r w:rsidRPr="009C5EFD">
        <w:rPr>
          <w:sz w:val="22"/>
          <w:szCs w:val="22"/>
        </w:rPr>
        <w:t xml:space="preserve"> i området 0,25 til 10 mg/kg var konsentrasjonene proporsjonale med dosen. Etter doser på 0,5 mg/kg (</w:t>
      </w:r>
      <w:r w:rsidR="00814D0E" w:rsidRPr="00814D0E">
        <w:rPr>
          <w:sz w:val="22"/>
          <w:szCs w:val="22"/>
        </w:rPr>
        <w:t>~</w:t>
      </w:r>
      <w:r w:rsidRPr="009C5EFD">
        <w:rPr>
          <w:sz w:val="22"/>
          <w:szCs w:val="22"/>
        </w:rPr>
        <w:t>40 mg) varierte clearance fra 11 til 15 ml/time, distribusjonsvolumet (V</w:t>
      </w:r>
      <w:r w:rsidRPr="009C5EFD">
        <w:rPr>
          <w:sz w:val="22"/>
          <w:szCs w:val="22"/>
          <w:vertAlign w:val="subscript"/>
        </w:rPr>
        <w:t>ss</w:t>
      </w:r>
      <w:r w:rsidRPr="009C5EFD">
        <w:rPr>
          <w:sz w:val="22"/>
          <w:szCs w:val="22"/>
        </w:rPr>
        <w:t xml:space="preserve">) varierte fra 5 til 6 liter, og den </w:t>
      </w:r>
      <w:r w:rsidR="00A83337">
        <w:rPr>
          <w:sz w:val="22"/>
          <w:szCs w:val="22"/>
        </w:rPr>
        <w:t>gjennomsnittlige halveringstiden ved terminalfase</w:t>
      </w:r>
      <w:r w:rsidRPr="009C5EFD">
        <w:rPr>
          <w:sz w:val="22"/>
          <w:szCs w:val="22"/>
        </w:rPr>
        <w:t>var ca. to uker. Adalimumab-konsentrasjonen i synovialvæsken hos flere pasienter med revmatoid artritt varierte fra 31 til 96 % av konsentrasjonen i serum.</w:t>
      </w:r>
    </w:p>
    <w:p w14:paraId="34E95F21" w14:textId="77777777" w:rsidR="00FB4C84" w:rsidRDefault="00FB4C84" w:rsidP="009E676E">
      <w:pPr>
        <w:rPr>
          <w:sz w:val="22"/>
          <w:szCs w:val="22"/>
        </w:rPr>
      </w:pPr>
    </w:p>
    <w:p w14:paraId="77F34AEE" w14:textId="77777777" w:rsidR="00FB4C84" w:rsidRPr="009C5EFD" w:rsidRDefault="00E453CD" w:rsidP="009E676E">
      <w:pPr>
        <w:rPr>
          <w:sz w:val="22"/>
          <w:szCs w:val="22"/>
        </w:rPr>
      </w:pPr>
      <w:r w:rsidRPr="009C5EFD">
        <w:rPr>
          <w:sz w:val="22"/>
          <w:szCs w:val="22"/>
        </w:rPr>
        <w:t xml:space="preserve">Etter subkutan administrasjon av 40 mg adalimumab annenhver uke hos voksne pasienter med revmatoid artritt (RA), var gjennomsnittlig </w:t>
      </w:r>
      <w:r w:rsidR="00357C88">
        <w:rPr>
          <w:sz w:val="22"/>
          <w:szCs w:val="22"/>
        </w:rPr>
        <w:t>bunn</w:t>
      </w:r>
      <w:r w:rsidRPr="009C5EFD">
        <w:rPr>
          <w:sz w:val="22"/>
          <w:szCs w:val="22"/>
        </w:rPr>
        <w:t xml:space="preserve">konsentrasjon ved steady-state på henholdsvis omkring 5 mikrog/ml (uten samtidig metotreksat) og 8 til 9 mikrog/ml (med samtidig metotreksat). </w:t>
      </w:r>
      <w:r w:rsidR="00B125D2">
        <w:rPr>
          <w:sz w:val="22"/>
          <w:szCs w:val="22"/>
        </w:rPr>
        <w:t>Bunn</w:t>
      </w:r>
      <w:r w:rsidRPr="009C5EFD">
        <w:rPr>
          <w:color w:val="000000"/>
          <w:sz w:val="22"/>
          <w:szCs w:val="22"/>
        </w:rPr>
        <w:t>nivåene av adalimumab i s</w:t>
      </w:r>
      <w:r w:rsidRPr="009C5EFD">
        <w:rPr>
          <w:sz w:val="22"/>
          <w:szCs w:val="22"/>
        </w:rPr>
        <w:t>erum ved steady-state økte omtrent proporsjonalt med dosen etter 20, 40 og 80 mg administrert</w:t>
      </w:r>
      <w:r>
        <w:rPr>
          <w:sz w:val="22"/>
          <w:szCs w:val="22"/>
        </w:rPr>
        <w:t xml:space="preserve"> subkutant</w:t>
      </w:r>
      <w:r w:rsidRPr="009C5EFD">
        <w:rPr>
          <w:sz w:val="22"/>
          <w:szCs w:val="22"/>
        </w:rPr>
        <w:t xml:space="preserve"> annenhver uke og hver uke.</w:t>
      </w:r>
    </w:p>
    <w:p w14:paraId="4B8E7369" w14:textId="77777777" w:rsidR="009E676E" w:rsidRPr="009C5EFD" w:rsidRDefault="009E676E" w:rsidP="009E676E">
      <w:pPr>
        <w:rPr>
          <w:sz w:val="22"/>
          <w:szCs w:val="22"/>
        </w:rPr>
      </w:pPr>
    </w:p>
    <w:p w14:paraId="32EE732A" w14:textId="77777777" w:rsidR="009E676E" w:rsidRPr="009C5EFD" w:rsidRDefault="00E453CD" w:rsidP="009E676E">
      <w:pPr>
        <w:autoSpaceDE w:val="0"/>
        <w:autoSpaceDN w:val="0"/>
        <w:adjustRightInd w:val="0"/>
        <w:rPr>
          <w:sz w:val="22"/>
          <w:szCs w:val="22"/>
        </w:rPr>
      </w:pPr>
      <w:r w:rsidRPr="009C5EFD">
        <w:rPr>
          <w:sz w:val="22"/>
          <w:szCs w:val="22"/>
        </w:rPr>
        <w:t xml:space="preserve">Hos voksne pasienter med psoriasis var gjennomsnittlig </w:t>
      </w:r>
      <w:r w:rsidR="00B125D2">
        <w:rPr>
          <w:sz w:val="22"/>
          <w:szCs w:val="22"/>
        </w:rPr>
        <w:t>bunn</w:t>
      </w:r>
      <w:r w:rsidRPr="009C5EFD">
        <w:rPr>
          <w:sz w:val="22"/>
          <w:szCs w:val="22"/>
        </w:rPr>
        <w:t>konsentrasjon ved steady-state 5 mikrog/ml under monoterapibehandling med 40 mg adalimumab annenhver uke.</w:t>
      </w:r>
    </w:p>
    <w:p w14:paraId="00C4DAF1" w14:textId="77777777" w:rsidR="009E676E" w:rsidRPr="009C5EFD" w:rsidRDefault="009E676E" w:rsidP="009E676E">
      <w:pPr>
        <w:rPr>
          <w:sz w:val="22"/>
          <w:szCs w:val="22"/>
        </w:rPr>
      </w:pPr>
    </w:p>
    <w:p w14:paraId="1B100A5F" w14:textId="77777777" w:rsidR="009E676E" w:rsidRDefault="00E453CD" w:rsidP="009E676E">
      <w:pPr>
        <w:autoSpaceDE w:val="0"/>
        <w:autoSpaceDN w:val="0"/>
        <w:adjustRightInd w:val="0"/>
        <w:rPr>
          <w:rFonts w:eastAsia="TimesNewRoman"/>
          <w:sz w:val="22"/>
          <w:szCs w:val="22"/>
        </w:rPr>
      </w:pPr>
      <w:r w:rsidRPr="009C5EFD">
        <w:rPr>
          <w:rFonts w:eastAsia="TimesNewRoman"/>
          <w:sz w:val="22"/>
          <w:szCs w:val="22"/>
        </w:rPr>
        <w:lastRenderedPageBreak/>
        <w:t xml:space="preserve">Hos </w:t>
      </w:r>
      <w:r>
        <w:rPr>
          <w:rFonts w:eastAsia="TimesNewRoman"/>
          <w:sz w:val="22"/>
          <w:szCs w:val="22"/>
        </w:rPr>
        <w:t xml:space="preserve">voksne </w:t>
      </w:r>
      <w:r w:rsidRPr="009C5EFD">
        <w:rPr>
          <w:rFonts w:eastAsia="TimesNewRoman"/>
          <w:sz w:val="22"/>
          <w:szCs w:val="22"/>
        </w:rPr>
        <w:t xml:space="preserve">pasienter med hidrosadenitt gir en dose på 160 mg Humira ved uke 0 etterfulgt av 80 mg ved uke 2 en </w:t>
      </w:r>
      <w:r w:rsidR="00B125D2">
        <w:rPr>
          <w:rFonts w:eastAsia="TimesNewRoman"/>
          <w:sz w:val="22"/>
          <w:szCs w:val="22"/>
        </w:rPr>
        <w:t>bunn</w:t>
      </w:r>
      <w:r w:rsidRPr="009C5EFD">
        <w:rPr>
          <w:rFonts w:eastAsia="TimesNewRoman"/>
          <w:sz w:val="22"/>
          <w:szCs w:val="22"/>
        </w:rPr>
        <w:t xml:space="preserve">konsentrasjon av adalimumab i serum på ca. 7 til 8 mikrog/ml ved uke 2 og uke 4. Gjennomsnittlig </w:t>
      </w:r>
      <w:r w:rsidR="00B125D2">
        <w:rPr>
          <w:rFonts w:eastAsia="TimesNewRoman"/>
          <w:sz w:val="22"/>
          <w:szCs w:val="22"/>
        </w:rPr>
        <w:t>bunn</w:t>
      </w:r>
      <w:r w:rsidRPr="009C5EFD">
        <w:rPr>
          <w:rFonts w:eastAsia="TimesNewRoman"/>
          <w:sz w:val="22"/>
          <w:szCs w:val="22"/>
        </w:rPr>
        <w:t xml:space="preserve">konsentrasjon i serum ved steady-state </w:t>
      </w:r>
      <w:r>
        <w:rPr>
          <w:rFonts w:eastAsia="TimesNewRoman"/>
          <w:sz w:val="22"/>
          <w:szCs w:val="22"/>
        </w:rPr>
        <w:t>fra</w:t>
      </w:r>
      <w:r w:rsidRPr="009C5EFD">
        <w:rPr>
          <w:rFonts w:eastAsia="TimesNewRoman"/>
          <w:sz w:val="22"/>
          <w:szCs w:val="22"/>
        </w:rPr>
        <w:t xml:space="preserve"> uke 12 </w:t>
      </w:r>
      <w:r w:rsidR="008138BF">
        <w:rPr>
          <w:rFonts w:eastAsia="TimesNewRoman"/>
          <w:sz w:val="22"/>
          <w:szCs w:val="22"/>
        </w:rPr>
        <w:t>til og med uke 36</w:t>
      </w:r>
      <w:r w:rsidRPr="009C5EFD">
        <w:rPr>
          <w:rFonts w:eastAsia="TimesNewRoman"/>
          <w:sz w:val="22"/>
          <w:szCs w:val="22"/>
        </w:rPr>
        <w:t xml:space="preserve"> var ca. 8 til 10 mikrog/ml under behandling med 40 mg adalimumab hver uke.</w:t>
      </w:r>
    </w:p>
    <w:p w14:paraId="516AA88B" w14:textId="77777777" w:rsidR="009E676E" w:rsidRDefault="009E676E" w:rsidP="009E676E">
      <w:pPr>
        <w:autoSpaceDE w:val="0"/>
        <w:autoSpaceDN w:val="0"/>
        <w:adjustRightInd w:val="0"/>
        <w:rPr>
          <w:rFonts w:eastAsia="TimesNewRoman"/>
          <w:sz w:val="22"/>
          <w:szCs w:val="22"/>
        </w:rPr>
      </w:pPr>
    </w:p>
    <w:p w14:paraId="03D0AD29" w14:textId="77777777" w:rsidR="009E676E" w:rsidRPr="00DB4B30" w:rsidRDefault="00E453CD" w:rsidP="009E676E">
      <w:pPr>
        <w:autoSpaceDE w:val="0"/>
        <w:autoSpaceDN w:val="0"/>
        <w:adjustRightInd w:val="0"/>
        <w:rPr>
          <w:rFonts w:eastAsia="TimesNewRoman"/>
          <w:sz w:val="22"/>
          <w:szCs w:val="22"/>
        </w:rPr>
      </w:pPr>
      <w:r w:rsidRPr="00DB4B30">
        <w:rPr>
          <w:sz w:val="22"/>
          <w:szCs w:val="22"/>
        </w:rPr>
        <w:t xml:space="preserve">Eksponering </w:t>
      </w:r>
      <w:r w:rsidR="00421D8C">
        <w:rPr>
          <w:sz w:val="22"/>
          <w:szCs w:val="22"/>
        </w:rPr>
        <w:t>for</w:t>
      </w:r>
      <w:r w:rsidRPr="00DB4B30">
        <w:rPr>
          <w:sz w:val="22"/>
          <w:szCs w:val="22"/>
        </w:rPr>
        <w:t xml:space="preserve"> adalimumab hos ungdom med HS ble estimert ved å benytte </w:t>
      </w:r>
      <w:r w:rsidR="008138BF">
        <w:rPr>
          <w:sz w:val="22"/>
          <w:szCs w:val="22"/>
        </w:rPr>
        <w:t>farmakokinetisk populasjonsmodellering</w:t>
      </w:r>
      <w:r w:rsidRPr="00DB4B30">
        <w:rPr>
          <w:sz w:val="22"/>
          <w:szCs w:val="22"/>
        </w:rPr>
        <w:t xml:space="preserve"> og simulering, basert på farmakokinetikk observert på tvers av indikasjoner ved bruk hos andre pediatriske pasienter (pediatrisk psoriasis, juvenil idiopatisk artritt, pediatrisk Crohns sykdom og entesittrelatert artritt). Anbefalt dosering hos ungdom med HS er 40 mg annenhver uke. Siden eksponeringen av adalimumab  kan påvirkes av kroppsstørrelse, kan ungdom med høyere kroppsvekt og utilstrekkelig respons ha fordel av å bli behandlet med anbefalt dosering for voksne på 40 mg hver uke.</w:t>
      </w:r>
    </w:p>
    <w:p w14:paraId="778FB2CA" w14:textId="77777777" w:rsidR="009E676E" w:rsidRPr="009C5EFD" w:rsidRDefault="009E676E" w:rsidP="009E676E">
      <w:pPr>
        <w:rPr>
          <w:sz w:val="22"/>
          <w:szCs w:val="22"/>
        </w:rPr>
      </w:pPr>
    </w:p>
    <w:p w14:paraId="5ECAF8BA" w14:textId="77777777" w:rsidR="009E676E" w:rsidRPr="009C5EFD" w:rsidRDefault="00E453CD" w:rsidP="009E676E">
      <w:pPr>
        <w:rPr>
          <w:sz w:val="22"/>
          <w:szCs w:val="22"/>
        </w:rPr>
      </w:pPr>
      <w:r w:rsidRPr="009C5EFD">
        <w:rPr>
          <w:sz w:val="22"/>
          <w:szCs w:val="22"/>
        </w:rPr>
        <w:t xml:space="preserve">Hos pasienter med Crohns sykdom </w:t>
      </w:r>
      <w:r w:rsidR="00D41447">
        <w:rPr>
          <w:sz w:val="22"/>
          <w:szCs w:val="22"/>
        </w:rPr>
        <w:t>gir en induksjonsdose på 80 mg ved uke 0 etterfulgt av 40 mg Humira ved uke 2 en</w:t>
      </w:r>
      <w:r w:rsidRPr="009C5EFD">
        <w:rPr>
          <w:sz w:val="22"/>
          <w:szCs w:val="22"/>
        </w:rPr>
        <w:t xml:space="preserve"> </w:t>
      </w:r>
      <w:r w:rsidR="00B125D2">
        <w:rPr>
          <w:sz w:val="22"/>
          <w:szCs w:val="22"/>
        </w:rPr>
        <w:t>bunn</w:t>
      </w:r>
      <w:r w:rsidR="00D41447">
        <w:rPr>
          <w:sz w:val="22"/>
          <w:szCs w:val="22"/>
        </w:rPr>
        <w:t>konsentrasjon</w:t>
      </w:r>
      <w:r w:rsidRPr="009C5EFD">
        <w:rPr>
          <w:sz w:val="22"/>
          <w:szCs w:val="22"/>
        </w:rPr>
        <w:t xml:space="preserve"> av adalimumab i</w:t>
      </w:r>
      <w:r w:rsidRPr="009C5EFD">
        <w:rPr>
          <w:color w:val="000000"/>
          <w:sz w:val="22"/>
          <w:szCs w:val="22"/>
        </w:rPr>
        <w:t xml:space="preserve"> </w:t>
      </w:r>
      <w:r w:rsidR="00D41447">
        <w:rPr>
          <w:color w:val="000000"/>
          <w:sz w:val="22"/>
          <w:szCs w:val="22"/>
        </w:rPr>
        <w:t>serum på omtrent</w:t>
      </w:r>
      <w:r w:rsidRPr="009C5EFD">
        <w:rPr>
          <w:sz w:val="22"/>
          <w:szCs w:val="22"/>
        </w:rPr>
        <w:t xml:space="preserve"> 5,5 mikrog/ml </w:t>
      </w:r>
      <w:r w:rsidR="00D41447">
        <w:rPr>
          <w:sz w:val="22"/>
          <w:szCs w:val="22"/>
        </w:rPr>
        <w:t>under</w:t>
      </w:r>
      <w:r w:rsidRPr="009C5EFD">
        <w:rPr>
          <w:sz w:val="22"/>
          <w:szCs w:val="22"/>
        </w:rPr>
        <w:t xml:space="preserve"> induksjons</w:t>
      </w:r>
      <w:r w:rsidR="00D41447">
        <w:rPr>
          <w:sz w:val="22"/>
          <w:szCs w:val="22"/>
        </w:rPr>
        <w:t>perioden</w:t>
      </w:r>
      <w:r w:rsidRPr="009C5EFD">
        <w:rPr>
          <w:sz w:val="22"/>
          <w:szCs w:val="22"/>
        </w:rPr>
        <w:t xml:space="preserve">. </w:t>
      </w:r>
      <w:r w:rsidR="00D41447">
        <w:rPr>
          <w:sz w:val="22"/>
          <w:szCs w:val="22"/>
        </w:rPr>
        <w:t>En</w:t>
      </w:r>
      <w:r w:rsidRPr="009C5EFD">
        <w:rPr>
          <w:sz w:val="22"/>
          <w:szCs w:val="22"/>
        </w:rPr>
        <w:t xml:space="preserve"> induksjons</w:t>
      </w:r>
      <w:r w:rsidRPr="009C5EFD">
        <w:rPr>
          <w:color w:val="000000"/>
          <w:sz w:val="22"/>
          <w:szCs w:val="22"/>
        </w:rPr>
        <w:t>dose</w:t>
      </w:r>
      <w:r w:rsidR="00D41447">
        <w:rPr>
          <w:color w:val="000000"/>
          <w:sz w:val="22"/>
          <w:szCs w:val="22"/>
        </w:rPr>
        <w:t xml:space="preserve"> på</w:t>
      </w:r>
      <w:r w:rsidRPr="009C5EFD">
        <w:rPr>
          <w:sz w:val="22"/>
          <w:szCs w:val="22"/>
        </w:rPr>
        <w:t xml:space="preserve"> 160 mg Humira ved uke 0 etterfulgt av 80 mg Humira ved uke 2 </w:t>
      </w:r>
      <w:r w:rsidR="00D41447">
        <w:rPr>
          <w:sz w:val="22"/>
          <w:szCs w:val="22"/>
        </w:rPr>
        <w:t>gav en</w:t>
      </w:r>
      <w:r w:rsidRPr="009C5EFD">
        <w:rPr>
          <w:sz w:val="22"/>
          <w:szCs w:val="22"/>
        </w:rPr>
        <w:t xml:space="preserve"> </w:t>
      </w:r>
      <w:r w:rsidR="00B125D2">
        <w:rPr>
          <w:sz w:val="22"/>
          <w:szCs w:val="22"/>
        </w:rPr>
        <w:t>bunn</w:t>
      </w:r>
      <w:r w:rsidR="00D41447">
        <w:rPr>
          <w:sz w:val="22"/>
          <w:szCs w:val="22"/>
        </w:rPr>
        <w:t>konsentrasjon</w:t>
      </w:r>
      <w:r w:rsidRPr="009C5EFD">
        <w:rPr>
          <w:sz w:val="22"/>
          <w:szCs w:val="22"/>
        </w:rPr>
        <w:t xml:space="preserve"> av adalimumab </w:t>
      </w:r>
      <w:r w:rsidR="00D41447">
        <w:rPr>
          <w:sz w:val="22"/>
          <w:szCs w:val="22"/>
        </w:rPr>
        <w:t xml:space="preserve">i serum på </w:t>
      </w:r>
      <w:r w:rsidRPr="009C5EFD">
        <w:rPr>
          <w:sz w:val="22"/>
          <w:szCs w:val="22"/>
        </w:rPr>
        <w:t>ca. 12 mikrog/ml</w:t>
      </w:r>
      <w:r w:rsidRPr="009C5EFD">
        <w:rPr>
          <w:color w:val="000000"/>
          <w:sz w:val="22"/>
          <w:szCs w:val="22"/>
        </w:rPr>
        <w:t xml:space="preserve"> i induksjonsperioden</w:t>
      </w:r>
      <w:r w:rsidRPr="009C5EFD">
        <w:rPr>
          <w:sz w:val="22"/>
          <w:szCs w:val="22"/>
        </w:rPr>
        <w:t xml:space="preserve">. Gjennomsnittlige </w:t>
      </w:r>
      <w:r w:rsidR="00B125D2">
        <w:rPr>
          <w:sz w:val="22"/>
          <w:szCs w:val="22"/>
        </w:rPr>
        <w:t>bunn</w:t>
      </w:r>
      <w:r w:rsidRPr="009C5EFD">
        <w:rPr>
          <w:sz w:val="22"/>
          <w:szCs w:val="22"/>
        </w:rPr>
        <w:t xml:space="preserve">nivåer ved steady-state på ca. 7 mikrog/ml ble observert hos pasienter med Crohns sykdom som fikk </w:t>
      </w:r>
      <w:r w:rsidR="00D41447">
        <w:rPr>
          <w:sz w:val="22"/>
          <w:szCs w:val="22"/>
        </w:rPr>
        <w:t xml:space="preserve">en </w:t>
      </w:r>
      <w:r w:rsidRPr="009C5EFD">
        <w:rPr>
          <w:sz w:val="22"/>
          <w:szCs w:val="22"/>
        </w:rPr>
        <w:t>vedlikeholdsdose</w:t>
      </w:r>
      <w:r w:rsidR="00D41447">
        <w:rPr>
          <w:sz w:val="22"/>
          <w:szCs w:val="22"/>
        </w:rPr>
        <w:t xml:space="preserve"> på</w:t>
      </w:r>
      <w:r w:rsidRPr="009C5EFD">
        <w:rPr>
          <w:sz w:val="22"/>
          <w:szCs w:val="22"/>
        </w:rPr>
        <w:t xml:space="preserve"> 40 mg Humira annenhver uke.</w:t>
      </w:r>
    </w:p>
    <w:p w14:paraId="2BB4CF76" w14:textId="77777777" w:rsidR="009E676E" w:rsidRPr="009C5EFD" w:rsidRDefault="009E676E" w:rsidP="009E676E">
      <w:pPr>
        <w:rPr>
          <w:sz w:val="22"/>
          <w:szCs w:val="22"/>
        </w:rPr>
      </w:pPr>
    </w:p>
    <w:p w14:paraId="5287BE2E" w14:textId="77777777" w:rsidR="009E676E" w:rsidRPr="009C5EFD" w:rsidRDefault="00E453CD" w:rsidP="009E676E">
      <w:pPr>
        <w:suppressAutoHyphens/>
        <w:rPr>
          <w:rFonts w:eastAsia="Arial Unicode MS"/>
          <w:sz w:val="22"/>
          <w:szCs w:val="22"/>
        </w:rPr>
      </w:pPr>
      <w:r w:rsidRPr="009C5EFD">
        <w:rPr>
          <w:sz w:val="22"/>
          <w:szCs w:val="22"/>
        </w:rPr>
        <w:t xml:space="preserve">Hos pediatriske pasienter med moderat til alvorlig Crohns sykdom var den åpne adalimumab induksjonsdosen 160/80 mg eller 80/40 mg ved henholdsvis uke 0 og 2 avhengig av en kroppsvekt avskåret ved 40 kg. Ved uke 4 ble pasienter randomisert til vedlikeholdsbehandlingsgrupper 1:1 til enten standard dose (40/20 mg annenhver uke) eller lav dose (20/10 mg annenhver uke) basert på deres kroppsvekt. Gjennomsnittlige </w:t>
      </w:r>
      <w:r w:rsidRPr="009C5EFD">
        <w:rPr>
          <w:sz w:val="22"/>
          <w:szCs w:val="22"/>
          <w:lang w:eastAsia="en-GB"/>
        </w:rPr>
        <w:t>(</w:t>
      </w:r>
      <w:r w:rsidRPr="009C5EFD">
        <w:rPr>
          <w:rFonts w:eastAsia="Arial Unicode MS"/>
          <w:sz w:val="22"/>
          <w:szCs w:val="22"/>
        </w:rPr>
        <w:t>±SD</w:t>
      </w:r>
      <w:r w:rsidRPr="00AB7697">
        <w:rPr>
          <w:rFonts w:eastAsia="Arial Unicode MS"/>
          <w:sz w:val="22"/>
        </w:rPr>
        <w:t xml:space="preserve">) </w:t>
      </w:r>
      <w:r w:rsidR="00B125D2">
        <w:rPr>
          <w:sz w:val="22"/>
          <w:szCs w:val="22"/>
        </w:rPr>
        <w:t>bunn</w:t>
      </w:r>
      <w:r w:rsidRPr="009C5EFD">
        <w:rPr>
          <w:sz w:val="22"/>
          <w:szCs w:val="22"/>
        </w:rPr>
        <w:t xml:space="preserve">konsentrasjoner av adalimumab i serum oppnådd ved uke 4 var 15,7 </w:t>
      </w:r>
      <w:r w:rsidRPr="009C5EFD">
        <w:rPr>
          <w:rFonts w:eastAsia="Arial Unicode MS"/>
          <w:sz w:val="22"/>
          <w:szCs w:val="22"/>
        </w:rPr>
        <w:t>± 6,6 mikrog/ml for pasienter ≥ 40 kg (160/80 mg) og 10,6 ± 6,1 mikrog/ml for pasienter &lt; 40 kg (80/40 mg).</w:t>
      </w:r>
    </w:p>
    <w:p w14:paraId="3C97BC29" w14:textId="77777777" w:rsidR="009E676E" w:rsidRPr="009C5EFD" w:rsidRDefault="009E676E" w:rsidP="009E676E">
      <w:pPr>
        <w:suppressAutoHyphens/>
        <w:rPr>
          <w:rFonts w:eastAsia="Arial Unicode MS"/>
          <w:sz w:val="22"/>
          <w:szCs w:val="22"/>
        </w:rPr>
      </w:pPr>
    </w:p>
    <w:p w14:paraId="241A3562" w14:textId="77777777" w:rsidR="009E676E" w:rsidRPr="009C5EFD" w:rsidRDefault="00E453CD" w:rsidP="009E676E">
      <w:pPr>
        <w:rPr>
          <w:sz w:val="22"/>
          <w:szCs w:val="22"/>
        </w:rPr>
      </w:pPr>
      <w:r w:rsidRPr="009C5EFD">
        <w:rPr>
          <w:rFonts w:eastAsia="Arial Unicode MS"/>
          <w:sz w:val="22"/>
          <w:szCs w:val="22"/>
        </w:rPr>
        <w:t xml:space="preserve">For pasienter som fortsatte på deres randomiserte behandling var gjennomsnittlige </w:t>
      </w:r>
      <w:r w:rsidRPr="009C5EFD">
        <w:rPr>
          <w:sz w:val="22"/>
          <w:szCs w:val="22"/>
          <w:lang w:eastAsia="en-GB"/>
        </w:rPr>
        <w:t>(</w:t>
      </w:r>
      <w:r w:rsidRPr="009C5EFD">
        <w:rPr>
          <w:rFonts w:eastAsia="Arial Unicode MS"/>
          <w:sz w:val="22"/>
          <w:szCs w:val="22"/>
        </w:rPr>
        <w:t>±SD</w:t>
      </w:r>
      <w:r w:rsidRPr="00AB7697">
        <w:rPr>
          <w:rFonts w:eastAsia="Arial Unicode MS"/>
          <w:sz w:val="22"/>
        </w:rPr>
        <w:t xml:space="preserve">) </w:t>
      </w:r>
      <w:r w:rsidR="00B125D2">
        <w:rPr>
          <w:sz w:val="22"/>
          <w:szCs w:val="22"/>
        </w:rPr>
        <w:t>bunn</w:t>
      </w:r>
      <w:r w:rsidRPr="009C5EFD">
        <w:rPr>
          <w:sz w:val="22"/>
          <w:szCs w:val="22"/>
        </w:rPr>
        <w:t xml:space="preserve">konsentrasjoner av adalimumab ved uke 52 9,5 </w:t>
      </w:r>
      <w:r w:rsidRPr="009C5EFD">
        <w:rPr>
          <w:rFonts w:eastAsia="Arial Unicode MS"/>
          <w:sz w:val="22"/>
          <w:szCs w:val="22"/>
        </w:rPr>
        <w:t xml:space="preserve">± 5,6 mikrog/ml for </w:t>
      </w:r>
      <w:r w:rsidR="00D41447">
        <w:rPr>
          <w:rFonts w:eastAsia="Arial Unicode MS"/>
          <w:sz w:val="22"/>
          <w:szCs w:val="22"/>
        </w:rPr>
        <w:t xml:space="preserve">gruppen som fikk </w:t>
      </w:r>
      <w:r w:rsidRPr="009C5EFD">
        <w:rPr>
          <w:rFonts w:eastAsia="Arial Unicode MS"/>
          <w:sz w:val="22"/>
          <w:szCs w:val="22"/>
        </w:rPr>
        <w:t xml:space="preserve">standard dose og </w:t>
      </w:r>
      <w:r w:rsidRPr="009C5EFD">
        <w:rPr>
          <w:sz w:val="22"/>
          <w:szCs w:val="22"/>
        </w:rPr>
        <w:t xml:space="preserve">3,5 </w:t>
      </w:r>
      <w:r w:rsidRPr="009C5EFD">
        <w:rPr>
          <w:rFonts w:eastAsia="Arial Unicode MS"/>
          <w:sz w:val="22"/>
          <w:szCs w:val="22"/>
        </w:rPr>
        <w:t xml:space="preserve">± 2,2 mikrog/ml for </w:t>
      </w:r>
      <w:r w:rsidR="00D41447">
        <w:rPr>
          <w:rFonts w:eastAsia="Arial Unicode MS"/>
          <w:sz w:val="22"/>
          <w:szCs w:val="22"/>
        </w:rPr>
        <w:t xml:space="preserve">gruppen som fikk </w:t>
      </w:r>
      <w:r w:rsidRPr="009C5EFD">
        <w:rPr>
          <w:rFonts w:eastAsia="Arial Unicode MS"/>
          <w:sz w:val="22"/>
          <w:szCs w:val="22"/>
        </w:rPr>
        <w:t xml:space="preserve">lav dose. Gjennomsnittlige </w:t>
      </w:r>
      <w:r w:rsidR="00B125D2">
        <w:rPr>
          <w:rFonts w:eastAsia="Arial Unicode MS"/>
          <w:sz w:val="22"/>
          <w:szCs w:val="22"/>
        </w:rPr>
        <w:t>bunn</w:t>
      </w:r>
      <w:r w:rsidRPr="009C5EFD">
        <w:rPr>
          <w:rFonts w:eastAsia="Arial Unicode MS"/>
          <w:sz w:val="22"/>
          <w:szCs w:val="22"/>
        </w:rPr>
        <w:t xml:space="preserve">konsentrasjoner ble vedlikeholdt hos pasienter som fortsatte på adalimumab behandling annenhver uke i 52 uker. For pasienter som økte dosen fra annenhver uke til ukentlig regime var gjennomsnittlige </w:t>
      </w:r>
      <w:r w:rsidRPr="009C5EFD">
        <w:rPr>
          <w:sz w:val="22"/>
          <w:szCs w:val="22"/>
          <w:lang w:eastAsia="en-GB"/>
        </w:rPr>
        <w:t>(</w:t>
      </w:r>
      <w:r w:rsidRPr="009C5EFD">
        <w:rPr>
          <w:rFonts w:eastAsia="Arial Unicode MS"/>
          <w:sz w:val="22"/>
          <w:szCs w:val="22"/>
        </w:rPr>
        <w:t>±SD</w:t>
      </w:r>
      <w:r w:rsidRPr="00AB7697">
        <w:rPr>
          <w:rFonts w:eastAsia="Arial Unicode MS"/>
          <w:sz w:val="22"/>
        </w:rPr>
        <w:t xml:space="preserve">) serum konsentrasjoner av adalimumab ved uke 52 </w:t>
      </w:r>
      <w:r w:rsidRPr="009C5EFD">
        <w:rPr>
          <w:sz w:val="22"/>
          <w:szCs w:val="22"/>
        </w:rPr>
        <w:t xml:space="preserve">15,3 </w:t>
      </w:r>
      <w:r w:rsidRPr="009C5EFD">
        <w:rPr>
          <w:rFonts w:eastAsia="Arial Unicode MS"/>
          <w:sz w:val="22"/>
          <w:szCs w:val="22"/>
        </w:rPr>
        <w:t xml:space="preserve">± 11,4 mikrog/ml (40/20 mg, ukentlig) og </w:t>
      </w:r>
      <w:r w:rsidRPr="009C5EFD">
        <w:rPr>
          <w:sz w:val="22"/>
          <w:szCs w:val="22"/>
        </w:rPr>
        <w:t xml:space="preserve">6,7 </w:t>
      </w:r>
      <w:r w:rsidRPr="009C5EFD">
        <w:rPr>
          <w:rFonts w:eastAsia="Arial Unicode MS"/>
          <w:sz w:val="22"/>
          <w:szCs w:val="22"/>
        </w:rPr>
        <w:t>± 3,5 mikrog/ml (20/10 mg, ukentlig).</w:t>
      </w:r>
    </w:p>
    <w:p w14:paraId="1C7EA4D4" w14:textId="77777777" w:rsidR="009E676E" w:rsidRPr="009C5EFD" w:rsidRDefault="009E676E" w:rsidP="009E676E">
      <w:pPr>
        <w:rPr>
          <w:sz w:val="22"/>
          <w:szCs w:val="22"/>
        </w:rPr>
      </w:pPr>
    </w:p>
    <w:p w14:paraId="418623A5" w14:textId="77777777" w:rsidR="009E676E" w:rsidRDefault="00E453CD" w:rsidP="009E676E">
      <w:pPr>
        <w:autoSpaceDE w:val="0"/>
        <w:autoSpaceDN w:val="0"/>
        <w:adjustRightInd w:val="0"/>
        <w:rPr>
          <w:sz w:val="22"/>
          <w:szCs w:val="22"/>
        </w:rPr>
      </w:pPr>
      <w:r w:rsidRPr="009C5EFD">
        <w:rPr>
          <w:sz w:val="22"/>
          <w:szCs w:val="22"/>
        </w:rPr>
        <w:t xml:space="preserve">Hos pasienter med ulcerøs kolitt var </w:t>
      </w:r>
      <w:r w:rsidR="00B125D2">
        <w:rPr>
          <w:sz w:val="22"/>
          <w:szCs w:val="22"/>
        </w:rPr>
        <w:t>bunn</w:t>
      </w:r>
      <w:r w:rsidRPr="009C5EFD">
        <w:rPr>
          <w:sz w:val="22"/>
          <w:szCs w:val="22"/>
        </w:rPr>
        <w:t xml:space="preserve">nivået for serumkonsentrasjon av adalimumab i induksjonsperioden ca. 12 mikrog/ml med induksjonsdose 160 mg Humira ved uke 0, etterfulgt av 80 mg Humira ved uke 2. Gjennomsnittlige </w:t>
      </w:r>
      <w:r w:rsidR="00B125D2">
        <w:rPr>
          <w:sz w:val="22"/>
          <w:szCs w:val="22"/>
        </w:rPr>
        <w:t>bunn</w:t>
      </w:r>
      <w:r w:rsidRPr="009C5EFD">
        <w:rPr>
          <w:sz w:val="22"/>
          <w:szCs w:val="22"/>
        </w:rPr>
        <w:t>nivåer ved steady-state på ca. 8 mikrog/ml ble observert hos pasienter med ulcerøs kolitt som fikk vedlikeholdsdose 40 mg Humira annenhver uke.</w:t>
      </w:r>
    </w:p>
    <w:p w14:paraId="5212477C" w14:textId="77777777" w:rsidR="009E676E" w:rsidRPr="00CF2468" w:rsidRDefault="009E676E" w:rsidP="009E676E">
      <w:pPr>
        <w:autoSpaceDE w:val="0"/>
        <w:autoSpaceDN w:val="0"/>
        <w:adjustRightInd w:val="0"/>
        <w:rPr>
          <w:sz w:val="22"/>
          <w:szCs w:val="22"/>
        </w:rPr>
      </w:pPr>
    </w:p>
    <w:p w14:paraId="224D3205" w14:textId="77777777" w:rsidR="00F71619" w:rsidRDefault="00E453CD" w:rsidP="00F71619">
      <w:pPr>
        <w:rPr>
          <w:sz w:val="22"/>
          <w:szCs w:val="22"/>
        </w:rPr>
      </w:pPr>
      <w:r w:rsidRPr="00E04B2A">
        <w:rPr>
          <w:sz w:val="22"/>
        </w:rPr>
        <w:t xml:space="preserve">Etter subkutan </w:t>
      </w:r>
      <w:r w:rsidR="00B8124C">
        <w:rPr>
          <w:sz w:val="22"/>
        </w:rPr>
        <w:t>administrasjon</w:t>
      </w:r>
      <w:r w:rsidRPr="00E04B2A">
        <w:rPr>
          <w:sz w:val="22"/>
        </w:rPr>
        <w:t xml:space="preserve"> av </w:t>
      </w:r>
      <w:r>
        <w:rPr>
          <w:sz w:val="22"/>
        </w:rPr>
        <w:t xml:space="preserve">en dose </w:t>
      </w:r>
      <w:r w:rsidR="00B8124C">
        <w:rPr>
          <w:sz w:val="22"/>
        </w:rPr>
        <w:t xml:space="preserve">basert på kroppsvekten </w:t>
      </w:r>
      <w:r w:rsidRPr="00E04B2A">
        <w:rPr>
          <w:sz w:val="22"/>
        </w:rPr>
        <w:t>på 0,6</w:t>
      </w:r>
      <w:r w:rsidR="00DF4E4A">
        <w:rPr>
          <w:sz w:val="22"/>
        </w:rPr>
        <w:t> </w:t>
      </w:r>
      <w:r w:rsidRPr="00E04B2A">
        <w:rPr>
          <w:sz w:val="22"/>
        </w:rPr>
        <w:t>mg/kg (maksimalt 40</w:t>
      </w:r>
      <w:r w:rsidR="00DF4E4A">
        <w:rPr>
          <w:sz w:val="22"/>
        </w:rPr>
        <w:t> </w:t>
      </w:r>
      <w:r w:rsidRPr="00E04B2A">
        <w:rPr>
          <w:sz w:val="22"/>
        </w:rPr>
        <w:t>mg) annenhver uke</w:t>
      </w:r>
      <w:r>
        <w:rPr>
          <w:sz w:val="22"/>
        </w:rPr>
        <w:t xml:space="preserve"> </w:t>
      </w:r>
      <w:r w:rsidRPr="00E04B2A">
        <w:rPr>
          <w:sz w:val="22"/>
        </w:rPr>
        <w:t>til pediatriske pasienter med ulcerøs kolitt, var</w:t>
      </w:r>
      <w:r>
        <w:rPr>
          <w:sz w:val="22"/>
        </w:rPr>
        <w:t xml:space="preserve"> </w:t>
      </w:r>
      <w:r w:rsidRPr="00E04B2A">
        <w:rPr>
          <w:sz w:val="22"/>
        </w:rPr>
        <w:t>gjennomsnittlig</w:t>
      </w:r>
      <w:r>
        <w:rPr>
          <w:sz w:val="22"/>
        </w:rPr>
        <w:t xml:space="preserve"> bunn</w:t>
      </w:r>
      <w:r w:rsidRPr="00E04B2A">
        <w:rPr>
          <w:sz w:val="22"/>
        </w:rPr>
        <w:t>konsentrasjon av adalimumab</w:t>
      </w:r>
      <w:r>
        <w:rPr>
          <w:sz w:val="22"/>
        </w:rPr>
        <w:t xml:space="preserve"> i serum </w:t>
      </w:r>
      <w:r w:rsidRPr="009C5EFD">
        <w:rPr>
          <w:sz w:val="22"/>
          <w:szCs w:val="22"/>
        </w:rPr>
        <w:t>ved steady-state</w:t>
      </w:r>
      <w:r w:rsidRPr="00E04B2A">
        <w:rPr>
          <w:sz w:val="22"/>
        </w:rPr>
        <w:t xml:space="preserve"> 5,01</w:t>
      </w:r>
      <w:r>
        <w:rPr>
          <w:sz w:val="22"/>
        </w:rPr>
        <w:t> </w:t>
      </w:r>
      <w:r w:rsidRPr="00E04B2A">
        <w:rPr>
          <w:sz w:val="22"/>
        </w:rPr>
        <w:t>±</w:t>
      </w:r>
      <w:r>
        <w:rPr>
          <w:sz w:val="22"/>
        </w:rPr>
        <w:t> </w:t>
      </w:r>
      <w:r w:rsidRPr="00E04B2A">
        <w:rPr>
          <w:sz w:val="22"/>
        </w:rPr>
        <w:t>3,28 </w:t>
      </w:r>
      <w:r>
        <w:rPr>
          <w:sz w:val="22"/>
        </w:rPr>
        <w:t>mikrog</w:t>
      </w:r>
      <w:r w:rsidRPr="00E04B2A">
        <w:rPr>
          <w:sz w:val="22"/>
        </w:rPr>
        <w:t xml:space="preserve">/ml </w:t>
      </w:r>
      <w:r>
        <w:rPr>
          <w:sz w:val="22"/>
        </w:rPr>
        <w:t>ved</w:t>
      </w:r>
      <w:r w:rsidRPr="00E04B2A">
        <w:rPr>
          <w:sz w:val="22"/>
        </w:rPr>
        <w:t xml:space="preserve"> uke 52. For pasienter som fikk 0,6</w:t>
      </w:r>
      <w:r w:rsidR="00DF4E4A">
        <w:rPr>
          <w:sz w:val="22"/>
        </w:rPr>
        <w:t> </w:t>
      </w:r>
      <w:r w:rsidRPr="00E04B2A">
        <w:rPr>
          <w:sz w:val="22"/>
        </w:rPr>
        <w:t>mg/kg (maksimalt 40</w:t>
      </w:r>
      <w:r w:rsidR="00DF4E4A">
        <w:rPr>
          <w:sz w:val="22"/>
        </w:rPr>
        <w:t> </w:t>
      </w:r>
      <w:r w:rsidRPr="00E04B2A">
        <w:rPr>
          <w:sz w:val="22"/>
        </w:rPr>
        <w:t>mg) hver uke var gjennomsnittlig (± SD)</w:t>
      </w:r>
      <w:r>
        <w:rPr>
          <w:sz w:val="22"/>
        </w:rPr>
        <w:t xml:space="preserve"> bunn</w:t>
      </w:r>
      <w:r w:rsidRPr="00E04B2A">
        <w:rPr>
          <w:sz w:val="22"/>
        </w:rPr>
        <w:t xml:space="preserve">konsentrasjon </w:t>
      </w:r>
      <w:r>
        <w:rPr>
          <w:sz w:val="22"/>
        </w:rPr>
        <w:t xml:space="preserve">av </w:t>
      </w:r>
      <w:r w:rsidRPr="00E04B2A">
        <w:rPr>
          <w:sz w:val="22"/>
        </w:rPr>
        <w:t>adalimumab</w:t>
      </w:r>
      <w:r>
        <w:rPr>
          <w:sz w:val="22"/>
        </w:rPr>
        <w:t xml:space="preserve"> </w:t>
      </w:r>
      <w:r w:rsidRPr="009C5EFD">
        <w:rPr>
          <w:sz w:val="22"/>
          <w:szCs w:val="22"/>
        </w:rPr>
        <w:t xml:space="preserve">ved steady-state </w:t>
      </w:r>
      <w:r w:rsidRPr="00E04B2A">
        <w:rPr>
          <w:sz w:val="22"/>
        </w:rPr>
        <w:t>15,7</w:t>
      </w:r>
      <w:r>
        <w:rPr>
          <w:sz w:val="22"/>
        </w:rPr>
        <w:t> </w:t>
      </w:r>
      <w:r w:rsidRPr="00E04B2A">
        <w:rPr>
          <w:sz w:val="22"/>
        </w:rPr>
        <w:t xml:space="preserve"> ±</w:t>
      </w:r>
      <w:r>
        <w:rPr>
          <w:sz w:val="22"/>
        </w:rPr>
        <w:t> </w:t>
      </w:r>
      <w:r w:rsidRPr="00E04B2A">
        <w:rPr>
          <w:sz w:val="22"/>
        </w:rPr>
        <w:t>5,60 </w:t>
      </w:r>
      <w:r>
        <w:rPr>
          <w:sz w:val="22"/>
        </w:rPr>
        <w:t>mikro</w:t>
      </w:r>
      <w:r w:rsidRPr="00E04B2A">
        <w:rPr>
          <w:sz w:val="22"/>
        </w:rPr>
        <w:t xml:space="preserve">g/ml </w:t>
      </w:r>
      <w:r>
        <w:rPr>
          <w:sz w:val="22"/>
        </w:rPr>
        <w:t>ved</w:t>
      </w:r>
      <w:r w:rsidRPr="00E04B2A">
        <w:rPr>
          <w:sz w:val="22"/>
        </w:rPr>
        <w:t xml:space="preserve"> uke 52.</w:t>
      </w:r>
    </w:p>
    <w:p w14:paraId="0684B8B8" w14:textId="77777777" w:rsidR="00F71619" w:rsidRDefault="00F71619" w:rsidP="00F71619">
      <w:pPr>
        <w:autoSpaceDE w:val="0"/>
        <w:autoSpaceDN w:val="0"/>
        <w:adjustRightInd w:val="0"/>
        <w:rPr>
          <w:sz w:val="22"/>
          <w:szCs w:val="22"/>
        </w:rPr>
      </w:pPr>
    </w:p>
    <w:p w14:paraId="2CAF2896" w14:textId="77777777" w:rsidR="009E676E" w:rsidRDefault="00E453CD" w:rsidP="009E676E">
      <w:pPr>
        <w:autoSpaceDE w:val="0"/>
        <w:autoSpaceDN w:val="0"/>
        <w:adjustRightInd w:val="0"/>
        <w:rPr>
          <w:sz w:val="22"/>
          <w:szCs w:val="22"/>
        </w:rPr>
      </w:pPr>
      <w:r>
        <w:rPr>
          <w:sz w:val="22"/>
          <w:szCs w:val="22"/>
        </w:rPr>
        <w:t xml:space="preserve">En </w:t>
      </w:r>
      <w:r w:rsidR="00D41447">
        <w:rPr>
          <w:sz w:val="22"/>
          <w:szCs w:val="22"/>
        </w:rPr>
        <w:t>induksjons</w:t>
      </w:r>
      <w:r>
        <w:rPr>
          <w:sz w:val="22"/>
          <w:szCs w:val="22"/>
        </w:rPr>
        <w:t>dose på 80 mg adalimumab ved uke 0 etterfulgt av 40 mg adalimumab annenhver uke med start fra uke 1 hos</w:t>
      </w:r>
      <w:r w:rsidR="00A129D3">
        <w:rPr>
          <w:sz w:val="22"/>
          <w:szCs w:val="22"/>
        </w:rPr>
        <w:t xml:space="preserve"> voksne</w:t>
      </w:r>
      <w:r>
        <w:rPr>
          <w:sz w:val="22"/>
          <w:szCs w:val="22"/>
        </w:rPr>
        <w:t xml:space="preserve"> pasienter med uveitt, resulterte i g</w:t>
      </w:r>
      <w:r w:rsidRPr="00994C9E">
        <w:rPr>
          <w:sz w:val="22"/>
          <w:szCs w:val="22"/>
        </w:rPr>
        <w:t xml:space="preserve">jennomsnittlige steady-state </w:t>
      </w:r>
      <w:r>
        <w:rPr>
          <w:sz w:val="22"/>
          <w:szCs w:val="22"/>
        </w:rPr>
        <w:t xml:space="preserve">konsentrasjoner </w:t>
      </w:r>
      <w:r w:rsidRPr="00994C9E">
        <w:rPr>
          <w:sz w:val="22"/>
          <w:szCs w:val="22"/>
        </w:rPr>
        <w:t>på ca. 8</w:t>
      </w:r>
      <w:r>
        <w:rPr>
          <w:sz w:val="22"/>
          <w:szCs w:val="22"/>
        </w:rPr>
        <w:t xml:space="preserve">-10 </w:t>
      </w:r>
      <w:r w:rsidRPr="00994C9E">
        <w:rPr>
          <w:sz w:val="22"/>
          <w:szCs w:val="22"/>
        </w:rPr>
        <w:t>mikrog/ml</w:t>
      </w:r>
      <w:r>
        <w:rPr>
          <w:sz w:val="22"/>
          <w:szCs w:val="22"/>
        </w:rPr>
        <w:t>.</w:t>
      </w:r>
    </w:p>
    <w:p w14:paraId="56B4CFBE" w14:textId="77777777" w:rsidR="000877DF" w:rsidRDefault="000877DF" w:rsidP="009E676E">
      <w:pPr>
        <w:autoSpaceDE w:val="0"/>
        <w:autoSpaceDN w:val="0"/>
        <w:adjustRightInd w:val="0"/>
        <w:rPr>
          <w:sz w:val="22"/>
          <w:szCs w:val="22"/>
        </w:rPr>
      </w:pPr>
    </w:p>
    <w:p w14:paraId="71929046" w14:textId="77777777" w:rsidR="000877DF" w:rsidRDefault="00E453CD" w:rsidP="00B3311E">
      <w:pPr>
        <w:rPr>
          <w:sz w:val="22"/>
          <w:szCs w:val="22"/>
        </w:rPr>
      </w:pPr>
      <w:r>
        <w:rPr>
          <w:sz w:val="22"/>
          <w:szCs w:val="22"/>
        </w:rPr>
        <w:t xml:space="preserve">Adalimumab-eksponeringer hos pasienter med pediatrisk uveitt ble estimert ved å benytte </w:t>
      </w:r>
      <w:r w:rsidR="008138BF">
        <w:rPr>
          <w:sz w:val="22"/>
          <w:szCs w:val="22"/>
        </w:rPr>
        <w:t>farmakokinetisk populasjonsmodellering</w:t>
      </w:r>
      <w:r>
        <w:rPr>
          <w:sz w:val="22"/>
          <w:szCs w:val="22"/>
        </w:rPr>
        <w:t xml:space="preserve"> og simulering basert på farmakokinetikk observert på tvers av indikasjoner ved bruk hos andre pediatriske pasienter (pediatrisk psoriasis, juvenil idiopatisk artritt, pediatrisk Crohns sykdom og entesittrelatert artritt). Det foreligger ingen kliniske eksponeringsdata vedrørende bruk av </w:t>
      </w:r>
      <w:r w:rsidR="005207CC" w:rsidRPr="005207CC">
        <w:rPr>
          <w:sz w:val="22"/>
          <w:szCs w:val="22"/>
        </w:rPr>
        <w:t>induksjonsdose</w:t>
      </w:r>
      <w:r>
        <w:rPr>
          <w:sz w:val="22"/>
          <w:szCs w:val="22"/>
        </w:rPr>
        <w:t xml:space="preserve"> hos barn &lt; 6 år. De forventede eksponeringene indikerer at i fravær av metotreksat kan en </w:t>
      </w:r>
      <w:r w:rsidR="005207CC" w:rsidRPr="005207CC">
        <w:rPr>
          <w:sz w:val="22"/>
          <w:szCs w:val="22"/>
        </w:rPr>
        <w:t>induksjonsdose</w:t>
      </w:r>
      <w:r>
        <w:rPr>
          <w:sz w:val="22"/>
          <w:szCs w:val="22"/>
        </w:rPr>
        <w:t xml:space="preserve"> føre til en initial økning i systemisk eksponering.</w:t>
      </w:r>
    </w:p>
    <w:p w14:paraId="1EB5CEFC" w14:textId="77777777" w:rsidR="00FB4C84" w:rsidRDefault="00FB4C84" w:rsidP="00B3311E">
      <w:pPr>
        <w:rPr>
          <w:sz w:val="22"/>
          <w:szCs w:val="22"/>
        </w:rPr>
      </w:pPr>
    </w:p>
    <w:p w14:paraId="3FD24F45" w14:textId="77777777" w:rsidR="00FB4C84" w:rsidRPr="00816567" w:rsidRDefault="00E453CD" w:rsidP="00B3311E">
      <w:pPr>
        <w:rPr>
          <w:sz w:val="22"/>
          <w:szCs w:val="22"/>
        </w:rPr>
      </w:pPr>
      <w:r w:rsidRPr="00AF70AD">
        <w:rPr>
          <w:sz w:val="22"/>
          <w:szCs w:val="22"/>
        </w:rPr>
        <w:t>Farmakokinetisk populasjons- og farmakokinetisk/farmakodynamisk modellering og simulering antar sammenlignbar eksponering og effekt av adalimumab hos pasienter behandlet med 80</w:t>
      </w:r>
      <w:r w:rsidR="00E876E5">
        <w:rPr>
          <w:sz w:val="22"/>
          <w:szCs w:val="22"/>
        </w:rPr>
        <w:t> </w:t>
      </w:r>
      <w:r w:rsidRPr="00AF70AD">
        <w:rPr>
          <w:sz w:val="22"/>
          <w:szCs w:val="22"/>
        </w:rPr>
        <w:t>mg annenhver uke sammenlignet med 40</w:t>
      </w:r>
      <w:r w:rsidR="00E876E5">
        <w:rPr>
          <w:sz w:val="22"/>
          <w:szCs w:val="22"/>
        </w:rPr>
        <w:t> </w:t>
      </w:r>
      <w:r w:rsidRPr="00AF70AD">
        <w:rPr>
          <w:sz w:val="22"/>
          <w:szCs w:val="22"/>
        </w:rPr>
        <w:t>mg hver uke (inkludert voksne pasienter med RA, HS, UC, CD eller Ps, ungdom med HS, og pediatriske pasienter ≥</w:t>
      </w:r>
      <w:r w:rsidR="00E876E5">
        <w:rPr>
          <w:sz w:val="22"/>
          <w:szCs w:val="22"/>
        </w:rPr>
        <w:t> </w:t>
      </w:r>
      <w:r w:rsidRPr="00AF70AD">
        <w:rPr>
          <w:sz w:val="22"/>
          <w:szCs w:val="22"/>
        </w:rPr>
        <w:t>40</w:t>
      </w:r>
      <w:r w:rsidR="00E876E5">
        <w:rPr>
          <w:sz w:val="22"/>
          <w:szCs w:val="22"/>
        </w:rPr>
        <w:t> </w:t>
      </w:r>
      <w:r w:rsidRPr="00AF70AD">
        <w:rPr>
          <w:sz w:val="22"/>
          <w:szCs w:val="22"/>
        </w:rPr>
        <w:t>kg med CD</w:t>
      </w:r>
      <w:r w:rsidR="00CF2468">
        <w:rPr>
          <w:sz w:val="22"/>
          <w:szCs w:val="22"/>
        </w:rPr>
        <w:t xml:space="preserve"> og UC</w:t>
      </w:r>
      <w:r w:rsidRPr="00AF70AD">
        <w:rPr>
          <w:sz w:val="22"/>
          <w:szCs w:val="22"/>
        </w:rPr>
        <w:t>).</w:t>
      </w:r>
    </w:p>
    <w:p w14:paraId="0237ECFA" w14:textId="77777777" w:rsidR="009E676E" w:rsidRDefault="009E676E" w:rsidP="009E676E">
      <w:pPr>
        <w:autoSpaceDE w:val="0"/>
        <w:autoSpaceDN w:val="0"/>
        <w:adjustRightInd w:val="0"/>
        <w:rPr>
          <w:sz w:val="22"/>
          <w:szCs w:val="22"/>
        </w:rPr>
      </w:pPr>
    </w:p>
    <w:p w14:paraId="368ADD4E" w14:textId="77777777" w:rsidR="00A129D3" w:rsidRDefault="00E453CD" w:rsidP="00AF70AD">
      <w:pPr>
        <w:keepNext/>
        <w:rPr>
          <w:sz w:val="22"/>
          <w:u w:val="single"/>
        </w:rPr>
      </w:pPr>
      <w:r w:rsidRPr="00AF70AD">
        <w:rPr>
          <w:sz w:val="22"/>
          <w:u w:val="single"/>
        </w:rPr>
        <w:t>Eksponering-responsforhold i pediatrisk populasjon</w:t>
      </w:r>
    </w:p>
    <w:p w14:paraId="0858D2CE" w14:textId="77777777" w:rsidR="001C4BD6" w:rsidRPr="00AF70AD" w:rsidRDefault="001C4BD6" w:rsidP="00AF70AD">
      <w:pPr>
        <w:keepNext/>
        <w:rPr>
          <w:sz w:val="22"/>
          <w:u w:val="single"/>
        </w:rPr>
      </w:pPr>
    </w:p>
    <w:p w14:paraId="529BEEAB" w14:textId="77777777" w:rsidR="00A129D3" w:rsidRPr="00DB4B30" w:rsidRDefault="00E453CD" w:rsidP="00A129D3">
      <w:pPr>
        <w:rPr>
          <w:sz w:val="22"/>
        </w:rPr>
      </w:pPr>
      <w:r>
        <w:rPr>
          <w:sz w:val="22"/>
        </w:rPr>
        <w:t xml:space="preserve">På bakgrunn av data fra </w:t>
      </w:r>
      <w:r w:rsidR="00581310">
        <w:rPr>
          <w:sz w:val="22"/>
        </w:rPr>
        <w:t>kliniske studier</w:t>
      </w:r>
      <w:r>
        <w:rPr>
          <w:sz w:val="22"/>
        </w:rPr>
        <w:t xml:space="preserve"> hos pasienter med </w:t>
      </w:r>
      <w:r w:rsidRPr="00C5656D">
        <w:rPr>
          <w:sz w:val="22"/>
        </w:rPr>
        <w:t xml:space="preserve">JIA (pJIA </w:t>
      </w:r>
      <w:r w:rsidR="00222143">
        <w:rPr>
          <w:sz w:val="22"/>
        </w:rPr>
        <w:t>og</w:t>
      </w:r>
      <w:r w:rsidR="00222143" w:rsidRPr="00C5656D">
        <w:rPr>
          <w:sz w:val="22"/>
        </w:rPr>
        <w:t xml:space="preserve"> </w:t>
      </w:r>
      <w:r w:rsidRPr="00C5656D">
        <w:rPr>
          <w:sz w:val="22"/>
        </w:rPr>
        <w:t>ERA)</w:t>
      </w:r>
      <w:r>
        <w:rPr>
          <w:sz w:val="22"/>
        </w:rPr>
        <w:t xml:space="preserve">, ble et forhold mellom eksponering og respons etablert mellom plasmakonsentrasjoner og PedACR 50-respons. Den plasmakonsentrasjonen av adalimumab som tilsynelatende gir halvparten av maksimal PedACR 50-respons (EC50) var </w:t>
      </w:r>
      <w:r w:rsidRPr="003443A0">
        <w:rPr>
          <w:sz w:val="22"/>
        </w:rPr>
        <w:t>3</w:t>
      </w:r>
      <w:r w:rsidR="00C17F71">
        <w:rPr>
          <w:sz w:val="22"/>
        </w:rPr>
        <w:t> </w:t>
      </w:r>
      <w:r w:rsidR="0036529C">
        <w:rPr>
          <w:sz w:val="22"/>
        </w:rPr>
        <w:t>mikro</w:t>
      </w:r>
      <w:r w:rsidRPr="003443A0">
        <w:rPr>
          <w:sz w:val="22"/>
        </w:rPr>
        <w:t>g/ml (95</w:t>
      </w:r>
      <w:r w:rsidR="0036529C">
        <w:rPr>
          <w:sz w:val="22"/>
        </w:rPr>
        <w:t> </w:t>
      </w:r>
      <w:r w:rsidRPr="003443A0">
        <w:rPr>
          <w:sz w:val="22"/>
        </w:rPr>
        <w:t xml:space="preserve">% </w:t>
      </w:r>
      <w:r w:rsidR="0036529C">
        <w:rPr>
          <w:sz w:val="22"/>
        </w:rPr>
        <w:t>K</w:t>
      </w:r>
      <w:r w:rsidRPr="003443A0">
        <w:rPr>
          <w:sz w:val="22"/>
        </w:rPr>
        <w:t>I: 1</w:t>
      </w:r>
      <w:r w:rsidR="00C17F71">
        <w:rPr>
          <w:sz w:val="22"/>
        </w:rPr>
        <w:noBreakHyphen/>
      </w:r>
      <w:r w:rsidRPr="003443A0">
        <w:rPr>
          <w:sz w:val="22"/>
        </w:rPr>
        <w:t>6</w:t>
      </w:r>
      <w:r w:rsidR="00C17F71">
        <w:rPr>
          <w:sz w:val="22"/>
        </w:rPr>
        <w:t> </w:t>
      </w:r>
      <w:r w:rsidR="0036529C">
        <w:rPr>
          <w:sz w:val="22"/>
        </w:rPr>
        <w:t>mikro</w:t>
      </w:r>
      <w:r w:rsidRPr="003443A0">
        <w:rPr>
          <w:sz w:val="22"/>
        </w:rPr>
        <w:t>g/ml).</w:t>
      </w:r>
    </w:p>
    <w:p w14:paraId="431FFB0D" w14:textId="77777777" w:rsidR="00A129D3" w:rsidRDefault="00A129D3" w:rsidP="00A129D3">
      <w:pPr>
        <w:rPr>
          <w:sz w:val="22"/>
        </w:rPr>
      </w:pPr>
    </w:p>
    <w:p w14:paraId="3CEEEEE6" w14:textId="77777777" w:rsidR="00A129D3" w:rsidRPr="00406E1B" w:rsidRDefault="00E453CD" w:rsidP="00A129D3">
      <w:pPr>
        <w:rPr>
          <w:sz w:val="22"/>
        </w:rPr>
      </w:pPr>
      <w:r>
        <w:rPr>
          <w:sz w:val="22"/>
        </w:rPr>
        <w:t xml:space="preserve">Eksponering-responsforhold mellom adalimumabkonsentrasjon og effekt hos pediatriske pasienter med alvorlig </w:t>
      </w:r>
      <w:r w:rsidR="00F403FB">
        <w:rPr>
          <w:sz w:val="22"/>
        </w:rPr>
        <w:t xml:space="preserve">kronisk </w:t>
      </w:r>
      <w:r>
        <w:rPr>
          <w:sz w:val="22"/>
        </w:rPr>
        <w:t xml:space="preserve">plakkpsoriasis, ble etablert for </w:t>
      </w:r>
      <w:r w:rsidR="00D41447">
        <w:rPr>
          <w:sz w:val="22"/>
        </w:rPr>
        <w:t xml:space="preserve">henholdsvis </w:t>
      </w:r>
      <w:r>
        <w:rPr>
          <w:sz w:val="22"/>
        </w:rPr>
        <w:t xml:space="preserve">PASI 75 og PGA klar eller minimal. PASI 75 og PGA klar eller minimal økte med økte adalimumabkonsentrasjoner, begge med lignende tilsynelatende EC50 på omtrent </w:t>
      </w:r>
      <w:r w:rsidRPr="00570333">
        <w:rPr>
          <w:sz w:val="22"/>
        </w:rPr>
        <w:t>4</w:t>
      </w:r>
      <w:r>
        <w:rPr>
          <w:sz w:val="22"/>
        </w:rPr>
        <w:t>,5</w:t>
      </w:r>
      <w:r w:rsidR="00C17F71">
        <w:rPr>
          <w:sz w:val="22"/>
        </w:rPr>
        <w:t> </w:t>
      </w:r>
      <w:r w:rsidR="0036529C">
        <w:rPr>
          <w:sz w:val="22"/>
        </w:rPr>
        <w:t>mikro</w:t>
      </w:r>
      <w:r>
        <w:rPr>
          <w:sz w:val="22"/>
        </w:rPr>
        <w:t>g/m</w:t>
      </w:r>
      <w:r w:rsidR="0036529C">
        <w:rPr>
          <w:sz w:val="22"/>
        </w:rPr>
        <w:t>l</w:t>
      </w:r>
      <w:r>
        <w:rPr>
          <w:sz w:val="22"/>
        </w:rPr>
        <w:t xml:space="preserve"> (95</w:t>
      </w:r>
      <w:r w:rsidR="0036529C">
        <w:rPr>
          <w:sz w:val="22"/>
        </w:rPr>
        <w:t> </w:t>
      </w:r>
      <w:r>
        <w:rPr>
          <w:sz w:val="22"/>
        </w:rPr>
        <w:t xml:space="preserve">% </w:t>
      </w:r>
      <w:r w:rsidR="0036529C">
        <w:rPr>
          <w:sz w:val="22"/>
        </w:rPr>
        <w:t>K</w:t>
      </w:r>
      <w:r>
        <w:rPr>
          <w:sz w:val="22"/>
        </w:rPr>
        <w:t>I 0,4-47,6 og 1,9-10,</w:t>
      </w:r>
      <w:r w:rsidRPr="00570333">
        <w:rPr>
          <w:sz w:val="22"/>
        </w:rPr>
        <w:t>5</w:t>
      </w:r>
      <w:r>
        <w:rPr>
          <w:sz w:val="22"/>
        </w:rPr>
        <w:t>, respektivt</w:t>
      </w:r>
      <w:r w:rsidR="0036529C">
        <w:rPr>
          <w:sz w:val="22"/>
        </w:rPr>
        <w:t>)</w:t>
      </w:r>
      <w:r>
        <w:rPr>
          <w:sz w:val="22"/>
        </w:rPr>
        <w:t>.</w:t>
      </w:r>
    </w:p>
    <w:p w14:paraId="354FCAD7" w14:textId="77777777" w:rsidR="00A129D3" w:rsidRPr="009C5EFD" w:rsidRDefault="00A129D3" w:rsidP="009E676E">
      <w:pPr>
        <w:autoSpaceDE w:val="0"/>
        <w:autoSpaceDN w:val="0"/>
        <w:adjustRightInd w:val="0"/>
        <w:rPr>
          <w:sz w:val="22"/>
          <w:szCs w:val="22"/>
        </w:rPr>
      </w:pPr>
    </w:p>
    <w:p w14:paraId="5125796A" w14:textId="77777777" w:rsidR="009E676E" w:rsidRPr="009C5EFD" w:rsidRDefault="00E453CD" w:rsidP="00AF70AD">
      <w:pPr>
        <w:keepNext/>
        <w:autoSpaceDE w:val="0"/>
        <w:autoSpaceDN w:val="0"/>
        <w:adjustRightInd w:val="0"/>
        <w:rPr>
          <w:sz w:val="22"/>
          <w:szCs w:val="22"/>
          <w:u w:val="single"/>
        </w:rPr>
      </w:pPr>
      <w:r w:rsidRPr="009C5EFD">
        <w:rPr>
          <w:sz w:val="22"/>
          <w:szCs w:val="22"/>
          <w:u w:val="single"/>
        </w:rPr>
        <w:t>Eliminasjon</w:t>
      </w:r>
    </w:p>
    <w:p w14:paraId="25AFB326" w14:textId="77777777" w:rsidR="009E676E" w:rsidRPr="009C5EFD" w:rsidRDefault="009E676E" w:rsidP="00AF70AD">
      <w:pPr>
        <w:keepNext/>
        <w:rPr>
          <w:sz w:val="22"/>
          <w:szCs w:val="22"/>
        </w:rPr>
      </w:pPr>
    </w:p>
    <w:p w14:paraId="607871E6" w14:textId="77777777" w:rsidR="009E676E" w:rsidRPr="009C5EFD" w:rsidRDefault="00E453CD" w:rsidP="009E676E">
      <w:pPr>
        <w:rPr>
          <w:sz w:val="22"/>
          <w:szCs w:val="22"/>
        </w:rPr>
      </w:pPr>
      <w:r w:rsidRPr="009C5EFD">
        <w:rPr>
          <w:sz w:val="22"/>
          <w:szCs w:val="22"/>
        </w:rPr>
        <w:t>Farmakokinetiske populasjonsanalyser med data fra over 1300 RA-pasienter viste en tendens mot høyere tilsynelatende clearance av adalimumab med økende kroppsvekt. Etter korrigering for vektforskjeller, syntes kjønn og alder å ha minimal effekt på clearance av adalimumab. Serumnivåene av fritt adalimumab (ikke bundet til antistoffer mot adalimumab, AAA) ble observert å være lavere hos pasienter med målbart AAA.</w:t>
      </w:r>
    </w:p>
    <w:p w14:paraId="07B66E22" w14:textId="77777777" w:rsidR="009E676E" w:rsidRPr="009C5EFD" w:rsidRDefault="009E676E" w:rsidP="009E676E">
      <w:pPr>
        <w:rPr>
          <w:sz w:val="22"/>
          <w:szCs w:val="22"/>
          <w:u w:val="single"/>
        </w:rPr>
      </w:pPr>
    </w:p>
    <w:p w14:paraId="7CABBF34" w14:textId="77777777" w:rsidR="009E676E" w:rsidRPr="009C5EFD" w:rsidRDefault="00E453CD" w:rsidP="00B77853">
      <w:pPr>
        <w:keepNext/>
        <w:rPr>
          <w:sz w:val="22"/>
          <w:szCs w:val="22"/>
        </w:rPr>
      </w:pPr>
      <w:r w:rsidRPr="009C5EFD">
        <w:rPr>
          <w:sz w:val="22"/>
          <w:szCs w:val="22"/>
          <w:u w:val="single"/>
        </w:rPr>
        <w:t>Nedsatt lever- eller nyrefunksjon</w:t>
      </w:r>
    </w:p>
    <w:p w14:paraId="63D31836" w14:textId="77777777" w:rsidR="009E676E" w:rsidRPr="009C5EFD" w:rsidRDefault="009E676E" w:rsidP="00B77853">
      <w:pPr>
        <w:keepNext/>
        <w:rPr>
          <w:sz w:val="22"/>
          <w:szCs w:val="22"/>
        </w:rPr>
      </w:pPr>
    </w:p>
    <w:p w14:paraId="3454C63B" w14:textId="77777777" w:rsidR="009E676E" w:rsidRPr="009C5EFD" w:rsidRDefault="00E453CD" w:rsidP="00776A84">
      <w:pPr>
        <w:rPr>
          <w:sz w:val="22"/>
          <w:szCs w:val="22"/>
        </w:rPr>
      </w:pPr>
      <w:r w:rsidRPr="009C5EFD">
        <w:rPr>
          <w:sz w:val="22"/>
          <w:szCs w:val="22"/>
        </w:rPr>
        <w:t>Humira har ikke blitt undersøkt hos pasienter med nedsatt lever- eller nyrefunksjon.</w:t>
      </w:r>
    </w:p>
    <w:p w14:paraId="33458D84" w14:textId="77777777" w:rsidR="009E676E" w:rsidRPr="001F5D4B" w:rsidRDefault="009E676E" w:rsidP="009E676E">
      <w:pPr>
        <w:suppressAutoHyphens/>
        <w:rPr>
          <w:sz w:val="22"/>
          <w:szCs w:val="22"/>
        </w:rPr>
      </w:pPr>
    </w:p>
    <w:p w14:paraId="0E52D0C1" w14:textId="77777777" w:rsidR="009E676E" w:rsidRPr="00193D76" w:rsidRDefault="00E453CD" w:rsidP="00776A84">
      <w:pPr>
        <w:keepNext/>
        <w:suppressAutoHyphens/>
        <w:ind w:left="576" w:hanging="576"/>
        <w:rPr>
          <w:sz w:val="22"/>
          <w:szCs w:val="22"/>
        </w:rPr>
      </w:pPr>
      <w:r w:rsidRPr="007F67EE">
        <w:rPr>
          <w:b/>
          <w:sz w:val="22"/>
          <w:szCs w:val="22"/>
        </w:rPr>
        <w:t>5.3</w:t>
      </w:r>
      <w:r w:rsidRPr="007F67EE">
        <w:rPr>
          <w:b/>
          <w:sz w:val="22"/>
          <w:szCs w:val="22"/>
        </w:rPr>
        <w:tab/>
        <w:t>Prekliniske sikkerhetsdata</w:t>
      </w:r>
    </w:p>
    <w:p w14:paraId="1A1F40C0" w14:textId="77777777" w:rsidR="009E676E" w:rsidRPr="002D0790" w:rsidRDefault="009E676E" w:rsidP="00776A84">
      <w:pPr>
        <w:keepNext/>
        <w:rPr>
          <w:sz w:val="22"/>
          <w:szCs w:val="22"/>
        </w:rPr>
      </w:pPr>
    </w:p>
    <w:p w14:paraId="3C03C7EA" w14:textId="77777777" w:rsidR="009E676E" w:rsidRPr="00E14E58" w:rsidRDefault="00E453CD" w:rsidP="009E676E">
      <w:pPr>
        <w:rPr>
          <w:sz w:val="22"/>
          <w:szCs w:val="22"/>
        </w:rPr>
      </w:pPr>
      <w:r w:rsidRPr="002D0790">
        <w:rPr>
          <w:sz w:val="22"/>
          <w:szCs w:val="22"/>
        </w:rPr>
        <w:t>Prekliniske data indikerer ingen spesiell fare for mennesker basert på toksisitetstester etter enkeltdosering, toksisitetstester ved gj</w:t>
      </w:r>
      <w:r w:rsidRPr="00E14E58">
        <w:rPr>
          <w:sz w:val="22"/>
          <w:szCs w:val="22"/>
        </w:rPr>
        <w:t>entatt dosering eller gentoksisitet.</w:t>
      </w:r>
    </w:p>
    <w:p w14:paraId="78191E64" w14:textId="77777777" w:rsidR="009E676E" w:rsidRPr="009C5EFD" w:rsidRDefault="009E676E" w:rsidP="009E676E">
      <w:pPr>
        <w:rPr>
          <w:sz w:val="22"/>
          <w:szCs w:val="22"/>
        </w:rPr>
      </w:pPr>
    </w:p>
    <w:p w14:paraId="76AFDFFB" w14:textId="77777777" w:rsidR="009E676E" w:rsidRPr="009C5EFD" w:rsidRDefault="00E453CD" w:rsidP="009E676E">
      <w:pPr>
        <w:rPr>
          <w:sz w:val="22"/>
          <w:szCs w:val="22"/>
        </w:rPr>
      </w:pPr>
      <w:r w:rsidRPr="009C5EFD">
        <w:rPr>
          <w:sz w:val="22"/>
          <w:szCs w:val="22"/>
        </w:rPr>
        <w:t xml:space="preserve">En studie på </w:t>
      </w:r>
      <w:r w:rsidR="00581310">
        <w:rPr>
          <w:sz w:val="22"/>
          <w:szCs w:val="22"/>
        </w:rPr>
        <w:t>embryo</w:t>
      </w:r>
      <w:r w:rsidRPr="009C5EFD">
        <w:rPr>
          <w:sz w:val="22"/>
          <w:szCs w:val="22"/>
        </w:rPr>
        <w:t xml:space="preserve">føtal utviklingstoksisitet og perinatal utvikling som ble utført på </w:t>
      </w:r>
      <w:r w:rsidR="006B250F">
        <w:rPr>
          <w:sz w:val="22"/>
          <w:szCs w:val="22"/>
        </w:rPr>
        <w:t>cynomolgus</w:t>
      </w:r>
      <w:r w:rsidRPr="009C5EFD">
        <w:rPr>
          <w:sz w:val="22"/>
          <w:szCs w:val="22"/>
        </w:rPr>
        <w:t>-aper ved 0,30 og 100 mg/kg (9-17 aper/gruppe) viste ingen tegn til fosterskader som skyldtes adalimumab. Verken karsinogenitetsstudier eller en standardutredning av fertilitet og postnatal toksisitet er gjennomført med adalimumab på grunn av mangel på egnede modeller på antistoff med begrenset kryss-reaktivitet til TNF fra gnagere, samt utvikling av nøytraliserende antistoffer hos gnagere.</w:t>
      </w:r>
    </w:p>
    <w:p w14:paraId="5430918D" w14:textId="77777777" w:rsidR="009E676E" w:rsidRPr="009C5EFD" w:rsidRDefault="009E676E" w:rsidP="009E676E">
      <w:pPr>
        <w:rPr>
          <w:sz w:val="22"/>
          <w:szCs w:val="22"/>
        </w:rPr>
      </w:pPr>
    </w:p>
    <w:p w14:paraId="664CA151" w14:textId="77777777" w:rsidR="009E676E" w:rsidRPr="001F5D4B" w:rsidRDefault="009E676E" w:rsidP="009E676E">
      <w:pPr>
        <w:suppressAutoHyphens/>
        <w:rPr>
          <w:sz w:val="22"/>
          <w:szCs w:val="22"/>
        </w:rPr>
      </w:pPr>
    </w:p>
    <w:p w14:paraId="24D58B20" w14:textId="77777777" w:rsidR="009E676E" w:rsidRPr="000624CD" w:rsidRDefault="00E453CD" w:rsidP="00602A37">
      <w:pPr>
        <w:keepNext/>
        <w:suppressAutoHyphens/>
        <w:ind w:left="562" w:hanging="562"/>
        <w:rPr>
          <w:sz w:val="22"/>
          <w:szCs w:val="22"/>
        </w:rPr>
      </w:pPr>
      <w:r w:rsidRPr="007F67EE">
        <w:rPr>
          <w:b/>
          <w:sz w:val="22"/>
          <w:szCs w:val="22"/>
        </w:rPr>
        <w:t>6.</w:t>
      </w:r>
      <w:r w:rsidRPr="007F67EE">
        <w:rPr>
          <w:b/>
          <w:sz w:val="22"/>
          <w:szCs w:val="22"/>
        </w:rPr>
        <w:tab/>
        <w:t>FARMASØYTISKE OPPLYSNINGER</w:t>
      </w:r>
    </w:p>
    <w:p w14:paraId="2F471747" w14:textId="77777777" w:rsidR="009E676E" w:rsidRPr="002D0790" w:rsidRDefault="009E676E" w:rsidP="009E676E">
      <w:pPr>
        <w:keepNext/>
        <w:suppressAutoHyphens/>
        <w:rPr>
          <w:sz w:val="22"/>
          <w:szCs w:val="22"/>
        </w:rPr>
      </w:pPr>
    </w:p>
    <w:p w14:paraId="5554D1AA" w14:textId="77777777" w:rsidR="009E676E" w:rsidRPr="00E14E58" w:rsidRDefault="00E453CD" w:rsidP="00602A37">
      <w:pPr>
        <w:keepNext/>
        <w:suppressAutoHyphens/>
        <w:ind w:left="576" w:hanging="576"/>
        <w:rPr>
          <w:sz w:val="22"/>
          <w:szCs w:val="22"/>
        </w:rPr>
      </w:pPr>
      <w:r w:rsidRPr="002D0790">
        <w:rPr>
          <w:b/>
          <w:sz w:val="22"/>
          <w:szCs w:val="22"/>
        </w:rPr>
        <w:t>6.1</w:t>
      </w:r>
      <w:r w:rsidRPr="002D0790">
        <w:rPr>
          <w:b/>
          <w:sz w:val="22"/>
          <w:szCs w:val="22"/>
        </w:rPr>
        <w:tab/>
      </w:r>
      <w:r w:rsidR="001D434C">
        <w:rPr>
          <w:b/>
          <w:sz w:val="22"/>
          <w:szCs w:val="22"/>
        </w:rPr>
        <w:t>H</w:t>
      </w:r>
      <w:r w:rsidRPr="002D0790">
        <w:rPr>
          <w:b/>
          <w:sz w:val="22"/>
          <w:szCs w:val="22"/>
        </w:rPr>
        <w:t>jelpestoffer</w:t>
      </w:r>
    </w:p>
    <w:p w14:paraId="31FC3C8D" w14:textId="77777777" w:rsidR="009E676E" w:rsidRPr="009C5EFD" w:rsidRDefault="009E676E" w:rsidP="009E676E">
      <w:pPr>
        <w:keepNext/>
        <w:rPr>
          <w:sz w:val="22"/>
          <w:szCs w:val="22"/>
        </w:rPr>
      </w:pPr>
    </w:p>
    <w:p w14:paraId="34ABC63D" w14:textId="77777777" w:rsidR="009E676E" w:rsidRPr="009C5EFD" w:rsidRDefault="00E453CD" w:rsidP="00776A84">
      <w:pPr>
        <w:rPr>
          <w:sz w:val="22"/>
          <w:szCs w:val="22"/>
        </w:rPr>
      </w:pPr>
      <w:r>
        <w:rPr>
          <w:sz w:val="22"/>
          <w:szCs w:val="22"/>
        </w:rPr>
        <w:t>M</w:t>
      </w:r>
      <w:r w:rsidRPr="009C5EFD">
        <w:rPr>
          <w:sz w:val="22"/>
          <w:szCs w:val="22"/>
        </w:rPr>
        <w:t xml:space="preserve">annitol </w:t>
      </w:r>
    </w:p>
    <w:p w14:paraId="3CE0E3E8" w14:textId="77777777" w:rsidR="009E676E" w:rsidRPr="009C5EFD" w:rsidRDefault="00E453CD" w:rsidP="009E676E">
      <w:pPr>
        <w:rPr>
          <w:sz w:val="22"/>
          <w:szCs w:val="22"/>
        </w:rPr>
      </w:pPr>
      <w:r>
        <w:rPr>
          <w:sz w:val="22"/>
          <w:szCs w:val="22"/>
        </w:rPr>
        <w:t>P</w:t>
      </w:r>
      <w:r w:rsidRPr="009C5EFD">
        <w:rPr>
          <w:sz w:val="22"/>
          <w:szCs w:val="22"/>
        </w:rPr>
        <w:t xml:space="preserve">olysorbat 80 </w:t>
      </w:r>
    </w:p>
    <w:p w14:paraId="1A941BA4" w14:textId="77777777" w:rsidR="009E676E" w:rsidRPr="009C5EFD" w:rsidRDefault="00E453CD" w:rsidP="009E676E">
      <w:pPr>
        <w:rPr>
          <w:sz w:val="22"/>
          <w:szCs w:val="22"/>
        </w:rPr>
      </w:pPr>
      <w:r>
        <w:rPr>
          <w:sz w:val="22"/>
          <w:szCs w:val="22"/>
        </w:rPr>
        <w:t>V</w:t>
      </w:r>
      <w:r w:rsidRPr="009C5EFD">
        <w:rPr>
          <w:sz w:val="22"/>
          <w:szCs w:val="22"/>
        </w:rPr>
        <w:t>ann til injeksjonsvæsker</w:t>
      </w:r>
    </w:p>
    <w:p w14:paraId="3EF52CAF" w14:textId="77777777" w:rsidR="009E676E" w:rsidRPr="009C5EFD" w:rsidRDefault="009E676E" w:rsidP="009E676E">
      <w:pPr>
        <w:rPr>
          <w:sz w:val="22"/>
          <w:szCs w:val="22"/>
        </w:rPr>
      </w:pPr>
    </w:p>
    <w:p w14:paraId="5EC001B3" w14:textId="77777777" w:rsidR="009E676E" w:rsidRPr="009C5EFD" w:rsidRDefault="00E453CD" w:rsidP="00602A37">
      <w:pPr>
        <w:keepNext/>
        <w:suppressAutoHyphens/>
        <w:ind w:left="576" w:hanging="576"/>
        <w:rPr>
          <w:sz w:val="22"/>
          <w:szCs w:val="22"/>
        </w:rPr>
      </w:pPr>
      <w:r w:rsidRPr="009C5EFD">
        <w:rPr>
          <w:b/>
          <w:sz w:val="22"/>
          <w:szCs w:val="22"/>
        </w:rPr>
        <w:t>6.2</w:t>
      </w:r>
      <w:r w:rsidRPr="009C5EFD">
        <w:rPr>
          <w:b/>
          <w:sz w:val="22"/>
          <w:szCs w:val="22"/>
        </w:rPr>
        <w:tab/>
        <w:t>Uforlikeligheter</w:t>
      </w:r>
    </w:p>
    <w:p w14:paraId="070E1EDA" w14:textId="77777777" w:rsidR="009E676E" w:rsidRPr="009C5EFD" w:rsidRDefault="009E676E" w:rsidP="009E676E">
      <w:pPr>
        <w:keepNext/>
        <w:rPr>
          <w:sz w:val="22"/>
          <w:szCs w:val="22"/>
        </w:rPr>
      </w:pPr>
    </w:p>
    <w:p w14:paraId="43C2371C" w14:textId="77777777" w:rsidR="008776BF" w:rsidRPr="009C5EFD" w:rsidRDefault="00E453CD" w:rsidP="00776A84">
      <w:pPr>
        <w:rPr>
          <w:sz w:val="22"/>
          <w:szCs w:val="22"/>
        </w:rPr>
      </w:pPr>
      <w:r w:rsidRPr="001D434C">
        <w:rPr>
          <w:sz w:val="22"/>
          <w:szCs w:val="22"/>
        </w:rPr>
        <w:t>Dette legemidlet skal ikke blandes med andre legemidler da det ikke er gjort studier på</w:t>
      </w:r>
      <w:r>
        <w:rPr>
          <w:sz w:val="22"/>
          <w:szCs w:val="22"/>
        </w:rPr>
        <w:t xml:space="preserve"> u</w:t>
      </w:r>
      <w:r w:rsidRPr="001D434C">
        <w:rPr>
          <w:sz w:val="22"/>
          <w:szCs w:val="22"/>
        </w:rPr>
        <w:t>forlikelighet</w:t>
      </w:r>
      <w:r>
        <w:rPr>
          <w:sz w:val="22"/>
          <w:szCs w:val="22"/>
        </w:rPr>
        <w:t>.</w:t>
      </w:r>
    </w:p>
    <w:p w14:paraId="0CC90391" w14:textId="77777777" w:rsidR="009E676E" w:rsidRPr="001F5D4B" w:rsidRDefault="009E676E" w:rsidP="009E676E">
      <w:pPr>
        <w:suppressAutoHyphens/>
        <w:rPr>
          <w:sz w:val="22"/>
          <w:szCs w:val="22"/>
        </w:rPr>
      </w:pPr>
    </w:p>
    <w:p w14:paraId="169A95B7" w14:textId="77777777" w:rsidR="009E676E" w:rsidRPr="00193D76" w:rsidRDefault="00E453CD" w:rsidP="00776A84">
      <w:pPr>
        <w:keepNext/>
        <w:suppressAutoHyphens/>
        <w:ind w:left="576" w:hanging="576"/>
        <w:rPr>
          <w:sz w:val="22"/>
          <w:szCs w:val="22"/>
        </w:rPr>
      </w:pPr>
      <w:r w:rsidRPr="007F67EE">
        <w:rPr>
          <w:b/>
          <w:sz w:val="22"/>
          <w:szCs w:val="22"/>
        </w:rPr>
        <w:t>6.3</w:t>
      </w:r>
      <w:r w:rsidRPr="007F67EE">
        <w:rPr>
          <w:b/>
          <w:sz w:val="22"/>
          <w:szCs w:val="22"/>
        </w:rPr>
        <w:tab/>
        <w:t>Holdbarhet</w:t>
      </w:r>
    </w:p>
    <w:p w14:paraId="436E3E42" w14:textId="77777777" w:rsidR="009E676E" w:rsidRPr="002D0790" w:rsidRDefault="009E676E" w:rsidP="00776A84">
      <w:pPr>
        <w:keepNext/>
        <w:rPr>
          <w:sz w:val="22"/>
          <w:szCs w:val="22"/>
        </w:rPr>
      </w:pPr>
    </w:p>
    <w:p w14:paraId="77574D54" w14:textId="77777777" w:rsidR="009E676E" w:rsidRPr="009C5EFD" w:rsidRDefault="00E453CD" w:rsidP="009E676E">
      <w:pPr>
        <w:rPr>
          <w:sz w:val="22"/>
          <w:szCs w:val="22"/>
        </w:rPr>
      </w:pPr>
      <w:r w:rsidRPr="00E14E58">
        <w:rPr>
          <w:sz w:val="22"/>
          <w:szCs w:val="22"/>
        </w:rPr>
        <w:t>2 år.</w:t>
      </w:r>
    </w:p>
    <w:p w14:paraId="6B3E8A2C" w14:textId="77777777" w:rsidR="009E676E" w:rsidRPr="009C5EFD" w:rsidRDefault="009E676E" w:rsidP="009E676E">
      <w:pPr>
        <w:rPr>
          <w:sz w:val="22"/>
          <w:szCs w:val="22"/>
        </w:rPr>
      </w:pPr>
    </w:p>
    <w:p w14:paraId="5947A129" w14:textId="77777777" w:rsidR="009E676E" w:rsidRPr="009C5EFD" w:rsidRDefault="00E453CD" w:rsidP="00602A37">
      <w:pPr>
        <w:keepNext/>
        <w:suppressAutoHyphens/>
        <w:ind w:left="576" w:hanging="576"/>
        <w:rPr>
          <w:sz w:val="22"/>
          <w:szCs w:val="22"/>
        </w:rPr>
      </w:pPr>
      <w:r w:rsidRPr="009C5EFD">
        <w:rPr>
          <w:b/>
          <w:sz w:val="22"/>
          <w:szCs w:val="22"/>
        </w:rPr>
        <w:t>6.4</w:t>
      </w:r>
      <w:r w:rsidRPr="009C5EFD">
        <w:rPr>
          <w:b/>
          <w:sz w:val="22"/>
          <w:szCs w:val="22"/>
        </w:rPr>
        <w:tab/>
        <w:t>Oppbevaringsbetingelser</w:t>
      </w:r>
    </w:p>
    <w:p w14:paraId="2BFE8061" w14:textId="77777777" w:rsidR="009E676E" w:rsidRPr="009C5EFD" w:rsidRDefault="009E676E" w:rsidP="009E676E">
      <w:pPr>
        <w:keepNext/>
        <w:rPr>
          <w:sz w:val="22"/>
          <w:szCs w:val="22"/>
        </w:rPr>
      </w:pPr>
    </w:p>
    <w:p w14:paraId="5D8FE4F3" w14:textId="77777777" w:rsidR="009E676E" w:rsidRPr="009C5EFD" w:rsidRDefault="00E453CD" w:rsidP="00776A84">
      <w:pPr>
        <w:rPr>
          <w:sz w:val="22"/>
          <w:szCs w:val="22"/>
        </w:rPr>
      </w:pPr>
      <w:r w:rsidRPr="009C5EFD">
        <w:rPr>
          <w:sz w:val="22"/>
          <w:szCs w:val="22"/>
        </w:rPr>
        <w:t>Oppbevares i kjøleskap (2</w:t>
      </w:r>
      <w:r w:rsidR="00421D8C">
        <w:rPr>
          <w:sz w:val="22"/>
          <w:szCs w:val="22"/>
        </w:rPr>
        <w:t> </w:t>
      </w:r>
      <w:r w:rsidRPr="009C5EFD">
        <w:rPr>
          <w:sz w:val="22"/>
          <w:szCs w:val="22"/>
        </w:rPr>
        <w:t>°C – 8</w:t>
      </w:r>
      <w:r w:rsidR="00421D8C">
        <w:rPr>
          <w:sz w:val="22"/>
          <w:szCs w:val="22"/>
        </w:rPr>
        <w:t> </w:t>
      </w:r>
      <w:r w:rsidRPr="009C5EFD">
        <w:rPr>
          <w:sz w:val="22"/>
          <w:szCs w:val="22"/>
        </w:rPr>
        <w:t xml:space="preserve">°C). Skal ikke fryses. Oppbevar </w:t>
      </w:r>
      <w:r w:rsidR="002562E7">
        <w:rPr>
          <w:sz w:val="22"/>
          <w:szCs w:val="22"/>
        </w:rPr>
        <w:t xml:space="preserve">den ferdigfylte </w:t>
      </w:r>
      <w:r w:rsidRPr="009C5EFD">
        <w:rPr>
          <w:sz w:val="22"/>
          <w:szCs w:val="22"/>
        </w:rPr>
        <w:t>sprøyten</w:t>
      </w:r>
      <w:r w:rsidR="003143D3">
        <w:rPr>
          <w:sz w:val="22"/>
          <w:szCs w:val="22"/>
        </w:rPr>
        <w:t xml:space="preserve"> eller </w:t>
      </w:r>
      <w:r w:rsidR="005313F8">
        <w:rPr>
          <w:sz w:val="22"/>
          <w:szCs w:val="22"/>
        </w:rPr>
        <w:t xml:space="preserve">den </w:t>
      </w:r>
      <w:r w:rsidR="003143D3">
        <w:rPr>
          <w:sz w:val="22"/>
          <w:szCs w:val="22"/>
        </w:rPr>
        <w:t>ferdigfylte pennen</w:t>
      </w:r>
      <w:r w:rsidRPr="009C5EFD">
        <w:rPr>
          <w:sz w:val="22"/>
          <w:szCs w:val="22"/>
        </w:rPr>
        <w:t xml:space="preserve"> i ytteremballasjen for å beskytte mot lys.</w:t>
      </w:r>
    </w:p>
    <w:p w14:paraId="744F24B4" w14:textId="77777777" w:rsidR="009E676E" w:rsidRPr="009C5EFD" w:rsidRDefault="009E676E" w:rsidP="009E676E">
      <w:pPr>
        <w:rPr>
          <w:sz w:val="22"/>
          <w:szCs w:val="22"/>
        </w:rPr>
      </w:pPr>
    </w:p>
    <w:p w14:paraId="1B3FF2D9" w14:textId="77777777" w:rsidR="009E676E" w:rsidRPr="009C5EFD" w:rsidRDefault="00E453CD" w:rsidP="009E676E">
      <w:pPr>
        <w:rPr>
          <w:sz w:val="22"/>
          <w:szCs w:val="22"/>
        </w:rPr>
      </w:pPr>
      <w:r w:rsidRPr="009C5EFD">
        <w:rPr>
          <w:sz w:val="22"/>
          <w:szCs w:val="22"/>
        </w:rPr>
        <w:t>En enkelt Humira ferdigfylt sprøyte</w:t>
      </w:r>
      <w:r w:rsidR="00105380">
        <w:rPr>
          <w:sz w:val="22"/>
          <w:szCs w:val="22"/>
        </w:rPr>
        <w:t xml:space="preserve"> eller ferdigfylt penn</w:t>
      </w:r>
      <w:r w:rsidRPr="009C5EFD">
        <w:rPr>
          <w:sz w:val="22"/>
          <w:szCs w:val="22"/>
        </w:rPr>
        <w:t xml:space="preserve"> kan oppbevares ved temperaturer opptil </w:t>
      </w:r>
      <w:r w:rsidR="00421D8C">
        <w:rPr>
          <w:sz w:val="22"/>
          <w:szCs w:val="22"/>
        </w:rPr>
        <w:t>maksimalt</w:t>
      </w:r>
      <w:r w:rsidR="00421D8C" w:rsidRPr="009C5EFD">
        <w:rPr>
          <w:sz w:val="22"/>
          <w:szCs w:val="22"/>
        </w:rPr>
        <w:t xml:space="preserve"> </w:t>
      </w:r>
      <w:r w:rsidRPr="009C5EFD">
        <w:rPr>
          <w:sz w:val="22"/>
          <w:szCs w:val="22"/>
        </w:rPr>
        <w:t>25</w:t>
      </w:r>
      <w:r w:rsidR="00421D8C">
        <w:rPr>
          <w:sz w:val="22"/>
          <w:szCs w:val="22"/>
        </w:rPr>
        <w:t> </w:t>
      </w:r>
      <w:r w:rsidRPr="009C5EFD">
        <w:rPr>
          <w:sz w:val="22"/>
          <w:szCs w:val="22"/>
        </w:rPr>
        <w:t>°C for en periode på opptil 14 dager. Sprøyten</w:t>
      </w:r>
      <w:r w:rsidR="00105380">
        <w:rPr>
          <w:sz w:val="22"/>
          <w:szCs w:val="22"/>
        </w:rPr>
        <w:t xml:space="preserve"> eller pennen</w:t>
      </w:r>
      <w:r w:rsidRPr="009C5EFD">
        <w:rPr>
          <w:sz w:val="22"/>
          <w:szCs w:val="22"/>
        </w:rPr>
        <w:t xml:space="preserve"> må beskyttes mot lys, og kastes hvis den ikke brukes innen 14 dager. </w:t>
      </w:r>
    </w:p>
    <w:p w14:paraId="7F542035" w14:textId="77777777" w:rsidR="009E676E" w:rsidRPr="009C5EFD" w:rsidRDefault="009E676E" w:rsidP="009E676E">
      <w:pPr>
        <w:rPr>
          <w:sz w:val="22"/>
          <w:szCs w:val="22"/>
        </w:rPr>
      </w:pPr>
    </w:p>
    <w:p w14:paraId="596485FE" w14:textId="77777777" w:rsidR="009E676E" w:rsidRPr="009C5EFD" w:rsidRDefault="00E453CD" w:rsidP="00776A84">
      <w:pPr>
        <w:keepNext/>
        <w:ind w:left="576" w:hanging="576"/>
        <w:rPr>
          <w:b/>
          <w:sz w:val="22"/>
          <w:szCs w:val="22"/>
        </w:rPr>
      </w:pPr>
      <w:r w:rsidRPr="009C5EFD">
        <w:rPr>
          <w:b/>
          <w:sz w:val="22"/>
          <w:szCs w:val="22"/>
        </w:rPr>
        <w:t>6.5</w:t>
      </w:r>
      <w:r w:rsidRPr="009C5EFD">
        <w:rPr>
          <w:b/>
          <w:sz w:val="22"/>
          <w:szCs w:val="22"/>
        </w:rPr>
        <w:tab/>
        <w:t>Emballasje (type og innhold)</w:t>
      </w:r>
    </w:p>
    <w:p w14:paraId="00753B1E" w14:textId="77777777" w:rsidR="009E676E" w:rsidRPr="009C5EFD" w:rsidRDefault="009E676E" w:rsidP="00776A84">
      <w:pPr>
        <w:keepNext/>
        <w:rPr>
          <w:sz w:val="22"/>
          <w:szCs w:val="22"/>
        </w:rPr>
      </w:pPr>
    </w:p>
    <w:p w14:paraId="2C699935" w14:textId="77777777" w:rsidR="00105380" w:rsidRPr="00105380" w:rsidRDefault="00E453CD" w:rsidP="00776A84">
      <w:pPr>
        <w:keepNext/>
        <w:textAlignment w:val="top"/>
        <w:rPr>
          <w:sz w:val="22"/>
          <w:szCs w:val="22"/>
        </w:rPr>
      </w:pPr>
      <w:r>
        <w:rPr>
          <w:sz w:val="22"/>
          <w:szCs w:val="22"/>
          <w:u w:val="single"/>
        </w:rPr>
        <w:t>Humira 80 mg injeksjonsvæske, oppløsning i ferdigfylt sprøyte</w:t>
      </w:r>
    </w:p>
    <w:p w14:paraId="6A275FA4" w14:textId="77777777" w:rsidR="009E676E" w:rsidRPr="002D0790" w:rsidRDefault="00E453CD" w:rsidP="009E676E">
      <w:pPr>
        <w:textAlignment w:val="top"/>
        <w:rPr>
          <w:sz w:val="22"/>
          <w:szCs w:val="22"/>
        </w:rPr>
      </w:pPr>
      <w:r w:rsidRPr="009C5EFD">
        <w:rPr>
          <w:sz w:val="22"/>
          <w:szCs w:val="22"/>
        </w:rPr>
        <w:t xml:space="preserve">Humira </w:t>
      </w:r>
      <w:r w:rsidR="002562E7">
        <w:rPr>
          <w:sz w:val="22"/>
          <w:szCs w:val="22"/>
        </w:rPr>
        <w:t>80</w:t>
      </w:r>
      <w:r w:rsidRPr="009C5EFD">
        <w:rPr>
          <w:sz w:val="22"/>
          <w:szCs w:val="22"/>
        </w:rPr>
        <w:t xml:space="preserve"> mg injeksjonsvæske, oppløsning, endose i ferdigfylt sprøyte (type I glass) med en stempelpropp (brombutylgummi) og en </w:t>
      </w:r>
      <w:r w:rsidR="008138BF">
        <w:rPr>
          <w:sz w:val="22"/>
          <w:szCs w:val="22"/>
        </w:rPr>
        <w:t>kanyle</w:t>
      </w:r>
      <w:r w:rsidRPr="009C5EFD">
        <w:rPr>
          <w:sz w:val="22"/>
          <w:szCs w:val="22"/>
        </w:rPr>
        <w:t xml:space="preserve"> med </w:t>
      </w:r>
      <w:r w:rsidR="00E1458E">
        <w:rPr>
          <w:sz w:val="22"/>
          <w:szCs w:val="22"/>
        </w:rPr>
        <w:t>kanylehette</w:t>
      </w:r>
      <w:r w:rsidRPr="009C5EFD">
        <w:rPr>
          <w:sz w:val="22"/>
          <w:szCs w:val="22"/>
        </w:rPr>
        <w:t xml:space="preserve"> (termoplastisk elastomer)</w:t>
      </w:r>
      <w:r w:rsidRPr="00193D76">
        <w:rPr>
          <w:sz w:val="22"/>
          <w:szCs w:val="22"/>
        </w:rPr>
        <w:t>.</w:t>
      </w:r>
    </w:p>
    <w:p w14:paraId="038D16AC" w14:textId="77777777" w:rsidR="009E676E" w:rsidRPr="002D0790" w:rsidRDefault="009E676E" w:rsidP="009E676E">
      <w:pPr>
        <w:rPr>
          <w:sz w:val="22"/>
          <w:szCs w:val="22"/>
        </w:rPr>
      </w:pPr>
    </w:p>
    <w:p w14:paraId="56AB787C" w14:textId="77777777" w:rsidR="009E676E" w:rsidRPr="00E14E58" w:rsidRDefault="00E453CD" w:rsidP="00776A84">
      <w:pPr>
        <w:keepNext/>
        <w:rPr>
          <w:sz w:val="22"/>
          <w:szCs w:val="22"/>
        </w:rPr>
      </w:pPr>
      <w:r w:rsidRPr="00E14E58">
        <w:rPr>
          <w:sz w:val="22"/>
          <w:szCs w:val="22"/>
        </w:rPr>
        <w:t>Pakninger:</w:t>
      </w:r>
    </w:p>
    <w:p w14:paraId="0B3A0923" w14:textId="77777777" w:rsidR="009E676E" w:rsidRPr="009C5EFD" w:rsidRDefault="00E453CD" w:rsidP="009E676E">
      <w:pPr>
        <w:numPr>
          <w:ilvl w:val="0"/>
          <w:numId w:val="23"/>
        </w:numPr>
        <w:ind w:left="0" w:firstLine="0"/>
        <w:rPr>
          <w:sz w:val="22"/>
          <w:szCs w:val="22"/>
        </w:rPr>
      </w:pPr>
      <w:r w:rsidRPr="009C5EFD">
        <w:rPr>
          <w:sz w:val="22"/>
          <w:szCs w:val="22"/>
        </w:rPr>
        <w:t xml:space="preserve">1 ferdigfylt sprøyte (0,8 ml steril oppløsning) med </w:t>
      </w:r>
      <w:r>
        <w:rPr>
          <w:sz w:val="22"/>
          <w:szCs w:val="22"/>
        </w:rPr>
        <w:t>1</w:t>
      </w:r>
      <w:r w:rsidRPr="009C5EFD">
        <w:rPr>
          <w:sz w:val="22"/>
          <w:szCs w:val="22"/>
        </w:rPr>
        <w:t xml:space="preserve"> injeksjonstørk</w:t>
      </w:r>
      <w:r w:rsidR="00421D8C">
        <w:rPr>
          <w:sz w:val="22"/>
          <w:szCs w:val="22"/>
        </w:rPr>
        <w:t>,</w:t>
      </w:r>
      <w:r w:rsidRPr="009C5EFD">
        <w:rPr>
          <w:sz w:val="22"/>
          <w:szCs w:val="22"/>
        </w:rPr>
        <w:t xml:space="preserve"> i blisterpakning</w:t>
      </w:r>
      <w:r w:rsidR="002562E7">
        <w:rPr>
          <w:sz w:val="22"/>
          <w:szCs w:val="22"/>
        </w:rPr>
        <w:t>.</w:t>
      </w:r>
    </w:p>
    <w:p w14:paraId="4C7D4042" w14:textId="77777777" w:rsidR="009E676E" w:rsidRDefault="009E676E" w:rsidP="002562E7">
      <w:pPr>
        <w:rPr>
          <w:sz w:val="22"/>
          <w:szCs w:val="22"/>
        </w:rPr>
      </w:pPr>
    </w:p>
    <w:p w14:paraId="7C16F4D2" w14:textId="77777777" w:rsidR="00105380" w:rsidRPr="00787C36" w:rsidRDefault="00E453CD" w:rsidP="00AF70AD">
      <w:pPr>
        <w:keepNext/>
        <w:rPr>
          <w:sz w:val="22"/>
          <w:szCs w:val="22"/>
          <w:u w:val="single"/>
        </w:rPr>
      </w:pPr>
      <w:r>
        <w:rPr>
          <w:sz w:val="22"/>
          <w:szCs w:val="22"/>
          <w:u w:val="single"/>
        </w:rPr>
        <w:t>Humira 80 mg injeksjonsvæske, oppløsning i ferdigfylt penn</w:t>
      </w:r>
    </w:p>
    <w:p w14:paraId="17BB1C1F" w14:textId="77777777" w:rsidR="00105380" w:rsidRDefault="00E453CD" w:rsidP="00105380">
      <w:pPr>
        <w:rPr>
          <w:sz w:val="22"/>
          <w:szCs w:val="22"/>
        </w:rPr>
      </w:pPr>
      <w:r>
        <w:rPr>
          <w:sz w:val="22"/>
          <w:szCs w:val="22"/>
        </w:rPr>
        <w:t xml:space="preserve">Humira 80 mg injeksjonsvæske, oppløsning, endose i ferdigfylt penn for pasientbruk inneholder en ferdigfylt sprøyte. Sprøyten inni pennen er lagd av type </w:t>
      </w:r>
      <w:r w:rsidRPr="00DE70F1">
        <w:rPr>
          <w:sz w:val="22"/>
          <w:szCs w:val="22"/>
        </w:rPr>
        <w:t>1</w:t>
      </w:r>
      <w:r>
        <w:rPr>
          <w:sz w:val="22"/>
          <w:szCs w:val="22"/>
        </w:rPr>
        <w:t xml:space="preserve"> glass med en stempelpropp (brombutylgummi) og en </w:t>
      </w:r>
      <w:r w:rsidR="008138BF">
        <w:rPr>
          <w:sz w:val="22"/>
          <w:szCs w:val="22"/>
        </w:rPr>
        <w:t>kanyle</w:t>
      </w:r>
      <w:r>
        <w:rPr>
          <w:sz w:val="22"/>
          <w:szCs w:val="22"/>
        </w:rPr>
        <w:t xml:space="preserve"> med beskyttelseshette (termoplastisk elastomer).</w:t>
      </w:r>
    </w:p>
    <w:p w14:paraId="0032803F" w14:textId="77777777" w:rsidR="00105380" w:rsidRDefault="00105380" w:rsidP="00105380">
      <w:pPr>
        <w:rPr>
          <w:sz w:val="22"/>
          <w:szCs w:val="22"/>
        </w:rPr>
      </w:pPr>
    </w:p>
    <w:p w14:paraId="2C6EA018" w14:textId="77777777" w:rsidR="00105380" w:rsidRDefault="00E453CD" w:rsidP="00B77853">
      <w:pPr>
        <w:keepNext/>
        <w:rPr>
          <w:sz w:val="22"/>
          <w:szCs w:val="22"/>
        </w:rPr>
      </w:pPr>
      <w:r>
        <w:rPr>
          <w:sz w:val="22"/>
          <w:szCs w:val="22"/>
        </w:rPr>
        <w:t>Pakninger:</w:t>
      </w:r>
    </w:p>
    <w:p w14:paraId="2B007CD5" w14:textId="77777777" w:rsidR="00105380" w:rsidRDefault="00E453CD" w:rsidP="00776A84">
      <w:pPr>
        <w:numPr>
          <w:ilvl w:val="0"/>
          <w:numId w:val="23"/>
        </w:numPr>
        <w:tabs>
          <w:tab w:val="clear" w:pos="567"/>
          <w:tab w:val="num" w:pos="720"/>
        </w:tabs>
        <w:ind w:left="357" w:firstLine="357"/>
        <w:rPr>
          <w:sz w:val="22"/>
          <w:szCs w:val="22"/>
        </w:rPr>
      </w:pPr>
      <w:r>
        <w:rPr>
          <w:sz w:val="22"/>
          <w:szCs w:val="22"/>
        </w:rPr>
        <w:t>1 ferdigfylt penn (0,8 </w:t>
      </w:r>
      <w:r w:rsidRPr="009C5EFD">
        <w:rPr>
          <w:sz w:val="22"/>
          <w:szCs w:val="22"/>
        </w:rPr>
        <w:t xml:space="preserve">ml steril oppløsning) med </w:t>
      </w:r>
      <w:r>
        <w:rPr>
          <w:sz w:val="22"/>
          <w:szCs w:val="22"/>
        </w:rPr>
        <w:t>2</w:t>
      </w:r>
      <w:r w:rsidRPr="009C5EFD">
        <w:rPr>
          <w:sz w:val="22"/>
          <w:szCs w:val="22"/>
        </w:rPr>
        <w:t xml:space="preserve"> injeksjonstørk</w:t>
      </w:r>
      <w:r w:rsidR="00421D8C">
        <w:rPr>
          <w:sz w:val="22"/>
          <w:szCs w:val="22"/>
        </w:rPr>
        <w:t>,</w:t>
      </w:r>
      <w:r w:rsidRPr="009C5EFD">
        <w:rPr>
          <w:sz w:val="22"/>
          <w:szCs w:val="22"/>
        </w:rPr>
        <w:t xml:space="preserve"> i blisterpakning</w:t>
      </w:r>
      <w:r w:rsidR="00560437">
        <w:rPr>
          <w:sz w:val="22"/>
          <w:szCs w:val="22"/>
        </w:rPr>
        <w:t>.</w:t>
      </w:r>
    </w:p>
    <w:p w14:paraId="4CC1BD83" w14:textId="77777777" w:rsidR="00730B89" w:rsidRPr="00730B89" w:rsidRDefault="00E453CD" w:rsidP="00776A84">
      <w:pPr>
        <w:numPr>
          <w:ilvl w:val="0"/>
          <w:numId w:val="23"/>
        </w:numPr>
        <w:tabs>
          <w:tab w:val="clear" w:pos="567"/>
          <w:tab w:val="num" w:pos="720"/>
        </w:tabs>
        <w:ind w:left="357" w:firstLine="357"/>
        <w:rPr>
          <w:sz w:val="22"/>
          <w:szCs w:val="22"/>
        </w:rPr>
      </w:pPr>
      <w:r>
        <w:rPr>
          <w:sz w:val="22"/>
          <w:szCs w:val="22"/>
        </w:rPr>
        <w:t>3 ferdigfylte penner (0,8 </w:t>
      </w:r>
      <w:r w:rsidRPr="009C5EFD">
        <w:rPr>
          <w:sz w:val="22"/>
          <w:szCs w:val="22"/>
        </w:rPr>
        <w:t xml:space="preserve">ml steril oppløsning) med </w:t>
      </w:r>
      <w:r>
        <w:rPr>
          <w:sz w:val="22"/>
          <w:szCs w:val="22"/>
        </w:rPr>
        <w:t>4 </w:t>
      </w:r>
      <w:r w:rsidRPr="009C5EFD">
        <w:rPr>
          <w:sz w:val="22"/>
          <w:szCs w:val="22"/>
        </w:rPr>
        <w:t>injeksjonstørk</w:t>
      </w:r>
      <w:r>
        <w:rPr>
          <w:sz w:val="22"/>
          <w:szCs w:val="22"/>
        </w:rPr>
        <w:t>,</w:t>
      </w:r>
      <w:r w:rsidRPr="009C5EFD">
        <w:rPr>
          <w:sz w:val="22"/>
          <w:szCs w:val="22"/>
        </w:rPr>
        <w:t xml:space="preserve"> i blisterpakning</w:t>
      </w:r>
      <w:r>
        <w:rPr>
          <w:sz w:val="22"/>
          <w:szCs w:val="22"/>
        </w:rPr>
        <w:t>.</w:t>
      </w:r>
    </w:p>
    <w:p w14:paraId="3F902507" w14:textId="77777777" w:rsidR="00105380" w:rsidRDefault="00105380" w:rsidP="00105380">
      <w:pPr>
        <w:rPr>
          <w:sz w:val="22"/>
          <w:szCs w:val="22"/>
        </w:rPr>
      </w:pPr>
    </w:p>
    <w:p w14:paraId="17E9609A" w14:textId="77777777" w:rsidR="00105380" w:rsidRDefault="00E453CD" w:rsidP="00105380">
      <w:pPr>
        <w:rPr>
          <w:sz w:val="22"/>
          <w:szCs w:val="22"/>
        </w:rPr>
      </w:pPr>
      <w:r w:rsidRPr="009C5EFD">
        <w:rPr>
          <w:sz w:val="22"/>
          <w:szCs w:val="22"/>
        </w:rPr>
        <w:t xml:space="preserve">Ikke alle pakningsstørrelser </w:t>
      </w:r>
      <w:r>
        <w:rPr>
          <w:sz w:val="22"/>
          <w:szCs w:val="22"/>
        </w:rPr>
        <w:t>vil nødvendigvis bli markedsført.</w:t>
      </w:r>
    </w:p>
    <w:p w14:paraId="6F2BAC5D" w14:textId="77777777" w:rsidR="00105380" w:rsidRPr="009C5EFD" w:rsidRDefault="00105380" w:rsidP="002562E7">
      <w:pPr>
        <w:rPr>
          <w:sz w:val="22"/>
          <w:szCs w:val="22"/>
        </w:rPr>
      </w:pPr>
    </w:p>
    <w:p w14:paraId="7980635E" w14:textId="77777777" w:rsidR="009E676E" w:rsidRPr="009C5EFD" w:rsidRDefault="00E453CD" w:rsidP="00602A37">
      <w:pPr>
        <w:keepNext/>
        <w:suppressAutoHyphens/>
        <w:ind w:left="576" w:hanging="576"/>
        <w:rPr>
          <w:sz w:val="22"/>
          <w:szCs w:val="22"/>
        </w:rPr>
      </w:pPr>
      <w:r w:rsidRPr="009C5EFD">
        <w:rPr>
          <w:b/>
          <w:sz w:val="22"/>
          <w:szCs w:val="22"/>
        </w:rPr>
        <w:t>6.6</w:t>
      </w:r>
      <w:r w:rsidRPr="009C5EFD">
        <w:rPr>
          <w:b/>
          <w:sz w:val="22"/>
          <w:szCs w:val="22"/>
        </w:rPr>
        <w:tab/>
        <w:t>Spesielle forholdsregler for destruksjon</w:t>
      </w:r>
    </w:p>
    <w:p w14:paraId="4D710974" w14:textId="77777777" w:rsidR="009E676E" w:rsidRPr="009C5EFD" w:rsidRDefault="009E676E" w:rsidP="009E676E">
      <w:pPr>
        <w:keepNext/>
        <w:rPr>
          <w:sz w:val="22"/>
          <w:szCs w:val="22"/>
        </w:rPr>
      </w:pPr>
    </w:p>
    <w:p w14:paraId="04848E2C" w14:textId="77777777" w:rsidR="009E676E" w:rsidRPr="009C5EFD" w:rsidRDefault="00E453CD" w:rsidP="00776A84">
      <w:pPr>
        <w:rPr>
          <w:sz w:val="22"/>
          <w:szCs w:val="22"/>
        </w:rPr>
      </w:pPr>
      <w:r w:rsidRPr="009C5EFD">
        <w:rPr>
          <w:sz w:val="22"/>
          <w:szCs w:val="22"/>
        </w:rPr>
        <w:t>Ikke anvendt legemiddel samt avfall bør destrueres i overensstemmelse med lokale krav.</w:t>
      </w:r>
    </w:p>
    <w:p w14:paraId="6C4ED817" w14:textId="77777777" w:rsidR="009E676E" w:rsidRPr="009C5EFD" w:rsidRDefault="009E676E" w:rsidP="009E676E">
      <w:pPr>
        <w:rPr>
          <w:sz w:val="22"/>
          <w:szCs w:val="22"/>
        </w:rPr>
      </w:pPr>
    </w:p>
    <w:p w14:paraId="27C4EDB5" w14:textId="77777777" w:rsidR="009E676E" w:rsidRPr="009C5EFD" w:rsidRDefault="009E676E" w:rsidP="009E676E">
      <w:pPr>
        <w:rPr>
          <w:sz w:val="22"/>
          <w:szCs w:val="22"/>
        </w:rPr>
      </w:pPr>
    </w:p>
    <w:p w14:paraId="48DFFC44" w14:textId="77777777" w:rsidR="009E676E" w:rsidRPr="009C5EFD" w:rsidRDefault="00E453CD" w:rsidP="00776A84">
      <w:pPr>
        <w:keepNext/>
        <w:suppressAutoHyphens/>
        <w:ind w:left="562" w:hanging="562"/>
        <w:rPr>
          <w:sz w:val="22"/>
          <w:szCs w:val="22"/>
        </w:rPr>
      </w:pPr>
      <w:r w:rsidRPr="009C5EFD">
        <w:rPr>
          <w:b/>
          <w:sz w:val="22"/>
          <w:szCs w:val="22"/>
        </w:rPr>
        <w:t>7.</w:t>
      </w:r>
      <w:r w:rsidRPr="009C5EFD">
        <w:rPr>
          <w:b/>
          <w:sz w:val="22"/>
          <w:szCs w:val="22"/>
        </w:rPr>
        <w:tab/>
        <w:t>INNEHAVER AV MARKEDSFØRINGSTILLATELSEN</w:t>
      </w:r>
    </w:p>
    <w:p w14:paraId="53DD896E" w14:textId="77777777" w:rsidR="009E676E" w:rsidRPr="009C5EFD" w:rsidRDefault="009E676E" w:rsidP="00776A84">
      <w:pPr>
        <w:keepNext/>
        <w:rPr>
          <w:sz w:val="22"/>
          <w:szCs w:val="22"/>
        </w:rPr>
      </w:pPr>
    </w:p>
    <w:p w14:paraId="74EE1ACC" w14:textId="77777777" w:rsidR="00851837" w:rsidRPr="00EF12DF" w:rsidRDefault="00E453CD" w:rsidP="00851837">
      <w:pPr>
        <w:rPr>
          <w:sz w:val="22"/>
          <w:szCs w:val="22"/>
        </w:rPr>
      </w:pPr>
      <w:r w:rsidRPr="00EF12DF">
        <w:rPr>
          <w:sz w:val="22"/>
          <w:szCs w:val="22"/>
        </w:rPr>
        <w:t>AbbVie Deutschland GmbH &amp; Co. KG</w:t>
      </w:r>
    </w:p>
    <w:p w14:paraId="6D86FC24" w14:textId="77777777" w:rsidR="00851837" w:rsidRPr="00EF12DF" w:rsidRDefault="00E453CD" w:rsidP="00851837">
      <w:pPr>
        <w:rPr>
          <w:sz w:val="22"/>
          <w:szCs w:val="22"/>
        </w:rPr>
      </w:pPr>
      <w:r w:rsidRPr="00EF12DF">
        <w:rPr>
          <w:sz w:val="22"/>
          <w:szCs w:val="22"/>
        </w:rPr>
        <w:t>Knollstrasse</w:t>
      </w:r>
    </w:p>
    <w:p w14:paraId="6E83F0FA" w14:textId="77777777" w:rsidR="00851837" w:rsidRPr="00EF12DF" w:rsidRDefault="00E453CD" w:rsidP="00851837">
      <w:pPr>
        <w:rPr>
          <w:sz w:val="22"/>
          <w:szCs w:val="22"/>
        </w:rPr>
      </w:pPr>
      <w:r w:rsidRPr="00EF12DF">
        <w:rPr>
          <w:sz w:val="22"/>
          <w:szCs w:val="22"/>
        </w:rPr>
        <w:t>67061 Ludwigshafen</w:t>
      </w:r>
    </w:p>
    <w:p w14:paraId="56C0A96B" w14:textId="77777777" w:rsidR="00851837" w:rsidRPr="009C5EFD" w:rsidRDefault="00E453CD" w:rsidP="00851837">
      <w:pPr>
        <w:rPr>
          <w:sz w:val="22"/>
          <w:szCs w:val="22"/>
        </w:rPr>
      </w:pPr>
      <w:r>
        <w:rPr>
          <w:sz w:val="22"/>
          <w:szCs w:val="22"/>
        </w:rPr>
        <w:t>Tyskland</w:t>
      </w:r>
    </w:p>
    <w:p w14:paraId="38305ECA" w14:textId="77777777" w:rsidR="009E676E" w:rsidRPr="00CB538B" w:rsidRDefault="009E676E" w:rsidP="009E676E">
      <w:pPr>
        <w:rPr>
          <w:sz w:val="22"/>
        </w:rPr>
      </w:pPr>
    </w:p>
    <w:p w14:paraId="32B13AF5" w14:textId="77777777" w:rsidR="009E676E" w:rsidRPr="00CB538B" w:rsidRDefault="009E676E" w:rsidP="009E676E">
      <w:pPr>
        <w:rPr>
          <w:sz w:val="22"/>
        </w:rPr>
      </w:pPr>
    </w:p>
    <w:p w14:paraId="542F9F18" w14:textId="77777777" w:rsidR="009E676E" w:rsidRPr="009C5EFD" w:rsidRDefault="00E453CD" w:rsidP="00776A84">
      <w:pPr>
        <w:keepNext/>
        <w:suppressAutoHyphens/>
        <w:ind w:left="562" w:hanging="562"/>
        <w:rPr>
          <w:sz w:val="22"/>
          <w:szCs w:val="22"/>
        </w:rPr>
      </w:pPr>
      <w:r w:rsidRPr="009C5EFD">
        <w:rPr>
          <w:b/>
          <w:sz w:val="22"/>
          <w:szCs w:val="22"/>
        </w:rPr>
        <w:t>8.</w:t>
      </w:r>
      <w:r w:rsidRPr="009C5EFD">
        <w:rPr>
          <w:b/>
          <w:sz w:val="22"/>
          <w:szCs w:val="22"/>
        </w:rPr>
        <w:tab/>
        <w:t>MARKEDSFØRINGSTILLATELSESNUMMER (NUMRE)</w:t>
      </w:r>
    </w:p>
    <w:p w14:paraId="41F7509B" w14:textId="77777777" w:rsidR="009E676E" w:rsidRPr="009C5EFD" w:rsidRDefault="009E676E" w:rsidP="00776A84">
      <w:pPr>
        <w:keepNext/>
        <w:rPr>
          <w:sz w:val="22"/>
          <w:szCs w:val="22"/>
        </w:rPr>
      </w:pPr>
    </w:p>
    <w:p w14:paraId="47DC31EF" w14:textId="77777777" w:rsidR="00105380" w:rsidRPr="00105380" w:rsidRDefault="00E453CD" w:rsidP="00776A84">
      <w:pPr>
        <w:keepNext/>
        <w:rPr>
          <w:sz w:val="22"/>
          <w:szCs w:val="22"/>
        </w:rPr>
      </w:pPr>
      <w:r>
        <w:rPr>
          <w:sz w:val="22"/>
          <w:szCs w:val="22"/>
          <w:u w:val="single"/>
        </w:rPr>
        <w:t>Humira 80 mg injeksjonsvæske, oppløsning i ferdigfylt sprøyte</w:t>
      </w:r>
    </w:p>
    <w:p w14:paraId="65747FAE" w14:textId="77777777" w:rsidR="009E676E" w:rsidRDefault="00E453CD" w:rsidP="009E676E">
      <w:pPr>
        <w:rPr>
          <w:sz w:val="22"/>
          <w:szCs w:val="22"/>
        </w:rPr>
      </w:pPr>
      <w:r>
        <w:rPr>
          <w:sz w:val="22"/>
          <w:szCs w:val="22"/>
        </w:rPr>
        <w:t>EU/1/03/256/</w:t>
      </w:r>
      <w:r w:rsidR="00225E71">
        <w:rPr>
          <w:sz w:val="22"/>
          <w:szCs w:val="22"/>
        </w:rPr>
        <w:t>020</w:t>
      </w:r>
    </w:p>
    <w:p w14:paraId="41531898" w14:textId="77777777" w:rsidR="00105380" w:rsidRDefault="00105380" w:rsidP="009E676E">
      <w:pPr>
        <w:rPr>
          <w:sz w:val="22"/>
          <w:szCs w:val="22"/>
        </w:rPr>
      </w:pPr>
    </w:p>
    <w:p w14:paraId="2BE345A7" w14:textId="77777777" w:rsidR="00105380" w:rsidRDefault="00E453CD" w:rsidP="00776A84">
      <w:pPr>
        <w:keepNext/>
        <w:rPr>
          <w:sz w:val="22"/>
          <w:szCs w:val="22"/>
        </w:rPr>
      </w:pPr>
      <w:r>
        <w:rPr>
          <w:sz w:val="22"/>
          <w:szCs w:val="22"/>
          <w:u w:val="single"/>
        </w:rPr>
        <w:t>Humira 80 mg injeksjonsvæske, oppløsning i ferdigfylt penn</w:t>
      </w:r>
    </w:p>
    <w:p w14:paraId="48F3E79E" w14:textId="77777777" w:rsidR="00105380" w:rsidRDefault="00E453CD" w:rsidP="009E676E">
      <w:pPr>
        <w:rPr>
          <w:sz w:val="22"/>
          <w:szCs w:val="22"/>
        </w:rPr>
      </w:pPr>
      <w:r>
        <w:rPr>
          <w:sz w:val="22"/>
          <w:szCs w:val="22"/>
        </w:rPr>
        <w:t>EU/1/03/256/</w:t>
      </w:r>
      <w:r w:rsidR="00560437">
        <w:rPr>
          <w:sz w:val="22"/>
          <w:szCs w:val="22"/>
        </w:rPr>
        <w:t>021</w:t>
      </w:r>
    </w:p>
    <w:p w14:paraId="50096AF8" w14:textId="77777777" w:rsidR="009E676E" w:rsidRDefault="00E453CD" w:rsidP="009E676E">
      <w:pPr>
        <w:rPr>
          <w:sz w:val="22"/>
          <w:szCs w:val="22"/>
        </w:rPr>
      </w:pPr>
      <w:r w:rsidRPr="00DB6FF4">
        <w:rPr>
          <w:sz w:val="22"/>
          <w:szCs w:val="22"/>
        </w:rPr>
        <w:t>EU/1/03/256/027</w:t>
      </w:r>
    </w:p>
    <w:p w14:paraId="14598C61" w14:textId="77777777" w:rsidR="006A6E99" w:rsidRPr="009C5EFD" w:rsidRDefault="006A6E99" w:rsidP="009E676E">
      <w:pPr>
        <w:rPr>
          <w:sz w:val="22"/>
          <w:szCs w:val="22"/>
        </w:rPr>
      </w:pPr>
    </w:p>
    <w:p w14:paraId="4A6B2860" w14:textId="77777777" w:rsidR="009E676E" w:rsidRPr="009C5EFD" w:rsidRDefault="009E676E" w:rsidP="009E676E">
      <w:pPr>
        <w:rPr>
          <w:sz w:val="22"/>
          <w:szCs w:val="22"/>
        </w:rPr>
      </w:pPr>
    </w:p>
    <w:p w14:paraId="0BF8BB20" w14:textId="77777777" w:rsidR="009E676E" w:rsidRPr="009C5EFD" w:rsidRDefault="00E453CD" w:rsidP="00602A37">
      <w:pPr>
        <w:keepNext/>
        <w:suppressAutoHyphens/>
        <w:ind w:left="562" w:hanging="562"/>
        <w:rPr>
          <w:sz w:val="22"/>
          <w:szCs w:val="22"/>
        </w:rPr>
      </w:pPr>
      <w:r w:rsidRPr="009C5EFD">
        <w:rPr>
          <w:b/>
          <w:sz w:val="22"/>
          <w:szCs w:val="22"/>
        </w:rPr>
        <w:t>9.</w:t>
      </w:r>
      <w:r w:rsidRPr="009C5EFD">
        <w:rPr>
          <w:b/>
          <w:sz w:val="22"/>
          <w:szCs w:val="22"/>
        </w:rPr>
        <w:tab/>
        <w:t>DATO FOR FØRSTE MARKEDSFØRINGSTILLATELSE/SISTE FORNYELSE</w:t>
      </w:r>
    </w:p>
    <w:p w14:paraId="602F82B4" w14:textId="77777777" w:rsidR="009E676E" w:rsidRPr="009C5EFD" w:rsidRDefault="009E676E" w:rsidP="009E676E">
      <w:pPr>
        <w:keepNext/>
        <w:rPr>
          <w:sz w:val="22"/>
          <w:szCs w:val="22"/>
        </w:rPr>
      </w:pPr>
    </w:p>
    <w:p w14:paraId="19B6298E" w14:textId="77777777" w:rsidR="009E676E" w:rsidRPr="009C5EFD" w:rsidRDefault="00E453CD" w:rsidP="00776A84">
      <w:pPr>
        <w:rPr>
          <w:sz w:val="22"/>
          <w:szCs w:val="22"/>
        </w:rPr>
      </w:pPr>
      <w:r w:rsidRPr="009C5EFD">
        <w:rPr>
          <w:sz w:val="22"/>
          <w:szCs w:val="22"/>
        </w:rPr>
        <w:t>Dato for første markedsføringstillatelse: 8. september 2003</w:t>
      </w:r>
    </w:p>
    <w:p w14:paraId="7C64F138" w14:textId="77777777" w:rsidR="009E676E" w:rsidRPr="009C5EFD" w:rsidRDefault="00E453CD" w:rsidP="00776A84">
      <w:pPr>
        <w:rPr>
          <w:sz w:val="22"/>
          <w:szCs w:val="22"/>
        </w:rPr>
      </w:pPr>
      <w:r w:rsidRPr="009C5EFD">
        <w:rPr>
          <w:sz w:val="22"/>
          <w:szCs w:val="22"/>
        </w:rPr>
        <w:t>Dato for siste fornyelse: 8. september 2008</w:t>
      </w:r>
    </w:p>
    <w:p w14:paraId="4786D9DE" w14:textId="77777777" w:rsidR="009E676E" w:rsidRPr="009C5EFD" w:rsidRDefault="009E676E" w:rsidP="009E676E">
      <w:pPr>
        <w:rPr>
          <w:sz w:val="22"/>
          <w:szCs w:val="22"/>
        </w:rPr>
      </w:pPr>
    </w:p>
    <w:p w14:paraId="1B61027A" w14:textId="77777777" w:rsidR="009E676E" w:rsidRPr="009C5EFD" w:rsidRDefault="009E676E" w:rsidP="009E676E">
      <w:pPr>
        <w:rPr>
          <w:sz w:val="22"/>
          <w:szCs w:val="22"/>
        </w:rPr>
      </w:pPr>
    </w:p>
    <w:p w14:paraId="73A8BA37" w14:textId="77777777" w:rsidR="009E676E" w:rsidRPr="009C5EFD" w:rsidRDefault="00E453CD" w:rsidP="00776A84">
      <w:pPr>
        <w:keepNext/>
        <w:suppressAutoHyphens/>
        <w:ind w:left="562" w:hanging="562"/>
        <w:rPr>
          <w:b/>
          <w:sz w:val="22"/>
          <w:szCs w:val="22"/>
        </w:rPr>
      </w:pPr>
      <w:r w:rsidRPr="009C5EFD">
        <w:rPr>
          <w:b/>
          <w:sz w:val="22"/>
          <w:szCs w:val="22"/>
        </w:rPr>
        <w:t>10.</w:t>
      </w:r>
      <w:r w:rsidRPr="009C5EFD">
        <w:rPr>
          <w:b/>
          <w:sz w:val="22"/>
          <w:szCs w:val="22"/>
        </w:rPr>
        <w:tab/>
        <w:t>OPPDATERINGSDATO</w:t>
      </w:r>
    </w:p>
    <w:p w14:paraId="2AFCBD27" w14:textId="77777777" w:rsidR="009E676E" w:rsidRPr="001F5D4B" w:rsidRDefault="009E676E" w:rsidP="00776A84">
      <w:pPr>
        <w:keepNext/>
        <w:suppressAutoHyphens/>
        <w:rPr>
          <w:sz w:val="22"/>
          <w:szCs w:val="22"/>
        </w:rPr>
      </w:pPr>
    </w:p>
    <w:p w14:paraId="3CF14DAC" w14:textId="513CDD12" w:rsidR="009E676E" w:rsidRPr="009C5EFD" w:rsidRDefault="00E453CD" w:rsidP="009E676E">
      <w:pPr>
        <w:suppressAutoHyphens/>
        <w:rPr>
          <w:sz w:val="22"/>
        </w:rPr>
      </w:pPr>
      <w:r w:rsidRPr="007F67EE">
        <w:rPr>
          <w:sz w:val="22"/>
        </w:rPr>
        <w:t>Detaljert informa</w:t>
      </w:r>
      <w:r w:rsidRPr="00193D76">
        <w:rPr>
          <w:sz w:val="22"/>
        </w:rPr>
        <w:t>s</w:t>
      </w:r>
      <w:r w:rsidRPr="002D0790">
        <w:rPr>
          <w:sz w:val="22"/>
        </w:rPr>
        <w:t>jon om dette legemidlet er tilgjengelig på nettstedet til Det europeiske legemiddelkontoret (</w:t>
      </w:r>
      <w:r w:rsidR="001D434C">
        <w:rPr>
          <w:sz w:val="22"/>
        </w:rPr>
        <w:t>t</w:t>
      </w:r>
      <w:r w:rsidRPr="002D0790">
        <w:rPr>
          <w:sz w:val="22"/>
        </w:rPr>
        <w:t xml:space="preserve">he </w:t>
      </w:r>
      <w:r w:rsidRPr="00E14E58">
        <w:rPr>
          <w:sz w:val="22"/>
        </w:rPr>
        <w:t xml:space="preserve">European Medicines Agency) </w:t>
      </w:r>
      <w:ins w:id="11621" w:author="AbbVie04no" w:date="2025-09-09T10:19:00Z" w16du:dateUtc="2025-09-09T08:19:00Z">
        <w:r w:rsidR="00090EDA">
          <w:rPr>
            <w:sz w:val="22"/>
          </w:rPr>
          <w:fldChar w:fldCharType="begin"/>
        </w:r>
        <w:r w:rsidR="00090EDA">
          <w:rPr>
            <w:sz w:val="22"/>
          </w:rPr>
          <w:instrText>HYPERLINK "</w:instrText>
        </w:r>
      </w:ins>
      <w:r w:rsidR="00090EDA" w:rsidRPr="00E14E58">
        <w:rPr>
          <w:sz w:val="22"/>
        </w:rPr>
        <w:instrText>http</w:instrText>
      </w:r>
      <w:ins w:id="11622" w:author="AbbVie02no" w:date="2025-05-15T13:51:00Z">
        <w:r w:rsidR="00090EDA">
          <w:rPr>
            <w:sz w:val="22"/>
          </w:rPr>
          <w:instrText>s</w:instrText>
        </w:r>
      </w:ins>
      <w:r w:rsidR="00090EDA" w:rsidRPr="00E14E58">
        <w:rPr>
          <w:sz w:val="22"/>
        </w:rPr>
        <w:instrText>://www.ema.europa.eu</w:instrText>
      </w:r>
      <w:ins w:id="11623" w:author="AbbVie04no" w:date="2025-09-09T10:19:00Z" w16du:dateUtc="2025-09-09T08:19:00Z">
        <w:r w:rsidR="00090EDA">
          <w:rPr>
            <w:sz w:val="22"/>
          </w:rPr>
          <w:instrText>"</w:instrText>
        </w:r>
        <w:r w:rsidR="00090EDA">
          <w:rPr>
            <w:sz w:val="22"/>
          </w:rPr>
        </w:r>
        <w:r w:rsidR="00090EDA">
          <w:rPr>
            <w:sz w:val="22"/>
          </w:rPr>
          <w:fldChar w:fldCharType="separate"/>
        </w:r>
      </w:ins>
      <w:r w:rsidR="00090EDA" w:rsidRPr="00107D03">
        <w:rPr>
          <w:rStyle w:val="Hyperlink"/>
          <w:sz w:val="22"/>
        </w:rPr>
        <w:t>http</w:t>
      </w:r>
      <w:ins w:id="11624" w:author="AbbVie02no" w:date="2025-05-15T13:51:00Z">
        <w:r w:rsidR="00090EDA" w:rsidRPr="00107D03">
          <w:rPr>
            <w:rStyle w:val="Hyperlink"/>
            <w:sz w:val="22"/>
          </w:rPr>
          <w:t>s</w:t>
        </w:r>
      </w:ins>
      <w:r w:rsidR="00090EDA" w:rsidRPr="00107D03">
        <w:rPr>
          <w:rStyle w:val="Hyperlink"/>
          <w:sz w:val="22"/>
        </w:rPr>
        <w:t>://www.ema.europa.eu</w:t>
      </w:r>
      <w:ins w:id="11625" w:author="AbbVie04no" w:date="2025-09-09T10:19:00Z" w16du:dateUtc="2025-09-09T08:19:00Z">
        <w:r w:rsidR="00090EDA">
          <w:rPr>
            <w:sz w:val="22"/>
          </w:rPr>
          <w:fldChar w:fldCharType="end"/>
        </w:r>
      </w:ins>
      <w:r w:rsidRPr="009C5EFD">
        <w:rPr>
          <w:sz w:val="22"/>
        </w:rPr>
        <w:t>.</w:t>
      </w:r>
    </w:p>
    <w:p w14:paraId="103D846C" w14:textId="77777777" w:rsidR="00DE3458" w:rsidRPr="009C5EFD" w:rsidRDefault="00E453CD" w:rsidP="009C5EFD">
      <w:pPr>
        <w:suppressAutoHyphens/>
        <w:ind w:left="54"/>
        <w:rPr>
          <w:sz w:val="22"/>
          <w:szCs w:val="22"/>
        </w:rPr>
      </w:pPr>
      <w:r w:rsidRPr="002D0790">
        <w:rPr>
          <w:b/>
          <w:sz w:val="22"/>
          <w:szCs w:val="22"/>
        </w:rPr>
        <w:br w:type="page"/>
      </w:r>
    </w:p>
    <w:p w14:paraId="230DDAE8" w14:textId="77777777" w:rsidR="00DE3458" w:rsidRPr="009C5EFD" w:rsidRDefault="00DE3458" w:rsidP="009C5EFD">
      <w:pPr>
        <w:suppressAutoHyphens/>
        <w:ind w:left="54"/>
        <w:rPr>
          <w:sz w:val="22"/>
          <w:szCs w:val="22"/>
        </w:rPr>
      </w:pPr>
    </w:p>
    <w:p w14:paraId="6593CE8B" w14:textId="77777777" w:rsidR="00DE3458" w:rsidRPr="009C5EFD" w:rsidRDefault="00DE3458" w:rsidP="009C5EFD">
      <w:pPr>
        <w:suppressAutoHyphens/>
        <w:ind w:left="54"/>
        <w:rPr>
          <w:sz w:val="22"/>
          <w:szCs w:val="22"/>
        </w:rPr>
      </w:pPr>
    </w:p>
    <w:p w14:paraId="7267A9A6" w14:textId="77777777" w:rsidR="00DE3458" w:rsidRPr="009C5EFD" w:rsidRDefault="00DE3458" w:rsidP="009C5EFD">
      <w:pPr>
        <w:suppressAutoHyphens/>
        <w:ind w:left="54"/>
        <w:rPr>
          <w:sz w:val="22"/>
          <w:szCs w:val="22"/>
        </w:rPr>
      </w:pPr>
    </w:p>
    <w:p w14:paraId="0DE42883" w14:textId="77777777" w:rsidR="00DE3458" w:rsidRPr="009C5EFD" w:rsidRDefault="00DE3458" w:rsidP="009C5EFD">
      <w:pPr>
        <w:suppressAutoHyphens/>
        <w:ind w:left="54"/>
        <w:rPr>
          <w:sz w:val="22"/>
          <w:szCs w:val="22"/>
        </w:rPr>
      </w:pPr>
    </w:p>
    <w:p w14:paraId="04F2EFF4" w14:textId="77777777" w:rsidR="00DE3458" w:rsidRPr="009C5EFD" w:rsidRDefault="00DE3458" w:rsidP="009C5EFD">
      <w:pPr>
        <w:suppressAutoHyphens/>
        <w:ind w:left="54"/>
        <w:rPr>
          <w:sz w:val="22"/>
          <w:szCs w:val="22"/>
        </w:rPr>
      </w:pPr>
    </w:p>
    <w:p w14:paraId="76EC0641" w14:textId="77777777" w:rsidR="00DE3458" w:rsidRPr="009C5EFD" w:rsidRDefault="00DE3458" w:rsidP="009C5EFD">
      <w:pPr>
        <w:suppressAutoHyphens/>
        <w:ind w:left="54"/>
        <w:rPr>
          <w:sz w:val="22"/>
          <w:szCs w:val="22"/>
        </w:rPr>
      </w:pPr>
    </w:p>
    <w:p w14:paraId="57B8E8AB" w14:textId="77777777" w:rsidR="00DE3458" w:rsidRPr="009C5EFD" w:rsidRDefault="00DE3458" w:rsidP="009C5EFD">
      <w:pPr>
        <w:suppressAutoHyphens/>
        <w:ind w:left="54"/>
        <w:rPr>
          <w:sz w:val="22"/>
          <w:szCs w:val="22"/>
        </w:rPr>
      </w:pPr>
    </w:p>
    <w:p w14:paraId="6BC2C81A" w14:textId="77777777" w:rsidR="00DE3458" w:rsidRPr="009C5EFD" w:rsidRDefault="00DE3458" w:rsidP="009C5EFD">
      <w:pPr>
        <w:suppressAutoHyphens/>
        <w:ind w:left="54"/>
        <w:rPr>
          <w:sz w:val="22"/>
          <w:szCs w:val="22"/>
        </w:rPr>
      </w:pPr>
    </w:p>
    <w:p w14:paraId="2A838170" w14:textId="77777777" w:rsidR="00DE3458" w:rsidRPr="009C5EFD" w:rsidRDefault="00DE3458" w:rsidP="009C5EFD">
      <w:pPr>
        <w:suppressAutoHyphens/>
        <w:ind w:left="54"/>
        <w:rPr>
          <w:sz w:val="22"/>
          <w:szCs w:val="22"/>
        </w:rPr>
      </w:pPr>
    </w:p>
    <w:p w14:paraId="1209600F" w14:textId="77777777" w:rsidR="00DE3458" w:rsidRPr="009C5EFD" w:rsidRDefault="00DE3458" w:rsidP="009C5EFD">
      <w:pPr>
        <w:suppressAutoHyphens/>
        <w:ind w:left="54"/>
        <w:rPr>
          <w:sz w:val="22"/>
          <w:szCs w:val="22"/>
        </w:rPr>
      </w:pPr>
    </w:p>
    <w:p w14:paraId="0CB6E609" w14:textId="77777777" w:rsidR="00DE3458" w:rsidRPr="009C5EFD" w:rsidRDefault="00DE3458" w:rsidP="009C5EFD">
      <w:pPr>
        <w:suppressAutoHyphens/>
        <w:ind w:left="54"/>
        <w:rPr>
          <w:sz w:val="22"/>
          <w:szCs w:val="22"/>
        </w:rPr>
      </w:pPr>
    </w:p>
    <w:p w14:paraId="5FA39ECA" w14:textId="77777777" w:rsidR="00DE3458" w:rsidRPr="009C5EFD" w:rsidRDefault="00DE3458" w:rsidP="009C5EFD">
      <w:pPr>
        <w:suppressAutoHyphens/>
        <w:ind w:left="54"/>
        <w:rPr>
          <w:sz w:val="22"/>
          <w:szCs w:val="22"/>
        </w:rPr>
      </w:pPr>
    </w:p>
    <w:p w14:paraId="230F9C14" w14:textId="77777777" w:rsidR="00DE3458" w:rsidRPr="009C5EFD" w:rsidRDefault="00DE3458" w:rsidP="009C5EFD">
      <w:pPr>
        <w:suppressAutoHyphens/>
        <w:ind w:left="54"/>
        <w:rPr>
          <w:sz w:val="22"/>
          <w:szCs w:val="22"/>
        </w:rPr>
      </w:pPr>
    </w:p>
    <w:p w14:paraId="28E365F0" w14:textId="77777777" w:rsidR="00DE3458" w:rsidRPr="009C5EFD" w:rsidRDefault="00DE3458" w:rsidP="009C5EFD">
      <w:pPr>
        <w:suppressAutoHyphens/>
        <w:ind w:left="54"/>
        <w:rPr>
          <w:sz w:val="22"/>
          <w:szCs w:val="22"/>
        </w:rPr>
      </w:pPr>
    </w:p>
    <w:p w14:paraId="36CA6448" w14:textId="77777777" w:rsidR="00DE3458" w:rsidRPr="009C5EFD" w:rsidRDefault="00DE3458" w:rsidP="009C5EFD">
      <w:pPr>
        <w:suppressAutoHyphens/>
        <w:ind w:left="54"/>
        <w:rPr>
          <w:sz w:val="22"/>
          <w:szCs w:val="22"/>
        </w:rPr>
      </w:pPr>
    </w:p>
    <w:p w14:paraId="0D75EB90" w14:textId="77777777" w:rsidR="00DE3458" w:rsidRPr="009C5EFD" w:rsidRDefault="00DE3458" w:rsidP="009C5EFD">
      <w:pPr>
        <w:suppressAutoHyphens/>
        <w:ind w:left="54"/>
        <w:rPr>
          <w:sz w:val="22"/>
          <w:szCs w:val="22"/>
        </w:rPr>
      </w:pPr>
    </w:p>
    <w:p w14:paraId="7FDA98C6" w14:textId="77777777" w:rsidR="00DE3458" w:rsidRDefault="00DE3458" w:rsidP="009C5EFD">
      <w:pPr>
        <w:jc w:val="center"/>
        <w:rPr>
          <w:b/>
          <w:sz w:val="22"/>
          <w:szCs w:val="22"/>
        </w:rPr>
      </w:pPr>
    </w:p>
    <w:p w14:paraId="0023DD3E" w14:textId="77777777" w:rsidR="00450F58" w:rsidRPr="009C5EFD" w:rsidRDefault="00450F58" w:rsidP="009C5EFD">
      <w:pPr>
        <w:jc w:val="center"/>
        <w:rPr>
          <w:b/>
          <w:sz w:val="22"/>
          <w:szCs w:val="22"/>
        </w:rPr>
      </w:pPr>
    </w:p>
    <w:p w14:paraId="7AEB49FE" w14:textId="77777777" w:rsidR="00DE3458" w:rsidRDefault="00DE3458" w:rsidP="009C5EFD">
      <w:pPr>
        <w:jc w:val="center"/>
        <w:rPr>
          <w:b/>
          <w:sz w:val="22"/>
          <w:szCs w:val="22"/>
        </w:rPr>
      </w:pPr>
    </w:p>
    <w:p w14:paraId="2F829780" w14:textId="77777777" w:rsidR="0083562D" w:rsidRPr="009C5EFD" w:rsidRDefault="0083562D" w:rsidP="009C5EFD">
      <w:pPr>
        <w:jc w:val="center"/>
        <w:rPr>
          <w:b/>
          <w:sz w:val="22"/>
          <w:szCs w:val="22"/>
        </w:rPr>
      </w:pPr>
    </w:p>
    <w:p w14:paraId="3FFAE5E3" w14:textId="77777777" w:rsidR="00DE3458" w:rsidRPr="009C5EFD" w:rsidRDefault="00DE3458" w:rsidP="009C5EFD">
      <w:pPr>
        <w:jc w:val="center"/>
        <w:rPr>
          <w:b/>
          <w:sz w:val="22"/>
          <w:szCs w:val="22"/>
        </w:rPr>
      </w:pPr>
    </w:p>
    <w:p w14:paraId="17520DE2" w14:textId="77777777" w:rsidR="00DE3458" w:rsidRPr="009C5EFD" w:rsidRDefault="00DE3458" w:rsidP="009C5EFD">
      <w:pPr>
        <w:jc w:val="center"/>
        <w:rPr>
          <w:b/>
          <w:sz w:val="22"/>
          <w:szCs w:val="22"/>
        </w:rPr>
      </w:pPr>
    </w:p>
    <w:p w14:paraId="41EB5777" w14:textId="77777777" w:rsidR="00DE3458" w:rsidRPr="009C5EFD" w:rsidRDefault="00DE3458" w:rsidP="009C5EFD">
      <w:pPr>
        <w:jc w:val="center"/>
        <w:rPr>
          <w:b/>
          <w:sz w:val="22"/>
          <w:szCs w:val="22"/>
        </w:rPr>
      </w:pPr>
    </w:p>
    <w:p w14:paraId="7C874B31" w14:textId="77777777" w:rsidR="00DE3458" w:rsidRPr="009C5EFD" w:rsidRDefault="00E453CD" w:rsidP="009C5EFD">
      <w:pPr>
        <w:jc w:val="center"/>
        <w:rPr>
          <w:b/>
          <w:sz w:val="22"/>
          <w:szCs w:val="22"/>
        </w:rPr>
      </w:pPr>
      <w:r w:rsidRPr="009C5EFD">
        <w:rPr>
          <w:b/>
          <w:sz w:val="22"/>
          <w:szCs w:val="22"/>
        </w:rPr>
        <w:t>VEDLEGG II</w:t>
      </w:r>
    </w:p>
    <w:p w14:paraId="6D5C8445" w14:textId="77777777" w:rsidR="00DE3458" w:rsidRPr="009C5EFD" w:rsidRDefault="00DE3458" w:rsidP="009C5EFD">
      <w:pPr>
        <w:ind w:left="1701" w:right="1416" w:hanging="567"/>
        <w:rPr>
          <w:sz w:val="22"/>
          <w:szCs w:val="22"/>
        </w:rPr>
      </w:pPr>
    </w:p>
    <w:p w14:paraId="114B3372" w14:textId="77777777" w:rsidR="00DE3458" w:rsidRPr="009C5EFD" w:rsidRDefault="00E453CD" w:rsidP="00EE4677">
      <w:pPr>
        <w:numPr>
          <w:ilvl w:val="0"/>
          <w:numId w:val="14"/>
        </w:numPr>
        <w:ind w:right="1416"/>
        <w:rPr>
          <w:b/>
          <w:sz w:val="22"/>
          <w:szCs w:val="22"/>
        </w:rPr>
      </w:pPr>
      <w:bookmarkStart w:id="11626" w:name="Tilvirkere"/>
      <w:r w:rsidRPr="009C5EFD">
        <w:rPr>
          <w:b/>
          <w:sz w:val="22"/>
          <w:szCs w:val="22"/>
        </w:rPr>
        <w:t>TILVIRKER(E) AV BIOLOGISK VIRKESTOFF(ER) OG  TILVIRKER</w:t>
      </w:r>
      <w:r w:rsidR="00BE602D" w:rsidRPr="009C5EFD">
        <w:rPr>
          <w:b/>
          <w:sz w:val="22"/>
          <w:szCs w:val="22"/>
        </w:rPr>
        <w:t xml:space="preserve">(E) </w:t>
      </w:r>
      <w:r w:rsidRPr="009C5EFD">
        <w:rPr>
          <w:b/>
          <w:sz w:val="22"/>
          <w:szCs w:val="22"/>
        </w:rPr>
        <w:t>ANSVARLIG FOR BATCH RELEASE</w:t>
      </w:r>
      <w:bookmarkEnd w:id="11626"/>
    </w:p>
    <w:p w14:paraId="0D0150F1" w14:textId="77777777" w:rsidR="00DE3458" w:rsidRPr="009C5EFD" w:rsidRDefault="00DE3458" w:rsidP="009C5EFD">
      <w:pPr>
        <w:ind w:left="1134" w:right="1416"/>
        <w:rPr>
          <w:b/>
          <w:sz w:val="22"/>
          <w:szCs w:val="22"/>
        </w:rPr>
      </w:pPr>
    </w:p>
    <w:p w14:paraId="068AEDB1" w14:textId="77777777" w:rsidR="00BE602D" w:rsidRPr="009C5EFD" w:rsidRDefault="00E453CD" w:rsidP="00EE4677">
      <w:pPr>
        <w:numPr>
          <w:ilvl w:val="0"/>
          <w:numId w:val="14"/>
        </w:numPr>
        <w:ind w:right="1416"/>
        <w:rPr>
          <w:b/>
          <w:sz w:val="22"/>
          <w:szCs w:val="22"/>
        </w:rPr>
      </w:pPr>
      <w:bookmarkStart w:id="11627" w:name="Vilkår"/>
      <w:r w:rsidRPr="009C5EFD">
        <w:rPr>
          <w:b/>
          <w:sz w:val="22"/>
          <w:szCs w:val="22"/>
        </w:rPr>
        <w:t>VILKÅR ELLER RESTRIKSJONER VEDRØRENDE LEVERANSE OG BRUK</w:t>
      </w:r>
    </w:p>
    <w:bookmarkEnd w:id="11627"/>
    <w:p w14:paraId="1ACD655D" w14:textId="77777777" w:rsidR="00DE3458" w:rsidRPr="009C5EFD" w:rsidRDefault="00DE3458" w:rsidP="009C5EFD">
      <w:pPr>
        <w:ind w:right="1416"/>
        <w:rPr>
          <w:b/>
          <w:sz w:val="22"/>
          <w:szCs w:val="22"/>
        </w:rPr>
      </w:pPr>
    </w:p>
    <w:p w14:paraId="54B64DE4" w14:textId="77777777" w:rsidR="00BE602D" w:rsidRPr="009C5EFD" w:rsidRDefault="00E453CD" w:rsidP="00EE4677">
      <w:pPr>
        <w:pStyle w:val="Default"/>
        <w:numPr>
          <w:ilvl w:val="0"/>
          <w:numId w:val="14"/>
        </w:numPr>
        <w:tabs>
          <w:tab w:val="left" w:pos="1560"/>
        </w:tabs>
        <w:rPr>
          <w:b/>
          <w:bCs/>
          <w:sz w:val="22"/>
          <w:szCs w:val="22"/>
          <w:lang w:val="nb-NO"/>
        </w:rPr>
      </w:pPr>
      <w:r w:rsidRPr="009C5EFD">
        <w:rPr>
          <w:b/>
          <w:bCs/>
          <w:sz w:val="22"/>
          <w:szCs w:val="22"/>
          <w:lang w:val="nb-NO"/>
        </w:rPr>
        <w:t>ANDRE VILKÅR OG KRAV TIL MARKEDSFØRINGSTILLATELSEN</w:t>
      </w:r>
    </w:p>
    <w:p w14:paraId="70D70B00" w14:textId="77777777" w:rsidR="003A7840" w:rsidRPr="009C5EFD" w:rsidRDefault="003A7840" w:rsidP="009C5EFD">
      <w:pPr>
        <w:pStyle w:val="Default"/>
        <w:tabs>
          <w:tab w:val="left" w:pos="1560"/>
        </w:tabs>
        <w:ind w:left="1494"/>
        <w:rPr>
          <w:b/>
          <w:bCs/>
          <w:sz w:val="22"/>
          <w:szCs w:val="22"/>
          <w:lang w:val="nb-NO"/>
        </w:rPr>
      </w:pPr>
    </w:p>
    <w:p w14:paraId="04CE03C7" w14:textId="77777777" w:rsidR="003A7840" w:rsidRPr="009C5EFD" w:rsidRDefault="00E453CD" w:rsidP="00EE4677">
      <w:pPr>
        <w:pStyle w:val="Default"/>
        <w:numPr>
          <w:ilvl w:val="0"/>
          <w:numId w:val="14"/>
        </w:numPr>
        <w:tabs>
          <w:tab w:val="left" w:pos="1560"/>
        </w:tabs>
        <w:rPr>
          <w:b/>
          <w:bCs/>
          <w:sz w:val="22"/>
          <w:szCs w:val="22"/>
          <w:lang w:val="nb-NO"/>
        </w:rPr>
      </w:pPr>
      <w:r w:rsidRPr="009C5EFD">
        <w:rPr>
          <w:b/>
          <w:bCs/>
          <w:sz w:val="22"/>
          <w:szCs w:val="22"/>
          <w:lang w:val="nb-NO"/>
        </w:rPr>
        <w:t xml:space="preserve">VILKÅR ELLER </w:t>
      </w:r>
      <w:r w:rsidR="00A70D9B" w:rsidRPr="009C5EFD">
        <w:rPr>
          <w:b/>
          <w:bCs/>
          <w:sz w:val="22"/>
          <w:szCs w:val="22"/>
          <w:lang w:val="nb-NO"/>
        </w:rPr>
        <w:t>RESTRIKSJONER VEDRØRENDE SIKKER</w:t>
      </w:r>
      <w:r w:rsidRPr="009C5EFD">
        <w:rPr>
          <w:b/>
          <w:bCs/>
          <w:sz w:val="22"/>
          <w:szCs w:val="22"/>
          <w:lang w:val="nb-NO"/>
        </w:rPr>
        <w:t xml:space="preserve"> OG EFFEKTIV BRUK AV LEGEMIDLET</w:t>
      </w:r>
    </w:p>
    <w:p w14:paraId="6E7397AC" w14:textId="77777777" w:rsidR="003A7840" w:rsidRPr="009C5EFD" w:rsidRDefault="003A7840" w:rsidP="009C5EFD">
      <w:pPr>
        <w:pStyle w:val="Default"/>
        <w:tabs>
          <w:tab w:val="left" w:pos="1560"/>
        </w:tabs>
        <w:ind w:left="1494"/>
        <w:rPr>
          <w:b/>
          <w:bCs/>
          <w:sz w:val="22"/>
          <w:szCs w:val="22"/>
          <w:lang w:val="nb-NO"/>
        </w:rPr>
      </w:pPr>
    </w:p>
    <w:p w14:paraId="638E8C08" w14:textId="77777777" w:rsidR="00DE3458" w:rsidRPr="009C5EFD" w:rsidRDefault="00E453CD" w:rsidP="009C5EFD">
      <w:pPr>
        <w:pStyle w:val="Header"/>
        <w:rPr>
          <w:b/>
          <w:bCs/>
          <w:szCs w:val="22"/>
        </w:rPr>
      </w:pPr>
      <w:r w:rsidRPr="009C5EFD">
        <w:rPr>
          <w:szCs w:val="22"/>
        </w:rPr>
        <w:br w:type="page"/>
      </w:r>
    </w:p>
    <w:p w14:paraId="6E9EF422" w14:textId="77777777" w:rsidR="00DE3458" w:rsidRPr="009C5EFD" w:rsidRDefault="00E453CD" w:rsidP="009C5EFD">
      <w:pPr>
        <w:pStyle w:val="BMLeftAligned"/>
        <w:rPr>
          <w:szCs w:val="22"/>
        </w:rPr>
      </w:pPr>
      <w:r w:rsidRPr="009C5EFD">
        <w:rPr>
          <w:szCs w:val="22"/>
        </w:rPr>
        <w:lastRenderedPageBreak/>
        <w:t>A.</w:t>
      </w:r>
      <w:r w:rsidRPr="009C5EFD">
        <w:rPr>
          <w:szCs w:val="22"/>
        </w:rPr>
        <w:tab/>
        <w:t>TILVIRKER(E) AV BIOLOGISK VIRKESTOFF(ER) OG TILVIRKER</w:t>
      </w:r>
      <w:r w:rsidR="003A7840" w:rsidRPr="009C5EFD">
        <w:rPr>
          <w:szCs w:val="22"/>
        </w:rPr>
        <w:t xml:space="preserve">(E) </w:t>
      </w:r>
      <w:r w:rsidRPr="009C5EFD">
        <w:rPr>
          <w:szCs w:val="22"/>
        </w:rPr>
        <w:t>ANSVARLIG FOR BATCH RELEASE</w:t>
      </w:r>
    </w:p>
    <w:p w14:paraId="6308A566" w14:textId="77777777" w:rsidR="00DE3458" w:rsidRPr="009C5EFD" w:rsidRDefault="00DE3458" w:rsidP="009C5EFD">
      <w:pPr>
        <w:rPr>
          <w:sz w:val="22"/>
          <w:szCs w:val="22"/>
        </w:rPr>
      </w:pPr>
    </w:p>
    <w:p w14:paraId="5DBE2D5E" w14:textId="77777777" w:rsidR="00DE3458" w:rsidRPr="009C5EFD" w:rsidRDefault="00E453CD" w:rsidP="009C5EFD">
      <w:pPr>
        <w:tabs>
          <w:tab w:val="left" w:pos="567"/>
        </w:tabs>
        <w:spacing w:line="260" w:lineRule="exact"/>
        <w:rPr>
          <w:sz w:val="22"/>
          <w:szCs w:val="22"/>
          <w:u w:val="single"/>
        </w:rPr>
      </w:pPr>
      <w:r w:rsidRPr="009C5EFD">
        <w:rPr>
          <w:sz w:val="22"/>
          <w:szCs w:val="22"/>
          <w:u w:val="single"/>
        </w:rPr>
        <w:t>Navn og adresse til tilvirker</w:t>
      </w:r>
      <w:r w:rsidR="001E2ACA">
        <w:rPr>
          <w:sz w:val="22"/>
          <w:szCs w:val="22"/>
          <w:u w:val="single"/>
        </w:rPr>
        <w:t>e</w:t>
      </w:r>
      <w:r w:rsidRPr="009C5EFD">
        <w:rPr>
          <w:sz w:val="22"/>
          <w:szCs w:val="22"/>
          <w:u w:val="single"/>
        </w:rPr>
        <w:t xml:space="preserve"> av biologisk virkestoff</w:t>
      </w:r>
    </w:p>
    <w:p w14:paraId="63DF5DE4" w14:textId="77777777" w:rsidR="00DE3458" w:rsidRPr="009C5EFD" w:rsidRDefault="00DE3458" w:rsidP="009C5EFD">
      <w:pPr>
        <w:rPr>
          <w:sz w:val="22"/>
          <w:szCs w:val="22"/>
        </w:rPr>
      </w:pPr>
    </w:p>
    <w:p w14:paraId="0B21DF81" w14:textId="77777777" w:rsidR="00DE3458" w:rsidRPr="009C5EFD" w:rsidRDefault="00E453CD" w:rsidP="009C5EFD">
      <w:pPr>
        <w:tabs>
          <w:tab w:val="left" w:pos="567"/>
        </w:tabs>
        <w:spacing w:line="260" w:lineRule="exact"/>
        <w:rPr>
          <w:sz w:val="22"/>
          <w:szCs w:val="22"/>
          <w:lang w:val="en-US"/>
        </w:rPr>
      </w:pPr>
      <w:r w:rsidRPr="009C5EFD">
        <w:rPr>
          <w:sz w:val="22"/>
          <w:szCs w:val="22"/>
          <w:lang w:val="en-US"/>
        </w:rPr>
        <w:t>AbbVie Bioresearch Center</w:t>
      </w:r>
    </w:p>
    <w:p w14:paraId="2D880C04" w14:textId="77777777" w:rsidR="00DE3458" w:rsidRPr="009C5EFD" w:rsidRDefault="00E453CD" w:rsidP="009C5EFD">
      <w:pPr>
        <w:tabs>
          <w:tab w:val="left" w:pos="567"/>
        </w:tabs>
        <w:spacing w:line="260" w:lineRule="exact"/>
        <w:rPr>
          <w:sz w:val="22"/>
          <w:szCs w:val="22"/>
          <w:lang w:val="en-US"/>
        </w:rPr>
      </w:pPr>
      <w:r w:rsidRPr="009C5EFD">
        <w:rPr>
          <w:sz w:val="22"/>
          <w:szCs w:val="22"/>
          <w:lang w:val="en-US"/>
        </w:rPr>
        <w:t>100 Research Drive</w:t>
      </w:r>
    </w:p>
    <w:p w14:paraId="5741B91D" w14:textId="77777777" w:rsidR="00DE3458" w:rsidRPr="009C5EFD" w:rsidRDefault="00E453CD" w:rsidP="009C5EFD">
      <w:pPr>
        <w:tabs>
          <w:tab w:val="left" w:pos="567"/>
        </w:tabs>
        <w:spacing w:line="260" w:lineRule="exact"/>
        <w:rPr>
          <w:sz w:val="22"/>
          <w:szCs w:val="22"/>
          <w:lang w:val="en-US"/>
        </w:rPr>
      </w:pPr>
      <w:r w:rsidRPr="009C5EFD">
        <w:rPr>
          <w:sz w:val="22"/>
          <w:szCs w:val="22"/>
          <w:lang w:val="en-US"/>
        </w:rPr>
        <w:t>Worcester</w:t>
      </w:r>
    </w:p>
    <w:p w14:paraId="0F676834" w14:textId="77777777" w:rsidR="00DE3458" w:rsidRPr="001F5D4B" w:rsidRDefault="00E453CD" w:rsidP="009C5EFD">
      <w:pPr>
        <w:tabs>
          <w:tab w:val="left" w:pos="567"/>
        </w:tabs>
        <w:spacing w:line="260" w:lineRule="exact"/>
        <w:rPr>
          <w:sz w:val="22"/>
          <w:szCs w:val="22"/>
          <w:lang w:val="de-DE"/>
        </w:rPr>
      </w:pPr>
      <w:r w:rsidRPr="001F5D4B">
        <w:rPr>
          <w:sz w:val="22"/>
          <w:szCs w:val="22"/>
          <w:lang w:val="de-DE"/>
        </w:rPr>
        <w:t>MA 01605</w:t>
      </w:r>
    </w:p>
    <w:p w14:paraId="0D153E21" w14:textId="77777777" w:rsidR="00DE3458" w:rsidRPr="001F5D4B" w:rsidRDefault="00E453CD" w:rsidP="009C5EFD">
      <w:pPr>
        <w:tabs>
          <w:tab w:val="left" w:pos="567"/>
        </w:tabs>
        <w:spacing w:line="260" w:lineRule="exact"/>
        <w:rPr>
          <w:sz w:val="22"/>
          <w:szCs w:val="22"/>
          <w:lang w:val="de-DE"/>
        </w:rPr>
      </w:pPr>
      <w:r w:rsidRPr="001F5D4B">
        <w:rPr>
          <w:sz w:val="22"/>
          <w:szCs w:val="22"/>
          <w:lang w:val="de-DE"/>
        </w:rPr>
        <w:t>USA</w:t>
      </w:r>
    </w:p>
    <w:p w14:paraId="02FD240D" w14:textId="77777777" w:rsidR="00DE3458" w:rsidRPr="001F5D4B" w:rsidRDefault="00DE3458" w:rsidP="009C5EFD">
      <w:pPr>
        <w:rPr>
          <w:sz w:val="22"/>
          <w:szCs w:val="22"/>
          <w:lang w:val="de-DE"/>
        </w:rPr>
      </w:pPr>
    </w:p>
    <w:p w14:paraId="445CB2B5" w14:textId="77777777" w:rsidR="00DE3458" w:rsidRPr="001F5D4B" w:rsidRDefault="00E453CD" w:rsidP="009C5EFD">
      <w:pPr>
        <w:pStyle w:val="EndnoteText"/>
        <w:widowControl/>
        <w:numPr>
          <w:ilvl w:val="12"/>
          <w:numId w:val="0"/>
        </w:numPr>
        <w:tabs>
          <w:tab w:val="clear" w:pos="567"/>
          <w:tab w:val="left" w:pos="720"/>
        </w:tabs>
        <w:rPr>
          <w:szCs w:val="22"/>
          <w:lang w:val="de-DE"/>
        </w:rPr>
      </w:pPr>
      <w:r w:rsidRPr="001F5D4B">
        <w:rPr>
          <w:szCs w:val="22"/>
          <w:lang w:val="de-DE"/>
        </w:rPr>
        <w:t>og</w:t>
      </w:r>
    </w:p>
    <w:p w14:paraId="33409523" w14:textId="77777777" w:rsidR="00DE3458" w:rsidRPr="001F5D4B" w:rsidRDefault="00DE3458" w:rsidP="009C5EFD">
      <w:pPr>
        <w:numPr>
          <w:ilvl w:val="12"/>
          <w:numId w:val="0"/>
        </w:numPr>
        <w:tabs>
          <w:tab w:val="left" w:pos="720"/>
        </w:tabs>
        <w:rPr>
          <w:sz w:val="22"/>
          <w:szCs w:val="22"/>
          <w:lang w:val="de-DE"/>
        </w:rPr>
      </w:pPr>
    </w:p>
    <w:p w14:paraId="4FA61FDA" w14:textId="77777777" w:rsidR="00DE3458" w:rsidRPr="001F5D4B" w:rsidRDefault="00E453CD" w:rsidP="009C5EFD">
      <w:pPr>
        <w:tabs>
          <w:tab w:val="left" w:pos="562"/>
        </w:tabs>
        <w:rPr>
          <w:sz w:val="22"/>
          <w:szCs w:val="22"/>
          <w:lang w:val="de-DE"/>
        </w:rPr>
      </w:pPr>
      <w:r w:rsidRPr="001F5D4B">
        <w:rPr>
          <w:sz w:val="22"/>
          <w:szCs w:val="22"/>
          <w:lang w:val="de-DE"/>
        </w:rPr>
        <w:t>AbbVie Biotechnology Ltd.</w:t>
      </w:r>
    </w:p>
    <w:p w14:paraId="3320DA9E" w14:textId="77777777" w:rsidR="00DE3458" w:rsidRPr="00E04B2A" w:rsidRDefault="00E453CD" w:rsidP="009C5EFD">
      <w:pPr>
        <w:pStyle w:val="EMEANormal"/>
        <w:rPr>
          <w:szCs w:val="22"/>
          <w:lang w:val="es-ES"/>
        </w:rPr>
      </w:pPr>
      <w:r w:rsidRPr="00E04B2A">
        <w:rPr>
          <w:szCs w:val="22"/>
          <w:lang w:val="es-ES"/>
        </w:rPr>
        <w:t>Road No. 2, Km. 59.2</w:t>
      </w:r>
    </w:p>
    <w:p w14:paraId="0E6FB2DF" w14:textId="77777777" w:rsidR="00DE3458" w:rsidRPr="00E04B2A" w:rsidRDefault="00E453CD" w:rsidP="009C5EFD">
      <w:pPr>
        <w:tabs>
          <w:tab w:val="left" w:pos="562"/>
        </w:tabs>
        <w:rPr>
          <w:sz w:val="22"/>
          <w:szCs w:val="22"/>
          <w:lang w:val="es-ES"/>
        </w:rPr>
      </w:pPr>
      <w:r w:rsidRPr="00E04B2A">
        <w:rPr>
          <w:sz w:val="22"/>
          <w:szCs w:val="22"/>
          <w:lang w:val="es-ES"/>
        </w:rPr>
        <w:t>Barceloneta</w:t>
      </w:r>
    </w:p>
    <w:p w14:paraId="6E2DD5D2" w14:textId="77777777" w:rsidR="00DE3458" w:rsidRPr="00E04B2A" w:rsidRDefault="00E453CD" w:rsidP="009C5EFD">
      <w:pPr>
        <w:numPr>
          <w:ilvl w:val="12"/>
          <w:numId w:val="0"/>
        </w:numPr>
        <w:tabs>
          <w:tab w:val="left" w:pos="720"/>
        </w:tabs>
        <w:rPr>
          <w:sz w:val="22"/>
          <w:szCs w:val="22"/>
          <w:lang w:val="es-ES"/>
        </w:rPr>
      </w:pPr>
      <w:r w:rsidRPr="00E04B2A">
        <w:rPr>
          <w:sz w:val="22"/>
          <w:szCs w:val="22"/>
          <w:lang w:val="es-ES"/>
        </w:rPr>
        <w:t>Puerto Rico 00617</w:t>
      </w:r>
    </w:p>
    <w:p w14:paraId="6F70DE0F" w14:textId="77777777" w:rsidR="00DE3458" w:rsidRPr="00E04B2A" w:rsidRDefault="00DE3458" w:rsidP="009C5EFD">
      <w:pPr>
        <w:rPr>
          <w:sz w:val="22"/>
          <w:szCs w:val="22"/>
          <w:lang w:val="es-ES"/>
        </w:rPr>
      </w:pPr>
    </w:p>
    <w:p w14:paraId="5803E08E" w14:textId="77777777" w:rsidR="00FD3E3D" w:rsidRPr="00E04B2A" w:rsidRDefault="00E453CD" w:rsidP="009C5EFD">
      <w:pPr>
        <w:numPr>
          <w:ilvl w:val="12"/>
          <w:numId w:val="0"/>
        </w:numPr>
        <w:tabs>
          <w:tab w:val="left" w:pos="720"/>
        </w:tabs>
        <w:rPr>
          <w:sz w:val="22"/>
          <w:szCs w:val="22"/>
          <w:lang w:val="pt-PT"/>
        </w:rPr>
      </w:pPr>
      <w:r w:rsidRPr="00E04B2A">
        <w:rPr>
          <w:sz w:val="22"/>
          <w:szCs w:val="22"/>
          <w:lang w:val="pt-PT"/>
        </w:rPr>
        <w:t>og</w:t>
      </w:r>
    </w:p>
    <w:p w14:paraId="27CA9236" w14:textId="77777777" w:rsidR="00FD3E3D" w:rsidRPr="00E04B2A" w:rsidRDefault="00FD3E3D" w:rsidP="009C5EFD">
      <w:pPr>
        <w:numPr>
          <w:ilvl w:val="12"/>
          <w:numId w:val="0"/>
        </w:numPr>
        <w:tabs>
          <w:tab w:val="left" w:pos="720"/>
        </w:tabs>
        <w:rPr>
          <w:sz w:val="22"/>
          <w:szCs w:val="22"/>
          <w:lang w:val="pt-PT"/>
        </w:rPr>
      </w:pPr>
    </w:p>
    <w:p w14:paraId="2157E74D" w14:textId="77777777" w:rsidR="00FD3E3D" w:rsidRPr="00E04B2A" w:rsidRDefault="00E453CD" w:rsidP="009C5EFD">
      <w:pPr>
        <w:autoSpaceDE w:val="0"/>
        <w:autoSpaceDN w:val="0"/>
        <w:adjustRightInd w:val="0"/>
        <w:rPr>
          <w:bCs/>
          <w:sz w:val="22"/>
          <w:szCs w:val="22"/>
          <w:lang w:val="pt-PT"/>
        </w:rPr>
      </w:pPr>
      <w:r w:rsidRPr="00E04B2A">
        <w:rPr>
          <w:bCs/>
          <w:sz w:val="22"/>
          <w:szCs w:val="22"/>
          <w:lang w:val="pt-PT"/>
        </w:rPr>
        <w:t>Lonza Biologics Tuas PTE Ltd</w:t>
      </w:r>
    </w:p>
    <w:p w14:paraId="44514BF7" w14:textId="77777777" w:rsidR="00FD3E3D" w:rsidRPr="00693806" w:rsidRDefault="00E453CD" w:rsidP="009C5EFD">
      <w:pPr>
        <w:autoSpaceDE w:val="0"/>
        <w:autoSpaceDN w:val="0"/>
        <w:adjustRightInd w:val="0"/>
        <w:rPr>
          <w:bCs/>
          <w:sz w:val="22"/>
          <w:szCs w:val="22"/>
          <w:lang w:val="en-US"/>
        </w:rPr>
      </w:pPr>
      <w:r w:rsidRPr="00693806">
        <w:rPr>
          <w:bCs/>
          <w:sz w:val="22"/>
          <w:szCs w:val="22"/>
          <w:lang w:val="en-US"/>
        </w:rPr>
        <w:t>35 Tuas South Ave 6</w:t>
      </w:r>
    </w:p>
    <w:p w14:paraId="7DDC1825" w14:textId="77777777" w:rsidR="00FD3E3D" w:rsidRPr="00A81D79" w:rsidRDefault="00E453CD" w:rsidP="009C5EFD">
      <w:pPr>
        <w:numPr>
          <w:ilvl w:val="12"/>
          <w:numId w:val="0"/>
        </w:numPr>
        <w:tabs>
          <w:tab w:val="left" w:pos="720"/>
        </w:tabs>
        <w:rPr>
          <w:bCs/>
          <w:sz w:val="22"/>
          <w:szCs w:val="22"/>
          <w:lang w:val="en-US"/>
        </w:rPr>
      </w:pPr>
      <w:r w:rsidRPr="00A81D79">
        <w:rPr>
          <w:bCs/>
          <w:sz w:val="22"/>
          <w:szCs w:val="22"/>
          <w:lang w:val="en-US"/>
        </w:rPr>
        <w:t>Singapor</w:t>
      </w:r>
      <w:r w:rsidR="00BA3071" w:rsidRPr="00A81D79">
        <w:rPr>
          <w:bCs/>
          <w:sz w:val="22"/>
          <w:szCs w:val="22"/>
          <w:lang w:val="en-US"/>
        </w:rPr>
        <w:t>e</w:t>
      </w:r>
      <w:r w:rsidRPr="00A81D79">
        <w:rPr>
          <w:bCs/>
          <w:sz w:val="22"/>
          <w:szCs w:val="22"/>
          <w:lang w:val="en-US"/>
        </w:rPr>
        <w:t xml:space="preserve"> 637377</w:t>
      </w:r>
    </w:p>
    <w:p w14:paraId="7F974656" w14:textId="77777777" w:rsidR="00C577C9" w:rsidRPr="00A81D79" w:rsidRDefault="00C577C9" w:rsidP="009C5EFD">
      <w:pPr>
        <w:numPr>
          <w:ilvl w:val="12"/>
          <w:numId w:val="0"/>
        </w:numPr>
        <w:tabs>
          <w:tab w:val="left" w:pos="720"/>
        </w:tabs>
        <w:rPr>
          <w:bCs/>
          <w:sz w:val="22"/>
          <w:szCs w:val="22"/>
          <w:lang w:val="en-US"/>
        </w:rPr>
      </w:pPr>
    </w:p>
    <w:p w14:paraId="69725E08" w14:textId="77777777" w:rsidR="00C577C9" w:rsidRPr="009C5EFD" w:rsidRDefault="00E453CD" w:rsidP="00C577C9">
      <w:pPr>
        <w:numPr>
          <w:ilvl w:val="12"/>
          <w:numId w:val="0"/>
        </w:numPr>
        <w:tabs>
          <w:tab w:val="left" w:pos="720"/>
        </w:tabs>
        <w:rPr>
          <w:sz w:val="22"/>
          <w:szCs w:val="22"/>
          <w:lang w:val="en-US"/>
        </w:rPr>
      </w:pPr>
      <w:r w:rsidRPr="009C5EFD">
        <w:rPr>
          <w:sz w:val="22"/>
          <w:szCs w:val="22"/>
          <w:lang w:val="en-US"/>
        </w:rPr>
        <w:t>og</w:t>
      </w:r>
    </w:p>
    <w:p w14:paraId="638E3E6F" w14:textId="77777777" w:rsidR="00C577C9" w:rsidRPr="009C5EFD" w:rsidRDefault="00C577C9" w:rsidP="00C577C9">
      <w:pPr>
        <w:numPr>
          <w:ilvl w:val="12"/>
          <w:numId w:val="0"/>
        </w:numPr>
        <w:tabs>
          <w:tab w:val="left" w:pos="720"/>
        </w:tabs>
        <w:rPr>
          <w:sz w:val="22"/>
          <w:szCs w:val="22"/>
          <w:lang w:val="en-US"/>
        </w:rPr>
      </w:pPr>
    </w:p>
    <w:p w14:paraId="62FE06E2" w14:textId="77777777" w:rsidR="00C577C9" w:rsidRPr="00A81D79" w:rsidRDefault="00E453CD" w:rsidP="00C577C9">
      <w:pPr>
        <w:rPr>
          <w:bCs/>
          <w:szCs w:val="22"/>
          <w:lang w:val="en-US"/>
        </w:rPr>
      </w:pPr>
      <w:r w:rsidRPr="00A81D79">
        <w:rPr>
          <w:bCs/>
          <w:szCs w:val="22"/>
          <w:lang w:val="en-US"/>
        </w:rPr>
        <w:t>AbbVie Operations Singapore PTE Ltd</w:t>
      </w:r>
    </w:p>
    <w:p w14:paraId="465AEEC8" w14:textId="77777777" w:rsidR="00C577C9" w:rsidRPr="00A81D79" w:rsidRDefault="00E453CD" w:rsidP="00C577C9">
      <w:pPr>
        <w:rPr>
          <w:bCs/>
          <w:szCs w:val="22"/>
          <w:lang w:val="en-US"/>
        </w:rPr>
      </w:pPr>
      <w:r w:rsidRPr="00A81D79">
        <w:rPr>
          <w:bCs/>
          <w:szCs w:val="22"/>
          <w:lang w:val="en-US"/>
        </w:rPr>
        <w:t>23 Tuas South Avenue 6</w:t>
      </w:r>
    </w:p>
    <w:p w14:paraId="298750F7" w14:textId="77777777" w:rsidR="00C577C9" w:rsidRPr="001F5D4B" w:rsidRDefault="00E453CD" w:rsidP="00C577C9">
      <w:pPr>
        <w:numPr>
          <w:ilvl w:val="12"/>
          <w:numId w:val="0"/>
        </w:numPr>
        <w:tabs>
          <w:tab w:val="left" w:pos="720"/>
        </w:tabs>
        <w:rPr>
          <w:sz w:val="22"/>
          <w:szCs w:val="22"/>
        </w:rPr>
      </w:pPr>
      <w:r w:rsidRPr="00B12143">
        <w:rPr>
          <w:bCs/>
          <w:szCs w:val="22"/>
        </w:rPr>
        <w:t>Singapore 637022</w:t>
      </w:r>
    </w:p>
    <w:p w14:paraId="4739D332" w14:textId="77777777" w:rsidR="00D56629" w:rsidRPr="001F5D4B" w:rsidRDefault="00D56629" w:rsidP="009C5EFD">
      <w:pPr>
        <w:rPr>
          <w:sz w:val="22"/>
          <w:szCs w:val="22"/>
        </w:rPr>
      </w:pPr>
    </w:p>
    <w:p w14:paraId="1067F93D" w14:textId="77777777" w:rsidR="00DE3458" w:rsidRPr="001F5D4B" w:rsidRDefault="00E453CD" w:rsidP="009C5EFD">
      <w:pPr>
        <w:rPr>
          <w:sz w:val="22"/>
          <w:szCs w:val="22"/>
          <w:u w:val="single"/>
        </w:rPr>
      </w:pPr>
      <w:r w:rsidRPr="001F5D4B">
        <w:rPr>
          <w:sz w:val="22"/>
          <w:szCs w:val="22"/>
          <w:u w:val="single"/>
        </w:rPr>
        <w:t>Navn og adresse til tilvirker ansvarlig for batch release</w:t>
      </w:r>
    </w:p>
    <w:p w14:paraId="7FD144FD" w14:textId="77777777" w:rsidR="00833A9D" w:rsidRPr="00392F01" w:rsidRDefault="00833A9D" w:rsidP="009C5EFD">
      <w:pPr>
        <w:numPr>
          <w:ilvl w:val="12"/>
          <w:numId w:val="0"/>
        </w:numPr>
        <w:tabs>
          <w:tab w:val="left" w:pos="720"/>
        </w:tabs>
        <w:rPr>
          <w:sz w:val="22"/>
          <w:szCs w:val="22"/>
        </w:rPr>
      </w:pPr>
    </w:p>
    <w:p w14:paraId="1A50A815" w14:textId="77777777" w:rsidR="00833A9D" w:rsidRPr="00392F01" w:rsidRDefault="00E453CD" w:rsidP="009C5EFD">
      <w:pPr>
        <w:rPr>
          <w:sz w:val="22"/>
          <w:szCs w:val="22"/>
        </w:rPr>
      </w:pPr>
      <w:r w:rsidRPr="00392F01">
        <w:rPr>
          <w:sz w:val="22"/>
          <w:szCs w:val="22"/>
        </w:rPr>
        <w:t>AbbVie Biotechnology GmbH</w:t>
      </w:r>
    </w:p>
    <w:p w14:paraId="234CDF02" w14:textId="77777777" w:rsidR="00833A9D" w:rsidRPr="00392F01" w:rsidRDefault="00E453CD" w:rsidP="009C5EFD">
      <w:pPr>
        <w:numPr>
          <w:ilvl w:val="12"/>
          <w:numId w:val="0"/>
        </w:numPr>
        <w:tabs>
          <w:tab w:val="left" w:pos="720"/>
        </w:tabs>
        <w:rPr>
          <w:sz w:val="22"/>
          <w:szCs w:val="22"/>
        </w:rPr>
      </w:pPr>
      <w:r w:rsidRPr="00392F01">
        <w:rPr>
          <w:sz w:val="22"/>
          <w:szCs w:val="22"/>
        </w:rPr>
        <w:t>Knollstrasse</w:t>
      </w:r>
    </w:p>
    <w:p w14:paraId="57141E1A" w14:textId="77777777" w:rsidR="00833A9D" w:rsidRPr="00392F01" w:rsidRDefault="00E453CD" w:rsidP="009C5EFD">
      <w:pPr>
        <w:numPr>
          <w:ilvl w:val="12"/>
          <w:numId w:val="0"/>
        </w:numPr>
        <w:tabs>
          <w:tab w:val="left" w:pos="720"/>
        </w:tabs>
        <w:rPr>
          <w:sz w:val="22"/>
          <w:szCs w:val="22"/>
        </w:rPr>
      </w:pPr>
      <w:r w:rsidRPr="00392F01">
        <w:rPr>
          <w:sz w:val="22"/>
          <w:szCs w:val="22"/>
        </w:rPr>
        <w:t>67061 Ludwigshafen</w:t>
      </w:r>
    </w:p>
    <w:p w14:paraId="39D3A523" w14:textId="77777777" w:rsidR="00833A9D" w:rsidRPr="00392F01" w:rsidRDefault="00E453CD" w:rsidP="009C5EFD">
      <w:pPr>
        <w:numPr>
          <w:ilvl w:val="12"/>
          <w:numId w:val="0"/>
        </w:numPr>
        <w:tabs>
          <w:tab w:val="left" w:pos="720"/>
        </w:tabs>
        <w:rPr>
          <w:sz w:val="22"/>
          <w:szCs w:val="22"/>
        </w:rPr>
      </w:pPr>
      <w:r w:rsidRPr="00392F01">
        <w:rPr>
          <w:sz w:val="22"/>
          <w:szCs w:val="22"/>
        </w:rPr>
        <w:t>Tyskland</w:t>
      </w:r>
    </w:p>
    <w:p w14:paraId="0772F374" w14:textId="77777777" w:rsidR="00833A9D" w:rsidRPr="00392F01" w:rsidRDefault="00833A9D" w:rsidP="009C5EFD">
      <w:pPr>
        <w:numPr>
          <w:ilvl w:val="12"/>
          <w:numId w:val="0"/>
        </w:numPr>
        <w:tabs>
          <w:tab w:val="left" w:pos="720"/>
        </w:tabs>
        <w:rPr>
          <w:sz w:val="22"/>
          <w:szCs w:val="22"/>
        </w:rPr>
      </w:pPr>
    </w:p>
    <w:p w14:paraId="5FF26468" w14:textId="77777777" w:rsidR="00DE3458" w:rsidRPr="00392F01" w:rsidRDefault="00DE3458" w:rsidP="009C5EFD">
      <w:pPr>
        <w:rPr>
          <w:sz w:val="22"/>
          <w:szCs w:val="22"/>
        </w:rPr>
      </w:pPr>
    </w:p>
    <w:p w14:paraId="7102DD9E" w14:textId="77777777" w:rsidR="00DE3458" w:rsidRPr="00392F01" w:rsidRDefault="00E453CD" w:rsidP="00A81D79">
      <w:pPr>
        <w:pStyle w:val="BMLeftAligned"/>
        <w:keepNext/>
        <w:rPr>
          <w:szCs w:val="22"/>
        </w:rPr>
      </w:pPr>
      <w:r w:rsidRPr="00392F01">
        <w:rPr>
          <w:szCs w:val="22"/>
        </w:rPr>
        <w:t>B.</w:t>
      </w:r>
      <w:r w:rsidRPr="00392F01">
        <w:rPr>
          <w:szCs w:val="22"/>
        </w:rPr>
        <w:tab/>
        <w:t xml:space="preserve">VILKÅR </w:t>
      </w:r>
      <w:r w:rsidR="006D5DEE" w:rsidRPr="00392F01">
        <w:rPr>
          <w:szCs w:val="22"/>
        </w:rPr>
        <w:t>ELLER RESTRIKSJONER VEDRØRENDE LEVERANSE OG BRUK</w:t>
      </w:r>
    </w:p>
    <w:p w14:paraId="15FCEF8F" w14:textId="77777777" w:rsidR="00DE3458" w:rsidRPr="00392F01" w:rsidRDefault="00DE3458" w:rsidP="00A81D79">
      <w:pPr>
        <w:keepNext/>
        <w:rPr>
          <w:sz w:val="22"/>
          <w:szCs w:val="22"/>
        </w:rPr>
      </w:pPr>
    </w:p>
    <w:p w14:paraId="237F0FDA" w14:textId="77777777" w:rsidR="00DE3458" w:rsidRPr="00392F01" w:rsidRDefault="00E453CD" w:rsidP="009C5EFD">
      <w:pPr>
        <w:rPr>
          <w:snapToGrid w:val="0"/>
          <w:sz w:val="22"/>
          <w:szCs w:val="22"/>
        </w:rPr>
      </w:pPr>
      <w:r w:rsidRPr="00392F01">
        <w:rPr>
          <w:sz w:val="22"/>
          <w:szCs w:val="22"/>
        </w:rPr>
        <w:t>Legemiddel underlagt begrenset forskrivning (</w:t>
      </w:r>
      <w:r w:rsidR="00B37BD4" w:rsidRPr="00392F01">
        <w:rPr>
          <w:sz w:val="22"/>
          <w:szCs w:val="22"/>
        </w:rPr>
        <w:t>s</w:t>
      </w:r>
      <w:r w:rsidRPr="00392F01">
        <w:rPr>
          <w:snapToGrid w:val="0"/>
          <w:sz w:val="22"/>
          <w:szCs w:val="22"/>
        </w:rPr>
        <w:t>e Vedlegg I, Preparatomtale, pkt. 4.2)</w:t>
      </w:r>
      <w:r w:rsidR="00B37BD4" w:rsidRPr="00392F01">
        <w:rPr>
          <w:snapToGrid w:val="0"/>
          <w:sz w:val="22"/>
          <w:szCs w:val="22"/>
        </w:rPr>
        <w:t>.</w:t>
      </w:r>
    </w:p>
    <w:p w14:paraId="5C8FDBEF" w14:textId="77777777" w:rsidR="00DE3458" w:rsidRPr="00392F01" w:rsidRDefault="00DE3458" w:rsidP="009C5EFD">
      <w:pPr>
        <w:rPr>
          <w:sz w:val="22"/>
          <w:szCs w:val="22"/>
        </w:rPr>
      </w:pPr>
    </w:p>
    <w:p w14:paraId="15F55371" w14:textId="77777777" w:rsidR="00DE3458" w:rsidRPr="00D968A3" w:rsidRDefault="00DE3458" w:rsidP="009C5EFD">
      <w:pPr>
        <w:rPr>
          <w:sz w:val="22"/>
          <w:szCs w:val="22"/>
        </w:rPr>
      </w:pPr>
    </w:p>
    <w:p w14:paraId="7F8ED3F0" w14:textId="77777777" w:rsidR="006D5DEE" w:rsidRPr="00392F01" w:rsidRDefault="00E453CD" w:rsidP="007E595C">
      <w:pPr>
        <w:pStyle w:val="BMLeftAligned"/>
        <w:keepNext/>
      </w:pPr>
      <w:r w:rsidRPr="00392F01">
        <w:t>C.</w:t>
      </w:r>
      <w:r w:rsidRPr="00392F01">
        <w:tab/>
        <w:t xml:space="preserve">ANDRE VILKÅR OG </w:t>
      </w:r>
      <w:r w:rsidR="0073326F" w:rsidRPr="00392F01">
        <w:t>KRAV TIL</w:t>
      </w:r>
      <w:r w:rsidRPr="00392F01">
        <w:t xml:space="preserve"> MARKEDSFØRINGSTILLATELSEN</w:t>
      </w:r>
    </w:p>
    <w:p w14:paraId="25659FBE" w14:textId="77777777" w:rsidR="00526DC8" w:rsidRPr="00392F01" w:rsidRDefault="00526DC8" w:rsidP="007E595C">
      <w:pPr>
        <w:keepNext/>
        <w:rPr>
          <w:bCs/>
          <w:sz w:val="22"/>
          <w:szCs w:val="22"/>
        </w:rPr>
      </w:pPr>
    </w:p>
    <w:p w14:paraId="46ADF1BF" w14:textId="77777777" w:rsidR="00BF677B" w:rsidRPr="00BF677B" w:rsidRDefault="00E453CD" w:rsidP="005A1DEF">
      <w:pPr>
        <w:keepNext/>
        <w:numPr>
          <w:ilvl w:val="0"/>
          <w:numId w:val="95"/>
        </w:numPr>
        <w:suppressLineNumbers/>
        <w:tabs>
          <w:tab w:val="left" w:pos="567"/>
        </w:tabs>
        <w:spacing w:line="260" w:lineRule="exact"/>
        <w:ind w:right="-1" w:hanging="720"/>
        <w:rPr>
          <w:b/>
          <w:sz w:val="22"/>
          <w:szCs w:val="22"/>
        </w:rPr>
      </w:pPr>
      <w:r w:rsidRPr="00BF677B">
        <w:rPr>
          <w:b/>
          <w:sz w:val="22"/>
          <w:szCs w:val="22"/>
        </w:rPr>
        <w:t>Periodiske sikkerhetsoppdateringsrapporter (PSUR</w:t>
      </w:r>
      <w:r w:rsidR="00C2597A">
        <w:rPr>
          <w:b/>
          <w:sz w:val="22"/>
          <w:szCs w:val="22"/>
        </w:rPr>
        <w:noBreakHyphen/>
        <w:t>er</w:t>
      </w:r>
      <w:r w:rsidRPr="00BF677B">
        <w:rPr>
          <w:b/>
          <w:sz w:val="22"/>
          <w:szCs w:val="22"/>
        </w:rPr>
        <w:t>)</w:t>
      </w:r>
    </w:p>
    <w:p w14:paraId="1A200F4B" w14:textId="77777777" w:rsidR="00BF677B" w:rsidRDefault="00BF677B" w:rsidP="007E595C">
      <w:pPr>
        <w:keepNext/>
        <w:rPr>
          <w:bCs/>
          <w:sz w:val="22"/>
          <w:szCs w:val="22"/>
        </w:rPr>
      </w:pPr>
    </w:p>
    <w:p w14:paraId="5AF78118" w14:textId="77777777" w:rsidR="006D5DEE" w:rsidRPr="009C5EFD" w:rsidRDefault="00E453CD" w:rsidP="007E595C">
      <w:pPr>
        <w:keepNext/>
        <w:rPr>
          <w:b/>
          <w:sz w:val="22"/>
          <w:szCs w:val="22"/>
        </w:rPr>
      </w:pPr>
      <w:r w:rsidRPr="00BF677B">
        <w:rPr>
          <w:sz w:val="22"/>
          <w:szCs w:val="20"/>
        </w:rPr>
        <w:t xml:space="preserve">Kravene for innsendelse av periodiske sikkerhetsoppdateringsrapporter </w:t>
      </w:r>
      <w:r w:rsidR="000629D5">
        <w:rPr>
          <w:sz w:val="22"/>
          <w:szCs w:val="20"/>
        </w:rPr>
        <w:t>(PSUR</w:t>
      </w:r>
      <w:r w:rsidR="000629D5">
        <w:rPr>
          <w:sz w:val="22"/>
          <w:szCs w:val="20"/>
        </w:rPr>
        <w:noBreakHyphen/>
        <w:t xml:space="preserve">er) </w:t>
      </w:r>
      <w:r w:rsidRPr="00BF677B">
        <w:rPr>
          <w:sz w:val="22"/>
          <w:szCs w:val="20"/>
        </w:rPr>
        <w:t>for dette legemidlet er angitt i EURD-listen (European Union Reference Date list), som gjort rede for i Artikkel 107c(7) av direktiv 2001/83/EF og i enhver oppdatering av EURD-listen som publiseres på nettstedet til Det europeiske legemiddelkontoret (</w:t>
      </w:r>
      <w:r w:rsidR="001D434C">
        <w:rPr>
          <w:sz w:val="22"/>
          <w:szCs w:val="20"/>
        </w:rPr>
        <w:t>t</w:t>
      </w:r>
      <w:r w:rsidRPr="00BF677B">
        <w:rPr>
          <w:sz w:val="22"/>
          <w:szCs w:val="20"/>
        </w:rPr>
        <w:t>he European Medicines Agency).</w:t>
      </w:r>
    </w:p>
    <w:p w14:paraId="64204F2E" w14:textId="77777777" w:rsidR="007329ED" w:rsidRPr="00D968A3" w:rsidRDefault="007329ED" w:rsidP="009C5EFD">
      <w:pPr>
        <w:ind w:left="567" w:hanging="567"/>
        <w:rPr>
          <w:bCs/>
          <w:sz w:val="22"/>
          <w:szCs w:val="22"/>
        </w:rPr>
      </w:pPr>
    </w:p>
    <w:p w14:paraId="468A9345" w14:textId="77777777" w:rsidR="006A4B2D" w:rsidRPr="00D968A3" w:rsidRDefault="006A4B2D" w:rsidP="009C5EFD">
      <w:pPr>
        <w:ind w:left="567" w:hanging="567"/>
        <w:rPr>
          <w:bCs/>
          <w:sz w:val="22"/>
          <w:szCs w:val="22"/>
        </w:rPr>
      </w:pPr>
    </w:p>
    <w:p w14:paraId="4D4085B3" w14:textId="77777777" w:rsidR="00467985" w:rsidRPr="009C5EFD" w:rsidRDefault="00E453CD" w:rsidP="009C5EFD">
      <w:pPr>
        <w:pStyle w:val="BMLeftAligned"/>
      </w:pPr>
      <w:r w:rsidRPr="009C5EFD">
        <w:t>D.</w:t>
      </w:r>
      <w:r w:rsidRPr="009C5EFD">
        <w:tab/>
        <w:t>VILKÅR ELLER RE</w:t>
      </w:r>
      <w:r w:rsidR="00A70D9B" w:rsidRPr="009C5EFD">
        <w:t>STRIKSJONER VEDRØRENDE SIKKER</w:t>
      </w:r>
      <w:r w:rsidRPr="009C5EFD">
        <w:t xml:space="preserve"> OG EFFEKTIV BRUK AV LEGEMIDLET</w:t>
      </w:r>
    </w:p>
    <w:p w14:paraId="3F55F061" w14:textId="77777777" w:rsidR="00467985" w:rsidRPr="003461C8" w:rsidRDefault="00467985" w:rsidP="009C5EFD">
      <w:pPr>
        <w:ind w:left="567" w:hanging="567"/>
        <w:rPr>
          <w:sz w:val="22"/>
          <w:szCs w:val="22"/>
        </w:rPr>
      </w:pPr>
    </w:p>
    <w:p w14:paraId="5EF39699" w14:textId="77777777" w:rsidR="00467985" w:rsidRPr="009C5EFD" w:rsidRDefault="00E453CD" w:rsidP="00EE4677">
      <w:pPr>
        <w:numPr>
          <w:ilvl w:val="0"/>
          <w:numId w:val="60"/>
        </w:numPr>
        <w:rPr>
          <w:b/>
          <w:bCs/>
          <w:sz w:val="22"/>
          <w:szCs w:val="22"/>
        </w:rPr>
      </w:pPr>
      <w:r w:rsidRPr="009C5EFD">
        <w:rPr>
          <w:b/>
          <w:bCs/>
          <w:sz w:val="22"/>
          <w:szCs w:val="22"/>
        </w:rPr>
        <w:t>Risikohåndteringsplan (RMP)</w:t>
      </w:r>
    </w:p>
    <w:p w14:paraId="41E551DC" w14:textId="77777777" w:rsidR="00467985" w:rsidRPr="009C5EFD" w:rsidRDefault="00467985" w:rsidP="009C5EFD">
      <w:pPr>
        <w:rPr>
          <w:sz w:val="22"/>
          <w:szCs w:val="22"/>
        </w:rPr>
      </w:pPr>
    </w:p>
    <w:p w14:paraId="15823C71" w14:textId="77777777" w:rsidR="00467985" w:rsidRPr="009C5EFD" w:rsidRDefault="00E453CD" w:rsidP="009C5EFD">
      <w:pPr>
        <w:rPr>
          <w:sz w:val="22"/>
          <w:szCs w:val="22"/>
        </w:rPr>
      </w:pPr>
      <w:r w:rsidRPr="009C5EFD">
        <w:rPr>
          <w:sz w:val="22"/>
          <w:szCs w:val="22"/>
        </w:rPr>
        <w:t xml:space="preserve">Innehaver av markedsføringstillatelsen skal gjennomføre de </w:t>
      </w:r>
      <w:r w:rsidR="00162D10" w:rsidRPr="009C5EFD">
        <w:rPr>
          <w:sz w:val="22"/>
          <w:szCs w:val="22"/>
        </w:rPr>
        <w:t>nødvendige aktiviteter og intervensjoner vedrørende</w:t>
      </w:r>
      <w:r w:rsidRPr="009C5EFD">
        <w:rPr>
          <w:sz w:val="22"/>
          <w:szCs w:val="22"/>
        </w:rPr>
        <w:t xml:space="preserve"> legemiddelovervåkning</w:t>
      </w:r>
      <w:r w:rsidR="00162D10" w:rsidRPr="009C5EFD">
        <w:rPr>
          <w:sz w:val="22"/>
          <w:szCs w:val="22"/>
        </w:rPr>
        <w:t xml:space="preserve"> spesifisert</w:t>
      </w:r>
      <w:r w:rsidRPr="009C5EFD">
        <w:rPr>
          <w:sz w:val="22"/>
          <w:szCs w:val="22"/>
        </w:rPr>
        <w:t xml:space="preserve"> i </w:t>
      </w:r>
      <w:r w:rsidR="00162D10" w:rsidRPr="009C5EFD">
        <w:rPr>
          <w:sz w:val="22"/>
          <w:szCs w:val="22"/>
        </w:rPr>
        <w:t>godkjent</w:t>
      </w:r>
      <w:r w:rsidRPr="009C5EFD">
        <w:rPr>
          <w:sz w:val="22"/>
          <w:szCs w:val="22"/>
        </w:rPr>
        <w:t xml:space="preserve"> RMP presentert i Modul 1.8.2 i markedsføringstillatelsen samt enhver </w:t>
      </w:r>
      <w:r w:rsidR="00162D10" w:rsidRPr="009C5EFD">
        <w:rPr>
          <w:sz w:val="22"/>
          <w:szCs w:val="22"/>
        </w:rPr>
        <w:t>godkjent påfølgende oppdatering</w:t>
      </w:r>
      <w:r w:rsidRPr="009C5EFD">
        <w:rPr>
          <w:sz w:val="22"/>
          <w:szCs w:val="22"/>
        </w:rPr>
        <w:t xml:space="preserve"> av RMP.</w:t>
      </w:r>
    </w:p>
    <w:p w14:paraId="40557485" w14:textId="77777777" w:rsidR="00467985" w:rsidRPr="009C5EFD" w:rsidRDefault="00467985" w:rsidP="009C5EFD">
      <w:pPr>
        <w:rPr>
          <w:sz w:val="22"/>
          <w:szCs w:val="22"/>
        </w:rPr>
      </w:pPr>
    </w:p>
    <w:p w14:paraId="2963F85F" w14:textId="77777777" w:rsidR="00627103" w:rsidRPr="009C5EFD" w:rsidRDefault="00E453CD" w:rsidP="009C5EFD">
      <w:pPr>
        <w:rPr>
          <w:sz w:val="22"/>
          <w:szCs w:val="22"/>
        </w:rPr>
      </w:pPr>
      <w:r w:rsidRPr="009C5EFD">
        <w:rPr>
          <w:sz w:val="22"/>
          <w:szCs w:val="22"/>
        </w:rPr>
        <w:t>En oppdatert RMP skal sendes inn:</w:t>
      </w:r>
    </w:p>
    <w:p w14:paraId="7B3C171F" w14:textId="77777777" w:rsidR="00627103" w:rsidRPr="009C5EFD" w:rsidRDefault="00E453CD" w:rsidP="00EE4677">
      <w:pPr>
        <w:numPr>
          <w:ilvl w:val="0"/>
          <w:numId w:val="61"/>
        </w:numPr>
        <w:tabs>
          <w:tab w:val="clear" w:pos="840"/>
          <w:tab w:val="num" w:pos="540"/>
        </w:tabs>
        <w:ind w:left="540"/>
        <w:rPr>
          <w:sz w:val="22"/>
          <w:szCs w:val="22"/>
        </w:rPr>
      </w:pPr>
      <w:r w:rsidRPr="009C5EFD">
        <w:rPr>
          <w:sz w:val="22"/>
          <w:szCs w:val="22"/>
        </w:rPr>
        <w:t xml:space="preserve">på forespørsel fra </w:t>
      </w:r>
      <w:r w:rsidR="00162D10" w:rsidRPr="009C5EFD">
        <w:rPr>
          <w:sz w:val="22"/>
          <w:szCs w:val="22"/>
        </w:rPr>
        <w:t>D</w:t>
      </w:r>
      <w:r w:rsidRPr="009C5EFD">
        <w:rPr>
          <w:sz w:val="22"/>
          <w:szCs w:val="22"/>
        </w:rPr>
        <w:t>et europeiske legemiddelkontor</w:t>
      </w:r>
      <w:r w:rsidR="00162D10" w:rsidRPr="009C5EFD">
        <w:rPr>
          <w:sz w:val="22"/>
          <w:szCs w:val="22"/>
        </w:rPr>
        <w:t>et (</w:t>
      </w:r>
      <w:r w:rsidR="001D434C">
        <w:rPr>
          <w:sz w:val="22"/>
          <w:szCs w:val="22"/>
        </w:rPr>
        <w:t>t</w:t>
      </w:r>
      <w:r w:rsidR="00162D10" w:rsidRPr="009C5EFD">
        <w:rPr>
          <w:sz w:val="22"/>
          <w:szCs w:val="22"/>
        </w:rPr>
        <w:t xml:space="preserve">he </w:t>
      </w:r>
      <w:r w:rsidRPr="009C5EFD">
        <w:rPr>
          <w:sz w:val="22"/>
          <w:szCs w:val="22"/>
        </w:rPr>
        <w:t>European Medicines Agency</w:t>
      </w:r>
      <w:r w:rsidR="00162D10" w:rsidRPr="009C5EFD">
        <w:rPr>
          <w:sz w:val="22"/>
          <w:szCs w:val="22"/>
        </w:rPr>
        <w:t>);</w:t>
      </w:r>
    </w:p>
    <w:p w14:paraId="4B4FEC75" w14:textId="77777777" w:rsidR="00627103" w:rsidRPr="009C5EFD" w:rsidRDefault="00E453CD" w:rsidP="00EE4677">
      <w:pPr>
        <w:numPr>
          <w:ilvl w:val="0"/>
          <w:numId w:val="61"/>
        </w:numPr>
        <w:tabs>
          <w:tab w:val="clear" w:pos="840"/>
          <w:tab w:val="num" w:pos="540"/>
        </w:tabs>
        <w:ind w:left="540"/>
        <w:rPr>
          <w:sz w:val="22"/>
          <w:szCs w:val="22"/>
        </w:rPr>
      </w:pPr>
      <w:r w:rsidRPr="009C5EFD">
        <w:rPr>
          <w:sz w:val="22"/>
          <w:szCs w:val="22"/>
        </w:rPr>
        <w:t xml:space="preserve">når risikohåndteringssystemet </w:t>
      </w:r>
      <w:r w:rsidR="00162D10" w:rsidRPr="009C5EFD">
        <w:rPr>
          <w:sz w:val="22"/>
          <w:szCs w:val="22"/>
        </w:rPr>
        <w:t>er modifisert</w:t>
      </w:r>
      <w:r w:rsidRPr="009C5EFD">
        <w:rPr>
          <w:sz w:val="22"/>
          <w:szCs w:val="22"/>
        </w:rPr>
        <w:t xml:space="preserve">, spesielt som </w:t>
      </w:r>
      <w:r w:rsidR="00162D10" w:rsidRPr="009C5EFD">
        <w:rPr>
          <w:sz w:val="22"/>
          <w:szCs w:val="22"/>
        </w:rPr>
        <w:t>resultat</w:t>
      </w:r>
      <w:r w:rsidRPr="009C5EFD">
        <w:rPr>
          <w:sz w:val="22"/>
          <w:szCs w:val="22"/>
        </w:rPr>
        <w:t xml:space="preserve"> av </w:t>
      </w:r>
      <w:r w:rsidR="00162D10" w:rsidRPr="009C5EFD">
        <w:rPr>
          <w:sz w:val="22"/>
          <w:szCs w:val="22"/>
        </w:rPr>
        <w:t xml:space="preserve">at det fremkommer </w:t>
      </w:r>
      <w:r w:rsidRPr="009C5EFD">
        <w:rPr>
          <w:sz w:val="22"/>
          <w:szCs w:val="22"/>
        </w:rPr>
        <w:t xml:space="preserve">ny informasjon som kan </w:t>
      </w:r>
      <w:r w:rsidR="00162D10" w:rsidRPr="009C5EFD">
        <w:rPr>
          <w:sz w:val="22"/>
          <w:szCs w:val="22"/>
        </w:rPr>
        <w:t>lede</w:t>
      </w:r>
      <w:r w:rsidRPr="009C5EFD">
        <w:rPr>
          <w:sz w:val="22"/>
          <w:szCs w:val="22"/>
        </w:rPr>
        <w:t xml:space="preserve"> til en betydelig endring i nytte/risiko profilen eller som </w:t>
      </w:r>
      <w:r w:rsidR="00162D10" w:rsidRPr="009C5EFD">
        <w:rPr>
          <w:sz w:val="22"/>
          <w:szCs w:val="22"/>
        </w:rPr>
        <w:t>resultat</w:t>
      </w:r>
      <w:r w:rsidRPr="009C5EFD">
        <w:rPr>
          <w:sz w:val="22"/>
          <w:szCs w:val="22"/>
        </w:rPr>
        <w:t xml:space="preserve"> av at en viktig milepæl (legemiddelovervåkning eller risikominimering) er nådd</w:t>
      </w:r>
      <w:r w:rsidR="00162D10" w:rsidRPr="009C5EFD">
        <w:rPr>
          <w:sz w:val="22"/>
          <w:szCs w:val="22"/>
        </w:rPr>
        <w:t>.</w:t>
      </w:r>
    </w:p>
    <w:p w14:paraId="542F296E" w14:textId="77777777" w:rsidR="00627103" w:rsidRPr="009C5EFD" w:rsidRDefault="00627103" w:rsidP="009C5EFD">
      <w:pPr>
        <w:rPr>
          <w:b/>
          <w:sz w:val="22"/>
          <w:szCs w:val="22"/>
        </w:rPr>
      </w:pPr>
    </w:p>
    <w:p w14:paraId="30555480" w14:textId="77777777" w:rsidR="00627103" w:rsidRPr="009C5EFD" w:rsidRDefault="00E453CD" w:rsidP="00EE4677">
      <w:pPr>
        <w:pStyle w:val="Default"/>
        <w:numPr>
          <w:ilvl w:val="0"/>
          <w:numId w:val="62"/>
        </w:numPr>
        <w:tabs>
          <w:tab w:val="left" w:pos="567"/>
        </w:tabs>
        <w:ind w:left="567" w:hanging="567"/>
        <w:rPr>
          <w:sz w:val="22"/>
          <w:szCs w:val="22"/>
        </w:rPr>
      </w:pPr>
      <w:r w:rsidRPr="009C5EFD">
        <w:rPr>
          <w:b/>
          <w:bCs/>
          <w:sz w:val="22"/>
          <w:szCs w:val="22"/>
        </w:rPr>
        <w:t>Andre risikominimeringsaktiviteter</w:t>
      </w:r>
    </w:p>
    <w:p w14:paraId="54978FC9" w14:textId="77777777" w:rsidR="00627103" w:rsidRPr="009C5EFD" w:rsidRDefault="00627103" w:rsidP="009C5EFD">
      <w:pPr>
        <w:pStyle w:val="Default"/>
        <w:rPr>
          <w:b/>
          <w:bCs/>
          <w:sz w:val="22"/>
          <w:szCs w:val="22"/>
        </w:rPr>
      </w:pPr>
    </w:p>
    <w:p w14:paraId="5573F154" w14:textId="77777777" w:rsidR="00BF7AE9" w:rsidRDefault="00E453CD" w:rsidP="009C5EFD">
      <w:pPr>
        <w:pStyle w:val="Default"/>
        <w:rPr>
          <w:sz w:val="22"/>
          <w:szCs w:val="22"/>
          <w:lang w:val="nb-NO"/>
        </w:rPr>
      </w:pPr>
      <w:r>
        <w:rPr>
          <w:sz w:val="22"/>
          <w:szCs w:val="22"/>
          <w:lang w:val="nb-NO"/>
        </w:rPr>
        <w:t xml:space="preserve">Pasientkortet (voksne og barn) inneholder følgende </w:t>
      </w:r>
      <w:r w:rsidR="00926318">
        <w:rPr>
          <w:sz w:val="22"/>
          <w:szCs w:val="22"/>
          <w:lang w:val="nb-NO"/>
        </w:rPr>
        <w:t>hoved</w:t>
      </w:r>
      <w:r>
        <w:rPr>
          <w:sz w:val="22"/>
          <w:szCs w:val="22"/>
          <w:lang w:val="nb-NO"/>
        </w:rPr>
        <w:t>elemente</w:t>
      </w:r>
      <w:r w:rsidR="00926318">
        <w:rPr>
          <w:sz w:val="22"/>
          <w:szCs w:val="22"/>
          <w:lang w:val="nb-NO"/>
        </w:rPr>
        <w:t>r</w:t>
      </w:r>
    </w:p>
    <w:p w14:paraId="5BFDFF27" w14:textId="77777777" w:rsidR="00BF7AE9" w:rsidRDefault="00BF7AE9" w:rsidP="009C5EFD">
      <w:pPr>
        <w:pStyle w:val="Default"/>
        <w:rPr>
          <w:sz w:val="22"/>
          <w:szCs w:val="22"/>
          <w:lang w:val="nb-NO"/>
        </w:rPr>
      </w:pPr>
    </w:p>
    <w:p w14:paraId="3A325AA1" w14:textId="77777777" w:rsidR="00BF7AE9" w:rsidRDefault="00E453CD" w:rsidP="00B07EA9">
      <w:pPr>
        <w:pStyle w:val="Default"/>
        <w:numPr>
          <w:ilvl w:val="0"/>
          <w:numId w:val="161"/>
        </w:numPr>
        <w:tabs>
          <w:tab w:val="left" w:pos="567"/>
        </w:tabs>
        <w:ind w:left="567" w:hanging="567"/>
        <w:rPr>
          <w:sz w:val="22"/>
          <w:szCs w:val="22"/>
          <w:lang w:val="nb-NO"/>
        </w:rPr>
      </w:pPr>
      <w:r>
        <w:rPr>
          <w:sz w:val="22"/>
          <w:szCs w:val="22"/>
          <w:lang w:val="nb-NO"/>
        </w:rPr>
        <w:t>infeksjoner, inkludert tuberkulose</w:t>
      </w:r>
    </w:p>
    <w:p w14:paraId="38CB95B3" w14:textId="77777777" w:rsidR="00BF7AE9" w:rsidRDefault="00E453CD" w:rsidP="00B07EA9">
      <w:pPr>
        <w:pStyle w:val="Default"/>
        <w:numPr>
          <w:ilvl w:val="0"/>
          <w:numId w:val="161"/>
        </w:numPr>
        <w:tabs>
          <w:tab w:val="left" w:pos="567"/>
        </w:tabs>
        <w:ind w:left="567" w:hanging="567"/>
        <w:rPr>
          <w:sz w:val="22"/>
          <w:szCs w:val="22"/>
          <w:lang w:val="nb-NO"/>
        </w:rPr>
      </w:pPr>
      <w:r>
        <w:rPr>
          <w:sz w:val="22"/>
          <w:szCs w:val="22"/>
          <w:lang w:val="nb-NO"/>
        </w:rPr>
        <w:t>kreft</w:t>
      </w:r>
    </w:p>
    <w:p w14:paraId="753ACB3E" w14:textId="77777777" w:rsidR="00BF7AE9" w:rsidRDefault="00E453CD" w:rsidP="00B07EA9">
      <w:pPr>
        <w:pStyle w:val="Default"/>
        <w:numPr>
          <w:ilvl w:val="0"/>
          <w:numId w:val="161"/>
        </w:numPr>
        <w:tabs>
          <w:tab w:val="left" w:pos="567"/>
        </w:tabs>
        <w:ind w:left="567" w:hanging="567"/>
        <w:rPr>
          <w:sz w:val="22"/>
          <w:szCs w:val="22"/>
          <w:lang w:val="nb-NO"/>
        </w:rPr>
      </w:pPr>
      <w:r>
        <w:rPr>
          <w:sz w:val="22"/>
          <w:szCs w:val="22"/>
          <w:lang w:val="nb-NO"/>
        </w:rPr>
        <w:t>problemer med nervesystemet</w:t>
      </w:r>
    </w:p>
    <w:p w14:paraId="6B93F3D8" w14:textId="77777777" w:rsidR="00BF7AE9" w:rsidRDefault="00E453CD" w:rsidP="00B07EA9">
      <w:pPr>
        <w:pStyle w:val="Default"/>
        <w:numPr>
          <w:ilvl w:val="0"/>
          <w:numId w:val="161"/>
        </w:numPr>
        <w:tabs>
          <w:tab w:val="left" w:pos="567"/>
        </w:tabs>
        <w:ind w:left="567" w:hanging="567"/>
        <w:rPr>
          <w:sz w:val="22"/>
          <w:szCs w:val="22"/>
          <w:lang w:val="nb-NO"/>
        </w:rPr>
      </w:pPr>
      <w:r>
        <w:rPr>
          <w:sz w:val="22"/>
          <w:szCs w:val="22"/>
          <w:lang w:val="nb-NO"/>
        </w:rPr>
        <w:t>vaksinasjoner</w:t>
      </w:r>
    </w:p>
    <w:p w14:paraId="25FE9C15" w14:textId="77777777" w:rsidR="00094957" w:rsidRDefault="00094957" w:rsidP="00B07EA9">
      <w:pPr>
        <w:pStyle w:val="Default"/>
        <w:tabs>
          <w:tab w:val="left" w:pos="567"/>
        </w:tabs>
        <w:rPr>
          <w:sz w:val="22"/>
          <w:szCs w:val="22"/>
          <w:lang w:val="nb-NO"/>
        </w:rPr>
      </w:pPr>
    </w:p>
    <w:p w14:paraId="33B699C9" w14:textId="77777777" w:rsidR="00475156" w:rsidRPr="009C5EFD" w:rsidRDefault="00E453CD" w:rsidP="009C5EFD">
      <w:pPr>
        <w:ind w:left="567" w:hanging="567"/>
        <w:rPr>
          <w:b/>
          <w:sz w:val="22"/>
          <w:szCs w:val="22"/>
        </w:rPr>
      </w:pPr>
      <w:r>
        <w:rPr>
          <w:sz w:val="22"/>
          <w:szCs w:val="22"/>
        </w:rPr>
        <w:t xml:space="preserve"> </w:t>
      </w:r>
      <w:r w:rsidR="008E339A" w:rsidRPr="009C5EFD">
        <w:rPr>
          <w:b/>
          <w:sz w:val="22"/>
          <w:szCs w:val="22"/>
        </w:rPr>
        <w:br w:type="page"/>
      </w:r>
    </w:p>
    <w:p w14:paraId="7F368AC8" w14:textId="77777777" w:rsidR="00DE3458" w:rsidRPr="009C5EFD" w:rsidRDefault="00DE3458" w:rsidP="009C5EFD">
      <w:pPr>
        <w:rPr>
          <w:sz w:val="22"/>
          <w:szCs w:val="22"/>
        </w:rPr>
      </w:pPr>
    </w:p>
    <w:p w14:paraId="6A7727E5" w14:textId="77777777" w:rsidR="00DE3458" w:rsidRPr="009C5EFD" w:rsidRDefault="00DE3458" w:rsidP="009C5EFD">
      <w:pPr>
        <w:jc w:val="center"/>
        <w:rPr>
          <w:sz w:val="22"/>
          <w:szCs w:val="22"/>
        </w:rPr>
      </w:pPr>
    </w:p>
    <w:p w14:paraId="7842652A" w14:textId="77777777" w:rsidR="00DE3458" w:rsidRPr="009C5EFD" w:rsidRDefault="00DE3458" w:rsidP="009C5EFD">
      <w:pPr>
        <w:jc w:val="center"/>
        <w:rPr>
          <w:sz w:val="22"/>
          <w:szCs w:val="22"/>
        </w:rPr>
      </w:pPr>
    </w:p>
    <w:p w14:paraId="262FE875" w14:textId="77777777" w:rsidR="00DE3458" w:rsidRPr="009C5EFD" w:rsidRDefault="00DE3458" w:rsidP="009C5EFD">
      <w:pPr>
        <w:jc w:val="center"/>
        <w:rPr>
          <w:sz w:val="22"/>
          <w:szCs w:val="22"/>
        </w:rPr>
      </w:pPr>
    </w:p>
    <w:p w14:paraId="16F58F12" w14:textId="77777777" w:rsidR="00DE3458" w:rsidRPr="009C5EFD" w:rsidRDefault="00DE3458" w:rsidP="009C5EFD">
      <w:pPr>
        <w:jc w:val="center"/>
        <w:rPr>
          <w:sz w:val="22"/>
          <w:szCs w:val="22"/>
        </w:rPr>
      </w:pPr>
    </w:p>
    <w:p w14:paraId="657E72B7" w14:textId="77777777" w:rsidR="00DE3458" w:rsidRPr="009C5EFD" w:rsidRDefault="00DE3458" w:rsidP="009C5EFD">
      <w:pPr>
        <w:jc w:val="center"/>
        <w:rPr>
          <w:sz w:val="22"/>
          <w:szCs w:val="22"/>
        </w:rPr>
      </w:pPr>
    </w:p>
    <w:p w14:paraId="3F03B3C4" w14:textId="77777777" w:rsidR="00DE3458" w:rsidRPr="009C5EFD" w:rsidRDefault="00DE3458" w:rsidP="009C5EFD">
      <w:pPr>
        <w:jc w:val="center"/>
        <w:rPr>
          <w:sz w:val="22"/>
          <w:szCs w:val="22"/>
        </w:rPr>
      </w:pPr>
    </w:p>
    <w:p w14:paraId="0C144584" w14:textId="77777777" w:rsidR="00DE3458" w:rsidRPr="009C5EFD" w:rsidRDefault="00DE3458" w:rsidP="009C5EFD">
      <w:pPr>
        <w:jc w:val="center"/>
        <w:rPr>
          <w:sz w:val="22"/>
          <w:szCs w:val="22"/>
        </w:rPr>
      </w:pPr>
    </w:p>
    <w:p w14:paraId="00BB8E3B" w14:textId="77777777" w:rsidR="00DE3458" w:rsidRPr="009C5EFD" w:rsidRDefault="00DE3458" w:rsidP="009C5EFD">
      <w:pPr>
        <w:jc w:val="center"/>
        <w:rPr>
          <w:sz w:val="22"/>
          <w:szCs w:val="22"/>
        </w:rPr>
      </w:pPr>
    </w:p>
    <w:p w14:paraId="364C2688" w14:textId="77777777" w:rsidR="00DE3458" w:rsidRPr="009C5EFD" w:rsidRDefault="00DE3458" w:rsidP="009C5EFD">
      <w:pPr>
        <w:jc w:val="center"/>
        <w:rPr>
          <w:sz w:val="22"/>
          <w:szCs w:val="22"/>
        </w:rPr>
      </w:pPr>
    </w:p>
    <w:p w14:paraId="226EF29F" w14:textId="77777777" w:rsidR="00DE3458" w:rsidRPr="009C5EFD" w:rsidRDefault="00DE3458" w:rsidP="009C5EFD">
      <w:pPr>
        <w:jc w:val="center"/>
        <w:rPr>
          <w:sz w:val="22"/>
          <w:szCs w:val="22"/>
        </w:rPr>
      </w:pPr>
    </w:p>
    <w:p w14:paraId="155E7A15" w14:textId="77777777" w:rsidR="00DE3458" w:rsidRPr="009C5EFD" w:rsidRDefault="00DE3458" w:rsidP="009C5EFD">
      <w:pPr>
        <w:jc w:val="center"/>
        <w:rPr>
          <w:sz w:val="22"/>
          <w:szCs w:val="22"/>
        </w:rPr>
      </w:pPr>
    </w:p>
    <w:p w14:paraId="647E3392" w14:textId="77777777" w:rsidR="00DE3458" w:rsidRPr="009C5EFD" w:rsidRDefault="00DE3458" w:rsidP="009C5EFD">
      <w:pPr>
        <w:jc w:val="center"/>
        <w:rPr>
          <w:sz w:val="22"/>
          <w:szCs w:val="22"/>
        </w:rPr>
      </w:pPr>
    </w:p>
    <w:p w14:paraId="588D4DDE" w14:textId="77777777" w:rsidR="00DE3458" w:rsidRPr="009C5EFD" w:rsidRDefault="00DE3458" w:rsidP="009C5EFD">
      <w:pPr>
        <w:jc w:val="center"/>
        <w:rPr>
          <w:sz w:val="22"/>
          <w:szCs w:val="22"/>
        </w:rPr>
      </w:pPr>
    </w:p>
    <w:p w14:paraId="3FF111B8" w14:textId="77777777" w:rsidR="00DE3458" w:rsidRPr="009C5EFD" w:rsidRDefault="00DE3458" w:rsidP="009C5EFD">
      <w:pPr>
        <w:jc w:val="center"/>
        <w:rPr>
          <w:sz w:val="22"/>
          <w:szCs w:val="22"/>
        </w:rPr>
      </w:pPr>
    </w:p>
    <w:p w14:paraId="1E41920B" w14:textId="77777777" w:rsidR="00DE3458" w:rsidRPr="009C5EFD" w:rsidRDefault="00DE3458" w:rsidP="009C5EFD">
      <w:pPr>
        <w:jc w:val="center"/>
        <w:rPr>
          <w:sz w:val="22"/>
          <w:szCs w:val="22"/>
        </w:rPr>
      </w:pPr>
    </w:p>
    <w:p w14:paraId="548C6D70" w14:textId="77777777" w:rsidR="00DE3458" w:rsidRPr="009C5EFD" w:rsidRDefault="00DE3458" w:rsidP="009C5EFD">
      <w:pPr>
        <w:jc w:val="center"/>
        <w:rPr>
          <w:sz w:val="22"/>
          <w:szCs w:val="22"/>
        </w:rPr>
      </w:pPr>
    </w:p>
    <w:p w14:paraId="2A4F396E" w14:textId="77777777" w:rsidR="00DE3458" w:rsidRPr="009C5EFD" w:rsidRDefault="00DE3458" w:rsidP="009C5EFD">
      <w:pPr>
        <w:jc w:val="center"/>
        <w:rPr>
          <w:sz w:val="22"/>
          <w:szCs w:val="22"/>
        </w:rPr>
      </w:pPr>
    </w:p>
    <w:p w14:paraId="3C5AFF56" w14:textId="77777777" w:rsidR="00DE3458" w:rsidRPr="009C5EFD" w:rsidRDefault="00DE3458" w:rsidP="009C5EFD">
      <w:pPr>
        <w:jc w:val="center"/>
        <w:rPr>
          <w:sz w:val="22"/>
          <w:szCs w:val="22"/>
        </w:rPr>
      </w:pPr>
    </w:p>
    <w:p w14:paraId="0A025FEF" w14:textId="77777777" w:rsidR="00DE3458" w:rsidRPr="009C5EFD" w:rsidRDefault="00DE3458" w:rsidP="009C5EFD">
      <w:pPr>
        <w:jc w:val="center"/>
        <w:rPr>
          <w:sz w:val="22"/>
          <w:szCs w:val="22"/>
        </w:rPr>
      </w:pPr>
    </w:p>
    <w:p w14:paraId="18271790" w14:textId="77777777" w:rsidR="00DE3458" w:rsidRDefault="00DE3458" w:rsidP="009C5EFD">
      <w:pPr>
        <w:jc w:val="center"/>
        <w:rPr>
          <w:sz w:val="22"/>
          <w:szCs w:val="22"/>
        </w:rPr>
      </w:pPr>
    </w:p>
    <w:p w14:paraId="2EBFAA95" w14:textId="77777777" w:rsidR="0083562D" w:rsidRPr="009C5EFD" w:rsidRDefault="0083562D" w:rsidP="009C5EFD">
      <w:pPr>
        <w:jc w:val="center"/>
        <w:rPr>
          <w:sz w:val="22"/>
          <w:szCs w:val="22"/>
        </w:rPr>
      </w:pPr>
    </w:p>
    <w:p w14:paraId="09FFE39C" w14:textId="77777777" w:rsidR="00DE3458" w:rsidRPr="009C5EFD" w:rsidRDefault="00DE3458" w:rsidP="009C5EFD">
      <w:pPr>
        <w:jc w:val="center"/>
        <w:rPr>
          <w:sz w:val="22"/>
          <w:szCs w:val="22"/>
        </w:rPr>
      </w:pPr>
    </w:p>
    <w:p w14:paraId="38CB841B" w14:textId="77777777" w:rsidR="00DE3458" w:rsidRPr="00DA6326" w:rsidRDefault="00E453CD" w:rsidP="009C5EFD">
      <w:pPr>
        <w:jc w:val="center"/>
        <w:rPr>
          <w:b/>
          <w:sz w:val="22"/>
          <w:szCs w:val="22"/>
          <w:lang w:val="nn-NO"/>
        </w:rPr>
      </w:pPr>
      <w:r w:rsidRPr="00DA6326">
        <w:rPr>
          <w:b/>
          <w:sz w:val="22"/>
          <w:szCs w:val="22"/>
          <w:lang w:val="nn-NO"/>
        </w:rPr>
        <w:t>VEDLEGG III</w:t>
      </w:r>
    </w:p>
    <w:p w14:paraId="7297CEA1" w14:textId="77777777" w:rsidR="00DE3458" w:rsidRPr="00DA6326" w:rsidRDefault="00DE3458" w:rsidP="009C5EFD">
      <w:pPr>
        <w:suppressAutoHyphens/>
        <w:ind w:left="54"/>
        <w:jc w:val="center"/>
        <w:rPr>
          <w:b/>
          <w:sz w:val="22"/>
          <w:szCs w:val="22"/>
          <w:lang w:val="nn-NO"/>
        </w:rPr>
      </w:pPr>
    </w:p>
    <w:p w14:paraId="44DEF9FD" w14:textId="77777777" w:rsidR="00DE3458" w:rsidRPr="00DA6326" w:rsidRDefault="00E453CD" w:rsidP="009C5EFD">
      <w:pPr>
        <w:suppressAutoHyphens/>
        <w:ind w:left="54"/>
        <w:jc w:val="center"/>
        <w:rPr>
          <w:b/>
          <w:sz w:val="22"/>
          <w:szCs w:val="22"/>
          <w:lang w:val="nn-NO"/>
        </w:rPr>
      </w:pPr>
      <w:r w:rsidRPr="00DA6326">
        <w:rPr>
          <w:b/>
          <w:sz w:val="22"/>
          <w:szCs w:val="22"/>
          <w:lang w:val="nn-NO"/>
        </w:rPr>
        <w:t>MERKING OG PAKNINGSVEDLEGG</w:t>
      </w:r>
    </w:p>
    <w:p w14:paraId="3929305C" w14:textId="77777777" w:rsidR="00DE3458" w:rsidRPr="00DA6326" w:rsidRDefault="00E453CD" w:rsidP="009C5EFD">
      <w:pPr>
        <w:suppressAutoHyphens/>
        <w:ind w:left="54"/>
        <w:rPr>
          <w:sz w:val="22"/>
          <w:szCs w:val="22"/>
          <w:lang w:val="nn-NO"/>
        </w:rPr>
      </w:pPr>
      <w:r w:rsidRPr="00DA6326">
        <w:rPr>
          <w:sz w:val="22"/>
          <w:szCs w:val="22"/>
          <w:lang w:val="nn-NO"/>
        </w:rPr>
        <w:br w:type="page"/>
      </w:r>
    </w:p>
    <w:p w14:paraId="7C30FDE7" w14:textId="77777777" w:rsidR="00DE3458" w:rsidRPr="00DA6326" w:rsidRDefault="00DE3458" w:rsidP="009C5EFD">
      <w:pPr>
        <w:suppressAutoHyphens/>
        <w:ind w:left="54"/>
        <w:rPr>
          <w:sz w:val="22"/>
          <w:szCs w:val="22"/>
          <w:lang w:val="nn-NO"/>
        </w:rPr>
      </w:pPr>
    </w:p>
    <w:p w14:paraId="7E8987DE" w14:textId="77777777" w:rsidR="00DE3458" w:rsidRPr="00DA6326" w:rsidRDefault="00DE3458" w:rsidP="009C5EFD">
      <w:pPr>
        <w:suppressAutoHyphens/>
        <w:ind w:left="54"/>
        <w:rPr>
          <w:sz w:val="22"/>
          <w:szCs w:val="22"/>
          <w:lang w:val="nn-NO"/>
        </w:rPr>
      </w:pPr>
    </w:p>
    <w:p w14:paraId="7D2E40B6" w14:textId="77777777" w:rsidR="00DE3458" w:rsidRPr="00DA6326" w:rsidRDefault="00DE3458" w:rsidP="009C5EFD">
      <w:pPr>
        <w:suppressAutoHyphens/>
        <w:ind w:left="54"/>
        <w:rPr>
          <w:sz w:val="22"/>
          <w:szCs w:val="22"/>
          <w:lang w:val="nn-NO"/>
        </w:rPr>
      </w:pPr>
    </w:p>
    <w:p w14:paraId="72758A10" w14:textId="77777777" w:rsidR="00DE3458" w:rsidRPr="00DA6326" w:rsidRDefault="00DE3458" w:rsidP="009C5EFD">
      <w:pPr>
        <w:suppressAutoHyphens/>
        <w:ind w:left="54"/>
        <w:rPr>
          <w:sz w:val="22"/>
          <w:szCs w:val="22"/>
          <w:lang w:val="nn-NO"/>
        </w:rPr>
      </w:pPr>
    </w:p>
    <w:p w14:paraId="223E8312" w14:textId="77777777" w:rsidR="00DE3458" w:rsidRPr="00DA6326" w:rsidRDefault="00DE3458" w:rsidP="009C5EFD">
      <w:pPr>
        <w:suppressAutoHyphens/>
        <w:ind w:left="54"/>
        <w:rPr>
          <w:sz w:val="22"/>
          <w:szCs w:val="22"/>
          <w:lang w:val="nn-NO"/>
        </w:rPr>
      </w:pPr>
    </w:p>
    <w:p w14:paraId="53371BBC" w14:textId="77777777" w:rsidR="00DE3458" w:rsidRPr="00DA6326" w:rsidRDefault="00DE3458" w:rsidP="009C5EFD">
      <w:pPr>
        <w:suppressAutoHyphens/>
        <w:ind w:left="54"/>
        <w:rPr>
          <w:sz w:val="22"/>
          <w:szCs w:val="22"/>
          <w:lang w:val="nn-NO"/>
        </w:rPr>
      </w:pPr>
    </w:p>
    <w:p w14:paraId="042FDF1B" w14:textId="77777777" w:rsidR="00DE3458" w:rsidRPr="00DA6326" w:rsidRDefault="00DE3458" w:rsidP="009C5EFD">
      <w:pPr>
        <w:suppressAutoHyphens/>
        <w:ind w:left="54"/>
        <w:rPr>
          <w:sz w:val="22"/>
          <w:szCs w:val="22"/>
          <w:lang w:val="nn-NO"/>
        </w:rPr>
      </w:pPr>
    </w:p>
    <w:p w14:paraId="3B8EC030" w14:textId="77777777" w:rsidR="00DE3458" w:rsidRPr="00DA6326" w:rsidRDefault="00DE3458" w:rsidP="009C5EFD">
      <w:pPr>
        <w:suppressAutoHyphens/>
        <w:ind w:left="54"/>
        <w:rPr>
          <w:sz w:val="22"/>
          <w:szCs w:val="22"/>
          <w:lang w:val="nn-NO"/>
        </w:rPr>
      </w:pPr>
    </w:p>
    <w:p w14:paraId="6E6FBFCF" w14:textId="77777777" w:rsidR="00DE3458" w:rsidRPr="00DA6326" w:rsidRDefault="00DE3458" w:rsidP="009C5EFD">
      <w:pPr>
        <w:suppressAutoHyphens/>
        <w:ind w:left="54"/>
        <w:rPr>
          <w:sz w:val="22"/>
          <w:szCs w:val="22"/>
          <w:lang w:val="nn-NO"/>
        </w:rPr>
      </w:pPr>
    </w:p>
    <w:p w14:paraId="501E6840" w14:textId="77777777" w:rsidR="00DE3458" w:rsidRPr="00DA6326" w:rsidRDefault="00DE3458" w:rsidP="009C5EFD">
      <w:pPr>
        <w:suppressAutoHyphens/>
        <w:ind w:left="54"/>
        <w:rPr>
          <w:sz w:val="22"/>
          <w:szCs w:val="22"/>
          <w:lang w:val="nn-NO"/>
        </w:rPr>
      </w:pPr>
    </w:p>
    <w:p w14:paraId="3992496D" w14:textId="77777777" w:rsidR="00DE3458" w:rsidRPr="00DA6326" w:rsidRDefault="00DE3458" w:rsidP="009C5EFD">
      <w:pPr>
        <w:suppressAutoHyphens/>
        <w:ind w:left="54"/>
        <w:rPr>
          <w:sz w:val="22"/>
          <w:szCs w:val="22"/>
          <w:lang w:val="nn-NO"/>
        </w:rPr>
      </w:pPr>
    </w:p>
    <w:p w14:paraId="3C179CD6" w14:textId="77777777" w:rsidR="00DE3458" w:rsidRPr="00DA6326" w:rsidRDefault="00DE3458" w:rsidP="009C5EFD">
      <w:pPr>
        <w:suppressAutoHyphens/>
        <w:ind w:left="54"/>
        <w:rPr>
          <w:sz w:val="22"/>
          <w:szCs w:val="22"/>
          <w:lang w:val="nn-NO"/>
        </w:rPr>
      </w:pPr>
    </w:p>
    <w:p w14:paraId="70E88718" w14:textId="77777777" w:rsidR="00DE3458" w:rsidRPr="00DA6326" w:rsidRDefault="00DE3458" w:rsidP="009C5EFD">
      <w:pPr>
        <w:suppressAutoHyphens/>
        <w:ind w:left="54"/>
        <w:rPr>
          <w:sz w:val="22"/>
          <w:szCs w:val="22"/>
          <w:lang w:val="nn-NO"/>
        </w:rPr>
      </w:pPr>
    </w:p>
    <w:p w14:paraId="23939D41" w14:textId="77777777" w:rsidR="00DE3458" w:rsidRPr="00DA6326" w:rsidRDefault="00DE3458" w:rsidP="009C5EFD">
      <w:pPr>
        <w:suppressAutoHyphens/>
        <w:ind w:left="54"/>
        <w:rPr>
          <w:sz w:val="22"/>
          <w:szCs w:val="22"/>
          <w:lang w:val="nn-NO"/>
        </w:rPr>
      </w:pPr>
    </w:p>
    <w:p w14:paraId="71049210" w14:textId="77777777" w:rsidR="00DE3458" w:rsidRPr="00DA6326" w:rsidRDefault="00DE3458" w:rsidP="009C5EFD">
      <w:pPr>
        <w:suppressAutoHyphens/>
        <w:ind w:left="54"/>
        <w:rPr>
          <w:sz w:val="22"/>
          <w:szCs w:val="22"/>
          <w:lang w:val="nn-NO"/>
        </w:rPr>
      </w:pPr>
    </w:p>
    <w:p w14:paraId="57646CA4" w14:textId="77777777" w:rsidR="00DE3458" w:rsidRPr="00DA6326" w:rsidRDefault="00DE3458" w:rsidP="009C5EFD">
      <w:pPr>
        <w:suppressAutoHyphens/>
        <w:ind w:left="54"/>
        <w:rPr>
          <w:sz w:val="22"/>
          <w:szCs w:val="22"/>
          <w:lang w:val="nn-NO"/>
        </w:rPr>
      </w:pPr>
    </w:p>
    <w:p w14:paraId="42A8C118" w14:textId="77777777" w:rsidR="00DE3458" w:rsidRPr="00DA6326" w:rsidRDefault="00DE3458" w:rsidP="009C5EFD">
      <w:pPr>
        <w:suppressAutoHyphens/>
        <w:ind w:left="54"/>
        <w:rPr>
          <w:sz w:val="22"/>
          <w:szCs w:val="22"/>
          <w:lang w:val="nn-NO"/>
        </w:rPr>
      </w:pPr>
    </w:p>
    <w:p w14:paraId="5F0496AD" w14:textId="77777777" w:rsidR="00DE3458" w:rsidRPr="00DA6326" w:rsidRDefault="00DE3458" w:rsidP="009C5EFD">
      <w:pPr>
        <w:suppressAutoHyphens/>
        <w:ind w:left="54"/>
        <w:rPr>
          <w:sz w:val="22"/>
          <w:szCs w:val="22"/>
          <w:lang w:val="nn-NO"/>
        </w:rPr>
      </w:pPr>
    </w:p>
    <w:p w14:paraId="4E154656" w14:textId="77777777" w:rsidR="0083562D" w:rsidRPr="00DA6326" w:rsidRDefault="0083562D" w:rsidP="009C5EFD">
      <w:pPr>
        <w:suppressAutoHyphens/>
        <w:ind w:left="54"/>
        <w:rPr>
          <w:sz w:val="22"/>
          <w:szCs w:val="22"/>
          <w:lang w:val="nn-NO"/>
        </w:rPr>
      </w:pPr>
    </w:p>
    <w:p w14:paraId="213822C4" w14:textId="77777777" w:rsidR="00DE3458" w:rsidRPr="00DA6326" w:rsidRDefault="00DE3458" w:rsidP="009C5EFD">
      <w:pPr>
        <w:suppressAutoHyphens/>
        <w:ind w:left="54"/>
        <w:rPr>
          <w:sz w:val="22"/>
          <w:szCs w:val="22"/>
          <w:lang w:val="nn-NO"/>
        </w:rPr>
      </w:pPr>
    </w:p>
    <w:p w14:paraId="019A84A9" w14:textId="77777777" w:rsidR="00DE3458" w:rsidRPr="00DA6326" w:rsidRDefault="00DE3458" w:rsidP="009C5EFD">
      <w:pPr>
        <w:suppressAutoHyphens/>
        <w:ind w:left="54"/>
        <w:rPr>
          <w:sz w:val="22"/>
          <w:szCs w:val="22"/>
          <w:lang w:val="nn-NO"/>
        </w:rPr>
      </w:pPr>
    </w:p>
    <w:p w14:paraId="1FDFF780" w14:textId="77777777" w:rsidR="00DE3458" w:rsidRPr="00DA6326" w:rsidRDefault="00DE3458" w:rsidP="009C5EFD">
      <w:pPr>
        <w:suppressAutoHyphens/>
        <w:ind w:left="54"/>
        <w:rPr>
          <w:sz w:val="22"/>
          <w:szCs w:val="22"/>
          <w:lang w:val="nn-NO"/>
        </w:rPr>
      </w:pPr>
    </w:p>
    <w:p w14:paraId="6E26B480" w14:textId="77777777" w:rsidR="00DE3458" w:rsidRPr="00DA6326" w:rsidRDefault="00DE3458" w:rsidP="009C5EFD">
      <w:pPr>
        <w:suppressAutoHyphens/>
        <w:ind w:left="54"/>
        <w:rPr>
          <w:sz w:val="22"/>
          <w:szCs w:val="22"/>
          <w:lang w:val="nn-NO"/>
        </w:rPr>
      </w:pPr>
    </w:p>
    <w:p w14:paraId="5DE79762" w14:textId="77777777" w:rsidR="00497BAA" w:rsidRDefault="00E453CD" w:rsidP="009C5EFD">
      <w:pPr>
        <w:pStyle w:val="BMCENTRED"/>
        <w:rPr>
          <w:szCs w:val="22"/>
          <w:lang w:val="nn-NO"/>
        </w:rPr>
      </w:pPr>
      <w:r w:rsidRPr="00DA6326">
        <w:rPr>
          <w:szCs w:val="22"/>
          <w:lang w:val="nn-NO"/>
        </w:rPr>
        <w:t>A. MERKING</w:t>
      </w:r>
    </w:p>
    <w:p w14:paraId="18A77D05" w14:textId="77777777" w:rsidR="00497BAA" w:rsidRDefault="00E453CD">
      <w:pPr>
        <w:rPr>
          <w:b/>
          <w:sz w:val="22"/>
          <w:szCs w:val="22"/>
          <w:lang w:val="nn-NO"/>
        </w:rPr>
      </w:pPr>
      <w:r>
        <w:rPr>
          <w:szCs w:val="22"/>
          <w:lang w:val="nn-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71D96DA" w14:textId="77777777" w:rsidTr="00392F46">
        <w:trPr>
          <w:trHeight w:val="1070"/>
        </w:trPr>
        <w:tc>
          <w:tcPr>
            <w:tcW w:w="9281" w:type="dxa"/>
            <w:tcBorders>
              <w:bottom w:val="single" w:sz="4" w:space="0" w:color="auto"/>
            </w:tcBorders>
          </w:tcPr>
          <w:p w14:paraId="6C73EA4D" w14:textId="77777777" w:rsidR="00497BAA" w:rsidRPr="009C5EFD" w:rsidRDefault="00E453CD" w:rsidP="00392F46">
            <w:pPr>
              <w:rPr>
                <w:sz w:val="22"/>
                <w:szCs w:val="22"/>
              </w:rPr>
            </w:pPr>
            <w:r w:rsidRPr="009C5EFD">
              <w:rPr>
                <w:b/>
                <w:sz w:val="22"/>
                <w:szCs w:val="22"/>
              </w:rPr>
              <w:lastRenderedPageBreak/>
              <w:t xml:space="preserve">OPPLYSNINGER SOM SKAL ANGIS PÅ YTRE EMBALLASJE </w:t>
            </w:r>
          </w:p>
          <w:p w14:paraId="35F082BC" w14:textId="77777777" w:rsidR="00497BAA" w:rsidRPr="009C5EFD" w:rsidRDefault="00497BAA" w:rsidP="00392F46">
            <w:pPr>
              <w:rPr>
                <w:sz w:val="22"/>
                <w:szCs w:val="22"/>
              </w:rPr>
            </w:pPr>
          </w:p>
          <w:p w14:paraId="66D43C63" w14:textId="77777777" w:rsidR="004F719E" w:rsidRPr="009C5EFD" w:rsidRDefault="00E453CD" w:rsidP="0009620B">
            <w:pPr>
              <w:rPr>
                <w:b/>
                <w:sz w:val="22"/>
                <w:szCs w:val="22"/>
              </w:rPr>
            </w:pPr>
            <w:r w:rsidRPr="009C5EFD">
              <w:rPr>
                <w:b/>
                <w:sz w:val="22"/>
                <w:szCs w:val="22"/>
              </w:rPr>
              <w:t>Y</w:t>
            </w:r>
            <w:r w:rsidR="0009620B">
              <w:rPr>
                <w:b/>
                <w:sz w:val="22"/>
                <w:szCs w:val="22"/>
              </w:rPr>
              <w:t>TTERKARTONG</w:t>
            </w:r>
          </w:p>
        </w:tc>
      </w:tr>
    </w:tbl>
    <w:p w14:paraId="453110D2" w14:textId="77777777" w:rsidR="00497BAA" w:rsidRPr="009C5EFD" w:rsidRDefault="00497BAA" w:rsidP="00497BAA">
      <w:pPr>
        <w:suppressAutoHyphens/>
        <w:ind w:left="54"/>
        <w:rPr>
          <w:sz w:val="22"/>
          <w:szCs w:val="22"/>
        </w:rPr>
      </w:pPr>
    </w:p>
    <w:p w14:paraId="065F2A39"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40C61FA" w14:textId="77777777" w:rsidTr="00392F46">
        <w:tc>
          <w:tcPr>
            <w:tcW w:w="9281" w:type="dxa"/>
          </w:tcPr>
          <w:p w14:paraId="0BE38FB2" w14:textId="77777777" w:rsidR="00497BAA" w:rsidRPr="009C5EFD" w:rsidRDefault="00E453CD" w:rsidP="00392F46">
            <w:pPr>
              <w:ind w:left="567" w:hanging="567"/>
              <w:rPr>
                <w:b/>
                <w:sz w:val="22"/>
                <w:szCs w:val="22"/>
              </w:rPr>
            </w:pPr>
            <w:r w:rsidRPr="009C5EFD">
              <w:rPr>
                <w:b/>
                <w:sz w:val="22"/>
                <w:szCs w:val="22"/>
              </w:rPr>
              <w:t>1.</w:t>
            </w:r>
            <w:r w:rsidRPr="009C5EFD">
              <w:rPr>
                <w:b/>
                <w:sz w:val="22"/>
                <w:szCs w:val="22"/>
              </w:rPr>
              <w:tab/>
              <w:t>LEGEMIDLETS NAVN</w:t>
            </w:r>
          </w:p>
        </w:tc>
      </w:tr>
    </w:tbl>
    <w:p w14:paraId="5A178424" w14:textId="77777777" w:rsidR="00497BAA" w:rsidRPr="009C5EFD" w:rsidRDefault="00497BAA" w:rsidP="00497BAA">
      <w:pPr>
        <w:suppressAutoHyphens/>
        <w:ind w:left="54"/>
        <w:rPr>
          <w:sz w:val="22"/>
          <w:szCs w:val="22"/>
        </w:rPr>
      </w:pPr>
    </w:p>
    <w:p w14:paraId="53354E7D" w14:textId="77777777" w:rsidR="00497BAA" w:rsidRPr="009C5EFD" w:rsidRDefault="00E453CD" w:rsidP="00497BAA">
      <w:pPr>
        <w:suppressAutoHyphens/>
        <w:ind w:left="54"/>
        <w:rPr>
          <w:sz w:val="22"/>
          <w:szCs w:val="22"/>
        </w:rPr>
      </w:pPr>
      <w:r>
        <w:rPr>
          <w:sz w:val="22"/>
          <w:szCs w:val="22"/>
        </w:rPr>
        <w:t>Humira 2</w:t>
      </w:r>
      <w:r w:rsidRPr="009C5EFD">
        <w:rPr>
          <w:sz w:val="22"/>
          <w:szCs w:val="22"/>
        </w:rPr>
        <w:t>0 mg injeksjonsvæske, oppløsning i ferdigfylt sprøyte</w:t>
      </w:r>
    </w:p>
    <w:p w14:paraId="3F110374" w14:textId="77777777" w:rsidR="00497BAA" w:rsidRPr="009C5EFD" w:rsidRDefault="00E453CD" w:rsidP="00497BAA">
      <w:pPr>
        <w:suppressAutoHyphens/>
        <w:ind w:left="54"/>
        <w:rPr>
          <w:sz w:val="22"/>
          <w:szCs w:val="22"/>
        </w:rPr>
      </w:pPr>
      <w:r w:rsidRPr="009C5EFD">
        <w:rPr>
          <w:sz w:val="22"/>
          <w:szCs w:val="22"/>
        </w:rPr>
        <w:t>adalimumab</w:t>
      </w:r>
    </w:p>
    <w:p w14:paraId="0ABE3E27" w14:textId="77777777" w:rsidR="00497BAA" w:rsidRPr="009C5EFD" w:rsidRDefault="00497BAA" w:rsidP="00497BAA">
      <w:pPr>
        <w:pStyle w:val="EndnoteText"/>
        <w:widowControl/>
        <w:tabs>
          <w:tab w:val="clear" w:pos="567"/>
        </w:tabs>
        <w:suppressAutoHyphens/>
        <w:ind w:left="54"/>
        <w:rPr>
          <w:szCs w:val="22"/>
          <w:lang w:val="nb-NO"/>
        </w:rPr>
      </w:pPr>
    </w:p>
    <w:p w14:paraId="3F631CCF"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0BADA22" w14:textId="77777777" w:rsidTr="00392F46">
        <w:tc>
          <w:tcPr>
            <w:tcW w:w="9281" w:type="dxa"/>
          </w:tcPr>
          <w:p w14:paraId="58550558" w14:textId="77777777" w:rsidR="00497BAA" w:rsidRPr="009C5EFD" w:rsidRDefault="00E453CD" w:rsidP="00392F46">
            <w:pPr>
              <w:ind w:left="567" w:hanging="567"/>
              <w:rPr>
                <w:b/>
                <w:sz w:val="22"/>
                <w:szCs w:val="22"/>
              </w:rPr>
            </w:pPr>
            <w:r w:rsidRPr="009C5EFD">
              <w:rPr>
                <w:b/>
                <w:sz w:val="22"/>
                <w:szCs w:val="22"/>
              </w:rPr>
              <w:t>2.</w:t>
            </w:r>
            <w:r w:rsidRPr="009C5EFD">
              <w:rPr>
                <w:b/>
                <w:sz w:val="22"/>
                <w:szCs w:val="22"/>
              </w:rPr>
              <w:tab/>
              <w:t xml:space="preserve">DEKLARASJON AV VIRKESTOFF </w:t>
            </w:r>
          </w:p>
        </w:tc>
      </w:tr>
    </w:tbl>
    <w:p w14:paraId="2B4F2A09" w14:textId="77777777" w:rsidR="00497BAA" w:rsidRPr="009C5EFD" w:rsidRDefault="00497BAA" w:rsidP="00497BAA">
      <w:pPr>
        <w:suppressAutoHyphens/>
        <w:ind w:left="54"/>
        <w:rPr>
          <w:sz w:val="22"/>
          <w:szCs w:val="22"/>
        </w:rPr>
      </w:pPr>
    </w:p>
    <w:p w14:paraId="170C7363" w14:textId="77777777" w:rsidR="00497BAA" w:rsidRPr="009C5EFD" w:rsidRDefault="00E453CD" w:rsidP="00497BAA">
      <w:pPr>
        <w:suppressAutoHyphens/>
        <w:ind w:left="54"/>
        <w:rPr>
          <w:sz w:val="22"/>
          <w:szCs w:val="22"/>
        </w:rPr>
      </w:pPr>
      <w:r>
        <w:rPr>
          <w:sz w:val="22"/>
          <w:szCs w:val="22"/>
        </w:rPr>
        <w:t>En 0,2</w:t>
      </w:r>
      <w:r w:rsidRPr="009C5EFD">
        <w:rPr>
          <w:sz w:val="22"/>
          <w:szCs w:val="22"/>
        </w:rPr>
        <w:t xml:space="preserve"> ml</w:t>
      </w:r>
      <w:r>
        <w:rPr>
          <w:sz w:val="22"/>
          <w:szCs w:val="22"/>
        </w:rPr>
        <w:t xml:space="preserve"> ferdigfylt sprøyte inneholder 2</w:t>
      </w:r>
      <w:r w:rsidRPr="009C5EFD">
        <w:rPr>
          <w:sz w:val="22"/>
          <w:szCs w:val="22"/>
        </w:rPr>
        <w:t>0 mg adalimumab</w:t>
      </w:r>
      <w:r w:rsidR="00506C98">
        <w:rPr>
          <w:sz w:val="22"/>
          <w:szCs w:val="22"/>
        </w:rPr>
        <w:t>.</w:t>
      </w:r>
    </w:p>
    <w:p w14:paraId="53B367D1" w14:textId="77777777" w:rsidR="00497BAA" w:rsidRPr="009C5EFD" w:rsidRDefault="00497BAA" w:rsidP="00497BAA">
      <w:pPr>
        <w:suppressAutoHyphens/>
        <w:ind w:left="54"/>
        <w:rPr>
          <w:sz w:val="22"/>
          <w:szCs w:val="22"/>
        </w:rPr>
      </w:pPr>
    </w:p>
    <w:p w14:paraId="24A2A860"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DAAD512" w14:textId="77777777" w:rsidTr="00392F46">
        <w:tc>
          <w:tcPr>
            <w:tcW w:w="9281" w:type="dxa"/>
          </w:tcPr>
          <w:p w14:paraId="0F22307D" w14:textId="77777777" w:rsidR="00497BAA" w:rsidRPr="009C5EFD" w:rsidRDefault="00E453CD" w:rsidP="00392F46">
            <w:pPr>
              <w:ind w:left="567" w:hanging="567"/>
              <w:rPr>
                <w:b/>
                <w:sz w:val="22"/>
                <w:szCs w:val="22"/>
              </w:rPr>
            </w:pPr>
            <w:r w:rsidRPr="009C5EFD">
              <w:rPr>
                <w:b/>
                <w:sz w:val="22"/>
                <w:szCs w:val="22"/>
              </w:rPr>
              <w:t>3.</w:t>
            </w:r>
            <w:r w:rsidRPr="009C5EFD">
              <w:rPr>
                <w:b/>
                <w:sz w:val="22"/>
                <w:szCs w:val="22"/>
              </w:rPr>
              <w:tab/>
              <w:t>LISTE OVER HJELPESTOFFER</w:t>
            </w:r>
          </w:p>
        </w:tc>
      </w:tr>
    </w:tbl>
    <w:p w14:paraId="0DBCED15" w14:textId="77777777" w:rsidR="00497BAA" w:rsidRPr="009C5EFD" w:rsidRDefault="00497BAA" w:rsidP="00497BAA">
      <w:pPr>
        <w:suppressAutoHyphens/>
        <w:ind w:left="54"/>
        <w:rPr>
          <w:sz w:val="22"/>
          <w:szCs w:val="22"/>
        </w:rPr>
      </w:pPr>
    </w:p>
    <w:p w14:paraId="23DFF46E" w14:textId="77777777" w:rsidR="00497BAA" w:rsidRPr="009C5EFD" w:rsidRDefault="00E453CD" w:rsidP="00497BAA">
      <w:pPr>
        <w:ind w:left="54"/>
        <w:rPr>
          <w:sz w:val="22"/>
          <w:szCs w:val="22"/>
        </w:rPr>
      </w:pPr>
      <w:r w:rsidRPr="009C5EFD">
        <w:rPr>
          <w:sz w:val="22"/>
          <w:szCs w:val="22"/>
        </w:rPr>
        <w:t xml:space="preserve">Hjelpestoffer: </w:t>
      </w:r>
      <w:r>
        <w:rPr>
          <w:sz w:val="22"/>
          <w:szCs w:val="22"/>
        </w:rPr>
        <w:t>m</w:t>
      </w:r>
      <w:r w:rsidRPr="009C5EFD">
        <w:rPr>
          <w:sz w:val="22"/>
          <w:szCs w:val="22"/>
        </w:rPr>
        <w:t>annitol, polysorbat 80 og vann til injeksjonsvæsker. For ytte</w:t>
      </w:r>
      <w:r>
        <w:rPr>
          <w:sz w:val="22"/>
          <w:szCs w:val="22"/>
        </w:rPr>
        <w:t>r</w:t>
      </w:r>
      <w:r w:rsidRPr="009C5EFD">
        <w:rPr>
          <w:sz w:val="22"/>
          <w:szCs w:val="22"/>
        </w:rPr>
        <w:t>ligere informasjon, se pakningsvedlegget.</w:t>
      </w:r>
    </w:p>
    <w:p w14:paraId="61B0E378" w14:textId="77777777" w:rsidR="00497BAA" w:rsidRPr="009C5EFD" w:rsidRDefault="00497BAA" w:rsidP="00497BAA">
      <w:pPr>
        <w:suppressAutoHyphens/>
        <w:ind w:left="54"/>
        <w:rPr>
          <w:sz w:val="22"/>
          <w:szCs w:val="22"/>
        </w:rPr>
      </w:pPr>
    </w:p>
    <w:p w14:paraId="5A1365AF"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AEBE82E" w14:textId="77777777" w:rsidTr="00392F46">
        <w:tc>
          <w:tcPr>
            <w:tcW w:w="9281" w:type="dxa"/>
          </w:tcPr>
          <w:p w14:paraId="3530C46A" w14:textId="77777777" w:rsidR="00497BAA" w:rsidRPr="009C5EFD" w:rsidRDefault="00E453CD" w:rsidP="00392F46">
            <w:pPr>
              <w:ind w:left="567" w:hanging="567"/>
              <w:rPr>
                <w:b/>
                <w:sz w:val="22"/>
                <w:szCs w:val="22"/>
              </w:rPr>
            </w:pPr>
            <w:r w:rsidRPr="009C5EFD">
              <w:rPr>
                <w:b/>
                <w:sz w:val="22"/>
                <w:szCs w:val="22"/>
              </w:rPr>
              <w:t>4.</w:t>
            </w:r>
            <w:r w:rsidRPr="009C5EFD">
              <w:rPr>
                <w:b/>
                <w:sz w:val="22"/>
                <w:szCs w:val="22"/>
              </w:rPr>
              <w:tab/>
              <w:t>LEGEMIDDELFORM OG INNHOLD (PAKNINGSSTØRRELSE)</w:t>
            </w:r>
          </w:p>
        </w:tc>
      </w:tr>
    </w:tbl>
    <w:p w14:paraId="3737061A" w14:textId="77777777" w:rsidR="00497BAA" w:rsidRPr="009C5EFD" w:rsidRDefault="00497BAA" w:rsidP="00497BAA">
      <w:pPr>
        <w:suppressAutoHyphens/>
        <w:ind w:left="54"/>
        <w:rPr>
          <w:sz w:val="22"/>
          <w:szCs w:val="22"/>
        </w:rPr>
      </w:pPr>
    </w:p>
    <w:p w14:paraId="54F1E1AB" w14:textId="77777777" w:rsidR="00392F46" w:rsidRDefault="00E453CD" w:rsidP="00497BAA">
      <w:pPr>
        <w:suppressAutoHyphens/>
        <w:ind w:left="54"/>
        <w:rPr>
          <w:sz w:val="22"/>
          <w:szCs w:val="22"/>
        </w:rPr>
      </w:pPr>
      <w:r w:rsidRPr="00771F39">
        <w:rPr>
          <w:sz w:val="22"/>
          <w:szCs w:val="22"/>
          <w:highlight w:val="lightGray"/>
        </w:rPr>
        <w:t>Injeksjonsvæske</w:t>
      </w:r>
      <w:r w:rsidR="00D26B72" w:rsidRPr="00602A37">
        <w:rPr>
          <w:sz w:val="22"/>
          <w:szCs w:val="22"/>
          <w:highlight w:val="lightGray"/>
        </w:rPr>
        <w:t>, oppløsning</w:t>
      </w:r>
    </w:p>
    <w:p w14:paraId="5E6B4F3C" w14:textId="77777777" w:rsidR="00497BAA" w:rsidRPr="009C5EFD" w:rsidRDefault="00E453CD" w:rsidP="00497BAA">
      <w:pPr>
        <w:suppressAutoHyphens/>
        <w:ind w:left="54"/>
        <w:rPr>
          <w:sz w:val="22"/>
          <w:szCs w:val="22"/>
        </w:rPr>
      </w:pPr>
      <w:r>
        <w:rPr>
          <w:sz w:val="22"/>
          <w:szCs w:val="22"/>
        </w:rPr>
        <w:t>2</w:t>
      </w:r>
      <w:r w:rsidRPr="009C5EFD">
        <w:rPr>
          <w:sz w:val="22"/>
          <w:szCs w:val="22"/>
        </w:rPr>
        <w:t xml:space="preserve"> fer</w:t>
      </w:r>
      <w:r>
        <w:rPr>
          <w:sz w:val="22"/>
          <w:szCs w:val="22"/>
        </w:rPr>
        <w:t>digfylt</w:t>
      </w:r>
      <w:r w:rsidR="00392F46">
        <w:rPr>
          <w:sz w:val="22"/>
          <w:szCs w:val="22"/>
        </w:rPr>
        <w:t>e</w:t>
      </w:r>
      <w:r>
        <w:rPr>
          <w:sz w:val="22"/>
          <w:szCs w:val="22"/>
        </w:rPr>
        <w:t xml:space="preserve"> sprøyter</w:t>
      </w:r>
    </w:p>
    <w:p w14:paraId="55CBA323" w14:textId="77777777" w:rsidR="00497BAA" w:rsidRPr="009C5EFD" w:rsidRDefault="00E453CD" w:rsidP="00497BAA">
      <w:pPr>
        <w:suppressAutoHyphens/>
        <w:ind w:left="54"/>
        <w:rPr>
          <w:sz w:val="22"/>
          <w:szCs w:val="22"/>
        </w:rPr>
      </w:pPr>
      <w:r>
        <w:rPr>
          <w:sz w:val="22"/>
          <w:szCs w:val="22"/>
        </w:rPr>
        <w:t>2</w:t>
      </w:r>
      <w:r w:rsidRPr="009C5EFD">
        <w:rPr>
          <w:sz w:val="22"/>
          <w:szCs w:val="22"/>
        </w:rPr>
        <w:t xml:space="preserve"> injeksjonstørk</w:t>
      </w:r>
    </w:p>
    <w:p w14:paraId="003E569A" w14:textId="77777777" w:rsidR="00497BAA" w:rsidRPr="009C5EFD" w:rsidRDefault="00497BAA" w:rsidP="00497BAA">
      <w:pPr>
        <w:suppressAutoHyphens/>
        <w:ind w:left="54"/>
        <w:rPr>
          <w:sz w:val="22"/>
          <w:szCs w:val="22"/>
        </w:rPr>
      </w:pPr>
    </w:p>
    <w:p w14:paraId="728D0019"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59B3AE4" w14:textId="77777777" w:rsidTr="00392F46">
        <w:tc>
          <w:tcPr>
            <w:tcW w:w="9281" w:type="dxa"/>
          </w:tcPr>
          <w:p w14:paraId="2649BB17" w14:textId="77777777" w:rsidR="00497BAA" w:rsidRPr="009C5EFD" w:rsidRDefault="00E453CD" w:rsidP="00392F46">
            <w:pPr>
              <w:ind w:left="567" w:hanging="567"/>
              <w:rPr>
                <w:b/>
                <w:sz w:val="22"/>
                <w:szCs w:val="22"/>
              </w:rPr>
            </w:pPr>
            <w:r w:rsidRPr="009C5EFD">
              <w:rPr>
                <w:b/>
                <w:sz w:val="22"/>
                <w:szCs w:val="22"/>
              </w:rPr>
              <w:t>5.</w:t>
            </w:r>
            <w:r w:rsidRPr="009C5EFD">
              <w:rPr>
                <w:b/>
                <w:sz w:val="22"/>
                <w:szCs w:val="22"/>
              </w:rPr>
              <w:tab/>
              <w:t xml:space="preserve">ADMINISTRASJONSMÅTE OG </w:t>
            </w:r>
            <w:r w:rsidR="0027515E">
              <w:rPr>
                <w:b/>
                <w:sz w:val="22"/>
                <w:szCs w:val="22"/>
              </w:rPr>
              <w:t>-</w:t>
            </w:r>
            <w:r w:rsidRPr="009C5EFD">
              <w:rPr>
                <w:b/>
                <w:sz w:val="22"/>
                <w:szCs w:val="22"/>
              </w:rPr>
              <w:t>VEI</w:t>
            </w:r>
          </w:p>
        </w:tc>
      </w:tr>
    </w:tbl>
    <w:p w14:paraId="5F2F3F5A" w14:textId="77777777" w:rsidR="00497BAA" w:rsidRPr="009C5EFD" w:rsidRDefault="00497BAA" w:rsidP="00497BAA">
      <w:pPr>
        <w:suppressAutoHyphens/>
        <w:ind w:left="54"/>
        <w:rPr>
          <w:sz w:val="22"/>
          <w:szCs w:val="22"/>
        </w:rPr>
      </w:pPr>
    </w:p>
    <w:p w14:paraId="329E49B8" w14:textId="77777777" w:rsidR="00497BAA" w:rsidRPr="009C5EFD" w:rsidRDefault="00E453CD" w:rsidP="00497BAA">
      <w:pPr>
        <w:suppressAutoHyphens/>
        <w:ind w:left="54"/>
        <w:rPr>
          <w:sz w:val="22"/>
          <w:szCs w:val="22"/>
        </w:rPr>
      </w:pPr>
      <w:r w:rsidRPr="009C5EFD">
        <w:rPr>
          <w:sz w:val="22"/>
          <w:szCs w:val="22"/>
        </w:rPr>
        <w:t>Subkutan bruk</w:t>
      </w:r>
    </w:p>
    <w:p w14:paraId="7D7EF281" w14:textId="77777777" w:rsidR="00497BAA" w:rsidRPr="009C5EFD" w:rsidRDefault="00497BAA" w:rsidP="00497BAA">
      <w:pPr>
        <w:suppressAutoHyphens/>
        <w:ind w:left="54"/>
        <w:rPr>
          <w:sz w:val="22"/>
          <w:szCs w:val="22"/>
        </w:rPr>
      </w:pPr>
    </w:p>
    <w:p w14:paraId="0A2A36D4" w14:textId="77777777" w:rsidR="00497BAA" w:rsidRDefault="00E453CD" w:rsidP="00497BAA">
      <w:pPr>
        <w:suppressAutoHyphens/>
        <w:ind w:left="54"/>
        <w:rPr>
          <w:sz w:val="22"/>
          <w:szCs w:val="22"/>
        </w:rPr>
      </w:pPr>
      <w:r w:rsidRPr="009C5EFD">
        <w:rPr>
          <w:sz w:val="22"/>
          <w:szCs w:val="22"/>
        </w:rPr>
        <w:t>Les pakningsvedlegget før bruk.</w:t>
      </w:r>
    </w:p>
    <w:p w14:paraId="10860F27" w14:textId="77777777" w:rsidR="00392F46" w:rsidRDefault="00392F46" w:rsidP="00497BAA">
      <w:pPr>
        <w:suppressAutoHyphens/>
        <w:ind w:left="54"/>
        <w:rPr>
          <w:sz w:val="22"/>
          <w:szCs w:val="22"/>
        </w:rPr>
      </w:pPr>
    </w:p>
    <w:p w14:paraId="01FFFE20" w14:textId="77777777" w:rsidR="00392F46" w:rsidRDefault="00E453CD" w:rsidP="00497BAA">
      <w:pPr>
        <w:suppressAutoHyphens/>
        <w:ind w:left="54"/>
        <w:rPr>
          <w:sz w:val="22"/>
          <w:szCs w:val="22"/>
        </w:rPr>
      </w:pPr>
      <w:r w:rsidRPr="009C5EFD">
        <w:rPr>
          <w:sz w:val="22"/>
          <w:szCs w:val="22"/>
        </w:rPr>
        <w:t>Kun til engangsbruk.</w:t>
      </w:r>
    </w:p>
    <w:p w14:paraId="54C4B285" w14:textId="77777777" w:rsidR="00392F46" w:rsidRDefault="00392F46" w:rsidP="00497BAA">
      <w:pPr>
        <w:suppressAutoHyphens/>
        <w:ind w:left="54"/>
        <w:rPr>
          <w:sz w:val="22"/>
          <w:szCs w:val="22"/>
        </w:rPr>
      </w:pPr>
    </w:p>
    <w:p w14:paraId="19016832" w14:textId="77777777" w:rsidR="00392F46" w:rsidRPr="009C5EFD" w:rsidRDefault="00E453CD" w:rsidP="00497BAA">
      <w:pPr>
        <w:suppressAutoHyphens/>
        <w:ind w:left="54"/>
        <w:rPr>
          <w:sz w:val="22"/>
          <w:szCs w:val="22"/>
        </w:rPr>
      </w:pPr>
      <w:r>
        <w:rPr>
          <w:sz w:val="22"/>
          <w:szCs w:val="22"/>
        </w:rPr>
        <w:t>T</w:t>
      </w:r>
      <w:r w:rsidRPr="009C5EFD">
        <w:rPr>
          <w:sz w:val="22"/>
          <w:szCs w:val="22"/>
        </w:rPr>
        <w:t>il bruk hos barn</w:t>
      </w:r>
    </w:p>
    <w:p w14:paraId="66070268" w14:textId="77777777" w:rsidR="00497BAA" w:rsidRPr="009C5EFD" w:rsidRDefault="00497BAA" w:rsidP="00497BAA">
      <w:pPr>
        <w:suppressAutoHyphens/>
        <w:ind w:left="54"/>
        <w:rPr>
          <w:sz w:val="22"/>
          <w:szCs w:val="22"/>
        </w:rPr>
      </w:pPr>
    </w:p>
    <w:p w14:paraId="35F42B1F"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B64E387" w14:textId="77777777" w:rsidTr="00392F46">
        <w:tc>
          <w:tcPr>
            <w:tcW w:w="9281" w:type="dxa"/>
          </w:tcPr>
          <w:p w14:paraId="732707D8" w14:textId="77777777" w:rsidR="00497BAA" w:rsidRPr="009C5EFD" w:rsidRDefault="00E453CD" w:rsidP="00392F46">
            <w:pPr>
              <w:ind w:left="567" w:hanging="567"/>
              <w:rPr>
                <w:b/>
                <w:sz w:val="22"/>
                <w:szCs w:val="22"/>
              </w:rPr>
            </w:pPr>
            <w:r w:rsidRPr="009C5EFD">
              <w:rPr>
                <w:b/>
                <w:sz w:val="22"/>
                <w:szCs w:val="22"/>
              </w:rPr>
              <w:t>6.</w:t>
            </w:r>
            <w:r w:rsidRPr="009C5EFD">
              <w:rPr>
                <w:b/>
                <w:sz w:val="22"/>
                <w:szCs w:val="22"/>
              </w:rPr>
              <w:tab/>
              <w:t>ADVARSEL OM AT LEGEMIDLET SKAL OPPBEVARES UTILGJENGELIG FOR BARN</w:t>
            </w:r>
          </w:p>
        </w:tc>
      </w:tr>
    </w:tbl>
    <w:p w14:paraId="287987D6" w14:textId="77777777" w:rsidR="00497BAA" w:rsidRPr="009C5EFD" w:rsidRDefault="00497BAA" w:rsidP="00497BAA">
      <w:pPr>
        <w:suppressAutoHyphens/>
        <w:ind w:left="54"/>
        <w:rPr>
          <w:sz w:val="22"/>
          <w:szCs w:val="22"/>
        </w:rPr>
      </w:pPr>
    </w:p>
    <w:p w14:paraId="595CF5C1" w14:textId="77777777" w:rsidR="00497BAA" w:rsidRPr="009C5EFD" w:rsidRDefault="00E453CD" w:rsidP="00497BAA">
      <w:pPr>
        <w:suppressAutoHyphens/>
        <w:ind w:left="54"/>
        <w:rPr>
          <w:sz w:val="22"/>
          <w:szCs w:val="22"/>
        </w:rPr>
      </w:pPr>
      <w:r w:rsidRPr="009C5EFD">
        <w:rPr>
          <w:sz w:val="22"/>
          <w:szCs w:val="22"/>
        </w:rPr>
        <w:t>Oppbevares utilgjengelig for barn.</w:t>
      </w:r>
    </w:p>
    <w:p w14:paraId="5E4CE539" w14:textId="77777777" w:rsidR="00497BAA" w:rsidRPr="009C5EFD" w:rsidRDefault="00497BAA" w:rsidP="00497BAA">
      <w:pPr>
        <w:suppressAutoHyphens/>
        <w:ind w:left="54"/>
        <w:rPr>
          <w:sz w:val="22"/>
          <w:szCs w:val="22"/>
        </w:rPr>
      </w:pPr>
    </w:p>
    <w:p w14:paraId="47029C11"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8A65048" w14:textId="77777777" w:rsidTr="00392F46">
        <w:tc>
          <w:tcPr>
            <w:tcW w:w="9281" w:type="dxa"/>
          </w:tcPr>
          <w:p w14:paraId="4A2A0248" w14:textId="77777777" w:rsidR="00497BAA" w:rsidRPr="009C5EFD" w:rsidRDefault="00E453CD" w:rsidP="00392F46">
            <w:pPr>
              <w:ind w:left="567" w:hanging="567"/>
              <w:rPr>
                <w:b/>
                <w:sz w:val="22"/>
                <w:szCs w:val="22"/>
              </w:rPr>
            </w:pPr>
            <w:r w:rsidRPr="009C5EFD">
              <w:rPr>
                <w:b/>
                <w:sz w:val="22"/>
                <w:szCs w:val="22"/>
              </w:rPr>
              <w:t>7.</w:t>
            </w:r>
            <w:r w:rsidRPr="009C5EFD">
              <w:rPr>
                <w:b/>
                <w:sz w:val="22"/>
                <w:szCs w:val="22"/>
              </w:rPr>
              <w:tab/>
              <w:t>EVENTUELLE ANDRE SPESIELLE ADVARSLER</w:t>
            </w:r>
          </w:p>
        </w:tc>
      </w:tr>
    </w:tbl>
    <w:p w14:paraId="2F62C8FA" w14:textId="77777777" w:rsidR="00497BAA" w:rsidRPr="009C5EFD" w:rsidRDefault="00497BAA" w:rsidP="00497BAA">
      <w:pPr>
        <w:suppressAutoHyphens/>
        <w:ind w:left="54"/>
        <w:rPr>
          <w:sz w:val="22"/>
          <w:szCs w:val="22"/>
        </w:rPr>
      </w:pPr>
    </w:p>
    <w:p w14:paraId="7BC4EB18"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A5EB06E" w14:textId="77777777" w:rsidTr="00392F46">
        <w:tc>
          <w:tcPr>
            <w:tcW w:w="9281" w:type="dxa"/>
          </w:tcPr>
          <w:p w14:paraId="4C7BF479" w14:textId="77777777" w:rsidR="00497BAA" w:rsidRPr="009C5EFD" w:rsidRDefault="00E453CD" w:rsidP="00392F46">
            <w:pPr>
              <w:ind w:left="567" w:hanging="567"/>
              <w:rPr>
                <w:b/>
                <w:sz w:val="22"/>
                <w:szCs w:val="22"/>
              </w:rPr>
            </w:pPr>
            <w:r w:rsidRPr="009C5EFD">
              <w:rPr>
                <w:b/>
                <w:sz w:val="22"/>
                <w:szCs w:val="22"/>
              </w:rPr>
              <w:t>8.</w:t>
            </w:r>
            <w:r w:rsidRPr="009C5EFD">
              <w:rPr>
                <w:b/>
                <w:sz w:val="22"/>
                <w:szCs w:val="22"/>
              </w:rPr>
              <w:tab/>
              <w:t>UTLØPSDATO</w:t>
            </w:r>
          </w:p>
        </w:tc>
      </w:tr>
    </w:tbl>
    <w:p w14:paraId="2DA34A13" w14:textId="77777777" w:rsidR="00497BAA" w:rsidRPr="009C5EFD" w:rsidRDefault="00497BAA" w:rsidP="00497BAA">
      <w:pPr>
        <w:suppressAutoHyphens/>
        <w:ind w:left="621" w:hanging="567"/>
        <w:rPr>
          <w:sz w:val="22"/>
          <w:szCs w:val="22"/>
        </w:rPr>
      </w:pPr>
    </w:p>
    <w:p w14:paraId="6C5D73C5" w14:textId="77777777" w:rsidR="00497BAA" w:rsidRPr="009C5EFD" w:rsidRDefault="00E453CD" w:rsidP="00497BAA">
      <w:pPr>
        <w:suppressAutoHyphens/>
        <w:ind w:left="54"/>
        <w:rPr>
          <w:sz w:val="22"/>
          <w:szCs w:val="22"/>
        </w:rPr>
      </w:pPr>
      <w:r>
        <w:rPr>
          <w:sz w:val="22"/>
          <w:szCs w:val="22"/>
        </w:rPr>
        <w:t>EXP</w:t>
      </w:r>
    </w:p>
    <w:p w14:paraId="582F4799" w14:textId="77777777" w:rsidR="00497BAA" w:rsidRDefault="00497BAA" w:rsidP="00497BAA">
      <w:pPr>
        <w:ind w:left="54"/>
        <w:rPr>
          <w:sz w:val="22"/>
          <w:szCs w:val="22"/>
        </w:rPr>
      </w:pPr>
    </w:p>
    <w:p w14:paraId="28DA9C50" w14:textId="77777777" w:rsidR="00497BAA" w:rsidRPr="009C5EFD" w:rsidRDefault="00497BAA" w:rsidP="00497BAA">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6DD93C" w14:textId="77777777" w:rsidTr="00392F46">
        <w:tc>
          <w:tcPr>
            <w:tcW w:w="9281" w:type="dxa"/>
          </w:tcPr>
          <w:p w14:paraId="65AB79D5" w14:textId="77777777" w:rsidR="00497BAA" w:rsidRPr="009C5EFD" w:rsidRDefault="00E453CD" w:rsidP="00661964">
            <w:pPr>
              <w:keepNext/>
              <w:ind w:left="567" w:hanging="567"/>
              <w:rPr>
                <w:b/>
                <w:sz w:val="22"/>
                <w:szCs w:val="22"/>
              </w:rPr>
            </w:pPr>
            <w:r w:rsidRPr="009C5EFD">
              <w:lastRenderedPageBreak/>
              <w:br w:type="page"/>
            </w:r>
            <w:r w:rsidRPr="009C5EFD">
              <w:rPr>
                <w:b/>
                <w:sz w:val="22"/>
                <w:szCs w:val="22"/>
              </w:rPr>
              <w:t>9.</w:t>
            </w:r>
            <w:r w:rsidRPr="009C5EFD">
              <w:rPr>
                <w:b/>
                <w:sz w:val="22"/>
                <w:szCs w:val="22"/>
              </w:rPr>
              <w:tab/>
              <w:t>OPPBEVARINGSBETINGELSER</w:t>
            </w:r>
          </w:p>
        </w:tc>
      </w:tr>
    </w:tbl>
    <w:p w14:paraId="5733D279" w14:textId="77777777" w:rsidR="00497BAA" w:rsidRPr="009C5EFD" w:rsidRDefault="00497BAA" w:rsidP="00661964">
      <w:pPr>
        <w:keepNext/>
        <w:suppressAutoHyphens/>
        <w:ind w:left="54"/>
        <w:rPr>
          <w:sz w:val="22"/>
          <w:szCs w:val="22"/>
        </w:rPr>
      </w:pPr>
    </w:p>
    <w:p w14:paraId="7A1E5993" w14:textId="77777777" w:rsidR="00497BAA" w:rsidRPr="009C5EFD" w:rsidRDefault="00E453CD" w:rsidP="00661964">
      <w:pPr>
        <w:keepNext/>
        <w:suppressAutoHyphens/>
        <w:ind w:left="54"/>
        <w:rPr>
          <w:sz w:val="22"/>
          <w:szCs w:val="22"/>
        </w:rPr>
      </w:pPr>
      <w:r w:rsidRPr="009C5EFD">
        <w:rPr>
          <w:sz w:val="22"/>
          <w:szCs w:val="22"/>
        </w:rPr>
        <w:t>Op</w:t>
      </w:r>
      <w:r w:rsidR="00392F46">
        <w:rPr>
          <w:sz w:val="22"/>
          <w:szCs w:val="22"/>
        </w:rPr>
        <w:t>pbevares i kjøleskap</w:t>
      </w:r>
      <w:r w:rsidRPr="009C5EFD">
        <w:rPr>
          <w:sz w:val="22"/>
          <w:szCs w:val="22"/>
        </w:rPr>
        <w:t>. Skal ikke fryses.</w:t>
      </w:r>
    </w:p>
    <w:p w14:paraId="795F52A3" w14:textId="77777777" w:rsidR="00497BAA" w:rsidRDefault="00E453CD" w:rsidP="00661964">
      <w:pPr>
        <w:keepNext/>
        <w:suppressAutoHyphens/>
        <w:ind w:left="54"/>
        <w:rPr>
          <w:sz w:val="22"/>
          <w:szCs w:val="22"/>
        </w:rPr>
      </w:pPr>
      <w:r w:rsidRPr="009C5EFD">
        <w:rPr>
          <w:sz w:val="22"/>
          <w:szCs w:val="22"/>
        </w:rPr>
        <w:t>Se pakningsvedlegg for alternative oppbevaringsbetingelser.</w:t>
      </w:r>
    </w:p>
    <w:p w14:paraId="58F22954" w14:textId="77777777" w:rsidR="00392F46" w:rsidRPr="009C5EFD" w:rsidRDefault="00392F46" w:rsidP="00661964">
      <w:pPr>
        <w:keepNext/>
        <w:suppressAutoHyphens/>
        <w:ind w:left="54"/>
        <w:rPr>
          <w:sz w:val="22"/>
          <w:szCs w:val="22"/>
        </w:rPr>
      </w:pPr>
    </w:p>
    <w:p w14:paraId="5D286DEE" w14:textId="77777777" w:rsidR="00497BAA" w:rsidRPr="009C5EFD" w:rsidRDefault="00E453CD" w:rsidP="00661964">
      <w:pPr>
        <w:keepNext/>
        <w:suppressAutoHyphens/>
        <w:ind w:left="54"/>
        <w:rPr>
          <w:sz w:val="22"/>
          <w:szCs w:val="22"/>
        </w:rPr>
      </w:pPr>
      <w:r w:rsidRPr="009C5EFD">
        <w:rPr>
          <w:sz w:val="22"/>
          <w:szCs w:val="22"/>
        </w:rPr>
        <w:t>Sprøyten oppbevares i ytterkartongen for å beskytte mot lys.</w:t>
      </w:r>
    </w:p>
    <w:p w14:paraId="730E2B4F" w14:textId="77777777" w:rsidR="00497BAA" w:rsidRPr="009C5EFD" w:rsidRDefault="00497BAA" w:rsidP="00497BAA">
      <w:pPr>
        <w:suppressAutoHyphens/>
        <w:ind w:left="54"/>
        <w:rPr>
          <w:sz w:val="22"/>
          <w:szCs w:val="22"/>
        </w:rPr>
      </w:pPr>
    </w:p>
    <w:p w14:paraId="01A06C77"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7906BE5" w14:textId="77777777" w:rsidTr="00392F46">
        <w:tc>
          <w:tcPr>
            <w:tcW w:w="9281" w:type="dxa"/>
          </w:tcPr>
          <w:p w14:paraId="026DC0F7" w14:textId="77777777" w:rsidR="00497BAA" w:rsidRPr="009C5EFD" w:rsidRDefault="00E453CD" w:rsidP="00392F46">
            <w:pPr>
              <w:ind w:left="567" w:hanging="567"/>
              <w:rPr>
                <w:b/>
                <w:sz w:val="22"/>
                <w:szCs w:val="22"/>
              </w:rPr>
            </w:pPr>
            <w:r w:rsidRPr="009C5EFD">
              <w:rPr>
                <w:b/>
                <w:sz w:val="22"/>
                <w:szCs w:val="22"/>
              </w:rPr>
              <w:t>10.</w:t>
            </w:r>
            <w:r w:rsidRPr="009C5EFD">
              <w:rPr>
                <w:b/>
                <w:sz w:val="22"/>
                <w:szCs w:val="22"/>
              </w:rPr>
              <w:tab/>
              <w:t>EVENTUELLE SPESIELLE FORHOLDSREGLER VED DESTRUKSJON AV UBRUKTE LEGEMIDLER ELLER AVFALL</w:t>
            </w:r>
          </w:p>
        </w:tc>
      </w:tr>
    </w:tbl>
    <w:p w14:paraId="0A87FCF5" w14:textId="77777777" w:rsidR="00497BAA" w:rsidRPr="009C5EFD" w:rsidRDefault="00497BAA" w:rsidP="00497BAA">
      <w:pPr>
        <w:suppressAutoHyphens/>
        <w:ind w:left="54"/>
        <w:rPr>
          <w:sz w:val="22"/>
          <w:szCs w:val="22"/>
        </w:rPr>
      </w:pPr>
    </w:p>
    <w:p w14:paraId="1DFFF62F"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0713AE2" w14:textId="77777777" w:rsidTr="00392F46">
        <w:tc>
          <w:tcPr>
            <w:tcW w:w="9281" w:type="dxa"/>
          </w:tcPr>
          <w:p w14:paraId="7F941EDF" w14:textId="77777777" w:rsidR="00497BAA" w:rsidRPr="009C5EFD" w:rsidRDefault="00E453CD" w:rsidP="00392F46">
            <w:pPr>
              <w:ind w:left="567" w:hanging="567"/>
              <w:rPr>
                <w:b/>
                <w:sz w:val="22"/>
                <w:szCs w:val="22"/>
              </w:rPr>
            </w:pPr>
            <w:r w:rsidRPr="009C5EFD">
              <w:rPr>
                <w:b/>
                <w:sz w:val="22"/>
                <w:szCs w:val="22"/>
              </w:rPr>
              <w:t>11.</w:t>
            </w:r>
            <w:r w:rsidRPr="009C5EFD">
              <w:rPr>
                <w:b/>
                <w:sz w:val="22"/>
                <w:szCs w:val="22"/>
              </w:rPr>
              <w:tab/>
              <w:t>NAVN OG ADRESSE PÅ INNEHAVEREN AV MARKEDSFØRINGSTILLATELSEN</w:t>
            </w:r>
          </w:p>
        </w:tc>
      </w:tr>
    </w:tbl>
    <w:p w14:paraId="42ECE344" w14:textId="77777777" w:rsidR="00497BAA" w:rsidRPr="009C5EFD" w:rsidRDefault="00497BAA" w:rsidP="00497BAA">
      <w:pPr>
        <w:suppressAutoHyphens/>
        <w:ind w:left="54"/>
        <w:rPr>
          <w:sz w:val="22"/>
          <w:szCs w:val="22"/>
        </w:rPr>
      </w:pPr>
    </w:p>
    <w:p w14:paraId="14D78897" w14:textId="77777777" w:rsidR="00851837" w:rsidRPr="00EF12DF" w:rsidRDefault="00E453CD" w:rsidP="00851837">
      <w:pPr>
        <w:rPr>
          <w:sz w:val="22"/>
          <w:szCs w:val="22"/>
        </w:rPr>
      </w:pPr>
      <w:r w:rsidRPr="00EF12DF">
        <w:rPr>
          <w:sz w:val="22"/>
          <w:szCs w:val="22"/>
        </w:rPr>
        <w:t>AbbVie Deutschland GmbH &amp; Co. KG</w:t>
      </w:r>
    </w:p>
    <w:p w14:paraId="2B9FB703" w14:textId="77777777" w:rsidR="00851837" w:rsidRPr="00EF12DF" w:rsidRDefault="00E453CD" w:rsidP="00851837">
      <w:pPr>
        <w:rPr>
          <w:sz w:val="22"/>
          <w:szCs w:val="22"/>
        </w:rPr>
      </w:pPr>
      <w:r w:rsidRPr="00EF12DF">
        <w:rPr>
          <w:sz w:val="22"/>
          <w:szCs w:val="22"/>
        </w:rPr>
        <w:t>Knollstrasse</w:t>
      </w:r>
    </w:p>
    <w:p w14:paraId="293CC3BC" w14:textId="77777777" w:rsidR="00851837" w:rsidRPr="00EF12DF" w:rsidRDefault="00E453CD" w:rsidP="00851837">
      <w:pPr>
        <w:rPr>
          <w:sz w:val="22"/>
          <w:szCs w:val="22"/>
        </w:rPr>
      </w:pPr>
      <w:r w:rsidRPr="00EF12DF">
        <w:rPr>
          <w:sz w:val="22"/>
          <w:szCs w:val="22"/>
        </w:rPr>
        <w:t>67061 Ludwigshafen</w:t>
      </w:r>
    </w:p>
    <w:p w14:paraId="1B2DCE61" w14:textId="77777777" w:rsidR="00851837" w:rsidRPr="009C5EFD" w:rsidRDefault="00E453CD" w:rsidP="00851837">
      <w:pPr>
        <w:rPr>
          <w:sz w:val="22"/>
          <w:szCs w:val="22"/>
        </w:rPr>
      </w:pPr>
      <w:r>
        <w:rPr>
          <w:sz w:val="22"/>
          <w:szCs w:val="22"/>
        </w:rPr>
        <w:t>Tyskland</w:t>
      </w:r>
    </w:p>
    <w:p w14:paraId="475312DD" w14:textId="77777777" w:rsidR="00497BAA" w:rsidRPr="003F000C" w:rsidRDefault="00497BAA" w:rsidP="00497BAA">
      <w:pPr>
        <w:suppressAutoHyphens/>
        <w:rPr>
          <w:sz w:val="22"/>
          <w:szCs w:val="22"/>
          <w:lang w:val="sv-SE"/>
        </w:rPr>
      </w:pPr>
    </w:p>
    <w:p w14:paraId="590787E4" w14:textId="77777777" w:rsidR="00497BAA" w:rsidRPr="003F000C" w:rsidRDefault="00497BAA" w:rsidP="00497BAA">
      <w:pPr>
        <w:suppressAutoHyphens/>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8D93195" w14:textId="77777777" w:rsidTr="00506C98">
        <w:tc>
          <w:tcPr>
            <w:tcW w:w="9281" w:type="dxa"/>
          </w:tcPr>
          <w:p w14:paraId="10F52D58" w14:textId="77777777" w:rsidR="00730B89" w:rsidRPr="009C5EFD" w:rsidRDefault="00E453CD" w:rsidP="00506C98">
            <w:pPr>
              <w:ind w:left="567" w:hanging="567"/>
              <w:rPr>
                <w:b/>
                <w:sz w:val="22"/>
                <w:szCs w:val="22"/>
              </w:rPr>
            </w:pPr>
            <w:r w:rsidRPr="009C5EFD">
              <w:rPr>
                <w:b/>
                <w:sz w:val="22"/>
                <w:szCs w:val="22"/>
              </w:rPr>
              <w:t>12.</w:t>
            </w:r>
            <w:r w:rsidRPr="009C5EFD">
              <w:rPr>
                <w:b/>
                <w:sz w:val="22"/>
                <w:szCs w:val="22"/>
              </w:rPr>
              <w:tab/>
              <w:t>MARKEDSFØRINGSTILLATELSESNUMMER (NUMRE)</w:t>
            </w:r>
          </w:p>
        </w:tc>
      </w:tr>
    </w:tbl>
    <w:p w14:paraId="2F4FE5D7" w14:textId="77777777" w:rsidR="00497BAA" w:rsidRPr="009C5EFD" w:rsidRDefault="00497BAA" w:rsidP="00497BAA">
      <w:pPr>
        <w:suppressAutoHyphens/>
        <w:ind w:left="54"/>
        <w:rPr>
          <w:sz w:val="22"/>
          <w:szCs w:val="22"/>
        </w:rPr>
      </w:pPr>
    </w:p>
    <w:p w14:paraId="2731323D" w14:textId="77777777" w:rsidR="00497BAA" w:rsidRPr="009C5EFD" w:rsidRDefault="00E453CD" w:rsidP="00497BAA">
      <w:pPr>
        <w:suppressAutoHyphens/>
        <w:ind w:left="482" w:hanging="425"/>
        <w:rPr>
          <w:sz w:val="22"/>
          <w:szCs w:val="22"/>
        </w:rPr>
      </w:pPr>
      <w:r>
        <w:rPr>
          <w:sz w:val="22"/>
          <w:szCs w:val="22"/>
        </w:rPr>
        <w:t>EU/1/03/256/0</w:t>
      </w:r>
      <w:r w:rsidR="00392F46">
        <w:rPr>
          <w:sz w:val="22"/>
          <w:szCs w:val="22"/>
        </w:rPr>
        <w:t>22</w:t>
      </w:r>
    </w:p>
    <w:p w14:paraId="25610C6D" w14:textId="77777777" w:rsidR="00497BAA" w:rsidRPr="009C5EFD" w:rsidRDefault="00497BAA" w:rsidP="00497BAA">
      <w:pPr>
        <w:ind w:left="54"/>
        <w:rPr>
          <w:sz w:val="22"/>
          <w:szCs w:val="22"/>
        </w:rPr>
      </w:pPr>
    </w:p>
    <w:p w14:paraId="17268944" w14:textId="77777777" w:rsidR="00497BAA" w:rsidRPr="009C5EFD" w:rsidRDefault="00497BAA" w:rsidP="00497BAA">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29FB8FC" w14:textId="77777777" w:rsidTr="00392F46">
        <w:tc>
          <w:tcPr>
            <w:tcW w:w="9281" w:type="dxa"/>
          </w:tcPr>
          <w:p w14:paraId="3C6CBD1C" w14:textId="77777777" w:rsidR="00497BAA" w:rsidRPr="009C5EFD" w:rsidRDefault="00E453CD" w:rsidP="00392F46">
            <w:pPr>
              <w:ind w:left="567" w:hanging="567"/>
              <w:rPr>
                <w:b/>
                <w:sz w:val="22"/>
                <w:szCs w:val="22"/>
              </w:rPr>
            </w:pPr>
            <w:r w:rsidRPr="009C5EFD">
              <w:rPr>
                <w:b/>
                <w:sz w:val="22"/>
                <w:szCs w:val="22"/>
              </w:rPr>
              <w:t>13.</w:t>
            </w:r>
            <w:r w:rsidRPr="009C5EFD">
              <w:rPr>
                <w:b/>
                <w:sz w:val="22"/>
                <w:szCs w:val="22"/>
              </w:rPr>
              <w:tab/>
              <w:t>PRODUKSJONSNUMMER</w:t>
            </w:r>
          </w:p>
        </w:tc>
      </w:tr>
    </w:tbl>
    <w:p w14:paraId="34885EE9" w14:textId="77777777" w:rsidR="00497BAA" w:rsidRPr="009C5EFD" w:rsidRDefault="00497BAA" w:rsidP="00497BAA">
      <w:pPr>
        <w:ind w:left="54"/>
        <w:rPr>
          <w:sz w:val="22"/>
          <w:szCs w:val="22"/>
        </w:rPr>
      </w:pPr>
    </w:p>
    <w:p w14:paraId="6EADCF6F" w14:textId="77777777" w:rsidR="00497BAA" w:rsidRPr="009C5EFD" w:rsidRDefault="00E453CD" w:rsidP="00497BAA">
      <w:pPr>
        <w:ind w:left="57"/>
        <w:rPr>
          <w:sz w:val="22"/>
          <w:szCs w:val="22"/>
        </w:rPr>
      </w:pPr>
      <w:r w:rsidRPr="009C5EFD">
        <w:rPr>
          <w:sz w:val="22"/>
          <w:szCs w:val="22"/>
        </w:rPr>
        <w:t>Lot</w:t>
      </w:r>
    </w:p>
    <w:p w14:paraId="1CFBB768" w14:textId="77777777" w:rsidR="00497BAA" w:rsidRPr="009C5EFD" w:rsidRDefault="00497BAA" w:rsidP="00497BAA">
      <w:pPr>
        <w:ind w:left="54"/>
        <w:rPr>
          <w:sz w:val="22"/>
          <w:szCs w:val="22"/>
        </w:rPr>
      </w:pPr>
    </w:p>
    <w:p w14:paraId="7FB7E1C6" w14:textId="77777777" w:rsidR="00497BAA" w:rsidRPr="009C5EFD" w:rsidRDefault="00497BAA" w:rsidP="00497BAA">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89F579E" w14:textId="77777777" w:rsidTr="00392F46">
        <w:tc>
          <w:tcPr>
            <w:tcW w:w="9281" w:type="dxa"/>
          </w:tcPr>
          <w:p w14:paraId="4C5D76B2" w14:textId="77777777" w:rsidR="00497BAA" w:rsidRPr="009C5EFD" w:rsidRDefault="00E453CD" w:rsidP="00392F46">
            <w:pPr>
              <w:ind w:left="567" w:hanging="567"/>
              <w:rPr>
                <w:b/>
                <w:sz w:val="22"/>
                <w:szCs w:val="22"/>
              </w:rPr>
            </w:pPr>
            <w:r w:rsidRPr="009C5EFD">
              <w:rPr>
                <w:b/>
                <w:sz w:val="22"/>
                <w:szCs w:val="22"/>
              </w:rPr>
              <w:t>14.</w:t>
            </w:r>
            <w:r w:rsidRPr="009C5EFD">
              <w:rPr>
                <w:b/>
                <w:sz w:val="22"/>
                <w:szCs w:val="22"/>
              </w:rPr>
              <w:tab/>
              <w:t>GENERELL KLASSIFIKASJON FOR UTLEVERING</w:t>
            </w:r>
          </w:p>
        </w:tc>
      </w:tr>
    </w:tbl>
    <w:p w14:paraId="53F110C7" w14:textId="77777777" w:rsidR="00497BAA" w:rsidRPr="009C5EFD" w:rsidRDefault="00497BAA" w:rsidP="00497BAA">
      <w:pPr>
        <w:suppressAutoHyphens/>
        <w:ind w:left="774" w:hanging="720"/>
        <w:rPr>
          <w:sz w:val="22"/>
          <w:szCs w:val="22"/>
        </w:rPr>
      </w:pPr>
    </w:p>
    <w:p w14:paraId="621D8DF7" w14:textId="77777777" w:rsidR="00497BAA" w:rsidRPr="009C5EFD" w:rsidRDefault="00497BAA" w:rsidP="00497BAA">
      <w:pPr>
        <w:suppressAutoHyphens/>
        <w:ind w:left="774" w:hanging="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0748F8B" w14:textId="77777777" w:rsidTr="00392F46">
        <w:tc>
          <w:tcPr>
            <w:tcW w:w="9281" w:type="dxa"/>
          </w:tcPr>
          <w:p w14:paraId="22DC173F" w14:textId="77777777" w:rsidR="00497BAA" w:rsidRPr="009C5EFD" w:rsidRDefault="00E453CD" w:rsidP="00392F46">
            <w:pPr>
              <w:ind w:left="567" w:hanging="567"/>
              <w:rPr>
                <w:b/>
                <w:sz w:val="22"/>
                <w:szCs w:val="22"/>
              </w:rPr>
            </w:pPr>
            <w:r w:rsidRPr="009C5EFD">
              <w:rPr>
                <w:b/>
                <w:sz w:val="22"/>
                <w:szCs w:val="22"/>
              </w:rPr>
              <w:t>15.</w:t>
            </w:r>
            <w:r w:rsidRPr="009C5EFD">
              <w:rPr>
                <w:b/>
                <w:sz w:val="22"/>
                <w:szCs w:val="22"/>
              </w:rPr>
              <w:tab/>
              <w:t>BRUKSANVISNING</w:t>
            </w:r>
          </w:p>
        </w:tc>
      </w:tr>
    </w:tbl>
    <w:p w14:paraId="42B3C886" w14:textId="77777777" w:rsidR="00497BAA" w:rsidRPr="00D968A3" w:rsidRDefault="00497BAA" w:rsidP="00497BAA">
      <w:pPr>
        <w:ind w:left="54"/>
        <w:rPr>
          <w:sz w:val="22"/>
          <w:szCs w:val="22"/>
        </w:rPr>
      </w:pPr>
    </w:p>
    <w:p w14:paraId="06208E6E" w14:textId="77777777" w:rsidR="00497BAA" w:rsidRPr="00D968A3" w:rsidRDefault="00497BAA" w:rsidP="00497BAA">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511401C" w14:textId="77777777" w:rsidTr="00392F46">
        <w:tc>
          <w:tcPr>
            <w:tcW w:w="9281" w:type="dxa"/>
          </w:tcPr>
          <w:p w14:paraId="2A04CBF5" w14:textId="77777777" w:rsidR="00497BAA" w:rsidRPr="009C5EFD" w:rsidRDefault="00E453CD" w:rsidP="00392F46">
            <w:pPr>
              <w:ind w:left="567" w:hanging="567"/>
              <w:rPr>
                <w:b/>
                <w:sz w:val="22"/>
                <w:szCs w:val="22"/>
              </w:rPr>
            </w:pPr>
            <w:r w:rsidRPr="009C5EFD">
              <w:rPr>
                <w:b/>
                <w:sz w:val="22"/>
                <w:szCs w:val="22"/>
              </w:rPr>
              <w:t>16.</w:t>
            </w:r>
            <w:r w:rsidRPr="009C5EFD">
              <w:rPr>
                <w:b/>
                <w:sz w:val="22"/>
                <w:szCs w:val="22"/>
              </w:rPr>
              <w:tab/>
              <w:t>INFORMASJON PÅ BLINDESKRIFT</w:t>
            </w:r>
          </w:p>
        </w:tc>
      </w:tr>
    </w:tbl>
    <w:p w14:paraId="51D53E4C" w14:textId="77777777" w:rsidR="00497BAA" w:rsidRPr="00D968A3" w:rsidRDefault="00497BAA" w:rsidP="00497BAA">
      <w:pPr>
        <w:ind w:left="54"/>
        <w:rPr>
          <w:sz w:val="22"/>
          <w:szCs w:val="22"/>
        </w:rPr>
      </w:pPr>
    </w:p>
    <w:p w14:paraId="7CC3D86D" w14:textId="77777777" w:rsidR="00497BAA" w:rsidRDefault="00E453CD" w:rsidP="00497BAA">
      <w:pPr>
        <w:ind w:left="54"/>
        <w:rPr>
          <w:sz w:val="22"/>
          <w:szCs w:val="22"/>
        </w:rPr>
      </w:pPr>
      <w:r>
        <w:rPr>
          <w:sz w:val="22"/>
          <w:szCs w:val="22"/>
        </w:rPr>
        <w:t xml:space="preserve">Humira </w:t>
      </w:r>
      <w:r w:rsidR="008A5E00">
        <w:rPr>
          <w:sz w:val="22"/>
          <w:szCs w:val="22"/>
        </w:rPr>
        <w:t>2</w:t>
      </w:r>
      <w:r w:rsidRPr="009C5EFD">
        <w:rPr>
          <w:sz w:val="22"/>
          <w:szCs w:val="22"/>
        </w:rPr>
        <w:t>0 mg</w:t>
      </w:r>
    </w:p>
    <w:p w14:paraId="0052C03E" w14:textId="77777777" w:rsidR="00497BAA" w:rsidRDefault="00497BAA" w:rsidP="00497BAA">
      <w:pPr>
        <w:ind w:left="54"/>
        <w:rPr>
          <w:sz w:val="22"/>
          <w:szCs w:val="22"/>
        </w:rPr>
      </w:pPr>
    </w:p>
    <w:p w14:paraId="01A5BAB5" w14:textId="77777777" w:rsidR="00497BAA" w:rsidRPr="00D35625" w:rsidRDefault="00497BAA" w:rsidP="00497BAA">
      <w:pPr>
        <w:tabs>
          <w:tab w:val="left" w:pos="562"/>
        </w:tabs>
        <w:suppressAutoHyphens/>
        <w:ind w:left="540" w:hanging="540"/>
        <w:rPr>
          <w:sz w:val="22"/>
        </w:rPr>
      </w:pPr>
    </w:p>
    <w:p w14:paraId="4DF85D5D" w14:textId="77777777" w:rsidR="00497BAA" w:rsidRPr="00126088" w:rsidRDefault="00E453CD" w:rsidP="00497BAA">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F05EB5">
        <w:rPr>
          <w:b/>
          <w:bCs/>
          <w:caps/>
          <w:sz w:val="22"/>
          <w:szCs w:val="20"/>
        </w:rPr>
        <w:t xml:space="preserve">17. </w:t>
      </w:r>
      <w:r w:rsidRPr="00F05EB5">
        <w:rPr>
          <w:b/>
          <w:bCs/>
          <w:caps/>
          <w:sz w:val="22"/>
          <w:szCs w:val="20"/>
        </w:rPr>
        <w:tab/>
      </w:r>
      <w:r w:rsidRPr="00126088">
        <w:rPr>
          <w:b/>
          <w:bCs/>
          <w:caps/>
          <w:sz w:val="22"/>
          <w:szCs w:val="20"/>
        </w:rPr>
        <w:t>SIKKERHETSANORDNING (UNIK IDENTITET) – TODIMENSJONAL STREKKODE</w:t>
      </w:r>
    </w:p>
    <w:p w14:paraId="4C22960F" w14:textId="77777777" w:rsidR="00497BAA" w:rsidRPr="00126088" w:rsidRDefault="00497BAA" w:rsidP="00497BAA">
      <w:pPr>
        <w:tabs>
          <w:tab w:val="left" w:pos="562"/>
        </w:tabs>
        <w:suppressAutoHyphens/>
        <w:rPr>
          <w:sz w:val="22"/>
        </w:rPr>
      </w:pPr>
    </w:p>
    <w:p w14:paraId="65E3915E" w14:textId="77777777" w:rsidR="00497BAA" w:rsidRPr="00F05EB5" w:rsidRDefault="00E453CD" w:rsidP="00497BAA">
      <w:pPr>
        <w:tabs>
          <w:tab w:val="left" w:pos="562"/>
        </w:tabs>
        <w:suppressAutoHyphens/>
        <w:rPr>
          <w:sz w:val="22"/>
          <w:shd w:val="clear" w:color="auto" w:fill="BFBFBF"/>
        </w:rPr>
      </w:pPr>
      <w:r w:rsidRPr="00F05EB5">
        <w:rPr>
          <w:sz w:val="22"/>
          <w:shd w:val="clear" w:color="auto" w:fill="BFBFBF"/>
        </w:rPr>
        <w:t>Todimensjonal strekkode, inkludert unik identitet</w:t>
      </w:r>
      <w:r>
        <w:rPr>
          <w:sz w:val="22"/>
          <w:shd w:val="clear" w:color="auto" w:fill="BFBFBF"/>
        </w:rPr>
        <w:t>.</w:t>
      </w:r>
    </w:p>
    <w:p w14:paraId="664CADC5" w14:textId="77777777" w:rsidR="00497BAA" w:rsidRDefault="00497BAA" w:rsidP="00497BAA">
      <w:pPr>
        <w:tabs>
          <w:tab w:val="left" w:pos="562"/>
        </w:tabs>
        <w:suppressAutoHyphens/>
        <w:rPr>
          <w:sz w:val="22"/>
          <w:shd w:val="clear" w:color="auto" w:fill="BFBFBF"/>
        </w:rPr>
      </w:pPr>
    </w:p>
    <w:p w14:paraId="26B34A9D" w14:textId="77777777" w:rsidR="00497BAA" w:rsidRPr="00F05EB5" w:rsidRDefault="00497BAA" w:rsidP="00497BAA">
      <w:pPr>
        <w:tabs>
          <w:tab w:val="left" w:pos="562"/>
        </w:tabs>
        <w:suppressAutoHyphens/>
        <w:rPr>
          <w:sz w:val="22"/>
          <w:shd w:val="clear" w:color="auto" w:fill="BFBFBF"/>
        </w:rPr>
      </w:pPr>
    </w:p>
    <w:p w14:paraId="47424007" w14:textId="77777777" w:rsidR="00497BAA" w:rsidRPr="00126088" w:rsidRDefault="00E453CD" w:rsidP="00497BAA">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F05EB5">
        <w:rPr>
          <w:b/>
          <w:bCs/>
          <w:caps/>
          <w:sz w:val="22"/>
          <w:szCs w:val="20"/>
        </w:rPr>
        <w:t xml:space="preserve">18. </w:t>
      </w:r>
      <w:r w:rsidRPr="00F05EB5">
        <w:rPr>
          <w:b/>
          <w:bCs/>
          <w:caps/>
          <w:sz w:val="22"/>
          <w:szCs w:val="20"/>
        </w:rPr>
        <w:tab/>
      </w:r>
      <w:r w:rsidRPr="00126088">
        <w:rPr>
          <w:b/>
          <w:bCs/>
          <w:caps/>
          <w:sz w:val="22"/>
          <w:szCs w:val="20"/>
        </w:rPr>
        <w:t>SIKKERHETSANORDNING (UNIK IDENTITET) – I ET FORMAT LESBART FOR MENNESKER</w:t>
      </w:r>
    </w:p>
    <w:p w14:paraId="539F21F6" w14:textId="77777777" w:rsidR="00497BAA" w:rsidRPr="00126088" w:rsidRDefault="00497BAA" w:rsidP="00497BAA">
      <w:pPr>
        <w:keepNext/>
        <w:tabs>
          <w:tab w:val="left" w:pos="562"/>
        </w:tabs>
        <w:suppressAutoHyphens/>
        <w:ind w:left="540" w:hanging="540"/>
        <w:rPr>
          <w:sz w:val="22"/>
        </w:rPr>
      </w:pPr>
    </w:p>
    <w:p w14:paraId="1AE6B6E8" w14:textId="77777777" w:rsidR="00497BAA" w:rsidRPr="001E2ACA" w:rsidRDefault="00E453CD" w:rsidP="00497BAA">
      <w:pPr>
        <w:keepNext/>
        <w:tabs>
          <w:tab w:val="left" w:pos="562"/>
        </w:tabs>
        <w:suppressAutoHyphens/>
        <w:ind w:left="540" w:hanging="540"/>
        <w:rPr>
          <w:sz w:val="22"/>
          <w:lang w:val="en-GB"/>
        </w:rPr>
      </w:pPr>
      <w:r>
        <w:rPr>
          <w:sz w:val="22"/>
          <w:lang w:val="en-GB"/>
        </w:rPr>
        <w:t>PC</w:t>
      </w:r>
    </w:p>
    <w:p w14:paraId="2003A246" w14:textId="77777777" w:rsidR="00497BAA" w:rsidRPr="001E2ACA" w:rsidRDefault="00E453CD" w:rsidP="00497BAA">
      <w:pPr>
        <w:keepNext/>
        <w:tabs>
          <w:tab w:val="left" w:pos="562"/>
        </w:tabs>
        <w:suppressAutoHyphens/>
        <w:ind w:left="540" w:hanging="540"/>
        <w:rPr>
          <w:sz w:val="22"/>
          <w:lang w:val="en-GB"/>
        </w:rPr>
      </w:pPr>
      <w:r>
        <w:rPr>
          <w:sz w:val="22"/>
          <w:lang w:val="en-GB"/>
        </w:rPr>
        <w:t>SN</w:t>
      </w:r>
    </w:p>
    <w:p w14:paraId="46750F8D" w14:textId="77777777" w:rsidR="00497BAA" w:rsidRPr="009C5EFD" w:rsidRDefault="00E453CD" w:rsidP="00497BAA">
      <w:pPr>
        <w:rPr>
          <w:sz w:val="22"/>
          <w:szCs w:val="22"/>
        </w:rPr>
      </w:pPr>
      <w:r w:rsidRPr="006936CB">
        <w:rPr>
          <w:sz w:val="22"/>
          <w:highlight w:val="lightGray"/>
          <w:lang w:val="en-GB"/>
        </w:rPr>
        <w:t>NN</w:t>
      </w:r>
      <w:r w:rsidRPr="009C5EFD">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939B721" w14:textId="77777777" w:rsidTr="00392F46">
        <w:tc>
          <w:tcPr>
            <w:tcW w:w="9281" w:type="dxa"/>
          </w:tcPr>
          <w:p w14:paraId="13E26FF0" w14:textId="77777777" w:rsidR="00497BAA" w:rsidRPr="009C5EFD" w:rsidRDefault="00E453CD" w:rsidP="00392F46">
            <w:pPr>
              <w:rPr>
                <w:b/>
                <w:sz w:val="22"/>
                <w:szCs w:val="22"/>
              </w:rPr>
            </w:pPr>
            <w:r w:rsidRPr="009C5EFD">
              <w:rPr>
                <w:b/>
                <w:sz w:val="22"/>
                <w:szCs w:val="22"/>
              </w:rPr>
              <w:lastRenderedPageBreak/>
              <w:t xml:space="preserve">MINSTEKRAV TIL OPPLYSNINGER SOM SKAL ANGIS PÅ </w:t>
            </w:r>
            <w:r w:rsidR="000629D5">
              <w:rPr>
                <w:b/>
                <w:sz w:val="22"/>
                <w:szCs w:val="22"/>
              </w:rPr>
              <w:t>BLISTER ELLER STRIP</w:t>
            </w:r>
          </w:p>
          <w:p w14:paraId="70ED0A40" w14:textId="77777777" w:rsidR="00497BAA" w:rsidRPr="009C5EFD" w:rsidRDefault="00497BAA" w:rsidP="00392F46">
            <w:pPr>
              <w:rPr>
                <w:b/>
                <w:sz w:val="22"/>
                <w:szCs w:val="22"/>
              </w:rPr>
            </w:pPr>
          </w:p>
          <w:p w14:paraId="50AF1EB4" w14:textId="77777777" w:rsidR="00497BAA" w:rsidRPr="009C5EFD" w:rsidRDefault="00E453CD" w:rsidP="0009620B">
            <w:pPr>
              <w:rPr>
                <w:b/>
                <w:sz w:val="22"/>
                <w:szCs w:val="22"/>
              </w:rPr>
            </w:pPr>
            <w:r w:rsidRPr="009C5EFD">
              <w:rPr>
                <w:b/>
                <w:sz w:val="22"/>
                <w:szCs w:val="22"/>
              </w:rPr>
              <w:t>T</w:t>
            </w:r>
            <w:r w:rsidR="0009620B">
              <w:rPr>
                <w:b/>
                <w:sz w:val="22"/>
                <w:szCs w:val="22"/>
              </w:rPr>
              <w:t>EKST PÅ BRETT</w:t>
            </w:r>
          </w:p>
        </w:tc>
      </w:tr>
    </w:tbl>
    <w:p w14:paraId="663361B9" w14:textId="77777777" w:rsidR="00497BAA" w:rsidRPr="009C5EFD" w:rsidRDefault="00497BAA" w:rsidP="00497BAA">
      <w:pPr>
        <w:ind w:left="54"/>
        <w:rPr>
          <w:sz w:val="22"/>
          <w:szCs w:val="22"/>
        </w:rPr>
      </w:pPr>
    </w:p>
    <w:p w14:paraId="5C38F642" w14:textId="77777777" w:rsidR="00497BAA" w:rsidRPr="009C5EFD" w:rsidRDefault="00497BAA" w:rsidP="00497BAA">
      <w:pPr>
        <w:ind w:left="621"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543B688" w14:textId="77777777" w:rsidTr="00392F46">
        <w:tc>
          <w:tcPr>
            <w:tcW w:w="9281" w:type="dxa"/>
          </w:tcPr>
          <w:p w14:paraId="104C2C14" w14:textId="77777777" w:rsidR="00497BAA" w:rsidRPr="009C5EFD" w:rsidRDefault="00E453CD" w:rsidP="00392F46">
            <w:pPr>
              <w:ind w:left="567" w:hanging="567"/>
              <w:rPr>
                <w:b/>
                <w:sz w:val="22"/>
                <w:szCs w:val="22"/>
              </w:rPr>
            </w:pPr>
            <w:r w:rsidRPr="009C5EFD">
              <w:rPr>
                <w:b/>
                <w:sz w:val="22"/>
                <w:szCs w:val="22"/>
              </w:rPr>
              <w:t>1.</w:t>
            </w:r>
            <w:r w:rsidRPr="009C5EFD">
              <w:rPr>
                <w:b/>
                <w:sz w:val="22"/>
                <w:szCs w:val="22"/>
              </w:rPr>
              <w:tab/>
              <w:t>LEGEMIDLETS NAVN</w:t>
            </w:r>
          </w:p>
        </w:tc>
      </w:tr>
    </w:tbl>
    <w:p w14:paraId="21BE733F" w14:textId="77777777" w:rsidR="00497BAA" w:rsidRPr="009C5EFD" w:rsidRDefault="00497BAA" w:rsidP="00497BAA">
      <w:pPr>
        <w:suppressAutoHyphens/>
        <w:ind w:left="54"/>
        <w:rPr>
          <w:sz w:val="22"/>
          <w:szCs w:val="22"/>
        </w:rPr>
      </w:pPr>
    </w:p>
    <w:p w14:paraId="22580AAF" w14:textId="77777777" w:rsidR="00497BAA" w:rsidRPr="009C5EFD" w:rsidRDefault="00E453CD" w:rsidP="00497BAA">
      <w:pPr>
        <w:suppressAutoHyphens/>
        <w:ind w:left="54"/>
        <w:rPr>
          <w:sz w:val="22"/>
          <w:szCs w:val="22"/>
        </w:rPr>
      </w:pPr>
      <w:r w:rsidRPr="009C5EFD">
        <w:rPr>
          <w:sz w:val="22"/>
          <w:szCs w:val="22"/>
        </w:rPr>
        <w:t xml:space="preserve">Humira </w:t>
      </w:r>
      <w:r w:rsidR="008A5E00">
        <w:rPr>
          <w:sz w:val="22"/>
          <w:szCs w:val="22"/>
        </w:rPr>
        <w:t>2</w:t>
      </w:r>
      <w:r w:rsidRPr="009C5EFD">
        <w:rPr>
          <w:sz w:val="22"/>
          <w:szCs w:val="22"/>
        </w:rPr>
        <w:t>0 mg injeksjonsvæske, oppløsning i ferdigfylt sprøyte</w:t>
      </w:r>
    </w:p>
    <w:p w14:paraId="269EAA67" w14:textId="77777777" w:rsidR="00497BAA" w:rsidRPr="009C5EFD" w:rsidRDefault="00E453CD" w:rsidP="00497BAA">
      <w:pPr>
        <w:suppressAutoHyphens/>
        <w:ind w:left="54"/>
        <w:rPr>
          <w:sz w:val="22"/>
          <w:szCs w:val="22"/>
        </w:rPr>
      </w:pPr>
      <w:r w:rsidRPr="009C5EFD">
        <w:rPr>
          <w:sz w:val="22"/>
          <w:szCs w:val="22"/>
        </w:rPr>
        <w:t>adalimumab</w:t>
      </w:r>
    </w:p>
    <w:p w14:paraId="2FFBE831" w14:textId="77777777" w:rsidR="00497BAA" w:rsidRPr="009C5EFD" w:rsidRDefault="00497BAA" w:rsidP="00497BAA">
      <w:pPr>
        <w:suppressAutoHyphens/>
        <w:ind w:left="54"/>
        <w:rPr>
          <w:sz w:val="22"/>
          <w:szCs w:val="22"/>
        </w:rPr>
      </w:pPr>
    </w:p>
    <w:p w14:paraId="6E07712C"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6C86513" w14:textId="77777777" w:rsidTr="00392F46">
        <w:tc>
          <w:tcPr>
            <w:tcW w:w="9281" w:type="dxa"/>
          </w:tcPr>
          <w:p w14:paraId="2E8D88DD" w14:textId="77777777" w:rsidR="00497BAA" w:rsidRPr="009C5EFD" w:rsidRDefault="00E453CD" w:rsidP="00392F46">
            <w:pPr>
              <w:ind w:left="567" w:hanging="567"/>
              <w:rPr>
                <w:b/>
                <w:sz w:val="22"/>
                <w:szCs w:val="22"/>
              </w:rPr>
            </w:pPr>
            <w:r w:rsidRPr="009C5EFD">
              <w:rPr>
                <w:b/>
                <w:sz w:val="22"/>
                <w:szCs w:val="22"/>
              </w:rPr>
              <w:t>2.</w:t>
            </w:r>
            <w:r w:rsidRPr="009C5EFD">
              <w:rPr>
                <w:b/>
                <w:sz w:val="22"/>
                <w:szCs w:val="22"/>
              </w:rPr>
              <w:tab/>
              <w:t>NAVN PÅ INNEHAVEREN AV MARKEDSFØRINGSTILLATELSEN</w:t>
            </w:r>
          </w:p>
        </w:tc>
      </w:tr>
    </w:tbl>
    <w:p w14:paraId="50DA34C3" w14:textId="77777777" w:rsidR="00497BAA" w:rsidRPr="009C5EFD" w:rsidRDefault="00497BAA" w:rsidP="00497BAA">
      <w:pPr>
        <w:suppressAutoHyphens/>
        <w:ind w:left="54"/>
        <w:rPr>
          <w:sz w:val="22"/>
          <w:szCs w:val="22"/>
        </w:rPr>
      </w:pPr>
    </w:p>
    <w:p w14:paraId="5E26F2C8" w14:textId="77777777" w:rsidR="00497BAA" w:rsidRPr="009C5EFD" w:rsidRDefault="00E453CD" w:rsidP="00497BAA">
      <w:pPr>
        <w:suppressAutoHyphens/>
        <w:ind w:left="54"/>
        <w:rPr>
          <w:sz w:val="22"/>
          <w:szCs w:val="22"/>
        </w:rPr>
      </w:pPr>
      <w:r w:rsidRPr="009C5EFD">
        <w:rPr>
          <w:sz w:val="22"/>
          <w:szCs w:val="22"/>
        </w:rPr>
        <w:t xml:space="preserve">AbbVie </w:t>
      </w:r>
      <w:r w:rsidR="00851837" w:rsidRPr="00637363">
        <w:rPr>
          <w:sz w:val="22"/>
          <w:szCs w:val="22"/>
          <w:highlight w:val="lightGray"/>
        </w:rPr>
        <w:t>(som logo)</w:t>
      </w:r>
    </w:p>
    <w:p w14:paraId="173CC99C" w14:textId="77777777" w:rsidR="00497BAA" w:rsidRPr="009C5EFD" w:rsidRDefault="00497BAA" w:rsidP="00497BAA">
      <w:pPr>
        <w:suppressAutoHyphens/>
        <w:ind w:left="54"/>
        <w:rPr>
          <w:sz w:val="22"/>
          <w:szCs w:val="22"/>
        </w:rPr>
      </w:pPr>
    </w:p>
    <w:p w14:paraId="120F2F2E" w14:textId="77777777" w:rsidR="00497BAA" w:rsidRPr="009C5EFD" w:rsidRDefault="00497BAA" w:rsidP="00497BAA">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F77F590" w14:textId="77777777" w:rsidTr="00392F46">
        <w:tc>
          <w:tcPr>
            <w:tcW w:w="9281" w:type="dxa"/>
          </w:tcPr>
          <w:p w14:paraId="6B91B274" w14:textId="77777777" w:rsidR="00497BAA" w:rsidRPr="009C5EFD" w:rsidRDefault="00E453CD" w:rsidP="00392F46">
            <w:pPr>
              <w:ind w:left="567" w:hanging="567"/>
              <w:rPr>
                <w:b/>
                <w:sz w:val="22"/>
                <w:szCs w:val="22"/>
              </w:rPr>
            </w:pPr>
            <w:r w:rsidRPr="009C5EFD">
              <w:rPr>
                <w:b/>
                <w:sz w:val="22"/>
                <w:szCs w:val="22"/>
              </w:rPr>
              <w:t>3.</w:t>
            </w:r>
            <w:r w:rsidRPr="009C5EFD">
              <w:rPr>
                <w:b/>
                <w:sz w:val="22"/>
                <w:szCs w:val="22"/>
              </w:rPr>
              <w:tab/>
              <w:t>UTLØPSDATO</w:t>
            </w:r>
          </w:p>
        </w:tc>
      </w:tr>
    </w:tbl>
    <w:p w14:paraId="48148508" w14:textId="77777777" w:rsidR="00497BAA" w:rsidRPr="009C5EFD" w:rsidRDefault="00497BAA" w:rsidP="00497BAA">
      <w:pPr>
        <w:suppressAutoHyphens/>
        <w:ind w:left="54"/>
        <w:jc w:val="both"/>
        <w:rPr>
          <w:sz w:val="22"/>
          <w:szCs w:val="22"/>
        </w:rPr>
      </w:pPr>
    </w:p>
    <w:p w14:paraId="56405713" w14:textId="77777777" w:rsidR="00497BAA" w:rsidRPr="009C5EFD" w:rsidRDefault="00E453CD" w:rsidP="00497BAA">
      <w:pPr>
        <w:suppressAutoHyphens/>
        <w:ind w:left="54"/>
        <w:jc w:val="both"/>
        <w:rPr>
          <w:sz w:val="22"/>
          <w:szCs w:val="22"/>
        </w:rPr>
      </w:pPr>
      <w:r>
        <w:rPr>
          <w:sz w:val="22"/>
          <w:szCs w:val="22"/>
        </w:rPr>
        <w:t>EXP</w:t>
      </w:r>
    </w:p>
    <w:p w14:paraId="7D596591" w14:textId="77777777" w:rsidR="00497BAA" w:rsidRPr="009C5EFD" w:rsidRDefault="00497BAA" w:rsidP="00497BAA">
      <w:pPr>
        <w:suppressAutoHyphens/>
        <w:ind w:left="54"/>
        <w:jc w:val="both"/>
        <w:rPr>
          <w:sz w:val="22"/>
          <w:szCs w:val="22"/>
        </w:rPr>
      </w:pPr>
    </w:p>
    <w:p w14:paraId="699A5A91" w14:textId="77777777" w:rsidR="00497BAA" w:rsidRPr="009C5EFD" w:rsidRDefault="00497BAA" w:rsidP="00497BAA">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20DD0CB" w14:textId="77777777" w:rsidTr="00392F46">
        <w:tc>
          <w:tcPr>
            <w:tcW w:w="9281" w:type="dxa"/>
          </w:tcPr>
          <w:p w14:paraId="61916648" w14:textId="77777777" w:rsidR="00497BAA" w:rsidRPr="009C5EFD" w:rsidRDefault="00E453CD" w:rsidP="00392F46">
            <w:pPr>
              <w:ind w:left="567" w:hanging="567"/>
              <w:rPr>
                <w:b/>
                <w:sz w:val="22"/>
                <w:szCs w:val="22"/>
              </w:rPr>
            </w:pPr>
            <w:r w:rsidRPr="009C5EFD">
              <w:rPr>
                <w:b/>
                <w:sz w:val="22"/>
                <w:szCs w:val="22"/>
              </w:rPr>
              <w:t>4.</w:t>
            </w:r>
            <w:r w:rsidRPr="009C5EFD">
              <w:rPr>
                <w:b/>
                <w:sz w:val="22"/>
                <w:szCs w:val="22"/>
              </w:rPr>
              <w:tab/>
              <w:t>PRODUKSJONSNUMMER</w:t>
            </w:r>
          </w:p>
        </w:tc>
      </w:tr>
    </w:tbl>
    <w:p w14:paraId="070FC029" w14:textId="77777777" w:rsidR="00497BAA" w:rsidRPr="009C5EFD" w:rsidRDefault="00497BAA" w:rsidP="00497BAA">
      <w:pPr>
        <w:suppressAutoHyphens/>
        <w:ind w:left="54"/>
        <w:jc w:val="both"/>
        <w:rPr>
          <w:sz w:val="22"/>
          <w:szCs w:val="22"/>
        </w:rPr>
      </w:pPr>
    </w:p>
    <w:p w14:paraId="024B9228" w14:textId="77777777" w:rsidR="00497BAA" w:rsidRPr="009C5EFD" w:rsidRDefault="00E453CD" w:rsidP="00497BAA">
      <w:pPr>
        <w:suppressAutoHyphens/>
        <w:ind w:left="54"/>
        <w:jc w:val="both"/>
        <w:rPr>
          <w:sz w:val="22"/>
          <w:szCs w:val="22"/>
        </w:rPr>
      </w:pPr>
      <w:r w:rsidRPr="009C5EFD">
        <w:rPr>
          <w:sz w:val="22"/>
          <w:szCs w:val="22"/>
        </w:rPr>
        <w:t>Lot</w:t>
      </w:r>
    </w:p>
    <w:p w14:paraId="2832B0EB" w14:textId="77777777" w:rsidR="00497BAA" w:rsidRPr="009C5EFD" w:rsidRDefault="00497BAA" w:rsidP="00497BAA">
      <w:pPr>
        <w:suppressAutoHyphens/>
        <w:ind w:left="54"/>
        <w:jc w:val="both"/>
        <w:rPr>
          <w:sz w:val="22"/>
          <w:szCs w:val="22"/>
        </w:rPr>
      </w:pPr>
    </w:p>
    <w:p w14:paraId="3BB9FD8B" w14:textId="77777777" w:rsidR="00497BAA" w:rsidRPr="009C5EFD" w:rsidRDefault="00497BAA" w:rsidP="00497BAA">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B0691ED" w14:textId="77777777" w:rsidTr="00392F46">
        <w:tc>
          <w:tcPr>
            <w:tcW w:w="9281" w:type="dxa"/>
          </w:tcPr>
          <w:p w14:paraId="694083A0" w14:textId="77777777" w:rsidR="00497BAA" w:rsidRPr="009C5EFD" w:rsidRDefault="00E453CD" w:rsidP="00392F46">
            <w:pPr>
              <w:ind w:left="567" w:hanging="567"/>
              <w:rPr>
                <w:b/>
                <w:sz w:val="22"/>
                <w:szCs w:val="22"/>
              </w:rPr>
            </w:pPr>
            <w:r w:rsidRPr="009C5EFD">
              <w:rPr>
                <w:b/>
                <w:sz w:val="22"/>
                <w:szCs w:val="22"/>
              </w:rPr>
              <w:t>5.</w:t>
            </w:r>
            <w:r w:rsidRPr="009C5EFD">
              <w:rPr>
                <w:b/>
                <w:sz w:val="22"/>
                <w:szCs w:val="22"/>
              </w:rPr>
              <w:tab/>
              <w:t>ANNET</w:t>
            </w:r>
          </w:p>
        </w:tc>
      </w:tr>
    </w:tbl>
    <w:p w14:paraId="76191426" w14:textId="77777777" w:rsidR="00497BAA" w:rsidRPr="009C5EFD" w:rsidRDefault="00497BAA" w:rsidP="00497BAA">
      <w:pPr>
        <w:ind w:left="54"/>
        <w:rPr>
          <w:sz w:val="22"/>
          <w:szCs w:val="22"/>
        </w:rPr>
      </w:pPr>
    </w:p>
    <w:p w14:paraId="3B26FB1A" w14:textId="77777777" w:rsidR="00497BAA" w:rsidRDefault="00E453CD" w:rsidP="00497BAA">
      <w:pPr>
        <w:rPr>
          <w:sz w:val="22"/>
          <w:szCs w:val="22"/>
        </w:rPr>
      </w:pPr>
      <w:r w:rsidRPr="009C5EFD">
        <w:rPr>
          <w:sz w:val="22"/>
          <w:szCs w:val="22"/>
        </w:rPr>
        <w:t>Se pakningsvedlegg for informasjon om oppbevaring.</w:t>
      </w:r>
    </w:p>
    <w:p w14:paraId="617BF3AD" w14:textId="77777777" w:rsidR="00392F46" w:rsidRPr="009C5EFD" w:rsidRDefault="00392F46" w:rsidP="00497BAA">
      <w:pPr>
        <w:rPr>
          <w:sz w:val="22"/>
          <w:szCs w:val="22"/>
        </w:rPr>
      </w:pPr>
    </w:p>
    <w:p w14:paraId="6B402EE1" w14:textId="77777777" w:rsidR="00497BAA" w:rsidRPr="009C5EFD" w:rsidRDefault="00E453CD" w:rsidP="00497BAA">
      <w:pPr>
        <w:suppressAutoHyphens/>
        <w:rPr>
          <w:sz w:val="22"/>
          <w:szCs w:val="22"/>
        </w:rPr>
      </w:pPr>
      <w:r w:rsidRPr="009C5EFD">
        <w:rPr>
          <w:sz w:val="22"/>
          <w:szCs w:val="22"/>
        </w:rPr>
        <w:t>Kun til engangsbruk.</w:t>
      </w:r>
    </w:p>
    <w:p w14:paraId="18535152" w14:textId="77777777" w:rsidR="00392F46" w:rsidRDefault="00392F46" w:rsidP="00497BAA">
      <w:pPr>
        <w:rPr>
          <w:sz w:val="22"/>
          <w:szCs w:val="22"/>
        </w:rPr>
      </w:pPr>
    </w:p>
    <w:p w14:paraId="4F6379B3" w14:textId="77777777" w:rsidR="00737B63" w:rsidRDefault="00E453CD" w:rsidP="00497BAA">
      <w:pPr>
        <w:rPr>
          <w:sz w:val="22"/>
          <w:szCs w:val="22"/>
        </w:rPr>
      </w:pPr>
      <w:r>
        <w:rPr>
          <w:sz w:val="22"/>
          <w:szCs w:val="22"/>
        </w:rPr>
        <w:t>T</w:t>
      </w:r>
      <w:r w:rsidRPr="009C5EFD">
        <w:rPr>
          <w:sz w:val="22"/>
          <w:szCs w:val="22"/>
        </w:rPr>
        <w:t>il bruk hos barn</w:t>
      </w:r>
    </w:p>
    <w:p w14:paraId="3640A9BC" w14:textId="77777777" w:rsidR="00737B63" w:rsidRDefault="00737B63" w:rsidP="00497BAA">
      <w:pPr>
        <w:rPr>
          <w:sz w:val="22"/>
          <w:szCs w:val="22"/>
        </w:rPr>
      </w:pPr>
    </w:p>
    <w:p w14:paraId="69BC65BD" w14:textId="77777777" w:rsidR="00737B63" w:rsidRPr="00622441" w:rsidRDefault="00737B63" w:rsidP="00737B63">
      <w:pPr>
        <w:rPr>
          <w:sz w:val="22"/>
          <w:szCs w:val="22"/>
        </w:rPr>
      </w:pPr>
    </w:p>
    <w:p w14:paraId="7B97F8B2" w14:textId="77777777" w:rsidR="00DA7968" w:rsidRPr="00622441" w:rsidRDefault="00DA7968" w:rsidP="00737B63">
      <w:pPr>
        <w:rPr>
          <w:sz w:val="22"/>
          <w:szCs w:val="22"/>
        </w:rPr>
      </w:pPr>
    </w:p>
    <w:p w14:paraId="102CBA3B" w14:textId="77777777" w:rsidR="00497BAA" w:rsidRDefault="00E453CD" w:rsidP="00497BAA">
      <w:pPr>
        <w:rPr>
          <w:sz w:val="22"/>
          <w:szCs w:val="22"/>
        </w:rPr>
      </w:pPr>
      <w:r>
        <w:rPr>
          <w:sz w:val="22"/>
          <w:szCs w:val="22"/>
        </w:rPr>
        <w:t xml:space="preserve"> </w:t>
      </w: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8EB33C0" w14:textId="77777777" w:rsidTr="00392F46">
        <w:trPr>
          <w:trHeight w:val="1070"/>
        </w:trPr>
        <w:tc>
          <w:tcPr>
            <w:tcW w:w="9281" w:type="dxa"/>
            <w:tcBorders>
              <w:bottom w:val="single" w:sz="4" w:space="0" w:color="auto"/>
            </w:tcBorders>
          </w:tcPr>
          <w:p w14:paraId="1EF11CC3" w14:textId="77777777" w:rsidR="00497BAA" w:rsidRPr="009C5EFD" w:rsidRDefault="00E453CD" w:rsidP="00392F46">
            <w:pPr>
              <w:suppressAutoHyphens/>
              <w:rPr>
                <w:b/>
                <w:sz w:val="22"/>
                <w:szCs w:val="22"/>
              </w:rPr>
            </w:pPr>
            <w:r w:rsidRPr="009C5EFD">
              <w:rPr>
                <w:b/>
                <w:sz w:val="22"/>
                <w:szCs w:val="22"/>
              </w:rPr>
              <w:lastRenderedPageBreak/>
              <w:t>MINSTEKRAV TIL OPPLYSNINGER SOM SKAL ANGIS PÅ SMÅ INDRE EMBALLASJER</w:t>
            </w:r>
          </w:p>
          <w:p w14:paraId="22E92894" w14:textId="77777777" w:rsidR="00497BAA" w:rsidRPr="009C5EFD" w:rsidRDefault="00497BAA" w:rsidP="00392F46">
            <w:pPr>
              <w:suppressAutoHyphens/>
              <w:rPr>
                <w:b/>
                <w:sz w:val="22"/>
                <w:szCs w:val="22"/>
              </w:rPr>
            </w:pPr>
          </w:p>
          <w:p w14:paraId="65C67108" w14:textId="77777777" w:rsidR="00497BAA" w:rsidRPr="009C5EFD" w:rsidRDefault="00E453CD" w:rsidP="00392F46">
            <w:pPr>
              <w:suppressAutoHyphens/>
              <w:rPr>
                <w:b/>
                <w:sz w:val="22"/>
                <w:szCs w:val="22"/>
              </w:rPr>
            </w:pPr>
            <w:r>
              <w:rPr>
                <w:b/>
                <w:sz w:val="22"/>
                <w:szCs w:val="22"/>
              </w:rPr>
              <w:t>ETIKETT PÅ SPRØYTE</w:t>
            </w:r>
          </w:p>
        </w:tc>
      </w:tr>
    </w:tbl>
    <w:p w14:paraId="422CF92F" w14:textId="77777777" w:rsidR="00497BAA" w:rsidRPr="009C5EFD" w:rsidRDefault="00497BAA" w:rsidP="00497BAA">
      <w:pPr>
        <w:suppressAutoHyphens/>
        <w:ind w:left="54"/>
        <w:jc w:val="both"/>
        <w:rPr>
          <w:sz w:val="22"/>
          <w:szCs w:val="22"/>
        </w:rPr>
      </w:pPr>
    </w:p>
    <w:p w14:paraId="52604EE6" w14:textId="77777777" w:rsidR="00497BAA" w:rsidRPr="009C5EFD" w:rsidRDefault="00497BAA" w:rsidP="00497BAA">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B0419AB" w14:textId="77777777" w:rsidTr="00392F46">
        <w:tc>
          <w:tcPr>
            <w:tcW w:w="9281" w:type="dxa"/>
          </w:tcPr>
          <w:p w14:paraId="53BFAAB1" w14:textId="77777777" w:rsidR="00497BAA" w:rsidRPr="009C5EFD" w:rsidRDefault="00E453CD" w:rsidP="00392F46">
            <w:pPr>
              <w:ind w:left="567" w:hanging="567"/>
              <w:rPr>
                <w:b/>
                <w:sz w:val="22"/>
                <w:szCs w:val="22"/>
              </w:rPr>
            </w:pPr>
            <w:r w:rsidRPr="009C5EFD">
              <w:rPr>
                <w:b/>
                <w:sz w:val="22"/>
                <w:szCs w:val="22"/>
              </w:rPr>
              <w:t>1.</w:t>
            </w:r>
            <w:r w:rsidRPr="009C5EFD">
              <w:rPr>
                <w:b/>
                <w:sz w:val="22"/>
                <w:szCs w:val="22"/>
              </w:rPr>
              <w:tab/>
              <w:t>LEGEMIDLETS NAVN OG ADMINISTRASJONSVEI</w:t>
            </w:r>
          </w:p>
        </w:tc>
      </w:tr>
    </w:tbl>
    <w:p w14:paraId="6759BF5D" w14:textId="77777777" w:rsidR="00497BAA" w:rsidRPr="009C5EFD" w:rsidRDefault="00497BAA" w:rsidP="00497BAA">
      <w:pPr>
        <w:suppressAutoHyphens/>
        <w:ind w:left="54"/>
        <w:jc w:val="both"/>
        <w:rPr>
          <w:sz w:val="22"/>
          <w:szCs w:val="22"/>
        </w:rPr>
      </w:pPr>
    </w:p>
    <w:p w14:paraId="790F3191" w14:textId="77777777" w:rsidR="00497BAA" w:rsidRPr="009C5EFD" w:rsidRDefault="00E453CD" w:rsidP="00497BAA">
      <w:pPr>
        <w:suppressAutoHyphens/>
        <w:ind w:left="54"/>
        <w:jc w:val="both"/>
        <w:rPr>
          <w:sz w:val="22"/>
          <w:szCs w:val="22"/>
        </w:rPr>
      </w:pPr>
      <w:r>
        <w:rPr>
          <w:sz w:val="22"/>
          <w:szCs w:val="22"/>
        </w:rPr>
        <w:t>Humira 20</w:t>
      </w:r>
      <w:r w:rsidRPr="009C5EFD">
        <w:rPr>
          <w:sz w:val="22"/>
          <w:szCs w:val="22"/>
        </w:rPr>
        <w:t xml:space="preserve"> mg injeksjon</w:t>
      </w:r>
      <w:r w:rsidR="00737B63">
        <w:rPr>
          <w:sz w:val="22"/>
          <w:szCs w:val="22"/>
        </w:rPr>
        <w:t>svæske</w:t>
      </w:r>
    </w:p>
    <w:p w14:paraId="56ED7F43" w14:textId="77777777" w:rsidR="00497BAA" w:rsidRPr="009C5EFD" w:rsidRDefault="00E453CD" w:rsidP="00497BAA">
      <w:pPr>
        <w:suppressAutoHyphens/>
        <w:ind w:left="54"/>
        <w:rPr>
          <w:sz w:val="22"/>
          <w:szCs w:val="22"/>
        </w:rPr>
      </w:pPr>
      <w:r w:rsidRPr="009C5EFD">
        <w:rPr>
          <w:sz w:val="22"/>
          <w:szCs w:val="22"/>
        </w:rPr>
        <w:t>adalimumab</w:t>
      </w:r>
    </w:p>
    <w:p w14:paraId="70380348" w14:textId="77777777" w:rsidR="00497BAA" w:rsidRPr="008478AD" w:rsidRDefault="00E453CD" w:rsidP="00497BAA">
      <w:pPr>
        <w:suppressAutoHyphens/>
        <w:ind w:left="54"/>
        <w:jc w:val="both"/>
        <w:rPr>
          <w:sz w:val="22"/>
          <w:szCs w:val="22"/>
        </w:rPr>
      </w:pPr>
      <w:r>
        <w:rPr>
          <w:sz w:val="22"/>
          <w:szCs w:val="22"/>
        </w:rPr>
        <w:t>s.c.</w:t>
      </w:r>
    </w:p>
    <w:p w14:paraId="2FE2C81C" w14:textId="77777777" w:rsidR="00497BAA" w:rsidRPr="009C5EFD" w:rsidRDefault="00497BAA" w:rsidP="00497BAA">
      <w:pPr>
        <w:suppressAutoHyphens/>
        <w:ind w:left="54"/>
        <w:jc w:val="both"/>
        <w:rPr>
          <w:sz w:val="22"/>
          <w:szCs w:val="22"/>
        </w:rPr>
      </w:pPr>
    </w:p>
    <w:p w14:paraId="2A23A3D4" w14:textId="77777777" w:rsidR="00497BAA" w:rsidRPr="009C5EFD" w:rsidRDefault="00497BAA" w:rsidP="00497BAA">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996C1D9" w14:textId="77777777" w:rsidTr="00392F46">
        <w:tc>
          <w:tcPr>
            <w:tcW w:w="9281" w:type="dxa"/>
          </w:tcPr>
          <w:p w14:paraId="3450C4B2" w14:textId="77777777" w:rsidR="00497BAA" w:rsidRPr="009C5EFD" w:rsidRDefault="00E453CD" w:rsidP="00392F46">
            <w:pPr>
              <w:ind w:left="567" w:hanging="567"/>
              <w:rPr>
                <w:b/>
                <w:sz w:val="22"/>
                <w:szCs w:val="22"/>
              </w:rPr>
            </w:pPr>
            <w:r w:rsidRPr="009C5EFD">
              <w:rPr>
                <w:b/>
                <w:sz w:val="22"/>
                <w:szCs w:val="22"/>
              </w:rPr>
              <w:t>2.</w:t>
            </w:r>
            <w:r w:rsidRPr="009C5EFD">
              <w:rPr>
                <w:b/>
                <w:sz w:val="22"/>
                <w:szCs w:val="22"/>
              </w:rPr>
              <w:tab/>
              <w:t>ADMINISTRASJONSMÅTE</w:t>
            </w:r>
          </w:p>
        </w:tc>
      </w:tr>
    </w:tbl>
    <w:p w14:paraId="47976BDC" w14:textId="77777777" w:rsidR="00497BAA" w:rsidRPr="008478AD" w:rsidRDefault="00497BAA" w:rsidP="00497BAA">
      <w:pPr>
        <w:suppressAutoHyphens/>
        <w:jc w:val="both"/>
        <w:rPr>
          <w:b/>
          <w:sz w:val="22"/>
          <w:szCs w:val="22"/>
        </w:rPr>
      </w:pPr>
    </w:p>
    <w:p w14:paraId="1711C272" w14:textId="77777777" w:rsidR="00497BAA" w:rsidRPr="009C5EFD" w:rsidRDefault="00497BAA" w:rsidP="00497BAA">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B9EEB2D" w14:textId="77777777" w:rsidTr="00392F46">
        <w:tc>
          <w:tcPr>
            <w:tcW w:w="9281" w:type="dxa"/>
          </w:tcPr>
          <w:p w14:paraId="1F5D5BFE" w14:textId="77777777" w:rsidR="00497BAA" w:rsidRPr="009C5EFD" w:rsidRDefault="00E453CD" w:rsidP="00392F46">
            <w:pPr>
              <w:ind w:left="567" w:hanging="567"/>
              <w:rPr>
                <w:b/>
                <w:sz w:val="22"/>
                <w:szCs w:val="22"/>
              </w:rPr>
            </w:pPr>
            <w:r w:rsidRPr="009C5EFD">
              <w:rPr>
                <w:b/>
                <w:sz w:val="22"/>
                <w:szCs w:val="22"/>
              </w:rPr>
              <w:t>3.</w:t>
            </w:r>
            <w:r w:rsidRPr="009C5EFD">
              <w:rPr>
                <w:b/>
                <w:sz w:val="22"/>
                <w:szCs w:val="22"/>
              </w:rPr>
              <w:tab/>
              <w:t>UTLØPSDATO</w:t>
            </w:r>
          </w:p>
        </w:tc>
      </w:tr>
    </w:tbl>
    <w:p w14:paraId="7AB0F742" w14:textId="77777777" w:rsidR="00497BAA" w:rsidRPr="009C5EFD" w:rsidRDefault="00497BAA" w:rsidP="00497BAA">
      <w:pPr>
        <w:suppressAutoHyphens/>
        <w:ind w:left="621" w:hanging="567"/>
        <w:rPr>
          <w:sz w:val="22"/>
          <w:szCs w:val="22"/>
        </w:rPr>
      </w:pPr>
    </w:p>
    <w:p w14:paraId="720A9DFA" w14:textId="77777777" w:rsidR="00497BAA" w:rsidRPr="009C5EFD" w:rsidRDefault="00E453CD" w:rsidP="00497BAA">
      <w:pPr>
        <w:suppressAutoHyphens/>
        <w:ind w:left="621" w:hanging="567"/>
        <w:rPr>
          <w:sz w:val="22"/>
          <w:szCs w:val="22"/>
        </w:rPr>
      </w:pPr>
      <w:r>
        <w:rPr>
          <w:sz w:val="22"/>
          <w:szCs w:val="22"/>
        </w:rPr>
        <w:t>EXP</w:t>
      </w:r>
      <w:r w:rsidRPr="009C5EFD">
        <w:rPr>
          <w:sz w:val="22"/>
          <w:szCs w:val="22"/>
        </w:rPr>
        <w:t xml:space="preserve"> </w:t>
      </w:r>
    </w:p>
    <w:p w14:paraId="1C5B7B88" w14:textId="77777777" w:rsidR="00497BAA" w:rsidRPr="009C5EFD" w:rsidRDefault="00497BAA" w:rsidP="00497BAA">
      <w:pPr>
        <w:suppressAutoHyphens/>
        <w:ind w:left="621" w:hanging="567"/>
        <w:rPr>
          <w:sz w:val="22"/>
          <w:szCs w:val="22"/>
        </w:rPr>
      </w:pPr>
    </w:p>
    <w:p w14:paraId="7C9EBFAF" w14:textId="77777777" w:rsidR="00497BAA" w:rsidRPr="009C5EFD" w:rsidRDefault="00497BAA" w:rsidP="00497BAA">
      <w:pPr>
        <w:suppressAutoHyphens/>
        <w:ind w:left="621"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5510997" w14:textId="77777777" w:rsidTr="00392F46">
        <w:tc>
          <w:tcPr>
            <w:tcW w:w="9281" w:type="dxa"/>
          </w:tcPr>
          <w:p w14:paraId="712C8E03" w14:textId="77777777" w:rsidR="00497BAA" w:rsidRPr="009C5EFD" w:rsidRDefault="00E453CD" w:rsidP="00392F46">
            <w:pPr>
              <w:ind w:left="567" w:hanging="567"/>
              <w:rPr>
                <w:b/>
                <w:sz w:val="22"/>
                <w:szCs w:val="22"/>
              </w:rPr>
            </w:pPr>
            <w:r w:rsidRPr="009C5EFD">
              <w:rPr>
                <w:b/>
                <w:sz w:val="22"/>
                <w:szCs w:val="22"/>
              </w:rPr>
              <w:t>4.</w:t>
            </w:r>
            <w:r w:rsidRPr="009C5EFD">
              <w:rPr>
                <w:b/>
                <w:sz w:val="22"/>
                <w:szCs w:val="22"/>
              </w:rPr>
              <w:tab/>
              <w:t>PRODUKSJONSNUMMER</w:t>
            </w:r>
          </w:p>
        </w:tc>
      </w:tr>
    </w:tbl>
    <w:p w14:paraId="20E9D37A" w14:textId="77777777" w:rsidR="00497BAA" w:rsidRPr="009C5EFD" w:rsidRDefault="00497BAA" w:rsidP="00497BAA">
      <w:pPr>
        <w:suppressAutoHyphens/>
        <w:ind w:left="54"/>
        <w:jc w:val="both"/>
        <w:rPr>
          <w:sz w:val="22"/>
          <w:szCs w:val="22"/>
        </w:rPr>
      </w:pPr>
    </w:p>
    <w:p w14:paraId="4562BF32" w14:textId="77777777" w:rsidR="00497BAA" w:rsidRPr="009C5EFD" w:rsidRDefault="00E453CD" w:rsidP="00497BAA">
      <w:pPr>
        <w:suppressAutoHyphens/>
        <w:ind w:left="54"/>
        <w:jc w:val="both"/>
        <w:rPr>
          <w:sz w:val="22"/>
          <w:szCs w:val="22"/>
        </w:rPr>
      </w:pPr>
      <w:r w:rsidRPr="009C5EFD">
        <w:rPr>
          <w:sz w:val="22"/>
          <w:szCs w:val="22"/>
        </w:rPr>
        <w:t>Lot</w:t>
      </w:r>
    </w:p>
    <w:p w14:paraId="784DACC3" w14:textId="77777777" w:rsidR="00497BAA" w:rsidRPr="009C5EFD" w:rsidRDefault="00497BAA" w:rsidP="00497BAA">
      <w:pPr>
        <w:suppressAutoHyphens/>
        <w:ind w:left="54"/>
        <w:jc w:val="both"/>
        <w:rPr>
          <w:sz w:val="22"/>
          <w:szCs w:val="22"/>
        </w:rPr>
      </w:pPr>
    </w:p>
    <w:p w14:paraId="56E9BF9B" w14:textId="77777777" w:rsidR="00497BAA" w:rsidRPr="009C5EFD" w:rsidRDefault="00497BAA" w:rsidP="00497BAA">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4FA2419" w14:textId="77777777" w:rsidTr="00392F46">
        <w:tc>
          <w:tcPr>
            <w:tcW w:w="9281" w:type="dxa"/>
          </w:tcPr>
          <w:p w14:paraId="6068866E" w14:textId="77777777" w:rsidR="00497BAA" w:rsidRPr="009C5EFD" w:rsidRDefault="00E453CD" w:rsidP="00392F46">
            <w:pPr>
              <w:ind w:left="567" w:hanging="567"/>
              <w:rPr>
                <w:b/>
                <w:sz w:val="22"/>
                <w:szCs w:val="22"/>
              </w:rPr>
            </w:pPr>
            <w:r w:rsidRPr="009C5EFD">
              <w:rPr>
                <w:b/>
                <w:sz w:val="22"/>
                <w:szCs w:val="22"/>
              </w:rPr>
              <w:t>5.</w:t>
            </w:r>
            <w:r w:rsidRPr="009C5EFD">
              <w:rPr>
                <w:b/>
                <w:sz w:val="22"/>
                <w:szCs w:val="22"/>
              </w:rPr>
              <w:tab/>
            </w:r>
            <w:r w:rsidR="00524114">
              <w:rPr>
                <w:b/>
                <w:sz w:val="22"/>
                <w:szCs w:val="22"/>
              </w:rPr>
              <w:t>INN</w:t>
            </w:r>
            <w:r w:rsidRPr="009C5EFD">
              <w:rPr>
                <w:b/>
                <w:sz w:val="22"/>
                <w:szCs w:val="22"/>
              </w:rPr>
              <w:t>HOLD ANGITT ETTER VEKT, VOLUM ELLER ANTALL DOSER</w:t>
            </w:r>
          </w:p>
        </w:tc>
      </w:tr>
    </w:tbl>
    <w:p w14:paraId="2B478968" w14:textId="77777777" w:rsidR="00497BAA" w:rsidRPr="009C5EFD" w:rsidRDefault="00497BAA" w:rsidP="00497BAA">
      <w:pPr>
        <w:suppressAutoHyphens/>
        <w:ind w:left="54"/>
        <w:jc w:val="both"/>
        <w:rPr>
          <w:sz w:val="22"/>
          <w:szCs w:val="22"/>
        </w:rPr>
      </w:pPr>
    </w:p>
    <w:p w14:paraId="726F28B4" w14:textId="77777777" w:rsidR="00497BAA" w:rsidRPr="009C5EFD" w:rsidRDefault="00E453CD" w:rsidP="00497BAA">
      <w:pPr>
        <w:suppressAutoHyphens/>
        <w:ind w:left="54"/>
        <w:jc w:val="both"/>
        <w:rPr>
          <w:sz w:val="22"/>
          <w:szCs w:val="22"/>
        </w:rPr>
      </w:pPr>
      <w:r>
        <w:rPr>
          <w:sz w:val="22"/>
          <w:szCs w:val="22"/>
        </w:rPr>
        <w:t>20 mg</w:t>
      </w:r>
      <w:r w:rsidR="00392F46" w:rsidRPr="00AB7697">
        <w:rPr>
          <w:sz w:val="22"/>
          <w:szCs w:val="22"/>
          <w:highlight w:val="lightGray"/>
        </w:rPr>
        <w:t>/0,2 ml</w:t>
      </w:r>
    </w:p>
    <w:p w14:paraId="2D797DFF" w14:textId="77777777" w:rsidR="00497BAA" w:rsidRPr="009C5EFD" w:rsidRDefault="00497BAA" w:rsidP="00497BAA">
      <w:pPr>
        <w:ind w:right="-449"/>
        <w:rPr>
          <w:b/>
          <w:sz w:val="22"/>
          <w:szCs w:val="22"/>
        </w:rPr>
      </w:pPr>
    </w:p>
    <w:p w14:paraId="28E37C2D" w14:textId="77777777" w:rsidR="00497BAA" w:rsidRPr="009C5EFD" w:rsidRDefault="00497BAA" w:rsidP="00497BAA">
      <w:pPr>
        <w:ind w:right="-449"/>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70AE3BA" w14:textId="77777777" w:rsidTr="00392F46">
        <w:tc>
          <w:tcPr>
            <w:tcW w:w="9281" w:type="dxa"/>
          </w:tcPr>
          <w:p w14:paraId="3A1F8A56" w14:textId="77777777" w:rsidR="00497BAA" w:rsidRPr="009C5EFD" w:rsidRDefault="00E453CD" w:rsidP="00392F46">
            <w:pPr>
              <w:ind w:left="567" w:hanging="567"/>
              <w:rPr>
                <w:b/>
                <w:sz w:val="22"/>
                <w:szCs w:val="22"/>
              </w:rPr>
            </w:pPr>
            <w:r w:rsidRPr="009C5EFD">
              <w:rPr>
                <w:b/>
                <w:sz w:val="22"/>
                <w:szCs w:val="22"/>
              </w:rPr>
              <w:t>6.</w:t>
            </w:r>
            <w:r w:rsidRPr="009C5EFD">
              <w:rPr>
                <w:b/>
                <w:sz w:val="22"/>
                <w:szCs w:val="22"/>
              </w:rPr>
              <w:tab/>
              <w:t>ANNET</w:t>
            </w:r>
          </w:p>
        </w:tc>
      </w:tr>
    </w:tbl>
    <w:p w14:paraId="27CF3249" w14:textId="77777777" w:rsidR="00497BAA" w:rsidRDefault="00497BAA" w:rsidP="00497BAA">
      <w:pPr>
        <w:ind w:left="54"/>
        <w:rPr>
          <w:sz w:val="22"/>
          <w:szCs w:val="22"/>
        </w:rPr>
      </w:pPr>
    </w:p>
    <w:p w14:paraId="52C8DA95" w14:textId="77777777" w:rsidR="00526106" w:rsidRPr="00DA6326" w:rsidRDefault="00E453CD" w:rsidP="001F5D4B">
      <w:pPr>
        <w:ind w:left="54"/>
        <w:rPr>
          <w:sz w:val="22"/>
          <w:szCs w:val="22"/>
          <w:lang w:val="nn-NO"/>
        </w:rPr>
      </w:pPr>
      <w:r w:rsidRPr="00DA6326">
        <w:rPr>
          <w:sz w:val="22"/>
          <w:szCs w:val="22"/>
          <w:lang w:val="nn-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1628" w:author="AbbVie02no" w:date="2025-05-15T13:53: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9055"/>
        <w:tblGridChange w:id="11629">
          <w:tblGrid>
            <w:gridCol w:w="360"/>
            <w:gridCol w:w="8695"/>
          </w:tblGrid>
        </w:tblGridChange>
      </w:tblGrid>
      <w:tr w:rsidR="004644D4" w14:paraId="02164ABF" w14:textId="75AFC680" w:rsidTr="004B57B4">
        <w:trPr>
          <w:trHeight w:val="1070"/>
          <w:del w:id="11630" w:author="AbbVie02no" w:date="2025-05-15T13:53:00Z"/>
          <w:trPrChange w:id="11631" w:author="AbbVie02no" w:date="2025-05-15T13:53:00Z">
            <w:trPr>
              <w:gridAfter w:val="0"/>
            </w:trPr>
          </w:trPrChange>
        </w:trPr>
        <w:tc>
          <w:tcPr>
            <w:tcW w:w="9055" w:type="dxa"/>
            <w:tcBorders>
              <w:bottom w:val="single" w:sz="4" w:space="0" w:color="auto"/>
            </w:tcBorders>
            <w:tcPrChange w:id="11632" w:author="AbbVie02no" w:date="2025-05-15T13:53:00Z">
              <w:tcPr>
                <w:tcW w:w="9281" w:type="dxa"/>
                <w:tcBorders>
                  <w:bottom w:val="single" w:sz="4" w:space="0" w:color="auto"/>
                </w:tcBorders>
              </w:tcPr>
            </w:tcPrChange>
          </w:tcPr>
          <w:p w14:paraId="7E766B94" w14:textId="7CB64ACB" w:rsidR="00526106" w:rsidRPr="009C5EFD" w:rsidRDefault="00E453CD" w:rsidP="001F5D4B">
            <w:pPr>
              <w:rPr>
                <w:del w:id="11633" w:author="AbbVie02no" w:date="2025-05-15T13:53:00Z"/>
                <w:sz w:val="22"/>
                <w:szCs w:val="22"/>
              </w:rPr>
            </w:pPr>
            <w:del w:id="11634" w:author="AbbVie02no" w:date="2025-05-15T13:53:00Z">
              <w:r w:rsidRPr="009C5EFD">
                <w:rPr>
                  <w:b/>
                  <w:sz w:val="22"/>
                  <w:szCs w:val="22"/>
                </w:rPr>
                <w:lastRenderedPageBreak/>
                <w:delText xml:space="preserve">OPPLYSNINGER SOM SKAL ANGIS PÅ YTRE EMBALLASJE </w:delText>
              </w:r>
            </w:del>
          </w:p>
          <w:p w14:paraId="200A0AB9" w14:textId="78603957" w:rsidR="00526106" w:rsidRPr="009C5EFD" w:rsidRDefault="00526106" w:rsidP="007F67EE">
            <w:pPr>
              <w:rPr>
                <w:del w:id="11635" w:author="AbbVie02no" w:date="2025-05-15T13:53:00Z"/>
                <w:sz w:val="22"/>
                <w:szCs w:val="22"/>
              </w:rPr>
            </w:pPr>
          </w:p>
          <w:p w14:paraId="3C4A1BB9" w14:textId="05465176" w:rsidR="00526106" w:rsidRPr="009C5EFD" w:rsidRDefault="00E453CD" w:rsidP="00A96954">
            <w:pPr>
              <w:rPr>
                <w:del w:id="11636" w:author="AbbVie02no" w:date="2025-05-15T13:53:00Z"/>
                <w:b/>
                <w:sz w:val="22"/>
                <w:szCs w:val="22"/>
              </w:rPr>
            </w:pPr>
            <w:del w:id="11637" w:author="AbbVie02no" w:date="2025-05-15T13:53:00Z">
              <w:r>
                <w:rPr>
                  <w:b/>
                  <w:sz w:val="22"/>
                  <w:szCs w:val="22"/>
                </w:rPr>
                <w:delText>YTTER</w:delText>
              </w:r>
              <w:r w:rsidRPr="009C5EFD">
                <w:rPr>
                  <w:b/>
                  <w:sz w:val="22"/>
                  <w:szCs w:val="22"/>
                </w:rPr>
                <w:delText>KARTONG</w:delText>
              </w:r>
            </w:del>
          </w:p>
        </w:tc>
      </w:tr>
    </w:tbl>
    <w:p w14:paraId="2C3E4041" w14:textId="735F03E6" w:rsidR="00526106" w:rsidRPr="009C5EFD" w:rsidRDefault="00526106" w:rsidP="007F67EE">
      <w:pPr>
        <w:suppressAutoHyphens/>
        <w:ind w:left="54"/>
        <w:rPr>
          <w:del w:id="11638" w:author="AbbVie02no" w:date="2025-05-15T13:53:00Z"/>
          <w:sz w:val="22"/>
          <w:szCs w:val="22"/>
        </w:rPr>
      </w:pPr>
    </w:p>
    <w:p w14:paraId="6B33C04D" w14:textId="1F2581DF" w:rsidR="00875F98" w:rsidRPr="009C5EFD" w:rsidRDefault="00875F98" w:rsidP="00193D76">
      <w:pPr>
        <w:suppressAutoHyphens/>
        <w:ind w:left="54"/>
        <w:rPr>
          <w:del w:id="1163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39A0309" w14:textId="42571C8E">
        <w:trPr>
          <w:del w:id="11640" w:author="AbbVie02no" w:date="2025-05-15T13:53:00Z"/>
        </w:trPr>
        <w:tc>
          <w:tcPr>
            <w:tcW w:w="9281" w:type="dxa"/>
          </w:tcPr>
          <w:p w14:paraId="3B652DC7" w14:textId="3A2897DF" w:rsidR="00526106" w:rsidRPr="009C5EFD" w:rsidRDefault="00E453CD" w:rsidP="002D0790">
            <w:pPr>
              <w:ind w:left="567" w:hanging="567"/>
              <w:rPr>
                <w:del w:id="11641" w:author="AbbVie02no" w:date="2025-05-15T13:53:00Z"/>
                <w:b/>
                <w:sz w:val="22"/>
                <w:szCs w:val="22"/>
              </w:rPr>
            </w:pPr>
            <w:del w:id="11642" w:author="AbbVie02no" w:date="2025-05-15T13:53:00Z">
              <w:r w:rsidRPr="009C5EFD">
                <w:rPr>
                  <w:b/>
                  <w:sz w:val="22"/>
                  <w:szCs w:val="22"/>
                </w:rPr>
                <w:delText>1.</w:delText>
              </w:r>
              <w:r w:rsidRPr="009C5EFD">
                <w:rPr>
                  <w:b/>
                  <w:sz w:val="22"/>
                  <w:szCs w:val="22"/>
                </w:rPr>
                <w:tab/>
                <w:delText>LEGEMIDLETS NAVN</w:delText>
              </w:r>
            </w:del>
          </w:p>
        </w:tc>
      </w:tr>
    </w:tbl>
    <w:p w14:paraId="36733EA5" w14:textId="22EF458F" w:rsidR="00526106" w:rsidRPr="009C5EFD" w:rsidRDefault="00526106" w:rsidP="007F67EE">
      <w:pPr>
        <w:suppressAutoHyphens/>
        <w:ind w:left="54"/>
        <w:rPr>
          <w:del w:id="11643" w:author="AbbVie02no" w:date="2025-05-15T13:53:00Z"/>
          <w:sz w:val="22"/>
          <w:szCs w:val="22"/>
        </w:rPr>
      </w:pPr>
    </w:p>
    <w:p w14:paraId="7E3719A1" w14:textId="72883D6B" w:rsidR="00526106" w:rsidRPr="009C5EFD" w:rsidRDefault="00E453CD" w:rsidP="00193D76">
      <w:pPr>
        <w:suppressAutoHyphens/>
        <w:ind w:left="54"/>
        <w:rPr>
          <w:del w:id="11644" w:author="AbbVie02no" w:date="2025-05-15T13:53:00Z"/>
          <w:sz w:val="22"/>
          <w:szCs w:val="22"/>
        </w:rPr>
      </w:pPr>
      <w:del w:id="11645" w:author="AbbVie02no" w:date="2025-05-15T13:53:00Z">
        <w:r w:rsidRPr="009C5EFD">
          <w:rPr>
            <w:sz w:val="22"/>
            <w:szCs w:val="22"/>
          </w:rPr>
          <w:delText>Humira 40</w:delText>
        </w:r>
        <w:r w:rsidR="0008045C" w:rsidRPr="009C5EFD">
          <w:rPr>
            <w:sz w:val="22"/>
            <w:szCs w:val="22"/>
          </w:rPr>
          <w:delText> </w:delText>
        </w:r>
        <w:r w:rsidRPr="009C5EFD">
          <w:rPr>
            <w:sz w:val="22"/>
            <w:szCs w:val="22"/>
          </w:rPr>
          <w:delText>mg/0,8</w:delText>
        </w:r>
        <w:r w:rsidR="00403F75" w:rsidRPr="009C5EFD">
          <w:rPr>
            <w:sz w:val="22"/>
            <w:szCs w:val="22"/>
          </w:rPr>
          <w:delText> </w:delText>
        </w:r>
        <w:r w:rsidR="00C32C8A" w:rsidRPr="009C5EFD">
          <w:rPr>
            <w:sz w:val="22"/>
            <w:szCs w:val="22"/>
          </w:rPr>
          <w:delText>ml</w:delText>
        </w:r>
        <w:r w:rsidRPr="009C5EFD">
          <w:rPr>
            <w:sz w:val="22"/>
            <w:szCs w:val="22"/>
          </w:rPr>
          <w:delText xml:space="preserve"> injeksjonsvæske, oppløsning</w:delText>
        </w:r>
      </w:del>
    </w:p>
    <w:p w14:paraId="22DF1F97" w14:textId="4837FD21" w:rsidR="00526106" w:rsidRPr="009C5EFD" w:rsidRDefault="00E453CD" w:rsidP="002D0790">
      <w:pPr>
        <w:pStyle w:val="EndnoteText"/>
        <w:widowControl/>
        <w:tabs>
          <w:tab w:val="clear" w:pos="567"/>
        </w:tabs>
        <w:suppressAutoHyphens/>
        <w:ind w:left="54"/>
        <w:rPr>
          <w:del w:id="11646" w:author="AbbVie02no" w:date="2025-05-15T13:53:00Z"/>
          <w:szCs w:val="22"/>
          <w:lang w:val="nb-NO"/>
        </w:rPr>
      </w:pPr>
      <w:del w:id="11647" w:author="AbbVie02no" w:date="2025-05-15T13:53:00Z">
        <w:r w:rsidRPr="009C5EFD">
          <w:rPr>
            <w:szCs w:val="22"/>
            <w:lang w:val="nb-NO"/>
          </w:rPr>
          <w:delText>adalimumab</w:delText>
        </w:r>
      </w:del>
    </w:p>
    <w:p w14:paraId="64CB9F1F" w14:textId="26F6C1B8" w:rsidR="00526106" w:rsidRPr="009C5EFD" w:rsidRDefault="00526106" w:rsidP="00C07C98">
      <w:pPr>
        <w:suppressAutoHyphens/>
        <w:ind w:left="54"/>
        <w:rPr>
          <w:del w:id="11648" w:author="AbbVie02no" w:date="2025-05-15T13:53:00Z"/>
          <w:sz w:val="22"/>
          <w:szCs w:val="22"/>
        </w:rPr>
      </w:pPr>
    </w:p>
    <w:p w14:paraId="72A45C19" w14:textId="63726471" w:rsidR="00526106" w:rsidRPr="009C5EFD" w:rsidRDefault="00526106" w:rsidP="00E14E58">
      <w:pPr>
        <w:suppressAutoHyphens/>
        <w:ind w:left="54"/>
        <w:rPr>
          <w:del w:id="1164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A712D6C" w14:textId="7D5A012D">
        <w:trPr>
          <w:del w:id="11650" w:author="AbbVie02no" w:date="2025-05-15T13:53:00Z"/>
        </w:trPr>
        <w:tc>
          <w:tcPr>
            <w:tcW w:w="9281" w:type="dxa"/>
          </w:tcPr>
          <w:p w14:paraId="266E243E" w14:textId="0B0FEF3F" w:rsidR="00526106" w:rsidRPr="009C5EFD" w:rsidRDefault="00E453CD" w:rsidP="009C5EFD">
            <w:pPr>
              <w:ind w:left="567" w:hanging="567"/>
              <w:rPr>
                <w:del w:id="11651" w:author="AbbVie02no" w:date="2025-05-15T13:53:00Z"/>
                <w:b/>
                <w:sz w:val="22"/>
                <w:szCs w:val="22"/>
              </w:rPr>
            </w:pPr>
            <w:del w:id="11652" w:author="AbbVie02no" w:date="2025-05-15T13:53:00Z">
              <w:r w:rsidRPr="009C5EFD">
                <w:rPr>
                  <w:b/>
                  <w:sz w:val="22"/>
                  <w:szCs w:val="22"/>
                </w:rPr>
                <w:delText>2.</w:delText>
              </w:r>
              <w:r w:rsidRPr="009C5EFD">
                <w:rPr>
                  <w:b/>
                  <w:sz w:val="22"/>
                  <w:szCs w:val="22"/>
                </w:rPr>
                <w:tab/>
                <w:delText xml:space="preserve">DEKLARASJON AV VIRKESTOFF </w:delText>
              </w:r>
            </w:del>
          </w:p>
        </w:tc>
      </w:tr>
    </w:tbl>
    <w:p w14:paraId="12E86C57" w14:textId="00EC0B85" w:rsidR="00526106" w:rsidRPr="009C5EFD" w:rsidRDefault="00526106" w:rsidP="007F67EE">
      <w:pPr>
        <w:suppressAutoHyphens/>
        <w:ind w:left="54"/>
        <w:rPr>
          <w:del w:id="11653" w:author="AbbVie02no" w:date="2025-05-15T13:53:00Z"/>
          <w:sz w:val="22"/>
          <w:szCs w:val="22"/>
        </w:rPr>
      </w:pPr>
    </w:p>
    <w:p w14:paraId="799112DA" w14:textId="4E025764" w:rsidR="00526106" w:rsidRPr="009C5EFD" w:rsidRDefault="00E453CD" w:rsidP="00193D76">
      <w:pPr>
        <w:suppressAutoHyphens/>
        <w:ind w:left="54"/>
        <w:rPr>
          <w:del w:id="11654" w:author="AbbVie02no" w:date="2025-05-15T13:53:00Z"/>
          <w:sz w:val="22"/>
          <w:szCs w:val="22"/>
        </w:rPr>
      </w:pPr>
      <w:del w:id="11655" w:author="AbbVie02no" w:date="2025-05-15T13:53:00Z">
        <w:r w:rsidRPr="009C5EFD">
          <w:rPr>
            <w:sz w:val="22"/>
            <w:szCs w:val="22"/>
          </w:rPr>
          <w:delText>En 0,8 ml oppløsning i hetteglass inneholder 40 mg adalimumab</w:delText>
        </w:r>
        <w:r w:rsidR="00506C98">
          <w:rPr>
            <w:sz w:val="22"/>
            <w:szCs w:val="22"/>
          </w:rPr>
          <w:delText>.</w:delText>
        </w:r>
      </w:del>
    </w:p>
    <w:p w14:paraId="4D8D3FD0" w14:textId="4ADF7B35" w:rsidR="00526106" w:rsidRPr="009C5EFD" w:rsidRDefault="00526106" w:rsidP="002D0790">
      <w:pPr>
        <w:suppressAutoHyphens/>
        <w:ind w:left="54"/>
        <w:rPr>
          <w:del w:id="11656" w:author="AbbVie02no" w:date="2025-05-15T13:53:00Z"/>
          <w:sz w:val="22"/>
          <w:szCs w:val="22"/>
        </w:rPr>
      </w:pPr>
    </w:p>
    <w:p w14:paraId="3ED5E9E7" w14:textId="7A867EF6" w:rsidR="00526106" w:rsidRPr="009C5EFD" w:rsidRDefault="00526106" w:rsidP="00C07C98">
      <w:pPr>
        <w:suppressAutoHyphens/>
        <w:ind w:left="54"/>
        <w:rPr>
          <w:del w:id="1165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DB55690" w14:textId="625B9B1E">
        <w:trPr>
          <w:del w:id="11658" w:author="AbbVie02no" w:date="2025-05-15T13:53:00Z"/>
        </w:trPr>
        <w:tc>
          <w:tcPr>
            <w:tcW w:w="9281" w:type="dxa"/>
          </w:tcPr>
          <w:p w14:paraId="2F7B0681" w14:textId="615704AF" w:rsidR="00526106" w:rsidRPr="009C5EFD" w:rsidRDefault="00E453CD" w:rsidP="00E14E58">
            <w:pPr>
              <w:ind w:left="567" w:hanging="567"/>
              <w:rPr>
                <w:del w:id="11659" w:author="AbbVie02no" w:date="2025-05-15T13:53:00Z"/>
                <w:b/>
                <w:sz w:val="22"/>
                <w:szCs w:val="22"/>
              </w:rPr>
            </w:pPr>
            <w:del w:id="11660" w:author="AbbVie02no" w:date="2025-05-15T13:53:00Z">
              <w:r w:rsidRPr="009C5EFD">
                <w:rPr>
                  <w:b/>
                  <w:sz w:val="22"/>
                  <w:szCs w:val="22"/>
                </w:rPr>
                <w:delText>3.</w:delText>
              </w:r>
              <w:r w:rsidRPr="009C5EFD">
                <w:rPr>
                  <w:b/>
                  <w:sz w:val="22"/>
                  <w:szCs w:val="22"/>
                </w:rPr>
                <w:tab/>
                <w:delText>LISTE OVER HJELPESTOFFER</w:delText>
              </w:r>
            </w:del>
          </w:p>
        </w:tc>
      </w:tr>
    </w:tbl>
    <w:p w14:paraId="50C681AB" w14:textId="6F5ABD2A" w:rsidR="00526106" w:rsidRPr="009C5EFD" w:rsidRDefault="00526106" w:rsidP="007F67EE">
      <w:pPr>
        <w:suppressAutoHyphens/>
        <w:ind w:left="54"/>
        <w:rPr>
          <w:del w:id="11661" w:author="AbbVie02no" w:date="2025-05-15T13:53:00Z"/>
          <w:sz w:val="22"/>
          <w:szCs w:val="22"/>
        </w:rPr>
      </w:pPr>
    </w:p>
    <w:p w14:paraId="6A694F2A" w14:textId="5F13749D" w:rsidR="00526106" w:rsidRPr="009C5EFD" w:rsidRDefault="00E453CD" w:rsidP="00193D76">
      <w:pPr>
        <w:ind w:left="54"/>
        <w:rPr>
          <w:del w:id="11662" w:author="AbbVie02no" w:date="2025-05-15T13:53:00Z"/>
          <w:sz w:val="22"/>
          <w:szCs w:val="22"/>
        </w:rPr>
      </w:pPr>
      <w:del w:id="11663" w:author="AbbVie02no" w:date="2025-05-15T13:53:00Z">
        <w:r w:rsidRPr="009C5EFD">
          <w:rPr>
            <w:sz w:val="22"/>
            <w:szCs w:val="22"/>
          </w:rPr>
          <w:delText xml:space="preserve">Hjelpestoffer: </w:delText>
        </w:r>
        <w:r w:rsidR="00AA0CCD">
          <w:rPr>
            <w:sz w:val="22"/>
            <w:szCs w:val="22"/>
          </w:rPr>
          <w:delText>m</w:delText>
        </w:r>
        <w:r w:rsidRPr="009C5EFD">
          <w:rPr>
            <w:sz w:val="22"/>
            <w:szCs w:val="22"/>
          </w:rPr>
          <w:delText xml:space="preserve">annitol, sitronsyremonohydrat, natriumsitrat, natriumdihydrogenfosfatdihydrat, dinatriumfosfatdihydrat, natriumklorid, polysorbat 80, natriumhydroksid </w:delText>
        </w:r>
        <w:r w:rsidR="00F3185B" w:rsidRPr="009C5EFD">
          <w:rPr>
            <w:sz w:val="22"/>
            <w:szCs w:val="22"/>
          </w:rPr>
          <w:delText xml:space="preserve">og </w:delText>
        </w:r>
        <w:r w:rsidRPr="009C5EFD">
          <w:rPr>
            <w:sz w:val="22"/>
            <w:szCs w:val="22"/>
          </w:rPr>
          <w:delText>vann til injeksjonsvæsker. For ytterligere informasjon</w:delText>
        </w:r>
        <w:r w:rsidR="00D4553F" w:rsidRPr="009C5EFD">
          <w:rPr>
            <w:sz w:val="22"/>
            <w:szCs w:val="22"/>
          </w:rPr>
          <w:delText>,</w:delText>
        </w:r>
        <w:r w:rsidRPr="009C5EFD">
          <w:rPr>
            <w:sz w:val="22"/>
            <w:szCs w:val="22"/>
          </w:rPr>
          <w:delText xml:space="preserve"> se pakningsvedlegget.</w:delText>
        </w:r>
      </w:del>
    </w:p>
    <w:p w14:paraId="650EFA7D" w14:textId="086DA3C0" w:rsidR="00526106" w:rsidRPr="009C5EFD" w:rsidRDefault="00526106" w:rsidP="002D0790">
      <w:pPr>
        <w:suppressAutoHyphens/>
        <w:ind w:left="54"/>
        <w:rPr>
          <w:del w:id="11664" w:author="AbbVie02no" w:date="2025-05-15T13:53:00Z"/>
          <w:sz w:val="22"/>
          <w:szCs w:val="22"/>
        </w:rPr>
      </w:pPr>
    </w:p>
    <w:p w14:paraId="0AAC6D66" w14:textId="712FA1C3" w:rsidR="00526106" w:rsidRPr="009C5EFD" w:rsidRDefault="00526106" w:rsidP="00C07C98">
      <w:pPr>
        <w:suppressAutoHyphens/>
        <w:ind w:left="54"/>
        <w:rPr>
          <w:del w:id="11665"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AB9C929" w14:textId="49116578">
        <w:trPr>
          <w:del w:id="11666" w:author="AbbVie02no" w:date="2025-05-15T13:53:00Z"/>
        </w:trPr>
        <w:tc>
          <w:tcPr>
            <w:tcW w:w="9281" w:type="dxa"/>
          </w:tcPr>
          <w:p w14:paraId="13ED8952" w14:textId="6390E797" w:rsidR="00526106" w:rsidRPr="009C5EFD" w:rsidRDefault="00E453CD" w:rsidP="00E14E58">
            <w:pPr>
              <w:ind w:left="567" w:hanging="567"/>
              <w:rPr>
                <w:del w:id="11667" w:author="AbbVie02no" w:date="2025-05-15T13:53:00Z"/>
                <w:b/>
                <w:sz w:val="22"/>
                <w:szCs w:val="22"/>
              </w:rPr>
            </w:pPr>
            <w:del w:id="11668" w:author="AbbVie02no" w:date="2025-05-15T13:53:00Z">
              <w:r w:rsidRPr="009C5EFD">
                <w:rPr>
                  <w:b/>
                  <w:sz w:val="22"/>
                  <w:szCs w:val="22"/>
                </w:rPr>
                <w:delText>4.</w:delText>
              </w:r>
              <w:r w:rsidRPr="009C5EFD">
                <w:rPr>
                  <w:b/>
                  <w:sz w:val="22"/>
                  <w:szCs w:val="22"/>
                </w:rPr>
                <w:tab/>
                <w:delText>LEGEMIDDELFORM OG INNHOLD (PAKNINGSSTØRRELSE)</w:delText>
              </w:r>
            </w:del>
          </w:p>
        </w:tc>
      </w:tr>
    </w:tbl>
    <w:p w14:paraId="6466F07A" w14:textId="3B6E8FB9" w:rsidR="00526106" w:rsidRPr="009C5EFD" w:rsidRDefault="00526106" w:rsidP="007F67EE">
      <w:pPr>
        <w:suppressAutoHyphens/>
        <w:ind w:left="54"/>
        <w:rPr>
          <w:del w:id="11669" w:author="AbbVie02no" w:date="2025-05-15T13:53:00Z"/>
          <w:sz w:val="22"/>
          <w:szCs w:val="22"/>
        </w:rPr>
      </w:pPr>
    </w:p>
    <w:p w14:paraId="5C245634" w14:textId="72D06CE9" w:rsidR="00392F46" w:rsidRDefault="00E453CD" w:rsidP="00193D76">
      <w:pPr>
        <w:suppressAutoHyphens/>
        <w:ind w:left="54"/>
        <w:rPr>
          <w:del w:id="11670" w:author="AbbVie02no" w:date="2025-05-15T13:53:00Z"/>
          <w:sz w:val="22"/>
          <w:szCs w:val="22"/>
        </w:rPr>
      </w:pPr>
      <w:del w:id="11671" w:author="AbbVie02no" w:date="2025-05-15T13:53:00Z">
        <w:r w:rsidRPr="00771F39">
          <w:rPr>
            <w:sz w:val="22"/>
            <w:szCs w:val="22"/>
            <w:highlight w:val="lightGray"/>
          </w:rPr>
          <w:delText>Injeksjonsvæske</w:delText>
        </w:r>
        <w:r w:rsidR="00D26B72" w:rsidRPr="00602A37">
          <w:rPr>
            <w:sz w:val="22"/>
            <w:szCs w:val="22"/>
            <w:highlight w:val="lightGray"/>
          </w:rPr>
          <w:delText>, oppløsning</w:delText>
        </w:r>
      </w:del>
    </w:p>
    <w:p w14:paraId="790BF994" w14:textId="0904C333" w:rsidR="00526106" w:rsidRPr="009C5EFD" w:rsidRDefault="00E453CD" w:rsidP="00193D76">
      <w:pPr>
        <w:suppressAutoHyphens/>
        <w:ind w:left="54"/>
        <w:rPr>
          <w:del w:id="11672" w:author="AbbVie02no" w:date="2025-05-15T13:53:00Z"/>
          <w:sz w:val="22"/>
          <w:szCs w:val="22"/>
        </w:rPr>
      </w:pPr>
      <w:del w:id="11673" w:author="AbbVie02no" w:date="2025-05-15T13:53:00Z">
        <w:r w:rsidRPr="009C5EFD">
          <w:rPr>
            <w:sz w:val="22"/>
            <w:szCs w:val="22"/>
          </w:rPr>
          <w:delText>Inneholder 2 es</w:delText>
        </w:r>
        <w:r w:rsidR="003441DD" w:rsidRPr="009C5EFD">
          <w:rPr>
            <w:sz w:val="22"/>
            <w:szCs w:val="22"/>
          </w:rPr>
          <w:delText>k</w:delText>
        </w:r>
        <w:r w:rsidRPr="009C5EFD">
          <w:rPr>
            <w:sz w:val="22"/>
            <w:szCs w:val="22"/>
          </w:rPr>
          <w:delText xml:space="preserve">er hver kun for </w:delText>
        </w:r>
        <w:r w:rsidR="00D5561B">
          <w:rPr>
            <w:sz w:val="22"/>
            <w:szCs w:val="22"/>
          </w:rPr>
          <w:delText>é</w:delText>
        </w:r>
        <w:r w:rsidRPr="009C5EFD">
          <w:rPr>
            <w:sz w:val="22"/>
            <w:szCs w:val="22"/>
          </w:rPr>
          <w:delText>n injeksjon</w:delText>
        </w:r>
      </w:del>
    </w:p>
    <w:p w14:paraId="5B72AA29" w14:textId="0B9CB1E5" w:rsidR="00526106" w:rsidRPr="005A1DEF" w:rsidRDefault="00E453CD" w:rsidP="002D0790">
      <w:pPr>
        <w:suppressAutoHyphens/>
        <w:ind w:left="54"/>
        <w:rPr>
          <w:del w:id="11674" w:author="AbbVie02no" w:date="2025-05-15T13:53:00Z"/>
          <w:b/>
          <w:sz w:val="22"/>
        </w:rPr>
      </w:pPr>
      <w:del w:id="11675" w:author="AbbVie02no" w:date="2025-05-15T13:53:00Z">
        <w:r w:rsidRPr="005A1DEF">
          <w:rPr>
            <w:b/>
            <w:sz w:val="22"/>
          </w:rPr>
          <w:delText>Hver eske inneholder:</w:delText>
        </w:r>
      </w:del>
    </w:p>
    <w:p w14:paraId="58F6C96D" w14:textId="4FB253DF" w:rsidR="00526106" w:rsidRPr="009C5EFD" w:rsidRDefault="00E453CD" w:rsidP="00C07C98">
      <w:pPr>
        <w:suppressAutoHyphens/>
        <w:ind w:left="54"/>
        <w:rPr>
          <w:del w:id="11676" w:author="AbbVie02no" w:date="2025-05-15T13:53:00Z"/>
          <w:sz w:val="22"/>
          <w:szCs w:val="22"/>
        </w:rPr>
      </w:pPr>
      <w:del w:id="11677" w:author="AbbVie02no" w:date="2025-05-15T13:53:00Z">
        <w:r w:rsidRPr="009C5EFD">
          <w:rPr>
            <w:sz w:val="22"/>
            <w:szCs w:val="22"/>
          </w:rPr>
          <w:delText>1 hetteglass</w:delText>
        </w:r>
      </w:del>
    </w:p>
    <w:p w14:paraId="0E9A2EF8" w14:textId="033B5AE5" w:rsidR="00526106" w:rsidRPr="009C5EFD" w:rsidRDefault="00E453CD" w:rsidP="00E14E58">
      <w:pPr>
        <w:suppressAutoHyphens/>
        <w:ind w:left="57"/>
        <w:rPr>
          <w:del w:id="11678" w:author="AbbVie02no" w:date="2025-05-15T13:53:00Z"/>
          <w:sz w:val="22"/>
          <w:szCs w:val="22"/>
        </w:rPr>
      </w:pPr>
      <w:del w:id="11679" w:author="AbbVie02no" w:date="2025-05-15T13:53:00Z">
        <w:r w:rsidRPr="009C5EFD">
          <w:rPr>
            <w:sz w:val="22"/>
            <w:szCs w:val="22"/>
          </w:rPr>
          <w:delText xml:space="preserve">1 steril injeksjonssprøyte </w:delText>
        </w:r>
      </w:del>
    </w:p>
    <w:p w14:paraId="4C08A7CD" w14:textId="284FAFC6" w:rsidR="00526106" w:rsidRPr="009C5EFD" w:rsidRDefault="00E453CD" w:rsidP="009C5EFD">
      <w:pPr>
        <w:suppressAutoHyphens/>
        <w:ind w:left="54"/>
        <w:rPr>
          <w:del w:id="11680" w:author="AbbVie02no" w:date="2025-05-15T13:53:00Z"/>
          <w:sz w:val="22"/>
          <w:szCs w:val="22"/>
        </w:rPr>
      </w:pPr>
      <w:del w:id="11681" w:author="AbbVie02no" w:date="2025-05-15T13:53:00Z">
        <w:r w:rsidRPr="009C5EFD">
          <w:rPr>
            <w:sz w:val="22"/>
            <w:szCs w:val="22"/>
          </w:rPr>
          <w:delText xml:space="preserve">1 steril </w:delText>
        </w:r>
        <w:r w:rsidR="008138BF">
          <w:rPr>
            <w:sz w:val="22"/>
            <w:szCs w:val="22"/>
          </w:rPr>
          <w:delText>kanyle</w:delText>
        </w:r>
      </w:del>
    </w:p>
    <w:p w14:paraId="031A36CC" w14:textId="51E7F43A" w:rsidR="00526106" w:rsidRPr="009C5EFD" w:rsidRDefault="00E453CD" w:rsidP="009C5EFD">
      <w:pPr>
        <w:suppressAutoHyphens/>
        <w:ind w:left="54"/>
        <w:rPr>
          <w:del w:id="11682" w:author="AbbVie02no" w:date="2025-05-15T13:53:00Z"/>
          <w:sz w:val="22"/>
          <w:szCs w:val="22"/>
        </w:rPr>
      </w:pPr>
      <w:del w:id="11683" w:author="AbbVie02no" w:date="2025-05-15T13:53:00Z">
        <w:r w:rsidRPr="009C5EFD">
          <w:rPr>
            <w:sz w:val="22"/>
            <w:szCs w:val="22"/>
          </w:rPr>
          <w:delText>1 steril hetteglassadapter</w:delText>
        </w:r>
      </w:del>
    </w:p>
    <w:p w14:paraId="1FB4E2FD" w14:textId="3D180575" w:rsidR="00526106" w:rsidRPr="009C5EFD" w:rsidRDefault="00E453CD" w:rsidP="009C5EFD">
      <w:pPr>
        <w:suppressAutoHyphens/>
        <w:ind w:left="54"/>
        <w:rPr>
          <w:del w:id="11684" w:author="AbbVie02no" w:date="2025-05-15T13:53:00Z"/>
          <w:sz w:val="22"/>
          <w:szCs w:val="22"/>
        </w:rPr>
      </w:pPr>
      <w:del w:id="11685" w:author="AbbVie02no" w:date="2025-05-15T13:53:00Z">
        <w:r w:rsidRPr="009C5EFD">
          <w:rPr>
            <w:sz w:val="22"/>
            <w:szCs w:val="22"/>
          </w:rPr>
          <w:delText>2 injeksjonstørk</w:delText>
        </w:r>
      </w:del>
    </w:p>
    <w:p w14:paraId="7974C433" w14:textId="5D962EFF" w:rsidR="00526106" w:rsidRPr="009C5EFD" w:rsidRDefault="00526106" w:rsidP="009C5EFD">
      <w:pPr>
        <w:suppressAutoHyphens/>
        <w:ind w:left="54"/>
        <w:rPr>
          <w:del w:id="11686" w:author="AbbVie02no" w:date="2025-05-15T13:53:00Z"/>
          <w:sz w:val="22"/>
          <w:szCs w:val="22"/>
        </w:rPr>
      </w:pPr>
    </w:p>
    <w:p w14:paraId="0F97C387" w14:textId="6595D024" w:rsidR="00526106" w:rsidRPr="009C5EFD" w:rsidRDefault="00526106" w:rsidP="009C5EFD">
      <w:pPr>
        <w:suppressAutoHyphens/>
        <w:ind w:left="54"/>
        <w:rPr>
          <w:del w:id="1168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1BDB7A4" w14:textId="238D5E16">
        <w:trPr>
          <w:del w:id="11688" w:author="AbbVie02no" w:date="2025-05-15T13:53:00Z"/>
        </w:trPr>
        <w:tc>
          <w:tcPr>
            <w:tcW w:w="9281" w:type="dxa"/>
          </w:tcPr>
          <w:p w14:paraId="4C34D434" w14:textId="433A02E2" w:rsidR="00526106" w:rsidRPr="009C5EFD" w:rsidRDefault="00E453CD" w:rsidP="009C5EFD">
            <w:pPr>
              <w:ind w:left="567" w:hanging="567"/>
              <w:rPr>
                <w:del w:id="11689" w:author="AbbVie02no" w:date="2025-05-15T13:53:00Z"/>
                <w:b/>
                <w:sz w:val="22"/>
                <w:szCs w:val="22"/>
              </w:rPr>
            </w:pPr>
            <w:del w:id="11690" w:author="AbbVie02no" w:date="2025-05-15T13:53:00Z">
              <w:r w:rsidRPr="009C5EFD">
                <w:rPr>
                  <w:b/>
                  <w:sz w:val="22"/>
                  <w:szCs w:val="22"/>
                </w:rPr>
                <w:delText>5.</w:delText>
              </w:r>
              <w:r w:rsidRPr="009C5EFD">
                <w:rPr>
                  <w:b/>
                  <w:sz w:val="22"/>
                  <w:szCs w:val="22"/>
                </w:rPr>
                <w:tab/>
                <w:delText xml:space="preserve">ADMINISTRASJONSMÅTE OG </w:delText>
              </w:r>
              <w:r w:rsidR="0050174A">
                <w:rPr>
                  <w:b/>
                  <w:sz w:val="22"/>
                  <w:szCs w:val="22"/>
                </w:rPr>
                <w:delText>-</w:delText>
              </w:r>
              <w:r w:rsidR="0050174A" w:rsidRPr="009C5EFD">
                <w:rPr>
                  <w:b/>
                  <w:sz w:val="22"/>
                  <w:szCs w:val="22"/>
                </w:rPr>
                <w:delText>VEI</w:delText>
              </w:r>
            </w:del>
          </w:p>
        </w:tc>
      </w:tr>
    </w:tbl>
    <w:p w14:paraId="063AE5E0" w14:textId="015F3E80" w:rsidR="00526106" w:rsidRPr="009C5EFD" w:rsidRDefault="00526106" w:rsidP="007F67EE">
      <w:pPr>
        <w:suppressAutoHyphens/>
        <w:ind w:left="54"/>
        <w:rPr>
          <w:del w:id="11691" w:author="AbbVie02no" w:date="2025-05-15T13:53:00Z"/>
          <w:sz w:val="22"/>
          <w:szCs w:val="22"/>
        </w:rPr>
      </w:pPr>
    </w:p>
    <w:p w14:paraId="1C9166F1" w14:textId="5498B793" w:rsidR="00526106" w:rsidRPr="009C5EFD" w:rsidRDefault="00E453CD" w:rsidP="00193D76">
      <w:pPr>
        <w:suppressAutoHyphens/>
        <w:ind w:left="54"/>
        <w:rPr>
          <w:del w:id="11692" w:author="AbbVie02no" w:date="2025-05-15T13:53:00Z"/>
          <w:sz w:val="22"/>
          <w:szCs w:val="22"/>
        </w:rPr>
      </w:pPr>
      <w:del w:id="11693" w:author="AbbVie02no" w:date="2025-05-15T13:53:00Z">
        <w:r w:rsidRPr="009C5EFD">
          <w:rPr>
            <w:sz w:val="22"/>
            <w:szCs w:val="22"/>
          </w:rPr>
          <w:delText>Subkutan bruk</w:delText>
        </w:r>
      </w:del>
    </w:p>
    <w:p w14:paraId="1126F79B" w14:textId="01C76623" w:rsidR="00526106" w:rsidRPr="009C5EFD" w:rsidRDefault="00526106" w:rsidP="002D0790">
      <w:pPr>
        <w:suppressAutoHyphens/>
        <w:ind w:left="54"/>
        <w:rPr>
          <w:del w:id="11694" w:author="AbbVie02no" w:date="2025-05-15T13:53:00Z"/>
          <w:sz w:val="22"/>
          <w:szCs w:val="22"/>
        </w:rPr>
      </w:pPr>
    </w:p>
    <w:p w14:paraId="1EF5B6CC" w14:textId="4195EA94" w:rsidR="00526106" w:rsidRDefault="00E453CD" w:rsidP="00C07C98">
      <w:pPr>
        <w:suppressAutoHyphens/>
        <w:ind w:left="54"/>
        <w:rPr>
          <w:del w:id="11695" w:author="AbbVie02no" w:date="2025-05-15T13:53:00Z"/>
          <w:sz w:val="22"/>
          <w:szCs w:val="22"/>
        </w:rPr>
      </w:pPr>
      <w:del w:id="11696" w:author="AbbVie02no" w:date="2025-05-15T13:53:00Z">
        <w:r w:rsidRPr="009C5EFD">
          <w:rPr>
            <w:sz w:val="22"/>
            <w:szCs w:val="22"/>
          </w:rPr>
          <w:delText>Les pakningsvedlegget før bruk</w:delText>
        </w:r>
        <w:r w:rsidR="00AE2643" w:rsidRPr="009C5EFD">
          <w:rPr>
            <w:sz w:val="22"/>
            <w:szCs w:val="22"/>
          </w:rPr>
          <w:delText>.</w:delText>
        </w:r>
      </w:del>
    </w:p>
    <w:p w14:paraId="53728082" w14:textId="2F551452" w:rsidR="00392F46" w:rsidRDefault="00392F46" w:rsidP="00C07C98">
      <w:pPr>
        <w:suppressAutoHyphens/>
        <w:ind w:left="54"/>
        <w:rPr>
          <w:del w:id="11697" w:author="AbbVie02no" w:date="2025-05-15T13:53:00Z"/>
          <w:sz w:val="22"/>
          <w:szCs w:val="22"/>
        </w:rPr>
      </w:pPr>
    </w:p>
    <w:p w14:paraId="6AB8D13E" w14:textId="38B950A0" w:rsidR="00392F46" w:rsidRPr="009C5EFD" w:rsidRDefault="00E453CD" w:rsidP="00C07C98">
      <w:pPr>
        <w:suppressAutoHyphens/>
        <w:ind w:left="54"/>
        <w:rPr>
          <w:del w:id="11698" w:author="AbbVie02no" w:date="2025-05-15T13:53:00Z"/>
          <w:sz w:val="22"/>
          <w:szCs w:val="22"/>
        </w:rPr>
      </w:pPr>
      <w:del w:id="11699" w:author="AbbVie02no" w:date="2025-05-15T13:53:00Z">
        <w:r>
          <w:rPr>
            <w:sz w:val="22"/>
            <w:szCs w:val="22"/>
          </w:rPr>
          <w:delText>T</w:delText>
        </w:r>
        <w:r w:rsidRPr="009C5EFD">
          <w:rPr>
            <w:sz w:val="22"/>
            <w:szCs w:val="22"/>
          </w:rPr>
          <w:delText>il bruk hos barn</w:delText>
        </w:r>
      </w:del>
    </w:p>
    <w:p w14:paraId="4F402571" w14:textId="3856D102" w:rsidR="00526106" w:rsidRPr="009C5EFD" w:rsidRDefault="00526106" w:rsidP="00E14E58">
      <w:pPr>
        <w:suppressAutoHyphens/>
        <w:ind w:left="54"/>
        <w:rPr>
          <w:del w:id="11700" w:author="AbbVie02no" w:date="2025-05-15T13:53:00Z"/>
          <w:sz w:val="22"/>
          <w:szCs w:val="22"/>
        </w:rPr>
      </w:pPr>
    </w:p>
    <w:p w14:paraId="6AE94BCC" w14:textId="759D0D1E" w:rsidR="00526106" w:rsidRPr="009C5EFD" w:rsidRDefault="00526106" w:rsidP="009C5EFD">
      <w:pPr>
        <w:suppressAutoHyphens/>
        <w:ind w:left="54"/>
        <w:rPr>
          <w:del w:id="11701"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8930D6" w14:textId="2A67F3FF">
        <w:trPr>
          <w:del w:id="11702" w:author="AbbVie02no" w:date="2025-05-15T13:53:00Z"/>
        </w:trPr>
        <w:tc>
          <w:tcPr>
            <w:tcW w:w="9281" w:type="dxa"/>
          </w:tcPr>
          <w:p w14:paraId="130DB298" w14:textId="08226421" w:rsidR="00526106" w:rsidRPr="009C5EFD" w:rsidRDefault="00E453CD" w:rsidP="009C5EFD">
            <w:pPr>
              <w:ind w:left="567" w:hanging="567"/>
              <w:rPr>
                <w:del w:id="11703" w:author="AbbVie02no" w:date="2025-05-15T13:53:00Z"/>
                <w:b/>
                <w:sz w:val="22"/>
                <w:szCs w:val="22"/>
              </w:rPr>
            </w:pPr>
            <w:del w:id="11704" w:author="AbbVie02no" w:date="2025-05-15T13:53:00Z">
              <w:r w:rsidRPr="009C5EFD">
                <w:rPr>
                  <w:b/>
                  <w:sz w:val="22"/>
                  <w:szCs w:val="22"/>
                </w:rPr>
                <w:delText>6.</w:delText>
              </w:r>
              <w:r w:rsidRPr="009C5EFD">
                <w:rPr>
                  <w:b/>
                  <w:sz w:val="22"/>
                  <w:szCs w:val="22"/>
                </w:rPr>
                <w:tab/>
                <w:delText>ADVARSEL OM AT LEGEMIDLET SKAL OPPBEVARES UTILGJENGELIG FOR BARN</w:delText>
              </w:r>
            </w:del>
          </w:p>
        </w:tc>
      </w:tr>
    </w:tbl>
    <w:p w14:paraId="1D233D63" w14:textId="71084557" w:rsidR="00526106" w:rsidRPr="009C5EFD" w:rsidRDefault="00526106" w:rsidP="007F67EE">
      <w:pPr>
        <w:suppressAutoHyphens/>
        <w:ind w:left="54"/>
        <w:rPr>
          <w:del w:id="11705" w:author="AbbVie02no" w:date="2025-05-15T13:53:00Z"/>
          <w:sz w:val="22"/>
          <w:szCs w:val="22"/>
        </w:rPr>
      </w:pPr>
    </w:p>
    <w:p w14:paraId="6BF6C8EB" w14:textId="256C3420" w:rsidR="00526106" w:rsidRPr="009C5EFD" w:rsidRDefault="00E453CD" w:rsidP="00193D76">
      <w:pPr>
        <w:suppressAutoHyphens/>
        <w:ind w:left="54"/>
        <w:rPr>
          <w:del w:id="11706" w:author="AbbVie02no" w:date="2025-05-15T13:53:00Z"/>
          <w:sz w:val="22"/>
          <w:szCs w:val="22"/>
        </w:rPr>
      </w:pPr>
      <w:del w:id="11707" w:author="AbbVie02no" w:date="2025-05-15T13:53:00Z">
        <w:r w:rsidRPr="009C5EFD">
          <w:rPr>
            <w:sz w:val="22"/>
            <w:szCs w:val="22"/>
          </w:rPr>
          <w:delText>Oppbevares utilgjengelig for barn.</w:delText>
        </w:r>
      </w:del>
    </w:p>
    <w:p w14:paraId="7586C3EC" w14:textId="43186FEA" w:rsidR="00526106" w:rsidRPr="009C5EFD" w:rsidRDefault="00526106" w:rsidP="002D0790">
      <w:pPr>
        <w:suppressAutoHyphens/>
        <w:ind w:left="54"/>
        <w:rPr>
          <w:del w:id="11708" w:author="AbbVie02no" w:date="2025-05-15T13:53:00Z"/>
          <w:sz w:val="22"/>
          <w:szCs w:val="22"/>
        </w:rPr>
      </w:pPr>
    </w:p>
    <w:p w14:paraId="4E172BF2" w14:textId="1B8A3801" w:rsidR="00526106" w:rsidRPr="009C5EFD" w:rsidRDefault="00526106" w:rsidP="00C07C98">
      <w:pPr>
        <w:suppressAutoHyphens/>
        <w:ind w:left="54"/>
        <w:rPr>
          <w:del w:id="1170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6338A4D" w14:textId="04CC8907">
        <w:trPr>
          <w:del w:id="11710" w:author="AbbVie02no" w:date="2025-05-15T13:53:00Z"/>
        </w:trPr>
        <w:tc>
          <w:tcPr>
            <w:tcW w:w="9281" w:type="dxa"/>
          </w:tcPr>
          <w:p w14:paraId="69FDBC73" w14:textId="4D7B0DC8" w:rsidR="00526106" w:rsidRPr="009C5EFD" w:rsidRDefault="00E453CD" w:rsidP="00E14E58">
            <w:pPr>
              <w:ind w:left="567" w:hanging="567"/>
              <w:rPr>
                <w:del w:id="11711" w:author="AbbVie02no" w:date="2025-05-15T13:53:00Z"/>
                <w:b/>
                <w:sz w:val="22"/>
                <w:szCs w:val="22"/>
              </w:rPr>
            </w:pPr>
            <w:del w:id="11712" w:author="AbbVie02no" w:date="2025-05-15T13:53:00Z">
              <w:r w:rsidRPr="009C5EFD">
                <w:rPr>
                  <w:b/>
                  <w:sz w:val="22"/>
                  <w:szCs w:val="22"/>
                </w:rPr>
                <w:delText>7.</w:delText>
              </w:r>
              <w:r w:rsidRPr="009C5EFD">
                <w:rPr>
                  <w:b/>
                  <w:sz w:val="22"/>
                  <w:szCs w:val="22"/>
                </w:rPr>
                <w:tab/>
                <w:delText>EVENTUELLE ANDRE SPESIELLE ADVARSLER</w:delText>
              </w:r>
            </w:del>
          </w:p>
        </w:tc>
      </w:tr>
    </w:tbl>
    <w:p w14:paraId="424D95D9" w14:textId="35B17D14" w:rsidR="00526106" w:rsidRPr="009C5EFD" w:rsidRDefault="00526106" w:rsidP="007F67EE">
      <w:pPr>
        <w:suppressAutoHyphens/>
        <w:rPr>
          <w:del w:id="11713" w:author="AbbVie02no" w:date="2025-05-15T13:53:00Z"/>
          <w:sz w:val="22"/>
          <w:szCs w:val="22"/>
        </w:rPr>
      </w:pPr>
    </w:p>
    <w:p w14:paraId="357A728F" w14:textId="75183032" w:rsidR="00526106" w:rsidRPr="009C5EFD" w:rsidRDefault="00526106" w:rsidP="00193D76">
      <w:pPr>
        <w:suppressAutoHyphens/>
        <w:ind w:left="54"/>
        <w:rPr>
          <w:del w:id="11714"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76640D" w14:textId="12B87C72">
        <w:trPr>
          <w:del w:id="11715" w:author="AbbVie02no" w:date="2025-05-15T13:53:00Z"/>
        </w:trPr>
        <w:tc>
          <w:tcPr>
            <w:tcW w:w="9281" w:type="dxa"/>
          </w:tcPr>
          <w:p w14:paraId="3589B1CA" w14:textId="3F509D8A" w:rsidR="00526106" w:rsidRPr="009C5EFD" w:rsidRDefault="00E453CD" w:rsidP="00661964">
            <w:pPr>
              <w:keepNext/>
              <w:ind w:left="567" w:hanging="567"/>
              <w:rPr>
                <w:del w:id="11716" w:author="AbbVie02no" w:date="2025-05-15T13:53:00Z"/>
                <w:b/>
                <w:sz w:val="22"/>
                <w:szCs w:val="22"/>
              </w:rPr>
            </w:pPr>
            <w:del w:id="11717" w:author="AbbVie02no" w:date="2025-05-15T13:53:00Z">
              <w:r w:rsidRPr="009C5EFD">
                <w:rPr>
                  <w:b/>
                  <w:sz w:val="22"/>
                  <w:szCs w:val="22"/>
                </w:rPr>
                <w:lastRenderedPageBreak/>
                <w:delText>8.</w:delText>
              </w:r>
              <w:r w:rsidRPr="009C5EFD">
                <w:rPr>
                  <w:b/>
                  <w:sz w:val="22"/>
                  <w:szCs w:val="22"/>
                </w:rPr>
                <w:tab/>
                <w:delText>UTLØPSDATO</w:delText>
              </w:r>
            </w:del>
          </w:p>
        </w:tc>
      </w:tr>
    </w:tbl>
    <w:p w14:paraId="1EE9467A" w14:textId="4A8AD590" w:rsidR="00526106" w:rsidRPr="009C5EFD" w:rsidRDefault="00526106" w:rsidP="00661964">
      <w:pPr>
        <w:keepNext/>
        <w:suppressAutoHyphens/>
        <w:ind w:left="621" w:hanging="567"/>
        <w:rPr>
          <w:del w:id="11718" w:author="AbbVie02no" w:date="2025-05-15T13:53:00Z"/>
          <w:sz w:val="22"/>
          <w:szCs w:val="22"/>
        </w:rPr>
      </w:pPr>
    </w:p>
    <w:p w14:paraId="7641849E" w14:textId="0697C0E9" w:rsidR="00526106" w:rsidRPr="009C5EFD" w:rsidRDefault="00E453CD" w:rsidP="00661964">
      <w:pPr>
        <w:keepNext/>
        <w:suppressAutoHyphens/>
        <w:ind w:left="57"/>
        <w:rPr>
          <w:del w:id="11719" w:author="AbbVie02no" w:date="2025-05-15T13:53:00Z"/>
          <w:sz w:val="22"/>
          <w:szCs w:val="22"/>
        </w:rPr>
      </w:pPr>
      <w:del w:id="11720" w:author="AbbVie02no" w:date="2025-05-15T13:53:00Z">
        <w:r>
          <w:rPr>
            <w:sz w:val="22"/>
            <w:szCs w:val="22"/>
          </w:rPr>
          <w:delText>EXP</w:delText>
        </w:r>
      </w:del>
    </w:p>
    <w:p w14:paraId="4A899A7B" w14:textId="06D055E2" w:rsidR="00526106" w:rsidRPr="009C5EFD" w:rsidRDefault="00526106" w:rsidP="00661964">
      <w:pPr>
        <w:keepNext/>
        <w:ind w:left="54"/>
        <w:rPr>
          <w:del w:id="11721" w:author="AbbVie02no" w:date="2025-05-15T13:53:00Z"/>
          <w:sz w:val="22"/>
          <w:szCs w:val="22"/>
        </w:rPr>
      </w:pPr>
    </w:p>
    <w:p w14:paraId="1BF84EE8" w14:textId="017B6B2A" w:rsidR="00526106" w:rsidRPr="009C5EFD" w:rsidRDefault="00526106" w:rsidP="002D0790">
      <w:pPr>
        <w:suppressAutoHyphens/>
        <w:ind w:left="54"/>
        <w:rPr>
          <w:del w:id="11722"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1B9F059" w14:textId="68931FF4">
        <w:trPr>
          <w:del w:id="11723" w:author="AbbVie02no" w:date="2025-05-15T13:53:00Z"/>
        </w:trPr>
        <w:tc>
          <w:tcPr>
            <w:tcW w:w="9281" w:type="dxa"/>
          </w:tcPr>
          <w:p w14:paraId="1FF7D52D" w14:textId="5E89D3E7" w:rsidR="00526106" w:rsidRPr="009C5EFD" w:rsidRDefault="00E453CD" w:rsidP="00C07C98">
            <w:pPr>
              <w:ind w:left="567" w:hanging="567"/>
              <w:rPr>
                <w:del w:id="11724" w:author="AbbVie02no" w:date="2025-05-15T13:53:00Z"/>
                <w:b/>
                <w:sz w:val="22"/>
                <w:szCs w:val="22"/>
              </w:rPr>
            </w:pPr>
            <w:del w:id="11725" w:author="AbbVie02no" w:date="2025-05-15T13:53:00Z">
              <w:r w:rsidRPr="009C5EFD">
                <w:rPr>
                  <w:b/>
                  <w:sz w:val="22"/>
                  <w:szCs w:val="22"/>
                </w:rPr>
                <w:delText>9.</w:delText>
              </w:r>
              <w:r w:rsidRPr="009C5EFD">
                <w:rPr>
                  <w:b/>
                  <w:sz w:val="22"/>
                  <w:szCs w:val="22"/>
                </w:rPr>
                <w:tab/>
                <w:delText>OPPBEVARINGSBETINGELSER</w:delText>
              </w:r>
            </w:del>
          </w:p>
        </w:tc>
      </w:tr>
    </w:tbl>
    <w:p w14:paraId="5546475E" w14:textId="6F3DC814" w:rsidR="00526106" w:rsidRPr="009C5EFD" w:rsidRDefault="00526106" w:rsidP="007F67EE">
      <w:pPr>
        <w:suppressAutoHyphens/>
        <w:ind w:left="54"/>
        <w:rPr>
          <w:del w:id="11726" w:author="AbbVie02no" w:date="2025-05-15T13:53:00Z"/>
          <w:sz w:val="22"/>
          <w:szCs w:val="22"/>
        </w:rPr>
      </w:pPr>
    </w:p>
    <w:p w14:paraId="042CD478" w14:textId="3290FBDE" w:rsidR="00526106" w:rsidRPr="009C5EFD" w:rsidRDefault="00E453CD" w:rsidP="002D0790">
      <w:pPr>
        <w:suppressAutoHyphens/>
        <w:ind w:left="54"/>
        <w:rPr>
          <w:del w:id="11727" w:author="AbbVie02no" w:date="2025-05-15T13:53:00Z"/>
          <w:sz w:val="22"/>
          <w:szCs w:val="22"/>
        </w:rPr>
      </w:pPr>
      <w:del w:id="11728" w:author="AbbVie02no" w:date="2025-05-15T13:53:00Z">
        <w:r w:rsidRPr="009C5EFD">
          <w:rPr>
            <w:sz w:val="22"/>
            <w:szCs w:val="22"/>
          </w:rPr>
          <w:delText>Oppbe</w:delText>
        </w:r>
        <w:r w:rsidR="007E548F" w:rsidRPr="009C5EFD">
          <w:rPr>
            <w:sz w:val="22"/>
            <w:szCs w:val="22"/>
          </w:rPr>
          <w:delText xml:space="preserve">vares i kjøleskap. </w:delText>
        </w:r>
        <w:r w:rsidR="00D81405" w:rsidRPr="009C5EFD">
          <w:rPr>
            <w:sz w:val="22"/>
            <w:szCs w:val="22"/>
          </w:rPr>
          <w:delText xml:space="preserve">Skal </w:delText>
        </w:r>
        <w:r w:rsidRPr="009C5EFD">
          <w:rPr>
            <w:sz w:val="22"/>
            <w:szCs w:val="22"/>
          </w:rPr>
          <w:delText xml:space="preserve">ikke fryses. </w:delText>
        </w:r>
      </w:del>
    </w:p>
    <w:p w14:paraId="46DFB89D" w14:textId="16A24B6E" w:rsidR="00526106" w:rsidRPr="009C5EFD" w:rsidRDefault="00E453CD" w:rsidP="00C07C98">
      <w:pPr>
        <w:suppressAutoHyphens/>
        <w:ind w:left="54"/>
        <w:rPr>
          <w:del w:id="11729" w:author="AbbVie02no" w:date="2025-05-15T13:53:00Z"/>
          <w:sz w:val="22"/>
          <w:szCs w:val="22"/>
        </w:rPr>
      </w:pPr>
      <w:del w:id="11730" w:author="AbbVie02no" w:date="2025-05-15T13:53:00Z">
        <w:r w:rsidRPr="009C5EFD">
          <w:rPr>
            <w:sz w:val="22"/>
            <w:szCs w:val="22"/>
          </w:rPr>
          <w:delText>Hetteglasset oppbevares i ytterkartongen</w:delText>
        </w:r>
        <w:r w:rsidR="00F96B04" w:rsidRPr="009C5EFD">
          <w:rPr>
            <w:sz w:val="22"/>
            <w:szCs w:val="22"/>
          </w:rPr>
          <w:delText xml:space="preserve"> for å beskytte mot lys</w:delText>
        </w:r>
        <w:r w:rsidRPr="009C5EFD">
          <w:rPr>
            <w:sz w:val="22"/>
            <w:szCs w:val="22"/>
          </w:rPr>
          <w:delText>.</w:delText>
        </w:r>
      </w:del>
    </w:p>
    <w:p w14:paraId="0FBA41A5" w14:textId="6B348643" w:rsidR="00526106" w:rsidRPr="009C5EFD" w:rsidRDefault="00526106" w:rsidP="00E14E58">
      <w:pPr>
        <w:suppressAutoHyphens/>
        <w:ind w:left="54"/>
        <w:rPr>
          <w:del w:id="11731" w:author="AbbVie02no" w:date="2025-05-15T13:53:00Z"/>
          <w:sz w:val="22"/>
          <w:szCs w:val="22"/>
        </w:rPr>
      </w:pPr>
    </w:p>
    <w:p w14:paraId="77750BEA" w14:textId="590FA73C" w:rsidR="00526106" w:rsidRPr="009C5EFD" w:rsidRDefault="00526106" w:rsidP="009C5EFD">
      <w:pPr>
        <w:suppressAutoHyphens/>
        <w:ind w:left="54"/>
        <w:rPr>
          <w:del w:id="11732"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3BFFFDA" w14:textId="005D0F7B">
        <w:trPr>
          <w:del w:id="11733" w:author="AbbVie02no" w:date="2025-05-15T13:53:00Z"/>
        </w:trPr>
        <w:tc>
          <w:tcPr>
            <w:tcW w:w="9281" w:type="dxa"/>
          </w:tcPr>
          <w:p w14:paraId="6056F9F4" w14:textId="43968444" w:rsidR="00526106" w:rsidRPr="009C5EFD" w:rsidRDefault="00E453CD" w:rsidP="009C5EFD">
            <w:pPr>
              <w:ind w:left="567" w:hanging="567"/>
              <w:rPr>
                <w:del w:id="11734" w:author="AbbVie02no" w:date="2025-05-15T13:53:00Z"/>
                <w:b/>
                <w:sz w:val="22"/>
                <w:szCs w:val="22"/>
              </w:rPr>
            </w:pPr>
            <w:del w:id="11735" w:author="AbbVie02no" w:date="2025-05-15T13:53:00Z">
              <w:r w:rsidRPr="009C5EFD">
                <w:rPr>
                  <w:b/>
                  <w:sz w:val="22"/>
                  <w:szCs w:val="22"/>
                </w:rPr>
                <w:delText>10.</w:delText>
              </w:r>
              <w:r w:rsidRPr="009C5EFD">
                <w:rPr>
                  <w:b/>
                  <w:sz w:val="22"/>
                  <w:szCs w:val="22"/>
                </w:rPr>
                <w:tab/>
                <w:delText>EVENTUELLE SPESIELLE FORHOLDSREGLER VED DESTRUKSJON AV UBRUKTE LEGEMIDLER ELLER AVFALL</w:delText>
              </w:r>
            </w:del>
          </w:p>
        </w:tc>
      </w:tr>
    </w:tbl>
    <w:p w14:paraId="77C70B7C" w14:textId="0D278EF2" w:rsidR="00526106" w:rsidRPr="009C5EFD" w:rsidRDefault="00526106" w:rsidP="007F67EE">
      <w:pPr>
        <w:suppressAutoHyphens/>
        <w:ind w:left="54"/>
        <w:rPr>
          <w:del w:id="11736" w:author="AbbVie02no" w:date="2025-05-15T13:53:00Z"/>
          <w:sz w:val="22"/>
          <w:szCs w:val="22"/>
        </w:rPr>
      </w:pPr>
    </w:p>
    <w:p w14:paraId="2A108437" w14:textId="41A3824D" w:rsidR="00526106" w:rsidRPr="009C5EFD" w:rsidRDefault="00526106" w:rsidP="00193D76">
      <w:pPr>
        <w:suppressAutoHyphens/>
        <w:ind w:left="54"/>
        <w:rPr>
          <w:del w:id="1173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7328E64" w14:textId="5D284A5D">
        <w:trPr>
          <w:del w:id="11738" w:author="AbbVie02no" w:date="2025-05-15T13:53:00Z"/>
        </w:trPr>
        <w:tc>
          <w:tcPr>
            <w:tcW w:w="9281" w:type="dxa"/>
          </w:tcPr>
          <w:p w14:paraId="56AD08AC" w14:textId="51AFB7BA" w:rsidR="00526106" w:rsidRPr="009C5EFD" w:rsidRDefault="00E453CD" w:rsidP="002D0790">
            <w:pPr>
              <w:ind w:left="567" w:hanging="567"/>
              <w:rPr>
                <w:del w:id="11739" w:author="AbbVie02no" w:date="2025-05-15T13:53:00Z"/>
                <w:b/>
                <w:sz w:val="22"/>
                <w:szCs w:val="22"/>
              </w:rPr>
            </w:pPr>
            <w:del w:id="11740" w:author="AbbVie02no" w:date="2025-05-15T13:53:00Z">
              <w:r w:rsidRPr="009C5EFD">
                <w:rPr>
                  <w:b/>
                  <w:sz w:val="22"/>
                  <w:szCs w:val="22"/>
                </w:rPr>
                <w:delText>11.</w:delText>
              </w:r>
              <w:r w:rsidRPr="009C5EFD">
                <w:rPr>
                  <w:b/>
                  <w:sz w:val="22"/>
                  <w:szCs w:val="22"/>
                </w:rPr>
                <w:tab/>
                <w:delText>NAVN OG ADRESSE PÅ INNEHAVEREN AV MARKEDSFØRINGSTILLATELSEN</w:delText>
              </w:r>
            </w:del>
          </w:p>
        </w:tc>
      </w:tr>
    </w:tbl>
    <w:p w14:paraId="798D7F58" w14:textId="6DB9ABEC" w:rsidR="00526106" w:rsidRPr="009C5EFD" w:rsidRDefault="00526106" w:rsidP="007F67EE">
      <w:pPr>
        <w:suppressAutoHyphens/>
        <w:ind w:left="54"/>
        <w:rPr>
          <w:del w:id="11741" w:author="AbbVie02no" w:date="2025-05-15T13:53:00Z"/>
          <w:sz w:val="22"/>
          <w:szCs w:val="22"/>
        </w:rPr>
      </w:pPr>
    </w:p>
    <w:p w14:paraId="445B5E30" w14:textId="75CB1535" w:rsidR="00851837" w:rsidRPr="00EF12DF" w:rsidRDefault="00E453CD" w:rsidP="00851837">
      <w:pPr>
        <w:rPr>
          <w:del w:id="11742" w:author="AbbVie02no" w:date="2025-05-15T13:53:00Z"/>
          <w:sz w:val="22"/>
          <w:szCs w:val="22"/>
        </w:rPr>
      </w:pPr>
      <w:del w:id="11743" w:author="AbbVie02no" w:date="2025-05-15T13:53:00Z">
        <w:r w:rsidRPr="00EF12DF">
          <w:rPr>
            <w:sz w:val="22"/>
            <w:szCs w:val="22"/>
          </w:rPr>
          <w:delText>AbbVie Deutschland GmbH &amp; Co. KG</w:delText>
        </w:r>
      </w:del>
    </w:p>
    <w:p w14:paraId="00391DCD" w14:textId="2406FDBB" w:rsidR="00851837" w:rsidRPr="00EF12DF" w:rsidRDefault="00E453CD" w:rsidP="00851837">
      <w:pPr>
        <w:rPr>
          <w:del w:id="11744" w:author="AbbVie02no" w:date="2025-05-15T13:53:00Z"/>
          <w:sz w:val="22"/>
          <w:szCs w:val="22"/>
        </w:rPr>
      </w:pPr>
      <w:del w:id="11745" w:author="AbbVie02no" w:date="2025-05-15T13:53:00Z">
        <w:r w:rsidRPr="00EF12DF">
          <w:rPr>
            <w:sz w:val="22"/>
            <w:szCs w:val="22"/>
          </w:rPr>
          <w:delText>Knollstrasse</w:delText>
        </w:r>
      </w:del>
    </w:p>
    <w:p w14:paraId="2A38E417" w14:textId="3EA84E02" w:rsidR="00851837" w:rsidRPr="00EF12DF" w:rsidRDefault="00E453CD" w:rsidP="00851837">
      <w:pPr>
        <w:rPr>
          <w:del w:id="11746" w:author="AbbVie02no" w:date="2025-05-15T13:53:00Z"/>
          <w:sz w:val="22"/>
          <w:szCs w:val="22"/>
        </w:rPr>
      </w:pPr>
      <w:del w:id="11747" w:author="AbbVie02no" w:date="2025-05-15T13:53:00Z">
        <w:r w:rsidRPr="00EF12DF">
          <w:rPr>
            <w:sz w:val="22"/>
            <w:szCs w:val="22"/>
          </w:rPr>
          <w:delText>67061 Ludwigshafen</w:delText>
        </w:r>
      </w:del>
    </w:p>
    <w:p w14:paraId="63931D0C" w14:textId="081D7A4B" w:rsidR="00851837" w:rsidRPr="009C5EFD" w:rsidRDefault="00E453CD" w:rsidP="00851837">
      <w:pPr>
        <w:rPr>
          <w:del w:id="11748" w:author="AbbVie02no" w:date="2025-05-15T13:53:00Z"/>
          <w:sz w:val="22"/>
          <w:szCs w:val="22"/>
        </w:rPr>
      </w:pPr>
      <w:del w:id="11749" w:author="AbbVie02no" w:date="2025-05-15T13:53:00Z">
        <w:r>
          <w:rPr>
            <w:sz w:val="22"/>
            <w:szCs w:val="22"/>
          </w:rPr>
          <w:delText>Tyskland</w:delText>
        </w:r>
      </w:del>
    </w:p>
    <w:p w14:paraId="1DCE43A8" w14:textId="6DE9335C" w:rsidR="00526106" w:rsidRPr="003F000C" w:rsidRDefault="00526106" w:rsidP="009C5EFD">
      <w:pPr>
        <w:suppressAutoHyphens/>
        <w:ind w:left="54"/>
        <w:rPr>
          <w:del w:id="11750" w:author="AbbVie02no" w:date="2025-05-15T13:53:00Z"/>
          <w:sz w:val="22"/>
          <w:szCs w:val="22"/>
          <w:lang w:val="sv-SE"/>
        </w:rPr>
      </w:pPr>
    </w:p>
    <w:p w14:paraId="0D0645E6" w14:textId="26643F64" w:rsidR="00526106" w:rsidRPr="003F000C" w:rsidRDefault="00526106" w:rsidP="009C5EFD">
      <w:pPr>
        <w:suppressAutoHyphens/>
        <w:ind w:left="54"/>
        <w:rPr>
          <w:del w:id="11751" w:author="AbbVie02no" w:date="2025-05-15T13:53:00Z"/>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F7E86F3" w14:textId="60B629FA">
        <w:trPr>
          <w:del w:id="11752" w:author="AbbVie02no" w:date="2025-05-15T13:53:00Z"/>
        </w:trPr>
        <w:tc>
          <w:tcPr>
            <w:tcW w:w="9281" w:type="dxa"/>
          </w:tcPr>
          <w:p w14:paraId="44B42F11" w14:textId="3E3DB784" w:rsidR="00526106" w:rsidRPr="009C5EFD" w:rsidRDefault="00E453CD" w:rsidP="009C5EFD">
            <w:pPr>
              <w:ind w:left="567" w:hanging="567"/>
              <w:rPr>
                <w:del w:id="11753" w:author="AbbVie02no" w:date="2025-05-15T13:53:00Z"/>
                <w:b/>
                <w:sz w:val="22"/>
                <w:szCs w:val="22"/>
              </w:rPr>
            </w:pPr>
            <w:del w:id="11754" w:author="AbbVie02no" w:date="2025-05-15T13:53:00Z">
              <w:r w:rsidRPr="009C5EFD">
                <w:rPr>
                  <w:b/>
                  <w:sz w:val="22"/>
                  <w:szCs w:val="22"/>
                </w:rPr>
                <w:delText>12.</w:delText>
              </w:r>
              <w:r w:rsidRPr="009C5EFD">
                <w:rPr>
                  <w:b/>
                  <w:sz w:val="22"/>
                  <w:szCs w:val="22"/>
                </w:rPr>
                <w:tab/>
                <w:delText>MARKEDSFØRINGSTILLATELSESNUMMER (NUMRE)</w:delText>
              </w:r>
            </w:del>
          </w:p>
        </w:tc>
      </w:tr>
    </w:tbl>
    <w:p w14:paraId="440C0812" w14:textId="477552A8" w:rsidR="00526106" w:rsidRPr="009C5EFD" w:rsidRDefault="00526106" w:rsidP="007F67EE">
      <w:pPr>
        <w:suppressAutoHyphens/>
        <w:ind w:left="54"/>
        <w:rPr>
          <w:del w:id="11755" w:author="AbbVie02no" w:date="2025-05-15T13:53:00Z"/>
          <w:sz w:val="22"/>
          <w:szCs w:val="22"/>
        </w:rPr>
      </w:pPr>
    </w:p>
    <w:p w14:paraId="1C9E74AE" w14:textId="04028741" w:rsidR="00526106" w:rsidRPr="009C5EFD" w:rsidRDefault="00E453CD" w:rsidP="00193D76">
      <w:pPr>
        <w:suppressAutoHyphens/>
        <w:ind w:left="480" w:hanging="426"/>
        <w:rPr>
          <w:del w:id="11756" w:author="AbbVie02no" w:date="2025-05-15T13:53:00Z"/>
          <w:sz w:val="22"/>
          <w:szCs w:val="22"/>
        </w:rPr>
      </w:pPr>
      <w:del w:id="11757" w:author="AbbVie02no" w:date="2025-05-15T13:53:00Z">
        <w:r w:rsidRPr="009C5EFD">
          <w:rPr>
            <w:sz w:val="22"/>
            <w:szCs w:val="22"/>
          </w:rPr>
          <w:delText>EU/1/03/256/001</w:delText>
        </w:r>
      </w:del>
    </w:p>
    <w:p w14:paraId="05EEFE66" w14:textId="700B8E5E" w:rsidR="00526106" w:rsidRPr="009C5EFD" w:rsidRDefault="00526106" w:rsidP="002D0790">
      <w:pPr>
        <w:ind w:left="54"/>
        <w:rPr>
          <w:del w:id="11758" w:author="AbbVie02no" w:date="2025-05-15T13:53:00Z"/>
          <w:sz w:val="22"/>
          <w:szCs w:val="22"/>
        </w:rPr>
      </w:pPr>
    </w:p>
    <w:p w14:paraId="3CA23199" w14:textId="0661B07A" w:rsidR="00526106" w:rsidRPr="009C5EFD" w:rsidRDefault="00526106" w:rsidP="00C07C98">
      <w:pPr>
        <w:ind w:left="54"/>
        <w:rPr>
          <w:del w:id="1175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DA7B65E" w14:textId="1CDBF872">
        <w:trPr>
          <w:del w:id="11760" w:author="AbbVie02no" w:date="2025-05-15T13:53:00Z"/>
        </w:trPr>
        <w:tc>
          <w:tcPr>
            <w:tcW w:w="9281" w:type="dxa"/>
          </w:tcPr>
          <w:p w14:paraId="35558A4F" w14:textId="7F0FD143" w:rsidR="00526106" w:rsidRPr="009C5EFD" w:rsidRDefault="00E453CD" w:rsidP="00E14E58">
            <w:pPr>
              <w:ind w:left="567" w:hanging="567"/>
              <w:rPr>
                <w:del w:id="11761" w:author="AbbVie02no" w:date="2025-05-15T13:53:00Z"/>
                <w:b/>
                <w:sz w:val="22"/>
                <w:szCs w:val="22"/>
              </w:rPr>
            </w:pPr>
            <w:del w:id="11762" w:author="AbbVie02no" w:date="2025-05-15T13:53:00Z">
              <w:r w:rsidRPr="009C5EFD">
                <w:rPr>
                  <w:b/>
                  <w:sz w:val="22"/>
                  <w:szCs w:val="22"/>
                </w:rPr>
                <w:delText>13.</w:delText>
              </w:r>
              <w:r w:rsidRPr="009C5EFD">
                <w:rPr>
                  <w:b/>
                  <w:sz w:val="22"/>
                  <w:szCs w:val="22"/>
                </w:rPr>
                <w:tab/>
                <w:delText>PRODUKSJONSNUMMER</w:delText>
              </w:r>
            </w:del>
          </w:p>
        </w:tc>
      </w:tr>
    </w:tbl>
    <w:p w14:paraId="160BFA6F" w14:textId="3DD6DFB1" w:rsidR="00526106" w:rsidRPr="009C5EFD" w:rsidRDefault="00526106" w:rsidP="007F67EE">
      <w:pPr>
        <w:ind w:left="54"/>
        <w:rPr>
          <w:del w:id="11763" w:author="AbbVie02no" w:date="2025-05-15T13:53:00Z"/>
          <w:sz w:val="22"/>
          <w:szCs w:val="22"/>
        </w:rPr>
      </w:pPr>
    </w:p>
    <w:p w14:paraId="64933656" w14:textId="6148D5A3" w:rsidR="00526106" w:rsidRPr="009C5EFD" w:rsidRDefault="00E453CD" w:rsidP="00193D76">
      <w:pPr>
        <w:ind w:left="54"/>
        <w:rPr>
          <w:del w:id="11764" w:author="AbbVie02no" w:date="2025-05-15T13:53:00Z"/>
          <w:sz w:val="22"/>
          <w:szCs w:val="22"/>
        </w:rPr>
      </w:pPr>
      <w:del w:id="11765" w:author="AbbVie02no" w:date="2025-05-15T13:53:00Z">
        <w:r w:rsidRPr="009C5EFD">
          <w:rPr>
            <w:sz w:val="22"/>
            <w:szCs w:val="22"/>
          </w:rPr>
          <w:delText>Lot</w:delText>
        </w:r>
      </w:del>
    </w:p>
    <w:p w14:paraId="7E985C0D" w14:textId="4238BCE2" w:rsidR="00526106" w:rsidRPr="009C5EFD" w:rsidRDefault="00526106" w:rsidP="002D0790">
      <w:pPr>
        <w:ind w:left="54"/>
        <w:rPr>
          <w:del w:id="11766" w:author="AbbVie02no" w:date="2025-05-15T13:53:00Z"/>
          <w:sz w:val="22"/>
          <w:szCs w:val="22"/>
        </w:rPr>
      </w:pPr>
    </w:p>
    <w:p w14:paraId="3610649F" w14:textId="15B30ECF" w:rsidR="00526106" w:rsidRPr="009C5EFD" w:rsidRDefault="00526106" w:rsidP="00C07C98">
      <w:pPr>
        <w:ind w:left="54"/>
        <w:rPr>
          <w:del w:id="1176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815D85" w14:textId="2DCA79F5">
        <w:trPr>
          <w:del w:id="11768" w:author="AbbVie02no" w:date="2025-05-15T13:53:00Z"/>
        </w:trPr>
        <w:tc>
          <w:tcPr>
            <w:tcW w:w="9281" w:type="dxa"/>
          </w:tcPr>
          <w:p w14:paraId="2DF0F204" w14:textId="079D04B6" w:rsidR="00526106" w:rsidRPr="009C5EFD" w:rsidRDefault="00E453CD" w:rsidP="00E14E58">
            <w:pPr>
              <w:ind w:left="567" w:hanging="567"/>
              <w:rPr>
                <w:del w:id="11769" w:author="AbbVie02no" w:date="2025-05-15T13:53:00Z"/>
                <w:b/>
                <w:sz w:val="22"/>
                <w:szCs w:val="22"/>
              </w:rPr>
            </w:pPr>
            <w:del w:id="11770" w:author="AbbVie02no" w:date="2025-05-15T13:53:00Z">
              <w:r w:rsidRPr="009C5EFD">
                <w:rPr>
                  <w:b/>
                  <w:sz w:val="22"/>
                  <w:szCs w:val="22"/>
                </w:rPr>
                <w:delText>14.</w:delText>
              </w:r>
              <w:r w:rsidRPr="009C5EFD">
                <w:rPr>
                  <w:b/>
                  <w:sz w:val="22"/>
                  <w:szCs w:val="22"/>
                </w:rPr>
                <w:tab/>
                <w:delText>GENERELL KLASSIFIKASJON FOR UTLEVERING</w:delText>
              </w:r>
            </w:del>
          </w:p>
        </w:tc>
      </w:tr>
    </w:tbl>
    <w:p w14:paraId="70ED7787" w14:textId="4BB57C8D" w:rsidR="00526106" w:rsidRPr="009C5EFD" w:rsidRDefault="00526106" w:rsidP="002D0790">
      <w:pPr>
        <w:suppressAutoHyphens/>
        <w:ind w:left="774" w:hanging="720"/>
        <w:rPr>
          <w:del w:id="11771" w:author="AbbVie02no" w:date="2025-05-15T13:53:00Z"/>
          <w:sz w:val="22"/>
          <w:szCs w:val="22"/>
        </w:rPr>
      </w:pPr>
    </w:p>
    <w:p w14:paraId="610F696E" w14:textId="0C78112E" w:rsidR="00526106" w:rsidRPr="009C5EFD" w:rsidRDefault="00526106" w:rsidP="00C07C98">
      <w:pPr>
        <w:suppressAutoHyphens/>
        <w:ind w:left="774" w:hanging="720"/>
        <w:rPr>
          <w:del w:id="11772"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03D2C09" w14:textId="29782A4A">
        <w:trPr>
          <w:del w:id="11773" w:author="AbbVie02no" w:date="2025-05-15T13:53:00Z"/>
        </w:trPr>
        <w:tc>
          <w:tcPr>
            <w:tcW w:w="9281" w:type="dxa"/>
          </w:tcPr>
          <w:p w14:paraId="274C96AD" w14:textId="795ABFAC" w:rsidR="00526106" w:rsidRPr="009C5EFD" w:rsidRDefault="00E453CD" w:rsidP="00E14E58">
            <w:pPr>
              <w:ind w:left="567" w:hanging="567"/>
              <w:rPr>
                <w:del w:id="11774" w:author="AbbVie02no" w:date="2025-05-15T13:53:00Z"/>
                <w:b/>
                <w:sz w:val="22"/>
                <w:szCs w:val="22"/>
              </w:rPr>
            </w:pPr>
            <w:del w:id="11775" w:author="AbbVie02no" w:date="2025-05-15T13:53:00Z">
              <w:r w:rsidRPr="009C5EFD">
                <w:rPr>
                  <w:b/>
                  <w:sz w:val="22"/>
                  <w:szCs w:val="22"/>
                </w:rPr>
                <w:delText>15.</w:delText>
              </w:r>
              <w:r w:rsidRPr="009C5EFD">
                <w:rPr>
                  <w:b/>
                  <w:sz w:val="22"/>
                  <w:szCs w:val="22"/>
                </w:rPr>
                <w:tab/>
                <w:delText>BRUKSANVISNING</w:delText>
              </w:r>
            </w:del>
          </w:p>
        </w:tc>
      </w:tr>
    </w:tbl>
    <w:p w14:paraId="05CF3029" w14:textId="01FB15A7" w:rsidR="00526106" w:rsidRPr="00D968A3" w:rsidRDefault="00526106" w:rsidP="007F67EE">
      <w:pPr>
        <w:ind w:left="54"/>
        <w:rPr>
          <w:del w:id="11776" w:author="AbbVie02no" w:date="2025-05-15T13:53:00Z"/>
          <w:sz w:val="22"/>
          <w:szCs w:val="22"/>
        </w:rPr>
      </w:pPr>
    </w:p>
    <w:p w14:paraId="78775508" w14:textId="187A670F" w:rsidR="00526106" w:rsidRPr="00D968A3" w:rsidRDefault="00526106" w:rsidP="00193D76">
      <w:pPr>
        <w:ind w:left="54"/>
        <w:rPr>
          <w:del w:id="1177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2476A10" w14:textId="531D33DC">
        <w:trPr>
          <w:del w:id="11778" w:author="AbbVie02no" w:date="2025-05-15T13:53:00Z"/>
        </w:trPr>
        <w:tc>
          <w:tcPr>
            <w:tcW w:w="9281" w:type="dxa"/>
          </w:tcPr>
          <w:p w14:paraId="15060055" w14:textId="1A87498C" w:rsidR="00526106" w:rsidRPr="009C5EFD" w:rsidRDefault="00E453CD" w:rsidP="002D0790">
            <w:pPr>
              <w:ind w:left="567" w:hanging="567"/>
              <w:rPr>
                <w:del w:id="11779" w:author="AbbVie02no" w:date="2025-05-15T13:53:00Z"/>
                <w:b/>
                <w:sz w:val="22"/>
                <w:szCs w:val="22"/>
              </w:rPr>
            </w:pPr>
            <w:del w:id="11780" w:author="AbbVie02no" w:date="2025-05-15T13:53:00Z">
              <w:r w:rsidRPr="009C5EFD">
                <w:rPr>
                  <w:b/>
                  <w:sz w:val="22"/>
                  <w:szCs w:val="22"/>
                </w:rPr>
                <w:delText>16.</w:delText>
              </w:r>
              <w:r w:rsidRPr="009C5EFD">
                <w:rPr>
                  <w:b/>
                  <w:sz w:val="22"/>
                  <w:szCs w:val="22"/>
                </w:rPr>
                <w:tab/>
                <w:delText>INFORMASJON PÅ BLINDESKRIFT</w:delText>
              </w:r>
            </w:del>
          </w:p>
        </w:tc>
      </w:tr>
    </w:tbl>
    <w:p w14:paraId="28BCAF98" w14:textId="225B5B03" w:rsidR="00526106" w:rsidRPr="00D968A3" w:rsidRDefault="00526106" w:rsidP="007F67EE">
      <w:pPr>
        <w:ind w:left="54"/>
        <w:rPr>
          <w:del w:id="11781" w:author="AbbVie02no" w:date="2025-05-15T13:53:00Z"/>
          <w:sz w:val="22"/>
          <w:szCs w:val="22"/>
        </w:rPr>
      </w:pPr>
    </w:p>
    <w:p w14:paraId="69A93481" w14:textId="765777F7" w:rsidR="00A20A1B" w:rsidRDefault="00E453CD" w:rsidP="001F5D4B">
      <w:pPr>
        <w:ind w:left="54"/>
        <w:rPr>
          <w:del w:id="11782" w:author="AbbVie02no" w:date="2025-05-15T13:53:00Z"/>
          <w:sz w:val="22"/>
          <w:szCs w:val="22"/>
        </w:rPr>
      </w:pPr>
      <w:del w:id="11783" w:author="AbbVie02no" w:date="2025-05-15T13:53:00Z">
        <w:r w:rsidRPr="009C5EFD">
          <w:rPr>
            <w:sz w:val="22"/>
            <w:szCs w:val="22"/>
          </w:rPr>
          <w:delText>Humira 40</w:delText>
        </w:r>
        <w:r w:rsidR="00C75241">
          <w:rPr>
            <w:sz w:val="22"/>
            <w:szCs w:val="22"/>
          </w:rPr>
          <w:delText> </w:delText>
        </w:r>
        <w:r w:rsidRPr="009C5EFD">
          <w:rPr>
            <w:sz w:val="22"/>
            <w:szCs w:val="22"/>
          </w:rPr>
          <w:delText>mg</w:delText>
        </w:r>
      </w:del>
    </w:p>
    <w:p w14:paraId="1B503459" w14:textId="14A22CBA" w:rsidR="001E2ACA" w:rsidRDefault="001E2ACA" w:rsidP="001F5D4B">
      <w:pPr>
        <w:ind w:left="54"/>
        <w:rPr>
          <w:del w:id="11784" w:author="AbbVie02no" w:date="2025-05-15T13:53:00Z"/>
          <w:sz w:val="22"/>
          <w:szCs w:val="22"/>
        </w:rPr>
      </w:pPr>
    </w:p>
    <w:p w14:paraId="6EF4FAFE" w14:textId="2C9AA7EC" w:rsidR="001E2ACA" w:rsidRPr="001E2ACA" w:rsidRDefault="001E2ACA" w:rsidP="001E2ACA">
      <w:pPr>
        <w:tabs>
          <w:tab w:val="left" w:pos="562"/>
        </w:tabs>
        <w:suppressAutoHyphens/>
        <w:ind w:left="540" w:hanging="540"/>
        <w:rPr>
          <w:del w:id="11785" w:author="AbbVie02no" w:date="2025-05-15T13:53:00Z"/>
          <w:sz w:val="22"/>
          <w:lang w:val="en-GB"/>
        </w:rPr>
      </w:pPr>
    </w:p>
    <w:p w14:paraId="474DD91C" w14:textId="32CF6A27" w:rsidR="001E2ACA" w:rsidRPr="00F05EB5" w:rsidRDefault="00E453CD" w:rsidP="001E2ACA">
      <w:pPr>
        <w:pBdr>
          <w:top w:val="single" w:sz="4" w:space="1" w:color="auto"/>
          <w:left w:val="single" w:sz="4" w:space="4" w:color="auto"/>
          <w:bottom w:val="single" w:sz="4" w:space="1" w:color="auto"/>
          <w:right w:val="single" w:sz="4" w:space="4" w:color="auto"/>
        </w:pBdr>
        <w:tabs>
          <w:tab w:val="left" w:pos="562"/>
        </w:tabs>
        <w:suppressAutoHyphens/>
        <w:rPr>
          <w:del w:id="11786" w:author="AbbVie02no" w:date="2025-05-15T13:53:00Z"/>
          <w:b/>
          <w:bCs/>
          <w:caps/>
          <w:sz w:val="22"/>
          <w:szCs w:val="20"/>
        </w:rPr>
      </w:pPr>
      <w:del w:id="11787" w:author="AbbVie02no" w:date="2025-05-15T13:53:00Z">
        <w:r w:rsidRPr="001E2ACA">
          <w:rPr>
            <w:b/>
            <w:bCs/>
            <w:caps/>
            <w:sz w:val="22"/>
            <w:szCs w:val="20"/>
            <w:lang w:val="en-GB"/>
          </w:rPr>
          <w:delText xml:space="preserve">17. </w:delText>
        </w:r>
        <w:r w:rsidRPr="001E2ACA">
          <w:rPr>
            <w:b/>
            <w:bCs/>
            <w:caps/>
            <w:sz w:val="22"/>
            <w:szCs w:val="20"/>
            <w:lang w:val="en-GB"/>
          </w:rPr>
          <w:tab/>
        </w:r>
        <w:r w:rsidR="00E00EC4" w:rsidRPr="00F05EB5">
          <w:rPr>
            <w:b/>
            <w:bCs/>
            <w:caps/>
            <w:sz w:val="22"/>
            <w:szCs w:val="20"/>
          </w:rPr>
          <w:delText>SIKKERHETSANORDNING (UNIK IDENTITET) – TODIMENSJONAL STREKKODE</w:delText>
        </w:r>
      </w:del>
    </w:p>
    <w:p w14:paraId="108EE450" w14:textId="5A283A00" w:rsidR="001E2ACA" w:rsidRPr="00F05EB5" w:rsidRDefault="001E2ACA" w:rsidP="001E2ACA">
      <w:pPr>
        <w:tabs>
          <w:tab w:val="left" w:pos="562"/>
        </w:tabs>
        <w:suppressAutoHyphens/>
        <w:rPr>
          <w:del w:id="11788" w:author="AbbVie02no" w:date="2025-05-15T13:53:00Z"/>
          <w:sz w:val="22"/>
        </w:rPr>
      </w:pPr>
    </w:p>
    <w:p w14:paraId="54D97C12" w14:textId="7F16DFDB" w:rsidR="001E2ACA" w:rsidRPr="00F05EB5" w:rsidRDefault="00E453CD" w:rsidP="001E2ACA">
      <w:pPr>
        <w:tabs>
          <w:tab w:val="left" w:pos="562"/>
        </w:tabs>
        <w:suppressAutoHyphens/>
        <w:rPr>
          <w:del w:id="11789" w:author="AbbVie02no" w:date="2025-05-15T13:53:00Z"/>
          <w:sz w:val="22"/>
          <w:shd w:val="clear" w:color="auto" w:fill="BFBFBF"/>
        </w:rPr>
      </w:pPr>
      <w:del w:id="11790" w:author="AbbVie02no" w:date="2025-05-15T13:53:00Z">
        <w:r w:rsidRPr="00F05EB5">
          <w:rPr>
            <w:sz w:val="22"/>
            <w:shd w:val="clear" w:color="auto" w:fill="BFBFBF"/>
          </w:rPr>
          <w:delText>Todimensjonal strekkode, inkludert unik identitet</w:delText>
        </w:r>
        <w:r w:rsidR="00C91246" w:rsidRPr="00F05EB5">
          <w:rPr>
            <w:sz w:val="22"/>
            <w:shd w:val="clear" w:color="auto" w:fill="BFBFBF"/>
          </w:rPr>
          <w:delText>.</w:delText>
        </w:r>
      </w:del>
    </w:p>
    <w:p w14:paraId="3679A26B" w14:textId="2B96DFDA" w:rsidR="001E2ACA" w:rsidRDefault="001E2ACA" w:rsidP="001E2ACA">
      <w:pPr>
        <w:tabs>
          <w:tab w:val="left" w:pos="562"/>
        </w:tabs>
        <w:suppressAutoHyphens/>
        <w:rPr>
          <w:del w:id="11791" w:author="AbbVie02no" w:date="2025-05-15T13:53:00Z"/>
          <w:sz w:val="22"/>
          <w:shd w:val="clear" w:color="auto" w:fill="BFBFBF"/>
        </w:rPr>
      </w:pPr>
    </w:p>
    <w:p w14:paraId="7358C194" w14:textId="56167B72" w:rsidR="007E595C" w:rsidRPr="00F05EB5" w:rsidRDefault="007E595C" w:rsidP="001E2ACA">
      <w:pPr>
        <w:tabs>
          <w:tab w:val="left" w:pos="562"/>
        </w:tabs>
        <w:suppressAutoHyphens/>
        <w:rPr>
          <w:del w:id="11792" w:author="AbbVie02no" w:date="2025-05-15T13:53:00Z"/>
          <w:sz w:val="22"/>
          <w:shd w:val="clear" w:color="auto" w:fill="BFBFBF"/>
        </w:rPr>
      </w:pPr>
    </w:p>
    <w:p w14:paraId="2F073B62" w14:textId="003B49B7" w:rsidR="001E2ACA" w:rsidRPr="00F05EB5" w:rsidRDefault="00E453CD" w:rsidP="001E2ACA">
      <w:pPr>
        <w:keepNext/>
        <w:pBdr>
          <w:top w:val="single" w:sz="4" w:space="1" w:color="auto"/>
          <w:left w:val="single" w:sz="4" w:space="4" w:color="auto"/>
          <w:bottom w:val="single" w:sz="4" w:space="1" w:color="auto"/>
          <w:right w:val="single" w:sz="4" w:space="4" w:color="auto"/>
        </w:pBdr>
        <w:tabs>
          <w:tab w:val="left" w:pos="562"/>
        </w:tabs>
        <w:suppressAutoHyphens/>
        <w:rPr>
          <w:del w:id="11793" w:author="AbbVie02no" w:date="2025-05-15T13:53:00Z"/>
          <w:rFonts w:ascii="Times New Roman Bold" w:hAnsi="Times New Roman Bold"/>
          <w:caps/>
          <w:sz w:val="22"/>
          <w:szCs w:val="20"/>
        </w:rPr>
      </w:pPr>
      <w:del w:id="11794" w:author="AbbVie02no" w:date="2025-05-15T13:53:00Z">
        <w:r w:rsidRPr="00F05EB5">
          <w:rPr>
            <w:b/>
            <w:bCs/>
            <w:caps/>
            <w:sz w:val="22"/>
            <w:szCs w:val="20"/>
          </w:rPr>
          <w:delText xml:space="preserve">18. </w:delText>
        </w:r>
        <w:r w:rsidRPr="00F05EB5">
          <w:rPr>
            <w:b/>
            <w:bCs/>
            <w:caps/>
            <w:sz w:val="22"/>
            <w:szCs w:val="20"/>
          </w:rPr>
          <w:tab/>
        </w:r>
        <w:r w:rsidR="00E00EC4" w:rsidRPr="00F05EB5">
          <w:rPr>
            <w:b/>
            <w:bCs/>
            <w:caps/>
            <w:sz w:val="22"/>
            <w:szCs w:val="20"/>
          </w:rPr>
          <w:delText>SIKKERHETSANORDNING (UNIK IDENTITET) – I ET FORMAT LESBART FOR MENNESKER</w:delText>
        </w:r>
      </w:del>
    </w:p>
    <w:p w14:paraId="437DF8BE" w14:textId="7D87A70D" w:rsidR="001E2ACA" w:rsidRPr="00F05EB5" w:rsidRDefault="001E2ACA" w:rsidP="001E2ACA">
      <w:pPr>
        <w:keepNext/>
        <w:tabs>
          <w:tab w:val="left" w:pos="562"/>
        </w:tabs>
        <w:suppressAutoHyphens/>
        <w:ind w:left="540" w:hanging="540"/>
        <w:rPr>
          <w:del w:id="11795" w:author="AbbVie02no" w:date="2025-05-15T13:53:00Z"/>
          <w:sz w:val="22"/>
        </w:rPr>
      </w:pPr>
    </w:p>
    <w:p w14:paraId="52BC5834" w14:textId="759C958F" w:rsidR="001E2ACA" w:rsidRPr="001E2ACA" w:rsidRDefault="00E453CD" w:rsidP="001E2ACA">
      <w:pPr>
        <w:keepNext/>
        <w:tabs>
          <w:tab w:val="left" w:pos="562"/>
        </w:tabs>
        <w:suppressAutoHyphens/>
        <w:ind w:left="540" w:hanging="540"/>
        <w:rPr>
          <w:del w:id="11796" w:author="AbbVie02no" w:date="2025-05-15T13:53:00Z"/>
          <w:sz w:val="22"/>
          <w:lang w:val="en-GB"/>
        </w:rPr>
      </w:pPr>
      <w:del w:id="11797" w:author="AbbVie02no" w:date="2025-05-15T13:53:00Z">
        <w:r w:rsidRPr="001E2ACA">
          <w:rPr>
            <w:sz w:val="22"/>
            <w:lang w:val="en-GB"/>
          </w:rPr>
          <w:delText>PC</w:delText>
        </w:r>
      </w:del>
    </w:p>
    <w:p w14:paraId="1E90B229" w14:textId="2EF7870F" w:rsidR="001E2ACA" w:rsidRPr="001E2ACA" w:rsidRDefault="00E453CD" w:rsidP="001E2ACA">
      <w:pPr>
        <w:keepNext/>
        <w:tabs>
          <w:tab w:val="left" w:pos="562"/>
        </w:tabs>
        <w:suppressAutoHyphens/>
        <w:ind w:left="540" w:hanging="540"/>
        <w:rPr>
          <w:del w:id="11798" w:author="AbbVie02no" w:date="2025-05-15T13:53:00Z"/>
          <w:sz w:val="22"/>
          <w:lang w:val="en-GB"/>
        </w:rPr>
      </w:pPr>
      <w:del w:id="11799" w:author="AbbVie02no" w:date="2025-05-15T13:53:00Z">
        <w:r w:rsidRPr="001E2ACA">
          <w:rPr>
            <w:sz w:val="22"/>
            <w:lang w:val="en-GB"/>
          </w:rPr>
          <w:delText>SN</w:delText>
        </w:r>
      </w:del>
    </w:p>
    <w:p w14:paraId="300F9E9F" w14:textId="3BE16863" w:rsidR="00DE3458" w:rsidRPr="009C5EFD" w:rsidRDefault="00E453CD" w:rsidP="005A1DEF">
      <w:pPr>
        <w:rPr>
          <w:del w:id="11800" w:author="AbbVie02no" w:date="2025-05-15T13:53:00Z"/>
          <w:sz w:val="22"/>
          <w:szCs w:val="22"/>
        </w:rPr>
      </w:pPr>
      <w:del w:id="11801" w:author="AbbVie02no" w:date="2025-05-15T13:53:00Z">
        <w:r w:rsidRPr="006936CB">
          <w:rPr>
            <w:sz w:val="22"/>
            <w:highlight w:val="lightGray"/>
            <w:lang w:val="en-GB"/>
          </w:rPr>
          <w:delText>NN</w:delText>
        </w:r>
        <w:r w:rsidR="00526106" w:rsidRPr="009C5EFD">
          <w:rPr>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0AF215E" w14:textId="68875D33">
        <w:trPr>
          <w:trHeight w:val="1070"/>
          <w:del w:id="11802" w:author="AbbVie02no" w:date="2025-05-15T13:53:00Z"/>
        </w:trPr>
        <w:tc>
          <w:tcPr>
            <w:tcW w:w="9281" w:type="dxa"/>
            <w:tcBorders>
              <w:bottom w:val="single" w:sz="4" w:space="0" w:color="auto"/>
            </w:tcBorders>
          </w:tcPr>
          <w:p w14:paraId="6244F76D" w14:textId="165E7DDC" w:rsidR="00DE3458" w:rsidRPr="009C5EFD" w:rsidRDefault="00E453CD" w:rsidP="001F5D4B">
            <w:pPr>
              <w:rPr>
                <w:del w:id="11803" w:author="AbbVie02no" w:date="2025-05-15T13:53:00Z"/>
                <w:sz w:val="22"/>
                <w:szCs w:val="22"/>
              </w:rPr>
            </w:pPr>
            <w:del w:id="11804" w:author="AbbVie02no" w:date="2025-05-15T13:53:00Z">
              <w:r w:rsidRPr="009C5EFD">
                <w:rPr>
                  <w:b/>
                  <w:sz w:val="22"/>
                  <w:szCs w:val="22"/>
                </w:rPr>
                <w:lastRenderedPageBreak/>
                <w:delText xml:space="preserve">OPPLYSNINGER SOM SKAL ANGIS PÅ YTRE EMBALLASJE </w:delText>
              </w:r>
            </w:del>
          </w:p>
          <w:p w14:paraId="0AD4FD3F" w14:textId="420F0FFA" w:rsidR="007E548F" w:rsidRPr="009C5EFD" w:rsidRDefault="007E548F" w:rsidP="007F67EE">
            <w:pPr>
              <w:rPr>
                <w:del w:id="11805" w:author="AbbVie02no" w:date="2025-05-15T13:53:00Z"/>
                <w:sz w:val="22"/>
                <w:szCs w:val="22"/>
              </w:rPr>
            </w:pPr>
          </w:p>
          <w:p w14:paraId="28041BE6" w14:textId="3DE3D5A1" w:rsidR="00DE3458" w:rsidRPr="009C5EFD" w:rsidRDefault="00E453CD" w:rsidP="00A96954">
            <w:pPr>
              <w:rPr>
                <w:del w:id="11806" w:author="AbbVie02no" w:date="2025-05-15T13:53:00Z"/>
                <w:b/>
                <w:sz w:val="22"/>
                <w:szCs w:val="22"/>
              </w:rPr>
            </w:pPr>
            <w:del w:id="11807" w:author="AbbVie02no" w:date="2025-05-15T13:53:00Z">
              <w:r>
                <w:rPr>
                  <w:b/>
                  <w:sz w:val="22"/>
                  <w:szCs w:val="22"/>
                </w:rPr>
                <w:delText xml:space="preserve">INDRE </w:delText>
              </w:r>
              <w:r w:rsidR="007E548F" w:rsidRPr="009C5EFD">
                <w:rPr>
                  <w:b/>
                  <w:sz w:val="22"/>
                  <w:szCs w:val="22"/>
                </w:rPr>
                <w:delText>KARTONG</w:delText>
              </w:r>
            </w:del>
          </w:p>
        </w:tc>
      </w:tr>
    </w:tbl>
    <w:p w14:paraId="199FF2AF" w14:textId="2C0F53F5" w:rsidR="00DE3458" w:rsidRPr="009C5EFD" w:rsidRDefault="00DE3458" w:rsidP="007F67EE">
      <w:pPr>
        <w:suppressAutoHyphens/>
        <w:ind w:left="54"/>
        <w:rPr>
          <w:del w:id="11808" w:author="AbbVie02no" w:date="2025-05-15T13:53:00Z"/>
          <w:sz w:val="22"/>
          <w:szCs w:val="22"/>
        </w:rPr>
      </w:pPr>
    </w:p>
    <w:p w14:paraId="282DEDC1" w14:textId="63149D17" w:rsidR="00875F98" w:rsidRPr="009C5EFD" w:rsidRDefault="00875F98" w:rsidP="00193D76">
      <w:pPr>
        <w:suppressAutoHyphens/>
        <w:ind w:left="54"/>
        <w:rPr>
          <w:del w:id="1180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2A153F3" w14:textId="02D1BA6F">
        <w:trPr>
          <w:del w:id="11810" w:author="AbbVie02no" w:date="2025-05-15T13:53:00Z"/>
        </w:trPr>
        <w:tc>
          <w:tcPr>
            <w:tcW w:w="9281" w:type="dxa"/>
          </w:tcPr>
          <w:p w14:paraId="0506D836" w14:textId="06C9B281" w:rsidR="00DE3458" w:rsidRPr="009C5EFD" w:rsidRDefault="00E453CD" w:rsidP="002D0790">
            <w:pPr>
              <w:ind w:left="567" w:hanging="567"/>
              <w:rPr>
                <w:del w:id="11811" w:author="AbbVie02no" w:date="2025-05-15T13:53:00Z"/>
                <w:b/>
                <w:sz w:val="22"/>
                <w:szCs w:val="22"/>
              </w:rPr>
            </w:pPr>
            <w:del w:id="11812" w:author="AbbVie02no" w:date="2025-05-15T13:53:00Z">
              <w:r w:rsidRPr="009C5EFD">
                <w:rPr>
                  <w:b/>
                  <w:sz w:val="22"/>
                  <w:szCs w:val="22"/>
                </w:rPr>
                <w:delText>1.</w:delText>
              </w:r>
              <w:r w:rsidRPr="009C5EFD">
                <w:rPr>
                  <w:b/>
                  <w:sz w:val="22"/>
                  <w:szCs w:val="22"/>
                </w:rPr>
                <w:tab/>
                <w:delText>LEGEMIDLETS NAVN</w:delText>
              </w:r>
            </w:del>
          </w:p>
        </w:tc>
      </w:tr>
    </w:tbl>
    <w:p w14:paraId="321E844B" w14:textId="42E9F74F" w:rsidR="00DE3458" w:rsidRPr="009C5EFD" w:rsidRDefault="00DE3458" w:rsidP="007F67EE">
      <w:pPr>
        <w:suppressAutoHyphens/>
        <w:ind w:left="54"/>
        <w:rPr>
          <w:del w:id="11813" w:author="AbbVie02no" w:date="2025-05-15T13:53:00Z"/>
          <w:sz w:val="22"/>
          <w:szCs w:val="22"/>
        </w:rPr>
      </w:pPr>
    </w:p>
    <w:p w14:paraId="57C60431" w14:textId="14FFC3ED" w:rsidR="00DE3458" w:rsidRPr="009C5EFD" w:rsidRDefault="00E453CD" w:rsidP="00193D76">
      <w:pPr>
        <w:suppressAutoHyphens/>
        <w:ind w:left="54"/>
        <w:rPr>
          <w:del w:id="11814" w:author="AbbVie02no" w:date="2025-05-15T13:53:00Z"/>
          <w:sz w:val="22"/>
          <w:szCs w:val="22"/>
        </w:rPr>
      </w:pPr>
      <w:del w:id="11815" w:author="AbbVie02no" w:date="2025-05-15T13:53:00Z">
        <w:r w:rsidRPr="009C5EFD">
          <w:rPr>
            <w:sz w:val="22"/>
            <w:szCs w:val="22"/>
          </w:rPr>
          <w:delText>Humira 40</w:delText>
        </w:r>
        <w:r w:rsidR="0008045C" w:rsidRPr="009C5EFD">
          <w:rPr>
            <w:sz w:val="22"/>
            <w:szCs w:val="22"/>
          </w:rPr>
          <w:delText> </w:delText>
        </w:r>
        <w:r w:rsidRPr="009C5EFD">
          <w:rPr>
            <w:sz w:val="22"/>
            <w:szCs w:val="22"/>
          </w:rPr>
          <w:delText>mg</w:delText>
        </w:r>
        <w:r w:rsidR="007E548F" w:rsidRPr="009C5EFD">
          <w:rPr>
            <w:sz w:val="22"/>
            <w:szCs w:val="22"/>
          </w:rPr>
          <w:delText>/0,8</w:delText>
        </w:r>
        <w:r w:rsidR="00403F75" w:rsidRPr="009C5EFD">
          <w:rPr>
            <w:sz w:val="22"/>
            <w:szCs w:val="22"/>
          </w:rPr>
          <w:delText> </w:delText>
        </w:r>
        <w:r w:rsidR="007E548F" w:rsidRPr="009C5EFD">
          <w:rPr>
            <w:sz w:val="22"/>
            <w:szCs w:val="22"/>
          </w:rPr>
          <w:delText>ml</w:delText>
        </w:r>
        <w:r w:rsidRPr="009C5EFD">
          <w:rPr>
            <w:sz w:val="22"/>
            <w:szCs w:val="22"/>
          </w:rPr>
          <w:delText xml:space="preserve"> injeksjonsvæske, oppløsning</w:delText>
        </w:r>
      </w:del>
    </w:p>
    <w:p w14:paraId="629BA88F" w14:textId="6FB1F96B" w:rsidR="00DE3458" w:rsidRPr="009C5EFD" w:rsidRDefault="00E453CD" w:rsidP="002D0790">
      <w:pPr>
        <w:pStyle w:val="EndnoteText"/>
        <w:widowControl/>
        <w:tabs>
          <w:tab w:val="clear" w:pos="567"/>
        </w:tabs>
        <w:suppressAutoHyphens/>
        <w:ind w:left="54"/>
        <w:rPr>
          <w:del w:id="11816" w:author="AbbVie02no" w:date="2025-05-15T13:53:00Z"/>
          <w:szCs w:val="22"/>
          <w:lang w:val="nb-NO"/>
        </w:rPr>
      </w:pPr>
      <w:del w:id="11817" w:author="AbbVie02no" w:date="2025-05-15T13:53:00Z">
        <w:r w:rsidRPr="009C5EFD">
          <w:rPr>
            <w:szCs w:val="22"/>
            <w:lang w:val="nb-NO"/>
          </w:rPr>
          <w:delText>adalimumab</w:delText>
        </w:r>
      </w:del>
    </w:p>
    <w:p w14:paraId="089E7136" w14:textId="19BA6E0B" w:rsidR="00DE3458" w:rsidRPr="009C5EFD" w:rsidRDefault="00DE3458" w:rsidP="00C07C98">
      <w:pPr>
        <w:suppressAutoHyphens/>
        <w:ind w:left="54"/>
        <w:rPr>
          <w:del w:id="11818" w:author="AbbVie02no" w:date="2025-05-15T13:53:00Z"/>
          <w:sz w:val="22"/>
          <w:szCs w:val="22"/>
        </w:rPr>
      </w:pPr>
    </w:p>
    <w:p w14:paraId="4169D060" w14:textId="201C4C54" w:rsidR="00DE3458" w:rsidRPr="009C5EFD" w:rsidRDefault="00DE3458" w:rsidP="00E14E58">
      <w:pPr>
        <w:suppressAutoHyphens/>
        <w:ind w:left="54"/>
        <w:rPr>
          <w:del w:id="1181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A0C54FB" w14:textId="28AA69DC">
        <w:trPr>
          <w:del w:id="11820" w:author="AbbVie02no" w:date="2025-05-15T13:53:00Z"/>
        </w:trPr>
        <w:tc>
          <w:tcPr>
            <w:tcW w:w="9281" w:type="dxa"/>
          </w:tcPr>
          <w:p w14:paraId="136BCFB7" w14:textId="37072886" w:rsidR="00DE3458" w:rsidRPr="009C5EFD" w:rsidRDefault="00E453CD" w:rsidP="009C5EFD">
            <w:pPr>
              <w:ind w:left="567" w:hanging="567"/>
              <w:rPr>
                <w:del w:id="11821" w:author="AbbVie02no" w:date="2025-05-15T13:53:00Z"/>
                <w:b/>
                <w:sz w:val="22"/>
                <w:szCs w:val="22"/>
              </w:rPr>
            </w:pPr>
            <w:del w:id="11822" w:author="AbbVie02no" w:date="2025-05-15T13:53:00Z">
              <w:r w:rsidRPr="009C5EFD">
                <w:rPr>
                  <w:b/>
                  <w:sz w:val="22"/>
                  <w:szCs w:val="22"/>
                </w:rPr>
                <w:delText>2.</w:delText>
              </w:r>
              <w:r w:rsidRPr="009C5EFD">
                <w:rPr>
                  <w:b/>
                  <w:sz w:val="22"/>
                  <w:szCs w:val="22"/>
                </w:rPr>
                <w:tab/>
                <w:delText xml:space="preserve">DEKLARASJON AV VIRKESTOFF </w:delText>
              </w:r>
            </w:del>
          </w:p>
        </w:tc>
      </w:tr>
    </w:tbl>
    <w:p w14:paraId="3624EF2F" w14:textId="2CABD3D9" w:rsidR="00DE3458" w:rsidRPr="009C5EFD" w:rsidRDefault="00DE3458" w:rsidP="007F67EE">
      <w:pPr>
        <w:suppressAutoHyphens/>
        <w:ind w:left="54"/>
        <w:rPr>
          <w:del w:id="11823" w:author="AbbVie02no" w:date="2025-05-15T13:53:00Z"/>
          <w:sz w:val="22"/>
          <w:szCs w:val="22"/>
        </w:rPr>
      </w:pPr>
    </w:p>
    <w:p w14:paraId="41F8BB49" w14:textId="142066EC" w:rsidR="00DE3458" w:rsidRPr="009C5EFD" w:rsidRDefault="00E453CD" w:rsidP="00193D76">
      <w:pPr>
        <w:suppressAutoHyphens/>
        <w:ind w:left="54"/>
        <w:rPr>
          <w:del w:id="11824" w:author="AbbVie02no" w:date="2025-05-15T13:53:00Z"/>
          <w:sz w:val="22"/>
          <w:szCs w:val="22"/>
        </w:rPr>
      </w:pPr>
      <w:del w:id="11825" w:author="AbbVie02no" w:date="2025-05-15T13:53:00Z">
        <w:r w:rsidRPr="009C5EFD">
          <w:rPr>
            <w:sz w:val="22"/>
            <w:szCs w:val="22"/>
          </w:rPr>
          <w:delText>En 0,8 ml oppløsning i hetteglass inneholder 40 mg adalimumab</w:delText>
        </w:r>
        <w:r w:rsidR="00506C98">
          <w:rPr>
            <w:sz w:val="22"/>
            <w:szCs w:val="22"/>
          </w:rPr>
          <w:delText>.</w:delText>
        </w:r>
      </w:del>
    </w:p>
    <w:p w14:paraId="7E35B7DB" w14:textId="3A192EF2" w:rsidR="00DE3458" w:rsidRPr="009C5EFD" w:rsidRDefault="00DE3458" w:rsidP="002D0790">
      <w:pPr>
        <w:suppressAutoHyphens/>
        <w:ind w:left="54"/>
        <w:rPr>
          <w:del w:id="11826" w:author="AbbVie02no" w:date="2025-05-15T13:53:00Z"/>
          <w:sz w:val="22"/>
          <w:szCs w:val="22"/>
        </w:rPr>
      </w:pPr>
    </w:p>
    <w:p w14:paraId="6DDB52AE" w14:textId="732AD121" w:rsidR="00DE3458" w:rsidRPr="009C5EFD" w:rsidRDefault="00DE3458" w:rsidP="00C07C98">
      <w:pPr>
        <w:suppressAutoHyphens/>
        <w:ind w:left="54"/>
        <w:rPr>
          <w:del w:id="1182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AED3629" w14:textId="2C190F25">
        <w:trPr>
          <w:del w:id="11828" w:author="AbbVie02no" w:date="2025-05-15T13:53:00Z"/>
        </w:trPr>
        <w:tc>
          <w:tcPr>
            <w:tcW w:w="9281" w:type="dxa"/>
          </w:tcPr>
          <w:p w14:paraId="11FFBC73" w14:textId="0F28D250" w:rsidR="00DE3458" w:rsidRPr="009C5EFD" w:rsidRDefault="00E453CD" w:rsidP="00E14E58">
            <w:pPr>
              <w:ind w:left="567" w:hanging="567"/>
              <w:rPr>
                <w:del w:id="11829" w:author="AbbVie02no" w:date="2025-05-15T13:53:00Z"/>
                <w:b/>
                <w:sz w:val="22"/>
                <w:szCs w:val="22"/>
              </w:rPr>
            </w:pPr>
            <w:del w:id="11830" w:author="AbbVie02no" w:date="2025-05-15T13:53:00Z">
              <w:r w:rsidRPr="009C5EFD">
                <w:rPr>
                  <w:b/>
                  <w:sz w:val="22"/>
                  <w:szCs w:val="22"/>
                </w:rPr>
                <w:delText>3.</w:delText>
              </w:r>
              <w:r w:rsidRPr="009C5EFD">
                <w:rPr>
                  <w:b/>
                  <w:sz w:val="22"/>
                  <w:szCs w:val="22"/>
                </w:rPr>
                <w:tab/>
                <w:delText>LISTE OVER HJELPESTOFFER</w:delText>
              </w:r>
            </w:del>
          </w:p>
        </w:tc>
      </w:tr>
    </w:tbl>
    <w:p w14:paraId="19438715" w14:textId="5866CE3D" w:rsidR="00DE3458" w:rsidRPr="009C5EFD" w:rsidRDefault="00DE3458" w:rsidP="007F67EE">
      <w:pPr>
        <w:suppressAutoHyphens/>
        <w:ind w:left="54"/>
        <w:rPr>
          <w:del w:id="11831" w:author="AbbVie02no" w:date="2025-05-15T13:53:00Z"/>
          <w:sz w:val="22"/>
          <w:szCs w:val="22"/>
        </w:rPr>
      </w:pPr>
    </w:p>
    <w:p w14:paraId="4EA1EF58" w14:textId="3E0383B4" w:rsidR="00DE3458" w:rsidRPr="009C5EFD" w:rsidRDefault="00E453CD" w:rsidP="00193D76">
      <w:pPr>
        <w:ind w:left="54"/>
        <w:rPr>
          <w:del w:id="11832" w:author="AbbVie02no" w:date="2025-05-15T13:53:00Z"/>
          <w:sz w:val="22"/>
          <w:szCs w:val="22"/>
        </w:rPr>
      </w:pPr>
      <w:del w:id="11833" w:author="AbbVie02no" w:date="2025-05-15T13:53:00Z">
        <w:r w:rsidRPr="009C5EFD">
          <w:rPr>
            <w:sz w:val="22"/>
            <w:szCs w:val="22"/>
          </w:rPr>
          <w:delText xml:space="preserve">Hjelpestoffer: </w:delText>
        </w:r>
        <w:r w:rsidR="00AA0CCD">
          <w:rPr>
            <w:sz w:val="22"/>
            <w:szCs w:val="22"/>
          </w:rPr>
          <w:delText>m</w:delText>
        </w:r>
        <w:r w:rsidRPr="009C5EFD">
          <w:rPr>
            <w:sz w:val="22"/>
            <w:szCs w:val="22"/>
          </w:rPr>
          <w:delText xml:space="preserve">annitol, sitronsyremonohydrat, natriumsitrat, natriumdihydrogenfosfatdihydrat, dinatriumfosfatdihydrat, natriumklorid, polysorbat 80, natriumhydroksid </w:delText>
        </w:r>
        <w:r w:rsidR="00F3185B" w:rsidRPr="009C5EFD">
          <w:rPr>
            <w:sz w:val="22"/>
            <w:szCs w:val="22"/>
          </w:rPr>
          <w:delText>og</w:delText>
        </w:r>
        <w:r w:rsidRPr="009C5EFD">
          <w:rPr>
            <w:sz w:val="22"/>
            <w:szCs w:val="22"/>
          </w:rPr>
          <w:delText xml:space="preserve"> vann til injeksjonsvæsker. For ytterligere informasjon</w:delText>
        </w:r>
        <w:r w:rsidR="00D4553F" w:rsidRPr="009C5EFD">
          <w:rPr>
            <w:sz w:val="22"/>
            <w:szCs w:val="22"/>
          </w:rPr>
          <w:delText>,</w:delText>
        </w:r>
        <w:r w:rsidRPr="009C5EFD">
          <w:rPr>
            <w:sz w:val="22"/>
            <w:szCs w:val="22"/>
          </w:rPr>
          <w:delText xml:space="preserve"> se pakningsvedlegget.</w:delText>
        </w:r>
      </w:del>
    </w:p>
    <w:p w14:paraId="3567DE15" w14:textId="27E06849" w:rsidR="00DE3458" w:rsidRPr="009C5EFD" w:rsidRDefault="00DE3458" w:rsidP="002D0790">
      <w:pPr>
        <w:suppressAutoHyphens/>
        <w:ind w:left="54"/>
        <w:rPr>
          <w:del w:id="11834" w:author="AbbVie02no" w:date="2025-05-15T13:53:00Z"/>
          <w:sz w:val="22"/>
          <w:szCs w:val="22"/>
        </w:rPr>
      </w:pPr>
    </w:p>
    <w:p w14:paraId="6CBFA0AC" w14:textId="670D6E77" w:rsidR="00DE3458" w:rsidRPr="009C5EFD" w:rsidRDefault="00DE3458" w:rsidP="00C07C98">
      <w:pPr>
        <w:suppressAutoHyphens/>
        <w:ind w:left="54"/>
        <w:rPr>
          <w:del w:id="11835"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064973D" w14:textId="6AD8D622">
        <w:trPr>
          <w:del w:id="11836" w:author="AbbVie02no" w:date="2025-05-15T13:53:00Z"/>
        </w:trPr>
        <w:tc>
          <w:tcPr>
            <w:tcW w:w="9281" w:type="dxa"/>
          </w:tcPr>
          <w:p w14:paraId="0E83C68C" w14:textId="39D2E646" w:rsidR="00DE3458" w:rsidRPr="009C5EFD" w:rsidRDefault="00E453CD" w:rsidP="00E14E58">
            <w:pPr>
              <w:ind w:left="567" w:hanging="567"/>
              <w:rPr>
                <w:del w:id="11837" w:author="AbbVie02no" w:date="2025-05-15T13:53:00Z"/>
                <w:b/>
                <w:sz w:val="22"/>
                <w:szCs w:val="22"/>
              </w:rPr>
            </w:pPr>
            <w:del w:id="11838" w:author="AbbVie02no" w:date="2025-05-15T13:53:00Z">
              <w:r w:rsidRPr="009C5EFD">
                <w:rPr>
                  <w:b/>
                  <w:sz w:val="22"/>
                  <w:szCs w:val="22"/>
                </w:rPr>
                <w:delText>4.</w:delText>
              </w:r>
              <w:r w:rsidRPr="009C5EFD">
                <w:rPr>
                  <w:b/>
                  <w:sz w:val="22"/>
                  <w:szCs w:val="22"/>
                </w:rPr>
                <w:tab/>
                <w:delText>LEGEMIDDELFORM OG INNHOLD (PAKNINGSSTØRRELSE)</w:delText>
              </w:r>
            </w:del>
          </w:p>
        </w:tc>
      </w:tr>
    </w:tbl>
    <w:p w14:paraId="5E0AE9B5" w14:textId="1B9BB3DD" w:rsidR="00DE3458" w:rsidRPr="009C5EFD" w:rsidRDefault="00DE3458" w:rsidP="007F67EE">
      <w:pPr>
        <w:suppressAutoHyphens/>
        <w:ind w:left="54"/>
        <w:rPr>
          <w:del w:id="11839" w:author="AbbVie02no" w:date="2025-05-15T13:53:00Z"/>
          <w:sz w:val="22"/>
          <w:szCs w:val="22"/>
        </w:rPr>
      </w:pPr>
    </w:p>
    <w:p w14:paraId="63B4A9FB" w14:textId="27DC4E7F" w:rsidR="00A96954" w:rsidRDefault="00E453CD" w:rsidP="00193D76">
      <w:pPr>
        <w:suppressAutoHyphens/>
        <w:ind w:left="54"/>
        <w:rPr>
          <w:del w:id="11840" w:author="AbbVie02no" w:date="2025-05-15T13:53:00Z"/>
          <w:sz w:val="22"/>
          <w:szCs w:val="22"/>
        </w:rPr>
      </w:pPr>
      <w:del w:id="11841" w:author="AbbVie02no" w:date="2025-05-15T13:53:00Z">
        <w:r w:rsidRPr="00771F39">
          <w:rPr>
            <w:sz w:val="22"/>
            <w:szCs w:val="22"/>
            <w:highlight w:val="lightGray"/>
          </w:rPr>
          <w:delText>Injeksjonsvæske</w:delText>
        </w:r>
        <w:r w:rsidR="00D26B72" w:rsidRPr="00602A37">
          <w:rPr>
            <w:sz w:val="22"/>
            <w:szCs w:val="22"/>
            <w:highlight w:val="lightGray"/>
          </w:rPr>
          <w:delText>, oppløsning</w:delText>
        </w:r>
      </w:del>
    </w:p>
    <w:p w14:paraId="24E9EB3C" w14:textId="4FC5BCA7" w:rsidR="007E548F" w:rsidRPr="009C5EFD" w:rsidRDefault="00E453CD" w:rsidP="00193D76">
      <w:pPr>
        <w:suppressAutoHyphens/>
        <w:ind w:left="54"/>
        <w:rPr>
          <w:del w:id="11842" w:author="AbbVie02no" w:date="2025-05-15T13:53:00Z"/>
          <w:sz w:val="22"/>
          <w:szCs w:val="22"/>
        </w:rPr>
      </w:pPr>
      <w:del w:id="11843" w:author="AbbVie02no" w:date="2025-05-15T13:53:00Z">
        <w:r w:rsidRPr="009C5EFD">
          <w:rPr>
            <w:sz w:val="22"/>
            <w:szCs w:val="22"/>
          </w:rPr>
          <w:delText>1 hetteglass</w:delText>
        </w:r>
      </w:del>
    </w:p>
    <w:p w14:paraId="3CF22999" w14:textId="7BE129DB" w:rsidR="007E548F" w:rsidRPr="009C5EFD" w:rsidRDefault="00E453CD" w:rsidP="002D0790">
      <w:pPr>
        <w:suppressAutoHyphens/>
        <w:ind w:left="54"/>
        <w:rPr>
          <w:del w:id="11844" w:author="AbbVie02no" w:date="2025-05-15T13:53:00Z"/>
          <w:sz w:val="22"/>
          <w:szCs w:val="22"/>
        </w:rPr>
      </w:pPr>
      <w:del w:id="11845" w:author="AbbVie02no" w:date="2025-05-15T13:53:00Z">
        <w:r w:rsidRPr="009C5EFD">
          <w:rPr>
            <w:sz w:val="22"/>
            <w:szCs w:val="22"/>
          </w:rPr>
          <w:delText xml:space="preserve">1 steril injeksjonssprøyte </w:delText>
        </w:r>
      </w:del>
    </w:p>
    <w:p w14:paraId="3132B364" w14:textId="744D8F0A" w:rsidR="007E548F" w:rsidRPr="009C5EFD" w:rsidRDefault="00E453CD" w:rsidP="00C07C98">
      <w:pPr>
        <w:suppressAutoHyphens/>
        <w:ind w:left="54"/>
        <w:rPr>
          <w:del w:id="11846" w:author="AbbVie02no" w:date="2025-05-15T13:53:00Z"/>
          <w:sz w:val="22"/>
          <w:szCs w:val="22"/>
        </w:rPr>
      </w:pPr>
      <w:del w:id="11847" w:author="AbbVie02no" w:date="2025-05-15T13:53:00Z">
        <w:r w:rsidRPr="009C5EFD">
          <w:rPr>
            <w:sz w:val="22"/>
            <w:szCs w:val="22"/>
          </w:rPr>
          <w:delText xml:space="preserve">1 steril </w:delText>
        </w:r>
        <w:r w:rsidR="008138BF">
          <w:rPr>
            <w:sz w:val="22"/>
            <w:szCs w:val="22"/>
          </w:rPr>
          <w:delText>kanyle</w:delText>
        </w:r>
      </w:del>
    </w:p>
    <w:p w14:paraId="0118D0E2" w14:textId="58B82506" w:rsidR="007E548F" w:rsidRPr="009C5EFD" w:rsidRDefault="00E453CD" w:rsidP="00E14E58">
      <w:pPr>
        <w:suppressAutoHyphens/>
        <w:ind w:left="54"/>
        <w:rPr>
          <w:del w:id="11848" w:author="AbbVie02no" w:date="2025-05-15T13:53:00Z"/>
          <w:sz w:val="22"/>
          <w:szCs w:val="22"/>
        </w:rPr>
      </w:pPr>
      <w:del w:id="11849" w:author="AbbVie02no" w:date="2025-05-15T13:53:00Z">
        <w:r w:rsidRPr="009C5EFD">
          <w:rPr>
            <w:sz w:val="22"/>
            <w:szCs w:val="22"/>
          </w:rPr>
          <w:delText>1 steril hetteglassadapter</w:delText>
        </w:r>
      </w:del>
    </w:p>
    <w:p w14:paraId="30122181" w14:textId="34970EC5" w:rsidR="00DE3458" w:rsidRPr="009C5EFD" w:rsidRDefault="00E453CD" w:rsidP="009C5EFD">
      <w:pPr>
        <w:suppressAutoHyphens/>
        <w:ind w:left="54"/>
        <w:rPr>
          <w:del w:id="11850" w:author="AbbVie02no" w:date="2025-05-15T13:53:00Z"/>
          <w:sz w:val="22"/>
          <w:szCs w:val="22"/>
        </w:rPr>
      </w:pPr>
      <w:del w:id="11851" w:author="AbbVie02no" w:date="2025-05-15T13:53:00Z">
        <w:r w:rsidRPr="009C5EFD">
          <w:rPr>
            <w:sz w:val="22"/>
            <w:szCs w:val="22"/>
          </w:rPr>
          <w:delText>2 injeksjonstørk</w:delText>
        </w:r>
      </w:del>
    </w:p>
    <w:p w14:paraId="429C1C91" w14:textId="221E5C75" w:rsidR="00DE3458" w:rsidRPr="009C5EFD" w:rsidRDefault="00DE3458" w:rsidP="009C5EFD">
      <w:pPr>
        <w:suppressAutoHyphens/>
        <w:ind w:left="54"/>
        <w:rPr>
          <w:del w:id="11852" w:author="AbbVie02no" w:date="2025-05-15T13:53:00Z"/>
          <w:sz w:val="22"/>
          <w:szCs w:val="22"/>
        </w:rPr>
      </w:pPr>
    </w:p>
    <w:p w14:paraId="7A00CFAF" w14:textId="01CDB386" w:rsidR="00DE3458" w:rsidRPr="009C5EFD" w:rsidRDefault="00DE3458" w:rsidP="009C5EFD">
      <w:pPr>
        <w:suppressAutoHyphens/>
        <w:ind w:left="54"/>
        <w:rPr>
          <w:del w:id="11853"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FBA7B97" w14:textId="43AC0867">
        <w:trPr>
          <w:del w:id="11854" w:author="AbbVie02no" w:date="2025-05-15T13:53:00Z"/>
        </w:trPr>
        <w:tc>
          <w:tcPr>
            <w:tcW w:w="9281" w:type="dxa"/>
          </w:tcPr>
          <w:p w14:paraId="0C2C6F67" w14:textId="5CE476BD" w:rsidR="00DE3458" w:rsidRPr="009C5EFD" w:rsidRDefault="00E453CD" w:rsidP="009C5EFD">
            <w:pPr>
              <w:ind w:left="567" w:hanging="567"/>
              <w:rPr>
                <w:del w:id="11855" w:author="AbbVie02no" w:date="2025-05-15T13:53:00Z"/>
                <w:b/>
                <w:sz w:val="22"/>
                <w:szCs w:val="22"/>
              </w:rPr>
            </w:pPr>
            <w:del w:id="11856" w:author="AbbVie02no" w:date="2025-05-15T13:53:00Z">
              <w:r w:rsidRPr="009C5EFD">
                <w:rPr>
                  <w:b/>
                  <w:sz w:val="22"/>
                  <w:szCs w:val="22"/>
                </w:rPr>
                <w:delText>5.</w:delText>
              </w:r>
              <w:r w:rsidRPr="009C5EFD">
                <w:rPr>
                  <w:b/>
                  <w:sz w:val="22"/>
                  <w:szCs w:val="22"/>
                </w:rPr>
                <w:tab/>
                <w:delText xml:space="preserve">ADMINISTRASJONSMÅTE OG </w:delText>
              </w:r>
              <w:r w:rsidR="0050174A">
                <w:rPr>
                  <w:b/>
                  <w:sz w:val="22"/>
                  <w:szCs w:val="22"/>
                </w:rPr>
                <w:delText>-</w:delText>
              </w:r>
              <w:r w:rsidR="0050174A" w:rsidRPr="009C5EFD">
                <w:rPr>
                  <w:b/>
                  <w:sz w:val="22"/>
                  <w:szCs w:val="22"/>
                </w:rPr>
                <w:delText>VEI</w:delText>
              </w:r>
            </w:del>
          </w:p>
        </w:tc>
      </w:tr>
    </w:tbl>
    <w:p w14:paraId="50241A09" w14:textId="39CB25CB" w:rsidR="00DE3458" w:rsidRPr="009C5EFD" w:rsidRDefault="00DE3458" w:rsidP="007F67EE">
      <w:pPr>
        <w:suppressAutoHyphens/>
        <w:ind w:left="54"/>
        <w:rPr>
          <w:del w:id="11857" w:author="AbbVie02no" w:date="2025-05-15T13:53:00Z"/>
          <w:sz w:val="22"/>
          <w:szCs w:val="22"/>
        </w:rPr>
      </w:pPr>
    </w:p>
    <w:p w14:paraId="14079E5E" w14:textId="5BE4AA6C" w:rsidR="00DE3458" w:rsidRPr="009C5EFD" w:rsidRDefault="00E453CD" w:rsidP="00193D76">
      <w:pPr>
        <w:suppressAutoHyphens/>
        <w:ind w:left="54"/>
        <w:rPr>
          <w:del w:id="11858" w:author="AbbVie02no" w:date="2025-05-15T13:53:00Z"/>
          <w:sz w:val="22"/>
          <w:szCs w:val="22"/>
        </w:rPr>
      </w:pPr>
      <w:del w:id="11859" w:author="AbbVie02no" w:date="2025-05-15T13:53:00Z">
        <w:r w:rsidRPr="009C5EFD">
          <w:rPr>
            <w:sz w:val="22"/>
            <w:szCs w:val="22"/>
          </w:rPr>
          <w:delText>Subkutan bruk</w:delText>
        </w:r>
      </w:del>
    </w:p>
    <w:p w14:paraId="0353407D" w14:textId="6E6AD2DD" w:rsidR="00DE3458" w:rsidRPr="009C5EFD" w:rsidRDefault="00DE3458" w:rsidP="002D0790">
      <w:pPr>
        <w:suppressAutoHyphens/>
        <w:ind w:left="54"/>
        <w:rPr>
          <w:del w:id="11860" w:author="AbbVie02no" w:date="2025-05-15T13:53:00Z"/>
          <w:sz w:val="22"/>
          <w:szCs w:val="22"/>
        </w:rPr>
      </w:pPr>
    </w:p>
    <w:p w14:paraId="2BDDA1B3" w14:textId="7EFD105D" w:rsidR="00DE3458" w:rsidRDefault="00E453CD" w:rsidP="00C07C98">
      <w:pPr>
        <w:suppressAutoHyphens/>
        <w:ind w:left="54"/>
        <w:rPr>
          <w:del w:id="11861" w:author="AbbVie02no" w:date="2025-05-15T13:53:00Z"/>
          <w:sz w:val="22"/>
          <w:szCs w:val="22"/>
        </w:rPr>
      </w:pPr>
      <w:del w:id="11862" w:author="AbbVie02no" w:date="2025-05-15T13:53:00Z">
        <w:r w:rsidRPr="009C5EFD">
          <w:rPr>
            <w:sz w:val="22"/>
            <w:szCs w:val="22"/>
          </w:rPr>
          <w:delText>Les pakningsvedlegget før bruk</w:delText>
        </w:r>
        <w:r w:rsidR="00AE2643" w:rsidRPr="009C5EFD">
          <w:rPr>
            <w:sz w:val="22"/>
            <w:szCs w:val="22"/>
          </w:rPr>
          <w:delText>.</w:delText>
        </w:r>
      </w:del>
    </w:p>
    <w:p w14:paraId="709122E6" w14:textId="4D69B845" w:rsidR="00A96954" w:rsidRDefault="00A96954" w:rsidP="00C07C98">
      <w:pPr>
        <w:suppressAutoHyphens/>
        <w:ind w:left="54"/>
        <w:rPr>
          <w:del w:id="11863" w:author="AbbVie02no" w:date="2025-05-15T13:53:00Z"/>
          <w:sz w:val="22"/>
          <w:szCs w:val="22"/>
        </w:rPr>
      </w:pPr>
    </w:p>
    <w:p w14:paraId="0AF4BE5B" w14:textId="010878C9" w:rsidR="00A96954" w:rsidRDefault="00E453CD" w:rsidP="00C07C98">
      <w:pPr>
        <w:suppressAutoHyphens/>
        <w:ind w:left="54"/>
        <w:rPr>
          <w:del w:id="11864" w:author="AbbVie02no" w:date="2025-05-15T13:53:00Z"/>
          <w:sz w:val="22"/>
          <w:szCs w:val="22"/>
        </w:rPr>
      </w:pPr>
      <w:del w:id="11865" w:author="AbbVie02no" w:date="2025-05-15T13:53:00Z">
        <w:r>
          <w:rPr>
            <w:sz w:val="22"/>
            <w:szCs w:val="22"/>
          </w:rPr>
          <w:delText>Kun til engangsbruk.</w:delText>
        </w:r>
      </w:del>
    </w:p>
    <w:p w14:paraId="6A3752A4" w14:textId="3D0E5ECF" w:rsidR="00A96954" w:rsidRDefault="00A96954" w:rsidP="00C07C98">
      <w:pPr>
        <w:suppressAutoHyphens/>
        <w:ind w:left="54"/>
        <w:rPr>
          <w:del w:id="11866" w:author="AbbVie02no" w:date="2025-05-15T13:53:00Z"/>
          <w:sz w:val="22"/>
          <w:szCs w:val="22"/>
        </w:rPr>
      </w:pPr>
    </w:p>
    <w:p w14:paraId="676A5683" w14:textId="048C74D1" w:rsidR="00A96954" w:rsidRPr="009C5EFD" w:rsidRDefault="00E453CD" w:rsidP="00C07C98">
      <w:pPr>
        <w:suppressAutoHyphens/>
        <w:ind w:left="54"/>
        <w:rPr>
          <w:del w:id="11867" w:author="AbbVie02no" w:date="2025-05-15T13:53:00Z"/>
          <w:sz w:val="22"/>
          <w:szCs w:val="22"/>
        </w:rPr>
      </w:pPr>
      <w:del w:id="11868" w:author="AbbVie02no" w:date="2025-05-15T13:53:00Z">
        <w:r>
          <w:rPr>
            <w:sz w:val="22"/>
            <w:szCs w:val="22"/>
          </w:rPr>
          <w:delText>T</w:delText>
        </w:r>
        <w:r w:rsidRPr="009C5EFD">
          <w:rPr>
            <w:sz w:val="22"/>
            <w:szCs w:val="22"/>
          </w:rPr>
          <w:delText>il bruk hos barn</w:delText>
        </w:r>
      </w:del>
    </w:p>
    <w:p w14:paraId="7585BFDF" w14:textId="1B6A24D5" w:rsidR="00DE3458" w:rsidRPr="009C5EFD" w:rsidRDefault="00DE3458" w:rsidP="00E14E58">
      <w:pPr>
        <w:suppressAutoHyphens/>
        <w:ind w:left="54"/>
        <w:rPr>
          <w:del w:id="11869" w:author="AbbVie02no" w:date="2025-05-15T13:53:00Z"/>
          <w:sz w:val="22"/>
          <w:szCs w:val="22"/>
        </w:rPr>
      </w:pPr>
    </w:p>
    <w:p w14:paraId="271EB783" w14:textId="5213CDFA" w:rsidR="00DE3458" w:rsidRPr="009C5EFD" w:rsidRDefault="00DE3458" w:rsidP="009C5EFD">
      <w:pPr>
        <w:suppressAutoHyphens/>
        <w:ind w:left="54"/>
        <w:rPr>
          <w:del w:id="11870"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3F4BC30" w14:textId="2CB53B48">
        <w:trPr>
          <w:del w:id="11871" w:author="AbbVie02no" w:date="2025-05-15T13:53:00Z"/>
        </w:trPr>
        <w:tc>
          <w:tcPr>
            <w:tcW w:w="9281" w:type="dxa"/>
          </w:tcPr>
          <w:p w14:paraId="6072ECD6" w14:textId="7A4E663D" w:rsidR="00DE3458" w:rsidRPr="009C5EFD" w:rsidRDefault="00E453CD" w:rsidP="009C5EFD">
            <w:pPr>
              <w:ind w:left="567" w:hanging="567"/>
              <w:rPr>
                <w:del w:id="11872" w:author="AbbVie02no" w:date="2025-05-15T13:53:00Z"/>
                <w:b/>
                <w:sz w:val="22"/>
                <w:szCs w:val="22"/>
              </w:rPr>
            </w:pPr>
            <w:del w:id="11873" w:author="AbbVie02no" w:date="2025-05-15T13:53:00Z">
              <w:r w:rsidRPr="009C5EFD">
                <w:rPr>
                  <w:b/>
                  <w:sz w:val="22"/>
                  <w:szCs w:val="22"/>
                </w:rPr>
                <w:delText>6.</w:delText>
              </w:r>
              <w:r w:rsidRPr="009C5EFD">
                <w:rPr>
                  <w:b/>
                  <w:sz w:val="22"/>
                  <w:szCs w:val="22"/>
                </w:rPr>
                <w:tab/>
                <w:delText>ADVARSEL OM AT LEGEMIDLET SKAL OPPBEVARES UTILGJENGELIG FOR BARN</w:delText>
              </w:r>
            </w:del>
          </w:p>
        </w:tc>
      </w:tr>
    </w:tbl>
    <w:p w14:paraId="4EE44D3C" w14:textId="3FAFFC38" w:rsidR="00DE3458" w:rsidRPr="009C5EFD" w:rsidRDefault="00DE3458" w:rsidP="007F67EE">
      <w:pPr>
        <w:suppressAutoHyphens/>
        <w:ind w:left="54"/>
        <w:rPr>
          <w:del w:id="11874" w:author="AbbVie02no" w:date="2025-05-15T13:53:00Z"/>
          <w:sz w:val="22"/>
          <w:szCs w:val="22"/>
        </w:rPr>
      </w:pPr>
    </w:p>
    <w:p w14:paraId="2773E1CC" w14:textId="08BCFB55" w:rsidR="00DE3458" w:rsidRPr="009C5EFD" w:rsidRDefault="00E453CD" w:rsidP="00193D76">
      <w:pPr>
        <w:suppressAutoHyphens/>
        <w:ind w:left="54"/>
        <w:rPr>
          <w:del w:id="11875" w:author="AbbVie02no" w:date="2025-05-15T13:53:00Z"/>
          <w:sz w:val="22"/>
          <w:szCs w:val="22"/>
        </w:rPr>
      </w:pPr>
      <w:del w:id="11876" w:author="AbbVie02no" w:date="2025-05-15T13:53:00Z">
        <w:r w:rsidRPr="009C5EFD">
          <w:rPr>
            <w:sz w:val="22"/>
            <w:szCs w:val="22"/>
          </w:rPr>
          <w:delText>Oppbevares utilgjengelig for barn.</w:delText>
        </w:r>
      </w:del>
    </w:p>
    <w:p w14:paraId="23AA1146" w14:textId="550294F0" w:rsidR="00DE3458" w:rsidRPr="009C5EFD" w:rsidRDefault="00DE3458" w:rsidP="002D0790">
      <w:pPr>
        <w:suppressAutoHyphens/>
        <w:ind w:left="54"/>
        <w:rPr>
          <w:del w:id="11877" w:author="AbbVie02no" w:date="2025-05-15T13:53:00Z"/>
          <w:sz w:val="22"/>
          <w:szCs w:val="22"/>
        </w:rPr>
      </w:pPr>
    </w:p>
    <w:p w14:paraId="4E656CD1" w14:textId="5F18A9B5" w:rsidR="00DE3458" w:rsidRPr="009C5EFD" w:rsidRDefault="00DE3458" w:rsidP="00C07C98">
      <w:pPr>
        <w:suppressAutoHyphens/>
        <w:ind w:left="54"/>
        <w:rPr>
          <w:del w:id="11878"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A93E047" w14:textId="1D2114B4">
        <w:trPr>
          <w:del w:id="11879" w:author="AbbVie02no" w:date="2025-05-15T13:53:00Z"/>
        </w:trPr>
        <w:tc>
          <w:tcPr>
            <w:tcW w:w="9281" w:type="dxa"/>
          </w:tcPr>
          <w:p w14:paraId="240C6538" w14:textId="5D4AE431" w:rsidR="00DE3458" w:rsidRPr="009C5EFD" w:rsidRDefault="00E453CD" w:rsidP="00E14E58">
            <w:pPr>
              <w:ind w:left="567" w:hanging="567"/>
              <w:rPr>
                <w:del w:id="11880" w:author="AbbVie02no" w:date="2025-05-15T13:53:00Z"/>
                <w:b/>
                <w:sz w:val="22"/>
                <w:szCs w:val="22"/>
              </w:rPr>
            </w:pPr>
            <w:del w:id="11881" w:author="AbbVie02no" w:date="2025-05-15T13:53:00Z">
              <w:r w:rsidRPr="009C5EFD">
                <w:rPr>
                  <w:b/>
                  <w:sz w:val="22"/>
                  <w:szCs w:val="22"/>
                </w:rPr>
                <w:delText>7.</w:delText>
              </w:r>
              <w:r w:rsidRPr="009C5EFD">
                <w:rPr>
                  <w:b/>
                  <w:sz w:val="22"/>
                  <w:szCs w:val="22"/>
                </w:rPr>
                <w:tab/>
                <w:delText>EVENTUELLE ANDRE SPESIELLE ADVARSLER</w:delText>
              </w:r>
            </w:del>
          </w:p>
        </w:tc>
      </w:tr>
    </w:tbl>
    <w:p w14:paraId="660FA97B" w14:textId="1923FC42" w:rsidR="00DE3458" w:rsidRPr="009C5EFD" w:rsidRDefault="00DE3458" w:rsidP="007F67EE">
      <w:pPr>
        <w:suppressAutoHyphens/>
        <w:ind w:left="54"/>
        <w:rPr>
          <w:del w:id="11882" w:author="AbbVie02no" w:date="2025-05-15T13:53:00Z"/>
          <w:sz w:val="22"/>
          <w:szCs w:val="22"/>
        </w:rPr>
      </w:pPr>
    </w:p>
    <w:p w14:paraId="01E5BB8A" w14:textId="149132AA" w:rsidR="00DE3458" w:rsidRPr="009C5EFD" w:rsidRDefault="00DE3458" w:rsidP="00C07C98">
      <w:pPr>
        <w:suppressAutoHyphens/>
        <w:ind w:left="54"/>
        <w:rPr>
          <w:del w:id="11883"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6AF12A5" w14:textId="66D52606">
        <w:trPr>
          <w:del w:id="11884" w:author="AbbVie02no" w:date="2025-05-15T13:53:00Z"/>
        </w:trPr>
        <w:tc>
          <w:tcPr>
            <w:tcW w:w="9281" w:type="dxa"/>
          </w:tcPr>
          <w:p w14:paraId="6558472A" w14:textId="4C57FEC2" w:rsidR="00DE3458" w:rsidRPr="009C5EFD" w:rsidRDefault="00E453CD" w:rsidP="00661964">
            <w:pPr>
              <w:keepNext/>
              <w:ind w:left="567" w:hanging="567"/>
              <w:rPr>
                <w:del w:id="11885" w:author="AbbVie02no" w:date="2025-05-15T13:53:00Z"/>
                <w:b/>
                <w:sz w:val="22"/>
                <w:szCs w:val="22"/>
              </w:rPr>
            </w:pPr>
            <w:del w:id="11886" w:author="AbbVie02no" w:date="2025-05-15T13:53:00Z">
              <w:r w:rsidRPr="009C5EFD">
                <w:rPr>
                  <w:b/>
                  <w:sz w:val="22"/>
                  <w:szCs w:val="22"/>
                </w:rPr>
                <w:lastRenderedPageBreak/>
                <w:delText>8.</w:delText>
              </w:r>
              <w:r w:rsidRPr="009C5EFD">
                <w:rPr>
                  <w:b/>
                  <w:sz w:val="22"/>
                  <w:szCs w:val="22"/>
                </w:rPr>
                <w:tab/>
                <w:delText>UTLØPSDATO</w:delText>
              </w:r>
            </w:del>
          </w:p>
        </w:tc>
      </w:tr>
    </w:tbl>
    <w:p w14:paraId="056AFC24" w14:textId="1A20B44F" w:rsidR="00DE3458" w:rsidRPr="009C5EFD" w:rsidRDefault="00DE3458" w:rsidP="00661964">
      <w:pPr>
        <w:keepNext/>
        <w:suppressAutoHyphens/>
        <w:ind w:left="621" w:hanging="567"/>
        <w:rPr>
          <w:del w:id="11887" w:author="AbbVie02no" w:date="2025-05-15T13:53:00Z"/>
          <w:sz w:val="22"/>
          <w:szCs w:val="22"/>
        </w:rPr>
      </w:pPr>
    </w:p>
    <w:p w14:paraId="7457AD64" w14:textId="0F861DEF" w:rsidR="00DE3458" w:rsidRPr="009C5EFD" w:rsidRDefault="00E453CD" w:rsidP="00661964">
      <w:pPr>
        <w:keepNext/>
        <w:suppressAutoHyphens/>
        <w:ind w:left="54"/>
        <w:rPr>
          <w:del w:id="11888" w:author="AbbVie02no" w:date="2025-05-15T13:53:00Z"/>
          <w:sz w:val="22"/>
          <w:szCs w:val="22"/>
        </w:rPr>
      </w:pPr>
      <w:del w:id="11889" w:author="AbbVie02no" w:date="2025-05-15T13:53:00Z">
        <w:r>
          <w:rPr>
            <w:sz w:val="22"/>
            <w:szCs w:val="22"/>
          </w:rPr>
          <w:delText>EXP</w:delText>
        </w:r>
      </w:del>
    </w:p>
    <w:p w14:paraId="62A3DDFF" w14:textId="27370150" w:rsidR="00DE3458" w:rsidRPr="009C5EFD" w:rsidRDefault="00DE3458" w:rsidP="002D0790">
      <w:pPr>
        <w:ind w:left="54"/>
        <w:rPr>
          <w:del w:id="11890" w:author="AbbVie02no" w:date="2025-05-15T13:53:00Z"/>
          <w:sz w:val="22"/>
          <w:szCs w:val="22"/>
        </w:rPr>
      </w:pPr>
    </w:p>
    <w:p w14:paraId="43886577" w14:textId="043A2957" w:rsidR="00DE3458" w:rsidRPr="009C5EFD" w:rsidRDefault="00DE3458" w:rsidP="002D0790">
      <w:pPr>
        <w:suppressAutoHyphens/>
        <w:ind w:left="54"/>
        <w:rPr>
          <w:del w:id="11891"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5FA0E2C" w14:textId="70840042">
        <w:trPr>
          <w:del w:id="11892" w:author="AbbVie02no" w:date="2025-05-15T13:53:00Z"/>
        </w:trPr>
        <w:tc>
          <w:tcPr>
            <w:tcW w:w="9281" w:type="dxa"/>
          </w:tcPr>
          <w:p w14:paraId="62A95A4C" w14:textId="2E398A86" w:rsidR="00DE3458" w:rsidRPr="009C5EFD" w:rsidRDefault="00E453CD" w:rsidP="00C07C98">
            <w:pPr>
              <w:ind w:left="567" w:hanging="567"/>
              <w:rPr>
                <w:del w:id="11893" w:author="AbbVie02no" w:date="2025-05-15T13:53:00Z"/>
                <w:b/>
                <w:sz w:val="22"/>
                <w:szCs w:val="22"/>
              </w:rPr>
            </w:pPr>
            <w:del w:id="11894" w:author="AbbVie02no" w:date="2025-05-15T13:53:00Z">
              <w:r w:rsidRPr="009C5EFD">
                <w:rPr>
                  <w:b/>
                  <w:sz w:val="22"/>
                  <w:szCs w:val="22"/>
                </w:rPr>
                <w:delText>9.</w:delText>
              </w:r>
              <w:r w:rsidRPr="009C5EFD">
                <w:rPr>
                  <w:b/>
                  <w:sz w:val="22"/>
                  <w:szCs w:val="22"/>
                </w:rPr>
                <w:tab/>
                <w:delText>OPPBEVARINGSBETINGELSER</w:delText>
              </w:r>
            </w:del>
          </w:p>
        </w:tc>
      </w:tr>
    </w:tbl>
    <w:p w14:paraId="34FE6B6D" w14:textId="130ACC0E" w:rsidR="00DE3458" w:rsidRPr="009C5EFD" w:rsidRDefault="00DE3458" w:rsidP="007F67EE">
      <w:pPr>
        <w:suppressAutoHyphens/>
        <w:ind w:left="54"/>
        <w:rPr>
          <w:del w:id="11895" w:author="AbbVie02no" w:date="2025-05-15T13:53:00Z"/>
          <w:sz w:val="22"/>
          <w:szCs w:val="22"/>
        </w:rPr>
      </w:pPr>
    </w:p>
    <w:p w14:paraId="1F6C0C57" w14:textId="27C485A4" w:rsidR="00DE3458" w:rsidRPr="009C5EFD" w:rsidRDefault="00E453CD" w:rsidP="002D0790">
      <w:pPr>
        <w:suppressAutoHyphens/>
        <w:ind w:left="54"/>
        <w:rPr>
          <w:del w:id="11896" w:author="AbbVie02no" w:date="2025-05-15T13:53:00Z"/>
          <w:sz w:val="22"/>
          <w:szCs w:val="22"/>
        </w:rPr>
      </w:pPr>
      <w:del w:id="11897" w:author="AbbVie02no" w:date="2025-05-15T13:53:00Z">
        <w:r w:rsidRPr="009C5EFD">
          <w:rPr>
            <w:sz w:val="22"/>
            <w:szCs w:val="22"/>
          </w:rPr>
          <w:delText xml:space="preserve">Oppbevares i kjøleskap. </w:delText>
        </w:r>
        <w:r w:rsidR="00D81405" w:rsidRPr="009C5EFD">
          <w:rPr>
            <w:sz w:val="22"/>
            <w:szCs w:val="22"/>
          </w:rPr>
          <w:delText xml:space="preserve">Skal </w:delText>
        </w:r>
        <w:r w:rsidRPr="009C5EFD">
          <w:rPr>
            <w:sz w:val="22"/>
            <w:szCs w:val="22"/>
          </w:rPr>
          <w:delText xml:space="preserve">ikke fryses. </w:delText>
        </w:r>
      </w:del>
    </w:p>
    <w:p w14:paraId="0F2233FC" w14:textId="249FB761" w:rsidR="00DE3458" w:rsidRPr="009C5EFD" w:rsidRDefault="00E453CD" w:rsidP="00C07C98">
      <w:pPr>
        <w:suppressAutoHyphens/>
        <w:ind w:left="54"/>
        <w:rPr>
          <w:del w:id="11898" w:author="AbbVie02no" w:date="2025-05-15T13:53:00Z"/>
          <w:sz w:val="22"/>
          <w:szCs w:val="22"/>
        </w:rPr>
      </w:pPr>
      <w:del w:id="11899" w:author="AbbVie02no" w:date="2025-05-15T13:53:00Z">
        <w:r w:rsidRPr="009C5EFD">
          <w:rPr>
            <w:sz w:val="22"/>
            <w:szCs w:val="22"/>
          </w:rPr>
          <w:delText>Hetteglasset oppbevares i ytterkartongen</w:delText>
        </w:r>
        <w:r w:rsidR="00F96B04" w:rsidRPr="009C5EFD">
          <w:rPr>
            <w:sz w:val="22"/>
            <w:szCs w:val="22"/>
          </w:rPr>
          <w:delText xml:space="preserve"> for å beskytte mot lys</w:delText>
        </w:r>
        <w:r w:rsidRPr="009C5EFD">
          <w:rPr>
            <w:sz w:val="22"/>
            <w:szCs w:val="22"/>
          </w:rPr>
          <w:delText>.</w:delText>
        </w:r>
      </w:del>
    </w:p>
    <w:p w14:paraId="2E30FDE0" w14:textId="1E4AC3DB" w:rsidR="00DE3458" w:rsidRPr="009C5EFD" w:rsidRDefault="00DE3458" w:rsidP="00E14E58">
      <w:pPr>
        <w:suppressAutoHyphens/>
        <w:ind w:left="54"/>
        <w:rPr>
          <w:del w:id="11900" w:author="AbbVie02no" w:date="2025-05-15T13:53:00Z"/>
          <w:sz w:val="22"/>
          <w:szCs w:val="22"/>
        </w:rPr>
      </w:pPr>
    </w:p>
    <w:p w14:paraId="28883E1D" w14:textId="35486434" w:rsidR="00DE3458" w:rsidRPr="009C5EFD" w:rsidRDefault="00DE3458" w:rsidP="009C5EFD">
      <w:pPr>
        <w:suppressAutoHyphens/>
        <w:ind w:left="54"/>
        <w:rPr>
          <w:del w:id="11901"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3F04150" w14:textId="176735E1">
        <w:trPr>
          <w:del w:id="11902" w:author="AbbVie02no" w:date="2025-05-15T13:53:00Z"/>
        </w:trPr>
        <w:tc>
          <w:tcPr>
            <w:tcW w:w="9281" w:type="dxa"/>
          </w:tcPr>
          <w:p w14:paraId="0DC399CF" w14:textId="63498B05" w:rsidR="00DE3458" w:rsidRPr="009C5EFD" w:rsidRDefault="00E453CD" w:rsidP="009C5EFD">
            <w:pPr>
              <w:ind w:left="567" w:hanging="567"/>
              <w:rPr>
                <w:del w:id="11903" w:author="AbbVie02no" w:date="2025-05-15T13:53:00Z"/>
                <w:b/>
                <w:sz w:val="22"/>
                <w:szCs w:val="22"/>
              </w:rPr>
            </w:pPr>
            <w:del w:id="11904" w:author="AbbVie02no" w:date="2025-05-15T13:53:00Z">
              <w:r w:rsidRPr="009C5EFD">
                <w:rPr>
                  <w:b/>
                  <w:sz w:val="22"/>
                  <w:szCs w:val="22"/>
                </w:rPr>
                <w:delText>10.</w:delText>
              </w:r>
              <w:r w:rsidRPr="009C5EFD">
                <w:rPr>
                  <w:b/>
                  <w:sz w:val="22"/>
                  <w:szCs w:val="22"/>
                </w:rPr>
                <w:tab/>
                <w:delText>EVENTUELLE SPESIELLE FORHOLDSREGLER VED DESTRUKSJON AV UBRUKTE LEGEMIDLER ELLER AVFALL</w:delText>
              </w:r>
            </w:del>
          </w:p>
        </w:tc>
      </w:tr>
    </w:tbl>
    <w:p w14:paraId="53066CDC" w14:textId="6D8AC443" w:rsidR="00DE3458" w:rsidRPr="009C5EFD" w:rsidRDefault="00DE3458" w:rsidP="007F67EE">
      <w:pPr>
        <w:suppressAutoHyphens/>
        <w:ind w:left="54"/>
        <w:rPr>
          <w:del w:id="11905" w:author="AbbVie02no" w:date="2025-05-15T13:53:00Z"/>
          <w:sz w:val="22"/>
          <w:szCs w:val="22"/>
        </w:rPr>
      </w:pPr>
    </w:p>
    <w:p w14:paraId="388B02BF" w14:textId="7F984223" w:rsidR="00DE3458" w:rsidRPr="009C5EFD" w:rsidRDefault="00DE3458" w:rsidP="00193D76">
      <w:pPr>
        <w:suppressAutoHyphens/>
        <w:ind w:left="54"/>
        <w:rPr>
          <w:del w:id="11906"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539840E" w14:textId="5B646722">
        <w:trPr>
          <w:del w:id="11907" w:author="AbbVie02no" w:date="2025-05-15T13:53:00Z"/>
        </w:trPr>
        <w:tc>
          <w:tcPr>
            <w:tcW w:w="9281" w:type="dxa"/>
          </w:tcPr>
          <w:p w14:paraId="47F53686" w14:textId="622C5FCF" w:rsidR="00DE3458" w:rsidRPr="009C5EFD" w:rsidRDefault="00E453CD" w:rsidP="002D0790">
            <w:pPr>
              <w:ind w:left="567" w:hanging="567"/>
              <w:rPr>
                <w:del w:id="11908" w:author="AbbVie02no" w:date="2025-05-15T13:53:00Z"/>
                <w:b/>
                <w:sz w:val="22"/>
                <w:szCs w:val="22"/>
              </w:rPr>
            </w:pPr>
            <w:del w:id="11909" w:author="AbbVie02no" w:date="2025-05-15T13:53:00Z">
              <w:r w:rsidRPr="009C5EFD">
                <w:rPr>
                  <w:b/>
                  <w:sz w:val="22"/>
                  <w:szCs w:val="22"/>
                </w:rPr>
                <w:delText>11.</w:delText>
              </w:r>
              <w:r w:rsidRPr="009C5EFD">
                <w:rPr>
                  <w:b/>
                  <w:sz w:val="22"/>
                  <w:szCs w:val="22"/>
                </w:rPr>
                <w:tab/>
                <w:delText>NAVN OG ADRESSE PÅ INNEHAVEREN AV MARKEDSFØRINGSTILLATELSEN</w:delText>
              </w:r>
            </w:del>
          </w:p>
        </w:tc>
      </w:tr>
    </w:tbl>
    <w:p w14:paraId="2A8BCA9B" w14:textId="35D56283" w:rsidR="00DE3458" w:rsidRPr="009C5EFD" w:rsidRDefault="00DE3458" w:rsidP="007F67EE">
      <w:pPr>
        <w:suppressAutoHyphens/>
        <w:ind w:left="54"/>
        <w:rPr>
          <w:del w:id="11910" w:author="AbbVie02no" w:date="2025-05-15T13:53:00Z"/>
          <w:sz w:val="22"/>
          <w:szCs w:val="22"/>
        </w:rPr>
      </w:pPr>
    </w:p>
    <w:p w14:paraId="4FE854A7" w14:textId="323E4396" w:rsidR="00851837" w:rsidRPr="00EF12DF" w:rsidRDefault="00E453CD" w:rsidP="00851837">
      <w:pPr>
        <w:rPr>
          <w:del w:id="11911" w:author="AbbVie02no" w:date="2025-05-15T13:53:00Z"/>
          <w:sz w:val="22"/>
          <w:szCs w:val="22"/>
        </w:rPr>
      </w:pPr>
      <w:del w:id="11912" w:author="AbbVie02no" w:date="2025-05-15T13:53:00Z">
        <w:r w:rsidRPr="00EF12DF">
          <w:rPr>
            <w:sz w:val="22"/>
            <w:szCs w:val="22"/>
          </w:rPr>
          <w:delText>AbbVie Deutschland GmbH &amp; Co. KG</w:delText>
        </w:r>
      </w:del>
    </w:p>
    <w:p w14:paraId="1F047B4A" w14:textId="193FD5E7" w:rsidR="00851837" w:rsidRPr="00EF12DF" w:rsidRDefault="00E453CD" w:rsidP="00851837">
      <w:pPr>
        <w:rPr>
          <w:del w:id="11913" w:author="AbbVie02no" w:date="2025-05-15T13:53:00Z"/>
          <w:sz w:val="22"/>
          <w:szCs w:val="22"/>
        </w:rPr>
      </w:pPr>
      <w:del w:id="11914" w:author="AbbVie02no" w:date="2025-05-15T13:53:00Z">
        <w:r w:rsidRPr="00EF12DF">
          <w:rPr>
            <w:sz w:val="22"/>
            <w:szCs w:val="22"/>
          </w:rPr>
          <w:delText>Knollstrasse</w:delText>
        </w:r>
      </w:del>
    </w:p>
    <w:p w14:paraId="09FA7996" w14:textId="62973CFF" w:rsidR="00851837" w:rsidRPr="00EF12DF" w:rsidRDefault="00E453CD" w:rsidP="00851837">
      <w:pPr>
        <w:rPr>
          <w:del w:id="11915" w:author="AbbVie02no" w:date="2025-05-15T13:53:00Z"/>
          <w:sz w:val="22"/>
          <w:szCs w:val="22"/>
        </w:rPr>
      </w:pPr>
      <w:del w:id="11916" w:author="AbbVie02no" w:date="2025-05-15T13:53:00Z">
        <w:r w:rsidRPr="00EF12DF">
          <w:rPr>
            <w:sz w:val="22"/>
            <w:szCs w:val="22"/>
          </w:rPr>
          <w:delText>67061 Ludwigshafen</w:delText>
        </w:r>
      </w:del>
    </w:p>
    <w:p w14:paraId="69172FB4" w14:textId="66A873E2" w:rsidR="00851837" w:rsidRPr="009C5EFD" w:rsidRDefault="00E453CD" w:rsidP="00851837">
      <w:pPr>
        <w:rPr>
          <w:del w:id="11917" w:author="AbbVie02no" w:date="2025-05-15T13:53:00Z"/>
          <w:sz w:val="22"/>
          <w:szCs w:val="22"/>
        </w:rPr>
      </w:pPr>
      <w:del w:id="11918" w:author="AbbVie02no" w:date="2025-05-15T13:53:00Z">
        <w:r>
          <w:rPr>
            <w:sz w:val="22"/>
            <w:szCs w:val="22"/>
          </w:rPr>
          <w:delText>Tyskland</w:delText>
        </w:r>
      </w:del>
    </w:p>
    <w:p w14:paraId="398DFFC8" w14:textId="6772A35B" w:rsidR="00DE3458" w:rsidRPr="003F000C" w:rsidRDefault="00DE3458" w:rsidP="009C5EFD">
      <w:pPr>
        <w:suppressAutoHyphens/>
        <w:ind w:left="54"/>
        <w:rPr>
          <w:del w:id="11919" w:author="AbbVie02no" w:date="2025-05-15T13:53:00Z"/>
          <w:sz w:val="22"/>
          <w:szCs w:val="22"/>
          <w:lang w:val="sv-SE"/>
        </w:rPr>
      </w:pPr>
    </w:p>
    <w:p w14:paraId="179A6B02" w14:textId="33F1B65F" w:rsidR="00DE3458" w:rsidRPr="003F000C" w:rsidRDefault="00DE3458" w:rsidP="009C5EFD">
      <w:pPr>
        <w:suppressAutoHyphens/>
        <w:ind w:left="54"/>
        <w:rPr>
          <w:del w:id="11920" w:author="AbbVie02no" w:date="2025-05-15T13:53:00Z"/>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D18A7E5" w14:textId="29D9C5C9">
        <w:trPr>
          <w:del w:id="11921" w:author="AbbVie02no" w:date="2025-05-15T13:53:00Z"/>
        </w:trPr>
        <w:tc>
          <w:tcPr>
            <w:tcW w:w="9281" w:type="dxa"/>
          </w:tcPr>
          <w:p w14:paraId="1A07ECEB" w14:textId="7E1940D9" w:rsidR="00DE3458" w:rsidRPr="009C5EFD" w:rsidRDefault="00E453CD" w:rsidP="009C5EFD">
            <w:pPr>
              <w:ind w:left="567" w:hanging="567"/>
              <w:rPr>
                <w:del w:id="11922" w:author="AbbVie02no" w:date="2025-05-15T13:53:00Z"/>
                <w:b/>
                <w:sz w:val="22"/>
                <w:szCs w:val="22"/>
              </w:rPr>
            </w:pPr>
            <w:del w:id="11923" w:author="AbbVie02no" w:date="2025-05-15T13:53:00Z">
              <w:r w:rsidRPr="009C5EFD">
                <w:rPr>
                  <w:b/>
                  <w:sz w:val="22"/>
                  <w:szCs w:val="22"/>
                </w:rPr>
                <w:delText>12.</w:delText>
              </w:r>
              <w:r w:rsidRPr="009C5EFD">
                <w:rPr>
                  <w:b/>
                  <w:sz w:val="22"/>
                  <w:szCs w:val="22"/>
                </w:rPr>
                <w:tab/>
                <w:delText>MARKEDSFØRINGSTILLATELSESNUMMER (NUMRE)</w:delText>
              </w:r>
            </w:del>
          </w:p>
        </w:tc>
      </w:tr>
    </w:tbl>
    <w:p w14:paraId="75EDE2B1" w14:textId="22857ABA" w:rsidR="00DE3458" w:rsidRPr="009C5EFD" w:rsidRDefault="00DE3458" w:rsidP="007F67EE">
      <w:pPr>
        <w:suppressAutoHyphens/>
        <w:ind w:left="54"/>
        <w:rPr>
          <w:del w:id="11924" w:author="AbbVie02no" w:date="2025-05-15T13:53:00Z"/>
          <w:sz w:val="22"/>
          <w:szCs w:val="22"/>
        </w:rPr>
      </w:pPr>
    </w:p>
    <w:p w14:paraId="421E8CB9" w14:textId="2B09A8B2" w:rsidR="00DE3458" w:rsidRPr="009C5EFD" w:rsidRDefault="00E453CD" w:rsidP="00193D76">
      <w:pPr>
        <w:suppressAutoHyphens/>
        <w:ind w:left="480" w:hanging="426"/>
        <w:rPr>
          <w:del w:id="11925" w:author="AbbVie02no" w:date="2025-05-15T13:53:00Z"/>
          <w:sz w:val="22"/>
          <w:szCs w:val="22"/>
        </w:rPr>
      </w:pPr>
      <w:del w:id="11926" w:author="AbbVie02no" w:date="2025-05-15T13:53:00Z">
        <w:r w:rsidRPr="009C5EFD">
          <w:rPr>
            <w:sz w:val="22"/>
            <w:szCs w:val="22"/>
          </w:rPr>
          <w:delText>EU/1/03/256/001</w:delText>
        </w:r>
      </w:del>
    </w:p>
    <w:p w14:paraId="290968C1" w14:textId="2C998404" w:rsidR="00DE3458" w:rsidRPr="009C5EFD" w:rsidRDefault="00DE3458" w:rsidP="002D0790">
      <w:pPr>
        <w:ind w:left="54"/>
        <w:rPr>
          <w:del w:id="11927" w:author="AbbVie02no" w:date="2025-05-15T13:53:00Z"/>
          <w:sz w:val="22"/>
          <w:szCs w:val="22"/>
        </w:rPr>
      </w:pPr>
    </w:p>
    <w:p w14:paraId="69047BE4" w14:textId="186A4EA5" w:rsidR="00DE3458" w:rsidRPr="009C5EFD" w:rsidRDefault="00DE3458" w:rsidP="00C07C98">
      <w:pPr>
        <w:ind w:left="54"/>
        <w:rPr>
          <w:del w:id="11928"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3F775CE" w14:textId="5AB1C55B">
        <w:trPr>
          <w:del w:id="11929" w:author="AbbVie02no" w:date="2025-05-15T13:53:00Z"/>
        </w:trPr>
        <w:tc>
          <w:tcPr>
            <w:tcW w:w="9281" w:type="dxa"/>
          </w:tcPr>
          <w:p w14:paraId="6C11DA7A" w14:textId="5F18EFBB" w:rsidR="00DE3458" w:rsidRPr="009C5EFD" w:rsidRDefault="00E453CD" w:rsidP="00E14E58">
            <w:pPr>
              <w:ind w:left="567" w:hanging="567"/>
              <w:rPr>
                <w:del w:id="11930" w:author="AbbVie02no" w:date="2025-05-15T13:53:00Z"/>
                <w:b/>
                <w:sz w:val="22"/>
                <w:szCs w:val="22"/>
              </w:rPr>
            </w:pPr>
            <w:del w:id="11931" w:author="AbbVie02no" w:date="2025-05-15T13:53:00Z">
              <w:r w:rsidRPr="009C5EFD">
                <w:rPr>
                  <w:b/>
                  <w:sz w:val="22"/>
                  <w:szCs w:val="22"/>
                </w:rPr>
                <w:delText>13.</w:delText>
              </w:r>
              <w:r w:rsidRPr="009C5EFD">
                <w:rPr>
                  <w:b/>
                  <w:sz w:val="22"/>
                  <w:szCs w:val="22"/>
                </w:rPr>
                <w:tab/>
                <w:delText>PRODUKSJONSNUMMER</w:delText>
              </w:r>
            </w:del>
          </w:p>
        </w:tc>
      </w:tr>
    </w:tbl>
    <w:p w14:paraId="476F2080" w14:textId="70ED0787" w:rsidR="00DE3458" w:rsidRPr="009C5EFD" w:rsidRDefault="00DE3458" w:rsidP="007F67EE">
      <w:pPr>
        <w:ind w:left="54"/>
        <w:rPr>
          <w:del w:id="11932" w:author="AbbVie02no" w:date="2025-05-15T13:53:00Z"/>
          <w:sz w:val="22"/>
          <w:szCs w:val="22"/>
        </w:rPr>
      </w:pPr>
    </w:p>
    <w:p w14:paraId="0D3E9EFA" w14:textId="42701BD4" w:rsidR="00DE3458" w:rsidRPr="009C5EFD" w:rsidRDefault="00E453CD" w:rsidP="00193D76">
      <w:pPr>
        <w:ind w:left="54"/>
        <w:rPr>
          <w:del w:id="11933" w:author="AbbVie02no" w:date="2025-05-15T13:53:00Z"/>
          <w:sz w:val="22"/>
          <w:szCs w:val="22"/>
        </w:rPr>
      </w:pPr>
      <w:del w:id="11934" w:author="AbbVie02no" w:date="2025-05-15T13:53:00Z">
        <w:r w:rsidRPr="009C5EFD">
          <w:rPr>
            <w:sz w:val="22"/>
            <w:szCs w:val="22"/>
          </w:rPr>
          <w:delText>Lot</w:delText>
        </w:r>
      </w:del>
    </w:p>
    <w:p w14:paraId="36659372" w14:textId="61E86FBA" w:rsidR="00DE3458" w:rsidRPr="009C5EFD" w:rsidRDefault="00DE3458" w:rsidP="002D0790">
      <w:pPr>
        <w:ind w:left="54"/>
        <w:rPr>
          <w:del w:id="11935" w:author="AbbVie02no" w:date="2025-05-15T13:53:00Z"/>
          <w:sz w:val="22"/>
          <w:szCs w:val="22"/>
        </w:rPr>
      </w:pPr>
    </w:p>
    <w:p w14:paraId="71D63FD9" w14:textId="2D131900" w:rsidR="00DE3458" w:rsidRPr="009C5EFD" w:rsidRDefault="00DE3458" w:rsidP="00C07C98">
      <w:pPr>
        <w:ind w:left="54"/>
        <w:rPr>
          <w:del w:id="11936"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80D95AD" w14:textId="0A0D056A">
        <w:trPr>
          <w:del w:id="11937" w:author="AbbVie02no" w:date="2025-05-15T13:53:00Z"/>
        </w:trPr>
        <w:tc>
          <w:tcPr>
            <w:tcW w:w="9281" w:type="dxa"/>
          </w:tcPr>
          <w:p w14:paraId="435C53F4" w14:textId="69DE23B7" w:rsidR="00DE3458" w:rsidRPr="009C5EFD" w:rsidRDefault="00E453CD" w:rsidP="00E14E58">
            <w:pPr>
              <w:ind w:left="567" w:hanging="567"/>
              <w:rPr>
                <w:del w:id="11938" w:author="AbbVie02no" w:date="2025-05-15T13:53:00Z"/>
                <w:b/>
                <w:sz w:val="22"/>
                <w:szCs w:val="22"/>
              </w:rPr>
            </w:pPr>
            <w:del w:id="11939" w:author="AbbVie02no" w:date="2025-05-15T13:53:00Z">
              <w:r w:rsidRPr="009C5EFD">
                <w:rPr>
                  <w:b/>
                  <w:sz w:val="22"/>
                  <w:szCs w:val="22"/>
                </w:rPr>
                <w:delText>14.</w:delText>
              </w:r>
              <w:r w:rsidRPr="009C5EFD">
                <w:rPr>
                  <w:b/>
                  <w:sz w:val="22"/>
                  <w:szCs w:val="22"/>
                </w:rPr>
                <w:tab/>
                <w:delText>GENERELL KLASSIFIKASJON FOR UTLEVERING</w:delText>
              </w:r>
            </w:del>
          </w:p>
        </w:tc>
      </w:tr>
    </w:tbl>
    <w:p w14:paraId="4C33E61D" w14:textId="3095767F" w:rsidR="00DE3458" w:rsidRPr="009C5EFD" w:rsidRDefault="00DE3458" w:rsidP="002D0790">
      <w:pPr>
        <w:suppressAutoHyphens/>
        <w:ind w:left="774" w:hanging="720"/>
        <w:rPr>
          <w:del w:id="11940" w:author="AbbVie02no" w:date="2025-05-15T13:53:00Z"/>
          <w:sz w:val="22"/>
          <w:szCs w:val="22"/>
        </w:rPr>
      </w:pPr>
    </w:p>
    <w:p w14:paraId="7E0FBF52" w14:textId="70EFA872" w:rsidR="00DE3458" w:rsidRPr="009C5EFD" w:rsidRDefault="00DE3458" w:rsidP="00C07C98">
      <w:pPr>
        <w:suppressAutoHyphens/>
        <w:ind w:left="774" w:hanging="720"/>
        <w:rPr>
          <w:del w:id="11941"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0FFADC7" w14:textId="404AEBD1">
        <w:trPr>
          <w:del w:id="11942" w:author="AbbVie02no" w:date="2025-05-15T13:53:00Z"/>
        </w:trPr>
        <w:tc>
          <w:tcPr>
            <w:tcW w:w="9281" w:type="dxa"/>
          </w:tcPr>
          <w:p w14:paraId="3D2BB65C" w14:textId="5DF5F87E" w:rsidR="00DE3458" w:rsidRPr="009C5EFD" w:rsidRDefault="00E453CD" w:rsidP="00E14E58">
            <w:pPr>
              <w:ind w:left="567" w:hanging="567"/>
              <w:rPr>
                <w:del w:id="11943" w:author="AbbVie02no" w:date="2025-05-15T13:53:00Z"/>
                <w:b/>
                <w:sz w:val="22"/>
                <w:szCs w:val="22"/>
              </w:rPr>
            </w:pPr>
            <w:del w:id="11944" w:author="AbbVie02no" w:date="2025-05-15T13:53:00Z">
              <w:r w:rsidRPr="009C5EFD">
                <w:rPr>
                  <w:b/>
                  <w:sz w:val="22"/>
                  <w:szCs w:val="22"/>
                </w:rPr>
                <w:delText>15.</w:delText>
              </w:r>
              <w:r w:rsidRPr="009C5EFD">
                <w:rPr>
                  <w:b/>
                  <w:sz w:val="22"/>
                  <w:szCs w:val="22"/>
                </w:rPr>
                <w:tab/>
                <w:delText>BRUKSANVISNING</w:delText>
              </w:r>
            </w:del>
          </w:p>
        </w:tc>
      </w:tr>
    </w:tbl>
    <w:p w14:paraId="7BBA9AA2" w14:textId="154575F0" w:rsidR="00DE3458" w:rsidRPr="00D968A3" w:rsidRDefault="00DE3458" w:rsidP="007F67EE">
      <w:pPr>
        <w:ind w:left="54"/>
        <w:rPr>
          <w:del w:id="11945" w:author="AbbVie02no" w:date="2025-05-15T13:53:00Z"/>
          <w:sz w:val="22"/>
          <w:szCs w:val="22"/>
        </w:rPr>
      </w:pPr>
    </w:p>
    <w:p w14:paraId="40CB35E8" w14:textId="24CA36D4" w:rsidR="00DE3458" w:rsidRPr="00D968A3" w:rsidRDefault="00DE3458" w:rsidP="00193D76">
      <w:pPr>
        <w:ind w:left="54"/>
        <w:rPr>
          <w:del w:id="11946"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6B2F53" w14:textId="60C59448">
        <w:trPr>
          <w:del w:id="11947" w:author="AbbVie02no" w:date="2025-05-15T13:53:00Z"/>
        </w:trPr>
        <w:tc>
          <w:tcPr>
            <w:tcW w:w="9281" w:type="dxa"/>
          </w:tcPr>
          <w:p w14:paraId="4EDFE544" w14:textId="0F9EF910" w:rsidR="00DE3458" w:rsidRPr="009C5EFD" w:rsidRDefault="00E453CD" w:rsidP="002D0790">
            <w:pPr>
              <w:ind w:left="567" w:hanging="567"/>
              <w:rPr>
                <w:del w:id="11948" w:author="AbbVie02no" w:date="2025-05-15T13:53:00Z"/>
                <w:b/>
                <w:sz w:val="22"/>
                <w:szCs w:val="22"/>
              </w:rPr>
            </w:pPr>
            <w:del w:id="11949" w:author="AbbVie02no" w:date="2025-05-15T13:53:00Z">
              <w:r w:rsidRPr="009C5EFD">
                <w:rPr>
                  <w:b/>
                  <w:sz w:val="22"/>
                  <w:szCs w:val="22"/>
                </w:rPr>
                <w:delText>16.</w:delText>
              </w:r>
              <w:r w:rsidRPr="009C5EFD">
                <w:rPr>
                  <w:b/>
                  <w:sz w:val="22"/>
                  <w:szCs w:val="22"/>
                </w:rPr>
                <w:tab/>
                <w:delText>INFORMASJON PÅ BLINDESKRIFT</w:delText>
              </w:r>
            </w:del>
          </w:p>
        </w:tc>
      </w:tr>
    </w:tbl>
    <w:p w14:paraId="71038A3F" w14:textId="16D67436" w:rsidR="00DE3458" w:rsidRPr="00D968A3" w:rsidRDefault="00DE3458" w:rsidP="007F67EE">
      <w:pPr>
        <w:ind w:left="54"/>
        <w:rPr>
          <w:del w:id="11950" w:author="AbbVie02no" w:date="2025-05-15T13:53:00Z"/>
          <w:sz w:val="22"/>
          <w:szCs w:val="22"/>
        </w:rPr>
      </w:pPr>
    </w:p>
    <w:p w14:paraId="2FDB7FE9" w14:textId="28FFF008" w:rsidR="00A20A1B" w:rsidRDefault="00E453CD" w:rsidP="00193D76">
      <w:pPr>
        <w:rPr>
          <w:del w:id="11951" w:author="AbbVie02no" w:date="2025-05-15T13:53:00Z"/>
          <w:sz w:val="22"/>
          <w:szCs w:val="22"/>
        </w:rPr>
      </w:pPr>
      <w:del w:id="11952" w:author="AbbVie02no" w:date="2025-05-15T13:53:00Z">
        <w:r w:rsidRPr="009C5EFD">
          <w:rPr>
            <w:sz w:val="22"/>
            <w:szCs w:val="22"/>
          </w:rPr>
          <w:delText>Humira 40</w:delText>
        </w:r>
        <w:r w:rsidR="0021248D">
          <w:rPr>
            <w:sz w:val="22"/>
            <w:szCs w:val="22"/>
          </w:rPr>
          <w:delText> </w:delText>
        </w:r>
        <w:r w:rsidRPr="009C5EFD">
          <w:rPr>
            <w:sz w:val="22"/>
            <w:szCs w:val="22"/>
          </w:rPr>
          <w:delText>mg</w:delText>
        </w:r>
      </w:del>
    </w:p>
    <w:p w14:paraId="12C6CC36" w14:textId="7DA819D3" w:rsidR="00E2461F" w:rsidRDefault="00E2461F" w:rsidP="00193D76">
      <w:pPr>
        <w:rPr>
          <w:del w:id="11953" w:author="AbbVie02no" w:date="2025-05-15T13:53:00Z"/>
          <w:sz w:val="22"/>
          <w:szCs w:val="22"/>
        </w:rPr>
      </w:pPr>
    </w:p>
    <w:p w14:paraId="6F9500CA" w14:textId="34F3B953" w:rsidR="00E2461F" w:rsidRPr="001E2ACA" w:rsidRDefault="00E2461F" w:rsidP="00E2461F">
      <w:pPr>
        <w:tabs>
          <w:tab w:val="left" w:pos="562"/>
        </w:tabs>
        <w:suppressAutoHyphens/>
        <w:ind w:left="540" w:hanging="540"/>
        <w:rPr>
          <w:del w:id="11954" w:author="AbbVie02no" w:date="2025-05-15T13:53:00Z"/>
          <w:sz w:val="22"/>
          <w:lang w:val="en-GB"/>
        </w:rPr>
      </w:pPr>
    </w:p>
    <w:p w14:paraId="424C4908" w14:textId="35B6B5AE" w:rsidR="00E2461F" w:rsidRPr="00126088" w:rsidRDefault="00E453CD" w:rsidP="00E2461F">
      <w:pPr>
        <w:pBdr>
          <w:top w:val="single" w:sz="4" w:space="1" w:color="auto"/>
          <w:left w:val="single" w:sz="4" w:space="4" w:color="auto"/>
          <w:bottom w:val="single" w:sz="4" w:space="1" w:color="auto"/>
          <w:right w:val="single" w:sz="4" w:space="4" w:color="auto"/>
        </w:pBdr>
        <w:tabs>
          <w:tab w:val="left" w:pos="562"/>
        </w:tabs>
        <w:suppressAutoHyphens/>
        <w:rPr>
          <w:del w:id="11955" w:author="AbbVie02no" w:date="2025-05-15T13:53:00Z"/>
          <w:b/>
          <w:bCs/>
          <w:caps/>
          <w:sz w:val="22"/>
          <w:szCs w:val="20"/>
        </w:rPr>
      </w:pPr>
      <w:del w:id="11956" w:author="AbbVie02no" w:date="2025-05-15T13:53:00Z">
        <w:r w:rsidRPr="00F05EB5">
          <w:rPr>
            <w:b/>
            <w:bCs/>
            <w:caps/>
            <w:sz w:val="22"/>
            <w:szCs w:val="20"/>
          </w:rPr>
          <w:delText xml:space="preserve">17. </w:delText>
        </w:r>
        <w:r w:rsidRPr="00F05EB5">
          <w:rPr>
            <w:b/>
            <w:bCs/>
            <w:caps/>
            <w:sz w:val="22"/>
            <w:szCs w:val="20"/>
          </w:rPr>
          <w:tab/>
        </w:r>
        <w:r w:rsidRPr="00126088">
          <w:rPr>
            <w:b/>
            <w:bCs/>
            <w:caps/>
            <w:sz w:val="22"/>
            <w:szCs w:val="20"/>
          </w:rPr>
          <w:delText>SIKKERHETSANORDNING (UNIK IDENTITET) – TODIMENSJONAL STREKKODE</w:delText>
        </w:r>
      </w:del>
    </w:p>
    <w:p w14:paraId="039A974B" w14:textId="3D64AB6E" w:rsidR="00992816" w:rsidRDefault="00992816" w:rsidP="00E2461F">
      <w:pPr>
        <w:tabs>
          <w:tab w:val="left" w:pos="562"/>
        </w:tabs>
        <w:suppressAutoHyphens/>
        <w:rPr>
          <w:del w:id="11957" w:author="AbbVie02no" w:date="2025-05-15T13:53:00Z"/>
          <w:sz w:val="22"/>
          <w:shd w:val="clear" w:color="auto" w:fill="BFBFBF"/>
        </w:rPr>
      </w:pPr>
    </w:p>
    <w:p w14:paraId="5CAAD47D" w14:textId="5A115EEB" w:rsidR="007E595C" w:rsidRPr="00F05EB5" w:rsidRDefault="007E595C" w:rsidP="00E2461F">
      <w:pPr>
        <w:tabs>
          <w:tab w:val="left" w:pos="562"/>
        </w:tabs>
        <w:suppressAutoHyphens/>
        <w:rPr>
          <w:del w:id="11958" w:author="AbbVie02no" w:date="2025-05-15T13:53:00Z"/>
          <w:sz w:val="22"/>
          <w:shd w:val="clear" w:color="auto" w:fill="BFBFBF"/>
        </w:rPr>
      </w:pPr>
    </w:p>
    <w:p w14:paraId="20A69AC0" w14:textId="59B03065" w:rsidR="00E2461F" w:rsidRPr="00126088" w:rsidRDefault="00E453CD" w:rsidP="00E2461F">
      <w:pPr>
        <w:keepNext/>
        <w:pBdr>
          <w:top w:val="single" w:sz="4" w:space="1" w:color="auto"/>
          <w:left w:val="single" w:sz="4" w:space="4" w:color="auto"/>
          <w:bottom w:val="single" w:sz="4" w:space="1" w:color="auto"/>
          <w:right w:val="single" w:sz="4" w:space="4" w:color="auto"/>
        </w:pBdr>
        <w:tabs>
          <w:tab w:val="left" w:pos="562"/>
        </w:tabs>
        <w:suppressAutoHyphens/>
        <w:rPr>
          <w:del w:id="11959" w:author="AbbVie02no" w:date="2025-05-15T13:53:00Z"/>
          <w:rFonts w:ascii="Times New Roman Bold" w:hAnsi="Times New Roman Bold"/>
          <w:caps/>
          <w:sz w:val="22"/>
          <w:szCs w:val="20"/>
        </w:rPr>
      </w:pPr>
      <w:del w:id="11960" w:author="AbbVie02no" w:date="2025-05-15T13:53:00Z">
        <w:r w:rsidRPr="00F05EB5">
          <w:rPr>
            <w:b/>
            <w:bCs/>
            <w:caps/>
            <w:sz w:val="22"/>
            <w:szCs w:val="20"/>
          </w:rPr>
          <w:delText xml:space="preserve">18. </w:delText>
        </w:r>
        <w:r w:rsidRPr="00F05EB5">
          <w:rPr>
            <w:b/>
            <w:bCs/>
            <w:caps/>
            <w:sz w:val="22"/>
            <w:szCs w:val="20"/>
          </w:rPr>
          <w:tab/>
        </w:r>
        <w:r w:rsidRPr="00126088">
          <w:rPr>
            <w:b/>
            <w:bCs/>
            <w:caps/>
            <w:sz w:val="22"/>
            <w:szCs w:val="20"/>
          </w:rPr>
          <w:delText>SIKKERHETSANORDNING (UNIK IDENTITET) – I ET FORMAT LESBART FOR MENNESKER</w:delText>
        </w:r>
      </w:del>
    </w:p>
    <w:p w14:paraId="328B7B56" w14:textId="573D7D50" w:rsidR="00992816" w:rsidRDefault="00992816" w:rsidP="00E2461F">
      <w:pPr>
        <w:rPr>
          <w:del w:id="11961" w:author="AbbVie02no" w:date="2025-05-15T13:53:00Z"/>
          <w:sz w:val="22"/>
          <w:szCs w:val="22"/>
          <w:highlight w:val="lightGray"/>
        </w:rPr>
      </w:pPr>
    </w:p>
    <w:p w14:paraId="2C0765F0" w14:textId="6CFD521B" w:rsidR="00A20A1B" w:rsidRPr="009C5EFD" w:rsidRDefault="00A20A1B" w:rsidP="002D0790">
      <w:pPr>
        <w:rPr>
          <w:del w:id="11962" w:author="AbbVie02no" w:date="2025-05-15T13:53:00Z"/>
          <w:sz w:val="22"/>
          <w:szCs w:val="22"/>
        </w:rPr>
      </w:pPr>
    </w:p>
    <w:p w14:paraId="32DE7DE8" w14:textId="3E08C7C0" w:rsidR="00DE3458" w:rsidRPr="009C5EFD" w:rsidRDefault="00E453CD" w:rsidP="00C07C98">
      <w:pPr>
        <w:rPr>
          <w:del w:id="11963" w:author="AbbVie02no" w:date="2025-05-15T13:53:00Z"/>
          <w:b/>
          <w:sz w:val="22"/>
          <w:szCs w:val="22"/>
        </w:rPr>
      </w:pPr>
      <w:del w:id="11964" w:author="AbbVie02no" w:date="2025-05-15T13:53:00Z">
        <w:r w:rsidRPr="009C5EFD">
          <w:rPr>
            <w:b/>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E1F021F" w14:textId="3A384C49">
        <w:trPr>
          <w:trHeight w:val="1070"/>
          <w:del w:id="11965" w:author="AbbVie02no" w:date="2025-05-15T13:53:00Z"/>
        </w:trPr>
        <w:tc>
          <w:tcPr>
            <w:tcW w:w="9281" w:type="dxa"/>
            <w:tcBorders>
              <w:bottom w:val="single" w:sz="4" w:space="0" w:color="auto"/>
            </w:tcBorders>
          </w:tcPr>
          <w:p w14:paraId="1C90FF55" w14:textId="511E43D8" w:rsidR="00DE3458" w:rsidRPr="009C5EFD" w:rsidRDefault="00E453CD" w:rsidP="00C07C98">
            <w:pPr>
              <w:suppressAutoHyphens/>
              <w:rPr>
                <w:del w:id="11966" w:author="AbbVie02no" w:date="2025-05-15T13:53:00Z"/>
                <w:b/>
                <w:sz w:val="22"/>
                <w:szCs w:val="22"/>
              </w:rPr>
            </w:pPr>
            <w:del w:id="11967" w:author="AbbVie02no" w:date="2025-05-15T13:53:00Z">
              <w:r w:rsidRPr="009C5EFD">
                <w:rPr>
                  <w:b/>
                  <w:sz w:val="22"/>
                  <w:szCs w:val="22"/>
                </w:rPr>
                <w:lastRenderedPageBreak/>
                <w:delText>MINSTEKRAV TIL OPPLYSNINGER SOM SKAL ANGIS PÅ SMÅ INDRE EMBALLASJER</w:delText>
              </w:r>
            </w:del>
          </w:p>
          <w:p w14:paraId="01A00F63" w14:textId="111D9468" w:rsidR="00DE3458" w:rsidRPr="009C5EFD" w:rsidRDefault="00DE3458" w:rsidP="00E14E58">
            <w:pPr>
              <w:suppressAutoHyphens/>
              <w:rPr>
                <w:del w:id="11968" w:author="AbbVie02no" w:date="2025-05-15T13:53:00Z"/>
                <w:b/>
                <w:sz w:val="22"/>
                <w:szCs w:val="22"/>
              </w:rPr>
            </w:pPr>
          </w:p>
          <w:p w14:paraId="747B0295" w14:textId="76190DEE" w:rsidR="00DE3458" w:rsidRPr="009C5EFD" w:rsidRDefault="00E453CD" w:rsidP="004F719E">
            <w:pPr>
              <w:suppressAutoHyphens/>
              <w:rPr>
                <w:del w:id="11969" w:author="AbbVie02no" w:date="2025-05-15T13:53:00Z"/>
                <w:b/>
                <w:sz w:val="22"/>
                <w:szCs w:val="22"/>
              </w:rPr>
            </w:pPr>
            <w:del w:id="11970" w:author="AbbVie02no" w:date="2025-05-15T13:53:00Z">
              <w:r w:rsidRPr="009C5EFD">
                <w:rPr>
                  <w:b/>
                  <w:sz w:val="22"/>
                  <w:szCs w:val="22"/>
                </w:rPr>
                <w:delText>E</w:delText>
              </w:r>
              <w:r w:rsidR="004F719E">
                <w:rPr>
                  <w:b/>
                  <w:sz w:val="22"/>
                  <w:szCs w:val="22"/>
                </w:rPr>
                <w:delText>TIKETT PÅ HETTEGLASS</w:delText>
              </w:r>
            </w:del>
          </w:p>
        </w:tc>
      </w:tr>
    </w:tbl>
    <w:p w14:paraId="76A1252B" w14:textId="1CD36ADB" w:rsidR="00DE3458" w:rsidRPr="009C5EFD" w:rsidRDefault="00DE3458" w:rsidP="007F67EE">
      <w:pPr>
        <w:suppressAutoHyphens/>
        <w:ind w:left="54"/>
        <w:jc w:val="both"/>
        <w:rPr>
          <w:del w:id="11971" w:author="AbbVie02no" w:date="2025-05-15T13:53:00Z"/>
          <w:sz w:val="22"/>
          <w:szCs w:val="22"/>
        </w:rPr>
      </w:pPr>
    </w:p>
    <w:p w14:paraId="1F1BCE85" w14:textId="75B72155" w:rsidR="00DE3458" w:rsidRPr="009C5EFD" w:rsidRDefault="00DE3458" w:rsidP="00193D76">
      <w:pPr>
        <w:suppressAutoHyphens/>
        <w:ind w:left="54"/>
        <w:jc w:val="both"/>
        <w:rPr>
          <w:del w:id="11972"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712532B" w14:textId="5E4F3DD1">
        <w:trPr>
          <w:del w:id="11973" w:author="AbbVie02no" w:date="2025-05-15T13:53:00Z"/>
        </w:trPr>
        <w:tc>
          <w:tcPr>
            <w:tcW w:w="9281" w:type="dxa"/>
          </w:tcPr>
          <w:p w14:paraId="08CE8D60" w14:textId="01FCE7A4" w:rsidR="00DE3458" w:rsidRPr="009C5EFD" w:rsidRDefault="00E453CD" w:rsidP="002D0790">
            <w:pPr>
              <w:ind w:left="567" w:hanging="567"/>
              <w:rPr>
                <w:del w:id="11974" w:author="AbbVie02no" w:date="2025-05-15T13:53:00Z"/>
                <w:b/>
                <w:sz w:val="22"/>
                <w:szCs w:val="22"/>
              </w:rPr>
            </w:pPr>
            <w:del w:id="11975" w:author="AbbVie02no" w:date="2025-05-15T13:53:00Z">
              <w:r w:rsidRPr="009C5EFD">
                <w:rPr>
                  <w:b/>
                  <w:sz w:val="22"/>
                  <w:szCs w:val="22"/>
                </w:rPr>
                <w:delText>1.</w:delText>
              </w:r>
              <w:r w:rsidRPr="009C5EFD">
                <w:rPr>
                  <w:b/>
                  <w:sz w:val="22"/>
                  <w:szCs w:val="22"/>
                </w:rPr>
                <w:tab/>
                <w:delText>LEGEMIDLETS NAVN OG ADMINISTRASJONSVEI</w:delText>
              </w:r>
            </w:del>
          </w:p>
        </w:tc>
      </w:tr>
    </w:tbl>
    <w:p w14:paraId="150D9AC6" w14:textId="21036075" w:rsidR="00DE3458" w:rsidRPr="009C5EFD" w:rsidRDefault="00DE3458" w:rsidP="007F67EE">
      <w:pPr>
        <w:suppressAutoHyphens/>
        <w:ind w:left="54"/>
        <w:jc w:val="both"/>
        <w:rPr>
          <w:del w:id="11976" w:author="AbbVie02no" w:date="2025-05-15T13:53:00Z"/>
          <w:sz w:val="22"/>
          <w:szCs w:val="22"/>
        </w:rPr>
      </w:pPr>
    </w:p>
    <w:p w14:paraId="45F76509" w14:textId="7C3D8961" w:rsidR="00DE3458" w:rsidRPr="009C5EFD" w:rsidRDefault="00E453CD" w:rsidP="00193D76">
      <w:pPr>
        <w:suppressAutoHyphens/>
        <w:ind w:left="54"/>
        <w:jc w:val="both"/>
        <w:rPr>
          <w:del w:id="11977" w:author="AbbVie02no" w:date="2025-05-15T13:53:00Z"/>
          <w:sz w:val="22"/>
          <w:szCs w:val="22"/>
        </w:rPr>
      </w:pPr>
      <w:del w:id="11978" w:author="AbbVie02no" w:date="2025-05-15T13:53:00Z">
        <w:r w:rsidRPr="009C5EFD">
          <w:rPr>
            <w:sz w:val="22"/>
            <w:szCs w:val="22"/>
          </w:rPr>
          <w:delText>Humira 40</w:delText>
        </w:r>
        <w:r w:rsidR="0008045C" w:rsidRPr="009C5EFD">
          <w:rPr>
            <w:sz w:val="22"/>
            <w:szCs w:val="22"/>
          </w:rPr>
          <w:delText> </w:delText>
        </w:r>
        <w:r w:rsidRPr="009C5EFD">
          <w:rPr>
            <w:sz w:val="22"/>
            <w:szCs w:val="22"/>
          </w:rPr>
          <w:delText>mg</w:delText>
        </w:r>
        <w:r w:rsidR="00E37FD1" w:rsidRPr="009C5EFD">
          <w:rPr>
            <w:sz w:val="22"/>
            <w:szCs w:val="22"/>
          </w:rPr>
          <w:delText>/0,8</w:delText>
        </w:r>
        <w:r w:rsidR="0008045C" w:rsidRPr="009C5EFD">
          <w:rPr>
            <w:sz w:val="22"/>
            <w:szCs w:val="22"/>
          </w:rPr>
          <w:delText> </w:delText>
        </w:r>
        <w:r w:rsidR="00E37FD1" w:rsidRPr="009C5EFD">
          <w:rPr>
            <w:sz w:val="22"/>
            <w:szCs w:val="22"/>
          </w:rPr>
          <w:delText>ml</w:delText>
        </w:r>
        <w:r w:rsidRPr="009C5EFD">
          <w:rPr>
            <w:sz w:val="22"/>
            <w:szCs w:val="22"/>
          </w:rPr>
          <w:delText xml:space="preserve"> injeksjon</w:delText>
        </w:r>
        <w:r w:rsidR="00256837">
          <w:rPr>
            <w:sz w:val="22"/>
            <w:szCs w:val="22"/>
          </w:rPr>
          <w:delText>svæske</w:delText>
        </w:r>
      </w:del>
    </w:p>
    <w:p w14:paraId="3EEBF292" w14:textId="3BE4570F" w:rsidR="00DE3458" w:rsidRPr="009C5EFD" w:rsidRDefault="00E453CD" w:rsidP="002D0790">
      <w:pPr>
        <w:suppressAutoHyphens/>
        <w:ind w:left="54"/>
        <w:jc w:val="both"/>
        <w:rPr>
          <w:del w:id="11979" w:author="AbbVie02no" w:date="2025-05-15T13:53:00Z"/>
          <w:sz w:val="22"/>
          <w:szCs w:val="22"/>
        </w:rPr>
      </w:pPr>
      <w:del w:id="11980" w:author="AbbVie02no" w:date="2025-05-15T13:53:00Z">
        <w:r w:rsidRPr="009C5EFD">
          <w:rPr>
            <w:sz w:val="22"/>
            <w:szCs w:val="22"/>
          </w:rPr>
          <w:delText>adalimumab</w:delText>
        </w:r>
      </w:del>
    </w:p>
    <w:p w14:paraId="7CC59EE1" w14:textId="2D43D54B" w:rsidR="00CA74F5" w:rsidRPr="009C5EFD" w:rsidRDefault="00E453CD" w:rsidP="00C07C98">
      <w:pPr>
        <w:suppressAutoHyphens/>
        <w:ind w:left="54"/>
        <w:jc w:val="both"/>
        <w:rPr>
          <w:del w:id="11981" w:author="AbbVie02no" w:date="2025-05-15T13:53:00Z"/>
          <w:sz w:val="22"/>
          <w:szCs w:val="22"/>
        </w:rPr>
      </w:pPr>
      <w:del w:id="11982" w:author="AbbVie02no" w:date="2025-05-15T13:53:00Z">
        <w:r>
          <w:rPr>
            <w:bCs/>
            <w:sz w:val="22"/>
            <w:szCs w:val="22"/>
          </w:rPr>
          <w:delText>s.c.</w:delText>
        </w:r>
      </w:del>
    </w:p>
    <w:p w14:paraId="446D27C2" w14:textId="1E5A716B" w:rsidR="00DE3458" w:rsidRPr="009C5EFD" w:rsidRDefault="00DE3458" w:rsidP="00E14E58">
      <w:pPr>
        <w:suppressAutoHyphens/>
        <w:ind w:left="54"/>
        <w:jc w:val="both"/>
        <w:rPr>
          <w:del w:id="11983" w:author="AbbVie02no" w:date="2025-05-15T13:53:00Z"/>
          <w:sz w:val="22"/>
          <w:szCs w:val="22"/>
        </w:rPr>
      </w:pPr>
    </w:p>
    <w:p w14:paraId="2A9B076F" w14:textId="0EBDE12D" w:rsidR="00DE3458" w:rsidRPr="009C5EFD" w:rsidRDefault="00DE3458" w:rsidP="009C5EFD">
      <w:pPr>
        <w:suppressAutoHyphens/>
        <w:ind w:left="54"/>
        <w:jc w:val="both"/>
        <w:rPr>
          <w:del w:id="11984"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1EFF7A6" w14:textId="1E5652D2">
        <w:trPr>
          <w:del w:id="11985" w:author="AbbVie02no" w:date="2025-05-15T13:53:00Z"/>
        </w:trPr>
        <w:tc>
          <w:tcPr>
            <w:tcW w:w="9281" w:type="dxa"/>
          </w:tcPr>
          <w:p w14:paraId="1878EB84" w14:textId="785CE1FB" w:rsidR="00DE3458" w:rsidRPr="009C5EFD" w:rsidRDefault="00E453CD" w:rsidP="009C5EFD">
            <w:pPr>
              <w:ind w:left="567" w:hanging="567"/>
              <w:rPr>
                <w:del w:id="11986" w:author="AbbVie02no" w:date="2025-05-15T13:53:00Z"/>
                <w:b/>
                <w:sz w:val="22"/>
                <w:szCs w:val="22"/>
              </w:rPr>
            </w:pPr>
            <w:del w:id="11987" w:author="AbbVie02no" w:date="2025-05-15T13:53:00Z">
              <w:r w:rsidRPr="009C5EFD">
                <w:rPr>
                  <w:b/>
                  <w:sz w:val="22"/>
                  <w:szCs w:val="22"/>
                </w:rPr>
                <w:delText>2.</w:delText>
              </w:r>
              <w:r w:rsidRPr="009C5EFD">
                <w:rPr>
                  <w:b/>
                  <w:sz w:val="22"/>
                  <w:szCs w:val="22"/>
                </w:rPr>
                <w:tab/>
                <w:delText>ADMINISTRASJONSMÅTE</w:delText>
              </w:r>
            </w:del>
          </w:p>
        </w:tc>
      </w:tr>
    </w:tbl>
    <w:p w14:paraId="1DFC8D33" w14:textId="70B406D9" w:rsidR="00DE3458" w:rsidRPr="009C5EFD" w:rsidRDefault="00DE3458" w:rsidP="007F67EE">
      <w:pPr>
        <w:suppressAutoHyphens/>
        <w:ind w:left="54"/>
        <w:jc w:val="both"/>
        <w:rPr>
          <w:del w:id="11988" w:author="AbbVie02no" w:date="2025-05-15T13:53:00Z"/>
          <w:b/>
          <w:sz w:val="22"/>
          <w:szCs w:val="22"/>
        </w:rPr>
      </w:pPr>
    </w:p>
    <w:p w14:paraId="7CC19499" w14:textId="45779464" w:rsidR="00DE3458" w:rsidRPr="0000506E" w:rsidRDefault="00DE3458" w:rsidP="002D0790">
      <w:pPr>
        <w:suppressAutoHyphens/>
        <w:ind w:left="54"/>
        <w:jc w:val="both"/>
        <w:rPr>
          <w:del w:id="1198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3CFFE90" w14:textId="496E73A0">
        <w:trPr>
          <w:del w:id="11990" w:author="AbbVie02no" w:date="2025-05-15T13:53:00Z"/>
        </w:trPr>
        <w:tc>
          <w:tcPr>
            <w:tcW w:w="9281" w:type="dxa"/>
          </w:tcPr>
          <w:p w14:paraId="296E9ED4" w14:textId="523B5666" w:rsidR="00DE3458" w:rsidRPr="009C5EFD" w:rsidRDefault="00E453CD" w:rsidP="00C07C98">
            <w:pPr>
              <w:ind w:left="567" w:hanging="567"/>
              <w:rPr>
                <w:del w:id="11991" w:author="AbbVie02no" w:date="2025-05-15T13:53:00Z"/>
                <w:b/>
                <w:sz w:val="22"/>
                <w:szCs w:val="22"/>
              </w:rPr>
            </w:pPr>
            <w:del w:id="11992" w:author="AbbVie02no" w:date="2025-05-15T13:53:00Z">
              <w:r w:rsidRPr="009C5EFD">
                <w:rPr>
                  <w:b/>
                  <w:sz w:val="22"/>
                  <w:szCs w:val="22"/>
                </w:rPr>
                <w:delText>3.</w:delText>
              </w:r>
              <w:r w:rsidRPr="009C5EFD">
                <w:rPr>
                  <w:b/>
                  <w:sz w:val="22"/>
                  <w:szCs w:val="22"/>
                </w:rPr>
                <w:tab/>
                <w:delText>UTLØPSDATO</w:delText>
              </w:r>
            </w:del>
          </w:p>
        </w:tc>
      </w:tr>
    </w:tbl>
    <w:p w14:paraId="2D65A218" w14:textId="2D56A289" w:rsidR="00DE3458" w:rsidRPr="009C5EFD" w:rsidRDefault="00DE3458" w:rsidP="007F67EE">
      <w:pPr>
        <w:suppressAutoHyphens/>
        <w:ind w:left="621" w:hanging="567"/>
        <w:rPr>
          <w:del w:id="11993" w:author="AbbVie02no" w:date="2025-05-15T13:53:00Z"/>
          <w:sz w:val="22"/>
          <w:szCs w:val="22"/>
        </w:rPr>
      </w:pPr>
    </w:p>
    <w:p w14:paraId="2F084D02" w14:textId="524D5AC3" w:rsidR="00DE3458" w:rsidRPr="009C5EFD" w:rsidRDefault="00E453CD" w:rsidP="00193D76">
      <w:pPr>
        <w:suppressAutoHyphens/>
        <w:ind w:left="621" w:hanging="567"/>
        <w:rPr>
          <w:del w:id="11994" w:author="AbbVie02no" w:date="2025-05-15T13:53:00Z"/>
          <w:sz w:val="22"/>
          <w:szCs w:val="22"/>
        </w:rPr>
      </w:pPr>
      <w:del w:id="11995" w:author="AbbVie02no" w:date="2025-05-15T13:53:00Z">
        <w:r>
          <w:rPr>
            <w:sz w:val="22"/>
            <w:szCs w:val="22"/>
          </w:rPr>
          <w:delText>EXP</w:delText>
        </w:r>
      </w:del>
    </w:p>
    <w:p w14:paraId="6C7F1AD8" w14:textId="7C9FDF0D" w:rsidR="00DE3458" w:rsidRPr="009C5EFD" w:rsidRDefault="00DE3458" w:rsidP="002D0790">
      <w:pPr>
        <w:suppressAutoHyphens/>
        <w:ind w:left="621" w:hanging="567"/>
        <w:rPr>
          <w:del w:id="11996" w:author="AbbVie02no" w:date="2025-05-15T13:53:00Z"/>
          <w:sz w:val="22"/>
          <w:szCs w:val="22"/>
        </w:rPr>
      </w:pPr>
    </w:p>
    <w:p w14:paraId="6335B77E" w14:textId="1C3CEB5D" w:rsidR="00DE3458" w:rsidRPr="009C5EFD" w:rsidRDefault="00DE3458" w:rsidP="00C07C98">
      <w:pPr>
        <w:suppressAutoHyphens/>
        <w:ind w:left="621" w:hanging="567"/>
        <w:rPr>
          <w:del w:id="1199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6104487" w14:textId="012D7191">
        <w:trPr>
          <w:del w:id="11998" w:author="AbbVie02no" w:date="2025-05-15T13:53:00Z"/>
        </w:trPr>
        <w:tc>
          <w:tcPr>
            <w:tcW w:w="9281" w:type="dxa"/>
          </w:tcPr>
          <w:p w14:paraId="1ECD53B0" w14:textId="5D5AD86B" w:rsidR="00DE3458" w:rsidRPr="009C5EFD" w:rsidRDefault="00E453CD" w:rsidP="00E14E58">
            <w:pPr>
              <w:ind w:left="567" w:hanging="567"/>
              <w:rPr>
                <w:del w:id="11999" w:author="AbbVie02no" w:date="2025-05-15T13:53:00Z"/>
                <w:b/>
                <w:sz w:val="22"/>
                <w:szCs w:val="22"/>
              </w:rPr>
            </w:pPr>
            <w:del w:id="12000" w:author="AbbVie02no" w:date="2025-05-15T13:53:00Z">
              <w:r w:rsidRPr="009C5EFD">
                <w:rPr>
                  <w:b/>
                  <w:sz w:val="22"/>
                  <w:szCs w:val="22"/>
                </w:rPr>
                <w:delText>4.</w:delText>
              </w:r>
              <w:r w:rsidRPr="009C5EFD">
                <w:rPr>
                  <w:b/>
                  <w:sz w:val="22"/>
                  <w:szCs w:val="22"/>
                </w:rPr>
                <w:tab/>
                <w:delText>PRODUKSJONSNUMMER</w:delText>
              </w:r>
            </w:del>
          </w:p>
        </w:tc>
      </w:tr>
    </w:tbl>
    <w:p w14:paraId="7921D4B8" w14:textId="476A8258" w:rsidR="00DE3458" w:rsidRPr="009C5EFD" w:rsidRDefault="00DE3458" w:rsidP="007F67EE">
      <w:pPr>
        <w:suppressAutoHyphens/>
        <w:ind w:left="54"/>
        <w:jc w:val="both"/>
        <w:rPr>
          <w:del w:id="12001" w:author="AbbVie02no" w:date="2025-05-15T13:53:00Z"/>
          <w:sz w:val="22"/>
          <w:szCs w:val="22"/>
        </w:rPr>
      </w:pPr>
    </w:p>
    <w:p w14:paraId="21EA8358" w14:textId="04DBCA77" w:rsidR="00DE3458" w:rsidRPr="009C5EFD" w:rsidRDefault="00E453CD" w:rsidP="00193D76">
      <w:pPr>
        <w:suppressAutoHyphens/>
        <w:ind w:left="54"/>
        <w:jc w:val="both"/>
        <w:rPr>
          <w:del w:id="12002" w:author="AbbVie02no" w:date="2025-05-15T13:53:00Z"/>
          <w:sz w:val="22"/>
          <w:szCs w:val="22"/>
        </w:rPr>
      </w:pPr>
      <w:del w:id="12003" w:author="AbbVie02no" w:date="2025-05-15T13:53:00Z">
        <w:r w:rsidRPr="009C5EFD">
          <w:rPr>
            <w:sz w:val="22"/>
            <w:szCs w:val="22"/>
          </w:rPr>
          <w:delText>Lot</w:delText>
        </w:r>
      </w:del>
    </w:p>
    <w:p w14:paraId="3CBD7B0B" w14:textId="7EF2FB09" w:rsidR="00DE3458" w:rsidRPr="009C5EFD" w:rsidRDefault="00DE3458" w:rsidP="002D0790">
      <w:pPr>
        <w:suppressAutoHyphens/>
        <w:ind w:left="54"/>
        <w:jc w:val="both"/>
        <w:rPr>
          <w:del w:id="12004" w:author="AbbVie02no" w:date="2025-05-15T13:53:00Z"/>
          <w:sz w:val="22"/>
          <w:szCs w:val="22"/>
        </w:rPr>
      </w:pPr>
    </w:p>
    <w:p w14:paraId="4C26380D" w14:textId="4A95973B" w:rsidR="00DE3458" w:rsidRPr="009C5EFD" w:rsidRDefault="00DE3458" w:rsidP="00C07C98">
      <w:pPr>
        <w:suppressAutoHyphens/>
        <w:ind w:left="54"/>
        <w:jc w:val="both"/>
        <w:rPr>
          <w:del w:id="12005"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BE23172" w14:textId="6BF3A597">
        <w:trPr>
          <w:del w:id="12006" w:author="AbbVie02no" w:date="2025-05-15T13:53:00Z"/>
        </w:trPr>
        <w:tc>
          <w:tcPr>
            <w:tcW w:w="9281" w:type="dxa"/>
          </w:tcPr>
          <w:p w14:paraId="71412981" w14:textId="6BB7242C" w:rsidR="00DE3458" w:rsidRPr="009C5EFD" w:rsidRDefault="00E453CD" w:rsidP="00E14E58">
            <w:pPr>
              <w:ind w:left="567" w:hanging="567"/>
              <w:rPr>
                <w:del w:id="12007" w:author="AbbVie02no" w:date="2025-05-15T13:53:00Z"/>
                <w:b/>
                <w:sz w:val="22"/>
                <w:szCs w:val="22"/>
              </w:rPr>
            </w:pPr>
            <w:del w:id="12008" w:author="AbbVie02no" w:date="2025-05-15T13:53:00Z">
              <w:r w:rsidRPr="009C5EFD">
                <w:rPr>
                  <w:b/>
                  <w:sz w:val="22"/>
                  <w:szCs w:val="22"/>
                </w:rPr>
                <w:delText>5.</w:delText>
              </w:r>
              <w:r w:rsidRPr="009C5EFD">
                <w:rPr>
                  <w:b/>
                  <w:sz w:val="22"/>
                  <w:szCs w:val="22"/>
                </w:rPr>
                <w:tab/>
              </w:r>
              <w:r w:rsidR="00903EBB">
                <w:rPr>
                  <w:b/>
                  <w:sz w:val="22"/>
                  <w:szCs w:val="22"/>
                </w:rPr>
                <w:delText>INN</w:delText>
              </w:r>
              <w:r w:rsidRPr="009C5EFD">
                <w:rPr>
                  <w:b/>
                  <w:sz w:val="22"/>
                  <w:szCs w:val="22"/>
                </w:rPr>
                <w:delText>HOLD ANGITT ETTER VEKT, VOLUM ELLER ANTALL DOSER</w:delText>
              </w:r>
            </w:del>
          </w:p>
        </w:tc>
      </w:tr>
    </w:tbl>
    <w:p w14:paraId="5F8FDEB8" w14:textId="7D248A90" w:rsidR="00DE3458" w:rsidRPr="009C5EFD" w:rsidRDefault="00DE3458" w:rsidP="007F67EE">
      <w:pPr>
        <w:suppressAutoHyphens/>
        <w:ind w:left="54"/>
        <w:jc w:val="both"/>
        <w:rPr>
          <w:del w:id="12009" w:author="AbbVie02no" w:date="2025-05-15T13:53:00Z"/>
          <w:sz w:val="22"/>
          <w:szCs w:val="22"/>
        </w:rPr>
      </w:pPr>
    </w:p>
    <w:p w14:paraId="2D601FDF" w14:textId="4812D088" w:rsidR="00DE3458" w:rsidRPr="009C5EFD" w:rsidRDefault="00E453CD" w:rsidP="00193D76">
      <w:pPr>
        <w:suppressAutoHyphens/>
        <w:ind w:left="54"/>
        <w:jc w:val="both"/>
        <w:rPr>
          <w:del w:id="12010" w:author="AbbVie02no" w:date="2025-05-15T13:53:00Z"/>
          <w:sz w:val="22"/>
          <w:szCs w:val="22"/>
        </w:rPr>
      </w:pPr>
      <w:del w:id="12011" w:author="AbbVie02no" w:date="2025-05-15T13:53:00Z">
        <w:r w:rsidRPr="009C5EFD">
          <w:rPr>
            <w:sz w:val="22"/>
            <w:szCs w:val="22"/>
          </w:rPr>
          <w:delText>40 mg/0,8 ml</w:delText>
        </w:r>
      </w:del>
    </w:p>
    <w:p w14:paraId="5BB37E7C" w14:textId="14D6C375" w:rsidR="00DE3458" w:rsidRPr="009C5EFD" w:rsidRDefault="00DE3458" w:rsidP="002D0790">
      <w:pPr>
        <w:suppressAutoHyphens/>
        <w:ind w:left="54"/>
        <w:jc w:val="both"/>
        <w:rPr>
          <w:del w:id="12012" w:author="AbbVie02no" w:date="2025-05-15T13:53:00Z"/>
          <w:sz w:val="22"/>
          <w:szCs w:val="22"/>
        </w:rPr>
      </w:pPr>
    </w:p>
    <w:p w14:paraId="10083809" w14:textId="0E150F03" w:rsidR="00DE3458" w:rsidRPr="009C5EFD" w:rsidRDefault="00DE3458" w:rsidP="00C07C98">
      <w:pPr>
        <w:suppressAutoHyphens/>
        <w:ind w:left="54"/>
        <w:jc w:val="both"/>
        <w:rPr>
          <w:del w:id="12013"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73C0982" w14:textId="4D7F17C1">
        <w:trPr>
          <w:del w:id="12014" w:author="AbbVie02no" w:date="2025-05-15T13:53:00Z"/>
        </w:trPr>
        <w:tc>
          <w:tcPr>
            <w:tcW w:w="9281" w:type="dxa"/>
          </w:tcPr>
          <w:p w14:paraId="265A74B5" w14:textId="2F14D6BF" w:rsidR="00DE3458" w:rsidRPr="009C5EFD" w:rsidRDefault="00E453CD" w:rsidP="00E14E58">
            <w:pPr>
              <w:ind w:left="567" w:hanging="567"/>
              <w:rPr>
                <w:del w:id="12015" w:author="AbbVie02no" w:date="2025-05-15T13:53:00Z"/>
                <w:b/>
                <w:sz w:val="22"/>
                <w:szCs w:val="22"/>
              </w:rPr>
            </w:pPr>
            <w:del w:id="12016" w:author="AbbVie02no" w:date="2025-05-15T13:53:00Z">
              <w:r w:rsidRPr="009C5EFD">
                <w:rPr>
                  <w:b/>
                  <w:sz w:val="22"/>
                  <w:szCs w:val="22"/>
                </w:rPr>
                <w:delText>6.</w:delText>
              </w:r>
              <w:r w:rsidRPr="009C5EFD">
                <w:rPr>
                  <w:b/>
                  <w:sz w:val="22"/>
                  <w:szCs w:val="22"/>
                </w:rPr>
                <w:tab/>
                <w:delText>ANNET</w:delText>
              </w:r>
            </w:del>
          </w:p>
        </w:tc>
      </w:tr>
    </w:tbl>
    <w:p w14:paraId="5545C48D" w14:textId="1FBF3410" w:rsidR="00DE3458" w:rsidRPr="009C5EFD" w:rsidRDefault="00DE3458" w:rsidP="007F67EE">
      <w:pPr>
        <w:suppressAutoHyphens/>
        <w:ind w:left="54"/>
        <w:jc w:val="both"/>
        <w:rPr>
          <w:del w:id="12017" w:author="AbbVie02no" w:date="2025-05-15T13:53:00Z"/>
          <w:sz w:val="22"/>
          <w:szCs w:val="22"/>
        </w:rPr>
      </w:pPr>
    </w:p>
    <w:p w14:paraId="709226AB" w14:textId="28C76413" w:rsidR="00DE3458" w:rsidRPr="009C5EFD" w:rsidRDefault="00E453CD" w:rsidP="001F5D4B">
      <w:pPr>
        <w:ind w:left="54"/>
        <w:rPr>
          <w:del w:id="12018" w:author="AbbVie02no" w:date="2025-05-15T13:53:00Z"/>
          <w:sz w:val="22"/>
          <w:szCs w:val="22"/>
        </w:rPr>
      </w:pPr>
      <w:del w:id="12019" w:author="AbbVie02no" w:date="2025-05-15T13:53:00Z">
        <w:r w:rsidRPr="009C5EFD">
          <w:rPr>
            <w:sz w:val="22"/>
            <w:szCs w:val="22"/>
          </w:rPr>
          <w:delText>Kun til engangsbruk</w:delText>
        </w:r>
        <w:r w:rsidRPr="009C5EFD">
          <w:rPr>
            <w:b/>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8CAC537" w14:textId="5755138E">
        <w:trPr>
          <w:trHeight w:val="1070"/>
          <w:del w:id="12020" w:author="AbbVie02no" w:date="2025-05-15T13:53:00Z"/>
        </w:trPr>
        <w:tc>
          <w:tcPr>
            <w:tcW w:w="9281" w:type="dxa"/>
            <w:tcBorders>
              <w:bottom w:val="single" w:sz="4" w:space="0" w:color="auto"/>
            </w:tcBorders>
          </w:tcPr>
          <w:p w14:paraId="31E258F8" w14:textId="15354C0A" w:rsidR="00DE3458" w:rsidRPr="009C5EFD" w:rsidRDefault="00E453CD" w:rsidP="001F5D4B">
            <w:pPr>
              <w:rPr>
                <w:del w:id="12021" w:author="AbbVie02no" w:date="2025-05-15T13:53:00Z"/>
                <w:sz w:val="22"/>
                <w:szCs w:val="22"/>
              </w:rPr>
            </w:pPr>
            <w:del w:id="12022" w:author="AbbVie02no" w:date="2025-05-15T13:53:00Z">
              <w:r w:rsidRPr="009C5EFD">
                <w:rPr>
                  <w:b/>
                  <w:sz w:val="22"/>
                  <w:szCs w:val="22"/>
                </w:rPr>
                <w:lastRenderedPageBreak/>
                <w:delText xml:space="preserve">OPPLYSNINGER SOM SKAL ANGIS PÅ YTRE EMBALLASJE </w:delText>
              </w:r>
            </w:del>
          </w:p>
          <w:p w14:paraId="537BFCD5" w14:textId="38B2E776" w:rsidR="00C7475F" w:rsidRPr="009C5EFD" w:rsidRDefault="00C7475F" w:rsidP="007F67EE">
            <w:pPr>
              <w:rPr>
                <w:del w:id="12023" w:author="AbbVie02no" w:date="2025-05-15T13:53:00Z"/>
                <w:sz w:val="22"/>
                <w:szCs w:val="22"/>
              </w:rPr>
            </w:pPr>
          </w:p>
          <w:p w14:paraId="569F4FF1" w14:textId="576EF90C" w:rsidR="00DE3458" w:rsidRPr="009C5EFD" w:rsidRDefault="00E453CD" w:rsidP="0009620B">
            <w:pPr>
              <w:rPr>
                <w:del w:id="12024" w:author="AbbVie02no" w:date="2025-05-15T13:53:00Z"/>
                <w:b/>
                <w:sz w:val="22"/>
                <w:szCs w:val="22"/>
              </w:rPr>
            </w:pPr>
            <w:del w:id="12025" w:author="AbbVie02no" w:date="2025-05-15T13:53:00Z">
              <w:r w:rsidRPr="009C5EFD">
                <w:rPr>
                  <w:b/>
                  <w:sz w:val="22"/>
                  <w:szCs w:val="22"/>
                </w:rPr>
                <w:delText>Y</w:delText>
              </w:r>
              <w:r>
                <w:rPr>
                  <w:b/>
                  <w:sz w:val="22"/>
                  <w:szCs w:val="22"/>
                </w:rPr>
                <w:delText>TTERKARTONG</w:delText>
              </w:r>
            </w:del>
          </w:p>
        </w:tc>
      </w:tr>
    </w:tbl>
    <w:p w14:paraId="55FCA1B3" w14:textId="75DC1263" w:rsidR="00DE3458" w:rsidRPr="009C5EFD" w:rsidRDefault="00DE3458" w:rsidP="007F67EE">
      <w:pPr>
        <w:suppressAutoHyphens/>
        <w:ind w:left="54"/>
        <w:rPr>
          <w:del w:id="12026" w:author="AbbVie02no" w:date="2025-05-15T13:53:00Z"/>
          <w:sz w:val="22"/>
          <w:szCs w:val="22"/>
        </w:rPr>
      </w:pPr>
    </w:p>
    <w:p w14:paraId="57D43E3F" w14:textId="16BA5E12" w:rsidR="00875F98" w:rsidRPr="009C5EFD" w:rsidRDefault="00875F98" w:rsidP="00193D76">
      <w:pPr>
        <w:suppressAutoHyphens/>
        <w:ind w:left="54"/>
        <w:rPr>
          <w:del w:id="1202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BC4D471" w14:textId="3C5158A7">
        <w:trPr>
          <w:del w:id="12028" w:author="AbbVie02no" w:date="2025-05-15T13:53:00Z"/>
        </w:trPr>
        <w:tc>
          <w:tcPr>
            <w:tcW w:w="9281" w:type="dxa"/>
          </w:tcPr>
          <w:p w14:paraId="0464D826" w14:textId="4E8E1891" w:rsidR="00DE3458" w:rsidRPr="009C5EFD" w:rsidRDefault="00E453CD" w:rsidP="002D0790">
            <w:pPr>
              <w:ind w:left="567" w:hanging="567"/>
              <w:rPr>
                <w:del w:id="12029" w:author="AbbVie02no" w:date="2025-05-15T13:53:00Z"/>
                <w:b/>
                <w:sz w:val="22"/>
                <w:szCs w:val="22"/>
              </w:rPr>
            </w:pPr>
            <w:del w:id="12030" w:author="AbbVie02no" w:date="2025-05-15T13:53:00Z">
              <w:r w:rsidRPr="009C5EFD">
                <w:rPr>
                  <w:b/>
                  <w:sz w:val="22"/>
                  <w:szCs w:val="22"/>
                </w:rPr>
                <w:delText>1.</w:delText>
              </w:r>
              <w:r w:rsidRPr="009C5EFD">
                <w:rPr>
                  <w:b/>
                  <w:sz w:val="22"/>
                  <w:szCs w:val="22"/>
                </w:rPr>
                <w:tab/>
                <w:delText>LEGEMIDLETS NAVN</w:delText>
              </w:r>
            </w:del>
          </w:p>
        </w:tc>
      </w:tr>
    </w:tbl>
    <w:p w14:paraId="3916B417" w14:textId="17C2E0AD" w:rsidR="00DE3458" w:rsidRPr="009C5EFD" w:rsidRDefault="00DE3458" w:rsidP="007F67EE">
      <w:pPr>
        <w:suppressAutoHyphens/>
        <w:ind w:left="54"/>
        <w:rPr>
          <w:del w:id="12031" w:author="AbbVie02no" w:date="2025-05-15T13:53:00Z"/>
          <w:sz w:val="22"/>
          <w:szCs w:val="22"/>
        </w:rPr>
      </w:pPr>
    </w:p>
    <w:p w14:paraId="3707A34F" w14:textId="78C52C3D" w:rsidR="00DE3458" w:rsidRPr="009C5EFD" w:rsidRDefault="00E453CD" w:rsidP="00193D76">
      <w:pPr>
        <w:suppressAutoHyphens/>
        <w:ind w:left="54"/>
        <w:rPr>
          <w:del w:id="12032" w:author="AbbVie02no" w:date="2025-05-15T13:53:00Z"/>
          <w:sz w:val="22"/>
          <w:szCs w:val="22"/>
        </w:rPr>
      </w:pPr>
      <w:del w:id="12033" w:author="AbbVie02no" w:date="2025-05-15T13:53:00Z">
        <w:r w:rsidRPr="009C5EFD">
          <w:rPr>
            <w:sz w:val="22"/>
            <w:szCs w:val="22"/>
          </w:rPr>
          <w:delText>Humira 40 mg injeksjonsvæske, oppløsning i ferdigfylt sprøyte</w:delText>
        </w:r>
      </w:del>
    </w:p>
    <w:p w14:paraId="3B10D615" w14:textId="71A45A28" w:rsidR="00DE3458" w:rsidRPr="009C5EFD" w:rsidRDefault="00E453CD" w:rsidP="002D0790">
      <w:pPr>
        <w:suppressAutoHyphens/>
        <w:ind w:left="54"/>
        <w:rPr>
          <w:del w:id="12034" w:author="AbbVie02no" w:date="2025-05-15T13:53:00Z"/>
          <w:sz w:val="22"/>
          <w:szCs w:val="22"/>
        </w:rPr>
      </w:pPr>
      <w:del w:id="12035" w:author="AbbVie02no" w:date="2025-05-15T13:53:00Z">
        <w:r w:rsidRPr="009C5EFD">
          <w:rPr>
            <w:sz w:val="22"/>
            <w:szCs w:val="22"/>
          </w:rPr>
          <w:delText>adalimumab</w:delText>
        </w:r>
      </w:del>
    </w:p>
    <w:p w14:paraId="0FF1A8F1" w14:textId="49239DC7" w:rsidR="00DE3458" w:rsidRPr="009C5EFD" w:rsidRDefault="00DE3458" w:rsidP="00C07C98">
      <w:pPr>
        <w:pStyle w:val="EndnoteText"/>
        <w:widowControl/>
        <w:tabs>
          <w:tab w:val="clear" w:pos="567"/>
        </w:tabs>
        <w:suppressAutoHyphens/>
        <w:ind w:left="54"/>
        <w:rPr>
          <w:del w:id="12036" w:author="AbbVie02no" w:date="2025-05-15T13:53:00Z"/>
          <w:szCs w:val="22"/>
          <w:lang w:val="nb-NO"/>
        </w:rPr>
      </w:pPr>
    </w:p>
    <w:p w14:paraId="44EAD9B3" w14:textId="7668AED6" w:rsidR="00DE3458" w:rsidRPr="009C5EFD" w:rsidRDefault="00DE3458" w:rsidP="00E14E58">
      <w:pPr>
        <w:suppressAutoHyphens/>
        <w:ind w:left="54"/>
        <w:rPr>
          <w:del w:id="1203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425D763" w14:textId="41BCC3F9">
        <w:trPr>
          <w:del w:id="12038" w:author="AbbVie02no" w:date="2025-05-15T13:53:00Z"/>
        </w:trPr>
        <w:tc>
          <w:tcPr>
            <w:tcW w:w="9281" w:type="dxa"/>
          </w:tcPr>
          <w:p w14:paraId="00AE920E" w14:textId="3B081FE7" w:rsidR="00DE3458" w:rsidRPr="009C5EFD" w:rsidRDefault="00E453CD" w:rsidP="009C5EFD">
            <w:pPr>
              <w:ind w:left="567" w:hanging="567"/>
              <w:rPr>
                <w:del w:id="12039" w:author="AbbVie02no" w:date="2025-05-15T13:53:00Z"/>
                <w:b/>
                <w:sz w:val="22"/>
                <w:szCs w:val="22"/>
              </w:rPr>
            </w:pPr>
            <w:del w:id="12040" w:author="AbbVie02no" w:date="2025-05-15T13:53:00Z">
              <w:r w:rsidRPr="009C5EFD">
                <w:rPr>
                  <w:b/>
                  <w:sz w:val="22"/>
                  <w:szCs w:val="22"/>
                </w:rPr>
                <w:delText>2.</w:delText>
              </w:r>
              <w:r w:rsidRPr="009C5EFD">
                <w:rPr>
                  <w:b/>
                  <w:sz w:val="22"/>
                  <w:szCs w:val="22"/>
                </w:rPr>
                <w:tab/>
                <w:delText xml:space="preserve">DEKLARASJON AV VIRKESTOFF </w:delText>
              </w:r>
            </w:del>
          </w:p>
        </w:tc>
      </w:tr>
    </w:tbl>
    <w:p w14:paraId="7AC4C28F" w14:textId="01B7063F" w:rsidR="00DE3458" w:rsidRPr="009C5EFD" w:rsidRDefault="00DE3458" w:rsidP="007F67EE">
      <w:pPr>
        <w:suppressAutoHyphens/>
        <w:ind w:left="54"/>
        <w:rPr>
          <w:del w:id="12041" w:author="AbbVie02no" w:date="2025-05-15T13:53:00Z"/>
          <w:sz w:val="22"/>
          <w:szCs w:val="22"/>
        </w:rPr>
      </w:pPr>
    </w:p>
    <w:p w14:paraId="6968EC32" w14:textId="53146678" w:rsidR="00DE3458" w:rsidRPr="009C5EFD" w:rsidRDefault="00E453CD" w:rsidP="00193D76">
      <w:pPr>
        <w:suppressAutoHyphens/>
        <w:ind w:left="54"/>
        <w:rPr>
          <w:del w:id="12042" w:author="AbbVie02no" w:date="2025-05-15T13:53:00Z"/>
          <w:sz w:val="22"/>
          <w:szCs w:val="22"/>
        </w:rPr>
      </w:pPr>
      <w:del w:id="12043" w:author="AbbVie02no" w:date="2025-05-15T13:53:00Z">
        <w:r w:rsidRPr="009C5EFD">
          <w:rPr>
            <w:sz w:val="22"/>
            <w:szCs w:val="22"/>
          </w:rPr>
          <w:delText>En 0,8 ml ferdigfylt sprøyte inneholder 40 mg adalimumab</w:delText>
        </w:r>
        <w:r w:rsidR="00506C98">
          <w:rPr>
            <w:sz w:val="22"/>
            <w:szCs w:val="22"/>
          </w:rPr>
          <w:delText>.</w:delText>
        </w:r>
      </w:del>
    </w:p>
    <w:p w14:paraId="793A2AEE" w14:textId="50ABF065" w:rsidR="00DE3458" w:rsidRPr="009C5EFD" w:rsidRDefault="00DE3458" w:rsidP="002D0790">
      <w:pPr>
        <w:suppressAutoHyphens/>
        <w:ind w:left="54"/>
        <w:rPr>
          <w:del w:id="12044" w:author="AbbVie02no" w:date="2025-05-15T13:53:00Z"/>
          <w:sz w:val="22"/>
          <w:szCs w:val="22"/>
        </w:rPr>
      </w:pPr>
    </w:p>
    <w:p w14:paraId="478DD476" w14:textId="6F32349F" w:rsidR="00DE3458" w:rsidRPr="009C5EFD" w:rsidRDefault="00DE3458" w:rsidP="00C07C98">
      <w:pPr>
        <w:suppressAutoHyphens/>
        <w:ind w:left="54"/>
        <w:rPr>
          <w:del w:id="12045"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DFB45AB" w14:textId="2D41EFF9">
        <w:trPr>
          <w:del w:id="12046" w:author="AbbVie02no" w:date="2025-05-15T13:53:00Z"/>
        </w:trPr>
        <w:tc>
          <w:tcPr>
            <w:tcW w:w="9281" w:type="dxa"/>
          </w:tcPr>
          <w:p w14:paraId="271C9134" w14:textId="16469800" w:rsidR="00DE3458" w:rsidRPr="009C5EFD" w:rsidRDefault="00E453CD" w:rsidP="00E14E58">
            <w:pPr>
              <w:ind w:left="567" w:hanging="567"/>
              <w:rPr>
                <w:del w:id="12047" w:author="AbbVie02no" w:date="2025-05-15T13:53:00Z"/>
                <w:b/>
                <w:sz w:val="22"/>
                <w:szCs w:val="22"/>
              </w:rPr>
            </w:pPr>
            <w:del w:id="12048" w:author="AbbVie02no" w:date="2025-05-15T13:53:00Z">
              <w:r w:rsidRPr="009C5EFD">
                <w:rPr>
                  <w:b/>
                  <w:sz w:val="22"/>
                  <w:szCs w:val="22"/>
                </w:rPr>
                <w:delText>3.</w:delText>
              </w:r>
              <w:r w:rsidRPr="009C5EFD">
                <w:rPr>
                  <w:b/>
                  <w:sz w:val="22"/>
                  <w:szCs w:val="22"/>
                </w:rPr>
                <w:tab/>
                <w:delText>LISTE OVER HJELPESTOFFER</w:delText>
              </w:r>
            </w:del>
          </w:p>
        </w:tc>
      </w:tr>
    </w:tbl>
    <w:p w14:paraId="7BAC796C" w14:textId="559FF13B" w:rsidR="00DE3458" w:rsidRPr="009C5EFD" w:rsidRDefault="00DE3458" w:rsidP="007F67EE">
      <w:pPr>
        <w:suppressAutoHyphens/>
        <w:ind w:left="54"/>
        <w:rPr>
          <w:del w:id="12049" w:author="AbbVie02no" w:date="2025-05-15T13:53:00Z"/>
          <w:sz w:val="22"/>
          <w:szCs w:val="22"/>
        </w:rPr>
      </w:pPr>
    </w:p>
    <w:p w14:paraId="22BB2F4E" w14:textId="6A865904" w:rsidR="00DE3458" w:rsidRPr="009C5EFD" w:rsidRDefault="00E453CD" w:rsidP="00193D76">
      <w:pPr>
        <w:ind w:left="54"/>
        <w:rPr>
          <w:del w:id="12050" w:author="AbbVie02no" w:date="2025-05-15T13:53:00Z"/>
          <w:sz w:val="22"/>
          <w:szCs w:val="22"/>
        </w:rPr>
      </w:pPr>
      <w:del w:id="12051" w:author="AbbVie02no" w:date="2025-05-15T13:53:00Z">
        <w:r w:rsidRPr="009C5EFD">
          <w:rPr>
            <w:sz w:val="22"/>
            <w:szCs w:val="22"/>
          </w:rPr>
          <w:delText xml:space="preserve">Hjelpestoffer: </w:delText>
        </w:r>
        <w:r w:rsidR="00AA0CCD">
          <w:rPr>
            <w:sz w:val="22"/>
            <w:szCs w:val="22"/>
          </w:rPr>
          <w:delText>m</w:delText>
        </w:r>
        <w:r w:rsidRPr="009C5EFD">
          <w:rPr>
            <w:sz w:val="22"/>
            <w:szCs w:val="22"/>
          </w:rPr>
          <w:delText xml:space="preserve">annitol, sitronsyremonohydrat, natriumsitrat, natriumdihydrogenfosfatdihydrat, dinatriumfosfatdihydrat, natriumklorid, polysorbat 80, natriumhydroksid </w:delText>
        </w:r>
        <w:r w:rsidR="00F3185B" w:rsidRPr="009C5EFD">
          <w:rPr>
            <w:sz w:val="22"/>
            <w:szCs w:val="22"/>
          </w:rPr>
          <w:delText>og</w:delText>
        </w:r>
        <w:r w:rsidRPr="009C5EFD">
          <w:rPr>
            <w:sz w:val="22"/>
            <w:szCs w:val="22"/>
          </w:rPr>
          <w:delText xml:space="preserve"> vann til injeksjonsvæsker. For ytte</w:delText>
        </w:r>
        <w:r w:rsidR="00C7418B">
          <w:rPr>
            <w:sz w:val="22"/>
            <w:szCs w:val="22"/>
          </w:rPr>
          <w:delText>r</w:delText>
        </w:r>
        <w:r w:rsidRPr="009C5EFD">
          <w:rPr>
            <w:sz w:val="22"/>
            <w:szCs w:val="22"/>
          </w:rPr>
          <w:delText>ligere informasjon</w:delText>
        </w:r>
        <w:r w:rsidR="00D4553F" w:rsidRPr="009C5EFD">
          <w:rPr>
            <w:sz w:val="22"/>
            <w:szCs w:val="22"/>
          </w:rPr>
          <w:delText>,</w:delText>
        </w:r>
        <w:r w:rsidRPr="009C5EFD">
          <w:rPr>
            <w:sz w:val="22"/>
            <w:szCs w:val="22"/>
          </w:rPr>
          <w:delText xml:space="preserve"> se pakningsvedlegget.</w:delText>
        </w:r>
      </w:del>
    </w:p>
    <w:p w14:paraId="02127B9C" w14:textId="3F11EF41" w:rsidR="00DE3458" w:rsidRPr="009C5EFD" w:rsidRDefault="00DE3458" w:rsidP="002D0790">
      <w:pPr>
        <w:suppressAutoHyphens/>
        <w:ind w:left="54"/>
        <w:rPr>
          <w:del w:id="12052" w:author="AbbVie02no" w:date="2025-05-15T13:53:00Z"/>
          <w:sz w:val="22"/>
          <w:szCs w:val="22"/>
        </w:rPr>
      </w:pPr>
    </w:p>
    <w:p w14:paraId="1A1CD2F6" w14:textId="2E1473AB" w:rsidR="00DE3458" w:rsidRPr="009C5EFD" w:rsidRDefault="00DE3458" w:rsidP="00C07C98">
      <w:pPr>
        <w:suppressAutoHyphens/>
        <w:ind w:left="54"/>
        <w:rPr>
          <w:del w:id="12053"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DE031A4" w14:textId="0D9B5DCA">
        <w:trPr>
          <w:del w:id="12054" w:author="AbbVie02no" w:date="2025-05-15T13:53:00Z"/>
        </w:trPr>
        <w:tc>
          <w:tcPr>
            <w:tcW w:w="9281" w:type="dxa"/>
          </w:tcPr>
          <w:p w14:paraId="5ED5DF31" w14:textId="730478CE" w:rsidR="00DE3458" w:rsidRPr="009C5EFD" w:rsidRDefault="00E453CD" w:rsidP="00E14E58">
            <w:pPr>
              <w:ind w:left="567" w:hanging="567"/>
              <w:rPr>
                <w:del w:id="12055" w:author="AbbVie02no" w:date="2025-05-15T13:53:00Z"/>
                <w:b/>
                <w:sz w:val="22"/>
                <w:szCs w:val="22"/>
              </w:rPr>
            </w:pPr>
            <w:del w:id="12056" w:author="AbbVie02no" w:date="2025-05-15T13:53:00Z">
              <w:r w:rsidRPr="009C5EFD">
                <w:rPr>
                  <w:b/>
                  <w:sz w:val="22"/>
                  <w:szCs w:val="22"/>
                </w:rPr>
                <w:delText>4.</w:delText>
              </w:r>
              <w:r w:rsidRPr="009C5EFD">
                <w:rPr>
                  <w:b/>
                  <w:sz w:val="22"/>
                  <w:szCs w:val="22"/>
                </w:rPr>
                <w:tab/>
                <w:delText>LEGEMIDDELFORM OG INNHOLD (PAKNINGSSTØRRELSE)</w:delText>
              </w:r>
            </w:del>
          </w:p>
        </w:tc>
      </w:tr>
    </w:tbl>
    <w:p w14:paraId="2CDD4E6D" w14:textId="1C69D80A" w:rsidR="00DE3458" w:rsidRPr="009C5EFD" w:rsidRDefault="00DE3458" w:rsidP="007F67EE">
      <w:pPr>
        <w:suppressAutoHyphens/>
        <w:ind w:left="54"/>
        <w:rPr>
          <w:del w:id="12057" w:author="AbbVie02no" w:date="2025-05-15T13:53:00Z"/>
          <w:sz w:val="22"/>
          <w:szCs w:val="22"/>
        </w:rPr>
      </w:pPr>
    </w:p>
    <w:p w14:paraId="41166A03" w14:textId="6C42A0EA" w:rsidR="0038522A" w:rsidRDefault="00E453CD" w:rsidP="00193D76">
      <w:pPr>
        <w:suppressAutoHyphens/>
        <w:ind w:left="54"/>
        <w:rPr>
          <w:del w:id="12058" w:author="AbbVie02no" w:date="2025-05-15T13:53:00Z"/>
          <w:sz w:val="22"/>
          <w:szCs w:val="22"/>
        </w:rPr>
      </w:pPr>
      <w:del w:id="12059" w:author="AbbVie02no" w:date="2025-05-15T13:53:00Z">
        <w:r w:rsidRPr="00771F39">
          <w:rPr>
            <w:sz w:val="22"/>
            <w:szCs w:val="22"/>
            <w:highlight w:val="lightGray"/>
          </w:rPr>
          <w:delText>Injeksjonsvæske</w:delText>
        </w:r>
        <w:r w:rsidR="004B5DF6" w:rsidRPr="00602A37">
          <w:rPr>
            <w:sz w:val="22"/>
            <w:szCs w:val="22"/>
            <w:highlight w:val="lightGray"/>
          </w:rPr>
          <w:delText>, oppløsning</w:delText>
        </w:r>
      </w:del>
    </w:p>
    <w:p w14:paraId="13EDDAB2" w14:textId="2B675A0F" w:rsidR="00DE3458" w:rsidRPr="009C5EFD" w:rsidRDefault="00E453CD" w:rsidP="00193D76">
      <w:pPr>
        <w:suppressAutoHyphens/>
        <w:ind w:left="54"/>
        <w:rPr>
          <w:del w:id="12060" w:author="AbbVie02no" w:date="2025-05-15T13:53:00Z"/>
          <w:sz w:val="22"/>
          <w:szCs w:val="22"/>
        </w:rPr>
      </w:pPr>
      <w:del w:id="12061" w:author="AbbVie02no" w:date="2025-05-15T13:53:00Z">
        <w:r w:rsidRPr="009C5EFD">
          <w:rPr>
            <w:sz w:val="22"/>
            <w:szCs w:val="22"/>
          </w:rPr>
          <w:delText>1 ferdigfylt sprøyte</w:delText>
        </w:r>
      </w:del>
    </w:p>
    <w:p w14:paraId="26EB9DD5" w14:textId="33D65395" w:rsidR="00DE3458" w:rsidRDefault="00E453CD" w:rsidP="002D0790">
      <w:pPr>
        <w:suppressAutoHyphens/>
        <w:ind w:left="54"/>
        <w:rPr>
          <w:del w:id="12062" w:author="AbbVie02no" w:date="2025-05-15T13:53:00Z"/>
          <w:sz w:val="22"/>
          <w:szCs w:val="22"/>
        </w:rPr>
      </w:pPr>
      <w:del w:id="12063" w:author="AbbVie02no" w:date="2025-05-15T13:53:00Z">
        <w:r w:rsidRPr="009C5EFD">
          <w:rPr>
            <w:sz w:val="22"/>
            <w:szCs w:val="22"/>
          </w:rPr>
          <w:delText>1 injeksjonstørk</w:delText>
        </w:r>
      </w:del>
    </w:p>
    <w:p w14:paraId="3812AC93" w14:textId="40515425" w:rsidR="0038522A" w:rsidRDefault="0038522A" w:rsidP="002D0790">
      <w:pPr>
        <w:suppressAutoHyphens/>
        <w:ind w:left="54"/>
        <w:rPr>
          <w:del w:id="12064" w:author="AbbVie02no" w:date="2025-05-15T13:53:00Z"/>
          <w:sz w:val="22"/>
          <w:szCs w:val="22"/>
        </w:rPr>
      </w:pPr>
    </w:p>
    <w:p w14:paraId="3F736615" w14:textId="616CCECB" w:rsidR="0038522A" w:rsidRPr="00AB7697" w:rsidRDefault="00E453CD" w:rsidP="0038522A">
      <w:pPr>
        <w:suppressAutoHyphens/>
        <w:ind w:left="54"/>
        <w:rPr>
          <w:del w:id="12065" w:author="AbbVie02no" w:date="2025-05-15T13:53:00Z"/>
          <w:sz w:val="22"/>
          <w:szCs w:val="22"/>
          <w:highlight w:val="lightGray"/>
        </w:rPr>
      </w:pPr>
      <w:del w:id="12066" w:author="AbbVie02no" w:date="2025-05-15T13:53:00Z">
        <w:r w:rsidRPr="00AB7697">
          <w:rPr>
            <w:sz w:val="22"/>
            <w:szCs w:val="22"/>
            <w:highlight w:val="lightGray"/>
          </w:rPr>
          <w:delText>2 ferdigfylte sprøyter</w:delText>
        </w:r>
      </w:del>
    </w:p>
    <w:p w14:paraId="492015EF" w14:textId="6E01341B" w:rsidR="0038522A" w:rsidRPr="00AB7697" w:rsidRDefault="00E453CD" w:rsidP="0038522A">
      <w:pPr>
        <w:suppressAutoHyphens/>
        <w:ind w:left="54"/>
        <w:rPr>
          <w:del w:id="12067" w:author="AbbVie02no" w:date="2025-05-15T13:53:00Z"/>
          <w:sz w:val="22"/>
          <w:szCs w:val="22"/>
          <w:highlight w:val="lightGray"/>
        </w:rPr>
      </w:pPr>
      <w:del w:id="12068" w:author="AbbVie02no" w:date="2025-05-15T13:53:00Z">
        <w:r w:rsidRPr="00AB7697">
          <w:rPr>
            <w:sz w:val="22"/>
            <w:szCs w:val="22"/>
            <w:highlight w:val="lightGray"/>
          </w:rPr>
          <w:delText>2 injeksjonstørk</w:delText>
        </w:r>
      </w:del>
    </w:p>
    <w:p w14:paraId="6EF657A6" w14:textId="3F38DEA1" w:rsidR="0038522A" w:rsidRPr="00AB7697" w:rsidRDefault="0038522A" w:rsidP="0038522A">
      <w:pPr>
        <w:suppressAutoHyphens/>
        <w:ind w:left="54"/>
        <w:rPr>
          <w:del w:id="12069" w:author="AbbVie02no" w:date="2025-05-15T13:53:00Z"/>
          <w:sz w:val="22"/>
          <w:szCs w:val="22"/>
          <w:highlight w:val="lightGray"/>
        </w:rPr>
      </w:pPr>
    </w:p>
    <w:p w14:paraId="7B8D75BC" w14:textId="342B1F78" w:rsidR="0038522A" w:rsidRPr="00AB7697" w:rsidRDefault="00E453CD" w:rsidP="0038522A">
      <w:pPr>
        <w:suppressAutoHyphens/>
        <w:ind w:left="54"/>
        <w:rPr>
          <w:del w:id="12070" w:author="AbbVie02no" w:date="2025-05-15T13:53:00Z"/>
          <w:sz w:val="22"/>
          <w:szCs w:val="22"/>
          <w:highlight w:val="lightGray"/>
        </w:rPr>
      </w:pPr>
      <w:del w:id="12071" w:author="AbbVie02no" w:date="2025-05-15T13:53:00Z">
        <w:r w:rsidRPr="00AB7697">
          <w:rPr>
            <w:sz w:val="22"/>
            <w:szCs w:val="22"/>
            <w:highlight w:val="lightGray"/>
          </w:rPr>
          <w:delText>4 ferdigfylte sprøyter</w:delText>
        </w:r>
      </w:del>
    </w:p>
    <w:p w14:paraId="7CEAA601" w14:textId="71CA98BD" w:rsidR="0038522A" w:rsidRPr="00AB7697" w:rsidRDefault="00E453CD" w:rsidP="0038522A">
      <w:pPr>
        <w:suppressAutoHyphens/>
        <w:ind w:left="54"/>
        <w:rPr>
          <w:del w:id="12072" w:author="AbbVie02no" w:date="2025-05-15T13:53:00Z"/>
          <w:sz w:val="22"/>
          <w:szCs w:val="22"/>
          <w:highlight w:val="lightGray"/>
        </w:rPr>
      </w:pPr>
      <w:del w:id="12073" w:author="AbbVie02no" w:date="2025-05-15T13:53:00Z">
        <w:r w:rsidRPr="00AB7697">
          <w:rPr>
            <w:sz w:val="22"/>
            <w:szCs w:val="22"/>
            <w:highlight w:val="lightGray"/>
          </w:rPr>
          <w:delText>4 injeksjonstørk</w:delText>
        </w:r>
      </w:del>
    </w:p>
    <w:p w14:paraId="50EF662E" w14:textId="045290DC" w:rsidR="0038522A" w:rsidRPr="00AB7697" w:rsidRDefault="0038522A" w:rsidP="0038522A">
      <w:pPr>
        <w:suppressAutoHyphens/>
        <w:ind w:left="54"/>
        <w:rPr>
          <w:del w:id="12074" w:author="AbbVie02no" w:date="2025-05-15T13:53:00Z"/>
          <w:sz w:val="22"/>
          <w:szCs w:val="22"/>
          <w:highlight w:val="lightGray"/>
        </w:rPr>
      </w:pPr>
    </w:p>
    <w:p w14:paraId="0B2FC942" w14:textId="0D0FB485" w:rsidR="0038522A" w:rsidRPr="00AB7697" w:rsidRDefault="00E453CD" w:rsidP="0038522A">
      <w:pPr>
        <w:suppressAutoHyphens/>
        <w:ind w:left="54"/>
        <w:rPr>
          <w:del w:id="12075" w:author="AbbVie02no" w:date="2025-05-15T13:53:00Z"/>
          <w:sz w:val="22"/>
          <w:szCs w:val="22"/>
          <w:highlight w:val="lightGray"/>
        </w:rPr>
      </w:pPr>
      <w:del w:id="12076" w:author="AbbVie02no" w:date="2025-05-15T13:53:00Z">
        <w:r w:rsidRPr="00AB7697">
          <w:rPr>
            <w:sz w:val="22"/>
            <w:szCs w:val="22"/>
            <w:highlight w:val="lightGray"/>
          </w:rPr>
          <w:delText>6 ferdigfylte sprøyter</w:delText>
        </w:r>
      </w:del>
    </w:p>
    <w:p w14:paraId="43489496" w14:textId="754BF596" w:rsidR="0038522A" w:rsidRPr="009C5EFD" w:rsidRDefault="00E453CD" w:rsidP="0038522A">
      <w:pPr>
        <w:suppressAutoHyphens/>
        <w:ind w:left="54"/>
        <w:rPr>
          <w:del w:id="12077" w:author="AbbVie02no" w:date="2025-05-15T13:53:00Z"/>
          <w:sz w:val="22"/>
          <w:szCs w:val="22"/>
        </w:rPr>
      </w:pPr>
      <w:del w:id="12078" w:author="AbbVie02no" w:date="2025-05-15T13:53:00Z">
        <w:r w:rsidRPr="00AB7697">
          <w:rPr>
            <w:sz w:val="22"/>
            <w:szCs w:val="22"/>
            <w:highlight w:val="lightGray"/>
          </w:rPr>
          <w:delText>6 injeksjonstørk</w:delText>
        </w:r>
      </w:del>
    </w:p>
    <w:p w14:paraId="52790D64" w14:textId="7E196344" w:rsidR="00DE3458" w:rsidRPr="009C5EFD" w:rsidRDefault="00DE3458" w:rsidP="00C07C98">
      <w:pPr>
        <w:suppressAutoHyphens/>
        <w:ind w:left="54"/>
        <w:rPr>
          <w:del w:id="12079" w:author="AbbVie02no" w:date="2025-05-15T13:53:00Z"/>
          <w:sz w:val="22"/>
          <w:szCs w:val="22"/>
        </w:rPr>
      </w:pPr>
    </w:p>
    <w:p w14:paraId="09039970" w14:textId="2F021793" w:rsidR="00DE3458" w:rsidRPr="009C5EFD" w:rsidRDefault="00DE3458" w:rsidP="00E14E58">
      <w:pPr>
        <w:suppressAutoHyphens/>
        <w:ind w:left="54"/>
        <w:rPr>
          <w:del w:id="12080"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6165FA8" w14:textId="17B80F37">
        <w:trPr>
          <w:del w:id="12081" w:author="AbbVie02no" w:date="2025-05-15T13:53:00Z"/>
        </w:trPr>
        <w:tc>
          <w:tcPr>
            <w:tcW w:w="9281" w:type="dxa"/>
          </w:tcPr>
          <w:p w14:paraId="6A220493" w14:textId="5EE5248D" w:rsidR="00DE3458" w:rsidRPr="009C5EFD" w:rsidRDefault="00E453CD" w:rsidP="009C5EFD">
            <w:pPr>
              <w:ind w:left="567" w:hanging="567"/>
              <w:rPr>
                <w:del w:id="12082" w:author="AbbVie02no" w:date="2025-05-15T13:53:00Z"/>
                <w:b/>
                <w:sz w:val="22"/>
                <w:szCs w:val="22"/>
              </w:rPr>
            </w:pPr>
            <w:del w:id="12083" w:author="AbbVie02no" w:date="2025-05-15T13:53:00Z">
              <w:r w:rsidRPr="009C5EFD">
                <w:rPr>
                  <w:b/>
                  <w:sz w:val="22"/>
                  <w:szCs w:val="22"/>
                </w:rPr>
                <w:delText>5.</w:delText>
              </w:r>
              <w:r w:rsidRPr="009C5EFD">
                <w:rPr>
                  <w:b/>
                  <w:sz w:val="22"/>
                  <w:szCs w:val="22"/>
                </w:rPr>
                <w:tab/>
                <w:delText xml:space="preserve">ADMINISTRASJONSMÅTE OG </w:delText>
              </w:r>
              <w:r w:rsidR="0050174A">
                <w:rPr>
                  <w:b/>
                  <w:sz w:val="22"/>
                  <w:szCs w:val="22"/>
                </w:rPr>
                <w:delText>-</w:delText>
              </w:r>
              <w:r w:rsidR="0050174A" w:rsidRPr="009C5EFD">
                <w:rPr>
                  <w:b/>
                  <w:sz w:val="22"/>
                  <w:szCs w:val="22"/>
                </w:rPr>
                <w:delText>VEI</w:delText>
              </w:r>
            </w:del>
          </w:p>
        </w:tc>
      </w:tr>
    </w:tbl>
    <w:p w14:paraId="13608B39" w14:textId="0B2C6A3B" w:rsidR="00DE3458" w:rsidRPr="009C5EFD" w:rsidRDefault="00DE3458" w:rsidP="007F67EE">
      <w:pPr>
        <w:suppressAutoHyphens/>
        <w:ind w:left="54"/>
        <w:rPr>
          <w:del w:id="12084" w:author="AbbVie02no" w:date="2025-05-15T13:53:00Z"/>
          <w:sz w:val="22"/>
          <w:szCs w:val="22"/>
        </w:rPr>
      </w:pPr>
    </w:p>
    <w:p w14:paraId="79C9BF5A" w14:textId="4952A751" w:rsidR="00DE3458" w:rsidRPr="009C5EFD" w:rsidRDefault="00E453CD" w:rsidP="00193D76">
      <w:pPr>
        <w:suppressAutoHyphens/>
        <w:ind w:left="54"/>
        <w:rPr>
          <w:del w:id="12085" w:author="AbbVie02no" w:date="2025-05-15T13:53:00Z"/>
          <w:sz w:val="22"/>
          <w:szCs w:val="22"/>
        </w:rPr>
      </w:pPr>
      <w:del w:id="12086" w:author="AbbVie02no" w:date="2025-05-15T13:53:00Z">
        <w:r w:rsidRPr="009C5EFD">
          <w:rPr>
            <w:sz w:val="22"/>
            <w:szCs w:val="22"/>
          </w:rPr>
          <w:delText>Subkutan bruk</w:delText>
        </w:r>
      </w:del>
    </w:p>
    <w:p w14:paraId="4BBEE1FF" w14:textId="02E9B981" w:rsidR="00DE3458" w:rsidRPr="009C5EFD" w:rsidRDefault="00DE3458" w:rsidP="002D0790">
      <w:pPr>
        <w:suppressAutoHyphens/>
        <w:ind w:left="54"/>
        <w:rPr>
          <w:del w:id="12087" w:author="AbbVie02no" w:date="2025-05-15T13:53:00Z"/>
          <w:sz w:val="22"/>
          <w:szCs w:val="22"/>
        </w:rPr>
      </w:pPr>
    </w:p>
    <w:p w14:paraId="74F0C8AD" w14:textId="46CECA91" w:rsidR="00DE3458" w:rsidRDefault="00E453CD" w:rsidP="00C07C98">
      <w:pPr>
        <w:suppressAutoHyphens/>
        <w:ind w:left="54"/>
        <w:rPr>
          <w:del w:id="12088" w:author="AbbVie02no" w:date="2025-05-15T13:53:00Z"/>
          <w:sz w:val="22"/>
          <w:szCs w:val="22"/>
        </w:rPr>
      </w:pPr>
      <w:del w:id="12089" w:author="AbbVie02no" w:date="2025-05-15T13:53:00Z">
        <w:r w:rsidRPr="009C5EFD">
          <w:rPr>
            <w:sz w:val="22"/>
            <w:szCs w:val="22"/>
          </w:rPr>
          <w:delText>Les pakningsvedlegget før bruk</w:delText>
        </w:r>
        <w:r w:rsidR="00AE2643" w:rsidRPr="009C5EFD">
          <w:rPr>
            <w:sz w:val="22"/>
            <w:szCs w:val="22"/>
          </w:rPr>
          <w:delText>.</w:delText>
        </w:r>
      </w:del>
    </w:p>
    <w:p w14:paraId="544F9B45" w14:textId="063E0162" w:rsidR="0038522A" w:rsidRDefault="0038522A" w:rsidP="00C07C98">
      <w:pPr>
        <w:suppressAutoHyphens/>
        <w:ind w:left="54"/>
        <w:rPr>
          <w:del w:id="12090" w:author="AbbVie02no" w:date="2025-05-15T13:53:00Z"/>
          <w:sz w:val="22"/>
          <w:szCs w:val="22"/>
        </w:rPr>
      </w:pPr>
    </w:p>
    <w:p w14:paraId="0D047AD0" w14:textId="71D888A8" w:rsidR="0038522A" w:rsidRPr="009C5EFD" w:rsidRDefault="00E453CD" w:rsidP="00C07C98">
      <w:pPr>
        <w:suppressAutoHyphens/>
        <w:ind w:left="54"/>
        <w:rPr>
          <w:del w:id="12091" w:author="AbbVie02no" w:date="2025-05-15T13:53:00Z"/>
          <w:sz w:val="22"/>
          <w:szCs w:val="22"/>
        </w:rPr>
      </w:pPr>
      <w:del w:id="12092" w:author="AbbVie02no" w:date="2025-05-15T13:53:00Z">
        <w:r w:rsidRPr="009C5EFD">
          <w:rPr>
            <w:sz w:val="22"/>
            <w:szCs w:val="22"/>
          </w:rPr>
          <w:delText>Kun til engangsbruk.</w:delText>
        </w:r>
      </w:del>
    </w:p>
    <w:p w14:paraId="7FE841BE" w14:textId="1AFF9995" w:rsidR="00DE3458" w:rsidRPr="009C5EFD" w:rsidRDefault="00DE3458" w:rsidP="00E14E58">
      <w:pPr>
        <w:suppressAutoHyphens/>
        <w:ind w:left="54"/>
        <w:rPr>
          <w:del w:id="12093" w:author="AbbVie02no" w:date="2025-05-15T13:53:00Z"/>
          <w:sz w:val="22"/>
          <w:szCs w:val="22"/>
        </w:rPr>
      </w:pPr>
    </w:p>
    <w:p w14:paraId="0C2F2178" w14:textId="5AB3A90B" w:rsidR="00DE3458" w:rsidRPr="009C5EFD" w:rsidRDefault="00DE3458" w:rsidP="009C5EFD">
      <w:pPr>
        <w:suppressAutoHyphens/>
        <w:ind w:left="54"/>
        <w:rPr>
          <w:del w:id="12094"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C0BDE1" w14:textId="69456449">
        <w:trPr>
          <w:del w:id="12095" w:author="AbbVie02no" w:date="2025-05-15T13:53:00Z"/>
        </w:trPr>
        <w:tc>
          <w:tcPr>
            <w:tcW w:w="9281" w:type="dxa"/>
          </w:tcPr>
          <w:p w14:paraId="0723AD6C" w14:textId="07C69B6D" w:rsidR="00DE3458" w:rsidRPr="009C5EFD" w:rsidRDefault="00E453CD" w:rsidP="009C5EFD">
            <w:pPr>
              <w:ind w:left="567" w:hanging="567"/>
              <w:rPr>
                <w:del w:id="12096" w:author="AbbVie02no" w:date="2025-05-15T13:53:00Z"/>
                <w:b/>
                <w:sz w:val="22"/>
                <w:szCs w:val="22"/>
              </w:rPr>
            </w:pPr>
            <w:del w:id="12097" w:author="AbbVie02no" w:date="2025-05-15T13:53:00Z">
              <w:r w:rsidRPr="009C5EFD">
                <w:rPr>
                  <w:b/>
                  <w:sz w:val="22"/>
                  <w:szCs w:val="22"/>
                </w:rPr>
                <w:delText>6.</w:delText>
              </w:r>
              <w:r w:rsidRPr="009C5EFD">
                <w:rPr>
                  <w:b/>
                  <w:sz w:val="22"/>
                  <w:szCs w:val="22"/>
                </w:rPr>
                <w:tab/>
                <w:delText>ADVARSEL OM AT LEGEMIDLET SKAL OPPBEVARES UTILGJENGELIG FOR BARN</w:delText>
              </w:r>
            </w:del>
          </w:p>
        </w:tc>
      </w:tr>
    </w:tbl>
    <w:p w14:paraId="4341630A" w14:textId="26252D7F" w:rsidR="00DE3458" w:rsidRPr="009C5EFD" w:rsidRDefault="00DE3458" w:rsidP="007F67EE">
      <w:pPr>
        <w:suppressAutoHyphens/>
        <w:ind w:left="54"/>
        <w:rPr>
          <w:del w:id="12098" w:author="AbbVie02no" w:date="2025-05-15T13:53:00Z"/>
          <w:sz w:val="22"/>
          <w:szCs w:val="22"/>
        </w:rPr>
      </w:pPr>
    </w:p>
    <w:p w14:paraId="3E814BAD" w14:textId="2696DD06" w:rsidR="00DE3458" w:rsidRPr="009C5EFD" w:rsidRDefault="00E453CD" w:rsidP="00193D76">
      <w:pPr>
        <w:suppressAutoHyphens/>
        <w:ind w:left="54"/>
        <w:rPr>
          <w:del w:id="12099" w:author="AbbVie02no" w:date="2025-05-15T13:53:00Z"/>
          <w:sz w:val="22"/>
          <w:szCs w:val="22"/>
        </w:rPr>
      </w:pPr>
      <w:del w:id="12100" w:author="AbbVie02no" w:date="2025-05-15T13:53:00Z">
        <w:r w:rsidRPr="009C5EFD">
          <w:rPr>
            <w:sz w:val="22"/>
            <w:szCs w:val="22"/>
          </w:rPr>
          <w:delText>Oppbevares utilgjengelig for barn.</w:delText>
        </w:r>
      </w:del>
    </w:p>
    <w:p w14:paraId="01410BE9" w14:textId="04A9FC6F" w:rsidR="00DE3458" w:rsidRPr="009C5EFD" w:rsidRDefault="00DE3458" w:rsidP="002D0790">
      <w:pPr>
        <w:suppressAutoHyphens/>
        <w:ind w:left="54"/>
        <w:rPr>
          <w:del w:id="12101" w:author="AbbVie02no" w:date="2025-05-15T13:53:00Z"/>
          <w:sz w:val="22"/>
          <w:szCs w:val="22"/>
        </w:rPr>
      </w:pPr>
    </w:p>
    <w:p w14:paraId="377297E0" w14:textId="0845EC38" w:rsidR="00DE3458" w:rsidRPr="009C5EFD" w:rsidRDefault="00DE3458" w:rsidP="00C07C98">
      <w:pPr>
        <w:suppressAutoHyphens/>
        <w:ind w:left="54"/>
        <w:rPr>
          <w:del w:id="12102"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AB1E455" w14:textId="1A5958CB">
        <w:trPr>
          <w:del w:id="12103" w:author="AbbVie02no" w:date="2025-05-15T13:53:00Z"/>
        </w:trPr>
        <w:tc>
          <w:tcPr>
            <w:tcW w:w="9281" w:type="dxa"/>
          </w:tcPr>
          <w:p w14:paraId="423948FD" w14:textId="4595AEA2" w:rsidR="00DE3458" w:rsidRPr="009C5EFD" w:rsidRDefault="00E453CD" w:rsidP="00E14E58">
            <w:pPr>
              <w:ind w:left="567" w:hanging="567"/>
              <w:rPr>
                <w:del w:id="12104" w:author="AbbVie02no" w:date="2025-05-15T13:53:00Z"/>
                <w:b/>
                <w:sz w:val="22"/>
                <w:szCs w:val="22"/>
              </w:rPr>
            </w:pPr>
            <w:del w:id="12105" w:author="AbbVie02no" w:date="2025-05-15T13:53:00Z">
              <w:r w:rsidRPr="009C5EFD">
                <w:rPr>
                  <w:b/>
                  <w:sz w:val="22"/>
                  <w:szCs w:val="22"/>
                </w:rPr>
                <w:delText>7.</w:delText>
              </w:r>
              <w:r w:rsidRPr="009C5EFD">
                <w:rPr>
                  <w:b/>
                  <w:sz w:val="22"/>
                  <w:szCs w:val="22"/>
                </w:rPr>
                <w:tab/>
                <w:delText>EVENTUELLE ANDRE SPESIELLE ADVARSLER</w:delText>
              </w:r>
            </w:del>
          </w:p>
        </w:tc>
      </w:tr>
    </w:tbl>
    <w:p w14:paraId="0591633B" w14:textId="70B01259" w:rsidR="00DE3458" w:rsidRPr="009C5EFD" w:rsidRDefault="00DE3458" w:rsidP="002D0790">
      <w:pPr>
        <w:suppressAutoHyphens/>
        <w:ind w:left="54"/>
        <w:rPr>
          <w:del w:id="12106" w:author="AbbVie02no" w:date="2025-05-15T13:53:00Z"/>
          <w:sz w:val="22"/>
          <w:szCs w:val="22"/>
        </w:rPr>
      </w:pPr>
    </w:p>
    <w:p w14:paraId="35987373" w14:textId="2DBCDFC9" w:rsidR="00DE3458" w:rsidRPr="009C5EFD" w:rsidRDefault="00DE3458" w:rsidP="00C07C98">
      <w:pPr>
        <w:suppressAutoHyphens/>
        <w:ind w:left="54"/>
        <w:rPr>
          <w:del w:id="12107"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93CBCEB" w14:textId="6482A40E">
        <w:trPr>
          <w:del w:id="12108" w:author="AbbVie02no" w:date="2025-05-15T13:53:00Z"/>
        </w:trPr>
        <w:tc>
          <w:tcPr>
            <w:tcW w:w="9281" w:type="dxa"/>
          </w:tcPr>
          <w:p w14:paraId="3491D247" w14:textId="147EEE24" w:rsidR="00DE3458" w:rsidRPr="009C5EFD" w:rsidRDefault="00E453CD" w:rsidP="00E14E58">
            <w:pPr>
              <w:ind w:left="567" w:hanging="567"/>
              <w:rPr>
                <w:del w:id="12109" w:author="AbbVie02no" w:date="2025-05-15T13:53:00Z"/>
                <w:b/>
                <w:sz w:val="22"/>
                <w:szCs w:val="22"/>
              </w:rPr>
            </w:pPr>
            <w:del w:id="12110" w:author="AbbVie02no" w:date="2025-05-15T13:53:00Z">
              <w:r w:rsidRPr="009C5EFD">
                <w:rPr>
                  <w:b/>
                  <w:sz w:val="22"/>
                  <w:szCs w:val="22"/>
                </w:rPr>
                <w:delText>8.</w:delText>
              </w:r>
              <w:r w:rsidRPr="009C5EFD">
                <w:rPr>
                  <w:b/>
                  <w:sz w:val="22"/>
                  <w:szCs w:val="22"/>
                </w:rPr>
                <w:tab/>
                <w:delText>UTLØPSDATO</w:delText>
              </w:r>
            </w:del>
          </w:p>
        </w:tc>
      </w:tr>
    </w:tbl>
    <w:p w14:paraId="0A285605" w14:textId="02DCAA25" w:rsidR="00DE3458" w:rsidRPr="009C5EFD" w:rsidRDefault="00DE3458" w:rsidP="007F67EE">
      <w:pPr>
        <w:suppressAutoHyphens/>
        <w:ind w:left="621" w:hanging="567"/>
        <w:rPr>
          <w:del w:id="12111" w:author="AbbVie02no" w:date="2025-05-15T13:53:00Z"/>
          <w:sz w:val="22"/>
          <w:szCs w:val="22"/>
        </w:rPr>
      </w:pPr>
    </w:p>
    <w:p w14:paraId="4878BEB4" w14:textId="25B0DE92" w:rsidR="00DE3458" w:rsidRPr="009C5EFD" w:rsidRDefault="00E453CD" w:rsidP="00193D76">
      <w:pPr>
        <w:suppressAutoHyphens/>
        <w:ind w:left="54"/>
        <w:rPr>
          <w:del w:id="12112" w:author="AbbVie02no" w:date="2025-05-15T13:53:00Z"/>
          <w:sz w:val="22"/>
          <w:szCs w:val="22"/>
        </w:rPr>
      </w:pPr>
      <w:del w:id="12113" w:author="AbbVie02no" w:date="2025-05-15T13:53:00Z">
        <w:r>
          <w:rPr>
            <w:sz w:val="22"/>
            <w:szCs w:val="22"/>
          </w:rPr>
          <w:delText>EXP</w:delText>
        </w:r>
      </w:del>
    </w:p>
    <w:p w14:paraId="5B38E4C4" w14:textId="0D575C89" w:rsidR="00DE3458" w:rsidRDefault="00DE3458" w:rsidP="002D0790">
      <w:pPr>
        <w:ind w:left="54"/>
        <w:rPr>
          <w:del w:id="12114" w:author="AbbVie02no" w:date="2025-05-15T13:53:00Z"/>
          <w:sz w:val="22"/>
          <w:szCs w:val="22"/>
        </w:rPr>
      </w:pPr>
    </w:p>
    <w:p w14:paraId="30AD2A31" w14:textId="6B85B0E9" w:rsidR="00450F58" w:rsidRPr="009C5EFD" w:rsidRDefault="00450F58" w:rsidP="002D0790">
      <w:pPr>
        <w:ind w:left="54"/>
        <w:rPr>
          <w:del w:id="12115"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388D0FA" w14:textId="636F399E">
        <w:trPr>
          <w:del w:id="12116" w:author="AbbVie02no" w:date="2025-05-15T13:53:00Z"/>
        </w:trPr>
        <w:tc>
          <w:tcPr>
            <w:tcW w:w="9281" w:type="dxa"/>
          </w:tcPr>
          <w:p w14:paraId="7E385E5B" w14:textId="50D701DC" w:rsidR="00DE3458" w:rsidRPr="009C5EFD" w:rsidRDefault="00E453CD" w:rsidP="00C07C98">
            <w:pPr>
              <w:ind w:left="567" w:hanging="567"/>
              <w:rPr>
                <w:del w:id="12117" w:author="AbbVie02no" w:date="2025-05-15T13:53:00Z"/>
                <w:b/>
                <w:sz w:val="22"/>
                <w:szCs w:val="22"/>
              </w:rPr>
            </w:pPr>
            <w:del w:id="12118" w:author="AbbVie02no" w:date="2025-05-15T13:53:00Z">
              <w:r w:rsidRPr="009C5EFD">
                <w:br w:type="page"/>
              </w:r>
              <w:r w:rsidRPr="009C5EFD">
                <w:rPr>
                  <w:b/>
                  <w:sz w:val="22"/>
                  <w:szCs w:val="22"/>
                </w:rPr>
                <w:delText>9.</w:delText>
              </w:r>
              <w:r w:rsidRPr="009C5EFD">
                <w:rPr>
                  <w:b/>
                  <w:sz w:val="22"/>
                  <w:szCs w:val="22"/>
                </w:rPr>
                <w:tab/>
                <w:delText>OPPBEVARINGSBETINGELSER</w:delText>
              </w:r>
            </w:del>
          </w:p>
        </w:tc>
      </w:tr>
    </w:tbl>
    <w:p w14:paraId="42C5F3D7" w14:textId="3D025FC1" w:rsidR="00DE3458" w:rsidRPr="009C5EFD" w:rsidRDefault="00DE3458" w:rsidP="007F67EE">
      <w:pPr>
        <w:suppressAutoHyphens/>
        <w:ind w:left="54"/>
        <w:rPr>
          <w:del w:id="12119" w:author="AbbVie02no" w:date="2025-05-15T13:53:00Z"/>
          <w:sz w:val="22"/>
          <w:szCs w:val="22"/>
        </w:rPr>
      </w:pPr>
    </w:p>
    <w:p w14:paraId="3F2863F6" w14:textId="7952CC66" w:rsidR="00DE3458" w:rsidRPr="009C5EFD" w:rsidRDefault="00E453CD" w:rsidP="002D0790">
      <w:pPr>
        <w:suppressAutoHyphens/>
        <w:ind w:left="54"/>
        <w:rPr>
          <w:del w:id="12120" w:author="AbbVie02no" w:date="2025-05-15T13:53:00Z"/>
          <w:sz w:val="22"/>
          <w:szCs w:val="22"/>
        </w:rPr>
      </w:pPr>
      <w:del w:id="12121" w:author="AbbVie02no" w:date="2025-05-15T13:53:00Z">
        <w:r w:rsidRPr="009C5EFD">
          <w:rPr>
            <w:sz w:val="22"/>
            <w:szCs w:val="22"/>
          </w:rPr>
          <w:delText xml:space="preserve">Oppbevares i kjøleskap. </w:delText>
        </w:r>
        <w:r w:rsidR="00D81405" w:rsidRPr="009C5EFD">
          <w:rPr>
            <w:sz w:val="22"/>
            <w:szCs w:val="22"/>
          </w:rPr>
          <w:delText xml:space="preserve">Skal </w:delText>
        </w:r>
        <w:r w:rsidRPr="009C5EFD">
          <w:rPr>
            <w:sz w:val="22"/>
            <w:szCs w:val="22"/>
          </w:rPr>
          <w:delText>ikke fryses.</w:delText>
        </w:r>
      </w:del>
    </w:p>
    <w:p w14:paraId="0B8F9A94" w14:textId="1F7F7AD5" w:rsidR="008D7009" w:rsidRDefault="00E453CD" w:rsidP="00C07C98">
      <w:pPr>
        <w:suppressAutoHyphens/>
        <w:ind w:left="54"/>
        <w:rPr>
          <w:del w:id="12122" w:author="AbbVie02no" w:date="2025-05-15T13:53:00Z"/>
          <w:sz w:val="22"/>
          <w:szCs w:val="22"/>
        </w:rPr>
      </w:pPr>
      <w:del w:id="12123" w:author="AbbVie02no" w:date="2025-05-15T13:53:00Z">
        <w:r w:rsidRPr="009C5EFD">
          <w:rPr>
            <w:sz w:val="22"/>
            <w:szCs w:val="22"/>
          </w:rPr>
          <w:delText>Se pakningsvedlegg for alternative oppbevarings</w:delText>
        </w:r>
        <w:r w:rsidR="00F53D91" w:rsidRPr="009C5EFD">
          <w:rPr>
            <w:sz w:val="22"/>
            <w:szCs w:val="22"/>
          </w:rPr>
          <w:delText>betingelser</w:delText>
        </w:r>
        <w:r w:rsidRPr="009C5EFD">
          <w:rPr>
            <w:sz w:val="22"/>
            <w:szCs w:val="22"/>
          </w:rPr>
          <w:delText>.</w:delText>
        </w:r>
      </w:del>
    </w:p>
    <w:p w14:paraId="1F29DAD0" w14:textId="7897F9B1" w:rsidR="0038522A" w:rsidRPr="009C5EFD" w:rsidRDefault="0038522A" w:rsidP="00C07C98">
      <w:pPr>
        <w:suppressAutoHyphens/>
        <w:ind w:left="54"/>
        <w:rPr>
          <w:del w:id="12124" w:author="AbbVie02no" w:date="2025-05-15T13:53:00Z"/>
          <w:sz w:val="22"/>
          <w:szCs w:val="22"/>
        </w:rPr>
      </w:pPr>
    </w:p>
    <w:p w14:paraId="23BC1623" w14:textId="554E33E7" w:rsidR="00DE3458" w:rsidRPr="009C5EFD" w:rsidRDefault="00E453CD" w:rsidP="00E14E58">
      <w:pPr>
        <w:suppressAutoHyphens/>
        <w:ind w:left="54"/>
        <w:rPr>
          <w:del w:id="12125" w:author="AbbVie02no" w:date="2025-05-15T13:53:00Z"/>
          <w:sz w:val="22"/>
          <w:szCs w:val="22"/>
        </w:rPr>
      </w:pPr>
      <w:del w:id="12126" w:author="AbbVie02no" w:date="2025-05-15T13:53:00Z">
        <w:r w:rsidRPr="009C5EFD">
          <w:rPr>
            <w:sz w:val="22"/>
            <w:szCs w:val="22"/>
          </w:rPr>
          <w:delText>Sprøyten oppbevares i ytterkartongen</w:delText>
        </w:r>
        <w:r w:rsidR="00F96B04" w:rsidRPr="009C5EFD">
          <w:rPr>
            <w:sz w:val="22"/>
            <w:szCs w:val="22"/>
          </w:rPr>
          <w:delText xml:space="preserve"> for å beskytte mot lys</w:delText>
        </w:r>
        <w:r w:rsidRPr="009C5EFD">
          <w:rPr>
            <w:sz w:val="22"/>
            <w:szCs w:val="22"/>
          </w:rPr>
          <w:delText>.</w:delText>
        </w:r>
      </w:del>
    </w:p>
    <w:p w14:paraId="01A9F584" w14:textId="342A101B" w:rsidR="00F96B04" w:rsidRPr="009C5EFD" w:rsidRDefault="00F96B04" w:rsidP="009C5EFD">
      <w:pPr>
        <w:suppressAutoHyphens/>
        <w:ind w:left="54"/>
        <w:rPr>
          <w:del w:id="12127" w:author="AbbVie02no" w:date="2025-05-15T13:53:00Z"/>
          <w:sz w:val="22"/>
          <w:szCs w:val="22"/>
        </w:rPr>
      </w:pPr>
    </w:p>
    <w:p w14:paraId="703C704A" w14:textId="4CB89C3F" w:rsidR="00DE3458" w:rsidRPr="009C5EFD" w:rsidRDefault="00DE3458" w:rsidP="009C5EFD">
      <w:pPr>
        <w:suppressAutoHyphens/>
        <w:ind w:left="54"/>
        <w:rPr>
          <w:del w:id="12128"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0B27E7E" w14:textId="64F93321">
        <w:trPr>
          <w:del w:id="12129" w:author="AbbVie02no" w:date="2025-05-15T13:53:00Z"/>
        </w:trPr>
        <w:tc>
          <w:tcPr>
            <w:tcW w:w="9281" w:type="dxa"/>
          </w:tcPr>
          <w:p w14:paraId="59ACAE95" w14:textId="4576431B" w:rsidR="00DE3458" w:rsidRPr="009C5EFD" w:rsidRDefault="00E453CD" w:rsidP="009C5EFD">
            <w:pPr>
              <w:ind w:left="567" w:hanging="567"/>
              <w:rPr>
                <w:del w:id="12130" w:author="AbbVie02no" w:date="2025-05-15T13:53:00Z"/>
                <w:b/>
                <w:sz w:val="22"/>
                <w:szCs w:val="22"/>
              </w:rPr>
            </w:pPr>
            <w:del w:id="12131" w:author="AbbVie02no" w:date="2025-05-15T13:53:00Z">
              <w:r w:rsidRPr="009C5EFD">
                <w:rPr>
                  <w:b/>
                  <w:sz w:val="22"/>
                  <w:szCs w:val="22"/>
                </w:rPr>
                <w:delText>10.</w:delText>
              </w:r>
              <w:r w:rsidRPr="009C5EFD">
                <w:rPr>
                  <w:b/>
                  <w:sz w:val="22"/>
                  <w:szCs w:val="22"/>
                </w:rPr>
                <w:tab/>
                <w:delText>EVENTUELLE SPESIELLE FORHOLDSREGLER VED DESTRUKSJON AV UBRUKTE LEGEMIDLER ELLER AVFALL</w:delText>
              </w:r>
            </w:del>
          </w:p>
        </w:tc>
      </w:tr>
    </w:tbl>
    <w:p w14:paraId="6AAB84FB" w14:textId="472B6E67" w:rsidR="00DE3458" w:rsidRPr="009C5EFD" w:rsidRDefault="00DE3458" w:rsidP="007F67EE">
      <w:pPr>
        <w:suppressAutoHyphens/>
        <w:ind w:left="54"/>
        <w:rPr>
          <w:del w:id="12132" w:author="AbbVie02no" w:date="2025-05-15T13:53:00Z"/>
          <w:sz w:val="22"/>
          <w:szCs w:val="22"/>
        </w:rPr>
      </w:pPr>
    </w:p>
    <w:p w14:paraId="51198FE3" w14:textId="68373118" w:rsidR="00DE3458" w:rsidRPr="009C5EFD" w:rsidRDefault="00DE3458" w:rsidP="00193D76">
      <w:pPr>
        <w:suppressAutoHyphens/>
        <w:ind w:left="54"/>
        <w:rPr>
          <w:del w:id="12133"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D9A84CB" w14:textId="54BBD191">
        <w:trPr>
          <w:del w:id="12134" w:author="AbbVie02no" w:date="2025-05-15T13:53:00Z"/>
        </w:trPr>
        <w:tc>
          <w:tcPr>
            <w:tcW w:w="9281" w:type="dxa"/>
          </w:tcPr>
          <w:p w14:paraId="5CB1D739" w14:textId="052AC45D" w:rsidR="00DE3458" w:rsidRPr="009C5EFD" w:rsidRDefault="00E453CD" w:rsidP="002D0790">
            <w:pPr>
              <w:ind w:left="567" w:hanging="567"/>
              <w:rPr>
                <w:del w:id="12135" w:author="AbbVie02no" w:date="2025-05-15T13:53:00Z"/>
                <w:b/>
                <w:sz w:val="22"/>
                <w:szCs w:val="22"/>
              </w:rPr>
            </w:pPr>
            <w:del w:id="12136" w:author="AbbVie02no" w:date="2025-05-15T13:53:00Z">
              <w:r w:rsidRPr="009C5EFD">
                <w:rPr>
                  <w:b/>
                  <w:sz w:val="22"/>
                  <w:szCs w:val="22"/>
                </w:rPr>
                <w:delText>11.</w:delText>
              </w:r>
              <w:r w:rsidRPr="009C5EFD">
                <w:rPr>
                  <w:b/>
                  <w:sz w:val="22"/>
                  <w:szCs w:val="22"/>
                </w:rPr>
                <w:tab/>
                <w:delText>NAVN OG ADRESSE PÅ INNEHAVEREN AV MARKEDSFØRINGSTILLATELSEN</w:delText>
              </w:r>
            </w:del>
          </w:p>
        </w:tc>
      </w:tr>
    </w:tbl>
    <w:p w14:paraId="1BE5267B" w14:textId="446380D7" w:rsidR="00DE3458" w:rsidRPr="009C5EFD" w:rsidRDefault="00DE3458" w:rsidP="007F67EE">
      <w:pPr>
        <w:suppressAutoHyphens/>
        <w:ind w:left="54"/>
        <w:rPr>
          <w:del w:id="12137" w:author="AbbVie02no" w:date="2025-05-15T13:53:00Z"/>
          <w:sz w:val="22"/>
          <w:szCs w:val="22"/>
        </w:rPr>
      </w:pPr>
    </w:p>
    <w:p w14:paraId="41020224" w14:textId="5395F87F" w:rsidR="00851837" w:rsidRPr="00EF12DF" w:rsidRDefault="00E453CD" w:rsidP="00851837">
      <w:pPr>
        <w:rPr>
          <w:del w:id="12138" w:author="AbbVie02no" w:date="2025-05-15T13:53:00Z"/>
          <w:sz w:val="22"/>
          <w:szCs w:val="22"/>
        </w:rPr>
      </w:pPr>
      <w:del w:id="12139" w:author="AbbVie02no" w:date="2025-05-15T13:53:00Z">
        <w:r w:rsidRPr="00EF12DF">
          <w:rPr>
            <w:sz w:val="22"/>
            <w:szCs w:val="22"/>
          </w:rPr>
          <w:delText>AbbVie Deutschland GmbH &amp; Co. KG</w:delText>
        </w:r>
      </w:del>
    </w:p>
    <w:p w14:paraId="05190788" w14:textId="15859525" w:rsidR="00851837" w:rsidRPr="00EF12DF" w:rsidRDefault="00E453CD" w:rsidP="00851837">
      <w:pPr>
        <w:rPr>
          <w:del w:id="12140" w:author="AbbVie02no" w:date="2025-05-15T13:53:00Z"/>
          <w:sz w:val="22"/>
          <w:szCs w:val="22"/>
        </w:rPr>
      </w:pPr>
      <w:del w:id="12141" w:author="AbbVie02no" w:date="2025-05-15T13:53:00Z">
        <w:r w:rsidRPr="00EF12DF">
          <w:rPr>
            <w:sz w:val="22"/>
            <w:szCs w:val="22"/>
          </w:rPr>
          <w:delText>Knollstrasse</w:delText>
        </w:r>
      </w:del>
    </w:p>
    <w:p w14:paraId="2C42A7D3" w14:textId="589F2CBF" w:rsidR="00851837" w:rsidRPr="00EF12DF" w:rsidRDefault="00E453CD" w:rsidP="00851837">
      <w:pPr>
        <w:rPr>
          <w:del w:id="12142" w:author="AbbVie02no" w:date="2025-05-15T13:53:00Z"/>
          <w:sz w:val="22"/>
          <w:szCs w:val="22"/>
        </w:rPr>
      </w:pPr>
      <w:del w:id="12143" w:author="AbbVie02no" w:date="2025-05-15T13:53:00Z">
        <w:r w:rsidRPr="00EF12DF">
          <w:rPr>
            <w:sz w:val="22"/>
            <w:szCs w:val="22"/>
          </w:rPr>
          <w:delText>67061 Ludwigshafen</w:delText>
        </w:r>
      </w:del>
    </w:p>
    <w:p w14:paraId="142D2511" w14:textId="0D868443" w:rsidR="00851837" w:rsidRPr="009C5EFD" w:rsidRDefault="00E453CD" w:rsidP="00851837">
      <w:pPr>
        <w:rPr>
          <w:del w:id="12144" w:author="AbbVie02no" w:date="2025-05-15T13:53:00Z"/>
          <w:sz w:val="22"/>
          <w:szCs w:val="22"/>
        </w:rPr>
      </w:pPr>
      <w:del w:id="12145" w:author="AbbVie02no" w:date="2025-05-15T13:53:00Z">
        <w:r>
          <w:rPr>
            <w:sz w:val="22"/>
            <w:szCs w:val="22"/>
          </w:rPr>
          <w:delText>Tyskland</w:delText>
        </w:r>
      </w:del>
    </w:p>
    <w:p w14:paraId="22F3C7BB" w14:textId="7C8CC1FF" w:rsidR="00DE3458" w:rsidRPr="003F000C" w:rsidRDefault="00DE3458" w:rsidP="009C5EFD">
      <w:pPr>
        <w:suppressAutoHyphens/>
        <w:rPr>
          <w:del w:id="12146" w:author="AbbVie02no" w:date="2025-05-15T13:53:00Z"/>
          <w:sz w:val="22"/>
          <w:szCs w:val="22"/>
          <w:lang w:val="sv-SE"/>
        </w:rPr>
      </w:pPr>
    </w:p>
    <w:p w14:paraId="7D422081" w14:textId="3EFB54AA" w:rsidR="00DE3458" w:rsidRPr="003F000C" w:rsidRDefault="00DE3458" w:rsidP="009C5EFD">
      <w:pPr>
        <w:suppressAutoHyphens/>
        <w:rPr>
          <w:del w:id="12147" w:author="AbbVie02no" w:date="2025-05-15T13:53:00Z"/>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C67A563" w14:textId="082123B2" w:rsidTr="00506C98">
        <w:trPr>
          <w:del w:id="12148" w:author="AbbVie02no" w:date="2025-05-15T13:53:00Z"/>
        </w:trPr>
        <w:tc>
          <w:tcPr>
            <w:tcW w:w="9281" w:type="dxa"/>
          </w:tcPr>
          <w:p w14:paraId="6CE5F151" w14:textId="199F1CD0" w:rsidR="00730B89" w:rsidRPr="009C5EFD" w:rsidRDefault="00E453CD" w:rsidP="00506C98">
            <w:pPr>
              <w:ind w:left="567" w:hanging="567"/>
              <w:rPr>
                <w:del w:id="12149" w:author="AbbVie02no" w:date="2025-05-15T13:53:00Z"/>
                <w:b/>
                <w:sz w:val="22"/>
                <w:szCs w:val="22"/>
              </w:rPr>
            </w:pPr>
            <w:del w:id="12150" w:author="AbbVie02no" w:date="2025-05-15T13:53:00Z">
              <w:r w:rsidRPr="009C5EFD">
                <w:rPr>
                  <w:b/>
                  <w:sz w:val="22"/>
                  <w:szCs w:val="22"/>
                </w:rPr>
                <w:delText>12.</w:delText>
              </w:r>
              <w:r w:rsidRPr="009C5EFD">
                <w:rPr>
                  <w:b/>
                  <w:sz w:val="22"/>
                  <w:szCs w:val="22"/>
                </w:rPr>
                <w:tab/>
                <w:delText>MARKEDSFØRINGSTILLATELSESNUMMER (NUMRE)</w:delText>
              </w:r>
            </w:del>
          </w:p>
        </w:tc>
      </w:tr>
    </w:tbl>
    <w:p w14:paraId="3F40B5A2" w14:textId="7A6305C1" w:rsidR="00DE3458" w:rsidRPr="009C5EFD" w:rsidRDefault="00DE3458" w:rsidP="007F67EE">
      <w:pPr>
        <w:suppressAutoHyphens/>
        <w:ind w:left="54"/>
        <w:rPr>
          <w:del w:id="12151" w:author="AbbVie02no" w:date="2025-05-15T13:53:00Z"/>
          <w:sz w:val="22"/>
          <w:szCs w:val="22"/>
        </w:rPr>
      </w:pPr>
    </w:p>
    <w:p w14:paraId="3084EC8E" w14:textId="1DC355A8" w:rsidR="00DE3458" w:rsidRDefault="00E453CD" w:rsidP="00193D76">
      <w:pPr>
        <w:suppressAutoHyphens/>
        <w:ind w:left="482" w:hanging="425"/>
        <w:rPr>
          <w:del w:id="12152" w:author="AbbVie02no" w:date="2025-05-15T13:53:00Z"/>
          <w:sz w:val="22"/>
          <w:szCs w:val="22"/>
        </w:rPr>
      </w:pPr>
      <w:del w:id="12153" w:author="AbbVie02no" w:date="2025-05-15T13:53:00Z">
        <w:r w:rsidRPr="009C5EFD">
          <w:rPr>
            <w:sz w:val="22"/>
            <w:szCs w:val="22"/>
          </w:rPr>
          <w:delText>EU/1/03/256/002</w:delText>
        </w:r>
      </w:del>
    </w:p>
    <w:p w14:paraId="7673E238" w14:textId="1AD35544" w:rsidR="0038522A" w:rsidRPr="00AB7697" w:rsidRDefault="00E453CD" w:rsidP="00193D76">
      <w:pPr>
        <w:suppressAutoHyphens/>
        <w:ind w:left="482" w:hanging="425"/>
        <w:rPr>
          <w:del w:id="12154" w:author="AbbVie02no" w:date="2025-05-15T13:53:00Z"/>
          <w:sz w:val="22"/>
          <w:szCs w:val="22"/>
          <w:highlight w:val="lightGray"/>
        </w:rPr>
      </w:pPr>
      <w:del w:id="12155" w:author="AbbVie02no" w:date="2025-05-15T13:53:00Z">
        <w:r w:rsidRPr="00AB7697">
          <w:rPr>
            <w:sz w:val="22"/>
            <w:szCs w:val="22"/>
            <w:highlight w:val="lightGray"/>
          </w:rPr>
          <w:delText>EU/1/03/256/003</w:delText>
        </w:r>
      </w:del>
    </w:p>
    <w:p w14:paraId="56BA67FE" w14:textId="5A7515AA" w:rsidR="0038522A" w:rsidRPr="00AB7697" w:rsidRDefault="00E453CD" w:rsidP="00193D76">
      <w:pPr>
        <w:suppressAutoHyphens/>
        <w:ind w:left="482" w:hanging="425"/>
        <w:rPr>
          <w:del w:id="12156" w:author="AbbVie02no" w:date="2025-05-15T13:53:00Z"/>
          <w:sz w:val="22"/>
          <w:szCs w:val="22"/>
          <w:highlight w:val="lightGray"/>
        </w:rPr>
      </w:pPr>
      <w:del w:id="12157" w:author="AbbVie02no" w:date="2025-05-15T13:53:00Z">
        <w:r w:rsidRPr="00AB7697">
          <w:rPr>
            <w:sz w:val="22"/>
            <w:szCs w:val="22"/>
            <w:highlight w:val="lightGray"/>
          </w:rPr>
          <w:delText>EU/1/03/256/004</w:delText>
        </w:r>
      </w:del>
    </w:p>
    <w:p w14:paraId="4834599C" w14:textId="4B5FF147" w:rsidR="0038522A" w:rsidRDefault="00E453CD" w:rsidP="00193D76">
      <w:pPr>
        <w:suppressAutoHyphens/>
        <w:ind w:left="482" w:hanging="425"/>
        <w:rPr>
          <w:del w:id="12158" w:author="AbbVie02no" w:date="2025-05-15T13:53:00Z"/>
          <w:sz w:val="22"/>
          <w:szCs w:val="22"/>
        </w:rPr>
      </w:pPr>
      <w:del w:id="12159" w:author="AbbVie02no" w:date="2025-05-15T13:53:00Z">
        <w:r w:rsidRPr="00AB7697">
          <w:rPr>
            <w:sz w:val="22"/>
            <w:szCs w:val="22"/>
            <w:highlight w:val="lightGray"/>
          </w:rPr>
          <w:delText>EU/1/03/256/005</w:delText>
        </w:r>
      </w:del>
    </w:p>
    <w:p w14:paraId="1B5E8373" w14:textId="3AB80CCE" w:rsidR="0038522A" w:rsidRPr="009C5EFD" w:rsidRDefault="0038522A" w:rsidP="00193D76">
      <w:pPr>
        <w:suppressAutoHyphens/>
        <w:ind w:left="482" w:hanging="425"/>
        <w:rPr>
          <w:del w:id="12160" w:author="AbbVie02no" w:date="2025-05-15T13:53:00Z"/>
          <w:sz w:val="22"/>
          <w:szCs w:val="22"/>
        </w:rPr>
      </w:pPr>
    </w:p>
    <w:p w14:paraId="13E59B16" w14:textId="41D016C6" w:rsidR="00DE3458" w:rsidRPr="009C5EFD" w:rsidRDefault="00DE3458" w:rsidP="00C07C98">
      <w:pPr>
        <w:ind w:left="54"/>
        <w:rPr>
          <w:del w:id="12161"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91EF084" w14:textId="325490A8">
        <w:trPr>
          <w:del w:id="12162" w:author="AbbVie02no" w:date="2025-05-15T13:53:00Z"/>
        </w:trPr>
        <w:tc>
          <w:tcPr>
            <w:tcW w:w="9281" w:type="dxa"/>
          </w:tcPr>
          <w:p w14:paraId="6A7B5955" w14:textId="7F3F16A4" w:rsidR="00DE3458" w:rsidRPr="009C5EFD" w:rsidRDefault="00E453CD" w:rsidP="00E14E58">
            <w:pPr>
              <w:ind w:left="567" w:hanging="567"/>
              <w:rPr>
                <w:del w:id="12163" w:author="AbbVie02no" w:date="2025-05-15T13:53:00Z"/>
                <w:b/>
                <w:sz w:val="22"/>
                <w:szCs w:val="22"/>
              </w:rPr>
            </w:pPr>
            <w:del w:id="12164" w:author="AbbVie02no" w:date="2025-05-15T13:53:00Z">
              <w:r w:rsidRPr="009C5EFD">
                <w:rPr>
                  <w:b/>
                  <w:sz w:val="22"/>
                  <w:szCs w:val="22"/>
                </w:rPr>
                <w:delText>13.</w:delText>
              </w:r>
              <w:r w:rsidRPr="009C5EFD">
                <w:rPr>
                  <w:b/>
                  <w:sz w:val="22"/>
                  <w:szCs w:val="22"/>
                </w:rPr>
                <w:tab/>
                <w:delText>PRODUKSJONSNUMMER</w:delText>
              </w:r>
            </w:del>
          </w:p>
        </w:tc>
      </w:tr>
    </w:tbl>
    <w:p w14:paraId="52FDBB3D" w14:textId="713E5944" w:rsidR="00DE3458" w:rsidRPr="009C5EFD" w:rsidRDefault="00DE3458" w:rsidP="007F67EE">
      <w:pPr>
        <w:ind w:left="54"/>
        <w:rPr>
          <w:del w:id="12165" w:author="AbbVie02no" w:date="2025-05-15T13:53:00Z"/>
          <w:sz w:val="22"/>
          <w:szCs w:val="22"/>
        </w:rPr>
      </w:pPr>
    </w:p>
    <w:p w14:paraId="6B04F158" w14:textId="3A17A19E" w:rsidR="00DE3458" w:rsidRPr="009C5EFD" w:rsidRDefault="00E453CD" w:rsidP="00193D76">
      <w:pPr>
        <w:ind w:left="57"/>
        <w:rPr>
          <w:del w:id="12166" w:author="AbbVie02no" w:date="2025-05-15T13:53:00Z"/>
          <w:sz w:val="22"/>
          <w:szCs w:val="22"/>
        </w:rPr>
      </w:pPr>
      <w:del w:id="12167" w:author="AbbVie02no" w:date="2025-05-15T13:53:00Z">
        <w:r w:rsidRPr="009C5EFD">
          <w:rPr>
            <w:sz w:val="22"/>
            <w:szCs w:val="22"/>
          </w:rPr>
          <w:delText>Lot</w:delText>
        </w:r>
      </w:del>
    </w:p>
    <w:p w14:paraId="37ABA32C" w14:textId="379FEC43" w:rsidR="00DE3458" w:rsidRPr="009C5EFD" w:rsidRDefault="00DE3458" w:rsidP="002D0790">
      <w:pPr>
        <w:ind w:left="54"/>
        <w:rPr>
          <w:del w:id="12168" w:author="AbbVie02no" w:date="2025-05-15T13:53:00Z"/>
          <w:sz w:val="22"/>
          <w:szCs w:val="22"/>
        </w:rPr>
      </w:pPr>
    </w:p>
    <w:p w14:paraId="4E9F9F88" w14:textId="0D379338" w:rsidR="00DE3458" w:rsidRPr="009C5EFD" w:rsidRDefault="00DE3458" w:rsidP="00C07C98">
      <w:pPr>
        <w:ind w:left="54"/>
        <w:rPr>
          <w:del w:id="1216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B25971A" w14:textId="00BF196D">
        <w:trPr>
          <w:del w:id="12170" w:author="AbbVie02no" w:date="2025-05-15T13:53:00Z"/>
        </w:trPr>
        <w:tc>
          <w:tcPr>
            <w:tcW w:w="9281" w:type="dxa"/>
          </w:tcPr>
          <w:p w14:paraId="5CB8085C" w14:textId="2A7FB7E8" w:rsidR="00DE3458" w:rsidRPr="009C5EFD" w:rsidRDefault="00E453CD" w:rsidP="00E14E58">
            <w:pPr>
              <w:ind w:left="567" w:hanging="567"/>
              <w:rPr>
                <w:del w:id="12171" w:author="AbbVie02no" w:date="2025-05-15T13:53:00Z"/>
                <w:b/>
                <w:sz w:val="22"/>
                <w:szCs w:val="22"/>
              </w:rPr>
            </w:pPr>
            <w:del w:id="12172" w:author="AbbVie02no" w:date="2025-05-15T13:53:00Z">
              <w:r w:rsidRPr="009C5EFD">
                <w:rPr>
                  <w:b/>
                  <w:sz w:val="22"/>
                  <w:szCs w:val="22"/>
                </w:rPr>
                <w:delText>14.</w:delText>
              </w:r>
              <w:r w:rsidRPr="009C5EFD">
                <w:rPr>
                  <w:b/>
                  <w:sz w:val="22"/>
                  <w:szCs w:val="22"/>
                </w:rPr>
                <w:tab/>
                <w:delText>GENERELL KLASSIFIKASJON FOR UTLEVERING</w:delText>
              </w:r>
            </w:del>
          </w:p>
        </w:tc>
      </w:tr>
    </w:tbl>
    <w:p w14:paraId="0C228695" w14:textId="3E3F0B6B" w:rsidR="00DE3458" w:rsidRPr="009C5EFD" w:rsidRDefault="00DE3458" w:rsidP="002D0790">
      <w:pPr>
        <w:suppressAutoHyphens/>
        <w:ind w:left="774" w:hanging="720"/>
        <w:rPr>
          <w:del w:id="12173" w:author="AbbVie02no" w:date="2025-05-15T13:53:00Z"/>
          <w:sz w:val="22"/>
          <w:szCs w:val="22"/>
        </w:rPr>
      </w:pPr>
    </w:p>
    <w:p w14:paraId="2391B635" w14:textId="13A5D0C8" w:rsidR="00DE3458" w:rsidRPr="009C5EFD" w:rsidRDefault="00DE3458" w:rsidP="00C07C98">
      <w:pPr>
        <w:suppressAutoHyphens/>
        <w:ind w:left="774" w:hanging="720"/>
        <w:rPr>
          <w:del w:id="12174"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E27E1B3" w14:textId="60794F99">
        <w:trPr>
          <w:del w:id="12175" w:author="AbbVie02no" w:date="2025-05-15T13:53:00Z"/>
        </w:trPr>
        <w:tc>
          <w:tcPr>
            <w:tcW w:w="9281" w:type="dxa"/>
          </w:tcPr>
          <w:p w14:paraId="2807CBF3" w14:textId="570E73B2" w:rsidR="00DE3458" w:rsidRPr="009C5EFD" w:rsidRDefault="00E453CD" w:rsidP="00E14E58">
            <w:pPr>
              <w:ind w:left="567" w:hanging="567"/>
              <w:rPr>
                <w:del w:id="12176" w:author="AbbVie02no" w:date="2025-05-15T13:53:00Z"/>
                <w:b/>
                <w:sz w:val="22"/>
                <w:szCs w:val="22"/>
              </w:rPr>
            </w:pPr>
            <w:del w:id="12177" w:author="AbbVie02no" w:date="2025-05-15T13:53:00Z">
              <w:r w:rsidRPr="009C5EFD">
                <w:rPr>
                  <w:b/>
                  <w:sz w:val="22"/>
                  <w:szCs w:val="22"/>
                </w:rPr>
                <w:delText>15.</w:delText>
              </w:r>
              <w:r w:rsidRPr="009C5EFD">
                <w:rPr>
                  <w:b/>
                  <w:sz w:val="22"/>
                  <w:szCs w:val="22"/>
                </w:rPr>
                <w:tab/>
                <w:delText>BRUKSANVISNING</w:delText>
              </w:r>
            </w:del>
          </w:p>
        </w:tc>
      </w:tr>
    </w:tbl>
    <w:p w14:paraId="6B0A613F" w14:textId="28EF9BEA" w:rsidR="00DE3458" w:rsidRPr="00D968A3" w:rsidRDefault="00DE3458" w:rsidP="001F5D4B">
      <w:pPr>
        <w:ind w:left="54"/>
        <w:rPr>
          <w:del w:id="12178" w:author="AbbVie02no" w:date="2025-05-15T13:53:00Z"/>
          <w:sz w:val="22"/>
          <w:szCs w:val="22"/>
        </w:rPr>
      </w:pPr>
    </w:p>
    <w:p w14:paraId="0841AA32" w14:textId="0B3D391A" w:rsidR="00DE3458" w:rsidRPr="00D968A3" w:rsidRDefault="00DE3458" w:rsidP="001F5D4B">
      <w:pPr>
        <w:ind w:left="54"/>
        <w:rPr>
          <w:del w:id="12179" w:author="AbbVie02no" w:date="2025-05-15T13:53: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ECB957D" w14:textId="1C70C2D0">
        <w:trPr>
          <w:del w:id="12180" w:author="AbbVie02no" w:date="2025-05-15T13:53:00Z"/>
        </w:trPr>
        <w:tc>
          <w:tcPr>
            <w:tcW w:w="9281" w:type="dxa"/>
          </w:tcPr>
          <w:p w14:paraId="5A2B00D3" w14:textId="73C30A58" w:rsidR="00DE3458" w:rsidRPr="009C5EFD" w:rsidRDefault="00E453CD" w:rsidP="007F67EE">
            <w:pPr>
              <w:ind w:left="567" w:hanging="567"/>
              <w:rPr>
                <w:del w:id="12181" w:author="AbbVie02no" w:date="2025-05-15T13:53:00Z"/>
                <w:b/>
                <w:sz w:val="22"/>
                <w:szCs w:val="22"/>
              </w:rPr>
            </w:pPr>
            <w:del w:id="12182" w:author="AbbVie02no" w:date="2025-05-15T13:53:00Z">
              <w:r w:rsidRPr="009C5EFD">
                <w:rPr>
                  <w:b/>
                  <w:sz w:val="22"/>
                  <w:szCs w:val="22"/>
                </w:rPr>
                <w:delText>16.</w:delText>
              </w:r>
              <w:r w:rsidRPr="009C5EFD">
                <w:rPr>
                  <w:b/>
                  <w:sz w:val="22"/>
                  <w:szCs w:val="22"/>
                </w:rPr>
                <w:tab/>
                <w:delText>INFORMASJON PÅ BLINDESKRIFT</w:delText>
              </w:r>
            </w:del>
          </w:p>
        </w:tc>
      </w:tr>
    </w:tbl>
    <w:p w14:paraId="2332B966" w14:textId="2CEE6E52" w:rsidR="00DE3458" w:rsidRPr="00D968A3" w:rsidRDefault="00DE3458" w:rsidP="001F5D4B">
      <w:pPr>
        <w:ind w:left="54"/>
        <w:rPr>
          <w:del w:id="12183" w:author="AbbVie02no" w:date="2025-05-15T13:53:00Z"/>
          <w:sz w:val="22"/>
          <w:szCs w:val="22"/>
        </w:rPr>
      </w:pPr>
    </w:p>
    <w:p w14:paraId="6BFF417D" w14:textId="256CF2A9" w:rsidR="0008045C" w:rsidRDefault="00E453CD" w:rsidP="001F5D4B">
      <w:pPr>
        <w:ind w:left="54"/>
        <w:rPr>
          <w:del w:id="12184" w:author="AbbVie02no" w:date="2025-05-15T13:53:00Z"/>
          <w:sz w:val="22"/>
          <w:szCs w:val="22"/>
        </w:rPr>
      </w:pPr>
      <w:del w:id="12185" w:author="AbbVie02no" w:date="2025-05-15T13:53:00Z">
        <w:r w:rsidRPr="009C5EFD">
          <w:rPr>
            <w:sz w:val="22"/>
            <w:szCs w:val="22"/>
          </w:rPr>
          <w:delText>Humira 40</w:delText>
        </w:r>
        <w:r w:rsidR="0021248D">
          <w:rPr>
            <w:sz w:val="22"/>
            <w:szCs w:val="22"/>
          </w:rPr>
          <w:delText> </w:delText>
        </w:r>
        <w:r w:rsidRPr="009C5EFD">
          <w:rPr>
            <w:sz w:val="22"/>
            <w:szCs w:val="22"/>
          </w:rPr>
          <w:delText>mg</w:delText>
        </w:r>
      </w:del>
    </w:p>
    <w:p w14:paraId="3A804488" w14:textId="5FA5F4C4" w:rsidR="00E2461F" w:rsidRDefault="00E2461F" w:rsidP="001F5D4B">
      <w:pPr>
        <w:ind w:left="54"/>
        <w:rPr>
          <w:del w:id="12186" w:author="AbbVie02no" w:date="2025-05-15T13:53:00Z"/>
          <w:sz w:val="22"/>
          <w:szCs w:val="22"/>
        </w:rPr>
      </w:pPr>
    </w:p>
    <w:p w14:paraId="65D1F370" w14:textId="7CABE5F5" w:rsidR="00E2461F" w:rsidRPr="001E2ACA" w:rsidRDefault="00E2461F" w:rsidP="00E2461F">
      <w:pPr>
        <w:tabs>
          <w:tab w:val="left" w:pos="562"/>
        </w:tabs>
        <w:suppressAutoHyphens/>
        <w:ind w:left="540" w:hanging="540"/>
        <w:rPr>
          <w:del w:id="12187" w:author="AbbVie02no" w:date="2025-05-15T13:53:00Z"/>
          <w:sz w:val="22"/>
          <w:lang w:val="en-GB"/>
        </w:rPr>
      </w:pPr>
    </w:p>
    <w:p w14:paraId="42750E51" w14:textId="46C64CD1" w:rsidR="00E2461F" w:rsidRPr="00126088" w:rsidRDefault="00E453CD" w:rsidP="00E2461F">
      <w:pPr>
        <w:pBdr>
          <w:top w:val="single" w:sz="4" w:space="1" w:color="auto"/>
          <w:left w:val="single" w:sz="4" w:space="4" w:color="auto"/>
          <w:bottom w:val="single" w:sz="4" w:space="1" w:color="auto"/>
          <w:right w:val="single" w:sz="4" w:space="4" w:color="auto"/>
        </w:pBdr>
        <w:tabs>
          <w:tab w:val="left" w:pos="562"/>
        </w:tabs>
        <w:suppressAutoHyphens/>
        <w:rPr>
          <w:del w:id="12188" w:author="AbbVie02no" w:date="2025-05-15T13:53:00Z"/>
          <w:b/>
          <w:bCs/>
          <w:caps/>
          <w:sz w:val="22"/>
          <w:szCs w:val="20"/>
        </w:rPr>
      </w:pPr>
      <w:del w:id="12189" w:author="AbbVie02no" w:date="2025-05-15T13:53:00Z">
        <w:r w:rsidRPr="00F05EB5">
          <w:rPr>
            <w:b/>
            <w:bCs/>
            <w:caps/>
            <w:sz w:val="22"/>
            <w:szCs w:val="20"/>
          </w:rPr>
          <w:delText xml:space="preserve">17. </w:delText>
        </w:r>
        <w:r w:rsidRPr="00F05EB5">
          <w:rPr>
            <w:b/>
            <w:bCs/>
            <w:caps/>
            <w:sz w:val="22"/>
            <w:szCs w:val="20"/>
          </w:rPr>
          <w:tab/>
        </w:r>
        <w:r w:rsidRPr="00126088">
          <w:rPr>
            <w:b/>
            <w:bCs/>
            <w:caps/>
            <w:sz w:val="22"/>
            <w:szCs w:val="20"/>
          </w:rPr>
          <w:delText>SIKKERHETSANORDNING (UNIK IDENTITET) – TODIMENSJONAL STREKKODE</w:delText>
        </w:r>
      </w:del>
    </w:p>
    <w:p w14:paraId="1FB31238" w14:textId="407DB87B" w:rsidR="00E2461F" w:rsidRPr="00126088" w:rsidRDefault="00E2461F" w:rsidP="00E2461F">
      <w:pPr>
        <w:tabs>
          <w:tab w:val="left" w:pos="562"/>
        </w:tabs>
        <w:suppressAutoHyphens/>
        <w:rPr>
          <w:del w:id="12190" w:author="AbbVie02no" w:date="2025-05-15T13:53:00Z"/>
          <w:sz w:val="22"/>
        </w:rPr>
      </w:pPr>
    </w:p>
    <w:p w14:paraId="33CEAB30" w14:textId="126F5911" w:rsidR="00E2461F" w:rsidRPr="00F05EB5" w:rsidRDefault="00E453CD" w:rsidP="00E2461F">
      <w:pPr>
        <w:tabs>
          <w:tab w:val="left" w:pos="562"/>
        </w:tabs>
        <w:suppressAutoHyphens/>
        <w:rPr>
          <w:del w:id="12191" w:author="AbbVie02no" w:date="2025-05-15T13:53:00Z"/>
          <w:sz w:val="22"/>
          <w:shd w:val="clear" w:color="auto" w:fill="BFBFBF"/>
        </w:rPr>
      </w:pPr>
      <w:del w:id="12192" w:author="AbbVie02no" w:date="2025-05-15T13:53:00Z">
        <w:r w:rsidRPr="00F05EB5">
          <w:rPr>
            <w:sz w:val="22"/>
            <w:shd w:val="clear" w:color="auto" w:fill="BFBFBF"/>
          </w:rPr>
          <w:delText>Todimensjonal strekkode, inkludert unik identitet</w:delText>
        </w:r>
        <w:r w:rsidR="00C91246">
          <w:rPr>
            <w:sz w:val="22"/>
            <w:shd w:val="clear" w:color="auto" w:fill="BFBFBF"/>
          </w:rPr>
          <w:delText>.</w:delText>
        </w:r>
      </w:del>
    </w:p>
    <w:p w14:paraId="1A8A16CC" w14:textId="54B8A270" w:rsidR="00E2461F" w:rsidRDefault="00E2461F" w:rsidP="00E2461F">
      <w:pPr>
        <w:tabs>
          <w:tab w:val="left" w:pos="562"/>
        </w:tabs>
        <w:suppressAutoHyphens/>
        <w:rPr>
          <w:del w:id="12193" w:author="AbbVie02no" w:date="2025-05-15T13:53:00Z"/>
          <w:sz w:val="22"/>
          <w:shd w:val="clear" w:color="auto" w:fill="BFBFBF"/>
        </w:rPr>
      </w:pPr>
    </w:p>
    <w:p w14:paraId="3E995917" w14:textId="4A3C848B" w:rsidR="007E595C" w:rsidRPr="00F05EB5" w:rsidRDefault="007E595C" w:rsidP="00E2461F">
      <w:pPr>
        <w:tabs>
          <w:tab w:val="left" w:pos="562"/>
        </w:tabs>
        <w:suppressAutoHyphens/>
        <w:rPr>
          <w:del w:id="12194" w:author="AbbVie02no" w:date="2025-05-15T13:53:00Z"/>
          <w:sz w:val="22"/>
          <w:shd w:val="clear" w:color="auto" w:fill="BFBFBF"/>
        </w:rPr>
      </w:pPr>
    </w:p>
    <w:p w14:paraId="1BFB9E0D" w14:textId="62CFA7EE" w:rsidR="00E2461F" w:rsidRPr="00126088" w:rsidRDefault="00E453CD" w:rsidP="00E2461F">
      <w:pPr>
        <w:keepNext/>
        <w:pBdr>
          <w:top w:val="single" w:sz="4" w:space="1" w:color="auto"/>
          <w:left w:val="single" w:sz="4" w:space="4" w:color="auto"/>
          <w:bottom w:val="single" w:sz="4" w:space="1" w:color="auto"/>
          <w:right w:val="single" w:sz="4" w:space="4" w:color="auto"/>
        </w:pBdr>
        <w:tabs>
          <w:tab w:val="left" w:pos="562"/>
        </w:tabs>
        <w:suppressAutoHyphens/>
        <w:rPr>
          <w:del w:id="12195" w:author="AbbVie02no" w:date="2025-05-15T13:53:00Z"/>
          <w:rFonts w:ascii="Times New Roman Bold" w:hAnsi="Times New Roman Bold"/>
          <w:caps/>
          <w:sz w:val="22"/>
          <w:szCs w:val="20"/>
        </w:rPr>
      </w:pPr>
      <w:del w:id="12196" w:author="AbbVie02no" w:date="2025-05-15T13:53:00Z">
        <w:r w:rsidRPr="00F05EB5">
          <w:rPr>
            <w:b/>
            <w:bCs/>
            <w:caps/>
            <w:sz w:val="22"/>
            <w:szCs w:val="20"/>
          </w:rPr>
          <w:lastRenderedPageBreak/>
          <w:delText xml:space="preserve">18. </w:delText>
        </w:r>
        <w:r w:rsidRPr="00F05EB5">
          <w:rPr>
            <w:b/>
            <w:bCs/>
            <w:caps/>
            <w:sz w:val="22"/>
            <w:szCs w:val="20"/>
          </w:rPr>
          <w:tab/>
        </w:r>
        <w:r w:rsidRPr="00126088">
          <w:rPr>
            <w:b/>
            <w:bCs/>
            <w:caps/>
            <w:sz w:val="22"/>
            <w:szCs w:val="20"/>
          </w:rPr>
          <w:delText>SIKKERHETSANORDNING (UNIK IDENTITET) – I ET FORMAT LESBART FOR MENNESKER</w:delText>
        </w:r>
      </w:del>
    </w:p>
    <w:p w14:paraId="1EEB1245" w14:textId="536A4E65" w:rsidR="00E2461F" w:rsidRPr="00126088" w:rsidRDefault="00E2461F" w:rsidP="00E2461F">
      <w:pPr>
        <w:keepNext/>
        <w:tabs>
          <w:tab w:val="left" w:pos="562"/>
        </w:tabs>
        <w:suppressAutoHyphens/>
        <w:ind w:left="540" w:hanging="540"/>
        <w:rPr>
          <w:del w:id="12197" w:author="AbbVie02no" w:date="2025-05-15T13:53:00Z"/>
          <w:sz w:val="22"/>
        </w:rPr>
      </w:pPr>
    </w:p>
    <w:p w14:paraId="3B28A7B9" w14:textId="48B831F5" w:rsidR="00E2461F" w:rsidRPr="001E2ACA" w:rsidRDefault="00E453CD" w:rsidP="00E2461F">
      <w:pPr>
        <w:keepNext/>
        <w:tabs>
          <w:tab w:val="left" w:pos="562"/>
        </w:tabs>
        <w:suppressAutoHyphens/>
        <w:ind w:left="540" w:hanging="540"/>
        <w:rPr>
          <w:del w:id="12198" w:author="AbbVie02no" w:date="2025-05-15T13:53:00Z"/>
          <w:sz w:val="22"/>
          <w:lang w:val="en-GB"/>
        </w:rPr>
      </w:pPr>
      <w:del w:id="12199" w:author="AbbVie02no" w:date="2025-05-15T13:53:00Z">
        <w:r w:rsidRPr="001E2ACA">
          <w:rPr>
            <w:sz w:val="22"/>
            <w:lang w:val="en-GB"/>
          </w:rPr>
          <w:delText>PC</w:delText>
        </w:r>
      </w:del>
    </w:p>
    <w:p w14:paraId="21B74910" w14:textId="79EA09B1" w:rsidR="00E2461F" w:rsidRPr="001E2ACA" w:rsidRDefault="00E453CD" w:rsidP="00E2461F">
      <w:pPr>
        <w:keepNext/>
        <w:tabs>
          <w:tab w:val="left" w:pos="562"/>
        </w:tabs>
        <w:suppressAutoHyphens/>
        <w:ind w:left="540" w:hanging="540"/>
        <w:rPr>
          <w:del w:id="12200" w:author="AbbVie02no" w:date="2025-05-15T13:53:00Z"/>
          <w:sz w:val="22"/>
          <w:lang w:val="en-GB"/>
        </w:rPr>
      </w:pPr>
      <w:del w:id="12201" w:author="AbbVie02no" w:date="2025-05-15T13:53:00Z">
        <w:r w:rsidRPr="001E2ACA">
          <w:rPr>
            <w:sz w:val="22"/>
            <w:lang w:val="en-GB"/>
          </w:rPr>
          <w:delText>SN</w:delText>
        </w:r>
      </w:del>
    </w:p>
    <w:p w14:paraId="0F7AB106" w14:textId="202B04AF" w:rsidR="00DE3458" w:rsidRPr="009C5EFD" w:rsidRDefault="00E453CD" w:rsidP="005A1DEF">
      <w:pPr>
        <w:rPr>
          <w:del w:id="12202" w:author="AbbVie02no" w:date="2025-05-15T13:53:00Z"/>
          <w:sz w:val="22"/>
          <w:szCs w:val="22"/>
        </w:rPr>
      </w:pPr>
      <w:del w:id="12203" w:author="AbbVie02no" w:date="2025-05-15T13:53:00Z">
        <w:r w:rsidRPr="006936CB">
          <w:rPr>
            <w:sz w:val="22"/>
            <w:highlight w:val="lightGray"/>
            <w:lang w:val="en-GB"/>
          </w:rPr>
          <w:delText>NN</w:delText>
        </w:r>
        <w:r w:rsidRPr="009C5EFD">
          <w:rPr>
            <w:b/>
            <w:sz w:val="22"/>
            <w:szCs w:val="22"/>
          </w:rPr>
          <w:br w:type="page"/>
        </w:r>
      </w:del>
    </w:p>
    <w:p w14:paraId="70E5EE38" w14:textId="393FB5F7" w:rsidR="00DE3458" w:rsidRPr="009C5EFD" w:rsidRDefault="00DE3458" w:rsidP="005A1DEF">
      <w:pPr>
        <w:rPr>
          <w:del w:id="12204" w:author="AbbVie02no" w:date="2025-05-15T13:55: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08E9803" w14:textId="4746D904">
        <w:trPr>
          <w:del w:id="12205" w:author="AbbVie02no" w:date="2025-05-15T13:55:00Z"/>
        </w:trPr>
        <w:tc>
          <w:tcPr>
            <w:tcW w:w="9281" w:type="dxa"/>
          </w:tcPr>
          <w:p w14:paraId="3FF0DFA4" w14:textId="5BF5D5DA" w:rsidR="00DE3458" w:rsidRPr="009C5EFD" w:rsidRDefault="00E453CD" w:rsidP="00193D76">
            <w:pPr>
              <w:rPr>
                <w:del w:id="12206" w:author="AbbVie02no" w:date="2025-05-15T13:55:00Z"/>
                <w:b/>
                <w:sz w:val="22"/>
                <w:szCs w:val="22"/>
              </w:rPr>
            </w:pPr>
            <w:del w:id="12207" w:author="AbbVie02no" w:date="2025-05-15T13:55:00Z">
              <w:r w:rsidRPr="009C5EFD">
                <w:rPr>
                  <w:b/>
                  <w:sz w:val="22"/>
                  <w:szCs w:val="22"/>
                </w:rPr>
                <w:delText>MINSTEKRAV TIL OPPLYSNINGER SOM SKAL ANGIS PÅ BLISTER</w:delText>
              </w:r>
              <w:r w:rsidR="000629D5">
                <w:rPr>
                  <w:b/>
                  <w:sz w:val="22"/>
                  <w:szCs w:val="22"/>
                </w:rPr>
                <w:delText xml:space="preserve"> ELLER STRIP</w:delText>
              </w:r>
            </w:del>
          </w:p>
          <w:p w14:paraId="16C075D1" w14:textId="0119EF54" w:rsidR="00DE3458" w:rsidRPr="009C5EFD" w:rsidRDefault="00DE3458" w:rsidP="002D0790">
            <w:pPr>
              <w:rPr>
                <w:del w:id="12208" w:author="AbbVie02no" w:date="2025-05-15T13:55:00Z"/>
                <w:b/>
                <w:sz w:val="22"/>
                <w:szCs w:val="22"/>
              </w:rPr>
            </w:pPr>
          </w:p>
          <w:p w14:paraId="7074813B" w14:textId="35C7A662" w:rsidR="00DE3458" w:rsidRPr="009C5EFD" w:rsidRDefault="00E453CD" w:rsidP="0009620B">
            <w:pPr>
              <w:rPr>
                <w:del w:id="12209" w:author="AbbVie02no" w:date="2025-05-15T13:55:00Z"/>
                <w:b/>
                <w:sz w:val="22"/>
                <w:szCs w:val="22"/>
              </w:rPr>
            </w:pPr>
            <w:del w:id="12210" w:author="AbbVie02no" w:date="2025-05-15T13:55:00Z">
              <w:r w:rsidRPr="009C5EFD">
                <w:rPr>
                  <w:b/>
                  <w:sz w:val="22"/>
                  <w:szCs w:val="22"/>
                </w:rPr>
                <w:delText>T</w:delText>
              </w:r>
              <w:r w:rsidR="0009620B">
                <w:rPr>
                  <w:b/>
                  <w:sz w:val="22"/>
                  <w:szCs w:val="22"/>
                </w:rPr>
                <w:delText>EKST PÅ BRETT</w:delText>
              </w:r>
            </w:del>
          </w:p>
        </w:tc>
      </w:tr>
    </w:tbl>
    <w:p w14:paraId="396A945D" w14:textId="04003903" w:rsidR="00DE3458" w:rsidRPr="009C5EFD" w:rsidRDefault="00DE3458" w:rsidP="007F67EE">
      <w:pPr>
        <w:ind w:left="54"/>
        <w:rPr>
          <w:del w:id="12211" w:author="AbbVie02no" w:date="2025-05-15T13:55:00Z"/>
          <w:sz w:val="22"/>
          <w:szCs w:val="22"/>
        </w:rPr>
      </w:pPr>
    </w:p>
    <w:p w14:paraId="48CA957E" w14:textId="1797D14E" w:rsidR="00DE3458" w:rsidRPr="009C5EFD" w:rsidRDefault="00DE3458" w:rsidP="00193D76">
      <w:pPr>
        <w:ind w:left="621" w:hanging="567"/>
        <w:rPr>
          <w:del w:id="12212" w:author="AbbVie02no" w:date="2025-05-15T13:55: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CAE4E06" w14:textId="7059E1A7">
        <w:trPr>
          <w:del w:id="12213" w:author="AbbVie02no" w:date="2025-05-15T13:55:00Z"/>
        </w:trPr>
        <w:tc>
          <w:tcPr>
            <w:tcW w:w="9281" w:type="dxa"/>
          </w:tcPr>
          <w:p w14:paraId="1ED5D738" w14:textId="1BAA53B4" w:rsidR="00DE3458" w:rsidRPr="009C5EFD" w:rsidRDefault="00E453CD" w:rsidP="002D0790">
            <w:pPr>
              <w:ind w:left="567" w:hanging="567"/>
              <w:rPr>
                <w:del w:id="12214" w:author="AbbVie02no" w:date="2025-05-15T13:55:00Z"/>
                <w:b/>
                <w:sz w:val="22"/>
                <w:szCs w:val="22"/>
              </w:rPr>
            </w:pPr>
            <w:del w:id="12215" w:author="AbbVie02no" w:date="2025-05-15T13:55:00Z">
              <w:r w:rsidRPr="009C5EFD">
                <w:rPr>
                  <w:b/>
                  <w:sz w:val="22"/>
                  <w:szCs w:val="22"/>
                </w:rPr>
                <w:delText>1.</w:delText>
              </w:r>
              <w:r w:rsidRPr="009C5EFD">
                <w:rPr>
                  <w:b/>
                  <w:sz w:val="22"/>
                  <w:szCs w:val="22"/>
                </w:rPr>
                <w:tab/>
                <w:delText>LEGEMIDLETS NAVN</w:delText>
              </w:r>
            </w:del>
          </w:p>
        </w:tc>
      </w:tr>
    </w:tbl>
    <w:p w14:paraId="15F3E505" w14:textId="4332A586" w:rsidR="00DE3458" w:rsidRPr="009C5EFD" w:rsidRDefault="00DE3458" w:rsidP="007F67EE">
      <w:pPr>
        <w:suppressAutoHyphens/>
        <w:ind w:left="54"/>
        <w:rPr>
          <w:del w:id="12216" w:author="AbbVie02no" w:date="2025-05-15T13:55:00Z"/>
          <w:sz w:val="22"/>
          <w:szCs w:val="22"/>
        </w:rPr>
      </w:pPr>
    </w:p>
    <w:p w14:paraId="48A5A411" w14:textId="1C4D33FD" w:rsidR="00DE3458" w:rsidRPr="009C5EFD" w:rsidRDefault="00E453CD" w:rsidP="00193D76">
      <w:pPr>
        <w:suppressAutoHyphens/>
        <w:ind w:left="54"/>
        <w:rPr>
          <w:del w:id="12217" w:author="AbbVie02no" w:date="2025-05-15T13:55:00Z"/>
          <w:sz w:val="22"/>
          <w:szCs w:val="22"/>
        </w:rPr>
      </w:pPr>
      <w:del w:id="12218" w:author="AbbVie02no" w:date="2025-05-15T13:55:00Z">
        <w:r w:rsidRPr="009C5EFD">
          <w:rPr>
            <w:sz w:val="22"/>
            <w:szCs w:val="22"/>
          </w:rPr>
          <w:delText>Humira 40 mg injeksjonsvæske, oppløsning i ferdigfylt sprøyte</w:delText>
        </w:r>
      </w:del>
    </w:p>
    <w:p w14:paraId="1594034F" w14:textId="4718D8B8" w:rsidR="00DE3458" w:rsidRPr="009C5EFD" w:rsidRDefault="00E453CD" w:rsidP="002D0790">
      <w:pPr>
        <w:suppressAutoHyphens/>
        <w:ind w:left="54"/>
        <w:rPr>
          <w:del w:id="12219" w:author="AbbVie02no" w:date="2025-05-15T13:55:00Z"/>
          <w:sz w:val="22"/>
          <w:szCs w:val="22"/>
        </w:rPr>
      </w:pPr>
      <w:del w:id="12220" w:author="AbbVie02no" w:date="2025-05-15T13:55:00Z">
        <w:r w:rsidRPr="009C5EFD">
          <w:rPr>
            <w:sz w:val="22"/>
            <w:szCs w:val="22"/>
          </w:rPr>
          <w:delText>adalimumab</w:delText>
        </w:r>
      </w:del>
    </w:p>
    <w:p w14:paraId="6A4FAD16" w14:textId="1F3EE416" w:rsidR="00DE3458" w:rsidRPr="009C5EFD" w:rsidRDefault="00DE3458" w:rsidP="00C07C98">
      <w:pPr>
        <w:suppressAutoHyphens/>
        <w:ind w:left="54"/>
        <w:rPr>
          <w:del w:id="12221" w:author="AbbVie02no" w:date="2025-05-15T13:55:00Z"/>
          <w:sz w:val="22"/>
          <w:szCs w:val="22"/>
        </w:rPr>
      </w:pPr>
    </w:p>
    <w:p w14:paraId="0DB01876" w14:textId="4AC0E048" w:rsidR="00DE3458" w:rsidRPr="009C5EFD" w:rsidRDefault="00DE3458" w:rsidP="00E14E58">
      <w:pPr>
        <w:suppressAutoHyphens/>
        <w:ind w:left="54"/>
        <w:rPr>
          <w:del w:id="12222"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02359B9" w14:textId="1108AF9F">
        <w:trPr>
          <w:del w:id="12223" w:author="AbbVie02no" w:date="2025-05-15T13:55:00Z"/>
        </w:trPr>
        <w:tc>
          <w:tcPr>
            <w:tcW w:w="9281" w:type="dxa"/>
          </w:tcPr>
          <w:p w14:paraId="37A716D2" w14:textId="2AEAE966" w:rsidR="00DE3458" w:rsidRPr="009C5EFD" w:rsidRDefault="00E453CD" w:rsidP="009C5EFD">
            <w:pPr>
              <w:ind w:left="567" w:hanging="567"/>
              <w:rPr>
                <w:del w:id="12224" w:author="AbbVie02no" w:date="2025-05-15T13:55:00Z"/>
                <w:b/>
                <w:sz w:val="22"/>
                <w:szCs w:val="22"/>
              </w:rPr>
            </w:pPr>
            <w:del w:id="12225" w:author="AbbVie02no" w:date="2025-05-15T13:55:00Z">
              <w:r w:rsidRPr="009C5EFD">
                <w:rPr>
                  <w:b/>
                  <w:sz w:val="22"/>
                  <w:szCs w:val="22"/>
                </w:rPr>
                <w:delText>2.</w:delText>
              </w:r>
              <w:r w:rsidRPr="009C5EFD">
                <w:rPr>
                  <w:b/>
                  <w:sz w:val="22"/>
                  <w:szCs w:val="22"/>
                </w:rPr>
                <w:tab/>
                <w:delText>NAVN PÅ INNEHAVEREN AV MARKEDSFØRINGSTILLATELSEN</w:delText>
              </w:r>
            </w:del>
          </w:p>
        </w:tc>
      </w:tr>
    </w:tbl>
    <w:p w14:paraId="0735C31C" w14:textId="154617C5" w:rsidR="00DE3458" w:rsidRPr="009C5EFD" w:rsidRDefault="00DE3458" w:rsidP="007F67EE">
      <w:pPr>
        <w:suppressAutoHyphens/>
        <w:ind w:left="54"/>
        <w:rPr>
          <w:del w:id="12226" w:author="AbbVie02no" w:date="2025-05-15T13:55:00Z"/>
          <w:sz w:val="22"/>
          <w:szCs w:val="22"/>
        </w:rPr>
      </w:pPr>
    </w:p>
    <w:p w14:paraId="348AC5CA" w14:textId="147C101A" w:rsidR="00DE3458" w:rsidRPr="009C5EFD" w:rsidRDefault="00E453CD" w:rsidP="00193D76">
      <w:pPr>
        <w:suppressAutoHyphens/>
        <w:ind w:left="54"/>
        <w:rPr>
          <w:del w:id="12227" w:author="AbbVie02no" w:date="2025-05-15T13:55:00Z"/>
          <w:sz w:val="22"/>
          <w:szCs w:val="22"/>
        </w:rPr>
      </w:pPr>
      <w:del w:id="12228" w:author="AbbVie02no" w:date="2025-05-15T13:55:00Z">
        <w:r w:rsidRPr="009C5EFD">
          <w:rPr>
            <w:sz w:val="22"/>
            <w:szCs w:val="22"/>
          </w:rPr>
          <w:delText xml:space="preserve">AbbVie </w:delText>
        </w:r>
        <w:r w:rsidR="00851837" w:rsidRPr="00637363">
          <w:rPr>
            <w:sz w:val="22"/>
            <w:szCs w:val="22"/>
            <w:highlight w:val="lightGray"/>
          </w:rPr>
          <w:delText>(som logo)</w:delText>
        </w:r>
      </w:del>
    </w:p>
    <w:p w14:paraId="4AD2AE33" w14:textId="76828252" w:rsidR="00DE3458" w:rsidRPr="009C5EFD" w:rsidRDefault="00DE3458" w:rsidP="002D0790">
      <w:pPr>
        <w:suppressAutoHyphens/>
        <w:ind w:left="54"/>
        <w:rPr>
          <w:del w:id="12229" w:author="AbbVie02no" w:date="2025-05-15T13:55:00Z"/>
          <w:sz w:val="22"/>
          <w:szCs w:val="22"/>
        </w:rPr>
      </w:pPr>
    </w:p>
    <w:p w14:paraId="0F71AFE0" w14:textId="07CE6B92" w:rsidR="00DE3458" w:rsidRPr="009C5EFD" w:rsidRDefault="00DE3458" w:rsidP="00C07C98">
      <w:pPr>
        <w:suppressAutoHyphens/>
        <w:ind w:left="54"/>
        <w:rPr>
          <w:del w:id="12230"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7E5BF3C" w14:textId="41C6875A">
        <w:trPr>
          <w:del w:id="12231" w:author="AbbVie02no" w:date="2025-05-15T13:55:00Z"/>
        </w:trPr>
        <w:tc>
          <w:tcPr>
            <w:tcW w:w="9281" w:type="dxa"/>
          </w:tcPr>
          <w:p w14:paraId="1774D395" w14:textId="7146BCD1" w:rsidR="00DE3458" w:rsidRPr="009C5EFD" w:rsidRDefault="00E453CD" w:rsidP="00E14E58">
            <w:pPr>
              <w:ind w:left="567" w:hanging="567"/>
              <w:rPr>
                <w:del w:id="12232" w:author="AbbVie02no" w:date="2025-05-15T13:55:00Z"/>
                <w:b/>
                <w:sz w:val="22"/>
                <w:szCs w:val="22"/>
              </w:rPr>
            </w:pPr>
            <w:del w:id="12233" w:author="AbbVie02no" w:date="2025-05-15T13:55:00Z">
              <w:r w:rsidRPr="009C5EFD">
                <w:rPr>
                  <w:b/>
                  <w:sz w:val="22"/>
                  <w:szCs w:val="22"/>
                </w:rPr>
                <w:delText>3.</w:delText>
              </w:r>
              <w:r w:rsidRPr="009C5EFD">
                <w:rPr>
                  <w:b/>
                  <w:sz w:val="22"/>
                  <w:szCs w:val="22"/>
                </w:rPr>
                <w:tab/>
                <w:delText>UTLØPSDATO</w:delText>
              </w:r>
            </w:del>
          </w:p>
        </w:tc>
      </w:tr>
    </w:tbl>
    <w:p w14:paraId="43E66545" w14:textId="7843510C" w:rsidR="00DE3458" w:rsidRPr="009C5EFD" w:rsidRDefault="00DE3458" w:rsidP="007F67EE">
      <w:pPr>
        <w:suppressAutoHyphens/>
        <w:ind w:left="54"/>
        <w:jc w:val="both"/>
        <w:rPr>
          <w:del w:id="12234" w:author="AbbVie02no" w:date="2025-05-15T13:55:00Z"/>
          <w:sz w:val="22"/>
          <w:szCs w:val="22"/>
        </w:rPr>
      </w:pPr>
    </w:p>
    <w:p w14:paraId="78C7E74C" w14:textId="2F7246A5" w:rsidR="00DE3458" w:rsidRPr="009C5EFD" w:rsidRDefault="00E453CD" w:rsidP="00193D76">
      <w:pPr>
        <w:suppressAutoHyphens/>
        <w:ind w:left="54"/>
        <w:jc w:val="both"/>
        <w:rPr>
          <w:del w:id="12235" w:author="AbbVie02no" w:date="2025-05-15T13:55:00Z"/>
          <w:sz w:val="22"/>
          <w:szCs w:val="22"/>
        </w:rPr>
      </w:pPr>
      <w:del w:id="12236" w:author="AbbVie02no" w:date="2025-05-15T13:55:00Z">
        <w:r>
          <w:rPr>
            <w:sz w:val="22"/>
            <w:szCs w:val="22"/>
          </w:rPr>
          <w:delText>EXP</w:delText>
        </w:r>
      </w:del>
    </w:p>
    <w:p w14:paraId="280149A5" w14:textId="4E0CFE68" w:rsidR="00DE3458" w:rsidRPr="009C5EFD" w:rsidRDefault="00DE3458" w:rsidP="002D0790">
      <w:pPr>
        <w:suppressAutoHyphens/>
        <w:ind w:left="54"/>
        <w:jc w:val="both"/>
        <w:rPr>
          <w:del w:id="12237" w:author="AbbVie02no" w:date="2025-05-15T13:55:00Z"/>
          <w:sz w:val="22"/>
          <w:szCs w:val="22"/>
        </w:rPr>
      </w:pPr>
    </w:p>
    <w:p w14:paraId="5472FC4F" w14:textId="6388CD25" w:rsidR="00DE3458" w:rsidRPr="009C5EFD" w:rsidRDefault="00DE3458" w:rsidP="00C07C98">
      <w:pPr>
        <w:suppressAutoHyphens/>
        <w:ind w:left="54"/>
        <w:jc w:val="both"/>
        <w:rPr>
          <w:del w:id="12238"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2317B74" w14:textId="70ABB85E">
        <w:trPr>
          <w:del w:id="12239" w:author="AbbVie02no" w:date="2025-05-15T13:55:00Z"/>
        </w:trPr>
        <w:tc>
          <w:tcPr>
            <w:tcW w:w="9281" w:type="dxa"/>
          </w:tcPr>
          <w:p w14:paraId="5A463378" w14:textId="47645F60" w:rsidR="00DE3458" w:rsidRPr="009C5EFD" w:rsidRDefault="00E453CD" w:rsidP="00E14E58">
            <w:pPr>
              <w:ind w:left="567" w:hanging="567"/>
              <w:rPr>
                <w:del w:id="12240" w:author="AbbVie02no" w:date="2025-05-15T13:55:00Z"/>
                <w:b/>
                <w:sz w:val="22"/>
                <w:szCs w:val="22"/>
              </w:rPr>
            </w:pPr>
            <w:del w:id="12241" w:author="AbbVie02no" w:date="2025-05-15T13:55:00Z">
              <w:r w:rsidRPr="009C5EFD">
                <w:rPr>
                  <w:b/>
                  <w:sz w:val="22"/>
                  <w:szCs w:val="22"/>
                </w:rPr>
                <w:delText>4.</w:delText>
              </w:r>
              <w:r w:rsidRPr="009C5EFD">
                <w:rPr>
                  <w:b/>
                  <w:sz w:val="22"/>
                  <w:szCs w:val="22"/>
                </w:rPr>
                <w:tab/>
                <w:delText>PRODUKSJONSNUMMER</w:delText>
              </w:r>
            </w:del>
          </w:p>
        </w:tc>
      </w:tr>
    </w:tbl>
    <w:p w14:paraId="4F59EA74" w14:textId="06CCEDD4" w:rsidR="00DE3458" w:rsidRPr="009C5EFD" w:rsidRDefault="00DE3458" w:rsidP="007F67EE">
      <w:pPr>
        <w:suppressAutoHyphens/>
        <w:ind w:left="54"/>
        <w:jc w:val="both"/>
        <w:rPr>
          <w:del w:id="12242" w:author="AbbVie02no" w:date="2025-05-15T13:55:00Z"/>
          <w:sz w:val="22"/>
          <w:szCs w:val="22"/>
        </w:rPr>
      </w:pPr>
    </w:p>
    <w:p w14:paraId="478451C3" w14:textId="0BED3E4F" w:rsidR="00DE3458" w:rsidRPr="009C5EFD" w:rsidRDefault="00E453CD" w:rsidP="00193D76">
      <w:pPr>
        <w:suppressAutoHyphens/>
        <w:ind w:left="54"/>
        <w:jc w:val="both"/>
        <w:rPr>
          <w:del w:id="12243" w:author="AbbVie02no" w:date="2025-05-15T13:55:00Z"/>
          <w:sz w:val="22"/>
          <w:szCs w:val="22"/>
        </w:rPr>
      </w:pPr>
      <w:del w:id="12244" w:author="AbbVie02no" w:date="2025-05-15T13:55:00Z">
        <w:r w:rsidRPr="009C5EFD">
          <w:rPr>
            <w:sz w:val="22"/>
            <w:szCs w:val="22"/>
          </w:rPr>
          <w:delText>Lot</w:delText>
        </w:r>
      </w:del>
    </w:p>
    <w:p w14:paraId="3A4175B7" w14:textId="277C0217" w:rsidR="00DE3458" w:rsidRPr="009C5EFD" w:rsidRDefault="00DE3458" w:rsidP="002D0790">
      <w:pPr>
        <w:suppressAutoHyphens/>
        <w:ind w:left="54"/>
        <w:jc w:val="both"/>
        <w:rPr>
          <w:del w:id="12245" w:author="AbbVie02no" w:date="2025-05-15T13:55:00Z"/>
          <w:sz w:val="22"/>
          <w:szCs w:val="22"/>
        </w:rPr>
      </w:pPr>
    </w:p>
    <w:p w14:paraId="7C4DB914" w14:textId="5B68F855" w:rsidR="00875F98" w:rsidRPr="009C5EFD" w:rsidRDefault="00875F98" w:rsidP="00C07C98">
      <w:pPr>
        <w:suppressAutoHyphens/>
        <w:ind w:left="54"/>
        <w:jc w:val="both"/>
        <w:rPr>
          <w:del w:id="12246"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2F8FF08" w14:textId="3D217511">
        <w:trPr>
          <w:del w:id="12247" w:author="AbbVie02no" w:date="2025-05-15T13:55:00Z"/>
        </w:trPr>
        <w:tc>
          <w:tcPr>
            <w:tcW w:w="9281" w:type="dxa"/>
          </w:tcPr>
          <w:p w14:paraId="4CC23F08" w14:textId="0D48CE5D" w:rsidR="00DE3458" w:rsidRPr="009C5EFD" w:rsidRDefault="00E453CD" w:rsidP="00E14E58">
            <w:pPr>
              <w:ind w:left="567" w:hanging="567"/>
              <w:rPr>
                <w:del w:id="12248" w:author="AbbVie02no" w:date="2025-05-15T13:55:00Z"/>
                <w:b/>
                <w:sz w:val="22"/>
                <w:szCs w:val="22"/>
              </w:rPr>
            </w:pPr>
            <w:del w:id="12249" w:author="AbbVie02no" w:date="2025-05-15T13:55:00Z">
              <w:r w:rsidRPr="009C5EFD">
                <w:rPr>
                  <w:b/>
                  <w:sz w:val="22"/>
                  <w:szCs w:val="22"/>
                </w:rPr>
                <w:delText>5.</w:delText>
              </w:r>
              <w:r w:rsidRPr="009C5EFD">
                <w:rPr>
                  <w:b/>
                  <w:sz w:val="22"/>
                  <w:szCs w:val="22"/>
                </w:rPr>
                <w:tab/>
                <w:delText>ANNET</w:delText>
              </w:r>
            </w:del>
          </w:p>
        </w:tc>
      </w:tr>
    </w:tbl>
    <w:p w14:paraId="355CA9AD" w14:textId="4794D841" w:rsidR="00DE3458" w:rsidRPr="009C5EFD" w:rsidRDefault="00DE3458" w:rsidP="007F67EE">
      <w:pPr>
        <w:ind w:left="54"/>
        <w:rPr>
          <w:del w:id="12250" w:author="AbbVie02no" w:date="2025-05-15T13:55:00Z"/>
          <w:sz w:val="22"/>
          <w:szCs w:val="22"/>
        </w:rPr>
      </w:pPr>
    </w:p>
    <w:p w14:paraId="3EE62E89" w14:textId="0C18668F" w:rsidR="00E2461F" w:rsidRDefault="00E453CD" w:rsidP="00193D76">
      <w:pPr>
        <w:rPr>
          <w:del w:id="12251" w:author="AbbVie02no" w:date="2025-05-15T13:55:00Z"/>
          <w:sz w:val="22"/>
          <w:szCs w:val="22"/>
        </w:rPr>
      </w:pPr>
      <w:del w:id="12252" w:author="AbbVie02no" w:date="2025-05-15T13:55:00Z">
        <w:r w:rsidRPr="009C5EFD">
          <w:rPr>
            <w:sz w:val="22"/>
            <w:szCs w:val="22"/>
          </w:rPr>
          <w:delText>Se pakningsvedlegg for informasjon om oppbevaring.</w:delText>
        </w:r>
      </w:del>
    </w:p>
    <w:p w14:paraId="1F940BB2" w14:textId="1F2326BC" w:rsidR="0071068D" w:rsidRPr="009C5EFD" w:rsidRDefault="0071068D" w:rsidP="00193D76">
      <w:pPr>
        <w:rPr>
          <w:del w:id="12253" w:author="AbbVie02no" w:date="2025-05-15T13:55:00Z"/>
          <w:sz w:val="22"/>
          <w:szCs w:val="22"/>
        </w:rPr>
      </w:pPr>
    </w:p>
    <w:p w14:paraId="0D9181E9" w14:textId="232CF936" w:rsidR="00DE3458" w:rsidRPr="009C5EFD" w:rsidRDefault="00E453CD" w:rsidP="002D0790">
      <w:pPr>
        <w:suppressAutoHyphens/>
        <w:rPr>
          <w:del w:id="12254" w:author="AbbVie02no" w:date="2025-05-15T13:55:00Z"/>
          <w:sz w:val="22"/>
          <w:szCs w:val="22"/>
        </w:rPr>
      </w:pPr>
      <w:del w:id="12255" w:author="AbbVie02no" w:date="2025-05-15T13:55:00Z">
        <w:r w:rsidRPr="009C5EFD">
          <w:rPr>
            <w:sz w:val="22"/>
            <w:szCs w:val="22"/>
          </w:rPr>
          <w:delText>Kun til engangsbruk</w:delText>
        </w:r>
        <w:r w:rsidR="00AE2643" w:rsidRPr="009C5EFD">
          <w:rPr>
            <w:sz w:val="22"/>
            <w:szCs w:val="22"/>
          </w:rPr>
          <w:delText>.</w:delText>
        </w:r>
      </w:del>
    </w:p>
    <w:p w14:paraId="22317DBF" w14:textId="0F614AE3" w:rsidR="00DE3458" w:rsidRPr="009C5EFD" w:rsidRDefault="00DE3458" w:rsidP="00C07C98">
      <w:pPr>
        <w:ind w:left="54"/>
        <w:rPr>
          <w:del w:id="12256" w:author="AbbVie02no" w:date="2025-05-15T13:55:00Z"/>
          <w:sz w:val="22"/>
          <w:szCs w:val="22"/>
        </w:rPr>
      </w:pPr>
    </w:p>
    <w:p w14:paraId="5FB1C168" w14:textId="36253B2E" w:rsidR="00DE3458" w:rsidRPr="009C5EFD" w:rsidRDefault="00E453CD" w:rsidP="00E14E58">
      <w:pPr>
        <w:ind w:left="54"/>
        <w:rPr>
          <w:del w:id="12257" w:author="AbbVie02no" w:date="2025-05-15T13:55:00Z"/>
          <w:b/>
          <w:sz w:val="22"/>
          <w:szCs w:val="22"/>
        </w:rPr>
      </w:pPr>
      <w:del w:id="12258" w:author="AbbVie02no" w:date="2025-05-15T13:55:00Z">
        <w:r w:rsidRPr="009C5EFD">
          <w:rPr>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FA2DA6E" w14:textId="17F8E6AC">
        <w:trPr>
          <w:trHeight w:val="1070"/>
          <w:del w:id="12259" w:author="AbbVie02no" w:date="2025-05-15T13:55:00Z"/>
        </w:trPr>
        <w:tc>
          <w:tcPr>
            <w:tcW w:w="9281" w:type="dxa"/>
            <w:tcBorders>
              <w:bottom w:val="single" w:sz="4" w:space="0" w:color="auto"/>
            </w:tcBorders>
          </w:tcPr>
          <w:p w14:paraId="41559563" w14:textId="6485C94E" w:rsidR="00DE3458" w:rsidRPr="009C5EFD" w:rsidRDefault="00E453CD" w:rsidP="00E14E58">
            <w:pPr>
              <w:suppressAutoHyphens/>
              <w:rPr>
                <w:del w:id="12260" w:author="AbbVie02no" w:date="2025-05-15T13:55:00Z"/>
                <w:b/>
                <w:sz w:val="22"/>
                <w:szCs w:val="22"/>
              </w:rPr>
            </w:pPr>
            <w:del w:id="12261" w:author="AbbVie02no" w:date="2025-05-15T13:55:00Z">
              <w:r w:rsidRPr="009C5EFD">
                <w:rPr>
                  <w:b/>
                  <w:sz w:val="22"/>
                  <w:szCs w:val="22"/>
                </w:rPr>
                <w:lastRenderedPageBreak/>
                <w:delText>MINSTEKRAV TIL OPPLYSNINGER SOM SKAL ANGIS PÅ SMÅ INDRE EMBALLASJER</w:delText>
              </w:r>
            </w:del>
          </w:p>
          <w:p w14:paraId="0B50D24E" w14:textId="7B88AF64" w:rsidR="00DE3458" w:rsidRPr="009C5EFD" w:rsidRDefault="00DE3458" w:rsidP="009C5EFD">
            <w:pPr>
              <w:suppressAutoHyphens/>
              <w:rPr>
                <w:del w:id="12262" w:author="AbbVie02no" w:date="2025-05-15T13:55:00Z"/>
                <w:b/>
                <w:sz w:val="22"/>
                <w:szCs w:val="22"/>
              </w:rPr>
            </w:pPr>
          </w:p>
          <w:p w14:paraId="36A0BDEC" w14:textId="139A0D32" w:rsidR="00DE3458" w:rsidRPr="009C5EFD" w:rsidRDefault="00E453CD" w:rsidP="009C5EFD">
            <w:pPr>
              <w:suppressAutoHyphens/>
              <w:rPr>
                <w:del w:id="12263" w:author="AbbVie02no" w:date="2025-05-15T13:55:00Z"/>
                <w:b/>
                <w:sz w:val="22"/>
                <w:szCs w:val="22"/>
              </w:rPr>
            </w:pPr>
            <w:del w:id="12264" w:author="AbbVie02no" w:date="2025-05-15T13:55:00Z">
              <w:r>
                <w:rPr>
                  <w:b/>
                  <w:sz w:val="22"/>
                  <w:szCs w:val="22"/>
                </w:rPr>
                <w:delText>ETIKETT PÅ SPRØYTE</w:delText>
              </w:r>
            </w:del>
          </w:p>
        </w:tc>
      </w:tr>
    </w:tbl>
    <w:p w14:paraId="35A283AE" w14:textId="42B60E1B" w:rsidR="00DE3458" w:rsidRPr="009C5EFD" w:rsidRDefault="00DE3458" w:rsidP="007F67EE">
      <w:pPr>
        <w:suppressAutoHyphens/>
        <w:ind w:left="54"/>
        <w:jc w:val="both"/>
        <w:rPr>
          <w:del w:id="12265" w:author="AbbVie02no" w:date="2025-05-15T13:55:00Z"/>
          <w:sz w:val="22"/>
          <w:szCs w:val="22"/>
        </w:rPr>
      </w:pPr>
    </w:p>
    <w:p w14:paraId="36A27C42" w14:textId="5D47EF6F" w:rsidR="00DE3458" w:rsidRPr="009C5EFD" w:rsidRDefault="00DE3458" w:rsidP="00193D76">
      <w:pPr>
        <w:suppressAutoHyphens/>
        <w:ind w:left="54"/>
        <w:jc w:val="both"/>
        <w:rPr>
          <w:del w:id="12266"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103CF74" w14:textId="5DAF6A13">
        <w:trPr>
          <w:del w:id="12267" w:author="AbbVie02no" w:date="2025-05-15T13:55:00Z"/>
        </w:trPr>
        <w:tc>
          <w:tcPr>
            <w:tcW w:w="9281" w:type="dxa"/>
          </w:tcPr>
          <w:p w14:paraId="1285C5D9" w14:textId="7D69C4CA" w:rsidR="00DE3458" w:rsidRPr="009C5EFD" w:rsidRDefault="00E453CD" w:rsidP="002D0790">
            <w:pPr>
              <w:ind w:left="567" w:hanging="567"/>
              <w:rPr>
                <w:del w:id="12268" w:author="AbbVie02no" w:date="2025-05-15T13:55:00Z"/>
                <w:b/>
                <w:sz w:val="22"/>
                <w:szCs w:val="22"/>
              </w:rPr>
            </w:pPr>
            <w:del w:id="12269" w:author="AbbVie02no" w:date="2025-05-15T13:55:00Z">
              <w:r w:rsidRPr="009C5EFD">
                <w:rPr>
                  <w:b/>
                  <w:sz w:val="22"/>
                  <w:szCs w:val="22"/>
                </w:rPr>
                <w:delText>1.</w:delText>
              </w:r>
              <w:r w:rsidRPr="009C5EFD">
                <w:rPr>
                  <w:b/>
                  <w:sz w:val="22"/>
                  <w:szCs w:val="22"/>
                </w:rPr>
                <w:tab/>
                <w:delText>LEGEMIDLETS NAVN OG ADMINISTRASJONSVEI</w:delText>
              </w:r>
            </w:del>
          </w:p>
        </w:tc>
      </w:tr>
    </w:tbl>
    <w:p w14:paraId="7A3A62C3" w14:textId="2D854A52" w:rsidR="00DE3458" w:rsidRPr="009C5EFD" w:rsidRDefault="00DE3458" w:rsidP="007F67EE">
      <w:pPr>
        <w:suppressAutoHyphens/>
        <w:ind w:left="54"/>
        <w:jc w:val="both"/>
        <w:rPr>
          <w:del w:id="12270" w:author="AbbVie02no" w:date="2025-05-15T13:55:00Z"/>
          <w:sz w:val="22"/>
          <w:szCs w:val="22"/>
        </w:rPr>
      </w:pPr>
    </w:p>
    <w:p w14:paraId="2CEBD9F0" w14:textId="616FEDC8" w:rsidR="00DE3458" w:rsidRPr="009C5EFD" w:rsidRDefault="00E453CD" w:rsidP="00193D76">
      <w:pPr>
        <w:suppressAutoHyphens/>
        <w:ind w:left="54"/>
        <w:jc w:val="both"/>
        <w:rPr>
          <w:del w:id="12271" w:author="AbbVie02no" w:date="2025-05-15T13:55:00Z"/>
          <w:sz w:val="22"/>
          <w:szCs w:val="22"/>
        </w:rPr>
      </w:pPr>
      <w:del w:id="12272" w:author="AbbVie02no" w:date="2025-05-15T13:55:00Z">
        <w:r w:rsidRPr="009C5EFD">
          <w:rPr>
            <w:sz w:val="22"/>
            <w:szCs w:val="22"/>
          </w:rPr>
          <w:delText>Humira 40 mg injeksjon</w:delText>
        </w:r>
        <w:r w:rsidR="00256837">
          <w:rPr>
            <w:sz w:val="22"/>
            <w:szCs w:val="22"/>
          </w:rPr>
          <w:delText>svæske</w:delText>
        </w:r>
      </w:del>
    </w:p>
    <w:p w14:paraId="6F1492D8" w14:textId="4CDEFFD9" w:rsidR="00DE3458" w:rsidRPr="009C5EFD" w:rsidRDefault="00E453CD" w:rsidP="002D0790">
      <w:pPr>
        <w:suppressAutoHyphens/>
        <w:ind w:left="54"/>
        <w:rPr>
          <w:del w:id="12273" w:author="AbbVie02no" w:date="2025-05-15T13:55:00Z"/>
          <w:sz w:val="22"/>
          <w:szCs w:val="22"/>
        </w:rPr>
      </w:pPr>
      <w:del w:id="12274" w:author="AbbVie02no" w:date="2025-05-15T13:55:00Z">
        <w:r w:rsidRPr="009C5EFD">
          <w:rPr>
            <w:sz w:val="22"/>
            <w:szCs w:val="22"/>
          </w:rPr>
          <w:delText>adalimumab</w:delText>
        </w:r>
      </w:del>
    </w:p>
    <w:p w14:paraId="03524D54" w14:textId="76678436" w:rsidR="00DE3458" w:rsidRPr="0000506E" w:rsidRDefault="00E453CD" w:rsidP="00C07C98">
      <w:pPr>
        <w:suppressAutoHyphens/>
        <w:ind w:left="54"/>
        <w:jc w:val="both"/>
        <w:rPr>
          <w:del w:id="12275" w:author="AbbVie02no" w:date="2025-05-15T13:55:00Z"/>
          <w:sz w:val="22"/>
          <w:szCs w:val="22"/>
        </w:rPr>
      </w:pPr>
      <w:del w:id="12276" w:author="AbbVie02no" w:date="2025-05-15T13:55:00Z">
        <w:r>
          <w:rPr>
            <w:sz w:val="22"/>
            <w:szCs w:val="22"/>
          </w:rPr>
          <w:delText>s.c.</w:delText>
        </w:r>
      </w:del>
    </w:p>
    <w:p w14:paraId="076D2F84" w14:textId="7C480898" w:rsidR="00DE3458" w:rsidRPr="009C5EFD" w:rsidRDefault="00DE3458" w:rsidP="00E14E58">
      <w:pPr>
        <w:suppressAutoHyphens/>
        <w:ind w:left="54"/>
        <w:jc w:val="both"/>
        <w:rPr>
          <w:del w:id="12277" w:author="AbbVie02no" w:date="2025-05-15T13:55:00Z"/>
          <w:sz w:val="22"/>
          <w:szCs w:val="22"/>
        </w:rPr>
      </w:pPr>
    </w:p>
    <w:p w14:paraId="02C47D94" w14:textId="727EAE85" w:rsidR="00DE3458" w:rsidRPr="009C5EFD" w:rsidRDefault="00DE3458" w:rsidP="009C5EFD">
      <w:pPr>
        <w:suppressAutoHyphens/>
        <w:ind w:left="54"/>
        <w:jc w:val="both"/>
        <w:rPr>
          <w:del w:id="12278"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0F0A229" w14:textId="786C9009">
        <w:trPr>
          <w:del w:id="12279" w:author="AbbVie02no" w:date="2025-05-15T13:55:00Z"/>
        </w:trPr>
        <w:tc>
          <w:tcPr>
            <w:tcW w:w="9281" w:type="dxa"/>
          </w:tcPr>
          <w:p w14:paraId="471237B9" w14:textId="1518EDEE" w:rsidR="00DE3458" w:rsidRPr="009C5EFD" w:rsidRDefault="00E453CD" w:rsidP="009C5EFD">
            <w:pPr>
              <w:ind w:left="567" w:hanging="567"/>
              <w:rPr>
                <w:del w:id="12280" w:author="AbbVie02no" w:date="2025-05-15T13:55:00Z"/>
                <w:b/>
                <w:sz w:val="22"/>
                <w:szCs w:val="22"/>
              </w:rPr>
            </w:pPr>
            <w:del w:id="12281" w:author="AbbVie02no" w:date="2025-05-15T13:55:00Z">
              <w:r w:rsidRPr="009C5EFD">
                <w:rPr>
                  <w:b/>
                  <w:sz w:val="22"/>
                  <w:szCs w:val="22"/>
                </w:rPr>
                <w:delText>2.</w:delText>
              </w:r>
              <w:r w:rsidRPr="009C5EFD">
                <w:rPr>
                  <w:b/>
                  <w:sz w:val="22"/>
                  <w:szCs w:val="22"/>
                </w:rPr>
                <w:tab/>
                <w:delText>ADMINISTRASJONSMÅTE</w:delText>
              </w:r>
            </w:del>
          </w:p>
        </w:tc>
      </w:tr>
    </w:tbl>
    <w:p w14:paraId="4A89BC56" w14:textId="77DEA709" w:rsidR="008F361C" w:rsidRPr="001F5D4B" w:rsidRDefault="008F361C" w:rsidP="002D0790">
      <w:pPr>
        <w:suppressAutoHyphens/>
        <w:ind w:left="54"/>
        <w:jc w:val="both"/>
        <w:rPr>
          <w:del w:id="12282" w:author="AbbVie02no" w:date="2025-05-15T13:55:00Z"/>
          <w:sz w:val="22"/>
          <w:szCs w:val="22"/>
        </w:rPr>
      </w:pPr>
    </w:p>
    <w:p w14:paraId="210B06FC" w14:textId="33BAECF2" w:rsidR="00DE3458" w:rsidRPr="007F67EE" w:rsidRDefault="00DE3458" w:rsidP="00C07C98">
      <w:pPr>
        <w:suppressAutoHyphens/>
        <w:ind w:left="54"/>
        <w:jc w:val="both"/>
        <w:rPr>
          <w:del w:id="12283"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D2A9A6D" w14:textId="32B9E430">
        <w:trPr>
          <w:del w:id="12284" w:author="AbbVie02no" w:date="2025-05-15T13:55:00Z"/>
        </w:trPr>
        <w:tc>
          <w:tcPr>
            <w:tcW w:w="9281" w:type="dxa"/>
          </w:tcPr>
          <w:p w14:paraId="3F17BFEC" w14:textId="76E46314" w:rsidR="00DE3458" w:rsidRPr="00193D76" w:rsidRDefault="00E453CD" w:rsidP="00E14E58">
            <w:pPr>
              <w:ind w:left="567" w:hanging="567"/>
              <w:rPr>
                <w:del w:id="12285" w:author="AbbVie02no" w:date="2025-05-15T13:55:00Z"/>
                <w:b/>
                <w:sz w:val="22"/>
                <w:szCs w:val="22"/>
              </w:rPr>
            </w:pPr>
            <w:del w:id="12286" w:author="AbbVie02no" w:date="2025-05-15T13:55:00Z">
              <w:r w:rsidRPr="00193D76">
                <w:rPr>
                  <w:b/>
                  <w:sz w:val="22"/>
                  <w:szCs w:val="22"/>
                </w:rPr>
                <w:delText>3.</w:delText>
              </w:r>
              <w:r w:rsidRPr="00193D76">
                <w:rPr>
                  <w:b/>
                  <w:sz w:val="22"/>
                  <w:szCs w:val="22"/>
                </w:rPr>
                <w:tab/>
                <w:delText>UTLØPSDATO</w:delText>
              </w:r>
            </w:del>
          </w:p>
        </w:tc>
      </w:tr>
    </w:tbl>
    <w:p w14:paraId="36730B55" w14:textId="2073CAE6" w:rsidR="00DE3458" w:rsidRPr="009C5EFD" w:rsidRDefault="00DE3458" w:rsidP="007F67EE">
      <w:pPr>
        <w:suppressAutoHyphens/>
        <w:ind w:left="621" w:hanging="567"/>
        <w:rPr>
          <w:del w:id="12287" w:author="AbbVie02no" w:date="2025-05-15T13:55:00Z"/>
          <w:sz w:val="22"/>
          <w:szCs w:val="22"/>
        </w:rPr>
      </w:pPr>
    </w:p>
    <w:p w14:paraId="76869D82" w14:textId="2ACEC45C" w:rsidR="00DE3458" w:rsidRPr="009C5EFD" w:rsidRDefault="00E453CD" w:rsidP="00193D76">
      <w:pPr>
        <w:suppressAutoHyphens/>
        <w:ind w:left="621" w:hanging="567"/>
        <w:rPr>
          <w:del w:id="12288" w:author="AbbVie02no" w:date="2025-05-15T13:55:00Z"/>
          <w:sz w:val="22"/>
          <w:szCs w:val="22"/>
        </w:rPr>
      </w:pPr>
      <w:del w:id="12289" w:author="AbbVie02no" w:date="2025-05-15T13:55:00Z">
        <w:r>
          <w:rPr>
            <w:sz w:val="22"/>
            <w:szCs w:val="22"/>
          </w:rPr>
          <w:delText>EXP</w:delText>
        </w:r>
      </w:del>
    </w:p>
    <w:p w14:paraId="25557811" w14:textId="594FD8D5" w:rsidR="00DE3458" w:rsidRPr="009C5EFD" w:rsidRDefault="00DE3458" w:rsidP="002D0790">
      <w:pPr>
        <w:suppressAutoHyphens/>
        <w:ind w:left="621" w:hanging="567"/>
        <w:rPr>
          <w:del w:id="12290" w:author="AbbVie02no" w:date="2025-05-15T13:55:00Z"/>
          <w:sz w:val="22"/>
          <w:szCs w:val="22"/>
        </w:rPr>
      </w:pPr>
    </w:p>
    <w:p w14:paraId="5AEBF71F" w14:textId="673E544B" w:rsidR="00DE3458" w:rsidRPr="009C5EFD" w:rsidRDefault="00DE3458" w:rsidP="00C07C98">
      <w:pPr>
        <w:suppressAutoHyphens/>
        <w:ind w:left="621" w:hanging="567"/>
        <w:rPr>
          <w:del w:id="12291"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B55E412" w14:textId="0730AC26">
        <w:trPr>
          <w:del w:id="12292" w:author="AbbVie02no" w:date="2025-05-15T13:55:00Z"/>
        </w:trPr>
        <w:tc>
          <w:tcPr>
            <w:tcW w:w="9281" w:type="dxa"/>
          </w:tcPr>
          <w:p w14:paraId="29743D06" w14:textId="4A645C2B" w:rsidR="00DE3458" w:rsidRPr="009C5EFD" w:rsidRDefault="00E453CD" w:rsidP="00E14E58">
            <w:pPr>
              <w:ind w:left="567" w:hanging="567"/>
              <w:rPr>
                <w:del w:id="12293" w:author="AbbVie02no" w:date="2025-05-15T13:55:00Z"/>
                <w:b/>
                <w:sz w:val="22"/>
                <w:szCs w:val="22"/>
              </w:rPr>
            </w:pPr>
            <w:del w:id="12294" w:author="AbbVie02no" w:date="2025-05-15T13:55:00Z">
              <w:r w:rsidRPr="009C5EFD">
                <w:rPr>
                  <w:b/>
                  <w:sz w:val="22"/>
                  <w:szCs w:val="22"/>
                </w:rPr>
                <w:delText>4.</w:delText>
              </w:r>
              <w:r w:rsidRPr="009C5EFD">
                <w:rPr>
                  <w:b/>
                  <w:sz w:val="22"/>
                  <w:szCs w:val="22"/>
                </w:rPr>
                <w:tab/>
                <w:delText>PRODUKSJONSNUMMER</w:delText>
              </w:r>
            </w:del>
          </w:p>
        </w:tc>
      </w:tr>
    </w:tbl>
    <w:p w14:paraId="591B7F06" w14:textId="7148EF11" w:rsidR="00DE3458" w:rsidRPr="009C5EFD" w:rsidRDefault="00DE3458" w:rsidP="007F67EE">
      <w:pPr>
        <w:suppressAutoHyphens/>
        <w:ind w:left="54"/>
        <w:jc w:val="both"/>
        <w:rPr>
          <w:del w:id="12295" w:author="AbbVie02no" w:date="2025-05-15T13:55:00Z"/>
          <w:sz w:val="22"/>
          <w:szCs w:val="22"/>
        </w:rPr>
      </w:pPr>
    </w:p>
    <w:p w14:paraId="0EE4E605" w14:textId="55B3B270" w:rsidR="00DE3458" w:rsidRPr="009C5EFD" w:rsidRDefault="00E453CD" w:rsidP="00193D76">
      <w:pPr>
        <w:suppressAutoHyphens/>
        <w:ind w:left="54"/>
        <w:jc w:val="both"/>
        <w:rPr>
          <w:del w:id="12296" w:author="AbbVie02no" w:date="2025-05-15T13:55:00Z"/>
          <w:sz w:val="22"/>
          <w:szCs w:val="22"/>
        </w:rPr>
      </w:pPr>
      <w:del w:id="12297" w:author="AbbVie02no" w:date="2025-05-15T13:55:00Z">
        <w:r w:rsidRPr="009C5EFD">
          <w:rPr>
            <w:sz w:val="22"/>
            <w:szCs w:val="22"/>
          </w:rPr>
          <w:delText>Lot</w:delText>
        </w:r>
      </w:del>
    </w:p>
    <w:p w14:paraId="7E590350" w14:textId="69D1470E" w:rsidR="00DE3458" w:rsidRPr="009C5EFD" w:rsidRDefault="00DE3458" w:rsidP="002D0790">
      <w:pPr>
        <w:suppressAutoHyphens/>
        <w:ind w:left="54"/>
        <w:jc w:val="both"/>
        <w:rPr>
          <w:del w:id="12298" w:author="AbbVie02no" w:date="2025-05-15T13:55:00Z"/>
          <w:sz w:val="22"/>
          <w:szCs w:val="22"/>
        </w:rPr>
      </w:pPr>
    </w:p>
    <w:p w14:paraId="37E1086D" w14:textId="1C9FD228" w:rsidR="00DE3458" w:rsidRPr="009C5EFD" w:rsidRDefault="00DE3458" w:rsidP="00C07C98">
      <w:pPr>
        <w:suppressAutoHyphens/>
        <w:ind w:left="54"/>
        <w:jc w:val="both"/>
        <w:rPr>
          <w:del w:id="12299" w:author="AbbVie02no" w:date="2025-05-15T13:55: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4CD2F69" w14:textId="4CA96627">
        <w:trPr>
          <w:del w:id="12300" w:author="AbbVie02no" w:date="2025-05-15T13:55:00Z"/>
        </w:trPr>
        <w:tc>
          <w:tcPr>
            <w:tcW w:w="9281" w:type="dxa"/>
          </w:tcPr>
          <w:p w14:paraId="4F0D1AE2" w14:textId="2DEBDDD1" w:rsidR="00DE3458" w:rsidRPr="009C5EFD" w:rsidRDefault="00E453CD" w:rsidP="00E14E58">
            <w:pPr>
              <w:ind w:left="567" w:hanging="567"/>
              <w:rPr>
                <w:del w:id="12301" w:author="AbbVie02no" w:date="2025-05-15T13:55:00Z"/>
                <w:b/>
                <w:sz w:val="22"/>
                <w:szCs w:val="22"/>
              </w:rPr>
            </w:pPr>
            <w:del w:id="12302" w:author="AbbVie02no" w:date="2025-05-15T13:55:00Z">
              <w:r w:rsidRPr="009C5EFD">
                <w:rPr>
                  <w:b/>
                  <w:sz w:val="22"/>
                  <w:szCs w:val="22"/>
                </w:rPr>
                <w:delText>5.</w:delText>
              </w:r>
              <w:r w:rsidRPr="009C5EFD">
                <w:rPr>
                  <w:b/>
                  <w:sz w:val="22"/>
                  <w:szCs w:val="22"/>
                </w:rPr>
                <w:tab/>
              </w:r>
              <w:r w:rsidR="00903EBB">
                <w:rPr>
                  <w:b/>
                  <w:sz w:val="22"/>
                  <w:szCs w:val="22"/>
                </w:rPr>
                <w:delText>INN</w:delText>
              </w:r>
              <w:r w:rsidRPr="009C5EFD">
                <w:rPr>
                  <w:b/>
                  <w:sz w:val="22"/>
                  <w:szCs w:val="22"/>
                </w:rPr>
                <w:delText>HOLD ANGITT ETTER VEKT, VOLUM ELLER ANTALL DOSER</w:delText>
              </w:r>
            </w:del>
          </w:p>
        </w:tc>
      </w:tr>
    </w:tbl>
    <w:p w14:paraId="0EA0AAC9" w14:textId="19C0CE19" w:rsidR="00DE3458" w:rsidRPr="009C5EFD" w:rsidRDefault="00DE3458" w:rsidP="007F67EE">
      <w:pPr>
        <w:suppressAutoHyphens/>
        <w:ind w:left="54"/>
        <w:jc w:val="both"/>
        <w:rPr>
          <w:del w:id="12303" w:author="AbbVie02no" w:date="2025-05-15T13:55:00Z"/>
          <w:sz w:val="22"/>
          <w:szCs w:val="22"/>
        </w:rPr>
      </w:pPr>
    </w:p>
    <w:p w14:paraId="44C49A1D" w14:textId="23208BE4" w:rsidR="00DE3458" w:rsidRPr="009C5EFD" w:rsidRDefault="00E453CD" w:rsidP="00193D76">
      <w:pPr>
        <w:suppressAutoHyphens/>
        <w:ind w:left="54"/>
        <w:jc w:val="both"/>
        <w:rPr>
          <w:del w:id="12304" w:author="AbbVie02no" w:date="2025-05-15T13:55:00Z"/>
          <w:sz w:val="22"/>
          <w:szCs w:val="22"/>
        </w:rPr>
      </w:pPr>
      <w:del w:id="12305" w:author="AbbVie02no" w:date="2025-05-15T13:55:00Z">
        <w:r w:rsidRPr="009C5EFD">
          <w:rPr>
            <w:sz w:val="22"/>
            <w:szCs w:val="22"/>
          </w:rPr>
          <w:delText>40 mg/0,8 ml</w:delText>
        </w:r>
      </w:del>
    </w:p>
    <w:p w14:paraId="4559341C" w14:textId="32A371C3" w:rsidR="00DE3458" w:rsidRPr="009C5EFD" w:rsidRDefault="00DE3458" w:rsidP="002D0790">
      <w:pPr>
        <w:ind w:right="-449"/>
        <w:rPr>
          <w:del w:id="12306" w:author="AbbVie02no" w:date="2025-05-15T13:55:00Z"/>
          <w:b/>
          <w:sz w:val="22"/>
          <w:szCs w:val="22"/>
        </w:rPr>
      </w:pPr>
    </w:p>
    <w:p w14:paraId="0A30ED64" w14:textId="435007B4" w:rsidR="00DE3458" w:rsidRPr="009C5EFD" w:rsidRDefault="00DE3458" w:rsidP="00C07C98">
      <w:pPr>
        <w:ind w:right="-449"/>
        <w:rPr>
          <w:del w:id="12307" w:author="AbbVie02no" w:date="2025-05-15T13:55: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50FBC0F" w14:textId="64838930">
        <w:trPr>
          <w:del w:id="12308" w:author="AbbVie02no" w:date="2025-05-15T13:55:00Z"/>
        </w:trPr>
        <w:tc>
          <w:tcPr>
            <w:tcW w:w="9281" w:type="dxa"/>
          </w:tcPr>
          <w:p w14:paraId="120FD94B" w14:textId="07EE857C" w:rsidR="00DE3458" w:rsidRPr="009C5EFD" w:rsidRDefault="00E453CD" w:rsidP="00E14E58">
            <w:pPr>
              <w:ind w:left="567" w:hanging="567"/>
              <w:rPr>
                <w:del w:id="12309" w:author="AbbVie02no" w:date="2025-05-15T13:55:00Z"/>
                <w:b/>
                <w:sz w:val="22"/>
                <w:szCs w:val="22"/>
              </w:rPr>
            </w:pPr>
            <w:del w:id="12310" w:author="AbbVie02no" w:date="2025-05-15T13:55:00Z">
              <w:r w:rsidRPr="009C5EFD">
                <w:rPr>
                  <w:b/>
                  <w:sz w:val="22"/>
                  <w:szCs w:val="22"/>
                </w:rPr>
                <w:delText>6.</w:delText>
              </w:r>
              <w:r w:rsidRPr="009C5EFD">
                <w:rPr>
                  <w:b/>
                  <w:sz w:val="22"/>
                  <w:szCs w:val="22"/>
                </w:rPr>
                <w:tab/>
                <w:delText>ANNET</w:delText>
              </w:r>
            </w:del>
          </w:p>
        </w:tc>
      </w:tr>
    </w:tbl>
    <w:p w14:paraId="47AE4C90" w14:textId="0695728F" w:rsidR="00DE3458" w:rsidRPr="009C5EFD" w:rsidRDefault="00E453CD" w:rsidP="001F5D4B">
      <w:pPr>
        <w:ind w:left="54"/>
        <w:rPr>
          <w:del w:id="12311" w:author="AbbVie02no" w:date="2025-05-15T13:56:00Z"/>
          <w:sz w:val="22"/>
          <w:szCs w:val="22"/>
        </w:rPr>
      </w:pPr>
      <w:del w:id="12312" w:author="AbbVie02no" w:date="2025-05-15T13:55:00Z">
        <w:r w:rsidRPr="009C5EFD">
          <w:rPr>
            <w:b/>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3602659" w14:textId="14426F20">
        <w:trPr>
          <w:trHeight w:val="1070"/>
          <w:del w:id="12313" w:author="AbbVie02no" w:date="2025-05-15T13:56:00Z"/>
        </w:trPr>
        <w:tc>
          <w:tcPr>
            <w:tcW w:w="9281" w:type="dxa"/>
            <w:tcBorders>
              <w:bottom w:val="single" w:sz="4" w:space="0" w:color="auto"/>
            </w:tcBorders>
          </w:tcPr>
          <w:p w14:paraId="04BC043C" w14:textId="56EBA3A6" w:rsidR="00DE3458" w:rsidRPr="009C5EFD" w:rsidRDefault="00E453CD" w:rsidP="001F5D4B">
            <w:pPr>
              <w:rPr>
                <w:del w:id="12314" w:author="AbbVie02no" w:date="2025-05-15T13:56:00Z"/>
                <w:b/>
                <w:sz w:val="22"/>
                <w:szCs w:val="22"/>
              </w:rPr>
            </w:pPr>
            <w:del w:id="12315" w:author="AbbVie02no" w:date="2025-05-15T13:56:00Z">
              <w:r w:rsidRPr="009C5EFD">
                <w:rPr>
                  <w:b/>
                  <w:sz w:val="22"/>
                  <w:szCs w:val="22"/>
                </w:rPr>
                <w:lastRenderedPageBreak/>
                <w:delText>OPPLYSNINGER SOM SKAL ANGIS PÅ YTRE EMBALLASJE ELLER NÅR SLIK IKKE FINNES, PÅ INDRE EMBALLASJE</w:delText>
              </w:r>
            </w:del>
          </w:p>
          <w:p w14:paraId="3BFB360F" w14:textId="28F1FF9B" w:rsidR="00DE3458" w:rsidRPr="009C5EFD" w:rsidRDefault="00DE3458" w:rsidP="001F5D4B">
            <w:pPr>
              <w:rPr>
                <w:del w:id="12316" w:author="AbbVie02no" w:date="2025-05-15T13:56:00Z"/>
                <w:sz w:val="22"/>
                <w:szCs w:val="22"/>
              </w:rPr>
            </w:pPr>
          </w:p>
          <w:p w14:paraId="2F55A322" w14:textId="21535075" w:rsidR="00DE3458" w:rsidRPr="009C5EFD" w:rsidRDefault="00E453CD" w:rsidP="004755B1">
            <w:pPr>
              <w:rPr>
                <w:del w:id="12317" w:author="AbbVie02no" w:date="2025-05-15T13:56:00Z"/>
                <w:b/>
                <w:sz w:val="22"/>
                <w:szCs w:val="22"/>
              </w:rPr>
            </w:pPr>
            <w:del w:id="12318" w:author="AbbVie02no" w:date="2025-05-15T13:56:00Z">
              <w:r w:rsidRPr="009C5EFD">
                <w:rPr>
                  <w:b/>
                  <w:sz w:val="22"/>
                  <w:szCs w:val="22"/>
                </w:rPr>
                <w:delText>Y</w:delText>
              </w:r>
              <w:r>
                <w:rPr>
                  <w:b/>
                  <w:sz w:val="22"/>
                  <w:szCs w:val="22"/>
                </w:rPr>
                <w:delText>TTERKARTONG</w:delText>
              </w:r>
            </w:del>
          </w:p>
        </w:tc>
      </w:tr>
    </w:tbl>
    <w:p w14:paraId="1AABD364" w14:textId="53ADD133" w:rsidR="00DE3458" w:rsidRPr="009C5EFD" w:rsidRDefault="00DE3458" w:rsidP="007F67EE">
      <w:pPr>
        <w:suppressAutoHyphens/>
        <w:ind w:left="54"/>
        <w:rPr>
          <w:del w:id="12319" w:author="AbbVie02no" w:date="2025-05-15T13:56:00Z"/>
          <w:sz w:val="22"/>
          <w:szCs w:val="22"/>
        </w:rPr>
      </w:pPr>
    </w:p>
    <w:p w14:paraId="4CD95980" w14:textId="4E3F82AB" w:rsidR="00E03A87" w:rsidRPr="009C5EFD" w:rsidRDefault="00E03A87" w:rsidP="00193D76">
      <w:pPr>
        <w:suppressAutoHyphens/>
        <w:ind w:left="54"/>
        <w:rPr>
          <w:del w:id="12320"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D28AEAD" w14:textId="517B337F">
        <w:trPr>
          <w:del w:id="12321" w:author="AbbVie02no" w:date="2025-05-15T13:56:00Z"/>
        </w:trPr>
        <w:tc>
          <w:tcPr>
            <w:tcW w:w="9281" w:type="dxa"/>
          </w:tcPr>
          <w:p w14:paraId="494B69DA" w14:textId="0090E3AE" w:rsidR="00DE3458" w:rsidRPr="009C5EFD" w:rsidRDefault="00E453CD" w:rsidP="002D0790">
            <w:pPr>
              <w:ind w:left="567" w:hanging="567"/>
              <w:rPr>
                <w:del w:id="12322" w:author="AbbVie02no" w:date="2025-05-15T13:56:00Z"/>
                <w:b/>
                <w:sz w:val="22"/>
                <w:szCs w:val="22"/>
              </w:rPr>
            </w:pPr>
            <w:del w:id="12323" w:author="AbbVie02no" w:date="2025-05-15T13:56:00Z">
              <w:r w:rsidRPr="009C5EFD">
                <w:rPr>
                  <w:b/>
                  <w:sz w:val="22"/>
                  <w:szCs w:val="22"/>
                </w:rPr>
                <w:delText>1.</w:delText>
              </w:r>
              <w:r w:rsidRPr="009C5EFD">
                <w:rPr>
                  <w:b/>
                  <w:sz w:val="22"/>
                  <w:szCs w:val="22"/>
                </w:rPr>
                <w:tab/>
                <w:delText>LEGEMIDLETS NAVN</w:delText>
              </w:r>
            </w:del>
          </w:p>
        </w:tc>
      </w:tr>
    </w:tbl>
    <w:p w14:paraId="4CC224EC" w14:textId="7E736C32" w:rsidR="00DE3458" w:rsidRPr="009C5EFD" w:rsidRDefault="00DE3458" w:rsidP="007F67EE">
      <w:pPr>
        <w:suppressAutoHyphens/>
        <w:ind w:left="54"/>
        <w:rPr>
          <w:del w:id="12324" w:author="AbbVie02no" w:date="2025-05-15T13:56:00Z"/>
          <w:sz w:val="22"/>
          <w:szCs w:val="22"/>
        </w:rPr>
      </w:pPr>
    </w:p>
    <w:p w14:paraId="4F0F5829" w14:textId="0F0420D4" w:rsidR="00DE3458" w:rsidRPr="009C5EFD" w:rsidRDefault="00E453CD" w:rsidP="00193D76">
      <w:pPr>
        <w:suppressAutoHyphens/>
        <w:ind w:left="54"/>
        <w:rPr>
          <w:del w:id="12325" w:author="AbbVie02no" w:date="2025-05-15T13:56:00Z"/>
          <w:sz w:val="22"/>
          <w:szCs w:val="22"/>
        </w:rPr>
      </w:pPr>
      <w:del w:id="12326" w:author="AbbVie02no" w:date="2025-05-15T13:56:00Z">
        <w:r w:rsidRPr="009C5EFD">
          <w:rPr>
            <w:sz w:val="22"/>
            <w:szCs w:val="22"/>
          </w:rPr>
          <w:delText>Humira 40 mg injeksjonsvæske, oppløsning i ferdigfylt sprøyte</w:delText>
        </w:r>
      </w:del>
    </w:p>
    <w:p w14:paraId="1AB6025A" w14:textId="4A368878" w:rsidR="00DE3458" w:rsidRPr="009C5EFD" w:rsidRDefault="00E453CD" w:rsidP="002D0790">
      <w:pPr>
        <w:suppressAutoHyphens/>
        <w:ind w:left="54"/>
        <w:rPr>
          <w:del w:id="12327" w:author="AbbVie02no" w:date="2025-05-15T13:56:00Z"/>
          <w:sz w:val="22"/>
          <w:szCs w:val="22"/>
        </w:rPr>
      </w:pPr>
      <w:del w:id="12328" w:author="AbbVie02no" w:date="2025-05-15T13:56:00Z">
        <w:r w:rsidRPr="009C5EFD">
          <w:rPr>
            <w:sz w:val="22"/>
            <w:szCs w:val="22"/>
          </w:rPr>
          <w:delText>adalimumab</w:delText>
        </w:r>
      </w:del>
    </w:p>
    <w:p w14:paraId="5384E7EC" w14:textId="291E514A" w:rsidR="00DE3458" w:rsidRPr="009C5EFD" w:rsidRDefault="00DE3458" w:rsidP="00C07C98">
      <w:pPr>
        <w:pStyle w:val="EndnoteText"/>
        <w:widowControl/>
        <w:tabs>
          <w:tab w:val="clear" w:pos="567"/>
        </w:tabs>
        <w:suppressAutoHyphens/>
        <w:ind w:left="54"/>
        <w:rPr>
          <w:del w:id="12329" w:author="AbbVie02no" w:date="2025-05-15T13:56:00Z"/>
          <w:szCs w:val="22"/>
          <w:lang w:val="nb-NO"/>
        </w:rPr>
      </w:pPr>
    </w:p>
    <w:p w14:paraId="2CC22F8A" w14:textId="0B215ABA" w:rsidR="00DE3458" w:rsidRPr="009C5EFD" w:rsidRDefault="00DE3458" w:rsidP="00E14E58">
      <w:pPr>
        <w:suppressAutoHyphens/>
        <w:ind w:left="54"/>
        <w:rPr>
          <w:del w:id="12330"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0AC860" w14:textId="069B101B">
        <w:trPr>
          <w:del w:id="12331" w:author="AbbVie02no" w:date="2025-05-15T13:56:00Z"/>
        </w:trPr>
        <w:tc>
          <w:tcPr>
            <w:tcW w:w="9281" w:type="dxa"/>
          </w:tcPr>
          <w:p w14:paraId="30A67CB4" w14:textId="043F2C81" w:rsidR="00DE3458" w:rsidRPr="009C5EFD" w:rsidRDefault="00E453CD" w:rsidP="009C5EFD">
            <w:pPr>
              <w:ind w:left="567" w:hanging="567"/>
              <w:rPr>
                <w:del w:id="12332" w:author="AbbVie02no" w:date="2025-05-15T13:56:00Z"/>
                <w:b/>
                <w:sz w:val="22"/>
                <w:szCs w:val="22"/>
              </w:rPr>
            </w:pPr>
            <w:del w:id="12333" w:author="AbbVie02no" w:date="2025-05-15T13:56:00Z">
              <w:r w:rsidRPr="009C5EFD">
                <w:rPr>
                  <w:b/>
                  <w:sz w:val="22"/>
                  <w:szCs w:val="22"/>
                </w:rPr>
                <w:delText>2.</w:delText>
              </w:r>
              <w:r w:rsidRPr="009C5EFD">
                <w:rPr>
                  <w:b/>
                  <w:sz w:val="22"/>
                  <w:szCs w:val="22"/>
                </w:rPr>
                <w:tab/>
                <w:delText xml:space="preserve">DEKLARASJON AV VIRKESTOFF </w:delText>
              </w:r>
            </w:del>
          </w:p>
        </w:tc>
      </w:tr>
    </w:tbl>
    <w:p w14:paraId="7EB5F38C" w14:textId="05C59AFA" w:rsidR="00DE3458" w:rsidRPr="009C5EFD" w:rsidRDefault="00DE3458" w:rsidP="007F67EE">
      <w:pPr>
        <w:suppressAutoHyphens/>
        <w:ind w:left="54"/>
        <w:rPr>
          <w:del w:id="12334" w:author="AbbVie02no" w:date="2025-05-15T13:56:00Z"/>
          <w:sz w:val="22"/>
          <w:szCs w:val="22"/>
        </w:rPr>
      </w:pPr>
    </w:p>
    <w:p w14:paraId="254D389F" w14:textId="42E7E5DC" w:rsidR="00DE3458" w:rsidRPr="009C5EFD" w:rsidRDefault="00E453CD" w:rsidP="00193D76">
      <w:pPr>
        <w:suppressAutoHyphens/>
        <w:ind w:left="54"/>
        <w:rPr>
          <w:del w:id="12335" w:author="AbbVie02no" w:date="2025-05-15T13:56:00Z"/>
          <w:sz w:val="22"/>
          <w:szCs w:val="22"/>
        </w:rPr>
      </w:pPr>
      <w:del w:id="12336" w:author="AbbVie02no" w:date="2025-05-15T13:56:00Z">
        <w:r w:rsidRPr="009C5EFD">
          <w:rPr>
            <w:sz w:val="22"/>
            <w:szCs w:val="22"/>
          </w:rPr>
          <w:delText>En 0,8 ml ferdigfylt sprøyte med kanylebeskyttelse inneholder 40 mg adalimumab</w:delText>
        </w:r>
        <w:r w:rsidR="000C6A57">
          <w:rPr>
            <w:sz w:val="22"/>
            <w:szCs w:val="22"/>
          </w:rPr>
          <w:delText>.</w:delText>
        </w:r>
      </w:del>
    </w:p>
    <w:p w14:paraId="1E8201DB" w14:textId="5569FCFE" w:rsidR="00DE3458" w:rsidRPr="009C5EFD" w:rsidRDefault="00DE3458" w:rsidP="002D0790">
      <w:pPr>
        <w:suppressAutoHyphens/>
        <w:ind w:left="54"/>
        <w:rPr>
          <w:del w:id="12337" w:author="AbbVie02no" w:date="2025-05-15T13:56:00Z"/>
          <w:sz w:val="22"/>
          <w:szCs w:val="22"/>
        </w:rPr>
      </w:pPr>
    </w:p>
    <w:p w14:paraId="7C8DFD14" w14:textId="5E1B6E78" w:rsidR="00DE3458" w:rsidRPr="009C5EFD" w:rsidRDefault="00DE3458" w:rsidP="00C07C98">
      <w:pPr>
        <w:suppressAutoHyphens/>
        <w:ind w:left="54"/>
        <w:rPr>
          <w:del w:id="12338"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41DFD8C" w14:textId="067C3D7D">
        <w:trPr>
          <w:del w:id="12339" w:author="AbbVie02no" w:date="2025-05-15T13:56:00Z"/>
        </w:trPr>
        <w:tc>
          <w:tcPr>
            <w:tcW w:w="9281" w:type="dxa"/>
          </w:tcPr>
          <w:p w14:paraId="6E32F641" w14:textId="402C81CC" w:rsidR="00DE3458" w:rsidRPr="009C5EFD" w:rsidRDefault="00E453CD" w:rsidP="00E14E58">
            <w:pPr>
              <w:ind w:left="567" w:hanging="567"/>
              <w:rPr>
                <w:del w:id="12340" w:author="AbbVie02no" w:date="2025-05-15T13:56:00Z"/>
                <w:b/>
                <w:sz w:val="22"/>
                <w:szCs w:val="22"/>
              </w:rPr>
            </w:pPr>
            <w:del w:id="12341" w:author="AbbVie02no" w:date="2025-05-15T13:56:00Z">
              <w:r w:rsidRPr="009C5EFD">
                <w:rPr>
                  <w:b/>
                  <w:sz w:val="22"/>
                  <w:szCs w:val="22"/>
                </w:rPr>
                <w:delText>3.</w:delText>
              </w:r>
              <w:r w:rsidRPr="009C5EFD">
                <w:rPr>
                  <w:b/>
                  <w:sz w:val="22"/>
                  <w:szCs w:val="22"/>
                </w:rPr>
                <w:tab/>
                <w:delText>LISTE OVER HJELPESTOFFER</w:delText>
              </w:r>
            </w:del>
          </w:p>
        </w:tc>
      </w:tr>
    </w:tbl>
    <w:p w14:paraId="7D94A6EB" w14:textId="674F97BC" w:rsidR="00DE3458" w:rsidRPr="009C5EFD" w:rsidRDefault="00DE3458" w:rsidP="007F67EE">
      <w:pPr>
        <w:suppressAutoHyphens/>
        <w:ind w:left="54"/>
        <w:rPr>
          <w:del w:id="12342" w:author="AbbVie02no" w:date="2025-05-15T13:56:00Z"/>
          <w:sz w:val="22"/>
          <w:szCs w:val="22"/>
        </w:rPr>
      </w:pPr>
    </w:p>
    <w:p w14:paraId="4AD47504" w14:textId="71D8497E" w:rsidR="00DE3458" w:rsidRPr="009C5EFD" w:rsidRDefault="00E453CD" w:rsidP="00193D76">
      <w:pPr>
        <w:ind w:left="54"/>
        <w:rPr>
          <w:del w:id="12343" w:author="AbbVie02no" w:date="2025-05-15T13:56:00Z"/>
          <w:sz w:val="22"/>
          <w:szCs w:val="22"/>
        </w:rPr>
      </w:pPr>
      <w:del w:id="12344" w:author="AbbVie02no" w:date="2025-05-15T13:56:00Z">
        <w:r w:rsidRPr="009C5EFD">
          <w:rPr>
            <w:sz w:val="22"/>
            <w:szCs w:val="22"/>
          </w:rPr>
          <w:delText xml:space="preserve">Hjelpestoffer: </w:delText>
        </w:r>
        <w:r w:rsidR="00C86541">
          <w:rPr>
            <w:sz w:val="22"/>
            <w:szCs w:val="22"/>
          </w:rPr>
          <w:delText>m</w:delText>
        </w:r>
        <w:r w:rsidRPr="009C5EFD">
          <w:rPr>
            <w:sz w:val="22"/>
            <w:szCs w:val="22"/>
          </w:rPr>
          <w:delText xml:space="preserve">annitol, sitronsyremonohydrat, natriumsitrat, natriumdihydrogenfosfatdihydrat, dinatriumfosfatdihydrat, natriumklorid, polysorbat 80, natriumhydroksid </w:delText>
        </w:r>
        <w:r w:rsidR="00F3185B" w:rsidRPr="009C5EFD">
          <w:rPr>
            <w:sz w:val="22"/>
            <w:szCs w:val="22"/>
          </w:rPr>
          <w:delText>og</w:delText>
        </w:r>
        <w:r w:rsidRPr="009C5EFD">
          <w:rPr>
            <w:sz w:val="22"/>
            <w:szCs w:val="22"/>
          </w:rPr>
          <w:delText xml:space="preserve"> vann til injeksjonsvæsker. For ytterligere informasjon</w:delText>
        </w:r>
        <w:r w:rsidR="00D4553F" w:rsidRPr="009C5EFD">
          <w:rPr>
            <w:sz w:val="22"/>
            <w:szCs w:val="22"/>
          </w:rPr>
          <w:delText>,</w:delText>
        </w:r>
        <w:r w:rsidRPr="009C5EFD">
          <w:rPr>
            <w:sz w:val="22"/>
            <w:szCs w:val="22"/>
          </w:rPr>
          <w:delText xml:space="preserve"> se pakningsvedlegget.</w:delText>
        </w:r>
      </w:del>
    </w:p>
    <w:p w14:paraId="5399E6CE" w14:textId="11886DB9" w:rsidR="00DE3458" w:rsidRPr="009C5EFD" w:rsidRDefault="00DE3458" w:rsidP="002D0790">
      <w:pPr>
        <w:suppressAutoHyphens/>
        <w:ind w:left="54"/>
        <w:rPr>
          <w:del w:id="12345" w:author="AbbVie02no" w:date="2025-05-15T13:56:00Z"/>
          <w:sz w:val="22"/>
          <w:szCs w:val="22"/>
        </w:rPr>
      </w:pPr>
    </w:p>
    <w:p w14:paraId="52384A32" w14:textId="39E60AEE" w:rsidR="00DE3458" w:rsidRPr="009C5EFD" w:rsidRDefault="00DE3458" w:rsidP="00C07C98">
      <w:pPr>
        <w:suppressAutoHyphens/>
        <w:ind w:left="54"/>
        <w:rPr>
          <w:del w:id="12346"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B323491" w14:textId="7636FE35">
        <w:trPr>
          <w:del w:id="12347" w:author="AbbVie02no" w:date="2025-05-15T13:56:00Z"/>
        </w:trPr>
        <w:tc>
          <w:tcPr>
            <w:tcW w:w="9281" w:type="dxa"/>
          </w:tcPr>
          <w:p w14:paraId="54834671" w14:textId="6D732A9F" w:rsidR="00DE3458" w:rsidRPr="009C5EFD" w:rsidRDefault="00E453CD" w:rsidP="00E14E58">
            <w:pPr>
              <w:ind w:left="567" w:hanging="567"/>
              <w:rPr>
                <w:del w:id="12348" w:author="AbbVie02no" w:date="2025-05-15T13:56:00Z"/>
                <w:b/>
                <w:sz w:val="22"/>
                <w:szCs w:val="22"/>
              </w:rPr>
            </w:pPr>
            <w:del w:id="12349" w:author="AbbVie02no" w:date="2025-05-15T13:56:00Z">
              <w:r w:rsidRPr="009C5EFD">
                <w:rPr>
                  <w:b/>
                  <w:sz w:val="22"/>
                  <w:szCs w:val="22"/>
                </w:rPr>
                <w:delText>4.</w:delText>
              </w:r>
              <w:r w:rsidRPr="009C5EFD">
                <w:rPr>
                  <w:b/>
                  <w:sz w:val="22"/>
                  <w:szCs w:val="22"/>
                </w:rPr>
                <w:tab/>
                <w:delText>LEGEMIDDELFORM OG INNHOLD (PAKNINGSSTØRRELSE)</w:delText>
              </w:r>
            </w:del>
          </w:p>
        </w:tc>
      </w:tr>
    </w:tbl>
    <w:p w14:paraId="60177E82" w14:textId="36C33F8D" w:rsidR="00DE3458" w:rsidRPr="009C5EFD" w:rsidRDefault="00DE3458" w:rsidP="007F67EE">
      <w:pPr>
        <w:suppressAutoHyphens/>
        <w:ind w:left="54"/>
        <w:rPr>
          <w:del w:id="12350" w:author="AbbVie02no" w:date="2025-05-15T13:56:00Z"/>
          <w:sz w:val="22"/>
          <w:szCs w:val="22"/>
        </w:rPr>
      </w:pPr>
    </w:p>
    <w:p w14:paraId="005D2748" w14:textId="6F37F8D2" w:rsidR="004755B1" w:rsidRDefault="00E453CD" w:rsidP="00193D76">
      <w:pPr>
        <w:suppressAutoHyphens/>
        <w:ind w:left="54"/>
        <w:rPr>
          <w:del w:id="12351" w:author="AbbVie02no" w:date="2025-05-15T13:56:00Z"/>
          <w:sz w:val="22"/>
          <w:szCs w:val="22"/>
        </w:rPr>
      </w:pPr>
      <w:del w:id="12352" w:author="AbbVie02no" w:date="2025-05-15T13:56:00Z">
        <w:r w:rsidRPr="00771F39">
          <w:rPr>
            <w:sz w:val="22"/>
            <w:szCs w:val="22"/>
            <w:highlight w:val="lightGray"/>
          </w:rPr>
          <w:delText>Injeksjonsvæske</w:delText>
        </w:r>
        <w:r w:rsidR="004B5DF6" w:rsidRPr="00602A37">
          <w:rPr>
            <w:sz w:val="22"/>
            <w:szCs w:val="22"/>
            <w:highlight w:val="lightGray"/>
          </w:rPr>
          <w:delText>,oppløsning</w:delText>
        </w:r>
      </w:del>
    </w:p>
    <w:p w14:paraId="10B8B7C5" w14:textId="41A81D84" w:rsidR="00DE3458" w:rsidRPr="009C5EFD" w:rsidRDefault="00E453CD" w:rsidP="00193D76">
      <w:pPr>
        <w:suppressAutoHyphens/>
        <w:ind w:left="54"/>
        <w:rPr>
          <w:del w:id="12353" w:author="AbbVie02no" w:date="2025-05-15T13:56:00Z"/>
          <w:sz w:val="22"/>
          <w:szCs w:val="22"/>
        </w:rPr>
      </w:pPr>
      <w:del w:id="12354" w:author="AbbVie02no" w:date="2025-05-15T13:56:00Z">
        <w:r w:rsidRPr="009C5EFD">
          <w:rPr>
            <w:sz w:val="22"/>
            <w:szCs w:val="22"/>
          </w:rPr>
          <w:delText>1 ferdigfylt sprøyte</w:delText>
        </w:r>
      </w:del>
    </w:p>
    <w:p w14:paraId="196EC667" w14:textId="1D110B60" w:rsidR="00DE3458" w:rsidRPr="009C5EFD" w:rsidRDefault="00E453CD" w:rsidP="002D0790">
      <w:pPr>
        <w:suppressAutoHyphens/>
        <w:ind w:left="54"/>
        <w:rPr>
          <w:del w:id="12355" w:author="AbbVie02no" w:date="2025-05-15T13:56:00Z"/>
          <w:sz w:val="22"/>
          <w:szCs w:val="22"/>
        </w:rPr>
      </w:pPr>
      <w:del w:id="12356" w:author="AbbVie02no" w:date="2025-05-15T13:56:00Z">
        <w:r w:rsidRPr="009C5EFD">
          <w:rPr>
            <w:sz w:val="22"/>
            <w:szCs w:val="22"/>
          </w:rPr>
          <w:delText>1 injeksjonstørk</w:delText>
        </w:r>
      </w:del>
    </w:p>
    <w:p w14:paraId="49BE2A5A" w14:textId="31EE2251" w:rsidR="00DE3458" w:rsidRPr="009C5EFD" w:rsidRDefault="00DE3458" w:rsidP="00C07C98">
      <w:pPr>
        <w:suppressAutoHyphens/>
        <w:ind w:left="54"/>
        <w:rPr>
          <w:del w:id="12357" w:author="AbbVie02no" w:date="2025-05-15T13:56:00Z"/>
          <w:sz w:val="22"/>
          <w:szCs w:val="22"/>
        </w:rPr>
      </w:pPr>
    </w:p>
    <w:p w14:paraId="1F6B8EED" w14:textId="17A738FF" w:rsidR="00DE3458" w:rsidRPr="009C5EFD" w:rsidRDefault="00DE3458" w:rsidP="00E14E58">
      <w:pPr>
        <w:suppressAutoHyphens/>
        <w:ind w:left="54"/>
        <w:rPr>
          <w:del w:id="12358"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D5DA0EF" w14:textId="7A3418D4">
        <w:trPr>
          <w:del w:id="12359" w:author="AbbVie02no" w:date="2025-05-15T13:56:00Z"/>
        </w:trPr>
        <w:tc>
          <w:tcPr>
            <w:tcW w:w="9281" w:type="dxa"/>
          </w:tcPr>
          <w:p w14:paraId="7C56EA0B" w14:textId="38BB0824" w:rsidR="00DE3458" w:rsidRPr="009C5EFD" w:rsidRDefault="00E453CD" w:rsidP="009C5EFD">
            <w:pPr>
              <w:ind w:left="567" w:hanging="567"/>
              <w:rPr>
                <w:del w:id="12360" w:author="AbbVie02no" w:date="2025-05-15T13:56:00Z"/>
                <w:b/>
                <w:sz w:val="22"/>
                <w:szCs w:val="22"/>
              </w:rPr>
            </w:pPr>
            <w:del w:id="12361" w:author="AbbVie02no" w:date="2025-05-15T13:56:00Z">
              <w:r w:rsidRPr="009C5EFD">
                <w:rPr>
                  <w:b/>
                  <w:sz w:val="22"/>
                  <w:szCs w:val="22"/>
                </w:rPr>
                <w:delText>5.</w:delText>
              </w:r>
              <w:r w:rsidRPr="009C5EFD">
                <w:rPr>
                  <w:b/>
                  <w:sz w:val="22"/>
                  <w:szCs w:val="22"/>
                </w:rPr>
                <w:tab/>
                <w:delText xml:space="preserve">ADMINISTRASJONSMÅTE OG </w:delText>
              </w:r>
              <w:r w:rsidR="0050174A">
                <w:rPr>
                  <w:b/>
                  <w:sz w:val="22"/>
                  <w:szCs w:val="22"/>
                </w:rPr>
                <w:delText>-</w:delText>
              </w:r>
              <w:r w:rsidR="0050174A" w:rsidRPr="009C5EFD">
                <w:rPr>
                  <w:b/>
                  <w:sz w:val="22"/>
                  <w:szCs w:val="22"/>
                </w:rPr>
                <w:delText>VEI</w:delText>
              </w:r>
            </w:del>
          </w:p>
        </w:tc>
      </w:tr>
    </w:tbl>
    <w:p w14:paraId="7BF3AAE4" w14:textId="3BA96F5B" w:rsidR="00DE3458" w:rsidRPr="009C5EFD" w:rsidRDefault="00DE3458" w:rsidP="007F67EE">
      <w:pPr>
        <w:suppressAutoHyphens/>
        <w:ind w:left="54"/>
        <w:rPr>
          <w:del w:id="12362" w:author="AbbVie02no" w:date="2025-05-15T13:56:00Z"/>
          <w:sz w:val="22"/>
          <w:szCs w:val="22"/>
        </w:rPr>
      </w:pPr>
    </w:p>
    <w:p w14:paraId="4DEFE443" w14:textId="39DF4C1D" w:rsidR="00DE3458" w:rsidRPr="009C5EFD" w:rsidRDefault="00E453CD" w:rsidP="00193D76">
      <w:pPr>
        <w:suppressAutoHyphens/>
        <w:ind w:left="54"/>
        <w:rPr>
          <w:del w:id="12363" w:author="AbbVie02no" w:date="2025-05-15T13:56:00Z"/>
          <w:sz w:val="22"/>
          <w:szCs w:val="22"/>
        </w:rPr>
      </w:pPr>
      <w:del w:id="12364" w:author="AbbVie02no" w:date="2025-05-15T13:56:00Z">
        <w:r w:rsidRPr="009C5EFD">
          <w:rPr>
            <w:sz w:val="22"/>
            <w:szCs w:val="22"/>
          </w:rPr>
          <w:delText>Subkutan bruk</w:delText>
        </w:r>
        <w:r w:rsidR="00870CCE">
          <w:rPr>
            <w:sz w:val="22"/>
            <w:szCs w:val="22"/>
          </w:rPr>
          <w:delText>.</w:delText>
        </w:r>
      </w:del>
    </w:p>
    <w:p w14:paraId="0714CCDD" w14:textId="4677CE4D" w:rsidR="00DE3458" w:rsidRPr="009C5EFD" w:rsidRDefault="00DE3458" w:rsidP="002D0790">
      <w:pPr>
        <w:suppressAutoHyphens/>
        <w:ind w:left="54"/>
        <w:rPr>
          <w:del w:id="12365" w:author="AbbVie02no" w:date="2025-05-15T13:56:00Z"/>
          <w:sz w:val="22"/>
          <w:szCs w:val="22"/>
        </w:rPr>
      </w:pPr>
    </w:p>
    <w:p w14:paraId="4403EAB0" w14:textId="6592F345" w:rsidR="00DE3458" w:rsidRDefault="00E453CD" w:rsidP="00C07C98">
      <w:pPr>
        <w:suppressAutoHyphens/>
        <w:ind w:left="54"/>
        <w:rPr>
          <w:del w:id="12366" w:author="AbbVie02no" w:date="2025-05-15T13:56:00Z"/>
          <w:sz w:val="22"/>
          <w:szCs w:val="22"/>
        </w:rPr>
      </w:pPr>
      <w:del w:id="12367" w:author="AbbVie02no" w:date="2025-05-15T13:56:00Z">
        <w:r w:rsidRPr="009C5EFD">
          <w:rPr>
            <w:sz w:val="22"/>
            <w:szCs w:val="22"/>
          </w:rPr>
          <w:delText>Les pakningsvedlegget før bruk</w:delText>
        </w:r>
        <w:r w:rsidR="00AE2643" w:rsidRPr="009C5EFD">
          <w:rPr>
            <w:sz w:val="22"/>
            <w:szCs w:val="22"/>
          </w:rPr>
          <w:delText>.</w:delText>
        </w:r>
      </w:del>
    </w:p>
    <w:p w14:paraId="654F48D0" w14:textId="518B93B4" w:rsidR="004755B1" w:rsidRDefault="004755B1" w:rsidP="00C07C98">
      <w:pPr>
        <w:suppressAutoHyphens/>
        <w:ind w:left="54"/>
        <w:rPr>
          <w:del w:id="12368" w:author="AbbVie02no" w:date="2025-05-15T13:56:00Z"/>
          <w:sz w:val="22"/>
          <w:szCs w:val="22"/>
        </w:rPr>
      </w:pPr>
    </w:p>
    <w:p w14:paraId="2DA93C77" w14:textId="21FF6F78" w:rsidR="004755B1" w:rsidRDefault="00E453CD" w:rsidP="00C07C98">
      <w:pPr>
        <w:suppressAutoHyphens/>
        <w:ind w:left="54"/>
        <w:rPr>
          <w:del w:id="12369" w:author="AbbVie02no" w:date="2025-05-15T13:56:00Z"/>
          <w:sz w:val="22"/>
          <w:szCs w:val="22"/>
        </w:rPr>
      </w:pPr>
      <w:del w:id="12370" w:author="AbbVie02no" w:date="2025-05-15T13:56:00Z">
        <w:r w:rsidRPr="009C5EFD">
          <w:rPr>
            <w:sz w:val="22"/>
            <w:szCs w:val="22"/>
          </w:rPr>
          <w:delText>Kun til engangsbruk.</w:delText>
        </w:r>
      </w:del>
    </w:p>
    <w:p w14:paraId="50816018" w14:textId="5F640E5B" w:rsidR="004755B1" w:rsidRDefault="004755B1" w:rsidP="00C07C98">
      <w:pPr>
        <w:suppressAutoHyphens/>
        <w:ind w:left="54"/>
        <w:rPr>
          <w:del w:id="12371" w:author="AbbVie02no" w:date="2025-05-15T13:56:00Z"/>
          <w:sz w:val="22"/>
          <w:szCs w:val="22"/>
        </w:rPr>
      </w:pPr>
    </w:p>
    <w:p w14:paraId="0E5061C6" w14:textId="7E78B734" w:rsidR="004755B1" w:rsidRPr="009C5EFD" w:rsidRDefault="00E453CD" w:rsidP="00C07C98">
      <w:pPr>
        <w:suppressAutoHyphens/>
        <w:ind w:left="54"/>
        <w:rPr>
          <w:del w:id="12372" w:author="AbbVie02no" w:date="2025-05-15T13:56:00Z"/>
          <w:sz w:val="22"/>
          <w:szCs w:val="22"/>
        </w:rPr>
      </w:pPr>
      <w:del w:id="12373" w:author="AbbVie02no" w:date="2025-05-15T13:56:00Z">
        <w:r>
          <w:rPr>
            <w:sz w:val="22"/>
            <w:szCs w:val="22"/>
          </w:rPr>
          <w:delText>Med kanylebeskyttelse</w:delText>
        </w:r>
        <w:r w:rsidR="001F05F4">
          <w:rPr>
            <w:sz w:val="22"/>
            <w:szCs w:val="22"/>
          </w:rPr>
          <w:delText>.</w:delText>
        </w:r>
      </w:del>
    </w:p>
    <w:p w14:paraId="3CC38F5E" w14:textId="781935E8" w:rsidR="00DE3458" w:rsidRPr="009C5EFD" w:rsidRDefault="00DE3458" w:rsidP="00E14E58">
      <w:pPr>
        <w:suppressAutoHyphens/>
        <w:ind w:left="54"/>
        <w:rPr>
          <w:del w:id="12374" w:author="AbbVie02no" w:date="2025-05-15T13:56:00Z"/>
          <w:sz w:val="22"/>
          <w:szCs w:val="22"/>
        </w:rPr>
      </w:pPr>
    </w:p>
    <w:p w14:paraId="355FE9F5" w14:textId="7A35F466" w:rsidR="00DE3458" w:rsidRPr="009C5EFD" w:rsidRDefault="00DE3458" w:rsidP="009C5EFD">
      <w:pPr>
        <w:suppressAutoHyphens/>
        <w:ind w:left="54"/>
        <w:rPr>
          <w:del w:id="12375"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40A0659" w14:textId="3A76ADF9">
        <w:trPr>
          <w:del w:id="12376" w:author="AbbVie02no" w:date="2025-05-15T13:56:00Z"/>
        </w:trPr>
        <w:tc>
          <w:tcPr>
            <w:tcW w:w="9281" w:type="dxa"/>
          </w:tcPr>
          <w:p w14:paraId="3B9F298E" w14:textId="410A128E" w:rsidR="00DE3458" w:rsidRPr="009C5EFD" w:rsidRDefault="00E453CD" w:rsidP="009C5EFD">
            <w:pPr>
              <w:ind w:left="567" w:hanging="567"/>
              <w:rPr>
                <w:del w:id="12377" w:author="AbbVie02no" w:date="2025-05-15T13:56:00Z"/>
                <w:b/>
                <w:sz w:val="22"/>
                <w:szCs w:val="22"/>
              </w:rPr>
            </w:pPr>
            <w:del w:id="12378" w:author="AbbVie02no" w:date="2025-05-15T13:56:00Z">
              <w:r w:rsidRPr="009C5EFD">
                <w:rPr>
                  <w:b/>
                  <w:sz w:val="22"/>
                  <w:szCs w:val="22"/>
                </w:rPr>
                <w:delText>6.</w:delText>
              </w:r>
              <w:r w:rsidRPr="009C5EFD">
                <w:rPr>
                  <w:b/>
                  <w:sz w:val="22"/>
                  <w:szCs w:val="22"/>
                </w:rPr>
                <w:tab/>
                <w:delText>ADVARSEL OM AT LEGEMIDLET SKAL OPPBEVARES UTILGJENGELIG FOR BARN</w:delText>
              </w:r>
            </w:del>
          </w:p>
        </w:tc>
      </w:tr>
    </w:tbl>
    <w:p w14:paraId="6FA27565" w14:textId="75FD01DF" w:rsidR="00DE3458" w:rsidRPr="009C5EFD" w:rsidRDefault="00DE3458" w:rsidP="007F67EE">
      <w:pPr>
        <w:suppressAutoHyphens/>
        <w:ind w:left="54"/>
        <w:rPr>
          <w:del w:id="12379" w:author="AbbVie02no" w:date="2025-05-15T13:56:00Z"/>
          <w:sz w:val="22"/>
          <w:szCs w:val="22"/>
        </w:rPr>
      </w:pPr>
    </w:p>
    <w:p w14:paraId="467EA791" w14:textId="076563B4" w:rsidR="00DE3458" w:rsidRPr="009C5EFD" w:rsidRDefault="00E453CD" w:rsidP="00193D76">
      <w:pPr>
        <w:suppressAutoHyphens/>
        <w:ind w:left="54"/>
        <w:rPr>
          <w:del w:id="12380" w:author="AbbVie02no" w:date="2025-05-15T13:56:00Z"/>
          <w:sz w:val="22"/>
          <w:szCs w:val="22"/>
        </w:rPr>
      </w:pPr>
      <w:del w:id="12381" w:author="AbbVie02no" w:date="2025-05-15T13:56:00Z">
        <w:r w:rsidRPr="009C5EFD">
          <w:rPr>
            <w:sz w:val="22"/>
            <w:szCs w:val="22"/>
          </w:rPr>
          <w:delText>Oppbevares utilgjengelig for barn.</w:delText>
        </w:r>
      </w:del>
    </w:p>
    <w:p w14:paraId="03EF3388" w14:textId="57AE981A" w:rsidR="00DE3458" w:rsidRPr="009C5EFD" w:rsidRDefault="00DE3458" w:rsidP="002D0790">
      <w:pPr>
        <w:suppressAutoHyphens/>
        <w:ind w:left="54"/>
        <w:rPr>
          <w:del w:id="12382" w:author="AbbVie02no" w:date="2025-05-15T13:56:00Z"/>
          <w:sz w:val="22"/>
          <w:szCs w:val="22"/>
        </w:rPr>
      </w:pPr>
    </w:p>
    <w:p w14:paraId="0A989152" w14:textId="600E019F" w:rsidR="00DE3458" w:rsidRPr="009C5EFD" w:rsidRDefault="00DE3458" w:rsidP="00C07C98">
      <w:pPr>
        <w:suppressAutoHyphens/>
        <w:ind w:left="54"/>
        <w:rPr>
          <w:del w:id="12383"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D9278BC" w14:textId="23F25402">
        <w:trPr>
          <w:del w:id="12384" w:author="AbbVie02no" w:date="2025-05-15T13:56:00Z"/>
        </w:trPr>
        <w:tc>
          <w:tcPr>
            <w:tcW w:w="9281" w:type="dxa"/>
          </w:tcPr>
          <w:p w14:paraId="1A0BB103" w14:textId="6EC8AF19" w:rsidR="00DE3458" w:rsidRPr="009C5EFD" w:rsidRDefault="00E453CD" w:rsidP="00E14E58">
            <w:pPr>
              <w:ind w:left="567" w:hanging="567"/>
              <w:rPr>
                <w:del w:id="12385" w:author="AbbVie02no" w:date="2025-05-15T13:56:00Z"/>
                <w:b/>
                <w:sz w:val="22"/>
                <w:szCs w:val="22"/>
              </w:rPr>
            </w:pPr>
            <w:del w:id="12386" w:author="AbbVie02no" w:date="2025-05-15T13:56:00Z">
              <w:r w:rsidRPr="009C5EFD">
                <w:rPr>
                  <w:b/>
                  <w:sz w:val="22"/>
                  <w:szCs w:val="22"/>
                </w:rPr>
                <w:delText>7.</w:delText>
              </w:r>
              <w:r w:rsidRPr="009C5EFD">
                <w:rPr>
                  <w:b/>
                  <w:sz w:val="22"/>
                  <w:szCs w:val="22"/>
                </w:rPr>
                <w:tab/>
                <w:delText>EVENTUELLE ANDRE SPESIELLE ADVARSLER</w:delText>
              </w:r>
            </w:del>
          </w:p>
        </w:tc>
      </w:tr>
    </w:tbl>
    <w:p w14:paraId="072EAA6E" w14:textId="228DA95E" w:rsidR="00DE3458" w:rsidRPr="009C5EFD" w:rsidRDefault="00DE3458" w:rsidP="007F67EE">
      <w:pPr>
        <w:suppressAutoHyphens/>
        <w:ind w:left="54"/>
        <w:rPr>
          <w:del w:id="12387" w:author="AbbVie02no" w:date="2025-05-15T13:56:00Z"/>
          <w:sz w:val="22"/>
          <w:szCs w:val="22"/>
        </w:rPr>
      </w:pPr>
    </w:p>
    <w:p w14:paraId="244CE12E" w14:textId="2FA7506B" w:rsidR="00DE3458" w:rsidRPr="009C5EFD" w:rsidRDefault="00DE3458" w:rsidP="00C07C98">
      <w:pPr>
        <w:suppressAutoHyphens/>
        <w:ind w:left="54"/>
        <w:rPr>
          <w:del w:id="12388"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D5E0B89" w14:textId="1E2F702D">
        <w:trPr>
          <w:del w:id="12389" w:author="AbbVie02no" w:date="2025-05-15T13:56:00Z"/>
        </w:trPr>
        <w:tc>
          <w:tcPr>
            <w:tcW w:w="9281" w:type="dxa"/>
          </w:tcPr>
          <w:p w14:paraId="3467636D" w14:textId="5CF0D530" w:rsidR="00DE3458" w:rsidRPr="009C5EFD" w:rsidRDefault="00E453CD" w:rsidP="00E14E58">
            <w:pPr>
              <w:ind w:left="567" w:hanging="567"/>
              <w:rPr>
                <w:del w:id="12390" w:author="AbbVie02no" w:date="2025-05-15T13:56:00Z"/>
                <w:b/>
                <w:sz w:val="22"/>
                <w:szCs w:val="22"/>
              </w:rPr>
            </w:pPr>
            <w:del w:id="12391" w:author="AbbVie02no" w:date="2025-05-15T13:56:00Z">
              <w:r w:rsidRPr="009C5EFD">
                <w:rPr>
                  <w:b/>
                  <w:sz w:val="22"/>
                  <w:szCs w:val="22"/>
                </w:rPr>
                <w:delText>8.</w:delText>
              </w:r>
              <w:r w:rsidRPr="009C5EFD">
                <w:rPr>
                  <w:b/>
                  <w:sz w:val="22"/>
                  <w:szCs w:val="22"/>
                </w:rPr>
                <w:tab/>
                <w:delText>UTLØPSDATO</w:delText>
              </w:r>
            </w:del>
          </w:p>
        </w:tc>
      </w:tr>
    </w:tbl>
    <w:p w14:paraId="1BED76CA" w14:textId="1CEF2ABE" w:rsidR="00DE3458" w:rsidRPr="009C5EFD" w:rsidRDefault="00DE3458" w:rsidP="007F67EE">
      <w:pPr>
        <w:suppressAutoHyphens/>
        <w:ind w:left="621" w:hanging="567"/>
        <w:rPr>
          <w:del w:id="12392" w:author="AbbVie02no" w:date="2025-05-15T13:56:00Z"/>
          <w:sz w:val="22"/>
          <w:szCs w:val="22"/>
        </w:rPr>
      </w:pPr>
    </w:p>
    <w:p w14:paraId="7FF2EC22" w14:textId="37B71B88" w:rsidR="00DE3458" w:rsidRPr="009C5EFD" w:rsidRDefault="00E453CD" w:rsidP="00193D76">
      <w:pPr>
        <w:suppressAutoHyphens/>
        <w:ind w:left="54"/>
        <w:rPr>
          <w:del w:id="12393" w:author="AbbVie02no" w:date="2025-05-15T13:56:00Z"/>
          <w:sz w:val="22"/>
          <w:szCs w:val="22"/>
        </w:rPr>
      </w:pPr>
      <w:del w:id="12394" w:author="AbbVie02no" w:date="2025-05-15T13:56:00Z">
        <w:r>
          <w:rPr>
            <w:sz w:val="22"/>
            <w:szCs w:val="22"/>
          </w:rPr>
          <w:delText>EXP</w:delText>
        </w:r>
      </w:del>
    </w:p>
    <w:p w14:paraId="2559E2DE" w14:textId="06A804DB" w:rsidR="00DE3458" w:rsidRDefault="00DE3458" w:rsidP="002D0790">
      <w:pPr>
        <w:ind w:left="54"/>
        <w:rPr>
          <w:del w:id="12395" w:author="AbbVie02no" w:date="2025-05-15T13:56:00Z"/>
          <w:sz w:val="22"/>
          <w:szCs w:val="22"/>
        </w:rPr>
      </w:pPr>
    </w:p>
    <w:p w14:paraId="046124B6" w14:textId="76CEEDDE" w:rsidR="00450F58" w:rsidRPr="009C5EFD" w:rsidRDefault="00450F58" w:rsidP="002D0790">
      <w:pPr>
        <w:ind w:left="54"/>
        <w:rPr>
          <w:del w:id="12396"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A83FCE2" w14:textId="75CC2DD3">
        <w:trPr>
          <w:del w:id="12397" w:author="AbbVie02no" w:date="2025-05-15T13:56:00Z"/>
        </w:trPr>
        <w:tc>
          <w:tcPr>
            <w:tcW w:w="9281" w:type="dxa"/>
          </w:tcPr>
          <w:p w14:paraId="1DCA073A" w14:textId="1DCA5283" w:rsidR="00DE3458" w:rsidRPr="009C5EFD" w:rsidRDefault="00E453CD" w:rsidP="005A1DEF">
            <w:pPr>
              <w:keepNext/>
              <w:ind w:left="567" w:hanging="567"/>
              <w:rPr>
                <w:del w:id="12398" w:author="AbbVie02no" w:date="2025-05-15T13:56:00Z"/>
                <w:b/>
                <w:sz w:val="22"/>
                <w:szCs w:val="22"/>
              </w:rPr>
            </w:pPr>
            <w:del w:id="12399" w:author="AbbVie02no" w:date="2025-05-15T13:56:00Z">
              <w:r w:rsidRPr="009C5EFD">
                <w:lastRenderedPageBreak/>
                <w:br w:type="page"/>
              </w:r>
              <w:r w:rsidRPr="009C5EFD">
                <w:rPr>
                  <w:b/>
                  <w:sz w:val="22"/>
                  <w:szCs w:val="22"/>
                </w:rPr>
                <w:delText>9.</w:delText>
              </w:r>
              <w:r w:rsidRPr="009C5EFD">
                <w:rPr>
                  <w:b/>
                  <w:sz w:val="22"/>
                  <w:szCs w:val="22"/>
                </w:rPr>
                <w:tab/>
                <w:delText>OPPBEVARINGSBETINGELSER</w:delText>
              </w:r>
            </w:del>
          </w:p>
        </w:tc>
      </w:tr>
    </w:tbl>
    <w:p w14:paraId="64894882" w14:textId="3506E75F" w:rsidR="00DE3458" w:rsidRPr="009C5EFD" w:rsidRDefault="00DE3458" w:rsidP="005A1DEF">
      <w:pPr>
        <w:keepNext/>
        <w:suppressAutoHyphens/>
        <w:ind w:left="54"/>
        <w:rPr>
          <w:del w:id="12400" w:author="AbbVie02no" w:date="2025-05-15T13:56:00Z"/>
          <w:sz w:val="22"/>
          <w:szCs w:val="22"/>
        </w:rPr>
      </w:pPr>
    </w:p>
    <w:p w14:paraId="01AF9E56" w14:textId="7AB10083" w:rsidR="00DE3458" w:rsidRPr="009C5EFD" w:rsidRDefault="00E453CD" w:rsidP="005A1DEF">
      <w:pPr>
        <w:keepNext/>
        <w:suppressAutoHyphens/>
        <w:ind w:left="54"/>
        <w:rPr>
          <w:del w:id="12401" w:author="AbbVie02no" w:date="2025-05-15T13:56:00Z"/>
          <w:sz w:val="22"/>
          <w:szCs w:val="22"/>
        </w:rPr>
      </w:pPr>
      <w:del w:id="12402" w:author="AbbVie02no" w:date="2025-05-15T13:56:00Z">
        <w:r w:rsidRPr="009C5EFD">
          <w:rPr>
            <w:sz w:val="22"/>
            <w:szCs w:val="22"/>
          </w:rPr>
          <w:delText xml:space="preserve">Oppbevares i kjøleskap. </w:delText>
        </w:r>
        <w:r w:rsidR="00D81405" w:rsidRPr="009C5EFD">
          <w:rPr>
            <w:sz w:val="22"/>
            <w:szCs w:val="22"/>
          </w:rPr>
          <w:delText xml:space="preserve">Skal </w:delText>
        </w:r>
        <w:r w:rsidRPr="009C5EFD">
          <w:rPr>
            <w:sz w:val="22"/>
            <w:szCs w:val="22"/>
          </w:rPr>
          <w:delText>ikke fryses.</w:delText>
        </w:r>
      </w:del>
    </w:p>
    <w:p w14:paraId="495A0D6D" w14:textId="2233E852" w:rsidR="008D7009" w:rsidRDefault="00E453CD" w:rsidP="005A1DEF">
      <w:pPr>
        <w:keepNext/>
        <w:suppressAutoHyphens/>
        <w:ind w:left="54"/>
        <w:rPr>
          <w:del w:id="12403" w:author="AbbVie02no" w:date="2025-05-15T13:56:00Z"/>
          <w:sz w:val="22"/>
          <w:szCs w:val="22"/>
        </w:rPr>
      </w:pPr>
      <w:del w:id="12404" w:author="AbbVie02no" w:date="2025-05-15T13:56:00Z">
        <w:r w:rsidRPr="009C5EFD">
          <w:rPr>
            <w:sz w:val="22"/>
            <w:szCs w:val="22"/>
          </w:rPr>
          <w:delText xml:space="preserve">Se pakningsvedlegg for </w:delText>
        </w:r>
        <w:r w:rsidR="00E14A9A" w:rsidRPr="009C5EFD">
          <w:rPr>
            <w:sz w:val="22"/>
            <w:szCs w:val="22"/>
          </w:rPr>
          <w:delText>alternative oppbevaringsbetingelser</w:delText>
        </w:r>
        <w:r w:rsidRPr="009C5EFD">
          <w:rPr>
            <w:sz w:val="22"/>
            <w:szCs w:val="22"/>
          </w:rPr>
          <w:delText>.</w:delText>
        </w:r>
      </w:del>
    </w:p>
    <w:p w14:paraId="1EC1F3AE" w14:textId="3C6449E9" w:rsidR="004755B1" w:rsidRPr="009C5EFD" w:rsidRDefault="004755B1" w:rsidP="005A1DEF">
      <w:pPr>
        <w:keepNext/>
        <w:suppressAutoHyphens/>
        <w:ind w:left="54"/>
        <w:rPr>
          <w:del w:id="12405" w:author="AbbVie02no" w:date="2025-05-15T13:56:00Z"/>
          <w:sz w:val="22"/>
          <w:szCs w:val="22"/>
        </w:rPr>
      </w:pPr>
    </w:p>
    <w:p w14:paraId="11AE25F7" w14:textId="0B86400A" w:rsidR="00DE3458" w:rsidRPr="009C5EFD" w:rsidRDefault="00E453CD" w:rsidP="005A1DEF">
      <w:pPr>
        <w:keepNext/>
        <w:suppressAutoHyphens/>
        <w:ind w:left="54"/>
        <w:rPr>
          <w:del w:id="12406" w:author="AbbVie02no" w:date="2025-05-15T13:56:00Z"/>
          <w:sz w:val="22"/>
          <w:szCs w:val="22"/>
        </w:rPr>
      </w:pPr>
      <w:del w:id="12407" w:author="AbbVie02no" w:date="2025-05-15T13:56:00Z">
        <w:r w:rsidRPr="009C5EFD">
          <w:rPr>
            <w:sz w:val="22"/>
            <w:szCs w:val="22"/>
          </w:rPr>
          <w:delText>Sprøyten oppbevares i ytterkartongen</w:delText>
        </w:r>
        <w:r w:rsidR="008D7009" w:rsidRPr="009C5EFD">
          <w:rPr>
            <w:sz w:val="22"/>
            <w:szCs w:val="22"/>
          </w:rPr>
          <w:delText xml:space="preserve"> for å beskytte mot lys</w:delText>
        </w:r>
        <w:r w:rsidRPr="009C5EFD">
          <w:rPr>
            <w:sz w:val="22"/>
            <w:szCs w:val="22"/>
          </w:rPr>
          <w:delText>.</w:delText>
        </w:r>
      </w:del>
    </w:p>
    <w:p w14:paraId="60F340B5" w14:textId="385382FF" w:rsidR="00DE3458" w:rsidRPr="009C5EFD" w:rsidRDefault="00DE3458" w:rsidP="005A1DEF">
      <w:pPr>
        <w:keepNext/>
        <w:suppressAutoHyphens/>
        <w:ind w:left="54"/>
        <w:rPr>
          <w:del w:id="12408" w:author="AbbVie02no" w:date="2025-05-15T13:56:00Z"/>
          <w:sz w:val="22"/>
          <w:szCs w:val="22"/>
        </w:rPr>
      </w:pPr>
    </w:p>
    <w:p w14:paraId="6F0640A2" w14:textId="76D52F6C" w:rsidR="00DE3458" w:rsidRPr="009C5EFD" w:rsidRDefault="00DE3458" w:rsidP="005A1DEF">
      <w:pPr>
        <w:keepNext/>
        <w:suppressAutoHyphens/>
        <w:ind w:left="54"/>
        <w:rPr>
          <w:del w:id="12409"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87FDEF2" w14:textId="3E7AC6BB">
        <w:trPr>
          <w:del w:id="12410" w:author="AbbVie02no" w:date="2025-05-15T13:56:00Z"/>
        </w:trPr>
        <w:tc>
          <w:tcPr>
            <w:tcW w:w="9281" w:type="dxa"/>
          </w:tcPr>
          <w:p w14:paraId="5DEA81BC" w14:textId="0D02C636" w:rsidR="00DE3458" w:rsidRPr="009C5EFD" w:rsidRDefault="00E453CD" w:rsidP="009C5EFD">
            <w:pPr>
              <w:ind w:left="567" w:hanging="567"/>
              <w:rPr>
                <w:del w:id="12411" w:author="AbbVie02no" w:date="2025-05-15T13:56:00Z"/>
                <w:b/>
                <w:sz w:val="22"/>
                <w:szCs w:val="22"/>
              </w:rPr>
            </w:pPr>
            <w:del w:id="12412" w:author="AbbVie02no" w:date="2025-05-15T13:56:00Z">
              <w:r w:rsidRPr="009C5EFD">
                <w:rPr>
                  <w:b/>
                  <w:sz w:val="22"/>
                  <w:szCs w:val="22"/>
                </w:rPr>
                <w:delText>10.</w:delText>
              </w:r>
              <w:r w:rsidRPr="009C5EFD">
                <w:rPr>
                  <w:b/>
                  <w:sz w:val="22"/>
                  <w:szCs w:val="22"/>
                </w:rPr>
                <w:tab/>
                <w:delText>EVENTUELLE SPESIELLE FORHOLDSREGLER VED DESTRUKSJON AV UBRUKTE LEGEMIDLER ELLER AVFALL</w:delText>
              </w:r>
            </w:del>
          </w:p>
        </w:tc>
      </w:tr>
    </w:tbl>
    <w:p w14:paraId="2C988EA1" w14:textId="0726C7DB" w:rsidR="00DE3458" w:rsidRPr="009C5EFD" w:rsidRDefault="00DE3458" w:rsidP="007F67EE">
      <w:pPr>
        <w:suppressAutoHyphens/>
        <w:ind w:left="54"/>
        <w:rPr>
          <w:del w:id="12413" w:author="AbbVie02no" w:date="2025-05-15T13:56:00Z"/>
          <w:sz w:val="22"/>
          <w:szCs w:val="22"/>
        </w:rPr>
      </w:pPr>
    </w:p>
    <w:p w14:paraId="73A49079" w14:textId="75CDE0D1" w:rsidR="00DE3458" w:rsidRPr="009C5EFD" w:rsidRDefault="00DE3458" w:rsidP="00193D76">
      <w:pPr>
        <w:suppressAutoHyphens/>
        <w:ind w:left="54"/>
        <w:rPr>
          <w:del w:id="12414"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FD0B69C" w14:textId="22FAEB5B">
        <w:trPr>
          <w:del w:id="12415" w:author="AbbVie02no" w:date="2025-05-15T13:56:00Z"/>
        </w:trPr>
        <w:tc>
          <w:tcPr>
            <w:tcW w:w="9281" w:type="dxa"/>
          </w:tcPr>
          <w:p w14:paraId="0B4777EF" w14:textId="33F04103" w:rsidR="00DE3458" w:rsidRPr="009C5EFD" w:rsidRDefault="00E453CD" w:rsidP="002D0790">
            <w:pPr>
              <w:ind w:left="567" w:hanging="567"/>
              <w:rPr>
                <w:del w:id="12416" w:author="AbbVie02no" w:date="2025-05-15T13:56:00Z"/>
                <w:b/>
                <w:sz w:val="22"/>
                <w:szCs w:val="22"/>
              </w:rPr>
            </w:pPr>
            <w:del w:id="12417" w:author="AbbVie02no" w:date="2025-05-15T13:56:00Z">
              <w:r w:rsidRPr="009C5EFD">
                <w:rPr>
                  <w:b/>
                  <w:sz w:val="22"/>
                  <w:szCs w:val="22"/>
                </w:rPr>
                <w:delText>11.</w:delText>
              </w:r>
              <w:r w:rsidRPr="009C5EFD">
                <w:rPr>
                  <w:b/>
                  <w:sz w:val="22"/>
                  <w:szCs w:val="22"/>
                </w:rPr>
                <w:tab/>
                <w:delText>NAVN OG ADRESSE PÅ INNEHAVEREN AV MARKEDSFØRINGSTILLATELSEN</w:delText>
              </w:r>
            </w:del>
          </w:p>
        </w:tc>
      </w:tr>
    </w:tbl>
    <w:p w14:paraId="14FA4DA6" w14:textId="0F23BEAE" w:rsidR="00DE3458" w:rsidRPr="009C5EFD" w:rsidRDefault="00DE3458" w:rsidP="007F67EE">
      <w:pPr>
        <w:suppressAutoHyphens/>
        <w:ind w:left="54"/>
        <w:rPr>
          <w:del w:id="12418" w:author="AbbVie02no" w:date="2025-05-15T13:56:00Z"/>
          <w:sz w:val="22"/>
          <w:szCs w:val="22"/>
        </w:rPr>
      </w:pPr>
    </w:p>
    <w:p w14:paraId="61819E03" w14:textId="41A9B11A" w:rsidR="00851837" w:rsidRPr="00EF12DF" w:rsidRDefault="00E453CD" w:rsidP="00851837">
      <w:pPr>
        <w:rPr>
          <w:del w:id="12419" w:author="AbbVie02no" w:date="2025-05-15T13:56:00Z"/>
          <w:sz w:val="22"/>
          <w:szCs w:val="22"/>
        </w:rPr>
      </w:pPr>
      <w:del w:id="12420" w:author="AbbVie02no" w:date="2025-05-15T13:56:00Z">
        <w:r w:rsidRPr="00EF12DF">
          <w:rPr>
            <w:sz w:val="22"/>
            <w:szCs w:val="22"/>
          </w:rPr>
          <w:delText>AbbVie Deutschland GmbH &amp; Co. KG</w:delText>
        </w:r>
      </w:del>
    </w:p>
    <w:p w14:paraId="4497C895" w14:textId="50CC4590" w:rsidR="00851837" w:rsidRPr="00EF12DF" w:rsidRDefault="00E453CD" w:rsidP="00851837">
      <w:pPr>
        <w:rPr>
          <w:del w:id="12421" w:author="AbbVie02no" w:date="2025-05-15T13:56:00Z"/>
          <w:sz w:val="22"/>
          <w:szCs w:val="22"/>
        </w:rPr>
      </w:pPr>
      <w:del w:id="12422" w:author="AbbVie02no" w:date="2025-05-15T13:56:00Z">
        <w:r w:rsidRPr="00EF12DF">
          <w:rPr>
            <w:sz w:val="22"/>
            <w:szCs w:val="22"/>
          </w:rPr>
          <w:delText>Knollstrasse</w:delText>
        </w:r>
      </w:del>
    </w:p>
    <w:p w14:paraId="0DF6E0C3" w14:textId="4DDFA578" w:rsidR="00851837" w:rsidRPr="00EF12DF" w:rsidRDefault="00E453CD" w:rsidP="00851837">
      <w:pPr>
        <w:rPr>
          <w:del w:id="12423" w:author="AbbVie02no" w:date="2025-05-15T13:56:00Z"/>
          <w:sz w:val="22"/>
          <w:szCs w:val="22"/>
        </w:rPr>
      </w:pPr>
      <w:del w:id="12424" w:author="AbbVie02no" w:date="2025-05-15T13:56:00Z">
        <w:r w:rsidRPr="00EF12DF">
          <w:rPr>
            <w:sz w:val="22"/>
            <w:szCs w:val="22"/>
          </w:rPr>
          <w:delText>67061 Ludwigshafen</w:delText>
        </w:r>
      </w:del>
    </w:p>
    <w:p w14:paraId="53194A24" w14:textId="64920AEB" w:rsidR="00851837" w:rsidRPr="009C5EFD" w:rsidRDefault="00E453CD" w:rsidP="00851837">
      <w:pPr>
        <w:rPr>
          <w:del w:id="12425" w:author="AbbVie02no" w:date="2025-05-15T13:56:00Z"/>
          <w:sz w:val="22"/>
          <w:szCs w:val="22"/>
        </w:rPr>
      </w:pPr>
      <w:del w:id="12426" w:author="AbbVie02no" w:date="2025-05-15T13:56:00Z">
        <w:r>
          <w:rPr>
            <w:sz w:val="22"/>
            <w:szCs w:val="22"/>
          </w:rPr>
          <w:delText>Tyskland</w:delText>
        </w:r>
      </w:del>
    </w:p>
    <w:p w14:paraId="0C3E34DA" w14:textId="51B9C292" w:rsidR="00DE3458" w:rsidRPr="003F000C" w:rsidRDefault="00DE3458" w:rsidP="009C5EFD">
      <w:pPr>
        <w:suppressAutoHyphens/>
        <w:ind w:left="54"/>
        <w:rPr>
          <w:del w:id="12427" w:author="AbbVie02no" w:date="2025-05-15T13:56:00Z"/>
          <w:sz w:val="22"/>
          <w:szCs w:val="22"/>
          <w:lang w:val="sv-SE"/>
        </w:rPr>
      </w:pPr>
    </w:p>
    <w:p w14:paraId="497E46A4" w14:textId="5E6A35C7" w:rsidR="00DE3458" w:rsidRPr="003F000C" w:rsidRDefault="00DE3458" w:rsidP="009C5EFD">
      <w:pPr>
        <w:suppressAutoHyphens/>
        <w:ind w:left="54"/>
        <w:rPr>
          <w:del w:id="12428" w:author="AbbVie02no" w:date="2025-05-15T13:56:00Z"/>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017CE21" w14:textId="7096CE6D">
        <w:trPr>
          <w:del w:id="12429" w:author="AbbVie02no" w:date="2025-05-15T13:56:00Z"/>
        </w:trPr>
        <w:tc>
          <w:tcPr>
            <w:tcW w:w="9281" w:type="dxa"/>
          </w:tcPr>
          <w:p w14:paraId="0C68EB4E" w14:textId="646E2538" w:rsidR="00DE3458" w:rsidRPr="009C5EFD" w:rsidRDefault="00E453CD" w:rsidP="009C5EFD">
            <w:pPr>
              <w:ind w:left="567" w:hanging="567"/>
              <w:rPr>
                <w:del w:id="12430" w:author="AbbVie02no" w:date="2025-05-15T13:56:00Z"/>
                <w:b/>
                <w:sz w:val="22"/>
                <w:szCs w:val="22"/>
              </w:rPr>
            </w:pPr>
            <w:del w:id="12431" w:author="AbbVie02no" w:date="2025-05-15T13:56:00Z">
              <w:r w:rsidRPr="009C5EFD">
                <w:rPr>
                  <w:b/>
                  <w:sz w:val="22"/>
                  <w:szCs w:val="22"/>
                </w:rPr>
                <w:delText>12.</w:delText>
              </w:r>
              <w:r w:rsidRPr="009C5EFD">
                <w:rPr>
                  <w:b/>
                  <w:sz w:val="22"/>
                  <w:szCs w:val="22"/>
                </w:rPr>
                <w:tab/>
                <w:delText>MARKEDSFØRINGSTILLATELSESNUMMER (NUMRE)</w:delText>
              </w:r>
            </w:del>
          </w:p>
        </w:tc>
      </w:tr>
    </w:tbl>
    <w:p w14:paraId="1C4B83B5" w14:textId="647A19D1" w:rsidR="00DE3458" w:rsidRPr="009C5EFD" w:rsidRDefault="00DE3458" w:rsidP="007F67EE">
      <w:pPr>
        <w:suppressAutoHyphens/>
        <w:ind w:left="54"/>
        <w:rPr>
          <w:del w:id="12432" w:author="AbbVie02no" w:date="2025-05-15T13:56:00Z"/>
          <w:sz w:val="22"/>
          <w:szCs w:val="22"/>
        </w:rPr>
      </w:pPr>
    </w:p>
    <w:p w14:paraId="180887AE" w14:textId="3909E3F1" w:rsidR="00DE3458" w:rsidRPr="009C5EFD" w:rsidRDefault="00E453CD" w:rsidP="00193D76">
      <w:pPr>
        <w:suppressAutoHyphens/>
        <w:ind w:left="480" w:hanging="426"/>
        <w:rPr>
          <w:del w:id="12433" w:author="AbbVie02no" w:date="2025-05-15T13:56:00Z"/>
          <w:sz w:val="22"/>
          <w:szCs w:val="22"/>
        </w:rPr>
      </w:pPr>
      <w:del w:id="12434" w:author="AbbVie02no" w:date="2025-05-15T13:56:00Z">
        <w:r w:rsidRPr="009C5EFD">
          <w:rPr>
            <w:sz w:val="22"/>
            <w:szCs w:val="22"/>
          </w:rPr>
          <w:delText>EU/1/03/256/006</w:delText>
        </w:r>
      </w:del>
    </w:p>
    <w:p w14:paraId="1A49D848" w14:textId="4B7A77D5" w:rsidR="00DE3458" w:rsidRPr="009C5EFD" w:rsidRDefault="00DE3458" w:rsidP="002D0790">
      <w:pPr>
        <w:ind w:left="54"/>
        <w:rPr>
          <w:del w:id="12435" w:author="AbbVie02no" w:date="2025-05-15T13:56:00Z"/>
          <w:sz w:val="22"/>
          <w:szCs w:val="22"/>
        </w:rPr>
      </w:pPr>
    </w:p>
    <w:p w14:paraId="1DFB133B" w14:textId="3453F3B5" w:rsidR="00DE3458" w:rsidRPr="009C5EFD" w:rsidRDefault="00DE3458" w:rsidP="00C07C98">
      <w:pPr>
        <w:ind w:left="54"/>
        <w:rPr>
          <w:del w:id="12436"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BBB65E2" w14:textId="235CAAD5">
        <w:trPr>
          <w:del w:id="12437" w:author="AbbVie02no" w:date="2025-05-15T13:56:00Z"/>
        </w:trPr>
        <w:tc>
          <w:tcPr>
            <w:tcW w:w="9281" w:type="dxa"/>
          </w:tcPr>
          <w:p w14:paraId="441D8671" w14:textId="41CAFD1A" w:rsidR="00DE3458" w:rsidRPr="009C5EFD" w:rsidRDefault="00E453CD" w:rsidP="00E14E58">
            <w:pPr>
              <w:ind w:left="567" w:hanging="567"/>
              <w:rPr>
                <w:del w:id="12438" w:author="AbbVie02no" w:date="2025-05-15T13:56:00Z"/>
                <w:b/>
                <w:sz w:val="22"/>
                <w:szCs w:val="22"/>
              </w:rPr>
            </w:pPr>
            <w:del w:id="12439" w:author="AbbVie02no" w:date="2025-05-15T13:56:00Z">
              <w:r w:rsidRPr="009C5EFD">
                <w:rPr>
                  <w:b/>
                  <w:sz w:val="22"/>
                  <w:szCs w:val="22"/>
                </w:rPr>
                <w:delText>13.</w:delText>
              </w:r>
              <w:r w:rsidRPr="009C5EFD">
                <w:rPr>
                  <w:b/>
                  <w:sz w:val="22"/>
                  <w:szCs w:val="22"/>
                </w:rPr>
                <w:tab/>
                <w:delText>PRODUKSJONSNUMMER</w:delText>
              </w:r>
            </w:del>
          </w:p>
        </w:tc>
      </w:tr>
    </w:tbl>
    <w:p w14:paraId="1F4057DC" w14:textId="351285CC" w:rsidR="00DE3458" w:rsidRPr="009C5EFD" w:rsidRDefault="00DE3458" w:rsidP="007F67EE">
      <w:pPr>
        <w:ind w:left="54"/>
        <w:rPr>
          <w:del w:id="12440" w:author="AbbVie02no" w:date="2025-05-15T13:56:00Z"/>
          <w:sz w:val="22"/>
          <w:szCs w:val="22"/>
        </w:rPr>
      </w:pPr>
    </w:p>
    <w:p w14:paraId="027754B7" w14:textId="7AC333EB" w:rsidR="00DE3458" w:rsidRPr="009C5EFD" w:rsidRDefault="00E453CD" w:rsidP="00193D76">
      <w:pPr>
        <w:ind w:left="54"/>
        <w:rPr>
          <w:del w:id="12441" w:author="AbbVie02no" w:date="2025-05-15T13:56:00Z"/>
          <w:sz w:val="22"/>
          <w:szCs w:val="22"/>
        </w:rPr>
      </w:pPr>
      <w:del w:id="12442" w:author="AbbVie02no" w:date="2025-05-15T13:56:00Z">
        <w:r w:rsidRPr="009C5EFD">
          <w:rPr>
            <w:sz w:val="22"/>
            <w:szCs w:val="22"/>
          </w:rPr>
          <w:delText>Lot</w:delText>
        </w:r>
      </w:del>
    </w:p>
    <w:p w14:paraId="36F99007" w14:textId="2DABABD8" w:rsidR="00DE3458" w:rsidRPr="009C5EFD" w:rsidRDefault="00DE3458" w:rsidP="002D0790">
      <w:pPr>
        <w:ind w:left="54"/>
        <w:rPr>
          <w:del w:id="12443" w:author="AbbVie02no" w:date="2025-05-15T13:56:00Z"/>
          <w:sz w:val="22"/>
          <w:szCs w:val="22"/>
        </w:rPr>
      </w:pPr>
    </w:p>
    <w:p w14:paraId="1F172215" w14:textId="2DEC3F7B" w:rsidR="00DE3458" w:rsidRPr="009C5EFD" w:rsidRDefault="00DE3458" w:rsidP="00C07C98">
      <w:pPr>
        <w:ind w:left="54"/>
        <w:rPr>
          <w:del w:id="12444"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63AF9C0" w14:textId="72FCD7DA">
        <w:trPr>
          <w:del w:id="12445" w:author="AbbVie02no" w:date="2025-05-15T13:56:00Z"/>
        </w:trPr>
        <w:tc>
          <w:tcPr>
            <w:tcW w:w="9281" w:type="dxa"/>
          </w:tcPr>
          <w:p w14:paraId="55833953" w14:textId="715207A9" w:rsidR="00DE3458" w:rsidRPr="009C5EFD" w:rsidRDefault="00E453CD" w:rsidP="00E14E58">
            <w:pPr>
              <w:ind w:left="567" w:hanging="567"/>
              <w:rPr>
                <w:del w:id="12446" w:author="AbbVie02no" w:date="2025-05-15T13:56:00Z"/>
                <w:b/>
                <w:sz w:val="22"/>
                <w:szCs w:val="22"/>
              </w:rPr>
            </w:pPr>
            <w:del w:id="12447" w:author="AbbVie02no" w:date="2025-05-15T13:56:00Z">
              <w:r w:rsidRPr="009C5EFD">
                <w:rPr>
                  <w:b/>
                  <w:sz w:val="22"/>
                  <w:szCs w:val="22"/>
                </w:rPr>
                <w:delText>14.</w:delText>
              </w:r>
              <w:r w:rsidRPr="009C5EFD">
                <w:rPr>
                  <w:b/>
                  <w:sz w:val="22"/>
                  <w:szCs w:val="22"/>
                </w:rPr>
                <w:tab/>
                <w:delText>GENERELL KLASSIFIKASJON FOR UTLEVERING</w:delText>
              </w:r>
            </w:del>
          </w:p>
        </w:tc>
      </w:tr>
    </w:tbl>
    <w:p w14:paraId="3F8BF100" w14:textId="68F1B0F7" w:rsidR="00DE3458" w:rsidRPr="009C5EFD" w:rsidRDefault="00DE3458" w:rsidP="002D0790">
      <w:pPr>
        <w:suppressAutoHyphens/>
        <w:ind w:left="774" w:hanging="720"/>
        <w:rPr>
          <w:del w:id="12448" w:author="AbbVie02no" w:date="2025-05-15T13:56:00Z"/>
          <w:sz w:val="22"/>
          <w:szCs w:val="22"/>
        </w:rPr>
      </w:pPr>
    </w:p>
    <w:p w14:paraId="76A953F4" w14:textId="1B1EEDCB" w:rsidR="00DE3458" w:rsidRPr="009C5EFD" w:rsidRDefault="00DE3458" w:rsidP="00C07C98">
      <w:pPr>
        <w:suppressAutoHyphens/>
        <w:ind w:left="774" w:hanging="720"/>
        <w:rPr>
          <w:del w:id="12449"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1DBCA62" w14:textId="3FE606A4">
        <w:trPr>
          <w:del w:id="12450" w:author="AbbVie02no" w:date="2025-05-15T13:56:00Z"/>
        </w:trPr>
        <w:tc>
          <w:tcPr>
            <w:tcW w:w="9281" w:type="dxa"/>
          </w:tcPr>
          <w:p w14:paraId="5906B85E" w14:textId="52FC9B7E" w:rsidR="00DE3458" w:rsidRPr="009C5EFD" w:rsidRDefault="00E453CD" w:rsidP="00E14E58">
            <w:pPr>
              <w:ind w:left="567" w:hanging="567"/>
              <w:rPr>
                <w:del w:id="12451" w:author="AbbVie02no" w:date="2025-05-15T13:56:00Z"/>
                <w:b/>
                <w:sz w:val="22"/>
                <w:szCs w:val="22"/>
              </w:rPr>
            </w:pPr>
            <w:del w:id="12452" w:author="AbbVie02no" w:date="2025-05-15T13:56:00Z">
              <w:r w:rsidRPr="009C5EFD">
                <w:rPr>
                  <w:b/>
                  <w:sz w:val="22"/>
                  <w:szCs w:val="22"/>
                </w:rPr>
                <w:delText>15.</w:delText>
              </w:r>
              <w:r w:rsidRPr="009C5EFD">
                <w:rPr>
                  <w:b/>
                  <w:sz w:val="22"/>
                  <w:szCs w:val="22"/>
                </w:rPr>
                <w:tab/>
                <w:delText>BRUKSANVISNING</w:delText>
              </w:r>
            </w:del>
          </w:p>
        </w:tc>
      </w:tr>
    </w:tbl>
    <w:p w14:paraId="17F00272" w14:textId="7699A18F" w:rsidR="00DE3458" w:rsidRPr="00D968A3" w:rsidRDefault="00DE3458" w:rsidP="007F67EE">
      <w:pPr>
        <w:ind w:left="54"/>
        <w:rPr>
          <w:del w:id="12453" w:author="AbbVie02no" w:date="2025-05-15T13:56:00Z"/>
          <w:sz w:val="22"/>
          <w:szCs w:val="22"/>
        </w:rPr>
      </w:pPr>
    </w:p>
    <w:p w14:paraId="6D9A982B" w14:textId="7ED7DEEF" w:rsidR="00DE3458" w:rsidRPr="00D968A3" w:rsidRDefault="00DE3458" w:rsidP="00193D76">
      <w:pPr>
        <w:ind w:left="54"/>
        <w:rPr>
          <w:del w:id="12454" w:author="AbbVie02no" w:date="2025-05-15T13:56: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9011EFC" w14:textId="0BAC1A2F">
        <w:trPr>
          <w:del w:id="12455" w:author="AbbVie02no" w:date="2025-05-15T13:56:00Z"/>
        </w:trPr>
        <w:tc>
          <w:tcPr>
            <w:tcW w:w="9281" w:type="dxa"/>
          </w:tcPr>
          <w:p w14:paraId="5ECC91C5" w14:textId="543B8D64" w:rsidR="00DE3458" w:rsidRPr="009C5EFD" w:rsidRDefault="00E453CD" w:rsidP="002D0790">
            <w:pPr>
              <w:ind w:left="567" w:hanging="567"/>
              <w:rPr>
                <w:del w:id="12456" w:author="AbbVie02no" w:date="2025-05-15T13:56:00Z"/>
                <w:b/>
                <w:sz w:val="22"/>
                <w:szCs w:val="22"/>
              </w:rPr>
            </w:pPr>
            <w:del w:id="12457" w:author="AbbVie02no" w:date="2025-05-15T13:56:00Z">
              <w:r w:rsidRPr="009C5EFD">
                <w:rPr>
                  <w:b/>
                  <w:sz w:val="22"/>
                  <w:szCs w:val="22"/>
                </w:rPr>
                <w:delText>16.</w:delText>
              </w:r>
              <w:r w:rsidRPr="009C5EFD">
                <w:rPr>
                  <w:b/>
                  <w:sz w:val="22"/>
                  <w:szCs w:val="22"/>
                </w:rPr>
                <w:tab/>
                <w:delText>INFORMASJON PÅ BLINDESKRIFT</w:delText>
              </w:r>
            </w:del>
          </w:p>
        </w:tc>
      </w:tr>
    </w:tbl>
    <w:p w14:paraId="6B0EA361" w14:textId="64754348" w:rsidR="00DE3458" w:rsidRPr="00D968A3" w:rsidRDefault="00DE3458" w:rsidP="007F67EE">
      <w:pPr>
        <w:ind w:left="54"/>
        <w:rPr>
          <w:del w:id="12458" w:author="AbbVie02no" w:date="2025-05-15T13:56:00Z"/>
          <w:sz w:val="22"/>
          <w:szCs w:val="22"/>
        </w:rPr>
      </w:pPr>
    </w:p>
    <w:p w14:paraId="2B9EA76B" w14:textId="65A62D3F" w:rsidR="00E2461F" w:rsidRDefault="00E453CD" w:rsidP="00193D76">
      <w:pPr>
        <w:ind w:left="54"/>
        <w:rPr>
          <w:del w:id="12459" w:author="AbbVie02no" w:date="2025-05-15T13:56:00Z"/>
          <w:sz w:val="22"/>
          <w:szCs w:val="22"/>
        </w:rPr>
      </w:pPr>
      <w:del w:id="12460" w:author="AbbVie02no" w:date="2025-05-15T13:56:00Z">
        <w:r w:rsidRPr="009C5EFD">
          <w:rPr>
            <w:sz w:val="22"/>
            <w:szCs w:val="22"/>
          </w:rPr>
          <w:delText>Humira 40 mg</w:delText>
        </w:r>
      </w:del>
    </w:p>
    <w:p w14:paraId="00896BFF" w14:textId="3322A90C" w:rsidR="00E2461F" w:rsidRDefault="00E2461F" w:rsidP="00193D76">
      <w:pPr>
        <w:ind w:left="54"/>
        <w:rPr>
          <w:del w:id="12461" w:author="AbbVie02no" w:date="2025-05-15T13:56:00Z"/>
          <w:sz w:val="22"/>
          <w:szCs w:val="22"/>
        </w:rPr>
      </w:pPr>
    </w:p>
    <w:p w14:paraId="3300CAFD" w14:textId="53BC0A86" w:rsidR="00E2461F" w:rsidRPr="001E2ACA" w:rsidRDefault="00E2461F" w:rsidP="00E2461F">
      <w:pPr>
        <w:tabs>
          <w:tab w:val="left" w:pos="562"/>
        </w:tabs>
        <w:suppressAutoHyphens/>
        <w:ind w:left="540" w:hanging="540"/>
        <w:rPr>
          <w:del w:id="12462" w:author="AbbVie02no" w:date="2025-05-15T13:56:00Z"/>
          <w:sz w:val="22"/>
          <w:lang w:val="en-GB"/>
        </w:rPr>
      </w:pPr>
    </w:p>
    <w:p w14:paraId="40780BFA" w14:textId="62F379C5" w:rsidR="00E2461F" w:rsidRPr="00126088" w:rsidRDefault="00E453CD" w:rsidP="00E2461F">
      <w:pPr>
        <w:pBdr>
          <w:top w:val="single" w:sz="4" w:space="1" w:color="auto"/>
          <w:left w:val="single" w:sz="4" w:space="4" w:color="auto"/>
          <w:bottom w:val="single" w:sz="4" w:space="1" w:color="auto"/>
          <w:right w:val="single" w:sz="4" w:space="4" w:color="auto"/>
        </w:pBdr>
        <w:tabs>
          <w:tab w:val="left" w:pos="562"/>
        </w:tabs>
        <w:suppressAutoHyphens/>
        <w:rPr>
          <w:del w:id="12463" w:author="AbbVie02no" w:date="2025-05-15T13:56:00Z"/>
          <w:b/>
          <w:bCs/>
          <w:caps/>
          <w:sz w:val="22"/>
          <w:szCs w:val="20"/>
        </w:rPr>
      </w:pPr>
      <w:del w:id="12464" w:author="AbbVie02no" w:date="2025-05-15T13:56:00Z">
        <w:r w:rsidRPr="00F05EB5">
          <w:rPr>
            <w:b/>
            <w:bCs/>
            <w:caps/>
            <w:sz w:val="22"/>
            <w:szCs w:val="20"/>
          </w:rPr>
          <w:delText xml:space="preserve">17. </w:delText>
        </w:r>
        <w:r w:rsidRPr="00F05EB5">
          <w:rPr>
            <w:b/>
            <w:bCs/>
            <w:caps/>
            <w:sz w:val="22"/>
            <w:szCs w:val="20"/>
          </w:rPr>
          <w:tab/>
        </w:r>
        <w:r w:rsidRPr="00126088">
          <w:rPr>
            <w:b/>
            <w:bCs/>
            <w:caps/>
            <w:sz w:val="22"/>
            <w:szCs w:val="20"/>
          </w:rPr>
          <w:delText>SIKKERHETSANORDNING (UNIK IDENTITET) – TODIMENSJONAL STREKKODE</w:delText>
        </w:r>
      </w:del>
    </w:p>
    <w:p w14:paraId="58704069" w14:textId="31936604" w:rsidR="00E2461F" w:rsidRPr="00126088" w:rsidRDefault="00E2461F" w:rsidP="00E2461F">
      <w:pPr>
        <w:tabs>
          <w:tab w:val="left" w:pos="562"/>
        </w:tabs>
        <w:suppressAutoHyphens/>
        <w:rPr>
          <w:del w:id="12465" w:author="AbbVie02no" w:date="2025-05-15T13:56:00Z"/>
          <w:sz w:val="22"/>
        </w:rPr>
      </w:pPr>
    </w:p>
    <w:p w14:paraId="6563E258" w14:textId="60C4C148" w:rsidR="00E2461F" w:rsidRPr="00F05EB5" w:rsidRDefault="00E453CD" w:rsidP="00E2461F">
      <w:pPr>
        <w:tabs>
          <w:tab w:val="left" w:pos="562"/>
        </w:tabs>
        <w:suppressAutoHyphens/>
        <w:rPr>
          <w:del w:id="12466" w:author="AbbVie02no" w:date="2025-05-15T13:56:00Z"/>
          <w:sz w:val="22"/>
          <w:shd w:val="clear" w:color="auto" w:fill="BFBFBF"/>
        </w:rPr>
      </w:pPr>
      <w:del w:id="12467" w:author="AbbVie02no" w:date="2025-05-15T13:56:00Z">
        <w:r w:rsidRPr="00F05EB5">
          <w:rPr>
            <w:sz w:val="22"/>
            <w:shd w:val="clear" w:color="auto" w:fill="BFBFBF"/>
          </w:rPr>
          <w:delText>Todimensjonal strekkode, inkludert unik identitet</w:delText>
        </w:r>
        <w:r>
          <w:rPr>
            <w:sz w:val="22"/>
            <w:shd w:val="clear" w:color="auto" w:fill="BFBFBF"/>
          </w:rPr>
          <w:delText>.</w:delText>
        </w:r>
      </w:del>
    </w:p>
    <w:p w14:paraId="43EF40E1" w14:textId="7737C351" w:rsidR="00E2461F" w:rsidRDefault="00E2461F" w:rsidP="00E2461F">
      <w:pPr>
        <w:tabs>
          <w:tab w:val="left" w:pos="562"/>
        </w:tabs>
        <w:suppressAutoHyphens/>
        <w:rPr>
          <w:del w:id="12468" w:author="AbbVie02no" w:date="2025-05-15T13:56:00Z"/>
          <w:sz w:val="22"/>
          <w:shd w:val="clear" w:color="auto" w:fill="BFBFBF"/>
        </w:rPr>
      </w:pPr>
    </w:p>
    <w:p w14:paraId="4C98DBB1" w14:textId="314CE44D" w:rsidR="007E595C" w:rsidRPr="00F05EB5" w:rsidRDefault="007E595C" w:rsidP="00E2461F">
      <w:pPr>
        <w:tabs>
          <w:tab w:val="left" w:pos="562"/>
        </w:tabs>
        <w:suppressAutoHyphens/>
        <w:rPr>
          <w:del w:id="12469" w:author="AbbVie02no" w:date="2025-05-15T13:56:00Z"/>
          <w:sz w:val="22"/>
          <w:shd w:val="clear" w:color="auto" w:fill="BFBFBF"/>
        </w:rPr>
      </w:pPr>
    </w:p>
    <w:p w14:paraId="1F30FAFB" w14:textId="61B54F61" w:rsidR="00E2461F" w:rsidRPr="00126088" w:rsidRDefault="00E453CD" w:rsidP="00E2461F">
      <w:pPr>
        <w:keepNext/>
        <w:pBdr>
          <w:top w:val="single" w:sz="4" w:space="1" w:color="auto"/>
          <w:left w:val="single" w:sz="4" w:space="4" w:color="auto"/>
          <w:bottom w:val="single" w:sz="4" w:space="1" w:color="auto"/>
          <w:right w:val="single" w:sz="4" w:space="4" w:color="auto"/>
        </w:pBdr>
        <w:tabs>
          <w:tab w:val="left" w:pos="562"/>
        </w:tabs>
        <w:suppressAutoHyphens/>
        <w:rPr>
          <w:del w:id="12470" w:author="AbbVie02no" w:date="2025-05-15T13:56:00Z"/>
          <w:rFonts w:ascii="Times New Roman Bold" w:hAnsi="Times New Roman Bold"/>
          <w:caps/>
          <w:sz w:val="22"/>
          <w:szCs w:val="20"/>
        </w:rPr>
      </w:pPr>
      <w:del w:id="12471" w:author="AbbVie02no" w:date="2025-05-15T13:56:00Z">
        <w:r w:rsidRPr="00F05EB5">
          <w:rPr>
            <w:b/>
            <w:bCs/>
            <w:caps/>
            <w:sz w:val="22"/>
            <w:szCs w:val="20"/>
          </w:rPr>
          <w:delText xml:space="preserve">18. </w:delText>
        </w:r>
        <w:r w:rsidRPr="00F05EB5">
          <w:rPr>
            <w:b/>
            <w:bCs/>
            <w:caps/>
            <w:sz w:val="22"/>
            <w:szCs w:val="20"/>
          </w:rPr>
          <w:tab/>
        </w:r>
        <w:r w:rsidRPr="00126088">
          <w:rPr>
            <w:b/>
            <w:bCs/>
            <w:caps/>
            <w:sz w:val="22"/>
            <w:szCs w:val="20"/>
          </w:rPr>
          <w:delText>SIKKERHETSANORDNING (UNIK IDENTITET) – I ET FORMAT LESBART FOR MENNESKER</w:delText>
        </w:r>
      </w:del>
    </w:p>
    <w:p w14:paraId="35193551" w14:textId="03B32D4F" w:rsidR="00E2461F" w:rsidRPr="00126088" w:rsidRDefault="00E2461F" w:rsidP="00E2461F">
      <w:pPr>
        <w:keepNext/>
        <w:tabs>
          <w:tab w:val="left" w:pos="562"/>
        </w:tabs>
        <w:suppressAutoHyphens/>
        <w:ind w:left="540" w:hanging="540"/>
        <w:rPr>
          <w:del w:id="12472" w:author="AbbVie02no" w:date="2025-05-15T13:56:00Z"/>
          <w:sz w:val="22"/>
        </w:rPr>
      </w:pPr>
    </w:p>
    <w:p w14:paraId="231F3EDE" w14:textId="5AEDE0AE" w:rsidR="00E2461F" w:rsidRPr="001E2ACA" w:rsidRDefault="00E453CD" w:rsidP="00E2461F">
      <w:pPr>
        <w:keepNext/>
        <w:tabs>
          <w:tab w:val="left" w:pos="562"/>
        </w:tabs>
        <w:suppressAutoHyphens/>
        <w:ind w:left="540" w:hanging="540"/>
        <w:rPr>
          <w:del w:id="12473" w:author="AbbVie02no" w:date="2025-05-15T13:56:00Z"/>
          <w:sz w:val="22"/>
          <w:lang w:val="en-GB"/>
        </w:rPr>
      </w:pPr>
      <w:del w:id="12474" w:author="AbbVie02no" w:date="2025-05-15T13:56:00Z">
        <w:r w:rsidRPr="001E2ACA">
          <w:rPr>
            <w:sz w:val="22"/>
            <w:lang w:val="en-GB"/>
          </w:rPr>
          <w:delText>PC</w:delText>
        </w:r>
      </w:del>
    </w:p>
    <w:p w14:paraId="00BB8758" w14:textId="66B02D6A" w:rsidR="00E2461F" w:rsidRPr="001E2ACA" w:rsidRDefault="00E453CD" w:rsidP="00E2461F">
      <w:pPr>
        <w:keepNext/>
        <w:tabs>
          <w:tab w:val="left" w:pos="562"/>
        </w:tabs>
        <w:suppressAutoHyphens/>
        <w:ind w:left="540" w:hanging="540"/>
        <w:rPr>
          <w:del w:id="12475" w:author="AbbVie02no" w:date="2025-05-15T13:56:00Z"/>
          <w:sz w:val="22"/>
          <w:lang w:val="en-GB"/>
        </w:rPr>
      </w:pPr>
      <w:del w:id="12476" w:author="AbbVie02no" w:date="2025-05-15T13:56:00Z">
        <w:r w:rsidRPr="001E2ACA">
          <w:rPr>
            <w:sz w:val="22"/>
            <w:lang w:val="en-GB"/>
          </w:rPr>
          <w:delText>SN</w:delText>
        </w:r>
      </w:del>
    </w:p>
    <w:p w14:paraId="3543F364" w14:textId="075E6371" w:rsidR="00DE3458" w:rsidRPr="009C5EFD" w:rsidRDefault="00E453CD" w:rsidP="00243BE3">
      <w:pPr>
        <w:rPr>
          <w:del w:id="12477" w:author="AbbVie02no" w:date="2025-05-15T13:57:00Z"/>
          <w:b/>
          <w:sz w:val="22"/>
          <w:szCs w:val="22"/>
        </w:rPr>
      </w:pPr>
      <w:del w:id="12478" w:author="AbbVie02no" w:date="2025-05-15T13:56:00Z">
        <w:r w:rsidRPr="006936CB">
          <w:rPr>
            <w:sz w:val="22"/>
            <w:highlight w:val="lightGray"/>
            <w:lang w:val="en-GB"/>
          </w:rPr>
          <w:delText>NN</w:delText>
        </w:r>
      </w:del>
      <w:del w:id="12479" w:author="AbbVie02no" w:date="2025-05-15T13:57:00Z">
        <w:r w:rsidRPr="009C5EFD">
          <w:rPr>
            <w:b/>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DA9DC4C" w14:textId="1B78BAC2">
        <w:trPr>
          <w:del w:id="12480" w:author="AbbVie02no" w:date="2025-05-15T13:57:00Z"/>
        </w:trPr>
        <w:tc>
          <w:tcPr>
            <w:tcW w:w="9281" w:type="dxa"/>
          </w:tcPr>
          <w:p w14:paraId="0ADD148E" w14:textId="71B357CE" w:rsidR="00DE3458" w:rsidRPr="009C5EFD" w:rsidRDefault="00E453CD" w:rsidP="00243BE3">
            <w:pPr>
              <w:rPr>
                <w:del w:id="12481" w:author="AbbVie02no" w:date="2025-05-15T13:57:00Z"/>
                <w:b/>
                <w:sz w:val="22"/>
                <w:szCs w:val="22"/>
              </w:rPr>
            </w:pPr>
            <w:del w:id="12482" w:author="AbbVie02no" w:date="2025-05-15T13:57:00Z">
              <w:r w:rsidRPr="009C5EFD">
                <w:rPr>
                  <w:b/>
                  <w:sz w:val="22"/>
                  <w:szCs w:val="22"/>
                </w:rPr>
                <w:lastRenderedPageBreak/>
                <w:delText>MINSTEKRAV TIL OPPLYSNINGER SOM SKAL ANGIS PÅ BLISTER</w:delText>
              </w:r>
              <w:r w:rsidR="000629D5">
                <w:rPr>
                  <w:b/>
                  <w:sz w:val="22"/>
                  <w:szCs w:val="22"/>
                </w:rPr>
                <w:delText xml:space="preserve"> ELLER STRIP</w:delText>
              </w:r>
            </w:del>
          </w:p>
          <w:p w14:paraId="5E6A46AA" w14:textId="083C78EB" w:rsidR="00DE3458" w:rsidRPr="009C5EFD" w:rsidRDefault="00DE3458" w:rsidP="00243BE3">
            <w:pPr>
              <w:rPr>
                <w:del w:id="12483" w:author="AbbVie02no" w:date="2025-05-15T13:57:00Z"/>
                <w:b/>
                <w:sz w:val="22"/>
                <w:szCs w:val="22"/>
              </w:rPr>
            </w:pPr>
          </w:p>
          <w:p w14:paraId="2E25DD5C" w14:textId="3CBF8C5E" w:rsidR="00DE3458" w:rsidRPr="009C5EFD" w:rsidRDefault="00E453CD" w:rsidP="00243BE3">
            <w:pPr>
              <w:rPr>
                <w:del w:id="12484" w:author="AbbVie02no" w:date="2025-05-15T13:57:00Z"/>
                <w:b/>
                <w:sz w:val="22"/>
                <w:szCs w:val="22"/>
              </w:rPr>
            </w:pPr>
            <w:del w:id="12485" w:author="AbbVie02no" w:date="2025-05-15T13:57:00Z">
              <w:r>
                <w:rPr>
                  <w:b/>
                  <w:sz w:val="22"/>
                  <w:szCs w:val="22"/>
                </w:rPr>
                <w:delText>TEKST PÅ BRETT</w:delText>
              </w:r>
            </w:del>
          </w:p>
        </w:tc>
      </w:tr>
    </w:tbl>
    <w:p w14:paraId="7875538E" w14:textId="01A15855" w:rsidR="00DE3458" w:rsidRPr="009C5EFD" w:rsidRDefault="00DE3458">
      <w:pPr>
        <w:rPr>
          <w:del w:id="12486" w:author="AbbVie02no" w:date="2025-05-15T13:57:00Z"/>
          <w:sz w:val="22"/>
          <w:szCs w:val="22"/>
        </w:rPr>
        <w:pPrChange w:id="12487" w:author="AbbVie02no" w:date="2025-05-15T13:57:00Z">
          <w:pPr>
            <w:ind w:left="54"/>
          </w:pPr>
        </w:pPrChange>
      </w:pPr>
    </w:p>
    <w:p w14:paraId="481369D8" w14:textId="25C65CAB" w:rsidR="00DE3458" w:rsidRPr="009C5EFD" w:rsidRDefault="00DE3458">
      <w:pPr>
        <w:rPr>
          <w:del w:id="12488" w:author="AbbVie02no" w:date="2025-05-15T13:57:00Z"/>
          <w:b/>
          <w:sz w:val="22"/>
          <w:szCs w:val="22"/>
        </w:rPr>
        <w:pPrChange w:id="12489" w:author="AbbVie02no" w:date="2025-05-15T13:57:00Z">
          <w:pPr>
            <w:ind w:left="621" w:hanging="567"/>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2733E8F" w14:textId="5ACDB9EE">
        <w:trPr>
          <w:del w:id="12490" w:author="AbbVie02no" w:date="2025-05-15T13:57:00Z"/>
        </w:trPr>
        <w:tc>
          <w:tcPr>
            <w:tcW w:w="9281" w:type="dxa"/>
          </w:tcPr>
          <w:p w14:paraId="2BD055AB" w14:textId="69A42FE1" w:rsidR="00DE3458" w:rsidRPr="009C5EFD" w:rsidRDefault="00E453CD">
            <w:pPr>
              <w:rPr>
                <w:del w:id="12491" w:author="AbbVie02no" w:date="2025-05-15T13:57:00Z"/>
                <w:b/>
                <w:sz w:val="22"/>
                <w:szCs w:val="22"/>
              </w:rPr>
              <w:pPrChange w:id="12492" w:author="AbbVie02no" w:date="2025-05-15T13:57:00Z">
                <w:pPr>
                  <w:ind w:left="567" w:hanging="567"/>
                </w:pPr>
              </w:pPrChange>
            </w:pPr>
            <w:del w:id="12493" w:author="AbbVie02no" w:date="2025-05-15T13:57:00Z">
              <w:r w:rsidRPr="009C5EFD">
                <w:rPr>
                  <w:b/>
                  <w:sz w:val="22"/>
                  <w:szCs w:val="22"/>
                </w:rPr>
                <w:delText>1.</w:delText>
              </w:r>
              <w:r w:rsidRPr="009C5EFD">
                <w:rPr>
                  <w:b/>
                  <w:sz w:val="22"/>
                  <w:szCs w:val="22"/>
                </w:rPr>
                <w:tab/>
                <w:delText>LEGEMIDLETS NAVN</w:delText>
              </w:r>
            </w:del>
          </w:p>
        </w:tc>
      </w:tr>
    </w:tbl>
    <w:p w14:paraId="4A33F20E" w14:textId="2162CE95" w:rsidR="00DE3458" w:rsidRPr="009C5EFD" w:rsidRDefault="00DE3458">
      <w:pPr>
        <w:rPr>
          <w:del w:id="12494" w:author="AbbVie02no" w:date="2025-05-15T13:57:00Z"/>
          <w:sz w:val="22"/>
          <w:szCs w:val="22"/>
        </w:rPr>
        <w:pPrChange w:id="12495" w:author="AbbVie02no" w:date="2025-05-15T13:57:00Z">
          <w:pPr>
            <w:suppressAutoHyphens/>
            <w:ind w:left="54"/>
          </w:pPr>
        </w:pPrChange>
      </w:pPr>
    </w:p>
    <w:p w14:paraId="45D9D189" w14:textId="06B65C48" w:rsidR="00DE3458" w:rsidRPr="009C5EFD" w:rsidRDefault="00E453CD">
      <w:pPr>
        <w:rPr>
          <w:del w:id="12496" w:author="AbbVie02no" w:date="2025-05-15T13:57:00Z"/>
          <w:sz w:val="22"/>
          <w:szCs w:val="22"/>
        </w:rPr>
        <w:pPrChange w:id="12497" w:author="AbbVie02no" w:date="2025-05-15T13:57:00Z">
          <w:pPr>
            <w:suppressAutoHyphens/>
            <w:ind w:left="54"/>
          </w:pPr>
        </w:pPrChange>
      </w:pPr>
      <w:del w:id="12498" w:author="AbbVie02no" w:date="2025-05-15T13:57:00Z">
        <w:r w:rsidRPr="009C5EFD">
          <w:rPr>
            <w:sz w:val="22"/>
            <w:szCs w:val="22"/>
          </w:rPr>
          <w:delText>Humira 40 mg injeksjonsvæske, oppløsning i ferdigfylt sprøyte</w:delText>
        </w:r>
      </w:del>
    </w:p>
    <w:p w14:paraId="5048556D" w14:textId="7D0A7E5A" w:rsidR="00DE3458" w:rsidRPr="009C5EFD" w:rsidRDefault="00E453CD">
      <w:pPr>
        <w:rPr>
          <w:del w:id="12499" w:author="AbbVie02no" w:date="2025-05-15T13:57:00Z"/>
          <w:sz w:val="22"/>
          <w:szCs w:val="22"/>
        </w:rPr>
        <w:pPrChange w:id="12500" w:author="AbbVie02no" w:date="2025-05-15T13:57:00Z">
          <w:pPr>
            <w:suppressAutoHyphens/>
            <w:ind w:left="54"/>
          </w:pPr>
        </w:pPrChange>
      </w:pPr>
      <w:del w:id="12501" w:author="AbbVie02no" w:date="2025-05-15T13:57:00Z">
        <w:r w:rsidRPr="009C5EFD">
          <w:rPr>
            <w:sz w:val="22"/>
            <w:szCs w:val="22"/>
          </w:rPr>
          <w:delText>adalimumab</w:delText>
        </w:r>
      </w:del>
    </w:p>
    <w:p w14:paraId="02021C94" w14:textId="169E46B9" w:rsidR="00DE3458" w:rsidRPr="009C5EFD" w:rsidRDefault="00DE3458">
      <w:pPr>
        <w:rPr>
          <w:del w:id="12502" w:author="AbbVie02no" w:date="2025-05-15T13:57:00Z"/>
          <w:sz w:val="22"/>
          <w:szCs w:val="22"/>
        </w:rPr>
        <w:pPrChange w:id="12503" w:author="AbbVie02no" w:date="2025-05-15T13:57:00Z">
          <w:pPr>
            <w:suppressAutoHyphens/>
            <w:ind w:left="54"/>
          </w:pPr>
        </w:pPrChange>
      </w:pPr>
    </w:p>
    <w:p w14:paraId="260F1569" w14:textId="510BDCC8" w:rsidR="00DE3458" w:rsidRPr="009C5EFD" w:rsidRDefault="00DE3458">
      <w:pPr>
        <w:rPr>
          <w:del w:id="12504" w:author="AbbVie02no" w:date="2025-05-15T13:57:00Z"/>
          <w:sz w:val="22"/>
          <w:szCs w:val="22"/>
        </w:rPr>
        <w:pPrChange w:id="12505"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FA9E5A3" w14:textId="5EF5CEE6">
        <w:trPr>
          <w:del w:id="12506" w:author="AbbVie02no" w:date="2025-05-15T13:57:00Z"/>
        </w:trPr>
        <w:tc>
          <w:tcPr>
            <w:tcW w:w="9281" w:type="dxa"/>
          </w:tcPr>
          <w:p w14:paraId="2BB5271A" w14:textId="7CD6FEB1" w:rsidR="00DE3458" w:rsidRPr="009C5EFD" w:rsidRDefault="00E453CD">
            <w:pPr>
              <w:rPr>
                <w:del w:id="12507" w:author="AbbVie02no" w:date="2025-05-15T13:57:00Z"/>
                <w:b/>
                <w:sz w:val="22"/>
                <w:szCs w:val="22"/>
              </w:rPr>
              <w:pPrChange w:id="12508" w:author="AbbVie02no" w:date="2025-05-15T13:57:00Z">
                <w:pPr>
                  <w:ind w:left="567" w:hanging="567"/>
                </w:pPr>
              </w:pPrChange>
            </w:pPr>
            <w:del w:id="12509" w:author="AbbVie02no" w:date="2025-05-15T13:57:00Z">
              <w:r w:rsidRPr="009C5EFD">
                <w:rPr>
                  <w:b/>
                  <w:sz w:val="22"/>
                  <w:szCs w:val="22"/>
                </w:rPr>
                <w:delText>2.</w:delText>
              </w:r>
              <w:r w:rsidRPr="009C5EFD">
                <w:rPr>
                  <w:b/>
                  <w:sz w:val="22"/>
                  <w:szCs w:val="22"/>
                </w:rPr>
                <w:tab/>
                <w:delText>NAVN PÅ INNEHAVEREN AV MARKEDSFØRINGSTILLATELSEN</w:delText>
              </w:r>
            </w:del>
          </w:p>
        </w:tc>
      </w:tr>
    </w:tbl>
    <w:p w14:paraId="13DB8C36" w14:textId="170F3E79" w:rsidR="00DE3458" w:rsidRPr="009C5EFD" w:rsidRDefault="00DE3458">
      <w:pPr>
        <w:rPr>
          <w:del w:id="12510" w:author="AbbVie02no" w:date="2025-05-15T13:57:00Z"/>
          <w:sz w:val="22"/>
          <w:szCs w:val="22"/>
        </w:rPr>
        <w:pPrChange w:id="12511" w:author="AbbVie02no" w:date="2025-05-15T13:57:00Z">
          <w:pPr>
            <w:suppressAutoHyphens/>
            <w:ind w:left="54"/>
          </w:pPr>
        </w:pPrChange>
      </w:pPr>
    </w:p>
    <w:p w14:paraId="689EBFF8" w14:textId="4C4F6706" w:rsidR="00DE3458" w:rsidRPr="009C5EFD" w:rsidRDefault="00E453CD">
      <w:pPr>
        <w:rPr>
          <w:del w:id="12512" w:author="AbbVie02no" w:date="2025-05-15T13:57:00Z"/>
          <w:sz w:val="22"/>
          <w:szCs w:val="22"/>
        </w:rPr>
        <w:pPrChange w:id="12513" w:author="AbbVie02no" w:date="2025-05-15T13:57:00Z">
          <w:pPr>
            <w:suppressAutoHyphens/>
            <w:ind w:left="54"/>
          </w:pPr>
        </w:pPrChange>
      </w:pPr>
      <w:del w:id="12514" w:author="AbbVie02no" w:date="2025-05-15T13:57:00Z">
        <w:r w:rsidRPr="009C5EFD">
          <w:rPr>
            <w:sz w:val="22"/>
            <w:szCs w:val="22"/>
          </w:rPr>
          <w:delText xml:space="preserve">AbbVie </w:delText>
        </w:r>
        <w:r w:rsidR="00851837" w:rsidRPr="00637363">
          <w:rPr>
            <w:sz w:val="22"/>
            <w:szCs w:val="22"/>
            <w:highlight w:val="lightGray"/>
          </w:rPr>
          <w:delText>(som logo)</w:delText>
        </w:r>
      </w:del>
    </w:p>
    <w:p w14:paraId="2D376A75" w14:textId="1D3038CF" w:rsidR="00DE3458" w:rsidRPr="009C5EFD" w:rsidRDefault="00DE3458">
      <w:pPr>
        <w:rPr>
          <w:del w:id="12515" w:author="AbbVie02no" w:date="2025-05-15T13:57:00Z"/>
          <w:sz w:val="22"/>
          <w:szCs w:val="22"/>
        </w:rPr>
        <w:pPrChange w:id="12516" w:author="AbbVie02no" w:date="2025-05-15T13:57:00Z">
          <w:pPr>
            <w:suppressAutoHyphens/>
            <w:ind w:left="54"/>
          </w:pPr>
        </w:pPrChange>
      </w:pPr>
    </w:p>
    <w:p w14:paraId="41FBCA6B" w14:textId="5E0018B1" w:rsidR="00DE3458" w:rsidRPr="009C5EFD" w:rsidRDefault="00DE3458">
      <w:pPr>
        <w:rPr>
          <w:del w:id="12517" w:author="AbbVie02no" w:date="2025-05-15T13:57:00Z"/>
          <w:sz w:val="22"/>
          <w:szCs w:val="22"/>
        </w:rPr>
        <w:pPrChange w:id="12518"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6ACAFCD" w14:textId="74B13CAC">
        <w:trPr>
          <w:del w:id="12519" w:author="AbbVie02no" w:date="2025-05-15T13:57:00Z"/>
        </w:trPr>
        <w:tc>
          <w:tcPr>
            <w:tcW w:w="9281" w:type="dxa"/>
          </w:tcPr>
          <w:p w14:paraId="73914262" w14:textId="19B2A002" w:rsidR="00DE3458" w:rsidRPr="009C5EFD" w:rsidRDefault="00E453CD">
            <w:pPr>
              <w:rPr>
                <w:del w:id="12520" w:author="AbbVie02no" w:date="2025-05-15T13:57:00Z"/>
                <w:b/>
                <w:sz w:val="22"/>
                <w:szCs w:val="22"/>
              </w:rPr>
              <w:pPrChange w:id="12521" w:author="AbbVie02no" w:date="2025-05-15T13:57:00Z">
                <w:pPr>
                  <w:ind w:left="567" w:hanging="567"/>
                </w:pPr>
              </w:pPrChange>
            </w:pPr>
            <w:del w:id="12522" w:author="AbbVie02no" w:date="2025-05-15T13:57:00Z">
              <w:r w:rsidRPr="009C5EFD">
                <w:rPr>
                  <w:b/>
                  <w:sz w:val="22"/>
                  <w:szCs w:val="22"/>
                </w:rPr>
                <w:delText>3.</w:delText>
              </w:r>
              <w:r w:rsidRPr="009C5EFD">
                <w:rPr>
                  <w:b/>
                  <w:sz w:val="22"/>
                  <w:szCs w:val="22"/>
                </w:rPr>
                <w:tab/>
                <w:delText>UTLØPSDATO</w:delText>
              </w:r>
            </w:del>
          </w:p>
        </w:tc>
      </w:tr>
    </w:tbl>
    <w:p w14:paraId="49E10B3D" w14:textId="4E718B6B" w:rsidR="00DE3458" w:rsidRPr="009C5EFD" w:rsidRDefault="00DE3458">
      <w:pPr>
        <w:rPr>
          <w:del w:id="12523" w:author="AbbVie02no" w:date="2025-05-15T13:57:00Z"/>
          <w:sz w:val="22"/>
          <w:szCs w:val="22"/>
        </w:rPr>
        <w:pPrChange w:id="12524" w:author="AbbVie02no" w:date="2025-05-15T13:57:00Z">
          <w:pPr>
            <w:suppressAutoHyphens/>
            <w:ind w:left="54"/>
            <w:jc w:val="both"/>
          </w:pPr>
        </w:pPrChange>
      </w:pPr>
    </w:p>
    <w:p w14:paraId="5978ECBD" w14:textId="5EF44968" w:rsidR="00DE3458" w:rsidRPr="009C5EFD" w:rsidRDefault="00E453CD">
      <w:pPr>
        <w:rPr>
          <w:del w:id="12525" w:author="AbbVie02no" w:date="2025-05-15T13:57:00Z"/>
          <w:sz w:val="22"/>
          <w:szCs w:val="22"/>
        </w:rPr>
        <w:pPrChange w:id="12526" w:author="AbbVie02no" w:date="2025-05-15T13:57:00Z">
          <w:pPr>
            <w:suppressAutoHyphens/>
            <w:ind w:left="54"/>
            <w:jc w:val="both"/>
          </w:pPr>
        </w:pPrChange>
      </w:pPr>
      <w:del w:id="12527" w:author="AbbVie02no" w:date="2025-05-15T13:57:00Z">
        <w:r>
          <w:rPr>
            <w:sz w:val="22"/>
            <w:szCs w:val="22"/>
          </w:rPr>
          <w:delText>EXP</w:delText>
        </w:r>
      </w:del>
    </w:p>
    <w:p w14:paraId="0F1EF6BD" w14:textId="5CB1094D" w:rsidR="00DE3458" w:rsidRPr="009C5EFD" w:rsidRDefault="00DE3458">
      <w:pPr>
        <w:rPr>
          <w:del w:id="12528" w:author="AbbVie02no" w:date="2025-05-15T13:57:00Z"/>
          <w:sz w:val="22"/>
          <w:szCs w:val="22"/>
        </w:rPr>
        <w:pPrChange w:id="12529" w:author="AbbVie02no" w:date="2025-05-15T13:57:00Z">
          <w:pPr>
            <w:suppressAutoHyphens/>
            <w:ind w:left="54"/>
            <w:jc w:val="both"/>
          </w:pPr>
        </w:pPrChange>
      </w:pPr>
    </w:p>
    <w:p w14:paraId="31EC6F9A" w14:textId="0EBEA5BE" w:rsidR="00DE3458" w:rsidRPr="009C5EFD" w:rsidRDefault="00DE3458">
      <w:pPr>
        <w:rPr>
          <w:del w:id="12530" w:author="AbbVie02no" w:date="2025-05-15T13:57:00Z"/>
          <w:sz w:val="22"/>
          <w:szCs w:val="22"/>
        </w:rPr>
        <w:pPrChange w:id="12531" w:author="AbbVie02no" w:date="2025-05-15T13:57:00Z">
          <w:pPr>
            <w:suppressAutoHyphens/>
            <w:ind w:left="54"/>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B8F4CA0" w14:textId="70002F59">
        <w:trPr>
          <w:del w:id="12532" w:author="AbbVie02no" w:date="2025-05-15T13:57:00Z"/>
        </w:trPr>
        <w:tc>
          <w:tcPr>
            <w:tcW w:w="9281" w:type="dxa"/>
          </w:tcPr>
          <w:p w14:paraId="56823099" w14:textId="0611B2AC" w:rsidR="00DE3458" w:rsidRPr="009C5EFD" w:rsidRDefault="00E453CD">
            <w:pPr>
              <w:rPr>
                <w:del w:id="12533" w:author="AbbVie02no" w:date="2025-05-15T13:57:00Z"/>
                <w:b/>
                <w:sz w:val="22"/>
                <w:szCs w:val="22"/>
              </w:rPr>
              <w:pPrChange w:id="12534" w:author="AbbVie02no" w:date="2025-05-15T13:57:00Z">
                <w:pPr>
                  <w:ind w:left="567" w:hanging="567"/>
                </w:pPr>
              </w:pPrChange>
            </w:pPr>
            <w:del w:id="12535" w:author="AbbVie02no" w:date="2025-05-15T13:57:00Z">
              <w:r w:rsidRPr="009C5EFD">
                <w:rPr>
                  <w:b/>
                  <w:sz w:val="22"/>
                  <w:szCs w:val="22"/>
                </w:rPr>
                <w:delText>4.</w:delText>
              </w:r>
              <w:r w:rsidRPr="009C5EFD">
                <w:rPr>
                  <w:b/>
                  <w:sz w:val="22"/>
                  <w:szCs w:val="22"/>
                </w:rPr>
                <w:tab/>
                <w:delText>PRODUKSJONSNUMMER</w:delText>
              </w:r>
            </w:del>
          </w:p>
        </w:tc>
      </w:tr>
    </w:tbl>
    <w:p w14:paraId="237B774F" w14:textId="52255261" w:rsidR="00DE3458" w:rsidRPr="009C5EFD" w:rsidRDefault="00DE3458">
      <w:pPr>
        <w:rPr>
          <w:del w:id="12536" w:author="AbbVie02no" w:date="2025-05-15T13:57:00Z"/>
          <w:sz w:val="22"/>
          <w:szCs w:val="22"/>
        </w:rPr>
        <w:pPrChange w:id="12537" w:author="AbbVie02no" w:date="2025-05-15T13:57:00Z">
          <w:pPr>
            <w:suppressAutoHyphens/>
            <w:ind w:left="54"/>
            <w:jc w:val="both"/>
          </w:pPr>
        </w:pPrChange>
      </w:pPr>
    </w:p>
    <w:p w14:paraId="529CDBBA" w14:textId="435D7DF8" w:rsidR="00DE3458" w:rsidRPr="009C5EFD" w:rsidRDefault="00E453CD">
      <w:pPr>
        <w:rPr>
          <w:del w:id="12538" w:author="AbbVie02no" w:date="2025-05-15T13:57:00Z"/>
          <w:sz w:val="22"/>
          <w:szCs w:val="22"/>
        </w:rPr>
        <w:pPrChange w:id="12539" w:author="AbbVie02no" w:date="2025-05-15T13:57:00Z">
          <w:pPr>
            <w:suppressAutoHyphens/>
            <w:ind w:left="54"/>
            <w:jc w:val="both"/>
          </w:pPr>
        </w:pPrChange>
      </w:pPr>
      <w:del w:id="12540" w:author="AbbVie02no" w:date="2025-05-15T13:57:00Z">
        <w:r w:rsidRPr="009C5EFD">
          <w:rPr>
            <w:sz w:val="22"/>
            <w:szCs w:val="22"/>
          </w:rPr>
          <w:delText>Lot</w:delText>
        </w:r>
      </w:del>
    </w:p>
    <w:p w14:paraId="66A65A17" w14:textId="74B6588D" w:rsidR="00E03A87" w:rsidRDefault="00E03A87">
      <w:pPr>
        <w:rPr>
          <w:del w:id="12541" w:author="AbbVie02no" w:date="2025-05-15T13:57:00Z"/>
          <w:sz w:val="22"/>
          <w:szCs w:val="22"/>
        </w:rPr>
        <w:pPrChange w:id="12542" w:author="AbbVie02no" w:date="2025-05-15T13:57:00Z">
          <w:pPr>
            <w:suppressAutoHyphens/>
            <w:ind w:left="54"/>
            <w:jc w:val="both"/>
          </w:pPr>
        </w:pPrChange>
      </w:pPr>
    </w:p>
    <w:p w14:paraId="16DB174C" w14:textId="127001AD" w:rsidR="00450F58" w:rsidRPr="009C5EFD" w:rsidRDefault="00450F58">
      <w:pPr>
        <w:rPr>
          <w:del w:id="12543" w:author="AbbVie02no" w:date="2025-05-15T13:57:00Z"/>
          <w:sz w:val="22"/>
          <w:szCs w:val="22"/>
        </w:rPr>
        <w:pPrChange w:id="12544" w:author="AbbVie02no" w:date="2025-05-15T13:57:00Z">
          <w:pPr>
            <w:suppressAutoHyphens/>
            <w:ind w:left="54"/>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4E39D80" w14:textId="1E1F6663">
        <w:trPr>
          <w:del w:id="12545" w:author="AbbVie02no" w:date="2025-05-15T13:57:00Z"/>
        </w:trPr>
        <w:tc>
          <w:tcPr>
            <w:tcW w:w="9281" w:type="dxa"/>
          </w:tcPr>
          <w:p w14:paraId="6E198A82" w14:textId="1EC59CDC" w:rsidR="00DE3458" w:rsidRPr="009C5EFD" w:rsidRDefault="00E453CD">
            <w:pPr>
              <w:rPr>
                <w:del w:id="12546" w:author="AbbVie02no" w:date="2025-05-15T13:57:00Z"/>
                <w:b/>
                <w:sz w:val="22"/>
                <w:szCs w:val="22"/>
              </w:rPr>
              <w:pPrChange w:id="12547" w:author="AbbVie02no" w:date="2025-05-15T13:57:00Z">
                <w:pPr>
                  <w:ind w:left="567" w:hanging="567"/>
                </w:pPr>
              </w:pPrChange>
            </w:pPr>
            <w:del w:id="12548" w:author="AbbVie02no" w:date="2025-05-15T13:57:00Z">
              <w:r w:rsidRPr="009C5EFD">
                <w:rPr>
                  <w:b/>
                  <w:sz w:val="22"/>
                  <w:szCs w:val="22"/>
                </w:rPr>
                <w:delText>5.</w:delText>
              </w:r>
              <w:r w:rsidRPr="009C5EFD">
                <w:rPr>
                  <w:b/>
                  <w:sz w:val="22"/>
                  <w:szCs w:val="22"/>
                </w:rPr>
                <w:tab/>
                <w:delText>ANNET</w:delText>
              </w:r>
            </w:del>
          </w:p>
        </w:tc>
      </w:tr>
    </w:tbl>
    <w:p w14:paraId="0B1E3682" w14:textId="35A79BDD" w:rsidR="00DE3458" w:rsidRPr="009C5EFD" w:rsidRDefault="00DE3458">
      <w:pPr>
        <w:rPr>
          <w:del w:id="12549" w:author="AbbVie02no" w:date="2025-05-15T13:57:00Z"/>
          <w:sz w:val="22"/>
          <w:szCs w:val="22"/>
        </w:rPr>
        <w:pPrChange w:id="12550" w:author="AbbVie02no" w:date="2025-05-15T13:57:00Z">
          <w:pPr>
            <w:ind w:left="54"/>
          </w:pPr>
        </w:pPrChange>
      </w:pPr>
    </w:p>
    <w:p w14:paraId="211DC822" w14:textId="4DC24925" w:rsidR="004755B1" w:rsidRDefault="00E453CD">
      <w:pPr>
        <w:rPr>
          <w:del w:id="12551" w:author="AbbVie02no" w:date="2025-05-15T13:57:00Z"/>
          <w:sz w:val="22"/>
          <w:szCs w:val="22"/>
        </w:rPr>
        <w:pPrChange w:id="12552" w:author="AbbVie02no" w:date="2025-05-15T13:57:00Z">
          <w:pPr>
            <w:suppressAutoHyphens/>
          </w:pPr>
        </w:pPrChange>
      </w:pPr>
      <w:del w:id="12553" w:author="AbbVie02no" w:date="2025-05-15T13:57:00Z">
        <w:r w:rsidRPr="009C5EFD">
          <w:rPr>
            <w:sz w:val="22"/>
            <w:szCs w:val="22"/>
          </w:rPr>
          <w:delText>Se pakningsvedlegg for informasjon om oppbevaring.</w:delText>
        </w:r>
      </w:del>
    </w:p>
    <w:p w14:paraId="0E938EF4" w14:textId="317CF4C6" w:rsidR="00870CCE" w:rsidRDefault="00870CCE">
      <w:pPr>
        <w:rPr>
          <w:del w:id="12554" w:author="AbbVie02no" w:date="2025-05-15T13:57:00Z"/>
          <w:sz w:val="22"/>
          <w:szCs w:val="22"/>
        </w:rPr>
        <w:pPrChange w:id="12555" w:author="AbbVie02no" w:date="2025-05-15T13:57:00Z">
          <w:pPr>
            <w:suppressAutoHyphens/>
          </w:pPr>
        </w:pPrChange>
      </w:pPr>
    </w:p>
    <w:p w14:paraId="4DDFEEDF" w14:textId="2BB9EB65" w:rsidR="004755B1" w:rsidRDefault="00E453CD">
      <w:pPr>
        <w:rPr>
          <w:del w:id="12556" w:author="AbbVie02no" w:date="2025-05-15T13:57:00Z"/>
          <w:sz w:val="22"/>
          <w:szCs w:val="22"/>
        </w:rPr>
        <w:pPrChange w:id="12557" w:author="AbbVie02no" w:date="2025-05-15T13:57:00Z">
          <w:pPr>
            <w:suppressAutoHyphens/>
          </w:pPr>
        </w:pPrChange>
      </w:pPr>
      <w:del w:id="12558" w:author="AbbVie02no" w:date="2025-05-15T13:57:00Z">
        <w:r w:rsidRPr="009C5EFD">
          <w:rPr>
            <w:sz w:val="22"/>
            <w:szCs w:val="22"/>
          </w:rPr>
          <w:delText>Kun til engangsbruk</w:delText>
        </w:r>
        <w:r w:rsidR="00AE2643" w:rsidRPr="009C5EFD">
          <w:rPr>
            <w:sz w:val="22"/>
            <w:szCs w:val="22"/>
          </w:rPr>
          <w:delText>.</w:delText>
        </w:r>
      </w:del>
    </w:p>
    <w:p w14:paraId="22DBBEC0" w14:textId="16885324" w:rsidR="004755B1" w:rsidRDefault="004755B1">
      <w:pPr>
        <w:rPr>
          <w:del w:id="12559" w:author="AbbVie02no" w:date="2025-05-15T13:57:00Z"/>
          <w:sz w:val="22"/>
          <w:szCs w:val="22"/>
        </w:rPr>
        <w:pPrChange w:id="12560" w:author="AbbVie02no" w:date="2025-05-15T13:57:00Z">
          <w:pPr>
            <w:suppressAutoHyphens/>
          </w:pPr>
        </w:pPrChange>
      </w:pPr>
    </w:p>
    <w:p w14:paraId="63318824" w14:textId="711C8766" w:rsidR="00DE3458" w:rsidRPr="009C5EFD" w:rsidRDefault="00E453CD">
      <w:pPr>
        <w:rPr>
          <w:del w:id="12561" w:author="AbbVie02no" w:date="2025-05-15T13:57:00Z"/>
          <w:b/>
          <w:sz w:val="22"/>
          <w:szCs w:val="22"/>
        </w:rPr>
        <w:pPrChange w:id="12562" w:author="AbbVie02no" w:date="2025-05-15T13:57:00Z">
          <w:pPr>
            <w:suppressAutoHyphens/>
          </w:pPr>
        </w:pPrChange>
      </w:pPr>
      <w:del w:id="12563" w:author="AbbVie02no" w:date="2025-05-15T13:57:00Z">
        <w:r>
          <w:rPr>
            <w:sz w:val="22"/>
            <w:szCs w:val="22"/>
          </w:rPr>
          <w:delText>Med kanylebeskyttelse</w:delText>
        </w:r>
        <w:r w:rsidR="00256837">
          <w:rPr>
            <w:sz w:val="22"/>
            <w:szCs w:val="22"/>
          </w:rPr>
          <w:delText>.</w:delText>
        </w:r>
        <w:r w:rsidRPr="009C5EFD">
          <w:rPr>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EF19FF7" w14:textId="01DD4371">
        <w:trPr>
          <w:trHeight w:val="1070"/>
          <w:del w:id="12564" w:author="AbbVie02no" w:date="2025-05-15T13:57:00Z"/>
        </w:trPr>
        <w:tc>
          <w:tcPr>
            <w:tcW w:w="9281" w:type="dxa"/>
            <w:tcBorders>
              <w:bottom w:val="single" w:sz="4" w:space="0" w:color="auto"/>
            </w:tcBorders>
          </w:tcPr>
          <w:p w14:paraId="7E40B659" w14:textId="7C88BFFD" w:rsidR="00DE3458" w:rsidRPr="009C5EFD" w:rsidRDefault="00E453CD">
            <w:pPr>
              <w:rPr>
                <w:del w:id="12565" w:author="AbbVie02no" w:date="2025-05-15T13:57:00Z"/>
                <w:b/>
                <w:sz w:val="22"/>
                <w:szCs w:val="22"/>
              </w:rPr>
              <w:pPrChange w:id="12566" w:author="AbbVie02no" w:date="2025-05-15T13:57:00Z">
                <w:pPr>
                  <w:suppressAutoHyphens/>
                </w:pPr>
              </w:pPrChange>
            </w:pPr>
            <w:del w:id="12567" w:author="AbbVie02no" w:date="2025-05-15T13:57:00Z">
              <w:r w:rsidRPr="009C5EFD">
                <w:rPr>
                  <w:b/>
                  <w:sz w:val="22"/>
                  <w:szCs w:val="22"/>
                </w:rPr>
                <w:lastRenderedPageBreak/>
                <w:delText>MINSTEKRAV TIL OPPLYSNINGER SOM SKAL ANGIS PÅ SMÅ INDRE EMBALLASJER</w:delText>
              </w:r>
            </w:del>
          </w:p>
          <w:p w14:paraId="13A07C68" w14:textId="253A3F41" w:rsidR="00DE3458" w:rsidRPr="009C5EFD" w:rsidRDefault="00DE3458">
            <w:pPr>
              <w:rPr>
                <w:del w:id="12568" w:author="AbbVie02no" w:date="2025-05-15T13:57:00Z"/>
                <w:b/>
                <w:sz w:val="22"/>
                <w:szCs w:val="22"/>
              </w:rPr>
              <w:pPrChange w:id="12569" w:author="AbbVie02no" w:date="2025-05-15T13:57:00Z">
                <w:pPr>
                  <w:suppressAutoHyphens/>
                </w:pPr>
              </w:pPrChange>
            </w:pPr>
          </w:p>
          <w:p w14:paraId="0ED14FDE" w14:textId="044FBB9E" w:rsidR="00DE3458" w:rsidRPr="009C5EFD" w:rsidRDefault="00E453CD">
            <w:pPr>
              <w:rPr>
                <w:del w:id="12570" w:author="AbbVie02no" w:date="2025-05-15T13:57:00Z"/>
                <w:b/>
                <w:sz w:val="22"/>
                <w:szCs w:val="22"/>
              </w:rPr>
              <w:pPrChange w:id="12571" w:author="AbbVie02no" w:date="2025-05-15T13:57:00Z">
                <w:pPr>
                  <w:suppressAutoHyphens/>
                </w:pPr>
              </w:pPrChange>
            </w:pPr>
            <w:del w:id="12572" w:author="AbbVie02no" w:date="2025-05-15T13:57:00Z">
              <w:r>
                <w:rPr>
                  <w:b/>
                  <w:sz w:val="22"/>
                  <w:szCs w:val="22"/>
                </w:rPr>
                <w:delText>ETIKETT PÅ SPRØYTE</w:delText>
              </w:r>
            </w:del>
          </w:p>
        </w:tc>
      </w:tr>
    </w:tbl>
    <w:p w14:paraId="66926F90" w14:textId="2070EB84" w:rsidR="00DE3458" w:rsidRPr="009C5EFD" w:rsidRDefault="00DE3458">
      <w:pPr>
        <w:rPr>
          <w:del w:id="12573" w:author="AbbVie02no" w:date="2025-05-15T13:57:00Z"/>
          <w:sz w:val="22"/>
          <w:szCs w:val="22"/>
        </w:rPr>
        <w:pPrChange w:id="12574" w:author="AbbVie02no" w:date="2025-05-15T13:57:00Z">
          <w:pPr>
            <w:suppressAutoHyphens/>
            <w:ind w:left="54"/>
            <w:jc w:val="both"/>
          </w:pPr>
        </w:pPrChange>
      </w:pPr>
    </w:p>
    <w:p w14:paraId="1ACEE74B" w14:textId="2707F9E7" w:rsidR="00DE3458" w:rsidRPr="009C5EFD" w:rsidRDefault="00DE3458">
      <w:pPr>
        <w:rPr>
          <w:del w:id="12575" w:author="AbbVie02no" w:date="2025-05-15T13:57:00Z"/>
          <w:sz w:val="22"/>
          <w:szCs w:val="22"/>
        </w:rPr>
        <w:pPrChange w:id="12576" w:author="AbbVie02no" w:date="2025-05-15T13:57:00Z">
          <w:pPr>
            <w:suppressAutoHyphens/>
            <w:ind w:left="54"/>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7DD89D8" w14:textId="14490159">
        <w:trPr>
          <w:del w:id="12577" w:author="AbbVie02no" w:date="2025-05-15T13:57:00Z"/>
        </w:trPr>
        <w:tc>
          <w:tcPr>
            <w:tcW w:w="9281" w:type="dxa"/>
          </w:tcPr>
          <w:p w14:paraId="0E8BE504" w14:textId="544C759E" w:rsidR="00DE3458" w:rsidRPr="009C5EFD" w:rsidRDefault="00E453CD">
            <w:pPr>
              <w:rPr>
                <w:del w:id="12578" w:author="AbbVie02no" w:date="2025-05-15T13:57:00Z"/>
                <w:b/>
                <w:sz w:val="22"/>
                <w:szCs w:val="22"/>
              </w:rPr>
              <w:pPrChange w:id="12579" w:author="AbbVie02no" w:date="2025-05-15T13:57:00Z">
                <w:pPr>
                  <w:ind w:left="567" w:hanging="567"/>
                </w:pPr>
              </w:pPrChange>
            </w:pPr>
            <w:del w:id="12580" w:author="AbbVie02no" w:date="2025-05-15T13:57:00Z">
              <w:r w:rsidRPr="009C5EFD">
                <w:rPr>
                  <w:b/>
                  <w:sz w:val="22"/>
                  <w:szCs w:val="22"/>
                </w:rPr>
                <w:delText>1.</w:delText>
              </w:r>
              <w:r w:rsidRPr="009C5EFD">
                <w:rPr>
                  <w:b/>
                  <w:sz w:val="22"/>
                  <w:szCs w:val="22"/>
                </w:rPr>
                <w:tab/>
                <w:delText>LEGEMIDLETS NAVN OG ADMINISTRASJONSVEI</w:delText>
              </w:r>
            </w:del>
          </w:p>
        </w:tc>
      </w:tr>
    </w:tbl>
    <w:p w14:paraId="78FDF091" w14:textId="4FC569BB" w:rsidR="00DE3458" w:rsidRPr="009C5EFD" w:rsidRDefault="00DE3458">
      <w:pPr>
        <w:rPr>
          <w:del w:id="12581" w:author="AbbVie02no" w:date="2025-05-15T13:57:00Z"/>
          <w:sz w:val="22"/>
          <w:szCs w:val="22"/>
        </w:rPr>
        <w:pPrChange w:id="12582" w:author="AbbVie02no" w:date="2025-05-15T13:57:00Z">
          <w:pPr>
            <w:suppressAutoHyphens/>
            <w:ind w:left="54"/>
            <w:jc w:val="both"/>
          </w:pPr>
        </w:pPrChange>
      </w:pPr>
    </w:p>
    <w:p w14:paraId="4102E75B" w14:textId="0E972D8E" w:rsidR="00DE3458" w:rsidRPr="009C5EFD" w:rsidRDefault="00E453CD">
      <w:pPr>
        <w:rPr>
          <w:del w:id="12583" w:author="AbbVie02no" w:date="2025-05-15T13:57:00Z"/>
          <w:sz w:val="22"/>
          <w:szCs w:val="22"/>
        </w:rPr>
        <w:pPrChange w:id="12584" w:author="AbbVie02no" w:date="2025-05-15T13:57:00Z">
          <w:pPr>
            <w:suppressAutoHyphens/>
            <w:ind w:left="54"/>
            <w:jc w:val="both"/>
          </w:pPr>
        </w:pPrChange>
      </w:pPr>
      <w:del w:id="12585" w:author="AbbVie02no" w:date="2025-05-15T13:57:00Z">
        <w:r w:rsidRPr="009C5EFD">
          <w:rPr>
            <w:sz w:val="22"/>
            <w:szCs w:val="22"/>
          </w:rPr>
          <w:delText>Humira 40 mg injeksjon</w:delText>
        </w:r>
        <w:r w:rsidR="00256837">
          <w:rPr>
            <w:sz w:val="22"/>
            <w:szCs w:val="22"/>
          </w:rPr>
          <w:delText>svæske</w:delText>
        </w:r>
      </w:del>
    </w:p>
    <w:p w14:paraId="2772717E" w14:textId="25E257FF" w:rsidR="00DE3458" w:rsidRPr="009C5EFD" w:rsidRDefault="00E453CD">
      <w:pPr>
        <w:rPr>
          <w:del w:id="12586" w:author="AbbVie02no" w:date="2025-05-15T13:57:00Z"/>
          <w:sz w:val="22"/>
          <w:szCs w:val="22"/>
        </w:rPr>
        <w:pPrChange w:id="12587" w:author="AbbVie02no" w:date="2025-05-15T13:57:00Z">
          <w:pPr>
            <w:suppressAutoHyphens/>
            <w:ind w:left="54"/>
          </w:pPr>
        </w:pPrChange>
      </w:pPr>
      <w:del w:id="12588" w:author="AbbVie02no" w:date="2025-05-15T13:57:00Z">
        <w:r w:rsidRPr="009C5EFD">
          <w:rPr>
            <w:sz w:val="22"/>
            <w:szCs w:val="22"/>
          </w:rPr>
          <w:delText>adalimumab</w:delText>
        </w:r>
      </w:del>
    </w:p>
    <w:p w14:paraId="6C78A3AC" w14:textId="4DBED563" w:rsidR="00DE3458" w:rsidRPr="00870CCE" w:rsidRDefault="00E453CD">
      <w:pPr>
        <w:rPr>
          <w:del w:id="12589" w:author="AbbVie02no" w:date="2025-05-15T13:57:00Z"/>
          <w:sz w:val="22"/>
          <w:szCs w:val="22"/>
        </w:rPr>
        <w:pPrChange w:id="12590" w:author="AbbVie02no" w:date="2025-05-15T13:57:00Z">
          <w:pPr>
            <w:suppressAutoHyphens/>
            <w:ind w:left="54"/>
            <w:jc w:val="both"/>
          </w:pPr>
        </w:pPrChange>
      </w:pPr>
      <w:del w:id="12591" w:author="AbbVie02no" w:date="2025-05-15T13:57:00Z">
        <w:r>
          <w:rPr>
            <w:sz w:val="22"/>
            <w:szCs w:val="22"/>
          </w:rPr>
          <w:delText>s.c.</w:delText>
        </w:r>
      </w:del>
    </w:p>
    <w:p w14:paraId="6B2BE076" w14:textId="2D0D16CD" w:rsidR="00DE3458" w:rsidRPr="00870CCE" w:rsidRDefault="00DE3458">
      <w:pPr>
        <w:rPr>
          <w:del w:id="12592" w:author="AbbVie02no" w:date="2025-05-15T13:57:00Z"/>
          <w:sz w:val="22"/>
          <w:szCs w:val="22"/>
        </w:rPr>
        <w:pPrChange w:id="12593" w:author="AbbVie02no" w:date="2025-05-15T13:57:00Z">
          <w:pPr>
            <w:suppressAutoHyphens/>
            <w:ind w:left="54"/>
            <w:jc w:val="both"/>
          </w:pPr>
        </w:pPrChange>
      </w:pPr>
    </w:p>
    <w:p w14:paraId="0D4F0D20" w14:textId="6A307629" w:rsidR="00DE3458" w:rsidRPr="009C5EFD" w:rsidRDefault="00DE3458">
      <w:pPr>
        <w:rPr>
          <w:del w:id="12594" w:author="AbbVie02no" w:date="2025-05-15T13:57:00Z"/>
          <w:sz w:val="22"/>
          <w:szCs w:val="22"/>
        </w:rPr>
        <w:pPrChange w:id="12595" w:author="AbbVie02no" w:date="2025-05-15T13:57:00Z">
          <w:pPr>
            <w:suppressAutoHyphens/>
            <w:ind w:left="54"/>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C51CAB9" w14:textId="0CC53667">
        <w:trPr>
          <w:del w:id="12596" w:author="AbbVie02no" w:date="2025-05-15T13:57:00Z"/>
        </w:trPr>
        <w:tc>
          <w:tcPr>
            <w:tcW w:w="9281" w:type="dxa"/>
          </w:tcPr>
          <w:p w14:paraId="2CB73AA6" w14:textId="76328FD8" w:rsidR="00DE3458" w:rsidRPr="009C5EFD" w:rsidRDefault="00E453CD">
            <w:pPr>
              <w:rPr>
                <w:del w:id="12597" w:author="AbbVie02no" w:date="2025-05-15T13:57:00Z"/>
                <w:b/>
                <w:sz w:val="22"/>
                <w:szCs w:val="22"/>
              </w:rPr>
              <w:pPrChange w:id="12598" w:author="AbbVie02no" w:date="2025-05-15T13:57:00Z">
                <w:pPr>
                  <w:ind w:left="567" w:hanging="567"/>
                </w:pPr>
              </w:pPrChange>
            </w:pPr>
            <w:del w:id="12599" w:author="AbbVie02no" w:date="2025-05-15T13:57:00Z">
              <w:r w:rsidRPr="009C5EFD">
                <w:rPr>
                  <w:b/>
                  <w:sz w:val="22"/>
                  <w:szCs w:val="22"/>
                </w:rPr>
                <w:delText>2.</w:delText>
              </w:r>
              <w:r w:rsidRPr="009C5EFD">
                <w:rPr>
                  <w:b/>
                  <w:sz w:val="22"/>
                  <w:szCs w:val="22"/>
                </w:rPr>
                <w:tab/>
                <w:delText>ADMINISTRASJONSMÅTE</w:delText>
              </w:r>
            </w:del>
          </w:p>
        </w:tc>
      </w:tr>
    </w:tbl>
    <w:p w14:paraId="38DADB92" w14:textId="04C4B44F" w:rsidR="00E80992" w:rsidRPr="009C5EFD" w:rsidRDefault="00E80992">
      <w:pPr>
        <w:rPr>
          <w:del w:id="12600" w:author="AbbVie02no" w:date="2025-05-15T13:57:00Z"/>
          <w:sz w:val="22"/>
          <w:szCs w:val="22"/>
        </w:rPr>
        <w:pPrChange w:id="12601" w:author="AbbVie02no" w:date="2025-05-15T13:57:00Z">
          <w:pPr>
            <w:suppressAutoHyphens/>
            <w:ind w:left="54"/>
            <w:jc w:val="both"/>
          </w:pPr>
        </w:pPrChange>
      </w:pPr>
    </w:p>
    <w:p w14:paraId="3F264B01" w14:textId="0945F898" w:rsidR="00DE3458" w:rsidRPr="009C5EFD" w:rsidRDefault="00DE3458">
      <w:pPr>
        <w:rPr>
          <w:del w:id="12602" w:author="AbbVie02no" w:date="2025-05-15T13:57:00Z"/>
          <w:sz w:val="22"/>
          <w:szCs w:val="22"/>
        </w:rPr>
        <w:pPrChange w:id="12603" w:author="AbbVie02no" w:date="2025-05-15T13:57:00Z">
          <w:pPr>
            <w:suppressAutoHyphens/>
            <w:ind w:left="54"/>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96EDFE5" w14:textId="5C2496AA">
        <w:trPr>
          <w:del w:id="12604" w:author="AbbVie02no" w:date="2025-05-15T13:57:00Z"/>
        </w:trPr>
        <w:tc>
          <w:tcPr>
            <w:tcW w:w="9281" w:type="dxa"/>
          </w:tcPr>
          <w:p w14:paraId="3B182C79" w14:textId="33624602" w:rsidR="00DE3458" w:rsidRPr="009C5EFD" w:rsidRDefault="00E453CD">
            <w:pPr>
              <w:rPr>
                <w:del w:id="12605" w:author="AbbVie02no" w:date="2025-05-15T13:57:00Z"/>
                <w:b/>
                <w:sz w:val="22"/>
                <w:szCs w:val="22"/>
              </w:rPr>
              <w:pPrChange w:id="12606" w:author="AbbVie02no" w:date="2025-05-15T13:57:00Z">
                <w:pPr>
                  <w:ind w:left="567" w:hanging="567"/>
                </w:pPr>
              </w:pPrChange>
            </w:pPr>
            <w:del w:id="12607" w:author="AbbVie02no" w:date="2025-05-15T13:57:00Z">
              <w:r w:rsidRPr="009C5EFD">
                <w:rPr>
                  <w:b/>
                  <w:sz w:val="22"/>
                  <w:szCs w:val="22"/>
                </w:rPr>
                <w:delText>3.</w:delText>
              </w:r>
              <w:r w:rsidRPr="009C5EFD">
                <w:rPr>
                  <w:b/>
                  <w:sz w:val="22"/>
                  <w:szCs w:val="22"/>
                </w:rPr>
                <w:tab/>
                <w:delText>UTLØPSDATO</w:delText>
              </w:r>
            </w:del>
          </w:p>
        </w:tc>
      </w:tr>
    </w:tbl>
    <w:p w14:paraId="1D90280A" w14:textId="02B4CCBB" w:rsidR="00DE3458" w:rsidRPr="009C5EFD" w:rsidRDefault="00DE3458">
      <w:pPr>
        <w:rPr>
          <w:del w:id="12608" w:author="AbbVie02no" w:date="2025-05-15T13:57:00Z"/>
          <w:sz w:val="22"/>
          <w:szCs w:val="22"/>
        </w:rPr>
        <w:pPrChange w:id="12609" w:author="AbbVie02no" w:date="2025-05-15T13:57:00Z">
          <w:pPr>
            <w:suppressAutoHyphens/>
            <w:ind w:left="621" w:hanging="567"/>
          </w:pPr>
        </w:pPrChange>
      </w:pPr>
    </w:p>
    <w:p w14:paraId="3E5CC4ED" w14:textId="52D1301C" w:rsidR="00DE3458" w:rsidRPr="009C5EFD" w:rsidRDefault="00E453CD">
      <w:pPr>
        <w:rPr>
          <w:del w:id="12610" w:author="AbbVie02no" w:date="2025-05-15T13:57:00Z"/>
          <w:sz w:val="22"/>
          <w:szCs w:val="22"/>
        </w:rPr>
        <w:pPrChange w:id="12611" w:author="AbbVie02no" w:date="2025-05-15T13:57:00Z">
          <w:pPr>
            <w:suppressAutoHyphens/>
            <w:ind w:left="621" w:hanging="567"/>
          </w:pPr>
        </w:pPrChange>
      </w:pPr>
      <w:del w:id="12612" w:author="AbbVie02no" w:date="2025-05-15T13:57:00Z">
        <w:r>
          <w:rPr>
            <w:sz w:val="22"/>
            <w:szCs w:val="22"/>
          </w:rPr>
          <w:delText>EXP</w:delText>
        </w:r>
      </w:del>
    </w:p>
    <w:p w14:paraId="07FB81E8" w14:textId="3E2F957D" w:rsidR="00DE3458" w:rsidRPr="009C5EFD" w:rsidRDefault="00DE3458">
      <w:pPr>
        <w:rPr>
          <w:del w:id="12613" w:author="AbbVie02no" w:date="2025-05-15T13:57:00Z"/>
          <w:sz w:val="22"/>
          <w:szCs w:val="22"/>
        </w:rPr>
        <w:pPrChange w:id="12614" w:author="AbbVie02no" w:date="2025-05-15T13:57:00Z">
          <w:pPr>
            <w:suppressAutoHyphens/>
            <w:ind w:left="621" w:hanging="567"/>
          </w:pPr>
        </w:pPrChange>
      </w:pPr>
    </w:p>
    <w:p w14:paraId="56B35189" w14:textId="4286A4CB" w:rsidR="00DE3458" w:rsidRPr="009C5EFD" w:rsidRDefault="00DE3458">
      <w:pPr>
        <w:rPr>
          <w:del w:id="12615" w:author="AbbVie02no" w:date="2025-05-15T13:57:00Z"/>
          <w:sz w:val="22"/>
          <w:szCs w:val="22"/>
        </w:rPr>
        <w:pPrChange w:id="12616" w:author="AbbVie02no" w:date="2025-05-15T13:57:00Z">
          <w:pPr>
            <w:suppressAutoHyphens/>
            <w:ind w:left="621" w:hanging="567"/>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F1F89E5" w14:textId="177BCB9C">
        <w:trPr>
          <w:del w:id="12617" w:author="AbbVie02no" w:date="2025-05-15T13:57:00Z"/>
        </w:trPr>
        <w:tc>
          <w:tcPr>
            <w:tcW w:w="9281" w:type="dxa"/>
          </w:tcPr>
          <w:p w14:paraId="384BCDB6" w14:textId="61D08499" w:rsidR="00DE3458" w:rsidRPr="009C5EFD" w:rsidRDefault="00E453CD">
            <w:pPr>
              <w:rPr>
                <w:del w:id="12618" w:author="AbbVie02no" w:date="2025-05-15T13:57:00Z"/>
                <w:b/>
                <w:sz w:val="22"/>
                <w:szCs w:val="22"/>
              </w:rPr>
              <w:pPrChange w:id="12619" w:author="AbbVie02no" w:date="2025-05-15T13:57:00Z">
                <w:pPr>
                  <w:ind w:left="567" w:hanging="567"/>
                </w:pPr>
              </w:pPrChange>
            </w:pPr>
            <w:del w:id="12620" w:author="AbbVie02no" w:date="2025-05-15T13:57:00Z">
              <w:r w:rsidRPr="009C5EFD">
                <w:rPr>
                  <w:b/>
                  <w:sz w:val="22"/>
                  <w:szCs w:val="22"/>
                </w:rPr>
                <w:delText>4.</w:delText>
              </w:r>
              <w:r w:rsidRPr="009C5EFD">
                <w:rPr>
                  <w:b/>
                  <w:sz w:val="22"/>
                  <w:szCs w:val="22"/>
                </w:rPr>
                <w:tab/>
                <w:delText>PRODUKSJONSNUMMER</w:delText>
              </w:r>
            </w:del>
          </w:p>
        </w:tc>
      </w:tr>
    </w:tbl>
    <w:p w14:paraId="07F9FAAD" w14:textId="033ED3FA" w:rsidR="00DE3458" w:rsidRPr="009C5EFD" w:rsidRDefault="00DE3458">
      <w:pPr>
        <w:rPr>
          <w:del w:id="12621" w:author="AbbVie02no" w:date="2025-05-15T13:57:00Z"/>
          <w:sz w:val="22"/>
          <w:szCs w:val="22"/>
        </w:rPr>
        <w:pPrChange w:id="12622" w:author="AbbVie02no" w:date="2025-05-15T13:57:00Z">
          <w:pPr>
            <w:suppressAutoHyphens/>
            <w:ind w:left="54"/>
            <w:jc w:val="both"/>
          </w:pPr>
        </w:pPrChange>
      </w:pPr>
    </w:p>
    <w:p w14:paraId="1C126237" w14:textId="486BF082" w:rsidR="00DE3458" w:rsidRPr="009C5EFD" w:rsidRDefault="00E453CD">
      <w:pPr>
        <w:rPr>
          <w:del w:id="12623" w:author="AbbVie02no" w:date="2025-05-15T13:57:00Z"/>
          <w:sz w:val="22"/>
          <w:szCs w:val="22"/>
        </w:rPr>
        <w:pPrChange w:id="12624" w:author="AbbVie02no" w:date="2025-05-15T13:57:00Z">
          <w:pPr>
            <w:suppressAutoHyphens/>
            <w:ind w:left="54"/>
            <w:jc w:val="both"/>
          </w:pPr>
        </w:pPrChange>
      </w:pPr>
      <w:del w:id="12625" w:author="AbbVie02no" w:date="2025-05-15T13:57:00Z">
        <w:r w:rsidRPr="009C5EFD">
          <w:rPr>
            <w:sz w:val="22"/>
            <w:szCs w:val="22"/>
          </w:rPr>
          <w:delText>Lot</w:delText>
        </w:r>
      </w:del>
    </w:p>
    <w:p w14:paraId="084EA7A2" w14:textId="6FF69493" w:rsidR="00DE3458" w:rsidRPr="009C5EFD" w:rsidRDefault="00DE3458">
      <w:pPr>
        <w:rPr>
          <w:del w:id="12626" w:author="AbbVie02no" w:date="2025-05-15T13:57:00Z"/>
          <w:sz w:val="22"/>
          <w:szCs w:val="22"/>
        </w:rPr>
        <w:pPrChange w:id="12627" w:author="AbbVie02no" w:date="2025-05-15T13:57:00Z">
          <w:pPr>
            <w:suppressAutoHyphens/>
            <w:ind w:left="54"/>
            <w:jc w:val="both"/>
          </w:pPr>
        </w:pPrChange>
      </w:pPr>
    </w:p>
    <w:p w14:paraId="4C81A88C" w14:textId="61AEB413" w:rsidR="00DE3458" w:rsidRPr="009C5EFD" w:rsidRDefault="00DE3458">
      <w:pPr>
        <w:rPr>
          <w:del w:id="12628" w:author="AbbVie02no" w:date="2025-05-15T13:57:00Z"/>
          <w:sz w:val="22"/>
          <w:szCs w:val="22"/>
        </w:rPr>
        <w:pPrChange w:id="12629" w:author="AbbVie02no" w:date="2025-05-15T13:57:00Z">
          <w:pPr>
            <w:suppressAutoHyphens/>
            <w:ind w:left="54"/>
            <w:jc w:val="both"/>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22E2921" w14:textId="21410E40">
        <w:trPr>
          <w:del w:id="12630" w:author="AbbVie02no" w:date="2025-05-15T13:57:00Z"/>
        </w:trPr>
        <w:tc>
          <w:tcPr>
            <w:tcW w:w="9281" w:type="dxa"/>
          </w:tcPr>
          <w:p w14:paraId="252BF3A1" w14:textId="5ED80B94" w:rsidR="00DE3458" w:rsidRPr="009C5EFD" w:rsidRDefault="00E453CD">
            <w:pPr>
              <w:rPr>
                <w:del w:id="12631" w:author="AbbVie02no" w:date="2025-05-15T13:57:00Z"/>
                <w:b/>
                <w:sz w:val="22"/>
                <w:szCs w:val="22"/>
              </w:rPr>
              <w:pPrChange w:id="12632" w:author="AbbVie02no" w:date="2025-05-15T13:57:00Z">
                <w:pPr>
                  <w:ind w:left="567" w:hanging="567"/>
                </w:pPr>
              </w:pPrChange>
            </w:pPr>
            <w:del w:id="12633" w:author="AbbVie02no" w:date="2025-05-15T13:57:00Z">
              <w:r w:rsidRPr="009C5EFD">
                <w:rPr>
                  <w:b/>
                  <w:sz w:val="22"/>
                  <w:szCs w:val="22"/>
                </w:rPr>
                <w:delText>5.</w:delText>
              </w:r>
              <w:r w:rsidRPr="009C5EFD">
                <w:rPr>
                  <w:b/>
                  <w:sz w:val="22"/>
                  <w:szCs w:val="22"/>
                </w:rPr>
                <w:tab/>
              </w:r>
              <w:r w:rsidR="00903EBB">
                <w:rPr>
                  <w:b/>
                  <w:sz w:val="22"/>
                  <w:szCs w:val="22"/>
                </w:rPr>
                <w:delText>INN</w:delText>
              </w:r>
              <w:r w:rsidRPr="009C5EFD">
                <w:rPr>
                  <w:b/>
                  <w:sz w:val="22"/>
                  <w:szCs w:val="22"/>
                </w:rPr>
                <w:delText>HOLD ANGITT ETTER VEKT, VOLUM ELLER ANTALL DOSER</w:delText>
              </w:r>
            </w:del>
          </w:p>
        </w:tc>
      </w:tr>
    </w:tbl>
    <w:p w14:paraId="5FEC8EF5" w14:textId="57CC6CCA" w:rsidR="00DE3458" w:rsidRPr="009C5EFD" w:rsidRDefault="00DE3458">
      <w:pPr>
        <w:rPr>
          <w:del w:id="12634" w:author="AbbVie02no" w:date="2025-05-15T13:57:00Z"/>
          <w:sz w:val="22"/>
          <w:szCs w:val="22"/>
        </w:rPr>
        <w:pPrChange w:id="12635" w:author="AbbVie02no" w:date="2025-05-15T13:57:00Z">
          <w:pPr>
            <w:suppressAutoHyphens/>
            <w:ind w:left="54"/>
            <w:jc w:val="both"/>
          </w:pPr>
        </w:pPrChange>
      </w:pPr>
    </w:p>
    <w:p w14:paraId="11354125" w14:textId="4FC4694F" w:rsidR="00DE3458" w:rsidRPr="009C5EFD" w:rsidRDefault="00E453CD">
      <w:pPr>
        <w:rPr>
          <w:del w:id="12636" w:author="AbbVie02no" w:date="2025-05-15T13:57:00Z"/>
          <w:sz w:val="22"/>
          <w:szCs w:val="22"/>
        </w:rPr>
        <w:pPrChange w:id="12637" w:author="AbbVie02no" w:date="2025-05-15T13:57:00Z">
          <w:pPr>
            <w:suppressAutoHyphens/>
            <w:ind w:left="54"/>
            <w:jc w:val="both"/>
          </w:pPr>
        </w:pPrChange>
      </w:pPr>
      <w:del w:id="12638" w:author="AbbVie02no" w:date="2025-05-15T13:57:00Z">
        <w:r w:rsidRPr="009C5EFD">
          <w:rPr>
            <w:sz w:val="22"/>
            <w:szCs w:val="22"/>
          </w:rPr>
          <w:delText>40 mg/0,8 ml</w:delText>
        </w:r>
      </w:del>
    </w:p>
    <w:p w14:paraId="4310F0BF" w14:textId="3D08DFE1" w:rsidR="00DE3458" w:rsidRPr="009C5EFD" w:rsidRDefault="00DE3458">
      <w:pPr>
        <w:rPr>
          <w:del w:id="12639" w:author="AbbVie02no" w:date="2025-05-15T13:57:00Z"/>
          <w:b/>
          <w:sz w:val="22"/>
          <w:szCs w:val="22"/>
        </w:rPr>
        <w:pPrChange w:id="12640" w:author="AbbVie02no" w:date="2025-05-15T13:57:00Z">
          <w:pPr>
            <w:ind w:right="-449"/>
          </w:pPr>
        </w:pPrChange>
      </w:pPr>
    </w:p>
    <w:p w14:paraId="7BF0B416" w14:textId="18818EF6" w:rsidR="00DE3458" w:rsidRPr="009C5EFD" w:rsidRDefault="00DE3458">
      <w:pPr>
        <w:rPr>
          <w:del w:id="12641" w:author="AbbVie02no" w:date="2025-05-15T13:57:00Z"/>
          <w:b/>
          <w:sz w:val="22"/>
          <w:szCs w:val="22"/>
        </w:rPr>
        <w:pPrChange w:id="12642" w:author="AbbVie02no" w:date="2025-05-15T13:57:00Z">
          <w:pPr>
            <w:ind w:right="-449"/>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CE137A3" w14:textId="7B694348">
        <w:trPr>
          <w:del w:id="12643" w:author="AbbVie02no" w:date="2025-05-15T13:57:00Z"/>
        </w:trPr>
        <w:tc>
          <w:tcPr>
            <w:tcW w:w="9281" w:type="dxa"/>
          </w:tcPr>
          <w:p w14:paraId="5C39B4FD" w14:textId="2E0E7347" w:rsidR="00DE3458" w:rsidRPr="009C5EFD" w:rsidRDefault="00E453CD">
            <w:pPr>
              <w:rPr>
                <w:del w:id="12644" w:author="AbbVie02no" w:date="2025-05-15T13:57:00Z"/>
                <w:b/>
                <w:sz w:val="22"/>
                <w:szCs w:val="22"/>
              </w:rPr>
              <w:pPrChange w:id="12645" w:author="AbbVie02no" w:date="2025-05-15T13:57:00Z">
                <w:pPr>
                  <w:ind w:left="567" w:hanging="567"/>
                </w:pPr>
              </w:pPrChange>
            </w:pPr>
            <w:del w:id="12646" w:author="AbbVie02no" w:date="2025-05-15T13:57:00Z">
              <w:r w:rsidRPr="009C5EFD">
                <w:rPr>
                  <w:b/>
                  <w:sz w:val="22"/>
                  <w:szCs w:val="22"/>
                </w:rPr>
                <w:delText>6.</w:delText>
              </w:r>
              <w:r w:rsidRPr="009C5EFD">
                <w:rPr>
                  <w:b/>
                  <w:sz w:val="22"/>
                  <w:szCs w:val="22"/>
                </w:rPr>
                <w:tab/>
                <w:delText>ANNET</w:delText>
              </w:r>
            </w:del>
          </w:p>
        </w:tc>
      </w:tr>
    </w:tbl>
    <w:p w14:paraId="57202701" w14:textId="10470EDB" w:rsidR="00DE3458" w:rsidRPr="009C5EFD" w:rsidRDefault="00DE3458">
      <w:pPr>
        <w:rPr>
          <w:del w:id="12647" w:author="AbbVie02no" w:date="2025-05-15T13:57:00Z"/>
          <w:b/>
          <w:sz w:val="22"/>
          <w:szCs w:val="22"/>
        </w:rPr>
        <w:pPrChange w:id="12648" w:author="AbbVie02no" w:date="2025-05-15T13:57:00Z">
          <w:pPr>
            <w:ind w:right="-449"/>
          </w:pPr>
        </w:pPrChange>
      </w:pPr>
    </w:p>
    <w:p w14:paraId="07853373" w14:textId="6B027F1D" w:rsidR="00DE3458" w:rsidRPr="009C5EFD" w:rsidRDefault="00E453CD">
      <w:pPr>
        <w:rPr>
          <w:del w:id="12649" w:author="AbbVie02no" w:date="2025-05-15T13:57:00Z"/>
          <w:b/>
          <w:sz w:val="22"/>
          <w:szCs w:val="22"/>
        </w:rPr>
        <w:pPrChange w:id="12650" w:author="AbbVie02no" w:date="2025-05-15T13:57:00Z">
          <w:pPr>
            <w:ind w:right="-449"/>
          </w:pPr>
        </w:pPrChange>
      </w:pPr>
      <w:del w:id="12651" w:author="AbbVie02no" w:date="2025-05-15T13:57:00Z">
        <w:r w:rsidRPr="009C5EFD">
          <w:rPr>
            <w:b/>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20B0ABE" w14:textId="70E77E96">
        <w:trPr>
          <w:trHeight w:val="1070"/>
          <w:del w:id="12652" w:author="AbbVie02no" w:date="2025-05-15T13:57:00Z"/>
        </w:trPr>
        <w:tc>
          <w:tcPr>
            <w:tcW w:w="9281" w:type="dxa"/>
            <w:tcBorders>
              <w:bottom w:val="single" w:sz="4" w:space="0" w:color="auto"/>
            </w:tcBorders>
          </w:tcPr>
          <w:p w14:paraId="1C136D57" w14:textId="1D22C2BE" w:rsidR="00DE3458" w:rsidRPr="009C5EFD" w:rsidRDefault="00E453CD" w:rsidP="00243BE3">
            <w:pPr>
              <w:rPr>
                <w:del w:id="12653" w:author="AbbVie02no" w:date="2025-05-15T13:57:00Z"/>
                <w:sz w:val="22"/>
                <w:szCs w:val="22"/>
              </w:rPr>
            </w:pPr>
            <w:del w:id="12654" w:author="AbbVie02no" w:date="2025-05-15T13:57:00Z">
              <w:r w:rsidRPr="009C5EFD">
                <w:rPr>
                  <w:b/>
                  <w:sz w:val="22"/>
                  <w:szCs w:val="22"/>
                </w:rPr>
                <w:lastRenderedPageBreak/>
                <w:delText xml:space="preserve">OPPLYSNINGER SOM SKAL ANGIS PÅ YTRE EMBALLASJE </w:delText>
              </w:r>
            </w:del>
          </w:p>
          <w:p w14:paraId="30565CAD" w14:textId="5995B928" w:rsidR="00DE3458" w:rsidRPr="009C5EFD" w:rsidRDefault="00DE3458" w:rsidP="00243BE3">
            <w:pPr>
              <w:rPr>
                <w:del w:id="12655" w:author="AbbVie02no" w:date="2025-05-15T13:57:00Z"/>
                <w:sz w:val="22"/>
                <w:szCs w:val="22"/>
              </w:rPr>
            </w:pPr>
          </w:p>
          <w:p w14:paraId="7C2E29EB" w14:textId="243DC627" w:rsidR="00DE3458" w:rsidRPr="009C5EFD" w:rsidRDefault="00E453CD" w:rsidP="00243BE3">
            <w:pPr>
              <w:rPr>
                <w:del w:id="12656" w:author="AbbVie02no" w:date="2025-05-15T13:57:00Z"/>
                <w:b/>
                <w:sz w:val="22"/>
                <w:szCs w:val="22"/>
              </w:rPr>
            </w:pPr>
            <w:del w:id="12657" w:author="AbbVie02no" w:date="2025-05-15T13:57:00Z">
              <w:r>
                <w:rPr>
                  <w:b/>
                  <w:sz w:val="22"/>
                  <w:szCs w:val="22"/>
                </w:rPr>
                <w:delText>YTTERKARTONG</w:delText>
              </w:r>
            </w:del>
          </w:p>
        </w:tc>
      </w:tr>
    </w:tbl>
    <w:p w14:paraId="4CA7E3EE" w14:textId="7BF03813" w:rsidR="00DE3458" w:rsidRPr="009C5EFD" w:rsidRDefault="00DE3458">
      <w:pPr>
        <w:rPr>
          <w:del w:id="12658" w:author="AbbVie02no" w:date="2025-05-15T13:57:00Z"/>
          <w:sz w:val="22"/>
          <w:szCs w:val="22"/>
        </w:rPr>
        <w:pPrChange w:id="12659" w:author="AbbVie02no" w:date="2025-05-15T13:57:00Z">
          <w:pPr>
            <w:suppressAutoHyphens/>
            <w:ind w:left="54"/>
          </w:pPr>
        </w:pPrChange>
      </w:pPr>
    </w:p>
    <w:p w14:paraId="5FDFF12F" w14:textId="49A42D35" w:rsidR="00E03A87" w:rsidRPr="009C5EFD" w:rsidRDefault="00E03A87">
      <w:pPr>
        <w:rPr>
          <w:del w:id="12660" w:author="AbbVie02no" w:date="2025-05-15T13:57:00Z"/>
          <w:sz w:val="22"/>
          <w:szCs w:val="22"/>
        </w:rPr>
        <w:pPrChange w:id="12661"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189DE17" w14:textId="0CC6687A">
        <w:trPr>
          <w:del w:id="12662" w:author="AbbVie02no" w:date="2025-05-15T13:57:00Z"/>
        </w:trPr>
        <w:tc>
          <w:tcPr>
            <w:tcW w:w="9281" w:type="dxa"/>
          </w:tcPr>
          <w:p w14:paraId="2D347C1B" w14:textId="23DA67A2" w:rsidR="00DE3458" w:rsidRPr="009C5EFD" w:rsidRDefault="00E453CD">
            <w:pPr>
              <w:rPr>
                <w:del w:id="12663" w:author="AbbVie02no" w:date="2025-05-15T13:57:00Z"/>
                <w:b/>
                <w:sz w:val="22"/>
                <w:szCs w:val="22"/>
              </w:rPr>
              <w:pPrChange w:id="12664" w:author="AbbVie02no" w:date="2025-05-15T13:57:00Z">
                <w:pPr>
                  <w:ind w:left="567" w:hanging="567"/>
                </w:pPr>
              </w:pPrChange>
            </w:pPr>
            <w:del w:id="12665" w:author="AbbVie02no" w:date="2025-05-15T13:57:00Z">
              <w:r w:rsidRPr="009C5EFD">
                <w:rPr>
                  <w:b/>
                  <w:sz w:val="22"/>
                  <w:szCs w:val="22"/>
                </w:rPr>
                <w:delText>1.</w:delText>
              </w:r>
              <w:r w:rsidRPr="009C5EFD">
                <w:rPr>
                  <w:b/>
                  <w:sz w:val="22"/>
                  <w:szCs w:val="22"/>
                </w:rPr>
                <w:tab/>
                <w:delText>LEGEMIDLETS NAVN</w:delText>
              </w:r>
            </w:del>
          </w:p>
        </w:tc>
      </w:tr>
    </w:tbl>
    <w:p w14:paraId="311A00BB" w14:textId="32A2D3C2" w:rsidR="00DE3458" w:rsidRPr="009C5EFD" w:rsidRDefault="00DE3458">
      <w:pPr>
        <w:rPr>
          <w:del w:id="12666" w:author="AbbVie02no" w:date="2025-05-15T13:57:00Z"/>
          <w:sz w:val="22"/>
          <w:szCs w:val="22"/>
        </w:rPr>
        <w:pPrChange w:id="12667" w:author="AbbVie02no" w:date="2025-05-15T13:57:00Z">
          <w:pPr>
            <w:suppressAutoHyphens/>
            <w:ind w:left="54"/>
          </w:pPr>
        </w:pPrChange>
      </w:pPr>
    </w:p>
    <w:p w14:paraId="4D9AE0BF" w14:textId="13F7FEC3" w:rsidR="00DE3458" w:rsidRPr="009C5EFD" w:rsidRDefault="00E453CD">
      <w:pPr>
        <w:rPr>
          <w:del w:id="12668" w:author="AbbVie02no" w:date="2025-05-15T13:57:00Z"/>
          <w:sz w:val="22"/>
          <w:szCs w:val="22"/>
        </w:rPr>
        <w:pPrChange w:id="12669" w:author="AbbVie02no" w:date="2025-05-15T13:57:00Z">
          <w:pPr>
            <w:suppressAutoHyphens/>
            <w:ind w:left="54"/>
          </w:pPr>
        </w:pPrChange>
      </w:pPr>
      <w:del w:id="12670" w:author="AbbVie02no" w:date="2025-05-15T13:57:00Z">
        <w:r w:rsidRPr="009C5EFD">
          <w:rPr>
            <w:sz w:val="22"/>
            <w:szCs w:val="22"/>
          </w:rPr>
          <w:delText>Humira 40 mg injeksjonsvæske, oppløsning i ferdigfylt penn</w:delText>
        </w:r>
      </w:del>
    </w:p>
    <w:p w14:paraId="49ACDEEC" w14:textId="77506DD6" w:rsidR="00DE3458" w:rsidRPr="009C5EFD" w:rsidRDefault="00E453CD">
      <w:pPr>
        <w:rPr>
          <w:del w:id="12671" w:author="AbbVie02no" w:date="2025-05-15T13:57:00Z"/>
          <w:sz w:val="22"/>
          <w:szCs w:val="22"/>
        </w:rPr>
        <w:pPrChange w:id="12672" w:author="AbbVie02no" w:date="2025-05-15T13:57:00Z">
          <w:pPr>
            <w:suppressAutoHyphens/>
            <w:ind w:left="54"/>
          </w:pPr>
        </w:pPrChange>
      </w:pPr>
      <w:del w:id="12673" w:author="AbbVie02no" w:date="2025-05-15T13:57:00Z">
        <w:r w:rsidRPr="009C5EFD">
          <w:rPr>
            <w:sz w:val="22"/>
            <w:szCs w:val="22"/>
          </w:rPr>
          <w:delText>adalimumab</w:delText>
        </w:r>
      </w:del>
    </w:p>
    <w:p w14:paraId="07F0CDEB" w14:textId="6392B3EF" w:rsidR="00DE3458" w:rsidRPr="009C5EFD" w:rsidRDefault="00DE3458">
      <w:pPr>
        <w:rPr>
          <w:del w:id="12674" w:author="AbbVie02no" w:date="2025-05-15T13:57:00Z"/>
          <w:szCs w:val="22"/>
        </w:rPr>
        <w:pPrChange w:id="12675" w:author="AbbVie02no" w:date="2025-05-15T13:57:00Z">
          <w:pPr>
            <w:pStyle w:val="EndnoteText"/>
            <w:widowControl/>
            <w:tabs>
              <w:tab w:val="clear" w:pos="567"/>
            </w:tabs>
            <w:suppressAutoHyphens/>
            <w:ind w:left="54"/>
          </w:pPr>
        </w:pPrChange>
      </w:pPr>
    </w:p>
    <w:p w14:paraId="3C185D1B" w14:textId="0E0DC825" w:rsidR="00DE3458" w:rsidRPr="009C5EFD" w:rsidRDefault="00DE3458">
      <w:pPr>
        <w:rPr>
          <w:del w:id="12676" w:author="AbbVie02no" w:date="2025-05-15T13:57:00Z"/>
          <w:sz w:val="22"/>
          <w:szCs w:val="22"/>
        </w:rPr>
        <w:pPrChange w:id="12677"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DD7ED17" w14:textId="5ABA232F">
        <w:trPr>
          <w:del w:id="12678" w:author="AbbVie02no" w:date="2025-05-15T13:57:00Z"/>
        </w:trPr>
        <w:tc>
          <w:tcPr>
            <w:tcW w:w="9281" w:type="dxa"/>
          </w:tcPr>
          <w:p w14:paraId="0DB89926" w14:textId="13CA80C1" w:rsidR="00DE3458" w:rsidRPr="009C5EFD" w:rsidRDefault="00E453CD">
            <w:pPr>
              <w:rPr>
                <w:del w:id="12679" w:author="AbbVie02no" w:date="2025-05-15T13:57:00Z"/>
                <w:b/>
                <w:sz w:val="22"/>
                <w:szCs w:val="22"/>
              </w:rPr>
              <w:pPrChange w:id="12680" w:author="AbbVie02no" w:date="2025-05-15T13:57:00Z">
                <w:pPr>
                  <w:ind w:left="567" w:hanging="567"/>
                </w:pPr>
              </w:pPrChange>
            </w:pPr>
            <w:del w:id="12681" w:author="AbbVie02no" w:date="2025-05-15T13:57:00Z">
              <w:r w:rsidRPr="009C5EFD">
                <w:rPr>
                  <w:b/>
                  <w:sz w:val="22"/>
                  <w:szCs w:val="22"/>
                </w:rPr>
                <w:delText>2.</w:delText>
              </w:r>
              <w:r w:rsidRPr="009C5EFD">
                <w:rPr>
                  <w:b/>
                  <w:sz w:val="22"/>
                  <w:szCs w:val="22"/>
                </w:rPr>
                <w:tab/>
                <w:delText xml:space="preserve">DEKLARASJON AV VIRKESTOFF </w:delText>
              </w:r>
            </w:del>
          </w:p>
        </w:tc>
      </w:tr>
    </w:tbl>
    <w:p w14:paraId="5FAF8496" w14:textId="31E4AF52" w:rsidR="00DE3458" w:rsidRPr="009C5EFD" w:rsidRDefault="00DE3458">
      <w:pPr>
        <w:rPr>
          <w:del w:id="12682" w:author="AbbVie02no" w:date="2025-05-15T13:57:00Z"/>
          <w:sz w:val="22"/>
          <w:szCs w:val="22"/>
        </w:rPr>
        <w:pPrChange w:id="12683" w:author="AbbVie02no" w:date="2025-05-15T13:57:00Z">
          <w:pPr>
            <w:suppressAutoHyphens/>
            <w:ind w:left="54"/>
          </w:pPr>
        </w:pPrChange>
      </w:pPr>
    </w:p>
    <w:p w14:paraId="6B7E6ACC" w14:textId="39863BB0" w:rsidR="00DE3458" w:rsidRPr="009C5EFD" w:rsidRDefault="00E453CD">
      <w:pPr>
        <w:rPr>
          <w:del w:id="12684" w:author="AbbVie02no" w:date="2025-05-15T13:57:00Z"/>
          <w:sz w:val="22"/>
          <w:szCs w:val="22"/>
        </w:rPr>
        <w:pPrChange w:id="12685" w:author="AbbVie02no" w:date="2025-05-15T13:57:00Z">
          <w:pPr>
            <w:suppressAutoHyphens/>
            <w:ind w:left="54"/>
          </w:pPr>
        </w:pPrChange>
      </w:pPr>
      <w:del w:id="12686" w:author="AbbVie02no" w:date="2025-05-15T13:57:00Z">
        <w:r w:rsidRPr="009C5EFD">
          <w:rPr>
            <w:sz w:val="22"/>
            <w:szCs w:val="22"/>
          </w:rPr>
          <w:delText>En 0,8 ml ferdigfylt penn inneholder 40 mg adalimumab</w:delText>
        </w:r>
        <w:r w:rsidR="000C6A57">
          <w:rPr>
            <w:sz w:val="22"/>
            <w:szCs w:val="22"/>
          </w:rPr>
          <w:delText>.</w:delText>
        </w:r>
      </w:del>
    </w:p>
    <w:p w14:paraId="6BD3FB0F" w14:textId="6DACA34E" w:rsidR="00DE3458" w:rsidRPr="009C5EFD" w:rsidRDefault="00DE3458">
      <w:pPr>
        <w:rPr>
          <w:del w:id="12687" w:author="AbbVie02no" w:date="2025-05-15T13:57:00Z"/>
          <w:sz w:val="22"/>
          <w:szCs w:val="22"/>
        </w:rPr>
        <w:pPrChange w:id="12688" w:author="AbbVie02no" w:date="2025-05-15T13:57:00Z">
          <w:pPr>
            <w:suppressAutoHyphens/>
            <w:ind w:left="54"/>
          </w:pPr>
        </w:pPrChange>
      </w:pPr>
    </w:p>
    <w:p w14:paraId="3E535E78" w14:textId="1301D569" w:rsidR="00DE3458" w:rsidRPr="009C5EFD" w:rsidRDefault="00DE3458">
      <w:pPr>
        <w:rPr>
          <w:del w:id="12689" w:author="AbbVie02no" w:date="2025-05-15T13:57:00Z"/>
          <w:sz w:val="22"/>
          <w:szCs w:val="22"/>
        </w:rPr>
        <w:pPrChange w:id="12690"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43A407C" w14:textId="50FB2A1E">
        <w:trPr>
          <w:del w:id="12691" w:author="AbbVie02no" w:date="2025-05-15T13:57:00Z"/>
        </w:trPr>
        <w:tc>
          <w:tcPr>
            <w:tcW w:w="9281" w:type="dxa"/>
          </w:tcPr>
          <w:p w14:paraId="1F5BEA5A" w14:textId="5DAD008E" w:rsidR="00DE3458" w:rsidRPr="009C5EFD" w:rsidRDefault="00E453CD">
            <w:pPr>
              <w:rPr>
                <w:del w:id="12692" w:author="AbbVie02no" w:date="2025-05-15T13:57:00Z"/>
                <w:b/>
                <w:sz w:val="22"/>
                <w:szCs w:val="22"/>
              </w:rPr>
              <w:pPrChange w:id="12693" w:author="AbbVie02no" w:date="2025-05-15T13:57:00Z">
                <w:pPr>
                  <w:ind w:left="567" w:hanging="567"/>
                </w:pPr>
              </w:pPrChange>
            </w:pPr>
            <w:del w:id="12694" w:author="AbbVie02no" w:date="2025-05-15T13:57:00Z">
              <w:r w:rsidRPr="009C5EFD">
                <w:rPr>
                  <w:b/>
                  <w:sz w:val="22"/>
                  <w:szCs w:val="22"/>
                </w:rPr>
                <w:delText>3.</w:delText>
              </w:r>
              <w:r w:rsidRPr="009C5EFD">
                <w:rPr>
                  <w:b/>
                  <w:sz w:val="22"/>
                  <w:szCs w:val="22"/>
                </w:rPr>
                <w:tab/>
                <w:delText>LISTE OVER HJELPESTOFFER</w:delText>
              </w:r>
            </w:del>
          </w:p>
        </w:tc>
      </w:tr>
    </w:tbl>
    <w:p w14:paraId="69C89AF4" w14:textId="4E8B9544" w:rsidR="00DE3458" w:rsidRPr="009C5EFD" w:rsidRDefault="00DE3458">
      <w:pPr>
        <w:rPr>
          <w:del w:id="12695" w:author="AbbVie02no" w:date="2025-05-15T13:57:00Z"/>
          <w:sz w:val="22"/>
          <w:szCs w:val="22"/>
        </w:rPr>
        <w:pPrChange w:id="12696" w:author="AbbVie02no" w:date="2025-05-15T13:57:00Z">
          <w:pPr>
            <w:suppressAutoHyphens/>
            <w:ind w:left="54"/>
          </w:pPr>
        </w:pPrChange>
      </w:pPr>
    </w:p>
    <w:p w14:paraId="4FED6E89" w14:textId="6BFB9F46" w:rsidR="00DE3458" w:rsidRPr="009C5EFD" w:rsidRDefault="00E453CD">
      <w:pPr>
        <w:rPr>
          <w:del w:id="12697" w:author="AbbVie02no" w:date="2025-05-15T13:57:00Z"/>
          <w:sz w:val="22"/>
          <w:szCs w:val="22"/>
        </w:rPr>
        <w:pPrChange w:id="12698" w:author="AbbVie02no" w:date="2025-05-15T13:57:00Z">
          <w:pPr>
            <w:ind w:left="54"/>
          </w:pPr>
        </w:pPrChange>
      </w:pPr>
      <w:del w:id="12699" w:author="AbbVie02no" w:date="2025-05-15T13:57:00Z">
        <w:r w:rsidRPr="009C5EFD">
          <w:rPr>
            <w:sz w:val="22"/>
            <w:szCs w:val="22"/>
          </w:rPr>
          <w:delText xml:space="preserve">Hjelpestoffer: </w:delText>
        </w:r>
        <w:r w:rsidR="00C86541">
          <w:rPr>
            <w:sz w:val="22"/>
            <w:szCs w:val="22"/>
          </w:rPr>
          <w:delText>m</w:delText>
        </w:r>
        <w:r w:rsidRPr="009C5EFD">
          <w:rPr>
            <w:sz w:val="22"/>
            <w:szCs w:val="22"/>
          </w:rPr>
          <w:delText xml:space="preserve">annitol, sitronsyremonohydrat, natriumsitrat, natriumdihydrogenfosfatdihydrat, dinatriumfosfatdihydrat, natriumklorid, polysorbat 80, natriumhydroksid </w:delText>
        </w:r>
        <w:r w:rsidR="00F3185B" w:rsidRPr="009C5EFD">
          <w:rPr>
            <w:sz w:val="22"/>
            <w:szCs w:val="22"/>
          </w:rPr>
          <w:delText>og</w:delText>
        </w:r>
        <w:r w:rsidRPr="009C5EFD">
          <w:rPr>
            <w:sz w:val="22"/>
            <w:szCs w:val="22"/>
          </w:rPr>
          <w:delText xml:space="preserve"> vann til injeksjonsvæsker. For ytte</w:delText>
        </w:r>
        <w:r w:rsidR="00C7418B">
          <w:rPr>
            <w:sz w:val="22"/>
            <w:szCs w:val="22"/>
          </w:rPr>
          <w:delText>r</w:delText>
        </w:r>
        <w:r w:rsidRPr="009C5EFD">
          <w:rPr>
            <w:sz w:val="22"/>
            <w:szCs w:val="22"/>
          </w:rPr>
          <w:delText>ligere informasjon</w:delText>
        </w:r>
        <w:r w:rsidR="00D4553F" w:rsidRPr="009C5EFD">
          <w:rPr>
            <w:sz w:val="22"/>
            <w:szCs w:val="22"/>
          </w:rPr>
          <w:delText>,</w:delText>
        </w:r>
        <w:r w:rsidRPr="009C5EFD">
          <w:rPr>
            <w:sz w:val="22"/>
            <w:szCs w:val="22"/>
          </w:rPr>
          <w:delText xml:space="preserve"> se pakningsvedlegget.</w:delText>
        </w:r>
      </w:del>
    </w:p>
    <w:p w14:paraId="62B66D30" w14:textId="2F1A3A7D" w:rsidR="00DE3458" w:rsidRPr="009C5EFD" w:rsidRDefault="00DE3458">
      <w:pPr>
        <w:rPr>
          <w:del w:id="12700" w:author="AbbVie02no" w:date="2025-05-15T13:57:00Z"/>
          <w:sz w:val="22"/>
          <w:szCs w:val="22"/>
        </w:rPr>
        <w:pPrChange w:id="12701" w:author="AbbVie02no" w:date="2025-05-15T13:57:00Z">
          <w:pPr>
            <w:suppressAutoHyphens/>
            <w:ind w:left="54"/>
          </w:pPr>
        </w:pPrChange>
      </w:pPr>
    </w:p>
    <w:p w14:paraId="0B87A81A" w14:textId="1C42A335" w:rsidR="00DE3458" w:rsidRPr="009C5EFD" w:rsidRDefault="00DE3458">
      <w:pPr>
        <w:rPr>
          <w:del w:id="12702" w:author="AbbVie02no" w:date="2025-05-15T13:57:00Z"/>
          <w:sz w:val="22"/>
          <w:szCs w:val="22"/>
        </w:rPr>
        <w:pPrChange w:id="12703"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39D0C0A" w14:textId="1DCB94E7">
        <w:trPr>
          <w:del w:id="12704" w:author="AbbVie02no" w:date="2025-05-15T13:57:00Z"/>
        </w:trPr>
        <w:tc>
          <w:tcPr>
            <w:tcW w:w="9281" w:type="dxa"/>
          </w:tcPr>
          <w:p w14:paraId="6E48A2DE" w14:textId="0189C808" w:rsidR="00DE3458" w:rsidRPr="009C5EFD" w:rsidRDefault="00E453CD">
            <w:pPr>
              <w:rPr>
                <w:del w:id="12705" w:author="AbbVie02no" w:date="2025-05-15T13:57:00Z"/>
                <w:b/>
                <w:sz w:val="22"/>
                <w:szCs w:val="22"/>
              </w:rPr>
              <w:pPrChange w:id="12706" w:author="AbbVie02no" w:date="2025-05-15T13:57:00Z">
                <w:pPr>
                  <w:ind w:left="567" w:hanging="567"/>
                </w:pPr>
              </w:pPrChange>
            </w:pPr>
            <w:del w:id="12707" w:author="AbbVie02no" w:date="2025-05-15T13:57:00Z">
              <w:r w:rsidRPr="009C5EFD">
                <w:rPr>
                  <w:b/>
                  <w:sz w:val="22"/>
                  <w:szCs w:val="22"/>
                </w:rPr>
                <w:delText>4.</w:delText>
              </w:r>
              <w:r w:rsidRPr="009C5EFD">
                <w:rPr>
                  <w:b/>
                  <w:sz w:val="22"/>
                  <w:szCs w:val="22"/>
                </w:rPr>
                <w:tab/>
                <w:delText>LEGEMIDDELFORM OG INNHOLD (PAKNINGSSTØRRELSE)</w:delText>
              </w:r>
            </w:del>
          </w:p>
        </w:tc>
      </w:tr>
    </w:tbl>
    <w:p w14:paraId="6AE3E353" w14:textId="261C2C06" w:rsidR="00DE3458" w:rsidRPr="009C5EFD" w:rsidRDefault="00DE3458">
      <w:pPr>
        <w:rPr>
          <w:del w:id="12708" w:author="AbbVie02no" w:date="2025-05-15T13:57:00Z"/>
          <w:sz w:val="22"/>
          <w:szCs w:val="22"/>
        </w:rPr>
        <w:pPrChange w:id="12709" w:author="AbbVie02no" w:date="2025-05-15T13:57:00Z">
          <w:pPr>
            <w:suppressAutoHyphens/>
            <w:ind w:left="54"/>
          </w:pPr>
        </w:pPrChange>
      </w:pPr>
    </w:p>
    <w:p w14:paraId="4394E58E" w14:textId="66EEAA06" w:rsidR="004755B1" w:rsidRDefault="00E453CD">
      <w:pPr>
        <w:rPr>
          <w:del w:id="12710" w:author="AbbVie02no" w:date="2025-05-15T13:57:00Z"/>
          <w:sz w:val="22"/>
          <w:szCs w:val="22"/>
        </w:rPr>
        <w:pPrChange w:id="12711" w:author="AbbVie02no" w:date="2025-05-15T13:57:00Z">
          <w:pPr>
            <w:suppressAutoHyphens/>
            <w:ind w:left="54"/>
          </w:pPr>
        </w:pPrChange>
      </w:pPr>
      <w:del w:id="12712" w:author="AbbVie02no" w:date="2025-05-15T13:57:00Z">
        <w:r w:rsidRPr="00771F39">
          <w:rPr>
            <w:sz w:val="22"/>
            <w:szCs w:val="22"/>
            <w:highlight w:val="lightGray"/>
          </w:rPr>
          <w:delText>Injeksjonsvæske</w:delText>
        </w:r>
        <w:r w:rsidR="004B5DF6" w:rsidRPr="00602A37">
          <w:rPr>
            <w:sz w:val="22"/>
            <w:szCs w:val="22"/>
            <w:highlight w:val="lightGray"/>
          </w:rPr>
          <w:delText>, oppløsning</w:delText>
        </w:r>
      </w:del>
    </w:p>
    <w:p w14:paraId="423762E9" w14:textId="56CC006E" w:rsidR="00DE3458" w:rsidRPr="009C5EFD" w:rsidRDefault="00E453CD">
      <w:pPr>
        <w:rPr>
          <w:del w:id="12713" w:author="AbbVie02no" w:date="2025-05-15T13:57:00Z"/>
          <w:sz w:val="22"/>
          <w:szCs w:val="22"/>
        </w:rPr>
        <w:pPrChange w:id="12714" w:author="AbbVie02no" w:date="2025-05-15T13:57:00Z">
          <w:pPr>
            <w:suppressAutoHyphens/>
            <w:ind w:left="54"/>
          </w:pPr>
        </w:pPrChange>
      </w:pPr>
      <w:del w:id="12715" w:author="AbbVie02no" w:date="2025-05-15T13:57:00Z">
        <w:r w:rsidRPr="009C5EFD">
          <w:rPr>
            <w:sz w:val="22"/>
            <w:szCs w:val="22"/>
          </w:rPr>
          <w:delText>1 ferdigfylt penn</w:delText>
        </w:r>
      </w:del>
    </w:p>
    <w:p w14:paraId="61DA54D1" w14:textId="608EB39E" w:rsidR="00DE3458" w:rsidRDefault="00E453CD">
      <w:pPr>
        <w:rPr>
          <w:del w:id="12716" w:author="AbbVie02no" w:date="2025-05-15T13:57:00Z"/>
          <w:sz w:val="22"/>
          <w:szCs w:val="22"/>
        </w:rPr>
        <w:pPrChange w:id="12717" w:author="AbbVie02no" w:date="2025-05-15T13:57:00Z">
          <w:pPr>
            <w:suppressAutoHyphens/>
            <w:ind w:left="54"/>
          </w:pPr>
        </w:pPrChange>
      </w:pPr>
      <w:del w:id="12718" w:author="AbbVie02no" w:date="2025-05-15T13:57:00Z">
        <w:r>
          <w:rPr>
            <w:sz w:val="22"/>
            <w:szCs w:val="22"/>
          </w:rPr>
          <w:delText>2</w:delText>
        </w:r>
        <w:r w:rsidRPr="009C5EFD">
          <w:rPr>
            <w:sz w:val="22"/>
            <w:szCs w:val="22"/>
          </w:rPr>
          <w:delText xml:space="preserve"> injeksjonstørk</w:delText>
        </w:r>
      </w:del>
    </w:p>
    <w:p w14:paraId="0FF4BD68" w14:textId="5D8D8C5D" w:rsidR="004755B1" w:rsidRDefault="004755B1">
      <w:pPr>
        <w:rPr>
          <w:del w:id="12719" w:author="AbbVie02no" w:date="2025-05-15T13:57:00Z"/>
          <w:sz w:val="22"/>
          <w:szCs w:val="22"/>
        </w:rPr>
        <w:pPrChange w:id="12720" w:author="AbbVie02no" w:date="2025-05-15T13:57:00Z">
          <w:pPr>
            <w:suppressAutoHyphens/>
            <w:ind w:left="54"/>
          </w:pPr>
        </w:pPrChange>
      </w:pPr>
    </w:p>
    <w:p w14:paraId="3B12EC57" w14:textId="579EEC80" w:rsidR="004755B1" w:rsidRPr="00AB7697" w:rsidRDefault="00E453CD">
      <w:pPr>
        <w:rPr>
          <w:del w:id="12721" w:author="AbbVie02no" w:date="2025-05-15T13:57:00Z"/>
          <w:sz w:val="22"/>
          <w:szCs w:val="22"/>
          <w:highlight w:val="lightGray"/>
        </w:rPr>
        <w:pPrChange w:id="12722" w:author="AbbVie02no" w:date="2025-05-15T13:57:00Z">
          <w:pPr>
            <w:suppressAutoHyphens/>
            <w:ind w:left="54"/>
          </w:pPr>
        </w:pPrChange>
      </w:pPr>
      <w:del w:id="12723" w:author="AbbVie02no" w:date="2025-05-15T13:57:00Z">
        <w:r w:rsidRPr="00AB7697">
          <w:rPr>
            <w:sz w:val="22"/>
            <w:szCs w:val="22"/>
            <w:highlight w:val="lightGray"/>
          </w:rPr>
          <w:delText>2 ferdigfylte penner</w:delText>
        </w:r>
      </w:del>
    </w:p>
    <w:p w14:paraId="600189DD" w14:textId="6D8AF145" w:rsidR="004755B1" w:rsidRPr="00AB7697" w:rsidRDefault="00E453CD">
      <w:pPr>
        <w:rPr>
          <w:del w:id="12724" w:author="AbbVie02no" w:date="2025-05-15T13:57:00Z"/>
          <w:sz w:val="22"/>
          <w:szCs w:val="22"/>
          <w:highlight w:val="lightGray"/>
        </w:rPr>
        <w:pPrChange w:id="12725" w:author="AbbVie02no" w:date="2025-05-15T13:57:00Z">
          <w:pPr>
            <w:suppressAutoHyphens/>
            <w:ind w:left="54"/>
          </w:pPr>
        </w:pPrChange>
      </w:pPr>
      <w:del w:id="12726" w:author="AbbVie02no" w:date="2025-05-15T13:57:00Z">
        <w:r w:rsidRPr="00AB7697">
          <w:rPr>
            <w:sz w:val="22"/>
            <w:szCs w:val="22"/>
            <w:highlight w:val="lightGray"/>
          </w:rPr>
          <w:delText>2 injeksjonstørk</w:delText>
        </w:r>
      </w:del>
    </w:p>
    <w:p w14:paraId="3612CF55" w14:textId="0656E6D2" w:rsidR="004755B1" w:rsidRPr="00AB7697" w:rsidRDefault="004755B1">
      <w:pPr>
        <w:rPr>
          <w:del w:id="12727" w:author="AbbVie02no" w:date="2025-05-15T13:57:00Z"/>
          <w:sz w:val="22"/>
          <w:szCs w:val="22"/>
          <w:highlight w:val="lightGray"/>
        </w:rPr>
        <w:pPrChange w:id="12728" w:author="AbbVie02no" w:date="2025-05-15T13:57:00Z">
          <w:pPr>
            <w:suppressAutoHyphens/>
            <w:ind w:left="54"/>
          </w:pPr>
        </w:pPrChange>
      </w:pPr>
    </w:p>
    <w:p w14:paraId="0AA8C6E0" w14:textId="446CA834" w:rsidR="004755B1" w:rsidRPr="00AB7697" w:rsidRDefault="00E453CD">
      <w:pPr>
        <w:rPr>
          <w:del w:id="12729" w:author="AbbVie02no" w:date="2025-05-15T13:57:00Z"/>
          <w:sz w:val="22"/>
          <w:szCs w:val="22"/>
          <w:highlight w:val="lightGray"/>
        </w:rPr>
        <w:pPrChange w:id="12730" w:author="AbbVie02no" w:date="2025-05-15T13:57:00Z">
          <w:pPr>
            <w:suppressAutoHyphens/>
            <w:ind w:left="54"/>
          </w:pPr>
        </w:pPrChange>
      </w:pPr>
      <w:del w:id="12731" w:author="AbbVie02no" w:date="2025-05-15T13:57:00Z">
        <w:r w:rsidRPr="00AB7697">
          <w:rPr>
            <w:sz w:val="22"/>
            <w:szCs w:val="22"/>
            <w:highlight w:val="lightGray"/>
          </w:rPr>
          <w:delText xml:space="preserve">4 ferdigfylte penner </w:delText>
        </w:r>
      </w:del>
    </w:p>
    <w:p w14:paraId="07E22E6F" w14:textId="4AE558C7" w:rsidR="004755B1" w:rsidRPr="00AB7697" w:rsidRDefault="00E453CD">
      <w:pPr>
        <w:rPr>
          <w:del w:id="12732" w:author="AbbVie02no" w:date="2025-05-15T13:57:00Z"/>
          <w:sz w:val="22"/>
          <w:szCs w:val="22"/>
          <w:highlight w:val="lightGray"/>
        </w:rPr>
        <w:pPrChange w:id="12733" w:author="AbbVie02no" w:date="2025-05-15T13:57:00Z">
          <w:pPr>
            <w:suppressAutoHyphens/>
            <w:ind w:left="54"/>
          </w:pPr>
        </w:pPrChange>
      </w:pPr>
      <w:del w:id="12734" w:author="AbbVie02no" w:date="2025-05-15T13:57:00Z">
        <w:r w:rsidRPr="00AB7697">
          <w:rPr>
            <w:sz w:val="22"/>
            <w:szCs w:val="22"/>
            <w:highlight w:val="lightGray"/>
          </w:rPr>
          <w:delText>4 injeksjonstørk</w:delText>
        </w:r>
      </w:del>
    </w:p>
    <w:p w14:paraId="0B1C0E80" w14:textId="5B8BAF12" w:rsidR="004755B1" w:rsidRPr="00AB7697" w:rsidRDefault="004755B1">
      <w:pPr>
        <w:rPr>
          <w:del w:id="12735" w:author="AbbVie02no" w:date="2025-05-15T13:57:00Z"/>
          <w:sz w:val="22"/>
          <w:szCs w:val="22"/>
          <w:highlight w:val="lightGray"/>
        </w:rPr>
        <w:pPrChange w:id="12736" w:author="AbbVie02no" w:date="2025-05-15T13:57:00Z">
          <w:pPr>
            <w:suppressAutoHyphens/>
            <w:ind w:left="54"/>
          </w:pPr>
        </w:pPrChange>
      </w:pPr>
    </w:p>
    <w:p w14:paraId="4E65047D" w14:textId="522BE99B" w:rsidR="004755B1" w:rsidRPr="00AB7697" w:rsidRDefault="00E453CD">
      <w:pPr>
        <w:rPr>
          <w:del w:id="12737" w:author="AbbVie02no" w:date="2025-05-15T13:57:00Z"/>
          <w:sz w:val="22"/>
          <w:szCs w:val="22"/>
          <w:highlight w:val="lightGray"/>
        </w:rPr>
        <w:pPrChange w:id="12738" w:author="AbbVie02no" w:date="2025-05-15T13:57:00Z">
          <w:pPr>
            <w:suppressAutoHyphens/>
            <w:ind w:left="54"/>
          </w:pPr>
        </w:pPrChange>
      </w:pPr>
      <w:del w:id="12739" w:author="AbbVie02no" w:date="2025-05-15T13:57:00Z">
        <w:r w:rsidRPr="00AB7697">
          <w:rPr>
            <w:sz w:val="22"/>
            <w:szCs w:val="22"/>
            <w:highlight w:val="lightGray"/>
          </w:rPr>
          <w:delText>6 ferdigfylte penner</w:delText>
        </w:r>
      </w:del>
    </w:p>
    <w:p w14:paraId="146A0DE6" w14:textId="1959D055" w:rsidR="004755B1" w:rsidRPr="009C5EFD" w:rsidRDefault="00E453CD">
      <w:pPr>
        <w:rPr>
          <w:del w:id="12740" w:author="AbbVie02no" w:date="2025-05-15T13:57:00Z"/>
          <w:sz w:val="22"/>
          <w:szCs w:val="22"/>
        </w:rPr>
        <w:pPrChange w:id="12741" w:author="AbbVie02no" w:date="2025-05-15T13:57:00Z">
          <w:pPr>
            <w:suppressAutoHyphens/>
            <w:ind w:left="54"/>
          </w:pPr>
        </w:pPrChange>
      </w:pPr>
      <w:del w:id="12742" w:author="AbbVie02no" w:date="2025-05-15T13:57:00Z">
        <w:r w:rsidRPr="00AB7697">
          <w:rPr>
            <w:sz w:val="22"/>
            <w:szCs w:val="22"/>
            <w:highlight w:val="lightGray"/>
          </w:rPr>
          <w:delText>6 injeksjonstørk</w:delText>
        </w:r>
      </w:del>
    </w:p>
    <w:p w14:paraId="43A3E5E7" w14:textId="259A08E6" w:rsidR="00DE3458" w:rsidRPr="009C5EFD" w:rsidRDefault="00DE3458">
      <w:pPr>
        <w:rPr>
          <w:del w:id="12743" w:author="AbbVie02no" w:date="2025-05-15T13:57:00Z"/>
          <w:sz w:val="22"/>
          <w:szCs w:val="22"/>
        </w:rPr>
        <w:pPrChange w:id="12744" w:author="AbbVie02no" w:date="2025-05-15T13:57:00Z">
          <w:pPr>
            <w:suppressAutoHyphens/>
            <w:ind w:left="54"/>
          </w:pPr>
        </w:pPrChange>
      </w:pPr>
    </w:p>
    <w:p w14:paraId="01B7B559" w14:textId="215425FD" w:rsidR="00DE3458" w:rsidRPr="009C5EFD" w:rsidRDefault="00DE3458">
      <w:pPr>
        <w:rPr>
          <w:del w:id="12745" w:author="AbbVie02no" w:date="2025-05-15T13:57:00Z"/>
          <w:sz w:val="22"/>
          <w:szCs w:val="22"/>
        </w:rPr>
        <w:pPrChange w:id="12746"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792C4D4" w14:textId="23294B1B">
        <w:trPr>
          <w:del w:id="12747" w:author="AbbVie02no" w:date="2025-05-15T13:57:00Z"/>
        </w:trPr>
        <w:tc>
          <w:tcPr>
            <w:tcW w:w="9281" w:type="dxa"/>
          </w:tcPr>
          <w:p w14:paraId="7FB4D66B" w14:textId="7AAB92BD" w:rsidR="00DE3458" w:rsidRPr="009C5EFD" w:rsidRDefault="00E453CD">
            <w:pPr>
              <w:rPr>
                <w:del w:id="12748" w:author="AbbVie02no" w:date="2025-05-15T13:57:00Z"/>
                <w:b/>
                <w:sz w:val="22"/>
                <w:szCs w:val="22"/>
              </w:rPr>
              <w:pPrChange w:id="12749" w:author="AbbVie02no" w:date="2025-05-15T13:57:00Z">
                <w:pPr>
                  <w:ind w:left="567" w:hanging="567"/>
                </w:pPr>
              </w:pPrChange>
            </w:pPr>
            <w:del w:id="12750" w:author="AbbVie02no" w:date="2025-05-15T13:57:00Z">
              <w:r w:rsidRPr="009C5EFD">
                <w:rPr>
                  <w:b/>
                  <w:sz w:val="22"/>
                  <w:szCs w:val="22"/>
                </w:rPr>
                <w:delText>5.</w:delText>
              </w:r>
              <w:r w:rsidRPr="009C5EFD">
                <w:rPr>
                  <w:b/>
                  <w:sz w:val="22"/>
                  <w:szCs w:val="22"/>
                </w:rPr>
                <w:tab/>
                <w:delText xml:space="preserve">ADMINISTRASJONSMÅTE OG </w:delText>
              </w:r>
              <w:r w:rsidR="0050174A">
                <w:rPr>
                  <w:b/>
                  <w:sz w:val="22"/>
                  <w:szCs w:val="22"/>
                </w:rPr>
                <w:delText>-</w:delText>
              </w:r>
              <w:r w:rsidR="0050174A" w:rsidRPr="009C5EFD">
                <w:rPr>
                  <w:b/>
                  <w:sz w:val="22"/>
                  <w:szCs w:val="22"/>
                </w:rPr>
                <w:delText>VEI</w:delText>
              </w:r>
            </w:del>
          </w:p>
        </w:tc>
      </w:tr>
    </w:tbl>
    <w:p w14:paraId="3495D075" w14:textId="02331AC3" w:rsidR="00DE3458" w:rsidRPr="009C5EFD" w:rsidRDefault="00DE3458">
      <w:pPr>
        <w:rPr>
          <w:del w:id="12751" w:author="AbbVie02no" w:date="2025-05-15T13:57:00Z"/>
          <w:sz w:val="22"/>
          <w:szCs w:val="22"/>
        </w:rPr>
        <w:pPrChange w:id="12752" w:author="AbbVie02no" w:date="2025-05-15T13:57:00Z">
          <w:pPr>
            <w:suppressAutoHyphens/>
            <w:ind w:left="54"/>
          </w:pPr>
        </w:pPrChange>
      </w:pPr>
    </w:p>
    <w:p w14:paraId="726AF15E" w14:textId="0B9647A6" w:rsidR="00DE3458" w:rsidRPr="009C5EFD" w:rsidRDefault="00E453CD">
      <w:pPr>
        <w:rPr>
          <w:del w:id="12753" w:author="AbbVie02no" w:date="2025-05-15T13:57:00Z"/>
          <w:sz w:val="22"/>
          <w:szCs w:val="22"/>
        </w:rPr>
        <w:pPrChange w:id="12754" w:author="AbbVie02no" w:date="2025-05-15T13:57:00Z">
          <w:pPr>
            <w:suppressAutoHyphens/>
            <w:ind w:left="54"/>
          </w:pPr>
        </w:pPrChange>
      </w:pPr>
      <w:del w:id="12755" w:author="AbbVie02no" w:date="2025-05-15T13:57:00Z">
        <w:r w:rsidRPr="009C5EFD">
          <w:rPr>
            <w:sz w:val="22"/>
            <w:szCs w:val="22"/>
          </w:rPr>
          <w:delText>Subkutan bruk</w:delText>
        </w:r>
      </w:del>
    </w:p>
    <w:p w14:paraId="0BBA8D53" w14:textId="1F475F15" w:rsidR="00DE3458" w:rsidRPr="009C5EFD" w:rsidRDefault="00DE3458">
      <w:pPr>
        <w:rPr>
          <w:del w:id="12756" w:author="AbbVie02no" w:date="2025-05-15T13:57:00Z"/>
          <w:sz w:val="22"/>
          <w:szCs w:val="22"/>
        </w:rPr>
        <w:pPrChange w:id="12757" w:author="AbbVie02no" w:date="2025-05-15T13:57:00Z">
          <w:pPr>
            <w:suppressAutoHyphens/>
            <w:ind w:left="54"/>
          </w:pPr>
        </w:pPrChange>
      </w:pPr>
    </w:p>
    <w:p w14:paraId="0ECC6B78" w14:textId="40A79651" w:rsidR="00DE3458" w:rsidRDefault="00E453CD">
      <w:pPr>
        <w:rPr>
          <w:del w:id="12758" w:author="AbbVie02no" w:date="2025-05-15T13:57:00Z"/>
          <w:sz w:val="22"/>
          <w:szCs w:val="22"/>
        </w:rPr>
        <w:pPrChange w:id="12759" w:author="AbbVie02no" w:date="2025-05-15T13:57:00Z">
          <w:pPr>
            <w:suppressAutoHyphens/>
            <w:ind w:left="54"/>
          </w:pPr>
        </w:pPrChange>
      </w:pPr>
      <w:del w:id="12760" w:author="AbbVie02no" w:date="2025-05-15T13:57:00Z">
        <w:r w:rsidRPr="009C5EFD">
          <w:rPr>
            <w:sz w:val="22"/>
            <w:szCs w:val="22"/>
          </w:rPr>
          <w:delText>Les pakningsvedlegget før bruk</w:delText>
        </w:r>
        <w:r w:rsidR="00AE2643" w:rsidRPr="009C5EFD">
          <w:rPr>
            <w:sz w:val="22"/>
            <w:szCs w:val="22"/>
          </w:rPr>
          <w:delText>.</w:delText>
        </w:r>
      </w:del>
    </w:p>
    <w:p w14:paraId="5343848E" w14:textId="783E8574" w:rsidR="004755B1" w:rsidRDefault="004755B1">
      <w:pPr>
        <w:rPr>
          <w:del w:id="12761" w:author="AbbVie02no" w:date="2025-05-15T13:57:00Z"/>
          <w:sz w:val="22"/>
          <w:szCs w:val="22"/>
        </w:rPr>
        <w:pPrChange w:id="12762" w:author="AbbVie02no" w:date="2025-05-15T13:57:00Z">
          <w:pPr>
            <w:suppressAutoHyphens/>
            <w:ind w:left="54"/>
          </w:pPr>
        </w:pPrChange>
      </w:pPr>
    </w:p>
    <w:p w14:paraId="60410AA2" w14:textId="4108CA8B" w:rsidR="004755B1" w:rsidRPr="009C5EFD" w:rsidRDefault="00E453CD">
      <w:pPr>
        <w:rPr>
          <w:del w:id="12763" w:author="AbbVie02no" w:date="2025-05-15T13:57:00Z"/>
          <w:sz w:val="22"/>
          <w:szCs w:val="22"/>
        </w:rPr>
        <w:pPrChange w:id="12764" w:author="AbbVie02no" w:date="2025-05-15T13:57:00Z">
          <w:pPr>
            <w:suppressAutoHyphens/>
            <w:ind w:left="54"/>
          </w:pPr>
        </w:pPrChange>
      </w:pPr>
      <w:del w:id="12765" w:author="AbbVie02no" w:date="2025-05-15T13:57:00Z">
        <w:r w:rsidRPr="009C5EFD">
          <w:rPr>
            <w:sz w:val="22"/>
            <w:szCs w:val="22"/>
          </w:rPr>
          <w:delText>Kun til engangsbruk.</w:delText>
        </w:r>
      </w:del>
    </w:p>
    <w:p w14:paraId="3A41DAE5" w14:textId="094F1F40" w:rsidR="00DE3458" w:rsidRPr="009C5EFD" w:rsidRDefault="00DE3458">
      <w:pPr>
        <w:rPr>
          <w:del w:id="12766" w:author="AbbVie02no" w:date="2025-05-15T13:57:00Z"/>
          <w:sz w:val="22"/>
          <w:szCs w:val="22"/>
        </w:rPr>
        <w:pPrChange w:id="12767" w:author="AbbVie02no" w:date="2025-05-15T13:57:00Z">
          <w:pPr>
            <w:suppressAutoHyphens/>
            <w:ind w:left="54"/>
          </w:pPr>
        </w:pPrChange>
      </w:pPr>
    </w:p>
    <w:p w14:paraId="0B774834" w14:textId="3B6E8B2E" w:rsidR="00DE3458" w:rsidRPr="009C5EFD" w:rsidRDefault="00DE3458">
      <w:pPr>
        <w:rPr>
          <w:del w:id="12768" w:author="AbbVie02no" w:date="2025-05-15T13:57:00Z"/>
          <w:sz w:val="22"/>
          <w:szCs w:val="22"/>
        </w:rPr>
        <w:pPrChange w:id="12769"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6BC828D" w14:textId="763AA956">
        <w:trPr>
          <w:del w:id="12770" w:author="AbbVie02no" w:date="2025-05-15T13:57:00Z"/>
        </w:trPr>
        <w:tc>
          <w:tcPr>
            <w:tcW w:w="9281" w:type="dxa"/>
          </w:tcPr>
          <w:p w14:paraId="7A19B187" w14:textId="58B015A1" w:rsidR="00DE3458" w:rsidRPr="009C5EFD" w:rsidRDefault="00E453CD">
            <w:pPr>
              <w:rPr>
                <w:del w:id="12771" w:author="AbbVie02no" w:date="2025-05-15T13:57:00Z"/>
                <w:b/>
                <w:sz w:val="22"/>
                <w:szCs w:val="22"/>
              </w:rPr>
              <w:pPrChange w:id="12772" w:author="AbbVie02no" w:date="2025-05-15T13:57:00Z">
                <w:pPr>
                  <w:ind w:left="567" w:hanging="567"/>
                </w:pPr>
              </w:pPrChange>
            </w:pPr>
            <w:del w:id="12773" w:author="AbbVie02no" w:date="2025-05-15T13:57:00Z">
              <w:r w:rsidRPr="009C5EFD">
                <w:rPr>
                  <w:b/>
                  <w:sz w:val="22"/>
                  <w:szCs w:val="22"/>
                </w:rPr>
                <w:delText>6.</w:delText>
              </w:r>
              <w:r w:rsidRPr="009C5EFD">
                <w:rPr>
                  <w:b/>
                  <w:sz w:val="22"/>
                  <w:szCs w:val="22"/>
                </w:rPr>
                <w:tab/>
                <w:delText>ADVARSEL OM AT LEGEMIDLET SKAL OPPBEVARES UTILGJENGELIG FOR BARN</w:delText>
              </w:r>
            </w:del>
          </w:p>
        </w:tc>
      </w:tr>
    </w:tbl>
    <w:p w14:paraId="48E93476" w14:textId="437F3F01" w:rsidR="00DE3458" w:rsidRPr="009C5EFD" w:rsidRDefault="00DE3458">
      <w:pPr>
        <w:rPr>
          <w:del w:id="12774" w:author="AbbVie02no" w:date="2025-05-15T13:57:00Z"/>
          <w:sz w:val="22"/>
          <w:szCs w:val="22"/>
        </w:rPr>
        <w:pPrChange w:id="12775" w:author="AbbVie02no" w:date="2025-05-15T13:57:00Z">
          <w:pPr>
            <w:suppressAutoHyphens/>
            <w:ind w:left="54"/>
          </w:pPr>
        </w:pPrChange>
      </w:pPr>
    </w:p>
    <w:p w14:paraId="358E7985" w14:textId="4DA95A07" w:rsidR="00DE3458" w:rsidRPr="009C5EFD" w:rsidRDefault="00E453CD">
      <w:pPr>
        <w:rPr>
          <w:del w:id="12776" w:author="AbbVie02no" w:date="2025-05-15T13:57:00Z"/>
          <w:sz w:val="22"/>
          <w:szCs w:val="22"/>
        </w:rPr>
        <w:pPrChange w:id="12777" w:author="AbbVie02no" w:date="2025-05-15T13:57:00Z">
          <w:pPr>
            <w:suppressAutoHyphens/>
            <w:ind w:left="54"/>
          </w:pPr>
        </w:pPrChange>
      </w:pPr>
      <w:del w:id="12778" w:author="AbbVie02no" w:date="2025-05-15T13:57:00Z">
        <w:r w:rsidRPr="009C5EFD">
          <w:rPr>
            <w:sz w:val="22"/>
            <w:szCs w:val="22"/>
          </w:rPr>
          <w:delText>Oppbevares utilgjengelig for barn.</w:delText>
        </w:r>
      </w:del>
    </w:p>
    <w:p w14:paraId="35D8B750" w14:textId="74EFA62A" w:rsidR="00DE3458" w:rsidRPr="009C5EFD" w:rsidRDefault="00DE3458">
      <w:pPr>
        <w:rPr>
          <w:del w:id="12779" w:author="AbbVie02no" w:date="2025-05-15T13:57:00Z"/>
          <w:sz w:val="22"/>
          <w:szCs w:val="22"/>
        </w:rPr>
        <w:pPrChange w:id="12780" w:author="AbbVie02no" w:date="2025-05-15T13:57:00Z">
          <w:pPr>
            <w:suppressAutoHyphens/>
            <w:ind w:left="54"/>
          </w:pPr>
        </w:pPrChange>
      </w:pPr>
    </w:p>
    <w:p w14:paraId="55FD434A" w14:textId="28C6A17B" w:rsidR="00DE3458" w:rsidRPr="009C5EFD" w:rsidRDefault="00DE3458">
      <w:pPr>
        <w:rPr>
          <w:del w:id="12781" w:author="AbbVie02no" w:date="2025-05-15T13:57:00Z"/>
          <w:sz w:val="22"/>
          <w:szCs w:val="22"/>
        </w:rPr>
        <w:pPrChange w:id="12782"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DE7BD90" w14:textId="0BA6C463">
        <w:trPr>
          <w:del w:id="12783" w:author="AbbVie02no" w:date="2025-05-15T13:57:00Z"/>
        </w:trPr>
        <w:tc>
          <w:tcPr>
            <w:tcW w:w="9281" w:type="dxa"/>
          </w:tcPr>
          <w:p w14:paraId="700B55CE" w14:textId="5D8D2A90" w:rsidR="00DE3458" w:rsidRPr="009C5EFD" w:rsidRDefault="00E453CD">
            <w:pPr>
              <w:rPr>
                <w:del w:id="12784" w:author="AbbVie02no" w:date="2025-05-15T13:57:00Z"/>
                <w:b/>
                <w:sz w:val="22"/>
                <w:szCs w:val="22"/>
              </w:rPr>
              <w:pPrChange w:id="12785" w:author="AbbVie02no" w:date="2025-05-15T13:57:00Z">
                <w:pPr>
                  <w:ind w:left="567" w:hanging="567"/>
                </w:pPr>
              </w:pPrChange>
            </w:pPr>
            <w:del w:id="12786" w:author="AbbVie02no" w:date="2025-05-15T13:57:00Z">
              <w:r w:rsidRPr="009C5EFD">
                <w:rPr>
                  <w:b/>
                  <w:sz w:val="22"/>
                  <w:szCs w:val="22"/>
                </w:rPr>
                <w:delText>7.</w:delText>
              </w:r>
              <w:r w:rsidRPr="009C5EFD">
                <w:rPr>
                  <w:b/>
                  <w:sz w:val="22"/>
                  <w:szCs w:val="22"/>
                </w:rPr>
                <w:tab/>
                <w:delText>EVENTUELLE ANDRE SPESIELLE ADVARSLER</w:delText>
              </w:r>
            </w:del>
          </w:p>
        </w:tc>
      </w:tr>
    </w:tbl>
    <w:p w14:paraId="3E6035B9" w14:textId="17C8B6ED" w:rsidR="00DE3458" w:rsidRPr="009C5EFD" w:rsidRDefault="00DE3458">
      <w:pPr>
        <w:rPr>
          <w:del w:id="12787" w:author="AbbVie02no" w:date="2025-05-15T13:57:00Z"/>
          <w:sz w:val="22"/>
          <w:szCs w:val="22"/>
        </w:rPr>
        <w:pPrChange w:id="12788" w:author="AbbVie02no" w:date="2025-05-15T13:57:00Z">
          <w:pPr>
            <w:suppressAutoHyphens/>
            <w:ind w:left="54"/>
          </w:pPr>
        </w:pPrChange>
      </w:pPr>
    </w:p>
    <w:p w14:paraId="0BF9D027" w14:textId="0A1E54FA" w:rsidR="00DE3458" w:rsidRPr="009C5EFD" w:rsidRDefault="00DE3458">
      <w:pPr>
        <w:rPr>
          <w:del w:id="12789" w:author="AbbVie02no" w:date="2025-05-15T13:57:00Z"/>
          <w:sz w:val="22"/>
          <w:szCs w:val="22"/>
        </w:rPr>
        <w:pPrChange w:id="12790"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92F63FB" w14:textId="265F95C2">
        <w:trPr>
          <w:del w:id="12791" w:author="AbbVie02no" w:date="2025-05-15T13:57:00Z"/>
        </w:trPr>
        <w:tc>
          <w:tcPr>
            <w:tcW w:w="9281" w:type="dxa"/>
          </w:tcPr>
          <w:p w14:paraId="09B328C3" w14:textId="0D663DDA" w:rsidR="00DE3458" w:rsidRPr="009C5EFD" w:rsidRDefault="00E453CD">
            <w:pPr>
              <w:rPr>
                <w:del w:id="12792" w:author="AbbVie02no" w:date="2025-05-15T13:57:00Z"/>
                <w:b/>
                <w:sz w:val="22"/>
                <w:szCs w:val="22"/>
              </w:rPr>
              <w:pPrChange w:id="12793" w:author="AbbVie02no" w:date="2025-05-15T13:57:00Z">
                <w:pPr>
                  <w:ind w:left="567" w:hanging="567"/>
                </w:pPr>
              </w:pPrChange>
            </w:pPr>
            <w:del w:id="12794" w:author="AbbVie02no" w:date="2025-05-15T13:57:00Z">
              <w:r w:rsidRPr="009C5EFD">
                <w:rPr>
                  <w:b/>
                  <w:sz w:val="22"/>
                  <w:szCs w:val="22"/>
                </w:rPr>
                <w:delText>8.</w:delText>
              </w:r>
              <w:r w:rsidRPr="009C5EFD">
                <w:rPr>
                  <w:b/>
                  <w:sz w:val="22"/>
                  <w:szCs w:val="22"/>
                </w:rPr>
                <w:tab/>
                <w:delText>UTLØPSDATO</w:delText>
              </w:r>
            </w:del>
          </w:p>
        </w:tc>
      </w:tr>
    </w:tbl>
    <w:p w14:paraId="6A1B754A" w14:textId="3C010AD8" w:rsidR="00DE3458" w:rsidRPr="009C5EFD" w:rsidRDefault="00DE3458">
      <w:pPr>
        <w:rPr>
          <w:del w:id="12795" w:author="AbbVie02no" w:date="2025-05-15T13:57:00Z"/>
          <w:sz w:val="22"/>
          <w:szCs w:val="22"/>
        </w:rPr>
        <w:pPrChange w:id="12796" w:author="AbbVie02no" w:date="2025-05-15T13:57:00Z">
          <w:pPr>
            <w:suppressAutoHyphens/>
            <w:ind w:left="621" w:hanging="567"/>
          </w:pPr>
        </w:pPrChange>
      </w:pPr>
    </w:p>
    <w:p w14:paraId="3A6F814F" w14:textId="06D82815" w:rsidR="00DE3458" w:rsidRPr="009C5EFD" w:rsidRDefault="00E453CD">
      <w:pPr>
        <w:rPr>
          <w:del w:id="12797" w:author="AbbVie02no" w:date="2025-05-15T13:57:00Z"/>
          <w:sz w:val="22"/>
          <w:szCs w:val="22"/>
        </w:rPr>
        <w:pPrChange w:id="12798" w:author="AbbVie02no" w:date="2025-05-15T13:57:00Z">
          <w:pPr>
            <w:suppressAutoHyphens/>
            <w:ind w:left="54"/>
          </w:pPr>
        </w:pPrChange>
      </w:pPr>
      <w:del w:id="12799" w:author="AbbVie02no" w:date="2025-05-15T13:57:00Z">
        <w:r>
          <w:rPr>
            <w:sz w:val="22"/>
            <w:szCs w:val="22"/>
          </w:rPr>
          <w:delText>EXP</w:delText>
        </w:r>
      </w:del>
    </w:p>
    <w:p w14:paraId="62C07CFA" w14:textId="2D866F7E" w:rsidR="00DE3458" w:rsidRDefault="00DE3458">
      <w:pPr>
        <w:rPr>
          <w:del w:id="12800" w:author="AbbVie02no" w:date="2025-05-15T13:57:00Z"/>
          <w:sz w:val="22"/>
          <w:szCs w:val="22"/>
        </w:rPr>
        <w:pPrChange w:id="12801" w:author="AbbVie02no" w:date="2025-05-15T13:57:00Z">
          <w:pPr>
            <w:ind w:left="54"/>
          </w:pPr>
        </w:pPrChange>
      </w:pPr>
    </w:p>
    <w:p w14:paraId="0D877564" w14:textId="197001A7" w:rsidR="00450F58" w:rsidRPr="009C5EFD" w:rsidRDefault="00450F58">
      <w:pPr>
        <w:rPr>
          <w:del w:id="12802" w:author="AbbVie02no" w:date="2025-05-15T13:57:00Z"/>
          <w:sz w:val="22"/>
          <w:szCs w:val="22"/>
        </w:rPr>
        <w:pPrChange w:id="12803" w:author="AbbVie02no" w:date="2025-05-15T13:57:00Z">
          <w:pPr>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A60927B" w14:textId="5A1FDD1C">
        <w:trPr>
          <w:del w:id="12804" w:author="AbbVie02no" w:date="2025-05-15T13:57:00Z"/>
        </w:trPr>
        <w:tc>
          <w:tcPr>
            <w:tcW w:w="9281" w:type="dxa"/>
          </w:tcPr>
          <w:p w14:paraId="20AF2664" w14:textId="0D9CF997" w:rsidR="00DE3458" w:rsidRPr="009C5EFD" w:rsidRDefault="00E453CD">
            <w:pPr>
              <w:rPr>
                <w:del w:id="12805" w:author="AbbVie02no" w:date="2025-05-15T13:57:00Z"/>
                <w:b/>
                <w:sz w:val="22"/>
                <w:szCs w:val="22"/>
              </w:rPr>
              <w:pPrChange w:id="12806" w:author="AbbVie02no" w:date="2025-05-15T13:57:00Z">
                <w:pPr>
                  <w:keepNext/>
                  <w:ind w:left="567" w:hanging="567"/>
                </w:pPr>
              </w:pPrChange>
            </w:pPr>
            <w:del w:id="12807" w:author="AbbVie02no" w:date="2025-05-15T13:57:00Z">
              <w:r w:rsidRPr="009C5EFD">
                <w:br w:type="page"/>
              </w:r>
              <w:r w:rsidRPr="009C5EFD">
                <w:rPr>
                  <w:b/>
                  <w:sz w:val="22"/>
                  <w:szCs w:val="22"/>
                </w:rPr>
                <w:delText>9.</w:delText>
              </w:r>
              <w:r w:rsidRPr="009C5EFD">
                <w:rPr>
                  <w:b/>
                  <w:sz w:val="22"/>
                  <w:szCs w:val="22"/>
                </w:rPr>
                <w:tab/>
                <w:delText>OPPBEVARINGSBETINGELSER</w:delText>
              </w:r>
            </w:del>
          </w:p>
        </w:tc>
      </w:tr>
    </w:tbl>
    <w:p w14:paraId="65E075D0" w14:textId="13727169" w:rsidR="00DE3458" w:rsidRPr="009C5EFD" w:rsidRDefault="00DE3458">
      <w:pPr>
        <w:rPr>
          <w:del w:id="12808" w:author="AbbVie02no" w:date="2025-05-15T13:57:00Z"/>
          <w:sz w:val="22"/>
          <w:szCs w:val="22"/>
        </w:rPr>
        <w:pPrChange w:id="12809" w:author="AbbVie02no" w:date="2025-05-15T13:57:00Z">
          <w:pPr>
            <w:keepNext/>
            <w:suppressAutoHyphens/>
            <w:ind w:left="54"/>
          </w:pPr>
        </w:pPrChange>
      </w:pPr>
    </w:p>
    <w:p w14:paraId="6F149396" w14:textId="3ADEC3FF" w:rsidR="00DE3458" w:rsidRPr="009C5EFD" w:rsidRDefault="00E453CD">
      <w:pPr>
        <w:rPr>
          <w:del w:id="12810" w:author="AbbVie02no" w:date="2025-05-15T13:57:00Z"/>
          <w:sz w:val="22"/>
          <w:szCs w:val="22"/>
        </w:rPr>
        <w:pPrChange w:id="12811" w:author="AbbVie02no" w:date="2025-05-15T13:57:00Z">
          <w:pPr>
            <w:keepNext/>
            <w:suppressAutoHyphens/>
            <w:ind w:left="54"/>
          </w:pPr>
        </w:pPrChange>
      </w:pPr>
      <w:del w:id="12812" w:author="AbbVie02no" w:date="2025-05-15T13:57:00Z">
        <w:r w:rsidRPr="009C5EFD">
          <w:rPr>
            <w:sz w:val="22"/>
            <w:szCs w:val="22"/>
          </w:rPr>
          <w:delText xml:space="preserve">Oppbevares i kjøleskap. </w:delText>
        </w:r>
        <w:r w:rsidR="00D81405" w:rsidRPr="009C5EFD">
          <w:rPr>
            <w:sz w:val="22"/>
            <w:szCs w:val="22"/>
          </w:rPr>
          <w:delText xml:space="preserve">Skal </w:delText>
        </w:r>
        <w:r w:rsidRPr="009C5EFD">
          <w:rPr>
            <w:sz w:val="22"/>
            <w:szCs w:val="22"/>
          </w:rPr>
          <w:delText>ikke fryses.</w:delText>
        </w:r>
      </w:del>
    </w:p>
    <w:p w14:paraId="036ED855" w14:textId="1D3FF8B1" w:rsidR="00C73989" w:rsidRPr="009C5EFD" w:rsidRDefault="00E453CD">
      <w:pPr>
        <w:rPr>
          <w:del w:id="12813" w:author="AbbVie02no" w:date="2025-05-15T13:57:00Z"/>
          <w:sz w:val="22"/>
          <w:szCs w:val="22"/>
        </w:rPr>
        <w:pPrChange w:id="12814" w:author="AbbVie02no" w:date="2025-05-15T13:57:00Z">
          <w:pPr>
            <w:keepNext/>
            <w:suppressAutoHyphens/>
            <w:ind w:left="54"/>
          </w:pPr>
        </w:pPrChange>
      </w:pPr>
      <w:del w:id="12815" w:author="AbbVie02no" w:date="2025-05-15T13:57:00Z">
        <w:r w:rsidRPr="009C5EFD">
          <w:rPr>
            <w:sz w:val="22"/>
            <w:szCs w:val="22"/>
          </w:rPr>
          <w:delText xml:space="preserve">Se pakningsvedlegg for </w:delText>
        </w:r>
        <w:r w:rsidR="00E14A9A" w:rsidRPr="009C5EFD">
          <w:rPr>
            <w:sz w:val="22"/>
            <w:szCs w:val="22"/>
          </w:rPr>
          <w:delText>alternative oppbevaringsbetingelser</w:delText>
        </w:r>
        <w:r w:rsidRPr="009C5EFD">
          <w:rPr>
            <w:sz w:val="22"/>
            <w:szCs w:val="22"/>
          </w:rPr>
          <w:delText>.</w:delText>
        </w:r>
      </w:del>
    </w:p>
    <w:p w14:paraId="4E6DEBA7" w14:textId="60D0649E" w:rsidR="00DE3458" w:rsidRPr="009C5EFD" w:rsidRDefault="00E453CD">
      <w:pPr>
        <w:rPr>
          <w:del w:id="12816" w:author="AbbVie02no" w:date="2025-05-15T13:57:00Z"/>
          <w:sz w:val="22"/>
          <w:szCs w:val="22"/>
        </w:rPr>
        <w:pPrChange w:id="12817" w:author="AbbVie02no" w:date="2025-05-15T13:57:00Z">
          <w:pPr>
            <w:keepNext/>
            <w:suppressAutoHyphens/>
            <w:ind w:left="54"/>
          </w:pPr>
        </w:pPrChange>
      </w:pPr>
      <w:del w:id="12818" w:author="AbbVie02no" w:date="2025-05-15T13:57:00Z">
        <w:r>
          <w:rPr>
            <w:sz w:val="22"/>
            <w:szCs w:val="22"/>
          </w:rPr>
          <w:delText>Den ferdigfylte p</w:delText>
        </w:r>
        <w:r w:rsidRPr="009C5EFD">
          <w:rPr>
            <w:sz w:val="22"/>
            <w:szCs w:val="22"/>
          </w:rPr>
          <w:delText>ennen oppbevares i ytterkartongen</w:delText>
        </w:r>
        <w:r w:rsidR="00C73989" w:rsidRPr="009C5EFD">
          <w:rPr>
            <w:sz w:val="22"/>
            <w:szCs w:val="22"/>
          </w:rPr>
          <w:delText xml:space="preserve"> for å beskytte mot lys</w:delText>
        </w:r>
        <w:r w:rsidRPr="009C5EFD">
          <w:rPr>
            <w:sz w:val="22"/>
            <w:szCs w:val="22"/>
          </w:rPr>
          <w:delText>.</w:delText>
        </w:r>
      </w:del>
    </w:p>
    <w:p w14:paraId="69F6370A" w14:textId="35B0E50E" w:rsidR="00DE3458" w:rsidRPr="009C5EFD" w:rsidRDefault="00DE3458">
      <w:pPr>
        <w:rPr>
          <w:del w:id="12819" w:author="AbbVie02no" w:date="2025-05-15T13:57:00Z"/>
          <w:sz w:val="22"/>
          <w:szCs w:val="22"/>
        </w:rPr>
        <w:pPrChange w:id="12820" w:author="AbbVie02no" w:date="2025-05-15T13:57:00Z">
          <w:pPr>
            <w:keepNext/>
            <w:suppressAutoHyphens/>
            <w:ind w:left="54"/>
          </w:pPr>
        </w:pPrChange>
      </w:pPr>
    </w:p>
    <w:p w14:paraId="25AA5E84" w14:textId="5E5013E4" w:rsidR="00DE3458" w:rsidRPr="009C5EFD" w:rsidRDefault="00DE3458">
      <w:pPr>
        <w:rPr>
          <w:del w:id="12821" w:author="AbbVie02no" w:date="2025-05-15T13:57:00Z"/>
          <w:sz w:val="22"/>
          <w:szCs w:val="22"/>
        </w:rPr>
        <w:pPrChange w:id="12822" w:author="AbbVie02no" w:date="2025-05-15T13:57:00Z">
          <w:pPr>
            <w:keepNext/>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510A23A" w14:textId="7FE1F538">
        <w:trPr>
          <w:del w:id="12823" w:author="AbbVie02no" w:date="2025-05-15T13:57:00Z"/>
        </w:trPr>
        <w:tc>
          <w:tcPr>
            <w:tcW w:w="9281" w:type="dxa"/>
          </w:tcPr>
          <w:p w14:paraId="13F8A64D" w14:textId="405B0BD6" w:rsidR="00DE3458" w:rsidRPr="009C5EFD" w:rsidRDefault="00E453CD">
            <w:pPr>
              <w:rPr>
                <w:del w:id="12824" w:author="AbbVie02no" w:date="2025-05-15T13:57:00Z"/>
                <w:b/>
                <w:sz w:val="22"/>
                <w:szCs w:val="22"/>
              </w:rPr>
              <w:pPrChange w:id="12825" w:author="AbbVie02no" w:date="2025-05-15T13:57:00Z">
                <w:pPr>
                  <w:ind w:left="567" w:hanging="567"/>
                </w:pPr>
              </w:pPrChange>
            </w:pPr>
            <w:del w:id="12826" w:author="AbbVie02no" w:date="2025-05-15T13:57:00Z">
              <w:r w:rsidRPr="009C5EFD">
                <w:rPr>
                  <w:b/>
                  <w:sz w:val="22"/>
                  <w:szCs w:val="22"/>
                </w:rPr>
                <w:delText>10.</w:delText>
              </w:r>
              <w:r w:rsidRPr="009C5EFD">
                <w:rPr>
                  <w:b/>
                  <w:sz w:val="22"/>
                  <w:szCs w:val="22"/>
                </w:rPr>
                <w:tab/>
                <w:delText>EVENTUELLE SPESIELLE FORHOLDSREGLER VED DESTRUKSJON AV UBRUKTE LEGEMIDLER ELLER AVFALL</w:delText>
              </w:r>
            </w:del>
          </w:p>
        </w:tc>
      </w:tr>
    </w:tbl>
    <w:p w14:paraId="2A2C6523" w14:textId="1A895570" w:rsidR="00DE3458" w:rsidRPr="009C5EFD" w:rsidRDefault="00DE3458">
      <w:pPr>
        <w:rPr>
          <w:del w:id="12827" w:author="AbbVie02no" w:date="2025-05-15T13:57:00Z"/>
          <w:sz w:val="22"/>
          <w:szCs w:val="22"/>
        </w:rPr>
        <w:pPrChange w:id="12828" w:author="AbbVie02no" w:date="2025-05-15T13:57:00Z">
          <w:pPr>
            <w:suppressAutoHyphens/>
            <w:ind w:left="54"/>
          </w:pPr>
        </w:pPrChange>
      </w:pPr>
    </w:p>
    <w:p w14:paraId="0430AFEF" w14:textId="219F7957" w:rsidR="00DE3458" w:rsidRPr="009C5EFD" w:rsidRDefault="00DE3458">
      <w:pPr>
        <w:rPr>
          <w:del w:id="12829" w:author="AbbVie02no" w:date="2025-05-15T13:57:00Z"/>
          <w:sz w:val="22"/>
          <w:szCs w:val="22"/>
        </w:rPr>
        <w:pPrChange w:id="12830"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9D12CC2" w14:textId="18C6A9BD">
        <w:trPr>
          <w:del w:id="12831" w:author="AbbVie02no" w:date="2025-05-15T13:57:00Z"/>
        </w:trPr>
        <w:tc>
          <w:tcPr>
            <w:tcW w:w="9281" w:type="dxa"/>
          </w:tcPr>
          <w:p w14:paraId="5ADA0A7C" w14:textId="2F7E3BBE" w:rsidR="00DE3458" w:rsidRPr="009C5EFD" w:rsidRDefault="00E453CD">
            <w:pPr>
              <w:rPr>
                <w:del w:id="12832" w:author="AbbVie02no" w:date="2025-05-15T13:57:00Z"/>
                <w:b/>
                <w:sz w:val="22"/>
                <w:szCs w:val="22"/>
              </w:rPr>
              <w:pPrChange w:id="12833" w:author="AbbVie02no" w:date="2025-05-15T13:57:00Z">
                <w:pPr>
                  <w:ind w:left="567" w:hanging="567"/>
                </w:pPr>
              </w:pPrChange>
            </w:pPr>
            <w:del w:id="12834" w:author="AbbVie02no" w:date="2025-05-15T13:57:00Z">
              <w:r w:rsidRPr="009C5EFD">
                <w:rPr>
                  <w:b/>
                  <w:sz w:val="22"/>
                  <w:szCs w:val="22"/>
                </w:rPr>
                <w:delText>11.</w:delText>
              </w:r>
              <w:r w:rsidRPr="009C5EFD">
                <w:rPr>
                  <w:b/>
                  <w:sz w:val="22"/>
                  <w:szCs w:val="22"/>
                </w:rPr>
                <w:tab/>
                <w:delText>NAVN OG ADRESSE PÅ INNEHAVEREN AV MARKEDSFØRINGSTILLATELSEN</w:delText>
              </w:r>
            </w:del>
          </w:p>
        </w:tc>
      </w:tr>
    </w:tbl>
    <w:p w14:paraId="68AEF606" w14:textId="186A769A" w:rsidR="00DE3458" w:rsidRPr="009C5EFD" w:rsidRDefault="00DE3458">
      <w:pPr>
        <w:rPr>
          <w:del w:id="12835" w:author="AbbVie02no" w:date="2025-05-15T13:57:00Z"/>
          <w:sz w:val="22"/>
          <w:szCs w:val="22"/>
        </w:rPr>
        <w:pPrChange w:id="12836" w:author="AbbVie02no" w:date="2025-05-15T13:57:00Z">
          <w:pPr>
            <w:suppressAutoHyphens/>
            <w:ind w:left="54"/>
          </w:pPr>
        </w:pPrChange>
      </w:pPr>
    </w:p>
    <w:p w14:paraId="1B214595" w14:textId="18ADCBA1" w:rsidR="00DD76CF" w:rsidRPr="00EF12DF" w:rsidRDefault="00E453CD" w:rsidP="00243BE3">
      <w:pPr>
        <w:rPr>
          <w:del w:id="12837" w:author="AbbVie02no" w:date="2025-05-15T13:57:00Z"/>
          <w:sz w:val="22"/>
          <w:szCs w:val="22"/>
        </w:rPr>
      </w:pPr>
      <w:del w:id="12838" w:author="AbbVie02no" w:date="2025-05-15T13:57:00Z">
        <w:r w:rsidRPr="00EF12DF">
          <w:rPr>
            <w:sz w:val="22"/>
            <w:szCs w:val="22"/>
          </w:rPr>
          <w:delText>AbbVie Deutschland GmbH &amp; Co. KG</w:delText>
        </w:r>
      </w:del>
    </w:p>
    <w:p w14:paraId="66773334" w14:textId="145192BB" w:rsidR="00DD76CF" w:rsidRPr="00EF12DF" w:rsidRDefault="00E453CD" w:rsidP="00243BE3">
      <w:pPr>
        <w:rPr>
          <w:del w:id="12839" w:author="AbbVie02no" w:date="2025-05-15T13:57:00Z"/>
          <w:sz w:val="22"/>
          <w:szCs w:val="22"/>
        </w:rPr>
      </w:pPr>
      <w:del w:id="12840" w:author="AbbVie02no" w:date="2025-05-15T13:57:00Z">
        <w:r w:rsidRPr="00EF12DF">
          <w:rPr>
            <w:sz w:val="22"/>
            <w:szCs w:val="22"/>
          </w:rPr>
          <w:delText>Knollstrasse</w:delText>
        </w:r>
      </w:del>
    </w:p>
    <w:p w14:paraId="05F43613" w14:textId="21D9C64C" w:rsidR="00DD76CF" w:rsidRPr="00EF12DF" w:rsidRDefault="00E453CD" w:rsidP="00243BE3">
      <w:pPr>
        <w:rPr>
          <w:del w:id="12841" w:author="AbbVie02no" w:date="2025-05-15T13:57:00Z"/>
          <w:sz w:val="22"/>
          <w:szCs w:val="22"/>
        </w:rPr>
      </w:pPr>
      <w:del w:id="12842" w:author="AbbVie02no" w:date="2025-05-15T13:57:00Z">
        <w:r w:rsidRPr="00EF12DF">
          <w:rPr>
            <w:sz w:val="22"/>
            <w:szCs w:val="22"/>
          </w:rPr>
          <w:delText>67061 Ludwigshafen</w:delText>
        </w:r>
      </w:del>
    </w:p>
    <w:p w14:paraId="04CB24C3" w14:textId="1F0E0482" w:rsidR="00DD76CF" w:rsidRPr="009C5EFD" w:rsidRDefault="00E453CD" w:rsidP="00243BE3">
      <w:pPr>
        <w:rPr>
          <w:del w:id="12843" w:author="AbbVie02no" w:date="2025-05-15T13:57:00Z"/>
          <w:sz w:val="22"/>
          <w:szCs w:val="22"/>
        </w:rPr>
      </w:pPr>
      <w:del w:id="12844" w:author="AbbVie02no" w:date="2025-05-15T13:57:00Z">
        <w:r>
          <w:rPr>
            <w:sz w:val="22"/>
            <w:szCs w:val="22"/>
          </w:rPr>
          <w:delText>Tyskland</w:delText>
        </w:r>
      </w:del>
    </w:p>
    <w:p w14:paraId="004E069D" w14:textId="77CFA180" w:rsidR="00DE3458" w:rsidRPr="003F000C" w:rsidRDefault="00DE3458">
      <w:pPr>
        <w:rPr>
          <w:del w:id="12845" w:author="AbbVie02no" w:date="2025-05-15T13:57:00Z"/>
          <w:sz w:val="22"/>
          <w:szCs w:val="22"/>
          <w:lang w:val="sv-SE"/>
        </w:rPr>
        <w:pPrChange w:id="12846" w:author="AbbVie02no" w:date="2025-05-15T13:57:00Z">
          <w:pPr>
            <w:suppressAutoHyphens/>
            <w:ind w:left="54"/>
          </w:pPr>
        </w:pPrChange>
      </w:pPr>
    </w:p>
    <w:p w14:paraId="4C606A3C" w14:textId="7373A721" w:rsidR="00DE3458" w:rsidRPr="003F000C" w:rsidRDefault="00DE3458">
      <w:pPr>
        <w:rPr>
          <w:del w:id="12847" w:author="AbbVie02no" w:date="2025-05-15T13:57:00Z"/>
          <w:sz w:val="22"/>
          <w:szCs w:val="22"/>
          <w:lang w:val="sv-SE"/>
        </w:rPr>
        <w:pPrChange w:id="12848" w:author="AbbVie02no" w:date="2025-05-15T13:57:00Z">
          <w:pPr>
            <w:suppressAutoHyphens/>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BBFE499" w14:textId="7CE4A16F">
        <w:trPr>
          <w:del w:id="12849" w:author="AbbVie02no" w:date="2025-05-15T13:57:00Z"/>
        </w:trPr>
        <w:tc>
          <w:tcPr>
            <w:tcW w:w="9281" w:type="dxa"/>
          </w:tcPr>
          <w:p w14:paraId="29D8584A" w14:textId="7E50CD65" w:rsidR="00DE3458" w:rsidRPr="009C5EFD" w:rsidRDefault="00E453CD">
            <w:pPr>
              <w:rPr>
                <w:del w:id="12850" w:author="AbbVie02no" w:date="2025-05-15T13:57:00Z"/>
                <w:b/>
                <w:sz w:val="22"/>
                <w:szCs w:val="22"/>
              </w:rPr>
              <w:pPrChange w:id="12851" w:author="AbbVie02no" w:date="2025-05-15T13:57:00Z">
                <w:pPr>
                  <w:ind w:left="567" w:hanging="567"/>
                </w:pPr>
              </w:pPrChange>
            </w:pPr>
            <w:del w:id="12852" w:author="AbbVie02no" w:date="2025-05-15T13:57:00Z">
              <w:r w:rsidRPr="009C5EFD">
                <w:rPr>
                  <w:b/>
                  <w:sz w:val="22"/>
                  <w:szCs w:val="22"/>
                </w:rPr>
                <w:delText>12.</w:delText>
              </w:r>
              <w:r w:rsidRPr="009C5EFD">
                <w:rPr>
                  <w:b/>
                  <w:sz w:val="22"/>
                  <w:szCs w:val="22"/>
                </w:rPr>
                <w:tab/>
                <w:delText>MARKEDSFØRINGSTILLATELSESNUMMER (NUMRE)</w:delText>
              </w:r>
            </w:del>
          </w:p>
        </w:tc>
      </w:tr>
    </w:tbl>
    <w:p w14:paraId="3BB1B9FE" w14:textId="6A12285E" w:rsidR="00DE3458" w:rsidRPr="009C5EFD" w:rsidRDefault="00DE3458">
      <w:pPr>
        <w:rPr>
          <w:del w:id="12853" w:author="AbbVie02no" w:date="2025-05-15T13:57:00Z"/>
          <w:sz w:val="22"/>
          <w:szCs w:val="22"/>
        </w:rPr>
        <w:pPrChange w:id="12854" w:author="AbbVie02no" w:date="2025-05-15T13:57:00Z">
          <w:pPr>
            <w:suppressAutoHyphens/>
            <w:ind w:left="54"/>
          </w:pPr>
        </w:pPrChange>
      </w:pPr>
    </w:p>
    <w:p w14:paraId="2C391B38" w14:textId="7C86A7D6" w:rsidR="00DE3458" w:rsidRDefault="00E453CD">
      <w:pPr>
        <w:rPr>
          <w:del w:id="12855" w:author="AbbVie02no" w:date="2025-05-15T13:57:00Z"/>
          <w:sz w:val="22"/>
          <w:szCs w:val="22"/>
        </w:rPr>
        <w:pPrChange w:id="12856" w:author="AbbVie02no" w:date="2025-05-15T13:57:00Z">
          <w:pPr>
            <w:ind w:left="54"/>
          </w:pPr>
        </w:pPrChange>
      </w:pPr>
      <w:del w:id="12857" w:author="AbbVie02no" w:date="2025-05-15T13:57:00Z">
        <w:r w:rsidRPr="009C5EFD">
          <w:rPr>
            <w:sz w:val="22"/>
            <w:szCs w:val="22"/>
          </w:rPr>
          <w:delText>EU/1/03/256/007</w:delText>
        </w:r>
      </w:del>
    </w:p>
    <w:p w14:paraId="25D5F3EF" w14:textId="719EF2BB" w:rsidR="004755B1" w:rsidRPr="00AB7697" w:rsidRDefault="00E453CD">
      <w:pPr>
        <w:rPr>
          <w:del w:id="12858" w:author="AbbVie02no" w:date="2025-05-15T13:57:00Z"/>
          <w:sz w:val="22"/>
          <w:szCs w:val="22"/>
          <w:highlight w:val="lightGray"/>
        </w:rPr>
        <w:pPrChange w:id="12859" w:author="AbbVie02no" w:date="2025-05-15T13:57:00Z">
          <w:pPr>
            <w:ind w:left="54"/>
          </w:pPr>
        </w:pPrChange>
      </w:pPr>
      <w:del w:id="12860" w:author="AbbVie02no" w:date="2025-05-15T13:57:00Z">
        <w:r w:rsidRPr="00AB7697">
          <w:rPr>
            <w:sz w:val="22"/>
            <w:szCs w:val="22"/>
            <w:highlight w:val="lightGray"/>
          </w:rPr>
          <w:delText>EU/1/03/256/008</w:delText>
        </w:r>
      </w:del>
    </w:p>
    <w:p w14:paraId="1BFBE155" w14:textId="28960B9B" w:rsidR="004755B1" w:rsidRPr="00AB7697" w:rsidRDefault="00E453CD">
      <w:pPr>
        <w:rPr>
          <w:del w:id="12861" w:author="AbbVie02no" w:date="2025-05-15T13:57:00Z"/>
          <w:sz w:val="22"/>
          <w:szCs w:val="22"/>
          <w:highlight w:val="lightGray"/>
        </w:rPr>
        <w:pPrChange w:id="12862" w:author="AbbVie02no" w:date="2025-05-15T13:57:00Z">
          <w:pPr>
            <w:ind w:left="54"/>
          </w:pPr>
        </w:pPrChange>
      </w:pPr>
      <w:del w:id="12863" w:author="AbbVie02no" w:date="2025-05-15T13:57:00Z">
        <w:r w:rsidRPr="00AB7697">
          <w:rPr>
            <w:sz w:val="22"/>
            <w:szCs w:val="22"/>
            <w:highlight w:val="lightGray"/>
          </w:rPr>
          <w:delText>EU/1/03/256/009</w:delText>
        </w:r>
      </w:del>
    </w:p>
    <w:p w14:paraId="290034A0" w14:textId="260BA46B" w:rsidR="004755B1" w:rsidRPr="009C5EFD" w:rsidRDefault="00E453CD">
      <w:pPr>
        <w:rPr>
          <w:del w:id="12864" w:author="AbbVie02no" w:date="2025-05-15T13:57:00Z"/>
          <w:sz w:val="22"/>
          <w:szCs w:val="22"/>
        </w:rPr>
        <w:pPrChange w:id="12865" w:author="AbbVie02no" w:date="2025-05-15T13:57:00Z">
          <w:pPr>
            <w:ind w:left="54"/>
          </w:pPr>
        </w:pPrChange>
      </w:pPr>
      <w:del w:id="12866" w:author="AbbVie02no" w:date="2025-05-15T13:57:00Z">
        <w:r w:rsidRPr="00AB7697">
          <w:rPr>
            <w:sz w:val="22"/>
            <w:szCs w:val="22"/>
            <w:highlight w:val="lightGray"/>
          </w:rPr>
          <w:delText>EU/1/03/256/010</w:delText>
        </w:r>
      </w:del>
    </w:p>
    <w:p w14:paraId="07EFA131" w14:textId="27AF54B2" w:rsidR="00DE3458" w:rsidRPr="009C5EFD" w:rsidRDefault="00DE3458">
      <w:pPr>
        <w:rPr>
          <w:del w:id="12867" w:author="AbbVie02no" w:date="2025-05-15T13:57:00Z"/>
          <w:sz w:val="22"/>
          <w:szCs w:val="22"/>
        </w:rPr>
        <w:pPrChange w:id="12868" w:author="AbbVie02no" w:date="2025-05-15T13:57:00Z">
          <w:pPr>
            <w:ind w:left="54"/>
          </w:pPr>
        </w:pPrChange>
      </w:pPr>
    </w:p>
    <w:p w14:paraId="0F0777B8" w14:textId="0C50F082" w:rsidR="00E03A87" w:rsidRPr="009C5EFD" w:rsidRDefault="00E03A87">
      <w:pPr>
        <w:rPr>
          <w:del w:id="12869" w:author="AbbVie02no" w:date="2025-05-15T13:57:00Z"/>
          <w:sz w:val="22"/>
          <w:szCs w:val="22"/>
        </w:rPr>
        <w:pPrChange w:id="12870" w:author="AbbVie02no" w:date="2025-05-15T13:57:00Z">
          <w:pPr>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8A8DC9" w14:textId="1FD981C3">
        <w:trPr>
          <w:del w:id="12871" w:author="AbbVie02no" w:date="2025-05-15T13:57:00Z"/>
        </w:trPr>
        <w:tc>
          <w:tcPr>
            <w:tcW w:w="9281" w:type="dxa"/>
          </w:tcPr>
          <w:p w14:paraId="2C889A0C" w14:textId="3804811A" w:rsidR="00DE3458" w:rsidRPr="009C5EFD" w:rsidRDefault="00E453CD">
            <w:pPr>
              <w:rPr>
                <w:del w:id="12872" w:author="AbbVie02no" w:date="2025-05-15T13:57:00Z"/>
                <w:b/>
                <w:sz w:val="22"/>
                <w:szCs w:val="22"/>
              </w:rPr>
              <w:pPrChange w:id="12873" w:author="AbbVie02no" w:date="2025-05-15T13:57:00Z">
                <w:pPr>
                  <w:ind w:left="567" w:hanging="567"/>
                </w:pPr>
              </w:pPrChange>
            </w:pPr>
            <w:del w:id="12874" w:author="AbbVie02no" w:date="2025-05-15T13:57:00Z">
              <w:r w:rsidRPr="009C5EFD">
                <w:rPr>
                  <w:b/>
                  <w:sz w:val="22"/>
                  <w:szCs w:val="22"/>
                </w:rPr>
                <w:delText>13.</w:delText>
              </w:r>
              <w:r w:rsidRPr="009C5EFD">
                <w:rPr>
                  <w:b/>
                  <w:sz w:val="22"/>
                  <w:szCs w:val="22"/>
                </w:rPr>
                <w:tab/>
                <w:delText>PRODUKSJONSNUMMER</w:delText>
              </w:r>
            </w:del>
          </w:p>
        </w:tc>
      </w:tr>
    </w:tbl>
    <w:p w14:paraId="516E202D" w14:textId="7653DBF8" w:rsidR="00DE3458" w:rsidRPr="009C5EFD" w:rsidRDefault="00DE3458">
      <w:pPr>
        <w:rPr>
          <w:del w:id="12875" w:author="AbbVie02no" w:date="2025-05-15T13:57:00Z"/>
          <w:sz w:val="22"/>
          <w:szCs w:val="22"/>
        </w:rPr>
        <w:pPrChange w:id="12876" w:author="AbbVie02no" w:date="2025-05-15T13:57:00Z">
          <w:pPr>
            <w:ind w:left="54"/>
          </w:pPr>
        </w:pPrChange>
      </w:pPr>
    </w:p>
    <w:p w14:paraId="08D5351E" w14:textId="242A6953" w:rsidR="00DE3458" w:rsidRPr="009C5EFD" w:rsidRDefault="00E453CD">
      <w:pPr>
        <w:rPr>
          <w:del w:id="12877" w:author="AbbVie02no" w:date="2025-05-15T13:57:00Z"/>
          <w:sz w:val="22"/>
          <w:szCs w:val="22"/>
        </w:rPr>
        <w:pPrChange w:id="12878" w:author="AbbVie02no" w:date="2025-05-15T13:57:00Z">
          <w:pPr>
            <w:ind w:left="54"/>
          </w:pPr>
        </w:pPrChange>
      </w:pPr>
      <w:del w:id="12879" w:author="AbbVie02no" w:date="2025-05-15T13:57:00Z">
        <w:r w:rsidRPr="009C5EFD">
          <w:rPr>
            <w:sz w:val="22"/>
            <w:szCs w:val="22"/>
          </w:rPr>
          <w:delText>Lot</w:delText>
        </w:r>
      </w:del>
    </w:p>
    <w:p w14:paraId="76638069" w14:textId="0A17548C" w:rsidR="00DE3458" w:rsidRPr="009C5EFD" w:rsidRDefault="00DE3458">
      <w:pPr>
        <w:rPr>
          <w:del w:id="12880" w:author="AbbVie02no" w:date="2025-05-15T13:57:00Z"/>
          <w:sz w:val="22"/>
          <w:szCs w:val="22"/>
        </w:rPr>
        <w:pPrChange w:id="12881" w:author="AbbVie02no" w:date="2025-05-15T13:57:00Z">
          <w:pPr>
            <w:ind w:left="54"/>
          </w:pPr>
        </w:pPrChange>
      </w:pPr>
    </w:p>
    <w:p w14:paraId="6242250B" w14:textId="3C132599" w:rsidR="00DE3458" w:rsidRPr="009C5EFD" w:rsidRDefault="00DE3458">
      <w:pPr>
        <w:rPr>
          <w:del w:id="12882" w:author="AbbVie02no" w:date="2025-05-15T13:57:00Z"/>
          <w:sz w:val="22"/>
          <w:szCs w:val="22"/>
        </w:rPr>
        <w:pPrChange w:id="12883" w:author="AbbVie02no" w:date="2025-05-15T13:57:00Z">
          <w:pPr>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E3FFFC2" w14:textId="561524CF">
        <w:trPr>
          <w:del w:id="12884" w:author="AbbVie02no" w:date="2025-05-15T13:57:00Z"/>
        </w:trPr>
        <w:tc>
          <w:tcPr>
            <w:tcW w:w="9281" w:type="dxa"/>
          </w:tcPr>
          <w:p w14:paraId="1E93FC3A" w14:textId="2E783EFC" w:rsidR="00DE3458" w:rsidRPr="009C5EFD" w:rsidRDefault="00E453CD">
            <w:pPr>
              <w:rPr>
                <w:del w:id="12885" w:author="AbbVie02no" w:date="2025-05-15T13:57:00Z"/>
                <w:b/>
                <w:sz w:val="22"/>
                <w:szCs w:val="22"/>
              </w:rPr>
              <w:pPrChange w:id="12886" w:author="AbbVie02no" w:date="2025-05-15T13:57:00Z">
                <w:pPr>
                  <w:ind w:left="567" w:hanging="567"/>
                </w:pPr>
              </w:pPrChange>
            </w:pPr>
            <w:del w:id="12887" w:author="AbbVie02no" w:date="2025-05-15T13:57:00Z">
              <w:r w:rsidRPr="009C5EFD">
                <w:rPr>
                  <w:b/>
                  <w:sz w:val="22"/>
                  <w:szCs w:val="22"/>
                </w:rPr>
                <w:delText>14.</w:delText>
              </w:r>
              <w:r w:rsidRPr="009C5EFD">
                <w:rPr>
                  <w:b/>
                  <w:sz w:val="22"/>
                  <w:szCs w:val="22"/>
                </w:rPr>
                <w:tab/>
                <w:delText>GENERELL KLASSIFIKASJON FOR UTLEVERING</w:delText>
              </w:r>
            </w:del>
          </w:p>
        </w:tc>
      </w:tr>
    </w:tbl>
    <w:p w14:paraId="68438247" w14:textId="0431FC2F" w:rsidR="00DE3458" w:rsidRPr="009C5EFD" w:rsidRDefault="00DE3458">
      <w:pPr>
        <w:rPr>
          <w:del w:id="12888" w:author="AbbVie02no" w:date="2025-05-15T13:57:00Z"/>
          <w:sz w:val="22"/>
          <w:szCs w:val="22"/>
        </w:rPr>
        <w:pPrChange w:id="12889" w:author="AbbVie02no" w:date="2025-05-15T13:57:00Z">
          <w:pPr>
            <w:suppressAutoHyphens/>
            <w:ind w:left="774" w:hanging="720"/>
          </w:pPr>
        </w:pPrChange>
      </w:pPr>
    </w:p>
    <w:p w14:paraId="00E9BE9B" w14:textId="0CA44888" w:rsidR="00DE3458" w:rsidRPr="009C5EFD" w:rsidRDefault="00DE3458">
      <w:pPr>
        <w:rPr>
          <w:del w:id="12890" w:author="AbbVie02no" w:date="2025-05-15T13:57:00Z"/>
          <w:sz w:val="22"/>
          <w:szCs w:val="22"/>
        </w:rPr>
        <w:pPrChange w:id="12891" w:author="AbbVie02no" w:date="2025-05-15T13:57:00Z">
          <w:pPr>
            <w:suppressAutoHyphens/>
            <w:ind w:left="774" w:hanging="72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55ACCE7" w14:textId="24CB62E2">
        <w:trPr>
          <w:del w:id="12892" w:author="AbbVie02no" w:date="2025-05-15T13:57:00Z"/>
        </w:trPr>
        <w:tc>
          <w:tcPr>
            <w:tcW w:w="9281" w:type="dxa"/>
          </w:tcPr>
          <w:p w14:paraId="2241E780" w14:textId="4CA30388" w:rsidR="00DE3458" w:rsidRPr="009C5EFD" w:rsidRDefault="00E453CD">
            <w:pPr>
              <w:rPr>
                <w:del w:id="12893" w:author="AbbVie02no" w:date="2025-05-15T13:57:00Z"/>
                <w:b/>
                <w:sz w:val="22"/>
                <w:szCs w:val="22"/>
              </w:rPr>
              <w:pPrChange w:id="12894" w:author="AbbVie02no" w:date="2025-05-15T13:57:00Z">
                <w:pPr>
                  <w:ind w:left="567" w:hanging="567"/>
                </w:pPr>
              </w:pPrChange>
            </w:pPr>
            <w:del w:id="12895" w:author="AbbVie02no" w:date="2025-05-15T13:57:00Z">
              <w:r w:rsidRPr="009C5EFD">
                <w:rPr>
                  <w:b/>
                  <w:sz w:val="22"/>
                  <w:szCs w:val="22"/>
                </w:rPr>
                <w:delText>15.</w:delText>
              </w:r>
              <w:r w:rsidRPr="009C5EFD">
                <w:rPr>
                  <w:b/>
                  <w:sz w:val="22"/>
                  <w:szCs w:val="22"/>
                </w:rPr>
                <w:tab/>
                <w:delText>BRUKSANVISNING</w:delText>
              </w:r>
            </w:del>
          </w:p>
        </w:tc>
      </w:tr>
    </w:tbl>
    <w:p w14:paraId="17739020" w14:textId="299D2FDA" w:rsidR="00DE3458" w:rsidRPr="00D968A3" w:rsidRDefault="00DE3458">
      <w:pPr>
        <w:rPr>
          <w:del w:id="12896" w:author="AbbVie02no" w:date="2025-05-15T13:57:00Z"/>
          <w:sz w:val="22"/>
          <w:szCs w:val="22"/>
        </w:rPr>
        <w:pPrChange w:id="12897" w:author="AbbVie02no" w:date="2025-05-15T13:57:00Z">
          <w:pPr>
            <w:ind w:left="54"/>
          </w:pPr>
        </w:pPrChange>
      </w:pPr>
    </w:p>
    <w:p w14:paraId="476CE175" w14:textId="0E417712" w:rsidR="00DE3458" w:rsidRPr="00D968A3" w:rsidRDefault="00DE3458">
      <w:pPr>
        <w:rPr>
          <w:del w:id="12898" w:author="AbbVie02no" w:date="2025-05-15T13:57:00Z"/>
          <w:sz w:val="22"/>
          <w:szCs w:val="22"/>
        </w:rPr>
        <w:pPrChange w:id="12899" w:author="AbbVie02no" w:date="2025-05-15T13:57:00Z">
          <w:pPr>
            <w:ind w:left="54"/>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EF2B180" w14:textId="6C7D628F">
        <w:trPr>
          <w:del w:id="12900" w:author="AbbVie02no" w:date="2025-05-15T13:57:00Z"/>
        </w:trPr>
        <w:tc>
          <w:tcPr>
            <w:tcW w:w="9281" w:type="dxa"/>
          </w:tcPr>
          <w:p w14:paraId="37122A6F" w14:textId="0744910D" w:rsidR="00DE3458" w:rsidRPr="009C5EFD" w:rsidRDefault="00E453CD">
            <w:pPr>
              <w:rPr>
                <w:del w:id="12901" w:author="AbbVie02no" w:date="2025-05-15T13:57:00Z"/>
                <w:b/>
                <w:sz w:val="22"/>
                <w:szCs w:val="22"/>
              </w:rPr>
              <w:pPrChange w:id="12902" w:author="AbbVie02no" w:date="2025-05-15T13:57:00Z">
                <w:pPr>
                  <w:ind w:left="567" w:hanging="567"/>
                </w:pPr>
              </w:pPrChange>
            </w:pPr>
            <w:del w:id="12903" w:author="AbbVie02no" w:date="2025-05-15T13:57:00Z">
              <w:r w:rsidRPr="009C5EFD">
                <w:rPr>
                  <w:b/>
                  <w:sz w:val="22"/>
                  <w:szCs w:val="22"/>
                </w:rPr>
                <w:delText>16.</w:delText>
              </w:r>
              <w:r w:rsidRPr="009C5EFD">
                <w:rPr>
                  <w:b/>
                  <w:sz w:val="22"/>
                  <w:szCs w:val="22"/>
                </w:rPr>
                <w:tab/>
                <w:delText>INFORMASJON PÅ BLINDESKRIFT</w:delText>
              </w:r>
            </w:del>
          </w:p>
        </w:tc>
      </w:tr>
    </w:tbl>
    <w:p w14:paraId="4F9058C9" w14:textId="213AEE31" w:rsidR="00DE3458" w:rsidRPr="00D968A3" w:rsidRDefault="00DE3458">
      <w:pPr>
        <w:rPr>
          <w:del w:id="12904" w:author="AbbVie02no" w:date="2025-05-15T13:57:00Z"/>
          <w:sz w:val="22"/>
          <w:szCs w:val="22"/>
        </w:rPr>
        <w:pPrChange w:id="12905" w:author="AbbVie02no" w:date="2025-05-15T13:57:00Z">
          <w:pPr>
            <w:ind w:left="54"/>
          </w:pPr>
        </w:pPrChange>
      </w:pPr>
    </w:p>
    <w:p w14:paraId="6FAAF653" w14:textId="1801BB30" w:rsidR="00E2461F" w:rsidRDefault="00E453CD">
      <w:pPr>
        <w:rPr>
          <w:del w:id="12906" w:author="AbbVie02no" w:date="2025-05-15T13:57:00Z"/>
          <w:sz w:val="22"/>
          <w:szCs w:val="22"/>
        </w:rPr>
        <w:pPrChange w:id="12907" w:author="AbbVie02no" w:date="2025-05-15T13:57:00Z">
          <w:pPr>
            <w:ind w:left="54"/>
          </w:pPr>
        </w:pPrChange>
      </w:pPr>
      <w:del w:id="12908" w:author="AbbVie02no" w:date="2025-05-15T13:57:00Z">
        <w:r w:rsidRPr="009C5EFD">
          <w:rPr>
            <w:sz w:val="22"/>
            <w:szCs w:val="22"/>
          </w:rPr>
          <w:delText>Humira 40 mg</w:delText>
        </w:r>
      </w:del>
    </w:p>
    <w:p w14:paraId="0CB8D028" w14:textId="1576ED18" w:rsidR="00E2461F" w:rsidRDefault="00E2461F">
      <w:pPr>
        <w:rPr>
          <w:del w:id="12909" w:author="AbbVie02no" w:date="2025-05-15T13:57:00Z"/>
          <w:sz w:val="22"/>
          <w:szCs w:val="22"/>
        </w:rPr>
        <w:pPrChange w:id="12910" w:author="AbbVie02no" w:date="2025-05-15T13:57:00Z">
          <w:pPr>
            <w:ind w:left="54"/>
          </w:pPr>
        </w:pPrChange>
      </w:pPr>
    </w:p>
    <w:p w14:paraId="291647B4" w14:textId="0E725E3B" w:rsidR="00E2461F" w:rsidRPr="001E2ACA" w:rsidRDefault="00E2461F">
      <w:pPr>
        <w:rPr>
          <w:del w:id="12911" w:author="AbbVie02no" w:date="2025-05-15T13:57:00Z"/>
          <w:sz w:val="22"/>
          <w:lang w:val="en-GB"/>
        </w:rPr>
        <w:pPrChange w:id="12912" w:author="AbbVie02no" w:date="2025-05-15T13:57:00Z">
          <w:pPr>
            <w:tabs>
              <w:tab w:val="left" w:pos="562"/>
            </w:tabs>
            <w:suppressAutoHyphens/>
            <w:ind w:left="540" w:hanging="540"/>
          </w:pPr>
        </w:pPrChange>
      </w:pPr>
    </w:p>
    <w:p w14:paraId="56C98E92" w14:textId="0AF522B9" w:rsidR="00E2461F" w:rsidRPr="00126088" w:rsidRDefault="00E453CD">
      <w:pPr>
        <w:rPr>
          <w:del w:id="12913" w:author="AbbVie02no" w:date="2025-05-15T13:57:00Z"/>
          <w:b/>
          <w:bCs/>
          <w:caps/>
          <w:sz w:val="22"/>
          <w:szCs w:val="20"/>
        </w:rPr>
        <w:pPrChange w:id="12914" w:author="AbbVie02no" w:date="2025-05-15T13:57:00Z">
          <w:pPr>
            <w:pBdr>
              <w:top w:val="single" w:sz="4" w:space="1" w:color="auto"/>
              <w:left w:val="single" w:sz="4" w:space="4" w:color="auto"/>
              <w:bottom w:val="single" w:sz="4" w:space="1" w:color="auto"/>
              <w:right w:val="single" w:sz="4" w:space="4" w:color="auto"/>
            </w:pBdr>
            <w:tabs>
              <w:tab w:val="left" w:pos="562"/>
            </w:tabs>
            <w:suppressAutoHyphens/>
          </w:pPr>
        </w:pPrChange>
      </w:pPr>
      <w:del w:id="12915" w:author="AbbVie02no" w:date="2025-05-15T13:57:00Z">
        <w:r w:rsidRPr="00F05EB5">
          <w:rPr>
            <w:b/>
            <w:bCs/>
            <w:caps/>
            <w:sz w:val="22"/>
            <w:szCs w:val="20"/>
          </w:rPr>
          <w:delText xml:space="preserve">17. </w:delText>
        </w:r>
        <w:r w:rsidRPr="00F05EB5">
          <w:rPr>
            <w:b/>
            <w:bCs/>
            <w:caps/>
            <w:sz w:val="22"/>
            <w:szCs w:val="20"/>
          </w:rPr>
          <w:tab/>
        </w:r>
        <w:r w:rsidRPr="00126088">
          <w:rPr>
            <w:b/>
            <w:bCs/>
            <w:caps/>
            <w:sz w:val="22"/>
            <w:szCs w:val="20"/>
          </w:rPr>
          <w:delText>SIKKERHETSANORDNING (UNIK IDENTITET) – TODIMENSJONAL STREKKODE</w:delText>
        </w:r>
      </w:del>
    </w:p>
    <w:p w14:paraId="0D6F4A23" w14:textId="7941CD33" w:rsidR="00E2461F" w:rsidRPr="00126088" w:rsidRDefault="00E2461F">
      <w:pPr>
        <w:rPr>
          <w:del w:id="12916" w:author="AbbVie02no" w:date="2025-05-15T13:57:00Z"/>
          <w:sz w:val="22"/>
        </w:rPr>
        <w:pPrChange w:id="12917" w:author="AbbVie02no" w:date="2025-05-15T13:57:00Z">
          <w:pPr>
            <w:tabs>
              <w:tab w:val="left" w:pos="562"/>
            </w:tabs>
            <w:suppressAutoHyphens/>
          </w:pPr>
        </w:pPrChange>
      </w:pPr>
    </w:p>
    <w:p w14:paraId="017BE50E" w14:textId="2CDDF69B" w:rsidR="00E2461F" w:rsidRPr="00F05EB5" w:rsidRDefault="00E453CD">
      <w:pPr>
        <w:rPr>
          <w:del w:id="12918" w:author="AbbVie02no" w:date="2025-05-15T13:57:00Z"/>
          <w:sz w:val="22"/>
          <w:shd w:val="clear" w:color="auto" w:fill="BFBFBF"/>
        </w:rPr>
        <w:pPrChange w:id="12919" w:author="AbbVie02no" w:date="2025-05-15T13:57:00Z">
          <w:pPr>
            <w:tabs>
              <w:tab w:val="left" w:pos="562"/>
            </w:tabs>
            <w:suppressAutoHyphens/>
          </w:pPr>
        </w:pPrChange>
      </w:pPr>
      <w:del w:id="12920" w:author="AbbVie02no" w:date="2025-05-15T13:57:00Z">
        <w:r w:rsidRPr="00F05EB5">
          <w:rPr>
            <w:sz w:val="22"/>
            <w:shd w:val="clear" w:color="auto" w:fill="BFBFBF"/>
          </w:rPr>
          <w:delText>Todimensjonal strekkode, inkludert unik identitet</w:delText>
        </w:r>
        <w:r>
          <w:rPr>
            <w:sz w:val="22"/>
            <w:shd w:val="clear" w:color="auto" w:fill="BFBFBF"/>
          </w:rPr>
          <w:delText>.</w:delText>
        </w:r>
      </w:del>
    </w:p>
    <w:p w14:paraId="090EF061" w14:textId="5A4A676E" w:rsidR="00E2461F" w:rsidRDefault="00E2461F">
      <w:pPr>
        <w:rPr>
          <w:del w:id="12921" w:author="AbbVie02no" w:date="2025-05-15T13:57:00Z"/>
          <w:sz w:val="22"/>
          <w:shd w:val="clear" w:color="auto" w:fill="BFBFBF"/>
        </w:rPr>
        <w:pPrChange w:id="12922" w:author="AbbVie02no" w:date="2025-05-15T13:57:00Z">
          <w:pPr>
            <w:tabs>
              <w:tab w:val="left" w:pos="562"/>
            </w:tabs>
            <w:suppressAutoHyphens/>
          </w:pPr>
        </w:pPrChange>
      </w:pPr>
    </w:p>
    <w:p w14:paraId="1D2865C0" w14:textId="736EDFF8" w:rsidR="007E595C" w:rsidRPr="00F05EB5" w:rsidRDefault="007E595C">
      <w:pPr>
        <w:rPr>
          <w:del w:id="12923" w:author="AbbVie02no" w:date="2025-05-15T13:57:00Z"/>
          <w:sz w:val="22"/>
          <w:shd w:val="clear" w:color="auto" w:fill="BFBFBF"/>
        </w:rPr>
        <w:pPrChange w:id="12924" w:author="AbbVie02no" w:date="2025-05-15T13:57:00Z">
          <w:pPr>
            <w:tabs>
              <w:tab w:val="left" w:pos="562"/>
            </w:tabs>
            <w:suppressAutoHyphens/>
          </w:pPr>
        </w:pPrChange>
      </w:pPr>
    </w:p>
    <w:p w14:paraId="31D431AF" w14:textId="7EF63BC5" w:rsidR="00E2461F" w:rsidRPr="00126088" w:rsidRDefault="00E453CD">
      <w:pPr>
        <w:rPr>
          <w:del w:id="12925" w:author="AbbVie02no" w:date="2025-05-15T13:57:00Z"/>
          <w:rFonts w:ascii="Times New Roman Bold" w:hAnsi="Times New Roman Bold"/>
          <w:caps/>
          <w:sz w:val="22"/>
          <w:szCs w:val="20"/>
        </w:rPr>
        <w:pPrChange w:id="12926" w:author="AbbVie02no" w:date="2025-05-15T13:57:00Z">
          <w:pPr>
            <w:keepNext/>
            <w:pBdr>
              <w:top w:val="single" w:sz="4" w:space="1" w:color="auto"/>
              <w:left w:val="single" w:sz="4" w:space="4" w:color="auto"/>
              <w:bottom w:val="single" w:sz="4" w:space="1" w:color="auto"/>
              <w:right w:val="single" w:sz="4" w:space="4" w:color="auto"/>
            </w:pBdr>
            <w:tabs>
              <w:tab w:val="left" w:pos="562"/>
            </w:tabs>
            <w:suppressAutoHyphens/>
          </w:pPr>
        </w:pPrChange>
      </w:pPr>
      <w:del w:id="12927" w:author="AbbVie02no" w:date="2025-05-15T13:57:00Z">
        <w:r w:rsidRPr="00F05EB5">
          <w:rPr>
            <w:b/>
            <w:bCs/>
            <w:caps/>
            <w:sz w:val="22"/>
            <w:szCs w:val="20"/>
          </w:rPr>
          <w:delText xml:space="preserve">18. </w:delText>
        </w:r>
        <w:r w:rsidRPr="00F05EB5">
          <w:rPr>
            <w:b/>
            <w:bCs/>
            <w:caps/>
            <w:sz w:val="22"/>
            <w:szCs w:val="20"/>
          </w:rPr>
          <w:tab/>
        </w:r>
        <w:r w:rsidRPr="00126088">
          <w:rPr>
            <w:b/>
            <w:bCs/>
            <w:caps/>
            <w:sz w:val="22"/>
            <w:szCs w:val="20"/>
          </w:rPr>
          <w:delText>SIKKERHETSANORDNING (UNIK IDENTITET) – I ET FORMAT LESBART FOR MENNESKER</w:delText>
        </w:r>
      </w:del>
    </w:p>
    <w:p w14:paraId="3482C7E0" w14:textId="475FDE37" w:rsidR="00E2461F" w:rsidRPr="00126088" w:rsidRDefault="00E2461F">
      <w:pPr>
        <w:rPr>
          <w:del w:id="12928" w:author="AbbVie02no" w:date="2025-05-15T13:57:00Z"/>
          <w:sz w:val="22"/>
        </w:rPr>
        <w:pPrChange w:id="12929" w:author="AbbVie02no" w:date="2025-05-15T13:57:00Z">
          <w:pPr>
            <w:keepNext/>
            <w:tabs>
              <w:tab w:val="left" w:pos="562"/>
            </w:tabs>
            <w:suppressAutoHyphens/>
            <w:ind w:left="540" w:hanging="540"/>
          </w:pPr>
        </w:pPrChange>
      </w:pPr>
    </w:p>
    <w:p w14:paraId="183AAE89" w14:textId="07176B35" w:rsidR="00E2461F" w:rsidRPr="001E2ACA" w:rsidRDefault="00E453CD">
      <w:pPr>
        <w:rPr>
          <w:del w:id="12930" w:author="AbbVie02no" w:date="2025-05-15T13:57:00Z"/>
          <w:sz w:val="22"/>
          <w:lang w:val="en-GB"/>
        </w:rPr>
        <w:pPrChange w:id="12931" w:author="AbbVie02no" w:date="2025-05-15T13:57:00Z">
          <w:pPr>
            <w:keepNext/>
            <w:tabs>
              <w:tab w:val="left" w:pos="562"/>
            </w:tabs>
            <w:suppressAutoHyphens/>
            <w:ind w:left="540" w:hanging="540"/>
          </w:pPr>
        </w:pPrChange>
      </w:pPr>
      <w:del w:id="12932" w:author="AbbVie02no" w:date="2025-05-15T13:57:00Z">
        <w:r w:rsidRPr="001E2ACA">
          <w:rPr>
            <w:sz w:val="22"/>
            <w:lang w:val="en-GB"/>
          </w:rPr>
          <w:delText>PC</w:delText>
        </w:r>
      </w:del>
    </w:p>
    <w:p w14:paraId="1E468AE9" w14:textId="2FC1CCDE" w:rsidR="00E2461F" w:rsidRPr="001E2ACA" w:rsidRDefault="00E453CD">
      <w:pPr>
        <w:rPr>
          <w:del w:id="12933" w:author="AbbVie02no" w:date="2025-05-15T13:57:00Z"/>
          <w:sz w:val="22"/>
          <w:lang w:val="en-GB"/>
        </w:rPr>
        <w:pPrChange w:id="12934" w:author="AbbVie02no" w:date="2025-05-15T13:57:00Z">
          <w:pPr>
            <w:keepNext/>
            <w:tabs>
              <w:tab w:val="left" w:pos="562"/>
            </w:tabs>
            <w:suppressAutoHyphens/>
            <w:ind w:left="540" w:hanging="540"/>
          </w:pPr>
        </w:pPrChange>
      </w:pPr>
      <w:del w:id="12935" w:author="AbbVie02no" w:date="2025-05-15T13:57:00Z">
        <w:r w:rsidRPr="001E2ACA">
          <w:rPr>
            <w:sz w:val="22"/>
            <w:lang w:val="en-GB"/>
          </w:rPr>
          <w:delText>SN</w:delText>
        </w:r>
      </w:del>
    </w:p>
    <w:p w14:paraId="134BD344" w14:textId="2B0614B9" w:rsidR="00DE3458" w:rsidRPr="009C5EFD" w:rsidRDefault="00E453CD" w:rsidP="00243BE3">
      <w:pPr>
        <w:rPr>
          <w:del w:id="12936" w:author="AbbVie02no" w:date="2025-05-15T14:04:00Z"/>
          <w:sz w:val="22"/>
          <w:szCs w:val="22"/>
        </w:rPr>
      </w:pPr>
      <w:del w:id="12937" w:author="AbbVie02no" w:date="2025-05-15T13:57:00Z">
        <w:r w:rsidRPr="006936CB">
          <w:rPr>
            <w:sz w:val="22"/>
            <w:highlight w:val="lightGray"/>
            <w:lang w:val="en-GB"/>
          </w:rPr>
          <w:delText>NN</w:delText>
        </w:r>
        <w:r w:rsidRPr="009C5EFD">
          <w:rPr>
            <w:b/>
            <w:sz w:val="22"/>
            <w:szCs w:val="22"/>
          </w:rPr>
          <w:br w:type="page"/>
        </w:r>
      </w:del>
    </w:p>
    <w:p w14:paraId="5EF4A5E4" w14:textId="2355D5C6" w:rsidR="00DE3458" w:rsidRPr="009C5EFD" w:rsidRDefault="00DE3458" w:rsidP="005A1DEF">
      <w:pPr>
        <w:rPr>
          <w:del w:id="12938" w:author="AbbVie02no" w:date="2025-05-15T14:04: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8D8913F" w14:textId="2D79E07C">
        <w:trPr>
          <w:del w:id="12939" w:author="AbbVie02no" w:date="2025-05-15T14:04:00Z"/>
        </w:trPr>
        <w:tc>
          <w:tcPr>
            <w:tcW w:w="9281" w:type="dxa"/>
          </w:tcPr>
          <w:p w14:paraId="6A8CF747" w14:textId="19C06639" w:rsidR="00DE3458" w:rsidRPr="009C5EFD" w:rsidRDefault="00E453CD" w:rsidP="007F67EE">
            <w:pPr>
              <w:rPr>
                <w:del w:id="12940" w:author="AbbVie02no" w:date="2025-05-15T14:04:00Z"/>
                <w:b/>
                <w:sz w:val="22"/>
                <w:szCs w:val="22"/>
              </w:rPr>
            </w:pPr>
            <w:del w:id="12941" w:author="AbbVie02no" w:date="2025-05-15T14:04:00Z">
              <w:r w:rsidRPr="009C5EFD">
                <w:rPr>
                  <w:b/>
                  <w:sz w:val="22"/>
                  <w:szCs w:val="22"/>
                </w:rPr>
                <w:delText>MINSTEKRAV TIL OPPLYSNINGER SOM SKAL ANGIS PÅ BLISTER</w:delText>
              </w:r>
              <w:r w:rsidR="000629D5">
                <w:rPr>
                  <w:b/>
                  <w:sz w:val="22"/>
                  <w:szCs w:val="22"/>
                </w:rPr>
                <w:delText xml:space="preserve"> ELLER STRIP</w:delText>
              </w:r>
            </w:del>
          </w:p>
          <w:p w14:paraId="3CF7400D" w14:textId="051E69B5" w:rsidR="00DE3458" w:rsidRPr="009C5EFD" w:rsidRDefault="00DE3458" w:rsidP="00193D76">
            <w:pPr>
              <w:rPr>
                <w:del w:id="12942" w:author="AbbVie02no" w:date="2025-05-15T14:04:00Z"/>
                <w:b/>
                <w:sz w:val="22"/>
                <w:szCs w:val="22"/>
              </w:rPr>
            </w:pPr>
          </w:p>
          <w:p w14:paraId="746103B8" w14:textId="334D09B3" w:rsidR="00DE3458" w:rsidRPr="009C5EFD" w:rsidRDefault="00E453CD" w:rsidP="002D0790">
            <w:pPr>
              <w:rPr>
                <w:del w:id="12943" w:author="AbbVie02no" w:date="2025-05-15T14:04:00Z"/>
                <w:b/>
                <w:sz w:val="22"/>
                <w:szCs w:val="22"/>
              </w:rPr>
            </w:pPr>
            <w:del w:id="12944" w:author="AbbVie02no" w:date="2025-05-15T14:04:00Z">
              <w:r>
                <w:rPr>
                  <w:b/>
                  <w:sz w:val="22"/>
                  <w:szCs w:val="22"/>
                </w:rPr>
                <w:delText>TEKST PÅ BRETT</w:delText>
              </w:r>
            </w:del>
          </w:p>
        </w:tc>
      </w:tr>
    </w:tbl>
    <w:p w14:paraId="3748EAD7" w14:textId="37A5C153" w:rsidR="00DE3458" w:rsidRPr="009C5EFD" w:rsidRDefault="00DE3458" w:rsidP="007F67EE">
      <w:pPr>
        <w:ind w:left="54"/>
        <w:rPr>
          <w:del w:id="12945" w:author="AbbVie02no" w:date="2025-05-15T14:04:00Z"/>
          <w:sz w:val="22"/>
          <w:szCs w:val="22"/>
        </w:rPr>
      </w:pPr>
    </w:p>
    <w:p w14:paraId="0366027D" w14:textId="6CF6638B" w:rsidR="00DE3458" w:rsidRPr="009C5EFD" w:rsidRDefault="00DE3458" w:rsidP="00193D76">
      <w:pPr>
        <w:ind w:left="621" w:hanging="567"/>
        <w:rPr>
          <w:del w:id="12946" w:author="AbbVie02no" w:date="2025-05-15T14:04: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B2B7F5C" w14:textId="2B17453C">
        <w:trPr>
          <w:del w:id="12947" w:author="AbbVie02no" w:date="2025-05-15T14:04:00Z"/>
        </w:trPr>
        <w:tc>
          <w:tcPr>
            <w:tcW w:w="9281" w:type="dxa"/>
          </w:tcPr>
          <w:p w14:paraId="7B7A3AB7" w14:textId="4A2FE955" w:rsidR="00DE3458" w:rsidRPr="009C5EFD" w:rsidRDefault="00E453CD" w:rsidP="002D0790">
            <w:pPr>
              <w:ind w:left="567" w:hanging="567"/>
              <w:rPr>
                <w:del w:id="12948" w:author="AbbVie02no" w:date="2025-05-15T14:04:00Z"/>
                <w:b/>
                <w:sz w:val="22"/>
                <w:szCs w:val="22"/>
              </w:rPr>
            </w:pPr>
            <w:del w:id="12949" w:author="AbbVie02no" w:date="2025-05-15T14:04:00Z">
              <w:r w:rsidRPr="009C5EFD">
                <w:rPr>
                  <w:b/>
                  <w:sz w:val="22"/>
                  <w:szCs w:val="22"/>
                </w:rPr>
                <w:delText>1.</w:delText>
              </w:r>
              <w:r w:rsidRPr="009C5EFD">
                <w:rPr>
                  <w:b/>
                  <w:sz w:val="22"/>
                  <w:szCs w:val="22"/>
                </w:rPr>
                <w:tab/>
                <w:delText>LEGEMIDLETS NAVN</w:delText>
              </w:r>
            </w:del>
          </w:p>
        </w:tc>
      </w:tr>
    </w:tbl>
    <w:p w14:paraId="6EC1B014" w14:textId="36C7E318" w:rsidR="00DE3458" w:rsidRPr="009C5EFD" w:rsidRDefault="00DE3458" w:rsidP="007F67EE">
      <w:pPr>
        <w:suppressAutoHyphens/>
        <w:ind w:left="54"/>
        <w:rPr>
          <w:del w:id="12950" w:author="AbbVie02no" w:date="2025-05-15T14:04:00Z"/>
          <w:sz w:val="22"/>
          <w:szCs w:val="22"/>
        </w:rPr>
      </w:pPr>
    </w:p>
    <w:p w14:paraId="178CF04C" w14:textId="4FCCEFF2" w:rsidR="00DE3458" w:rsidRPr="009C5EFD" w:rsidRDefault="00E453CD" w:rsidP="00193D76">
      <w:pPr>
        <w:suppressAutoHyphens/>
        <w:ind w:left="54"/>
        <w:rPr>
          <w:del w:id="12951" w:author="AbbVie02no" w:date="2025-05-15T14:04:00Z"/>
          <w:sz w:val="22"/>
          <w:szCs w:val="22"/>
        </w:rPr>
      </w:pPr>
      <w:del w:id="12952" w:author="AbbVie02no" w:date="2025-05-15T14:04:00Z">
        <w:r w:rsidRPr="009C5EFD">
          <w:rPr>
            <w:sz w:val="22"/>
            <w:szCs w:val="22"/>
          </w:rPr>
          <w:delText>Humira 40 mg injeksjonsvæske, oppløsning i ferdigfylt penn</w:delText>
        </w:r>
      </w:del>
    </w:p>
    <w:p w14:paraId="14EB3EFF" w14:textId="0B848F78" w:rsidR="00DE3458" w:rsidRPr="009C5EFD" w:rsidRDefault="00E453CD" w:rsidP="002D0790">
      <w:pPr>
        <w:suppressAutoHyphens/>
        <w:ind w:left="54"/>
        <w:rPr>
          <w:del w:id="12953" w:author="AbbVie02no" w:date="2025-05-15T14:04:00Z"/>
          <w:sz w:val="22"/>
          <w:szCs w:val="22"/>
        </w:rPr>
      </w:pPr>
      <w:del w:id="12954" w:author="AbbVie02no" w:date="2025-05-15T14:04:00Z">
        <w:r w:rsidRPr="009C5EFD">
          <w:rPr>
            <w:sz w:val="22"/>
            <w:szCs w:val="22"/>
          </w:rPr>
          <w:delText>adalimumab</w:delText>
        </w:r>
      </w:del>
    </w:p>
    <w:p w14:paraId="1FDC76A2" w14:textId="7780B0D4" w:rsidR="00DE3458" w:rsidRPr="009C5EFD" w:rsidRDefault="00DE3458" w:rsidP="00C07C98">
      <w:pPr>
        <w:suppressAutoHyphens/>
        <w:ind w:left="54"/>
        <w:rPr>
          <w:del w:id="12955" w:author="AbbVie02no" w:date="2025-05-15T14:04:00Z"/>
          <w:sz w:val="22"/>
          <w:szCs w:val="22"/>
        </w:rPr>
      </w:pPr>
    </w:p>
    <w:p w14:paraId="67BFEEF4" w14:textId="1F0CA4BC" w:rsidR="00DE3458" w:rsidRPr="009C5EFD" w:rsidRDefault="00DE3458" w:rsidP="00E14E58">
      <w:pPr>
        <w:suppressAutoHyphens/>
        <w:ind w:left="54"/>
        <w:rPr>
          <w:del w:id="12956"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E855CF" w14:textId="74DA02F9">
        <w:trPr>
          <w:del w:id="12957" w:author="AbbVie02no" w:date="2025-05-15T14:04:00Z"/>
        </w:trPr>
        <w:tc>
          <w:tcPr>
            <w:tcW w:w="9281" w:type="dxa"/>
          </w:tcPr>
          <w:p w14:paraId="493EF921" w14:textId="20E10DC5" w:rsidR="00DE3458" w:rsidRPr="009C5EFD" w:rsidRDefault="00E453CD" w:rsidP="009C5EFD">
            <w:pPr>
              <w:ind w:left="567" w:hanging="567"/>
              <w:rPr>
                <w:del w:id="12958" w:author="AbbVie02no" w:date="2025-05-15T14:04:00Z"/>
                <w:b/>
                <w:sz w:val="22"/>
                <w:szCs w:val="22"/>
              </w:rPr>
            </w:pPr>
            <w:del w:id="12959" w:author="AbbVie02no" w:date="2025-05-15T14:04:00Z">
              <w:r w:rsidRPr="009C5EFD">
                <w:rPr>
                  <w:b/>
                  <w:sz w:val="22"/>
                  <w:szCs w:val="22"/>
                </w:rPr>
                <w:delText>2.</w:delText>
              </w:r>
              <w:r w:rsidRPr="009C5EFD">
                <w:rPr>
                  <w:b/>
                  <w:sz w:val="22"/>
                  <w:szCs w:val="22"/>
                </w:rPr>
                <w:tab/>
                <w:delText>NAVN PÅ INNEHAVEREN AV MARKEDSFØRINGSTILLATELSEN</w:delText>
              </w:r>
            </w:del>
          </w:p>
        </w:tc>
      </w:tr>
    </w:tbl>
    <w:p w14:paraId="5F30B27A" w14:textId="6AB10470" w:rsidR="00DE3458" w:rsidRPr="009C5EFD" w:rsidRDefault="00DE3458" w:rsidP="007F67EE">
      <w:pPr>
        <w:suppressAutoHyphens/>
        <w:ind w:left="54"/>
        <w:rPr>
          <w:del w:id="12960" w:author="AbbVie02no" w:date="2025-05-15T14:04:00Z"/>
          <w:sz w:val="22"/>
          <w:szCs w:val="22"/>
        </w:rPr>
      </w:pPr>
    </w:p>
    <w:p w14:paraId="6A3BC8B6" w14:textId="5F837812" w:rsidR="00DE3458" w:rsidRPr="009C5EFD" w:rsidRDefault="00E453CD" w:rsidP="00193D76">
      <w:pPr>
        <w:suppressAutoHyphens/>
        <w:ind w:left="54"/>
        <w:rPr>
          <w:del w:id="12961" w:author="AbbVie02no" w:date="2025-05-15T14:04:00Z"/>
          <w:sz w:val="22"/>
          <w:szCs w:val="22"/>
        </w:rPr>
      </w:pPr>
      <w:del w:id="12962" w:author="AbbVie02no" w:date="2025-05-15T14:04:00Z">
        <w:r w:rsidRPr="009C5EFD">
          <w:rPr>
            <w:sz w:val="22"/>
            <w:szCs w:val="22"/>
          </w:rPr>
          <w:delText xml:space="preserve">AbbVie </w:delText>
        </w:r>
        <w:r w:rsidR="00DD76CF" w:rsidRPr="00637363">
          <w:rPr>
            <w:sz w:val="22"/>
            <w:szCs w:val="22"/>
            <w:highlight w:val="lightGray"/>
          </w:rPr>
          <w:delText>(som logo)</w:delText>
        </w:r>
      </w:del>
    </w:p>
    <w:p w14:paraId="128FD885" w14:textId="51A22E0B" w:rsidR="00DE3458" w:rsidRPr="009C5EFD" w:rsidRDefault="00DE3458" w:rsidP="002D0790">
      <w:pPr>
        <w:suppressAutoHyphens/>
        <w:ind w:left="54"/>
        <w:rPr>
          <w:del w:id="12963" w:author="AbbVie02no" w:date="2025-05-15T14:04:00Z"/>
          <w:sz w:val="22"/>
          <w:szCs w:val="22"/>
        </w:rPr>
      </w:pPr>
    </w:p>
    <w:p w14:paraId="33721719" w14:textId="55CD3E3A" w:rsidR="00DE3458" w:rsidRPr="009C5EFD" w:rsidRDefault="00DE3458" w:rsidP="00C07C98">
      <w:pPr>
        <w:suppressAutoHyphens/>
        <w:ind w:left="54"/>
        <w:rPr>
          <w:del w:id="12964"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B03C833" w14:textId="2E038F7E">
        <w:trPr>
          <w:del w:id="12965" w:author="AbbVie02no" w:date="2025-05-15T14:04:00Z"/>
        </w:trPr>
        <w:tc>
          <w:tcPr>
            <w:tcW w:w="9281" w:type="dxa"/>
          </w:tcPr>
          <w:p w14:paraId="3AECD713" w14:textId="4C2B23A7" w:rsidR="00DE3458" w:rsidRPr="009C5EFD" w:rsidRDefault="00E453CD" w:rsidP="00E14E58">
            <w:pPr>
              <w:ind w:left="567" w:hanging="567"/>
              <w:rPr>
                <w:del w:id="12966" w:author="AbbVie02no" w:date="2025-05-15T14:04:00Z"/>
                <w:b/>
                <w:sz w:val="22"/>
                <w:szCs w:val="22"/>
              </w:rPr>
            </w:pPr>
            <w:del w:id="12967" w:author="AbbVie02no" w:date="2025-05-15T14:04:00Z">
              <w:r w:rsidRPr="009C5EFD">
                <w:rPr>
                  <w:b/>
                  <w:sz w:val="22"/>
                  <w:szCs w:val="22"/>
                </w:rPr>
                <w:delText>3.</w:delText>
              </w:r>
              <w:r w:rsidRPr="009C5EFD">
                <w:rPr>
                  <w:b/>
                  <w:sz w:val="22"/>
                  <w:szCs w:val="22"/>
                </w:rPr>
                <w:tab/>
                <w:delText>UTLØPSDATO</w:delText>
              </w:r>
            </w:del>
          </w:p>
        </w:tc>
      </w:tr>
    </w:tbl>
    <w:p w14:paraId="4B240D44" w14:textId="59A495BC" w:rsidR="00DE3458" w:rsidRPr="009C5EFD" w:rsidRDefault="00DE3458" w:rsidP="007F67EE">
      <w:pPr>
        <w:suppressAutoHyphens/>
        <w:ind w:left="54"/>
        <w:jc w:val="both"/>
        <w:rPr>
          <w:del w:id="12968" w:author="AbbVie02no" w:date="2025-05-15T14:04:00Z"/>
          <w:sz w:val="22"/>
          <w:szCs w:val="22"/>
        </w:rPr>
      </w:pPr>
    </w:p>
    <w:p w14:paraId="411DC125" w14:textId="21DD3B72" w:rsidR="00DE3458" w:rsidRPr="009C5EFD" w:rsidRDefault="00E453CD" w:rsidP="001F5D4B">
      <w:pPr>
        <w:suppressAutoHyphens/>
        <w:jc w:val="both"/>
        <w:rPr>
          <w:del w:id="12969" w:author="AbbVie02no" w:date="2025-05-15T14:04:00Z"/>
          <w:sz w:val="22"/>
          <w:szCs w:val="22"/>
        </w:rPr>
      </w:pPr>
      <w:del w:id="12970" w:author="AbbVie02no" w:date="2025-05-15T14:04:00Z">
        <w:r>
          <w:rPr>
            <w:sz w:val="22"/>
            <w:szCs w:val="22"/>
          </w:rPr>
          <w:delText>EXP</w:delText>
        </w:r>
      </w:del>
    </w:p>
    <w:p w14:paraId="2D87814F" w14:textId="3F3E4959" w:rsidR="00DE3458" w:rsidRPr="009C5EFD" w:rsidRDefault="00DE3458" w:rsidP="002D0790">
      <w:pPr>
        <w:suppressAutoHyphens/>
        <w:ind w:left="54"/>
        <w:jc w:val="both"/>
        <w:rPr>
          <w:del w:id="12971" w:author="AbbVie02no" w:date="2025-05-15T14:04:00Z"/>
          <w:sz w:val="22"/>
          <w:szCs w:val="22"/>
        </w:rPr>
      </w:pPr>
    </w:p>
    <w:p w14:paraId="42787782" w14:textId="5390B95E" w:rsidR="00DE3458" w:rsidRPr="009C5EFD" w:rsidRDefault="00DE3458" w:rsidP="00C07C98">
      <w:pPr>
        <w:suppressAutoHyphens/>
        <w:ind w:left="54"/>
        <w:jc w:val="both"/>
        <w:rPr>
          <w:del w:id="12972"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E12F45F" w14:textId="610EE83A">
        <w:trPr>
          <w:del w:id="12973" w:author="AbbVie02no" w:date="2025-05-15T14:04:00Z"/>
        </w:trPr>
        <w:tc>
          <w:tcPr>
            <w:tcW w:w="9281" w:type="dxa"/>
          </w:tcPr>
          <w:p w14:paraId="228D9ED4" w14:textId="2180B0E4" w:rsidR="00DE3458" w:rsidRPr="009C5EFD" w:rsidRDefault="00E453CD" w:rsidP="00E14E58">
            <w:pPr>
              <w:ind w:left="567" w:hanging="567"/>
              <w:rPr>
                <w:del w:id="12974" w:author="AbbVie02no" w:date="2025-05-15T14:04:00Z"/>
                <w:b/>
                <w:sz w:val="22"/>
                <w:szCs w:val="22"/>
              </w:rPr>
            </w:pPr>
            <w:del w:id="12975" w:author="AbbVie02no" w:date="2025-05-15T14:04:00Z">
              <w:r w:rsidRPr="009C5EFD">
                <w:rPr>
                  <w:b/>
                  <w:sz w:val="22"/>
                  <w:szCs w:val="22"/>
                </w:rPr>
                <w:delText>4.</w:delText>
              </w:r>
              <w:r w:rsidRPr="009C5EFD">
                <w:rPr>
                  <w:b/>
                  <w:sz w:val="22"/>
                  <w:szCs w:val="22"/>
                </w:rPr>
                <w:tab/>
                <w:delText>PRODUKSJONSNUMMER</w:delText>
              </w:r>
            </w:del>
          </w:p>
        </w:tc>
      </w:tr>
    </w:tbl>
    <w:p w14:paraId="2835B3AF" w14:textId="13EFEB44" w:rsidR="00DE3458" w:rsidRPr="009C5EFD" w:rsidRDefault="00DE3458" w:rsidP="007F67EE">
      <w:pPr>
        <w:suppressAutoHyphens/>
        <w:ind w:left="54"/>
        <w:jc w:val="both"/>
        <w:rPr>
          <w:del w:id="12976" w:author="AbbVie02no" w:date="2025-05-15T14:04:00Z"/>
          <w:sz w:val="22"/>
          <w:szCs w:val="22"/>
        </w:rPr>
      </w:pPr>
    </w:p>
    <w:p w14:paraId="2F3B0BE1" w14:textId="74129947" w:rsidR="00DE3458" w:rsidRPr="009C5EFD" w:rsidRDefault="00E453CD" w:rsidP="00193D76">
      <w:pPr>
        <w:suppressAutoHyphens/>
        <w:ind w:left="54"/>
        <w:jc w:val="both"/>
        <w:rPr>
          <w:del w:id="12977" w:author="AbbVie02no" w:date="2025-05-15T14:04:00Z"/>
          <w:sz w:val="22"/>
          <w:szCs w:val="22"/>
        </w:rPr>
      </w:pPr>
      <w:del w:id="12978" w:author="AbbVie02no" w:date="2025-05-15T14:04:00Z">
        <w:r w:rsidRPr="009C5EFD">
          <w:rPr>
            <w:sz w:val="22"/>
            <w:szCs w:val="22"/>
          </w:rPr>
          <w:delText>Lot</w:delText>
        </w:r>
      </w:del>
    </w:p>
    <w:p w14:paraId="07437F46" w14:textId="088F3434" w:rsidR="00DE3458" w:rsidRPr="009C5EFD" w:rsidRDefault="00DE3458" w:rsidP="002D0790">
      <w:pPr>
        <w:suppressAutoHyphens/>
        <w:ind w:left="54"/>
        <w:jc w:val="both"/>
        <w:rPr>
          <w:del w:id="12979" w:author="AbbVie02no" w:date="2025-05-15T14:04:00Z"/>
          <w:sz w:val="22"/>
          <w:szCs w:val="22"/>
        </w:rPr>
      </w:pPr>
    </w:p>
    <w:p w14:paraId="43764D50" w14:textId="78D268A8" w:rsidR="00E03A87" w:rsidRPr="009C5EFD" w:rsidRDefault="00E03A87" w:rsidP="00C07C98">
      <w:pPr>
        <w:suppressAutoHyphens/>
        <w:ind w:left="54"/>
        <w:jc w:val="both"/>
        <w:rPr>
          <w:del w:id="12980"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3924FA6" w14:textId="1FACA836">
        <w:trPr>
          <w:del w:id="12981" w:author="AbbVie02no" w:date="2025-05-15T14:04:00Z"/>
        </w:trPr>
        <w:tc>
          <w:tcPr>
            <w:tcW w:w="9281" w:type="dxa"/>
          </w:tcPr>
          <w:p w14:paraId="2C80C856" w14:textId="6EDFEDA4" w:rsidR="00DE3458" w:rsidRPr="009C5EFD" w:rsidRDefault="00E453CD" w:rsidP="00E14E58">
            <w:pPr>
              <w:ind w:left="567" w:hanging="567"/>
              <w:rPr>
                <w:del w:id="12982" w:author="AbbVie02no" w:date="2025-05-15T14:04:00Z"/>
                <w:b/>
                <w:sz w:val="22"/>
                <w:szCs w:val="22"/>
              </w:rPr>
            </w:pPr>
            <w:del w:id="12983" w:author="AbbVie02no" w:date="2025-05-15T14:04:00Z">
              <w:r w:rsidRPr="009C5EFD">
                <w:rPr>
                  <w:b/>
                  <w:sz w:val="22"/>
                  <w:szCs w:val="22"/>
                </w:rPr>
                <w:delText>5.</w:delText>
              </w:r>
              <w:r w:rsidRPr="009C5EFD">
                <w:rPr>
                  <w:b/>
                  <w:sz w:val="22"/>
                  <w:szCs w:val="22"/>
                </w:rPr>
                <w:tab/>
                <w:delText>ANNET</w:delText>
              </w:r>
            </w:del>
          </w:p>
        </w:tc>
      </w:tr>
    </w:tbl>
    <w:p w14:paraId="7F068D49" w14:textId="3DBDEE5E" w:rsidR="00DE3458" w:rsidRPr="009C5EFD" w:rsidRDefault="00DE3458" w:rsidP="007F67EE">
      <w:pPr>
        <w:ind w:left="54"/>
        <w:rPr>
          <w:del w:id="12984" w:author="AbbVie02no" w:date="2025-05-15T14:04:00Z"/>
          <w:sz w:val="22"/>
          <w:szCs w:val="22"/>
        </w:rPr>
      </w:pPr>
    </w:p>
    <w:p w14:paraId="39671EA2" w14:textId="37BE92EB" w:rsidR="00DE3458" w:rsidRDefault="00E453CD" w:rsidP="00193D76">
      <w:pPr>
        <w:rPr>
          <w:del w:id="12985" w:author="AbbVie02no" w:date="2025-05-15T14:04:00Z"/>
          <w:sz w:val="22"/>
          <w:szCs w:val="22"/>
        </w:rPr>
      </w:pPr>
      <w:del w:id="12986" w:author="AbbVie02no" w:date="2025-05-15T14:04:00Z">
        <w:r w:rsidRPr="009C5EFD">
          <w:rPr>
            <w:sz w:val="22"/>
            <w:szCs w:val="22"/>
          </w:rPr>
          <w:delText>Se pakningsvedlegg for informasjon om oppbevaring.</w:delText>
        </w:r>
      </w:del>
    </w:p>
    <w:p w14:paraId="440F0318" w14:textId="251724E1" w:rsidR="00373337" w:rsidRPr="009C5EFD" w:rsidRDefault="00373337" w:rsidP="00193D76">
      <w:pPr>
        <w:rPr>
          <w:del w:id="12987" w:author="AbbVie02no" w:date="2025-05-15T14:04:00Z"/>
          <w:sz w:val="22"/>
          <w:szCs w:val="22"/>
        </w:rPr>
      </w:pPr>
    </w:p>
    <w:p w14:paraId="0EF68C2F" w14:textId="3BD95DD0" w:rsidR="0008045C" w:rsidRPr="009C5EFD" w:rsidRDefault="00E453CD" w:rsidP="002D0790">
      <w:pPr>
        <w:rPr>
          <w:del w:id="12988" w:author="AbbVie02no" w:date="2025-05-15T14:04:00Z"/>
          <w:sz w:val="22"/>
          <w:szCs w:val="22"/>
        </w:rPr>
      </w:pPr>
      <w:del w:id="12989" w:author="AbbVie02no" w:date="2025-05-15T14:04:00Z">
        <w:r w:rsidRPr="009C5EFD">
          <w:rPr>
            <w:sz w:val="22"/>
            <w:szCs w:val="22"/>
          </w:rPr>
          <w:delText>Kun til engangsbruk</w:delText>
        </w:r>
        <w:r w:rsidR="00373337">
          <w:rPr>
            <w:sz w:val="22"/>
            <w:szCs w:val="22"/>
          </w:rPr>
          <w:delText>.</w:delText>
        </w:r>
      </w:del>
    </w:p>
    <w:p w14:paraId="236CA019" w14:textId="650CFE69" w:rsidR="00DE3458" w:rsidRPr="009C5EFD" w:rsidRDefault="00E453CD" w:rsidP="00C07C98">
      <w:pPr>
        <w:rPr>
          <w:del w:id="12990" w:author="AbbVie02no" w:date="2025-05-15T14:04:00Z"/>
          <w:b/>
          <w:sz w:val="22"/>
          <w:szCs w:val="22"/>
        </w:rPr>
      </w:pPr>
      <w:del w:id="12991" w:author="AbbVie02no" w:date="2025-05-15T14:04:00Z">
        <w:r w:rsidRPr="009C5EFD">
          <w:rPr>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8CB781D" w14:textId="0D92B29C">
        <w:trPr>
          <w:trHeight w:val="1070"/>
          <w:del w:id="12992" w:author="AbbVie02no" w:date="2025-05-15T14:04:00Z"/>
        </w:trPr>
        <w:tc>
          <w:tcPr>
            <w:tcW w:w="9281" w:type="dxa"/>
            <w:tcBorders>
              <w:bottom w:val="single" w:sz="4" w:space="0" w:color="auto"/>
            </w:tcBorders>
          </w:tcPr>
          <w:p w14:paraId="19469B54" w14:textId="25EA4783" w:rsidR="00DE3458" w:rsidRPr="009C5EFD" w:rsidRDefault="00E453CD" w:rsidP="00C07C98">
            <w:pPr>
              <w:suppressAutoHyphens/>
              <w:rPr>
                <w:del w:id="12993" w:author="AbbVie02no" w:date="2025-05-15T14:04:00Z"/>
                <w:b/>
                <w:sz w:val="22"/>
                <w:szCs w:val="22"/>
              </w:rPr>
            </w:pPr>
            <w:del w:id="12994" w:author="AbbVie02no" w:date="2025-05-15T14:04:00Z">
              <w:r w:rsidRPr="009C5EFD">
                <w:rPr>
                  <w:b/>
                  <w:sz w:val="22"/>
                  <w:szCs w:val="22"/>
                </w:rPr>
                <w:lastRenderedPageBreak/>
                <w:delText>MINSTEKRAV TIL OPPLYSNINGER SOM SKAL ANGIS PÅ SMÅ INDRE EMBALLASJER</w:delText>
              </w:r>
            </w:del>
          </w:p>
          <w:p w14:paraId="44C19A7D" w14:textId="27C62576" w:rsidR="00DE3458" w:rsidRPr="009C5EFD" w:rsidRDefault="00DE3458" w:rsidP="00E14E58">
            <w:pPr>
              <w:suppressAutoHyphens/>
              <w:rPr>
                <w:del w:id="12995" w:author="AbbVie02no" w:date="2025-05-15T14:04:00Z"/>
                <w:b/>
                <w:sz w:val="22"/>
                <w:szCs w:val="22"/>
              </w:rPr>
            </w:pPr>
          </w:p>
          <w:p w14:paraId="5250975C" w14:textId="1B8D0F5A" w:rsidR="00DE3458" w:rsidRPr="009C5EFD" w:rsidRDefault="00E453CD" w:rsidP="009C5EFD">
            <w:pPr>
              <w:suppressAutoHyphens/>
              <w:rPr>
                <w:del w:id="12996" w:author="AbbVie02no" w:date="2025-05-15T14:04:00Z"/>
                <w:b/>
                <w:sz w:val="22"/>
                <w:szCs w:val="22"/>
              </w:rPr>
            </w:pPr>
            <w:del w:id="12997" w:author="AbbVie02no" w:date="2025-05-15T14:04:00Z">
              <w:r>
                <w:rPr>
                  <w:b/>
                  <w:sz w:val="22"/>
                  <w:szCs w:val="22"/>
                </w:rPr>
                <w:delText>ETIKETT PÅ PENN</w:delText>
              </w:r>
            </w:del>
          </w:p>
        </w:tc>
      </w:tr>
    </w:tbl>
    <w:p w14:paraId="30CBEC9E" w14:textId="4FDAC604" w:rsidR="00DE3458" w:rsidRPr="009C5EFD" w:rsidRDefault="00DE3458" w:rsidP="007F67EE">
      <w:pPr>
        <w:suppressAutoHyphens/>
        <w:ind w:left="54"/>
        <w:jc w:val="both"/>
        <w:rPr>
          <w:del w:id="12998" w:author="AbbVie02no" w:date="2025-05-15T14:04:00Z"/>
          <w:sz w:val="22"/>
          <w:szCs w:val="22"/>
        </w:rPr>
      </w:pPr>
    </w:p>
    <w:p w14:paraId="1A413B73" w14:textId="16EB5BE6" w:rsidR="00DE3458" w:rsidRPr="009C5EFD" w:rsidRDefault="00DE3458" w:rsidP="00193D76">
      <w:pPr>
        <w:suppressAutoHyphens/>
        <w:ind w:left="54"/>
        <w:jc w:val="both"/>
        <w:rPr>
          <w:del w:id="12999"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09E5C24" w14:textId="0447575D">
        <w:trPr>
          <w:del w:id="13000" w:author="AbbVie02no" w:date="2025-05-15T14:04:00Z"/>
        </w:trPr>
        <w:tc>
          <w:tcPr>
            <w:tcW w:w="9281" w:type="dxa"/>
          </w:tcPr>
          <w:p w14:paraId="53925A48" w14:textId="74232B77" w:rsidR="00DE3458" w:rsidRPr="009C5EFD" w:rsidRDefault="00E453CD" w:rsidP="002D0790">
            <w:pPr>
              <w:ind w:left="567" w:hanging="567"/>
              <w:rPr>
                <w:del w:id="13001" w:author="AbbVie02no" w:date="2025-05-15T14:04:00Z"/>
                <w:b/>
                <w:sz w:val="22"/>
                <w:szCs w:val="22"/>
              </w:rPr>
            </w:pPr>
            <w:del w:id="13002" w:author="AbbVie02no" w:date="2025-05-15T14:04:00Z">
              <w:r w:rsidRPr="009C5EFD">
                <w:rPr>
                  <w:b/>
                  <w:sz w:val="22"/>
                  <w:szCs w:val="22"/>
                </w:rPr>
                <w:delText>1.</w:delText>
              </w:r>
              <w:r w:rsidRPr="009C5EFD">
                <w:rPr>
                  <w:b/>
                  <w:sz w:val="22"/>
                  <w:szCs w:val="22"/>
                </w:rPr>
                <w:tab/>
                <w:delText>LEGEMIDLETS NAVN OG ADMINISTRASJONSVEI</w:delText>
              </w:r>
            </w:del>
          </w:p>
        </w:tc>
      </w:tr>
    </w:tbl>
    <w:p w14:paraId="46419EB4" w14:textId="3FEF4A40" w:rsidR="00DE3458" w:rsidRPr="009C5EFD" w:rsidRDefault="00DE3458" w:rsidP="007F67EE">
      <w:pPr>
        <w:suppressAutoHyphens/>
        <w:ind w:left="54"/>
        <w:jc w:val="both"/>
        <w:rPr>
          <w:del w:id="13003" w:author="AbbVie02no" w:date="2025-05-15T14:04:00Z"/>
          <w:sz w:val="22"/>
          <w:szCs w:val="22"/>
        </w:rPr>
      </w:pPr>
    </w:p>
    <w:p w14:paraId="5E72401F" w14:textId="0368EB5B" w:rsidR="00DE3458" w:rsidRPr="009C5EFD" w:rsidRDefault="00E453CD" w:rsidP="00193D76">
      <w:pPr>
        <w:suppressAutoHyphens/>
        <w:ind w:left="54"/>
        <w:jc w:val="both"/>
        <w:rPr>
          <w:del w:id="13004" w:author="AbbVie02no" w:date="2025-05-15T14:04:00Z"/>
          <w:sz w:val="22"/>
          <w:szCs w:val="22"/>
        </w:rPr>
      </w:pPr>
      <w:del w:id="13005" w:author="AbbVie02no" w:date="2025-05-15T14:04:00Z">
        <w:r w:rsidRPr="009C5EFD">
          <w:rPr>
            <w:sz w:val="22"/>
            <w:szCs w:val="22"/>
          </w:rPr>
          <w:delText>Humira 40 mg injeksjon</w:delText>
        </w:r>
        <w:r w:rsidR="00256837">
          <w:rPr>
            <w:sz w:val="22"/>
            <w:szCs w:val="22"/>
          </w:rPr>
          <w:delText>svæske</w:delText>
        </w:r>
      </w:del>
    </w:p>
    <w:p w14:paraId="6012D235" w14:textId="54059E10" w:rsidR="00DE3458" w:rsidRPr="009C5EFD" w:rsidRDefault="00E453CD" w:rsidP="002D0790">
      <w:pPr>
        <w:suppressAutoHyphens/>
        <w:ind w:left="54"/>
        <w:rPr>
          <w:del w:id="13006" w:author="AbbVie02no" w:date="2025-05-15T14:04:00Z"/>
          <w:sz w:val="22"/>
          <w:szCs w:val="22"/>
        </w:rPr>
      </w:pPr>
      <w:del w:id="13007" w:author="AbbVie02no" w:date="2025-05-15T14:04:00Z">
        <w:r w:rsidRPr="009C5EFD">
          <w:rPr>
            <w:sz w:val="22"/>
            <w:szCs w:val="22"/>
          </w:rPr>
          <w:delText>adalimumab</w:delText>
        </w:r>
      </w:del>
    </w:p>
    <w:p w14:paraId="4D171923" w14:textId="3318C957" w:rsidR="00DE3458" w:rsidRPr="008478AD" w:rsidRDefault="00E453CD" w:rsidP="00C07C98">
      <w:pPr>
        <w:suppressAutoHyphens/>
        <w:ind w:left="54"/>
        <w:jc w:val="both"/>
        <w:rPr>
          <w:del w:id="13008" w:author="AbbVie02no" w:date="2025-05-15T14:04:00Z"/>
          <w:sz w:val="22"/>
          <w:szCs w:val="22"/>
        </w:rPr>
      </w:pPr>
      <w:del w:id="13009" w:author="AbbVie02no" w:date="2025-05-15T14:04:00Z">
        <w:r>
          <w:rPr>
            <w:sz w:val="22"/>
            <w:szCs w:val="22"/>
          </w:rPr>
          <w:delText>s.c.</w:delText>
        </w:r>
      </w:del>
    </w:p>
    <w:p w14:paraId="0A2C4469" w14:textId="58F0E825" w:rsidR="00DE3458" w:rsidRPr="009C5EFD" w:rsidRDefault="00DE3458" w:rsidP="00E14E58">
      <w:pPr>
        <w:suppressAutoHyphens/>
        <w:ind w:left="54"/>
        <w:jc w:val="both"/>
        <w:rPr>
          <w:del w:id="13010" w:author="AbbVie02no" w:date="2025-05-15T14:04:00Z"/>
          <w:sz w:val="22"/>
          <w:szCs w:val="22"/>
        </w:rPr>
      </w:pPr>
    </w:p>
    <w:p w14:paraId="5F492AD0" w14:textId="2D06AF9B" w:rsidR="00DE3458" w:rsidRPr="009C5EFD" w:rsidRDefault="00DE3458" w:rsidP="009C5EFD">
      <w:pPr>
        <w:suppressAutoHyphens/>
        <w:ind w:left="54"/>
        <w:jc w:val="both"/>
        <w:rPr>
          <w:del w:id="13011"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E969D38" w14:textId="0744944C">
        <w:trPr>
          <w:del w:id="13012" w:author="AbbVie02no" w:date="2025-05-15T14:04:00Z"/>
        </w:trPr>
        <w:tc>
          <w:tcPr>
            <w:tcW w:w="9281" w:type="dxa"/>
          </w:tcPr>
          <w:p w14:paraId="14FC5005" w14:textId="293F9504" w:rsidR="00DE3458" w:rsidRPr="009C5EFD" w:rsidRDefault="00E453CD" w:rsidP="009C5EFD">
            <w:pPr>
              <w:ind w:left="567" w:hanging="567"/>
              <w:rPr>
                <w:del w:id="13013" w:author="AbbVie02no" w:date="2025-05-15T14:04:00Z"/>
                <w:b/>
                <w:sz w:val="22"/>
                <w:szCs w:val="22"/>
              </w:rPr>
            </w:pPr>
            <w:del w:id="13014" w:author="AbbVie02no" w:date="2025-05-15T14:04:00Z">
              <w:r w:rsidRPr="009C5EFD">
                <w:rPr>
                  <w:b/>
                  <w:sz w:val="22"/>
                  <w:szCs w:val="22"/>
                </w:rPr>
                <w:delText>2.</w:delText>
              </w:r>
              <w:r w:rsidRPr="009C5EFD">
                <w:rPr>
                  <w:b/>
                  <w:sz w:val="22"/>
                  <w:szCs w:val="22"/>
                </w:rPr>
                <w:tab/>
                <w:delText>ADMINISTRASJONSMÅTE</w:delText>
              </w:r>
            </w:del>
          </w:p>
        </w:tc>
      </w:tr>
    </w:tbl>
    <w:p w14:paraId="631A392B" w14:textId="6CF9D2EA" w:rsidR="00106DCF" w:rsidRPr="008478AD" w:rsidRDefault="00106DCF" w:rsidP="001F5D4B">
      <w:pPr>
        <w:suppressAutoHyphens/>
        <w:jc w:val="both"/>
        <w:rPr>
          <w:del w:id="13015" w:author="AbbVie02no" w:date="2025-05-15T14:04:00Z"/>
          <w:b/>
          <w:sz w:val="22"/>
          <w:szCs w:val="22"/>
        </w:rPr>
      </w:pPr>
    </w:p>
    <w:p w14:paraId="00101FEF" w14:textId="471D5AC3" w:rsidR="00DE3458" w:rsidRPr="009C5EFD" w:rsidRDefault="00DE3458" w:rsidP="007F67EE">
      <w:pPr>
        <w:suppressAutoHyphens/>
        <w:ind w:left="54"/>
        <w:jc w:val="both"/>
        <w:rPr>
          <w:del w:id="13016"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44BC19A" w14:textId="3900BC54">
        <w:trPr>
          <w:del w:id="13017" w:author="AbbVie02no" w:date="2025-05-15T14:04:00Z"/>
        </w:trPr>
        <w:tc>
          <w:tcPr>
            <w:tcW w:w="9281" w:type="dxa"/>
          </w:tcPr>
          <w:p w14:paraId="05A5CA3A" w14:textId="5DDE6CCC" w:rsidR="00DE3458" w:rsidRPr="009C5EFD" w:rsidRDefault="00E453CD" w:rsidP="00193D76">
            <w:pPr>
              <w:ind w:left="567" w:hanging="567"/>
              <w:rPr>
                <w:del w:id="13018" w:author="AbbVie02no" w:date="2025-05-15T14:04:00Z"/>
                <w:b/>
                <w:sz w:val="22"/>
                <w:szCs w:val="22"/>
              </w:rPr>
            </w:pPr>
            <w:del w:id="13019" w:author="AbbVie02no" w:date="2025-05-15T14:04:00Z">
              <w:r w:rsidRPr="009C5EFD">
                <w:rPr>
                  <w:b/>
                  <w:sz w:val="22"/>
                  <w:szCs w:val="22"/>
                </w:rPr>
                <w:delText>3.</w:delText>
              </w:r>
              <w:r w:rsidRPr="009C5EFD">
                <w:rPr>
                  <w:b/>
                  <w:sz w:val="22"/>
                  <w:szCs w:val="22"/>
                </w:rPr>
                <w:tab/>
                <w:delText>UTLØPSDATO</w:delText>
              </w:r>
            </w:del>
          </w:p>
        </w:tc>
      </w:tr>
    </w:tbl>
    <w:p w14:paraId="294F10B9" w14:textId="6C45C3C5" w:rsidR="00DE3458" w:rsidRPr="009C5EFD" w:rsidRDefault="00DE3458" w:rsidP="007F67EE">
      <w:pPr>
        <w:suppressAutoHyphens/>
        <w:ind w:left="621" w:hanging="567"/>
        <w:rPr>
          <w:del w:id="13020" w:author="AbbVie02no" w:date="2025-05-15T14:04:00Z"/>
          <w:sz w:val="22"/>
          <w:szCs w:val="22"/>
        </w:rPr>
      </w:pPr>
    </w:p>
    <w:p w14:paraId="5941606C" w14:textId="3837E553" w:rsidR="00DE3458" w:rsidRPr="009C5EFD" w:rsidRDefault="00E453CD" w:rsidP="00193D76">
      <w:pPr>
        <w:suppressAutoHyphens/>
        <w:ind w:left="621" w:hanging="567"/>
        <w:rPr>
          <w:del w:id="13021" w:author="AbbVie02no" w:date="2025-05-15T14:04:00Z"/>
          <w:sz w:val="22"/>
          <w:szCs w:val="22"/>
        </w:rPr>
      </w:pPr>
      <w:del w:id="13022" w:author="AbbVie02no" w:date="2025-05-15T14:04:00Z">
        <w:r>
          <w:rPr>
            <w:sz w:val="22"/>
            <w:szCs w:val="22"/>
          </w:rPr>
          <w:delText>EXP</w:delText>
        </w:r>
        <w:r w:rsidRPr="009C5EFD">
          <w:rPr>
            <w:sz w:val="22"/>
            <w:szCs w:val="22"/>
          </w:rPr>
          <w:delText xml:space="preserve"> </w:delText>
        </w:r>
      </w:del>
    </w:p>
    <w:p w14:paraId="3C1CF98F" w14:textId="53656569" w:rsidR="00DE3458" w:rsidRPr="009C5EFD" w:rsidRDefault="00DE3458" w:rsidP="002D0790">
      <w:pPr>
        <w:suppressAutoHyphens/>
        <w:ind w:left="621" w:hanging="567"/>
        <w:rPr>
          <w:del w:id="13023" w:author="AbbVie02no" w:date="2025-05-15T14:04:00Z"/>
          <w:sz w:val="22"/>
          <w:szCs w:val="22"/>
        </w:rPr>
      </w:pPr>
    </w:p>
    <w:p w14:paraId="3E9EB31F" w14:textId="73F05930" w:rsidR="00DE3458" w:rsidRPr="009C5EFD" w:rsidRDefault="00DE3458" w:rsidP="00C07C98">
      <w:pPr>
        <w:suppressAutoHyphens/>
        <w:ind w:left="621" w:hanging="567"/>
        <w:rPr>
          <w:del w:id="13024"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D128D94" w14:textId="447A7FAA">
        <w:trPr>
          <w:del w:id="13025" w:author="AbbVie02no" w:date="2025-05-15T14:04:00Z"/>
        </w:trPr>
        <w:tc>
          <w:tcPr>
            <w:tcW w:w="9281" w:type="dxa"/>
          </w:tcPr>
          <w:p w14:paraId="694A93BC" w14:textId="50BED83D" w:rsidR="00DE3458" w:rsidRPr="009C5EFD" w:rsidRDefault="00E453CD" w:rsidP="00E14E58">
            <w:pPr>
              <w:ind w:left="567" w:hanging="567"/>
              <w:rPr>
                <w:del w:id="13026" w:author="AbbVie02no" w:date="2025-05-15T14:04:00Z"/>
                <w:b/>
                <w:sz w:val="22"/>
                <w:szCs w:val="22"/>
              </w:rPr>
            </w:pPr>
            <w:del w:id="13027" w:author="AbbVie02no" w:date="2025-05-15T14:04:00Z">
              <w:r w:rsidRPr="009C5EFD">
                <w:rPr>
                  <w:b/>
                  <w:sz w:val="22"/>
                  <w:szCs w:val="22"/>
                </w:rPr>
                <w:delText>4.</w:delText>
              </w:r>
              <w:r w:rsidRPr="009C5EFD">
                <w:rPr>
                  <w:b/>
                  <w:sz w:val="22"/>
                  <w:szCs w:val="22"/>
                </w:rPr>
                <w:tab/>
                <w:delText>PRODUKSJONSNUMMER</w:delText>
              </w:r>
            </w:del>
          </w:p>
        </w:tc>
      </w:tr>
    </w:tbl>
    <w:p w14:paraId="7BCE5163" w14:textId="2A807EFE" w:rsidR="00DE3458" w:rsidRPr="009C5EFD" w:rsidRDefault="00DE3458" w:rsidP="007F67EE">
      <w:pPr>
        <w:suppressAutoHyphens/>
        <w:ind w:left="54"/>
        <w:jc w:val="both"/>
        <w:rPr>
          <w:del w:id="13028" w:author="AbbVie02no" w:date="2025-05-15T14:04:00Z"/>
          <w:sz w:val="22"/>
          <w:szCs w:val="22"/>
        </w:rPr>
      </w:pPr>
    </w:p>
    <w:p w14:paraId="35152F16" w14:textId="4435F3C2" w:rsidR="00DE3458" w:rsidRPr="009C5EFD" w:rsidRDefault="00E453CD" w:rsidP="00193D76">
      <w:pPr>
        <w:suppressAutoHyphens/>
        <w:ind w:left="54"/>
        <w:jc w:val="both"/>
        <w:rPr>
          <w:del w:id="13029" w:author="AbbVie02no" w:date="2025-05-15T14:04:00Z"/>
          <w:sz w:val="22"/>
          <w:szCs w:val="22"/>
        </w:rPr>
      </w:pPr>
      <w:del w:id="13030" w:author="AbbVie02no" w:date="2025-05-15T14:04:00Z">
        <w:r w:rsidRPr="009C5EFD">
          <w:rPr>
            <w:sz w:val="22"/>
            <w:szCs w:val="22"/>
          </w:rPr>
          <w:delText>Lot</w:delText>
        </w:r>
      </w:del>
    </w:p>
    <w:p w14:paraId="08BC3D08" w14:textId="64D52B4C" w:rsidR="00DE3458" w:rsidRPr="009C5EFD" w:rsidRDefault="00DE3458" w:rsidP="002D0790">
      <w:pPr>
        <w:suppressAutoHyphens/>
        <w:ind w:left="54"/>
        <w:jc w:val="both"/>
        <w:rPr>
          <w:del w:id="13031" w:author="AbbVie02no" w:date="2025-05-15T14:04:00Z"/>
          <w:sz w:val="22"/>
          <w:szCs w:val="22"/>
        </w:rPr>
      </w:pPr>
    </w:p>
    <w:p w14:paraId="387E0DCF" w14:textId="60EAE9EF" w:rsidR="00DE3458" w:rsidRPr="009C5EFD" w:rsidRDefault="00DE3458" w:rsidP="00C07C98">
      <w:pPr>
        <w:suppressAutoHyphens/>
        <w:ind w:left="54"/>
        <w:jc w:val="both"/>
        <w:rPr>
          <w:del w:id="13032" w:author="AbbVie02no" w:date="2025-05-15T14:04: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A814B1E" w14:textId="01BF8AA2">
        <w:trPr>
          <w:del w:id="13033" w:author="AbbVie02no" w:date="2025-05-15T14:04:00Z"/>
        </w:trPr>
        <w:tc>
          <w:tcPr>
            <w:tcW w:w="9281" w:type="dxa"/>
          </w:tcPr>
          <w:p w14:paraId="56E496FD" w14:textId="77BBFC00" w:rsidR="00DE3458" w:rsidRPr="009C5EFD" w:rsidRDefault="00E453CD" w:rsidP="00E14E58">
            <w:pPr>
              <w:ind w:left="567" w:hanging="567"/>
              <w:rPr>
                <w:del w:id="13034" w:author="AbbVie02no" w:date="2025-05-15T14:04:00Z"/>
                <w:b/>
                <w:sz w:val="22"/>
                <w:szCs w:val="22"/>
              </w:rPr>
            </w:pPr>
            <w:del w:id="13035" w:author="AbbVie02no" w:date="2025-05-15T14:04:00Z">
              <w:r w:rsidRPr="009C5EFD">
                <w:rPr>
                  <w:b/>
                  <w:sz w:val="22"/>
                  <w:szCs w:val="22"/>
                </w:rPr>
                <w:delText>5.</w:delText>
              </w:r>
              <w:r w:rsidRPr="009C5EFD">
                <w:rPr>
                  <w:b/>
                  <w:sz w:val="22"/>
                  <w:szCs w:val="22"/>
                </w:rPr>
                <w:tab/>
              </w:r>
              <w:r w:rsidR="00903EBB">
                <w:rPr>
                  <w:b/>
                  <w:sz w:val="22"/>
                  <w:szCs w:val="22"/>
                </w:rPr>
                <w:delText>INN</w:delText>
              </w:r>
              <w:r w:rsidRPr="009C5EFD">
                <w:rPr>
                  <w:b/>
                  <w:sz w:val="22"/>
                  <w:szCs w:val="22"/>
                </w:rPr>
                <w:delText>HOLD ANGITT ETTER VEKT, VOLUM ELLER ANTALL DOSER</w:delText>
              </w:r>
            </w:del>
          </w:p>
        </w:tc>
      </w:tr>
    </w:tbl>
    <w:p w14:paraId="6D2B8441" w14:textId="2C361B6E" w:rsidR="00DE3458" w:rsidRPr="009C5EFD" w:rsidRDefault="00DE3458" w:rsidP="007F67EE">
      <w:pPr>
        <w:suppressAutoHyphens/>
        <w:ind w:left="54"/>
        <w:jc w:val="both"/>
        <w:rPr>
          <w:del w:id="13036" w:author="AbbVie02no" w:date="2025-05-15T14:04:00Z"/>
          <w:sz w:val="22"/>
          <w:szCs w:val="22"/>
        </w:rPr>
      </w:pPr>
    </w:p>
    <w:p w14:paraId="397DA0F5" w14:textId="1A99EF25" w:rsidR="00DE3458" w:rsidRPr="009C5EFD" w:rsidRDefault="00E453CD" w:rsidP="00193D76">
      <w:pPr>
        <w:suppressAutoHyphens/>
        <w:ind w:left="54"/>
        <w:jc w:val="both"/>
        <w:rPr>
          <w:del w:id="13037" w:author="AbbVie02no" w:date="2025-05-15T14:04:00Z"/>
          <w:sz w:val="22"/>
          <w:szCs w:val="22"/>
        </w:rPr>
      </w:pPr>
      <w:del w:id="13038" w:author="AbbVie02no" w:date="2025-05-15T14:04:00Z">
        <w:r w:rsidRPr="009C5EFD">
          <w:rPr>
            <w:sz w:val="22"/>
            <w:szCs w:val="22"/>
          </w:rPr>
          <w:delText>40 mg/0,8 ml</w:delText>
        </w:r>
      </w:del>
    </w:p>
    <w:p w14:paraId="2394ADD9" w14:textId="1E781F1B" w:rsidR="00DE3458" w:rsidRPr="009C5EFD" w:rsidRDefault="00DE3458" w:rsidP="002D0790">
      <w:pPr>
        <w:ind w:right="-449"/>
        <w:rPr>
          <w:del w:id="13039" w:author="AbbVie02no" w:date="2025-05-15T14:04:00Z"/>
          <w:b/>
          <w:sz w:val="22"/>
          <w:szCs w:val="22"/>
        </w:rPr>
      </w:pPr>
    </w:p>
    <w:p w14:paraId="19DE2551" w14:textId="014E1F49" w:rsidR="00DE3458" w:rsidRPr="009C5EFD" w:rsidRDefault="00DE3458" w:rsidP="00C07C98">
      <w:pPr>
        <w:ind w:right="-449"/>
        <w:rPr>
          <w:del w:id="13040" w:author="AbbVie02no" w:date="2025-05-15T14:04:00Z"/>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058E7B6" w14:textId="19049900">
        <w:trPr>
          <w:del w:id="13041" w:author="AbbVie02no" w:date="2025-05-15T14:04:00Z"/>
        </w:trPr>
        <w:tc>
          <w:tcPr>
            <w:tcW w:w="9281" w:type="dxa"/>
          </w:tcPr>
          <w:p w14:paraId="7A4A52D6" w14:textId="49AD50E1" w:rsidR="00DE3458" w:rsidRPr="009C5EFD" w:rsidRDefault="00E453CD" w:rsidP="00E14E58">
            <w:pPr>
              <w:ind w:left="567" w:hanging="567"/>
              <w:rPr>
                <w:del w:id="13042" w:author="AbbVie02no" w:date="2025-05-15T14:04:00Z"/>
                <w:b/>
                <w:sz w:val="22"/>
                <w:szCs w:val="22"/>
              </w:rPr>
            </w:pPr>
            <w:del w:id="13043" w:author="AbbVie02no" w:date="2025-05-15T14:04:00Z">
              <w:r w:rsidRPr="009C5EFD">
                <w:rPr>
                  <w:b/>
                  <w:sz w:val="22"/>
                  <w:szCs w:val="22"/>
                </w:rPr>
                <w:delText>6.</w:delText>
              </w:r>
              <w:r w:rsidRPr="009C5EFD">
                <w:rPr>
                  <w:b/>
                  <w:sz w:val="22"/>
                  <w:szCs w:val="22"/>
                </w:rPr>
                <w:tab/>
                <w:delText>ANNET</w:delText>
              </w:r>
            </w:del>
          </w:p>
        </w:tc>
      </w:tr>
    </w:tbl>
    <w:p w14:paraId="3DBDF048" w14:textId="606E5B48" w:rsidR="009534AF" w:rsidRPr="009C5EFD" w:rsidRDefault="009534AF" w:rsidP="001F5D4B">
      <w:pPr>
        <w:ind w:left="54"/>
        <w:rPr>
          <w:del w:id="13044" w:author="AbbVie02no" w:date="2025-05-15T14:04:00Z"/>
          <w:sz w:val="22"/>
          <w:szCs w:val="22"/>
        </w:rPr>
      </w:pPr>
    </w:p>
    <w:p w14:paraId="3AB7D8B7" w14:textId="04B0C189" w:rsidR="009534AF" w:rsidRPr="009C5EFD" w:rsidRDefault="00E453CD" w:rsidP="001F5D4B">
      <w:pPr>
        <w:ind w:left="54"/>
        <w:rPr>
          <w:sz w:val="22"/>
          <w:szCs w:val="22"/>
        </w:rPr>
      </w:pPr>
      <w:del w:id="13045" w:author="AbbVie02no" w:date="2025-05-15T14:04:00Z">
        <w:r w:rsidRPr="009C5EFD">
          <w:rPr>
            <w:sz w:val="22"/>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A8FB35" w14:textId="77777777" w:rsidTr="009534AF">
        <w:trPr>
          <w:trHeight w:val="1070"/>
        </w:trPr>
        <w:tc>
          <w:tcPr>
            <w:tcW w:w="9281" w:type="dxa"/>
            <w:tcBorders>
              <w:bottom w:val="single" w:sz="4" w:space="0" w:color="auto"/>
            </w:tcBorders>
          </w:tcPr>
          <w:p w14:paraId="3A01C729" w14:textId="77777777" w:rsidR="009534AF" w:rsidRPr="009C5EFD" w:rsidRDefault="00E453CD" w:rsidP="001F5D4B">
            <w:pPr>
              <w:rPr>
                <w:sz w:val="22"/>
                <w:szCs w:val="22"/>
              </w:rPr>
            </w:pPr>
            <w:r w:rsidRPr="009C5EFD">
              <w:rPr>
                <w:b/>
                <w:sz w:val="22"/>
                <w:szCs w:val="22"/>
              </w:rPr>
              <w:lastRenderedPageBreak/>
              <w:t xml:space="preserve">OPPLYSNINGER SOM SKAL ANGIS PÅ YTRE EMBALLASJE </w:t>
            </w:r>
          </w:p>
          <w:p w14:paraId="71425233" w14:textId="77777777" w:rsidR="009534AF" w:rsidRPr="009C5EFD" w:rsidRDefault="009534AF" w:rsidP="007F67EE">
            <w:pPr>
              <w:rPr>
                <w:sz w:val="22"/>
                <w:szCs w:val="22"/>
              </w:rPr>
            </w:pPr>
          </w:p>
          <w:p w14:paraId="1858545C" w14:textId="77777777" w:rsidR="009534AF" w:rsidRPr="009C5EFD" w:rsidRDefault="00E453CD" w:rsidP="00373337">
            <w:pPr>
              <w:rPr>
                <w:b/>
                <w:sz w:val="22"/>
                <w:szCs w:val="22"/>
              </w:rPr>
            </w:pPr>
            <w:r w:rsidRPr="009C5EFD">
              <w:rPr>
                <w:b/>
                <w:sz w:val="22"/>
                <w:szCs w:val="22"/>
              </w:rPr>
              <w:t>YTTERKARTONG</w:t>
            </w:r>
          </w:p>
        </w:tc>
      </w:tr>
    </w:tbl>
    <w:p w14:paraId="60B9D30E" w14:textId="77777777" w:rsidR="009534AF" w:rsidRPr="009C5EFD" w:rsidRDefault="009534AF" w:rsidP="007F67EE">
      <w:pPr>
        <w:suppressAutoHyphens/>
        <w:ind w:left="54"/>
        <w:rPr>
          <w:sz w:val="22"/>
          <w:szCs w:val="22"/>
        </w:rPr>
      </w:pPr>
    </w:p>
    <w:p w14:paraId="53E29FC5" w14:textId="77777777" w:rsidR="009534AF" w:rsidRPr="009C5EFD" w:rsidRDefault="009534AF" w:rsidP="00193D76">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0AAA46E" w14:textId="77777777" w:rsidTr="009534AF">
        <w:tc>
          <w:tcPr>
            <w:tcW w:w="9281" w:type="dxa"/>
          </w:tcPr>
          <w:p w14:paraId="381820AF" w14:textId="77777777" w:rsidR="009534AF" w:rsidRPr="009C5EFD" w:rsidRDefault="00E453CD" w:rsidP="002D0790">
            <w:pPr>
              <w:ind w:left="567" w:hanging="567"/>
              <w:rPr>
                <w:b/>
                <w:sz w:val="22"/>
                <w:szCs w:val="22"/>
              </w:rPr>
            </w:pPr>
            <w:r w:rsidRPr="009C5EFD">
              <w:rPr>
                <w:b/>
                <w:sz w:val="22"/>
                <w:szCs w:val="22"/>
              </w:rPr>
              <w:t>1.</w:t>
            </w:r>
            <w:r w:rsidRPr="009C5EFD">
              <w:rPr>
                <w:b/>
                <w:sz w:val="22"/>
                <w:szCs w:val="22"/>
              </w:rPr>
              <w:tab/>
              <w:t>LEGEMIDLETS NAVN</w:t>
            </w:r>
          </w:p>
        </w:tc>
      </w:tr>
    </w:tbl>
    <w:p w14:paraId="7D72D50B" w14:textId="77777777" w:rsidR="009534AF" w:rsidRPr="009C5EFD" w:rsidRDefault="009534AF" w:rsidP="007F67EE">
      <w:pPr>
        <w:suppressAutoHyphens/>
        <w:ind w:left="54"/>
        <w:rPr>
          <w:sz w:val="22"/>
          <w:szCs w:val="22"/>
        </w:rPr>
      </w:pPr>
    </w:p>
    <w:p w14:paraId="3963F2F8" w14:textId="77777777" w:rsidR="009534AF" w:rsidRPr="009C5EFD" w:rsidRDefault="00E453CD" w:rsidP="00193D76">
      <w:pPr>
        <w:suppressAutoHyphens/>
        <w:ind w:left="54"/>
        <w:rPr>
          <w:sz w:val="22"/>
          <w:szCs w:val="22"/>
        </w:rPr>
      </w:pPr>
      <w:r w:rsidRPr="009C5EFD">
        <w:rPr>
          <w:sz w:val="22"/>
          <w:szCs w:val="22"/>
        </w:rPr>
        <w:t>Humira 40</w:t>
      </w:r>
      <w:r w:rsidR="00DB5847" w:rsidRPr="009C5EFD">
        <w:rPr>
          <w:sz w:val="22"/>
          <w:szCs w:val="22"/>
        </w:rPr>
        <w:t> </w:t>
      </w:r>
      <w:r w:rsidRPr="009C5EFD">
        <w:rPr>
          <w:sz w:val="22"/>
          <w:szCs w:val="22"/>
        </w:rPr>
        <w:t>mg injeksjonsvæske, oppløsning i ferdigfylt sprøyte</w:t>
      </w:r>
    </w:p>
    <w:p w14:paraId="4A6CE431" w14:textId="77777777" w:rsidR="009534AF" w:rsidRPr="009C5EFD" w:rsidRDefault="00E453CD" w:rsidP="002D0790">
      <w:pPr>
        <w:suppressAutoHyphens/>
        <w:ind w:left="54"/>
        <w:rPr>
          <w:sz w:val="22"/>
          <w:szCs w:val="22"/>
        </w:rPr>
      </w:pPr>
      <w:r w:rsidRPr="009C5EFD">
        <w:rPr>
          <w:sz w:val="22"/>
          <w:szCs w:val="22"/>
        </w:rPr>
        <w:t>adalimumab</w:t>
      </w:r>
    </w:p>
    <w:p w14:paraId="4E7B0C4F" w14:textId="77777777" w:rsidR="009534AF" w:rsidRPr="009C5EFD" w:rsidRDefault="009534AF" w:rsidP="00C07C98">
      <w:pPr>
        <w:pStyle w:val="EndnoteText"/>
        <w:widowControl/>
        <w:tabs>
          <w:tab w:val="clear" w:pos="567"/>
        </w:tabs>
        <w:suppressAutoHyphens/>
        <w:ind w:left="54"/>
        <w:rPr>
          <w:szCs w:val="22"/>
          <w:lang w:val="nb-NO"/>
        </w:rPr>
      </w:pPr>
    </w:p>
    <w:p w14:paraId="61940ABD" w14:textId="77777777" w:rsidR="009534AF" w:rsidRPr="009C5EFD" w:rsidRDefault="009534AF" w:rsidP="00E14E5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6B059D9" w14:textId="77777777" w:rsidTr="009534AF">
        <w:tc>
          <w:tcPr>
            <w:tcW w:w="9281" w:type="dxa"/>
          </w:tcPr>
          <w:p w14:paraId="076CDEEA" w14:textId="77777777" w:rsidR="009534AF" w:rsidRPr="009C5EFD" w:rsidRDefault="00E453CD" w:rsidP="009C5EFD">
            <w:pPr>
              <w:ind w:left="567" w:hanging="567"/>
              <w:rPr>
                <w:b/>
                <w:sz w:val="22"/>
                <w:szCs w:val="22"/>
              </w:rPr>
            </w:pPr>
            <w:r w:rsidRPr="009C5EFD">
              <w:rPr>
                <w:b/>
                <w:sz w:val="22"/>
                <w:szCs w:val="22"/>
              </w:rPr>
              <w:t>2.</w:t>
            </w:r>
            <w:r w:rsidRPr="009C5EFD">
              <w:rPr>
                <w:b/>
                <w:sz w:val="22"/>
                <w:szCs w:val="22"/>
              </w:rPr>
              <w:tab/>
              <w:t xml:space="preserve">DEKLARASJON AV VIRKESTOFF </w:t>
            </w:r>
          </w:p>
        </w:tc>
      </w:tr>
    </w:tbl>
    <w:p w14:paraId="6673C56D" w14:textId="77777777" w:rsidR="009534AF" w:rsidRPr="009C5EFD" w:rsidRDefault="009534AF" w:rsidP="007F67EE">
      <w:pPr>
        <w:suppressAutoHyphens/>
        <w:ind w:left="54"/>
        <w:rPr>
          <w:sz w:val="22"/>
          <w:szCs w:val="22"/>
        </w:rPr>
      </w:pPr>
    </w:p>
    <w:p w14:paraId="0269E083" w14:textId="77777777" w:rsidR="009534AF" w:rsidRPr="009C5EFD" w:rsidRDefault="00E453CD" w:rsidP="00193D76">
      <w:pPr>
        <w:suppressAutoHyphens/>
        <w:ind w:left="54"/>
        <w:rPr>
          <w:sz w:val="22"/>
          <w:szCs w:val="22"/>
        </w:rPr>
      </w:pPr>
      <w:r w:rsidRPr="009C5EFD">
        <w:rPr>
          <w:sz w:val="22"/>
          <w:szCs w:val="22"/>
        </w:rPr>
        <w:t>En 0,4 ml ferdigfylt sprøyte inneholder 40</w:t>
      </w:r>
      <w:r w:rsidR="00E80992" w:rsidRPr="009C5EFD">
        <w:rPr>
          <w:sz w:val="22"/>
          <w:szCs w:val="22"/>
        </w:rPr>
        <w:t> </w:t>
      </w:r>
      <w:r w:rsidRPr="009C5EFD">
        <w:rPr>
          <w:sz w:val="22"/>
          <w:szCs w:val="22"/>
        </w:rPr>
        <w:t>mg</w:t>
      </w:r>
      <w:r w:rsidR="00E80992" w:rsidRPr="009C5EFD">
        <w:rPr>
          <w:sz w:val="22"/>
          <w:szCs w:val="22"/>
        </w:rPr>
        <w:t xml:space="preserve"> </w:t>
      </w:r>
      <w:r w:rsidRPr="009C5EFD">
        <w:rPr>
          <w:sz w:val="22"/>
          <w:szCs w:val="22"/>
        </w:rPr>
        <w:t>adalimumab</w:t>
      </w:r>
      <w:r w:rsidR="000C6A57">
        <w:rPr>
          <w:sz w:val="22"/>
          <w:szCs w:val="22"/>
        </w:rPr>
        <w:t>.</w:t>
      </w:r>
    </w:p>
    <w:p w14:paraId="32D6A302" w14:textId="77777777" w:rsidR="009534AF" w:rsidRPr="009C5EFD" w:rsidRDefault="009534AF" w:rsidP="002D0790">
      <w:pPr>
        <w:suppressAutoHyphens/>
        <w:ind w:left="54"/>
        <w:rPr>
          <w:sz w:val="22"/>
          <w:szCs w:val="22"/>
        </w:rPr>
      </w:pPr>
    </w:p>
    <w:p w14:paraId="6F385E04" w14:textId="77777777" w:rsidR="009534AF" w:rsidRPr="009C5EFD" w:rsidRDefault="009534AF" w:rsidP="00C07C9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3720471" w14:textId="77777777" w:rsidTr="009534AF">
        <w:tc>
          <w:tcPr>
            <w:tcW w:w="9281" w:type="dxa"/>
          </w:tcPr>
          <w:p w14:paraId="607BAB93" w14:textId="77777777" w:rsidR="009534AF" w:rsidRPr="009C5EFD" w:rsidRDefault="00E453CD" w:rsidP="00E14E58">
            <w:pPr>
              <w:ind w:left="567" w:hanging="567"/>
              <w:rPr>
                <w:b/>
                <w:sz w:val="22"/>
                <w:szCs w:val="22"/>
              </w:rPr>
            </w:pPr>
            <w:r w:rsidRPr="009C5EFD">
              <w:rPr>
                <w:b/>
                <w:sz w:val="22"/>
                <w:szCs w:val="22"/>
              </w:rPr>
              <w:t>3.</w:t>
            </w:r>
            <w:r w:rsidRPr="009C5EFD">
              <w:rPr>
                <w:b/>
                <w:sz w:val="22"/>
                <w:szCs w:val="22"/>
              </w:rPr>
              <w:tab/>
              <w:t>LISTE OVER HJELPESTOFFER</w:t>
            </w:r>
          </w:p>
        </w:tc>
      </w:tr>
    </w:tbl>
    <w:p w14:paraId="482114F4" w14:textId="77777777" w:rsidR="009534AF" w:rsidRPr="009C5EFD" w:rsidRDefault="009534AF" w:rsidP="007F67EE">
      <w:pPr>
        <w:suppressAutoHyphens/>
        <w:ind w:left="54"/>
        <w:rPr>
          <w:sz w:val="22"/>
          <w:szCs w:val="22"/>
        </w:rPr>
      </w:pPr>
    </w:p>
    <w:p w14:paraId="382DAD6E" w14:textId="77777777" w:rsidR="009534AF" w:rsidRPr="009C5EFD" w:rsidRDefault="00E453CD" w:rsidP="00193D76">
      <w:pPr>
        <w:ind w:left="54"/>
        <w:rPr>
          <w:sz w:val="22"/>
          <w:szCs w:val="22"/>
        </w:rPr>
      </w:pPr>
      <w:r w:rsidRPr="009C5EFD">
        <w:rPr>
          <w:sz w:val="22"/>
          <w:szCs w:val="22"/>
        </w:rPr>
        <w:t xml:space="preserve">Hjelpestoffer: </w:t>
      </w:r>
      <w:r w:rsidR="00C86541">
        <w:rPr>
          <w:sz w:val="22"/>
          <w:szCs w:val="22"/>
        </w:rPr>
        <w:t>m</w:t>
      </w:r>
      <w:r w:rsidRPr="009C5EFD">
        <w:rPr>
          <w:sz w:val="22"/>
          <w:szCs w:val="22"/>
        </w:rPr>
        <w:t xml:space="preserve">annitol, </w:t>
      </w:r>
      <w:r w:rsidR="00DB5847" w:rsidRPr="009C5EFD">
        <w:rPr>
          <w:sz w:val="22"/>
          <w:szCs w:val="22"/>
        </w:rPr>
        <w:t>polysorbat</w:t>
      </w:r>
      <w:r w:rsidR="00E80992" w:rsidRPr="009C5EFD">
        <w:rPr>
          <w:sz w:val="22"/>
          <w:szCs w:val="22"/>
        </w:rPr>
        <w:t> </w:t>
      </w:r>
      <w:r w:rsidR="00DB5847" w:rsidRPr="009C5EFD">
        <w:rPr>
          <w:sz w:val="22"/>
          <w:szCs w:val="22"/>
        </w:rPr>
        <w:t>80</w:t>
      </w:r>
      <w:r w:rsidRPr="009C5EFD">
        <w:rPr>
          <w:sz w:val="22"/>
          <w:szCs w:val="22"/>
        </w:rPr>
        <w:t xml:space="preserve"> og vann til injeksjonsvæsker. For ytte</w:t>
      </w:r>
      <w:r w:rsidR="00C7418B">
        <w:rPr>
          <w:sz w:val="22"/>
          <w:szCs w:val="22"/>
        </w:rPr>
        <w:t>r</w:t>
      </w:r>
      <w:r w:rsidRPr="009C5EFD">
        <w:rPr>
          <w:sz w:val="22"/>
          <w:szCs w:val="22"/>
        </w:rPr>
        <w:t>ligere informasjon, se pakningsvedlegget.</w:t>
      </w:r>
    </w:p>
    <w:p w14:paraId="4B63382A" w14:textId="77777777" w:rsidR="009534AF" w:rsidRPr="009C5EFD" w:rsidRDefault="009534AF" w:rsidP="002D0790">
      <w:pPr>
        <w:suppressAutoHyphens/>
        <w:ind w:left="54"/>
        <w:rPr>
          <w:sz w:val="22"/>
          <w:szCs w:val="22"/>
        </w:rPr>
      </w:pPr>
    </w:p>
    <w:p w14:paraId="386E8FFB" w14:textId="77777777" w:rsidR="009534AF" w:rsidRPr="009C5EFD" w:rsidRDefault="009534AF" w:rsidP="00C07C9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6E776F4" w14:textId="77777777" w:rsidTr="009534AF">
        <w:tc>
          <w:tcPr>
            <w:tcW w:w="9281" w:type="dxa"/>
          </w:tcPr>
          <w:p w14:paraId="0496592B" w14:textId="77777777" w:rsidR="009534AF" w:rsidRPr="009C5EFD" w:rsidRDefault="00E453CD" w:rsidP="00E14E58">
            <w:pPr>
              <w:ind w:left="567" w:hanging="567"/>
              <w:rPr>
                <w:b/>
                <w:sz w:val="22"/>
                <w:szCs w:val="22"/>
              </w:rPr>
            </w:pPr>
            <w:r w:rsidRPr="009C5EFD">
              <w:rPr>
                <w:b/>
                <w:sz w:val="22"/>
                <w:szCs w:val="22"/>
              </w:rPr>
              <w:t>4.</w:t>
            </w:r>
            <w:r w:rsidRPr="009C5EFD">
              <w:rPr>
                <w:b/>
                <w:sz w:val="22"/>
                <w:szCs w:val="22"/>
              </w:rPr>
              <w:tab/>
              <w:t>LEGEMIDDELFORM OG INNHOLD (PAKNINGSSTØRRELSE)</w:t>
            </w:r>
          </w:p>
        </w:tc>
      </w:tr>
    </w:tbl>
    <w:p w14:paraId="48CB282F" w14:textId="77777777" w:rsidR="009534AF" w:rsidRPr="009C5EFD" w:rsidRDefault="009534AF" w:rsidP="007F67EE">
      <w:pPr>
        <w:suppressAutoHyphens/>
        <w:ind w:left="54"/>
        <w:rPr>
          <w:sz w:val="22"/>
          <w:szCs w:val="22"/>
        </w:rPr>
      </w:pPr>
    </w:p>
    <w:p w14:paraId="34D18019" w14:textId="77777777" w:rsidR="00373337" w:rsidRDefault="00E453CD" w:rsidP="00193D76">
      <w:pPr>
        <w:suppressAutoHyphens/>
        <w:ind w:left="54"/>
        <w:rPr>
          <w:sz w:val="22"/>
          <w:szCs w:val="22"/>
        </w:rPr>
      </w:pPr>
      <w:r w:rsidRPr="00771F39">
        <w:rPr>
          <w:sz w:val="22"/>
          <w:szCs w:val="22"/>
          <w:highlight w:val="lightGray"/>
        </w:rPr>
        <w:t>Injeksjonsvæske</w:t>
      </w:r>
      <w:r w:rsidR="004B5DF6" w:rsidRPr="00602A37">
        <w:rPr>
          <w:sz w:val="22"/>
          <w:szCs w:val="22"/>
          <w:highlight w:val="lightGray"/>
        </w:rPr>
        <w:t>, oppløsning</w:t>
      </w:r>
    </w:p>
    <w:p w14:paraId="642BFD92" w14:textId="77777777" w:rsidR="009534AF" w:rsidRPr="009C5EFD" w:rsidRDefault="00E453CD" w:rsidP="00193D76">
      <w:pPr>
        <w:suppressAutoHyphens/>
        <w:ind w:left="54"/>
        <w:rPr>
          <w:sz w:val="22"/>
          <w:szCs w:val="22"/>
        </w:rPr>
      </w:pPr>
      <w:r w:rsidRPr="009C5EFD">
        <w:rPr>
          <w:sz w:val="22"/>
          <w:szCs w:val="22"/>
        </w:rPr>
        <w:t>1 ferdi</w:t>
      </w:r>
      <w:r w:rsidR="00AE4826" w:rsidRPr="009C5EFD">
        <w:rPr>
          <w:sz w:val="22"/>
          <w:szCs w:val="22"/>
        </w:rPr>
        <w:t>gfylt sprøyte</w:t>
      </w:r>
    </w:p>
    <w:p w14:paraId="06ABB69D" w14:textId="77777777" w:rsidR="009534AF" w:rsidRDefault="00E453CD" w:rsidP="002D0790">
      <w:pPr>
        <w:suppressAutoHyphens/>
        <w:ind w:left="54"/>
        <w:rPr>
          <w:sz w:val="22"/>
          <w:szCs w:val="22"/>
        </w:rPr>
      </w:pPr>
      <w:r w:rsidRPr="009C5EFD">
        <w:rPr>
          <w:sz w:val="22"/>
          <w:szCs w:val="22"/>
        </w:rPr>
        <w:t>1 injeksjonstørk</w:t>
      </w:r>
    </w:p>
    <w:p w14:paraId="04896015" w14:textId="77777777" w:rsidR="00373337" w:rsidRDefault="00373337" w:rsidP="002D0790">
      <w:pPr>
        <w:suppressAutoHyphens/>
        <w:ind w:left="54"/>
        <w:rPr>
          <w:sz w:val="22"/>
          <w:szCs w:val="22"/>
        </w:rPr>
      </w:pPr>
    </w:p>
    <w:p w14:paraId="2537BE34" w14:textId="77777777" w:rsidR="00373337" w:rsidRPr="00AB7697" w:rsidRDefault="00E453CD" w:rsidP="00373337">
      <w:pPr>
        <w:suppressAutoHyphens/>
        <w:ind w:left="54"/>
        <w:rPr>
          <w:sz w:val="22"/>
          <w:szCs w:val="22"/>
          <w:highlight w:val="lightGray"/>
        </w:rPr>
      </w:pPr>
      <w:r w:rsidRPr="00AB7697">
        <w:rPr>
          <w:sz w:val="22"/>
          <w:szCs w:val="22"/>
          <w:highlight w:val="lightGray"/>
        </w:rPr>
        <w:t>2 ferdigfylte sprøyter</w:t>
      </w:r>
    </w:p>
    <w:p w14:paraId="668889AF" w14:textId="77777777" w:rsidR="00373337" w:rsidRPr="00AB7697" w:rsidRDefault="00E453CD" w:rsidP="00373337">
      <w:pPr>
        <w:suppressAutoHyphens/>
        <w:ind w:left="54"/>
        <w:rPr>
          <w:sz w:val="22"/>
          <w:szCs w:val="22"/>
          <w:highlight w:val="lightGray"/>
        </w:rPr>
      </w:pPr>
      <w:r w:rsidRPr="00AB7697">
        <w:rPr>
          <w:sz w:val="22"/>
          <w:szCs w:val="22"/>
          <w:highlight w:val="lightGray"/>
        </w:rPr>
        <w:t>2 injeksjonstørk</w:t>
      </w:r>
    </w:p>
    <w:p w14:paraId="1F16F2A4" w14:textId="77777777" w:rsidR="00373337" w:rsidRPr="00AB7697" w:rsidRDefault="00373337" w:rsidP="00373337">
      <w:pPr>
        <w:suppressAutoHyphens/>
        <w:ind w:left="54"/>
        <w:rPr>
          <w:sz w:val="22"/>
          <w:szCs w:val="22"/>
          <w:highlight w:val="lightGray"/>
        </w:rPr>
      </w:pPr>
    </w:p>
    <w:p w14:paraId="4E673EEA" w14:textId="77777777" w:rsidR="00373337" w:rsidRPr="00AB7697" w:rsidRDefault="00E453CD" w:rsidP="00373337">
      <w:pPr>
        <w:suppressAutoHyphens/>
        <w:ind w:left="54"/>
        <w:rPr>
          <w:sz w:val="22"/>
          <w:szCs w:val="22"/>
          <w:highlight w:val="lightGray"/>
        </w:rPr>
      </w:pPr>
      <w:r w:rsidRPr="00AB7697">
        <w:rPr>
          <w:sz w:val="22"/>
          <w:szCs w:val="22"/>
          <w:highlight w:val="lightGray"/>
        </w:rPr>
        <w:t>4 ferdigfylte sprøyter</w:t>
      </w:r>
    </w:p>
    <w:p w14:paraId="69E57FD5" w14:textId="77777777" w:rsidR="00373337" w:rsidRPr="00AB7697" w:rsidRDefault="00E453CD" w:rsidP="00373337">
      <w:pPr>
        <w:suppressAutoHyphens/>
        <w:ind w:left="54"/>
        <w:rPr>
          <w:sz w:val="22"/>
          <w:szCs w:val="22"/>
          <w:highlight w:val="lightGray"/>
        </w:rPr>
      </w:pPr>
      <w:r w:rsidRPr="00AB7697">
        <w:rPr>
          <w:sz w:val="22"/>
          <w:szCs w:val="22"/>
          <w:highlight w:val="lightGray"/>
        </w:rPr>
        <w:t>4 injeksjonstørk</w:t>
      </w:r>
    </w:p>
    <w:p w14:paraId="2465ECA4" w14:textId="77777777" w:rsidR="00373337" w:rsidRPr="00AB7697" w:rsidRDefault="00373337" w:rsidP="00373337">
      <w:pPr>
        <w:suppressAutoHyphens/>
        <w:ind w:left="54"/>
        <w:rPr>
          <w:sz w:val="22"/>
          <w:szCs w:val="22"/>
          <w:highlight w:val="lightGray"/>
        </w:rPr>
      </w:pPr>
    </w:p>
    <w:p w14:paraId="75341662" w14:textId="77777777" w:rsidR="00373337" w:rsidRPr="00AB7697" w:rsidRDefault="00E453CD" w:rsidP="00373337">
      <w:pPr>
        <w:suppressAutoHyphens/>
        <w:ind w:left="54"/>
        <w:rPr>
          <w:sz w:val="22"/>
          <w:szCs w:val="22"/>
          <w:highlight w:val="lightGray"/>
        </w:rPr>
      </w:pPr>
      <w:r w:rsidRPr="00AB7697">
        <w:rPr>
          <w:sz w:val="22"/>
          <w:szCs w:val="22"/>
          <w:highlight w:val="lightGray"/>
        </w:rPr>
        <w:t>6 ferdigfylte sprøyter</w:t>
      </w:r>
    </w:p>
    <w:p w14:paraId="6A4BA064" w14:textId="77777777" w:rsidR="00373337" w:rsidRPr="009C5EFD" w:rsidRDefault="00E453CD" w:rsidP="00373337">
      <w:pPr>
        <w:suppressAutoHyphens/>
        <w:ind w:left="54"/>
        <w:rPr>
          <w:sz w:val="22"/>
          <w:szCs w:val="22"/>
        </w:rPr>
      </w:pPr>
      <w:r w:rsidRPr="00AB7697">
        <w:rPr>
          <w:sz w:val="22"/>
          <w:szCs w:val="22"/>
          <w:highlight w:val="lightGray"/>
        </w:rPr>
        <w:t>6 injeksjonstørk</w:t>
      </w:r>
    </w:p>
    <w:p w14:paraId="725500A8" w14:textId="77777777" w:rsidR="009534AF" w:rsidRPr="009C5EFD" w:rsidRDefault="009534AF" w:rsidP="00C07C98">
      <w:pPr>
        <w:suppressAutoHyphens/>
        <w:ind w:left="54"/>
        <w:rPr>
          <w:sz w:val="22"/>
          <w:szCs w:val="22"/>
        </w:rPr>
      </w:pPr>
    </w:p>
    <w:p w14:paraId="42070F30" w14:textId="77777777" w:rsidR="009534AF" w:rsidRPr="009C5EFD" w:rsidRDefault="009534AF" w:rsidP="00E14E5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95A3E92" w14:textId="77777777" w:rsidTr="009534AF">
        <w:tc>
          <w:tcPr>
            <w:tcW w:w="9281" w:type="dxa"/>
          </w:tcPr>
          <w:p w14:paraId="23DE7C7B" w14:textId="77777777" w:rsidR="009534AF" w:rsidRPr="009C5EFD" w:rsidRDefault="00E453CD" w:rsidP="009C5EFD">
            <w:pPr>
              <w:ind w:left="567" w:hanging="567"/>
              <w:rPr>
                <w:b/>
                <w:sz w:val="22"/>
                <w:szCs w:val="22"/>
              </w:rPr>
            </w:pPr>
            <w:r w:rsidRPr="009C5EFD">
              <w:rPr>
                <w:b/>
                <w:sz w:val="22"/>
                <w:szCs w:val="22"/>
              </w:rPr>
              <w:t>5.</w:t>
            </w:r>
            <w:r w:rsidRPr="009C5EFD">
              <w:rPr>
                <w:b/>
                <w:sz w:val="22"/>
                <w:szCs w:val="22"/>
              </w:rPr>
              <w:tab/>
              <w:t xml:space="preserve">ADMINISTRASJONSMÅTE OG </w:t>
            </w:r>
            <w:r w:rsidR="0050174A">
              <w:rPr>
                <w:b/>
                <w:sz w:val="22"/>
                <w:szCs w:val="22"/>
              </w:rPr>
              <w:t>-</w:t>
            </w:r>
            <w:r w:rsidR="0050174A" w:rsidRPr="009C5EFD">
              <w:rPr>
                <w:b/>
                <w:sz w:val="22"/>
                <w:szCs w:val="22"/>
              </w:rPr>
              <w:t>VEI</w:t>
            </w:r>
          </w:p>
        </w:tc>
      </w:tr>
    </w:tbl>
    <w:p w14:paraId="061F303F" w14:textId="77777777" w:rsidR="009534AF" w:rsidRPr="009C5EFD" w:rsidRDefault="009534AF" w:rsidP="007F67EE">
      <w:pPr>
        <w:suppressAutoHyphens/>
        <w:ind w:left="54"/>
        <w:rPr>
          <w:sz w:val="22"/>
          <w:szCs w:val="22"/>
        </w:rPr>
      </w:pPr>
    </w:p>
    <w:p w14:paraId="758AA61E" w14:textId="77777777" w:rsidR="009534AF" w:rsidRPr="009C5EFD" w:rsidRDefault="00E453CD" w:rsidP="00193D76">
      <w:pPr>
        <w:suppressAutoHyphens/>
        <w:ind w:left="54"/>
        <w:rPr>
          <w:sz w:val="22"/>
          <w:szCs w:val="22"/>
        </w:rPr>
      </w:pPr>
      <w:r w:rsidRPr="009C5EFD">
        <w:rPr>
          <w:sz w:val="22"/>
          <w:szCs w:val="22"/>
        </w:rPr>
        <w:t>Subkutan bruk</w:t>
      </w:r>
    </w:p>
    <w:p w14:paraId="6313C6CE" w14:textId="77777777" w:rsidR="009534AF" w:rsidRPr="009C5EFD" w:rsidRDefault="009534AF" w:rsidP="002D0790">
      <w:pPr>
        <w:suppressAutoHyphens/>
        <w:ind w:left="54"/>
        <w:rPr>
          <w:sz w:val="22"/>
          <w:szCs w:val="22"/>
        </w:rPr>
      </w:pPr>
    </w:p>
    <w:p w14:paraId="08BEBB0F" w14:textId="77777777" w:rsidR="009534AF" w:rsidRDefault="00E453CD" w:rsidP="00C07C98">
      <w:pPr>
        <w:suppressAutoHyphens/>
        <w:ind w:left="54"/>
        <w:rPr>
          <w:sz w:val="22"/>
          <w:szCs w:val="22"/>
        </w:rPr>
      </w:pPr>
      <w:r w:rsidRPr="009C5EFD">
        <w:rPr>
          <w:sz w:val="22"/>
          <w:szCs w:val="22"/>
        </w:rPr>
        <w:t>Les pakningsvedlegget før bruk.</w:t>
      </w:r>
    </w:p>
    <w:p w14:paraId="181AE958" w14:textId="77777777" w:rsidR="00373337" w:rsidRDefault="00373337" w:rsidP="00C07C98">
      <w:pPr>
        <w:suppressAutoHyphens/>
        <w:ind w:left="54"/>
        <w:rPr>
          <w:sz w:val="22"/>
          <w:szCs w:val="22"/>
        </w:rPr>
      </w:pPr>
    </w:p>
    <w:p w14:paraId="5B76A5F7" w14:textId="77777777" w:rsidR="00373337" w:rsidRPr="009C5EFD" w:rsidRDefault="00E453CD" w:rsidP="00373337">
      <w:pPr>
        <w:suppressAutoHyphens/>
        <w:ind w:left="54"/>
        <w:rPr>
          <w:sz w:val="22"/>
          <w:szCs w:val="22"/>
        </w:rPr>
      </w:pPr>
      <w:r w:rsidRPr="009C5EFD">
        <w:rPr>
          <w:sz w:val="22"/>
          <w:szCs w:val="22"/>
        </w:rPr>
        <w:t>Kun til engangsbruk.</w:t>
      </w:r>
    </w:p>
    <w:p w14:paraId="71C9DC21" w14:textId="77777777" w:rsidR="009534AF" w:rsidRPr="009C5EFD" w:rsidRDefault="009534AF" w:rsidP="00E14E58">
      <w:pPr>
        <w:suppressAutoHyphens/>
        <w:ind w:left="54"/>
        <w:rPr>
          <w:sz w:val="22"/>
          <w:szCs w:val="22"/>
        </w:rPr>
      </w:pPr>
    </w:p>
    <w:p w14:paraId="680ED14D" w14:textId="77777777" w:rsidR="009534AF" w:rsidRPr="009C5EFD" w:rsidRDefault="009534AF" w:rsidP="009C5EFD">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7CDE906" w14:textId="77777777" w:rsidTr="009534AF">
        <w:tc>
          <w:tcPr>
            <w:tcW w:w="9281" w:type="dxa"/>
          </w:tcPr>
          <w:p w14:paraId="1B8065CB" w14:textId="77777777" w:rsidR="009534AF" w:rsidRPr="009C5EFD" w:rsidRDefault="00E453CD" w:rsidP="009C5EFD">
            <w:pPr>
              <w:ind w:left="567" w:hanging="567"/>
              <w:rPr>
                <w:b/>
                <w:sz w:val="22"/>
                <w:szCs w:val="22"/>
              </w:rPr>
            </w:pPr>
            <w:r w:rsidRPr="009C5EFD">
              <w:rPr>
                <w:b/>
                <w:sz w:val="22"/>
                <w:szCs w:val="22"/>
              </w:rPr>
              <w:t>6.</w:t>
            </w:r>
            <w:r w:rsidRPr="009C5EFD">
              <w:rPr>
                <w:b/>
                <w:sz w:val="22"/>
                <w:szCs w:val="22"/>
              </w:rPr>
              <w:tab/>
              <w:t>ADVARSEL OM AT LEGEMIDLET SKAL OPPBEVARES UTILGJENGELIG FOR BARN</w:t>
            </w:r>
          </w:p>
        </w:tc>
      </w:tr>
    </w:tbl>
    <w:p w14:paraId="21716193" w14:textId="77777777" w:rsidR="009534AF" w:rsidRPr="009C5EFD" w:rsidRDefault="009534AF" w:rsidP="007F67EE">
      <w:pPr>
        <w:suppressAutoHyphens/>
        <w:ind w:left="54"/>
        <w:rPr>
          <w:sz w:val="22"/>
          <w:szCs w:val="22"/>
        </w:rPr>
      </w:pPr>
    </w:p>
    <w:p w14:paraId="15B90871" w14:textId="77777777" w:rsidR="009534AF" w:rsidRPr="009C5EFD" w:rsidRDefault="00E453CD" w:rsidP="00193D76">
      <w:pPr>
        <w:suppressAutoHyphens/>
        <w:ind w:left="54"/>
        <w:rPr>
          <w:sz w:val="22"/>
          <w:szCs w:val="22"/>
        </w:rPr>
      </w:pPr>
      <w:r w:rsidRPr="009C5EFD">
        <w:rPr>
          <w:sz w:val="22"/>
          <w:szCs w:val="22"/>
        </w:rPr>
        <w:t>Oppbevares utilgjengelig for barn.</w:t>
      </w:r>
    </w:p>
    <w:p w14:paraId="768587D3" w14:textId="77777777" w:rsidR="009534AF" w:rsidRPr="009C5EFD" w:rsidRDefault="009534AF" w:rsidP="002D0790">
      <w:pPr>
        <w:suppressAutoHyphens/>
        <w:ind w:left="54"/>
        <w:rPr>
          <w:sz w:val="22"/>
          <w:szCs w:val="22"/>
        </w:rPr>
      </w:pPr>
    </w:p>
    <w:p w14:paraId="7BB8B35E" w14:textId="77777777" w:rsidR="009534AF" w:rsidRPr="009C5EFD" w:rsidRDefault="009534AF" w:rsidP="00C07C9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591E0C2" w14:textId="77777777" w:rsidTr="009534AF">
        <w:tc>
          <w:tcPr>
            <w:tcW w:w="9281" w:type="dxa"/>
          </w:tcPr>
          <w:p w14:paraId="77C617F4" w14:textId="77777777" w:rsidR="009534AF" w:rsidRPr="009C5EFD" w:rsidRDefault="00E453CD" w:rsidP="00E14E58">
            <w:pPr>
              <w:ind w:left="567" w:hanging="567"/>
              <w:rPr>
                <w:b/>
                <w:sz w:val="22"/>
                <w:szCs w:val="22"/>
              </w:rPr>
            </w:pPr>
            <w:r w:rsidRPr="009C5EFD">
              <w:rPr>
                <w:b/>
                <w:sz w:val="22"/>
                <w:szCs w:val="22"/>
              </w:rPr>
              <w:t>7.</w:t>
            </w:r>
            <w:r w:rsidRPr="009C5EFD">
              <w:rPr>
                <w:b/>
                <w:sz w:val="22"/>
                <w:szCs w:val="22"/>
              </w:rPr>
              <w:tab/>
              <w:t>EVENTUELLE ANDRE SPESIELLE ADVARSLER</w:t>
            </w:r>
          </w:p>
        </w:tc>
      </w:tr>
    </w:tbl>
    <w:p w14:paraId="4868225B" w14:textId="77777777" w:rsidR="009534AF" w:rsidRPr="009C5EFD" w:rsidRDefault="009534AF" w:rsidP="007F67EE">
      <w:pPr>
        <w:suppressAutoHyphens/>
        <w:ind w:left="54"/>
        <w:rPr>
          <w:sz w:val="22"/>
          <w:szCs w:val="22"/>
        </w:rPr>
      </w:pPr>
    </w:p>
    <w:p w14:paraId="5DFAD985" w14:textId="77777777" w:rsidR="009534AF" w:rsidRPr="009C5EFD" w:rsidRDefault="009534AF" w:rsidP="00C07C9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7A98FA2" w14:textId="77777777" w:rsidTr="009534AF">
        <w:tc>
          <w:tcPr>
            <w:tcW w:w="9281" w:type="dxa"/>
          </w:tcPr>
          <w:p w14:paraId="7B77A2B2" w14:textId="77777777" w:rsidR="009534AF" w:rsidRPr="009C5EFD" w:rsidRDefault="00E453CD" w:rsidP="00E14E58">
            <w:pPr>
              <w:ind w:left="567" w:hanging="567"/>
              <w:rPr>
                <w:b/>
                <w:sz w:val="22"/>
                <w:szCs w:val="22"/>
              </w:rPr>
            </w:pPr>
            <w:r w:rsidRPr="009C5EFD">
              <w:rPr>
                <w:b/>
                <w:sz w:val="22"/>
                <w:szCs w:val="22"/>
              </w:rPr>
              <w:t>8.</w:t>
            </w:r>
            <w:r w:rsidRPr="009C5EFD">
              <w:rPr>
                <w:b/>
                <w:sz w:val="22"/>
                <w:szCs w:val="22"/>
              </w:rPr>
              <w:tab/>
              <w:t>UTLØPSDATO</w:t>
            </w:r>
          </w:p>
        </w:tc>
      </w:tr>
    </w:tbl>
    <w:p w14:paraId="7EF81530" w14:textId="77777777" w:rsidR="009534AF" w:rsidRPr="009C5EFD" w:rsidRDefault="009534AF" w:rsidP="007F67EE">
      <w:pPr>
        <w:suppressAutoHyphens/>
        <w:ind w:left="621" w:hanging="567"/>
        <w:rPr>
          <w:sz w:val="22"/>
          <w:szCs w:val="22"/>
        </w:rPr>
      </w:pPr>
    </w:p>
    <w:p w14:paraId="0E51BC64" w14:textId="77777777" w:rsidR="009534AF" w:rsidRPr="009C5EFD" w:rsidRDefault="00E453CD" w:rsidP="00193D76">
      <w:pPr>
        <w:suppressAutoHyphens/>
        <w:ind w:left="54"/>
        <w:rPr>
          <w:sz w:val="22"/>
          <w:szCs w:val="22"/>
        </w:rPr>
      </w:pPr>
      <w:r>
        <w:rPr>
          <w:sz w:val="22"/>
          <w:szCs w:val="22"/>
        </w:rPr>
        <w:t>EXP</w:t>
      </w:r>
    </w:p>
    <w:p w14:paraId="70B4F5CF" w14:textId="77777777" w:rsidR="009534AF" w:rsidRDefault="009534AF" w:rsidP="002D0790">
      <w:pPr>
        <w:ind w:left="54"/>
        <w:rPr>
          <w:sz w:val="22"/>
          <w:szCs w:val="22"/>
        </w:rPr>
      </w:pPr>
    </w:p>
    <w:p w14:paraId="6946E9DA" w14:textId="77777777" w:rsidR="00450F58" w:rsidRPr="009C5EFD" w:rsidRDefault="00450F58" w:rsidP="002D0790">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965C625" w14:textId="77777777" w:rsidTr="009534AF">
        <w:tc>
          <w:tcPr>
            <w:tcW w:w="9281" w:type="dxa"/>
          </w:tcPr>
          <w:p w14:paraId="60864083" w14:textId="77777777" w:rsidR="009534AF" w:rsidRPr="009C5EFD" w:rsidRDefault="00E453CD" w:rsidP="005A1DEF">
            <w:pPr>
              <w:keepNext/>
              <w:ind w:left="567" w:hanging="567"/>
              <w:rPr>
                <w:b/>
                <w:sz w:val="22"/>
                <w:szCs w:val="22"/>
              </w:rPr>
            </w:pPr>
            <w:r w:rsidRPr="009C5EFD">
              <w:br w:type="page"/>
            </w:r>
            <w:r w:rsidRPr="009C5EFD">
              <w:rPr>
                <w:b/>
                <w:sz w:val="22"/>
                <w:szCs w:val="22"/>
              </w:rPr>
              <w:t>9.</w:t>
            </w:r>
            <w:r w:rsidRPr="009C5EFD">
              <w:rPr>
                <w:b/>
                <w:sz w:val="22"/>
                <w:szCs w:val="22"/>
              </w:rPr>
              <w:tab/>
              <w:t>OPPBEVARINGSBETINGELSER</w:t>
            </w:r>
          </w:p>
        </w:tc>
      </w:tr>
    </w:tbl>
    <w:p w14:paraId="706F4A23" w14:textId="77777777" w:rsidR="009534AF" w:rsidRPr="009C5EFD" w:rsidRDefault="009534AF" w:rsidP="005A1DEF">
      <w:pPr>
        <w:keepNext/>
        <w:suppressAutoHyphens/>
        <w:ind w:left="54"/>
        <w:rPr>
          <w:sz w:val="22"/>
          <w:szCs w:val="22"/>
        </w:rPr>
      </w:pPr>
    </w:p>
    <w:p w14:paraId="787C129A" w14:textId="77777777" w:rsidR="009534AF" w:rsidRPr="009C5EFD" w:rsidRDefault="00E453CD" w:rsidP="005A1DEF">
      <w:pPr>
        <w:keepNext/>
        <w:suppressAutoHyphens/>
        <w:ind w:left="54"/>
        <w:rPr>
          <w:sz w:val="22"/>
          <w:szCs w:val="22"/>
        </w:rPr>
      </w:pPr>
      <w:r w:rsidRPr="009C5EFD">
        <w:rPr>
          <w:sz w:val="22"/>
          <w:szCs w:val="22"/>
        </w:rPr>
        <w:t>Oppbevares i kjøleskap.</w:t>
      </w:r>
      <w:r w:rsidR="00373337">
        <w:rPr>
          <w:sz w:val="22"/>
          <w:szCs w:val="22"/>
        </w:rPr>
        <w:t xml:space="preserve"> </w:t>
      </w:r>
      <w:r w:rsidRPr="009C5EFD">
        <w:rPr>
          <w:sz w:val="22"/>
          <w:szCs w:val="22"/>
        </w:rPr>
        <w:t>Skal ikke fryses.</w:t>
      </w:r>
    </w:p>
    <w:p w14:paraId="4AE2A1BE" w14:textId="77777777" w:rsidR="009534AF" w:rsidRPr="009C5EFD" w:rsidRDefault="00E453CD" w:rsidP="005A1DEF">
      <w:pPr>
        <w:keepNext/>
        <w:suppressAutoHyphens/>
        <w:ind w:left="54"/>
        <w:rPr>
          <w:sz w:val="22"/>
          <w:szCs w:val="22"/>
        </w:rPr>
      </w:pPr>
      <w:r w:rsidRPr="009C5EFD">
        <w:rPr>
          <w:sz w:val="22"/>
          <w:szCs w:val="22"/>
        </w:rPr>
        <w:t>Se pakningsvedlegg for alternative oppbevaringsbetingelser.</w:t>
      </w:r>
    </w:p>
    <w:p w14:paraId="7363E357" w14:textId="77777777" w:rsidR="009534AF" w:rsidRPr="009C5EFD" w:rsidRDefault="00E453CD" w:rsidP="005A1DEF">
      <w:pPr>
        <w:keepNext/>
        <w:suppressAutoHyphens/>
        <w:ind w:left="54"/>
        <w:rPr>
          <w:sz w:val="22"/>
          <w:szCs w:val="22"/>
        </w:rPr>
      </w:pPr>
      <w:r w:rsidRPr="009C5EFD">
        <w:rPr>
          <w:sz w:val="22"/>
          <w:szCs w:val="22"/>
        </w:rPr>
        <w:t>Sprøyten oppbevares i ytterkartongen for å beskytte mot lys.</w:t>
      </w:r>
    </w:p>
    <w:p w14:paraId="5A158155" w14:textId="77777777" w:rsidR="009534AF" w:rsidRPr="009C5EFD" w:rsidRDefault="009534AF" w:rsidP="005A1DEF">
      <w:pPr>
        <w:keepNext/>
        <w:suppressAutoHyphens/>
        <w:ind w:left="54"/>
        <w:rPr>
          <w:sz w:val="22"/>
          <w:szCs w:val="22"/>
        </w:rPr>
      </w:pPr>
    </w:p>
    <w:p w14:paraId="060F761F" w14:textId="77777777" w:rsidR="009534AF" w:rsidRPr="009C5EFD" w:rsidRDefault="009534AF" w:rsidP="005A1DEF">
      <w:pPr>
        <w:keepNext/>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77A7CD8" w14:textId="77777777" w:rsidTr="009534AF">
        <w:tc>
          <w:tcPr>
            <w:tcW w:w="9281" w:type="dxa"/>
          </w:tcPr>
          <w:p w14:paraId="1A332761" w14:textId="77777777" w:rsidR="009534AF" w:rsidRPr="009C5EFD" w:rsidRDefault="00E453CD" w:rsidP="009C5EFD">
            <w:pPr>
              <w:ind w:left="567" w:hanging="567"/>
              <w:rPr>
                <w:b/>
                <w:sz w:val="22"/>
                <w:szCs w:val="22"/>
              </w:rPr>
            </w:pPr>
            <w:r w:rsidRPr="009C5EFD">
              <w:rPr>
                <w:b/>
                <w:sz w:val="22"/>
                <w:szCs w:val="22"/>
              </w:rPr>
              <w:t>10.</w:t>
            </w:r>
            <w:r w:rsidRPr="009C5EFD">
              <w:rPr>
                <w:b/>
                <w:sz w:val="22"/>
                <w:szCs w:val="22"/>
              </w:rPr>
              <w:tab/>
              <w:t>EVENTUELLE SPESIELLE FORHOLDSREGLER VED DESTRUKSJON AV UBRUKTE LEGEMIDLER ELLER AVFALL</w:t>
            </w:r>
          </w:p>
        </w:tc>
      </w:tr>
    </w:tbl>
    <w:p w14:paraId="711444AE" w14:textId="77777777" w:rsidR="009534AF" w:rsidRPr="009C5EFD" w:rsidRDefault="009534AF" w:rsidP="007F67EE">
      <w:pPr>
        <w:suppressAutoHyphens/>
        <w:ind w:left="54"/>
        <w:rPr>
          <w:sz w:val="22"/>
          <w:szCs w:val="22"/>
        </w:rPr>
      </w:pPr>
    </w:p>
    <w:p w14:paraId="319BBBBA" w14:textId="77777777" w:rsidR="009534AF" w:rsidRPr="009C5EFD" w:rsidRDefault="009534AF" w:rsidP="00193D76">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28DBA06" w14:textId="77777777" w:rsidTr="009534AF">
        <w:tc>
          <w:tcPr>
            <w:tcW w:w="9281" w:type="dxa"/>
          </w:tcPr>
          <w:p w14:paraId="3E7D936E" w14:textId="77777777" w:rsidR="009534AF" w:rsidRPr="009C5EFD" w:rsidRDefault="00E453CD" w:rsidP="002D0790">
            <w:pPr>
              <w:ind w:left="567" w:hanging="567"/>
              <w:rPr>
                <w:b/>
                <w:sz w:val="22"/>
                <w:szCs w:val="22"/>
              </w:rPr>
            </w:pPr>
            <w:r w:rsidRPr="009C5EFD">
              <w:rPr>
                <w:b/>
                <w:sz w:val="22"/>
                <w:szCs w:val="22"/>
              </w:rPr>
              <w:t>11.</w:t>
            </w:r>
            <w:r w:rsidRPr="009C5EFD">
              <w:rPr>
                <w:b/>
                <w:sz w:val="22"/>
                <w:szCs w:val="22"/>
              </w:rPr>
              <w:tab/>
              <w:t>NAVN OG ADRESSE PÅ INNEHAVEREN AV MARKEDSFØRINGSTILLATELSEN</w:t>
            </w:r>
          </w:p>
        </w:tc>
      </w:tr>
    </w:tbl>
    <w:p w14:paraId="42267AEE" w14:textId="77777777" w:rsidR="009534AF" w:rsidRPr="009C5EFD" w:rsidRDefault="009534AF" w:rsidP="007F67EE">
      <w:pPr>
        <w:suppressAutoHyphens/>
        <w:ind w:left="54"/>
        <w:rPr>
          <w:sz w:val="22"/>
          <w:szCs w:val="22"/>
        </w:rPr>
      </w:pPr>
    </w:p>
    <w:p w14:paraId="5946D4F3" w14:textId="77777777" w:rsidR="00DD76CF" w:rsidRPr="00EF12DF" w:rsidRDefault="00E453CD" w:rsidP="00DD76CF">
      <w:pPr>
        <w:rPr>
          <w:sz w:val="22"/>
          <w:szCs w:val="22"/>
        </w:rPr>
      </w:pPr>
      <w:r w:rsidRPr="00EF12DF">
        <w:rPr>
          <w:sz w:val="22"/>
          <w:szCs w:val="22"/>
        </w:rPr>
        <w:t>AbbVie Deutschland GmbH &amp; Co. KG</w:t>
      </w:r>
    </w:p>
    <w:p w14:paraId="0D645BFA" w14:textId="77777777" w:rsidR="00DD76CF" w:rsidRPr="00EF12DF" w:rsidRDefault="00E453CD" w:rsidP="00DD76CF">
      <w:pPr>
        <w:rPr>
          <w:sz w:val="22"/>
          <w:szCs w:val="22"/>
        </w:rPr>
      </w:pPr>
      <w:r w:rsidRPr="00EF12DF">
        <w:rPr>
          <w:sz w:val="22"/>
          <w:szCs w:val="22"/>
        </w:rPr>
        <w:t>Knollstrasse</w:t>
      </w:r>
    </w:p>
    <w:p w14:paraId="5E29364C" w14:textId="77777777" w:rsidR="00DD76CF" w:rsidRPr="00EF12DF" w:rsidRDefault="00E453CD" w:rsidP="00DD76CF">
      <w:pPr>
        <w:rPr>
          <w:sz w:val="22"/>
          <w:szCs w:val="22"/>
        </w:rPr>
      </w:pPr>
      <w:r w:rsidRPr="00EF12DF">
        <w:rPr>
          <w:sz w:val="22"/>
          <w:szCs w:val="22"/>
        </w:rPr>
        <w:t>67061 Ludwigshafen</w:t>
      </w:r>
    </w:p>
    <w:p w14:paraId="6E14EF74" w14:textId="77777777" w:rsidR="00DD76CF" w:rsidRPr="009C5EFD" w:rsidRDefault="00E453CD" w:rsidP="00DD76CF">
      <w:pPr>
        <w:rPr>
          <w:sz w:val="22"/>
          <w:szCs w:val="22"/>
        </w:rPr>
      </w:pPr>
      <w:r>
        <w:rPr>
          <w:sz w:val="22"/>
          <w:szCs w:val="22"/>
        </w:rPr>
        <w:t>Tyskland</w:t>
      </w:r>
    </w:p>
    <w:p w14:paraId="343319EC" w14:textId="77777777" w:rsidR="009534AF" w:rsidRPr="003F000C" w:rsidRDefault="009534AF" w:rsidP="009C5EFD">
      <w:pPr>
        <w:suppressAutoHyphens/>
        <w:rPr>
          <w:sz w:val="22"/>
          <w:szCs w:val="22"/>
          <w:lang w:val="sv-SE"/>
        </w:rPr>
      </w:pPr>
    </w:p>
    <w:p w14:paraId="2776320D" w14:textId="77777777" w:rsidR="009534AF" w:rsidRPr="003F000C" w:rsidRDefault="009534AF" w:rsidP="009C5EFD">
      <w:pPr>
        <w:suppressAutoHyphens/>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B8DC600" w14:textId="77777777" w:rsidTr="00506C98">
        <w:tc>
          <w:tcPr>
            <w:tcW w:w="9281" w:type="dxa"/>
          </w:tcPr>
          <w:p w14:paraId="7C6AE2DA" w14:textId="77777777" w:rsidR="00730B89" w:rsidRPr="009C5EFD" w:rsidRDefault="00E453CD" w:rsidP="00506C98">
            <w:pPr>
              <w:ind w:left="567" w:hanging="567"/>
              <w:rPr>
                <w:b/>
                <w:sz w:val="22"/>
                <w:szCs w:val="22"/>
              </w:rPr>
            </w:pPr>
            <w:r w:rsidRPr="009C5EFD">
              <w:rPr>
                <w:b/>
                <w:sz w:val="22"/>
                <w:szCs w:val="22"/>
              </w:rPr>
              <w:t>12.</w:t>
            </w:r>
            <w:r w:rsidRPr="009C5EFD">
              <w:rPr>
                <w:b/>
                <w:sz w:val="22"/>
                <w:szCs w:val="22"/>
              </w:rPr>
              <w:tab/>
              <w:t>MARKEDSFØRINGSTILLATELSESNUMMER (NUMRE)</w:t>
            </w:r>
          </w:p>
        </w:tc>
      </w:tr>
    </w:tbl>
    <w:p w14:paraId="78F1AAC4" w14:textId="77777777" w:rsidR="009534AF" w:rsidRPr="009C5EFD" w:rsidRDefault="009534AF" w:rsidP="007F67EE">
      <w:pPr>
        <w:suppressAutoHyphens/>
        <w:ind w:left="54"/>
        <w:rPr>
          <w:sz w:val="22"/>
          <w:szCs w:val="22"/>
        </w:rPr>
      </w:pPr>
    </w:p>
    <w:p w14:paraId="6A3106F4" w14:textId="77777777" w:rsidR="009534AF" w:rsidRDefault="00E453CD" w:rsidP="00193D76">
      <w:pPr>
        <w:suppressAutoHyphens/>
        <w:ind w:left="482" w:hanging="425"/>
        <w:rPr>
          <w:sz w:val="22"/>
          <w:szCs w:val="22"/>
        </w:rPr>
      </w:pPr>
      <w:r w:rsidRPr="009C5EFD">
        <w:rPr>
          <w:sz w:val="22"/>
          <w:szCs w:val="22"/>
        </w:rPr>
        <w:t>EU/1/03/256/</w:t>
      </w:r>
      <w:r w:rsidR="00C07C98">
        <w:rPr>
          <w:sz w:val="22"/>
          <w:szCs w:val="22"/>
        </w:rPr>
        <w:t>012</w:t>
      </w:r>
    </w:p>
    <w:p w14:paraId="75E4B241" w14:textId="77777777" w:rsidR="00373337" w:rsidRPr="00AB7697" w:rsidRDefault="00E453CD" w:rsidP="00193D76">
      <w:pPr>
        <w:suppressAutoHyphens/>
        <w:ind w:left="482" w:hanging="425"/>
        <w:rPr>
          <w:sz w:val="22"/>
          <w:szCs w:val="22"/>
          <w:highlight w:val="lightGray"/>
        </w:rPr>
      </w:pPr>
      <w:r w:rsidRPr="00AB7697">
        <w:rPr>
          <w:sz w:val="22"/>
          <w:szCs w:val="22"/>
          <w:highlight w:val="lightGray"/>
        </w:rPr>
        <w:t>EU/1/03/256/013</w:t>
      </w:r>
    </w:p>
    <w:p w14:paraId="61974BDE" w14:textId="77777777" w:rsidR="00373337" w:rsidRPr="00AB7697" w:rsidRDefault="00E453CD" w:rsidP="00193D76">
      <w:pPr>
        <w:suppressAutoHyphens/>
        <w:ind w:left="482" w:hanging="425"/>
        <w:rPr>
          <w:sz w:val="22"/>
          <w:szCs w:val="22"/>
          <w:highlight w:val="lightGray"/>
        </w:rPr>
      </w:pPr>
      <w:r w:rsidRPr="00AB7697">
        <w:rPr>
          <w:sz w:val="22"/>
          <w:szCs w:val="22"/>
          <w:highlight w:val="lightGray"/>
        </w:rPr>
        <w:t>EU/1/03/256/014</w:t>
      </w:r>
    </w:p>
    <w:p w14:paraId="04465EFD" w14:textId="77777777" w:rsidR="00373337" w:rsidRPr="00C07C98" w:rsidRDefault="00E453CD" w:rsidP="00193D76">
      <w:pPr>
        <w:suppressAutoHyphens/>
        <w:ind w:left="482" w:hanging="425"/>
        <w:rPr>
          <w:sz w:val="22"/>
          <w:szCs w:val="22"/>
        </w:rPr>
      </w:pPr>
      <w:r w:rsidRPr="00AB7697">
        <w:rPr>
          <w:sz w:val="22"/>
          <w:szCs w:val="22"/>
          <w:highlight w:val="lightGray"/>
        </w:rPr>
        <w:t>EU/1/03/256/015</w:t>
      </w:r>
    </w:p>
    <w:p w14:paraId="1AB6D380" w14:textId="77777777" w:rsidR="009534AF" w:rsidRPr="00E14E58" w:rsidRDefault="009534AF" w:rsidP="002D0790">
      <w:pPr>
        <w:ind w:left="54"/>
        <w:rPr>
          <w:sz w:val="22"/>
          <w:szCs w:val="22"/>
        </w:rPr>
      </w:pPr>
    </w:p>
    <w:p w14:paraId="72DC82D4" w14:textId="77777777" w:rsidR="009534AF" w:rsidRPr="009C5EFD" w:rsidRDefault="009534AF" w:rsidP="00C07C98">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814C022" w14:textId="77777777" w:rsidTr="009534AF">
        <w:tc>
          <w:tcPr>
            <w:tcW w:w="9281" w:type="dxa"/>
          </w:tcPr>
          <w:p w14:paraId="1093FB1A" w14:textId="77777777" w:rsidR="009534AF" w:rsidRPr="009C5EFD" w:rsidRDefault="00E453CD" w:rsidP="00E14E58">
            <w:pPr>
              <w:ind w:left="567" w:hanging="567"/>
              <w:rPr>
                <w:b/>
                <w:sz w:val="22"/>
                <w:szCs w:val="22"/>
              </w:rPr>
            </w:pPr>
            <w:r w:rsidRPr="009C5EFD">
              <w:rPr>
                <w:b/>
                <w:sz w:val="22"/>
                <w:szCs w:val="22"/>
              </w:rPr>
              <w:t>13.</w:t>
            </w:r>
            <w:r w:rsidRPr="009C5EFD">
              <w:rPr>
                <w:b/>
                <w:sz w:val="22"/>
                <w:szCs w:val="22"/>
              </w:rPr>
              <w:tab/>
              <w:t>PRODUKSJONSNUMMER</w:t>
            </w:r>
          </w:p>
        </w:tc>
      </w:tr>
    </w:tbl>
    <w:p w14:paraId="6F1B87DB" w14:textId="77777777" w:rsidR="009534AF" w:rsidRPr="009C5EFD" w:rsidRDefault="009534AF" w:rsidP="007F67EE">
      <w:pPr>
        <w:ind w:left="54"/>
        <w:rPr>
          <w:sz w:val="22"/>
          <w:szCs w:val="22"/>
        </w:rPr>
      </w:pPr>
    </w:p>
    <w:p w14:paraId="0E37BC8C" w14:textId="77777777" w:rsidR="009534AF" w:rsidRPr="009C5EFD" w:rsidRDefault="00E453CD" w:rsidP="00193D76">
      <w:pPr>
        <w:ind w:left="57"/>
        <w:rPr>
          <w:sz w:val="22"/>
          <w:szCs w:val="22"/>
        </w:rPr>
      </w:pPr>
      <w:r w:rsidRPr="009C5EFD">
        <w:rPr>
          <w:sz w:val="22"/>
          <w:szCs w:val="22"/>
        </w:rPr>
        <w:t>Lot</w:t>
      </w:r>
    </w:p>
    <w:p w14:paraId="0B48EE33" w14:textId="77777777" w:rsidR="009534AF" w:rsidRPr="009C5EFD" w:rsidRDefault="009534AF" w:rsidP="002D0790">
      <w:pPr>
        <w:ind w:left="54"/>
        <w:rPr>
          <w:sz w:val="22"/>
          <w:szCs w:val="22"/>
        </w:rPr>
      </w:pPr>
    </w:p>
    <w:p w14:paraId="07E6DBDE" w14:textId="77777777" w:rsidR="009534AF" w:rsidRPr="009C5EFD" w:rsidRDefault="009534AF" w:rsidP="00C07C98">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8C48E6E" w14:textId="77777777" w:rsidTr="009534AF">
        <w:tc>
          <w:tcPr>
            <w:tcW w:w="9281" w:type="dxa"/>
          </w:tcPr>
          <w:p w14:paraId="3E8D961C" w14:textId="77777777" w:rsidR="009534AF" w:rsidRPr="009C5EFD" w:rsidRDefault="00E453CD" w:rsidP="00E14E58">
            <w:pPr>
              <w:ind w:left="567" w:hanging="567"/>
              <w:rPr>
                <w:b/>
                <w:sz w:val="22"/>
                <w:szCs w:val="22"/>
              </w:rPr>
            </w:pPr>
            <w:r w:rsidRPr="009C5EFD">
              <w:rPr>
                <w:b/>
                <w:sz w:val="22"/>
                <w:szCs w:val="22"/>
              </w:rPr>
              <w:t>14.</w:t>
            </w:r>
            <w:r w:rsidRPr="009C5EFD">
              <w:rPr>
                <w:b/>
                <w:sz w:val="22"/>
                <w:szCs w:val="22"/>
              </w:rPr>
              <w:tab/>
              <w:t>GENERELL KLASSIFIKASJON FOR UTLEVERING</w:t>
            </w:r>
          </w:p>
        </w:tc>
      </w:tr>
    </w:tbl>
    <w:p w14:paraId="0798FF23" w14:textId="77777777" w:rsidR="009534AF" w:rsidRPr="009C5EFD" w:rsidRDefault="009534AF" w:rsidP="002D0790">
      <w:pPr>
        <w:suppressAutoHyphens/>
        <w:ind w:left="774" w:hanging="720"/>
        <w:rPr>
          <w:sz w:val="22"/>
          <w:szCs w:val="22"/>
        </w:rPr>
      </w:pPr>
    </w:p>
    <w:p w14:paraId="138087C8" w14:textId="77777777" w:rsidR="009534AF" w:rsidRPr="009C5EFD" w:rsidRDefault="009534AF" w:rsidP="00C07C98">
      <w:pPr>
        <w:suppressAutoHyphens/>
        <w:ind w:left="774" w:hanging="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D41D2EB" w14:textId="77777777" w:rsidTr="009534AF">
        <w:tc>
          <w:tcPr>
            <w:tcW w:w="9281" w:type="dxa"/>
          </w:tcPr>
          <w:p w14:paraId="44E5C19F" w14:textId="77777777" w:rsidR="009534AF" w:rsidRPr="009C5EFD" w:rsidRDefault="00E453CD" w:rsidP="00E14E58">
            <w:pPr>
              <w:ind w:left="567" w:hanging="567"/>
              <w:rPr>
                <w:b/>
                <w:sz w:val="22"/>
                <w:szCs w:val="22"/>
              </w:rPr>
            </w:pPr>
            <w:r w:rsidRPr="009C5EFD">
              <w:rPr>
                <w:b/>
                <w:sz w:val="22"/>
                <w:szCs w:val="22"/>
              </w:rPr>
              <w:t>15.</w:t>
            </w:r>
            <w:r w:rsidRPr="009C5EFD">
              <w:rPr>
                <w:b/>
                <w:sz w:val="22"/>
                <w:szCs w:val="22"/>
              </w:rPr>
              <w:tab/>
              <w:t>BRUKSANVISNING</w:t>
            </w:r>
          </w:p>
        </w:tc>
      </w:tr>
    </w:tbl>
    <w:p w14:paraId="21455944" w14:textId="77777777" w:rsidR="009534AF" w:rsidRPr="00D968A3" w:rsidRDefault="009534AF" w:rsidP="001F5D4B">
      <w:pPr>
        <w:ind w:left="54"/>
        <w:rPr>
          <w:sz w:val="22"/>
          <w:szCs w:val="22"/>
        </w:rPr>
      </w:pPr>
    </w:p>
    <w:p w14:paraId="7C7E3BA6" w14:textId="77777777" w:rsidR="009534AF" w:rsidRPr="00D968A3" w:rsidRDefault="009534AF" w:rsidP="001F5D4B">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B8C0E76" w14:textId="77777777" w:rsidTr="009534AF">
        <w:tc>
          <w:tcPr>
            <w:tcW w:w="9281" w:type="dxa"/>
          </w:tcPr>
          <w:p w14:paraId="11C3471E" w14:textId="77777777" w:rsidR="009534AF" w:rsidRPr="009C5EFD" w:rsidRDefault="00E453CD" w:rsidP="007F67EE">
            <w:pPr>
              <w:ind w:left="567" w:hanging="567"/>
              <w:rPr>
                <w:b/>
                <w:sz w:val="22"/>
                <w:szCs w:val="22"/>
              </w:rPr>
            </w:pPr>
            <w:r w:rsidRPr="009C5EFD">
              <w:rPr>
                <w:b/>
                <w:sz w:val="22"/>
                <w:szCs w:val="22"/>
              </w:rPr>
              <w:t>16.</w:t>
            </w:r>
            <w:r w:rsidRPr="009C5EFD">
              <w:rPr>
                <w:b/>
                <w:sz w:val="22"/>
                <w:szCs w:val="22"/>
              </w:rPr>
              <w:tab/>
              <w:t>INFORMASJON PÅ BLINDESKRIFT</w:t>
            </w:r>
          </w:p>
        </w:tc>
      </w:tr>
    </w:tbl>
    <w:p w14:paraId="17138010" w14:textId="77777777" w:rsidR="009534AF" w:rsidRPr="00D968A3" w:rsidRDefault="009534AF" w:rsidP="001F5D4B">
      <w:pPr>
        <w:ind w:left="54"/>
        <w:rPr>
          <w:sz w:val="22"/>
          <w:szCs w:val="22"/>
        </w:rPr>
      </w:pPr>
    </w:p>
    <w:p w14:paraId="6224AC51" w14:textId="77777777" w:rsidR="009534AF" w:rsidRDefault="00E453CD" w:rsidP="001F5D4B">
      <w:pPr>
        <w:ind w:left="54"/>
        <w:rPr>
          <w:sz w:val="22"/>
          <w:szCs w:val="22"/>
        </w:rPr>
      </w:pPr>
      <w:r w:rsidRPr="009C5EFD">
        <w:rPr>
          <w:sz w:val="22"/>
          <w:szCs w:val="22"/>
        </w:rPr>
        <w:t>Humira 40 mg</w:t>
      </w:r>
    </w:p>
    <w:p w14:paraId="33F39CB5" w14:textId="77777777" w:rsidR="00C91246" w:rsidRDefault="00C91246" w:rsidP="001F5D4B">
      <w:pPr>
        <w:ind w:left="54"/>
        <w:rPr>
          <w:sz w:val="22"/>
          <w:szCs w:val="22"/>
        </w:rPr>
      </w:pPr>
    </w:p>
    <w:p w14:paraId="23CF9A35" w14:textId="77777777" w:rsidR="00C91246" w:rsidRPr="001E2ACA" w:rsidRDefault="00C91246" w:rsidP="00C91246">
      <w:pPr>
        <w:tabs>
          <w:tab w:val="left" w:pos="562"/>
        </w:tabs>
        <w:suppressAutoHyphens/>
        <w:ind w:left="540" w:hanging="540"/>
        <w:rPr>
          <w:sz w:val="22"/>
          <w:lang w:val="en-GB"/>
        </w:rPr>
      </w:pPr>
    </w:p>
    <w:p w14:paraId="6E5B9D8C" w14:textId="77777777" w:rsidR="00C91246" w:rsidRPr="00126088" w:rsidRDefault="00E453CD" w:rsidP="00C91246">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F05EB5">
        <w:rPr>
          <w:b/>
          <w:bCs/>
          <w:caps/>
          <w:sz w:val="22"/>
          <w:szCs w:val="20"/>
        </w:rPr>
        <w:t xml:space="preserve">17. </w:t>
      </w:r>
      <w:r w:rsidRPr="00F05EB5">
        <w:rPr>
          <w:b/>
          <w:bCs/>
          <w:caps/>
          <w:sz w:val="22"/>
          <w:szCs w:val="20"/>
        </w:rPr>
        <w:tab/>
      </w:r>
      <w:r w:rsidRPr="00126088">
        <w:rPr>
          <w:b/>
          <w:bCs/>
          <w:caps/>
          <w:sz w:val="22"/>
          <w:szCs w:val="20"/>
        </w:rPr>
        <w:t>SIKKERHETSANORDNING (UNIK IDENTITET) – TODIMENSJONAL STREKKODE</w:t>
      </w:r>
    </w:p>
    <w:p w14:paraId="4BB7E9D6" w14:textId="77777777" w:rsidR="00C91246" w:rsidRPr="00126088" w:rsidRDefault="00C91246" w:rsidP="00C91246">
      <w:pPr>
        <w:tabs>
          <w:tab w:val="left" w:pos="562"/>
        </w:tabs>
        <w:suppressAutoHyphens/>
        <w:rPr>
          <w:sz w:val="22"/>
        </w:rPr>
      </w:pPr>
    </w:p>
    <w:p w14:paraId="699298D2" w14:textId="77777777" w:rsidR="00C91246" w:rsidRPr="00F05EB5" w:rsidRDefault="00E453CD" w:rsidP="00C91246">
      <w:pPr>
        <w:tabs>
          <w:tab w:val="left" w:pos="562"/>
        </w:tabs>
        <w:suppressAutoHyphens/>
        <w:rPr>
          <w:sz w:val="22"/>
          <w:shd w:val="clear" w:color="auto" w:fill="BFBFBF"/>
        </w:rPr>
      </w:pPr>
      <w:r w:rsidRPr="00F05EB5">
        <w:rPr>
          <w:sz w:val="22"/>
          <w:shd w:val="clear" w:color="auto" w:fill="BFBFBF"/>
        </w:rPr>
        <w:t>Todimensjonal strekkode, inkludert unik identitet</w:t>
      </w:r>
      <w:r>
        <w:rPr>
          <w:sz w:val="22"/>
          <w:shd w:val="clear" w:color="auto" w:fill="BFBFBF"/>
        </w:rPr>
        <w:t>.</w:t>
      </w:r>
    </w:p>
    <w:p w14:paraId="37FDA793" w14:textId="77777777" w:rsidR="00C91246" w:rsidRDefault="00C91246" w:rsidP="00C91246">
      <w:pPr>
        <w:tabs>
          <w:tab w:val="left" w:pos="562"/>
        </w:tabs>
        <w:suppressAutoHyphens/>
        <w:rPr>
          <w:sz w:val="22"/>
          <w:shd w:val="clear" w:color="auto" w:fill="BFBFBF"/>
        </w:rPr>
      </w:pPr>
    </w:p>
    <w:p w14:paraId="191292D6" w14:textId="77777777" w:rsidR="00844B4D" w:rsidRPr="00F05EB5" w:rsidRDefault="00844B4D" w:rsidP="00C91246">
      <w:pPr>
        <w:tabs>
          <w:tab w:val="left" w:pos="562"/>
        </w:tabs>
        <w:suppressAutoHyphens/>
        <w:rPr>
          <w:sz w:val="22"/>
          <w:shd w:val="clear" w:color="auto" w:fill="BFBFBF"/>
        </w:rPr>
      </w:pPr>
    </w:p>
    <w:p w14:paraId="7897ECD0" w14:textId="77777777" w:rsidR="00C91246" w:rsidRPr="00126088" w:rsidRDefault="00E453CD" w:rsidP="00C91246">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F05EB5">
        <w:rPr>
          <w:b/>
          <w:bCs/>
          <w:caps/>
          <w:sz w:val="22"/>
          <w:szCs w:val="20"/>
        </w:rPr>
        <w:lastRenderedPageBreak/>
        <w:t xml:space="preserve">18. </w:t>
      </w:r>
      <w:r w:rsidRPr="00F05EB5">
        <w:rPr>
          <w:b/>
          <w:bCs/>
          <w:caps/>
          <w:sz w:val="22"/>
          <w:szCs w:val="20"/>
        </w:rPr>
        <w:tab/>
      </w:r>
      <w:r w:rsidRPr="00126088">
        <w:rPr>
          <w:b/>
          <w:bCs/>
          <w:caps/>
          <w:sz w:val="22"/>
          <w:szCs w:val="20"/>
        </w:rPr>
        <w:t>SIKKERHETSANORDNING (UNIK IDENTITET) – I ET FORMAT LESBART FOR MENNESKER</w:t>
      </w:r>
    </w:p>
    <w:p w14:paraId="7764D5EE" w14:textId="77777777" w:rsidR="00C91246" w:rsidRPr="00126088" w:rsidRDefault="00C91246" w:rsidP="00C91246">
      <w:pPr>
        <w:keepNext/>
        <w:tabs>
          <w:tab w:val="left" w:pos="562"/>
        </w:tabs>
        <w:suppressAutoHyphens/>
        <w:ind w:left="540" w:hanging="540"/>
        <w:rPr>
          <w:sz w:val="22"/>
        </w:rPr>
      </w:pPr>
    </w:p>
    <w:p w14:paraId="726FFABA" w14:textId="77777777" w:rsidR="00C91246" w:rsidRPr="001E2ACA" w:rsidRDefault="00E453CD" w:rsidP="00C91246">
      <w:pPr>
        <w:keepNext/>
        <w:tabs>
          <w:tab w:val="left" w:pos="562"/>
        </w:tabs>
        <w:suppressAutoHyphens/>
        <w:ind w:left="540" w:hanging="540"/>
        <w:rPr>
          <w:sz w:val="22"/>
          <w:lang w:val="en-GB"/>
        </w:rPr>
      </w:pPr>
      <w:r w:rsidRPr="001E2ACA">
        <w:rPr>
          <w:sz w:val="22"/>
          <w:lang w:val="en-GB"/>
        </w:rPr>
        <w:t>PC</w:t>
      </w:r>
    </w:p>
    <w:p w14:paraId="4CF2A7BB" w14:textId="77777777" w:rsidR="00C91246" w:rsidRPr="001E2ACA" w:rsidRDefault="00E453CD" w:rsidP="00C91246">
      <w:pPr>
        <w:keepNext/>
        <w:tabs>
          <w:tab w:val="left" w:pos="562"/>
        </w:tabs>
        <w:suppressAutoHyphens/>
        <w:ind w:left="540" w:hanging="540"/>
        <w:rPr>
          <w:sz w:val="22"/>
          <w:lang w:val="en-GB"/>
        </w:rPr>
      </w:pPr>
      <w:r w:rsidRPr="001E2ACA">
        <w:rPr>
          <w:sz w:val="22"/>
          <w:lang w:val="en-GB"/>
        </w:rPr>
        <w:t>SN</w:t>
      </w:r>
    </w:p>
    <w:p w14:paraId="14199C02" w14:textId="77777777" w:rsidR="00C91246" w:rsidRPr="009C5EFD" w:rsidRDefault="00E453CD" w:rsidP="00F05EB5">
      <w:pPr>
        <w:rPr>
          <w:sz w:val="22"/>
          <w:szCs w:val="22"/>
        </w:rPr>
      </w:pPr>
      <w:r w:rsidRPr="006936CB">
        <w:rPr>
          <w:sz w:val="22"/>
          <w:highlight w:val="lightGray"/>
          <w:lang w:val="en-GB"/>
        </w:rPr>
        <w:t>NN</w:t>
      </w:r>
    </w:p>
    <w:p w14:paraId="3582C1DC" w14:textId="77777777" w:rsidR="009534AF" w:rsidRPr="009C5EFD" w:rsidRDefault="00E453CD" w:rsidP="001F5D4B">
      <w:pPr>
        <w:ind w:left="54"/>
        <w:rPr>
          <w:sz w:val="22"/>
          <w:szCs w:val="22"/>
        </w:rPr>
      </w:pPr>
      <w:r w:rsidRPr="009C5EFD">
        <w:rPr>
          <w:b/>
          <w:sz w:val="22"/>
          <w:szCs w:val="22"/>
        </w:rPr>
        <w:br w:type="page"/>
      </w:r>
    </w:p>
    <w:p w14:paraId="7453D32F" w14:textId="77777777" w:rsidR="009534AF" w:rsidRPr="009C5EFD" w:rsidRDefault="009534AF" w:rsidP="00193D76">
      <w:pPr>
        <w:ind w:left="54"/>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521ECE4" w14:textId="77777777" w:rsidTr="009534AF">
        <w:tc>
          <w:tcPr>
            <w:tcW w:w="9281" w:type="dxa"/>
          </w:tcPr>
          <w:p w14:paraId="4ED9B01A" w14:textId="77777777" w:rsidR="009534AF" w:rsidRPr="009C5EFD" w:rsidRDefault="00E453CD" w:rsidP="00193D76">
            <w:pPr>
              <w:rPr>
                <w:b/>
                <w:sz w:val="22"/>
                <w:szCs w:val="22"/>
              </w:rPr>
            </w:pPr>
            <w:r w:rsidRPr="009C5EFD">
              <w:rPr>
                <w:b/>
                <w:sz w:val="22"/>
                <w:szCs w:val="22"/>
              </w:rPr>
              <w:t>MINSTEKRAV TIL OPPLYSNINGER SOM SKAL ANGIS PÅ BLISTER</w:t>
            </w:r>
            <w:r w:rsidR="000629D5">
              <w:rPr>
                <w:b/>
                <w:sz w:val="22"/>
                <w:szCs w:val="22"/>
              </w:rPr>
              <w:t xml:space="preserve"> ELLER STRIP</w:t>
            </w:r>
          </w:p>
          <w:p w14:paraId="1045C35E" w14:textId="77777777" w:rsidR="009534AF" w:rsidRPr="009C5EFD" w:rsidRDefault="009534AF" w:rsidP="002D0790">
            <w:pPr>
              <w:rPr>
                <w:b/>
                <w:sz w:val="22"/>
                <w:szCs w:val="22"/>
              </w:rPr>
            </w:pPr>
          </w:p>
          <w:p w14:paraId="5F64B288" w14:textId="77777777" w:rsidR="009534AF" w:rsidRPr="009C5EFD" w:rsidRDefault="00E453CD" w:rsidP="00C07C98">
            <w:pPr>
              <w:rPr>
                <w:b/>
                <w:sz w:val="22"/>
                <w:szCs w:val="22"/>
              </w:rPr>
            </w:pPr>
            <w:r>
              <w:rPr>
                <w:b/>
                <w:sz w:val="22"/>
                <w:szCs w:val="22"/>
              </w:rPr>
              <w:t>TEKST PÅ BRETT</w:t>
            </w:r>
          </w:p>
        </w:tc>
      </w:tr>
    </w:tbl>
    <w:p w14:paraId="7189A65D" w14:textId="77777777" w:rsidR="009534AF" w:rsidRPr="009C5EFD" w:rsidRDefault="009534AF" w:rsidP="007F67EE">
      <w:pPr>
        <w:ind w:left="54"/>
        <w:rPr>
          <w:sz w:val="22"/>
          <w:szCs w:val="22"/>
        </w:rPr>
      </w:pPr>
    </w:p>
    <w:p w14:paraId="48C03F30" w14:textId="77777777" w:rsidR="009534AF" w:rsidRPr="009C5EFD" w:rsidRDefault="009534AF" w:rsidP="00193D76">
      <w:pPr>
        <w:ind w:left="621"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7B57FA3" w14:textId="77777777" w:rsidTr="009534AF">
        <w:tc>
          <w:tcPr>
            <w:tcW w:w="9281" w:type="dxa"/>
          </w:tcPr>
          <w:p w14:paraId="1244E297" w14:textId="77777777" w:rsidR="009534AF" w:rsidRPr="009C5EFD" w:rsidRDefault="00E453CD" w:rsidP="002D0790">
            <w:pPr>
              <w:ind w:left="567" w:hanging="567"/>
              <w:rPr>
                <w:b/>
                <w:sz w:val="22"/>
                <w:szCs w:val="22"/>
              </w:rPr>
            </w:pPr>
            <w:r w:rsidRPr="009C5EFD">
              <w:rPr>
                <w:b/>
                <w:sz w:val="22"/>
                <w:szCs w:val="22"/>
              </w:rPr>
              <w:t>1.</w:t>
            </w:r>
            <w:r w:rsidRPr="009C5EFD">
              <w:rPr>
                <w:b/>
                <w:sz w:val="22"/>
                <w:szCs w:val="22"/>
              </w:rPr>
              <w:tab/>
              <w:t>LEGEMIDLETS NAVN</w:t>
            </w:r>
          </w:p>
        </w:tc>
      </w:tr>
    </w:tbl>
    <w:p w14:paraId="08EE86AE" w14:textId="77777777" w:rsidR="009534AF" w:rsidRPr="009C5EFD" w:rsidRDefault="009534AF" w:rsidP="007F67EE">
      <w:pPr>
        <w:suppressAutoHyphens/>
        <w:ind w:left="54"/>
        <w:rPr>
          <w:sz w:val="22"/>
          <w:szCs w:val="22"/>
        </w:rPr>
      </w:pPr>
    </w:p>
    <w:p w14:paraId="41B17B6E" w14:textId="77777777" w:rsidR="009534AF" w:rsidRPr="009C5EFD" w:rsidRDefault="00E453CD" w:rsidP="00193D76">
      <w:pPr>
        <w:suppressAutoHyphens/>
        <w:ind w:left="54"/>
        <w:rPr>
          <w:sz w:val="22"/>
          <w:szCs w:val="22"/>
        </w:rPr>
      </w:pPr>
      <w:r w:rsidRPr="009C5EFD">
        <w:rPr>
          <w:sz w:val="22"/>
          <w:szCs w:val="22"/>
        </w:rPr>
        <w:t>Humira 40 mg injeksjonsvæske, oppløsning i ferdigfylt sprøyte</w:t>
      </w:r>
    </w:p>
    <w:p w14:paraId="50D909F8" w14:textId="77777777" w:rsidR="009534AF" w:rsidRPr="009C5EFD" w:rsidRDefault="00E453CD" w:rsidP="002D0790">
      <w:pPr>
        <w:suppressAutoHyphens/>
        <w:ind w:left="54"/>
        <w:rPr>
          <w:sz w:val="22"/>
          <w:szCs w:val="22"/>
        </w:rPr>
      </w:pPr>
      <w:r w:rsidRPr="009C5EFD">
        <w:rPr>
          <w:sz w:val="22"/>
          <w:szCs w:val="22"/>
        </w:rPr>
        <w:t>adalimumab</w:t>
      </w:r>
    </w:p>
    <w:p w14:paraId="31605539" w14:textId="77777777" w:rsidR="009534AF" w:rsidRPr="009C5EFD" w:rsidRDefault="009534AF" w:rsidP="00C07C98">
      <w:pPr>
        <w:suppressAutoHyphens/>
        <w:ind w:left="54"/>
        <w:rPr>
          <w:sz w:val="22"/>
          <w:szCs w:val="22"/>
        </w:rPr>
      </w:pPr>
    </w:p>
    <w:p w14:paraId="57B23549" w14:textId="77777777" w:rsidR="009534AF" w:rsidRPr="009C5EFD" w:rsidRDefault="009534AF" w:rsidP="00E14E5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3E9C185" w14:textId="77777777" w:rsidTr="009534AF">
        <w:tc>
          <w:tcPr>
            <w:tcW w:w="9281" w:type="dxa"/>
          </w:tcPr>
          <w:p w14:paraId="6AB31998" w14:textId="77777777" w:rsidR="009534AF" w:rsidRPr="009C5EFD" w:rsidRDefault="00E453CD" w:rsidP="009C5EFD">
            <w:pPr>
              <w:ind w:left="567" w:hanging="567"/>
              <w:rPr>
                <w:b/>
                <w:sz w:val="22"/>
                <w:szCs w:val="22"/>
              </w:rPr>
            </w:pPr>
            <w:r w:rsidRPr="009C5EFD">
              <w:rPr>
                <w:b/>
                <w:sz w:val="22"/>
                <w:szCs w:val="22"/>
              </w:rPr>
              <w:t>2.</w:t>
            </w:r>
            <w:r w:rsidRPr="009C5EFD">
              <w:rPr>
                <w:b/>
                <w:sz w:val="22"/>
                <w:szCs w:val="22"/>
              </w:rPr>
              <w:tab/>
              <w:t>NAVN PÅ INNEHAVEREN AV MARKEDSFØRINGSTILLATELSEN</w:t>
            </w:r>
          </w:p>
        </w:tc>
      </w:tr>
    </w:tbl>
    <w:p w14:paraId="69B1FB55" w14:textId="77777777" w:rsidR="009534AF" w:rsidRPr="009C5EFD" w:rsidRDefault="009534AF" w:rsidP="007F67EE">
      <w:pPr>
        <w:suppressAutoHyphens/>
        <w:ind w:left="54"/>
        <w:rPr>
          <w:sz w:val="22"/>
          <w:szCs w:val="22"/>
        </w:rPr>
      </w:pPr>
    </w:p>
    <w:p w14:paraId="6C03DAFF" w14:textId="77777777" w:rsidR="009534AF" w:rsidRPr="009C5EFD" w:rsidRDefault="00E453CD" w:rsidP="00193D76">
      <w:pPr>
        <w:suppressAutoHyphens/>
        <w:ind w:left="54"/>
        <w:rPr>
          <w:sz w:val="22"/>
          <w:szCs w:val="22"/>
        </w:rPr>
      </w:pPr>
      <w:r w:rsidRPr="009C5EFD">
        <w:rPr>
          <w:sz w:val="22"/>
          <w:szCs w:val="22"/>
        </w:rPr>
        <w:t xml:space="preserve">AbbVie </w:t>
      </w:r>
      <w:r w:rsidR="00DD76CF" w:rsidRPr="00637363">
        <w:rPr>
          <w:sz w:val="22"/>
          <w:szCs w:val="22"/>
          <w:highlight w:val="lightGray"/>
        </w:rPr>
        <w:t>(som logo)</w:t>
      </w:r>
    </w:p>
    <w:p w14:paraId="6AF550C9" w14:textId="77777777" w:rsidR="009534AF" w:rsidRPr="009C5EFD" w:rsidRDefault="009534AF" w:rsidP="002D0790">
      <w:pPr>
        <w:suppressAutoHyphens/>
        <w:ind w:left="54"/>
        <w:rPr>
          <w:sz w:val="22"/>
          <w:szCs w:val="22"/>
        </w:rPr>
      </w:pPr>
    </w:p>
    <w:p w14:paraId="60291B70" w14:textId="77777777" w:rsidR="009534AF" w:rsidRPr="009C5EFD" w:rsidRDefault="009534AF" w:rsidP="00C07C98">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DF4625D" w14:textId="77777777" w:rsidTr="009534AF">
        <w:tc>
          <w:tcPr>
            <w:tcW w:w="9281" w:type="dxa"/>
          </w:tcPr>
          <w:p w14:paraId="240E9199" w14:textId="77777777" w:rsidR="009534AF" w:rsidRPr="009C5EFD" w:rsidRDefault="00E453CD" w:rsidP="00E14E58">
            <w:pPr>
              <w:ind w:left="567" w:hanging="567"/>
              <w:rPr>
                <w:b/>
                <w:sz w:val="22"/>
                <w:szCs w:val="22"/>
              </w:rPr>
            </w:pPr>
            <w:r w:rsidRPr="009C5EFD">
              <w:rPr>
                <w:b/>
                <w:sz w:val="22"/>
                <w:szCs w:val="22"/>
              </w:rPr>
              <w:t>3.</w:t>
            </w:r>
            <w:r w:rsidRPr="009C5EFD">
              <w:rPr>
                <w:b/>
                <w:sz w:val="22"/>
                <w:szCs w:val="22"/>
              </w:rPr>
              <w:tab/>
              <w:t>UTLØPSDATO</w:t>
            </w:r>
          </w:p>
        </w:tc>
      </w:tr>
    </w:tbl>
    <w:p w14:paraId="036E6414" w14:textId="77777777" w:rsidR="009534AF" w:rsidRPr="009C5EFD" w:rsidRDefault="009534AF" w:rsidP="007F67EE">
      <w:pPr>
        <w:suppressAutoHyphens/>
        <w:ind w:left="54"/>
        <w:jc w:val="both"/>
        <w:rPr>
          <w:sz w:val="22"/>
          <w:szCs w:val="22"/>
        </w:rPr>
      </w:pPr>
    </w:p>
    <w:p w14:paraId="3D020205" w14:textId="77777777" w:rsidR="009534AF" w:rsidRPr="009C5EFD" w:rsidRDefault="00E453CD" w:rsidP="00193D76">
      <w:pPr>
        <w:suppressAutoHyphens/>
        <w:ind w:left="54"/>
        <w:jc w:val="both"/>
        <w:rPr>
          <w:sz w:val="22"/>
          <w:szCs w:val="22"/>
        </w:rPr>
      </w:pPr>
      <w:r>
        <w:rPr>
          <w:sz w:val="22"/>
          <w:szCs w:val="22"/>
        </w:rPr>
        <w:t>EXP</w:t>
      </w:r>
    </w:p>
    <w:p w14:paraId="111460D9" w14:textId="77777777" w:rsidR="009534AF" w:rsidRPr="009C5EFD" w:rsidRDefault="009534AF" w:rsidP="002D0790">
      <w:pPr>
        <w:suppressAutoHyphens/>
        <w:ind w:left="54"/>
        <w:jc w:val="both"/>
        <w:rPr>
          <w:sz w:val="22"/>
          <w:szCs w:val="22"/>
        </w:rPr>
      </w:pPr>
    </w:p>
    <w:p w14:paraId="55D40EF1" w14:textId="77777777" w:rsidR="009534AF" w:rsidRPr="009C5EFD" w:rsidRDefault="009534AF" w:rsidP="00C07C98">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4DD4192" w14:textId="77777777" w:rsidTr="009534AF">
        <w:tc>
          <w:tcPr>
            <w:tcW w:w="9281" w:type="dxa"/>
          </w:tcPr>
          <w:p w14:paraId="434E1089" w14:textId="77777777" w:rsidR="009534AF" w:rsidRPr="009C5EFD" w:rsidRDefault="00E453CD" w:rsidP="00E14E58">
            <w:pPr>
              <w:ind w:left="567" w:hanging="567"/>
              <w:rPr>
                <w:b/>
                <w:sz w:val="22"/>
                <w:szCs w:val="22"/>
              </w:rPr>
            </w:pPr>
            <w:r w:rsidRPr="009C5EFD">
              <w:rPr>
                <w:b/>
                <w:sz w:val="22"/>
                <w:szCs w:val="22"/>
              </w:rPr>
              <w:t>4.</w:t>
            </w:r>
            <w:r w:rsidRPr="009C5EFD">
              <w:rPr>
                <w:b/>
                <w:sz w:val="22"/>
                <w:szCs w:val="22"/>
              </w:rPr>
              <w:tab/>
              <w:t>PRODUKSJONSNUMMER</w:t>
            </w:r>
          </w:p>
        </w:tc>
      </w:tr>
    </w:tbl>
    <w:p w14:paraId="572943CC" w14:textId="77777777" w:rsidR="009534AF" w:rsidRPr="009C5EFD" w:rsidRDefault="009534AF" w:rsidP="007F67EE">
      <w:pPr>
        <w:suppressAutoHyphens/>
        <w:ind w:left="54"/>
        <w:jc w:val="both"/>
        <w:rPr>
          <w:sz w:val="22"/>
          <w:szCs w:val="22"/>
        </w:rPr>
      </w:pPr>
    </w:p>
    <w:p w14:paraId="651AC711" w14:textId="77777777" w:rsidR="009534AF" w:rsidRPr="009C5EFD" w:rsidRDefault="00E453CD" w:rsidP="00193D76">
      <w:pPr>
        <w:suppressAutoHyphens/>
        <w:ind w:left="54"/>
        <w:jc w:val="both"/>
        <w:rPr>
          <w:sz w:val="22"/>
          <w:szCs w:val="22"/>
        </w:rPr>
      </w:pPr>
      <w:r w:rsidRPr="009C5EFD">
        <w:rPr>
          <w:sz w:val="22"/>
          <w:szCs w:val="22"/>
        </w:rPr>
        <w:t>Lot</w:t>
      </w:r>
    </w:p>
    <w:p w14:paraId="4F53CED6" w14:textId="77777777" w:rsidR="009534AF" w:rsidRPr="009C5EFD" w:rsidRDefault="009534AF" w:rsidP="002D0790">
      <w:pPr>
        <w:suppressAutoHyphens/>
        <w:ind w:left="54"/>
        <w:jc w:val="both"/>
        <w:rPr>
          <w:sz w:val="22"/>
          <w:szCs w:val="22"/>
        </w:rPr>
      </w:pPr>
    </w:p>
    <w:p w14:paraId="5D32C4A7" w14:textId="77777777" w:rsidR="009534AF" w:rsidRPr="009C5EFD" w:rsidRDefault="009534AF" w:rsidP="00C07C98">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C0B8160" w14:textId="77777777" w:rsidTr="009534AF">
        <w:tc>
          <w:tcPr>
            <w:tcW w:w="9281" w:type="dxa"/>
          </w:tcPr>
          <w:p w14:paraId="7FAF1D7F" w14:textId="77777777" w:rsidR="009534AF" w:rsidRPr="009C5EFD" w:rsidRDefault="00E453CD" w:rsidP="00E14E58">
            <w:pPr>
              <w:ind w:left="567" w:hanging="567"/>
              <w:rPr>
                <w:b/>
                <w:sz w:val="22"/>
                <w:szCs w:val="22"/>
              </w:rPr>
            </w:pPr>
            <w:r w:rsidRPr="009C5EFD">
              <w:rPr>
                <w:b/>
                <w:sz w:val="22"/>
                <w:szCs w:val="22"/>
              </w:rPr>
              <w:t>5.</w:t>
            </w:r>
            <w:r w:rsidRPr="009C5EFD">
              <w:rPr>
                <w:b/>
                <w:sz w:val="22"/>
                <w:szCs w:val="22"/>
              </w:rPr>
              <w:tab/>
              <w:t>ANNET</w:t>
            </w:r>
          </w:p>
        </w:tc>
      </w:tr>
    </w:tbl>
    <w:p w14:paraId="606F43F9" w14:textId="77777777" w:rsidR="009534AF" w:rsidRPr="009C5EFD" w:rsidRDefault="009534AF" w:rsidP="007F67EE">
      <w:pPr>
        <w:ind w:left="54"/>
        <w:rPr>
          <w:sz w:val="22"/>
          <w:szCs w:val="22"/>
        </w:rPr>
      </w:pPr>
    </w:p>
    <w:p w14:paraId="278F8A4A" w14:textId="77777777" w:rsidR="009534AF" w:rsidRDefault="00E453CD" w:rsidP="00193D76">
      <w:pPr>
        <w:rPr>
          <w:sz w:val="22"/>
          <w:szCs w:val="22"/>
        </w:rPr>
      </w:pPr>
      <w:r w:rsidRPr="009C5EFD">
        <w:rPr>
          <w:sz w:val="22"/>
          <w:szCs w:val="22"/>
        </w:rPr>
        <w:t>Se pakningsvedlegg for informasjon om oppbevaring.</w:t>
      </w:r>
    </w:p>
    <w:p w14:paraId="48B902C3" w14:textId="77777777" w:rsidR="00373337" w:rsidRPr="009C5EFD" w:rsidRDefault="00373337" w:rsidP="00193D76">
      <w:pPr>
        <w:rPr>
          <w:sz w:val="22"/>
          <w:szCs w:val="22"/>
        </w:rPr>
      </w:pPr>
    </w:p>
    <w:p w14:paraId="7CABD06C" w14:textId="77777777" w:rsidR="009534AF" w:rsidRDefault="00E453CD" w:rsidP="002D0790">
      <w:pPr>
        <w:suppressAutoHyphens/>
        <w:rPr>
          <w:sz w:val="22"/>
          <w:szCs w:val="22"/>
        </w:rPr>
      </w:pPr>
      <w:r w:rsidRPr="009C5EFD">
        <w:rPr>
          <w:sz w:val="22"/>
          <w:szCs w:val="22"/>
        </w:rPr>
        <w:t>Kun til engangsbruk.</w:t>
      </w:r>
    </w:p>
    <w:p w14:paraId="6667BA6A" w14:textId="77777777" w:rsidR="00373337" w:rsidRDefault="00373337" w:rsidP="002D0790">
      <w:pPr>
        <w:suppressAutoHyphens/>
        <w:rPr>
          <w:sz w:val="22"/>
          <w:szCs w:val="22"/>
        </w:rPr>
      </w:pPr>
    </w:p>
    <w:p w14:paraId="34676606" w14:textId="77777777" w:rsidR="00373337" w:rsidRPr="00602A37" w:rsidRDefault="00E453CD" w:rsidP="00373337">
      <w:pPr>
        <w:ind w:left="540" w:hanging="540"/>
        <w:rPr>
          <w:sz w:val="22"/>
          <w:szCs w:val="22"/>
        </w:rPr>
      </w:pPr>
      <w:r w:rsidRPr="00602A37">
        <w:rPr>
          <w:sz w:val="22"/>
          <w:szCs w:val="22"/>
        </w:rPr>
        <w:t>40 mg/0,4 ml</w:t>
      </w:r>
    </w:p>
    <w:p w14:paraId="7DC1D522" w14:textId="77777777" w:rsidR="00256837" w:rsidRPr="00622441" w:rsidRDefault="00256837" w:rsidP="00256837">
      <w:pPr>
        <w:rPr>
          <w:sz w:val="22"/>
          <w:szCs w:val="22"/>
        </w:rPr>
      </w:pPr>
    </w:p>
    <w:p w14:paraId="101A7B35" w14:textId="77777777" w:rsidR="00256837" w:rsidRPr="00622441" w:rsidRDefault="00256837" w:rsidP="00256837">
      <w:pPr>
        <w:rPr>
          <w:sz w:val="22"/>
          <w:szCs w:val="22"/>
        </w:rPr>
      </w:pPr>
    </w:p>
    <w:p w14:paraId="62F54B7C" w14:textId="77777777" w:rsidR="00256837" w:rsidRDefault="00256837" w:rsidP="00602A37">
      <w:pPr>
        <w:rPr>
          <w:sz w:val="22"/>
          <w:szCs w:val="22"/>
        </w:rPr>
      </w:pPr>
    </w:p>
    <w:p w14:paraId="775DCCD4" w14:textId="77777777" w:rsidR="00DA7968" w:rsidRPr="00602A37" w:rsidRDefault="00DA7968" w:rsidP="00602A37">
      <w:pPr>
        <w:rPr>
          <w:sz w:val="22"/>
          <w:szCs w:val="22"/>
          <w:lang w:val="en-GB"/>
        </w:rPr>
      </w:pPr>
    </w:p>
    <w:p w14:paraId="6487D9B9" w14:textId="77777777" w:rsidR="00373337" w:rsidRPr="009C5EFD" w:rsidRDefault="00373337" w:rsidP="002D0790">
      <w:pPr>
        <w:suppressAutoHyphens/>
        <w:rPr>
          <w:sz w:val="22"/>
          <w:szCs w:val="22"/>
        </w:rPr>
      </w:pPr>
    </w:p>
    <w:p w14:paraId="4AB88006" w14:textId="77777777" w:rsidR="009534AF" w:rsidRPr="009C5EFD" w:rsidRDefault="009534AF" w:rsidP="00C07C98">
      <w:pPr>
        <w:ind w:left="54"/>
        <w:rPr>
          <w:sz w:val="22"/>
          <w:szCs w:val="22"/>
        </w:rPr>
      </w:pPr>
    </w:p>
    <w:p w14:paraId="23143CA6" w14:textId="77777777" w:rsidR="009534AF" w:rsidRPr="009C5EFD" w:rsidRDefault="00E453CD" w:rsidP="00E14E58">
      <w:pPr>
        <w:ind w:left="54"/>
        <w:rPr>
          <w:b/>
          <w:sz w:val="22"/>
          <w:szCs w:val="22"/>
        </w:rPr>
      </w:pPr>
      <w:r w:rsidRPr="009C5EF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A78BA2D" w14:textId="77777777" w:rsidTr="009534AF">
        <w:trPr>
          <w:trHeight w:val="1070"/>
        </w:trPr>
        <w:tc>
          <w:tcPr>
            <w:tcW w:w="9281" w:type="dxa"/>
            <w:tcBorders>
              <w:bottom w:val="single" w:sz="4" w:space="0" w:color="auto"/>
            </w:tcBorders>
          </w:tcPr>
          <w:p w14:paraId="5A67774E" w14:textId="77777777" w:rsidR="009534AF" w:rsidRPr="009C5EFD" w:rsidRDefault="00E453CD" w:rsidP="00E14E58">
            <w:pPr>
              <w:suppressAutoHyphens/>
              <w:rPr>
                <w:b/>
                <w:sz w:val="22"/>
                <w:szCs w:val="22"/>
              </w:rPr>
            </w:pPr>
            <w:r w:rsidRPr="009C5EFD">
              <w:rPr>
                <w:b/>
                <w:sz w:val="22"/>
                <w:szCs w:val="22"/>
              </w:rPr>
              <w:lastRenderedPageBreak/>
              <w:t>MINSTEKRAV TIL OPPLYSNINGER SOM SKAL ANGIS PÅ SMÅ INDRE EMBALLASJER</w:t>
            </w:r>
          </w:p>
          <w:p w14:paraId="4E58E4B8" w14:textId="77777777" w:rsidR="009534AF" w:rsidRPr="009C5EFD" w:rsidRDefault="009534AF" w:rsidP="009C5EFD">
            <w:pPr>
              <w:suppressAutoHyphens/>
              <w:rPr>
                <w:b/>
                <w:sz w:val="22"/>
                <w:szCs w:val="22"/>
              </w:rPr>
            </w:pPr>
          </w:p>
          <w:p w14:paraId="434B4A93" w14:textId="77777777" w:rsidR="009534AF" w:rsidRPr="009C5EFD" w:rsidRDefault="00E453CD" w:rsidP="009C5EFD">
            <w:pPr>
              <w:suppressAutoHyphens/>
              <w:rPr>
                <w:b/>
                <w:sz w:val="22"/>
                <w:szCs w:val="22"/>
              </w:rPr>
            </w:pPr>
            <w:r w:rsidRPr="009C5EFD">
              <w:rPr>
                <w:b/>
                <w:sz w:val="22"/>
                <w:szCs w:val="22"/>
              </w:rPr>
              <w:t>ETIKETT PÅ SPRØYTE</w:t>
            </w:r>
          </w:p>
        </w:tc>
      </w:tr>
    </w:tbl>
    <w:p w14:paraId="448B22D8" w14:textId="77777777" w:rsidR="009534AF" w:rsidRPr="009C5EFD" w:rsidRDefault="009534AF" w:rsidP="007F67EE">
      <w:pPr>
        <w:suppressAutoHyphens/>
        <w:ind w:left="54"/>
        <w:jc w:val="both"/>
        <w:rPr>
          <w:sz w:val="22"/>
          <w:szCs w:val="22"/>
        </w:rPr>
      </w:pPr>
    </w:p>
    <w:p w14:paraId="28C491C9" w14:textId="77777777" w:rsidR="009534AF" w:rsidRPr="009C5EFD" w:rsidRDefault="009534AF" w:rsidP="00193D76">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833DAAB" w14:textId="77777777" w:rsidTr="009534AF">
        <w:tc>
          <w:tcPr>
            <w:tcW w:w="9281" w:type="dxa"/>
          </w:tcPr>
          <w:p w14:paraId="18199347" w14:textId="77777777" w:rsidR="009534AF" w:rsidRPr="009C5EFD" w:rsidRDefault="00E453CD" w:rsidP="002D0790">
            <w:pPr>
              <w:ind w:left="567" w:hanging="567"/>
              <w:rPr>
                <w:b/>
                <w:sz w:val="22"/>
                <w:szCs w:val="22"/>
              </w:rPr>
            </w:pPr>
            <w:r w:rsidRPr="009C5EFD">
              <w:rPr>
                <w:b/>
                <w:sz w:val="22"/>
                <w:szCs w:val="22"/>
              </w:rPr>
              <w:t>1.</w:t>
            </w:r>
            <w:r w:rsidRPr="009C5EFD">
              <w:rPr>
                <w:b/>
                <w:sz w:val="22"/>
                <w:szCs w:val="22"/>
              </w:rPr>
              <w:tab/>
              <w:t>LEGEMIDLETS NAVN OG ADMINISTRASJONSVEI</w:t>
            </w:r>
          </w:p>
        </w:tc>
      </w:tr>
    </w:tbl>
    <w:p w14:paraId="68589DB9" w14:textId="77777777" w:rsidR="009534AF" w:rsidRPr="009C5EFD" w:rsidRDefault="009534AF" w:rsidP="007F67EE">
      <w:pPr>
        <w:suppressAutoHyphens/>
        <w:ind w:left="54"/>
        <w:jc w:val="both"/>
        <w:rPr>
          <w:sz w:val="22"/>
          <w:szCs w:val="22"/>
        </w:rPr>
      </w:pPr>
    </w:p>
    <w:p w14:paraId="2AA7A69D" w14:textId="77777777" w:rsidR="009534AF" w:rsidRPr="009C5EFD" w:rsidRDefault="00E453CD" w:rsidP="00193D76">
      <w:pPr>
        <w:suppressAutoHyphens/>
        <w:ind w:left="54"/>
        <w:jc w:val="both"/>
        <w:rPr>
          <w:sz w:val="22"/>
          <w:szCs w:val="22"/>
        </w:rPr>
      </w:pPr>
      <w:r w:rsidRPr="009C5EFD">
        <w:rPr>
          <w:sz w:val="22"/>
          <w:szCs w:val="22"/>
        </w:rPr>
        <w:t>Humira 40 mg injeksjon</w:t>
      </w:r>
      <w:r w:rsidR="00256837">
        <w:rPr>
          <w:sz w:val="22"/>
          <w:szCs w:val="22"/>
        </w:rPr>
        <w:t>svæske</w:t>
      </w:r>
    </w:p>
    <w:p w14:paraId="7CAF97CB" w14:textId="77777777" w:rsidR="009534AF" w:rsidRPr="009C5EFD" w:rsidRDefault="00E453CD" w:rsidP="002D0790">
      <w:pPr>
        <w:suppressAutoHyphens/>
        <w:ind w:left="54"/>
        <w:rPr>
          <w:sz w:val="22"/>
          <w:szCs w:val="22"/>
        </w:rPr>
      </w:pPr>
      <w:r w:rsidRPr="009C5EFD">
        <w:rPr>
          <w:sz w:val="22"/>
          <w:szCs w:val="22"/>
        </w:rPr>
        <w:t>adalimumab</w:t>
      </w:r>
    </w:p>
    <w:p w14:paraId="775F40E0" w14:textId="77777777" w:rsidR="009534AF" w:rsidRPr="009C5EFD" w:rsidRDefault="00E453CD" w:rsidP="00C07C98">
      <w:pPr>
        <w:suppressAutoHyphens/>
        <w:ind w:left="54"/>
        <w:jc w:val="both"/>
        <w:rPr>
          <w:sz w:val="22"/>
          <w:szCs w:val="22"/>
        </w:rPr>
      </w:pPr>
      <w:r>
        <w:rPr>
          <w:sz w:val="22"/>
          <w:szCs w:val="22"/>
        </w:rPr>
        <w:t>s.c.</w:t>
      </w:r>
    </w:p>
    <w:p w14:paraId="1C48D494" w14:textId="77777777" w:rsidR="009534AF" w:rsidRPr="009C5EFD" w:rsidRDefault="009534AF" w:rsidP="00E14E58">
      <w:pPr>
        <w:suppressAutoHyphens/>
        <w:ind w:left="54"/>
        <w:jc w:val="both"/>
        <w:rPr>
          <w:sz w:val="22"/>
          <w:szCs w:val="22"/>
        </w:rPr>
      </w:pPr>
    </w:p>
    <w:p w14:paraId="310FE757" w14:textId="77777777" w:rsidR="009534AF" w:rsidRPr="009C5EFD" w:rsidRDefault="009534AF" w:rsidP="009C5EFD">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683E57D" w14:textId="77777777" w:rsidTr="009534AF">
        <w:tc>
          <w:tcPr>
            <w:tcW w:w="9281" w:type="dxa"/>
          </w:tcPr>
          <w:p w14:paraId="4A2AC993" w14:textId="77777777" w:rsidR="009534AF" w:rsidRPr="009C5EFD" w:rsidRDefault="00E453CD" w:rsidP="009C5EFD">
            <w:pPr>
              <w:ind w:left="567" w:hanging="567"/>
              <w:rPr>
                <w:b/>
                <w:sz w:val="22"/>
                <w:szCs w:val="22"/>
              </w:rPr>
            </w:pPr>
            <w:r w:rsidRPr="009C5EFD">
              <w:rPr>
                <w:b/>
                <w:sz w:val="22"/>
                <w:szCs w:val="22"/>
              </w:rPr>
              <w:t>2.</w:t>
            </w:r>
            <w:r w:rsidRPr="009C5EFD">
              <w:rPr>
                <w:b/>
                <w:sz w:val="22"/>
                <w:szCs w:val="22"/>
              </w:rPr>
              <w:tab/>
              <w:t>ADMINISTRASJONSMÅTE</w:t>
            </w:r>
          </w:p>
        </w:tc>
      </w:tr>
    </w:tbl>
    <w:p w14:paraId="6D07EB7C" w14:textId="77777777" w:rsidR="009534AF" w:rsidRPr="001F5D4B" w:rsidRDefault="009534AF" w:rsidP="007F67EE">
      <w:pPr>
        <w:suppressAutoHyphens/>
        <w:ind w:left="54"/>
        <w:jc w:val="both"/>
        <w:rPr>
          <w:sz w:val="22"/>
          <w:szCs w:val="22"/>
        </w:rPr>
      </w:pPr>
    </w:p>
    <w:p w14:paraId="63E1F6A5" w14:textId="77777777" w:rsidR="008F361C" w:rsidRPr="002D0790" w:rsidRDefault="008F361C" w:rsidP="00C07C98">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820AF7F" w14:textId="77777777" w:rsidTr="009534AF">
        <w:tc>
          <w:tcPr>
            <w:tcW w:w="9281" w:type="dxa"/>
          </w:tcPr>
          <w:p w14:paraId="6EC008DB" w14:textId="77777777" w:rsidR="009534AF" w:rsidRPr="00C07C98" w:rsidRDefault="00E453CD" w:rsidP="00E14E58">
            <w:pPr>
              <w:ind w:left="567" w:hanging="567"/>
              <w:rPr>
                <w:b/>
                <w:sz w:val="22"/>
                <w:szCs w:val="22"/>
              </w:rPr>
            </w:pPr>
            <w:r w:rsidRPr="00C07C98">
              <w:rPr>
                <w:b/>
                <w:sz w:val="22"/>
                <w:szCs w:val="22"/>
              </w:rPr>
              <w:t>3.</w:t>
            </w:r>
            <w:r w:rsidRPr="00C07C98">
              <w:rPr>
                <w:b/>
                <w:sz w:val="22"/>
                <w:szCs w:val="22"/>
              </w:rPr>
              <w:tab/>
              <w:t>UTLØPSDATO</w:t>
            </w:r>
          </w:p>
        </w:tc>
      </w:tr>
    </w:tbl>
    <w:p w14:paraId="78F97160" w14:textId="77777777" w:rsidR="009534AF" w:rsidRPr="009C5EFD" w:rsidRDefault="009534AF" w:rsidP="007F67EE">
      <w:pPr>
        <w:suppressAutoHyphens/>
        <w:ind w:left="621" w:hanging="567"/>
        <w:rPr>
          <w:sz w:val="22"/>
          <w:szCs w:val="22"/>
        </w:rPr>
      </w:pPr>
    </w:p>
    <w:p w14:paraId="147F72B4" w14:textId="77777777" w:rsidR="009534AF" w:rsidRPr="009C5EFD" w:rsidRDefault="00E453CD" w:rsidP="00193D76">
      <w:pPr>
        <w:suppressAutoHyphens/>
        <w:ind w:left="621" w:hanging="567"/>
        <w:rPr>
          <w:sz w:val="22"/>
          <w:szCs w:val="22"/>
        </w:rPr>
      </w:pPr>
      <w:r>
        <w:rPr>
          <w:sz w:val="22"/>
          <w:szCs w:val="22"/>
        </w:rPr>
        <w:t>EXP</w:t>
      </w:r>
    </w:p>
    <w:p w14:paraId="78601C8F" w14:textId="77777777" w:rsidR="009534AF" w:rsidRPr="009C5EFD" w:rsidRDefault="009534AF" w:rsidP="002D0790">
      <w:pPr>
        <w:suppressAutoHyphens/>
        <w:ind w:left="621" w:hanging="567"/>
        <w:rPr>
          <w:sz w:val="22"/>
          <w:szCs w:val="22"/>
        </w:rPr>
      </w:pPr>
    </w:p>
    <w:p w14:paraId="1A348A7F" w14:textId="77777777" w:rsidR="009534AF" w:rsidRPr="009C5EFD" w:rsidRDefault="009534AF" w:rsidP="00C07C98">
      <w:pPr>
        <w:suppressAutoHyphens/>
        <w:ind w:left="621"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D92AD16" w14:textId="77777777" w:rsidTr="009534AF">
        <w:tc>
          <w:tcPr>
            <w:tcW w:w="9281" w:type="dxa"/>
          </w:tcPr>
          <w:p w14:paraId="6CB1D704" w14:textId="77777777" w:rsidR="009534AF" w:rsidRPr="009C5EFD" w:rsidRDefault="00E453CD" w:rsidP="00E14E58">
            <w:pPr>
              <w:ind w:left="567" w:hanging="567"/>
              <w:rPr>
                <w:b/>
                <w:sz w:val="22"/>
                <w:szCs w:val="22"/>
              </w:rPr>
            </w:pPr>
            <w:r w:rsidRPr="009C5EFD">
              <w:rPr>
                <w:b/>
                <w:sz w:val="22"/>
                <w:szCs w:val="22"/>
              </w:rPr>
              <w:t>4.</w:t>
            </w:r>
            <w:r w:rsidRPr="009C5EFD">
              <w:rPr>
                <w:b/>
                <w:sz w:val="22"/>
                <w:szCs w:val="22"/>
              </w:rPr>
              <w:tab/>
              <w:t>PRODUKSJONSNUMMER</w:t>
            </w:r>
          </w:p>
        </w:tc>
      </w:tr>
    </w:tbl>
    <w:p w14:paraId="7F070FE9" w14:textId="77777777" w:rsidR="009534AF" w:rsidRPr="009C5EFD" w:rsidRDefault="009534AF" w:rsidP="007F67EE">
      <w:pPr>
        <w:suppressAutoHyphens/>
        <w:ind w:left="54"/>
        <w:jc w:val="both"/>
        <w:rPr>
          <w:sz w:val="22"/>
          <w:szCs w:val="22"/>
        </w:rPr>
      </w:pPr>
    </w:p>
    <w:p w14:paraId="4CFA65A4" w14:textId="77777777" w:rsidR="009534AF" w:rsidRPr="009C5EFD" w:rsidRDefault="00E453CD" w:rsidP="00193D76">
      <w:pPr>
        <w:suppressAutoHyphens/>
        <w:ind w:left="54"/>
        <w:jc w:val="both"/>
        <w:rPr>
          <w:sz w:val="22"/>
          <w:szCs w:val="22"/>
        </w:rPr>
      </w:pPr>
      <w:r w:rsidRPr="009C5EFD">
        <w:rPr>
          <w:sz w:val="22"/>
          <w:szCs w:val="22"/>
        </w:rPr>
        <w:t>Lot</w:t>
      </w:r>
    </w:p>
    <w:p w14:paraId="3D1A1221" w14:textId="77777777" w:rsidR="009534AF" w:rsidRPr="009C5EFD" w:rsidRDefault="009534AF" w:rsidP="002D0790">
      <w:pPr>
        <w:suppressAutoHyphens/>
        <w:ind w:left="54"/>
        <w:jc w:val="both"/>
        <w:rPr>
          <w:sz w:val="22"/>
          <w:szCs w:val="22"/>
        </w:rPr>
      </w:pPr>
    </w:p>
    <w:p w14:paraId="2C3655C1" w14:textId="77777777" w:rsidR="009534AF" w:rsidRPr="009C5EFD" w:rsidRDefault="009534AF" w:rsidP="00C07C98">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8C10A6F" w14:textId="77777777" w:rsidTr="009534AF">
        <w:tc>
          <w:tcPr>
            <w:tcW w:w="9281" w:type="dxa"/>
          </w:tcPr>
          <w:p w14:paraId="3B8497D1" w14:textId="77777777" w:rsidR="009534AF" w:rsidRPr="009C5EFD" w:rsidRDefault="00E453CD" w:rsidP="00E14E58">
            <w:pPr>
              <w:ind w:left="567" w:hanging="567"/>
              <w:rPr>
                <w:b/>
                <w:sz w:val="22"/>
                <w:szCs w:val="22"/>
              </w:rPr>
            </w:pPr>
            <w:r w:rsidRPr="009C5EFD">
              <w:rPr>
                <w:b/>
                <w:sz w:val="22"/>
                <w:szCs w:val="22"/>
              </w:rPr>
              <w:t>5.</w:t>
            </w:r>
            <w:r w:rsidRPr="009C5EFD">
              <w:rPr>
                <w:b/>
                <w:sz w:val="22"/>
                <w:szCs w:val="22"/>
              </w:rPr>
              <w:tab/>
            </w:r>
            <w:r w:rsidR="00903EBB">
              <w:rPr>
                <w:b/>
                <w:sz w:val="22"/>
                <w:szCs w:val="22"/>
              </w:rPr>
              <w:t>INN</w:t>
            </w:r>
            <w:r w:rsidRPr="009C5EFD">
              <w:rPr>
                <w:b/>
                <w:sz w:val="22"/>
                <w:szCs w:val="22"/>
              </w:rPr>
              <w:t>HOLD ANGITT ETTER VEKT, VOLUM ELLER ANTALL DOSER</w:t>
            </w:r>
          </w:p>
        </w:tc>
      </w:tr>
    </w:tbl>
    <w:p w14:paraId="50BA388A" w14:textId="77777777" w:rsidR="009534AF" w:rsidRPr="009C5EFD" w:rsidRDefault="009534AF" w:rsidP="007F67EE">
      <w:pPr>
        <w:suppressAutoHyphens/>
        <w:ind w:left="54"/>
        <w:jc w:val="both"/>
        <w:rPr>
          <w:sz w:val="22"/>
          <w:szCs w:val="22"/>
        </w:rPr>
      </w:pPr>
    </w:p>
    <w:p w14:paraId="1317D569" w14:textId="77777777" w:rsidR="009534AF" w:rsidRPr="009C5EFD" w:rsidRDefault="00E453CD" w:rsidP="00193D76">
      <w:pPr>
        <w:suppressAutoHyphens/>
        <w:ind w:left="54"/>
        <w:jc w:val="both"/>
        <w:rPr>
          <w:sz w:val="22"/>
          <w:szCs w:val="22"/>
        </w:rPr>
      </w:pPr>
      <w:r w:rsidRPr="009C5EFD">
        <w:rPr>
          <w:sz w:val="22"/>
          <w:szCs w:val="22"/>
        </w:rPr>
        <w:t>40 mg/0,4 ml</w:t>
      </w:r>
    </w:p>
    <w:p w14:paraId="1462D75E" w14:textId="77777777" w:rsidR="009534AF" w:rsidRPr="009C5EFD" w:rsidRDefault="009534AF" w:rsidP="002D0790">
      <w:pPr>
        <w:ind w:right="-449"/>
        <w:rPr>
          <w:b/>
          <w:sz w:val="22"/>
          <w:szCs w:val="22"/>
        </w:rPr>
      </w:pPr>
    </w:p>
    <w:p w14:paraId="2EECE9CC" w14:textId="77777777" w:rsidR="009534AF" w:rsidRPr="009C5EFD" w:rsidRDefault="009534AF" w:rsidP="00C07C98">
      <w:pPr>
        <w:ind w:right="-449"/>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F8B8F3" w14:textId="77777777" w:rsidTr="009534AF">
        <w:tc>
          <w:tcPr>
            <w:tcW w:w="9281" w:type="dxa"/>
          </w:tcPr>
          <w:p w14:paraId="51D1F6DF" w14:textId="77777777" w:rsidR="009534AF" w:rsidRPr="009C5EFD" w:rsidRDefault="00E453CD" w:rsidP="00E14E58">
            <w:pPr>
              <w:ind w:left="567" w:hanging="567"/>
              <w:rPr>
                <w:b/>
                <w:sz w:val="22"/>
                <w:szCs w:val="22"/>
              </w:rPr>
            </w:pPr>
            <w:r w:rsidRPr="009C5EFD">
              <w:rPr>
                <w:b/>
                <w:sz w:val="22"/>
                <w:szCs w:val="22"/>
              </w:rPr>
              <w:t>6.</w:t>
            </w:r>
            <w:r w:rsidRPr="009C5EFD">
              <w:rPr>
                <w:b/>
                <w:sz w:val="22"/>
                <w:szCs w:val="22"/>
              </w:rPr>
              <w:tab/>
              <w:t>ANNET</w:t>
            </w:r>
          </w:p>
        </w:tc>
      </w:tr>
    </w:tbl>
    <w:p w14:paraId="26DC50B8" w14:textId="77777777" w:rsidR="00113A69" w:rsidRDefault="00113A69" w:rsidP="001F5D4B">
      <w:pPr>
        <w:ind w:left="54"/>
        <w:rPr>
          <w:b/>
          <w:sz w:val="22"/>
          <w:szCs w:val="22"/>
        </w:rPr>
      </w:pPr>
    </w:p>
    <w:p w14:paraId="6D1161DB" w14:textId="77777777" w:rsidR="00256837" w:rsidRDefault="00E453CD">
      <w:pPr>
        <w:rPr>
          <w:b/>
          <w:sz w:val="22"/>
          <w:szCs w:val="22"/>
        </w:rPr>
      </w:pPr>
      <w:r>
        <w:rPr>
          <w:b/>
          <w:sz w:val="22"/>
          <w:szCs w:val="22"/>
        </w:rPr>
        <w:br w:type="page"/>
      </w:r>
    </w:p>
    <w:p w14:paraId="4EE4058B" w14:textId="77777777" w:rsidR="00113A69" w:rsidRDefault="00113A69" w:rsidP="006A6E99">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D0D5697" w14:textId="77777777" w:rsidTr="00C27517">
        <w:trPr>
          <w:trHeight w:val="1070"/>
        </w:trPr>
        <w:tc>
          <w:tcPr>
            <w:tcW w:w="9281" w:type="dxa"/>
            <w:tcBorders>
              <w:bottom w:val="single" w:sz="4" w:space="0" w:color="auto"/>
            </w:tcBorders>
          </w:tcPr>
          <w:p w14:paraId="1CB5906C" w14:textId="77777777" w:rsidR="00113A69" w:rsidRPr="009C5EFD" w:rsidRDefault="00E453CD" w:rsidP="00C27517">
            <w:pPr>
              <w:rPr>
                <w:sz w:val="22"/>
                <w:szCs w:val="22"/>
              </w:rPr>
            </w:pPr>
            <w:r w:rsidRPr="009C5EFD">
              <w:rPr>
                <w:b/>
                <w:sz w:val="22"/>
                <w:szCs w:val="22"/>
              </w:rPr>
              <w:t xml:space="preserve">OPPLYSNINGER SOM SKAL ANGIS PÅ YTRE EMBALLASJE </w:t>
            </w:r>
          </w:p>
          <w:p w14:paraId="7C723A6D" w14:textId="77777777" w:rsidR="00113A69" w:rsidRPr="009C5EFD" w:rsidRDefault="00113A69" w:rsidP="00C27517">
            <w:pPr>
              <w:rPr>
                <w:sz w:val="22"/>
                <w:szCs w:val="22"/>
              </w:rPr>
            </w:pPr>
          </w:p>
          <w:p w14:paraId="45385478" w14:textId="77777777" w:rsidR="00113A69" w:rsidRPr="009C5EFD" w:rsidRDefault="00E453CD" w:rsidP="00C27517">
            <w:pPr>
              <w:rPr>
                <w:b/>
                <w:sz w:val="22"/>
                <w:szCs w:val="22"/>
              </w:rPr>
            </w:pPr>
            <w:r>
              <w:rPr>
                <w:b/>
                <w:sz w:val="22"/>
                <w:szCs w:val="22"/>
              </w:rPr>
              <w:t>YTTERKARTONG</w:t>
            </w:r>
          </w:p>
        </w:tc>
      </w:tr>
    </w:tbl>
    <w:p w14:paraId="23BF8DEA" w14:textId="77777777" w:rsidR="00113A69" w:rsidRPr="009C5EFD" w:rsidRDefault="00113A69" w:rsidP="00113A69">
      <w:pPr>
        <w:suppressAutoHyphens/>
        <w:ind w:left="54"/>
        <w:rPr>
          <w:sz w:val="22"/>
          <w:szCs w:val="22"/>
        </w:rPr>
      </w:pPr>
    </w:p>
    <w:p w14:paraId="06B4002F"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8B6034D" w14:textId="77777777" w:rsidTr="00C27517">
        <w:tc>
          <w:tcPr>
            <w:tcW w:w="9281" w:type="dxa"/>
          </w:tcPr>
          <w:p w14:paraId="4277CB10" w14:textId="77777777" w:rsidR="00113A69" w:rsidRPr="009C5EFD" w:rsidRDefault="00E453CD" w:rsidP="00C27517">
            <w:pPr>
              <w:ind w:left="567" w:hanging="567"/>
              <w:rPr>
                <w:b/>
                <w:sz w:val="22"/>
                <w:szCs w:val="22"/>
              </w:rPr>
            </w:pPr>
            <w:r w:rsidRPr="009C5EFD">
              <w:rPr>
                <w:b/>
                <w:sz w:val="22"/>
                <w:szCs w:val="22"/>
              </w:rPr>
              <w:t>1.</w:t>
            </w:r>
            <w:r w:rsidRPr="009C5EFD">
              <w:rPr>
                <w:b/>
                <w:sz w:val="22"/>
                <w:szCs w:val="22"/>
              </w:rPr>
              <w:tab/>
              <w:t>LEGEMIDLETS NAVN</w:t>
            </w:r>
          </w:p>
        </w:tc>
      </w:tr>
    </w:tbl>
    <w:p w14:paraId="49A95652" w14:textId="77777777" w:rsidR="00113A69" w:rsidRPr="009C5EFD" w:rsidRDefault="00113A69" w:rsidP="00113A69">
      <w:pPr>
        <w:suppressAutoHyphens/>
        <w:ind w:left="54"/>
        <w:rPr>
          <w:sz w:val="22"/>
          <w:szCs w:val="22"/>
        </w:rPr>
      </w:pPr>
    </w:p>
    <w:p w14:paraId="00616E38" w14:textId="77777777" w:rsidR="00113A69" w:rsidRPr="009C5EFD" w:rsidRDefault="00E453CD" w:rsidP="00113A69">
      <w:pPr>
        <w:suppressAutoHyphens/>
        <w:ind w:left="54"/>
        <w:rPr>
          <w:sz w:val="22"/>
          <w:szCs w:val="22"/>
        </w:rPr>
      </w:pPr>
      <w:r w:rsidRPr="009C5EFD">
        <w:rPr>
          <w:sz w:val="22"/>
          <w:szCs w:val="22"/>
        </w:rPr>
        <w:t>Humira 40 mg injeksjonsvæske, oppløsning i ferdigfylt penn</w:t>
      </w:r>
    </w:p>
    <w:p w14:paraId="34CE196F" w14:textId="77777777" w:rsidR="00113A69" w:rsidRPr="009C5EFD" w:rsidRDefault="00E453CD" w:rsidP="00113A69">
      <w:pPr>
        <w:suppressAutoHyphens/>
        <w:ind w:left="54"/>
        <w:rPr>
          <w:sz w:val="22"/>
          <w:szCs w:val="22"/>
        </w:rPr>
      </w:pPr>
      <w:r w:rsidRPr="009C5EFD">
        <w:rPr>
          <w:sz w:val="22"/>
          <w:szCs w:val="22"/>
        </w:rPr>
        <w:t>adalimumab</w:t>
      </w:r>
    </w:p>
    <w:p w14:paraId="61B28EEA" w14:textId="77777777" w:rsidR="00113A69" w:rsidRPr="009C5EFD" w:rsidRDefault="00113A69" w:rsidP="00113A69">
      <w:pPr>
        <w:pStyle w:val="EndnoteText"/>
        <w:widowControl/>
        <w:tabs>
          <w:tab w:val="clear" w:pos="567"/>
        </w:tabs>
        <w:suppressAutoHyphens/>
        <w:ind w:left="54"/>
        <w:rPr>
          <w:szCs w:val="22"/>
          <w:lang w:val="nb-NO"/>
        </w:rPr>
      </w:pPr>
    </w:p>
    <w:p w14:paraId="1A219C33"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F8EE659" w14:textId="77777777" w:rsidTr="00C27517">
        <w:tc>
          <w:tcPr>
            <w:tcW w:w="9281" w:type="dxa"/>
          </w:tcPr>
          <w:p w14:paraId="1672074E" w14:textId="77777777" w:rsidR="00113A69" w:rsidRPr="009C5EFD" w:rsidRDefault="00E453CD" w:rsidP="00C27517">
            <w:pPr>
              <w:ind w:left="567" w:hanging="567"/>
              <w:rPr>
                <w:b/>
                <w:sz w:val="22"/>
                <w:szCs w:val="22"/>
              </w:rPr>
            </w:pPr>
            <w:r w:rsidRPr="009C5EFD">
              <w:rPr>
                <w:b/>
                <w:sz w:val="22"/>
                <w:szCs w:val="22"/>
              </w:rPr>
              <w:t>2.</w:t>
            </w:r>
            <w:r w:rsidRPr="009C5EFD">
              <w:rPr>
                <w:b/>
                <w:sz w:val="22"/>
                <w:szCs w:val="22"/>
              </w:rPr>
              <w:tab/>
              <w:t xml:space="preserve">DEKLARASJON AV VIRKESTOFF </w:t>
            </w:r>
          </w:p>
        </w:tc>
      </w:tr>
    </w:tbl>
    <w:p w14:paraId="1827A1DA" w14:textId="77777777" w:rsidR="00113A69" w:rsidRPr="009C5EFD" w:rsidRDefault="00113A69" w:rsidP="00113A69">
      <w:pPr>
        <w:suppressAutoHyphens/>
        <w:ind w:left="54"/>
        <w:rPr>
          <w:sz w:val="22"/>
          <w:szCs w:val="22"/>
        </w:rPr>
      </w:pPr>
    </w:p>
    <w:p w14:paraId="4378E08B" w14:textId="77777777" w:rsidR="00113A69" w:rsidRPr="009C5EFD" w:rsidRDefault="00E453CD" w:rsidP="00113A69">
      <w:pPr>
        <w:suppressAutoHyphens/>
        <w:ind w:left="54"/>
        <w:rPr>
          <w:sz w:val="22"/>
          <w:szCs w:val="22"/>
        </w:rPr>
      </w:pPr>
      <w:r>
        <w:rPr>
          <w:sz w:val="22"/>
          <w:szCs w:val="22"/>
        </w:rPr>
        <w:t>En 0,4</w:t>
      </w:r>
      <w:r w:rsidRPr="009C5EFD">
        <w:rPr>
          <w:sz w:val="22"/>
          <w:szCs w:val="22"/>
        </w:rPr>
        <w:t xml:space="preserve"> ml ferdigfylt penn inneholder 40 mg adalimumab</w:t>
      </w:r>
      <w:r w:rsidR="000C6A57">
        <w:rPr>
          <w:sz w:val="22"/>
          <w:szCs w:val="22"/>
        </w:rPr>
        <w:t>.</w:t>
      </w:r>
    </w:p>
    <w:p w14:paraId="0F4AFEC1" w14:textId="77777777" w:rsidR="00113A69" w:rsidRPr="009C5EFD" w:rsidRDefault="00113A69" w:rsidP="00113A69">
      <w:pPr>
        <w:suppressAutoHyphens/>
        <w:ind w:left="54"/>
        <w:rPr>
          <w:sz w:val="22"/>
          <w:szCs w:val="22"/>
        </w:rPr>
      </w:pPr>
    </w:p>
    <w:p w14:paraId="4B1BE5D0"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0B8891A" w14:textId="77777777" w:rsidTr="00C27517">
        <w:tc>
          <w:tcPr>
            <w:tcW w:w="9281" w:type="dxa"/>
          </w:tcPr>
          <w:p w14:paraId="084C4325" w14:textId="77777777" w:rsidR="00113A69" w:rsidRPr="009C5EFD" w:rsidRDefault="00E453CD" w:rsidP="00C27517">
            <w:pPr>
              <w:ind w:left="567" w:hanging="567"/>
              <w:rPr>
                <w:b/>
                <w:sz w:val="22"/>
                <w:szCs w:val="22"/>
              </w:rPr>
            </w:pPr>
            <w:r w:rsidRPr="009C5EFD">
              <w:rPr>
                <w:b/>
                <w:sz w:val="22"/>
                <w:szCs w:val="22"/>
              </w:rPr>
              <w:t>3.</w:t>
            </w:r>
            <w:r w:rsidRPr="009C5EFD">
              <w:rPr>
                <w:b/>
                <w:sz w:val="22"/>
                <w:szCs w:val="22"/>
              </w:rPr>
              <w:tab/>
              <w:t>LISTE OVER HJELPESTOFFER</w:t>
            </w:r>
          </w:p>
        </w:tc>
      </w:tr>
    </w:tbl>
    <w:p w14:paraId="7270A028" w14:textId="77777777" w:rsidR="00113A69" w:rsidRPr="009C5EFD" w:rsidRDefault="00113A69" w:rsidP="00113A69">
      <w:pPr>
        <w:suppressAutoHyphens/>
        <w:ind w:left="54"/>
        <w:rPr>
          <w:sz w:val="22"/>
          <w:szCs w:val="22"/>
        </w:rPr>
      </w:pPr>
    </w:p>
    <w:p w14:paraId="65BD0628" w14:textId="77777777" w:rsidR="00113A69" w:rsidRPr="009C5EFD" w:rsidRDefault="00E453CD" w:rsidP="00113A69">
      <w:pPr>
        <w:ind w:left="54"/>
        <w:rPr>
          <w:sz w:val="22"/>
          <w:szCs w:val="22"/>
        </w:rPr>
      </w:pPr>
      <w:r>
        <w:rPr>
          <w:sz w:val="22"/>
          <w:szCs w:val="22"/>
        </w:rPr>
        <w:t>Hjelpestoffer: m</w:t>
      </w:r>
      <w:r w:rsidRPr="009C5EFD">
        <w:rPr>
          <w:sz w:val="22"/>
          <w:szCs w:val="22"/>
        </w:rPr>
        <w:t>annitol, polysorbat 80 og vann til injeksjonsvæsker. For ytte</w:t>
      </w:r>
      <w:r w:rsidR="00C7418B">
        <w:rPr>
          <w:sz w:val="22"/>
          <w:szCs w:val="22"/>
        </w:rPr>
        <w:t>r</w:t>
      </w:r>
      <w:r w:rsidRPr="009C5EFD">
        <w:rPr>
          <w:sz w:val="22"/>
          <w:szCs w:val="22"/>
        </w:rPr>
        <w:t>ligere informasjon, se pakningsvedlegget.</w:t>
      </w:r>
    </w:p>
    <w:p w14:paraId="1FA20E77" w14:textId="77777777" w:rsidR="00113A69" w:rsidRPr="009C5EFD" w:rsidRDefault="00113A69" w:rsidP="00113A69">
      <w:pPr>
        <w:suppressAutoHyphens/>
        <w:ind w:left="54"/>
        <w:rPr>
          <w:sz w:val="22"/>
          <w:szCs w:val="22"/>
        </w:rPr>
      </w:pPr>
    </w:p>
    <w:p w14:paraId="2711AE38"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1D0695B" w14:textId="77777777" w:rsidTr="00C27517">
        <w:tc>
          <w:tcPr>
            <w:tcW w:w="9281" w:type="dxa"/>
          </w:tcPr>
          <w:p w14:paraId="6C555CA7" w14:textId="77777777" w:rsidR="00113A69" w:rsidRPr="009C5EFD" w:rsidRDefault="00E453CD" w:rsidP="00C27517">
            <w:pPr>
              <w:ind w:left="567" w:hanging="567"/>
              <w:rPr>
                <w:b/>
                <w:sz w:val="22"/>
                <w:szCs w:val="22"/>
              </w:rPr>
            </w:pPr>
            <w:r w:rsidRPr="009C5EFD">
              <w:rPr>
                <w:b/>
                <w:sz w:val="22"/>
                <w:szCs w:val="22"/>
              </w:rPr>
              <w:t>4.</w:t>
            </w:r>
            <w:r w:rsidRPr="009C5EFD">
              <w:rPr>
                <w:b/>
                <w:sz w:val="22"/>
                <w:szCs w:val="22"/>
              </w:rPr>
              <w:tab/>
              <w:t>LEGEMIDDELFORM OG INNHOLD (PAKNINGSSTØRRELSE)</w:t>
            </w:r>
          </w:p>
        </w:tc>
      </w:tr>
    </w:tbl>
    <w:p w14:paraId="5366971B" w14:textId="77777777" w:rsidR="00113A69" w:rsidRPr="009C5EFD" w:rsidRDefault="00113A69" w:rsidP="00113A69">
      <w:pPr>
        <w:suppressAutoHyphens/>
        <w:ind w:left="54"/>
        <w:rPr>
          <w:sz w:val="22"/>
          <w:szCs w:val="22"/>
        </w:rPr>
      </w:pPr>
    </w:p>
    <w:p w14:paraId="21BFD8DA" w14:textId="77777777" w:rsidR="00373337" w:rsidRDefault="00E453CD" w:rsidP="00113A69">
      <w:pPr>
        <w:suppressAutoHyphens/>
        <w:ind w:left="54"/>
        <w:rPr>
          <w:sz w:val="22"/>
          <w:szCs w:val="22"/>
        </w:rPr>
      </w:pPr>
      <w:r w:rsidRPr="00771F39">
        <w:rPr>
          <w:sz w:val="22"/>
          <w:szCs w:val="22"/>
          <w:highlight w:val="lightGray"/>
        </w:rPr>
        <w:t>Injeksjonsvæske</w:t>
      </w:r>
      <w:r w:rsidR="004E1C37" w:rsidRPr="00602A37">
        <w:rPr>
          <w:sz w:val="22"/>
          <w:szCs w:val="22"/>
          <w:highlight w:val="lightGray"/>
        </w:rPr>
        <w:t>, oppløsning</w:t>
      </w:r>
    </w:p>
    <w:p w14:paraId="57EEE834" w14:textId="77777777" w:rsidR="00113A69" w:rsidRPr="009C5EFD" w:rsidRDefault="00E453CD" w:rsidP="00113A69">
      <w:pPr>
        <w:suppressAutoHyphens/>
        <w:ind w:left="54"/>
        <w:rPr>
          <w:sz w:val="22"/>
          <w:szCs w:val="22"/>
        </w:rPr>
      </w:pPr>
      <w:r w:rsidRPr="009C5EFD">
        <w:rPr>
          <w:sz w:val="22"/>
          <w:szCs w:val="22"/>
        </w:rPr>
        <w:t>1 ferdigfylt penn</w:t>
      </w:r>
    </w:p>
    <w:p w14:paraId="034EF7E6" w14:textId="77777777" w:rsidR="00113A69" w:rsidRDefault="00E453CD" w:rsidP="00113A69">
      <w:pPr>
        <w:suppressAutoHyphens/>
        <w:ind w:left="54"/>
        <w:rPr>
          <w:sz w:val="22"/>
          <w:szCs w:val="22"/>
        </w:rPr>
      </w:pPr>
      <w:r>
        <w:rPr>
          <w:sz w:val="22"/>
          <w:szCs w:val="22"/>
        </w:rPr>
        <w:t>2</w:t>
      </w:r>
      <w:r w:rsidRPr="009C5EFD">
        <w:rPr>
          <w:sz w:val="22"/>
          <w:szCs w:val="22"/>
        </w:rPr>
        <w:t xml:space="preserve"> injeksjonstørk</w:t>
      </w:r>
    </w:p>
    <w:p w14:paraId="0788E057" w14:textId="77777777" w:rsidR="00373337" w:rsidRDefault="00373337" w:rsidP="00113A69">
      <w:pPr>
        <w:suppressAutoHyphens/>
        <w:ind w:left="54"/>
        <w:rPr>
          <w:sz w:val="22"/>
          <w:szCs w:val="22"/>
        </w:rPr>
      </w:pPr>
    </w:p>
    <w:p w14:paraId="29131C69" w14:textId="77777777" w:rsidR="00373337" w:rsidRPr="00AB7697" w:rsidRDefault="00E453CD" w:rsidP="00373337">
      <w:pPr>
        <w:suppressAutoHyphens/>
        <w:ind w:left="54"/>
        <w:rPr>
          <w:sz w:val="22"/>
          <w:szCs w:val="22"/>
          <w:highlight w:val="lightGray"/>
        </w:rPr>
      </w:pPr>
      <w:r w:rsidRPr="00AB7697">
        <w:rPr>
          <w:sz w:val="22"/>
          <w:szCs w:val="22"/>
          <w:highlight w:val="lightGray"/>
        </w:rPr>
        <w:t>2 ferdigfylte penner</w:t>
      </w:r>
    </w:p>
    <w:p w14:paraId="5D35B875" w14:textId="77777777" w:rsidR="00373337" w:rsidRPr="00AB7697" w:rsidRDefault="00E453CD" w:rsidP="00373337">
      <w:pPr>
        <w:suppressAutoHyphens/>
        <w:ind w:left="54"/>
        <w:rPr>
          <w:sz w:val="22"/>
          <w:szCs w:val="22"/>
          <w:highlight w:val="lightGray"/>
        </w:rPr>
      </w:pPr>
      <w:r w:rsidRPr="00AB7697">
        <w:rPr>
          <w:sz w:val="22"/>
          <w:szCs w:val="22"/>
          <w:highlight w:val="lightGray"/>
        </w:rPr>
        <w:t>2 injeksjonstørk</w:t>
      </w:r>
    </w:p>
    <w:p w14:paraId="70F246AA" w14:textId="77777777" w:rsidR="00373337" w:rsidRPr="00AB7697" w:rsidRDefault="00373337" w:rsidP="00373337">
      <w:pPr>
        <w:suppressAutoHyphens/>
        <w:ind w:left="54"/>
        <w:rPr>
          <w:sz w:val="22"/>
          <w:szCs w:val="22"/>
          <w:highlight w:val="lightGray"/>
        </w:rPr>
      </w:pPr>
    </w:p>
    <w:p w14:paraId="198DEE55" w14:textId="77777777" w:rsidR="00373337" w:rsidRPr="00AB7697" w:rsidRDefault="00E453CD" w:rsidP="00373337">
      <w:pPr>
        <w:suppressAutoHyphens/>
        <w:ind w:left="54"/>
        <w:rPr>
          <w:sz w:val="22"/>
          <w:szCs w:val="22"/>
          <w:highlight w:val="lightGray"/>
        </w:rPr>
      </w:pPr>
      <w:r w:rsidRPr="00AB7697">
        <w:rPr>
          <w:sz w:val="22"/>
          <w:szCs w:val="22"/>
          <w:highlight w:val="lightGray"/>
        </w:rPr>
        <w:t>4 ferdigfylte penner</w:t>
      </w:r>
    </w:p>
    <w:p w14:paraId="74FCEF0B" w14:textId="77777777" w:rsidR="00373337" w:rsidRPr="00AB7697" w:rsidRDefault="00E453CD" w:rsidP="00373337">
      <w:pPr>
        <w:suppressAutoHyphens/>
        <w:ind w:left="54"/>
        <w:rPr>
          <w:sz w:val="22"/>
          <w:szCs w:val="22"/>
          <w:highlight w:val="lightGray"/>
        </w:rPr>
      </w:pPr>
      <w:r w:rsidRPr="00AB7697">
        <w:rPr>
          <w:sz w:val="22"/>
          <w:szCs w:val="22"/>
          <w:highlight w:val="lightGray"/>
        </w:rPr>
        <w:t>4 injeksjonstørk</w:t>
      </w:r>
    </w:p>
    <w:p w14:paraId="266B73BB" w14:textId="77777777" w:rsidR="00373337" w:rsidRPr="00AB7697" w:rsidRDefault="00373337" w:rsidP="00373337">
      <w:pPr>
        <w:suppressAutoHyphens/>
        <w:ind w:left="54"/>
        <w:rPr>
          <w:sz w:val="22"/>
          <w:szCs w:val="22"/>
          <w:highlight w:val="lightGray"/>
        </w:rPr>
      </w:pPr>
    </w:p>
    <w:p w14:paraId="034394CB" w14:textId="77777777" w:rsidR="00373337" w:rsidRPr="00AB7697" w:rsidRDefault="00E453CD" w:rsidP="00373337">
      <w:pPr>
        <w:suppressAutoHyphens/>
        <w:ind w:left="54"/>
        <w:rPr>
          <w:sz w:val="22"/>
          <w:szCs w:val="22"/>
          <w:highlight w:val="lightGray"/>
        </w:rPr>
      </w:pPr>
      <w:r w:rsidRPr="00AB7697">
        <w:rPr>
          <w:sz w:val="22"/>
          <w:szCs w:val="22"/>
          <w:highlight w:val="lightGray"/>
        </w:rPr>
        <w:t>6 ferdigfylte penner</w:t>
      </w:r>
    </w:p>
    <w:p w14:paraId="52AFEAA4" w14:textId="77777777" w:rsidR="00373337" w:rsidRPr="009C5EFD" w:rsidRDefault="00E453CD" w:rsidP="00373337">
      <w:pPr>
        <w:suppressAutoHyphens/>
        <w:ind w:left="54"/>
        <w:rPr>
          <w:sz w:val="22"/>
          <w:szCs w:val="22"/>
        </w:rPr>
      </w:pPr>
      <w:r w:rsidRPr="00AB7697">
        <w:rPr>
          <w:sz w:val="22"/>
          <w:szCs w:val="22"/>
          <w:highlight w:val="lightGray"/>
        </w:rPr>
        <w:t>6 injeksjonstørk</w:t>
      </w:r>
    </w:p>
    <w:p w14:paraId="41C96694" w14:textId="77777777" w:rsidR="00113A69" w:rsidRPr="009C5EFD" w:rsidRDefault="00113A69" w:rsidP="00113A69">
      <w:pPr>
        <w:suppressAutoHyphens/>
        <w:ind w:left="54"/>
        <w:rPr>
          <w:sz w:val="22"/>
          <w:szCs w:val="22"/>
        </w:rPr>
      </w:pPr>
    </w:p>
    <w:p w14:paraId="667113CE"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09D0533" w14:textId="77777777" w:rsidTr="00C27517">
        <w:tc>
          <w:tcPr>
            <w:tcW w:w="9281" w:type="dxa"/>
          </w:tcPr>
          <w:p w14:paraId="1B11B016" w14:textId="77777777" w:rsidR="00113A69" w:rsidRPr="009C5EFD" w:rsidRDefault="00E453CD" w:rsidP="00C27517">
            <w:pPr>
              <w:ind w:left="567" w:hanging="567"/>
              <w:rPr>
                <w:b/>
                <w:sz w:val="22"/>
                <w:szCs w:val="22"/>
              </w:rPr>
            </w:pPr>
            <w:r w:rsidRPr="009C5EFD">
              <w:rPr>
                <w:b/>
                <w:sz w:val="22"/>
                <w:szCs w:val="22"/>
              </w:rPr>
              <w:t>5.</w:t>
            </w:r>
            <w:r w:rsidRPr="009C5EFD">
              <w:rPr>
                <w:b/>
                <w:sz w:val="22"/>
                <w:szCs w:val="22"/>
              </w:rPr>
              <w:tab/>
              <w:t xml:space="preserve">ADMINISTRASJONSMÅTE OG </w:t>
            </w:r>
            <w:r w:rsidR="0050174A">
              <w:rPr>
                <w:b/>
                <w:sz w:val="22"/>
                <w:szCs w:val="22"/>
              </w:rPr>
              <w:t>-</w:t>
            </w:r>
            <w:r w:rsidR="0050174A" w:rsidRPr="009C5EFD">
              <w:rPr>
                <w:b/>
                <w:sz w:val="22"/>
                <w:szCs w:val="22"/>
              </w:rPr>
              <w:t>VEI</w:t>
            </w:r>
          </w:p>
        </w:tc>
      </w:tr>
    </w:tbl>
    <w:p w14:paraId="72DD3AC2" w14:textId="77777777" w:rsidR="00113A69" w:rsidRPr="009C5EFD" w:rsidRDefault="00113A69" w:rsidP="00113A69">
      <w:pPr>
        <w:suppressAutoHyphens/>
        <w:ind w:left="54"/>
        <w:rPr>
          <w:sz w:val="22"/>
          <w:szCs w:val="22"/>
        </w:rPr>
      </w:pPr>
    </w:p>
    <w:p w14:paraId="2C241E63" w14:textId="77777777" w:rsidR="00113A69" w:rsidRPr="009C5EFD" w:rsidRDefault="00E453CD" w:rsidP="00113A69">
      <w:pPr>
        <w:suppressAutoHyphens/>
        <w:ind w:left="54"/>
        <w:rPr>
          <w:sz w:val="22"/>
          <w:szCs w:val="22"/>
        </w:rPr>
      </w:pPr>
      <w:r w:rsidRPr="009C5EFD">
        <w:rPr>
          <w:sz w:val="22"/>
          <w:szCs w:val="22"/>
        </w:rPr>
        <w:t>Subkutan bruk</w:t>
      </w:r>
    </w:p>
    <w:p w14:paraId="00AE83D3" w14:textId="77777777" w:rsidR="00113A69" w:rsidRPr="009C5EFD" w:rsidRDefault="00113A69" w:rsidP="00113A69">
      <w:pPr>
        <w:suppressAutoHyphens/>
        <w:ind w:left="54"/>
        <w:rPr>
          <w:sz w:val="22"/>
          <w:szCs w:val="22"/>
        </w:rPr>
      </w:pPr>
    </w:p>
    <w:p w14:paraId="4203F08C" w14:textId="77777777" w:rsidR="00113A69" w:rsidRDefault="00E453CD" w:rsidP="00113A69">
      <w:pPr>
        <w:suppressAutoHyphens/>
        <w:ind w:left="54"/>
        <w:rPr>
          <w:sz w:val="22"/>
          <w:szCs w:val="22"/>
        </w:rPr>
      </w:pPr>
      <w:r w:rsidRPr="009C5EFD">
        <w:rPr>
          <w:sz w:val="22"/>
          <w:szCs w:val="22"/>
        </w:rPr>
        <w:t>Les pakningsvedlegget før bruk.</w:t>
      </w:r>
    </w:p>
    <w:p w14:paraId="2C2FFBDC" w14:textId="77777777" w:rsidR="003D7A0C" w:rsidRDefault="003D7A0C" w:rsidP="00113A69">
      <w:pPr>
        <w:suppressAutoHyphens/>
        <w:ind w:left="54"/>
        <w:rPr>
          <w:sz w:val="22"/>
          <w:szCs w:val="22"/>
        </w:rPr>
      </w:pPr>
    </w:p>
    <w:p w14:paraId="47DDF36C" w14:textId="77777777" w:rsidR="003D7A0C" w:rsidRPr="009C5EFD" w:rsidRDefault="00E453CD" w:rsidP="00113A69">
      <w:pPr>
        <w:suppressAutoHyphens/>
        <w:ind w:left="54"/>
        <w:rPr>
          <w:sz w:val="22"/>
          <w:szCs w:val="22"/>
        </w:rPr>
      </w:pPr>
      <w:r w:rsidRPr="009C5EFD">
        <w:rPr>
          <w:sz w:val="22"/>
          <w:szCs w:val="22"/>
        </w:rPr>
        <w:t>Kun til engangsbruk.</w:t>
      </w:r>
    </w:p>
    <w:p w14:paraId="28D06189" w14:textId="77777777" w:rsidR="00113A69" w:rsidRPr="009C5EFD" w:rsidRDefault="00113A69" w:rsidP="00113A69">
      <w:pPr>
        <w:suppressAutoHyphens/>
        <w:ind w:left="54"/>
        <w:rPr>
          <w:sz w:val="22"/>
          <w:szCs w:val="22"/>
        </w:rPr>
      </w:pPr>
    </w:p>
    <w:p w14:paraId="5D3A7C71"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4EBA337" w14:textId="77777777" w:rsidTr="00C27517">
        <w:tc>
          <w:tcPr>
            <w:tcW w:w="9281" w:type="dxa"/>
          </w:tcPr>
          <w:p w14:paraId="27C4D351" w14:textId="77777777" w:rsidR="00113A69" w:rsidRPr="009C5EFD" w:rsidRDefault="00E453CD" w:rsidP="00C27517">
            <w:pPr>
              <w:ind w:left="567" w:hanging="567"/>
              <w:rPr>
                <w:b/>
                <w:sz w:val="22"/>
                <w:szCs w:val="22"/>
              </w:rPr>
            </w:pPr>
            <w:r w:rsidRPr="009C5EFD">
              <w:rPr>
                <w:b/>
                <w:sz w:val="22"/>
                <w:szCs w:val="22"/>
              </w:rPr>
              <w:t>6.</w:t>
            </w:r>
            <w:r w:rsidRPr="009C5EFD">
              <w:rPr>
                <w:b/>
                <w:sz w:val="22"/>
                <w:szCs w:val="22"/>
              </w:rPr>
              <w:tab/>
              <w:t>ADVARSEL OM AT LEGEMIDLET SKAL OPPBEVARES UTILGJENGELIG FOR BARN</w:t>
            </w:r>
          </w:p>
        </w:tc>
      </w:tr>
    </w:tbl>
    <w:p w14:paraId="1EE15830" w14:textId="77777777" w:rsidR="00113A69" w:rsidRPr="009C5EFD" w:rsidRDefault="00113A69" w:rsidP="00113A69">
      <w:pPr>
        <w:suppressAutoHyphens/>
        <w:ind w:left="54"/>
        <w:rPr>
          <w:sz w:val="22"/>
          <w:szCs w:val="22"/>
        </w:rPr>
      </w:pPr>
    </w:p>
    <w:p w14:paraId="4600EFCC" w14:textId="77777777" w:rsidR="00113A69" w:rsidRPr="009C5EFD" w:rsidRDefault="00E453CD" w:rsidP="00113A69">
      <w:pPr>
        <w:suppressAutoHyphens/>
        <w:ind w:left="54"/>
        <w:rPr>
          <w:sz w:val="22"/>
          <w:szCs w:val="22"/>
        </w:rPr>
      </w:pPr>
      <w:r w:rsidRPr="009C5EFD">
        <w:rPr>
          <w:sz w:val="22"/>
          <w:szCs w:val="22"/>
        </w:rPr>
        <w:t>Oppbevares utilgjengelig for barn.</w:t>
      </w:r>
    </w:p>
    <w:p w14:paraId="2CFC2E17" w14:textId="77777777" w:rsidR="00113A69" w:rsidRPr="009C5EFD" w:rsidRDefault="00113A69" w:rsidP="00113A69">
      <w:pPr>
        <w:suppressAutoHyphens/>
        <w:ind w:left="54"/>
        <w:rPr>
          <w:sz w:val="22"/>
          <w:szCs w:val="22"/>
        </w:rPr>
      </w:pPr>
    </w:p>
    <w:p w14:paraId="6180FF0C"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87ED0BA" w14:textId="77777777" w:rsidTr="00C27517">
        <w:tc>
          <w:tcPr>
            <w:tcW w:w="9281" w:type="dxa"/>
          </w:tcPr>
          <w:p w14:paraId="2CC54F45" w14:textId="77777777" w:rsidR="00113A69" w:rsidRPr="009C5EFD" w:rsidRDefault="00E453CD" w:rsidP="00C27517">
            <w:pPr>
              <w:ind w:left="567" w:hanging="567"/>
              <w:rPr>
                <w:b/>
                <w:sz w:val="22"/>
                <w:szCs w:val="22"/>
              </w:rPr>
            </w:pPr>
            <w:r w:rsidRPr="009C5EFD">
              <w:rPr>
                <w:b/>
                <w:sz w:val="22"/>
                <w:szCs w:val="22"/>
              </w:rPr>
              <w:t>7.</w:t>
            </w:r>
            <w:r w:rsidRPr="009C5EFD">
              <w:rPr>
                <w:b/>
                <w:sz w:val="22"/>
                <w:szCs w:val="22"/>
              </w:rPr>
              <w:tab/>
              <w:t>EVENTUELLE ANDRE SPESIELLE ADVARSLER</w:t>
            </w:r>
          </w:p>
        </w:tc>
      </w:tr>
    </w:tbl>
    <w:p w14:paraId="241A2E10" w14:textId="77777777" w:rsidR="00113A69" w:rsidRPr="009C5EFD" w:rsidRDefault="00113A69" w:rsidP="00113A69">
      <w:pPr>
        <w:suppressAutoHyphens/>
        <w:ind w:left="54"/>
        <w:rPr>
          <w:sz w:val="22"/>
          <w:szCs w:val="22"/>
        </w:rPr>
      </w:pPr>
    </w:p>
    <w:p w14:paraId="1B65E206"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DC758A4" w14:textId="77777777" w:rsidTr="00C27517">
        <w:tc>
          <w:tcPr>
            <w:tcW w:w="9281" w:type="dxa"/>
          </w:tcPr>
          <w:p w14:paraId="2E9CBB39" w14:textId="77777777" w:rsidR="00113A69" w:rsidRPr="009C5EFD" w:rsidRDefault="00E453CD" w:rsidP="00C27517">
            <w:pPr>
              <w:ind w:left="567" w:hanging="567"/>
              <w:rPr>
                <w:b/>
                <w:sz w:val="22"/>
                <w:szCs w:val="22"/>
              </w:rPr>
            </w:pPr>
            <w:r w:rsidRPr="009C5EFD">
              <w:rPr>
                <w:b/>
                <w:sz w:val="22"/>
                <w:szCs w:val="22"/>
              </w:rPr>
              <w:t>8.</w:t>
            </w:r>
            <w:r w:rsidRPr="009C5EFD">
              <w:rPr>
                <w:b/>
                <w:sz w:val="22"/>
                <w:szCs w:val="22"/>
              </w:rPr>
              <w:tab/>
              <w:t>UTLØPSDATO</w:t>
            </w:r>
          </w:p>
        </w:tc>
      </w:tr>
    </w:tbl>
    <w:p w14:paraId="73A06ABC" w14:textId="77777777" w:rsidR="00113A69" w:rsidRPr="009C5EFD" w:rsidRDefault="00113A69" w:rsidP="00113A69">
      <w:pPr>
        <w:suppressAutoHyphens/>
        <w:ind w:left="621" w:hanging="567"/>
        <w:rPr>
          <w:sz w:val="22"/>
          <w:szCs w:val="22"/>
        </w:rPr>
      </w:pPr>
    </w:p>
    <w:p w14:paraId="6C2BA25C" w14:textId="77777777" w:rsidR="00113A69" w:rsidRPr="009C5EFD" w:rsidRDefault="00E453CD" w:rsidP="00113A69">
      <w:pPr>
        <w:suppressAutoHyphens/>
        <w:ind w:left="54"/>
        <w:rPr>
          <w:sz w:val="22"/>
          <w:szCs w:val="22"/>
        </w:rPr>
      </w:pPr>
      <w:r>
        <w:rPr>
          <w:sz w:val="22"/>
          <w:szCs w:val="22"/>
        </w:rPr>
        <w:t>EXP</w:t>
      </w:r>
    </w:p>
    <w:p w14:paraId="61008B32" w14:textId="77777777" w:rsidR="00113A69" w:rsidRDefault="00113A69" w:rsidP="00113A69">
      <w:pPr>
        <w:ind w:left="54"/>
        <w:rPr>
          <w:sz w:val="22"/>
          <w:szCs w:val="22"/>
        </w:rPr>
      </w:pPr>
    </w:p>
    <w:p w14:paraId="6CE8ED08" w14:textId="77777777" w:rsidR="00450F58" w:rsidRPr="009C5EFD" w:rsidRDefault="00450F58" w:rsidP="00113A69">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2FDB583" w14:textId="77777777" w:rsidTr="00C27517">
        <w:tc>
          <w:tcPr>
            <w:tcW w:w="9281" w:type="dxa"/>
          </w:tcPr>
          <w:p w14:paraId="3EDA2D04" w14:textId="77777777" w:rsidR="00113A69" w:rsidRPr="009C5EFD" w:rsidRDefault="00E453CD" w:rsidP="005A1DEF">
            <w:pPr>
              <w:keepNext/>
              <w:ind w:left="567" w:hanging="567"/>
              <w:rPr>
                <w:b/>
                <w:sz w:val="22"/>
                <w:szCs w:val="22"/>
              </w:rPr>
            </w:pPr>
            <w:r w:rsidRPr="009C5EFD">
              <w:br w:type="page"/>
            </w:r>
            <w:r w:rsidRPr="009C5EFD">
              <w:rPr>
                <w:b/>
                <w:sz w:val="22"/>
                <w:szCs w:val="22"/>
              </w:rPr>
              <w:t>9.</w:t>
            </w:r>
            <w:r w:rsidRPr="009C5EFD">
              <w:rPr>
                <w:b/>
                <w:sz w:val="22"/>
                <w:szCs w:val="22"/>
              </w:rPr>
              <w:tab/>
              <w:t>OPPBEVARINGSBETINGELSER</w:t>
            </w:r>
          </w:p>
        </w:tc>
      </w:tr>
    </w:tbl>
    <w:p w14:paraId="6A29523B" w14:textId="77777777" w:rsidR="00113A69" w:rsidRPr="009C5EFD" w:rsidRDefault="00113A69" w:rsidP="005A1DEF">
      <w:pPr>
        <w:keepNext/>
        <w:suppressAutoHyphens/>
        <w:ind w:left="54"/>
        <w:rPr>
          <w:sz w:val="22"/>
          <w:szCs w:val="22"/>
        </w:rPr>
      </w:pPr>
    </w:p>
    <w:p w14:paraId="4E449400" w14:textId="77777777" w:rsidR="00113A69" w:rsidRPr="009C5EFD" w:rsidRDefault="00E453CD" w:rsidP="005A1DEF">
      <w:pPr>
        <w:keepNext/>
        <w:suppressAutoHyphens/>
        <w:ind w:left="54"/>
        <w:rPr>
          <w:sz w:val="22"/>
          <w:szCs w:val="22"/>
        </w:rPr>
      </w:pPr>
      <w:r w:rsidRPr="009C5EFD">
        <w:rPr>
          <w:sz w:val="22"/>
          <w:szCs w:val="22"/>
        </w:rPr>
        <w:t>Oppbevares i kjøleskap. Skal ikke fryses.</w:t>
      </w:r>
    </w:p>
    <w:p w14:paraId="37EE936D" w14:textId="77777777" w:rsidR="00113A69" w:rsidRPr="009C5EFD" w:rsidRDefault="00E453CD" w:rsidP="005A1DEF">
      <w:pPr>
        <w:keepNext/>
        <w:suppressAutoHyphens/>
        <w:ind w:left="54"/>
        <w:rPr>
          <w:sz w:val="22"/>
          <w:szCs w:val="22"/>
        </w:rPr>
      </w:pPr>
      <w:r w:rsidRPr="009C5EFD">
        <w:rPr>
          <w:sz w:val="22"/>
          <w:szCs w:val="22"/>
        </w:rPr>
        <w:t>Se pakningsvedlegg for alternative oppbevaringsbetingelser.</w:t>
      </w:r>
    </w:p>
    <w:p w14:paraId="569A84C1" w14:textId="77777777" w:rsidR="00113A69" w:rsidRPr="009C5EFD" w:rsidRDefault="00E453CD" w:rsidP="005A1DEF">
      <w:pPr>
        <w:keepNext/>
        <w:suppressAutoHyphens/>
        <w:ind w:left="54"/>
        <w:rPr>
          <w:sz w:val="22"/>
          <w:szCs w:val="22"/>
        </w:rPr>
      </w:pPr>
      <w:r>
        <w:rPr>
          <w:sz w:val="22"/>
          <w:szCs w:val="22"/>
        </w:rPr>
        <w:t>Den ferdigfylte p</w:t>
      </w:r>
      <w:r w:rsidRPr="009C5EFD">
        <w:rPr>
          <w:sz w:val="22"/>
          <w:szCs w:val="22"/>
        </w:rPr>
        <w:t>ennen oppbevares i ytterkartongen for å beskytte mot lys.</w:t>
      </w:r>
    </w:p>
    <w:p w14:paraId="00E3B6E2" w14:textId="77777777" w:rsidR="00113A69" w:rsidRPr="009C5EFD" w:rsidRDefault="00113A69" w:rsidP="005A1DEF">
      <w:pPr>
        <w:keepNext/>
        <w:suppressAutoHyphens/>
        <w:ind w:left="54"/>
        <w:rPr>
          <w:sz w:val="22"/>
          <w:szCs w:val="22"/>
        </w:rPr>
      </w:pPr>
    </w:p>
    <w:p w14:paraId="3AEBBC9E" w14:textId="77777777" w:rsidR="00113A69" w:rsidRPr="009C5EFD" w:rsidRDefault="00113A69" w:rsidP="005A1DEF">
      <w:pPr>
        <w:keepNext/>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0C9B084" w14:textId="77777777" w:rsidTr="00C27517">
        <w:tc>
          <w:tcPr>
            <w:tcW w:w="9281" w:type="dxa"/>
          </w:tcPr>
          <w:p w14:paraId="00AFBBF1" w14:textId="77777777" w:rsidR="00113A69" w:rsidRPr="009C5EFD" w:rsidRDefault="00E453CD" w:rsidP="00C27517">
            <w:pPr>
              <w:ind w:left="567" w:hanging="567"/>
              <w:rPr>
                <w:b/>
                <w:sz w:val="22"/>
                <w:szCs w:val="22"/>
              </w:rPr>
            </w:pPr>
            <w:r w:rsidRPr="009C5EFD">
              <w:rPr>
                <w:b/>
                <w:sz w:val="22"/>
                <w:szCs w:val="22"/>
              </w:rPr>
              <w:t>10.</w:t>
            </w:r>
            <w:r w:rsidRPr="009C5EFD">
              <w:rPr>
                <w:b/>
                <w:sz w:val="22"/>
                <w:szCs w:val="22"/>
              </w:rPr>
              <w:tab/>
              <w:t>EVENTUELLE SPESIELLE FORHOLDSREGLER VED DESTRUKSJON AV UBRUKTE LEGEMIDLER ELLER AVFALL</w:t>
            </w:r>
          </w:p>
        </w:tc>
      </w:tr>
    </w:tbl>
    <w:p w14:paraId="048598FE" w14:textId="77777777" w:rsidR="00113A69" w:rsidRPr="009C5EFD" w:rsidRDefault="00113A69" w:rsidP="00113A69">
      <w:pPr>
        <w:suppressAutoHyphens/>
        <w:ind w:left="54"/>
        <w:rPr>
          <w:sz w:val="22"/>
          <w:szCs w:val="22"/>
        </w:rPr>
      </w:pPr>
    </w:p>
    <w:p w14:paraId="144AE99F"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640DD15" w14:textId="77777777" w:rsidTr="00C27517">
        <w:tc>
          <w:tcPr>
            <w:tcW w:w="9281" w:type="dxa"/>
          </w:tcPr>
          <w:p w14:paraId="18F125B9" w14:textId="77777777" w:rsidR="00113A69" w:rsidRPr="009C5EFD" w:rsidRDefault="00E453CD" w:rsidP="00C27517">
            <w:pPr>
              <w:ind w:left="567" w:hanging="567"/>
              <w:rPr>
                <w:b/>
                <w:sz w:val="22"/>
                <w:szCs w:val="22"/>
              </w:rPr>
            </w:pPr>
            <w:r w:rsidRPr="009C5EFD">
              <w:rPr>
                <w:b/>
                <w:sz w:val="22"/>
                <w:szCs w:val="22"/>
              </w:rPr>
              <w:t>11.</w:t>
            </w:r>
            <w:r w:rsidRPr="009C5EFD">
              <w:rPr>
                <w:b/>
                <w:sz w:val="22"/>
                <w:szCs w:val="22"/>
              </w:rPr>
              <w:tab/>
              <w:t>NAVN OG ADRESSE PÅ INNEHAVEREN AV MARKEDSFØRINGSTILLATELSEN</w:t>
            </w:r>
          </w:p>
        </w:tc>
      </w:tr>
    </w:tbl>
    <w:p w14:paraId="316E5548" w14:textId="77777777" w:rsidR="00113A69" w:rsidRPr="009C5EFD" w:rsidRDefault="00113A69" w:rsidP="00113A69">
      <w:pPr>
        <w:suppressAutoHyphens/>
        <w:ind w:left="54"/>
        <w:rPr>
          <w:sz w:val="22"/>
          <w:szCs w:val="22"/>
        </w:rPr>
      </w:pPr>
    </w:p>
    <w:p w14:paraId="70CA7F4C" w14:textId="77777777" w:rsidR="00DD76CF" w:rsidRPr="00EF12DF" w:rsidRDefault="00E453CD" w:rsidP="00DD76CF">
      <w:pPr>
        <w:rPr>
          <w:sz w:val="22"/>
          <w:szCs w:val="22"/>
        </w:rPr>
      </w:pPr>
      <w:r w:rsidRPr="00EF12DF">
        <w:rPr>
          <w:sz w:val="22"/>
          <w:szCs w:val="22"/>
        </w:rPr>
        <w:t>AbbVie Deutschland GmbH &amp; Co. KG</w:t>
      </w:r>
    </w:p>
    <w:p w14:paraId="23828624" w14:textId="77777777" w:rsidR="00DD76CF" w:rsidRPr="00EF12DF" w:rsidRDefault="00E453CD" w:rsidP="00DD76CF">
      <w:pPr>
        <w:rPr>
          <w:sz w:val="22"/>
          <w:szCs w:val="22"/>
        </w:rPr>
      </w:pPr>
      <w:r w:rsidRPr="00EF12DF">
        <w:rPr>
          <w:sz w:val="22"/>
          <w:szCs w:val="22"/>
        </w:rPr>
        <w:t>Knollstrasse</w:t>
      </w:r>
    </w:p>
    <w:p w14:paraId="6160CC8C" w14:textId="77777777" w:rsidR="00DD76CF" w:rsidRPr="00EF12DF" w:rsidRDefault="00E453CD" w:rsidP="00DD76CF">
      <w:pPr>
        <w:rPr>
          <w:sz w:val="22"/>
          <w:szCs w:val="22"/>
        </w:rPr>
      </w:pPr>
      <w:r w:rsidRPr="00EF12DF">
        <w:rPr>
          <w:sz w:val="22"/>
          <w:szCs w:val="22"/>
        </w:rPr>
        <w:t>67061 Ludwigshafen</w:t>
      </w:r>
    </w:p>
    <w:p w14:paraId="5993FCE9" w14:textId="77777777" w:rsidR="00DD76CF" w:rsidRPr="009C5EFD" w:rsidRDefault="00E453CD" w:rsidP="00DD76CF">
      <w:pPr>
        <w:rPr>
          <w:sz w:val="22"/>
          <w:szCs w:val="22"/>
        </w:rPr>
      </w:pPr>
      <w:r>
        <w:rPr>
          <w:sz w:val="22"/>
          <w:szCs w:val="22"/>
        </w:rPr>
        <w:t>Tyskland</w:t>
      </w:r>
    </w:p>
    <w:p w14:paraId="1D5A5F9F" w14:textId="77777777" w:rsidR="00113A69" w:rsidRPr="003F000C" w:rsidRDefault="00113A69" w:rsidP="00113A69">
      <w:pPr>
        <w:suppressAutoHyphens/>
        <w:ind w:left="54"/>
        <w:rPr>
          <w:sz w:val="22"/>
          <w:szCs w:val="22"/>
          <w:lang w:val="sv-SE"/>
        </w:rPr>
      </w:pPr>
    </w:p>
    <w:p w14:paraId="2F131C99" w14:textId="77777777" w:rsidR="00113A69" w:rsidRPr="003F000C" w:rsidRDefault="00113A69" w:rsidP="00113A69">
      <w:pPr>
        <w:suppressAutoHyphens/>
        <w:ind w:left="54"/>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83CF6FB" w14:textId="77777777" w:rsidTr="00C27517">
        <w:tc>
          <w:tcPr>
            <w:tcW w:w="9281" w:type="dxa"/>
          </w:tcPr>
          <w:p w14:paraId="0B3CD827" w14:textId="77777777" w:rsidR="00113A69" w:rsidRPr="009C5EFD" w:rsidRDefault="00E453CD" w:rsidP="00C27517">
            <w:pPr>
              <w:ind w:left="567" w:hanging="567"/>
              <w:rPr>
                <w:b/>
                <w:sz w:val="22"/>
                <w:szCs w:val="22"/>
              </w:rPr>
            </w:pPr>
            <w:r w:rsidRPr="009C5EFD">
              <w:rPr>
                <w:b/>
                <w:sz w:val="22"/>
                <w:szCs w:val="22"/>
              </w:rPr>
              <w:t>12.</w:t>
            </w:r>
            <w:r w:rsidRPr="009C5EFD">
              <w:rPr>
                <w:b/>
                <w:sz w:val="22"/>
                <w:szCs w:val="22"/>
              </w:rPr>
              <w:tab/>
              <w:t>MARKEDSFØRINGSTILLATELSESNUMMER (NUMRE)</w:t>
            </w:r>
          </w:p>
        </w:tc>
      </w:tr>
    </w:tbl>
    <w:p w14:paraId="15DBD879" w14:textId="77777777" w:rsidR="00113A69" w:rsidRPr="009C5EFD" w:rsidRDefault="00113A69" w:rsidP="00113A69">
      <w:pPr>
        <w:suppressAutoHyphens/>
        <w:ind w:left="54"/>
        <w:rPr>
          <w:sz w:val="22"/>
          <w:szCs w:val="22"/>
        </w:rPr>
      </w:pPr>
    </w:p>
    <w:p w14:paraId="2E0C52E7" w14:textId="77777777" w:rsidR="00113A69" w:rsidRDefault="00E453CD" w:rsidP="00113A69">
      <w:pPr>
        <w:ind w:left="54"/>
        <w:rPr>
          <w:sz w:val="22"/>
          <w:szCs w:val="22"/>
        </w:rPr>
      </w:pPr>
      <w:r w:rsidRPr="009C5EFD">
        <w:rPr>
          <w:sz w:val="22"/>
          <w:szCs w:val="22"/>
        </w:rPr>
        <w:t>EU/1/03/256/0</w:t>
      </w:r>
      <w:r>
        <w:rPr>
          <w:sz w:val="22"/>
          <w:szCs w:val="22"/>
        </w:rPr>
        <w:t>16</w:t>
      </w:r>
    </w:p>
    <w:p w14:paraId="29D5438F" w14:textId="77777777" w:rsidR="003D7A0C" w:rsidRPr="00AB7697" w:rsidRDefault="00E453CD" w:rsidP="00113A69">
      <w:pPr>
        <w:ind w:left="54"/>
        <w:rPr>
          <w:sz w:val="22"/>
          <w:szCs w:val="22"/>
          <w:highlight w:val="lightGray"/>
        </w:rPr>
      </w:pPr>
      <w:r w:rsidRPr="00AB7697">
        <w:rPr>
          <w:sz w:val="22"/>
          <w:szCs w:val="22"/>
          <w:highlight w:val="lightGray"/>
        </w:rPr>
        <w:t>EU/1/03/256/017</w:t>
      </w:r>
    </w:p>
    <w:p w14:paraId="758D7E0B" w14:textId="77777777" w:rsidR="003D7A0C" w:rsidRPr="00AB7697" w:rsidRDefault="00E453CD" w:rsidP="00113A69">
      <w:pPr>
        <w:ind w:left="54"/>
        <w:rPr>
          <w:sz w:val="22"/>
          <w:szCs w:val="22"/>
          <w:highlight w:val="lightGray"/>
        </w:rPr>
      </w:pPr>
      <w:r w:rsidRPr="00AB7697">
        <w:rPr>
          <w:sz w:val="22"/>
          <w:szCs w:val="22"/>
          <w:highlight w:val="lightGray"/>
        </w:rPr>
        <w:t>EU/1/03/256/018</w:t>
      </w:r>
    </w:p>
    <w:p w14:paraId="50295592" w14:textId="77777777" w:rsidR="003D7A0C" w:rsidRPr="009C5EFD" w:rsidRDefault="00E453CD" w:rsidP="00113A69">
      <w:pPr>
        <w:ind w:left="54"/>
        <w:rPr>
          <w:sz w:val="22"/>
          <w:szCs w:val="22"/>
        </w:rPr>
      </w:pPr>
      <w:r w:rsidRPr="00AB7697">
        <w:rPr>
          <w:sz w:val="22"/>
          <w:szCs w:val="22"/>
          <w:highlight w:val="lightGray"/>
        </w:rPr>
        <w:t>EU/1/03/256/019</w:t>
      </w:r>
    </w:p>
    <w:p w14:paraId="5CC49954" w14:textId="77777777" w:rsidR="00113A69" w:rsidRPr="009C5EFD" w:rsidRDefault="00113A69" w:rsidP="00113A69">
      <w:pPr>
        <w:ind w:left="54"/>
        <w:rPr>
          <w:sz w:val="22"/>
          <w:szCs w:val="22"/>
        </w:rPr>
      </w:pPr>
    </w:p>
    <w:p w14:paraId="7D3B1CCE" w14:textId="77777777" w:rsidR="00113A69" w:rsidRPr="009C5EFD" w:rsidRDefault="00113A69" w:rsidP="00113A69">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61C682D" w14:textId="77777777" w:rsidTr="00C27517">
        <w:tc>
          <w:tcPr>
            <w:tcW w:w="9281" w:type="dxa"/>
          </w:tcPr>
          <w:p w14:paraId="5FCCFD40" w14:textId="77777777" w:rsidR="00113A69" w:rsidRPr="009C5EFD" w:rsidRDefault="00E453CD" w:rsidP="00C27517">
            <w:pPr>
              <w:ind w:left="567" w:hanging="567"/>
              <w:rPr>
                <w:b/>
                <w:sz w:val="22"/>
                <w:szCs w:val="22"/>
              </w:rPr>
            </w:pPr>
            <w:r w:rsidRPr="009C5EFD">
              <w:rPr>
                <w:b/>
                <w:sz w:val="22"/>
                <w:szCs w:val="22"/>
              </w:rPr>
              <w:t>13.</w:t>
            </w:r>
            <w:r w:rsidRPr="009C5EFD">
              <w:rPr>
                <w:b/>
                <w:sz w:val="22"/>
                <w:szCs w:val="22"/>
              </w:rPr>
              <w:tab/>
              <w:t>PRODUKSJONSNUMMER</w:t>
            </w:r>
          </w:p>
        </w:tc>
      </w:tr>
    </w:tbl>
    <w:p w14:paraId="1AD55DB7" w14:textId="77777777" w:rsidR="00113A69" w:rsidRPr="009C5EFD" w:rsidRDefault="00113A69" w:rsidP="00113A69">
      <w:pPr>
        <w:ind w:left="54"/>
        <w:rPr>
          <w:sz w:val="22"/>
          <w:szCs w:val="22"/>
        </w:rPr>
      </w:pPr>
    </w:p>
    <w:p w14:paraId="06790762" w14:textId="77777777" w:rsidR="00113A69" w:rsidRPr="009C5EFD" w:rsidRDefault="00E453CD" w:rsidP="00113A69">
      <w:pPr>
        <w:ind w:left="54"/>
        <w:rPr>
          <w:sz w:val="22"/>
          <w:szCs w:val="22"/>
        </w:rPr>
      </w:pPr>
      <w:r w:rsidRPr="009C5EFD">
        <w:rPr>
          <w:sz w:val="22"/>
          <w:szCs w:val="22"/>
        </w:rPr>
        <w:t>Lot</w:t>
      </w:r>
    </w:p>
    <w:p w14:paraId="6C1CDC2B" w14:textId="77777777" w:rsidR="00113A69" w:rsidRPr="009C5EFD" w:rsidRDefault="00113A69" w:rsidP="00113A69">
      <w:pPr>
        <w:ind w:left="54"/>
        <w:rPr>
          <w:sz w:val="22"/>
          <w:szCs w:val="22"/>
        </w:rPr>
      </w:pPr>
    </w:p>
    <w:p w14:paraId="2A3745D9" w14:textId="77777777" w:rsidR="00113A69" w:rsidRPr="009C5EFD" w:rsidRDefault="00113A69" w:rsidP="00113A69">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2FD8167" w14:textId="77777777" w:rsidTr="00C27517">
        <w:tc>
          <w:tcPr>
            <w:tcW w:w="9281" w:type="dxa"/>
          </w:tcPr>
          <w:p w14:paraId="257F62C9" w14:textId="77777777" w:rsidR="00113A69" w:rsidRPr="009C5EFD" w:rsidRDefault="00E453CD" w:rsidP="00C27517">
            <w:pPr>
              <w:ind w:left="567" w:hanging="567"/>
              <w:rPr>
                <w:b/>
                <w:sz w:val="22"/>
                <w:szCs w:val="22"/>
              </w:rPr>
            </w:pPr>
            <w:r w:rsidRPr="009C5EFD">
              <w:rPr>
                <w:b/>
                <w:sz w:val="22"/>
                <w:szCs w:val="22"/>
              </w:rPr>
              <w:t>14.</w:t>
            </w:r>
            <w:r w:rsidRPr="009C5EFD">
              <w:rPr>
                <w:b/>
                <w:sz w:val="22"/>
                <w:szCs w:val="22"/>
              </w:rPr>
              <w:tab/>
              <w:t>GENERELL KLASSIFIKASJON FOR UTLEVERING</w:t>
            </w:r>
          </w:p>
        </w:tc>
      </w:tr>
    </w:tbl>
    <w:p w14:paraId="725A11B9" w14:textId="77777777" w:rsidR="00113A69" w:rsidRPr="009C5EFD" w:rsidRDefault="00113A69" w:rsidP="00113A69">
      <w:pPr>
        <w:suppressAutoHyphens/>
        <w:ind w:left="774" w:hanging="720"/>
        <w:rPr>
          <w:sz w:val="22"/>
          <w:szCs w:val="22"/>
        </w:rPr>
      </w:pPr>
    </w:p>
    <w:p w14:paraId="0466E716" w14:textId="77777777" w:rsidR="00113A69" w:rsidRPr="009C5EFD" w:rsidRDefault="00113A69" w:rsidP="00113A69">
      <w:pPr>
        <w:suppressAutoHyphens/>
        <w:ind w:left="774" w:hanging="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88BB355" w14:textId="77777777" w:rsidTr="00C27517">
        <w:tc>
          <w:tcPr>
            <w:tcW w:w="9281" w:type="dxa"/>
          </w:tcPr>
          <w:p w14:paraId="7ABBFAA6" w14:textId="77777777" w:rsidR="00113A69" w:rsidRPr="009C5EFD" w:rsidRDefault="00E453CD" w:rsidP="00C27517">
            <w:pPr>
              <w:ind w:left="567" w:hanging="567"/>
              <w:rPr>
                <w:b/>
                <w:sz w:val="22"/>
                <w:szCs w:val="22"/>
              </w:rPr>
            </w:pPr>
            <w:r w:rsidRPr="009C5EFD">
              <w:rPr>
                <w:b/>
                <w:sz w:val="22"/>
                <w:szCs w:val="22"/>
              </w:rPr>
              <w:t>15.</w:t>
            </w:r>
            <w:r w:rsidRPr="009C5EFD">
              <w:rPr>
                <w:b/>
                <w:sz w:val="22"/>
                <w:szCs w:val="22"/>
              </w:rPr>
              <w:tab/>
              <w:t>BRUKSANVISNING</w:t>
            </w:r>
          </w:p>
        </w:tc>
      </w:tr>
    </w:tbl>
    <w:p w14:paraId="426B95A0" w14:textId="77777777" w:rsidR="00113A69" w:rsidRPr="00D968A3" w:rsidRDefault="00113A69" w:rsidP="00113A69">
      <w:pPr>
        <w:ind w:left="54"/>
        <w:rPr>
          <w:sz w:val="22"/>
          <w:szCs w:val="22"/>
        </w:rPr>
      </w:pPr>
    </w:p>
    <w:p w14:paraId="3457FB7C" w14:textId="77777777" w:rsidR="00113A69" w:rsidRPr="00D968A3" w:rsidRDefault="00113A69" w:rsidP="00113A69">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FF53A4B" w14:textId="77777777" w:rsidTr="00C27517">
        <w:tc>
          <w:tcPr>
            <w:tcW w:w="9281" w:type="dxa"/>
          </w:tcPr>
          <w:p w14:paraId="2E578E27" w14:textId="77777777" w:rsidR="00113A69" w:rsidRPr="009C5EFD" w:rsidRDefault="00E453CD" w:rsidP="00C27517">
            <w:pPr>
              <w:ind w:left="567" w:hanging="567"/>
              <w:rPr>
                <w:b/>
                <w:sz w:val="22"/>
                <w:szCs w:val="22"/>
              </w:rPr>
            </w:pPr>
            <w:r w:rsidRPr="009C5EFD">
              <w:rPr>
                <w:b/>
                <w:sz w:val="22"/>
                <w:szCs w:val="22"/>
              </w:rPr>
              <w:t>16.</w:t>
            </w:r>
            <w:r w:rsidRPr="009C5EFD">
              <w:rPr>
                <w:b/>
                <w:sz w:val="22"/>
                <w:szCs w:val="22"/>
              </w:rPr>
              <w:tab/>
              <w:t>INFORMASJON PÅ BLINDESKRIFT</w:t>
            </w:r>
          </w:p>
        </w:tc>
      </w:tr>
    </w:tbl>
    <w:p w14:paraId="2DCA3E11" w14:textId="77777777" w:rsidR="00113A69" w:rsidRPr="00D968A3" w:rsidRDefault="00113A69" w:rsidP="00113A69">
      <w:pPr>
        <w:ind w:left="54"/>
        <w:rPr>
          <w:sz w:val="22"/>
          <w:szCs w:val="22"/>
        </w:rPr>
      </w:pPr>
    </w:p>
    <w:p w14:paraId="42BBDE87" w14:textId="77777777" w:rsidR="00C91246" w:rsidRDefault="00E453CD" w:rsidP="00113A69">
      <w:pPr>
        <w:ind w:left="54"/>
        <w:rPr>
          <w:sz w:val="22"/>
          <w:szCs w:val="22"/>
        </w:rPr>
      </w:pPr>
      <w:r w:rsidRPr="009C5EFD">
        <w:rPr>
          <w:sz w:val="22"/>
          <w:szCs w:val="22"/>
        </w:rPr>
        <w:t>Humira 40 mg</w:t>
      </w:r>
    </w:p>
    <w:p w14:paraId="3C54BE67" w14:textId="77777777" w:rsidR="00C91246" w:rsidRDefault="00C91246" w:rsidP="00C91246">
      <w:pPr>
        <w:ind w:left="54"/>
        <w:rPr>
          <w:sz w:val="22"/>
          <w:szCs w:val="22"/>
        </w:rPr>
      </w:pPr>
    </w:p>
    <w:p w14:paraId="1A195BB3" w14:textId="77777777" w:rsidR="00C91246" w:rsidRPr="001E2ACA" w:rsidRDefault="00C91246" w:rsidP="00C91246">
      <w:pPr>
        <w:tabs>
          <w:tab w:val="left" w:pos="562"/>
        </w:tabs>
        <w:suppressAutoHyphens/>
        <w:ind w:left="540" w:hanging="540"/>
        <w:rPr>
          <w:sz w:val="22"/>
          <w:lang w:val="en-GB"/>
        </w:rPr>
      </w:pPr>
    </w:p>
    <w:p w14:paraId="59DF932E" w14:textId="77777777" w:rsidR="00C91246" w:rsidRPr="00126088" w:rsidRDefault="00E453CD" w:rsidP="00C91246">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F05EB5">
        <w:rPr>
          <w:b/>
          <w:bCs/>
          <w:caps/>
          <w:sz w:val="22"/>
          <w:szCs w:val="20"/>
        </w:rPr>
        <w:t xml:space="preserve">17. </w:t>
      </w:r>
      <w:r w:rsidRPr="00F05EB5">
        <w:rPr>
          <w:b/>
          <w:bCs/>
          <w:caps/>
          <w:sz w:val="22"/>
          <w:szCs w:val="20"/>
        </w:rPr>
        <w:tab/>
      </w:r>
      <w:r w:rsidRPr="00126088">
        <w:rPr>
          <w:b/>
          <w:bCs/>
          <w:caps/>
          <w:sz w:val="22"/>
          <w:szCs w:val="20"/>
        </w:rPr>
        <w:t>SIKKERHETSANORDNING (UNIK IDENTITET) – TODIMENSJONAL STREKKODE</w:t>
      </w:r>
    </w:p>
    <w:p w14:paraId="711E2B8B" w14:textId="77777777" w:rsidR="00C91246" w:rsidRPr="00126088" w:rsidRDefault="00C91246" w:rsidP="00C91246">
      <w:pPr>
        <w:tabs>
          <w:tab w:val="left" w:pos="562"/>
        </w:tabs>
        <w:suppressAutoHyphens/>
        <w:rPr>
          <w:sz w:val="22"/>
        </w:rPr>
      </w:pPr>
    </w:p>
    <w:p w14:paraId="2D79598D" w14:textId="77777777" w:rsidR="00C91246" w:rsidRPr="00F05EB5" w:rsidRDefault="00E453CD" w:rsidP="00C91246">
      <w:pPr>
        <w:tabs>
          <w:tab w:val="left" w:pos="562"/>
        </w:tabs>
        <w:suppressAutoHyphens/>
        <w:rPr>
          <w:sz w:val="22"/>
          <w:shd w:val="clear" w:color="auto" w:fill="BFBFBF"/>
        </w:rPr>
      </w:pPr>
      <w:r w:rsidRPr="00F05EB5">
        <w:rPr>
          <w:sz w:val="22"/>
          <w:shd w:val="clear" w:color="auto" w:fill="BFBFBF"/>
        </w:rPr>
        <w:t>Todimensjonal strekkode, inkludert unik identitet</w:t>
      </w:r>
      <w:r>
        <w:rPr>
          <w:sz w:val="22"/>
          <w:shd w:val="clear" w:color="auto" w:fill="BFBFBF"/>
        </w:rPr>
        <w:t>.</w:t>
      </w:r>
    </w:p>
    <w:p w14:paraId="236D38FC" w14:textId="77777777" w:rsidR="00C91246" w:rsidRDefault="00C91246" w:rsidP="00C91246">
      <w:pPr>
        <w:tabs>
          <w:tab w:val="left" w:pos="562"/>
        </w:tabs>
        <w:suppressAutoHyphens/>
        <w:rPr>
          <w:sz w:val="22"/>
          <w:shd w:val="clear" w:color="auto" w:fill="BFBFBF"/>
        </w:rPr>
      </w:pPr>
    </w:p>
    <w:p w14:paraId="302FEF51" w14:textId="77777777" w:rsidR="00844B4D" w:rsidRPr="00F05EB5" w:rsidRDefault="00844B4D" w:rsidP="00C91246">
      <w:pPr>
        <w:tabs>
          <w:tab w:val="left" w:pos="562"/>
        </w:tabs>
        <w:suppressAutoHyphens/>
        <w:rPr>
          <w:sz w:val="22"/>
          <w:shd w:val="clear" w:color="auto" w:fill="BFBFBF"/>
        </w:rPr>
      </w:pPr>
    </w:p>
    <w:p w14:paraId="39FCD31D" w14:textId="77777777" w:rsidR="00C91246" w:rsidRPr="00126088" w:rsidRDefault="00E453CD" w:rsidP="00C91246">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F05EB5">
        <w:rPr>
          <w:b/>
          <w:bCs/>
          <w:caps/>
          <w:sz w:val="22"/>
          <w:szCs w:val="20"/>
        </w:rPr>
        <w:lastRenderedPageBreak/>
        <w:t xml:space="preserve">18. </w:t>
      </w:r>
      <w:r w:rsidRPr="00F05EB5">
        <w:rPr>
          <w:b/>
          <w:bCs/>
          <w:caps/>
          <w:sz w:val="22"/>
          <w:szCs w:val="20"/>
        </w:rPr>
        <w:tab/>
      </w:r>
      <w:r w:rsidRPr="00126088">
        <w:rPr>
          <w:b/>
          <w:bCs/>
          <w:caps/>
          <w:sz w:val="22"/>
          <w:szCs w:val="20"/>
        </w:rPr>
        <w:t>SIKKERHETSANORDNING (UNIK IDENTITET) – I ET FORMAT LESBART FOR MENNESKER</w:t>
      </w:r>
    </w:p>
    <w:p w14:paraId="333BCD76" w14:textId="77777777" w:rsidR="00C91246" w:rsidRPr="00126088" w:rsidRDefault="00C91246" w:rsidP="00C91246">
      <w:pPr>
        <w:keepNext/>
        <w:tabs>
          <w:tab w:val="left" w:pos="562"/>
        </w:tabs>
        <w:suppressAutoHyphens/>
        <w:ind w:left="540" w:hanging="540"/>
        <w:rPr>
          <w:sz w:val="22"/>
        </w:rPr>
      </w:pPr>
    </w:p>
    <w:p w14:paraId="1845FE1D" w14:textId="77777777" w:rsidR="00C91246" w:rsidRPr="001E2ACA" w:rsidRDefault="00E453CD" w:rsidP="00C91246">
      <w:pPr>
        <w:keepNext/>
        <w:tabs>
          <w:tab w:val="left" w:pos="562"/>
        </w:tabs>
        <w:suppressAutoHyphens/>
        <w:ind w:left="540" w:hanging="540"/>
        <w:rPr>
          <w:sz w:val="22"/>
          <w:lang w:val="en-GB"/>
        </w:rPr>
      </w:pPr>
      <w:r w:rsidRPr="001E2ACA">
        <w:rPr>
          <w:sz w:val="22"/>
          <w:lang w:val="en-GB"/>
        </w:rPr>
        <w:t>PC</w:t>
      </w:r>
    </w:p>
    <w:p w14:paraId="503254A2" w14:textId="77777777" w:rsidR="00C91246" w:rsidRPr="001E2ACA" w:rsidRDefault="00E453CD" w:rsidP="00C91246">
      <w:pPr>
        <w:keepNext/>
        <w:tabs>
          <w:tab w:val="left" w:pos="562"/>
        </w:tabs>
        <w:suppressAutoHyphens/>
        <w:ind w:left="540" w:hanging="540"/>
        <w:rPr>
          <w:sz w:val="22"/>
          <w:lang w:val="en-GB"/>
        </w:rPr>
      </w:pPr>
      <w:r w:rsidRPr="001E2ACA">
        <w:rPr>
          <w:sz w:val="22"/>
          <w:lang w:val="en-GB"/>
        </w:rPr>
        <w:t>SN</w:t>
      </w:r>
    </w:p>
    <w:p w14:paraId="35E5AA3C" w14:textId="77777777" w:rsidR="00113A69" w:rsidRPr="009C5EFD" w:rsidRDefault="00E453CD" w:rsidP="005A1DEF">
      <w:pPr>
        <w:rPr>
          <w:sz w:val="22"/>
          <w:szCs w:val="22"/>
        </w:rPr>
      </w:pPr>
      <w:r w:rsidRPr="006936CB">
        <w:rPr>
          <w:sz w:val="22"/>
          <w:highlight w:val="lightGray"/>
          <w:lang w:val="en-GB"/>
        </w:rPr>
        <w:t>NN</w:t>
      </w:r>
      <w:r w:rsidRPr="009C5EFD">
        <w:rPr>
          <w:b/>
          <w:sz w:val="22"/>
          <w:szCs w:val="22"/>
        </w:rPr>
        <w:br w:type="page"/>
      </w:r>
    </w:p>
    <w:p w14:paraId="46C0A267" w14:textId="77777777" w:rsidR="00113A69" w:rsidRPr="009C5EFD" w:rsidRDefault="00113A69" w:rsidP="005A1DEF">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6C4BFF2" w14:textId="77777777" w:rsidTr="00C27517">
        <w:tc>
          <w:tcPr>
            <w:tcW w:w="9281" w:type="dxa"/>
          </w:tcPr>
          <w:p w14:paraId="672324C1" w14:textId="77777777" w:rsidR="00113A69" w:rsidRPr="009C5EFD" w:rsidRDefault="00E453CD" w:rsidP="00C27517">
            <w:pPr>
              <w:rPr>
                <w:b/>
                <w:sz w:val="22"/>
                <w:szCs w:val="22"/>
              </w:rPr>
            </w:pPr>
            <w:r w:rsidRPr="009C5EFD">
              <w:rPr>
                <w:b/>
                <w:sz w:val="22"/>
                <w:szCs w:val="22"/>
              </w:rPr>
              <w:t>MINSTEKRAV TIL OPPLYSNINGER SOM SKAL ANGIS PÅ BLISTER</w:t>
            </w:r>
            <w:r w:rsidR="000629D5">
              <w:rPr>
                <w:b/>
                <w:sz w:val="22"/>
                <w:szCs w:val="22"/>
              </w:rPr>
              <w:t xml:space="preserve"> ELLER STRIP</w:t>
            </w:r>
          </w:p>
          <w:p w14:paraId="4A45EA10" w14:textId="77777777" w:rsidR="00113A69" w:rsidRPr="009C5EFD" w:rsidRDefault="00113A69" w:rsidP="00C27517">
            <w:pPr>
              <w:rPr>
                <w:b/>
                <w:sz w:val="22"/>
                <w:szCs w:val="22"/>
              </w:rPr>
            </w:pPr>
          </w:p>
          <w:p w14:paraId="77313B81" w14:textId="77777777" w:rsidR="00113A69" w:rsidRPr="009C5EFD" w:rsidRDefault="00E453CD" w:rsidP="00C27517">
            <w:pPr>
              <w:rPr>
                <w:b/>
                <w:sz w:val="22"/>
                <w:szCs w:val="22"/>
              </w:rPr>
            </w:pPr>
            <w:r>
              <w:rPr>
                <w:b/>
                <w:sz w:val="22"/>
                <w:szCs w:val="22"/>
              </w:rPr>
              <w:t>TEKST PÅ BRETT</w:t>
            </w:r>
          </w:p>
        </w:tc>
      </w:tr>
    </w:tbl>
    <w:p w14:paraId="350478F6" w14:textId="77777777" w:rsidR="00113A69" w:rsidRPr="009C5EFD" w:rsidRDefault="00113A69" w:rsidP="00113A69">
      <w:pPr>
        <w:ind w:left="54"/>
        <w:rPr>
          <w:sz w:val="22"/>
          <w:szCs w:val="22"/>
        </w:rPr>
      </w:pPr>
    </w:p>
    <w:p w14:paraId="07A14B3D" w14:textId="77777777" w:rsidR="00113A69" w:rsidRPr="009C5EFD" w:rsidRDefault="00113A69" w:rsidP="00113A69">
      <w:pPr>
        <w:ind w:left="621"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7ECF248" w14:textId="77777777" w:rsidTr="00C27517">
        <w:tc>
          <w:tcPr>
            <w:tcW w:w="9281" w:type="dxa"/>
          </w:tcPr>
          <w:p w14:paraId="51D01CC7" w14:textId="77777777" w:rsidR="00113A69" w:rsidRPr="009C5EFD" w:rsidRDefault="00E453CD" w:rsidP="00C27517">
            <w:pPr>
              <w:ind w:left="567" w:hanging="567"/>
              <w:rPr>
                <w:b/>
                <w:sz w:val="22"/>
                <w:szCs w:val="22"/>
              </w:rPr>
            </w:pPr>
            <w:r w:rsidRPr="009C5EFD">
              <w:rPr>
                <w:b/>
                <w:sz w:val="22"/>
                <w:szCs w:val="22"/>
              </w:rPr>
              <w:t>1.</w:t>
            </w:r>
            <w:r w:rsidRPr="009C5EFD">
              <w:rPr>
                <w:b/>
                <w:sz w:val="22"/>
                <w:szCs w:val="22"/>
              </w:rPr>
              <w:tab/>
              <w:t>LEGEMIDLETS NAVN</w:t>
            </w:r>
          </w:p>
        </w:tc>
      </w:tr>
    </w:tbl>
    <w:p w14:paraId="181794E4" w14:textId="77777777" w:rsidR="00113A69" w:rsidRPr="009C5EFD" w:rsidRDefault="00113A69" w:rsidP="00113A69">
      <w:pPr>
        <w:suppressAutoHyphens/>
        <w:ind w:left="54"/>
        <w:rPr>
          <w:sz w:val="22"/>
          <w:szCs w:val="22"/>
        </w:rPr>
      </w:pPr>
    </w:p>
    <w:p w14:paraId="5BB7B569" w14:textId="77777777" w:rsidR="00113A69" w:rsidRPr="009C5EFD" w:rsidRDefault="00E453CD" w:rsidP="00113A69">
      <w:pPr>
        <w:suppressAutoHyphens/>
        <w:ind w:left="54"/>
        <w:rPr>
          <w:sz w:val="22"/>
          <w:szCs w:val="22"/>
        </w:rPr>
      </w:pPr>
      <w:r w:rsidRPr="009C5EFD">
        <w:rPr>
          <w:sz w:val="22"/>
          <w:szCs w:val="22"/>
        </w:rPr>
        <w:t>Humira 40 mg injeksjonsvæske, oppløsning i ferdigfylt penn</w:t>
      </w:r>
    </w:p>
    <w:p w14:paraId="31B75B08" w14:textId="77777777" w:rsidR="00113A69" w:rsidRPr="009C5EFD" w:rsidRDefault="00E453CD" w:rsidP="00113A69">
      <w:pPr>
        <w:suppressAutoHyphens/>
        <w:ind w:left="54"/>
        <w:rPr>
          <w:sz w:val="22"/>
          <w:szCs w:val="22"/>
        </w:rPr>
      </w:pPr>
      <w:r w:rsidRPr="009C5EFD">
        <w:rPr>
          <w:sz w:val="22"/>
          <w:szCs w:val="22"/>
        </w:rPr>
        <w:t>adalimumab</w:t>
      </w:r>
    </w:p>
    <w:p w14:paraId="622C0C3C" w14:textId="77777777" w:rsidR="00113A69" w:rsidRPr="009C5EFD" w:rsidRDefault="00113A69" w:rsidP="00113A69">
      <w:pPr>
        <w:suppressAutoHyphens/>
        <w:ind w:left="54"/>
        <w:rPr>
          <w:sz w:val="22"/>
          <w:szCs w:val="22"/>
        </w:rPr>
      </w:pPr>
    </w:p>
    <w:p w14:paraId="4EDE3AD4"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E6F245B" w14:textId="77777777" w:rsidTr="00C27517">
        <w:tc>
          <w:tcPr>
            <w:tcW w:w="9281" w:type="dxa"/>
          </w:tcPr>
          <w:p w14:paraId="3E83B979" w14:textId="77777777" w:rsidR="00113A69" w:rsidRPr="009C5EFD" w:rsidRDefault="00E453CD" w:rsidP="00C27517">
            <w:pPr>
              <w:ind w:left="567" w:hanging="567"/>
              <w:rPr>
                <w:b/>
                <w:sz w:val="22"/>
                <w:szCs w:val="22"/>
              </w:rPr>
            </w:pPr>
            <w:r w:rsidRPr="009C5EFD">
              <w:rPr>
                <w:b/>
                <w:sz w:val="22"/>
                <w:szCs w:val="22"/>
              </w:rPr>
              <w:t>2.</w:t>
            </w:r>
            <w:r w:rsidRPr="009C5EFD">
              <w:rPr>
                <w:b/>
                <w:sz w:val="22"/>
                <w:szCs w:val="22"/>
              </w:rPr>
              <w:tab/>
              <w:t>NAVN PÅ INNEHAVEREN AV MARKEDSFØRINGSTILLATELSEN</w:t>
            </w:r>
          </w:p>
        </w:tc>
      </w:tr>
    </w:tbl>
    <w:p w14:paraId="68D2A93F" w14:textId="77777777" w:rsidR="00113A69" w:rsidRPr="009C5EFD" w:rsidRDefault="00113A69" w:rsidP="00113A69">
      <w:pPr>
        <w:suppressAutoHyphens/>
        <w:ind w:left="54"/>
        <w:rPr>
          <w:sz w:val="22"/>
          <w:szCs w:val="22"/>
        </w:rPr>
      </w:pPr>
    </w:p>
    <w:p w14:paraId="74B3CF31" w14:textId="77777777" w:rsidR="00113A69" w:rsidRPr="009C5EFD" w:rsidRDefault="00E453CD" w:rsidP="00113A69">
      <w:pPr>
        <w:suppressAutoHyphens/>
        <w:ind w:left="54"/>
        <w:rPr>
          <w:sz w:val="22"/>
          <w:szCs w:val="22"/>
        </w:rPr>
      </w:pPr>
      <w:r w:rsidRPr="009C5EFD">
        <w:rPr>
          <w:sz w:val="22"/>
          <w:szCs w:val="22"/>
        </w:rPr>
        <w:t xml:space="preserve">AbbVie </w:t>
      </w:r>
      <w:r w:rsidR="00DD76CF" w:rsidRPr="00637363">
        <w:rPr>
          <w:sz w:val="22"/>
          <w:szCs w:val="22"/>
          <w:highlight w:val="lightGray"/>
        </w:rPr>
        <w:t>(som logo)</w:t>
      </w:r>
    </w:p>
    <w:p w14:paraId="31208DED" w14:textId="77777777" w:rsidR="00113A69" w:rsidRPr="009C5EFD" w:rsidRDefault="00113A69" w:rsidP="00113A69">
      <w:pPr>
        <w:suppressAutoHyphens/>
        <w:ind w:left="54"/>
        <w:rPr>
          <w:sz w:val="22"/>
          <w:szCs w:val="22"/>
        </w:rPr>
      </w:pPr>
    </w:p>
    <w:p w14:paraId="48F19224" w14:textId="77777777" w:rsidR="00113A69" w:rsidRPr="009C5EFD" w:rsidRDefault="00113A69" w:rsidP="00113A69">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368C64F" w14:textId="77777777" w:rsidTr="00C27517">
        <w:tc>
          <w:tcPr>
            <w:tcW w:w="9281" w:type="dxa"/>
          </w:tcPr>
          <w:p w14:paraId="76804F22" w14:textId="77777777" w:rsidR="00113A69" w:rsidRPr="009C5EFD" w:rsidRDefault="00E453CD" w:rsidP="00C27517">
            <w:pPr>
              <w:ind w:left="567" w:hanging="567"/>
              <w:rPr>
                <w:b/>
                <w:sz w:val="22"/>
                <w:szCs w:val="22"/>
              </w:rPr>
            </w:pPr>
            <w:r w:rsidRPr="009C5EFD">
              <w:rPr>
                <w:b/>
                <w:sz w:val="22"/>
                <w:szCs w:val="22"/>
              </w:rPr>
              <w:t>3.</w:t>
            </w:r>
            <w:r w:rsidRPr="009C5EFD">
              <w:rPr>
                <w:b/>
                <w:sz w:val="22"/>
                <w:szCs w:val="22"/>
              </w:rPr>
              <w:tab/>
              <w:t>UTLØPSDATO</w:t>
            </w:r>
          </w:p>
        </w:tc>
      </w:tr>
    </w:tbl>
    <w:p w14:paraId="558CA162" w14:textId="77777777" w:rsidR="00113A69" w:rsidRPr="009C5EFD" w:rsidRDefault="00113A69" w:rsidP="00113A69">
      <w:pPr>
        <w:suppressAutoHyphens/>
        <w:ind w:left="54"/>
        <w:jc w:val="both"/>
        <w:rPr>
          <w:sz w:val="22"/>
          <w:szCs w:val="22"/>
        </w:rPr>
      </w:pPr>
    </w:p>
    <w:p w14:paraId="0F1820E5" w14:textId="77777777" w:rsidR="00113A69" w:rsidRPr="009C5EFD" w:rsidRDefault="00E453CD" w:rsidP="00113A69">
      <w:pPr>
        <w:suppressAutoHyphens/>
        <w:jc w:val="both"/>
        <w:rPr>
          <w:sz w:val="22"/>
          <w:szCs w:val="22"/>
        </w:rPr>
      </w:pPr>
      <w:r>
        <w:rPr>
          <w:sz w:val="22"/>
          <w:szCs w:val="22"/>
        </w:rPr>
        <w:t>EXP</w:t>
      </w:r>
    </w:p>
    <w:p w14:paraId="2BB2A112" w14:textId="77777777" w:rsidR="00113A69" w:rsidRPr="009C5EFD" w:rsidRDefault="00113A69" w:rsidP="00113A69">
      <w:pPr>
        <w:suppressAutoHyphens/>
        <w:ind w:left="54"/>
        <w:jc w:val="both"/>
        <w:rPr>
          <w:sz w:val="22"/>
          <w:szCs w:val="22"/>
        </w:rPr>
      </w:pPr>
    </w:p>
    <w:p w14:paraId="7EDA0BFF" w14:textId="77777777" w:rsidR="00113A69" w:rsidRPr="009C5EFD" w:rsidRDefault="00113A69" w:rsidP="00113A69">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FF20148" w14:textId="77777777" w:rsidTr="00C27517">
        <w:tc>
          <w:tcPr>
            <w:tcW w:w="9281" w:type="dxa"/>
          </w:tcPr>
          <w:p w14:paraId="0E0B3B63" w14:textId="77777777" w:rsidR="00113A69" w:rsidRPr="009C5EFD" w:rsidRDefault="00E453CD" w:rsidP="00C27517">
            <w:pPr>
              <w:ind w:left="567" w:hanging="567"/>
              <w:rPr>
                <w:b/>
                <w:sz w:val="22"/>
                <w:szCs w:val="22"/>
              </w:rPr>
            </w:pPr>
            <w:r w:rsidRPr="009C5EFD">
              <w:rPr>
                <w:b/>
                <w:sz w:val="22"/>
                <w:szCs w:val="22"/>
              </w:rPr>
              <w:t>4.</w:t>
            </w:r>
            <w:r w:rsidRPr="009C5EFD">
              <w:rPr>
                <w:b/>
                <w:sz w:val="22"/>
                <w:szCs w:val="22"/>
              </w:rPr>
              <w:tab/>
              <w:t>PRODUKSJONSNUMMER</w:t>
            </w:r>
          </w:p>
        </w:tc>
      </w:tr>
    </w:tbl>
    <w:p w14:paraId="62280976" w14:textId="77777777" w:rsidR="00113A69" w:rsidRPr="009C5EFD" w:rsidRDefault="00113A69" w:rsidP="00113A69">
      <w:pPr>
        <w:suppressAutoHyphens/>
        <w:ind w:left="54"/>
        <w:jc w:val="both"/>
        <w:rPr>
          <w:sz w:val="22"/>
          <w:szCs w:val="22"/>
        </w:rPr>
      </w:pPr>
    </w:p>
    <w:p w14:paraId="34FFD9B2" w14:textId="77777777" w:rsidR="00113A69" w:rsidRPr="009C5EFD" w:rsidRDefault="00E453CD" w:rsidP="00113A69">
      <w:pPr>
        <w:suppressAutoHyphens/>
        <w:ind w:left="54"/>
        <w:jc w:val="both"/>
        <w:rPr>
          <w:sz w:val="22"/>
          <w:szCs w:val="22"/>
        </w:rPr>
      </w:pPr>
      <w:r w:rsidRPr="009C5EFD">
        <w:rPr>
          <w:sz w:val="22"/>
          <w:szCs w:val="22"/>
        </w:rPr>
        <w:t>Lot</w:t>
      </w:r>
    </w:p>
    <w:p w14:paraId="564F55BC" w14:textId="77777777" w:rsidR="00113A69" w:rsidRPr="009C5EFD" w:rsidRDefault="00113A69" w:rsidP="00113A69">
      <w:pPr>
        <w:suppressAutoHyphens/>
        <w:ind w:left="54"/>
        <w:jc w:val="both"/>
        <w:rPr>
          <w:sz w:val="22"/>
          <w:szCs w:val="22"/>
        </w:rPr>
      </w:pPr>
    </w:p>
    <w:p w14:paraId="3C98DF7E" w14:textId="77777777" w:rsidR="00113A69" w:rsidRPr="009C5EFD" w:rsidRDefault="00113A69" w:rsidP="00113A69">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E95AD81" w14:textId="77777777" w:rsidTr="00C27517">
        <w:tc>
          <w:tcPr>
            <w:tcW w:w="9281" w:type="dxa"/>
          </w:tcPr>
          <w:p w14:paraId="4FC2C894" w14:textId="77777777" w:rsidR="00113A69" w:rsidRPr="009C5EFD" w:rsidRDefault="00E453CD" w:rsidP="00C27517">
            <w:pPr>
              <w:ind w:left="567" w:hanging="567"/>
              <w:rPr>
                <w:b/>
                <w:sz w:val="22"/>
                <w:szCs w:val="22"/>
              </w:rPr>
            </w:pPr>
            <w:r w:rsidRPr="009C5EFD">
              <w:rPr>
                <w:b/>
                <w:sz w:val="22"/>
                <w:szCs w:val="22"/>
              </w:rPr>
              <w:t>5.</w:t>
            </w:r>
            <w:r w:rsidRPr="009C5EFD">
              <w:rPr>
                <w:b/>
                <w:sz w:val="22"/>
                <w:szCs w:val="22"/>
              </w:rPr>
              <w:tab/>
              <w:t>ANNET</w:t>
            </w:r>
          </w:p>
        </w:tc>
      </w:tr>
    </w:tbl>
    <w:p w14:paraId="4F2E229A" w14:textId="77777777" w:rsidR="00113A69" w:rsidRPr="009C5EFD" w:rsidRDefault="00113A69" w:rsidP="00113A69">
      <w:pPr>
        <w:ind w:left="54"/>
        <w:rPr>
          <w:sz w:val="22"/>
          <w:szCs w:val="22"/>
        </w:rPr>
      </w:pPr>
    </w:p>
    <w:p w14:paraId="37F247C9" w14:textId="77777777" w:rsidR="00113A69" w:rsidRDefault="00E453CD" w:rsidP="00113A69">
      <w:pPr>
        <w:rPr>
          <w:sz w:val="22"/>
          <w:szCs w:val="22"/>
        </w:rPr>
      </w:pPr>
      <w:r w:rsidRPr="009C5EFD">
        <w:rPr>
          <w:sz w:val="22"/>
          <w:szCs w:val="22"/>
        </w:rPr>
        <w:t>Se pakningsvedlegg for informasjon om oppbevaring.</w:t>
      </w:r>
    </w:p>
    <w:p w14:paraId="64B8BBB1" w14:textId="77777777" w:rsidR="003D7A0C" w:rsidRPr="009C5EFD" w:rsidRDefault="003D7A0C" w:rsidP="00113A69">
      <w:pPr>
        <w:rPr>
          <w:sz w:val="22"/>
          <w:szCs w:val="22"/>
        </w:rPr>
      </w:pPr>
    </w:p>
    <w:p w14:paraId="1E054EB1" w14:textId="77777777" w:rsidR="00113A69" w:rsidRDefault="00E453CD" w:rsidP="00113A69">
      <w:pPr>
        <w:rPr>
          <w:sz w:val="22"/>
          <w:szCs w:val="22"/>
        </w:rPr>
      </w:pPr>
      <w:r w:rsidRPr="009C5EFD">
        <w:rPr>
          <w:sz w:val="22"/>
          <w:szCs w:val="22"/>
        </w:rPr>
        <w:t>Kun til engangsbruk</w:t>
      </w:r>
      <w:r w:rsidR="003D7A0C">
        <w:rPr>
          <w:sz w:val="22"/>
          <w:szCs w:val="22"/>
        </w:rPr>
        <w:t>.</w:t>
      </w:r>
    </w:p>
    <w:p w14:paraId="4CA8AA87" w14:textId="77777777" w:rsidR="003D7A0C" w:rsidRDefault="003D7A0C" w:rsidP="00113A69">
      <w:pPr>
        <w:rPr>
          <w:sz w:val="22"/>
          <w:szCs w:val="22"/>
        </w:rPr>
      </w:pPr>
    </w:p>
    <w:p w14:paraId="7DA2C8CB" w14:textId="77777777" w:rsidR="0099519D" w:rsidRPr="00134102" w:rsidRDefault="00E453CD" w:rsidP="00113A69">
      <w:pPr>
        <w:rPr>
          <w:sz w:val="22"/>
          <w:szCs w:val="22"/>
        </w:rPr>
      </w:pPr>
      <w:r w:rsidRPr="00602A37">
        <w:rPr>
          <w:sz w:val="22"/>
          <w:szCs w:val="22"/>
        </w:rPr>
        <w:t>40 mg/0,4 ml</w:t>
      </w:r>
    </w:p>
    <w:p w14:paraId="68FE0616" w14:textId="77777777" w:rsidR="00167A95" w:rsidRPr="00622441" w:rsidRDefault="00167A95" w:rsidP="00167A95">
      <w:pPr>
        <w:rPr>
          <w:sz w:val="22"/>
          <w:szCs w:val="22"/>
        </w:rPr>
      </w:pPr>
    </w:p>
    <w:p w14:paraId="743C5B05" w14:textId="77777777" w:rsidR="00167A95" w:rsidRPr="00622441" w:rsidRDefault="00167A95" w:rsidP="00167A95">
      <w:pPr>
        <w:rPr>
          <w:sz w:val="22"/>
          <w:szCs w:val="22"/>
        </w:rPr>
      </w:pPr>
    </w:p>
    <w:p w14:paraId="4A7CD7A3" w14:textId="77777777" w:rsidR="00167A95" w:rsidRDefault="00167A95" w:rsidP="00167A95">
      <w:pPr>
        <w:rPr>
          <w:sz w:val="22"/>
          <w:szCs w:val="22"/>
        </w:rPr>
      </w:pPr>
    </w:p>
    <w:p w14:paraId="326955C4" w14:textId="77777777" w:rsidR="00DA7968" w:rsidRPr="00622441" w:rsidRDefault="00DA7968" w:rsidP="00167A95">
      <w:pPr>
        <w:rPr>
          <w:sz w:val="22"/>
          <w:szCs w:val="22"/>
        </w:rPr>
      </w:pPr>
    </w:p>
    <w:p w14:paraId="0E0C19F8" w14:textId="77777777" w:rsidR="00113A69" w:rsidRPr="009C5EFD" w:rsidRDefault="00E453CD" w:rsidP="00113A69">
      <w:pPr>
        <w:rPr>
          <w:b/>
          <w:sz w:val="22"/>
          <w:szCs w:val="22"/>
        </w:rPr>
      </w:pPr>
      <w:r w:rsidRPr="009C5EFD">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EEF32CE" w14:textId="77777777" w:rsidTr="00C27517">
        <w:trPr>
          <w:trHeight w:val="1070"/>
        </w:trPr>
        <w:tc>
          <w:tcPr>
            <w:tcW w:w="9281" w:type="dxa"/>
            <w:tcBorders>
              <w:bottom w:val="single" w:sz="4" w:space="0" w:color="auto"/>
            </w:tcBorders>
          </w:tcPr>
          <w:p w14:paraId="014D09CD" w14:textId="77777777" w:rsidR="00113A69" w:rsidRPr="009C5EFD" w:rsidRDefault="00E453CD" w:rsidP="00C27517">
            <w:pPr>
              <w:suppressAutoHyphens/>
              <w:rPr>
                <w:b/>
                <w:sz w:val="22"/>
                <w:szCs w:val="22"/>
              </w:rPr>
            </w:pPr>
            <w:r w:rsidRPr="009C5EFD">
              <w:rPr>
                <w:b/>
                <w:sz w:val="22"/>
                <w:szCs w:val="22"/>
              </w:rPr>
              <w:lastRenderedPageBreak/>
              <w:t>MINSTEKRAV TIL OPPLYSNINGER SOM SKAL ANGIS PÅ SMÅ INDRE EMBALLASJER</w:t>
            </w:r>
          </w:p>
          <w:p w14:paraId="037DB4A0" w14:textId="77777777" w:rsidR="00113A69" w:rsidRPr="009C5EFD" w:rsidRDefault="00113A69" w:rsidP="00C27517">
            <w:pPr>
              <w:suppressAutoHyphens/>
              <w:rPr>
                <w:b/>
                <w:sz w:val="22"/>
                <w:szCs w:val="22"/>
              </w:rPr>
            </w:pPr>
          </w:p>
          <w:p w14:paraId="0887059E" w14:textId="77777777" w:rsidR="00113A69" w:rsidRPr="009C5EFD" w:rsidRDefault="00E453CD" w:rsidP="00C27517">
            <w:pPr>
              <w:suppressAutoHyphens/>
              <w:rPr>
                <w:b/>
                <w:sz w:val="22"/>
                <w:szCs w:val="22"/>
              </w:rPr>
            </w:pPr>
            <w:r>
              <w:rPr>
                <w:b/>
                <w:sz w:val="22"/>
                <w:szCs w:val="22"/>
              </w:rPr>
              <w:t>ETIKETT PÅ PENN</w:t>
            </w:r>
          </w:p>
        </w:tc>
      </w:tr>
    </w:tbl>
    <w:p w14:paraId="797CF071" w14:textId="77777777" w:rsidR="00113A69" w:rsidRPr="009C5EFD" w:rsidRDefault="00113A69" w:rsidP="00113A69">
      <w:pPr>
        <w:suppressAutoHyphens/>
        <w:ind w:left="54"/>
        <w:jc w:val="both"/>
        <w:rPr>
          <w:sz w:val="22"/>
          <w:szCs w:val="22"/>
        </w:rPr>
      </w:pPr>
    </w:p>
    <w:p w14:paraId="492108C6" w14:textId="77777777" w:rsidR="00113A69" w:rsidRPr="009C5EFD" w:rsidRDefault="00113A69" w:rsidP="00113A69">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0E6DC95" w14:textId="77777777" w:rsidTr="00C27517">
        <w:tc>
          <w:tcPr>
            <w:tcW w:w="9281" w:type="dxa"/>
          </w:tcPr>
          <w:p w14:paraId="135A7929" w14:textId="77777777" w:rsidR="00113A69" w:rsidRPr="009C5EFD" w:rsidRDefault="00E453CD" w:rsidP="00C27517">
            <w:pPr>
              <w:ind w:left="567" w:hanging="567"/>
              <w:rPr>
                <w:b/>
                <w:sz w:val="22"/>
                <w:szCs w:val="22"/>
              </w:rPr>
            </w:pPr>
            <w:r w:rsidRPr="009C5EFD">
              <w:rPr>
                <w:b/>
                <w:sz w:val="22"/>
                <w:szCs w:val="22"/>
              </w:rPr>
              <w:t>1.</w:t>
            </w:r>
            <w:r w:rsidRPr="009C5EFD">
              <w:rPr>
                <w:b/>
                <w:sz w:val="22"/>
                <w:szCs w:val="22"/>
              </w:rPr>
              <w:tab/>
              <w:t>LEGEMIDLETS NAVN OG ADMINISTRASJONSVEI</w:t>
            </w:r>
          </w:p>
        </w:tc>
      </w:tr>
    </w:tbl>
    <w:p w14:paraId="03A90CEF" w14:textId="77777777" w:rsidR="00113A69" w:rsidRPr="009C5EFD" w:rsidRDefault="00113A69" w:rsidP="00113A69">
      <w:pPr>
        <w:suppressAutoHyphens/>
        <w:ind w:left="54"/>
        <w:jc w:val="both"/>
        <w:rPr>
          <w:sz w:val="22"/>
          <w:szCs w:val="22"/>
        </w:rPr>
      </w:pPr>
    </w:p>
    <w:p w14:paraId="0761E746" w14:textId="77777777" w:rsidR="00113A69" w:rsidRPr="009C5EFD" w:rsidRDefault="00E453CD" w:rsidP="00113A69">
      <w:pPr>
        <w:suppressAutoHyphens/>
        <w:ind w:left="54"/>
        <w:jc w:val="both"/>
        <w:rPr>
          <w:sz w:val="22"/>
          <w:szCs w:val="22"/>
        </w:rPr>
      </w:pPr>
      <w:r w:rsidRPr="009C5EFD">
        <w:rPr>
          <w:sz w:val="22"/>
          <w:szCs w:val="22"/>
        </w:rPr>
        <w:t>Humira 40 mg injeksjon</w:t>
      </w:r>
      <w:r w:rsidR="00167A95">
        <w:rPr>
          <w:sz w:val="22"/>
          <w:szCs w:val="22"/>
        </w:rPr>
        <w:t>svæske</w:t>
      </w:r>
    </w:p>
    <w:p w14:paraId="51F20F9E" w14:textId="77777777" w:rsidR="00113A69" w:rsidRPr="009C5EFD" w:rsidRDefault="00E453CD" w:rsidP="00113A69">
      <w:pPr>
        <w:suppressAutoHyphens/>
        <w:ind w:left="54"/>
        <w:rPr>
          <w:sz w:val="22"/>
          <w:szCs w:val="22"/>
        </w:rPr>
      </w:pPr>
      <w:r w:rsidRPr="009C5EFD">
        <w:rPr>
          <w:sz w:val="22"/>
          <w:szCs w:val="22"/>
        </w:rPr>
        <w:t>adalimumab</w:t>
      </w:r>
    </w:p>
    <w:p w14:paraId="4E4DFA29" w14:textId="77777777" w:rsidR="00113A69" w:rsidRPr="008478AD" w:rsidRDefault="00E453CD" w:rsidP="00113A69">
      <w:pPr>
        <w:suppressAutoHyphens/>
        <w:ind w:left="54"/>
        <w:jc w:val="both"/>
        <w:rPr>
          <w:sz w:val="22"/>
          <w:szCs w:val="22"/>
        </w:rPr>
      </w:pPr>
      <w:r>
        <w:rPr>
          <w:sz w:val="22"/>
          <w:szCs w:val="22"/>
        </w:rPr>
        <w:t>s.c.</w:t>
      </w:r>
    </w:p>
    <w:p w14:paraId="2082E7F7" w14:textId="77777777" w:rsidR="00113A69" w:rsidRPr="009C5EFD" w:rsidRDefault="00113A69" w:rsidP="00113A69">
      <w:pPr>
        <w:suppressAutoHyphens/>
        <w:ind w:left="54"/>
        <w:jc w:val="both"/>
        <w:rPr>
          <w:sz w:val="22"/>
          <w:szCs w:val="22"/>
        </w:rPr>
      </w:pPr>
    </w:p>
    <w:p w14:paraId="5909A5E0" w14:textId="77777777" w:rsidR="00113A69" w:rsidRPr="009C5EFD" w:rsidRDefault="00113A69" w:rsidP="00113A69">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52B4E22" w14:textId="77777777" w:rsidTr="00C27517">
        <w:tc>
          <w:tcPr>
            <w:tcW w:w="9281" w:type="dxa"/>
          </w:tcPr>
          <w:p w14:paraId="622D7696" w14:textId="77777777" w:rsidR="00113A69" w:rsidRPr="009C5EFD" w:rsidRDefault="00E453CD" w:rsidP="00C27517">
            <w:pPr>
              <w:ind w:left="567" w:hanging="567"/>
              <w:rPr>
                <w:b/>
                <w:sz w:val="22"/>
                <w:szCs w:val="22"/>
              </w:rPr>
            </w:pPr>
            <w:r w:rsidRPr="009C5EFD">
              <w:rPr>
                <w:b/>
                <w:sz w:val="22"/>
                <w:szCs w:val="22"/>
              </w:rPr>
              <w:t>2.</w:t>
            </w:r>
            <w:r w:rsidRPr="009C5EFD">
              <w:rPr>
                <w:b/>
                <w:sz w:val="22"/>
                <w:szCs w:val="22"/>
              </w:rPr>
              <w:tab/>
              <w:t>ADMINISTRASJONSMÅTE</w:t>
            </w:r>
          </w:p>
        </w:tc>
      </w:tr>
    </w:tbl>
    <w:p w14:paraId="69612892" w14:textId="77777777" w:rsidR="00113A69" w:rsidRPr="008478AD" w:rsidRDefault="00113A69" w:rsidP="00113A69">
      <w:pPr>
        <w:suppressAutoHyphens/>
        <w:jc w:val="both"/>
        <w:rPr>
          <w:b/>
          <w:sz w:val="22"/>
          <w:szCs w:val="22"/>
        </w:rPr>
      </w:pPr>
    </w:p>
    <w:p w14:paraId="4F5E480C" w14:textId="77777777" w:rsidR="00113A69" w:rsidRPr="009C5EFD" w:rsidRDefault="00113A69" w:rsidP="00113A69">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210B6FD" w14:textId="77777777" w:rsidTr="00C27517">
        <w:tc>
          <w:tcPr>
            <w:tcW w:w="9281" w:type="dxa"/>
          </w:tcPr>
          <w:p w14:paraId="6EFEDA7C" w14:textId="77777777" w:rsidR="00113A69" w:rsidRPr="009C5EFD" w:rsidRDefault="00E453CD" w:rsidP="00C27517">
            <w:pPr>
              <w:ind w:left="567" w:hanging="567"/>
              <w:rPr>
                <w:b/>
                <w:sz w:val="22"/>
                <w:szCs w:val="22"/>
              </w:rPr>
            </w:pPr>
            <w:r w:rsidRPr="009C5EFD">
              <w:rPr>
                <w:b/>
                <w:sz w:val="22"/>
                <w:szCs w:val="22"/>
              </w:rPr>
              <w:t>3.</w:t>
            </w:r>
            <w:r w:rsidRPr="009C5EFD">
              <w:rPr>
                <w:b/>
                <w:sz w:val="22"/>
                <w:szCs w:val="22"/>
              </w:rPr>
              <w:tab/>
              <w:t>UTLØPSDATO</w:t>
            </w:r>
          </w:p>
        </w:tc>
      </w:tr>
    </w:tbl>
    <w:p w14:paraId="1648F023" w14:textId="77777777" w:rsidR="00113A69" w:rsidRPr="009C5EFD" w:rsidRDefault="00113A69" w:rsidP="00113A69">
      <w:pPr>
        <w:suppressAutoHyphens/>
        <w:ind w:left="621" w:hanging="567"/>
        <w:rPr>
          <w:sz w:val="22"/>
          <w:szCs w:val="22"/>
        </w:rPr>
      </w:pPr>
    </w:p>
    <w:p w14:paraId="07313B98" w14:textId="77777777" w:rsidR="00113A69" w:rsidRPr="009C5EFD" w:rsidRDefault="00E453CD" w:rsidP="00113A69">
      <w:pPr>
        <w:suppressAutoHyphens/>
        <w:ind w:left="621" w:hanging="567"/>
        <w:rPr>
          <w:sz w:val="22"/>
          <w:szCs w:val="22"/>
        </w:rPr>
      </w:pPr>
      <w:r>
        <w:rPr>
          <w:sz w:val="22"/>
          <w:szCs w:val="22"/>
        </w:rPr>
        <w:t>EXP</w:t>
      </w:r>
      <w:r w:rsidRPr="009C5EFD">
        <w:rPr>
          <w:sz w:val="22"/>
          <w:szCs w:val="22"/>
        </w:rPr>
        <w:t xml:space="preserve"> </w:t>
      </w:r>
    </w:p>
    <w:p w14:paraId="06C7F7A3" w14:textId="77777777" w:rsidR="00113A69" w:rsidRPr="009C5EFD" w:rsidRDefault="00113A69" w:rsidP="00113A69">
      <w:pPr>
        <w:suppressAutoHyphens/>
        <w:ind w:left="621" w:hanging="567"/>
        <w:rPr>
          <w:sz w:val="22"/>
          <w:szCs w:val="22"/>
        </w:rPr>
      </w:pPr>
    </w:p>
    <w:p w14:paraId="4073CB48" w14:textId="77777777" w:rsidR="00113A69" w:rsidRPr="009C5EFD" w:rsidRDefault="00113A69" w:rsidP="00113A69">
      <w:pPr>
        <w:suppressAutoHyphens/>
        <w:ind w:left="621"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1D021CC" w14:textId="77777777" w:rsidTr="00C27517">
        <w:tc>
          <w:tcPr>
            <w:tcW w:w="9281" w:type="dxa"/>
          </w:tcPr>
          <w:p w14:paraId="354A634C" w14:textId="77777777" w:rsidR="00113A69" w:rsidRPr="009C5EFD" w:rsidRDefault="00E453CD" w:rsidP="00C27517">
            <w:pPr>
              <w:ind w:left="567" w:hanging="567"/>
              <w:rPr>
                <w:b/>
                <w:sz w:val="22"/>
                <w:szCs w:val="22"/>
              </w:rPr>
            </w:pPr>
            <w:r w:rsidRPr="009C5EFD">
              <w:rPr>
                <w:b/>
                <w:sz w:val="22"/>
                <w:szCs w:val="22"/>
              </w:rPr>
              <w:t>4.</w:t>
            </w:r>
            <w:r w:rsidRPr="009C5EFD">
              <w:rPr>
                <w:b/>
                <w:sz w:val="22"/>
                <w:szCs w:val="22"/>
              </w:rPr>
              <w:tab/>
              <w:t>PRODUKSJONSNUMMER</w:t>
            </w:r>
          </w:p>
        </w:tc>
      </w:tr>
    </w:tbl>
    <w:p w14:paraId="28AD31A7" w14:textId="77777777" w:rsidR="00113A69" w:rsidRPr="009C5EFD" w:rsidRDefault="00113A69" w:rsidP="00113A69">
      <w:pPr>
        <w:suppressAutoHyphens/>
        <w:ind w:left="54"/>
        <w:jc w:val="both"/>
        <w:rPr>
          <w:sz w:val="22"/>
          <w:szCs w:val="22"/>
        </w:rPr>
      </w:pPr>
    </w:p>
    <w:p w14:paraId="1756A366" w14:textId="77777777" w:rsidR="00113A69" w:rsidRPr="009C5EFD" w:rsidRDefault="00E453CD" w:rsidP="00113A69">
      <w:pPr>
        <w:suppressAutoHyphens/>
        <w:ind w:left="54"/>
        <w:jc w:val="both"/>
        <w:rPr>
          <w:sz w:val="22"/>
          <w:szCs w:val="22"/>
        </w:rPr>
      </w:pPr>
      <w:r w:rsidRPr="009C5EFD">
        <w:rPr>
          <w:sz w:val="22"/>
          <w:szCs w:val="22"/>
        </w:rPr>
        <w:t>Lot</w:t>
      </w:r>
    </w:p>
    <w:p w14:paraId="71C72E5C" w14:textId="77777777" w:rsidR="00113A69" w:rsidRPr="009C5EFD" w:rsidRDefault="00113A69" w:rsidP="00113A69">
      <w:pPr>
        <w:suppressAutoHyphens/>
        <w:ind w:left="54"/>
        <w:jc w:val="both"/>
        <w:rPr>
          <w:sz w:val="22"/>
          <w:szCs w:val="22"/>
        </w:rPr>
      </w:pPr>
    </w:p>
    <w:p w14:paraId="014A6301" w14:textId="77777777" w:rsidR="00113A69" w:rsidRPr="009C5EFD" w:rsidRDefault="00113A69" w:rsidP="00113A69">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4DCBF24" w14:textId="77777777" w:rsidTr="00C27517">
        <w:tc>
          <w:tcPr>
            <w:tcW w:w="9281" w:type="dxa"/>
          </w:tcPr>
          <w:p w14:paraId="1DC4E047" w14:textId="77777777" w:rsidR="00113A69" w:rsidRPr="009C5EFD" w:rsidRDefault="00E453CD" w:rsidP="00C27517">
            <w:pPr>
              <w:ind w:left="567" w:hanging="567"/>
              <w:rPr>
                <w:b/>
                <w:sz w:val="22"/>
                <w:szCs w:val="22"/>
              </w:rPr>
            </w:pPr>
            <w:r w:rsidRPr="009C5EFD">
              <w:rPr>
                <w:b/>
                <w:sz w:val="22"/>
                <w:szCs w:val="22"/>
              </w:rPr>
              <w:t>5.</w:t>
            </w:r>
            <w:r w:rsidRPr="009C5EFD">
              <w:rPr>
                <w:b/>
                <w:sz w:val="22"/>
                <w:szCs w:val="22"/>
              </w:rPr>
              <w:tab/>
            </w:r>
            <w:r w:rsidR="00903EBB">
              <w:rPr>
                <w:b/>
                <w:sz w:val="22"/>
                <w:szCs w:val="22"/>
              </w:rPr>
              <w:t>INN</w:t>
            </w:r>
            <w:r w:rsidRPr="009C5EFD">
              <w:rPr>
                <w:b/>
                <w:sz w:val="22"/>
                <w:szCs w:val="22"/>
              </w:rPr>
              <w:t>HOLD ANGITT ETTER VEKT, VOLUM ELLER ANTALL DOSER</w:t>
            </w:r>
          </w:p>
        </w:tc>
      </w:tr>
    </w:tbl>
    <w:p w14:paraId="439D81A9" w14:textId="77777777" w:rsidR="00113A69" w:rsidRPr="009C5EFD" w:rsidRDefault="00113A69" w:rsidP="00113A69">
      <w:pPr>
        <w:suppressAutoHyphens/>
        <w:ind w:left="54"/>
        <w:jc w:val="both"/>
        <w:rPr>
          <w:sz w:val="22"/>
          <w:szCs w:val="22"/>
        </w:rPr>
      </w:pPr>
    </w:p>
    <w:p w14:paraId="0C840DB9" w14:textId="77777777" w:rsidR="00113A69" w:rsidRPr="009C5EFD" w:rsidRDefault="00E453CD" w:rsidP="00113A69">
      <w:pPr>
        <w:suppressAutoHyphens/>
        <w:ind w:left="54"/>
        <w:jc w:val="both"/>
        <w:rPr>
          <w:sz w:val="22"/>
          <w:szCs w:val="22"/>
        </w:rPr>
      </w:pPr>
      <w:r>
        <w:rPr>
          <w:sz w:val="22"/>
          <w:szCs w:val="22"/>
        </w:rPr>
        <w:t>40 mg/0,4</w:t>
      </w:r>
      <w:r w:rsidRPr="009C5EFD">
        <w:rPr>
          <w:sz w:val="22"/>
          <w:szCs w:val="22"/>
        </w:rPr>
        <w:t xml:space="preserve"> ml</w:t>
      </w:r>
    </w:p>
    <w:p w14:paraId="410F1B6B" w14:textId="77777777" w:rsidR="00113A69" w:rsidRPr="009C5EFD" w:rsidRDefault="00113A69" w:rsidP="00113A69">
      <w:pPr>
        <w:ind w:right="-449"/>
        <w:rPr>
          <w:b/>
          <w:sz w:val="22"/>
          <w:szCs w:val="22"/>
        </w:rPr>
      </w:pPr>
    </w:p>
    <w:p w14:paraId="7B9BADF6" w14:textId="77777777" w:rsidR="00113A69" w:rsidRPr="009C5EFD" w:rsidRDefault="00113A69" w:rsidP="00113A69">
      <w:pPr>
        <w:ind w:right="-449"/>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04FC43D" w14:textId="77777777" w:rsidTr="00C27517">
        <w:tc>
          <w:tcPr>
            <w:tcW w:w="9281" w:type="dxa"/>
          </w:tcPr>
          <w:p w14:paraId="1E6DAB42" w14:textId="77777777" w:rsidR="00113A69" w:rsidRPr="009C5EFD" w:rsidRDefault="00E453CD" w:rsidP="00C27517">
            <w:pPr>
              <w:ind w:left="567" w:hanging="567"/>
              <w:rPr>
                <w:b/>
                <w:sz w:val="22"/>
                <w:szCs w:val="22"/>
              </w:rPr>
            </w:pPr>
            <w:r w:rsidRPr="009C5EFD">
              <w:rPr>
                <w:b/>
                <w:sz w:val="22"/>
                <w:szCs w:val="22"/>
              </w:rPr>
              <w:t>6.</w:t>
            </w:r>
            <w:r w:rsidRPr="009C5EFD">
              <w:rPr>
                <w:b/>
                <w:sz w:val="22"/>
                <w:szCs w:val="22"/>
              </w:rPr>
              <w:tab/>
              <w:t>ANNET</w:t>
            </w:r>
          </w:p>
        </w:tc>
      </w:tr>
    </w:tbl>
    <w:p w14:paraId="3F283A04" w14:textId="77777777" w:rsidR="00EC0A94" w:rsidRDefault="00EC0A94" w:rsidP="00113A69">
      <w:pPr>
        <w:ind w:left="54"/>
        <w:rPr>
          <w:sz w:val="22"/>
          <w:szCs w:val="22"/>
        </w:rPr>
      </w:pPr>
    </w:p>
    <w:p w14:paraId="05468DFD" w14:textId="77777777" w:rsidR="009E676E" w:rsidRDefault="00E453CD">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64CC4AE" w14:textId="77777777" w:rsidTr="00FD5FF1">
        <w:trPr>
          <w:trHeight w:val="1070"/>
        </w:trPr>
        <w:tc>
          <w:tcPr>
            <w:tcW w:w="9281" w:type="dxa"/>
            <w:tcBorders>
              <w:bottom w:val="single" w:sz="4" w:space="0" w:color="auto"/>
            </w:tcBorders>
          </w:tcPr>
          <w:p w14:paraId="7EC1D0EA" w14:textId="77777777" w:rsidR="009E676E" w:rsidRPr="009C5EFD" w:rsidRDefault="00E453CD" w:rsidP="00FD5FF1">
            <w:pPr>
              <w:rPr>
                <w:sz w:val="22"/>
                <w:szCs w:val="22"/>
              </w:rPr>
            </w:pPr>
            <w:r w:rsidRPr="009C5EFD">
              <w:rPr>
                <w:b/>
                <w:sz w:val="22"/>
                <w:szCs w:val="22"/>
              </w:rPr>
              <w:lastRenderedPageBreak/>
              <w:t xml:space="preserve">OPPLYSNINGER SOM SKAL ANGIS PÅ YTRE EMBALLASJE </w:t>
            </w:r>
          </w:p>
          <w:p w14:paraId="6C788F13" w14:textId="77777777" w:rsidR="009E676E" w:rsidRPr="009C5EFD" w:rsidRDefault="009E676E" w:rsidP="00FD5FF1">
            <w:pPr>
              <w:rPr>
                <w:sz w:val="22"/>
                <w:szCs w:val="22"/>
              </w:rPr>
            </w:pPr>
          </w:p>
          <w:p w14:paraId="6815C5A9" w14:textId="77777777" w:rsidR="009E676E" w:rsidRPr="009C5EFD" w:rsidRDefault="00E453CD" w:rsidP="00463898">
            <w:pPr>
              <w:rPr>
                <w:b/>
                <w:sz w:val="22"/>
                <w:szCs w:val="22"/>
              </w:rPr>
            </w:pPr>
            <w:r w:rsidRPr="009C5EFD">
              <w:rPr>
                <w:b/>
                <w:sz w:val="22"/>
                <w:szCs w:val="22"/>
              </w:rPr>
              <w:t>Y</w:t>
            </w:r>
            <w:r>
              <w:rPr>
                <w:b/>
                <w:sz w:val="22"/>
                <w:szCs w:val="22"/>
              </w:rPr>
              <w:t>TTERKARTONG</w:t>
            </w:r>
          </w:p>
        </w:tc>
      </w:tr>
    </w:tbl>
    <w:p w14:paraId="6A220A58" w14:textId="77777777" w:rsidR="009E676E" w:rsidRPr="009C5EFD" w:rsidRDefault="009E676E" w:rsidP="009E676E">
      <w:pPr>
        <w:suppressAutoHyphens/>
        <w:ind w:left="54"/>
        <w:rPr>
          <w:sz w:val="22"/>
          <w:szCs w:val="22"/>
        </w:rPr>
      </w:pPr>
    </w:p>
    <w:p w14:paraId="36F3C895"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50E1B6B" w14:textId="77777777" w:rsidTr="00FD5FF1">
        <w:tc>
          <w:tcPr>
            <w:tcW w:w="9281" w:type="dxa"/>
          </w:tcPr>
          <w:p w14:paraId="4162C436" w14:textId="77777777" w:rsidR="009E676E" w:rsidRPr="009C5EFD" w:rsidRDefault="00E453CD" w:rsidP="00FD5FF1">
            <w:pPr>
              <w:ind w:left="567" w:hanging="567"/>
              <w:rPr>
                <w:b/>
                <w:sz w:val="22"/>
                <w:szCs w:val="22"/>
              </w:rPr>
            </w:pPr>
            <w:r w:rsidRPr="009C5EFD">
              <w:rPr>
                <w:b/>
                <w:sz w:val="22"/>
                <w:szCs w:val="22"/>
              </w:rPr>
              <w:t>1.</w:t>
            </w:r>
            <w:r w:rsidRPr="009C5EFD">
              <w:rPr>
                <w:b/>
                <w:sz w:val="22"/>
                <w:szCs w:val="22"/>
              </w:rPr>
              <w:tab/>
              <w:t>LEGEMIDLETS NAVN</w:t>
            </w:r>
          </w:p>
        </w:tc>
      </w:tr>
    </w:tbl>
    <w:p w14:paraId="093E9C82" w14:textId="77777777" w:rsidR="009E676E" w:rsidRPr="009C5EFD" w:rsidRDefault="009E676E" w:rsidP="009E676E">
      <w:pPr>
        <w:suppressAutoHyphens/>
        <w:ind w:left="54"/>
        <w:rPr>
          <w:sz w:val="22"/>
          <w:szCs w:val="22"/>
        </w:rPr>
      </w:pPr>
    </w:p>
    <w:p w14:paraId="4206E963" w14:textId="77777777" w:rsidR="009E676E" w:rsidRPr="009C5EFD" w:rsidRDefault="00E453CD" w:rsidP="009E676E">
      <w:pPr>
        <w:suppressAutoHyphens/>
        <w:ind w:left="54"/>
        <w:rPr>
          <w:sz w:val="22"/>
          <w:szCs w:val="22"/>
        </w:rPr>
      </w:pPr>
      <w:r>
        <w:rPr>
          <w:sz w:val="22"/>
          <w:szCs w:val="22"/>
        </w:rPr>
        <w:t>Humira 8</w:t>
      </w:r>
      <w:r w:rsidRPr="009C5EFD">
        <w:rPr>
          <w:sz w:val="22"/>
          <w:szCs w:val="22"/>
        </w:rPr>
        <w:t>0 mg injeksjonsvæske, oppløsning i ferdigfylt sprøyte</w:t>
      </w:r>
    </w:p>
    <w:p w14:paraId="1E3463B8" w14:textId="77777777" w:rsidR="009E676E" w:rsidRPr="009C5EFD" w:rsidRDefault="00E453CD" w:rsidP="009E676E">
      <w:pPr>
        <w:suppressAutoHyphens/>
        <w:ind w:left="54"/>
        <w:rPr>
          <w:sz w:val="22"/>
          <w:szCs w:val="22"/>
        </w:rPr>
      </w:pPr>
      <w:r w:rsidRPr="009C5EFD">
        <w:rPr>
          <w:sz w:val="22"/>
          <w:szCs w:val="22"/>
        </w:rPr>
        <w:t>adalimumab</w:t>
      </w:r>
    </w:p>
    <w:p w14:paraId="5AE23AC5" w14:textId="77777777" w:rsidR="009E676E" w:rsidRPr="009C5EFD" w:rsidRDefault="009E676E" w:rsidP="009E676E">
      <w:pPr>
        <w:pStyle w:val="EndnoteText"/>
        <w:widowControl/>
        <w:tabs>
          <w:tab w:val="clear" w:pos="567"/>
        </w:tabs>
        <w:suppressAutoHyphens/>
        <w:ind w:left="54"/>
        <w:rPr>
          <w:szCs w:val="22"/>
          <w:lang w:val="nb-NO"/>
        </w:rPr>
      </w:pPr>
    </w:p>
    <w:p w14:paraId="33F588DC"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EF3D74F" w14:textId="77777777" w:rsidTr="00FD5FF1">
        <w:tc>
          <w:tcPr>
            <w:tcW w:w="9281" w:type="dxa"/>
          </w:tcPr>
          <w:p w14:paraId="6D902BF9" w14:textId="77777777" w:rsidR="009E676E" w:rsidRPr="009C5EFD" w:rsidRDefault="00E453CD" w:rsidP="00FD5FF1">
            <w:pPr>
              <w:ind w:left="567" w:hanging="567"/>
              <w:rPr>
                <w:b/>
                <w:sz w:val="22"/>
                <w:szCs w:val="22"/>
              </w:rPr>
            </w:pPr>
            <w:r w:rsidRPr="009C5EFD">
              <w:rPr>
                <w:b/>
                <w:sz w:val="22"/>
                <w:szCs w:val="22"/>
              </w:rPr>
              <w:t>2.</w:t>
            </w:r>
            <w:r w:rsidRPr="009C5EFD">
              <w:rPr>
                <w:b/>
                <w:sz w:val="22"/>
                <w:szCs w:val="22"/>
              </w:rPr>
              <w:tab/>
              <w:t xml:space="preserve">DEKLARASJON AV VIRKESTOFF </w:t>
            </w:r>
          </w:p>
        </w:tc>
      </w:tr>
    </w:tbl>
    <w:p w14:paraId="7B97C23E" w14:textId="77777777" w:rsidR="009E676E" w:rsidRPr="009C5EFD" w:rsidRDefault="009E676E" w:rsidP="009E676E">
      <w:pPr>
        <w:suppressAutoHyphens/>
        <w:ind w:left="54"/>
        <w:rPr>
          <w:sz w:val="22"/>
          <w:szCs w:val="22"/>
        </w:rPr>
      </w:pPr>
    </w:p>
    <w:p w14:paraId="0803CED8" w14:textId="77777777" w:rsidR="009E676E" w:rsidRPr="009C5EFD" w:rsidRDefault="00E453CD" w:rsidP="009E676E">
      <w:pPr>
        <w:suppressAutoHyphens/>
        <w:ind w:left="54"/>
        <w:rPr>
          <w:sz w:val="22"/>
          <w:szCs w:val="22"/>
        </w:rPr>
      </w:pPr>
      <w:r w:rsidRPr="009C5EFD">
        <w:rPr>
          <w:sz w:val="22"/>
          <w:szCs w:val="22"/>
        </w:rPr>
        <w:t>En 0,8 ml</w:t>
      </w:r>
      <w:r w:rsidR="00F63850">
        <w:rPr>
          <w:sz w:val="22"/>
          <w:szCs w:val="22"/>
        </w:rPr>
        <w:t xml:space="preserve"> ferdigfylt sprøyte inneholder 8</w:t>
      </w:r>
      <w:r w:rsidRPr="009C5EFD">
        <w:rPr>
          <w:sz w:val="22"/>
          <w:szCs w:val="22"/>
        </w:rPr>
        <w:t>0 mg adalimumab</w:t>
      </w:r>
      <w:r w:rsidR="000C6A57">
        <w:rPr>
          <w:sz w:val="22"/>
          <w:szCs w:val="22"/>
        </w:rPr>
        <w:t>.</w:t>
      </w:r>
    </w:p>
    <w:p w14:paraId="1522F3F0" w14:textId="77777777" w:rsidR="009E676E" w:rsidRPr="009C5EFD" w:rsidRDefault="009E676E" w:rsidP="009E676E">
      <w:pPr>
        <w:suppressAutoHyphens/>
        <w:ind w:left="54"/>
        <w:rPr>
          <w:sz w:val="22"/>
          <w:szCs w:val="22"/>
        </w:rPr>
      </w:pPr>
    </w:p>
    <w:p w14:paraId="78F4EBE4"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938F3D9" w14:textId="77777777" w:rsidTr="00FD5FF1">
        <w:tc>
          <w:tcPr>
            <w:tcW w:w="9281" w:type="dxa"/>
          </w:tcPr>
          <w:p w14:paraId="670A8263" w14:textId="77777777" w:rsidR="009E676E" w:rsidRPr="009C5EFD" w:rsidRDefault="00E453CD" w:rsidP="00FD5FF1">
            <w:pPr>
              <w:ind w:left="567" w:hanging="567"/>
              <w:rPr>
                <w:b/>
                <w:sz w:val="22"/>
                <w:szCs w:val="22"/>
              </w:rPr>
            </w:pPr>
            <w:r w:rsidRPr="009C5EFD">
              <w:rPr>
                <w:b/>
                <w:sz w:val="22"/>
                <w:szCs w:val="22"/>
              </w:rPr>
              <w:t>3.</w:t>
            </w:r>
            <w:r w:rsidRPr="009C5EFD">
              <w:rPr>
                <w:b/>
                <w:sz w:val="22"/>
                <w:szCs w:val="22"/>
              </w:rPr>
              <w:tab/>
              <w:t>LISTE OVER HJELPESTOFFER</w:t>
            </w:r>
          </w:p>
        </w:tc>
      </w:tr>
    </w:tbl>
    <w:p w14:paraId="38EF842E" w14:textId="77777777" w:rsidR="009E676E" w:rsidRPr="009C5EFD" w:rsidRDefault="009E676E" w:rsidP="009E676E">
      <w:pPr>
        <w:suppressAutoHyphens/>
        <w:ind w:left="54"/>
        <w:rPr>
          <w:sz w:val="22"/>
          <w:szCs w:val="22"/>
        </w:rPr>
      </w:pPr>
    </w:p>
    <w:p w14:paraId="57AEA2F7" w14:textId="77777777" w:rsidR="009E676E" w:rsidRPr="009C5EFD" w:rsidRDefault="00E453CD" w:rsidP="009E676E">
      <w:pPr>
        <w:ind w:left="54"/>
        <w:rPr>
          <w:sz w:val="22"/>
          <w:szCs w:val="22"/>
        </w:rPr>
      </w:pPr>
      <w:r w:rsidRPr="009C5EFD">
        <w:rPr>
          <w:sz w:val="22"/>
          <w:szCs w:val="22"/>
        </w:rPr>
        <w:t xml:space="preserve">Hjelpestoffer: </w:t>
      </w:r>
      <w:r>
        <w:rPr>
          <w:sz w:val="22"/>
          <w:szCs w:val="22"/>
        </w:rPr>
        <w:t>m</w:t>
      </w:r>
      <w:r w:rsidRPr="009C5EFD">
        <w:rPr>
          <w:sz w:val="22"/>
          <w:szCs w:val="22"/>
        </w:rPr>
        <w:t>annitol, polysorbat 80 og vann til injeksjonsvæsker. For ytte</w:t>
      </w:r>
      <w:r>
        <w:rPr>
          <w:sz w:val="22"/>
          <w:szCs w:val="22"/>
        </w:rPr>
        <w:t>r</w:t>
      </w:r>
      <w:r w:rsidRPr="009C5EFD">
        <w:rPr>
          <w:sz w:val="22"/>
          <w:szCs w:val="22"/>
        </w:rPr>
        <w:t>ligere informasjon, se pakningsvedlegget.</w:t>
      </w:r>
    </w:p>
    <w:p w14:paraId="61AEB7CB" w14:textId="77777777" w:rsidR="009E676E" w:rsidRPr="009C5EFD" w:rsidRDefault="009E676E" w:rsidP="009E676E">
      <w:pPr>
        <w:suppressAutoHyphens/>
        <w:ind w:left="54"/>
        <w:rPr>
          <w:sz w:val="22"/>
          <w:szCs w:val="22"/>
        </w:rPr>
      </w:pPr>
    </w:p>
    <w:p w14:paraId="06CDCD54"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D3BD20F" w14:textId="77777777" w:rsidTr="00FD5FF1">
        <w:tc>
          <w:tcPr>
            <w:tcW w:w="9281" w:type="dxa"/>
          </w:tcPr>
          <w:p w14:paraId="204AB62E" w14:textId="77777777" w:rsidR="009E676E" w:rsidRPr="009C5EFD" w:rsidRDefault="00E453CD" w:rsidP="00FD5FF1">
            <w:pPr>
              <w:ind w:left="567" w:hanging="567"/>
              <w:rPr>
                <w:b/>
                <w:sz w:val="22"/>
                <w:szCs w:val="22"/>
              </w:rPr>
            </w:pPr>
            <w:r w:rsidRPr="009C5EFD">
              <w:rPr>
                <w:b/>
                <w:sz w:val="22"/>
                <w:szCs w:val="22"/>
              </w:rPr>
              <w:t>4.</w:t>
            </w:r>
            <w:r w:rsidRPr="009C5EFD">
              <w:rPr>
                <w:b/>
                <w:sz w:val="22"/>
                <w:szCs w:val="22"/>
              </w:rPr>
              <w:tab/>
              <w:t>LEGEMIDDELFORM OG INNHOLD (PAKNINGSSTØRRELSE)</w:t>
            </w:r>
          </w:p>
        </w:tc>
      </w:tr>
    </w:tbl>
    <w:p w14:paraId="2AF67100" w14:textId="77777777" w:rsidR="009E676E" w:rsidRPr="009C5EFD" w:rsidRDefault="009E676E" w:rsidP="009E676E">
      <w:pPr>
        <w:suppressAutoHyphens/>
        <w:ind w:left="54"/>
        <w:rPr>
          <w:sz w:val="22"/>
          <w:szCs w:val="22"/>
        </w:rPr>
      </w:pPr>
    </w:p>
    <w:p w14:paraId="4B59E80A" w14:textId="77777777" w:rsidR="003D7A0C" w:rsidRDefault="00E453CD" w:rsidP="009E676E">
      <w:pPr>
        <w:suppressAutoHyphens/>
        <w:ind w:left="54"/>
        <w:rPr>
          <w:sz w:val="22"/>
          <w:szCs w:val="22"/>
        </w:rPr>
      </w:pPr>
      <w:r w:rsidRPr="00771F39">
        <w:rPr>
          <w:sz w:val="22"/>
          <w:szCs w:val="22"/>
          <w:highlight w:val="lightGray"/>
        </w:rPr>
        <w:t>Injeksjonsvæske</w:t>
      </w:r>
      <w:r w:rsidR="004E1C37" w:rsidRPr="00602A37">
        <w:rPr>
          <w:sz w:val="22"/>
          <w:szCs w:val="22"/>
          <w:highlight w:val="lightGray"/>
        </w:rPr>
        <w:t>, oppløsning</w:t>
      </w:r>
    </w:p>
    <w:p w14:paraId="532795B5" w14:textId="77777777" w:rsidR="009E676E" w:rsidRPr="009C5EFD" w:rsidRDefault="00E453CD" w:rsidP="009E676E">
      <w:pPr>
        <w:suppressAutoHyphens/>
        <w:ind w:left="54"/>
        <w:rPr>
          <w:sz w:val="22"/>
          <w:szCs w:val="22"/>
        </w:rPr>
      </w:pPr>
      <w:r w:rsidRPr="009C5EFD">
        <w:rPr>
          <w:sz w:val="22"/>
          <w:szCs w:val="22"/>
        </w:rPr>
        <w:t>1 fer</w:t>
      </w:r>
      <w:r w:rsidR="00F63850">
        <w:rPr>
          <w:sz w:val="22"/>
          <w:szCs w:val="22"/>
        </w:rPr>
        <w:t>digfylt sprøyte</w:t>
      </w:r>
    </w:p>
    <w:p w14:paraId="30A724EF" w14:textId="77777777" w:rsidR="009E676E" w:rsidRPr="009C5EFD" w:rsidRDefault="00E453CD" w:rsidP="009E676E">
      <w:pPr>
        <w:suppressAutoHyphens/>
        <w:ind w:left="54"/>
        <w:rPr>
          <w:sz w:val="22"/>
          <w:szCs w:val="22"/>
        </w:rPr>
      </w:pPr>
      <w:r w:rsidRPr="009C5EFD">
        <w:rPr>
          <w:sz w:val="22"/>
          <w:szCs w:val="22"/>
        </w:rPr>
        <w:t>1 injeksjonstørk</w:t>
      </w:r>
    </w:p>
    <w:p w14:paraId="1740B90C" w14:textId="77777777" w:rsidR="009E676E" w:rsidRPr="009C5EFD" w:rsidRDefault="009E676E" w:rsidP="009E676E">
      <w:pPr>
        <w:suppressAutoHyphens/>
        <w:ind w:left="54"/>
        <w:rPr>
          <w:sz w:val="22"/>
          <w:szCs w:val="22"/>
        </w:rPr>
      </w:pPr>
    </w:p>
    <w:p w14:paraId="2907BB21"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62845B8" w14:textId="77777777" w:rsidTr="00FD5FF1">
        <w:tc>
          <w:tcPr>
            <w:tcW w:w="9281" w:type="dxa"/>
          </w:tcPr>
          <w:p w14:paraId="28A2BC8D" w14:textId="77777777" w:rsidR="009E676E" w:rsidRPr="009C5EFD" w:rsidRDefault="00E453CD" w:rsidP="00FD5FF1">
            <w:pPr>
              <w:ind w:left="567" w:hanging="567"/>
              <w:rPr>
                <w:b/>
                <w:sz w:val="22"/>
                <w:szCs w:val="22"/>
              </w:rPr>
            </w:pPr>
            <w:r w:rsidRPr="009C5EFD">
              <w:rPr>
                <w:b/>
                <w:sz w:val="22"/>
                <w:szCs w:val="22"/>
              </w:rPr>
              <w:t>5.</w:t>
            </w:r>
            <w:r w:rsidRPr="009C5EFD">
              <w:rPr>
                <w:b/>
                <w:sz w:val="22"/>
                <w:szCs w:val="22"/>
              </w:rPr>
              <w:tab/>
              <w:t xml:space="preserve">ADMINISTRASJONSMÅTE OG </w:t>
            </w:r>
            <w:r w:rsidR="0050174A">
              <w:rPr>
                <w:b/>
                <w:sz w:val="22"/>
                <w:szCs w:val="22"/>
              </w:rPr>
              <w:t>-</w:t>
            </w:r>
            <w:r w:rsidR="0050174A" w:rsidRPr="009C5EFD">
              <w:rPr>
                <w:b/>
                <w:sz w:val="22"/>
                <w:szCs w:val="22"/>
              </w:rPr>
              <w:t>VEI</w:t>
            </w:r>
          </w:p>
        </w:tc>
      </w:tr>
    </w:tbl>
    <w:p w14:paraId="520744D0" w14:textId="77777777" w:rsidR="009E676E" w:rsidRPr="009C5EFD" w:rsidRDefault="009E676E" w:rsidP="009E676E">
      <w:pPr>
        <w:suppressAutoHyphens/>
        <w:ind w:left="54"/>
        <w:rPr>
          <w:sz w:val="22"/>
          <w:szCs w:val="22"/>
        </w:rPr>
      </w:pPr>
    </w:p>
    <w:p w14:paraId="7BE7B667" w14:textId="77777777" w:rsidR="009E676E" w:rsidRPr="009C5EFD" w:rsidRDefault="00E453CD" w:rsidP="009E676E">
      <w:pPr>
        <w:suppressAutoHyphens/>
        <w:ind w:left="54"/>
        <w:rPr>
          <w:sz w:val="22"/>
          <w:szCs w:val="22"/>
        </w:rPr>
      </w:pPr>
      <w:r w:rsidRPr="009C5EFD">
        <w:rPr>
          <w:sz w:val="22"/>
          <w:szCs w:val="22"/>
        </w:rPr>
        <w:t>Subkutan bruk</w:t>
      </w:r>
    </w:p>
    <w:p w14:paraId="034D7B44" w14:textId="77777777" w:rsidR="009E676E" w:rsidRPr="009C5EFD" w:rsidRDefault="009E676E" w:rsidP="009E676E">
      <w:pPr>
        <w:suppressAutoHyphens/>
        <w:ind w:left="54"/>
        <w:rPr>
          <w:sz w:val="22"/>
          <w:szCs w:val="22"/>
        </w:rPr>
      </w:pPr>
    </w:p>
    <w:p w14:paraId="4E7E9E45" w14:textId="77777777" w:rsidR="009E676E" w:rsidRDefault="00E453CD" w:rsidP="009E676E">
      <w:pPr>
        <w:suppressAutoHyphens/>
        <w:ind w:left="54"/>
        <w:rPr>
          <w:sz w:val="22"/>
          <w:szCs w:val="22"/>
        </w:rPr>
      </w:pPr>
      <w:r w:rsidRPr="009C5EFD">
        <w:rPr>
          <w:sz w:val="22"/>
          <w:szCs w:val="22"/>
        </w:rPr>
        <w:t>Les pakningsvedlegget før bruk.</w:t>
      </w:r>
    </w:p>
    <w:p w14:paraId="6A8A8A3E" w14:textId="77777777" w:rsidR="003D7A0C" w:rsidRDefault="003D7A0C" w:rsidP="009E676E">
      <w:pPr>
        <w:suppressAutoHyphens/>
        <w:ind w:left="54"/>
        <w:rPr>
          <w:sz w:val="22"/>
          <w:szCs w:val="22"/>
        </w:rPr>
      </w:pPr>
    </w:p>
    <w:p w14:paraId="5FE660CF" w14:textId="77777777" w:rsidR="003D7A0C" w:rsidRPr="009C5EFD" w:rsidRDefault="00E453CD" w:rsidP="009E676E">
      <w:pPr>
        <w:suppressAutoHyphens/>
        <w:ind w:left="54"/>
        <w:rPr>
          <w:sz w:val="22"/>
          <w:szCs w:val="22"/>
        </w:rPr>
      </w:pPr>
      <w:r w:rsidRPr="009C5EFD">
        <w:rPr>
          <w:sz w:val="22"/>
          <w:szCs w:val="22"/>
        </w:rPr>
        <w:t>Kun til engangsbruk.</w:t>
      </w:r>
    </w:p>
    <w:p w14:paraId="241CE1CF" w14:textId="77777777" w:rsidR="009E676E" w:rsidRPr="009C5EFD" w:rsidRDefault="009E676E" w:rsidP="009E676E">
      <w:pPr>
        <w:suppressAutoHyphens/>
        <w:ind w:left="54"/>
        <w:rPr>
          <w:sz w:val="22"/>
          <w:szCs w:val="22"/>
        </w:rPr>
      </w:pPr>
    </w:p>
    <w:p w14:paraId="030F784D"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78C24E1" w14:textId="77777777" w:rsidTr="00FD5FF1">
        <w:tc>
          <w:tcPr>
            <w:tcW w:w="9281" w:type="dxa"/>
          </w:tcPr>
          <w:p w14:paraId="0386DAFF" w14:textId="77777777" w:rsidR="009E676E" w:rsidRPr="009C5EFD" w:rsidRDefault="00E453CD" w:rsidP="00FD5FF1">
            <w:pPr>
              <w:ind w:left="567" w:hanging="567"/>
              <w:rPr>
                <w:b/>
                <w:sz w:val="22"/>
                <w:szCs w:val="22"/>
              </w:rPr>
            </w:pPr>
            <w:r w:rsidRPr="009C5EFD">
              <w:rPr>
                <w:b/>
                <w:sz w:val="22"/>
                <w:szCs w:val="22"/>
              </w:rPr>
              <w:t>6.</w:t>
            </w:r>
            <w:r w:rsidRPr="009C5EFD">
              <w:rPr>
                <w:b/>
                <w:sz w:val="22"/>
                <w:szCs w:val="22"/>
              </w:rPr>
              <w:tab/>
              <w:t>ADVARSEL OM AT LEGEMIDLET SKAL OPPBEVARES UTILGJENGELIG FOR BARN</w:t>
            </w:r>
          </w:p>
        </w:tc>
      </w:tr>
    </w:tbl>
    <w:p w14:paraId="066FBE13" w14:textId="77777777" w:rsidR="009E676E" w:rsidRPr="009C5EFD" w:rsidRDefault="009E676E" w:rsidP="009E676E">
      <w:pPr>
        <w:suppressAutoHyphens/>
        <w:ind w:left="54"/>
        <w:rPr>
          <w:sz w:val="22"/>
          <w:szCs w:val="22"/>
        </w:rPr>
      </w:pPr>
    </w:p>
    <w:p w14:paraId="07DB8A24" w14:textId="77777777" w:rsidR="009E676E" w:rsidRPr="009C5EFD" w:rsidRDefault="00E453CD" w:rsidP="009E676E">
      <w:pPr>
        <w:suppressAutoHyphens/>
        <w:ind w:left="54"/>
        <w:rPr>
          <w:sz w:val="22"/>
          <w:szCs w:val="22"/>
        </w:rPr>
      </w:pPr>
      <w:r w:rsidRPr="009C5EFD">
        <w:rPr>
          <w:sz w:val="22"/>
          <w:szCs w:val="22"/>
        </w:rPr>
        <w:t>Oppbevares utilgjengelig for barn.</w:t>
      </w:r>
    </w:p>
    <w:p w14:paraId="0C4F3324" w14:textId="77777777" w:rsidR="009E676E" w:rsidRPr="009C5EFD" w:rsidRDefault="009E676E" w:rsidP="009E676E">
      <w:pPr>
        <w:suppressAutoHyphens/>
        <w:ind w:left="54"/>
        <w:rPr>
          <w:sz w:val="22"/>
          <w:szCs w:val="22"/>
        </w:rPr>
      </w:pPr>
    </w:p>
    <w:p w14:paraId="5569980F"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DFF4C4D" w14:textId="77777777" w:rsidTr="00FD5FF1">
        <w:tc>
          <w:tcPr>
            <w:tcW w:w="9281" w:type="dxa"/>
          </w:tcPr>
          <w:p w14:paraId="4EFB6931" w14:textId="77777777" w:rsidR="009E676E" w:rsidRPr="009C5EFD" w:rsidRDefault="00E453CD" w:rsidP="00FD5FF1">
            <w:pPr>
              <w:ind w:left="567" w:hanging="567"/>
              <w:rPr>
                <w:b/>
                <w:sz w:val="22"/>
                <w:szCs w:val="22"/>
              </w:rPr>
            </w:pPr>
            <w:r w:rsidRPr="009C5EFD">
              <w:rPr>
                <w:b/>
                <w:sz w:val="22"/>
                <w:szCs w:val="22"/>
              </w:rPr>
              <w:t>7.</w:t>
            </w:r>
            <w:r w:rsidRPr="009C5EFD">
              <w:rPr>
                <w:b/>
                <w:sz w:val="22"/>
                <w:szCs w:val="22"/>
              </w:rPr>
              <w:tab/>
              <w:t>EVENTUELLE ANDRE SPESIELLE ADVARSLER</w:t>
            </w:r>
          </w:p>
        </w:tc>
      </w:tr>
    </w:tbl>
    <w:p w14:paraId="661EF518" w14:textId="77777777" w:rsidR="009E676E" w:rsidRPr="009C5EFD" w:rsidRDefault="009E676E" w:rsidP="009E676E">
      <w:pPr>
        <w:suppressAutoHyphens/>
        <w:ind w:left="54"/>
        <w:rPr>
          <w:sz w:val="22"/>
          <w:szCs w:val="22"/>
        </w:rPr>
      </w:pPr>
    </w:p>
    <w:p w14:paraId="4CAD92BA"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D71EDAB" w14:textId="77777777" w:rsidTr="00FD5FF1">
        <w:tc>
          <w:tcPr>
            <w:tcW w:w="9281" w:type="dxa"/>
          </w:tcPr>
          <w:p w14:paraId="39E2D0D2" w14:textId="77777777" w:rsidR="009E676E" w:rsidRPr="009C5EFD" w:rsidRDefault="00E453CD" w:rsidP="00FD5FF1">
            <w:pPr>
              <w:ind w:left="567" w:hanging="567"/>
              <w:rPr>
                <w:b/>
                <w:sz w:val="22"/>
                <w:szCs w:val="22"/>
              </w:rPr>
            </w:pPr>
            <w:r w:rsidRPr="009C5EFD">
              <w:rPr>
                <w:b/>
                <w:sz w:val="22"/>
                <w:szCs w:val="22"/>
              </w:rPr>
              <w:t>8.</w:t>
            </w:r>
            <w:r w:rsidRPr="009C5EFD">
              <w:rPr>
                <w:b/>
                <w:sz w:val="22"/>
                <w:szCs w:val="22"/>
              </w:rPr>
              <w:tab/>
              <w:t>UTLØPSDATO</w:t>
            </w:r>
          </w:p>
        </w:tc>
      </w:tr>
    </w:tbl>
    <w:p w14:paraId="26B789BF" w14:textId="77777777" w:rsidR="009E676E" w:rsidRPr="009C5EFD" w:rsidRDefault="009E676E" w:rsidP="009E676E">
      <w:pPr>
        <w:suppressAutoHyphens/>
        <w:ind w:left="621" w:hanging="567"/>
        <w:rPr>
          <w:sz w:val="22"/>
          <w:szCs w:val="22"/>
        </w:rPr>
      </w:pPr>
    </w:p>
    <w:p w14:paraId="6A2C28F2" w14:textId="77777777" w:rsidR="009E676E" w:rsidRPr="009C5EFD" w:rsidRDefault="00E453CD" w:rsidP="009E676E">
      <w:pPr>
        <w:suppressAutoHyphens/>
        <w:ind w:left="54"/>
        <w:rPr>
          <w:sz w:val="22"/>
          <w:szCs w:val="22"/>
        </w:rPr>
      </w:pPr>
      <w:r>
        <w:rPr>
          <w:sz w:val="22"/>
          <w:szCs w:val="22"/>
        </w:rPr>
        <w:t>EXP</w:t>
      </w:r>
    </w:p>
    <w:p w14:paraId="3B2BAD79" w14:textId="77777777" w:rsidR="009E676E" w:rsidRDefault="009E676E" w:rsidP="009E676E">
      <w:pPr>
        <w:ind w:left="54"/>
        <w:rPr>
          <w:sz w:val="22"/>
          <w:szCs w:val="22"/>
        </w:rPr>
      </w:pPr>
    </w:p>
    <w:p w14:paraId="15AAC178" w14:textId="77777777" w:rsidR="009E676E" w:rsidRPr="009C5EFD" w:rsidRDefault="009E676E" w:rsidP="009E676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54D8542" w14:textId="77777777" w:rsidTr="00FD5FF1">
        <w:tc>
          <w:tcPr>
            <w:tcW w:w="9281" w:type="dxa"/>
          </w:tcPr>
          <w:p w14:paraId="52CCC925" w14:textId="77777777" w:rsidR="009E676E" w:rsidRPr="009C5EFD" w:rsidRDefault="00E453CD" w:rsidP="00FD5FF1">
            <w:pPr>
              <w:ind w:left="567" w:hanging="567"/>
              <w:rPr>
                <w:b/>
                <w:sz w:val="22"/>
                <w:szCs w:val="22"/>
              </w:rPr>
            </w:pPr>
            <w:r w:rsidRPr="009C5EFD">
              <w:br w:type="page"/>
            </w:r>
            <w:r w:rsidRPr="009C5EFD">
              <w:rPr>
                <w:b/>
                <w:sz w:val="22"/>
                <w:szCs w:val="22"/>
              </w:rPr>
              <w:t>9.</w:t>
            </w:r>
            <w:r w:rsidRPr="009C5EFD">
              <w:rPr>
                <w:b/>
                <w:sz w:val="22"/>
                <w:szCs w:val="22"/>
              </w:rPr>
              <w:tab/>
              <w:t>OPPBEVARINGSBETINGELSER</w:t>
            </w:r>
          </w:p>
        </w:tc>
      </w:tr>
    </w:tbl>
    <w:p w14:paraId="59FDEF45" w14:textId="77777777" w:rsidR="009E676E" w:rsidRPr="009C5EFD" w:rsidRDefault="009E676E" w:rsidP="009E676E">
      <w:pPr>
        <w:suppressAutoHyphens/>
        <w:ind w:left="54"/>
        <w:rPr>
          <w:sz w:val="22"/>
          <w:szCs w:val="22"/>
        </w:rPr>
      </w:pPr>
    </w:p>
    <w:p w14:paraId="7DD1100A" w14:textId="77777777" w:rsidR="009E676E" w:rsidRPr="009C5EFD" w:rsidRDefault="00E453CD" w:rsidP="009E676E">
      <w:pPr>
        <w:suppressAutoHyphens/>
        <w:ind w:left="54"/>
        <w:rPr>
          <w:sz w:val="22"/>
          <w:szCs w:val="22"/>
        </w:rPr>
      </w:pPr>
      <w:r w:rsidRPr="009C5EFD">
        <w:rPr>
          <w:sz w:val="22"/>
          <w:szCs w:val="22"/>
        </w:rPr>
        <w:t>Oppbevares i kjøleskap. Skal ikke fryses.</w:t>
      </w:r>
    </w:p>
    <w:p w14:paraId="58615800" w14:textId="77777777" w:rsidR="009E676E" w:rsidRPr="009C5EFD" w:rsidRDefault="00E453CD" w:rsidP="009E676E">
      <w:pPr>
        <w:suppressAutoHyphens/>
        <w:ind w:left="54"/>
        <w:rPr>
          <w:sz w:val="22"/>
          <w:szCs w:val="22"/>
        </w:rPr>
      </w:pPr>
      <w:r w:rsidRPr="009C5EFD">
        <w:rPr>
          <w:sz w:val="22"/>
          <w:szCs w:val="22"/>
        </w:rPr>
        <w:lastRenderedPageBreak/>
        <w:t>Se pakningsvedlegg for alternative oppbevaringsbetingelser.</w:t>
      </w:r>
    </w:p>
    <w:p w14:paraId="2979E852" w14:textId="77777777" w:rsidR="009E676E" w:rsidRPr="009C5EFD" w:rsidRDefault="00E453CD" w:rsidP="009E676E">
      <w:pPr>
        <w:suppressAutoHyphens/>
        <w:ind w:left="54"/>
        <w:rPr>
          <w:sz w:val="22"/>
          <w:szCs w:val="22"/>
        </w:rPr>
      </w:pPr>
      <w:r w:rsidRPr="009C5EFD">
        <w:rPr>
          <w:sz w:val="22"/>
          <w:szCs w:val="22"/>
        </w:rPr>
        <w:t>Sprøyten oppbevares i ytterkartongen for å beskytte mot lys.</w:t>
      </w:r>
    </w:p>
    <w:p w14:paraId="44D24FFB" w14:textId="77777777" w:rsidR="009E676E" w:rsidRPr="009C5EFD" w:rsidRDefault="009E676E" w:rsidP="009E676E">
      <w:pPr>
        <w:suppressAutoHyphens/>
        <w:ind w:left="54"/>
        <w:rPr>
          <w:sz w:val="22"/>
          <w:szCs w:val="22"/>
        </w:rPr>
      </w:pPr>
    </w:p>
    <w:p w14:paraId="535320E1"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31282ED" w14:textId="77777777" w:rsidTr="00FD5FF1">
        <w:tc>
          <w:tcPr>
            <w:tcW w:w="9281" w:type="dxa"/>
          </w:tcPr>
          <w:p w14:paraId="372149A1" w14:textId="77777777" w:rsidR="009E676E" w:rsidRPr="009C5EFD" w:rsidRDefault="00E453CD" w:rsidP="00FD5FF1">
            <w:pPr>
              <w:ind w:left="567" w:hanging="567"/>
              <w:rPr>
                <w:b/>
                <w:sz w:val="22"/>
                <w:szCs w:val="22"/>
              </w:rPr>
            </w:pPr>
            <w:r w:rsidRPr="009C5EFD">
              <w:rPr>
                <w:b/>
                <w:sz w:val="22"/>
                <w:szCs w:val="22"/>
              </w:rPr>
              <w:t>10.</w:t>
            </w:r>
            <w:r w:rsidRPr="009C5EFD">
              <w:rPr>
                <w:b/>
                <w:sz w:val="22"/>
                <w:szCs w:val="22"/>
              </w:rPr>
              <w:tab/>
              <w:t>EVENTUELLE SPESIELLE FORHOLDSREGLER VED DESTRUKSJON AV UBRUKTE LEGEMIDLER ELLER AVFALL</w:t>
            </w:r>
          </w:p>
        </w:tc>
      </w:tr>
    </w:tbl>
    <w:p w14:paraId="483584FB" w14:textId="77777777" w:rsidR="009E676E" w:rsidRPr="009C5EFD" w:rsidRDefault="009E676E" w:rsidP="009E676E">
      <w:pPr>
        <w:suppressAutoHyphens/>
        <w:ind w:left="54"/>
        <w:rPr>
          <w:sz w:val="22"/>
          <w:szCs w:val="22"/>
        </w:rPr>
      </w:pPr>
    </w:p>
    <w:p w14:paraId="483B6494" w14:textId="77777777" w:rsidR="009E676E" w:rsidRPr="009C5EFD" w:rsidRDefault="009E676E" w:rsidP="009E676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6516FFD" w14:textId="77777777" w:rsidTr="00FD5FF1">
        <w:tc>
          <w:tcPr>
            <w:tcW w:w="9281" w:type="dxa"/>
          </w:tcPr>
          <w:p w14:paraId="298E61FA" w14:textId="77777777" w:rsidR="009E676E" w:rsidRPr="009C5EFD" w:rsidRDefault="00E453CD" w:rsidP="00FD5FF1">
            <w:pPr>
              <w:ind w:left="567" w:hanging="567"/>
              <w:rPr>
                <w:b/>
                <w:sz w:val="22"/>
                <w:szCs w:val="22"/>
              </w:rPr>
            </w:pPr>
            <w:r w:rsidRPr="009C5EFD">
              <w:rPr>
                <w:b/>
                <w:sz w:val="22"/>
                <w:szCs w:val="22"/>
              </w:rPr>
              <w:t>11.</w:t>
            </w:r>
            <w:r w:rsidRPr="009C5EFD">
              <w:rPr>
                <w:b/>
                <w:sz w:val="22"/>
                <w:szCs w:val="22"/>
              </w:rPr>
              <w:tab/>
              <w:t>NAVN OG ADRESSE PÅ INNEHAVEREN AV MARKEDSFØRINGSTILLATELSEN</w:t>
            </w:r>
          </w:p>
        </w:tc>
      </w:tr>
    </w:tbl>
    <w:p w14:paraId="0D421148" w14:textId="77777777" w:rsidR="009E676E" w:rsidRPr="009C5EFD" w:rsidRDefault="009E676E" w:rsidP="009E676E">
      <w:pPr>
        <w:suppressAutoHyphens/>
        <w:ind w:left="54"/>
        <w:rPr>
          <w:sz w:val="22"/>
          <w:szCs w:val="22"/>
        </w:rPr>
      </w:pPr>
    </w:p>
    <w:p w14:paraId="3A9DBEDD" w14:textId="77777777" w:rsidR="00DD76CF" w:rsidRPr="00EF12DF" w:rsidRDefault="00E453CD" w:rsidP="00DD76CF">
      <w:pPr>
        <w:rPr>
          <w:sz w:val="22"/>
          <w:szCs w:val="22"/>
        </w:rPr>
      </w:pPr>
      <w:r w:rsidRPr="00EF12DF">
        <w:rPr>
          <w:sz w:val="22"/>
          <w:szCs w:val="22"/>
        </w:rPr>
        <w:t>AbbVie Deutschland GmbH &amp; Co. KG</w:t>
      </w:r>
    </w:p>
    <w:p w14:paraId="50AFF79B" w14:textId="77777777" w:rsidR="00DD76CF" w:rsidRPr="00EF12DF" w:rsidRDefault="00E453CD" w:rsidP="00DD76CF">
      <w:pPr>
        <w:rPr>
          <w:sz w:val="22"/>
          <w:szCs w:val="22"/>
        </w:rPr>
      </w:pPr>
      <w:r w:rsidRPr="00EF12DF">
        <w:rPr>
          <w:sz w:val="22"/>
          <w:szCs w:val="22"/>
        </w:rPr>
        <w:t>Knollstrasse</w:t>
      </w:r>
    </w:p>
    <w:p w14:paraId="09BACE8D" w14:textId="77777777" w:rsidR="00DD76CF" w:rsidRPr="00EF12DF" w:rsidRDefault="00E453CD" w:rsidP="00DD76CF">
      <w:pPr>
        <w:rPr>
          <w:sz w:val="22"/>
          <w:szCs w:val="22"/>
        </w:rPr>
      </w:pPr>
      <w:r w:rsidRPr="00EF12DF">
        <w:rPr>
          <w:sz w:val="22"/>
          <w:szCs w:val="22"/>
        </w:rPr>
        <w:t>67061 Ludwigshafen</w:t>
      </w:r>
    </w:p>
    <w:p w14:paraId="5E92B782" w14:textId="77777777" w:rsidR="00DD76CF" w:rsidRPr="009C5EFD" w:rsidRDefault="00E453CD" w:rsidP="00DD76CF">
      <w:pPr>
        <w:rPr>
          <w:sz w:val="22"/>
          <w:szCs w:val="22"/>
        </w:rPr>
      </w:pPr>
      <w:r>
        <w:rPr>
          <w:sz w:val="22"/>
          <w:szCs w:val="22"/>
        </w:rPr>
        <w:t>Tyskland</w:t>
      </w:r>
    </w:p>
    <w:p w14:paraId="3D96F096" w14:textId="77777777" w:rsidR="009E676E" w:rsidRPr="003F000C" w:rsidRDefault="009E676E" w:rsidP="009E676E">
      <w:pPr>
        <w:suppressAutoHyphens/>
        <w:rPr>
          <w:sz w:val="22"/>
          <w:szCs w:val="22"/>
          <w:lang w:val="sv-SE"/>
        </w:rPr>
      </w:pPr>
    </w:p>
    <w:p w14:paraId="629875B8" w14:textId="77777777" w:rsidR="009E676E" w:rsidRPr="003F000C" w:rsidRDefault="009E676E" w:rsidP="009E676E">
      <w:pPr>
        <w:suppressAutoHyphens/>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E0F8BEF" w14:textId="77777777" w:rsidTr="00506C98">
        <w:tc>
          <w:tcPr>
            <w:tcW w:w="9281" w:type="dxa"/>
          </w:tcPr>
          <w:p w14:paraId="0DE8FBC6" w14:textId="77777777" w:rsidR="00730B89" w:rsidRPr="009C5EFD" w:rsidRDefault="00E453CD" w:rsidP="00506C98">
            <w:pPr>
              <w:ind w:left="567" w:hanging="567"/>
              <w:rPr>
                <w:b/>
                <w:sz w:val="22"/>
                <w:szCs w:val="22"/>
              </w:rPr>
            </w:pPr>
            <w:r w:rsidRPr="009C5EFD">
              <w:rPr>
                <w:b/>
                <w:sz w:val="22"/>
                <w:szCs w:val="22"/>
              </w:rPr>
              <w:t>12.</w:t>
            </w:r>
            <w:r w:rsidRPr="009C5EFD">
              <w:rPr>
                <w:b/>
                <w:sz w:val="22"/>
                <w:szCs w:val="22"/>
              </w:rPr>
              <w:tab/>
              <w:t>MARKEDSFØRINGSTILLATELSESNUMMER (NUMRE)</w:t>
            </w:r>
          </w:p>
        </w:tc>
      </w:tr>
    </w:tbl>
    <w:p w14:paraId="757821B8" w14:textId="77777777" w:rsidR="009E676E" w:rsidRPr="009C5EFD" w:rsidRDefault="009E676E" w:rsidP="009E676E">
      <w:pPr>
        <w:suppressAutoHyphens/>
        <w:ind w:left="54"/>
        <w:rPr>
          <w:sz w:val="22"/>
          <w:szCs w:val="22"/>
        </w:rPr>
      </w:pPr>
    </w:p>
    <w:p w14:paraId="1CB27E24" w14:textId="77777777" w:rsidR="009E676E" w:rsidRPr="009C5EFD" w:rsidRDefault="00E453CD" w:rsidP="009E676E">
      <w:pPr>
        <w:suppressAutoHyphens/>
        <w:ind w:left="482" w:hanging="425"/>
        <w:rPr>
          <w:sz w:val="22"/>
          <w:szCs w:val="22"/>
        </w:rPr>
      </w:pPr>
      <w:r>
        <w:rPr>
          <w:sz w:val="22"/>
          <w:szCs w:val="22"/>
        </w:rPr>
        <w:t>EU/1/03/256/</w:t>
      </w:r>
      <w:r w:rsidR="00225E71">
        <w:rPr>
          <w:sz w:val="22"/>
          <w:szCs w:val="22"/>
        </w:rPr>
        <w:t>020</w:t>
      </w:r>
    </w:p>
    <w:p w14:paraId="069DECF2" w14:textId="77777777" w:rsidR="009E676E" w:rsidRPr="009C5EFD" w:rsidRDefault="009E676E" w:rsidP="009E676E">
      <w:pPr>
        <w:ind w:left="54"/>
        <w:rPr>
          <w:sz w:val="22"/>
          <w:szCs w:val="22"/>
        </w:rPr>
      </w:pPr>
    </w:p>
    <w:p w14:paraId="7397A66D" w14:textId="77777777" w:rsidR="009E676E" w:rsidRPr="009C5EFD" w:rsidRDefault="009E676E" w:rsidP="009E676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D67AB61" w14:textId="77777777" w:rsidTr="00FD5FF1">
        <w:tc>
          <w:tcPr>
            <w:tcW w:w="9281" w:type="dxa"/>
          </w:tcPr>
          <w:p w14:paraId="1BD88B60" w14:textId="77777777" w:rsidR="009E676E" w:rsidRPr="009C5EFD" w:rsidRDefault="00E453CD" w:rsidP="00FD5FF1">
            <w:pPr>
              <w:ind w:left="567" w:hanging="567"/>
              <w:rPr>
                <w:b/>
                <w:sz w:val="22"/>
                <w:szCs w:val="22"/>
              </w:rPr>
            </w:pPr>
            <w:r w:rsidRPr="009C5EFD">
              <w:rPr>
                <w:b/>
                <w:sz w:val="22"/>
                <w:szCs w:val="22"/>
              </w:rPr>
              <w:t>13.</w:t>
            </w:r>
            <w:r w:rsidRPr="009C5EFD">
              <w:rPr>
                <w:b/>
                <w:sz w:val="22"/>
                <w:szCs w:val="22"/>
              </w:rPr>
              <w:tab/>
              <w:t>PRODUKSJONSNUMMER</w:t>
            </w:r>
          </w:p>
        </w:tc>
      </w:tr>
    </w:tbl>
    <w:p w14:paraId="6D268958" w14:textId="77777777" w:rsidR="009E676E" w:rsidRPr="009C5EFD" w:rsidRDefault="009E676E" w:rsidP="009E676E">
      <w:pPr>
        <w:ind w:left="54"/>
        <w:rPr>
          <w:sz w:val="22"/>
          <w:szCs w:val="22"/>
        </w:rPr>
      </w:pPr>
    </w:p>
    <w:p w14:paraId="7A6FDE64" w14:textId="77777777" w:rsidR="009E676E" w:rsidRPr="009C5EFD" w:rsidRDefault="00E453CD" w:rsidP="009E676E">
      <w:pPr>
        <w:ind w:left="57"/>
        <w:rPr>
          <w:sz w:val="22"/>
          <w:szCs w:val="22"/>
        </w:rPr>
      </w:pPr>
      <w:r w:rsidRPr="009C5EFD">
        <w:rPr>
          <w:sz w:val="22"/>
          <w:szCs w:val="22"/>
        </w:rPr>
        <w:t>Lot</w:t>
      </w:r>
    </w:p>
    <w:p w14:paraId="30B3920C" w14:textId="77777777" w:rsidR="009E676E" w:rsidRPr="009C5EFD" w:rsidRDefault="009E676E" w:rsidP="009E676E">
      <w:pPr>
        <w:ind w:left="54"/>
        <w:rPr>
          <w:sz w:val="22"/>
          <w:szCs w:val="22"/>
        </w:rPr>
      </w:pPr>
    </w:p>
    <w:p w14:paraId="73F6A99A" w14:textId="77777777" w:rsidR="009E676E" w:rsidRPr="009C5EFD" w:rsidRDefault="009E676E" w:rsidP="009E676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7325B1" w14:textId="77777777" w:rsidTr="00FD5FF1">
        <w:tc>
          <w:tcPr>
            <w:tcW w:w="9281" w:type="dxa"/>
          </w:tcPr>
          <w:p w14:paraId="58D57194" w14:textId="77777777" w:rsidR="009E676E" w:rsidRPr="009C5EFD" w:rsidRDefault="00E453CD" w:rsidP="00FD5FF1">
            <w:pPr>
              <w:ind w:left="567" w:hanging="567"/>
              <w:rPr>
                <w:b/>
                <w:sz w:val="22"/>
                <w:szCs w:val="22"/>
              </w:rPr>
            </w:pPr>
            <w:r w:rsidRPr="009C5EFD">
              <w:rPr>
                <w:b/>
                <w:sz w:val="22"/>
                <w:szCs w:val="22"/>
              </w:rPr>
              <w:t>14.</w:t>
            </w:r>
            <w:r w:rsidRPr="009C5EFD">
              <w:rPr>
                <w:b/>
                <w:sz w:val="22"/>
                <w:szCs w:val="22"/>
              </w:rPr>
              <w:tab/>
              <w:t>GENERELL KLASSIFIKASJON FOR UTLEVERING</w:t>
            </w:r>
          </w:p>
        </w:tc>
      </w:tr>
    </w:tbl>
    <w:p w14:paraId="4F79B27E" w14:textId="77777777" w:rsidR="009E676E" w:rsidRPr="009C5EFD" w:rsidRDefault="009E676E" w:rsidP="009E676E">
      <w:pPr>
        <w:suppressAutoHyphens/>
        <w:ind w:left="774" w:hanging="720"/>
        <w:rPr>
          <w:sz w:val="22"/>
          <w:szCs w:val="22"/>
        </w:rPr>
      </w:pPr>
    </w:p>
    <w:p w14:paraId="0AC178A6" w14:textId="77777777" w:rsidR="00FE19DC" w:rsidRPr="009C5EFD" w:rsidRDefault="00FE19DC" w:rsidP="009E676E">
      <w:pPr>
        <w:suppressAutoHyphens/>
        <w:ind w:left="774" w:hanging="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AB24E5F" w14:textId="77777777" w:rsidTr="00FD5FF1">
        <w:tc>
          <w:tcPr>
            <w:tcW w:w="9281" w:type="dxa"/>
          </w:tcPr>
          <w:p w14:paraId="3B3E28DC" w14:textId="77777777" w:rsidR="009E676E" w:rsidRPr="009C5EFD" w:rsidRDefault="00E453CD" w:rsidP="00FD5FF1">
            <w:pPr>
              <w:ind w:left="567" w:hanging="567"/>
              <w:rPr>
                <w:b/>
                <w:sz w:val="22"/>
                <w:szCs w:val="22"/>
              </w:rPr>
            </w:pPr>
            <w:r w:rsidRPr="009C5EFD">
              <w:rPr>
                <w:b/>
                <w:sz w:val="22"/>
                <w:szCs w:val="22"/>
              </w:rPr>
              <w:t>15.</w:t>
            </w:r>
            <w:r w:rsidRPr="009C5EFD">
              <w:rPr>
                <w:b/>
                <w:sz w:val="22"/>
                <w:szCs w:val="22"/>
              </w:rPr>
              <w:tab/>
              <w:t>BRUKSANVISNING</w:t>
            </w:r>
          </w:p>
        </w:tc>
      </w:tr>
    </w:tbl>
    <w:p w14:paraId="0575732C" w14:textId="77777777" w:rsidR="009E676E" w:rsidRPr="00D968A3" w:rsidRDefault="009E676E" w:rsidP="009E676E">
      <w:pPr>
        <w:ind w:left="54"/>
        <w:rPr>
          <w:sz w:val="22"/>
          <w:szCs w:val="22"/>
        </w:rPr>
      </w:pPr>
    </w:p>
    <w:p w14:paraId="05D01E9A" w14:textId="77777777" w:rsidR="009E676E" w:rsidRPr="00D968A3" w:rsidRDefault="009E676E" w:rsidP="009E676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06D2BCF" w14:textId="77777777" w:rsidTr="00FD5FF1">
        <w:tc>
          <w:tcPr>
            <w:tcW w:w="9281" w:type="dxa"/>
          </w:tcPr>
          <w:p w14:paraId="1C32B597" w14:textId="77777777" w:rsidR="009E676E" w:rsidRPr="009C5EFD" w:rsidRDefault="00E453CD" w:rsidP="00FD5FF1">
            <w:pPr>
              <w:ind w:left="567" w:hanging="567"/>
              <w:rPr>
                <w:b/>
                <w:sz w:val="22"/>
                <w:szCs w:val="22"/>
              </w:rPr>
            </w:pPr>
            <w:r w:rsidRPr="009C5EFD">
              <w:rPr>
                <w:b/>
                <w:sz w:val="22"/>
                <w:szCs w:val="22"/>
              </w:rPr>
              <w:t>16.</w:t>
            </w:r>
            <w:r w:rsidRPr="009C5EFD">
              <w:rPr>
                <w:b/>
                <w:sz w:val="22"/>
                <w:szCs w:val="22"/>
              </w:rPr>
              <w:tab/>
              <w:t>INFORMASJON PÅ BLINDESKRIFT</w:t>
            </w:r>
          </w:p>
        </w:tc>
      </w:tr>
    </w:tbl>
    <w:p w14:paraId="573688C0" w14:textId="77777777" w:rsidR="009E676E" w:rsidRPr="00D968A3" w:rsidRDefault="009E676E" w:rsidP="009E676E">
      <w:pPr>
        <w:ind w:left="54"/>
        <w:rPr>
          <w:sz w:val="22"/>
          <w:szCs w:val="22"/>
        </w:rPr>
      </w:pPr>
    </w:p>
    <w:p w14:paraId="622924CF" w14:textId="77777777" w:rsidR="009E676E" w:rsidRDefault="00E453CD" w:rsidP="009E676E">
      <w:pPr>
        <w:ind w:left="54"/>
        <w:rPr>
          <w:sz w:val="22"/>
          <w:szCs w:val="22"/>
        </w:rPr>
      </w:pPr>
      <w:r>
        <w:rPr>
          <w:sz w:val="22"/>
          <w:szCs w:val="22"/>
        </w:rPr>
        <w:t>Humira 8</w:t>
      </w:r>
      <w:r w:rsidRPr="009C5EFD">
        <w:rPr>
          <w:sz w:val="22"/>
          <w:szCs w:val="22"/>
        </w:rPr>
        <w:t>0 mg</w:t>
      </w:r>
    </w:p>
    <w:p w14:paraId="5F760B17" w14:textId="77777777" w:rsidR="009E676E" w:rsidRDefault="009E676E" w:rsidP="009E676E">
      <w:pPr>
        <w:ind w:left="54"/>
        <w:rPr>
          <w:sz w:val="22"/>
          <w:szCs w:val="22"/>
        </w:rPr>
      </w:pPr>
    </w:p>
    <w:p w14:paraId="4E944ECA" w14:textId="77777777" w:rsidR="009E676E" w:rsidRPr="001E2ACA" w:rsidRDefault="009E676E" w:rsidP="009E676E">
      <w:pPr>
        <w:tabs>
          <w:tab w:val="left" w:pos="562"/>
        </w:tabs>
        <w:suppressAutoHyphens/>
        <w:ind w:left="540" w:hanging="540"/>
        <w:rPr>
          <w:sz w:val="22"/>
          <w:lang w:val="en-GB"/>
        </w:rPr>
      </w:pPr>
    </w:p>
    <w:p w14:paraId="2A9F88A1" w14:textId="77777777" w:rsidR="009E676E" w:rsidRPr="00126088" w:rsidRDefault="00E453CD" w:rsidP="009E676E">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F05EB5">
        <w:rPr>
          <w:b/>
          <w:bCs/>
          <w:caps/>
          <w:sz w:val="22"/>
          <w:szCs w:val="20"/>
        </w:rPr>
        <w:t xml:space="preserve">17. </w:t>
      </w:r>
      <w:r w:rsidRPr="00F05EB5">
        <w:rPr>
          <w:b/>
          <w:bCs/>
          <w:caps/>
          <w:sz w:val="22"/>
          <w:szCs w:val="20"/>
        </w:rPr>
        <w:tab/>
      </w:r>
      <w:r w:rsidRPr="00126088">
        <w:rPr>
          <w:b/>
          <w:bCs/>
          <w:caps/>
          <w:sz w:val="22"/>
          <w:szCs w:val="20"/>
        </w:rPr>
        <w:t>SIKKERHETSANORDNING (UNIK IDENTITET) – TODIMENSJONAL STREKKODE</w:t>
      </w:r>
    </w:p>
    <w:p w14:paraId="45495BE2" w14:textId="77777777" w:rsidR="009E676E" w:rsidRPr="00126088" w:rsidRDefault="009E676E" w:rsidP="009E676E">
      <w:pPr>
        <w:tabs>
          <w:tab w:val="left" w:pos="562"/>
        </w:tabs>
        <w:suppressAutoHyphens/>
        <w:rPr>
          <w:sz w:val="22"/>
        </w:rPr>
      </w:pPr>
    </w:p>
    <w:p w14:paraId="2A56CD50" w14:textId="77777777" w:rsidR="009E676E" w:rsidRPr="00F05EB5" w:rsidRDefault="00E453CD" w:rsidP="009E676E">
      <w:pPr>
        <w:tabs>
          <w:tab w:val="left" w:pos="562"/>
        </w:tabs>
        <w:suppressAutoHyphens/>
        <w:rPr>
          <w:sz w:val="22"/>
          <w:shd w:val="clear" w:color="auto" w:fill="BFBFBF"/>
        </w:rPr>
      </w:pPr>
      <w:r w:rsidRPr="00F05EB5">
        <w:rPr>
          <w:sz w:val="22"/>
          <w:shd w:val="clear" w:color="auto" w:fill="BFBFBF"/>
        </w:rPr>
        <w:t>Todimensjonal strekkode, inkludert unik identitet</w:t>
      </w:r>
      <w:r>
        <w:rPr>
          <w:sz w:val="22"/>
          <w:shd w:val="clear" w:color="auto" w:fill="BFBFBF"/>
        </w:rPr>
        <w:t>.</w:t>
      </w:r>
    </w:p>
    <w:p w14:paraId="5F0F323A" w14:textId="77777777" w:rsidR="009E676E" w:rsidRDefault="009E676E" w:rsidP="009E676E">
      <w:pPr>
        <w:tabs>
          <w:tab w:val="left" w:pos="562"/>
        </w:tabs>
        <w:suppressAutoHyphens/>
        <w:rPr>
          <w:sz w:val="22"/>
          <w:shd w:val="clear" w:color="auto" w:fill="BFBFBF"/>
        </w:rPr>
      </w:pPr>
    </w:p>
    <w:p w14:paraId="6506D5CD" w14:textId="77777777" w:rsidR="009E676E" w:rsidRPr="00F05EB5" w:rsidRDefault="009E676E" w:rsidP="009E676E">
      <w:pPr>
        <w:tabs>
          <w:tab w:val="left" w:pos="562"/>
        </w:tabs>
        <w:suppressAutoHyphens/>
        <w:rPr>
          <w:sz w:val="22"/>
          <w:shd w:val="clear" w:color="auto" w:fill="BFBFBF"/>
        </w:rPr>
      </w:pPr>
    </w:p>
    <w:p w14:paraId="5245078B" w14:textId="77777777" w:rsidR="009E676E" w:rsidRPr="00126088" w:rsidRDefault="00E453CD" w:rsidP="009E676E">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F05EB5">
        <w:rPr>
          <w:b/>
          <w:bCs/>
          <w:caps/>
          <w:sz w:val="22"/>
          <w:szCs w:val="20"/>
        </w:rPr>
        <w:t xml:space="preserve">18. </w:t>
      </w:r>
      <w:r w:rsidRPr="00F05EB5">
        <w:rPr>
          <w:b/>
          <w:bCs/>
          <w:caps/>
          <w:sz w:val="22"/>
          <w:szCs w:val="20"/>
        </w:rPr>
        <w:tab/>
      </w:r>
      <w:r w:rsidRPr="00126088">
        <w:rPr>
          <w:b/>
          <w:bCs/>
          <w:caps/>
          <w:sz w:val="22"/>
          <w:szCs w:val="20"/>
        </w:rPr>
        <w:t>SIKKERHETSANORDNING (UNIK IDENTITET) – I ET FORMAT LESBART FOR MENNESKER</w:t>
      </w:r>
    </w:p>
    <w:p w14:paraId="3D3F32D1" w14:textId="77777777" w:rsidR="009E676E" w:rsidRPr="00126088" w:rsidRDefault="009E676E" w:rsidP="009E676E">
      <w:pPr>
        <w:keepNext/>
        <w:tabs>
          <w:tab w:val="left" w:pos="562"/>
        </w:tabs>
        <w:suppressAutoHyphens/>
        <w:ind w:left="540" w:hanging="540"/>
        <w:rPr>
          <w:sz w:val="22"/>
        </w:rPr>
      </w:pPr>
    </w:p>
    <w:p w14:paraId="3C8D552A" w14:textId="77777777" w:rsidR="009E676E" w:rsidRPr="001E2ACA" w:rsidRDefault="00E453CD" w:rsidP="009E676E">
      <w:pPr>
        <w:keepNext/>
        <w:tabs>
          <w:tab w:val="left" w:pos="562"/>
        </w:tabs>
        <w:suppressAutoHyphens/>
        <w:ind w:left="540" w:hanging="540"/>
        <w:rPr>
          <w:sz w:val="22"/>
          <w:lang w:val="en-GB"/>
        </w:rPr>
      </w:pPr>
      <w:r>
        <w:rPr>
          <w:sz w:val="22"/>
          <w:lang w:val="en-GB"/>
        </w:rPr>
        <w:t>PC</w:t>
      </w:r>
    </w:p>
    <w:p w14:paraId="150912EA" w14:textId="77777777" w:rsidR="009E676E" w:rsidRPr="001E2ACA" w:rsidRDefault="00E453CD" w:rsidP="009E676E">
      <w:pPr>
        <w:keepNext/>
        <w:tabs>
          <w:tab w:val="left" w:pos="562"/>
        </w:tabs>
        <w:suppressAutoHyphens/>
        <w:ind w:left="540" w:hanging="540"/>
        <w:rPr>
          <w:sz w:val="22"/>
          <w:lang w:val="en-GB"/>
        </w:rPr>
      </w:pPr>
      <w:r>
        <w:rPr>
          <w:sz w:val="22"/>
          <w:lang w:val="en-GB"/>
        </w:rPr>
        <w:t>SN</w:t>
      </w:r>
    </w:p>
    <w:p w14:paraId="182748A4" w14:textId="77777777" w:rsidR="009E676E" w:rsidRPr="009C5EFD" w:rsidRDefault="00E453CD" w:rsidP="009E676E">
      <w:pPr>
        <w:rPr>
          <w:sz w:val="22"/>
          <w:szCs w:val="22"/>
        </w:rPr>
      </w:pPr>
      <w:r w:rsidRPr="00A15CB1">
        <w:rPr>
          <w:sz w:val="22"/>
          <w:highlight w:val="lightGray"/>
          <w:lang w:val="en-GB"/>
        </w:rPr>
        <w:t>NN</w:t>
      </w:r>
      <w:r w:rsidRPr="009C5EFD">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17DA726" w14:textId="77777777" w:rsidTr="007A625D">
        <w:tc>
          <w:tcPr>
            <w:tcW w:w="9281" w:type="dxa"/>
          </w:tcPr>
          <w:p w14:paraId="361A86CF" w14:textId="77777777" w:rsidR="00F63850" w:rsidRPr="009C5EFD" w:rsidRDefault="00E453CD" w:rsidP="007A625D">
            <w:pPr>
              <w:rPr>
                <w:b/>
                <w:sz w:val="22"/>
                <w:szCs w:val="22"/>
              </w:rPr>
            </w:pPr>
            <w:r w:rsidRPr="009C5EFD">
              <w:rPr>
                <w:b/>
                <w:sz w:val="22"/>
                <w:szCs w:val="22"/>
              </w:rPr>
              <w:lastRenderedPageBreak/>
              <w:t>MINSTEKRAV TIL OPPLYSNINGER SOM SKAL ANGIS PÅ BLISTER</w:t>
            </w:r>
            <w:r w:rsidR="000629D5">
              <w:rPr>
                <w:b/>
                <w:sz w:val="22"/>
                <w:szCs w:val="22"/>
              </w:rPr>
              <w:t xml:space="preserve"> ELLER STRIP</w:t>
            </w:r>
          </w:p>
          <w:p w14:paraId="32B274C3" w14:textId="77777777" w:rsidR="00F63850" w:rsidRPr="009C5EFD" w:rsidRDefault="00F63850" w:rsidP="007A625D">
            <w:pPr>
              <w:rPr>
                <w:b/>
                <w:sz w:val="22"/>
                <w:szCs w:val="22"/>
              </w:rPr>
            </w:pPr>
          </w:p>
          <w:p w14:paraId="03363436" w14:textId="77777777" w:rsidR="00F63850" w:rsidRPr="009C5EFD" w:rsidRDefault="00E453CD" w:rsidP="007A625D">
            <w:pPr>
              <w:rPr>
                <w:b/>
                <w:sz w:val="22"/>
                <w:szCs w:val="22"/>
              </w:rPr>
            </w:pPr>
            <w:r>
              <w:rPr>
                <w:b/>
                <w:sz w:val="22"/>
                <w:szCs w:val="22"/>
              </w:rPr>
              <w:t>TEKST PÅ BRETT</w:t>
            </w:r>
          </w:p>
        </w:tc>
      </w:tr>
    </w:tbl>
    <w:p w14:paraId="5C824B1A" w14:textId="77777777" w:rsidR="00F63850" w:rsidRPr="009C5EFD" w:rsidRDefault="00F63850" w:rsidP="00F63850">
      <w:pPr>
        <w:ind w:left="54"/>
        <w:rPr>
          <w:sz w:val="22"/>
          <w:szCs w:val="22"/>
        </w:rPr>
      </w:pPr>
    </w:p>
    <w:p w14:paraId="0D87FD50" w14:textId="77777777" w:rsidR="00F63850" w:rsidRPr="009C5EFD" w:rsidRDefault="00F63850" w:rsidP="00F63850">
      <w:pPr>
        <w:ind w:left="621"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83AB89C" w14:textId="77777777" w:rsidTr="007A625D">
        <w:tc>
          <w:tcPr>
            <w:tcW w:w="9281" w:type="dxa"/>
          </w:tcPr>
          <w:p w14:paraId="350DA9E0" w14:textId="77777777" w:rsidR="00F63850" w:rsidRPr="009C5EFD" w:rsidRDefault="00E453CD" w:rsidP="007A625D">
            <w:pPr>
              <w:ind w:left="567" w:hanging="567"/>
              <w:rPr>
                <w:b/>
                <w:sz w:val="22"/>
                <w:szCs w:val="22"/>
              </w:rPr>
            </w:pPr>
            <w:r w:rsidRPr="009C5EFD">
              <w:rPr>
                <w:b/>
                <w:sz w:val="22"/>
                <w:szCs w:val="22"/>
              </w:rPr>
              <w:t>1.</w:t>
            </w:r>
            <w:r w:rsidRPr="009C5EFD">
              <w:rPr>
                <w:b/>
                <w:sz w:val="22"/>
                <w:szCs w:val="22"/>
              </w:rPr>
              <w:tab/>
              <w:t>LEGEMIDLETS NAVN</w:t>
            </w:r>
          </w:p>
        </w:tc>
      </w:tr>
    </w:tbl>
    <w:p w14:paraId="2FC92864" w14:textId="77777777" w:rsidR="00F63850" w:rsidRPr="009C5EFD" w:rsidRDefault="00F63850" w:rsidP="00F63850">
      <w:pPr>
        <w:suppressAutoHyphens/>
        <w:ind w:left="54"/>
        <w:rPr>
          <w:sz w:val="22"/>
          <w:szCs w:val="22"/>
        </w:rPr>
      </w:pPr>
    </w:p>
    <w:p w14:paraId="531F577F" w14:textId="77777777" w:rsidR="00F63850" w:rsidRPr="009C5EFD" w:rsidRDefault="00E453CD" w:rsidP="00F63850">
      <w:pPr>
        <w:suppressAutoHyphens/>
        <w:ind w:left="54"/>
        <w:rPr>
          <w:sz w:val="22"/>
          <w:szCs w:val="22"/>
        </w:rPr>
      </w:pPr>
      <w:r w:rsidRPr="009C5EFD">
        <w:rPr>
          <w:sz w:val="22"/>
          <w:szCs w:val="22"/>
        </w:rPr>
        <w:t xml:space="preserve">Humira </w:t>
      </w:r>
      <w:r>
        <w:rPr>
          <w:sz w:val="22"/>
          <w:szCs w:val="22"/>
        </w:rPr>
        <w:t>8</w:t>
      </w:r>
      <w:r w:rsidRPr="009C5EFD">
        <w:rPr>
          <w:sz w:val="22"/>
          <w:szCs w:val="22"/>
        </w:rPr>
        <w:t>0 mg injeksjonsvæske, oppløsning i ferdigfylt sprøyte</w:t>
      </w:r>
    </w:p>
    <w:p w14:paraId="746C94CD" w14:textId="77777777" w:rsidR="00F63850" w:rsidRPr="009C5EFD" w:rsidRDefault="00E453CD" w:rsidP="00F63850">
      <w:pPr>
        <w:suppressAutoHyphens/>
        <w:ind w:left="54"/>
        <w:rPr>
          <w:sz w:val="22"/>
          <w:szCs w:val="22"/>
        </w:rPr>
      </w:pPr>
      <w:r w:rsidRPr="009C5EFD">
        <w:rPr>
          <w:sz w:val="22"/>
          <w:szCs w:val="22"/>
        </w:rPr>
        <w:t>adalimumab</w:t>
      </w:r>
    </w:p>
    <w:p w14:paraId="04956B5F" w14:textId="77777777" w:rsidR="00F63850" w:rsidRPr="009C5EFD" w:rsidRDefault="00F63850" w:rsidP="00F63850">
      <w:pPr>
        <w:suppressAutoHyphens/>
        <w:ind w:left="54"/>
        <w:rPr>
          <w:sz w:val="22"/>
          <w:szCs w:val="22"/>
        </w:rPr>
      </w:pPr>
    </w:p>
    <w:p w14:paraId="7344C864" w14:textId="77777777" w:rsidR="00F63850" w:rsidRPr="009C5EFD" w:rsidRDefault="00F63850" w:rsidP="00F63850">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B3A744B" w14:textId="77777777" w:rsidTr="007A625D">
        <w:tc>
          <w:tcPr>
            <w:tcW w:w="9281" w:type="dxa"/>
          </w:tcPr>
          <w:p w14:paraId="30C89CF7" w14:textId="77777777" w:rsidR="00F63850" w:rsidRPr="009C5EFD" w:rsidRDefault="00E453CD" w:rsidP="007A625D">
            <w:pPr>
              <w:ind w:left="567" w:hanging="567"/>
              <w:rPr>
                <w:b/>
                <w:sz w:val="22"/>
                <w:szCs w:val="22"/>
              </w:rPr>
            </w:pPr>
            <w:r w:rsidRPr="009C5EFD">
              <w:rPr>
                <w:b/>
                <w:sz w:val="22"/>
                <w:szCs w:val="22"/>
              </w:rPr>
              <w:t>2.</w:t>
            </w:r>
            <w:r w:rsidRPr="009C5EFD">
              <w:rPr>
                <w:b/>
                <w:sz w:val="22"/>
                <w:szCs w:val="22"/>
              </w:rPr>
              <w:tab/>
              <w:t>NAVN PÅ INNEHAVEREN AV MARKEDSFØRINGSTILLATELSEN</w:t>
            </w:r>
          </w:p>
        </w:tc>
      </w:tr>
    </w:tbl>
    <w:p w14:paraId="2C8C1C71" w14:textId="77777777" w:rsidR="00F63850" w:rsidRPr="009C5EFD" w:rsidRDefault="00F63850" w:rsidP="00F63850">
      <w:pPr>
        <w:suppressAutoHyphens/>
        <w:ind w:left="54"/>
        <w:rPr>
          <w:sz w:val="22"/>
          <w:szCs w:val="22"/>
        </w:rPr>
      </w:pPr>
    </w:p>
    <w:p w14:paraId="162BE190" w14:textId="77777777" w:rsidR="00F63850" w:rsidRPr="009C5EFD" w:rsidRDefault="00E453CD" w:rsidP="00F63850">
      <w:pPr>
        <w:suppressAutoHyphens/>
        <w:ind w:left="54"/>
        <w:rPr>
          <w:sz w:val="22"/>
          <w:szCs w:val="22"/>
        </w:rPr>
      </w:pPr>
      <w:r w:rsidRPr="009C5EFD">
        <w:rPr>
          <w:sz w:val="22"/>
          <w:szCs w:val="22"/>
        </w:rPr>
        <w:t xml:space="preserve">AbbVie </w:t>
      </w:r>
      <w:r w:rsidR="00DD76CF" w:rsidRPr="00637363">
        <w:rPr>
          <w:sz w:val="22"/>
          <w:szCs w:val="22"/>
          <w:highlight w:val="lightGray"/>
        </w:rPr>
        <w:t>(som logo)</w:t>
      </w:r>
    </w:p>
    <w:p w14:paraId="2C7901DE" w14:textId="77777777" w:rsidR="00F63850" w:rsidRPr="009C5EFD" w:rsidRDefault="00F63850" w:rsidP="00F63850">
      <w:pPr>
        <w:suppressAutoHyphens/>
        <w:ind w:left="54"/>
        <w:rPr>
          <w:sz w:val="22"/>
          <w:szCs w:val="22"/>
        </w:rPr>
      </w:pPr>
    </w:p>
    <w:p w14:paraId="39497019" w14:textId="77777777" w:rsidR="00F63850" w:rsidRPr="009C5EFD" w:rsidRDefault="00F63850" w:rsidP="00F63850">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A25EBA4" w14:textId="77777777" w:rsidTr="007A625D">
        <w:tc>
          <w:tcPr>
            <w:tcW w:w="9281" w:type="dxa"/>
          </w:tcPr>
          <w:p w14:paraId="515E4FBD" w14:textId="77777777" w:rsidR="00F63850" w:rsidRPr="009C5EFD" w:rsidRDefault="00E453CD" w:rsidP="007A625D">
            <w:pPr>
              <w:ind w:left="567" w:hanging="567"/>
              <w:rPr>
                <w:b/>
                <w:sz w:val="22"/>
                <w:szCs w:val="22"/>
              </w:rPr>
            </w:pPr>
            <w:r w:rsidRPr="009C5EFD">
              <w:rPr>
                <w:b/>
                <w:sz w:val="22"/>
                <w:szCs w:val="22"/>
              </w:rPr>
              <w:t>3.</w:t>
            </w:r>
            <w:r w:rsidRPr="009C5EFD">
              <w:rPr>
                <w:b/>
                <w:sz w:val="22"/>
                <w:szCs w:val="22"/>
              </w:rPr>
              <w:tab/>
              <w:t>UTLØPSDATO</w:t>
            </w:r>
          </w:p>
        </w:tc>
      </w:tr>
    </w:tbl>
    <w:p w14:paraId="0BCDAE39" w14:textId="77777777" w:rsidR="00F63850" w:rsidRPr="009C5EFD" w:rsidRDefault="00F63850" w:rsidP="00F63850">
      <w:pPr>
        <w:suppressAutoHyphens/>
        <w:ind w:left="54"/>
        <w:jc w:val="both"/>
        <w:rPr>
          <w:sz w:val="22"/>
          <w:szCs w:val="22"/>
        </w:rPr>
      </w:pPr>
    </w:p>
    <w:p w14:paraId="6CA18AA9" w14:textId="77777777" w:rsidR="00F63850" w:rsidRPr="009C5EFD" w:rsidRDefault="00E453CD" w:rsidP="00F63850">
      <w:pPr>
        <w:suppressAutoHyphens/>
        <w:ind w:left="54"/>
        <w:jc w:val="both"/>
        <w:rPr>
          <w:sz w:val="22"/>
          <w:szCs w:val="22"/>
        </w:rPr>
      </w:pPr>
      <w:r>
        <w:rPr>
          <w:sz w:val="22"/>
          <w:szCs w:val="22"/>
        </w:rPr>
        <w:t>EXP</w:t>
      </w:r>
    </w:p>
    <w:p w14:paraId="0C5159F4" w14:textId="77777777" w:rsidR="00F63850" w:rsidRPr="009C5EFD" w:rsidRDefault="00F63850" w:rsidP="00F63850">
      <w:pPr>
        <w:suppressAutoHyphens/>
        <w:ind w:left="54"/>
        <w:jc w:val="both"/>
        <w:rPr>
          <w:sz w:val="22"/>
          <w:szCs w:val="22"/>
        </w:rPr>
      </w:pPr>
    </w:p>
    <w:p w14:paraId="27F49020" w14:textId="77777777" w:rsidR="00F63850" w:rsidRPr="009C5EFD" w:rsidRDefault="00F63850" w:rsidP="00F63850">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C4C488C" w14:textId="77777777" w:rsidTr="007A625D">
        <w:tc>
          <w:tcPr>
            <w:tcW w:w="9281" w:type="dxa"/>
          </w:tcPr>
          <w:p w14:paraId="6C49F516" w14:textId="77777777" w:rsidR="00F63850" w:rsidRPr="009C5EFD" w:rsidRDefault="00E453CD" w:rsidP="007A625D">
            <w:pPr>
              <w:ind w:left="567" w:hanging="567"/>
              <w:rPr>
                <w:b/>
                <w:sz w:val="22"/>
                <w:szCs w:val="22"/>
              </w:rPr>
            </w:pPr>
            <w:r w:rsidRPr="009C5EFD">
              <w:rPr>
                <w:b/>
                <w:sz w:val="22"/>
                <w:szCs w:val="22"/>
              </w:rPr>
              <w:t>4.</w:t>
            </w:r>
            <w:r w:rsidRPr="009C5EFD">
              <w:rPr>
                <w:b/>
                <w:sz w:val="22"/>
                <w:szCs w:val="22"/>
              </w:rPr>
              <w:tab/>
              <w:t>PRODUKSJONSNUMMER</w:t>
            </w:r>
          </w:p>
        </w:tc>
      </w:tr>
    </w:tbl>
    <w:p w14:paraId="458810EE" w14:textId="77777777" w:rsidR="00F63850" w:rsidRPr="009C5EFD" w:rsidRDefault="00F63850" w:rsidP="00F63850">
      <w:pPr>
        <w:suppressAutoHyphens/>
        <w:ind w:left="54"/>
        <w:jc w:val="both"/>
        <w:rPr>
          <w:sz w:val="22"/>
          <w:szCs w:val="22"/>
        </w:rPr>
      </w:pPr>
    </w:p>
    <w:p w14:paraId="0FFE4DDC" w14:textId="77777777" w:rsidR="00F63850" w:rsidRPr="009C5EFD" w:rsidRDefault="00E453CD" w:rsidP="00F63850">
      <w:pPr>
        <w:suppressAutoHyphens/>
        <w:ind w:left="54"/>
        <w:jc w:val="both"/>
        <w:rPr>
          <w:sz w:val="22"/>
          <w:szCs w:val="22"/>
        </w:rPr>
      </w:pPr>
      <w:r w:rsidRPr="009C5EFD">
        <w:rPr>
          <w:sz w:val="22"/>
          <w:szCs w:val="22"/>
        </w:rPr>
        <w:t>Lot</w:t>
      </w:r>
    </w:p>
    <w:p w14:paraId="29FDAAC5" w14:textId="77777777" w:rsidR="00F63850" w:rsidRPr="009C5EFD" w:rsidRDefault="00F63850" w:rsidP="00F63850">
      <w:pPr>
        <w:suppressAutoHyphens/>
        <w:ind w:left="54"/>
        <w:jc w:val="both"/>
        <w:rPr>
          <w:sz w:val="22"/>
          <w:szCs w:val="22"/>
        </w:rPr>
      </w:pPr>
    </w:p>
    <w:p w14:paraId="038D03BD" w14:textId="77777777" w:rsidR="00F63850" w:rsidRPr="009C5EFD" w:rsidRDefault="00F63850" w:rsidP="00F63850">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0F9C2D4" w14:textId="77777777" w:rsidTr="007A625D">
        <w:tc>
          <w:tcPr>
            <w:tcW w:w="9281" w:type="dxa"/>
          </w:tcPr>
          <w:p w14:paraId="53D517AA" w14:textId="77777777" w:rsidR="00F63850" w:rsidRPr="009C5EFD" w:rsidRDefault="00E453CD" w:rsidP="007A625D">
            <w:pPr>
              <w:ind w:left="567" w:hanging="567"/>
              <w:rPr>
                <w:b/>
                <w:sz w:val="22"/>
                <w:szCs w:val="22"/>
              </w:rPr>
            </w:pPr>
            <w:r w:rsidRPr="009C5EFD">
              <w:rPr>
                <w:b/>
                <w:sz w:val="22"/>
                <w:szCs w:val="22"/>
              </w:rPr>
              <w:t>5.</w:t>
            </w:r>
            <w:r w:rsidRPr="009C5EFD">
              <w:rPr>
                <w:b/>
                <w:sz w:val="22"/>
                <w:szCs w:val="22"/>
              </w:rPr>
              <w:tab/>
              <w:t>ANNET</w:t>
            </w:r>
          </w:p>
        </w:tc>
      </w:tr>
    </w:tbl>
    <w:p w14:paraId="78B41255" w14:textId="77777777" w:rsidR="00F63850" w:rsidRPr="009C5EFD" w:rsidRDefault="00F63850" w:rsidP="00F63850">
      <w:pPr>
        <w:ind w:left="54"/>
        <w:rPr>
          <w:sz w:val="22"/>
          <w:szCs w:val="22"/>
        </w:rPr>
      </w:pPr>
    </w:p>
    <w:p w14:paraId="2F30467C" w14:textId="77777777" w:rsidR="00F63850" w:rsidRDefault="00E453CD" w:rsidP="00F63850">
      <w:pPr>
        <w:rPr>
          <w:sz w:val="22"/>
          <w:szCs w:val="22"/>
        </w:rPr>
      </w:pPr>
      <w:r w:rsidRPr="009C5EFD">
        <w:rPr>
          <w:sz w:val="22"/>
          <w:szCs w:val="22"/>
        </w:rPr>
        <w:t>Se pakningsvedlegg for informasjon om oppbevaring.</w:t>
      </w:r>
    </w:p>
    <w:p w14:paraId="6A0CC368" w14:textId="77777777" w:rsidR="003D7A0C" w:rsidRPr="009C5EFD" w:rsidRDefault="003D7A0C" w:rsidP="00F63850">
      <w:pPr>
        <w:rPr>
          <w:sz w:val="22"/>
          <w:szCs w:val="22"/>
        </w:rPr>
      </w:pPr>
    </w:p>
    <w:p w14:paraId="06B16E1C" w14:textId="77777777" w:rsidR="00F63850" w:rsidRPr="009C5EFD" w:rsidRDefault="00E453CD" w:rsidP="00F63850">
      <w:pPr>
        <w:suppressAutoHyphens/>
        <w:rPr>
          <w:sz w:val="22"/>
          <w:szCs w:val="22"/>
        </w:rPr>
      </w:pPr>
      <w:r w:rsidRPr="009C5EFD">
        <w:rPr>
          <w:sz w:val="22"/>
          <w:szCs w:val="22"/>
        </w:rPr>
        <w:t>Kun til engangsbruk.</w:t>
      </w:r>
    </w:p>
    <w:p w14:paraId="5FD9EF47" w14:textId="77777777" w:rsidR="00167A95" w:rsidRPr="00622441" w:rsidRDefault="00167A95" w:rsidP="00167A95">
      <w:pPr>
        <w:rPr>
          <w:sz w:val="22"/>
          <w:szCs w:val="22"/>
        </w:rPr>
      </w:pPr>
    </w:p>
    <w:p w14:paraId="46BD5F18" w14:textId="77777777" w:rsidR="00167A95" w:rsidRPr="00622441" w:rsidRDefault="00167A95" w:rsidP="00167A95">
      <w:pPr>
        <w:rPr>
          <w:sz w:val="22"/>
          <w:szCs w:val="22"/>
        </w:rPr>
      </w:pPr>
    </w:p>
    <w:p w14:paraId="69F5EF90" w14:textId="77777777" w:rsidR="00167A95" w:rsidRDefault="00167A95" w:rsidP="00167A95">
      <w:pPr>
        <w:rPr>
          <w:sz w:val="22"/>
          <w:szCs w:val="22"/>
        </w:rPr>
      </w:pPr>
    </w:p>
    <w:p w14:paraId="1AF44AF8" w14:textId="77777777" w:rsidR="00DA7968" w:rsidRPr="00622441" w:rsidRDefault="00DA7968" w:rsidP="00167A95">
      <w:pPr>
        <w:rPr>
          <w:sz w:val="22"/>
          <w:szCs w:val="22"/>
        </w:rPr>
      </w:pPr>
    </w:p>
    <w:p w14:paraId="28ECD5E6" w14:textId="77777777" w:rsidR="00F63850" w:rsidRDefault="00E453CD" w:rsidP="00F63850">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D2B26DA" w14:textId="77777777" w:rsidTr="007A625D">
        <w:trPr>
          <w:trHeight w:val="1070"/>
        </w:trPr>
        <w:tc>
          <w:tcPr>
            <w:tcW w:w="9281" w:type="dxa"/>
            <w:tcBorders>
              <w:bottom w:val="single" w:sz="4" w:space="0" w:color="auto"/>
            </w:tcBorders>
          </w:tcPr>
          <w:p w14:paraId="20D6AF2D" w14:textId="77777777" w:rsidR="00F63850" w:rsidRPr="009C5EFD" w:rsidRDefault="00E453CD" w:rsidP="007A625D">
            <w:pPr>
              <w:suppressAutoHyphens/>
              <w:rPr>
                <w:b/>
                <w:sz w:val="22"/>
                <w:szCs w:val="22"/>
              </w:rPr>
            </w:pPr>
            <w:r w:rsidRPr="009C5EFD">
              <w:rPr>
                <w:b/>
                <w:sz w:val="22"/>
                <w:szCs w:val="22"/>
              </w:rPr>
              <w:lastRenderedPageBreak/>
              <w:t>MINSTEKRAV TIL OPPLYSNINGER SOM SKAL ANGIS PÅ SMÅ INDRE EMBALLASJER</w:t>
            </w:r>
          </w:p>
          <w:p w14:paraId="670B03EC" w14:textId="77777777" w:rsidR="00F63850" w:rsidRPr="009C5EFD" w:rsidRDefault="00F63850" w:rsidP="007A625D">
            <w:pPr>
              <w:suppressAutoHyphens/>
              <w:rPr>
                <w:b/>
                <w:sz w:val="22"/>
                <w:szCs w:val="22"/>
              </w:rPr>
            </w:pPr>
          </w:p>
          <w:p w14:paraId="2CA265E1" w14:textId="77777777" w:rsidR="00F63850" w:rsidRPr="009C5EFD" w:rsidRDefault="00E453CD" w:rsidP="007A625D">
            <w:pPr>
              <w:suppressAutoHyphens/>
              <w:rPr>
                <w:b/>
                <w:sz w:val="22"/>
                <w:szCs w:val="22"/>
              </w:rPr>
            </w:pPr>
            <w:r>
              <w:rPr>
                <w:b/>
                <w:sz w:val="22"/>
                <w:szCs w:val="22"/>
              </w:rPr>
              <w:t>ETIKETT PÅ SPRØYTE</w:t>
            </w:r>
          </w:p>
        </w:tc>
      </w:tr>
    </w:tbl>
    <w:p w14:paraId="2B7E694A" w14:textId="77777777" w:rsidR="00F63850" w:rsidRPr="009C5EFD" w:rsidRDefault="00F63850" w:rsidP="00F63850">
      <w:pPr>
        <w:suppressAutoHyphens/>
        <w:ind w:left="54"/>
        <w:jc w:val="both"/>
        <w:rPr>
          <w:sz w:val="22"/>
          <w:szCs w:val="22"/>
        </w:rPr>
      </w:pPr>
    </w:p>
    <w:p w14:paraId="2B9A0B88" w14:textId="77777777" w:rsidR="00F63850" w:rsidRPr="009C5EFD" w:rsidRDefault="00F63850" w:rsidP="00F63850">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077EF00" w14:textId="77777777" w:rsidTr="007A625D">
        <w:tc>
          <w:tcPr>
            <w:tcW w:w="9281" w:type="dxa"/>
          </w:tcPr>
          <w:p w14:paraId="4FB93D77" w14:textId="77777777" w:rsidR="00F63850" w:rsidRPr="009C5EFD" w:rsidRDefault="00E453CD" w:rsidP="007A625D">
            <w:pPr>
              <w:ind w:left="567" w:hanging="567"/>
              <w:rPr>
                <w:b/>
                <w:sz w:val="22"/>
                <w:szCs w:val="22"/>
              </w:rPr>
            </w:pPr>
            <w:r w:rsidRPr="009C5EFD">
              <w:rPr>
                <w:b/>
                <w:sz w:val="22"/>
                <w:szCs w:val="22"/>
              </w:rPr>
              <w:t>1.</w:t>
            </w:r>
            <w:r w:rsidRPr="009C5EFD">
              <w:rPr>
                <w:b/>
                <w:sz w:val="22"/>
                <w:szCs w:val="22"/>
              </w:rPr>
              <w:tab/>
              <w:t>LEGEMIDLETS NAVN OG ADMINISTRASJONSVEI</w:t>
            </w:r>
          </w:p>
        </w:tc>
      </w:tr>
    </w:tbl>
    <w:p w14:paraId="641894A3" w14:textId="77777777" w:rsidR="00F63850" w:rsidRPr="009C5EFD" w:rsidRDefault="00F63850" w:rsidP="00F63850">
      <w:pPr>
        <w:suppressAutoHyphens/>
        <w:ind w:left="54"/>
        <w:jc w:val="both"/>
        <w:rPr>
          <w:sz w:val="22"/>
          <w:szCs w:val="22"/>
        </w:rPr>
      </w:pPr>
    </w:p>
    <w:p w14:paraId="1E0B0F8D" w14:textId="77777777" w:rsidR="00F63850" w:rsidRPr="009C5EFD" w:rsidRDefault="00E453CD" w:rsidP="00F63850">
      <w:pPr>
        <w:suppressAutoHyphens/>
        <w:ind w:left="54"/>
        <w:jc w:val="both"/>
        <w:rPr>
          <w:sz w:val="22"/>
          <w:szCs w:val="22"/>
        </w:rPr>
      </w:pPr>
      <w:r>
        <w:rPr>
          <w:sz w:val="22"/>
          <w:szCs w:val="22"/>
        </w:rPr>
        <w:t>Humira 8</w:t>
      </w:r>
      <w:r w:rsidRPr="009C5EFD">
        <w:rPr>
          <w:sz w:val="22"/>
          <w:szCs w:val="22"/>
        </w:rPr>
        <w:t>0 mg injeksjon</w:t>
      </w:r>
      <w:r w:rsidR="00167A95">
        <w:rPr>
          <w:sz w:val="22"/>
          <w:szCs w:val="22"/>
        </w:rPr>
        <w:t>svæske</w:t>
      </w:r>
    </w:p>
    <w:p w14:paraId="29606200" w14:textId="77777777" w:rsidR="00F63850" w:rsidRPr="009C5EFD" w:rsidRDefault="00E453CD" w:rsidP="00F63850">
      <w:pPr>
        <w:suppressAutoHyphens/>
        <w:ind w:left="54"/>
        <w:rPr>
          <w:sz w:val="22"/>
          <w:szCs w:val="22"/>
        </w:rPr>
      </w:pPr>
      <w:r w:rsidRPr="009C5EFD">
        <w:rPr>
          <w:sz w:val="22"/>
          <w:szCs w:val="22"/>
        </w:rPr>
        <w:t>adalimumab</w:t>
      </w:r>
    </w:p>
    <w:p w14:paraId="719C624E" w14:textId="77777777" w:rsidR="00F63850" w:rsidRPr="008478AD" w:rsidRDefault="00E453CD" w:rsidP="00F63850">
      <w:pPr>
        <w:suppressAutoHyphens/>
        <w:ind w:left="54"/>
        <w:jc w:val="both"/>
        <w:rPr>
          <w:sz w:val="22"/>
          <w:szCs w:val="22"/>
        </w:rPr>
      </w:pPr>
      <w:r>
        <w:rPr>
          <w:sz w:val="22"/>
          <w:szCs w:val="22"/>
        </w:rPr>
        <w:t>s.c.</w:t>
      </w:r>
    </w:p>
    <w:p w14:paraId="17742F0B" w14:textId="77777777" w:rsidR="00F63850" w:rsidRPr="009C5EFD" w:rsidRDefault="00F63850" w:rsidP="00F63850">
      <w:pPr>
        <w:suppressAutoHyphens/>
        <w:ind w:left="54"/>
        <w:jc w:val="both"/>
        <w:rPr>
          <w:sz w:val="22"/>
          <w:szCs w:val="22"/>
        </w:rPr>
      </w:pPr>
    </w:p>
    <w:p w14:paraId="5F3D7144" w14:textId="77777777" w:rsidR="00F63850" w:rsidRPr="009C5EFD" w:rsidRDefault="00F63850" w:rsidP="00F63850">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30585E1" w14:textId="77777777" w:rsidTr="007A625D">
        <w:tc>
          <w:tcPr>
            <w:tcW w:w="9281" w:type="dxa"/>
          </w:tcPr>
          <w:p w14:paraId="532F275A" w14:textId="77777777" w:rsidR="00F63850" w:rsidRPr="009C5EFD" w:rsidRDefault="00E453CD" w:rsidP="007A625D">
            <w:pPr>
              <w:ind w:left="567" w:hanging="567"/>
              <w:rPr>
                <w:b/>
                <w:sz w:val="22"/>
                <w:szCs w:val="22"/>
              </w:rPr>
            </w:pPr>
            <w:r w:rsidRPr="009C5EFD">
              <w:rPr>
                <w:b/>
                <w:sz w:val="22"/>
                <w:szCs w:val="22"/>
              </w:rPr>
              <w:t>2.</w:t>
            </w:r>
            <w:r w:rsidRPr="009C5EFD">
              <w:rPr>
                <w:b/>
                <w:sz w:val="22"/>
                <w:szCs w:val="22"/>
              </w:rPr>
              <w:tab/>
              <w:t>ADMINISTRASJONSMÅTE</w:t>
            </w:r>
          </w:p>
        </w:tc>
      </w:tr>
    </w:tbl>
    <w:p w14:paraId="15EDEEF2" w14:textId="77777777" w:rsidR="00F63850" w:rsidRPr="008478AD" w:rsidRDefault="00F63850" w:rsidP="00F63850">
      <w:pPr>
        <w:suppressAutoHyphens/>
        <w:jc w:val="both"/>
        <w:rPr>
          <w:b/>
          <w:sz w:val="22"/>
          <w:szCs w:val="22"/>
        </w:rPr>
      </w:pPr>
    </w:p>
    <w:p w14:paraId="63F46419" w14:textId="77777777" w:rsidR="00F63850" w:rsidRPr="009C5EFD" w:rsidRDefault="00F63850" w:rsidP="00F63850">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D01F9F2" w14:textId="77777777" w:rsidTr="007A625D">
        <w:tc>
          <w:tcPr>
            <w:tcW w:w="9281" w:type="dxa"/>
          </w:tcPr>
          <w:p w14:paraId="31B0F70A" w14:textId="77777777" w:rsidR="00F63850" w:rsidRPr="009C5EFD" w:rsidRDefault="00E453CD" w:rsidP="007A625D">
            <w:pPr>
              <w:ind w:left="567" w:hanging="567"/>
              <w:rPr>
                <w:b/>
                <w:sz w:val="22"/>
                <w:szCs w:val="22"/>
              </w:rPr>
            </w:pPr>
            <w:r w:rsidRPr="009C5EFD">
              <w:rPr>
                <w:b/>
                <w:sz w:val="22"/>
                <w:szCs w:val="22"/>
              </w:rPr>
              <w:t>3.</w:t>
            </w:r>
            <w:r w:rsidRPr="009C5EFD">
              <w:rPr>
                <w:b/>
                <w:sz w:val="22"/>
                <w:szCs w:val="22"/>
              </w:rPr>
              <w:tab/>
              <w:t>UTLØPSDATO</w:t>
            </w:r>
          </w:p>
        </w:tc>
      </w:tr>
    </w:tbl>
    <w:p w14:paraId="7FDEA568" w14:textId="77777777" w:rsidR="00F63850" w:rsidRPr="009C5EFD" w:rsidRDefault="00F63850" w:rsidP="00F63850">
      <w:pPr>
        <w:suppressAutoHyphens/>
        <w:ind w:left="621" w:hanging="567"/>
        <w:rPr>
          <w:sz w:val="22"/>
          <w:szCs w:val="22"/>
        </w:rPr>
      </w:pPr>
    </w:p>
    <w:p w14:paraId="1B7C8796" w14:textId="77777777" w:rsidR="00F63850" w:rsidRPr="009C5EFD" w:rsidRDefault="00E453CD" w:rsidP="00F63850">
      <w:pPr>
        <w:suppressAutoHyphens/>
        <w:ind w:left="621" w:hanging="567"/>
        <w:rPr>
          <w:sz w:val="22"/>
          <w:szCs w:val="22"/>
        </w:rPr>
      </w:pPr>
      <w:r>
        <w:rPr>
          <w:sz w:val="22"/>
          <w:szCs w:val="22"/>
        </w:rPr>
        <w:t>EXP</w:t>
      </w:r>
      <w:r w:rsidRPr="009C5EFD">
        <w:rPr>
          <w:sz w:val="22"/>
          <w:szCs w:val="22"/>
        </w:rPr>
        <w:t xml:space="preserve"> </w:t>
      </w:r>
    </w:p>
    <w:p w14:paraId="136A4243" w14:textId="77777777" w:rsidR="00F63850" w:rsidRPr="009C5EFD" w:rsidRDefault="00F63850" w:rsidP="00F63850">
      <w:pPr>
        <w:suppressAutoHyphens/>
        <w:ind w:left="621" w:hanging="567"/>
        <w:rPr>
          <w:sz w:val="22"/>
          <w:szCs w:val="22"/>
        </w:rPr>
      </w:pPr>
    </w:p>
    <w:p w14:paraId="6E7CC3BA" w14:textId="77777777" w:rsidR="00F63850" w:rsidRPr="009C5EFD" w:rsidRDefault="00F63850" w:rsidP="00F63850">
      <w:pPr>
        <w:suppressAutoHyphens/>
        <w:ind w:left="621"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120F1A9" w14:textId="77777777" w:rsidTr="007A625D">
        <w:tc>
          <w:tcPr>
            <w:tcW w:w="9281" w:type="dxa"/>
          </w:tcPr>
          <w:p w14:paraId="436DAA09" w14:textId="77777777" w:rsidR="00F63850" w:rsidRPr="009C5EFD" w:rsidRDefault="00E453CD" w:rsidP="007A625D">
            <w:pPr>
              <w:ind w:left="567" w:hanging="567"/>
              <w:rPr>
                <w:b/>
                <w:sz w:val="22"/>
                <w:szCs w:val="22"/>
              </w:rPr>
            </w:pPr>
            <w:r w:rsidRPr="009C5EFD">
              <w:rPr>
                <w:b/>
                <w:sz w:val="22"/>
                <w:szCs w:val="22"/>
              </w:rPr>
              <w:t>4.</w:t>
            </w:r>
            <w:r w:rsidRPr="009C5EFD">
              <w:rPr>
                <w:b/>
                <w:sz w:val="22"/>
                <w:szCs w:val="22"/>
              </w:rPr>
              <w:tab/>
              <w:t>PRODUKSJONSNUMMER</w:t>
            </w:r>
          </w:p>
        </w:tc>
      </w:tr>
    </w:tbl>
    <w:p w14:paraId="47E3CACB" w14:textId="77777777" w:rsidR="00F63850" w:rsidRPr="009C5EFD" w:rsidRDefault="00F63850" w:rsidP="00F63850">
      <w:pPr>
        <w:suppressAutoHyphens/>
        <w:ind w:left="54"/>
        <w:jc w:val="both"/>
        <w:rPr>
          <w:sz w:val="22"/>
          <w:szCs w:val="22"/>
        </w:rPr>
      </w:pPr>
    </w:p>
    <w:p w14:paraId="08E7A4E4" w14:textId="77777777" w:rsidR="00F63850" w:rsidRPr="009C5EFD" w:rsidRDefault="00E453CD" w:rsidP="00F63850">
      <w:pPr>
        <w:suppressAutoHyphens/>
        <w:ind w:left="54"/>
        <w:jc w:val="both"/>
        <w:rPr>
          <w:sz w:val="22"/>
          <w:szCs w:val="22"/>
        </w:rPr>
      </w:pPr>
      <w:r w:rsidRPr="009C5EFD">
        <w:rPr>
          <w:sz w:val="22"/>
          <w:szCs w:val="22"/>
        </w:rPr>
        <w:t>Lot</w:t>
      </w:r>
    </w:p>
    <w:p w14:paraId="39AD7BD2" w14:textId="77777777" w:rsidR="00F63850" w:rsidRPr="009C5EFD" w:rsidRDefault="00F63850" w:rsidP="00F63850">
      <w:pPr>
        <w:suppressAutoHyphens/>
        <w:ind w:left="54"/>
        <w:jc w:val="both"/>
        <w:rPr>
          <w:sz w:val="22"/>
          <w:szCs w:val="22"/>
        </w:rPr>
      </w:pPr>
    </w:p>
    <w:p w14:paraId="4F73FB95" w14:textId="77777777" w:rsidR="00F63850" w:rsidRPr="009C5EFD" w:rsidRDefault="00F63850" w:rsidP="00F63850">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90330DF" w14:textId="77777777" w:rsidTr="007A625D">
        <w:tc>
          <w:tcPr>
            <w:tcW w:w="9281" w:type="dxa"/>
          </w:tcPr>
          <w:p w14:paraId="2F876A3B" w14:textId="77777777" w:rsidR="00F63850" w:rsidRPr="009C5EFD" w:rsidRDefault="00E453CD" w:rsidP="007A625D">
            <w:pPr>
              <w:ind w:left="567" w:hanging="567"/>
              <w:rPr>
                <w:b/>
                <w:sz w:val="22"/>
                <w:szCs w:val="22"/>
              </w:rPr>
            </w:pPr>
            <w:r w:rsidRPr="009C5EFD">
              <w:rPr>
                <w:b/>
                <w:sz w:val="22"/>
                <w:szCs w:val="22"/>
              </w:rPr>
              <w:t>5.</w:t>
            </w:r>
            <w:r w:rsidRPr="009C5EFD">
              <w:rPr>
                <w:b/>
                <w:sz w:val="22"/>
                <w:szCs w:val="22"/>
              </w:rPr>
              <w:tab/>
            </w:r>
            <w:r w:rsidR="005C0A96">
              <w:rPr>
                <w:b/>
                <w:sz w:val="22"/>
                <w:szCs w:val="22"/>
              </w:rPr>
              <w:t>INN</w:t>
            </w:r>
            <w:r w:rsidRPr="009C5EFD">
              <w:rPr>
                <w:b/>
                <w:sz w:val="22"/>
                <w:szCs w:val="22"/>
              </w:rPr>
              <w:t>HOLD ANGITT ETTER VEKT, VOLUM ELLER ANTALL DOSER</w:t>
            </w:r>
          </w:p>
        </w:tc>
      </w:tr>
    </w:tbl>
    <w:p w14:paraId="0A76DA3E" w14:textId="77777777" w:rsidR="00F63850" w:rsidRPr="009C5EFD" w:rsidRDefault="00F63850" w:rsidP="00F63850">
      <w:pPr>
        <w:suppressAutoHyphens/>
        <w:ind w:left="54"/>
        <w:jc w:val="both"/>
        <w:rPr>
          <w:sz w:val="22"/>
          <w:szCs w:val="22"/>
        </w:rPr>
      </w:pPr>
    </w:p>
    <w:p w14:paraId="0C9F407D" w14:textId="77777777" w:rsidR="00F63850" w:rsidRPr="009C5EFD" w:rsidRDefault="00E453CD" w:rsidP="00F63850">
      <w:pPr>
        <w:suppressAutoHyphens/>
        <w:ind w:left="54"/>
        <w:jc w:val="both"/>
        <w:rPr>
          <w:sz w:val="22"/>
          <w:szCs w:val="22"/>
        </w:rPr>
      </w:pPr>
      <w:r>
        <w:rPr>
          <w:sz w:val="22"/>
          <w:szCs w:val="22"/>
        </w:rPr>
        <w:t>80 mg</w:t>
      </w:r>
      <w:r w:rsidR="003D7A0C" w:rsidRPr="00AB7697">
        <w:rPr>
          <w:sz w:val="22"/>
          <w:szCs w:val="22"/>
          <w:highlight w:val="lightGray"/>
        </w:rPr>
        <w:t>/0,8 ml</w:t>
      </w:r>
    </w:p>
    <w:p w14:paraId="5479A538" w14:textId="77777777" w:rsidR="00F63850" w:rsidRPr="009C5EFD" w:rsidRDefault="00F63850" w:rsidP="00F63850">
      <w:pPr>
        <w:ind w:right="-449"/>
        <w:rPr>
          <w:b/>
          <w:sz w:val="22"/>
          <w:szCs w:val="22"/>
        </w:rPr>
      </w:pPr>
    </w:p>
    <w:p w14:paraId="59C43CD2" w14:textId="77777777" w:rsidR="00F63850" w:rsidRPr="009C5EFD" w:rsidRDefault="00F63850" w:rsidP="00F63850">
      <w:pPr>
        <w:ind w:right="-449"/>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CD393E1" w14:textId="77777777" w:rsidTr="007A625D">
        <w:tc>
          <w:tcPr>
            <w:tcW w:w="9281" w:type="dxa"/>
          </w:tcPr>
          <w:p w14:paraId="585E1835" w14:textId="77777777" w:rsidR="00F63850" w:rsidRPr="009C5EFD" w:rsidRDefault="00E453CD" w:rsidP="007A625D">
            <w:pPr>
              <w:ind w:left="567" w:hanging="567"/>
              <w:rPr>
                <w:b/>
                <w:sz w:val="22"/>
                <w:szCs w:val="22"/>
              </w:rPr>
            </w:pPr>
            <w:r w:rsidRPr="009C5EFD">
              <w:rPr>
                <w:b/>
                <w:sz w:val="22"/>
                <w:szCs w:val="22"/>
              </w:rPr>
              <w:t>6.</w:t>
            </w:r>
            <w:r w:rsidRPr="009C5EFD">
              <w:rPr>
                <w:b/>
                <w:sz w:val="22"/>
                <w:szCs w:val="22"/>
              </w:rPr>
              <w:tab/>
              <w:t>ANNET</w:t>
            </w:r>
          </w:p>
        </w:tc>
      </w:tr>
    </w:tbl>
    <w:p w14:paraId="4BDCE46C" w14:textId="77777777" w:rsidR="00F63850" w:rsidRDefault="00F63850" w:rsidP="00F63850">
      <w:pPr>
        <w:ind w:left="54"/>
        <w:rPr>
          <w:sz w:val="22"/>
          <w:szCs w:val="22"/>
        </w:rPr>
      </w:pPr>
    </w:p>
    <w:p w14:paraId="7433DA39" w14:textId="77777777" w:rsidR="00167A95" w:rsidRDefault="00E453CD">
      <w:pPr>
        <w:rPr>
          <w:sz w:val="22"/>
          <w:szCs w:val="22"/>
        </w:rPr>
      </w:pPr>
      <w:r>
        <w:rPr>
          <w:sz w:val="22"/>
          <w:szCs w:val="22"/>
        </w:rPr>
        <w:br w:type="page"/>
      </w:r>
    </w:p>
    <w:p w14:paraId="0447B87E" w14:textId="77777777" w:rsidR="00353B5E" w:rsidRDefault="00353B5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E75A526" w14:textId="77777777" w:rsidTr="00353B5E">
        <w:trPr>
          <w:trHeight w:val="1070"/>
        </w:trPr>
        <w:tc>
          <w:tcPr>
            <w:tcW w:w="9281" w:type="dxa"/>
            <w:tcBorders>
              <w:bottom w:val="single" w:sz="4" w:space="0" w:color="auto"/>
            </w:tcBorders>
          </w:tcPr>
          <w:p w14:paraId="4E7D6FF2" w14:textId="77777777" w:rsidR="00353B5E" w:rsidRPr="009C5EFD" w:rsidRDefault="00E453CD" w:rsidP="00353B5E">
            <w:pPr>
              <w:rPr>
                <w:sz w:val="22"/>
                <w:szCs w:val="22"/>
              </w:rPr>
            </w:pPr>
            <w:r w:rsidRPr="009C5EFD">
              <w:rPr>
                <w:b/>
                <w:sz w:val="22"/>
                <w:szCs w:val="22"/>
              </w:rPr>
              <w:t xml:space="preserve">OPPLYSNINGER SOM SKAL ANGIS PÅ YTRE EMBALLASJE </w:t>
            </w:r>
          </w:p>
          <w:p w14:paraId="3D3C7D44" w14:textId="77777777" w:rsidR="00353B5E" w:rsidRPr="009C5EFD" w:rsidRDefault="00353B5E" w:rsidP="00353B5E">
            <w:pPr>
              <w:rPr>
                <w:sz w:val="22"/>
                <w:szCs w:val="22"/>
              </w:rPr>
            </w:pPr>
          </w:p>
          <w:p w14:paraId="549E7830" w14:textId="77777777" w:rsidR="00353B5E" w:rsidRPr="009C5EFD" w:rsidRDefault="00E453CD" w:rsidP="00353B5E">
            <w:pPr>
              <w:rPr>
                <w:b/>
                <w:sz w:val="22"/>
                <w:szCs w:val="22"/>
              </w:rPr>
            </w:pPr>
            <w:r w:rsidRPr="009C5EFD">
              <w:rPr>
                <w:b/>
                <w:sz w:val="22"/>
                <w:szCs w:val="22"/>
              </w:rPr>
              <w:t>YTTERKARTONG</w:t>
            </w:r>
          </w:p>
        </w:tc>
      </w:tr>
    </w:tbl>
    <w:p w14:paraId="624D893B" w14:textId="77777777" w:rsidR="00353B5E" w:rsidRPr="009C5EFD" w:rsidRDefault="00353B5E" w:rsidP="00353B5E">
      <w:pPr>
        <w:suppressAutoHyphens/>
        <w:ind w:left="54"/>
        <w:rPr>
          <w:sz w:val="22"/>
          <w:szCs w:val="22"/>
        </w:rPr>
      </w:pPr>
    </w:p>
    <w:p w14:paraId="539681E3"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D2534E3" w14:textId="77777777" w:rsidTr="00353B5E">
        <w:tc>
          <w:tcPr>
            <w:tcW w:w="9281" w:type="dxa"/>
          </w:tcPr>
          <w:p w14:paraId="5001B90E" w14:textId="77777777" w:rsidR="00353B5E" w:rsidRPr="009C5EFD" w:rsidRDefault="00E453CD" w:rsidP="00353B5E">
            <w:pPr>
              <w:ind w:left="567" w:hanging="567"/>
              <w:rPr>
                <w:b/>
                <w:sz w:val="22"/>
                <w:szCs w:val="22"/>
              </w:rPr>
            </w:pPr>
            <w:r w:rsidRPr="009C5EFD">
              <w:rPr>
                <w:b/>
                <w:sz w:val="22"/>
                <w:szCs w:val="22"/>
              </w:rPr>
              <w:t>1.</w:t>
            </w:r>
            <w:r w:rsidRPr="009C5EFD">
              <w:rPr>
                <w:b/>
                <w:sz w:val="22"/>
                <w:szCs w:val="22"/>
              </w:rPr>
              <w:tab/>
              <w:t>LEGEMIDLETS NAVN</w:t>
            </w:r>
          </w:p>
        </w:tc>
      </w:tr>
    </w:tbl>
    <w:p w14:paraId="476ACA65" w14:textId="77777777" w:rsidR="00353B5E" w:rsidRPr="009C5EFD" w:rsidRDefault="00353B5E" w:rsidP="00353B5E">
      <w:pPr>
        <w:suppressAutoHyphens/>
        <w:ind w:left="54"/>
        <w:rPr>
          <w:sz w:val="22"/>
          <w:szCs w:val="22"/>
        </w:rPr>
      </w:pPr>
    </w:p>
    <w:p w14:paraId="66E36E1D" w14:textId="77777777" w:rsidR="00353B5E" w:rsidRPr="009C5EFD" w:rsidRDefault="00E453CD" w:rsidP="00353B5E">
      <w:pPr>
        <w:suppressAutoHyphens/>
        <w:ind w:left="54"/>
        <w:rPr>
          <w:sz w:val="22"/>
          <w:szCs w:val="22"/>
        </w:rPr>
      </w:pPr>
      <w:r>
        <w:rPr>
          <w:sz w:val="22"/>
          <w:szCs w:val="22"/>
        </w:rPr>
        <w:t>Humira 8</w:t>
      </w:r>
      <w:r w:rsidRPr="009C5EFD">
        <w:rPr>
          <w:sz w:val="22"/>
          <w:szCs w:val="22"/>
        </w:rPr>
        <w:t>0</w:t>
      </w:r>
      <w:r w:rsidR="0053537C">
        <w:rPr>
          <w:sz w:val="22"/>
          <w:szCs w:val="22"/>
        </w:rPr>
        <w:t> </w:t>
      </w:r>
      <w:r w:rsidRPr="009C5EFD">
        <w:rPr>
          <w:sz w:val="22"/>
          <w:szCs w:val="22"/>
        </w:rPr>
        <w:t>mg injeksjonsvæske,</w:t>
      </w:r>
      <w:r>
        <w:rPr>
          <w:sz w:val="22"/>
          <w:szCs w:val="22"/>
        </w:rPr>
        <w:t xml:space="preserve"> oppløsning i ferdigfylt penn</w:t>
      </w:r>
    </w:p>
    <w:p w14:paraId="3E043E2E" w14:textId="77777777" w:rsidR="00353B5E" w:rsidRPr="009C5EFD" w:rsidRDefault="00E453CD" w:rsidP="00353B5E">
      <w:pPr>
        <w:suppressAutoHyphens/>
        <w:ind w:left="54"/>
        <w:rPr>
          <w:sz w:val="22"/>
          <w:szCs w:val="22"/>
        </w:rPr>
      </w:pPr>
      <w:r w:rsidRPr="009C5EFD">
        <w:rPr>
          <w:sz w:val="22"/>
          <w:szCs w:val="22"/>
        </w:rPr>
        <w:t>adalimumab</w:t>
      </w:r>
    </w:p>
    <w:p w14:paraId="43D236EA" w14:textId="77777777" w:rsidR="00353B5E" w:rsidRPr="009C5EFD" w:rsidRDefault="00353B5E" w:rsidP="00353B5E">
      <w:pPr>
        <w:pStyle w:val="EndnoteText"/>
        <w:widowControl/>
        <w:tabs>
          <w:tab w:val="clear" w:pos="567"/>
        </w:tabs>
        <w:suppressAutoHyphens/>
        <w:ind w:left="54"/>
        <w:rPr>
          <w:szCs w:val="22"/>
          <w:lang w:val="nb-NO"/>
        </w:rPr>
      </w:pPr>
    </w:p>
    <w:p w14:paraId="72917E6E"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2CCB587" w14:textId="77777777" w:rsidTr="00353B5E">
        <w:tc>
          <w:tcPr>
            <w:tcW w:w="9281" w:type="dxa"/>
          </w:tcPr>
          <w:p w14:paraId="52AC307B" w14:textId="77777777" w:rsidR="00353B5E" w:rsidRPr="009C5EFD" w:rsidRDefault="00E453CD" w:rsidP="00353B5E">
            <w:pPr>
              <w:ind w:left="567" w:hanging="567"/>
              <w:rPr>
                <w:b/>
                <w:sz w:val="22"/>
                <w:szCs w:val="22"/>
              </w:rPr>
            </w:pPr>
            <w:r w:rsidRPr="009C5EFD">
              <w:rPr>
                <w:b/>
                <w:sz w:val="22"/>
                <w:szCs w:val="22"/>
              </w:rPr>
              <w:t>2.</w:t>
            </w:r>
            <w:r w:rsidRPr="009C5EFD">
              <w:rPr>
                <w:b/>
                <w:sz w:val="22"/>
                <w:szCs w:val="22"/>
              </w:rPr>
              <w:tab/>
              <w:t xml:space="preserve">DEKLARASJON AV VIRKESTOFF </w:t>
            </w:r>
          </w:p>
        </w:tc>
      </w:tr>
    </w:tbl>
    <w:p w14:paraId="725CC386" w14:textId="77777777" w:rsidR="00353B5E" w:rsidRPr="009C5EFD" w:rsidRDefault="00353B5E" w:rsidP="00353B5E">
      <w:pPr>
        <w:suppressAutoHyphens/>
        <w:ind w:left="54"/>
        <w:rPr>
          <w:sz w:val="22"/>
          <w:szCs w:val="22"/>
        </w:rPr>
      </w:pPr>
    </w:p>
    <w:p w14:paraId="6BC5D075" w14:textId="77777777" w:rsidR="00353B5E" w:rsidRPr="009C5EFD" w:rsidRDefault="00E453CD" w:rsidP="00353B5E">
      <w:pPr>
        <w:suppressAutoHyphens/>
        <w:ind w:left="54"/>
        <w:rPr>
          <w:sz w:val="22"/>
          <w:szCs w:val="22"/>
        </w:rPr>
      </w:pPr>
      <w:r w:rsidRPr="009C5EFD">
        <w:rPr>
          <w:sz w:val="22"/>
          <w:szCs w:val="22"/>
        </w:rPr>
        <w:t>En 0,8</w:t>
      </w:r>
      <w:r w:rsidR="0053537C">
        <w:rPr>
          <w:sz w:val="22"/>
          <w:szCs w:val="22"/>
        </w:rPr>
        <w:t> </w:t>
      </w:r>
      <w:r w:rsidRPr="009C5EFD">
        <w:rPr>
          <w:sz w:val="22"/>
          <w:szCs w:val="22"/>
        </w:rPr>
        <w:t>ml</w:t>
      </w:r>
      <w:r>
        <w:rPr>
          <w:sz w:val="22"/>
          <w:szCs w:val="22"/>
        </w:rPr>
        <w:t xml:space="preserve"> ferdigfylt penn inneholder 8</w:t>
      </w:r>
      <w:r w:rsidRPr="009C5EFD">
        <w:rPr>
          <w:sz w:val="22"/>
          <w:szCs w:val="22"/>
        </w:rPr>
        <w:t>0</w:t>
      </w:r>
      <w:r w:rsidR="0053537C">
        <w:rPr>
          <w:sz w:val="22"/>
          <w:szCs w:val="22"/>
        </w:rPr>
        <w:t> </w:t>
      </w:r>
      <w:r w:rsidRPr="009C5EFD">
        <w:rPr>
          <w:sz w:val="22"/>
          <w:szCs w:val="22"/>
        </w:rPr>
        <w:t>mg adalimumab</w:t>
      </w:r>
      <w:r w:rsidR="000C6A57">
        <w:rPr>
          <w:sz w:val="22"/>
          <w:szCs w:val="22"/>
        </w:rPr>
        <w:t>.</w:t>
      </w:r>
    </w:p>
    <w:p w14:paraId="1EDAFE2F" w14:textId="77777777" w:rsidR="00353B5E" w:rsidRPr="009C5EFD" w:rsidRDefault="00353B5E" w:rsidP="00353B5E">
      <w:pPr>
        <w:suppressAutoHyphens/>
        <w:ind w:left="54"/>
        <w:rPr>
          <w:sz w:val="22"/>
          <w:szCs w:val="22"/>
        </w:rPr>
      </w:pPr>
    </w:p>
    <w:p w14:paraId="52561748"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3B0A13F" w14:textId="77777777" w:rsidTr="00353B5E">
        <w:tc>
          <w:tcPr>
            <w:tcW w:w="9281" w:type="dxa"/>
          </w:tcPr>
          <w:p w14:paraId="4BC80690" w14:textId="77777777" w:rsidR="00353B5E" w:rsidRPr="009C5EFD" w:rsidRDefault="00E453CD" w:rsidP="00353B5E">
            <w:pPr>
              <w:ind w:left="567" w:hanging="567"/>
              <w:rPr>
                <w:b/>
                <w:sz w:val="22"/>
                <w:szCs w:val="22"/>
              </w:rPr>
            </w:pPr>
            <w:r w:rsidRPr="009C5EFD">
              <w:rPr>
                <w:b/>
                <w:sz w:val="22"/>
                <w:szCs w:val="22"/>
              </w:rPr>
              <w:t>3.</w:t>
            </w:r>
            <w:r w:rsidRPr="009C5EFD">
              <w:rPr>
                <w:b/>
                <w:sz w:val="22"/>
                <w:szCs w:val="22"/>
              </w:rPr>
              <w:tab/>
              <w:t>LISTE OVER HJELPESTOFFER</w:t>
            </w:r>
          </w:p>
        </w:tc>
      </w:tr>
    </w:tbl>
    <w:p w14:paraId="3A26CD0C" w14:textId="77777777" w:rsidR="00353B5E" w:rsidRPr="009C5EFD" w:rsidRDefault="00353B5E" w:rsidP="00353B5E">
      <w:pPr>
        <w:suppressAutoHyphens/>
        <w:ind w:left="54"/>
        <w:rPr>
          <w:sz w:val="22"/>
          <w:szCs w:val="22"/>
        </w:rPr>
      </w:pPr>
    </w:p>
    <w:p w14:paraId="7D95130E" w14:textId="77777777" w:rsidR="00353B5E" w:rsidRPr="009C5EFD" w:rsidRDefault="00E453CD" w:rsidP="00353B5E">
      <w:pPr>
        <w:ind w:left="54"/>
        <w:rPr>
          <w:sz w:val="22"/>
          <w:szCs w:val="22"/>
        </w:rPr>
      </w:pPr>
      <w:r w:rsidRPr="009C5EFD">
        <w:rPr>
          <w:sz w:val="22"/>
          <w:szCs w:val="22"/>
        </w:rPr>
        <w:t xml:space="preserve">Hjelpestoffer: </w:t>
      </w:r>
      <w:r>
        <w:rPr>
          <w:sz w:val="22"/>
          <w:szCs w:val="22"/>
        </w:rPr>
        <w:t>m</w:t>
      </w:r>
      <w:r w:rsidRPr="009C5EFD">
        <w:rPr>
          <w:sz w:val="22"/>
          <w:szCs w:val="22"/>
        </w:rPr>
        <w:t>annitol, polysorbat</w:t>
      </w:r>
      <w:r w:rsidR="0053537C">
        <w:rPr>
          <w:sz w:val="22"/>
          <w:szCs w:val="22"/>
        </w:rPr>
        <w:t> </w:t>
      </w:r>
      <w:r w:rsidRPr="009C5EFD">
        <w:rPr>
          <w:sz w:val="22"/>
          <w:szCs w:val="22"/>
        </w:rPr>
        <w:t>80 og vann til injeksjonsvæsker. For ytte</w:t>
      </w:r>
      <w:r>
        <w:rPr>
          <w:sz w:val="22"/>
          <w:szCs w:val="22"/>
        </w:rPr>
        <w:t>r</w:t>
      </w:r>
      <w:r w:rsidRPr="009C5EFD">
        <w:rPr>
          <w:sz w:val="22"/>
          <w:szCs w:val="22"/>
        </w:rPr>
        <w:t>ligere informasjon, se pakningsvedlegget.</w:t>
      </w:r>
    </w:p>
    <w:p w14:paraId="5B090E26" w14:textId="77777777" w:rsidR="00353B5E" w:rsidRPr="009C5EFD" w:rsidRDefault="00353B5E" w:rsidP="00353B5E">
      <w:pPr>
        <w:suppressAutoHyphens/>
        <w:ind w:left="54"/>
        <w:rPr>
          <w:sz w:val="22"/>
          <w:szCs w:val="22"/>
        </w:rPr>
      </w:pPr>
    </w:p>
    <w:p w14:paraId="0570B0A2"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CB8028F" w14:textId="77777777" w:rsidTr="00353B5E">
        <w:tc>
          <w:tcPr>
            <w:tcW w:w="9281" w:type="dxa"/>
          </w:tcPr>
          <w:p w14:paraId="4F34EEBF" w14:textId="77777777" w:rsidR="00353B5E" w:rsidRPr="009C5EFD" w:rsidRDefault="00E453CD" w:rsidP="00353B5E">
            <w:pPr>
              <w:ind w:left="567" w:hanging="567"/>
              <w:rPr>
                <w:b/>
                <w:sz w:val="22"/>
                <w:szCs w:val="22"/>
              </w:rPr>
            </w:pPr>
            <w:r w:rsidRPr="009C5EFD">
              <w:rPr>
                <w:b/>
                <w:sz w:val="22"/>
                <w:szCs w:val="22"/>
              </w:rPr>
              <w:t>4.</w:t>
            </w:r>
            <w:r w:rsidRPr="009C5EFD">
              <w:rPr>
                <w:b/>
                <w:sz w:val="22"/>
                <w:szCs w:val="22"/>
              </w:rPr>
              <w:tab/>
              <w:t>LEGEMIDDELFORM OG INNHOLD (PAKNINGSSTØRRELSE)</w:t>
            </w:r>
          </w:p>
        </w:tc>
      </w:tr>
    </w:tbl>
    <w:p w14:paraId="7A46F45F" w14:textId="77777777" w:rsidR="00353B5E" w:rsidRPr="009C5EFD" w:rsidRDefault="00353B5E" w:rsidP="00353B5E">
      <w:pPr>
        <w:suppressAutoHyphens/>
        <w:ind w:left="54"/>
        <w:rPr>
          <w:sz w:val="22"/>
          <w:szCs w:val="22"/>
        </w:rPr>
      </w:pPr>
    </w:p>
    <w:p w14:paraId="0F19EB35" w14:textId="77777777" w:rsidR="003D7A0C" w:rsidRDefault="00E453CD" w:rsidP="00353B5E">
      <w:pPr>
        <w:suppressAutoHyphens/>
        <w:ind w:left="54"/>
        <w:rPr>
          <w:sz w:val="22"/>
          <w:szCs w:val="22"/>
        </w:rPr>
      </w:pPr>
      <w:r w:rsidRPr="00771F39">
        <w:rPr>
          <w:sz w:val="22"/>
          <w:szCs w:val="22"/>
          <w:highlight w:val="lightGray"/>
        </w:rPr>
        <w:t>Injeksjonsvæske</w:t>
      </w:r>
      <w:r w:rsidR="004E1C37" w:rsidRPr="00602A37">
        <w:rPr>
          <w:sz w:val="22"/>
          <w:szCs w:val="22"/>
          <w:highlight w:val="lightGray"/>
        </w:rPr>
        <w:t>, oppløsning</w:t>
      </w:r>
    </w:p>
    <w:p w14:paraId="70610C1E" w14:textId="77777777" w:rsidR="00353B5E" w:rsidRPr="009C5EFD" w:rsidRDefault="00E453CD" w:rsidP="00353B5E">
      <w:pPr>
        <w:suppressAutoHyphens/>
        <w:ind w:left="54"/>
        <w:rPr>
          <w:sz w:val="22"/>
          <w:szCs w:val="22"/>
        </w:rPr>
      </w:pPr>
      <w:r w:rsidRPr="009C5EFD">
        <w:rPr>
          <w:sz w:val="22"/>
          <w:szCs w:val="22"/>
        </w:rPr>
        <w:t>1 fer</w:t>
      </w:r>
      <w:r>
        <w:rPr>
          <w:sz w:val="22"/>
          <w:szCs w:val="22"/>
        </w:rPr>
        <w:t>digfylt penn</w:t>
      </w:r>
    </w:p>
    <w:p w14:paraId="561AE01F" w14:textId="77777777" w:rsidR="00353B5E" w:rsidRPr="009C5EFD" w:rsidRDefault="00E453CD" w:rsidP="00353B5E">
      <w:pPr>
        <w:suppressAutoHyphens/>
        <w:ind w:left="54"/>
        <w:rPr>
          <w:sz w:val="22"/>
          <w:szCs w:val="22"/>
        </w:rPr>
      </w:pPr>
      <w:r>
        <w:rPr>
          <w:sz w:val="22"/>
          <w:szCs w:val="22"/>
        </w:rPr>
        <w:t>2</w:t>
      </w:r>
      <w:r w:rsidRPr="009C5EFD">
        <w:rPr>
          <w:sz w:val="22"/>
          <w:szCs w:val="22"/>
        </w:rPr>
        <w:t xml:space="preserve"> injeksjonstørk</w:t>
      </w:r>
    </w:p>
    <w:p w14:paraId="6014DD9A" w14:textId="77777777" w:rsidR="00730B89" w:rsidRDefault="00730B89" w:rsidP="00730B89">
      <w:pPr>
        <w:suppressAutoHyphens/>
        <w:ind w:left="54"/>
        <w:rPr>
          <w:sz w:val="22"/>
          <w:szCs w:val="22"/>
        </w:rPr>
      </w:pPr>
    </w:p>
    <w:p w14:paraId="1B863CB5" w14:textId="77777777" w:rsidR="00730B89" w:rsidRPr="00CF2876" w:rsidRDefault="00E453CD" w:rsidP="00730B89">
      <w:pPr>
        <w:suppressAutoHyphens/>
        <w:ind w:left="54"/>
        <w:rPr>
          <w:sz w:val="22"/>
          <w:szCs w:val="22"/>
          <w:highlight w:val="lightGray"/>
        </w:rPr>
      </w:pPr>
      <w:r>
        <w:rPr>
          <w:sz w:val="22"/>
          <w:szCs w:val="22"/>
          <w:highlight w:val="lightGray"/>
        </w:rPr>
        <w:t>3 </w:t>
      </w:r>
      <w:r w:rsidRPr="00CF2876">
        <w:rPr>
          <w:sz w:val="22"/>
          <w:szCs w:val="22"/>
          <w:highlight w:val="lightGray"/>
        </w:rPr>
        <w:t>ferdigfylte penner</w:t>
      </w:r>
    </w:p>
    <w:p w14:paraId="07D3A47A" w14:textId="77777777" w:rsidR="00353B5E" w:rsidRPr="009C5EFD" w:rsidRDefault="00E453CD" w:rsidP="00730B89">
      <w:pPr>
        <w:suppressAutoHyphens/>
        <w:ind w:left="54"/>
        <w:rPr>
          <w:sz w:val="22"/>
          <w:szCs w:val="22"/>
        </w:rPr>
      </w:pPr>
      <w:r w:rsidRPr="00CF2876">
        <w:rPr>
          <w:sz w:val="22"/>
          <w:szCs w:val="22"/>
          <w:highlight w:val="lightGray"/>
        </w:rPr>
        <w:t>4</w:t>
      </w:r>
      <w:r>
        <w:rPr>
          <w:sz w:val="22"/>
          <w:szCs w:val="22"/>
          <w:highlight w:val="lightGray"/>
        </w:rPr>
        <w:t> </w:t>
      </w:r>
      <w:r w:rsidRPr="00CF2876">
        <w:rPr>
          <w:sz w:val="22"/>
          <w:szCs w:val="22"/>
          <w:highlight w:val="lightGray"/>
        </w:rPr>
        <w:t>injeksjonstørk</w:t>
      </w:r>
    </w:p>
    <w:p w14:paraId="5D59A30D"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A345DF2" w14:textId="77777777" w:rsidTr="00353B5E">
        <w:tc>
          <w:tcPr>
            <w:tcW w:w="9281" w:type="dxa"/>
          </w:tcPr>
          <w:p w14:paraId="52D1158B" w14:textId="77777777" w:rsidR="00353B5E" w:rsidRPr="009C5EFD" w:rsidRDefault="00E453CD" w:rsidP="00353B5E">
            <w:pPr>
              <w:ind w:left="567" w:hanging="567"/>
              <w:rPr>
                <w:b/>
                <w:sz w:val="22"/>
                <w:szCs w:val="22"/>
              </w:rPr>
            </w:pPr>
            <w:r w:rsidRPr="009C5EFD">
              <w:rPr>
                <w:b/>
                <w:sz w:val="22"/>
                <w:szCs w:val="22"/>
              </w:rPr>
              <w:t>5.</w:t>
            </w:r>
            <w:r w:rsidRPr="009C5EFD">
              <w:rPr>
                <w:b/>
                <w:sz w:val="22"/>
                <w:szCs w:val="22"/>
              </w:rPr>
              <w:tab/>
              <w:t xml:space="preserve">ADMINISTRASJONSMÅTE OG </w:t>
            </w:r>
            <w:r w:rsidR="0050174A">
              <w:rPr>
                <w:b/>
                <w:sz w:val="22"/>
                <w:szCs w:val="22"/>
              </w:rPr>
              <w:t>-</w:t>
            </w:r>
            <w:r w:rsidR="0050174A" w:rsidRPr="009C5EFD">
              <w:rPr>
                <w:b/>
                <w:sz w:val="22"/>
                <w:szCs w:val="22"/>
              </w:rPr>
              <w:t>VEI</w:t>
            </w:r>
          </w:p>
        </w:tc>
      </w:tr>
    </w:tbl>
    <w:p w14:paraId="0604EEB3" w14:textId="77777777" w:rsidR="00353B5E" w:rsidRPr="009C5EFD" w:rsidRDefault="00353B5E" w:rsidP="00353B5E">
      <w:pPr>
        <w:suppressAutoHyphens/>
        <w:ind w:left="54"/>
        <w:rPr>
          <w:sz w:val="22"/>
          <w:szCs w:val="22"/>
        </w:rPr>
      </w:pPr>
    </w:p>
    <w:p w14:paraId="0645FE15" w14:textId="77777777" w:rsidR="00353B5E" w:rsidRPr="009C5EFD" w:rsidRDefault="00E453CD" w:rsidP="00353B5E">
      <w:pPr>
        <w:suppressAutoHyphens/>
        <w:ind w:left="54"/>
        <w:rPr>
          <w:sz w:val="22"/>
          <w:szCs w:val="22"/>
        </w:rPr>
      </w:pPr>
      <w:r w:rsidRPr="009C5EFD">
        <w:rPr>
          <w:sz w:val="22"/>
          <w:szCs w:val="22"/>
        </w:rPr>
        <w:t>Subkutan bruk</w:t>
      </w:r>
    </w:p>
    <w:p w14:paraId="46310FD2" w14:textId="77777777" w:rsidR="00353B5E" w:rsidRPr="009C5EFD" w:rsidRDefault="00353B5E" w:rsidP="00353B5E">
      <w:pPr>
        <w:suppressAutoHyphens/>
        <w:ind w:left="54"/>
        <w:rPr>
          <w:sz w:val="22"/>
          <w:szCs w:val="22"/>
        </w:rPr>
      </w:pPr>
    </w:p>
    <w:p w14:paraId="6338BADC" w14:textId="77777777" w:rsidR="00353B5E" w:rsidRDefault="00E453CD" w:rsidP="00353B5E">
      <w:pPr>
        <w:suppressAutoHyphens/>
        <w:ind w:left="54"/>
        <w:rPr>
          <w:sz w:val="22"/>
          <w:szCs w:val="22"/>
        </w:rPr>
      </w:pPr>
      <w:r w:rsidRPr="009C5EFD">
        <w:rPr>
          <w:sz w:val="22"/>
          <w:szCs w:val="22"/>
        </w:rPr>
        <w:t>Les pakningsvedlegget før bruk.</w:t>
      </w:r>
    </w:p>
    <w:p w14:paraId="12658662" w14:textId="77777777" w:rsidR="003D7A0C" w:rsidRDefault="003D7A0C" w:rsidP="00353B5E">
      <w:pPr>
        <w:suppressAutoHyphens/>
        <w:ind w:left="54"/>
        <w:rPr>
          <w:sz w:val="22"/>
          <w:szCs w:val="22"/>
        </w:rPr>
      </w:pPr>
    </w:p>
    <w:p w14:paraId="5BE105C3" w14:textId="77777777" w:rsidR="003D7A0C" w:rsidRPr="009C5EFD" w:rsidRDefault="00E453CD" w:rsidP="00353B5E">
      <w:pPr>
        <w:suppressAutoHyphens/>
        <w:ind w:left="54"/>
        <w:rPr>
          <w:sz w:val="22"/>
          <w:szCs w:val="22"/>
        </w:rPr>
      </w:pPr>
      <w:r w:rsidRPr="009C5EFD">
        <w:rPr>
          <w:sz w:val="22"/>
          <w:szCs w:val="22"/>
        </w:rPr>
        <w:t>Kun til engangsbruk.</w:t>
      </w:r>
    </w:p>
    <w:p w14:paraId="62A6F177" w14:textId="77777777" w:rsidR="00353B5E" w:rsidRPr="009C5EFD" w:rsidRDefault="00353B5E" w:rsidP="00353B5E">
      <w:pPr>
        <w:suppressAutoHyphens/>
        <w:ind w:left="54"/>
        <w:rPr>
          <w:sz w:val="22"/>
          <w:szCs w:val="22"/>
        </w:rPr>
      </w:pPr>
    </w:p>
    <w:p w14:paraId="398A4416"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493434F" w14:textId="77777777" w:rsidTr="00353B5E">
        <w:tc>
          <w:tcPr>
            <w:tcW w:w="9281" w:type="dxa"/>
          </w:tcPr>
          <w:p w14:paraId="0862E260" w14:textId="77777777" w:rsidR="00353B5E" w:rsidRPr="009C5EFD" w:rsidRDefault="00E453CD" w:rsidP="00353B5E">
            <w:pPr>
              <w:ind w:left="567" w:hanging="567"/>
              <w:rPr>
                <w:b/>
                <w:sz w:val="22"/>
                <w:szCs w:val="22"/>
              </w:rPr>
            </w:pPr>
            <w:r w:rsidRPr="009C5EFD">
              <w:rPr>
                <w:b/>
                <w:sz w:val="22"/>
                <w:szCs w:val="22"/>
              </w:rPr>
              <w:t>6.</w:t>
            </w:r>
            <w:r w:rsidRPr="009C5EFD">
              <w:rPr>
                <w:b/>
                <w:sz w:val="22"/>
                <w:szCs w:val="22"/>
              </w:rPr>
              <w:tab/>
              <w:t>ADVARSEL OM AT LEGEMIDLET SKAL OPPBEVARES UTILGJENGELIG FOR BARN</w:t>
            </w:r>
          </w:p>
        </w:tc>
      </w:tr>
    </w:tbl>
    <w:p w14:paraId="3089FDA6" w14:textId="77777777" w:rsidR="00353B5E" w:rsidRPr="009C5EFD" w:rsidRDefault="00353B5E" w:rsidP="00353B5E">
      <w:pPr>
        <w:suppressAutoHyphens/>
        <w:ind w:left="54"/>
        <w:rPr>
          <w:sz w:val="22"/>
          <w:szCs w:val="22"/>
        </w:rPr>
      </w:pPr>
    </w:p>
    <w:p w14:paraId="38D49BE0" w14:textId="77777777" w:rsidR="00353B5E" w:rsidRPr="009C5EFD" w:rsidRDefault="00E453CD" w:rsidP="00353B5E">
      <w:pPr>
        <w:suppressAutoHyphens/>
        <w:ind w:left="54"/>
        <w:rPr>
          <w:sz w:val="22"/>
          <w:szCs w:val="22"/>
        </w:rPr>
      </w:pPr>
      <w:r w:rsidRPr="009C5EFD">
        <w:rPr>
          <w:sz w:val="22"/>
          <w:szCs w:val="22"/>
        </w:rPr>
        <w:t>Oppbevares utilgjengelig for barn.</w:t>
      </w:r>
    </w:p>
    <w:p w14:paraId="4F6CC0A8" w14:textId="77777777" w:rsidR="00353B5E" w:rsidRPr="009C5EFD" w:rsidRDefault="00353B5E" w:rsidP="00353B5E">
      <w:pPr>
        <w:suppressAutoHyphens/>
        <w:ind w:left="54"/>
        <w:rPr>
          <w:sz w:val="22"/>
          <w:szCs w:val="22"/>
        </w:rPr>
      </w:pPr>
    </w:p>
    <w:p w14:paraId="1A27D688"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FBFC81C" w14:textId="77777777" w:rsidTr="00353B5E">
        <w:tc>
          <w:tcPr>
            <w:tcW w:w="9281" w:type="dxa"/>
          </w:tcPr>
          <w:p w14:paraId="055DEFA9" w14:textId="77777777" w:rsidR="00353B5E" w:rsidRPr="009C5EFD" w:rsidRDefault="00E453CD" w:rsidP="00353B5E">
            <w:pPr>
              <w:ind w:left="567" w:hanging="567"/>
              <w:rPr>
                <w:b/>
                <w:sz w:val="22"/>
                <w:szCs w:val="22"/>
              </w:rPr>
            </w:pPr>
            <w:r w:rsidRPr="009C5EFD">
              <w:rPr>
                <w:b/>
                <w:sz w:val="22"/>
                <w:szCs w:val="22"/>
              </w:rPr>
              <w:t>7.</w:t>
            </w:r>
            <w:r w:rsidRPr="009C5EFD">
              <w:rPr>
                <w:b/>
                <w:sz w:val="22"/>
                <w:szCs w:val="22"/>
              </w:rPr>
              <w:tab/>
              <w:t>EVENTUELLE ANDRE SPESIELLE ADVARSLER</w:t>
            </w:r>
          </w:p>
        </w:tc>
      </w:tr>
    </w:tbl>
    <w:p w14:paraId="7B6CD055" w14:textId="77777777" w:rsidR="00353B5E" w:rsidRPr="009C5EFD" w:rsidRDefault="00353B5E" w:rsidP="00353B5E">
      <w:pPr>
        <w:suppressAutoHyphens/>
        <w:ind w:left="54"/>
        <w:rPr>
          <w:sz w:val="22"/>
          <w:szCs w:val="22"/>
        </w:rPr>
      </w:pPr>
    </w:p>
    <w:p w14:paraId="188137F4"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7B5FCE10" w14:textId="77777777" w:rsidTr="00353B5E">
        <w:tc>
          <w:tcPr>
            <w:tcW w:w="9281" w:type="dxa"/>
          </w:tcPr>
          <w:p w14:paraId="304C54D9" w14:textId="77777777" w:rsidR="00353B5E" w:rsidRPr="009C5EFD" w:rsidRDefault="00E453CD" w:rsidP="00353B5E">
            <w:pPr>
              <w:ind w:left="567" w:hanging="567"/>
              <w:rPr>
                <w:b/>
                <w:sz w:val="22"/>
                <w:szCs w:val="22"/>
              </w:rPr>
            </w:pPr>
            <w:r w:rsidRPr="009C5EFD">
              <w:rPr>
                <w:b/>
                <w:sz w:val="22"/>
                <w:szCs w:val="22"/>
              </w:rPr>
              <w:t>8.</w:t>
            </w:r>
            <w:r w:rsidRPr="009C5EFD">
              <w:rPr>
                <w:b/>
                <w:sz w:val="22"/>
                <w:szCs w:val="22"/>
              </w:rPr>
              <w:tab/>
              <w:t>UTLØPSDATO</w:t>
            </w:r>
          </w:p>
        </w:tc>
      </w:tr>
    </w:tbl>
    <w:p w14:paraId="257135B9" w14:textId="77777777" w:rsidR="00353B5E" w:rsidRPr="009C5EFD" w:rsidRDefault="00353B5E" w:rsidP="00353B5E">
      <w:pPr>
        <w:suppressAutoHyphens/>
        <w:ind w:left="621" w:hanging="567"/>
        <w:rPr>
          <w:sz w:val="22"/>
          <w:szCs w:val="22"/>
        </w:rPr>
      </w:pPr>
    </w:p>
    <w:p w14:paraId="0326C211" w14:textId="77777777" w:rsidR="00353B5E" w:rsidRPr="009C5EFD" w:rsidRDefault="00E453CD" w:rsidP="00353B5E">
      <w:pPr>
        <w:suppressAutoHyphens/>
        <w:ind w:left="54"/>
        <w:rPr>
          <w:sz w:val="22"/>
          <w:szCs w:val="22"/>
        </w:rPr>
      </w:pPr>
      <w:r>
        <w:rPr>
          <w:sz w:val="22"/>
          <w:szCs w:val="22"/>
        </w:rPr>
        <w:t>EXP</w:t>
      </w:r>
    </w:p>
    <w:p w14:paraId="00EFC113" w14:textId="77777777" w:rsidR="00353B5E" w:rsidRDefault="00353B5E" w:rsidP="00353B5E">
      <w:pPr>
        <w:ind w:left="54"/>
        <w:rPr>
          <w:sz w:val="22"/>
          <w:szCs w:val="22"/>
        </w:rPr>
      </w:pPr>
    </w:p>
    <w:p w14:paraId="08CEA08B" w14:textId="77777777" w:rsidR="00353B5E" w:rsidRPr="009C5EFD" w:rsidRDefault="00353B5E" w:rsidP="00353B5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68096BE" w14:textId="77777777" w:rsidTr="00353B5E">
        <w:tc>
          <w:tcPr>
            <w:tcW w:w="9281" w:type="dxa"/>
          </w:tcPr>
          <w:p w14:paraId="79F1A62A" w14:textId="77777777" w:rsidR="00353B5E" w:rsidRPr="009C5EFD" w:rsidRDefault="00E453CD" w:rsidP="001C4BD6">
            <w:pPr>
              <w:keepNext/>
              <w:ind w:left="567" w:hanging="567"/>
              <w:rPr>
                <w:b/>
                <w:sz w:val="22"/>
                <w:szCs w:val="22"/>
              </w:rPr>
            </w:pPr>
            <w:r w:rsidRPr="009C5EFD">
              <w:lastRenderedPageBreak/>
              <w:br w:type="page"/>
            </w:r>
            <w:r w:rsidRPr="009C5EFD">
              <w:rPr>
                <w:b/>
                <w:sz w:val="22"/>
                <w:szCs w:val="22"/>
              </w:rPr>
              <w:t>9.</w:t>
            </w:r>
            <w:r w:rsidRPr="009C5EFD">
              <w:rPr>
                <w:b/>
                <w:sz w:val="22"/>
                <w:szCs w:val="22"/>
              </w:rPr>
              <w:tab/>
              <w:t>OPPBEVARINGSBETINGELSER</w:t>
            </w:r>
          </w:p>
        </w:tc>
      </w:tr>
    </w:tbl>
    <w:p w14:paraId="4E23E23F" w14:textId="77777777" w:rsidR="00353B5E" w:rsidRPr="009C5EFD" w:rsidRDefault="00353B5E" w:rsidP="00353B5E">
      <w:pPr>
        <w:suppressAutoHyphens/>
        <w:ind w:left="54"/>
        <w:rPr>
          <w:sz w:val="22"/>
          <w:szCs w:val="22"/>
        </w:rPr>
      </w:pPr>
    </w:p>
    <w:p w14:paraId="51AB61F4" w14:textId="77777777" w:rsidR="00353B5E" w:rsidRPr="009C5EFD" w:rsidRDefault="00E453CD" w:rsidP="00353B5E">
      <w:pPr>
        <w:suppressAutoHyphens/>
        <w:ind w:left="54"/>
        <w:rPr>
          <w:sz w:val="22"/>
          <w:szCs w:val="22"/>
        </w:rPr>
      </w:pPr>
      <w:r w:rsidRPr="009C5EFD">
        <w:rPr>
          <w:sz w:val="22"/>
          <w:szCs w:val="22"/>
        </w:rPr>
        <w:t>Oppbevares i kjøleskap. Skal ikke fryses.</w:t>
      </w:r>
    </w:p>
    <w:p w14:paraId="36D9AA07" w14:textId="77777777" w:rsidR="00353B5E" w:rsidRPr="009C5EFD" w:rsidRDefault="00E453CD" w:rsidP="00353B5E">
      <w:pPr>
        <w:suppressAutoHyphens/>
        <w:ind w:left="54"/>
        <w:rPr>
          <w:sz w:val="22"/>
          <w:szCs w:val="22"/>
        </w:rPr>
      </w:pPr>
      <w:r w:rsidRPr="009C5EFD">
        <w:rPr>
          <w:sz w:val="22"/>
          <w:szCs w:val="22"/>
        </w:rPr>
        <w:t>Se pakningsvedlegg for alternative oppbevaringsbetingelser.</w:t>
      </w:r>
    </w:p>
    <w:p w14:paraId="575CA6F5" w14:textId="77777777" w:rsidR="00353B5E" w:rsidRPr="009C5EFD" w:rsidRDefault="00E453CD" w:rsidP="00353B5E">
      <w:pPr>
        <w:suppressAutoHyphens/>
        <w:ind w:left="54"/>
        <w:rPr>
          <w:sz w:val="22"/>
          <w:szCs w:val="22"/>
        </w:rPr>
      </w:pPr>
      <w:r>
        <w:rPr>
          <w:sz w:val="22"/>
          <w:szCs w:val="22"/>
        </w:rPr>
        <w:t>Den ferdigfylte pennen</w:t>
      </w:r>
      <w:r w:rsidRPr="009C5EFD">
        <w:rPr>
          <w:sz w:val="22"/>
          <w:szCs w:val="22"/>
        </w:rPr>
        <w:t xml:space="preserve"> oppbevares i ytterkartongen for å beskytte mot lys.</w:t>
      </w:r>
    </w:p>
    <w:p w14:paraId="187DEBBC" w14:textId="77777777" w:rsidR="00353B5E" w:rsidRPr="009C5EFD" w:rsidRDefault="00353B5E" w:rsidP="00353B5E">
      <w:pPr>
        <w:suppressAutoHyphens/>
        <w:ind w:left="54"/>
        <w:rPr>
          <w:sz w:val="22"/>
          <w:szCs w:val="22"/>
        </w:rPr>
      </w:pPr>
    </w:p>
    <w:p w14:paraId="31C93FE6"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A0938B2" w14:textId="77777777" w:rsidTr="00353B5E">
        <w:tc>
          <w:tcPr>
            <w:tcW w:w="9281" w:type="dxa"/>
          </w:tcPr>
          <w:p w14:paraId="10A521AA" w14:textId="77777777" w:rsidR="00353B5E" w:rsidRPr="009C5EFD" w:rsidRDefault="00E453CD" w:rsidP="00353B5E">
            <w:pPr>
              <w:ind w:left="567" w:hanging="567"/>
              <w:rPr>
                <w:b/>
                <w:sz w:val="22"/>
                <w:szCs w:val="22"/>
              </w:rPr>
            </w:pPr>
            <w:r w:rsidRPr="009C5EFD">
              <w:rPr>
                <w:b/>
                <w:sz w:val="22"/>
                <w:szCs w:val="22"/>
              </w:rPr>
              <w:t>10.</w:t>
            </w:r>
            <w:r w:rsidRPr="009C5EFD">
              <w:rPr>
                <w:b/>
                <w:sz w:val="22"/>
                <w:szCs w:val="22"/>
              </w:rPr>
              <w:tab/>
              <w:t>EVENTUELLE SPESIELLE FORHOLDSREGLER VED DESTRUKSJON AV UBRUKTE LEGEMIDLER ELLER AVFALL</w:t>
            </w:r>
          </w:p>
        </w:tc>
      </w:tr>
    </w:tbl>
    <w:p w14:paraId="3ED0D882" w14:textId="77777777" w:rsidR="00353B5E" w:rsidRPr="009C5EFD" w:rsidRDefault="00353B5E" w:rsidP="00353B5E">
      <w:pPr>
        <w:suppressAutoHyphens/>
        <w:ind w:left="54"/>
        <w:rPr>
          <w:sz w:val="22"/>
          <w:szCs w:val="22"/>
        </w:rPr>
      </w:pPr>
    </w:p>
    <w:p w14:paraId="6D0ED6E1"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26904BFA" w14:textId="77777777" w:rsidTr="00353B5E">
        <w:tc>
          <w:tcPr>
            <w:tcW w:w="9281" w:type="dxa"/>
          </w:tcPr>
          <w:p w14:paraId="6D5665E7" w14:textId="77777777" w:rsidR="00353B5E" w:rsidRPr="009C5EFD" w:rsidRDefault="00E453CD" w:rsidP="00353B5E">
            <w:pPr>
              <w:ind w:left="567" w:hanging="567"/>
              <w:rPr>
                <w:b/>
                <w:sz w:val="22"/>
                <w:szCs w:val="22"/>
              </w:rPr>
            </w:pPr>
            <w:r w:rsidRPr="009C5EFD">
              <w:rPr>
                <w:b/>
                <w:sz w:val="22"/>
                <w:szCs w:val="22"/>
              </w:rPr>
              <w:t>11.</w:t>
            </w:r>
            <w:r w:rsidRPr="009C5EFD">
              <w:rPr>
                <w:b/>
                <w:sz w:val="22"/>
                <w:szCs w:val="22"/>
              </w:rPr>
              <w:tab/>
              <w:t>NAVN OG ADRESSE PÅ INNEHAVEREN AV MARKEDSFØRINGSTILLATELSEN</w:t>
            </w:r>
          </w:p>
        </w:tc>
      </w:tr>
    </w:tbl>
    <w:p w14:paraId="08BF6F72" w14:textId="77777777" w:rsidR="00353B5E" w:rsidRPr="009C5EFD" w:rsidRDefault="00353B5E" w:rsidP="00353B5E">
      <w:pPr>
        <w:suppressAutoHyphens/>
        <w:ind w:left="54"/>
        <w:rPr>
          <w:sz w:val="22"/>
          <w:szCs w:val="22"/>
        </w:rPr>
      </w:pPr>
    </w:p>
    <w:p w14:paraId="33230FAD" w14:textId="77777777" w:rsidR="00DD76CF" w:rsidRPr="00EF12DF" w:rsidRDefault="00E453CD" w:rsidP="00DD76CF">
      <w:pPr>
        <w:rPr>
          <w:sz w:val="22"/>
          <w:szCs w:val="22"/>
        </w:rPr>
      </w:pPr>
      <w:r w:rsidRPr="00EF12DF">
        <w:rPr>
          <w:sz w:val="22"/>
          <w:szCs w:val="22"/>
        </w:rPr>
        <w:t>AbbVie Deutschland GmbH &amp; Co. KG</w:t>
      </w:r>
    </w:p>
    <w:p w14:paraId="631D4094" w14:textId="77777777" w:rsidR="00DD76CF" w:rsidRPr="00EF12DF" w:rsidRDefault="00E453CD" w:rsidP="00DD76CF">
      <w:pPr>
        <w:rPr>
          <w:sz w:val="22"/>
          <w:szCs w:val="22"/>
        </w:rPr>
      </w:pPr>
      <w:r w:rsidRPr="00EF12DF">
        <w:rPr>
          <w:sz w:val="22"/>
          <w:szCs w:val="22"/>
        </w:rPr>
        <w:t>Knollstrasse</w:t>
      </w:r>
    </w:p>
    <w:p w14:paraId="74435AB5" w14:textId="77777777" w:rsidR="00DD76CF" w:rsidRPr="00EF12DF" w:rsidRDefault="00E453CD" w:rsidP="00DD76CF">
      <w:pPr>
        <w:rPr>
          <w:sz w:val="22"/>
          <w:szCs w:val="22"/>
        </w:rPr>
      </w:pPr>
      <w:r w:rsidRPr="00EF12DF">
        <w:rPr>
          <w:sz w:val="22"/>
          <w:szCs w:val="22"/>
        </w:rPr>
        <w:t>67061 Ludwigshafen</w:t>
      </w:r>
    </w:p>
    <w:p w14:paraId="56FBD600" w14:textId="77777777" w:rsidR="00DD76CF" w:rsidRPr="009C5EFD" w:rsidRDefault="00E453CD" w:rsidP="00DD76CF">
      <w:pPr>
        <w:rPr>
          <w:sz w:val="22"/>
          <w:szCs w:val="22"/>
        </w:rPr>
      </w:pPr>
      <w:r>
        <w:rPr>
          <w:sz w:val="22"/>
          <w:szCs w:val="22"/>
        </w:rPr>
        <w:t>Tyskland</w:t>
      </w:r>
    </w:p>
    <w:p w14:paraId="164DAEC5" w14:textId="77777777" w:rsidR="00353B5E" w:rsidRPr="003F000C" w:rsidRDefault="00353B5E" w:rsidP="00353B5E">
      <w:pPr>
        <w:suppressAutoHyphens/>
        <w:rPr>
          <w:sz w:val="22"/>
          <w:szCs w:val="22"/>
          <w:lang w:val="sv-SE"/>
        </w:rPr>
      </w:pPr>
    </w:p>
    <w:p w14:paraId="3D367D34" w14:textId="77777777" w:rsidR="00353B5E" w:rsidRPr="003F000C" w:rsidRDefault="00353B5E" w:rsidP="00353B5E">
      <w:pPr>
        <w:suppressAutoHyphens/>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FBE08D9" w14:textId="77777777" w:rsidTr="00506C98">
        <w:tc>
          <w:tcPr>
            <w:tcW w:w="9281" w:type="dxa"/>
          </w:tcPr>
          <w:p w14:paraId="6E6E1239" w14:textId="77777777" w:rsidR="00730B89" w:rsidRPr="009C5EFD" w:rsidRDefault="00E453CD" w:rsidP="00506C98">
            <w:pPr>
              <w:ind w:left="567" w:hanging="567"/>
              <w:rPr>
                <w:b/>
                <w:sz w:val="22"/>
                <w:szCs w:val="22"/>
              </w:rPr>
            </w:pPr>
            <w:r w:rsidRPr="009C5EFD">
              <w:rPr>
                <w:b/>
                <w:sz w:val="22"/>
                <w:szCs w:val="22"/>
              </w:rPr>
              <w:t>12.</w:t>
            </w:r>
            <w:r w:rsidRPr="009C5EFD">
              <w:rPr>
                <w:b/>
                <w:sz w:val="22"/>
                <w:szCs w:val="22"/>
              </w:rPr>
              <w:tab/>
              <w:t>MARKEDSFØRINGSTILLATELSESNUMMER (NUMRE)</w:t>
            </w:r>
          </w:p>
        </w:tc>
      </w:tr>
    </w:tbl>
    <w:p w14:paraId="0866354B" w14:textId="77777777" w:rsidR="00353B5E" w:rsidRPr="009C5EFD" w:rsidRDefault="00353B5E" w:rsidP="00353B5E">
      <w:pPr>
        <w:suppressAutoHyphens/>
        <w:ind w:left="54"/>
        <w:rPr>
          <w:sz w:val="22"/>
          <w:szCs w:val="22"/>
        </w:rPr>
      </w:pPr>
    </w:p>
    <w:p w14:paraId="54172429" w14:textId="77777777" w:rsidR="00730B89" w:rsidRDefault="00E453CD" w:rsidP="00730B89">
      <w:pPr>
        <w:suppressAutoHyphens/>
        <w:ind w:left="482" w:hanging="425"/>
        <w:rPr>
          <w:sz w:val="22"/>
          <w:szCs w:val="22"/>
        </w:rPr>
      </w:pPr>
      <w:r>
        <w:rPr>
          <w:sz w:val="22"/>
          <w:szCs w:val="22"/>
        </w:rPr>
        <w:t>EU/1/03/256/</w:t>
      </w:r>
      <w:r w:rsidR="00560437">
        <w:rPr>
          <w:sz w:val="22"/>
          <w:szCs w:val="22"/>
        </w:rPr>
        <w:t>021</w:t>
      </w:r>
    </w:p>
    <w:p w14:paraId="16D30F4A" w14:textId="77777777" w:rsidR="00730B89" w:rsidRPr="009C5EFD" w:rsidRDefault="00E453CD" w:rsidP="00730B89">
      <w:pPr>
        <w:suppressAutoHyphens/>
        <w:ind w:left="482" w:hanging="425"/>
        <w:rPr>
          <w:sz w:val="22"/>
          <w:szCs w:val="22"/>
        </w:rPr>
      </w:pPr>
      <w:r w:rsidRPr="00CF2876">
        <w:rPr>
          <w:sz w:val="22"/>
          <w:szCs w:val="22"/>
          <w:highlight w:val="lightGray"/>
        </w:rPr>
        <w:t>EU/1/03/256/027</w:t>
      </w:r>
    </w:p>
    <w:p w14:paraId="39FE4DEB" w14:textId="77777777" w:rsidR="00353B5E" w:rsidRPr="009C5EFD" w:rsidRDefault="00353B5E" w:rsidP="00353B5E">
      <w:pPr>
        <w:ind w:left="54"/>
        <w:rPr>
          <w:sz w:val="22"/>
          <w:szCs w:val="22"/>
        </w:rPr>
      </w:pPr>
    </w:p>
    <w:p w14:paraId="6C000783" w14:textId="77777777" w:rsidR="00353B5E" w:rsidRPr="009C5EFD" w:rsidRDefault="00353B5E" w:rsidP="00353B5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53C98B5B" w14:textId="77777777" w:rsidTr="00353B5E">
        <w:tc>
          <w:tcPr>
            <w:tcW w:w="9281" w:type="dxa"/>
          </w:tcPr>
          <w:p w14:paraId="582D0FF2" w14:textId="77777777" w:rsidR="00353B5E" w:rsidRPr="009C5EFD" w:rsidRDefault="00E453CD" w:rsidP="00353B5E">
            <w:pPr>
              <w:ind w:left="567" w:hanging="567"/>
              <w:rPr>
                <w:b/>
                <w:sz w:val="22"/>
                <w:szCs w:val="22"/>
              </w:rPr>
            </w:pPr>
            <w:r w:rsidRPr="009C5EFD">
              <w:rPr>
                <w:b/>
                <w:sz w:val="22"/>
                <w:szCs w:val="22"/>
              </w:rPr>
              <w:t>13.</w:t>
            </w:r>
            <w:r w:rsidRPr="009C5EFD">
              <w:rPr>
                <w:b/>
                <w:sz w:val="22"/>
                <w:szCs w:val="22"/>
              </w:rPr>
              <w:tab/>
              <w:t>PRODUKSJONSNUMMER</w:t>
            </w:r>
          </w:p>
        </w:tc>
      </w:tr>
    </w:tbl>
    <w:p w14:paraId="75F41718" w14:textId="77777777" w:rsidR="00353B5E" w:rsidRPr="009C5EFD" w:rsidRDefault="00353B5E" w:rsidP="00353B5E">
      <w:pPr>
        <w:ind w:left="54"/>
        <w:rPr>
          <w:sz w:val="22"/>
          <w:szCs w:val="22"/>
        </w:rPr>
      </w:pPr>
    </w:p>
    <w:p w14:paraId="3026E948" w14:textId="77777777" w:rsidR="00353B5E" w:rsidRPr="009C5EFD" w:rsidRDefault="00E453CD" w:rsidP="00353B5E">
      <w:pPr>
        <w:ind w:left="57"/>
        <w:rPr>
          <w:sz w:val="22"/>
          <w:szCs w:val="22"/>
        </w:rPr>
      </w:pPr>
      <w:r w:rsidRPr="009C5EFD">
        <w:rPr>
          <w:sz w:val="22"/>
          <w:szCs w:val="22"/>
        </w:rPr>
        <w:t>Lot</w:t>
      </w:r>
    </w:p>
    <w:p w14:paraId="5FD048D8" w14:textId="77777777" w:rsidR="00353B5E" w:rsidRPr="009C5EFD" w:rsidRDefault="00353B5E" w:rsidP="00353B5E">
      <w:pPr>
        <w:ind w:left="54"/>
        <w:rPr>
          <w:sz w:val="22"/>
          <w:szCs w:val="22"/>
        </w:rPr>
      </w:pPr>
    </w:p>
    <w:p w14:paraId="54877091" w14:textId="77777777" w:rsidR="00353B5E" w:rsidRPr="009C5EFD" w:rsidRDefault="00353B5E" w:rsidP="00353B5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5DA402E" w14:textId="77777777" w:rsidTr="00353B5E">
        <w:tc>
          <w:tcPr>
            <w:tcW w:w="9281" w:type="dxa"/>
          </w:tcPr>
          <w:p w14:paraId="6AF64C4E" w14:textId="77777777" w:rsidR="00353B5E" w:rsidRPr="009C5EFD" w:rsidRDefault="00E453CD" w:rsidP="00353B5E">
            <w:pPr>
              <w:ind w:left="567" w:hanging="567"/>
              <w:rPr>
                <w:b/>
                <w:sz w:val="22"/>
                <w:szCs w:val="22"/>
              </w:rPr>
            </w:pPr>
            <w:r w:rsidRPr="009C5EFD">
              <w:rPr>
                <w:b/>
                <w:sz w:val="22"/>
                <w:szCs w:val="22"/>
              </w:rPr>
              <w:t>14.</w:t>
            </w:r>
            <w:r w:rsidRPr="009C5EFD">
              <w:rPr>
                <w:b/>
                <w:sz w:val="22"/>
                <w:szCs w:val="22"/>
              </w:rPr>
              <w:tab/>
              <w:t>GENERELL KLASSIFIKASJON FOR UTLEVERING</w:t>
            </w:r>
          </w:p>
        </w:tc>
      </w:tr>
    </w:tbl>
    <w:p w14:paraId="20DCD14C" w14:textId="77777777" w:rsidR="00353B5E" w:rsidRPr="009C5EFD" w:rsidRDefault="00353B5E" w:rsidP="00353B5E">
      <w:pPr>
        <w:suppressAutoHyphens/>
        <w:ind w:left="774" w:hanging="720"/>
        <w:rPr>
          <w:sz w:val="22"/>
          <w:szCs w:val="22"/>
        </w:rPr>
      </w:pPr>
    </w:p>
    <w:p w14:paraId="52560702" w14:textId="77777777" w:rsidR="00353B5E" w:rsidRPr="009C5EFD" w:rsidRDefault="00353B5E" w:rsidP="00353B5E">
      <w:pPr>
        <w:suppressAutoHyphens/>
        <w:ind w:left="774" w:hanging="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38621E2" w14:textId="77777777" w:rsidTr="00353B5E">
        <w:tc>
          <w:tcPr>
            <w:tcW w:w="9281" w:type="dxa"/>
          </w:tcPr>
          <w:p w14:paraId="4957AC9F" w14:textId="77777777" w:rsidR="00353B5E" w:rsidRPr="009C5EFD" w:rsidRDefault="00E453CD" w:rsidP="00353B5E">
            <w:pPr>
              <w:ind w:left="567" w:hanging="567"/>
              <w:rPr>
                <w:b/>
                <w:sz w:val="22"/>
                <w:szCs w:val="22"/>
              </w:rPr>
            </w:pPr>
            <w:r w:rsidRPr="009C5EFD">
              <w:rPr>
                <w:b/>
                <w:sz w:val="22"/>
                <w:szCs w:val="22"/>
              </w:rPr>
              <w:t>15.</w:t>
            </w:r>
            <w:r w:rsidRPr="009C5EFD">
              <w:rPr>
                <w:b/>
                <w:sz w:val="22"/>
                <w:szCs w:val="22"/>
              </w:rPr>
              <w:tab/>
              <w:t>BRUKSANVISNING</w:t>
            </w:r>
          </w:p>
        </w:tc>
      </w:tr>
    </w:tbl>
    <w:p w14:paraId="0BCEB7F1" w14:textId="77777777" w:rsidR="00353B5E" w:rsidRPr="00A31787" w:rsidRDefault="00353B5E" w:rsidP="00353B5E">
      <w:pPr>
        <w:ind w:left="54"/>
        <w:rPr>
          <w:sz w:val="22"/>
          <w:szCs w:val="22"/>
        </w:rPr>
      </w:pPr>
    </w:p>
    <w:p w14:paraId="14734E0D" w14:textId="77777777" w:rsidR="00353B5E" w:rsidRPr="00A31787" w:rsidRDefault="00353B5E" w:rsidP="00353B5E">
      <w:pPr>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122946C" w14:textId="77777777" w:rsidTr="00353B5E">
        <w:tc>
          <w:tcPr>
            <w:tcW w:w="9281" w:type="dxa"/>
          </w:tcPr>
          <w:p w14:paraId="268616BA" w14:textId="77777777" w:rsidR="00353B5E" w:rsidRPr="009C5EFD" w:rsidRDefault="00E453CD" w:rsidP="00353B5E">
            <w:pPr>
              <w:ind w:left="567" w:hanging="567"/>
              <w:rPr>
                <w:b/>
                <w:sz w:val="22"/>
                <w:szCs w:val="22"/>
              </w:rPr>
            </w:pPr>
            <w:r w:rsidRPr="009C5EFD">
              <w:rPr>
                <w:b/>
                <w:sz w:val="22"/>
                <w:szCs w:val="22"/>
              </w:rPr>
              <w:t>16.</w:t>
            </w:r>
            <w:r w:rsidRPr="009C5EFD">
              <w:rPr>
                <w:b/>
                <w:sz w:val="22"/>
                <w:szCs w:val="22"/>
              </w:rPr>
              <w:tab/>
              <w:t>INFORMASJON PÅ BLINDESKRIFT</w:t>
            </w:r>
          </w:p>
        </w:tc>
      </w:tr>
    </w:tbl>
    <w:p w14:paraId="26A4A537" w14:textId="77777777" w:rsidR="00353B5E" w:rsidRPr="00D968A3" w:rsidRDefault="00353B5E" w:rsidP="00353B5E">
      <w:pPr>
        <w:ind w:left="54"/>
        <w:rPr>
          <w:sz w:val="22"/>
          <w:szCs w:val="22"/>
        </w:rPr>
      </w:pPr>
    </w:p>
    <w:p w14:paraId="1562E861" w14:textId="77777777" w:rsidR="00353B5E" w:rsidRDefault="00E453CD" w:rsidP="00353B5E">
      <w:pPr>
        <w:ind w:left="54"/>
        <w:rPr>
          <w:sz w:val="22"/>
          <w:szCs w:val="22"/>
        </w:rPr>
      </w:pPr>
      <w:r>
        <w:rPr>
          <w:sz w:val="22"/>
          <w:szCs w:val="22"/>
        </w:rPr>
        <w:t>Humira 8</w:t>
      </w:r>
      <w:r w:rsidRPr="009C5EFD">
        <w:rPr>
          <w:sz w:val="22"/>
          <w:szCs w:val="22"/>
        </w:rPr>
        <w:t>0</w:t>
      </w:r>
      <w:r w:rsidR="00C26404">
        <w:rPr>
          <w:sz w:val="22"/>
          <w:szCs w:val="22"/>
        </w:rPr>
        <w:t> </w:t>
      </w:r>
      <w:r w:rsidRPr="009C5EFD">
        <w:rPr>
          <w:sz w:val="22"/>
          <w:szCs w:val="22"/>
        </w:rPr>
        <w:t>mg</w:t>
      </w:r>
    </w:p>
    <w:p w14:paraId="0E799577" w14:textId="77777777" w:rsidR="00353B5E" w:rsidRDefault="00353B5E" w:rsidP="00353B5E">
      <w:pPr>
        <w:ind w:left="54"/>
        <w:rPr>
          <w:sz w:val="22"/>
          <w:szCs w:val="22"/>
        </w:rPr>
      </w:pPr>
    </w:p>
    <w:p w14:paraId="6967A53F" w14:textId="77777777" w:rsidR="00353B5E" w:rsidRPr="001E2ACA" w:rsidRDefault="00353B5E" w:rsidP="00353B5E">
      <w:pPr>
        <w:tabs>
          <w:tab w:val="left" w:pos="562"/>
        </w:tabs>
        <w:suppressAutoHyphens/>
        <w:ind w:left="540" w:hanging="540"/>
        <w:rPr>
          <w:sz w:val="22"/>
          <w:lang w:val="en-GB"/>
        </w:rPr>
      </w:pPr>
    </w:p>
    <w:p w14:paraId="483B4E1F" w14:textId="77777777" w:rsidR="00353B5E" w:rsidRPr="00126088" w:rsidRDefault="00E453CD" w:rsidP="00353B5E">
      <w:pPr>
        <w:pBdr>
          <w:top w:val="single" w:sz="4" w:space="1" w:color="auto"/>
          <w:left w:val="single" w:sz="4" w:space="4" w:color="auto"/>
          <w:bottom w:val="single" w:sz="4" w:space="1" w:color="auto"/>
          <w:right w:val="single" w:sz="4" w:space="4" w:color="auto"/>
        </w:pBdr>
        <w:tabs>
          <w:tab w:val="left" w:pos="562"/>
        </w:tabs>
        <w:suppressAutoHyphens/>
        <w:rPr>
          <w:b/>
          <w:bCs/>
          <w:caps/>
          <w:sz w:val="22"/>
          <w:szCs w:val="20"/>
        </w:rPr>
      </w:pPr>
      <w:r w:rsidRPr="00F05EB5">
        <w:rPr>
          <w:b/>
          <w:bCs/>
          <w:caps/>
          <w:sz w:val="22"/>
          <w:szCs w:val="20"/>
        </w:rPr>
        <w:t xml:space="preserve">17. </w:t>
      </w:r>
      <w:r w:rsidRPr="00F05EB5">
        <w:rPr>
          <w:b/>
          <w:bCs/>
          <w:caps/>
          <w:sz w:val="22"/>
          <w:szCs w:val="20"/>
        </w:rPr>
        <w:tab/>
      </w:r>
      <w:r w:rsidRPr="00126088">
        <w:rPr>
          <w:b/>
          <w:bCs/>
          <w:caps/>
          <w:sz w:val="22"/>
          <w:szCs w:val="20"/>
        </w:rPr>
        <w:t>SIKKERHETSANORDNING (UNIK IDENTITET) – TODIMENSJONAL STREKKODE</w:t>
      </w:r>
    </w:p>
    <w:p w14:paraId="2630D088" w14:textId="77777777" w:rsidR="00353B5E" w:rsidRPr="00126088" w:rsidRDefault="00353B5E" w:rsidP="00353B5E">
      <w:pPr>
        <w:tabs>
          <w:tab w:val="left" w:pos="562"/>
        </w:tabs>
        <w:suppressAutoHyphens/>
        <w:rPr>
          <w:sz w:val="22"/>
        </w:rPr>
      </w:pPr>
    </w:p>
    <w:p w14:paraId="39BCC002" w14:textId="77777777" w:rsidR="00353B5E" w:rsidRPr="00F05EB5" w:rsidRDefault="00E453CD" w:rsidP="00353B5E">
      <w:pPr>
        <w:tabs>
          <w:tab w:val="left" w:pos="562"/>
        </w:tabs>
        <w:suppressAutoHyphens/>
        <w:rPr>
          <w:sz w:val="22"/>
          <w:shd w:val="clear" w:color="auto" w:fill="BFBFBF"/>
        </w:rPr>
      </w:pPr>
      <w:r w:rsidRPr="00F05EB5">
        <w:rPr>
          <w:sz w:val="22"/>
          <w:shd w:val="clear" w:color="auto" w:fill="BFBFBF"/>
        </w:rPr>
        <w:t>Todimensjonal strekkode, inkludert unik identitet</w:t>
      </w:r>
      <w:r>
        <w:rPr>
          <w:sz w:val="22"/>
          <w:shd w:val="clear" w:color="auto" w:fill="BFBFBF"/>
        </w:rPr>
        <w:t>.</w:t>
      </w:r>
    </w:p>
    <w:p w14:paraId="191ED4F6" w14:textId="77777777" w:rsidR="00353B5E" w:rsidRDefault="00353B5E" w:rsidP="00353B5E">
      <w:pPr>
        <w:tabs>
          <w:tab w:val="left" w:pos="562"/>
        </w:tabs>
        <w:suppressAutoHyphens/>
        <w:rPr>
          <w:sz w:val="22"/>
          <w:shd w:val="clear" w:color="auto" w:fill="BFBFBF"/>
        </w:rPr>
      </w:pPr>
    </w:p>
    <w:p w14:paraId="4EDC98BD" w14:textId="77777777" w:rsidR="00353B5E" w:rsidRPr="00F05EB5" w:rsidRDefault="00353B5E" w:rsidP="00353B5E">
      <w:pPr>
        <w:tabs>
          <w:tab w:val="left" w:pos="562"/>
        </w:tabs>
        <w:suppressAutoHyphens/>
        <w:rPr>
          <w:sz w:val="22"/>
          <w:shd w:val="clear" w:color="auto" w:fill="BFBFBF"/>
        </w:rPr>
      </w:pPr>
    </w:p>
    <w:p w14:paraId="7FDC6D69" w14:textId="77777777" w:rsidR="00353B5E" w:rsidRPr="00126088" w:rsidRDefault="00E453CD" w:rsidP="00353B5E">
      <w:pPr>
        <w:keepNext/>
        <w:pBdr>
          <w:top w:val="single" w:sz="4" w:space="1" w:color="auto"/>
          <w:left w:val="single" w:sz="4" w:space="4" w:color="auto"/>
          <w:bottom w:val="single" w:sz="4" w:space="1" w:color="auto"/>
          <w:right w:val="single" w:sz="4" w:space="4" w:color="auto"/>
        </w:pBdr>
        <w:tabs>
          <w:tab w:val="left" w:pos="562"/>
        </w:tabs>
        <w:suppressAutoHyphens/>
        <w:rPr>
          <w:rFonts w:ascii="Times New Roman Bold" w:hAnsi="Times New Roman Bold"/>
          <w:caps/>
          <w:sz w:val="22"/>
          <w:szCs w:val="20"/>
        </w:rPr>
      </w:pPr>
      <w:r w:rsidRPr="00F05EB5">
        <w:rPr>
          <w:b/>
          <w:bCs/>
          <w:caps/>
          <w:sz w:val="22"/>
          <w:szCs w:val="20"/>
        </w:rPr>
        <w:t xml:space="preserve">18. </w:t>
      </w:r>
      <w:r w:rsidRPr="00F05EB5">
        <w:rPr>
          <w:b/>
          <w:bCs/>
          <w:caps/>
          <w:sz w:val="22"/>
          <w:szCs w:val="20"/>
        </w:rPr>
        <w:tab/>
      </w:r>
      <w:r w:rsidRPr="00126088">
        <w:rPr>
          <w:b/>
          <w:bCs/>
          <w:caps/>
          <w:sz w:val="22"/>
          <w:szCs w:val="20"/>
        </w:rPr>
        <w:t>SIKKERHETSANORDNING (UNIK IDENTITET) – I ET FORMAT LESBART FOR MENNESKER</w:t>
      </w:r>
    </w:p>
    <w:p w14:paraId="465E64C8" w14:textId="77777777" w:rsidR="00353B5E" w:rsidRPr="00126088" w:rsidRDefault="00353B5E" w:rsidP="00353B5E">
      <w:pPr>
        <w:keepNext/>
        <w:tabs>
          <w:tab w:val="left" w:pos="562"/>
        </w:tabs>
        <w:suppressAutoHyphens/>
        <w:ind w:left="540" w:hanging="540"/>
        <w:rPr>
          <w:sz w:val="22"/>
        </w:rPr>
      </w:pPr>
    </w:p>
    <w:p w14:paraId="2E4D2E70" w14:textId="77777777" w:rsidR="00353B5E" w:rsidRPr="001E2ACA" w:rsidRDefault="00E453CD" w:rsidP="00353B5E">
      <w:pPr>
        <w:keepNext/>
        <w:tabs>
          <w:tab w:val="left" w:pos="562"/>
        </w:tabs>
        <w:suppressAutoHyphens/>
        <w:ind w:left="540" w:hanging="540"/>
        <w:rPr>
          <w:sz w:val="22"/>
          <w:lang w:val="en-GB"/>
        </w:rPr>
      </w:pPr>
      <w:r>
        <w:rPr>
          <w:sz w:val="22"/>
          <w:lang w:val="en-GB"/>
        </w:rPr>
        <w:t>PC</w:t>
      </w:r>
    </w:p>
    <w:p w14:paraId="61FB5A19" w14:textId="77777777" w:rsidR="00353B5E" w:rsidRPr="001E2ACA" w:rsidRDefault="00E453CD" w:rsidP="00353B5E">
      <w:pPr>
        <w:keepNext/>
        <w:tabs>
          <w:tab w:val="left" w:pos="562"/>
        </w:tabs>
        <w:suppressAutoHyphens/>
        <w:ind w:left="540" w:hanging="540"/>
        <w:rPr>
          <w:sz w:val="22"/>
          <w:lang w:val="en-GB"/>
        </w:rPr>
      </w:pPr>
      <w:r>
        <w:rPr>
          <w:sz w:val="22"/>
          <w:lang w:val="en-GB"/>
        </w:rPr>
        <w:t>SN</w:t>
      </w:r>
    </w:p>
    <w:p w14:paraId="02BC6201" w14:textId="77777777" w:rsidR="00353B5E" w:rsidRPr="009C5EFD" w:rsidRDefault="00E453CD" w:rsidP="00353B5E">
      <w:pPr>
        <w:rPr>
          <w:sz w:val="22"/>
          <w:szCs w:val="22"/>
        </w:rPr>
      </w:pPr>
      <w:r w:rsidRPr="006936CB">
        <w:rPr>
          <w:sz w:val="22"/>
          <w:highlight w:val="lightGray"/>
          <w:lang w:val="en-GB"/>
        </w:rPr>
        <w:t>NN</w:t>
      </w:r>
      <w:r w:rsidRPr="009C5EFD">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6B7A7AA" w14:textId="77777777" w:rsidTr="00353B5E">
        <w:tc>
          <w:tcPr>
            <w:tcW w:w="9281" w:type="dxa"/>
          </w:tcPr>
          <w:p w14:paraId="10086994" w14:textId="77777777" w:rsidR="00353B5E" w:rsidRPr="009C5EFD" w:rsidRDefault="00E453CD" w:rsidP="00353B5E">
            <w:pPr>
              <w:rPr>
                <w:b/>
                <w:sz w:val="22"/>
                <w:szCs w:val="22"/>
              </w:rPr>
            </w:pPr>
            <w:r w:rsidRPr="009C5EFD">
              <w:rPr>
                <w:b/>
                <w:sz w:val="22"/>
                <w:szCs w:val="22"/>
              </w:rPr>
              <w:lastRenderedPageBreak/>
              <w:t>MINSTEKRAV TIL OPPLYSNINGER SOM SKAL ANGIS PÅ BLISTER</w:t>
            </w:r>
            <w:r w:rsidR="000629D5">
              <w:rPr>
                <w:b/>
                <w:sz w:val="22"/>
                <w:szCs w:val="22"/>
              </w:rPr>
              <w:t xml:space="preserve"> ELLER STRIP</w:t>
            </w:r>
          </w:p>
          <w:p w14:paraId="2DC70280" w14:textId="77777777" w:rsidR="00353B5E" w:rsidRPr="009C5EFD" w:rsidRDefault="00E453CD" w:rsidP="00353B5E">
            <w:pPr>
              <w:rPr>
                <w:b/>
                <w:sz w:val="22"/>
                <w:szCs w:val="22"/>
              </w:rPr>
            </w:pPr>
            <w:r w:rsidRPr="009C5EFD">
              <w:rPr>
                <w:b/>
                <w:sz w:val="22"/>
                <w:szCs w:val="22"/>
              </w:rPr>
              <w:t>TEKST PÅ BRETT</w:t>
            </w:r>
          </w:p>
        </w:tc>
      </w:tr>
    </w:tbl>
    <w:p w14:paraId="0EA80352" w14:textId="77777777" w:rsidR="00353B5E" w:rsidRPr="009C5EFD" w:rsidRDefault="00353B5E" w:rsidP="00353B5E">
      <w:pPr>
        <w:ind w:left="54"/>
        <w:rPr>
          <w:sz w:val="22"/>
          <w:szCs w:val="22"/>
        </w:rPr>
      </w:pPr>
    </w:p>
    <w:p w14:paraId="5E941D1B" w14:textId="77777777" w:rsidR="00353B5E" w:rsidRPr="009C5EFD" w:rsidRDefault="00353B5E" w:rsidP="00353B5E">
      <w:pPr>
        <w:ind w:left="621" w:hanging="567"/>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23F795D" w14:textId="77777777" w:rsidTr="00353B5E">
        <w:tc>
          <w:tcPr>
            <w:tcW w:w="9281" w:type="dxa"/>
          </w:tcPr>
          <w:p w14:paraId="732D771D" w14:textId="77777777" w:rsidR="00353B5E" w:rsidRPr="009C5EFD" w:rsidRDefault="00E453CD" w:rsidP="00353B5E">
            <w:pPr>
              <w:ind w:left="567" w:hanging="567"/>
              <w:rPr>
                <w:b/>
                <w:sz w:val="22"/>
                <w:szCs w:val="22"/>
              </w:rPr>
            </w:pPr>
            <w:r w:rsidRPr="009C5EFD">
              <w:rPr>
                <w:b/>
                <w:sz w:val="22"/>
                <w:szCs w:val="22"/>
              </w:rPr>
              <w:t>1.</w:t>
            </w:r>
            <w:r w:rsidRPr="009C5EFD">
              <w:rPr>
                <w:b/>
                <w:sz w:val="22"/>
                <w:szCs w:val="22"/>
              </w:rPr>
              <w:tab/>
              <w:t>LEGEMIDLETS NAVN</w:t>
            </w:r>
          </w:p>
        </w:tc>
      </w:tr>
    </w:tbl>
    <w:p w14:paraId="481FB8EE" w14:textId="77777777" w:rsidR="00353B5E" w:rsidRPr="009C5EFD" w:rsidRDefault="00353B5E" w:rsidP="00353B5E">
      <w:pPr>
        <w:suppressAutoHyphens/>
        <w:ind w:left="54"/>
        <w:rPr>
          <w:sz w:val="22"/>
          <w:szCs w:val="22"/>
        </w:rPr>
      </w:pPr>
    </w:p>
    <w:p w14:paraId="04065BA1" w14:textId="77777777" w:rsidR="00353B5E" w:rsidRPr="009C5EFD" w:rsidRDefault="00E453CD" w:rsidP="00353B5E">
      <w:pPr>
        <w:suppressAutoHyphens/>
        <w:ind w:left="54"/>
        <w:rPr>
          <w:sz w:val="22"/>
          <w:szCs w:val="22"/>
        </w:rPr>
      </w:pPr>
      <w:r w:rsidRPr="009C5EFD">
        <w:rPr>
          <w:sz w:val="22"/>
          <w:szCs w:val="22"/>
        </w:rPr>
        <w:t xml:space="preserve">Humira </w:t>
      </w:r>
      <w:r>
        <w:rPr>
          <w:sz w:val="22"/>
          <w:szCs w:val="22"/>
        </w:rPr>
        <w:t>8</w:t>
      </w:r>
      <w:r w:rsidRPr="009C5EFD">
        <w:rPr>
          <w:sz w:val="22"/>
          <w:szCs w:val="22"/>
        </w:rPr>
        <w:t>0 mg injeksjonsvæske,</w:t>
      </w:r>
      <w:r>
        <w:rPr>
          <w:sz w:val="22"/>
          <w:szCs w:val="22"/>
        </w:rPr>
        <w:t xml:space="preserve"> oppløsning i ferdigfylt penn</w:t>
      </w:r>
    </w:p>
    <w:p w14:paraId="02F5E8D0" w14:textId="77777777" w:rsidR="00353B5E" w:rsidRPr="009C5EFD" w:rsidRDefault="00E453CD" w:rsidP="00353B5E">
      <w:pPr>
        <w:suppressAutoHyphens/>
        <w:ind w:left="54"/>
        <w:rPr>
          <w:sz w:val="22"/>
          <w:szCs w:val="22"/>
        </w:rPr>
      </w:pPr>
      <w:r w:rsidRPr="009C5EFD">
        <w:rPr>
          <w:sz w:val="22"/>
          <w:szCs w:val="22"/>
        </w:rPr>
        <w:t>adalimumab</w:t>
      </w:r>
    </w:p>
    <w:p w14:paraId="2EF12551" w14:textId="77777777" w:rsidR="00353B5E" w:rsidRPr="009C5EFD" w:rsidRDefault="00353B5E" w:rsidP="00353B5E">
      <w:pPr>
        <w:suppressAutoHyphens/>
        <w:ind w:left="54"/>
        <w:rPr>
          <w:sz w:val="22"/>
          <w:szCs w:val="22"/>
        </w:rPr>
      </w:pPr>
    </w:p>
    <w:p w14:paraId="74315F47"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04381282" w14:textId="77777777" w:rsidTr="00353B5E">
        <w:tc>
          <w:tcPr>
            <w:tcW w:w="9281" w:type="dxa"/>
          </w:tcPr>
          <w:p w14:paraId="2521293F" w14:textId="77777777" w:rsidR="00353B5E" w:rsidRPr="009C5EFD" w:rsidRDefault="00E453CD" w:rsidP="00353B5E">
            <w:pPr>
              <w:ind w:left="567" w:hanging="567"/>
              <w:rPr>
                <w:b/>
                <w:sz w:val="22"/>
                <w:szCs w:val="22"/>
              </w:rPr>
            </w:pPr>
            <w:r w:rsidRPr="009C5EFD">
              <w:rPr>
                <w:b/>
                <w:sz w:val="22"/>
                <w:szCs w:val="22"/>
              </w:rPr>
              <w:t>2.</w:t>
            </w:r>
            <w:r w:rsidRPr="009C5EFD">
              <w:rPr>
                <w:b/>
                <w:sz w:val="22"/>
                <w:szCs w:val="22"/>
              </w:rPr>
              <w:tab/>
              <w:t>NAVN PÅ INNEHAVEREN AV MARKEDSFØRINGSTILLATELSEN</w:t>
            </w:r>
          </w:p>
        </w:tc>
      </w:tr>
    </w:tbl>
    <w:p w14:paraId="762AB6AD" w14:textId="77777777" w:rsidR="00353B5E" w:rsidRPr="009C5EFD" w:rsidRDefault="00353B5E" w:rsidP="00353B5E">
      <w:pPr>
        <w:suppressAutoHyphens/>
        <w:ind w:left="54"/>
        <w:rPr>
          <w:sz w:val="22"/>
          <w:szCs w:val="22"/>
        </w:rPr>
      </w:pPr>
    </w:p>
    <w:p w14:paraId="5FAF068D" w14:textId="77777777" w:rsidR="00353B5E" w:rsidRPr="009C5EFD" w:rsidRDefault="00E453CD" w:rsidP="00353B5E">
      <w:pPr>
        <w:suppressAutoHyphens/>
        <w:ind w:left="54"/>
        <w:rPr>
          <w:sz w:val="22"/>
          <w:szCs w:val="22"/>
        </w:rPr>
      </w:pPr>
      <w:r w:rsidRPr="009C5EFD">
        <w:rPr>
          <w:sz w:val="22"/>
          <w:szCs w:val="22"/>
        </w:rPr>
        <w:t xml:space="preserve">AbbVie </w:t>
      </w:r>
      <w:r w:rsidR="00DD76CF" w:rsidRPr="00637363">
        <w:rPr>
          <w:sz w:val="22"/>
          <w:szCs w:val="22"/>
          <w:highlight w:val="lightGray"/>
        </w:rPr>
        <w:t>(som logo)</w:t>
      </w:r>
    </w:p>
    <w:p w14:paraId="589B4B3A" w14:textId="77777777" w:rsidR="00353B5E" w:rsidRPr="009C5EFD" w:rsidRDefault="00353B5E" w:rsidP="00353B5E">
      <w:pPr>
        <w:suppressAutoHyphens/>
        <w:ind w:left="54"/>
        <w:rPr>
          <w:sz w:val="22"/>
          <w:szCs w:val="22"/>
        </w:rPr>
      </w:pPr>
    </w:p>
    <w:p w14:paraId="58A1E183" w14:textId="77777777" w:rsidR="00353B5E" w:rsidRPr="009C5EFD" w:rsidRDefault="00353B5E" w:rsidP="00353B5E">
      <w:pPr>
        <w:suppressAutoHyphens/>
        <w:ind w:left="5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1686560" w14:textId="77777777" w:rsidTr="00353B5E">
        <w:tc>
          <w:tcPr>
            <w:tcW w:w="9281" w:type="dxa"/>
          </w:tcPr>
          <w:p w14:paraId="55553894" w14:textId="77777777" w:rsidR="00353B5E" w:rsidRPr="009C5EFD" w:rsidRDefault="00E453CD" w:rsidP="00353B5E">
            <w:pPr>
              <w:ind w:left="567" w:hanging="567"/>
              <w:rPr>
                <w:b/>
                <w:sz w:val="22"/>
                <w:szCs w:val="22"/>
              </w:rPr>
            </w:pPr>
            <w:r w:rsidRPr="009C5EFD">
              <w:rPr>
                <w:b/>
                <w:sz w:val="22"/>
                <w:szCs w:val="22"/>
              </w:rPr>
              <w:t>3.</w:t>
            </w:r>
            <w:r w:rsidRPr="009C5EFD">
              <w:rPr>
                <w:b/>
                <w:sz w:val="22"/>
                <w:szCs w:val="22"/>
              </w:rPr>
              <w:tab/>
              <w:t>UTLØPSDATO</w:t>
            </w:r>
          </w:p>
        </w:tc>
      </w:tr>
    </w:tbl>
    <w:p w14:paraId="5D05E505" w14:textId="77777777" w:rsidR="00353B5E" w:rsidRPr="009C5EFD" w:rsidRDefault="00353B5E" w:rsidP="00353B5E">
      <w:pPr>
        <w:suppressAutoHyphens/>
        <w:ind w:left="54"/>
        <w:jc w:val="both"/>
        <w:rPr>
          <w:sz w:val="22"/>
          <w:szCs w:val="22"/>
        </w:rPr>
      </w:pPr>
    </w:p>
    <w:p w14:paraId="462FE627" w14:textId="77777777" w:rsidR="00353B5E" w:rsidRPr="009C5EFD" w:rsidRDefault="00E453CD" w:rsidP="00353B5E">
      <w:pPr>
        <w:suppressAutoHyphens/>
        <w:ind w:left="54"/>
        <w:jc w:val="both"/>
        <w:rPr>
          <w:sz w:val="22"/>
          <w:szCs w:val="22"/>
        </w:rPr>
      </w:pPr>
      <w:r>
        <w:rPr>
          <w:sz w:val="22"/>
          <w:szCs w:val="22"/>
        </w:rPr>
        <w:t>EXP</w:t>
      </w:r>
    </w:p>
    <w:p w14:paraId="369D513E" w14:textId="77777777" w:rsidR="00353B5E" w:rsidRPr="009C5EFD" w:rsidRDefault="00353B5E" w:rsidP="00353B5E">
      <w:pPr>
        <w:suppressAutoHyphens/>
        <w:ind w:left="54"/>
        <w:jc w:val="both"/>
        <w:rPr>
          <w:sz w:val="22"/>
          <w:szCs w:val="22"/>
        </w:rPr>
      </w:pPr>
    </w:p>
    <w:p w14:paraId="4C4280A7" w14:textId="77777777" w:rsidR="00353B5E" w:rsidRPr="009C5EFD" w:rsidRDefault="00353B5E" w:rsidP="00353B5E">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1771A47" w14:textId="77777777" w:rsidTr="00353B5E">
        <w:tc>
          <w:tcPr>
            <w:tcW w:w="9281" w:type="dxa"/>
          </w:tcPr>
          <w:p w14:paraId="2E4E6B4C" w14:textId="77777777" w:rsidR="00353B5E" w:rsidRPr="009C5EFD" w:rsidRDefault="00E453CD" w:rsidP="00353B5E">
            <w:pPr>
              <w:ind w:left="567" w:hanging="567"/>
              <w:rPr>
                <w:b/>
                <w:sz w:val="22"/>
                <w:szCs w:val="22"/>
              </w:rPr>
            </w:pPr>
            <w:r w:rsidRPr="009C5EFD">
              <w:rPr>
                <w:b/>
                <w:sz w:val="22"/>
                <w:szCs w:val="22"/>
              </w:rPr>
              <w:t>4.</w:t>
            </w:r>
            <w:r w:rsidRPr="009C5EFD">
              <w:rPr>
                <w:b/>
                <w:sz w:val="22"/>
                <w:szCs w:val="22"/>
              </w:rPr>
              <w:tab/>
              <w:t>PRODUKSJONSNUMMER</w:t>
            </w:r>
          </w:p>
        </w:tc>
      </w:tr>
    </w:tbl>
    <w:p w14:paraId="2137DD34" w14:textId="77777777" w:rsidR="00353B5E" w:rsidRPr="009C5EFD" w:rsidRDefault="00353B5E" w:rsidP="00353B5E">
      <w:pPr>
        <w:suppressAutoHyphens/>
        <w:ind w:left="54"/>
        <w:jc w:val="both"/>
        <w:rPr>
          <w:sz w:val="22"/>
          <w:szCs w:val="22"/>
        </w:rPr>
      </w:pPr>
    </w:p>
    <w:p w14:paraId="772DCB56" w14:textId="77777777" w:rsidR="00353B5E" w:rsidRPr="009C5EFD" w:rsidRDefault="00E453CD" w:rsidP="00353B5E">
      <w:pPr>
        <w:suppressAutoHyphens/>
        <w:ind w:left="54"/>
        <w:jc w:val="both"/>
        <w:rPr>
          <w:sz w:val="22"/>
          <w:szCs w:val="22"/>
        </w:rPr>
      </w:pPr>
      <w:r w:rsidRPr="009C5EFD">
        <w:rPr>
          <w:sz w:val="22"/>
          <w:szCs w:val="22"/>
        </w:rPr>
        <w:t>Lot</w:t>
      </w:r>
    </w:p>
    <w:p w14:paraId="32DE8BF8" w14:textId="77777777" w:rsidR="00353B5E" w:rsidRPr="009C5EFD" w:rsidRDefault="00353B5E" w:rsidP="00353B5E">
      <w:pPr>
        <w:suppressAutoHyphens/>
        <w:ind w:left="54"/>
        <w:jc w:val="both"/>
        <w:rPr>
          <w:sz w:val="22"/>
          <w:szCs w:val="22"/>
        </w:rPr>
      </w:pPr>
    </w:p>
    <w:p w14:paraId="1EAC67F6" w14:textId="77777777" w:rsidR="00353B5E" w:rsidRPr="009C5EFD" w:rsidRDefault="00353B5E" w:rsidP="00353B5E">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103DE4E4" w14:textId="77777777" w:rsidTr="00353B5E">
        <w:tc>
          <w:tcPr>
            <w:tcW w:w="9281" w:type="dxa"/>
          </w:tcPr>
          <w:p w14:paraId="571D0B0D" w14:textId="77777777" w:rsidR="00353B5E" w:rsidRPr="009C5EFD" w:rsidRDefault="00E453CD" w:rsidP="00353B5E">
            <w:pPr>
              <w:ind w:left="567" w:hanging="567"/>
              <w:rPr>
                <w:b/>
                <w:sz w:val="22"/>
                <w:szCs w:val="22"/>
              </w:rPr>
            </w:pPr>
            <w:r w:rsidRPr="009C5EFD">
              <w:rPr>
                <w:b/>
                <w:sz w:val="22"/>
                <w:szCs w:val="22"/>
              </w:rPr>
              <w:t>5.</w:t>
            </w:r>
            <w:r w:rsidRPr="009C5EFD">
              <w:rPr>
                <w:b/>
                <w:sz w:val="22"/>
                <w:szCs w:val="22"/>
              </w:rPr>
              <w:tab/>
              <w:t>ANNET</w:t>
            </w:r>
          </w:p>
        </w:tc>
      </w:tr>
    </w:tbl>
    <w:p w14:paraId="3182B946" w14:textId="77777777" w:rsidR="00353B5E" w:rsidRPr="009C5EFD" w:rsidRDefault="00353B5E" w:rsidP="00353B5E">
      <w:pPr>
        <w:ind w:left="54"/>
        <w:rPr>
          <w:sz w:val="22"/>
          <w:szCs w:val="22"/>
        </w:rPr>
      </w:pPr>
    </w:p>
    <w:p w14:paraId="7F0A7FFA" w14:textId="77777777" w:rsidR="00353B5E" w:rsidRDefault="00E453CD" w:rsidP="00A31787">
      <w:pPr>
        <w:ind w:left="57"/>
        <w:rPr>
          <w:sz w:val="22"/>
          <w:szCs w:val="22"/>
        </w:rPr>
      </w:pPr>
      <w:r w:rsidRPr="009C5EFD">
        <w:rPr>
          <w:sz w:val="22"/>
          <w:szCs w:val="22"/>
        </w:rPr>
        <w:t>Se pakningsvedlegg for informasjon om oppbevaring.</w:t>
      </w:r>
    </w:p>
    <w:p w14:paraId="50DC99F2" w14:textId="77777777" w:rsidR="003D7A0C" w:rsidRPr="009C5EFD" w:rsidRDefault="003D7A0C" w:rsidP="00A31787">
      <w:pPr>
        <w:ind w:left="57"/>
        <w:rPr>
          <w:sz w:val="22"/>
          <w:szCs w:val="22"/>
        </w:rPr>
      </w:pPr>
    </w:p>
    <w:p w14:paraId="3A0ACA22" w14:textId="77777777" w:rsidR="00353B5E" w:rsidRPr="009C5EFD" w:rsidRDefault="00E453CD" w:rsidP="00A31787">
      <w:pPr>
        <w:suppressAutoHyphens/>
        <w:ind w:left="57"/>
        <w:rPr>
          <w:sz w:val="22"/>
          <w:szCs w:val="22"/>
        </w:rPr>
      </w:pPr>
      <w:r w:rsidRPr="009C5EFD">
        <w:rPr>
          <w:sz w:val="22"/>
          <w:szCs w:val="22"/>
        </w:rPr>
        <w:t>Kun til engangsbruk.</w:t>
      </w:r>
    </w:p>
    <w:p w14:paraId="4AF93F6F" w14:textId="77777777" w:rsidR="00167A95" w:rsidRPr="00622441" w:rsidRDefault="00167A95" w:rsidP="00167A95">
      <w:pPr>
        <w:rPr>
          <w:sz w:val="22"/>
          <w:szCs w:val="22"/>
        </w:rPr>
      </w:pPr>
    </w:p>
    <w:p w14:paraId="5703714B" w14:textId="77777777" w:rsidR="00167A95" w:rsidRPr="00622441" w:rsidRDefault="00167A95" w:rsidP="00167A95">
      <w:pPr>
        <w:rPr>
          <w:sz w:val="22"/>
          <w:szCs w:val="22"/>
        </w:rPr>
      </w:pPr>
    </w:p>
    <w:p w14:paraId="3A1E40A2" w14:textId="77777777" w:rsidR="00167A95" w:rsidRDefault="00167A95" w:rsidP="00167A95">
      <w:pPr>
        <w:rPr>
          <w:sz w:val="22"/>
          <w:szCs w:val="22"/>
        </w:rPr>
      </w:pPr>
    </w:p>
    <w:p w14:paraId="35A26064" w14:textId="77777777" w:rsidR="00DA7968" w:rsidRPr="00622441" w:rsidRDefault="00DA7968" w:rsidP="00167A95">
      <w:pPr>
        <w:rPr>
          <w:sz w:val="22"/>
          <w:szCs w:val="22"/>
        </w:rPr>
      </w:pPr>
    </w:p>
    <w:p w14:paraId="3158B87E" w14:textId="77777777" w:rsidR="00353B5E" w:rsidRDefault="00E453CD" w:rsidP="00353B5E">
      <w:pPr>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B66693E" w14:textId="77777777" w:rsidTr="00353B5E">
        <w:trPr>
          <w:trHeight w:val="1070"/>
        </w:trPr>
        <w:tc>
          <w:tcPr>
            <w:tcW w:w="9281" w:type="dxa"/>
            <w:tcBorders>
              <w:bottom w:val="single" w:sz="4" w:space="0" w:color="auto"/>
            </w:tcBorders>
          </w:tcPr>
          <w:p w14:paraId="33AA7D49" w14:textId="77777777" w:rsidR="00353B5E" w:rsidRPr="009C5EFD" w:rsidRDefault="00E453CD" w:rsidP="00353B5E">
            <w:pPr>
              <w:suppressAutoHyphens/>
              <w:rPr>
                <w:b/>
                <w:sz w:val="22"/>
                <w:szCs w:val="22"/>
              </w:rPr>
            </w:pPr>
            <w:r w:rsidRPr="009C5EFD">
              <w:rPr>
                <w:b/>
                <w:sz w:val="22"/>
                <w:szCs w:val="22"/>
              </w:rPr>
              <w:lastRenderedPageBreak/>
              <w:t>MINSTEKRAV TIL OPPLYSNINGER SOM SKAL ANGIS PÅ SMÅ INDRE EMBALLASJER</w:t>
            </w:r>
          </w:p>
          <w:p w14:paraId="2E95263F" w14:textId="77777777" w:rsidR="00353B5E" w:rsidRPr="009C5EFD" w:rsidRDefault="00353B5E" w:rsidP="00353B5E">
            <w:pPr>
              <w:suppressAutoHyphens/>
              <w:rPr>
                <w:b/>
                <w:sz w:val="22"/>
                <w:szCs w:val="22"/>
              </w:rPr>
            </w:pPr>
          </w:p>
          <w:p w14:paraId="2AE918BA" w14:textId="77777777" w:rsidR="00353B5E" w:rsidRPr="009C5EFD" w:rsidRDefault="00E453CD" w:rsidP="00353B5E">
            <w:pPr>
              <w:suppressAutoHyphens/>
              <w:rPr>
                <w:b/>
                <w:sz w:val="22"/>
                <w:szCs w:val="22"/>
              </w:rPr>
            </w:pPr>
            <w:r>
              <w:rPr>
                <w:b/>
                <w:sz w:val="22"/>
                <w:szCs w:val="22"/>
              </w:rPr>
              <w:t>ETIKETT PÅ PENN</w:t>
            </w:r>
          </w:p>
        </w:tc>
      </w:tr>
    </w:tbl>
    <w:p w14:paraId="32E048EA" w14:textId="77777777" w:rsidR="00353B5E" w:rsidRPr="009C5EFD" w:rsidRDefault="00353B5E" w:rsidP="00353B5E">
      <w:pPr>
        <w:suppressAutoHyphens/>
        <w:ind w:left="54"/>
        <w:jc w:val="both"/>
        <w:rPr>
          <w:sz w:val="22"/>
          <w:szCs w:val="22"/>
        </w:rPr>
      </w:pPr>
    </w:p>
    <w:p w14:paraId="615A073B" w14:textId="77777777" w:rsidR="00353B5E" w:rsidRPr="009C5EFD" w:rsidRDefault="00353B5E" w:rsidP="00353B5E">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4DBC7133" w14:textId="77777777" w:rsidTr="00353B5E">
        <w:tc>
          <w:tcPr>
            <w:tcW w:w="9281" w:type="dxa"/>
          </w:tcPr>
          <w:p w14:paraId="55D4548C" w14:textId="77777777" w:rsidR="00353B5E" w:rsidRPr="009C5EFD" w:rsidRDefault="00E453CD" w:rsidP="00353B5E">
            <w:pPr>
              <w:ind w:left="567" w:hanging="567"/>
              <w:rPr>
                <w:b/>
                <w:sz w:val="22"/>
                <w:szCs w:val="22"/>
              </w:rPr>
            </w:pPr>
            <w:r w:rsidRPr="009C5EFD">
              <w:rPr>
                <w:b/>
                <w:sz w:val="22"/>
                <w:szCs w:val="22"/>
              </w:rPr>
              <w:t>1.</w:t>
            </w:r>
            <w:r w:rsidRPr="009C5EFD">
              <w:rPr>
                <w:b/>
                <w:sz w:val="22"/>
                <w:szCs w:val="22"/>
              </w:rPr>
              <w:tab/>
              <w:t>LEGEMIDLETS NAVN OG ADMINISTRASJONSVEI</w:t>
            </w:r>
          </w:p>
        </w:tc>
      </w:tr>
    </w:tbl>
    <w:p w14:paraId="514F9269" w14:textId="77777777" w:rsidR="00353B5E" w:rsidRPr="009C5EFD" w:rsidRDefault="00353B5E" w:rsidP="00353B5E">
      <w:pPr>
        <w:suppressAutoHyphens/>
        <w:ind w:left="54"/>
        <w:jc w:val="both"/>
        <w:rPr>
          <w:sz w:val="22"/>
          <w:szCs w:val="22"/>
        </w:rPr>
      </w:pPr>
    </w:p>
    <w:p w14:paraId="74B09AA9" w14:textId="77777777" w:rsidR="00353B5E" w:rsidRPr="009C5EFD" w:rsidRDefault="00E453CD" w:rsidP="00353B5E">
      <w:pPr>
        <w:suppressAutoHyphens/>
        <w:ind w:left="54"/>
        <w:jc w:val="both"/>
        <w:rPr>
          <w:sz w:val="22"/>
          <w:szCs w:val="22"/>
        </w:rPr>
      </w:pPr>
      <w:r>
        <w:rPr>
          <w:sz w:val="22"/>
          <w:szCs w:val="22"/>
        </w:rPr>
        <w:t>Humira 8</w:t>
      </w:r>
      <w:r w:rsidRPr="009C5EFD">
        <w:rPr>
          <w:sz w:val="22"/>
          <w:szCs w:val="22"/>
        </w:rPr>
        <w:t>0</w:t>
      </w:r>
      <w:r w:rsidR="00C26404">
        <w:rPr>
          <w:sz w:val="22"/>
          <w:szCs w:val="22"/>
        </w:rPr>
        <w:t> </w:t>
      </w:r>
      <w:r w:rsidRPr="009C5EFD">
        <w:rPr>
          <w:sz w:val="22"/>
          <w:szCs w:val="22"/>
        </w:rPr>
        <w:t>mg injeksjon</w:t>
      </w:r>
      <w:r w:rsidR="00167A95">
        <w:rPr>
          <w:sz w:val="22"/>
          <w:szCs w:val="22"/>
        </w:rPr>
        <w:t>svæske</w:t>
      </w:r>
    </w:p>
    <w:p w14:paraId="362A4167" w14:textId="77777777" w:rsidR="00353B5E" w:rsidRPr="009C5EFD" w:rsidRDefault="00E453CD" w:rsidP="00353B5E">
      <w:pPr>
        <w:suppressAutoHyphens/>
        <w:ind w:left="54"/>
        <w:rPr>
          <w:sz w:val="22"/>
          <w:szCs w:val="22"/>
        </w:rPr>
      </w:pPr>
      <w:r w:rsidRPr="009C5EFD">
        <w:rPr>
          <w:sz w:val="22"/>
          <w:szCs w:val="22"/>
        </w:rPr>
        <w:t>adalimumab</w:t>
      </w:r>
    </w:p>
    <w:p w14:paraId="0E1BD793" w14:textId="77777777" w:rsidR="00353B5E" w:rsidRPr="008478AD" w:rsidRDefault="00E453CD" w:rsidP="00353B5E">
      <w:pPr>
        <w:suppressAutoHyphens/>
        <w:ind w:left="54"/>
        <w:jc w:val="both"/>
        <w:rPr>
          <w:sz w:val="22"/>
          <w:szCs w:val="22"/>
        </w:rPr>
      </w:pPr>
      <w:r>
        <w:rPr>
          <w:sz w:val="22"/>
          <w:szCs w:val="22"/>
        </w:rPr>
        <w:t>s.c.</w:t>
      </w:r>
    </w:p>
    <w:p w14:paraId="5D29DCFF" w14:textId="77777777" w:rsidR="00353B5E" w:rsidRPr="009C5EFD" w:rsidRDefault="00353B5E" w:rsidP="00353B5E">
      <w:pPr>
        <w:suppressAutoHyphens/>
        <w:ind w:left="54"/>
        <w:jc w:val="both"/>
        <w:rPr>
          <w:sz w:val="22"/>
          <w:szCs w:val="22"/>
        </w:rPr>
      </w:pPr>
    </w:p>
    <w:p w14:paraId="2A0FFE20" w14:textId="77777777" w:rsidR="00353B5E" w:rsidRPr="009C5EFD" w:rsidRDefault="00353B5E" w:rsidP="00353B5E">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4DAF441" w14:textId="77777777" w:rsidTr="00353B5E">
        <w:tc>
          <w:tcPr>
            <w:tcW w:w="9281" w:type="dxa"/>
          </w:tcPr>
          <w:p w14:paraId="4294E326" w14:textId="77777777" w:rsidR="00353B5E" w:rsidRPr="009C5EFD" w:rsidRDefault="00E453CD" w:rsidP="00353B5E">
            <w:pPr>
              <w:ind w:left="567" w:hanging="567"/>
              <w:rPr>
                <w:b/>
                <w:sz w:val="22"/>
                <w:szCs w:val="22"/>
              </w:rPr>
            </w:pPr>
            <w:r w:rsidRPr="009C5EFD">
              <w:rPr>
                <w:b/>
                <w:sz w:val="22"/>
                <w:szCs w:val="22"/>
              </w:rPr>
              <w:t>2.</w:t>
            </w:r>
            <w:r w:rsidRPr="009C5EFD">
              <w:rPr>
                <w:b/>
                <w:sz w:val="22"/>
                <w:szCs w:val="22"/>
              </w:rPr>
              <w:tab/>
              <w:t>ADMINISTRASJONSMÅTE</w:t>
            </w:r>
          </w:p>
        </w:tc>
      </w:tr>
    </w:tbl>
    <w:p w14:paraId="3ED95E72" w14:textId="77777777" w:rsidR="00353B5E" w:rsidRPr="00A31787" w:rsidRDefault="00353B5E" w:rsidP="00A31787">
      <w:pPr>
        <w:suppressAutoHyphens/>
        <w:ind w:left="57"/>
        <w:jc w:val="both"/>
        <w:rPr>
          <w:sz w:val="22"/>
          <w:szCs w:val="22"/>
        </w:rPr>
      </w:pPr>
    </w:p>
    <w:p w14:paraId="3409066B" w14:textId="77777777" w:rsidR="00353B5E" w:rsidRPr="009C5EFD" w:rsidRDefault="00353B5E" w:rsidP="00353B5E">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BB0538F" w14:textId="77777777" w:rsidTr="00353B5E">
        <w:tc>
          <w:tcPr>
            <w:tcW w:w="9281" w:type="dxa"/>
          </w:tcPr>
          <w:p w14:paraId="594809E4" w14:textId="77777777" w:rsidR="00353B5E" w:rsidRPr="009C5EFD" w:rsidRDefault="00E453CD" w:rsidP="00353B5E">
            <w:pPr>
              <w:ind w:left="567" w:hanging="567"/>
              <w:rPr>
                <w:b/>
                <w:sz w:val="22"/>
                <w:szCs w:val="22"/>
              </w:rPr>
            </w:pPr>
            <w:r w:rsidRPr="009C5EFD">
              <w:rPr>
                <w:b/>
                <w:sz w:val="22"/>
                <w:szCs w:val="22"/>
              </w:rPr>
              <w:t>3.</w:t>
            </w:r>
            <w:r w:rsidRPr="009C5EFD">
              <w:rPr>
                <w:b/>
                <w:sz w:val="22"/>
                <w:szCs w:val="22"/>
              </w:rPr>
              <w:tab/>
              <w:t>UTLØPSDATO</w:t>
            </w:r>
          </w:p>
        </w:tc>
      </w:tr>
    </w:tbl>
    <w:p w14:paraId="768265B8" w14:textId="77777777" w:rsidR="00353B5E" w:rsidRPr="009C5EFD" w:rsidRDefault="00353B5E" w:rsidP="00353B5E">
      <w:pPr>
        <w:suppressAutoHyphens/>
        <w:ind w:left="621" w:hanging="567"/>
        <w:rPr>
          <w:sz w:val="22"/>
          <w:szCs w:val="22"/>
        </w:rPr>
      </w:pPr>
    </w:p>
    <w:p w14:paraId="03853CB5" w14:textId="77777777" w:rsidR="00353B5E" w:rsidRPr="009C5EFD" w:rsidRDefault="00E453CD" w:rsidP="00353B5E">
      <w:pPr>
        <w:suppressAutoHyphens/>
        <w:ind w:left="621" w:hanging="567"/>
        <w:rPr>
          <w:sz w:val="22"/>
          <w:szCs w:val="22"/>
        </w:rPr>
      </w:pPr>
      <w:r>
        <w:rPr>
          <w:sz w:val="22"/>
          <w:szCs w:val="22"/>
        </w:rPr>
        <w:t>EXP</w:t>
      </w:r>
      <w:r w:rsidRPr="009C5EFD">
        <w:rPr>
          <w:sz w:val="22"/>
          <w:szCs w:val="22"/>
        </w:rPr>
        <w:t xml:space="preserve"> </w:t>
      </w:r>
    </w:p>
    <w:p w14:paraId="29769EC8" w14:textId="77777777" w:rsidR="00353B5E" w:rsidRPr="009C5EFD" w:rsidRDefault="00353B5E" w:rsidP="00353B5E">
      <w:pPr>
        <w:suppressAutoHyphens/>
        <w:ind w:left="621" w:hanging="567"/>
        <w:rPr>
          <w:sz w:val="22"/>
          <w:szCs w:val="22"/>
        </w:rPr>
      </w:pPr>
    </w:p>
    <w:p w14:paraId="46B62CE2" w14:textId="77777777" w:rsidR="00353B5E" w:rsidRPr="009C5EFD" w:rsidRDefault="00353B5E" w:rsidP="00353B5E">
      <w:pPr>
        <w:suppressAutoHyphens/>
        <w:ind w:left="621"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FBB8E89" w14:textId="77777777" w:rsidTr="00353B5E">
        <w:tc>
          <w:tcPr>
            <w:tcW w:w="9281" w:type="dxa"/>
          </w:tcPr>
          <w:p w14:paraId="55E4A5DA" w14:textId="77777777" w:rsidR="00353B5E" w:rsidRPr="009C5EFD" w:rsidRDefault="00E453CD" w:rsidP="00353B5E">
            <w:pPr>
              <w:ind w:left="567" w:hanging="567"/>
              <w:rPr>
                <w:b/>
                <w:sz w:val="22"/>
                <w:szCs w:val="22"/>
              </w:rPr>
            </w:pPr>
            <w:r w:rsidRPr="009C5EFD">
              <w:rPr>
                <w:b/>
                <w:sz w:val="22"/>
                <w:szCs w:val="22"/>
              </w:rPr>
              <w:t>4.</w:t>
            </w:r>
            <w:r w:rsidRPr="009C5EFD">
              <w:rPr>
                <w:b/>
                <w:sz w:val="22"/>
                <w:szCs w:val="22"/>
              </w:rPr>
              <w:tab/>
              <w:t>PRODUKSJONSNUMMER</w:t>
            </w:r>
          </w:p>
        </w:tc>
      </w:tr>
    </w:tbl>
    <w:p w14:paraId="1957FEA8" w14:textId="77777777" w:rsidR="00353B5E" w:rsidRPr="009C5EFD" w:rsidRDefault="00353B5E" w:rsidP="00353B5E">
      <w:pPr>
        <w:suppressAutoHyphens/>
        <w:ind w:left="54"/>
        <w:jc w:val="both"/>
        <w:rPr>
          <w:sz w:val="22"/>
          <w:szCs w:val="22"/>
        </w:rPr>
      </w:pPr>
    </w:p>
    <w:p w14:paraId="5FD1212F" w14:textId="77777777" w:rsidR="00353B5E" w:rsidRPr="009C5EFD" w:rsidRDefault="00E453CD" w:rsidP="00353B5E">
      <w:pPr>
        <w:suppressAutoHyphens/>
        <w:ind w:left="54"/>
        <w:jc w:val="both"/>
        <w:rPr>
          <w:sz w:val="22"/>
          <w:szCs w:val="22"/>
        </w:rPr>
      </w:pPr>
      <w:r w:rsidRPr="009C5EFD">
        <w:rPr>
          <w:sz w:val="22"/>
          <w:szCs w:val="22"/>
        </w:rPr>
        <w:t>Lot</w:t>
      </w:r>
    </w:p>
    <w:p w14:paraId="74F30414" w14:textId="77777777" w:rsidR="00353B5E" w:rsidRPr="009C5EFD" w:rsidRDefault="00353B5E" w:rsidP="00353B5E">
      <w:pPr>
        <w:suppressAutoHyphens/>
        <w:ind w:left="54"/>
        <w:jc w:val="both"/>
        <w:rPr>
          <w:sz w:val="22"/>
          <w:szCs w:val="22"/>
        </w:rPr>
      </w:pPr>
    </w:p>
    <w:p w14:paraId="29F064B5" w14:textId="77777777" w:rsidR="00353B5E" w:rsidRPr="009C5EFD" w:rsidRDefault="00353B5E" w:rsidP="00353B5E">
      <w:pPr>
        <w:suppressAutoHyphens/>
        <w:ind w:left="5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6B3D115F" w14:textId="77777777" w:rsidTr="00353B5E">
        <w:tc>
          <w:tcPr>
            <w:tcW w:w="9281" w:type="dxa"/>
          </w:tcPr>
          <w:p w14:paraId="06544DE6" w14:textId="77777777" w:rsidR="00353B5E" w:rsidRPr="009C5EFD" w:rsidRDefault="00E453CD" w:rsidP="00353B5E">
            <w:pPr>
              <w:ind w:left="567" w:hanging="567"/>
              <w:rPr>
                <w:b/>
                <w:sz w:val="22"/>
                <w:szCs w:val="22"/>
              </w:rPr>
            </w:pPr>
            <w:r w:rsidRPr="009C5EFD">
              <w:rPr>
                <w:b/>
                <w:sz w:val="22"/>
                <w:szCs w:val="22"/>
              </w:rPr>
              <w:t>5.</w:t>
            </w:r>
            <w:r w:rsidRPr="009C5EFD">
              <w:rPr>
                <w:b/>
                <w:sz w:val="22"/>
                <w:szCs w:val="22"/>
              </w:rPr>
              <w:tab/>
            </w:r>
            <w:r w:rsidR="00C26404">
              <w:rPr>
                <w:b/>
                <w:sz w:val="22"/>
                <w:szCs w:val="22"/>
              </w:rPr>
              <w:t>INN</w:t>
            </w:r>
            <w:r w:rsidRPr="009C5EFD">
              <w:rPr>
                <w:b/>
                <w:sz w:val="22"/>
                <w:szCs w:val="22"/>
              </w:rPr>
              <w:t>HOLD ANGITT ETTER VEKT, VOLUM ELLER ANTALL DOSER</w:t>
            </w:r>
          </w:p>
        </w:tc>
      </w:tr>
    </w:tbl>
    <w:p w14:paraId="20D058C8" w14:textId="77777777" w:rsidR="00353B5E" w:rsidRPr="009C5EFD" w:rsidRDefault="00353B5E" w:rsidP="00353B5E">
      <w:pPr>
        <w:suppressAutoHyphens/>
        <w:ind w:left="54"/>
        <w:jc w:val="both"/>
        <w:rPr>
          <w:sz w:val="22"/>
          <w:szCs w:val="22"/>
        </w:rPr>
      </w:pPr>
    </w:p>
    <w:p w14:paraId="73EAC074" w14:textId="77777777" w:rsidR="00353B5E" w:rsidRPr="009C5EFD" w:rsidRDefault="00E453CD" w:rsidP="00353B5E">
      <w:pPr>
        <w:suppressAutoHyphens/>
        <w:ind w:left="54"/>
        <w:jc w:val="both"/>
        <w:rPr>
          <w:sz w:val="22"/>
          <w:szCs w:val="22"/>
        </w:rPr>
      </w:pPr>
      <w:r>
        <w:rPr>
          <w:sz w:val="22"/>
          <w:szCs w:val="22"/>
        </w:rPr>
        <w:t>80</w:t>
      </w:r>
      <w:r w:rsidR="00C26404">
        <w:rPr>
          <w:sz w:val="22"/>
          <w:szCs w:val="22"/>
        </w:rPr>
        <w:t> </w:t>
      </w:r>
      <w:r>
        <w:rPr>
          <w:sz w:val="22"/>
          <w:szCs w:val="22"/>
        </w:rPr>
        <w:t>mg</w:t>
      </w:r>
      <w:r w:rsidR="003D7A0C" w:rsidRPr="00AB7697">
        <w:rPr>
          <w:sz w:val="22"/>
          <w:szCs w:val="22"/>
          <w:highlight w:val="lightGray"/>
        </w:rPr>
        <w:t>/0,8 ml</w:t>
      </w:r>
    </w:p>
    <w:p w14:paraId="0FE60D24" w14:textId="77777777" w:rsidR="00353B5E" w:rsidRPr="00A31787" w:rsidRDefault="00353B5E" w:rsidP="00A31787">
      <w:pPr>
        <w:ind w:left="57"/>
        <w:rPr>
          <w:sz w:val="22"/>
          <w:szCs w:val="22"/>
        </w:rPr>
      </w:pPr>
    </w:p>
    <w:p w14:paraId="0792E03E" w14:textId="77777777" w:rsidR="00353B5E" w:rsidRPr="00A31787" w:rsidRDefault="00353B5E" w:rsidP="00A31787">
      <w:pPr>
        <w:ind w:left="5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5"/>
      </w:tblGrid>
      <w:tr w:rsidR="004644D4" w14:paraId="39ABFDF0" w14:textId="77777777" w:rsidTr="00353B5E">
        <w:tc>
          <w:tcPr>
            <w:tcW w:w="9281" w:type="dxa"/>
          </w:tcPr>
          <w:p w14:paraId="28B16CE9" w14:textId="77777777" w:rsidR="00353B5E" w:rsidRPr="009C5EFD" w:rsidRDefault="00E453CD" w:rsidP="00353B5E">
            <w:pPr>
              <w:ind w:left="567" w:hanging="567"/>
              <w:rPr>
                <w:b/>
                <w:sz w:val="22"/>
                <w:szCs w:val="22"/>
              </w:rPr>
            </w:pPr>
            <w:r w:rsidRPr="009C5EFD">
              <w:rPr>
                <w:b/>
                <w:sz w:val="22"/>
                <w:szCs w:val="22"/>
              </w:rPr>
              <w:t>6.</w:t>
            </w:r>
            <w:r w:rsidRPr="009C5EFD">
              <w:rPr>
                <w:b/>
                <w:sz w:val="22"/>
                <w:szCs w:val="22"/>
              </w:rPr>
              <w:tab/>
              <w:t>ANNET</w:t>
            </w:r>
          </w:p>
        </w:tc>
      </w:tr>
    </w:tbl>
    <w:p w14:paraId="1639AB1E" w14:textId="77777777" w:rsidR="00353B5E" w:rsidRDefault="00353B5E" w:rsidP="00A31787">
      <w:pPr>
        <w:ind w:left="57"/>
        <w:rPr>
          <w:sz w:val="22"/>
          <w:szCs w:val="22"/>
        </w:rPr>
      </w:pPr>
    </w:p>
    <w:p w14:paraId="3D6669F3" w14:textId="77777777" w:rsidR="00353B5E" w:rsidRDefault="00353B5E" w:rsidP="00A31787">
      <w:pPr>
        <w:ind w:left="57"/>
        <w:rPr>
          <w:sz w:val="22"/>
          <w:szCs w:val="22"/>
        </w:rPr>
      </w:pPr>
    </w:p>
    <w:p w14:paraId="1CFB7721" w14:textId="77777777" w:rsidR="00353B5E" w:rsidRPr="009C5EFD" w:rsidRDefault="00E453CD" w:rsidP="00353B5E">
      <w:pPr>
        <w:suppressAutoHyphens/>
        <w:ind w:left="54"/>
        <w:jc w:val="both"/>
        <w:rPr>
          <w:sz w:val="22"/>
          <w:szCs w:val="22"/>
        </w:rPr>
      </w:pPr>
      <w:r w:rsidRPr="009C5EFD">
        <w:rPr>
          <w:b/>
          <w:sz w:val="22"/>
          <w:szCs w:val="22"/>
        </w:rPr>
        <w:br w:type="page"/>
      </w:r>
    </w:p>
    <w:p w14:paraId="7615FD62" w14:textId="77777777" w:rsidR="00EC0A94" w:rsidRDefault="00EC0A94">
      <w:pPr>
        <w:rPr>
          <w:sz w:val="22"/>
          <w:szCs w:val="22"/>
        </w:rPr>
      </w:pPr>
    </w:p>
    <w:p w14:paraId="44A694FC" w14:textId="77777777" w:rsidR="00DE3458" w:rsidRPr="009C5EFD" w:rsidRDefault="00E453CD" w:rsidP="007F67EE">
      <w:pPr>
        <w:pBdr>
          <w:top w:val="single" w:sz="4" w:space="1" w:color="auto"/>
          <w:left w:val="single" w:sz="4" w:space="4" w:color="auto"/>
          <w:bottom w:val="single" w:sz="4" w:space="1" w:color="auto"/>
          <w:right w:val="single" w:sz="4" w:space="4" w:color="auto"/>
        </w:pBdr>
        <w:ind w:left="540" w:hanging="540"/>
        <w:rPr>
          <w:b/>
        </w:rPr>
      </w:pPr>
      <w:r w:rsidRPr="009C5EFD">
        <w:rPr>
          <w:b/>
        </w:rPr>
        <w:t>PÅMINNELSES KLISTERMERKE TEKST (inkludert i pakningen)</w:t>
      </w:r>
    </w:p>
    <w:p w14:paraId="45AE4F1A" w14:textId="77777777" w:rsidR="00E03A87" w:rsidRPr="009C5EFD" w:rsidRDefault="00E03A87" w:rsidP="007F67EE">
      <w:pPr>
        <w:pBdr>
          <w:top w:val="single" w:sz="4" w:space="1" w:color="auto"/>
          <w:left w:val="single" w:sz="4" w:space="4" w:color="auto"/>
          <w:bottom w:val="single" w:sz="4" w:space="1" w:color="auto"/>
          <w:right w:val="single" w:sz="4" w:space="4" w:color="auto"/>
        </w:pBdr>
        <w:ind w:left="540" w:hanging="540"/>
        <w:rPr>
          <w:b/>
        </w:rPr>
      </w:pPr>
    </w:p>
    <w:p w14:paraId="4B1D8431" w14:textId="77777777" w:rsidR="00DE3458" w:rsidRPr="009C5EFD" w:rsidRDefault="00DE3458" w:rsidP="00193D76">
      <w:pPr>
        <w:ind w:right="-449"/>
        <w:rPr>
          <w:sz w:val="22"/>
          <w:szCs w:val="22"/>
        </w:rPr>
      </w:pPr>
    </w:p>
    <w:p w14:paraId="46652D48" w14:textId="77777777" w:rsidR="00DE3458" w:rsidRPr="009C5EFD" w:rsidRDefault="00E453CD" w:rsidP="002D0790">
      <w:pPr>
        <w:ind w:right="-449"/>
        <w:rPr>
          <w:sz w:val="22"/>
          <w:szCs w:val="22"/>
        </w:rPr>
      </w:pPr>
      <w:r w:rsidRPr="009C5EFD">
        <w:rPr>
          <w:sz w:val="22"/>
          <w:szCs w:val="22"/>
        </w:rPr>
        <w:t>Humira</w:t>
      </w:r>
    </w:p>
    <w:p w14:paraId="3287090F" w14:textId="77777777" w:rsidR="00DE3458" w:rsidRPr="009C5EFD" w:rsidRDefault="00DE3458" w:rsidP="00C07C98">
      <w:pPr>
        <w:ind w:right="-449"/>
        <w:rPr>
          <w:sz w:val="22"/>
          <w:szCs w:val="22"/>
        </w:rPr>
      </w:pPr>
    </w:p>
    <w:p w14:paraId="01735F7E" w14:textId="77777777" w:rsidR="00DE3458" w:rsidRPr="009C5EFD" w:rsidRDefault="00E453CD" w:rsidP="00E14E58">
      <w:pPr>
        <w:rPr>
          <w:sz w:val="22"/>
          <w:szCs w:val="22"/>
        </w:rPr>
      </w:pPr>
      <w:r w:rsidRPr="009C5EFD">
        <w:rPr>
          <w:sz w:val="22"/>
          <w:szCs w:val="22"/>
        </w:rPr>
        <w:t>Merk din kalender med vedlagte klistremerker for å minne deg om datoen for din neste dose.</w:t>
      </w:r>
    </w:p>
    <w:p w14:paraId="42230C7C" w14:textId="77777777" w:rsidR="00DE3458" w:rsidRPr="009C5EFD" w:rsidRDefault="00E453CD" w:rsidP="009C5EFD">
      <w:pPr>
        <w:suppressAutoHyphens/>
        <w:ind w:left="54"/>
        <w:jc w:val="both"/>
        <w:rPr>
          <w:sz w:val="22"/>
          <w:szCs w:val="22"/>
        </w:rPr>
      </w:pPr>
      <w:r w:rsidRPr="009C5EFD">
        <w:rPr>
          <w:b/>
          <w:sz w:val="22"/>
          <w:szCs w:val="22"/>
        </w:rPr>
        <w:br w:type="page"/>
      </w:r>
    </w:p>
    <w:p w14:paraId="55A2D53A" w14:textId="77777777" w:rsidR="00DE3458" w:rsidRPr="009C5EFD" w:rsidRDefault="00DE3458" w:rsidP="009C5EFD">
      <w:pPr>
        <w:suppressAutoHyphens/>
        <w:ind w:left="54"/>
        <w:rPr>
          <w:sz w:val="22"/>
          <w:szCs w:val="22"/>
        </w:rPr>
      </w:pPr>
    </w:p>
    <w:p w14:paraId="62DAF1C0" w14:textId="77777777" w:rsidR="00DE3458" w:rsidRPr="009C5EFD" w:rsidRDefault="00DE3458" w:rsidP="009C5EFD">
      <w:pPr>
        <w:suppressAutoHyphens/>
        <w:ind w:left="54"/>
        <w:rPr>
          <w:sz w:val="22"/>
          <w:szCs w:val="22"/>
        </w:rPr>
      </w:pPr>
    </w:p>
    <w:p w14:paraId="0479513C" w14:textId="77777777" w:rsidR="00DE3458" w:rsidRPr="009C5EFD" w:rsidRDefault="00DE3458" w:rsidP="009C5EFD">
      <w:pPr>
        <w:suppressAutoHyphens/>
        <w:ind w:left="54"/>
        <w:rPr>
          <w:sz w:val="22"/>
          <w:szCs w:val="22"/>
        </w:rPr>
      </w:pPr>
    </w:p>
    <w:p w14:paraId="3D2E0F4A" w14:textId="77777777" w:rsidR="00DE3458" w:rsidRPr="009C5EFD" w:rsidRDefault="00DE3458" w:rsidP="009C5EFD">
      <w:pPr>
        <w:suppressAutoHyphens/>
        <w:ind w:left="54"/>
        <w:rPr>
          <w:sz w:val="22"/>
          <w:szCs w:val="22"/>
        </w:rPr>
      </w:pPr>
    </w:p>
    <w:p w14:paraId="2B0D4EF8" w14:textId="77777777" w:rsidR="00DE3458" w:rsidRPr="009C5EFD" w:rsidRDefault="00DE3458" w:rsidP="009C5EFD">
      <w:pPr>
        <w:suppressAutoHyphens/>
        <w:ind w:left="54"/>
        <w:rPr>
          <w:sz w:val="22"/>
          <w:szCs w:val="22"/>
        </w:rPr>
      </w:pPr>
    </w:p>
    <w:p w14:paraId="389B45B4" w14:textId="77777777" w:rsidR="00DE3458" w:rsidRPr="009C5EFD" w:rsidRDefault="00DE3458" w:rsidP="009C5EFD">
      <w:pPr>
        <w:suppressAutoHyphens/>
        <w:ind w:left="54"/>
        <w:rPr>
          <w:sz w:val="22"/>
          <w:szCs w:val="22"/>
        </w:rPr>
      </w:pPr>
    </w:p>
    <w:p w14:paraId="37CDDA6A" w14:textId="77777777" w:rsidR="00DE3458" w:rsidRPr="009C5EFD" w:rsidRDefault="00DE3458" w:rsidP="009C5EFD">
      <w:pPr>
        <w:suppressAutoHyphens/>
        <w:ind w:left="54"/>
        <w:rPr>
          <w:sz w:val="22"/>
          <w:szCs w:val="22"/>
        </w:rPr>
      </w:pPr>
    </w:p>
    <w:p w14:paraId="6F40EE0B" w14:textId="77777777" w:rsidR="00DE3458" w:rsidRPr="009C5EFD" w:rsidRDefault="00DE3458" w:rsidP="009C5EFD">
      <w:pPr>
        <w:suppressAutoHyphens/>
        <w:ind w:left="54"/>
        <w:rPr>
          <w:sz w:val="22"/>
          <w:szCs w:val="22"/>
        </w:rPr>
      </w:pPr>
    </w:p>
    <w:p w14:paraId="28F91E86" w14:textId="77777777" w:rsidR="00DE3458" w:rsidRPr="009C5EFD" w:rsidRDefault="00DE3458" w:rsidP="009C5EFD">
      <w:pPr>
        <w:suppressAutoHyphens/>
        <w:ind w:left="54"/>
        <w:rPr>
          <w:sz w:val="22"/>
          <w:szCs w:val="22"/>
        </w:rPr>
      </w:pPr>
    </w:p>
    <w:p w14:paraId="7814BE56" w14:textId="77777777" w:rsidR="00DE3458" w:rsidRPr="009C5EFD" w:rsidRDefault="00DE3458" w:rsidP="009C5EFD">
      <w:pPr>
        <w:suppressAutoHyphens/>
        <w:ind w:left="54"/>
        <w:rPr>
          <w:sz w:val="22"/>
          <w:szCs w:val="22"/>
        </w:rPr>
      </w:pPr>
    </w:p>
    <w:p w14:paraId="4ED6EA45" w14:textId="77777777" w:rsidR="00DE3458" w:rsidRPr="009C5EFD" w:rsidRDefault="00DE3458" w:rsidP="009C5EFD">
      <w:pPr>
        <w:suppressAutoHyphens/>
        <w:ind w:left="54"/>
        <w:rPr>
          <w:sz w:val="22"/>
          <w:szCs w:val="22"/>
        </w:rPr>
      </w:pPr>
    </w:p>
    <w:p w14:paraId="25E62AD1" w14:textId="77777777" w:rsidR="00DE3458" w:rsidRPr="009C5EFD" w:rsidRDefault="00DE3458" w:rsidP="009C5EFD">
      <w:pPr>
        <w:suppressAutoHyphens/>
        <w:ind w:left="54"/>
        <w:rPr>
          <w:sz w:val="22"/>
          <w:szCs w:val="22"/>
        </w:rPr>
      </w:pPr>
    </w:p>
    <w:p w14:paraId="0A054DED" w14:textId="77777777" w:rsidR="00DE3458" w:rsidRPr="009C5EFD" w:rsidRDefault="00DE3458" w:rsidP="009C5EFD">
      <w:pPr>
        <w:ind w:left="54"/>
        <w:rPr>
          <w:sz w:val="22"/>
          <w:szCs w:val="22"/>
        </w:rPr>
      </w:pPr>
    </w:p>
    <w:p w14:paraId="088B20D8" w14:textId="77777777" w:rsidR="00DE3458" w:rsidRPr="009C5EFD" w:rsidRDefault="00DE3458" w:rsidP="009C5EFD">
      <w:pPr>
        <w:suppressAutoHyphens/>
        <w:ind w:left="54"/>
        <w:rPr>
          <w:sz w:val="22"/>
          <w:szCs w:val="22"/>
        </w:rPr>
      </w:pPr>
    </w:p>
    <w:p w14:paraId="5C77A43B" w14:textId="77777777" w:rsidR="00DE3458" w:rsidRDefault="00DE3458" w:rsidP="009C5EFD">
      <w:pPr>
        <w:suppressAutoHyphens/>
        <w:ind w:left="54"/>
        <w:rPr>
          <w:sz w:val="22"/>
          <w:szCs w:val="22"/>
        </w:rPr>
      </w:pPr>
    </w:p>
    <w:p w14:paraId="74E45A40" w14:textId="77777777" w:rsidR="0083562D" w:rsidRPr="009C5EFD" w:rsidRDefault="0083562D" w:rsidP="009C5EFD">
      <w:pPr>
        <w:suppressAutoHyphens/>
        <w:ind w:left="54"/>
        <w:rPr>
          <w:sz w:val="22"/>
          <w:szCs w:val="22"/>
        </w:rPr>
      </w:pPr>
    </w:p>
    <w:p w14:paraId="77673BE3" w14:textId="77777777" w:rsidR="00DE3458" w:rsidRPr="009C5EFD" w:rsidRDefault="00DE3458" w:rsidP="009C5EFD">
      <w:pPr>
        <w:suppressAutoHyphens/>
        <w:ind w:left="54"/>
        <w:rPr>
          <w:sz w:val="22"/>
          <w:szCs w:val="22"/>
        </w:rPr>
      </w:pPr>
    </w:p>
    <w:p w14:paraId="4E71705F" w14:textId="77777777" w:rsidR="00DE3458" w:rsidRPr="009C5EFD" w:rsidRDefault="00DE3458" w:rsidP="009C5EFD">
      <w:pPr>
        <w:suppressAutoHyphens/>
        <w:ind w:left="54"/>
        <w:rPr>
          <w:sz w:val="22"/>
          <w:szCs w:val="22"/>
        </w:rPr>
      </w:pPr>
    </w:p>
    <w:p w14:paraId="70F0BE8E" w14:textId="77777777" w:rsidR="00DE3458" w:rsidRPr="009C5EFD" w:rsidRDefault="00DE3458" w:rsidP="009C5EFD">
      <w:pPr>
        <w:suppressAutoHyphens/>
        <w:ind w:left="54"/>
        <w:rPr>
          <w:sz w:val="22"/>
          <w:szCs w:val="22"/>
        </w:rPr>
      </w:pPr>
    </w:p>
    <w:p w14:paraId="5ECB49D1" w14:textId="77777777" w:rsidR="00DE3458" w:rsidRPr="009C5EFD" w:rsidRDefault="00DE3458" w:rsidP="009C5EFD">
      <w:pPr>
        <w:suppressAutoHyphens/>
        <w:ind w:left="54"/>
        <w:rPr>
          <w:sz w:val="22"/>
          <w:szCs w:val="22"/>
        </w:rPr>
      </w:pPr>
    </w:p>
    <w:p w14:paraId="37DBB70F" w14:textId="77777777" w:rsidR="00DE3458" w:rsidRPr="009C5EFD" w:rsidRDefault="00DE3458" w:rsidP="009C5EFD">
      <w:pPr>
        <w:suppressAutoHyphens/>
        <w:ind w:left="54"/>
        <w:rPr>
          <w:sz w:val="22"/>
          <w:szCs w:val="22"/>
        </w:rPr>
      </w:pPr>
    </w:p>
    <w:p w14:paraId="030A9604" w14:textId="77777777" w:rsidR="00DE3458" w:rsidRPr="009C5EFD" w:rsidRDefault="00DE3458" w:rsidP="009C5EFD">
      <w:pPr>
        <w:suppressAutoHyphens/>
        <w:ind w:left="54"/>
        <w:rPr>
          <w:sz w:val="22"/>
          <w:szCs w:val="22"/>
        </w:rPr>
      </w:pPr>
    </w:p>
    <w:p w14:paraId="4829C994" w14:textId="77777777" w:rsidR="00DE3458" w:rsidRPr="009C5EFD" w:rsidRDefault="00DE3458" w:rsidP="009C5EFD">
      <w:pPr>
        <w:suppressAutoHyphens/>
        <w:ind w:left="54"/>
        <w:rPr>
          <w:sz w:val="22"/>
          <w:szCs w:val="22"/>
        </w:rPr>
      </w:pPr>
    </w:p>
    <w:p w14:paraId="06272078" w14:textId="77777777" w:rsidR="00DE3458" w:rsidRPr="003461C8" w:rsidRDefault="00E453CD" w:rsidP="009C5EFD">
      <w:pPr>
        <w:pStyle w:val="BMCENTRED"/>
        <w:rPr>
          <w:b w:val="0"/>
          <w:szCs w:val="22"/>
        </w:rPr>
      </w:pPr>
      <w:r w:rsidRPr="009C5EFD">
        <w:rPr>
          <w:szCs w:val="22"/>
        </w:rPr>
        <w:t xml:space="preserve">B. </w:t>
      </w:r>
      <w:bookmarkStart w:id="13046" w:name="Pakningsvedlegg"/>
      <w:r w:rsidRPr="009C5EFD">
        <w:rPr>
          <w:szCs w:val="22"/>
        </w:rPr>
        <w:t>PAKNINGSVEDLEGG</w:t>
      </w:r>
      <w:bookmarkEnd w:id="13046"/>
    </w:p>
    <w:p w14:paraId="26153CB7" w14:textId="77777777" w:rsidR="00DE3458" w:rsidRPr="003461C8" w:rsidRDefault="00DE3458" w:rsidP="009C5EFD">
      <w:pPr>
        <w:suppressAutoHyphens/>
        <w:ind w:left="54"/>
        <w:jc w:val="center"/>
        <w:rPr>
          <w:sz w:val="22"/>
          <w:szCs w:val="22"/>
        </w:rPr>
      </w:pPr>
    </w:p>
    <w:p w14:paraId="17C6F6E6" w14:textId="77777777" w:rsidR="00E90360" w:rsidRPr="00663766" w:rsidRDefault="00E453CD" w:rsidP="00E90360">
      <w:pPr>
        <w:ind w:left="54"/>
        <w:jc w:val="center"/>
        <w:rPr>
          <w:sz w:val="22"/>
          <w:szCs w:val="22"/>
        </w:rPr>
      </w:pPr>
      <w:r w:rsidRPr="009C5EFD">
        <w:rPr>
          <w:b/>
          <w:sz w:val="22"/>
          <w:szCs w:val="22"/>
        </w:rPr>
        <w:br w:type="page"/>
      </w:r>
      <w:r w:rsidRPr="00E90360">
        <w:rPr>
          <w:b/>
          <w:sz w:val="22"/>
          <w:szCs w:val="22"/>
        </w:rPr>
        <w:lastRenderedPageBreak/>
        <w:t>Pakningsvedlegg: Informasjon til pasienten</w:t>
      </w:r>
    </w:p>
    <w:p w14:paraId="46FA94CB" w14:textId="77777777" w:rsidR="00E90360" w:rsidRPr="00663766" w:rsidRDefault="00E90360" w:rsidP="00E90360">
      <w:pPr>
        <w:jc w:val="center"/>
        <w:rPr>
          <w:sz w:val="22"/>
          <w:szCs w:val="22"/>
        </w:rPr>
      </w:pPr>
    </w:p>
    <w:p w14:paraId="162B1547" w14:textId="77777777" w:rsidR="00E90360" w:rsidRPr="00E90360" w:rsidRDefault="00E453CD" w:rsidP="00E90360">
      <w:pPr>
        <w:jc w:val="center"/>
        <w:rPr>
          <w:sz w:val="22"/>
          <w:szCs w:val="22"/>
        </w:rPr>
      </w:pPr>
      <w:r w:rsidRPr="00E90360">
        <w:rPr>
          <w:b/>
          <w:sz w:val="22"/>
          <w:szCs w:val="22"/>
        </w:rPr>
        <w:t>Humira 20 mg injeksjonsvæske, oppløsning i ferdigfylt sprøyte</w:t>
      </w:r>
    </w:p>
    <w:p w14:paraId="0DDBFCFE" w14:textId="77777777" w:rsidR="00E90360" w:rsidRPr="00E90360" w:rsidRDefault="00E453CD" w:rsidP="00E90360">
      <w:pPr>
        <w:ind w:left="54"/>
        <w:jc w:val="center"/>
        <w:rPr>
          <w:sz w:val="22"/>
          <w:szCs w:val="22"/>
        </w:rPr>
      </w:pPr>
      <w:r w:rsidRPr="00E90360">
        <w:rPr>
          <w:sz w:val="22"/>
          <w:szCs w:val="22"/>
        </w:rPr>
        <w:t>adalimumab</w:t>
      </w:r>
    </w:p>
    <w:p w14:paraId="4B855897" w14:textId="77777777" w:rsidR="00E90360" w:rsidRPr="00E90360" w:rsidRDefault="00E90360" w:rsidP="00E90360">
      <w:pPr>
        <w:ind w:left="54"/>
        <w:jc w:val="center"/>
        <w:rPr>
          <w:sz w:val="22"/>
          <w:szCs w:val="22"/>
        </w:rPr>
      </w:pPr>
    </w:p>
    <w:p w14:paraId="55A47B29" w14:textId="77777777" w:rsidR="00E90360" w:rsidRPr="00E90360" w:rsidRDefault="00E453CD" w:rsidP="00602A37">
      <w:pPr>
        <w:rPr>
          <w:sz w:val="22"/>
          <w:szCs w:val="22"/>
        </w:rPr>
      </w:pPr>
      <w:r w:rsidRPr="00E90360">
        <w:rPr>
          <w:b/>
          <w:sz w:val="22"/>
          <w:szCs w:val="22"/>
        </w:rPr>
        <w:t>Les nøye gjennom dette pakningsvedlegget før barnet ditt begynner å bruke dette legemidlet. Det inneholder informasjon som er viktig.</w:t>
      </w:r>
    </w:p>
    <w:p w14:paraId="2215B9B9" w14:textId="77777777" w:rsidR="00E90360" w:rsidRPr="00E90360" w:rsidRDefault="00E453CD" w:rsidP="00E90360">
      <w:pPr>
        <w:numPr>
          <w:ilvl w:val="0"/>
          <w:numId w:val="1"/>
        </w:numPr>
        <w:ind w:left="567" w:right="-2" w:hanging="567"/>
        <w:rPr>
          <w:sz w:val="22"/>
          <w:szCs w:val="22"/>
        </w:rPr>
      </w:pPr>
      <w:r w:rsidRPr="00E90360">
        <w:rPr>
          <w:sz w:val="22"/>
          <w:szCs w:val="22"/>
        </w:rPr>
        <w:t>Ta vare på dette pakningsvedlegget. Du kan få behov for å lese det igjen.</w:t>
      </w:r>
    </w:p>
    <w:p w14:paraId="3682C247" w14:textId="77777777" w:rsidR="00192419" w:rsidRPr="00E90360" w:rsidRDefault="00E453CD" w:rsidP="00E90360">
      <w:pPr>
        <w:numPr>
          <w:ilvl w:val="0"/>
          <w:numId w:val="1"/>
        </w:numPr>
        <w:ind w:left="567" w:right="-2" w:hanging="567"/>
        <w:rPr>
          <w:sz w:val="22"/>
          <w:szCs w:val="22"/>
        </w:rPr>
      </w:pPr>
      <w:r w:rsidRPr="00E90360">
        <w:rPr>
          <w:sz w:val="22"/>
          <w:szCs w:val="22"/>
        </w:rPr>
        <w:t xml:space="preserve">Legen din vil også gi deg et </w:t>
      </w:r>
      <w:r w:rsidRPr="00E90360">
        <w:rPr>
          <w:b/>
          <w:sz w:val="22"/>
        </w:rPr>
        <w:t>pasientkort</w:t>
      </w:r>
      <w:r w:rsidRPr="00E90360">
        <w:rPr>
          <w:sz w:val="22"/>
          <w:szCs w:val="22"/>
        </w:rPr>
        <w:t xml:space="preserve"> som inneholder viktige sikkerhetsopplysninger som du må være oppmerksom på før barnet ditt begynner å bruke Humira og under behandling med Humira. Ha dette </w:t>
      </w:r>
      <w:r w:rsidRPr="00E90360">
        <w:rPr>
          <w:b/>
          <w:sz w:val="22"/>
        </w:rPr>
        <w:t>pasientkortet</w:t>
      </w:r>
      <w:r w:rsidRPr="00E90360">
        <w:rPr>
          <w:sz w:val="22"/>
          <w:szCs w:val="22"/>
        </w:rPr>
        <w:t xml:space="preserve"> på deg eller barnet ditt.</w:t>
      </w:r>
    </w:p>
    <w:p w14:paraId="5163EFFD" w14:textId="77777777" w:rsidR="00192419" w:rsidRPr="00192419" w:rsidRDefault="00E453CD" w:rsidP="00776A84">
      <w:pPr>
        <w:numPr>
          <w:ilvl w:val="0"/>
          <w:numId w:val="1"/>
        </w:numPr>
        <w:ind w:left="567" w:hanging="567"/>
        <w:rPr>
          <w:sz w:val="22"/>
          <w:szCs w:val="22"/>
        </w:rPr>
      </w:pPr>
      <w:r w:rsidRPr="00192419">
        <w:rPr>
          <w:sz w:val="22"/>
          <w:szCs w:val="22"/>
        </w:rPr>
        <w:t>Spør lege eller apotek</w:t>
      </w:r>
      <w:r w:rsidRPr="00D92908">
        <w:rPr>
          <w:sz w:val="22"/>
          <w:szCs w:val="22"/>
        </w:rPr>
        <w:t xml:space="preserve"> hvis du har flere spørsmål eller trenger</w:t>
      </w:r>
      <w:r>
        <w:rPr>
          <w:sz w:val="22"/>
          <w:szCs w:val="22"/>
        </w:rPr>
        <w:t xml:space="preserve"> </w:t>
      </w:r>
      <w:r w:rsidRPr="00192419">
        <w:rPr>
          <w:sz w:val="22"/>
          <w:szCs w:val="22"/>
        </w:rPr>
        <w:t xml:space="preserve">mer informasjon. </w:t>
      </w:r>
    </w:p>
    <w:p w14:paraId="01FAA0B8" w14:textId="77777777" w:rsidR="00E90360" w:rsidRPr="00E90360" w:rsidRDefault="00E453CD" w:rsidP="00E90360">
      <w:pPr>
        <w:numPr>
          <w:ilvl w:val="0"/>
          <w:numId w:val="1"/>
        </w:numPr>
        <w:ind w:left="567" w:right="-2" w:hanging="567"/>
        <w:rPr>
          <w:b/>
          <w:sz w:val="22"/>
          <w:szCs w:val="22"/>
        </w:rPr>
      </w:pPr>
      <w:r w:rsidRPr="00E90360">
        <w:rPr>
          <w:sz w:val="22"/>
          <w:szCs w:val="22"/>
        </w:rPr>
        <w:t>Dette legemidlet er skrevet ut kun til barnet ditt. Ikke gi det videre til andre. Det kan skade dem, selv om de har symptomer på sykdom som ligner barnet ditt.</w:t>
      </w:r>
    </w:p>
    <w:p w14:paraId="06F4643A" w14:textId="77777777" w:rsidR="00E90360" w:rsidRPr="00E90360" w:rsidRDefault="00E453CD" w:rsidP="00E90360">
      <w:pPr>
        <w:numPr>
          <w:ilvl w:val="0"/>
          <w:numId w:val="1"/>
        </w:numPr>
        <w:ind w:left="567" w:right="-2" w:hanging="567"/>
        <w:rPr>
          <w:b/>
          <w:sz w:val="22"/>
          <w:szCs w:val="22"/>
        </w:rPr>
      </w:pPr>
      <w:r w:rsidRPr="00E90360">
        <w:rPr>
          <w:sz w:val="22"/>
          <w:szCs w:val="22"/>
        </w:rPr>
        <w:t>Kontakt legen din eller apotek dersom barnet ditt opplever bivirkninger, inkludert mulige bivirkninger som ikke er nevnt i dette pakningsvedlegget. Se avsnitt 4.</w:t>
      </w:r>
    </w:p>
    <w:p w14:paraId="68B5AD15" w14:textId="77777777" w:rsidR="00E90360" w:rsidRPr="00E90360" w:rsidRDefault="00E90360" w:rsidP="00E90360">
      <w:pPr>
        <w:ind w:left="54" w:right="-2"/>
        <w:rPr>
          <w:sz w:val="22"/>
          <w:szCs w:val="22"/>
        </w:rPr>
      </w:pPr>
    </w:p>
    <w:p w14:paraId="1CBDEF50" w14:textId="77777777" w:rsidR="00E90360" w:rsidRPr="00E90360" w:rsidRDefault="00E453CD" w:rsidP="00776A84">
      <w:pPr>
        <w:keepNext/>
        <w:rPr>
          <w:sz w:val="22"/>
          <w:szCs w:val="22"/>
        </w:rPr>
      </w:pPr>
      <w:r w:rsidRPr="00E90360">
        <w:rPr>
          <w:b/>
          <w:sz w:val="22"/>
          <w:szCs w:val="22"/>
        </w:rPr>
        <w:t>I dette pakningsvedlegget finner du informasjon om</w:t>
      </w:r>
    </w:p>
    <w:p w14:paraId="3D92A1CF" w14:textId="77777777" w:rsidR="00E90360" w:rsidRPr="00E90360" w:rsidRDefault="00E453CD" w:rsidP="00E90360">
      <w:pPr>
        <w:ind w:left="567" w:right="-29" w:hanging="567"/>
        <w:rPr>
          <w:sz w:val="22"/>
          <w:szCs w:val="22"/>
        </w:rPr>
      </w:pPr>
      <w:r w:rsidRPr="00E90360">
        <w:rPr>
          <w:sz w:val="22"/>
          <w:szCs w:val="22"/>
        </w:rPr>
        <w:t>1.</w:t>
      </w:r>
      <w:r w:rsidRPr="00E90360">
        <w:rPr>
          <w:sz w:val="22"/>
          <w:szCs w:val="22"/>
        </w:rPr>
        <w:tab/>
        <w:t>Hva Humira er og hva det brukes mot</w:t>
      </w:r>
    </w:p>
    <w:p w14:paraId="3D56628F" w14:textId="77777777" w:rsidR="00E90360" w:rsidRPr="00E90360" w:rsidRDefault="00E453CD" w:rsidP="00E90360">
      <w:pPr>
        <w:ind w:left="567" w:right="-29" w:hanging="567"/>
        <w:rPr>
          <w:sz w:val="22"/>
          <w:szCs w:val="22"/>
        </w:rPr>
      </w:pPr>
      <w:r w:rsidRPr="00E90360">
        <w:rPr>
          <w:sz w:val="22"/>
          <w:szCs w:val="22"/>
        </w:rPr>
        <w:t>2.</w:t>
      </w:r>
      <w:r w:rsidRPr="00E90360">
        <w:rPr>
          <w:sz w:val="22"/>
          <w:szCs w:val="22"/>
        </w:rPr>
        <w:tab/>
        <w:t>Hva du må vite før barnet ditt bruker Humira</w:t>
      </w:r>
    </w:p>
    <w:p w14:paraId="360FD20E" w14:textId="77777777" w:rsidR="00E90360" w:rsidRPr="00E90360" w:rsidRDefault="00E453CD" w:rsidP="00E90360">
      <w:pPr>
        <w:ind w:left="567" w:right="-29" w:hanging="567"/>
        <w:rPr>
          <w:sz w:val="22"/>
          <w:szCs w:val="22"/>
        </w:rPr>
      </w:pPr>
      <w:r w:rsidRPr="00E90360">
        <w:rPr>
          <w:sz w:val="22"/>
          <w:szCs w:val="22"/>
        </w:rPr>
        <w:t>3.</w:t>
      </w:r>
      <w:r w:rsidRPr="00E90360">
        <w:rPr>
          <w:sz w:val="22"/>
          <w:szCs w:val="22"/>
        </w:rPr>
        <w:tab/>
        <w:t>Hvordan du bruker Humira</w:t>
      </w:r>
    </w:p>
    <w:p w14:paraId="17FA2F37" w14:textId="77777777" w:rsidR="00E90360" w:rsidRPr="00E90360" w:rsidRDefault="00E453CD" w:rsidP="00E90360">
      <w:pPr>
        <w:ind w:left="567" w:right="-29" w:hanging="567"/>
        <w:rPr>
          <w:sz w:val="22"/>
          <w:szCs w:val="22"/>
        </w:rPr>
      </w:pPr>
      <w:r w:rsidRPr="00E90360">
        <w:rPr>
          <w:sz w:val="22"/>
          <w:szCs w:val="22"/>
        </w:rPr>
        <w:t>4.</w:t>
      </w:r>
      <w:r w:rsidRPr="00E90360">
        <w:rPr>
          <w:sz w:val="22"/>
          <w:szCs w:val="22"/>
        </w:rPr>
        <w:tab/>
        <w:t>Mulige bivirkninger</w:t>
      </w:r>
    </w:p>
    <w:p w14:paraId="73F2196F" w14:textId="77777777" w:rsidR="00E90360" w:rsidRPr="00E90360" w:rsidRDefault="00E453CD" w:rsidP="00E90360">
      <w:pPr>
        <w:ind w:left="567" w:right="-29" w:hanging="567"/>
        <w:rPr>
          <w:sz w:val="22"/>
          <w:szCs w:val="22"/>
        </w:rPr>
      </w:pPr>
      <w:r w:rsidRPr="00E90360">
        <w:rPr>
          <w:sz w:val="22"/>
          <w:szCs w:val="22"/>
        </w:rPr>
        <w:t>5.</w:t>
      </w:r>
      <w:r w:rsidRPr="00E90360">
        <w:rPr>
          <w:sz w:val="22"/>
          <w:szCs w:val="22"/>
        </w:rPr>
        <w:tab/>
        <w:t>Hvordan du oppbevarer Humira</w:t>
      </w:r>
    </w:p>
    <w:p w14:paraId="29C6A9F7" w14:textId="77777777" w:rsidR="00E90360" w:rsidRPr="00E90360" w:rsidRDefault="00E453CD" w:rsidP="00E90360">
      <w:pPr>
        <w:ind w:left="567" w:right="-29" w:hanging="567"/>
        <w:rPr>
          <w:sz w:val="22"/>
          <w:szCs w:val="22"/>
        </w:rPr>
      </w:pPr>
      <w:r w:rsidRPr="00E90360">
        <w:rPr>
          <w:sz w:val="22"/>
          <w:szCs w:val="22"/>
        </w:rPr>
        <w:t>6.</w:t>
      </w:r>
      <w:r w:rsidRPr="00E90360">
        <w:rPr>
          <w:sz w:val="22"/>
          <w:szCs w:val="22"/>
        </w:rPr>
        <w:tab/>
        <w:t>Innholdet i pakningen og ytterligere informasjon</w:t>
      </w:r>
    </w:p>
    <w:p w14:paraId="45733F46" w14:textId="77777777" w:rsidR="00E90360" w:rsidRPr="00E90360" w:rsidRDefault="00E453CD" w:rsidP="00E90360">
      <w:pPr>
        <w:ind w:left="567" w:right="-29" w:hanging="567"/>
        <w:rPr>
          <w:sz w:val="22"/>
          <w:szCs w:val="22"/>
        </w:rPr>
      </w:pPr>
      <w:r w:rsidRPr="00E90360">
        <w:rPr>
          <w:sz w:val="22"/>
          <w:szCs w:val="22"/>
        </w:rPr>
        <w:t>7.</w:t>
      </w:r>
      <w:r w:rsidRPr="00E90360">
        <w:rPr>
          <w:sz w:val="22"/>
          <w:szCs w:val="22"/>
        </w:rPr>
        <w:tab/>
      </w:r>
      <w:r w:rsidR="00906D19">
        <w:rPr>
          <w:sz w:val="22"/>
          <w:szCs w:val="22"/>
        </w:rPr>
        <w:t>Hvordan du injiserer Humira</w:t>
      </w:r>
    </w:p>
    <w:p w14:paraId="714F3266" w14:textId="77777777" w:rsidR="00E90360" w:rsidRPr="00E90360" w:rsidRDefault="00E90360" w:rsidP="00E90360">
      <w:pPr>
        <w:ind w:right="-29"/>
        <w:rPr>
          <w:sz w:val="22"/>
          <w:szCs w:val="22"/>
        </w:rPr>
      </w:pPr>
    </w:p>
    <w:p w14:paraId="064D6852" w14:textId="77777777" w:rsidR="00E90360" w:rsidRPr="00E90360" w:rsidRDefault="00E90360" w:rsidP="00E90360">
      <w:pPr>
        <w:suppressAutoHyphens/>
        <w:rPr>
          <w:sz w:val="22"/>
          <w:szCs w:val="22"/>
        </w:rPr>
      </w:pPr>
    </w:p>
    <w:p w14:paraId="62A7CF9A" w14:textId="77777777" w:rsidR="00E90360" w:rsidRPr="00E90360" w:rsidRDefault="00E453CD" w:rsidP="00776A84">
      <w:pPr>
        <w:keepNext/>
        <w:suppressAutoHyphens/>
        <w:ind w:left="567" w:hanging="567"/>
        <w:rPr>
          <w:sz w:val="22"/>
          <w:szCs w:val="22"/>
        </w:rPr>
      </w:pPr>
      <w:r w:rsidRPr="00E90360">
        <w:rPr>
          <w:b/>
          <w:sz w:val="22"/>
          <w:szCs w:val="22"/>
        </w:rPr>
        <w:t>1.</w:t>
      </w:r>
      <w:r w:rsidRPr="00E90360">
        <w:rPr>
          <w:b/>
          <w:sz w:val="22"/>
          <w:szCs w:val="22"/>
        </w:rPr>
        <w:tab/>
        <w:t>Hva Humira er og hva det brukes mot</w:t>
      </w:r>
    </w:p>
    <w:p w14:paraId="5AD44187" w14:textId="77777777" w:rsidR="00E90360" w:rsidRPr="00E90360" w:rsidRDefault="00E90360" w:rsidP="00776A84">
      <w:pPr>
        <w:keepNext/>
        <w:suppressAutoHyphens/>
        <w:ind w:left="567" w:hanging="567"/>
        <w:rPr>
          <w:sz w:val="22"/>
          <w:szCs w:val="22"/>
        </w:rPr>
      </w:pPr>
    </w:p>
    <w:p w14:paraId="1BE2B82E" w14:textId="77777777" w:rsidR="00536AAD" w:rsidRDefault="00E453CD" w:rsidP="00E90360">
      <w:pPr>
        <w:suppressAutoHyphens/>
        <w:rPr>
          <w:sz w:val="22"/>
          <w:szCs w:val="22"/>
        </w:rPr>
      </w:pPr>
      <w:r w:rsidRPr="00E90360">
        <w:rPr>
          <w:sz w:val="22"/>
          <w:szCs w:val="22"/>
        </w:rPr>
        <w:t>Humira inneholder virkestoffet adalimumab.</w:t>
      </w:r>
    </w:p>
    <w:p w14:paraId="63C071E8" w14:textId="77777777" w:rsidR="00536AAD" w:rsidRDefault="00536AAD" w:rsidP="00E90360">
      <w:pPr>
        <w:suppressAutoHyphens/>
        <w:rPr>
          <w:sz w:val="22"/>
          <w:szCs w:val="22"/>
        </w:rPr>
      </w:pPr>
    </w:p>
    <w:p w14:paraId="68DED022" w14:textId="77777777" w:rsidR="00E90360" w:rsidRPr="00E90360" w:rsidRDefault="00E453CD" w:rsidP="00E90360">
      <w:pPr>
        <w:suppressAutoHyphens/>
        <w:rPr>
          <w:sz w:val="22"/>
          <w:szCs w:val="22"/>
        </w:rPr>
      </w:pPr>
      <w:r w:rsidRPr="00E90360">
        <w:rPr>
          <w:sz w:val="22"/>
          <w:szCs w:val="22"/>
        </w:rPr>
        <w:t xml:space="preserve">Humira </w:t>
      </w:r>
      <w:r w:rsidR="00536AAD">
        <w:rPr>
          <w:sz w:val="22"/>
          <w:szCs w:val="22"/>
        </w:rPr>
        <w:t xml:space="preserve">brukes </w:t>
      </w:r>
      <w:r w:rsidR="001840FB">
        <w:rPr>
          <w:sz w:val="22"/>
          <w:szCs w:val="22"/>
        </w:rPr>
        <w:t>til</w:t>
      </w:r>
      <w:r w:rsidR="00536AAD">
        <w:rPr>
          <w:sz w:val="22"/>
          <w:szCs w:val="22"/>
        </w:rPr>
        <w:t xml:space="preserve"> å behandle</w:t>
      </w:r>
      <w:r w:rsidRPr="00E90360">
        <w:rPr>
          <w:sz w:val="22"/>
          <w:szCs w:val="22"/>
        </w:rPr>
        <w:t xml:space="preserve"> betennelses</w:t>
      </w:r>
      <w:r w:rsidR="00536AAD">
        <w:rPr>
          <w:sz w:val="22"/>
          <w:szCs w:val="22"/>
        </w:rPr>
        <w:t>sykdommene beskrevet under:</w:t>
      </w:r>
    </w:p>
    <w:p w14:paraId="46E3960C" w14:textId="77777777" w:rsidR="00E90360" w:rsidRPr="00E90360" w:rsidRDefault="00E453CD" w:rsidP="00E90360">
      <w:pPr>
        <w:numPr>
          <w:ilvl w:val="0"/>
          <w:numId w:val="108"/>
        </w:numPr>
        <w:tabs>
          <w:tab w:val="left" w:pos="562"/>
          <w:tab w:val="left" w:pos="720"/>
        </w:tabs>
        <w:suppressAutoHyphens/>
        <w:rPr>
          <w:sz w:val="22"/>
        </w:rPr>
      </w:pPr>
      <w:r w:rsidRPr="00E90360">
        <w:rPr>
          <w:sz w:val="22"/>
        </w:rPr>
        <w:t>Polyartikulær juvenil idiopatisk artritt</w:t>
      </w:r>
    </w:p>
    <w:p w14:paraId="24002134" w14:textId="77777777" w:rsidR="00E90360" w:rsidRPr="00E90360" w:rsidRDefault="00E453CD" w:rsidP="00E90360">
      <w:pPr>
        <w:numPr>
          <w:ilvl w:val="0"/>
          <w:numId w:val="108"/>
        </w:numPr>
        <w:tabs>
          <w:tab w:val="left" w:pos="562"/>
          <w:tab w:val="left" w:pos="720"/>
        </w:tabs>
        <w:suppressAutoHyphens/>
        <w:rPr>
          <w:sz w:val="22"/>
        </w:rPr>
      </w:pPr>
      <w:r w:rsidRPr="00E90360">
        <w:rPr>
          <w:sz w:val="22"/>
        </w:rPr>
        <w:t>Entesittrelatert artritt</w:t>
      </w:r>
    </w:p>
    <w:p w14:paraId="34068F60" w14:textId="77777777" w:rsidR="00E90360" w:rsidRPr="00E90360" w:rsidRDefault="00E453CD" w:rsidP="00E90360">
      <w:pPr>
        <w:numPr>
          <w:ilvl w:val="0"/>
          <w:numId w:val="108"/>
        </w:numPr>
        <w:tabs>
          <w:tab w:val="left" w:pos="562"/>
          <w:tab w:val="left" w:pos="720"/>
        </w:tabs>
        <w:suppressAutoHyphens/>
        <w:rPr>
          <w:sz w:val="22"/>
        </w:rPr>
      </w:pPr>
      <w:r w:rsidRPr="00E90360">
        <w:rPr>
          <w:sz w:val="22"/>
        </w:rPr>
        <w:t>P</w:t>
      </w:r>
      <w:r w:rsidR="000A3367">
        <w:rPr>
          <w:sz w:val="22"/>
        </w:rPr>
        <w:t>ediatrisk p</w:t>
      </w:r>
      <w:r w:rsidRPr="00E90360">
        <w:rPr>
          <w:sz w:val="22"/>
        </w:rPr>
        <w:t>lakkpsoriasis</w:t>
      </w:r>
    </w:p>
    <w:p w14:paraId="7AB71449" w14:textId="77777777" w:rsidR="00E90360" w:rsidRPr="00E90360" w:rsidRDefault="00E453CD" w:rsidP="00E90360">
      <w:pPr>
        <w:numPr>
          <w:ilvl w:val="0"/>
          <w:numId w:val="108"/>
        </w:numPr>
        <w:tabs>
          <w:tab w:val="left" w:pos="562"/>
          <w:tab w:val="left" w:pos="720"/>
        </w:tabs>
        <w:suppressAutoHyphens/>
        <w:rPr>
          <w:sz w:val="22"/>
          <w:lang w:val="en-GB"/>
        </w:rPr>
      </w:pPr>
      <w:r>
        <w:rPr>
          <w:sz w:val="22"/>
          <w:lang w:val="en-GB"/>
        </w:rPr>
        <w:t xml:space="preserve">Pediatrisk </w:t>
      </w:r>
      <w:r w:rsidRPr="00E90360">
        <w:rPr>
          <w:sz w:val="22"/>
          <w:lang w:val="en-GB"/>
        </w:rPr>
        <w:t xml:space="preserve">Crohns </w:t>
      </w:r>
      <w:r w:rsidRPr="00E90360">
        <w:rPr>
          <w:sz w:val="22"/>
          <w:szCs w:val="22"/>
        </w:rPr>
        <w:t>sykdom</w:t>
      </w:r>
    </w:p>
    <w:p w14:paraId="5C92407C" w14:textId="77777777" w:rsidR="00E90360" w:rsidRPr="00E90360" w:rsidRDefault="00E453CD" w:rsidP="00E90360">
      <w:pPr>
        <w:numPr>
          <w:ilvl w:val="0"/>
          <w:numId w:val="108"/>
        </w:numPr>
        <w:tabs>
          <w:tab w:val="left" w:pos="562"/>
          <w:tab w:val="left" w:pos="720"/>
        </w:tabs>
        <w:suppressAutoHyphens/>
        <w:rPr>
          <w:sz w:val="22"/>
        </w:rPr>
      </w:pPr>
      <w:r>
        <w:rPr>
          <w:sz w:val="22"/>
        </w:rPr>
        <w:t>Pediatrisk</w:t>
      </w:r>
      <w:r w:rsidRPr="00E90360">
        <w:rPr>
          <w:sz w:val="22"/>
        </w:rPr>
        <w:t xml:space="preserve"> uveitt</w:t>
      </w:r>
    </w:p>
    <w:p w14:paraId="71C0BA92" w14:textId="77777777" w:rsidR="00E90360" w:rsidRPr="00E90360" w:rsidRDefault="00E90360" w:rsidP="00E90360">
      <w:pPr>
        <w:suppressAutoHyphens/>
        <w:rPr>
          <w:sz w:val="22"/>
          <w:szCs w:val="22"/>
        </w:rPr>
      </w:pPr>
    </w:p>
    <w:p w14:paraId="09C277F7" w14:textId="77777777" w:rsidR="00E90360" w:rsidRDefault="00E453CD" w:rsidP="00E90360">
      <w:pPr>
        <w:rPr>
          <w:sz w:val="22"/>
          <w:szCs w:val="22"/>
        </w:rPr>
      </w:pPr>
      <w:r>
        <w:rPr>
          <w:sz w:val="22"/>
          <w:szCs w:val="22"/>
        </w:rPr>
        <w:t>Virkestoffet i Humira, adalimumab, er et humant monoklonalt antistoff. Monoklonale antistoffer er proteiner som fester seg til et spesifikt mål.</w:t>
      </w:r>
    </w:p>
    <w:p w14:paraId="0480FB34" w14:textId="77777777" w:rsidR="00536AAD" w:rsidRDefault="00536AAD" w:rsidP="00E90360">
      <w:pPr>
        <w:rPr>
          <w:sz w:val="22"/>
          <w:szCs w:val="22"/>
        </w:rPr>
      </w:pPr>
    </w:p>
    <w:p w14:paraId="63319D68" w14:textId="77777777" w:rsidR="00536AAD" w:rsidRPr="00E90360" w:rsidRDefault="00E453CD" w:rsidP="00E90360">
      <w:pPr>
        <w:rPr>
          <w:sz w:val="22"/>
          <w:szCs w:val="22"/>
        </w:rPr>
      </w:pPr>
      <w:r>
        <w:rPr>
          <w:sz w:val="22"/>
          <w:szCs w:val="22"/>
        </w:rPr>
        <w:t>Målet til adalimumab er et protein som kalles tumornekrosefaktor (TNFα), som er involvert i immunforsvaret. Ved betennelsessykdommene ovenfor foreligger det i økte nivåer. Ved å feste seg til TNFα, senker Humira betennelsesprosessen ved disse tilstandene.</w:t>
      </w:r>
    </w:p>
    <w:p w14:paraId="01707C5F" w14:textId="77777777" w:rsidR="00E90360" w:rsidRPr="00E90360" w:rsidRDefault="00E90360" w:rsidP="00E90360">
      <w:pPr>
        <w:rPr>
          <w:sz w:val="22"/>
          <w:szCs w:val="22"/>
        </w:rPr>
      </w:pPr>
    </w:p>
    <w:p w14:paraId="535FF6F7" w14:textId="77777777" w:rsidR="00E90360" w:rsidRPr="00AB7697" w:rsidRDefault="00E453CD" w:rsidP="00776A84">
      <w:pPr>
        <w:keepNext/>
        <w:rPr>
          <w:sz w:val="22"/>
          <w:szCs w:val="22"/>
          <w:u w:val="single"/>
        </w:rPr>
      </w:pPr>
      <w:r w:rsidRPr="00AB7697">
        <w:rPr>
          <w:sz w:val="22"/>
          <w:szCs w:val="22"/>
          <w:u w:val="single"/>
        </w:rPr>
        <w:t>Polyartikulær juvenil idiopatisk artritt</w:t>
      </w:r>
    </w:p>
    <w:p w14:paraId="23925340" w14:textId="77777777" w:rsidR="00E90360" w:rsidRPr="00E90360" w:rsidRDefault="00E90360" w:rsidP="00776A84">
      <w:pPr>
        <w:keepNext/>
        <w:rPr>
          <w:sz w:val="22"/>
          <w:szCs w:val="22"/>
        </w:rPr>
      </w:pPr>
    </w:p>
    <w:p w14:paraId="3F90844F" w14:textId="77777777" w:rsidR="00E90360" w:rsidRPr="00E90360" w:rsidRDefault="00E453CD" w:rsidP="00E90360">
      <w:pPr>
        <w:suppressAutoHyphens/>
        <w:rPr>
          <w:sz w:val="22"/>
          <w:szCs w:val="22"/>
          <w:u w:val="single"/>
        </w:rPr>
      </w:pPr>
      <w:r w:rsidRPr="00E90360">
        <w:rPr>
          <w:sz w:val="22"/>
          <w:szCs w:val="22"/>
        </w:rPr>
        <w:t>Polyartikulær juvenil idiopatisk artritt er en betennelsessykdom i leddene</w:t>
      </w:r>
      <w:r w:rsidR="00536AAD">
        <w:rPr>
          <w:sz w:val="22"/>
          <w:szCs w:val="22"/>
        </w:rPr>
        <w:t xml:space="preserve"> som vanligvis først oppstår i barndommen</w:t>
      </w:r>
      <w:r w:rsidRPr="00E90360">
        <w:rPr>
          <w:sz w:val="22"/>
          <w:szCs w:val="22"/>
        </w:rPr>
        <w:t>.</w:t>
      </w:r>
    </w:p>
    <w:p w14:paraId="26309E2C" w14:textId="77777777" w:rsidR="00E90360" w:rsidRPr="00E90360" w:rsidRDefault="00E90360" w:rsidP="00E90360">
      <w:pPr>
        <w:suppressAutoHyphens/>
        <w:rPr>
          <w:sz w:val="22"/>
          <w:szCs w:val="22"/>
        </w:rPr>
      </w:pPr>
    </w:p>
    <w:p w14:paraId="3230BECC" w14:textId="77777777" w:rsidR="00E90360" w:rsidRPr="00E90360" w:rsidRDefault="00E453CD" w:rsidP="00E90360">
      <w:pPr>
        <w:rPr>
          <w:sz w:val="22"/>
          <w:szCs w:val="22"/>
        </w:rPr>
      </w:pPr>
      <w:r w:rsidRPr="00E90360">
        <w:rPr>
          <w:sz w:val="22"/>
          <w:szCs w:val="22"/>
        </w:rPr>
        <w:t xml:space="preserve">Humira brukes </w:t>
      </w:r>
      <w:r w:rsidR="001840FB">
        <w:rPr>
          <w:sz w:val="22"/>
          <w:szCs w:val="22"/>
        </w:rPr>
        <w:t>til</w:t>
      </w:r>
      <w:r w:rsidRPr="00E90360">
        <w:rPr>
          <w:sz w:val="22"/>
          <w:szCs w:val="22"/>
        </w:rPr>
        <w:t xml:space="preserve"> å behandle polyartikulær juvenil idiopatisk artritt hos pasienter </w:t>
      </w:r>
      <w:r w:rsidR="001840FB">
        <w:rPr>
          <w:sz w:val="22"/>
          <w:szCs w:val="22"/>
        </w:rPr>
        <w:t>over</w:t>
      </w:r>
      <w:r w:rsidRPr="00E90360">
        <w:rPr>
          <w:sz w:val="22"/>
          <w:szCs w:val="22"/>
        </w:rPr>
        <w:t xml:space="preserve"> 2 år. Det kan hende </w:t>
      </w:r>
      <w:r w:rsidR="004D1C48">
        <w:rPr>
          <w:sz w:val="22"/>
          <w:szCs w:val="22"/>
        </w:rPr>
        <w:t>barnet ditt</w:t>
      </w:r>
      <w:r w:rsidR="004D1C48" w:rsidRPr="00E90360">
        <w:rPr>
          <w:sz w:val="22"/>
          <w:szCs w:val="22"/>
        </w:rPr>
        <w:t xml:space="preserve"> </w:t>
      </w:r>
      <w:r w:rsidRPr="00E90360">
        <w:rPr>
          <w:sz w:val="22"/>
          <w:szCs w:val="22"/>
        </w:rPr>
        <w:t xml:space="preserve">først får andre sykdomsmodifiserende legemidler, som metotreksat. Dersom </w:t>
      </w:r>
      <w:r w:rsidR="00536AAD">
        <w:rPr>
          <w:sz w:val="22"/>
          <w:szCs w:val="22"/>
        </w:rPr>
        <w:t>disse legemidlene ikke virker</w:t>
      </w:r>
      <w:r w:rsidRPr="00E90360">
        <w:rPr>
          <w:sz w:val="22"/>
          <w:szCs w:val="22"/>
        </w:rPr>
        <w:t xml:space="preserve"> godt nok, vil </w:t>
      </w:r>
      <w:r w:rsidR="004D1C48">
        <w:rPr>
          <w:sz w:val="22"/>
          <w:szCs w:val="22"/>
        </w:rPr>
        <w:t>barnet ditt</w:t>
      </w:r>
      <w:r w:rsidR="004D1C48" w:rsidRPr="00E90360">
        <w:rPr>
          <w:sz w:val="22"/>
          <w:szCs w:val="22"/>
        </w:rPr>
        <w:t xml:space="preserve"> </w:t>
      </w:r>
      <w:r w:rsidRPr="00E90360">
        <w:rPr>
          <w:sz w:val="22"/>
          <w:szCs w:val="22"/>
        </w:rPr>
        <w:t>få Humira</w:t>
      </w:r>
      <w:r w:rsidR="000A3367">
        <w:rPr>
          <w:sz w:val="22"/>
          <w:szCs w:val="22"/>
        </w:rPr>
        <w:t xml:space="preserve"> for å behandle polyartikulær juvenil idiopatisk artritt</w:t>
      </w:r>
      <w:r w:rsidRPr="00E90360">
        <w:rPr>
          <w:sz w:val="22"/>
          <w:szCs w:val="22"/>
        </w:rPr>
        <w:t>.</w:t>
      </w:r>
    </w:p>
    <w:p w14:paraId="13147686" w14:textId="77777777" w:rsidR="00E90360" w:rsidRPr="00E90360" w:rsidRDefault="00E90360" w:rsidP="00E90360">
      <w:pPr>
        <w:rPr>
          <w:sz w:val="22"/>
          <w:szCs w:val="22"/>
        </w:rPr>
      </w:pPr>
    </w:p>
    <w:p w14:paraId="1313A110" w14:textId="77777777" w:rsidR="00E90360" w:rsidRPr="00E90360" w:rsidRDefault="00E453CD" w:rsidP="00E90360">
      <w:pPr>
        <w:rPr>
          <w:sz w:val="22"/>
          <w:szCs w:val="22"/>
        </w:rPr>
      </w:pPr>
      <w:r w:rsidRPr="00E90360">
        <w:rPr>
          <w:sz w:val="22"/>
          <w:szCs w:val="22"/>
        </w:rPr>
        <w:t>Legen din vil bestemme om Humira skal brukes sammen med metotreksat eller alene.</w:t>
      </w:r>
    </w:p>
    <w:p w14:paraId="7316A6FF" w14:textId="77777777" w:rsidR="00E90360" w:rsidRPr="00E90360" w:rsidRDefault="00E90360" w:rsidP="00E90360">
      <w:pPr>
        <w:rPr>
          <w:sz w:val="22"/>
          <w:szCs w:val="22"/>
        </w:rPr>
      </w:pPr>
    </w:p>
    <w:p w14:paraId="471169B7" w14:textId="77777777" w:rsidR="00E90360" w:rsidRPr="00AB7697" w:rsidRDefault="00E453CD" w:rsidP="00776A84">
      <w:pPr>
        <w:keepNext/>
        <w:rPr>
          <w:sz w:val="22"/>
          <w:szCs w:val="22"/>
          <w:u w:val="single"/>
        </w:rPr>
      </w:pPr>
      <w:r w:rsidRPr="00AB7697">
        <w:rPr>
          <w:sz w:val="22"/>
          <w:szCs w:val="22"/>
          <w:u w:val="single"/>
        </w:rPr>
        <w:lastRenderedPageBreak/>
        <w:t>Entesittrelatert artritt</w:t>
      </w:r>
    </w:p>
    <w:p w14:paraId="02116CAC" w14:textId="77777777" w:rsidR="00E90360" w:rsidRPr="00E90360" w:rsidRDefault="00E90360" w:rsidP="00776A84">
      <w:pPr>
        <w:keepNext/>
        <w:rPr>
          <w:sz w:val="22"/>
          <w:szCs w:val="22"/>
        </w:rPr>
      </w:pPr>
    </w:p>
    <w:p w14:paraId="7182B821" w14:textId="77777777" w:rsidR="00E90360" w:rsidRPr="00E90360" w:rsidRDefault="00E453CD" w:rsidP="00E90360">
      <w:pPr>
        <w:suppressAutoHyphens/>
        <w:rPr>
          <w:sz w:val="22"/>
          <w:szCs w:val="22"/>
          <w:u w:val="single"/>
        </w:rPr>
      </w:pPr>
      <w:r w:rsidRPr="00E90360">
        <w:rPr>
          <w:sz w:val="22"/>
          <w:szCs w:val="22"/>
        </w:rPr>
        <w:t>Entesittrelatert artritt er en betennelsessykdom i leddene og stedene der sener møter ben.</w:t>
      </w:r>
    </w:p>
    <w:p w14:paraId="3EDECC4B" w14:textId="77777777" w:rsidR="00E90360" w:rsidRPr="00E90360" w:rsidRDefault="00E90360" w:rsidP="00E90360">
      <w:pPr>
        <w:suppressAutoHyphens/>
        <w:rPr>
          <w:sz w:val="22"/>
          <w:szCs w:val="22"/>
        </w:rPr>
      </w:pPr>
    </w:p>
    <w:p w14:paraId="04501EDC" w14:textId="77777777" w:rsidR="00E90360" w:rsidRPr="00E90360" w:rsidRDefault="00E453CD" w:rsidP="00E90360">
      <w:pPr>
        <w:rPr>
          <w:sz w:val="22"/>
          <w:szCs w:val="22"/>
        </w:rPr>
      </w:pPr>
      <w:r w:rsidRPr="00E90360">
        <w:rPr>
          <w:sz w:val="22"/>
          <w:szCs w:val="22"/>
        </w:rPr>
        <w:t xml:space="preserve">Humira brukes </w:t>
      </w:r>
      <w:r w:rsidR="001840FB">
        <w:rPr>
          <w:sz w:val="22"/>
          <w:szCs w:val="22"/>
        </w:rPr>
        <w:t>til</w:t>
      </w:r>
      <w:r w:rsidRPr="00E90360">
        <w:rPr>
          <w:sz w:val="22"/>
          <w:szCs w:val="22"/>
        </w:rPr>
        <w:t xml:space="preserve"> å behandle entesittrelatert artritt hos pasienter </w:t>
      </w:r>
      <w:r w:rsidR="001840FB">
        <w:rPr>
          <w:sz w:val="22"/>
          <w:szCs w:val="22"/>
        </w:rPr>
        <w:t>over</w:t>
      </w:r>
      <w:r w:rsidRPr="00E90360">
        <w:rPr>
          <w:sz w:val="22"/>
          <w:szCs w:val="22"/>
        </w:rPr>
        <w:t xml:space="preserve"> 6 år. Det kan hende </w:t>
      </w:r>
      <w:r w:rsidR="004D1C48">
        <w:rPr>
          <w:sz w:val="22"/>
          <w:szCs w:val="22"/>
        </w:rPr>
        <w:t>barnet ditt</w:t>
      </w:r>
      <w:r w:rsidR="004D1C48" w:rsidRPr="00E90360">
        <w:rPr>
          <w:sz w:val="22"/>
          <w:szCs w:val="22"/>
        </w:rPr>
        <w:t xml:space="preserve"> </w:t>
      </w:r>
      <w:r w:rsidRPr="00E90360">
        <w:rPr>
          <w:sz w:val="22"/>
          <w:szCs w:val="22"/>
        </w:rPr>
        <w:t xml:space="preserve">først får andre sykdomsmodifiserende legemidler, som metotreksat. Dersom </w:t>
      </w:r>
      <w:r w:rsidR="000A3367">
        <w:rPr>
          <w:sz w:val="22"/>
          <w:szCs w:val="22"/>
        </w:rPr>
        <w:t>disse legemidlene ikke virker</w:t>
      </w:r>
      <w:r w:rsidRPr="00E90360">
        <w:rPr>
          <w:sz w:val="22"/>
          <w:szCs w:val="22"/>
        </w:rPr>
        <w:t xml:space="preserve"> godt nok, vil </w:t>
      </w:r>
      <w:r w:rsidR="004D1C48">
        <w:rPr>
          <w:sz w:val="22"/>
          <w:szCs w:val="22"/>
        </w:rPr>
        <w:t>barnet ditt</w:t>
      </w:r>
      <w:r w:rsidR="004D1C48" w:rsidRPr="00E90360">
        <w:rPr>
          <w:sz w:val="22"/>
          <w:szCs w:val="22"/>
        </w:rPr>
        <w:t xml:space="preserve"> </w:t>
      </w:r>
      <w:r w:rsidRPr="00E90360">
        <w:rPr>
          <w:sz w:val="22"/>
          <w:szCs w:val="22"/>
        </w:rPr>
        <w:t>få Humira</w:t>
      </w:r>
      <w:r w:rsidR="000A3367">
        <w:rPr>
          <w:sz w:val="22"/>
          <w:szCs w:val="22"/>
        </w:rPr>
        <w:t xml:space="preserve"> for å behandle entesittrelatert artritt</w:t>
      </w:r>
      <w:r w:rsidRPr="00E90360">
        <w:rPr>
          <w:sz w:val="22"/>
          <w:szCs w:val="22"/>
        </w:rPr>
        <w:t>.</w:t>
      </w:r>
    </w:p>
    <w:p w14:paraId="10BC8796" w14:textId="77777777" w:rsidR="00E90360" w:rsidRPr="00E90360" w:rsidRDefault="00E90360" w:rsidP="00E90360"/>
    <w:p w14:paraId="2BAA38AB" w14:textId="77777777" w:rsidR="00E90360" w:rsidRPr="000A3367" w:rsidRDefault="00E453CD" w:rsidP="00776A84">
      <w:pPr>
        <w:keepNext/>
        <w:outlineLvl w:val="7"/>
        <w:rPr>
          <w:sz w:val="22"/>
          <w:szCs w:val="22"/>
          <w:u w:val="single"/>
        </w:rPr>
      </w:pPr>
      <w:r w:rsidRPr="00AB7697">
        <w:rPr>
          <w:sz w:val="22"/>
          <w:szCs w:val="20"/>
          <w:u w:val="single"/>
        </w:rPr>
        <w:t>P</w:t>
      </w:r>
      <w:r w:rsidR="000A3367" w:rsidRPr="00AB7697">
        <w:rPr>
          <w:sz w:val="22"/>
          <w:szCs w:val="20"/>
          <w:u w:val="single"/>
        </w:rPr>
        <w:t>ediatrisk p</w:t>
      </w:r>
      <w:r w:rsidRPr="00AB7697">
        <w:rPr>
          <w:sz w:val="22"/>
          <w:szCs w:val="20"/>
          <w:u w:val="single"/>
        </w:rPr>
        <w:t>lakkpsoriasis</w:t>
      </w:r>
    </w:p>
    <w:p w14:paraId="3C4CD449" w14:textId="77777777" w:rsidR="00E90360" w:rsidRPr="00663766" w:rsidRDefault="00E90360" w:rsidP="00776A84">
      <w:pPr>
        <w:keepNext/>
        <w:rPr>
          <w:sz w:val="22"/>
          <w:szCs w:val="22"/>
        </w:rPr>
      </w:pPr>
    </w:p>
    <w:p w14:paraId="6A78B807" w14:textId="77777777" w:rsidR="00E90360" w:rsidRPr="00E90360" w:rsidRDefault="00E453CD" w:rsidP="00E90360">
      <w:pPr>
        <w:suppressAutoHyphens/>
        <w:rPr>
          <w:sz w:val="22"/>
          <w:szCs w:val="22"/>
        </w:rPr>
      </w:pPr>
      <w:r w:rsidRPr="00E90360">
        <w:rPr>
          <w:sz w:val="22"/>
          <w:szCs w:val="22"/>
        </w:rPr>
        <w:t>Plakkpsoriasis er en hudsykdom som forårsaker røde, flassende, tørre flekker på huden dekket med sølvfarget, skjellaktig hud.</w:t>
      </w:r>
      <w:r w:rsidR="000A3367">
        <w:rPr>
          <w:sz w:val="22"/>
          <w:szCs w:val="22"/>
        </w:rPr>
        <w:t xml:space="preserve"> </w:t>
      </w:r>
      <w:r w:rsidR="00A84CEA">
        <w:rPr>
          <w:sz w:val="22"/>
          <w:szCs w:val="22"/>
        </w:rPr>
        <w:t>Plakkpsoriasis kan også påvirke neglene, føre til smuldring, fortykkelse og løsning fra neglesengen som kan være smertefullt.</w:t>
      </w:r>
      <w:r w:rsidR="000A3367">
        <w:rPr>
          <w:sz w:val="22"/>
          <w:szCs w:val="22"/>
        </w:rPr>
        <w:t xml:space="preserve"> Psoriasis antas å skyldes et problem med kroppens immunforsvar som fører til en økt produksjon av hudceller.</w:t>
      </w:r>
    </w:p>
    <w:p w14:paraId="3438D7A2" w14:textId="77777777" w:rsidR="00E90360" w:rsidRPr="00E90360" w:rsidRDefault="00E90360" w:rsidP="00E90360">
      <w:pPr>
        <w:suppressAutoHyphens/>
        <w:rPr>
          <w:sz w:val="22"/>
          <w:szCs w:val="22"/>
        </w:rPr>
      </w:pPr>
    </w:p>
    <w:p w14:paraId="03B53BB2" w14:textId="77777777" w:rsidR="00E90360" w:rsidRPr="00E90360" w:rsidRDefault="00E453CD" w:rsidP="00E90360">
      <w:pPr>
        <w:suppressAutoHyphens/>
        <w:rPr>
          <w:szCs w:val="22"/>
        </w:rPr>
      </w:pPr>
      <w:r w:rsidRPr="00E90360">
        <w:rPr>
          <w:sz w:val="22"/>
          <w:szCs w:val="22"/>
        </w:rPr>
        <w:t xml:space="preserve">Humira brukes </w:t>
      </w:r>
      <w:r w:rsidR="002156F5">
        <w:rPr>
          <w:sz w:val="22"/>
          <w:szCs w:val="22"/>
        </w:rPr>
        <w:t>til</w:t>
      </w:r>
      <w:r w:rsidRPr="00E90360">
        <w:rPr>
          <w:sz w:val="22"/>
          <w:szCs w:val="22"/>
        </w:rPr>
        <w:t xml:space="preserve"> å behandle alvorlig kronisk plakkpsoriasis hos barn og ungdom fra 4 til 17 år, hvor topikal</w:t>
      </w:r>
      <w:r w:rsidR="00D02737">
        <w:rPr>
          <w:sz w:val="22"/>
          <w:szCs w:val="22"/>
        </w:rPr>
        <w:t xml:space="preserve"> (lokal)</w:t>
      </w:r>
      <w:r w:rsidRPr="00E90360">
        <w:rPr>
          <w:sz w:val="22"/>
          <w:szCs w:val="22"/>
        </w:rPr>
        <w:t xml:space="preserve"> behandling og lysbehandling ikke har virket godt nok eller ikke er egnet</w:t>
      </w:r>
      <w:r w:rsidRPr="00E90360">
        <w:t>.</w:t>
      </w:r>
    </w:p>
    <w:p w14:paraId="5ABFC6F9" w14:textId="77777777" w:rsidR="00E90360" w:rsidRPr="00E90360" w:rsidRDefault="00E90360" w:rsidP="00E90360">
      <w:pPr>
        <w:rPr>
          <w:sz w:val="22"/>
          <w:szCs w:val="22"/>
        </w:rPr>
      </w:pPr>
    </w:p>
    <w:p w14:paraId="0A4117DA" w14:textId="77777777" w:rsidR="00E90360" w:rsidRPr="00AB7697" w:rsidRDefault="00E453CD" w:rsidP="00E90360">
      <w:pPr>
        <w:keepNext/>
        <w:rPr>
          <w:sz w:val="22"/>
          <w:szCs w:val="22"/>
          <w:u w:val="single"/>
        </w:rPr>
      </w:pPr>
      <w:r w:rsidRPr="00AB7697">
        <w:rPr>
          <w:sz w:val="22"/>
          <w:u w:val="single"/>
        </w:rPr>
        <w:t>Pediatrisk Crohns sykdom</w:t>
      </w:r>
    </w:p>
    <w:p w14:paraId="7E3CAE0E" w14:textId="77777777" w:rsidR="00E90360" w:rsidRPr="00E90360" w:rsidRDefault="00E90360" w:rsidP="00E90360">
      <w:pPr>
        <w:keepNext/>
        <w:rPr>
          <w:sz w:val="22"/>
          <w:szCs w:val="22"/>
        </w:rPr>
      </w:pPr>
    </w:p>
    <w:p w14:paraId="78EE4133" w14:textId="77777777" w:rsidR="00E90360" w:rsidRPr="00E90360" w:rsidRDefault="00E453CD" w:rsidP="00776A84">
      <w:pPr>
        <w:rPr>
          <w:sz w:val="22"/>
          <w:szCs w:val="22"/>
        </w:rPr>
      </w:pPr>
      <w:r w:rsidRPr="00E90360">
        <w:rPr>
          <w:sz w:val="22"/>
          <w:szCs w:val="22"/>
        </w:rPr>
        <w:t>Crohns sykdom er en betennelsessykdom i fordøyelseskanalen.</w:t>
      </w:r>
    </w:p>
    <w:p w14:paraId="674833F1" w14:textId="77777777" w:rsidR="00E90360" w:rsidRPr="00E90360" w:rsidRDefault="00E90360" w:rsidP="00E90360">
      <w:pPr>
        <w:rPr>
          <w:szCs w:val="22"/>
        </w:rPr>
      </w:pPr>
    </w:p>
    <w:p w14:paraId="57FD8C7A" w14:textId="77777777" w:rsidR="00E90360" w:rsidRPr="00E90360" w:rsidRDefault="00E453CD" w:rsidP="00AB7697">
      <w:pPr>
        <w:rPr>
          <w:sz w:val="22"/>
          <w:szCs w:val="22"/>
        </w:rPr>
      </w:pPr>
      <w:r w:rsidRPr="00E90360">
        <w:rPr>
          <w:sz w:val="22"/>
          <w:szCs w:val="22"/>
        </w:rPr>
        <w:t xml:space="preserve">Humira brukes </w:t>
      </w:r>
      <w:r w:rsidR="002156F5">
        <w:rPr>
          <w:sz w:val="22"/>
          <w:szCs w:val="22"/>
        </w:rPr>
        <w:t>til</w:t>
      </w:r>
      <w:r w:rsidRPr="00E90360">
        <w:rPr>
          <w:sz w:val="22"/>
          <w:szCs w:val="22"/>
        </w:rPr>
        <w:t xml:space="preserve"> å behandle</w:t>
      </w:r>
      <w:r w:rsidR="000A3367">
        <w:rPr>
          <w:sz w:val="22"/>
          <w:szCs w:val="21"/>
        </w:rPr>
        <w:t xml:space="preserve"> </w:t>
      </w:r>
      <w:r w:rsidRPr="00E90360">
        <w:rPr>
          <w:sz w:val="22"/>
          <w:szCs w:val="21"/>
        </w:rPr>
        <w:t>moderat til alvorlig Crohns sykdom hos</w:t>
      </w:r>
      <w:r w:rsidRPr="00E90360">
        <w:rPr>
          <w:sz w:val="22"/>
          <w:szCs w:val="20"/>
        </w:rPr>
        <w:t xml:space="preserve"> barn </w:t>
      </w:r>
      <w:r w:rsidRPr="00E90360">
        <w:rPr>
          <w:sz w:val="22"/>
          <w:szCs w:val="21"/>
        </w:rPr>
        <w:t xml:space="preserve">og ungdom </w:t>
      </w:r>
      <w:r w:rsidRPr="00E90360">
        <w:rPr>
          <w:sz w:val="22"/>
          <w:szCs w:val="22"/>
        </w:rPr>
        <w:t>fra</w:t>
      </w:r>
      <w:r w:rsidRPr="00E90360">
        <w:rPr>
          <w:sz w:val="22"/>
          <w:szCs w:val="20"/>
        </w:rPr>
        <w:t xml:space="preserve"> 6 til 17 år.</w:t>
      </w:r>
    </w:p>
    <w:p w14:paraId="3502FBB0" w14:textId="77777777" w:rsidR="00E90360" w:rsidRPr="00E90360" w:rsidRDefault="00E90360" w:rsidP="00E90360">
      <w:pPr>
        <w:rPr>
          <w:sz w:val="22"/>
          <w:szCs w:val="22"/>
        </w:rPr>
      </w:pPr>
    </w:p>
    <w:p w14:paraId="4E7E60D5" w14:textId="77777777" w:rsidR="00E90360" w:rsidRPr="00E90360" w:rsidRDefault="00E453CD" w:rsidP="00E90360">
      <w:pPr>
        <w:rPr>
          <w:sz w:val="22"/>
          <w:szCs w:val="22"/>
        </w:rPr>
      </w:pPr>
      <w:r w:rsidRPr="00E90360">
        <w:rPr>
          <w:sz w:val="22"/>
          <w:szCs w:val="22"/>
        </w:rPr>
        <w:t xml:space="preserve">Det kan hende </w:t>
      </w:r>
      <w:r w:rsidR="004D1C48">
        <w:rPr>
          <w:sz w:val="22"/>
          <w:szCs w:val="22"/>
        </w:rPr>
        <w:t>barnet ditt</w:t>
      </w:r>
      <w:r w:rsidR="004D1C48" w:rsidRPr="00E90360">
        <w:rPr>
          <w:sz w:val="22"/>
          <w:szCs w:val="22"/>
        </w:rPr>
        <w:t xml:space="preserve"> </w:t>
      </w:r>
      <w:r w:rsidRPr="00E90360">
        <w:rPr>
          <w:sz w:val="22"/>
          <w:szCs w:val="22"/>
        </w:rPr>
        <w:t xml:space="preserve">først får andre legemidler. Dersom </w:t>
      </w:r>
      <w:r w:rsidR="000A3367">
        <w:rPr>
          <w:sz w:val="22"/>
          <w:szCs w:val="22"/>
        </w:rPr>
        <w:t>disse legemidlene ikke virker</w:t>
      </w:r>
      <w:r w:rsidRPr="00E90360">
        <w:rPr>
          <w:sz w:val="22"/>
          <w:szCs w:val="22"/>
        </w:rPr>
        <w:t xml:space="preserve"> godt nok, vil </w:t>
      </w:r>
      <w:r w:rsidR="004D1C48">
        <w:rPr>
          <w:sz w:val="22"/>
          <w:szCs w:val="22"/>
        </w:rPr>
        <w:t>barnet ditt</w:t>
      </w:r>
      <w:r w:rsidR="004D1C48" w:rsidRPr="00E90360">
        <w:rPr>
          <w:sz w:val="22"/>
          <w:szCs w:val="22"/>
        </w:rPr>
        <w:t xml:space="preserve"> </w:t>
      </w:r>
      <w:r w:rsidRPr="00E90360">
        <w:rPr>
          <w:sz w:val="22"/>
          <w:szCs w:val="22"/>
        </w:rPr>
        <w:t>få Humira</w:t>
      </w:r>
      <w:r w:rsidR="000A3367">
        <w:rPr>
          <w:sz w:val="22"/>
          <w:szCs w:val="22"/>
        </w:rPr>
        <w:t xml:space="preserve"> for å redusere tegn og symptomer på sykdommen</w:t>
      </w:r>
      <w:r w:rsidRPr="00E90360">
        <w:rPr>
          <w:sz w:val="22"/>
          <w:szCs w:val="22"/>
        </w:rPr>
        <w:t>.</w:t>
      </w:r>
    </w:p>
    <w:p w14:paraId="6155B9AC" w14:textId="77777777" w:rsidR="00E90360" w:rsidRPr="00E90360" w:rsidRDefault="00E90360" w:rsidP="00E90360">
      <w:pPr>
        <w:rPr>
          <w:sz w:val="22"/>
          <w:szCs w:val="22"/>
        </w:rPr>
      </w:pPr>
    </w:p>
    <w:p w14:paraId="30C0E3B6" w14:textId="77777777" w:rsidR="00E90360" w:rsidRPr="00AB7697" w:rsidRDefault="00E453CD" w:rsidP="00776A84">
      <w:pPr>
        <w:keepNext/>
        <w:tabs>
          <w:tab w:val="left" w:pos="562"/>
        </w:tabs>
        <w:suppressAutoHyphens/>
        <w:rPr>
          <w:sz w:val="22"/>
          <w:szCs w:val="20"/>
          <w:u w:val="single"/>
        </w:rPr>
      </w:pPr>
      <w:r>
        <w:rPr>
          <w:sz w:val="22"/>
          <w:szCs w:val="20"/>
          <w:u w:val="single"/>
        </w:rPr>
        <w:t>Pediatrisk</w:t>
      </w:r>
      <w:r w:rsidRPr="00AB7697">
        <w:rPr>
          <w:sz w:val="22"/>
          <w:szCs w:val="20"/>
          <w:u w:val="single"/>
        </w:rPr>
        <w:t xml:space="preserve"> uveitt</w:t>
      </w:r>
    </w:p>
    <w:p w14:paraId="72EC89FE" w14:textId="77777777" w:rsidR="00E90360" w:rsidRPr="00E90360" w:rsidRDefault="00E90360" w:rsidP="00776A84">
      <w:pPr>
        <w:keepNext/>
        <w:tabs>
          <w:tab w:val="left" w:pos="562"/>
        </w:tabs>
        <w:suppressAutoHyphens/>
        <w:rPr>
          <w:sz w:val="22"/>
          <w:szCs w:val="22"/>
          <w:u w:val="single"/>
        </w:rPr>
      </w:pPr>
    </w:p>
    <w:p w14:paraId="7776BD0C" w14:textId="77777777" w:rsidR="00E90360" w:rsidRPr="00E90360" w:rsidRDefault="00E453CD" w:rsidP="00E90360">
      <w:pPr>
        <w:tabs>
          <w:tab w:val="left" w:pos="562"/>
        </w:tabs>
        <w:suppressAutoHyphens/>
        <w:rPr>
          <w:sz w:val="22"/>
          <w:szCs w:val="22"/>
        </w:rPr>
      </w:pPr>
      <w:r w:rsidRPr="00E90360">
        <w:rPr>
          <w:sz w:val="22"/>
          <w:szCs w:val="22"/>
        </w:rPr>
        <w:t>Ikke-infeksiøs uveitt er en betennelsessykdom som påvirker visse deler av øyet.</w:t>
      </w:r>
    </w:p>
    <w:p w14:paraId="213F653B" w14:textId="77777777" w:rsidR="00E90360" w:rsidRPr="00E90360" w:rsidRDefault="00E90360" w:rsidP="00E90360">
      <w:pPr>
        <w:tabs>
          <w:tab w:val="left" w:pos="562"/>
        </w:tabs>
        <w:suppressAutoHyphens/>
        <w:rPr>
          <w:sz w:val="22"/>
          <w:szCs w:val="22"/>
        </w:rPr>
      </w:pPr>
    </w:p>
    <w:p w14:paraId="181B4341" w14:textId="77777777" w:rsidR="00E90360" w:rsidRPr="00E90360" w:rsidRDefault="00E453CD" w:rsidP="00AB7697">
      <w:pPr>
        <w:tabs>
          <w:tab w:val="left" w:pos="562"/>
        </w:tabs>
        <w:suppressAutoHyphens/>
        <w:rPr>
          <w:sz w:val="22"/>
          <w:szCs w:val="22"/>
        </w:rPr>
      </w:pPr>
      <w:r w:rsidRPr="00E90360">
        <w:rPr>
          <w:sz w:val="22"/>
          <w:szCs w:val="22"/>
        </w:rPr>
        <w:t xml:space="preserve">Humira brukes </w:t>
      </w:r>
      <w:r w:rsidR="002156F5">
        <w:rPr>
          <w:sz w:val="22"/>
          <w:szCs w:val="22"/>
        </w:rPr>
        <w:t>til</w:t>
      </w:r>
      <w:r w:rsidRPr="00E90360">
        <w:rPr>
          <w:sz w:val="22"/>
          <w:szCs w:val="22"/>
        </w:rPr>
        <w:t xml:space="preserve"> å behandle barn</w:t>
      </w:r>
      <w:r w:rsidR="00D02737">
        <w:rPr>
          <w:sz w:val="22"/>
          <w:szCs w:val="22"/>
        </w:rPr>
        <w:t xml:space="preserve"> over</w:t>
      </w:r>
      <w:r w:rsidRPr="00E90360">
        <w:rPr>
          <w:sz w:val="22"/>
          <w:szCs w:val="22"/>
        </w:rPr>
        <w:t xml:space="preserve"> 2 år med kronisk ikke-infeksiøs uveitt med betennelse som påvirker fremre del av øyet (regnbuehinnebetennelse)</w:t>
      </w:r>
    </w:p>
    <w:p w14:paraId="68EFDEA4" w14:textId="77777777" w:rsidR="00E90360" w:rsidRPr="00E90360" w:rsidRDefault="00E90360" w:rsidP="00E90360">
      <w:pPr>
        <w:tabs>
          <w:tab w:val="left" w:pos="562"/>
        </w:tabs>
        <w:suppressAutoHyphens/>
        <w:rPr>
          <w:sz w:val="22"/>
          <w:szCs w:val="22"/>
        </w:rPr>
      </w:pPr>
    </w:p>
    <w:p w14:paraId="553D2519" w14:textId="77777777" w:rsidR="00E90360" w:rsidRPr="00E90360" w:rsidRDefault="00E453CD" w:rsidP="00E90360">
      <w:pPr>
        <w:tabs>
          <w:tab w:val="left" w:pos="562"/>
        </w:tabs>
        <w:suppressAutoHyphens/>
        <w:rPr>
          <w:sz w:val="22"/>
          <w:szCs w:val="22"/>
        </w:rPr>
      </w:pPr>
      <w:r w:rsidRPr="00E90360">
        <w:rPr>
          <w:sz w:val="22"/>
          <w:szCs w:val="22"/>
        </w:rPr>
        <w:t>Denne betennelsen kan føre til nedsatt syn og/eller tilstedeværelse av flytende legemer i øyet (svarte prikker eller ujevne linjer som beveger seg over synsfeltet). Humira virker ved å redusere denne betennelsen.</w:t>
      </w:r>
    </w:p>
    <w:p w14:paraId="25C52306" w14:textId="77777777" w:rsidR="00E90360" w:rsidRPr="00E90360" w:rsidRDefault="00E90360" w:rsidP="00E90360">
      <w:pPr>
        <w:tabs>
          <w:tab w:val="left" w:pos="562"/>
        </w:tabs>
        <w:suppressAutoHyphens/>
        <w:rPr>
          <w:sz w:val="22"/>
          <w:szCs w:val="22"/>
        </w:rPr>
      </w:pPr>
    </w:p>
    <w:p w14:paraId="16DD6916" w14:textId="77777777" w:rsidR="00E90360" w:rsidRPr="00E90360" w:rsidRDefault="00E453CD" w:rsidP="00E90360">
      <w:pPr>
        <w:tabs>
          <w:tab w:val="left" w:pos="562"/>
        </w:tabs>
        <w:suppressAutoHyphens/>
        <w:rPr>
          <w:sz w:val="22"/>
          <w:szCs w:val="22"/>
        </w:rPr>
      </w:pPr>
      <w:r w:rsidRPr="00E90360">
        <w:rPr>
          <w:sz w:val="22"/>
          <w:szCs w:val="22"/>
        </w:rPr>
        <w:t xml:space="preserve">Det kan hende </w:t>
      </w:r>
      <w:r w:rsidR="004D1C48">
        <w:rPr>
          <w:sz w:val="22"/>
          <w:szCs w:val="22"/>
        </w:rPr>
        <w:t>barnet ditt</w:t>
      </w:r>
      <w:r w:rsidR="004D1C48" w:rsidRPr="00E90360">
        <w:rPr>
          <w:sz w:val="22"/>
          <w:szCs w:val="22"/>
        </w:rPr>
        <w:t xml:space="preserve"> </w:t>
      </w:r>
      <w:r w:rsidRPr="00E90360">
        <w:rPr>
          <w:sz w:val="22"/>
          <w:szCs w:val="22"/>
        </w:rPr>
        <w:t xml:space="preserve">først får andre legemidler. Dersom </w:t>
      </w:r>
      <w:r w:rsidR="000A3367">
        <w:rPr>
          <w:sz w:val="22"/>
          <w:szCs w:val="22"/>
        </w:rPr>
        <w:t>disse legemidlene ikke virker</w:t>
      </w:r>
      <w:r w:rsidRPr="00E90360">
        <w:rPr>
          <w:sz w:val="22"/>
          <w:szCs w:val="22"/>
        </w:rPr>
        <w:t xml:space="preserve"> godt nok, vil </w:t>
      </w:r>
      <w:r w:rsidR="004D1C48">
        <w:rPr>
          <w:sz w:val="22"/>
          <w:szCs w:val="22"/>
        </w:rPr>
        <w:t>barnet ditt</w:t>
      </w:r>
      <w:r w:rsidR="004D1C48" w:rsidRPr="00E90360">
        <w:rPr>
          <w:sz w:val="22"/>
          <w:szCs w:val="22"/>
        </w:rPr>
        <w:t xml:space="preserve"> </w:t>
      </w:r>
      <w:r w:rsidRPr="00E90360">
        <w:rPr>
          <w:sz w:val="22"/>
          <w:szCs w:val="22"/>
        </w:rPr>
        <w:t>få Humira</w:t>
      </w:r>
      <w:r w:rsidR="000A3367">
        <w:rPr>
          <w:sz w:val="22"/>
          <w:szCs w:val="22"/>
        </w:rPr>
        <w:t xml:space="preserve"> for å redusere tegn og symptomer på sykdommen</w:t>
      </w:r>
      <w:r w:rsidRPr="00E90360">
        <w:rPr>
          <w:sz w:val="22"/>
          <w:szCs w:val="22"/>
        </w:rPr>
        <w:t>.</w:t>
      </w:r>
    </w:p>
    <w:p w14:paraId="4715248B" w14:textId="77777777" w:rsidR="00E90360" w:rsidRPr="00E90360" w:rsidRDefault="00E90360" w:rsidP="00E90360">
      <w:pPr>
        <w:rPr>
          <w:sz w:val="22"/>
          <w:szCs w:val="22"/>
        </w:rPr>
      </w:pPr>
    </w:p>
    <w:p w14:paraId="1127C124" w14:textId="77777777" w:rsidR="00E90360" w:rsidRPr="00E90360" w:rsidRDefault="00E90360" w:rsidP="00E90360">
      <w:pPr>
        <w:suppressAutoHyphens/>
        <w:rPr>
          <w:sz w:val="22"/>
          <w:szCs w:val="22"/>
        </w:rPr>
      </w:pPr>
    </w:p>
    <w:p w14:paraId="3D2930FC" w14:textId="77777777" w:rsidR="00E90360" w:rsidRPr="00E90360" w:rsidRDefault="00E453CD" w:rsidP="00AB7697">
      <w:pPr>
        <w:keepNext/>
        <w:suppressAutoHyphens/>
        <w:ind w:left="621" w:hanging="621"/>
        <w:rPr>
          <w:sz w:val="22"/>
          <w:szCs w:val="22"/>
        </w:rPr>
      </w:pPr>
      <w:r w:rsidRPr="00E90360">
        <w:rPr>
          <w:b/>
          <w:sz w:val="22"/>
          <w:szCs w:val="22"/>
        </w:rPr>
        <w:t>2.</w:t>
      </w:r>
      <w:r w:rsidRPr="00E90360">
        <w:rPr>
          <w:b/>
          <w:sz w:val="22"/>
          <w:szCs w:val="22"/>
        </w:rPr>
        <w:tab/>
        <w:t>Hva du må vite før barnet ditt bruker Humira</w:t>
      </w:r>
    </w:p>
    <w:p w14:paraId="70490225" w14:textId="77777777" w:rsidR="00E90360" w:rsidRPr="00E90360" w:rsidRDefault="00E90360" w:rsidP="00AB7697">
      <w:pPr>
        <w:keepNext/>
        <w:ind w:left="621" w:hanging="621"/>
        <w:rPr>
          <w:sz w:val="22"/>
          <w:szCs w:val="22"/>
        </w:rPr>
      </w:pPr>
    </w:p>
    <w:p w14:paraId="3BE43409" w14:textId="77777777" w:rsidR="00E90360" w:rsidRPr="00E90360" w:rsidRDefault="00E453CD" w:rsidP="00AB7697">
      <w:pPr>
        <w:keepNext/>
        <w:suppressAutoHyphens/>
        <w:ind w:left="480" w:hanging="480"/>
        <w:rPr>
          <w:b/>
          <w:sz w:val="22"/>
          <w:szCs w:val="22"/>
        </w:rPr>
      </w:pPr>
      <w:r w:rsidRPr="00E90360">
        <w:rPr>
          <w:b/>
          <w:sz w:val="22"/>
          <w:szCs w:val="22"/>
        </w:rPr>
        <w:t>Bruk ikke Humira:</w:t>
      </w:r>
    </w:p>
    <w:p w14:paraId="3CAD1B01" w14:textId="77777777" w:rsidR="00E90360" w:rsidRPr="00E90360" w:rsidRDefault="00E90360" w:rsidP="00AB7697">
      <w:pPr>
        <w:keepNext/>
        <w:suppressAutoHyphens/>
        <w:ind w:left="480" w:hanging="426"/>
        <w:rPr>
          <w:sz w:val="22"/>
          <w:szCs w:val="22"/>
        </w:rPr>
      </w:pPr>
    </w:p>
    <w:p w14:paraId="57F1D81E" w14:textId="77777777" w:rsidR="00E90360" w:rsidRPr="00E90360" w:rsidRDefault="00E453CD" w:rsidP="00776A84">
      <w:pPr>
        <w:numPr>
          <w:ilvl w:val="0"/>
          <w:numId w:val="3"/>
        </w:numPr>
        <w:ind w:left="714" w:hanging="357"/>
        <w:rPr>
          <w:sz w:val="22"/>
          <w:szCs w:val="22"/>
        </w:rPr>
      </w:pPr>
      <w:r>
        <w:rPr>
          <w:sz w:val="22"/>
          <w:szCs w:val="22"/>
        </w:rPr>
        <w:t>D</w:t>
      </w:r>
      <w:r w:rsidRPr="00E90360">
        <w:rPr>
          <w:sz w:val="22"/>
          <w:szCs w:val="22"/>
        </w:rPr>
        <w:t>ersom barnet ditt er allergisk overfor adalimumab eller noen av de andre innholdsstoffene i dette legemidlet (listet opp i avsnitt 6).</w:t>
      </w:r>
    </w:p>
    <w:p w14:paraId="73FCE02B" w14:textId="77777777" w:rsidR="00E90360" w:rsidRPr="00E90360" w:rsidRDefault="00E90360" w:rsidP="00E90360">
      <w:pPr>
        <w:ind w:left="567"/>
        <w:rPr>
          <w:sz w:val="22"/>
          <w:szCs w:val="22"/>
        </w:rPr>
      </w:pPr>
    </w:p>
    <w:p w14:paraId="4730D9B1" w14:textId="77777777" w:rsidR="00E90360" w:rsidRPr="00E90360" w:rsidRDefault="00E453CD" w:rsidP="00E90360">
      <w:pPr>
        <w:numPr>
          <w:ilvl w:val="0"/>
          <w:numId w:val="3"/>
        </w:numPr>
        <w:rPr>
          <w:sz w:val="22"/>
          <w:szCs w:val="22"/>
        </w:rPr>
      </w:pPr>
      <w:r>
        <w:rPr>
          <w:sz w:val="22"/>
          <w:szCs w:val="22"/>
        </w:rPr>
        <w:t>D</w:t>
      </w:r>
      <w:r w:rsidRPr="00E90360">
        <w:rPr>
          <w:sz w:val="22"/>
          <w:szCs w:val="22"/>
        </w:rPr>
        <w:t xml:space="preserve">ersom barnet ditt har aktiv tuberkulose eller andre alvorlige infeksjoner (se </w:t>
      </w:r>
      <w:r w:rsidR="00D57009">
        <w:rPr>
          <w:sz w:val="22"/>
          <w:szCs w:val="22"/>
        </w:rPr>
        <w:t>«</w:t>
      </w:r>
      <w:r w:rsidRPr="00E90360">
        <w:rPr>
          <w:sz w:val="22"/>
          <w:szCs w:val="22"/>
        </w:rPr>
        <w:t>Advarsler og forsiktighetsregler</w:t>
      </w:r>
      <w:r w:rsidR="00D57009">
        <w:rPr>
          <w:sz w:val="22"/>
          <w:szCs w:val="22"/>
        </w:rPr>
        <w:t>»</w:t>
      </w:r>
      <w:r w:rsidRPr="00E90360">
        <w:rPr>
          <w:sz w:val="22"/>
          <w:szCs w:val="22"/>
        </w:rPr>
        <w:t>). Det er viktig at du informerer legen din om barnet ditt har symptomer på infeksjon, som f.eks. feber, sår, tretthet, problemer med tennene.</w:t>
      </w:r>
    </w:p>
    <w:p w14:paraId="381C2FBF" w14:textId="77777777" w:rsidR="00E90360" w:rsidRPr="00E90360" w:rsidRDefault="00E90360" w:rsidP="00E90360">
      <w:pPr>
        <w:ind w:left="567"/>
        <w:rPr>
          <w:sz w:val="22"/>
          <w:szCs w:val="22"/>
        </w:rPr>
      </w:pPr>
    </w:p>
    <w:p w14:paraId="2C608110" w14:textId="77777777" w:rsidR="00E90360" w:rsidRPr="00E90360" w:rsidRDefault="00E453CD" w:rsidP="00E90360">
      <w:pPr>
        <w:numPr>
          <w:ilvl w:val="0"/>
          <w:numId w:val="3"/>
        </w:numPr>
        <w:rPr>
          <w:sz w:val="22"/>
          <w:szCs w:val="22"/>
        </w:rPr>
      </w:pPr>
      <w:r>
        <w:rPr>
          <w:sz w:val="22"/>
          <w:szCs w:val="22"/>
        </w:rPr>
        <w:t>D</w:t>
      </w:r>
      <w:r w:rsidRPr="00E90360">
        <w:rPr>
          <w:sz w:val="22"/>
          <w:szCs w:val="22"/>
        </w:rPr>
        <w:t xml:space="preserve">ersom barnet ditt har moderat til alvorlig hjertesvikt. Det er viktig at du forteller legen din hvis barnet ditt har eller har hatt en alvorlig hjertesykdom (se </w:t>
      </w:r>
      <w:r w:rsidR="00D57009">
        <w:rPr>
          <w:sz w:val="22"/>
          <w:szCs w:val="22"/>
        </w:rPr>
        <w:t>«</w:t>
      </w:r>
      <w:r w:rsidRPr="00E90360">
        <w:rPr>
          <w:sz w:val="22"/>
          <w:szCs w:val="22"/>
        </w:rPr>
        <w:t>Advarsler og forsiktighetsregler</w:t>
      </w:r>
      <w:r w:rsidR="00D57009">
        <w:rPr>
          <w:sz w:val="22"/>
          <w:szCs w:val="22"/>
        </w:rPr>
        <w:t>»</w:t>
      </w:r>
      <w:r w:rsidRPr="00E90360">
        <w:rPr>
          <w:sz w:val="22"/>
          <w:szCs w:val="22"/>
        </w:rPr>
        <w:t>).</w:t>
      </w:r>
    </w:p>
    <w:p w14:paraId="0D441204" w14:textId="77777777" w:rsidR="00E90360" w:rsidRPr="00E90360" w:rsidRDefault="00E90360" w:rsidP="00E90360">
      <w:pPr>
        <w:tabs>
          <w:tab w:val="num" w:pos="567"/>
        </w:tabs>
        <w:suppressAutoHyphens/>
        <w:ind w:left="567" w:hanging="567"/>
        <w:rPr>
          <w:sz w:val="22"/>
          <w:szCs w:val="22"/>
        </w:rPr>
      </w:pPr>
    </w:p>
    <w:p w14:paraId="0773D6B5" w14:textId="77777777" w:rsidR="00E90360" w:rsidRPr="003461C8" w:rsidRDefault="00E453CD" w:rsidP="00E90360">
      <w:pPr>
        <w:tabs>
          <w:tab w:val="num" w:pos="567"/>
        </w:tabs>
        <w:suppressAutoHyphens/>
        <w:ind w:left="567" w:hanging="567"/>
        <w:rPr>
          <w:sz w:val="22"/>
          <w:szCs w:val="22"/>
        </w:rPr>
      </w:pPr>
      <w:r w:rsidRPr="00E90360">
        <w:rPr>
          <w:b/>
          <w:sz w:val="22"/>
          <w:szCs w:val="22"/>
        </w:rPr>
        <w:lastRenderedPageBreak/>
        <w:t>Advarsler og forsiktighetsregler</w:t>
      </w:r>
    </w:p>
    <w:p w14:paraId="02009A86" w14:textId="77777777" w:rsidR="00E90360" w:rsidRPr="00E90360" w:rsidRDefault="00E90360" w:rsidP="00E90360">
      <w:pPr>
        <w:tabs>
          <w:tab w:val="num" w:pos="567"/>
        </w:tabs>
        <w:suppressAutoHyphens/>
        <w:ind w:left="567" w:hanging="567"/>
        <w:rPr>
          <w:sz w:val="22"/>
          <w:szCs w:val="22"/>
        </w:rPr>
      </w:pPr>
    </w:p>
    <w:p w14:paraId="6C34C611" w14:textId="77777777" w:rsidR="00E90360" w:rsidRPr="00E90360" w:rsidRDefault="00E453CD" w:rsidP="00E90360">
      <w:pPr>
        <w:suppressAutoHyphens/>
        <w:ind w:left="567" w:hanging="567"/>
        <w:rPr>
          <w:sz w:val="22"/>
          <w:szCs w:val="22"/>
        </w:rPr>
      </w:pPr>
      <w:r w:rsidRPr="00E90360">
        <w:rPr>
          <w:sz w:val="22"/>
          <w:szCs w:val="22"/>
        </w:rPr>
        <w:t>Snakk med legen din eller apotek før Humira brukes.</w:t>
      </w:r>
    </w:p>
    <w:p w14:paraId="3F9F6DA5" w14:textId="77777777" w:rsidR="00E90360" w:rsidRPr="00E90360" w:rsidRDefault="00E90360" w:rsidP="00E90360">
      <w:pPr>
        <w:suppressAutoHyphens/>
        <w:ind w:left="567" w:hanging="567"/>
        <w:rPr>
          <w:sz w:val="22"/>
          <w:szCs w:val="22"/>
        </w:rPr>
      </w:pPr>
    </w:p>
    <w:p w14:paraId="623E19E6" w14:textId="77777777" w:rsidR="00E90360" w:rsidRPr="00E90360" w:rsidRDefault="00E453CD" w:rsidP="00E90360">
      <w:pPr>
        <w:keepNext/>
        <w:suppressAutoHyphens/>
        <w:ind w:left="567" w:hanging="567"/>
        <w:rPr>
          <w:sz w:val="22"/>
          <w:szCs w:val="22"/>
        </w:rPr>
      </w:pPr>
      <w:r w:rsidRPr="00E90360">
        <w:rPr>
          <w:sz w:val="22"/>
          <w:szCs w:val="22"/>
          <w:u w:val="single"/>
        </w:rPr>
        <w:t>Allergiske reaksjoner</w:t>
      </w:r>
    </w:p>
    <w:p w14:paraId="037466EC" w14:textId="77777777" w:rsidR="00E90360" w:rsidRPr="00E90360" w:rsidRDefault="00E90360" w:rsidP="00E90360">
      <w:pPr>
        <w:keepNext/>
        <w:suppressAutoHyphens/>
        <w:ind w:left="567" w:hanging="567"/>
        <w:rPr>
          <w:sz w:val="22"/>
          <w:szCs w:val="22"/>
        </w:rPr>
      </w:pPr>
    </w:p>
    <w:p w14:paraId="239D2176" w14:textId="77777777" w:rsidR="00E90360" w:rsidRPr="00E90360" w:rsidRDefault="00E453CD" w:rsidP="00776A84">
      <w:pPr>
        <w:numPr>
          <w:ilvl w:val="0"/>
          <w:numId w:val="3"/>
        </w:numPr>
        <w:suppressAutoHyphens/>
        <w:ind w:left="714" w:hanging="357"/>
        <w:rPr>
          <w:sz w:val="22"/>
          <w:szCs w:val="22"/>
        </w:rPr>
      </w:pPr>
      <w:r w:rsidRPr="00E90360">
        <w:rPr>
          <w:sz w:val="22"/>
          <w:szCs w:val="22"/>
        </w:rPr>
        <w:t xml:space="preserve">Dersom barnet ditt får allergiske reaksjoner med symptomer som tetthet eller piping i brystet, svimmelhet, hevelse eller utslett, må du ikke </w:t>
      </w:r>
      <w:r w:rsidRPr="00E90360">
        <w:rPr>
          <w:color w:val="000000"/>
          <w:sz w:val="22"/>
          <w:szCs w:val="22"/>
        </w:rPr>
        <w:t xml:space="preserve">fortsette å </w:t>
      </w:r>
      <w:r w:rsidR="00162CC0">
        <w:rPr>
          <w:color w:val="000000"/>
          <w:sz w:val="22"/>
          <w:szCs w:val="22"/>
        </w:rPr>
        <w:t>injisere</w:t>
      </w:r>
      <w:r w:rsidRPr="00E90360">
        <w:rPr>
          <w:sz w:val="22"/>
          <w:szCs w:val="22"/>
        </w:rPr>
        <w:t xml:space="preserve"> Humira, men kontakte legen din umiddelbart </w:t>
      </w:r>
      <w:r w:rsidRPr="00AB7697">
        <w:rPr>
          <w:sz w:val="22"/>
          <w:szCs w:val="22"/>
        </w:rPr>
        <w:t>siden disse reaksjonene i sjeldne tilfeller kan være livstruende</w:t>
      </w:r>
      <w:r w:rsidRPr="00314F62">
        <w:rPr>
          <w:sz w:val="22"/>
          <w:szCs w:val="22"/>
        </w:rPr>
        <w:t>.</w:t>
      </w:r>
    </w:p>
    <w:p w14:paraId="5E196868" w14:textId="77777777" w:rsidR="00E90360" w:rsidRPr="00E90360" w:rsidRDefault="00E90360" w:rsidP="00E90360">
      <w:pPr>
        <w:suppressAutoHyphens/>
        <w:ind w:left="567"/>
        <w:rPr>
          <w:sz w:val="22"/>
          <w:szCs w:val="22"/>
        </w:rPr>
      </w:pPr>
    </w:p>
    <w:p w14:paraId="0FC754FF" w14:textId="77777777" w:rsidR="00E90360" w:rsidRPr="00E90360" w:rsidRDefault="00E453CD" w:rsidP="00776A84">
      <w:pPr>
        <w:keepNext/>
        <w:suppressAutoHyphens/>
        <w:ind w:left="567" w:hanging="567"/>
        <w:rPr>
          <w:sz w:val="22"/>
          <w:szCs w:val="22"/>
        </w:rPr>
      </w:pPr>
      <w:r w:rsidRPr="00E90360">
        <w:rPr>
          <w:sz w:val="22"/>
          <w:szCs w:val="22"/>
          <w:u w:val="single"/>
        </w:rPr>
        <w:t>Infeksjoner</w:t>
      </w:r>
    </w:p>
    <w:p w14:paraId="6D146DBC" w14:textId="77777777" w:rsidR="00E90360" w:rsidRPr="00E90360" w:rsidRDefault="00E90360" w:rsidP="00776A84">
      <w:pPr>
        <w:keepNext/>
        <w:suppressAutoHyphens/>
        <w:ind w:left="567" w:hanging="567"/>
        <w:rPr>
          <w:sz w:val="22"/>
          <w:szCs w:val="22"/>
        </w:rPr>
      </w:pPr>
    </w:p>
    <w:p w14:paraId="43C2C0DB" w14:textId="77777777" w:rsidR="00E90360" w:rsidRPr="00E90360" w:rsidRDefault="00E453CD" w:rsidP="00E90360">
      <w:pPr>
        <w:numPr>
          <w:ilvl w:val="0"/>
          <w:numId w:val="3"/>
        </w:numPr>
        <w:suppressAutoHyphens/>
        <w:rPr>
          <w:sz w:val="22"/>
          <w:szCs w:val="22"/>
        </w:rPr>
      </w:pPr>
      <w:r w:rsidRPr="00E90360">
        <w:rPr>
          <w:sz w:val="22"/>
          <w:szCs w:val="22"/>
        </w:rPr>
        <w:t xml:space="preserve">Dersom barnet ditt har en infeksjon, inkludert langtidsinfeksjon eller en infeksjon i én del av kroppen (f.eks. leggsår) må du snakke med legen din før </w:t>
      </w:r>
      <w:r w:rsidR="0078048A">
        <w:rPr>
          <w:sz w:val="22"/>
          <w:szCs w:val="22"/>
        </w:rPr>
        <w:t>barnet ditt</w:t>
      </w:r>
      <w:r w:rsidRPr="00E90360">
        <w:rPr>
          <w:sz w:val="22"/>
          <w:szCs w:val="22"/>
        </w:rPr>
        <w:t xml:space="preserve"> begynner å bruke Humira. </w:t>
      </w:r>
      <w:r w:rsidR="007F6371">
        <w:rPr>
          <w:sz w:val="22"/>
          <w:szCs w:val="22"/>
        </w:rPr>
        <w:t>K</w:t>
      </w:r>
      <w:r w:rsidRPr="00E90360">
        <w:rPr>
          <w:sz w:val="22"/>
          <w:szCs w:val="22"/>
        </w:rPr>
        <w:t>ontakt legen din hvis du er usikker.</w:t>
      </w:r>
    </w:p>
    <w:p w14:paraId="216D5944" w14:textId="77777777" w:rsidR="00E90360" w:rsidRPr="00E90360" w:rsidRDefault="00E90360" w:rsidP="00E90360">
      <w:pPr>
        <w:suppressAutoHyphens/>
        <w:ind w:left="567"/>
        <w:rPr>
          <w:sz w:val="22"/>
          <w:szCs w:val="22"/>
        </w:rPr>
      </w:pPr>
    </w:p>
    <w:p w14:paraId="7B065905" w14:textId="77777777" w:rsidR="00E90360" w:rsidRPr="00E90360" w:rsidRDefault="00E453CD" w:rsidP="006936CB">
      <w:pPr>
        <w:keepNext/>
        <w:numPr>
          <w:ilvl w:val="0"/>
          <w:numId w:val="3"/>
        </w:numPr>
        <w:suppressAutoHyphens/>
        <w:rPr>
          <w:sz w:val="22"/>
          <w:szCs w:val="22"/>
        </w:rPr>
      </w:pPr>
      <w:r w:rsidRPr="00E90360">
        <w:rPr>
          <w:sz w:val="22"/>
          <w:szCs w:val="22"/>
        </w:rPr>
        <w:t>Barnet ditt kan lettere få infeksjoner mens han/hun behandles med Humira. Denne risikoen kan være større hvis barnet ditt har problemer med sin lungefunksjon. Disse infeksjonene kan være alvorlige og inkluderer:</w:t>
      </w:r>
    </w:p>
    <w:p w14:paraId="3D92146B" w14:textId="77777777" w:rsidR="00E90360" w:rsidRPr="00E90360" w:rsidRDefault="00E453CD" w:rsidP="006936CB">
      <w:pPr>
        <w:numPr>
          <w:ilvl w:val="1"/>
          <w:numId w:val="111"/>
        </w:numPr>
        <w:suppressAutoHyphens/>
        <w:ind w:left="1434" w:hanging="357"/>
        <w:rPr>
          <w:sz w:val="22"/>
          <w:szCs w:val="20"/>
          <w:lang w:val="en-GB"/>
        </w:rPr>
      </w:pPr>
      <w:r w:rsidRPr="00E90360">
        <w:rPr>
          <w:sz w:val="22"/>
          <w:szCs w:val="20"/>
          <w:lang w:val="en-GB"/>
        </w:rPr>
        <w:t>tuberkulose</w:t>
      </w:r>
    </w:p>
    <w:p w14:paraId="28263399" w14:textId="77777777" w:rsidR="00E90360" w:rsidRPr="00E90360" w:rsidRDefault="00E453CD" w:rsidP="00E90360">
      <w:pPr>
        <w:numPr>
          <w:ilvl w:val="1"/>
          <w:numId w:val="111"/>
        </w:numPr>
        <w:suppressAutoHyphens/>
        <w:rPr>
          <w:sz w:val="22"/>
          <w:szCs w:val="20"/>
        </w:rPr>
      </w:pPr>
      <w:r w:rsidRPr="00E90360">
        <w:rPr>
          <w:sz w:val="22"/>
          <w:szCs w:val="20"/>
        </w:rPr>
        <w:t xml:space="preserve">infeksjoner forårsaket av virus, sopp, parasitter eller </w:t>
      </w:r>
      <w:r w:rsidRPr="00E90360">
        <w:rPr>
          <w:sz w:val="22"/>
          <w:szCs w:val="22"/>
        </w:rPr>
        <w:t>bakterier</w:t>
      </w:r>
    </w:p>
    <w:p w14:paraId="5C964F8B" w14:textId="77777777" w:rsidR="00E90360" w:rsidRPr="00E90360" w:rsidRDefault="00E453CD" w:rsidP="00E90360">
      <w:pPr>
        <w:numPr>
          <w:ilvl w:val="1"/>
          <w:numId w:val="111"/>
        </w:numPr>
        <w:tabs>
          <w:tab w:val="left" w:pos="562"/>
        </w:tabs>
        <w:suppressAutoHyphens/>
        <w:rPr>
          <w:sz w:val="22"/>
          <w:szCs w:val="20"/>
        </w:rPr>
      </w:pPr>
      <w:r w:rsidRPr="00E90360">
        <w:rPr>
          <w:sz w:val="22"/>
          <w:szCs w:val="20"/>
        </w:rPr>
        <w:t>alvorlige infeksjoner i blodet (blodforgiftning)</w:t>
      </w:r>
    </w:p>
    <w:p w14:paraId="0D7674F8" w14:textId="77777777" w:rsidR="00E90360" w:rsidRPr="00E90360" w:rsidRDefault="00E90360" w:rsidP="00E90360">
      <w:pPr>
        <w:suppressAutoHyphens/>
        <w:ind w:left="567"/>
        <w:rPr>
          <w:sz w:val="22"/>
          <w:szCs w:val="22"/>
        </w:rPr>
      </w:pPr>
    </w:p>
    <w:p w14:paraId="14721009" w14:textId="77777777" w:rsidR="00E90360" w:rsidRPr="00E90360" w:rsidRDefault="00E453CD" w:rsidP="00E90360">
      <w:pPr>
        <w:suppressAutoHyphens/>
        <w:ind w:left="720"/>
        <w:rPr>
          <w:sz w:val="22"/>
          <w:szCs w:val="22"/>
        </w:rPr>
      </w:pPr>
      <w:r w:rsidRPr="00E90360">
        <w:rPr>
          <w:sz w:val="22"/>
          <w:szCs w:val="22"/>
        </w:rPr>
        <w:t>I sjeldne tilfeller kan disse infeksjonene være livstruende. Det er viktig å fortelle legen din dersom barnet ditt får symptomer som feber, sår, tretthet eller problemer med tennene. Legen din kan anbefale å avbryte behandlingen med Humira en stund.</w:t>
      </w:r>
    </w:p>
    <w:p w14:paraId="76DDD6BF" w14:textId="77777777" w:rsidR="00E90360" w:rsidRPr="00E90360" w:rsidRDefault="00E90360" w:rsidP="00E90360">
      <w:pPr>
        <w:suppressAutoHyphens/>
        <w:ind w:left="567"/>
        <w:rPr>
          <w:sz w:val="22"/>
          <w:szCs w:val="22"/>
        </w:rPr>
      </w:pPr>
    </w:p>
    <w:p w14:paraId="37846768" w14:textId="77777777" w:rsidR="00E90360" w:rsidRPr="00E90360" w:rsidRDefault="00E453CD" w:rsidP="00E90360">
      <w:pPr>
        <w:numPr>
          <w:ilvl w:val="0"/>
          <w:numId w:val="3"/>
        </w:numPr>
        <w:suppressAutoHyphens/>
        <w:rPr>
          <w:sz w:val="22"/>
          <w:szCs w:val="22"/>
        </w:rPr>
      </w:pPr>
      <w:r w:rsidRPr="00E90360">
        <w:rPr>
          <w:sz w:val="22"/>
          <w:szCs w:val="22"/>
        </w:rPr>
        <w:t>Gi beskjed til legen din om barnet ditt bor eller reiser i områder hvor soppinfeksjoner (f.eks. histoplasmose, koksidioidomykose eller blastomykose) er veldig vanlig.</w:t>
      </w:r>
    </w:p>
    <w:p w14:paraId="6D7FCABC" w14:textId="77777777" w:rsidR="00E90360" w:rsidRPr="00E90360" w:rsidRDefault="00E90360" w:rsidP="00E90360">
      <w:pPr>
        <w:suppressAutoHyphens/>
        <w:rPr>
          <w:sz w:val="22"/>
          <w:szCs w:val="22"/>
        </w:rPr>
      </w:pPr>
    </w:p>
    <w:p w14:paraId="5A9172D9" w14:textId="77777777" w:rsidR="00E90360" w:rsidRPr="00E90360" w:rsidRDefault="00E453CD" w:rsidP="00E90360">
      <w:pPr>
        <w:numPr>
          <w:ilvl w:val="0"/>
          <w:numId w:val="3"/>
        </w:numPr>
        <w:suppressAutoHyphens/>
        <w:rPr>
          <w:sz w:val="22"/>
          <w:szCs w:val="22"/>
        </w:rPr>
      </w:pPr>
      <w:r w:rsidRPr="00E90360">
        <w:rPr>
          <w:sz w:val="22"/>
          <w:szCs w:val="22"/>
        </w:rPr>
        <w:t>Gi beskjed til legen din om barnet ditt har hatt gjentatte infeksjoner eller andre lidelser som øker faren for infeksjoner.</w:t>
      </w:r>
    </w:p>
    <w:p w14:paraId="18EFE60C" w14:textId="77777777" w:rsidR="00E90360" w:rsidRPr="00E90360" w:rsidRDefault="00E90360" w:rsidP="00E90360">
      <w:pPr>
        <w:ind w:left="720"/>
        <w:rPr>
          <w:sz w:val="22"/>
          <w:szCs w:val="22"/>
        </w:rPr>
      </w:pPr>
    </w:p>
    <w:p w14:paraId="46590D76" w14:textId="77777777" w:rsidR="00E90360" w:rsidRPr="00E90360" w:rsidRDefault="00E453CD" w:rsidP="00E90360">
      <w:pPr>
        <w:numPr>
          <w:ilvl w:val="0"/>
          <w:numId w:val="3"/>
        </w:numPr>
        <w:suppressAutoHyphens/>
        <w:rPr>
          <w:sz w:val="22"/>
          <w:szCs w:val="22"/>
        </w:rPr>
      </w:pPr>
      <w:r w:rsidRPr="00E90360">
        <w:rPr>
          <w:sz w:val="22"/>
        </w:rPr>
        <w:t xml:space="preserve">Barnet ditt og hans/hennes lege bør være særlig oppmerksomme på tegn på infeksjoner mens barnet ditt blir behandlet med Humira. Det er viktig at du forteller legen din dersom barnet ditt får symptomer på infeksjoner, </w:t>
      </w:r>
      <w:r w:rsidRPr="00E90360">
        <w:rPr>
          <w:sz w:val="22"/>
          <w:szCs w:val="22"/>
        </w:rPr>
        <w:t>f.eks. feber, sår, trøtthet eller tannproblemer.</w:t>
      </w:r>
    </w:p>
    <w:p w14:paraId="61663D0F" w14:textId="77777777" w:rsidR="00E90360" w:rsidRPr="00E90360" w:rsidRDefault="00E90360" w:rsidP="00E90360">
      <w:pPr>
        <w:ind w:left="720"/>
        <w:rPr>
          <w:sz w:val="22"/>
          <w:szCs w:val="22"/>
        </w:rPr>
      </w:pPr>
    </w:p>
    <w:p w14:paraId="2A415672" w14:textId="77777777" w:rsidR="00E90360" w:rsidRPr="00E90360" w:rsidRDefault="00E453CD" w:rsidP="00776A84">
      <w:pPr>
        <w:keepNext/>
        <w:suppressAutoHyphens/>
        <w:rPr>
          <w:sz w:val="22"/>
          <w:szCs w:val="22"/>
          <w:u w:val="single"/>
        </w:rPr>
      </w:pPr>
      <w:r w:rsidRPr="00E90360">
        <w:rPr>
          <w:sz w:val="22"/>
          <w:szCs w:val="22"/>
          <w:u w:val="single"/>
        </w:rPr>
        <w:t>Tuberkulose</w:t>
      </w:r>
    </w:p>
    <w:p w14:paraId="279E1FC5" w14:textId="77777777" w:rsidR="00E90360" w:rsidRPr="00E90360" w:rsidRDefault="00E90360" w:rsidP="00776A84">
      <w:pPr>
        <w:keepNext/>
        <w:suppressAutoHyphens/>
        <w:rPr>
          <w:sz w:val="22"/>
          <w:szCs w:val="22"/>
        </w:rPr>
      </w:pPr>
    </w:p>
    <w:p w14:paraId="78357F90" w14:textId="77777777" w:rsidR="00E90360" w:rsidRDefault="00E453CD" w:rsidP="006936CB">
      <w:pPr>
        <w:numPr>
          <w:ilvl w:val="0"/>
          <w:numId w:val="3"/>
        </w:numPr>
        <w:suppressAutoHyphens/>
        <w:rPr>
          <w:sz w:val="22"/>
          <w:szCs w:val="22"/>
        </w:rPr>
      </w:pPr>
      <w:r w:rsidRPr="00E90360">
        <w:rPr>
          <w:sz w:val="22"/>
          <w:szCs w:val="22"/>
        </w:rPr>
        <w:t xml:space="preserve">Ettersom det har vært påvist tilfeller av tuberkulose hos pasienter under behandling med Humira, kommer legen din til å undersøke om barnet ditt har tegn eller symptomer på tuberkulose før Humira-behandling startes opp. Dette omfatter en grundig medisinsk </w:t>
      </w:r>
      <w:r w:rsidR="00BF02E7">
        <w:rPr>
          <w:sz w:val="22"/>
          <w:szCs w:val="22"/>
        </w:rPr>
        <w:t>vurdering</w:t>
      </w:r>
      <w:r w:rsidRPr="00E90360">
        <w:rPr>
          <w:sz w:val="22"/>
          <w:szCs w:val="22"/>
        </w:rPr>
        <w:t xml:space="preserve"> som vil inkludere barnets sykdomshistorie og passende screeningtester (f.eks. røntgenbilde av brystkasse og en tuberkulinprøve). Disse testene og resultatene bør registreres i </w:t>
      </w:r>
      <w:r w:rsidRPr="005C1170">
        <w:rPr>
          <w:b/>
          <w:sz w:val="22"/>
          <w:szCs w:val="22"/>
        </w:rPr>
        <w:t>pasientkortet</w:t>
      </w:r>
      <w:r w:rsidRPr="00E90360">
        <w:rPr>
          <w:sz w:val="22"/>
          <w:szCs w:val="22"/>
        </w:rPr>
        <w:t xml:space="preserve"> til barnet ditt.</w:t>
      </w:r>
    </w:p>
    <w:p w14:paraId="376B9D97" w14:textId="77777777" w:rsidR="00B376DE" w:rsidRDefault="00B376DE" w:rsidP="006936CB">
      <w:pPr>
        <w:suppressAutoHyphens/>
        <w:ind w:left="720"/>
        <w:rPr>
          <w:sz w:val="22"/>
          <w:szCs w:val="22"/>
        </w:rPr>
      </w:pPr>
    </w:p>
    <w:p w14:paraId="36898173" w14:textId="77777777" w:rsidR="00E854F3" w:rsidRPr="00E854F3" w:rsidRDefault="00E453CD" w:rsidP="00E854F3">
      <w:pPr>
        <w:numPr>
          <w:ilvl w:val="0"/>
          <w:numId w:val="3"/>
        </w:numPr>
        <w:tabs>
          <w:tab w:val="clear" w:pos="720"/>
          <w:tab w:val="num" w:pos="567"/>
          <w:tab w:val="num" w:pos="1440"/>
        </w:tabs>
        <w:suppressAutoHyphens/>
        <w:ind w:left="1440"/>
        <w:rPr>
          <w:sz w:val="22"/>
          <w:szCs w:val="22"/>
        </w:rPr>
      </w:pPr>
      <w:r w:rsidRPr="00E854F3">
        <w:rPr>
          <w:sz w:val="22"/>
          <w:szCs w:val="22"/>
        </w:rPr>
        <w:t>Det er veldig viktig at du forteller legen din om barnet ditt noensinne har hatt tuberkulose, eller om barnet ditt har vært i nær kontakt med noen som har hatt tuberkulose. Bruk ikke Humira hvis barnet ditt har tuberkulose.</w:t>
      </w:r>
    </w:p>
    <w:p w14:paraId="5437D937" w14:textId="77777777" w:rsidR="00E90360" w:rsidRPr="00E90360" w:rsidRDefault="00E453CD" w:rsidP="00E90360">
      <w:pPr>
        <w:numPr>
          <w:ilvl w:val="0"/>
          <w:numId w:val="3"/>
        </w:numPr>
        <w:tabs>
          <w:tab w:val="clear" w:pos="720"/>
          <w:tab w:val="num" w:pos="567"/>
          <w:tab w:val="num" w:pos="1440"/>
        </w:tabs>
        <w:suppressAutoHyphens/>
        <w:ind w:left="1440"/>
        <w:rPr>
          <w:sz w:val="22"/>
          <w:szCs w:val="22"/>
        </w:rPr>
      </w:pPr>
      <w:r w:rsidRPr="00E90360">
        <w:rPr>
          <w:sz w:val="22"/>
          <w:szCs w:val="22"/>
        </w:rPr>
        <w:t>Tuberkulose kan utvikles under behandling selv</w:t>
      </w:r>
      <w:r w:rsidR="007769F4">
        <w:rPr>
          <w:sz w:val="22"/>
          <w:szCs w:val="22"/>
        </w:rPr>
        <w:t xml:space="preserve"> </w:t>
      </w:r>
      <w:r w:rsidRPr="00E90360">
        <w:rPr>
          <w:sz w:val="22"/>
          <w:szCs w:val="22"/>
        </w:rPr>
        <w:t>om barnet ditt har mottatt forebyggende behandling mot tuberkulose.</w:t>
      </w:r>
    </w:p>
    <w:p w14:paraId="7D94F4E9" w14:textId="77777777" w:rsidR="00E90360" w:rsidRPr="00E90360" w:rsidRDefault="00E453CD" w:rsidP="00E90360">
      <w:pPr>
        <w:numPr>
          <w:ilvl w:val="0"/>
          <w:numId w:val="3"/>
        </w:numPr>
        <w:tabs>
          <w:tab w:val="clear" w:pos="720"/>
          <w:tab w:val="num" w:pos="567"/>
          <w:tab w:val="num" w:pos="1440"/>
        </w:tabs>
        <w:suppressAutoHyphens/>
        <w:ind w:left="1440"/>
        <w:rPr>
          <w:sz w:val="22"/>
          <w:szCs w:val="22"/>
        </w:rPr>
      </w:pPr>
      <w:r w:rsidRPr="00E90360">
        <w:rPr>
          <w:sz w:val="22"/>
          <w:szCs w:val="22"/>
        </w:rPr>
        <w:t>Dersom symptomer på tuberkulose (f.eks. vedvarende hoste, vekttap, energitap, lett feber) eller andre infeksjoner dukker opp under eller etter behandlingen må du fortelle legen din om det straks.</w:t>
      </w:r>
    </w:p>
    <w:p w14:paraId="568477FE" w14:textId="77777777" w:rsidR="00E90360" w:rsidRPr="00E90360" w:rsidRDefault="00E90360" w:rsidP="00E90360">
      <w:pPr>
        <w:suppressAutoHyphens/>
        <w:ind w:left="567"/>
        <w:rPr>
          <w:sz w:val="22"/>
          <w:szCs w:val="22"/>
        </w:rPr>
      </w:pPr>
    </w:p>
    <w:p w14:paraId="32FC3419" w14:textId="77777777" w:rsidR="00E90360" w:rsidRPr="00E90360" w:rsidRDefault="00E453CD" w:rsidP="00E90360">
      <w:pPr>
        <w:keepNext/>
        <w:suppressAutoHyphens/>
        <w:rPr>
          <w:sz w:val="22"/>
          <w:szCs w:val="22"/>
        </w:rPr>
      </w:pPr>
      <w:r w:rsidRPr="00E90360">
        <w:rPr>
          <w:sz w:val="22"/>
          <w:szCs w:val="22"/>
          <w:u w:val="single"/>
        </w:rPr>
        <w:lastRenderedPageBreak/>
        <w:t>Hepatitt B</w:t>
      </w:r>
    </w:p>
    <w:p w14:paraId="10678158" w14:textId="77777777" w:rsidR="00E90360" w:rsidRPr="00E90360" w:rsidRDefault="00E90360" w:rsidP="00E90360">
      <w:pPr>
        <w:keepNext/>
        <w:suppressAutoHyphens/>
        <w:rPr>
          <w:sz w:val="22"/>
          <w:szCs w:val="22"/>
        </w:rPr>
      </w:pPr>
    </w:p>
    <w:p w14:paraId="6DD9D3C6" w14:textId="77777777" w:rsidR="00E90360" w:rsidRPr="00E90360" w:rsidRDefault="00E453CD" w:rsidP="00776A84">
      <w:pPr>
        <w:numPr>
          <w:ilvl w:val="0"/>
          <w:numId w:val="3"/>
        </w:numPr>
        <w:suppressAutoHyphens/>
        <w:ind w:left="714" w:hanging="357"/>
      </w:pPr>
      <w:r w:rsidRPr="00E90360">
        <w:rPr>
          <w:sz w:val="22"/>
        </w:rPr>
        <w:t>Gi beskjed til legen din dersom barnet ditt er bærer av hepatitt B-virus (HBV), dersom han/hun har aktiv HBV-infeksjon, eller hvis du tror han/hun kan være utsatt for å få HBV.</w:t>
      </w:r>
    </w:p>
    <w:p w14:paraId="589E45B8" w14:textId="77777777" w:rsidR="00E90360" w:rsidRPr="00E90360" w:rsidRDefault="00E90360" w:rsidP="00E90360">
      <w:pPr>
        <w:tabs>
          <w:tab w:val="left" w:pos="567"/>
        </w:tabs>
        <w:suppressAutoHyphens/>
        <w:ind w:left="567"/>
        <w:rPr>
          <w:sz w:val="22"/>
          <w:szCs w:val="20"/>
        </w:rPr>
      </w:pPr>
    </w:p>
    <w:p w14:paraId="4AE5882C" w14:textId="77777777" w:rsidR="00E90360" w:rsidRPr="00E90360" w:rsidRDefault="00E453CD" w:rsidP="00E90360">
      <w:pPr>
        <w:numPr>
          <w:ilvl w:val="0"/>
          <w:numId w:val="10"/>
        </w:numPr>
        <w:tabs>
          <w:tab w:val="left" w:pos="567"/>
          <w:tab w:val="left" w:pos="1440"/>
        </w:tabs>
        <w:suppressAutoHyphens/>
        <w:ind w:left="1440"/>
        <w:rPr>
          <w:sz w:val="22"/>
          <w:szCs w:val="20"/>
        </w:rPr>
      </w:pPr>
      <w:r w:rsidRPr="00E90360">
        <w:rPr>
          <w:sz w:val="22"/>
          <w:szCs w:val="20"/>
        </w:rPr>
        <w:t xml:space="preserve">Legen din bør teste barnet ditt for HBV. Hos </w:t>
      </w:r>
      <w:r w:rsidRPr="00E90360">
        <w:rPr>
          <w:sz w:val="22"/>
          <w:szCs w:val="22"/>
        </w:rPr>
        <w:t>personer</w:t>
      </w:r>
      <w:r w:rsidRPr="00E90360">
        <w:rPr>
          <w:sz w:val="22"/>
          <w:szCs w:val="20"/>
        </w:rPr>
        <w:t xml:space="preserve"> som er bærere av HBV kan Humira forårsake at viruset blir aktivt igjen. </w:t>
      </w:r>
    </w:p>
    <w:p w14:paraId="62A5E223" w14:textId="77777777" w:rsidR="00E90360" w:rsidRPr="00E90360" w:rsidRDefault="00E453CD" w:rsidP="00E90360">
      <w:pPr>
        <w:numPr>
          <w:ilvl w:val="0"/>
          <w:numId w:val="10"/>
        </w:numPr>
        <w:tabs>
          <w:tab w:val="left" w:pos="567"/>
          <w:tab w:val="left" w:pos="1440"/>
        </w:tabs>
        <w:suppressAutoHyphens/>
        <w:ind w:left="1440"/>
        <w:rPr>
          <w:sz w:val="22"/>
          <w:szCs w:val="20"/>
        </w:rPr>
      </w:pPr>
      <w:r w:rsidRPr="00E90360">
        <w:rPr>
          <w:sz w:val="22"/>
          <w:szCs w:val="20"/>
        </w:rPr>
        <w:t>I noen sjeldne tilfeller, særlig hvis barnet ditt tar andre legemidler som demper immunsystemet, kan reaktivering av HBV være livstruende.</w:t>
      </w:r>
    </w:p>
    <w:p w14:paraId="10E156F9" w14:textId="77777777" w:rsidR="00E90360" w:rsidRPr="00E90360" w:rsidRDefault="00E90360" w:rsidP="00E90360">
      <w:pPr>
        <w:tabs>
          <w:tab w:val="left" w:pos="567"/>
        </w:tabs>
        <w:suppressAutoHyphens/>
        <w:rPr>
          <w:sz w:val="22"/>
          <w:szCs w:val="22"/>
          <w:u w:val="single"/>
        </w:rPr>
      </w:pPr>
    </w:p>
    <w:p w14:paraId="2FD24468" w14:textId="77777777" w:rsidR="00E90360" w:rsidRPr="00E90360" w:rsidRDefault="00E453CD" w:rsidP="00776A84">
      <w:pPr>
        <w:keepNext/>
        <w:tabs>
          <w:tab w:val="left" w:pos="567"/>
        </w:tabs>
        <w:suppressAutoHyphens/>
        <w:rPr>
          <w:sz w:val="22"/>
          <w:szCs w:val="22"/>
        </w:rPr>
      </w:pPr>
      <w:r w:rsidRPr="00E90360">
        <w:rPr>
          <w:sz w:val="22"/>
          <w:szCs w:val="22"/>
          <w:u w:val="single"/>
        </w:rPr>
        <w:t>Operasjon</w:t>
      </w:r>
      <w:r w:rsidR="00E854F3">
        <w:rPr>
          <w:sz w:val="22"/>
          <w:szCs w:val="22"/>
          <w:u w:val="single"/>
        </w:rPr>
        <w:t xml:space="preserve"> eller inngrep i tennene</w:t>
      </w:r>
    </w:p>
    <w:p w14:paraId="30971B3B" w14:textId="77777777" w:rsidR="00E90360" w:rsidRPr="00E90360" w:rsidRDefault="00E90360" w:rsidP="00776A84">
      <w:pPr>
        <w:keepNext/>
        <w:tabs>
          <w:tab w:val="left" w:pos="567"/>
        </w:tabs>
        <w:suppressAutoHyphens/>
        <w:rPr>
          <w:sz w:val="22"/>
          <w:szCs w:val="22"/>
        </w:rPr>
      </w:pPr>
    </w:p>
    <w:p w14:paraId="2FFC6AEB" w14:textId="77777777" w:rsidR="00E90360" w:rsidRPr="00E90360" w:rsidRDefault="00E453CD" w:rsidP="00E90360">
      <w:pPr>
        <w:numPr>
          <w:ilvl w:val="0"/>
          <w:numId w:val="3"/>
        </w:numPr>
        <w:suppressAutoHyphens/>
        <w:rPr>
          <w:sz w:val="22"/>
          <w:szCs w:val="22"/>
        </w:rPr>
      </w:pPr>
      <w:r w:rsidRPr="00E90360">
        <w:rPr>
          <w:sz w:val="22"/>
          <w:szCs w:val="22"/>
        </w:rPr>
        <w:t>Dersom barnet ditt skal opereres eller ha inngrep i tennene skal du si fra til legen din at barnet ditt bruker Humira. Legen din kan anbefale å avbryte behandlingen med Humira midlertidig.</w:t>
      </w:r>
    </w:p>
    <w:p w14:paraId="019E93F7" w14:textId="77777777" w:rsidR="00E90360" w:rsidRPr="00E90360" w:rsidRDefault="00E90360" w:rsidP="00E90360">
      <w:pPr>
        <w:suppressAutoHyphens/>
        <w:ind w:left="567"/>
        <w:rPr>
          <w:sz w:val="22"/>
          <w:szCs w:val="22"/>
        </w:rPr>
      </w:pPr>
    </w:p>
    <w:p w14:paraId="3B9F0EFF" w14:textId="77777777" w:rsidR="00E90360" w:rsidRPr="00E90360" w:rsidRDefault="00E453CD" w:rsidP="00776A84">
      <w:pPr>
        <w:keepNext/>
        <w:suppressAutoHyphens/>
        <w:rPr>
          <w:sz w:val="22"/>
          <w:szCs w:val="22"/>
        </w:rPr>
      </w:pPr>
      <w:r w:rsidRPr="00E90360">
        <w:rPr>
          <w:sz w:val="22"/>
          <w:szCs w:val="22"/>
          <w:u w:val="single"/>
        </w:rPr>
        <w:t>Demyeliniserende sykdom</w:t>
      </w:r>
    </w:p>
    <w:p w14:paraId="600F232E" w14:textId="77777777" w:rsidR="00E90360" w:rsidRPr="00E90360" w:rsidRDefault="00E90360" w:rsidP="00776A84">
      <w:pPr>
        <w:keepNext/>
        <w:suppressAutoHyphens/>
        <w:rPr>
          <w:sz w:val="22"/>
          <w:szCs w:val="22"/>
        </w:rPr>
      </w:pPr>
    </w:p>
    <w:p w14:paraId="3FC57926" w14:textId="77777777" w:rsidR="00E90360" w:rsidRPr="00E90360" w:rsidRDefault="00E453CD" w:rsidP="00E90360">
      <w:pPr>
        <w:numPr>
          <w:ilvl w:val="0"/>
          <w:numId w:val="3"/>
        </w:numPr>
        <w:suppressAutoHyphens/>
        <w:rPr>
          <w:sz w:val="22"/>
          <w:szCs w:val="22"/>
        </w:rPr>
      </w:pPr>
      <w:r w:rsidRPr="00E90360">
        <w:rPr>
          <w:sz w:val="22"/>
          <w:szCs w:val="22"/>
        </w:rPr>
        <w:t>Dersom barnet ditt har eller utvikler en demyeliniserende sykdom</w:t>
      </w:r>
      <w:r w:rsidR="00E854F3">
        <w:rPr>
          <w:sz w:val="22"/>
          <w:szCs w:val="22"/>
        </w:rPr>
        <w:t xml:space="preserve"> (en sykdom som påvirker det isolerende laget rundt nervene, som multippel sklerose)</w:t>
      </w:r>
      <w:r w:rsidRPr="00E90360">
        <w:rPr>
          <w:sz w:val="22"/>
          <w:szCs w:val="22"/>
        </w:rPr>
        <w:t>, vil legen avgjøre om han/hun kan bruke Humira. Gi beskjed til legen umiddelbart dersom barnet ditt opplever symptomer som synsforstyrrelser, svakhet i armer eller ben eller nummenhet eller prikking i noen del av kroppen.</w:t>
      </w:r>
    </w:p>
    <w:p w14:paraId="15C56DB1" w14:textId="77777777" w:rsidR="00E90360" w:rsidRPr="00E90360" w:rsidRDefault="00E90360" w:rsidP="00E90360">
      <w:pPr>
        <w:suppressAutoHyphens/>
        <w:ind w:left="720"/>
        <w:rPr>
          <w:sz w:val="22"/>
          <w:szCs w:val="22"/>
        </w:rPr>
      </w:pPr>
    </w:p>
    <w:p w14:paraId="520DCC55" w14:textId="77777777" w:rsidR="00E90360" w:rsidRPr="00E90360" w:rsidRDefault="00E453CD" w:rsidP="00776A84">
      <w:pPr>
        <w:keepNext/>
        <w:suppressAutoHyphens/>
        <w:rPr>
          <w:sz w:val="22"/>
          <w:szCs w:val="22"/>
        </w:rPr>
      </w:pPr>
      <w:r w:rsidRPr="00E90360">
        <w:rPr>
          <w:sz w:val="22"/>
          <w:szCs w:val="22"/>
          <w:u w:val="single"/>
        </w:rPr>
        <w:t>Vaksinasjoner</w:t>
      </w:r>
    </w:p>
    <w:p w14:paraId="7664B915" w14:textId="77777777" w:rsidR="00E90360" w:rsidRPr="00E90360" w:rsidRDefault="00E90360" w:rsidP="00776A84">
      <w:pPr>
        <w:keepNext/>
        <w:suppressAutoHyphens/>
        <w:rPr>
          <w:sz w:val="22"/>
          <w:szCs w:val="22"/>
        </w:rPr>
      </w:pPr>
    </w:p>
    <w:p w14:paraId="111D6387" w14:textId="77777777" w:rsidR="00E90360" w:rsidRPr="00E90360" w:rsidRDefault="00E453CD" w:rsidP="00E90360">
      <w:pPr>
        <w:numPr>
          <w:ilvl w:val="0"/>
          <w:numId w:val="3"/>
        </w:numPr>
        <w:suppressAutoHyphens/>
        <w:rPr>
          <w:sz w:val="22"/>
          <w:szCs w:val="22"/>
        </w:rPr>
      </w:pPr>
      <w:r w:rsidRPr="00E90360">
        <w:rPr>
          <w:sz w:val="22"/>
        </w:rPr>
        <w:t>Enkelte</w:t>
      </w:r>
      <w:r w:rsidRPr="00E90360">
        <w:rPr>
          <w:sz w:val="22"/>
          <w:szCs w:val="22"/>
        </w:rPr>
        <w:t xml:space="preserve"> vaksiner </w:t>
      </w:r>
      <w:r w:rsidRPr="00E90360">
        <w:rPr>
          <w:sz w:val="22"/>
        </w:rPr>
        <w:t xml:space="preserve">kan forårsake infeksjoner og bør </w:t>
      </w:r>
      <w:r w:rsidRPr="00E90360">
        <w:rPr>
          <w:sz w:val="22"/>
          <w:szCs w:val="22"/>
        </w:rPr>
        <w:t xml:space="preserve">ikke </w:t>
      </w:r>
      <w:r w:rsidRPr="00E90360">
        <w:rPr>
          <w:sz w:val="22"/>
        </w:rPr>
        <w:t xml:space="preserve">tas </w:t>
      </w:r>
      <w:r w:rsidRPr="00E90360">
        <w:rPr>
          <w:sz w:val="22"/>
          <w:szCs w:val="22"/>
        </w:rPr>
        <w:t xml:space="preserve">under behandling med Humira. </w:t>
      </w:r>
    </w:p>
    <w:p w14:paraId="2F7FE020" w14:textId="77777777" w:rsidR="00E90360" w:rsidRPr="00E90360" w:rsidRDefault="00E90360" w:rsidP="00E90360">
      <w:pPr>
        <w:suppressAutoHyphens/>
        <w:ind w:left="720"/>
        <w:rPr>
          <w:sz w:val="22"/>
          <w:szCs w:val="22"/>
        </w:rPr>
      </w:pPr>
    </w:p>
    <w:p w14:paraId="57C5FA4C" w14:textId="77777777" w:rsidR="00E90360" w:rsidRPr="00E90360" w:rsidRDefault="00E453CD" w:rsidP="00E90360">
      <w:pPr>
        <w:numPr>
          <w:ilvl w:val="0"/>
          <w:numId w:val="3"/>
        </w:numPr>
        <w:tabs>
          <w:tab w:val="clear" w:pos="720"/>
          <w:tab w:val="num" w:pos="567"/>
          <w:tab w:val="num" w:pos="1440"/>
        </w:tabs>
        <w:suppressAutoHyphens/>
        <w:ind w:left="1440"/>
        <w:rPr>
          <w:sz w:val="22"/>
          <w:szCs w:val="22"/>
        </w:rPr>
      </w:pPr>
      <w:r w:rsidRPr="00E90360">
        <w:rPr>
          <w:color w:val="000000"/>
          <w:sz w:val="22"/>
          <w:szCs w:val="22"/>
        </w:rPr>
        <w:t xml:space="preserve">Spør </w:t>
      </w:r>
      <w:r w:rsidRPr="00E90360">
        <w:rPr>
          <w:sz w:val="22"/>
          <w:szCs w:val="22"/>
        </w:rPr>
        <w:t xml:space="preserve">legen din før barnet ditt </w:t>
      </w:r>
      <w:r w:rsidR="0078048A">
        <w:rPr>
          <w:sz w:val="22"/>
          <w:szCs w:val="22"/>
        </w:rPr>
        <w:t>får</w:t>
      </w:r>
      <w:r w:rsidRPr="00E90360">
        <w:rPr>
          <w:sz w:val="22"/>
          <w:szCs w:val="22"/>
        </w:rPr>
        <w:t xml:space="preserve"> vaksiner.</w:t>
      </w:r>
    </w:p>
    <w:p w14:paraId="61202B2C" w14:textId="77777777" w:rsidR="00E90360" w:rsidRPr="00E90360" w:rsidRDefault="00E453CD" w:rsidP="00E90360">
      <w:pPr>
        <w:numPr>
          <w:ilvl w:val="0"/>
          <w:numId w:val="3"/>
        </w:numPr>
        <w:tabs>
          <w:tab w:val="clear" w:pos="720"/>
          <w:tab w:val="num" w:pos="567"/>
          <w:tab w:val="num" w:pos="1440"/>
        </w:tabs>
        <w:suppressAutoHyphens/>
        <w:ind w:left="1440"/>
        <w:rPr>
          <w:sz w:val="22"/>
          <w:szCs w:val="22"/>
        </w:rPr>
      </w:pPr>
      <w:r w:rsidRPr="00E90360">
        <w:rPr>
          <w:sz w:val="22"/>
          <w:szCs w:val="22"/>
        </w:rPr>
        <w:t xml:space="preserve">Det anbefales at barn, hvis mulig, vaksineres </w:t>
      </w:r>
      <w:r w:rsidR="00463444">
        <w:rPr>
          <w:sz w:val="22"/>
          <w:szCs w:val="22"/>
        </w:rPr>
        <w:t>som planlagt i henhold til alderen</w:t>
      </w:r>
      <w:r w:rsidRPr="00E90360">
        <w:rPr>
          <w:sz w:val="22"/>
          <w:szCs w:val="22"/>
        </w:rPr>
        <w:t xml:space="preserve"> før behandling med Humira startes.</w:t>
      </w:r>
    </w:p>
    <w:p w14:paraId="2A25109A" w14:textId="77777777" w:rsidR="00E90360" w:rsidRPr="00E90360" w:rsidRDefault="00E453CD" w:rsidP="00E90360">
      <w:pPr>
        <w:numPr>
          <w:ilvl w:val="0"/>
          <w:numId w:val="3"/>
        </w:numPr>
        <w:tabs>
          <w:tab w:val="clear" w:pos="720"/>
          <w:tab w:val="num" w:pos="567"/>
          <w:tab w:val="num" w:pos="1440"/>
        </w:tabs>
        <w:suppressAutoHyphens/>
        <w:ind w:left="1440"/>
        <w:rPr>
          <w:sz w:val="22"/>
          <w:szCs w:val="22"/>
        </w:rPr>
      </w:pPr>
      <w:r w:rsidRPr="00E90360">
        <w:rPr>
          <w:sz w:val="22"/>
        </w:rPr>
        <w:t>Dersom barnet ditt ble behandlet med Humira under graviditet, kan hennes spedbarn ha større risiko for å få en slik infeksjon inntil omtrent fem måneder etter siste dose Humira som hun mottok under graviditeten. Det er viktig at du forteller spedbarnets leger og annet helsepersonell at barnet ditt brukte Humira under graviditeten, slik at de kan vurdere når hennes barn</w:t>
      </w:r>
      <w:r w:rsidR="008A2B49">
        <w:rPr>
          <w:sz w:val="22"/>
        </w:rPr>
        <w:t xml:space="preserve"> </w:t>
      </w:r>
      <w:r w:rsidRPr="00E90360">
        <w:rPr>
          <w:sz w:val="22"/>
        </w:rPr>
        <w:t>burde vaksineres.</w:t>
      </w:r>
    </w:p>
    <w:p w14:paraId="6AFAA0B6" w14:textId="77777777" w:rsidR="00E90360" w:rsidRPr="00E90360" w:rsidRDefault="00E90360" w:rsidP="00E90360">
      <w:pPr>
        <w:tabs>
          <w:tab w:val="num" w:pos="1440"/>
        </w:tabs>
        <w:suppressAutoHyphens/>
        <w:ind w:left="1440"/>
        <w:rPr>
          <w:sz w:val="22"/>
        </w:rPr>
      </w:pPr>
    </w:p>
    <w:p w14:paraId="2BF44BDF" w14:textId="77777777" w:rsidR="00E90360" w:rsidRPr="00E90360" w:rsidRDefault="00E453CD" w:rsidP="00776A84">
      <w:pPr>
        <w:keepNext/>
        <w:tabs>
          <w:tab w:val="num" w:pos="1440"/>
        </w:tabs>
        <w:suppressAutoHyphens/>
        <w:rPr>
          <w:sz w:val="22"/>
        </w:rPr>
      </w:pPr>
      <w:r w:rsidRPr="00E90360">
        <w:rPr>
          <w:sz w:val="22"/>
          <w:u w:val="single"/>
        </w:rPr>
        <w:t>Hjerte</w:t>
      </w:r>
      <w:r w:rsidR="00463444">
        <w:rPr>
          <w:sz w:val="22"/>
          <w:u w:val="single"/>
        </w:rPr>
        <w:t>svikt</w:t>
      </w:r>
    </w:p>
    <w:p w14:paraId="560F7743" w14:textId="77777777" w:rsidR="00E90360" w:rsidRPr="00E90360" w:rsidRDefault="00E90360" w:rsidP="00776A84">
      <w:pPr>
        <w:keepNext/>
        <w:tabs>
          <w:tab w:val="num" w:pos="1440"/>
        </w:tabs>
        <w:suppressAutoHyphens/>
        <w:rPr>
          <w:sz w:val="22"/>
          <w:szCs w:val="22"/>
        </w:rPr>
      </w:pPr>
    </w:p>
    <w:p w14:paraId="2A5F2998" w14:textId="77777777" w:rsidR="00E90360" w:rsidRPr="00DC73BE" w:rsidRDefault="00E453CD" w:rsidP="00AB7697">
      <w:pPr>
        <w:numPr>
          <w:ilvl w:val="0"/>
          <w:numId w:val="3"/>
        </w:numPr>
        <w:suppressAutoHyphens/>
        <w:rPr>
          <w:sz w:val="22"/>
          <w:szCs w:val="22"/>
        </w:rPr>
      </w:pPr>
      <w:r>
        <w:rPr>
          <w:sz w:val="22"/>
          <w:szCs w:val="22"/>
        </w:rPr>
        <w:t xml:space="preserve">Dersom barnet ditt har lett hjertesvikt og blir behandlet med Humira, må status for hans/hennes hjertesvikt overvåkes nøye av legen. </w:t>
      </w:r>
      <w:r w:rsidRPr="00E90360">
        <w:rPr>
          <w:sz w:val="22"/>
          <w:szCs w:val="22"/>
        </w:rPr>
        <w:t xml:space="preserve">Det er viktig </w:t>
      </w:r>
      <w:r>
        <w:rPr>
          <w:sz w:val="22"/>
          <w:szCs w:val="22"/>
        </w:rPr>
        <w:t>å</w:t>
      </w:r>
      <w:r w:rsidRPr="00E90360">
        <w:rPr>
          <w:sz w:val="22"/>
          <w:szCs w:val="22"/>
        </w:rPr>
        <w:t xml:space="preserve"> fortelle legen din om barnet ditt har </w:t>
      </w:r>
      <w:r>
        <w:rPr>
          <w:sz w:val="22"/>
          <w:szCs w:val="22"/>
        </w:rPr>
        <w:t xml:space="preserve">hatt </w:t>
      </w:r>
      <w:r w:rsidRPr="00E90360">
        <w:rPr>
          <w:sz w:val="22"/>
          <w:szCs w:val="22"/>
        </w:rPr>
        <w:t>eller har</w:t>
      </w:r>
      <w:r>
        <w:rPr>
          <w:sz w:val="22"/>
          <w:szCs w:val="22"/>
        </w:rPr>
        <w:t xml:space="preserve"> en</w:t>
      </w:r>
      <w:r w:rsidRPr="00E90360">
        <w:rPr>
          <w:sz w:val="22"/>
          <w:szCs w:val="22"/>
        </w:rPr>
        <w:t xml:space="preserve"> alvorlig hjertetilstand.</w:t>
      </w:r>
      <w:r>
        <w:rPr>
          <w:sz w:val="22"/>
          <w:szCs w:val="22"/>
        </w:rPr>
        <w:t xml:space="preserve"> </w:t>
      </w:r>
      <w:r w:rsidRPr="00463444">
        <w:rPr>
          <w:sz w:val="22"/>
          <w:szCs w:val="22"/>
        </w:rPr>
        <w:t xml:space="preserve">Dersom </w:t>
      </w:r>
      <w:r w:rsidRPr="00B42DC6">
        <w:rPr>
          <w:sz w:val="22"/>
          <w:szCs w:val="22"/>
        </w:rPr>
        <w:t>han/hun utvikler nye eller forverrede symptomer på hjertesvikt (f.eks. tungpustethet</w:t>
      </w:r>
      <w:r w:rsidRPr="00DC73BE">
        <w:rPr>
          <w:sz w:val="22"/>
          <w:szCs w:val="22"/>
        </w:rPr>
        <w:t>, hovne føtter) skal du kontakte legen din umiddelbart. Legen din vil avgjøre om barnet ditt skal fortsette med Humira.</w:t>
      </w:r>
    </w:p>
    <w:p w14:paraId="1FCB8769" w14:textId="77777777" w:rsidR="00E90360" w:rsidRDefault="00E90360" w:rsidP="00E90360">
      <w:pPr>
        <w:tabs>
          <w:tab w:val="num" w:pos="1440"/>
        </w:tabs>
        <w:suppressAutoHyphens/>
        <w:ind w:left="1440"/>
        <w:rPr>
          <w:sz w:val="22"/>
          <w:szCs w:val="22"/>
        </w:rPr>
      </w:pPr>
    </w:p>
    <w:p w14:paraId="5E167CCB" w14:textId="77777777" w:rsidR="00463444" w:rsidRDefault="00E453CD" w:rsidP="00776A84">
      <w:pPr>
        <w:keepNext/>
        <w:tabs>
          <w:tab w:val="num" w:pos="1440"/>
        </w:tabs>
        <w:suppressAutoHyphens/>
        <w:rPr>
          <w:sz w:val="22"/>
          <w:szCs w:val="22"/>
          <w:u w:val="single"/>
        </w:rPr>
      </w:pPr>
      <w:r w:rsidRPr="00AB7697">
        <w:rPr>
          <w:sz w:val="22"/>
          <w:szCs w:val="22"/>
          <w:u w:val="single"/>
        </w:rPr>
        <w:t>Feber, blåmerker, blødning eller blekhet</w:t>
      </w:r>
    </w:p>
    <w:p w14:paraId="1FBE53AF" w14:textId="77777777" w:rsidR="00463444" w:rsidRPr="00AB7697" w:rsidRDefault="00463444" w:rsidP="00776A84">
      <w:pPr>
        <w:keepNext/>
        <w:tabs>
          <w:tab w:val="num" w:pos="1440"/>
        </w:tabs>
        <w:suppressAutoHyphens/>
        <w:rPr>
          <w:sz w:val="22"/>
          <w:szCs w:val="22"/>
          <w:u w:val="single"/>
        </w:rPr>
      </w:pPr>
    </w:p>
    <w:p w14:paraId="639D358B" w14:textId="77777777" w:rsidR="00E90360" w:rsidRPr="00E90360" w:rsidRDefault="00E453CD" w:rsidP="006936CB">
      <w:pPr>
        <w:numPr>
          <w:ilvl w:val="0"/>
          <w:numId w:val="3"/>
        </w:numPr>
        <w:suppressAutoHyphens/>
        <w:rPr>
          <w:sz w:val="22"/>
          <w:szCs w:val="22"/>
        </w:rPr>
      </w:pPr>
      <w:r>
        <w:rPr>
          <w:sz w:val="22"/>
          <w:szCs w:val="22"/>
        </w:rPr>
        <w:t xml:space="preserve">Hos noen pasienter kan kroppen få problemer med å produsere nok av de blodlegemene som forhindrer infeksjoner eller stopper blødninger. </w:t>
      </w:r>
      <w:r w:rsidR="00463444" w:rsidRPr="00E90360">
        <w:rPr>
          <w:sz w:val="22"/>
          <w:szCs w:val="22"/>
        </w:rPr>
        <w:t>Legen din kan bestemme at behandlingen må avbrytes.</w:t>
      </w:r>
      <w:r w:rsidRPr="00E90360">
        <w:rPr>
          <w:sz w:val="22"/>
          <w:szCs w:val="22"/>
        </w:rPr>
        <w:t>Kontakt lege snarest hvis barnet ditt får feber som ikke forsvinner, får blåmerker eller blør svært lett eller ser svært blek ut.</w:t>
      </w:r>
    </w:p>
    <w:p w14:paraId="211BEE97" w14:textId="77777777" w:rsidR="00E90360" w:rsidRPr="00E90360" w:rsidRDefault="00E90360" w:rsidP="00E90360">
      <w:pPr>
        <w:suppressAutoHyphens/>
        <w:ind w:left="567"/>
        <w:rPr>
          <w:sz w:val="22"/>
          <w:szCs w:val="22"/>
        </w:rPr>
      </w:pPr>
    </w:p>
    <w:p w14:paraId="479CC935" w14:textId="77777777" w:rsidR="00E90360" w:rsidRPr="00E90360" w:rsidRDefault="00E453CD" w:rsidP="00776A84">
      <w:pPr>
        <w:keepNext/>
        <w:suppressAutoHyphens/>
        <w:rPr>
          <w:sz w:val="22"/>
          <w:szCs w:val="22"/>
        </w:rPr>
      </w:pPr>
      <w:r w:rsidRPr="00E90360">
        <w:rPr>
          <w:sz w:val="22"/>
          <w:szCs w:val="22"/>
          <w:u w:val="single"/>
        </w:rPr>
        <w:t>Kreft</w:t>
      </w:r>
    </w:p>
    <w:p w14:paraId="64DFD27D" w14:textId="77777777" w:rsidR="00E90360" w:rsidRPr="00E90360" w:rsidRDefault="00E90360" w:rsidP="00776A84">
      <w:pPr>
        <w:keepNext/>
        <w:suppressAutoHyphens/>
        <w:rPr>
          <w:sz w:val="22"/>
          <w:szCs w:val="22"/>
        </w:rPr>
      </w:pPr>
    </w:p>
    <w:p w14:paraId="799AF640" w14:textId="77777777" w:rsidR="00E90360" w:rsidRPr="00E90360" w:rsidRDefault="00E453CD" w:rsidP="00E90360">
      <w:pPr>
        <w:numPr>
          <w:ilvl w:val="0"/>
          <w:numId w:val="3"/>
        </w:numPr>
        <w:suppressAutoHyphens/>
        <w:rPr>
          <w:sz w:val="22"/>
          <w:szCs w:val="22"/>
        </w:rPr>
      </w:pPr>
      <w:r w:rsidRPr="00E90360">
        <w:rPr>
          <w:sz w:val="22"/>
          <w:szCs w:val="22"/>
        </w:rPr>
        <w:t>Det har vært svært sjeldne tilfeller av visse typer kreft hos barn og voksne som får Humira eller andre TNF-blokkere.</w:t>
      </w:r>
    </w:p>
    <w:p w14:paraId="48E5E438" w14:textId="77777777" w:rsidR="00E90360" w:rsidRPr="00E90360" w:rsidRDefault="00E90360" w:rsidP="00E90360">
      <w:pPr>
        <w:suppressAutoHyphens/>
        <w:ind w:left="567"/>
        <w:rPr>
          <w:sz w:val="22"/>
          <w:szCs w:val="22"/>
        </w:rPr>
      </w:pPr>
    </w:p>
    <w:p w14:paraId="367112A2" w14:textId="77777777" w:rsidR="00E90360" w:rsidRPr="00E90360" w:rsidRDefault="00E453CD" w:rsidP="00E90360">
      <w:pPr>
        <w:numPr>
          <w:ilvl w:val="0"/>
          <w:numId w:val="3"/>
        </w:numPr>
        <w:tabs>
          <w:tab w:val="num" w:pos="567"/>
          <w:tab w:val="num" w:pos="1440"/>
        </w:tabs>
        <w:suppressAutoHyphens/>
        <w:ind w:left="1440"/>
        <w:rPr>
          <w:sz w:val="22"/>
          <w:szCs w:val="22"/>
        </w:rPr>
      </w:pPr>
      <w:r w:rsidRPr="00E90360">
        <w:rPr>
          <w:sz w:val="22"/>
          <w:szCs w:val="22"/>
        </w:rPr>
        <w:lastRenderedPageBreak/>
        <w:t>Personer med mer alvorlig revmatoid artritt som har hatt sykdommen i lang tid kan ha høyere risiko enn gjennomsnittet for å få lymfom (kreft som angriper lymfesystemet) og leukemi (kreft som angriper blod og benmarg).</w:t>
      </w:r>
    </w:p>
    <w:p w14:paraId="2AE4A5F9" w14:textId="77777777" w:rsidR="00E90360" w:rsidRPr="00E90360" w:rsidRDefault="00E453CD" w:rsidP="00E90360">
      <w:pPr>
        <w:numPr>
          <w:ilvl w:val="0"/>
          <w:numId w:val="3"/>
        </w:numPr>
        <w:tabs>
          <w:tab w:val="num" w:pos="567"/>
          <w:tab w:val="num" w:pos="1440"/>
        </w:tabs>
        <w:suppressAutoHyphens/>
        <w:ind w:left="1440"/>
        <w:rPr>
          <w:sz w:val="22"/>
          <w:szCs w:val="22"/>
        </w:rPr>
      </w:pPr>
      <w:r w:rsidRPr="00E90360">
        <w:rPr>
          <w:sz w:val="22"/>
          <w:szCs w:val="22"/>
        </w:rPr>
        <w:t>Dersom barnet ditt tar Humira, kan risikoen for å få lymfom, leukemi og andre typer kreft øke. I sjeldne tilfeller har man sett en sjelden og alvorlig type lymfom hos pasienter som bruker Humira. Noen av disse pasientene ble også behandlet med azatioprin eller 6-merkaptopurin.</w:t>
      </w:r>
    </w:p>
    <w:p w14:paraId="20C0021F" w14:textId="77777777" w:rsidR="00E90360" w:rsidRPr="00E90360" w:rsidRDefault="00E453CD" w:rsidP="00E90360">
      <w:pPr>
        <w:numPr>
          <w:ilvl w:val="0"/>
          <w:numId w:val="3"/>
        </w:numPr>
        <w:tabs>
          <w:tab w:val="num" w:pos="567"/>
          <w:tab w:val="num" w:pos="1440"/>
        </w:tabs>
        <w:suppressAutoHyphens/>
        <w:ind w:left="1440"/>
        <w:rPr>
          <w:sz w:val="22"/>
          <w:szCs w:val="22"/>
        </w:rPr>
      </w:pPr>
      <w:r w:rsidRPr="00E90360">
        <w:rPr>
          <w:sz w:val="22"/>
          <w:szCs w:val="22"/>
        </w:rPr>
        <w:t>Fortell legen din dersom barnet ditt tar azatioprin eller 6-merkaptopurin sammen med Humira.</w:t>
      </w:r>
    </w:p>
    <w:p w14:paraId="011E2FBD" w14:textId="77777777" w:rsidR="00E90360" w:rsidRPr="00E90360" w:rsidRDefault="00E453CD" w:rsidP="00E90360">
      <w:pPr>
        <w:numPr>
          <w:ilvl w:val="0"/>
          <w:numId w:val="3"/>
        </w:numPr>
        <w:tabs>
          <w:tab w:val="num" w:pos="567"/>
          <w:tab w:val="num" w:pos="1440"/>
        </w:tabs>
        <w:suppressAutoHyphens/>
        <w:ind w:left="1440"/>
        <w:rPr>
          <w:sz w:val="22"/>
          <w:szCs w:val="22"/>
        </w:rPr>
      </w:pPr>
      <w:r>
        <w:rPr>
          <w:sz w:val="22"/>
          <w:szCs w:val="22"/>
        </w:rPr>
        <w:t>T</w:t>
      </w:r>
      <w:r w:rsidRPr="00E90360">
        <w:rPr>
          <w:sz w:val="22"/>
          <w:szCs w:val="22"/>
        </w:rPr>
        <w:t xml:space="preserve">ilfeller av ikke-melanom hudkreft </w:t>
      </w:r>
      <w:r>
        <w:rPr>
          <w:sz w:val="22"/>
          <w:szCs w:val="22"/>
        </w:rPr>
        <w:t xml:space="preserve">har </w:t>
      </w:r>
      <w:r w:rsidRPr="00E90360">
        <w:rPr>
          <w:sz w:val="22"/>
          <w:szCs w:val="22"/>
        </w:rPr>
        <w:t>blitt sett hos pasienter som får Humira.</w:t>
      </w:r>
    </w:p>
    <w:p w14:paraId="7E1A1C48" w14:textId="77777777" w:rsidR="00E90360" w:rsidRPr="00E90360" w:rsidRDefault="00E453CD" w:rsidP="00E90360">
      <w:pPr>
        <w:numPr>
          <w:ilvl w:val="0"/>
          <w:numId w:val="3"/>
        </w:numPr>
        <w:tabs>
          <w:tab w:val="num" w:pos="567"/>
          <w:tab w:val="num" w:pos="1440"/>
        </w:tabs>
        <w:suppressAutoHyphens/>
        <w:ind w:left="1440"/>
        <w:rPr>
          <w:sz w:val="22"/>
          <w:szCs w:val="22"/>
        </w:rPr>
      </w:pPr>
      <w:r w:rsidRPr="00E90360">
        <w:rPr>
          <w:sz w:val="22"/>
          <w:szCs w:val="22"/>
        </w:rPr>
        <w:t>Fortell legen din hvis nye hudlesjoner</w:t>
      </w:r>
      <w:r w:rsidR="00A47987">
        <w:rPr>
          <w:sz w:val="22"/>
          <w:szCs w:val="22"/>
        </w:rPr>
        <w:t xml:space="preserve"> (unormale forandringer på huden)</w:t>
      </w:r>
      <w:r w:rsidRPr="00E90360">
        <w:rPr>
          <w:sz w:val="22"/>
          <w:szCs w:val="22"/>
        </w:rPr>
        <w:t xml:space="preserve"> viser seg under eller etter behandling eller hvis eksisterende hudlesjoner forandrer seg.</w:t>
      </w:r>
    </w:p>
    <w:p w14:paraId="4ABBDFF5" w14:textId="77777777" w:rsidR="00E90360" w:rsidRPr="00E90360" w:rsidRDefault="00E90360" w:rsidP="00E90360">
      <w:pPr>
        <w:tabs>
          <w:tab w:val="num" w:pos="1440"/>
        </w:tabs>
        <w:suppressAutoHyphens/>
        <w:rPr>
          <w:sz w:val="22"/>
          <w:szCs w:val="22"/>
        </w:rPr>
      </w:pPr>
    </w:p>
    <w:p w14:paraId="248B8B4E" w14:textId="77777777" w:rsidR="00E90360" w:rsidRPr="00E90360" w:rsidRDefault="00E453CD" w:rsidP="00E90360">
      <w:pPr>
        <w:numPr>
          <w:ilvl w:val="0"/>
          <w:numId w:val="3"/>
        </w:numPr>
        <w:suppressAutoHyphens/>
        <w:rPr>
          <w:sz w:val="22"/>
          <w:szCs w:val="22"/>
        </w:rPr>
      </w:pPr>
      <w:r w:rsidRPr="00E90360">
        <w:rPr>
          <w:sz w:val="22"/>
          <w:szCs w:val="22"/>
        </w:rPr>
        <w:t xml:space="preserve">Andre krefttyper enn lymfomer er sett hos pasienter som hadde en bestemt type lungesykdom kalt kronisk obstruktiv lungesykdom (KOLS) og som fikk behandling med andre TNF-blokkere. Dersom barnet ditt har KOLS, eller er storrøyker, skal du snakke med legen din om behandling med en TNF-blokker passer for barnet ditt. </w:t>
      </w:r>
    </w:p>
    <w:p w14:paraId="186BE5E3" w14:textId="77777777" w:rsidR="00DC73BE" w:rsidRDefault="00DC73BE" w:rsidP="00DC73BE">
      <w:pPr>
        <w:suppressAutoHyphens/>
        <w:rPr>
          <w:sz w:val="22"/>
          <w:szCs w:val="22"/>
          <w:u w:val="single"/>
        </w:rPr>
      </w:pPr>
    </w:p>
    <w:p w14:paraId="7E5EF1EE" w14:textId="77777777" w:rsidR="00DC73BE" w:rsidRPr="00E90360" w:rsidRDefault="00E453CD" w:rsidP="00776A84">
      <w:pPr>
        <w:keepNext/>
        <w:suppressAutoHyphens/>
        <w:rPr>
          <w:sz w:val="22"/>
          <w:szCs w:val="22"/>
        </w:rPr>
      </w:pPr>
      <w:r>
        <w:rPr>
          <w:sz w:val="22"/>
          <w:szCs w:val="22"/>
          <w:u w:val="single"/>
        </w:rPr>
        <w:t>Autoimmune sykdommer</w:t>
      </w:r>
    </w:p>
    <w:p w14:paraId="1B7427B5" w14:textId="77777777" w:rsidR="00DC73BE" w:rsidRPr="00E90360" w:rsidRDefault="00DC73BE" w:rsidP="00776A84">
      <w:pPr>
        <w:keepNext/>
        <w:suppressAutoHyphens/>
        <w:rPr>
          <w:sz w:val="22"/>
          <w:szCs w:val="22"/>
        </w:rPr>
      </w:pPr>
    </w:p>
    <w:p w14:paraId="52240220" w14:textId="77777777" w:rsidR="00E90360" w:rsidRPr="00AB7697" w:rsidRDefault="00E453CD" w:rsidP="00AB7697">
      <w:pPr>
        <w:numPr>
          <w:ilvl w:val="0"/>
          <w:numId w:val="3"/>
        </w:numPr>
        <w:suppressAutoHyphens/>
        <w:outlineLvl w:val="2"/>
        <w:rPr>
          <w:sz w:val="22"/>
          <w:szCs w:val="22"/>
        </w:rPr>
      </w:pPr>
      <w:r w:rsidRPr="00DC73BE">
        <w:rPr>
          <w:sz w:val="22"/>
        </w:rPr>
        <w:t>I sjeldne tilfeller kan behandling med Humira føre til et syndrom som ligner på lupus. Kontakt lege dersom symptomer som vedvarende uforklarlig utslett, feber, leddsmerter eller tretthet oppstår</w:t>
      </w:r>
      <w:r w:rsidRPr="00DC73BE">
        <w:rPr>
          <w:sz w:val="22"/>
          <w:szCs w:val="22"/>
        </w:rPr>
        <w:t>.</w:t>
      </w:r>
    </w:p>
    <w:p w14:paraId="4A726861" w14:textId="77777777" w:rsidR="00E90360" w:rsidRPr="00663766" w:rsidRDefault="00E90360" w:rsidP="00E90360">
      <w:pPr>
        <w:suppressAutoHyphens/>
        <w:outlineLvl w:val="2"/>
        <w:rPr>
          <w:sz w:val="22"/>
          <w:szCs w:val="22"/>
        </w:rPr>
      </w:pPr>
    </w:p>
    <w:p w14:paraId="221B3A84" w14:textId="77777777" w:rsidR="00E90360" w:rsidRPr="00663766" w:rsidRDefault="00E453CD" w:rsidP="00776A84">
      <w:pPr>
        <w:keepNext/>
        <w:suppressAutoHyphens/>
        <w:outlineLvl w:val="2"/>
        <w:rPr>
          <w:sz w:val="22"/>
          <w:szCs w:val="22"/>
        </w:rPr>
      </w:pPr>
      <w:r w:rsidRPr="00E90360">
        <w:rPr>
          <w:b/>
          <w:sz w:val="22"/>
          <w:szCs w:val="22"/>
        </w:rPr>
        <w:t>Andre legemidler og Humira</w:t>
      </w:r>
    </w:p>
    <w:p w14:paraId="09A0954D" w14:textId="77777777" w:rsidR="00E90360" w:rsidRPr="003461C8" w:rsidRDefault="00E90360" w:rsidP="00776A84">
      <w:pPr>
        <w:keepNext/>
        <w:suppressAutoHyphens/>
        <w:rPr>
          <w:sz w:val="22"/>
          <w:szCs w:val="22"/>
        </w:rPr>
      </w:pPr>
    </w:p>
    <w:p w14:paraId="708C590D" w14:textId="77777777" w:rsidR="00E90360" w:rsidRPr="00E90360" w:rsidRDefault="00E453CD" w:rsidP="00E90360">
      <w:pPr>
        <w:suppressAutoHyphens/>
        <w:rPr>
          <w:sz w:val="22"/>
          <w:szCs w:val="22"/>
        </w:rPr>
      </w:pPr>
      <w:r>
        <w:rPr>
          <w:sz w:val="22"/>
          <w:szCs w:val="22"/>
        </w:rPr>
        <w:t>Snakk med</w:t>
      </w:r>
      <w:r w:rsidRPr="00E90360">
        <w:rPr>
          <w:sz w:val="22"/>
          <w:szCs w:val="22"/>
        </w:rPr>
        <w:t xml:space="preserve"> legen din eller apotek dersom barnet ditt bruker, nylig har brukt eller planlegger å bruke andre legemidler.</w:t>
      </w:r>
    </w:p>
    <w:p w14:paraId="53413CC3" w14:textId="77777777" w:rsidR="00E90360" w:rsidRPr="00E90360" w:rsidRDefault="00E90360" w:rsidP="00E90360">
      <w:pPr>
        <w:suppressAutoHyphens/>
        <w:rPr>
          <w:sz w:val="22"/>
          <w:szCs w:val="22"/>
        </w:rPr>
      </w:pPr>
    </w:p>
    <w:p w14:paraId="08C4D431" w14:textId="77777777" w:rsidR="00E90360" w:rsidRPr="00E90360" w:rsidRDefault="00E453CD" w:rsidP="00E90360">
      <w:pPr>
        <w:suppressAutoHyphens/>
        <w:rPr>
          <w:sz w:val="22"/>
          <w:szCs w:val="22"/>
        </w:rPr>
      </w:pPr>
      <w:r w:rsidRPr="00E90360">
        <w:rPr>
          <w:sz w:val="22"/>
          <w:szCs w:val="22"/>
        </w:rPr>
        <w:t>Barnet ditt må ikke ta Humira sammen med legemidler som inneholder virkestoffene:</w:t>
      </w:r>
    </w:p>
    <w:p w14:paraId="020D1CFE" w14:textId="77777777" w:rsidR="00E90360" w:rsidRPr="00E90360" w:rsidRDefault="00E453CD" w:rsidP="00E90360">
      <w:pPr>
        <w:numPr>
          <w:ilvl w:val="0"/>
          <w:numId w:val="112"/>
        </w:numPr>
        <w:tabs>
          <w:tab w:val="left" w:pos="720"/>
        </w:tabs>
        <w:suppressAutoHyphens/>
        <w:rPr>
          <w:sz w:val="22"/>
          <w:szCs w:val="22"/>
        </w:rPr>
      </w:pPr>
      <w:r w:rsidRPr="00E90360">
        <w:rPr>
          <w:sz w:val="22"/>
          <w:szCs w:val="22"/>
        </w:rPr>
        <w:t>anakinra</w:t>
      </w:r>
    </w:p>
    <w:p w14:paraId="4C1DF0CC" w14:textId="77777777" w:rsidR="00E90360" w:rsidRPr="00E90360" w:rsidRDefault="00E453CD" w:rsidP="00E90360">
      <w:pPr>
        <w:numPr>
          <w:ilvl w:val="0"/>
          <w:numId w:val="112"/>
        </w:numPr>
        <w:tabs>
          <w:tab w:val="left" w:pos="720"/>
        </w:tabs>
        <w:suppressAutoHyphens/>
        <w:rPr>
          <w:sz w:val="22"/>
          <w:szCs w:val="22"/>
        </w:rPr>
      </w:pPr>
      <w:r w:rsidRPr="00E90360">
        <w:rPr>
          <w:sz w:val="22"/>
          <w:szCs w:val="22"/>
        </w:rPr>
        <w:t>abatacept.</w:t>
      </w:r>
    </w:p>
    <w:p w14:paraId="33ABA89D" w14:textId="77777777" w:rsidR="00E90360" w:rsidRPr="00E90360" w:rsidRDefault="00E90360" w:rsidP="00E90360">
      <w:pPr>
        <w:suppressAutoHyphens/>
        <w:rPr>
          <w:szCs w:val="22"/>
        </w:rPr>
      </w:pPr>
    </w:p>
    <w:p w14:paraId="5B706C18" w14:textId="77777777" w:rsidR="00E90360" w:rsidRPr="00E90360" w:rsidRDefault="00E453CD" w:rsidP="00E90360">
      <w:pPr>
        <w:suppressAutoHyphens/>
        <w:rPr>
          <w:sz w:val="22"/>
          <w:szCs w:val="22"/>
        </w:rPr>
      </w:pPr>
      <w:r w:rsidRPr="00E90360">
        <w:rPr>
          <w:sz w:val="22"/>
          <w:szCs w:val="22"/>
        </w:rPr>
        <w:t>Humira kan tas sammen med:</w:t>
      </w:r>
    </w:p>
    <w:p w14:paraId="02EFC57D" w14:textId="77777777" w:rsidR="00E90360" w:rsidRPr="00E90360" w:rsidRDefault="00E453CD" w:rsidP="00E90360">
      <w:pPr>
        <w:numPr>
          <w:ilvl w:val="0"/>
          <w:numId w:val="113"/>
        </w:numPr>
        <w:suppressAutoHyphens/>
        <w:rPr>
          <w:sz w:val="22"/>
          <w:szCs w:val="22"/>
        </w:rPr>
      </w:pPr>
      <w:r w:rsidRPr="00E90360">
        <w:rPr>
          <w:sz w:val="22"/>
          <w:szCs w:val="22"/>
        </w:rPr>
        <w:t>metotreksat</w:t>
      </w:r>
    </w:p>
    <w:p w14:paraId="43780E0C" w14:textId="77777777" w:rsidR="00E90360" w:rsidRPr="00E90360" w:rsidRDefault="00E453CD" w:rsidP="00E90360">
      <w:pPr>
        <w:numPr>
          <w:ilvl w:val="0"/>
          <w:numId w:val="113"/>
        </w:numPr>
        <w:suppressAutoHyphens/>
        <w:rPr>
          <w:sz w:val="22"/>
          <w:szCs w:val="22"/>
        </w:rPr>
      </w:pPr>
      <w:r w:rsidRPr="00E90360">
        <w:rPr>
          <w:sz w:val="22"/>
          <w:szCs w:val="22"/>
        </w:rPr>
        <w:t>visse sykdomsmodifiserende antirevmatiske midler (f.eks. sulfasalasin, hydroksyklorokin, leflunomid og gullpreparater til injeksjon)</w:t>
      </w:r>
    </w:p>
    <w:p w14:paraId="6FBFC0B2" w14:textId="77777777" w:rsidR="00E90360" w:rsidRPr="00E90360" w:rsidRDefault="00E453CD" w:rsidP="00E90360">
      <w:pPr>
        <w:numPr>
          <w:ilvl w:val="0"/>
          <w:numId w:val="113"/>
        </w:numPr>
        <w:suppressAutoHyphens/>
        <w:rPr>
          <w:sz w:val="22"/>
          <w:szCs w:val="22"/>
        </w:rPr>
      </w:pPr>
      <w:r w:rsidRPr="00E90360">
        <w:rPr>
          <w:sz w:val="22"/>
          <w:szCs w:val="22"/>
        </w:rPr>
        <w:t>steroider eller smertestillende midler, deriblant ikke-steroide antiinflammatoriske midler (NSAIDs).</w:t>
      </w:r>
    </w:p>
    <w:p w14:paraId="2A505172" w14:textId="77777777" w:rsidR="00E90360" w:rsidRPr="00E90360" w:rsidRDefault="00E90360" w:rsidP="00E90360">
      <w:pPr>
        <w:suppressAutoHyphens/>
        <w:rPr>
          <w:sz w:val="22"/>
          <w:szCs w:val="22"/>
        </w:rPr>
      </w:pPr>
    </w:p>
    <w:p w14:paraId="665141BA" w14:textId="77777777" w:rsidR="00E90360" w:rsidRPr="00E90360" w:rsidRDefault="00E453CD" w:rsidP="00E90360">
      <w:pPr>
        <w:suppressAutoHyphens/>
        <w:rPr>
          <w:sz w:val="22"/>
          <w:szCs w:val="22"/>
        </w:rPr>
      </w:pPr>
      <w:r w:rsidRPr="00E90360">
        <w:rPr>
          <w:sz w:val="22"/>
          <w:szCs w:val="22"/>
        </w:rPr>
        <w:t>Hvis du har spørsmål, kontakt legen din.</w:t>
      </w:r>
    </w:p>
    <w:p w14:paraId="56536911" w14:textId="77777777" w:rsidR="00E90360" w:rsidRPr="00E90360" w:rsidRDefault="00E90360" w:rsidP="00E90360">
      <w:pPr>
        <w:suppressAutoHyphens/>
        <w:rPr>
          <w:sz w:val="22"/>
          <w:szCs w:val="22"/>
        </w:rPr>
      </w:pPr>
    </w:p>
    <w:p w14:paraId="58F28B9D" w14:textId="77777777" w:rsidR="00E90360" w:rsidRPr="00663766" w:rsidRDefault="00E453CD" w:rsidP="00776A84">
      <w:pPr>
        <w:keepNext/>
        <w:rPr>
          <w:sz w:val="22"/>
          <w:szCs w:val="22"/>
        </w:rPr>
      </w:pPr>
      <w:r w:rsidRPr="00E90360">
        <w:rPr>
          <w:b/>
          <w:sz w:val="22"/>
          <w:szCs w:val="22"/>
        </w:rPr>
        <w:t>Graviditet og amming</w:t>
      </w:r>
    </w:p>
    <w:p w14:paraId="6BE2E917" w14:textId="77777777" w:rsidR="00E90360" w:rsidRPr="00E90360" w:rsidRDefault="00E90360" w:rsidP="00776A84">
      <w:pPr>
        <w:keepNext/>
        <w:rPr>
          <w:sz w:val="22"/>
          <w:szCs w:val="22"/>
        </w:rPr>
      </w:pPr>
    </w:p>
    <w:p w14:paraId="7B14F623" w14:textId="77777777" w:rsidR="00E90360" w:rsidRPr="00D35625" w:rsidRDefault="00E453CD" w:rsidP="00D35625">
      <w:pPr>
        <w:pStyle w:val="ListParagraph"/>
        <w:numPr>
          <w:ilvl w:val="0"/>
          <w:numId w:val="147"/>
        </w:numPr>
        <w:suppressAutoHyphens/>
        <w:rPr>
          <w:sz w:val="22"/>
          <w:szCs w:val="22"/>
        </w:rPr>
      </w:pPr>
      <w:r w:rsidRPr="00D35625">
        <w:rPr>
          <w:sz w:val="22"/>
          <w:szCs w:val="22"/>
        </w:rPr>
        <w:t xml:space="preserve">Barnet ditt </w:t>
      </w:r>
      <w:r w:rsidR="00BE4949" w:rsidRPr="00D35625">
        <w:rPr>
          <w:sz w:val="22"/>
          <w:szCs w:val="22"/>
        </w:rPr>
        <w:t>bør vurdere å</w:t>
      </w:r>
      <w:r w:rsidRPr="00D35625">
        <w:rPr>
          <w:sz w:val="22"/>
          <w:szCs w:val="22"/>
        </w:rPr>
        <w:t xml:space="preserve"> bruke </w:t>
      </w:r>
      <w:r w:rsidR="00D61B37" w:rsidRPr="00D35625">
        <w:rPr>
          <w:sz w:val="22"/>
          <w:szCs w:val="22"/>
        </w:rPr>
        <w:t>sikker</w:t>
      </w:r>
      <w:r w:rsidRPr="00D35625">
        <w:rPr>
          <w:sz w:val="22"/>
          <w:szCs w:val="22"/>
        </w:rPr>
        <w:t xml:space="preserve"> prevensjon</w:t>
      </w:r>
      <w:r w:rsidR="00BE4949" w:rsidRPr="00D35625">
        <w:rPr>
          <w:sz w:val="22"/>
          <w:szCs w:val="22"/>
        </w:rPr>
        <w:t xml:space="preserve"> for å forhindre graviditet</w:t>
      </w:r>
      <w:r w:rsidRPr="00D35625">
        <w:rPr>
          <w:sz w:val="22"/>
          <w:szCs w:val="22"/>
        </w:rPr>
        <w:t xml:space="preserve"> og </w:t>
      </w:r>
      <w:r w:rsidR="00BE4949" w:rsidRPr="00D35625">
        <w:rPr>
          <w:sz w:val="22"/>
          <w:szCs w:val="22"/>
        </w:rPr>
        <w:t xml:space="preserve">fortsette bruken </w:t>
      </w:r>
      <w:r w:rsidRPr="00D35625">
        <w:rPr>
          <w:sz w:val="22"/>
          <w:szCs w:val="22"/>
        </w:rPr>
        <w:t xml:space="preserve">i minst 5 måneder etter siste behandling med Humira. </w:t>
      </w:r>
    </w:p>
    <w:p w14:paraId="6E33945F" w14:textId="77777777" w:rsidR="00BE4949" w:rsidRDefault="00E453CD" w:rsidP="00D35625">
      <w:pPr>
        <w:pStyle w:val="ListParagraph"/>
        <w:numPr>
          <w:ilvl w:val="0"/>
          <w:numId w:val="147"/>
        </w:numPr>
        <w:suppressAutoHyphens/>
        <w:rPr>
          <w:sz w:val="22"/>
          <w:szCs w:val="22"/>
        </w:rPr>
      </w:pPr>
      <w:r>
        <w:rPr>
          <w:sz w:val="22"/>
          <w:szCs w:val="22"/>
        </w:rPr>
        <w:t>Snakk</w:t>
      </w:r>
      <w:r w:rsidR="00922A98" w:rsidRPr="00922A98">
        <w:rPr>
          <w:sz w:val="22"/>
          <w:szCs w:val="22"/>
        </w:rPr>
        <w:t xml:space="preserve"> med lege</w:t>
      </w:r>
      <w:r w:rsidR="00922A98">
        <w:rPr>
          <w:sz w:val="22"/>
          <w:szCs w:val="22"/>
        </w:rPr>
        <w:t>n til barnet ditt</w:t>
      </w:r>
      <w:r w:rsidR="00922A98" w:rsidRPr="00922A98">
        <w:rPr>
          <w:sz w:val="22"/>
          <w:szCs w:val="22"/>
        </w:rPr>
        <w:t xml:space="preserve"> før </w:t>
      </w:r>
      <w:r w:rsidR="00922A98">
        <w:rPr>
          <w:sz w:val="22"/>
          <w:szCs w:val="22"/>
        </w:rPr>
        <w:t>hun</w:t>
      </w:r>
      <w:r w:rsidR="00922A98" w:rsidRPr="00922A98">
        <w:rPr>
          <w:sz w:val="22"/>
          <w:szCs w:val="22"/>
        </w:rPr>
        <w:t xml:space="preserve"> tar det</w:t>
      </w:r>
      <w:r w:rsidR="00922A98">
        <w:rPr>
          <w:sz w:val="22"/>
          <w:szCs w:val="22"/>
        </w:rPr>
        <w:t>te legemidlet dersom barnet ditt er gravid</w:t>
      </w:r>
      <w:r w:rsidR="00352BF8">
        <w:rPr>
          <w:sz w:val="22"/>
          <w:szCs w:val="22"/>
        </w:rPr>
        <w:t>,</w:t>
      </w:r>
      <w:r w:rsidR="00922A98">
        <w:rPr>
          <w:sz w:val="22"/>
          <w:szCs w:val="22"/>
        </w:rPr>
        <w:t xml:space="preserve"> tror at hun</w:t>
      </w:r>
      <w:r w:rsidR="00922A98" w:rsidRPr="00922A98">
        <w:rPr>
          <w:sz w:val="22"/>
          <w:szCs w:val="22"/>
        </w:rPr>
        <w:t xml:space="preserve"> kan være gravid</w:t>
      </w:r>
      <w:r w:rsidR="00922A98">
        <w:rPr>
          <w:sz w:val="22"/>
          <w:szCs w:val="22"/>
        </w:rPr>
        <w:t xml:space="preserve"> eller planlegger å bli gravid.</w:t>
      </w:r>
    </w:p>
    <w:p w14:paraId="4BD003DC" w14:textId="77777777" w:rsidR="00BE4949" w:rsidRDefault="00E453CD" w:rsidP="00D35625">
      <w:pPr>
        <w:pStyle w:val="ListParagraph"/>
        <w:numPr>
          <w:ilvl w:val="0"/>
          <w:numId w:val="147"/>
        </w:numPr>
        <w:suppressAutoHyphens/>
        <w:rPr>
          <w:sz w:val="22"/>
          <w:szCs w:val="22"/>
        </w:rPr>
      </w:pPr>
      <w:r>
        <w:rPr>
          <w:sz w:val="22"/>
          <w:szCs w:val="22"/>
        </w:rPr>
        <w:t>Humira bør kun brukes under graviditet dersom det er nødvendig.</w:t>
      </w:r>
    </w:p>
    <w:p w14:paraId="0630F8CD" w14:textId="77777777" w:rsidR="00BE4949" w:rsidRDefault="00E453CD" w:rsidP="00D35625">
      <w:pPr>
        <w:pStyle w:val="ListParagraph"/>
        <w:numPr>
          <w:ilvl w:val="0"/>
          <w:numId w:val="147"/>
        </w:numPr>
        <w:suppressAutoHyphens/>
        <w:rPr>
          <w:sz w:val="22"/>
          <w:szCs w:val="22"/>
        </w:rPr>
      </w:pPr>
      <w:r>
        <w:rPr>
          <w:sz w:val="22"/>
          <w:szCs w:val="22"/>
        </w:rPr>
        <w:t xml:space="preserve">I henhold til en studie på gravide var det ingen større risiko for </w:t>
      </w:r>
      <w:r w:rsidR="00CF2078">
        <w:rPr>
          <w:sz w:val="22"/>
          <w:szCs w:val="22"/>
        </w:rPr>
        <w:t>fosterskader</w:t>
      </w:r>
      <w:r>
        <w:rPr>
          <w:sz w:val="22"/>
          <w:szCs w:val="22"/>
        </w:rPr>
        <w:t xml:space="preserve"> når moren hadde fått Humira under graviditet sammenlignet med mødre </w:t>
      </w:r>
      <w:r w:rsidR="00F7314A">
        <w:rPr>
          <w:sz w:val="22"/>
          <w:szCs w:val="22"/>
        </w:rPr>
        <w:t>med den samme sykdommen som ikke hadde fått</w:t>
      </w:r>
      <w:r>
        <w:rPr>
          <w:sz w:val="22"/>
          <w:szCs w:val="22"/>
        </w:rPr>
        <w:t xml:space="preserve"> Humira.</w:t>
      </w:r>
    </w:p>
    <w:p w14:paraId="1FC576D7" w14:textId="77777777" w:rsidR="009F3BB7" w:rsidRDefault="00E453CD" w:rsidP="00D35625">
      <w:pPr>
        <w:pStyle w:val="ListParagraph"/>
        <w:numPr>
          <w:ilvl w:val="0"/>
          <w:numId w:val="147"/>
        </w:numPr>
        <w:suppressAutoHyphens/>
        <w:rPr>
          <w:sz w:val="22"/>
          <w:szCs w:val="22"/>
        </w:rPr>
      </w:pPr>
      <w:r>
        <w:rPr>
          <w:sz w:val="22"/>
          <w:szCs w:val="22"/>
        </w:rPr>
        <w:t xml:space="preserve">Humira kan brukes under </w:t>
      </w:r>
      <w:r w:rsidR="00352BF8">
        <w:rPr>
          <w:sz w:val="22"/>
          <w:szCs w:val="22"/>
        </w:rPr>
        <w:t>amming</w:t>
      </w:r>
      <w:r>
        <w:rPr>
          <w:sz w:val="22"/>
          <w:szCs w:val="22"/>
        </w:rPr>
        <w:t>.</w:t>
      </w:r>
    </w:p>
    <w:p w14:paraId="756CC994" w14:textId="77777777" w:rsidR="00F7314A" w:rsidRDefault="00E453CD" w:rsidP="00D35625">
      <w:pPr>
        <w:pStyle w:val="ListParagraph"/>
        <w:numPr>
          <w:ilvl w:val="0"/>
          <w:numId w:val="147"/>
        </w:numPr>
        <w:suppressAutoHyphens/>
        <w:rPr>
          <w:sz w:val="22"/>
          <w:szCs w:val="22"/>
        </w:rPr>
      </w:pPr>
      <w:r w:rsidRPr="00D35625">
        <w:rPr>
          <w:sz w:val="22"/>
          <w:szCs w:val="22"/>
        </w:rPr>
        <w:t xml:space="preserve">Dersom barnet ditt bruker Humira under graviditet, kan </w:t>
      </w:r>
      <w:r>
        <w:rPr>
          <w:sz w:val="22"/>
          <w:szCs w:val="22"/>
        </w:rPr>
        <w:t>spedbarnet</w:t>
      </w:r>
      <w:r w:rsidRPr="00D35625">
        <w:rPr>
          <w:sz w:val="22"/>
          <w:szCs w:val="22"/>
        </w:rPr>
        <w:t xml:space="preserve"> </w:t>
      </w:r>
      <w:r w:rsidR="004049FD">
        <w:rPr>
          <w:sz w:val="22"/>
          <w:szCs w:val="22"/>
        </w:rPr>
        <w:t xml:space="preserve">hennes </w:t>
      </w:r>
      <w:r w:rsidRPr="00D35625">
        <w:rPr>
          <w:sz w:val="22"/>
          <w:szCs w:val="22"/>
        </w:rPr>
        <w:t xml:space="preserve">ha </w:t>
      </w:r>
      <w:r>
        <w:rPr>
          <w:sz w:val="22"/>
          <w:szCs w:val="22"/>
        </w:rPr>
        <w:t xml:space="preserve">en </w:t>
      </w:r>
      <w:r w:rsidRPr="00D35625">
        <w:rPr>
          <w:sz w:val="22"/>
          <w:szCs w:val="22"/>
        </w:rPr>
        <w:t xml:space="preserve">høyere risiko for å få en infeksjon. </w:t>
      </w:r>
    </w:p>
    <w:p w14:paraId="697E2ACC" w14:textId="77777777" w:rsidR="00E90360" w:rsidRPr="00D35625" w:rsidRDefault="00E453CD" w:rsidP="00D35625">
      <w:pPr>
        <w:pStyle w:val="ListParagraph"/>
        <w:numPr>
          <w:ilvl w:val="0"/>
          <w:numId w:val="147"/>
        </w:numPr>
        <w:suppressAutoHyphens/>
        <w:rPr>
          <w:b/>
          <w:sz w:val="22"/>
          <w:szCs w:val="22"/>
        </w:rPr>
      </w:pPr>
      <w:r w:rsidRPr="00D35625">
        <w:rPr>
          <w:sz w:val="22"/>
          <w:szCs w:val="22"/>
        </w:rPr>
        <w:lastRenderedPageBreak/>
        <w:t xml:space="preserve">Det er viktig at du forteller </w:t>
      </w:r>
      <w:r w:rsidR="00C22E21">
        <w:rPr>
          <w:sz w:val="22"/>
          <w:szCs w:val="22"/>
        </w:rPr>
        <w:t xml:space="preserve">legen til spedbarnet </w:t>
      </w:r>
      <w:r w:rsidRPr="00D35625">
        <w:rPr>
          <w:sz w:val="22"/>
          <w:szCs w:val="22"/>
        </w:rPr>
        <w:t xml:space="preserve">og annet helsepersonell </w:t>
      </w:r>
      <w:r w:rsidR="00900FF9">
        <w:rPr>
          <w:sz w:val="22"/>
          <w:szCs w:val="22"/>
        </w:rPr>
        <w:t>om</w:t>
      </w:r>
      <w:r w:rsidR="00900FF9" w:rsidRPr="00D35625">
        <w:rPr>
          <w:sz w:val="22"/>
          <w:szCs w:val="22"/>
        </w:rPr>
        <w:t xml:space="preserve"> </w:t>
      </w:r>
      <w:r w:rsidR="00B904B8">
        <w:rPr>
          <w:sz w:val="22"/>
          <w:szCs w:val="22"/>
        </w:rPr>
        <w:t>ditt barns</w:t>
      </w:r>
      <w:r w:rsidR="00900FF9" w:rsidRPr="00D35625">
        <w:rPr>
          <w:sz w:val="22"/>
          <w:szCs w:val="22"/>
        </w:rPr>
        <w:t xml:space="preserve"> </w:t>
      </w:r>
      <w:r w:rsidRPr="00D35625">
        <w:rPr>
          <w:sz w:val="22"/>
          <w:szCs w:val="22"/>
        </w:rPr>
        <w:t>bruk</w:t>
      </w:r>
      <w:r w:rsidR="00900FF9">
        <w:rPr>
          <w:sz w:val="22"/>
          <w:szCs w:val="22"/>
        </w:rPr>
        <w:t xml:space="preserve"> av</w:t>
      </w:r>
      <w:r w:rsidRPr="00D35625">
        <w:rPr>
          <w:sz w:val="22"/>
          <w:szCs w:val="22"/>
        </w:rPr>
        <w:t xml:space="preserve"> Humira under graviditeten før spedbarn</w:t>
      </w:r>
      <w:r w:rsidR="00C22E21">
        <w:rPr>
          <w:sz w:val="22"/>
          <w:szCs w:val="22"/>
        </w:rPr>
        <w:t>et</w:t>
      </w:r>
      <w:r w:rsidRPr="00D35625">
        <w:rPr>
          <w:sz w:val="22"/>
          <w:szCs w:val="22"/>
        </w:rPr>
        <w:t xml:space="preserve"> vaksineres. For mer informasjon</w:t>
      </w:r>
      <w:r w:rsidR="00F7314A">
        <w:rPr>
          <w:sz w:val="22"/>
          <w:szCs w:val="22"/>
        </w:rPr>
        <w:t xml:space="preserve"> om vaksiner</w:t>
      </w:r>
      <w:r w:rsidRPr="00D35625">
        <w:rPr>
          <w:sz w:val="22"/>
          <w:szCs w:val="22"/>
        </w:rPr>
        <w:t xml:space="preserve">, se </w:t>
      </w:r>
      <w:r w:rsidR="00F7314A">
        <w:rPr>
          <w:sz w:val="22"/>
          <w:szCs w:val="22"/>
        </w:rPr>
        <w:t>avsnittet «Advarsler og forsiktighetsregler»</w:t>
      </w:r>
      <w:r w:rsidRPr="00E90360">
        <w:t>.</w:t>
      </w:r>
    </w:p>
    <w:p w14:paraId="283CD404" w14:textId="77777777" w:rsidR="00E90360" w:rsidRPr="00E90360" w:rsidRDefault="00E90360" w:rsidP="00E90360">
      <w:pPr>
        <w:rPr>
          <w:sz w:val="22"/>
          <w:szCs w:val="22"/>
        </w:rPr>
      </w:pPr>
    </w:p>
    <w:p w14:paraId="409E5340" w14:textId="77777777" w:rsidR="00E90360" w:rsidRPr="00663766" w:rsidRDefault="00E453CD" w:rsidP="00776A84">
      <w:pPr>
        <w:keepNext/>
        <w:suppressAutoHyphens/>
        <w:rPr>
          <w:sz w:val="22"/>
          <w:szCs w:val="22"/>
        </w:rPr>
      </w:pPr>
      <w:r w:rsidRPr="00E90360">
        <w:rPr>
          <w:b/>
          <w:sz w:val="22"/>
          <w:szCs w:val="22"/>
        </w:rPr>
        <w:t>Kjøring og bruk av maskiner</w:t>
      </w:r>
    </w:p>
    <w:p w14:paraId="14ECA820" w14:textId="77777777" w:rsidR="00E90360" w:rsidRPr="00663766" w:rsidRDefault="00E90360" w:rsidP="00776A84">
      <w:pPr>
        <w:keepNext/>
        <w:suppressAutoHyphens/>
        <w:rPr>
          <w:sz w:val="22"/>
          <w:szCs w:val="22"/>
        </w:rPr>
      </w:pPr>
    </w:p>
    <w:p w14:paraId="55FAA05A" w14:textId="77777777" w:rsidR="00E90360" w:rsidRDefault="00E453CD" w:rsidP="00E90360">
      <w:pPr>
        <w:rPr>
          <w:ins w:id="13047" w:author="AbbVie02no" w:date="2025-05-15T14:05:00Z"/>
          <w:sz w:val="22"/>
          <w:szCs w:val="22"/>
        </w:rPr>
      </w:pPr>
      <w:r w:rsidRPr="00E90360">
        <w:rPr>
          <w:sz w:val="22"/>
          <w:szCs w:val="22"/>
        </w:rPr>
        <w:t>Humira kan ha en liten påvirkning på evnen til å kjøre bil, sykkel eller bruke maskiner. Svimmelhet og synsforstyrrelse kan oppstå etter injeksjon av Humira.</w:t>
      </w:r>
    </w:p>
    <w:p w14:paraId="2EF4549F" w14:textId="77777777" w:rsidR="00243BE3" w:rsidRDefault="00243BE3" w:rsidP="00E90360">
      <w:pPr>
        <w:rPr>
          <w:ins w:id="13048" w:author="AbbVie02no" w:date="2025-05-15T14:05:00Z"/>
          <w:sz w:val="22"/>
          <w:szCs w:val="22"/>
        </w:rPr>
      </w:pPr>
    </w:p>
    <w:p w14:paraId="4BFB7F6F" w14:textId="4F0DB5B5" w:rsidR="00243BE3" w:rsidRPr="00243BE3" w:rsidRDefault="00E453CD" w:rsidP="00E90360">
      <w:pPr>
        <w:rPr>
          <w:ins w:id="13049" w:author="AbbVie02no" w:date="2025-05-15T14:06:00Z"/>
          <w:b/>
          <w:bCs/>
          <w:sz w:val="22"/>
          <w:szCs w:val="22"/>
          <w:rPrChange w:id="13050" w:author="AbbVie02no" w:date="2025-05-15T14:06:00Z">
            <w:rPr>
              <w:ins w:id="13051" w:author="AbbVie02no" w:date="2025-05-15T14:06:00Z"/>
              <w:sz w:val="22"/>
              <w:szCs w:val="22"/>
            </w:rPr>
          </w:rPrChange>
        </w:rPr>
      </w:pPr>
      <w:ins w:id="13052" w:author="AbbVie02no" w:date="2025-05-15T14:05:00Z">
        <w:r w:rsidRPr="00243BE3">
          <w:rPr>
            <w:b/>
            <w:bCs/>
            <w:sz w:val="22"/>
            <w:szCs w:val="22"/>
            <w:rPrChange w:id="13053" w:author="AbbVie02no" w:date="2025-05-15T14:06:00Z">
              <w:rPr>
                <w:sz w:val="22"/>
                <w:szCs w:val="22"/>
              </w:rPr>
            </w:rPrChange>
          </w:rPr>
          <w:t>Humira inneholder po</w:t>
        </w:r>
      </w:ins>
      <w:ins w:id="13054" w:author="AbbVie02no" w:date="2025-05-15T14:06:00Z">
        <w:r w:rsidRPr="00243BE3">
          <w:rPr>
            <w:b/>
            <w:bCs/>
            <w:sz w:val="22"/>
            <w:szCs w:val="22"/>
            <w:rPrChange w:id="13055" w:author="AbbVie02no" w:date="2025-05-15T14:06:00Z">
              <w:rPr>
                <w:sz w:val="22"/>
                <w:szCs w:val="22"/>
              </w:rPr>
            </w:rPrChange>
          </w:rPr>
          <w:t>lysorbat</w:t>
        </w:r>
      </w:ins>
    </w:p>
    <w:p w14:paraId="4C5FBD13" w14:textId="77777777" w:rsidR="00243BE3" w:rsidRDefault="00243BE3" w:rsidP="00E90360">
      <w:pPr>
        <w:rPr>
          <w:ins w:id="13056" w:author="AbbVie02no" w:date="2025-05-15T14:06:00Z"/>
          <w:sz w:val="22"/>
          <w:szCs w:val="22"/>
        </w:rPr>
      </w:pPr>
    </w:p>
    <w:p w14:paraId="59CAD896" w14:textId="45B2D515" w:rsidR="00243BE3" w:rsidRPr="00E90360" w:rsidRDefault="00E453CD" w:rsidP="00E90360">
      <w:pPr>
        <w:rPr>
          <w:sz w:val="22"/>
          <w:szCs w:val="22"/>
        </w:rPr>
      </w:pPr>
      <w:ins w:id="13057" w:author="AbbVie02no" w:date="2025-05-15T14:06:00Z">
        <w:r>
          <w:rPr>
            <w:sz w:val="22"/>
            <w:szCs w:val="22"/>
          </w:rPr>
          <w:t xml:space="preserve">Dette legemidlet inneholder 0,2 mg polysorbat 80 </w:t>
        </w:r>
      </w:ins>
      <w:ins w:id="13058" w:author="AbbVie02no" w:date="2025-05-15T14:07:00Z">
        <w:r>
          <w:rPr>
            <w:sz w:val="22"/>
            <w:szCs w:val="22"/>
          </w:rPr>
          <w:t xml:space="preserve">i hver 20 mg dose. </w:t>
        </w:r>
        <w:r w:rsidR="00A6493F">
          <w:rPr>
            <w:sz w:val="22"/>
            <w:szCs w:val="22"/>
          </w:rPr>
          <w:t>Polysorbater kan forårsake allergiske reaksjoner. Fortell legen din</w:t>
        </w:r>
      </w:ins>
      <w:ins w:id="13059" w:author="AbbVie02no" w:date="2025-05-15T14:08:00Z">
        <w:r w:rsidR="00A6493F">
          <w:rPr>
            <w:sz w:val="22"/>
            <w:szCs w:val="22"/>
          </w:rPr>
          <w:t xml:space="preserve"> dersom barnet ditt har noen kjente allergier.</w:t>
        </w:r>
      </w:ins>
    </w:p>
    <w:p w14:paraId="0AE6768A" w14:textId="77777777" w:rsidR="00E90360" w:rsidRPr="00E90360" w:rsidRDefault="00E90360" w:rsidP="00E90360">
      <w:pPr>
        <w:suppressAutoHyphens/>
        <w:rPr>
          <w:sz w:val="22"/>
          <w:szCs w:val="22"/>
        </w:rPr>
      </w:pPr>
    </w:p>
    <w:p w14:paraId="465E3771" w14:textId="77777777" w:rsidR="00E90360" w:rsidRPr="00E90360" w:rsidRDefault="00E90360" w:rsidP="00E90360">
      <w:pPr>
        <w:suppressAutoHyphens/>
        <w:rPr>
          <w:sz w:val="22"/>
          <w:szCs w:val="22"/>
        </w:rPr>
      </w:pPr>
    </w:p>
    <w:p w14:paraId="2781C371" w14:textId="77777777" w:rsidR="00E90360" w:rsidRPr="00E90360" w:rsidRDefault="00E453CD" w:rsidP="00776A84">
      <w:pPr>
        <w:keepNext/>
        <w:tabs>
          <w:tab w:val="left" w:pos="567"/>
        </w:tabs>
        <w:suppressAutoHyphens/>
        <w:rPr>
          <w:sz w:val="22"/>
          <w:szCs w:val="22"/>
        </w:rPr>
      </w:pPr>
      <w:r w:rsidRPr="00E90360">
        <w:rPr>
          <w:b/>
          <w:sz w:val="22"/>
          <w:szCs w:val="22"/>
        </w:rPr>
        <w:t>3.</w:t>
      </w:r>
      <w:r w:rsidRPr="00E90360">
        <w:rPr>
          <w:b/>
          <w:sz w:val="22"/>
          <w:szCs w:val="22"/>
        </w:rPr>
        <w:tab/>
        <w:t>Hvordan du bruker Humira</w:t>
      </w:r>
    </w:p>
    <w:p w14:paraId="38339447" w14:textId="77777777" w:rsidR="00E90360" w:rsidRPr="00E90360" w:rsidRDefault="00E90360" w:rsidP="00776A84">
      <w:pPr>
        <w:keepNext/>
        <w:rPr>
          <w:sz w:val="22"/>
          <w:szCs w:val="22"/>
        </w:rPr>
      </w:pPr>
    </w:p>
    <w:p w14:paraId="2DCC338C" w14:textId="77777777" w:rsidR="00E90360" w:rsidRPr="00E90360" w:rsidRDefault="00E453CD" w:rsidP="00E90360">
      <w:pPr>
        <w:suppressAutoHyphens/>
        <w:rPr>
          <w:sz w:val="22"/>
          <w:szCs w:val="22"/>
        </w:rPr>
      </w:pPr>
      <w:r w:rsidRPr="00E90360">
        <w:rPr>
          <w:sz w:val="22"/>
          <w:szCs w:val="22"/>
        </w:rPr>
        <w:t>Bruk alltid dette legemidlet nøyaktig slik legen eller apotek har fortalt deg. Kontakt legen din eller apotek hvis du er usikker.</w:t>
      </w:r>
    </w:p>
    <w:p w14:paraId="0DE24DD7" w14:textId="77777777" w:rsidR="00E90360" w:rsidRPr="00E90360" w:rsidRDefault="00E90360" w:rsidP="00E90360">
      <w:pPr>
        <w:suppressAutoHyphens/>
        <w:rPr>
          <w:sz w:val="22"/>
          <w:szCs w:val="22"/>
        </w:rPr>
      </w:pPr>
    </w:p>
    <w:p w14:paraId="3DD0EBA0" w14:textId="77777777" w:rsidR="00E90360" w:rsidRPr="00E90360" w:rsidRDefault="00E453CD" w:rsidP="00E90360">
      <w:pPr>
        <w:suppressAutoHyphens/>
        <w:rPr>
          <w:sz w:val="22"/>
          <w:szCs w:val="22"/>
        </w:rPr>
      </w:pPr>
      <w:r w:rsidRPr="00E90360">
        <w:rPr>
          <w:sz w:val="22"/>
          <w:szCs w:val="22"/>
        </w:rPr>
        <w:t>Anbefalte doser med Humira for hvert godkjent bruksområde er vist i tabellen under. Legen din kan forskrive en annen styrke av Humira dersom barnet ditt trenger en annen dose.</w:t>
      </w:r>
    </w:p>
    <w:p w14:paraId="12EC2DA6" w14:textId="77777777" w:rsidR="00E90360" w:rsidRPr="00E90360" w:rsidRDefault="00E90360" w:rsidP="00E90360">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4"/>
        <w:gridCol w:w="3021"/>
      </w:tblGrid>
      <w:tr w:rsidR="004644D4" w14:paraId="56AA8D92" w14:textId="77777777" w:rsidTr="002A2660">
        <w:tc>
          <w:tcPr>
            <w:tcW w:w="9287" w:type="dxa"/>
            <w:gridSpan w:val="3"/>
            <w:tcBorders>
              <w:top w:val="single" w:sz="4" w:space="0" w:color="auto"/>
              <w:left w:val="single" w:sz="4" w:space="0" w:color="auto"/>
              <w:bottom w:val="single" w:sz="4" w:space="0" w:color="auto"/>
              <w:right w:val="single" w:sz="4" w:space="0" w:color="auto"/>
            </w:tcBorders>
            <w:hideMark/>
          </w:tcPr>
          <w:p w14:paraId="099FE897" w14:textId="77777777" w:rsidR="00E90360" w:rsidRPr="00E90360" w:rsidRDefault="00E453CD" w:rsidP="00E90360">
            <w:pPr>
              <w:numPr>
                <w:ilvl w:val="12"/>
                <w:numId w:val="0"/>
              </w:numPr>
              <w:tabs>
                <w:tab w:val="left" w:pos="720"/>
              </w:tabs>
              <w:suppressAutoHyphens/>
              <w:ind w:right="-2"/>
              <w:rPr>
                <w:sz w:val="22"/>
                <w:lang w:val="en-GB"/>
              </w:rPr>
            </w:pPr>
            <w:r w:rsidRPr="00E90360">
              <w:rPr>
                <w:b/>
                <w:sz w:val="22"/>
                <w:szCs w:val="22"/>
              </w:rPr>
              <w:t>Polyartikulær juvenil idiopatisk artritt</w:t>
            </w:r>
          </w:p>
        </w:tc>
      </w:tr>
      <w:tr w:rsidR="004644D4" w14:paraId="19DE6767" w14:textId="77777777" w:rsidTr="002A2660">
        <w:tc>
          <w:tcPr>
            <w:tcW w:w="3095" w:type="dxa"/>
            <w:tcBorders>
              <w:top w:val="single" w:sz="4" w:space="0" w:color="auto"/>
              <w:left w:val="single" w:sz="4" w:space="0" w:color="auto"/>
              <w:bottom w:val="single" w:sz="4" w:space="0" w:color="auto"/>
              <w:right w:val="single" w:sz="4" w:space="0" w:color="auto"/>
            </w:tcBorders>
            <w:hideMark/>
          </w:tcPr>
          <w:p w14:paraId="6805F407" w14:textId="77777777" w:rsidR="00E90360" w:rsidRPr="00E90360" w:rsidRDefault="00E453CD" w:rsidP="00E90360">
            <w:pPr>
              <w:numPr>
                <w:ilvl w:val="12"/>
                <w:numId w:val="0"/>
              </w:numPr>
              <w:tabs>
                <w:tab w:val="left" w:pos="720"/>
              </w:tabs>
              <w:suppressAutoHyphens/>
              <w:ind w:right="-2"/>
              <w:rPr>
                <w:sz w:val="22"/>
                <w:lang w:val="en-GB"/>
              </w:rPr>
            </w:pPr>
            <w:r w:rsidRPr="00E90360">
              <w:rPr>
                <w:b/>
                <w:sz w:val="22"/>
                <w:szCs w:val="22"/>
                <w:lang w:val="en-US"/>
              </w:rPr>
              <w:t>Alder eller kroppsvekt</w:t>
            </w:r>
          </w:p>
        </w:tc>
        <w:tc>
          <w:tcPr>
            <w:tcW w:w="3096" w:type="dxa"/>
            <w:tcBorders>
              <w:top w:val="single" w:sz="4" w:space="0" w:color="auto"/>
              <w:left w:val="single" w:sz="4" w:space="0" w:color="auto"/>
              <w:bottom w:val="single" w:sz="4" w:space="0" w:color="auto"/>
              <w:right w:val="single" w:sz="4" w:space="0" w:color="auto"/>
            </w:tcBorders>
            <w:hideMark/>
          </w:tcPr>
          <w:p w14:paraId="476F9027" w14:textId="77777777" w:rsidR="00E90360" w:rsidRPr="00E90360" w:rsidRDefault="00E453CD" w:rsidP="00E90360">
            <w:pPr>
              <w:numPr>
                <w:ilvl w:val="12"/>
                <w:numId w:val="0"/>
              </w:numPr>
              <w:tabs>
                <w:tab w:val="left" w:pos="720"/>
              </w:tabs>
              <w:suppressAutoHyphens/>
              <w:ind w:right="-2"/>
              <w:rPr>
                <w:sz w:val="22"/>
              </w:rPr>
            </w:pPr>
            <w:r w:rsidRPr="00E90360">
              <w:rPr>
                <w:b/>
                <w:sz w:val="22"/>
                <w:szCs w:val="22"/>
              </w:rPr>
              <w:t>Hvor mye og hvor ofte du skal ta?</w:t>
            </w:r>
          </w:p>
        </w:tc>
        <w:tc>
          <w:tcPr>
            <w:tcW w:w="3096" w:type="dxa"/>
            <w:tcBorders>
              <w:top w:val="single" w:sz="4" w:space="0" w:color="auto"/>
              <w:left w:val="single" w:sz="4" w:space="0" w:color="auto"/>
              <w:bottom w:val="single" w:sz="4" w:space="0" w:color="auto"/>
              <w:right w:val="single" w:sz="4" w:space="0" w:color="auto"/>
            </w:tcBorders>
            <w:hideMark/>
          </w:tcPr>
          <w:p w14:paraId="1DF9F951" w14:textId="77777777" w:rsidR="00E90360" w:rsidRPr="00E90360" w:rsidRDefault="00E453CD" w:rsidP="00E90360">
            <w:pPr>
              <w:numPr>
                <w:ilvl w:val="12"/>
                <w:numId w:val="0"/>
              </w:numPr>
              <w:tabs>
                <w:tab w:val="left" w:pos="720"/>
              </w:tabs>
              <w:suppressAutoHyphens/>
              <w:ind w:right="-2"/>
              <w:rPr>
                <w:sz w:val="22"/>
                <w:lang w:val="en-GB"/>
              </w:rPr>
            </w:pPr>
            <w:r w:rsidRPr="00E90360">
              <w:rPr>
                <w:b/>
                <w:sz w:val="22"/>
                <w:szCs w:val="22"/>
                <w:lang w:val="en-US"/>
              </w:rPr>
              <w:t>Merknader</w:t>
            </w:r>
          </w:p>
        </w:tc>
      </w:tr>
      <w:tr w:rsidR="004644D4" w14:paraId="484EF7C9" w14:textId="77777777" w:rsidTr="002A2660">
        <w:tc>
          <w:tcPr>
            <w:tcW w:w="3095" w:type="dxa"/>
            <w:tcBorders>
              <w:top w:val="single" w:sz="4" w:space="0" w:color="auto"/>
              <w:left w:val="single" w:sz="4" w:space="0" w:color="auto"/>
              <w:bottom w:val="single" w:sz="4" w:space="0" w:color="auto"/>
              <w:right w:val="single" w:sz="4" w:space="0" w:color="auto"/>
            </w:tcBorders>
            <w:hideMark/>
          </w:tcPr>
          <w:p w14:paraId="04319F22" w14:textId="77777777" w:rsidR="00E90360" w:rsidRPr="00E90360" w:rsidRDefault="00E453CD" w:rsidP="002F203C">
            <w:pPr>
              <w:numPr>
                <w:ilvl w:val="12"/>
                <w:numId w:val="0"/>
              </w:numPr>
              <w:tabs>
                <w:tab w:val="left" w:pos="720"/>
              </w:tabs>
              <w:suppressAutoHyphens/>
              <w:ind w:right="-2"/>
              <w:rPr>
                <w:sz w:val="22"/>
              </w:rPr>
            </w:pPr>
            <w:r w:rsidRPr="00E90360">
              <w:rPr>
                <w:sz w:val="22"/>
              </w:rPr>
              <w:t xml:space="preserve">Barn, ungdom og voksne </w:t>
            </w:r>
            <w:r w:rsidR="002F203C">
              <w:rPr>
                <w:sz w:val="22"/>
              </w:rPr>
              <w:t>over</w:t>
            </w:r>
            <w:r w:rsidRPr="00E90360">
              <w:rPr>
                <w:sz w:val="22"/>
              </w:rPr>
              <w:t xml:space="preserve"> 2 år som veier 30 kg eller mer</w:t>
            </w:r>
          </w:p>
        </w:tc>
        <w:tc>
          <w:tcPr>
            <w:tcW w:w="3096" w:type="dxa"/>
            <w:tcBorders>
              <w:top w:val="single" w:sz="4" w:space="0" w:color="auto"/>
              <w:left w:val="single" w:sz="4" w:space="0" w:color="auto"/>
              <w:bottom w:val="single" w:sz="4" w:space="0" w:color="auto"/>
              <w:right w:val="single" w:sz="4" w:space="0" w:color="auto"/>
            </w:tcBorders>
            <w:hideMark/>
          </w:tcPr>
          <w:p w14:paraId="7EB27E1D" w14:textId="77777777" w:rsidR="00E90360" w:rsidRPr="00E90360" w:rsidRDefault="00E453CD" w:rsidP="00E90360">
            <w:pPr>
              <w:numPr>
                <w:ilvl w:val="12"/>
                <w:numId w:val="0"/>
              </w:numPr>
              <w:tabs>
                <w:tab w:val="left" w:pos="720"/>
              </w:tabs>
              <w:suppressAutoHyphens/>
              <w:ind w:right="-2"/>
              <w:rPr>
                <w:sz w:val="22"/>
                <w:lang w:val="en-GB"/>
              </w:rPr>
            </w:pPr>
            <w:r w:rsidRPr="00E90360">
              <w:rPr>
                <w:sz w:val="22"/>
                <w:lang w:val="en-US"/>
              </w:rPr>
              <w:t xml:space="preserve">40 mg </w:t>
            </w:r>
            <w:r w:rsidRPr="00E90360">
              <w:rPr>
                <w:sz w:val="22"/>
                <w:szCs w:val="22"/>
              </w:rPr>
              <w:t>annenhver uke</w:t>
            </w:r>
          </w:p>
        </w:tc>
        <w:tc>
          <w:tcPr>
            <w:tcW w:w="3096" w:type="dxa"/>
            <w:tcBorders>
              <w:top w:val="single" w:sz="4" w:space="0" w:color="auto"/>
              <w:left w:val="single" w:sz="4" w:space="0" w:color="auto"/>
              <w:bottom w:val="single" w:sz="4" w:space="0" w:color="auto"/>
              <w:right w:val="single" w:sz="4" w:space="0" w:color="auto"/>
            </w:tcBorders>
          </w:tcPr>
          <w:p w14:paraId="209D2988" w14:textId="77777777" w:rsidR="00E90360" w:rsidRPr="00E90360" w:rsidRDefault="00E453CD" w:rsidP="00E90360">
            <w:pPr>
              <w:numPr>
                <w:ilvl w:val="12"/>
                <w:numId w:val="0"/>
              </w:numPr>
              <w:tabs>
                <w:tab w:val="left" w:pos="720"/>
              </w:tabs>
              <w:suppressAutoHyphens/>
              <w:ind w:right="-2"/>
              <w:rPr>
                <w:sz w:val="22"/>
                <w:lang w:val="en-GB"/>
              </w:rPr>
            </w:pPr>
            <w:r>
              <w:rPr>
                <w:sz w:val="22"/>
                <w:lang w:val="en-GB"/>
              </w:rPr>
              <w:t>Ikke aktuelt</w:t>
            </w:r>
          </w:p>
        </w:tc>
      </w:tr>
      <w:tr w:rsidR="004644D4" w14:paraId="1300AFE0" w14:textId="77777777" w:rsidTr="002A2660">
        <w:tc>
          <w:tcPr>
            <w:tcW w:w="3095" w:type="dxa"/>
            <w:tcBorders>
              <w:top w:val="single" w:sz="4" w:space="0" w:color="auto"/>
              <w:left w:val="single" w:sz="4" w:space="0" w:color="auto"/>
              <w:bottom w:val="single" w:sz="4" w:space="0" w:color="auto"/>
              <w:right w:val="single" w:sz="4" w:space="0" w:color="auto"/>
            </w:tcBorders>
            <w:hideMark/>
          </w:tcPr>
          <w:p w14:paraId="1884A866" w14:textId="77777777" w:rsidR="00E90360" w:rsidRPr="00E90360" w:rsidRDefault="00E453CD" w:rsidP="002F203C">
            <w:pPr>
              <w:numPr>
                <w:ilvl w:val="12"/>
                <w:numId w:val="0"/>
              </w:numPr>
              <w:tabs>
                <w:tab w:val="left" w:pos="720"/>
              </w:tabs>
              <w:suppressAutoHyphens/>
              <w:ind w:right="-2"/>
              <w:rPr>
                <w:sz w:val="22"/>
              </w:rPr>
            </w:pPr>
            <w:r w:rsidRPr="00E90360">
              <w:rPr>
                <w:sz w:val="22"/>
              </w:rPr>
              <w:t xml:space="preserve">Barn og ungdom </w:t>
            </w:r>
            <w:r w:rsidR="002F203C">
              <w:rPr>
                <w:sz w:val="22"/>
              </w:rPr>
              <w:t>over</w:t>
            </w:r>
            <w:r w:rsidRPr="00E90360">
              <w:rPr>
                <w:sz w:val="22"/>
              </w:rPr>
              <w:t xml:space="preserve"> 2 år som veier 10 kg til </w:t>
            </w:r>
            <w:r w:rsidR="004C5757">
              <w:rPr>
                <w:sz w:val="22"/>
              </w:rPr>
              <w:t>under</w:t>
            </w:r>
            <w:r w:rsidRPr="00E90360">
              <w:rPr>
                <w:sz w:val="22"/>
              </w:rPr>
              <w:t xml:space="preserve"> 30 kg</w:t>
            </w:r>
          </w:p>
        </w:tc>
        <w:tc>
          <w:tcPr>
            <w:tcW w:w="3096" w:type="dxa"/>
            <w:tcBorders>
              <w:top w:val="single" w:sz="4" w:space="0" w:color="auto"/>
              <w:left w:val="single" w:sz="4" w:space="0" w:color="auto"/>
              <w:bottom w:val="single" w:sz="4" w:space="0" w:color="auto"/>
              <w:right w:val="single" w:sz="4" w:space="0" w:color="auto"/>
            </w:tcBorders>
            <w:hideMark/>
          </w:tcPr>
          <w:p w14:paraId="343D0462" w14:textId="77777777" w:rsidR="00E90360" w:rsidRPr="00E90360" w:rsidRDefault="00E453CD" w:rsidP="00E90360">
            <w:pPr>
              <w:numPr>
                <w:ilvl w:val="12"/>
                <w:numId w:val="0"/>
              </w:numPr>
              <w:tabs>
                <w:tab w:val="left" w:pos="720"/>
              </w:tabs>
              <w:suppressAutoHyphens/>
              <w:ind w:right="-2"/>
              <w:rPr>
                <w:sz w:val="22"/>
                <w:lang w:val="en-US"/>
              </w:rPr>
            </w:pPr>
            <w:r w:rsidRPr="00E90360">
              <w:rPr>
                <w:sz w:val="22"/>
                <w:lang w:val="en-US"/>
              </w:rPr>
              <w:t xml:space="preserve">20 mg </w:t>
            </w:r>
            <w:r w:rsidRPr="00E90360">
              <w:rPr>
                <w:sz w:val="22"/>
                <w:szCs w:val="22"/>
              </w:rPr>
              <w:t>annenhver uke</w:t>
            </w:r>
          </w:p>
        </w:tc>
        <w:tc>
          <w:tcPr>
            <w:tcW w:w="3096" w:type="dxa"/>
            <w:tcBorders>
              <w:top w:val="single" w:sz="4" w:space="0" w:color="auto"/>
              <w:left w:val="single" w:sz="4" w:space="0" w:color="auto"/>
              <w:bottom w:val="single" w:sz="4" w:space="0" w:color="auto"/>
              <w:right w:val="single" w:sz="4" w:space="0" w:color="auto"/>
            </w:tcBorders>
          </w:tcPr>
          <w:p w14:paraId="23DDE757" w14:textId="77777777" w:rsidR="00E90360" w:rsidRPr="00E90360" w:rsidRDefault="00E453CD" w:rsidP="00E90360">
            <w:pPr>
              <w:numPr>
                <w:ilvl w:val="12"/>
                <w:numId w:val="0"/>
              </w:numPr>
              <w:tabs>
                <w:tab w:val="left" w:pos="720"/>
              </w:tabs>
              <w:suppressAutoHyphens/>
              <w:ind w:right="-2"/>
              <w:rPr>
                <w:sz w:val="22"/>
                <w:lang w:val="en-GB"/>
              </w:rPr>
            </w:pPr>
            <w:r>
              <w:rPr>
                <w:sz w:val="22"/>
                <w:lang w:val="en-GB"/>
              </w:rPr>
              <w:t>Ikke aktuelt</w:t>
            </w:r>
          </w:p>
        </w:tc>
      </w:tr>
    </w:tbl>
    <w:p w14:paraId="1C67F1DA" w14:textId="77777777" w:rsidR="00E90360" w:rsidRPr="00E90360" w:rsidRDefault="00E90360" w:rsidP="00E90360">
      <w:pPr>
        <w:numPr>
          <w:ilvl w:val="12"/>
          <w:numId w:val="0"/>
        </w:numPr>
        <w:tabs>
          <w:tab w:val="left" w:pos="720"/>
        </w:tabs>
        <w:suppressAutoHyphens/>
        <w:ind w:right="-2"/>
        <w:rPr>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4"/>
        <w:gridCol w:w="3021"/>
      </w:tblGrid>
      <w:tr w:rsidR="004644D4" w14:paraId="14D0811A" w14:textId="77777777" w:rsidTr="002A2660">
        <w:tc>
          <w:tcPr>
            <w:tcW w:w="9287" w:type="dxa"/>
            <w:gridSpan w:val="3"/>
            <w:tcBorders>
              <w:top w:val="single" w:sz="4" w:space="0" w:color="auto"/>
              <w:left w:val="single" w:sz="4" w:space="0" w:color="auto"/>
              <w:bottom w:val="single" w:sz="4" w:space="0" w:color="auto"/>
              <w:right w:val="single" w:sz="4" w:space="0" w:color="auto"/>
            </w:tcBorders>
            <w:hideMark/>
          </w:tcPr>
          <w:p w14:paraId="5AB60AFD" w14:textId="77777777" w:rsidR="00E90360" w:rsidRPr="00E90360" w:rsidRDefault="00E453CD" w:rsidP="00E90360">
            <w:pPr>
              <w:numPr>
                <w:ilvl w:val="12"/>
                <w:numId w:val="0"/>
              </w:numPr>
              <w:tabs>
                <w:tab w:val="left" w:pos="720"/>
              </w:tabs>
              <w:suppressAutoHyphens/>
              <w:ind w:right="-2"/>
              <w:rPr>
                <w:b/>
                <w:sz w:val="22"/>
                <w:lang w:val="en-GB"/>
              </w:rPr>
            </w:pPr>
            <w:r w:rsidRPr="00E90360">
              <w:rPr>
                <w:b/>
                <w:sz w:val="22"/>
                <w:lang w:val="en-GB"/>
              </w:rPr>
              <w:t>Entesittrelatert artritt</w:t>
            </w:r>
          </w:p>
        </w:tc>
      </w:tr>
      <w:tr w:rsidR="004644D4" w14:paraId="02BAB236" w14:textId="77777777" w:rsidTr="002A2660">
        <w:tc>
          <w:tcPr>
            <w:tcW w:w="3095" w:type="dxa"/>
            <w:tcBorders>
              <w:top w:val="single" w:sz="4" w:space="0" w:color="auto"/>
              <w:left w:val="single" w:sz="4" w:space="0" w:color="auto"/>
              <w:bottom w:val="single" w:sz="4" w:space="0" w:color="auto"/>
              <w:right w:val="single" w:sz="4" w:space="0" w:color="auto"/>
            </w:tcBorders>
            <w:hideMark/>
          </w:tcPr>
          <w:p w14:paraId="1DF57938" w14:textId="77777777" w:rsidR="00E90360" w:rsidRPr="00E90360" w:rsidRDefault="00E453CD" w:rsidP="00E90360">
            <w:pPr>
              <w:numPr>
                <w:ilvl w:val="12"/>
                <w:numId w:val="0"/>
              </w:numPr>
              <w:tabs>
                <w:tab w:val="left" w:pos="720"/>
              </w:tabs>
              <w:suppressAutoHyphens/>
              <w:ind w:right="-2"/>
              <w:rPr>
                <w:sz w:val="22"/>
                <w:lang w:val="en-GB"/>
              </w:rPr>
            </w:pPr>
            <w:r w:rsidRPr="00E90360">
              <w:rPr>
                <w:b/>
                <w:sz w:val="22"/>
                <w:szCs w:val="22"/>
                <w:lang w:val="en-US"/>
              </w:rPr>
              <w:t>Alder eller kroppsvekt</w:t>
            </w:r>
          </w:p>
        </w:tc>
        <w:tc>
          <w:tcPr>
            <w:tcW w:w="3096" w:type="dxa"/>
            <w:tcBorders>
              <w:top w:val="single" w:sz="4" w:space="0" w:color="auto"/>
              <w:left w:val="single" w:sz="4" w:space="0" w:color="auto"/>
              <w:bottom w:val="single" w:sz="4" w:space="0" w:color="auto"/>
              <w:right w:val="single" w:sz="4" w:space="0" w:color="auto"/>
            </w:tcBorders>
            <w:hideMark/>
          </w:tcPr>
          <w:p w14:paraId="6D382AB7" w14:textId="77777777" w:rsidR="00E90360" w:rsidRPr="00E90360" w:rsidRDefault="00E453CD" w:rsidP="00E90360">
            <w:pPr>
              <w:numPr>
                <w:ilvl w:val="12"/>
                <w:numId w:val="0"/>
              </w:numPr>
              <w:tabs>
                <w:tab w:val="left" w:pos="720"/>
              </w:tabs>
              <w:suppressAutoHyphens/>
              <w:ind w:right="-2"/>
              <w:rPr>
                <w:sz w:val="22"/>
              </w:rPr>
            </w:pPr>
            <w:r w:rsidRPr="00E90360">
              <w:rPr>
                <w:b/>
                <w:sz w:val="22"/>
                <w:szCs w:val="22"/>
              </w:rPr>
              <w:t>Hvor mye og hvor ofte du skal ta?</w:t>
            </w:r>
          </w:p>
        </w:tc>
        <w:tc>
          <w:tcPr>
            <w:tcW w:w="3096" w:type="dxa"/>
            <w:tcBorders>
              <w:top w:val="single" w:sz="4" w:space="0" w:color="auto"/>
              <w:left w:val="single" w:sz="4" w:space="0" w:color="auto"/>
              <w:bottom w:val="single" w:sz="4" w:space="0" w:color="auto"/>
              <w:right w:val="single" w:sz="4" w:space="0" w:color="auto"/>
            </w:tcBorders>
            <w:hideMark/>
          </w:tcPr>
          <w:p w14:paraId="1ECB925D" w14:textId="77777777" w:rsidR="00E90360" w:rsidRPr="00E90360" w:rsidRDefault="00E453CD" w:rsidP="00E90360">
            <w:pPr>
              <w:numPr>
                <w:ilvl w:val="12"/>
                <w:numId w:val="0"/>
              </w:numPr>
              <w:tabs>
                <w:tab w:val="left" w:pos="720"/>
              </w:tabs>
              <w:suppressAutoHyphens/>
              <w:ind w:right="-2"/>
              <w:rPr>
                <w:sz w:val="22"/>
                <w:lang w:val="en-GB"/>
              </w:rPr>
            </w:pPr>
            <w:r w:rsidRPr="00E90360">
              <w:rPr>
                <w:b/>
                <w:sz w:val="22"/>
                <w:szCs w:val="22"/>
                <w:lang w:val="en-US"/>
              </w:rPr>
              <w:t>Merknader</w:t>
            </w:r>
          </w:p>
        </w:tc>
      </w:tr>
      <w:tr w:rsidR="004644D4" w14:paraId="413BB60C" w14:textId="77777777" w:rsidTr="002A2660">
        <w:tc>
          <w:tcPr>
            <w:tcW w:w="3095" w:type="dxa"/>
            <w:tcBorders>
              <w:top w:val="single" w:sz="4" w:space="0" w:color="auto"/>
              <w:left w:val="single" w:sz="4" w:space="0" w:color="auto"/>
              <w:bottom w:val="single" w:sz="4" w:space="0" w:color="auto"/>
              <w:right w:val="single" w:sz="4" w:space="0" w:color="auto"/>
            </w:tcBorders>
            <w:hideMark/>
          </w:tcPr>
          <w:p w14:paraId="4F536C7A" w14:textId="77777777" w:rsidR="00E90360" w:rsidRPr="00E90360" w:rsidRDefault="00E453CD" w:rsidP="002F203C">
            <w:pPr>
              <w:numPr>
                <w:ilvl w:val="12"/>
                <w:numId w:val="0"/>
              </w:numPr>
              <w:tabs>
                <w:tab w:val="left" w:pos="720"/>
              </w:tabs>
              <w:suppressAutoHyphens/>
              <w:ind w:right="-2"/>
              <w:rPr>
                <w:sz w:val="22"/>
              </w:rPr>
            </w:pPr>
            <w:r w:rsidRPr="00E90360">
              <w:rPr>
                <w:sz w:val="22"/>
              </w:rPr>
              <w:t xml:space="preserve">Barn, ungdom og voksne </w:t>
            </w:r>
            <w:r w:rsidR="002F203C">
              <w:rPr>
                <w:sz w:val="22"/>
              </w:rPr>
              <w:t>over</w:t>
            </w:r>
            <w:r w:rsidRPr="00E90360">
              <w:rPr>
                <w:sz w:val="22"/>
              </w:rPr>
              <w:t xml:space="preserve"> 6 år som veier 30 kg eller mer</w:t>
            </w:r>
          </w:p>
        </w:tc>
        <w:tc>
          <w:tcPr>
            <w:tcW w:w="3096" w:type="dxa"/>
            <w:tcBorders>
              <w:top w:val="single" w:sz="4" w:space="0" w:color="auto"/>
              <w:left w:val="single" w:sz="4" w:space="0" w:color="auto"/>
              <w:bottom w:val="single" w:sz="4" w:space="0" w:color="auto"/>
              <w:right w:val="single" w:sz="4" w:space="0" w:color="auto"/>
            </w:tcBorders>
            <w:hideMark/>
          </w:tcPr>
          <w:p w14:paraId="4E755A44" w14:textId="77777777" w:rsidR="00E90360" w:rsidRPr="00E90360" w:rsidRDefault="00E453CD" w:rsidP="00E90360">
            <w:pPr>
              <w:numPr>
                <w:ilvl w:val="12"/>
                <w:numId w:val="0"/>
              </w:numPr>
              <w:tabs>
                <w:tab w:val="left" w:pos="720"/>
              </w:tabs>
              <w:suppressAutoHyphens/>
              <w:ind w:right="-2"/>
              <w:rPr>
                <w:sz w:val="22"/>
                <w:lang w:val="en-GB"/>
              </w:rPr>
            </w:pPr>
            <w:r w:rsidRPr="00E90360">
              <w:rPr>
                <w:sz w:val="22"/>
                <w:lang w:val="en-US"/>
              </w:rPr>
              <w:t xml:space="preserve">40 mg </w:t>
            </w:r>
            <w:r w:rsidRPr="00E90360">
              <w:rPr>
                <w:sz w:val="22"/>
                <w:szCs w:val="22"/>
              </w:rPr>
              <w:t>annenhver uke</w:t>
            </w:r>
          </w:p>
        </w:tc>
        <w:tc>
          <w:tcPr>
            <w:tcW w:w="3096" w:type="dxa"/>
            <w:tcBorders>
              <w:top w:val="single" w:sz="4" w:space="0" w:color="auto"/>
              <w:left w:val="single" w:sz="4" w:space="0" w:color="auto"/>
              <w:bottom w:val="single" w:sz="4" w:space="0" w:color="auto"/>
              <w:right w:val="single" w:sz="4" w:space="0" w:color="auto"/>
            </w:tcBorders>
          </w:tcPr>
          <w:p w14:paraId="0714BA4C" w14:textId="77777777" w:rsidR="00E90360" w:rsidRPr="00E90360" w:rsidRDefault="00E453CD" w:rsidP="00E90360">
            <w:pPr>
              <w:numPr>
                <w:ilvl w:val="12"/>
                <w:numId w:val="0"/>
              </w:numPr>
              <w:tabs>
                <w:tab w:val="left" w:pos="720"/>
              </w:tabs>
              <w:suppressAutoHyphens/>
              <w:ind w:right="-2"/>
              <w:rPr>
                <w:sz w:val="22"/>
                <w:lang w:val="en-GB"/>
              </w:rPr>
            </w:pPr>
            <w:r>
              <w:rPr>
                <w:sz w:val="22"/>
                <w:lang w:val="en-GB"/>
              </w:rPr>
              <w:t>Ikke aktuelt</w:t>
            </w:r>
          </w:p>
        </w:tc>
      </w:tr>
      <w:tr w:rsidR="004644D4" w14:paraId="1B82BE7F" w14:textId="77777777" w:rsidTr="002A2660">
        <w:tc>
          <w:tcPr>
            <w:tcW w:w="3095" w:type="dxa"/>
            <w:tcBorders>
              <w:top w:val="single" w:sz="4" w:space="0" w:color="auto"/>
              <w:left w:val="single" w:sz="4" w:space="0" w:color="auto"/>
              <w:bottom w:val="single" w:sz="4" w:space="0" w:color="auto"/>
              <w:right w:val="single" w:sz="4" w:space="0" w:color="auto"/>
            </w:tcBorders>
            <w:hideMark/>
          </w:tcPr>
          <w:p w14:paraId="2AC3CC4B" w14:textId="77777777" w:rsidR="00E90360" w:rsidRPr="00E90360" w:rsidRDefault="00E453CD" w:rsidP="002F203C">
            <w:pPr>
              <w:numPr>
                <w:ilvl w:val="12"/>
                <w:numId w:val="0"/>
              </w:numPr>
              <w:tabs>
                <w:tab w:val="left" w:pos="720"/>
              </w:tabs>
              <w:suppressAutoHyphens/>
              <w:ind w:right="-2"/>
              <w:rPr>
                <w:sz w:val="22"/>
              </w:rPr>
            </w:pPr>
            <w:r w:rsidRPr="00E90360">
              <w:rPr>
                <w:sz w:val="22"/>
              </w:rPr>
              <w:t xml:space="preserve">Barn og ungdom </w:t>
            </w:r>
            <w:r w:rsidR="002F203C">
              <w:rPr>
                <w:sz w:val="22"/>
              </w:rPr>
              <w:t>over</w:t>
            </w:r>
            <w:r w:rsidRPr="00E90360">
              <w:rPr>
                <w:sz w:val="22"/>
              </w:rPr>
              <w:t xml:space="preserve"> 6 år som veier 15 kg til </w:t>
            </w:r>
            <w:r w:rsidR="00684DB9">
              <w:rPr>
                <w:sz w:val="22"/>
              </w:rPr>
              <w:t>under</w:t>
            </w:r>
            <w:r w:rsidRPr="00E90360">
              <w:rPr>
                <w:sz w:val="22"/>
              </w:rPr>
              <w:t xml:space="preserve"> 30 kg</w:t>
            </w:r>
          </w:p>
        </w:tc>
        <w:tc>
          <w:tcPr>
            <w:tcW w:w="3096" w:type="dxa"/>
            <w:tcBorders>
              <w:top w:val="single" w:sz="4" w:space="0" w:color="auto"/>
              <w:left w:val="single" w:sz="4" w:space="0" w:color="auto"/>
              <w:bottom w:val="single" w:sz="4" w:space="0" w:color="auto"/>
              <w:right w:val="single" w:sz="4" w:space="0" w:color="auto"/>
            </w:tcBorders>
            <w:hideMark/>
          </w:tcPr>
          <w:p w14:paraId="34811C3C" w14:textId="77777777" w:rsidR="00E90360" w:rsidRPr="00E90360" w:rsidRDefault="00E453CD" w:rsidP="00E90360">
            <w:pPr>
              <w:numPr>
                <w:ilvl w:val="12"/>
                <w:numId w:val="0"/>
              </w:numPr>
              <w:tabs>
                <w:tab w:val="left" w:pos="720"/>
              </w:tabs>
              <w:suppressAutoHyphens/>
              <w:ind w:right="-2"/>
              <w:rPr>
                <w:sz w:val="22"/>
                <w:lang w:val="en-US"/>
              </w:rPr>
            </w:pPr>
            <w:r w:rsidRPr="00E90360">
              <w:rPr>
                <w:sz w:val="22"/>
                <w:lang w:val="en-US"/>
              </w:rPr>
              <w:t xml:space="preserve">20 mg </w:t>
            </w:r>
            <w:r w:rsidRPr="00E90360">
              <w:rPr>
                <w:sz w:val="22"/>
                <w:szCs w:val="22"/>
              </w:rPr>
              <w:t>annenhver uke</w:t>
            </w:r>
          </w:p>
        </w:tc>
        <w:tc>
          <w:tcPr>
            <w:tcW w:w="3096" w:type="dxa"/>
            <w:tcBorders>
              <w:top w:val="single" w:sz="4" w:space="0" w:color="auto"/>
              <w:left w:val="single" w:sz="4" w:space="0" w:color="auto"/>
              <w:bottom w:val="single" w:sz="4" w:space="0" w:color="auto"/>
              <w:right w:val="single" w:sz="4" w:space="0" w:color="auto"/>
            </w:tcBorders>
          </w:tcPr>
          <w:p w14:paraId="5824EC1B" w14:textId="77777777" w:rsidR="00E90360" w:rsidRPr="00E90360" w:rsidRDefault="00E453CD" w:rsidP="00E90360">
            <w:pPr>
              <w:numPr>
                <w:ilvl w:val="12"/>
                <w:numId w:val="0"/>
              </w:numPr>
              <w:tabs>
                <w:tab w:val="left" w:pos="720"/>
              </w:tabs>
              <w:suppressAutoHyphens/>
              <w:ind w:right="-2"/>
              <w:rPr>
                <w:sz w:val="22"/>
                <w:lang w:val="en-GB"/>
              </w:rPr>
            </w:pPr>
            <w:r>
              <w:rPr>
                <w:sz w:val="22"/>
                <w:lang w:val="en-GB"/>
              </w:rPr>
              <w:t>Ikke aktuelt</w:t>
            </w:r>
          </w:p>
        </w:tc>
      </w:tr>
    </w:tbl>
    <w:p w14:paraId="01D2DD31" w14:textId="77777777" w:rsidR="00E90360" w:rsidRPr="00E90360" w:rsidRDefault="00E90360" w:rsidP="00E90360">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1"/>
      </w:tblGrid>
      <w:tr w:rsidR="004644D4" w14:paraId="679AB1E8" w14:textId="77777777" w:rsidTr="002A2660">
        <w:tc>
          <w:tcPr>
            <w:tcW w:w="9281" w:type="dxa"/>
            <w:gridSpan w:val="3"/>
          </w:tcPr>
          <w:p w14:paraId="117C461E" w14:textId="77777777" w:rsidR="00E90360" w:rsidRPr="00E90360" w:rsidRDefault="00E453CD" w:rsidP="00E90360">
            <w:pPr>
              <w:keepNext/>
              <w:numPr>
                <w:ilvl w:val="12"/>
                <w:numId w:val="0"/>
              </w:numPr>
              <w:ind w:right="-2"/>
              <w:rPr>
                <w:sz w:val="22"/>
                <w:szCs w:val="22"/>
                <w:lang w:val="en-GB"/>
              </w:rPr>
            </w:pPr>
            <w:r w:rsidRPr="00E90360">
              <w:rPr>
                <w:b/>
                <w:sz w:val="22"/>
                <w:szCs w:val="22"/>
                <w:lang w:val="en-GB"/>
              </w:rPr>
              <w:t>P</w:t>
            </w:r>
            <w:r w:rsidR="00DC73BE">
              <w:rPr>
                <w:b/>
                <w:sz w:val="22"/>
                <w:szCs w:val="22"/>
                <w:lang w:val="en-GB"/>
              </w:rPr>
              <w:t>ediatrisk p</w:t>
            </w:r>
            <w:r w:rsidRPr="00E90360">
              <w:rPr>
                <w:b/>
                <w:sz w:val="22"/>
                <w:szCs w:val="22"/>
                <w:lang w:val="en-GB"/>
              </w:rPr>
              <w:t>lakkpsoriasis</w:t>
            </w:r>
          </w:p>
        </w:tc>
      </w:tr>
      <w:tr w:rsidR="004644D4" w14:paraId="2BA0E7AB" w14:textId="77777777" w:rsidTr="002A2660">
        <w:tc>
          <w:tcPr>
            <w:tcW w:w="3093" w:type="dxa"/>
          </w:tcPr>
          <w:p w14:paraId="34A80D4A" w14:textId="77777777" w:rsidR="00E90360" w:rsidRPr="00E90360" w:rsidRDefault="00E453CD" w:rsidP="00E90360">
            <w:pPr>
              <w:keepNext/>
              <w:numPr>
                <w:ilvl w:val="12"/>
                <w:numId w:val="0"/>
              </w:numPr>
              <w:ind w:right="-2"/>
              <w:rPr>
                <w:sz w:val="22"/>
                <w:szCs w:val="22"/>
                <w:lang w:val="en-GB"/>
              </w:rPr>
            </w:pPr>
            <w:r w:rsidRPr="00E90360">
              <w:rPr>
                <w:b/>
                <w:sz w:val="22"/>
                <w:szCs w:val="22"/>
                <w:lang w:val="en-US"/>
              </w:rPr>
              <w:t>Alder eller kroppsvekt</w:t>
            </w:r>
          </w:p>
        </w:tc>
        <w:tc>
          <w:tcPr>
            <w:tcW w:w="3094" w:type="dxa"/>
          </w:tcPr>
          <w:p w14:paraId="2E129AF6" w14:textId="77777777" w:rsidR="00E90360" w:rsidRPr="00E90360" w:rsidRDefault="00E453CD" w:rsidP="00E90360">
            <w:pPr>
              <w:keepNext/>
              <w:numPr>
                <w:ilvl w:val="12"/>
                <w:numId w:val="0"/>
              </w:numPr>
              <w:ind w:right="-2"/>
              <w:rPr>
                <w:sz w:val="22"/>
                <w:szCs w:val="22"/>
              </w:rPr>
            </w:pPr>
            <w:r w:rsidRPr="00E90360">
              <w:rPr>
                <w:b/>
                <w:sz w:val="22"/>
                <w:szCs w:val="22"/>
              </w:rPr>
              <w:t>Hvor mye og hvor ofte du skal ta?</w:t>
            </w:r>
          </w:p>
        </w:tc>
        <w:tc>
          <w:tcPr>
            <w:tcW w:w="3094" w:type="dxa"/>
          </w:tcPr>
          <w:p w14:paraId="1ACFA95C" w14:textId="77777777" w:rsidR="00E90360" w:rsidRPr="00E90360" w:rsidRDefault="00E453CD" w:rsidP="00E90360">
            <w:pPr>
              <w:keepNext/>
              <w:numPr>
                <w:ilvl w:val="12"/>
                <w:numId w:val="0"/>
              </w:numPr>
              <w:ind w:right="-2"/>
              <w:rPr>
                <w:sz w:val="22"/>
                <w:szCs w:val="22"/>
                <w:lang w:val="en-GB"/>
              </w:rPr>
            </w:pPr>
            <w:r w:rsidRPr="00E90360">
              <w:rPr>
                <w:b/>
                <w:sz w:val="22"/>
                <w:szCs w:val="22"/>
                <w:lang w:val="en-US"/>
              </w:rPr>
              <w:t>Merknader</w:t>
            </w:r>
          </w:p>
        </w:tc>
      </w:tr>
      <w:tr w:rsidR="004644D4" w14:paraId="4FCFC399" w14:textId="77777777" w:rsidTr="002A2660">
        <w:tc>
          <w:tcPr>
            <w:tcW w:w="3093" w:type="dxa"/>
          </w:tcPr>
          <w:p w14:paraId="56E45C44" w14:textId="77777777" w:rsidR="00E90360" w:rsidRPr="00E90360" w:rsidRDefault="00E453CD" w:rsidP="00E90360">
            <w:pPr>
              <w:keepNext/>
              <w:numPr>
                <w:ilvl w:val="12"/>
                <w:numId w:val="0"/>
              </w:numPr>
              <w:ind w:right="-2"/>
              <w:rPr>
                <w:sz w:val="22"/>
                <w:szCs w:val="22"/>
              </w:rPr>
            </w:pPr>
            <w:r w:rsidRPr="00E90360">
              <w:rPr>
                <w:sz w:val="22"/>
              </w:rPr>
              <w:t>Barn og ungdom fra 4 til 17 år som veier 30 kg eller mer</w:t>
            </w:r>
            <w:r w:rsidRPr="00E90360">
              <w:rPr>
                <w:sz w:val="22"/>
                <w:szCs w:val="22"/>
              </w:rPr>
              <w:t xml:space="preserve"> </w:t>
            </w:r>
          </w:p>
        </w:tc>
        <w:tc>
          <w:tcPr>
            <w:tcW w:w="3094" w:type="dxa"/>
          </w:tcPr>
          <w:p w14:paraId="11B4920B" w14:textId="77777777" w:rsidR="00E90360" w:rsidRPr="00E90360" w:rsidRDefault="00E453CD" w:rsidP="00E90360">
            <w:pPr>
              <w:keepNext/>
              <w:numPr>
                <w:ilvl w:val="12"/>
                <w:numId w:val="0"/>
              </w:numPr>
              <w:ind w:right="-2"/>
              <w:rPr>
                <w:sz w:val="22"/>
                <w:szCs w:val="22"/>
              </w:rPr>
            </w:pPr>
            <w:r w:rsidRPr="00E90360">
              <w:rPr>
                <w:sz w:val="22"/>
                <w:szCs w:val="22"/>
              </w:rPr>
              <w:t>Første dose på 40 mg, etterfulgt av 40 mg en uke senere.</w:t>
            </w:r>
          </w:p>
          <w:p w14:paraId="575374B4" w14:textId="77777777" w:rsidR="00E90360" w:rsidRPr="00E90360" w:rsidRDefault="00E90360" w:rsidP="00E90360">
            <w:pPr>
              <w:keepNext/>
              <w:numPr>
                <w:ilvl w:val="12"/>
                <w:numId w:val="0"/>
              </w:numPr>
              <w:ind w:right="-2"/>
              <w:rPr>
                <w:sz w:val="22"/>
                <w:szCs w:val="22"/>
              </w:rPr>
            </w:pPr>
          </w:p>
          <w:p w14:paraId="37B10CE2" w14:textId="77777777" w:rsidR="00E90360" w:rsidRPr="00E90360" w:rsidRDefault="00E453CD" w:rsidP="00E90360">
            <w:pPr>
              <w:keepNext/>
              <w:numPr>
                <w:ilvl w:val="12"/>
                <w:numId w:val="0"/>
              </w:numPr>
              <w:ind w:right="-2"/>
              <w:rPr>
                <w:sz w:val="22"/>
                <w:szCs w:val="22"/>
              </w:rPr>
            </w:pPr>
            <w:r w:rsidRPr="00E90360">
              <w:rPr>
                <w:sz w:val="22"/>
                <w:szCs w:val="22"/>
              </w:rPr>
              <w:t>Deretter er vanlig dose 40 mg annenhver uke.</w:t>
            </w:r>
          </w:p>
        </w:tc>
        <w:tc>
          <w:tcPr>
            <w:tcW w:w="3094" w:type="dxa"/>
          </w:tcPr>
          <w:p w14:paraId="1E481EBC" w14:textId="77777777" w:rsidR="00E90360" w:rsidRPr="00E90360" w:rsidRDefault="00E453CD" w:rsidP="00E90360">
            <w:pPr>
              <w:keepNext/>
              <w:spacing w:before="100" w:beforeAutospacing="1" w:after="100" w:afterAutospacing="1"/>
              <w:rPr>
                <w:sz w:val="22"/>
                <w:szCs w:val="22"/>
              </w:rPr>
            </w:pPr>
            <w:r>
              <w:rPr>
                <w:sz w:val="22"/>
                <w:lang w:val="en-GB"/>
              </w:rPr>
              <w:t>Ikke aktuelt</w:t>
            </w:r>
          </w:p>
        </w:tc>
      </w:tr>
      <w:tr w:rsidR="004644D4" w14:paraId="5E52741A" w14:textId="77777777" w:rsidTr="002A2660">
        <w:tc>
          <w:tcPr>
            <w:tcW w:w="3093" w:type="dxa"/>
          </w:tcPr>
          <w:p w14:paraId="708FB259" w14:textId="77777777" w:rsidR="00E90360" w:rsidRPr="00E90360" w:rsidRDefault="00E453CD" w:rsidP="00684DB9">
            <w:pPr>
              <w:keepNext/>
              <w:numPr>
                <w:ilvl w:val="12"/>
                <w:numId w:val="0"/>
              </w:numPr>
              <w:ind w:right="-2"/>
              <w:rPr>
                <w:sz w:val="22"/>
                <w:szCs w:val="22"/>
              </w:rPr>
            </w:pPr>
            <w:r w:rsidRPr="00E90360">
              <w:rPr>
                <w:sz w:val="22"/>
              </w:rPr>
              <w:t xml:space="preserve">Barn og ungdom fra 4 til 17 år som veier 15 kg til </w:t>
            </w:r>
            <w:r w:rsidR="00684DB9">
              <w:rPr>
                <w:sz w:val="22"/>
              </w:rPr>
              <w:t>under</w:t>
            </w:r>
            <w:r w:rsidRPr="00E90360">
              <w:rPr>
                <w:sz w:val="22"/>
              </w:rPr>
              <w:t xml:space="preserve"> 30 kg</w:t>
            </w:r>
          </w:p>
        </w:tc>
        <w:tc>
          <w:tcPr>
            <w:tcW w:w="3094" w:type="dxa"/>
          </w:tcPr>
          <w:p w14:paraId="53BA0481" w14:textId="77777777" w:rsidR="00E90360" w:rsidRPr="00E90360" w:rsidRDefault="00E453CD" w:rsidP="00E90360">
            <w:pPr>
              <w:keepNext/>
              <w:numPr>
                <w:ilvl w:val="12"/>
                <w:numId w:val="0"/>
              </w:numPr>
              <w:ind w:right="-2"/>
              <w:rPr>
                <w:sz w:val="22"/>
                <w:szCs w:val="22"/>
              </w:rPr>
            </w:pPr>
            <w:r w:rsidRPr="00E90360">
              <w:rPr>
                <w:sz w:val="22"/>
                <w:szCs w:val="22"/>
              </w:rPr>
              <w:t>Første dose på 20 mg, etterfulgt av 20 mg en uke senere.</w:t>
            </w:r>
          </w:p>
          <w:p w14:paraId="224BB297" w14:textId="77777777" w:rsidR="00E90360" w:rsidRPr="00E90360" w:rsidRDefault="00E90360" w:rsidP="00E90360">
            <w:pPr>
              <w:keepNext/>
              <w:numPr>
                <w:ilvl w:val="12"/>
                <w:numId w:val="0"/>
              </w:numPr>
              <w:ind w:right="-2"/>
              <w:rPr>
                <w:sz w:val="22"/>
                <w:szCs w:val="22"/>
              </w:rPr>
            </w:pPr>
          </w:p>
          <w:p w14:paraId="4D0F09A5" w14:textId="77777777" w:rsidR="00E90360" w:rsidRPr="00E90360" w:rsidRDefault="00E453CD" w:rsidP="00E90360">
            <w:pPr>
              <w:keepNext/>
              <w:numPr>
                <w:ilvl w:val="12"/>
                <w:numId w:val="0"/>
              </w:numPr>
              <w:ind w:right="-2"/>
              <w:rPr>
                <w:sz w:val="22"/>
                <w:szCs w:val="22"/>
              </w:rPr>
            </w:pPr>
            <w:r w:rsidRPr="00E90360">
              <w:rPr>
                <w:sz w:val="22"/>
                <w:szCs w:val="22"/>
              </w:rPr>
              <w:t>Deretter er vanlig dose 20 mg annenhver uke.</w:t>
            </w:r>
          </w:p>
        </w:tc>
        <w:tc>
          <w:tcPr>
            <w:tcW w:w="3094" w:type="dxa"/>
          </w:tcPr>
          <w:p w14:paraId="54F1E106" w14:textId="77777777" w:rsidR="00E90360" w:rsidRPr="00E90360" w:rsidRDefault="00E453CD" w:rsidP="00E90360">
            <w:pPr>
              <w:keepNext/>
              <w:spacing w:before="100" w:beforeAutospacing="1" w:after="100" w:afterAutospacing="1"/>
              <w:rPr>
                <w:sz w:val="22"/>
                <w:szCs w:val="22"/>
              </w:rPr>
            </w:pPr>
            <w:r>
              <w:rPr>
                <w:sz w:val="22"/>
                <w:lang w:val="en-GB"/>
              </w:rPr>
              <w:t>Ikke aktuelt</w:t>
            </w:r>
          </w:p>
        </w:tc>
      </w:tr>
    </w:tbl>
    <w:p w14:paraId="1C3CE9E1" w14:textId="77777777" w:rsidR="00E90360" w:rsidRPr="00663766" w:rsidRDefault="00E90360" w:rsidP="00E90360">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02"/>
        <w:gridCol w:w="3044"/>
      </w:tblGrid>
      <w:tr w:rsidR="004644D4" w14:paraId="5E1B4C91" w14:textId="77777777" w:rsidTr="002A2660">
        <w:tc>
          <w:tcPr>
            <w:tcW w:w="9281" w:type="dxa"/>
            <w:gridSpan w:val="3"/>
          </w:tcPr>
          <w:p w14:paraId="67E52DCF" w14:textId="77777777" w:rsidR="00E90360" w:rsidRPr="00E90360" w:rsidRDefault="00E453CD" w:rsidP="00B235CD">
            <w:pPr>
              <w:keepNext/>
              <w:numPr>
                <w:ilvl w:val="12"/>
                <w:numId w:val="0"/>
              </w:numPr>
              <w:ind w:right="-2"/>
              <w:rPr>
                <w:sz w:val="22"/>
                <w:szCs w:val="22"/>
                <w:lang w:val="en-GB"/>
              </w:rPr>
            </w:pPr>
            <w:r>
              <w:rPr>
                <w:b/>
                <w:sz w:val="22"/>
                <w:szCs w:val="22"/>
                <w:lang w:val="en-GB"/>
              </w:rPr>
              <w:lastRenderedPageBreak/>
              <w:t xml:space="preserve">Pediatrisk </w:t>
            </w:r>
            <w:r w:rsidRPr="00E90360">
              <w:rPr>
                <w:b/>
                <w:sz w:val="22"/>
                <w:szCs w:val="22"/>
                <w:lang w:val="en-GB"/>
              </w:rPr>
              <w:t>Crohns sykdom</w:t>
            </w:r>
          </w:p>
        </w:tc>
      </w:tr>
      <w:tr w:rsidR="004644D4" w14:paraId="767F97F7" w14:textId="77777777" w:rsidTr="002A2660">
        <w:tc>
          <w:tcPr>
            <w:tcW w:w="3093" w:type="dxa"/>
          </w:tcPr>
          <w:p w14:paraId="585545DE" w14:textId="77777777" w:rsidR="00E90360" w:rsidRPr="00E90360" w:rsidRDefault="00E453CD" w:rsidP="00B235CD">
            <w:pPr>
              <w:keepNext/>
              <w:numPr>
                <w:ilvl w:val="12"/>
                <w:numId w:val="0"/>
              </w:numPr>
              <w:ind w:right="-2"/>
              <w:rPr>
                <w:sz w:val="22"/>
                <w:szCs w:val="22"/>
                <w:lang w:val="en-GB"/>
              </w:rPr>
            </w:pPr>
            <w:r w:rsidRPr="00E90360">
              <w:rPr>
                <w:b/>
                <w:sz w:val="22"/>
                <w:szCs w:val="22"/>
                <w:lang w:val="en-US"/>
              </w:rPr>
              <w:t>Alder eller kroppsvekt</w:t>
            </w:r>
          </w:p>
        </w:tc>
        <w:tc>
          <w:tcPr>
            <w:tcW w:w="3094" w:type="dxa"/>
          </w:tcPr>
          <w:p w14:paraId="5A6644C4" w14:textId="77777777" w:rsidR="00E90360" w:rsidRPr="00E90360" w:rsidRDefault="00E453CD" w:rsidP="00B235CD">
            <w:pPr>
              <w:keepNext/>
              <w:numPr>
                <w:ilvl w:val="12"/>
                <w:numId w:val="0"/>
              </w:numPr>
              <w:ind w:right="-2"/>
              <w:rPr>
                <w:sz w:val="22"/>
                <w:szCs w:val="22"/>
              </w:rPr>
            </w:pPr>
            <w:r w:rsidRPr="00E90360">
              <w:rPr>
                <w:b/>
                <w:sz w:val="22"/>
                <w:szCs w:val="22"/>
              </w:rPr>
              <w:t>Hvor mye og hvor ofte du skal ta?</w:t>
            </w:r>
          </w:p>
        </w:tc>
        <w:tc>
          <w:tcPr>
            <w:tcW w:w="3094" w:type="dxa"/>
          </w:tcPr>
          <w:p w14:paraId="2068FB5B" w14:textId="77777777" w:rsidR="00E90360" w:rsidRPr="00E90360" w:rsidRDefault="00E453CD" w:rsidP="00B235CD">
            <w:pPr>
              <w:keepNext/>
              <w:numPr>
                <w:ilvl w:val="12"/>
                <w:numId w:val="0"/>
              </w:numPr>
              <w:ind w:right="-2"/>
              <w:rPr>
                <w:sz w:val="22"/>
                <w:szCs w:val="22"/>
                <w:lang w:val="en-GB"/>
              </w:rPr>
            </w:pPr>
            <w:r w:rsidRPr="00E90360">
              <w:rPr>
                <w:b/>
                <w:sz w:val="22"/>
                <w:szCs w:val="22"/>
                <w:lang w:val="en-US"/>
              </w:rPr>
              <w:t>Merknader</w:t>
            </w:r>
          </w:p>
        </w:tc>
      </w:tr>
      <w:tr w:rsidR="004644D4" w14:paraId="222634E4" w14:textId="77777777" w:rsidTr="002A2660">
        <w:tc>
          <w:tcPr>
            <w:tcW w:w="3093" w:type="dxa"/>
          </w:tcPr>
          <w:p w14:paraId="17F5CAA1" w14:textId="77777777" w:rsidR="00E90360" w:rsidRPr="00E90360" w:rsidRDefault="00E453CD" w:rsidP="00B235CD">
            <w:pPr>
              <w:keepNext/>
              <w:numPr>
                <w:ilvl w:val="12"/>
                <w:numId w:val="0"/>
              </w:numPr>
              <w:ind w:right="-2"/>
              <w:rPr>
                <w:sz w:val="22"/>
                <w:szCs w:val="22"/>
              </w:rPr>
            </w:pPr>
            <w:r w:rsidRPr="00E90360">
              <w:rPr>
                <w:sz w:val="22"/>
                <w:szCs w:val="22"/>
              </w:rPr>
              <w:t>Barn og ungdom fra 6 til 17 år som veier 40 kg eller mer</w:t>
            </w:r>
          </w:p>
        </w:tc>
        <w:tc>
          <w:tcPr>
            <w:tcW w:w="3094" w:type="dxa"/>
          </w:tcPr>
          <w:p w14:paraId="4B6B4B8B" w14:textId="77777777" w:rsidR="00E90360" w:rsidRPr="00E90360" w:rsidRDefault="00E453CD" w:rsidP="00B235CD">
            <w:pPr>
              <w:keepNext/>
              <w:rPr>
                <w:sz w:val="22"/>
                <w:szCs w:val="22"/>
              </w:rPr>
            </w:pPr>
            <w:r w:rsidRPr="00E90360">
              <w:rPr>
                <w:sz w:val="22"/>
                <w:szCs w:val="22"/>
              </w:rPr>
              <w:t>Første dose på 80 mg, etterfulgt av 40 mg to uker senere.</w:t>
            </w:r>
          </w:p>
          <w:p w14:paraId="6E3DF127" w14:textId="77777777" w:rsidR="00E90360" w:rsidRPr="00E90360" w:rsidRDefault="00E90360" w:rsidP="00B235CD">
            <w:pPr>
              <w:keepNext/>
              <w:rPr>
                <w:sz w:val="22"/>
                <w:szCs w:val="22"/>
              </w:rPr>
            </w:pPr>
          </w:p>
          <w:p w14:paraId="59596751" w14:textId="77777777" w:rsidR="00E90360" w:rsidRPr="00E90360" w:rsidRDefault="00E453CD" w:rsidP="00B235CD">
            <w:pPr>
              <w:keepNext/>
              <w:rPr>
                <w:sz w:val="22"/>
                <w:szCs w:val="22"/>
              </w:rPr>
            </w:pPr>
            <w:r w:rsidRPr="00E90360">
              <w:rPr>
                <w:sz w:val="22"/>
                <w:szCs w:val="22"/>
              </w:rPr>
              <w:t>Dersom det er behov for en raskere respons, kan legen til barnet ditt forskrive en første dose på 160 mg, etterfulgt av 80 mg to uker senere.</w:t>
            </w:r>
          </w:p>
          <w:p w14:paraId="55DD7BE5" w14:textId="77777777" w:rsidR="00E90360" w:rsidRPr="00E90360" w:rsidRDefault="00E90360" w:rsidP="00B235CD">
            <w:pPr>
              <w:keepNext/>
              <w:rPr>
                <w:sz w:val="22"/>
                <w:szCs w:val="22"/>
              </w:rPr>
            </w:pPr>
          </w:p>
          <w:p w14:paraId="2CE6E87E" w14:textId="77777777" w:rsidR="00E90360" w:rsidRPr="00E90360" w:rsidRDefault="00E453CD" w:rsidP="00B235CD">
            <w:pPr>
              <w:keepNext/>
              <w:numPr>
                <w:ilvl w:val="12"/>
                <w:numId w:val="0"/>
              </w:numPr>
              <w:ind w:right="-2"/>
              <w:rPr>
                <w:sz w:val="22"/>
                <w:szCs w:val="22"/>
              </w:rPr>
            </w:pPr>
            <w:r w:rsidRPr="00E90360">
              <w:rPr>
                <w:sz w:val="22"/>
                <w:szCs w:val="22"/>
              </w:rPr>
              <w:t>Deretter er vanlig dose 40 mg annenhver uke.</w:t>
            </w:r>
          </w:p>
        </w:tc>
        <w:tc>
          <w:tcPr>
            <w:tcW w:w="3094" w:type="dxa"/>
          </w:tcPr>
          <w:p w14:paraId="3171FD9F" w14:textId="77777777" w:rsidR="00E90360" w:rsidRPr="00E90360" w:rsidRDefault="00E453CD" w:rsidP="00B235CD">
            <w:pPr>
              <w:keepNext/>
              <w:spacing w:before="100" w:beforeAutospacing="1" w:after="100" w:afterAutospacing="1"/>
              <w:rPr>
                <w:sz w:val="22"/>
                <w:szCs w:val="22"/>
              </w:rPr>
            </w:pPr>
            <w:r w:rsidRPr="00E90360">
              <w:rPr>
                <w:sz w:val="22"/>
                <w:szCs w:val="22"/>
              </w:rPr>
              <w:t>Legen til barnet ditt kan øke dosering til 40</w:t>
            </w:r>
            <w:r w:rsidR="00E876E5">
              <w:rPr>
                <w:sz w:val="22"/>
                <w:szCs w:val="22"/>
              </w:rPr>
              <w:t> </w:t>
            </w:r>
            <w:r w:rsidRPr="00E90360">
              <w:rPr>
                <w:sz w:val="22"/>
                <w:szCs w:val="22"/>
              </w:rPr>
              <w:t>mg hver uke</w:t>
            </w:r>
            <w:r w:rsidR="00816567">
              <w:rPr>
                <w:sz w:val="22"/>
                <w:szCs w:val="22"/>
              </w:rPr>
              <w:t xml:space="preserve"> eller 80</w:t>
            </w:r>
            <w:r w:rsidR="00E876E5">
              <w:rPr>
                <w:sz w:val="22"/>
                <w:szCs w:val="22"/>
              </w:rPr>
              <w:t> </w:t>
            </w:r>
            <w:r w:rsidR="00816567">
              <w:rPr>
                <w:sz w:val="22"/>
                <w:szCs w:val="22"/>
              </w:rPr>
              <w:t>mg annenhver uke</w:t>
            </w:r>
            <w:r w:rsidRPr="00E90360">
              <w:rPr>
                <w:sz w:val="22"/>
                <w:szCs w:val="22"/>
              </w:rPr>
              <w:t>.</w:t>
            </w:r>
          </w:p>
          <w:p w14:paraId="7D1B7A0D" w14:textId="77777777" w:rsidR="00E90360" w:rsidRPr="00E90360" w:rsidRDefault="00E90360" w:rsidP="00B235CD">
            <w:pPr>
              <w:keepNext/>
              <w:spacing w:before="100" w:beforeAutospacing="1" w:after="100" w:afterAutospacing="1"/>
              <w:rPr>
                <w:sz w:val="22"/>
                <w:szCs w:val="22"/>
              </w:rPr>
            </w:pPr>
          </w:p>
        </w:tc>
      </w:tr>
      <w:tr w:rsidR="004644D4" w14:paraId="2C8B5B33" w14:textId="77777777" w:rsidTr="002A2660">
        <w:tc>
          <w:tcPr>
            <w:tcW w:w="3093" w:type="dxa"/>
          </w:tcPr>
          <w:p w14:paraId="2EC7E586" w14:textId="77777777" w:rsidR="00E90360" w:rsidRPr="00E90360" w:rsidRDefault="00E453CD" w:rsidP="00684DB9">
            <w:pPr>
              <w:numPr>
                <w:ilvl w:val="12"/>
                <w:numId w:val="0"/>
              </w:numPr>
              <w:ind w:right="-2"/>
              <w:rPr>
                <w:sz w:val="22"/>
                <w:szCs w:val="22"/>
              </w:rPr>
            </w:pPr>
            <w:r w:rsidRPr="00E90360">
              <w:rPr>
                <w:sz w:val="22"/>
                <w:szCs w:val="22"/>
              </w:rPr>
              <w:t xml:space="preserve">Barn og ungdom fra 6 til 17 år som veier </w:t>
            </w:r>
            <w:r w:rsidR="00684DB9">
              <w:rPr>
                <w:sz w:val="22"/>
                <w:szCs w:val="22"/>
              </w:rPr>
              <w:t>under</w:t>
            </w:r>
            <w:r w:rsidRPr="00E90360">
              <w:rPr>
                <w:sz w:val="22"/>
                <w:szCs w:val="22"/>
              </w:rPr>
              <w:t xml:space="preserve"> 40 kg</w:t>
            </w:r>
          </w:p>
        </w:tc>
        <w:tc>
          <w:tcPr>
            <w:tcW w:w="3094" w:type="dxa"/>
          </w:tcPr>
          <w:p w14:paraId="45BCFF39" w14:textId="77777777" w:rsidR="00E90360" w:rsidRPr="00E90360" w:rsidRDefault="00E453CD" w:rsidP="00E90360">
            <w:pPr>
              <w:rPr>
                <w:sz w:val="22"/>
                <w:szCs w:val="22"/>
              </w:rPr>
            </w:pPr>
            <w:r w:rsidRPr="00E90360">
              <w:rPr>
                <w:sz w:val="22"/>
                <w:szCs w:val="22"/>
              </w:rPr>
              <w:t xml:space="preserve">Første dose på 40 mg, etterfulgt av 20 mg to uker senere. </w:t>
            </w:r>
          </w:p>
          <w:p w14:paraId="7E981AB9" w14:textId="77777777" w:rsidR="00E90360" w:rsidRPr="00E90360" w:rsidRDefault="00E90360" w:rsidP="00E90360">
            <w:pPr>
              <w:rPr>
                <w:sz w:val="22"/>
                <w:szCs w:val="22"/>
              </w:rPr>
            </w:pPr>
          </w:p>
          <w:p w14:paraId="2C46366D" w14:textId="77777777" w:rsidR="00E90360" w:rsidRPr="00E90360" w:rsidRDefault="00E453CD" w:rsidP="00E90360">
            <w:pPr>
              <w:rPr>
                <w:sz w:val="22"/>
                <w:szCs w:val="22"/>
              </w:rPr>
            </w:pPr>
            <w:r w:rsidRPr="00E90360">
              <w:rPr>
                <w:sz w:val="22"/>
                <w:szCs w:val="22"/>
              </w:rPr>
              <w:t>Dersom det er behov for en raskere respons, kan legen forskrive en første dose på 80 mg, etterfulgt av 40 mg to uker senere.</w:t>
            </w:r>
          </w:p>
          <w:p w14:paraId="1CA2B9F5" w14:textId="77777777" w:rsidR="00E90360" w:rsidRPr="00E90360" w:rsidRDefault="00E90360" w:rsidP="00E90360">
            <w:pPr>
              <w:rPr>
                <w:sz w:val="22"/>
                <w:szCs w:val="22"/>
              </w:rPr>
            </w:pPr>
          </w:p>
          <w:p w14:paraId="29C4B4FC" w14:textId="77777777" w:rsidR="00E90360" w:rsidRPr="00E90360" w:rsidRDefault="00E453CD" w:rsidP="00E90360">
            <w:pPr>
              <w:numPr>
                <w:ilvl w:val="12"/>
                <w:numId w:val="0"/>
              </w:numPr>
              <w:ind w:right="-2"/>
              <w:rPr>
                <w:sz w:val="22"/>
                <w:szCs w:val="22"/>
              </w:rPr>
            </w:pPr>
            <w:r w:rsidRPr="00E90360">
              <w:rPr>
                <w:sz w:val="22"/>
                <w:szCs w:val="22"/>
              </w:rPr>
              <w:t>Deretter er vanlig dose 20 mg annenhver uke.</w:t>
            </w:r>
          </w:p>
        </w:tc>
        <w:tc>
          <w:tcPr>
            <w:tcW w:w="3094" w:type="dxa"/>
          </w:tcPr>
          <w:p w14:paraId="7A5FFE3C" w14:textId="77777777" w:rsidR="00E90360" w:rsidRPr="00E90360" w:rsidRDefault="00E453CD" w:rsidP="00E90360">
            <w:pPr>
              <w:spacing w:before="100" w:beforeAutospacing="1" w:after="100" w:afterAutospacing="1"/>
              <w:rPr>
                <w:sz w:val="22"/>
                <w:szCs w:val="22"/>
              </w:rPr>
            </w:pPr>
            <w:r w:rsidRPr="00E90360">
              <w:rPr>
                <w:sz w:val="22"/>
                <w:szCs w:val="22"/>
              </w:rPr>
              <w:t>Legen til barnet ditt kan øke doseringsfrekvensen til 20 mg hver uke.</w:t>
            </w:r>
          </w:p>
          <w:p w14:paraId="4FA94A11" w14:textId="77777777" w:rsidR="00E90360" w:rsidRPr="00E90360" w:rsidRDefault="00E90360" w:rsidP="00E90360">
            <w:pPr>
              <w:numPr>
                <w:ilvl w:val="12"/>
                <w:numId w:val="0"/>
              </w:numPr>
              <w:spacing w:before="100" w:beforeAutospacing="1" w:after="100" w:afterAutospacing="1"/>
              <w:ind w:right="-2"/>
              <w:rPr>
                <w:sz w:val="22"/>
                <w:szCs w:val="22"/>
              </w:rPr>
            </w:pPr>
          </w:p>
        </w:tc>
      </w:tr>
    </w:tbl>
    <w:p w14:paraId="79367204" w14:textId="77777777" w:rsidR="00E90360" w:rsidRDefault="00E90360" w:rsidP="00E90360">
      <w:pPr>
        <w:suppressAutoHyphens/>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4"/>
        <w:gridCol w:w="3021"/>
      </w:tblGrid>
      <w:tr w:rsidR="004644D4" w14:paraId="5CC4F7A9" w14:textId="77777777" w:rsidTr="002A2660">
        <w:tc>
          <w:tcPr>
            <w:tcW w:w="9281" w:type="dxa"/>
            <w:gridSpan w:val="3"/>
          </w:tcPr>
          <w:p w14:paraId="38C0F006" w14:textId="77777777" w:rsidR="00E90360" w:rsidRPr="00E90360" w:rsidRDefault="00E453CD" w:rsidP="00DC73BE">
            <w:pPr>
              <w:numPr>
                <w:ilvl w:val="12"/>
                <w:numId w:val="0"/>
              </w:numPr>
              <w:ind w:right="-2"/>
              <w:rPr>
                <w:sz w:val="22"/>
                <w:szCs w:val="22"/>
                <w:lang w:val="en-GB"/>
              </w:rPr>
            </w:pPr>
            <w:r>
              <w:rPr>
                <w:b/>
                <w:szCs w:val="22"/>
              </w:rPr>
              <w:t>Pediatrisk</w:t>
            </w:r>
            <w:r w:rsidRPr="00E90360">
              <w:rPr>
                <w:b/>
                <w:szCs w:val="22"/>
              </w:rPr>
              <w:t xml:space="preserve"> uveitt</w:t>
            </w:r>
          </w:p>
        </w:tc>
      </w:tr>
      <w:tr w:rsidR="004644D4" w14:paraId="38E4156B" w14:textId="77777777" w:rsidTr="002A2660">
        <w:tc>
          <w:tcPr>
            <w:tcW w:w="3093" w:type="dxa"/>
          </w:tcPr>
          <w:p w14:paraId="0B5DF44D" w14:textId="77777777" w:rsidR="00E90360" w:rsidRPr="00E90360" w:rsidRDefault="00E453CD" w:rsidP="002A2660">
            <w:pPr>
              <w:numPr>
                <w:ilvl w:val="12"/>
                <w:numId w:val="0"/>
              </w:numPr>
              <w:ind w:right="-2"/>
              <w:rPr>
                <w:sz w:val="22"/>
                <w:szCs w:val="22"/>
                <w:lang w:val="en-GB"/>
              </w:rPr>
            </w:pPr>
            <w:r w:rsidRPr="00E90360">
              <w:rPr>
                <w:b/>
                <w:sz w:val="22"/>
                <w:szCs w:val="22"/>
                <w:lang w:val="en-US"/>
              </w:rPr>
              <w:t>Alder eller kroppsvekt</w:t>
            </w:r>
          </w:p>
        </w:tc>
        <w:tc>
          <w:tcPr>
            <w:tcW w:w="3094" w:type="dxa"/>
          </w:tcPr>
          <w:p w14:paraId="2E71E2A6" w14:textId="77777777" w:rsidR="00E90360" w:rsidRPr="00E90360" w:rsidRDefault="00E453CD" w:rsidP="002A2660">
            <w:pPr>
              <w:numPr>
                <w:ilvl w:val="12"/>
                <w:numId w:val="0"/>
              </w:numPr>
              <w:ind w:right="-2"/>
              <w:rPr>
                <w:sz w:val="22"/>
                <w:szCs w:val="22"/>
              </w:rPr>
            </w:pPr>
            <w:r w:rsidRPr="00E90360">
              <w:rPr>
                <w:b/>
                <w:sz w:val="22"/>
                <w:szCs w:val="22"/>
              </w:rPr>
              <w:t>Hvor mye og hvor ofte du skal ta?</w:t>
            </w:r>
          </w:p>
        </w:tc>
        <w:tc>
          <w:tcPr>
            <w:tcW w:w="3094" w:type="dxa"/>
          </w:tcPr>
          <w:p w14:paraId="6210C861" w14:textId="77777777" w:rsidR="00E90360" w:rsidRPr="00E90360" w:rsidRDefault="00E453CD" w:rsidP="002A2660">
            <w:pPr>
              <w:numPr>
                <w:ilvl w:val="12"/>
                <w:numId w:val="0"/>
              </w:numPr>
              <w:ind w:right="-2"/>
              <w:rPr>
                <w:sz w:val="22"/>
                <w:szCs w:val="22"/>
                <w:lang w:val="en-GB"/>
              </w:rPr>
            </w:pPr>
            <w:r w:rsidRPr="00E90360">
              <w:rPr>
                <w:b/>
                <w:sz w:val="22"/>
                <w:szCs w:val="22"/>
                <w:lang w:val="en-US"/>
              </w:rPr>
              <w:t>Merknader</w:t>
            </w:r>
          </w:p>
        </w:tc>
      </w:tr>
      <w:tr w:rsidR="004644D4" w14:paraId="322A7F19" w14:textId="77777777" w:rsidTr="002A2660">
        <w:tc>
          <w:tcPr>
            <w:tcW w:w="3093" w:type="dxa"/>
          </w:tcPr>
          <w:p w14:paraId="21167E18" w14:textId="77777777" w:rsidR="00E90360" w:rsidRPr="00E90360" w:rsidRDefault="00E453CD" w:rsidP="00C360C9">
            <w:pPr>
              <w:numPr>
                <w:ilvl w:val="12"/>
                <w:numId w:val="0"/>
              </w:numPr>
              <w:ind w:right="-2"/>
              <w:rPr>
                <w:sz w:val="22"/>
                <w:szCs w:val="22"/>
              </w:rPr>
            </w:pPr>
            <w:r w:rsidRPr="00E90360">
              <w:rPr>
                <w:sz w:val="22"/>
              </w:rPr>
              <w:t xml:space="preserve">Barn og ungdom </w:t>
            </w:r>
            <w:r w:rsidR="00C360C9">
              <w:rPr>
                <w:sz w:val="22"/>
              </w:rPr>
              <w:t>over</w:t>
            </w:r>
            <w:r w:rsidRPr="00E90360">
              <w:rPr>
                <w:sz w:val="22"/>
              </w:rPr>
              <w:t xml:space="preserve"> 2 år som veier under 30 kg</w:t>
            </w:r>
          </w:p>
        </w:tc>
        <w:tc>
          <w:tcPr>
            <w:tcW w:w="3094" w:type="dxa"/>
          </w:tcPr>
          <w:p w14:paraId="76F0187C" w14:textId="77777777" w:rsidR="00E90360" w:rsidRPr="00E90360" w:rsidRDefault="00E453CD" w:rsidP="002A2660">
            <w:pPr>
              <w:numPr>
                <w:ilvl w:val="12"/>
                <w:numId w:val="0"/>
              </w:numPr>
              <w:ind w:right="-2"/>
              <w:rPr>
                <w:sz w:val="22"/>
                <w:szCs w:val="22"/>
              </w:rPr>
            </w:pPr>
            <w:r w:rsidRPr="00E90360">
              <w:rPr>
                <w:sz w:val="22"/>
                <w:szCs w:val="22"/>
              </w:rPr>
              <w:t>20 mg annenhver uke</w:t>
            </w:r>
          </w:p>
        </w:tc>
        <w:tc>
          <w:tcPr>
            <w:tcW w:w="3094" w:type="dxa"/>
          </w:tcPr>
          <w:p w14:paraId="73E84EF8" w14:textId="77777777" w:rsidR="00E90360" w:rsidRPr="00E90360" w:rsidRDefault="00E453CD" w:rsidP="002F203C">
            <w:pPr>
              <w:spacing w:before="100" w:beforeAutospacing="1" w:after="100" w:afterAutospacing="1"/>
              <w:rPr>
                <w:sz w:val="22"/>
                <w:szCs w:val="22"/>
              </w:rPr>
            </w:pPr>
            <w:r w:rsidRPr="00E90360">
              <w:rPr>
                <w:sz w:val="22"/>
                <w:szCs w:val="22"/>
              </w:rPr>
              <w:t xml:space="preserve">Legen kan forskrive en startdose på 40 mg som skal gis én uke før </w:t>
            </w:r>
            <w:r w:rsidR="002F203C">
              <w:rPr>
                <w:sz w:val="22"/>
                <w:szCs w:val="22"/>
              </w:rPr>
              <w:t xml:space="preserve">oppstart av </w:t>
            </w:r>
            <w:r w:rsidRPr="00E90360">
              <w:rPr>
                <w:sz w:val="22"/>
                <w:szCs w:val="22"/>
              </w:rPr>
              <w:t>den vanlige dosen på 20 mg annenhver uke. Det anbefales å bruke Humira sammen med metotreksat.</w:t>
            </w:r>
          </w:p>
        </w:tc>
      </w:tr>
      <w:tr w:rsidR="004644D4" w14:paraId="17647B0C" w14:textId="77777777" w:rsidTr="002A2660">
        <w:tc>
          <w:tcPr>
            <w:tcW w:w="3093" w:type="dxa"/>
          </w:tcPr>
          <w:p w14:paraId="235AB76D" w14:textId="77777777" w:rsidR="00E90360" w:rsidRPr="00E90360" w:rsidRDefault="00E453CD" w:rsidP="00C360C9">
            <w:pPr>
              <w:numPr>
                <w:ilvl w:val="12"/>
                <w:numId w:val="0"/>
              </w:numPr>
              <w:ind w:right="-2"/>
              <w:rPr>
                <w:sz w:val="22"/>
                <w:szCs w:val="22"/>
              </w:rPr>
            </w:pPr>
            <w:r w:rsidRPr="00E90360">
              <w:rPr>
                <w:sz w:val="22"/>
              </w:rPr>
              <w:t xml:space="preserve">Barn og ungdom </w:t>
            </w:r>
            <w:r w:rsidR="00C360C9">
              <w:rPr>
                <w:sz w:val="22"/>
              </w:rPr>
              <w:t>over</w:t>
            </w:r>
            <w:r w:rsidRPr="00E90360">
              <w:rPr>
                <w:sz w:val="22"/>
              </w:rPr>
              <w:t xml:space="preserve"> 2 år som veier 30 kg eller mer</w:t>
            </w:r>
          </w:p>
        </w:tc>
        <w:tc>
          <w:tcPr>
            <w:tcW w:w="3094" w:type="dxa"/>
          </w:tcPr>
          <w:p w14:paraId="6A3BA62A" w14:textId="77777777" w:rsidR="00E90360" w:rsidRPr="00E90360" w:rsidRDefault="00E453CD" w:rsidP="002A2660">
            <w:pPr>
              <w:numPr>
                <w:ilvl w:val="12"/>
                <w:numId w:val="0"/>
              </w:numPr>
              <w:ind w:right="-2"/>
              <w:rPr>
                <w:sz w:val="22"/>
                <w:szCs w:val="22"/>
              </w:rPr>
            </w:pPr>
            <w:r w:rsidRPr="00E90360">
              <w:rPr>
                <w:sz w:val="22"/>
                <w:szCs w:val="22"/>
              </w:rPr>
              <w:t>40 mg annenhver uke</w:t>
            </w:r>
          </w:p>
        </w:tc>
        <w:tc>
          <w:tcPr>
            <w:tcW w:w="3094" w:type="dxa"/>
          </w:tcPr>
          <w:p w14:paraId="0D6283BC" w14:textId="77777777" w:rsidR="00E90360" w:rsidRPr="00E90360" w:rsidRDefault="00E453CD" w:rsidP="00C360C9">
            <w:pPr>
              <w:numPr>
                <w:ilvl w:val="12"/>
                <w:numId w:val="0"/>
              </w:numPr>
              <w:spacing w:before="100" w:beforeAutospacing="1" w:after="100" w:afterAutospacing="1"/>
              <w:ind w:right="-2"/>
              <w:rPr>
                <w:sz w:val="22"/>
                <w:szCs w:val="22"/>
              </w:rPr>
            </w:pPr>
            <w:r w:rsidRPr="00E90360">
              <w:rPr>
                <w:sz w:val="22"/>
                <w:szCs w:val="22"/>
              </w:rPr>
              <w:t xml:space="preserve">Legen kan forskrive en startdose på 80 mg som skal gis én uke før </w:t>
            </w:r>
            <w:r w:rsidR="00C360C9">
              <w:rPr>
                <w:sz w:val="22"/>
                <w:szCs w:val="22"/>
              </w:rPr>
              <w:t xml:space="preserve">oppstart av </w:t>
            </w:r>
            <w:r w:rsidRPr="00E90360">
              <w:rPr>
                <w:sz w:val="22"/>
                <w:szCs w:val="22"/>
              </w:rPr>
              <w:t>den vanlige dosen på 40 mg annenhver uke. Det anbefales å bruke Humira sammen med metotreksat.</w:t>
            </w:r>
          </w:p>
        </w:tc>
      </w:tr>
    </w:tbl>
    <w:p w14:paraId="04D1343C" w14:textId="77777777" w:rsidR="00E90360" w:rsidRDefault="00E90360" w:rsidP="00E90360">
      <w:pPr>
        <w:suppressAutoHyphens/>
        <w:rPr>
          <w:sz w:val="22"/>
          <w:szCs w:val="22"/>
          <w:u w:val="single"/>
        </w:rPr>
      </w:pPr>
    </w:p>
    <w:p w14:paraId="68CD901A" w14:textId="77777777" w:rsidR="00E90360" w:rsidRPr="00663766" w:rsidRDefault="00E453CD" w:rsidP="00776A84">
      <w:pPr>
        <w:keepNext/>
        <w:suppressAutoHyphens/>
        <w:rPr>
          <w:sz w:val="22"/>
          <w:szCs w:val="22"/>
        </w:rPr>
      </w:pPr>
      <w:r w:rsidRPr="00E90360">
        <w:rPr>
          <w:b/>
          <w:sz w:val="22"/>
          <w:szCs w:val="22"/>
        </w:rPr>
        <w:t>Metode og administrasjonsmåte</w:t>
      </w:r>
    </w:p>
    <w:p w14:paraId="311E1907" w14:textId="77777777" w:rsidR="00E90360" w:rsidRPr="00E90360" w:rsidRDefault="00E90360" w:rsidP="00776A84">
      <w:pPr>
        <w:keepNext/>
        <w:suppressAutoHyphens/>
        <w:rPr>
          <w:sz w:val="22"/>
          <w:szCs w:val="22"/>
        </w:rPr>
      </w:pPr>
    </w:p>
    <w:p w14:paraId="6AB2E460" w14:textId="77777777" w:rsidR="00E90360" w:rsidRPr="00E90360" w:rsidRDefault="00E453CD" w:rsidP="00E90360">
      <w:pPr>
        <w:suppressAutoHyphens/>
        <w:rPr>
          <w:sz w:val="22"/>
          <w:szCs w:val="22"/>
        </w:rPr>
      </w:pPr>
      <w:r w:rsidRPr="00E90360">
        <w:rPr>
          <w:sz w:val="22"/>
          <w:szCs w:val="22"/>
        </w:rPr>
        <w:t>Humira administreres (gis) ved injeksjon under huden (ved subkutan injeksjon).</w:t>
      </w:r>
    </w:p>
    <w:p w14:paraId="6BF037F9" w14:textId="77777777" w:rsidR="00E90360" w:rsidRPr="00E90360" w:rsidRDefault="00E90360" w:rsidP="00E90360">
      <w:pPr>
        <w:suppressAutoHyphens/>
      </w:pPr>
    </w:p>
    <w:p w14:paraId="79A04A62" w14:textId="77777777" w:rsidR="00E90360" w:rsidRPr="00663766" w:rsidRDefault="00E453CD" w:rsidP="00E90360">
      <w:pPr>
        <w:suppressAutoHyphens/>
        <w:rPr>
          <w:sz w:val="22"/>
          <w:szCs w:val="22"/>
        </w:rPr>
      </w:pPr>
      <w:r w:rsidRPr="00E90360">
        <w:rPr>
          <w:b/>
          <w:sz w:val="22"/>
          <w:szCs w:val="22"/>
        </w:rPr>
        <w:t xml:space="preserve">Detaljerte instruksjoner om hvordan du injiserer Humira </w:t>
      </w:r>
      <w:r w:rsidR="00C360C9">
        <w:rPr>
          <w:b/>
          <w:sz w:val="22"/>
          <w:szCs w:val="22"/>
        </w:rPr>
        <w:t>finnes</w:t>
      </w:r>
      <w:r w:rsidRPr="00E90360">
        <w:rPr>
          <w:b/>
          <w:sz w:val="22"/>
          <w:szCs w:val="22"/>
        </w:rPr>
        <w:t xml:space="preserve"> i avsnitt 7 </w:t>
      </w:r>
      <w:r w:rsidR="00D57009">
        <w:rPr>
          <w:b/>
          <w:sz w:val="22"/>
          <w:szCs w:val="22"/>
        </w:rPr>
        <w:t>«</w:t>
      </w:r>
      <w:r w:rsidR="00B376DE" w:rsidRPr="00B376DE">
        <w:rPr>
          <w:b/>
          <w:sz w:val="22"/>
          <w:szCs w:val="22"/>
        </w:rPr>
        <w:t>Hvordan du injiserer Humira</w:t>
      </w:r>
      <w:r w:rsidR="00D57009">
        <w:rPr>
          <w:b/>
          <w:sz w:val="22"/>
          <w:szCs w:val="22"/>
        </w:rPr>
        <w:t>»</w:t>
      </w:r>
      <w:r w:rsidR="00663766">
        <w:rPr>
          <w:b/>
          <w:sz w:val="22"/>
          <w:szCs w:val="22"/>
        </w:rPr>
        <w:t>.</w:t>
      </w:r>
    </w:p>
    <w:p w14:paraId="1552866B" w14:textId="77777777" w:rsidR="00E90360" w:rsidRPr="00E90360" w:rsidRDefault="00E90360" w:rsidP="00E90360">
      <w:pPr>
        <w:suppressAutoHyphens/>
        <w:rPr>
          <w:sz w:val="22"/>
          <w:szCs w:val="22"/>
        </w:rPr>
      </w:pPr>
    </w:p>
    <w:p w14:paraId="19FB713E" w14:textId="77777777" w:rsidR="00E90360" w:rsidRPr="00663766" w:rsidRDefault="00E453CD" w:rsidP="00776A84">
      <w:pPr>
        <w:keepNext/>
        <w:rPr>
          <w:sz w:val="22"/>
          <w:szCs w:val="22"/>
        </w:rPr>
      </w:pPr>
      <w:r w:rsidRPr="00E90360">
        <w:rPr>
          <w:b/>
          <w:sz w:val="22"/>
          <w:szCs w:val="22"/>
        </w:rPr>
        <w:lastRenderedPageBreak/>
        <w:t>Dersom du tar for mye av Humira</w:t>
      </w:r>
    </w:p>
    <w:p w14:paraId="5E341E1B" w14:textId="77777777" w:rsidR="00E90360" w:rsidRPr="00E90360" w:rsidRDefault="00E90360" w:rsidP="00776A84">
      <w:pPr>
        <w:keepNext/>
        <w:rPr>
          <w:sz w:val="22"/>
          <w:szCs w:val="22"/>
        </w:rPr>
      </w:pPr>
    </w:p>
    <w:p w14:paraId="1073CFB2" w14:textId="77777777" w:rsidR="00E90360" w:rsidRPr="00E90360" w:rsidRDefault="00E453CD" w:rsidP="00E90360">
      <w:pPr>
        <w:rPr>
          <w:sz w:val="22"/>
          <w:szCs w:val="22"/>
        </w:rPr>
      </w:pPr>
      <w:r w:rsidRPr="00E90360">
        <w:rPr>
          <w:sz w:val="22"/>
          <w:szCs w:val="22"/>
        </w:rPr>
        <w:t xml:space="preserve">Dersom du ved et uhell </w:t>
      </w:r>
      <w:r w:rsidR="00942579">
        <w:rPr>
          <w:sz w:val="22"/>
          <w:szCs w:val="22"/>
        </w:rPr>
        <w:t>injiserer</w:t>
      </w:r>
      <w:r w:rsidRPr="00E90360">
        <w:rPr>
          <w:sz w:val="22"/>
          <w:szCs w:val="22"/>
        </w:rPr>
        <w:t xml:space="preserve"> Humira </w:t>
      </w:r>
      <w:r w:rsidR="00370C4D" w:rsidRPr="009C5EFD">
        <w:rPr>
          <w:sz w:val="22"/>
          <w:szCs w:val="22"/>
        </w:rPr>
        <w:t>oftere enn legen har forskrevet</w:t>
      </w:r>
      <w:r w:rsidRPr="00E90360">
        <w:rPr>
          <w:sz w:val="22"/>
          <w:szCs w:val="22"/>
        </w:rPr>
        <w:t xml:space="preserve">, </w:t>
      </w:r>
      <w:r w:rsidR="00624B8E">
        <w:rPr>
          <w:sz w:val="22"/>
          <w:szCs w:val="22"/>
        </w:rPr>
        <w:t>oppsøk</w:t>
      </w:r>
      <w:r w:rsidRPr="00E90360">
        <w:rPr>
          <w:sz w:val="22"/>
          <w:szCs w:val="22"/>
        </w:rPr>
        <w:t xml:space="preserve"> legen din eller</w:t>
      </w:r>
      <w:r w:rsidR="00624B8E">
        <w:rPr>
          <w:sz w:val="22"/>
          <w:szCs w:val="22"/>
        </w:rPr>
        <w:t xml:space="preserve"> farmasøyt på apotek og fortell</w:t>
      </w:r>
      <w:r w:rsidRPr="00E90360">
        <w:rPr>
          <w:sz w:val="22"/>
          <w:szCs w:val="22"/>
        </w:rPr>
        <w:t xml:space="preserve"> dem at barnet ditt har tatt for mye. Ta alltid med deg ytterpakningen til legemidlet, selv om den er tom.</w:t>
      </w:r>
    </w:p>
    <w:p w14:paraId="45F3A9FE" w14:textId="77777777" w:rsidR="00E90360" w:rsidRPr="00663766" w:rsidRDefault="00E90360" w:rsidP="00E90360">
      <w:pPr>
        <w:rPr>
          <w:sz w:val="22"/>
          <w:szCs w:val="22"/>
        </w:rPr>
      </w:pPr>
    </w:p>
    <w:p w14:paraId="2FCD564F" w14:textId="77777777" w:rsidR="00E90360" w:rsidRPr="00663766" w:rsidRDefault="00E453CD" w:rsidP="00E90360">
      <w:pPr>
        <w:keepNext/>
        <w:rPr>
          <w:sz w:val="22"/>
          <w:szCs w:val="22"/>
        </w:rPr>
      </w:pPr>
      <w:r w:rsidRPr="00E90360">
        <w:rPr>
          <w:b/>
          <w:sz w:val="22"/>
          <w:szCs w:val="22"/>
        </w:rPr>
        <w:t>Dersom du har glemt å ta Humira</w:t>
      </w:r>
    </w:p>
    <w:p w14:paraId="7374D0CA" w14:textId="77777777" w:rsidR="00E90360" w:rsidRPr="00E90360" w:rsidRDefault="00E90360" w:rsidP="00E90360">
      <w:pPr>
        <w:keepNext/>
        <w:rPr>
          <w:sz w:val="22"/>
          <w:szCs w:val="22"/>
        </w:rPr>
      </w:pPr>
    </w:p>
    <w:p w14:paraId="637AC925" w14:textId="77777777" w:rsidR="00E90360" w:rsidRPr="00E90360" w:rsidRDefault="00E453CD" w:rsidP="00776A84">
      <w:pPr>
        <w:rPr>
          <w:sz w:val="22"/>
          <w:szCs w:val="22"/>
        </w:rPr>
      </w:pPr>
      <w:r w:rsidRPr="00E90360">
        <w:rPr>
          <w:sz w:val="22"/>
          <w:szCs w:val="22"/>
        </w:rPr>
        <w:t xml:space="preserve">Dersom </w:t>
      </w:r>
      <w:r w:rsidR="00942579">
        <w:rPr>
          <w:sz w:val="22"/>
          <w:szCs w:val="22"/>
        </w:rPr>
        <w:t>du glemmer å gi barnet ditt en injeksjon</w:t>
      </w:r>
      <w:r w:rsidRPr="00E90360">
        <w:rPr>
          <w:sz w:val="22"/>
          <w:szCs w:val="22"/>
        </w:rPr>
        <w:t xml:space="preserve">, skal </w:t>
      </w:r>
      <w:r w:rsidR="00942579">
        <w:rPr>
          <w:sz w:val="22"/>
          <w:szCs w:val="22"/>
        </w:rPr>
        <w:t>du injisere</w:t>
      </w:r>
      <w:r w:rsidRPr="00E90360">
        <w:rPr>
          <w:sz w:val="22"/>
          <w:szCs w:val="22"/>
        </w:rPr>
        <w:t xml:space="preserve"> neste dose </w:t>
      </w:r>
      <w:r w:rsidR="00701CB3">
        <w:rPr>
          <w:sz w:val="22"/>
          <w:szCs w:val="22"/>
        </w:rPr>
        <w:t>Humira så snart du</w:t>
      </w:r>
      <w:r w:rsidRPr="00E90360">
        <w:rPr>
          <w:sz w:val="22"/>
          <w:szCs w:val="22"/>
        </w:rPr>
        <w:t xml:space="preserve"> </w:t>
      </w:r>
      <w:r w:rsidRPr="00E90360">
        <w:rPr>
          <w:color w:val="000000"/>
          <w:sz w:val="22"/>
          <w:szCs w:val="22"/>
        </w:rPr>
        <w:t xml:space="preserve">husker </w:t>
      </w:r>
      <w:r w:rsidRPr="00E90360">
        <w:rPr>
          <w:sz w:val="22"/>
          <w:szCs w:val="22"/>
        </w:rPr>
        <w:t xml:space="preserve">det. </w:t>
      </w:r>
      <w:r w:rsidRPr="00E90360">
        <w:rPr>
          <w:color w:val="000000"/>
          <w:sz w:val="22"/>
          <w:szCs w:val="22"/>
        </w:rPr>
        <w:t>Deretter</w:t>
      </w:r>
      <w:r w:rsidRPr="00E90360">
        <w:rPr>
          <w:sz w:val="22"/>
          <w:szCs w:val="22"/>
        </w:rPr>
        <w:t xml:space="preserve"> </w:t>
      </w:r>
      <w:r w:rsidR="00701CB3">
        <w:rPr>
          <w:sz w:val="22"/>
          <w:szCs w:val="22"/>
        </w:rPr>
        <w:t xml:space="preserve">gir du </w:t>
      </w:r>
      <w:r w:rsidRPr="00E90360">
        <w:rPr>
          <w:sz w:val="22"/>
          <w:szCs w:val="22"/>
        </w:rPr>
        <w:t xml:space="preserve">barnet ditt neste dose den dagen det opprinnelig var planlagt, som om </w:t>
      </w:r>
      <w:r w:rsidR="00701CB3">
        <w:rPr>
          <w:sz w:val="22"/>
          <w:szCs w:val="22"/>
        </w:rPr>
        <w:t>du</w:t>
      </w:r>
      <w:r w:rsidRPr="00E90360">
        <w:rPr>
          <w:sz w:val="22"/>
          <w:szCs w:val="22"/>
        </w:rPr>
        <w:t xml:space="preserve"> ikke hadde glemt en dose.</w:t>
      </w:r>
    </w:p>
    <w:p w14:paraId="788382B4" w14:textId="77777777" w:rsidR="00E90360" w:rsidRPr="00E90360" w:rsidRDefault="00E90360" w:rsidP="00E90360">
      <w:pPr>
        <w:rPr>
          <w:sz w:val="22"/>
          <w:szCs w:val="22"/>
        </w:rPr>
      </w:pPr>
    </w:p>
    <w:p w14:paraId="683A33AA" w14:textId="77777777" w:rsidR="00E90360" w:rsidRPr="00663766" w:rsidRDefault="00E453CD" w:rsidP="00776A84">
      <w:pPr>
        <w:keepNext/>
        <w:rPr>
          <w:sz w:val="22"/>
          <w:szCs w:val="22"/>
        </w:rPr>
      </w:pPr>
      <w:r w:rsidRPr="00E90360">
        <w:rPr>
          <w:b/>
          <w:sz w:val="22"/>
          <w:szCs w:val="22"/>
        </w:rPr>
        <w:t>Dersom du avbryter behandling med Humira</w:t>
      </w:r>
    </w:p>
    <w:p w14:paraId="1BDCFFC4" w14:textId="77777777" w:rsidR="00E90360" w:rsidRPr="00E90360" w:rsidRDefault="00E90360" w:rsidP="00776A84">
      <w:pPr>
        <w:keepNext/>
        <w:suppressAutoHyphens/>
        <w:rPr>
          <w:sz w:val="22"/>
          <w:szCs w:val="22"/>
        </w:rPr>
      </w:pPr>
    </w:p>
    <w:p w14:paraId="084CB11D" w14:textId="77777777" w:rsidR="00E90360" w:rsidRPr="00E90360" w:rsidRDefault="00E453CD" w:rsidP="00E90360">
      <w:pPr>
        <w:rPr>
          <w:sz w:val="22"/>
          <w:szCs w:val="22"/>
        </w:rPr>
      </w:pPr>
      <w:r w:rsidRPr="00E90360">
        <w:rPr>
          <w:sz w:val="22"/>
          <w:szCs w:val="22"/>
        </w:rPr>
        <w:t>Beslutningen om å avbryte behandling med Humira bør diskuteres med legen din. Barnets symptomer kan komme tilbake hvis han/hun slutter å bruke Humira.</w:t>
      </w:r>
    </w:p>
    <w:p w14:paraId="01334DC7" w14:textId="77777777" w:rsidR="00E90360" w:rsidRPr="00E90360" w:rsidRDefault="00E90360" w:rsidP="00E90360">
      <w:pPr>
        <w:rPr>
          <w:sz w:val="22"/>
          <w:szCs w:val="22"/>
        </w:rPr>
      </w:pPr>
    </w:p>
    <w:p w14:paraId="283B6D2A" w14:textId="77777777" w:rsidR="00E90360" w:rsidRPr="00E90360" w:rsidRDefault="00E453CD" w:rsidP="00E90360">
      <w:pPr>
        <w:rPr>
          <w:sz w:val="22"/>
          <w:szCs w:val="22"/>
        </w:rPr>
      </w:pPr>
      <w:r w:rsidRPr="00E90360">
        <w:rPr>
          <w:sz w:val="22"/>
          <w:szCs w:val="22"/>
        </w:rPr>
        <w:t>Spør lege eller apotek dersom du har noen spørsmål om bruken av dette legemidlet.</w:t>
      </w:r>
    </w:p>
    <w:p w14:paraId="0AD79BA2" w14:textId="77777777" w:rsidR="00E90360" w:rsidRPr="00E90360" w:rsidRDefault="00E90360" w:rsidP="00E90360">
      <w:pPr>
        <w:suppressAutoHyphens/>
        <w:rPr>
          <w:sz w:val="22"/>
          <w:szCs w:val="22"/>
        </w:rPr>
      </w:pPr>
    </w:p>
    <w:p w14:paraId="0C7A5DC0" w14:textId="77777777" w:rsidR="00E90360" w:rsidRPr="00E90360" w:rsidRDefault="00E90360" w:rsidP="00E90360">
      <w:pPr>
        <w:suppressAutoHyphens/>
        <w:rPr>
          <w:sz w:val="22"/>
          <w:szCs w:val="22"/>
        </w:rPr>
      </w:pPr>
    </w:p>
    <w:p w14:paraId="4D6B39F2" w14:textId="77777777" w:rsidR="00E90360" w:rsidRPr="003461C8" w:rsidRDefault="00E453CD" w:rsidP="00E90360">
      <w:pPr>
        <w:keepNext/>
        <w:tabs>
          <w:tab w:val="left" w:pos="567"/>
        </w:tabs>
        <w:suppressAutoHyphens/>
        <w:rPr>
          <w:sz w:val="22"/>
          <w:szCs w:val="22"/>
        </w:rPr>
      </w:pPr>
      <w:r w:rsidRPr="00E90360">
        <w:rPr>
          <w:b/>
          <w:sz w:val="22"/>
          <w:szCs w:val="22"/>
        </w:rPr>
        <w:t>4.</w:t>
      </w:r>
      <w:r w:rsidRPr="00E90360">
        <w:rPr>
          <w:b/>
          <w:sz w:val="22"/>
          <w:szCs w:val="22"/>
        </w:rPr>
        <w:tab/>
        <w:t>Mulige bivirkninger</w:t>
      </w:r>
    </w:p>
    <w:p w14:paraId="259ADB09" w14:textId="77777777" w:rsidR="00E90360" w:rsidRPr="003461C8" w:rsidRDefault="00E90360" w:rsidP="00E90360">
      <w:pPr>
        <w:keepNext/>
        <w:suppressAutoHyphens/>
        <w:rPr>
          <w:sz w:val="22"/>
          <w:szCs w:val="22"/>
        </w:rPr>
      </w:pPr>
    </w:p>
    <w:p w14:paraId="40D1A975" w14:textId="77777777" w:rsidR="00E90360" w:rsidRPr="00E90360" w:rsidRDefault="00E453CD" w:rsidP="00776A84">
      <w:pPr>
        <w:suppressAutoHyphens/>
        <w:rPr>
          <w:sz w:val="22"/>
          <w:szCs w:val="22"/>
        </w:rPr>
      </w:pPr>
      <w:r w:rsidRPr="00E90360">
        <w:rPr>
          <w:sz w:val="22"/>
          <w:szCs w:val="22"/>
        </w:rPr>
        <w:t>Som alle legemidler kan dette legemidlet forårsake bivirkninger, men ikke alle får det. De fleste bivirkningene er milde til moderate. Noen kan imidlertid være alvorlige og kreve behandling. Bivirkninger kan oppstå i minst 4 måneder etter siste injeksjon med Humira.</w:t>
      </w:r>
    </w:p>
    <w:p w14:paraId="465EC864" w14:textId="77777777" w:rsidR="00E90360" w:rsidRPr="00E90360" w:rsidRDefault="00E90360" w:rsidP="00E90360">
      <w:pPr>
        <w:suppressAutoHyphens/>
        <w:rPr>
          <w:sz w:val="22"/>
          <w:szCs w:val="22"/>
        </w:rPr>
      </w:pPr>
    </w:p>
    <w:p w14:paraId="3D3A8AD5" w14:textId="77777777" w:rsidR="00E90360" w:rsidRPr="00E90360" w:rsidRDefault="00E453CD" w:rsidP="00AB7697">
      <w:pPr>
        <w:keepNext/>
        <w:suppressAutoHyphens/>
        <w:rPr>
          <w:sz w:val="22"/>
          <w:szCs w:val="22"/>
        </w:rPr>
      </w:pPr>
      <w:r w:rsidRPr="00E90360">
        <w:rPr>
          <w:b/>
          <w:sz w:val="22"/>
          <w:szCs w:val="22"/>
        </w:rPr>
        <w:t>Gi beskjed til legen din umiddelbart dersom</w:t>
      </w:r>
      <w:r w:rsidRPr="00E90360">
        <w:rPr>
          <w:b/>
          <w:sz w:val="22"/>
        </w:rPr>
        <w:t xml:space="preserve"> du merker noe av det følgende</w:t>
      </w:r>
    </w:p>
    <w:p w14:paraId="09ECD371" w14:textId="77777777" w:rsidR="00E90360" w:rsidRPr="00E90360" w:rsidRDefault="00E90360" w:rsidP="00AB7697">
      <w:pPr>
        <w:keepNext/>
        <w:suppressAutoHyphens/>
        <w:rPr>
          <w:sz w:val="22"/>
          <w:szCs w:val="22"/>
        </w:rPr>
      </w:pPr>
    </w:p>
    <w:p w14:paraId="5D784328" w14:textId="77777777" w:rsidR="00E90360" w:rsidRPr="00E90360" w:rsidRDefault="00E453CD" w:rsidP="00776A84">
      <w:pPr>
        <w:numPr>
          <w:ilvl w:val="0"/>
          <w:numId w:val="7"/>
        </w:numPr>
        <w:tabs>
          <w:tab w:val="clear" w:pos="720"/>
          <w:tab w:val="num" w:pos="567"/>
        </w:tabs>
        <w:suppressAutoHyphens/>
        <w:ind w:left="567" w:hanging="567"/>
        <w:rPr>
          <w:sz w:val="22"/>
          <w:szCs w:val="22"/>
        </w:rPr>
      </w:pPr>
      <w:r w:rsidRPr="00E90360">
        <w:rPr>
          <w:sz w:val="22"/>
          <w:szCs w:val="22"/>
        </w:rPr>
        <w:t>alvorlig utslett, elveblest eller andre tegn på allergisk reaksjon</w:t>
      </w:r>
    </w:p>
    <w:p w14:paraId="69B53CB5" w14:textId="77777777" w:rsidR="00E90360" w:rsidRPr="00E90360" w:rsidRDefault="00E453CD" w:rsidP="00776A84">
      <w:pPr>
        <w:numPr>
          <w:ilvl w:val="0"/>
          <w:numId w:val="7"/>
        </w:numPr>
        <w:tabs>
          <w:tab w:val="clear" w:pos="720"/>
          <w:tab w:val="num" w:pos="567"/>
        </w:tabs>
        <w:suppressAutoHyphens/>
        <w:ind w:left="567" w:hanging="567"/>
        <w:rPr>
          <w:sz w:val="22"/>
          <w:szCs w:val="22"/>
        </w:rPr>
      </w:pPr>
      <w:r w:rsidRPr="00E90360">
        <w:rPr>
          <w:sz w:val="22"/>
          <w:szCs w:val="22"/>
        </w:rPr>
        <w:t>hovent ansikt, hender, føtter</w:t>
      </w:r>
    </w:p>
    <w:p w14:paraId="68E6CA29" w14:textId="77777777" w:rsidR="00E90360" w:rsidRPr="00E90360" w:rsidRDefault="00E453CD" w:rsidP="00776A84">
      <w:pPr>
        <w:numPr>
          <w:ilvl w:val="0"/>
          <w:numId w:val="7"/>
        </w:numPr>
        <w:tabs>
          <w:tab w:val="clear" w:pos="720"/>
          <w:tab w:val="num" w:pos="567"/>
        </w:tabs>
        <w:suppressAutoHyphens/>
        <w:ind w:left="567" w:hanging="567"/>
        <w:rPr>
          <w:sz w:val="22"/>
          <w:szCs w:val="22"/>
        </w:rPr>
      </w:pPr>
      <w:r w:rsidRPr="00E90360">
        <w:rPr>
          <w:sz w:val="22"/>
          <w:szCs w:val="22"/>
        </w:rPr>
        <w:t>puste-, svelgebesvær</w:t>
      </w:r>
    </w:p>
    <w:p w14:paraId="78E68200" w14:textId="77777777" w:rsidR="00E90360" w:rsidRPr="00E90360" w:rsidRDefault="00E453CD" w:rsidP="00776A84">
      <w:pPr>
        <w:numPr>
          <w:ilvl w:val="0"/>
          <w:numId w:val="7"/>
        </w:numPr>
        <w:tabs>
          <w:tab w:val="clear" w:pos="720"/>
          <w:tab w:val="num" w:pos="567"/>
        </w:tabs>
        <w:suppressAutoHyphens/>
        <w:ind w:left="567" w:hanging="567"/>
        <w:rPr>
          <w:sz w:val="22"/>
          <w:szCs w:val="22"/>
        </w:rPr>
      </w:pPr>
      <w:r w:rsidRPr="00E90360">
        <w:rPr>
          <w:sz w:val="22"/>
          <w:szCs w:val="22"/>
        </w:rPr>
        <w:t>kortpustethet i forbindelse med fysisk aktivitet eller når man ligger ned, eller hevelse i føttene</w:t>
      </w:r>
    </w:p>
    <w:p w14:paraId="3E16248C" w14:textId="77777777" w:rsidR="00E90360" w:rsidRPr="00E90360" w:rsidRDefault="00E90360" w:rsidP="00E90360">
      <w:pPr>
        <w:tabs>
          <w:tab w:val="num" w:pos="567"/>
        </w:tabs>
        <w:suppressAutoHyphens/>
        <w:ind w:left="567" w:hanging="567"/>
        <w:rPr>
          <w:sz w:val="22"/>
          <w:szCs w:val="22"/>
        </w:rPr>
      </w:pPr>
    </w:p>
    <w:p w14:paraId="7284F416" w14:textId="77777777" w:rsidR="00E90360" w:rsidRPr="00E90360" w:rsidRDefault="00E453CD" w:rsidP="00776A84">
      <w:pPr>
        <w:keepNext/>
        <w:tabs>
          <w:tab w:val="num" w:pos="567"/>
        </w:tabs>
        <w:suppressAutoHyphens/>
        <w:ind w:left="567" w:hanging="567"/>
        <w:rPr>
          <w:sz w:val="22"/>
          <w:szCs w:val="22"/>
        </w:rPr>
      </w:pPr>
      <w:r w:rsidRPr="00E90360">
        <w:rPr>
          <w:b/>
          <w:sz w:val="22"/>
        </w:rPr>
        <w:t xml:space="preserve">Gi beskjed til legen </w:t>
      </w:r>
      <w:r w:rsidRPr="00E90360">
        <w:rPr>
          <w:b/>
          <w:sz w:val="22"/>
          <w:szCs w:val="22"/>
        </w:rPr>
        <w:t xml:space="preserve">din </w:t>
      </w:r>
      <w:r w:rsidRPr="00E90360">
        <w:rPr>
          <w:b/>
          <w:sz w:val="22"/>
        </w:rPr>
        <w:t>så raskt som mulig dersom du merker noe av dette</w:t>
      </w:r>
    </w:p>
    <w:p w14:paraId="7194D90A" w14:textId="77777777" w:rsidR="00E90360" w:rsidRPr="00E90360" w:rsidRDefault="00E90360" w:rsidP="00776A84">
      <w:pPr>
        <w:keepNext/>
        <w:tabs>
          <w:tab w:val="num" w:pos="567"/>
        </w:tabs>
        <w:suppressAutoHyphens/>
        <w:ind w:left="567" w:hanging="567"/>
        <w:rPr>
          <w:sz w:val="22"/>
          <w:szCs w:val="22"/>
        </w:rPr>
      </w:pPr>
    </w:p>
    <w:p w14:paraId="765747F2"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tegn på infeksjoner, som feber, uvelhet, sår, tannproblemer, svie ved vannlating</w:t>
      </w:r>
    </w:p>
    <w:p w14:paraId="0D6FFDBD"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følelse av svakhet eller tretthet</w:t>
      </w:r>
    </w:p>
    <w:p w14:paraId="1C65E1A7"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hoste</w:t>
      </w:r>
    </w:p>
    <w:p w14:paraId="0B8E7AAB"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prikking</w:t>
      </w:r>
    </w:p>
    <w:p w14:paraId="7404B208"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nummenhet</w:t>
      </w:r>
    </w:p>
    <w:p w14:paraId="732EDAC8"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dobbeltsyn</w:t>
      </w:r>
    </w:p>
    <w:p w14:paraId="678C30DA"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svakhet i armer eller bein</w:t>
      </w:r>
    </w:p>
    <w:p w14:paraId="083B0154"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en kul eller åpent sår som ikke gror</w:t>
      </w:r>
    </w:p>
    <w:p w14:paraId="5AAE96BB" w14:textId="77777777" w:rsidR="00E90360" w:rsidRPr="00E90360" w:rsidRDefault="00E453CD" w:rsidP="00E90360">
      <w:pPr>
        <w:numPr>
          <w:ilvl w:val="0"/>
          <w:numId w:val="8"/>
        </w:numPr>
        <w:tabs>
          <w:tab w:val="clear" w:pos="720"/>
          <w:tab w:val="num" w:pos="567"/>
        </w:tabs>
        <w:suppressAutoHyphens/>
        <w:ind w:left="567" w:hanging="567"/>
        <w:rPr>
          <w:sz w:val="22"/>
          <w:szCs w:val="22"/>
        </w:rPr>
      </w:pPr>
      <w:r w:rsidRPr="00E90360">
        <w:rPr>
          <w:sz w:val="22"/>
          <w:szCs w:val="22"/>
        </w:rPr>
        <w:t>tegn og symptomer på blodsykdommer som f.eks. vedvarende feber, blåmerker, blødninger, blekhet</w:t>
      </w:r>
    </w:p>
    <w:p w14:paraId="76D96C02" w14:textId="77777777" w:rsidR="00E90360" w:rsidRPr="00E90360" w:rsidRDefault="00E90360" w:rsidP="00E90360">
      <w:pPr>
        <w:suppressAutoHyphens/>
        <w:rPr>
          <w:sz w:val="22"/>
          <w:szCs w:val="22"/>
        </w:rPr>
      </w:pPr>
    </w:p>
    <w:p w14:paraId="0E116E08" w14:textId="77777777" w:rsidR="00E90360" w:rsidRPr="00E90360" w:rsidRDefault="00E453CD" w:rsidP="00E90360">
      <w:pPr>
        <w:suppressAutoHyphens/>
        <w:rPr>
          <w:sz w:val="22"/>
          <w:szCs w:val="22"/>
        </w:rPr>
      </w:pPr>
      <w:r w:rsidRPr="00E90360">
        <w:rPr>
          <w:sz w:val="22"/>
          <w:szCs w:val="22"/>
        </w:rPr>
        <w:t>Symptomene beskrevet over kan være tegn på bivirkningene nedenfor, som er sett med Humira.</w:t>
      </w:r>
    </w:p>
    <w:p w14:paraId="4DB6F28F" w14:textId="77777777" w:rsidR="00E90360" w:rsidRPr="00E90360" w:rsidRDefault="00E90360" w:rsidP="00E90360">
      <w:pPr>
        <w:suppressAutoHyphens/>
        <w:rPr>
          <w:sz w:val="22"/>
          <w:szCs w:val="22"/>
        </w:rPr>
      </w:pPr>
    </w:p>
    <w:p w14:paraId="7E8446FD" w14:textId="77777777" w:rsidR="00E90360" w:rsidRPr="00E90360" w:rsidRDefault="00E453CD" w:rsidP="00776A84">
      <w:pPr>
        <w:keepNext/>
        <w:suppressAutoHyphens/>
        <w:rPr>
          <w:sz w:val="22"/>
          <w:szCs w:val="22"/>
        </w:rPr>
      </w:pPr>
      <w:r w:rsidRPr="00E90360">
        <w:rPr>
          <w:b/>
          <w:sz w:val="22"/>
        </w:rPr>
        <w:t>Svært vanlige</w:t>
      </w:r>
      <w:r w:rsidRPr="00E90360">
        <w:rPr>
          <w:sz w:val="22"/>
          <w:szCs w:val="22"/>
        </w:rPr>
        <w:t xml:space="preserve"> (kan forekomme hos flere enn 1 av 10 personer)</w:t>
      </w:r>
    </w:p>
    <w:p w14:paraId="33A45F75" w14:textId="77777777" w:rsidR="00E90360" w:rsidRPr="00E90360" w:rsidRDefault="00E90360" w:rsidP="00776A84">
      <w:pPr>
        <w:keepNext/>
        <w:suppressAutoHyphens/>
        <w:rPr>
          <w:sz w:val="22"/>
          <w:szCs w:val="22"/>
        </w:rPr>
      </w:pPr>
    </w:p>
    <w:p w14:paraId="43EED59C"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reaksjoner på injeksjonsstedet (inkludert smerter, hevelse, rødme eller kløe)</w:t>
      </w:r>
    </w:p>
    <w:p w14:paraId="3C858DC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luftveisinfeksjon (inkludert forkjølelse, rennende nese, bihulebetennelse, lungebetennelse)</w:t>
      </w:r>
    </w:p>
    <w:p w14:paraId="6A9DB9E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hodepine</w:t>
      </w:r>
    </w:p>
    <w:p w14:paraId="3FF2ABB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smerter i buken</w:t>
      </w:r>
    </w:p>
    <w:p w14:paraId="5BB3480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kvalme og oppkast</w:t>
      </w:r>
    </w:p>
    <w:p w14:paraId="07E00520"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utslett</w:t>
      </w:r>
    </w:p>
    <w:p w14:paraId="38314D67"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lastRenderedPageBreak/>
        <w:t>smerter i muskler og skjelett</w:t>
      </w:r>
    </w:p>
    <w:p w14:paraId="56734BC6" w14:textId="77777777" w:rsidR="00E90360" w:rsidRPr="00E90360" w:rsidRDefault="00E90360" w:rsidP="00E90360">
      <w:pPr>
        <w:suppressAutoHyphens/>
        <w:rPr>
          <w:sz w:val="22"/>
          <w:szCs w:val="22"/>
        </w:rPr>
      </w:pPr>
    </w:p>
    <w:p w14:paraId="202EBF3A" w14:textId="77777777" w:rsidR="00E90360" w:rsidRPr="00E90360" w:rsidRDefault="00E453CD" w:rsidP="00776A84">
      <w:pPr>
        <w:keepNext/>
        <w:suppressAutoHyphens/>
        <w:rPr>
          <w:sz w:val="22"/>
          <w:szCs w:val="22"/>
        </w:rPr>
      </w:pPr>
      <w:r w:rsidRPr="00E90360">
        <w:rPr>
          <w:b/>
          <w:sz w:val="22"/>
        </w:rPr>
        <w:t>Vanlige</w:t>
      </w:r>
      <w:r w:rsidRPr="00E90360">
        <w:rPr>
          <w:sz w:val="22"/>
          <w:szCs w:val="22"/>
        </w:rPr>
        <w:t xml:space="preserve"> (kan forekomme hos opptil 1 av 10 personer)</w:t>
      </w:r>
    </w:p>
    <w:p w14:paraId="3C6AD4CF" w14:textId="77777777" w:rsidR="00E90360" w:rsidRPr="00E90360" w:rsidRDefault="00E90360" w:rsidP="00776A84">
      <w:pPr>
        <w:keepNext/>
        <w:suppressAutoHyphens/>
        <w:rPr>
          <w:sz w:val="22"/>
          <w:szCs w:val="22"/>
        </w:rPr>
      </w:pPr>
    </w:p>
    <w:p w14:paraId="6972E0A3" w14:textId="77777777" w:rsidR="00E90360" w:rsidRPr="000D5A58" w:rsidRDefault="00E453CD" w:rsidP="00E90360">
      <w:pPr>
        <w:numPr>
          <w:ilvl w:val="0"/>
          <w:numId w:val="9"/>
        </w:numPr>
        <w:tabs>
          <w:tab w:val="clear" w:pos="720"/>
          <w:tab w:val="num" w:pos="540"/>
        </w:tabs>
        <w:suppressAutoHyphens/>
        <w:ind w:left="540" w:hanging="540"/>
        <w:rPr>
          <w:sz w:val="22"/>
          <w:szCs w:val="22"/>
        </w:rPr>
      </w:pPr>
      <w:r>
        <w:rPr>
          <w:sz w:val="22"/>
          <w:szCs w:val="22"/>
        </w:rPr>
        <w:t>alvorlige</w:t>
      </w:r>
      <w:r w:rsidRPr="00E90360">
        <w:rPr>
          <w:sz w:val="22"/>
          <w:szCs w:val="22"/>
        </w:rPr>
        <w:t xml:space="preserve"> infeksjoner (inkludert blodforgiftning og influensa</w:t>
      </w:r>
      <w:r w:rsidRPr="00E90360">
        <w:rPr>
          <w:sz w:val="22"/>
        </w:rPr>
        <w:t>)</w:t>
      </w:r>
    </w:p>
    <w:p w14:paraId="7720CC71" w14:textId="77777777" w:rsidR="000D5A58" w:rsidRPr="00E90360" w:rsidRDefault="00E453CD" w:rsidP="00E90360">
      <w:pPr>
        <w:numPr>
          <w:ilvl w:val="0"/>
          <w:numId w:val="9"/>
        </w:numPr>
        <w:tabs>
          <w:tab w:val="clear" w:pos="720"/>
          <w:tab w:val="num" w:pos="540"/>
        </w:tabs>
        <w:suppressAutoHyphens/>
        <w:ind w:left="540" w:hanging="540"/>
        <w:rPr>
          <w:sz w:val="22"/>
          <w:szCs w:val="22"/>
        </w:rPr>
      </w:pPr>
      <w:r>
        <w:rPr>
          <w:sz w:val="22"/>
        </w:rPr>
        <w:t>mageinfeksjon (inkludert gastroenteritt)</w:t>
      </w:r>
    </w:p>
    <w:p w14:paraId="404FF539"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szCs w:val="22"/>
        </w:rPr>
        <w:t>hudinfeksjon (inkludert cellulitt (betennelse med hevelse og ømhet i bindevev) og helvetesild</w:t>
      </w:r>
      <w:r w:rsidRPr="00E90360">
        <w:rPr>
          <w:sz w:val="22"/>
        </w:rPr>
        <w:t>)</w:t>
      </w:r>
    </w:p>
    <w:p w14:paraId="567F7461"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øreinfeksjon</w:t>
      </w:r>
    </w:p>
    <w:p w14:paraId="72A0A3EC"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szCs w:val="22"/>
        </w:rPr>
        <w:t>munninfeksjon (inkludert tanninfeksjoner og forkjølelsessår</w:t>
      </w:r>
      <w:r w:rsidRPr="00E90360">
        <w:rPr>
          <w:sz w:val="22"/>
        </w:rPr>
        <w:t>)</w:t>
      </w:r>
    </w:p>
    <w:p w14:paraId="17BD8A26"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infeksjoner i forplantningskanal</w:t>
      </w:r>
    </w:p>
    <w:p w14:paraId="5D699F8E"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urinveisinfeksjon</w:t>
      </w:r>
    </w:p>
    <w:p w14:paraId="381AFCED"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 xml:space="preserve">soppinfeksjon </w:t>
      </w:r>
    </w:p>
    <w:p w14:paraId="7E65F0FA"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leddinfeksjoner</w:t>
      </w:r>
    </w:p>
    <w:p w14:paraId="27DAA1B4"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godartede tumorer</w:t>
      </w:r>
    </w:p>
    <w:p w14:paraId="097A4C0A"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hudkreft</w:t>
      </w:r>
    </w:p>
    <w:p w14:paraId="33C3C059"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allergiske reaksjoner (inkludert sesongallergi)</w:t>
      </w:r>
    </w:p>
    <w:p w14:paraId="77B6F051"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dehydrering</w:t>
      </w:r>
    </w:p>
    <w:p w14:paraId="402E5966" w14:textId="77777777" w:rsidR="00E90360" w:rsidRPr="00E90360" w:rsidRDefault="00E453CD" w:rsidP="00E90360">
      <w:pPr>
        <w:numPr>
          <w:ilvl w:val="0"/>
          <w:numId w:val="9"/>
        </w:numPr>
        <w:tabs>
          <w:tab w:val="clear" w:pos="720"/>
          <w:tab w:val="num" w:pos="540"/>
        </w:tabs>
        <w:suppressAutoHyphens/>
        <w:ind w:left="547" w:hanging="547"/>
        <w:rPr>
          <w:sz w:val="22"/>
          <w:lang w:val="en-GB"/>
        </w:rPr>
      </w:pPr>
      <w:r w:rsidRPr="00E90360">
        <w:rPr>
          <w:sz w:val="22"/>
          <w:lang w:val="en-GB"/>
        </w:rPr>
        <w:t>humørsvingninger (inkludert depresjon)</w:t>
      </w:r>
    </w:p>
    <w:p w14:paraId="4D286F34"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angst</w:t>
      </w:r>
    </w:p>
    <w:p w14:paraId="233EECDE"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søvnvansker</w:t>
      </w:r>
    </w:p>
    <w:p w14:paraId="4011C55C"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szCs w:val="22"/>
        </w:rPr>
        <w:t>sanseforstyrrelser som kribling, prikking eller nummenhet</w:t>
      </w:r>
    </w:p>
    <w:p w14:paraId="04CD238E"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migrene</w:t>
      </w:r>
    </w:p>
    <w:p w14:paraId="4CD9BCDA"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szCs w:val="22"/>
        </w:rPr>
        <w:t>kompresjon av nerverot (inkludert smerter i korsryggen og i beina</w:t>
      </w:r>
      <w:r w:rsidRPr="00E90360">
        <w:rPr>
          <w:sz w:val="22"/>
        </w:rPr>
        <w:t>)</w:t>
      </w:r>
    </w:p>
    <w:p w14:paraId="582ECEDC"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synsforstyrrelser</w:t>
      </w:r>
    </w:p>
    <w:p w14:paraId="16C2BBB2"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øyeinfeksjon</w:t>
      </w:r>
    </w:p>
    <w:p w14:paraId="47A7531C"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szCs w:val="22"/>
        </w:rPr>
        <w:t>betennelse i øyelokk og opphovnet øye</w:t>
      </w:r>
    </w:p>
    <w:p w14:paraId="792C42E4"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rPr>
        <w:t xml:space="preserve">følelse av </w:t>
      </w:r>
      <w:r w:rsidRPr="00E90360">
        <w:rPr>
          <w:sz w:val="22"/>
          <w:szCs w:val="22"/>
        </w:rPr>
        <w:t>svimmelhet</w:t>
      </w:r>
      <w:r w:rsidRPr="00E90360">
        <w:rPr>
          <w:sz w:val="22"/>
        </w:rPr>
        <w:t xml:space="preserve"> eller av å spinne</w:t>
      </w:r>
    </w:p>
    <w:p w14:paraId="320F3059" w14:textId="77777777" w:rsidR="00E90360" w:rsidRPr="00E90360" w:rsidRDefault="00E453CD" w:rsidP="00E90360">
      <w:pPr>
        <w:numPr>
          <w:ilvl w:val="0"/>
          <w:numId w:val="9"/>
        </w:numPr>
        <w:tabs>
          <w:tab w:val="clear" w:pos="720"/>
          <w:tab w:val="num" w:pos="540"/>
        </w:tabs>
        <w:suppressAutoHyphens/>
        <w:ind w:left="540" w:hanging="540"/>
        <w:rPr>
          <w:sz w:val="22"/>
          <w:szCs w:val="22"/>
        </w:rPr>
      </w:pPr>
      <w:r w:rsidRPr="00E90360">
        <w:rPr>
          <w:sz w:val="22"/>
          <w:szCs w:val="22"/>
        </w:rPr>
        <w:t>følelse av at hjertet slår raskt</w:t>
      </w:r>
    </w:p>
    <w:p w14:paraId="0BBE8234"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høyt blodtrykk</w:t>
      </w:r>
    </w:p>
    <w:p w14:paraId="2695BD63" w14:textId="77777777" w:rsidR="00E90360" w:rsidRPr="00E90360" w:rsidRDefault="00E453CD" w:rsidP="00E90360">
      <w:pPr>
        <w:numPr>
          <w:ilvl w:val="0"/>
          <w:numId w:val="9"/>
        </w:numPr>
        <w:tabs>
          <w:tab w:val="clear" w:pos="720"/>
          <w:tab w:val="num" w:pos="540"/>
        </w:tabs>
        <w:suppressAutoHyphens/>
        <w:ind w:left="540" w:hanging="540"/>
        <w:rPr>
          <w:sz w:val="22"/>
          <w:lang w:val="en-GB"/>
        </w:rPr>
      </w:pPr>
      <w:r w:rsidRPr="00E90360">
        <w:rPr>
          <w:sz w:val="22"/>
          <w:lang w:val="en-GB"/>
        </w:rPr>
        <w:t>rødme</w:t>
      </w:r>
    </w:p>
    <w:p w14:paraId="598F5727"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blodansamling utenfor blodårer (hematom)</w:t>
      </w:r>
    </w:p>
    <w:p w14:paraId="6B0F6B5A"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hoste</w:t>
      </w:r>
    </w:p>
    <w:p w14:paraId="49964305"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astma</w:t>
      </w:r>
    </w:p>
    <w:p w14:paraId="2496033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kortpusthet</w:t>
      </w:r>
    </w:p>
    <w:p w14:paraId="2A070EA2"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mageblødning</w:t>
      </w:r>
    </w:p>
    <w:p w14:paraId="6BC91DAA"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dyspepsi (forstyrrelser i øvre mage-tarm-kanal, dårlig fordøyelse, oppblåsthet, halsbrann)</w:t>
      </w:r>
    </w:p>
    <w:p w14:paraId="1D83E12B"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sure oppstøt</w:t>
      </w:r>
    </w:p>
    <w:p w14:paraId="6762035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Sjøgrens syndrom (inkludert tørre øyne og munn)</w:t>
      </w:r>
    </w:p>
    <w:p w14:paraId="3627F156"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kløe</w:t>
      </w:r>
    </w:p>
    <w:p w14:paraId="35622EF5"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kløende utslett</w:t>
      </w:r>
    </w:p>
    <w:p w14:paraId="12B0481F"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blåmerke</w:t>
      </w:r>
    </w:p>
    <w:p w14:paraId="0FCB7BF2"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hudbetennelse (som eksem)</w:t>
      </w:r>
    </w:p>
    <w:p w14:paraId="0C5EAC9D"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brekking av fingernegl og tånegl</w:t>
      </w:r>
    </w:p>
    <w:p w14:paraId="2710B145"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økt svette</w:t>
      </w:r>
    </w:p>
    <w:p w14:paraId="466D5A50"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hårtap</w:t>
      </w:r>
    </w:p>
    <w:p w14:paraId="6C2E9C61"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nytt tilfelle eller forverring av psoriasis</w:t>
      </w:r>
    </w:p>
    <w:p w14:paraId="533235F7"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muskelkramper</w:t>
      </w:r>
    </w:p>
    <w:p w14:paraId="484D20F8"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blod i urin</w:t>
      </w:r>
    </w:p>
    <w:p w14:paraId="51F69492"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nyreproblemer</w:t>
      </w:r>
    </w:p>
    <w:p w14:paraId="7BAE9401"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brystsmerter</w:t>
      </w:r>
    </w:p>
    <w:p w14:paraId="7370EAF0"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ødem (hevelse)</w:t>
      </w:r>
    </w:p>
    <w:p w14:paraId="4DF1EDB3"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feber</w:t>
      </w:r>
    </w:p>
    <w:p w14:paraId="5538D740"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reduksjon i blodplater som øker risiko for blødning eller blåmerke</w:t>
      </w:r>
    </w:p>
    <w:p w14:paraId="00A68952" w14:textId="77777777" w:rsidR="00E90360" w:rsidRPr="00E90360" w:rsidRDefault="00E453CD" w:rsidP="00E90360">
      <w:pPr>
        <w:numPr>
          <w:ilvl w:val="0"/>
          <w:numId w:val="9"/>
        </w:numPr>
        <w:tabs>
          <w:tab w:val="clear" w:pos="720"/>
          <w:tab w:val="num" w:pos="540"/>
        </w:tabs>
        <w:suppressAutoHyphens/>
        <w:ind w:left="0" w:firstLine="0"/>
        <w:rPr>
          <w:sz w:val="22"/>
          <w:szCs w:val="22"/>
        </w:rPr>
      </w:pPr>
      <w:r w:rsidRPr="00E90360">
        <w:rPr>
          <w:sz w:val="22"/>
          <w:szCs w:val="22"/>
        </w:rPr>
        <w:t>svekket heling</w:t>
      </w:r>
    </w:p>
    <w:p w14:paraId="0FEEC4D1" w14:textId="77777777" w:rsidR="00E90360" w:rsidRPr="00E90360" w:rsidRDefault="00E90360" w:rsidP="00E90360">
      <w:pPr>
        <w:suppressAutoHyphens/>
        <w:rPr>
          <w:sz w:val="22"/>
          <w:szCs w:val="22"/>
        </w:rPr>
      </w:pPr>
    </w:p>
    <w:p w14:paraId="560137FA" w14:textId="77777777" w:rsidR="00E90360" w:rsidRPr="00E90360" w:rsidRDefault="00E453CD" w:rsidP="00776A84">
      <w:pPr>
        <w:keepNext/>
        <w:suppressAutoHyphens/>
        <w:rPr>
          <w:sz w:val="22"/>
          <w:szCs w:val="22"/>
        </w:rPr>
      </w:pPr>
      <w:r w:rsidRPr="00E90360">
        <w:rPr>
          <w:b/>
          <w:sz w:val="22"/>
        </w:rPr>
        <w:t>Mindre vanlige</w:t>
      </w:r>
      <w:r w:rsidRPr="00E90360">
        <w:rPr>
          <w:sz w:val="22"/>
          <w:szCs w:val="22"/>
        </w:rPr>
        <w:t xml:space="preserve"> (kan forekomme hos opptil 1 av 100 personer)</w:t>
      </w:r>
    </w:p>
    <w:p w14:paraId="07CD640D" w14:textId="77777777" w:rsidR="00E90360" w:rsidRPr="00E90360" w:rsidRDefault="00E90360" w:rsidP="00776A84">
      <w:pPr>
        <w:keepNext/>
        <w:suppressAutoHyphens/>
        <w:rPr>
          <w:sz w:val="22"/>
          <w:szCs w:val="22"/>
        </w:rPr>
      </w:pPr>
    </w:p>
    <w:p w14:paraId="6D840A01"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 xml:space="preserve">opportunistiske infeksjoner (inkludert tuberkulose og andre infeksjoner som oppstår </w:t>
      </w:r>
      <w:r w:rsidR="00E00337">
        <w:rPr>
          <w:sz w:val="22"/>
          <w:szCs w:val="22"/>
        </w:rPr>
        <w:t>ved svekket immunforsvar</w:t>
      </w:r>
      <w:r w:rsidRPr="00E90360">
        <w:rPr>
          <w:sz w:val="22"/>
          <w:szCs w:val="22"/>
        </w:rPr>
        <w:t>)</w:t>
      </w:r>
    </w:p>
    <w:p w14:paraId="7D80CCE8"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nevrologiske sykdommer (inkludert hjernehinnebetennelse)</w:t>
      </w:r>
    </w:p>
    <w:p w14:paraId="5141ECEC"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øyebetennelser</w:t>
      </w:r>
    </w:p>
    <w:p w14:paraId="692AF153"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bakterieinfeksjoner</w:t>
      </w:r>
    </w:p>
    <w:p w14:paraId="2F78E3F5"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divertikulitt (betennelse og infeksjon i tykktarmen)</w:t>
      </w:r>
    </w:p>
    <w:p w14:paraId="4BCDE992"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kreft</w:t>
      </w:r>
    </w:p>
    <w:p w14:paraId="35866F64"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kreft som påvirker lymfesysteme</w:t>
      </w:r>
      <w:r w:rsidR="006E3B12">
        <w:rPr>
          <w:sz w:val="22"/>
          <w:szCs w:val="22"/>
        </w:rPr>
        <w:t>t</w:t>
      </w:r>
    </w:p>
    <w:p w14:paraId="016C11A5"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melanom</w:t>
      </w:r>
    </w:p>
    <w:p w14:paraId="29ED90E7"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forstyrrelser i immunsystemet som kan påvirke lungene, huden og lymfeknutene (vises vanligvis som sarkoidose)</w:t>
      </w:r>
    </w:p>
    <w:p w14:paraId="19DCBCF9"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vaskulitt (betennelse i blodårene)</w:t>
      </w:r>
    </w:p>
    <w:p w14:paraId="444A4D46"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skjelving</w:t>
      </w:r>
    </w:p>
    <w:p w14:paraId="71834A16"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ne</w:t>
      </w:r>
      <w:r w:rsidR="007D4332">
        <w:rPr>
          <w:sz w:val="22"/>
          <w:szCs w:val="22"/>
        </w:rPr>
        <w:t>v</w:t>
      </w:r>
      <w:r w:rsidRPr="00E90360">
        <w:rPr>
          <w:sz w:val="22"/>
          <w:szCs w:val="22"/>
        </w:rPr>
        <w:t>ropati (forstyrrelser av nerver)</w:t>
      </w:r>
    </w:p>
    <w:p w14:paraId="54BE1372"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slag</w:t>
      </w:r>
    </w:p>
    <w:p w14:paraId="1AFCD428"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hørseltap, øresus</w:t>
      </w:r>
    </w:p>
    <w:p w14:paraId="7063D0E7"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følelse av at hjertet slår uregelmessig</w:t>
      </w:r>
    </w:p>
    <w:p w14:paraId="40522DF9"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hjerteproblemer som forårsaker andpustenhet eller hevelse i ankler</w:t>
      </w:r>
    </w:p>
    <w:p w14:paraId="2BBA6D45"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hjerteinfarkt</w:t>
      </w:r>
    </w:p>
    <w:p w14:paraId="29FEB24E"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en utposning på veggen av en stor pulsåre, betennelse og blodpropp i en blodåre, blokade av et blodkar</w:t>
      </w:r>
    </w:p>
    <w:p w14:paraId="2B0B23B1"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lungesykdom som forårsaker andpustenhet (inkludert betennelse)</w:t>
      </w:r>
    </w:p>
    <w:p w14:paraId="65651078"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lungeemboli (blodpropp i en blodåre i lungene)</w:t>
      </w:r>
    </w:p>
    <w:p w14:paraId="7135BD42"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Pr>
          <w:sz w:val="22"/>
          <w:szCs w:val="22"/>
        </w:rPr>
        <w:t>pleura</w:t>
      </w:r>
      <w:r w:rsidRPr="00E90360">
        <w:rPr>
          <w:sz w:val="22"/>
          <w:szCs w:val="22"/>
        </w:rPr>
        <w:t>væske (unormal samling av væske i lungesekken)</w:t>
      </w:r>
    </w:p>
    <w:p w14:paraId="35AA7BDF"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betennelse i bukspyttkjertel som forårsaker sterke smerter i mage og rygg</w:t>
      </w:r>
    </w:p>
    <w:p w14:paraId="685EED41"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svelgeproblemer</w:t>
      </w:r>
    </w:p>
    <w:p w14:paraId="1CC0CF40"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opphovnet ansikt</w:t>
      </w:r>
    </w:p>
    <w:p w14:paraId="2BDB8EA9"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betennelse i gallebære</w:t>
      </w:r>
      <w:r w:rsidR="008A17B5">
        <w:rPr>
          <w:sz w:val="22"/>
          <w:szCs w:val="22"/>
        </w:rPr>
        <w:t>n</w:t>
      </w:r>
      <w:r w:rsidRPr="00E90360">
        <w:rPr>
          <w:sz w:val="22"/>
          <w:szCs w:val="22"/>
        </w:rPr>
        <w:t>, gallestein</w:t>
      </w:r>
    </w:p>
    <w:p w14:paraId="20FCBD04"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fettlever</w:t>
      </w:r>
    </w:p>
    <w:p w14:paraId="1AEC1135"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nattesvette</w:t>
      </w:r>
    </w:p>
    <w:p w14:paraId="6D5CCE0E"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arrdannelse</w:t>
      </w:r>
    </w:p>
    <w:p w14:paraId="1C59EAF2"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unormal muskeltap</w:t>
      </w:r>
    </w:p>
    <w:p w14:paraId="40970321"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systemisk lupus erythematosus (inkludert betennelser i hud, hjerte, lunge, ledd og andre organer)</w:t>
      </w:r>
    </w:p>
    <w:p w14:paraId="7C5FF22F"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søvnforstyrrelser</w:t>
      </w:r>
    </w:p>
    <w:p w14:paraId="07DAF62E"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impotens</w:t>
      </w:r>
    </w:p>
    <w:p w14:paraId="7622F4FC" w14:textId="77777777" w:rsidR="00E90360" w:rsidRPr="00E90360" w:rsidRDefault="00E453CD" w:rsidP="00E90360">
      <w:pPr>
        <w:numPr>
          <w:ilvl w:val="0"/>
          <w:numId w:val="16"/>
        </w:numPr>
        <w:tabs>
          <w:tab w:val="clear" w:pos="720"/>
          <w:tab w:val="num" w:pos="540"/>
        </w:tabs>
        <w:suppressAutoHyphens/>
        <w:ind w:left="540" w:hanging="540"/>
        <w:rPr>
          <w:sz w:val="22"/>
          <w:szCs w:val="22"/>
        </w:rPr>
      </w:pPr>
      <w:r w:rsidRPr="00E90360">
        <w:rPr>
          <w:sz w:val="22"/>
          <w:szCs w:val="22"/>
        </w:rPr>
        <w:t>betennelser</w:t>
      </w:r>
    </w:p>
    <w:p w14:paraId="361D632E" w14:textId="77777777" w:rsidR="00E90360" w:rsidRPr="00E90360" w:rsidRDefault="00E90360" w:rsidP="00E90360">
      <w:pPr>
        <w:suppressAutoHyphens/>
        <w:rPr>
          <w:sz w:val="22"/>
          <w:szCs w:val="22"/>
        </w:rPr>
      </w:pPr>
    </w:p>
    <w:p w14:paraId="2072AA76" w14:textId="77777777" w:rsidR="00E90360" w:rsidRPr="00E90360" w:rsidRDefault="00E453CD" w:rsidP="00776A84">
      <w:pPr>
        <w:keepNext/>
        <w:rPr>
          <w:sz w:val="22"/>
          <w:szCs w:val="22"/>
        </w:rPr>
      </w:pPr>
      <w:r w:rsidRPr="00E90360">
        <w:rPr>
          <w:b/>
          <w:sz w:val="22"/>
        </w:rPr>
        <w:t>Sjeldne</w:t>
      </w:r>
      <w:r w:rsidRPr="00E90360">
        <w:rPr>
          <w:sz w:val="22"/>
          <w:szCs w:val="22"/>
        </w:rPr>
        <w:t xml:space="preserve"> (kan forekomme hos opptil 1 av 1000 personer)</w:t>
      </w:r>
    </w:p>
    <w:p w14:paraId="6A024708" w14:textId="77777777" w:rsidR="00E90360" w:rsidRPr="00E90360" w:rsidRDefault="00E90360" w:rsidP="00776A84">
      <w:pPr>
        <w:keepNext/>
        <w:rPr>
          <w:sz w:val="22"/>
          <w:szCs w:val="22"/>
        </w:rPr>
      </w:pPr>
    </w:p>
    <w:p w14:paraId="746BF9C3"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leukemi (kreft som påvirker blod og benmarg)</w:t>
      </w:r>
    </w:p>
    <w:p w14:paraId="6D599158"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alvorlig allergisk reaksjon med sjokk</w:t>
      </w:r>
    </w:p>
    <w:p w14:paraId="2029BF34"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multippel sklerose</w:t>
      </w:r>
    </w:p>
    <w:p w14:paraId="7C98E675"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nerveforstyrrelser (som betennelse på øyenervene og Guillain-Barré syndrom som kan forårsake muskelsvakhet, unormale sanseinntrykk, prikking i armene og overkroppen)</w:t>
      </w:r>
    </w:p>
    <w:p w14:paraId="10CE1C08"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hjertet slutter å pumpe</w:t>
      </w:r>
    </w:p>
    <w:p w14:paraId="4E160665"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lungefibrose (arrdannelse i lungene)</w:t>
      </w:r>
    </w:p>
    <w:p w14:paraId="3E001FF7"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 xml:space="preserve">hull </w:t>
      </w:r>
      <w:r w:rsidR="002E73A0">
        <w:rPr>
          <w:sz w:val="22"/>
          <w:szCs w:val="22"/>
        </w:rPr>
        <w:t>på</w:t>
      </w:r>
      <w:r w:rsidRPr="00E90360">
        <w:rPr>
          <w:sz w:val="22"/>
          <w:szCs w:val="22"/>
        </w:rPr>
        <w:t xml:space="preserve"> tarmen</w:t>
      </w:r>
      <w:r w:rsidR="002E73A0">
        <w:rPr>
          <w:sz w:val="22"/>
          <w:szCs w:val="22"/>
        </w:rPr>
        <w:t xml:space="preserve"> (perforasjon)</w:t>
      </w:r>
    </w:p>
    <w:p w14:paraId="25D72751"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hepatitt</w:t>
      </w:r>
    </w:p>
    <w:p w14:paraId="4A0C0712"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reaktivering av hepatitt B</w:t>
      </w:r>
    </w:p>
    <w:p w14:paraId="4A7823AA"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autoimmun hepatitt (leverbetennelse forårsaket av kroppens eget immunforsvar)</w:t>
      </w:r>
    </w:p>
    <w:p w14:paraId="7DFD20B2"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betennelse i blodkarene i huden</w:t>
      </w:r>
    </w:p>
    <w:p w14:paraId="72DC5B1A"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lastRenderedPageBreak/>
        <w:t>Stevens-Johnson syndrom (tidlige symptomer inkludert diffus følelse av ubehag og tretthett, feber, hodepine og utslett)</w:t>
      </w:r>
    </w:p>
    <w:p w14:paraId="0A9FD9D4" w14:textId="77777777" w:rsidR="00E90360" w:rsidRPr="00E90360" w:rsidRDefault="00E453CD" w:rsidP="00E90360">
      <w:pPr>
        <w:numPr>
          <w:ilvl w:val="0"/>
          <w:numId w:val="15"/>
        </w:numPr>
        <w:tabs>
          <w:tab w:val="clear" w:pos="720"/>
          <w:tab w:val="num" w:pos="540"/>
        </w:tabs>
        <w:ind w:left="540" w:hanging="540"/>
        <w:rPr>
          <w:sz w:val="22"/>
          <w:szCs w:val="22"/>
        </w:rPr>
      </w:pPr>
      <w:r w:rsidRPr="009C5EFD">
        <w:rPr>
          <w:sz w:val="22"/>
          <w:szCs w:val="22"/>
        </w:rPr>
        <w:t>ansiktsødem</w:t>
      </w:r>
      <w:r w:rsidRPr="00E90360">
        <w:rPr>
          <w:sz w:val="22"/>
          <w:szCs w:val="22"/>
        </w:rPr>
        <w:t xml:space="preserve"> </w:t>
      </w:r>
      <w:r>
        <w:rPr>
          <w:sz w:val="22"/>
          <w:szCs w:val="22"/>
        </w:rPr>
        <w:t>(</w:t>
      </w:r>
      <w:r w:rsidRPr="00E90360">
        <w:rPr>
          <w:sz w:val="22"/>
          <w:szCs w:val="22"/>
        </w:rPr>
        <w:t>opphovnet ansikt</w:t>
      </w:r>
      <w:r>
        <w:rPr>
          <w:sz w:val="22"/>
          <w:szCs w:val="22"/>
        </w:rPr>
        <w:t>)</w:t>
      </w:r>
      <w:r w:rsidRPr="00E90360">
        <w:rPr>
          <w:sz w:val="22"/>
          <w:szCs w:val="22"/>
        </w:rPr>
        <w:t xml:space="preserve"> i forbindelse med allergiske reaksjoner</w:t>
      </w:r>
    </w:p>
    <w:p w14:paraId="3174445A" w14:textId="77777777" w:rsidR="00E90360" w:rsidRPr="00E90360" w:rsidRDefault="00E453CD" w:rsidP="00E90360">
      <w:pPr>
        <w:numPr>
          <w:ilvl w:val="0"/>
          <w:numId w:val="15"/>
        </w:numPr>
        <w:tabs>
          <w:tab w:val="clear" w:pos="720"/>
          <w:tab w:val="num" w:pos="540"/>
        </w:tabs>
        <w:ind w:left="540" w:hanging="540"/>
        <w:rPr>
          <w:sz w:val="22"/>
          <w:szCs w:val="22"/>
        </w:rPr>
      </w:pPr>
      <w:r w:rsidRPr="00E90360">
        <w:rPr>
          <w:sz w:val="22"/>
          <w:szCs w:val="22"/>
        </w:rPr>
        <w:t>erythema multiforme (hudutslett med inflammasjon)</w:t>
      </w:r>
    </w:p>
    <w:p w14:paraId="546EFC39" w14:textId="77777777" w:rsidR="00E90360" w:rsidRDefault="00E453CD" w:rsidP="00E90360">
      <w:pPr>
        <w:numPr>
          <w:ilvl w:val="0"/>
          <w:numId w:val="15"/>
        </w:numPr>
        <w:tabs>
          <w:tab w:val="clear" w:pos="720"/>
          <w:tab w:val="num" w:pos="540"/>
        </w:tabs>
        <w:ind w:left="540" w:hanging="540"/>
        <w:rPr>
          <w:sz w:val="22"/>
          <w:szCs w:val="22"/>
        </w:rPr>
      </w:pPr>
      <w:r w:rsidRPr="00E90360">
        <w:rPr>
          <w:sz w:val="22"/>
          <w:szCs w:val="22"/>
        </w:rPr>
        <w:t>lupuslignende syndrom</w:t>
      </w:r>
    </w:p>
    <w:p w14:paraId="40CEF425" w14:textId="77777777" w:rsidR="000D5A58" w:rsidRDefault="00E453CD" w:rsidP="00E90360">
      <w:pPr>
        <w:numPr>
          <w:ilvl w:val="0"/>
          <w:numId w:val="15"/>
        </w:numPr>
        <w:tabs>
          <w:tab w:val="clear" w:pos="720"/>
          <w:tab w:val="num" w:pos="540"/>
        </w:tabs>
        <w:ind w:left="540" w:hanging="540"/>
        <w:rPr>
          <w:sz w:val="22"/>
          <w:szCs w:val="22"/>
        </w:rPr>
      </w:pPr>
      <w:r>
        <w:rPr>
          <w:sz w:val="22"/>
          <w:szCs w:val="22"/>
        </w:rPr>
        <w:t>angioødem (lokalisert opphovning av huden)</w:t>
      </w:r>
    </w:p>
    <w:p w14:paraId="5E78F652" w14:textId="77777777" w:rsidR="000730B6" w:rsidRPr="00E90360" w:rsidRDefault="00E453CD" w:rsidP="00E90360">
      <w:pPr>
        <w:numPr>
          <w:ilvl w:val="0"/>
          <w:numId w:val="15"/>
        </w:numPr>
        <w:tabs>
          <w:tab w:val="clear" w:pos="720"/>
          <w:tab w:val="num" w:pos="540"/>
        </w:tabs>
        <w:ind w:left="540" w:hanging="540"/>
        <w:rPr>
          <w:sz w:val="22"/>
          <w:szCs w:val="22"/>
        </w:rPr>
      </w:pPr>
      <w:r>
        <w:rPr>
          <w:sz w:val="22"/>
          <w:szCs w:val="22"/>
        </w:rPr>
        <w:t>lichenoid hudreaksjon (kløende rødlig-lilla utslett)</w:t>
      </w:r>
    </w:p>
    <w:p w14:paraId="618EA18C" w14:textId="77777777" w:rsidR="00E90360" w:rsidRPr="00E90360" w:rsidRDefault="00E90360" w:rsidP="00E90360">
      <w:pPr>
        <w:rPr>
          <w:sz w:val="22"/>
          <w:szCs w:val="22"/>
        </w:rPr>
      </w:pPr>
    </w:p>
    <w:p w14:paraId="37D85811" w14:textId="77777777" w:rsidR="00E90360" w:rsidRPr="00E90360" w:rsidRDefault="00E453CD" w:rsidP="00E90360">
      <w:pPr>
        <w:keepNext/>
        <w:rPr>
          <w:sz w:val="22"/>
          <w:szCs w:val="22"/>
        </w:rPr>
      </w:pPr>
      <w:r w:rsidRPr="00E90360">
        <w:rPr>
          <w:b/>
          <w:sz w:val="22"/>
        </w:rPr>
        <w:t>Ikke kjent</w:t>
      </w:r>
      <w:r w:rsidRPr="00E90360">
        <w:rPr>
          <w:sz w:val="22"/>
          <w:szCs w:val="22"/>
        </w:rPr>
        <w:t xml:space="preserve"> (</w:t>
      </w:r>
      <w:r w:rsidR="00E63B3E">
        <w:rPr>
          <w:sz w:val="22"/>
          <w:szCs w:val="22"/>
        </w:rPr>
        <w:t xml:space="preserve">frekvens </w:t>
      </w:r>
      <w:r w:rsidRPr="00E90360">
        <w:rPr>
          <w:sz w:val="22"/>
          <w:szCs w:val="22"/>
        </w:rPr>
        <w:t xml:space="preserve">kan ikke </w:t>
      </w:r>
      <w:r w:rsidR="008A17B5">
        <w:rPr>
          <w:sz w:val="22"/>
          <w:szCs w:val="22"/>
        </w:rPr>
        <w:t>anslås</w:t>
      </w:r>
      <w:r w:rsidRPr="00E90360">
        <w:rPr>
          <w:sz w:val="22"/>
          <w:szCs w:val="22"/>
        </w:rPr>
        <w:t xml:space="preserve"> ut ifra tilgjengelig</w:t>
      </w:r>
      <w:r w:rsidR="00E63B3E">
        <w:rPr>
          <w:sz w:val="22"/>
          <w:szCs w:val="22"/>
        </w:rPr>
        <w:t>e</w:t>
      </w:r>
      <w:r w:rsidRPr="00E90360">
        <w:rPr>
          <w:sz w:val="22"/>
          <w:szCs w:val="22"/>
        </w:rPr>
        <w:t xml:space="preserve"> data)</w:t>
      </w:r>
    </w:p>
    <w:p w14:paraId="01B766B6" w14:textId="77777777" w:rsidR="00E90360" w:rsidRPr="00E90360" w:rsidRDefault="00E90360" w:rsidP="00E90360">
      <w:pPr>
        <w:keepNext/>
        <w:rPr>
          <w:sz w:val="22"/>
          <w:szCs w:val="22"/>
        </w:rPr>
      </w:pPr>
    </w:p>
    <w:p w14:paraId="73EC021F" w14:textId="77777777" w:rsidR="00E90360" w:rsidRPr="00E90360" w:rsidRDefault="00E453CD" w:rsidP="00776A84">
      <w:pPr>
        <w:numPr>
          <w:ilvl w:val="0"/>
          <w:numId w:val="49"/>
        </w:numPr>
        <w:tabs>
          <w:tab w:val="clear" w:pos="720"/>
          <w:tab w:val="num" w:pos="567"/>
        </w:tabs>
        <w:ind w:left="567" w:hanging="567"/>
        <w:rPr>
          <w:sz w:val="22"/>
          <w:szCs w:val="22"/>
        </w:rPr>
      </w:pPr>
      <w:r w:rsidRPr="00E90360">
        <w:rPr>
          <w:sz w:val="22"/>
          <w:szCs w:val="22"/>
        </w:rPr>
        <w:t>hepatosplenisk T-cellelymfom (en sjelden form for blodkreft, som ofte er dødelig)</w:t>
      </w:r>
    </w:p>
    <w:p w14:paraId="401A4D56" w14:textId="77777777" w:rsidR="00E90360" w:rsidRDefault="00E453CD" w:rsidP="00776A84">
      <w:pPr>
        <w:numPr>
          <w:ilvl w:val="0"/>
          <w:numId w:val="49"/>
        </w:numPr>
        <w:tabs>
          <w:tab w:val="clear" w:pos="720"/>
          <w:tab w:val="num" w:pos="567"/>
        </w:tabs>
        <w:ind w:left="567" w:hanging="567"/>
        <w:rPr>
          <w:sz w:val="22"/>
          <w:szCs w:val="22"/>
        </w:rPr>
      </w:pPr>
      <w:r w:rsidRPr="00E90360">
        <w:rPr>
          <w:sz w:val="22"/>
          <w:szCs w:val="22"/>
        </w:rPr>
        <w:t>merkelcellekarsinom (en type hudkreft)</w:t>
      </w:r>
    </w:p>
    <w:p w14:paraId="4C15A034" w14:textId="77777777" w:rsidR="00F8333E" w:rsidRPr="00E90360" w:rsidRDefault="00E453CD" w:rsidP="00776A84">
      <w:pPr>
        <w:numPr>
          <w:ilvl w:val="0"/>
          <w:numId w:val="49"/>
        </w:numPr>
        <w:tabs>
          <w:tab w:val="clear" w:pos="720"/>
          <w:tab w:val="num" w:pos="567"/>
        </w:tabs>
        <w:ind w:left="567" w:hanging="567"/>
        <w:rPr>
          <w:sz w:val="22"/>
          <w:szCs w:val="22"/>
        </w:rPr>
      </w:pPr>
      <w:r>
        <w:rPr>
          <w:sz w:val="22"/>
          <w:szCs w:val="22"/>
        </w:rPr>
        <w:t>Kaposis sarkom, en sjelden krefttype relatert til infeksjon med humant herpes virus 8. Kaposis sarkom opptrer som oftest som lilla lesjoner i huden</w:t>
      </w:r>
    </w:p>
    <w:p w14:paraId="74AFBB10" w14:textId="77777777" w:rsidR="00E90360" w:rsidRPr="00E90360" w:rsidRDefault="00E453CD" w:rsidP="00776A84">
      <w:pPr>
        <w:numPr>
          <w:ilvl w:val="0"/>
          <w:numId w:val="49"/>
        </w:numPr>
        <w:tabs>
          <w:tab w:val="clear" w:pos="720"/>
          <w:tab w:val="num" w:pos="567"/>
        </w:tabs>
        <w:ind w:left="567" w:hanging="567"/>
        <w:rPr>
          <w:sz w:val="22"/>
          <w:szCs w:val="22"/>
        </w:rPr>
      </w:pPr>
      <w:r w:rsidRPr="00E90360">
        <w:rPr>
          <w:sz w:val="22"/>
          <w:szCs w:val="22"/>
        </w:rPr>
        <w:t>leversvikt</w:t>
      </w:r>
    </w:p>
    <w:p w14:paraId="14A83C4B" w14:textId="77777777" w:rsidR="00E90360" w:rsidRDefault="00E453CD" w:rsidP="00776A84">
      <w:pPr>
        <w:numPr>
          <w:ilvl w:val="0"/>
          <w:numId w:val="49"/>
        </w:numPr>
        <w:tabs>
          <w:tab w:val="clear" w:pos="720"/>
          <w:tab w:val="num" w:pos="567"/>
        </w:tabs>
        <w:ind w:left="567" w:hanging="567"/>
        <w:rPr>
          <w:sz w:val="22"/>
          <w:szCs w:val="22"/>
        </w:rPr>
      </w:pPr>
      <w:r w:rsidRPr="00E90360">
        <w:rPr>
          <w:sz w:val="22"/>
          <w:szCs w:val="22"/>
        </w:rPr>
        <w:t>forverring av en tilstand kalt dermatomyositt (forekommer som hudutslett ledsaget med muskelsvakhet)</w:t>
      </w:r>
    </w:p>
    <w:p w14:paraId="151DB6E1" w14:textId="77777777" w:rsidR="00915892" w:rsidRPr="00E90360" w:rsidRDefault="00E453CD" w:rsidP="00776A84">
      <w:pPr>
        <w:numPr>
          <w:ilvl w:val="0"/>
          <w:numId w:val="49"/>
        </w:numPr>
        <w:tabs>
          <w:tab w:val="clear" w:pos="720"/>
          <w:tab w:val="num" w:pos="567"/>
        </w:tabs>
        <w:ind w:left="567" w:hanging="567"/>
        <w:rPr>
          <w:sz w:val="22"/>
          <w:szCs w:val="22"/>
        </w:rPr>
      </w:pPr>
      <w:r>
        <w:rPr>
          <w:sz w:val="22"/>
          <w:szCs w:val="22"/>
        </w:rPr>
        <w:t>vektøkning (for de fleste pasientene var vektøkningen liten)</w:t>
      </w:r>
    </w:p>
    <w:p w14:paraId="2FFDA0F8" w14:textId="77777777" w:rsidR="00E90360" w:rsidRPr="00E90360" w:rsidRDefault="00E90360" w:rsidP="00776A84">
      <w:pPr>
        <w:rPr>
          <w:sz w:val="22"/>
          <w:szCs w:val="22"/>
        </w:rPr>
      </w:pPr>
    </w:p>
    <w:p w14:paraId="30150BA8" w14:textId="77777777" w:rsidR="00E90360" w:rsidRPr="00E90360" w:rsidRDefault="00E453CD" w:rsidP="00E90360">
      <w:pPr>
        <w:rPr>
          <w:sz w:val="22"/>
          <w:szCs w:val="22"/>
        </w:rPr>
      </w:pPr>
      <w:r w:rsidRPr="00E90360">
        <w:rPr>
          <w:sz w:val="22"/>
          <w:szCs w:val="22"/>
        </w:rPr>
        <w:t>Noen bivirkninger som er observert med Humira har ikke symptomer og kan bare vises gjennom blodprøver. Disse er:</w:t>
      </w:r>
    </w:p>
    <w:p w14:paraId="326D0366" w14:textId="77777777" w:rsidR="00E90360" w:rsidRPr="00E90360" w:rsidRDefault="00E90360" w:rsidP="00E90360">
      <w:pPr>
        <w:rPr>
          <w:sz w:val="22"/>
          <w:szCs w:val="22"/>
        </w:rPr>
      </w:pPr>
    </w:p>
    <w:p w14:paraId="1B2831F4" w14:textId="77777777" w:rsidR="00E90360" w:rsidRPr="00E90360" w:rsidRDefault="00E453CD">
      <w:pPr>
        <w:suppressAutoHyphens/>
        <w:rPr>
          <w:sz w:val="22"/>
          <w:szCs w:val="22"/>
        </w:rPr>
      </w:pPr>
      <w:r w:rsidRPr="00E90360">
        <w:rPr>
          <w:b/>
          <w:sz w:val="22"/>
        </w:rPr>
        <w:t>Svært vanlige</w:t>
      </w:r>
      <w:r w:rsidRPr="00E90360">
        <w:rPr>
          <w:sz w:val="22"/>
          <w:szCs w:val="22"/>
        </w:rPr>
        <w:t xml:space="preserve"> (kan forekomme hos flere enn 1 av 10 personer)</w:t>
      </w:r>
    </w:p>
    <w:p w14:paraId="70112592" w14:textId="77777777" w:rsidR="00E90360" w:rsidRPr="00E90360" w:rsidRDefault="00E90360">
      <w:pPr>
        <w:suppressAutoHyphens/>
        <w:rPr>
          <w:sz w:val="22"/>
          <w:szCs w:val="22"/>
        </w:rPr>
      </w:pPr>
    </w:p>
    <w:p w14:paraId="5CDB3A43"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lave blodverdier for hvite blodlegemer</w:t>
      </w:r>
    </w:p>
    <w:p w14:paraId="61570FA7"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lave blodverdier for røde blodlegemer</w:t>
      </w:r>
    </w:p>
    <w:p w14:paraId="64006869"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forhøyede lipider i blod</w:t>
      </w:r>
    </w:p>
    <w:p w14:paraId="7EB26FD0"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forhøyede leverenzymer</w:t>
      </w:r>
    </w:p>
    <w:p w14:paraId="1E787F71" w14:textId="77777777" w:rsidR="00E90360" w:rsidRPr="00E90360" w:rsidRDefault="00E90360" w:rsidP="00E90360">
      <w:pPr>
        <w:rPr>
          <w:sz w:val="22"/>
          <w:szCs w:val="22"/>
        </w:rPr>
      </w:pPr>
    </w:p>
    <w:p w14:paraId="0FBDD5B7" w14:textId="77777777" w:rsidR="00E90360" w:rsidRPr="00E90360" w:rsidRDefault="00E453CD">
      <w:pPr>
        <w:suppressAutoHyphens/>
        <w:rPr>
          <w:sz w:val="22"/>
          <w:szCs w:val="22"/>
        </w:rPr>
      </w:pPr>
      <w:r w:rsidRPr="00E90360">
        <w:rPr>
          <w:b/>
          <w:sz w:val="22"/>
        </w:rPr>
        <w:t>Vanlige</w:t>
      </w:r>
      <w:r w:rsidRPr="00E90360">
        <w:rPr>
          <w:sz w:val="22"/>
          <w:szCs w:val="22"/>
        </w:rPr>
        <w:t xml:space="preserve"> (kan forekomme hos opptil 1 av 10 personer)</w:t>
      </w:r>
    </w:p>
    <w:p w14:paraId="00BC81C9" w14:textId="77777777" w:rsidR="00E90360" w:rsidRPr="00E90360" w:rsidRDefault="00E90360">
      <w:pPr>
        <w:suppressAutoHyphens/>
        <w:rPr>
          <w:sz w:val="22"/>
          <w:szCs w:val="22"/>
        </w:rPr>
      </w:pPr>
    </w:p>
    <w:p w14:paraId="5ACBA740"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høye blodverdier for hvite blodlegemer</w:t>
      </w:r>
    </w:p>
    <w:p w14:paraId="51DC3B09"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lave blodverdier for blodplater</w:t>
      </w:r>
    </w:p>
    <w:p w14:paraId="08D1A615"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forhøyet urinsyre i blod</w:t>
      </w:r>
    </w:p>
    <w:p w14:paraId="6DDD36FD"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unormale blodverdier for natrium</w:t>
      </w:r>
    </w:p>
    <w:p w14:paraId="5A936D10"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lave blodverdier for kalsium</w:t>
      </w:r>
    </w:p>
    <w:p w14:paraId="64CBE10B"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lave blodverdier for fosfat</w:t>
      </w:r>
    </w:p>
    <w:p w14:paraId="7C8541DA"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høyt blodsukker</w:t>
      </w:r>
    </w:p>
    <w:p w14:paraId="1F3C46C0"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høye blodverdier for laktatdehydrogenase</w:t>
      </w:r>
    </w:p>
    <w:p w14:paraId="667305A5" w14:textId="77777777" w:rsidR="00E90360" w:rsidRDefault="00E453CD" w:rsidP="00E90360">
      <w:pPr>
        <w:numPr>
          <w:ilvl w:val="0"/>
          <w:numId w:val="15"/>
        </w:numPr>
        <w:tabs>
          <w:tab w:val="clear" w:pos="720"/>
          <w:tab w:val="num" w:pos="540"/>
        </w:tabs>
        <w:ind w:left="0" w:firstLine="0"/>
        <w:rPr>
          <w:sz w:val="22"/>
          <w:szCs w:val="22"/>
        </w:rPr>
      </w:pPr>
      <w:r w:rsidRPr="00E90360">
        <w:rPr>
          <w:sz w:val="22"/>
          <w:szCs w:val="22"/>
        </w:rPr>
        <w:t>tilstedeværelse av autoantistoffer i blod</w:t>
      </w:r>
    </w:p>
    <w:p w14:paraId="65AC793C" w14:textId="77777777" w:rsidR="000D5A58" w:rsidRPr="00E90360" w:rsidRDefault="00E453CD" w:rsidP="00E90360">
      <w:pPr>
        <w:numPr>
          <w:ilvl w:val="0"/>
          <w:numId w:val="15"/>
        </w:numPr>
        <w:tabs>
          <w:tab w:val="clear" w:pos="720"/>
          <w:tab w:val="num" w:pos="540"/>
        </w:tabs>
        <w:ind w:left="0" w:firstLine="0"/>
        <w:rPr>
          <w:sz w:val="22"/>
          <w:szCs w:val="22"/>
        </w:rPr>
      </w:pPr>
      <w:r>
        <w:rPr>
          <w:sz w:val="22"/>
          <w:szCs w:val="22"/>
        </w:rPr>
        <w:t>lavt kaliumnivå i blodet</w:t>
      </w:r>
    </w:p>
    <w:p w14:paraId="24B3DB06" w14:textId="77777777" w:rsidR="00E90360" w:rsidRDefault="00E90360" w:rsidP="00E90360">
      <w:pPr>
        <w:rPr>
          <w:sz w:val="22"/>
          <w:szCs w:val="22"/>
        </w:rPr>
      </w:pPr>
    </w:p>
    <w:p w14:paraId="22E6420F" w14:textId="77777777" w:rsidR="000D5A58" w:rsidRPr="00E90360" w:rsidRDefault="00E453CD" w:rsidP="000D5A58">
      <w:pPr>
        <w:keepNext/>
        <w:rPr>
          <w:sz w:val="22"/>
          <w:szCs w:val="22"/>
        </w:rPr>
      </w:pPr>
      <w:r>
        <w:rPr>
          <w:b/>
          <w:sz w:val="22"/>
        </w:rPr>
        <w:t>Mindre vanlige</w:t>
      </w:r>
      <w:r w:rsidRPr="00E90360">
        <w:rPr>
          <w:sz w:val="22"/>
          <w:szCs w:val="22"/>
        </w:rPr>
        <w:t xml:space="preserve"> (</w:t>
      </w:r>
      <w:r>
        <w:rPr>
          <w:sz w:val="22"/>
          <w:szCs w:val="22"/>
        </w:rPr>
        <w:t>kan forekomme hos opptil 1 av 100 personer</w:t>
      </w:r>
      <w:r w:rsidRPr="00E90360">
        <w:rPr>
          <w:sz w:val="22"/>
          <w:szCs w:val="22"/>
        </w:rPr>
        <w:t>)</w:t>
      </w:r>
    </w:p>
    <w:p w14:paraId="7680FADC" w14:textId="77777777" w:rsidR="000D5A58" w:rsidRPr="00E90360" w:rsidRDefault="000D5A58" w:rsidP="000D5A58">
      <w:pPr>
        <w:keepNext/>
        <w:rPr>
          <w:sz w:val="22"/>
          <w:szCs w:val="22"/>
        </w:rPr>
      </w:pPr>
    </w:p>
    <w:p w14:paraId="4D24B9B7" w14:textId="77777777" w:rsidR="000D5A58" w:rsidRPr="00E90360" w:rsidRDefault="00E453CD" w:rsidP="00776A84">
      <w:pPr>
        <w:numPr>
          <w:ilvl w:val="0"/>
          <w:numId w:val="15"/>
        </w:numPr>
        <w:tabs>
          <w:tab w:val="clear" w:pos="720"/>
          <w:tab w:val="num" w:pos="540"/>
        </w:tabs>
        <w:ind w:left="0" w:firstLine="0"/>
        <w:rPr>
          <w:sz w:val="22"/>
          <w:szCs w:val="22"/>
        </w:rPr>
      </w:pPr>
      <w:r>
        <w:rPr>
          <w:sz w:val="22"/>
          <w:szCs w:val="22"/>
        </w:rPr>
        <w:t>forhøyede bilirubinverdier (leverblodprøve)</w:t>
      </w:r>
    </w:p>
    <w:p w14:paraId="14F57B9F" w14:textId="77777777" w:rsidR="000D5A58" w:rsidRPr="00E90360" w:rsidRDefault="000D5A58" w:rsidP="00E90360">
      <w:pPr>
        <w:rPr>
          <w:sz w:val="22"/>
          <w:szCs w:val="22"/>
        </w:rPr>
      </w:pPr>
    </w:p>
    <w:p w14:paraId="289449F2" w14:textId="77777777" w:rsidR="00E90360" w:rsidRPr="00E90360" w:rsidRDefault="00E453CD" w:rsidP="00776A84">
      <w:pPr>
        <w:keepNext/>
        <w:rPr>
          <w:sz w:val="22"/>
          <w:szCs w:val="22"/>
        </w:rPr>
      </w:pPr>
      <w:r w:rsidRPr="00E90360">
        <w:rPr>
          <w:b/>
          <w:sz w:val="22"/>
        </w:rPr>
        <w:t>Sjeldne</w:t>
      </w:r>
      <w:r w:rsidRPr="00E90360">
        <w:rPr>
          <w:sz w:val="22"/>
          <w:szCs w:val="22"/>
        </w:rPr>
        <w:t xml:space="preserve"> (kan forekomme hos opptil 1 av 1000 personer)</w:t>
      </w:r>
    </w:p>
    <w:p w14:paraId="5BE591D1" w14:textId="77777777" w:rsidR="00E90360" w:rsidRPr="00E90360" w:rsidRDefault="00E90360" w:rsidP="00776A84">
      <w:pPr>
        <w:keepNext/>
        <w:rPr>
          <w:sz w:val="22"/>
          <w:szCs w:val="22"/>
        </w:rPr>
      </w:pPr>
    </w:p>
    <w:p w14:paraId="1117F504" w14:textId="77777777" w:rsidR="00E90360" w:rsidRPr="00E90360" w:rsidRDefault="00E453CD" w:rsidP="00E90360">
      <w:pPr>
        <w:numPr>
          <w:ilvl w:val="0"/>
          <w:numId w:val="15"/>
        </w:numPr>
        <w:tabs>
          <w:tab w:val="clear" w:pos="720"/>
          <w:tab w:val="num" w:pos="540"/>
        </w:tabs>
        <w:ind w:left="0" w:firstLine="0"/>
        <w:rPr>
          <w:sz w:val="22"/>
          <w:szCs w:val="22"/>
        </w:rPr>
      </w:pPr>
      <w:r w:rsidRPr="00E90360">
        <w:rPr>
          <w:sz w:val="22"/>
          <w:szCs w:val="22"/>
        </w:rPr>
        <w:t>lave blodverdier for hvite blodlegemer, røde blodlegemer og antall plater</w:t>
      </w:r>
    </w:p>
    <w:p w14:paraId="5F1F581E" w14:textId="77777777" w:rsidR="00E90360" w:rsidRPr="00E90360" w:rsidRDefault="00E90360" w:rsidP="00E90360">
      <w:pPr>
        <w:rPr>
          <w:sz w:val="22"/>
          <w:szCs w:val="22"/>
        </w:rPr>
      </w:pPr>
    </w:p>
    <w:p w14:paraId="5084638B" w14:textId="77777777" w:rsidR="00E90360" w:rsidRPr="00E90360" w:rsidRDefault="00E453CD" w:rsidP="00776A84">
      <w:pPr>
        <w:keepNext/>
        <w:rPr>
          <w:b/>
          <w:sz w:val="22"/>
          <w:szCs w:val="22"/>
        </w:rPr>
      </w:pPr>
      <w:r w:rsidRPr="00E90360">
        <w:rPr>
          <w:rFonts w:eastAsia="SimSun"/>
          <w:b/>
          <w:noProof/>
          <w:sz w:val="22"/>
          <w:szCs w:val="22"/>
        </w:rPr>
        <w:t>Melding av bivirkninger</w:t>
      </w:r>
    </w:p>
    <w:p w14:paraId="01EBB3E0" w14:textId="77777777" w:rsidR="00E90360" w:rsidRPr="00E90360" w:rsidRDefault="00E453CD" w:rsidP="00192419">
      <w:pPr>
        <w:rPr>
          <w:sz w:val="22"/>
          <w:szCs w:val="22"/>
        </w:rPr>
      </w:pPr>
      <w:r w:rsidRPr="00E90360">
        <w:rPr>
          <w:sz w:val="22"/>
          <w:szCs w:val="22"/>
        </w:rPr>
        <w:t>Kontakt legen din eller apotek dersom barnet ditt opplever bivirkninger</w:t>
      </w:r>
      <w:r w:rsidR="00192419">
        <w:rPr>
          <w:sz w:val="22"/>
          <w:szCs w:val="22"/>
        </w:rPr>
        <w:t xml:space="preserve">. </w:t>
      </w:r>
      <w:r w:rsidR="00192419" w:rsidRPr="00192419">
        <w:rPr>
          <w:sz w:val="22"/>
          <w:szCs w:val="22"/>
        </w:rPr>
        <w:t>Dette</w:t>
      </w:r>
      <w:r w:rsidR="00192419">
        <w:rPr>
          <w:sz w:val="22"/>
          <w:szCs w:val="22"/>
        </w:rPr>
        <w:t xml:space="preserve"> </w:t>
      </w:r>
      <w:r w:rsidR="00192419" w:rsidRPr="00192419">
        <w:rPr>
          <w:sz w:val="22"/>
          <w:szCs w:val="22"/>
        </w:rPr>
        <w:t>gjelder også</w:t>
      </w:r>
      <w:r w:rsidRPr="00E90360">
        <w:rPr>
          <w:sz w:val="22"/>
          <w:szCs w:val="22"/>
        </w:rPr>
        <w:t xml:space="preserve"> bivirkninger som ikke er nevnt i pakningsvedlegget.</w:t>
      </w:r>
      <w:r w:rsidR="00A36D70">
        <w:rPr>
          <w:sz w:val="22"/>
          <w:szCs w:val="22"/>
        </w:rPr>
        <w:t xml:space="preserve"> </w:t>
      </w:r>
      <w:r w:rsidRPr="00E90360">
        <w:rPr>
          <w:sz w:val="22"/>
          <w:szCs w:val="22"/>
        </w:rPr>
        <w:t xml:space="preserve">Du kan også melde fra om bivirkninger direkte via </w:t>
      </w:r>
      <w:r w:rsidRPr="00E90360">
        <w:rPr>
          <w:noProof/>
          <w:sz w:val="22"/>
          <w:szCs w:val="22"/>
          <w:highlight w:val="lightGray"/>
        </w:rPr>
        <w:t>det nasjonale meldesystemet som beskrevet i</w:t>
      </w:r>
      <w:r w:rsidRPr="00E90360">
        <w:rPr>
          <w:sz w:val="22"/>
          <w:szCs w:val="22"/>
          <w:highlight w:val="lightGray"/>
        </w:rPr>
        <w:t xml:space="preserve"> </w:t>
      </w:r>
      <w:hyperlink r:id="rId27" w:history="1">
        <w:r w:rsidR="00E90360" w:rsidRPr="00E90360">
          <w:rPr>
            <w:color w:val="0000FF"/>
            <w:sz w:val="22"/>
            <w:szCs w:val="22"/>
            <w:highlight w:val="lightGray"/>
            <w:u w:val="single"/>
          </w:rPr>
          <w:t>Appendix V</w:t>
        </w:r>
      </w:hyperlink>
      <w:r w:rsidRPr="00E90360">
        <w:rPr>
          <w:sz w:val="22"/>
          <w:szCs w:val="22"/>
          <w:highlight w:val="lightGray"/>
        </w:rPr>
        <w:t>.</w:t>
      </w:r>
      <w:r w:rsidRPr="00E90360">
        <w:rPr>
          <w:sz w:val="22"/>
          <w:szCs w:val="22"/>
        </w:rPr>
        <w:t xml:space="preserve"> Ved å melde fra om bivirkninger bidrar du med informasjon om sikkerheten ved bruk av dette legemidlet.</w:t>
      </w:r>
    </w:p>
    <w:p w14:paraId="4A604CD3" w14:textId="77777777" w:rsidR="00E90360" w:rsidRPr="00E90360" w:rsidRDefault="00E90360" w:rsidP="00E90360">
      <w:pPr>
        <w:rPr>
          <w:sz w:val="22"/>
          <w:szCs w:val="22"/>
        </w:rPr>
      </w:pPr>
    </w:p>
    <w:p w14:paraId="6B701A30" w14:textId="77777777" w:rsidR="00E90360" w:rsidRPr="00E90360" w:rsidRDefault="00E90360" w:rsidP="00E90360">
      <w:pPr>
        <w:rPr>
          <w:sz w:val="22"/>
          <w:szCs w:val="22"/>
        </w:rPr>
      </w:pPr>
    </w:p>
    <w:p w14:paraId="46A9849F" w14:textId="77777777" w:rsidR="00E90360" w:rsidRPr="00E90360" w:rsidRDefault="00E453CD" w:rsidP="00776A84">
      <w:pPr>
        <w:keepNext/>
        <w:suppressAutoHyphens/>
        <w:ind w:left="567" w:hanging="567"/>
        <w:rPr>
          <w:sz w:val="22"/>
          <w:szCs w:val="22"/>
        </w:rPr>
      </w:pPr>
      <w:r w:rsidRPr="00E90360">
        <w:rPr>
          <w:b/>
          <w:sz w:val="22"/>
          <w:szCs w:val="22"/>
        </w:rPr>
        <w:t>5.</w:t>
      </w:r>
      <w:r w:rsidRPr="00E90360">
        <w:rPr>
          <w:b/>
          <w:sz w:val="22"/>
          <w:szCs w:val="22"/>
        </w:rPr>
        <w:tab/>
        <w:t>Hvordan du oppbevarer Humira</w:t>
      </w:r>
    </w:p>
    <w:p w14:paraId="705191DD" w14:textId="77777777" w:rsidR="00E90360" w:rsidRPr="00E90360" w:rsidRDefault="00E90360" w:rsidP="00776A84">
      <w:pPr>
        <w:keepNext/>
        <w:rPr>
          <w:sz w:val="22"/>
          <w:szCs w:val="22"/>
        </w:rPr>
      </w:pPr>
    </w:p>
    <w:p w14:paraId="0455BDC8" w14:textId="77777777" w:rsidR="00E90360" w:rsidRPr="00E90360" w:rsidRDefault="00E453CD" w:rsidP="00E90360">
      <w:pPr>
        <w:suppressAutoHyphens/>
        <w:rPr>
          <w:sz w:val="22"/>
          <w:szCs w:val="22"/>
        </w:rPr>
      </w:pPr>
      <w:r w:rsidRPr="00E90360">
        <w:rPr>
          <w:sz w:val="22"/>
          <w:szCs w:val="22"/>
        </w:rPr>
        <w:t>Oppbevar dette legemidlet utilgjengelig for barn.</w:t>
      </w:r>
    </w:p>
    <w:p w14:paraId="685E43BF" w14:textId="77777777" w:rsidR="00E90360" w:rsidRPr="00E90360" w:rsidRDefault="00E90360" w:rsidP="00E90360">
      <w:pPr>
        <w:suppressAutoHyphens/>
        <w:rPr>
          <w:sz w:val="22"/>
          <w:szCs w:val="22"/>
        </w:rPr>
      </w:pPr>
    </w:p>
    <w:p w14:paraId="0359E908" w14:textId="77777777" w:rsidR="00E90360" w:rsidRPr="00E90360" w:rsidRDefault="00E453CD" w:rsidP="00E90360">
      <w:pPr>
        <w:suppressAutoHyphens/>
        <w:rPr>
          <w:sz w:val="22"/>
          <w:szCs w:val="22"/>
        </w:rPr>
      </w:pPr>
      <w:r w:rsidRPr="00E90360">
        <w:rPr>
          <w:sz w:val="22"/>
          <w:szCs w:val="22"/>
        </w:rPr>
        <w:t>Bruk ikke dette legemidlet etter utløpsdatoen som er angitt på etike</w:t>
      </w:r>
      <w:r w:rsidR="00663766">
        <w:rPr>
          <w:sz w:val="22"/>
          <w:szCs w:val="22"/>
        </w:rPr>
        <w:t>tten/blisteret/esken etter EXP.</w:t>
      </w:r>
    </w:p>
    <w:p w14:paraId="2B4D87F0" w14:textId="77777777" w:rsidR="00E90360" w:rsidRPr="00E90360" w:rsidRDefault="00E90360" w:rsidP="00E90360">
      <w:pPr>
        <w:suppressAutoHyphens/>
        <w:rPr>
          <w:sz w:val="22"/>
          <w:szCs w:val="22"/>
        </w:rPr>
      </w:pPr>
    </w:p>
    <w:p w14:paraId="5864C639" w14:textId="77777777" w:rsidR="00E90360" w:rsidRPr="00E90360" w:rsidRDefault="00E453CD" w:rsidP="00E90360">
      <w:pPr>
        <w:suppressAutoHyphens/>
        <w:rPr>
          <w:sz w:val="22"/>
          <w:szCs w:val="22"/>
        </w:rPr>
      </w:pPr>
      <w:r w:rsidRPr="00E90360">
        <w:rPr>
          <w:sz w:val="22"/>
          <w:szCs w:val="22"/>
        </w:rPr>
        <w:t>Oppbevares i kjøleskap (2</w:t>
      </w:r>
      <w:r w:rsidR="005510AD">
        <w:rPr>
          <w:sz w:val="22"/>
          <w:szCs w:val="22"/>
        </w:rPr>
        <w:t> </w:t>
      </w:r>
      <w:r w:rsidRPr="00E90360">
        <w:rPr>
          <w:sz w:val="22"/>
          <w:szCs w:val="22"/>
        </w:rPr>
        <w:t>°C – 8</w:t>
      </w:r>
      <w:r w:rsidR="005510AD">
        <w:rPr>
          <w:sz w:val="22"/>
          <w:szCs w:val="22"/>
        </w:rPr>
        <w:t> </w:t>
      </w:r>
      <w:r w:rsidRPr="00E90360">
        <w:rPr>
          <w:sz w:val="22"/>
          <w:szCs w:val="22"/>
        </w:rPr>
        <w:t>°C). Skal ikke fryses.</w:t>
      </w:r>
    </w:p>
    <w:p w14:paraId="2D154FDA" w14:textId="77777777" w:rsidR="00E90360" w:rsidRPr="00E90360" w:rsidRDefault="00E90360" w:rsidP="00E90360">
      <w:pPr>
        <w:suppressAutoHyphens/>
        <w:rPr>
          <w:sz w:val="22"/>
          <w:szCs w:val="22"/>
        </w:rPr>
      </w:pPr>
    </w:p>
    <w:p w14:paraId="25A51B30" w14:textId="77777777" w:rsidR="00E90360" w:rsidRPr="00E90360" w:rsidRDefault="00E453CD" w:rsidP="00E90360">
      <w:pPr>
        <w:suppressAutoHyphens/>
        <w:rPr>
          <w:sz w:val="22"/>
          <w:szCs w:val="22"/>
        </w:rPr>
      </w:pPr>
      <w:r w:rsidRPr="00E90360">
        <w:rPr>
          <w:sz w:val="22"/>
          <w:szCs w:val="22"/>
        </w:rPr>
        <w:t>Den ferdigfylte sprøyten oppbevares i ytterpakningen for å beskytte mot lys.</w:t>
      </w:r>
    </w:p>
    <w:p w14:paraId="4A10D4BB" w14:textId="77777777" w:rsidR="00E90360" w:rsidRPr="00E90360" w:rsidRDefault="00E90360" w:rsidP="00E90360">
      <w:pPr>
        <w:suppressAutoHyphens/>
        <w:rPr>
          <w:sz w:val="22"/>
          <w:szCs w:val="22"/>
        </w:rPr>
      </w:pPr>
    </w:p>
    <w:p w14:paraId="02BDF10A" w14:textId="77777777" w:rsidR="00E90360" w:rsidRPr="00E90360" w:rsidRDefault="00E453CD" w:rsidP="00E90360">
      <w:pPr>
        <w:suppressAutoHyphens/>
        <w:rPr>
          <w:sz w:val="22"/>
          <w:szCs w:val="22"/>
        </w:rPr>
      </w:pPr>
      <w:r w:rsidRPr="00E90360">
        <w:rPr>
          <w:sz w:val="22"/>
          <w:szCs w:val="22"/>
        </w:rPr>
        <w:t>Alternativ oppbevaring:</w:t>
      </w:r>
    </w:p>
    <w:p w14:paraId="4BD4BDB6" w14:textId="77777777" w:rsidR="00E90360" w:rsidRPr="00E90360" w:rsidRDefault="00E90360" w:rsidP="00E90360">
      <w:pPr>
        <w:suppressAutoHyphens/>
        <w:rPr>
          <w:sz w:val="22"/>
          <w:szCs w:val="22"/>
        </w:rPr>
      </w:pPr>
    </w:p>
    <w:p w14:paraId="3B7EC7FC" w14:textId="77777777" w:rsidR="00E90360" w:rsidRPr="00E90360" w:rsidRDefault="00E453CD" w:rsidP="00E90360">
      <w:pPr>
        <w:suppressAutoHyphens/>
        <w:rPr>
          <w:sz w:val="22"/>
          <w:szCs w:val="22"/>
        </w:rPr>
      </w:pPr>
      <w:r w:rsidRPr="00E90360">
        <w:rPr>
          <w:sz w:val="22"/>
          <w:szCs w:val="22"/>
        </w:rPr>
        <w:t>Ved behov (f.eks. når du er på reise) kan en enkelt Humira ferdigfylt sprøyte oppbevares ved romtemperatur (opptil 25</w:t>
      </w:r>
      <w:r w:rsidR="00C42E13">
        <w:rPr>
          <w:sz w:val="22"/>
          <w:szCs w:val="22"/>
        </w:rPr>
        <w:t> </w:t>
      </w:r>
      <w:r w:rsidRPr="00E90360">
        <w:rPr>
          <w:sz w:val="22"/>
          <w:szCs w:val="22"/>
        </w:rPr>
        <w:t xml:space="preserve">°C) for en periode på maksimum 14 dager – sørg for å beskytte den mot lys. I det øyeblikk den tas fra kjøleskap for oppbevaring i romtemperatur </w:t>
      </w:r>
      <w:r w:rsidRPr="00E90360">
        <w:rPr>
          <w:b/>
          <w:sz w:val="22"/>
          <w:szCs w:val="22"/>
        </w:rPr>
        <w:t>må sprøyten brukes innen 14 dager eller kastes</w:t>
      </w:r>
      <w:r w:rsidRPr="00E90360">
        <w:rPr>
          <w:sz w:val="22"/>
          <w:szCs w:val="22"/>
        </w:rPr>
        <w:t>, selv om den blir lagt tilbake i kjøleskapet.</w:t>
      </w:r>
    </w:p>
    <w:p w14:paraId="09CAE95D" w14:textId="77777777" w:rsidR="00E90360" w:rsidRPr="00E90360" w:rsidRDefault="00E90360" w:rsidP="00E90360">
      <w:pPr>
        <w:suppressAutoHyphens/>
        <w:rPr>
          <w:sz w:val="22"/>
          <w:szCs w:val="22"/>
        </w:rPr>
      </w:pPr>
    </w:p>
    <w:p w14:paraId="48674DF5" w14:textId="77777777" w:rsidR="00E90360" w:rsidRPr="00E90360" w:rsidRDefault="00E453CD" w:rsidP="00E90360">
      <w:pPr>
        <w:suppressAutoHyphens/>
        <w:rPr>
          <w:sz w:val="22"/>
          <w:szCs w:val="22"/>
        </w:rPr>
      </w:pPr>
      <w:r w:rsidRPr="00E90360">
        <w:rPr>
          <w:sz w:val="22"/>
          <w:szCs w:val="22"/>
        </w:rPr>
        <w:t>Du bør notere datoen når sprøyten først tas ut fra kjøleskapet, og datoen for når den burde bli kastet.</w:t>
      </w:r>
    </w:p>
    <w:p w14:paraId="3E267A2F" w14:textId="77777777" w:rsidR="00E90360" w:rsidRPr="00E90360" w:rsidRDefault="00E90360" w:rsidP="00E90360">
      <w:pPr>
        <w:suppressAutoHyphens/>
        <w:rPr>
          <w:sz w:val="22"/>
          <w:szCs w:val="22"/>
        </w:rPr>
      </w:pPr>
    </w:p>
    <w:p w14:paraId="652A302B" w14:textId="77777777" w:rsidR="00E90360" w:rsidRPr="00E90360" w:rsidRDefault="00E453CD" w:rsidP="00E90360">
      <w:pPr>
        <w:suppressAutoHyphens/>
        <w:rPr>
          <w:sz w:val="22"/>
          <w:szCs w:val="22"/>
        </w:rPr>
      </w:pPr>
      <w:r w:rsidRPr="00E90360">
        <w:rPr>
          <w:sz w:val="22"/>
          <w:szCs w:val="22"/>
        </w:rPr>
        <w:t>Legemidler skal ikke kastes i avløpsvann eller sammen med husholdningsavfall. Spør legen din eller på apoteket hvordan legemidler som du ikke lenger bruker skal kastes. Disse tiltakene bidrar til å beskytte miljøet.</w:t>
      </w:r>
    </w:p>
    <w:p w14:paraId="1E86CC52" w14:textId="77777777" w:rsidR="00E90360" w:rsidRPr="00663766" w:rsidRDefault="00E90360" w:rsidP="00E90360">
      <w:pPr>
        <w:suppressAutoHyphens/>
        <w:rPr>
          <w:sz w:val="22"/>
          <w:szCs w:val="22"/>
        </w:rPr>
      </w:pPr>
    </w:p>
    <w:p w14:paraId="34593271" w14:textId="77777777" w:rsidR="00E90360" w:rsidRPr="00663766" w:rsidRDefault="00E90360" w:rsidP="00E90360">
      <w:pPr>
        <w:suppressAutoHyphens/>
        <w:rPr>
          <w:sz w:val="22"/>
          <w:szCs w:val="22"/>
        </w:rPr>
      </w:pPr>
    </w:p>
    <w:p w14:paraId="5CF0EBEC" w14:textId="77777777" w:rsidR="00E90360" w:rsidRPr="00E90360" w:rsidRDefault="00E453CD" w:rsidP="00776A84">
      <w:pPr>
        <w:keepNext/>
        <w:suppressAutoHyphens/>
        <w:ind w:left="540" w:hanging="540"/>
        <w:rPr>
          <w:sz w:val="22"/>
          <w:szCs w:val="22"/>
        </w:rPr>
      </w:pPr>
      <w:r w:rsidRPr="00E90360">
        <w:rPr>
          <w:b/>
          <w:sz w:val="22"/>
          <w:szCs w:val="22"/>
        </w:rPr>
        <w:t>6.</w:t>
      </w:r>
      <w:r w:rsidRPr="00E90360">
        <w:rPr>
          <w:b/>
          <w:sz w:val="22"/>
          <w:szCs w:val="22"/>
        </w:rPr>
        <w:tab/>
        <w:t>Innholdet i pakningen og ytterligere informasjon</w:t>
      </w:r>
    </w:p>
    <w:p w14:paraId="21979288" w14:textId="77777777" w:rsidR="00E90360" w:rsidRPr="00E90360" w:rsidRDefault="00E90360" w:rsidP="00776A84">
      <w:pPr>
        <w:keepNext/>
        <w:tabs>
          <w:tab w:val="left" w:pos="567"/>
        </w:tabs>
        <w:suppressAutoHyphens/>
        <w:rPr>
          <w:sz w:val="22"/>
          <w:szCs w:val="22"/>
        </w:rPr>
      </w:pPr>
    </w:p>
    <w:p w14:paraId="4EDD1E0F" w14:textId="77777777" w:rsidR="00E90360" w:rsidRPr="00663766" w:rsidRDefault="00E453CD" w:rsidP="00E90360">
      <w:pPr>
        <w:outlineLvl w:val="2"/>
        <w:rPr>
          <w:sz w:val="22"/>
          <w:szCs w:val="22"/>
        </w:rPr>
      </w:pPr>
      <w:r w:rsidRPr="00E90360">
        <w:rPr>
          <w:b/>
          <w:sz w:val="22"/>
          <w:szCs w:val="22"/>
        </w:rPr>
        <w:t>Sammensetning av Humira</w:t>
      </w:r>
    </w:p>
    <w:p w14:paraId="13D6F733" w14:textId="77777777" w:rsidR="00E90360" w:rsidRPr="00663766" w:rsidRDefault="00E90360" w:rsidP="00E90360">
      <w:pPr>
        <w:rPr>
          <w:sz w:val="22"/>
          <w:szCs w:val="22"/>
        </w:rPr>
      </w:pPr>
    </w:p>
    <w:p w14:paraId="38D61986" w14:textId="77777777" w:rsidR="00E90360" w:rsidRPr="00E90360" w:rsidRDefault="00E453CD" w:rsidP="00E90360">
      <w:pPr>
        <w:suppressAutoHyphens/>
        <w:rPr>
          <w:sz w:val="22"/>
          <w:szCs w:val="22"/>
        </w:rPr>
      </w:pPr>
      <w:r w:rsidRPr="00E90360">
        <w:rPr>
          <w:sz w:val="22"/>
          <w:szCs w:val="22"/>
        </w:rPr>
        <w:t>Virkestoffet er adalimumab.</w:t>
      </w:r>
    </w:p>
    <w:p w14:paraId="089DF3CA" w14:textId="77777777" w:rsidR="00E90360" w:rsidRPr="00E90360" w:rsidRDefault="00E453CD" w:rsidP="00E90360">
      <w:pPr>
        <w:suppressAutoHyphens/>
        <w:rPr>
          <w:sz w:val="22"/>
          <w:szCs w:val="22"/>
        </w:rPr>
      </w:pPr>
      <w:r w:rsidRPr="00E90360">
        <w:rPr>
          <w:sz w:val="22"/>
          <w:szCs w:val="22"/>
        </w:rPr>
        <w:t>Hjelpestoffer er mannitol, polysorbat 80 og vann til injeksjonsvæsker.</w:t>
      </w:r>
    </w:p>
    <w:p w14:paraId="2E9E3226" w14:textId="77777777" w:rsidR="00E90360" w:rsidRPr="00E90360" w:rsidRDefault="00E90360" w:rsidP="00E90360">
      <w:pPr>
        <w:suppressAutoHyphens/>
        <w:rPr>
          <w:sz w:val="22"/>
          <w:szCs w:val="22"/>
        </w:rPr>
      </w:pPr>
    </w:p>
    <w:p w14:paraId="05F6A444" w14:textId="77777777" w:rsidR="00E90360" w:rsidRPr="00663766" w:rsidRDefault="00E453CD" w:rsidP="00E90360">
      <w:pPr>
        <w:keepNext/>
        <w:suppressAutoHyphens/>
        <w:outlineLvl w:val="2"/>
        <w:rPr>
          <w:sz w:val="22"/>
          <w:szCs w:val="22"/>
        </w:rPr>
      </w:pPr>
      <w:r w:rsidRPr="00E90360">
        <w:rPr>
          <w:b/>
          <w:sz w:val="22"/>
          <w:szCs w:val="22"/>
        </w:rPr>
        <w:t>Hvordan Humira ferdigfylt sprøyte ser ut og innholdet i pakningen</w:t>
      </w:r>
    </w:p>
    <w:p w14:paraId="62086A9D" w14:textId="77777777" w:rsidR="00E90360" w:rsidRPr="00E90360" w:rsidRDefault="00E90360" w:rsidP="00776A84">
      <w:pPr>
        <w:keepNext/>
      </w:pPr>
    </w:p>
    <w:p w14:paraId="77EF05CA" w14:textId="77777777" w:rsidR="00E90360" w:rsidRPr="00E90360" w:rsidRDefault="00E453CD" w:rsidP="00E90360">
      <w:pPr>
        <w:suppressAutoHyphens/>
        <w:rPr>
          <w:sz w:val="22"/>
          <w:szCs w:val="22"/>
        </w:rPr>
      </w:pPr>
      <w:r w:rsidRPr="00E90360">
        <w:rPr>
          <w:sz w:val="22"/>
          <w:szCs w:val="22"/>
        </w:rPr>
        <w:t xml:space="preserve">Humira 20 mg injeksjonsvæske, oppløsning i ferdigfylt </w:t>
      </w:r>
      <w:r w:rsidRPr="00E90360">
        <w:rPr>
          <w:sz w:val="22"/>
          <w:szCs w:val="22"/>
          <w:lang w:val="da-DK"/>
        </w:rPr>
        <w:t>sprøyte</w:t>
      </w:r>
      <w:r w:rsidRPr="00E90360">
        <w:rPr>
          <w:sz w:val="22"/>
          <w:szCs w:val="22"/>
        </w:rPr>
        <w:t xml:space="preserve"> til </w:t>
      </w:r>
      <w:r w:rsidR="00C42E13">
        <w:rPr>
          <w:sz w:val="22"/>
          <w:szCs w:val="22"/>
        </w:rPr>
        <w:t>bruk hos barn</w:t>
      </w:r>
      <w:r w:rsidRPr="00E90360">
        <w:rPr>
          <w:sz w:val="22"/>
          <w:szCs w:val="22"/>
        </w:rPr>
        <w:t xml:space="preserve"> er tilgjengelig som steril oppløsning av 20 mg adalimumab oppløst i 0,2 ml </w:t>
      </w:r>
      <w:r w:rsidR="00C42E13">
        <w:rPr>
          <w:sz w:val="22"/>
          <w:szCs w:val="22"/>
        </w:rPr>
        <w:t>opp</w:t>
      </w:r>
      <w:r w:rsidRPr="00E90360">
        <w:rPr>
          <w:sz w:val="22"/>
          <w:szCs w:val="22"/>
        </w:rPr>
        <w:t>løsning.</w:t>
      </w:r>
    </w:p>
    <w:p w14:paraId="27BE00C8" w14:textId="77777777" w:rsidR="00E90360" w:rsidRPr="00D968A3" w:rsidRDefault="00E90360" w:rsidP="00E90360">
      <w:pPr>
        <w:suppressAutoHyphens/>
        <w:rPr>
          <w:sz w:val="22"/>
          <w:szCs w:val="22"/>
        </w:rPr>
      </w:pPr>
    </w:p>
    <w:p w14:paraId="3F30CFCC" w14:textId="77777777" w:rsidR="00E90360" w:rsidRPr="00E90360" w:rsidRDefault="00E453CD" w:rsidP="00E90360">
      <w:pPr>
        <w:suppressAutoHyphens/>
        <w:rPr>
          <w:sz w:val="22"/>
          <w:szCs w:val="22"/>
        </w:rPr>
      </w:pPr>
      <w:r w:rsidRPr="00E90360">
        <w:rPr>
          <w:sz w:val="22"/>
          <w:szCs w:val="22"/>
        </w:rPr>
        <w:t xml:space="preserve">Humira ferdigfylt </w:t>
      </w:r>
      <w:r w:rsidRPr="00E90360">
        <w:rPr>
          <w:sz w:val="22"/>
          <w:szCs w:val="22"/>
          <w:lang w:val="da-DK"/>
        </w:rPr>
        <w:t>sprøyte</w:t>
      </w:r>
      <w:r w:rsidRPr="00E90360">
        <w:rPr>
          <w:sz w:val="22"/>
          <w:szCs w:val="22"/>
        </w:rPr>
        <w:t xml:space="preserve"> er en glassprøyte som inneholder adalimumaboppløsning. </w:t>
      </w:r>
    </w:p>
    <w:p w14:paraId="4EA0A877" w14:textId="77777777" w:rsidR="00E90360" w:rsidRPr="00E90360" w:rsidRDefault="00E90360" w:rsidP="00E90360">
      <w:pPr>
        <w:suppressAutoHyphens/>
        <w:rPr>
          <w:sz w:val="22"/>
          <w:szCs w:val="22"/>
        </w:rPr>
      </w:pPr>
    </w:p>
    <w:p w14:paraId="046BB187" w14:textId="77777777" w:rsidR="00E90360" w:rsidRPr="00E90360" w:rsidRDefault="00E453CD" w:rsidP="00E90360">
      <w:pPr>
        <w:suppressAutoHyphens/>
        <w:rPr>
          <w:sz w:val="22"/>
          <w:szCs w:val="22"/>
        </w:rPr>
      </w:pPr>
      <w:r w:rsidRPr="00E90360">
        <w:rPr>
          <w:sz w:val="22"/>
          <w:szCs w:val="22"/>
        </w:rPr>
        <w:t xml:space="preserve">Humira ferdigfylt </w:t>
      </w:r>
      <w:r w:rsidRPr="00E90360">
        <w:rPr>
          <w:sz w:val="22"/>
          <w:szCs w:val="22"/>
          <w:lang w:val="da-DK"/>
        </w:rPr>
        <w:t>sprøyte</w:t>
      </w:r>
      <w:r w:rsidRPr="00E90360">
        <w:rPr>
          <w:sz w:val="22"/>
          <w:szCs w:val="22"/>
        </w:rPr>
        <w:t xml:space="preserve"> er tilgjengelig i pakning med 2 ferdigfylte </w:t>
      </w:r>
      <w:r w:rsidRPr="00E90360">
        <w:rPr>
          <w:sz w:val="22"/>
          <w:szCs w:val="22"/>
          <w:lang w:val="da-DK"/>
        </w:rPr>
        <w:t xml:space="preserve">sprøyter og </w:t>
      </w:r>
      <w:r w:rsidRPr="00E90360">
        <w:rPr>
          <w:sz w:val="22"/>
          <w:szCs w:val="22"/>
        </w:rPr>
        <w:t xml:space="preserve">2 injeksjonsstørk. </w:t>
      </w:r>
    </w:p>
    <w:p w14:paraId="328648C8" w14:textId="77777777" w:rsidR="00E90360" w:rsidRPr="00E90360" w:rsidRDefault="00E90360" w:rsidP="00E90360">
      <w:pPr>
        <w:suppressAutoHyphens/>
        <w:rPr>
          <w:sz w:val="22"/>
          <w:szCs w:val="22"/>
        </w:rPr>
      </w:pPr>
    </w:p>
    <w:p w14:paraId="64A2F818" w14:textId="77777777" w:rsidR="00E90360" w:rsidRPr="00E90360" w:rsidRDefault="00E453CD" w:rsidP="00E90360">
      <w:pPr>
        <w:suppressAutoHyphens/>
        <w:rPr>
          <w:sz w:val="22"/>
          <w:szCs w:val="22"/>
        </w:rPr>
      </w:pPr>
      <w:r w:rsidRPr="00E90360">
        <w:rPr>
          <w:sz w:val="22"/>
          <w:szCs w:val="22"/>
        </w:rPr>
        <w:t>Humira er tilgjengelig som hetteglass, ferdigfylt sprøyte</w:t>
      </w:r>
      <w:r w:rsidRPr="00E90360">
        <w:rPr>
          <w:sz w:val="22"/>
          <w:szCs w:val="20"/>
        </w:rPr>
        <w:t xml:space="preserve"> og</w:t>
      </w:r>
      <w:r w:rsidRPr="00E90360">
        <w:rPr>
          <w:sz w:val="22"/>
          <w:szCs w:val="22"/>
        </w:rPr>
        <w:t xml:space="preserve"> ferdigfylt penn.</w:t>
      </w:r>
    </w:p>
    <w:p w14:paraId="5B14AFF2" w14:textId="77777777" w:rsidR="00E90360" w:rsidRPr="00D968A3" w:rsidRDefault="00E90360" w:rsidP="00E90360">
      <w:pPr>
        <w:rPr>
          <w:sz w:val="22"/>
          <w:szCs w:val="22"/>
        </w:rPr>
      </w:pPr>
    </w:p>
    <w:p w14:paraId="43AEC116" w14:textId="77777777" w:rsidR="00E90360" w:rsidRPr="00663766" w:rsidRDefault="00E453CD" w:rsidP="00776A84">
      <w:pPr>
        <w:keepNext/>
        <w:rPr>
          <w:sz w:val="22"/>
          <w:szCs w:val="22"/>
        </w:rPr>
      </w:pPr>
      <w:r w:rsidRPr="00E90360">
        <w:rPr>
          <w:b/>
          <w:sz w:val="22"/>
          <w:szCs w:val="22"/>
        </w:rPr>
        <w:t>Innehaver av markedsføringstillatelsen</w:t>
      </w:r>
    </w:p>
    <w:p w14:paraId="22325198" w14:textId="77777777" w:rsidR="00E90360" w:rsidRPr="00E90360" w:rsidRDefault="00E90360" w:rsidP="00776A84">
      <w:pPr>
        <w:keepNext/>
        <w:rPr>
          <w:sz w:val="22"/>
          <w:szCs w:val="22"/>
        </w:rPr>
      </w:pPr>
    </w:p>
    <w:p w14:paraId="7F70FD92" w14:textId="77777777" w:rsidR="00DD76CF" w:rsidRPr="00EF12DF" w:rsidRDefault="00E453CD" w:rsidP="00DD76CF">
      <w:pPr>
        <w:rPr>
          <w:sz w:val="22"/>
          <w:szCs w:val="22"/>
        </w:rPr>
      </w:pPr>
      <w:r w:rsidRPr="00EF12DF">
        <w:rPr>
          <w:sz w:val="22"/>
          <w:szCs w:val="22"/>
        </w:rPr>
        <w:t>AbbVie Deutschland GmbH &amp; Co. KG</w:t>
      </w:r>
    </w:p>
    <w:p w14:paraId="2CBCC393" w14:textId="77777777" w:rsidR="00DD76CF" w:rsidRPr="00EF12DF" w:rsidRDefault="00E453CD" w:rsidP="00DD76CF">
      <w:pPr>
        <w:rPr>
          <w:sz w:val="22"/>
          <w:szCs w:val="22"/>
        </w:rPr>
      </w:pPr>
      <w:r w:rsidRPr="00EF12DF">
        <w:rPr>
          <w:sz w:val="22"/>
          <w:szCs w:val="22"/>
        </w:rPr>
        <w:t>Knollstrasse</w:t>
      </w:r>
    </w:p>
    <w:p w14:paraId="60A7A9DA" w14:textId="77777777" w:rsidR="00DD76CF" w:rsidRPr="00EF12DF" w:rsidRDefault="00E453CD" w:rsidP="00DD76CF">
      <w:pPr>
        <w:rPr>
          <w:sz w:val="22"/>
          <w:szCs w:val="22"/>
        </w:rPr>
      </w:pPr>
      <w:r w:rsidRPr="00EF12DF">
        <w:rPr>
          <w:sz w:val="22"/>
          <w:szCs w:val="22"/>
        </w:rPr>
        <w:t>67061 Ludwigshafen</w:t>
      </w:r>
    </w:p>
    <w:p w14:paraId="1B2C0D07" w14:textId="77777777" w:rsidR="00DD76CF" w:rsidRPr="009C5EFD" w:rsidRDefault="00E453CD" w:rsidP="00DD76CF">
      <w:pPr>
        <w:rPr>
          <w:sz w:val="22"/>
          <w:szCs w:val="22"/>
        </w:rPr>
      </w:pPr>
      <w:r>
        <w:rPr>
          <w:sz w:val="22"/>
          <w:szCs w:val="22"/>
        </w:rPr>
        <w:t>Tyskland</w:t>
      </w:r>
    </w:p>
    <w:p w14:paraId="03FC908D" w14:textId="77777777" w:rsidR="00E90360" w:rsidRPr="00E90360" w:rsidRDefault="00E90360" w:rsidP="00192419">
      <w:pPr>
        <w:tabs>
          <w:tab w:val="left" w:pos="1216"/>
        </w:tabs>
        <w:suppressAutoHyphens/>
        <w:rPr>
          <w:sz w:val="22"/>
          <w:lang w:val="nn-NO"/>
        </w:rPr>
      </w:pPr>
    </w:p>
    <w:p w14:paraId="0B421DE2" w14:textId="77777777" w:rsidR="00E90360" w:rsidRPr="00E90360" w:rsidRDefault="00E453CD" w:rsidP="00E90360">
      <w:pPr>
        <w:keepNext/>
        <w:suppressAutoHyphens/>
        <w:rPr>
          <w:b/>
          <w:sz w:val="22"/>
          <w:lang w:val="nn-NO"/>
        </w:rPr>
      </w:pPr>
      <w:r w:rsidRPr="00E90360">
        <w:rPr>
          <w:b/>
          <w:sz w:val="22"/>
          <w:lang w:val="nn-NO"/>
        </w:rPr>
        <w:t>Tilvirker</w:t>
      </w:r>
    </w:p>
    <w:p w14:paraId="02812479" w14:textId="77777777" w:rsidR="00E90360" w:rsidRPr="00E90360" w:rsidRDefault="00E90360" w:rsidP="00E90360">
      <w:pPr>
        <w:keepNext/>
        <w:rPr>
          <w:sz w:val="22"/>
          <w:lang w:val="nn-NO"/>
        </w:rPr>
      </w:pPr>
    </w:p>
    <w:p w14:paraId="2F60E05E" w14:textId="77777777" w:rsidR="00E90360" w:rsidRPr="00C95D55" w:rsidRDefault="00E453CD" w:rsidP="00776A84">
      <w:pPr>
        <w:rPr>
          <w:sz w:val="22"/>
        </w:rPr>
      </w:pPr>
      <w:r w:rsidRPr="00C95D55">
        <w:rPr>
          <w:sz w:val="22"/>
        </w:rPr>
        <w:t>AbbVie Biotechnology GmbH</w:t>
      </w:r>
    </w:p>
    <w:p w14:paraId="328C48A6" w14:textId="77777777" w:rsidR="00E90360" w:rsidRPr="00C95D55" w:rsidRDefault="00E453CD" w:rsidP="00E90360">
      <w:pPr>
        <w:numPr>
          <w:ilvl w:val="12"/>
          <w:numId w:val="0"/>
        </w:numPr>
        <w:tabs>
          <w:tab w:val="left" w:pos="720"/>
        </w:tabs>
        <w:rPr>
          <w:sz w:val="22"/>
          <w:szCs w:val="22"/>
        </w:rPr>
      </w:pPr>
      <w:r w:rsidRPr="00C95D55">
        <w:rPr>
          <w:sz w:val="22"/>
          <w:szCs w:val="22"/>
        </w:rPr>
        <w:t>Knollstrasse</w:t>
      </w:r>
    </w:p>
    <w:p w14:paraId="4ACBD242" w14:textId="77777777" w:rsidR="00E90360" w:rsidRPr="00C95D55" w:rsidRDefault="00E453CD" w:rsidP="00E90360">
      <w:pPr>
        <w:numPr>
          <w:ilvl w:val="12"/>
          <w:numId w:val="0"/>
        </w:numPr>
        <w:tabs>
          <w:tab w:val="left" w:pos="720"/>
        </w:tabs>
        <w:rPr>
          <w:sz w:val="22"/>
          <w:szCs w:val="22"/>
        </w:rPr>
      </w:pPr>
      <w:r w:rsidRPr="00C95D55">
        <w:rPr>
          <w:sz w:val="22"/>
          <w:szCs w:val="22"/>
        </w:rPr>
        <w:t>67061 Ludwigshafen</w:t>
      </w:r>
    </w:p>
    <w:p w14:paraId="084E1289" w14:textId="77777777" w:rsidR="00E90360" w:rsidRPr="00E90360" w:rsidRDefault="00E453CD" w:rsidP="00E90360">
      <w:pPr>
        <w:rPr>
          <w:sz w:val="22"/>
          <w:szCs w:val="22"/>
        </w:rPr>
      </w:pPr>
      <w:r w:rsidRPr="00E90360">
        <w:rPr>
          <w:sz w:val="22"/>
          <w:szCs w:val="22"/>
        </w:rPr>
        <w:t>Tyskland</w:t>
      </w:r>
    </w:p>
    <w:p w14:paraId="3629BC1B" w14:textId="77777777" w:rsidR="00E90360" w:rsidRPr="00E90360" w:rsidRDefault="00E90360" w:rsidP="00E90360">
      <w:pPr>
        <w:rPr>
          <w:sz w:val="22"/>
          <w:szCs w:val="20"/>
          <w:lang w:val="da-DK"/>
        </w:rPr>
      </w:pPr>
    </w:p>
    <w:p w14:paraId="7A222355" w14:textId="77777777" w:rsidR="00192419" w:rsidRPr="00E90360" w:rsidRDefault="00E453CD" w:rsidP="00E90360">
      <w:pPr>
        <w:rPr>
          <w:sz w:val="22"/>
          <w:szCs w:val="22"/>
        </w:rPr>
      </w:pPr>
      <w:r w:rsidRPr="00192419">
        <w:rPr>
          <w:sz w:val="22"/>
          <w:szCs w:val="22"/>
        </w:rPr>
        <w:t>Ta kontakt med den lokale representanten for innehaveren av markedsføringstillatelsen</w:t>
      </w:r>
      <w:r w:rsidR="007A31C0">
        <w:rPr>
          <w:sz w:val="22"/>
          <w:szCs w:val="22"/>
        </w:rPr>
        <w:t xml:space="preserve"> f</w:t>
      </w:r>
      <w:r w:rsidR="007A31C0" w:rsidRPr="009C5EFD">
        <w:rPr>
          <w:sz w:val="22"/>
          <w:szCs w:val="22"/>
        </w:rPr>
        <w:t>or ytterligere informasjon om dette legemidlet</w:t>
      </w:r>
      <w:r w:rsidR="007A31C0">
        <w:rPr>
          <w:sz w:val="22"/>
          <w:szCs w:val="22"/>
        </w:rPr>
        <w:t>:</w:t>
      </w:r>
    </w:p>
    <w:p w14:paraId="0AB277AE" w14:textId="77777777" w:rsidR="00E90360" w:rsidRPr="00BD646C" w:rsidRDefault="00E90360" w:rsidP="00E90360">
      <w:pPr>
        <w:rPr>
          <w:sz w:val="22"/>
          <w:szCs w:val="22"/>
        </w:rPr>
      </w:pPr>
    </w:p>
    <w:tbl>
      <w:tblPr>
        <w:tblW w:w="9356" w:type="dxa"/>
        <w:tblInd w:w="-34" w:type="dxa"/>
        <w:tblLayout w:type="fixed"/>
        <w:tblLook w:val="0000" w:firstRow="0" w:lastRow="0" w:firstColumn="0" w:lastColumn="0" w:noHBand="0" w:noVBand="0"/>
      </w:tblPr>
      <w:tblGrid>
        <w:gridCol w:w="34"/>
        <w:gridCol w:w="4610"/>
        <w:gridCol w:w="34"/>
        <w:gridCol w:w="4678"/>
      </w:tblGrid>
      <w:tr w:rsidR="004644D4" w14:paraId="7C12308D" w14:textId="77777777" w:rsidTr="001F79B0">
        <w:tc>
          <w:tcPr>
            <w:tcW w:w="4644" w:type="dxa"/>
            <w:gridSpan w:val="2"/>
          </w:tcPr>
          <w:p w14:paraId="7BA6152A" w14:textId="77777777" w:rsidR="00BD646C" w:rsidRPr="00BD646C" w:rsidRDefault="00E453CD" w:rsidP="00BD646C">
            <w:pPr>
              <w:rPr>
                <w:b/>
                <w:bCs/>
                <w:sz w:val="22"/>
                <w:szCs w:val="22"/>
                <w:lang w:val="fr-BE"/>
              </w:rPr>
            </w:pPr>
            <w:r w:rsidRPr="00BD646C">
              <w:rPr>
                <w:b/>
                <w:bCs/>
                <w:sz w:val="22"/>
                <w:szCs w:val="22"/>
                <w:lang w:val="fr-BE"/>
              </w:rPr>
              <w:t>België/Belgique/Belgien</w:t>
            </w:r>
          </w:p>
          <w:p w14:paraId="2D86ECFC" w14:textId="77777777" w:rsidR="00BD646C" w:rsidRPr="00BD646C" w:rsidRDefault="00E453CD" w:rsidP="00BD646C">
            <w:pPr>
              <w:rPr>
                <w:bCs/>
                <w:sz w:val="22"/>
                <w:szCs w:val="22"/>
                <w:lang w:val="fr-FR"/>
              </w:rPr>
            </w:pPr>
            <w:r w:rsidRPr="00BD646C">
              <w:rPr>
                <w:bCs/>
                <w:sz w:val="22"/>
                <w:szCs w:val="22"/>
                <w:lang w:val="fr-FR"/>
              </w:rPr>
              <w:t>AbbVie SA</w:t>
            </w:r>
          </w:p>
          <w:p w14:paraId="2C3E5BC9" w14:textId="77777777" w:rsidR="00BD646C" w:rsidRPr="00BD646C" w:rsidDel="00B31EA8" w:rsidRDefault="00E453CD" w:rsidP="00BD646C">
            <w:pPr>
              <w:rPr>
                <w:del w:id="13060" w:author="AbbVie04no" w:date="2025-09-09T10:35:00Z" w16du:dateUtc="2025-09-09T08:35:00Z"/>
                <w:sz w:val="22"/>
                <w:szCs w:val="22"/>
                <w:lang w:val="fr-FR"/>
              </w:rPr>
            </w:pPr>
            <w:r w:rsidRPr="00BD646C">
              <w:rPr>
                <w:bCs/>
                <w:sz w:val="22"/>
                <w:szCs w:val="22"/>
                <w:lang w:val="fr-FR"/>
              </w:rPr>
              <w:t xml:space="preserve">Tél/Tel: +32 10 </w:t>
            </w:r>
            <w:r w:rsidRPr="00BD646C">
              <w:rPr>
                <w:sz w:val="22"/>
                <w:szCs w:val="22"/>
                <w:lang w:val="fr-FR"/>
              </w:rPr>
              <w:t>477811</w:t>
            </w:r>
          </w:p>
          <w:p w14:paraId="6F53F87F" w14:textId="77777777" w:rsidR="00BD646C" w:rsidRPr="00BD646C" w:rsidRDefault="00BD646C" w:rsidP="00BD646C">
            <w:pPr>
              <w:rPr>
                <w:bCs/>
                <w:sz w:val="22"/>
                <w:szCs w:val="22"/>
                <w:lang w:val="fr-FR"/>
              </w:rPr>
            </w:pPr>
          </w:p>
        </w:tc>
        <w:tc>
          <w:tcPr>
            <w:tcW w:w="4678" w:type="dxa"/>
            <w:gridSpan w:val="2"/>
          </w:tcPr>
          <w:p w14:paraId="03710F1C" w14:textId="77777777" w:rsidR="00BD646C" w:rsidRPr="00BD646C" w:rsidRDefault="00E453CD" w:rsidP="00BD646C">
            <w:pPr>
              <w:rPr>
                <w:b/>
                <w:bCs/>
                <w:sz w:val="22"/>
                <w:szCs w:val="22"/>
                <w:lang w:val="lt-LT"/>
              </w:rPr>
            </w:pPr>
            <w:r w:rsidRPr="00BD646C">
              <w:rPr>
                <w:b/>
                <w:bCs/>
                <w:sz w:val="22"/>
                <w:szCs w:val="22"/>
                <w:lang w:val="lt-LT"/>
              </w:rPr>
              <w:t>Lietuva</w:t>
            </w:r>
          </w:p>
          <w:p w14:paraId="235D5919" w14:textId="77777777" w:rsidR="00BD646C" w:rsidRPr="00BD646C" w:rsidRDefault="00E453CD" w:rsidP="00BD646C">
            <w:pPr>
              <w:rPr>
                <w:bCs/>
                <w:sz w:val="22"/>
                <w:szCs w:val="22"/>
                <w:lang w:val="lv-LV"/>
              </w:rPr>
            </w:pPr>
            <w:r w:rsidRPr="00BD646C">
              <w:rPr>
                <w:bCs/>
                <w:sz w:val="22"/>
                <w:szCs w:val="22"/>
                <w:lang w:val="lv-LV"/>
              </w:rPr>
              <w:t xml:space="preserve">AbbVie UAB </w:t>
            </w:r>
          </w:p>
          <w:p w14:paraId="70EF3D3C" w14:textId="77777777" w:rsidR="00BD646C" w:rsidDel="00B31EA8" w:rsidRDefault="00E453CD" w:rsidP="00BD646C">
            <w:pPr>
              <w:rPr>
                <w:ins w:id="13061" w:author="AbbVie02no" w:date="2025-05-15T14:11:00Z"/>
                <w:del w:id="13062" w:author="AbbVie04no" w:date="2025-09-09T10:35:00Z" w16du:dateUtc="2025-09-09T08:35:00Z"/>
                <w:bCs/>
                <w:sz w:val="22"/>
                <w:szCs w:val="22"/>
                <w:lang w:val="lv-LV"/>
              </w:rPr>
            </w:pPr>
            <w:r w:rsidRPr="00BD646C">
              <w:rPr>
                <w:bCs/>
                <w:sz w:val="22"/>
                <w:szCs w:val="22"/>
                <w:lang w:val="lv-LV"/>
              </w:rPr>
              <w:t>Tel: +370 5 205 3023</w:t>
            </w:r>
          </w:p>
          <w:p w14:paraId="4F2FE933" w14:textId="77777777" w:rsidR="00A6493F" w:rsidRPr="00BD646C" w:rsidRDefault="00A6493F" w:rsidP="00BD646C">
            <w:pPr>
              <w:rPr>
                <w:bCs/>
                <w:sz w:val="22"/>
                <w:szCs w:val="22"/>
                <w:lang w:val="lv-LV"/>
              </w:rPr>
            </w:pPr>
          </w:p>
        </w:tc>
      </w:tr>
      <w:tr w:rsidR="004644D4" w14:paraId="3EC516D6" w14:textId="77777777" w:rsidTr="001F79B0">
        <w:tc>
          <w:tcPr>
            <w:tcW w:w="4644" w:type="dxa"/>
            <w:gridSpan w:val="2"/>
          </w:tcPr>
          <w:p w14:paraId="25DE9548" w14:textId="77777777" w:rsidR="00A6493F" w:rsidRDefault="00A6493F" w:rsidP="00BD646C">
            <w:pPr>
              <w:rPr>
                <w:ins w:id="13063" w:author="AbbVie02no" w:date="2025-05-15T14:11:00Z"/>
                <w:b/>
                <w:bCs/>
                <w:sz w:val="22"/>
                <w:szCs w:val="22"/>
              </w:rPr>
            </w:pPr>
          </w:p>
          <w:p w14:paraId="60DD880F" w14:textId="01A158F6" w:rsidR="00BD646C" w:rsidRPr="00BD646C" w:rsidRDefault="00E453CD" w:rsidP="00BD646C">
            <w:pPr>
              <w:rPr>
                <w:b/>
                <w:bCs/>
                <w:sz w:val="22"/>
                <w:szCs w:val="22"/>
                <w:lang w:val="bg-BG"/>
              </w:rPr>
            </w:pPr>
            <w:r w:rsidRPr="00BD646C">
              <w:rPr>
                <w:b/>
                <w:bCs/>
                <w:sz w:val="22"/>
                <w:szCs w:val="22"/>
                <w:lang w:val="bg-BG"/>
              </w:rPr>
              <w:t>България</w:t>
            </w:r>
          </w:p>
          <w:p w14:paraId="2DB98496" w14:textId="77777777" w:rsidR="00BD646C" w:rsidRPr="00BD646C" w:rsidRDefault="00E453CD" w:rsidP="00BD646C">
            <w:pPr>
              <w:rPr>
                <w:sz w:val="22"/>
                <w:szCs w:val="22"/>
                <w:lang w:val="da-DK"/>
              </w:rPr>
            </w:pPr>
            <w:r w:rsidRPr="00BD646C">
              <w:rPr>
                <w:sz w:val="22"/>
                <w:szCs w:val="22"/>
                <w:lang w:val="sk-SK"/>
              </w:rPr>
              <w:t>АбВи ЕООД</w:t>
            </w:r>
          </w:p>
          <w:p w14:paraId="41203FDD" w14:textId="7FF17DD0" w:rsidR="00BD646C" w:rsidRPr="00BD646C" w:rsidRDefault="00E453CD" w:rsidP="00BD646C">
            <w:pPr>
              <w:rPr>
                <w:bCs/>
                <w:sz w:val="22"/>
                <w:szCs w:val="22"/>
                <w:lang w:val="da-DK"/>
              </w:rPr>
            </w:pPr>
            <w:r w:rsidRPr="00BD646C">
              <w:rPr>
                <w:sz w:val="22"/>
                <w:szCs w:val="22"/>
                <w:lang w:val="sk-SK"/>
              </w:rPr>
              <w:t>Тел</w:t>
            </w:r>
            <w:r w:rsidRPr="00BD646C">
              <w:rPr>
                <w:sz w:val="22"/>
                <w:szCs w:val="22"/>
                <w:lang w:val="it-IT"/>
              </w:rPr>
              <w:t>.:+359 2 90 30</w:t>
            </w:r>
            <w:del w:id="13064" w:author="AbbVie02no" w:date="2025-05-15T14:11:00Z">
              <w:r w:rsidRPr="00BD646C">
                <w:rPr>
                  <w:sz w:val="22"/>
                  <w:szCs w:val="22"/>
                  <w:lang w:val="it-IT"/>
                </w:rPr>
                <w:delText xml:space="preserve"> </w:delText>
              </w:r>
            </w:del>
            <w:ins w:id="13065" w:author="AbbVie02no" w:date="2025-05-15T14:11:00Z">
              <w:r w:rsidR="00A6493F">
                <w:rPr>
                  <w:sz w:val="22"/>
                  <w:szCs w:val="22"/>
                  <w:lang w:val="it-IT"/>
                </w:rPr>
                <w:t> </w:t>
              </w:r>
            </w:ins>
            <w:r w:rsidRPr="00BD646C">
              <w:rPr>
                <w:sz w:val="22"/>
                <w:szCs w:val="22"/>
                <w:lang w:val="it-IT"/>
              </w:rPr>
              <w:t>430</w:t>
            </w:r>
          </w:p>
        </w:tc>
        <w:tc>
          <w:tcPr>
            <w:tcW w:w="4678" w:type="dxa"/>
            <w:gridSpan w:val="2"/>
          </w:tcPr>
          <w:p w14:paraId="0BAC7BCF" w14:textId="77777777" w:rsidR="00A6493F" w:rsidRDefault="00A6493F" w:rsidP="00BD646C">
            <w:pPr>
              <w:rPr>
                <w:ins w:id="13066" w:author="AbbVie02no" w:date="2025-05-15T14:11:00Z"/>
                <w:b/>
                <w:bCs/>
                <w:sz w:val="22"/>
                <w:szCs w:val="22"/>
                <w:lang w:val="de-DE"/>
              </w:rPr>
            </w:pPr>
          </w:p>
          <w:p w14:paraId="0D3EE52B" w14:textId="6E74A360" w:rsidR="00BD646C" w:rsidRPr="00BD646C" w:rsidRDefault="00E453CD" w:rsidP="00BD646C">
            <w:pPr>
              <w:rPr>
                <w:b/>
                <w:bCs/>
                <w:sz w:val="22"/>
                <w:szCs w:val="22"/>
                <w:lang w:val="de-DE"/>
              </w:rPr>
            </w:pPr>
            <w:r w:rsidRPr="00BD646C">
              <w:rPr>
                <w:b/>
                <w:bCs/>
                <w:sz w:val="22"/>
                <w:szCs w:val="22"/>
                <w:lang w:val="de-DE"/>
              </w:rPr>
              <w:t>Luxembourg/Luxemburg</w:t>
            </w:r>
          </w:p>
          <w:p w14:paraId="40EA5AF8" w14:textId="77777777" w:rsidR="00BD646C" w:rsidRPr="00BD646C" w:rsidRDefault="00E453CD" w:rsidP="00BD646C">
            <w:pPr>
              <w:rPr>
                <w:bCs/>
                <w:sz w:val="22"/>
                <w:szCs w:val="22"/>
                <w:lang w:val="de-DE"/>
              </w:rPr>
            </w:pPr>
            <w:r w:rsidRPr="00BD646C">
              <w:rPr>
                <w:bCs/>
                <w:sz w:val="22"/>
                <w:szCs w:val="22"/>
                <w:lang w:val="de-DE"/>
              </w:rPr>
              <w:t>AbbVie SA</w:t>
            </w:r>
          </w:p>
          <w:p w14:paraId="79B0A658" w14:textId="77777777" w:rsidR="00BD646C" w:rsidRPr="00BD646C" w:rsidRDefault="00E453CD" w:rsidP="00BD646C">
            <w:pPr>
              <w:rPr>
                <w:bCs/>
                <w:sz w:val="22"/>
                <w:szCs w:val="22"/>
                <w:lang w:val="de-DE"/>
              </w:rPr>
            </w:pPr>
            <w:r w:rsidRPr="00BD646C">
              <w:rPr>
                <w:bCs/>
                <w:sz w:val="22"/>
                <w:szCs w:val="22"/>
                <w:lang w:val="de-DE"/>
              </w:rPr>
              <w:t>Belgique/Belgien</w:t>
            </w:r>
          </w:p>
          <w:p w14:paraId="08EA7E66" w14:textId="77777777" w:rsidR="00BD646C" w:rsidRDefault="00E453CD" w:rsidP="00BD646C">
            <w:pPr>
              <w:rPr>
                <w:ins w:id="13067" w:author="AbbVie02no" w:date="2025-05-15T14:11:00Z"/>
                <w:bCs/>
                <w:sz w:val="22"/>
                <w:szCs w:val="22"/>
                <w:lang w:val="fr-FR"/>
              </w:rPr>
            </w:pPr>
            <w:r w:rsidRPr="00BD646C">
              <w:rPr>
                <w:bCs/>
                <w:sz w:val="22"/>
                <w:szCs w:val="22"/>
                <w:lang w:val="fr-FR"/>
              </w:rPr>
              <w:t>Tél/Tel: +32 10 477811</w:t>
            </w:r>
          </w:p>
          <w:p w14:paraId="0C659FBF" w14:textId="77777777" w:rsidR="00A6493F" w:rsidRPr="00BD646C" w:rsidDel="00000075" w:rsidRDefault="00A6493F" w:rsidP="00BD646C">
            <w:pPr>
              <w:rPr>
                <w:del w:id="13068" w:author="AbbVie04no" w:date="2025-09-09T10:35:00Z" w16du:dateUtc="2025-09-09T08:35:00Z"/>
                <w:bCs/>
                <w:sz w:val="22"/>
                <w:szCs w:val="22"/>
                <w:lang w:val="fr-FR"/>
              </w:rPr>
            </w:pPr>
          </w:p>
          <w:p w14:paraId="26FFCF6C" w14:textId="77777777" w:rsidR="00BD646C" w:rsidRPr="00BD646C" w:rsidRDefault="00BD646C" w:rsidP="00BD646C">
            <w:pPr>
              <w:rPr>
                <w:bCs/>
                <w:sz w:val="22"/>
                <w:szCs w:val="22"/>
                <w:lang w:val="fr-FR"/>
              </w:rPr>
            </w:pPr>
          </w:p>
        </w:tc>
      </w:tr>
      <w:tr w:rsidR="004644D4" w14:paraId="360672EE" w14:textId="77777777" w:rsidTr="001F79B0">
        <w:tc>
          <w:tcPr>
            <w:tcW w:w="4644" w:type="dxa"/>
            <w:gridSpan w:val="2"/>
          </w:tcPr>
          <w:p w14:paraId="2A09D6DA" w14:textId="77777777" w:rsidR="00BD646C" w:rsidRPr="00BD646C" w:rsidRDefault="00E453CD" w:rsidP="00BD646C">
            <w:pPr>
              <w:rPr>
                <w:b/>
                <w:bCs/>
                <w:sz w:val="22"/>
                <w:szCs w:val="22"/>
                <w:lang w:val="sk-SK"/>
              </w:rPr>
            </w:pPr>
            <w:r w:rsidRPr="00BD646C">
              <w:rPr>
                <w:b/>
                <w:bCs/>
                <w:sz w:val="22"/>
                <w:szCs w:val="22"/>
                <w:lang w:val="sk-SK"/>
              </w:rPr>
              <w:t>Česká republika</w:t>
            </w:r>
          </w:p>
          <w:p w14:paraId="56842B22" w14:textId="77777777" w:rsidR="00BD646C" w:rsidRPr="00BD646C" w:rsidRDefault="00E453CD" w:rsidP="00BD646C">
            <w:pPr>
              <w:rPr>
                <w:bCs/>
                <w:sz w:val="22"/>
                <w:szCs w:val="22"/>
                <w:lang w:val="sk-SK"/>
              </w:rPr>
            </w:pPr>
            <w:r w:rsidRPr="00BD646C">
              <w:rPr>
                <w:bCs/>
                <w:sz w:val="22"/>
                <w:szCs w:val="22"/>
                <w:lang w:val="sk-SK"/>
              </w:rPr>
              <w:t xml:space="preserve">AbbVie s.r.o. </w:t>
            </w:r>
          </w:p>
          <w:p w14:paraId="2DA7CBE0" w14:textId="0ADC2F67" w:rsidR="00BD646C" w:rsidDel="00B31EA8" w:rsidRDefault="00E453CD" w:rsidP="00BD646C">
            <w:pPr>
              <w:rPr>
                <w:ins w:id="13069" w:author="AbbVie02no" w:date="2025-05-15T14:12:00Z"/>
                <w:del w:id="13070" w:author="AbbVie04no" w:date="2025-09-09T10:35:00Z" w16du:dateUtc="2025-09-09T08:35:00Z"/>
                <w:bCs/>
                <w:sz w:val="22"/>
                <w:szCs w:val="22"/>
                <w:lang w:val="sk-SK"/>
              </w:rPr>
            </w:pPr>
            <w:r w:rsidRPr="00BD646C">
              <w:rPr>
                <w:bCs/>
                <w:sz w:val="22"/>
                <w:szCs w:val="22"/>
                <w:lang w:val="sk-SK"/>
              </w:rPr>
              <w:t>Tel: +420 233 098</w:t>
            </w:r>
            <w:del w:id="13071" w:author="AbbVie02no" w:date="2025-05-15T14:12:00Z">
              <w:r w:rsidRPr="00BD646C">
                <w:rPr>
                  <w:bCs/>
                  <w:sz w:val="22"/>
                  <w:szCs w:val="22"/>
                  <w:lang w:val="sk-SK"/>
                </w:rPr>
                <w:delText xml:space="preserve"> </w:delText>
              </w:r>
            </w:del>
            <w:ins w:id="13072" w:author="AbbVie02no" w:date="2025-05-15T14:12:00Z">
              <w:r w:rsidR="00A6493F">
                <w:rPr>
                  <w:bCs/>
                  <w:sz w:val="22"/>
                  <w:szCs w:val="22"/>
                  <w:lang w:val="sk-SK"/>
                </w:rPr>
                <w:t> </w:t>
              </w:r>
            </w:ins>
            <w:r w:rsidRPr="00BD646C">
              <w:rPr>
                <w:bCs/>
                <w:sz w:val="22"/>
                <w:szCs w:val="22"/>
                <w:lang w:val="sk-SK"/>
              </w:rPr>
              <w:t>111</w:t>
            </w:r>
          </w:p>
          <w:p w14:paraId="27778B33" w14:textId="77777777" w:rsidR="00A6493F" w:rsidRPr="00BD646C" w:rsidRDefault="00A6493F" w:rsidP="00BD646C">
            <w:pPr>
              <w:rPr>
                <w:bCs/>
                <w:sz w:val="22"/>
                <w:szCs w:val="22"/>
                <w:lang w:val="sk-SK"/>
              </w:rPr>
            </w:pPr>
          </w:p>
        </w:tc>
        <w:tc>
          <w:tcPr>
            <w:tcW w:w="4678" w:type="dxa"/>
            <w:gridSpan w:val="2"/>
          </w:tcPr>
          <w:p w14:paraId="3023E0D2" w14:textId="77777777" w:rsidR="00BD646C" w:rsidRPr="00BD646C" w:rsidRDefault="00E453CD" w:rsidP="00BD646C">
            <w:pPr>
              <w:rPr>
                <w:b/>
                <w:bCs/>
                <w:sz w:val="22"/>
                <w:szCs w:val="22"/>
                <w:lang w:val="hu-HU"/>
              </w:rPr>
            </w:pPr>
            <w:r w:rsidRPr="00BD646C">
              <w:rPr>
                <w:b/>
                <w:bCs/>
                <w:sz w:val="22"/>
                <w:szCs w:val="22"/>
                <w:lang w:val="hu-HU"/>
              </w:rPr>
              <w:t>Magyarország</w:t>
            </w:r>
          </w:p>
          <w:p w14:paraId="6B74A217" w14:textId="77777777" w:rsidR="00BD646C" w:rsidRPr="00BD646C" w:rsidRDefault="00E453CD" w:rsidP="00BD646C">
            <w:pPr>
              <w:rPr>
                <w:bCs/>
                <w:sz w:val="22"/>
                <w:szCs w:val="22"/>
                <w:lang w:val="hu-HU"/>
              </w:rPr>
            </w:pPr>
            <w:r w:rsidRPr="00BD646C">
              <w:rPr>
                <w:bCs/>
                <w:sz w:val="22"/>
                <w:szCs w:val="22"/>
                <w:lang w:val="hu-HU"/>
              </w:rPr>
              <w:t>AbbVie Kft.</w:t>
            </w:r>
          </w:p>
          <w:p w14:paraId="747B4955" w14:textId="77777777" w:rsidR="00BD646C" w:rsidDel="00B31EA8" w:rsidRDefault="00E453CD" w:rsidP="00BD646C">
            <w:pPr>
              <w:rPr>
                <w:ins w:id="13073" w:author="AbbVie02no" w:date="2025-05-15T14:12:00Z"/>
                <w:del w:id="13074" w:author="AbbVie04no" w:date="2025-09-09T10:35:00Z" w16du:dateUtc="2025-09-09T08:35:00Z"/>
                <w:bCs/>
                <w:sz w:val="22"/>
                <w:szCs w:val="22"/>
                <w:lang w:val="hu-HU"/>
              </w:rPr>
            </w:pPr>
            <w:r w:rsidRPr="00BD646C">
              <w:rPr>
                <w:bCs/>
                <w:sz w:val="22"/>
                <w:szCs w:val="22"/>
                <w:lang w:val="hu-HU"/>
              </w:rPr>
              <w:t>Tel.:+36 1 455 8600</w:t>
            </w:r>
          </w:p>
          <w:p w14:paraId="40913ADC" w14:textId="77777777" w:rsidR="00A6493F" w:rsidRPr="00BD646C" w:rsidDel="00B31EA8" w:rsidRDefault="00A6493F" w:rsidP="00BD646C">
            <w:pPr>
              <w:rPr>
                <w:del w:id="13075" w:author="AbbVie04no" w:date="2025-09-09T10:35:00Z" w16du:dateUtc="2025-09-09T08:35:00Z"/>
                <w:bCs/>
                <w:sz w:val="22"/>
                <w:szCs w:val="22"/>
                <w:lang w:val="hu-HU"/>
              </w:rPr>
            </w:pPr>
          </w:p>
          <w:p w14:paraId="38B9412F" w14:textId="77777777" w:rsidR="00BD646C" w:rsidRPr="00BD646C" w:rsidRDefault="00BD646C" w:rsidP="00BD646C">
            <w:pPr>
              <w:rPr>
                <w:bCs/>
                <w:sz w:val="22"/>
                <w:szCs w:val="22"/>
                <w:lang w:val="hu-HU"/>
              </w:rPr>
            </w:pPr>
          </w:p>
        </w:tc>
      </w:tr>
      <w:tr w:rsidR="004644D4" w14:paraId="60D2B139" w14:textId="77777777" w:rsidTr="001F79B0">
        <w:trPr>
          <w:trHeight w:val="737"/>
        </w:trPr>
        <w:tc>
          <w:tcPr>
            <w:tcW w:w="4644" w:type="dxa"/>
            <w:gridSpan w:val="2"/>
          </w:tcPr>
          <w:p w14:paraId="2E0D82B2" w14:textId="77777777" w:rsidR="00A6493F" w:rsidRDefault="00A6493F" w:rsidP="00BD646C">
            <w:pPr>
              <w:rPr>
                <w:ins w:id="13076" w:author="AbbVie02no" w:date="2025-05-15T14:12:00Z"/>
                <w:b/>
                <w:bCs/>
                <w:sz w:val="22"/>
                <w:szCs w:val="22"/>
                <w:lang w:val="en-US"/>
              </w:rPr>
            </w:pPr>
          </w:p>
          <w:p w14:paraId="3073D98C" w14:textId="6D5341BB" w:rsidR="00BD646C" w:rsidRPr="00BD646C" w:rsidRDefault="00E453CD" w:rsidP="00BD646C">
            <w:pPr>
              <w:rPr>
                <w:b/>
                <w:bCs/>
                <w:sz w:val="22"/>
                <w:szCs w:val="22"/>
                <w:lang w:val="en-US"/>
              </w:rPr>
            </w:pPr>
            <w:r w:rsidRPr="00BD646C">
              <w:rPr>
                <w:b/>
                <w:bCs/>
                <w:sz w:val="22"/>
                <w:szCs w:val="22"/>
                <w:lang w:val="en-US"/>
              </w:rPr>
              <w:t>Danmark</w:t>
            </w:r>
          </w:p>
          <w:p w14:paraId="676D9577" w14:textId="77777777" w:rsidR="00BD646C" w:rsidRPr="00BD646C" w:rsidRDefault="00E453CD" w:rsidP="00BD646C">
            <w:pPr>
              <w:rPr>
                <w:bCs/>
                <w:sz w:val="22"/>
                <w:szCs w:val="22"/>
                <w:lang w:val="en-US"/>
              </w:rPr>
            </w:pPr>
            <w:r w:rsidRPr="00BD646C">
              <w:rPr>
                <w:bCs/>
                <w:sz w:val="22"/>
                <w:szCs w:val="22"/>
                <w:lang w:val="en-US"/>
              </w:rPr>
              <w:t>AbbVie A/S</w:t>
            </w:r>
          </w:p>
          <w:p w14:paraId="720BEC9D" w14:textId="57A9ADE5" w:rsidR="00BD646C" w:rsidRPr="00BD646C" w:rsidRDefault="00E453CD" w:rsidP="00BD646C">
            <w:pPr>
              <w:rPr>
                <w:bCs/>
                <w:sz w:val="22"/>
                <w:szCs w:val="22"/>
                <w:lang w:val="sk-SK"/>
              </w:rPr>
            </w:pPr>
            <w:r w:rsidRPr="00BD646C">
              <w:rPr>
                <w:bCs/>
                <w:sz w:val="22"/>
                <w:szCs w:val="22"/>
                <w:lang w:val="en-US"/>
              </w:rPr>
              <w:t>Tlf</w:t>
            </w:r>
            <w:ins w:id="13077" w:author="AbbVie02no" w:date="2025-05-15T14:25:00Z">
              <w:r w:rsidR="00600FCB">
                <w:rPr>
                  <w:bCs/>
                  <w:sz w:val="22"/>
                  <w:szCs w:val="22"/>
                  <w:lang w:val="en-US"/>
                </w:rPr>
                <w:t>.</w:t>
              </w:r>
            </w:ins>
            <w:r w:rsidRPr="00BD646C">
              <w:rPr>
                <w:bCs/>
                <w:sz w:val="22"/>
                <w:szCs w:val="22"/>
                <w:lang w:val="en-US"/>
              </w:rPr>
              <w:t>: +45 72 30-20-28</w:t>
            </w:r>
          </w:p>
        </w:tc>
        <w:tc>
          <w:tcPr>
            <w:tcW w:w="4678" w:type="dxa"/>
            <w:gridSpan w:val="2"/>
          </w:tcPr>
          <w:p w14:paraId="770675FB" w14:textId="77777777" w:rsidR="00A6493F" w:rsidRDefault="00A6493F" w:rsidP="00BD646C">
            <w:pPr>
              <w:rPr>
                <w:ins w:id="13078" w:author="AbbVie02no" w:date="2025-05-15T14:12:00Z"/>
                <w:b/>
                <w:bCs/>
                <w:sz w:val="22"/>
                <w:szCs w:val="22"/>
                <w:lang w:val="mt-MT"/>
              </w:rPr>
            </w:pPr>
          </w:p>
          <w:p w14:paraId="4E8142F0" w14:textId="7C918E21" w:rsidR="00BD646C" w:rsidRPr="00BD646C" w:rsidRDefault="00E453CD" w:rsidP="00BD646C">
            <w:pPr>
              <w:rPr>
                <w:b/>
                <w:bCs/>
                <w:sz w:val="22"/>
                <w:szCs w:val="22"/>
                <w:lang w:val="mt-MT"/>
              </w:rPr>
            </w:pPr>
            <w:r w:rsidRPr="00BD646C">
              <w:rPr>
                <w:b/>
                <w:bCs/>
                <w:sz w:val="22"/>
                <w:szCs w:val="22"/>
                <w:lang w:val="mt-MT"/>
              </w:rPr>
              <w:t>Malta</w:t>
            </w:r>
          </w:p>
          <w:p w14:paraId="4FF1CD6C" w14:textId="77777777" w:rsidR="00BD646C" w:rsidRPr="00BD646C" w:rsidRDefault="00E453CD" w:rsidP="00BD646C">
            <w:pPr>
              <w:rPr>
                <w:bCs/>
                <w:sz w:val="22"/>
                <w:szCs w:val="22"/>
                <w:lang w:val="sk-SK"/>
              </w:rPr>
            </w:pPr>
            <w:r w:rsidRPr="00BD646C">
              <w:rPr>
                <w:bCs/>
                <w:sz w:val="22"/>
                <w:szCs w:val="22"/>
                <w:lang w:val="sk-SK"/>
              </w:rPr>
              <w:t xml:space="preserve">V.J.Salomone Pharma Limited </w:t>
            </w:r>
          </w:p>
          <w:p w14:paraId="0A629914" w14:textId="79144F6B" w:rsidR="00BD646C" w:rsidRDefault="00E453CD" w:rsidP="00BD646C">
            <w:pPr>
              <w:rPr>
                <w:ins w:id="13079" w:author="AbbVie02no" w:date="2025-05-15T14:13:00Z"/>
                <w:bCs/>
                <w:sz w:val="22"/>
                <w:szCs w:val="22"/>
                <w:lang w:val="en-GB"/>
              </w:rPr>
            </w:pPr>
            <w:r w:rsidRPr="00BD646C">
              <w:rPr>
                <w:bCs/>
                <w:sz w:val="22"/>
                <w:szCs w:val="22"/>
                <w:lang w:val="sk-SK"/>
              </w:rPr>
              <w:t xml:space="preserve">Tel: </w:t>
            </w:r>
            <w:r w:rsidR="00BB66E5" w:rsidRPr="00BB66E5">
              <w:rPr>
                <w:bCs/>
                <w:sz w:val="22"/>
                <w:szCs w:val="22"/>
                <w:lang w:val="en-GB"/>
              </w:rPr>
              <w:t>+356 21220174</w:t>
            </w:r>
          </w:p>
          <w:p w14:paraId="509089D5" w14:textId="77777777" w:rsidR="00A6493F" w:rsidRPr="00BD646C" w:rsidDel="00B31EA8" w:rsidRDefault="00A6493F" w:rsidP="00BD646C">
            <w:pPr>
              <w:rPr>
                <w:del w:id="13080" w:author="AbbVie04no" w:date="2025-09-09T10:35:00Z" w16du:dateUtc="2025-09-09T08:35:00Z"/>
                <w:bCs/>
                <w:sz w:val="22"/>
                <w:szCs w:val="22"/>
                <w:lang w:val="sk-SK"/>
              </w:rPr>
            </w:pPr>
          </w:p>
          <w:p w14:paraId="03975CE0" w14:textId="77777777" w:rsidR="00BD646C" w:rsidRPr="00BD646C" w:rsidRDefault="00BD646C" w:rsidP="00BD646C">
            <w:pPr>
              <w:rPr>
                <w:bCs/>
                <w:sz w:val="22"/>
                <w:szCs w:val="22"/>
                <w:lang w:val="sk-SK"/>
              </w:rPr>
            </w:pPr>
          </w:p>
        </w:tc>
      </w:tr>
      <w:tr w:rsidR="004644D4" w14:paraId="08291D80" w14:textId="77777777" w:rsidTr="001F79B0">
        <w:tc>
          <w:tcPr>
            <w:tcW w:w="4644" w:type="dxa"/>
            <w:gridSpan w:val="2"/>
          </w:tcPr>
          <w:p w14:paraId="0DE5CC39" w14:textId="77777777" w:rsidR="00BD646C" w:rsidRPr="00BD646C" w:rsidRDefault="00E453CD" w:rsidP="00BD646C">
            <w:pPr>
              <w:rPr>
                <w:b/>
                <w:bCs/>
                <w:sz w:val="22"/>
                <w:szCs w:val="22"/>
                <w:lang w:val="de-DE"/>
              </w:rPr>
            </w:pPr>
            <w:r w:rsidRPr="00BD646C">
              <w:rPr>
                <w:b/>
                <w:bCs/>
                <w:sz w:val="22"/>
                <w:szCs w:val="22"/>
                <w:lang w:val="de-DE"/>
              </w:rPr>
              <w:t>Deutschland</w:t>
            </w:r>
          </w:p>
          <w:p w14:paraId="43D86B7E" w14:textId="77777777" w:rsidR="00BD646C" w:rsidRPr="00BD646C" w:rsidRDefault="00E453CD" w:rsidP="00BD646C">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60A090DF" w14:textId="77777777" w:rsidR="00BD646C" w:rsidRPr="00BD646C" w:rsidRDefault="00E453CD" w:rsidP="00BD646C">
            <w:pPr>
              <w:rPr>
                <w:sz w:val="22"/>
                <w:szCs w:val="22"/>
                <w:lang w:val="de-DE"/>
              </w:rPr>
            </w:pPr>
            <w:r w:rsidRPr="00BD646C">
              <w:rPr>
                <w:sz w:val="22"/>
                <w:szCs w:val="22"/>
                <w:lang w:val="de-DE"/>
              </w:rPr>
              <w:t>Tel: 00800 222843 33 (gebührenfrei)</w:t>
            </w:r>
          </w:p>
          <w:p w14:paraId="0AE29B86" w14:textId="77777777" w:rsidR="00BD646C" w:rsidRPr="00BD646C" w:rsidDel="00B31EA8" w:rsidRDefault="00E453CD" w:rsidP="00BD646C">
            <w:pPr>
              <w:rPr>
                <w:del w:id="13081" w:author="AbbVie04no" w:date="2025-09-09T10:35:00Z" w16du:dateUtc="2025-09-09T08:35:00Z"/>
                <w:sz w:val="22"/>
                <w:szCs w:val="22"/>
                <w:lang w:val="de-DE"/>
              </w:rPr>
            </w:pPr>
            <w:r w:rsidRPr="00BD646C">
              <w:rPr>
                <w:sz w:val="22"/>
                <w:szCs w:val="22"/>
                <w:lang w:val="de-DE"/>
              </w:rPr>
              <w:t>Tel: +49 (0) 611 / 1720-0</w:t>
            </w:r>
          </w:p>
          <w:p w14:paraId="3275155C" w14:textId="77777777" w:rsidR="00BD646C" w:rsidRPr="00BD646C" w:rsidRDefault="00BD646C" w:rsidP="00BD646C">
            <w:pPr>
              <w:rPr>
                <w:sz w:val="22"/>
                <w:szCs w:val="22"/>
                <w:lang w:val="de-DE"/>
              </w:rPr>
            </w:pPr>
          </w:p>
        </w:tc>
        <w:tc>
          <w:tcPr>
            <w:tcW w:w="4678" w:type="dxa"/>
            <w:gridSpan w:val="2"/>
          </w:tcPr>
          <w:p w14:paraId="50C12E4E" w14:textId="77777777" w:rsidR="00BD646C" w:rsidRPr="00BD646C" w:rsidRDefault="00E453CD" w:rsidP="00BD646C">
            <w:pPr>
              <w:rPr>
                <w:b/>
                <w:bCs/>
                <w:sz w:val="22"/>
                <w:szCs w:val="22"/>
                <w:lang w:val="nl-NL"/>
              </w:rPr>
            </w:pPr>
            <w:r w:rsidRPr="00BD646C">
              <w:rPr>
                <w:b/>
                <w:bCs/>
                <w:sz w:val="22"/>
                <w:szCs w:val="22"/>
                <w:lang w:val="nl-NL"/>
              </w:rPr>
              <w:t>Nederland</w:t>
            </w:r>
          </w:p>
          <w:p w14:paraId="1E1A55E8" w14:textId="77777777" w:rsidR="00BD646C" w:rsidRPr="00BD646C" w:rsidRDefault="00E453CD" w:rsidP="00BD646C">
            <w:pPr>
              <w:rPr>
                <w:bCs/>
                <w:sz w:val="22"/>
                <w:szCs w:val="22"/>
                <w:lang w:val="de-DE"/>
              </w:rPr>
            </w:pPr>
            <w:r w:rsidRPr="00BD646C">
              <w:rPr>
                <w:bCs/>
                <w:sz w:val="22"/>
                <w:szCs w:val="22"/>
                <w:lang w:val="de-DE"/>
              </w:rPr>
              <w:t>AbbVie B.V.</w:t>
            </w:r>
          </w:p>
          <w:p w14:paraId="735E6A83" w14:textId="77777777" w:rsidR="00BD646C" w:rsidRPr="00BD646C" w:rsidRDefault="00E453CD" w:rsidP="00BD646C">
            <w:pPr>
              <w:rPr>
                <w:bCs/>
                <w:sz w:val="22"/>
                <w:szCs w:val="22"/>
                <w:lang w:val="de-DE"/>
              </w:rPr>
            </w:pPr>
            <w:r w:rsidRPr="00BD646C">
              <w:rPr>
                <w:bCs/>
                <w:sz w:val="22"/>
                <w:szCs w:val="22"/>
                <w:lang w:val="de-DE"/>
              </w:rPr>
              <w:t>Tel: +31 (0)88 322 2843</w:t>
            </w:r>
          </w:p>
        </w:tc>
      </w:tr>
      <w:tr w:rsidR="004644D4" w14:paraId="387BE348" w14:textId="77777777" w:rsidTr="001F79B0">
        <w:tc>
          <w:tcPr>
            <w:tcW w:w="4644" w:type="dxa"/>
            <w:gridSpan w:val="2"/>
          </w:tcPr>
          <w:p w14:paraId="713DFC33" w14:textId="77777777" w:rsidR="00A6493F" w:rsidRDefault="00A6493F" w:rsidP="00BD646C">
            <w:pPr>
              <w:rPr>
                <w:ins w:id="13082" w:author="AbbVie02no" w:date="2025-05-15T14:14:00Z"/>
                <w:b/>
                <w:bCs/>
                <w:sz w:val="22"/>
                <w:szCs w:val="22"/>
                <w:lang w:val="et-EE"/>
              </w:rPr>
            </w:pPr>
          </w:p>
          <w:p w14:paraId="2C5D7F5C" w14:textId="089257C6" w:rsidR="00BD646C" w:rsidRPr="00BD646C" w:rsidRDefault="00E453CD" w:rsidP="00BD646C">
            <w:pPr>
              <w:rPr>
                <w:b/>
                <w:bCs/>
                <w:sz w:val="22"/>
                <w:szCs w:val="22"/>
                <w:lang w:val="et-EE"/>
              </w:rPr>
            </w:pPr>
            <w:r w:rsidRPr="00BD646C">
              <w:rPr>
                <w:b/>
                <w:bCs/>
                <w:sz w:val="22"/>
                <w:szCs w:val="22"/>
                <w:lang w:val="et-EE"/>
              </w:rPr>
              <w:t>Eesti</w:t>
            </w:r>
          </w:p>
          <w:p w14:paraId="19EBA751" w14:textId="77777777" w:rsidR="00BD646C" w:rsidRPr="00BD646C" w:rsidRDefault="00E453CD" w:rsidP="00BD646C">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048200FA" w14:textId="77777777" w:rsidR="00BD646C" w:rsidDel="00D66692" w:rsidRDefault="00E453CD" w:rsidP="00BD646C">
            <w:pPr>
              <w:rPr>
                <w:ins w:id="13083" w:author="AbbVie02no" w:date="2025-05-15T14:14:00Z"/>
                <w:del w:id="13084" w:author="AbbVie04no" w:date="2025-09-09T10:36:00Z" w16du:dateUtc="2025-09-09T08:36:00Z"/>
                <w:bCs/>
                <w:sz w:val="22"/>
                <w:szCs w:val="22"/>
                <w:lang w:val="et-EE"/>
              </w:rPr>
            </w:pPr>
            <w:r w:rsidRPr="00BD646C">
              <w:rPr>
                <w:bCs/>
                <w:sz w:val="22"/>
                <w:szCs w:val="22"/>
                <w:lang w:val="et-EE"/>
              </w:rPr>
              <w:t>Tel: +372 623 1011</w:t>
            </w:r>
          </w:p>
          <w:p w14:paraId="007E9F6D" w14:textId="77777777" w:rsidR="00A6493F" w:rsidRPr="00BD646C" w:rsidRDefault="00A6493F" w:rsidP="00BD646C">
            <w:pPr>
              <w:rPr>
                <w:bCs/>
                <w:sz w:val="22"/>
                <w:szCs w:val="22"/>
                <w:lang w:val="lv-LV"/>
              </w:rPr>
            </w:pPr>
          </w:p>
        </w:tc>
        <w:tc>
          <w:tcPr>
            <w:tcW w:w="4678" w:type="dxa"/>
            <w:gridSpan w:val="2"/>
          </w:tcPr>
          <w:p w14:paraId="14B6D9A3" w14:textId="77777777" w:rsidR="00BD646C" w:rsidRPr="00BD646C" w:rsidRDefault="00E453CD" w:rsidP="00BD646C">
            <w:pPr>
              <w:rPr>
                <w:b/>
                <w:bCs/>
                <w:sz w:val="22"/>
                <w:szCs w:val="22"/>
              </w:rPr>
            </w:pPr>
            <w:r w:rsidRPr="00BD646C">
              <w:rPr>
                <w:b/>
                <w:bCs/>
                <w:sz w:val="22"/>
                <w:szCs w:val="22"/>
              </w:rPr>
              <w:t>Norge</w:t>
            </w:r>
          </w:p>
          <w:p w14:paraId="45C80F2B" w14:textId="77777777" w:rsidR="00BD646C" w:rsidRPr="00BD646C" w:rsidRDefault="00E453CD" w:rsidP="00BD646C">
            <w:pPr>
              <w:rPr>
                <w:bCs/>
                <w:sz w:val="22"/>
                <w:szCs w:val="22"/>
                <w:lang w:val="sk-SK"/>
              </w:rPr>
            </w:pPr>
            <w:r w:rsidRPr="00BD646C">
              <w:rPr>
                <w:bCs/>
                <w:sz w:val="22"/>
                <w:szCs w:val="22"/>
                <w:lang w:val="sk-SK"/>
              </w:rPr>
              <w:t>AbbVie AS</w:t>
            </w:r>
          </w:p>
          <w:p w14:paraId="26FAB881" w14:textId="77777777" w:rsidR="00BD646C" w:rsidRPr="00BD646C" w:rsidRDefault="00E453CD" w:rsidP="00BD646C">
            <w:pPr>
              <w:rPr>
                <w:bCs/>
                <w:sz w:val="22"/>
                <w:szCs w:val="22"/>
                <w:lang w:val="sk-SK"/>
              </w:rPr>
            </w:pPr>
            <w:r w:rsidRPr="00BD646C">
              <w:rPr>
                <w:bCs/>
                <w:sz w:val="22"/>
                <w:szCs w:val="22"/>
                <w:lang w:val="sk-SK"/>
              </w:rPr>
              <w:t>Tlf: +47 67 81 80 00</w:t>
            </w:r>
          </w:p>
          <w:p w14:paraId="7B8500C8" w14:textId="77777777" w:rsidR="00BD646C" w:rsidRPr="00BD646C" w:rsidRDefault="00BD646C" w:rsidP="00BD646C">
            <w:pPr>
              <w:rPr>
                <w:bCs/>
                <w:sz w:val="22"/>
                <w:szCs w:val="22"/>
                <w:lang w:val="sk-SK"/>
              </w:rPr>
            </w:pPr>
          </w:p>
        </w:tc>
      </w:tr>
      <w:tr w:rsidR="004644D4" w14:paraId="19050DEF" w14:textId="77777777" w:rsidTr="001F79B0">
        <w:trPr>
          <w:trHeight w:val="794"/>
        </w:trPr>
        <w:tc>
          <w:tcPr>
            <w:tcW w:w="4644" w:type="dxa"/>
            <w:gridSpan w:val="2"/>
          </w:tcPr>
          <w:p w14:paraId="1D1621D5" w14:textId="77777777" w:rsidR="00A6493F" w:rsidRDefault="00A6493F" w:rsidP="00BD646C">
            <w:pPr>
              <w:rPr>
                <w:ins w:id="13085" w:author="AbbVie02no" w:date="2025-05-15T14:14:00Z"/>
                <w:b/>
                <w:bCs/>
                <w:sz w:val="22"/>
                <w:szCs w:val="22"/>
              </w:rPr>
            </w:pPr>
          </w:p>
          <w:p w14:paraId="03CB06EB" w14:textId="084368BF" w:rsidR="00BD646C" w:rsidRPr="00BD646C" w:rsidRDefault="00E453CD" w:rsidP="00BD646C">
            <w:pPr>
              <w:rPr>
                <w:b/>
                <w:bCs/>
                <w:sz w:val="22"/>
                <w:szCs w:val="22"/>
                <w:lang w:val="el-GR"/>
              </w:rPr>
            </w:pPr>
            <w:r w:rsidRPr="00BD646C">
              <w:rPr>
                <w:b/>
                <w:bCs/>
                <w:sz w:val="22"/>
                <w:szCs w:val="22"/>
                <w:lang w:val="el-GR"/>
              </w:rPr>
              <w:t>Ελλάδα</w:t>
            </w:r>
          </w:p>
          <w:p w14:paraId="1ED51CF8" w14:textId="77777777" w:rsidR="00BD646C" w:rsidRPr="00BD646C" w:rsidRDefault="00E453CD" w:rsidP="00BD646C">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70C52763" w14:textId="77777777" w:rsidR="00BD646C" w:rsidRPr="00BD646C" w:rsidRDefault="00E453CD" w:rsidP="00BD646C">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5685043D" w14:textId="77777777" w:rsidR="00BD646C" w:rsidRPr="00BD646C" w:rsidRDefault="00E453CD" w:rsidP="00BD646C">
            <w:pPr>
              <w:rPr>
                <w:b/>
                <w:bCs/>
                <w:sz w:val="22"/>
                <w:szCs w:val="22"/>
                <w:lang w:val="de-DE"/>
              </w:rPr>
            </w:pPr>
            <w:r w:rsidRPr="00BD646C">
              <w:rPr>
                <w:b/>
                <w:bCs/>
                <w:sz w:val="22"/>
                <w:szCs w:val="22"/>
                <w:lang w:val="de-DE"/>
              </w:rPr>
              <w:t>Österreich</w:t>
            </w:r>
          </w:p>
          <w:p w14:paraId="48007AFE" w14:textId="77777777" w:rsidR="00BD646C" w:rsidRPr="00BD646C" w:rsidRDefault="00E453CD" w:rsidP="00BD646C">
            <w:pPr>
              <w:rPr>
                <w:bCs/>
                <w:sz w:val="22"/>
                <w:szCs w:val="22"/>
                <w:lang w:val="de-DE"/>
              </w:rPr>
            </w:pPr>
            <w:r w:rsidRPr="00BD646C">
              <w:rPr>
                <w:bCs/>
                <w:sz w:val="22"/>
                <w:szCs w:val="22"/>
                <w:lang w:val="de-DE"/>
              </w:rPr>
              <w:t xml:space="preserve">AbbVie GmbH </w:t>
            </w:r>
          </w:p>
          <w:p w14:paraId="557B2C27" w14:textId="77777777" w:rsidR="00BD646C" w:rsidRPr="00BD646C" w:rsidRDefault="00E453CD" w:rsidP="00BD646C">
            <w:pPr>
              <w:rPr>
                <w:bCs/>
                <w:sz w:val="22"/>
                <w:szCs w:val="22"/>
                <w:lang w:val="de-DE"/>
              </w:rPr>
            </w:pPr>
            <w:r w:rsidRPr="00BD646C">
              <w:rPr>
                <w:bCs/>
                <w:sz w:val="22"/>
                <w:szCs w:val="22"/>
                <w:lang w:val="de-DE"/>
              </w:rPr>
              <w:t>Tel: +43 1 20589-0</w:t>
            </w:r>
          </w:p>
          <w:p w14:paraId="7159B1C0" w14:textId="77777777" w:rsidR="00BD646C" w:rsidRPr="00BD646C" w:rsidRDefault="00BD646C" w:rsidP="00BD646C">
            <w:pPr>
              <w:rPr>
                <w:bCs/>
                <w:sz w:val="22"/>
                <w:szCs w:val="22"/>
                <w:lang w:val="de-DE"/>
              </w:rPr>
            </w:pPr>
          </w:p>
        </w:tc>
      </w:tr>
      <w:tr w:rsidR="004644D4" w14:paraId="4C229D1B" w14:textId="77777777" w:rsidTr="001F79B0">
        <w:trPr>
          <w:gridBefore w:val="1"/>
          <w:wBefore w:w="34" w:type="dxa"/>
        </w:trPr>
        <w:tc>
          <w:tcPr>
            <w:tcW w:w="4644" w:type="dxa"/>
            <w:gridSpan w:val="2"/>
          </w:tcPr>
          <w:p w14:paraId="43965544" w14:textId="77777777" w:rsidR="00A6493F" w:rsidRDefault="00A6493F" w:rsidP="00BD646C">
            <w:pPr>
              <w:rPr>
                <w:ins w:id="13086" w:author="AbbVie02no" w:date="2025-05-15T14:14:00Z"/>
                <w:b/>
                <w:bCs/>
                <w:sz w:val="22"/>
                <w:szCs w:val="22"/>
                <w:lang w:val="es-ES"/>
              </w:rPr>
            </w:pPr>
          </w:p>
          <w:p w14:paraId="71F454F9" w14:textId="580B4657" w:rsidR="00BD646C" w:rsidRPr="00BD646C" w:rsidRDefault="00E453CD" w:rsidP="00BD646C">
            <w:pPr>
              <w:rPr>
                <w:b/>
                <w:bCs/>
                <w:sz w:val="22"/>
                <w:szCs w:val="22"/>
                <w:lang w:val="es-ES"/>
              </w:rPr>
            </w:pPr>
            <w:r w:rsidRPr="00BD646C">
              <w:rPr>
                <w:b/>
                <w:bCs/>
                <w:sz w:val="22"/>
                <w:szCs w:val="22"/>
                <w:lang w:val="es-ES"/>
              </w:rPr>
              <w:t>España</w:t>
            </w:r>
          </w:p>
          <w:p w14:paraId="456CDBC7" w14:textId="77777777" w:rsidR="00BD646C" w:rsidRPr="00BD646C" w:rsidRDefault="00E453CD" w:rsidP="00BD646C">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24DEA873" w14:textId="77777777" w:rsidR="00BD646C" w:rsidDel="00D66692" w:rsidRDefault="00E453CD" w:rsidP="00BD646C">
            <w:pPr>
              <w:rPr>
                <w:ins w:id="13087" w:author="AbbVie02no" w:date="2025-05-15T14:15:00Z"/>
                <w:del w:id="13088" w:author="AbbVie04no" w:date="2025-09-09T10:36:00Z" w16du:dateUtc="2025-09-09T08:36:00Z"/>
                <w:bCs/>
                <w:sz w:val="22"/>
                <w:szCs w:val="22"/>
                <w:lang w:val="pt-PT"/>
              </w:rPr>
            </w:pPr>
            <w:r w:rsidRPr="00BD646C">
              <w:rPr>
                <w:bCs/>
                <w:sz w:val="22"/>
                <w:szCs w:val="22"/>
                <w:lang w:val="pt-PT"/>
              </w:rPr>
              <w:t>Tel: +34 91 384 09 10</w:t>
            </w:r>
          </w:p>
          <w:p w14:paraId="7C383CED" w14:textId="77777777" w:rsidR="00A6493F" w:rsidRPr="00BD646C" w:rsidRDefault="00A6493F" w:rsidP="00BD646C">
            <w:pPr>
              <w:rPr>
                <w:bCs/>
                <w:sz w:val="22"/>
                <w:szCs w:val="22"/>
                <w:lang w:val="pl-PL"/>
              </w:rPr>
            </w:pPr>
          </w:p>
        </w:tc>
        <w:tc>
          <w:tcPr>
            <w:tcW w:w="4678" w:type="dxa"/>
          </w:tcPr>
          <w:p w14:paraId="148655EC" w14:textId="77777777" w:rsidR="00BD646C" w:rsidRPr="00BD646C" w:rsidRDefault="00E453CD" w:rsidP="00BD646C">
            <w:pPr>
              <w:rPr>
                <w:b/>
                <w:bCs/>
                <w:iCs/>
                <w:sz w:val="22"/>
                <w:szCs w:val="22"/>
                <w:lang w:val="pl-PL"/>
              </w:rPr>
            </w:pPr>
            <w:r w:rsidRPr="00BD646C">
              <w:rPr>
                <w:b/>
                <w:bCs/>
                <w:iCs/>
                <w:sz w:val="22"/>
                <w:szCs w:val="22"/>
                <w:lang w:val="pl-PL"/>
              </w:rPr>
              <w:t>Polska</w:t>
            </w:r>
          </w:p>
          <w:p w14:paraId="009B0219" w14:textId="77777777" w:rsidR="00BD646C" w:rsidRPr="00BD646C" w:rsidRDefault="00E453CD" w:rsidP="00BD646C">
            <w:pPr>
              <w:rPr>
                <w:bCs/>
                <w:sz w:val="22"/>
                <w:szCs w:val="22"/>
                <w:lang w:val="pl-PL"/>
              </w:rPr>
            </w:pPr>
            <w:r w:rsidRPr="00BD646C">
              <w:rPr>
                <w:bCs/>
                <w:sz w:val="22"/>
                <w:szCs w:val="22"/>
                <w:lang w:val="pl-PL"/>
              </w:rPr>
              <w:t>AbbVie Sp. z o.o.</w:t>
            </w:r>
          </w:p>
          <w:p w14:paraId="55AC37DF" w14:textId="77777777" w:rsidR="00BD646C" w:rsidRPr="00BD646C" w:rsidRDefault="00E453CD" w:rsidP="00BD646C">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4AE84818" w14:textId="77777777" w:rsidR="00BD646C" w:rsidRPr="00BD646C" w:rsidRDefault="00BD646C" w:rsidP="00BD646C">
            <w:pPr>
              <w:rPr>
                <w:bCs/>
                <w:sz w:val="22"/>
                <w:szCs w:val="22"/>
                <w:lang w:val="pl-PL"/>
              </w:rPr>
            </w:pPr>
          </w:p>
        </w:tc>
      </w:tr>
      <w:tr w:rsidR="004644D4" w14:paraId="4B44257C" w14:textId="77777777" w:rsidTr="001F79B0">
        <w:trPr>
          <w:trHeight w:val="734"/>
        </w:trPr>
        <w:tc>
          <w:tcPr>
            <w:tcW w:w="4678" w:type="dxa"/>
            <w:gridSpan w:val="3"/>
          </w:tcPr>
          <w:p w14:paraId="22BE729E" w14:textId="77777777" w:rsidR="00A6493F" w:rsidRDefault="00A6493F" w:rsidP="00BD646C">
            <w:pPr>
              <w:rPr>
                <w:ins w:id="13089" w:author="AbbVie02no" w:date="2025-05-15T14:15:00Z"/>
                <w:b/>
                <w:bCs/>
                <w:sz w:val="22"/>
                <w:szCs w:val="22"/>
                <w:lang w:val="fr-FR"/>
              </w:rPr>
            </w:pPr>
          </w:p>
          <w:p w14:paraId="66F1ED39" w14:textId="42E33D96" w:rsidR="00BD646C" w:rsidRPr="00BD646C" w:rsidRDefault="00E453CD" w:rsidP="00BD646C">
            <w:pPr>
              <w:rPr>
                <w:b/>
                <w:bCs/>
                <w:sz w:val="22"/>
                <w:szCs w:val="22"/>
                <w:lang w:val="fr-FR"/>
              </w:rPr>
            </w:pPr>
            <w:r w:rsidRPr="00BD646C">
              <w:rPr>
                <w:b/>
                <w:bCs/>
                <w:sz w:val="22"/>
                <w:szCs w:val="22"/>
                <w:lang w:val="fr-FR"/>
              </w:rPr>
              <w:t>France</w:t>
            </w:r>
          </w:p>
          <w:p w14:paraId="6A268A6E" w14:textId="77777777" w:rsidR="00BD646C" w:rsidRPr="00BD646C" w:rsidRDefault="00E453CD" w:rsidP="00BD646C">
            <w:pPr>
              <w:rPr>
                <w:bCs/>
                <w:sz w:val="22"/>
                <w:szCs w:val="22"/>
                <w:lang w:val="fr-FR"/>
              </w:rPr>
            </w:pPr>
            <w:r w:rsidRPr="00BD646C">
              <w:rPr>
                <w:bCs/>
                <w:sz w:val="22"/>
                <w:szCs w:val="22"/>
                <w:lang w:val="fr-FR"/>
              </w:rPr>
              <w:t>AbbVie</w:t>
            </w:r>
          </w:p>
          <w:p w14:paraId="126DE71A" w14:textId="77777777" w:rsidR="00BD646C" w:rsidDel="00D66692" w:rsidRDefault="00E453CD" w:rsidP="00BD646C">
            <w:pPr>
              <w:rPr>
                <w:ins w:id="13090" w:author="AbbVie02no" w:date="2025-05-15T14:15:00Z"/>
                <w:del w:id="13091" w:author="AbbVie04no" w:date="2025-09-09T10:36:00Z" w16du:dateUtc="2025-09-09T08:36:00Z"/>
                <w:bCs/>
                <w:sz w:val="22"/>
                <w:szCs w:val="22"/>
                <w:lang w:val="fr-FR"/>
              </w:rPr>
            </w:pPr>
            <w:r w:rsidRPr="00BD646C">
              <w:rPr>
                <w:bCs/>
                <w:sz w:val="22"/>
                <w:szCs w:val="22"/>
                <w:lang w:val="fr-FR"/>
              </w:rPr>
              <w:t>Tél: +33 (0) 1 45 60 13 00</w:t>
            </w:r>
          </w:p>
          <w:p w14:paraId="63999F49" w14:textId="77777777" w:rsidR="00A6493F" w:rsidRPr="00BD646C" w:rsidRDefault="00A6493F" w:rsidP="00BD646C">
            <w:pPr>
              <w:rPr>
                <w:bCs/>
                <w:sz w:val="22"/>
                <w:szCs w:val="22"/>
                <w:lang w:val="fr-FR"/>
              </w:rPr>
            </w:pPr>
          </w:p>
        </w:tc>
        <w:tc>
          <w:tcPr>
            <w:tcW w:w="4678" w:type="dxa"/>
          </w:tcPr>
          <w:p w14:paraId="1780A0FE" w14:textId="77777777" w:rsidR="00BD646C" w:rsidRPr="00BD646C" w:rsidRDefault="00E453CD" w:rsidP="00BD646C">
            <w:pPr>
              <w:rPr>
                <w:b/>
                <w:bCs/>
                <w:sz w:val="22"/>
                <w:szCs w:val="22"/>
                <w:lang w:val="pt-PT"/>
              </w:rPr>
            </w:pPr>
            <w:r w:rsidRPr="00BD646C">
              <w:rPr>
                <w:b/>
                <w:bCs/>
                <w:sz w:val="22"/>
                <w:szCs w:val="22"/>
                <w:lang w:val="pt-PT"/>
              </w:rPr>
              <w:t>Portugal</w:t>
            </w:r>
          </w:p>
          <w:p w14:paraId="3CACF236" w14:textId="77777777" w:rsidR="00BD646C" w:rsidRPr="00BD646C" w:rsidRDefault="00E453CD" w:rsidP="00BD646C">
            <w:pPr>
              <w:rPr>
                <w:bCs/>
                <w:sz w:val="22"/>
                <w:szCs w:val="22"/>
                <w:lang w:val="fr-FR"/>
              </w:rPr>
            </w:pPr>
            <w:r w:rsidRPr="00BD646C">
              <w:rPr>
                <w:bCs/>
                <w:sz w:val="22"/>
                <w:szCs w:val="22"/>
                <w:lang w:val="fr-FR"/>
              </w:rPr>
              <w:t xml:space="preserve">AbbVie, Lda. </w:t>
            </w:r>
          </w:p>
          <w:p w14:paraId="51D4D576" w14:textId="77777777" w:rsidR="00BD646C" w:rsidRPr="00BD646C" w:rsidRDefault="00E453CD" w:rsidP="00BD646C">
            <w:pPr>
              <w:rPr>
                <w:sz w:val="22"/>
                <w:szCs w:val="22"/>
                <w:lang w:val="fr-FR"/>
              </w:rPr>
            </w:pPr>
            <w:r w:rsidRPr="00BD646C">
              <w:rPr>
                <w:sz w:val="22"/>
                <w:szCs w:val="22"/>
                <w:lang w:val="fr-FR"/>
              </w:rPr>
              <w:t>Tel: +351 (0)21 1908400</w:t>
            </w:r>
          </w:p>
          <w:p w14:paraId="6D0DF385" w14:textId="77777777" w:rsidR="00BD646C" w:rsidRPr="00BD646C" w:rsidRDefault="00BD646C" w:rsidP="00BD646C">
            <w:pPr>
              <w:rPr>
                <w:sz w:val="22"/>
                <w:szCs w:val="22"/>
                <w:lang w:val="fr-FR"/>
              </w:rPr>
            </w:pPr>
          </w:p>
        </w:tc>
      </w:tr>
      <w:tr w:rsidR="004644D4" w14:paraId="74BD3941" w14:textId="77777777" w:rsidTr="001F79B0">
        <w:trPr>
          <w:gridBefore w:val="1"/>
          <w:wBefore w:w="34" w:type="dxa"/>
        </w:trPr>
        <w:tc>
          <w:tcPr>
            <w:tcW w:w="4644" w:type="dxa"/>
            <w:gridSpan w:val="2"/>
          </w:tcPr>
          <w:p w14:paraId="1DC9668D" w14:textId="77777777" w:rsidR="00A6493F" w:rsidRDefault="00A6493F" w:rsidP="00BD646C">
            <w:pPr>
              <w:rPr>
                <w:ins w:id="13092" w:author="AbbVie02no" w:date="2025-05-15T14:15:00Z"/>
                <w:b/>
                <w:bCs/>
                <w:sz w:val="22"/>
                <w:szCs w:val="22"/>
              </w:rPr>
            </w:pPr>
          </w:p>
          <w:p w14:paraId="105EDCBE" w14:textId="3AA66DA7" w:rsidR="00BD646C" w:rsidRPr="003979AA" w:rsidRDefault="00E453CD" w:rsidP="00BD646C">
            <w:pPr>
              <w:rPr>
                <w:sz w:val="22"/>
                <w:szCs w:val="22"/>
              </w:rPr>
            </w:pPr>
            <w:r w:rsidRPr="003979AA">
              <w:rPr>
                <w:b/>
                <w:bCs/>
                <w:sz w:val="22"/>
                <w:szCs w:val="22"/>
              </w:rPr>
              <w:t xml:space="preserve">Hrvatska </w:t>
            </w:r>
          </w:p>
          <w:p w14:paraId="22471E92" w14:textId="77777777" w:rsidR="00BD646C" w:rsidRPr="00BD646C" w:rsidRDefault="00E453CD" w:rsidP="00BD646C">
            <w:pPr>
              <w:rPr>
                <w:sz w:val="22"/>
                <w:szCs w:val="22"/>
                <w:lang w:val="hr-HR"/>
              </w:rPr>
            </w:pPr>
            <w:r w:rsidRPr="00BD646C">
              <w:rPr>
                <w:sz w:val="22"/>
                <w:szCs w:val="22"/>
                <w:lang w:val="hr-HR"/>
              </w:rPr>
              <w:t>AbbVie d.o.o.</w:t>
            </w:r>
          </w:p>
          <w:p w14:paraId="4F875145" w14:textId="77777777" w:rsidR="00BD646C" w:rsidDel="00D66692" w:rsidRDefault="00E453CD" w:rsidP="00BD646C">
            <w:pPr>
              <w:rPr>
                <w:ins w:id="13093" w:author="AbbVie02no" w:date="2025-05-15T14:15:00Z"/>
                <w:del w:id="13094" w:author="AbbVie04no" w:date="2025-09-09T10:36:00Z" w16du:dateUtc="2025-09-09T08:36:00Z"/>
                <w:sz w:val="22"/>
                <w:szCs w:val="22"/>
                <w:lang w:val="en-US"/>
              </w:rPr>
            </w:pPr>
            <w:r w:rsidRPr="00BD646C">
              <w:rPr>
                <w:sz w:val="22"/>
                <w:szCs w:val="22"/>
                <w:lang w:val="hr-HR"/>
              </w:rPr>
              <w:t xml:space="preserve">Tel + 385 (0)1 </w:t>
            </w:r>
            <w:r w:rsidRPr="00BD646C">
              <w:rPr>
                <w:sz w:val="22"/>
                <w:szCs w:val="22"/>
                <w:lang w:val="en-US"/>
              </w:rPr>
              <w:t>5625 501</w:t>
            </w:r>
          </w:p>
          <w:p w14:paraId="1D6C8DB3" w14:textId="77777777" w:rsidR="00A6493F" w:rsidRPr="00BD646C" w:rsidRDefault="00A6493F" w:rsidP="00BD646C">
            <w:pPr>
              <w:rPr>
                <w:bCs/>
                <w:sz w:val="22"/>
                <w:szCs w:val="22"/>
                <w:lang w:val="it-IT"/>
              </w:rPr>
            </w:pPr>
          </w:p>
        </w:tc>
        <w:tc>
          <w:tcPr>
            <w:tcW w:w="4678" w:type="dxa"/>
          </w:tcPr>
          <w:p w14:paraId="6884CA84" w14:textId="77777777" w:rsidR="00BD646C" w:rsidRPr="00BD646C" w:rsidRDefault="00E453CD" w:rsidP="00BD646C">
            <w:pPr>
              <w:rPr>
                <w:b/>
                <w:bCs/>
                <w:sz w:val="22"/>
                <w:szCs w:val="22"/>
                <w:lang w:val="it-IT"/>
              </w:rPr>
            </w:pPr>
            <w:r w:rsidRPr="00BD646C">
              <w:rPr>
                <w:b/>
                <w:bCs/>
                <w:sz w:val="22"/>
                <w:szCs w:val="22"/>
                <w:lang w:val="it-IT"/>
              </w:rPr>
              <w:t>România</w:t>
            </w:r>
          </w:p>
          <w:p w14:paraId="495A1686" w14:textId="77777777" w:rsidR="00BD646C" w:rsidRPr="00BD646C" w:rsidRDefault="00E453CD" w:rsidP="00BD646C">
            <w:pPr>
              <w:rPr>
                <w:sz w:val="22"/>
                <w:szCs w:val="22"/>
                <w:lang w:val="it-IT"/>
              </w:rPr>
            </w:pPr>
            <w:r w:rsidRPr="00BD646C">
              <w:rPr>
                <w:sz w:val="22"/>
                <w:szCs w:val="22"/>
                <w:lang w:val="it-IT"/>
              </w:rPr>
              <w:t>AbbVie S.R.L.</w:t>
            </w:r>
          </w:p>
          <w:p w14:paraId="201EF417" w14:textId="77777777" w:rsidR="00BD646C" w:rsidRPr="00BD646C" w:rsidRDefault="00E453CD" w:rsidP="00BD646C">
            <w:pPr>
              <w:rPr>
                <w:sz w:val="22"/>
                <w:szCs w:val="22"/>
                <w:lang w:val="pl-PL"/>
              </w:rPr>
            </w:pPr>
            <w:r w:rsidRPr="00BD646C">
              <w:rPr>
                <w:sz w:val="22"/>
                <w:szCs w:val="22"/>
                <w:lang w:val="pl-PL"/>
              </w:rPr>
              <w:t>Tel: +40 21 529 30 35</w:t>
            </w:r>
          </w:p>
          <w:p w14:paraId="5E86CEED" w14:textId="77777777" w:rsidR="00BD646C" w:rsidRPr="00BD646C" w:rsidRDefault="00BD646C" w:rsidP="00BD646C">
            <w:pPr>
              <w:rPr>
                <w:sz w:val="22"/>
                <w:szCs w:val="22"/>
                <w:lang w:val="pl-PL"/>
              </w:rPr>
            </w:pPr>
          </w:p>
        </w:tc>
      </w:tr>
      <w:tr w:rsidR="004644D4" w14:paraId="58236A29" w14:textId="77777777" w:rsidTr="001F79B0">
        <w:trPr>
          <w:gridBefore w:val="1"/>
          <w:wBefore w:w="34" w:type="dxa"/>
        </w:trPr>
        <w:tc>
          <w:tcPr>
            <w:tcW w:w="4644" w:type="dxa"/>
            <w:gridSpan w:val="2"/>
          </w:tcPr>
          <w:p w14:paraId="6D0770A6" w14:textId="77777777" w:rsidR="00A6493F" w:rsidRDefault="00A6493F" w:rsidP="00BD646C">
            <w:pPr>
              <w:rPr>
                <w:ins w:id="13095" w:author="AbbVie02no" w:date="2025-05-15T14:15:00Z"/>
                <w:b/>
                <w:bCs/>
                <w:sz w:val="22"/>
                <w:szCs w:val="22"/>
                <w:lang w:val="sk-SK"/>
              </w:rPr>
            </w:pPr>
          </w:p>
          <w:p w14:paraId="1A4A66AE" w14:textId="4E534EEB" w:rsidR="00BD646C" w:rsidRPr="00BD646C" w:rsidRDefault="00E453CD" w:rsidP="00BD646C">
            <w:pPr>
              <w:rPr>
                <w:b/>
                <w:bCs/>
                <w:sz w:val="22"/>
                <w:szCs w:val="22"/>
                <w:lang w:val="sk-SK"/>
              </w:rPr>
            </w:pPr>
            <w:r w:rsidRPr="00BD646C">
              <w:rPr>
                <w:b/>
                <w:bCs/>
                <w:sz w:val="22"/>
                <w:szCs w:val="22"/>
                <w:lang w:val="sk-SK"/>
              </w:rPr>
              <w:t>Ireland</w:t>
            </w:r>
          </w:p>
          <w:p w14:paraId="3351E2A0" w14:textId="77777777" w:rsidR="00BD646C" w:rsidRPr="00BD646C" w:rsidRDefault="00E453CD" w:rsidP="00BD646C">
            <w:pPr>
              <w:rPr>
                <w:bCs/>
                <w:sz w:val="22"/>
                <w:szCs w:val="22"/>
                <w:lang w:val="sk-SK"/>
              </w:rPr>
            </w:pPr>
            <w:r w:rsidRPr="00BD646C">
              <w:rPr>
                <w:bCs/>
                <w:sz w:val="22"/>
                <w:szCs w:val="22"/>
                <w:lang w:val="sk-SK"/>
              </w:rPr>
              <w:lastRenderedPageBreak/>
              <w:t xml:space="preserve">AbbVie Limited </w:t>
            </w:r>
          </w:p>
          <w:p w14:paraId="7446C024" w14:textId="77777777" w:rsidR="00BD646C" w:rsidDel="00D30972" w:rsidRDefault="00E453CD" w:rsidP="00BD646C">
            <w:pPr>
              <w:rPr>
                <w:ins w:id="13096" w:author="AbbVie02no" w:date="2025-05-15T14:16:00Z"/>
                <w:del w:id="13097" w:author="AbbVie04no" w:date="2025-09-09T10:37:00Z" w16du:dateUtc="2025-09-09T08:37:00Z"/>
                <w:bCs/>
                <w:sz w:val="22"/>
                <w:szCs w:val="22"/>
                <w:lang w:val="pt-PT"/>
              </w:rPr>
            </w:pPr>
            <w:r w:rsidRPr="00BD646C">
              <w:rPr>
                <w:bCs/>
                <w:sz w:val="22"/>
                <w:szCs w:val="22"/>
                <w:lang w:val="pt-PT"/>
              </w:rPr>
              <w:t>Tel: +353 (0)1 42879</w:t>
            </w:r>
            <w:r w:rsidR="00167578">
              <w:rPr>
                <w:bCs/>
                <w:sz w:val="22"/>
                <w:szCs w:val="22"/>
                <w:lang w:val="pt-PT"/>
              </w:rPr>
              <w:t>0</w:t>
            </w:r>
            <w:r w:rsidRPr="00BD646C">
              <w:rPr>
                <w:bCs/>
                <w:sz w:val="22"/>
                <w:szCs w:val="22"/>
                <w:lang w:val="pt-PT"/>
              </w:rPr>
              <w:t>0</w:t>
            </w:r>
          </w:p>
          <w:p w14:paraId="676FDD8D" w14:textId="77777777" w:rsidR="00A6493F" w:rsidRPr="00BD646C" w:rsidRDefault="00A6493F" w:rsidP="00BD646C">
            <w:pPr>
              <w:rPr>
                <w:bCs/>
                <w:sz w:val="22"/>
                <w:szCs w:val="22"/>
                <w:lang w:val="sk-SK"/>
              </w:rPr>
            </w:pPr>
          </w:p>
        </w:tc>
        <w:tc>
          <w:tcPr>
            <w:tcW w:w="4678" w:type="dxa"/>
          </w:tcPr>
          <w:p w14:paraId="49936AB9" w14:textId="77777777" w:rsidR="00BD646C" w:rsidRPr="00BD646C" w:rsidRDefault="00E453CD" w:rsidP="00BD646C">
            <w:pPr>
              <w:rPr>
                <w:b/>
                <w:bCs/>
                <w:sz w:val="22"/>
                <w:szCs w:val="22"/>
                <w:lang w:val="sl-SI"/>
              </w:rPr>
            </w:pPr>
            <w:r w:rsidRPr="00BD646C">
              <w:rPr>
                <w:b/>
                <w:bCs/>
                <w:sz w:val="22"/>
                <w:szCs w:val="22"/>
                <w:lang w:val="sl-SI"/>
              </w:rPr>
              <w:lastRenderedPageBreak/>
              <w:t>Slovenija</w:t>
            </w:r>
          </w:p>
          <w:p w14:paraId="377228C1" w14:textId="77777777" w:rsidR="00BD646C" w:rsidRPr="00BD646C" w:rsidRDefault="00E453CD" w:rsidP="00BD646C">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31923D05" w14:textId="77777777" w:rsidR="00BD646C" w:rsidRPr="00BD646C" w:rsidRDefault="00E453CD" w:rsidP="00BD646C">
            <w:pPr>
              <w:rPr>
                <w:bCs/>
                <w:sz w:val="22"/>
                <w:szCs w:val="22"/>
                <w:lang w:val="sl-SI"/>
              </w:rPr>
            </w:pPr>
            <w:r w:rsidRPr="00BD646C">
              <w:rPr>
                <w:bCs/>
                <w:sz w:val="22"/>
                <w:szCs w:val="22"/>
                <w:lang w:val="sl-SI"/>
              </w:rPr>
              <w:lastRenderedPageBreak/>
              <w:t>Tel: +386 (1)32 08 060</w:t>
            </w:r>
          </w:p>
          <w:p w14:paraId="523BB88A" w14:textId="77777777" w:rsidR="00BD646C" w:rsidRPr="00BD646C" w:rsidRDefault="00BD646C" w:rsidP="00BD646C">
            <w:pPr>
              <w:rPr>
                <w:bCs/>
                <w:sz w:val="22"/>
                <w:szCs w:val="22"/>
                <w:lang w:val="sl-SI"/>
              </w:rPr>
            </w:pPr>
          </w:p>
        </w:tc>
      </w:tr>
      <w:tr w:rsidR="004644D4" w14:paraId="2B2F4C87" w14:textId="77777777" w:rsidTr="001F79B0">
        <w:trPr>
          <w:gridBefore w:val="1"/>
          <w:wBefore w:w="34" w:type="dxa"/>
        </w:trPr>
        <w:tc>
          <w:tcPr>
            <w:tcW w:w="4644" w:type="dxa"/>
            <w:gridSpan w:val="2"/>
          </w:tcPr>
          <w:p w14:paraId="50E65DBF" w14:textId="77777777" w:rsidR="00A6493F" w:rsidRDefault="00A6493F" w:rsidP="00BD646C">
            <w:pPr>
              <w:rPr>
                <w:ins w:id="13098" w:author="AbbVie02no" w:date="2025-05-15T14:16:00Z"/>
                <w:b/>
                <w:bCs/>
                <w:sz w:val="22"/>
                <w:szCs w:val="22"/>
                <w:lang w:val="is-IS"/>
              </w:rPr>
            </w:pPr>
          </w:p>
          <w:p w14:paraId="61AC938A" w14:textId="08D7911B" w:rsidR="00BD646C" w:rsidRPr="00BD646C" w:rsidRDefault="00E453CD" w:rsidP="00BD646C">
            <w:pPr>
              <w:rPr>
                <w:b/>
                <w:bCs/>
                <w:sz w:val="22"/>
                <w:szCs w:val="22"/>
                <w:lang w:val="is-IS"/>
              </w:rPr>
            </w:pPr>
            <w:r w:rsidRPr="00BD646C">
              <w:rPr>
                <w:b/>
                <w:bCs/>
                <w:sz w:val="22"/>
                <w:szCs w:val="22"/>
                <w:lang w:val="is-IS"/>
              </w:rPr>
              <w:t>Ísland</w:t>
            </w:r>
          </w:p>
          <w:p w14:paraId="34A4FD82" w14:textId="77777777" w:rsidR="00BD646C" w:rsidRPr="00BD646C" w:rsidRDefault="00E453CD" w:rsidP="00BD646C">
            <w:pPr>
              <w:rPr>
                <w:bCs/>
                <w:sz w:val="22"/>
                <w:szCs w:val="22"/>
                <w:lang w:val="sk-SK"/>
              </w:rPr>
            </w:pPr>
            <w:r w:rsidRPr="00BD646C">
              <w:rPr>
                <w:bCs/>
                <w:sz w:val="22"/>
                <w:szCs w:val="22"/>
                <w:lang w:val="sk-SK"/>
              </w:rPr>
              <w:t>Vistor</w:t>
            </w:r>
            <w:del w:id="13099" w:author="AbbVie02no" w:date="2025-05-15T14:26:00Z">
              <w:r w:rsidRPr="00BD646C">
                <w:rPr>
                  <w:bCs/>
                  <w:sz w:val="22"/>
                  <w:szCs w:val="22"/>
                  <w:lang w:val="sk-SK"/>
                </w:rPr>
                <w:delText xml:space="preserve"> hf.</w:delText>
              </w:r>
            </w:del>
          </w:p>
          <w:p w14:paraId="7613589C" w14:textId="77777777" w:rsidR="00BD646C" w:rsidDel="00D30972" w:rsidRDefault="00E453CD" w:rsidP="00BD646C">
            <w:pPr>
              <w:rPr>
                <w:ins w:id="13100" w:author="AbbVie02no" w:date="2025-05-15T14:16:00Z"/>
                <w:del w:id="13101" w:author="AbbVie04no" w:date="2025-09-09T10:37:00Z" w16du:dateUtc="2025-09-09T08:37:00Z"/>
                <w:bCs/>
                <w:sz w:val="22"/>
                <w:szCs w:val="22"/>
                <w:lang w:val="sk-SK"/>
              </w:rPr>
            </w:pPr>
            <w:r w:rsidRPr="00BD646C">
              <w:rPr>
                <w:bCs/>
                <w:sz w:val="22"/>
                <w:szCs w:val="22"/>
                <w:lang w:val="sk-SK"/>
              </w:rPr>
              <w:t>Tel: +354 535 7000</w:t>
            </w:r>
          </w:p>
          <w:p w14:paraId="389E3F0A" w14:textId="77777777" w:rsidR="00A6493F" w:rsidRPr="00BD646C" w:rsidRDefault="00A6493F" w:rsidP="00BD646C">
            <w:pPr>
              <w:rPr>
                <w:bCs/>
                <w:sz w:val="22"/>
                <w:szCs w:val="22"/>
                <w:lang w:val="sk-SK"/>
              </w:rPr>
            </w:pPr>
          </w:p>
        </w:tc>
        <w:tc>
          <w:tcPr>
            <w:tcW w:w="4678" w:type="dxa"/>
          </w:tcPr>
          <w:p w14:paraId="29E5422B" w14:textId="77777777" w:rsidR="00BD646C" w:rsidRPr="00BD646C" w:rsidRDefault="00E453CD" w:rsidP="00BD646C">
            <w:pPr>
              <w:rPr>
                <w:b/>
                <w:bCs/>
                <w:sz w:val="22"/>
                <w:szCs w:val="22"/>
                <w:lang w:val="sk-SK"/>
              </w:rPr>
            </w:pPr>
            <w:r w:rsidRPr="00BD646C">
              <w:rPr>
                <w:b/>
                <w:bCs/>
                <w:sz w:val="22"/>
                <w:szCs w:val="22"/>
                <w:lang w:val="sk-SK"/>
              </w:rPr>
              <w:t>Slovenská republika</w:t>
            </w:r>
          </w:p>
          <w:p w14:paraId="5B2835CC" w14:textId="77777777" w:rsidR="00BD646C" w:rsidRPr="00BD646C" w:rsidRDefault="00E453CD" w:rsidP="00BD646C">
            <w:pPr>
              <w:rPr>
                <w:bCs/>
                <w:sz w:val="22"/>
                <w:szCs w:val="22"/>
                <w:lang w:val="sk-SK"/>
              </w:rPr>
            </w:pPr>
            <w:r w:rsidRPr="00BD646C">
              <w:rPr>
                <w:bCs/>
                <w:sz w:val="22"/>
                <w:szCs w:val="22"/>
                <w:lang w:val="sk-SK"/>
              </w:rPr>
              <w:t>AbbVie s.r.o.</w:t>
            </w:r>
          </w:p>
          <w:p w14:paraId="30A4CC92" w14:textId="77777777" w:rsidR="00BD646C" w:rsidRPr="00BD646C" w:rsidRDefault="00E453CD" w:rsidP="00BD646C">
            <w:pPr>
              <w:rPr>
                <w:bCs/>
                <w:sz w:val="22"/>
                <w:szCs w:val="22"/>
                <w:lang w:val="sk-SK"/>
              </w:rPr>
            </w:pPr>
            <w:r w:rsidRPr="00BD646C">
              <w:rPr>
                <w:bCs/>
                <w:sz w:val="22"/>
                <w:szCs w:val="22"/>
                <w:lang w:val="sk-SK"/>
              </w:rPr>
              <w:t>Tel: +421 2 5050 0777</w:t>
            </w:r>
          </w:p>
          <w:p w14:paraId="3D48C160" w14:textId="77777777" w:rsidR="00BD646C" w:rsidRPr="00BD646C" w:rsidRDefault="00BD646C" w:rsidP="00BD646C">
            <w:pPr>
              <w:rPr>
                <w:bCs/>
                <w:sz w:val="22"/>
                <w:szCs w:val="22"/>
                <w:lang w:val="sk-SK"/>
              </w:rPr>
            </w:pPr>
          </w:p>
        </w:tc>
      </w:tr>
      <w:tr w:rsidR="004644D4" w:rsidRPr="009671D6" w14:paraId="2791EC4D" w14:textId="77777777" w:rsidTr="001F79B0">
        <w:trPr>
          <w:gridBefore w:val="1"/>
          <w:wBefore w:w="34" w:type="dxa"/>
        </w:trPr>
        <w:tc>
          <w:tcPr>
            <w:tcW w:w="4644" w:type="dxa"/>
            <w:gridSpan w:val="2"/>
          </w:tcPr>
          <w:p w14:paraId="6A693540" w14:textId="77777777" w:rsidR="00A6493F" w:rsidRDefault="00A6493F" w:rsidP="00BD646C">
            <w:pPr>
              <w:rPr>
                <w:ins w:id="13102" w:author="AbbVie02no" w:date="2025-05-15T14:16:00Z"/>
                <w:b/>
                <w:bCs/>
                <w:sz w:val="22"/>
                <w:szCs w:val="22"/>
                <w:lang w:val="it-IT"/>
              </w:rPr>
            </w:pPr>
          </w:p>
          <w:p w14:paraId="5097A9EA" w14:textId="2AE33B5D" w:rsidR="00BD646C" w:rsidRPr="00BD646C" w:rsidRDefault="00E453CD" w:rsidP="00BD646C">
            <w:pPr>
              <w:rPr>
                <w:b/>
                <w:bCs/>
                <w:sz w:val="22"/>
                <w:szCs w:val="22"/>
                <w:lang w:val="it-IT"/>
              </w:rPr>
            </w:pPr>
            <w:r w:rsidRPr="00BD646C">
              <w:rPr>
                <w:b/>
                <w:bCs/>
                <w:sz w:val="22"/>
                <w:szCs w:val="22"/>
                <w:lang w:val="it-IT"/>
              </w:rPr>
              <w:t>Italia</w:t>
            </w:r>
          </w:p>
          <w:p w14:paraId="655E4BCC" w14:textId="77777777" w:rsidR="00BD646C" w:rsidRPr="00BD646C" w:rsidRDefault="00E453CD" w:rsidP="00BD646C">
            <w:pPr>
              <w:rPr>
                <w:bCs/>
                <w:sz w:val="22"/>
                <w:szCs w:val="22"/>
                <w:lang w:val="pt-PT"/>
              </w:rPr>
            </w:pPr>
            <w:r w:rsidRPr="00BD646C">
              <w:rPr>
                <w:bCs/>
                <w:sz w:val="22"/>
                <w:szCs w:val="22"/>
                <w:lang w:val="pt-PT"/>
              </w:rPr>
              <w:t xml:space="preserve">AbbVie S.r.l. </w:t>
            </w:r>
          </w:p>
          <w:p w14:paraId="12D18FD8" w14:textId="77777777" w:rsidR="00BD646C" w:rsidRDefault="00E453CD" w:rsidP="00BD646C">
            <w:pPr>
              <w:rPr>
                <w:ins w:id="13103" w:author="AbbVie02no" w:date="2025-05-15T14:16:00Z"/>
                <w:bCs/>
                <w:sz w:val="22"/>
                <w:szCs w:val="22"/>
                <w:lang w:val="fr-FR"/>
              </w:rPr>
            </w:pPr>
            <w:r w:rsidRPr="00BD646C">
              <w:rPr>
                <w:bCs/>
                <w:sz w:val="22"/>
                <w:szCs w:val="22"/>
                <w:lang w:val="fr-FR"/>
              </w:rPr>
              <w:t>Tel: +39 06 928921</w:t>
            </w:r>
          </w:p>
          <w:p w14:paraId="6D8ED07C" w14:textId="77777777" w:rsidR="00A6493F" w:rsidRPr="00BD646C" w:rsidRDefault="00A6493F" w:rsidP="00BD646C">
            <w:pPr>
              <w:rPr>
                <w:bCs/>
                <w:sz w:val="22"/>
                <w:szCs w:val="22"/>
                <w:lang w:val="fi-FI"/>
              </w:rPr>
            </w:pPr>
          </w:p>
        </w:tc>
        <w:tc>
          <w:tcPr>
            <w:tcW w:w="4678" w:type="dxa"/>
          </w:tcPr>
          <w:p w14:paraId="1AE11D29" w14:textId="77777777" w:rsidR="00BD646C" w:rsidRPr="00BD646C" w:rsidRDefault="00E453CD" w:rsidP="00BD646C">
            <w:pPr>
              <w:rPr>
                <w:b/>
                <w:bCs/>
                <w:sz w:val="22"/>
                <w:szCs w:val="22"/>
                <w:lang w:val="fi-FI"/>
              </w:rPr>
            </w:pPr>
            <w:r w:rsidRPr="00BD646C">
              <w:rPr>
                <w:b/>
                <w:bCs/>
                <w:sz w:val="22"/>
                <w:szCs w:val="22"/>
                <w:lang w:val="fi-FI"/>
              </w:rPr>
              <w:t>Suomi/Finland</w:t>
            </w:r>
          </w:p>
          <w:p w14:paraId="492867F7" w14:textId="77777777" w:rsidR="00BD646C" w:rsidRPr="00BD646C" w:rsidRDefault="00E453CD" w:rsidP="00BD646C">
            <w:pPr>
              <w:rPr>
                <w:bCs/>
                <w:sz w:val="22"/>
                <w:szCs w:val="22"/>
                <w:lang w:val="de-CH"/>
              </w:rPr>
            </w:pPr>
            <w:r w:rsidRPr="00BD646C">
              <w:rPr>
                <w:bCs/>
                <w:sz w:val="22"/>
                <w:szCs w:val="22"/>
                <w:lang w:val="sk-SK"/>
              </w:rPr>
              <w:t>AbbVie Oy</w:t>
            </w:r>
          </w:p>
          <w:p w14:paraId="2E293FCE" w14:textId="77777777" w:rsidR="00BD646C" w:rsidRPr="00BD646C" w:rsidRDefault="00E453CD" w:rsidP="00BD646C">
            <w:pPr>
              <w:rPr>
                <w:bCs/>
                <w:sz w:val="22"/>
                <w:szCs w:val="22"/>
                <w:lang w:val="sk-SK"/>
              </w:rPr>
            </w:pPr>
            <w:r w:rsidRPr="00BD646C">
              <w:rPr>
                <w:bCs/>
                <w:sz w:val="22"/>
                <w:szCs w:val="22"/>
                <w:lang w:val="sk-SK"/>
              </w:rPr>
              <w:t>Puh/Tel: +358 (0)10 2411 200</w:t>
            </w:r>
          </w:p>
          <w:p w14:paraId="7F8189D7" w14:textId="77777777" w:rsidR="00BD646C" w:rsidRPr="00BD646C" w:rsidRDefault="00BD646C" w:rsidP="00BD646C">
            <w:pPr>
              <w:rPr>
                <w:sz w:val="22"/>
                <w:szCs w:val="22"/>
                <w:lang w:val="sk-SK"/>
              </w:rPr>
            </w:pPr>
          </w:p>
        </w:tc>
      </w:tr>
      <w:tr w:rsidR="004644D4" w14:paraId="68FB508B" w14:textId="77777777" w:rsidTr="001F79B0">
        <w:trPr>
          <w:gridBefore w:val="1"/>
          <w:wBefore w:w="34" w:type="dxa"/>
          <w:cantSplit/>
          <w:trHeight w:val="887"/>
        </w:trPr>
        <w:tc>
          <w:tcPr>
            <w:tcW w:w="4644" w:type="dxa"/>
            <w:gridSpan w:val="2"/>
          </w:tcPr>
          <w:p w14:paraId="2F1DFA16" w14:textId="77777777" w:rsidR="00A6493F" w:rsidRPr="00095E5A" w:rsidRDefault="00A6493F" w:rsidP="00BD646C">
            <w:pPr>
              <w:rPr>
                <w:ins w:id="13104" w:author="AbbVie02no" w:date="2025-05-15T14:16:00Z"/>
                <w:b/>
                <w:bCs/>
                <w:sz w:val="22"/>
                <w:szCs w:val="22"/>
                <w:lang w:val="en-US"/>
                <w:rPrChange w:id="13105" w:author="AbbVie02no" w:date="2025-05-19T13:01:00Z">
                  <w:rPr>
                    <w:ins w:id="13106" w:author="AbbVie02no" w:date="2025-05-15T14:16:00Z"/>
                    <w:b/>
                    <w:bCs/>
                    <w:sz w:val="22"/>
                    <w:szCs w:val="22"/>
                  </w:rPr>
                </w:rPrChange>
              </w:rPr>
            </w:pPr>
          </w:p>
          <w:p w14:paraId="24230EBB" w14:textId="60C98C73" w:rsidR="00BD646C" w:rsidRPr="00BD646C" w:rsidRDefault="00E453CD" w:rsidP="00BD646C">
            <w:pPr>
              <w:rPr>
                <w:b/>
                <w:bCs/>
                <w:sz w:val="22"/>
                <w:szCs w:val="22"/>
                <w:lang w:val="el-GR"/>
              </w:rPr>
            </w:pPr>
            <w:r w:rsidRPr="00BD646C">
              <w:rPr>
                <w:b/>
                <w:bCs/>
                <w:sz w:val="22"/>
                <w:szCs w:val="22"/>
                <w:lang w:val="el-GR"/>
              </w:rPr>
              <w:t>Κύπρος</w:t>
            </w:r>
          </w:p>
          <w:p w14:paraId="6FF8DDB8" w14:textId="77777777" w:rsidR="00BD646C" w:rsidRPr="00BD646C" w:rsidRDefault="00E453CD" w:rsidP="00BD646C">
            <w:pPr>
              <w:rPr>
                <w:bCs/>
                <w:sz w:val="22"/>
                <w:szCs w:val="22"/>
                <w:lang w:val="el-GR"/>
              </w:rPr>
            </w:pPr>
            <w:r w:rsidRPr="00BD646C">
              <w:rPr>
                <w:bCs/>
                <w:sz w:val="22"/>
                <w:szCs w:val="22"/>
                <w:lang w:val="sk-SK"/>
              </w:rPr>
              <w:t xml:space="preserve">Lifepharma (Z.A.M.) </w:t>
            </w:r>
            <w:r w:rsidRPr="00BD646C">
              <w:rPr>
                <w:bCs/>
                <w:sz w:val="22"/>
                <w:szCs w:val="22"/>
                <w:lang w:val="it-IT"/>
              </w:rPr>
              <w:t>Ltd</w:t>
            </w:r>
          </w:p>
          <w:p w14:paraId="77BF990A" w14:textId="77777777" w:rsidR="00BD646C" w:rsidDel="00D30972" w:rsidRDefault="00E453CD" w:rsidP="00BD646C">
            <w:pPr>
              <w:rPr>
                <w:ins w:id="13107" w:author="AbbVie02no" w:date="2025-05-15T14:16:00Z"/>
                <w:del w:id="13108" w:author="AbbVie04no" w:date="2025-09-09T10:37:00Z" w16du:dateUtc="2025-09-09T08:37:00Z"/>
                <w:bCs/>
                <w:sz w:val="22"/>
                <w:szCs w:val="22"/>
              </w:rPr>
            </w:pPr>
            <w:r w:rsidRPr="00BD646C">
              <w:rPr>
                <w:bCs/>
                <w:sz w:val="22"/>
                <w:szCs w:val="22"/>
                <w:lang w:val="el-GR"/>
              </w:rPr>
              <w:t>Τηλ.: +357 22 34 74 40</w:t>
            </w:r>
          </w:p>
          <w:p w14:paraId="395EC81E" w14:textId="77777777" w:rsidR="00A6493F" w:rsidRPr="00A6493F" w:rsidRDefault="00A6493F" w:rsidP="00BD646C">
            <w:pPr>
              <w:rPr>
                <w:bCs/>
                <w:sz w:val="22"/>
                <w:szCs w:val="22"/>
                <w:rPrChange w:id="13109" w:author="AbbVie02no" w:date="2025-05-15T14:16:00Z">
                  <w:rPr>
                    <w:bCs/>
                    <w:sz w:val="22"/>
                    <w:szCs w:val="22"/>
                    <w:lang w:val="lv-LV"/>
                  </w:rPr>
                </w:rPrChange>
              </w:rPr>
            </w:pPr>
          </w:p>
        </w:tc>
        <w:tc>
          <w:tcPr>
            <w:tcW w:w="4678" w:type="dxa"/>
          </w:tcPr>
          <w:p w14:paraId="042FEC83" w14:textId="77777777" w:rsidR="00BD646C" w:rsidRPr="00BD646C" w:rsidRDefault="00E453CD" w:rsidP="00BD646C">
            <w:pPr>
              <w:rPr>
                <w:b/>
                <w:bCs/>
                <w:sz w:val="22"/>
                <w:szCs w:val="22"/>
                <w:lang w:val="sk-SK"/>
              </w:rPr>
            </w:pPr>
            <w:r w:rsidRPr="00BD646C">
              <w:rPr>
                <w:b/>
                <w:bCs/>
                <w:sz w:val="22"/>
                <w:szCs w:val="22"/>
                <w:lang w:val="sk-SK"/>
              </w:rPr>
              <w:t>Sverige</w:t>
            </w:r>
          </w:p>
          <w:p w14:paraId="3D910740" w14:textId="77777777" w:rsidR="00BD646C" w:rsidRPr="00BD646C" w:rsidRDefault="00E453CD" w:rsidP="00BD646C">
            <w:pPr>
              <w:rPr>
                <w:bCs/>
                <w:sz w:val="22"/>
                <w:szCs w:val="22"/>
                <w:lang w:val="pt-PT"/>
              </w:rPr>
            </w:pPr>
            <w:r w:rsidRPr="00BD646C">
              <w:rPr>
                <w:bCs/>
                <w:sz w:val="22"/>
                <w:szCs w:val="22"/>
                <w:lang w:val="pt-PT"/>
              </w:rPr>
              <w:t>AbbVie AB</w:t>
            </w:r>
          </w:p>
          <w:p w14:paraId="7FCFFBC9" w14:textId="77777777" w:rsidR="00BD646C" w:rsidRPr="00BD646C" w:rsidRDefault="00E453CD" w:rsidP="00BD646C">
            <w:pPr>
              <w:rPr>
                <w:bCs/>
                <w:sz w:val="22"/>
                <w:szCs w:val="22"/>
                <w:lang w:val="sk-SK"/>
              </w:rPr>
            </w:pPr>
            <w:r w:rsidRPr="00BD646C">
              <w:rPr>
                <w:bCs/>
                <w:sz w:val="22"/>
                <w:szCs w:val="22"/>
                <w:lang w:val="da-DK"/>
              </w:rPr>
              <w:t>Tel: +46 (0)8 684 44 600</w:t>
            </w:r>
          </w:p>
        </w:tc>
      </w:tr>
      <w:tr w:rsidR="004644D4" w14:paraId="4E40B702" w14:textId="77777777" w:rsidTr="001F79B0">
        <w:trPr>
          <w:gridBefore w:val="1"/>
          <w:wBefore w:w="34" w:type="dxa"/>
          <w:cantSplit/>
          <w:trHeight w:val="761"/>
        </w:trPr>
        <w:tc>
          <w:tcPr>
            <w:tcW w:w="4644" w:type="dxa"/>
            <w:gridSpan w:val="2"/>
          </w:tcPr>
          <w:p w14:paraId="0F5B5208" w14:textId="77777777" w:rsidR="00A6493F" w:rsidRDefault="00A6493F" w:rsidP="00BD646C">
            <w:pPr>
              <w:rPr>
                <w:ins w:id="13110" w:author="AbbVie02no" w:date="2025-05-15T14:16:00Z"/>
                <w:b/>
                <w:bCs/>
                <w:sz w:val="22"/>
                <w:szCs w:val="22"/>
                <w:lang w:val="lv-LV"/>
              </w:rPr>
            </w:pPr>
          </w:p>
          <w:p w14:paraId="0C4DCE86" w14:textId="244893D0" w:rsidR="00BD646C" w:rsidRPr="00BD646C" w:rsidRDefault="00E453CD" w:rsidP="00BD646C">
            <w:pPr>
              <w:rPr>
                <w:b/>
                <w:bCs/>
                <w:sz w:val="22"/>
                <w:szCs w:val="22"/>
                <w:lang w:val="lv-LV"/>
              </w:rPr>
            </w:pPr>
            <w:r w:rsidRPr="00BD646C">
              <w:rPr>
                <w:b/>
                <w:bCs/>
                <w:sz w:val="22"/>
                <w:szCs w:val="22"/>
                <w:lang w:val="lv-LV"/>
              </w:rPr>
              <w:t>Latvija</w:t>
            </w:r>
          </w:p>
          <w:p w14:paraId="1FF89EFB" w14:textId="77777777" w:rsidR="00BD646C" w:rsidRPr="00BD646C" w:rsidRDefault="00E453CD" w:rsidP="00BD646C">
            <w:pPr>
              <w:rPr>
                <w:bCs/>
                <w:sz w:val="22"/>
                <w:szCs w:val="22"/>
                <w:lang w:val="lv-LV"/>
              </w:rPr>
            </w:pPr>
            <w:r w:rsidRPr="00BD646C">
              <w:rPr>
                <w:bCs/>
                <w:sz w:val="22"/>
                <w:szCs w:val="22"/>
                <w:lang w:val="lv-LV"/>
              </w:rPr>
              <w:t xml:space="preserve">AbbVie SIA </w:t>
            </w:r>
          </w:p>
          <w:p w14:paraId="1FF7D4C8" w14:textId="77777777" w:rsidR="00BD646C" w:rsidRPr="00BD646C" w:rsidRDefault="00E453CD" w:rsidP="00BD646C">
            <w:pPr>
              <w:rPr>
                <w:bCs/>
                <w:sz w:val="22"/>
                <w:szCs w:val="22"/>
                <w:lang w:val="lv-LV"/>
              </w:rPr>
            </w:pPr>
            <w:r w:rsidRPr="00BD646C">
              <w:rPr>
                <w:bCs/>
                <w:sz w:val="22"/>
                <w:szCs w:val="22"/>
                <w:lang w:val="lv-LV"/>
              </w:rPr>
              <w:t>Tel: +371 67605000</w:t>
            </w:r>
          </w:p>
        </w:tc>
        <w:tc>
          <w:tcPr>
            <w:tcW w:w="4678" w:type="dxa"/>
          </w:tcPr>
          <w:p w14:paraId="23D8C66B" w14:textId="254794C8" w:rsidR="00BD646C" w:rsidRPr="00BD646C" w:rsidRDefault="00BD646C" w:rsidP="00BD646C">
            <w:pPr>
              <w:rPr>
                <w:b/>
                <w:bCs/>
                <w:sz w:val="22"/>
                <w:szCs w:val="22"/>
                <w:lang w:val="sk-SK"/>
              </w:rPr>
            </w:pPr>
          </w:p>
        </w:tc>
      </w:tr>
    </w:tbl>
    <w:p w14:paraId="23B9B426" w14:textId="77777777" w:rsidR="00E90360" w:rsidRPr="00BD646C" w:rsidRDefault="00E90360" w:rsidP="00E90360">
      <w:pPr>
        <w:rPr>
          <w:sz w:val="22"/>
          <w:szCs w:val="22"/>
          <w:lang w:val="en-US"/>
        </w:rPr>
      </w:pPr>
    </w:p>
    <w:p w14:paraId="2640E947" w14:textId="77777777" w:rsidR="00E90360" w:rsidRPr="00663766" w:rsidRDefault="00E453CD" w:rsidP="00032240">
      <w:pPr>
        <w:keepNext/>
        <w:rPr>
          <w:sz w:val="22"/>
          <w:szCs w:val="22"/>
        </w:rPr>
      </w:pPr>
      <w:r w:rsidRPr="00392F01">
        <w:rPr>
          <w:b/>
          <w:sz w:val="22"/>
          <w:szCs w:val="22"/>
        </w:rPr>
        <w:t>Dette pakningsvedlegget ble sist oppdatert</w:t>
      </w:r>
    </w:p>
    <w:p w14:paraId="2342099C" w14:textId="77777777" w:rsidR="00E90360" w:rsidRPr="00663766" w:rsidRDefault="00E90360" w:rsidP="00E90360">
      <w:pPr>
        <w:rPr>
          <w:sz w:val="22"/>
          <w:szCs w:val="22"/>
        </w:rPr>
      </w:pPr>
    </w:p>
    <w:p w14:paraId="37775DB8" w14:textId="54A5C690" w:rsidR="00E90360" w:rsidRPr="00392F01" w:rsidRDefault="00E453CD" w:rsidP="00E90360">
      <w:pPr>
        <w:rPr>
          <w:sz w:val="22"/>
        </w:rPr>
      </w:pPr>
      <w:r w:rsidRPr="00392F01">
        <w:rPr>
          <w:sz w:val="22"/>
        </w:rPr>
        <w:t>Detaljert informasjon om dette legemidlet er tilgjengelig på nettstedet til Det europeiske legemiddelkontoret (</w:t>
      </w:r>
      <w:r w:rsidR="001D434C">
        <w:rPr>
          <w:sz w:val="22"/>
        </w:rPr>
        <w:t>t</w:t>
      </w:r>
      <w:r w:rsidRPr="00392F01">
        <w:rPr>
          <w:sz w:val="22"/>
        </w:rPr>
        <w:t xml:space="preserve">he European Medicines Agency): </w:t>
      </w:r>
      <w:ins w:id="13111" w:author="AbbVie02no" w:date="2025-05-15T14:17:00Z">
        <w:r w:rsidR="00A6493F">
          <w:rPr>
            <w:color w:val="0000FF"/>
            <w:sz w:val="22"/>
            <w:u w:val="single"/>
          </w:rPr>
          <w:fldChar w:fldCharType="begin"/>
        </w:r>
        <w:r w:rsidR="00A6493F">
          <w:rPr>
            <w:color w:val="0000FF"/>
            <w:sz w:val="22"/>
            <w:u w:val="single"/>
          </w:rPr>
          <w:instrText>HYPERLINK "</w:instrText>
        </w:r>
      </w:ins>
      <w:r w:rsidR="00A6493F" w:rsidRPr="00392F01">
        <w:rPr>
          <w:color w:val="0000FF"/>
          <w:sz w:val="22"/>
          <w:u w:val="single"/>
        </w:rPr>
        <w:instrText>http</w:instrText>
      </w:r>
      <w:ins w:id="13112" w:author="AbbVie02no" w:date="2025-05-15T14:17:00Z">
        <w:r w:rsidR="00A6493F">
          <w:rPr>
            <w:color w:val="0000FF"/>
            <w:sz w:val="22"/>
            <w:u w:val="single"/>
          </w:rPr>
          <w:instrText>s</w:instrText>
        </w:r>
      </w:ins>
      <w:r w:rsidR="00A6493F" w:rsidRPr="00392F01">
        <w:rPr>
          <w:color w:val="0000FF"/>
          <w:sz w:val="22"/>
          <w:u w:val="single"/>
        </w:rPr>
        <w:instrText>://www.ema.europa.eu</w:instrText>
      </w:r>
      <w:ins w:id="13113" w:author="AbbVie02no" w:date="2025-05-15T14:17:00Z">
        <w:r w:rsidR="00A6493F">
          <w:rPr>
            <w:color w:val="0000FF"/>
            <w:sz w:val="22"/>
            <w:u w:val="single"/>
          </w:rPr>
          <w:instrText>"</w:instrText>
        </w:r>
        <w:r w:rsidR="00A6493F">
          <w:rPr>
            <w:color w:val="0000FF"/>
            <w:sz w:val="22"/>
            <w:u w:val="single"/>
          </w:rPr>
        </w:r>
        <w:r w:rsidR="00A6493F">
          <w:rPr>
            <w:color w:val="0000FF"/>
            <w:sz w:val="22"/>
            <w:u w:val="single"/>
          </w:rPr>
          <w:fldChar w:fldCharType="separate"/>
        </w:r>
      </w:ins>
      <w:r w:rsidR="00A6493F" w:rsidRPr="007D258B">
        <w:rPr>
          <w:rStyle w:val="Hyperlink"/>
          <w:sz w:val="22"/>
        </w:rPr>
        <w:t>http</w:t>
      </w:r>
      <w:ins w:id="13114" w:author="AbbVie02no" w:date="2025-05-15T14:17:00Z">
        <w:r w:rsidR="00A6493F" w:rsidRPr="007D258B">
          <w:rPr>
            <w:rStyle w:val="Hyperlink"/>
            <w:sz w:val="22"/>
          </w:rPr>
          <w:t>s</w:t>
        </w:r>
      </w:ins>
      <w:r w:rsidR="00A6493F" w:rsidRPr="007D258B">
        <w:rPr>
          <w:rStyle w:val="Hyperlink"/>
          <w:sz w:val="22"/>
        </w:rPr>
        <w:t>://www.ema.europa.eu</w:t>
      </w:r>
      <w:ins w:id="13115" w:author="AbbVie02no" w:date="2025-05-15T14:17:00Z">
        <w:r w:rsidR="00A6493F">
          <w:rPr>
            <w:color w:val="0000FF"/>
            <w:sz w:val="22"/>
            <w:u w:val="single"/>
          </w:rPr>
          <w:fldChar w:fldCharType="end"/>
        </w:r>
      </w:ins>
      <w:r w:rsidRPr="00392F01">
        <w:rPr>
          <w:sz w:val="22"/>
        </w:rPr>
        <w:t>.</w:t>
      </w:r>
    </w:p>
    <w:p w14:paraId="79533096" w14:textId="77777777" w:rsidR="00E90360" w:rsidRPr="00392F01" w:rsidRDefault="00E90360" w:rsidP="00E90360">
      <w:pPr>
        <w:rPr>
          <w:sz w:val="22"/>
        </w:rPr>
      </w:pPr>
    </w:p>
    <w:p w14:paraId="077BD50B" w14:textId="77777777" w:rsidR="00E90360" w:rsidRPr="00392F01" w:rsidRDefault="00E453CD" w:rsidP="00E90360">
      <w:pPr>
        <w:rPr>
          <w:b/>
          <w:sz w:val="22"/>
        </w:rPr>
      </w:pPr>
      <w:r w:rsidRPr="00392F01">
        <w:rPr>
          <w:b/>
          <w:sz w:val="22"/>
        </w:rPr>
        <w:t xml:space="preserve">For å lytte til eller be om en kopi av dette pakningsvedlegget </w:t>
      </w:r>
      <w:r w:rsidR="00B0241B" w:rsidRPr="00776A84">
        <w:rPr>
          <w:b/>
          <w:sz w:val="22"/>
          <w:highlight w:val="lightGray"/>
        </w:rPr>
        <w:t>i &lt;blindeskrift&gt;, &lt;større skrift&gt; eller &lt;lydfil&gt;</w:t>
      </w:r>
      <w:r w:rsidR="00FF0116" w:rsidRPr="00392F01">
        <w:rPr>
          <w:b/>
          <w:sz w:val="22"/>
        </w:rPr>
        <w:t xml:space="preserve"> </w:t>
      </w:r>
      <w:r w:rsidRPr="00392F01">
        <w:rPr>
          <w:b/>
          <w:sz w:val="22"/>
        </w:rPr>
        <w:t>kan du kontakte den lokale representant for innehaveren av markedsføringstillatelsen.</w:t>
      </w:r>
    </w:p>
    <w:p w14:paraId="34A8C5DD" w14:textId="77777777" w:rsidR="00E90360" w:rsidRPr="00392F01" w:rsidRDefault="00E90360" w:rsidP="00E90360">
      <w:pPr>
        <w:rPr>
          <w:sz w:val="22"/>
        </w:rPr>
      </w:pPr>
    </w:p>
    <w:p w14:paraId="49BB71F9" w14:textId="77777777" w:rsidR="00E90360" w:rsidRPr="00392F01" w:rsidRDefault="00E90360" w:rsidP="00E90360">
      <w:pPr>
        <w:rPr>
          <w:sz w:val="22"/>
        </w:rPr>
      </w:pPr>
    </w:p>
    <w:p w14:paraId="37102A42" w14:textId="77777777" w:rsidR="00E90360" w:rsidRPr="00E90360" w:rsidRDefault="00E453CD" w:rsidP="006936CB">
      <w:pPr>
        <w:keepNext/>
        <w:ind w:left="567" w:hanging="567"/>
        <w:rPr>
          <w:sz w:val="22"/>
          <w:szCs w:val="22"/>
          <w:lang w:val="en-GB"/>
        </w:rPr>
      </w:pPr>
      <w:r w:rsidRPr="00E90360">
        <w:rPr>
          <w:b/>
          <w:sz w:val="22"/>
          <w:szCs w:val="22"/>
          <w:lang w:val="en-GB"/>
        </w:rPr>
        <w:t>7.</w:t>
      </w:r>
      <w:r w:rsidRPr="00E90360">
        <w:rPr>
          <w:b/>
          <w:sz w:val="22"/>
          <w:szCs w:val="22"/>
          <w:lang w:val="en-GB"/>
        </w:rPr>
        <w:tab/>
      </w:r>
      <w:r w:rsidR="00A36D70" w:rsidRPr="00A36D70">
        <w:rPr>
          <w:b/>
          <w:sz w:val="22"/>
          <w:szCs w:val="22"/>
          <w:lang w:val="en-GB"/>
        </w:rPr>
        <w:t>Hvordan du injiserer Humira</w:t>
      </w:r>
    </w:p>
    <w:p w14:paraId="023206CA" w14:textId="77777777" w:rsidR="00E90360" w:rsidRPr="00E90360" w:rsidRDefault="00E90360" w:rsidP="00E90360">
      <w:pPr>
        <w:keepNext/>
        <w:rPr>
          <w:sz w:val="22"/>
          <w:szCs w:val="22"/>
        </w:rPr>
      </w:pPr>
    </w:p>
    <w:p w14:paraId="543B1A92" w14:textId="77777777" w:rsidR="00E90360" w:rsidRPr="00E90360" w:rsidRDefault="00E453CD" w:rsidP="00776A84">
      <w:pPr>
        <w:numPr>
          <w:ilvl w:val="0"/>
          <w:numId w:val="15"/>
        </w:numPr>
        <w:rPr>
          <w:sz w:val="22"/>
          <w:szCs w:val="22"/>
        </w:rPr>
      </w:pPr>
      <w:r w:rsidRPr="00E90360">
        <w:rPr>
          <w:sz w:val="22"/>
          <w:szCs w:val="22"/>
        </w:rPr>
        <w:t>Følgende instruksjoner forklarer hvordan du skal sette Humira subkutant på barnet ditt ved bruk av den ferdigfylte sprøyten. Les først instruksjonene nøye og følg dem deretter steg for steg.</w:t>
      </w:r>
    </w:p>
    <w:p w14:paraId="7A772CCD" w14:textId="77777777" w:rsidR="00E90360" w:rsidRPr="00E90360" w:rsidRDefault="00E90360" w:rsidP="00776A84">
      <w:pPr>
        <w:ind w:left="720"/>
        <w:rPr>
          <w:sz w:val="22"/>
          <w:szCs w:val="22"/>
        </w:rPr>
      </w:pPr>
    </w:p>
    <w:p w14:paraId="48FEBC8B" w14:textId="77777777" w:rsidR="00E90360" w:rsidRPr="00E90360" w:rsidRDefault="00E453CD" w:rsidP="00E90360">
      <w:pPr>
        <w:numPr>
          <w:ilvl w:val="0"/>
          <w:numId w:val="15"/>
        </w:numPr>
        <w:rPr>
          <w:sz w:val="22"/>
          <w:szCs w:val="22"/>
        </w:rPr>
      </w:pPr>
      <w:r w:rsidRPr="00E90360">
        <w:rPr>
          <w:sz w:val="22"/>
          <w:szCs w:val="22"/>
        </w:rPr>
        <w:t>Legen din, sykepleier eller farmasøyt på apotek</w:t>
      </w:r>
      <w:r w:rsidR="005F67E4">
        <w:rPr>
          <w:sz w:val="22"/>
          <w:szCs w:val="22"/>
        </w:rPr>
        <w:t xml:space="preserve"> </w:t>
      </w:r>
      <w:r w:rsidRPr="00E90360">
        <w:rPr>
          <w:sz w:val="22"/>
          <w:szCs w:val="22"/>
        </w:rPr>
        <w:t>vil forklare deg hvordan du skal injisere.</w:t>
      </w:r>
    </w:p>
    <w:p w14:paraId="6F93F4F0" w14:textId="77777777" w:rsidR="00E90360" w:rsidRPr="00E90360" w:rsidRDefault="00E90360" w:rsidP="00E90360">
      <w:pPr>
        <w:rPr>
          <w:sz w:val="22"/>
        </w:rPr>
      </w:pPr>
    </w:p>
    <w:p w14:paraId="1A28903A" w14:textId="77777777" w:rsidR="00E90360" w:rsidRPr="00E90360" w:rsidRDefault="00E453CD" w:rsidP="00E90360">
      <w:pPr>
        <w:numPr>
          <w:ilvl w:val="0"/>
          <w:numId w:val="15"/>
        </w:numPr>
        <w:rPr>
          <w:sz w:val="22"/>
          <w:szCs w:val="22"/>
        </w:rPr>
      </w:pPr>
      <w:r w:rsidRPr="00E90360">
        <w:rPr>
          <w:sz w:val="22"/>
        </w:rPr>
        <w:t xml:space="preserve">Ikke </w:t>
      </w:r>
      <w:r w:rsidRPr="00E90360">
        <w:rPr>
          <w:sz w:val="22"/>
          <w:szCs w:val="22"/>
        </w:rPr>
        <w:t>forsøk å injisere på barnet ditt før du er sikker på at du forstår hvordan du skal forberede og sette injeksjonen.</w:t>
      </w:r>
    </w:p>
    <w:p w14:paraId="2131D06C" w14:textId="77777777" w:rsidR="00E90360" w:rsidRPr="00E90360" w:rsidRDefault="00E90360" w:rsidP="00E90360">
      <w:pPr>
        <w:ind w:left="720"/>
        <w:rPr>
          <w:sz w:val="22"/>
          <w:szCs w:val="22"/>
        </w:rPr>
      </w:pPr>
    </w:p>
    <w:p w14:paraId="0F15806D" w14:textId="77777777" w:rsidR="00E90360" w:rsidRPr="00E90360" w:rsidRDefault="00E453CD" w:rsidP="00E90360">
      <w:pPr>
        <w:numPr>
          <w:ilvl w:val="0"/>
          <w:numId w:val="15"/>
        </w:numPr>
        <w:rPr>
          <w:sz w:val="22"/>
          <w:szCs w:val="22"/>
        </w:rPr>
      </w:pPr>
      <w:r w:rsidRPr="00E90360">
        <w:rPr>
          <w:sz w:val="22"/>
          <w:szCs w:val="22"/>
        </w:rPr>
        <w:t>Etter nødvendig opplæring kan barnet ditt sette injeksjonen selv, eller en annen person, f.eks. et familiemedlem eller en venn kan sette den.</w:t>
      </w:r>
    </w:p>
    <w:p w14:paraId="46EC8A1F" w14:textId="77777777" w:rsidR="00E90360" w:rsidRPr="00E90360" w:rsidRDefault="00E90360" w:rsidP="00E90360">
      <w:pPr>
        <w:ind w:left="720"/>
        <w:rPr>
          <w:sz w:val="22"/>
        </w:rPr>
      </w:pPr>
    </w:p>
    <w:p w14:paraId="7B7BADC3" w14:textId="77777777" w:rsidR="00E90360" w:rsidRPr="00E90360" w:rsidRDefault="00E453CD" w:rsidP="00E90360">
      <w:pPr>
        <w:numPr>
          <w:ilvl w:val="0"/>
          <w:numId w:val="15"/>
        </w:numPr>
        <w:rPr>
          <w:sz w:val="22"/>
          <w:szCs w:val="22"/>
        </w:rPr>
      </w:pPr>
      <w:r w:rsidRPr="00E90360">
        <w:rPr>
          <w:sz w:val="22"/>
          <w:szCs w:val="22"/>
        </w:rPr>
        <w:t>Bruk kun hver ferdigfylt sprøyte til én injeksjon.</w:t>
      </w:r>
    </w:p>
    <w:p w14:paraId="52C5FE43" w14:textId="77777777" w:rsidR="00E90360" w:rsidRPr="00E90360" w:rsidRDefault="00E90360" w:rsidP="00E90360">
      <w:pPr>
        <w:ind w:left="720"/>
        <w:rPr>
          <w:sz w:val="22"/>
          <w:szCs w:val="22"/>
        </w:rPr>
      </w:pPr>
    </w:p>
    <w:p w14:paraId="10B823E3" w14:textId="77777777" w:rsidR="00E90360" w:rsidRPr="00E90360" w:rsidRDefault="00E453CD" w:rsidP="00E90360">
      <w:pPr>
        <w:keepNext/>
        <w:tabs>
          <w:tab w:val="left" w:pos="562"/>
        </w:tabs>
        <w:suppressAutoHyphens/>
        <w:rPr>
          <w:b/>
          <w:sz w:val="22"/>
          <w:szCs w:val="20"/>
        </w:rPr>
      </w:pPr>
      <w:r w:rsidRPr="00E90360">
        <w:rPr>
          <w:b/>
          <w:sz w:val="22"/>
          <w:szCs w:val="20"/>
        </w:rPr>
        <w:lastRenderedPageBreak/>
        <w:t>Humira ferdigfylt sprøyte</w:t>
      </w:r>
    </w:p>
    <w:p w14:paraId="03458340" w14:textId="77777777" w:rsidR="00E90360" w:rsidRPr="00E90360" w:rsidRDefault="00E90360" w:rsidP="00E90360">
      <w:pPr>
        <w:keepNext/>
        <w:tabs>
          <w:tab w:val="left" w:pos="562"/>
        </w:tabs>
        <w:suppressAutoHyphens/>
        <w:rPr>
          <w:sz w:val="22"/>
          <w:szCs w:val="20"/>
        </w:rPr>
      </w:pPr>
    </w:p>
    <w:p w14:paraId="1CC8E22E" w14:textId="77777777" w:rsidR="00E90360" w:rsidRPr="00663766" w:rsidRDefault="00E453CD" w:rsidP="00E90360">
      <w:pPr>
        <w:keepNext/>
        <w:tabs>
          <w:tab w:val="left" w:pos="562"/>
        </w:tabs>
        <w:suppressAutoHyphens/>
        <w:rPr>
          <w:sz w:val="22"/>
        </w:rPr>
      </w:pPr>
      <w:r w:rsidRPr="00E90360">
        <w:rPr>
          <w:b/>
          <w:sz w:val="22"/>
        </w:rPr>
        <w:tab/>
      </w:r>
      <w:r w:rsidRPr="00E90360">
        <w:rPr>
          <w:b/>
          <w:sz w:val="22"/>
        </w:rPr>
        <w:tab/>
      </w:r>
      <w:r w:rsidRPr="00E90360">
        <w:rPr>
          <w:b/>
          <w:sz w:val="22"/>
        </w:rPr>
        <w:tab/>
        <w:t xml:space="preserve">  Sprøytestempel</w:t>
      </w:r>
      <w:r w:rsidRPr="00E90360">
        <w:rPr>
          <w:b/>
          <w:sz w:val="22"/>
        </w:rPr>
        <w:tab/>
      </w:r>
      <w:r w:rsidR="00211EE9">
        <w:rPr>
          <w:b/>
          <w:sz w:val="22"/>
        </w:rPr>
        <w:t xml:space="preserve">    </w:t>
      </w:r>
      <w:r w:rsidRPr="00E90360">
        <w:rPr>
          <w:b/>
          <w:sz w:val="22"/>
        </w:rPr>
        <w:t xml:space="preserve"> Fingergrep</w:t>
      </w:r>
      <w:r w:rsidRPr="00E90360">
        <w:rPr>
          <w:b/>
          <w:sz w:val="22"/>
        </w:rPr>
        <w:tab/>
      </w:r>
      <w:r w:rsidR="00211EE9">
        <w:rPr>
          <w:b/>
          <w:sz w:val="22"/>
        </w:rPr>
        <w:tab/>
      </w:r>
      <w:r w:rsidRPr="00E90360">
        <w:rPr>
          <w:b/>
          <w:sz w:val="22"/>
        </w:rPr>
        <w:t xml:space="preserve">     </w:t>
      </w:r>
      <w:r w:rsidR="0003247B" w:rsidRPr="00E90360">
        <w:rPr>
          <w:b/>
          <w:sz w:val="22"/>
        </w:rPr>
        <w:t>Kanyle</w:t>
      </w:r>
      <w:r w:rsidR="0003247B">
        <w:rPr>
          <w:b/>
          <w:sz w:val="22"/>
        </w:rPr>
        <w:t>hette</w:t>
      </w:r>
    </w:p>
    <w:p w14:paraId="6199AD78" w14:textId="77777777" w:rsidR="00E90360" w:rsidRPr="00D221F9" w:rsidRDefault="00E453CD" w:rsidP="00E90360">
      <w:pPr>
        <w:keepNext/>
        <w:tabs>
          <w:tab w:val="left" w:pos="562"/>
        </w:tabs>
        <w:suppressAutoHyphens/>
        <w:jc w:val="center"/>
        <w:rPr>
          <w:sz w:val="22"/>
        </w:rPr>
      </w:pPr>
      <w:r>
        <w:rPr>
          <w:noProof/>
          <w:lang w:val="en-GB" w:eastAsia="en-GB"/>
        </w:rPr>
        <w:drawing>
          <wp:inline distT="0" distB="0" distL="0" distR="0" wp14:anchorId="5971B163" wp14:editId="79AF11DB">
            <wp:extent cx="3364992" cy="1478124"/>
            <wp:effectExtent l="0" t="0" r="6985" b="825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Humira_Exploded_Syringe_Only_new grey.jpg"/>
                    <pic:cNvPicPr/>
                  </pic:nvPicPr>
                  <pic:blipFill>
                    <a:blip r:embed="rId28">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5FA0AC42" w14:textId="77777777" w:rsidR="00E90360" w:rsidRPr="00E90360" w:rsidRDefault="00E90360" w:rsidP="00E90360">
      <w:pPr>
        <w:rPr>
          <w:sz w:val="22"/>
        </w:rPr>
      </w:pPr>
    </w:p>
    <w:p w14:paraId="31FD4DBF" w14:textId="77777777" w:rsidR="00E90360" w:rsidRPr="00663766" w:rsidRDefault="00E453CD" w:rsidP="00E90360">
      <w:pPr>
        <w:keepNext/>
        <w:tabs>
          <w:tab w:val="left" w:pos="562"/>
        </w:tabs>
        <w:suppressAutoHyphens/>
        <w:rPr>
          <w:sz w:val="22"/>
          <w:szCs w:val="20"/>
        </w:rPr>
      </w:pPr>
      <w:r w:rsidRPr="00E90360">
        <w:rPr>
          <w:b/>
          <w:sz w:val="22"/>
          <w:szCs w:val="20"/>
        </w:rPr>
        <w:t>Ikke bruk den ferdigfylte sprøyten og ring legen din eller apotek dersom</w:t>
      </w:r>
    </w:p>
    <w:p w14:paraId="5D9C7632" w14:textId="77777777" w:rsidR="00E90360" w:rsidRPr="00E90360" w:rsidRDefault="00E90360" w:rsidP="00E90360">
      <w:pPr>
        <w:tabs>
          <w:tab w:val="left" w:pos="562"/>
        </w:tabs>
        <w:suppressAutoHyphens/>
        <w:rPr>
          <w:sz w:val="22"/>
          <w:szCs w:val="20"/>
        </w:rPr>
      </w:pPr>
    </w:p>
    <w:p w14:paraId="566F45E3" w14:textId="77777777" w:rsidR="00E90360" w:rsidRPr="00E90360" w:rsidRDefault="00E453CD" w:rsidP="00E90360">
      <w:pPr>
        <w:keepNext/>
        <w:numPr>
          <w:ilvl w:val="0"/>
          <w:numId w:val="123"/>
        </w:numPr>
        <w:tabs>
          <w:tab w:val="left" w:pos="720"/>
        </w:tabs>
        <w:suppressAutoHyphens/>
        <w:rPr>
          <w:sz w:val="22"/>
          <w:szCs w:val="20"/>
        </w:rPr>
      </w:pPr>
      <w:r w:rsidRPr="00E90360">
        <w:rPr>
          <w:sz w:val="22"/>
          <w:szCs w:val="20"/>
        </w:rPr>
        <w:t>oppløsningen er uklar, misfarget eller har flak eller partikler i seg</w:t>
      </w:r>
    </w:p>
    <w:p w14:paraId="05D8FA9F" w14:textId="77777777" w:rsidR="00E90360" w:rsidRPr="00E90360" w:rsidRDefault="00E453CD" w:rsidP="00E90360">
      <w:pPr>
        <w:keepNext/>
        <w:numPr>
          <w:ilvl w:val="0"/>
          <w:numId w:val="123"/>
        </w:numPr>
        <w:tabs>
          <w:tab w:val="left" w:pos="720"/>
        </w:tabs>
        <w:suppressAutoHyphens/>
        <w:rPr>
          <w:sz w:val="22"/>
          <w:szCs w:val="20"/>
          <w:lang w:val="en-GB"/>
        </w:rPr>
      </w:pPr>
      <w:r w:rsidRPr="00E90360">
        <w:rPr>
          <w:sz w:val="22"/>
          <w:szCs w:val="20"/>
          <w:lang w:val="en-GB"/>
        </w:rPr>
        <w:t>utløpsdato (EXP) har passert</w:t>
      </w:r>
    </w:p>
    <w:p w14:paraId="7013617A" w14:textId="77777777" w:rsidR="00E90360" w:rsidRPr="00E90360" w:rsidRDefault="00E453CD" w:rsidP="00E90360">
      <w:pPr>
        <w:keepNext/>
        <w:numPr>
          <w:ilvl w:val="0"/>
          <w:numId w:val="123"/>
        </w:numPr>
        <w:tabs>
          <w:tab w:val="left" w:pos="720"/>
        </w:tabs>
        <w:suppressAutoHyphens/>
        <w:rPr>
          <w:sz w:val="22"/>
          <w:szCs w:val="20"/>
        </w:rPr>
      </w:pPr>
      <w:r w:rsidRPr="00E90360">
        <w:rPr>
          <w:sz w:val="22"/>
          <w:szCs w:val="20"/>
        </w:rPr>
        <w:t>oppløsningen har vært frosset eller har vært oppbevart i direkte sollys</w:t>
      </w:r>
    </w:p>
    <w:p w14:paraId="328F7C9B" w14:textId="77777777" w:rsidR="00E90360" w:rsidRPr="00E90360" w:rsidRDefault="00E453CD" w:rsidP="00E90360">
      <w:pPr>
        <w:keepNext/>
        <w:numPr>
          <w:ilvl w:val="0"/>
          <w:numId w:val="123"/>
        </w:numPr>
        <w:tabs>
          <w:tab w:val="left" w:pos="720"/>
        </w:tabs>
        <w:suppressAutoHyphens/>
        <w:rPr>
          <w:sz w:val="22"/>
          <w:szCs w:val="20"/>
        </w:rPr>
      </w:pPr>
      <w:r w:rsidRPr="00E90360">
        <w:rPr>
          <w:sz w:val="22"/>
          <w:szCs w:val="20"/>
        </w:rPr>
        <w:t>den ferdigfylte sprøyten har falt på gulvet eller har knust</w:t>
      </w:r>
    </w:p>
    <w:p w14:paraId="45AC26BE" w14:textId="77777777" w:rsidR="00E90360" w:rsidRPr="00E90360" w:rsidRDefault="00E90360" w:rsidP="00E90360">
      <w:pPr>
        <w:tabs>
          <w:tab w:val="left" w:pos="562"/>
        </w:tabs>
        <w:suppressAutoHyphens/>
        <w:rPr>
          <w:sz w:val="22"/>
          <w:szCs w:val="22"/>
        </w:rPr>
      </w:pPr>
    </w:p>
    <w:p w14:paraId="78571818" w14:textId="77777777" w:rsidR="00E90360" w:rsidRPr="00663766" w:rsidRDefault="00E453CD" w:rsidP="00E90360">
      <w:pPr>
        <w:tabs>
          <w:tab w:val="left" w:pos="562"/>
        </w:tabs>
        <w:suppressAutoHyphens/>
        <w:rPr>
          <w:sz w:val="22"/>
          <w:szCs w:val="20"/>
        </w:rPr>
      </w:pPr>
      <w:r w:rsidRPr="00E90360">
        <w:rPr>
          <w:b/>
          <w:sz w:val="22"/>
          <w:szCs w:val="20"/>
        </w:rPr>
        <w:t xml:space="preserve">Ikke fjern </w:t>
      </w:r>
      <w:r w:rsidR="0003247B" w:rsidRPr="00E90360">
        <w:rPr>
          <w:b/>
          <w:sz w:val="22"/>
          <w:szCs w:val="20"/>
        </w:rPr>
        <w:t>kanyle</w:t>
      </w:r>
      <w:r w:rsidR="0003247B">
        <w:rPr>
          <w:b/>
          <w:sz w:val="22"/>
          <w:szCs w:val="20"/>
        </w:rPr>
        <w:t>hette</w:t>
      </w:r>
      <w:r w:rsidR="00730174">
        <w:rPr>
          <w:b/>
          <w:sz w:val="22"/>
          <w:szCs w:val="20"/>
        </w:rPr>
        <w:t>n</w:t>
      </w:r>
      <w:r w:rsidR="0003247B" w:rsidRPr="00E90360">
        <w:rPr>
          <w:b/>
          <w:sz w:val="22"/>
          <w:szCs w:val="20"/>
        </w:rPr>
        <w:t xml:space="preserve"> </w:t>
      </w:r>
      <w:r w:rsidRPr="00E90360">
        <w:rPr>
          <w:b/>
          <w:sz w:val="22"/>
          <w:szCs w:val="20"/>
        </w:rPr>
        <w:t>f</w:t>
      </w:r>
      <w:r w:rsidRPr="00E90360">
        <w:rPr>
          <w:rFonts w:hint="eastAsia"/>
          <w:b/>
          <w:sz w:val="22"/>
          <w:szCs w:val="20"/>
        </w:rPr>
        <w:t>ø</w:t>
      </w:r>
      <w:r w:rsidRPr="00E90360">
        <w:rPr>
          <w:b/>
          <w:sz w:val="22"/>
          <w:szCs w:val="20"/>
        </w:rPr>
        <w:t>r rett f</w:t>
      </w:r>
      <w:r w:rsidRPr="00E90360">
        <w:rPr>
          <w:rFonts w:hint="eastAsia"/>
          <w:b/>
          <w:sz w:val="22"/>
          <w:szCs w:val="20"/>
        </w:rPr>
        <w:t>ø</w:t>
      </w:r>
      <w:r w:rsidRPr="00E90360">
        <w:rPr>
          <w:b/>
          <w:sz w:val="22"/>
          <w:szCs w:val="20"/>
        </w:rPr>
        <w:t>r du skal sette en injeksjon. Oppbevares utilgjengelig for barn.</w:t>
      </w:r>
    </w:p>
    <w:p w14:paraId="40443F17" w14:textId="77777777" w:rsidR="00E90360" w:rsidRPr="00E90360" w:rsidRDefault="00E90360" w:rsidP="00E90360">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4644D4" w14:paraId="18AEC490" w14:textId="77777777" w:rsidTr="002A2660">
        <w:tc>
          <w:tcPr>
            <w:tcW w:w="9287" w:type="dxa"/>
            <w:gridSpan w:val="2"/>
            <w:tcBorders>
              <w:bottom w:val="single" w:sz="4" w:space="0" w:color="auto"/>
            </w:tcBorders>
          </w:tcPr>
          <w:p w14:paraId="15351E43" w14:textId="77777777" w:rsidR="00E90360" w:rsidRPr="00663766" w:rsidRDefault="00E453CD" w:rsidP="00663766">
            <w:pPr>
              <w:tabs>
                <w:tab w:val="left" w:pos="562"/>
              </w:tabs>
              <w:suppressAutoHyphens/>
              <w:rPr>
                <w:sz w:val="22"/>
                <w:szCs w:val="20"/>
              </w:rPr>
            </w:pPr>
            <w:r w:rsidRPr="00E90360">
              <w:rPr>
                <w:b/>
                <w:sz w:val="22"/>
                <w:szCs w:val="20"/>
              </w:rPr>
              <w:t>STEG 1</w:t>
            </w:r>
          </w:p>
          <w:p w14:paraId="31D6C011" w14:textId="77777777" w:rsidR="00E90360" w:rsidRPr="00E90360" w:rsidRDefault="00E90360" w:rsidP="00663766">
            <w:pPr>
              <w:tabs>
                <w:tab w:val="left" w:pos="562"/>
              </w:tabs>
              <w:suppressAutoHyphens/>
              <w:rPr>
                <w:sz w:val="22"/>
                <w:szCs w:val="20"/>
              </w:rPr>
            </w:pPr>
          </w:p>
          <w:p w14:paraId="169309D8" w14:textId="77777777" w:rsidR="00E90360" w:rsidRPr="00E90360" w:rsidRDefault="00E453CD" w:rsidP="00663766">
            <w:pPr>
              <w:tabs>
                <w:tab w:val="left" w:pos="562"/>
              </w:tabs>
              <w:suppressAutoHyphens/>
              <w:rPr>
                <w:sz w:val="22"/>
                <w:szCs w:val="20"/>
              </w:rPr>
            </w:pPr>
            <w:r w:rsidRPr="00E90360">
              <w:rPr>
                <w:sz w:val="22"/>
                <w:szCs w:val="20"/>
              </w:rPr>
              <w:t>Ta Humira ut av kjøleskapet.</w:t>
            </w:r>
          </w:p>
          <w:p w14:paraId="21ED69C1" w14:textId="77777777" w:rsidR="00E90360" w:rsidRPr="00E90360" w:rsidRDefault="00E90360" w:rsidP="00663766">
            <w:pPr>
              <w:tabs>
                <w:tab w:val="left" w:pos="562"/>
              </w:tabs>
              <w:suppressAutoHyphens/>
              <w:rPr>
                <w:sz w:val="22"/>
                <w:szCs w:val="20"/>
              </w:rPr>
            </w:pPr>
          </w:p>
          <w:p w14:paraId="2BFED320" w14:textId="77777777" w:rsidR="00E90360" w:rsidRPr="00E90360" w:rsidRDefault="00E453CD" w:rsidP="00663766">
            <w:pPr>
              <w:tabs>
                <w:tab w:val="left" w:pos="562"/>
              </w:tabs>
              <w:suppressAutoHyphens/>
              <w:rPr>
                <w:sz w:val="22"/>
                <w:szCs w:val="20"/>
              </w:rPr>
            </w:pPr>
            <w:r w:rsidRPr="00E90360">
              <w:rPr>
                <w:sz w:val="22"/>
                <w:szCs w:val="20"/>
              </w:rPr>
              <w:t xml:space="preserve">La Humira ligge ved romtemperatur i </w:t>
            </w:r>
            <w:r w:rsidRPr="00E90360">
              <w:rPr>
                <w:b/>
                <w:sz w:val="22"/>
                <w:szCs w:val="20"/>
              </w:rPr>
              <w:t xml:space="preserve">15 til 30 minutter </w:t>
            </w:r>
            <w:r w:rsidRPr="00E90360">
              <w:rPr>
                <w:sz w:val="22"/>
                <w:szCs w:val="20"/>
              </w:rPr>
              <w:t>før du setter injeksjonen.</w:t>
            </w:r>
          </w:p>
          <w:p w14:paraId="69F64D70" w14:textId="77777777" w:rsidR="00E90360" w:rsidRPr="00E90360" w:rsidRDefault="00E90360" w:rsidP="00663766">
            <w:pPr>
              <w:tabs>
                <w:tab w:val="left" w:pos="562"/>
              </w:tabs>
              <w:suppressAutoHyphens/>
              <w:rPr>
                <w:sz w:val="22"/>
                <w:szCs w:val="20"/>
              </w:rPr>
            </w:pPr>
          </w:p>
          <w:p w14:paraId="2905A139" w14:textId="77777777" w:rsidR="00E90360" w:rsidRPr="00E90360" w:rsidRDefault="00E453CD" w:rsidP="00663766">
            <w:pPr>
              <w:numPr>
                <w:ilvl w:val="0"/>
                <w:numId w:val="114"/>
              </w:numPr>
              <w:tabs>
                <w:tab w:val="left" w:pos="720"/>
              </w:tabs>
              <w:suppressAutoHyphens/>
              <w:rPr>
                <w:sz w:val="22"/>
                <w:szCs w:val="20"/>
              </w:rPr>
            </w:pPr>
            <w:r w:rsidRPr="00E90360">
              <w:rPr>
                <w:b/>
                <w:sz w:val="22"/>
                <w:szCs w:val="20"/>
              </w:rPr>
              <w:t xml:space="preserve">Ikke </w:t>
            </w:r>
            <w:r w:rsidRPr="00E90360">
              <w:rPr>
                <w:sz w:val="22"/>
                <w:szCs w:val="20"/>
              </w:rPr>
              <w:t xml:space="preserve">fjern </w:t>
            </w:r>
            <w:r w:rsidR="0003247B" w:rsidRPr="00E90360">
              <w:rPr>
                <w:sz w:val="22"/>
                <w:szCs w:val="20"/>
              </w:rPr>
              <w:t>kanyle</w:t>
            </w:r>
            <w:r w:rsidR="0003247B">
              <w:rPr>
                <w:sz w:val="22"/>
                <w:szCs w:val="20"/>
              </w:rPr>
              <w:t>hette</w:t>
            </w:r>
            <w:r w:rsidR="00730174">
              <w:rPr>
                <w:sz w:val="22"/>
                <w:szCs w:val="20"/>
              </w:rPr>
              <w:t>n</w:t>
            </w:r>
            <w:r w:rsidR="0003247B" w:rsidRPr="00E90360">
              <w:rPr>
                <w:sz w:val="22"/>
                <w:szCs w:val="20"/>
              </w:rPr>
              <w:t xml:space="preserve"> </w:t>
            </w:r>
            <w:r w:rsidRPr="00E90360">
              <w:rPr>
                <w:sz w:val="22"/>
                <w:szCs w:val="20"/>
              </w:rPr>
              <w:t>mens du tillater Humira å oppnå romtemperatur</w:t>
            </w:r>
          </w:p>
          <w:p w14:paraId="5806D1E3" w14:textId="77777777" w:rsidR="00E90360" w:rsidRPr="00E90360" w:rsidRDefault="00E453CD" w:rsidP="00663766">
            <w:pPr>
              <w:numPr>
                <w:ilvl w:val="0"/>
                <w:numId w:val="114"/>
              </w:numPr>
              <w:tabs>
                <w:tab w:val="left" w:pos="720"/>
              </w:tabs>
              <w:suppressAutoHyphens/>
              <w:rPr>
                <w:sz w:val="22"/>
                <w:szCs w:val="20"/>
              </w:rPr>
            </w:pPr>
            <w:r w:rsidRPr="00E90360">
              <w:rPr>
                <w:b/>
                <w:sz w:val="22"/>
                <w:szCs w:val="20"/>
              </w:rPr>
              <w:t xml:space="preserve">Ikke </w:t>
            </w:r>
            <w:r w:rsidRPr="00E90360">
              <w:rPr>
                <w:sz w:val="22"/>
                <w:szCs w:val="20"/>
              </w:rPr>
              <w:t xml:space="preserve">varm opp Humira på noen annen måte. F.eks. </w:t>
            </w:r>
            <w:r w:rsidRPr="00E90360">
              <w:rPr>
                <w:b/>
                <w:sz w:val="22"/>
                <w:szCs w:val="20"/>
              </w:rPr>
              <w:t>ikke</w:t>
            </w:r>
            <w:r w:rsidRPr="00E90360">
              <w:rPr>
                <w:sz w:val="22"/>
                <w:szCs w:val="20"/>
              </w:rPr>
              <w:t xml:space="preserve"> varm den opp i en mikrobølgeovn eller i varmt vann</w:t>
            </w:r>
          </w:p>
        </w:tc>
      </w:tr>
      <w:tr w:rsidR="004644D4" w14:paraId="3B2A0638" w14:textId="77777777" w:rsidTr="002A2660">
        <w:tc>
          <w:tcPr>
            <w:tcW w:w="3708" w:type="dxa"/>
            <w:tcBorders>
              <w:right w:val="nil"/>
            </w:tcBorders>
          </w:tcPr>
          <w:p w14:paraId="03B78CA7" w14:textId="77777777" w:rsidR="00E90360" w:rsidRPr="00663766" w:rsidRDefault="00E453CD" w:rsidP="00E90360">
            <w:pPr>
              <w:keepNext/>
              <w:tabs>
                <w:tab w:val="left" w:pos="562"/>
              </w:tabs>
              <w:suppressAutoHyphens/>
              <w:rPr>
                <w:noProof/>
                <w:sz w:val="22"/>
                <w:szCs w:val="20"/>
                <w:lang w:val="en-US"/>
              </w:rPr>
            </w:pPr>
            <w:r w:rsidRPr="00E90360">
              <w:rPr>
                <w:sz w:val="22"/>
                <w:szCs w:val="20"/>
              </w:rPr>
              <w:lastRenderedPageBreak/>
              <w:br w:type="page"/>
            </w:r>
            <w:r w:rsidR="00663766">
              <w:rPr>
                <w:b/>
                <w:noProof/>
                <w:sz w:val="22"/>
                <w:szCs w:val="20"/>
                <w:lang w:val="en-US"/>
              </w:rPr>
              <w:t>STEG 2</w:t>
            </w:r>
          </w:p>
          <w:p w14:paraId="339B88F5" w14:textId="77777777" w:rsidR="00E90360" w:rsidRPr="00663766" w:rsidRDefault="00E90360" w:rsidP="00E90360">
            <w:pPr>
              <w:keepNext/>
              <w:tabs>
                <w:tab w:val="left" w:pos="562"/>
              </w:tabs>
              <w:suppressAutoHyphens/>
              <w:rPr>
                <w:noProof/>
                <w:sz w:val="22"/>
                <w:szCs w:val="20"/>
                <w:lang w:val="en-US"/>
              </w:rPr>
            </w:pPr>
          </w:p>
          <w:p w14:paraId="70E1F1DF" w14:textId="77777777" w:rsidR="00E90360" w:rsidRPr="00E90360" w:rsidRDefault="00E453CD" w:rsidP="00E90360">
            <w:pPr>
              <w:keepNext/>
              <w:tabs>
                <w:tab w:val="left" w:pos="562"/>
              </w:tabs>
              <w:suppressAutoHyphens/>
              <w:rPr>
                <w:b/>
                <w:noProof/>
                <w:sz w:val="22"/>
                <w:szCs w:val="20"/>
                <w:lang w:val="en-US"/>
              </w:rPr>
            </w:pPr>
            <w:r w:rsidRPr="00E90360">
              <w:rPr>
                <w:noProof/>
                <w:sz w:val="22"/>
                <w:szCs w:val="20"/>
                <w:lang w:val="en-US"/>
              </w:rPr>
              <w:t xml:space="preserve">               </w:t>
            </w:r>
            <w:r w:rsidRPr="00E90360">
              <w:rPr>
                <w:b/>
                <w:noProof/>
                <w:sz w:val="22"/>
                <w:szCs w:val="20"/>
                <w:lang w:val="en-US"/>
              </w:rPr>
              <w:t>Sprøyte</w:t>
            </w:r>
          </w:p>
          <w:p w14:paraId="2708F42B" w14:textId="77777777" w:rsidR="00E90360" w:rsidRPr="00E90360" w:rsidRDefault="00E453CD" w:rsidP="00E90360">
            <w:pPr>
              <w:keepNext/>
              <w:tabs>
                <w:tab w:val="left" w:pos="562"/>
              </w:tabs>
              <w:suppressAutoHyphens/>
              <w:rPr>
                <w:noProof/>
                <w:sz w:val="22"/>
                <w:szCs w:val="20"/>
                <w:lang w:val="en-US"/>
              </w:rPr>
            </w:pPr>
            <w:r>
              <w:rPr>
                <w:noProof/>
                <w:lang w:val="en-GB" w:eastAsia="en-GB"/>
              </w:rPr>
              <w:drawing>
                <wp:inline distT="0" distB="0" distL="0" distR="0" wp14:anchorId="4C4CF82B" wp14:editId="3FD95BF8">
                  <wp:extent cx="2217420" cy="2052320"/>
                  <wp:effectExtent l="0" t="0" r="0" b="50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TEP_2_SYRINGE_IFU_SETUP_new grey.jpg"/>
                          <pic:cNvPicPr/>
                        </pic:nvPicPr>
                        <pic:blipFill>
                          <a:blip r:embed="rId29">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1D8BEEB7" w14:textId="77777777" w:rsidR="00E90360" w:rsidRPr="00E90360" w:rsidRDefault="00E453CD" w:rsidP="00211EE9">
            <w:pPr>
              <w:keepNext/>
              <w:tabs>
                <w:tab w:val="left" w:pos="562"/>
              </w:tabs>
              <w:suppressAutoHyphens/>
              <w:rPr>
                <w:b/>
                <w:sz w:val="22"/>
                <w:szCs w:val="20"/>
                <w:lang w:val="en-GB"/>
              </w:rPr>
            </w:pPr>
            <w:r w:rsidRPr="00E90360">
              <w:rPr>
                <w:b/>
                <w:noProof/>
                <w:sz w:val="22"/>
                <w:szCs w:val="20"/>
                <w:lang w:val="en-US"/>
              </w:rPr>
              <w:t xml:space="preserve">                Injeksjonstørk</w:t>
            </w:r>
          </w:p>
        </w:tc>
        <w:tc>
          <w:tcPr>
            <w:tcW w:w="5579" w:type="dxa"/>
            <w:tcBorders>
              <w:left w:val="nil"/>
            </w:tcBorders>
          </w:tcPr>
          <w:p w14:paraId="1C5194D6" w14:textId="77777777" w:rsidR="00E90360" w:rsidRPr="00E90360" w:rsidRDefault="00E453CD" w:rsidP="00E90360">
            <w:pPr>
              <w:keepNext/>
              <w:tabs>
                <w:tab w:val="left" w:pos="562"/>
              </w:tabs>
              <w:suppressAutoHyphens/>
              <w:rPr>
                <w:sz w:val="22"/>
                <w:szCs w:val="20"/>
              </w:rPr>
            </w:pPr>
            <w:r w:rsidRPr="00E90360">
              <w:rPr>
                <w:sz w:val="22"/>
                <w:szCs w:val="20"/>
              </w:rPr>
              <w:t xml:space="preserve">Sjekk utløpsdatoen (EXP). </w:t>
            </w:r>
            <w:r w:rsidRPr="00E90360">
              <w:rPr>
                <w:b/>
                <w:sz w:val="22"/>
                <w:szCs w:val="20"/>
              </w:rPr>
              <w:t>Ikke</w:t>
            </w:r>
            <w:r w:rsidRPr="00E90360">
              <w:rPr>
                <w:sz w:val="22"/>
                <w:szCs w:val="20"/>
              </w:rPr>
              <w:t xml:space="preserve"> bruk den ferdigfylte sprøyten dersom utløpsdatoen (EXP) har passert.</w:t>
            </w:r>
          </w:p>
          <w:p w14:paraId="00C78B9F" w14:textId="77777777" w:rsidR="00E90360" w:rsidRPr="00E90360" w:rsidRDefault="00E90360" w:rsidP="00E90360">
            <w:pPr>
              <w:keepNext/>
              <w:tabs>
                <w:tab w:val="left" w:pos="562"/>
              </w:tabs>
              <w:suppressAutoHyphens/>
              <w:rPr>
                <w:sz w:val="22"/>
                <w:szCs w:val="20"/>
              </w:rPr>
            </w:pPr>
          </w:p>
          <w:p w14:paraId="0243F6E2" w14:textId="77777777" w:rsidR="00E90360" w:rsidRPr="00E90360" w:rsidRDefault="00E453CD" w:rsidP="00E90360">
            <w:pPr>
              <w:keepNext/>
              <w:tabs>
                <w:tab w:val="left" w:pos="562"/>
              </w:tabs>
              <w:suppressAutoHyphens/>
              <w:rPr>
                <w:sz w:val="22"/>
                <w:szCs w:val="20"/>
              </w:rPr>
            </w:pPr>
            <w:r w:rsidRPr="00E90360">
              <w:rPr>
                <w:sz w:val="22"/>
                <w:szCs w:val="20"/>
              </w:rPr>
              <w:t>Legg følgende deler på en ren, flat overflate</w:t>
            </w:r>
          </w:p>
          <w:p w14:paraId="0462DE59" w14:textId="77777777" w:rsidR="00E90360" w:rsidRPr="00E90360" w:rsidRDefault="00E90360" w:rsidP="00E90360">
            <w:pPr>
              <w:keepNext/>
              <w:tabs>
                <w:tab w:val="left" w:pos="562"/>
              </w:tabs>
              <w:suppressAutoHyphens/>
              <w:rPr>
                <w:sz w:val="22"/>
                <w:szCs w:val="20"/>
              </w:rPr>
            </w:pPr>
          </w:p>
          <w:p w14:paraId="5FF8BBAE" w14:textId="77777777" w:rsidR="00E90360" w:rsidRPr="00E90360" w:rsidRDefault="00E453CD" w:rsidP="00E90360">
            <w:pPr>
              <w:keepNext/>
              <w:numPr>
                <w:ilvl w:val="0"/>
                <w:numId w:val="115"/>
              </w:numPr>
              <w:tabs>
                <w:tab w:val="left" w:pos="757"/>
              </w:tabs>
              <w:suppressAutoHyphens/>
              <w:ind w:left="757"/>
              <w:rPr>
                <w:sz w:val="22"/>
                <w:szCs w:val="20"/>
              </w:rPr>
            </w:pPr>
            <w:r w:rsidRPr="00E90360">
              <w:rPr>
                <w:sz w:val="22"/>
                <w:szCs w:val="20"/>
              </w:rPr>
              <w:t xml:space="preserve">1 ferdigfylt sprøyte for engangsbruk og </w:t>
            </w:r>
          </w:p>
          <w:p w14:paraId="6444EE61" w14:textId="77777777" w:rsidR="00E90360" w:rsidRPr="00E90360" w:rsidRDefault="00E453CD" w:rsidP="00E90360">
            <w:pPr>
              <w:keepNext/>
              <w:numPr>
                <w:ilvl w:val="0"/>
                <w:numId w:val="115"/>
              </w:numPr>
              <w:tabs>
                <w:tab w:val="left" w:pos="757"/>
              </w:tabs>
              <w:suppressAutoHyphens/>
              <w:ind w:left="757"/>
              <w:rPr>
                <w:sz w:val="22"/>
                <w:szCs w:val="20"/>
                <w:lang w:val="en-GB"/>
              </w:rPr>
            </w:pPr>
            <w:r w:rsidRPr="00E90360">
              <w:rPr>
                <w:sz w:val="22"/>
                <w:szCs w:val="20"/>
                <w:lang w:val="en-GB"/>
              </w:rPr>
              <w:t>1 injeksjonstørk</w:t>
            </w:r>
          </w:p>
          <w:p w14:paraId="4379DCC0" w14:textId="77777777" w:rsidR="00E90360" w:rsidRPr="00E90360" w:rsidRDefault="00E90360" w:rsidP="00E90360">
            <w:pPr>
              <w:keepNext/>
              <w:tabs>
                <w:tab w:val="left" w:pos="562"/>
              </w:tabs>
              <w:suppressAutoHyphens/>
              <w:rPr>
                <w:sz w:val="22"/>
                <w:szCs w:val="20"/>
                <w:lang w:val="en-GB"/>
              </w:rPr>
            </w:pPr>
          </w:p>
          <w:p w14:paraId="35167F9A" w14:textId="77777777" w:rsidR="00E90360" w:rsidRPr="00E90360" w:rsidRDefault="00E453CD" w:rsidP="00E90360">
            <w:pPr>
              <w:keepNext/>
              <w:tabs>
                <w:tab w:val="left" w:pos="562"/>
              </w:tabs>
              <w:suppressAutoHyphens/>
              <w:rPr>
                <w:sz w:val="22"/>
                <w:szCs w:val="20"/>
              </w:rPr>
            </w:pPr>
            <w:r w:rsidRPr="00E90360">
              <w:rPr>
                <w:sz w:val="22"/>
                <w:szCs w:val="20"/>
              </w:rPr>
              <w:t>Vask og tørk hendene dine.</w:t>
            </w:r>
          </w:p>
        </w:tc>
      </w:tr>
      <w:tr w:rsidR="004644D4" w14:paraId="7EDF857F" w14:textId="77777777" w:rsidTr="002A2660">
        <w:tc>
          <w:tcPr>
            <w:tcW w:w="3708" w:type="dxa"/>
            <w:tcBorders>
              <w:right w:val="nil"/>
            </w:tcBorders>
          </w:tcPr>
          <w:p w14:paraId="563D72ED" w14:textId="77777777" w:rsidR="00E90360" w:rsidRPr="00663766" w:rsidRDefault="00E453CD" w:rsidP="00B235CD">
            <w:pPr>
              <w:tabs>
                <w:tab w:val="left" w:pos="562"/>
              </w:tabs>
              <w:suppressAutoHyphens/>
              <w:rPr>
                <w:noProof/>
                <w:sz w:val="22"/>
                <w:szCs w:val="20"/>
                <w:lang w:val="en-US"/>
              </w:rPr>
            </w:pPr>
            <w:r w:rsidRPr="00E90360">
              <w:rPr>
                <w:b/>
                <w:noProof/>
                <w:sz w:val="22"/>
                <w:szCs w:val="20"/>
                <w:lang w:val="en-US"/>
              </w:rPr>
              <w:t>STEG 3</w:t>
            </w:r>
          </w:p>
          <w:p w14:paraId="0E6ECD1C" w14:textId="77777777" w:rsidR="00E90360" w:rsidRPr="00663766" w:rsidRDefault="00E90360" w:rsidP="00E90360">
            <w:pPr>
              <w:keepNext/>
              <w:tabs>
                <w:tab w:val="left" w:pos="562"/>
              </w:tabs>
              <w:suppressAutoHyphens/>
              <w:rPr>
                <w:noProof/>
                <w:sz w:val="22"/>
                <w:szCs w:val="20"/>
                <w:lang w:val="en-US"/>
              </w:rPr>
            </w:pPr>
          </w:p>
          <w:p w14:paraId="4BBF6AEF" w14:textId="77777777" w:rsidR="00E90360" w:rsidRPr="00E90360" w:rsidRDefault="00E453CD" w:rsidP="00E90360">
            <w:pPr>
              <w:keepNext/>
              <w:tabs>
                <w:tab w:val="left" w:pos="562"/>
              </w:tabs>
              <w:suppressAutoHyphens/>
              <w:rPr>
                <w:b/>
                <w:noProof/>
                <w:sz w:val="22"/>
                <w:szCs w:val="20"/>
                <w:lang w:val="en-US"/>
              </w:rPr>
            </w:pPr>
            <w:r w:rsidRPr="00E90360">
              <w:rPr>
                <w:b/>
                <w:noProof/>
                <w:sz w:val="22"/>
                <w:szCs w:val="20"/>
                <w:lang w:val="en-US"/>
              </w:rPr>
              <w:t>Injeksjonsområder</w:t>
            </w:r>
          </w:p>
          <w:p w14:paraId="097642C5" w14:textId="77777777" w:rsidR="00E90360" w:rsidRPr="00E90360" w:rsidRDefault="00E453CD" w:rsidP="00E90360">
            <w:pPr>
              <w:keepNext/>
              <w:tabs>
                <w:tab w:val="left" w:pos="562"/>
              </w:tabs>
              <w:suppressAutoHyphens/>
              <w:rPr>
                <w:noProof/>
                <w:sz w:val="22"/>
                <w:szCs w:val="20"/>
                <w:lang w:val="en-US"/>
              </w:rPr>
            </w:pPr>
            <w:r w:rsidRPr="00E90360">
              <w:rPr>
                <w:noProof/>
                <w:sz w:val="22"/>
                <w:szCs w:val="20"/>
                <w:lang w:val="en-GB" w:eastAsia="en-GB"/>
              </w:rPr>
              <w:drawing>
                <wp:inline distT="0" distB="0" distL="0" distR="0" wp14:anchorId="10AA047A" wp14:editId="657A6574">
                  <wp:extent cx="2276475" cy="2381250"/>
                  <wp:effectExtent l="0" t="0" r="9525" b="0"/>
                  <wp:docPr id="115" name="Picture 115"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9" descr="STEP3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18EC4148" w14:textId="77777777" w:rsidR="00E90360" w:rsidRPr="00E90360" w:rsidRDefault="00E453CD" w:rsidP="00E90360">
            <w:pPr>
              <w:keepNext/>
              <w:tabs>
                <w:tab w:val="left" w:pos="562"/>
              </w:tabs>
              <w:suppressAutoHyphens/>
              <w:rPr>
                <w:b/>
                <w:sz w:val="22"/>
                <w:szCs w:val="20"/>
                <w:lang w:val="en-GB"/>
              </w:rPr>
            </w:pPr>
            <w:r w:rsidRPr="00E90360">
              <w:rPr>
                <w:noProof/>
                <w:sz w:val="22"/>
                <w:szCs w:val="20"/>
                <w:lang w:val="en-US"/>
              </w:rPr>
              <w:t xml:space="preserve">     </w:t>
            </w:r>
            <w:r w:rsidRPr="00E90360">
              <w:rPr>
                <w:b/>
                <w:noProof/>
                <w:sz w:val="22"/>
                <w:szCs w:val="20"/>
                <w:lang w:val="en-US"/>
              </w:rPr>
              <w:t>Injeksjonsområder</w:t>
            </w:r>
          </w:p>
        </w:tc>
        <w:tc>
          <w:tcPr>
            <w:tcW w:w="5579" w:type="dxa"/>
            <w:tcBorders>
              <w:left w:val="nil"/>
            </w:tcBorders>
          </w:tcPr>
          <w:p w14:paraId="3A912619" w14:textId="77777777" w:rsidR="00E90360" w:rsidRPr="00E90360" w:rsidRDefault="00E453CD" w:rsidP="00E90360">
            <w:pPr>
              <w:keepNext/>
              <w:tabs>
                <w:tab w:val="left" w:pos="562"/>
              </w:tabs>
              <w:suppressAutoHyphens/>
              <w:rPr>
                <w:sz w:val="22"/>
                <w:szCs w:val="20"/>
                <w:lang w:val="en-GB"/>
              </w:rPr>
            </w:pPr>
            <w:r w:rsidRPr="00E90360">
              <w:rPr>
                <w:sz w:val="22"/>
                <w:szCs w:val="20"/>
                <w:lang w:val="en-GB"/>
              </w:rPr>
              <w:t>Velg et injeksjonssted:</w:t>
            </w:r>
          </w:p>
          <w:p w14:paraId="6D6F56BC" w14:textId="77777777" w:rsidR="00E90360" w:rsidRPr="00E90360" w:rsidRDefault="00E90360" w:rsidP="00E90360">
            <w:pPr>
              <w:keepNext/>
              <w:tabs>
                <w:tab w:val="left" w:pos="562"/>
              </w:tabs>
              <w:suppressAutoHyphens/>
              <w:rPr>
                <w:sz w:val="22"/>
                <w:szCs w:val="20"/>
                <w:lang w:val="en-GB"/>
              </w:rPr>
            </w:pPr>
          </w:p>
          <w:p w14:paraId="635F5957" w14:textId="77777777" w:rsidR="00E90360" w:rsidRPr="00E90360" w:rsidRDefault="00E453CD" w:rsidP="00E90360">
            <w:pPr>
              <w:keepNext/>
              <w:numPr>
                <w:ilvl w:val="0"/>
                <w:numId w:val="116"/>
              </w:numPr>
              <w:tabs>
                <w:tab w:val="left" w:pos="757"/>
              </w:tabs>
              <w:suppressAutoHyphens/>
              <w:ind w:left="757"/>
              <w:rPr>
                <w:sz w:val="22"/>
                <w:szCs w:val="20"/>
              </w:rPr>
            </w:pPr>
            <w:r w:rsidRPr="00E90360">
              <w:rPr>
                <w:sz w:val="22"/>
                <w:szCs w:val="20"/>
              </w:rPr>
              <w:t>På framsiden av lårene til barnet ditt eller</w:t>
            </w:r>
          </w:p>
          <w:p w14:paraId="5BF33FF0" w14:textId="77777777" w:rsidR="00E90360" w:rsidRPr="00E90360" w:rsidRDefault="00E453CD" w:rsidP="00E90360">
            <w:pPr>
              <w:keepNext/>
              <w:numPr>
                <w:ilvl w:val="0"/>
                <w:numId w:val="116"/>
              </w:numPr>
              <w:tabs>
                <w:tab w:val="left" w:pos="757"/>
              </w:tabs>
              <w:suppressAutoHyphens/>
              <w:ind w:left="757"/>
              <w:rPr>
                <w:sz w:val="22"/>
                <w:szCs w:val="20"/>
              </w:rPr>
            </w:pPr>
            <w:r w:rsidRPr="00E90360">
              <w:rPr>
                <w:sz w:val="22"/>
                <w:szCs w:val="20"/>
              </w:rPr>
              <w:t xml:space="preserve">Magen til barnet ditt, minst 5 cm fra navlen </w:t>
            </w:r>
          </w:p>
          <w:p w14:paraId="1DE8B228" w14:textId="77777777" w:rsidR="00E90360" w:rsidRPr="00E90360" w:rsidRDefault="00E453CD" w:rsidP="00E90360">
            <w:pPr>
              <w:keepNext/>
              <w:numPr>
                <w:ilvl w:val="0"/>
                <w:numId w:val="116"/>
              </w:numPr>
              <w:tabs>
                <w:tab w:val="left" w:pos="757"/>
              </w:tabs>
              <w:suppressAutoHyphens/>
              <w:ind w:left="757"/>
              <w:rPr>
                <w:sz w:val="22"/>
                <w:szCs w:val="20"/>
              </w:rPr>
            </w:pPr>
            <w:r w:rsidRPr="00E90360">
              <w:rPr>
                <w:sz w:val="22"/>
                <w:szCs w:val="20"/>
              </w:rPr>
              <w:t>Minst 3 cm fra forrige injeksjonssted</w:t>
            </w:r>
          </w:p>
          <w:p w14:paraId="03076574" w14:textId="77777777" w:rsidR="00E90360" w:rsidRPr="00E90360" w:rsidRDefault="00E90360" w:rsidP="00E90360">
            <w:pPr>
              <w:keepNext/>
              <w:tabs>
                <w:tab w:val="left" w:pos="562"/>
              </w:tabs>
              <w:suppressAutoHyphens/>
              <w:rPr>
                <w:sz w:val="22"/>
                <w:szCs w:val="20"/>
              </w:rPr>
            </w:pPr>
          </w:p>
          <w:p w14:paraId="4DCBBA1A" w14:textId="77777777" w:rsidR="00E90360" w:rsidRPr="00E90360" w:rsidRDefault="00E453CD" w:rsidP="00E90360">
            <w:pPr>
              <w:keepNext/>
              <w:tabs>
                <w:tab w:val="left" w:pos="562"/>
              </w:tabs>
              <w:suppressAutoHyphens/>
              <w:rPr>
                <w:sz w:val="22"/>
                <w:szCs w:val="20"/>
              </w:rPr>
            </w:pPr>
            <w:r w:rsidRPr="00E90360">
              <w:rPr>
                <w:sz w:val="22"/>
                <w:szCs w:val="20"/>
              </w:rPr>
              <w:t>Bruk det vedlagte injeksjonstørket og tørk injeksjonsstedet med ringbevegelser.</w:t>
            </w:r>
          </w:p>
          <w:p w14:paraId="1BAF62AC" w14:textId="77777777" w:rsidR="00E90360" w:rsidRPr="00E90360" w:rsidRDefault="00E90360" w:rsidP="00E90360">
            <w:pPr>
              <w:keepNext/>
              <w:tabs>
                <w:tab w:val="left" w:pos="562"/>
              </w:tabs>
              <w:suppressAutoHyphens/>
              <w:rPr>
                <w:sz w:val="22"/>
                <w:szCs w:val="20"/>
              </w:rPr>
            </w:pPr>
          </w:p>
          <w:p w14:paraId="32692831" w14:textId="77777777" w:rsidR="00E90360" w:rsidRPr="00E90360" w:rsidRDefault="00E453CD" w:rsidP="00E90360">
            <w:pPr>
              <w:keepNext/>
              <w:numPr>
                <w:ilvl w:val="0"/>
                <w:numId w:val="117"/>
              </w:numPr>
              <w:tabs>
                <w:tab w:val="left" w:pos="757"/>
              </w:tabs>
              <w:suppressAutoHyphens/>
              <w:ind w:left="757"/>
              <w:rPr>
                <w:sz w:val="22"/>
                <w:szCs w:val="20"/>
              </w:rPr>
            </w:pPr>
            <w:r w:rsidRPr="00E90360">
              <w:rPr>
                <w:b/>
                <w:sz w:val="22"/>
                <w:szCs w:val="20"/>
              </w:rPr>
              <w:t>Ikke</w:t>
            </w:r>
            <w:r w:rsidRPr="00E90360">
              <w:rPr>
                <w:sz w:val="22"/>
                <w:szCs w:val="20"/>
              </w:rPr>
              <w:t xml:space="preserve"> sett en injeksjon gjennom klær</w:t>
            </w:r>
          </w:p>
          <w:p w14:paraId="0737B320" w14:textId="77777777" w:rsidR="00E90360" w:rsidRPr="00E90360" w:rsidRDefault="00E453CD" w:rsidP="00516947">
            <w:pPr>
              <w:keepNext/>
              <w:numPr>
                <w:ilvl w:val="0"/>
                <w:numId w:val="117"/>
              </w:numPr>
              <w:tabs>
                <w:tab w:val="left" w:pos="757"/>
              </w:tabs>
              <w:suppressAutoHyphens/>
              <w:ind w:left="757"/>
              <w:rPr>
                <w:sz w:val="22"/>
                <w:szCs w:val="20"/>
              </w:rPr>
            </w:pPr>
            <w:r w:rsidRPr="00E90360">
              <w:rPr>
                <w:b/>
                <w:sz w:val="22"/>
                <w:szCs w:val="20"/>
              </w:rPr>
              <w:t xml:space="preserve">Ikke </w:t>
            </w:r>
            <w:r w:rsidRPr="00E90360">
              <w:rPr>
                <w:sz w:val="22"/>
                <w:szCs w:val="20"/>
              </w:rPr>
              <w:t>sett en injeksjon i hud som er sår, rødlig, hard, har blåmerker, arr, strekkmerker eller områder med plakkpsoriasis</w:t>
            </w:r>
          </w:p>
        </w:tc>
      </w:tr>
      <w:tr w:rsidR="004644D4" w14:paraId="09076A3A" w14:textId="77777777" w:rsidTr="002A2660">
        <w:tc>
          <w:tcPr>
            <w:tcW w:w="3708" w:type="dxa"/>
            <w:tcBorders>
              <w:right w:val="nil"/>
            </w:tcBorders>
          </w:tcPr>
          <w:p w14:paraId="60116626" w14:textId="77777777" w:rsidR="00E90360" w:rsidRPr="00663766" w:rsidRDefault="00E453CD" w:rsidP="00663766">
            <w:pPr>
              <w:tabs>
                <w:tab w:val="left" w:pos="562"/>
              </w:tabs>
              <w:suppressAutoHyphens/>
              <w:rPr>
                <w:noProof/>
                <w:sz w:val="22"/>
                <w:szCs w:val="20"/>
                <w:lang w:val="en-US"/>
              </w:rPr>
            </w:pPr>
            <w:r w:rsidRPr="00E90360">
              <w:rPr>
                <w:b/>
                <w:noProof/>
                <w:sz w:val="22"/>
                <w:szCs w:val="20"/>
                <w:lang w:val="en-US"/>
              </w:rPr>
              <w:t>STEG 4</w:t>
            </w:r>
          </w:p>
          <w:p w14:paraId="1688BA51" w14:textId="77777777" w:rsidR="00E90360" w:rsidRDefault="00E90360" w:rsidP="00663766">
            <w:pPr>
              <w:tabs>
                <w:tab w:val="left" w:pos="562"/>
              </w:tabs>
              <w:suppressAutoHyphens/>
              <w:rPr>
                <w:sz w:val="22"/>
                <w:szCs w:val="20"/>
                <w:lang w:val="en-GB"/>
              </w:rPr>
            </w:pPr>
          </w:p>
          <w:p w14:paraId="1660683B" w14:textId="77777777" w:rsidR="00211EE9" w:rsidRPr="00E90360" w:rsidRDefault="00E453CD" w:rsidP="00663766">
            <w:pPr>
              <w:tabs>
                <w:tab w:val="left" w:pos="562"/>
              </w:tabs>
              <w:suppressAutoHyphens/>
              <w:rPr>
                <w:sz w:val="22"/>
                <w:szCs w:val="20"/>
                <w:lang w:val="en-GB"/>
              </w:rPr>
            </w:pPr>
            <w:r>
              <w:rPr>
                <w:b/>
                <w:noProof/>
                <w:lang w:val="en-GB" w:eastAsia="en-GB"/>
              </w:rPr>
              <w:drawing>
                <wp:inline distT="0" distB="0" distL="0" distR="0" wp14:anchorId="239308A1" wp14:editId="5ABEDB22">
                  <wp:extent cx="2011680" cy="1563488"/>
                  <wp:effectExtent l="0" t="0" r="762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TEP_4_SYRINGE_IFU_UNCAP_new grey.jpg"/>
                          <pic:cNvPicPr/>
                        </pic:nvPicPr>
                        <pic:blipFill>
                          <a:blip r:embed="rId31">
                            <a:extLst>
                              <a:ext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tc>
        <w:tc>
          <w:tcPr>
            <w:tcW w:w="5579" w:type="dxa"/>
            <w:tcBorders>
              <w:left w:val="nil"/>
            </w:tcBorders>
          </w:tcPr>
          <w:p w14:paraId="0B8B58C2" w14:textId="77777777" w:rsidR="00E90360" w:rsidRPr="00E90360" w:rsidRDefault="00E453CD" w:rsidP="00663766">
            <w:pPr>
              <w:tabs>
                <w:tab w:val="left" w:pos="562"/>
              </w:tabs>
              <w:suppressAutoHyphens/>
              <w:rPr>
                <w:rFonts w:ascii="Times New Roman Bold" w:hAnsi="Times New Roman Bold"/>
                <w:b/>
                <w:sz w:val="22"/>
                <w:szCs w:val="20"/>
              </w:rPr>
            </w:pPr>
            <w:r w:rsidRPr="00E90360">
              <w:rPr>
                <w:sz w:val="22"/>
                <w:szCs w:val="20"/>
              </w:rPr>
              <w:t>Hold den ferdigfylte sprøyten i en hånd.</w:t>
            </w:r>
          </w:p>
          <w:p w14:paraId="7BD8BC3A" w14:textId="77777777" w:rsidR="00E90360" w:rsidRPr="00E90360" w:rsidRDefault="00E90360" w:rsidP="00663766">
            <w:pPr>
              <w:tabs>
                <w:tab w:val="left" w:pos="562"/>
              </w:tabs>
              <w:suppressAutoHyphens/>
              <w:rPr>
                <w:sz w:val="22"/>
                <w:szCs w:val="20"/>
              </w:rPr>
            </w:pPr>
          </w:p>
          <w:p w14:paraId="44B9EE49" w14:textId="77777777" w:rsidR="00E90360" w:rsidRPr="00E90360" w:rsidRDefault="00E453CD" w:rsidP="00663766">
            <w:pPr>
              <w:tabs>
                <w:tab w:val="left" w:pos="562"/>
              </w:tabs>
              <w:suppressAutoHyphens/>
              <w:rPr>
                <w:sz w:val="22"/>
                <w:szCs w:val="20"/>
              </w:rPr>
            </w:pPr>
            <w:r w:rsidRPr="00E90360">
              <w:rPr>
                <w:sz w:val="22"/>
                <w:szCs w:val="20"/>
              </w:rPr>
              <w:t>Sjekk oppløsningen i den ferdigfylte sprøyten.</w:t>
            </w:r>
          </w:p>
          <w:p w14:paraId="2BF7520B" w14:textId="77777777" w:rsidR="00E90360" w:rsidRPr="00E90360" w:rsidRDefault="00E90360" w:rsidP="00663766">
            <w:pPr>
              <w:tabs>
                <w:tab w:val="left" w:pos="562"/>
              </w:tabs>
              <w:suppressAutoHyphens/>
              <w:rPr>
                <w:sz w:val="22"/>
                <w:szCs w:val="20"/>
              </w:rPr>
            </w:pPr>
          </w:p>
          <w:p w14:paraId="4A133C93" w14:textId="77777777" w:rsidR="00E90360" w:rsidRPr="00E90360" w:rsidRDefault="00E453CD" w:rsidP="00663766">
            <w:pPr>
              <w:numPr>
                <w:ilvl w:val="0"/>
                <w:numId w:val="118"/>
              </w:numPr>
              <w:tabs>
                <w:tab w:val="left" w:pos="757"/>
              </w:tabs>
              <w:suppressAutoHyphens/>
              <w:ind w:left="757"/>
              <w:rPr>
                <w:sz w:val="22"/>
                <w:szCs w:val="20"/>
              </w:rPr>
            </w:pPr>
            <w:r w:rsidRPr="00E90360">
              <w:rPr>
                <w:sz w:val="22"/>
                <w:szCs w:val="20"/>
              </w:rPr>
              <w:t>Pass på at oppløsningen er klar og fargeløs</w:t>
            </w:r>
          </w:p>
          <w:p w14:paraId="5F079F4E" w14:textId="77777777" w:rsidR="00E90360" w:rsidRPr="00E90360" w:rsidRDefault="00E453CD" w:rsidP="00663766">
            <w:pPr>
              <w:numPr>
                <w:ilvl w:val="0"/>
                <w:numId w:val="118"/>
              </w:numPr>
              <w:tabs>
                <w:tab w:val="left" w:pos="757"/>
              </w:tabs>
              <w:suppressAutoHyphens/>
              <w:ind w:left="757"/>
              <w:rPr>
                <w:sz w:val="22"/>
                <w:szCs w:val="20"/>
              </w:rPr>
            </w:pPr>
            <w:r w:rsidRPr="00E90360">
              <w:rPr>
                <w:b/>
                <w:sz w:val="22"/>
                <w:szCs w:val="20"/>
              </w:rPr>
              <w:t>Ikke</w:t>
            </w:r>
            <w:r w:rsidRPr="00E90360">
              <w:rPr>
                <w:sz w:val="22"/>
                <w:szCs w:val="20"/>
              </w:rPr>
              <w:t xml:space="preserve"> bruk den ferdigfylte sprøyten dersom oppløsningen er uklar eller har partikler i seg</w:t>
            </w:r>
          </w:p>
          <w:p w14:paraId="42774D40" w14:textId="77777777" w:rsidR="00E90360" w:rsidRPr="00E90360" w:rsidRDefault="00E453CD" w:rsidP="00663766">
            <w:pPr>
              <w:numPr>
                <w:ilvl w:val="0"/>
                <w:numId w:val="118"/>
              </w:numPr>
              <w:tabs>
                <w:tab w:val="left" w:pos="757"/>
              </w:tabs>
              <w:suppressAutoHyphens/>
              <w:ind w:left="757"/>
              <w:rPr>
                <w:sz w:val="22"/>
                <w:szCs w:val="20"/>
              </w:rPr>
            </w:pPr>
            <w:r w:rsidRPr="00E90360">
              <w:rPr>
                <w:b/>
                <w:sz w:val="22"/>
                <w:szCs w:val="20"/>
              </w:rPr>
              <w:t xml:space="preserve">Ikke </w:t>
            </w:r>
            <w:r w:rsidRPr="00E90360">
              <w:rPr>
                <w:sz w:val="22"/>
                <w:szCs w:val="20"/>
              </w:rPr>
              <w:t>bruk den ferdigfylte sprøyten dersom den har falt i gulvet eller har knust</w:t>
            </w:r>
          </w:p>
          <w:p w14:paraId="75DB68E3" w14:textId="77777777" w:rsidR="00E90360" w:rsidRPr="00E90360" w:rsidRDefault="00E90360" w:rsidP="00663766">
            <w:pPr>
              <w:tabs>
                <w:tab w:val="left" w:pos="757"/>
              </w:tabs>
              <w:suppressAutoHyphens/>
              <w:ind w:left="757"/>
              <w:rPr>
                <w:sz w:val="22"/>
                <w:szCs w:val="20"/>
              </w:rPr>
            </w:pPr>
          </w:p>
          <w:p w14:paraId="7D53C818" w14:textId="77777777" w:rsidR="00E90360" w:rsidRPr="00E90360" w:rsidRDefault="00E453CD" w:rsidP="00663766">
            <w:pPr>
              <w:tabs>
                <w:tab w:val="left" w:pos="757"/>
              </w:tabs>
              <w:suppressAutoHyphens/>
              <w:rPr>
                <w:sz w:val="22"/>
                <w:szCs w:val="20"/>
              </w:rPr>
            </w:pPr>
            <w:r w:rsidRPr="00E90360">
              <w:rPr>
                <w:sz w:val="22"/>
                <w:szCs w:val="20"/>
              </w:rPr>
              <w:t xml:space="preserve">Dra forsiktig </w:t>
            </w:r>
            <w:r w:rsidR="0003247B" w:rsidRPr="00E90360">
              <w:rPr>
                <w:sz w:val="22"/>
                <w:szCs w:val="20"/>
              </w:rPr>
              <w:t>kanyle</w:t>
            </w:r>
            <w:r w:rsidR="0003247B">
              <w:rPr>
                <w:sz w:val="22"/>
                <w:szCs w:val="20"/>
              </w:rPr>
              <w:t>hetten</w:t>
            </w:r>
            <w:r w:rsidR="0003247B" w:rsidRPr="00E90360">
              <w:rPr>
                <w:sz w:val="22"/>
                <w:szCs w:val="20"/>
              </w:rPr>
              <w:t xml:space="preserve"> </w:t>
            </w:r>
            <w:r w:rsidRPr="00E90360">
              <w:rPr>
                <w:sz w:val="22"/>
                <w:szCs w:val="20"/>
              </w:rPr>
              <w:t xml:space="preserve">rett av med den andre hånden. Kast </w:t>
            </w:r>
            <w:r w:rsidR="0003247B" w:rsidRPr="00E90360">
              <w:rPr>
                <w:sz w:val="22"/>
                <w:szCs w:val="20"/>
              </w:rPr>
              <w:t>kanyle</w:t>
            </w:r>
            <w:r w:rsidR="0003247B">
              <w:rPr>
                <w:sz w:val="22"/>
                <w:szCs w:val="20"/>
              </w:rPr>
              <w:t>hetten</w:t>
            </w:r>
            <w:r w:rsidRPr="00E90360">
              <w:rPr>
                <w:sz w:val="22"/>
                <w:szCs w:val="20"/>
              </w:rPr>
              <w:t xml:space="preserve">. Ikke sett </w:t>
            </w:r>
            <w:r w:rsidR="0003247B" w:rsidRPr="00E90360">
              <w:rPr>
                <w:sz w:val="22"/>
                <w:szCs w:val="20"/>
              </w:rPr>
              <w:t>kanyle</w:t>
            </w:r>
            <w:r w:rsidR="0003247B">
              <w:rPr>
                <w:sz w:val="22"/>
                <w:szCs w:val="20"/>
              </w:rPr>
              <w:t>hetten</w:t>
            </w:r>
            <w:r w:rsidR="0003247B" w:rsidRPr="00E90360">
              <w:rPr>
                <w:sz w:val="22"/>
                <w:szCs w:val="20"/>
              </w:rPr>
              <w:t xml:space="preserve"> </w:t>
            </w:r>
            <w:r w:rsidRPr="00E90360">
              <w:rPr>
                <w:sz w:val="22"/>
                <w:szCs w:val="20"/>
              </w:rPr>
              <w:t>tilbake på plass igjen.</w:t>
            </w:r>
          </w:p>
          <w:p w14:paraId="123035D6" w14:textId="77777777" w:rsidR="00E90360" w:rsidRPr="00E90360" w:rsidRDefault="00E90360" w:rsidP="00663766">
            <w:pPr>
              <w:tabs>
                <w:tab w:val="left" w:pos="757"/>
              </w:tabs>
              <w:suppressAutoHyphens/>
              <w:rPr>
                <w:sz w:val="22"/>
                <w:szCs w:val="20"/>
              </w:rPr>
            </w:pPr>
          </w:p>
          <w:p w14:paraId="5E8E029F" w14:textId="77777777" w:rsidR="00E90360" w:rsidRPr="00E90360" w:rsidRDefault="00E453CD" w:rsidP="00663766">
            <w:pPr>
              <w:numPr>
                <w:ilvl w:val="0"/>
                <w:numId w:val="118"/>
              </w:numPr>
              <w:tabs>
                <w:tab w:val="left" w:pos="757"/>
              </w:tabs>
              <w:suppressAutoHyphens/>
              <w:ind w:left="757"/>
              <w:rPr>
                <w:sz w:val="22"/>
                <w:szCs w:val="20"/>
              </w:rPr>
            </w:pPr>
            <w:r w:rsidRPr="00E90360">
              <w:rPr>
                <w:b/>
                <w:sz w:val="22"/>
                <w:szCs w:val="20"/>
              </w:rPr>
              <w:t>Ikke</w:t>
            </w:r>
            <w:r w:rsidRPr="00E90360">
              <w:rPr>
                <w:sz w:val="22"/>
                <w:szCs w:val="20"/>
              </w:rPr>
              <w:t xml:space="preserve"> ta på kanylen med fingrene dine eller la kanylen komme borti noe </w:t>
            </w:r>
          </w:p>
        </w:tc>
      </w:tr>
      <w:tr w:rsidR="004644D4" w14:paraId="7B1EA26E" w14:textId="77777777" w:rsidTr="002A2660">
        <w:tc>
          <w:tcPr>
            <w:tcW w:w="3708" w:type="dxa"/>
            <w:tcBorders>
              <w:right w:val="nil"/>
            </w:tcBorders>
          </w:tcPr>
          <w:p w14:paraId="7C82EC16" w14:textId="77777777" w:rsidR="00E90360" w:rsidRPr="00E90360" w:rsidRDefault="00E453CD" w:rsidP="00E90360">
            <w:pPr>
              <w:keepNext/>
              <w:tabs>
                <w:tab w:val="left" w:pos="562"/>
              </w:tabs>
              <w:suppressAutoHyphens/>
              <w:rPr>
                <w:noProof/>
                <w:sz w:val="22"/>
                <w:szCs w:val="20"/>
                <w:lang w:val="en-US"/>
              </w:rPr>
            </w:pPr>
            <w:r w:rsidRPr="00E90360">
              <w:rPr>
                <w:sz w:val="22"/>
                <w:szCs w:val="20"/>
              </w:rPr>
              <w:lastRenderedPageBreak/>
              <w:br w:type="page"/>
            </w:r>
            <w:r w:rsidRPr="00E90360">
              <w:rPr>
                <w:b/>
                <w:noProof/>
                <w:sz w:val="22"/>
                <w:szCs w:val="20"/>
                <w:lang w:val="en-US"/>
              </w:rPr>
              <w:t>STEG 5</w:t>
            </w:r>
          </w:p>
          <w:p w14:paraId="45A810F6" w14:textId="77777777" w:rsidR="00E90360" w:rsidRPr="00E90360" w:rsidRDefault="00E453CD" w:rsidP="00E90360">
            <w:pPr>
              <w:keepNext/>
              <w:tabs>
                <w:tab w:val="left" w:pos="562"/>
              </w:tabs>
              <w:suppressAutoHyphens/>
              <w:rPr>
                <w:noProof/>
                <w:sz w:val="22"/>
                <w:szCs w:val="20"/>
                <w:lang w:val="en-US"/>
              </w:rPr>
            </w:pPr>
            <w:r w:rsidRPr="00E90360">
              <w:rPr>
                <w:noProof/>
                <w:sz w:val="22"/>
                <w:szCs w:val="20"/>
                <w:lang w:val="en-GB" w:eastAsia="en-GB"/>
              </w:rPr>
              <w:drawing>
                <wp:inline distT="0" distB="0" distL="0" distR="0" wp14:anchorId="66E98E9A" wp14:editId="29108F53">
                  <wp:extent cx="1992630" cy="1972310"/>
                  <wp:effectExtent l="0" t="0" r="7620" b="8890"/>
                  <wp:docPr id="117" name="Picture 117"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27" descr="STEP_5_SYRINGE_IFU_FILLING_grey"/>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992630" cy="1972310"/>
                          </a:xfrm>
                          <a:prstGeom prst="rect">
                            <a:avLst/>
                          </a:prstGeom>
                          <a:noFill/>
                          <a:ln>
                            <a:noFill/>
                          </a:ln>
                        </pic:spPr>
                      </pic:pic>
                    </a:graphicData>
                  </a:graphic>
                </wp:inline>
              </w:drawing>
            </w:r>
          </w:p>
          <w:p w14:paraId="5B9F88B4" w14:textId="77777777" w:rsidR="00E90360" w:rsidRPr="00E90360" w:rsidRDefault="00E90360" w:rsidP="00E90360">
            <w:pPr>
              <w:keepNext/>
              <w:tabs>
                <w:tab w:val="left" w:pos="562"/>
              </w:tabs>
              <w:suppressAutoHyphens/>
              <w:rPr>
                <w:b/>
                <w:sz w:val="22"/>
                <w:szCs w:val="20"/>
                <w:lang w:val="en-GB"/>
              </w:rPr>
            </w:pPr>
          </w:p>
        </w:tc>
        <w:tc>
          <w:tcPr>
            <w:tcW w:w="5579" w:type="dxa"/>
            <w:tcBorders>
              <w:left w:val="nil"/>
            </w:tcBorders>
          </w:tcPr>
          <w:p w14:paraId="124C4B58" w14:textId="77777777" w:rsidR="00E90360" w:rsidRPr="00E90360" w:rsidRDefault="00E453CD" w:rsidP="00E90360">
            <w:pPr>
              <w:keepNext/>
              <w:tabs>
                <w:tab w:val="left" w:pos="562"/>
              </w:tabs>
              <w:suppressAutoHyphens/>
              <w:rPr>
                <w:sz w:val="22"/>
                <w:szCs w:val="20"/>
              </w:rPr>
            </w:pPr>
            <w:r w:rsidRPr="00E90360">
              <w:rPr>
                <w:sz w:val="22"/>
                <w:szCs w:val="20"/>
              </w:rPr>
              <w:t>Hold den ferdigfylte sprøyten med kanylen pekende oppover.</w:t>
            </w:r>
          </w:p>
          <w:p w14:paraId="13F31C4E" w14:textId="77777777" w:rsidR="00E90360" w:rsidRPr="00E90360" w:rsidRDefault="00E90360" w:rsidP="00E90360">
            <w:pPr>
              <w:keepNext/>
              <w:tabs>
                <w:tab w:val="left" w:pos="562"/>
              </w:tabs>
              <w:suppressAutoHyphens/>
              <w:rPr>
                <w:sz w:val="22"/>
                <w:szCs w:val="20"/>
              </w:rPr>
            </w:pPr>
          </w:p>
          <w:p w14:paraId="70918BB0" w14:textId="77777777" w:rsidR="00E90360" w:rsidRPr="00E90360" w:rsidRDefault="00E453CD" w:rsidP="00E90360">
            <w:pPr>
              <w:keepNext/>
              <w:numPr>
                <w:ilvl w:val="0"/>
                <w:numId w:val="119"/>
              </w:numPr>
              <w:tabs>
                <w:tab w:val="left" w:pos="757"/>
              </w:tabs>
              <w:suppressAutoHyphens/>
              <w:ind w:left="763"/>
              <w:rPr>
                <w:sz w:val="22"/>
                <w:szCs w:val="20"/>
              </w:rPr>
            </w:pPr>
            <w:r w:rsidRPr="00E90360">
              <w:rPr>
                <w:sz w:val="22"/>
                <w:szCs w:val="20"/>
              </w:rPr>
              <w:t>Hold den ferdigfylte sprøyten i øyehøyde med den ene hånden slik at du kan se luftrommet i den ferdigfylte sprøyten</w:t>
            </w:r>
          </w:p>
          <w:p w14:paraId="1AA8D75A" w14:textId="77777777" w:rsidR="00E90360" w:rsidRPr="00E90360" w:rsidRDefault="00E90360" w:rsidP="00E90360">
            <w:pPr>
              <w:tabs>
                <w:tab w:val="left" w:pos="562"/>
              </w:tabs>
              <w:suppressAutoHyphens/>
              <w:rPr>
                <w:sz w:val="22"/>
                <w:szCs w:val="20"/>
              </w:rPr>
            </w:pPr>
          </w:p>
          <w:p w14:paraId="5A5A4746" w14:textId="77777777" w:rsidR="00E90360" w:rsidRPr="00E90360" w:rsidRDefault="00E453CD" w:rsidP="00E90360">
            <w:pPr>
              <w:keepNext/>
              <w:tabs>
                <w:tab w:val="left" w:pos="562"/>
              </w:tabs>
              <w:suppressAutoHyphens/>
              <w:rPr>
                <w:sz w:val="22"/>
                <w:szCs w:val="20"/>
              </w:rPr>
            </w:pPr>
            <w:r w:rsidRPr="00E90360">
              <w:rPr>
                <w:sz w:val="22"/>
                <w:szCs w:val="20"/>
              </w:rPr>
              <w:t>Press sakte sprøytestemplet inn for å dytte luften ut gjennom kanylen.</w:t>
            </w:r>
          </w:p>
          <w:p w14:paraId="546D2F61" w14:textId="77777777" w:rsidR="00E90360" w:rsidRPr="00E90360" w:rsidRDefault="00E90360" w:rsidP="00E90360">
            <w:pPr>
              <w:tabs>
                <w:tab w:val="left" w:pos="562"/>
              </w:tabs>
              <w:suppressAutoHyphens/>
              <w:rPr>
                <w:sz w:val="22"/>
                <w:szCs w:val="20"/>
              </w:rPr>
            </w:pPr>
          </w:p>
          <w:p w14:paraId="7BBF8C1A" w14:textId="77777777" w:rsidR="00E90360" w:rsidRPr="00E90360" w:rsidRDefault="00E453CD" w:rsidP="00E90360">
            <w:pPr>
              <w:keepNext/>
              <w:numPr>
                <w:ilvl w:val="0"/>
                <w:numId w:val="119"/>
              </w:numPr>
              <w:tabs>
                <w:tab w:val="left" w:pos="757"/>
              </w:tabs>
              <w:suppressAutoHyphens/>
              <w:ind w:left="763"/>
              <w:rPr>
                <w:sz w:val="22"/>
                <w:szCs w:val="20"/>
              </w:rPr>
            </w:pPr>
            <w:r w:rsidRPr="00E90360">
              <w:rPr>
                <w:sz w:val="22"/>
                <w:szCs w:val="20"/>
              </w:rPr>
              <w:t>Det er normalt å se en dråpe av oppløsningen på enden av kanylen</w:t>
            </w:r>
          </w:p>
          <w:p w14:paraId="7E6EC8EA" w14:textId="77777777" w:rsidR="00E90360" w:rsidRPr="00E90360" w:rsidRDefault="00E90360" w:rsidP="00E90360">
            <w:pPr>
              <w:keepNext/>
              <w:tabs>
                <w:tab w:val="left" w:pos="562"/>
              </w:tabs>
              <w:suppressAutoHyphens/>
              <w:rPr>
                <w:sz w:val="22"/>
                <w:szCs w:val="20"/>
              </w:rPr>
            </w:pPr>
          </w:p>
        </w:tc>
      </w:tr>
      <w:tr w:rsidR="004644D4" w14:paraId="1ECA58F1" w14:textId="77777777" w:rsidTr="002A2660">
        <w:tc>
          <w:tcPr>
            <w:tcW w:w="3708" w:type="dxa"/>
            <w:tcBorders>
              <w:right w:val="nil"/>
            </w:tcBorders>
          </w:tcPr>
          <w:p w14:paraId="614A45AD" w14:textId="77777777" w:rsidR="00E90360" w:rsidRPr="00663766" w:rsidRDefault="00E453CD" w:rsidP="00B235CD">
            <w:pPr>
              <w:tabs>
                <w:tab w:val="left" w:pos="562"/>
              </w:tabs>
              <w:suppressAutoHyphens/>
              <w:rPr>
                <w:noProof/>
                <w:sz w:val="22"/>
                <w:szCs w:val="20"/>
                <w:lang w:val="en-US"/>
              </w:rPr>
            </w:pPr>
            <w:r w:rsidRPr="00E90360">
              <w:rPr>
                <w:b/>
                <w:noProof/>
                <w:sz w:val="22"/>
                <w:szCs w:val="20"/>
                <w:lang w:val="en-US"/>
              </w:rPr>
              <w:t>STEG 6</w:t>
            </w:r>
          </w:p>
          <w:p w14:paraId="795FF774" w14:textId="77777777" w:rsidR="00E90360" w:rsidRPr="00E90360" w:rsidRDefault="00E453CD" w:rsidP="00E90360">
            <w:pPr>
              <w:keepNext/>
              <w:tabs>
                <w:tab w:val="left" w:pos="562"/>
              </w:tabs>
              <w:suppressAutoHyphens/>
              <w:rPr>
                <w:sz w:val="22"/>
                <w:szCs w:val="20"/>
                <w:lang w:val="en-GB"/>
              </w:rPr>
            </w:pPr>
            <w:r w:rsidRPr="00E90360">
              <w:rPr>
                <w:noProof/>
                <w:sz w:val="22"/>
                <w:szCs w:val="20"/>
                <w:lang w:val="en-GB" w:eastAsia="en-GB"/>
              </w:rPr>
              <w:drawing>
                <wp:inline distT="0" distB="0" distL="0" distR="0" wp14:anchorId="7B5733C6" wp14:editId="5B6A1DDA">
                  <wp:extent cx="2245360" cy="2142490"/>
                  <wp:effectExtent l="0" t="0" r="2540" b="0"/>
                  <wp:docPr id="118" name="Picture 118"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28" descr="STEP_6_SYRINGE_IFU_PRE-INJECTION_grey"/>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inline>
              </w:drawing>
            </w:r>
          </w:p>
        </w:tc>
        <w:tc>
          <w:tcPr>
            <w:tcW w:w="5579" w:type="dxa"/>
            <w:tcBorders>
              <w:left w:val="nil"/>
            </w:tcBorders>
          </w:tcPr>
          <w:p w14:paraId="71A515C6" w14:textId="77777777" w:rsidR="00E90360" w:rsidRPr="00E90360" w:rsidRDefault="00E453CD" w:rsidP="00E90360">
            <w:pPr>
              <w:keepNext/>
              <w:tabs>
                <w:tab w:val="left" w:pos="562"/>
              </w:tabs>
              <w:suppressAutoHyphens/>
              <w:rPr>
                <w:sz w:val="22"/>
                <w:szCs w:val="20"/>
              </w:rPr>
            </w:pPr>
            <w:r w:rsidRPr="00E90360">
              <w:rPr>
                <w:sz w:val="22"/>
                <w:szCs w:val="20"/>
              </w:rPr>
              <w:t>Hold den ferdigfylte sprøyten i den ene hånden mellom tommel og pekefinger, som du holder en blyant.</w:t>
            </w:r>
          </w:p>
          <w:p w14:paraId="654137DA" w14:textId="77777777" w:rsidR="00E90360" w:rsidRPr="00E90360" w:rsidRDefault="00E90360" w:rsidP="00E90360">
            <w:pPr>
              <w:keepNext/>
              <w:tabs>
                <w:tab w:val="left" w:pos="562"/>
              </w:tabs>
              <w:suppressAutoHyphens/>
              <w:rPr>
                <w:sz w:val="22"/>
                <w:szCs w:val="20"/>
              </w:rPr>
            </w:pPr>
          </w:p>
          <w:p w14:paraId="120887D4" w14:textId="77777777" w:rsidR="00E90360" w:rsidRPr="00E90360" w:rsidRDefault="00E453CD" w:rsidP="00E90360">
            <w:pPr>
              <w:keepNext/>
              <w:tabs>
                <w:tab w:val="left" w:pos="562"/>
              </w:tabs>
              <w:suppressAutoHyphens/>
              <w:rPr>
                <w:sz w:val="22"/>
                <w:szCs w:val="20"/>
              </w:rPr>
            </w:pPr>
            <w:r w:rsidRPr="00E90360">
              <w:rPr>
                <w:sz w:val="22"/>
                <w:szCs w:val="20"/>
              </w:rPr>
              <w:t>Klem huden på injeksjonsstedet til barnet ditt med den andre hånden for å fremheve området og hold godt fast i den.</w:t>
            </w:r>
          </w:p>
          <w:p w14:paraId="6C4F9D7D" w14:textId="77777777" w:rsidR="00E90360" w:rsidRPr="00E90360" w:rsidRDefault="00E90360" w:rsidP="00E90360">
            <w:pPr>
              <w:keepNext/>
              <w:tabs>
                <w:tab w:val="left" w:pos="562"/>
              </w:tabs>
              <w:suppressAutoHyphens/>
              <w:rPr>
                <w:sz w:val="22"/>
                <w:szCs w:val="20"/>
              </w:rPr>
            </w:pPr>
          </w:p>
          <w:p w14:paraId="4559BD92" w14:textId="77777777" w:rsidR="00E90360" w:rsidRPr="00E90360" w:rsidRDefault="00E90360" w:rsidP="00E90360">
            <w:pPr>
              <w:keepNext/>
              <w:tabs>
                <w:tab w:val="left" w:pos="562"/>
              </w:tabs>
              <w:suppressAutoHyphens/>
              <w:rPr>
                <w:sz w:val="22"/>
                <w:szCs w:val="20"/>
              </w:rPr>
            </w:pPr>
          </w:p>
        </w:tc>
      </w:tr>
      <w:tr w:rsidR="004644D4" w14:paraId="43BC150E" w14:textId="77777777" w:rsidTr="00D221F9">
        <w:trPr>
          <w:trHeight w:val="4755"/>
        </w:trPr>
        <w:tc>
          <w:tcPr>
            <w:tcW w:w="3708" w:type="dxa"/>
            <w:tcBorders>
              <w:right w:val="nil"/>
            </w:tcBorders>
          </w:tcPr>
          <w:p w14:paraId="53C2D34A" w14:textId="77777777" w:rsidR="00E90360" w:rsidRPr="00663766" w:rsidRDefault="00E453CD" w:rsidP="00663766">
            <w:pPr>
              <w:tabs>
                <w:tab w:val="left" w:pos="562"/>
              </w:tabs>
              <w:suppressAutoHyphens/>
              <w:jc w:val="both"/>
              <w:rPr>
                <w:noProof/>
                <w:sz w:val="22"/>
                <w:szCs w:val="20"/>
                <w:lang w:val="en-US"/>
              </w:rPr>
            </w:pPr>
            <w:r w:rsidRPr="00E90360">
              <w:rPr>
                <w:b/>
                <w:noProof/>
                <w:sz w:val="22"/>
                <w:szCs w:val="20"/>
                <w:lang w:val="en-US"/>
              </w:rPr>
              <w:t>STEG 7</w:t>
            </w:r>
          </w:p>
          <w:p w14:paraId="7430B17F" w14:textId="77777777" w:rsidR="00E90360" w:rsidRPr="00663766" w:rsidRDefault="00E90360" w:rsidP="00663766">
            <w:pPr>
              <w:tabs>
                <w:tab w:val="left" w:pos="562"/>
              </w:tabs>
              <w:suppressAutoHyphens/>
              <w:jc w:val="both"/>
              <w:rPr>
                <w:noProof/>
                <w:sz w:val="22"/>
                <w:szCs w:val="20"/>
                <w:lang w:val="en-US"/>
              </w:rPr>
            </w:pPr>
          </w:p>
          <w:p w14:paraId="0B163965" w14:textId="77777777" w:rsidR="00E90360" w:rsidRPr="00E90360" w:rsidRDefault="00E453CD" w:rsidP="00663766">
            <w:pPr>
              <w:tabs>
                <w:tab w:val="left" w:pos="562"/>
              </w:tabs>
              <w:suppressAutoHyphens/>
              <w:rPr>
                <w:noProof/>
                <w:sz w:val="22"/>
                <w:szCs w:val="20"/>
                <w:lang w:val="en-US"/>
              </w:rPr>
            </w:pPr>
            <w:r w:rsidRPr="00E90360">
              <w:rPr>
                <w:noProof/>
                <w:sz w:val="22"/>
                <w:szCs w:val="20"/>
                <w:lang w:val="en-GB" w:eastAsia="en-GB"/>
              </w:rPr>
              <w:drawing>
                <wp:inline distT="0" distB="0" distL="0" distR="0" wp14:anchorId="110815D4" wp14:editId="7E3A337D">
                  <wp:extent cx="2183765" cy="2675255"/>
                  <wp:effectExtent l="0" t="0" r="6985" b="0"/>
                  <wp:docPr id="119" name="Picture 119"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29" descr="STEP_7_SYRINGE_IFU_ABDOMEN-THIGH_grey"/>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183765" cy="2675255"/>
                          </a:xfrm>
                          <a:prstGeom prst="rect">
                            <a:avLst/>
                          </a:prstGeom>
                          <a:noFill/>
                          <a:ln>
                            <a:noFill/>
                          </a:ln>
                        </pic:spPr>
                      </pic:pic>
                    </a:graphicData>
                  </a:graphic>
                </wp:inline>
              </w:drawing>
            </w:r>
          </w:p>
        </w:tc>
        <w:tc>
          <w:tcPr>
            <w:tcW w:w="5579" w:type="dxa"/>
            <w:tcBorders>
              <w:left w:val="nil"/>
            </w:tcBorders>
          </w:tcPr>
          <w:p w14:paraId="6EA48CAA" w14:textId="77777777" w:rsidR="00E90360" w:rsidRPr="00E90360" w:rsidRDefault="00E453CD" w:rsidP="00663766">
            <w:pPr>
              <w:tabs>
                <w:tab w:val="left" w:pos="562"/>
              </w:tabs>
              <w:suppressAutoHyphens/>
              <w:rPr>
                <w:sz w:val="22"/>
                <w:szCs w:val="20"/>
              </w:rPr>
            </w:pPr>
            <w:r w:rsidRPr="00E90360">
              <w:rPr>
                <w:sz w:val="22"/>
                <w:szCs w:val="20"/>
              </w:rPr>
              <w:t>Sett kanylen helt inn i huden i en 45-graders vinkel me</w:t>
            </w:r>
            <w:r w:rsidR="00663766">
              <w:rPr>
                <w:sz w:val="22"/>
                <w:szCs w:val="20"/>
              </w:rPr>
              <w:t>d en rask, kortvarig bevegelse.</w:t>
            </w:r>
          </w:p>
          <w:p w14:paraId="39B53FB5" w14:textId="77777777" w:rsidR="00E90360" w:rsidRPr="00E90360" w:rsidRDefault="00E90360" w:rsidP="00663766">
            <w:pPr>
              <w:tabs>
                <w:tab w:val="left" w:pos="562"/>
              </w:tabs>
              <w:suppressAutoHyphens/>
              <w:rPr>
                <w:sz w:val="22"/>
                <w:szCs w:val="20"/>
              </w:rPr>
            </w:pPr>
          </w:p>
          <w:p w14:paraId="7959D698" w14:textId="77777777" w:rsidR="00E90360" w:rsidRPr="00E90360" w:rsidRDefault="00E453CD" w:rsidP="00663766">
            <w:pPr>
              <w:numPr>
                <w:ilvl w:val="0"/>
                <w:numId w:val="120"/>
              </w:numPr>
              <w:tabs>
                <w:tab w:val="left" w:pos="757"/>
              </w:tabs>
              <w:suppressAutoHyphens/>
              <w:ind w:left="757"/>
              <w:rPr>
                <w:sz w:val="22"/>
                <w:szCs w:val="20"/>
              </w:rPr>
            </w:pPr>
            <w:r w:rsidRPr="00E90360">
              <w:rPr>
                <w:sz w:val="22"/>
                <w:szCs w:val="20"/>
              </w:rPr>
              <w:t xml:space="preserve">Når kanylen er inne slipper du taket i huden som du holder </w:t>
            </w:r>
          </w:p>
          <w:p w14:paraId="068A8F3E" w14:textId="77777777" w:rsidR="00E90360" w:rsidRPr="00E90360" w:rsidRDefault="00E90360" w:rsidP="00663766">
            <w:pPr>
              <w:tabs>
                <w:tab w:val="left" w:pos="562"/>
              </w:tabs>
              <w:suppressAutoHyphens/>
              <w:rPr>
                <w:sz w:val="22"/>
                <w:szCs w:val="20"/>
              </w:rPr>
            </w:pPr>
          </w:p>
          <w:p w14:paraId="0CA5E11E" w14:textId="77777777" w:rsidR="00E90360" w:rsidRPr="00E90360" w:rsidRDefault="00E453CD" w:rsidP="00663766">
            <w:pPr>
              <w:tabs>
                <w:tab w:val="left" w:pos="562"/>
              </w:tabs>
              <w:suppressAutoHyphens/>
              <w:rPr>
                <w:sz w:val="22"/>
                <w:szCs w:val="20"/>
              </w:rPr>
            </w:pPr>
            <w:r w:rsidRPr="00E90360">
              <w:rPr>
                <w:sz w:val="22"/>
                <w:szCs w:val="20"/>
              </w:rPr>
              <w:t xml:space="preserve">Press sakte sprøytestemplet helt inn til hele oppløsningen er injisert og den ferdigfylte sprøyten er tom. </w:t>
            </w:r>
          </w:p>
          <w:p w14:paraId="52B9FA17" w14:textId="77777777" w:rsidR="00E90360" w:rsidRPr="00E90360" w:rsidRDefault="00E90360" w:rsidP="00663766">
            <w:pPr>
              <w:tabs>
                <w:tab w:val="left" w:pos="562"/>
              </w:tabs>
              <w:suppressAutoHyphens/>
              <w:rPr>
                <w:sz w:val="22"/>
                <w:szCs w:val="20"/>
              </w:rPr>
            </w:pPr>
          </w:p>
        </w:tc>
      </w:tr>
      <w:tr w:rsidR="004644D4" w14:paraId="6C4459AC" w14:textId="77777777" w:rsidTr="002A2660">
        <w:tc>
          <w:tcPr>
            <w:tcW w:w="3708" w:type="dxa"/>
            <w:tcBorders>
              <w:right w:val="nil"/>
            </w:tcBorders>
          </w:tcPr>
          <w:p w14:paraId="2180859E" w14:textId="77777777" w:rsidR="00E90360" w:rsidRPr="00663766" w:rsidRDefault="00E453CD" w:rsidP="00E90360">
            <w:pPr>
              <w:keepNext/>
              <w:tabs>
                <w:tab w:val="left" w:pos="562"/>
              </w:tabs>
              <w:suppressAutoHyphens/>
              <w:rPr>
                <w:noProof/>
                <w:sz w:val="22"/>
                <w:szCs w:val="20"/>
                <w:lang w:val="en-US"/>
              </w:rPr>
            </w:pPr>
            <w:r w:rsidRPr="00E90360">
              <w:rPr>
                <w:sz w:val="22"/>
                <w:szCs w:val="20"/>
              </w:rPr>
              <w:lastRenderedPageBreak/>
              <w:br w:type="page"/>
            </w:r>
            <w:r w:rsidRPr="00E90360">
              <w:rPr>
                <w:b/>
                <w:noProof/>
                <w:sz w:val="22"/>
                <w:szCs w:val="20"/>
                <w:lang w:val="en-US"/>
              </w:rPr>
              <w:t>STEG 8</w:t>
            </w:r>
          </w:p>
          <w:p w14:paraId="5A92B578" w14:textId="77777777" w:rsidR="00211EE9" w:rsidRDefault="00211EE9" w:rsidP="00E90360">
            <w:pPr>
              <w:keepNext/>
              <w:tabs>
                <w:tab w:val="left" w:pos="562"/>
              </w:tabs>
              <w:suppressAutoHyphens/>
              <w:rPr>
                <w:noProof/>
                <w:sz w:val="22"/>
                <w:szCs w:val="20"/>
                <w:lang w:val="en-US"/>
              </w:rPr>
            </w:pPr>
          </w:p>
          <w:p w14:paraId="4948A9D7" w14:textId="77777777" w:rsidR="00211EE9" w:rsidRDefault="00E453CD" w:rsidP="00E90360">
            <w:pPr>
              <w:keepNext/>
              <w:tabs>
                <w:tab w:val="left" w:pos="562"/>
              </w:tabs>
              <w:suppressAutoHyphens/>
              <w:rPr>
                <w:noProof/>
                <w:sz w:val="22"/>
                <w:szCs w:val="20"/>
                <w:lang w:val="en-US"/>
              </w:rPr>
            </w:pPr>
            <w:r>
              <w:rPr>
                <w:b/>
                <w:noProof/>
                <w:lang w:val="en-GB" w:eastAsia="en-GB"/>
              </w:rPr>
              <w:drawing>
                <wp:inline distT="0" distB="0" distL="0" distR="0" wp14:anchorId="19D63B92" wp14:editId="4AB81EF0">
                  <wp:extent cx="1984248" cy="2093976"/>
                  <wp:effectExtent l="0" t="0" r="0" b="190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TEP_8_SYRINGE_IFU_WITHDRAW_grey.REV 06Sep1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03A87081" w14:textId="77777777" w:rsidR="00E90360" w:rsidRPr="00D221F9" w:rsidRDefault="00E453CD" w:rsidP="00E90360">
            <w:pPr>
              <w:keepNext/>
              <w:tabs>
                <w:tab w:val="left" w:pos="562"/>
              </w:tabs>
              <w:suppressAutoHyphens/>
              <w:rPr>
                <w:b/>
                <w:sz w:val="22"/>
                <w:szCs w:val="20"/>
                <w:lang w:val="en-GB"/>
              </w:rPr>
            </w:pPr>
            <w:r>
              <w:rPr>
                <w:noProof/>
                <w:sz w:val="22"/>
                <w:szCs w:val="20"/>
                <w:lang w:val="en-US"/>
              </w:rPr>
              <w:t xml:space="preserve">              </w:t>
            </w:r>
            <w:r w:rsidRPr="00D221F9">
              <w:rPr>
                <w:b/>
                <w:noProof/>
                <w:sz w:val="22"/>
                <w:szCs w:val="20"/>
                <w:lang w:val="en-US"/>
              </w:rPr>
              <w:t xml:space="preserve">Bomullsdott </w:t>
            </w:r>
          </w:p>
        </w:tc>
        <w:tc>
          <w:tcPr>
            <w:tcW w:w="5579" w:type="dxa"/>
            <w:tcBorders>
              <w:left w:val="nil"/>
            </w:tcBorders>
          </w:tcPr>
          <w:p w14:paraId="6FF0BEB5" w14:textId="77777777" w:rsidR="00E90360" w:rsidRPr="00E90360" w:rsidRDefault="00E453CD" w:rsidP="00E90360">
            <w:pPr>
              <w:keepNext/>
              <w:tabs>
                <w:tab w:val="left" w:pos="562"/>
              </w:tabs>
              <w:suppressAutoHyphens/>
              <w:rPr>
                <w:rFonts w:ascii="Times New Roman Bold" w:hAnsi="Times New Roman Bold"/>
                <w:b/>
                <w:sz w:val="22"/>
                <w:szCs w:val="20"/>
              </w:rPr>
            </w:pPr>
            <w:r w:rsidRPr="00E90360">
              <w:rPr>
                <w:sz w:val="22"/>
                <w:szCs w:val="20"/>
              </w:rPr>
              <w:t>Når injeksjonen er ferdig drar du kanylen sakte ut av huden samtidig som du holder den ferdigfylte sprøyten i samme vinkel.</w:t>
            </w:r>
          </w:p>
          <w:p w14:paraId="01D1084A" w14:textId="77777777" w:rsidR="00E90360" w:rsidRPr="00E90360" w:rsidRDefault="00E453CD" w:rsidP="00E90360">
            <w:pPr>
              <w:keepNext/>
              <w:tabs>
                <w:tab w:val="left" w:pos="562"/>
              </w:tabs>
              <w:suppressAutoHyphens/>
              <w:rPr>
                <w:sz w:val="22"/>
                <w:szCs w:val="20"/>
              </w:rPr>
            </w:pPr>
            <w:r w:rsidRPr="00E90360">
              <w:rPr>
                <w:sz w:val="22"/>
                <w:szCs w:val="20"/>
              </w:rPr>
              <w:t xml:space="preserve"> </w:t>
            </w:r>
          </w:p>
          <w:p w14:paraId="4B37ACF7" w14:textId="77777777" w:rsidR="00E90360" w:rsidRPr="00E90360" w:rsidRDefault="00E453CD" w:rsidP="00E90360">
            <w:pPr>
              <w:keepNext/>
              <w:tabs>
                <w:tab w:val="left" w:pos="562"/>
              </w:tabs>
              <w:suppressAutoHyphens/>
              <w:rPr>
                <w:sz w:val="22"/>
                <w:szCs w:val="20"/>
              </w:rPr>
            </w:pPr>
            <w:r w:rsidRPr="00E90360">
              <w:rPr>
                <w:sz w:val="22"/>
                <w:szCs w:val="20"/>
              </w:rPr>
              <w:t>Etter endt injeksjon, plasser en bomullsdott eller gasbind på huden over injeksjonsstedet.</w:t>
            </w:r>
          </w:p>
          <w:p w14:paraId="31F34E69" w14:textId="77777777" w:rsidR="00E90360" w:rsidRPr="00E90360" w:rsidRDefault="00E90360" w:rsidP="00E90360">
            <w:pPr>
              <w:keepNext/>
              <w:tabs>
                <w:tab w:val="left" w:pos="562"/>
              </w:tabs>
              <w:suppressAutoHyphens/>
              <w:rPr>
                <w:sz w:val="22"/>
                <w:szCs w:val="20"/>
              </w:rPr>
            </w:pPr>
          </w:p>
          <w:p w14:paraId="5E13D1FB" w14:textId="77777777" w:rsidR="00E90360" w:rsidRPr="00E90360" w:rsidRDefault="00E453CD" w:rsidP="00E90360">
            <w:pPr>
              <w:keepNext/>
              <w:numPr>
                <w:ilvl w:val="0"/>
                <w:numId w:val="121"/>
              </w:numPr>
              <w:tabs>
                <w:tab w:val="left" w:pos="757"/>
              </w:tabs>
              <w:suppressAutoHyphens/>
              <w:ind w:left="757"/>
              <w:rPr>
                <w:sz w:val="22"/>
                <w:szCs w:val="20"/>
                <w:lang w:val="en-GB"/>
              </w:rPr>
            </w:pPr>
            <w:r w:rsidRPr="00E90360">
              <w:rPr>
                <w:b/>
                <w:sz w:val="22"/>
                <w:szCs w:val="20"/>
                <w:lang w:val="en-GB"/>
              </w:rPr>
              <w:t>Ikke</w:t>
            </w:r>
            <w:r w:rsidRPr="00E90360">
              <w:rPr>
                <w:sz w:val="22"/>
                <w:szCs w:val="20"/>
                <w:lang w:val="en-GB"/>
              </w:rPr>
              <w:t xml:space="preserve"> gni</w:t>
            </w:r>
          </w:p>
          <w:p w14:paraId="396B8118" w14:textId="77777777" w:rsidR="00E90360" w:rsidRPr="00E90360" w:rsidRDefault="00E453CD" w:rsidP="00E90360">
            <w:pPr>
              <w:keepNext/>
              <w:numPr>
                <w:ilvl w:val="0"/>
                <w:numId w:val="121"/>
              </w:numPr>
              <w:tabs>
                <w:tab w:val="left" w:pos="757"/>
              </w:tabs>
              <w:suppressAutoHyphens/>
              <w:ind w:left="757"/>
              <w:rPr>
                <w:sz w:val="22"/>
                <w:szCs w:val="20"/>
              </w:rPr>
            </w:pPr>
            <w:r w:rsidRPr="00E90360">
              <w:rPr>
                <w:sz w:val="22"/>
                <w:szCs w:val="20"/>
              </w:rPr>
              <w:t>Litt blødning ved injeksjonsstedet er normalt</w:t>
            </w:r>
          </w:p>
        </w:tc>
      </w:tr>
      <w:tr w:rsidR="004644D4" w14:paraId="3C13969B" w14:textId="77777777" w:rsidTr="002A2660">
        <w:tc>
          <w:tcPr>
            <w:tcW w:w="9287" w:type="dxa"/>
            <w:gridSpan w:val="2"/>
          </w:tcPr>
          <w:p w14:paraId="1531012A" w14:textId="77777777" w:rsidR="00E90360" w:rsidRPr="00663766" w:rsidRDefault="00E453CD" w:rsidP="00E90360">
            <w:r w:rsidRPr="00E90360">
              <w:rPr>
                <w:b/>
              </w:rPr>
              <w:t>STEG 9</w:t>
            </w:r>
          </w:p>
          <w:p w14:paraId="14066E78" w14:textId="77777777" w:rsidR="00E90360" w:rsidRPr="00663766" w:rsidRDefault="00E90360" w:rsidP="00E90360"/>
          <w:p w14:paraId="55C8ACA3" w14:textId="77777777" w:rsidR="00E90360" w:rsidRPr="00E90360" w:rsidRDefault="00E453CD" w:rsidP="00E90360">
            <w:pPr>
              <w:keepNext/>
              <w:tabs>
                <w:tab w:val="left" w:pos="562"/>
              </w:tabs>
              <w:suppressAutoHyphens/>
              <w:rPr>
                <w:sz w:val="22"/>
                <w:szCs w:val="20"/>
              </w:rPr>
            </w:pPr>
            <w:r w:rsidRPr="00E90360">
              <w:rPr>
                <w:sz w:val="22"/>
                <w:szCs w:val="20"/>
              </w:rPr>
              <w:t xml:space="preserve">Kast den brukte ferdigfylte sprøyten i en spesiell avfallsbeholder slik du har fått beskjed om fra legen din, sykepleier eller apotek. Sett </w:t>
            </w:r>
            <w:r w:rsidRPr="00E90360">
              <w:rPr>
                <w:b/>
                <w:sz w:val="22"/>
                <w:szCs w:val="20"/>
              </w:rPr>
              <w:t>aldri</w:t>
            </w:r>
            <w:r w:rsidRPr="00E90360">
              <w:rPr>
                <w:sz w:val="22"/>
                <w:szCs w:val="20"/>
              </w:rPr>
              <w:t xml:space="preserve"> </w:t>
            </w:r>
            <w:r w:rsidR="0003247B" w:rsidRPr="00E90360">
              <w:rPr>
                <w:sz w:val="22"/>
                <w:szCs w:val="20"/>
              </w:rPr>
              <w:t>kanyle</w:t>
            </w:r>
            <w:r w:rsidR="0003247B">
              <w:rPr>
                <w:sz w:val="22"/>
                <w:szCs w:val="20"/>
              </w:rPr>
              <w:t>hetten</w:t>
            </w:r>
            <w:r w:rsidR="0003247B" w:rsidRPr="00E90360">
              <w:rPr>
                <w:sz w:val="22"/>
                <w:szCs w:val="20"/>
              </w:rPr>
              <w:t xml:space="preserve"> </w:t>
            </w:r>
            <w:r w:rsidRPr="00E90360">
              <w:rPr>
                <w:sz w:val="22"/>
                <w:szCs w:val="20"/>
              </w:rPr>
              <w:t xml:space="preserve">tilbake på en kanyle. </w:t>
            </w:r>
          </w:p>
          <w:p w14:paraId="0E93C827" w14:textId="77777777" w:rsidR="00E90360" w:rsidRPr="00E90360" w:rsidRDefault="00E90360" w:rsidP="00E90360">
            <w:pPr>
              <w:tabs>
                <w:tab w:val="left" w:pos="562"/>
              </w:tabs>
              <w:suppressAutoHyphens/>
              <w:rPr>
                <w:sz w:val="22"/>
                <w:szCs w:val="20"/>
              </w:rPr>
            </w:pPr>
          </w:p>
          <w:p w14:paraId="567238F6" w14:textId="77777777" w:rsidR="00E90360" w:rsidRPr="00E90360" w:rsidRDefault="00E453CD" w:rsidP="00E90360">
            <w:pPr>
              <w:keepNext/>
              <w:numPr>
                <w:ilvl w:val="0"/>
                <w:numId w:val="122"/>
              </w:numPr>
              <w:tabs>
                <w:tab w:val="left" w:pos="720"/>
              </w:tabs>
              <w:suppressAutoHyphens/>
              <w:rPr>
                <w:sz w:val="22"/>
                <w:szCs w:val="20"/>
              </w:rPr>
            </w:pPr>
            <w:r w:rsidRPr="00E90360">
              <w:rPr>
                <w:b/>
                <w:sz w:val="22"/>
                <w:szCs w:val="20"/>
              </w:rPr>
              <w:t>Ikke</w:t>
            </w:r>
            <w:r w:rsidRPr="00E90360">
              <w:rPr>
                <w:sz w:val="22"/>
                <w:szCs w:val="20"/>
              </w:rPr>
              <w:t xml:space="preserve"> resirkuler eller kast den ferdigfylte sprøyten i vanlig husholdningsavfall</w:t>
            </w:r>
          </w:p>
          <w:p w14:paraId="7700296E" w14:textId="77777777" w:rsidR="00E90360" w:rsidRPr="00E90360" w:rsidRDefault="00E453CD" w:rsidP="00E90360">
            <w:pPr>
              <w:numPr>
                <w:ilvl w:val="0"/>
                <w:numId w:val="122"/>
              </w:numPr>
              <w:tabs>
                <w:tab w:val="left" w:pos="720"/>
              </w:tabs>
              <w:suppressAutoHyphens/>
              <w:rPr>
                <w:sz w:val="22"/>
                <w:szCs w:val="20"/>
              </w:rPr>
            </w:pPr>
            <w:r w:rsidRPr="00E90360">
              <w:rPr>
                <w:sz w:val="22"/>
                <w:szCs w:val="20"/>
              </w:rPr>
              <w:t>Oppbevar</w:t>
            </w:r>
            <w:r w:rsidRPr="00E90360">
              <w:rPr>
                <w:b/>
                <w:sz w:val="22"/>
                <w:szCs w:val="20"/>
              </w:rPr>
              <w:t xml:space="preserve"> alltid </w:t>
            </w:r>
            <w:r w:rsidRPr="00E90360">
              <w:rPr>
                <w:sz w:val="22"/>
                <w:szCs w:val="20"/>
              </w:rPr>
              <w:t>den ferdigfylte sprøyten og den spesielle avfallsbeholderen utilgjengelig for barn</w:t>
            </w:r>
          </w:p>
          <w:p w14:paraId="5C4248A9" w14:textId="77777777" w:rsidR="00E90360" w:rsidRPr="00E90360" w:rsidRDefault="00E90360" w:rsidP="00E90360">
            <w:pPr>
              <w:tabs>
                <w:tab w:val="left" w:pos="562"/>
              </w:tabs>
              <w:suppressAutoHyphens/>
              <w:rPr>
                <w:sz w:val="22"/>
                <w:szCs w:val="22"/>
              </w:rPr>
            </w:pPr>
          </w:p>
          <w:p w14:paraId="75EA6437" w14:textId="77777777" w:rsidR="00E90360" w:rsidRPr="00E90360" w:rsidRDefault="00E453CD" w:rsidP="00E90360">
            <w:pPr>
              <w:tabs>
                <w:tab w:val="left" w:pos="562"/>
              </w:tabs>
              <w:suppressAutoHyphens/>
              <w:rPr>
                <w:sz w:val="22"/>
                <w:szCs w:val="20"/>
              </w:rPr>
            </w:pPr>
            <w:r w:rsidRPr="00E90360">
              <w:rPr>
                <w:sz w:val="22"/>
                <w:szCs w:val="22"/>
              </w:rPr>
              <w:t>Kanyle</w:t>
            </w:r>
            <w:r>
              <w:rPr>
                <w:sz w:val="22"/>
                <w:szCs w:val="22"/>
              </w:rPr>
              <w:t>hetten</w:t>
            </w:r>
            <w:r w:rsidRPr="00E90360">
              <w:rPr>
                <w:sz w:val="22"/>
                <w:szCs w:val="22"/>
              </w:rPr>
              <w:t>, injeksjonstørk, bomullsdott eller gasbind, blister og kartong kan kastes i husholdningsavfallet ditt.</w:t>
            </w:r>
          </w:p>
        </w:tc>
      </w:tr>
    </w:tbl>
    <w:p w14:paraId="56857F44" w14:textId="77777777" w:rsidR="00E90360" w:rsidRPr="00E90360" w:rsidRDefault="00E90360" w:rsidP="00E90360">
      <w:pPr>
        <w:rPr>
          <w:sz w:val="22"/>
          <w:szCs w:val="22"/>
        </w:rPr>
      </w:pPr>
    </w:p>
    <w:p w14:paraId="5A702E11" w14:textId="67B441BA" w:rsidR="00E90360" w:rsidRDefault="00E453CD" w:rsidP="00A6493F">
      <w:pPr>
        <w:rPr>
          <w:del w:id="13116" w:author="AbbVie02no" w:date="2025-05-15T14:19:00Z"/>
          <w:b/>
          <w:sz w:val="22"/>
          <w:szCs w:val="22"/>
        </w:rPr>
      </w:pPr>
      <w:r>
        <w:rPr>
          <w:b/>
          <w:sz w:val="22"/>
          <w:szCs w:val="22"/>
        </w:rPr>
        <w:br w:type="page"/>
      </w:r>
    </w:p>
    <w:p w14:paraId="1CA41E44" w14:textId="09B2C8D4" w:rsidR="00DE3458" w:rsidRPr="009C5EFD" w:rsidRDefault="00E453CD">
      <w:pPr>
        <w:rPr>
          <w:del w:id="13117" w:author="AbbVie02no" w:date="2025-05-15T14:19:00Z"/>
          <w:b/>
          <w:sz w:val="22"/>
          <w:szCs w:val="22"/>
        </w:rPr>
        <w:pPrChange w:id="13118" w:author="AbbVie02no" w:date="2025-05-15T14:19:00Z">
          <w:pPr>
            <w:ind w:left="54"/>
            <w:jc w:val="center"/>
          </w:pPr>
        </w:pPrChange>
      </w:pPr>
      <w:del w:id="13119" w:author="AbbVie02no" w:date="2025-05-15T14:19:00Z">
        <w:r w:rsidRPr="009C5EFD">
          <w:rPr>
            <w:b/>
            <w:sz w:val="22"/>
            <w:szCs w:val="22"/>
          </w:rPr>
          <w:lastRenderedPageBreak/>
          <w:delText>Pakningsvedlegg: Informasjon til pasienten</w:delText>
        </w:r>
      </w:del>
    </w:p>
    <w:p w14:paraId="5F29D33E" w14:textId="2ACF2DAE" w:rsidR="00DE3458" w:rsidRPr="009C5EFD" w:rsidRDefault="00DE3458">
      <w:pPr>
        <w:rPr>
          <w:del w:id="13120" w:author="AbbVie02no" w:date="2025-05-15T14:19:00Z"/>
          <w:b/>
          <w:sz w:val="22"/>
          <w:szCs w:val="22"/>
        </w:rPr>
        <w:pPrChange w:id="13121" w:author="AbbVie02no" w:date="2025-05-15T14:19:00Z">
          <w:pPr>
            <w:jc w:val="center"/>
          </w:pPr>
        </w:pPrChange>
      </w:pPr>
    </w:p>
    <w:p w14:paraId="6299E8BC" w14:textId="6EB69007" w:rsidR="00BA3381" w:rsidRPr="007F67EE" w:rsidRDefault="00E453CD">
      <w:pPr>
        <w:rPr>
          <w:del w:id="13122" w:author="AbbVie02no" w:date="2025-05-15T14:19:00Z"/>
          <w:sz w:val="22"/>
          <w:szCs w:val="22"/>
        </w:rPr>
        <w:pPrChange w:id="13123" w:author="AbbVie02no" w:date="2025-05-15T14:19:00Z">
          <w:pPr>
            <w:jc w:val="center"/>
          </w:pPr>
        </w:pPrChange>
      </w:pPr>
      <w:del w:id="13124" w:author="AbbVie02no" w:date="2025-05-15T14:19:00Z">
        <w:r w:rsidRPr="009C5EFD">
          <w:rPr>
            <w:b/>
            <w:sz w:val="22"/>
            <w:szCs w:val="22"/>
          </w:rPr>
          <w:delText>Humira</w:delText>
        </w:r>
        <w:r w:rsidRPr="009C5EFD">
          <w:rPr>
            <w:sz w:val="22"/>
            <w:szCs w:val="22"/>
          </w:rPr>
          <w:delText xml:space="preserve"> </w:delText>
        </w:r>
        <w:r w:rsidRPr="001F5D4B">
          <w:rPr>
            <w:b/>
            <w:sz w:val="22"/>
            <w:szCs w:val="22"/>
          </w:rPr>
          <w:delText>40</w:delText>
        </w:r>
        <w:r w:rsidR="00FE5EF1" w:rsidRPr="007F67EE">
          <w:rPr>
            <w:b/>
            <w:sz w:val="22"/>
            <w:szCs w:val="22"/>
          </w:rPr>
          <w:delText> </w:delText>
        </w:r>
        <w:r w:rsidRPr="001F5D4B">
          <w:rPr>
            <w:b/>
            <w:sz w:val="22"/>
            <w:szCs w:val="22"/>
          </w:rPr>
          <w:delText>mg/0,8</w:delText>
        </w:r>
        <w:r w:rsidR="00FE5EF1" w:rsidRPr="007F67EE">
          <w:rPr>
            <w:b/>
            <w:sz w:val="22"/>
            <w:szCs w:val="22"/>
          </w:rPr>
          <w:delText> </w:delText>
        </w:r>
        <w:r w:rsidRPr="001F5D4B">
          <w:rPr>
            <w:b/>
            <w:sz w:val="22"/>
            <w:szCs w:val="22"/>
          </w:rPr>
          <w:delText>ml injeksjonsvæske, oppløsning</w:delText>
        </w:r>
      </w:del>
    </w:p>
    <w:p w14:paraId="45824DC3" w14:textId="4915363D" w:rsidR="00DE3458" w:rsidRPr="00C07C98" w:rsidRDefault="00E453CD">
      <w:pPr>
        <w:rPr>
          <w:del w:id="13125" w:author="AbbVie02no" w:date="2025-05-15T14:19:00Z"/>
          <w:sz w:val="22"/>
          <w:szCs w:val="22"/>
        </w:rPr>
        <w:pPrChange w:id="13126" w:author="AbbVie02no" w:date="2025-05-15T14:19:00Z">
          <w:pPr>
            <w:jc w:val="center"/>
          </w:pPr>
        </w:pPrChange>
      </w:pPr>
      <w:del w:id="13127" w:author="AbbVie02no" w:date="2025-05-15T14:19:00Z">
        <w:r w:rsidRPr="002D0790">
          <w:rPr>
            <w:sz w:val="22"/>
            <w:szCs w:val="22"/>
          </w:rPr>
          <w:delText>a</w:delText>
        </w:r>
        <w:r w:rsidRPr="00C07C98">
          <w:rPr>
            <w:sz w:val="22"/>
            <w:szCs w:val="22"/>
          </w:rPr>
          <w:delText>dalimumab</w:delText>
        </w:r>
      </w:del>
    </w:p>
    <w:p w14:paraId="32EE0709" w14:textId="4DCEA211" w:rsidR="00DE3458" w:rsidRPr="00E14E58" w:rsidRDefault="00DE3458">
      <w:pPr>
        <w:rPr>
          <w:del w:id="13128" w:author="AbbVie02no" w:date="2025-05-15T14:19:00Z"/>
          <w:sz w:val="22"/>
          <w:szCs w:val="22"/>
        </w:rPr>
        <w:pPrChange w:id="13129" w:author="AbbVie02no" w:date="2025-05-15T14:19:00Z">
          <w:pPr>
            <w:ind w:left="54"/>
            <w:jc w:val="center"/>
          </w:pPr>
        </w:pPrChange>
      </w:pPr>
    </w:p>
    <w:p w14:paraId="7090ABE6" w14:textId="6BB47055" w:rsidR="00DE3458" w:rsidRPr="009C5EFD" w:rsidRDefault="00E453CD">
      <w:pPr>
        <w:rPr>
          <w:del w:id="13130" w:author="AbbVie02no" w:date="2025-05-15T14:19:00Z"/>
          <w:sz w:val="22"/>
          <w:szCs w:val="22"/>
        </w:rPr>
        <w:pPrChange w:id="13131" w:author="AbbVie02no" w:date="2025-05-15T14:19:00Z">
          <w:pPr>
            <w:ind w:left="57"/>
          </w:pPr>
        </w:pPrChange>
      </w:pPr>
      <w:del w:id="13132" w:author="AbbVie02no" w:date="2025-05-15T14:19:00Z">
        <w:r w:rsidRPr="009C5EFD">
          <w:rPr>
            <w:b/>
            <w:sz w:val="22"/>
            <w:szCs w:val="22"/>
          </w:rPr>
          <w:delText>Les nøye gjennom dette pakningsvedlegget før d</w:delText>
        </w:r>
        <w:r w:rsidR="00A91539" w:rsidRPr="009C5EFD">
          <w:rPr>
            <w:b/>
            <w:sz w:val="22"/>
            <w:szCs w:val="22"/>
          </w:rPr>
          <w:delText>itt barn</w:delText>
        </w:r>
        <w:r w:rsidRPr="009C5EFD">
          <w:rPr>
            <w:b/>
            <w:sz w:val="22"/>
            <w:szCs w:val="22"/>
          </w:rPr>
          <w:delText xml:space="preserve"> begynner å bruke </w:delText>
        </w:r>
        <w:r w:rsidR="006F20A1" w:rsidRPr="009C5EFD">
          <w:rPr>
            <w:b/>
            <w:sz w:val="22"/>
            <w:szCs w:val="22"/>
          </w:rPr>
          <w:delText xml:space="preserve">dette </w:delText>
        </w:r>
        <w:r w:rsidRPr="009C5EFD">
          <w:rPr>
            <w:b/>
            <w:sz w:val="22"/>
            <w:szCs w:val="22"/>
          </w:rPr>
          <w:delText>legemidlet</w:delText>
        </w:r>
        <w:r w:rsidR="0049775E" w:rsidRPr="009C5EFD">
          <w:rPr>
            <w:b/>
            <w:sz w:val="22"/>
            <w:szCs w:val="22"/>
          </w:rPr>
          <w:delText>. D</w:delText>
        </w:r>
        <w:r w:rsidR="00BE1A1E" w:rsidRPr="009C5EFD">
          <w:rPr>
            <w:b/>
            <w:sz w:val="22"/>
            <w:szCs w:val="22"/>
          </w:rPr>
          <w:delText>et inneholder informasjon</w:delText>
        </w:r>
        <w:r w:rsidR="0049775E" w:rsidRPr="009C5EFD">
          <w:rPr>
            <w:b/>
            <w:sz w:val="22"/>
            <w:szCs w:val="22"/>
          </w:rPr>
          <w:delText xml:space="preserve"> som er viktig for ditt barn</w:delText>
        </w:r>
        <w:r w:rsidRPr="009C5EFD">
          <w:rPr>
            <w:b/>
            <w:sz w:val="22"/>
            <w:szCs w:val="22"/>
          </w:rPr>
          <w:delText>.</w:delText>
        </w:r>
      </w:del>
    </w:p>
    <w:p w14:paraId="791F8944" w14:textId="19F9713A" w:rsidR="00DE3458" w:rsidRPr="009C5EFD" w:rsidRDefault="00E453CD">
      <w:pPr>
        <w:rPr>
          <w:del w:id="13133" w:author="AbbVie02no" w:date="2025-05-15T14:19:00Z"/>
          <w:sz w:val="22"/>
          <w:szCs w:val="22"/>
        </w:rPr>
        <w:pPrChange w:id="13134" w:author="AbbVie02no" w:date="2025-05-15T14:19:00Z">
          <w:pPr>
            <w:numPr>
              <w:numId w:val="1"/>
            </w:numPr>
            <w:ind w:left="621" w:right="-2" w:hanging="567"/>
          </w:pPr>
        </w:pPrChange>
      </w:pPr>
      <w:del w:id="13135" w:author="AbbVie02no" w:date="2025-05-15T14:19:00Z">
        <w:r w:rsidRPr="009C5EFD">
          <w:rPr>
            <w:sz w:val="22"/>
            <w:szCs w:val="22"/>
          </w:rPr>
          <w:delText>Ta vare på dette pakningsvedlegget. Du kan få behov for å lese det igjen.</w:delText>
        </w:r>
      </w:del>
    </w:p>
    <w:p w14:paraId="49E1F980" w14:textId="6417EF1A" w:rsidR="00DE3458" w:rsidRPr="009C5EFD" w:rsidRDefault="00E453CD">
      <w:pPr>
        <w:rPr>
          <w:del w:id="13136" w:author="AbbVie02no" w:date="2025-05-15T14:19:00Z"/>
          <w:sz w:val="22"/>
          <w:szCs w:val="22"/>
        </w:rPr>
        <w:pPrChange w:id="13137" w:author="AbbVie02no" w:date="2025-05-15T14:19:00Z">
          <w:pPr>
            <w:numPr>
              <w:numId w:val="1"/>
            </w:numPr>
            <w:ind w:left="621" w:right="-2" w:hanging="567"/>
          </w:pPr>
        </w:pPrChange>
      </w:pPr>
      <w:del w:id="13138" w:author="AbbVie02no" w:date="2025-05-15T14:19:00Z">
        <w:r w:rsidRPr="009C5EFD">
          <w:rPr>
            <w:sz w:val="22"/>
            <w:szCs w:val="22"/>
          </w:rPr>
          <w:delText xml:space="preserve">Legen </w:delText>
        </w:r>
        <w:r w:rsidR="000B52DC" w:rsidRPr="009C5EFD">
          <w:rPr>
            <w:sz w:val="22"/>
            <w:szCs w:val="22"/>
          </w:rPr>
          <w:delText>vil</w:delText>
        </w:r>
        <w:r w:rsidRPr="009C5EFD">
          <w:rPr>
            <w:sz w:val="22"/>
            <w:szCs w:val="22"/>
          </w:rPr>
          <w:delText xml:space="preserve"> også gi deg et </w:delText>
        </w:r>
        <w:r w:rsidRPr="00B07EA9">
          <w:rPr>
            <w:b/>
            <w:sz w:val="22"/>
            <w:szCs w:val="22"/>
          </w:rPr>
          <w:delText xml:space="preserve">pasientkort </w:delText>
        </w:r>
        <w:r w:rsidRPr="009C5EFD">
          <w:rPr>
            <w:sz w:val="22"/>
            <w:szCs w:val="22"/>
          </w:rPr>
          <w:delText xml:space="preserve">som inneholder viktige sikkerhetsopplysninger som du må være oppmerksom på før </w:delText>
        </w:r>
        <w:r w:rsidR="00A91539" w:rsidRPr="009C5EFD">
          <w:rPr>
            <w:sz w:val="22"/>
            <w:szCs w:val="22"/>
          </w:rPr>
          <w:delText xml:space="preserve">ditt barn </w:delText>
        </w:r>
        <w:r w:rsidRPr="009C5EFD">
          <w:rPr>
            <w:sz w:val="22"/>
            <w:szCs w:val="22"/>
          </w:rPr>
          <w:delText xml:space="preserve">får Humira og under behandling med Humira. Ha dette </w:delText>
        </w:r>
        <w:r w:rsidRPr="00B07EA9">
          <w:rPr>
            <w:b/>
            <w:sz w:val="22"/>
            <w:szCs w:val="22"/>
          </w:rPr>
          <w:delText>pasientkortet</w:delText>
        </w:r>
        <w:r w:rsidRPr="009C5EFD">
          <w:rPr>
            <w:sz w:val="22"/>
            <w:szCs w:val="22"/>
          </w:rPr>
          <w:delText xml:space="preserve"> på deg</w:delText>
        </w:r>
        <w:r w:rsidR="00A91539" w:rsidRPr="009C5EFD">
          <w:rPr>
            <w:sz w:val="22"/>
            <w:szCs w:val="22"/>
          </w:rPr>
          <w:delText xml:space="preserve"> eller ditt barn</w:delText>
        </w:r>
        <w:r w:rsidRPr="009C5EFD">
          <w:rPr>
            <w:sz w:val="22"/>
            <w:szCs w:val="22"/>
          </w:rPr>
          <w:delText>.</w:delText>
        </w:r>
      </w:del>
    </w:p>
    <w:p w14:paraId="7D2D90D1" w14:textId="4976AF5E" w:rsidR="00DE3458" w:rsidRPr="009C5EFD" w:rsidRDefault="00E453CD">
      <w:pPr>
        <w:rPr>
          <w:del w:id="13139" w:author="AbbVie02no" w:date="2025-05-15T14:19:00Z"/>
          <w:sz w:val="22"/>
          <w:szCs w:val="22"/>
        </w:rPr>
        <w:pPrChange w:id="13140" w:author="AbbVie02no" w:date="2025-05-15T14:19:00Z">
          <w:pPr>
            <w:numPr>
              <w:numId w:val="1"/>
            </w:numPr>
            <w:ind w:left="621" w:right="-2" w:hanging="567"/>
          </w:pPr>
        </w:pPrChange>
      </w:pPr>
      <w:del w:id="13141" w:author="AbbVie02no" w:date="2025-05-15T14:19:00Z">
        <w:r w:rsidRPr="00192419">
          <w:rPr>
            <w:sz w:val="22"/>
            <w:szCs w:val="22"/>
          </w:rPr>
          <w:delText>Spør lege</w:delText>
        </w:r>
        <w:r>
          <w:rPr>
            <w:sz w:val="22"/>
            <w:szCs w:val="22"/>
          </w:rPr>
          <w:delText xml:space="preserve"> </w:delText>
        </w:r>
        <w:r w:rsidRPr="00192419">
          <w:rPr>
            <w:sz w:val="22"/>
            <w:szCs w:val="22"/>
          </w:rPr>
          <w:delText>eller</w:delText>
        </w:r>
        <w:r>
          <w:rPr>
            <w:sz w:val="22"/>
            <w:szCs w:val="22"/>
          </w:rPr>
          <w:delText xml:space="preserve"> </w:delText>
        </w:r>
        <w:r w:rsidRPr="00192419">
          <w:rPr>
            <w:sz w:val="22"/>
            <w:szCs w:val="22"/>
          </w:rPr>
          <w:delText>apotek</w:delText>
        </w:r>
        <w:r>
          <w:rPr>
            <w:sz w:val="22"/>
            <w:szCs w:val="22"/>
          </w:rPr>
          <w:delText xml:space="preserve"> h</w:delText>
        </w:r>
        <w:r w:rsidRPr="00192419">
          <w:rPr>
            <w:sz w:val="22"/>
            <w:szCs w:val="22"/>
          </w:rPr>
          <w:delText>vis du har flere spørsmål eller trenger</w:delText>
        </w:r>
        <w:r w:rsidR="007A31C0" w:rsidRPr="007A31C0">
          <w:rPr>
            <w:sz w:val="22"/>
            <w:szCs w:val="22"/>
          </w:rPr>
          <w:delText xml:space="preserve"> </w:delText>
        </w:r>
        <w:r w:rsidR="007A31C0">
          <w:rPr>
            <w:sz w:val="22"/>
            <w:szCs w:val="22"/>
          </w:rPr>
          <w:delText>mer informasjon</w:delText>
        </w:r>
        <w:r w:rsidRPr="009C5EFD">
          <w:rPr>
            <w:sz w:val="22"/>
            <w:szCs w:val="22"/>
          </w:rPr>
          <w:delText>.</w:delText>
        </w:r>
      </w:del>
    </w:p>
    <w:p w14:paraId="5819A2A7" w14:textId="5CFC4DDA" w:rsidR="00DE3458" w:rsidRPr="009C5EFD" w:rsidRDefault="00E453CD">
      <w:pPr>
        <w:rPr>
          <w:del w:id="13142" w:author="AbbVie02no" w:date="2025-05-15T14:19:00Z"/>
          <w:b/>
          <w:sz w:val="22"/>
          <w:szCs w:val="22"/>
        </w:rPr>
        <w:pPrChange w:id="13143" w:author="AbbVie02no" w:date="2025-05-15T14:19:00Z">
          <w:pPr>
            <w:numPr>
              <w:numId w:val="1"/>
            </w:numPr>
            <w:ind w:left="621" w:right="-2" w:hanging="567"/>
          </w:pPr>
        </w:pPrChange>
      </w:pPr>
      <w:del w:id="13144" w:author="AbbVie02no" w:date="2025-05-15T14:19:00Z">
        <w:r w:rsidRPr="009C5EFD">
          <w:rPr>
            <w:sz w:val="22"/>
            <w:szCs w:val="22"/>
          </w:rPr>
          <w:delText xml:space="preserve">Dette legemidlet er skrevet ut </w:delText>
        </w:r>
        <w:r w:rsidR="00BE1A1E" w:rsidRPr="009C5EFD">
          <w:rPr>
            <w:sz w:val="22"/>
            <w:szCs w:val="22"/>
          </w:rPr>
          <w:delText xml:space="preserve">kun </w:delText>
        </w:r>
        <w:r w:rsidRPr="009C5EFD">
          <w:rPr>
            <w:sz w:val="22"/>
            <w:szCs w:val="22"/>
          </w:rPr>
          <w:delText xml:space="preserve">til </w:delText>
        </w:r>
        <w:r w:rsidR="00A91539" w:rsidRPr="009C5EFD">
          <w:rPr>
            <w:sz w:val="22"/>
            <w:szCs w:val="22"/>
          </w:rPr>
          <w:delText>ditt barn</w:delText>
        </w:r>
        <w:r w:rsidRPr="009C5EFD">
          <w:rPr>
            <w:sz w:val="22"/>
            <w:szCs w:val="22"/>
          </w:rPr>
          <w:delText xml:space="preserve">. Ikke gi det videre til andre. Det kan skade dem selv om de har symptomer </w:delText>
        </w:r>
        <w:r w:rsidR="00F02FB9" w:rsidRPr="009C5EFD">
          <w:rPr>
            <w:sz w:val="22"/>
            <w:szCs w:val="22"/>
          </w:rPr>
          <w:delText xml:space="preserve">på </w:delText>
        </w:r>
        <w:r w:rsidR="00BE1A1E" w:rsidRPr="009C5EFD">
          <w:rPr>
            <w:sz w:val="22"/>
            <w:szCs w:val="22"/>
          </w:rPr>
          <w:delText xml:space="preserve">sykdom </w:delText>
        </w:r>
        <w:r w:rsidRPr="009C5EFD">
          <w:rPr>
            <w:sz w:val="22"/>
            <w:szCs w:val="22"/>
          </w:rPr>
          <w:delText xml:space="preserve">som ligner </w:delText>
        </w:r>
        <w:r w:rsidR="00A91539" w:rsidRPr="009C5EFD">
          <w:rPr>
            <w:sz w:val="22"/>
            <w:szCs w:val="22"/>
          </w:rPr>
          <w:delText>ditt barns sine</w:delText>
        </w:r>
        <w:r w:rsidRPr="009C5EFD">
          <w:rPr>
            <w:sz w:val="22"/>
            <w:szCs w:val="22"/>
          </w:rPr>
          <w:delText>.</w:delText>
        </w:r>
      </w:del>
    </w:p>
    <w:p w14:paraId="6A81BCE7" w14:textId="1D152EEE" w:rsidR="00DE3458" w:rsidRPr="009C5EFD" w:rsidRDefault="00E453CD">
      <w:pPr>
        <w:rPr>
          <w:del w:id="13145" w:author="AbbVie02no" w:date="2025-05-15T14:19:00Z"/>
          <w:b/>
          <w:sz w:val="22"/>
          <w:szCs w:val="22"/>
        </w:rPr>
        <w:pPrChange w:id="13146" w:author="AbbVie02no" w:date="2025-05-15T14:19:00Z">
          <w:pPr>
            <w:numPr>
              <w:numId w:val="1"/>
            </w:numPr>
            <w:ind w:left="621" w:right="-2" w:hanging="567"/>
          </w:pPr>
        </w:pPrChange>
      </w:pPr>
      <w:del w:id="13147" w:author="AbbVie02no" w:date="2025-05-15T14:19:00Z">
        <w:r w:rsidRPr="009C5EFD">
          <w:rPr>
            <w:sz w:val="22"/>
            <w:szCs w:val="22"/>
          </w:rPr>
          <w:delText xml:space="preserve">Kontakt </w:delText>
        </w:r>
        <w:r w:rsidR="00BE1A1E" w:rsidRPr="009C5EFD">
          <w:rPr>
            <w:sz w:val="22"/>
            <w:szCs w:val="22"/>
          </w:rPr>
          <w:delText xml:space="preserve">ditt </w:delText>
        </w:r>
        <w:r w:rsidR="00592E53" w:rsidRPr="009C5EFD">
          <w:rPr>
            <w:sz w:val="22"/>
            <w:szCs w:val="22"/>
          </w:rPr>
          <w:delText xml:space="preserve">barns </w:delText>
        </w:r>
        <w:r w:rsidRPr="009C5EFD">
          <w:rPr>
            <w:sz w:val="22"/>
            <w:szCs w:val="22"/>
          </w:rPr>
          <w:delText xml:space="preserve">lege eller apotek dersom </w:delText>
        </w:r>
        <w:r w:rsidR="00592E53" w:rsidRPr="009C5EFD">
          <w:rPr>
            <w:sz w:val="22"/>
            <w:szCs w:val="22"/>
          </w:rPr>
          <w:delText xml:space="preserve">ditt barn </w:delText>
        </w:r>
        <w:r w:rsidR="006F20A1" w:rsidRPr="009C5EFD">
          <w:rPr>
            <w:sz w:val="22"/>
            <w:szCs w:val="22"/>
          </w:rPr>
          <w:delText>opplever</w:delText>
        </w:r>
        <w:r w:rsidR="00BE1A1E" w:rsidRPr="009C5EFD">
          <w:rPr>
            <w:sz w:val="22"/>
            <w:szCs w:val="22"/>
          </w:rPr>
          <w:delText xml:space="preserve"> </w:delText>
        </w:r>
        <w:r w:rsidRPr="009C5EFD">
          <w:rPr>
            <w:sz w:val="22"/>
            <w:szCs w:val="22"/>
          </w:rPr>
          <w:delText>bivirkninge</w:delText>
        </w:r>
        <w:r w:rsidR="00592E53" w:rsidRPr="009C5EFD">
          <w:rPr>
            <w:sz w:val="22"/>
            <w:szCs w:val="22"/>
          </w:rPr>
          <w:delText>r</w:delText>
        </w:r>
        <w:r w:rsidR="006F20A1" w:rsidRPr="009C5EFD">
          <w:rPr>
            <w:sz w:val="22"/>
            <w:szCs w:val="22"/>
          </w:rPr>
          <w:delText xml:space="preserve">, </w:delText>
        </w:r>
        <w:r w:rsidR="00592E53" w:rsidRPr="009C5EFD">
          <w:rPr>
            <w:sz w:val="22"/>
            <w:szCs w:val="22"/>
          </w:rPr>
          <w:delText>inkluder</w:delText>
        </w:r>
        <w:r w:rsidR="006F20A1" w:rsidRPr="009C5EFD">
          <w:rPr>
            <w:sz w:val="22"/>
            <w:szCs w:val="22"/>
          </w:rPr>
          <w:delText>t</w:delText>
        </w:r>
        <w:r w:rsidR="00592E53" w:rsidRPr="009C5EFD">
          <w:rPr>
            <w:sz w:val="22"/>
            <w:szCs w:val="22"/>
          </w:rPr>
          <w:delText xml:space="preserve"> mulige </w:delText>
        </w:r>
        <w:r w:rsidRPr="009C5EFD">
          <w:rPr>
            <w:sz w:val="22"/>
            <w:szCs w:val="22"/>
          </w:rPr>
          <w:delText>bivirkninger som ikke er nevnt i dette pakningsvedlegget.</w:delText>
        </w:r>
        <w:r w:rsidR="000D5DAE" w:rsidRPr="009C5EFD">
          <w:rPr>
            <w:sz w:val="22"/>
            <w:szCs w:val="22"/>
          </w:rPr>
          <w:delText xml:space="preserve"> Se avsnitt 4.</w:delText>
        </w:r>
      </w:del>
    </w:p>
    <w:p w14:paraId="0E38DAC3" w14:textId="50B616DC" w:rsidR="00DE3458" w:rsidRPr="009C5EFD" w:rsidRDefault="00DE3458">
      <w:pPr>
        <w:rPr>
          <w:del w:id="13148" w:author="AbbVie02no" w:date="2025-05-15T14:19:00Z"/>
          <w:sz w:val="22"/>
          <w:szCs w:val="22"/>
        </w:rPr>
        <w:pPrChange w:id="13149" w:author="AbbVie02no" w:date="2025-05-15T14:19:00Z">
          <w:pPr>
            <w:ind w:right="-2"/>
          </w:pPr>
        </w:pPrChange>
      </w:pPr>
    </w:p>
    <w:p w14:paraId="362D3372" w14:textId="7E4C860B" w:rsidR="00DE3458" w:rsidRPr="009C5EFD" w:rsidRDefault="00E453CD">
      <w:pPr>
        <w:rPr>
          <w:del w:id="13150" w:author="AbbVie02no" w:date="2025-05-15T14:19:00Z"/>
          <w:sz w:val="22"/>
          <w:szCs w:val="22"/>
        </w:rPr>
        <w:pPrChange w:id="13151" w:author="AbbVie02no" w:date="2025-05-15T14:19:00Z">
          <w:pPr>
            <w:keepNext/>
          </w:pPr>
        </w:pPrChange>
      </w:pPr>
      <w:del w:id="13152" w:author="AbbVie02no" w:date="2025-05-15T14:19:00Z">
        <w:r w:rsidRPr="009C5EFD">
          <w:rPr>
            <w:b/>
            <w:sz w:val="22"/>
            <w:szCs w:val="22"/>
          </w:rPr>
          <w:delText>I dette pakningsvedlegget finner du informasjon om</w:delText>
        </w:r>
      </w:del>
    </w:p>
    <w:p w14:paraId="7F1B76A0" w14:textId="3F80F51A" w:rsidR="00DE3458" w:rsidRPr="009C5EFD" w:rsidRDefault="00E453CD">
      <w:pPr>
        <w:rPr>
          <w:del w:id="13153" w:author="AbbVie02no" w:date="2025-05-15T14:19:00Z"/>
          <w:sz w:val="22"/>
          <w:szCs w:val="22"/>
        </w:rPr>
        <w:pPrChange w:id="13154" w:author="AbbVie02no" w:date="2025-05-15T14:19:00Z">
          <w:pPr>
            <w:ind w:left="567" w:right="-28" w:hanging="567"/>
          </w:pPr>
        </w:pPrChange>
      </w:pPr>
      <w:del w:id="13155" w:author="AbbVie02no" w:date="2025-05-15T14:19:00Z">
        <w:r w:rsidRPr="009C5EFD">
          <w:rPr>
            <w:sz w:val="22"/>
            <w:szCs w:val="22"/>
          </w:rPr>
          <w:delText>1.</w:delText>
        </w:r>
        <w:r w:rsidRPr="009C5EFD">
          <w:rPr>
            <w:sz w:val="22"/>
            <w:szCs w:val="22"/>
          </w:rPr>
          <w:tab/>
          <w:delText>Hva Humira er og hva det brukes mot</w:delText>
        </w:r>
      </w:del>
    </w:p>
    <w:p w14:paraId="5BA2CCA3" w14:textId="26A597AB" w:rsidR="00DE3458" w:rsidRPr="009C5EFD" w:rsidRDefault="00E453CD">
      <w:pPr>
        <w:rPr>
          <w:del w:id="13156" w:author="AbbVie02no" w:date="2025-05-15T14:19:00Z"/>
          <w:sz w:val="22"/>
          <w:szCs w:val="22"/>
        </w:rPr>
        <w:pPrChange w:id="13157" w:author="AbbVie02no" w:date="2025-05-15T14:19:00Z">
          <w:pPr>
            <w:ind w:left="567" w:right="-28" w:hanging="567"/>
          </w:pPr>
        </w:pPrChange>
      </w:pPr>
      <w:del w:id="13158" w:author="AbbVie02no" w:date="2025-05-15T14:19:00Z">
        <w:r w:rsidRPr="009C5EFD">
          <w:rPr>
            <w:sz w:val="22"/>
            <w:szCs w:val="22"/>
          </w:rPr>
          <w:delText>2.</w:delText>
        </w:r>
        <w:r w:rsidRPr="009C5EFD">
          <w:rPr>
            <w:sz w:val="22"/>
            <w:szCs w:val="22"/>
          </w:rPr>
          <w:tab/>
          <w:delText xml:space="preserve">Hva du må </w:delText>
        </w:r>
        <w:r w:rsidR="00F02FB9" w:rsidRPr="009C5EFD">
          <w:rPr>
            <w:sz w:val="22"/>
            <w:szCs w:val="22"/>
          </w:rPr>
          <w:delText>vite</w:delText>
        </w:r>
        <w:r w:rsidRPr="009C5EFD">
          <w:rPr>
            <w:sz w:val="22"/>
            <w:szCs w:val="22"/>
          </w:rPr>
          <w:delText xml:space="preserve"> før </w:delText>
        </w:r>
        <w:r w:rsidR="00A91539" w:rsidRPr="009C5EFD">
          <w:rPr>
            <w:sz w:val="22"/>
            <w:szCs w:val="22"/>
          </w:rPr>
          <w:delText>ditt barn</w:delText>
        </w:r>
        <w:r w:rsidRPr="009C5EFD">
          <w:rPr>
            <w:sz w:val="22"/>
            <w:szCs w:val="22"/>
          </w:rPr>
          <w:delText xml:space="preserve"> bruker Humira</w:delText>
        </w:r>
      </w:del>
    </w:p>
    <w:p w14:paraId="0F917471" w14:textId="6FAE9264" w:rsidR="00DE3458" w:rsidRPr="009C5EFD" w:rsidRDefault="00E453CD">
      <w:pPr>
        <w:rPr>
          <w:del w:id="13159" w:author="AbbVie02no" w:date="2025-05-15T14:19:00Z"/>
          <w:sz w:val="22"/>
          <w:szCs w:val="22"/>
        </w:rPr>
        <w:pPrChange w:id="13160" w:author="AbbVie02no" w:date="2025-05-15T14:19:00Z">
          <w:pPr>
            <w:ind w:left="567" w:right="-28" w:hanging="567"/>
          </w:pPr>
        </w:pPrChange>
      </w:pPr>
      <w:del w:id="13161" w:author="AbbVie02no" w:date="2025-05-15T14:19:00Z">
        <w:r w:rsidRPr="009C5EFD">
          <w:rPr>
            <w:sz w:val="22"/>
            <w:szCs w:val="22"/>
          </w:rPr>
          <w:delText>3.</w:delText>
        </w:r>
        <w:r w:rsidRPr="009C5EFD">
          <w:rPr>
            <w:sz w:val="22"/>
            <w:szCs w:val="22"/>
          </w:rPr>
          <w:tab/>
          <w:delText>Hvordan du bruker Humira</w:delText>
        </w:r>
      </w:del>
    </w:p>
    <w:p w14:paraId="5A2CC3C1" w14:textId="34EA9A1F" w:rsidR="00DE3458" w:rsidRPr="009C5EFD" w:rsidRDefault="00E453CD">
      <w:pPr>
        <w:rPr>
          <w:del w:id="13162" w:author="AbbVie02no" w:date="2025-05-15T14:19:00Z"/>
          <w:sz w:val="22"/>
          <w:szCs w:val="22"/>
        </w:rPr>
        <w:pPrChange w:id="13163" w:author="AbbVie02no" w:date="2025-05-15T14:19:00Z">
          <w:pPr>
            <w:ind w:left="567" w:right="-28" w:hanging="567"/>
          </w:pPr>
        </w:pPrChange>
      </w:pPr>
      <w:del w:id="13164" w:author="AbbVie02no" w:date="2025-05-15T14:19:00Z">
        <w:r w:rsidRPr="009C5EFD">
          <w:rPr>
            <w:sz w:val="22"/>
            <w:szCs w:val="22"/>
          </w:rPr>
          <w:delText>4.</w:delText>
        </w:r>
        <w:r w:rsidRPr="009C5EFD">
          <w:rPr>
            <w:sz w:val="22"/>
            <w:szCs w:val="22"/>
          </w:rPr>
          <w:tab/>
          <w:delText>Mulige bivirkninger</w:delText>
        </w:r>
      </w:del>
    </w:p>
    <w:p w14:paraId="025E9F81" w14:textId="2DA99573" w:rsidR="00DE3458" w:rsidRPr="009C5EFD" w:rsidRDefault="00E453CD">
      <w:pPr>
        <w:rPr>
          <w:del w:id="13165" w:author="AbbVie02no" w:date="2025-05-15T14:19:00Z"/>
          <w:sz w:val="22"/>
          <w:szCs w:val="22"/>
        </w:rPr>
        <w:pPrChange w:id="13166" w:author="AbbVie02no" w:date="2025-05-15T14:19:00Z">
          <w:pPr>
            <w:ind w:left="567" w:right="-28" w:hanging="567"/>
          </w:pPr>
        </w:pPrChange>
      </w:pPr>
      <w:del w:id="13167" w:author="AbbVie02no" w:date="2025-05-15T14:19:00Z">
        <w:r w:rsidRPr="009C5EFD">
          <w:rPr>
            <w:sz w:val="22"/>
            <w:szCs w:val="22"/>
          </w:rPr>
          <w:delText>5.</w:delText>
        </w:r>
        <w:r w:rsidRPr="009C5EFD">
          <w:rPr>
            <w:sz w:val="22"/>
            <w:szCs w:val="22"/>
          </w:rPr>
          <w:tab/>
          <w:delText>Hvordan du oppbevarer Humira</w:delText>
        </w:r>
      </w:del>
    </w:p>
    <w:p w14:paraId="0319C9EB" w14:textId="28DEF6D8" w:rsidR="00DE3458" w:rsidRPr="009C5EFD" w:rsidRDefault="00E453CD">
      <w:pPr>
        <w:rPr>
          <w:del w:id="13168" w:author="AbbVie02no" w:date="2025-05-15T14:19:00Z"/>
          <w:sz w:val="22"/>
          <w:szCs w:val="22"/>
        </w:rPr>
        <w:pPrChange w:id="13169" w:author="AbbVie02no" w:date="2025-05-15T14:19:00Z">
          <w:pPr>
            <w:ind w:left="567" w:right="-28" w:hanging="567"/>
          </w:pPr>
        </w:pPrChange>
      </w:pPr>
      <w:del w:id="13170" w:author="AbbVie02no" w:date="2025-05-15T14:19:00Z">
        <w:r w:rsidRPr="009C5EFD">
          <w:rPr>
            <w:sz w:val="22"/>
            <w:szCs w:val="22"/>
          </w:rPr>
          <w:delText>6.</w:delText>
        </w:r>
        <w:r w:rsidRPr="009C5EFD">
          <w:rPr>
            <w:sz w:val="22"/>
            <w:szCs w:val="22"/>
          </w:rPr>
          <w:tab/>
        </w:r>
        <w:r w:rsidR="00592E53" w:rsidRPr="009C5EFD">
          <w:rPr>
            <w:sz w:val="22"/>
            <w:szCs w:val="22"/>
          </w:rPr>
          <w:delText xml:space="preserve">Innholdet i pakningen og </w:delText>
        </w:r>
        <w:r w:rsidR="00F02FB9" w:rsidRPr="009C5EFD">
          <w:rPr>
            <w:sz w:val="22"/>
            <w:szCs w:val="22"/>
          </w:rPr>
          <w:delText>ytterligere</w:delText>
        </w:r>
        <w:r w:rsidR="00592E53" w:rsidRPr="009C5EFD">
          <w:rPr>
            <w:sz w:val="22"/>
            <w:szCs w:val="22"/>
          </w:rPr>
          <w:delText xml:space="preserve"> </w:delText>
        </w:r>
        <w:r w:rsidRPr="009C5EFD">
          <w:rPr>
            <w:sz w:val="22"/>
            <w:szCs w:val="22"/>
          </w:rPr>
          <w:delText>informasjon</w:delText>
        </w:r>
      </w:del>
    </w:p>
    <w:p w14:paraId="0F63FCBD" w14:textId="0CB08CDF" w:rsidR="00DE3458" w:rsidRPr="009C5EFD" w:rsidRDefault="00DE3458">
      <w:pPr>
        <w:rPr>
          <w:del w:id="13171" w:author="AbbVie02no" w:date="2025-05-15T14:19:00Z"/>
          <w:sz w:val="22"/>
          <w:szCs w:val="22"/>
        </w:rPr>
        <w:pPrChange w:id="13172" w:author="AbbVie02no" w:date="2025-05-15T14:19:00Z">
          <w:pPr>
            <w:suppressAutoHyphens/>
          </w:pPr>
        </w:pPrChange>
      </w:pPr>
    </w:p>
    <w:p w14:paraId="09E3AA43" w14:textId="6C18F6AA" w:rsidR="00DE3458" w:rsidRPr="009C5EFD" w:rsidRDefault="00DE3458">
      <w:pPr>
        <w:rPr>
          <w:del w:id="13173" w:author="AbbVie02no" w:date="2025-05-15T14:19:00Z"/>
          <w:sz w:val="22"/>
          <w:szCs w:val="22"/>
        </w:rPr>
        <w:pPrChange w:id="13174" w:author="AbbVie02no" w:date="2025-05-15T14:19:00Z">
          <w:pPr>
            <w:suppressAutoHyphens/>
          </w:pPr>
        </w:pPrChange>
      </w:pPr>
    </w:p>
    <w:p w14:paraId="7E0782C1" w14:textId="1F31AD93" w:rsidR="00DE3458" w:rsidRPr="009C5EFD" w:rsidRDefault="00E453CD">
      <w:pPr>
        <w:rPr>
          <w:del w:id="13175" w:author="AbbVie02no" w:date="2025-05-15T14:19:00Z"/>
          <w:sz w:val="22"/>
          <w:szCs w:val="22"/>
        </w:rPr>
        <w:pPrChange w:id="13176" w:author="AbbVie02no" w:date="2025-05-15T14:19:00Z">
          <w:pPr>
            <w:keepNext/>
            <w:suppressAutoHyphens/>
            <w:ind w:left="567" w:hanging="567"/>
          </w:pPr>
        </w:pPrChange>
      </w:pPr>
      <w:del w:id="13177" w:author="AbbVie02no" w:date="2025-05-15T14:19:00Z">
        <w:r w:rsidRPr="009C5EFD">
          <w:rPr>
            <w:b/>
            <w:sz w:val="22"/>
            <w:szCs w:val="22"/>
          </w:rPr>
          <w:delText>1.</w:delText>
        </w:r>
        <w:r w:rsidRPr="009C5EFD">
          <w:rPr>
            <w:b/>
            <w:sz w:val="22"/>
            <w:szCs w:val="22"/>
          </w:rPr>
          <w:tab/>
        </w:r>
        <w:r w:rsidR="00BB24A8" w:rsidRPr="009C5EFD">
          <w:rPr>
            <w:b/>
            <w:sz w:val="22"/>
            <w:szCs w:val="22"/>
          </w:rPr>
          <w:delText>Hva Humira er og hva det brukes mot</w:delText>
        </w:r>
      </w:del>
    </w:p>
    <w:p w14:paraId="01301987" w14:textId="4FDC9BD2" w:rsidR="00DE3458" w:rsidRPr="009C5EFD" w:rsidRDefault="00DE3458">
      <w:pPr>
        <w:rPr>
          <w:del w:id="13178" w:author="AbbVie02no" w:date="2025-05-15T14:19:00Z"/>
          <w:sz w:val="22"/>
          <w:szCs w:val="22"/>
        </w:rPr>
        <w:pPrChange w:id="13179" w:author="AbbVie02no" w:date="2025-05-15T14:19:00Z">
          <w:pPr>
            <w:keepNext/>
          </w:pPr>
        </w:pPrChange>
      </w:pPr>
    </w:p>
    <w:p w14:paraId="2D4FF13D" w14:textId="19A315DF" w:rsidR="000E2924" w:rsidRDefault="00E453CD">
      <w:pPr>
        <w:rPr>
          <w:del w:id="13180" w:author="AbbVie02no" w:date="2025-05-15T14:19:00Z"/>
          <w:sz w:val="22"/>
          <w:szCs w:val="22"/>
        </w:rPr>
        <w:pPrChange w:id="13181" w:author="AbbVie02no" w:date="2025-05-15T14:19:00Z">
          <w:pPr>
            <w:suppressAutoHyphens/>
          </w:pPr>
        </w:pPrChange>
      </w:pPr>
      <w:del w:id="13182" w:author="AbbVie02no" w:date="2025-05-15T14:19:00Z">
        <w:r w:rsidRPr="009C5EFD">
          <w:rPr>
            <w:sz w:val="22"/>
            <w:szCs w:val="22"/>
          </w:rPr>
          <w:delText xml:space="preserve">Humira inneholder </w:delText>
        </w:r>
        <w:r w:rsidR="00B37BD4" w:rsidRPr="009C5EFD">
          <w:rPr>
            <w:sz w:val="22"/>
            <w:szCs w:val="22"/>
          </w:rPr>
          <w:delText>virkestoffet</w:delText>
        </w:r>
        <w:r w:rsidRPr="009C5EFD">
          <w:rPr>
            <w:sz w:val="22"/>
            <w:szCs w:val="22"/>
          </w:rPr>
          <w:delText xml:space="preserve"> adali</w:delText>
        </w:r>
        <w:r w:rsidR="009F20CB" w:rsidRPr="009C5EFD">
          <w:rPr>
            <w:sz w:val="22"/>
            <w:szCs w:val="22"/>
          </w:rPr>
          <w:delText>mumab</w:delText>
        </w:r>
        <w:r w:rsidRPr="009C5EFD">
          <w:rPr>
            <w:sz w:val="22"/>
            <w:szCs w:val="22"/>
          </w:rPr>
          <w:delText>.</w:delText>
        </w:r>
      </w:del>
    </w:p>
    <w:p w14:paraId="6EE6768B" w14:textId="208AC722" w:rsidR="000E2924" w:rsidRDefault="000E2924">
      <w:pPr>
        <w:rPr>
          <w:del w:id="13183" w:author="AbbVie02no" w:date="2025-05-15T14:19:00Z"/>
          <w:sz w:val="22"/>
          <w:szCs w:val="22"/>
        </w:rPr>
        <w:pPrChange w:id="13184" w:author="AbbVie02no" w:date="2025-05-15T14:19:00Z">
          <w:pPr>
            <w:suppressAutoHyphens/>
          </w:pPr>
        </w:pPrChange>
      </w:pPr>
    </w:p>
    <w:p w14:paraId="1A5E9F7B" w14:textId="02285BD2" w:rsidR="000E2924" w:rsidRDefault="00E453CD">
      <w:pPr>
        <w:rPr>
          <w:del w:id="13185" w:author="AbbVie02no" w:date="2025-05-15T14:19:00Z"/>
          <w:sz w:val="22"/>
          <w:szCs w:val="22"/>
        </w:rPr>
        <w:pPrChange w:id="13186" w:author="AbbVie02no" w:date="2025-05-15T14:19:00Z">
          <w:pPr>
            <w:suppressAutoHyphens/>
          </w:pPr>
        </w:pPrChange>
      </w:pPr>
      <w:del w:id="13187" w:author="AbbVie02no" w:date="2025-05-15T14:19:00Z">
        <w:r w:rsidRPr="009C5EFD">
          <w:rPr>
            <w:sz w:val="22"/>
            <w:szCs w:val="22"/>
          </w:rPr>
          <w:delText xml:space="preserve">Humira </w:delText>
        </w:r>
        <w:r w:rsidR="005E174F" w:rsidRPr="009C5EFD">
          <w:rPr>
            <w:sz w:val="22"/>
            <w:szCs w:val="22"/>
          </w:rPr>
          <w:delText xml:space="preserve">brukes </w:delText>
        </w:r>
        <w:r w:rsidR="007A7D5C">
          <w:rPr>
            <w:sz w:val="22"/>
            <w:szCs w:val="22"/>
          </w:rPr>
          <w:delText>til</w:delText>
        </w:r>
        <w:r>
          <w:rPr>
            <w:sz w:val="22"/>
            <w:szCs w:val="22"/>
          </w:rPr>
          <w:delText xml:space="preserve"> å</w:delText>
        </w:r>
        <w:r w:rsidRPr="009C5EFD">
          <w:rPr>
            <w:sz w:val="22"/>
            <w:szCs w:val="22"/>
          </w:rPr>
          <w:delText xml:space="preserve"> behandl</w:delText>
        </w:r>
        <w:r>
          <w:rPr>
            <w:sz w:val="22"/>
            <w:szCs w:val="22"/>
          </w:rPr>
          <w:delText>e betennelsessykdommene beskrevet under:</w:delText>
        </w:r>
      </w:del>
    </w:p>
    <w:p w14:paraId="3B18FFFC" w14:textId="6A428534" w:rsidR="000E2924" w:rsidRPr="00E90360" w:rsidRDefault="00E453CD">
      <w:pPr>
        <w:rPr>
          <w:del w:id="13188" w:author="AbbVie02no" w:date="2025-05-15T14:19:00Z"/>
          <w:sz w:val="22"/>
        </w:rPr>
        <w:pPrChange w:id="13189" w:author="AbbVie02no" w:date="2025-05-15T14:19:00Z">
          <w:pPr>
            <w:numPr>
              <w:numId w:val="108"/>
            </w:numPr>
            <w:tabs>
              <w:tab w:val="left" w:pos="562"/>
              <w:tab w:val="left" w:pos="720"/>
            </w:tabs>
            <w:suppressAutoHyphens/>
            <w:ind w:left="720" w:hanging="360"/>
          </w:pPr>
        </w:pPrChange>
      </w:pPr>
      <w:del w:id="13190" w:author="AbbVie02no" w:date="2025-05-15T14:19:00Z">
        <w:r w:rsidRPr="00E90360">
          <w:rPr>
            <w:sz w:val="22"/>
          </w:rPr>
          <w:delText>Polyartikulær juvenil idiopatisk artritt</w:delText>
        </w:r>
      </w:del>
    </w:p>
    <w:p w14:paraId="49213944" w14:textId="4A6B5613" w:rsidR="000E2924" w:rsidRPr="00E90360" w:rsidRDefault="00E453CD">
      <w:pPr>
        <w:rPr>
          <w:del w:id="13191" w:author="AbbVie02no" w:date="2025-05-15T14:19:00Z"/>
          <w:sz w:val="22"/>
        </w:rPr>
        <w:pPrChange w:id="13192" w:author="AbbVie02no" w:date="2025-05-15T14:19:00Z">
          <w:pPr>
            <w:numPr>
              <w:numId w:val="108"/>
            </w:numPr>
            <w:tabs>
              <w:tab w:val="left" w:pos="562"/>
              <w:tab w:val="left" w:pos="720"/>
            </w:tabs>
            <w:suppressAutoHyphens/>
            <w:ind w:left="720" w:hanging="360"/>
          </w:pPr>
        </w:pPrChange>
      </w:pPr>
      <w:del w:id="13193" w:author="AbbVie02no" w:date="2025-05-15T14:19:00Z">
        <w:r w:rsidRPr="00E90360">
          <w:rPr>
            <w:sz w:val="22"/>
          </w:rPr>
          <w:delText>Entesittrelatert artritt</w:delText>
        </w:r>
      </w:del>
    </w:p>
    <w:p w14:paraId="1A9ED3ED" w14:textId="12C28F26" w:rsidR="000E2924" w:rsidRDefault="00E453CD">
      <w:pPr>
        <w:rPr>
          <w:del w:id="13194" w:author="AbbVie02no" w:date="2025-05-15T14:19:00Z"/>
          <w:sz w:val="22"/>
        </w:rPr>
        <w:pPrChange w:id="13195" w:author="AbbVie02no" w:date="2025-05-15T14:19:00Z">
          <w:pPr>
            <w:numPr>
              <w:numId w:val="108"/>
            </w:numPr>
            <w:tabs>
              <w:tab w:val="left" w:pos="562"/>
              <w:tab w:val="left" w:pos="720"/>
            </w:tabs>
            <w:suppressAutoHyphens/>
            <w:ind w:left="720" w:hanging="360"/>
          </w:pPr>
        </w:pPrChange>
      </w:pPr>
      <w:del w:id="13196" w:author="AbbVie02no" w:date="2025-05-15T14:19:00Z">
        <w:r w:rsidRPr="00E90360">
          <w:rPr>
            <w:sz w:val="22"/>
          </w:rPr>
          <w:delText>P</w:delText>
        </w:r>
        <w:r>
          <w:rPr>
            <w:sz w:val="22"/>
          </w:rPr>
          <w:delText>ediatrisk p</w:delText>
        </w:r>
        <w:r w:rsidRPr="00E90360">
          <w:rPr>
            <w:sz w:val="22"/>
          </w:rPr>
          <w:delText>lakkpsoriasis</w:delText>
        </w:r>
      </w:del>
    </w:p>
    <w:p w14:paraId="5A34E5FD" w14:textId="3C5E6537" w:rsidR="000E2924" w:rsidRPr="00E90360" w:rsidRDefault="00E453CD">
      <w:pPr>
        <w:rPr>
          <w:del w:id="13197" w:author="AbbVie02no" w:date="2025-05-15T14:19:00Z"/>
          <w:sz w:val="22"/>
        </w:rPr>
        <w:pPrChange w:id="13198" w:author="AbbVie02no" w:date="2025-05-15T14:19:00Z">
          <w:pPr>
            <w:numPr>
              <w:numId w:val="108"/>
            </w:numPr>
            <w:tabs>
              <w:tab w:val="left" w:pos="562"/>
              <w:tab w:val="left" w:pos="720"/>
            </w:tabs>
            <w:suppressAutoHyphens/>
            <w:ind w:left="720" w:hanging="360"/>
          </w:pPr>
        </w:pPrChange>
      </w:pPr>
      <w:del w:id="13199" w:author="AbbVie02no" w:date="2025-05-15T14:19:00Z">
        <w:r>
          <w:rPr>
            <w:sz w:val="22"/>
          </w:rPr>
          <w:delText>Hidrosadenitt hos ungdom</w:delText>
        </w:r>
      </w:del>
    </w:p>
    <w:p w14:paraId="3A681246" w14:textId="38081817" w:rsidR="000E2924" w:rsidRPr="00692DC9" w:rsidRDefault="00E453CD">
      <w:pPr>
        <w:rPr>
          <w:del w:id="13200" w:author="AbbVie02no" w:date="2025-05-15T14:19:00Z"/>
          <w:sz w:val="22"/>
          <w:rPrChange w:id="13201" w:author="AbbVie05no" w:date="2025-05-19T11:03:00Z">
            <w:rPr>
              <w:del w:id="13202" w:author="AbbVie02no" w:date="2025-05-15T14:19:00Z"/>
              <w:sz w:val="22"/>
              <w:lang w:val="en-GB"/>
            </w:rPr>
          </w:rPrChange>
        </w:rPr>
        <w:pPrChange w:id="13203" w:author="AbbVie02no" w:date="2025-05-15T14:19:00Z">
          <w:pPr>
            <w:numPr>
              <w:numId w:val="108"/>
            </w:numPr>
            <w:tabs>
              <w:tab w:val="left" w:pos="562"/>
              <w:tab w:val="left" w:pos="720"/>
            </w:tabs>
            <w:suppressAutoHyphens/>
            <w:ind w:left="720" w:hanging="360"/>
          </w:pPr>
        </w:pPrChange>
      </w:pPr>
      <w:del w:id="13204" w:author="AbbVie02no" w:date="2025-05-15T14:19:00Z">
        <w:r w:rsidRPr="00692DC9">
          <w:rPr>
            <w:sz w:val="22"/>
            <w:rPrChange w:id="13205" w:author="AbbVie05no" w:date="2025-05-19T11:03:00Z">
              <w:rPr>
                <w:sz w:val="22"/>
                <w:lang w:val="en-GB"/>
              </w:rPr>
            </w:rPrChange>
          </w:rPr>
          <w:delText xml:space="preserve">Pediatrisk Crohns </w:delText>
        </w:r>
        <w:r w:rsidRPr="00E90360">
          <w:rPr>
            <w:sz w:val="22"/>
            <w:szCs w:val="22"/>
          </w:rPr>
          <w:delText>sykdom</w:delText>
        </w:r>
      </w:del>
    </w:p>
    <w:p w14:paraId="4591C878" w14:textId="39A2F7A0" w:rsidR="008800F8" w:rsidRPr="00692DC9" w:rsidRDefault="00E453CD">
      <w:pPr>
        <w:rPr>
          <w:del w:id="13206" w:author="AbbVie02no" w:date="2025-05-15T14:19:00Z"/>
          <w:sz w:val="22"/>
          <w:rPrChange w:id="13207" w:author="AbbVie05no" w:date="2025-05-19T11:03:00Z">
            <w:rPr>
              <w:del w:id="13208" w:author="AbbVie02no" w:date="2025-05-15T14:19:00Z"/>
              <w:sz w:val="22"/>
              <w:lang w:val="en-GB"/>
            </w:rPr>
          </w:rPrChange>
        </w:rPr>
        <w:pPrChange w:id="13209" w:author="AbbVie02no" w:date="2025-05-15T14:19:00Z">
          <w:pPr>
            <w:numPr>
              <w:numId w:val="108"/>
            </w:numPr>
            <w:tabs>
              <w:tab w:val="left" w:pos="562"/>
              <w:tab w:val="left" w:pos="720"/>
            </w:tabs>
            <w:suppressAutoHyphens/>
            <w:ind w:left="720" w:hanging="360"/>
          </w:pPr>
        </w:pPrChange>
      </w:pPr>
      <w:del w:id="13210" w:author="AbbVie02no" w:date="2025-05-15T14:19:00Z">
        <w:r>
          <w:rPr>
            <w:sz w:val="22"/>
            <w:szCs w:val="22"/>
          </w:rPr>
          <w:delText>Pediatrisk ulcerøs kolitt</w:delText>
        </w:r>
      </w:del>
    </w:p>
    <w:p w14:paraId="04C4708D" w14:textId="41882210" w:rsidR="000E2924" w:rsidRPr="00E90360" w:rsidRDefault="00E453CD">
      <w:pPr>
        <w:rPr>
          <w:del w:id="13211" w:author="AbbVie02no" w:date="2025-05-15T14:19:00Z"/>
          <w:sz w:val="22"/>
        </w:rPr>
        <w:pPrChange w:id="13212" w:author="AbbVie02no" w:date="2025-05-15T14:19:00Z">
          <w:pPr>
            <w:numPr>
              <w:numId w:val="108"/>
            </w:numPr>
            <w:tabs>
              <w:tab w:val="left" w:pos="562"/>
              <w:tab w:val="left" w:pos="720"/>
            </w:tabs>
            <w:suppressAutoHyphens/>
            <w:ind w:left="720" w:hanging="360"/>
          </w:pPr>
        </w:pPrChange>
      </w:pPr>
      <w:del w:id="13213" w:author="AbbVie02no" w:date="2025-05-15T14:19:00Z">
        <w:r>
          <w:rPr>
            <w:sz w:val="22"/>
          </w:rPr>
          <w:delText>Pediatrisk</w:delText>
        </w:r>
        <w:r w:rsidRPr="00E90360">
          <w:rPr>
            <w:sz w:val="22"/>
          </w:rPr>
          <w:delText xml:space="preserve"> uveitt</w:delText>
        </w:r>
      </w:del>
    </w:p>
    <w:p w14:paraId="7F1E733D" w14:textId="1E8F929C" w:rsidR="000E2924" w:rsidRDefault="000E2924">
      <w:pPr>
        <w:rPr>
          <w:del w:id="13214" w:author="AbbVie02no" w:date="2025-05-15T14:19:00Z"/>
          <w:sz w:val="22"/>
          <w:szCs w:val="22"/>
        </w:rPr>
        <w:pPrChange w:id="13215" w:author="AbbVie02no" w:date="2025-05-15T14:19:00Z">
          <w:pPr>
            <w:suppressAutoHyphens/>
          </w:pPr>
        </w:pPrChange>
      </w:pPr>
    </w:p>
    <w:p w14:paraId="4E37D6D5" w14:textId="2EE0D256" w:rsidR="000E2924" w:rsidRDefault="00E453CD">
      <w:pPr>
        <w:rPr>
          <w:del w:id="13216" w:author="AbbVie02no" w:date="2025-05-15T14:19:00Z"/>
          <w:sz w:val="22"/>
          <w:szCs w:val="22"/>
        </w:rPr>
        <w:pPrChange w:id="13217" w:author="AbbVie02no" w:date="2025-05-15T14:19:00Z">
          <w:pPr>
            <w:suppressAutoHyphens/>
          </w:pPr>
        </w:pPrChange>
      </w:pPr>
      <w:del w:id="13218" w:author="AbbVie02no" w:date="2025-05-15T14:19:00Z">
        <w:r w:rsidRPr="009C5EFD">
          <w:rPr>
            <w:sz w:val="22"/>
            <w:szCs w:val="22"/>
          </w:rPr>
          <w:delText>Virkestoffet</w:delText>
        </w:r>
        <w:r>
          <w:rPr>
            <w:sz w:val="22"/>
            <w:szCs w:val="22"/>
          </w:rPr>
          <w:delText xml:space="preserve"> i Humira</w:delText>
        </w:r>
        <w:r w:rsidRPr="009C5EFD">
          <w:rPr>
            <w:sz w:val="22"/>
            <w:szCs w:val="22"/>
          </w:rPr>
          <w:delText xml:space="preserve">, adalimumab, er et humant monoklonalt antistoff. Monoklonale antistoffer er proteiner som </w:delText>
        </w:r>
        <w:r>
          <w:rPr>
            <w:sz w:val="22"/>
            <w:szCs w:val="22"/>
          </w:rPr>
          <w:delText>fester</w:delText>
        </w:r>
        <w:r w:rsidRPr="009C5EFD">
          <w:rPr>
            <w:sz w:val="22"/>
            <w:szCs w:val="22"/>
          </w:rPr>
          <w:delText xml:space="preserve"> seg til et spesifikt </w:delText>
        </w:r>
        <w:r>
          <w:rPr>
            <w:sz w:val="22"/>
            <w:szCs w:val="22"/>
          </w:rPr>
          <w:delText>mål.</w:delText>
        </w:r>
      </w:del>
    </w:p>
    <w:p w14:paraId="4F3983F7" w14:textId="01F1ED76" w:rsidR="000E2924" w:rsidRDefault="000E2924">
      <w:pPr>
        <w:rPr>
          <w:del w:id="13219" w:author="AbbVie02no" w:date="2025-05-15T14:19:00Z"/>
          <w:sz w:val="22"/>
          <w:szCs w:val="22"/>
        </w:rPr>
        <w:pPrChange w:id="13220" w:author="AbbVie02no" w:date="2025-05-15T14:19:00Z">
          <w:pPr>
            <w:suppressAutoHyphens/>
          </w:pPr>
        </w:pPrChange>
      </w:pPr>
    </w:p>
    <w:p w14:paraId="6C888BB8" w14:textId="5A9C36BC" w:rsidR="00DE3458" w:rsidRPr="009C5EFD" w:rsidRDefault="00E453CD">
      <w:pPr>
        <w:rPr>
          <w:del w:id="13221" w:author="AbbVie02no" w:date="2025-05-15T14:19:00Z"/>
          <w:sz w:val="22"/>
          <w:szCs w:val="22"/>
        </w:rPr>
        <w:pPrChange w:id="13222" w:author="AbbVie02no" w:date="2025-05-15T14:19:00Z">
          <w:pPr>
            <w:suppressAutoHyphens/>
          </w:pPr>
        </w:pPrChange>
      </w:pPr>
      <w:del w:id="13223" w:author="AbbVie02no" w:date="2025-05-15T14:19:00Z">
        <w:r>
          <w:rPr>
            <w:sz w:val="22"/>
            <w:szCs w:val="22"/>
          </w:rPr>
          <w:delText xml:space="preserve">Målet til adalimumab er et </w:delText>
        </w:r>
        <w:r w:rsidRPr="009C5EFD">
          <w:rPr>
            <w:sz w:val="22"/>
            <w:szCs w:val="22"/>
          </w:rPr>
          <w:delText xml:space="preserve">protein </w:delText>
        </w:r>
        <w:r>
          <w:rPr>
            <w:sz w:val="22"/>
            <w:szCs w:val="22"/>
          </w:rPr>
          <w:delText xml:space="preserve">som kalles </w:delText>
        </w:r>
        <w:r w:rsidRPr="009C5EFD">
          <w:rPr>
            <w:sz w:val="22"/>
            <w:szCs w:val="22"/>
          </w:rPr>
          <w:delText xml:space="preserve">tumornekrosefaktor </w:delText>
        </w:r>
        <w:r>
          <w:rPr>
            <w:sz w:val="22"/>
            <w:szCs w:val="22"/>
          </w:rPr>
          <w:delText>(</w:delText>
        </w:r>
        <w:r w:rsidRPr="009C5EFD">
          <w:rPr>
            <w:sz w:val="22"/>
            <w:szCs w:val="22"/>
          </w:rPr>
          <w:delText>TNF</w:delText>
        </w:r>
        <w:r>
          <w:rPr>
            <w:sz w:val="22"/>
            <w:szCs w:val="22"/>
          </w:rPr>
          <w:delText>α</w:delText>
        </w:r>
        <w:r w:rsidRPr="009C5EFD">
          <w:rPr>
            <w:sz w:val="22"/>
            <w:szCs w:val="22"/>
          </w:rPr>
          <w:delText xml:space="preserve">), som </w:delText>
        </w:r>
        <w:r>
          <w:rPr>
            <w:sz w:val="22"/>
            <w:szCs w:val="22"/>
          </w:rPr>
          <w:delText>er involvert i immunforsvaret. Ved betennelsessykdommene ovenfor foreligger det i økte nivåer. Ved å feste seg til TNFα, senker Humira betennelsesprosessen ved disse tilstandene</w:delText>
        </w:r>
        <w:r w:rsidRPr="009C5EFD">
          <w:rPr>
            <w:sz w:val="22"/>
            <w:szCs w:val="22"/>
          </w:rPr>
          <w:delText>.</w:delText>
        </w:r>
      </w:del>
    </w:p>
    <w:p w14:paraId="4D650EC0" w14:textId="35ECB991" w:rsidR="00DE3458" w:rsidRPr="009C5EFD" w:rsidRDefault="00DE3458">
      <w:pPr>
        <w:rPr>
          <w:del w:id="13224" w:author="AbbVie02no" w:date="2025-05-15T14:19:00Z"/>
          <w:sz w:val="22"/>
          <w:szCs w:val="22"/>
        </w:rPr>
        <w:pPrChange w:id="13225" w:author="AbbVie02no" w:date="2025-05-15T14:19:00Z">
          <w:pPr>
            <w:suppressAutoHyphens/>
          </w:pPr>
        </w:pPrChange>
      </w:pPr>
    </w:p>
    <w:p w14:paraId="38F3ADCC" w14:textId="60226246" w:rsidR="00DE3458" w:rsidRPr="009C5EFD" w:rsidRDefault="00E453CD">
      <w:pPr>
        <w:rPr>
          <w:del w:id="13226" w:author="AbbVie02no" w:date="2025-05-15T14:19:00Z"/>
          <w:sz w:val="22"/>
          <w:szCs w:val="22"/>
          <w:u w:val="single"/>
        </w:rPr>
        <w:pPrChange w:id="13227" w:author="AbbVie02no" w:date="2025-05-15T14:19:00Z">
          <w:pPr>
            <w:keepNext/>
            <w:suppressAutoHyphens/>
          </w:pPr>
        </w:pPrChange>
      </w:pPr>
      <w:del w:id="13228" w:author="AbbVie02no" w:date="2025-05-15T14:19:00Z">
        <w:r w:rsidRPr="009C5EFD">
          <w:rPr>
            <w:sz w:val="22"/>
            <w:szCs w:val="22"/>
            <w:u w:val="single"/>
          </w:rPr>
          <w:delText>Polyartikulær juvenil idiopatisk artritt</w:delText>
        </w:r>
        <w:r w:rsidR="000D0200" w:rsidRPr="009C5EFD">
          <w:rPr>
            <w:sz w:val="22"/>
            <w:szCs w:val="22"/>
            <w:u w:val="single"/>
          </w:rPr>
          <w:delText xml:space="preserve"> og entesittrelatert artritt</w:delText>
        </w:r>
      </w:del>
    </w:p>
    <w:p w14:paraId="775F40F9" w14:textId="2220FFCF" w:rsidR="00DE3458" w:rsidRPr="009C5EFD" w:rsidRDefault="00DE3458">
      <w:pPr>
        <w:rPr>
          <w:del w:id="13229" w:author="AbbVie02no" w:date="2025-05-15T14:19:00Z"/>
          <w:sz w:val="22"/>
          <w:szCs w:val="22"/>
        </w:rPr>
        <w:pPrChange w:id="13230" w:author="AbbVie02no" w:date="2025-05-15T14:19:00Z">
          <w:pPr>
            <w:keepNext/>
            <w:suppressAutoHyphens/>
          </w:pPr>
        </w:pPrChange>
      </w:pPr>
    </w:p>
    <w:p w14:paraId="1C4C96CE" w14:textId="5503A149" w:rsidR="00984DFC" w:rsidRPr="009C5EFD" w:rsidRDefault="00E453CD">
      <w:pPr>
        <w:rPr>
          <w:del w:id="13231" w:author="AbbVie02no" w:date="2025-05-15T14:19:00Z"/>
          <w:sz w:val="22"/>
          <w:szCs w:val="22"/>
          <w:u w:val="single"/>
        </w:rPr>
        <w:pPrChange w:id="13232" w:author="AbbVie02no" w:date="2025-05-15T14:19:00Z">
          <w:pPr>
            <w:suppressAutoHyphens/>
          </w:pPr>
        </w:pPrChange>
      </w:pPr>
      <w:del w:id="13233" w:author="AbbVie02no" w:date="2025-05-15T14:19:00Z">
        <w:r w:rsidRPr="009C5EFD">
          <w:rPr>
            <w:sz w:val="22"/>
            <w:szCs w:val="22"/>
          </w:rPr>
          <w:delText>Polyartikulær juvenil idiopatisk artritt og entesittrelatert artritt er betennelsessykdommer.</w:delText>
        </w:r>
      </w:del>
    </w:p>
    <w:p w14:paraId="41422A89" w14:textId="074F409E" w:rsidR="00984DFC" w:rsidRPr="009C5EFD" w:rsidRDefault="00984DFC">
      <w:pPr>
        <w:rPr>
          <w:del w:id="13234" w:author="AbbVie02no" w:date="2025-05-15T14:19:00Z"/>
          <w:sz w:val="22"/>
          <w:szCs w:val="22"/>
        </w:rPr>
        <w:pPrChange w:id="13235" w:author="AbbVie02no" w:date="2025-05-15T14:19:00Z">
          <w:pPr>
            <w:suppressAutoHyphens/>
          </w:pPr>
        </w:pPrChange>
      </w:pPr>
    </w:p>
    <w:p w14:paraId="2266B179" w14:textId="7911382D" w:rsidR="00DE3458" w:rsidRPr="009C5EFD" w:rsidRDefault="00E453CD">
      <w:pPr>
        <w:rPr>
          <w:del w:id="13236" w:author="AbbVie02no" w:date="2025-05-15T14:19:00Z"/>
          <w:sz w:val="22"/>
          <w:szCs w:val="22"/>
        </w:rPr>
        <w:pPrChange w:id="13237" w:author="AbbVie02no" w:date="2025-05-15T14:19:00Z">
          <w:pPr>
            <w:suppressAutoHyphens/>
          </w:pPr>
        </w:pPrChange>
      </w:pPr>
      <w:del w:id="13238" w:author="AbbVie02no" w:date="2025-05-15T14:19:00Z">
        <w:r w:rsidRPr="009C5EFD">
          <w:rPr>
            <w:sz w:val="22"/>
            <w:szCs w:val="22"/>
          </w:rPr>
          <w:delText xml:space="preserve">Humira brukes </w:delText>
        </w:r>
        <w:r w:rsidR="002316CD">
          <w:rPr>
            <w:sz w:val="22"/>
            <w:szCs w:val="22"/>
          </w:rPr>
          <w:delText>til</w:delText>
        </w:r>
        <w:r w:rsidR="00F35B7E" w:rsidRPr="009C5EFD">
          <w:rPr>
            <w:sz w:val="22"/>
            <w:szCs w:val="22"/>
          </w:rPr>
          <w:delText xml:space="preserve"> </w:delText>
        </w:r>
        <w:r w:rsidRPr="009C5EFD">
          <w:rPr>
            <w:sz w:val="22"/>
            <w:szCs w:val="22"/>
          </w:rPr>
          <w:delText>å behandle polyartikulær juvenil idiopatisk artritt</w:delText>
        </w:r>
        <w:r w:rsidR="000D0200" w:rsidRPr="009C5EFD">
          <w:rPr>
            <w:sz w:val="22"/>
            <w:szCs w:val="22"/>
          </w:rPr>
          <w:delText xml:space="preserve"> og entesittrelatert artritt</w:delText>
        </w:r>
        <w:r w:rsidRPr="009C5EFD">
          <w:rPr>
            <w:sz w:val="22"/>
            <w:szCs w:val="22"/>
          </w:rPr>
          <w:delText xml:space="preserve">. Det kan hende </w:delText>
        </w:r>
        <w:r w:rsidR="005D3D67">
          <w:rPr>
            <w:sz w:val="22"/>
            <w:szCs w:val="22"/>
          </w:rPr>
          <w:delText>barnet ditt</w:delText>
        </w:r>
        <w:r w:rsidR="005D3D67" w:rsidRPr="009C5EFD">
          <w:rPr>
            <w:sz w:val="22"/>
            <w:szCs w:val="22"/>
          </w:rPr>
          <w:delText xml:space="preserve"> </w:delText>
        </w:r>
        <w:r w:rsidRPr="009C5EFD">
          <w:rPr>
            <w:sz w:val="22"/>
            <w:szCs w:val="22"/>
          </w:rPr>
          <w:delText xml:space="preserve">først får andre sykdomsmodifiserende </w:delText>
        </w:r>
        <w:r w:rsidR="00F82487">
          <w:rPr>
            <w:sz w:val="22"/>
            <w:szCs w:val="22"/>
          </w:rPr>
          <w:delText>legemidler</w:delText>
        </w:r>
        <w:r w:rsidRPr="009C5EFD">
          <w:rPr>
            <w:sz w:val="22"/>
            <w:szCs w:val="22"/>
          </w:rPr>
          <w:delText xml:space="preserve">, som metotreksat. Dersom </w:delText>
        </w:r>
        <w:r w:rsidR="000E2924">
          <w:rPr>
            <w:sz w:val="22"/>
            <w:szCs w:val="22"/>
          </w:rPr>
          <w:delText>disse legemidlene ikke virker</w:delText>
        </w:r>
        <w:r w:rsidRPr="009C5EFD">
          <w:rPr>
            <w:sz w:val="22"/>
            <w:szCs w:val="22"/>
          </w:rPr>
          <w:delText xml:space="preserve"> godt nok, vil </w:delText>
        </w:r>
        <w:r w:rsidR="005D3D67">
          <w:rPr>
            <w:sz w:val="22"/>
            <w:szCs w:val="22"/>
          </w:rPr>
          <w:delText>barnet ditt</w:delText>
        </w:r>
        <w:r w:rsidR="005D3D67" w:rsidRPr="009C5EFD">
          <w:rPr>
            <w:sz w:val="22"/>
            <w:szCs w:val="22"/>
          </w:rPr>
          <w:delText xml:space="preserve"> </w:delText>
        </w:r>
        <w:r w:rsidRPr="009C5EFD">
          <w:rPr>
            <w:sz w:val="22"/>
            <w:szCs w:val="22"/>
          </w:rPr>
          <w:delText>få Humira for å behandle polyartikulær juvenil idiopatisk artritt</w:delText>
        </w:r>
        <w:r w:rsidR="00AD38D6" w:rsidRPr="009C5EFD">
          <w:rPr>
            <w:sz w:val="22"/>
            <w:szCs w:val="22"/>
          </w:rPr>
          <w:delText xml:space="preserve"> eller entesittrelatert artritt</w:delText>
        </w:r>
        <w:r w:rsidRPr="009C5EFD">
          <w:rPr>
            <w:sz w:val="22"/>
            <w:szCs w:val="22"/>
          </w:rPr>
          <w:delText>.</w:delText>
        </w:r>
      </w:del>
    </w:p>
    <w:p w14:paraId="58B3316B" w14:textId="24A4FC2D" w:rsidR="00AC7B06" w:rsidRPr="009C5EFD" w:rsidRDefault="00AC7B06">
      <w:pPr>
        <w:rPr>
          <w:del w:id="13239" w:author="AbbVie02no" w:date="2025-05-15T14:19:00Z"/>
          <w:sz w:val="22"/>
          <w:szCs w:val="22"/>
        </w:rPr>
        <w:pPrChange w:id="13240" w:author="AbbVie02no" w:date="2025-05-15T14:19:00Z">
          <w:pPr>
            <w:suppressAutoHyphens/>
          </w:pPr>
        </w:pPrChange>
      </w:pPr>
    </w:p>
    <w:p w14:paraId="6D7BB421" w14:textId="707DA0EF" w:rsidR="004E013A" w:rsidRPr="009C5EFD" w:rsidRDefault="00E453CD">
      <w:pPr>
        <w:rPr>
          <w:del w:id="13241" w:author="AbbVie02no" w:date="2025-05-15T14:19:00Z"/>
          <w:sz w:val="22"/>
          <w:szCs w:val="22"/>
          <w:u w:val="single"/>
        </w:rPr>
        <w:pPrChange w:id="13242" w:author="AbbVie02no" w:date="2025-05-15T14:19:00Z">
          <w:pPr>
            <w:keepNext/>
            <w:suppressAutoHyphens/>
          </w:pPr>
        </w:pPrChange>
      </w:pPr>
      <w:del w:id="13243" w:author="AbbVie02no" w:date="2025-05-15T14:19:00Z">
        <w:r>
          <w:rPr>
            <w:sz w:val="22"/>
            <w:szCs w:val="22"/>
            <w:u w:val="single"/>
          </w:rPr>
          <w:delText>Pediatrisk plakkpsoriasis</w:delText>
        </w:r>
      </w:del>
    </w:p>
    <w:p w14:paraId="3DBA4329" w14:textId="1E93F6E0" w:rsidR="00984DFC" w:rsidRPr="009C5EFD" w:rsidRDefault="00984DFC">
      <w:pPr>
        <w:rPr>
          <w:del w:id="13244" w:author="AbbVie02no" w:date="2025-05-15T14:19:00Z"/>
          <w:szCs w:val="22"/>
          <w:u w:val="single"/>
        </w:rPr>
        <w:pPrChange w:id="13245" w:author="AbbVie02no" w:date="2025-05-15T14:19:00Z">
          <w:pPr>
            <w:keepNext/>
            <w:suppressAutoHyphens/>
          </w:pPr>
        </w:pPrChange>
      </w:pPr>
    </w:p>
    <w:p w14:paraId="2DAF4866" w14:textId="1CDA8536" w:rsidR="00984DFC" w:rsidRPr="009C5EFD" w:rsidRDefault="00E453CD">
      <w:pPr>
        <w:rPr>
          <w:del w:id="13246" w:author="AbbVie02no" w:date="2025-05-15T14:19:00Z"/>
          <w:sz w:val="22"/>
          <w:szCs w:val="22"/>
        </w:rPr>
        <w:pPrChange w:id="13247" w:author="AbbVie02no" w:date="2025-05-15T14:19:00Z">
          <w:pPr>
            <w:suppressAutoHyphens/>
          </w:pPr>
        </w:pPrChange>
      </w:pPr>
      <w:del w:id="13248" w:author="AbbVie02no" w:date="2025-05-15T14:19:00Z">
        <w:r w:rsidRPr="009C5EFD">
          <w:rPr>
            <w:sz w:val="22"/>
            <w:szCs w:val="22"/>
          </w:rPr>
          <w:lastRenderedPageBreak/>
          <w:delText>Plakkpsoriasis</w:delText>
        </w:r>
        <w:r w:rsidR="00673640" w:rsidRPr="009C5EFD">
          <w:rPr>
            <w:sz w:val="22"/>
            <w:szCs w:val="22"/>
          </w:rPr>
          <w:delText xml:space="preserve"> er en hudsykdom som forårsaker rød</w:delText>
        </w:r>
        <w:r w:rsidR="00A71A73" w:rsidRPr="009C5EFD">
          <w:rPr>
            <w:sz w:val="22"/>
            <w:szCs w:val="22"/>
          </w:rPr>
          <w:delText>e</w:delText>
        </w:r>
        <w:r w:rsidR="00673640" w:rsidRPr="009C5EFD">
          <w:rPr>
            <w:sz w:val="22"/>
            <w:szCs w:val="22"/>
          </w:rPr>
          <w:delText>, flasse</w:delText>
        </w:r>
        <w:r w:rsidR="00A71A73" w:rsidRPr="009C5EFD">
          <w:rPr>
            <w:sz w:val="22"/>
            <w:szCs w:val="22"/>
          </w:rPr>
          <w:delText>nde</w:delText>
        </w:r>
        <w:r w:rsidR="00673640" w:rsidRPr="009C5EFD">
          <w:rPr>
            <w:sz w:val="22"/>
            <w:szCs w:val="22"/>
          </w:rPr>
          <w:delText xml:space="preserve">, </w:delText>
        </w:r>
        <w:r w:rsidR="00A71A73" w:rsidRPr="009C5EFD">
          <w:rPr>
            <w:sz w:val="22"/>
            <w:szCs w:val="22"/>
          </w:rPr>
          <w:delText>tørre</w:delText>
        </w:r>
        <w:r w:rsidR="00673640" w:rsidRPr="009C5EFD">
          <w:rPr>
            <w:sz w:val="22"/>
            <w:szCs w:val="22"/>
          </w:rPr>
          <w:delText xml:space="preserve"> </w:delText>
        </w:r>
        <w:r w:rsidR="00A71A73" w:rsidRPr="009C5EFD">
          <w:rPr>
            <w:sz w:val="22"/>
            <w:szCs w:val="22"/>
          </w:rPr>
          <w:delText>flekker</w:delText>
        </w:r>
        <w:r w:rsidR="00673640" w:rsidRPr="009C5EFD">
          <w:rPr>
            <w:sz w:val="22"/>
            <w:szCs w:val="22"/>
          </w:rPr>
          <w:delText xml:space="preserve"> </w:delText>
        </w:r>
        <w:r w:rsidR="006A114B" w:rsidRPr="009C5EFD">
          <w:rPr>
            <w:sz w:val="22"/>
            <w:szCs w:val="22"/>
          </w:rPr>
          <w:delText>på</w:delText>
        </w:r>
        <w:r w:rsidR="00673640" w:rsidRPr="009C5EFD">
          <w:rPr>
            <w:sz w:val="22"/>
            <w:szCs w:val="22"/>
          </w:rPr>
          <w:delText xml:space="preserve"> huden</w:delText>
        </w:r>
        <w:r w:rsidR="006A114B" w:rsidRPr="009C5EFD">
          <w:rPr>
            <w:sz w:val="22"/>
            <w:szCs w:val="22"/>
          </w:rPr>
          <w:delText xml:space="preserve"> </w:delText>
        </w:r>
        <w:r w:rsidR="00A71A73" w:rsidRPr="009C5EFD">
          <w:rPr>
            <w:sz w:val="22"/>
            <w:szCs w:val="22"/>
          </w:rPr>
          <w:delText xml:space="preserve">dekket </w:delText>
        </w:r>
        <w:r w:rsidR="00673640" w:rsidRPr="009C5EFD">
          <w:rPr>
            <w:sz w:val="22"/>
            <w:szCs w:val="22"/>
          </w:rPr>
          <w:delText xml:space="preserve">med </w:delText>
        </w:r>
        <w:r w:rsidR="005E174F" w:rsidRPr="009C5EFD">
          <w:rPr>
            <w:sz w:val="22"/>
            <w:szCs w:val="22"/>
          </w:rPr>
          <w:delText>s</w:delText>
        </w:r>
        <w:r w:rsidR="00A71A73" w:rsidRPr="009C5EFD">
          <w:rPr>
            <w:sz w:val="22"/>
            <w:szCs w:val="22"/>
          </w:rPr>
          <w:delText>ølvfarget</w:delText>
        </w:r>
        <w:r w:rsidR="005E174F" w:rsidRPr="009C5EFD">
          <w:rPr>
            <w:sz w:val="22"/>
            <w:szCs w:val="22"/>
          </w:rPr>
          <w:delText>,</w:delText>
        </w:r>
        <w:r w:rsidR="00A71A73" w:rsidRPr="009C5EFD">
          <w:rPr>
            <w:sz w:val="22"/>
            <w:szCs w:val="22"/>
          </w:rPr>
          <w:delText xml:space="preserve"> skjellaktig hud</w:delText>
        </w:r>
        <w:r w:rsidR="00673640" w:rsidRPr="009C5EFD">
          <w:rPr>
            <w:sz w:val="22"/>
            <w:szCs w:val="22"/>
          </w:rPr>
          <w:delText xml:space="preserve">. </w:delText>
        </w:r>
        <w:r w:rsidR="00A84CEA">
          <w:rPr>
            <w:sz w:val="22"/>
            <w:szCs w:val="22"/>
          </w:rPr>
          <w:delText>Plakkpsoriasis kan også påvirke neglene, føre til smuldring, fortykkelse og løsning fra neglesengen som kan være smertefullt.</w:delText>
        </w:r>
        <w:r w:rsidR="00090EA2">
          <w:rPr>
            <w:sz w:val="22"/>
            <w:szCs w:val="22"/>
          </w:rPr>
          <w:delText xml:space="preserve"> Psoriasis antas å være forårsaket av problemer med kroppens immunsystem, som fører til økt produksjon av hudceller.</w:delText>
        </w:r>
      </w:del>
    </w:p>
    <w:p w14:paraId="387935FD" w14:textId="06352D7B" w:rsidR="00107C64" w:rsidRPr="009C5EFD" w:rsidRDefault="00107C64">
      <w:pPr>
        <w:rPr>
          <w:del w:id="13249" w:author="AbbVie02no" w:date="2025-05-15T14:19:00Z"/>
          <w:sz w:val="22"/>
          <w:szCs w:val="22"/>
        </w:rPr>
        <w:pPrChange w:id="13250" w:author="AbbVie02no" w:date="2025-05-15T14:19:00Z">
          <w:pPr>
            <w:suppressAutoHyphens/>
          </w:pPr>
        </w:pPrChange>
      </w:pPr>
    </w:p>
    <w:p w14:paraId="1D1908F3" w14:textId="3569825B" w:rsidR="00107C64" w:rsidRDefault="00E453CD">
      <w:pPr>
        <w:rPr>
          <w:del w:id="13251" w:author="AbbVie02no" w:date="2025-05-15T14:19:00Z"/>
          <w:sz w:val="22"/>
          <w:szCs w:val="22"/>
        </w:rPr>
        <w:pPrChange w:id="13252" w:author="AbbVie02no" w:date="2025-05-15T14:19:00Z">
          <w:pPr>
            <w:suppressAutoHyphens/>
          </w:pPr>
        </w:pPrChange>
      </w:pPr>
      <w:del w:id="13253" w:author="AbbVie02no" w:date="2025-05-15T14:19:00Z">
        <w:r w:rsidRPr="009C5EFD">
          <w:rPr>
            <w:sz w:val="22"/>
            <w:szCs w:val="22"/>
          </w:rPr>
          <w:delText xml:space="preserve">Humira </w:delText>
        </w:r>
        <w:r w:rsidR="00012275" w:rsidRPr="009C5EFD">
          <w:rPr>
            <w:sz w:val="22"/>
            <w:szCs w:val="22"/>
          </w:rPr>
          <w:delText>brukes</w:delText>
        </w:r>
        <w:r w:rsidRPr="009C5EFD">
          <w:rPr>
            <w:sz w:val="22"/>
            <w:szCs w:val="22"/>
          </w:rPr>
          <w:delText xml:space="preserve"> til behandling av </w:delText>
        </w:r>
        <w:r w:rsidR="00A71A73" w:rsidRPr="009C5EFD">
          <w:rPr>
            <w:sz w:val="22"/>
            <w:szCs w:val="22"/>
          </w:rPr>
          <w:delText xml:space="preserve">alvorlig </w:delText>
        </w:r>
        <w:r w:rsidRPr="009C5EFD">
          <w:rPr>
            <w:sz w:val="22"/>
            <w:szCs w:val="22"/>
          </w:rPr>
          <w:delText xml:space="preserve">plakkpsoriasis hos barn og ungdom </w:delText>
        </w:r>
        <w:r w:rsidR="004924BF">
          <w:rPr>
            <w:sz w:val="22"/>
            <w:szCs w:val="22"/>
          </w:rPr>
          <w:delText>fra</w:delText>
        </w:r>
        <w:r w:rsidRPr="009C5EFD">
          <w:rPr>
            <w:sz w:val="22"/>
            <w:szCs w:val="22"/>
          </w:rPr>
          <w:delText xml:space="preserve"> 4 til 17 år, hvor topikal</w:delText>
        </w:r>
        <w:r w:rsidR="002316CD">
          <w:rPr>
            <w:sz w:val="22"/>
            <w:szCs w:val="22"/>
          </w:rPr>
          <w:delText xml:space="preserve"> (lokal)</w:delText>
        </w:r>
        <w:r w:rsidRPr="009C5EFD">
          <w:rPr>
            <w:sz w:val="22"/>
            <w:szCs w:val="22"/>
          </w:rPr>
          <w:delText xml:space="preserve"> behandling </w:delText>
        </w:r>
        <w:r w:rsidR="009B3DBB" w:rsidRPr="009C5EFD">
          <w:rPr>
            <w:sz w:val="22"/>
            <w:szCs w:val="22"/>
          </w:rPr>
          <w:delText xml:space="preserve">og </w:delText>
        </w:r>
        <w:r w:rsidR="00726E6B">
          <w:rPr>
            <w:sz w:val="22"/>
            <w:szCs w:val="22"/>
          </w:rPr>
          <w:delText>lys</w:delText>
        </w:r>
        <w:r w:rsidRPr="009C5EFD">
          <w:rPr>
            <w:sz w:val="22"/>
            <w:szCs w:val="22"/>
          </w:rPr>
          <w:delText xml:space="preserve">behandling ikke har virket godt nok eller ikke er </w:delText>
        </w:r>
        <w:r w:rsidR="00A7554A" w:rsidRPr="009C5EFD">
          <w:rPr>
            <w:sz w:val="22"/>
            <w:szCs w:val="22"/>
          </w:rPr>
          <w:delText>egnet</w:delText>
        </w:r>
        <w:r w:rsidRPr="009C5EFD">
          <w:rPr>
            <w:sz w:val="22"/>
            <w:szCs w:val="22"/>
          </w:rPr>
          <w:delText>.</w:delText>
        </w:r>
      </w:del>
    </w:p>
    <w:p w14:paraId="6479042D" w14:textId="2BBAACB5" w:rsidR="00E7793D" w:rsidRDefault="00E7793D">
      <w:pPr>
        <w:rPr>
          <w:del w:id="13254" w:author="AbbVie02no" w:date="2025-05-15T14:19:00Z"/>
          <w:sz w:val="22"/>
          <w:szCs w:val="22"/>
        </w:rPr>
        <w:pPrChange w:id="13255" w:author="AbbVie02no" w:date="2025-05-15T14:19:00Z">
          <w:pPr>
            <w:suppressAutoHyphens/>
          </w:pPr>
        </w:pPrChange>
      </w:pPr>
    </w:p>
    <w:p w14:paraId="11A23181" w14:textId="56BDE284" w:rsidR="00E7793D" w:rsidRPr="009C5EFD" w:rsidRDefault="00E453CD">
      <w:pPr>
        <w:rPr>
          <w:del w:id="13256" w:author="AbbVie02no" w:date="2025-05-15T14:19:00Z"/>
          <w:rFonts w:eastAsia="TimesNewRoman"/>
          <w:sz w:val="22"/>
          <w:szCs w:val="22"/>
          <w:u w:val="single"/>
        </w:rPr>
        <w:pPrChange w:id="13257" w:author="AbbVie02no" w:date="2025-05-15T14:19:00Z">
          <w:pPr>
            <w:keepNext/>
            <w:autoSpaceDE w:val="0"/>
            <w:autoSpaceDN w:val="0"/>
            <w:adjustRightInd w:val="0"/>
          </w:pPr>
        </w:pPrChange>
      </w:pPr>
      <w:del w:id="13258" w:author="AbbVie02no" w:date="2025-05-15T14:19:00Z">
        <w:r w:rsidRPr="009C5EFD">
          <w:rPr>
            <w:rFonts w:eastAsia="TimesNewRoman"/>
            <w:sz w:val="22"/>
            <w:szCs w:val="22"/>
            <w:u w:val="single"/>
          </w:rPr>
          <w:delText>Hidrosadenitt</w:delText>
        </w:r>
        <w:r>
          <w:rPr>
            <w:rFonts w:eastAsia="TimesNewRoman"/>
            <w:sz w:val="22"/>
            <w:szCs w:val="22"/>
            <w:u w:val="single"/>
          </w:rPr>
          <w:delText xml:space="preserve"> hos ungdom</w:delText>
        </w:r>
      </w:del>
    </w:p>
    <w:p w14:paraId="1651DEB5" w14:textId="4DA7C04A" w:rsidR="00E7793D" w:rsidRPr="009C5EFD" w:rsidRDefault="00E7793D">
      <w:pPr>
        <w:rPr>
          <w:del w:id="13259" w:author="AbbVie02no" w:date="2025-05-15T14:19:00Z"/>
          <w:rFonts w:eastAsia="TimesNewRoman"/>
          <w:sz w:val="22"/>
          <w:szCs w:val="22"/>
          <w:u w:val="single"/>
        </w:rPr>
        <w:pPrChange w:id="13260" w:author="AbbVie02no" w:date="2025-05-15T14:19:00Z">
          <w:pPr>
            <w:keepNext/>
            <w:autoSpaceDE w:val="0"/>
            <w:autoSpaceDN w:val="0"/>
            <w:adjustRightInd w:val="0"/>
          </w:pPr>
        </w:pPrChange>
      </w:pPr>
    </w:p>
    <w:p w14:paraId="5DD98C1C" w14:textId="1494A0D5" w:rsidR="00E7793D" w:rsidRPr="009C5EFD" w:rsidRDefault="00E453CD">
      <w:pPr>
        <w:rPr>
          <w:del w:id="13261" w:author="AbbVie02no" w:date="2025-05-15T14:19:00Z"/>
          <w:rFonts w:eastAsia="TimesNewRoman"/>
          <w:sz w:val="22"/>
          <w:szCs w:val="22"/>
        </w:rPr>
        <w:pPrChange w:id="13262" w:author="AbbVie02no" w:date="2025-05-15T14:19:00Z">
          <w:pPr>
            <w:autoSpaceDE w:val="0"/>
            <w:autoSpaceDN w:val="0"/>
            <w:adjustRightInd w:val="0"/>
          </w:pPr>
        </w:pPrChange>
      </w:pPr>
      <w:del w:id="13263" w:author="AbbVie02no" w:date="2025-05-15T14:19:00Z">
        <w:r w:rsidRPr="009C5EFD">
          <w:rPr>
            <w:rFonts w:eastAsia="TimesNewRoman"/>
            <w:sz w:val="22"/>
            <w:szCs w:val="22"/>
          </w:rPr>
          <w:delText xml:space="preserve">Hidrosadenitt (også kalt svettekjertelbetennelse) er en kronisk og ofte smertefull </w:delText>
        </w:r>
        <w:r>
          <w:rPr>
            <w:rFonts w:eastAsia="TimesNewRoman"/>
            <w:sz w:val="22"/>
            <w:szCs w:val="22"/>
          </w:rPr>
          <w:delText>betennelsessykdom</w:delText>
        </w:r>
        <w:r w:rsidRPr="009C5EFD">
          <w:rPr>
            <w:rFonts w:eastAsia="TimesNewRoman"/>
            <w:sz w:val="22"/>
            <w:szCs w:val="22"/>
          </w:rPr>
          <w:delText xml:space="preserve"> </w:delText>
        </w:r>
        <w:r>
          <w:rPr>
            <w:rFonts w:eastAsia="TimesNewRoman"/>
            <w:sz w:val="22"/>
            <w:szCs w:val="22"/>
          </w:rPr>
          <w:delText xml:space="preserve">i </w:delText>
        </w:r>
        <w:r w:rsidRPr="009C5EFD">
          <w:rPr>
            <w:rFonts w:eastAsia="TimesNewRoman"/>
            <w:sz w:val="22"/>
            <w:szCs w:val="22"/>
          </w:rPr>
          <w:delText>hud</w:delText>
        </w:r>
        <w:r>
          <w:rPr>
            <w:rFonts w:eastAsia="TimesNewRoman"/>
            <w:sz w:val="22"/>
            <w:szCs w:val="22"/>
          </w:rPr>
          <w:delText>en</w:delText>
        </w:r>
        <w:r w:rsidRPr="009C5EFD">
          <w:rPr>
            <w:rFonts w:eastAsia="TimesNewRoman"/>
            <w:sz w:val="22"/>
            <w:szCs w:val="22"/>
          </w:rPr>
          <w:delText xml:space="preserve">. Symptomer kan være ømme knuter (klumper) og byller (abcesser) som kan lekke puss. </w:delText>
        </w:r>
        <w:r w:rsidR="00C211E7">
          <w:rPr>
            <w:rFonts w:eastAsia="TimesNewRoman"/>
            <w:sz w:val="22"/>
            <w:szCs w:val="22"/>
          </w:rPr>
          <w:delText>Som oftest</w:delText>
        </w:r>
        <w:r w:rsidR="00C211E7" w:rsidRPr="009C5EFD">
          <w:rPr>
            <w:rFonts w:eastAsia="TimesNewRoman"/>
            <w:sz w:val="22"/>
            <w:szCs w:val="22"/>
          </w:rPr>
          <w:delText xml:space="preserve"> </w:delText>
        </w:r>
        <w:r w:rsidRPr="009C5EFD">
          <w:rPr>
            <w:rFonts w:eastAsia="TimesNewRoman"/>
            <w:sz w:val="22"/>
            <w:szCs w:val="22"/>
          </w:rPr>
          <w:delText>påvirke</w:delText>
        </w:r>
        <w:r w:rsidR="00C211E7">
          <w:rPr>
            <w:rFonts w:eastAsia="TimesNewRoman"/>
            <w:sz w:val="22"/>
            <w:szCs w:val="22"/>
          </w:rPr>
          <w:delText>s</w:delText>
        </w:r>
        <w:r w:rsidRPr="009C5EFD">
          <w:rPr>
            <w:rFonts w:eastAsia="TimesNewRoman"/>
            <w:sz w:val="22"/>
            <w:szCs w:val="22"/>
          </w:rPr>
          <w:delText xml:space="preserve"> spesifikke områder av huden, som f.eks</w:delText>
        </w:r>
        <w:r w:rsidR="00146674">
          <w:rPr>
            <w:rFonts w:eastAsia="TimesNewRoman"/>
            <w:sz w:val="22"/>
            <w:szCs w:val="22"/>
          </w:rPr>
          <w:delText>.</w:delText>
        </w:r>
        <w:r w:rsidRPr="009C5EFD">
          <w:rPr>
            <w:rFonts w:eastAsia="TimesNewRoman"/>
            <w:sz w:val="22"/>
            <w:szCs w:val="22"/>
          </w:rPr>
          <w:delText xml:space="preserve"> under brystene, i armhulene, innsiden av lårene, lysken og rumpe. Arrdannelse kan også forekomme i berørte områder.</w:delText>
        </w:r>
      </w:del>
    </w:p>
    <w:p w14:paraId="7DE0FD83" w14:textId="24EACC92" w:rsidR="00E7793D" w:rsidRPr="009C5EFD" w:rsidRDefault="00E7793D">
      <w:pPr>
        <w:rPr>
          <w:del w:id="13264" w:author="AbbVie02no" w:date="2025-05-15T14:19:00Z"/>
          <w:rFonts w:eastAsia="TimesNewRoman"/>
          <w:sz w:val="22"/>
          <w:szCs w:val="22"/>
        </w:rPr>
        <w:pPrChange w:id="13265" w:author="AbbVie02no" w:date="2025-05-15T14:19:00Z">
          <w:pPr>
            <w:autoSpaceDE w:val="0"/>
            <w:autoSpaceDN w:val="0"/>
            <w:adjustRightInd w:val="0"/>
          </w:pPr>
        </w:pPrChange>
      </w:pPr>
    </w:p>
    <w:p w14:paraId="3B6A87A5" w14:textId="6E8F1E0A" w:rsidR="00E7793D" w:rsidRDefault="00E453CD">
      <w:pPr>
        <w:rPr>
          <w:del w:id="13266" w:author="AbbVie02no" w:date="2025-05-15T14:19:00Z"/>
          <w:sz w:val="22"/>
          <w:szCs w:val="22"/>
        </w:rPr>
        <w:pPrChange w:id="13267" w:author="AbbVie02no" w:date="2025-05-15T14:19:00Z">
          <w:pPr>
            <w:suppressAutoHyphens/>
          </w:pPr>
        </w:pPrChange>
      </w:pPr>
      <w:del w:id="13268" w:author="AbbVie02no" w:date="2025-05-15T14:19:00Z">
        <w:r w:rsidRPr="009C5EFD">
          <w:rPr>
            <w:rFonts w:eastAsia="TimesNewRoman"/>
            <w:sz w:val="22"/>
            <w:szCs w:val="22"/>
          </w:rPr>
          <w:delText xml:space="preserve">Humira brukes </w:delText>
        </w:r>
        <w:r w:rsidR="002316CD">
          <w:rPr>
            <w:rFonts w:eastAsia="TimesNewRoman"/>
            <w:sz w:val="22"/>
            <w:szCs w:val="22"/>
          </w:rPr>
          <w:delText>til</w:delText>
        </w:r>
        <w:r w:rsidRPr="009C5EFD">
          <w:rPr>
            <w:rFonts w:eastAsia="TimesNewRoman"/>
            <w:sz w:val="22"/>
            <w:szCs w:val="22"/>
          </w:rPr>
          <w:delText xml:space="preserve"> å behandle hi</w:delText>
        </w:r>
        <w:r w:rsidR="00290344">
          <w:rPr>
            <w:rFonts w:eastAsia="TimesNewRoman"/>
            <w:sz w:val="22"/>
            <w:szCs w:val="22"/>
          </w:rPr>
          <w:delText xml:space="preserve">drosadenitt hos ungdom </w:delText>
        </w:r>
        <w:r w:rsidR="002316CD">
          <w:rPr>
            <w:rFonts w:eastAsia="TimesNewRoman"/>
            <w:sz w:val="22"/>
            <w:szCs w:val="22"/>
          </w:rPr>
          <w:delText>over</w:delText>
        </w:r>
        <w:r w:rsidR="00290344">
          <w:rPr>
            <w:rFonts w:eastAsia="TimesNewRoman"/>
            <w:sz w:val="22"/>
            <w:szCs w:val="22"/>
          </w:rPr>
          <w:delText xml:space="preserve"> 12 år</w:delText>
        </w:r>
        <w:r w:rsidRPr="009C5EFD">
          <w:rPr>
            <w:rFonts w:eastAsia="TimesNewRoman"/>
            <w:sz w:val="22"/>
            <w:szCs w:val="22"/>
          </w:rPr>
          <w:delText>. Humira kan redusere antall knuter og byller, og smerten som ofte er forbundet med sykdommen.</w:delText>
        </w:r>
        <w:r w:rsidR="00290344">
          <w:rPr>
            <w:rFonts w:eastAsia="TimesNewRoman"/>
            <w:sz w:val="22"/>
            <w:szCs w:val="22"/>
          </w:rPr>
          <w:delText xml:space="preserve"> </w:delText>
        </w:r>
        <w:r w:rsidR="009E4D7A">
          <w:rPr>
            <w:sz w:val="22"/>
            <w:szCs w:val="22"/>
          </w:rPr>
          <w:delText xml:space="preserve">Det kan hende </w:delText>
        </w:r>
        <w:r w:rsidR="009E4D7A" w:rsidRPr="009C5EFD">
          <w:rPr>
            <w:sz w:val="22"/>
            <w:szCs w:val="22"/>
          </w:rPr>
          <w:delText>du først få</w:delText>
        </w:r>
        <w:r w:rsidR="009E4D7A">
          <w:rPr>
            <w:sz w:val="22"/>
            <w:szCs w:val="22"/>
          </w:rPr>
          <w:delText>r</w:delText>
        </w:r>
        <w:r w:rsidR="009E4D7A" w:rsidRPr="009C5EFD">
          <w:rPr>
            <w:sz w:val="22"/>
            <w:szCs w:val="22"/>
          </w:rPr>
          <w:delText xml:space="preserve"> andre </w:delText>
        </w:r>
        <w:r w:rsidR="009E4D7A">
          <w:rPr>
            <w:sz w:val="22"/>
            <w:szCs w:val="22"/>
          </w:rPr>
          <w:delText xml:space="preserve">legemidler. </w:delText>
        </w:r>
        <w:r w:rsidR="009E4D7A" w:rsidRPr="009C5EFD">
          <w:rPr>
            <w:sz w:val="22"/>
            <w:szCs w:val="22"/>
          </w:rPr>
          <w:delText xml:space="preserve">Dersom du ikke reagerer godt nok på disse </w:delText>
        </w:r>
        <w:r w:rsidR="009E4D7A">
          <w:rPr>
            <w:sz w:val="22"/>
            <w:szCs w:val="22"/>
          </w:rPr>
          <w:delText>legemidlene</w:delText>
        </w:r>
        <w:r w:rsidR="009E4D7A" w:rsidRPr="009C5EFD">
          <w:rPr>
            <w:sz w:val="22"/>
            <w:szCs w:val="22"/>
          </w:rPr>
          <w:delText>, vil du få Humira</w:delText>
        </w:r>
        <w:r w:rsidR="009E4D7A">
          <w:rPr>
            <w:sz w:val="22"/>
            <w:szCs w:val="22"/>
          </w:rPr>
          <w:delText>.</w:delText>
        </w:r>
      </w:del>
    </w:p>
    <w:p w14:paraId="00E2A4EE" w14:textId="0380549B" w:rsidR="002A2660" w:rsidRDefault="002A2660">
      <w:pPr>
        <w:rPr>
          <w:del w:id="13269" w:author="AbbVie02no" w:date="2025-05-15T14:19:00Z"/>
          <w:sz w:val="22"/>
          <w:szCs w:val="22"/>
        </w:rPr>
        <w:pPrChange w:id="13270" w:author="AbbVie02no" w:date="2025-05-15T14:19:00Z">
          <w:pPr>
            <w:suppressAutoHyphens/>
          </w:pPr>
        </w:pPrChange>
      </w:pPr>
    </w:p>
    <w:p w14:paraId="11DDE5BA" w14:textId="763D3CEA" w:rsidR="002A2660" w:rsidRPr="009C5EFD" w:rsidRDefault="00E453CD">
      <w:pPr>
        <w:rPr>
          <w:del w:id="13271" w:author="AbbVie02no" w:date="2025-05-15T14:19:00Z"/>
          <w:szCs w:val="22"/>
        </w:rPr>
        <w:pPrChange w:id="13272" w:author="AbbVie02no" w:date="2025-05-15T14:19:00Z">
          <w:pPr>
            <w:pStyle w:val="EMEANormal"/>
            <w:keepNext/>
          </w:pPr>
        </w:pPrChange>
      </w:pPr>
      <w:del w:id="13273" w:author="AbbVie02no" w:date="2025-05-15T14:19:00Z">
        <w:r w:rsidRPr="009C5EFD">
          <w:rPr>
            <w:szCs w:val="22"/>
            <w:u w:val="single"/>
          </w:rPr>
          <w:delText>Pediatrisk Crohns sykdom</w:delText>
        </w:r>
      </w:del>
    </w:p>
    <w:p w14:paraId="08C2CAF2" w14:textId="2656C409" w:rsidR="002A2660" w:rsidRPr="009C5EFD" w:rsidRDefault="002A2660">
      <w:pPr>
        <w:rPr>
          <w:del w:id="13274" w:author="AbbVie02no" w:date="2025-05-15T14:19:00Z"/>
          <w:szCs w:val="22"/>
        </w:rPr>
        <w:pPrChange w:id="13275" w:author="AbbVie02no" w:date="2025-05-15T14:19:00Z">
          <w:pPr>
            <w:pStyle w:val="EMEANormal"/>
            <w:keepNext/>
          </w:pPr>
        </w:pPrChange>
      </w:pPr>
    </w:p>
    <w:p w14:paraId="33F051A3" w14:textId="75EF7C0F" w:rsidR="002A2660" w:rsidRDefault="00E453CD">
      <w:pPr>
        <w:rPr>
          <w:del w:id="13276" w:author="AbbVie02no" w:date="2025-05-15T14:19:00Z"/>
          <w:sz w:val="22"/>
          <w:szCs w:val="22"/>
        </w:rPr>
        <w:pPrChange w:id="13277" w:author="AbbVie02no" w:date="2025-05-15T14:19:00Z">
          <w:pPr>
            <w:suppressAutoHyphens/>
          </w:pPr>
        </w:pPrChange>
      </w:pPr>
      <w:del w:id="13278" w:author="AbbVie02no" w:date="2025-05-15T14:19:00Z">
        <w:r w:rsidRPr="009C5EFD">
          <w:rPr>
            <w:sz w:val="22"/>
            <w:szCs w:val="22"/>
          </w:rPr>
          <w:delText xml:space="preserve">Crohns sykdom er en betennelsessykdom i fordøyelseskanalen. Humira brukes til behandling av Crohns sykdom hos barn </w:delText>
        </w:r>
        <w:r>
          <w:rPr>
            <w:sz w:val="22"/>
            <w:szCs w:val="22"/>
          </w:rPr>
          <w:delText>fra</w:delText>
        </w:r>
        <w:r w:rsidRPr="009C5EFD">
          <w:rPr>
            <w:sz w:val="22"/>
            <w:szCs w:val="22"/>
          </w:rPr>
          <w:delText xml:space="preserve"> 6 til 17 år. </w:delText>
        </w:r>
        <w:r w:rsidR="005D3D67">
          <w:rPr>
            <w:sz w:val="22"/>
            <w:szCs w:val="22"/>
          </w:rPr>
          <w:delText>Barnet ditt</w:delText>
        </w:r>
        <w:r w:rsidR="005D3D67" w:rsidRPr="009C5EFD">
          <w:rPr>
            <w:sz w:val="22"/>
            <w:szCs w:val="22"/>
          </w:rPr>
          <w:delText xml:space="preserve"> </w:delText>
        </w:r>
        <w:r w:rsidRPr="009C5EFD">
          <w:rPr>
            <w:sz w:val="22"/>
            <w:szCs w:val="22"/>
          </w:rPr>
          <w:delText xml:space="preserve">vil først få andre legemidler. </w:delText>
        </w:r>
        <w:r w:rsidR="00D614BE">
          <w:rPr>
            <w:sz w:val="22"/>
            <w:szCs w:val="22"/>
          </w:rPr>
          <w:delText>Dersom</w:delText>
        </w:r>
        <w:r w:rsidRPr="009C5EFD">
          <w:rPr>
            <w:sz w:val="22"/>
            <w:szCs w:val="22"/>
          </w:rPr>
          <w:delText xml:space="preserve"> </w:delText>
        </w:r>
        <w:r w:rsidR="00714EE6">
          <w:rPr>
            <w:sz w:val="22"/>
            <w:szCs w:val="22"/>
          </w:rPr>
          <w:delText>disse legemidlene ikke virker</w:delText>
        </w:r>
        <w:r w:rsidRPr="009C5EFD">
          <w:rPr>
            <w:sz w:val="22"/>
            <w:szCs w:val="22"/>
          </w:rPr>
          <w:delText xml:space="preserve"> godt nok, vil </w:delText>
        </w:r>
        <w:r w:rsidR="005D3D67">
          <w:rPr>
            <w:sz w:val="22"/>
            <w:szCs w:val="22"/>
          </w:rPr>
          <w:delText>barnet ditt</w:delText>
        </w:r>
        <w:r w:rsidR="005D3D67" w:rsidRPr="009C5EFD">
          <w:rPr>
            <w:sz w:val="22"/>
            <w:szCs w:val="22"/>
          </w:rPr>
          <w:delText xml:space="preserve"> </w:delText>
        </w:r>
        <w:r w:rsidRPr="009C5EFD">
          <w:rPr>
            <w:sz w:val="22"/>
            <w:szCs w:val="22"/>
          </w:rPr>
          <w:delText>få Humira for å redusere tegn og symptomer på sykdom</w:delText>
        </w:r>
        <w:r w:rsidR="00714EE6">
          <w:rPr>
            <w:sz w:val="22"/>
            <w:szCs w:val="22"/>
          </w:rPr>
          <w:delText>men</w:delText>
        </w:r>
        <w:r w:rsidRPr="009C5EFD">
          <w:rPr>
            <w:sz w:val="22"/>
            <w:szCs w:val="22"/>
          </w:rPr>
          <w:delText>.</w:delText>
        </w:r>
      </w:del>
    </w:p>
    <w:p w14:paraId="2578A063" w14:textId="7F773D1D" w:rsidR="00F950C5" w:rsidRDefault="00F950C5">
      <w:pPr>
        <w:rPr>
          <w:del w:id="13279" w:author="AbbVie02no" w:date="2025-05-15T14:19:00Z"/>
          <w:sz w:val="22"/>
          <w:szCs w:val="22"/>
        </w:rPr>
        <w:pPrChange w:id="13280" w:author="AbbVie02no" w:date="2025-05-15T14:19:00Z">
          <w:pPr>
            <w:suppressAutoHyphens/>
          </w:pPr>
        </w:pPrChange>
      </w:pPr>
    </w:p>
    <w:p w14:paraId="1FADC0B5" w14:textId="24087795" w:rsidR="0015674E" w:rsidRPr="00E04B2A" w:rsidRDefault="00E453CD">
      <w:pPr>
        <w:rPr>
          <w:del w:id="13281" w:author="AbbVie02no" w:date="2025-05-15T14:19:00Z"/>
          <w:szCs w:val="22"/>
          <w:u w:val="single"/>
        </w:rPr>
        <w:pPrChange w:id="13282" w:author="AbbVie02no" w:date="2025-05-15T14:19:00Z">
          <w:pPr>
            <w:pStyle w:val="BodyText"/>
          </w:pPr>
        </w:pPrChange>
      </w:pPr>
      <w:bookmarkStart w:id="13283" w:name="_Hlk53658565"/>
      <w:del w:id="13284" w:author="AbbVie02no" w:date="2025-05-15T14:19:00Z">
        <w:r w:rsidRPr="00E04B2A">
          <w:rPr>
            <w:u w:val="single"/>
          </w:rPr>
          <w:delText xml:space="preserve">Pediatrisk ulcerøs kolitt </w:delText>
        </w:r>
      </w:del>
    </w:p>
    <w:p w14:paraId="67C6AD91" w14:textId="73E042D4" w:rsidR="0015674E" w:rsidRPr="00CF2468" w:rsidRDefault="0015674E">
      <w:pPr>
        <w:rPr>
          <w:del w:id="13285" w:author="AbbVie02no" w:date="2025-05-15T14:19:00Z"/>
          <w:szCs w:val="22"/>
          <w:u w:val="single"/>
        </w:rPr>
        <w:pPrChange w:id="13286" w:author="AbbVie02no" w:date="2025-05-15T14:19:00Z">
          <w:pPr>
            <w:pStyle w:val="BodyText"/>
          </w:pPr>
        </w:pPrChange>
      </w:pPr>
    </w:p>
    <w:p w14:paraId="4BFD72A6" w14:textId="4EDE81B6" w:rsidR="0015674E" w:rsidRPr="00C30B7E" w:rsidRDefault="00E453CD">
      <w:pPr>
        <w:rPr>
          <w:del w:id="13287" w:author="AbbVie02no" w:date="2025-05-15T14:19:00Z"/>
          <w:sz w:val="22"/>
          <w:szCs w:val="22"/>
        </w:rPr>
        <w:pPrChange w:id="13288" w:author="AbbVie02no" w:date="2025-05-15T14:19:00Z">
          <w:pPr>
            <w:suppressAutoHyphens/>
          </w:pPr>
        </w:pPrChange>
      </w:pPr>
      <w:del w:id="13289" w:author="AbbVie02no" w:date="2025-05-15T14:19:00Z">
        <w:r w:rsidRPr="00E04B2A">
          <w:rPr>
            <w:sz w:val="22"/>
          </w:rPr>
          <w:delText xml:space="preserve">Ulcerøs kolitt er en </w:delText>
        </w:r>
        <w:r w:rsidRPr="006E4264">
          <w:rPr>
            <w:sz w:val="22"/>
          </w:rPr>
          <w:delText>betennelsessykdom</w:delText>
        </w:r>
        <w:r w:rsidRPr="00E04B2A">
          <w:rPr>
            <w:sz w:val="22"/>
          </w:rPr>
          <w:delText xml:space="preserve"> i </w:delText>
        </w:r>
        <w:r>
          <w:rPr>
            <w:sz w:val="22"/>
          </w:rPr>
          <w:delText>tykk</w:delText>
        </w:r>
        <w:r w:rsidRPr="00E04B2A">
          <w:rPr>
            <w:sz w:val="22"/>
          </w:rPr>
          <w:delText>tarmen. Humira brukes til behandl</w:delText>
        </w:r>
        <w:r>
          <w:rPr>
            <w:sz w:val="22"/>
          </w:rPr>
          <w:delText>ing av</w:delText>
        </w:r>
        <w:r w:rsidRPr="00E04B2A">
          <w:rPr>
            <w:sz w:val="22"/>
          </w:rPr>
          <w:delText xml:space="preserve"> moderat til alvorlig ulcerøs kolitt hos barn </w:delText>
        </w:r>
        <w:r>
          <w:rPr>
            <w:sz w:val="22"/>
          </w:rPr>
          <w:delText>fra</w:delText>
        </w:r>
        <w:r w:rsidRPr="00E04B2A">
          <w:rPr>
            <w:sz w:val="22"/>
          </w:rPr>
          <w:delText xml:space="preserve"> 6 til 17 år. </w:delText>
        </w:r>
        <w:r w:rsidRPr="004C17F4">
          <w:rPr>
            <w:sz w:val="22"/>
            <w:szCs w:val="22"/>
          </w:rPr>
          <w:delText xml:space="preserve">Det kan hende barnet ditt </w:delText>
        </w:r>
        <w:r>
          <w:rPr>
            <w:sz w:val="22"/>
          </w:rPr>
          <w:delText xml:space="preserve">først </w:delText>
        </w:r>
        <w:r w:rsidRPr="00E04B2A">
          <w:rPr>
            <w:sz w:val="22"/>
          </w:rPr>
          <w:delText>få</w:delText>
        </w:r>
        <w:r>
          <w:rPr>
            <w:sz w:val="22"/>
          </w:rPr>
          <w:delText xml:space="preserve">r </w:delText>
        </w:r>
        <w:r w:rsidRPr="00E04B2A">
          <w:rPr>
            <w:sz w:val="22"/>
          </w:rPr>
          <w:delText xml:space="preserve">andre </w:delText>
        </w:r>
        <w:r>
          <w:rPr>
            <w:sz w:val="22"/>
          </w:rPr>
          <w:delText>legemidler</w:delText>
        </w:r>
        <w:r w:rsidRPr="00E04B2A">
          <w:rPr>
            <w:sz w:val="22"/>
          </w:rPr>
          <w:delText xml:space="preserve">. </w:delText>
        </w:r>
        <w:r>
          <w:rPr>
            <w:sz w:val="22"/>
            <w:szCs w:val="22"/>
          </w:rPr>
          <w:delText>Dersom</w:delText>
        </w:r>
        <w:r w:rsidRPr="009C5EFD">
          <w:rPr>
            <w:sz w:val="22"/>
            <w:szCs w:val="22"/>
          </w:rPr>
          <w:delText xml:space="preserve"> </w:delText>
        </w:r>
        <w:r>
          <w:rPr>
            <w:sz w:val="22"/>
            <w:szCs w:val="22"/>
          </w:rPr>
          <w:delText>disse legemidlene ikke virker</w:delText>
        </w:r>
        <w:r w:rsidRPr="009C5EFD">
          <w:rPr>
            <w:sz w:val="22"/>
            <w:szCs w:val="22"/>
          </w:rPr>
          <w:delText xml:space="preserve"> godt nok, vil </w:delText>
        </w:r>
        <w:r>
          <w:rPr>
            <w:sz w:val="22"/>
            <w:szCs w:val="22"/>
          </w:rPr>
          <w:delText>barnet ditt</w:delText>
        </w:r>
        <w:r w:rsidRPr="009C5EFD">
          <w:rPr>
            <w:sz w:val="22"/>
            <w:szCs w:val="22"/>
          </w:rPr>
          <w:delText xml:space="preserve"> få Humira for å redusere tegn og symptomer på sykdom</w:delText>
        </w:r>
        <w:r>
          <w:rPr>
            <w:sz w:val="22"/>
            <w:szCs w:val="22"/>
          </w:rPr>
          <w:delText>men</w:delText>
        </w:r>
        <w:r w:rsidRPr="009C5EFD">
          <w:rPr>
            <w:sz w:val="22"/>
            <w:szCs w:val="22"/>
          </w:rPr>
          <w:delText>.</w:delText>
        </w:r>
      </w:del>
    </w:p>
    <w:bookmarkEnd w:id="13283"/>
    <w:p w14:paraId="552419BA" w14:textId="4A08A7C3" w:rsidR="00CF2468" w:rsidRDefault="00CF2468">
      <w:pPr>
        <w:rPr>
          <w:del w:id="13290" w:author="AbbVie02no" w:date="2025-05-15T14:19:00Z"/>
          <w:sz w:val="22"/>
          <w:szCs w:val="22"/>
        </w:rPr>
        <w:pPrChange w:id="13291" w:author="AbbVie02no" w:date="2025-05-15T14:19:00Z">
          <w:pPr>
            <w:suppressAutoHyphens/>
          </w:pPr>
        </w:pPrChange>
      </w:pPr>
    </w:p>
    <w:p w14:paraId="64FBE316" w14:textId="5764F489" w:rsidR="00F950C5" w:rsidRDefault="00E453CD">
      <w:pPr>
        <w:rPr>
          <w:del w:id="13292" w:author="AbbVie02no" w:date="2025-05-15T14:19:00Z"/>
          <w:sz w:val="22"/>
          <w:szCs w:val="22"/>
          <w:u w:val="single"/>
        </w:rPr>
        <w:pPrChange w:id="13293" w:author="AbbVie02no" w:date="2025-05-15T14:19:00Z">
          <w:pPr>
            <w:keepNext/>
            <w:suppressAutoHyphens/>
          </w:pPr>
        </w:pPrChange>
      </w:pPr>
      <w:del w:id="13294" w:author="AbbVie02no" w:date="2025-05-15T14:19:00Z">
        <w:r>
          <w:rPr>
            <w:sz w:val="22"/>
            <w:szCs w:val="22"/>
            <w:u w:val="single"/>
          </w:rPr>
          <w:delText>Pediatrisk uveitt</w:delText>
        </w:r>
      </w:del>
    </w:p>
    <w:p w14:paraId="2E43C020" w14:textId="5706030F" w:rsidR="00F950C5" w:rsidRDefault="00F950C5">
      <w:pPr>
        <w:rPr>
          <w:del w:id="13295" w:author="AbbVie02no" w:date="2025-05-15T14:19:00Z"/>
          <w:sz w:val="22"/>
          <w:szCs w:val="22"/>
          <w:u w:val="single"/>
        </w:rPr>
        <w:pPrChange w:id="13296" w:author="AbbVie02no" w:date="2025-05-15T14:19:00Z">
          <w:pPr>
            <w:keepNext/>
            <w:suppressAutoHyphens/>
          </w:pPr>
        </w:pPrChange>
      </w:pPr>
    </w:p>
    <w:p w14:paraId="782E4C23" w14:textId="58A40C83" w:rsidR="00F950C5" w:rsidRDefault="00E453CD">
      <w:pPr>
        <w:rPr>
          <w:del w:id="13297" w:author="AbbVie02no" w:date="2025-05-15T14:19:00Z"/>
          <w:sz w:val="22"/>
          <w:szCs w:val="22"/>
        </w:rPr>
        <w:pPrChange w:id="13298" w:author="AbbVie02no" w:date="2025-05-15T14:19:00Z">
          <w:pPr>
            <w:suppressAutoHyphens/>
          </w:pPr>
        </w:pPrChange>
      </w:pPr>
      <w:del w:id="13299" w:author="AbbVie02no" w:date="2025-05-15T14:19:00Z">
        <w:r>
          <w:rPr>
            <w:sz w:val="22"/>
            <w:szCs w:val="22"/>
          </w:rPr>
          <w:delText xml:space="preserve">Ikke-infeksiøs uveitt er en betennelsessykdom som </w:delText>
        </w:r>
        <w:r w:rsidR="004E1A09">
          <w:rPr>
            <w:sz w:val="22"/>
            <w:szCs w:val="22"/>
          </w:rPr>
          <w:delText>påvirker</w:delText>
        </w:r>
        <w:r>
          <w:rPr>
            <w:sz w:val="22"/>
            <w:szCs w:val="22"/>
          </w:rPr>
          <w:delText xml:space="preserve"> visse deler av øyet.</w:delText>
        </w:r>
      </w:del>
    </w:p>
    <w:p w14:paraId="232BC39E" w14:textId="2880D39C" w:rsidR="00F950C5" w:rsidRDefault="00F950C5">
      <w:pPr>
        <w:rPr>
          <w:del w:id="13300" w:author="AbbVie02no" w:date="2025-05-15T14:19:00Z"/>
          <w:sz w:val="22"/>
          <w:szCs w:val="22"/>
        </w:rPr>
        <w:pPrChange w:id="13301" w:author="AbbVie02no" w:date="2025-05-15T14:19:00Z">
          <w:pPr>
            <w:suppressAutoHyphens/>
          </w:pPr>
        </w:pPrChange>
      </w:pPr>
    </w:p>
    <w:p w14:paraId="60FC4343" w14:textId="5ED8DAAC" w:rsidR="00F950C5" w:rsidRPr="00F950C5" w:rsidRDefault="00E453CD">
      <w:pPr>
        <w:rPr>
          <w:del w:id="13302" w:author="AbbVie02no" w:date="2025-05-15T14:19:00Z"/>
          <w:sz w:val="22"/>
          <w:szCs w:val="22"/>
        </w:rPr>
        <w:pPrChange w:id="13303" w:author="AbbVie02no" w:date="2025-05-15T14:19:00Z">
          <w:pPr>
            <w:suppressAutoHyphens/>
          </w:pPr>
        </w:pPrChange>
      </w:pPr>
      <w:del w:id="13304" w:author="AbbVie02no" w:date="2025-05-15T14:19:00Z">
        <w:r>
          <w:rPr>
            <w:sz w:val="22"/>
            <w:szCs w:val="22"/>
          </w:rPr>
          <w:delText xml:space="preserve">Humira brukes </w:delText>
        </w:r>
        <w:r w:rsidR="002316CD">
          <w:rPr>
            <w:sz w:val="22"/>
            <w:szCs w:val="22"/>
          </w:rPr>
          <w:delText>til</w:delText>
        </w:r>
        <w:r>
          <w:rPr>
            <w:sz w:val="22"/>
            <w:szCs w:val="22"/>
          </w:rPr>
          <w:delText xml:space="preserve"> å behandle barn </w:delText>
        </w:r>
        <w:r w:rsidR="002316CD">
          <w:rPr>
            <w:sz w:val="22"/>
            <w:szCs w:val="22"/>
          </w:rPr>
          <w:delText>over</w:delText>
        </w:r>
        <w:r>
          <w:rPr>
            <w:sz w:val="22"/>
            <w:szCs w:val="22"/>
          </w:rPr>
          <w:delText xml:space="preserve"> 2 år med kronisk ikke-infe</w:delText>
        </w:r>
        <w:r w:rsidR="004E1A09">
          <w:rPr>
            <w:sz w:val="22"/>
            <w:szCs w:val="22"/>
          </w:rPr>
          <w:delText>ksiøs uveitt med betennelse som påvirker fremre del</w:delText>
        </w:r>
        <w:r>
          <w:rPr>
            <w:sz w:val="22"/>
            <w:szCs w:val="22"/>
          </w:rPr>
          <w:delText xml:space="preserve"> av øyet (regnbuehinnebetennelse). Denne betennelsen kan føre til nedsatt syn og/eller tilstedeværelse av flytende </w:delText>
        </w:r>
        <w:r w:rsidR="00533509">
          <w:rPr>
            <w:sz w:val="22"/>
            <w:szCs w:val="22"/>
          </w:rPr>
          <w:delText xml:space="preserve">legemer </w:delText>
        </w:r>
        <w:r>
          <w:rPr>
            <w:sz w:val="22"/>
            <w:szCs w:val="22"/>
          </w:rPr>
          <w:delText>i øyet (</w:delText>
        </w:r>
        <w:r w:rsidR="004E1A09">
          <w:rPr>
            <w:sz w:val="22"/>
            <w:szCs w:val="22"/>
          </w:rPr>
          <w:delText>svarte prikker</w:delText>
        </w:r>
        <w:r>
          <w:rPr>
            <w:sz w:val="22"/>
            <w:szCs w:val="22"/>
          </w:rPr>
          <w:delText xml:space="preserve"> eller </w:delText>
        </w:r>
        <w:r w:rsidR="004E1A09">
          <w:rPr>
            <w:sz w:val="22"/>
            <w:szCs w:val="22"/>
          </w:rPr>
          <w:delText>ujevne</w:delText>
        </w:r>
        <w:r>
          <w:rPr>
            <w:sz w:val="22"/>
            <w:szCs w:val="22"/>
          </w:rPr>
          <w:delText xml:space="preserve"> linjer som beveger seg over synsfeltet). Humira virker ved å redusere denne betennelsen.</w:delText>
        </w:r>
      </w:del>
    </w:p>
    <w:p w14:paraId="48AD4A64" w14:textId="4049EE32" w:rsidR="004E1A09" w:rsidRPr="009C5EFD" w:rsidRDefault="004E1A09">
      <w:pPr>
        <w:rPr>
          <w:del w:id="13305" w:author="AbbVie02no" w:date="2025-05-15T14:19:00Z"/>
          <w:sz w:val="22"/>
          <w:szCs w:val="22"/>
        </w:rPr>
        <w:pPrChange w:id="13306" w:author="AbbVie02no" w:date="2025-05-15T14:19:00Z">
          <w:pPr>
            <w:suppressAutoHyphens/>
          </w:pPr>
        </w:pPrChange>
      </w:pPr>
    </w:p>
    <w:p w14:paraId="3B0BAB21" w14:textId="6F43DBB6" w:rsidR="005E174F" w:rsidRPr="009C5EFD" w:rsidRDefault="005E174F">
      <w:pPr>
        <w:rPr>
          <w:del w:id="13307" w:author="AbbVie02no" w:date="2025-05-15T14:19:00Z"/>
          <w:sz w:val="22"/>
          <w:szCs w:val="22"/>
        </w:rPr>
        <w:pPrChange w:id="13308" w:author="AbbVie02no" w:date="2025-05-15T14:19:00Z">
          <w:pPr>
            <w:suppressAutoHyphens/>
          </w:pPr>
        </w:pPrChange>
      </w:pPr>
    </w:p>
    <w:p w14:paraId="49B0F1CC" w14:textId="347E8C03" w:rsidR="00DE3458" w:rsidRPr="001F5D4B" w:rsidRDefault="00E453CD">
      <w:pPr>
        <w:rPr>
          <w:del w:id="13309" w:author="AbbVie02no" w:date="2025-05-15T14:19:00Z"/>
          <w:b/>
          <w:sz w:val="22"/>
          <w:szCs w:val="22"/>
        </w:rPr>
        <w:pPrChange w:id="13310" w:author="AbbVie02no" w:date="2025-05-15T14:19:00Z">
          <w:pPr>
            <w:keepNext/>
            <w:suppressAutoHyphens/>
            <w:ind w:left="567" w:hanging="567"/>
          </w:pPr>
        </w:pPrChange>
      </w:pPr>
      <w:del w:id="13311" w:author="AbbVie02no" w:date="2025-05-15T14:19:00Z">
        <w:r w:rsidRPr="009C5EFD">
          <w:rPr>
            <w:b/>
            <w:sz w:val="22"/>
            <w:szCs w:val="22"/>
          </w:rPr>
          <w:delText>2.</w:delText>
        </w:r>
        <w:r w:rsidRPr="009C5EFD">
          <w:rPr>
            <w:b/>
            <w:sz w:val="22"/>
            <w:szCs w:val="22"/>
          </w:rPr>
          <w:tab/>
        </w:r>
        <w:r w:rsidR="009F20CB" w:rsidRPr="009C5EFD">
          <w:rPr>
            <w:b/>
            <w:sz w:val="22"/>
            <w:szCs w:val="22"/>
          </w:rPr>
          <w:delText xml:space="preserve">Hva du må </w:delText>
        </w:r>
        <w:r w:rsidR="002547FB" w:rsidRPr="009C5EFD">
          <w:rPr>
            <w:b/>
            <w:sz w:val="22"/>
            <w:szCs w:val="22"/>
          </w:rPr>
          <w:delText>vite</w:delText>
        </w:r>
        <w:r w:rsidR="009F20CB" w:rsidRPr="009C5EFD">
          <w:rPr>
            <w:b/>
            <w:sz w:val="22"/>
            <w:szCs w:val="22"/>
          </w:rPr>
          <w:delText xml:space="preserve"> før ditt barn bruker Humira</w:delText>
        </w:r>
      </w:del>
    </w:p>
    <w:p w14:paraId="2438ECAA" w14:textId="75CE29FA" w:rsidR="00DE3458" w:rsidRPr="007F67EE" w:rsidRDefault="00DE3458">
      <w:pPr>
        <w:rPr>
          <w:del w:id="13312" w:author="AbbVie02no" w:date="2025-05-15T14:19:00Z"/>
          <w:sz w:val="22"/>
          <w:szCs w:val="22"/>
        </w:rPr>
        <w:pPrChange w:id="13313" w:author="AbbVie02no" w:date="2025-05-15T14:19:00Z">
          <w:pPr>
            <w:keepNext/>
          </w:pPr>
        </w:pPrChange>
      </w:pPr>
    </w:p>
    <w:p w14:paraId="36DBE929" w14:textId="45845B17" w:rsidR="00DE3458" w:rsidRPr="00C07C98" w:rsidRDefault="00E453CD">
      <w:pPr>
        <w:rPr>
          <w:del w:id="13314" w:author="AbbVie02no" w:date="2025-05-15T14:19:00Z"/>
          <w:b/>
          <w:sz w:val="22"/>
          <w:szCs w:val="22"/>
        </w:rPr>
        <w:pPrChange w:id="13315" w:author="AbbVie02no" w:date="2025-05-15T14:19:00Z">
          <w:pPr>
            <w:keepNext/>
            <w:suppressAutoHyphens/>
          </w:pPr>
        </w:pPrChange>
      </w:pPr>
      <w:del w:id="13316" w:author="AbbVie02no" w:date="2025-05-15T14:19:00Z">
        <w:r w:rsidRPr="00193D76">
          <w:rPr>
            <w:b/>
            <w:sz w:val="22"/>
            <w:szCs w:val="22"/>
          </w:rPr>
          <w:delText>Bruk ikke H</w:delText>
        </w:r>
        <w:r w:rsidR="001F3D06" w:rsidRPr="002D0790">
          <w:rPr>
            <w:b/>
            <w:sz w:val="22"/>
            <w:szCs w:val="22"/>
          </w:rPr>
          <w:delText>umira</w:delText>
        </w:r>
      </w:del>
    </w:p>
    <w:p w14:paraId="2D8C9499" w14:textId="01A74DA3" w:rsidR="00DE3458" w:rsidRPr="00E14E58" w:rsidRDefault="00DE3458">
      <w:pPr>
        <w:rPr>
          <w:del w:id="13317" w:author="AbbVie02no" w:date="2025-05-15T14:19:00Z"/>
          <w:sz w:val="22"/>
          <w:szCs w:val="22"/>
        </w:rPr>
        <w:pPrChange w:id="13318" w:author="AbbVie02no" w:date="2025-05-15T14:19:00Z">
          <w:pPr>
            <w:keepNext/>
            <w:suppressAutoHyphens/>
          </w:pPr>
        </w:pPrChange>
      </w:pPr>
    </w:p>
    <w:p w14:paraId="052D8F19" w14:textId="043E460A" w:rsidR="00DE3458" w:rsidRDefault="00E453CD">
      <w:pPr>
        <w:rPr>
          <w:del w:id="13319" w:author="AbbVie02no" w:date="2025-05-15T14:19:00Z"/>
          <w:sz w:val="22"/>
          <w:szCs w:val="22"/>
        </w:rPr>
        <w:pPrChange w:id="13320" w:author="AbbVie02no" w:date="2025-05-15T14:19:00Z">
          <w:pPr>
            <w:numPr>
              <w:numId w:val="3"/>
            </w:numPr>
            <w:tabs>
              <w:tab w:val="num" w:pos="567"/>
              <w:tab w:val="num" w:pos="720"/>
            </w:tabs>
            <w:ind w:left="567" w:hanging="567"/>
          </w:pPr>
        </w:pPrChange>
      </w:pPr>
      <w:del w:id="13321" w:author="AbbVie02no" w:date="2025-05-15T14:19:00Z">
        <w:r>
          <w:rPr>
            <w:sz w:val="22"/>
            <w:szCs w:val="22"/>
          </w:rPr>
          <w:delText>D</w:delText>
        </w:r>
        <w:r w:rsidR="00345205">
          <w:rPr>
            <w:sz w:val="22"/>
            <w:szCs w:val="22"/>
          </w:rPr>
          <w:delText>ersom</w:delText>
        </w:r>
        <w:r w:rsidRPr="009C5EFD">
          <w:rPr>
            <w:sz w:val="22"/>
            <w:szCs w:val="22"/>
          </w:rPr>
          <w:delText xml:space="preserve"> </w:delText>
        </w:r>
        <w:r w:rsidR="004B7BF9" w:rsidRPr="009C5EFD">
          <w:rPr>
            <w:sz w:val="22"/>
            <w:szCs w:val="22"/>
          </w:rPr>
          <w:delText>ditt barn</w:delText>
        </w:r>
        <w:r w:rsidRPr="009C5EFD">
          <w:rPr>
            <w:sz w:val="22"/>
            <w:szCs w:val="22"/>
          </w:rPr>
          <w:delText xml:space="preserve"> er allergisk overfor adalimumab eller </w:delText>
        </w:r>
        <w:r w:rsidR="00866346" w:rsidRPr="009C5EFD">
          <w:rPr>
            <w:sz w:val="22"/>
            <w:szCs w:val="22"/>
          </w:rPr>
          <w:delText xml:space="preserve">noen </w:delText>
        </w:r>
        <w:r w:rsidRPr="009C5EFD">
          <w:rPr>
            <w:sz w:val="22"/>
            <w:szCs w:val="22"/>
          </w:rPr>
          <w:delText xml:space="preserve">av de andre innholdsstoffene i </w:delText>
        </w:r>
        <w:r w:rsidR="00352D18" w:rsidRPr="009C5EFD">
          <w:rPr>
            <w:sz w:val="22"/>
            <w:szCs w:val="22"/>
          </w:rPr>
          <w:delText>dette legemidlet (</w:delText>
        </w:r>
        <w:r w:rsidR="00866346" w:rsidRPr="009C5EFD">
          <w:rPr>
            <w:sz w:val="22"/>
            <w:szCs w:val="22"/>
          </w:rPr>
          <w:delText xml:space="preserve">listet opp </w:delText>
        </w:r>
        <w:r w:rsidR="00352D18" w:rsidRPr="009C5EFD">
          <w:rPr>
            <w:sz w:val="22"/>
            <w:szCs w:val="22"/>
          </w:rPr>
          <w:delText xml:space="preserve">i </w:delText>
        </w:r>
        <w:r w:rsidR="00945704">
          <w:rPr>
            <w:sz w:val="22"/>
            <w:szCs w:val="22"/>
          </w:rPr>
          <w:delText xml:space="preserve">avsnitt </w:delText>
        </w:r>
        <w:r w:rsidR="00352D18" w:rsidRPr="009C5EFD">
          <w:rPr>
            <w:sz w:val="22"/>
            <w:szCs w:val="22"/>
          </w:rPr>
          <w:delText>6)</w:delText>
        </w:r>
        <w:r w:rsidRPr="009C5EFD">
          <w:rPr>
            <w:sz w:val="22"/>
            <w:szCs w:val="22"/>
          </w:rPr>
          <w:delText>.</w:delText>
        </w:r>
      </w:del>
    </w:p>
    <w:p w14:paraId="3FD75992" w14:textId="64118F33" w:rsidR="00460A0D" w:rsidRPr="009C5EFD" w:rsidRDefault="00460A0D">
      <w:pPr>
        <w:rPr>
          <w:del w:id="13322" w:author="AbbVie02no" w:date="2025-05-15T14:19:00Z"/>
          <w:sz w:val="22"/>
          <w:szCs w:val="22"/>
        </w:rPr>
        <w:pPrChange w:id="13323" w:author="AbbVie02no" w:date="2025-05-15T14:19:00Z">
          <w:pPr>
            <w:ind w:left="567"/>
          </w:pPr>
        </w:pPrChange>
      </w:pPr>
    </w:p>
    <w:p w14:paraId="43940550" w14:textId="492EBD68" w:rsidR="00DE3458" w:rsidRDefault="00E453CD">
      <w:pPr>
        <w:rPr>
          <w:del w:id="13324" w:author="AbbVie02no" w:date="2025-05-15T14:19:00Z"/>
          <w:sz w:val="22"/>
          <w:szCs w:val="22"/>
        </w:rPr>
        <w:pPrChange w:id="13325" w:author="AbbVie02no" w:date="2025-05-15T14:19:00Z">
          <w:pPr>
            <w:numPr>
              <w:numId w:val="3"/>
            </w:numPr>
            <w:tabs>
              <w:tab w:val="num" w:pos="567"/>
              <w:tab w:val="num" w:pos="720"/>
            </w:tabs>
            <w:ind w:left="567" w:hanging="567"/>
          </w:pPr>
        </w:pPrChange>
      </w:pPr>
      <w:del w:id="13326" w:author="AbbVie02no" w:date="2025-05-15T14:19:00Z">
        <w:r>
          <w:rPr>
            <w:sz w:val="22"/>
            <w:szCs w:val="22"/>
          </w:rPr>
          <w:delText>D</w:delText>
        </w:r>
        <w:r w:rsidRPr="009C5EFD">
          <w:rPr>
            <w:sz w:val="22"/>
            <w:szCs w:val="22"/>
          </w:rPr>
          <w:delText xml:space="preserve">ersom </w:delText>
        </w:r>
        <w:r w:rsidR="004B7BF9" w:rsidRPr="009C5EFD">
          <w:rPr>
            <w:sz w:val="22"/>
            <w:szCs w:val="22"/>
          </w:rPr>
          <w:delText>ditt barn</w:delText>
        </w:r>
        <w:r w:rsidRPr="009C5EFD">
          <w:rPr>
            <w:sz w:val="22"/>
            <w:szCs w:val="22"/>
          </w:rPr>
          <w:delText xml:space="preserve"> har en </w:delText>
        </w:r>
        <w:r w:rsidR="00021903">
          <w:rPr>
            <w:sz w:val="22"/>
            <w:szCs w:val="22"/>
          </w:rPr>
          <w:delText>alvorlig</w:delText>
        </w:r>
        <w:r w:rsidRPr="009C5EFD">
          <w:rPr>
            <w:sz w:val="22"/>
            <w:szCs w:val="22"/>
          </w:rPr>
          <w:delText xml:space="preserve"> infeksjon, </w:delText>
        </w:r>
        <w:r w:rsidRPr="009C5EFD">
          <w:rPr>
            <w:color w:val="000000"/>
            <w:sz w:val="22"/>
            <w:szCs w:val="22"/>
          </w:rPr>
          <w:delText xml:space="preserve">inkludert </w:delText>
        </w:r>
        <w:r w:rsidRPr="009C5EFD">
          <w:rPr>
            <w:sz w:val="22"/>
            <w:szCs w:val="22"/>
          </w:rPr>
          <w:delText xml:space="preserve">aktiv tuberkulose (se </w:delText>
        </w:r>
        <w:r w:rsidR="00D57009">
          <w:rPr>
            <w:sz w:val="22"/>
            <w:szCs w:val="22"/>
          </w:rPr>
          <w:delText>«</w:delText>
        </w:r>
        <w:r w:rsidR="00352D18" w:rsidRPr="009C5EFD">
          <w:rPr>
            <w:sz w:val="22"/>
            <w:szCs w:val="22"/>
          </w:rPr>
          <w:delText>Advarsler og forsiktighetsregler</w:delText>
        </w:r>
        <w:r w:rsidR="00D57009">
          <w:rPr>
            <w:sz w:val="22"/>
            <w:szCs w:val="22"/>
          </w:rPr>
          <w:delText>»</w:delText>
        </w:r>
        <w:r w:rsidRPr="009C5EFD">
          <w:rPr>
            <w:sz w:val="22"/>
            <w:szCs w:val="22"/>
          </w:rPr>
          <w:delText xml:space="preserve">). Det er viktig at du informerer legen om </w:delText>
        </w:r>
        <w:r w:rsidR="004B7BF9" w:rsidRPr="009C5EFD">
          <w:rPr>
            <w:sz w:val="22"/>
            <w:szCs w:val="22"/>
          </w:rPr>
          <w:delText>ditt barn</w:delText>
        </w:r>
        <w:r w:rsidRPr="009C5EFD">
          <w:rPr>
            <w:sz w:val="22"/>
            <w:szCs w:val="22"/>
          </w:rPr>
          <w:delText xml:space="preserve"> har symptomer på infeksjon, som for eksempel feber, sår, tretthet, problemer med tennene.</w:delText>
        </w:r>
      </w:del>
    </w:p>
    <w:p w14:paraId="209CAEA6" w14:textId="212514E0" w:rsidR="00460A0D" w:rsidRPr="009C5EFD" w:rsidRDefault="00460A0D">
      <w:pPr>
        <w:rPr>
          <w:del w:id="13327" w:author="AbbVie02no" w:date="2025-05-15T14:19:00Z"/>
          <w:sz w:val="22"/>
          <w:szCs w:val="22"/>
        </w:rPr>
        <w:pPrChange w:id="13328" w:author="AbbVie02no" w:date="2025-05-15T14:19:00Z">
          <w:pPr>
            <w:ind w:left="567"/>
          </w:pPr>
        </w:pPrChange>
      </w:pPr>
    </w:p>
    <w:p w14:paraId="35E4CEF4" w14:textId="22489B74" w:rsidR="00DE3458" w:rsidRPr="009C5EFD" w:rsidRDefault="00E453CD">
      <w:pPr>
        <w:rPr>
          <w:del w:id="13329" w:author="AbbVie02no" w:date="2025-05-15T14:19:00Z"/>
          <w:sz w:val="22"/>
          <w:szCs w:val="22"/>
        </w:rPr>
        <w:pPrChange w:id="13330" w:author="AbbVie02no" w:date="2025-05-15T14:19:00Z">
          <w:pPr>
            <w:numPr>
              <w:numId w:val="3"/>
            </w:numPr>
            <w:tabs>
              <w:tab w:val="num" w:pos="567"/>
              <w:tab w:val="num" w:pos="720"/>
            </w:tabs>
            <w:ind w:left="567" w:hanging="567"/>
          </w:pPr>
        </w:pPrChange>
      </w:pPr>
      <w:del w:id="13331" w:author="AbbVie02no" w:date="2025-05-15T14:19:00Z">
        <w:r>
          <w:rPr>
            <w:sz w:val="22"/>
            <w:szCs w:val="22"/>
          </w:rPr>
          <w:delText>D</w:delText>
        </w:r>
        <w:r w:rsidR="00345205">
          <w:rPr>
            <w:sz w:val="22"/>
            <w:szCs w:val="22"/>
          </w:rPr>
          <w:delText>ersom</w:delText>
        </w:r>
        <w:r w:rsidRPr="009C5EFD">
          <w:rPr>
            <w:sz w:val="22"/>
            <w:szCs w:val="22"/>
          </w:rPr>
          <w:delText xml:space="preserve"> </w:delText>
        </w:r>
        <w:r w:rsidR="004B7BF9" w:rsidRPr="009C5EFD">
          <w:rPr>
            <w:sz w:val="22"/>
            <w:szCs w:val="22"/>
          </w:rPr>
          <w:delText>ditt barn</w:delText>
        </w:r>
        <w:r w:rsidRPr="009C5EFD">
          <w:rPr>
            <w:sz w:val="22"/>
            <w:szCs w:val="22"/>
          </w:rPr>
          <w:delText xml:space="preserve"> har moderat til alvorlig hjertesvikt. Det er viktig at du forteller legen hvis </w:delText>
        </w:r>
        <w:r w:rsidR="004B7BF9" w:rsidRPr="009C5EFD">
          <w:rPr>
            <w:sz w:val="22"/>
            <w:szCs w:val="22"/>
          </w:rPr>
          <w:delText>ditt barn</w:delText>
        </w:r>
        <w:r w:rsidRPr="009C5EFD">
          <w:rPr>
            <w:sz w:val="22"/>
            <w:szCs w:val="22"/>
          </w:rPr>
          <w:delText xml:space="preserve"> har eller har hatt en alvorlig hjertesykdom (se </w:delText>
        </w:r>
        <w:r w:rsidR="00D57009">
          <w:rPr>
            <w:sz w:val="22"/>
            <w:szCs w:val="22"/>
          </w:rPr>
          <w:delText>«</w:delText>
        </w:r>
        <w:r w:rsidR="00352D18" w:rsidRPr="009C5EFD">
          <w:rPr>
            <w:sz w:val="22"/>
            <w:szCs w:val="22"/>
          </w:rPr>
          <w:delText>Advarsler og forsiktighetsregler</w:delText>
        </w:r>
        <w:r w:rsidR="00D57009">
          <w:rPr>
            <w:sz w:val="22"/>
            <w:szCs w:val="22"/>
          </w:rPr>
          <w:delText>»</w:delText>
        </w:r>
        <w:r w:rsidRPr="009C5EFD">
          <w:rPr>
            <w:sz w:val="22"/>
            <w:szCs w:val="22"/>
          </w:rPr>
          <w:delText>).</w:delText>
        </w:r>
      </w:del>
    </w:p>
    <w:p w14:paraId="25E42668" w14:textId="56808369" w:rsidR="00817C73" w:rsidRPr="001F5D4B" w:rsidRDefault="00817C73">
      <w:pPr>
        <w:rPr>
          <w:del w:id="13332" w:author="AbbVie02no" w:date="2025-05-15T14:19:00Z"/>
          <w:sz w:val="22"/>
          <w:szCs w:val="22"/>
        </w:rPr>
        <w:pPrChange w:id="13333" w:author="AbbVie02no" w:date="2025-05-15T14:19:00Z">
          <w:pPr>
            <w:suppressAutoHyphens/>
          </w:pPr>
        </w:pPrChange>
      </w:pPr>
    </w:p>
    <w:p w14:paraId="3CA22D5D" w14:textId="3DDA33FE" w:rsidR="00DE3458" w:rsidRPr="00193D76" w:rsidRDefault="00E453CD">
      <w:pPr>
        <w:rPr>
          <w:del w:id="13334" w:author="AbbVie02no" w:date="2025-05-15T14:19:00Z"/>
          <w:b/>
          <w:sz w:val="22"/>
          <w:szCs w:val="22"/>
        </w:rPr>
        <w:pPrChange w:id="13335" w:author="AbbVie02no" w:date="2025-05-15T14:19:00Z">
          <w:pPr>
            <w:keepNext/>
            <w:suppressAutoHyphens/>
          </w:pPr>
        </w:pPrChange>
      </w:pPr>
      <w:del w:id="13336" w:author="AbbVie02no" w:date="2025-05-15T14:19:00Z">
        <w:r w:rsidRPr="007F67EE">
          <w:rPr>
            <w:b/>
            <w:sz w:val="22"/>
            <w:szCs w:val="22"/>
          </w:rPr>
          <w:lastRenderedPageBreak/>
          <w:delText>Advarsler og forsiktighetsregler</w:delText>
        </w:r>
      </w:del>
    </w:p>
    <w:p w14:paraId="34B30A80" w14:textId="77096605" w:rsidR="00891597" w:rsidRPr="002D0790" w:rsidRDefault="00891597">
      <w:pPr>
        <w:rPr>
          <w:del w:id="13337" w:author="AbbVie02no" w:date="2025-05-15T14:19:00Z"/>
          <w:sz w:val="22"/>
          <w:szCs w:val="22"/>
        </w:rPr>
        <w:pPrChange w:id="13338" w:author="AbbVie02no" w:date="2025-05-15T14:19:00Z">
          <w:pPr>
            <w:keepNext/>
            <w:suppressAutoHyphens/>
          </w:pPr>
        </w:pPrChange>
      </w:pPr>
    </w:p>
    <w:p w14:paraId="53A68F70" w14:textId="0D3CA3B2" w:rsidR="006D0D1D" w:rsidRPr="009C5EFD" w:rsidRDefault="00E453CD">
      <w:pPr>
        <w:rPr>
          <w:del w:id="13339" w:author="AbbVie02no" w:date="2025-05-15T14:19:00Z"/>
          <w:szCs w:val="22"/>
        </w:rPr>
        <w:pPrChange w:id="13340" w:author="AbbVie02no" w:date="2025-05-15T14:19:00Z">
          <w:pPr>
            <w:pStyle w:val="BodyTextIndent3"/>
            <w:ind w:left="0" w:firstLine="0"/>
          </w:pPr>
        </w:pPrChange>
      </w:pPr>
      <w:del w:id="13341" w:author="AbbVie02no" w:date="2025-05-15T14:19:00Z">
        <w:r w:rsidRPr="00C07C98">
          <w:rPr>
            <w:szCs w:val="22"/>
          </w:rPr>
          <w:delText>Snakk</w:delText>
        </w:r>
        <w:r w:rsidR="00352D18" w:rsidRPr="00E14E58">
          <w:rPr>
            <w:szCs w:val="22"/>
          </w:rPr>
          <w:delText xml:space="preserve"> med ditt barns lege eller </w:delText>
        </w:r>
        <w:r w:rsidRPr="009C5EFD">
          <w:rPr>
            <w:szCs w:val="22"/>
          </w:rPr>
          <w:delText>apotek før Humira brukes.</w:delText>
        </w:r>
      </w:del>
    </w:p>
    <w:p w14:paraId="37D9ABB5" w14:textId="6A60AAD8" w:rsidR="00BA3381" w:rsidRPr="009C5EFD" w:rsidRDefault="00BA3381">
      <w:pPr>
        <w:rPr>
          <w:del w:id="13342" w:author="AbbVie02no" w:date="2025-05-15T14:19:00Z"/>
          <w:szCs w:val="22"/>
        </w:rPr>
        <w:pPrChange w:id="13343" w:author="AbbVie02no" w:date="2025-05-15T14:19:00Z">
          <w:pPr>
            <w:pStyle w:val="BodyTextIndent3"/>
            <w:ind w:left="0" w:firstLine="0"/>
          </w:pPr>
        </w:pPrChange>
      </w:pPr>
    </w:p>
    <w:p w14:paraId="349D076F" w14:textId="17EB8C90" w:rsidR="00DE3458" w:rsidRPr="009C5EFD" w:rsidRDefault="00E453CD">
      <w:pPr>
        <w:rPr>
          <w:del w:id="13344" w:author="AbbVie02no" w:date="2025-05-15T14:19:00Z"/>
          <w:szCs w:val="22"/>
        </w:rPr>
        <w:pPrChange w:id="13345" w:author="AbbVie02no" w:date="2025-05-15T14:19:00Z">
          <w:pPr>
            <w:pStyle w:val="BodyTextIndent3"/>
            <w:numPr>
              <w:numId w:val="3"/>
            </w:numPr>
            <w:tabs>
              <w:tab w:val="num" w:pos="567"/>
              <w:tab w:val="num" w:pos="720"/>
            </w:tabs>
            <w:ind w:left="720" w:hanging="360"/>
          </w:pPr>
        </w:pPrChange>
      </w:pPr>
      <w:del w:id="13346" w:author="AbbVie02no" w:date="2025-05-15T14:19:00Z">
        <w:r w:rsidRPr="009C5EFD">
          <w:rPr>
            <w:szCs w:val="22"/>
          </w:rPr>
          <w:delText xml:space="preserve">Dersom </w:delText>
        </w:r>
        <w:r w:rsidR="004B7BF9" w:rsidRPr="009C5EFD">
          <w:rPr>
            <w:szCs w:val="22"/>
          </w:rPr>
          <w:delText>ditt barn</w:delText>
        </w:r>
        <w:r w:rsidRPr="009C5EFD">
          <w:rPr>
            <w:szCs w:val="22"/>
          </w:rPr>
          <w:delText xml:space="preserve"> får allergiske reaksjoner med symptomer som tetthet eller piping i brystet, svimmelhet, hevelse eller utslett, må du ikke </w:delText>
        </w:r>
        <w:r w:rsidRPr="009C5EFD">
          <w:rPr>
            <w:color w:val="000000"/>
            <w:szCs w:val="22"/>
          </w:rPr>
          <w:delText xml:space="preserve">fortsette å </w:delText>
        </w:r>
        <w:r w:rsidR="002316CD">
          <w:rPr>
            <w:szCs w:val="22"/>
          </w:rPr>
          <w:delText>injisere</w:delText>
        </w:r>
        <w:r w:rsidR="002316CD" w:rsidRPr="009C5EFD">
          <w:rPr>
            <w:szCs w:val="22"/>
          </w:rPr>
          <w:delText xml:space="preserve"> </w:delText>
        </w:r>
        <w:r w:rsidRPr="009C5EFD">
          <w:rPr>
            <w:szCs w:val="22"/>
          </w:rPr>
          <w:delText>Humira, men kontakte legen umiddelbart</w:delText>
        </w:r>
        <w:r w:rsidR="00A1429F">
          <w:rPr>
            <w:szCs w:val="22"/>
          </w:rPr>
          <w:delText xml:space="preserve"> siden disse reaksjone</w:delText>
        </w:r>
        <w:r w:rsidR="00D93F46">
          <w:rPr>
            <w:szCs w:val="22"/>
          </w:rPr>
          <w:delText>ne</w:delText>
        </w:r>
        <w:r w:rsidR="00A1429F">
          <w:rPr>
            <w:szCs w:val="22"/>
          </w:rPr>
          <w:delText xml:space="preserve"> i sjeldne tilfeller kan være livstruende</w:delText>
        </w:r>
        <w:r w:rsidRPr="009C5EFD">
          <w:rPr>
            <w:szCs w:val="22"/>
          </w:rPr>
          <w:delText>.</w:delText>
        </w:r>
      </w:del>
    </w:p>
    <w:p w14:paraId="07330E83" w14:textId="5BCF5A18" w:rsidR="00DE3458" w:rsidRPr="009C5EFD" w:rsidRDefault="00E453CD">
      <w:pPr>
        <w:rPr>
          <w:del w:id="13347" w:author="AbbVie02no" w:date="2025-05-15T14:19:00Z"/>
          <w:szCs w:val="22"/>
        </w:rPr>
        <w:pPrChange w:id="13348" w:author="AbbVie02no" w:date="2025-05-15T14:19:00Z">
          <w:pPr>
            <w:pStyle w:val="BodyTextIndent3"/>
            <w:numPr>
              <w:numId w:val="3"/>
            </w:numPr>
            <w:tabs>
              <w:tab w:val="num" w:pos="567"/>
              <w:tab w:val="num" w:pos="720"/>
            </w:tabs>
            <w:ind w:left="720" w:hanging="360"/>
          </w:pPr>
        </w:pPrChange>
      </w:pPr>
      <w:del w:id="13349" w:author="AbbVie02no" w:date="2025-05-15T14:19:00Z">
        <w:r w:rsidRPr="009C5EFD">
          <w:rPr>
            <w:szCs w:val="22"/>
          </w:rPr>
          <w:delText xml:space="preserve">Dersom </w:delText>
        </w:r>
        <w:r w:rsidR="004B7BF9" w:rsidRPr="009C5EFD">
          <w:rPr>
            <w:szCs w:val="22"/>
          </w:rPr>
          <w:delText>ditt barn</w:delText>
        </w:r>
        <w:r w:rsidRPr="009C5EFD">
          <w:rPr>
            <w:szCs w:val="22"/>
          </w:rPr>
          <w:delText xml:space="preserve"> har en infeksjon, deriblant langtids- eller lokalisert infeksjon (for eksempel leggsår), må du snakke med legen før </w:delText>
        </w:r>
        <w:r w:rsidR="002316CD">
          <w:rPr>
            <w:szCs w:val="22"/>
          </w:rPr>
          <w:delText>barnet ditt</w:delText>
        </w:r>
        <w:r w:rsidRPr="009C5EFD">
          <w:rPr>
            <w:szCs w:val="22"/>
          </w:rPr>
          <w:delText xml:space="preserve"> begynner å bruke Humira. </w:delText>
        </w:r>
        <w:r w:rsidR="002316CD">
          <w:rPr>
            <w:szCs w:val="22"/>
          </w:rPr>
          <w:delText>K</w:delText>
        </w:r>
        <w:r w:rsidRPr="009C5EFD">
          <w:rPr>
            <w:szCs w:val="22"/>
          </w:rPr>
          <w:delText>ontakt legen</w:delText>
        </w:r>
        <w:r w:rsidR="002316CD">
          <w:rPr>
            <w:szCs w:val="22"/>
          </w:rPr>
          <w:delText xml:space="preserve"> din</w:delText>
        </w:r>
        <w:r w:rsidRPr="009C5EFD">
          <w:rPr>
            <w:szCs w:val="22"/>
          </w:rPr>
          <w:delText xml:space="preserve"> hvis du er usikker.</w:delText>
        </w:r>
      </w:del>
    </w:p>
    <w:p w14:paraId="4CC05B41" w14:textId="2F0D2775" w:rsidR="00DE3458" w:rsidRPr="009C5EFD" w:rsidRDefault="00E453CD">
      <w:pPr>
        <w:rPr>
          <w:del w:id="13350" w:author="AbbVie02no" w:date="2025-05-15T14:19:00Z"/>
          <w:sz w:val="22"/>
          <w:szCs w:val="22"/>
        </w:rPr>
        <w:pPrChange w:id="13351" w:author="AbbVie02no" w:date="2025-05-15T14:19:00Z">
          <w:pPr>
            <w:numPr>
              <w:numId w:val="3"/>
            </w:numPr>
            <w:tabs>
              <w:tab w:val="num" w:pos="567"/>
              <w:tab w:val="num" w:pos="720"/>
            </w:tabs>
            <w:suppressAutoHyphens/>
            <w:ind w:left="567" w:hanging="567"/>
          </w:pPr>
        </w:pPrChange>
      </w:pPr>
      <w:del w:id="13352" w:author="AbbVie02no" w:date="2025-05-15T14:19:00Z">
        <w:r w:rsidRPr="009C5EFD">
          <w:rPr>
            <w:sz w:val="22"/>
            <w:szCs w:val="22"/>
          </w:rPr>
          <w:delText>D</w:delText>
        </w:r>
        <w:r w:rsidR="004B7BF9" w:rsidRPr="009C5EFD">
          <w:rPr>
            <w:sz w:val="22"/>
            <w:szCs w:val="22"/>
          </w:rPr>
          <w:delText>itt barn</w:delText>
        </w:r>
        <w:r w:rsidRPr="009C5EFD">
          <w:rPr>
            <w:sz w:val="22"/>
            <w:szCs w:val="22"/>
          </w:rPr>
          <w:delText xml:space="preserve"> kan lettere få infeksjoner mens d</w:delText>
        </w:r>
        <w:r w:rsidR="00D11730" w:rsidRPr="009C5EFD">
          <w:rPr>
            <w:sz w:val="22"/>
            <w:szCs w:val="22"/>
          </w:rPr>
          <w:delText>et</w:delText>
        </w:r>
        <w:r w:rsidRPr="009C5EFD">
          <w:rPr>
            <w:sz w:val="22"/>
            <w:szCs w:val="22"/>
          </w:rPr>
          <w:delText xml:space="preserve"> behandles med Humira. </w:delText>
        </w:r>
        <w:r w:rsidR="00156721" w:rsidRPr="009C5EFD">
          <w:rPr>
            <w:sz w:val="22"/>
            <w:szCs w:val="22"/>
          </w:rPr>
          <w:delText xml:space="preserve">Denne risikoen kan være større hvis </w:delText>
        </w:r>
        <w:r w:rsidR="004B7BF9" w:rsidRPr="009C5EFD">
          <w:rPr>
            <w:sz w:val="22"/>
            <w:szCs w:val="22"/>
          </w:rPr>
          <w:delText>hans/hennes</w:delText>
        </w:r>
        <w:r w:rsidR="00E75E21" w:rsidRPr="009C5EFD">
          <w:rPr>
            <w:sz w:val="22"/>
            <w:szCs w:val="22"/>
          </w:rPr>
          <w:delText xml:space="preserve"> lungefun</w:delText>
        </w:r>
        <w:r w:rsidR="00156721" w:rsidRPr="009C5EFD">
          <w:rPr>
            <w:sz w:val="22"/>
            <w:szCs w:val="22"/>
          </w:rPr>
          <w:delText>k</w:delText>
        </w:r>
        <w:r w:rsidR="00E75E21" w:rsidRPr="009C5EFD">
          <w:rPr>
            <w:sz w:val="22"/>
            <w:szCs w:val="22"/>
          </w:rPr>
          <w:delText>s</w:delText>
        </w:r>
        <w:r w:rsidR="00156721" w:rsidRPr="009C5EFD">
          <w:rPr>
            <w:sz w:val="22"/>
            <w:szCs w:val="22"/>
          </w:rPr>
          <w:delText xml:space="preserve">jon er nedsatt. </w:delText>
        </w:r>
        <w:r w:rsidRPr="009C5EFD">
          <w:rPr>
            <w:sz w:val="22"/>
            <w:szCs w:val="22"/>
          </w:rPr>
          <w:delText>Disse infeksjonene kan være alvorlige og inkluderer tuberkulose, infeksjoner forårsaket av virus, sopp</w:delText>
        </w:r>
        <w:r w:rsidR="000B3C40" w:rsidRPr="009C5EFD">
          <w:rPr>
            <w:sz w:val="22"/>
            <w:szCs w:val="22"/>
          </w:rPr>
          <w:delText>, parasitter</w:delText>
        </w:r>
        <w:r w:rsidRPr="009C5EFD">
          <w:rPr>
            <w:sz w:val="22"/>
            <w:szCs w:val="22"/>
          </w:rPr>
          <w:delText xml:space="preserve"> eller bakterie, eller andre opportunistiske infeksjoner og </w:delText>
        </w:r>
        <w:r w:rsidRPr="009C5EFD">
          <w:rPr>
            <w:color w:val="000000"/>
            <w:sz w:val="22"/>
            <w:szCs w:val="22"/>
          </w:rPr>
          <w:delText>blodforgiftning</w:delText>
        </w:r>
        <w:r w:rsidRPr="009C5EFD">
          <w:rPr>
            <w:sz w:val="22"/>
            <w:szCs w:val="22"/>
          </w:rPr>
          <w:delText xml:space="preserve"> som i sjeldne tilfeller kan være livstruende. Det er viktig å fortelle legen om eventuelle symptomer som feber, sår, tretthet eller problemer med tennene. Legen kan anbefale å avbryte behandlingen med Humira midlertidig.</w:delText>
        </w:r>
      </w:del>
    </w:p>
    <w:p w14:paraId="0A79B824" w14:textId="3381D295" w:rsidR="00DE3458" w:rsidRPr="009C5EFD" w:rsidRDefault="00E453CD">
      <w:pPr>
        <w:rPr>
          <w:del w:id="13353" w:author="AbbVie02no" w:date="2025-05-15T14:19:00Z"/>
          <w:sz w:val="22"/>
          <w:szCs w:val="22"/>
        </w:rPr>
        <w:pPrChange w:id="13354" w:author="AbbVie02no" w:date="2025-05-15T14:19:00Z">
          <w:pPr>
            <w:numPr>
              <w:numId w:val="3"/>
            </w:numPr>
            <w:tabs>
              <w:tab w:val="num" w:pos="567"/>
              <w:tab w:val="num" w:pos="720"/>
            </w:tabs>
            <w:suppressAutoHyphens/>
            <w:ind w:left="567" w:hanging="567"/>
          </w:pPr>
        </w:pPrChange>
      </w:pPr>
      <w:del w:id="13355" w:author="AbbVie02no" w:date="2025-05-15T14:19:00Z">
        <w:r w:rsidRPr="009C5EFD">
          <w:rPr>
            <w:sz w:val="22"/>
            <w:szCs w:val="22"/>
          </w:rPr>
          <w:delText xml:space="preserve">Ettersom det har vært påvist tilfeller av tuberkulose hos pasienter under behandling med Humira, kommer legen til å undersøke om </w:delText>
        </w:r>
        <w:r w:rsidR="004B7BF9" w:rsidRPr="009C5EFD">
          <w:rPr>
            <w:sz w:val="22"/>
            <w:szCs w:val="22"/>
          </w:rPr>
          <w:delText>ditt barn</w:delText>
        </w:r>
        <w:r w:rsidRPr="009C5EFD">
          <w:rPr>
            <w:sz w:val="22"/>
            <w:szCs w:val="22"/>
          </w:rPr>
          <w:delText xml:space="preserve"> har tegn eller symptomer på tuberkulose før Humira-behandling </w:delText>
        </w:r>
        <w:r w:rsidR="00020B96" w:rsidRPr="009C5EFD">
          <w:rPr>
            <w:sz w:val="22"/>
            <w:szCs w:val="22"/>
          </w:rPr>
          <w:delText>startes opp</w:delText>
        </w:r>
        <w:r w:rsidRPr="009C5EFD">
          <w:rPr>
            <w:sz w:val="22"/>
            <w:szCs w:val="22"/>
          </w:rPr>
          <w:delText xml:space="preserve">. Dette omfatter en grundig </w:delText>
        </w:r>
        <w:r w:rsidR="00BF1470" w:rsidRPr="009C5EFD">
          <w:rPr>
            <w:sz w:val="22"/>
            <w:szCs w:val="22"/>
          </w:rPr>
          <w:delText xml:space="preserve">medisinsk </w:delText>
        </w:r>
        <w:r w:rsidR="00BF02E7">
          <w:rPr>
            <w:sz w:val="22"/>
            <w:szCs w:val="22"/>
          </w:rPr>
          <w:delText>vurdering</w:delText>
        </w:r>
        <w:r w:rsidR="00BF1470" w:rsidRPr="009C5EFD">
          <w:rPr>
            <w:sz w:val="22"/>
            <w:szCs w:val="22"/>
          </w:rPr>
          <w:delText xml:space="preserve"> som vil inkludere ditt barns </w:delText>
        </w:r>
        <w:r w:rsidRPr="009C5EFD">
          <w:rPr>
            <w:sz w:val="22"/>
            <w:szCs w:val="22"/>
          </w:rPr>
          <w:delText>sykdomshistorie</w:delText>
        </w:r>
        <w:r w:rsidR="00BF1470" w:rsidRPr="009C5EFD">
          <w:rPr>
            <w:sz w:val="22"/>
            <w:szCs w:val="22"/>
          </w:rPr>
          <w:delText xml:space="preserve"> og passende screeningtester (f.eks.</w:delText>
        </w:r>
        <w:r w:rsidRPr="009C5EFD">
          <w:rPr>
            <w:sz w:val="22"/>
            <w:szCs w:val="22"/>
          </w:rPr>
          <w:delText xml:space="preserve"> røntgenbilde av brystkasse og en tuberkulinprøve</w:delText>
        </w:r>
        <w:r w:rsidR="00BF1470" w:rsidRPr="009C5EFD">
          <w:rPr>
            <w:sz w:val="22"/>
            <w:szCs w:val="22"/>
          </w:rPr>
          <w:delText>)</w:delText>
        </w:r>
        <w:r w:rsidRPr="009C5EFD">
          <w:rPr>
            <w:sz w:val="22"/>
            <w:szCs w:val="22"/>
          </w:rPr>
          <w:delText xml:space="preserve">. Disse testene </w:delText>
        </w:r>
        <w:r w:rsidR="00B069A2" w:rsidRPr="009C5EFD">
          <w:rPr>
            <w:sz w:val="22"/>
            <w:szCs w:val="22"/>
          </w:rPr>
          <w:delText xml:space="preserve">og resultatene </w:delText>
        </w:r>
        <w:r w:rsidRPr="009C5EFD">
          <w:rPr>
            <w:sz w:val="22"/>
            <w:szCs w:val="22"/>
          </w:rPr>
          <w:delText xml:space="preserve">bør registreres i </w:delText>
        </w:r>
        <w:r w:rsidRPr="00B07EA9">
          <w:rPr>
            <w:b/>
            <w:sz w:val="22"/>
            <w:szCs w:val="22"/>
          </w:rPr>
          <w:delText>pasientkortet</w:delText>
        </w:r>
        <w:r w:rsidRPr="009C5EFD">
          <w:rPr>
            <w:sz w:val="22"/>
            <w:szCs w:val="22"/>
          </w:rPr>
          <w:delText xml:space="preserve"> </w:delText>
        </w:r>
        <w:r w:rsidR="004B7BF9" w:rsidRPr="009C5EFD">
          <w:rPr>
            <w:sz w:val="22"/>
            <w:szCs w:val="22"/>
          </w:rPr>
          <w:delText xml:space="preserve">til </w:delText>
        </w:r>
        <w:r w:rsidRPr="009C5EFD">
          <w:rPr>
            <w:sz w:val="22"/>
            <w:szCs w:val="22"/>
          </w:rPr>
          <w:delText>ditt</w:delText>
        </w:r>
        <w:r w:rsidR="004B7BF9" w:rsidRPr="009C5EFD">
          <w:rPr>
            <w:sz w:val="22"/>
            <w:szCs w:val="22"/>
          </w:rPr>
          <w:delText xml:space="preserve"> barn</w:delText>
        </w:r>
        <w:r w:rsidRPr="009C5EFD">
          <w:rPr>
            <w:sz w:val="22"/>
            <w:szCs w:val="22"/>
          </w:rPr>
          <w:delText xml:space="preserve">. Det er svært viktig at du forteller legen om </w:delText>
        </w:r>
        <w:r w:rsidR="004B7BF9" w:rsidRPr="009C5EFD">
          <w:rPr>
            <w:sz w:val="22"/>
            <w:szCs w:val="22"/>
          </w:rPr>
          <w:delText>ditt barn</w:delText>
        </w:r>
        <w:r w:rsidRPr="009C5EFD">
          <w:rPr>
            <w:sz w:val="22"/>
            <w:szCs w:val="22"/>
          </w:rPr>
          <w:delText xml:space="preserve"> noensinne har hatt tuberkulose, eller om </w:delText>
        </w:r>
        <w:r w:rsidR="004B7BF9" w:rsidRPr="009C5EFD">
          <w:rPr>
            <w:sz w:val="22"/>
            <w:szCs w:val="22"/>
          </w:rPr>
          <w:delText>han/hun</w:delText>
        </w:r>
        <w:r w:rsidRPr="009C5EFD">
          <w:rPr>
            <w:sz w:val="22"/>
            <w:szCs w:val="22"/>
          </w:rPr>
          <w:delText xml:space="preserve"> har vært i nær kontakt med noen som har hatt tuberkulose. </w:delText>
        </w:r>
        <w:r w:rsidR="00BF1470" w:rsidRPr="009C5EFD">
          <w:rPr>
            <w:sz w:val="22"/>
            <w:szCs w:val="22"/>
          </w:rPr>
          <w:delText>Tuberkulose kan utvikles under behandling selv</w:delText>
        </w:r>
        <w:r w:rsidR="0004489F">
          <w:rPr>
            <w:sz w:val="22"/>
            <w:szCs w:val="22"/>
          </w:rPr>
          <w:delText xml:space="preserve"> </w:delText>
        </w:r>
        <w:r w:rsidR="00BF1470" w:rsidRPr="009C5EFD">
          <w:rPr>
            <w:sz w:val="22"/>
            <w:szCs w:val="22"/>
          </w:rPr>
          <w:delText xml:space="preserve">om ditt barn har mottatt forebyggende behandling mot tuberkulose. </w:delText>
        </w:r>
        <w:r w:rsidRPr="009C5EFD">
          <w:rPr>
            <w:sz w:val="22"/>
            <w:szCs w:val="22"/>
          </w:rPr>
          <w:delText>Dersom symptomer på tuberkulose (vedvarende hoste, vekttap, sløvhet, lett feber) eller andre infeksjoner dukker opp under eller etter behandlingen må du fortelle legen om det straks.</w:delText>
        </w:r>
      </w:del>
    </w:p>
    <w:p w14:paraId="7A99E34A" w14:textId="3021DAD9" w:rsidR="00DE3458" w:rsidRPr="009C5EFD" w:rsidRDefault="00E453CD">
      <w:pPr>
        <w:rPr>
          <w:del w:id="13356" w:author="AbbVie02no" w:date="2025-05-15T14:19:00Z"/>
          <w:sz w:val="22"/>
          <w:szCs w:val="22"/>
        </w:rPr>
        <w:pPrChange w:id="13357" w:author="AbbVie02no" w:date="2025-05-15T14:19:00Z">
          <w:pPr>
            <w:numPr>
              <w:numId w:val="3"/>
            </w:numPr>
            <w:tabs>
              <w:tab w:val="num" w:pos="567"/>
              <w:tab w:val="num" w:pos="720"/>
            </w:tabs>
            <w:suppressAutoHyphens/>
            <w:ind w:left="567" w:hanging="567"/>
          </w:pPr>
        </w:pPrChange>
      </w:pPr>
      <w:del w:id="13358" w:author="AbbVie02no" w:date="2025-05-15T14:19:00Z">
        <w:r w:rsidRPr="009C5EFD">
          <w:rPr>
            <w:sz w:val="22"/>
            <w:szCs w:val="22"/>
          </w:rPr>
          <w:delText xml:space="preserve">Gi beskjed til legen om </w:delText>
        </w:r>
        <w:r w:rsidR="004B7BF9" w:rsidRPr="009C5EFD">
          <w:rPr>
            <w:sz w:val="22"/>
            <w:szCs w:val="22"/>
          </w:rPr>
          <w:delText>ditt barn</w:delText>
        </w:r>
        <w:r w:rsidRPr="009C5EFD">
          <w:rPr>
            <w:sz w:val="22"/>
            <w:szCs w:val="22"/>
          </w:rPr>
          <w:delText xml:space="preserve"> bosetter </w:delText>
        </w:r>
        <w:r w:rsidR="00066CD1" w:rsidRPr="009C5EFD">
          <w:rPr>
            <w:sz w:val="22"/>
            <w:szCs w:val="22"/>
          </w:rPr>
          <w:delText>s</w:delText>
        </w:r>
        <w:r w:rsidRPr="009C5EFD">
          <w:rPr>
            <w:sz w:val="22"/>
            <w:szCs w:val="22"/>
          </w:rPr>
          <w:delText xml:space="preserve">eg eller reiser i områder hvor soppinfeksjoner som histoplasmose, koksidioidomykose eller blastomykose er endemiske. </w:delText>
        </w:r>
      </w:del>
    </w:p>
    <w:p w14:paraId="7CB18025" w14:textId="3F0F61FC" w:rsidR="00DE3458" w:rsidRPr="009C5EFD" w:rsidRDefault="00E453CD">
      <w:pPr>
        <w:rPr>
          <w:del w:id="13359" w:author="AbbVie02no" w:date="2025-05-15T14:19:00Z"/>
          <w:sz w:val="22"/>
          <w:szCs w:val="22"/>
        </w:rPr>
        <w:pPrChange w:id="13360" w:author="AbbVie02no" w:date="2025-05-15T14:19:00Z">
          <w:pPr>
            <w:numPr>
              <w:numId w:val="3"/>
            </w:numPr>
            <w:tabs>
              <w:tab w:val="num" w:pos="567"/>
              <w:tab w:val="num" w:pos="720"/>
            </w:tabs>
            <w:suppressAutoHyphens/>
            <w:ind w:left="567" w:hanging="567"/>
          </w:pPr>
        </w:pPrChange>
      </w:pPr>
      <w:del w:id="13361" w:author="AbbVie02no" w:date="2025-05-15T14:19:00Z">
        <w:r w:rsidRPr="009C5EFD">
          <w:rPr>
            <w:sz w:val="22"/>
            <w:szCs w:val="22"/>
          </w:rPr>
          <w:delText xml:space="preserve">Gi beskjed til legen om </w:delText>
        </w:r>
        <w:r w:rsidR="004B7BF9" w:rsidRPr="009C5EFD">
          <w:rPr>
            <w:sz w:val="22"/>
            <w:szCs w:val="22"/>
          </w:rPr>
          <w:delText>ditt barn</w:delText>
        </w:r>
        <w:r w:rsidRPr="009C5EFD">
          <w:rPr>
            <w:sz w:val="22"/>
            <w:szCs w:val="22"/>
          </w:rPr>
          <w:delText xml:space="preserve"> tidligere har hatt gjentatte infeksjoner eller andre lidelser som øker faren for infeksjoner.</w:delText>
        </w:r>
      </w:del>
    </w:p>
    <w:p w14:paraId="408E0BCB" w14:textId="40E1023C" w:rsidR="00134102" w:rsidRDefault="00E453CD">
      <w:pPr>
        <w:rPr>
          <w:del w:id="13362" w:author="AbbVie02no" w:date="2025-05-15T14:19:00Z"/>
          <w:szCs w:val="22"/>
        </w:rPr>
        <w:pPrChange w:id="13363" w:author="AbbVie02no" w:date="2025-05-15T14:19:00Z">
          <w:pPr>
            <w:pStyle w:val="EMEABullet2"/>
          </w:pPr>
        </w:pPrChange>
      </w:pPr>
      <w:del w:id="13364" w:author="AbbVie02no" w:date="2025-05-15T14:19:00Z">
        <w:r w:rsidRPr="009C5EFD">
          <w:rPr>
            <w:szCs w:val="22"/>
          </w:rPr>
          <w:delText xml:space="preserve">Gi beskjed til legen din dersom </w:delText>
        </w:r>
        <w:r w:rsidR="004B7BF9" w:rsidRPr="009C5EFD">
          <w:rPr>
            <w:szCs w:val="22"/>
          </w:rPr>
          <w:delText>ditt barn</w:delText>
        </w:r>
        <w:r w:rsidRPr="009C5EFD">
          <w:rPr>
            <w:szCs w:val="22"/>
          </w:rPr>
          <w:delText xml:space="preserve"> er bærer av hepatitt B-virus (HBV), dersom </w:delText>
        </w:r>
        <w:r w:rsidR="004B7BF9" w:rsidRPr="009C5EFD">
          <w:rPr>
            <w:szCs w:val="22"/>
          </w:rPr>
          <w:delText>han/hun</w:delText>
        </w:r>
        <w:r w:rsidRPr="009C5EFD">
          <w:rPr>
            <w:szCs w:val="22"/>
          </w:rPr>
          <w:delText xml:space="preserve"> har aktiv HBV-infeksjon, eller hvis du tror </w:delText>
        </w:r>
        <w:r w:rsidR="004B7BF9" w:rsidRPr="009C5EFD">
          <w:rPr>
            <w:szCs w:val="22"/>
          </w:rPr>
          <w:delText>han/hun</w:delText>
        </w:r>
        <w:r w:rsidRPr="009C5EFD">
          <w:rPr>
            <w:szCs w:val="22"/>
          </w:rPr>
          <w:delText xml:space="preserve"> kan være utsatt for å få HBV. </w:delText>
        </w:r>
        <w:r w:rsidR="00E526BE" w:rsidRPr="009C5EFD">
          <w:delText>Ditt barns lege bør teste barnet ditt for HBV.</w:delText>
        </w:r>
        <w:r w:rsidRPr="009C5EFD">
          <w:delText xml:space="preserve"> </w:delText>
        </w:r>
        <w:r w:rsidRPr="009C5EFD">
          <w:rPr>
            <w:szCs w:val="22"/>
          </w:rPr>
          <w:delText xml:space="preserve">Humira kan reaktivere HBV hos </w:delText>
        </w:r>
        <w:r w:rsidR="00DF7B30" w:rsidRPr="009C5EFD">
          <w:rPr>
            <w:szCs w:val="22"/>
          </w:rPr>
          <w:delText xml:space="preserve">personer </w:delText>
        </w:r>
        <w:r w:rsidRPr="009C5EFD">
          <w:rPr>
            <w:szCs w:val="22"/>
          </w:rPr>
          <w:delText xml:space="preserve">som er bærere av dette viruset. I noen sjeldne tilfeller, særlig hvis </w:delText>
        </w:r>
        <w:r w:rsidR="004B7BF9" w:rsidRPr="009C5EFD">
          <w:rPr>
            <w:szCs w:val="22"/>
          </w:rPr>
          <w:delText>ditt barn</w:delText>
        </w:r>
        <w:r w:rsidRPr="009C5EFD">
          <w:rPr>
            <w:szCs w:val="22"/>
          </w:rPr>
          <w:delText xml:space="preserve"> tar andre legemidler som demper immunsystemet, kan reaktivering av HBV være livstruende.</w:delText>
        </w:r>
      </w:del>
    </w:p>
    <w:p w14:paraId="24674A6E" w14:textId="449F773D" w:rsidR="00156721" w:rsidRPr="009C5EFD" w:rsidRDefault="00E453CD">
      <w:pPr>
        <w:rPr>
          <w:del w:id="13365" w:author="AbbVie02no" w:date="2025-05-15T14:19:00Z"/>
          <w:szCs w:val="22"/>
        </w:rPr>
        <w:pPrChange w:id="13366" w:author="AbbVie02no" w:date="2025-05-15T14:19:00Z">
          <w:pPr>
            <w:pStyle w:val="EMEABullet2"/>
          </w:pPr>
        </w:pPrChange>
      </w:pPr>
      <w:del w:id="13367" w:author="AbbVie02no" w:date="2025-05-15T14:19:00Z">
        <w:r w:rsidRPr="009C5EFD">
          <w:rPr>
            <w:szCs w:val="22"/>
          </w:rPr>
          <w:delText>Det er viktig at du forteller lege</w:delText>
        </w:r>
        <w:r w:rsidR="00891597">
          <w:rPr>
            <w:szCs w:val="22"/>
          </w:rPr>
          <w:delText>n</w:delText>
        </w:r>
        <w:r w:rsidRPr="009C5EFD">
          <w:rPr>
            <w:szCs w:val="22"/>
          </w:rPr>
          <w:delText xml:space="preserve"> </w:delText>
        </w:r>
        <w:r w:rsidR="002858DC">
          <w:rPr>
            <w:szCs w:val="22"/>
          </w:rPr>
          <w:delText xml:space="preserve">din </w:delText>
        </w:r>
        <w:r w:rsidRPr="009C5EFD">
          <w:rPr>
            <w:szCs w:val="22"/>
          </w:rPr>
          <w:delText>dersom d</w:delText>
        </w:r>
        <w:r w:rsidR="006D0D1D" w:rsidRPr="009C5EFD">
          <w:rPr>
            <w:szCs w:val="22"/>
          </w:rPr>
          <w:delText>itt barn</w:delText>
        </w:r>
        <w:r w:rsidRPr="009C5EFD">
          <w:rPr>
            <w:szCs w:val="22"/>
          </w:rPr>
          <w:delText xml:space="preserve"> får symptomer på infeksjoner, for eksempel feber, sår, trøtthet eller tannproblemer. </w:delText>
        </w:r>
      </w:del>
    </w:p>
    <w:p w14:paraId="299F3614" w14:textId="416E71DE" w:rsidR="00DE3458" w:rsidRPr="009C5EFD" w:rsidRDefault="00E453CD">
      <w:pPr>
        <w:rPr>
          <w:del w:id="13368" w:author="AbbVie02no" w:date="2025-05-15T14:19:00Z"/>
          <w:sz w:val="22"/>
          <w:szCs w:val="22"/>
        </w:rPr>
        <w:pPrChange w:id="13369" w:author="AbbVie02no" w:date="2025-05-15T14:19:00Z">
          <w:pPr>
            <w:numPr>
              <w:numId w:val="3"/>
            </w:numPr>
            <w:tabs>
              <w:tab w:val="num" w:pos="567"/>
              <w:tab w:val="num" w:pos="720"/>
            </w:tabs>
            <w:suppressAutoHyphens/>
            <w:ind w:left="567" w:hanging="567"/>
          </w:pPr>
        </w:pPrChange>
      </w:pPr>
      <w:del w:id="13370" w:author="AbbVie02no" w:date="2025-05-15T14:19:00Z">
        <w:r w:rsidRPr="009C5EFD">
          <w:rPr>
            <w:sz w:val="22"/>
            <w:szCs w:val="22"/>
          </w:rPr>
          <w:delText>Hvis d</w:delText>
        </w:r>
        <w:r w:rsidR="003D41B1" w:rsidRPr="009C5EFD">
          <w:rPr>
            <w:sz w:val="22"/>
            <w:szCs w:val="22"/>
          </w:rPr>
          <w:delText>itt barn</w:delText>
        </w:r>
        <w:r w:rsidRPr="009C5EFD">
          <w:rPr>
            <w:sz w:val="22"/>
            <w:szCs w:val="22"/>
          </w:rPr>
          <w:delText xml:space="preserve"> skal opereres eller ha inngrep i tennene skal du si fra til legen at </w:delText>
        </w:r>
        <w:r w:rsidR="003D41B1" w:rsidRPr="009C5EFD">
          <w:rPr>
            <w:sz w:val="22"/>
            <w:szCs w:val="22"/>
          </w:rPr>
          <w:delText>han/hun</w:delText>
        </w:r>
        <w:r w:rsidRPr="009C5EFD">
          <w:rPr>
            <w:sz w:val="22"/>
            <w:szCs w:val="22"/>
          </w:rPr>
          <w:delText xml:space="preserve"> bruker Humira. Legen kan anbefale å avbryte behandlingen midlertidig.</w:delText>
        </w:r>
      </w:del>
    </w:p>
    <w:p w14:paraId="5BEA681E" w14:textId="62EA1E1B" w:rsidR="00DE3458" w:rsidRPr="009C5EFD" w:rsidRDefault="00E453CD">
      <w:pPr>
        <w:rPr>
          <w:del w:id="13371" w:author="AbbVie02no" w:date="2025-05-15T14:19:00Z"/>
          <w:sz w:val="22"/>
          <w:szCs w:val="22"/>
        </w:rPr>
        <w:pPrChange w:id="13372" w:author="AbbVie02no" w:date="2025-05-15T14:19:00Z">
          <w:pPr>
            <w:numPr>
              <w:numId w:val="3"/>
            </w:numPr>
            <w:tabs>
              <w:tab w:val="num" w:pos="567"/>
              <w:tab w:val="num" w:pos="720"/>
            </w:tabs>
            <w:suppressAutoHyphens/>
            <w:ind w:left="567" w:hanging="567"/>
          </w:pPr>
        </w:pPrChange>
      </w:pPr>
      <w:del w:id="13373" w:author="AbbVie02no" w:date="2025-05-15T14:19:00Z">
        <w:r w:rsidRPr="009C5EFD">
          <w:rPr>
            <w:sz w:val="22"/>
            <w:szCs w:val="22"/>
          </w:rPr>
          <w:delText xml:space="preserve">Dersom </w:delText>
        </w:r>
        <w:r w:rsidR="003D41B1" w:rsidRPr="009C5EFD">
          <w:rPr>
            <w:sz w:val="22"/>
            <w:szCs w:val="22"/>
          </w:rPr>
          <w:delText>ditt barn</w:delText>
        </w:r>
        <w:r w:rsidRPr="009C5EFD">
          <w:rPr>
            <w:sz w:val="22"/>
            <w:szCs w:val="22"/>
          </w:rPr>
          <w:delText xml:space="preserve"> har </w:delText>
        </w:r>
        <w:r w:rsidR="00704E2D">
          <w:rPr>
            <w:sz w:val="22"/>
            <w:szCs w:val="22"/>
          </w:rPr>
          <w:delText xml:space="preserve">eller utvikler </w:delText>
        </w:r>
        <w:r w:rsidRPr="009C5EFD">
          <w:rPr>
            <w:sz w:val="22"/>
            <w:szCs w:val="22"/>
          </w:rPr>
          <w:delText xml:space="preserve">en demyeliniserende sykdom som multippel sklerose, vil legen avgjøre om </w:delText>
        </w:r>
        <w:r w:rsidR="003D41B1" w:rsidRPr="009C5EFD">
          <w:rPr>
            <w:sz w:val="22"/>
            <w:szCs w:val="22"/>
          </w:rPr>
          <w:delText>han/hun</w:delText>
        </w:r>
        <w:r w:rsidRPr="009C5EFD">
          <w:rPr>
            <w:sz w:val="22"/>
            <w:szCs w:val="22"/>
          </w:rPr>
          <w:delText xml:space="preserve"> kan </w:delText>
        </w:r>
        <w:r w:rsidR="00704E2D">
          <w:rPr>
            <w:sz w:val="22"/>
            <w:szCs w:val="22"/>
          </w:rPr>
          <w:delText xml:space="preserve">bruke eller fortsette å </w:delText>
        </w:r>
        <w:r w:rsidRPr="009C5EFD">
          <w:rPr>
            <w:sz w:val="22"/>
            <w:szCs w:val="22"/>
          </w:rPr>
          <w:delText>bruke Humira.</w:delText>
        </w:r>
        <w:r w:rsidR="004C510F">
          <w:rPr>
            <w:sz w:val="22"/>
            <w:szCs w:val="22"/>
          </w:rPr>
          <w:delText xml:space="preserve"> </w:delText>
        </w:r>
        <w:r w:rsidR="00C316D0">
          <w:rPr>
            <w:sz w:val="22"/>
            <w:szCs w:val="22"/>
          </w:rPr>
          <w:delText xml:space="preserve">Gi beskjed til legen umiddelbart dersom barnet ditt opplever symptomer som synsforstyrrelser, svakhet i armer eller ben eller nummenhet eller prikking i noen del av kroppen. </w:delText>
        </w:r>
      </w:del>
    </w:p>
    <w:p w14:paraId="4AA93258" w14:textId="44FD47DB" w:rsidR="00DE3458" w:rsidRPr="009C5EFD" w:rsidRDefault="00E453CD">
      <w:pPr>
        <w:rPr>
          <w:del w:id="13374" w:author="AbbVie02no" w:date="2025-05-15T14:19:00Z"/>
          <w:sz w:val="22"/>
          <w:szCs w:val="22"/>
        </w:rPr>
        <w:pPrChange w:id="13375" w:author="AbbVie02no" w:date="2025-05-15T14:19:00Z">
          <w:pPr>
            <w:numPr>
              <w:numId w:val="3"/>
            </w:numPr>
            <w:tabs>
              <w:tab w:val="num" w:pos="567"/>
              <w:tab w:val="num" w:pos="720"/>
            </w:tabs>
            <w:suppressAutoHyphens/>
            <w:ind w:left="567" w:hanging="567"/>
          </w:pPr>
        </w:pPrChange>
      </w:pPr>
      <w:del w:id="13376" w:author="AbbVie02no" w:date="2025-05-15T14:19:00Z">
        <w:r w:rsidRPr="009C5EFD">
          <w:rPr>
            <w:sz w:val="22"/>
          </w:rPr>
          <w:delText>Enkelte</w:delText>
        </w:r>
        <w:r w:rsidRPr="009C5EFD">
          <w:rPr>
            <w:sz w:val="22"/>
            <w:szCs w:val="22"/>
          </w:rPr>
          <w:delText xml:space="preserve"> vaksiner </w:delText>
        </w:r>
        <w:r w:rsidRPr="009C5EFD">
          <w:rPr>
            <w:sz w:val="22"/>
          </w:rPr>
          <w:delText xml:space="preserve">kan forårsake infeksjoner og bør </w:delText>
        </w:r>
        <w:r w:rsidRPr="009C5EFD">
          <w:rPr>
            <w:sz w:val="22"/>
            <w:szCs w:val="22"/>
          </w:rPr>
          <w:delText xml:space="preserve">ikke </w:delText>
        </w:r>
        <w:r w:rsidRPr="009C5EFD">
          <w:rPr>
            <w:sz w:val="22"/>
          </w:rPr>
          <w:delText>tas</w:delText>
        </w:r>
        <w:r w:rsidRPr="009C5EFD">
          <w:rPr>
            <w:sz w:val="22"/>
            <w:szCs w:val="22"/>
          </w:rPr>
          <w:delText xml:space="preserve"> under behandling med Humira. </w:delText>
        </w:r>
        <w:r w:rsidRPr="009C5EFD">
          <w:rPr>
            <w:color w:val="000000"/>
            <w:sz w:val="22"/>
            <w:szCs w:val="22"/>
          </w:rPr>
          <w:delText xml:space="preserve">Spør </w:delText>
        </w:r>
        <w:r w:rsidRPr="009C5EFD">
          <w:rPr>
            <w:sz w:val="22"/>
            <w:szCs w:val="22"/>
          </w:rPr>
          <w:delText xml:space="preserve">legen før </w:delText>
        </w:r>
        <w:r w:rsidR="003D41B1" w:rsidRPr="009C5EFD">
          <w:rPr>
            <w:sz w:val="22"/>
            <w:szCs w:val="22"/>
          </w:rPr>
          <w:delText>ditt barn</w:delText>
        </w:r>
        <w:r w:rsidRPr="009C5EFD">
          <w:rPr>
            <w:sz w:val="22"/>
            <w:szCs w:val="22"/>
          </w:rPr>
          <w:delText xml:space="preserve"> </w:delText>
        </w:r>
        <w:r w:rsidR="002316CD">
          <w:rPr>
            <w:sz w:val="22"/>
            <w:szCs w:val="22"/>
          </w:rPr>
          <w:delText>får</w:delText>
        </w:r>
        <w:r w:rsidRPr="009C5EFD">
          <w:rPr>
            <w:sz w:val="22"/>
            <w:szCs w:val="22"/>
          </w:rPr>
          <w:delText xml:space="preserve"> vaksiner. Det anbefales at</w:delText>
        </w:r>
        <w:r w:rsidR="004B45DF" w:rsidRPr="009C5EFD">
          <w:rPr>
            <w:sz w:val="22"/>
            <w:szCs w:val="22"/>
          </w:rPr>
          <w:delText xml:space="preserve"> barn</w:delText>
        </w:r>
        <w:r w:rsidRPr="009C5EFD">
          <w:rPr>
            <w:sz w:val="22"/>
            <w:szCs w:val="22"/>
          </w:rPr>
          <w:delText>, hvis mulig, vaksineres fullstendig i tråd med gjeldende vaksinasjonsveiledninger før behandling med Humira startes.</w:delText>
        </w:r>
        <w:r w:rsidRPr="009C5EFD">
          <w:rPr>
            <w:sz w:val="22"/>
          </w:rPr>
          <w:delText xml:space="preserve"> Hvis du ble behandlet med Humira under graviditet, kan </w:delText>
        </w:r>
        <w:r w:rsidR="002D1270" w:rsidRPr="009C5EFD">
          <w:rPr>
            <w:sz w:val="22"/>
          </w:rPr>
          <w:delText>sped</w:delText>
        </w:r>
        <w:r w:rsidRPr="009C5EFD">
          <w:rPr>
            <w:sz w:val="22"/>
          </w:rPr>
          <w:delText xml:space="preserve">barnet ditt </w:delText>
        </w:r>
        <w:r w:rsidR="00BE25DB" w:rsidRPr="009C5EFD">
          <w:rPr>
            <w:sz w:val="22"/>
          </w:rPr>
          <w:delText xml:space="preserve">ha større risiko for å få en slik infeksjon inntil omtrent fem måneder etter siste dose </w:delText>
        </w:r>
        <w:r w:rsidR="007E32B8" w:rsidRPr="009C5EFD">
          <w:rPr>
            <w:sz w:val="22"/>
          </w:rPr>
          <w:delText xml:space="preserve">som </w:delText>
        </w:r>
        <w:r w:rsidR="00BE25DB" w:rsidRPr="009C5EFD">
          <w:rPr>
            <w:sz w:val="22"/>
          </w:rPr>
          <w:delText xml:space="preserve">du mottok under graviditeten. Det er viktig at du forteller ditt </w:delText>
        </w:r>
        <w:r w:rsidR="002D1270" w:rsidRPr="009C5EFD">
          <w:rPr>
            <w:sz w:val="22"/>
          </w:rPr>
          <w:delText>spedbarns leger og annet</w:delText>
        </w:r>
        <w:r w:rsidR="00BE25DB" w:rsidRPr="009C5EFD">
          <w:rPr>
            <w:sz w:val="22"/>
          </w:rPr>
          <w:delText xml:space="preserve"> helsepersonell at du brukte Humira under graviditet</w:delText>
        </w:r>
        <w:r w:rsidR="00845FBE" w:rsidRPr="009C5EFD">
          <w:rPr>
            <w:sz w:val="22"/>
          </w:rPr>
          <w:delText>en</w:delText>
        </w:r>
        <w:r w:rsidR="00BE25DB" w:rsidRPr="009C5EFD">
          <w:rPr>
            <w:sz w:val="22"/>
          </w:rPr>
          <w:delText>, slik at de kan vurdere når barnet ditt burde vaksineres.</w:delText>
        </w:r>
      </w:del>
    </w:p>
    <w:p w14:paraId="57FD45F0" w14:textId="40DD4733" w:rsidR="00DE3458" w:rsidRPr="009C5EFD" w:rsidRDefault="00E453CD">
      <w:pPr>
        <w:rPr>
          <w:del w:id="13377" w:author="AbbVie02no" w:date="2025-05-15T14:19:00Z"/>
          <w:sz w:val="22"/>
          <w:szCs w:val="22"/>
        </w:rPr>
        <w:pPrChange w:id="13378" w:author="AbbVie02no" w:date="2025-05-15T14:19:00Z">
          <w:pPr>
            <w:numPr>
              <w:numId w:val="3"/>
            </w:numPr>
            <w:tabs>
              <w:tab w:val="num" w:pos="567"/>
              <w:tab w:val="num" w:pos="720"/>
            </w:tabs>
            <w:suppressAutoHyphens/>
            <w:ind w:left="567" w:hanging="567"/>
          </w:pPr>
        </w:pPrChange>
      </w:pPr>
      <w:del w:id="13379" w:author="AbbVie02no" w:date="2025-05-15T14:19:00Z">
        <w:r w:rsidRPr="009C5EFD">
          <w:rPr>
            <w:sz w:val="22"/>
            <w:szCs w:val="22"/>
          </w:rPr>
          <w:delText xml:space="preserve">Dersom </w:delText>
        </w:r>
        <w:r w:rsidR="003D41B1" w:rsidRPr="009C5EFD">
          <w:rPr>
            <w:sz w:val="22"/>
            <w:szCs w:val="22"/>
          </w:rPr>
          <w:delText>ditt barn</w:delText>
        </w:r>
        <w:r w:rsidRPr="009C5EFD">
          <w:rPr>
            <w:sz w:val="22"/>
            <w:szCs w:val="22"/>
          </w:rPr>
          <w:delText xml:space="preserve"> har lett hjertesvikt og behandles med Humira skal </w:delText>
        </w:r>
        <w:r w:rsidR="003D41B1" w:rsidRPr="009C5EFD">
          <w:rPr>
            <w:sz w:val="22"/>
            <w:szCs w:val="22"/>
          </w:rPr>
          <w:delText>hans/hennes</w:delText>
        </w:r>
        <w:r w:rsidRPr="009C5EFD">
          <w:rPr>
            <w:sz w:val="22"/>
            <w:szCs w:val="22"/>
          </w:rPr>
          <w:delText xml:space="preserve"> hjertestatus overvåkes nøye av legen. Det er viktig at du orienterer legen om </w:delText>
        </w:r>
        <w:r w:rsidR="003D41B1" w:rsidRPr="009C5EFD">
          <w:rPr>
            <w:sz w:val="22"/>
            <w:szCs w:val="22"/>
          </w:rPr>
          <w:delText>ditt barn</w:delText>
        </w:r>
        <w:r w:rsidRPr="009C5EFD">
          <w:rPr>
            <w:sz w:val="22"/>
            <w:szCs w:val="22"/>
          </w:rPr>
          <w:delText xml:space="preserve"> har eller har hatt alvorlige hjertelidelser. Hvis </w:delText>
        </w:r>
        <w:r w:rsidR="003D41B1" w:rsidRPr="009C5EFD">
          <w:rPr>
            <w:sz w:val="22"/>
            <w:szCs w:val="22"/>
          </w:rPr>
          <w:delText>han/hun</w:delText>
        </w:r>
        <w:r w:rsidRPr="009C5EFD">
          <w:rPr>
            <w:sz w:val="22"/>
            <w:szCs w:val="22"/>
          </w:rPr>
          <w:delText xml:space="preserve"> utvikler nye eller forverrede symptomer på hjertesvikt (for eksempel tungpustethet, hovne føtter) skal du kontakte legen umiddelbart. Legen vil avgjøre om </w:delText>
        </w:r>
        <w:r w:rsidR="003D41B1" w:rsidRPr="009C5EFD">
          <w:rPr>
            <w:sz w:val="22"/>
            <w:szCs w:val="22"/>
          </w:rPr>
          <w:delText>ditt barn</w:delText>
        </w:r>
        <w:r w:rsidRPr="009C5EFD">
          <w:rPr>
            <w:sz w:val="22"/>
            <w:szCs w:val="22"/>
          </w:rPr>
          <w:delText xml:space="preserve"> skal fortsette med Humira.</w:delText>
        </w:r>
      </w:del>
    </w:p>
    <w:p w14:paraId="2A70FE93" w14:textId="6069338F" w:rsidR="00DE3458" w:rsidRPr="009C5EFD" w:rsidRDefault="00E453CD">
      <w:pPr>
        <w:rPr>
          <w:del w:id="13380" w:author="AbbVie02no" w:date="2025-05-15T14:19:00Z"/>
          <w:sz w:val="22"/>
          <w:szCs w:val="22"/>
        </w:rPr>
        <w:pPrChange w:id="13381" w:author="AbbVie02no" w:date="2025-05-15T14:19:00Z">
          <w:pPr>
            <w:numPr>
              <w:numId w:val="3"/>
            </w:numPr>
            <w:tabs>
              <w:tab w:val="num" w:pos="567"/>
              <w:tab w:val="num" w:pos="720"/>
            </w:tabs>
            <w:suppressAutoHyphens/>
            <w:ind w:left="567" w:hanging="567"/>
          </w:pPr>
        </w:pPrChange>
      </w:pPr>
      <w:del w:id="13382" w:author="AbbVie02no" w:date="2025-05-15T14:19:00Z">
        <w:r w:rsidRPr="009C5EFD">
          <w:rPr>
            <w:sz w:val="22"/>
            <w:szCs w:val="22"/>
          </w:rPr>
          <w:lastRenderedPageBreak/>
          <w:delText xml:space="preserve">Hos noen pasienter kan kroppen få problemer med å produsere nok av de blodlegemene som hjelper kroppen til å forhindre infeksjoner eller stoppe blødninger. Kontakt lege snarest hvis </w:delText>
        </w:r>
        <w:r w:rsidR="003D41B1" w:rsidRPr="009C5EFD">
          <w:rPr>
            <w:sz w:val="22"/>
            <w:szCs w:val="22"/>
          </w:rPr>
          <w:delText>ditt barn</w:delText>
        </w:r>
        <w:r w:rsidRPr="009C5EFD">
          <w:rPr>
            <w:sz w:val="22"/>
            <w:szCs w:val="22"/>
          </w:rPr>
          <w:delText xml:space="preserve"> får feber som ikke forsvinner, får blåmerker eller blør svært lett eller ser svært blek ut. Legen din kan bestemme at behandlingen må avbrytes.</w:delText>
        </w:r>
      </w:del>
    </w:p>
    <w:p w14:paraId="4BE326F1" w14:textId="0B0BD2AB" w:rsidR="00DE3458" w:rsidRPr="009C5EFD" w:rsidRDefault="00E453CD">
      <w:pPr>
        <w:rPr>
          <w:del w:id="13383" w:author="AbbVie02no" w:date="2025-05-15T14:19:00Z"/>
          <w:szCs w:val="22"/>
        </w:rPr>
        <w:pPrChange w:id="13384" w:author="AbbVie02no" w:date="2025-05-15T14:19:00Z">
          <w:pPr>
            <w:pStyle w:val="EMEABullet2"/>
          </w:pPr>
        </w:pPrChange>
      </w:pPr>
      <w:del w:id="13385" w:author="AbbVie02no" w:date="2025-05-15T14:19:00Z">
        <w:r w:rsidRPr="009C5EFD">
          <w:rPr>
            <w:szCs w:val="22"/>
          </w:rPr>
          <w:delText xml:space="preserve">Det har vært svært sjeldne tilfeller av visse typer kreft hos </w:delText>
        </w:r>
        <w:r w:rsidR="005F6129" w:rsidRPr="009C5EFD">
          <w:rPr>
            <w:szCs w:val="22"/>
          </w:rPr>
          <w:delText>barn og ungdom</w:delText>
        </w:r>
        <w:r w:rsidRPr="009C5EFD">
          <w:rPr>
            <w:szCs w:val="22"/>
          </w:rPr>
          <w:delText xml:space="preserve"> som får Humira eller andre TNF-blokkere. Personer med mer alvorlig revmatoid artritt som har hatt sykdommen i lang tid kan ha høyere risiko enn gjennomsnittet for å få lymfom </w:delText>
        </w:r>
        <w:r w:rsidR="005F6129" w:rsidRPr="009C5EFD">
          <w:rPr>
            <w:szCs w:val="22"/>
          </w:rPr>
          <w:delText>(</w:delText>
        </w:r>
        <w:r w:rsidRPr="009C5EFD">
          <w:rPr>
            <w:szCs w:val="22"/>
          </w:rPr>
          <w:delText>kreft som angriper lymfesystemet</w:delText>
        </w:r>
        <w:r w:rsidR="005F6129" w:rsidRPr="009C5EFD">
          <w:rPr>
            <w:szCs w:val="22"/>
          </w:rPr>
          <w:delText>) og leukemi (kreft som angriper blod og benmarg)</w:delText>
        </w:r>
        <w:r w:rsidRPr="009C5EFD">
          <w:rPr>
            <w:szCs w:val="22"/>
          </w:rPr>
          <w:delText xml:space="preserve">. Hvis </w:delText>
        </w:r>
        <w:r w:rsidR="003D41B1" w:rsidRPr="009C5EFD">
          <w:rPr>
            <w:szCs w:val="22"/>
          </w:rPr>
          <w:delText>ditt barn</w:delText>
        </w:r>
        <w:r w:rsidRPr="009C5EFD">
          <w:rPr>
            <w:szCs w:val="22"/>
          </w:rPr>
          <w:delText xml:space="preserve"> tar Humira</w:delText>
        </w:r>
        <w:r w:rsidR="00AF11AD" w:rsidRPr="009C5EFD">
          <w:rPr>
            <w:szCs w:val="22"/>
          </w:rPr>
          <w:delText>,</w:delText>
        </w:r>
        <w:r w:rsidRPr="009C5EFD">
          <w:rPr>
            <w:szCs w:val="22"/>
          </w:rPr>
          <w:delText xml:space="preserve"> kan risikoen </w:delText>
        </w:r>
        <w:r w:rsidR="005F6129" w:rsidRPr="009C5EFD">
          <w:rPr>
            <w:szCs w:val="22"/>
          </w:rPr>
          <w:delText xml:space="preserve">for å få lymfom, leukemi og andre typer kreft </w:delText>
        </w:r>
        <w:r w:rsidRPr="009C5EFD">
          <w:rPr>
            <w:szCs w:val="22"/>
          </w:rPr>
          <w:delText xml:space="preserve">øke. I sjeldne tilfeller har man observert en spesiell og alvorlig type lymfom hos pasienter som bruker Humira. Noen av disse pasientene ble også behandlet med azatioprin eller 6-merkaptopurin. </w:delText>
        </w:r>
        <w:r w:rsidR="00BE25DB" w:rsidRPr="009C5EFD">
          <w:delText>Fortell legen din dersom barnet ditt tar azatioprin eller 6-merkaptopurin sammen med Humira.</w:delText>
        </w:r>
        <w:r w:rsidRPr="009C5EFD">
          <w:delText xml:space="preserve"> </w:delText>
        </w:r>
        <w:r w:rsidRPr="009C5EFD">
          <w:rPr>
            <w:szCs w:val="22"/>
          </w:rPr>
          <w:delText xml:space="preserve">I tillegg </w:delText>
        </w:r>
        <w:r w:rsidR="00EE4EDF">
          <w:rPr>
            <w:szCs w:val="22"/>
          </w:rPr>
          <w:delText>ha</w:delText>
        </w:r>
        <w:r w:rsidRPr="009C5EFD">
          <w:rPr>
            <w:szCs w:val="22"/>
          </w:rPr>
          <w:delText xml:space="preserve">r tilfeller av ikke-melanom hudkreft </w:delText>
        </w:r>
        <w:r w:rsidR="00882AA7">
          <w:rPr>
            <w:szCs w:val="22"/>
          </w:rPr>
          <w:delText xml:space="preserve">blitt </w:delText>
        </w:r>
        <w:r w:rsidRPr="009C5EFD">
          <w:rPr>
            <w:szCs w:val="22"/>
          </w:rPr>
          <w:delText xml:space="preserve">sett hos pasienter som får Humira. Fortell legen din hvis nye hudlesjoner </w:delText>
        </w:r>
        <w:r w:rsidR="002316CD">
          <w:rPr>
            <w:szCs w:val="22"/>
          </w:rPr>
          <w:delText xml:space="preserve">(unormale forandringer på huden) </w:delText>
        </w:r>
        <w:r w:rsidRPr="009C5EFD">
          <w:rPr>
            <w:szCs w:val="22"/>
          </w:rPr>
          <w:delText>viser seg under eller etter behandling eller hvis eksisterende hudlesjoner forandrer seg.</w:delText>
        </w:r>
      </w:del>
    </w:p>
    <w:p w14:paraId="6459C7B6" w14:textId="01326051" w:rsidR="006D0D1D" w:rsidRDefault="00E453CD">
      <w:pPr>
        <w:rPr>
          <w:del w:id="13386" w:author="AbbVie02no" w:date="2025-05-15T14:19:00Z"/>
          <w:sz w:val="22"/>
          <w:szCs w:val="22"/>
        </w:rPr>
        <w:pPrChange w:id="13387" w:author="AbbVie02no" w:date="2025-05-15T14:19:00Z">
          <w:pPr>
            <w:numPr>
              <w:numId w:val="3"/>
            </w:numPr>
            <w:tabs>
              <w:tab w:val="num" w:pos="567"/>
              <w:tab w:val="num" w:pos="720"/>
            </w:tabs>
            <w:suppressAutoHyphens/>
            <w:ind w:left="567" w:hanging="567"/>
          </w:pPr>
        </w:pPrChange>
      </w:pPr>
      <w:del w:id="13388" w:author="AbbVie02no" w:date="2025-05-15T14:19:00Z">
        <w:r w:rsidRPr="009C5EFD">
          <w:rPr>
            <w:sz w:val="22"/>
            <w:szCs w:val="22"/>
          </w:rPr>
          <w:delText xml:space="preserve">Andre krefttyper enn lymfomer er sett hos pasienter som hadde en bestemt type lungesykdom kalt kronisk obstruktiv lungesykdom (KOLS) og som fikk behandling med andre TNF-blokkere. Dersom </w:delText>
        </w:r>
        <w:r w:rsidR="003D41B1" w:rsidRPr="009C5EFD">
          <w:rPr>
            <w:sz w:val="22"/>
            <w:szCs w:val="22"/>
          </w:rPr>
          <w:delText>ditt barn</w:delText>
        </w:r>
        <w:r w:rsidRPr="009C5EFD">
          <w:rPr>
            <w:sz w:val="22"/>
            <w:szCs w:val="22"/>
          </w:rPr>
          <w:delText xml:space="preserve"> har KOLS, eller er storrøyker, skal du snakke med lege</w:delText>
        </w:r>
        <w:r w:rsidR="003D41B1" w:rsidRPr="009C5EFD">
          <w:rPr>
            <w:sz w:val="22"/>
            <w:szCs w:val="22"/>
          </w:rPr>
          <w:delText>n</w:delText>
        </w:r>
        <w:r w:rsidRPr="009C5EFD">
          <w:rPr>
            <w:sz w:val="22"/>
            <w:szCs w:val="22"/>
          </w:rPr>
          <w:delText xml:space="preserve"> om behandling med en TNF-blokker passer for </w:delText>
        </w:r>
        <w:r w:rsidR="003D41B1" w:rsidRPr="009C5EFD">
          <w:rPr>
            <w:sz w:val="22"/>
            <w:szCs w:val="22"/>
          </w:rPr>
          <w:delText>ditt barn</w:delText>
        </w:r>
        <w:r w:rsidRPr="009C5EFD">
          <w:rPr>
            <w:sz w:val="22"/>
            <w:szCs w:val="22"/>
          </w:rPr>
          <w:delText>.</w:delText>
        </w:r>
      </w:del>
    </w:p>
    <w:p w14:paraId="634F7AFD" w14:textId="5B5DA9D4" w:rsidR="00714EE6" w:rsidRPr="009C5EFD" w:rsidRDefault="00E453CD">
      <w:pPr>
        <w:rPr>
          <w:del w:id="13389" w:author="AbbVie02no" w:date="2025-05-15T14:19:00Z"/>
          <w:sz w:val="22"/>
          <w:szCs w:val="22"/>
        </w:rPr>
        <w:pPrChange w:id="13390" w:author="AbbVie02no" w:date="2025-05-15T14:19:00Z">
          <w:pPr>
            <w:numPr>
              <w:numId w:val="3"/>
            </w:numPr>
            <w:tabs>
              <w:tab w:val="num" w:pos="567"/>
              <w:tab w:val="num" w:pos="720"/>
            </w:tabs>
            <w:suppressAutoHyphens/>
            <w:ind w:left="567" w:hanging="567"/>
          </w:pPr>
        </w:pPrChange>
      </w:pPr>
      <w:del w:id="13391" w:author="AbbVie02no" w:date="2025-05-15T14:19:00Z">
        <w:r w:rsidRPr="00DC73BE">
          <w:rPr>
            <w:sz w:val="22"/>
          </w:rPr>
          <w:delText>I sjeldne tilfeller kan behandling med Humira føre til et syndrom som ligner på lupus. Kontakt lege dersom symptomer som vedvarende uforklarlig utslett, feber, leddsmerter eller tretthet oppstår</w:delText>
        </w:r>
        <w:r w:rsidRPr="00DC73BE">
          <w:rPr>
            <w:sz w:val="22"/>
            <w:szCs w:val="22"/>
          </w:rPr>
          <w:delText>.</w:delText>
        </w:r>
      </w:del>
    </w:p>
    <w:p w14:paraId="7B2E2EFF" w14:textId="33491850" w:rsidR="007329ED" w:rsidRPr="009C5EFD" w:rsidRDefault="007329ED">
      <w:pPr>
        <w:rPr>
          <w:del w:id="13392" w:author="AbbVie02no" w:date="2025-05-15T14:19:00Z"/>
          <w:szCs w:val="22"/>
        </w:rPr>
        <w:pPrChange w:id="13393" w:author="AbbVie02no" w:date="2025-05-15T14:19:00Z">
          <w:pPr>
            <w:pStyle w:val="Heading3"/>
            <w:keepNext w:val="0"/>
            <w:suppressAutoHyphens/>
          </w:pPr>
        </w:pPrChange>
      </w:pPr>
    </w:p>
    <w:p w14:paraId="35CDECD7" w14:textId="427D2EF9" w:rsidR="00DE3458" w:rsidRPr="009C5EFD" w:rsidRDefault="00E453CD">
      <w:pPr>
        <w:rPr>
          <w:del w:id="13394" w:author="AbbVie02no" w:date="2025-05-15T14:19:00Z"/>
          <w:szCs w:val="22"/>
        </w:rPr>
        <w:pPrChange w:id="13395" w:author="AbbVie02no" w:date="2025-05-15T14:19:00Z">
          <w:pPr>
            <w:pStyle w:val="Heading3"/>
            <w:suppressAutoHyphens/>
          </w:pPr>
        </w:pPrChange>
      </w:pPr>
      <w:del w:id="13396" w:author="AbbVie02no" w:date="2025-05-15T14:19:00Z">
        <w:r w:rsidRPr="009C5EFD">
          <w:rPr>
            <w:szCs w:val="22"/>
          </w:rPr>
          <w:delText>Andre legemidler og Humira</w:delText>
        </w:r>
      </w:del>
    </w:p>
    <w:p w14:paraId="3803C5DA" w14:textId="577FEE3B" w:rsidR="00DE3458" w:rsidRPr="009C5EFD" w:rsidRDefault="00DE3458">
      <w:pPr>
        <w:rPr>
          <w:del w:id="13397" w:author="AbbVie02no" w:date="2025-05-15T14:19:00Z"/>
          <w:b/>
          <w:sz w:val="22"/>
          <w:szCs w:val="22"/>
        </w:rPr>
        <w:pPrChange w:id="13398" w:author="AbbVie02no" w:date="2025-05-15T14:19:00Z">
          <w:pPr>
            <w:keepNext/>
            <w:suppressAutoHyphens/>
          </w:pPr>
        </w:pPrChange>
      </w:pPr>
    </w:p>
    <w:p w14:paraId="03CA1C8F" w14:textId="5908AB56" w:rsidR="00906D09" w:rsidRPr="009C5EFD" w:rsidRDefault="00E453CD">
      <w:pPr>
        <w:rPr>
          <w:del w:id="13399" w:author="AbbVie02no" w:date="2025-05-15T14:19:00Z"/>
          <w:szCs w:val="22"/>
        </w:rPr>
        <w:pPrChange w:id="13400" w:author="AbbVie02no" w:date="2025-05-15T14:19:00Z">
          <w:pPr>
            <w:pStyle w:val="BodyText2"/>
            <w:suppressAutoHyphens/>
            <w:autoSpaceDE/>
            <w:autoSpaceDN/>
            <w:adjustRightInd/>
          </w:pPr>
        </w:pPrChange>
      </w:pPr>
      <w:del w:id="13401" w:author="AbbVie02no" w:date="2025-05-15T14:19:00Z">
        <w:r>
          <w:rPr>
            <w:szCs w:val="22"/>
          </w:rPr>
          <w:delText>Snakk med</w:delText>
        </w:r>
        <w:r w:rsidRPr="009C5EFD">
          <w:rPr>
            <w:szCs w:val="22"/>
          </w:rPr>
          <w:delText xml:space="preserve"> lege eller apotek dersom ditt barn bruker, nylig </w:delText>
        </w:r>
        <w:r w:rsidR="002547FB" w:rsidRPr="009C5EFD">
          <w:rPr>
            <w:szCs w:val="22"/>
          </w:rPr>
          <w:delText xml:space="preserve">har </w:delText>
        </w:r>
        <w:r w:rsidRPr="009C5EFD">
          <w:rPr>
            <w:szCs w:val="22"/>
          </w:rPr>
          <w:delText xml:space="preserve">brukt eller </w:delText>
        </w:r>
        <w:r w:rsidR="002547FB" w:rsidRPr="009C5EFD">
          <w:rPr>
            <w:szCs w:val="22"/>
          </w:rPr>
          <w:delText>planlegger</w:delText>
        </w:r>
        <w:r w:rsidRPr="009C5EFD">
          <w:rPr>
            <w:szCs w:val="22"/>
          </w:rPr>
          <w:delText xml:space="preserve"> å bruke andre legemidler.</w:delText>
        </w:r>
      </w:del>
    </w:p>
    <w:p w14:paraId="7BB63DB0" w14:textId="3CA1EA9E" w:rsidR="00906D09" w:rsidRPr="009C5EFD" w:rsidRDefault="00906D09">
      <w:pPr>
        <w:rPr>
          <w:del w:id="13402" w:author="AbbVie02no" w:date="2025-05-15T14:19:00Z"/>
          <w:szCs w:val="22"/>
        </w:rPr>
        <w:pPrChange w:id="13403" w:author="AbbVie02no" w:date="2025-05-15T14:19:00Z">
          <w:pPr>
            <w:pStyle w:val="BodyText2"/>
            <w:suppressAutoHyphens/>
            <w:autoSpaceDE/>
            <w:autoSpaceDN/>
            <w:adjustRightInd/>
          </w:pPr>
        </w:pPrChange>
      </w:pPr>
    </w:p>
    <w:p w14:paraId="19697B6E" w14:textId="2598D44C" w:rsidR="00DE3458" w:rsidRPr="009C5EFD" w:rsidRDefault="00E453CD">
      <w:pPr>
        <w:rPr>
          <w:del w:id="13404" w:author="AbbVie02no" w:date="2025-05-15T14:19:00Z"/>
          <w:szCs w:val="22"/>
        </w:rPr>
        <w:pPrChange w:id="13405" w:author="AbbVie02no" w:date="2025-05-15T14:19:00Z">
          <w:pPr>
            <w:pStyle w:val="BodyText2"/>
            <w:suppressAutoHyphens/>
            <w:autoSpaceDE/>
            <w:autoSpaceDN/>
            <w:adjustRightInd/>
          </w:pPr>
        </w:pPrChange>
      </w:pPr>
      <w:del w:id="13406" w:author="AbbVie02no" w:date="2025-05-15T14:19:00Z">
        <w:r w:rsidRPr="009C5EFD">
          <w:rPr>
            <w:szCs w:val="22"/>
          </w:rPr>
          <w:delText>Humira kan tas sammen med metotreksat eller visse sykdomsmodifiserende antirevmatiske midler (sulfasalasin, hydroksyklorokin, leflunomid samt gullpreparater til injeksjon), steroider eller smertestillende midler, deriblant ikke-steroide antiinflammatoriske midler (NSAID</w:delText>
        </w:r>
        <w:r w:rsidR="00B225C9" w:rsidRPr="009C5EFD">
          <w:rPr>
            <w:szCs w:val="22"/>
          </w:rPr>
          <w:delText>s</w:delText>
        </w:r>
        <w:r w:rsidRPr="009C5EFD">
          <w:rPr>
            <w:szCs w:val="22"/>
          </w:rPr>
          <w:delText>).</w:delText>
        </w:r>
      </w:del>
    </w:p>
    <w:p w14:paraId="7EB0F36A" w14:textId="73153442" w:rsidR="00DE3458" w:rsidRPr="009C5EFD" w:rsidRDefault="00DE3458">
      <w:pPr>
        <w:rPr>
          <w:del w:id="13407" w:author="AbbVie02no" w:date="2025-05-15T14:19:00Z"/>
          <w:sz w:val="22"/>
          <w:szCs w:val="22"/>
        </w:rPr>
        <w:pPrChange w:id="13408" w:author="AbbVie02no" w:date="2025-05-15T14:19:00Z">
          <w:pPr>
            <w:suppressAutoHyphens/>
          </w:pPr>
        </w:pPrChange>
      </w:pPr>
    </w:p>
    <w:p w14:paraId="65771C25" w14:textId="7466AC42" w:rsidR="00DE3458" w:rsidRPr="009C5EFD" w:rsidRDefault="00E453CD">
      <w:pPr>
        <w:rPr>
          <w:del w:id="13409" w:author="AbbVie02no" w:date="2025-05-15T14:19:00Z"/>
          <w:sz w:val="22"/>
          <w:szCs w:val="22"/>
        </w:rPr>
        <w:pPrChange w:id="13410" w:author="AbbVie02no" w:date="2025-05-15T14:19:00Z">
          <w:pPr>
            <w:suppressAutoHyphens/>
          </w:pPr>
        </w:pPrChange>
      </w:pPr>
      <w:del w:id="13411" w:author="AbbVie02no" w:date="2025-05-15T14:19:00Z">
        <w:r w:rsidRPr="009C5EFD">
          <w:rPr>
            <w:sz w:val="22"/>
            <w:szCs w:val="22"/>
          </w:rPr>
          <w:delText>Ditt barn må ikke ta Humira sammen med legemidler som inneholder virkestoffe</w:delText>
        </w:r>
        <w:r w:rsidR="002A2660">
          <w:rPr>
            <w:sz w:val="22"/>
            <w:szCs w:val="22"/>
          </w:rPr>
          <w:delText>ne</w:delText>
        </w:r>
        <w:r w:rsidRPr="009C5EFD">
          <w:rPr>
            <w:sz w:val="22"/>
            <w:szCs w:val="22"/>
          </w:rPr>
          <w:delText xml:space="preserve"> anakinra eller abatacept</w:delText>
        </w:r>
        <w:r w:rsidR="002A2660">
          <w:rPr>
            <w:sz w:val="22"/>
            <w:szCs w:val="22"/>
          </w:rPr>
          <w:delText xml:space="preserve"> på grunn av økt risiko for alvorlig infeksjon</w:delText>
        </w:r>
        <w:r w:rsidRPr="009C5EFD">
          <w:rPr>
            <w:sz w:val="22"/>
            <w:szCs w:val="22"/>
          </w:rPr>
          <w:delText>. Hvis du har spørsmål, kontakt legen din.</w:delText>
        </w:r>
      </w:del>
    </w:p>
    <w:p w14:paraId="257FB459" w14:textId="21EB5983" w:rsidR="00DE3458" w:rsidRPr="009C5EFD" w:rsidRDefault="00DE3458">
      <w:pPr>
        <w:rPr>
          <w:del w:id="13412" w:author="AbbVie02no" w:date="2025-05-15T14:19:00Z"/>
          <w:sz w:val="22"/>
          <w:szCs w:val="22"/>
        </w:rPr>
        <w:pPrChange w:id="13413" w:author="AbbVie02no" w:date="2025-05-15T14:19:00Z">
          <w:pPr>
            <w:suppressAutoHyphens/>
          </w:pPr>
        </w:pPrChange>
      </w:pPr>
    </w:p>
    <w:p w14:paraId="2F368C4E" w14:textId="07D8FE3D" w:rsidR="00DE3458" w:rsidRPr="00193D76" w:rsidRDefault="00E453CD">
      <w:pPr>
        <w:rPr>
          <w:del w:id="13414" w:author="AbbVie02no" w:date="2025-05-15T14:19:00Z"/>
          <w:b/>
          <w:sz w:val="22"/>
          <w:szCs w:val="22"/>
        </w:rPr>
        <w:pPrChange w:id="13415" w:author="AbbVie02no" w:date="2025-05-15T14:19:00Z">
          <w:pPr>
            <w:keepNext/>
          </w:pPr>
        </w:pPrChange>
      </w:pPr>
      <w:del w:id="13416" w:author="AbbVie02no" w:date="2025-05-15T14:19:00Z">
        <w:r w:rsidRPr="007F67EE">
          <w:rPr>
            <w:b/>
            <w:sz w:val="22"/>
            <w:szCs w:val="22"/>
          </w:rPr>
          <w:delText>Gra</w:delText>
        </w:r>
        <w:r w:rsidRPr="00193D76">
          <w:rPr>
            <w:b/>
            <w:sz w:val="22"/>
            <w:szCs w:val="22"/>
          </w:rPr>
          <w:delText>viditet og amming</w:delText>
        </w:r>
      </w:del>
    </w:p>
    <w:p w14:paraId="5AB15B3C" w14:textId="2A9E16D2" w:rsidR="00DE3458" w:rsidRPr="002D0790" w:rsidRDefault="00DE3458">
      <w:pPr>
        <w:rPr>
          <w:del w:id="13417" w:author="AbbVie02no" w:date="2025-05-15T14:19:00Z"/>
          <w:sz w:val="22"/>
          <w:szCs w:val="22"/>
        </w:rPr>
        <w:pPrChange w:id="13418" w:author="AbbVie02no" w:date="2025-05-15T14:19:00Z">
          <w:pPr>
            <w:keepNext/>
          </w:pPr>
        </w:pPrChange>
      </w:pPr>
    </w:p>
    <w:p w14:paraId="6105F0E6" w14:textId="55A7A005" w:rsidR="00DE3458" w:rsidRPr="00D35625" w:rsidRDefault="00E453CD">
      <w:pPr>
        <w:rPr>
          <w:del w:id="13419" w:author="AbbVie02no" w:date="2025-05-15T14:19:00Z"/>
          <w:sz w:val="22"/>
          <w:szCs w:val="22"/>
        </w:rPr>
        <w:pPrChange w:id="13420" w:author="AbbVie02no" w:date="2025-05-15T14:19:00Z">
          <w:pPr>
            <w:pStyle w:val="ListParagraph"/>
            <w:numPr>
              <w:numId w:val="148"/>
            </w:numPr>
            <w:suppressAutoHyphens/>
            <w:ind w:hanging="360"/>
          </w:pPr>
        </w:pPrChange>
      </w:pPr>
      <w:del w:id="13421" w:author="AbbVie02no" w:date="2025-05-15T14:19:00Z">
        <w:r>
          <w:rPr>
            <w:sz w:val="22"/>
            <w:szCs w:val="22"/>
          </w:rPr>
          <w:delText>B</w:delText>
        </w:r>
        <w:r w:rsidR="003D41B1" w:rsidRPr="00D35625">
          <w:rPr>
            <w:sz w:val="22"/>
            <w:szCs w:val="22"/>
          </w:rPr>
          <w:delText>arn</w:delText>
        </w:r>
        <w:r>
          <w:rPr>
            <w:sz w:val="22"/>
            <w:szCs w:val="22"/>
          </w:rPr>
          <w:delText>et ditt</w:delText>
        </w:r>
        <w:r w:rsidRPr="00D35625">
          <w:rPr>
            <w:sz w:val="22"/>
            <w:szCs w:val="22"/>
          </w:rPr>
          <w:delText xml:space="preserve"> </w:delText>
        </w:r>
        <w:r w:rsidR="00AA09C3" w:rsidRPr="00D35625">
          <w:rPr>
            <w:sz w:val="22"/>
            <w:szCs w:val="22"/>
          </w:rPr>
          <w:delText xml:space="preserve">bør vurdere å </w:delText>
        </w:r>
        <w:r w:rsidRPr="00D35625">
          <w:rPr>
            <w:sz w:val="22"/>
            <w:szCs w:val="22"/>
          </w:rPr>
          <w:delText xml:space="preserve">bruke </w:delText>
        </w:r>
        <w:r w:rsidR="002316CD" w:rsidRPr="00D35625">
          <w:rPr>
            <w:sz w:val="22"/>
            <w:szCs w:val="22"/>
          </w:rPr>
          <w:delText>sikker</w:delText>
        </w:r>
        <w:r w:rsidRPr="00D35625">
          <w:rPr>
            <w:sz w:val="22"/>
            <w:szCs w:val="22"/>
          </w:rPr>
          <w:delText xml:space="preserve"> prevensjon </w:delText>
        </w:r>
        <w:r w:rsidR="00AA09C3" w:rsidRPr="00D35625">
          <w:rPr>
            <w:sz w:val="22"/>
            <w:szCs w:val="22"/>
          </w:rPr>
          <w:delText xml:space="preserve">for å forhindre graviditet og fortsette bruken </w:delText>
        </w:r>
        <w:r w:rsidRPr="00D35625">
          <w:rPr>
            <w:sz w:val="22"/>
            <w:szCs w:val="22"/>
          </w:rPr>
          <w:delText>minst 5 måneder etter siste behandling med Humira</w:delText>
        </w:r>
      </w:del>
    </w:p>
    <w:p w14:paraId="3BF79B2B" w14:textId="37A2FC37" w:rsidR="00E70B94" w:rsidRDefault="00E453CD">
      <w:pPr>
        <w:rPr>
          <w:del w:id="13422" w:author="AbbVie02no" w:date="2025-05-15T14:19:00Z"/>
          <w:sz w:val="22"/>
          <w:szCs w:val="22"/>
        </w:rPr>
        <w:pPrChange w:id="13423" w:author="AbbVie02no" w:date="2025-05-15T14:19:00Z">
          <w:pPr>
            <w:pStyle w:val="ListParagraph"/>
            <w:numPr>
              <w:numId w:val="147"/>
            </w:numPr>
            <w:suppressAutoHyphens/>
            <w:ind w:hanging="360"/>
          </w:pPr>
        </w:pPrChange>
      </w:pPr>
      <w:del w:id="13424" w:author="AbbVie02no" w:date="2025-05-15T14:19:00Z">
        <w:r>
          <w:rPr>
            <w:sz w:val="22"/>
            <w:szCs w:val="22"/>
          </w:rPr>
          <w:delText>Snakk med</w:delText>
        </w:r>
        <w:r w:rsidRPr="00922A98">
          <w:rPr>
            <w:sz w:val="22"/>
            <w:szCs w:val="22"/>
          </w:rPr>
          <w:delText xml:space="preserve"> lege</w:delText>
        </w:r>
        <w:r>
          <w:rPr>
            <w:sz w:val="22"/>
            <w:szCs w:val="22"/>
          </w:rPr>
          <w:delText>n til barnet ditt</w:delText>
        </w:r>
        <w:r w:rsidRPr="00922A98">
          <w:rPr>
            <w:sz w:val="22"/>
            <w:szCs w:val="22"/>
          </w:rPr>
          <w:delText xml:space="preserve"> før </w:delText>
        </w:r>
        <w:r>
          <w:rPr>
            <w:sz w:val="22"/>
            <w:szCs w:val="22"/>
          </w:rPr>
          <w:delText>hun</w:delText>
        </w:r>
        <w:r w:rsidRPr="00922A98">
          <w:rPr>
            <w:sz w:val="22"/>
            <w:szCs w:val="22"/>
          </w:rPr>
          <w:delText xml:space="preserve"> tar det</w:delText>
        </w:r>
        <w:r>
          <w:rPr>
            <w:sz w:val="22"/>
            <w:szCs w:val="22"/>
          </w:rPr>
          <w:delText>te legemidlet dersom barnet ditt er gravid, tror at hun</w:delText>
        </w:r>
        <w:r w:rsidRPr="00922A98">
          <w:rPr>
            <w:sz w:val="22"/>
            <w:szCs w:val="22"/>
          </w:rPr>
          <w:delText xml:space="preserve"> kan være gravid</w:delText>
        </w:r>
        <w:r>
          <w:rPr>
            <w:sz w:val="22"/>
            <w:szCs w:val="22"/>
          </w:rPr>
          <w:delText xml:space="preserve"> eller planlegger å bli gravid.</w:delText>
        </w:r>
      </w:del>
    </w:p>
    <w:p w14:paraId="2508A4E1" w14:textId="1AD06617" w:rsidR="00E70B94" w:rsidRDefault="00E453CD">
      <w:pPr>
        <w:rPr>
          <w:del w:id="13425" w:author="AbbVie02no" w:date="2025-05-15T14:19:00Z"/>
          <w:sz w:val="22"/>
          <w:szCs w:val="22"/>
        </w:rPr>
        <w:pPrChange w:id="13426" w:author="AbbVie02no" w:date="2025-05-15T14:19:00Z">
          <w:pPr>
            <w:pStyle w:val="ListParagraph"/>
            <w:numPr>
              <w:numId w:val="147"/>
            </w:numPr>
            <w:suppressAutoHyphens/>
            <w:ind w:hanging="360"/>
          </w:pPr>
        </w:pPrChange>
      </w:pPr>
      <w:del w:id="13427" w:author="AbbVie02no" w:date="2025-05-15T14:19:00Z">
        <w:r>
          <w:rPr>
            <w:sz w:val="22"/>
            <w:szCs w:val="22"/>
          </w:rPr>
          <w:delText>Humira bør kun brukes under graviditet dersom det er nødvendig.</w:delText>
        </w:r>
      </w:del>
    </w:p>
    <w:p w14:paraId="57AA0090" w14:textId="47EC58B9" w:rsidR="00E70B94" w:rsidRDefault="00E453CD">
      <w:pPr>
        <w:rPr>
          <w:del w:id="13428" w:author="AbbVie02no" w:date="2025-05-15T14:19:00Z"/>
          <w:sz w:val="22"/>
          <w:szCs w:val="22"/>
        </w:rPr>
        <w:pPrChange w:id="13429" w:author="AbbVie02no" w:date="2025-05-15T14:19:00Z">
          <w:pPr>
            <w:pStyle w:val="ListParagraph"/>
            <w:numPr>
              <w:numId w:val="147"/>
            </w:numPr>
            <w:suppressAutoHyphens/>
            <w:ind w:hanging="360"/>
          </w:pPr>
        </w:pPrChange>
      </w:pPr>
      <w:del w:id="13430" w:author="AbbVie02no" w:date="2025-05-15T14:19:00Z">
        <w:r>
          <w:rPr>
            <w:sz w:val="22"/>
            <w:szCs w:val="22"/>
          </w:rPr>
          <w:delText xml:space="preserve">I henhold til en studie på gravide var det ingen større risiko for </w:delText>
        </w:r>
        <w:r w:rsidR="00CF2078">
          <w:rPr>
            <w:sz w:val="22"/>
            <w:szCs w:val="22"/>
          </w:rPr>
          <w:delText>fosterskader</w:delText>
        </w:r>
        <w:r>
          <w:rPr>
            <w:sz w:val="22"/>
            <w:szCs w:val="22"/>
          </w:rPr>
          <w:delText xml:space="preserve"> når moren hadde fått Humira under graviditet sammenlignet med mødre med den samme sykdommen som ikke hadde fått Humira.</w:delText>
        </w:r>
      </w:del>
    </w:p>
    <w:p w14:paraId="2FE47053" w14:textId="1E6EA2C8" w:rsidR="00E70B94" w:rsidRDefault="00E453CD">
      <w:pPr>
        <w:rPr>
          <w:del w:id="13431" w:author="AbbVie02no" w:date="2025-05-15T14:19:00Z"/>
          <w:sz w:val="22"/>
          <w:szCs w:val="22"/>
        </w:rPr>
        <w:pPrChange w:id="13432" w:author="AbbVie02no" w:date="2025-05-15T14:19:00Z">
          <w:pPr>
            <w:pStyle w:val="ListParagraph"/>
            <w:numPr>
              <w:numId w:val="147"/>
            </w:numPr>
            <w:suppressAutoHyphens/>
            <w:ind w:hanging="360"/>
          </w:pPr>
        </w:pPrChange>
      </w:pPr>
      <w:del w:id="13433" w:author="AbbVie02no" w:date="2025-05-15T14:19:00Z">
        <w:r>
          <w:rPr>
            <w:sz w:val="22"/>
            <w:szCs w:val="22"/>
          </w:rPr>
          <w:delText>Humira kan brukes under amming.</w:delText>
        </w:r>
      </w:del>
    </w:p>
    <w:p w14:paraId="69B5FC16" w14:textId="1842EA5B" w:rsidR="00D45BAA" w:rsidRDefault="00E453CD">
      <w:pPr>
        <w:rPr>
          <w:del w:id="13434" w:author="AbbVie02no" w:date="2025-05-15T14:19:00Z"/>
          <w:sz w:val="22"/>
        </w:rPr>
        <w:pPrChange w:id="13435" w:author="AbbVie02no" w:date="2025-05-15T14:19:00Z">
          <w:pPr>
            <w:pStyle w:val="ListParagraph"/>
            <w:numPr>
              <w:numId w:val="149"/>
            </w:numPr>
            <w:suppressAutoHyphens/>
            <w:ind w:hanging="360"/>
          </w:pPr>
        </w:pPrChange>
      </w:pPr>
      <w:del w:id="13436" w:author="AbbVie02no" w:date="2025-05-15T14:19:00Z">
        <w:r>
          <w:rPr>
            <w:sz w:val="22"/>
          </w:rPr>
          <w:delText>Dersom</w:delText>
        </w:r>
        <w:r w:rsidRPr="00D35625">
          <w:rPr>
            <w:sz w:val="22"/>
          </w:rPr>
          <w:delText xml:space="preserve"> </w:delText>
        </w:r>
        <w:r w:rsidR="00D9288D">
          <w:rPr>
            <w:sz w:val="22"/>
          </w:rPr>
          <w:delText>barnet ditt</w:delText>
        </w:r>
        <w:r w:rsidR="008743AA" w:rsidRPr="00D35625">
          <w:rPr>
            <w:sz w:val="22"/>
          </w:rPr>
          <w:delText xml:space="preserve"> bruk</w:delText>
        </w:r>
        <w:r w:rsidR="00782F21">
          <w:rPr>
            <w:sz w:val="22"/>
          </w:rPr>
          <w:delText>er</w:delText>
        </w:r>
        <w:r w:rsidR="008743AA" w:rsidRPr="00D35625">
          <w:rPr>
            <w:sz w:val="22"/>
          </w:rPr>
          <w:delText xml:space="preserve"> Humira under graviditet, kan </w:delText>
        </w:r>
        <w:r w:rsidR="002D1270" w:rsidRPr="00D35625">
          <w:rPr>
            <w:sz w:val="22"/>
          </w:rPr>
          <w:delText>sped</w:delText>
        </w:r>
        <w:r w:rsidR="008743AA" w:rsidRPr="00D35625">
          <w:rPr>
            <w:sz w:val="22"/>
          </w:rPr>
          <w:delText xml:space="preserve">barnet </w:delText>
        </w:r>
        <w:r w:rsidR="00D9288D">
          <w:rPr>
            <w:sz w:val="22"/>
          </w:rPr>
          <w:delText>hennes</w:delText>
        </w:r>
        <w:r w:rsidR="008743AA" w:rsidRPr="00D35625">
          <w:rPr>
            <w:sz w:val="22"/>
          </w:rPr>
          <w:delText xml:space="preserve"> ha høyere risiko for å få en infeksjon. </w:delText>
        </w:r>
      </w:del>
    </w:p>
    <w:p w14:paraId="0594D354" w14:textId="6F456B7C" w:rsidR="00DE3458" w:rsidRPr="00D35625" w:rsidRDefault="00E453CD">
      <w:pPr>
        <w:rPr>
          <w:del w:id="13437" w:author="AbbVie02no" w:date="2025-05-15T14:19:00Z"/>
          <w:sz w:val="22"/>
        </w:rPr>
        <w:pPrChange w:id="13438" w:author="AbbVie02no" w:date="2025-05-15T14:19:00Z">
          <w:pPr>
            <w:pStyle w:val="ListParagraph"/>
            <w:numPr>
              <w:numId w:val="149"/>
            </w:numPr>
            <w:suppressAutoHyphens/>
            <w:ind w:hanging="360"/>
          </w:pPr>
        </w:pPrChange>
      </w:pPr>
      <w:del w:id="13439" w:author="AbbVie02no" w:date="2025-05-15T14:19:00Z">
        <w:r w:rsidRPr="00D35625">
          <w:rPr>
            <w:sz w:val="22"/>
          </w:rPr>
          <w:delText xml:space="preserve">Det er viktig at du forteller </w:delText>
        </w:r>
        <w:r w:rsidR="00C22E21">
          <w:rPr>
            <w:sz w:val="22"/>
          </w:rPr>
          <w:delText xml:space="preserve">legen til spedbarnet </w:delText>
        </w:r>
        <w:r w:rsidRPr="00D35625">
          <w:rPr>
            <w:sz w:val="22"/>
          </w:rPr>
          <w:delText xml:space="preserve">og annet helsepersonell </w:delText>
        </w:r>
        <w:r w:rsidR="00900FF9">
          <w:rPr>
            <w:sz w:val="22"/>
          </w:rPr>
          <w:delText xml:space="preserve">om </w:delText>
        </w:r>
        <w:r w:rsidR="00B904B8">
          <w:rPr>
            <w:sz w:val="22"/>
          </w:rPr>
          <w:delText>ditt barns</w:delText>
        </w:r>
        <w:r w:rsidRPr="00D35625">
          <w:rPr>
            <w:sz w:val="22"/>
          </w:rPr>
          <w:delText xml:space="preserve"> bruk</w:delText>
        </w:r>
        <w:r w:rsidR="00900FF9">
          <w:rPr>
            <w:sz w:val="22"/>
          </w:rPr>
          <w:delText xml:space="preserve"> av</w:delText>
        </w:r>
        <w:r w:rsidRPr="00D35625">
          <w:rPr>
            <w:sz w:val="22"/>
          </w:rPr>
          <w:delText xml:space="preserve"> Humira under graviditet</w:delText>
        </w:r>
        <w:r w:rsidR="007E32B8" w:rsidRPr="00D35625">
          <w:rPr>
            <w:sz w:val="22"/>
          </w:rPr>
          <w:delText>en</w:delText>
        </w:r>
        <w:r w:rsidRPr="00D35625">
          <w:rPr>
            <w:sz w:val="22"/>
          </w:rPr>
          <w:delText xml:space="preserve"> før </w:delText>
        </w:r>
        <w:r w:rsidR="00C22E21">
          <w:rPr>
            <w:sz w:val="22"/>
          </w:rPr>
          <w:delText>sped</w:delText>
        </w:r>
        <w:r w:rsidRPr="00D35625">
          <w:rPr>
            <w:sz w:val="22"/>
          </w:rPr>
          <w:delText xml:space="preserve">barnet </w:delText>
        </w:r>
        <w:r w:rsidR="002D1270" w:rsidRPr="00D35625">
          <w:rPr>
            <w:sz w:val="22"/>
          </w:rPr>
          <w:delText>vaksineres.</w:delText>
        </w:r>
        <w:r w:rsidR="00375534">
          <w:rPr>
            <w:sz w:val="22"/>
          </w:rPr>
          <w:delText xml:space="preserve"> For mer </w:delText>
        </w:r>
        <w:r w:rsidR="00375534" w:rsidRPr="004849ED">
          <w:rPr>
            <w:sz w:val="22"/>
            <w:szCs w:val="22"/>
          </w:rPr>
          <w:delText>informasjon</w:delText>
        </w:r>
        <w:r w:rsidR="00375534">
          <w:rPr>
            <w:sz w:val="22"/>
            <w:szCs w:val="22"/>
          </w:rPr>
          <w:delText xml:space="preserve"> om vaksiner</w:delText>
        </w:r>
        <w:r w:rsidR="00375534" w:rsidRPr="004849ED">
          <w:rPr>
            <w:sz w:val="22"/>
            <w:szCs w:val="22"/>
          </w:rPr>
          <w:delText xml:space="preserve">, se </w:delText>
        </w:r>
        <w:r w:rsidR="00375534">
          <w:rPr>
            <w:sz w:val="22"/>
            <w:szCs w:val="22"/>
          </w:rPr>
          <w:delText>avsnittet «Advarsler og forsiktighetsregler</w:delText>
        </w:r>
        <w:r w:rsidR="00C22E21">
          <w:rPr>
            <w:sz w:val="22"/>
            <w:szCs w:val="22"/>
          </w:rPr>
          <w:delText>»</w:delText>
        </w:r>
        <w:r w:rsidR="00375534">
          <w:rPr>
            <w:sz w:val="22"/>
            <w:szCs w:val="22"/>
          </w:rPr>
          <w:delText>.</w:delText>
        </w:r>
      </w:del>
    </w:p>
    <w:p w14:paraId="397BF03E" w14:textId="55395B7C" w:rsidR="00DE3458" w:rsidRPr="009C5EFD" w:rsidRDefault="00DE3458">
      <w:pPr>
        <w:rPr>
          <w:del w:id="13440" w:author="AbbVie02no" w:date="2025-05-15T14:19:00Z"/>
          <w:sz w:val="22"/>
          <w:szCs w:val="22"/>
        </w:rPr>
        <w:pPrChange w:id="13441" w:author="AbbVie02no" w:date="2025-05-15T14:19:00Z">
          <w:pPr>
            <w:suppressAutoHyphens/>
          </w:pPr>
        </w:pPrChange>
      </w:pPr>
    </w:p>
    <w:p w14:paraId="62BC533D" w14:textId="48A0AE11" w:rsidR="00DE3458" w:rsidRPr="009C5EFD" w:rsidRDefault="00E453CD">
      <w:pPr>
        <w:rPr>
          <w:del w:id="13442" w:author="AbbVie02no" w:date="2025-05-15T14:19:00Z"/>
          <w:b/>
          <w:sz w:val="22"/>
          <w:szCs w:val="22"/>
        </w:rPr>
        <w:pPrChange w:id="13443" w:author="AbbVie02no" w:date="2025-05-15T14:19:00Z">
          <w:pPr>
            <w:keepNext/>
            <w:suppressAutoHyphens/>
          </w:pPr>
        </w:pPrChange>
      </w:pPr>
      <w:del w:id="13444" w:author="AbbVie02no" w:date="2025-05-15T14:19:00Z">
        <w:r w:rsidRPr="009C5EFD">
          <w:rPr>
            <w:b/>
            <w:sz w:val="22"/>
            <w:szCs w:val="22"/>
          </w:rPr>
          <w:delText>Kjøring og bruk av maskiner</w:delText>
        </w:r>
      </w:del>
    </w:p>
    <w:p w14:paraId="6DD22765" w14:textId="574294AC" w:rsidR="00DE3458" w:rsidRPr="009C5EFD" w:rsidRDefault="00DE3458">
      <w:pPr>
        <w:rPr>
          <w:del w:id="13445" w:author="AbbVie02no" w:date="2025-05-15T14:19:00Z"/>
          <w:b/>
          <w:sz w:val="22"/>
          <w:szCs w:val="22"/>
        </w:rPr>
        <w:pPrChange w:id="13446" w:author="AbbVie02no" w:date="2025-05-15T14:19:00Z">
          <w:pPr>
            <w:keepNext/>
            <w:suppressAutoHyphens/>
          </w:pPr>
        </w:pPrChange>
      </w:pPr>
    </w:p>
    <w:p w14:paraId="323E3E89" w14:textId="3F26326A" w:rsidR="00817C73" w:rsidRDefault="00E453CD">
      <w:pPr>
        <w:rPr>
          <w:del w:id="13447" w:author="AbbVie02no" w:date="2025-05-15T14:19:00Z"/>
          <w:sz w:val="22"/>
          <w:szCs w:val="22"/>
        </w:rPr>
        <w:pPrChange w:id="13448" w:author="AbbVie02no" w:date="2025-05-15T14:19:00Z">
          <w:pPr>
            <w:suppressAutoHyphens/>
          </w:pPr>
        </w:pPrChange>
      </w:pPr>
      <w:del w:id="13449" w:author="AbbVie02no" w:date="2025-05-15T14:19:00Z">
        <w:r w:rsidRPr="009C5EFD">
          <w:rPr>
            <w:sz w:val="22"/>
            <w:szCs w:val="22"/>
          </w:rPr>
          <w:delText xml:space="preserve">Humira kan ha en </w:delText>
        </w:r>
        <w:r w:rsidR="00626FDD" w:rsidRPr="009C5EFD">
          <w:rPr>
            <w:sz w:val="22"/>
            <w:szCs w:val="22"/>
          </w:rPr>
          <w:delText>liten på</w:delText>
        </w:r>
        <w:r w:rsidRPr="009C5EFD">
          <w:rPr>
            <w:sz w:val="22"/>
            <w:szCs w:val="22"/>
          </w:rPr>
          <w:delText>virkning på evnen til å kjøre bil</w:delText>
        </w:r>
        <w:r w:rsidR="00AF4FC3" w:rsidRPr="009C5EFD">
          <w:rPr>
            <w:sz w:val="22"/>
            <w:szCs w:val="22"/>
          </w:rPr>
          <w:delText>, sykkel</w:delText>
        </w:r>
        <w:r w:rsidRPr="009C5EFD">
          <w:rPr>
            <w:sz w:val="22"/>
            <w:szCs w:val="22"/>
          </w:rPr>
          <w:delText xml:space="preserve"> </w:delText>
        </w:r>
        <w:r w:rsidR="00AF4FC3" w:rsidRPr="009C5EFD">
          <w:rPr>
            <w:sz w:val="22"/>
            <w:szCs w:val="22"/>
          </w:rPr>
          <w:delText>eller</w:delText>
        </w:r>
        <w:r w:rsidR="004A62A3" w:rsidRPr="009C5EFD">
          <w:rPr>
            <w:sz w:val="22"/>
            <w:szCs w:val="22"/>
          </w:rPr>
          <w:delText xml:space="preserve"> </w:delText>
        </w:r>
        <w:r w:rsidRPr="009C5EFD">
          <w:rPr>
            <w:sz w:val="22"/>
            <w:szCs w:val="22"/>
          </w:rPr>
          <w:delText xml:space="preserve">bruke maskiner. Svimmelhet </w:delText>
        </w:r>
        <w:r w:rsidR="002A0187" w:rsidRPr="009C5EFD">
          <w:rPr>
            <w:sz w:val="22"/>
            <w:szCs w:val="22"/>
          </w:rPr>
          <w:delText>og</w:delText>
        </w:r>
        <w:r w:rsidRPr="009C5EFD">
          <w:rPr>
            <w:sz w:val="22"/>
            <w:szCs w:val="22"/>
          </w:rPr>
          <w:delText xml:space="preserve"> synsforstyrrelse kan oppstå etter </w:delText>
        </w:r>
        <w:r w:rsidR="00626FDD" w:rsidRPr="009C5EFD">
          <w:rPr>
            <w:sz w:val="22"/>
            <w:szCs w:val="22"/>
          </w:rPr>
          <w:delText xml:space="preserve">injeksjon </w:delText>
        </w:r>
        <w:r w:rsidRPr="009C5EFD">
          <w:rPr>
            <w:sz w:val="22"/>
            <w:szCs w:val="22"/>
          </w:rPr>
          <w:delText>av Humira.</w:delText>
        </w:r>
      </w:del>
    </w:p>
    <w:p w14:paraId="18F1D687" w14:textId="3768D6FD" w:rsidR="00E55E7C" w:rsidRDefault="00E55E7C">
      <w:pPr>
        <w:rPr>
          <w:del w:id="13450" w:author="AbbVie02no" w:date="2025-05-15T14:19:00Z"/>
          <w:sz w:val="22"/>
          <w:szCs w:val="22"/>
        </w:rPr>
        <w:pPrChange w:id="13451" w:author="AbbVie02no" w:date="2025-05-15T14:19:00Z">
          <w:pPr>
            <w:suppressAutoHyphens/>
          </w:pPr>
        </w:pPrChange>
      </w:pPr>
    </w:p>
    <w:p w14:paraId="10BFBAD5" w14:textId="1445522B" w:rsidR="00E55E7C" w:rsidRPr="00AF70AD" w:rsidRDefault="00E453CD">
      <w:pPr>
        <w:rPr>
          <w:del w:id="13452" w:author="AbbVie02no" w:date="2025-05-15T14:19:00Z"/>
          <w:b/>
          <w:sz w:val="22"/>
          <w:szCs w:val="22"/>
        </w:rPr>
        <w:pPrChange w:id="13453" w:author="AbbVie02no" w:date="2025-05-15T14:19:00Z">
          <w:pPr>
            <w:keepNext/>
            <w:suppressAutoHyphens/>
          </w:pPr>
        </w:pPrChange>
      </w:pPr>
      <w:del w:id="13454" w:author="AbbVie02no" w:date="2025-05-15T14:19:00Z">
        <w:r w:rsidRPr="00AF70AD">
          <w:rPr>
            <w:b/>
            <w:sz w:val="22"/>
            <w:szCs w:val="22"/>
          </w:rPr>
          <w:delText>Humira inneholder natrium</w:delText>
        </w:r>
      </w:del>
    </w:p>
    <w:p w14:paraId="266F434A" w14:textId="426E09C5" w:rsidR="00E55E7C" w:rsidRDefault="00E55E7C">
      <w:pPr>
        <w:rPr>
          <w:del w:id="13455" w:author="AbbVie02no" w:date="2025-05-15T14:19:00Z"/>
          <w:sz w:val="22"/>
          <w:szCs w:val="22"/>
        </w:rPr>
        <w:pPrChange w:id="13456" w:author="AbbVie02no" w:date="2025-05-15T14:19:00Z">
          <w:pPr>
            <w:keepNext/>
            <w:suppressAutoHyphens/>
          </w:pPr>
        </w:pPrChange>
      </w:pPr>
    </w:p>
    <w:p w14:paraId="1575336B" w14:textId="6B3E4520" w:rsidR="00E55E7C" w:rsidRPr="009C5EFD" w:rsidRDefault="00E453CD">
      <w:pPr>
        <w:rPr>
          <w:del w:id="13457" w:author="AbbVie02no" w:date="2025-05-15T14:19:00Z"/>
          <w:sz w:val="22"/>
          <w:szCs w:val="22"/>
        </w:rPr>
        <w:pPrChange w:id="13458" w:author="AbbVie02no" w:date="2025-05-15T14:19:00Z">
          <w:pPr>
            <w:suppressAutoHyphens/>
          </w:pPr>
        </w:pPrChange>
      </w:pPr>
      <w:del w:id="13459" w:author="AbbVie02no" w:date="2025-05-15T14:19:00Z">
        <w:r>
          <w:rPr>
            <w:sz w:val="22"/>
            <w:szCs w:val="22"/>
          </w:rPr>
          <w:delText>Dette legemidlet inneholder mindre enn 1</w:delText>
        </w:r>
        <w:r w:rsidR="00314F62">
          <w:rPr>
            <w:sz w:val="22"/>
            <w:szCs w:val="22"/>
          </w:rPr>
          <w:delText> </w:delText>
        </w:r>
        <w:r>
          <w:rPr>
            <w:sz w:val="22"/>
            <w:szCs w:val="22"/>
          </w:rPr>
          <w:delText xml:space="preserve">mmol natrium (23 mg) per 0,8 ml dose, dvs. </w:delText>
        </w:r>
        <w:r w:rsidR="00684DB9" w:rsidRPr="00684DB9">
          <w:rPr>
            <w:sz w:val="22"/>
            <w:szCs w:val="22"/>
          </w:rPr>
          <w:delText xml:space="preserve">så godt som </w:delText>
        </w:r>
        <w:r w:rsidR="00D57009">
          <w:rPr>
            <w:sz w:val="22"/>
            <w:szCs w:val="22"/>
          </w:rPr>
          <w:delText>«</w:delText>
        </w:r>
        <w:r w:rsidR="00684DB9" w:rsidRPr="00684DB9">
          <w:rPr>
            <w:sz w:val="22"/>
            <w:szCs w:val="22"/>
          </w:rPr>
          <w:delText>natriumfritt</w:delText>
        </w:r>
        <w:r w:rsidR="00D57009">
          <w:rPr>
            <w:sz w:val="22"/>
            <w:szCs w:val="22"/>
          </w:rPr>
          <w:delText>»</w:delText>
        </w:r>
        <w:r>
          <w:rPr>
            <w:sz w:val="22"/>
            <w:szCs w:val="22"/>
          </w:rPr>
          <w:delText>.</w:delText>
        </w:r>
      </w:del>
    </w:p>
    <w:p w14:paraId="4C4258ED" w14:textId="4EEEDD6D" w:rsidR="00710056" w:rsidRPr="009C5EFD" w:rsidRDefault="00710056">
      <w:pPr>
        <w:rPr>
          <w:del w:id="13460" w:author="AbbVie02no" w:date="2025-05-15T14:19:00Z"/>
          <w:sz w:val="22"/>
          <w:szCs w:val="22"/>
        </w:rPr>
        <w:pPrChange w:id="13461" w:author="AbbVie02no" w:date="2025-05-15T14:19:00Z">
          <w:pPr>
            <w:suppressAutoHyphens/>
          </w:pPr>
        </w:pPrChange>
      </w:pPr>
    </w:p>
    <w:p w14:paraId="285A59C3" w14:textId="3CB181BA" w:rsidR="00F95619" w:rsidRPr="009C5EFD" w:rsidRDefault="00F95619">
      <w:pPr>
        <w:rPr>
          <w:del w:id="13462" w:author="AbbVie02no" w:date="2025-05-15T14:19:00Z"/>
          <w:sz w:val="22"/>
          <w:szCs w:val="22"/>
        </w:rPr>
        <w:pPrChange w:id="13463" w:author="AbbVie02no" w:date="2025-05-15T14:19:00Z">
          <w:pPr>
            <w:suppressAutoHyphens/>
          </w:pPr>
        </w:pPrChange>
      </w:pPr>
    </w:p>
    <w:p w14:paraId="2D324344" w14:textId="10950F6F" w:rsidR="00DE3458" w:rsidRPr="009C5EFD" w:rsidRDefault="00E453CD">
      <w:pPr>
        <w:rPr>
          <w:del w:id="13464" w:author="AbbVie02no" w:date="2025-05-15T14:19:00Z"/>
          <w:sz w:val="22"/>
          <w:szCs w:val="22"/>
        </w:rPr>
        <w:pPrChange w:id="13465" w:author="AbbVie02no" w:date="2025-05-15T14:19:00Z">
          <w:pPr>
            <w:keepNext/>
            <w:suppressAutoHyphens/>
            <w:ind w:left="562" w:hanging="562"/>
          </w:pPr>
        </w:pPrChange>
      </w:pPr>
      <w:del w:id="13466" w:author="AbbVie02no" w:date="2025-05-15T14:19:00Z">
        <w:r w:rsidRPr="009C5EFD">
          <w:rPr>
            <w:b/>
            <w:sz w:val="22"/>
            <w:szCs w:val="22"/>
          </w:rPr>
          <w:delText>3.</w:delText>
        </w:r>
        <w:r w:rsidRPr="009C5EFD">
          <w:rPr>
            <w:b/>
            <w:sz w:val="22"/>
            <w:szCs w:val="22"/>
          </w:rPr>
          <w:tab/>
        </w:r>
        <w:r w:rsidR="00710056" w:rsidRPr="009C5EFD">
          <w:rPr>
            <w:b/>
            <w:sz w:val="22"/>
            <w:szCs w:val="22"/>
          </w:rPr>
          <w:delText>Hvordan du bruker Humira</w:delText>
        </w:r>
      </w:del>
    </w:p>
    <w:p w14:paraId="7C4B4EBB" w14:textId="417DC92D" w:rsidR="00DE3458" w:rsidRPr="009C5EFD" w:rsidRDefault="00DE3458">
      <w:pPr>
        <w:rPr>
          <w:del w:id="13467" w:author="AbbVie02no" w:date="2025-05-15T14:19:00Z"/>
          <w:sz w:val="22"/>
          <w:szCs w:val="22"/>
        </w:rPr>
        <w:pPrChange w:id="13468" w:author="AbbVie02no" w:date="2025-05-15T14:19:00Z">
          <w:pPr>
            <w:keepNext/>
          </w:pPr>
        </w:pPrChange>
      </w:pPr>
    </w:p>
    <w:p w14:paraId="701863A0" w14:textId="17D9121B" w:rsidR="00847A9A" w:rsidRDefault="00E453CD">
      <w:pPr>
        <w:rPr>
          <w:del w:id="13469" w:author="AbbVie02no" w:date="2025-05-15T14:19:00Z"/>
          <w:sz w:val="22"/>
          <w:szCs w:val="22"/>
        </w:rPr>
        <w:pPrChange w:id="13470" w:author="AbbVie02no" w:date="2025-05-15T14:19:00Z">
          <w:pPr>
            <w:suppressAutoHyphens/>
          </w:pPr>
        </w:pPrChange>
      </w:pPr>
      <w:del w:id="13471" w:author="AbbVie02no" w:date="2025-05-15T14:19:00Z">
        <w:r w:rsidRPr="009C5EFD">
          <w:rPr>
            <w:sz w:val="22"/>
            <w:szCs w:val="22"/>
          </w:rPr>
          <w:delText xml:space="preserve">Bruk alltid </w:delText>
        </w:r>
        <w:r w:rsidR="00710056" w:rsidRPr="009C5EFD">
          <w:rPr>
            <w:sz w:val="22"/>
            <w:szCs w:val="22"/>
          </w:rPr>
          <w:delText>dette legemidlet</w:delText>
        </w:r>
        <w:r w:rsidRPr="009C5EFD">
          <w:rPr>
            <w:sz w:val="22"/>
            <w:szCs w:val="22"/>
          </w:rPr>
          <w:delText xml:space="preserve"> </w:delText>
        </w:r>
        <w:r w:rsidR="00711651" w:rsidRPr="009C5EFD">
          <w:rPr>
            <w:sz w:val="22"/>
            <w:szCs w:val="22"/>
          </w:rPr>
          <w:delText xml:space="preserve">nøyaktig </w:delText>
        </w:r>
        <w:r w:rsidR="00710056" w:rsidRPr="009C5EFD">
          <w:rPr>
            <w:sz w:val="22"/>
            <w:szCs w:val="22"/>
          </w:rPr>
          <w:delText xml:space="preserve">slik </w:delText>
        </w:r>
        <w:r w:rsidR="00FB36DE" w:rsidRPr="009C5EFD">
          <w:rPr>
            <w:sz w:val="22"/>
            <w:szCs w:val="22"/>
          </w:rPr>
          <w:delText>ditt barns</w:delText>
        </w:r>
        <w:r w:rsidR="00710056" w:rsidRPr="009C5EFD">
          <w:rPr>
            <w:sz w:val="22"/>
            <w:szCs w:val="22"/>
          </w:rPr>
          <w:delText xml:space="preserve"> lege eller apotek har instruert</w:delText>
        </w:r>
        <w:r w:rsidRPr="009C5EFD">
          <w:rPr>
            <w:sz w:val="22"/>
            <w:szCs w:val="22"/>
          </w:rPr>
          <w:delText xml:space="preserve">. Kontakt </w:delText>
        </w:r>
        <w:r w:rsidR="00FB36DE" w:rsidRPr="009C5EFD">
          <w:rPr>
            <w:sz w:val="22"/>
            <w:szCs w:val="22"/>
          </w:rPr>
          <w:delText xml:space="preserve">ditt </w:delText>
        </w:r>
        <w:r w:rsidR="00710056" w:rsidRPr="009C5EFD">
          <w:rPr>
            <w:sz w:val="22"/>
            <w:szCs w:val="22"/>
          </w:rPr>
          <w:delText xml:space="preserve">barns </w:delText>
        </w:r>
        <w:r w:rsidRPr="009C5EFD">
          <w:rPr>
            <w:sz w:val="22"/>
            <w:szCs w:val="22"/>
          </w:rPr>
          <w:delText>lege eller apotek hvis du er usikker</w:delText>
        </w:r>
        <w:r w:rsidR="00C0380B" w:rsidRPr="009C5EFD">
          <w:rPr>
            <w:sz w:val="22"/>
            <w:szCs w:val="22"/>
          </w:rPr>
          <w:delText xml:space="preserve"> </w:delText>
        </w:r>
        <w:r w:rsidR="00710056" w:rsidRPr="009C5EFD">
          <w:rPr>
            <w:sz w:val="22"/>
            <w:szCs w:val="22"/>
          </w:rPr>
          <w:delText>på noen av instruksjonene</w:delText>
        </w:r>
        <w:r w:rsidR="00C0380B" w:rsidRPr="009C5EFD">
          <w:rPr>
            <w:sz w:val="22"/>
            <w:szCs w:val="22"/>
          </w:rPr>
          <w:delText xml:space="preserve"> eller hvis du </w:delText>
        </w:r>
        <w:r w:rsidR="00710056" w:rsidRPr="009C5EFD">
          <w:rPr>
            <w:sz w:val="22"/>
            <w:szCs w:val="22"/>
          </w:rPr>
          <w:delText>har spørsmål</w:delText>
        </w:r>
        <w:r w:rsidRPr="009C5EFD">
          <w:rPr>
            <w:sz w:val="22"/>
            <w:szCs w:val="22"/>
          </w:rPr>
          <w:delText>.</w:delText>
        </w:r>
      </w:del>
    </w:p>
    <w:p w14:paraId="72B2EF87" w14:textId="1A5F2638" w:rsidR="00DE3458" w:rsidRPr="009C5EFD" w:rsidRDefault="00E453CD">
      <w:pPr>
        <w:rPr>
          <w:del w:id="13472" w:author="AbbVie02no" w:date="2025-05-15T14:19:00Z"/>
          <w:sz w:val="22"/>
          <w:szCs w:val="22"/>
        </w:rPr>
        <w:pPrChange w:id="13473" w:author="AbbVie02no" w:date="2025-05-15T14:19:00Z">
          <w:pPr>
            <w:suppressAutoHyphens/>
          </w:pPr>
        </w:pPrChange>
      </w:pPr>
      <w:del w:id="13474" w:author="AbbVie02no" w:date="2025-05-15T14:19:00Z">
        <w:r w:rsidRPr="00E90360">
          <w:rPr>
            <w:sz w:val="22"/>
            <w:szCs w:val="22"/>
          </w:rPr>
          <w:delText>Legen din kan forskrive en annen styrke av Humira dersom barnet ditt trenger en annen dose.</w:delText>
        </w:r>
        <w:r w:rsidRPr="009C5EFD">
          <w:rPr>
            <w:sz w:val="22"/>
            <w:szCs w:val="22"/>
          </w:rPr>
          <w:delText xml:space="preserve"> </w:delText>
        </w:r>
      </w:del>
    </w:p>
    <w:p w14:paraId="559BF85D" w14:textId="4F49FD1F" w:rsidR="00DE3458" w:rsidRPr="009C5EFD" w:rsidRDefault="00DE3458">
      <w:pPr>
        <w:rPr>
          <w:del w:id="13475" w:author="AbbVie02no" w:date="2025-05-15T14:19:00Z"/>
          <w:sz w:val="22"/>
          <w:szCs w:val="22"/>
        </w:rPr>
        <w:pPrChange w:id="13476" w:author="AbbVie02no" w:date="2025-05-15T14:19:00Z">
          <w:pPr>
            <w:suppressAutoHyphens/>
          </w:pPr>
        </w:pPrChange>
      </w:pPr>
    </w:p>
    <w:p w14:paraId="5B93FE65" w14:textId="77C610E6" w:rsidR="0001470C" w:rsidRPr="009C5EFD" w:rsidRDefault="00E453CD">
      <w:pPr>
        <w:rPr>
          <w:del w:id="13477" w:author="AbbVie02no" w:date="2025-05-15T14:19:00Z"/>
          <w:sz w:val="22"/>
          <w:szCs w:val="22"/>
          <w:u w:val="single"/>
        </w:rPr>
        <w:pPrChange w:id="13478" w:author="AbbVie02no" w:date="2025-05-15T14:19:00Z">
          <w:pPr>
            <w:keepNext/>
            <w:suppressAutoHyphens/>
          </w:pPr>
        </w:pPrChange>
      </w:pPr>
      <w:del w:id="13479" w:author="AbbVie02no" w:date="2025-05-15T14:19:00Z">
        <w:r w:rsidRPr="009C5EFD">
          <w:rPr>
            <w:sz w:val="22"/>
            <w:szCs w:val="22"/>
            <w:u w:val="single"/>
          </w:rPr>
          <w:delText xml:space="preserve">Barn </w:delText>
        </w:r>
        <w:r w:rsidR="00847A9A">
          <w:rPr>
            <w:sz w:val="22"/>
            <w:szCs w:val="22"/>
            <w:u w:val="single"/>
          </w:rPr>
          <w:delText xml:space="preserve">og ungdom </w:delText>
        </w:r>
        <w:r w:rsidRPr="009C5EFD">
          <w:rPr>
            <w:sz w:val="22"/>
            <w:szCs w:val="22"/>
            <w:u w:val="single"/>
          </w:rPr>
          <w:delText>med polyartikulær juvenil idiopatisk artritt</w:delText>
        </w:r>
      </w:del>
    </w:p>
    <w:p w14:paraId="57935722" w14:textId="04833853" w:rsidR="00C0380B" w:rsidRPr="009C5EFD" w:rsidRDefault="00C0380B">
      <w:pPr>
        <w:rPr>
          <w:del w:id="13480" w:author="AbbVie02no" w:date="2025-05-15T14:19:00Z"/>
          <w:sz w:val="22"/>
          <w:szCs w:val="22"/>
        </w:rPr>
        <w:pPrChange w:id="13481" w:author="AbbVie02no" w:date="2025-05-15T14:19:00Z">
          <w:pPr>
            <w:keepNext/>
            <w:suppressAutoHyphens/>
          </w:pPr>
        </w:pPrChange>
      </w:pPr>
    </w:p>
    <w:p w14:paraId="4A82A983" w14:textId="11FCA147" w:rsidR="00847A9A" w:rsidRPr="00AB7697" w:rsidRDefault="00E453CD">
      <w:pPr>
        <w:rPr>
          <w:del w:id="13482" w:author="AbbVie02no" w:date="2025-05-15T14:19:00Z"/>
          <w:i/>
          <w:sz w:val="22"/>
          <w:szCs w:val="22"/>
        </w:rPr>
        <w:pPrChange w:id="13483" w:author="AbbVie02no" w:date="2025-05-15T14:19:00Z">
          <w:pPr>
            <w:keepNext/>
            <w:suppressAutoHyphens/>
          </w:pPr>
        </w:pPrChange>
      </w:pPr>
      <w:del w:id="13484" w:author="AbbVie02no" w:date="2025-05-15T14:19:00Z">
        <w:r w:rsidRPr="00AB7697">
          <w:rPr>
            <w:i/>
            <w:sz w:val="22"/>
            <w:szCs w:val="22"/>
          </w:rPr>
          <w:delText xml:space="preserve">Barn og ungdom </w:delText>
        </w:r>
        <w:r w:rsidR="00D77CAF">
          <w:rPr>
            <w:i/>
            <w:sz w:val="22"/>
            <w:szCs w:val="22"/>
          </w:rPr>
          <w:delText>over</w:delText>
        </w:r>
        <w:r w:rsidRPr="00AB7697">
          <w:rPr>
            <w:i/>
            <w:sz w:val="22"/>
            <w:szCs w:val="22"/>
          </w:rPr>
          <w:delText xml:space="preserve"> 2 år som veier 10 kg </w:delText>
        </w:r>
        <w:r w:rsidR="00F93B6E">
          <w:rPr>
            <w:i/>
            <w:sz w:val="22"/>
            <w:szCs w:val="22"/>
          </w:rPr>
          <w:delText>til</w:delText>
        </w:r>
        <w:r w:rsidRPr="00AB7697">
          <w:rPr>
            <w:i/>
            <w:sz w:val="22"/>
            <w:szCs w:val="22"/>
          </w:rPr>
          <w:delText xml:space="preserve"> </w:delText>
        </w:r>
        <w:r w:rsidR="00684DB9">
          <w:rPr>
            <w:i/>
            <w:sz w:val="22"/>
            <w:szCs w:val="22"/>
          </w:rPr>
          <w:delText>under</w:delText>
        </w:r>
        <w:r w:rsidRPr="00AB7697">
          <w:rPr>
            <w:i/>
            <w:sz w:val="22"/>
            <w:szCs w:val="22"/>
          </w:rPr>
          <w:delText xml:space="preserve"> 30 kg</w:delText>
        </w:r>
      </w:del>
    </w:p>
    <w:p w14:paraId="11ADF197" w14:textId="23C3D94A" w:rsidR="00847A9A" w:rsidRPr="00AB7697" w:rsidRDefault="00847A9A">
      <w:pPr>
        <w:rPr>
          <w:del w:id="13485" w:author="AbbVie02no" w:date="2025-05-15T14:19:00Z"/>
          <w:sz w:val="22"/>
          <w:szCs w:val="22"/>
          <w:u w:val="single"/>
        </w:rPr>
        <w:pPrChange w:id="13486" w:author="AbbVie02no" w:date="2025-05-15T14:19:00Z">
          <w:pPr>
            <w:keepNext/>
            <w:suppressAutoHyphens/>
          </w:pPr>
        </w:pPrChange>
      </w:pPr>
    </w:p>
    <w:p w14:paraId="5919F004" w14:textId="7CD4BBC0" w:rsidR="00847A9A" w:rsidRPr="00AB7697" w:rsidRDefault="00E453CD">
      <w:pPr>
        <w:rPr>
          <w:del w:id="13487" w:author="AbbVie02no" w:date="2025-05-15T14:19:00Z"/>
          <w:sz w:val="22"/>
          <w:szCs w:val="22"/>
          <w:u w:val="single"/>
        </w:rPr>
        <w:pPrChange w:id="13488" w:author="AbbVie02no" w:date="2025-05-15T14:19:00Z">
          <w:pPr>
            <w:suppressAutoHyphens/>
          </w:pPr>
        </w:pPrChange>
      </w:pPr>
      <w:del w:id="13489" w:author="AbbVie02no" w:date="2025-05-15T14:19:00Z">
        <w:r w:rsidRPr="00AB7697">
          <w:rPr>
            <w:sz w:val="22"/>
            <w:szCs w:val="22"/>
          </w:rPr>
          <w:delText xml:space="preserve">Anbefalt dose med Humira er 20 mg </w:delText>
        </w:r>
        <w:r>
          <w:rPr>
            <w:sz w:val="22"/>
            <w:szCs w:val="22"/>
          </w:rPr>
          <w:delText>annenhver uke</w:delText>
        </w:r>
        <w:r w:rsidRPr="00AB7697">
          <w:rPr>
            <w:sz w:val="22"/>
            <w:szCs w:val="22"/>
          </w:rPr>
          <w:delText>.</w:delText>
        </w:r>
      </w:del>
    </w:p>
    <w:p w14:paraId="5319B234" w14:textId="0833A79E" w:rsidR="00847A9A" w:rsidRPr="00AB7697" w:rsidRDefault="00847A9A">
      <w:pPr>
        <w:rPr>
          <w:del w:id="13490" w:author="AbbVie02no" w:date="2025-05-15T14:19:00Z"/>
          <w:sz w:val="22"/>
          <w:szCs w:val="22"/>
          <w:u w:val="single"/>
        </w:rPr>
        <w:pPrChange w:id="13491" w:author="AbbVie02no" w:date="2025-05-15T14:19:00Z">
          <w:pPr>
            <w:suppressAutoHyphens/>
          </w:pPr>
        </w:pPrChange>
      </w:pPr>
    </w:p>
    <w:p w14:paraId="1BD64C2F" w14:textId="0F7BFCEC" w:rsidR="00847A9A" w:rsidRPr="00AB7697" w:rsidRDefault="00E453CD">
      <w:pPr>
        <w:rPr>
          <w:del w:id="13492" w:author="AbbVie02no" w:date="2025-05-15T14:19:00Z"/>
          <w:i/>
          <w:sz w:val="22"/>
          <w:szCs w:val="22"/>
        </w:rPr>
        <w:pPrChange w:id="13493" w:author="AbbVie02no" w:date="2025-05-15T14:19:00Z">
          <w:pPr>
            <w:keepNext/>
            <w:suppressAutoHyphens/>
          </w:pPr>
        </w:pPrChange>
      </w:pPr>
      <w:del w:id="13494" w:author="AbbVie02no" w:date="2025-05-15T14:19:00Z">
        <w:r w:rsidRPr="00AB7697">
          <w:rPr>
            <w:i/>
            <w:sz w:val="22"/>
            <w:szCs w:val="22"/>
          </w:rPr>
          <w:delText xml:space="preserve">Barn og ungdom </w:delText>
        </w:r>
        <w:r w:rsidR="00D77CAF">
          <w:rPr>
            <w:i/>
            <w:sz w:val="22"/>
            <w:szCs w:val="22"/>
          </w:rPr>
          <w:delText>over</w:delText>
        </w:r>
        <w:r w:rsidRPr="00AB7697">
          <w:rPr>
            <w:i/>
            <w:sz w:val="22"/>
            <w:szCs w:val="22"/>
          </w:rPr>
          <w:delText xml:space="preserve"> 2 år som veier 30 kg </w:delText>
        </w:r>
        <w:r>
          <w:rPr>
            <w:i/>
            <w:sz w:val="22"/>
            <w:szCs w:val="22"/>
          </w:rPr>
          <w:delText>eller mer</w:delText>
        </w:r>
      </w:del>
    </w:p>
    <w:p w14:paraId="07357202" w14:textId="22A29B7E" w:rsidR="00847A9A" w:rsidRPr="00AB7697" w:rsidRDefault="00847A9A">
      <w:pPr>
        <w:rPr>
          <w:del w:id="13495" w:author="AbbVie02no" w:date="2025-05-15T14:19:00Z"/>
          <w:i/>
          <w:sz w:val="22"/>
          <w:szCs w:val="22"/>
        </w:rPr>
        <w:pPrChange w:id="13496" w:author="AbbVie02no" w:date="2025-05-15T14:19:00Z">
          <w:pPr>
            <w:keepNext/>
            <w:suppressAutoHyphens/>
          </w:pPr>
        </w:pPrChange>
      </w:pPr>
    </w:p>
    <w:p w14:paraId="28635C6B" w14:textId="08B08603" w:rsidR="0001470C" w:rsidRPr="009C5EFD" w:rsidRDefault="00E453CD">
      <w:pPr>
        <w:rPr>
          <w:del w:id="13497" w:author="AbbVie02no" w:date="2025-05-15T14:19:00Z"/>
          <w:sz w:val="22"/>
          <w:szCs w:val="22"/>
        </w:rPr>
        <w:pPrChange w:id="13498" w:author="AbbVie02no" w:date="2025-05-15T14:19:00Z">
          <w:pPr>
            <w:suppressAutoHyphens/>
          </w:pPr>
        </w:pPrChange>
      </w:pPr>
      <w:del w:id="13499" w:author="AbbVie02no" w:date="2025-05-15T14:19:00Z">
        <w:r w:rsidRPr="009C5EFD">
          <w:rPr>
            <w:sz w:val="22"/>
            <w:szCs w:val="22"/>
          </w:rPr>
          <w:delText>Anbefalt dose med Humira er 40 mg annenhver uke.</w:delText>
        </w:r>
      </w:del>
    </w:p>
    <w:p w14:paraId="06DD365D" w14:textId="7711D17E" w:rsidR="00AD38D6" w:rsidRPr="009C5EFD" w:rsidRDefault="00AD38D6">
      <w:pPr>
        <w:rPr>
          <w:del w:id="13500" w:author="AbbVie02no" w:date="2025-05-15T14:19:00Z"/>
          <w:sz w:val="22"/>
          <w:szCs w:val="22"/>
        </w:rPr>
        <w:pPrChange w:id="13501" w:author="AbbVie02no" w:date="2025-05-15T14:19:00Z">
          <w:pPr>
            <w:suppressAutoHyphens/>
          </w:pPr>
        </w:pPrChange>
      </w:pPr>
    </w:p>
    <w:p w14:paraId="6F7B37D1" w14:textId="538D274D" w:rsidR="00AD38D6" w:rsidRPr="009C5EFD" w:rsidRDefault="00E453CD">
      <w:pPr>
        <w:rPr>
          <w:del w:id="13502" w:author="AbbVie02no" w:date="2025-05-15T14:19:00Z"/>
          <w:sz w:val="22"/>
          <w:szCs w:val="22"/>
          <w:u w:val="single"/>
        </w:rPr>
        <w:pPrChange w:id="13503" w:author="AbbVie02no" w:date="2025-05-15T14:19:00Z">
          <w:pPr>
            <w:keepNext/>
            <w:suppressAutoHyphens/>
          </w:pPr>
        </w:pPrChange>
      </w:pPr>
      <w:del w:id="13504" w:author="AbbVie02no" w:date="2025-05-15T14:19:00Z">
        <w:r w:rsidRPr="009C5EFD">
          <w:rPr>
            <w:sz w:val="22"/>
            <w:szCs w:val="22"/>
            <w:u w:val="single"/>
          </w:rPr>
          <w:delText>Barn</w:delText>
        </w:r>
        <w:r w:rsidR="00F93B6E">
          <w:rPr>
            <w:sz w:val="22"/>
            <w:szCs w:val="22"/>
            <w:u w:val="single"/>
          </w:rPr>
          <w:delText>, ungdom og voksne</w:delText>
        </w:r>
        <w:r w:rsidRPr="009C5EFD">
          <w:rPr>
            <w:sz w:val="22"/>
            <w:szCs w:val="22"/>
            <w:u w:val="single"/>
          </w:rPr>
          <w:delText xml:space="preserve"> med entesittrelatert artritt</w:delText>
        </w:r>
      </w:del>
    </w:p>
    <w:p w14:paraId="6519494E" w14:textId="6929A07E" w:rsidR="00AD38D6" w:rsidRPr="009C5EFD" w:rsidRDefault="00AD38D6">
      <w:pPr>
        <w:rPr>
          <w:del w:id="13505" w:author="AbbVie02no" w:date="2025-05-15T14:19:00Z"/>
          <w:sz w:val="22"/>
          <w:szCs w:val="22"/>
        </w:rPr>
        <w:pPrChange w:id="13506" w:author="AbbVie02no" w:date="2025-05-15T14:19:00Z">
          <w:pPr>
            <w:keepNext/>
            <w:suppressAutoHyphens/>
          </w:pPr>
        </w:pPrChange>
      </w:pPr>
    </w:p>
    <w:p w14:paraId="161E2342" w14:textId="21686F37" w:rsidR="00F93B6E" w:rsidRPr="00AB7697" w:rsidRDefault="00E453CD">
      <w:pPr>
        <w:rPr>
          <w:del w:id="13507" w:author="AbbVie02no" w:date="2025-05-15T14:19:00Z"/>
          <w:i/>
          <w:sz w:val="22"/>
        </w:rPr>
        <w:pPrChange w:id="13508" w:author="AbbVie02no" w:date="2025-05-15T14:19:00Z">
          <w:pPr>
            <w:keepNext/>
            <w:numPr>
              <w:ilvl w:val="12"/>
            </w:numPr>
            <w:tabs>
              <w:tab w:val="left" w:pos="720"/>
            </w:tabs>
            <w:suppressAutoHyphens/>
          </w:pPr>
        </w:pPrChange>
      </w:pPr>
      <w:del w:id="13509" w:author="AbbVie02no" w:date="2025-05-15T14:19:00Z">
        <w:r w:rsidRPr="00AB7697">
          <w:rPr>
            <w:i/>
            <w:sz w:val="22"/>
          </w:rPr>
          <w:delText xml:space="preserve">Barn og ungdom </w:delText>
        </w:r>
        <w:r w:rsidR="00CD128C">
          <w:rPr>
            <w:i/>
            <w:sz w:val="22"/>
          </w:rPr>
          <w:delText>over</w:delText>
        </w:r>
        <w:r w:rsidRPr="00AB7697">
          <w:rPr>
            <w:i/>
            <w:sz w:val="22"/>
          </w:rPr>
          <w:delText xml:space="preserve"> 6 år som veier 15 kg til </w:delText>
        </w:r>
        <w:r w:rsidR="00684DB9">
          <w:rPr>
            <w:i/>
            <w:sz w:val="22"/>
          </w:rPr>
          <w:delText>under</w:delText>
        </w:r>
        <w:r w:rsidRPr="00AB7697">
          <w:rPr>
            <w:i/>
            <w:sz w:val="22"/>
          </w:rPr>
          <w:delText xml:space="preserve"> 30 kg</w:delText>
        </w:r>
      </w:del>
    </w:p>
    <w:p w14:paraId="1D3B605D" w14:textId="3E7F55B1" w:rsidR="00F93B6E" w:rsidRPr="00AB7697" w:rsidRDefault="00F93B6E">
      <w:pPr>
        <w:rPr>
          <w:del w:id="13510" w:author="AbbVie02no" w:date="2025-05-15T14:19:00Z"/>
          <w:sz w:val="22"/>
          <w:u w:val="single"/>
        </w:rPr>
        <w:pPrChange w:id="13511" w:author="AbbVie02no" w:date="2025-05-15T14:19:00Z">
          <w:pPr>
            <w:keepNext/>
            <w:numPr>
              <w:ilvl w:val="12"/>
            </w:numPr>
            <w:tabs>
              <w:tab w:val="left" w:pos="720"/>
            </w:tabs>
            <w:suppressAutoHyphens/>
          </w:pPr>
        </w:pPrChange>
      </w:pPr>
    </w:p>
    <w:p w14:paraId="09EC8AE8" w14:textId="1067C417" w:rsidR="00F93B6E" w:rsidRPr="00AB7697" w:rsidRDefault="00E453CD">
      <w:pPr>
        <w:rPr>
          <w:del w:id="13512" w:author="AbbVie02no" w:date="2025-05-15T14:19:00Z"/>
          <w:sz w:val="22"/>
          <w:u w:val="single"/>
        </w:rPr>
        <w:pPrChange w:id="13513" w:author="AbbVie02no" w:date="2025-05-15T14:19:00Z">
          <w:pPr>
            <w:numPr>
              <w:ilvl w:val="12"/>
            </w:numPr>
            <w:tabs>
              <w:tab w:val="left" w:pos="720"/>
            </w:tabs>
            <w:suppressAutoHyphens/>
          </w:pPr>
        </w:pPrChange>
      </w:pPr>
      <w:del w:id="13514" w:author="AbbVie02no" w:date="2025-05-15T14:19:00Z">
        <w:r w:rsidRPr="00D22D58">
          <w:rPr>
            <w:sz w:val="22"/>
            <w:szCs w:val="22"/>
          </w:rPr>
          <w:delText xml:space="preserve">Anbefalt dose med Humira er 20 mg </w:delText>
        </w:r>
        <w:r>
          <w:rPr>
            <w:sz w:val="22"/>
            <w:szCs w:val="22"/>
          </w:rPr>
          <w:delText>annenhver uke</w:delText>
        </w:r>
        <w:r w:rsidRPr="00D22D58">
          <w:rPr>
            <w:sz w:val="22"/>
            <w:szCs w:val="22"/>
          </w:rPr>
          <w:delText>.</w:delText>
        </w:r>
      </w:del>
    </w:p>
    <w:p w14:paraId="5299A5D2" w14:textId="77DA5DCD" w:rsidR="00F93B6E" w:rsidRPr="00AB7697" w:rsidRDefault="00F93B6E">
      <w:pPr>
        <w:rPr>
          <w:del w:id="13515" w:author="AbbVie02no" w:date="2025-05-15T14:19:00Z"/>
          <w:sz w:val="22"/>
          <w:u w:val="single"/>
        </w:rPr>
        <w:pPrChange w:id="13516" w:author="AbbVie02no" w:date="2025-05-15T14:19:00Z">
          <w:pPr>
            <w:numPr>
              <w:ilvl w:val="12"/>
            </w:numPr>
            <w:tabs>
              <w:tab w:val="left" w:pos="720"/>
            </w:tabs>
            <w:suppressAutoHyphens/>
          </w:pPr>
        </w:pPrChange>
      </w:pPr>
    </w:p>
    <w:p w14:paraId="6B7B4453" w14:textId="50B7B584" w:rsidR="00F93B6E" w:rsidRPr="00AB7697" w:rsidRDefault="00E453CD">
      <w:pPr>
        <w:rPr>
          <w:del w:id="13517" w:author="AbbVie02no" w:date="2025-05-15T14:19:00Z"/>
          <w:i/>
          <w:sz w:val="22"/>
        </w:rPr>
        <w:pPrChange w:id="13518" w:author="AbbVie02no" w:date="2025-05-15T14:19:00Z">
          <w:pPr>
            <w:keepNext/>
            <w:numPr>
              <w:ilvl w:val="12"/>
            </w:numPr>
            <w:tabs>
              <w:tab w:val="left" w:pos="720"/>
            </w:tabs>
            <w:suppressAutoHyphens/>
          </w:pPr>
        </w:pPrChange>
      </w:pPr>
      <w:del w:id="13519" w:author="AbbVie02no" w:date="2025-05-15T14:19:00Z">
        <w:r w:rsidRPr="00AB7697">
          <w:rPr>
            <w:i/>
            <w:sz w:val="22"/>
          </w:rPr>
          <w:delText xml:space="preserve">Barn, ungdom og voksne </w:delText>
        </w:r>
        <w:r w:rsidR="00CD128C">
          <w:rPr>
            <w:i/>
            <w:sz w:val="22"/>
          </w:rPr>
          <w:delText>over</w:delText>
        </w:r>
        <w:r w:rsidRPr="00AB7697">
          <w:rPr>
            <w:i/>
            <w:sz w:val="22"/>
          </w:rPr>
          <w:delText xml:space="preserve"> 6 år som veier 30 kg </w:delText>
        </w:r>
        <w:r>
          <w:rPr>
            <w:i/>
            <w:sz w:val="22"/>
          </w:rPr>
          <w:delText>eller mer</w:delText>
        </w:r>
      </w:del>
    </w:p>
    <w:p w14:paraId="72F91897" w14:textId="32BB5D79" w:rsidR="00F93B6E" w:rsidRPr="00AB7697" w:rsidRDefault="00F93B6E">
      <w:pPr>
        <w:rPr>
          <w:del w:id="13520" w:author="AbbVie02no" w:date="2025-05-15T14:19:00Z"/>
          <w:sz w:val="22"/>
        </w:rPr>
        <w:pPrChange w:id="13521" w:author="AbbVie02no" w:date="2025-05-15T14:19:00Z">
          <w:pPr>
            <w:keepNext/>
            <w:numPr>
              <w:ilvl w:val="12"/>
            </w:numPr>
            <w:tabs>
              <w:tab w:val="left" w:pos="720"/>
            </w:tabs>
            <w:suppressAutoHyphens/>
          </w:pPr>
        </w:pPrChange>
      </w:pPr>
    </w:p>
    <w:p w14:paraId="59313D2F" w14:textId="551A531A" w:rsidR="00F93B6E" w:rsidRPr="00AB7697" w:rsidRDefault="00E453CD">
      <w:pPr>
        <w:rPr>
          <w:del w:id="13522" w:author="AbbVie02no" w:date="2025-05-15T14:19:00Z"/>
          <w:sz w:val="22"/>
        </w:rPr>
        <w:pPrChange w:id="13523" w:author="AbbVie02no" w:date="2025-05-15T14:19:00Z">
          <w:pPr>
            <w:numPr>
              <w:ilvl w:val="12"/>
            </w:numPr>
            <w:tabs>
              <w:tab w:val="left" w:pos="720"/>
            </w:tabs>
            <w:suppressAutoHyphens/>
          </w:pPr>
        </w:pPrChange>
      </w:pPr>
      <w:del w:id="13524" w:author="AbbVie02no" w:date="2025-05-15T14:19:00Z">
        <w:r w:rsidRPr="009C5EFD">
          <w:rPr>
            <w:sz w:val="22"/>
            <w:szCs w:val="22"/>
          </w:rPr>
          <w:delText xml:space="preserve">Anbefalt dose med Humira </w:delText>
        </w:r>
        <w:r>
          <w:rPr>
            <w:sz w:val="22"/>
            <w:szCs w:val="22"/>
          </w:rPr>
          <w:delText xml:space="preserve">er </w:delText>
        </w:r>
        <w:r w:rsidRPr="00AB7697">
          <w:rPr>
            <w:sz w:val="22"/>
          </w:rPr>
          <w:delText xml:space="preserve">40 mg </w:delText>
        </w:r>
        <w:r>
          <w:rPr>
            <w:sz w:val="22"/>
          </w:rPr>
          <w:delText>annenhver uke</w:delText>
        </w:r>
        <w:r w:rsidRPr="00AB7697">
          <w:rPr>
            <w:sz w:val="22"/>
          </w:rPr>
          <w:delText>.</w:delText>
        </w:r>
      </w:del>
    </w:p>
    <w:p w14:paraId="5105164E" w14:textId="6DF2F784" w:rsidR="00F93B6E" w:rsidRPr="00AB7697" w:rsidRDefault="00F93B6E">
      <w:pPr>
        <w:rPr>
          <w:del w:id="13525" w:author="AbbVie02no" w:date="2025-05-15T14:19:00Z"/>
          <w:sz w:val="22"/>
          <w:szCs w:val="22"/>
        </w:rPr>
        <w:pPrChange w:id="13526" w:author="AbbVie02no" w:date="2025-05-15T14:19:00Z">
          <w:pPr>
            <w:suppressAutoHyphens/>
          </w:pPr>
        </w:pPrChange>
      </w:pPr>
    </w:p>
    <w:p w14:paraId="4B358D32" w14:textId="283B58C6" w:rsidR="00107C64" w:rsidRPr="00684DB9" w:rsidRDefault="00E453CD">
      <w:pPr>
        <w:rPr>
          <w:del w:id="13527" w:author="AbbVie02no" w:date="2025-05-15T14:19:00Z"/>
          <w:szCs w:val="22"/>
          <w:u w:val="single"/>
        </w:rPr>
        <w:pPrChange w:id="13528" w:author="AbbVie02no" w:date="2025-05-15T14:19:00Z">
          <w:pPr>
            <w:pStyle w:val="BodyText3"/>
            <w:keepNext/>
            <w:tabs>
              <w:tab w:val="clear" w:pos="-720"/>
            </w:tabs>
          </w:pPr>
        </w:pPrChange>
      </w:pPr>
      <w:del w:id="13529" w:author="AbbVie02no" w:date="2025-05-15T14:19:00Z">
        <w:r w:rsidRPr="00684DB9">
          <w:rPr>
            <w:szCs w:val="22"/>
            <w:u w:val="single"/>
          </w:rPr>
          <w:delText xml:space="preserve">Barn </w:delText>
        </w:r>
        <w:r w:rsidR="006E5628" w:rsidRPr="00684DB9">
          <w:rPr>
            <w:szCs w:val="22"/>
            <w:u w:val="single"/>
          </w:rPr>
          <w:delText xml:space="preserve">og </w:delText>
        </w:r>
        <w:r w:rsidRPr="00684DB9">
          <w:rPr>
            <w:szCs w:val="22"/>
            <w:u w:val="single"/>
          </w:rPr>
          <w:delText xml:space="preserve">ungdom med </w:delText>
        </w:r>
        <w:r w:rsidR="00771D63" w:rsidRPr="00AB7697">
          <w:rPr>
            <w:szCs w:val="22"/>
            <w:u w:val="single"/>
          </w:rPr>
          <w:delText>plakk</w:delText>
        </w:r>
        <w:r w:rsidRPr="00684DB9">
          <w:rPr>
            <w:szCs w:val="22"/>
            <w:u w:val="single"/>
          </w:rPr>
          <w:delText>psoriasis</w:delText>
        </w:r>
      </w:del>
    </w:p>
    <w:p w14:paraId="60768F5A" w14:textId="07C95E9A" w:rsidR="00107C64" w:rsidRPr="00392F46" w:rsidRDefault="00107C64">
      <w:pPr>
        <w:rPr>
          <w:del w:id="13530" w:author="AbbVie02no" w:date="2025-05-15T14:19:00Z"/>
          <w:szCs w:val="22"/>
        </w:rPr>
        <w:pPrChange w:id="13531" w:author="AbbVie02no" w:date="2025-05-15T14:19:00Z">
          <w:pPr>
            <w:pStyle w:val="BodyText3"/>
            <w:keepNext/>
            <w:tabs>
              <w:tab w:val="clear" w:pos="-720"/>
            </w:tabs>
          </w:pPr>
        </w:pPrChange>
      </w:pPr>
    </w:p>
    <w:p w14:paraId="3F6667E1" w14:textId="5B304607" w:rsidR="006E5628" w:rsidRPr="00AB7697" w:rsidRDefault="00E453CD">
      <w:pPr>
        <w:rPr>
          <w:del w:id="13532" w:author="AbbVie02no" w:date="2025-05-15T14:19:00Z"/>
          <w:sz w:val="22"/>
          <w:szCs w:val="22"/>
          <w:u w:val="single"/>
        </w:rPr>
        <w:pPrChange w:id="13533" w:author="AbbVie02no" w:date="2025-05-15T14:19:00Z">
          <w:pPr>
            <w:keepNext/>
            <w:numPr>
              <w:ilvl w:val="12"/>
            </w:numPr>
            <w:tabs>
              <w:tab w:val="left" w:pos="1590"/>
            </w:tabs>
            <w:ind w:right="-2"/>
          </w:pPr>
        </w:pPrChange>
      </w:pPr>
      <w:del w:id="13534" w:author="AbbVie02no" w:date="2025-05-15T14:19:00Z">
        <w:r w:rsidRPr="00AB7697">
          <w:rPr>
            <w:i/>
            <w:sz w:val="22"/>
            <w:szCs w:val="22"/>
          </w:rPr>
          <w:delText xml:space="preserve">Barn og ungdom fra 4 til 17 år som veier 15 kg til </w:delText>
        </w:r>
        <w:r w:rsidR="00684DB9">
          <w:rPr>
            <w:i/>
            <w:sz w:val="22"/>
            <w:szCs w:val="22"/>
          </w:rPr>
          <w:delText>under</w:delText>
        </w:r>
        <w:r w:rsidRPr="00AB7697">
          <w:rPr>
            <w:i/>
            <w:sz w:val="22"/>
            <w:szCs w:val="22"/>
          </w:rPr>
          <w:delText xml:space="preserve"> 30 kg</w:delText>
        </w:r>
      </w:del>
    </w:p>
    <w:p w14:paraId="56AC0A10" w14:textId="65FB5761" w:rsidR="006E5628" w:rsidRPr="00AB7697" w:rsidRDefault="006E5628">
      <w:pPr>
        <w:rPr>
          <w:del w:id="13535" w:author="AbbVie02no" w:date="2025-05-15T14:19:00Z"/>
          <w:sz w:val="22"/>
          <w:szCs w:val="22"/>
        </w:rPr>
        <w:pPrChange w:id="13536" w:author="AbbVie02no" w:date="2025-05-15T14:19:00Z">
          <w:pPr>
            <w:keepNext/>
            <w:numPr>
              <w:ilvl w:val="12"/>
            </w:numPr>
            <w:ind w:right="-2"/>
          </w:pPr>
        </w:pPrChange>
      </w:pPr>
    </w:p>
    <w:p w14:paraId="210AF429" w14:textId="53DDE9E1" w:rsidR="006E5628" w:rsidRPr="00AB7697" w:rsidRDefault="00E453CD">
      <w:pPr>
        <w:rPr>
          <w:del w:id="13537" w:author="AbbVie02no" w:date="2025-05-15T14:19:00Z"/>
          <w:sz w:val="22"/>
          <w:szCs w:val="22"/>
        </w:rPr>
        <w:pPrChange w:id="13538" w:author="AbbVie02no" w:date="2025-05-15T14:19:00Z">
          <w:pPr>
            <w:numPr>
              <w:ilvl w:val="12"/>
            </w:numPr>
            <w:tabs>
              <w:tab w:val="left" w:pos="720"/>
            </w:tabs>
            <w:ind w:right="-2"/>
          </w:pPr>
        </w:pPrChange>
      </w:pPr>
      <w:del w:id="13539" w:author="AbbVie02no" w:date="2025-05-15T14:19:00Z">
        <w:r w:rsidRPr="00AB7697">
          <w:rPr>
            <w:sz w:val="22"/>
            <w:szCs w:val="22"/>
          </w:rPr>
          <w:delText xml:space="preserve">Den anbefalte dosen av Humira er en dose på 20 mg ved oppstart, etterfulgt av </w:delText>
        </w:r>
        <w:r w:rsidR="008A2B49" w:rsidRPr="00AB7697">
          <w:rPr>
            <w:sz w:val="22"/>
            <w:szCs w:val="22"/>
          </w:rPr>
          <w:delText>2</w:delText>
        </w:r>
        <w:r w:rsidRPr="00AB7697">
          <w:rPr>
            <w:sz w:val="22"/>
            <w:szCs w:val="22"/>
          </w:rPr>
          <w:delText>0 mg en uke senere</w:delText>
        </w:r>
        <w:r w:rsidR="008A2B49" w:rsidRPr="00AB7697">
          <w:rPr>
            <w:sz w:val="22"/>
            <w:szCs w:val="22"/>
          </w:rPr>
          <w:delText>. Deretter er vanlig dose 20 mg annenhver uke.</w:delText>
        </w:r>
      </w:del>
    </w:p>
    <w:p w14:paraId="3C459566" w14:textId="03623C47" w:rsidR="006E5628" w:rsidRPr="00AB7697" w:rsidRDefault="006E5628">
      <w:pPr>
        <w:rPr>
          <w:del w:id="13540" w:author="AbbVie02no" w:date="2025-05-15T14:19:00Z"/>
          <w:sz w:val="22"/>
          <w:szCs w:val="22"/>
        </w:rPr>
        <w:pPrChange w:id="13541" w:author="AbbVie02no" w:date="2025-05-15T14:19:00Z">
          <w:pPr>
            <w:numPr>
              <w:ilvl w:val="12"/>
            </w:numPr>
            <w:tabs>
              <w:tab w:val="left" w:pos="720"/>
            </w:tabs>
            <w:ind w:right="-2"/>
          </w:pPr>
        </w:pPrChange>
      </w:pPr>
    </w:p>
    <w:p w14:paraId="54812EFD" w14:textId="59901AC4" w:rsidR="006E5628" w:rsidRPr="00AB7697" w:rsidRDefault="00E453CD">
      <w:pPr>
        <w:rPr>
          <w:del w:id="13542" w:author="AbbVie02no" w:date="2025-05-15T14:19:00Z"/>
          <w:i/>
          <w:sz w:val="22"/>
          <w:szCs w:val="22"/>
        </w:rPr>
        <w:pPrChange w:id="13543" w:author="AbbVie02no" w:date="2025-05-15T14:19:00Z">
          <w:pPr>
            <w:keepNext/>
            <w:numPr>
              <w:ilvl w:val="12"/>
            </w:numPr>
            <w:tabs>
              <w:tab w:val="left" w:pos="720"/>
            </w:tabs>
          </w:pPr>
        </w:pPrChange>
      </w:pPr>
      <w:del w:id="13544" w:author="AbbVie02no" w:date="2025-05-15T14:19:00Z">
        <w:r w:rsidRPr="00AB7697">
          <w:rPr>
            <w:i/>
            <w:sz w:val="22"/>
            <w:szCs w:val="22"/>
          </w:rPr>
          <w:delText>Barn og ungdom fra 4 til 17 år som veier 30 kg eller mer</w:delText>
        </w:r>
      </w:del>
    </w:p>
    <w:p w14:paraId="7AF47DF1" w14:textId="085FBBE8" w:rsidR="006E5628" w:rsidRPr="00AB7697" w:rsidRDefault="006E5628">
      <w:pPr>
        <w:rPr>
          <w:del w:id="13545" w:author="AbbVie02no" w:date="2025-05-15T14:19:00Z"/>
          <w:sz w:val="22"/>
          <w:szCs w:val="22"/>
        </w:rPr>
        <w:pPrChange w:id="13546" w:author="AbbVie02no" w:date="2025-05-15T14:19:00Z">
          <w:pPr>
            <w:keepNext/>
            <w:numPr>
              <w:ilvl w:val="12"/>
            </w:numPr>
            <w:tabs>
              <w:tab w:val="left" w:pos="720"/>
            </w:tabs>
          </w:pPr>
        </w:pPrChange>
      </w:pPr>
    </w:p>
    <w:p w14:paraId="1090852F" w14:textId="21CFA871" w:rsidR="008D4C6C" w:rsidRDefault="00E453CD">
      <w:pPr>
        <w:rPr>
          <w:del w:id="13547" w:author="AbbVie02no" w:date="2025-05-15T14:19:00Z"/>
          <w:szCs w:val="22"/>
        </w:rPr>
        <w:pPrChange w:id="13548" w:author="AbbVie02no" w:date="2025-05-15T14:19:00Z">
          <w:pPr>
            <w:pStyle w:val="BodyText3"/>
            <w:tabs>
              <w:tab w:val="clear" w:pos="-720"/>
            </w:tabs>
          </w:pPr>
        </w:pPrChange>
      </w:pPr>
      <w:del w:id="13549" w:author="AbbVie02no" w:date="2025-05-15T14:19:00Z">
        <w:r w:rsidRPr="00671839">
          <w:rPr>
            <w:szCs w:val="22"/>
          </w:rPr>
          <w:delText>Den anbefalte dosen av Humira er en dose på 40 mg ved oppstart, etterfulgt av 4</w:delText>
        </w:r>
        <w:r w:rsidRPr="00095354">
          <w:rPr>
            <w:szCs w:val="22"/>
          </w:rPr>
          <w:delText>0 mg en uke senere. Deretter er vanlig dose 40 mg annenhver uke.</w:delText>
        </w:r>
      </w:del>
    </w:p>
    <w:p w14:paraId="13520EA7" w14:textId="367DA9B4" w:rsidR="00EF186B" w:rsidRDefault="00EF186B">
      <w:pPr>
        <w:rPr>
          <w:del w:id="13550" w:author="AbbVie02no" w:date="2025-05-15T14:19:00Z"/>
          <w:szCs w:val="22"/>
        </w:rPr>
        <w:pPrChange w:id="13551" w:author="AbbVie02no" w:date="2025-05-15T14:19:00Z">
          <w:pPr>
            <w:pStyle w:val="BodyText3"/>
            <w:tabs>
              <w:tab w:val="clear" w:pos="-720"/>
            </w:tabs>
          </w:pPr>
        </w:pPrChange>
      </w:pPr>
    </w:p>
    <w:p w14:paraId="4E08E772" w14:textId="2B4B1804" w:rsidR="00EF186B" w:rsidRDefault="00E453CD">
      <w:pPr>
        <w:rPr>
          <w:del w:id="13552" w:author="AbbVie02no" w:date="2025-05-15T14:19:00Z"/>
          <w:szCs w:val="22"/>
          <w:u w:val="single"/>
        </w:rPr>
        <w:pPrChange w:id="13553" w:author="AbbVie02no" w:date="2025-05-15T14:19:00Z">
          <w:pPr>
            <w:pStyle w:val="BodyText3"/>
            <w:keepNext/>
            <w:tabs>
              <w:tab w:val="clear" w:pos="-720"/>
            </w:tabs>
          </w:pPr>
        </w:pPrChange>
      </w:pPr>
      <w:del w:id="13554" w:author="AbbVie02no" w:date="2025-05-15T14:19:00Z">
        <w:r w:rsidRPr="00DA6326">
          <w:rPr>
            <w:szCs w:val="22"/>
            <w:u w:val="single"/>
          </w:rPr>
          <w:delText xml:space="preserve">Ungdom med hidrosadenitt fra 12 </w:delText>
        </w:r>
        <w:r w:rsidR="008A2B49">
          <w:rPr>
            <w:szCs w:val="22"/>
            <w:u w:val="single"/>
          </w:rPr>
          <w:delText xml:space="preserve">til 17 </w:delText>
        </w:r>
        <w:r w:rsidRPr="00DA6326">
          <w:rPr>
            <w:szCs w:val="22"/>
            <w:u w:val="single"/>
          </w:rPr>
          <w:delText xml:space="preserve">år, </w:delText>
        </w:r>
        <w:r w:rsidR="00D42EE2">
          <w:rPr>
            <w:szCs w:val="22"/>
            <w:u w:val="single"/>
          </w:rPr>
          <w:delText>som veier 30 kg eller mer</w:delText>
        </w:r>
      </w:del>
    </w:p>
    <w:p w14:paraId="46A3E4E5" w14:textId="7AE51DBA" w:rsidR="00EF186B" w:rsidRPr="00DA6326" w:rsidRDefault="00EF186B">
      <w:pPr>
        <w:rPr>
          <w:del w:id="13555" w:author="AbbVie02no" w:date="2025-05-15T14:19:00Z"/>
          <w:szCs w:val="22"/>
          <w:u w:val="single"/>
        </w:rPr>
        <w:pPrChange w:id="13556" w:author="AbbVie02no" w:date="2025-05-15T14:19:00Z">
          <w:pPr>
            <w:pStyle w:val="BodyText3"/>
            <w:keepNext/>
            <w:tabs>
              <w:tab w:val="clear" w:pos="-720"/>
            </w:tabs>
          </w:pPr>
        </w:pPrChange>
      </w:pPr>
    </w:p>
    <w:p w14:paraId="1890EEEC" w14:textId="4B250071" w:rsidR="00873261" w:rsidRDefault="00E453CD">
      <w:pPr>
        <w:rPr>
          <w:del w:id="13557" w:author="AbbVie02no" w:date="2025-05-15T14:19:00Z"/>
          <w:szCs w:val="22"/>
        </w:rPr>
        <w:pPrChange w:id="13558" w:author="AbbVie02no" w:date="2025-05-15T14:19:00Z">
          <w:pPr>
            <w:pStyle w:val="BodyText3"/>
            <w:tabs>
              <w:tab w:val="clear" w:pos="-720"/>
            </w:tabs>
          </w:pPr>
        </w:pPrChange>
      </w:pPr>
      <w:del w:id="13559" w:author="AbbVie02no" w:date="2025-05-15T14:19:00Z">
        <w:r w:rsidRPr="00ED67B8">
          <w:rPr>
            <w:szCs w:val="22"/>
          </w:rPr>
          <w:delText>Den anbefalte dosen av Humira er en dose på 80</w:delText>
        </w:r>
        <w:r w:rsidR="00B159D4">
          <w:rPr>
            <w:szCs w:val="22"/>
          </w:rPr>
          <w:delText> </w:delText>
        </w:r>
        <w:r w:rsidRPr="00ED67B8">
          <w:rPr>
            <w:szCs w:val="22"/>
          </w:rPr>
          <w:delText>mg ved oppstart (</w:delText>
        </w:r>
        <w:r w:rsidR="00D42EE2">
          <w:rPr>
            <w:szCs w:val="22"/>
          </w:rPr>
          <w:delText xml:space="preserve">som </w:delText>
        </w:r>
        <w:r w:rsidR="00816567">
          <w:rPr>
            <w:szCs w:val="22"/>
          </w:rPr>
          <w:delText>to</w:delText>
        </w:r>
        <w:r w:rsidR="00816567" w:rsidRPr="00ED67B8">
          <w:rPr>
            <w:szCs w:val="22"/>
          </w:rPr>
          <w:delText xml:space="preserve"> </w:delText>
        </w:r>
        <w:r w:rsidR="00816567">
          <w:rPr>
            <w:szCs w:val="22"/>
          </w:rPr>
          <w:delText>40</w:delText>
        </w:r>
        <w:r w:rsidR="00B159D4">
          <w:rPr>
            <w:szCs w:val="22"/>
          </w:rPr>
          <w:delText> </w:delText>
        </w:r>
        <w:r w:rsidR="00816567">
          <w:rPr>
            <w:szCs w:val="22"/>
          </w:rPr>
          <w:delText xml:space="preserve">mg </w:delText>
        </w:r>
        <w:r w:rsidRPr="00ED67B8">
          <w:rPr>
            <w:szCs w:val="22"/>
          </w:rPr>
          <w:delText>injeksjoner på en dag), etterfulgt av 40</w:delText>
        </w:r>
        <w:r w:rsidR="00B159D4">
          <w:rPr>
            <w:szCs w:val="22"/>
          </w:rPr>
          <w:delText> </w:delText>
        </w:r>
        <w:r w:rsidRPr="00ED67B8">
          <w:rPr>
            <w:szCs w:val="22"/>
          </w:rPr>
          <w:delText xml:space="preserve">mg annenhver uke </w:delText>
        </w:r>
        <w:r>
          <w:rPr>
            <w:szCs w:val="22"/>
          </w:rPr>
          <w:delText>fra en</w:delText>
        </w:r>
        <w:r w:rsidRPr="00ED67B8">
          <w:rPr>
            <w:szCs w:val="22"/>
          </w:rPr>
          <w:delText xml:space="preserve"> uke senere. Legen din kan øke dosering</w:delText>
        </w:r>
        <w:r w:rsidR="00816567">
          <w:rPr>
            <w:szCs w:val="22"/>
          </w:rPr>
          <w:delText>en</w:delText>
        </w:r>
        <w:r w:rsidRPr="00ED67B8">
          <w:rPr>
            <w:szCs w:val="22"/>
          </w:rPr>
          <w:delText xml:space="preserve"> til 40</w:delText>
        </w:r>
        <w:r w:rsidR="00B159D4">
          <w:rPr>
            <w:szCs w:val="22"/>
          </w:rPr>
          <w:delText> </w:delText>
        </w:r>
        <w:r w:rsidRPr="00ED67B8">
          <w:rPr>
            <w:szCs w:val="22"/>
          </w:rPr>
          <w:delText xml:space="preserve">mg hver uke </w:delText>
        </w:r>
        <w:r w:rsidR="00816567">
          <w:rPr>
            <w:szCs w:val="22"/>
          </w:rPr>
          <w:delText>eller 80</w:delText>
        </w:r>
        <w:r w:rsidR="00B159D4">
          <w:rPr>
            <w:szCs w:val="22"/>
          </w:rPr>
          <w:delText> </w:delText>
        </w:r>
        <w:r w:rsidR="00816567">
          <w:rPr>
            <w:szCs w:val="22"/>
          </w:rPr>
          <w:delText xml:space="preserve">mg annenhver uke </w:delText>
        </w:r>
        <w:r w:rsidRPr="00ED67B8">
          <w:rPr>
            <w:szCs w:val="22"/>
          </w:rPr>
          <w:delText>dersom du har utilstrekkelig respons</w:delText>
        </w:r>
        <w:r w:rsidR="00816567">
          <w:rPr>
            <w:szCs w:val="22"/>
          </w:rPr>
          <w:delText xml:space="preserve"> på Humira 40 mg annenhver uke</w:delText>
        </w:r>
        <w:r w:rsidRPr="00ED67B8">
          <w:rPr>
            <w:szCs w:val="22"/>
          </w:rPr>
          <w:delText>.</w:delText>
        </w:r>
      </w:del>
    </w:p>
    <w:p w14:paraId="0B2AA363" w14:textId="658ED540" w:rsidR="00EF186B" w:rsidRDefault="00EF186B">
      <w:pPr>
        <w:rPr>
          <w:del w:id="13560" w:author="AbbVie02no" w:date="2025-05-15T14:19:00Z"/>
          <w:szCs w:val="22"/>
        </w:rPr>
        <w:pPrChange w:id="13561" w:author="AbbVie02no" w:date="2025-05-15T14:19:00Z">
          <w:pPr>
            <w:pStyle w:val="BodyText3"/>
            <w:tabs>
              <w:tab w:val="clear" w:pos="-720"/>
            </w:tabs>
          </w:pPr>
        </w:pPrChange>
      </w:pPr>
    </w:p>
    <w:p w14:paraId="7DCAC3A9" w14:textId="66BEDBD9" w:rsidR="00EF186B" w:rsidRDefault="00E453CD">
      <w:pPr>
        <w:rPr>
          <w:del w:id="13562" w:author="AbbVie02no" w:date="2025-05-15T14:19:00Z"/>
          <w:szCs w:val="22"/>
        </w:rPr>
        <w:pPrChange w:id="13563" w:author="AbbVie02no" w:date="2025-05-15T14:19:00Z">
          <w:pPr>
            <w:pStyle w:val="BodyText3"/>
            <w:tabs>
              <w:tab w:val="clear" w:pos="-720"/>
            </w:tabs>
          </w:pPr>
        </w:pPrChange>
      </w:pPr>
      <w:del w:id="13564" w:author="AbbVie02no" w:date="2025-05-15T14:19:00Z">
        <w:r w:rsidRPr="00EF186B">
          <w:rPr>
            <w:szCs w:val="22"/>
          </w:rPr>
          <w:delText>Det anbefales at du bruker en antiseptisk vask daglig på de berørte områdene.</w:delText>
        </w:r>
      </w:del>
    </w:p>
    <w:p w14:paraId="66C11B29" w14:textId="4304F983" w:rsidR="00F93B6E" w:rsidRDefault="00F93B6E">
      <w:pPr>
        <w:rPr>
          <w:del w:id="13565" w:author="AbbVie02no" w:date="2025-05-15T14:19:00Z"/>
          <w:szCs w:val="22"/>
        </w:rPr>
        <w:pPrChange w:id="13566" w:author="AbbVie02no" w:date="2025-05-15T14:19:00Z">
          <w:pPr>
            <w:pStyle w:val="BodyText3"/>
            <w:tabs>
              <w:tab w:val="clear" w:pos="-720"/>
            </w:tabs>
          </w:pPr>
        </w:pPrChange>
      </w:pPr>
    </w:p>
    <w:p w14:paraId="193BDBF9" w14:textId="15BF786D" w:rsidR="00F93B6E" w:rsidRPr="009C5EFD" w:rsidRDefault="00E453CD">
      <w:pPr>
        <w:rPr>
          <w:del w:id="13567" w:author="AbbVie02no" w:date="2025-05-15T14:19:00Z"/>
          <w:sz w:val="22"/>
          <w:szCs w:val="22"/>
          <w:u w:val="single"/>
        </w:rPr>
        <w:pPrChange w:id="13568" w:author="AbbVie02no" w:date="2025-05-15T14:19:00Z">
          <w:pPr>
            <w:keepNext/>
            <w:suppressAutoHyphens/>
          </w:pPr>
        </w:pPrChange>
      </w:pPr>
      <w:del w:id="13569" w:author="AbbVie02no" w:date="2025-05-15T14:19:00Z">
        <w:r w:rsidRPr="009C5EFD">
          <w:rPr>
            <w:sz w:val="22"/>
            <w:szCs w:val="22"/>
            <w:u w:val="single"/>
          </w:rPr>
          <w:delText xml:space="preserve">Barn </w:delText>
        </w:r>
        <w:r w:rsidR="00314F62">
          <w:rPr>
            <w:sz w:val="22"/>
            <w:szCs w:val="22"/>
            <w:u w:val="single"/>
          </w:rPr>
          <w:delText>og</w:delText>
        </w:r>
        <w:r w:rsidRPr="009C5EFD">
          <w:rPr>
            <w:sz w:val="22"/>
            <w:szCs w:val="22"/>
            <w:u w:val="single"/>
          </w:rPr>
          <w:delText xml:space="preserve"> ungdom med Crohns sykdom</w:delText>
        </w:r>
      </w:del>
    </w:p>
    <w:p w14:paraId="28729E66" w14:textId="6D7B9887" w:rsidR="00F93B6E" w:rsidRPr="009C5EFD" w:rsidRDefault="00F93B6E">
      <w:pPr>
        <w:rPr>
          <w:del w:id="13570" w:author="AbbVie02no" w:date="2025-05-15T14:19:00Z"/>
          <w:sz w:val="22"/>
          <w:szCs w:val="22"/>
          <w:u w:val="single"/>
        </w:rPr>
        <w:pPrChange w:id="13571" w:author="AbbVie02no" w:date="2025-05-15T14:19:00Z">
          <w:pPr>
            <w:keepNext/>
            <w:suppressAutoHyphens/>
          </w:pPr>
        </w:pPrChange>
      </w:pPr>
    </w:p>
    <w:p w14:paraId="503378B5" w14:textId="56D919CA" w:rsidR="00F93B6E" w:rsidRPr="00B159D4" w:rsidRDefault="00E453CD">
      <w:pPr>
        <w:rPr>
          <w:del w:id="13572" w:author="AbbVie02no" w:date="2025-05-15T14:19:00Z"/>
          <w:sz w:val="22"/>
          <w:szCs w:val="22"/>
          <w:u w:val="single"/>
        </w:rPr>
        <w:pPrChange w:id="13573" w:author="AbbVie02no" w:date="2025-05-15T14:19:00Z">
          <w:pPr>
            <w:keepNext/>
            <w:suppressAutoHyphens/>
          </w:pPr>
        </w:pPrChange>
      </w:pPr>
      <w:del w:id="13574" w:author="AbbVie02no" w:date="2025-05-15T14:19:00Z">
        <w:r w:rsidRPr="00AF70AD">
          <w:rPr>
            <w:bCs/>
            <w:i/>
            <w:sz w:val="22"/>
            <w:szCs w:val="22"/>
          </w:rPr>
          <w:lastRenderedPageBreak/>
          <w:delText xml:space="preserve">Barn </w:delText>
        </w:r>
        <w:r w:rsidR="00314F62" w:rsidRPr="00AF70AD">
          <w:rPr>
            <w:bCs/>
            <w:i/>
            <w:sz w:val="22"/>
            <w:szCs w:val="22"/>
          </w:rPr>
          <w:delText>og</w:delText>
        </w:r>
        <w:r w:rsidRPr="00AF70AD">
          <w:rPr>
            <w:bCs/>
            <w:i/>
            <w:sz w:val="22"/>
            <w:szCs w:val="22"/>
          </w:rPr>
          <w:delText xml:space="preserve"> ungdom fra 6 til 17 år som veier </w:delText>
        </w:r>
        <w:r w:rsidR="00684DB9" w:rsidRPr="00AF70AD">
          <w:rPr>
            <w:bCs/>
            <w:i/>
            <w:sz w:val="22"/>
            <w:szCs w:val="22"/>
          </w:rPr>
          <w:delText>under</w:delText>
        </w:r>
        <w:r w:rsidRPr="00AF70AD">
          <w:rPr>
            <w:bCs/>
            <w:i/>
            <w:sz w:val="22"/>
            <w:szCs w:val="22"/>
          </w:rPr>
          <w:delText xml:space="preserve"> 40 kg</w:delText>
        </w:r>
      </w:del>
    </w:p>
    <w:p w14:paraId="61AAA6CC" w14:textId="61BF3C2A" w:rsidR="00F93B6E" w:rsidRPr="00671839" w:rsidRDefault="00F93B6E">
      <w:pPr>
        <w:rPr>
          <w:del w:id="13575" w:author="AbbVie02no" w:date="2025-05-15T14:19:00Z"/>
          <w:sz w:val="22"/>
          <w:szCs w:val="22"/>
          <w:u w:val="single"/>
        </w:rPr>
        <w:pPrChange w:id="13576" w:author="AbbVie02no" w:date="2025-05-15T14:19:00Z">
          <w:pPr>
            <w:keepNext/>
            <w:suppressAutoHyphens/>
          </w:pPr>
        </w:pPrChange>
      </w:pPr>
    </w:p>
    <w:p w14:paraId="6ACDC14A" w14:textId="793843A6" w:rsidR="00F93B6E" w:rsidRPr="009C5EFD" w:rsidRDefault="00E453CD">
      <w:pPr>
        <w:rPr>
          <w:del w:id="13577" w:author="AbbVie02no" w:date="2025-05-15T14:19:00Z"/>
          <w:sz w:val="22"/>
          <w:szCs w:val="22"/>
        </w:rPr>
        <w:pPrChange w:id="13578" w:author="AbbVie02no" w:date="2025-05-15T14:19:00Z">
          <w:pPr>
            <w:suppressAutoHyphens/>
          </w:pPr>
        </w:pPrChange>
      </w:pPr>
      <w:del w:id="13579" w:author="AbbVie02no" w:date="2025-05-15T14:19:00Z">
        <w:r w:rsidRPr="009C5EFD">
          <w:rPr>
            <w:sz w:val="22"/>
            <w:szCs w:val="22"/>
          </w:rPr>
          <w:delText xml:space="preserve">Den vanlige doseringen er 40 mg ved oppstart, etterfulgt av 20 mg to uker senere. Hvis det er behov for en raskere respons, kan ditt barns lege forskrive en oppstartsdose på 80 mg (som </w:delText>
        </w:r>
        <w:r w:rsidR="00816567">
          <w:rPr>
            <w:sz w:val="22"/>
            <w:szCs w:val="22"/>
          </w:rPr>
          <w:delText>to</w:delText>
        </w:r>
        <w:r w:rsidR="00816567" w:rsidRPr="009C5EFD">
          <w:rPr>
            <w:sz w:val="22"/>
            <w:szCs w:val="22"/>
          </w:rPr>
          <w:delText xml:space="preserve"> </w:delText>
        </w:r>
        <w:r w:rsidR="00816567">
          <w:rPr>
            <w:sz w:val="22"/>
            <w:szCs w:val="22"/>
          </w:rPr>
          <w:delText>40</w:delText>
        </w:r>
        <w:r w:rsidR="00B159D4">
          <w:rPr>
            <w:sz w:val="22"/>
            <w:szCs w:val="22"/>
          </w:rPr>
          <w:delText> </w:delText>
        </w:r>
        <w:r w:rsidR="00816567">
          <w:rPr>
            <w:sz w:val="22"/>
            <w:szCs w:val="22"/>
          </w:rPr>
          <w:delText xml:space="preserve">mg </w:delText>
        </w:r>
        <w:r w:rsidRPr="009C5EFD">
          <w:rPr>
            <w:sz w:val="22"/>
            <w:szCs w:val="22"/>
          </w:rPr>
          <w:delText>injeksjoner på en dag), etterfulgt av 40</w:delText>
        </w:r>
        <w:r w:rsidR="00B159D4">
          <w:rPr>
            <w:sz w:val="22"/>
            <w:szCs w:val="22"/>
          </w:rPr>
          <w:delText> </w:delText>
        </w:r>
        <w:r w:rsidRPr="009C5EFD">
          <w:rPr>
            <w:sz w:val="22"/>
            <w:szCs w:val="22"/>
          </w:rPr>
          <w:delText xml:space="preserve">mg to uker senere. </w:delText>
        </w:r>
      </w:del>
    </w:p>
    <w:p w14:paraId="727D2446" w14:textId="7E883C73" w:rsidR="00F93B6E" w:rsidRPr="009C5EFD" w:rsidRDefault="00F93B6E">
      <w:pPr>
        <w:rPr>
          <w:del w:id="13580" w:author="AbbVie02no" w:date="2025-05-15T14:19:00Z"/>
          <w:sz w:val="22"/>
          <w:szCs w:val="22"/>
        </w:rPr>
        <w:pPrChange w:id="13581" w:author="AbbVie02no" w:date="2025-05-15T14:19:00Z">
          <w:pPr>
            <w:suppressAutoHyphens/>
          </w:pPr>
        </w:pPrChange>
      </w:pPr>
    </w:p>
    <w:p w14:paraId="45E57CF4" w14:textId="21EB48AD" w:rsidR="00F93B6E" w:rsidRPr="009C5EFD" w:rsidRDefault="00E453CD">
      <w:pPr>
        <w:rPr>
          <w:del w:id="13582" w:author="AbbVie02no" w:date="2025-05-15T14:19:00Z"/>
          <w:sz w:val="22"/>
          <w:szCs w:val="22"/>
        </w:rPr>
        <w:pPrChange w:id="13583" w:author="AbbVie02no" w:date="2025-05-15T14:19:00Z">
          <w:pPr>
            <w:suppressAutoHyphens/>
          </w:pPr>
        </w:pPrChange>
      </w:pPr>
      <w:del w:id="13584" w:author="AbbVie02no" w:date="2025-05-15T14:19:00Z">
        <w:r w:rsidRPr="009C5EFD">
          <w:rPr>
            <w:sz w:val="22"/>
            <w:szCs w:val="22"/>
          </w:rPr>
          <w:delText>Deretter er vanlig dosering 20 mg annenhver uke. Ditt barns lege kan øke doseringsfrekvensen til 20 mg hver uke avhengig av ditt barns respons.</w:delText>
        </w:r>
      </w:del>
    </w:p>
    <w:p w14:paraId="0FF7694C" w14:textId="5A4FD848" w:rsidR="00F93B6E" w:rsidRPr="009C5EFD" w:rsidRDefault="00F93B6E">
      <w:pPr>
        <w:rPr>
          <w:del w:id="13585" w:author="AbbVie02no" w:date="2025-05-15T14:19:00Z"/>
          <w:sz w:val="22"/>
          <w:szCs w:val="22"/>
        </w:rPr>
        <w:pPrChange w:id="13586" w:author="AbbVie02no" w:date="2025-05-15T14:19:00Z">
          <w:pPr>
            <w:suppressAutoHyphens/>
          </w:pPr>
        </w:pPrChange>
      </w:pPr>
    </w:p>
    <w:p w14:paraId="218F351E" w14:textId="7AE137C0" w:rsidR="00F93B6E" w:rsidRPr="00D42EE2" w:rsidRDefault="00E453CD">
      <w:pPr>
        <w:rPr>
          <w:del w:id="13587" w:author="AbbVie02no" w:date="2025-05-15T14:19:00Z"/>
          <w:sz w:val="22"/>
          <w:szCs w:val="22"/>
          <w:u w:val="single"/>
        </w:rPr>
        <w:pPrChange w:id="13588" w:author="AbbVie02no" w:date="2025-05-15T14:19:00Z">
          <w:pPr>
            <w:keepNext/>
            <w:suppressAutoHyphens/>
          </w:pPr>
        </w:pPrChange>
      </w:pPr>
      <w:del w:id="13589" w:author="AbbVie02no" w:date="2025-05-15T14:19:00Z">
        <w:r w:rsidRPr="00AB7697">
          <w:rPr>
            <w:bCs/>
            <w:i/>
            <w:sz w:val="22"/>
          </w:rPr>
          <w:delText>Barn og ungdom fra 6 til 17 år som veier 40 kg eller mer</w:delText>
        </w:r>
      </w:del>
    </w:p>
    <w:p w14:paraId="0DF595B2" w14:textId="2D24B869" w:rsidR="00F93B6E" w:rsidRPr="00FF0116" w:rsidRDefault="00F93B6E">
      <w:pPr>
        <w:rPr>
          <w:del w:id="13590" w:author="AbbVie02no" w:date="2025-05-15T14:19:00Z"/>
          <w:sz w:val="22"/>
          <w:szCs w:val="22"/>
          <w:u w:val="single"/>
        </w:rPr>
        <w:pPrChange w:id="13591" w:author="AbbVie02no" w:date="2025-05-15T14:19:00Z">
          <w:pPr>
            <w:keepNext/>
            <w:suppressAutoHyphens/>
          </w:pPr>
        </w:pPrChange>
      </w:pPr>
    </w:p>
    <w:p w14:paraId="217C8051" w14:textId="4C7DDEA6" w:rsidR="00F93B6E" w:rsidRPr="009C5EFD" w:rsidRDefault="00E453CD">
      <w:pPr>
        <w:rPr>
          <w:del w:id="13592" w:author="AbbVie02no" w:date="2025-05-15T14:19:00Z"/>
          <w:sz w:val="22"/>
          <w:szCs w:val="22"/>
        </w:rPr>
        <w:pPrChange w:id="13593" w:author="AbbVie02no" w:date="2025-05-15T14:19:00Z">
          <w:pPr>
            <w:suppressAutoHyphens/>
          </w:pPr>
        </w:pPrChange>
      </w:pPr>
      <w:del w:id="13594" w:author="AbbVie02no" w:date="2025-05-15T14:19:00Z">
        <w:r w:rsidRPr="009C5EFD">
          <w:rPr>
            <w:sz w:val="22"/>
            <w:szCs w:val="22"/>
          </w:rPr>
          <w:delText>Den vanlige doseringen er 80</w:delText>
        </w:r>
        <w:r w:rsidR="00B159D4">
          <w:rPr>
            <w:sz w:val="22"/>
            <w:szCs w:val="22"/>
          </w:rPr>
          <w:delText> </w:delText>
        </w:r>
        <w:r w:rsidRPr="009C5EFD">
          <w:rPr>
            <w:sz w:val="22"/>
            <w:szCs w:val="22"/>
          </w:rPr>
          <w:delText>mg ved oppstart</w:delText>
        </w:r>
        <w:r w:rsidR="00D42EE2">
          <w:rPr>
            <w:sz w:val="22"/>
            <w:szCs w:val="22"/>
          </w:rPr>
          <w:delText xml:space="preserve"> </w:delText>
        </w:r>
        <w:r w:rsidR="00D42EE2" w:rsidRPr="009C5EFD">
          <w:rPr>
            <w:sz w:val="22"/>
            <w:szCs w:val="22"/>
          </w:rPr>
          <w:delText xml:space="preserve">(som </w:delText>
        </w:r>
        <w:r w:rsidR="00816567">
          <w:rPr>
            <w:sz w:val="22"/>
            <w:szCs w:val="22"/>
          </w:rPr>
          <w:delText>to 40</w:delText>
        </w:r>
        <w:r w:rsidR="00B159D4">
          <w:rPr>
            <w:sz w:val="22"/>
            <w:szCs w:val="22"/>
          </w:rPr>
          <w:delText> </w:delText>
        </w:r>
        <w:r w:rsidR="00816567">
          <w:rPr>
            <w:sz w:val="22"/>
            <w:szCs w:val="22"/>
          </w:rPr>
          <w:delText>mg</w:delText>
        </w:r>
        <w:r w:rsidR="00816567" w:rsidRPr="009C5EFD">
          <w:rPr>
            <w:sz w:val="22"/>
            <w:szCs w:val="22"/>
          </w:rPr>
          <w:delText xml:space="preserve"> </w:delText>
        </w:r>
        <w:r w:rsidR="00D42EE2" w:rsidRPr="009C5EFD">
          <w:rPr>
            <w:sz w:val="22"/>
            <w:szCs w:val="22"/>
          </w:rPr>
          <w:delText>injeksjoner på en dag)</w:delText>
        </w:r>
        <w:r w:rsidRPr="009C5EFD">
          <w:rPr>
            <w:sz w:val="22"/>
            <w:szCs w:val="22"/>
          </w:rPr>
          <w:delText>, etterfulgt av 40</w:delText>
        </w:r>
        <w:r w:rsidR="00B159D4">
          <w:rPr>
            <w:sz w:val="22"/>
            <w:szCs w:val="22"/>
          </w:rPr>
          <w:delText> </w:delText>
        </w:r>
        <w:r w:rsidRPr="009C5EFD">
          <w:rPr>
            <w:sz w:val="22"/>
            <w:szCs w:val="22"/>
          </w:rPr>
          <w:delText>mg to uker senere. Hvis det er behov for en raskere respons, kan ditt barns lege forskrive en oppstartsdose på 160</w:delText>
        </w:r>
        <w:r w:rsidR="00B159D4">
          <w:rPr>
            <w:sz w:val="22"/>
            <w:szCs w:val="22"/>
          </w:rPr>
          <w:delText> </w:delText>
        </w:r>
        <w:r w:rsidRPr="009C5EFD">
          <w:rPr>
            <w:sz w:val="22"/>
            <w:szCs w:val="22"/>
          </w:rPr>
          <w:delText xml:space="preserve">mg (som </w:delText>
        </w:r>
        <w:r w:rsidR="00816567">
          <w:rPr>
            <w:sz w:val="22"/>
            <w:szCs w:val="22"/>
          </w:rPr>
          <w:delText>fire 40</w:delText>
        </w:r>
        <w:r w:rsidR="00B159D4">
          <w:rPr>
            <w:sz w:val="22"/>
            <w:szCs w:val="22"/>
          </w:rPr>
          <w:delText> </w:delText>
        </w:r>
        <w:r w:rsidR="00816567">
          <w:rPr>
            <w:sz w:val="22"/>
            <w:szCs w:val="22"/>
          </w:rPr>
          <w:delText>mg</w:delText>
        </w:r>
        <w:r w:rsidR="00816567" w:rsidRPr="009C5EFD">
          <w:rPr>
            <w:sz w:val="22"/>
            <w:szCs w:val="22"/>
          </w:rPr>
          <w:delText xml:space="preserve"> </w:delText>
        </w:r>
        <w:r w:rsidRPr="009C5EFD">
          <w:rPr>
            <w:sz w:val="22"/>
            <w:szCs w:val="22"/>
          </w:rPr>
          <w:delText xml:space="preserve">injeksjoner på en dag eller </w:delText>
        </w:r>
        <w:r w:rsidR="00816567">
          <w:rPr>
            <w:sz w:val="22"/>
            <w:szCs w:val="22"/>
          </w:rPr>
          <w:delText>to 40</w:delText>
        </w:r>
        <w:r w:rsidR="00B159D4">
          <w:rPr>
            <w:sz w:val="22"/>
            <w:szCs w:val="22"/>
          </w:rPr>
          <w:delText> </w:delText>
        </w:r>
        <w:r w:rsidR="00816567">
          <w:rPr>
            <w:sz w:val="22"/>
            <w:szCs w:val="22"/>
          </w:rPr>
          <w:delText>mg</w:delText>
        </w:r>
        <w:r w:rsidR="00816567"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 etterfulgt av 80</w:delText>
        </w:r>
        <w:r w:rsidR="00B159D4">
          <w:rPr>
            <w:sz w:val="22"/>
            <w:szCs w:val="22"/>
          </w:rPr>
          <w:delText> </w:delText>
        </w:r>
        <w:r w:rsidRPr="009C5EFD">
          <w:rPr>
            <w:sz w:val="22"/>
            <w:szCs w:val="22"/>
          </w:rPr>
          <w:delText xml:space="preserve">mg </w:delText>
        </w:r>
        <w:r w:rsidR="00D01CA8" w:rsidRPr="009C5EFD">
          <w:rPr>
            <w:sz w:val="22"/>
            <w:szCs w:val="22"/>
          </w:rPr>
          <w:delText xml:space="preserve">(som </w:delText>
        </w:r>
        <w:r w:rsidR="00816567">
          <w:rPr>
            <w:sz w:val="22"/>
            <w:szCs w:val="22"/>
          </w:rPr>
          <w:delText>to 40</w:delText>
        </w:r>
        <w:r w:rsidR="00B159D4">
          <w:rPr>
            <w:sz w:val="22"/>
            <w:szCs w:val="22"/>
          </w:rPr>
          <w:delText> </w:delText>
        </w:r>
        <w:r w:rsidR="00816567">
          <w:rPr>
            <w:sz w:val="22"/>
            <w:szCs w:val="22"/>
          </w:rPr>
          <w:delText>mg</w:delText>
        </w:r>
        <w:r w:rsidR="00816567" w:rsidRPr="009C5EFD">
          <w:rPr>
            <w:sz w:val="22"/>
            <w:szCs w:val="22"/>
          </w:rPr>
          <w:delText xml:space="preserve"> </w:delText>
        </w:r>
        <w:r w:rsidR="00D01CA8" w:rsidRPr="009C5EFD">
          <w:rPr>
            <w:sz w:val="22"/>
            <w:szCs w:val="22"/>
          </w:rPr>
          <w:delText>injeksjoner på en dag)</w:delText>
        </w:r>
        <w:r w:rsidR="00D01CA8">
          <w:rPr>
            <w:sz w:val="22"/>
            <w:szCs w:val="22"/>
          </w:rPr>
          <w:delText xml:space="preserve"> </w:delText>
        </w:r>
        <w:r w:rsidRPr="009C5EFD">
          <w:rPr>
            <w:sz w:val="22"/>
            <w:szCs w:val="22"/>
          </w:rPr>
          <w:delText xml:space="preserve">to uker senere. </w:delText>
        </w:r>
      </w:del>
    </w:p>
    <w:p w14:paraId="4053752C" w14:textId="13D36791" w:rsidR="00F93B6E" w:rsidRPr="009C5EFD" w:rsidRDefault="00F93B6E">
      <w:pPr>
        <w:rPr>
          <w:del w:id="13595" w:author="AbbVie02no" w:date="2025-05-15T14:19:00Z"/>
          <w:sz w:val="22"/>
          <w:szCs w:val="22"/>
        </w:rPr>
        <w:pPrChange w:id="13596" w:author="AbbVie02no" w:date="2025-05-15T14:19:00Z">
          <w:pPr>
            <w:suppressAutoHyphens/>
          </w:pPr>
        </w:pPrChange>
      </w:pPr>
    </w:p>
    <w:p w14:paraId="5CC2F957" w14:textId="58073BEB" w:rsidR="00F93B6E" w:rsidRDefault="00E453CD">
      <w:pPr>
        <w:rPr>
          <w:del w:id="13597" w:author="AbbVie02no" w:date="2025-05-15T14:19:00Z"/>
          <w:sz w:val="22"/>
          <w:szCs w:val="22"/>
        </w:rPr>
        <w:pPrChange w:id="13598" w:author="AbbVie02no" w:date="2025-05-15T14:19:00Z">
          <w:pPr>
            <w:suppressAutoHyphens/>
          </w:pPr>
        </w:pPrChange>
      </w:pPr>
      <w:del w:id="13599" w:author="AbbVie02no" w:date="2025-05-15T14:19:00Z">
        <w:r w:rsidRPr="009C5EFD">
          <w:rPr>
            <w:sz w:val="22"/>
            <w:szCs w:val="22"/>
          </w:rPr>
          <w:delText>Deretter er vanlig dosering 40</w:delText>
        </w:r>
        <w:r w:rsidR="00B159D4">
          <w:rPr>
            <w:sz w:val="22"/>
            <w:szCs w:val="22"/>
          </w:rPr>
          <w:delText> </w:delText>
        </w:r>
        <w:r w:rsidRPr="009C5EFD">
          <w:rPr>
            <w:sz w:val="22"/>
            <w:szCs w:val="22"/>
          </w:rPr>
          <w:delText>mg annenhver uke. Ditt barns lege kan øke dosering</w:delText>
        </w:r>
        <w:r w:rsidR="00816567">
          <w:rPr>
            <w:sz w:val="22"/>
            <w:szCs w:val="22"/>
          </w:rPr>
          <w:delText>en</w:delText>
        </w:r>
        <w:r w:rsidRPr="009C5EFD">
          <w:rPr>
            <w:sz w:val="22"/>
            <w:szCs w:val="22"/>
          </w:rPr>
          <w:delText xml:space="preserve"> til 40</w:delText>
        </w:r>
        <w:r w:rsidR="00B159D4">
          <w:rPr>
            <w:sz w:val="22"/>
            <w:szCs w:val="22"/>
          </w:rPr>
          <w:delText> </w:delText>
        </w:r>
        <w:r w:rsidRPr="009C5EFD">
          <w:rPr>
            <w:sz w:val="22"/>
            <w:szCs w:val="22"/>
          </w:rPr>
          <w:delText xml:space="preserve">mg hver uke </w:delText>
        </w:r>
        <w:r w:rsidR="00816567">
          <w:rPr>
            <w:sz w:val="22"/>
            <w:szCs w:val="22"/>
          </w:rPr>
          <w:delText>eller 80</w:delText>
        </w:r>
        <w:r w:rsidR="00B159D4">
          <w:rPr>
            <w:sz w:val="22"/>
            <w:szCs w:val="22"/>
          </w:rPr>
          <w:delText> </w:delText>
        </w:r>
        <w:r w:rsidR="00816567">
          <w:rPr>
            <w:sz w:val="22"/>
            <w:szCs w:val="22"/>
          </w:rPr>
          <w:delText xml:space="preserve">mg annenhver uke </w:delText>
        </w:r>
        <w:r w:rsidRPr="009C5EFD">
          <w:rPr>
            <w:sz w:val="22"/>
            <w:szCs w:val="22"/>
          </w:rPr>
          <w:delText>avhengig av ditt barns respons.</w:delText>
        </w:r>
      </w:del>
    </w:p>
    <w:p w14:paraId="3EE46F13" w14:textId="289279EB" w:rsidR="00CF2468" w:rsidRDefault="00CF2468">
      <w:pPr>
        <w:rPr>
          <w:del w:id="13600" w:author="AbbVie02no" w:date="2025-05-15T14:19:00Z"/>
          <w:sz w:val="22"/>
          <w:szCs w:val="22"/>
        </w:rPr>
        <w:pPrChange w:id="13601" w:author="AbbVie02no" w:date="2025-05-15T14:19:00Z">
          <w:pPr>
            <w:suppressAutoHyphens/>
          </w:pPr>
        </w:pPrChange>
      </w:pPr>
    </w:p>
    <w:p w14:paraId="5C85F807" w14:textId="60B25674" w:rsidR="00CF2468" w:rsidRPr="00E04B2A" w:rsidRDefault="00E453CD">
      <w:pPr>
        <w:rPr>
          <w:del w:id="13602" w:author="AbbVie02no" w:date="2025-05-15T14:19:00Z"/>
          <w:sz w:val="22"/>
          <w:u w:val="single"/>
        </w:rPr>
        <w:pPrChange w:id="13603" w:author="AbbVie02no" w:date="2025-05-15T14:19:00Z">
          <w:pPr>
            <w:numPr>
              <w:ilvl w:val="12"/>
            </w:numPr>
            <w:ind w:right="-2"/>
          </w:pPr>
        </w:pPrChange>
      </w:pPr>
      <w:bookmarkStart w:id="13604" w:name="_Hlk53658724"/>
      <w:del w:id="13605" w:author="AbbVie02no" w:date="2025-05-15T14:19:00Z">
        <w:r w:rsidRPr="00E04B2A">
          <w:rPr>
            <w:sz w:val="22"/>
            <w:u w:val="single"/>
          </w:rPr>
          <w:delText>Barn og ungdom med ulcerøs kolitt</w:delText>
        </w:r>
      </w:del>
    </w:p>
    <w:p w14:paraId="1A89135D" w14:textId="34AB9BA0" w:rsidR="00CF2468" w:rsidRPr="00E04B2A" w:rsidRDefault="00CF2468">
      <w:pPr>
        <w:rPr>
          <w:del w:id="13606" w:author="AbbVie02no" w:date="2025-05-15T14:19:00Z"/>
          <w:i/>
          <w:iCs/>
          <w:sz w:val="22"/>
        </w:rPr>
        <w:pPrChange w:id="13607" w:author="AbbVie02no" w:date="2025-05-15T14:19:00Z">
          <w:pPr>
            <w:numPr>
              <w:ilvl w:val="12"/>
            </w:numPr>
            <w:ind w:right="-2"/>
          </w:pPr>
        </w:pPrChange>
      </w:pPr>
    </w:p>
    <w:p w14:paraId="17B8A311" w14:textId="03609E4D" w:rsidR="0015674E" w:rsidRPr="00E04B2A" w:rsidRDefault="00E453CD">
      <w:pPr>
        <w:rPr>
          <w:del w:id="13608" w:author="AbbVie02no" w:date="2025-05-15T14:19:00Z"/>
          <w:i/>
          <w:iCs/>
          <w:sz w:val="22"/>
        </w:rPr>
        <w:pPrChange w:id="13609" w:author="AbbVie02no" w:date="2025-05-15T14:19:00Z">
          <w:pPr>
            <w:numPr>
              <w:ilvl w:val="12"/>
            </w:numPr>
            <w:ind w:right="-2"/>
          </w:pPr>
        </w:pPrChange>
      </w:pPr>
      <w:del w:id="13610" w:author="AbbVie02no" w:date="2025-05-15T14:19:00Z">
        <w:r w:rsidRPr="00E04B2A">
          <w:rPr>
            <w:i/>
            <w:sz w:val="22"/>
          </w:rPr>
          <w:delText xml:space="preserve">Barn og ungdom fra 6 år som veier </w:delText>
        </w:r>
        <w:r>
          <w:rPr>
            <w:i/>
            <w:sz w:val="22"/>
          </w:rPr>
          <w:delText>under</w:delText>
        </w:r>
        <w:r w:rsidRPr="00E04B2A">
          <w:rPr>
            <w:i/>
            <w:sz w:val="22"/>
          </w:rPr>
          <w:delText xml:space="preserve"> 40 kg</w:delText>
        </w:r>
      </w:del>
    </w:p>
    <w:p w14:paraId="21547335" w14:textId="2CA58F5E" w:rsidR="0015674E" w:rsidRPr="00E04B2A" w:rsidRDefault="0015674E">
      <w:pPr>
        <w:rPr>
          <w:del w:id="13611" w:author="AbbVie02no" w:date="2025-05-15T14:19:00Z"/>
          <w:sz w:val="22"/>
        </w:rPr>
        <w:pPrChange w:id="13612" w:author="AbbVie02no" w:date="2025-05-15T14:19:00Z">
          <w:pPr>
            <w:numPr>
              <w:ilvl w:val="12"/>
            </w:numPr>
            <w:ind w:right="-2"/>
          </w:pPr>
        </w:pPrChange>
      </w:pPr>
    </w:p>
    <w:p w14:paraId="3FD47C4A" w14:textId="02DA05EF" w:rsidR="0015674E" w:rsidRDefault="00E453CD">
      <w:pPr>
        <w:rPr>
          <w:del w:id="13613" w:author="AbbVie02no" w:date="2025-05-15T14:19:00Z"/>
          <w:sz w:val="22"/>
        </w:rPr>
        <w:pPrChange w:id="13614" w:author="AbbVie02no" w:date="2025-05-15T14:19:00Z">
          <w:pPr>
            <w:numPr>
              <w:ilvl w:val="12"/>
            </w:numPr>
            <w:ind w:right="-2"/>
          </w:pPr>
        </w:pPrChange>
      </w:pPr>
      <w:del w:id="13615" w:author="AbbVie02no" w:date="2025-05-15T14:19:00Z">
        <w:r w:rsidRPr="00E04B2A">
          <w:rPr>
            <w:sz w:val="22"/>
          </w:rPr>
          <w:delText xml:space="preserve">Den </w:delText>
        </w:r>
        <w:r>
          <w:rPr>
            <w:sz w:val="22"/>
          </w:rPr>
          <w:delText xml:space="preserve">vanlige </w:delText>
        </w:r>
        <w:r w:rsidRPr="00E04B2A">
          <w:rPr>
            <w:sz w:val="22"/>
          </w:rPr>
          <w:delText xml:space="preserve">dosen </w:delText>
        </w:r>
        <w:r>
          <w:rPr>
            <w:sz w:val="22"/>
          </w:rPr>
          <w:delText xml:space="preserve">av Humira </w:delText>
        </w:r>
        <w:r w:rsidRPr="00E04B2A">
          <w:rPr>
            <w:sz w:val="22"/>
          </w:rPr>
          <w:delText xml:space="preserve">er 80 mg (som to 40 mg injeksjoner på </w:delText>
        </w:r>
        <w:r>
          <w:rPr>
            <w:sz w:val="22"/>
          </w:rPr>
          <w:delText>é</w:delText>
        </w:r>
        <w:r w:rsidRPr="00E04B2A">
          <w:rPr>
            <w:sz w:val="22"/>
          </w:rPr>
          <w:delText xml:space="preserve">n dag), etterfulgt av 40 mg (som én 40 mg injeksjon) to uker senere. Deretter er den vanlige dosen 40 mg annenhver uke. </w:delText>
        </w:r>
      </w:del>
    </w:p>
    <w:p w14:paraId="55B0FA06" w14:textId="01225C6C" w:rsidR="0015674E" w:rsidRPr="00E04B2A" w:rsidRDefault="0015674E">
      <w:pPr>
        <w:rPr>
          <w:del w:id="13616" w:author="AbbVie02no" w:date="2025-05-15T14:19:00Z"/>
          <w:sz w:val="22"/>
        </w:rPr>
        <w:pPrChange w:id="13617" w:author="AbbVie02no" w:date="2025-05-15T14:19:00Z">
          <w:pPr>
            <w:numPr>
              <w:ilvl w:val="12"/>
            </w:numPr>
            <w:ind w:right="-2"/>
          </w:pPr>
        </w:pPrChange>
      </w:pPr>
    </w:p>
    <w:p w14:paraId="01749B8A" w14:textId="1150A94F" w:rsidR="0015674E" w:rsidRPr="00E04B2A" w:rsidRDefault="00E453CD">
      <w:pPr>
        <w:rPr>
          <w:del w:id="13618" w:author="AbbVie02no" w:date="2025-05-15T14:19:00Z"/>
          <w:sz w:val="22"/>
        </w:rPr>
        <w:pPrChange w:id="13619" w:author="AbbVie02no" w:date="2025-05-15T14:19:00Z">
          <w:pPr>
            <w:numPr>
              <w:ilvl w:val="12"/>
            </w:numPr>
            <w:ind w:right="-2"/>
          </w:pPr>
        </w:pPrChange>
      </w:pPr>
      <w:del w:id="13620" w:author="AbbVie02no" w:date="2025-05-15T14:19:00Z">
        <w:r w:rsidRPr="00E04B2A">
          <w:rPr>
            <w:sz w:val="22"/>
          </w:rPr>
          <w:delText xml:space="preserve">Pasienter som fyller 18 år mens de får 40 mg annenhver uke, bør fortsette </w:delText>
        </w:r>
        <w:r>
          <w:rPr>
            <w:sz w:val="22"/>
          </w:rPr>
          <w:delText xml:space="preserve">med </w:delText>
        </w:r>
        <w:r w:rsidRPr="00E04B2A">
          <w:rPr>
            <w:sz w:val="22"/>
          </w:rPr>
          <w:delText>den foreskrevne dosen.</w:delText>
        </w:r>
      </w:del>
    </w:p>
    <w:p w14:paraId="717FAB10" w14:textId="5E7C0487" w:rsidR="0015674E" w:rsidRPr="00E04B2A" w:rsidRDefault="0015674E">
      <w:pPr>
        <w:rPr>
          <w:del w:id="13621" w:author="AbbVie02no" w:date="2025-05-15T14:19:00Z"/>
          <w:i/>
          <w:iCs/>
          <w:sz w:val="22"/>
        </w:rPr>
        <w:pPrChange w:id="13622" w:author="AbbVie02no" w:date="2025-05-15T14:19:00Z">
          <w:pPr>
            <w:numPr>
              <w:ilvl w:val="12"/>
            </w:numPr>
            <w:ind w:right="-2"/>
          </w:pPr>
        </w:pPrChange>
      </w:pPr>
    </w:p>
    <w:p w14:paraId="49D26BEA" w14:textId="6B805944" w:rsidR="0015674E" w:rsidRPr="00E04B2A" w:rsidRDefault="00E453CD">
      <w:pPr>
        <w:rPr>
          <w:del w:id="13623" w:author="AbbVie02no" w:date="2025-05-15T14:19:00Z"/>
          <w:i/>
          <w:iCs/>
          <w:sz w:val="22"/>
        </w:rPr>
        <w:pPrChange w:id="13624" w:author="AbbVie02no" w:date="2025-05-15T14:19:00Z">
          <w:pPr>
            <w:numPr>
              <w:ilvl w:val="12"/>
            </w:numPr>
            <w:ind w:right="-2"/>
          </w:pPr>
        </w:pPrChange>
      </w:pPr>
      <w:del w:id="13625" w:author="AbbVie02no" w:date="2025-05-15T14:19:00Z">
        <w:r w:rsidRPr="00E04B2A">
          <w:rPr>
            <w:i/>
            <w:sz w:val="22"/>
          </w:rPr>
          <w:delText>Barn og ungdom fra 6 år som veier 40 kg</w:delText>
        </w:r>
        <w:r>
          <w:rPr>
            <w:i/>
            <w:sz w:val="22"/>
          </w:rPr>
          <w:delText xml:space="preserve"> eller mer</w:delText>
        </w:r>
      </w:del>
    </w:p>
    <w:p w14:paraId="2882D2FD" w14:textId="35ED719A" w:rsidR="0015674E" w:rsidRPr="00E04B2A" w:rsidRDefault="0015674E">
      <w:pPr>
        <w:rPr>
          <w:del w:id="13626" w:author="AbbVie02no" w:date="2025-05-15T14:19:00Z"/>
          <w:sz w:val="22"/>
        </w:rPr>
        <w:pPrChange w:id="13627" w:author="AbbVie02no" w:date="2025-05-15T14:19:00Z">
          <w:pPr>
            <w:numPr>
              <w:ilvl w:val="12"/>
            </w:numPr>
            <w:ind w:right="-2"/>
          </w:pPr>
        </w:pPrChange>
      </w:pPr>
    </w:p>
    <w:p w14:paraId="3DE50BBA" w14:textId="620E826E" w:rsidR="0015674E" w:rsidRDefault="00E453CD">
      <w:pPr>
        <w:rPr>
          <w:del w:id="13628" w:author="AbbVie02no" w:date="2025-05-15T14:19:00Z"/>
          <w:sz w:val="22"/>
        </w:rPr>
        <w:pPrChange w:id="13629" w:author="AbbVie02no" w:date="2025-05-15T14:19:00Z">
          <w:pPr>
            <w:numPr>
              <w:ilvl w:val="12"/>
            </w:numPr>
            <w:ind w:right="-2"/>
          </w:pPr>
        </w:pPrChange>
      </w:pPr>
      <w:del w:id="13630" w:author="AbbVie02no" w:date="2025-05-15T14:19:00Z">
        <w:r>
          <w:rPr>
            <w:sz w:val="22"/>
          </w:rPr>
          <w:delText>Den vanlige dosen av Humira er 160</w:delText>
        </w:r>
        <w:r w:rsidRPr="00E04B2A">
          <w:rPr>
            <w:sz w:val="22"/>
          </w:rPr>
          <w:delText xml:space="preserve"> mg (som fire 40 mg injeksjoner på </w:delText>
        </w:r>
        <w:r>
          <w:rPr>
            <w:sz w:val="22"/>
          </w:rPr>
          <w:delText>é</w:delText>
        </w:r>
        <w:r w:rsidRPr="00E04B2A">
          <w:rPr>
            <w:sz w:val="22"/>
          </w:rPr>
          <w:delText>n dag eller to 40 mg injeksjoner dag</w:delText>
        </w:r>
        <w:r>
          <w:rPr>
            <w:sz w:val="22"/>
          </w:rPr>
          <w:delText>lig</w:delText>
        </w:r>
        <w:r w:rsidRPr="00E04B2A">
          <w:rPr>
            <w:sz w:val="22"/>
          </w:rPr>
          <w:delText xml:space="preserve"> </w:delText>
        </w:r>
        <w:r w:rsidR="00326F9C">
          <w:rPr>
            <w:sz w:val="22"/>
          </w:rPr>
          <w:delText>i</w:delText>
        </w:r>
        <w:r w:rsidRPr="00E04B2A">
          <w:rPr>
            <w:sz w:val="22"/>
          </w:rPr>
          <w:delText xml:space="preserve"> to påfølgende dager), etterfulgt av 80 mg (som to 40 mg injeksjoner på én dag) to uker senere. Deretter er den vanlige dosen 80 mg annenhver uke. </w:delText>
        </w:r>
      </w:del>
    </w:p>
    <w:p w14:paraId="16FFB3EB" w14:textId="61AE902C" w:rsidR="0015674E" w:rsidRPr="00E04B2A" w:rsidRDefault="0015674E">
      <w:pPr>
        <w:rPr>
          <w:del w:id="13631" w:author="AbbVie02no" w:date="2025-05-15T14:19:00Z"/>
          <w:sz w:val="22"/>
        </w:rPr>
        <w:pPrChange w:id="13632" w:author="AbbVie02no" w:date="2025-05-15T14:19:00Z">
          <w:pPr>
            <w:numPr>
              <w:ilvl w:val="12"/>
            </w:numPr>
            <w:ind w:right="-2"/>
          </w:pPr>
        </w:pPrChange>
      </w:pPr>
    </w:p>
    <w:p w14:paraId="6AA5ED93" w14:textId="54F7705F" w:rsidR="0015674E" w:rsidRPr="00E04B2A" w:rsidRDefault="00E453CD">
      <w:pPr>
        <w:rPr>
          <w:del w:id="13633" w:author="AbbVie02no" w:date="2025-05-15T14:19:00Z"/>
          <w:sz w:val="22"/>
        </w:rPr>
        <w:pPrChange w:id="13634" w:author="AbbVie02no" w:date="2025-05-15T14:19:00Z">
          <w:pPr>
            <w:numPr>
              <w:ilvl w:val="12"/>
            </w:numPr>
            <w:ind w:right="-2"/>
          </w:pPr>
        </w:pPrChange>
      </w:pPr>
      <w:del w:id="13635" w:author="AbbVie02no" w:date="2025-05-15T14:19:00Z">
        <w:r w:rsidRPr="00E04B2A">
          <w:rPr>
            <w:sz w:val="22"/>
          </w:rPr>
          <w:delText xml:space="preserve">Pasienter som fyller 18 år mens de får 80 mg annenhver uke, bør fortsette </w:delText>
        </w:r>
        <w:r>
          <w:rPr>
            <w:sz w:val="22"/>
          </w:rPr>
          <w:delText xml:space="preserve">med </w:delText>
        </w:r>
        <w:r w:rsidRPr="00E04B2A">
          <w:rPr>
            <w:sz w:val="22"/>
          </w:rPr>
          <w:delText>den foreskrevne dosen.</w:delText>
        </w:r>
      </w:del>
    </w:p>
    <w:bookmarkEnd w:id="13604"/>
    <w:p w14:paraId="7A980ADF" w14:textId="675E60F1" w:rsidR="00CF2468" w:rsidRPr="009C5EFD" w:rsidRDefault="00CF2468">
      <w:pPr>
        <w:rPr>
          <w:del w:id="13636" w:author="AbbVie02no" w:date="2025-05-15T14:19:00Z"/>
          <w:sz w:val="22"/>
          <w:szCs w:val="22"/>
        </w:rPr>
        <w:pPrChange w:id="13637" w:author="AbbVie02no" w:date="2025-05-15T14:19:00Z">
          <w:pPr>
            <w:suppressAutoHyphens/>
          </w:pPr>
        </w:pPrChange>
      </w:pPr>
    </w:p>
    <w:p w14:paraId="35E6117C" w14:textId="43ACFB64" w:rsidR="00354729" w:rsidRDefault="00E453CD">
      <w:pPr>
        <w:rPr>
          <w:del w:id="13638" w:author="AbbVie02no" w:date="2025-05-15T14:19:00Z"/>
          <w:szCs w:val="22"/>
          <w:u w:val="single"/>
        </w:rPr>
        <w:pPrChange w:id="13639" w:author="AbbVie02no" w:date="2025-05-15T14:19:00Z">
          <w:pPr>
            <w:pStyle w:val="BodyText3"/>
            <w:keepNext/>
            <w:tabs>
              <w:tab w:val="clear" w:pos="-720"/>
            </w:tabs>
          </w:pPr>
        </w:pPrChange>
      </w:pPr>
      <w:del w:id="13640" w:author="AbbVie02no" w:date="2025-05-15T14:19:00Z">
        <w:r>
          <w:rPr>
            <w:szCs w:val="22"/>
            <w:u w:val="single"/>
          </w:rPr>
          <w:delText xml:space="preserve">Barn </w:delText>
        </w:r>
        <w:r w:rsidR="00D01CA8">
          <w:rPr>
            <w:szCs w:val="22"/>
            <w:u w:val="single"/>
          </w:rPr>
          <w:delText xml:space="preserve">og ungdom </w:delText>
        </w:r>
        <w:r>
          <w:rPr>
            <w:szCs w:val="22"/>
            <w:u w:val="single"/>
          </w:rPr>
          <w:delText>med kronisk ikke-</w:delText>
        </w:r>
        <w:r w:rsidR="00302DF8">
          <w:rPr>
            <w:szCs w:val="22"/>
            <w:u w:val="single"/>
          </w:rPr>
          <w:delText>infeksiøs</w:delText>
        </w:r>
        <w:r>
          <w:rPr>
            <w:szCs w:val="22"/>
            <w:u w:val="single"/>
          </w:rPr>
          <w:delText xml:space="preserve"> uveitt </w:delText>
        </w:r>
        <w:r w:rsidR="00E90B80">
          <w:rPr>
            <w:szCs w:val="22"/>
            <w:u w:val="single"/>
          </w:rPr>
          <w:delText>over</w:delText>
        </w:r>
        <w:r>
          <w:rPr>
            <w:szCs w:val="22"/>
            <w:u w:val="single"/>
          </w:rPr>
          <w:delText xml:space="preserve"> 2 år</w:delText>
        </w:r>
      </w:del>
    </w:p>
    <w:p w14:paraId="5639A148" w14:textId="5E351294" w:rsidR="00354729" w:rsidRDefault="00354729">
      <w:pPr>
        <w:rPr>
          <w:del w:id="13641" w:author="AbbVie02no" w:date="2025-05-15T14:19:00Z"/>
          <w:szCs w:val="22"/>
          <w:u w:val="single"/>
        </w:rPr>
        <w:pPrChange w:id="13642" w:author="AbbVie02no" w:date="2025-05-15T14:19:00Z">
          <w:pPr>
            <w:pStyle w:val="BodyText3"/>
            <w:keepNext/>
            <w:tabs>
              <w:tab w:val="clear" w:pos="-720"/>
            </w:tabs>
          </w:pPr>
        </w:pPrChange>
      </w:pPr>
    </w:p>
    <w:p w14:paraId="7BED1BD2" w14:textId="73A6FA5A" w:rsidR="00354729" w:rsidRPr="00AB7697" w:rsidRDefault="00E453CD">
      <w:pPr>
        <w:rPr>
          <w:del w:id="13643" w:author="AbbVie02no" w:date="2025-05-15T14:19:00Z"/>
          <w:i/>
          <w:szCs w:val="22"/>
        </w:rPr>
        <w:pPrChange w:id="13644" w:author="AbbVie02no" w:date="2025-05-15T14:19:00Z">
          <w:pPr>
            <w:pStyle w:val="BodyText3"/>
            <w:keepNext/>
            <w:tabs>
              <w:tab w:val="clear" w:pos="-720"/>
            </w:tabs>
          </w:pPr>
        </w:pPrChange>
      </w:pPr>
      <w:del w:id="13645" w:author="AbbVie02no" w:date="2025-05-15T14:19:00Z">
        <w:r w:rsidRPr="00AB7697">
          <w:rPr>
            <w:i/>
            <w:szCs w:val="22"/>
          </w:rPr>
          <w:delText xml:space="preserve">Barn </w:delText>
        </w:r>
        <w:r w:rsidR="00D01CA8">
          <w:rPr>
            <w:i/>
            <w:szCs w:val="22"/>
          </w:rPr>
          <w:delText xml:space="preserve">og ungdom </w:delText>
        </w:r>
        <w:r w:rsidR="00CD128C">
          <w:rPr>
            <w:i/>
            <w:szCs w:val="22"/>
          </w:rPr>
          <w:delText>over</w:delText>
        </w:r>
        <w:r w:rsidR="00D01CA8">
          <w:rPr>
            <w:i/>
            <w:szCs w:val="22"/>
          </w:rPr>
          <w:delText xml:space="preserve"> 2 år </w:delText>
        </w:r>
        <w:r w:rsidRPr="00AB7697">
          <w:rPr>
            <w:i/>
            <w:szCs w:val="22"/>
          </w:rPr>
          <w:delText xml:space="preserve">som veier </w:delText>
        </w:r>
        <w:r w:rsidR="00684DB9">
          <w:rPr>
            <w:i/>
            <w:szCs w:val="22"/>
          </w:rPr>
          <w:delText>under</w:delText>
        </w:r>
        <w:r w:rsidRPr="00AB7697">
          <w:rPr>
            <w:i/>
            <w:szCs w:val="22"/>
          </w:rPr>
          <w:delText xml:space="preserve"> 30 kg</w:delText>
        </w:r>
      </w:del>
    </w:p>
    <w:p w14:paraId="5251513B" w14:textId="67DF3BA4" w:rsidR="00354729" w:rsidRDefault="00354729">
      <w:pPr>
        <w:rPr>
          <w:del w:id="13646" w:author="AbbVie02no" w:date="2025-05-15T14:19:00Z"/>
          <w:szCs w:val="22"/>
          <w:u w:val="single"/>
        </w:rPr>
        <w:pPrChange w:id="13647" w:author="AbbVie02no" w:date="2025-05-15T14:19:00Z">
          <w:pPr>
            <w:pStyle w:val="BodyText3"/>
            <w:keepNext/>
            <w:tabs>
              <w:tab w:val="clear" w:pos="-720"/>
            </w:tabs>
          </w:pPr>
        </w:pPrChange>
      </w:pPr>
    </w:p>
    <w:p w14:paraId="14A62DB6" w14:textId="2FAFC5EA" w:rsidR="00354729" w:rsidRDefault="00E453CD">
      <w:pPr>
        <w:rPr>
          <w:del w:id="13648" w:author="AbbVie02no" w:date="2025-05-15T14:19:00Z"/>
          <w:szCs w:val="22"/>
        </w:rPr>
        <w:pPrChange w:id="13649" w:author="AbbVie02no" w:date="2025-05-15T14:19:00Z">
          <w:pPr>
            <w:pStyle w:val="BodyText3"/>
            <w:tabs>
              <w:tab w:val="clear" w:pos="-720"/>
            </w:tabs>
          </w:pPr>
        </w:pPrChange>
      </w:pPr>
      <w:del w:id="13650" w:author="AbbVie02no" w:date="2025-05-15T14:19:00Z">
        <w:r>
          <w:rPr>
            <w:szCs w:val="22"/>
          </w:rPr>
          <w:delText>Den vanlige dosen av Humira er 20 mg annenhver uke sammen med metotreksat.</w:delText>
        </w:r>
      </w:del>
    </w:p>
    <w:p w14:paraId="46345A76" w14:textId="05486CCA" w:rsidR="00354729" w:rsidRDefault="00354729">
      <w:pPr>
        <w:rPr>
          <w:del w:id="13651" w:author="AbbVie02no" w:date="2025-05-15T14:19:00Z"/>
          <w:szCs w:val="22"/>
        </w:rPr>
        <w:pPrChange w:id="13652" w:author="AbbVie02no" w:date="2025-05-15T14:19:00Z">
          <w:pPr>
            <w:pStyle w:val="BodyText3"/>
            <w:tabs>
              <w:tab w:val="clear" w:pos="-720"/>
            </w:tabs>
          </w:pPr>
        </w:pPrChange>
      </w:pPr>
    </w:p>
    <w:p w14:paraId="617F354F" w14:textId="25ACA0B1" w:rsidR="00354729" w:rsidRDefault="00E453CD">
      <w:pPr>
        <w:rPr>
          <w:del w:id="13653" w:author="AbbVie02no" w:date="2025-05-15T14:19:00Z"/>
          <w:szCs w:val="22"/>
        </w:rPr>
        <w:pPrChange w:id="13654" w:author="AbbVie02no" w:date="2025-05-15T14:19:00Z">
          <w:pPr>
            <w:pStyle w:val="BodyText3"/>
            <w:tabs>
              <w:tab w:val="clear" w:pos="-720"/>
            </w:tabs>
          </w:pPr>
        </w:pPrChange>
      </w:pPr>
      <w:del w:id="13655" w:author="AbbVie02no" w:date="2025-05-15T14:19:00Z">
        <w:r>
          <w:rPr>
            <w:szCs w:val="22"/>
          </w:rPr>
          <w:delText>Legen til barnet ditt kan også forskrive en startdose på 40 mg som skal gis én uke før</w:delText>
        </w:r>
        <w:r w:rsidR="002316CD">
          <w:rPr>
            <w:szCs w:val="22"/>
          </w:rPr>
          <w:delText xml:space="preserve"> oppstart av</w:delText>
        </w:r>
        <w:r>
          <w:rPr>
            <w:szCs w:val="22"/>
          </w:rPr>
          <w:delText xml:space="preserve"> den vanlige dosen.</w:delText>
        </w:r>
      </w:del>
    </w:p>
    <w:p w14:paraId="682D0CBC" w14:textId="6A9D70B4" w:rsidR="00354729" w:rsidRDefault="00354729">
      <w:pPr>
        <w:rPr>
          <w:del w:id="13656" w:author="AbbVie02no" w:date="2025-05-15T14:19:00Z"/>
          <w:szCs w:val="22"/>
        </w:rPr>
        <w:pPrChange w:id="13657" w:author="AbbVie02no" w:date="2025-05-15T14:19:00Z">
          <w:pPr>
            <w:pStyle w:val="BodyText3"/>
            <w:tabs>
              <w:tab w:val="clear" w:pos="-720"/>
            </w:tabs>
          </w:pPr>
        </w:pPrChange>
      </w:pPr>
    </w:p>
    <w:p w14:paraId="234E7DDD" w14:textId="45532BF1" w:rsidR="00354729" w:rsidRPr="00AB7697" w:rsidRDefault="00E453CD">
      <w:pPr>
        <w:rPr>
          <w:del w:id="13658" w:author="AbbVie02no" w:date="2025-05-15T14:19:00Z"/>
          <w:i/>
          <w:szCs w:val="22"/>
        </w:rPr>
        <w:pPrChange w:id="13659" w:author="AbbVie02no" w:date="2025-05-15T14:19:00Z">
          <w:pPr>
            <w:pStyle w:val="BodyText3"/>
            <w:keepNext/>
            <w:tabs>
              <w:tab w:val="clear" w:pos="-720"/>
            </w:tabs>
          </w:pPr>
        </w:pPrChange>
      </w:pPr>
      <w:del w:id="13660" w:author="AbbVie02no" w:date="2025-05-15T14:19:00Z">
        <w:r w:rsidRPr="00AB7697">
          <w:rPr>
            <w:i/>
            <w:szCs w:val="22"/>
          </w:rPr>
          <w:delText xml:space="preserve">Barn </w:delText>
        </w:r>
        <w:r w:rsidR="00D01CA8">
          <w:rPr>
            <w:i/>
            <w:szCs w:val="22"/>
          </w:rPr>
          <w:delText xml:space="preserve">og ungdom </w:delText>
        </w:r>
        <w:r w:rsidR="00CD128C">
          <w:rPr>
            <w:i/>
            <w:szCs w:val="22"/>
          </w:rPr>
          <w:delText>over</w:delText>
        </w:r>
        <w:r w:rsidR="00D01CA8">
          <w:rPr>
            <w:i/>
            <w:szCs w:val="22"/>
          </w:rPr>
          <w:delText xml:space="preserve"> 2 år </w:delText>
        </w:r>
        <w:r w:rsidRPr="00AB7697">
          <w:rPr>
            <w:i/>
            <w:szCs w:val="22"/>
          </w:rPr>
          <w:delText>som veier 30 kg eller mer</w:delText>
        </w:r>
      </w:del>
    </w:p>
    <w:p w14:paraId="153F3A8A" w14:textId="22C9A634" w:rsidR="00354729" w:rsidRDefault="00354729">
      <w:pPr>
        <w:rPr>
          <w:del w:id="13661" w:author="AbbVie02no" w:date="2025-05-15T14:19:00Z"/>
          <w:szCs w:val="22"/>
          <w:u w:val="single"/>
        </w:rPr>
        <w:pPrChange w:id="13662" w:author="AbbVie02no" w:date="2025-05-15T14:19:00Z">
          <w:pPr>
            <w:pStyle w:val="BodyText3"/>
            <w:keepNext/>
            <w:tabs>
              <w:tab w:val="clear" w:pos="-720"/>
            </w:tabs>
          </w:pPr>
        </w:pPrChange>
      </w:pPr>
    </w:p>
    <w:p w14:paraId="35B57CE7" w14:textId="06C8BC53" w:rsidR="00354729" w:rsidRDefault="00E453CD">
      <w:pPr>
        <w:rPr>
          <w:del w:id="13663" w:author="AbbVie02no" w:date="2025-05-15T14:19:00Z"/>
          <w:szCs w:val="22"/>
        </w:rPr>
        <w:pPrChange w:id="13664" w:author="AbbVie02no" w:date="2025-05-15T14:19:00Z">
          <w:pPr>
            <w:pStyle w:val="BodyText3"/>
            <w:tabs>
              <w:tab w:val="clear" w:pos="-720"/>
            </w:tabs>
          </w:pPr>
        </w:pPrChange>
      </w:pPr>
      <w:del w:id="13665" w:author="AbbVie02no" w:date="2025-05-15T14:19:00Z">
        <w:r>
          <w:rPr>
            <w:szCs w:val="22"/>
          </w:rPr>
          <w:delText>Den vanlige dosen av Humira er 40 mg annenhver uke sammen med metotreksat.</w:delText>
        </w:r>
      </w:del>
    </w:p>
    <w:p w14:paraId="0E856950" w14:textId="5DED6656" w:rsidR="00354729" w:rsidRDefault="00354729">
      <w:pPr>
        <w:rPr>
          <w:del w:id="13666" w:author="AbbVie02no" w:date="2025-05-15T14:19:00Z"/>
          <w:szCs w:val="22"/>
        </w:rPr>
        <w:pPrChange w:id="13667" w:author="AbbVie02no" w:date="2025-05-15T14:19:00Z">
          <w:pPr>
            <w:pStyle w:val="BodyText3"/>
            <w:tabs>
              <w:tab w:val="clear" w:pos="-720"/>
            </w:tabs>
          </w:pPr>
        </w:pPrChange>
      </w:pPr>
    </w:p>
    <w:p w14:paraId="2F25C8CD" w14:textId="7DD0C640" w:rsidR="00354729" w:rsidRPr="00354729" w:rsidRDefault="00E453CD">
      <w:pPr>
        <w:rPr>
          <w:del w:id="13668" w:author="AbbVie02no" w:date="2025-05-15T14:19:00Z"/>
          <w:szCs w:val="22"/>
        </w:rPr>
        <w:pPrChange w:id="13669" w:author="AbbVie02no" w:date="2025-05-15T14:19:00Z">
          <w:pPr>
            <w:pStyle w:val="BodyText3"/>
            <w:tabs>
              <w:tab w:val="clear" w:pos="-720"/>
            </w:tabs>
          </w:pPr>
        </w:pPrChange>
      </w:pPr>
      <w:del w:id="13670" w:author="AbbVie02no" w:date="2025-05-15T14:19:00Z">
        <w:r>
          <w:rPr>
            <w:szCs w:val="22"/>
          </w:rPr>
          <w:delText xml:space="preserve">Legen til barnet ditt kan også forskrive en startdose på 80 mg som skal gis én uke før </w:delText>
        </w:r>
        <w:r w:rsidR="002316CD">
          <w:rPr>
            <w:szCs w:val="22"/>
          </w:rPr>
          <w:delText xml:space="preserve">oppstart av </w:delText>
        </w:r>
        <w:r>
          <w:rPr>
            <w:szCs w:val="22"/>
          </w:rPr>
          <w:delText>den vanlige dosen.</w:delText>
        </w:r>
      </w:del>
    </w:p>
    <w:p w14:paraId="579536CA" w14:textId="4D528A8C" w:rsidR="00EF186B" w:rsidRPr="00DA6326" w:rsidRDefault="00EF186B">
      <w:pPr>
        <w:rPr>
          <w:del w:id="13671" w:author="AbbVie02no" w:date="2025-05-15T14:19:00Z"/>
          <w:szCs w:val="22"/>
        </w:rPr>
        <w:pPrChange w:id="13672" w:author="AbbVie02no" w:date="2025-05-15T14:19:00Z">
          <w:pPr>
            <w:pStyle w:val="BodyText3"/>
            <w:tabs>
              <w:tab w:val="clear" w:pos="-720"/>
            </w:tabs>
          </w:pPr>
        </w:pPrChange>
      </w:pPr>
    </w:p>
    <w:p w14:paraId="1263C6D1" w14:textId="1868F964" w:rsidR="00FB36DE" w:rsidRPr="009C5EFD" w:rsidRDefault="00E453CD">
      <w:pPr>
        <w:rPr>
          <w:del w:id="13673" w:author="AbbVie02no" w:date="2025-05-15T14:19:00Z"/>
          <w:szCs w:val="22"/>
        </w:rPr>
        <w:pPrChange w:id="13674" w:author="AbbVie02no" w:date="2025-05-15T14:19:00Z">
          <w:pPr>
            <w:pStyle w:val="BodyText3"/>
            <w:keepNext/>
            <w:tabs>
              <w:tab w:val="clear" w:pos="-720"/>
            </w:tabs>
          </w:pPr>
        </w:pPrChange>
      </w:pPr>
      <w:del w:id="13675" w:author="AbbVie02no" w:date="2025-05-15T14:19:00Z">
        <w:r w:rsidRPr="009C5EFD">
          <w:rPr>
            <w:szCs w:val="22"/>
          </w:rPr>
          <w:delText>Metode og administrasjonsmåte</w:delText>
        </w:r>
      </w:del>
    </w:p>
    <w:p w14:paraId="18CEF4D4" w14:textId="0E342EB3" w:rsidR="00FB36DE" w:rsidRPr="009C5EFD" w:rsidRDefault="00FB36DE">
      <w:pPr>
        <w:rPr>
          <w:del w:id="13676" w:author="AbbVie02no" w:date="2025-05-15T14:19:00Z"/>
          <w:szCs w:val="22"/>
        </w:rPr>
        <w:pPrChange w:id="13677" w:author="AbbVie02no" w:date="2025-05-15T14:19:00Z">
          <w:pPr>
            <w:pStyle w:val="BodyText3"/>
            <w:keepNext/>
            <w:tabs>
              <w:tab w:val="clear" w:pos="-720"/>
            </w:tabs>
          </w:pPr>
        </w:pPrChange>
      </w:pPr>
    </w:p>
    <w:p w14:paraId="569325A2" w14:textId="78DA47A9" w:rsidR="00FB36DE" w:rsidRPr="009C5EFD" w:rsidRDefault="00E453CD">
      <w:pPr>
        <w:rPr>
          <w:del w:id="13678" w:author="AbbVie02no" w:date="2025-05-15T14:19:00Z"/>
          <w:szCs w:val="22"/>
        </w:rPr>
        <w:pPrChange w:id="13679" w:author="AbbVie02no" w:date="2025-05-15T14:19:00Z">
          <w:pPr>
            <w:pStyle w:val="BodyText3"/>
            <w:tabs>
              <w:tab w:val="clear" w:pos="-720"/>
            </w:tabs>
          </w:pPr>
        </w:pPrChange>
      </w:pPr>
      <w:del w:id="13680" w:author="AbbVie02no" w:date="2025-05-15T14:19:00Z">
        <w:r w:rsidRPr="009C5EFD">
          <w:rPr>
            <w:szCs w:val="22"/>
          </w:rPr>
          <w:delText xml:space="preserve">Humira administreres </w:delText>
        </w:r>
        <w:r w:rsidR="00626FDD" w:rsidRPr="009C5EFD">
          <w:rPr>
            <w:szCs w:val="22"/>
          </w:rPr>
          <w:delText xml:space="preserve">(gis) </w:delText>
        </w:r>
        <w:r w:rsidRPr="009C5EFD">
          <w:rPr>
            <w:szCs w:val="22"/>
          </w:rPr>
          <w:delText>ved injeksjon under huden (ved subkutan injeksjon).</w:delText>
        </w:r>
      </w:del>
    </w:p>
    <w:p w14:paraId="66178FAA" w14:textId="68FC1142" w:rsidR="00FB36DE" w:rsidRPr="009C5EFD" w:rsidRDefault="00FB36DE">
      <w:pPr>
        <w:rPr>
          <w:del w:id="13681" w:author="AbbVie02no" w:date="2025-05-15T14:19:00Z"/>
          <w:szCs w:val="22"/>
        </w:rPr>
        <w:pPrChange w:id="13682" w:author="AbbVie02no" w:date="2025-05-15T14:19:00Z">
          <w:pPr>
            <w:pStyle w:val="BodyText3"/>
            <w:tabs>
              <w:tab w:val="clear" w:pos="-720"/>
            </w:tabs>
          </w:pPr>
        </w:pPrChange>
      </w:pPr>
    </w:p>
    <w:p w14:paraId="30EF6877" w14:textId="0A93C757" w:rsidR="00DE3458" w:rsidRPr="009C5EFD" w:rsidRDefault="00E453CD">
      <w:pPr>
        <w:rPr>
          <w:del w:id="13683" w:author="AbbVie02no" w:date="2025-05-15T14:19:00Z"/>
          <w:szCs w:val="22"/>
        </w:rPr>
        <w:pPrChange w:id="13684" w:author="AbbVie02no" w:date="2025-05-15T14:19:00Z">
          <w:pPr>
            <w:pStyle w:val="BodyText3"/>
            <w:keepNext/>
            <w:tabs>
              <w:tab w:val="clear" w:pos="-720"/>
            </w:tabs>
          </w:pPr>
        </w:pPrChange>
      </w:pPr>
      <w:del w:id="13685" w:author="AbbVie02no" w:date="2025-05-15T14:19:00Z">
        <w:r w:rsidRPr="009C5EFD">
          <w:rPr>
            <w:szCs w:val="22"/>
          </w:rPr>
          <w:delText>Instruksjoner om hvordan en injeksjon Humira forberedes og settes</w:delText>
        </w:r>
      </w:del>
    </w:p>
    <w:p w14:paraId="6B8772CC" w14:textId="62530263" w:rsidR="00DE3458" w:rsidRPr="009C5EFD" w:rsidRDefault="00DE3458">
      <w:pPr>
        <w:rPr>
          <w:del w:id="13686" w:author="AbbVie02no" w:date="2025-05-15T14:19:00Z"/>
          <w:sz w:val="22"/>
          <w:szCs w:val="22"/>
        </w:rPr>
        <w:pPrChange w:id="13687" w:author="AbbVie02no" w:date="2025-05-15T14:19:00Z">
          <w:pPr>
            <w:keepNext/>
            <w:suppressAutoHyphens/>
          </w:pPr>
        </w:pPrChange>
      </w:pPr>
    </w:p>
    <w:p w14:paraId="464BE695" w14:textId="71CD58FE" w:rsidR="00DE3458" w:rsidRPr="009C5EFD" w:rsidRDefault="00E453CD">
      <w:pPr>
        <w:rPr>
          <w:del w:id="13688" w:author="AbbVie02no" w:date="2025-05-15T14:19:00Z"/>
          <w:sz w:val="22"/>
          <w:szCs w:val="22"/>
        </w:rPr>
        <w:pPrChange w:id="13689" w:author="AbbVie02no" w:date="2025-05-15T14:19:00Z">
          <w:pPr>
            <w:suppressAutoHyphens/>
          </w:pPr>
        </w:pPrChange>
      </w:pPr>
      <w:del w:id="13690" w:author="AbbVie02no" w:date="2025-05-15T14:19:00Z">
        <w:r w:rsidRPr="009C5EFD">
          <w:rPr>
            <w:sz w:val="22"/>
            <w:szCs w:val="22"/>
          </w:rPr>
          <w:delText xml:space="preserve">Følgende instruksjoner forklarer hvordan Humira skal injiseres. Les instruksjonene nøye og følg dem steg for steg. Legen eller legens assistent vil forklare deg hvordan du skal sette sprøyten </w:delText>
        </w:r>
        <w:r w:rsidR="00266CF0" w:rsidRPr="009C5EFD">
          <w:rPr>
            <w:sz w:val="22"/>
            <w:szCs w:val="22"/>
          </w:rPr>
          <w:delText>og mengden du skal gi</w:delText>
        </w:r>
        <w:r w:rsidRPr="009C5EFD">
          <w:rPr>
            <w:sz w:val="22"/>
            <w:szCs w:val="22"/>
          </w:rPr>
          <w:delText xml:space="preserve"> </w:delText>
        </w:r>
        <w:r w:rsidR="009C7F12" w:rsidRPr="009C5EFD">
          <w:rPr>
            <w:sz w:val="22"/>
            <w:szCs w:val="22"/>
          </w:rPr>
          <w:delText>ditt barn</w:delText>
        </w:r>
        <w:r w:rsidRPr="009C5EFD">
          <w:rPr>
            <w:sz w:val="22"/>
            <w:szCs w:val="22"/>
          </w:rPr>
          <w:delText xml:space="preserve">. Ikke forsøk å sette sprøyten på </w:delText>
        </w:r>
        <w:r w:rsidR="009C7F12" w:rsidRPr="009C5EFD">
          <w:rPr>
            <w:sz w:val="22"/>
            <w:szCs w:val="22"/>
          </w:rPr>
          <w:delText>ditt barn</w:delText>
        </w:r>
        <w:r w:rsidRPr="009C5EFD">
          <w:rPr>
            <w:sz w:val="22"/>
            <w:szCs w:val="22"/>
          </w:rPr>
          <w:delText xml:space="preserve"> før du er sikker på at du forstår hvordan sprøyten skal gjøres i stand og settes. Etter nødvendig opplæring kan du sette injeksjonen selv, eller en annen person, for eksempel et familiemedlem eller en venn, kan sette den.</w:delText>
        </w:r>
      </w:del>
    </w:p>
    <w:p w14:paraId="68D9C050" w14:textId="6DDC0ACC" w:rsidR="00DE3458" w:rsidRPr="009C5EFD" w:rsidRDefault="00DE3458">
      <w:pPr>
        <w:rPr>
          <w:del w:id="13691" w:author="AbbVie02no" w:date="2025-05-15T14:19:00Z"/>
          <w:sz w:val="22"/>
          <w:szCs w:val="22"/>
        </w:rPr>
        <w:pPrChange w:id="13692" w:author="AbbVie02no" w:date="2025-05-15T14:19:00Z">
          <w:pPr>
            <w:suppressAutoHyphens/>
          </w:pPr>
        </w:pPrChange>
      </w:pPr>
    </w:p>
    <w:p w14:paraId="04B3A345" w14:textId="1FB48F30" w:rsidR="009C7F12" w:rsidRPr="009C5EFD" w:rsidRDefault="00E453CD">
      <w:pPr>
        <w:rPr>
          <w:del w:id="13693" w:author="AbbVie02no" w:date="2025-05-15T14:19:00Z"/>
          <w:sz w:val="22"/>
          <w:szCs w:val="22"/>
        </w:rPr>
        <w:pPrChange w:id="13694" w:author="AbbVie02no" w:date="2025-05-15T14:19:00Z">
          <w:pPr>
            <w:suppressAutoHyphens/>
          </w:pPr>
        </w:pPrChange>
      </w:pPr>
      <w:del w:id="13695" w:author="AbbVie02no" w:date="2025-05-15T14:19:00Z">
        <w:r w:rsidRPr="009C5EFD">
          <w:rPr>
            <w:sz w:val="22"/>
            <w:szCs w:val="22"/>
          </w:rPr>
          <w:delText>Feil</w:delText>
        </w:r>
        <w:r w:rsidR="000E4F8F" w:rsidRPr="009C5EFD">
          <w:rPr>
            <w:sz w:val="22"/>
            <w:szCs w:val="22"/>
          </w:rPr>
          <w:delText xml:space="preserve"> i utførelse</w:delText>
        </w:r>
        <w:r w:rsidRPr="009C5EFD">
          <w:rPr>
            <w:sz w:val="22"/>
            <w:szCs w:val="22"/>
          </w:rPr>
          <w:delText xml:space="preserve"> av</w:delText>
        </w:r>
        <w:r w:rsidR="000E4F8F" w:rsidRPr="009C5EFD">
          <w:rPr>
            <w:sz w:val="22"/>
            <w:szCs w:val="22"/>
          </w:rPr>
          <w:delText xml:space="preserve"> </w:delText>
        </w:r>
        <w:r w:rsidRPr="009C5EFD">
          <w:rPr>
            <w:sz w:val="22"/>
            <w:szCs w:val="22"/>
          </w:rPr>
          <w:delText>f</w:delText>
        </w:r>
        <w:r w:rsidR="008740BD" w:rsidRPr="009C5EFD">
          <w:rPr>
            <w:sz w:val="22"/>
            <w:szCs w:val="22"/>
          </w:rPr>
          <w:delText>ø</w:delText>
        </w:r>
        <w:r w:rsidRPr="009C5EFD">
          <w:rPr>
            <w:sz w:val="22"/>
            <w:szCs w:val="22"/>
          </w:rPr>
          <w:delText xml:space="preserve">lgende </w:delText>
        </w:r>
        <w:r w:rsidR="000E4F8F" w:rsidRPr="009C5EFD">
          <w:rPr>
            <w:sz w:val="22"/>
            <w:szCs w:val="22"/>
          </w:rPr>
          <w:delText xml:space="preserve">trinn kan forårsake </w:delText>
        </w:r>
        <w:r w:rsidR="008740BD" w:rsidRPr="009C5EFD">
          <w:rPr>
            <w:sz w:val="22"/>
            <w:szCs w:val="22"/>
          </w:rPr>
          <w:delText>forurensning</w:delText>
        </w:r>
        <w:r w:rsidRPr="009C5EFD">
          <w:rPr>
            <w:sz w:val="22"/>
            <w:szCs w:val="22"/>
          </w:rPr>
          <w:delText xml:space="preserve"> som</w:delText>
        </w:r>
        <w:r w:rsidR="000E4F8F" w:rsidRPr="009C5EFD">
          <w:rPr>
            <w:sz w:val="22"/>
            <w:szCs w:val="22"/>
          </w:rPr>
          <w:delText xml:space="preserve"> </w:delText>
        </w:r>
        <w:r w:rsidRPr="009C5EFD">
          <w:rPr>
            <w:sz w:val="22"/>
            <w:szCs w:val="22"/>
          </w:rPr>
          <w:delText xml:space="preserve">videre </w:delText>
        </w:r>
        <w:r w:rsidR="000E4F8F" w:rsidRPr="009C5EFD">
          <w:rPr>
            <w:sz w:val="22"/>
            <w:szCs w:val="22"/>
          </w:rPr>
          <w:delText xml:space="preserve">kan føre til infeksjon hos ditt barn. </w:delText>
        </w:r>
      </w:del>
    </w:p>
    <w:p w14:paraId="7A8B383F" w14:textId="6CE5D8BC" w:rsidR="009C7F12" w:rsidRPr="009C5EFD" w:rsidRDefault="009C7F12">
      <w:pPr>
        <w:rPr>
          <w:del w:id="13696" w:author="AbbVie02no" w:date="2025-05-15T14:19:00Z"/>
          <w:sz w:val="22"/>
          <w:szCs w:val="22"/>
        </w:rPr>
        <w:pPrChange w:id="13697" w:author="AbbVie02no" w:date="2025-05-15T14:19:00Z">
          <w:pPr>
            <w:suppressAutoHyphens/>
          </w:pPr>
        </w:pPrChange>
      </w:pPr>
    </w:p>
    <w:p w14:paraId="49F9D334" w14:textId="6D4F6278" w:rsidR="00DE3458" w:rsidRPr="009C5EFD" w:rsidRDefault="00E453CD">
      <w:pPr>
        <w:rPr>
          <w:del w:id="13698" w:author="AbbVie02no" w:date="2025-05-15T14:19:00Z"/>
          <w:sz w:val="22"/>
          <w:szCs w:val="22"/>
        </w:rPr>
        <w:pPrChange w:id="13699" w:author="AbbVie02no" w:date="2025-05-15T14:19:00Z">
          <w:pPr>
            <w:suppressAutoHyphens/>
          </w:pPr>
        </w:pPrChange>
      </w:pPr>
      <w:del w:id="13700" w:author="AbbVie02no" w:date="2025-05-15T14:19:00Z">
        <w:r w:rsidRPr="009C5EFD">
          <w:rPr>
            <w:sz w:val="22"/>
            <w:szCs w:val="22"/>
          </w:rPr>
          <w:delText>Injeksjonen skal ikke blandes ut i samme sprøyte eller hetteglass sammen med noe annet legemiddel.</w:delText>
        </w:r>
      </w:del>
    </w:p>
    <w:p w14:paraId="102857B9" w14:textId="19819546" w:rsidR="00DE3458" w:rsidRPr="009C5EFD" w:rsidRDefault="00DE3458">
      <w:pPr>
        <w:rPr>
          <w:del w:id="13701" w:author="AbbVie02no" w:date="2025-05-15T14:19:00Z"/>
          <w:sz w:val="22"/>
          <w:szCs w:val="22"/>
        </w:rPr>
        <w:pPrChange w:id="13702" w:author="AbbVie02no" w:date="2025-05-15T14:19:00Z">
          <w:pPr>
            <w:suppressAutoHyphens/>
          </w:pPr>
        </w:pPrChange>
      </w:pPr>
    </w:p>
    <w:p w14:paraId="76BA01E9" w14:textId="4371E0D0" w:rsidR="00DE3458" w:rsidRPr="009C5EFD" w:rsidRDefault="00E453CD">
      <w:pPr>
        <w:rPr>
          <w:del w:id="13703" w:author="AbbVie02no" w:date="2025-05-15T14:19:00Z"/>
          <w:b/>
          <w:sz w:val="22"/>
          <w:szCs w:val="22"/>
        </w:rPr>
        <w:pPrChange w:id="13704" w:author="AbbVie02no" w:date="2025-05-15T14:19:00Z">
          <w:pPr>
            <w:keepNext/>
            <w:numPr>
              <w:numId w:val="4"/>
            </w:numPr>
            <w:tabs>
              <w:tab w:val="num" w:pos="567"/>
              <w:tab w:val="num" w:pos="930"/>
            </w:tabs>
            <w:suppressAutoHyphens/>
            <w:ind w:left="930" w:hanging="570"/>
            <w:outlineLvl w:val="1"/>
          </w:pPr>
        </w:pPrChange>
      </w:pPr>
      <w:del w:id="13705" w:author="AbbVie02no" w:date="2025-05-15T14:19:00Z">
        <w:r w:rsidRPr="009C5EFD">
          <w:rPr>
            <w:b/>
            <w:sz w:val="22"/>
            <w:szCs w:val="22"/>
          </w:rPr>
          <w:delText>Klargjøring</w:delText>
        </w:r>
      </w:del>
    </w:p>
    <w:p w14:paraId="58E84034" w14:textId="02CA572B" w:rsidR="00DE3458" w:rsidRPr="009C5EFD" w:rsidRDefault="00DE3458">
      <w:pPr>
        <w:rPr>
          <w:del w:id="13706" w:author="AbbVie02no" w:date="2025-05-15T14:19:00Z"/>
          <w:sz w:val="22"/>
          <w:szCs w:val="22"/>
        </w:rPr>
        <w:pPrChange w:id="13707" w:author="AbbVie02no" w:date="2025-05-15T14:19:00Z">
          <w:pPr>
            <w:keepNext/>
            <w:suppressAutoHyphens/>
          </w:pPr>
        </w:pPrChange>
      </w:pPr>
    </w:p>
    <w:p w14:paraId="60F3EEC5" w14:textId="76D028F9" w:rsidR="000E4F8F" w:rsidRPr="009C5EFD" w:rsidRDefault="00E453CD">
      <w:pPr>
        <w:rPr>
          <w:del w:id="13708" w:author="AbbVie02no" w:date="2025-05-15T14:19:00Z"/>
          <w:sz w:val="22"/>
          <w:szCs w:val="22"/>
        </w:rPr>
        <w:pPrChange w:id="13709" w:author="AbbVie02no" w:date="2025-05-15T14:19:00Z">
          <w:pPr>
            <w:numPr>
              <w:numId w:val="24"/>
            </w:numPr>
            <w:tabs>
              <w:tab w:val="num" w:pos="567"/>
            </w:tabs>
            <w:suppressAutoHyphens/>
            <w:ind w:left="567" w:hanging="567"/>
          </w:pPr>
        </w:pPrChange>
      </w:pPr>
      <w:del w:id="13710" w:author="AbbVie02no" w:date="2025-05-15T14:19:00Z">
        <w:r w:rsidRPr="009C5EFD">
          <w:rPr>
            <w:sz w:val="22"/>
            <w:szCs w:val="22"/>
          </w:rPr>
          <w:delText xml:space="preserve">Vær sikker på at du vet den riktige mengden (volum) som skal doseres. Hvis du ikke vet mengden </w:delText>
        </w:r>
        <w:r w:rsidRPr="009C5EFD">
          <w:rPr>
            <w:b/>
            <w:sz w:val="22"/>
            <w:szCs w:val="22"/>
          </w:rPr>
          <w:delText>STOPP HER</w:delText>
        </w:r>
        <w:r w:rsidRPr="009C5EFD">
          <w:rPr>
            <w:sz w:val="22"/>
            <w:szCs w:val="22"/>
          </w:rPr>
          <w:delText xml:space="preserve"> og kontakt legen for ytterligere instruksjon. </w:delText>
        </w:r>
      </w:del>
    </w:p>
    <w:p w14:paraId="091BDA48" w14:textId="419B3048" w:rsidR="00D04AD7" w:rsidRPr="009C5EFD" w:rsidRDefault="00E453CD">
      <w:pPr>
        <w:rPr>
          <w:del w:id="13711" w:author="AbbVie02no" w:date="2025-05-15T14:19:00Z"/>
          <w:sz w:val="22"/>
          <w:szCs w:val="22"/>
        </w:rPr>
        <w:pPrChange w:id="13712" w:author="AbbVie02no" w:date="2025-05-15T14:19:00Z">
          <w:pPr>
            <w:numPr>
              <w:numId w:val="24"/>
            </w:numPr>
            <w:tabs>
              <w:tab w:val="num" w:pos="567"/>
            </w:tabs>
            <w:suppressAutoHyphens/>
            <w:ind w:left="567" w:hanging="567"/>
          </w:pPr>
        </w:pPrChange>
      </w:pPr>
      <w:del w:id="13713" w:author="AbbVie02no" w:date="2025-05-15T14:19:00Z">
        <w:r w:rsidRPr="009C5EFD">
          <w:rPr>
            <w:sz w:val="22"/>
            <w:szCs w:val="22"/>
          </w:rPr>
          <w:delText xml:space="preserve">Du trenger en spesiell beholder for avfall, for eksempel en boks for risikoavfall (skjærende/stikkende avfall) eller som instruert av sykepleier, lege eller apotek. Sett beholderen på din arbeidsbenk. </w:delText>
        </w:r>
      </w:del>
    </w:p>
    <w:p w14:paraId="0C91A00D" w14:textId="6863AE8C" w:rsidR="00DE3458" w:rsidRPr="009C5EFD" w:rsidRDefault="00E453CD">
      <w:pPr>
        <w:rPr>
          <w:del w:id="13714" w:author="AbbVie02no" w:date="2025-05-15T14:19:00Z"/>
          <w:sz w:val="22"/>
          <w:szCs w:val="22"/>
        </w:rPr>
        <w:pPrChange w:id="13715" w:author="AbbVie02no" w:date="2025-05-15T14:19:00Z">
          <w:pPr>
            <w:numPr>
              <w:numId w:val="24"/>
            </w:numPr>
            <w:tabs>
              <w:tab w:val="num" w:pos="567"/>
            </w:tabs>
            <w:suppressAutoHyphens/>
            <w:ind w:left="567" w:hanging="567"/>
          </w:pPr>
        </w:pPrChange>
      </w:pPr>
      <w:del w:id="13716" w:author="AbbVie02no" w:date="2025-05-15T14:19:00Z">
        <w:r w:rsidRPr="009C5EFD">
          <w:rPr>
            <w:sz w:val="22"/>
            <w:szCs w:val="22"/>
          </w:rPr>
          <w:delText>Vask hende</w:delText>
        </w:r>
        <w:r w:rsidR="00636750" w:rsidRPr="009C5EFD">
          <w:rPr>
            <w:sz w:val="22"/>
            <w:szCs w:val="22"/>
          </w:rPr>
          <w:delText>ne dine</w:delText>
        </w:r>
        <w:r w:rsidRPr="009C5EFD">
          <w:rPr>
            <w:sz w:val="22"/>
            <w:szCs w:val="22"/>
          </w:rPr>
          <w:delText xml:space="preserve"> grundig.</w:delText>
        </w:r>
      </w:del>
    </w:p>
    <w:p w14:paraId="49B5C66C" w14:textId="4C19DBF1" w:rsidR="00D04AD7" w:rsidRPr="009C5EFD" w:rsidRDefault="00E453CD">
      <w:pPr>
        <w:rPr>
          <w:del w:id="13717" w:author="AbbVie02no" w:date="2025-05-15T14:19:00Z"/>
          <w:sz w:val="22"/>
          <w:szCs w:val="22"/>
        </w:rPr>
        <w:pPrChange w:id="13718" w:author="AbbVie02no" w:date="2025-05-15T14:19:00Z">
          <w:pPr>
            <w:numPr>
              <w:numId w:val="24"/>
            </w:numPr>
            <w:tabs>
              <w:tab w:val="num" w:pos="567"/>
            </w:tabs>
            <w:suppressAutoHyphens/>
            <w:ind w:left="567" w:hanging="567"/>
          </w:pPr>
        </w:pPrChange>
      </w:pPr>
      <w:del w:id="13719" w:author="AbbVie02no" w:date="2025-05-15T14:19:00Z">
        <w:r w:rsidRPr="009C5EFD">
          <w:rPr>
            <w:sz w:val="22"/>
            <w:szCs w:val="22"/>
          </w:rPr>
          <w:delText xml:space="preserve">Ta ut en eske </w:delText>
        </w:r>
        <w:r w:rsidR="0060133D" w:rsidRPr="009C5EFD">
          <w:rPr>
            <w:sz w:val="22"/>
            <w:szCs w:val="22"/>
          </w:rPr>
          <w:delText xml:space="preserve">fra pakken. Esken </w:delText>
        </w:r>
        <w:r w:rsidRPr="009C5EFD">
          <w:rPr>
            <w:sz w:val="22"/>
            <w:szCs w:val="22"/>
          </w:rPr>
          <w:delText>inneholder en sprøyte, en hetteglas</w:delText>
        </w:r>
        <w:r w:rsidR="0060133D" w:rsidRPr="009C5EFD">
          <w:rPr>
            <w:sz w:val="22"/>
            <w:szCs w:val="22"/>
          </w:rPr>
          <w:delText>s</w:delText>
        </w:r>
        <w:r w:rsidRPr="009C5EFD">
          <w:rPr>
            <w:sz w:val="22"/>
            <w:szCs w:val="22"/>
          </w:rPr>
          <w:delText xml:space="preserve">adapter, et hetteglass, to injeksjonstørk og en </w:delText>
        </w:r>
        <w:r w:rsidR="008138BF">
          <w:rPr>
            <w:sz w:val="22"/>
            <w:szCs w:val="22"/>
          </w:rPr>
          <w:delText>kanyle</w:delText>
        </w:r>
        <w:r w:rsidR="0060133D" w:rsidRPr="009C5EFD">
          <w:rPr>
            <w:sz w:val="22"/>
            <w:szCs w:val="22"/>
          </w:rPr>
          <w:delText>.</w:delText>
        </w:r>
        <w:r w:rsidRPr="009C5EFD">
          <w:rPr>
            <w:sz w:val="22"/>
            <w:szCs w:val="22"/>
          </w:rPr>
          <w:delText xml:space="preserve"> </w:delText>
        </w:r>
        <w:r w:rsidR="00F51433" w:rsidRPr="009C5EFD">
          <w:rPr>
            <w:sz w:val="22"/>
            <w:szCs w:val="22"/>
          </w:rPr>
          <w:delText>Hvis det er en eske til i pakken til en annen injeksjon sett den tilbake i</w:delText>
        </w:r>
        <w:r w:rsidR="008479FB" w:rsidRPr="009C5EFD">
          <w:rPr>
            <w:sz w:val="22"/>
            <w:szCs w:val="22"/>
          </w:rPr>
          <w:delText xml:space="preserve"> </w:delText>
        </w:r>
        <w:r w:rsidR="00F51433" w:rsidRPr="009C5EFD">
          <w:rPr>
            <w:sz w:val="22"/>
            <w:szCs w:val="22"/>
          </w:rPr>
          <w:delText>kj</w:delText>
        </w:r>
        <w:r w:rsidR="008479FB" w:rsidRPr="009C5EFD">
          <w:rPr>
            <w:sz w:val="22"/>
            <w:szCs w:val="22"/>
          </w:rPr>
          <w:delText>ø</w:delText>
        </w:r>
        <w:r w:rsidR="00F51433" w:rsidRPr="009C5EFD">
          <w:rPr>
            <w:sz w:val="22"/>
            <w:szCs w:val="22"/>
          </w:rPr>
          <w:delText>leskapet umiddelbart.</w:delText>
        </w:r>
        <w:r w:rsidRPr="009C5EFD">
          <w:rPr>
            <w:sz w:val="22"/>
            <w:szCs w:val="22"/>
          </w:rPr>
          <w:delText xml:space="preserve"> </w:delText>
        </w:r>
      </w:del>
    </w:p>
    <w:p w14:paraId="5D8A03CF" w14:textId="4FB59B4F" w:rsidR="00F51433" w:rsidRPr="009C5EFD" w:rsidRDefault="00E453CD">
      <w:pPr>
        <w:rPr>
          <w:del w:id="13720" w:author="AbbVie02no" w:date="2025-05-15T14:19:00Z"/>
          <w:sz w:val="22"/>
          <w:szCs w:val="22"/>
        </w:rPr>
        <w:pPrChange w:id="13721" w:author="AbbVie02no" w:date="2025-05-15T14:19:00Z">
          <w:pPr>
            <w:numPr>
              <w:numId w:val="24"/>
            </w:numPr>
            <w:tabs>
              <w:tab w:val="num" w:pos="567"/>
            </w:tabs>
            <w:suppressAutoHyphens/>
            <w:ind w:left="567" w:hanging="567"/>
          </w:pPr>
        </w:pPrChange>
      </w:pPr>
      <w:del w:id="13722" w:author="AbbVie02no" w:date="2025-05-15T14:19:00Z">
        <w:r w:rsidRPr="009C5EFD">
          <w:rPr>
            <w:sz w:val="22"/>
            <w:szCs w:val="22"/>
          </w:rPr>
          <w:delText xml:space="preserve">Se på holdbarhetsdatoen som står på </w:delText>
        </w:r>
        <w:r w:rsidR="008479FB" w:rsidRPr="009C5EFD">
          <w:rPr>
            <w:sz w:val="22"/>
            <w:szCs w:val="22"/>
          </w:rPr>
          <w:delText>esken</w:delText>
        </w:r>
        <w:r w:rsidRPr="009C5EFD">
          <w:rPr>
            <w:sz w:val="22"/>
            <w:szCs w:val="22"/>
          </w:rPr>
          <w:delText xml:space="preserve">. </w:delText>
        </w:r>
        <w:r w:rsidR="00140AB5" w:rsidRPr="009C5EFD">
          <w:rPr>
            <w:b/>
            <w:sz w:val="22"/>
            <w:szCs w:val="22"/>
          </w:rPr>
          <w:delText>IKKE</w:delText>
        </w:r>
        <w:r w:rsidR="00140AB5" w:rsidRPr="009C5EFD">
          <w:rPr>
            <w:sz w:val="22"/>
            <w:szCs w:val="22"/>
          </w:rPr>
          <w:delText xml:space="preserve"> bruk noen av delene ett</w:delText>
        </w:r>
        <w:r w:rsidR="008479FB" w:rsidRPr="009C5EFD">
          <w:rPr>
            <w:sz w:val="22"/>
            <w:szCs w:val="22"/>
          </w:rPr>
          <w:delText>er den datoen som står på esken</w:delText>
        </w:r>
        <w:r w:rsidR="00140AB5" w:rsidRPr="009C5EFD">
          <w:rPr>
            <w:sz w:val="22"/>
            <w:szCs w:val="22"/>
          </w:rPr>
          <w:delText>.</w:delText>
        </w:r>
      </w:del>
    </w:p>
    <w:p w14:paraId="12C10F98" w14:textId="2D2E919D" w:rsidR="00DE3458" w:rsidRPr="009C5EFD" w:rsidRDefault="00E453CD">
      <w:pPr>
        <w:rPr>
          <w:del w:id="13723" w:author="AbbVie02no" w:date="2025-05-15T14:19:00Z"/>
          <w:sz w:val="22"/>
          <w:szCs w:val="22"/>
        </w:rPr>
        <w:pPrChange w:id="13724" w:author="AbbVie02no" w:date="2025-05-15T14:19:00Z">
          <w:pPr>
            <w:numPr>
              <w:numId w:val="24"/>
            </w:numPr>
            <w:tabs>
              <w:tab w:val="num" w:pos="567"/>
            </w:tabs>
            <w:suppressAutoHyphens/>
            <w:ind w:left="567" w:hanging="567"/>
          </w:pPr>
        </w:pPrChange>
      </w:pPr>
      <w:del w:id="13725" w:author="AbbVie02no" w:date="2025-05-15T14:19:00Z">
        <w:r w:rsidRPr="009C5EFD">
          <w:rPr>
            <w:sz w:val="22"/>
            <w:szCs w:val="22"/>
          </w:rPr>
          <w:delText>Legg følgende deler klar på et rent bord.</w:delText>
        </w:r>
        <w:r w:rsidR="00F51433" w:rsidRPr="009C5EFD">
          <w:rPr>
            <w:sz w:val="22"/>
            <w:szCs w:val="22"/>
          </w:rPr>
          <w:delText xml:space="preserve"> </w:delText>
        </w:r>
        <w:r w:rsidR="00F51433" w:rsidRPr="009C5EFD">
          <w:rPr>
            <w:b/>
            <w:sz w:val="22"/>
            <w:szCs w:val="22"/>
          </w:rPr>
          <w:delText>I</w:delText>
        </w:r>
        <w:r w:rsidR="00140AB5" w:rsidRPr="009C5EFD">
          <w:rPr>
            <w:b/>
            <w:sz w:val="22"/>
            <w:szCs w:val="22"/>
          </w:rPr>
          <w:delText>KKE</w:delText>
        </w:r>
        <w:r w:rsidR="00F51433" w:rsidRPr="009C5EFD">
          <w:rPr>
            <w:sz w:val="22"/>
            <w:szCs w:val="22"/>
          </w:rPr>
          <w:delText xml:space="preserve"> ta dem ut av deres individulle pakker ennå.</w:delText>
        </w:r>
      </w:del>
    </w:p>
    <w:p w14:paraId="137FE335" w14:textId="674ABBA8" w:rsidR="00140AB5" w:rsidRPr="009C5EFD" w:rsidRDefault="00E453CD">
      <w:pPr>
        <w:rPr>
          <w:del w:id="13726" w:author="AbbVie02no" w:date="2025-05-15T14:19:00Z"/>
          <w:sz w:val="22"/>
          <w:szCs w:val="22"/>
        </w:rPr>
        <w:pPrChange w:id="13727" w:author="AbbVie02no" w:date="2025-05-15T14:19:00Z">
          <w:pPr>
            <w:numPr>
              <w:numId w:val="25"/>
            </w:numPr>
            <w:tabs>
              <w:tab w:val="num" w:pos="927"/>
            </w:tabs>
            <w:suppressAutoHyphens/>
            <w:ind w:left="927" w:hanging="360"/>
          </w:pPr>
        </w:pPrChange>
      </w:pPr>
      <w:del w:id="13728" w:author="AbbVie02no" w:date="2025-05-15T14:19:00Z">
        <w:r w:rsidRPr="009C5EFD">
          <w:rPr>
            <w:sz w:val="22"/>
            <w:szCs w:val="22"/>
          </w:rPr>
          <w:delText>En 1 ml sprøyte (1)</w:delText>
        </w:r>
      </w:del>
    </w:p>
    <w:p w14:paraId="2C3C2971" w14:textId="6B755174" w:rsidR="00140AB5" w:rsidRPr="009C5EFD" w:rsidRDefault="00E453CD">
      <w:pPr>
        <w:rPr>
          <w:del w:id="13729" w:author="AbbVie02no" w:date="2025-05-15T14:19:00Z"/>
          <w:sz w:val="22"/>
          <w:szCs w:val="22"/>
        </w:rPr>
        <w:pPrChange w:id="13730" w:author="AbbVie02no" w:date="2025-05-15T14:19:00Z">
          <w:pPr>
            <w:numPr>
              <w:numId w:val="25"/>
            </w:numPr>
            <w:tabs>
              <w:tab w:val="num" w:pos="927"/>
            </w:tabs>
            <w:suppressAutoHyphens/>
            <w:ind w:left="927" w:hanging="360"/>
          </w:pPr>
        </w:pPrChange>
      </w:pPr>
      <w:del w:id="13731" w:author="AbbVie02no" w:date="2025-05-15T14:19:00Z">
        <w:r w:rsidRPr="009C5EFD">
          <w:rPr>
            <w:sz w:val="22"/>
            <w:szCs w:val="22"/>
          </w:rPr>
          <w:delText>En hetteglassadapter (2)</w:delText>
        </w:r>
      </w:del>
    </w:p>
    <w:p w14:paraId="1B0EAEF1" w14:textId="5E496660" w:rsidR="00140AB5" w:rsidRPr="009C5EFD" w:rsidRDefault="00E453CD">
      <w:pPr>
        <w:rPr>
          <w:del w:id="13732" w:author="AbbVie02no" w:date="2025-05-15T14:19:00Z"/>
          <w:sz w:val="22"/>
          <w:szCs w:val="22"/>
        </w:rPr>
        <w:pPrChange w:id="13733" w:author="AbbVie02no" w:date="2025-05-15T14:19:00Z">
          <w:pPr>
            <w:numPr>
              <w:numId w:val="25"/>
            </w:numPr>
            <w:tabs>
              <w:tab w:val="num" w:pos="927"/>
            </w:tabs>
            <w:suppressAutoHyphens/>
            <w:ind w:left="927" w:hanging="360"/>
          </w:pPr>
        </w:pPrChange>
      </w:pPr>
      <w:del w:id="13734" w:author="AbbVie02no" w:date="2025-05-15T14:19:00Z">
        <w:r w:rsidRPr="009C5EFD">
          <w:rPr>
            <w:sz w:val="22"/>
            <w:szCs w:val="22"/>
          </w:rPr>
          <w:delText>Et hetteglass til bruk av Humira injeksjon hos barn (3)</w:delText>
        </w:r>
      </w:del>
    </w:p>
    <w:p w14:paraId="1D5A13B1" w14:textId="534E2459" w:rsidR="00140AB5" w:rsidRPr="009C5EFD" w:rsidRDefault="00E453CD">
      <w:pPr>
        <w:rPr>
          <w:del w:id="13735" w:author="AbbVie02no" w:date="2025-05-15T14:19:00Z"/>
          <w:sz w:val="22"/>
          <w:szCs w:val="22"/>
        </w:rPr>
        <w:pPrChange w:id="13736" w:author="AbbVie02no" w:date="2025-05-15T14:19:00Z">
          <w:pPr>
            <w:numPr>
              <w:numId w:val="25"/>
            </w:numPr>
            <w:tabs>
              <w:tab w:val="num" w:pos="927"/>
            </w:tabs>
            <w:suppressAutoHyphens/>
            <w:ind w:left="927" w:hanging="360"/>
          </w:pPr>
        </w:pPrChange>
      </w:pPr>
      <w:del w:id="13737" w:author="AbbVie02no" w:date="2025-05-15T14:19:00Z">
        <w:r w:rsidRPr="009C5EFD">
          <w:rPr>
            <w:sz w:val="22"/>
            <w:szCs w:val="22"/>
          </w:rPr>
          <w:delText>To injeksjonstørk (4)</w:delText>
        </w:r>
      </w:del>
    </w:p>
    <w:p w14:paraId="23B2335C" w14:textId="557B952D" w:rsidR="00DE3458" w:rsidRPr="009C5EFD" w:rsidRDefault="00E453CD">
      <w:pPr>
        <w:rPr>
          <w:del w:id="13738" w:author="AbbVie02no" w:date="2025-05-15T14:19:00Z"/>
          <w:sz w:val="22"/>
          <w:szCs w:val="22"/>
        </w:rPr>
        <w:pPrChange w:id="13739" w:author="AbbVie02no" w:date="2025-05-15T14:19:00Z">
          <w:pPr>
            <w:numPr>
              <w:numId w:val="25"/>
            </w:numPr>
            <w:tabs>
              <w:tab w:val="num" w:pos="927"/>
            </w:tabs>
            <w:suppressAutoHyphens/>
            <w:ind w:left="927" w:hanging="360"/>
          </w:pPr>
        </w:pPrChange>
      </w:pPr>
      <w:del w:id="13740" w:author="AbbVie02no" w:date="2025-05-15T14:19:00Z">
        <w:r w:rsidRPr="009C5EFD">
          <w:rPr>
            <w:sz w:val="22"/>
            <w:szCs w:val="22"/>
          </w:rPr>
          <w:delText xml:space="preserve">En </w:delText>
        </w:r>
        <w:r w:rsidR="008138BF">
          <w:rPr>
            <w:sz w:val="22"/>
            <w:szCs w:val="22"/>
          </w:rPr>
          <w:delText>kanyle</w:delText>
        </w:r>
        <w:r w:rsidRPr="009C5EFD">
          <w:rPr>
            <w:sz w:val="22"/>
            <w:szCs w:val="22"/>
          </w:rPr>
          <w:delText xml:space="preserve"> (5)</w:delText>
        </w:r>
      </w:del>
    </w:p>
    <w:p w14:paraId="066923E5" w14:textId="0116CF38" w:rsidR="00DE3458" w:rsidRPr="009C5EFD" w:rsidRDefault="00DE3458">
      <w:pPr>
        <w:rPr>
          <w:del w:id="13741" w:author="AbbVie02no" w:date="2025-05-15T14:19:00Z"/>
          <w:sz w:val="22"/>
          <w:szCs w:val="22"/>
        </w:rPr>
        <w:pPrChange w:id="13742" w:author="AbbVie02no" w:date="2025-05-15T14:19:00Z">
          <w:pPr>
            <w:suppressAutoHyphens/>
            <w:ind w:left="1134"/>
          </w:pPr>
        </w:pPrChange>
      </w:pPr>
    </w:p>
    <w:p w14:paraId="0A92C902" w14:textId="2B8AC635" w:rsidR="006B2685" w:rsidRPr="007F67EE" w:rsidRDefault="00E453CD">
      <w:pPr>
        <w:rPr>
          <w:del w:id="13743" w:author="AbbVie02no" w:date="2025-05-15T14:19:00Z"/>
          <w:sz w:val="22"/>
          <w:szCs w:val="22"/>
        </w:rPr>
        <w:pPrChange w:id="13744" w:author="AbbVie02no" w:date="2025-05-15T14:19:00Z">
          <w:pPr>
            <w:suppressAutoHyphens/>
            <w:ind w:left="1134"/>
            <w:jc w:val="center"/>
          </w:pPr>
        </w:pPrChange>
      </w:pPr>
      <w:del w:id="13745" w:author="AbbVie02no" w:date="2025-05-15T14:19:00Z">
        <w:r>
          <w:rPr>
            <w:noProof/>
            <w:lang w:val="en-GB" w:eastAsia="en-GB"/>
          </w:rPr>
          <w:drawing>
            <wp:inline distT="0" distB="0" distL="0" distR="0" wp14:anchorId="1487C14B" wp14:editId="370F277F">
              <wp:extent cx="1933575" cy="1866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933575" cy="1866900"/>
                      </a:xfrm>
                      <a:prstGeom prst="rect">
                        <a:avLst/>
                      </a:prstGeom>
                      <a:noFill/>
                      <a:ln>
                        <a:noFill/>
                      </a:ln>
                    </pic:spPr>
                  </pic:pic>
                </a:graphicData>
              </a:graphic>
            </wp:inline>
          </w:drawing>
        </w:r>
      </w:del>
    </w:p>
    <w:p w14:paraId="3C3609C6" w14:textId="05E2BA5F" w:rsidR="00DE3458" w:rsidRPr="00193D76" w:rsidRDefault="00DE3458">
      <w:pPr>
        <w:rPr>
          <w:del w:id="13746" w:author="AbbVie02no" w:date="2025-05-15T14:19:00Z"/>
          <w:sz w:val="22"/>
          <w:szCs w:val="22"/>
        </w:rPr>
        <w:pPrChange w:id="13747" w:author="AbbVie02no" w:date="2025-05-15T14:19:00Z">
          <w:pPr>
            <w:suppressAutoHyphens/>
          </w:pPr>
        </w:pPrChange>
      </w:pPr>
    </w:p>
    <w:p w14:paraId="0021C5AE" w14:textId="6E8ABA1D" w:rsidR="00DE3458" w:rsidRPr="00902C70" w:rsidRDefault="00E453CD">
      <w:pPr>
        <w:rPr>
          <w:del w:id="13748" w:author="AbbVie02no" w:date="2025-05-15T14:19:00Z"/>
          <w:sz w:val="22"/>
          <w:szCs w:val="22"/>
        </w:rPr>
        <w:pPrChange w:id="13749" w:author="AbbVie02no" w:date="2025-05-15T14:19:00Z">
          <w:pPr>
            <w:numPr>
              <w:numId w:val="24"/>
            </w:numPr>
            <w:tabs>
              <w:tab w:val="num" w:pos="567"/>
            </w:tabs>
            <w:suppressAutoHyphens/>
            <w:ind w:left="567" w:hanging="567"/>
          </w:pPr>
        </w:pPrChange>
      </w:pPr>
      <w:del w:id="13750" w:author="AbbVie02no" w:date="2025-05-15T14:19:00Z">
        <w:r w:rsidRPr="002D0790">
          <w:rPr>
            <w:sz w:val="22"/>
            <w:szCs w:val="22"/>
          </w:rPr>
          <w:delText xml:space="preserve">Humira er en </w:delText>
        </w:r>
        <w:r w:rsidR="008479FB" w:rsidRPr="00C07C98">
          <w:rPr>
            <w:sz w:val="22"/>
            <w:szCs w:val="22"/>
          </w:rPr>
          <w:delText>oppløsning</w:delText>
        </w:r>
        <w:r w:rsidRPr="00E14E58">
          <w:rPr>
            <w:sz w:val="22"/>
            <w:szCs w:val="22"/>
          </w:rPr>
          <w:delText xml:space="preserve"> som er klar og fargeløs. </w:delText>
        </w:r>
        <w:r w:rsidRPr="0015674E">
          <w:rPr>
            <w:sz w:val="22"/>
            <w:szCs w:val="22"/>
          </w:rPr>
          <w:delText xml:space="preserve">IKKE </w:delText>
        </w:r>
        <w:r w:rsidRPr="009C5EFD">
          <w:rPr>
            <w:sz w:val="22"/>
            <w:szCs w:val="22"/>
          </w:rPr>
          <w:delText xml:space="preserve">bruk </w:delText>
        </w:r>
        <w:r w:rsidR="008479FB" w:rsidRPr="009C5EFD">
          <w:rPr>
            <w:sz w:val="22"/>
            <w:szCs w:val="22"/>
          </w:rPr>
          <w:delText>o</w:delText>
        </w:r>
        <w:r w:rsidR="00E77386" w:rsidRPr="009C5EFD">
          <w:rPr>
            <w:sz w:val="22"/>
            <w:szCs w:val="22"/>
          </w:rPr>
          <w:delText>p</w:delText>
        </w:r>
        <w:r w:rsidR="008479FB" w:rsidRPr="009C5EFD">
          <w:rPr>
            <w:sz w:val="22"/>
            <w:szCs w:val="22"/>
          </w:rPr>
          <w:delText>pløsningen</w:delText>
        </w:r>
        <w:r w:rsidRPr="009C5EFD">
          <w:rPr>
            <w:sz w:val="22"/>
            <w:szCs w:val="22"/>
          </w:rPr>
          <w:delText xml:space="preserve"> dersom den </w:delText>
        </w:r>
        <w:r w:rsidR="008479FB" w:rsidRPr="009C5EFD">
          <w:rPr>
            <w:sz w:val="22"/>
            <w:szCs w:val="22"/>
          </w:rPr>
          <w:delText xml:space="preserve">er </w:delText>
        </w:r>
        <w:r w:rsidR="005A489E" w:rsidRPr="009C5EFD">
          <w:rPr>
            <w:sz w:val="22"/>
            <w:szCs w:val="22"/>
          </w:rPr>
          <w:delText>uklar</w:delText>
        </w:r>
        <w:r w:rsidR="009E222B" w:rsidRPr="009C5EFD">
          <w:rPr>
            <w:sz w:val="22"/>
            <w:szCs w:val="22"/>
          </w:rPr>
          <w:delText>, misfarget eller har flak</w:delText>
        </w:r>
        <w:r w:rsidRPr="009C5EFD">
          <w:rPr>
            <w:sz w:val="22"/>
            <w:szCs w:val="22"/>
          </w:rPr>
          <w:delText xml:space="preserve"> eller partikler i seg.</w:delText>
        </w:r>
        <w:r w:rsidRPr="00902C70">
          <w:rPr>
            <w:sz w:val="22"/>
            <w:szCs w:val="22"/>
          </w:rPr>
          <w:delText xml:space="preserve"> </w:delText>
        </w:r>
      </w:del>
    </w:p>
    <w:p w14:paraId="2AA94209" w14:textId="5B12CA5E" w:rsidR="00140AB5" w:rsidRPr="00902C70" w:rsidRDefault="00140AB5">
      <w:pPr>
        <w:rPr>
          <w:del w:id="13751" w:author="AbbVie02no" w:date="2025-05-15T14:19:00Z"/>
          <w:sz w:val="22"/>
          <w:szCs w:val="22"/>
        </w:rPr>
        <w:pPrChange w:id="13752" w:author="AbbVie02no" w:date="2025-05-15T14:19:00Z">
          <w:pPr>
            <w:suppressAutoHyphens/>
            <w:ind w:left="567"/>
          </w:pPr>
        </w:pPrChange>
      </w:pPr>
    </w:p>
    <w:p w14:paraId="3A5711FD" w14:textId="5254D58B" w:rsidR="009E222B" w:rsidRPr="009C5EFD" w:rsidRDefault="00E453CD">
      <w:pPr>
        <w:rPr>
          <w:del w:id="13753" w:author="AbbVie02no" w:date="2025-05-15T14:19:00Z"/>
          <w:b/>
          <w:sz w:val="22"/>
          <w:szCs w:val="22"/>
        </w:rPr>
        <w:pPrChange w:id="13754" w:author="AbbVie02no" w:date="2025-05-15T14:19:00Z">
          <w:pPr>
            <w:keepNext/>
            <w:suppressAutoHyphens/>
            <w:ind w:left="562" w:hanging="562"/>
            <w:outlineLvl w:val="1"/>
          </w:pPr>
        </w:pPrChange>
      </w:pPr>
      <w:del w:id="13755" w:author="AbbVie02no" w:date="2025-05-15T14:19:00Z">
        <w:r w:rsidRPr="009C5EFD">
          <w:rPr>
            <w:b/>
            <w:sz w:val="22"/>
            <w:szCs w:val="22"/>
          </w:rPr>
          <w:delText>2)</w:delText>
        </w:r>
        <w:r w:rsidRPr="009C5EFD">
          <w:rPr>
            <w:b/>
            <w:sz w:val="22"/>
            <w:szCs w:val="22"/>
          </w:rPr>
          <w:tab/>
          <w:delText>Forb</w:delText>
        </w:r>
        <w:r w:rsidR="00903EBB">
          <w:rPr>
            <w:b/>
            <w:sz w:val="22"/>
            <w:szCs w:val="22"/>
          </w:rPr>
          <w:delText>e</w:delText>
        </w:r>
        <w:r w:rsidRPr="009C5EFD">
          <w:rPr>
            <w:b/>
            <w:sz w:val="22"/>
            <w:szCs w:val="22"/>
          </w:rPr>
          <w:delText>redelse av injeksjon</w:delText>
        </w:r>
        <w:r w:rsidR="008479FB" w:rsidRPr="009C5EFD">
          <w:rPr>
            <w:b/>
            <w:sz w:val="22"/>
            <w:szCs w:val="22"/>
          </w:rPr>
          <w:delText>en med en dose av Humira</w:delText>
        </w:r>
      </w:del>
    </w:p>
    <w:p w14:paraId="3959DA0C" w14:textId="1B91254B" w:rsidR="009E222B" w:rsidRPr="009C5EFD" w:rsidRDefault="009E222B">
      <w:pPr>
        <w:rPr>
          <w:del w:id="13756" w:author="AbbVie02no" w:date="2025-05-15T14:19:00Z"/>
          <w:sz w:val="22"/>
          <w:szCs w:val="22"/>
        </w:rPr>
        <w:pPrChange w:id="13757" w:author="AbbVie02no" w:date="2025-05-15T14:19:00Z">
          <w:pPr>
            <w:keepNext/>
            <w:suppressAutoHyphens/>
            <w:ind w:left="567" w:hanging="567"/>
          </w:pPr>
        </w:pPrChange>
      </w:pPr>
    </w:p>
    <w:p w14:paraId="470ECE9C" w14:textId="3A82E3EE" w:rsidR="009E222B" w:rsidRPr="009C5EFD" w:rsidRDefault="00E453CD">
      <w:pPr>
        <w:rPr>
          <w:del w:id="13758" w:author="AbbVie02no" w:date="2025-05-15T14:19:00Z"/>
          <w:sz w:val="22"/>
          <w:szCs w:val="22"/>
        </w:rPr>
        <w:pPrChange w:id="13759" w:author="AbbVie02no" w:date="2025-05-15T14:19:00Z">
          <w:pPr>
            <w:suppressAutoHyphens/>
            <w:ind w:left="567" w:hanging="567"/>
          </w:pPr>
        </w:pPrChange>
      </w:pPr>
      <w:del w:id="13760" w:author="AbbVie02no" w:date="2025-05-15T14:19:00Z">
        <w:r>
          <w:rPr>
            <w:sz w:val="22"/>
            <w:szCs w:val="22"/>
          </w:rPr>
          <w:tab/>
        </w:r>
        <w:r w:rsidRPr="009C5EFD">
          <w:rPr>
            <w:sz w:val="22"/>
            <w:szCs w:val="22"/>
          </w:rPr>
          <w:delText>Generel</w:delText>
        </w:r>
        <w:r w:rsidR="002621E0">
          <w:rPr>
            <w:sz w:val="22"/>
            <w:szCs w:val="22"/>
          </w:rPr>
          <w:delText>l</w:delText>
        </w:r>
        <w:r w:rsidRPr="009C5EFD">
          <w:rPr>
            <w:sz w:val="22"/>
            <w:szCs w:val="22"/>
          </w:rPr>
          <w:delText xml:space="preserve"> handling: </w:delText>
        </w:r>
        <w:r w:rsidRPr="009C5EFD">
          <w:rPr>
            <w:b/>
            <w:sz w:val="22"/>
            <w:szCs w:val="22"/>
          </w:rPr>
          <w:delText>IKKE</w:delText>
        </w:r>
        <w:r w:rsidRPr="009C5EFD">
          <w:rPr>
            <w:sz w:val="22"/>
            <w:szCs w:val="22"/>
          </w:rPr>
          <w:delText xml:space="preserve"> kast noe av avfallet inntil injeksjonen er ferdig.</w:delText>
        </w:r>
      </w:del>
    </w:p>
    <w:p w14:paraId="1E18FEC1" w14:textId="4A6EFC46" w:rsidR="009E222B" w:rsidRPr="009C5EFD" w:rsidRDefault="009E222B">
      <w:pPr>
        <w:rPr>
          <w:del w:id="13761" w:author="AbbVie02no" w:date="2025-05-15T14:19:00Z"/>
          <w:sz w:val="22"/>
          <w:szCs w:val="22"/>
        </w:rPr>
        <w:pPrChange w:id="13762" w:author="AbbVie02no" w:date="2025-05-15T14:19:00Z">
          <w:pPr>
            <w:suppressAutoHyphens/>
            <w:ind w:left="567" w:hanging="567"/>
          </w:pPr>
        </w:pPrChange>
      </w:pPr>
    </w:p>
    <w:p w14:paraId="3FF201EA" w14:textId="7B05F97F" w:rsidR="002C6FCD" w:rsidRPr="009C5EFD" w:rsidRDefault="00E453CD">
      <w:pPr>
        <w:rPr>
          <w:del w:id="13763" w:author="AbbVie02no" w:date="2025-05-15T14:19:00Z"/>
          <w:sz w:val="22"/>
          <w:szCs w:val="22"/>
        </w:rPr>
        <w:pPrChange w:id="13764" w:author="AbbVie02no" w:date="2025-05-15T14:19:00Z">
          <w:pPr>
            <w:numPr>
              <w:numId w:val="39"/>
            </w:numPr>
            <w:tabs>
              <w:tab w:val="num" w:pos="720"/>
            </w:tabs>
            <w:suppressAutoHyphens/>
            <w:ind w:left="720" w:hanging="720"/>
          </w:pPr>
        </w:pPrChange>
      </w:pPr>
      <w:del w:id="13765" w:author="AbbVie02no" w:date="2025-05-15T14:19:00Z">
        <w:r w:rsidRPr="009C5EFD">
          <w:rPr>
            <w:sz w:val="22"/>
            <w:szCs w:val="22"/>
          </w:rPr>
          <w:delText xml:space="preserve">Gjør </w:delText>
        </w:r>
        <w:r w:rsidR="008138BF">
          <w:rPr>
            <w:sz w:val="22"/>
            <w:szCs w:val="22"/>
          </w:rPr>
          <w:delText>kanyl</w:delText>
        </w:r>
        <w:r w:rsidRPr="009C5EFD">
          <w:rPr>
            <w:sz w:val="22"/>
            <w:szCs w:val="22"/>
          </w:rPr>
          <w:delText xml:space="preserve">en klar ved å åpne pakken </w:delText>
        </w:r>
        <w:r w:rsidR="00034C2E" w:rsidRPr="009C5EFD">
          <w:rPr>
            <w:sz w:val="22"/>
            <w:szCs w:val="22"/>
          </w:rPr>
          <w:delText xml:space="preserve">delvis </w:delText>
        </w:r>
        <w:r w:rsidRPr="009C5EFD">
          <w:rPr>
            <w:sz w:val="22"/>
            <w:szCs w:val="22"/>
          </w:rPr>
          <w:delText xml:space="preserve">fra den enden nærmest til den gule skjøtemunnstykken til sprøyten. </w:delText>
        </w:r>
        <w:r w:rsidR="00791A38" w:rsidRPr="009C5EFD">
          <w:rPr>
            <w:sz w:val="22"/>
            <w:szCs w:val="22"/>
          </w:rPr>
          <w:delText xml:space="preserve">Riv </w:delText>
        </w:r>
        <w:r w:rsidRPr="009C5EFD">
          <w:rPr>
            <w:sz w:val="22"/>
            <w:szCs w:val="22"/>
          </w:rPr>
          <w:delText xml:space="preserve">pakken bare inntil den gule skjøtemunnstykken til sprøyten kommer ut. Legg pakken ned med den </w:delText>
        </w:r>
        <w:r w:rsidR="004313B9" w:rsidRPr="009C5EFD">
          <w:rPr>
            <w:sz w:val="22"/>
            <w:szCs w:val="22"/>
          </w:rPr>
          <w:delText>klare siden</w:delText>
        </w:r>
        <w:r w:rsidRPr="009C5EFD">
          <w:rPr>
            <w:sz w:val="22"/>
            <w:szCs w:val="22"/>
          </w:rPr>
          <w:delText xml:space="preserve"> av pakken vendt opp.</w:delText>
        </w:r>
      </w:del>
    </w:p>
    <w:p w14:paraId="424032A4" w14:textId="2F416D9B" w:rsidR="002C6FCD" w:rsidRPr="009C5EFD" w:rsidRDefault="002C6FCD">
      <w:pPr>
        <w:rPr>
          <w:del w:id="13766" w:author="AbbVie02no" w:date="2025-05-15T14:19:00Z"/>
          <w:sz w:val="22"/>
          <w:szCs w:val="22"/>
        </w:rPr>
        <w:pPrChange w:id="13767" w:author="AbbVie02no" w:date="2025-05-15T14:19:00Z">
          <w:pPr>
            <w:suppressAutoHyphens/>
          </w:pPr>
        </w:pPrChange>
      </w:pPr>
    </w:p>
    <w:p w14:paraId="33E3A61B" w14:textId="1FE8D791" w:rsidR="006B2685" w:rsidRPr="007F67EE" w:rsidRDefault="00E453CD">
      <w:pPr>
        <w:rPr>
          <w:del w:id="13768" w:author="AbbVie02no" w:date="2025-05-15T14:19:00Z"/>
          <w:sz w:val="22"/>
          <w:szCs w:val="22"/>
        </w:rPr>
        <w:pPrChange w:id="13769" w:author="AbbVie02no" w:date="2025-05-15T14:19:00Z">
          <w:pPr>
            <w:suppressAutoHyphens/>
            <w:jc w:val="center"/>
          </w:pPr>
        </w:pPrChange>
      </w:pPr>
      <w:del w:id="13770" w:author="AbbVie02no" w:date="2025-05-15T14:19:00Z">
        <w:r>
          <w:rPr>
            <w:noProof/>
            <w:lang w:val="en-GB" w:eastAsia="en-GB"/>
          </w:rPr>
          <w:drawing>
            <wp:inline distT="0" distB="0" distL="0" distR="0" wp14:anchorId="5B6B1764" wp14:editId="366D3284">
              <wp:extent cx="1857375" cy="1857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857375" cy="1857375"/>
                      </a:xfrm>
                      <a:prstGeom prst="rect">
                        <a:avLst/>
                      </a:prstGeom>
                      <a:noFill/>
                      <a:ln>
                        <a:noFill/>
                      </a:ln>
                    </pic:spPr>
                  </pic:pic>
                </a:graphicData>
              </a:graphic>
            </wp:inline>
          </w:drawing>
        </w:r>
      </w:del>
    </w:p>
    <w:p w14:paraId="3F681C32" w14:textId="42A29836" w:rsidR="009E222B" w:rsidRPr="00193D76" w:rsidRDefault="009E222B">
      <w:pPr>
        <w:rPr>
          <w:del w:id="13771" w:author="AbbVie02no" w:date="2025-05-15T14:19:00Z"/>
          <w:sz w:val="22"/>
          <w:szCs w:val="22"/>
        </w:rPr>
        <w:pPrChange w:id="13772" w:author="AbbVie02no" w:date="2025-05-15T14:19:00Z">
          <w:pPr>
            <w:suppressAutoHyphens/>
            <w:ind w:left="567" w:hanging="567"/>
          </w:pPr>
        </w:pPrChange>
      </w:pPr>
    </w:p>
    <w:p w14:paraId="180E8175" w14:textId="0CF73765" w:rsidR="002C6FCD" w:rsidRPr="009C5EFD" w:rsidRDefault="00E453CD">
      <w:pPr>
        <w:rPr>
          <w:del w:id="13773" w:author="AbbVie02no" w:date="2025-05-15T14:19:00Z"/>
          <w:sz w:val="22"/>
          <w:szCs w:val="22"/>
        </w:rPr>
        <w:pPrChange w:id="13774" w:author="AbbVie02no" w:date="2025-05-15T14:19:00Z">
          <w:pPr>
            <w:numPr>
              <w:numId w:val="39"/>
            </w:numPr>
            <w:tabs>
              <w:tab w:val="num" w:pos="720"/>
            </w:tabs>
            <w:suppressAutoHyphens/>
            <w:ind w:left="720" w:hanging="720"/>
          </w:pPr>
        </w:pPrChange>
      </w:pPr>
      <w:del w:id="13775" w:author="AbbVie02no" w:date="2025-05-15T14:19:00Z">
        <w:r w:rsidRPr="002D0790">
          <w:rPr>
            <w:sz w:val="22"/>
            <w:szCs w:val="22"/>
          </w:rPr>
          <w:delText>Press opp det</w:delText>
        </w:r>
        <w:r w:rsidRPr="00C07C98">
          <w:rPr>
            <w:sz w:val="22"/>
            <w:szCs w:val="22"/>
          </w:rPr>
          <w:delText xml:space="preserve"> hvite p</w:delText>
        </w:r>
        <w:r w:rsidRPr="00E14E58">
          <w:rPr>
            <w:sz w:val="22"/>
            <w:szCs w:val="22"/>
          </w:rPr>
          <w:delText>lastlokket</w:delText>
        </w:r>
        <w:r w:rsidRPr="009C5EFD">
          <w:rPr>
            <w:sz w:val="22"/>
            <w:szCs w:val="22"/>
          </w:rPr>
          <w:delText xml:space="preserve"> av hetteglasset</w:delText>
        </w:r>
        <w:r w:rsidR="00637AF5" w:rsidRPr="009C5EFD">
          <w:rPr>
            <w:sz w:val="22"/>
            <w:szCs w:val="22"/>
          </w:rPr>
          <w:delText xml:space="preserve"> </w:delText>
        </w:r>
        <w:r w:rsidRPr="009C5EFD">
          <w:rPr>
            <w:sz w:val="22"/>
            <w:szCs w:val="22"/>
          </w:rPr>
          <w:delText xml:space="preserve">til du ser toppen </w:delText>
        </w:r>
        <w:r w:rsidR="00FD4480" w:rsidRPr="009C5EFD">
          <w:rPr>
            <w:sz w:val="22"/>
            <w:szCs w:val="22"/>
          </w:rPr>
          <w:delText>av</w:delText>
        </w:r>
        <w:r w:rsidRPr="009C5EFD">
          <w:rPr>
            <w:sz w:val="22"/>
            <w:szCs w:val="22"/>
          </w:rPr>
          <w:delText xml:space="preserve"> </w:delText>
        </w:r>
        <w:r w:rsidR="00FD4480" w:rsidRPr="009C5EFD">
          <w:rPr>
            <w:sz w:val="22"/>
            <w:szCs w:val="22"/>
          </w:rPr>
          <w:delText>proppen</w:delText>
        </w:r>
        <w:r w:rsidRPr="009C5EFD">
          <w:rPr>
            <w:sz w:val="22"/>
            <w:szCs w:val="22"/>
          </w:rPr>
          <w:delText xml:space="preserve"> </w:delText>
        </w:r>
        <w:r w:rsidR="00DD7414" w:rsidRPr="009C5EFD">
          <w:rPr>
            <w:sz w:val="22"/>
            <w:szCs w:val="22"/>
          </w:rPr>
          <w:delText>på</w:delText>
        </w:r>
        <w:r w:rsidRPr="009C5EFD">
          <w:rPr>
            <w:sz w:val="22"/>
            <w:szCs w:val="22"/>
          </w:rPr>
          <w:delText xml:space="preserve"> </w:delText>
        </w:r>
        <w:r w:rsidR="00637AF5" w:rsidRPr="009C5EFD">
          <w:rPr>
            <w:sz w:val="22"/>
            <w:szCs w:val="22"/>
          </w:rPr>
          <w:delText>hetteglasset.</w:delText>
        </w:r>
        <w:r w:rsidRPr="009C5EFD">
          <w:rPr>
            <w:sz w:val="22"/>
            <w:szCs w:val="22"/>
          </w:rPr>
          <w:delText xml:space="preserve">  </w:delText>
        </w:r>
      </w:del>
    </w:p>
    <w:p w14:paraId="7F89306E" w14:textId="0314C302" w:rsidR="006B2685" w:rsidRPr="009C5EFD" w:rsidRDefault="006B2685">
      <w:pPr>
        <w:rPr>
          <w:del w:id="13776" w:author="AbbVie02no" w:date="2025-05-15T14:19:00Z"/>
          <w:sz w:val="22"/>
          <w:szCs w:val="22"/>
        </w:rPr>
        <w:pPrChange w:id="13777" w:author="AbbVie02no" w:date="2025-05-15T14:19:00Z">
          <w:pPr>
            <w:suppressAutoHyphens/>
            <w:ind w:left="567" w:hanging="567"/>
          </w:pPr>
        </w:pPrChange>
      </w:pPr>
    </w:p>
    <w:p w14:paraId="4D13DE60" w14:textId="6268C4EE" w:rsidR="006B2685" w:rsidRPr="007F67EE" w:rsidRDefault="00E453CD">
      <w:pPr>
        <w:rPr>
          <w:del w:id="13778" w:author="AbbVie02no" w:date="2025-05-15T14:19:00Z"/>
          <w:sz w:val="22"/>
          <w:szCs w:val="22"/>
        </w:rPr>
        <w:pPrChange w:id="13779" w:author="AbbVie02no" w:date="2025-05-15T14:19:00Z">
          <w:pPr>
            <w:suppressAutoHyphens/>
            <w:ind w:left="567" w:hanging="567"/>
            <w:jc w:val="center"/>
          </w:pPr>
        </w:pPrChange>
      </w:pPr>
      <w:del w:id="13780" w:author="AbbVie02no" w:date="2025-05-15T14:19:00Z">
        <w:r>
          <w:rPr>
            <w:noProof/>
            <w:lang w:val="en-GB" w:eastAsia="en-GB"/>
          </w:rPr>
          <w:drawing>
            <wp:inline distT="0" distB="0" distL="0" distR="0" wp14:anchorId="1637CDF8" wp14:editId="75E558AA">
              <wp:extent cx="1857375" cy="1838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857375" cy="1838325"/>
                      </a:xfrm>
                      <a:prstGeom prst="rect">
                        <a:avLst/>
                      </a:prstGeom>
                      <a:noFill/>
                      <a:ln>
                        <a:noFill/>
                      </a:ln>
                    </pic:spPr>
                  </pic:pic>
                </a:graphicData>
              </a:graphic>
            </wp:inline>
          </w:drawing>
        </w:r>
      </w:del>
    </w:p>
    <w:p w14:paraId="0E46F0CE" w14:textId="6857B680" w:rsidR="00637AF5" w:rsidRPr="00193D76" w:rsidRDefault="00637AF5">
      <w:pPr>
        <w:rPr>
          <w:del w:id="13781" w:author="AbbVie02no" w:date="2025-05-15T14:19:00Z"/>
          <w:sz w:val="22"/>
          <w:szCs w:val="22"/>
        </w:rPr>
        <w:pPrChange w:id="13782" w:author="AbbVie02no" w:date="2025-05-15T14:19:00Z">
          <w:pPr>
            <w:suppressAutoHyphens/>
            <w:ind w:left="567" w:hanging="567"/>
          </w:pPr>
        </w:pPrChange>
      </w:pPr>
    </w:p>
    <w:p w14:paraId="5290BFD7" w14:textId="018D521D" w:rsidR="00637AF5" w:rsidRPr="009C5EFD" w:rsidRDefault="00E453CD">
      <w:pPr>
        <w:rPr>
          <w:del w:id="13783" w:author="AbbVie02no" w:date="2025-05-15T14:19:00Z"/>
          <w:sz w:val="22"/>
          <w:szCs w:val="22"/>
        </w:rPr>
        <w:pPrChange w:id="13784" w:author="AbbVie02no" w:date="2025-05-15T14:19:00Z">
          <w:pPr>
            <w:numPr>
              <w:numId w:val="39"/>
            </w:numPr>
            <w:tabs>
              <w:tab w:val="num" w:pos="720"/>
            </w:tabs>
            <w:suppressAutoHyphens/>
            <w:ind w:left="720" w:hanging="720"/>
          </w:pPr>
        </w:pPrChange>
      </w:pPr>
      <w:del w:id="13785" w:author="AbbVie02no" w:date="2025-05-15T14:19:00Z">
        <w:r w:rsidRPr="002D0790">
          <w:rPr>
            <w:sz w:val="22"/>
            <w:szCs w:val="22"/>
          </w:rPr>
          <w:delText>Bruk e</w:delText>
        </w:r>
        <w:r w:rsidR="00C52CE2" w:rsidRPr="00C07C98">
          <w:rPr>
            <w:sz w:val="22"/>
            <w:szCs w:val="22"/>
          </w:rPr>
          <w:delText>t</w:delText>
        </w:r>
        <w:r w:rsidR="00510107" w:rsidRPr="00E14E58">
          <w:rPr>
            <w:sz w:val="22"/>
            <w:szCs w:val="22"/>
          </w:rPr>
          <w:delText>t</w:delText>
        </w:r>
        <w:r w:rsidRPr="009C5EFD">
          <w:rPr>
            <w:sz w:val="22"/>
            <w:szCs w:val="22"/>
          </w:rPr>
          <w:delText xml:space="preserve"> av injeksjonstørkene til å tørke </w:delText>
        </w:r>
        <w:r w:rsidR="00DD7414" w:rsidRPr="009C5EFD">
          <w:rPr>
            <w:sz w:val="22"/>
            <w:szCs w:val="22"/>
          </w:rPr>
          <w:delText>proppen</w:delText>
        </w:r>
        <w:r w:rsidRPr="009C5EFD">
          <w:rPr>
            <w:sz w:val="22"/>
            <w:szCs w:val="22"/>
          </w:rPr>
          <w:delText xml:space="preserve">. </w:delText>
        </w:r>
        <w:r w:rsidRPr="009C5EFD">
          <w:rPr>
            <w:b/>
            <w:sz w:val="22"/>
            <w:szCs w:val="22"/>
          </w:rPr>
          <w:delText>IKKE</w:delText>
        </w:r>
        <w:r w:rsidRPr="009C5EFD">
          <w:rPr>
            <w:sz w:val="22"/>
            <w:szCs w:val="22"/>
          </w:rPr>
          <w:delText xml:space="preserve"> rør </w:delText>
        </w:r>
        <w:r w:rsidR="00DD7414" w:rsidRPr="009C5EFD">
          <w:rPr>
            <w:sz w:val="22"/>
            <w:szCs w:val="22"/>
          </w:rPr>
          <w:delText>proppen</w:delText>
        </w:r>
        <w:r w:rsidR="00273BF6" w:rsidRPr="009C5EFD">
          <w:rPr>
            <w:sz w:val="22"/>
            <w:szCs w:val="22"/>
          </w:rPr>
          <w:delText xml:space="preserve"> etter tørk med injeksjonstørke</w:delText>
        </w:r>
        <w:r w:rsidR="00510107" w:rsidRPr="009C5EFD">
          <w:rPr>
            <w:sz w:val="22"/>
            <w:szCs w:val="22"/>
          </w:rPr>
          <w:delText>t</w:delText>
        </w:r>
        <w:r w:rsidR="00273BF6" w:rsidRPr="009C5EFD">
          <w:rPr>
            <w:sz w:val="22"/>
            <w:szCs w:val="22"/>
          </w:rPr>
          <w:delText>.</w:delText>
        </w:r>
      </w:del>
    </w:p>
    <w:p w14:paraId="161C6D01" w14:textId="2140222D" w:rsidR="00637AF5" w:rsidRPr="009C5EFD" w:rsidRDefault="00E453CD">
      <w:pPr>
        <w:rPr>
          <w:del w:id="13786" w:author="AbbVie02no" w:date="2025-05-15T14:19:00Z"/>
          <w:sz w:val="22"/>
          <w:szCs w:val="22"/>
        </w:rPr>
        <w:pPrChange w:id="13787" w:author="AbbVie02no" w:date="2025-05-15T14:19:00Z">
          <w:pPr>
            <w:numPr>
              <w:numId w:val="39"/>
            </w:numPr>
            <w:tabs>
              <w:tab w:val="num" w:pos="720"/>
            </w:tabs>
            <w:suppressAutoHyphens/>
            <w:ind w:left="720" w:hanging="720"/>
          </w:pPr>
        </w:pPrChange>
      </w:pPr>
      <w:del w:id="13788" w:author="AbbVie02no" w:date="2025-05-15T14:19:00Z">
        <w:r w:rsidRPr="009C5EFD">
          <w:rPr>
            <w:sz w:val="22"/>
            <w:szCs w:val="22"/>
          </w:rPr>
          <w:delText>Riv av lokket</w:delText>
        </w:r>
        <w:r w:rsidR="00273BF6" w:rsidRPr="009C5EFD">
          <w:rPr>
            <w:sz w:val="22"/>
            <w:szCs w:val="22"/>
          </w:rPr>
          <w:delText xml:space="preserve"> til hetteglassadapteren men ikke ta den ut.</w:delText>
        </w:r>
      </w:del>
    </w:p>
    <w:p w14:paraId="5B8E874B" w14:textId="346BD6F4" w:rsidR="006B2685" w:rsidRPr="009C5EFD" w:rsidRDefault="006B2685">
      <w:pPr>
        <w:rPr>
          <w:del w:id="13789" w:author="AbbVie02no" w:date="2025-05-15T14:19:00Z"/>
          <w:sz w:val="22"/>
          <w:szCs w:val="22"/>
        </w:rPr>
        <w:pPrChange w:id="13790" w:author="AbbVie02no" w:date="2025-05-15T14:19:00Z">
          <w:pPr>
            <w:suppressAutoHyphens/>
          </w:pPr>
        </w:pPrChange>
      </w:pPr>
    </w:p>
    <w:p w14:paraId="05E9307A" w14:textId="2A93DAE3" w:rsidR="006B2685" w:rsidRPr="007F67EE" w:rsidRDefault="00E453CD">
      <w:pPr>
        <w:rPr>
          <w:del w:id="13791" w:author="AbbVie02no" w:date="2025-05-15T14:19:00Z"/>
          <w:sz w:val="22"/>
          <w:szCs w:val="22"/>
        </w:rPr>
        <w:pPrChange w:id="13792" w:author="AbbVie02no" w:date="2025-05-15T14:19:00Z">
          <w:pPr>
            <w:suppressAutoHyphens/>
            <w:jc w:val="center"/>
          </w:pPr>
        </w:pPrChange>
      </w:pPr>
      <w:del w:id="13793" w:author="AbbVie02no" w:date="2025-05-15T14:19:00Z">
        <w:r>
          <w:rPr>
            <w:noProof/>
            <w:lang w:val="en-GB" w:eastAsia="en-GB"/>
          </w:rPr>
          <w:drawing>
            <wp:inline distT="0" distB="0" distL="0" distR="0" wp14:anchorId="7A876D16" wp14:editId="3870E499">
              <wp:extent cx="1819275" cy="1809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819275" cy="1809750"/>
                      </a:xfrm>
                      <a:prstGeom prst="rect">
                        <a:avLst/>
                      </a:prstGeom>
                      <a:noFill/>
                      <a:ln>
                        <a:noFill/>
                      </a:ln>
                    </pic:spPr>
                  </pic:pic>
                </a:graphicData>
              </a:graphic>
            </wp:inline>
          </w:drawing>
        </w:r>
      </w:del>
    </w:p>
    <w:p w14:paraId="5DF55ED5" w14:textId="05410BBD" w:rsidR="00273BF6" w:rsidRPr="00193D76" w:rsidRDefault="00273BF6">
      <w:pPr>
        <w:rPr>
          <w:del w:id="13794" w:author="AbbVie02no" w:date="2025-05-15T14:19:00Z"/>
          <w:sz w:val="22"/>
          <w:szCs w:val="22"/>
        </w:rPr>
        <w:pPrChange w:id="13795" w:author="AbbVie02no" w:date="2025-05-15T14:19:00Z">
          <w:pPr>
            <w:suppressAutoHyphens/>
          </w:pPr>
        </w:pPrChange>
      </w:pPr>
    </w:p>
    <w:p w14:paraId="2943F928" w14:textId="046EAEDF" w:rsidR="00273BF6" w:rsidRPr="00E14E58" w:rsidRDefault="00E453CD">
      <w:pPr>
        <w:rPr>
          <w:del w:id="13796" w:author="AbbVie02no" w:date="2025-05-15T14:19:00Z"/>
          <w:sz w:val="22"/>
          <w:szCs w:val="22"/>
        </w:rPr>
        <w:pPrChange w:id="13797" w:author="AbbVie02no" w:date="2025-05-15T14:19:00Z">
          <w:pPr>
            <w:numPr>
              <w:numId w:val="40"/>
            </w:numPr>
            <w:tabs>
              <w:tab w:val="num" w:pos="720"/>
            </w:tabs>
            <w:suppressAutoHyphens/>
            <w:ind w:left="720" w:hanging="720"/>
          </w:pPr>
        </w:pPrChange>
      </w:pPr>
      <w:del w:id="13798" w:author="AbbVie02no" w:date="2025-05-15T14:19:00Z">
        <w:r w:rsidRPr="002D0790">
          <w:rPr>
            <w:sz w:val="22"/>
            <w:szCs w:val="22"/>
          </w:rPr>
          <w:delText>Hold hetteglasset med hetteglass</w:delText>
        </w:r>
        <w:r w:rsidR="00DD7414" w:rsidRPr="00C07C98">
          <w:rPr>
            <w:sz w:val="22"/>
            <w:szCs w:val="22"/>
          </w:rPr>
          <w:delText>ets propp</w:delText>
        </w:r>
        <w:r w:rsidRPr="00E14E58">
          <w:rPr>
            <w:sz w:val="22"/>
            <w:szCs w:val="22"/>
          </w:rPr>
          <w:delText xml:space="preserve"> vendt oppover.</w:delText>
        </w:r>
      </w:del>
    </w:p>
    <w:p w14:paraId="2FBA3CF6" w14:textId="5FE0CF87" w:rsidR="00273BF6" w:rsidRPr="009C5EFD" w:rsidRDefault="00E453CD">
      <w:pPr>
        <w:rPr>
          <w:del w:id="13799" w:author="AbbVie02no" w:date="2025-05-15T14:19:00Z"/>
          <w:sz w:val="22"/>
          <w:szCs w:val="22"/>
        </w:rPr>
        <w:pPrChange w:id="13800" w:author="AbbVie02no" w:date="2025-05-15T14:19:00Z">
          <w:pPr>
            <w:numPr>
              <w:numId w:val="40"/>
            </w:numPr>
            <w:tabs>
              <w:tab w:val="num" w:pos="720"/>
            </w:tabs>
            <w:suppressAutoHyphens/>
            <w:ind w:left="720" w:hanging="720"/>
          </w:pPr>
        </w:pPrChange>
      </w:pPr>
      <w:del w:id="13801" w:author="AbbVie02no" w:date="2025-05-15T14:19:00Z">
        <w:r w:rsidRPr="009C5EFD">
          <w:rPr>
            <w:sz w:val="22"/>
            <w:szCs w:val="22"/>
          </w:rPr>
          <w:delText xml:space="preserve">Med adapteren fortsatt i den klare pakken, kobl den til </w:delText>
        </w:r>
        <w:r w:rsidR="00DD7414" w:rsidRPr="009C5EFD">
          <w:rPr>
            <w:sz w:val="22"/>
            <w:szCs w:val="22"/>
          </w:rPr>
          <w:delText>hetteglas</w:delText>
        </w:r>
        <w:r w:rsidR="006A122D" w:rsidRPr="009C5EFD">
          <w:rPr>
            <w:sz w:val="22"/>
            <w:szCs w:val="22"/>
          </w:rPr>
          <w:delText>s</w:delText>
        </w:r>
        <w:r w:rsidR="00DD7414" w:rsidRPr="009C5EFD">
          <w:rPr>
            <w:sz w:val="22"/>
            <w:szCs w:val="22"/>
          </w:rPr>
          <w:delText>ets propp</w:delText>
        </w:r>
        <w:r w:rsidRPr="009C5EFD">
          <w:rPr>
            <w:sz w:val="22"/>
            <w:szCs w:val="22"/>
          </w:rPr>
          <w:delText xml:space="preserve"> ved å trykke adapteren ned til den faller på plass.</w:delText>
        </w:r>
      </w:del>
    </w:p>
    <w:p w14:paraId="16C18382" w14:textId="48C12FEE" w:rsidR="00034C2E" w:rsidRPr="009C5EFD" w:rsidRDefault="00E453CD">
      <w:pPr>
        <w:rPr>
          <w:del w:id="13802" w:author="AbbVie02no" w:date="2025-05-15T14:19:00Z"/>
          <w:sz w:val="22"/>
          <w:szCs w:val="22"/>
        </w:rPr>
        <w:pPrChange w:id="13803" w:author="AbbVie02no" w:date="2025-05-15T14:19:00Z">
          <w:pPr>
            <w:numPr>
              <w:numId w:val="40"/>
            </w:numPr>
            <w:tabs>
              <w:tab w:val="num" w:pos="720"/>
            </w:tabs>
            <w:suppressAutoHyphens/>
            <w:ind w:left="720" w:hanging="720"/>
          </w:pPr>
        </w:pPrChange>
      </w:pPr>
      <w:del w:id="13804" w:author="AbbVie02no" w:date="2025-05-15T14:19:00Z">
        <w:r w:rsidRPr="009C5EFD">
          <w:rPr>
            <w:sz w:val="22"/>
            <w:szCs w:val="22"/>
          </w:rPr>
          <w:delText>Når du er sikker på at ada</w:delText>
        </w:r>
        <w:r w:rsidR="00E75E21" w:rsidRPr="009C5EFD">
          <w:rPr>
            <w:sz w:val="22"/>
            <w:szCs w:val="22"/>
          </w:rPr>
          <w:delText>p</w:delText>
        </w:r>
        <w:r w:rsidRPr="009C5EFD">
          <w:rPr>
            <w:sz w:val="22"/>
            <w:szCs w:val="22"/>
          </w:rPr>
          <w:delText xml:space="preserve">teren er festet til hetteglasset </w:delText>
        </w:r>
        <w:r w:rsidR="006A122D" w:rsidRPr="009C5EFD">
          <w:rPr>
            <w:sz w:val="22"/>
            <w:szCs w:val="22"/>
          </w:rPr>
          <w:delText xml:space="preserve">fjernes </w:delText>
        </w:r>
        <w:r w:rsidRPr="009C5EFD">
          <w:rPr>
            <w:sz w:val="22"/>
            <w:szCs w:val="22"/>
          </w:rPr>
          <w:delText>pakningen fra adapteren.</w:delText>
        </w:r>
      </w:del>
    </w:p>
    <w:p w14:paraId="18DED969" w14:textId="43E82CA7" w:rsidR="00034C2E" w:rsidRPr="009C5EFD" w:rsidRDefault="00E453CD">
      <w:pPr>
        <w:rPr>
          <w:del w:id="13805" w:author="AbbVie02no" w:date="2025-05-15T14:19:00Z"/>
          <w:sz w:val="22"/>
          <w:szCs w:val="22"/>
        </w:rPr>
        <w:pPrChange w:id="13806" w:author="AbbVie02no" w:date="2025-05-15T14:19:00Z">
          <w:pPr>
            <w:numPr>
              <w:numId w:val="40"/>
            </w:numPr>
            <w:tabs>
              <w:tab w:val="num" w:pos="720"/>
            </w:tabs>
            <w:suppressAutoHyphens/>
            <w:ind w:left="720" w:hanging="720"/>
          </w:pPr>
        </w:pPrChange>
      </w:pPr>
      <w:del w:id="13807" w:author="AbbVie02no" w:date="2025-05-15T14:19:00Z">
        <w:r w:rsidRPr="009C5EFD">
          <w:rPr>
            <w:sz w:val="22"/>
            <w:szCs w:val="22"/>
          </w:rPr>
          <w:delText xml:space="preserve">Sett hetteglasset med adapteren forsiktig ned </w:delText>
        </w:r>
        <w:r w:rsidR="00EC53FF" w:rsidRPr="009C5EFD">
          <w:rPr>
            <w:sz w:val="22"/>
            <w:szCs w:val="22"/>
          </w:rPr>
          <w:delText>på din rene arbeidsbenk</w:delText>
        </w:r>
        <w:r w:rsidRPr="009C5EFD">
          <w:rPr>
            <w:sz w:val="22"/>
            <w:szCs w:val="22"/>
          </w:rPr>
          <w:delText xml:space="preserve">. Vær forsiktig </w:delText>
        </w:r>
        <w:r w:rsidR="00DD7414" w:rsidRPr="009C5EFD">
          <w:rPr>
            <w:sz w:val="22"/>
            <w:szCs w:val="22"/>
          </w:rPr>
          <w:delText xml:space="preserve">så </w:delText>
        </w:r>
        <w:r w:rsidRPr="009C5EFD">
          <w:rPr>
            <w:sz w:val="22"/>
            <w:szCs w:val="22"/>
          </w:rPr>
          <w:delText>de</w:delText>
        </w:r>
        <w:r w:rsidR="006A122D" w:rsidRPr="009C5EFD">
          <w:rPr>
            <w:sz w:val="22"/>
            <w:szCs w:val="22"/>
          </w:rPr>
          <w:delText>t</w:delText>
        </w:r>
        <w:r w:rsidR="00E75E21" w:rsidRPr="009C5EFD">
          <w:rPr>
            <w:sz w:val="22"/>
            <w:szCs w:val="22"/>
          </w:rPr>
          <w:delText xml:space="preserve"> ikke velter. </w:delText>
        </w:r>
        <w:r w:rsidR="00E75E21" w:rsidRPr="009C5EFD">
          <w:rPr>
            <w:b/>
            <w:sz w:val="22"/>
            <w:szCs w:val="22"/>
          </w:rPr>
          <w:delText>IKKE</w:delText>
        </w:r>
        <w:r w:rsidR="00E75E21" w:rsidRPr="009C5EFD">
          <w:rPr>
            <w:sz w:val="22"/>
            <w:szCs w:val="22"/>
          </w:rPr>
          <w:delText xml:space="preserve"> rør adap</w:delText>
        </w:r>
        <w:r w:rsidRPr="009C5EFD">
          <w:rPr>
            <w:sz w:val="22"/>
            <w:szCs w:val="22"/>
          </w:rPr>
          <w:delText>teren.</w:delText>
        </w:r>
      </w:del>
    </w:p>
    <w:p w14:paraId="38475A0D" w14:textId="3D05EABE" w:rsidR="00034C2E" w:rsidRPr="009C5EFD" w:rsidRDefault="00034C2E">
      <w:pPr>
        <w:rPr>
          <w:del w:id="13808" w:author="AbbVie02no" w:date="2025-05-15T14:19:00Z"/>
          <w:sz w:val="22"/>
          <w:szCs w:val="22"/>
        </w:rPr>
        <w:pPrChange w:id="13809" w:author="AbbVie02no" w:date="2025-05-15T14:19:00Z">
          <w:pPr>
            <w:suppressAutoHyphens/>
          </w:pPr>
        </w:pPrChange>
      </w:pPr>
    </w:p>
    <w:p w14:paraId="24567473" w14:textId="47FFF952" w:rsidR="006B2685" w:rsidRPr="007F67EE" w:rsidRDefault="00E453CD">
      <w:pPr>
        <w:rPr>
          <w:del w:id="13810" w:author="AbbVie02no" w:date="2025-05-15T14:19:00Z"/>
          <w:sz w:val="22"/>
          <w:szCs w:val="22"/>
        </w:rPr>
        <w:pPrChange w:id="13811" w:author="AbbVie02no" w:date="2025-05-15T14:19:00Z">
          <w:pPr>
            <w:suppressAutoHyphens/>
            <w:jc w:val="center"/>
          </w:pPr>
        </w:pPrChange>
      </w:pPr>
      <w:del w:id="13812" w:author="AbbVie02no" w:date="2025-05-15T14:19:00Z">
        <w:r>
          <w:rPr>
            <w:noProof/>
            <w:lang w:val="en-GB" w:eastAsia="en-GB"/>
          </w:rPr>
          <w:lastRenderedPageBreak/>
          <w:drawing>
            <wp:inline distT="0" distB="0" distL="0" distR="0" wp14:anchorId="5DFE81F2" wp14:editId="07CBFBE1">
              <wp:extent cx="3990975" cy="1885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990975" cy="1885950"/>
                      </a:xfrm>
                      <a:prstGeom prst="rect">
                        <a:avLst/>
                      </a:prstGeom>
                      <a:noFill/>
                      <a:ln>
                        <a:noFill/>
                      </a:ln>
                    </pic:spPr>
                  </pic:pic>
                </a:graphicData>
              </a:graphic>
            </wp:inline>
          </w:drawing>
        </w:r>
      </w:del>
    </w:p>
    <w:p w14:paraId="23BE1D72" w14:textId="420CA212" w:rsidR="00273BF6" w:rsidRPr="00193D76" w:rsidRDefault="00273BF6">
      <w:pPr>
        <w:rPr>
          <w:del w:id="13813" w:author="AbbVie02no" w:date="2025-05-15T14:19:00Z"/>
          <w:sz w:val="22"/>
          <w:szCs w:val="22"/>
        </w:rPr>
        <w:pPrChange w:id="13814" w:author="AbbVie02no" w:date="2025-05-15T14:19:00Z">
          <w:pPr>
            <w:suppressAutoHyphens/>
          </w:pPr>
        </w:pPrChange>
      </w:pPr>
    </w:p>
    <w:p w14:paraId="4F7C64B2" w14:textId="7224D64E" w:rsidR="00034C2E" w:rsidRPr="009C5EFD" w:rsidRDefault="00E453CD">
      <w:pPr>
        <w:rPr>
          <w:del w:id="13815" w:author="AbbVie02no" w:date="2025-05-15T14:19:00Z"/>
          <w:sz w:val="22"/>
          <w:szCs w:val="22"/>
        </w:rPr>
        <w:pPrChange w:id="13816" w:author="AbbVie02no" w:date="2025-05-15T14:19:00Z">
          <w:pPr>
            <w:numPr>
              <w:numId w:val="41"/>
            </w:numPr>
            <w:tabs>
              <w:tab w:val="num" w:pos="720"/>
            </w:tabs>
            <w:suppressAutoHyphens/>
            <w:ind w:left="720" w:hanging="720"/>
          </w:pPr>
        </w:pPrChange>
      </w:pPr>
      <w:del w:id="13817" w:author="AbbVie02no" w:date="2025-05-15T14:19:00Z">
        <w:r w:rsidRPr="002D0790">
          <w:rPr>
            <w:sz w:val="22"/>
            <w:szCs w:val="22"/>
          </w:rPr>
          <w:delText>Gjør sprøyten klar ved å åpne pakken del</w:delText>
        </w:r>
        <w:r w:rsidRPr="00C07C98">
          <w:rPr>
            <w:sz w:val="22"/>
            <w:szCs w:val="22"/>
          </w:rPr>
          <w:delText>vis fra den enden nærmest til den hvite</w:delText>
        </w:r>
        <w:r w:rsidR="00EC53FF" w:rsidRPr="00E14E58">
          <w:rPr>
            <w:sz w:val="22"/>
            <w:szCs w:val="22"/>
          </w:rPr>
          <w:delText xml:space="preserve"> stempelstangen</w:delText>
        </w:r>
        <w:r w:rsidRPr="009C5EFD">
          <w:rPr>
            <w:sz w:val="22"/>
            <w:szCs w:val="22"/>
          </w:rPr>
          <w:delText>.</w:delText>
        </w:r>
      </w:del>
    </w:p>
    <w:p w14:paraId="722FE909" w14:textId="54A159DD" w:rsidR="00791A38" w:rsidRPr="009C5EFD" w:rsidRDefault="00E453CD">
      <w:pPr>
        <w:rPr>
          <w:del w:id="13818" w:author="AbbVie02no" w:date="2025-05-15T14:19:00Z"/>
          <w:sz w:val="22"/>
          <w:szCs w:val="22"/>
        </w:rPr>
        <w:pPrChange w:id="13819" w:author="AbbVie02no" w:date="2025-05-15T14:19:00Z">
          <w:pPr>
            <w:numPr>
              <w:numId w:val="41"/>
            </w:numPr>
            <w:tabs>
              <w:tab w:val="num" w:pos="720"/>
            </w:tabs>
            <w:suppressAutoHyphens/>
            <w:ind w:left="720" w:hanging="720"/>
          </w:pPr>
        </w:pPrChange>
      </w:pPr>
      <w:del w:id="13820" w:author="AbbVie02no" w:date="2025-05-15T14:19:00Z">
        <w:r w:rsidRPr="009C5EFD">
          <w:rPr>
            <w:sz w:val="22"/>
            <w:szCs w:val="22"/>
          </w:rPr>
          <w:delText>Riv den klare pakken bare inntil den hvite stempelstangen har kommet ut, men ikke ta sprøyten ut av pakke</w:delText>
        </w:r>
        <w:r w:rsidR="007130E2" w:rsidRPr="009C5EFD">
          <w:rPr>
            <w:sz w:val="22"/>
            <w:szCs w:val="22"/>
          </w:rPr>
          <w:delText>n</w:delText>
        </w:r>
        <w:r w:rsidRPr="009C5EFD">
          <w:rPr>
            <w:sz w:val="22"/>
            <w:szCs w:val="22"/>
          </w:rPr>
          <w:delText>.</w:delText>
        </w:r>
      </w:del>
    </w:p>
    <w:p w14:paraId="330BFF72" w14:textId="387E365D" w:rsidR="00E40B29" w:rsidRPr="009C5EFD" w:rsidRDefault="00E453CD">
      <w:pPr>
        <w:rPr>
          <w:del w:id="13821" w:author="AbbVie02no" w:date="2025-05-15T14:19:00Z"/>
          <w:sz w:val="22"/>
          <w:szCs w:val="22"/>
        </w:rPr>
        <w:pPrChange w:id="13822" w:author="AbbVie02no" w:date="2025-05-15T14:19:00Z">
          <w:pPr>
            <w:numPr>
              <w:numId w:val="41"/>
            </w:numPr>
            <w:tabs>
              <w:tab w:val="num" w:pos="720"/>
            </w:tabs>
            <w:suppressAutoHyphens/>
            <w:ind w:left="720" w:hanging="720"/>
          </w:pPr>
        </w:pPrChange>
      </w:pPr>
      <w:del w:id="13823" w:author="AbbVie02no" w:date="2025-05-15T14:19:00Z">
        <w:r w:rsidRPr="009C5EFD">
          <w:rPr>
            <w:sz w:val="22"/>
            <w:szCs w:val="22"/>
          </w:rPr>
          <w:delText>Hold pakk</w:delText>
        </w:r>
        <w:r w:rsidR="00EC53FF" w:rsidRPr="009C5EFD">
          <w:rPr>
            <w:sz w:val="22"/>
            <w:szCs w:val="22"/>
          </w:rPr>
          <w:delText>e</w:delText>
        </w:r>
        <w:r w:rsidRPr="009C5EFD">
          <w:rPr>
            <w:sz w:val="22"/>
            <w:szCs w:val="22"/>
          </w:rPr>
          <w:delText xml:space="preserve">n </w:delText>
        </w:r>
        <w:r w:rsidR="00EC53FF" w:rsidRPr="009C5EFD">
          <w:rPr>
            <w:sz w:val="22"/>
            <w:szCs w:val="22"/>
          </w:rPr>
          <w:delText xml:space="preserve">med sprøyten </w:delText>
        </w:r>
        <w:r w:rsidRPr="009C5EFD">
          <w:rPr>
            <w:sz w:val="22"/>
            <w:szCs w:val="22"/>
          </w:rPr>
          <w:delText xml:space="preserve">og trekk </w:delText>
        </w:r>
        <w:r w:rsidR="00EC53FF" w:rsidRPr="009C5EFD">
          <w:rPr>
            <w:b/>
            <w:sz w:val="22"/>
            <w:szCs w:val="22"/>
          </w:rPr>
          <w:delText>LANGSOMT</w:delText>
        </w:r>
        <w:r w:rsidR="00EC53FF" w:rsidRPr="009C5EFD">
          <w:rPr>
            <w:sz w:val="22"/>
            <w:szCs w:val="22"/>
          </w:rPr>
          <w:delText xml:space="preserve"> </w:delText>
        </w:r>
        <w:r w:rsidRPr="009C5EFD">
          <w:rPr>
            <w:sz w:val="22"/>
            <w:szCs w:val="22"/>
          </w:rPr>
          <w:delText xml:space="preserve">ut den hvite </w:delText>
        </w:r>
        <w:r w:rsidR="0066541B" w:rsidRPr="009C5EFD">
          <w:rPr>
            <w:sz w:val="22"/>
            <w:szCs w:val="22"/>
          </w:rPr>
          <w:delText>stempelstangen</w:delText>
        </w:r>
        <w:r w:rsidRPr="009C5EFD">
          <w:rPr>
            <w:sz w:val="22"/>
            <w:szCs w:val="22"/>
          </w:rPr>
          <w:delText xml:space="preserve"> </w:delText>
        </w:r>
        <w:r w:rsidR="00EC53FF" w:rsidRPr="009C5EFD">
          <w:rPr>
            <w:sz w:val="22"/>
            <w:szCs w:val="22"/>
          </w:rPr>
          <w:delText xml:space="preserve">til </w:delText>
        </w:r>
        <w:r w:rsidRPr="009C5EFD">
          <w:rPr>
            <w:sz w:val="22"/>
            <w:szCs w:val="22"/>
          </w:rPr>
          <w:delText xml:space="preserve">0,1 ml </w:delText>
        </w:r>
        <w:r w:rsidR="00EC53FF" w:rsidRPr="009C5EFD">
          <w:rPr>
            <w:sz w:val="22"/>
            <w:szCs w:val="22"/>
          </w:rPr>
          <w:delText xml:space="preserve">over </w:delText>
        </w:r>
        <w:r w:rsidRPr="009C5EFD">
          <w:rPr>
            <w:sz w:val="22"/>
            <w:szCs w:val="22"/>
          </w:rPr>
          <w:delText>den dose som er foreskrev</w:delText>
        </w:r>
        <w:r w:rsidR="00611194" w:rsidRPr="009C5EFD">
          <w:rPr>
            <w:sz w:val="22"/>
            <w:szCs w:val="22"/>
          </w:rPr>
          <w:delText>e</w:delText>
        </w:r>
        <w:r w:rsidRPr="009C5EFD">
          <w:rPr>
            <w:sz w:val="22"/>
            <w:szCs w:val="22"/>
          </w:rPr>
          <w:delText>t (for eksempel hvis den foreskrev</w:delText>
        </w:r>
        <w:r w:rsidR="007130E2" w:rsidRPr="009C5EFD">
          <w:rPr>
            <w:sz w:val="22"/>
            <w:szCs w:val="22"/>
          </w:rPr>
          <w:delText>n</w:delText>
        </w:r>
        <w:r w:rsidRPr="009C5EFD">
          <w:rPr>
            <w:sz w:val="22"/>
            <w:szCs w:val="22"/>
          </w:rPr>
          <w:delText>e dosen er 0,5 ml trekk ut den hvit</w:delText>
        </w:r>
        <w:r w:rsidR="00611194" w:rsidRPr="009C5EFD">
          <w:rPr>
            <w:sz w:val="22"/>
            <w:szCs w:val="22"/>
          </w:rPr>
          <w:delText>e</w:delText>
        </w:r>
        <w:r w:rsidRPr="009C5EFD">
          <w:rPr>
            <w:sz w:val="22"/>
            <w:szCs w:val="22"/>
          </w:rPr>
          <w:delText xml:space="preserve"> stempelstangen </w:delText>
        </w:r>
        <w:r w:rsidR="007130E2" w:rsidRPr="009C5EFD">
          <w:rPr>
            <w:sz w:val="22"/>
            <w:szCs w:val="22"/>
          </w:rPr>
          <w:delText xml:space="preserve">til </w:delText>
        </w:r>
        <w:r w:rsidRPr="009C5EFD">
          <w:rPr>
            <w:sz w:val="22"/>
            <w:szCs w:val="22"/>
          </w:rPr>
          <w:delText>0,6 ml).</w:delText>
        </w:r>
      </w:del>
    </w:p>
    <w:p w14:paraId="6E5397F2" w14:textId="2ED1B3D3" w:rsidR="00E40B29" w:rsidRPr="009C5EFD" w:rsidRDefault="00E453CD">
      <w:pPr>
        <w:rPr>
          <w:del w:id="13824" w:author="AbbVie02no" w:date="2025-05-15T14:19:00Z"/>
          <w:sz w:val="22"/>
          <w:szCs w:val="22"/>
        </w:rPr>
        <w:pPrChange w:id="13825" w:author="AbbVie02no" w:date="2025-05-15T14:19:00Z">
          <w:pPr>
            <w:suppressAutoHyphens/>
            <w:ind w:left="720"/>
          </w:pPr>
        </w:pPrChange>
      </w:pPr>
      <w:del w:id="13826" w:author="AbbVie02no" w:date="2025-05-15T14:19:00Z">
        <w:r w:rsidRPr="009C5EFD">
          <w:rPr>
            <w:sz w:val="22"/>
            <w:szCs w:val="22"/>
          </w:rPr>
          <w:delText xml:space="preserve">Trekk </w:delText>
        </w:r>
        <w:r w:rsidRPr="009C5EFD">
          <w:rPr>
            <w:b/>
            <w:sz w:val="22"/>
            <w:szCs w:val="22"/>
          </w:rPr>
          <w:delText>ALDRI</w:delText>
        </w:r>
        <w:r w:rsidRPr="009C5EFD">
          <w:rPr>
            <w:sz w:val="22"/>
            <w:szCs w:val="22"/>
          </w:rPr>
          <w:delText xml:space="preserve"> over 0,9 ml uansett hva foreskrev</w:delText>
        </w:r>
        <w:r w:rsidR="00611194" w:rsidRPr="009C5EFD">
          <w:rPr>
            <w:sz w:val="22"/>
            <w:szCs w:val="22"/>
          </w:rPr>
          <w:delText>e</w:delText>
        </w:r>
        <w:r w:rsidRPr="009C5EFD">
          <w:rPr>
            <w:sz w:val="22"/>
            <w:szCs w:val="22"/>
          </w:rPr>
          <w:delText>t dose er.</w:delText>
        </w:r>
      </w:del>
    </w:p>
    <w:p w14:paraId="17F90F76" w14:textId="62B62292" w:rsidR="00791A38" w:rsidRPr="009C5EFD" w:rsidRDefault="00E453CD">
      <w:pPr>
        <w:rPr>
          <w:del w:id="13827" w:author="AbbVie02no" w:date="2025-05-15T14:19:00Z"/>
          <w:sz w:val="22"/>
          <w:szCs w:val="22"/>
        </w:rPr>
        <w:pPrChange w:id="13828" w:author="AbbVie02no" w:date="2025-05-15T14:19:00Z">
          <w:pPr>
            <w:numPr>
              <w:numId w:val="42"/>
            </w:numPr>
            <w:tabs>
              <w:tab w:val="num" w:pos="720"/>
              <w:tab w:val="num" w:pos="780"/>
            </w:tabs>
            <w:suppressAutoHyphens/>
            <w:ind w:left="780" w:hanging="780"/>
          </w:pPr>
        </w:pPrChange>
      </w:pPr>
      <w:del w:id="13829" w:author="AbbVie02no" w:date="2025-05-15T14:19:00Z">
        <w:r w:rsidRPr="009C5EFD">
          <w:rPr>
            <w:sz w:val="22"/>
            <w:szCs w:val="22"/>
          </w:rPr>
          <w:delText>Du skal sette volumet til foreskrevet</w:delText>
        </w:r>
        <w:r w:rsidR="00611194" w:rsidRPr="009C5EFD">
          <w:rPr>
            <w:sz w:val="22"/>
            <w:szCs w:val="22"/>
          </w:rPr>
          <w:delText xml:space="preserve"> </w:delText>
        </w:r>
        <w:r w:rsidRPr="009C5EFD">
          <w:rPr>
            <w:sz w:val="22"/>
            <w:szCs w:val="22"/>
          </w:rPr>
          <w:delText>dose senere.</w:delText>
        </w:r>
      </w:del>
    </w:p>
    <w:p w14:paraId="48D2CEC0" w14:textId="74B8F5A9" w:rsidR="00E40B29" w:rsidRPr="009C5EFD" w:rsidRDefault="00E453CD">
      <w:pPr>
        <w:rPr>
          <w:del w:id="13830" w:author="AbbVie02no" w:date="2025-05-15T14:19:00Z"/>
          <w:sz w:val="22"/>
          <w:szCs w:val="22"/>
        </w:rPr>
        <w:pPrChange w:id="13831" w:author="AbbVie02no" w:date="2025-05-15T14:19:00Z">
          <w:pPr>
            <w:numPr>
              <w:numId w:val="42"/>
            </w:numPr>
            <w:tabs>
              <w:tab w:val="num" w:pos="720"/>
              <w:tab w:val="num" w:pos="780"/>
            </w:tabs>
            <w:suppressAutoHyphens/>
            <w:ind w:left="780" w:hanging="780"/>
          </w:pPr>
        </w:pPrChange>
      </w:pPr>
      <w:del w:id="13832" w:author="AbbVie02no" w:date="2025-05-15T14:19:00Z">
        <w:r w:rsidRPr="009C5EFD">
          <w:rPr>
            <w:b/>
            <w:sz w:val="22"/>
            <w:szCs w:val="22"/>
          </w:rPr>
          <w:delText>IKKE</w:delText>
        </w:r>
        <w:r w:rsidRPr="009C5EFD">
          <w:rPr>
            <w:sz w:val="22"/>
            <w:szCs w:val="22"/>
          </w:rPr>
          <w:delText xml:space="preserve"> trekk den hvite </w:delText>
        </w:r>
        <w:r w:rsidR="0066541B" w:rsidRPr="009C5EFD">
          <w:rPr>
            <w:sz w:val="22"/>
            <w:szCs w:val="22"/>
          </w:rPr>
          <w:delText>stempelstangen helt ut av sprøyten.</w:delText>
        </w:r>
      </w:del>
    </w:p>
    <w:p w14:paraId="5A526E05" w14:textId="76B5502C" w:rsidR="0066541B" w:rsidRPr="009C5EFD" w:rsidRDefault="0066541B">
      <w:pPr>
        <w:rPr>
          <w:del w:id="13833" w:author="AbbVie02no" w:date="2025-05-15T14:19:00Z"/>
          <w:sz w:val="22"/>
          <w:szCs w:val="22"/>
        </w:rPr>
        <w:pPrChange w:id="13834" w:author="AbbVie02no" w:date="2025-05-15T14:19:00Z">
          <w:pPr>
            <w:suppressAutoHyphens/>
          </w:pPr>
        </w:pPrChange>
      </w:pPr>
    </w:p>
    <w:p w14:paraId="2753A097" w14:textId="1A958688" w:rsidR="0066541B" w:rsidRPr="009C5EFD" w:rsidRDefault="00E453CD">
      <w:pPr>
        <w:rPr>
          <w:del w:id="13835" w:author="AbbVie02no" w:date="2025-05-15T14:19:00Z"/>
          <w:b/>
          <w:sz w:val="22"/>
          <w:szCs w:val="22"/>
        </w:rPr>
        <w:pPrChange w:id="13836" w:author="AbbVie02no" w:date="2025-05-15T14:19:00Z">
          <w:pPr>
            <w:suppressAutoHyphens/>
          </w:pPr>
        </w:pPrChange>
      </w:pPr>
      <w:del w:id="13837" w:author="AbbVie02no" w:date="2025-05-15T14:19:00Z">
        <w:r w:rsidRPr="009C5EFD">
          <w:rPr>
            <w:b/>
            <w:sz w:val="22"/>
            <w:szCs w:val="22"/>
          </w:rPr>
          <w:delText>LEGG MERKE TIL:</w:delText>
        </w:r>
      </w:del>
    </w:p>
    <w:p w14:paraId="4E44947A" w14:textId="22E5691A" w:rsidR="0066541B" w:rsidRPr="009C5EFD" w:rsidRDefault="00E453CD">
      <w:pPr>
        <w:rPr>
          <w:del w:id="13838" w:author="AbbVie02no" w:date="2025-05-15T14:19:00Z"/>
          <w:sz w:val="22"/>
          <w:szCs w:val="22"/>
        </w:rPr>
        <w:pPrChange w:id="13839" w:author="AbbVie02no" w:date="2025-05-15T14:19:00Z">
          <w:pPr>
            <w:suppressAutoHyphens/>
          </w:pPr>
        </w:pPrChange>
      </w:pPr>
      <w:del w:id="13840" w:author="AbbVie02no" w:date="2025-05-15T14:19:00Z">
        <w:r w:rsidRPr="009C5EFD">
          <w:rPr>
            <w:sz w:val="22"/>
            <w:szCs w:val="22"/>
          </w:rPr>
          <w:delText xml:space="preserve">Hvis den hvite stempelstangen er trukket helt </w:delText>
        </w:r>
        <w:r w:rsidR="00FF24D4">
          <w:rPr>
            <w:sz w:val="22"/>
            <w:szCs w:val="22"/>
          </w:rPr>
          <w:delText xml:space="preserve">ut </w:delText>
        </w:r>
        <w:r w:rsidRPr="009C5EFD">
          <w:rPr>
            <w:sz w:val="22"/>
            <w:szCs w:val="22"/>
          </w:rPr>
          <w:delText xml:space="preserve">av sprøyten, kast sprøyten og </w:delText>
        </w:r>
        <w:r w:rsidR="00654A1F" w:rsidRPr="009C5EFD">
          <w:rPr>
            <w:sz w:val="22"/>
            <w:szCs w:val="22"/>
          </w:rPr>
          <w:delText>kontakt</w:delText>
        </w:r>
        <w:r w:rsidR="00973502" w:rsidRPr="009C5EFD">
          <w:rPr>
            <w:sz w:val="22"/>
            <w:szCs w:val="22"/>
          </w:rPr>
          <w:delText xml:space="preserve"> </w:delText>
        </w:r>
        <w:r w:rsidR="00FF24D4">
          <w:rPr>
            <w:sz w:val="22"/>
            <w:szCs w:val="22"/>
          </w:rPr>
          <w:delText>legen din eller apotek</w:delText>
        </w:r>
        <w:r w:rsidR="00654A1F" w:rsidRPr="009C5EFD">
          <w:rPr>
            <w:sz w:val="22"/>
            <w:szCs w:val="22"/>
          </w:rPr>
          <w:delText xml:space="preserve"> for en ny</w:delText>
        </w:r>
        <w:r w:rsidR="006D4ACA" w:rsidRPr="009C5EFD">
          <w:rPr>
            <w:sz w:val="22"/>
            <w:szCs w:val="22"/>
          </w:rPr>
          <w:delText xml:space="preserve">. </w:delText>
        </w:r>
        <w:r w:rsidR="006D4ACA" w:rsidRPr="009C5EFD">
          <w:rPr>
            <w:b/>
            <w:sz w:val="22"/>
            <w:szCs w:val="22"/>
          </w:rPr>
          <w:delText>IKKE</w:delText>
        </w:r>
        <w:r w:rsidR="006D4ACA" w:rsidRPr="009C5EFD">
          <w:rPr>
            <w:sz w:val="22"/>
            <w:szCs w:val="22"/>
          </w:rPr>
          <w:delText xml:space="preserve"> prøv å sette</w:delText>
        </w:r>
        <w:r w:rsidRPr="009C5EFD">
          <w:rPr>
            <w:sz w:val="22"/>
            <w:szCs w:val="22"/>
          </w:rPr>
          <w:delText xml:space="preserve"> den hvite stempelstangen tilbake.</w:delText>
        </w:r>
      </w:del>
    </w:p>
    <w:p w14:paraId="3800DB12" w14:textId="065FAAE3" w:rsidR="006B2685" w:rsidRPr="00AB7697" w:rsidRDefault="00E453CD">
      <w:pPr>
        <w:rPr>
          <w:del w:id="13841" w:author="AbbVie02no" w:date="2025-05-15T14:19:00Z"/>
        </w:rPr>
        <w:pPrChange w:id="13842" w:author="AbbVie02no" w:date="2025-05-15T14:19:00Z">
          <w:pPr>
            <w:suppressAutoHyphens/>
          </w:pPr>
        </w:pPrChange>
      </w:pPr>
      <w:del w:id="13843" w:author="AbbVie02no" w:date="2025-05-15T14:19:00Z">
        <w:r w:rsidRPr="00AB7697">
          <w:tab/>
        </w:r>
        <w:r w:rsidRPr="00AB7697">
          <w:tab/>
        </w:r>
        <w:r w:rsidRPr="00AB7697">
          <w:tab/>
        </w:r>
        <w:r w:rsidRPr="00AB7697">
          <w:tab/>
          <w:delText xml:space="preserve">  </w:delText>
        </w:r>
        <w:r w:rsidRPr="00AB7697">
          <w:tab/>
          <w:delText xml:space="preserve">      </w:delText>
        </w:r>
      </w:del>
    </w:p>
    <w:tbl>
      <w:tblPr>
        <w:tblW w:w="0" w:type="auto"/>
        <w:tblLook w:val="01E0" w:firstRow="1" w:lastRow="1" w:firstColumn="1" w:lastColumn="1" w:noHBand="0" w:noVBand="0"/>
      </w:tblPr>
      <w:tblGrid>
        <w:gridCol w:w="4585"/>
        <w:gridCol w:w="4480"/>
      </w:tblGrid>
      <w:tr w:rsidR="004644D4" w14:paraId="36FEF95D" w14:textId="4CF9AE8E" w:rsidTr="00C23722">
        <w:trPr>
          <w:del w:id="13844" w:author="AbbVie02no" w:date="2025-05-15T14:19:00Z"/>
        </w:trPr>
        <w:tc>
          <w:tcPr>
            <w:tcW w:w="4643" w:type="dxa"/>
          </w:tcPr>
          <w:p w14:paraId="13E117B6" w14:textId="340E8AAA" w:rsidR="00A9551B" w:rsidRPr="00090EDA" w:rsidRDefault="00E453CD">
            <w:pPr>
              <w:rPr>
                <w:del w:id="13845" w:author="AbbVie02no" w:date="2025-05-15T14:19:00Z"/>
                <w:rPrChange w:id="13846" w:author="AbbVie04no" w:date="2025-09-09T10:19:00Z" w16du:dateUtc="2025-09-09T08:19:00Z">
                  <w:rPr>
                    <w:del w:id="13847" w:author="AbbVie02no" w:date="2025-05-15T14:19:00Z"/>
                    <w:lang w:val="en-GB"/>
                  </w:rPr>
                </w:rPrChange>
              </w:rPr>
              <w:pPrChange w:id="13848" w:author="AbbVie02no" w:date="2025-05-15T14:19:00Z">
                <w:pPr>
                  <w:pStyle w:val="EMEANormal"/>
                  <w:ind w:left="1440" w:hanging="240"/>
                  <w:jc w:val="right"/>
                </w:pPr>
              </w:pPrChange>
            </w:pPr>
            <w:del w:id="13849" w:author="AbbVie02no" w:date="2025-05-15T14:19:00Z">
              <w:r>
                <w:rPr>
                  <w:noProof/>
                  <w:lang w:val="en-GB" w:eastAsia="en-GB"/>
                </w:rPr>
                <w:drawing>
                  <wp:inline distT="0" distB="0" distL="0" distR="0" wp14:anchorId="378AADD9" wp14:editId="5E3C1FC4">
                    <wp:extent cx="1895475" cy="1895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895475" cy="1895475"/>
                            </a:xfrm>
                            <a:prstGeom prst="rect">
                              <a:avLst/>
                            </a:prstGeom>
                            <a:noFill/>
                            <a:ln>
                              <a:noFill/>
                            </a:ln>
                          </pic:spPr>
                        </pic:pic>
                      </a:graphicData>
                    </a:graphic>
                  </wp:inline>
                </w:drawing>
              </w:r>
            </w:del>
          </w:p>
        </w:tc>
        <w:tc>
          <w:tcPr>
            <w:tcW w:w="4638" w:type="dxa"/>
          </w:tcPr>
          <w:p w14:paraId="3D57503F" w14:textId="2CEA5AB3" w:rsidR="00A9551B" w:rsidRPr="00090EDA" w:rsidRDefault="00A9551B">
            <w:pPr>
              <w:rPr>
                <w:del w:id="13850" w:author="AbbVie02no" w:date="2025-05-15T14:19:00Z"/>
                <w:rPrChange w:id="13851" w:author="AbbVie04no" w:date="2025-09-09T10:19:00Z" w16du:dateUtc="2025-09-09T08:19:00Z">
                  <w:rPr>
                    <w:del w:id="13852" w:author="AbbVie02no" w:date="2025-05-15T14:19:00Z"/>
                    <w:lang w:val="en-GB"/>
                  </w:rPr>
                </w:rPrChange>
              </w:rPr>
              <w:pPrChange w:id="13853" w:author="AbbVie02no" w:date="2025-05-15T14:19:00Z">
                <w:pPr>
                  <w:pStyle w:val="EMEANormal"/>
                  <w:ind w:left="1440" w:hanging="240"/>
                </w:pPr>
              </w:pPrChange>
            </w:pPr>
          </w:p>
          <w:p w14:paraId="59AE6464" w14:textId="35A64EAF" w:rsidR="00A9551B" w:rsidRPr="00090EDA" w:rsidRDefault="00A9551B">
            <w:pPr>
              <w:rPr>
                <w:del w:id="13854" w:author="AbbVie02no" w:date="2025-05-15T14:19:00Z"/>
                <w:rPrChange w:id="13855" w:author="AbbVie04no" w:date="2025-09-09T10:19:00Z" w16du:dateUtc="2025-09-09T08:19:00Z">
                  <w:rPr>
                    <w:del w:id="13856" w:author="AbbVie02no" w:date="2025-05-15T14:19:00Z"/>
                    <w:lang w:val="en-GB"/>
                  </w:rPr>
                </w:rPrChange>
              </w:rPr>
              <w:pPrChange w:id="13857" w:author="AbbVie02no" w:date="2025-05-15T14:19:00Z">
                <w:pPr>
                  <w:pStyle w:val="EMEANormal"/>
                  <w:ind w:left="1440" w:hanging="240"/>
                </w:pPr>
              </w:pPrChange>
            </w:pPr>
          </w:p>
          <w:p w14:paraId="124E3290" w14:textId="48255841" w:rsidR="00A9551B" w:rsidRPr="00090EDA" w:rsidRDefault="00A9551B">
            <w:pPr>
              <w:rPr>
                <w:del w:id="13858" w:author="AbbVie02no" w:date="2025-05-15T14:19:00Z"/>
                <w:rPrChange w:id="13859" w:author="AbbVie04no" w:date="2025-09-09T10:19:00Z" w16du:dateUtc="2025-09-09T08:19:00Z">
                  <w:rPr>
                    <w:del w:id="13860" w:author="AbbVie02no" w:date="2025-05-15T14:19:00Z"/>
                    <w:lang w:val="en-GB"/>
                  </w:rPr>
                </w:rPrChange>
              </w:rPr>
              <w:pPrChange w:id="13861" w:author="AbbVie02no" w:date="2025-05-15T14:19:00Z">
                <w:pPr>
                  <w:pStyle w:val="EMEANormal"/>
                  <w:ind w:left="1440" w:hanging="240"/>
                </w:pPr>
              </w:pPrChange>
            </w:pPr>
          </w:p>
          <w:p w14:paraId="5CF676CF" w14:textId="5BB796CB" w:rsidR="00A9551B" w:rsidRPr="00090EDA" w:rsidRDefault="00A9551B">
            <w:pPr>
              <w:rPr>
                <w:del w:id="13862" w:author="AbbVie02no" w:date="2025-05-15T14:19:00Z"/>
                <w:rPrChange w:id="13863" w:author="AbbVie04no" w:date="2025-09-09T10:19:00Z" w16du:dateUtc="2025-09-09T08:19:00Z">
                  <w:rPr>
                    <w:del w:id="13864" w:author="AbbVie02no" w:date="2025-05-15T14:19:00Z"/>
                    <w:lang w:val="en-GB"/>
                  </w:rPr>
                </w:rPrChange>
              </w:rPr>
              <w:pPrChange w:id="13865" w:author="AbbVie02no" w:date="2025-05-15T14:19:00Z">
                <w:pPr>
                  <w:pStyle w:val="EMEANormal"/>
                  <w:ind w:left="1440" w:hanging="240"/>
                </w:pPr>
              </w:pPrChange>
            </w:pPr>
          </w:p>
          <w:p w14:paraId="7638BB63" w14:textId="2D20DA24" w:rsidR="00A9551B" w:rsidRPr="00090EDA" w:rsidRDefault="00A9551B">
            <w:pPr>
              <w:rPr>
                <w:del w:id="13866" w:author="AbbVie02no" w:date="2025-05-15T14:19:00Z"/>
                <w:rPrChange w:id="13867" w:author="AbbVie04no" w:date="2025-09-09T10:19:00Z" w16du:dateUtc="2025-09-09T08:19:00Z">
                  <w:rPr>
                    <w:del w:id="13868" w:author="AbbVie02no" w:date="2025-05-15T14:19:00Z"/>
                    <w:lang w:val="en-GB"/>
                  </w:rPr>
                </w:rPrChange>
              </w:rPr>
              <w:pPrChange w:id="13869" w:author="AbbVie02no" w:date="2025-05-15T14:19:00Z">
                <w:pPr>
                  <w:pStyle w:val="EMEANormal"/>
                  <w:ind w:left="1440" w:hanging="240"/>
                </w:pPr>
              </w:pPrChange>
            </w:pPr>
          </w:p>
          <w:p w14:paraId="7979BD26" w14:textId="605D5C3C" w:rsidR="00A9551B" w:rsidRPr="00090EDA" w:rsidRDefault="00A9551B">
            <w:pPr>
              <w:rPr>
                <w:del w:id="13870" w:author="AbbVie02no" w:date="2025-05-15T14:19:00Z"/>
                <w:rPrChange w:id="13871" w:author="AbbVie04no" w:date="2025-09-09T10:19:00Z" w16du:dateUtc="2025-09-09T08:19:00Z">
                  <w:rPr>
                    <w:del w:id="13872" w:author="AbbVie02no" w:date="2025-05-15T14:19:00Z"/>
                    <w:lang w:val="en-GB"/>
                  </w:rPr>
                </w:rPrChange>
              </w:rPr>
              <w:pPrChange w:id="13873" w:author="AbbVie02no" w:date="2025-05-15T14:19:00Z">
                <w:pPr>
                  <w:pStyle w:val="EMEANormal"/>
                  <w:ind w:left="1440" w:hanging="240"/>
                </w:pPr>
              </w:pPrChange>
            </w:pPr>
          </w:p>
          <w:p w14:paraId="4E5A4221" w14:textId="78A85CBC" w:rsidR="00A9551B" w:rsidRPr="00090EDA" w:rsidRDefault="00A9551B">
            <w:pPr>
              <w:rPr>
                <w:del w:id="13874" w:author="AbbVie02no" w:date="2025-05-15T14:19:00Z"/>
                <w:rPrChange w:id="13875" w:author="AbbVie04no" w:date="2025-09-09T10:19:00Z" w16du:dateUtc="2025-09-09T08:19:00Z">
                  <w:rPr>
                    <w:del w:id="13876" w:author="AbbVie02no" w:date="2025-05-15T14:19:00Z"/>
                    <w:lang w:val="en-GB"/>
                  </w:rPr>
                </w:rPrChange>
              </w:rPr>
              <w:pPrChange w:id="13877" w:author="AbbVie02no" w:date="2025-05-15T14:19:00Z">
                <w:pPr>
                  <w:pStyle w:val="EMEANormal"/>
                  <w:ind w:left="1440" w:hanging="240"/>
                </w:pPr>
              </w:pPrChange>
            </w:pPr>
          </w:p>
          <w:p w14:paraId="77A7D868" w14:textId="6DFA8A8F" w:rsidR="00A9551B" w:rsidRPr="00090EDA" w:rsidRDefault="00A9551B">
            <w:pPr>
              <w:rPr>
                <w:del w:id="13878" w:author="AbbVie02no" w:date="2025-05-15T14:19:00Z"/>
                <w:rPrChange w:id="13879" w:author="AbbVie04no" w:date="2025-09-09T10:19:00Z" w16du:dateUtc="2025-09-09T08:19:00Z">
                  <w:rPr>
                    <w:del w:id="13880" w:author="AbbVie02no" w:date="2025-05-15T14:19:00Z"/>
                    <w:lang w:val="en-GB"/>
                  </w:rPr>
                </w:rPrChange>
              </w:rPr>
              <w:pPrChange w:id="13881" w:author="AbbVie02no" w:date="2025-05-15T14:19:00Z">
                <w:pPr>
                  <w:pStyle w:val="EMEANormal"/>
                  <w:ind w:left="1440" w:hanging="240"/>
                </w:pPr>
              </w:pPrChange>
            </w:pPr>
          </w:p>
          <w:p w14:paraId="7D26079C" w14:textId="2DFC8EA9" w:rsidR="00A9551B" w:rsidRPr="00090EDA" w:rsidRDefault="00E453CD">
            <w:pPr>
              <w:rPr>
                <w:del w:id="13882" w:author="AbbVie02no" w:date="2025-05-15T14:19:00Z"/>
                <w:rPrChange w:id="13883" w:author="AbbVie04no" w:date="2025-09-09T10:19:00Z" w16du:dateUtc="2025-09-09T08:19:00Z">
                  <w:rPr>
                    <w:del w:id="13884" w:author="AbbVie02no" w:date="2025-05-15T14:19:00Z"/>
                    <w:lang w:val="en-GB"/>
                  </w:rPr>
                </w:rPrChange>
              </w:rPr>
              <w:pPrChange w:id="13885" w:author="AbbVie02no" w:date="2025-05-15T14:19:00Z">
                <w:pPr>
                  <w:pStyle w:val="EMEANormal"/>
                  <w:ind w:left="240" w:hanging="240"/>
                </w:pPr>
              </w:pPrChange>
            </w:pPr>
            <w:del w:id="13886" w:author="AbbVie02no" w:date="2025-05-15T14:19:00Z">
              <w:r w:rsidRPr="00090EDA">
                <w:rPr>
                  <w:rPrChange w:id="13887" w:author="AbbVie04no" w:date="2025-09-09T10:19:00Z" w16du:dateUtc="2025-09-09T08:19:00Z">
                    <w:rPr>
                      <w:lang w:val="en-GB"/>
                    </w:rPr>
                  </w:rPrChange>
                </w:rPr>
                <w:delText>Dose + 0</w:delText>
              </w:r>
              <w:r w:rsidR="00425BDE" w:rsidRPr="00090EDA">
                <w:rPr>
                  <w:rPrChange w:id="13888" w:author="AbbVie04no" w:date="2025-09-09T10:19:00Z" w16du:dateUtc="2025-09-09T08:19:00Z">
                    <w:rPr>
                      <w:lang w:val="en-GB"/>
                    </w:rPr>
                  </w:rPrChange>
                </w:rPr>
                <w:delText>,</w:delText>
              </w:r>
              <w:r w:rsidRPr="00090EDA">
                <w:rPr>
                  <w:rPrChange w:id="13889" w:author="AbbVie04no" w:date="2025-09-09T10:19:00Z" w16du:dateUtc="2025-09-09T08:19:00Z">
                    <w:rPr>
                      <w:lang w:val="en-GB"/>
                    </w:rPr>
                  </w:rPrChange>
                </w:rPr>
                <w:delText>1 ml</w:delText>
              </w:r>
            </w:del>
          </w:p>
        </w:tc>
      </w:tr>
    </w:tbl>
    <w:p w14:paraId="6EB12AD7" w14:textId="23C273CF" w:rsidR="0066541B" w:rsidRPr="00E14E58" w:rsidRDefault="00E453CD">
      <w:pPr>
        <w:rPr>
          <w:del w:id="13890" w:author="AbbVie02no" w:date="2025-05-15T14:19:00Z"/>
          <w:sz w:val="22"/>
          <w:szCs w:val="22"/>
        </w:rPr>
        <w:pPrChange w:id="13891" w:author="AbbVie02no" w:date="2025-05-15T14:19:00Z">
          <w:pPr>
            <w:suppressAutoHyphens/>
          </w:pPr>
        </w:pPrChange>
      </w:pPr>
      <w:del w:id="13892" w:author="AbbVie02no" w:date="2025-05-15T14:19:00Z">
        <w:r w:rsidRPr="00692DC9">
          <w:rPr>
            <w:rPrChange w:id="13893" w:author="AbbVie05no" w:date="2025-05-19T11:03:00Z">
              <w:rPr>
                <w:lang w:val="en-GB"/>
              </w:rPr>
            </w:rPrChange>
          </w:rPr>
          <w:delText xml:space="preserve">  </w:delText>
        </w:r>
        <w:r w:rsidR="00EB04D9" w:rsidRPr="00692DC9">
          <w:rPr>
            <w:rPrChange w:id="13894" w:author="AbbVie05no" w:date="2025-05-19T11:03:00Z">
              <w:rPr>
                <w:lang w:val="en-GB"/>
              </w:rPr>
            </w:rPrChange>
          </w:rPr>
          <w:br/>
        </w:r>
      </w:del>
    </w:p>
    <w:p w14:paraId="1DC573F1" w14:textId="2B4FCB5C" w:rsidR="00CE4D1C" w:rsidRPr="009C5EFD" w:rsidRDefault="00E453CD">
      <w:pPr>
        <w:rPr>
          <w:del w:id="13895" w:author="AbbVie02no" w:date="2025-05-15T14:19:00Z"/>
          <w:sz w:val="22"/>
          <w:szCs w:val="22"/>
        </w:rPr>
        <w:pPrChange w:id="13896" w:author="AbbVie02no" w:date="2025-05-15T14:19:00Z">
          <w:pPr>
            <w:numPr>
              <w:numId w:val="43"/>
            </w:numPr>
            <w:tabs>
              <w:tab w:val="num" w:pos="720"/>
            </w:tabs>
            <w:suppressAutoHyphens/>
            <w:ind w:left="720" w:hanging="720"/>
          </w:pPr>
        </w:pPrChange>
      </w:pPr>
      <w:del w:id="13897" w:author="AbbVie02no" w:date="2025-05-15T14:19:00Z">
        <w:r w:rsidRPr="009C5EFD">
          <w:rPr>
            <w:b/>
            <w:sz w:val="22"/>
            <w:szCs w:val="22"/>
          </w:rPr>
          <w:delText>IKKE</w:delText>
        </w:r>
        <w:r w:rsidRPr="009C5EFD">
          <w:rPr>
            <w:sz w:val="22"/>
            <w:szCs w:val="22"/>
          </w:rPr>
          <w:delText xml:space="preserve"> bruk den hvite stempelstangen til å ta ut sprøyten fra pakken. Hold sprøyten </w:delText>
        </w:r>
        <w:r w:rsidR="007130E2" w:rsidRPr="009C5EFD">
          <w:rPr>
            <w:sz w:val="22"/>
            <w:szCs w:val="22"/>
          </w:rPr>
          <w:delText>på</w:delText>
        </w:r>
        <w:r w:rsidRPr="009C5EFD">
          <w:rPr>
            <w:sz w:val="22"/>
            <w:szCs w:val="22"/>
          </w:rPr>
          <w:delText xml:space="preserve"> den graderte delen og trekk sprøyten ut av pakke</w:delText>
        </w:r>
        <w:r w:rsidR="007130E2" w:rsidRPr="009C5EFD">
          <w:rPr>
            <w:sz w:val="22"/>
            <w:szCs w:val="22"/>
          </w:rPr>
          <w:delText>n</w:delText>
        </w:r>
        <w:r w:rsidRPr="009C5EFD">
          <w:rPr>
            <w:sz w:val="22"/>
            <w:szCs w:val="22"/>
          </w:rPr>
          <w:delText xml:space="preserve">. </w:delText>
        </w:r>
        <w:r w:rsidRPr="009C5EFD">
          <w:rPr>
            <w:b/>
            <w:sz w:val="22"/>
            <w:szCs w:val="22"/>
          </w:rPr>
          <w:delText xml:space="preserve">IKKE </w:delText>
        </w:r>
        <w:r w:rsidRPr="009C5EFD">
          <w:rPr>
            <w:sz w:val="22"/>
            <w:szCs w:val="22"/>
          </w:rPr>
          <w:delText>legg sprøyten ned</w:delText>
        </w:r>
        <w:r w:rsidR="007130E2" w:rsidRPr="009C5EFD">
          <w:rPr>
            <w:sz w:val="22"/>
            <w:szCs w:val="22"/>
          </w:rPr>
          <w:delText xml:space="preserve"> på noe tidspunkt</w:delText>
        </w:r>
        <w:r w:rsidRPr="009C5EFD">
          <w:rPr>
            <w:sz w:val="22"/>
            <w:szCs w:val="22"/>
          </w:rPr>
          <w:delText>.</w:delText>
        </w:r>
      </w:del>
    </w:p>
    <w:p w14:paraId="3AFDA584" w14:textId="4D19A9E6" w:rsidR="00CE4D1C" w:rsidRPr="009C5EFD" w:rsidRDefault="00E453CD">
      <w:pPr>
        <w:rPr>
          <w:del w:id="13898" w:author="AbbVie02no" w:date="2025-05-15T14:19:00Z"/>
          <w:sz w:val="22"/>
          <w:szCs w:val="22"/>
        </w:rPr>
        <w:pPrChange w:id="13899" w:author="AbbVie02no" w:date="2025-05-15T14:19:00Z">
          <w:pPr>
            <w:numPr>
              <w:numId w:val="43"/>
            </w:numPr>
            <w:tabs>
              <w:tab w:val="num" w:pos="720"/>
            </w:tabs>
            <w:suppressAutoHyphens/>
            <w:ind w:left="720" w:hanging="720"/>
          </w:pPr>
        </w:pPrChange>
      </w:pPr>
      <w:del w:id="13900" w:author="AbbVie02no" w:date="2025-05-15T14:19:00Z">
        <w:r w:rsidRPr="009C5EFD">
          <w:rPr>
            <w:sz w:val="22"/>
            <w:szCs w:val="22"/>
          </w:rPr>
          <w:delText>Mens du holder hetteglassadapteren fast, sett sprøyte</w:delText>
        </w:r>
        <w:r w:rsidR="00CB481A" w:rsidRPr="009C5EFD">
          <w:rPr>
            <w:sz w:val="22"/>
            <w:szCs w:val="22"/>
          </w:rPr>
          <w:delText>tu</w:delText>
        </w:r>
        <w:r w:rsidRPr="009C5EFD">
          <w:rPr>
            <w:sz w:val="22"/>
            <w:szCs w:val="22"/>
          </w:rPr>
          <w:delText xml:space="preserve">ppen i adapteren og vri sprøyten i klokkens retning med en hånd inntil den sitter fast. </w:delText>
        </w:r>
        <w:r w:rsidRPr="009C5EFD">
          <w:rPr>
            <w:b/>
            <w:sz w:val="22"/>
            <w:szCs w:val="22"/>
          </w:rPr>
          <w:delText>IKKE</w:delText>
        </w:r>
        <w:r w:rsidRPr="009C5EFD">
          <w:rPr>
            <w:sz w:val="22"/>
            <w:szCs w:val="22"/>
          </w:rPr>
          <w:delText xml:space="preserve"> stram</w:delText>
        </w:r>
        <w:r w:rsidR="007130E2" w:rsidRPr="009C5EFD">
          <w:rPr>
            <w:sz w:val="22"/>
            <w:szCs w:val="22"/>
          </w:rPr>
          <w:delText xml:space="preserve"> for hardt</w:delText>
        </w:r>
        <w:r w:rsidRPr="009C5EFD">
          <w:rPr>
            <w:sz w:val="22"/>
            <w:szCs w:val="22"/>
          </w:rPr>
          <w:delText xml:space="preserve">. </w:delText>
        </w:r>
      </w:del>
    </w:p>
    <w:p w14:paraId="2FC37EF0" w14:textId="6C97BD96" w:rsidR="00CD4059" w:rsidRPr="009C5EFD" w:rsidRDefault="00CD4059">
      <w:pPr>
        <w:rPr>
          <w:del w:id="13901" w:author="AbbVie02no" w:date="2025-05-15T14:19:00Z"/>
          <w:sz w:val="22"/>
          <w:szCs w:val="22"/>
        </w:rPr>
        <w:pPrChange w:id="13902" w:author="AbbVie02no" w:date="2025-05-15T14:19:00Z">
          <w:pPr>
            <w:suppressAutoHyphens/>
            <w:jc w:val="center"/>
          </w:pPr>
        </w:pPrChange>
      </w:pPr>
    </w:p>
    <w:p w14:paraId="79E989B0" w14:textId="1A59B3EF" w:rsidR="006B2685" w:rsidRPr="00692DC9" w:rsidRDefault="00E453CD">
      <w:pPr>
        <w:rPr>
          <w:del w:id="13903" w:author="AbbVie02no" w:date="2025-05-15T14:19:00Z"/>
          <w:rPrChange w:id="13904" w:author="AbbVie05no" w:date="2025-05-19T11:03:00Z">
            <w:rPr>
              <w:del w:id="13905" w:author="AbbVie02no" w:date="2025-05-15T14:19:00Z"/>
              <w:lang w:val="en-GB"/>
            </w:rPr>
          </w:rPrChange>
        </w:rPr>
        <w:pPrChange w:id="13906" w:author="AbbVie02no" w:date="2025-05-15T14:19:00Z">
          <w:pPr>
            <w:suppressAutoHyphens/>
            <w:jc w:val="center"/>
          </w:pPr>
        </w:pPrChange>
      </w:pPr>
      <w:del w:id="13907" w:author="AbbVie02no" w:date="2025-05-15T14:19:00Z">
        <w:r>
          <w:rPr>
            <w:noProof/>
            <w:lang w:val="en-GB" w:eastAsia="en-GB"/>
          </w:rPr>
          <w:lastRenderedPageBreak/>
          <w:drawing>
            <wp:inline distT="0" distB="0" distL="0" distR="0" wp14:anchorId="439B9C69" wp14:editId="43CC4BCD">
              <wp:extent cx="1857375" cy="18192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857375" cy="1819275"/>
                      </a:xfrm>
                      <a:prstGeom prst="rect">
                        <a:avLst/>
                      </a:prstGeom>
                      <a:noFill/>
                      <a:ln>
                        <a:noFill/>
                      </a:ln>
                    </pic:spPr>
                  </pic:pic>
                </a:graphicData>
              </a:graphic>
            </wp:inline>
          </w:drawing>
        </w:r>
      </w:del>
    </w:p>
    <w:p w14:paraId="0F54103D" w14:textId="7E58A5AC" w:rsidR="00EC0FA3" w:rsidRPr="00193D76" w:rsidRDefault="00EC0FA3">
      <w:pPr>
        <w:rPr>
          <w:del w:id="13908" w:author="AbbVie02no" w:date="2025-05-15T14:19:00Z"/>
          <w:sz w:val="22"/>
          <w:szCs w:val="22"/>
        </w:rPr>
        <w:pPrChange w:id="13909" w:author="AbbVie02no" w:date="2025-05-15T14:19:00Z">
          <w:pPr>
            <w:suppressAutoHyphens/>
            <w:jc w:val="center"/>
          </w:pPr>
        </w:pPrChange>
      </w:pPr>
    </w:p>
    <w:p w14:paraId="26FFABD5" w14:textId="5501CB86" w:rsidR="00CD4059" w:rsidRPr="009C5EFD" w:rsidRDefault="00E453CD">
      <w:pPr>
        <w:rPr>
          <w:del w:id="13910" w:author="AbbVie02no" w:date="2025-05-15T14:19:00Z"/>
          <w:sz w:val="22"/>
          <w:szCs w:val="22"/>
        </w:rPr>
        <w:pPrChange w:id="13911" w:author="AbbVie02no" w:date="2025-05-15T14:19:00Z">
          <w:pPr>
            <w:numPr>
              <w:numId w:val="44"/>
            </w:numPr>
            <w:tabs>
              <w:tab w:val="num" w:pos="720"/>
            </w:tabs>
            <w:suppressAutoHyphens/>
            <w:ind w:left="720" w:hanging="720"/>
          </w:pPr>
        </w:pPrChange>
      </w:pPr>
      <w:del w:id="13912" w:author="AbbVie02no" w:date="2025-05-15T14:19:00Z">
        <w:r w:rsidRPr="002D0790">
          <w:rPr>
            <w:sz w:val="22"/>
            <w:szCs w:val="22"/>
          </w:rPr>
          <w:delText xml:space="preserve">Mens du holder hetteglasset, trykk </w:delText>
        </w:r>
        <w:r w:rsidR="00611194" w:rsidRPr="00C07C98">
          <w:rPr>
            <w:sz w:val="22"/>
            <w:szCs w:val="22"/>
          </w:rPr>
          <w:delText xml:space="preserve">den </w:delText>
        </w:r>
        <w:r w:rsidRPr="00E14E58">
          <w:rPr>
            <w:sz w:val="22"/>
            <w:szCs w:val="22"/>
          </w:rPr>
          <w:delText>hvite stempelstangen helt ned. Dette trinnet er viktig for å få riktig dose. Hold den hvite stempelstangen inn og snu hetteglasset og sprøyten opp</w:delText>
        </w:r>
        <w:r w:rsidRPr="009C5EFD">
          <w:rPr>
            <w:sz w:val="22"/>
            <w:szCs w:val="22"/>
          </w:rPr>
          <w:delText xml:space="preserve"> ned.</w:delText>
        </w:r>
      </w:del>
    </w:p>
    <w:p w14:paraId="396FE2A5" w14:textId="40E9B2C4" w:rsidR="00CD4059" w:rsidRPr="009C5EFD" w:rsidRDefault="00CD4059">
      <w:pPr>
        <w:rPr>
          <w:del w:id="13913" w:author="AbbVie02no" w:date="2025-05-15T14:19:00Z"/>
          <w:sz w:val="22"/>
          <w:szCs w:val="22"/>
        </w:rPr>
        <w:pPrChange w:id="13914" w:author="AbbVie02no" w:date="2025-05-15T14:19:00Z">
          <w:pPr>
            <w:suppressAutoHyphens/>
          </w:pPr>
        </w:pPrChange>
      </w:pPr>
    </w:p>
    <w:p w14:paraId="1456ACBC" w14:textId="127B9096" w:rsidR="006B2685" w:rsidRPr="007F67EE" w:rsidRDefault="00E453CD">
      <w:pPr>
        <w:rPr>
          <w:del w:id="13915" w:author="AbbVie02no" w:date="2025-05-15T14:19:00Z"/>
          <w:sz w:val="22"/>
          <w:szCs w:val="22"/>
        </w:rPr>
        <w:pPrChange w:id="13916" w:author="AbbVie02no" w:date="2025-05-15T14:19:00Z">
          <w:pPr>
            <w:suppressAutoHyphens/>
            <w:jc w:val="center"/>
          </w:pPr>
        </w:pPrChange>
      </w:pPr>
      <w:del w:id="13917" w:author="AbbVie02no" w:date="2025-05-15T14:19:00Z">
        <w:r>
          <w:rPr>
            <w:noProof/>
            <w:lang w:val="en-GB" w:eastAsia="en-GB"/>
          </w:rPr>
          <w:drawing>
            <wp:inline distT="0" distB="0" distL="0" distR="0" wp14:anchorId="0F84C148" wp14:editId="72F79768">
              <wp:extent cx="1819275" cy="1819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5C2D6523" w14:textId="2966950C" w:rsidR="006B2685" w:rsidRPr="00193D76" w:rsidRDefault="006B2685">
      <w:pPr>
        <w:rPr>
          <w:del w:id="13918" w:author="AbbVie02no" w:date="2025-05-15T14:19:00Z"/>
          <w:sz w:val="22"/>
          <w:szCs w:val="22"/>
        </w:rPr>
        <w:pPrChange w:id="13919" w:author="AbbVie02no" w:date="2025-05-15T14:19:00Z">
          <w:pPr>
            <w:suppressAutoHyphens/>
            <w:jc w:val="center"/>
          </w:pPr>
        </w:pPrChange>
      </w:pPr>
    </w:p>
    <w:p w14:paraId="548DDC6F" w14:textId="69AA3554" w:rsidR="00CD4059" w:rsidRPr="009C5EFD" w:rsidRDefault="00E453CD">
      <w:pPr>
        <w:rPr>
          <w:del w:id="13920" w:author="AbbVie02no" w:date="2025-05-15T14:19:00Z"/>
          <w:sz w:val="22"/>
          <w:szCs w:val="22"/>
        </w:rPr>
        <w:pPrChange w:id="13921" w:author="AbbVie02no" w:date="2025-05-15T14:19:00Z">
          <w:pPr>
            <w:numPr>
              <w:numId w:val="44"/>
            </w:numPr>
            <w:tabs>
              <w:tab w:val="num" w:pos="720"/>
            </w:tabs>
            <w:suppressAutoHyphens/>
            <w:ind w:left="720" w:hanging="720"/>
          </w:pPr>
        </w:pPrChange>
      </w:pPr>
      <w:del w:id="13922" w:author="AbbVie02no" w:date="2025-05-15T14:19:00Z">
        <w:r w:rsidRPr="002D0790">
          <w:rPr>
            <w:sz w:val="22"/>
            <w:szCs w:val="22"/>
          </w:rPr>
          <w:delText>Trekk den hvite stempelstangen</w:delText>
        </w:r>
        <w:r w:rsidR="006114C2" w:rsidRPr="00C07C98">
          <w:rPr>
            <w:sz w:val="22"/>
            <w:szCs w:val="22"/>
          </w:rPr>
          <w:delText xml:space="preserve"> </w:delText>
        </w:r>
        <w:r w:rsidR="006114C2" w:rsidRPr="00E14E58">
          <w:rPr>
            <w:b/>
            <w:sz w:val="22"/>
            <w:szCs w:val="22"/>
          </w:rPr>
          <w:delText>SAKTE</w:delText>
        </w:r>
        <w:r w:rsidRPr="009C5EFD">
          <w:rPr>
            <w:sz w:val="22"/>
            <w:szCs w:val="22"/>
          </w:rPr>
          <w:delText xml:space="preserve"> ut til 0,1 ml over foreskrevet dose. Dette er viktig for å få riktig dose. Du vil sette volumet til den</w:delText>
        </w:r>
        <w:r w:rsidR="00411640" w:rsidRPr="009C5EFD">
          <w:rPr>
            <w:sz w:val="22"/>
            <w:szCs w:val="22"/>
          </w:rPr>
          <w:delText xml:space="preserve"> foreskrevn</w:delText>
        </w:r>
        <w:r w:rsidRPr="009C5EFD">
          <w:rPr>
            <w:sz w:val="22"/>
            <w:szCs w:val="22"/>
          </w:rPr>
          <w:delText>e dosen i trinn 4, Forberedelse</w:delText>
        </w:r>
        <w:r w:rsidR="00411640" w:rsidRPr="009C5EFD">
          <w:rPr>
            <w:sz w:val="22"/>
            <w:szCs w:val="22"/>
          </w:rPr>
          <w:delText xml:space="preserve"> av dosen</w:delText>
        </w:r>
        <w:r w:rsidRPr="009C5EFD">
          <w:rPr>
            <w:sz w:val="22"/>
            <w:szCs w:val="22"/>
          </w:rPr>
          <w:delText xml:space="preserve">. Dersom den foreskrevne dosen er 0,5 ml, trekk den hvite stempelstangen ut til 0,6 ml. </w:delText>
        </w:r>
        <w:r w:rsidR="00411640" w:rsidRPr="009C5EFD">
          <w:rPr>
            <w:sz w:val="22"/>
            <w:szCs w:val="22"/>
          </w:rPr>
          <w:delText>Du vil se oppløsningen gå</w:delText>
        </w:r>
        <w:r w:rsidRPr="009C5EFD">
          <w:rPr>
            <w:sz w:val="22"/>
            <w:szCs w:val="22"/>
          </w:rPr>
          <w:delText xml:space="preserve"> fra hetteglasset inn i sprøyten.</w:delText>
        </w:r>
      </w:del>
    </w:p>
    <w:p w14:paraId="614E7DAA" w14:textId="41CCD1A6" w:rsidR="00CD4059" w:rsidRPr="009C5EFD" w:rsidRDefault="00CD4059">
      <w:pPr>
        <w:rPr>
          <w:del w:id="13923" w:author="AbbVie02no" w:date="2025-05-15T14:19:00Z"/>
          <w:sz w:val="22"/>
          <w:szCs w:val="22"/>
        </w:rPr>
        <w:pPrChange w:id="13924" w:author="AbbVie02no" w:date="2025-05-15T14:19:00Z">
          <w:pPr>
            <w:suppressAutoHyphens/>
          </w:pPr>
        </w:pPrChange>
      </w:pPr>
    </w:p>
    <w:p w14:paraId="1B37DFD1" w14:textId="6993A9FD" w:rsidR="006B2685" w:rsidRPr="009C5EFD" w:rsidRDefault="006B2685">
      <w:pPr>
        <w:rPr>
          <w:del w:id="13925" w:author="AbbVie02no" w:date="2025-05-15T14:19:00Z"/>
          <w:sz w:val="22"/>
          <w:szCs w:val="22"/>
        </w:rPr>
        <w:pPrChange w:id="13926" w:author="AbbVie02no" w:date="2025-05-15T14:19:00Z">
          <w:pPr>
            <w:suppressAutoHyphens/>
            <w:jc w:val="center"/>
          </w:pPr>
        </w:pPrChange>
      </w:pPr>
    </w:p>
    <w:p w14:paraId="49920E78" w14:textId="4920CCB4" w:rsidR="006B2685" w:rsidRPr="007F67EE" w:rsidRDefault="00E453CD">
      <w:pPr>
        <w:rPr>
          <w:del w:id="13927" w:author="AbbVie02no" w:date="2025-05-15T14:19:00Z"/>
          <w:sz w:val="22"/>
          <w:szCs w:val="22"/>
        </w:rPr>
        <w:pPrChange w:id="13928" w:author="AbbVie02no" w:date="2025-05-15T14:19:00Z">
          <w:pPr>
            <w:suppressAutoHyphens/>
            <w:jc w:val="center"/>
          </w:pPr>
        </w:pPrChange>
      </w:pPr>
      <w:del w:id="13929" w:author="AbbVie02no" w:date="2025-05-15T14:19:00Z">
        <w:r>
          <w:rPr>
            <w:noProof/>
            <w:lang w:val="en-GB" w:eastAsia="en-GB"/>
          </w:rPr>
          <w:drawing>
            <wp:inline distT="0" distB="0" distL="0" distR="0" wp14:anchorId="1F787016" wp14:editId="6A70C6D8">
              <wp:extent cx="1819275" cy="18192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0341FE9E" w14:textId="0A59F0BB" w:rsidR="00CD4059" w:rsidRPr="00193D76" w:rsidRDefault="00CD4059">
      <w:pPr>
        <w:rPr>
          <w:del w:id="13930" w:author="AbbVie02no" w:date="2025-05-15T14:19:00Z"/>
          <w:sz w:val="22"/>
          <w:szCs w:val="22"/>
        </w:rPr>
        <w:pPrChange w:id="13931" w:author="AbbVie02no" w:date="2025-05-15T14:19:00Z">
          <w:pPr>
            <w:suppressAutoHyphens/>
            <w:jc w:val="center"/>
          </w:pPr>
        </w:pPrChange>
      </w:pPr>
    </w:p>
    <w:p w14:paraId="15D1B1E4" w14:textId="544DBBD9" w:rsidR="00CD4059" w:rsidRPr="009C5EFD" w:rsidRDefault="00E453CD">
      <w:pPr>
        <w:rPr>
          <w:del w:id="13932" w:author="AbbVie02no" w:date="2025-05-15T14:19:00Z"/>
          <w:sz w:val="22"/>
          <w:szCs w:val="22"/>
        </w:rPr>
        <w:pPrChange w:id="13933" w:author="AbbVie02no" w:date="2025-05-15T14:19:00Z">
          <w:pPr>
            <w:numPr>
              <w:numId w:val="44"/>
            </w:numPr>
            <w:tabs>
              <w:tab w:val="num" w:pos="720"/>
            </w:tabs>
            <w:suppressAutoHyphens/>
            <w:ind w:left="720" w:hanging="720"/>
          </w:pPr>
        </w:pPrChange>
      </w:pPr>
      <w:del w:id="13934" w:author="AbbVie02no" w:date="2025-05-15T14:19:00Z">
        <w:r w:rsidRPr="002D0790">
          <w:rPr>
            <w:sz w:val="22"/>
            <w:szCs w:val="22"/>
          </w:rPr>
          <w:delText>Skyv den hvite stempelstangen</w:delText>
        </w:r>
        <w:r w:rsidR="00E34710" w:rsidRPr="00C07C98">
          <w:rPr>
            <w:sz w:val="22"/>
            <w:szCs w:val="22"/>
          </w:rPr>
          <w:delText xml:space="preserve"> helt </w:delText>
        </w:r>
        <w:r w:rsidR="00411640" w:rsidRPr="00E14E58">
          <w:rPr>
            <w:sz w:val="22"/>
            <w:szCs w:val="22"/>
          </w:rPr>
          <w:delText>i</w:delText>
        </w:r>
        <w:r w:rsidR="00E27696" w:rsidRPr="009C5EFD">
          <w:rPr>
            <w:sz w:val="22"/>
            <w:szCs w:val="22"/>
          </w:rPr>
          <w:delText>nn</w:delText>
        </w:r>
        <w:r w:rsidR="00E34710" w:rsidRPr="009C5EFD">
          <w:rPr>
            <w:sz w:val="22"/>
            <w:szCs w:val="22"/>
          </w:rPr>
          <w:delText xml:space="preserve"> </w:delText>
        </w:r>
        <w:r w:rsidR="00411640" w:rsidRPr="009C5EFD">
          <w:rPr>
            <w:sz w:val="22"/>
            <w:szCs w:val="22"/>
          </w:rPr>
          <w:delText xml:space="preserve">igjen </w:delText>
        </w:r>
        <w:r w:rsidR="00E34710" w:rsidRPr="009C5EFD">
          <w:rPr>
            <w:sz w:val="22"/>
            <w:szCs w:val="22"/>
          </w:rPr>
          <w:delText>for</w:delText>
        </w:r>
        <w:r w:rsidRPr="009C5EFD">
          <w:rPr>
            <w:sz w:val="22"/>
            <w:szCs w:val="22"/>
          </w:rPr>
          <w:delText xml:space="preserve"> å </w:delText>
        </w:r>
        <w:r w:rsidR="00E27696" w:rsidRPr="009C5EFD">
          <w:rPr>
            <w:sz w:val="22"/>
            <w:szCs w:val="22"/>
          </w:rPr>
          <w:delText>presse</w:delText>
        </w:r>
        <w:r w:rsidRPr="009C5EFD">
          <w:rPr>
            <w:sz w:val="22"/>
            <w:szCs w:val="22"/>
          </w:rPr>
          <w:delText xml:space="preserve"> </w:delText>
        </w:r>
        <w:r w:rsidR="00411640" w:rsidRPr="009C5EFD">
          <w:rPr>
            <w:sz w:val="22"/>
            <w:szCs w:val="22"/>
          </w:rPr>
          <w:delText>oppløsningen</w:delText>
        </w:r>
        <w:r w:rsidRPr="009C5EFD">
          <w:rPr>
            <w:sz w:val="22"/>
            <w:szCs w:val="22"/>
          </w:rPr>
          <w:delText xml:space="preserve"> tilbake i hetteglasset. Igjen drar du </w:delText>
        </w:r>
        <w:r w:rsidR="00E27696" w:rsidRPr="009C5EFD">
          <w:rPr>
            <w:b/>
            <w:sz w:val="22"/>
            <w:szCs w:val="22"/>
          </w:rPr>
          <w:delText>SA</w:delText>
        </w:r>
        <w:r w:rsidR="004572AF" w:rsidRPr="009C5EFD">
          <w:rPr>
            <w:b/>
            <w:sz w:val="22"/>
            <w:szCs w:val="22"/>
          </w:rPr>
          <w:delText>K</w:delText>
        </w:r>
        <w:r w:rsidR="00E27696" w:rsidRPr="009C5EFD">
          <w:rPr>
            <w:b/>
            <w:sz w:val="22"/>
            <w:szCs w:val="22"/>
          </w:rPr>
          <w:delText>TE</w:delText>
        </w:r>
        <w:r w:rsidR="00E27696" w:rsidRPr="009C5EFD">
          <w:rPr>
            <w:sz w:val="22"/>
            <w:szCs w:val="22"/>
          </w:rPr>
          <w:delText xml:space="preserve"> den hvite stempelstangen ut til 0,1 ml utover den</w:delText>
        </w:r>
        <w:r w:rsidRPr="009C5EFD">
          <w:rPr>
            <w:sz w:val="22"/>
            <w:szCs w:val="22"/>
          </w:rPr>
          <w:delText xml:space="preserve"> foreskrevne dose</w:delText>
        </w:r>
        <w:r w:rsidR="00E27696" w:rsidRPr="009C5EFD">
          <w:rPr>
            <w:sz w:val="22"/>
            <w:szCs w:val="22"/>
          </w:rPr>
          <w:delText>n. D</w:delText>
        </w:r>
        <w:r w:rsidRPr="009C5EFD">
          <w:rPr>
            <w:sz w:val="22"/>
            <w:szCs w:val="22"/>
          </w:rPr>
          <w:delText xml:space="preserve">ette </w:delText>
        </w:r>
        <w:r w:rsidR="00E27696" w:rsidRPr="009C5EFD">
          <w:rPr>
            <w:sz w:val="22"/>
            <w:szCs w:val="22"/>
          </w:rPr>
          <w:delText xml:space="preserve">er </w:delText>
        </w:r>
        <w:r w:rsidRPr="009C5EFD">
          <w:rPr>
            <w:sz w:val="22"/>
            <w:szCs w:val="22"/>
          </w:rPr>
          <w:delText xml:space="preserve">viktig </w:delText>
        </w:r>
        <w:r w:rsidR="00E27696" w:rsidRPr="009C5EFD">
          <w:rPr>
            <w:sz w:val="22"/>
            <w:szCs w:val="22"/>
          </w:rPr>
          <w:delText xml:space="preserve">for </w:delText>
        </w:r>
        <w:r w:rsidRPr="009C5EFD">
          <w:rPr>
            <w:sz w:val="22"/>
            <w:szCs w:val="22"/>
          </w:rPr>
          <w:delText>å få riktig dose og viktig fo</w:delText>
        </w:r>
        <w:r w:rsidR="00E27696" w:rsidRPr="009C5EFD">
          <w:rPr>
            <w:sz w:val="22"/>
            <w:szCs w:val="22"/>
          </w:rPr>
          <w:delText>r å unngå luftbobler eller luft</w:delText>
        </w:r>
        <w:r w:rsidRPr="009C5EFD">
          <w:rPr>
            <w:sz w:val="22"/>
            <w:szCs w:val="22"/>
          </w:rPr>
          <w:delText xml:space="preserve">hull i </w:delText>
        </w:r>
        <w:r w:rsidR="00E91971" w:rsidRPr="009C5EFD">
          <w:rPr>
            <w:sz w:val="22"/>
            <w:szCs w:val="22"/>
          </w:rPr>
          <w:delText>oppløsningen</w:delText>
        </w:r>
        <w:r w:rsidRPr="009C5EFD">
          <w:rPr>
            <w:sz w:val="22"/>
            <w:szCs w:val="22"/>
          </w:rPr>
          <w:delText>. Du vil sette volumet til de</w:delText>
        </w:r>
        <w:r w:rsidR="00E27696" w:rsidRPr="009C5EFD">
          <w:rPr>
            <w:sz w:val="22"/>
            <w:szCs w:val="22"/>
          </w:rPr>
          <w:delText>n</w:delText>
        </w:r>
        <w:r w:rsidRPr="009C5EFD">
          <w:rPr>
            <w:sz w:val="22"/>
            <w:szCs w:val="22"/>
          </w:rPr>
          <w:delText xml:space="preserve"> f</w:delText>
        </w:r>
        <w:r w:rsidR="00E91971" w:rsidRPr="009C5EFD">
          <w:rPr>
            <w:sz w:val="22"/>
            <w:szCs w:val="22"/>
          </w:rPr>
          <w:delText xml:space="preserve">oreskrevne dose i trinn 4, </w:delText>
        </w:r>
        <w:r w:rsidRPr="009C5EFD">
          <w:rPr>
            <w:sz w:val="22"/>
            <w:szCs w:val="22"/>
          </w:rPr>
          <w:delText>Forberedelse</w:delText>
        </w:r>
        <w:r w:rsidR="00E91971" w:rsidRPr="009C5EFD">
          <w:rPr>
            <w:sz w:val="22"/>
            <w:szCs w:val="22"/>
          </w:rPr>
          <w:delText xml:space="preserve"> av dosen</w:delText>
        </w:r>
        <w:r w:rsidRPr="009C5EFD">
          <w:rPr>
            <w:sz w:val="22"/>
            <w:szCs w:val="22"/>
          </w:rPr>
          <w:delText>.</w:delText>
        </w:r>
      </w:del>
    </w:p>
    <w:p w14:paraId="28A23E0A" w14:textId="452C5DEE" w:rsidR="006F409A" w:rsidRPr="009C5EFD" w:rsidRDefault="006F409A">
      <w:pPr>
        <w:rPr>
          <w:del w:id="13935" w:author="AbbVie02no" w:date="2025-05-15T14:19:00Z"/>
          <w:sz w:val="22"/>
          <w:szCs w:val="22"/>
        </w:rPr>
        <w:pPrChange w:id="13936" w:author="AbbVie02no" w:date="2025-05-15T14:19:00Z">
          <w:pPr>
            <w:suppressAutoHyphens/>
            <w:jc w:val="center"/>
          </w:pPr>
        </w:pPrChange>
      </w:pPr>
    </w:p>
    <w:p w14:paraId="7332D7AD" w14:textId="4600E3F0" w:rsidR="006F409A" w:rsidRPr="007F67EE" w:rsidRDefault="00E453CD">
      <w:pPr>
        <w:rPr>
          <w:del w:id="13937" w:author="AbbVie02no" w:date="2025-05-15T14:19:00Z"/>
          <w:sz w:val="22"/>
          <w:szCs w:val="22"/>
        </w:rPr>
        <w:pPrChange w:id="13938" w:author="AbbVie02no" w:date="2025-05-15T14:19:00Z">
          <w:pPr>
            <w:suppressAutoHyphens/>
            <w:jc w:val="center"/>
          </w:pPr>
        </w:pPrChange>
      </w:pPr>
      <w:del w:id="13939" w:author="AbbVie02no" w:date="2025-05-15T14:19:00Z">
        <w:r>
          <w:rPr>
            <w:noProof/>
            <w:lang w:val="en-GB" w:eastAsia="en-GB"/>
          </w:rPr>
          <w:lastRenderedPageBreak/>
          <w:drawing>
            <wp:inline distT="0" distB="0" distL="0" distR="0" wp14:anchorId="038937EC" wp14:editId="4232F7FB">
              <wp:extent cx="1857375" cy="1828800"/>
              <wp:effectExtent l="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57375" cy="1828800"/>
                      </a:xfrm>
                      <a:prstGeom prst="rect">
                        <a:avLst/>
                      </a:prstGeom>
                      <a:noFill/>
                      <a:ln>
                        <a:noFill/>
                      </a:ln>
                    </pic:spPr>
                  </pic:pic>
                </a:graphicData>
              </a:graphic>
            </wp:inline>
          </w:drawing>
        </w:r>
      </w:del>
    </w:p>
    <w:p w14:paraId="00890415" w14:textId="2B353F90" w:rsidR="00CD4059" w:rsidRPr="00193D76" w:rsidRDefault="00CD4059">
      <w:pPr>
        <w:rPr>
          <w:del w:id="13940" w:author="AbbVie02no" w:date="2025-05-15T14:19:00Z"/>
          <w:sz w:val="22"/>
          <w:szCs w:val="22"/>
        </w:rPr>
        <w:pPrChange w:id="13941" w:author="AbbVie02no" w:date="2025-05-15T14:19:00Z">
          <w:pPr>
            <w:suppressAutoHyphens/>
          </w:pPr>
        </w:pPrChange>
      </w:pPr>
    </w:p>
    <w:p w14:paraId="236E5367" w14:textId="571DEAAB" w:rsidR="00E27696" w:rsidRPr="009C5EFD" w:rsidRDefault="00E453CD">
      <w:pPr>
        <w:rPr>
          <w:del w:id="13942" w:author="AbbVie02no" w:date="2025-05-15T14:19:00Z"/>
          <w:sz w:val="22"/>
          <w:szCs w:val="22"/>
        </w:rPr>
        <w:pPrChange w:id="13943" w:author="AbbVie02no" w:date="2025-05-15T14:19:00Z">
          <w:pPr>
            <w:numPr>
              <w:numId w:val="44"/>
            </w:numPr>
            <w:tabs>
              <w:tab w:val="num" w:pos="720"/>
            </w:tabs>
            <w:suppressAutoHyphens/>
            <w:ind w:left="720" w:hanging="720"/>
          </w:pPr>
        </w:pPrChange>
      </w:pPr>
      <w:del w:id="13944" w:author="AbbVie02no" w:date="2025-05-15T14:19:00Z">
        <w:r w:rsidRPr="002D0790">
          <w:rPr>
            <w:sz w:val="22"/>
            <w:szCs w:val="22"/>
          </w:rPr>
          <w:delText xml:space="preserve">Hvis du ser gjenværende </w:delText>
        </w:r>
        <w:r w:rsidRPr="00C07C98">
          <w:rPr>
            <w:sz w:val="22"/>
            <w:szCs w:val="22"/>
          </w:rPr>
          <w:delText xml:space="preserve">luftbobler eller lufthull i </w:delText>
        </w:r>
        <w:r w:rsidR="00E91971" w:rsidRPr="00E14E58">
          <w:rPr>
            <w:sz w:val="22"/>
            <w:szCs w:val="22"/>
          </w:rPr>
          <w:delText>oppløsningen</w:delText>
        </w:r>
        <w:r w:rsidRPr="009C5EFD">
          <w:rPr>
            <w:sz w:val="22"/>
            <w:szCs w:val="22"/>
          </w:rPr>
          <w:delText xml:space="preserve"> i sprøyten, kan du gjenta denne prosessen opptil 3 ganger. </w:delText>
        </w:r>
        <w:r w:rsidRPr="009C5EFD">
          <w:rPr>
            <w:b/>
            <w:sz w:val="22"/>
            <w:szCs w:val="22"/>
          </w:rPr>
          <w:delText>IKKE</w:delText>
        </w:r>
        <w:r w:rsidRPr="009C5EFD">
          <w:rPr>
            <w:sz w:val="22"/>
            <w:szCs w:val="22"/>
          </w:rPr>
          <w:delText xml:space="preserve"> rist sprøyten.</w:delText>
        </w:r>
      </w:del>
    </w:p>
    <w:p w14:paraId="5A824B9E" w14:textId="31C089AC" w:rsidR="00E27696" w:rsidRPr="009C5EFD" w:rsidRDefault="00E27696">
      <w:pPr>
        <w:rPr>
          <w:del w:id="13945" w:author="AbbVie02no" w:date="2025-05-15T14:19:00Z"/>
          <w:sz w:val="22"/>
          <w:szCs w:val="22"/>
        </w:rPr>
        <w:pPrChange w:id="13946" w:author="AbbVie02no" w:date="2025-05-15T14:19:00Z">
          <w:pPr>
            <w:suppressAutoHyphens/>
          </w:pPr>
        </w:pPrChange>
      </w:pPr>
    </w:p>
    <w:p w14:paraId="539BD064" w14:textId="205A3104" w:rsidR="00E27696" w:rsidRPr="009C5EFD" w:rsidRDefault="00E453CD">
      <w:pPr>
        <w:rPr>
          <w:del w:id="13947" w:author="AbbVie02no" w:date="2025-05-15T14:19:00Z"/>
          <w:b/>
          <w:sz w:val="22"/>
          <w:szCs w:val="22"/>
        </w:rPr>
        <w:pPrChange w:id="13948" w:author="AbbVie02no" w:date="2025-05-15T14:19:00Z">
          <w:pPr>
            <w:suppressAutoHyphens/>
          </w:pPr>
        </w:pPrChange>
      </w:pPr>
      <w:del w:id="13949" w:author="AbbVie02no" w:date="2025-05-15T14:19:00Z">
        <w:r w:rsidRPr="009C5EFD">
          <w:rPr>
            <w:b/>
            <w:sz w:val="22"/>
            <w:szCs w:val="22"/>
          </w:rPr>
          <w:delText>LEGG MERKE TIL:</w:delText>
        </w:r>
      </w:del>
    </w:p>
    <w:p w14:paraId="1B966259" w14:textId="3F2FC353" w:rsidR="00D7646D" w:rsidRPr="009C5EFD" w:rsidRDefault="00E453CD">
      <w:pPr>
        <w:rPr>
          <w:del w:id="13950" w:author="AbbVie02no" w:date="2025-05-15T14:19:00Z"/>
          <w:sz w:val="22"/>
          <w:szCs w:val="22"/>
        </w:rPr>
        <w:pPrChange w:id="13951" w:author="AbbVie02no" w:date="2025-05-15T14:19:00Z">
          <w:pPr>
            <w:suppressAutoHyphens/>
          </w:pPr>
        </w:pPrChange>
      </w:pPr>
      <w:del w:id="13952" w:author="AbbVie02no" w:date="2025-05-15T14:19:00Z">
        <w:r w:rsidRPr="009C5EFD">
          <w:rPr>
            <w:sz w:val="22"/>
            <w:szCs w:val="22"/>
          </w:rPr>
          <w:delText xml:space="preserve">Hvis den hvite stempelstangen er trukket helt </w:delText>
        </w:r>
        <w:r w:rsidR="00FF24D4">
          <w:rPr>
            <w:sz w:val="22"/>
            <w:szCs w:val="22"/>
          </w:rPr>
          <w:delText xml:space="preserve">ut </w:delText>
        </w:r>
        <w:r w:rsidRPr="009C5EFD">
          <w:rPr>
            <w:sz w:val="22"/>
            <w:szCs w:val="22"/>
          </w:rPr>
          <w:delText>av sprøyten, kast sprøyten og</w:delText>
        </w:r>
        <w:r w:rsidR="006114C2" w:rsidRPr="009C5EFD">
          <w:rPr>
            <w:sz w:val="22"/>
            <w:szCs w:val="22"/>
          </w:rPr>
          <w:delText xml:space="preserve"> kontakt</w:delText>
        </w:r>
        <w:r w:rsidR="00973502" w:rsidRPr="009C5EFD">
          <w:rPr>
            <w:sz w:val="22"/>
            <w:szCs w:val="22"/>
          </w:rPr>
          <w:delText xml:space="preserve"> </w:delText>
        </w:r>
        <w:r w:rsidR="00FF24D4">
          <w:rPr>
            <w:sz w:val="22"/>
            <w:szCs w:val="22"/>
          </w:rPr>
          <w:delText>legen din eller apotek</w:delText>
        </w:r>
        <w:r w:rsidR="006114C2" w:rsidRPr="009C5EFD">
          <w:rPr>
            <w:sz w:val="22"/>
            <w:szCs w:val="22"/>
          </w:rPr>
          <w:delText xml:space="preserve"> for en ny</w:delText>
        </w:r>
        <w:r w:rsidR="00E91971" w:rsidRPr="009C5EFD">
          <w:rPr>
            <w:sz w:val="22"/>
            <w:szCs w:val="22"/>
          </w:rPr>
          <w:delText xml:space="preserve">. </w:delText>
        </w:r>
        <w:r w:rsidR="00E91971" w:rsidRPr="009C5EFD">
          <w:rPr>
            <w:b/>
            <w:sz w:val="22"/>
            <w:szCs w:val="22"/>
          </w:rPr>
          <w:delText>IKKE</w:delText>
        </w:r>
        <w:r w:rsidR="00E91971" w:rsidRPr="009C5EFD">
          <w:rPr>
            <w:sz w:val="22"/>
            <w:szCs w:val="22"/>
          </w:rPr>
          <w:delText xml:space="preserve"> prøv å sette</w:delText>
        </w:r>
        <w:r w:rsidRPr="009C5EFD">
          <w:rPr>
            <w:sz w:val="22"/>
            <w:szCs w:val="22"/>
          </w:rPr>
          <w:delText xml:space="preserve"> den hvite stempelstangen tilbake.</w:delText>
        </w:r>
      </w:del>
    </w:p>
    <w:p w14:paraId="7347B7E3" w14:textId="26651455" w:rsidR="00D7646D" w:rsidRPr="009C5EFD" w:rsidRDefault="00D7646D">
      <w:pPr>
        <w:rPr>
          <w:del w:id="13953" w:author="AbbVie02no" w:date="2025-05-15T14:19:00Z"/>
          <w:sz w:val="22"/>
          <w:szCs w:val="22"/>
        </w:rPr>
        <w:pPrChange w:id="13954" w:author="AbbVie02no" w:date="2025-05-15T14:19:00Z">
          <w:pPr>
            <w:suppressAutoHyphens/>
          </w:pPr>
        </w:pPrChange>
      </w:pPr>
    </w:p>
    <w:p w14:paraId="21666B37" w14:textId="24FFEC8D" w:rsidR="00D7646D" w:rsidRPr="009C5EFD" w:rsidRDefault="00E453CD">
      <w:pPr>
        <w:rPr>
          <w:del w:id="13955" w:author="AbbVie02no" w:date="2025-05-15T14:19:00Z"/>
          <w:sz w:val="22"/>
          <w:szCs w:val="22"/>
        </w:rPr>
        <w:pPrChange w:id="13956" w:author="AbbVie02no" w:date="2025-05-15T14:19:00Z">
          <w:pPr>
            <w:numPr>
              <w:numId w:val="44"/>
            </w:numPr>
            <w:tabs>
              <w:tab w:val="num" w:pos="720"/>
            </w:tabs>
            <w:suppressAutoHyphens/>
            <w:ind w:left="720" w:hanging="720"/>
          </w:pPr>
        </w:pPrChange>
      </w:pPr>
      <w:del w:id="13957" w:author="AbbVie02no" w:date="2025-05-15T14:19:00Z">
        <w:r w:rsidRPr="009C5EFD">
          <w:rPr>
            <w:sz w:val="22"/>
            <w:szCs w:val="22"/>
          </w:rPr>
          <w:delText xml:space="preserve">Mens du fortsatt holder sprøyten oppreist </w:delText>
        </w:r>
        <w:r w:rsidR="005434DE" w:rsidRPr="009C5EFD">
          <w:rPr>
            <w:sz w:val="22"/>
            <w:szCs w:val="22"/>
          </w:rPr>
          <w:delText>på</w:delText>
        </w:r>
        <w:r w:rsidRPr="009C5EFD">
          <w:rPr>
            <w:sz w:val="22"/>
            <w:szCs w:val="22"/>
          </w:rPr>
          <w:delText xml:space="preserve"> det graderte</w:delText>
        </w:r>
        <w:r w:rsidR="00CB481A" w:rsidRPr="009C5EFD">
          <w:rPr>
            <w:sz w:val="22"/>
            <w:szCs w:val="22"/>
          </w:rPr>
          <w:delText xml:space="preserve"> området, fjern</w:delText>
        </w:r>
        <w:r w:rsidRPr="009C5EFD">
          <w:rPr>
            <w:sz w:val="22"/>
            <w:szCs w:val="22"/>
          </w:rPr>
          <w:delText xml:space="preserve"> adapteren med hetteglasset ved å vri adapteren av med den andre hånden. Pass på å fjerne </w:delText>
        </w:r>
        <w:r w:rsidR="00CB481A" w:rsidRPr="009C5EFD">
          <w:rPr>
            <w:sz w:val="22"/>
            <w:szCs w:val="22"/>
          </w:rPr>
          <w:delText>a</w:delText>
        </w:r>
        <w:r w:rsidRPr="009C5EFD">
          <w:rPr>
            <w:sz w:val="22"/>
            <w:szCs w:val="22"/>
          </w:rPr>
          <w:delText>dapter</w:delText>
        </w:r>
        <w:r w:rsidR="00CB481A" w:rsidRPr="009C5EFD">
          <w:rPr>
            <w:sz w:val="22"/>
            <w:szCs w:val="22"/>
          </w:rPr>
          <w:delText xml:space="preserve">en </w:delText>
        </w:r>
        <w:r w:rsidR="006D4ACA" w:rsidRPr="009C5EFD">
          <w:rPr>
            <w:sz w:val="22"/>
            <w:szCs w:val="22"/>
          </w:rPr>
          <w:delText>og</w:delText>
        </w:r>
        <w:r w:rsidRPr="009C5EFD">
          <w:rPr>
            <w:sz w:val="22"/>
            <w:szCs w:val="22"/>
          </w:rPr>
          <w:delText xml:space="preserve"> hetteglasset fra sprøyten. </w:delText>
        </w:r>
        <w:r w:rsidRPr="009C5EFD">
          <w:rPr>
            <w:b/>
            <w:sz w:val="22"/>
            <w:szCs w:val="22"/>
          </w:rPr>
          <w:delText>IKKE</w:delText>
        </w:r>
        <w:r w:rsidRPr="009C5EFD">
          <w:rPr>
            <w:sz w:val="22"/>
            <w:szCs w:val="22"/>
          </w:rPr>
          <w:delText xml:space="preserve"> ta på tuppen av sprøyten.</w:delText>
        </w:r>
      </w:del>
    </w:p>
    <w:p w14:paraId="712BD83F" w14:textId="0922A77B" w:rsidR="00E27696" w:rsidRPr="009C5EFD" w:rsidRDefault="00E27696">
      <w:pPr>
        <w:rPr>
          <w:del w:id="13958" w:author="AbbVie02no" w:date="2025-05-15T14:19:00Z"/>
          <w:sz w:val="22"/>
          <w:szCs w:val="22"/>
        </w:rPr>
        <w:pPrChange w:id="13959" w:author="AbbVie02no" w:date="2025-05-15T14:19:00Z">
          <w:pPr>
            <w:suppressAutoHyphens/>
          </w:pPr>
        </w:pPrChange>
      </w:pPr>
    </w:p>
    <w:p w14:paraId="3A13DCBA" w14:textId="7AB8D246" w:rsidR="006F409A" w:rsidRPr="007F67EE" w:rsidRDefault="00E453CD">
      <w:pPr>
        <w:rPr>
          <w:del w:id="13960" w:author="AbbVie02no" w:date="2025-05-15T14:19:00Z"/>
          <w:sz w:val="22"/>
          <w:szCs w:val="22"/>
        </w:rPr>
        <w:pPrChange w:id="13961" w:author="AbbVie02no" w:date="2025-05-15T14:19:00Z">
          <w:pPr>
            <w:suppressAutoHyphens/>
            <w:jc w:val="center"/>
          </w:pPr>
        </w:pPrChange>
      </w:pPr>
      <w:del w:id="13962" w:author="AbbVie02no" w:date="2025-05-15T14:19:00Z">
        <w:r>
          <w:rPr>
            <w:noProof/>
            <w:lang w:val="en-GB" w:eastAsia="en-GB"/>
          </w:rPr>
          <w:drawing>
            <wp:inline distT="0" distB="0" distL="0" distR="0" wp14:anchorId="38602835" wp14:editId="5BF352CB">
              <wp:extent cx="1857375" cy="1847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857375" cy="1847850"/>
                      </a:xfrm>
                      <a:prstGeom prst="rect">
                        <a:avLst/>
                      </a:prstGeom>
                      <a:noFill/>
                      <a:ln>
                        <a:noFill/>
                      </a:ln>
                    </pic:spPr>
                  </pic:pic>
                </a:graphicData>
              </a:graphic>
            </wp:inline>
          </w:drawing>
        </w:r>
      </w:del>
    </w:p>
    <w:p w14:paraId="27079E85" w14:textId="1F67C8AF" w:rsidR="00CB481A" w:rsidRPr="00193D76" w:rsidRDefault="00CB481A">
      <w:pPr>
        <w:rPr>
          <w:del w:id="13963" w:author="AbbVie02no" w:date="2025-05-15T14:19:00Z"/>
          <w:sz w:val="22"/>
          <w:szCs w:val="22"/>
        </w:rPr>
        <w:pPrChange w:id="13964" w:author="AbbVie02no" w:date="2025-05-15T14:19:00Z">
          <w:pPr>
            <w:suppressAutoHyphens/>
          </w:pPr>
        </w:pPrChange>
      </w:pPr>
    </w:p>
    <w:p w14:paraId="6A590AB6" w14:textId="44AF9094" w:rsidR="00CB481A" w:rsidRPr="009C5EFD" w:rsidRDefault="00E453CD">
      <w:pPr>
        <w:rPr>
          <w:del w:id="13965" w:author="AbbVie02no" w:date="2025-05-15T14:19:00Z"/>
          <w:sz w:val="22"/>
          <w:szCs w:val="22"/>
        </w:rPr>
        <w:pPrChange w:id="13966" w:author="AbbVie02no" w:date="2025-05-15T14:19:00Z">
          <w:pPr>
            <w:numPr>
              <w:numId w:val="44"/>
            </w:numPr>
            <w:tabs>
              <w:tab w:val="num" w:pos="720"/>
            </w:tabs>
            <w:suppressAutoHyphens/>
            <w:ind w:left="720" w:hanging="720"/>
          </w:pPr>
        </w:pPrChange>
      </w:pPr>
      <w:del w:id="13967" w:author="AbbVie02no" w:date="2025-05-15T14:19:00Z">
        <w:r w:rsidRPr="002D0790">
          <w:rPr>
            <w:sz w:val="22"/>
            <w:szCs w:val="22"/>
          </w:rPr>
          <w:delText xml:space="preserve">Hvis en stor luftboble eller lufthull sees i nærheten av sprøytetuppen, press den hvite stempelstangen </w:delText>
        </w:r>
        <w:r w:rsidRPr="00C07C98">
          <w:rPr>
            <w:b/>
            <w:sz w:val="22"/>
            <w:szCs w:val="22"/>
          </w:rPr>
          <w:delText>SA</w:delText>
        </w:r>
        <w:r w:rsidR="00973502" w:rsidRPr="00E14E58">
          <w:rPr>
            <w:b/>
            <w:sz w:val="22"/>
            <w:szCs w:val="22"/>
          </w:rPr>
          <w:delText>K</w:delText>
        </w:r>
        <w:r w:rsidRPr="009C5EFD">
          <w:rPr>
            <w:b/>
            <w:sz w:val="22"/>
            <w:szCs w:val="22"/>
          </w:rPr>
          <w:delText>TE</w:delText>
        </w:r>
        <w:r w:rsidRPr="009C5EFD">
          <w:rPr>
            <w:sz w:val="22"/>
            <w:szCs w:val="22"/>
          </w:rPr>
          <w:delText xml:space="preserve"> inn i sprøyten til væsken begynner å komme inn i sprøytetuppen</w:delText>
        </w:r>
        <w:r w:rsidR="00983A84" w:rsidRPr="009C5EFD">
          <w:rPr>
            <w:sz w:val="22"/>
            <w:szCs w:val="22"/>
          </w:rPr>
          <w:delText xml:space="preserve">. </w:delText>
        </w:r>
        <w:r w:rsidR="00983A84" w:rsidRPr="009C5EFD">
          <w:rPr>
            <w:b/>
            <w:sz w:val="22"/>
            <w:szCs w:val="22"/>
          </w:rPr>
          <w:delText>IKKE</w:delText>
        </w:r>
        <w:r w:rsidRPr="009C5EFD">
          <w:rPr>
            <w:sz w:val="22"/>
            <w:szCs w:val="22"/>
          </w:rPr>
          <w:delText xml:space="preserve"> skyv </w:delText>
        </w:r>
        <w:r w:rsidR="00983A84" w:rsidRPr="009C5EFD">
          <w:rPr>
            <w:sz w:val="22"/>
            <w:szCs w:val="22"/>
          </w:rPr>
          <w:delText xml:space="preserve">den </w:delText>
        </w:r>
        <w:r w:rsidRPr="009C5EFD">
          <w:rPr>
            <w:sz w:val="22"/>
            <w:szCs w:val="22"/>
          </w:rPr>
          <w:delText>hvite stempel</w:delText>
        </w:r>
        <w:r w:rsidR="00983A84" w:rsidRPr="009C5EFD">
          <w:rPr>
            <w:sz w:val="22"/>
            <w:szCs w:val="22"/>
          </w:rPr>
          <w:delText>stangen</w:delText>
        </w:r>
        <w:r w:rsidRPr="009C5EFD">
          <w:rPr>
            <w:sz w:val="22"/>
            <w:szCs w:val="22"/>
          </w:rPr>
          <w:delText xml:space="preserve"> forbi dose</w:delText>
        </w:r>
        <w:r w:rsidR="00983A84" w:rsidRPr="009C5EFD">
          <w:rPr>
            <w:sz w:val="22"/>
            <w:szCs w:val="22"/>
          </w:rPr>
          <w:delText>ns plassering</w:delText>
        </w:r>
        <w:r w:rsidR="0008650E" w:rsidRPr="009C5EFD">
          <w:rPr>
            <w:sz w:val="22"/>
            <w:szCs w:val="22"/>
          </w:rPr>
          <w:delText>.</w:delText>
        </w:r>
      </w:del>
    </w:p>
    <w:p w14:paraId="74FCE35F" w14:textId="30EE598E" w:rsidR="00CB481A" w:rsidRPr="009C5EFD" w:rsidRDefault="00E453CD">
      <w:pPr>
        <w:rPr>
          <w:del w:id="13968" w:author="AbbVie02no" w:date="2025-05-15T14:19:00Z"/>
          <w:sz w:val="22"/>
          <w:szCs w:val="22"/>
        </w:rPr>
        <w:pPrChange w:id="13969" w:author="AbbVie02no" w:date="2025-05-15T14:19:00Z">
          <w:pPr>
            <w:numPr>
              <w:numId w:val="44"/>
            </w:numPr>
            <w:tabs>
              <w:tab w:val="num" w:pos="720"/>
            </w:tabs>
            <w:suppressAutoHyphens/>
            <w:ind w:left="720" w:hanging="720"/>
          </w:pPr>
        </w:pPrChange>
      </w:pPr>
      <w:del w:id="13970" w:author="AbbVie02no" w:date="2025-05-15T14:19:00Z">
        <w:r w:rsidRPr="009C5EFD">
          <w:rPr>
            <w:sz w:val="22"/>
            <w:szCs w:val="22"/>
          </w:rPr>
          <w:delText>For eksempel, hvis den foreskrevne dose</w:delText>
        </w:r>
        <w:r w:rsidR="00983A84" w:rsidRPr="009C5EFD">
          <w:rPr>
            <w:sz w:val="22"/>
            <w:szCs w:val="22"/>
          </w:rPr>
          <w:delText>n</w:delText>
        </w:r>
        <w:r w:rsidRPr="009C5EFD">
          <w:rPr>
            <w:sz w:val="22"/>
            <w:szCs w:val="22"/>
          </w:rPr>
          <w:delText xml:space="preserve"> er 0,5 ml, </w:delText>
        </w:r>
        <w:r w:rsidRPr="009C5EFD">
          <w:rPr>
            <w:b/>
            <w:sz w:val="22"/>
            <w:szCs w:val="22"/>
          </w:rPr>
          <w:delText>IKKE</w:delText>
        </w:r>
        <w:r w:rsidRPr="009C5EFD">
          <w:rPr>
            <w:sz w:val="22"/>
            <w:szCs w:val="22"/>
          </w:rPr>
          <w:delText xml:space="preserve"> skyv </w:delText>
        </w:r>
        <w:r w:rsidR="00983A84" w:rsidRPr="009C5EFD">
          <w:rPr>
            <w:sz w:val="22"/>
            <w:szCs w:val="22"/>
          </w:rPr>
          <w:delText xml:space="preserve">den </w:delText>
        </w:r>
        <w:r w:rsidRPr="009C5EFD">
          <w:rPr>
            <w:sz w:val="22"/>
            <w:szCs w:val="22"/>
          </w:rPr>
          <w:delText>hvite stempel</w:delText>
        </w:r>
        <w:r w:rsidR="00983A84" w:rsidRPr="009C5EFD">
          <w:rPr>
            <w:sz w:val="22"/>
            <w:szCs w:val="22"/>
          </w:rPr>
          <w:delText>stangen</w:delText>
        </w:r>
        <w:r w:rsidRPr="009C5EFD">
          <w:rPr>
            <w:sz w:val="22"/>
            <w:szCs w:val="22"/>
          </w:rPr>
          <w:delText xml:space="preserve"> forbi 0,5 ml</w:delText>
        </w:r>
        <w:r w:rsidR="0008650E" w:rsidRPr="009C5EFD">
          <w:rPr>
            <w:sz w:val="22"/>
            <w:szCs w:val="22"/>
          </w:rPr>
          <w:delText>.</w:delText>
        </w:r>
      </w:del>
    </w:p>
    <w:p w14:paraId="24ABAC00" w14:textId="6282C235" w:rsidR="00CB481A" w:rsidRPr="009C5EFD" w:rsidRDefault="00E453CD">
      <w:pPr>
        <w:rPr>
          <w:del w:id="13971" w:author="AbbVie02no" w:date="2025-05-15T14:19:00Z"/>
          <w:sz w:val="22"/>
          <w:szCs w:val="22"/>
        </w:rPr>
        <w:pPrChange w:id="13972" w:author="AbbVie02no" w:date="2025-05-15T14:19:00Z">
          <w:pPr>
            <w:numPr>
              <w:numId w:val="44"/>
            </w:numPr>
            <w:tabs>
              <w:tab w:val="num" w:pos="720"/>
            </w:tabs>
            <w:suppressAutoHyphens/>
            <w:ind w:left="720" w:hanging="720"/>
          </w:pPr>
        </w:pPrChange>
      </w:pPr>
      <w:del w:id="13973" w:author="AbbVie02no" w:date="2025-05-15T14:19:00Z">
        <w:r w:rsidRPr="009C5EFD">
          <w:rPr>
            <w:sz w:val="22"/>
            <w:szCs w:val="22"/>
          </w:rPr>
          <w:delText xml:space="preserve">Kontroller at væsken </w:delText>
        </w:r>
        <w:r w:rsidR="00983A84" w:rsidRPr="009C5EFD">
          <w:rPr>
            <w:sz w:val="22"/>
            <w:szCs w:val="22"/>
          </w:rPr>
          <w:delText xml:space="preserve">som </w:delText>
        </w:r>
        <w:r w:rsidRPr="009C5EFD">
          <w:rPr>
            <w:sz w:val="22"/>
            <w:szCs w:val="22"/>
          </w:rPr>
          <w:delText>er igjen i sp</w:delText>
        </w:r>
        <w:r w:rsidR="00983A84" w:rsidRPr="009C5EFD">
          <w:rPr>
            <w:sz w:val="22"/>
            <w:szCs w:val="22"/>
          </w:rPr>
          <w:delText>røyten er minst den</w:delText>
        </w:r>
        <w:r w:rsidRPr="009C5EFD">
          <w:rPr>
            <w:sz w:val="22"/>
            <w:szCs w:val="22"/>
          </w:rPr>
          <w:delText xml:space="preserve"> foreskrevne dose</w:delText>
        </w:r>
        <w:r w:rsidR="00983A84" w:rsidRPr="009C5EFD">
          <w:rPr>
            <w:sz w:val="22"/>
            <w:szCs w:val="22"/>
          </w:rPr>
          <w:delText>n</w:delText>
        </w:r>
        <w:r w:rsidRPr="009C5EFD">
          <w:rPr>
            <w:sz w:val="22"/>
            <w:szCs w:val="22"/>
          </w:rPr>
          <w:delText>. Hvis de</w:delText>
        </w:r>
        <w:r w:rsidR="00983A84" w:rsidRPr="009C5EFD">
          <w:rPr>
            <w:sz w:val="22"/>
            <w:szCs w:val="22"/>
          </w:rPr>
          <w:delText>t</w:delText>
        </w:r>
        <w:r w:rsidRPr="009C5EFD">
          <w:rPr>
            <w:sz w:val="22"/>
            <w:szCs w:val="22"/>
          </w:rPr>
          <w:delText xml:space="preserve"> </w:delText>
        </w:r>
        <w:r w:rsidR="00983A84" w:rsidRPr="009C5EFD">
          <w:rPr>
            <w:sz w:val="22"/>
            <w:szCs w:val="22"/>
          </w:rPr>
          <w:delText>gjenværende</w:delText>
        </w:r>
        <w:r w:rsidRPr="009C5EFD">
          <w:rPr>
            <w:sz w:val="22"/>
            <w:szCs w:val="22"/>
          </w:rPr>
          <w:delText xml:space="preserve"> volumet er mindre enn </w:delText>
        </w:r>
        <w:r w:rsidR="00983A84" w:rsidRPr="009C5EFD">
          <w:rPr>
            <w:sz w:val="22"/>
            <w:szCs w:val="22"/>
          </w:rPr>
          <w:delText xml:space="preserve">den </w:delText>
        </w:r>
        <w:r w:rsidRPr="009C5EFD">
          <w:rPr>
            <w:sz w:val="22"/>
            <w:szCs w:val="22"/>
          </w:rPr>
          <w:delText>foreskrev</w:delText>
        </w:r>
        <w:r w:rsidR="006D4ACA" w:rsidRPr="009C5EFD">
          <w:rPr>
            <w:sz w:val="22"/>
            <w:szCs w:val="22"/>
          </w:rPr>
          <w:delText>n</w:delText>
        </w:r>
        <w:r w:rsidRPr="009C5EFD">
          <w:rPr>
            <w:sz w:val="22"/>
            <w:szCs w:val="22"/>
          </w:rPr>
          <w:delText>e dose</w:delText>
        </w:r>
        <w:r w:rsidR="00983A84" w:rsidRPr="009C5EFD">
          <w:rPr>
            <w:sz w:val="22"/>
            <w:szCs w:val="22"/>
          </w:rPr>
          <w:delText>n</w:delText>
        </w:r>
        <w:r w:rsidRPr="009C5EFD">
          <w:rPr>
            <w:sz w:val="22"/>
            <w:szCs w:val="22"/>
          </w:rPr>
          <w:delText xml:space="preserve">, </w:delText>
        </w:r>
        <w:r w:rsidRPr="009C5EFD">
          <w:rPr>
            <w:b/>
            <w:sz w:val="22"/>
            <w:szCs w:val="22"/>
          </w:rPr>
          <w:delText>IKKE</w:delText>
        </w:r>
        <w:r w:rsidRPr="009C5EFD">
          <w:rPr>
            <w:sz w:val="22"/>
            <w:szCs w:val="22"/>
          </w:rPr>
          <w:delText xml:space="preserve"> bruk sprøyten og kontakt ansvarlig helsepersonell.</w:delText>
        </w:r>
      </w:del>
    </w:p>
    <w:p w14:paraId="68F23278" w14:textId="76563AB2" w:rsidR="00CB481A" w:rsidRPr="009C5EFD" w:rsidRDefault="00E453CD">
      <w:pPr>
        <w:rPr>
          <w:del w:id="13974" w:author="AbbVie02no" w:date="2025-05-15T14:19:00Z"/>
          <w:sz w:val="22"/>
          <w:szCs w:val="22"/>
        </w:rPr>
        <w:pPrChange w:id="13975" w:author="AbbVie02no" w:date="2025-05-15T14:19:00Z">
          <w:pPr>
            <w:numPr>
              <w:numId w:val="44"/>
            </w:numPr>
            <w:tabs>
              <w:tab w:val="num" w:pos="720"/>
            </w:tabs>
            <w:suppressAutoHyphens/>
            <w:ind w:left="720" w:hanging="720"/>
          </w:pPr>
        </w:pPrChange>
      </w:pPr>
      <w:del w:id="13976" w:author="AbbVie02no" w:date="2025-05-15T14:19:00Z">
        <w:r w:rsidRPr="009C5EFD">
          <w:rPr>
            <w:sz w:val="22"/>
            <w:szCs w:val="22"/>
          </w:rPr>
          <w:delText xml:space="preserve">Med den ledige hånden, plukk opp pakken med </w:delText>
        </w:r>
        <w:r w:rsidR="008138BF">
          <w:rPr>
            <w:sz w:val="22"/>
            <w:szCs w:val="22"/>
          </w:rPr>
          <w:delText>kanyl</w:delText>
        </w:r>
        <w:r w:rsidRPr="009C5EFD">
          <w:rPr>
            <w:sz w:val="22"/>
            <w:szCs w:val="22"/>
          </w:rPr>
          <w:delText>en</w:delText>
        </w:r>
        <w:r w:rsidR="00896C8E" w:rsidRPr="009C5EFD">
          <w:rPr>
            <w:sz w:val="22"/>
            <w:szCs w:val="22"/>
          </w:rPr>
          <w:delText>,</w:delText>
        </w:r>
        <w:r w:rsidRPr="009C5EFD">
          <w:rPr>
            <w:sz w:val="22"/>
            <w:szCs w:val="22"/>
          </w:rPr>
          <w:delText xml:space="preserve"> med de</w:delText>
        </w:r>
        <w:r w:rsidR="005434DE" w:rsidRPr="009C5EFD">
          <w:rPr>
            <w:sz w:val="22"/>
            <w:szCs w:val="22"/>
          </w:rPr>
          <w:delText>t</w:delText>
        </w:r>
        <w:r w:rsidRPr="009C5EFD">
          <w:rPr>
            <w:sz w:val="22"/>
            <w:szCs w:val="22"/>
          </w:rPr>
          <w:delText xml:space="preserve"> gule skjøtemunnstykke</w:delText>
        </w:r>
        <w:r w:rsidR="005434DE" w:rsidRPr="009C5EFD">
          <w:rPr>
            <w:sz w:val="22"/>
            <w:szCs w:val="22"/>
          </w:rPr>
          <w:delText>t</w:delText>
        </w:r>
        <w:r w:rsidRPr="009C5EFD">
          <w:rPr>
            <w:sz w:val="22"/>
            <w:szCs w:val="22"/>
          </w:rPr>
          <w:delText xml:space="preserve"> </w:delText>
        </w:r>
        <w:r w:rsidR="00896C8E" w:rsidRPr="009C5EFD">
          <w:rPr>
            <w:sz w:val="22"/>
            <w:szCs w:val="22"/>
          </w:rPr>
          <w:delText>peke</w:delText>
        </w:r>
        <w:r w:rsidR="005434DE" w:rsidRPr="009C5EFD">
          <w:rPr>
            <w:sz w:val="22"/>
            <w:szCs w:val="22"/>
          </w:rPr>
          <w:delText>nde</w:delText>
        </w:r>
        <w:r w:rsidR="00896C8E" w:rsidRPr="009C5EFD">
          <w:rPr>
            <w:sz w:val="22"/>
            <w:szCs w:val="22"/>
          </w:rPr>
          <w:delText xml:space="preserve"> nedover.</w:delText>
        </w:r>
      </w:del>
    </w:p>
    <w:p w14:paraId="2E8727D2" w14:textId="62080C81" w:rsidR="00CB481A" w:rsidRPr="009C5EFD" w:rsidRDefault="00E453CD">
      <w:pPr>
        <w:rPr>
          <w:del w:id="13977" w:author="AbbVie02no" w:date="2025-05-15T14:19:00Z"/>
          <w:sz w:val="22"/>
          <w:szCs w:val="22"/>
        </w:rPr>
        <w:pPrChange w:id="13978" w:author="AbbVie02no" w:date="2025-05-15T14:19:00Z">
          <w:pPr>
            <w:numPr>
              <w:numId w:val="44"/>
            </w:numPr>
            <w:tabs>
              <w:tab w:val="num" w:pos="720"/>
            </w:tabs>
            <w:suppressAutoHyphens/>
            <w:ind w:left="720" w:hanging="720"/>
          </w:pPr>
        </w:pPrChange>
      </w:pPr>
      <w:del w:id="13979" w:author="AbbVie02no" w:date="2025-05-15T14:19:00Z">
        <w:r w:rsidRPr="009C5EFD">
          <w:rPr>
            <w:sz w:val="22"/>
            <w:szCs w:val="22"/>
          </w:rPr>
          <w:delText>Hold sprøyten opp, sett</w:delText>
        </w:r>
        <w:r w:rsidR="006D4ACA" w:rsidRPr="009C5EFD">
          <w:rPr>
            <w:sz w:val="22"/>
            <w:szCs w:val="22"/>
          </w:rPr>
          <w:delText xml:space="preserve"> sprøyte</w:delText>
        </w:r>
        <w:r w:rsidRPr="009C5EFD">
          <w:rPr>
            <w:sz w:val="22"/>
            <w:szCs w:val="22"/>
          </w:rPr>
          <w:delText>tuppen inn i den gule skjøtemunnstykken og vri sprøyten som angitt med pil på bildet</w:delText>
        </w:r>
        <w:r w:rsidR="005F4D9C" w:rsidRPr="009C5EFD">
          <w:rPr>
            <w:sz w:val="22"/>
            <w:szCs w:val="22"/>
          </w:rPr>
          <w:delText>,</w:delText>
        </w:r>
        <w:r w:rsidRPr="009C5EFD">
          <w:rPr>
            <w:sz w:val="22"/>
            <w:szCs w:val="22"/>
          </w:rPr>
          <w:delText xml:space="preserve"> inntil den sitter fast. </w:delText>
        </w:r>
        <w:r w:rsidR="008138BF">
          <w:rPr>
            <w:sz w:val="22"/>
            <w:szCs w:val="22"/>
          </w:rPr>
          <w:delText>Kanyl</w:delText>
        </w:r>
        <w:r w:rsidRPr="009C5EFD">
          <w:rPr>
            <w:sz w:val="22"/>
            <w:szCs w:val="22"/>
          </w:rPr>
          <w:delText>en er nå festet til sprøyten.</w:delText>
        </w:r>
      </w:del>
    </w:p>
    <w:p w14:paraId="120F714B" w14:textId="69D48F7F" w:rsidR="00CB481A" w:rsidRPr="009C5EFD" w:rsidRDefault="00CB481A">
      <w:pPr>
        <w:rPr>
          <w:del w:id="13980" w:author="AbbVie02no" w:date="2025-05-15T14:19:00Z"/>
          <w:sz w:val="22"/>
          <w:szCs w:val="22"/>
        </w:rPr>
        <w:pPrChange w:id="13981" w:author="AbbVie02no" w:date="2025-05-15T14:19:00Z">
          <w:pPr>
            <w:suppressAutoHyphens/>
          </w:pPr>
        </w:pPrChange>
      </w:pPr>
    </w:p>
    <w:p w14:paraId="757A0117" w14:textId="00E547A9" w:rsidR="006F409A" w:rsidRPr="007F67EE" w:rsidRDefault="00E453CD">
      <w:pPr>
        <w:rPr>
          <w:del w:id="13982" w:author="AbbVie02no" w:date="2025-05-15T14:19:00Z"/>
          <w:sz w:val="22"/>
          <w:szCs w:val="22"/>
        </w:rPr>
        <w:pPrChange w:id="13983" w:author="AbbVie02no" w:date="2025-05-15T14:19:00Z">
          <w:pPr>
            <w:suppressAutoHyphens/>
            <w:jc w:val="center"/>
          </w:pPr>
        </w:pPrChange>
      </w:pPr>
      <w:del w:id="13984" w:author="AbbVie02no" w:date="2025-05-15T14:19:00Z">
        <w:r>
          <w:rPr>
            <w:noProof/>
            <w:lang w:val="en-GB" w:eastAsia="en-GB"/>
          </w:rPr>
          <w:lastRenderedPageBreak/>
          <w:drawing>
            <wp:inline distT="0" distB="0" distL="0" distR="0" wp14:anchorId="20BC11E9" wp14:editId="6A07DB27">
              <wp:extent cx="1857375" cy="1828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857375" cy="1828800"/>
                      </a:xfrm>
                      <a:prstGeom prst="rect">
                        <a:avLst/>
                      </a:prstGeom>
                      <a:noFill/>
                      <a:ln>
                        <a:noFill/>
                      </a:ln>
                    </pic:spPr>
                  </pic:pic>
                </a:graphicData>
              </a:graphic>
            </wp:inline>
          </w:drawing>
        </w:r>
      </w:del>
    </w:p>
    <w:p w14:paraId="6488CE0F" w14:textId="76FADDB5" w:rsidR="0008650E" w:rsidRPr="00193D76" w:rsidRDefault="0008650E">
      <w:pPr>
        <w:rPr>
          <w:del w:id="13985" w:author="AbbVie02no" w:date="2025-05-15T14:19:00Z"/>
          <w:sz w:val="22"/>
          <w:szCs w:val="22"/>
        </w:rPr>
        <w:pPrChange w:id="13986" w:author="AbbVie02no" w:date="2025-05-15T14:19:00Z">
          <w:pPr>
            <w:suppressAutoHyphens/>
          </w:pPr>
        </w:pPrChange>
      </w:pPr>
    </w:p>
    <w:p w14:paraId="6F55F548" w14:textId="7F608B79" w:rsidR="0008650E" w:rsidRPr="009C5EFD" w:rsidRDefault="00E453CD">
      <w:pPr>
        <w:rPr>
          <w:del w:id="13987" w:author="AbbVie02no" w:date="2025-05-15T14:19:00Z"/>
          <w:sz w:val="22"/>
          <w:szCs w:val="22"/>
        </w:rPr>
        <w:pPrChange w:id="13988" w:author="AbbVie02no" w:date="2025-05-15T14:19:00Z">
          <w:pPr>
            <w:numPr>
              <w:numId w:val="45"/>
            </w:numPr>
            <w:tabs>
              <w:tab w:val="num" w:pos="720"/>
            </w:tabs>
            <w:suppressAutoHyphens/>
            <w:ind w:left="720" w:hanging="720"/>
          </w:pPr>
        </w:pPrChange>
      </w:pPr>
      <w:del w:id="13989" w:author="AbbVie02no" w:date="2025-05-15T14:19:00Z">
        <w:r w:rsidRPr="002D0790">
          <w:rPr>
            <w:sz w:val="22"/>
            <w:szCs w:val="22"/>
          </w:rPr>
          <w:delText>Fjern</w:delText>
        </w:r>
        <w:r w:rsidRPr="00C07C98">
          <w:rPr>
            <w:sz w:val="22"/>
            <w:szCs w:val="22"/>
          </w:rPr>
          <w:delText xml:space="preserve"> pakken </w:delText>
        </w:r>
        <w:r w:rsidRPr="00E14E58">
          <w:rPr>
            <w:sz w:val="22"/>
            <w:szCs w:val="22"/>
          </w:rPr>
          <w:delText xml:space="preserve">til </w:delText>
        </w:r>
        <w:r w:rsidR="008138BF">
          <w:rPr>
            <w:sz w:val="22"/>
            <w:szCs w:val="22"/>
          </w:rPr>
          <w:delText>kanyl</w:delText>
        </w:r>
        <w:r w:rsidRPr="009C5EFD">
          <w:rPr>
            <w:sz w:val="22"/>
            <w:szCs w:val="22"/>
          </w:rPr>
          <w:delText xml:space="preserve">en, men </w:delText>
        </w:r>
        <w:r w:rsidRPr="009C5EFD">
          <w:rPr>
            <w:b/>
            <w:sz w:val="22"/>
            <w:szCs w:val="22"/>
          </w:rPr>
          <w:delText>IKKE</w:delText>
        </w:r>
        <w:r w:rsidRPr="009C5EFD">
          <w:rPr>
            <w:sz w:val="22"/>
            <w:szCs w:val="22"/>
          </w:rPr>
          <w:delText xml:space="preserve"> fjern </w:delText>
        </w:r>
        <w:r w:rsidR="008138BF">
          <w:rPr>
            <w:sz w:val="22"/>
            <w:szCs w:val="22"/>
          </w:rPr>
          <w:delText>kanyl</w:delText>
        </w:r>
        <w:r w:rsidR="00834F67" w:rsidRPr="009C5EFD">
          <w:rPr>
            <w:sz w:val="22"/>
            <w:szCs w:val="22"/>
          </w:rPr>
          <w:delText>ens</w:delText>
        </w:r>
        <w:r w:rsidRPr="009C5EFD">
          <w:rPr>
            <w:sz w:val="22"/>
            <w:szCs w:val="22"/>
          </w:rPr>
          <w:delText xml:space="preserve"> klare </w:delText>
        </w:r>
        <w:r w:rsidR="00E1458E">
          <w:rPr>
            <w:sz w:val="22"/>
            <w:szCs w:val="22"/>
          </w:rPr>
          <w:delText>kanylehette</w:delText>
        </w:r>
        <w:r w:rsidRPr="009C5EFD">
          <w:rPr>
            <w:sz w:val="22"/>
            <w:szCs w:val="22"/>
          </w:rPr>
          <w:delText>.</w:delText>
        </w:r>
      </w:del>
    </w:p>
    <w:p w14:paraId="4FAFB135" w14:textId="4E63AF64" w:rsidR="0008650E" w:rsidRPr="009C5EFD" w:rsidRDefault="00E453CD">
      <w:pPr>
        <w:rPr>
          <w:del w:id="13990" w:author="AbbVie02no" w:date="2025-05-15T14:19:00Z"/>
          <w:sz w:val="22"/>
          <w:szCs w:val="22"/>
        </w:rPr>
        <w:pPrChange w:id="13991" w:author="AbbVie02no" w:date="2025-05-15T14:19:00Z">
          <w:pPr>
            <w:numPr>
              <w:numId w:val="45"/>
            </w:numPr>
            <w:tabs>
              <w:tab w:val="num" w:pos="720"/>
            </w:tabs>
            <w:suppressAutoHyphens/>
            <w:ind w:left="720" w:hanging="720"/>
          </w:pPr>
        </w:pPrChange>
      </w:pPr>
      <w:del w:id="13992" w:author="AbbVie02no" w:date="2025-05-15T14:19:00Z">
        <w:r w:rsidRPr="009C5EFD">
          <w:rPr>
            <w:sz w:val="22"/>
            <w:szCs w:val="22"/>
          </w:rPr>
          <w:delText xml:space="preserve">Legg sprøyten på den </w:delText>
        </w:r>
        <w:r w:rsidR="005F4D9C" w:rsidRPr="009C5EFD">
          <w:rPr>
            <w:sz w:val="22"/>
            <w:szCs w:val="22"/>
          </w:rPr>
          <w:delText>rene arbeidsbenken</w:delText>
        </w:r>
        <w:r w:rsidRPr="009C5EFD">
          <w:rPr>
            <w:sz w:val="22"/>
            <w:szCs w:val="22"/>
          </w:rPr>
          <w:delText xml:space="preserve">. Fortsett med injeksjonsstedet og forberedelse </w:delText>
        </w:r>
        <w:r w:rsidR="009237C2" w:rsidRPr="009C5EFD">
          <w:rPr>
            <w:sz w:val="22"/>
            <w:szCs w:val="22"/>
          </w:rPr>
          <w:delText>av</w:delText>
        </w:r>
        <w:r w:rsidRPr="009C5EFD">
          <w:rPr>
            <w:sz w:val="22"/>
            <w:szCs w:val="22"/>
          </w:rPr>
          <w:delText xml:space="preserve"> dose</w:delText>
        </w:r>
        <w:r w:rsidR="009237C2" w:rsidRPr="009C5EFD">
          <w:rPr>
            <w:sz w:val="22"/>
            <w:szCs w:val="22"/>
          </w:rPr>
          <w:delText xml:space="preserve">n </w:delText>
        </w:r>
        <w:r w:rsidRPr="009C5EFD">
          <w:rPr>
            <w:sz w:val="22"/>
            <w:szCs w:val="22"/>
          </w:rPr>
          <w:delText>umiddelbart.</w:delText>
        </w:r>
      </w:del>
    </w:p>
    <w:p w14:paraId="222E2761" w14:textId="614C608C" w:rsidR="0008650E" w:rsidRPr="009C5EFD" w:rsidRDefault="0008650E">
      <w:pPr>
        <w:rPr>
          <w:del w:id="13993" w:author="AbbVie02no" w:date="2025-05-15T14:19:00Z"/>
          <w:sz w:val="22"/>
          <w:szCs w:val="22"/>
        </w:rPr>
        <w:pPrChange w:id="13994" w:author="AbbVie02no" w:date="2025-05-15T14:19:00Z">
          <w:pPr>
            <w:suppressAutoHyphens/>
          </w:pPr>
        </w:pPrChange>
      </w:pPr>
    </w:p>
    <w:p w14:paraId="5FA98802" w14:textId="68EB4D35" w:rsidR="00DE3458" w:rsidRPr="009C5EFD" w:rsidRDefault="00E453CD">
      <w:pPr>
        <w:rPr>
          <w:del w:id="13995" w:author="AbbVie02no" w:date="2025-05-15T14:19:00Z"/>
          <w:b/>
          <w:sz w:val="22"/>
          <w:szCs w:val="22"/>
        </w:rPr>
        <w:pPrChange w:id="13996" w:author="AbbVie02no" w:date="2025-05-15T14:19:00Z">
          <w:pPr>
            <w:keepNext/>
            <w:suppressAutoHyphens/>
            <w:outlineLvl w:val="1"/>
          </w:pPr>
        </w:pPrChange>
      </w:pPr>
      <w:del w:id="13997" w:author="AbbVie02no" w:date="2025-05-15T14:19:00Z">
        <w:r w:rsidRPr="009C5EFD">
          <w:rPr>
            <w:b/>
            <w:sz w:val="22"/>
            <w:szCs w:val="22"/>
          </w:rPr>
          <w:delText>3)</w:delText>
        </w:r>
        <w:r w:rsidRPr="009C5EFD">
          <w:rPr>
            <w:b/>
            <w:sz w:val="22"/>
            <w:szCs w:val="22"/>
          </w:rPr>
          <w:tab/>
          <w:delText>Velg ut og gjør klar stedet injeksjonen skal settes</w:delText>
        </w:r>
      </w:del>
    </w:p>
    <w:p w14:paraId="05D3916B" w14:textId="25FDDA20" w:rsidR="00DE3458" w:rsidRPr="009C5EFD" w:rsidRDefault="00DE3458">
      <w:pPr>
        <w:rPr>
          <w:del w:id="13998" w:author="AbbVie02no" w:date="2025-05-15T14:19:00Z"/>
          <w:sz w:val="22"/>
          <w:szCs w:val="22"/>
        </w:rPr>
        <w:pPrChange w:id="13999" w:author="AbbVie02no" w:date="2025-05-15T14:19:00Z">
          <w:pPr>
            <w:keepNext/>
            <w:tabs>
              <w:tab w:val="num" w:pos="567"/>
            </w:tabs>
            <w:suppressAutoHyphens/>
            <w:ind w:left="567" w:hanging="567"/>
          </w:pPr>
        </w:pPrChange>
      </w:pPr>
    </w:p>
    <w:p w14:paraId="207E5D6F" w14:textId="00388E8A" w:rsidR="00DE3458" w:rsidRPr="009C5EFD" w:rsidRDefault="00E453CD">
      <w:pPr>
        <w:rPr>
          <w:del w:id="14000" w:author="AbbVie02no" w:date="2025-05-15T14:19:00Z"/>
          <w:sz w:val="22"/>
          <w:szCs w:val="22"/>
        </w:rPr>
        <w:pPrChange w:id="14001" w:author="AbbVie02no" w:date="2025-05-15T14:19:00Z">
          <w:pPr>
            <w:numPr>
              <w:numId w:val="46"/>
            </w:numPr>
            <w:tabs>
              <w:tab w:val="num" w:pos="720"/>
            </w:tabs>
            <w:suppressAutoHyphens/>
            <w:ind w:left="720" w:hanging="720"/>
          </w:pPr>
        </w:pPrChange>
      </w:pPr>
      <w:del w:id="14002" w:author="AbbVie02no" w:date="2025-05-15T14:19:00Z">
        <w:r w:rsidRPr="009C5EFD">
          <w:rPr>
            <w:sz w:val="22"/>
            <w:szCs w:val="22"/>
          </w:rPr>
          <w:delText>Velg et sted på låret eller magen.</w:delText>
        </w:r>
        <w:r w:rsidR="0008650E" w:rsidRPr="009C5EFD">
          <w:rPr>
            <w:sz w:val="22"/>
            <w:szCs w:val="22"/>
          </w:rPr>
          <w:delText xml:space="preserve"> </w:delText>
        </w:r>
        <w:r w:rsidR="0008650E" w:rsidRPr="009C5EFD">
          <w:rPr>
            <w:b/>
            <w:sz w:val="22"/>
            <w:szCs w:val="22"/>
          </w:rPr>
          <w:delText>IKKE</w:delText>
        </w:r>
        <w:r w:rsidR="0008650E" w:rsidRPr="009C5EFD">
          <w:rPr>
            <w:sz w:val="22"/>
            <w:szCs w:val="22"/>
          </w:rPr>
          <w:delText xml:space="preserve"> b</w:delText>
        </w:r>
        <w:r w:rsidR="004910B6" w:rsidRPr="009C5EFD">
          <w:rPr>
            <w:sz w:val="22"/>
            <w:szCs w:val="22"/>
          </w:rPr>
          <w:delText xml:space="preserve">ruk samme område som ble brukt </w:delText>
        </w:r>
        <w:r w:rsidR="00451378" w:rsidRPr="009C5EFD">
          <w:rPr>
            <w:sz w:val="22"/>
            <w:szCs w:val="22"/>
          </w:rPr>
          <w:delText>ved</w:delText>
        </w:r>
        <w:r w:rsidR="0008650E" w:rsidRPr="009C5EFD">
          <w:rPr>
            <w:sz w:val="22"/>
            <w:szCs w:val="22"/>
          </w:rPr>
          <w:delText xml:space="preserve"> de</w:delText>
        </w:r>
        <w:r w:rsidR="004910B6" w:rsidRPr="009C5EFD">
          <w:rPr>
            <w:sz w:val="22"/>
            <w:szCs w:val="22"/>
          </w:rPr>
          <w:delText>n</w:delText>
        </w:r>
        <w:r w:rsidR="0008650E" w:rsidRPr="009C5EFD">
          <w:rPr>
            <w:sz w:val="22"/>
            <w:szCs w:val="22"/>
          </w:rPr>
          <w:delText xml:space="preserve"> </w:delText>
        </w:r>
        <w:r w:rsidR="004910B6" w:rsidRPr="009C5EFD">
          <w:rPr>
            <w:sz w:val="22"/>
            <w:szCs w:val="22"/>
          </w:rPr>
          <w:delText>forrige</w:delText>
        </w:r>
        <w:r w:rsidR="0008650E" w:rsidRPr="009C5EFD">
          <w:rPr>
            <w:sz w:val="22"/>
            <w:szCs w:val="22"/>
          </w:rPr>
          <w:delText xml:space="preserve"> injeksjon</w:delText>
        </w:r>
        <w:r w:rsidR="004910B6" w:rsidRPr="009C5EFD">
          <w:rPr>
            <w:sz w:val="22"/>
            <w:szCs w:val="22"/>
          </w:rPr>
          <w:delText>en</w:delText>
        </w:r>
        <w:r w:rsidR="0008650E" w:rsidRPr="009C5EFD">
          <w:rPr>
            <w:sz w:val="22"/>
            <w:szCs w:val="22"/>
          </w:rPr>
          <w:delText>.</w:delText>
        </w:r>
      </w:del>
    </w:p>
    <w:p w14:paraId="2AD34191" w14:textId="2D010597" w:rsidR="004910B6" w:rsidRPr="009C5EFD" w:rsidRDefault="00E453CD">
      <w:pPr>
        <w:rPr>
          <w:del w:id="14003" w:author="AbbVie02no" w:date="2025-05-15T14:19:00Z"/>
          <w:sz w:val="22"/>
          <w:szCs w:val="22"/>
        </w:rPr>
        <w:pPrChange w:id="14004" w:author="AbbVie02no" w:date="2025-05-15T14:19:00Z">
          <w:pPr>
            <w:numPr>
              <w:numId w:val="46"/>
            </w:numPr>
            <w:tabs>
              <w:tab w:val="left" w:pos="720"/>
            </w:tabs>
            <w:suppressAutoHyphens/>
            <w:ind w:left="720" w:hanging="720"/>
          </w:pPr>
        </w:pPrChange>
      </w:pPr>
      <w:del w:id="14005" w:author="AbbVie02no" w:date="2025-05-15T14:19:00Z">
        <w:r w:rsidRPr="009C5EFD">
          <w:rPr>
            <w:sz w:val="22"/>
            <w:szCs w:val="22"/>
          </w:rPr>
          <w:delText>De</w:delText>
        </w:r>
        <w:r w:rsidR="00D409FC" w:rsidRPr="009C5EFD">
          <w:rPr>
            <w:sz w:val="22"/>
            <w:szCs w:val="22"/>
          </w:rPr>
          <w:delText>t</w:delText>
        </w:r>
        <w:r w:rsidRPr="009C5EFD">
          <w:rPr>
            <w:sz w:val="22"/>
            <w:szCs w:val="22"/>
          </w:rPr>
          <w:delText xml:space="preserve"> ny</w:delText>
        </w:r>
        <w:r w:rsidR="00D409FC" w:rsidRPr="009C5EFD">
          <w:rPr>
            <w:sz w:val="22"/>
            <w:szCs w:val="22"/>
          </w:rPr>
          <w:delText>e</w:delText>
        </w:r>
        <w:r w:rsidRPr="009C5EFD">
          <w:rPr>
            <w:sz w:val="22"/>
            <w:szCs w:val="22"/>
          </w:rPr>
          <w:delText xml:space="preserve"> injeksjonsstedet bør være minst 3 cm fra de</w:delText>
        </w:r>
        <w:r w:rsidR="00451378" w:rsidRPr="009C5EFD">
          <w:rPr>
            <w:sz w:val="22"/>
            <w:szCs w:val="22"/>
          </w:rPr>
          <w:delText>t</w:delText>
        </w:r>
        <w:r w:rsidRPr="009C5EFD">
          <w:rPr>
            <w:sz w:val="22"/>
            <w:szCs w:val="22"/>
          </w:rPr>
          <w:delText xml:space="preserve"> forrige injeksjonsstedet.</w:delText>
        </w:r>
      </w:del>
    </w:p>
    <w:p w14:paraId="05873424" w14:textId="1B404793" w:rsidR="00DE3458" w:rsidRPr="009C5EFD" w:rsidRDefault="00DE3458">
      <w:pPr>
        <w:rPr>
          <w:del w:id="14006" w:author="AbbVie02no" w:date="2025-05-15T14:19:00Z"/>
          <w:sz w:val="22"/>
          <w:szCs w:val="22"/>
        </w:rPr>
        <w:pPrChange w:id="14007" w:author="AbbVie02no" w:date="2025-05-15T14:19:00Z">
          <w:pPr>
            <w:suppressAutoHyphens/>
          </w:pPr>
        </w:pPrChange>
      </w:pPr>
    </w:p>
    <w:p w14:paraId="2EE8021A" w14:textId="667F40CF" w:rsidR="006F409A" w:rsidRPr="007F67EE" w:rsidRDefault="00E453CD">
      <w:pPr>
        <w:rPr>
          <w:del w:id="14008" w:author="AbbVie02no" w:date="2025-05-15T14:19:00Z"/>
          <w:sz w:val="22"/>
          <w:szCs w:val="22"/>
        </w:rPr>
        <w:pPrChange w:id="14009" w:author="AbbVie02no" w:date="2025-05-15T14:19:00Z">
          <w:pPr>
            <w:suppressAutoHyphens/>
            <w:ind w:left="930"/>
            <w:jc w:val="center"/>
          </w:pPr>
        </w:pPrChange>
      </w:pPr>
      <w:del w:id="14010" w:author="AbbVie02no" w:date="2025-05-15T14:19:00Z">
        <w:r>
          <w:rPr>
            <w:noProof/>
            <w:lang w:val="en-GB" w:eastAsia="en-GB"/>
          </w:rPr>
          <w:drawing>
            <wp:inline distT="0" distB="0" distL="0" distR="0" wp14:anchorId="4A6F5A42" wp14:editId="2CE66FD1">
              <wp:extent cx="1819275" cy="18192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1819275" cy="1819275"/>
                      </a:xfrm>
                      <a:prstGeom prst="rect">
                        <a:avLst/>
                      </a:prstGeom>
                      <a:noFill/>
                      <a:ln>
                        <a:noFill/>
                      </a:ln>
                    </pic:spPr>
                  </pic:pic>
                </a:graphicData>
              </a:graphic>
            </wp:inline>
          </w:drawing>
        </w:r>
      </w:del>
    </w:p>
    <w:p w14:paraId="15A55BB1" w14:textId="3AE62E06" w:rsidR="00DE3458" w:rsidRPr="00193D76" w:rsidRDefault="00DE3458">
      <w:pPr>
        <w:rPr>
          <w:del w:id="14011" w:author="AbbVie02no" w:date="2025-05-15T14:19:00Z"/>
          <w:sz w:val="22"/>
          <w:szCs w:val="22"/>
        </w:rPr>
        <w:pPrChange w:id="14012" w:author="AbbVie02no" w:date="2025-05-15T14:19:00Z">
          <w:pPr>
            <w:suppressAutoHyphens/>
            <w:ind w:left="930"/>
            <w:jc w:val="center"/>
          </w:pPr>
        </w:pPrChange>
      </w:pPr>
    </w:p>
    <w:p w14:paraId="03BB4A47" w14:textId="202ECC0F" w:rsidR="00DE3458" w:rsidRPr="009C5EFD" w:rsidRDefault="00E453CD">
      <w:pPr>
        <w:rPr>
          <w:del w:id="14013" w:author="AbbVie02no" w:date="2025-05-15T14:19:00Z"/>
          <w:sz w:val="22"/>
          <w:szCs w:val="22"/>
        </w:rPr>
        <w:pPrChange w:id="14014" w:author="AbbVie02no" w:date="2025-05-15T14:19:00Z">
          <w:pPr>
            <w:numPr>
              <w:numId w:val="26"/>
            </w:numPr>
            <w:tabs>
              <w:tab w:val="num" w:pos="567"/>
              <w:tab w:val="left" w:pos="720"/>
            </w:tabs>
            <w:suppressAutoHyphens/>
            <w:ind w:left="720" w:hanging="720"/>
          </w:pPr>
        </w:pPrChange>
      </w:pPr>
      <w:del w:id="14015" w:author="AbbVie02no" w:date="2025-05-15T14:19:00Z">
        <w:r w:rsidRPr="002D0790">
          <w:rPr>
            <w:b/>
            <w:sz w:val="22"/>
            <w:szCs w:val="22"/>
          </w:rPr>
          <w:delText>I</w:delText>
        </w:r>
        <w:r w:rsidR="00A73E28" w:rsidRPr="00C07C98">
          <w:rPr>
            <w:b/>
            <w:sz w:val="22"/>
            <w:szCs w:val="22"/>
          </w:rPr>
          <w:delText>KKE</w:delText>
        </w:r>
        <w:r w:rsidRPr="00E14E58">
          <w:rPr>
            <w:sz w:val="22"/>
            <w:szCs w:val="22"/>
          </w:rPr>
          <w:delText xml:space="preserve"> injisér på et sted hvor huden er </w:delText>
        </w:r>
        <w:r w:rsidRPr="009C5EFD">
          <w:rPr>
            <w:sz w:val="22"/>
            <w:szCs w:val="22"/>
          </w:rPr>
          <w:delText xml:space="preserve">rødlig, </w:delText>
        </w:r>
        <w:r w:rsidR="00451378" w:rsidRPr="009C5EFD">
          <w:rPr>
            <w:sz w:val="22"/>
            <w:szCs w:val="22"/>
          </w:rPr>
          <w:delText>har blåmerker</w:delText>
        </w:r>
        <w:r w:rsidRPr="009C5EFD">
          <w:rPr>
            <w:sz w:val="22"/>
            <w:szCs w:val="22"/>
          </w:rPr>
          <w:delText xml:space="preserve"> eller</w:delText>
        </w:r>
        <w:r w:rsidR="00451378" w:rsidRPr="009C5EFD">
          <w:rPr>
            <w:sz w:val="22"/>
            <w:szCs w:val="22"/>
          </w:rPr>
          <w:delText xml:space="preserve"> er</w:delText>
        </w:r>
        <w:r w:rsidRPr="009C5EFD">
          <w:rPr>
            <w:sz w:val="22"/>
            <w:szCs w:val="22"/>
          </w:rPr>
          <w:delText xml:space="preserve"> hard</w:delText>
        </w:r>
        <w:r w:rsidR="006B3DA6" w:rsidRPr="009C5EFD">
          <w:rPr>
            <w:sz w:val="22"/>
            <w:szCs w:val="22"/>
          </w:rPr>
          <w:delText>. D</w:delText>
        </w:r>
        <w:r w:rsidRPr="009C5EFD">
          <w:rPr>
            <w:sz w:val="22"/>
            <w:szCs w:val="22"/>
          </w:rPr>
          <w:delText>ette kan være tegn på en infeksjon</w:delText>
        </w:r>
        <w:r w:rsidR="006B3DA6" w:rsidRPr="009C5EFD">
          <w:rPr>
            <w:sz w:val="22"/>
            <w:szCs w:val="22"/>
          </w:rPr>
          <w:delText xml:space="preserve"> og derfor bør du kontakte lege</w:delText>
        </w:r>
        <w:r w:rsidR="005F4D9C" w:rsidRPr="009C5EFD">
          <w:rPr>
            <w:sz w:val="22"/>
            <w:szCs w:val="22"/>
          </w:rPr>
          <w:delText>n</w:delText>
        </w:r>
        <w:r w:rsidRPr="009C5EFD">
          <w:rPr>
            <w:sz w:val="22"/>
            <w:szCs w:val="22"/>
          </w:rPr>
          <w:delText>.</w:delText>
        </w:r>
      </w:del>
    </w:p>
    <w:p w14:paraId="431D4961" w14:textId="5B25FC04" w:rsidR="00DE3458" w:rsidRPr="009C5EFD" w:rsidRDefault="00E453CD">
      <w:pPr>
        <w:rPr>
          <w:del w:id="14016" w:author="AbbVie02no" w:date="2025-05-15T14:19:00Z"/>
          <w:sz w:val="22"/>
          <w:szCs w:val="22"/>
        </w:rPr>
        <w:pPrChange w:id="14017" w:author="AbbVie02no" w:date="2025-05-15T14:19:00Z">
          <w:pPr>
            <w:numPr>
              <w:numId w:val="26"/>
            </w:numPr>
            <w:tabs>
              <w:tab w:val="num" w:pos="567"/>
              <w:tab w:val="left" w:pos="720"/>
            </w:tabs>
            <w:suppressAutoHyphens/>
            <w:ind w:left="720" w:hanging="720"/>
          </w:pPr>
        </w:pPrChange>
      </w:pPr>
      <w:del w:id="14018" w:author="AbbVie02no" w:date="2025-05-15T14:19:00Z">
        <w:r w:rsidRPr="009C5EFD">
          <w:rPr>
            <w:sz w:val="22"/>
            <w:szCs w:val="22"/>
          </w:rPr>
          <w:delText xml:space="preserve">For å redusere faren for infeksjon bruk det vedlagte injeksjonstørket og tørk av injeksjonsstedet. </w:delText>
        </w:r>
        <w:r w:rsidRPr="009C5EFD">
          <w:rPr>
            <w:b/>
            <w:sz w:val="22"/>
            <w:szCs w:val="22"/>
          </w:rPr>
          <w:delText>IKKE</w:delText>
        </w:r>
        <w:r w:rsidRPr="009C5EFD">
          <w:rPr>
            <w:sz w:val="22"/>
            <w:szCs w:val="22"/>
          </w:rPr>
          <w:delText xml:space="preserve"> berør området igjen før injeksjonen settes.</w:delText>
        </w:r>
      </w:del>
    </w:p>
    <w:p w14:paraId="5594E1EF" w14:textId="5B420E47" w:rsidR="00DE3458" w:rsidRPr="009C5EFD" w:rsidRDefault="00DE3458">
      <w:pPr>
        <w:rPr>
          <w:del w:id="14019" w:author="AbbVie02no" w:date="2025-05-15T14:19:00Z"/>
          <w:sz w:val="22"/>
          <w:szCs w:val="22"/>
        </w:rPr>
        <w:pPrChange w:id="14020" w:author="AbbVie02no" w:date="2025-05-15T14:19:00Z">
          <w:pPr>
            <w:suppressAutoHyphens/>
          </w:pPr>
        </w:pPrChange>
      </w:pPr>
    </w:p>
    <w:p w14:paraId="4BAC638B" w14:textId="737529B9" w:rsidR="007C114B" w:rsidRPr="009C5EFD" w:rsidRDefault="00E453CD">
      <w:pPr>
        <w:rPr>
          <w:del w:id="14021" w:author="AbbVie02no" w:date="2025-05-15T14:19:00Z"/>
          <w:sz w:val="22"/>
          <w:szCs w:val="22"/>
        </w:rPr>
        <w:pPrChange w:id="14022" w:author="AbbVie02no" w:date="2025-05-15T14:19:00Z">
          <w:pPr>
            <w:keepNext/>
            <w:tabs>
              <w:tab w:val="left" w:pos="720"/>
            </w:tabs>
            <w:suppressAutoHyphens/>
            <w:outlineLvl w:val="1"/>
          </w:pPr>
        </w:pPrChange>
      </w:pPr>
      <w:del w:id="14023" w:author="AbbVie02no" w:date="2025-05-15T14:19:00Z">
        <w:r w:rsidRPr="009C5EFD">
          <w:rPr>
            <w:b/>
            <w:sz w:val="22"/>
            <w:szCs w:val="22"/>
          </w:rPr>
          <w:delText xml:space="preserve">4) </w:delText>
        </w:r>
        <w:r w:rsidRPr="009C5EFD">
          <w:rPr>
            <w:b/>
            <w:sz w:val="22"/>
            <w:szCs w:val="22"/>
          </w:rPr>
          <w:tab/>
          <w:delText>Forb</w:delText>
        </w:r>
        <w:r w:rsidR="007D4332">
          <w:rPr>
            <w:b/>
            <w:sz w:val="22"/>
            <w:szCs w:val="22"/>
          </w:rPr>
          <w:delText>e</w:delText>
        </w:r>
        <w:r w:rsidRPr="009C5EFD">
          <w:rPr>
            <w:b/>
            <w:sz w:val="22"/>
            <w:szCs w:val="22"/>
          </w:rPr>
          <w:delText>redelse av dosen</w:delText>
        </w:r>
      </w:del>
    </w:p>
    <w:p w14:paraId="2F739D8B" w14:textId="70CEA6B9" w:rsidR="007C114B" w:rsidRPr="009C5EFD" w:rsidRDefault="007C114B">
      <w:pPr>
        <w:rPr>
          <w:del w:id="14024" w:author="AbbVie02no" w:date="2025-05-15T14:19:00Z"/>
          <w:sz w:val="22"/>
          <w:szCs w:val="22"/>
        </w:rPr>
        <w:pPrChange w:id="14025" w:author="AbbVie02no" w:date="2025-05-15T14:19:00Z">
          <w:pPr>
            <w:keepNext/>
            <w:tabs>
              <w:tab w:val="left" w:pos="720"/>
            </w:tabs>
            <w:suppressAutoHyphens/>
            <w:ind w:left="720" w:hanging="720"/>
          </w:pPr>
        </w:pPrChange>
      </w:pPr>
    </w:p>
    <w:p w14:paraId="016FB35E" w14:textId="08FC4DAE" w:rsidR="007C114B" w:rsidRPr="009C5EFD" w:rsidRDefault="00E453CD">
      <w:pPr>
        <w:rPr>
          <w:del w:id="14026" w:author="AbbVie02no" w:date="2025-05-15T14:19:00Z"/>
          <w:sz w:val="22"/>
          <w:szCs w:val="22"/>
        </w:rPr>
        <w:pPrChange w:id="14027" w:author="AbbVie02no" w:date="2025-05-15T14:19:00Z">
          <w:pPr>
            <w:numPr>
              <w:numId w:val="47"/>
            </w:numPr>
            <w:tabs>
              <w:tab w:val="num" w:pos="720"/>
            </w:tabs>
            <w:suppressAutoHyphens/>
            <w:ind w:left="720" w:hanging="720"/>
          </w:pPr>
        </w:pPrChange>
      </w:pPr>
      <w:del w:id="14028" w:author="AbbVie02no" w:date="2025-05-15T14:19:00Z">
        <w:r w:rsidRPr="009C5EFD">
          <w:rPr>
            <w:sz w:val="22"/>
            <w:szCs w:val="22"/>
          </w:rPr>
          <w:delText xml:space="preserve">Ta opp sprøyten med </w:delText>
        </w:r>
        <w:r w:rsidR="008138BF">
          <w:rPr>
            <w:sz w:val="22"/>
            <w:szCs w:val="22"/>
          </w:rPr>
          <w:delText>kanyl</w:delText>
        </w:r>
        <w:r w:rsidRPr="009C5EFD">
          <w:rPr>
            <w:sz w:val="22"/>
            <w:szCs w:val="22"/>
          </w:rPr>
          <w:delText>en pekende opp.</w:delText>
        </w:r>
      </w:del>
    </w:p>
    <w:p w14:paraId="3540D6C5" w14:textId="05B53139" w:rsidR="007C114B" w:rsidRPr="009C5EFD" w:rsidRDefault="00E453CD">
      <w:pPr>
        <w:rPr>
          <w:del w:id="14029" w:author="AbbVie02no" w:date="2025-05-15T14:19:00Z"/>
          <w:sz w:val="22"/>
          <w:szCs w:val="22"/>
        </w:rPr>
        <w:pPrChange w:id="14030" w:author="AbbVie02no" w:date="2025-05-15T14:19:00Z">
          <w:pPr>
            <w:numPr>
              <w:numId w:val="47"/>
            </w:numPr>
            <w:tabs>
              <w:tab w:val="num" w:pos="720"/>
            </w:tabs>
            <w:suppressAutoHyphens/>
            <w:ind w:left="720" w:hanging="720"/>
          </w:pPr>
        </w:pPrChange>
      </w:pPr>
      <w:del w:id="14031" w:author="AbbVie02no" w:date="2025-05-15T14:19:00Z">
        <w:r w:rsidRPr="009C5EFD">
          <w:rPr>
            <w:sz w:val="22"/>
            <w:szCs w:val="22"/>
          </w:rPr>
          <w:delText>Bruk den andre hånden til å trekke de</w:delText>
        </w:r>
        <w:r w:rsidR="005F4D9C" w:rsidRPr="009C5EFD">
          <w:rPr>
            <w:sz w:val="22"/>
            <w:szCs w:val="22"/>
          </w:rPr>
          <w:delText>n</w:delText>
        </w:r>
        <w:r w:rsidRPr="009C5EFD">
          <w:rPr>
            <w:sz w:val="22"/>
            <w:szCs w:val="22"/>
          </w:rPr>
          <w:delText xml:space="preserve"> rosa </w:delText>
        </w:r>
        <w:r w:rsidR="00F61B6F" w:rsidRPr="009C5EFD">
          <w:rPr>
            <w:sz w:val="22"/>
            <w:szCs w:val="22"/>
          </w:rPr>
          <w:delText>kanylebeskytteren</w:delText>
        </w:r>
        <w:r w:rsidRPr="009C5EFD">
          <w:rPr>
            <w:sz w:val="22"/>
            <w:szCs w:val="22"/>
          </w:rPr>
          <w:delText xml:space="preserve"> ned mot sprøyten.</w:delText>
        </w:r>
      </w:del>
    </w:p>
    <w:p w14:paraId="137C1132" w14:textId="132E1C6B" w:rsidR="006F409A" w:rsidRPr="009C5EFD" w:rsidRDefault="006F409A">
      <w:pPr>
        <w:rPr>
          <w:del w:id="14032" w:author="AbbVie02no" w:date="2025-05-15T14:19:00Z"/>
          <w:sz w:val="22"/>
          <w:szCs w:val="22"/>
        </w:rPr>
        <w:pPrChange w:id="14033" w:author="AbbVie02no" w:date="2025-05-15T14:19:00Z">
          <w:pPr>
            <w:tabs>
              <w:tab w:val="left" w:pos="720"/>
            </w:tabs>
            <w:suppressAutoHyphens/>
            <w:ind w:left="720" w:hanging="720"/>
            <w:jc w:val="center"/>
          </w:pPr>
        </w:pPrChange>
      </w:pPr>
    </w:p>
    <w:p w14:paraId="19AC710A" w14:textId="724B59E3" w:rsidR="006F409A" w:rsidRPr="007F67EE" w:rsidRDefault="00E453CD">
      <w:pPr>
        <w:rPr>
          <w:del w:id="14034" w:author="AbbVie02no" w:date="2025-05-15T14:19:00Z"/>
          <w:sz w:val="22"/>
          <w:szCs w:val="22"/>
        </w:rPr>
        <w:pPrChange w:id="14035" w:author="AbbVie02no" w:date="2025-05-15T14:19:00Z">
          <w:pPr>
            <w:tabs>
              <w:tab w:val="left" w:pos="720"/>
            </w:tabs>
            <w:suppressAutoHyphens/>
            <w:ind w:left="720" w:hanging="720"/>
            <w:jc w:val="center"/>
          </w:pPr>
        </w:pPrChange>
      </w:pPr>
      <w:del w:id="14036" w:author="AbbVie02no" w:date="2025-05-15T14:19:00Z">
        <w:r>
          <w:rPr>
            <w:noProof/>
            <w:lang w:val="en-GB" w:eastAsia="en-GB"/>
          </w:rPr>
          <w:drawing>
            <wp:inline distT="0" distB="0" distL="0" distR="0" wp14:anchorId="1F5C769A" wp14:editId="393EA4F9">
              <wp:extent cx="1857375" cy="1847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1857375" cy="1847850"/>
                      </a:xfrm>
                      <a:prstGeom prst="rect">
                        <a:avLst/>
                      </a:prstGeom>
                      <a:noFill/>
                      <a:ln>
                        <a:noFill/>
                      </a:ln>
                    </pic:spPr>
                  </pic:pic>
                </a:graphicData>
              </a:graphic>
            </wp:inline>
          </w:drawing>
        </w:r>
      </w:del>
    </w:p>
    <w:p w14:paraId="07793B81" w14:textId="4FC44390" w:rsidR="007C114B" w:rsidRPr="00193D76" w:rsidRDefault="007C114B">
      <w:pPr>
        <w:rPr>
          <w:del w:id="14037" w:author="AbbVie02no" w:date="2025-05-15T14:19:00Z"/>
          <w:sz w:val="22"/>
          <w:szCs w:val="22"/>
        </w:rPr>
        <w:pPrChange w:id="14038" w:author="AbbVie02no" w:date="2025-05-15T14:19:00Z">
          <w:pPr>
            <w:tabs>
              <w:tab w:val="left" w:pos="720"/>
            </w:tabs>
            <w:suppressAutoHyphens/>
            <w:ind w:left="720" w:hanging="720"/>
            <w:jc w:val="center"/>
          </w:pPr>
        </w:pPrChange>
      </w:pPr>
    </w:p>
    <w:p w14:paraId="50EC7BCC" w14:textId="1295A29C" w:rsidR="007C114B" w:rsidRPr="009C5EFD" w:rsidRDefault="00E453CD">
      <w:pPr>
        <w:rPr>
          <w:del w:id="14039" w:author="AbbVie02no" w:date="2025-05-15T14:19:00Z"/>
          <w:sz w:val="22"/>
          <w:szCs w:val="22"/>
        </w:rPr>
        <w:pPrChange w:id="14040" w:author="AbbVie02no" w:date="2025-05-15T14:19:00Z">
          <w:pPr>
            <w:numPr>
              <w:numId w:val="48"/>
            </w:numPr>
            <w:tabs>
              <w:tab w:val="num" w:pos="720"/>
            </w:tabs>
            <w:suppressAutoHyphens/>
            <w:ind w:left="720" w:hanging="720"/>
          </w:pPr>
        </w:pPrChange>
      </w:pPr>
      <w:del w:id="14041" w:author="AbbVie02no" w:date="2025-05-15T14:19:00Z">
        <w:r w:rsidRPr="002D0790">
          <w:rPr>
            <w:sz w:val="22"/>
            <w:szCs w:val="22"/>
          </w:rPr>
          <w:delText xml:space="preserve">Fjern </w:delText>
        </w:r>
        <w:r w:rsidR="008138BF">
          <w:rPr>
            <w:sz w:val="22"/>
            <w:szCs w:val="22"/>
          </w:rPr>
          <w:delText>kanyl</w:delText>
        </w:r>
        <w:r w:rsidR="00834F67" w:rsidRPr="00C07C98">
          <w:rPr>
            <w:sz w:val="22"/>
            <w:szCs w:val="22"/>
          </w:rPr>
          <w:delText>ens</w:delText>
        </w:r>
        <w:r w:rsidRPr="00E14E58">
          <w:rPr>
            <w:sz w:val="22"/>
            <w:szCs w:val="22"/>
          </w:rPr>
          <w:delText xml:space="preserve"> klare </w:delText>
        </w:r>
        <w:r w:rsidR="00E1458E">
          <w:rPr>
            <w:sz w:val="22"/>
            <w:szCs w:val="22"/>
          </w:rPr>
          <w:delText>kanylehette</w:delText>
        </w:r>
        <w:r w:rsidR="000F515B" w:rsidRPr="009C5EFD">
          <w:rPr>
            <w:sz w:val="22"/>
            <w:szCs w:val="22"/>
          </w:rPr>
          <w:delText xml:space="preserve"> </w:delText>
        </w:r>
        <w:r w:rsidRPr="009C5EFD">
          <w:rPr>
            <w:sz w:val="22"/>
            <w:szCs w:val="22"/>
          </w:rPr>
          <w:delText>ved å trekke den rett opp med den andre hånden.</w:delText>
        </w:r>
      </w:del>
    </w:p>
    <w:p w14:paraId="1B561E96" w14:textId="118C04EE" w:rsidR="007C114B" w:rsidRPr="009C5EFD" w:rsidRDefault="007C114B">
      <w:pPr>
        <w:rPr>
          <w:del w:id="14042" w:author="AbbVie02no" w:date="2025-05-15T14:19:00Z"/>
          <w:b/>
          <w:sz w:val="22"/>
          <w:szCs w:val="22"/>
        </w:rPr>
        <w:pPrChange w:id="14043" w:author="AbbVie02no" w:date="2025-05-15T14:19:00Z">
          <w:pPr>
            <w:tabs>
              <w:tab w:val="left" w:pos="720"/>
            </w:tabs>
            <w:suppressAutoHyphens/>
            <w:ind w:left="720" w:hanging="720"/>
          </w:pPr>
        </w:pPrChange>
      </w:pPr>
    </w:p>
    <w:p w14:paraId="51E017A3" w14:textId="5C0EC9D1" w:rsidR="006F409A" w:rsidRPr="007F67EE" w:rsidRDefault="00E453CD">
      <w:pPr>
        <w:rPr>
          <w:del w:id="14044" w:author="AbbVie02no" w:date="2025-05-15T14:19:00Z"/>
          <w:sz w:val="22"/>
          <w:szCs w:val="22"/>
        </w:rPr>
        <w:pPrChange w:id="14045" w:author="AbbVie02no" w:date="2025-05-15T14:19:00Z">
          <w:pPr>
            <w:tabs>
              <w:tab w:val="left" w:pos="720"/>
            </w:tabs>
            <w:suppressAutoHyphens/>
            <w:ind w:left="720" w:hanging="720"/>
            <w:jc w:val="center"/>
          </w:pPr>
        </w:pPrChange>
      </w:pPr>
      <w:del w:id="14046" w:author="AbbVie02no" w:date="2025-05-15T14:19:00Z">
        <w:r>
          <w:rPr>
            <w:noProof/>
            <w:lang w:val="en-GB" w:eastAsia="en-GB"/>
          </w:rPr>
          <w:drawing>
            <wp:inline distT="0" distB="0" distL="0" distR="0" wp14:anchorId="334BB2AF" wp14:editId="7A12AF53">
              <wp:extent cx="1819275" cy="18288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819275" cy="1828800"/>
                      </a:xfrm>
                      <a:prstGeom prst="rect">
                        <a:avLst/>
                      </a:prstGeom>
                      <a:noFill/>
                      <a:ln>
                        <a:noFill/>
                      </a:ln>
                    </pic:spPr>
                  </pic:pic>
                </a:graphicData>
              </a:graphic>
            </wp:inline>
          </w:drawing>
        </w:r>
      </w:del>
    </w:p>
    <w:p w14:paraId="1CF7BC6E" w14:textId="3E6138C8" w:rsidR="004B42E4" w:rsidRPr="00193D76" w:rsidRDefault="004B42E4">
      <w:pPr>
        <w:rPr>
          <w:del w:id="14047" w:author="AbbVie02no" w:date="2025-05-15T14:19:00Z"/>
          <w:sz w:val="22"/>
          <w:szCs w:val="22"/>
        </w:rPr>
        <w:pPrChange w:id="14048" w:author="AbbVie02no" w:date="2025-05-15T14:19:00Z">
          <w:pPr>
            <w:tabs>
              <w:tab w:val="left" w:pos="720"/>
            </w:tabs>
            <w:suppressAutoHyphens/>
            <w:ind w:left="720" w:hanging="720"/>
          </w:pPr>
        </w:pPrChange>
      </w:pPr>
    </w:p>
    <w:p w14:paraId="6704973C" w14:textId="3E9DD520" w:rsidR="004B42E4" w:rsidRPr="002D0790" w:rsidRDefault="00E453CD">
      <w:pPr>
        <w:rPr>
          <w:del w:id="14049" w:author="AbbVie02no" w:date="2025-05-15T14:19:00Z"/>
          <w:sz w:val="22"/>
          <w:szCs w:val="22"/>
        </w:rPr>
        <w:pPrChange w:id="14050" w:author="AbbVie02no" w:date="2025-05-15T14:19:00Z">
          <w:pPr>
            <w:numPr>
              <w:numId w:val="48"/>
            </w:numPr>
            <w:tabs>
              <w:tab w:val="num" w:pos="720"/>
            </w:tabs>
            <w:suppressAutoHyphens/>
            <w:ind w:left="720" w:hanging="720"/>
          </w:pPr>
        </w:pPrChange>
      </w:pPr>
      <w:del w:id="14051" w:author="AbbVie02no" w:date="2025-05-15T14:19:00Z">
        <w:r>
          <w:rPr>
            <w:sz w:val="22"/>
            <w:szCs w:val="22"/>
          </w:rPr>
          <w:delText>Kanyl</w:delText>
        </w:r>
        <w:r w:rsidRPr="002D0790">
          <w:rPr>
            <w:sz w:val="22"/>
            <w:szCs w:val="22"/>
          </w:rPr>
          <w:delText>en er ren.</w:delText>
        </w:r>
      </w:del>
    </w:p>
    <w:p w14:paraId="362AB961" w14:textId="24D1FB40" w:rsidR="004B42E4" w:rsidRPr="009C5EFD" w:rsidRDefault="00E453CD">
      <w:pPr>
        <w:rPr>
          <w:del w:id="14052" w:author="AbbVie02no" w:date="2025-05-15T14:19:00Z"/>
          <w:sz w:val="22"/>
          <w:szCs w:val="22"/>
        </w:rPr>
        <w:pPrChange w:id="14053" w:author="AbbVie02no" w:date="2025-05-15T14:19:00Z">
          <w:pPr>
            <w:numPr>
              <w:numId w:val="48"/>
            </w:numPr>
            <w:tabs>
              <w:tab w:val="num" w:pos="720"/>
            </w:tabs>
            <w:suppressAutoHyphens/>
            <w:ind w:left="720" w:hanging="720"/>
          </w:pPr>
        </w:pPrChange>
      </w:pPr>
      <w:del w:id="14054" w:author="AbbVie02no" w:date="2025-05-15T14:19:00Z">
        <w:r w:rsidRPr="00C07C98">
          <w:rPr>
            <w:b/>
            <w:sz w:val="22"/>
            <w:szCs w:val="22"/>
          </w:rPr>
          <w:delText>IKKE</w:delText>
        </w:r>
        <w:r w:rsidRPr="00E14E58">
          <w:rPr>
            <w:sz w:val="22"/>
            <w:szCs w:val="22"/>
          </w:rPr>
          <w:delText xml:space="preserve"> </w:delText>
        </w:r>
        <w:r w:rsidRPr="009C5EFD">
          <w:rPr>
            <w:sz w:val="22"/>
            <w:szCs w:val="22"/>
          </w:rPr>
          <w:delText xml:space="preserve">rør </w:delText>
        </w:r>
        <w:r w:rsidR="008138BF">
          <w:rPr>
            <w:sz w:val="22"/>
            <w:szCs w:val="22"/>
          </w:rPr>
          <w:delText>kanyl</w:delText>
        </w:r>
        <w:r w:rsidRPr="009C5EFD">
          <w:rPr>
            <w:sz w:val="22"/>
            <w:szCs w:val="22"/>
          </w:rPr>
          <w:delText>en.</w:delText>
        </w:r>
      </w:del>
    </w:p>
    <w:p w14:paraId="20169D40" w14:textId="59D4F852" w:rsidR="004B42E4" w:rsidRPr="009C5EFD" w:rsidRDefault="00E453CD">
      <w:pPr>
        <w:rPr>
          <w:del w:id="14055" w:author="AbbVie02no" w:date="2025-05-15T14:19:00Z"/>
          <w:sz w:val="22"/>
          <w:szCs w:val="22"/>
        </w:rPr>
        <w:pPrChange w:id="14056" w:author="AbbVie02no" w:date="2025-05-15T14:19:00Z">
          <w:pPr>
            <w:numPr>
              <w:numId w:val="48"/>
            </w:numPr>
            <w:tabs>
              <w:tab w:val="num" w:pos="720"/>
            </w:tabs>
            <w:suppressAutoHyphens/>
            <w:ind w:left="720" w:hanging="720"/>
          </w:pPr>
        </w:pPrChange>
      </w:pPr>
      <w:del w:id="14057" w:author="AbbVie02no" w:date="2025-05-15T14:19:00Z">
        <w:r w:rsidRPr="009C5EFD">
          <w:rPr>
            <w:b/>
            <w:sz w:val="22"/>
            <w:szCs w:val="22"/>
          </w:rPr>
          <w:delText>IKKE</w:delText>
        </w:r>
        <w:r w:rsidRPr="009C5EFD">
          <w:rPr>
            <w:sz w:val="22"/>
            <w:szCs w:val="22"/>
          </w:rPr>
          <w:delText xml:space="preserve"> legg sprøyten ned </w:delText>
        </w:r>
        <w:r w:rsidR="00451378" w:rsidRPr="009C5EFD">
          <w:rPr>
            <w:sz w:val="22"/>
            <w:szCs w:val="22"/>
          </w:rPr>
          <w:delText xml:space="preserve">på noe tidspunkt </w:delText>
        </w:r>
        <w:r w:rsidRPr="009C5EFD">
          <w:rPr>
            <w:sz w:val="22"/>
            <w:szCs w:val="22"/>
          </w:rPr>
          <w:delText xml:space="preserve">etter at den klare </w:delText>
        </w:r>
        <w:r w:rsidR="00E1458E">
          <w:rPr>
            <w:sz w:val="22"/>
            <w:szCs w:val="22"/>
          </w:rPr>
          <w:delText>kanylehette</w:delText>
        </w:r>
        <w:r w:rsidR="004305DE">
          <w:rPr>
            <w:sz w:val="22"/>
            <w:szCs w:val="22"/>
          </w:rPr>
          <w:delText>n</w:delText>
        </w:r>
        <w:r w:rsidR="000F515B" w:rsidRPr="009C5EFD">
          <w:rPr>
            <w:sz w:val="22"/>
            <w:szCs w:val="22"/>
          </w:rPr>
          <w:delText xml:space="preserve"> </w:delText>
        </w:r>
        <w:r w:rsidRPr="009C5EFD">
          <w:rPr>
            <w:sz w:val="22"/>
            <w:szCs w:val="22"/>
          </w:rPr>
          <w:delText>er av.</w:delText>
        </w:r>
      </w:del>
    </w:p>
    <w:p w14:paraId="1E9B6004" w14:textId="2973298A" w:rsidR="004B42E4" w:rsidRPr="009C5EFD" w:rsidRDefault="00E453CD">
      <w:pPr>
        <w:rPr>
          <w:del w:id="14058" w:author="AbbVie02no" w:date="2025-05-15T14:19:00Z"/>
          <w:sz w:val="22"/>
          <w:szCs w:val="22"/>
        </w:rPr>
        <w:pPrChange w:id="14059" w:author="AbbVie02no" w:date="2025-05-15T14:19:00Z">
          <w:pPr>
            <w:numPr>
              <w:numId w:val="48"/>
            </w:numPr>
            <w:tabs>
              <w:tab w:val="num" w:pos="720"/>
            </w:tabs>
            <w:suppressAutoHyphens/>
            <w:ind w:left="720" w:hanging="720"/>
          </w:pPr>
        </w:pPrChange>
      </w:pPr>
      <w:del w:id="14060" w:author="AbbVie02no" w:date="2025-05-15T14:19:00Z">
        <w:r w:rsidRPr="009C5EFD">
          <w:rPr>
            <w:b/>
            <w:sz w:val="22"/>
            <w:szCs w:val="22"/>
          </w:rPr>
          <w:delText>IKKE</w:delText>
        </w:r>
        <w:r w:rsidRPr="009C5EFD">
          <w:rPr>
            <w:sz w:val="22"/>
            <w:szCs w:val="22"/>
          </w:rPr>
          <w:delText xml:space="preserve"> prøv å sette den klare </w:delText>
        </w:r>
        <w:r w:rsidR="00E1458E">
          <w:rPr>
            <w:sz w:val="22"/>
            <w:szCs w:val="22"/>
          </w:rPr>
          <w:delText>kanylehette</w:delText>
        </w:r>
        <w:r w:rsidR="004305DE">
          <w:rPr>
            <w:sz w:val="22"/>
            <w:szCs w:val="22"/>
          </w:rPr>
          <w:delText>n</w:delText>
        </w:r>
        <w:r w:rsidR="0056261D" w:rsidRPr="009C5EFD">
          <w:rPr>
            <w:sz w:val="22"/>
            <w:szCs w:val="22"/>
          </w:rPr>
          <w:delText xml:space="preserve"> </w:delText>
        </w:r>
        <w:r w:rsidRPr="009C5EFD">
          <w:rPr>
            <w:sz w:val="22"/>
            <w:szCs w:val="22"/>
          </w:rPr>
          <w:delText xml:space="preserve">tilbake på </w:delText>
        </w:r>
        <w:r w:rsidR="008138BF">
          <w:rPr>
            <w:sz w:val="22"/>
            <w:szCs w:val="22"/>
          </w:rPr>
          <w:delText>kanyl</w:delText>
        </w:r>
        <w:r w:rsidRPr="009C5EFD">
          <w:rPr>
            <w:sz w:val="22"/>
            <w:szCs w:val="22"/>
          </w:rPr>
          <w:delText>en.</w:delText>
        </w:r>
      </w:del>
    </w:p>
    <w:p w14:paraId="49BF4308" w14:textId="4BFBA25E" w:rsidR="004B42E4" w:rsidRPr="009C5EFD" w:rsidRDefault="00E453CD">
      <w:pPr>
        <w:rPr>
          <w:del w:id="14061" w:author="AbbVie02no" w:date="2025-05-15T14:19:00Z"/>
          <w:sz w:val="22"/>
          <w:szCs w:val="22"/>
        </w:rPr>
        <w:pPrChange w:id="14062" w:author="AbbVie02no" w:date="2025-05-15T14:19:00Z">
          <w:pPr>
            <w:numPr>
              <w:numId w:val="48"/>
            </w:numPr>
            <w:tabs>
              <w:tab w:val="num" w:pos="720"/>
            </w:tabs>
            <w:suppressAutoHyphens/>
            <w:ind w:left="720" w:hanging="720"/>
          </w:pPr>
        </w:pPrChange>
      </w:pPr>
      <w:del w:id="14063" w:author="AbbVie02no" w:date="2025-05-15T14:19:00Z">
        <w:r w:rsidRPr="009C5EFD">
          <w:rPr>
            <w:sz w:val="22"/>
            <w:szCs w:val="22"/>
          </w:rPr>
          <w:delText xml:space="preserve">Hold sprøyten i øyehøyde med </w:delText>
        </w:r>
        <w:r w:rsidR="008138BF">
          <w:rPr>
            <w:sz w:val="22"/>
            <w:szCs w:val="22"/>
          </w:rPr>
          <w:delText>kanyl</w:delText>
        </w:r>
        <w:r w:rsidRPr="009C5EFD">
          <w:rPr>
            <w:sz w:val="22"/>
            <w:szCs w:val="22"/>
          </w:rPr>
          <w:delText>en pekende opp for å se mengden klart. Vær forsiktig med å ikke sprute de</w:delText>
        </w:r>
        <w:r w:rsidR="00F82487">
          <w:rPr>
            <w:sz w:val="22"/>
            <w:szCs w:val="22"/>
          </w:rPr>
          <w:delText>t</w:delText>
        </w:r>
        <w:r w:rsidRPr="009C5EFD">
          <w:rPr>
            <w:sz w:val="22"/>
            <w:szCs w:val="22"/>
          </w:rPr>
          <w:delText xml:space="preserve"> flytende </w:delText>
        </w:r>
        <w:r w:rsidR="00F82487">
          <w:rPr>
            <w:sz w:val="22"/>
            <w:szCs w:val="22"/>
          </w:rPr>
          <w:delText>legemidlet</w:delText>
        </w:r>
        <w:r w:rsidRPr="009C5EFD">
          <w:rPr>
            <w:sz w:val="22"/>
            <w:szCs w:val="22"/>
          </w:rPr>
          <w:delText xml:space="preserve"> i øyet.</w:delText>
        </w:r>
      </w:del>
    </w:p>
    <w:p w14:paraId="497B71FB" w14:textId="483B6C9F" w:rsidR="004B42E4" w:rsidRPr="009C5EFD" w:rsidRDefault="00E453CD">
      <w:pPr>
        <w:rPr>
          <w:del w:id="14064" w:author="AbbVie02no" w:date="2025-05-15T14:19:00Z"/>
          <w:sz w:val="22"/>
          <w:szCs w:val="22"/>
        </w:rPr>
        <w:pPrChange w:id="14065" w:author="AbbVie02no" w:date="2025-05-15T14:19:00Z">
          <w:pPr>
            <w:numPr>
              <w:numId w:val="48"/>
            </w:numPr>
            <w:tabs>
              <w:tab w:val="num" w:pos="720"/>
            </w:tabs>
            <w:suppressAutoHyphens/>
            <w:ind w:left="720" w:hanging="720"/>
          </w:pPr>
        </w:pPrChange>
      </w:pPr>
      <w:del w:id="14066" w:author="AbbVie02no" w:date="2025-05-15T14:19:00Z">
        <w:r w:rsidRPr="009C5EFD">
          <w:rPr>
            <w:sz w:val="22"/>
            <w:szCs w:val="22"/>
          </w:rPr>
          <w:delText xml:space="preserve">Kontroller </w:delText>
        </w:r>
        <w:r w:rsidR="00451378" w:rsidRPr="009C5EFD">
          <w:rPr>
            <w:sz w:val="22"/>
            <w:szCs w:val="22"/>
          </w:rPr>
          <w:delText xml:space="preserve">den forskrevne </w:delText>
        </w:r>
        <w:r w:rsidR="00A45FA9" w:rsidRPr="009C5EFD">
          <w:rPr>
            <w:sz w:val="22"/>
            <w:szCs w:val="22"/>
          </w:rPr>
          <w:delText>mengden</w:delText>
        </w:r>
        <w:r w:rsidR="00451378" w:rsidRPr="009C5EFD">
          <w:rPr>
            <w:sz w:val="22"/>
            <w:szCs w:val="22"/>
          </w:rPr>
          <w:delText xml:space="preserve"> </w:delText>
        </w:r>
        <w:r w:rsidR="00F82487">
          <w:rPr>
            <w:sz w:val="22"/>
            <w:szCs w:val="22"/>
          </w:rPr>
          <w:delText>legemiddel</w:delText>
        </w:r>
        <w:r w:rsidR="00A45FA9" w:rsidRPr="009C5EFD">
          <w:rPr>
            <w:sz w:val="22"/>
            <w:szCs w:val="22"/>
          </w:rPr>
          <w:delText xml:space="preserve"> </w:delText>
        </w:r>
        <w:r w:rsidR="00451378" w:rsidRPr="009C5EFD">
          <w:rPr>
            <w:sz w:val="22"/>
            <w:szCs w:val="22"/>
          </w:rPr>
          <w:delText>igjen</w:delText>
        </w:r>
        <w:r w:rsidRPr="009C5EFD">
          <w:rPr>
            <w:sz w:val="22"/>
            <w:szCs w:val="22"/>
          </w:rPr>
          <w:delText>.</w:delText>
        </w:r>
      </w:del>
    </w:p>
    <w:p w14:paraId="1FD08F7D" w14:textId="41A07DDD" w:rsidR="004B42E4" w:rsidRPr="009C5EFD" w:rsidRDefault="00E453CD">
      <w:pPr>
        <w:rPr>
          <w:del w:id="14067" w:author="AbbVie02no" w:date="2025-05-15T14:19:00Z"/>
          <w:sz w:val="22"/>
          <w:szCs w:val="22"/>
        </w:rPr>
        <w:pPrChange w:id="14068" w:author="AbbVie02no" w:date="2025-05-15T14:19:00Z">
          <w:pPr>
            <w:numPr>
              <w:numId w:val="48"/>
            </w:numPr>
            <w:tabs>
              <w:tab w:val="num" w:pos="720"/>
            </w:tabs>
            <w:suppressAutoHyphens/>
            <w:ind w:left="720" w:hanging="720"/>
          </w:pPr>
        </w:pPrChange>
      </w:pPr>
      <w:del w:id="14069" w:author="AbbVie02no" w:date="2025-05-15T14:19:00Z">
        <w:r w:rsidRPr="009C5EFD">
          <w:rPr>
            <w:sz w:val="22"/>
            <w:szCs w:val="22"/>
          </w:rPr>
          <w:delText xml:space="preserve">Skyv </w:delText>
        </w:r>
        <w:r w:rsidR="00A45FA9" w:rsidRPr="009C5EFD">
          <w:rPr>
            <w:sz w:val="22"/>
            <w:szCs w:val="22"/>
          </w:rPr>
          <w:delText xml:space="preserve">den </w:delText>
        </w:r>
        <w:r w:rsidRPr="009C5EFD">
          <w:rPr>
            <w:sz w:val="22"/>
            <w:szCs w:val="22"/>
          </w:rPr>
          <w:delText>hvite stempel</w:delText>
        </w:r>
        <w:r w:rsidR="00A45FA9" w:rsidRPr="009C5EFD">
          <w:rPr>
            <w:sz w:val="22"/>
            <w:szCs w:val="22"/>
          </w:rPr>
          <w:delText>stangen</w:delText>
        </w:r>
        <w:r w:rsidRPr="009C5EFD">
          <w:rPr>
            <w:sz w:val="22"/>
            <w:szCs w:val="22"/>
          </w:rPr>
          <w:delText xml:space="preserve"> forsiktig inn i sprøyten inntil sprøyten inneholder den foreskrevne mengde </w:delText>
        </w:r>
        <w:r w:rsidR="00A45FA9" w:rsidRPr="009C5EFD">
          <w:rPr>
            <w:sz w:val="22"/>
            <w:szCs w:val="22"/>
          </w:rPr>
          <w:delText xml:space="preserve">med </w:delText>
        </w:r>
        <w:r w:rsidRPr="009C5EFD">
          <w:rPr>
            <w:sz w:val="22"/>
            <w:szCs w:val="22"/>
          </w:rPr>
          <w:delText xml:space="preserve">væske. Overflødig væske kan komme ut av </w:delText>
        </w:r>
        <w:r w:rsidR="008138BF">
          <w:rPr>
            <w:sz w:val="22"/>
            <w:szCs w:val="22"/>
          </w:rPr>
          <w:delText>kanyl</w:delText>
        </w:r>
        <w:r w:rsidRPr="009C5EFD">
          <w:rPr>
            <w:sz w:val="22"/>
            <w:szCs w:val="22"/>
          </w:rPr>
          <w:delText>en mens den hvite stempel</w:delText>
        </w:r>
        <w:r w:rsidR="00A45FA9" w:rsidRPr="009C5EFD">
          <w:rPr>
            <w:sz w:val="22"/>
            <w:szCs w:val="22"/>
          </w:rPr>
          <w:delText>stangen</w:delText>
        </w:r>
        <w:r w:rsidRPr="009C5EFD">
          <w:rPr>
            <w:sz w:val="22"/>
            <w:szCs w:val="22"/>
          </w:rPr>
          <w:delText xml:space="preserve"> </w:delText>
        </w:r>
        <w:r w:rsidR="00A45FA9" w:rsidRPr="009C5EFD">
          <w:rPr>
            <w:sz w:val="22"/>
            <w:szCs w:val="22"/>
          </w:rPr>
          <w:delText>presses</w:delText>
        </w:r>
        <w:r w:rsidRPr="009C5EFD">
          <w:rPr>
            <w:sz w:val="22"/>
            <w:szCs w:val="22"/>
          </w:rPr>
          <w:delText xml:space="preserve">. </w:delText>
        </w:r>
        <w:r w:rsidRPr="009C5EFD">
          <w:rPr>
            <w:b/>
            <w:sz w:val="22"/>
            <w:szCs w:val="22"/>
          </w:rPr>
          <w:delText>IKKE</w:delText>
        </w:r>
        <w:r w:rsidRPr="009C5EFD">
          <w:rPr>
            <w:sz w:val="22"/>
            <w:szCs w:val="22"/>
          </w:rPr>
          <w:delText xml:space="preserve"> tørk av </w:delText>
        </w:r>
        <w:r w:rsidR="008138BF">
          <w:rPr>
            <w:sz w:val="22"/>
            <w:szCs w:val="22"/>
          </w:rPr>
          <w:delText>kanyl</w:delText>
        </w:r>
        <w:r w:rsidRPr="009C5EFD">
          <w:rPr>
            <w:sz w:val="22"/>
            <w:szCs w:val="22"/>
          </w:rPr>
          <w:delText>en eller sprøyten.</w:delText>
        </w:r>
      </w:del>
    </w:p>
    <w:p w14:paraId="1F1D7811" w14:textId="4509603A" w:rsidR="004B42E4" w:rsidRPr="009C5EFD" w:rsidRDefault="004B42E4">
      <w:pPr>
        <w:rPr>
          <w:del w:id="14070" w:author="AbbVie02no" w:date="2025-05-15T14:19:00Z"/>
          <w:b/>
          <w:sz w:val="22"/>
          <w:szCs w:val="22"/>
        </w:rPr>
        <w:pPrChange w:id="14071" w:author="AbbVie02no" w:date="2025-05-15T14:19:00Z">
          <w:pPr>
            <w:tabs>
              <w:tab w:val="left" w:pos="720"/>
            </w:tabs>
            <w:suppressAutoHyphens/>
            <w:ind w:left="720" w:hanging="720"/>
          </w:pPr>
        </w:pPrChange>
      </w:pPr>
    </w:p>
    <w:p w14:paraId="4893ECDB" w14:textId="27866166" w:rsidR="00FF0116" w:rsidRPr="00FF0116" w:rsidRDefault="00E453CD">
      <w:pPr>
        <w:rPr>
          <w:del w:id="14072" w:author="AbbVie02no" w:date="2025-05-15T14:19:00Z"/>
        </w:rPr>
        <w:pPrChange w:id="14073" w:author="AbbVie02no" w:date="2025-05-15T14:19:00Z">
          <w:pPr>
            <w:pStyle w:val="Heading3"/>
            <w:suppressAutoHyphens/>
            <w:ind w:left="562" w:hanging="562"/>
          </w:pPr>
        </w:pPrChange>
      </w:pPr>
      <w:del w:id="14074" w:author="AbbVie02no" w:date="2025-05-15T14:19:00Z">
        <w:r w:rsidRPr="00AF70AD">
          <w:delText>5)</w:delText>
        </w:r>
        <w:r w:rsidRPr="00AF70AD">
          <w:rPr>
            <w:rFonts w:ascii="Times New Roman Bold" w:hAnsi="Times New Roman Bold"/>
          </w:rPr>
          <w:delText xml:space="preserve"> </w:delText>
        </w:r>
        <w:r w:rsidRPr="00AF70AD">
          <w:rPr>
            <w:rFonts w:ascii="Times New Roman Bold" w:hAnsi="Times New Roman Bold"/>
          </w:rPr>
          <w:tab/>
        </w:r>
        <w:r w:rsidRPr="009C5EFD">
          <w:rPr>
            <w:szCs w:val="22"/>
          </w:rPr>
          <w:delText>Injeksjon av Humira</w:delText>
        </w:r>
      </w:del>
    </w:p>
    <w:p w14:paraId="6DF26EBD" w14:textId="69533CC0" w:rsidR="003F1489" w:rsidRPr="009C5EFD" w:rsidRDefault="003F1489">
      <w:pPr>
        <w:rPr>
          <w:del w:id="14075" w:author="AbbVie02no" w:date="2025-05-15T14:19:00Z"/>
        </w:rPr>
        <w:pPrChange w:id="14076" w:author="AbbVie02no" w:date="2025-05-15T14:19:00Z">
          <w:pPr>
            <w:keepNext/>
          </w:pPr>
        </w:pPrChange>
      </w:pPr>
    </w:p>
    <w:p w14:paraId="088F390E" w14:textId="6B702B98" w:rsidR="00DE3458" w:rsidRPr="009C5EFD" w:rsidRDefault="00E453CD">
      <w:pPr>
        <w:rPr>
          <w:del w:id="14077" w:author="AbbVie02no" w:date="2025-05-15T14:19:00Z"/>
          <w:sz w:val="22"/>
          <w:szCs w:val="22"/>
        </w:rPr>
        <w:pPrChange w:id="14078" w:author="AbbVie02no" w:date="2025-05-15T14:19:00Z">
          <w:pPr>
            <w:numPr>
              <w:numId w:val="6"/>
            </w:numPr>
            <w:tabs>
              <w:tab w:val="num" w:pos="567"/>
              <w:tab w:val="num" w:pos="720"/>
            </w:tabs>
            <w:suppressAutoHyphens/>
            <w:ind w:left="567" w:hanging="567"/>
          </w:pPr>
        </w:pPrChange>
      </w:pPr>
      <w:del w:id="14079" w:author="AbbVie02no" w:date="2025-05-15T14:19:00Z">
        <w:r w:rsidRPr="009C5EFD">
          <w:rPr>
            <w:sz w:val="22"/>
            <w:szCs w:val="22"/>
          </w:rPr>
          <w:delText xml:space="preserve">Ta forsiktig tak i den rengjorte huden med den </w:delText>
        </w:r>
        <w:r w:rsidR="00A45FA9" w:rsidRPr="009C5EFD">
          <w:rPr>
            <w:sz w:val="22"/>
            <w:szCs w:val="22"/>
          </w:rPr>
          <w:delText>frie</w:delText>
        </w:r>
        <w:r w:rsidRPr="009C5EFD">
          <w:rPr>
            <w:sz w:val="22"/>
            <w:szCs w:val="22"/>
          </w:rPr>
          <w:delText xml:space="preserve"> hånden og hold fast.</w:delText>
        </w:r>
      </w:del>
    </w:p>
    <w:p w14:paraId="798C933E" w14:textId="03D66D3F" w:rsidR="00DE3458" w:rsidRPr="009C5EFD" w:rsidRDefault="00E453CD">
      <w:pPr>
        <w:rPr>
          <w:del w:id="14080" w:author="AbbVie02no" w:date="2025-05-15T14:19:00Z"/>
          <w:sz w:val="22"/>
          <w:szCs w:val="22"/>
        </w:rPr>
        <w:pPrChange w:id="14081" w:author="AbbVie02no" w:date="2025-05-15T14:19:00Z">
          <w:pPr>
            <w:numPr>
              <w:numId w:val="6"/>
            </w:numPr>
            <w:tabs>
              <w:tab w:val="num" w:pos="567"/>
              <w:tab w:val="num" w:pos="720"/>
            </w:tabs>
            <w:suppressAutoHyphens/>
            <w:ind w:left="567" w:hanging="567"/>
          </w:pPr>
        </w:pPrChange>
      </w:pPr>
      <w:del w:id="14082" w:author="AbbVie02no" w:date="2025-05-15T14:19:00Z">
        <w:r w:rsidRPr="009C5EFD">
          <w:rPr>
            <w:sz w:val="22"/>
            <w:szCs w:val="22"/>
          </w:rPr>
          <w:delText>Hold sprøyten med den andre hånden i 45-graders vinkel til huden.</w:delText>
        </w:r>
      </w:del>
    </w:p>
    <w:p w14:paraId="20F9A477" w14:textId="0C62C641" w:rsidR="00DE3458" w:rsidRPr="009C5EFD" w:rsidRDefault="00E453CD">
      <w:pPr>
        <w:rPr>
          <w:del w:id="14083" w:author="AbbVie02no" w:date="2025-05-15T14:19:00Z"/>
          <w:sz w:val="22"/>
          <w:szCs w:val="22"/>
        </w:rPr>
        <w:pPrChange w:id="14084" w:author="AbbVie02no" w:date="2025-05-15T14:19:00Z">
          <w:pPr>
            <w:numPr>
              <w:numId w:val="6"/>
            </w:numPr>
            <w:tabs>
              <w:tab w:val="num" w:pos="567"/>
              <w:tab w:val="num" w:pos="720"/>
            </w:tabs>
            <w:suppressAutoHyphens/>
            <w:ind w:left="567" w:hanging="567"/>
          </w:pPr>
        </w:pPrChange>
      </w:pPr>
      <w:del w:id="14085" w:author="AbbVie02no" w:date="2025-05-15T14:19:00Z">
        <w:r w:rsidRPr="009C5EFD">
          <w:rPr>
            <w:sz w:val="22"/>
            <w:szCs w:val="22"/>
          </w:rPr>
          <w:delText xml:space="preserve">Trykk </w:delText>
        </w:r>
        <w:r w:rsidR="008138BF">
          <w:rPr>
            <w:sz w:val="22"/>
            <w:szCs w:val="22"/>
          </w:rPr>
          <w:delText>kanyl</w:delText>
        </w:r>
        <w:r w:rsidRPr="009C5EFD">
          <w:rPr>
            <w:sz w:val="22"/>
            <w:szCs w:val="22"/>
          </w:rPr>
          <w:delText>en helt gjennom huden med en rask, kortvarig bevegelse.</w:delText>
        </w:r>
      </w:del>
    </w:p>
    <w:p w14:paraId="24273549" w14:textId="32E0ACA2" w:rsidR="00DE3458" w:rsidRPr="009C5EFD" w:rsidRDefault="00E453CD">
      <w:pPr>
        <w:rPr>
          <w:del w:id="14086" w:author="AbbVie02no" w:date="2025-05-15T14:19:00Z"/>
          <w:sz w:val="22"/>
          <w:szCs w:val="22"/>
        </w:rPr>
        <w:pPrChange w:id="14087" w:author="AbbVie02no" w:date="2025-05-15T14:19:00Z">
          <w:pPr>
            <w:numPr>
              <w:numId w:val="6"/>
            </w:numPr>
            <w:tabs>
              <w:tab w:val="num" w:pos="567"/>
              <w:tab w:val="num" w:pos="720"/>
            </w:tabs>
            <w:suppressAutoHyphens/>
            <w:ind w:left="567" w:hanging="567"/>
          </w:pPr>
        </w:pPrChange>
      </w:pPr>
      <w:del w:id="14088" w:author="AbbVie02no" w:date="2025-05-15T14:19:00Z">
        <w:r w:rsidRPr="009C5EFD">
          <w:rPr>
            <w:sz w:val="22"/>
            <w:szCs w:val="22"/>
          </w:rPr>
          <w:delText xml:space="preserve">Slipp taket i huden </w:delText>
        </w:r>
        <w:r w:rsidR="00451378" w:rsidRPr="009C5EFD">
          <w:rPr>
            <w:sz w:val="22"/>
            <w:szCs w:val="22"/>
          </w:rPr>
          <w:delText xml:space="preserve">som du holder i </w:delText>
        </w:r>
        <w:r w:rsidRPr="009C5EFD">
          <w:rPr>
            <w:sz w:val="22"/>
            <w:szCs w:val="22"/>
          </w:rPr>
          <w:delText>hånd</w:delText>
        </w:r>
        <w:r w:rsidR="00451378" w:rsidRPr="009C5EFD">
          <w:rPr>
            <w:sz w:val="22"/>
            <w:szCs w:val="22"/>
          </w:rPr>
          <w:delText>en</w:delText>
        </w:r>
        <w:r w:rsidRPr="009C5EFD">
          <w:rPr>
            <w:sz w:val="22"/>
            <w:szCs w:val="22"/>
          </w:rPr>
          <w:delText xml:space="preserve">. </w:delText>
        </w:r>
      </w:del>
    </w:p>
    <w:p w14:paraId="0F33F303" w14:textId="095BC080" w:rsidR="00DE3458" w:rsidRPr="009C5EFD" w:rsidRDefault="00E453CD">
      <w:pPr>
        <w:rPr>
          <w:del w:id="14089" w:author="AbbVie02no" w:date="2025-05-15T14:19:00Z"/>
          <w:sz w:val="22"/>
          <w:szCs w:val="22"/>
        </w:rPr>
        <w:pPrChange w:id="14090" w:author="AbbVie02no" w:date="2025-05-15T14:19:00Z">
          <w:pPr>
            <w:numPr>
              <w:numId w:val="6"/>
            </w:numPr>
            <w:tabs>
              <w:tab w:val="num" w:pos="567"/>
              <w:tab w:val="num" w:pos="720"/>
            </w:tabs>
            <w:suppressAutoHyphens/>
            <w:ind w:left="567" w:hanging="567"/>
          </w:pPr>
        </w:pPrChange>
      </w:pPr>
      <w:del w:id="14091" w:author="AbbVie02no" w:date="2025-05-15T14:19:00Z">
        <w:r w:rsidRPr="009C5EFD">
          <w:rPr>
            <w:sz w:val="22"/>
            <w:szCs w:val="22"/>
          </w:rPr>
          <w:delText xml:space="preserve">Trykk inn </w:delText>
        </w:r>
        <w:r w:rsidR="003F78E5" w:rsidRPr="009C5EFD">
          <w:rPr>
            <w:sz w:val="22"/>
            <w:szCs w:val="22"/>
          </w:rPr>
          <w:delText xml:space="preserve">den hvite </w:delText>
        </w:r>
        <w:r w:rsidRPr="009C5EFD">
          <w:rPr>
            <w:sz w:val="22"/>
            <w:szCs w:val="22"/>
          </w:rPr>
          <w:delText>stempel</w:delText>
        </w:r>
        <w:r w:rsidR="003F78E5" w:rsidRPr="009C5EFD">
          <w:rPr>
            <w:sz w:val="22"/>
            <w:szCs w:val="22"/>
          </w:rPr>
          <w:delText>stangen for å injisere</w:delText>
        </w:r>
        <w:r w:rsidRPr="009C5EFD">
          <w:rPr>
            <w:sz w:val="22"/>
            <w:szCs w:val="22"/>
          </w:rPr>
          <w:delText xml:space="preserve"> oppløsningen </w:delText>
        </w:r>
        <w:r w:rsidR="003F78E5" w:rsidRPr="009C5EFD">
          <w:rPr>
            <w:sz w:val="22"/>
            <w:szCs w:val="22"/>
          </w:rPr>
          <w:delText>inntil sprøyten er tom.</w:delText>
        </w:r>
      </w:del>
    </w:p>
    <w:p w14:paraId="56FE6420" w14:textId="489A5F02" w:rsidR="00DE3458" w:rsidRPr="009C5EFD" w:rsidRDefault="00E453CD">
      <w:pPr>
        <w:rPr>
          <w:del w:id="14092" w:author="AbbVie02no" w:date="2025-05-15T14:19:00Z"/>
          <w:sz w:val="22"/>
          <w:szCs w:val="22"/>
        </w:rPr>
        <w:pPrChange w:id="14093" w:author="AbbVie02no" w:date="2025-05-15T14:19:00Z">
          <w:pPr>
            <w:numPr>
              <w:numId w:val="6"/>
            </w:numPr>
            <w:tabs>
              <w:tab w:val="num" w:pos="567"/>
              <w:tab w:val="num" w:pos="720"/>
            </w:tabs>
            <w:suppressAutoHyphens/>
            <w:ind w:left="567" w:hanging="567"/>
          </w:pPr>
        </w:pPrChange>
      </w:pPr>
      <w:del w:id="14094" w:author="AbbVie02no" w:date="2025-05-15T14:19:00Z">
        <w:r w:rsidRPr="009C5EFD">
          <w:rPr>
            <w:sz w:val="22"/>
            <w:szCs w:val="22"/>
          </w:rPr>
          <w:delText>Når sprøyten er tom, t</w:delText>
        </w:r>
        <w:r w:rsidR="009246CE" w:rsidRPr="009C5EFD">
          <w:rPr>
            <w:sz w:val="22"/>
            <w:szCs w:val="22"/>
          </w:rPr>
          <w:delText>rekkes</w:delText>
        </w:r>
        <w:r w:rsidRPr="009C5EFD">
          <w:rPr>
            <w:sz w:val="22"/>
            <w:szCs w:val="22"/>
          </w:rPr>
          <w:delText xml:space="preserve"> </w:delText>
        </w:r>
        <w:r w:rsidR="008138BF">
          <w:rPr>
            <w:sz w:val="22"/>
            <w:szCs w:val="22"/>
          </w:rPr>
          <w:delText>kanyl</w:delText>
        </w:r>
        <w:r w:rsidR="009246CE" w:rsidRPr="009C5EFD">
          <w:rPr>
            <w:sz w:val="22"/>
            <w:szCs w:val="22"/>
          </w:rPr>
          <w:delText>en ut av</w:delText>
        </w:r>
        <w:r w:rsidRPr="009C5EFD">
          <w:rPr>
            <w:sz w:val="22"/>
            <w:szCs w:val="22"/>
          </w:rPr>
          <w:delText xml:space="preserve"> huden, </w:delText>
        </w:r>
        <w:r w:rsidR="009246CE" w:rsidRPr="009C5EFD">
          <w:rPr>
            <w:sz w:val="22"/>
            <w:szCs w:val="22"/>
          </w:rPr>
          <w:delText>pass på å trekke den ut i</w:delText>
        </w:r>
        <w:r w:rsidRPr="009C5EFD">
          <w:rPr>
            <w:sz w:val="22"/>
            <w:szCs w:val="22"/>
          </w:rPr>
          <w:delText xml:space="preserve"> samme vinkel som </w:delText>
        </w:r>
        <w:r w:rsidR="009246CE" w:rsidRPr="009C5EFD">
          <w:rPr>
            <w:sz w:val="22"/>
            <w:szCs w:val="22"/>
          </w:rPr>
          <w:delText>den ble stukket inn</w:delText>
        </w:r>
        <w:r w:rsidRPr="009C5EFD">
          <w:rPr>
            <w:sz w:val="22"/>
            <w:szCs w:val="22"/>
          </w:rPr>
          <w:delText>.</w:delText>
        </w:r>
        <w:r w:rsidR="001D0AB0">
          <w:rPr>
            <w:sz w:val="22"/>
            <w:szCs w:val="22"/>
          </w:rPr>
          <w:delText xml:space="preserve"> </w:delText>
        </w:r>
      </w:del>
    </w:p>
    <w:p w14:paraId="7853F5A4" w14:textId="653BA8BD" w:rsidR="006F409A" w:rsidRPr="009C5EFD" w:rsidRDefault="006F409A">
      <w:pPr>
        <w:rPr>
          <w:del w:id="14095" w:author="AbbVie02no" w:date="2025-05-15T14:19:00Z"/>
          <w:sz w:val="22"/>
          <w:szCs w:val="22"/>
        </w:rPr>
        <w:pPrChange w:id="14096" w:author="AbbVie02no" w:date="2025-05-15T14:19:00Z">
          <w:pPr>
            <w:suppressAutoHyphens/>
          </w:pPr>
        </w:pPrChange>
      </w:pPr>
    </w:p>
    <w:p w14:paraId="4803827F" w14:textId="5B4A6C24" w:rsidR="0074798F" w:rsidRPr="00692DC9" w:rsidRDefault="00E453CD">
      <w:pPr>
        <w:rPr>
          <w:del w:id="14097" w:author="AbbVie02no" w:date="2025-05-15T14:19:00Z"/>
          <w:rPrChange w:id="14098" w:author="AbbVie05no" w:date="2025-05-19T11:03:00Z">
            <w:rPr>
              <w:del w:id="14099" w:author="AbbVie02no" w:date="2025-05-15T14:19:00Z"/>
              <w:lang w:val="en-GB"/>
            </w:rPr>
          </w:rPrChange>
        </w:rPr>
        <w:pPrChange w:id="14100" w:author="AbbVie02no" w:date="2025-05-15T14:19:00Z">
          <w:pPr>
            <w:suppressAutoHyphens/>
            <w:jc w:val="center"/>
          </w:pPr>
        </w:pPrChange>
      </w:pPr>
      <w:del w:id="14101" w:author="AbbVie02no" w:date="2025-05-15T14:19:00Z">
        <w:r>
          <w:rPr>
            <w:noProof/>
            <w:lang w:val="en-GB" w:eastAsia="en-GB"/>
          </w:rPr>
          <w:drawing>
            <wp:inline distT="0" distB="0" distL="0" distR="0" wp14:anchorId="39DCF57E" wp14:editId="6CC2C3CE">
              <wp:extent cx="1895475" cy="18573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895475" cy="1857375"/>
                      </a:xfrm>
                      <a:prstGeom prst="rect">
                        <a:avLst/>
                      </a:prstGeom>
                      <a:noFill/>
                      <a:ln>
                        <a:noFill/>
                      </a:ln>
                    </pic:spPr>
                  </pic:pic>
                </a:graphicData>
              </a:graphic>
            </wp:inline>
          </w:drawing>
        </w:r>
      </w:del>
    </w:p>
    <w:p w14:paraId="49B22DF5" w14:textId="51238F99" w:rsidR="006F409A" w:rsidRPr="00193D76" w:rsidRDefault="006F409A">
      <w:pPr>
        <w:rPr>
          <w:del w:id="14102" w:author="AbbVie02no" w:date="2025-05-15T14:19:00Z"/>
          <w:sz w:val="22"/>
          <w:szCs w:val="22"/>
        </w:rPr>
        <w:pPrChange w:id="14103" w:author="AbbVie02no" w:date="2025-05-15T14:19:00Z">
          <w:pPr>
            <w:suppressAutoHyphens/>
            <w:jc w:val="center"/>
          </w:pPr>
        </w:pPrChange>
      </w:pPr>
    </w:p>
    <w:p w14:paraId="5399F874" w14:textId="5B03F1EB" w:rsidR="0074798F" w:rsidRPr="009C5EFD" w:rsidRDefault="00E453CD">
      <w:pPr>
        <w:rPr>
          <w:del w:id="14104" w:author="AbbVie02no" w:date="2025-05-15T14:19:00Z"/>
          <w:sz w:val="22"/>
          <w:szCs w:val="22"/>
        </w:rPr>
        <w:pPrChange w:id="14105" w:author="AbbVie02no" w:date="2025-05-15T14:19:00Z">
          <w:pPr>
            <w:numPr>
              <w:numId w:val="6"/>
            </w:numPr>
            <w:tabs>
              <w:tab w:val="num" w:pos="567"/>
              <w:tab w:val="num" w:pos="720"/>
            </w:tabs>
            <w:suppressAutoHyphens/>
            <w:ind w:left="567" w:hanging="567"/>
          </w:pPr>
        </w:pPrChange>
      </w:pPr>
      <w:del w:id="14106" w:author="AbbVie02no" w:date="2025-05-15T14:19:00Z">
        <w:r w:rsidRPr="002D0790">
          <w:rPr>
            <w:sz w:val="22"/>
            <w:szCs w:val="22"/>
          </w:rPr>
          <w:delText xml:space="preserve">Forsiktig </w:delText>
        </w:r>
        <w:r w:rsidR="00D55095" w:rsidRPr="00C07C98">
          <w:rPr>
            <w:sz w:val="22"/>
            <w:szCs w:val="22"/>
          </w:rPr>
          <w:delText>trekk opp de</w:delText>
        </w:r>
        <w:r w:rsidR="005F4D9C" w:rsidRPr="00E14E58">
          <w:rPr>
            <w:sz w:val="22"/>
            <w:szCs w:val="22"/>
          </w:rPr>
          <w:delText xml:space="preserve">n rosa </w:delText>
        </w:r>
        <w:r w:rsidR="00F61B6F" w:rsidRPr="009C5EFD">
          <w:rPr>
            <w:sz w:val="22"/>
            <w:szCs w:val="22"/>
          </w:rPr>
          <w:delText>kanylebeskytteren</w:delText>
        </w:r>
        <w:r w:rsidRPr="009C5EFD">
          <w:rPr>
            <w:sz w:val="22"/>
            <w:szCs w:val="22"/>
          </w:rPr>
          <w:delText xml:space="preserve"> </w:delText>
        </w:r>
        <w:r w:rsidR="00F61B6F" w:rsidRPr="009C5EFD">
          <w:rPr>
            <w:sz w:val="22"/>
            <w:szCs w:val="22"/>
          </w:rPr>
          <w:delText xml:space="preserve">over </w:delText>
        </w:r>
        <w:r w:rsidR="008138BF">
          <w:rPr>
            <w:sz w:val="22"/>
            <w:szCs w:val="22"/>
          </w:rPr>
          <w:delText>kanyl</w:delText>
        </w:r>
        <w:r w:rsidRPr="009C5EFD">
          <w:rPr>
            <w:sz w:val="22"/>
            <w:szCs w:val="22"/>
          </w:rPr>
          <w:delText xml:space="preserve">en </w:delText>
        </w:r>
        <w:r w:rsidR="00D55095" w:rsidRPr="009C5EFD">
          <w:rPr>
            <w:sz w:val="22"/>
            <w:szCs w:val="22"/>
          </w:rPr>
          <w:delText>til de</w:delText>
        </w:r>
        <w:r w:rsidR="005F4D9C" w:rsidRPr="009C5EFD">
          <w:rPr>
            <w:sz w:val="22"/>
            <w:szCs w:val="22"/>
          </w:rPr>
          <w:delText>n er</w:delText>
        </w:r>
        <w:r w:rsidRPr="009C5EFD">
          <w:rPr>
            <w:sz w:val="22"/>
            <w:szCs w:val="22"/>
          </w:rPr>
          <w:delText xml:space="preserve"> på plass, og </w:delText>
        </w:r>
        <w:r w:rsidR="00D55095" w:rsidRPr="009C5EFD">
          <w:rPr>
            <w:sz w:val="22"/>
            <w:szCs w:val="22"/>
          </w:rPr>
          <w:delText>legg</w:delText>
        </w:r>
        <w:r w:rsidRPr="009C5EFD">
          <w:rPr>
            <w:sz w:val="22"/>
            <w:szCs w:val="22"/>
          </w:rPr>
          <w:delText xml:space="preserve"> sprøy</w:delText>
        </w:r>
        <w:r w:rsidR="005F4D9C" w:rsidRPr="009C5EFD">
          <w:rPr>
            <w:sz w:val="22"/>
            <w:szCs w:val="22"/>
          </w:rPr>
          <w:delText xml:space="preserve">ten med </w:delText>
        </w:r>
        <w:r w:rsidR="008138BF">
          <w:rPr>
            <w:sz w:val="22"/>
            <w:szCs w:val="22"/>
          </w:rPr>
          <w:delText>kanyl</w:delText>
        </w:r>
        <w:r w:rsidR="009246CE" w:rsidRPr="009C5EFD">
          <w:rPr>
            <w:sz w:val="22"/>
            <w:szCs w:val="22"/>
          </w:rPr>
          <w:delText>en</w:delText>
        </w:r>
        <w:r w:rsidR="005F4D9C" w:rsidRPr="009C5EFD">
          <w:rPr>
            <w:sz w:val="22"/>
            <w:szCs w:val="22"/>
          </w:rPr>
          <w:delText xml:space="preserve"> på arbeidsbenk</w:delText>
        </w:r>
        <w:r w:rsidR="009246CE" w:rsidRPr="009C5EFD">
          <w:rPr>
            <w:sz w:val="22"/>
            <w:szCs w:val="22"/>
          </w:rPr>
          <w:delText>en</w:delText>
        </w:r>
        <w:r w:rsidRPr="009C5EFD">
          <w:rPr>
            <w:sz w:val="22"/>
            <w:szCs w:val="22"/>
          </w:rPr>
          <w:delText>.</w:delText>
        </w:r>
        <w:r w:rsidR="00753E55">
          <w:rPr>
            <w:sz w:val="22"/>
            <w:szCs w:val="22"/>
          </w:rPr>
          <w:delText xml:space="preserve"> </w:delText>
        </w:r>
        <w:r w:rsidRPr="009C5EFD">
          <w:rPr>
            <w:b/>
            <w:sz w:val="22"/>
            <w:szCs w:val="22"/>
          </w:rPr>
          <w:delText>IKKE</w:delText>
        </w:r>
        <w:r w:rsidRPr="009C5EFD">
          <w:rPr>
            <w:sz w:val="22"/>
            <w:szCs w:val="22"/>
          </w:rPr>
          <w:delText xml:space="preserve"> plasser </w:delText>
        </w:r>
        <w:r w:rsidR="00D55095" w:rsidRPr="009C5EFD">
          <w:rPr>
            <w:sz w:val="22"/>
            <w:szCs w:val="22"/>
          </w:rPr>
          <w:delText xml:space="preserve">den </w:delText>
        </w:r>
        <w:r w:rsidRPr="009C5EFD">
          <w:rPr>
            <w:sz w:val="22"/>
            <w:szCs w:val="22"/>
          </w:rPr>
          <w:delText xml:space="preserve">klare </w:delText>
        </w:r>
        <w:r w:rsidR="00E1458E">
          <w:rPr>
            <w:sz w:val="22"/>
            <w:szCs w:val="22"/>
          </w:rPr>
          <w:delText>kanylehette</w:delText>
        </w:r>
        <w:r w:rsidR="004305DE">
          <w:rPr>
            <w:sz w:val="22"/>
            <w:szCs w:val="22"/>
          </w:rPr>
          <w:delText>n</w:delText>
        </w:r>
        <w:r w:rsidR="004305DE" w:rsidRPr="009C5EFD">
          <w:rPr>
            <w:sz w:val="22"/>
            <w:szCs w:val="22"/>
          </w:rPr>
          <w:delText xml:space="preserve"> </w:delText>
        </w:r>
        <w:r w:rsidRPr="009C5EFD">
          <w:rPr>
            <w:sz w:val="22"/>
            <w:szCs w:val="22"/>
          </w:rPr>
          <w:delText xml:space="preserve">tilbake på </w:delText>
        </w:r>
        <w:r w:rsidR="008138BF">
          <w:rPr>
            <w:sz w:val="22"/>
            <w:szCs w:val="22"/>
          </w:rPr>
          <w:delText>kanyl</w:delText>
        </w:r>
        <w:r w:rsidRPr="009C5EFD">
          <w:rPr>
            <w:sz w:val="22"/>
            <w:szCs w:val="22"/>
          </w:rPr>
          <w:delText>en.</w:delText>
        </w:r>
      </w:del>
    </w:p>
    <w:p w14:paraId="54DD5BEC" w14:textId="4164B810" w:rsidR="0074798F" w:rsidRPr="009C5EFD" w:rsidRDefault="0074798F">
      <w:pPr>
        <w:rPr>
          <w:del w:id="14107" w:author="AbbVie02no" w:date="2025-05-15T14:19:00Z"/>
          <w:sz w:val="22"/>
          <w:szCs w:val="22"/>
        </w:rPr>
        <w:pPrChange w:id="14108" w:author="AbbVie02no" w:date="2025-05-15T14:19:00Z">
          <w:pPr>
            <w:suppressAutoHyphens/>
          </w:pPr>
        </w:pPrChange>
      </w:pPr>
    </w:p>
    <w:p w14:paraId="4B1C4826" w14:textId="1C363FB9" w:rsidR="006F409A" w:rsidRPr="007F67EE" w:rsidRDefault="00E453CD">
      <w:pPr>
        <w:rPr>
          <w:del w:id="14109" w:author="AbbVie02no" w:date="2025-05-15T14:19:00Z"/>
          <w:sz w:val="22"/>
          <w:szCs w:val="22"/>
        </w:rPr>
        <w:pPrChange w:id="14110" w:author="AbbVie02no" w:date="2025-05-15T14:19:00Z">
          <w:pPr>
            <w:suppressAutoHyphens/>
            <w:jc w:val="center"/>
          </w:pPr>
        </w:pPrChange>
      </w:pPr>
      <w:del w:id="14111" w:author="AbbVie02no" w:date="2025-05-15T14:19:00Z">
        <w:r>
          <w:rPr>
            <w:noProof/>
            <w:lang w:val="en-GB" w:eastAsia="en-GB"/>
          </w:rPr>
          <w:lastRenderedPageBreak/>
          <w:drawing>
            <wp:inline distT="0" distB="0" distL="0" distR="0" wp14:anchorId="06DE984C" wp14:editId="248542CD">
              <wp:extent cx="3914775" cy="18002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3914775" cy="1800225"/>
                      </a:xfrm>
                      <a:prstGeom prst="rect">
                        <a:avLst/>
                      </a:prstGeom>
                      <a:noFill/>
                      <a:ln>
                        <a:noFill/>
                      </a:ln>
                    </pic:spPr>
                  </pic:pic>
                </a:graphicData>
              </a:graphic>
            </wp:inline>
          </w:drawing>
        </w:r>
      </w:del>
    </w:p>
    <w:p w14:paraId="1708A45C" w14:textId="683750CE" w:rsidR="0074798F" w:rsidRPr="00193D76" w:rsidRDefault="0074798F">
      <w:pPr>
        <w:rPr>
          <w:del w:id="14112" w:author="AbbVie02no" w:date="2025-05-15T14:19:00Z"/>
          <w:sz w:val="22"/>
          <w:szCs w:val="22"/>
        </w:rPr>
        <w:pPrChange w:id="14113" w:author="AbbVie02no" w:date="2025-05-15T14:19:00Z">
          <w:pPr>
            <w:suppressAutoHyphens/>
          </w:pPr>
        </w:pPrChange>
      </w:pPr>
    </w:p>
    <w:p w14:paraId="41962CFF" w14:textId="76580073" w:rsidR="00DE3458" w:rsidRPr="009C5EFD" w:rsidRDefault="00E453CD">
      <w:pPr>
        <w:rPr>
          <w:del w:id="14114" w:author="AbbVie02no" w:date="2025-05-15T14:19:00Z"/>
          <w:sz w:val="22"/>
          <w:szCs w:val="22"/>
        </w:rPr>
        <w:pPrChange w:id="14115" w:author="AbbVie02no" w:date="2025-05-15T14:19:00Z">
          <w:pPr>
            <w:numPr>
              <w:numId w:val="49"/>
            </w:numPr>
            <w:tabs>
              <w:tab w:val="num" w:pos="540"/>
              <w:tab w:val="num" w:pos="720"/>
            </w:tabs>
            <w:suppressAutoHyphens/>
            <w:ind w:left="540" w:hanging="540"/>
          </w:pPr>
        </w:pPrChange>
      </w:pPr>
      <w:del w:id="14116" w:author="AbbVie02no" w:date="2025-05-15T14:19:00Z">
        <w:r w:rsidRPr="002D0790">
          <w:rPr>
            <w:sz w:val="22"/>
            <w:szCs w:val="22"/>
          </w:rPr>
          <w:delText>Trykk mot injeksjonsste</w:delText>
        </w:r>
        <w:r w:rsidRPr="00C07C98">
          <w:rPr>
            <w:sz w:val="22"/>
            <w:szCs w:val="22"/>
          </w:rPr>
          <w:delText>det i 10 sekunder</w:delText>
        </w:r>
        <w:r w:rsidR="004F01CB" w:rsidRPr="00E14E58">
          <w:rPr>
            <w:sz w:val="22"/>
            <w:szCs w:val="22"/>
          </w:rPr>
          <w:delText xml:space="preserve"> </w:delText>
        </w:r>
        <w:r w:rsidRPr="009C5EFD">
          <w:rPr>
            <w:sz w:val="22"/>
            <w:szCs w:val="22"/>
          </w:rPr>
          <w:delText xml:space="preserve">med et stykke gasbind. Det kan hende det vil blø litt. </w:delText>
        </w:r>
        <w:r w:rsidRPr="009C5EFD">
          <w:rPr>
            <w:b/>
            <w:sz w:val="22"/>
            <w:szCs w:val="22"/>
          </w:rPr>
          <w:delText>I</w:delText>
        </w:r>
        <w:r w:rsidR="00121D02" w:rsidRPr="009C5EFD">
          <w:rPr>
            <w:b/>
            <w:sz w:val="22"/>
            <w:szCs w:val="22"/>
          </w:rPr>
          <w:delText>KKE</w:delText>
        </w:r>
        <w:r w:rsidRPr="009C5EFD">
          <w:rPr>
            <w:sz w:val="22"/>
            <w:szCs w:val="22"/>
          </w:rPr>
          <w:delText xml:space="preserve"> gni injeksjonsstedet. Bruk plaster dersom nødvendig.</w:delText>
        </w:r>
      </w:del>
    </w:p>
    <w:p w14:paraId="394908BB" w14:textId="29162042" w:rsidR="00DE3458" w:rsidRPr="009C5EFD" w:rsidRDefault="00DE3458">
      <w:pPr>
        <w:rPr>
          <w:del w:id="14117" w:author="AbbVie02no" w:date="2025-05-15T14:19:00Z"/>
          <w:sz w:val="22"/>
          <w:szCs w:val="22"/>
        </w:rPr>
        <w:pPrChange w:id="14118" w:author="AbbVie02no" w:date="2025-05-15T14:19:00Z">
          <w:pPr>
            <w:tabs>
              <w:tab w:val="left" w:pos="993"/>
            </w:tabs>
            <w:suppressAutoHyphens/>
            <w:ind w:left="1080"/>
          </w:pPr>
        </w:pPrChange>
      </w:pPr>
    </w:p>
    <w:p w14:paraId="41E0BC75" w14:textId="11524D4B" w:rsidR="00FF0116" w:rsidRPr="00AB7697" w:rsidRDefault="00E453CD">
      <w:pPr>
        <w:rPr>
          <w:del w:id="14119" w:author="AbbVie02no" w:date="2025-05-15T14:19:00Z"/>
          <w:b/>
          <w:sz w:val="22"/>
          <w:szCs w:val="20"/>
        </w:rPr>
        <w:pPrChange w:id="14120" w:author="AbbVie02no" w:date="2025-05-15T14:19:00Z">
          <w:pPr>
            <w:tabs>
              <w:tab w:val="left" w:pos="562"/>
            </w:tabs>
            <w:suppressAutoHyphens/>
          </w:pPr>
        </w:pPrChange>
      </w:pPr>
      <w:del w:id="14121" w:author="AbbVie02no" w:date="2025-05-15T14:19:00Z">
        <w:r w:rsidRPr="00AB7697">
          <w:rPr>
            <w:b/>
            <w:sz w:val="22"/>
            <w:szCs w:val="20"/>
          </w:rPr>
          <w:delText>6)</w:delText>
        </w:r>
        <w:r w:rsidRPr="00AB7697">
          <w:rPr>
            <w:rFonts w:ascii="Times New Roman Bold" w:hAnsi="Times New Roman Bold"/>
            <w:b/>
            <w:sz w:val="22"/>
            <w:szCs w:val="20"/>
          </w:rPr>
          <w:delText xml:space="preserve"> </w:delText>
        </w:r>
        <w:r w:rsidRPr="00AB7697">
          <w:rPr>
            <w:rFonts w:ascii="Times New Roman Bold" w:hAnsi="Times New Roman Bold"/>
            <w:b/>
            <w:sz w:val="22"/>
            <w:szCs w:val="20"/>
          </w:rPr>
          <w:tab/>
        </w:r>
        <w:r w:rsidRPr="009C5EFD">
          <w:rPr>
            <w:b/>
            <w:sz w:val="22"/>
            <w:szCs w:val="22"/>
          </w:rPr>
          <w:delText>Kast utstyr som blir til overs</w:delText>
        </w:r>
      </w:del>
    </w:p>
    <w:p w14:paraId="65AABC21" w14:textId="1D6BF45D" w:rsidR="00DE3458" w:rsidRPr="009C5EFD" w:rsidRDefault="00DE3458">
      <w:pPr>
        <w:rPr>
          <w:del w:id="14122" w:author="AbbVie02no" w:date="2025-05-15T14:19:00Z"/>
          <w:b/>
          <w:sz w:val="22"/>
          <w:szCs w:val="22"/>
        </w:rPr>
        <w:pPrChange w:id="14123" w:author="AbbVie02no" w:date="2025-05-15T14:19:00Z">
          <w:pPr>
            <w:keepNext/>
            <w:tabs>
              <w:tab w:val="left" w:pos="993"/>
            </w:tabs>
            <w:suppressAutoHyphens/>
          </w:pPr>
        </w:pPrChange>
      </w:pPr>
    </w:p>
    <w:p w14:paraId="62001FD8" w14:textId="575E4DFD" w:rsidR="00090A49" w:rsidRPr="009C5EFD" w:rsidRDefault="00E453CD">
      <w:pPr>
        <w:rPr>
          <w:del w:id="14124" w:author="AbbVie02no" w:date="2025-05-15T14:19:00Z"/>
          <w:sz w:val="22"/>
          <w:szCs w:val="22"/>
        </w:rPr>
        <w:pPrChange w:id="14125" w:author="AbbVie02no" w:date="2025-05-15T14:19:00Z">
          <w:pPr>
            <w:numPr>
              <w:numId w:val="5"/>
            </w:numPr>
            <w:tabs>
              <w:tab w:val="num" w:pos="567"/>
              <w:tab w:val="num" w:pos="1080"/>
            </w:tabs>
            <w:suppressAutoHyphens/>
            <w:ind w:left="567" w:hanging="567"/>
          </w:pPr>
        </w:pPrChange>
      </w:pPr>
      <w:del w:id="14126" w:author="AbbVie02no" w:date="2025-05-15T14:19:00Z">
        <w:r w:rsidRPr="009C5EFD">
          <w:rPr>
            <w:sz w:val="22"/>
            <w:szCs w:val="22"/>
          </w:rPr>
          <w:delText xml:space="preserve">Du trenger en spesiell beholder for avfall, for eksempel </w:delText>
        </w:r>
        <w:r w:rsidR="005A6199" w:rsidRPr="009C5EFD">
          <w:rPr>
            <w:sz w:val="22"/>
            <w:szCs w:val="22"/>
          </w:rPr>
          <w:delText>en beholder for risikoavfall (skjærende/stikkende avfall)</w:delText>
        </w:r>
        <w:r w:rsidR="009D6375" w:rsidRPr="009C5EFD">
          <w:rPr>
            <w:sz w:val="22"/>
            <w:szCs w:val="22"/>
          </w:rPr>
          <w:delText xml:space="preserve"> </w:delText>
        </w:r>
        <w:r w:rsidRPr="009C5EFD">
          <w:rPr>
            <w:sz w:val="22"/>
            <w:szCs w:val="22"/>
          </w:rPr>
          <w:delText>eller som instruert av sykepleier, lege eller apotek.</w:delText>
        </w:r>
      </w:del>
    </w:p>
    <w:p w14:paraId="39D283DA" w14:textId="23D5D1F5" w:rsidR="00090A49" w:rsidRPr="009C5EFD" w:rsidRDefault="00E453CD">
      <w:pPr>
        <w:rPr>
          <w:del w:id="14127" w:author="AbbVie02no" w:date="2025-05-15T14:19:00Z"/>
          <w:sz w:val="22"/>
          <w:szCs w:val="22"/>
        </w:rPr>
        <w:pPrChange w:id="14128" w:author="AbbVie02no" w:date="2025-05-15T14:19:00Z">
          <w:pPr>
            <w:numPr>
              <w:numId w:val="5"/>
            </w:numPr>
            <w:tabs>
              <w:tab w:val="num" w:pos="567"/>
              <w:tab w:val="num" w:pos="1080"/>
            </w:tabs>
            <w:suppressAutoHyphens/>
            <w:ind w:left="567" w:hanging="567"/>
          </w:pPr>
        </w:pPrChange>
      </w:pPr>
      <w:del w:id="14129" w:author="AbbVie02no" w:date="2025-05-15T14:19:00Z">
        <w:r w:rsidRPr="009C5EFD">
          <w:rPr>
            <w:sz w:val="22"/>
            <w:szCs w:val="22"/>
          </w:rPr>
          <w:delText xml:space="preserve">Legg sprøyten med </w:delText>
        </w:r>
        <w:r w:rsidR="008138BF">
          <w:rPr>
            <w:sz w:val="22"/>
            <w:szCs w:val="22"/>
          </w:rPr>
          <w:delText>kanyl</w:delText>
        </w:r>
        <w:r w:rsidR="009D6375" w:rsidRPr="009C5EFD">
          <w:rPr>
            <w:sz w:val="22"/>
            <w:szCs w:val="22"/>
          </w:rPr>
          <w:delText>en</w:delText>
        </w:r>
        <w:r w:rsidRPr="009C5EFD">
          <w:rPr>
            <w:sz w:val="22"/>
            <w:szCs w:val="22"/>
          </w:rPr>
          <w:delText>, hetteglass</w:delText>
        </w:r>
        <w:r w:rsidR="009D6375" w:rsidRPr="009C5EFD">
          <w:rPr>
            <w:sz w:val="22"/>
            <w:szCs w:val="22"/>
          </w:rPr>
          <w:delText>et</w:delText>
        </w:r>
        <w:r w:rsidRPr="009C5EFD">
          <w:rPr>
            <w:sz w:val="22"/>
            <w:szCs w:val="22"/>
          </w:rPr>
          <w:delText xml:space="preserve"> og adapteren i en beholder for risikoavfall. </w:delText>
        </w:r>
        <w:r w:rsidRPr="009C5EFD">
          <w:rPr>
            <w:b/>
            <w:sz w:val="22"/>
            <w:szCs w:val="22"/>
          </w:rPr>
          <w:delText>IKKE</w:delText>
        </w:r>
        <w:r w:rsidRPr="009C5EFD">
          <w:rPr>
            <w:sz w:val="22"/>
            <w:szCs w:val="22"/>
          </w:rPr>
          <w:delText xml:space="preserve"> </w:delText>
        </w:r>
        <w:r w:rsidR="00D461B7" w:rsidRPr="009C5EFD">
          <w:rPr>
            <w:sz w:val="22"/>
            <w:szCs w:val="22"/>
          </w:rPr>
          <w:delText>kast disse tingene</w:delText>
        </w:r>
        <w:r w:rsidRPr="009C5EFD">
          <w:rPr>
            <w:sz w:val="22"/>
            <w:szCs w:val="22"/>
          </w:rPr>
          <w:delText xml:space="preserve"> i vanlig husholdningsavfall.</w:delText>
        </w:r>
      </w:del>
    </w:p>
    <w:p w14:paraId="5C1908A0" w14:textId="118EE42F" w:rsidR="00090A49" w:rsidRPr="009C5EFD" w:rsidRDefault="00E453CD">
      <w:pPr>
        <w:rPr>
          <w:del w:id="14130" w:author="AbbVie02no" w:date="2025-05-15T14:19:00Z"/>
          <w:sz w:val="22"/>
          <w:szCs w:val="22"/>
        </w:rPr>
        <w:pPrChange w:id="14131" w:author="AbbVie02no" w:date="2025-05-15T14:19:00Z">
          <w:pPr>
            <w:numPr>
              <w:numId w:val="5"/>
            </w:numPr>
            <w:tabs>
              <w:tab w:val="num" w:pos="567"/>
              <w:tab w:val="num" w:pos="1080"/>
            </w:tabs>
            <w:suppressAutoHyphens/>
            <w:ind w:left="567" w:hanging="567"/>
          </w:pPr>
        </w:pPrChange>
      </w:pPr>
      <w:del w:id="14132" w:author="AbbVie02no" w:date="2025-05-15T14:19:00Z">
        <w:r w:rsidRPr="009C5EFD">
          <w:rPr>
            <w:sz w:val="22"/>
            <w:szCs w:val="22"/>
          </w:rPr>
          <w:delText xml:space="preserve">Sprøyten, </w:delText>
        </w:r>
        <w:r w:rsidR="008138BF">
          <w:rPr>
            <w:sz w:val="22"/>
            <w:szCs w:val="22"/>
          </w:rPr>
          <w:delText>kanyl</w:delText>
        </w:r>
        <w:r w:rsidR="009D6375" w:rsidRPr="009C5EFD">
          <w:rPr>
            <w:sz w:val="22"/>
            <w:szCs w:val="22"/>
          </w:rPr>
          <w:delText>en</w:delText>
        </w:r>
        <w:r w:rsidRPr="009C5EFD">
          <w:rPr>
            <w:sz w:val="22"/>
            <w:szCs w:val="22"/>
          </w:rPr>
          <w:delText>, hetteglass</w:delText>
        </w:r>
        <w:r w:rsidR="009D6375" w:rsidRPr="009C5EFD">
          <w:rPr>
            <w:sz w:val="22"/>
            <w:szCs w:val="22"/>
          </w:rPr>
          <w:delText>et</w:delText>
        </w:r>
        <w:r w:rsidRPr="009C5EFD">
          <w:rPr>
            <w:sz w:val="22"/>
            <w:szCs w:val="22"/>
          </w:rPr>
          <w:delText xml:space="preserve"> og adapter</w:delText>
        </w:r>
        <w:r w:rsidR="009D6375" w:rsidRPr="009C5EFD">
          <w:rPr>
            <w:sz w:val="22"/>
            <w:szCs w:val="22"/>
          </w:rPr>
          <w:delText>en</w:delText>
        </w:r>
        <w:r w:rsidRPr="009C5EFD">
          <w:rPr>
            <w:sz w:val="22"/>
            <w:szCs w:val="22"/>
          </w:rPr>
          <w:delText xml:space="preserve"> </w:delText>
        </w:r>
        <w:r w:rsidRPr="009C5EFD">
          <w:rPr>
            <w:b/>
            <w:sz w:val="22"/>
            <w:szCs w:val="22"/>
          </w:rPr>
          <w:delText>MÅ ALDRI</w:delText>
        </w:r>
        <w:r w:rsidRPr="009C5EFD">
          <w:rPr>
            <w:sz w:val="22"/>
            <w:szCs w:val="22"/>
          </w:rPr>
          <w:delText xml:space="preserve"> brukes om igjen.</w:delText>
        </w:r>
      </w:del>
    </w:p>
    <w:p w14:paraId="476CD870" w14:textId="4534A3CE" w:rsidR="00D461B7" w:rsidRPr="009C5EFD" w:rsidRDefault="00E453CD">
      <w:pPr>
        <w:rPr>
          <w:del w:id="14133" w:author="AbbVie02no" w:date="2025-05-15T14:19:00Z"/>
          <w:sz w:val="22"/>
          <w:szCs w:val="22"/>
        </w:rPr>
        <w:pPrChange w:id="14134" w:author="AbbVie02no" w:date="2025-05-15T14:19:00Z">
          <w:pPr>
            <w:numPr>
              <w:numId w:val="5"/>
            </w:numPr>
            <w:tabs>
              <w:tab w:val="num" w:pos="567"/>
              <w:tab w:val="num" w:pos="1080"/>
            </w:tabs>
            <w:suppressAutoHyphens/>
            <w:ind w:left="567" w:hanging="567"/>
          </w:pPr>
        </w:pPrChange>
      </w:pPr>
      <w:del w:id="14135" w:author="AbbVie02no" w:date="2025-05-15T14:19:00Z">
        <w:r w:rsidRPr="009C5EFD">
          <w:rPr>
            <w:sz w:val="22"/>
            <w:szCs w:val="22"/>
          </w:rPr>
          <w:delText>Den spesielle avfallsbeholderen må oppbevares utilgjengelig for barn.</w:delText>
        </w:r>
      </w:del>
    </w:p>
    <w:p w14:paraId="35B81342" w14:textId="46FAC10E" w:rsidR="00090A49" w:rsidRPr="009C5EFD" w:rsidRDefault="00E453CD">
      <w:pPr>
        <w:rPr>
          <w:del w:id="14136" w:author="AbbVie02no" w:date="2025-05-15T14:19:00Z"/>
          <w:sz w:val="22"/>
          <w:szCs w:val="22"/>
        </w:rPr>
        <w:pPrChange w:id="14137" w:author="AbbVie02no" w:date="2025-05-15T14:19:00Z">
          <w:pPr>
            <w:numPr>
              <w:numId w:val="5"/>
            </w:numPr>
            <w:tabs>
              <w:tab w:val="num" w:pos="567"/>
              <w:tab w:val="num" w:pos="1080"/>
            </w:tabs>
            <w:suppressAutoHyphens/>
            <w:ind w:left="567" w:hanging="567"/>
          </w:pPr>
        </w:pPrChange>
      </w:pPr>
      <w:del w:id="14138" w:author="AbbVie02no" w:date="2025-05-15T14:19:00Z">
        <w:r w:rsidRPr="009C5EFD">
          <w:rPr>
            <w:sz w:val="22"/>
            <w:szCs w:val="22"/>
          </w:rPr>
          <w:delText xml:space="preserve">Kast alle </w:delText>
        </w:r>
        <w:r w:rsidR="00D461B7" w:rsidRPr="009C5EFD">
          <w:rPr>
            <w:sz w:val="22"/>
            <w:szCs w:val="22"/>
          </w:rPr>
          <w:delText xml:space="preserve">de andre </w:delText>
        </w:r>
        <w:r w:rsidRPr="009C5EFD">
          <w:rPr>
            <w:sz w:val="22"/>
            <w:szCs w:val="22"/>
          </w:rPr>
          <w:delText>brukte</w:delText>
        </w:r>
        <w:r w:rsidR="00D461B7" w:rsidRPr="009C5EFD">
          <w:rPr>
            <w:sz w:val="22"/>
            <w:szCs w:val="22"/>
          </w:rPr>
          <w:delText xml:space="preserve"> gjenstander i ditt vanlige husholdningsavfall</w:delText>
        </w:r>
        <w:r w:rsidRPr="009C5EFD">
          <w:rPr>
            <w:sz w:val="22"/>
            <w:szCs w:val="22"/>
          </w:rPr>
          <w:delText>.</w:delText>
        </w:r>
      </w:del>
    </w:p>
    <w:p w14:paraId="71C7AB42" w14:textId="1CCD0BE2" w:rsidR="003F1489" w:rsidRPr="009C5EFD" w:rsidRDefault="003F1489">
      <w:pPr>
        <w:rPr>
          <w:del w:id="14139" w:author="AbbVie02no" w:date="2025-05-15T14:19:00Z"/>
          <w:szCs w:val="22"/>
        </w:rPr>
        <w:pPrChange w:id="14140" w:author="AbbVie02no" w:date="2025-05-15T14:19:00Z">
          <w:pPr>
            <w:pStyle w:val="BodyText3"/>
            <w:tabs>
              <w:tab w:val="clear" w:pos="-720"/>
            </w:tabs>
            <w:suppressAutoHyphens w:val="0"/>
          </w:pPr>
        </w:pPrChange>
      </w:pPr>
    </w:p>
    <w:p w14:paraId="1401EC7B" w14:textId="1790B0DD" w:rsidR="00DE3458" w:rsidRPr="009C5EFD" w:rsidRDefault="00E453CD">
      <w:pPr>
        <w:rPr>
          <w:del w:id="14141" w:author="AbbVie02no" w:date="2025-05-15T14:19:00Z"/>
          <w:szCs w:val="22"/>
        </w:rPr>
        <w:pPrChange w:id="14142" w:author="AbbVie02no" w:date="2025-05-15T14:19:00Z">
          <w:pPr>
            <w:pStyle w:val="BodyText3"/>
            <w:keepNext/>
            <w:tabs>
              <w:tab w:val="clear" w:pos="-720"/>
            </w:tabs>
            <w:suppressAutoHyphens w:val="0"/>
          </w:pPr>
        </w:pPrChange>
      </w:pPr>
      <w:del w:id="14143" w:author="AbbVie02no" w:date="2025-05-15T14:19:00Z">
        <w:r w:rsidRPr="009C5EFD">
          <w:rPr>
            <w:szCs w:val="22"/>
          </w:rPr>
          <w:delText>Dersom du tar for mye av Humira</w:delText>
        </w:r>
      </w:del>
    </w:p>
    <w:p w14:paraId="28D9D492" w14:textId="24DDC848" w:rsidR="00DE3458" w:rsidRPr="009C5EFD" w:rsidRDefault="00DE3458">
      <w:pPr>
        <w:rPr>
          <w:del w:id="14144" w:author="AbbVie02no" w:date="2025-05-15T14:19:00Z"/>
          <w:sz w:val="22"/>
          <w:szCs w:val="22"/>
        </w:rPr>
        <w:pPrChange w:id="14145" w:author="AbbVie02no" w:date="2025-05-15T14:19:00Z">
          <w:pPr>
            <w:keepNext/>
          </w:pPr>
        </w:pPrChange>
      </w:pPr>
    </w:p>
    <w:p w14:paraId="47BCAD1F" w14:textId="6E61AF3E" w:rsidR="00D461B7" w:rsidRPr="009C5EFD" w:rsidRDefault="00E453CD" w:rsidP="00A6493F">
      <w:pPr>
        <w:rPr>
          <w:del w:id="14146" w:author="AbbVie02no" w:date="2025-05-15T14:19:00Z"/>
          <w:sz w:val="22"/>
          <w:szCs w:val="22"/>
        </w:rPr>
      </w:pPr>
      <w:del w:id="14147" w:author="AbbVie02no" w:date="2025-05-15T14:19:00Z">
        <w:r w:rsidRPr="009C5EFD">
          <w:rPr>
            <w:sz w:val="22"/>
            <w:szCs w:val="22"/>
          </w:rPr>
          <w:delText xml:space="preserve">Dersom du </w:delText>
        </w:r>
        <w:r w:rsidR="00D80250" w:rsidRPr="009C5EFD">
          <w:rPr>
            <w:sz w:val="22"/>
            <w:szCs w:val="22"/>
          </w:rPr>
          <w:delText>ved et uhell</w:delText>
        </w:r>
        <w:r w:rsidRPr="009C5EFD">
          <w:rPr>
            <w:sz w:val="22"/>
            <w:szCs w:val="22"/>
          </w:rPr>
          <w:delText xml:space="preserve"> injiserer en større mengde Humira oppløsning, eller hvis du injiserer Humira </w:delText>
        </w:r>
        <w:r w:rsidR="00370C4D" w:rsidRPr="009C5EFD">
          <w:rPr>
            <w:sz w:val="22"/>
            <w:szCs w:val="22"/>
          </w:rPr>
          <w:delText>oftere enn legen har forskrevet</w:delText>
        </w:r>
        <w:r w:rsidRPr="009C5EFD">
          <w:rPr>
            <w:sz w:val="22"/>
            <w:szCs w:val="22"/>
          </w:rPr>
          <w:delText xml:space="preserve">, </w:delText>
        </w:r>
        <w:r w:rsidR="00624B8E">
          <w:rPr>
            <w:sz w:val="22"/>
            <w:szCs w:val="22"/>
          </w:rPr>
          <w:delText>oppsøk</w:delText>
        </w:r>
        <w:r w:rsidRPr="009C5EFD">
          <w:rPr>
            <w:sz w:val="22"/>
            <w:szCs w:val="22"/>
          </w:rPr>
          <w:delText xml:space="preserve"> legen din og fortell ham/henne at barnet ditt har tatt mer. Ta alltid ytter</w:delText>
        </w:r>
        <w:r w:rsidR="000667B1">
          <w:rPr>
            <w:sz w:val="22"/>
            <w:szCs w:val="22"/>
          </w:rPr>
          <w:delText>pakningen</w:delText>
        </w:r>
        <w:r w:rsidRPr="009C5EFD">
          <w:rPr>
            <w:sz w:val="22"/>
            <w:szCs w:val="22"/>
          </w:rPr>
          <w:delText xml:space="preserve"> eller hetteglasset til </w:delText>
        </w:r>
        <w:r w:rsidR="00BB46D1" w:rsidRPr="009C5EFD">
          <w:rPr>
            <w:sz w:val="22"/>
            <w:szCs w:val="22"/>
          </w:rPr>
          <w:delText>legemidlet</w:delText>
        </w:r>
        <w:r w:rsidRPr="009C5EFD">
          <w:rPr>
            <w:sz w:val="22"/>
            <w:szCs w:val="22"/>
          </w:rPr>
          <w:delText xml:space="preserve"> med deg, selv om de</w:delText>
        </w:r>
        <w:r w:rsidR="00BB46D1" w:rsidRPr="009C5EFD">
          <w:rPr>
            <w:sz w:val="22"/>
            <w:szCs w:val="22"/>
          </w:rPr>
          <w:delText>t</w:delText>
        </w:r>
        <w:r w:rsidRPr="009C5EFD">
          <w:rPr>
            <w:sz w:val="22"/>
            <w:szCs w:val="22"/>
          </w:rPr>
          <w:delText xml:space="preserve"> er tom</w:delText>
        </w:r>
        <w:r w:rsidR="00BB46D1" w:rsidRPr="009C5EFD">
          <w:rPr>
            <w:sz w:val="22"/>
            <w:szCs w:val="22"/>
          </w:rPr>
          <w:delText>t</w:delText>
        </w:r>
        <w:r w:rsidRPr="009C5EFD">
          <w:rPr>
            <w:sz w:val="22"/>
            <w:szCs w:val="22"/>
          </w:rPr>
          <w:delText>.</w:delText>
        </w:r>
      </w:del>
    </w:p>
    <w:p w14:paraId="2C4A4E10" w14:textId="348CC167" w:rsidR="00DE3458" w:rsidRPr="009C5EFD" w:rsidRDefault="00DE3458" w:rsidP="00A6493F">
      <w:pPr>
        <w:rPr>
          <w:del w:id="14148" w:author="AbbVie02no" w:date="2025-05-15T14:19:00Z"/>
          <w:sz w:val="22"/>
          <w:szCs w:val="22"/>
        </w:rPr>
      </w:pPr>
    </w:p>
    <w:p w14:paraId="39A18073" w14:textId="720CDD7A" w:rsidR="00DE3458" w:rsidRPr="009C5EFD" w:rsidRDefault="00E453CD">
      <w:pPr>
        <w:rPr>
          <w:del w:id="14149" w:author="AbbVie02no" w:date="2025-05-15T14:19:00Z"/>
          <w:b/>
          <w:sz w:val="22"/>
          <w:szCs w:val="22"/>
        </w:rPr>
        <w:pPrChange w:id="14150" w:author="AbbVie02no" w:date="2025-05-15T14:19:00Z">
          <w:pPr>
            <w:keepNext/>
          </w:pPr>
        </w:pPrChange>
      </w:pPr>
      <w:del w:id="14151" w:author="AbbVie02no" w:date="2025-05-15T14:19:00Z">
        <w:r w:rsidRPr="009C5EFD">
          <w:rPr>
            <w:b/>
            <w:sz w:val="22"/>
            <w:szCs w:val="22"/>
          </w:rPr>
          <w:delText xml:space="preserve">Dersom du </w:delText>
        </w:r>
        <w:r w:rsidR="00B70F65" w:rsidRPr="009C5EFD">
          <w:rPr>
            <w:b/>
            <w:sz w:val="22"/>
            <w:szCs w:val="22"/>
          </w:rPr>
          <w:delText>tar for lite av Humira</w:delText>
        </w:r>
      </w:del>
    </w:p>
    <w:p w14:paraId="03C97DF1" w14:textId="72997845" w:rsidR="00DE3458" w:rsidRPr="009C5EFD" w:rsidRDefault="00DE3458">
      <w:pPr>
        <w:rPr>
          <w:del w:id="14152" w:author="AbbVie02no" w:date="2025-05-15T14:19:00Z"/>
          <w:sz w:val="22"/>
          <w:szCs w:val="22"/>
        </w:rPr>
        <w:pPrChange w:id="14153" w:author="AbbVie02no" w:date="2025-05-15T14:19:00Z">
          <w:pPr>
            <w:keepNext/>
          </w:pPr>
        </w:pPrChange>
      </w:pPr>
    </w:p>
    <w:p w14:paraId="63F148EF" w14:textId="0288C38C" w:rsidR="00B70F65" w:rsidRPr="009C5EFD" w:rsidRDefault="00E453CD" w:rsidP="00A6493F">
      <w:pPr>
        <w:rPr>
          <w:del w:id="14154" w:author="AbbVie02no" w:date="2025-05-15T14:19:00Z"/>
          <w:sz w:val="22"/>
          <w:szCs w:val="22"/>
        </w:rPr>
      </w:pPr>
      <w:del w:id="14155" w:author="AbbVie02no" w:date="2025-05-15T14:19:00Z">
        <w:r w:rsidRPr="009C5EFD">
          <w:rPr>
            <w:sz w:val="22"/>
            <w:szCs w:val="22"/>
          </w:rPr>
          <w:delText xml:space="preserve">Dersom du ved et uhell injiserer en mindre mengde Humira oppløsning, eller hvis du injiserer Humira sjeldnere enn fortalt av </w:delText>
        </w:r>
        <w:r w:rsidR="003F1489" w:rsidRPr="009C5EFD">
          <w:rPr>
            <w:sz w:val="22"/>
            <w:szCs w:val="22"/>
          </w:rPr>
          <w:delText xml:space="preserve">ditt barns </w:delText>
        </w:r>
        <w:r w:rsidRPr="009C5EFD">
          <w:rPr>
            <w:sz w:val="22"/>
            <w:szCs w:val="22"/>
          </w:rPr>
          <w:delText>lege</w:delText>
        </w:r>
        <w:r w:rsidR="003F1489" w:rsidRPr="009C5EFD">
          <w:rPr>
            <w:sz w:val="22"/>
            <w:szCs w:val="22"/>
          </w:rPr>
          <w:delText xml:space="preserve"> eller apotek</w:delText>
        </w:r>
        <w:r w:rsidRPr="009C5EFD">
          <w:rPr>
            <w:sz w:val="22"/>
            <w:szCs w:val="22"/>
          </w:rPr>
          <w:delText xml:space="preserve">, bør du kontakte </w:delText>
        </w:r>
        <w:r w:rsidR="003F1489" w:rsidRPr="009C5EFD">
          <w:rPr>
            <w:sz w:val="22"/>
            <w:szCs w:val="22"/>
          </w:rPr>
          <w:delText xml:space="preserve">ditt barns </w:delText>
        </w:r>
        <w:r w:rsidRPr="009C5EFD">
          <w:rPr>
            <w:sz w:val="22"/>
            <w:szCs w:val="22"/>
          </w:rPr>
          <w:delText>lege</w:delText>
        </w:r>
        <w:r w:rsidR="003F1489" w:rsidRPr="009C5EFD">
          <w:rPr>
            <w:sz w:val="22"/>
            <w:szCs w:val="22"/>
          </w:rPr>
          <w:delText xml:space="preserve"> eller apotek</w:delText>
        </w:r>
        <w:r w:rsidR="001D0AB0">
          <w:rPr>
            <w:sz w:val="22"/>
            <w:szCs w:val="22"/>
          </w:rPr>
          <w:delText xml:space="preserve"> </w:delText>
        </w:r>
        <w:r w:rsidRPr="009C5EFD">
          <w:rPr>
            <w:sz w:val="22"/>
            <w:szCs w:val="22"/>
          </w:rPr>
          <w:delText>og fortelle ham/henne at barnet ditt har tatt mindre. Ta alltid ytter</w:delText>
        </w:r>
        <w:r w:rsidR="000667B1">
          <w:rPr>
            <w:sz w:val="22"/>
            <w:szCs w:val="22"/>
          </w:rPr>
          <w:delText>pakningen</w:delText>
        </w:r>
        <w:r w:rsidRPr="009C5EFD">
          <w:rPr>
            <w:sz w:val="22"/>
            <w:szCs w:val="22"/>
          </w:rPr>
          <w:delText xml:space="preserve"> eller hetteglasset ti</w:delText>
        </w:r>
        <w:r w:rsidR="00BB46D1" w:rsidRPr="009C5EFD">
          <w:rPr>
            <w:sz w:val="22"/>
            <w:szCs w:val="22"/>
          </w:rPr>
          <w:delText>l legemidlet med deg, selv om det</w:delText>
        </w:r>
        <w:r w:rsidRPr="009C5EFD">
          <w:rPr>
            <w:sz w:val="22"/>
            <w:szCs w:val="22"/>
          </w:rPr>
          <w:delText xml:space="preserve"> er tom</w:delText>
        </w:r>
        <w:r w:rsidR="00BB46D1" w:rsidRPr="009C5EFD">
          <w:rPr>
            <w:sz w:val="22"/>
            <w:szCs w:val="22"/>
          </w:rPr>
          <w:delText>t</w:delText>
        </w:r>
        <w:r w:rsidRPr="009C5EFD">
          <w:rPr>
            <w:sz w:val="22"/>
            <w:szCs w:val="22"/>
          </w:rPr>
          <w:delText>.</w:delText>
        </w:r>
      </w:del>
    </w:p>
    <w:p w14:paraId="3A87F67B" w14:textId="53C28FC0" w:rsidR="003B6A91" w:rsidRPr="009C5EFD" w:rsidRDefault="003B6A91" w:rsidP="00A6493F">
      <w:pPr>
        <w:rPr>
          <w:del w:id="14156" w:author="AbbVie02no" w:date="2025-05-15T14:19:00Z"/>
          <w:b/>
          <w:sz w:val="22"/>
          <w:szCs w:val="22"/>
        </w:rPr>
      </w:pPr>
    </w:p>
    <w:p w14:paraId="0D07979E" w14:textId="3F655134" w:rsidR="00B70F65" w:rsidRPr="009C5EFD" w:rsidRDefault="00E453CD">
      <w:pPr>
        <w:rPr>
          <w:del w:id="14157" w:author="AbbVie02no" w:date="2025-05-15T14:19:00Z"/>
          <w:b/>
          <w:sz w:val="22"/>
          <w:szCs w:val="22"/>
        </w:rPr>
        <w:pPrChange w:id="14158" w:author="AbbVie02no" w:date="2025-05-15T14:19:00Z">
          <w:pPr>
            <w:keepNext/>
          </w:pPr>
        </w:pPrChange>
      </w:pPr>
      <w:del w:id="14159" w:author="AbbVie02no" w:date="2025-05-15T14:19:00Z">
        <w:r w:rsidRPr="009C5EFD">
          <w:rPr>
            <w:b/>
            <w:sz w:val="22"/>
            <w:szCs w:val="22"/>
          </w:rPr>
          <w:delText>Dersom du har glemt å ta Humira</w:delText>
        </w:r>
      </w:del>
    </w:p>
    <w:p w14:paraId="77502E16" w14:textId="2CE90AC3" w:rsidR="00B70F65" w:rsidRPr="009C5EFD" w:rsidRDefault="00B70F65">
      <w:pPr>
        <w:rPr>
          <w:del w:id="14160" w:author="AbbVie02no" w:date="2025-05-15T14:19:00Z"/>
          <w:sz w:val="22"/>
          <w:szCs w:val="22"/>
        </w:rPr>
        <w:pPrChange w:id="14161" w:author="AbbVie02no" w:date="2025-05-15T14:19:00Z">
          <w:pPr>
            <w:keepNext/>
          </w:pPr>
        </w:pPrChange>
      </w:pPr>
    </w:p>
    <w:p w14:paraId="5A04E9D7" w14:textId="7CDB0FDD" w:rsidR="00B70F65" w:rsidRPr="009C5EFD" w:rsidRDefault="00E453CD" w:rsidP="00A6493F">
      <w:pPr>
        <w:rPr>
          <w:del w:id="14162" w:author="AbbVie02no" w:date="2025-05-15T14:19:00Z"/>
          <w:sz w:val="22"/>
          <w:szCs w:val="22"/>
        </w:rPr>
      </w:pPr>
      <w:del w:id="14163" w:author="AbbVie02no" w:date="2025-05-15T14:19:00Z">
        <w:r w:rsidRPr="009C5EFD">
          <w:rPr>
            <w:sz w:val="22"/>
            <w:szCs w:val="22"/>
          </w:rPr>
          <w:delText>Dersom du har glemt å gi barnet ditt en injeksjon med Humira, skal du sette neste dose så snart du husker det. Deretter kan du sette neste dose den dagen det opprinnelig var planlagt, som om du ikke hadde glemt en dose.</w:delText>
        </w:r>
      </w:del>
    </w:p>
    <w:p w14:paraId="098BD405" w14:textId="7AFC8965" w:rsidR="00792B0A" w:rsidRPr="009C5EFD" w:rsidRDefault="00792B0A" w:rsidP="00A6493F">
      <w:pPr>
        <w:rPr>
          <w:del w:id="14164" w:author="AbbVie02no" w:date="2025-05-15T14:19:00Z"/>
          <w:sz w:val="22"/>
          <w:szCs w:val="22"/>
        </w:rPr>
      </w:pPr>
    </w:p>
    <w:p w14:paraId="54518168" w14:textId="64201D09" w:rsidR="00792B0A" w:rsidRPr="009C5EFD" w:rsidRDefault="00E453CD">
      <w:pPr>
        <w:rPr>
          <w:del w:id="14165" w:author="AbbVie02no" w:date="2025-05-15T14:19:00Z"/>
          <w:sz w:val="22"/>
          <w:szCs w:val="22"/>
        </w:rPr>
        <w:pPrChange w:id="14166" w:author="AbbVie02no" w:date="2025-05-15T14:19:00Z">
          <w:pPr>
            <w:keepNext/>
          </w:pPr>
        </w:pPrChange>
      </w:pPr>
      <w:del w:id="14167" w:author="AbbVie02no" w:date="2025-05-15T14:19:00Z">
        <w:r w:rsidRPr="009C5EFD">
          <w:rPr>
            <w:b/>
            <w:sz w:val="22"/>
            <w:szCs w:val="22"/>
          </w:rPr>
          <w:delText>Dersom ditt barn</w:delText>
        </w:r>
        <w:r w:rsidR="00092C95" w:rsidRPr="009C5EFD">
          <w:rPr>
            <w:b/>
            <w:sz w:val="22"/>
            <w:szCs w:val="22"/>
          </w:rPr>
          <w:delText xml:space="preserve"> avbryter behandling med</w:delText>
        </w:r>
        <w:r w:rsidRPr="009C5EFD">
          <w:rPr>
            <w:b/>
            <w:sz w:val="22"/>
            <w:szCs w:val="22"/>
          </w:rPr>
          <w:delText xml:space="preserve"> Humira</w:delText>
        </w:r>
      </w:del>
    </w:p>
    <w:p w14:paraId="55DE5875" w14:textId="3F06CE51" w:rsidR="00B70F65" w:rsidRPr="009C5EFD" w:rsidRDefault="00B70F65">
      <w:pPr>
        <w:rPr>
          <w:del w:id="14168" w:author="AbbVie02no" w:date="2025-05-15T14:19:00Z"/>
          <w:sz w:val="22"/>
          <w:szCs w:val="22"/>
        </w:rPr>
        <w:pPrChange w:id="14169" w:author="AbbVie02no" w:date="2025-05-15T14:19:00Z">
          <w:pPr>
            <w:keepNext/>
            <w:suppressAutoHyphens/>
          </w:pPr>
        </w:pPrChange>
      </w:pPr>
    </w:p>
    <w:p w14:paraId="4DF46D00" w14:textId="6A0188F2" w:rsidR="005261E2" w:rsidRPr="009C5EFD" w:rsidRDefault="00E453CD" w:rsidP="00A6493F">
      <w:pPr>
        <w:rPr>
          <w:del w:id="14170" w:author="AbbVie02no" w:date="2025-05-15T14:19:00Z"/>
          <w:sz w:val="22"/>
          <w:szCs w:val="22"/>
        </w:rPr>
      </w:pPr>
      <w:del w:id="14171" w:author="AbbVie02no" w:date="2025-05-15T14:19:00Z">
        <w:r w:rsidRPr="009C5EFD">
          <w:rPr>
            <w:sz w:val="22"/>
            <w:szCs w:val="22"/>
          </w:rPr>
          <w:delText xml:space="preserve">Beslutningen om å </w:delText>
        </w:r>
        <w:r w:rsidR="00092C95" w:rsidRPr="009C5EFD">
          <w:rPr>
            <w:sz w:val="22"/>
            <w:szCs w:val="22"/>
          </w:rPr>
          <w:delText>avbryte behandling med</w:delText>
        </w:r>
        <w:r w:rsidRPr="009C5EFD">
          <w:rPr>
            <w:sz w:val="22"/>
            <w:szCs w:val="22"/>
          </w:rPr>
          <w:delText xml:space="preserve"> Humira bør </w:delText>
        </w:r>
        <w:r w:rsidR="004F6AD7" w:rsidRPr="009C5EFD">
          <w:rPr>
            <w:sz w:val="22"/>
            <w:szCs w:val="22"/>
          </w:rPr>
          <w:delText>diskuteres</w:delText>
        </w:r>
        <w:r w:rsidRPr="009C5EFD">
          <w:rPr>
            <w:sz w:val="22"/>
            <w:szCs w:val="22"/>
          </w:rPr>
          <w:delText xml:space="preserve"> med ditt barns lege. Barnets symptomer kan komme tilbake etter seponering.</w:delText>
        </w:r>
      </w:del>
    </w:p>
    <w:p w14:paraId="35067370" w14:textId="57EF9244" w:rsidR="005261E2" w:rsidRPr="009C5EFD" w:rsidRDefault="005261E2" w:rsidP="00A6493F">
      <w:pPr>
        <w:rPr>
          <w:del w:id="14172" w:author="AbbVie02no" w:date="2025-05-15T14:19:00Z"/>
          <w:sz w:val="22"/>
          <w:szCs w:val="22"/>
        </w:rPr>
      </w:pPr>
    </w:p>
    <w:p w14:paraId="538772BE" w14:textId="36922227" w:rsidR="00B70F65" w:rsidRPr="009C5EFD" w:rsidRDefault="00E453CD" w:rsidP="00A6493F">
      <w:pPr>
        <w:rPr>
          <w:del w:id="14173" w:author="AbbVie02no" w:date="2025-05-15T14:19:00Z"/>
          <w:sz w:val="22"/>
          <w:szCs w:val="22"/>
        </w:rPr>
      </w:pPr>
      <w:del w:id="14174" w:author="AbbVie02no" w:date="2025-05-15T14:19:00Z">
        <w:r w:rsidRPr="009C5EFD">
          <w:rPr>
            <w:sz w:val="22"/>
            <w:szCs w:val="22"/>
          </w:rPr>
          <w:delText>Spør lege eller apotek dersom du har noen spørsmål om bruken av dette legemidlet.</w:delText>
        </w:r>
      </w:del>
    </w:p>
    <w:p w14:paraId="0E49C1D0" w14:textId="1F34F23C" w:rsidR="00DE3458" w:rsidRPr="009C5EFD" w:rsidRDefault="00DE3458">
      <w:pPr>
        <w:rPr>
          <w:del w:id="14175" w:author="AbbVie02no" w:date="2025-05-15T14:19:00Z"/>
          <w:sz w:val="22"/>
          <w:szCs w:val="22"/>
        </w:rPr>
        <w:pPrChange w:id="14176" w:author="AbbVie02no" w:date="2025-05-15T14:19:00Z">
          <w:pPr>
            <w:suppressAutoHyphens/>
          </w:pPr>
        </w:pPrChange>
      </w:pPr>
    </w:p>
    <w:p w14:paraId="3E9CF36C" w14:textId="4D3DA6E3" w:rsidR="00B70F65" w:rsidRPr="009C5EFD" w:rsidRDefault="00B70F65">
      <w:pPr>
        <w:rPr>
          <w:del w:id="14177" w:author="AbbVie02no" w:date="2025-05-15T14:19:00Z"/>
          <w:sz w:val="22"/>
          <w:szCs w:val="22"/>
        </w:rPr>
        <w:pPrChange w:id="14178" w:author="AbbVie02no" w:date="2025-05-15T14:19:00Z">
          <w:pPr>
            <w:suppressAutoHyphens/>
          </w:pPr>
        </w:pPrChange>
      </w:pPr>
    </w:p>
    <w:p w14:paraId="26334C2E" w14:textId="183BA31E" w:rsidR="00DE3458" w:rsidRPr="009C5EFD" w:rsidRDefault="00E453CD">
      <w:pPr>
        <w:rPr>
          <w:del w:id="14179" w:author="AbbVie02no" w:date="2025-05-15T14:19:00Z"/>
          <w:sz w:val="22"/>
          <w:szCs w:val="22"/>
        </w:rPr>
        <w:pPrChange w:id="14180" w:author="AbbVie02no" w:date="2025-05-15T14:19:00Z">
          <w:pPr>
            <w:keepNext/>
            <w:suppressAutoHyphens/>
            <w:ind w:left="567" w:hanging="567"/>
          </w:pPr>
        </w:pPrChange>
      </w:pPr>
      <w:del w:id="14181" w:author="AbbVie02no" w:date="2025-05-15T14:19:00Z">
        <w:r w:rsidRPr="009C5EFD">
          <w:rPr>
            <w:b/>
            <w:sz w:val="22"/>
            <w:szCs w:val="22"/>
          </w:rPr>
          <w:delText>4.</w:delText>
        </w:r>
        <w:r w:rsidRPr="009C5EFD">
          <w:rPr>
            <w:b/>
            <w:sz w:val="22"/>
            <w:szCs w:val="22"/>
          </w:rPr>
          <w:tab/>
        </w:r>
        <w:r w:rsidR="000816EF" w:rsidRPr="009C5EFD">
          <w:rPr>
            <w:b/>
            <w:sz w:val="22"/>
            <w:szCs w:val="22"/>
          </w:rPr>
          <w:delText>Mulige bivirkninger</w:delText>
        </w:r>
        <w:r w:rsidRPr="009C5EFD">
          <w:rPr>
            <w:b/>
            <w:sz w:val="22"/>
            <w:szCs w:val="22"/>
          </w:rPr>
          <w:delText xml:space="preserve"> </w:delText>
        </w:r>
      </w:del>
    </w:p>
    <w:p w14:paraId="18FE414D" w14:textId="42ED7F2E" w:rsidR="00DE3458" w:rsidRPr="009C5EFD" w:rsidRDefault="00DE3458">
      <w:pPr>
        <w:rPr>
          <w:del w:id="14182" w:author="AbbVie02no" w:date="2025-05-15T14:19:00Z"/>
          <w:sz w:val="22"/>
          <w:szCs w:val="22"/>
        </w:rPr>
        <w:pPrChange w:id="14183" w:author="AbbVie02no" w:date="2025-05-15T14:19:00Z">
          <w:pPr>
            <w:keepNext/>
            <w:suppressAutoHyphens/>
          </w:pPr>
        </w:pPrChange>
      </w:pPr>
    </w:p>
    <w:p w14:paraId="6D1BF07A" w14:textId="458937DD" w:rsidR="00DE3458" w:rsidRPr="009C5EFD" w:rsidRDefault="00E453CD">
      <w:pPr>
        <w:rPr>
          <w:del w:id="14184" w:author="AbbVie02no" w:date="2025-05-15T14:19:00Z"/>
          <w:sz w:val="22"/>
          <w:szCs w:val="22"/>
        </w:rPr>
        <w:pPrChange w:id="14185" w:author="AbbVie02no" w:date="2025-05-15T14:19:00Z">
          <w:pPr>
            <w:suppressAutoHyphens/>
          </w:pPr>
        </w:pPrChange>
      </w:pPr>
      <w:del w:id="14186" w:author="AbbVie02no" w:date="2025-05-15T14:19:00Z">
        <w:r w:rsidRPr="009C5EFD">
          <w:rPr>
            <w:sz w:val="22"/>
            <w:szCs w:val="22"/>
          </w:rPr>
          <w:lastRenderedPageBreak/>
          <w:delText xml:space="preserve">Som alle legemidler kan </w:delText>
        </w:r>
        <w:r w:rsidR="000816EF" w:rsidRPr="009C5EFD">
          <w:rPr>
            <w:sz w:val="22"/>
            <w:szCs w:val="22"/>
          </w:rPr>
          <w:delText xml:space="preserve">dette legemidlet </w:delText>
        </w:r>
        <w:r w:rsidRPr="009C5EFD">
          <w:rPr>
            <w:sz w:val="22"/>
            <w:szCs w:val="22"/>
          </w:rPr>
          <w:delText xml:space="preserve">forårsake bivirkninger, men ikke alle får det. De fleste bivirkningene er milde til moderate. Noen kan imidlertid være alvorlige og kreve behandling. Bivirkninger kan oppstå i minst </w:delText>
        </w:r>
        <w:r w:rsidR="000B52DC" w:rsidRPr="009C5EFD">
          <w:rPr>
            <w:sz w:val="22"/>
            <w:szCs w:val="22"/>
          </w:rPr>
          <w:delText>4</w:delText>
        </w:r>
        <w:r w:rsidRPr="009C5EFD">
          <w:rPr>
            <w:sz w:val="22"/>
            <w:szCs w:val="22"/>
          </w:rPr>
          <w:delText xml:space="preserve"> måneder etter siste injeksjon med Humira.</w:delText>
        </w:r>
      </w:del>
    </w:p>
    <w:p w14:paraId="63E5596D" w14:textId="3C30FF6A" w:rsidR="00DE3458" w:rsidRPr="009C5EFD" w:rsidRDefault="00DE3458">
      <w:pPr>
        <w:rPr>
          <w:del w:id="14187" w:author="AbbVie02no" w:date="2025-05-15T14:19:00Z"/>
          <w:sz w:val="22"/>
          <w:szCs w:val="22"/>
        </w:rPr>
        <w:pPrChange w:id="14188" w:author="AbbVie02no" w:date="2025-05-15T14:19:00Z">
          <w:pPr>
            <w:suppressAutoHyphens/>
          </w:pPr>
        </w:pPrChange>
      </w:pPr>
    </w:p>
    <w:p w14:paraId="70A49405" w14:textId="65BDE711" w:rsidR="00DE3458" w:rsidRDefault="00E453CD">
      <w:pPr>
        <w:rPr>
          <w:del w:id="14189" w:author="AbbVie02no" w:date="2025-05-15T14:19:00Z"/>
          <w:sz w:val="22"/>
          <w:szCs w:val="22"/>
        </w:rPr>
        <w:pPrChange w:id="14190" w:author="AbbVie02no" w:date="2025-05-15T14:19:00Z">
          <w:pPr>
            <w:suppressAutoHyphens/>
          </w:pPr>
        </w:pPrChange>
      </w:pPr>
      <w:del w:id="14191" w:author="AbbVie02no" w:date="2025-05-15T14:19:00Z">
        <w:r w:rsidRPr="009C5EFD">
          <w:rPr>
            <w:sz w:val="22"/>
            <w:szCs w:val="22"/>
          </w:rPr>
          <w:delText>Dersom du merker noe av det følgende, skal du umiddelbart gi beskjed til legen</w:delText>
        </w:r>
      </w:del>
    </w:p>
    <w:p w14:paraId="74CF7375" w14:textId="41565C7B" w:rsidR="005D3D67" w:rsidRPr="009C5EFD" w:rsidRDefault="005D3D67">
      <w:pPr>
        <w:rPr>
          <w:del w:id="14192" w:author="AbbVie02no" w:date="2025-05-15T14:19:00Z"/>
          <w:sz w:val="22"/>
          <w:szCs w:val="22"/>
        </w:rPr>
        <w:pPrChange w:id="14193" w:author="AbbVie02no" w:date="2025-05-15T14:19:00Z">
          <w:pPr>
            <w:suppressAutoHyphens/>
          </w:pPr>
        </w:pPrChange>
      </w:pPr>
    </w:p>
    <w:p w14:paraId="558D4238" w14:textId="2B05C66C" w:rsidR="00DE3458" w:rsidRPr="009C5EFD" w:rsidRDefault="00E453CD">
      <w:pPr>
        <w:rPr>
          <w:del w:id="14194" w:author="AbbVie02no" w:date="2025-05-15T14:19:00Z"/>
          <w:sz w:val="22"/>
          <w:szCs w:val="22"/>
        </w:rPr>
        <w:pPrChange w:id="14195" w:author="AbbVie02no" w:date="2025-05-15T14:19:00Z">
          <w:pPr>
            <w:numPr>
              <w:numId w:val="7"/>
            </w:numPr>
            <w:tabs>
              <w:tab w:val="num" w:pos="567"/>
              <w:tab w:val="num" w:pos="720"/>
            </w:tabs>
            <w:suppressAutoHyphens/>
            <w:ind w:left="567" w:hanging="567"/>
          </w:pPr>
        </w:pPrChange>
      </w:pPr>
      <w:del w:id="14196" w:author="AbbVie02no" w:date="2025-05-15T14:19:00Z">
        <w:r>
          <w:rPr>
            <w:sz w:val="22"/>
            <w:szCs w:val="22"/>
          </w:rPr>
          <w:delText>a</w:delText>
        </w:r>
        <w:r w:rsidRPr="009C5EFD">
          <w:rPr>
            <w:sz w:val="22"/>
            <w:szCs w:val="22"/>
          </w:rPr>
          <w:delText>lvorlig utslett, elveblest eller andre tegn på allergisk reaksjon</w:delText>
        </w:r>
        <w:r w:rsidR="00792B0A" w:rsidRPr="009C5EFD">
          <w:rPr>
            <w:sz w:val="22"/>
            <w:szCs w:val="22"/>
          </w:rPr>
          <w:delText>,</w:delText>
        </w:r>
      </w:del>
    </w:p>
    <w:p w14:paraId="27323BC8" w14:textId="0F986F03" w:rsidR="00DE3458" w:rsidRPr="009C5EFD" w:rsidRDefault="00E453CD">
      <w:pPr>
        <w:rPr>
          <w:del w:id="14197" w:author="AbbVie02no" w:date="2025-05-15T14:19:00Z"/>
          <w:sz w:val="22"/>
          <w:szCs w:val="22"/>
        </w:rPr>
        <w:pPrChange w:id="14198" w:author="AbbVie02no" w:date="2025-05-15T14:19:00Z">
          <w:pPr>
            <w:numPr>
              <w:numId w:val="7"/>
            </w:numPr>
            <w:tabs>
              <w:tab w:val="num" w:pos="567"/>
              <w:tab w:val="num" w:pos="720"/>
            </w:tabs>
            <w:suppressAutoHyphens/>
            <w:ind w:left="567" w:hanging="567"/>
          </w:pPr>
        </w:pPrChange>
      </w:pPr>
      <w:del w:id="14199" w:author="AbbVie02no" w:date="2025-05-15T14:19:00Z">
        <w:r>
          <w:rPr>
            <w:sz w:val="22"/>
            <w:szCs w:val="22"/>
          </w:rPr>
          <w:delText>h</w:delText>
        </w:r>
        <w:r w:rsidRPr="009C5EFD">
          <w:rPr>
            <w:sz w:val="22"/>
            <w:szCs w:val="22"/>
          </w:rPr>
          <w:delText>ovent ansikt, hender, føtter</w:delText>
        </w:r>
        <w:r w:rsidR="00792B0A" w:rsidRPr="009C5EFD">
          <w:rPr>
            <w:sz w:val="22"/>
            <w:szCs w:val="22"/>
          </w:rPr>
          <w:delText>,</w:delText>
        </w:r>
      </w:del>
    </w:p>
    <w:p w14:paraId="4D2C2E8A" w14:textId="7469E043" w:rsidR="00DE3458" w:rsidRPr="009C5EFD" w:rsidRDefault="00E453CD">
      <w:pPr>
        <w:rPr>
          <w:del w:id="14200" w:author="AbbVie02no" w:date="2025-05-15T14:19:00Z"/>
          <w:sz w:val="22"/>
          <w:szCs w:val="22"/>
        </w:rPr>
        <w:pPrChange w:id="14201" w:author="AbbVie02no" w:date="2025-05-15T14:19:00Z">
          <w:pPr>
            <w:numPr>
              <w:numId w:val="7"/>
            </w:numPr>
            <w:tabs>
              <w:tab w:val="num" w:pos="567"/>
              <w:tab w:val="num" w:pos="720"/>
            </w:tabs>
            <w:suppressAutoHyphens/>
            <w:ind w:left="567" w:hanging="567"/>
          </w:pPr>
        </w:pPrChange>
      </w:pPr>
      <w:del w:id="14202" w:author="AbbVie02no" w:date="2025-05-15T14:19:00Z">
        <w:r>
          <w:rPr>
            <w:sz w:val="22"/>
            <w:szCs w:val="22"/>
          </w:rPr>
          <w:delText>p</w:delText>
        </w:r>
        <w:r w:rsidRPr="009C5EFD">
          <w:rPr>
            <w:sz w:val="22"/>
            <w:szCs w:val="22"/>
          </w:rPr>
          <w:delText>uste-, svelgebesvær</w:delText>
        </w:r>
        <w:r w:rsidR="00792B0A" w:rsidRPr="009C5EFD">
          <w:rPr>
            <w:sz w:val="22"/>
            <w:szCs w:val="22"/>
          </w:rPr>
          <w:delText>,</w:delText>
        </w:r>
      </w:del>
    </w:p>
    <w:p w14:paraId="33023787" w14:textId="38890523" w:rsidR="00DE3458" w:rsidRPr="009C5EFD" w:rsidRDefault="00E453CD">
      <w:pPr>
        <w:rPr>
          <w:del w:id="14203" w:author="AbbVie02no" w:date="2025-05-15T14:19:00Z"/>
          <w:sz w:val="22"/>
          <w:szCs w:val="22"/>
        </w:rPr>
        <w:pPrChange w:id="14204" w:author="AbbVie02no" w:date="2025-05-15T14:19:00Z">
          <w:pPr>
            <w:numPr>
              <w:numId w:val="7"/>
            </w:numPr>
            <w:tabs>
              <w:tab w:val="num" w:pos="567"/>
              <w:tab w:val="num" w:pos="720"/>
            </w:tabs>
            <w:suppressAutoHyphens/>
            <w:ind w:left="567" w:hanging="567"/>
          </w:pPr>
        </w:pPrChange>
      </w:pPr>
      <w:del w:id="14205" w:author="AbbVie02no" w:date="2025-05-15T14:19:00Z">
        <w:r>
          <w:rPr>
            <w:sz w:val="22"/>
            <w:szCs w:val="22"/>
          </w:rPr>
          <w:delText>k</w:delText>
        </w:r>
        <w:r w:rsidRPr="009C5EFD">
          <w:rPr>
            <w:sz w:val="22"/>
            <w:szCs w:val="22"/>
          </w:rPr>
          <w:delText>ortpustethet i forbindelse med anstrengelse eller når man ligger ned, eller hevelse i føttene.</w:delText>
        </w:r>
      </w:del>
    </w:p>
    <w:p w14:paraId="7719163F" w14:textId="7B96EDE5" w:rsidR="00DE3458" w:rsidRPr="009C5EFD" w:rsidRDefault="00DE3458">
      <w:pPr>
        <w:rPr>
          <w:del w:id="14206" w:author="AbbVie02no" w:date="2025-05-15T14:19:00Z"/>
          <w:sz w:val="22"/>
          <w:szCs w:val="22"/>
        </w:rPr>
        <w:pPrChange w:id="14207" w:author="AbbVie02no" w:date="2025-05-15T14:19:00Z">
          <w:pPr>
            <w:tabs>
              <w:tab w:val="num" w:pos="567"/>
            </w:tabs>
            <w:suppressAutoHyphens/>
            <w:ind w:left="567" w:hanging="567"/>
          </w:pPr>
        </w:pPrChange>
      </w:pPr>
    </w:p>
    <w:p w14:paraId="187777C9" w14:textId="4CA5C106" w:rsidR="00DE3458" w:rsidRDefault="00E453CD">
      <w:pPr>
        <w:rPr>
          <w:del w:id="14208" w:author="AbbVie02no" w:date="2025-05-15T14:19:00Z"/>
          <w:sz w:val="22"/>
          <w:szCs w:val="22"/>
        </w:rPr>
        <w:pPrChange w:id="14209" w:author="AbbVie02no" w:date="2025-05-15T14:19:00Z">
          <w:pPr>
            <w:tabs>
              <w:tab w:val="num" w:pos="567"/>
            </w:tabs>
            <w:suppressAutoHyphens/>
            <w:ind w:left="567" w:hanging="567"/>
          </w:pPr>
        </w:pPrChange>
      </w:pPr>
      <w:del w:id="14210" w:author="AbbVie02no" w:date="2025-05-15T14:19:00Z">
        <w:r w:rsidRPr="009C5EFD">
          <w:rPr>
            <w:sz w:val="22"/>
            <w:szCs w:val="22"/>
          </w:rPr>
          <w:delText>Gi beskjed til legen så raskt som mulig dersom du merker noe av dette</w:delText>
        </w:r>
      </w:del>
    </w:p>
    <w:p w14:paraId="3A3B081A" w14:textId="0DEAE723" w:rsidR="005D3D67" w:rsidRPr="009C5EFD" w:rsidRDefault="005D3D67">
      <w:pPr>
        <w:rPr>
          <w:del w:id="14211" w:author="AbbVie02no" w:date="2025-05-15T14:19:00Z"/>
          <w:sz w:val="22"/>
          <w:szCs w:val="22"/>
        </w:rPr>
        <w:pPrChange w:id="14212" w:author="AbbVie02no" w:date="2025-05-15T14:19:00Z">
          <w:pPr>
            <w:tabs>
              <w:tab w:val="num" w:pos="567"/>
            </w:tabs>
            <w:suppressAutoHyphens/>
            <w:ind w:left="567" w:hanging="567"/>
          </w:pPr>
        </w:pPrChange>
      </w:pPr>
    </w:p>
    <w:p w14:paraId="05B29C20" w14:textId="15F15599" w:rsidR="00DE3458" w:rsidRPr="009C5EFD" w:rsidRDefault="00E453CD">
      <w:pPr>
        <w:rPr>
          <w:del w:id="14213" w:author="AbbVie02no" w:date="2025-05-15T14:19:00Z"/>
          <w:sz w:val="22"/>
          <w:szCs w:val="22"/>
        </w:rPr>
        <w:pPrChange w:id="14214" w:author="AbbVie02no" w:date="2025-05-15T14:19:00Z">
          <w:pPr>
            <w:numPr>
              <w:numId w:val="8"/>
            </w:numPr>
            <w:tabs>
              <w:tab w:val="num" w:pos="567"/>
              <w:tab w:val="num" w:pos="720"/>
            </w:tabs>
            <w:suppressAutoHyphens/>
            <w:ind w:left="567" w:hanging="567"/>
          </w:pPr>
        </w:pPrChange>
      </w:pPr>
      <w:del w:id="14215" w:author="AbbVie02no" w:date="2025-05-15T14:19:00Z">
        <w:r>
          <w:rPr>
            <w:sz w:val="22"/>
            <w:szCs w:val="22"/>
          </w:rPr>
          <w:delText>t</w:delText>
        </w:r>
        <w:r w:rsidRPr="009C5EFD">
          <w:rPr>
            <w:sz w:val="22"/>
            <w:szCs w:val="22"/>
          </w:rPr>
          <w:delText>egn på infeksjoner, som feber, uvelhet, sår, tannproblemer, svie ved vannlating</w:delText>
        </w:r>
        <w:r w:rsidR="00792B0A" w:rsidRPr="009C5EFD">
          <w:rPr>
            <w:sz w:val="22"/>
            <w:szCs w:val="22"/>
          </w:rPr>
          <w:delText>,</w:delText>
        </w:r>
      </w:del>
    </w:p>
    <w:p w14:paraId="301C2076" w14:textId="23F62B47" w:rsidR="00DE3458" w:rsidRPr="009C5EFD" w:rsidRDefault="00E453CD">
      <w:pPr>
        <w:rPr>
          <w:del w:id="14216" w:author="AbbVie02no" w:date="2025-05-15T14:19:00Z"/>
          <w:sz w:val="22"/>
          <w:szCs w:val="22"/>
        </w:rPr>
        <w:pPrChange w:id="14217" w:author="AbbVie02no" w:date="2025-05-15T14:19:00Z">
          <w:pPr>
            <w:numPr>
              <w:numId w:val="8"/>
            </w:numPr>
            <w:tabs>
              <w:tab w:val="num" w:pos="567"/>
              <w:tab w:val="num" w:pos="720"/>
            </w:tabs>
            <w:suppressAutoHyphens/>
            <w:ind w:left="567" w:hanging="567"/>
          </w:pPr>
        </w:pPrChange>
      </w:pPr>
      <w:del w:id="14218" w:author="AbbVie02no" w:date="2025-05-15T14:19:00Z">
        <w:r>
          <w:rPr>
            <w:sz w:val="22"/>
            <w:szCs w:val="22"/>
          </w:rPr>
          <w:delText>f</w:delText>
        </w:r>
        <w:r w:rsidRPr="009C5EFD">
          <w:rPr>
            <w:sz w:val="22"/>
            <w:szCs w:val="22"/>
          </w:rPr>
          <w:delText>ølelse av svakhet eller tretthet</w:delText>
        </w:r>
        <w:r w:rsidR="00792B0A" w:rsidRPr="009C5EFD">
          <w:rPr>
            <w:sz w:val="22"/>
            <w:szCs w:val="22"/>
          </w:rPr>
          <w:delText>,</w:delText>
        </w:r>
      </w:del>
    </w:p>
    <w:p w14:paraId="4216287B" w14:textId="54990EA3" w:rsidR="00DE3458" w:rsidRPr="009C5EFD" w:rsidRDefault="00E453CD">
      <w:pPr>
        <w:rPr>
          <w:del w:id="14219" w:author="AbbVie02no" w:date="2025-05-15T14:19:00Z"/>
          <w:sz w:val="22"/>
          <w:szCs w:val="22"/>
        </w:rPr>
        <w:pPrChange w:id="14220" w:author="AbbVie02no" w:date="2025-05-15T14:19:00Z">
          <w:pPr>
            <w:numPr>
              <w:numId w:val="8"/>
            </w:numPr>
            <w:tabs>
              <w:tab w:val="num" w:pos="567"/>
              <w:tab w:val="num" w:pos="720"/>
            </w:tabs>
            <w:suppressAutoHyphens/>
            <w:ind w:left="567" w:hanging="567"/>
          </w:pPr>
        </w:pPrChange>
      </w:pPr>
      <w:del w:id="14221" w:author="AbbVie02no" w:date="2025-05-15T14:19:00Z">
        <w:r>
          <w:rPr>
            <w:sz w:val="22"/>
            <w:szCs w:val="22"/>
          </w:rPr>
          <w:delText>h</w:delText>
        </w:r>
        <w:r w:rsidRPr="009C5EFD">
          <w:rPr>
            <w:sz w:val="22"/>
            <w:szCs w:val="22"/>
          </w:rPr>
          <w:delText>oste</w:delText>
        </w:r>
        <w:r w:rsidR="00792B0A" w:rsidRPr="009C5EFD">
          <w:rPr>
            <w:sz w:val="22"/>
            <w:szCs w:val="22"/>
          </w:rPr>
          <w:delText>,</w:delText>
        </w:r>
      </w:del>
    </w:p>
    <w:p w14:paraId="671BD9D0" w14:textId="76031AD3" w:rsidR="00DE3458" w:rsidRPr="009C5EFD" w:rsidRDefault="00E453CD">
      <w:pPr>
        <w:rPr>
          <w:del w:id="14222" w:author="AbbVie02no" w:date="2025-05-15T14:19:00Z"/>
          <w:sz w:val="22"/>
          <w:szCs w:val="22"/>
        </w:rPr>
        <w:pPrChange w:id="14223" w:author="AbbVie02no" w:date="2025-05-15T14:19:00Z">
          <w:pPr>
            <w:numPr>
              <w:numId w:val="8"/>
            </w:numPr>
            <w:tabs>
              <w:tab w:val="num" w:pos="567"/>
              <w:tab w:val="num" w:pos="720"/>
            </w:tabs>
            <w:suppressAutoHyphens/>
            <w:ind w:left="567" w:hanging="567"/>
          </w:pPr>
        </w:pPrChange>
      </w:pPr>
      <w:del w:id="14224" w:author="AbbVie02no" w:date="2025-05-15T14:19:00Z">
        <w:r>
          <w:rPr>
            <w:sz w:val="22"/>
            <w:szCs w:val="22"/>
          </w:rPr>
          <w:delText>p</w:delText>
        </w:r>
        <w:r w:rsidRPr="009C5EFD">
          <w:rPr>
            <w:sz w:val="22"/>
            <w:szCs w:val="22"/>
          </w:rPr>
          <w:delText>rikking</w:delText>
        </w:r>
        <w:r w:rsidR="00792B0A" w:rsidRPr="009C5EFD">
          <w:rPr>
            <w:sz w:val="22"/>
            <w:szCs w:val="22"/>
          </w:rPr>
          <w:delText>,</w:delText>
        </w:r>
      </w:del>
    </w:p>
    <w:p w14:paraId="327FE651" w14:textId="541AB720" w:rsidR="00DE3458" w:rsidRPr="009C5EFD" w:rsidRDefault="00E453CD">
      <w:pPr>
        <w:rPr>
          <w:del w:id="14225" w:author="AbbVie02no" w:date="2025-05-15T14:19:00Z"/>
          <w:sz w:val="22"/>
          <w:szCs w:val="22"/>
        </w:rPr>
        <w:pPrChange w:id="14226" w:author="AbbVie02no" w:date="2025-05-15T14:19:00Z">
          <w:pPr>
            <w:numPr>
              <w:numId w:val="8"/>
            </w:numPr>
            <w:tabs>
              <w:tab w:val="num" w:pos="567"/>
              <w:tab w:val="num" w:pos="720"/>
            </w:tabs>
            <w:suppressAutoHyphens/>
            <w:ind w:left="567" w:hanging="567"/>
          </w:pPr>
        </w:pPrChange>
      </w:pPr>
      <w:del w:id="14227" w:author="AbbVie02no" w:date="2025-05-15T14:19:00Z">
        <w:r>
          <w:rPr>
            <w:sz w:val="22"/>
            <w:szCs w:val="22"/>
          </w:rPr>
          <w:delText>n</w:delText>
        </w:r>
        <w:r w:rsidRPr="009C5EFD">
          <w:rPr>
            <w:sz w:val="22"/>
            <w:szCs w:val="22"/>
          </w:rPr>
          <w:delText>ummenhet</w:delText>
        </w:r>
        <w:r w:rsidR="00792B0A" w:rsidRPr="009C5EFD">
          <w:rPr>
            <w:sz w:val="22"/>
            <w:szCs w:val="22"/>
          </w:rPr>
          <w:delText>,</w:delText>
        </w:r>
      </w:del>
    </w:p>
    <w:p w14:paraId="6FB37E86" w14:textId="620385B8" w:rsidR="00DE3458" w:rsidRPr="009C5EFD" w:rsidRDefault="00E453CD">
      <w:pPr>
        <w:rPr>
          <w:del w:id="14228" w:author="AbbVie02no" w:date="2025-05-15T14:19:00Z"/>
          <w:sz w:val="22"/>
          <w:szCs w:val="22"/>
        </w:rPr>
        <w:pPrChange w:id="14229" w:author="AbbVie02no" w:date="2025-05-15T14:19:00Z">
          <w:pPr>
            <w:numPr>
              <w:numId w:val="8"/>
            </w:numPr>
            <w:tabs>
              <w:tab w:val="num" w:pos="567"/>
              <w:tab w:val="num" w:pos="720"/>
            </w:tabs>
            <w:suppressAutoHyphens/>
            <w:ind w:left="567" w:hanging="567"/>
          </w:pPr>
        </w:pPrChange>
      </w:pPr>
      <w:del w:id="14230" w:author="AbbVie02no" w:date="2025-05-15T14:19:00Z">
        <w:r>
          <w:rPr>
            <w:sz w:val="22"/>
            <w:szCs w:val="22"/>
          </w:rPr>
          <w:delText>d</w:delText>
        </w:r>
        <w:r w:rsidRPr="009C5EFD">
          <w:rPr>
            <w:sz w:val="22"/>
            <w:szCs w:val="22"/>
          </w:rPr>
          <w:delText>obbeltsyn</w:delText>
        </w:r>
        <w:r w:rsidR="00792B0A" w:rsidRPr="009C5EFD">
          <w:rPr>
            <w:sz w:val="22"/>
            <w:szCs w:val="22"/>
          </w:rPr>
          <w:delText>,</w:delText>
        </w:r>
      </w:del>
    </w:p>
    <w:p w14:paraId="5409D75C" w14:textId="3975B178" w:rsidR="00DE3458" w:rsidRPr="009C5EFD" w:rsidRDefault="00E453CD">
      <w:pPr>
        <w:rPr>
          <w:del w:id="14231" w:author="AbbVie02no" w:date="2025-05-15T14:19:00Z"/>
          <w:sz w:val="22"/>
          <w:szCs w:val="22"/>
        </w:rPr>
        <w:pPrChange w:id="14232" w:author="AbbVie02no" w:date="2025-05-15T14:19:00Z">
          <w:pPr>
            <w:numPr>
              <w:numId w:val="8"/>
            </w:numPr>
            <w:tabs>
              <w:tab w:val="num" w:pos="567"/>
              <w:tab w:val="num" w:pos="720"/>
            </w:tabs>
            <w:suppressAutoHyphens/>
            <w:ind w:left="567" w:hanging="567"/>
          </w:pPr>
        </w:pPrChange>
      </w:pPr>
      <w:del w:id="14233" w:author="AbbVie02no" w:date="2025-05-15T14:19:00Z">
        <w:r>
          <w:rPr>
            <w:sz w:val="22"/>
            <w:szCs w:val="22"/>
          </w:rPr>
          <w:delText>s</w:delText>
        </w:r>
        <w:r w:rsidRPr="009C5EFD">
          <w:rPr>
            <w:sz w:val="22"/>
            <w:szCs w:val="22"/>
          </w:rPr>
          <w:delText>vakhet i armer eller bein</w:delText>
        </w:r>
        <w:r w:rsidR="00792B0A" w:rsidRPr="009C5EFD">
          <w:rPr>
            <w:sz w:val="22"/>
            <w:szCs w:val="22"/>
          </w:rPr>
          <w:delText>,</w:delText>
        </w:r>
      </w:del>
    </w:p>
    <w:p w14:paraId="1897C7DB" w14:textId="5052BE7A" w:rsidR="00DE3458" w:rsidRPr="009C5EFD" w:rsidRDefault="00E453CD">
      <w:pPr>
        <w:rPr>
          <w:del w:id="14234" w:author="AbbVie02no" w:date="2025-05-15T14:19:00Z"/>
          <w:sz w:val="22"/>
          <w:szCs w:val="22"/>
        </w:rPr>
        <w:pPrChange w:id="14235" w:author="AbbVie02no" w:date="2025-05-15T14:19:00Z">
          <w:pPr>
            <w:numPr>
              <w:numId w:val="8"/>
            </w:numPr>
            <w:tabs>
              <w:tab w:val="num" w:pos="567"/>
              <w:tab w:val="num" w:pos="720"/>
            </w:tabs>
            <w:suppressAutoHyphens/>
            <w:ind w:left="567" w:hanging="567"/>
          </w:pPr>
        </w:pPrChange>
      </w:pPr>
      <w:del w:id="14236" w:author="AbbVie02no" w:date="2025-05-15T14:19:00Z">
        <w:r>
          <w:rPr>
            <w:sz w:val="22"/>
            <w:szCs w:val="22"/>
          </w:rPr>
          <w:delText>e</w:delText>
        </w:r>
        <w:r w:rsidRPr="009C5EFD">
          <w:rPr>
            <w:sz w:val="22"/>
            <w:szCs w:val="22"/>
          </w:rPr>
          <w:delText>n kul eller åpent sår som ikke gror</w:delText>
        </w:r>
        <w:r w:rsidR="00792B0A" w:rsidRPr="009C5EFD">
          <w:rPr>
            <w:sz w:val="22"/>
            <w:szCs w:val="22"/>
          </w:rPr>
          <w:delText>,</w:delText>
        </w:r>
      </w:del>
    </w:p>
    <w:p w14:paraId="11DAD176" w14:textId="6E17E359" w:rsidR="00792B0A" w:rsidRPr="009C5EFD" w:rsidRDefault="00E453CD">
      <w:pPr>
        <w:rPr>
          <w:del w:id="14237" w:author="AbbVie02no" w:date="2025-05-15T14:19:00Z"/>
          <w:sz w:val="22"/>
          <w:szCs w:val="22"/>
        </w:rPr>
        <w:pPrChange w:id="14238" w:author="AbbVie02no" w:date="2025-05-15T14:19:00Z">
          <w:pPr>
            <w:numPr>
              <w:numId w:val="8"/>
            </w:numPr>
            <w:tabs>
              <w:tab w:val="num" w:pos="567"/>
              <w:tab w:val="num" w:pos="720"/>
            </w:tabs>
            <w:suppressAutoHyphens/>
            <w:ind w:left="567" w:hanging="567"/>
          </w:pPr>
        </w:pPrChange>
      </w:pPr>
      <w:del w:id="14239" w:author="AbbVie02no" w:date="2025-05-15T14:19:00Z">
        <w:r>
          <w:rPr>
            <w:sz w:val="22"/>
            <w:szCs w:val="22"/>
          </w:rPr>
          <w:delText>t</w:delText>
        </w:r>
        <w:r w:rsidRPr="009C5EFD">
          <w:rPr>
            <w:sz w:val="22"/>
            <w:szCs w:val="22"/>
          </w:rPr>
          <w:delText>egn og symptomer på blodsykdommer som for eksempel vedvarende feber, blåmerker, blødninger, blekhet.</w:delText>
        </w:r>
      </w:del>
    </w:p>
    <w:p w14:paraId="12A2587D" w14:textId="2579C059" w:rsidR="00DE3458" w:rsidRPr="009C5EFD" w:rsidRDefault="00DE3458">
      <w:pPr>
        <w:rPr>
          <w:del w:id="14240" w:author="AbbVie02no" w:date="2025-05-15T14:19:00Z"/>
          <w:sz w:val="22"/>
          <w:szCs w:val="22"/>
        </w:rPr>
        <w:pPrChange w:id="14241" w:author="AbbVie02no" w:date="2025-05-15T14:19:00Z">
          <w:pPr>
            <w:suppressAutoHyphens/>
          </w:pPr>
        </w:pPrChange>
      </w:pPr>
    </w:p>
    <w:p w14:paraId="792964DC" w14:textId="37DB8D7B" w:rsidR="00DE3458" w:rsidRPr="009C5EFD" w:rsidRDefault="00E453CD">
      <w:pPr>
        <w:rPr>
          <w:del w:id="14242" w:author="AbbVie02no" w:date="2025-05-15T14:19:00Z"/>
          <w:sz w:val="22"/>
          <w:szCs w:val="22"/>
        </w:rPr>
        <w:pPrChange w:id="14243" w:author="AbbVie02no" w:date="2025-05-15T14:19:00Z">
          <w:pPr>
            <w:suppressAutoHyphens/>
          </w:pPr>
        </w:pPrChange>
      </w:pPr>
      <w:del w:id="14244" w:author="AbbVie02no" w:date="2025-05-15T14:19:00Z">
        <w:r w:rsidRPr="009C5EFD">
          <w:rPr>
            <w:sz w:val="22"/>
            <w:szCs w:val="22"/>
          </w:rPr>
          <w:delText>Symptomene beskrevet over kan være tegn på bivirkningene nedenfor, som er sett med Humira</w:delText>
        </w:r>
        <w:r w:rsidR="00E0374F">
          <w:rPr>
            <w:sz w:val="22"/>
            <w:szCs w:val="22"/>
          </w:rPr>
          <w:delText>.</w:delText>
        </w:r>
      </w:del>
    </w:p>
    <w:p w14:paraId="440F47A1" w14:textId="7CCF79CD" w:rsidR="00DE3458" w:rsidRPr="009C5EFD" w:rsidRDefault="00DE3458">
      <w:pPr>
        <w:rPr>
          <w:del w:id="14245" w:author="AbbVie02no" w:date="2025-05-15T14:19:00Z"/>
          <w:sz w:val="22"/>
          <w:szCs w:val="22"/>
        </w:rPr>
        <w:pPrChange w:id="14246" w:author="AbbVie02no" w:date="2025-05-15T14:19:00Z">
          <w:pPr>
            <w:suppressAutoHyphens/>
          </w:pPr>
        </w:pPrChange>
      </w:pPr>
    </w:p>
    <w:p w14:paraId="193BC122" w14:textId="2028BC47" w:rsidR="00CF2078" w:rsidRDefault="00E453CD">
      <w:pPr>
        <w:rPr>
          <w:del w:id="14247" w:author="AbbVie02no" w:date="2025-05-15T14:19:00Z"/>
          <w:sz w:val="22"/>
          <w:szCs w:val="22"/>
        </w:rPr>
        <w:pPrChange w:id="14248" w:author="AbbVie02no" w:date="2025-05-15T14:19:00Z">
          <w:pPr>
            <w:keepNext/>
            <w:suppressAutoHyphens/>
          </w:pPr>
        </w:pPrChange>
      </w:pPr>
      <w:del w:id="14249" w:author="AbbVie02no" w:date="2025-05-15T14:19:00Z">
        <w:r w:rsidRPr="006936CB">
          <w:rPr>
            <w:sz w:val="22"/>
            <w:szCs w:val="22"/>
          </w:rPr>
          <w:delText>Svært vanlige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 xml:space="preserve">forekomme hos </w:delText>
        </w:r>
        <w:r w:rsidR="006A6F54" w:rsidRPr="009C5EFD">
          <w:rPr>
            <w:sz w:val="22"/>
            <w:szCs w:val="22"/>
          </w:rPr>
          <w:delText>flere</w:delText>
        </w:r>
        <w:r w:rsidRPr="009C5EFD">
          <w:rPr>
            <w:sz w:val="22"/>
            <w:szCs w:val="22"/>
          </w:rPr>
          <w:delText xml:space="preserve"> enn 1 </w:delText>
        </w:r>
        <w:r w:rsidR="00E30ED5" w:rsidRPr="009C5EFD">
          <w:rPr>
            <w:sz w:val="22"/>
            <w:szCs w:val="22"/>
          </w:rPr>
          <w:delText>av</w:delText>
        </w:r>
        <w:r w:rsidRPr="009C5EFD">
          <w:rPr>
            <w:sz w:val="22"/>
            <w:szCs w:val="22"/>
          </w:rPr>
          <w:delText xml:space="preserve"> 10 </w:delText>
        </w:r>
        <w:r w:rsidR="0099090E" w:rsidRPr="009C5EFD">
          <w:rPr>
            <w:sz w:val="22"/>
            <w:szCs w:val="22"/>
          </w:rPr>
          <w:delText>personer</w:delText>
        </w:r>
        <w:r w:rsidRPr="009C5EFD">
          <w:rPr>
            <w:sz w:val="22"/>
            <w:szCs w:val="22"/>
          </w:rPr>
          <w:delText>)</w:delText>
        </w:r>
      </w:del>
    </w:p>
    <w:p w14:paraId="246D006F" w14:textId="03FDB4CE" w:rsidR="00DE3458" w:rsidRPr="009C5EFD" w:rsidRDefault="00E453CD">
      <w:pPr>
        <w:rPr>
          <w:del w:id="14250" w:author="AbbVie02no" w:date="2025-05-15T14:19:00Z"/>
          <w:sz w:val="22"/>
          <w:szCs w:val="22"/>
        </w:rPr>
        <w:pPrChange w:id="14251" w:author="AbbVie02no" w:date="2025-05-15T14:19:00Z">
          <w:pPr>
            <w:keepNext/>
            <w:suppressAutoHyphens/>
          </w:pPr>
        </w:pPrChange>
      </w:pPr>
      <w:del w:id="14252" w:author="AbbVie02no" w:date="2025-05-15T14:19:00Z">
        <w:r w:rsidRPr="009C5EFD">
          <w:rPr>
            <w:sz w:val="22"/>
            <w:szCs w:val="22"/>
          </w:rPr>
          <w:delText xml:space="preserve">  </w:delText>
        </w:r>
      </w:del>
    </w:p>
    <w:p w14:paraId="04B655F4" w14:textId="6F203D43" w:rsidR="00DE3458" w:rsidRPr="009C5EFD" w:rsidRDefault="00E453CD">
      <w:pPr>
        <w:rPr>
          <w:del w:id="14253" w:author="AbbVie02no" w:date="2025-05-15T14:19:00Z"/>
          <w:sz w:val="22"/>
          <w:szCs w:val="22"/>
        </w:rPr>
        <w:pPrChange w:id="14254" w:author="AbbVie02no" w:date="2025-05-15T14:19:00Z">
          <w:pPr>
            <w:numPr>
              <w:numId w:val="9"/>
            </w:numPr>
            <w:tabs>
              <w:tab w:val="num" w:pos="540"/>
              <w:tab w:val="num" w:pos="720"/>
            </w:tabs>
            <w:suppressAutoHyphens/>
            <w:ind w:left="720" w:hanging="360"/>
          </w:pPr>
        </w:pPrChange>
      </w:pPr>
      <w:del w:id="14255" w:author="AbbVie02no" w:date="2025-05-15T14:19:00Z">
        <w:r w:rsidRPr="009C5EFD">
          <w:rPr>
            <w:sz w:val="22"/>
            <w:szCs w:val="22"/>
          </w:rPr>
          <w:delText>reaksjoner på injeksjonsstedet (inkludert smerte</w:delText>
        </w:r>
        <w:r w:rsidR="005F38E5">
          <w:rPr>
            <w:sz w:val="22"/>
            <w:szCs w:val="22"/>
          </w:rPr>
          <w:delText>r</w:delText>
        </w:r>
        <w:r w:rsidRPr="009C5EFD">
          <w:rPr>
            <w:sz w:val="22"/>
            <w:szCs w:val="22"/>
          </w:rPr>
          <w:delText>, hevelse, rødme eller kløe)</w:delText>
        </w:r>
        <w:r w:rsidR="001D0AB0">
          <w:rPr>
            <w:sz w:val="22"/>
            <w:szCs w:val="22"/>
          </w:rPr>
          <w:delText>,</w:delText>
        </w:r>
      </w:del>
    </w:p>
    <w:p w14:paraId="620C2AE2" w14:textId="6B55AFB2" w:rsidR="006B0D92" w:rsidRPr="009C5EFD" w:rsidRDefault="00E453CD">
      <w:pPr>
        <w:rPr>
          <w:del w:id="14256" w:author="AbbVie02no" w:date="2025-05-15T14:19:00Z"/>
          <w:sz w:val="22"/>
          <w:szCs w:val="22"/>
        </w:rPr>
        <w:pPrChange w:id="14257" w:author="AbbVie02no" w:date="2025-05-15T14:19:00Z">
          <w:pPr>
            <w:numPr>
              <w:numId w:val="9"/>
            </w:numPr>
            <w:tabs>
              <w:tab w:val="num" w:pos="540"/>
              <w:tab w:val="num" w:pos="720"/>
            </w:tabs>
            <w:suppressAutoHyphens/>
            <w:ind w:left="720" w:hanging="360"/>
          </w:pPr>
        </w:pPrChange>
      </w:pPr>
      <w:del w:id="14258" w:author="AbbVie02no" w:date="2025-05-15T14:19:00Z">
        <w:r w:rsidRPr="009C5EFD">
          <w:rPr>
            <w:sz w:val="22"/>
            <w:szCs w:val="22"/>
          </w:rPr>
          <w:delText>luftveisinfeksjon (inkludert forkjølelse, rennende nese, bihulebetennelse, lungebetennelse),</w:delText>
        </w:r>
      </w:del>
    </w:p>
    <w:p w14:paraId="07D6179E" w14:textId="73B32F53" w:rsidR="006B0D92" w:rsidRPr="009C5EFD" w:rsidRDefault="00E453CD">
      <w:pPr>
        <w:rPr>
          <w:del w:id="14259" w:author="AbbVie02no" w:date="2025-05-15T14:19:00Z"/>
          <w:sz w:val="22"/>
          <w:szCs w:val="22"/>
        </w:rPr>
        <w:pPrChange w:id="14260" w:author="AbbVie02no" w:date="2025-05-15T14:19:00Z">
          <w:pPr>
            <w:numPr>
              <w:numId w:val="9"/>
            </w:numPr>
            <w:tabs>
              <w:tab w:val="num" w:pos="540"/>
              <w:tab w:val="num" w:pos="720"/>
            </w:tabs>
            <w:suppressAutoHyphens/>
            <w:ind w:left="720" w:hanging="360"/>
          </w:pPr>
        </w:pPrChange>
      </w:pPr>
      <w:del w:id="14261" w:author="AbbVie02no" w:date="2025-05-15T14:19:00Z">
        <w:r w:rsidRPr="009C5EFD">
          <w:rPr>
            <w:sz w:val="22"/>
            <w:szCs w:val="22"/>
          </w:rPr>
          <w:delText>hodepine,</w:delText>
        </w:r>
      </w:del>
    </w:p>
    <w:p w14:paraId="3B54B103" w14:textId="6983CC99" w:rsidR="006B0D92" w:rsidRPr="009C5EFD" w:rsidRDefault="00E453CD">
      <w:pPr>
        <w:rPr>
          <w:del w:id="14262" w:author="AbbVie02no" w:date="2025-05-15T14:19:00Z"/>
          <w:sz w:val="22"/>
          <w:szCs w:val="22"/>
        </w:rPr>
        <w:pPrChange w:id="14263" w:author="AbbVie02no" w:date="2025-05-15T14:19:00Z">
          <w:pPr>
            <w:numPr>
              <w:numId w:val="9"/>
            </w:numPr>
            <w:tabs>
              <w:tab w:val="num" w:pos="540"/>
              <w:tab w:val="num" w:pos="720"/>
            </w:tabs>
            <w:suppressAutoHyphens/>
            <w:ind w:left="720" w:hanging="360"/>
          </w:pPr>
        </w:pPrChange>
      </w:pPr>
      <w:del w:id="14264" w:author="AbbVie02no" w:date="2025-05-15T14:19:00Z">
        <w:r w:rsidRPr="009C5EFD">
          <w:rPr>
            <w:sz w:val="22"/>
            <w:szCs w:val="22"/>
          </w:rPr>
          <w:delText>smerter i buken,</w:delText>
        </w:r>
      </w:del>
    </w:p>
    <w:p w14:paraId="3B1784CD" w14:textId="23C874DC" w:rsidR="006B0D92" w:rsidRPr="009C5EFD" w:rsidRDefault="00E453CD">
      <w:pPr>
        <w:rPr>
          <w:del w:id="14265" w:author="AbbVie02no" w:date="2025-05-15T14:19:00Z"/>
          <w:sz w:val="22"/>
          <w:szCs w:val="22"/>
        </w:rPr>
        <w:pPrChange w:id="14266" w:author="AbbVie02no" w:date="2025-05-15T14:19:00Z">
          <w:pPr>
            <w:numPr>
              <w:numId w:val="9"/>
            </w:numPr>
            <w:tabs>
              <w:tab w:val="num" w:pos="540"/>
              <w:tab w:val="num" w:pos="720"/>
            </w:tabs>
            <w:suppressAutoHyphens/>
            <w:ind w:left="720" w:hanging="360"/>
          </w:pPr>
        </w:pPrChange>
      </w:pPr>
      <w:del w:id="14267" w:author="AbbVie02no" w:date="2025-05-15T14:19:00Z">
        <w:r w:rsidRPr="009C5EFD">
          <w:rPr>
            <w:sz w:val="22"/>
            <w:szCs w:val="22"/>
          </w:rPr>
          <w:delText>kvalme og oppkast,</w:delText>
        </w:r>
      </w:del>
    </w:p>
    <w:p w14:paraId="104E759B" w14:textId="6927020B" w:rsidR="006B0D92" w:rsidRPr="009C5EFD" w:rsidRDefault="00E453CD">
      <w:pPr>
        <w:rPr>
          <w:del w:id="14268" w:author="AbbVie02no" w:date="2025-05-15T14:19:00Z"/>
          <w:sz w:val="22"/>
          <w:szCs w:val="22"/>
        </w:rPr>
        <w:pPrChange w:id="14269" w:author="AbbVie02no" w:date="2025-05-15T14:19:00Z">
          <w:pPr>
            <w:numPr>
              <w:numId w:val="9"/>
            </w:numPr>
            <w:tabs>
              <w:tab w:val="num" w:pos="540"/>
              <w:tab w:val="num" w:pos="720"/>
            </w:tabs>
            <w:suppressAutoHyphens/>
            <w:ind w:left="720" w:hanging="360"/>
          </w:pPr>
        </w:pPrChange>
      </w:pPr>
      <w:del w:id="14270" w:author="AbbVie02no" w:date="2025-05-15T14:19:00Z">
        <w:r w:rsidRPr="009C5EFD">
          <w:rPr>
            <w:sz w:val="22"/>
            <w:szCs w:val="22"/>
          </w:rPr>
          <w:delText>utslett,</w:delText>
        </w:r>
      </w:del>
    </w:p>
    <w:p w14:paraId="2D027993" w14:textId="74060EA4" w:rsidR="006B0D92" w:rsidRPr="009C5EFD" w:rsidRDefault="00E453CD">
      <w:pPr>
        <w:rPr>
          <w:del w:id="14271" w:author="AbbVie02no" w:date="2025-05-15T14:19:00Z"/>
          <w:sz w:val="22"/>
          <w:szCs w:val="22"/>
        </w:rPr>
        <w:pPrChange w:id="14272" w:author="AbbVie02no" w:date="2025-05-15T14:19:00Z">
          <w:pPr>
            <w:numPr>
              <w:numId w:val="9"/>
            </w:numPr>
            <w:tabs>
              <w:tab w:val="num" w:pos="540"/>
              <w:tab w:val="num" w:pos="720"/>
            </w:tabs>
            <w:suppressAutoHyphens/>
            <w:ind w:left="720" w:hanging="360"/>
          </w:pPr>
        </w:pPrChange>
      </w:pPr>
      <w:del w:id="14273" w:author="AbbVie02no" w:date="2025-05-15T14:19:00Z">
        <w:r w:rsidRPr="009C5EFD">
          <w:rPr>
            <w:sz w:val="22"/>
            <w:szCs w:val="22"/>
          </w:rPr>
          <w:delText>smerter i muskler og skjelett.</w:delText>
        </w:r>
      </w:del>
    </w:p>
    <w:p w14:paraId="52FED411" w14:textId="276C8E95" w:rsidR="006B0D92" w:rsidRPr="009C5EFD" w:rsidRDefault="006B0D92">
      <w:pPr>
        <w:rPr>
          <w:del w:id="14274" w:author="AbbVie02no" w:date="2025-05-15T14:19:00Z"/>
          <w:szCs w:val="22"/>
        </w:rPr>
        <w:pPrChange w:id="14275" w:author="AbbVie02no" w:date="2025-05-15T14:19:00Z">
          <w:pPr>
            <w:pStyle w:val="EndnoteText"/>
            <w:widowControl/>
            <w:tabs>
              <w:tab w:val="clear" w:pos="567"/>
            </w:tabs>
            <w:suppressAutoHyphens/>
          </w:pPr>
        </w:pPrChange>
      </w:pPr>
    </w:p>
    <w:p w14:paraId="151A7DF3" w14:textId="799EAA3C" w:rsidR="00CF2078" w:rsidRDefault="00E453CD">
      <w:pPr>
        <w:rPr>
          <w:del w:id="14276" w:author="AbbVie02no" w:date="2025-05-15T14:19:00Z"/>
          <w:sz w:val="22"/>
          <w:szCs w:val="22"/>
        </w:rPr>
        <w:pPrChange w:id="14277" w:author="AbbVie02no" w:date="2025-05-15T14:19:00Z">
          <w:pPr>
            <w:keepNext/>
            <w:suppressAutoHyphens/>
          </w:pPr>
        </w:pPrChange>
      </w:pPr>
      <w:del w:id="14278" w:author="AbbVie02no" w:date="2025-05-15T14:19:00Z">
        <w:r w:rsidRPr="006936CB">
          <w:rPr>
            <w:sz w:val="22"/>
            <w:szCs w:val="22"/>
          </w:rPr>
          <w:delText>Vanlige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 xml:space="preserve">forekomme hos </w:delText>
        </w:r>
        <w:r w:rsidR="0099090E" w:rsidRPr="009C5EFD">
          <w:rPr>
            <w:sz w:val="22"/>
            <w:szCs w:val="22"/>
          </w:rPr>
          <w:delText>opptil</w:delText>
        </w:r>
        <w:r w:rsidR="008861C9" w:rsidRPr="009C5EFD">
          <w:rPr>
            <w:sz w:val="22"/>
            <w:szCs w:val="22"/>
          </w:rPr>
          <w:delText xml:space="preserve"> </w:delText>
        </w:r>
        <w:r w:rsidRPr="009C5EFD">
          <w:rPr>
            <w:sz w:val="22"/>
            <w:szCs w:val="22"/>
          </w:rPr>
          <w:delText xml:space="preserve">1 </w:delText>
        </w:r>
        <w:r w:rsidR="00E30ED5" w:rsidRPr="009C5EFD">
          <w:rPr>
            <w:sz w:val="22"/>
            <w:szCs w:val="22"/>
          </w:rPr>
          <w:delText>av</w:delText>
        </w:r>
        <w:r w:rsidRPr="009C5EFD">
          <w:rPr>
            <w:sz w:val="22"/>
            <w:szCs w:val="22"/>
          </w:rPr>
          <w:delText xml:space="preserve"> 10 </w:delText>
        </w:r>
        <w:r w:rsidR="0099090E" w:rsidRPr="009C5EFD">
          <w:rPr>
            <w:sz w:val="22"/>
            <w:szCs w:val="22"/>
          </w:rPr>
          <w:delText>personer</w:delText>
        </w:r>
        <w:r w:rsidRPr="009C5EFD">
          <w:rPr>
            <w:sz w:val="22"/>
            <w:szCs w:val="22"/>
          </w:rPr>
          <w:delText>)</w:delText>
        </w:r>
      </w:del>
    </w:p>
    <w:p w14:paraId="345E8ABA" w14:textId="2A301011" w:rsidR="006B0D92" w:rsidRPr="009C5EFD" w:rsidRDefault="00E453CD">
      <w:pPr>
        <w:rPr>
          <w:del w:id="14279" w:author="AbbVie02no" w:date="2025-05-15T14:19:00Z"/>
          <w:sz w:val="22"/>
          <w:szCs w:val="22"/>
        </w:rPr>
        <w:pPrChange w:id="14280" w:author="AbbVie02no" w:date="2025-05-15T14:19:00Z">
          <w:pPr>
            <w:keepNext/>
            <w:suppressAutoHyphens/>
          </w:pPr>
        </w:pPrChange>
      </w:pPr>
      <w:del w:id="14281" w:author="AbbVie02no" w:date="2025-05-15T14:19:00Z">
        <w:r w:rsidRPr="009C5EFD">
          <w:rPr>
            <w:sz w:val="22"/>
            <w:szCs w:val="22"/>
          </w:rPr>
          <w:delText xml:space="preserve"> </w:delText>
        </w:r>
      </w:del>
    </w:p>
    <w:p w14:paraId="29FCC4EF" w14:textId="19C663F3" w:rsidR="006B0D92" w:rsidRDefault="00E453CD">
      <w:pPr>
        <w:rPr>
          <w:del w:id="14282" w:author="AbbVie02no" w:date="2025-05-15T14:19:00Z"/>
          <w:sz w:val="22"/>
          <w:szCs w:val="22"/>
        </w:rPr>
        <w:pPrChange w:id="14283" w:author="AbbVie02no" w:date="2025-05-15T14:19:00Z">
          <w:pPr>
            <w:numPr>
              <w:numId w:val="9"/>
            </w:numPr>
            <w:tabs>
              <w:tab w:val="num" w:pos="540"/>
              <w:tab w:val="num" w:pos="720"/>
            </w:tabs>
            <w:suppressAutoHyphens/>
            <w:ind w:left="720" w:hanging="360"/>
          </w:pPr>
        </w:pPrChange>
      </w:pPr>
      <w:del w:id="14284" w:author="AbbVie02no" w:date="2025-05-15T14:19:00Z">
        <w:r>
          <w:rPr>
            <w:sz w:val="22"/>
            <w:szCs w:val="22"/>
          </w:rPr>
          <w:delText>alvorlige</w:delText>
        </w:r>
        <w:r w:rsidR="00714EE6" w:rsidRPr="009C5EFD">
          <w:rPr>
            <w:sz w:val="22"/>
            <w:szCs w:val="22"/>
          </w:rPr>
          <w:delText xml:space="preserve"> </w:delText>
        </w:r>
        <w:r w:rsidRPr="009C5EFD">
          <w:rPr>
            <w:sz w:val="22"/>
            <w:szCs w:val="22"/>
          </w:rPr>
          <w:delText>infeksjoner (inkludert blodforgiftning og influensa)</w:delText>
        </w:r>
        <w:r w:rsidR="00F402ED" w:rsidRPr="009C5EFD">
          <w:rPr>
            <w:sz w:val="22"/>
            <w:szCs w:val="22"/>
          </w:rPr>
          <w:delText>,</w:delText>
        </w:r>
      </w:del>
    </w:p>
    <w:p w14:paraId="611BC39D" w14:textId="5B5191EF" w:rsidR="00714EE6" w:rsidRPr="009C5EFD" w:rsidRDefault="00E453CD">
      <w:pPr>
        <w:rPr>
          <w:del w:id="14285" w:author="AbbVie02no" w:date="2025-05-15T14:19:00Z"/>
          <w:sz w:val="22"/>
          <w:szCs w:val="22"/>
        </w:rPr>
        <w:pPrChange w:id="14286" w:author="AbbVie02no" w:date="2025-05-15T14:19:00Z">
          <w:pPr>
            <w:numPr>
              <w:numId w:val="9"/>
            </w:numPr>
            <w:tabs>
              <w:tab w:val="num" w:pos="540"/>
              <w:tab w:val="num" w:pos="720"/>
            </w:tabs>
            <w:suppressAutoHyphens/>
            <w:ind w:left="720" w:hanging="360"/>
          </w:pPr>
        </w:pPrChange>
      </w:pPr>
      <w:del w:id="14287" w:author="AbbVie02no" w:date="2025-05-15T14:19:00Z">
        <w:r>
          <w:rPr>
            <w:sz w:val="22"/>
            <w:szCs w:val="22"/>
          </w:rPr>
          <w:delText>mageinfeksjon (inkludert gastroenteritt),</w:delText>
        </w:r>
      </w:del>
    </w:p>
    <w:p w14:paraId="012C401F" w14:textId="508C5664" w:rsidR="006B0D92" w:rsidRPr="009C5EFD" w:rsidRDefault="00E453CD">
      <w:pPr>
        <w:rPr>
          <w:del w:id="14288" w:author="AbbVie02no" w:date="2025-05-15T14:19:00Z"/>
          <w:sz w:val="22"/>
          <w:szCs w:val="22"/>
        </w:rPr>
        <w:pPrChange w:id="14289" w:author="AbbVie02no" w:date="2025-05-15T14:19:00Z">
          <w:pPr>
            <w:numPr>
              <w:numId w:val="9"/>
            </w:numPr>
            <w:tabs>
              <w:tab w:val="num" w:pos="540"/>
              <w:tab w:val="num" w:pos="720"/>
            </w:tabs>
            <w:suppressAutoHyphens/>
            <w:ind w:left="720" w:hanging="360"/>
          </w:pPr>
        </w:pPrChange>
      </w:pPr>
      <w:del w:id="14290" w:author="AbbVie02no" w:date="2025-05-15T14:19:00Z">
        <w:r w:rsidRPr="009C5EFD">
          <w:rPr>
            <w:sz w:val="22"/>
            <w:szCs w:val="22"/>
          </w:rPr>
          <w:delText>hudinfeksjon (inkludert cellulitt (betennelse med hevelse og ømhet i bindevev) og helvetesild),</w:delText>
        </w:r>
      </w:del>
    </w:p>
    <w:p w14:paraId="19A48FD3" w14:textId="1D789B11" w:rsidR="006B0D92" w:rsidRPr="009C5EFD" w:rsidRDefault="00E453CD">
      <w:pPr>
        <w:rPr>
          <w:del w:id="14291" w:author="AbbVie02no" w:date="2025-05-15T14:19:00Z"/>
          <w:sz w:val="22"/>
          <w:szCs w:val="22"/>
        </w:rPr>
        <w:pPrChange w:id="14292" w:author="AbbVie02no" w:date="2025-05-15T14:19:00Z">
          <w:pPr>
            <w:numPr>
              <w:numId w:val="9"/>
            </w:numPr>
            <w:tabs>
              <w:tab w:val="num" w:pos="540"/>
              <w:tab w:val="num" w:pos="720"/>
            </w:tabs>
            <w:suppressAutoHyphens/>
            <w:ind w:left="720" w:hanging="360"/>
          </w:pPr>
        </w:pPrChange>
      </w:pPr>
      <w:del w:id="14293" w:author="AbbVie02no" w:date="2025-05-15T14:19:00Z">
        <w:r w:rsidRPr="009C5EFD">
          <w:rPr>
            <w:sz w:val="22"/>
            <w:szCs w:val="22"/>
          </w:rPr>
          <w:delText>øreinfeksjon,</w:delText>
        </w:r>
      </w:del>
    </w:p>
    <w:p w14:paraId="592E4BB9" w14:textId="079A5DCA" w:rsidR="006B0D92" w:rsidRPr="009C5EFD" w:rsidRDefault="00E453CD">
      <w:pPr>
        <w:rPr>
          <w:del w:id="14294" w:author="AbbVie02no" w:date="2025-05-15T14:19:00Z"/>
          <w:sz w:val="22"/>
          <w:szCs w:val="22"/>
        </w:rPr>
        <w:pPrChange w:id="14295" w:author="AbbVie02no" w:date="2025-05-15T14:19:00Z">
          <w:pPr>
            <w:numPr>
              <w:numId w:val="9"/>
            </w:numPr>
            <w:tabs>
              <w:tab w:val="num" w:pos="540"/>
              <w:tab w:val="num" w:pos="720"/>
            </w:tabs>
            <w:suppressAutoHyphens/>
            <w:ind w:left="720" w:hanging="360"/>
          </w:pPr>
        </w:pPrChange>
      </w:pPr>
      <w:del w:id="14296" w:author="AbbVie02no" w:date="2025-05-15T14:19:00Z">
        <w:r w:rsidRPr="009C5EFD">
          <w:rPr>
            <w:sz w:val="22"/>
            <w:szCs w:val="22"/>
          </w:rPr>
          <w:delText>munninfeksjon (inkludert tanninfeksjoner og forkjølelsessår),</w:delText>
        </w:r>
      </w:del>
    </w:p>
    <w:p w14:paraId="601BD4C8" w14:textId="2DD496D1" w:rsidR="006B0D92" w:rsidRPr="009C5EFD" w:rsidRDefault="00E453CD">
      <w:pPr>
        <w:rPr>
          <w:del w:id="14297" w:author="AbbVie02no" w:date="2025-05-15T14:19:00Z"/>
          <w:sz w:val="22"/>
          <w:szCs w:val="22"/>
        </w:rPr>
        <w:pPrChange w:id="14298" w:author="AbbVie02no" w:date="2025-05-15T14:19:00Z">
          <w:pPr>
            <w:numPr>
              <w:numId w:val="9"/>
            </w:numPr>
            <w:tabs>
              <w:tab w:val="num" w:pos="540"/>
              <w:tab w:val="num" w:pos="720"/>
            </w:tabs>
            <w:suppressAutoHyphens/>
            <w:ind w:left="720" w:hanging="360"/>
          </w:pPr>
        </w:pPrChange>
      </w:pPr>
      <w:del w:id="14299" w:author="AbbVie02no" w:date="2025-05-15T14:19:00Z">
        <w:r w:rsidRPr="009C5EFD">
          <w:rPr>
            <w:sz w:val="22"/>
            <w:szCs w:val="22"/>
          </w:rPr>
          <w:delText>infeksjoner i forplantningskanal,</w:delText>
        </w:r>
      </w:del>
    </w:p>
    <w:p w14:paraId="26BED346" w14:textId="60931DA2" w:rsidR="006B0D92" w:rsidRPr="009C5EFD" w:rsidRDefault="00E453CD">
      <w:pPr>
        <w:rPr>
          <w:del w:id="14300" w:author="AbbVie02no" w:date="2025-05-15T14:19:00Z"/>
          <w:sz w:val="22"/>
          <w:szCs w:val="22"/>
        </w:rPr>
        <w:pPrChange w:id="14301" w:author="AbbVie02no" w:date="2025-05-15T14:19:00Z">
          <w:pPr>
            <w:numPr>
              <w:numId w:val="9"/>
            </w:numPr>
            <w:tabs>
              <w:tab w:val="num" w:pos="540"/>
              <w:tab w:val="num" w:pos="720"/>
            </w:tabs>
            <w:suppressAutoHyphens/>
            <w:ind w:left="720" w:hanging="360"/>
          </w:pPr>
        </w:pPrChange>
      </w:pPr>
      <w:del w:id="14302" w:author="AbbVie02no" w:date="2025-05-15T14:19:00Z">
        <w:r w:rsidRPr="009C5EFD">
          <w:rPr>
            <w:sz w:val="22"/>
            <w:szCs w:val="22"/>
          </w:rPr>
          <w:delText>urinveisinfeksjon,</w:delText>
        </w:r>
      </w:del>
    </w:p>
    <w:p w14:paraId="01BBFD60" w14:textId="0FCCE044" w:rsidR="00EB0E4F" w:rsidRPr="009C5EFD" w:rsidRDefault="00E453CD">
      <w:pPr>
        <w:rPr>
          <w:del w:id="14303" w:author="AbbVie02no" w:date="2025-05-15T14:19:00Z"/>
          <w:sz w:val="22"/>
          <w:szCs w:val="22"/>
        </w:rPr>
        <w:pPrChange w:id="14304" w:author="AbbVie02no" w:date="2025-05-15T14:19:00Z">
          <w:pPr>
            <w:numPr>
              <w:numId w:val="16"/>
            </w:numPr>
            <w:tabs>
              <w:tab w:val="num" w:pos="540"/>
              <w:tab w:val="num" w:pos="720"/>
            </w:tabs>
            <w:suppressAutoHyphens/>
            <w:ind w:left="540" w:hanging="540"/>
          </w:pPr>
        </w:pPrChange>
      </w:pPr>
      <w:del w:id="14305" w:author="AbbVie02no" w:date="2025-05-15T14:19:00Z">
        <w:r w:rsidRPr="009C5EFD">
          <w:rPr>
            <w:sz w:val="22"/>
            <w:szCs w:val="22"/>
          </w:rPr>
          <w:delText>soppinfeksjon,</w:delText>
        </w:r>
      </w:del>
    </w:p>
    <w:p w14:paraId="23F3F04B" w14:textId="22476113" w:rsidR="006B0D92" w:rsidRPr="009C5EFD" w:rsidRDefault="00E453CD">
      <w:pPr>
        <w:rPr>
          <w:del w:id="14306" w:author="AbbVie02no" w:date="2025-05-15T14:19:00Z"/>
          <w:sz w:val="22"/>
          <w:szCs w:val="22"/>
        </w:rPr>
        <w:pPrChange w:id="14307" w:author="AbbVie02no" w:date="2025-05-15T14:19:00Z">
          <w:pPr>
            <w:numPr>
              <w:numId w:val="9"/>
            </w:numPr>
            <w:tabs>
              <w:tab w:val="num" w:pos="540"/>
              <w:tab w:val="num" w:pos="720"/>
            </w:tabs>
            <w:suppressAutoHyphens/>
            <w:ind w:left="720" w:hanging="360"/>
          </w:pPr>
        </w:pPrChange>
      </w:pPr>
      <w:del w:id="14308" w:author="AbbVie02no" w:date="2025-05-15T14:19:00Z">
        <w:r w:rsidRPr="009C5EFD">
          <w:rPr>
            <w:sz w:val="22"/>
            <w:szCs w:val="22"/>
          </w:rPr>
          <w:delText>leddinfeksjoner,</w:delText>
        </w:r>
      </w:del>
    </w:p>
    <w:p w14:paraId="60562B5D" w14:textId="12FB0CD3" w:rsidR="006B0D92" w:rsidRPr="009C5EFD" w:rsidRDefault="00E453CD">
      <w:pPr>
        <w:rPr>
          <w:del w:id="14309" w:author="AbbVie02no" w:date="2025-05-15T14:19:00Z"/>
          <w:sz w:val="22"/>
          <w:szCs w:val="22"/>
        </w:rPr>
        <w:pPrChange w:id="14310" w:author="AbbVie02no" w:date="2025-05-15T14:19:00Z">
          <w:pPr>
            <w:numPr>
              <w:numId w:val="9"/>
            </w:numPr>
            <w:tabs>
              <w:tab w:val="num" w:pos="540"/>
              <w:tab w:val="num" w:pos="720"/>
            </w:tabs>
            <w:suppressAutoHyphens/>
            <w:ind w:left="720" w:hanging="360"/>
          </w:pPr>
        </w:pPrChange>
      </w:pPr>
      <w:del w:id="14311" w:author="AbbVie02no" w:date="2025-05-15T14:19:00Z">
        <w:r w:rsidRPr="009C5EFD">
          <w:rPr>
            <w:sz w:val="22"/>
            <w:szCs w:val="22"/>
          </w:rPr>
          <w:delText>godartede tumorer,</w:delText>
        </w:r>
      </w:del>
    </w:p>
    <w:p w14:paraId="64CA6F84" w14:textId="411F1BDC" w:rsidR="006B0D92" w:rsidRPr="009C5EFD" w:rsidRDefault="00E453CD">
      <w:pPr>
        <w:rPr>
          <w:del w:id="14312" w:author="AbbVie02no" w:date="2025-05-15T14:19:00Z"/>
          <w:sz w:val="22"/>
          <w:szCs w:val="22"/>
        </w:rPr>
        <w:pPrChange w:id="14313" w:author="AbbVie02no" w:date="2025-05-15T14:19:00Z">
          <w:pPr>
            <w:numPr>
              <w:numId w:val="9"/>
            </w:numPr>
            <w:tabs>
              <w:tab w:val="num" w:pos="540"/>
              <w:tab w:val="num" w:pos="720"/>
            </w:tabs>
            <w:suppressAutoHyphens/>
            <w:ind w:left="720" w:hanging="360"/>
          </w:pPr>
        </w:pPrChange>
      </w:pPr>
      <w:del w:id="14314" w:author="AbbVie02no" w:date="2025-05-15T14:19:00Z">
        <w:r w:rsidRPr="009C5EFD">
          <w:rPr>
            <w:sz w:val="22"/>
            <w:szCs w:val="22"/>
          </w:rPr>
          <w:delText>hudkreft,</w:delText>
        </w:r>
      </w:del>
    </w:p>
    <w:p w14:paraId="452507E6" w14:textId="041F16CD" w:rsidR="006B0D92" w:rsidRPr="009C5EFD" w:rsidRDefault="00E453CD">
      <w:pPr>
        <w:rPr>
          <w:del w:id="14315" w:author="AbbVie02no" w:date="2025-05-15T14:19:00Z"/>
          <w:sz w:val="22"/>
          <w:szCs w:val="22"/>
        </w:rPr>
        <w:pPrChange w:id="14316" w:author="AbbVie02no" w:date="2025-05-15T14:19:00Z">
          <w:pPr>
            <w:numPr>
              <w:numId w:val="9"/>
            </w:numPr>
            <w:tabs>
              <w:tab w:val="num" w:pos="540"/>
              <w:tab w:val="num" w:pos="720"/>
            </w:tabs>
            <w:suppressAutoHyphens/>
            <w:ind w:left="720" w:hanging="360"/>
          </w:pPr>
        </w:pPrChange>
      </w:pPr>
      <w:del w:id="14317" w:author="AbbVie02no" w:date="2025-05-15T14:19:00Z">
        <w:r w:rsidRPr="009C5EFD">
          <w:rPr>
            <w:sz w:val="22"/>
            <w:szCs w:val="22"/>
          </w:rPr>
          <w:delText>allergiske reaksjoner (inkludert sesongallergi),</w:delText>
        </w:r>
      </w:del>
    </w:p>
    <w:p w14:paraId="38ACE071" w14:textId="069BF426" w:rsidR="00EE6BE1" w:rsidRPr="009C5EFD" w:rsidRDefault="00E453CD">
      <w:pPr>
        <w:rPr>
          <w:del w:id="14318" w:author="AbbVie02no" w:date="2025-05-15T14:19:00Z"/>
          <w:sz w:val="22"/>
          <w:szCs w:val="22"/>
        </w:rPr>
        <w:pPrChange w:id="14319" w:author="AbbVie02no" w:date="2025-05-15T14:19:00Z">
          <w:pPr>
            <w:numPr>
              <w:numId w:val="9"/>
            </w:numPr>
            <w:tabs>
              <w:tab w:val="num" w:pos="540"/>
              <w:tab w:val="num" w:pos="720"/>
            </w:tabs>
            <w:suppressAutoHyphens/>
            <w:ind w:left="720" w:hanging="360"/>
          </w:pPr>
        </w:pPrChange>
      </w:pPr>
      <w:del w:id="14320" w:author="AbbVie02no" w:date="2025-05-15T14:19:00Z">
        <w:r w:rsidRPr="009C5EFD">
          <w:rPr>
            <w:sz w:val="22"/>
            <w:szCs w:val="22"/>
          </w:rPr>
          <w:delText>dehydrering,</w:delText>
        </w:r>
      </w:del>
    </w:p>
    <w:p w14:paraId="5B2B1961" w14:textId="0D63296C" w:rsidR="006B0D92" w:rsidRPr="009C5EFD" w:rsidRDefault="00E453CD">
      <w:pPr>
        <w:rPr>
          <w:del w:id="14321" w:author="AbbVie02no" w:date="2025-05-15T14:19:00Z"/>
          <w:sz w:val="22"/>
          <w:szCs w:val="22"/>
        </w:rPr>
        <w:pPrChange w:id="14322" w:author="AbbVie02no" w:date="2025-05-15T14:19:00Z">
          <w:pPr>
            <w:numPr>
              <w:numId w:val="9"/>
            </w:numPr>
            <w:tabs>
              <w:tab w:val="num" w:pos="540"/>
              <w:tab w:val="num" w:pos="720"/>
            </w:tabs>
            <w:suppressAutoHyphens/>
            <w:ind w:left="720" w:hanging="360"/>
          </w:pPr>
        </w:pPrChange>
      </w:pPr>
      <w:del w:id="14323" w:author="AbbVie02no" w:date="2025-05-15T14:19:00Z">
        <w:r w:rsidRPr="009C5EFD">
          <w:rPr>
            <w:sz w:val="22"/>
            <w:szCs w:val="22"/>
          </w:rPr>
          <w:delText>humørsvingninger (inkludert depresjon),</w:delText>
        </w:r>
      </w:del>
    </w:p>
    <w:p w14:paraId="1F797F46" w14:textId="10745EB6" w:rsidR="006B0D92" w:rsidRPr="009C5EFD" w:rsidRDefault="00E453CD">
      <w:pPr>
        <w:rPr>
          <w:del w:id="14324" w:author="AbbVie02no" w:date="2025-05-15T14:19:00Z"/>
          <w:sz w:val="22"/>
          <w:szCs w:val="22"/>
        </w:rPr>
        <w:pPrChange w:id="14325" w:author="AbbVie02no" w:date="2025-05-15T14:19:00Z">
          <w:pPr>
            <w:numPr>
              <w:numId w:val="9"/>
            </w:numPr>
            <w:tabs>
              <w:tab w:val="num" w:pos="540"/>
              <w:tab w:val="num" w:pos="720"/>
            </w:tabs>
            <w:suppressAutoHyphens/>
            <w:ind w:left="720" w:hanging="360"/>
          </w:pPr>
        </w:pPrChange>
      </w:pPr>
      <w:del w:id="14326" w:author="AbbVie02no" w:date="2025-05-15T14:19:00Z">
        <w:r w:rsidRPr="009C5EFD">
          <w:rPr>
            <w:sz w:val="22"/>
            <w:szCs w:val="22"/>
          </w:rPr>
          <w:delText>angst,</w:delText>
        </w:r>
      </w:del>
    </w:p>
    <w:p w14:paraId="13145C86" w14:textId="5E7CBABA" w:rsidR="006B0D92" w:rsidRPr="009C5EFD" w:rsidRDefault="00E453CD">
      <w:pPr>
        <w:rPr>
          <w:del w:id="14327" w:author="AbbVie02no" w:date="2025-05-15T14:19:00Z"/>
          <w:sz w:val="22"/>
          <w:szCs w:val="22"/>
        </w:rPr>
        <w:pPrChange w:id="14328" w:author="AbbVie02no" w:date="2025-05-15T14:19:00Z">
          <w:pPr>
            <w:numPr>
              <w:numId w:val="9"/>
            </w:numPr>
            <w:tabs>
              <w:tab w:val="num" w:pos="540"/>
              <w:tab w:val="num" w:pos="720"/>
            </w:tabs>
            <w:suppressAutoHyphens/>
            <w:ind w:left="720" w:hanging="360"/>
          </w:pPr>
        </w:pPrChange>
      </w:pPr>
      <w:del w:id="14329" w:author="AbbVie02no" w:date="2025-05-15T14:19:00Z">
        <w:r w:rsidRPr="009C5EFD">
          <w:rPr>
            <w:sz w:val="22"/>
            <w:szCs w:val="22"/>
          </w:rPr>
          <w:delText>søvnvansker,</w:delText>
        </w:r>
      </w:del>
    </w:p>
    <w:p w14:paraId="0F2E4E15" w14:textId="0FBD6B66" w:rsidR="006B0D92" w:rsidRPr="009C5EFD" w:rsidRDefault="00E453CD">
      <w:pPr>
        <w:rPr>
          <w:del w:id="14330" w:author="AbbVie02no" w:date="2025-05-15T14:19:00Z"/>
          <w:sz w:val="22"/>
          <w:szCs w:val="22"/>
        </w:rPr>
        <w:pPrChange w:id="14331" w:author="AbbVie02no" w:date="2025-05-15T14:19:00Z">
          <w:pPr>
            <w:numPr>
              <w:numId w:val="9"/>
            </w:numPr>
            <w:tabs>
              <w:tab w:val="num" w:pos="540"/>
              <w:tab w:val="num" w:pos="720"/>
            </w:tabs>
            <w:suppressAutoHyphens/>
            <w:ind w:left="720" w:hanging="360"/>
          </w:pPr>
        </w:pPrChange>
      </w:pPr>
      <w:del w:id="14332" w:author="AbbVie02no" w:date="2025-05-15T14:19:00Z">
        <w:r w:rsidRPr="009C5EFD">
          <w:rPr>
            <w:sz w:val="22"/>
            <w:szCs w:val="22"/>
          </w:rPr>
          <w:lastRenderedPageBreak/>
          <w:delText>sanseforstyrrelser som kribling, prikking eller nummenhet,</w:delText>
        </w:r>
      </w:del>
    </w:p>
    <w:p w14:paraId="7E764774" w14:textId="23520EC1" w:rsidR="006B0D92" w:rsidRPr="009C5EFD" w:rsidRDefault="00E453CD">
      <w:pPr>
        <w:rPr>
          <w:del w:id="14333" w:author="AbbVie02no" w:date="2025-05-15T14:19:00Z"/>
          <w:sz w:val="22"/>
          <w:szCs w:val="22"/>
        </w:rPr>
        <w:pPrChange w:id="14334" w:author="AbbVie02no" w:date="2025-05-15T14:19:00Z">
          <w:pPr>
            <w:numPr>
              <w:numId w:val="9"/>
            </w:numPr>
            <w:tabs>
              <w:tab w:val="num" w:pos="540"/>
              <w:tab w:val="num" w:pos="720"/>
            </w:tabs>
            <w:suppressAutoHyphens/>
            <w:ind w:left="720" w:hanging="360"/>
          </w:pPr>
        </w:pPrChange>
      </w:pPr>
      <w:del w:id="14335" w:author="AbbVie02no" w:date="2025-05-15T14:19:00Z">
        <w:r w:rsidRPr="009C5EFD">
          <w:rPr>
            <w:sz w:val="22"/>
            <w:szCs w:val="22"/>
          </w:rPr>
          <w:delText>migrene,</w:delText>
        </w:r>
      </w:del>
    </w:p>
    <w:p w14:paraId="1AA02674" w14:textId="00727529" w:rsidR="006B0D92" w:rsidRPr="009C5EFD" w:rsidRDefault="00E453CD">
      <w:pPr>
        <w:rPr>
          <w:del w:id="14336" w:author="AbbVie02no" w:date="2025-05-15T14:19:00Z"/>
          <w:sz w:val="22"/>
          <w:szCs w:val="22"/>
        </w:rPr>
        <w:pPrChange w:id="14337" w:author="AbbVie02no" w:date="2025-05-15T14:19:00Z">
          <w:pPr>
            <w:numPr>
              <w:numId w:val="9"/>
            </w:numPr>
            <w:tabs>
              <w:tab w:val="num" w:pos="540"/>
              <w:tab w:val="num" w:pos="720"/>
            </w:tabs>
            <w:suppressAutoHyphens/>
            <w:ind w:left="720" w:hanging="360"/>
          </w:pPr>
        </w:pPrChange>
      </w:pPr>
      <w:del w:id="14338" w:author="AbbVie02no" w:date="2025-05-15T14:19:00Z">
        <w:r w:rsidRPr="009C5EFD">
          <w:rPr>
            <w:sz w:val="22"/>
            <w:szCs w:val="22"/>
          </w:rPr>
          <w:delText xml:space="preserve">kompresjon av nerverot (inkludert smerter i korsryggen og i </w:delText>
        </w:r>
        <w:r w:rsidR="00954434">
          <w:rPr>
            <w:sz w:val="22"/>
            <w:szCs w:val="22"/>
          </w:rPr>
          <w:delText>beina</w:delText>
        </w:r>
        <w:r w:rsidRPr="009C5EFD">
          <w:rPr>
            <w:sz w:val="22"/>
            <w:szCs w:val="22"/>
          </w:rPr>
          <w:delText>),</w:delText>
        </w:r>
      </w:del>
    </w:p>
    <w:p w14:paraId="0CEFE69E" w14:textId="5FDB3EDC" w:rsidR="006B0D92" w:rsidRPr="009C5EFD" w:rsidRDefault="00E453CD">
      <w:pPr>
        <w:rPr>
          <w:del w:id="14339" w:author="AbbVie02no" w:date="2025-05-15T14:19:00Z"/>
          <w:sz w:val="22"/>
          <w:szCs w:val="22"/>
        </w:rPr>
        <w:pPrChange w:id="14340" w:author="AbbVie02no" w:date="2025-05-15T14:19:00Z">
          <w:pPr>
            <w:numPr>
              <w:numId w:val="9"/>
            </w:numPr>
            <w:tabs>
              <w:tab w:val="num" w:pos="540"/>
              <w:tab w:val="num" w:pos="720"/>
            </w:tabs>
            <w:suppressAutoHyphens/>
            <w:ind w:left="720" w:hanging="360"/>
          </w:pPr>
        </w:pPrChange>
      </w:pPr>
      <w:del w:id="14341" w:author="AbbVie02no" w:date="2025-05-15T14:19:00Z">
        <w:r w:rsidRPr="009C5EFD">
          <w:rPr>
            <w:sz w:val="22"/>
            <w:szCs w:val="22"/>
          </w:rPr>
          <w:delText>synsforstyrrelser,</w:delText>
        </w:r>
      </w:del>
    </w:p>
    <w:p w14:paraId="6A6EF0E5" w14:textId="2B53F347" w:rsidR="005907B1" w:rsidRPr="009C5EFD" w:rsidRDefault="00E453CD">
      <w:pPr>
        <w:rPr>
          <w:del w:id="14342" w:author="AbbVie02no" w:date="2025-05-15T14:19:00Z"/>
          <w:sz w:val="22"/>
          <w:szCs w:val="22"/>
        </w:rPr>
        <w:pPrChange w:id="14343" w:author="AbbVie02no" w:date="2025-05-15T14:19:00Z">
          <w:pPr>
            <w:numPr>
              <w:numId w:val="16"/>
            </w:numPr>
            <w:tabs>
              <w:tab w:val="num" w:pos="540"/>
              <w:tab w:val="num" w:pos="720"/>
            </w:tabs>
            <w:suppressAutoHyphens/>
            <w:ind w:left="540" w:hanging="540"/>
          </w:pPr>
        </w:pPrChange>
      </w:pPr>
      <w:del w:id="14344" w:author="AbbVie02no" w:date="2025-05-15T14:19:00Z">
        <w:r w:rsidRPr="009C5EFD">
          <w:rPr>
            <w:sz w:val="22"/>
            <w:szCs w:val="22"/>
          </w:rPr>
          <w:delText xml:space="preserve">øyeinfeksjon, </w:delText>
        </w:r>
      </w:del>
    </w:p>
    <w:p w14:paraId="3D1C758E" w14:textId="3AA656DF" w:rsidR="006B0D92" w:rsidRPr="009C5EFD" w:rsidRDefault="00E453CD">
      <w:pPr>
        <w:rPr>
          <w:del w:id="14345" w:author="AbbVie02no" w:date="2025-05-15T14:19:00Z"/>
          <w:sz w:val="22"/>
          <w:szCs w:val="22"/>
        </w:rPr>
        <w:pPrChange w:id="14346" w:author="AbbVie02no" w:date="2025-05-15T14:19:00Z">
          <w:pPr>
            <w:numPr>
              <w:numId w:val="9"/>
            </w:numPr>
            <w:tabs>
              <w:tab w:val="num" w:pos="540"/>
              <w:tab w:val="num" w:pos="720"/>
            </w:tabs>
            <w:suppressAutoHyphens/>
            <w:ind w:left="720" w:hanging="360"/>
          </w:pPr>
        </w:pPrChange>
      </w:pPr>
      <w:del w:id="14347" w:author="AbbVie02no" w:date="2025-05-15T14:19:00Z">
        <w:r w:rsidRPr="009C5EFD">
          <w:rPr>
            <w:sz w:val="22"/>
            <w:szCs w:val="22"/>
          </w:rPr>
          <w:delText>betennelse i øyelokk og opphovnet øye,</w:delText>
        </w:r>
      </w:del>
    </w:p>
    <w:p w14:paraId="07D6A5CD" w14:textId="5AC4928B" w:rsidR="006B0D92" w:rsidRPr="009C5EFD" w:rsidRDefault="00E453CD">
      <w:pPr>
        <w:rPr>
          <w:del w:id="14348" w:author="AbbVie02no" w:date="2025-05-15T14:19:00Z"/>
          <w:sz w:val="22"/>
          <w:szCs w:val="22"/>
        </w:rPr>
        <w:pPrChange w:id="14349" w:author="AbbVie02no" w:date="2025-05-15T14:19:00Z">
          <w:pPr>
            <w:numPr>
              <w:numId w:val="9"/>
            </w:numPr>
            <w:tabs>
              <w:tab w:val="num" w:pos="540"/>
              <w:tab w:val="num" w:pos="720"/>
            </w:tabs>
            <w:suppressAutoHyphens/>
            <w:ind w:left="720" w:hanging="360"/>
          </w:pPr>
        </w:pPrChange>
      </w:pPr>
      <w:del w:id="14350" w:author="AbbVie02no" w:date="2025-05-15T14:19:00Z">
        <w:r w:rsidRPr="009C5EFD">
          <w:rPr>
            <w:sz w:val="22"/>
            <w:szCs w:val="22"/>
          </w:rPr>
          <w:delText>svimmelhet,</w:delText>
        </w:r>
      </w:del>
    </w:p>
    <w:p w14:paraId="50A35B73" w14:textId="29614E7C" w:rsidR="006B0D92" w:rsidRPr="009C5EFD" w:rsidRDefault="00E453CD">
      <w:pPr>
        <w:rPr>
          <w:del w:id="14351" w:author="AbbVie02no" w:date="2025-05-15T14:19:00Z"/>
          <w:sz w:val="22"/>
          <w:szCs w:val="22"/>
        </w:rPr>
        <w:pPrChange w:id="14352" w:author="AbbVie02no" w:date="2025-05-15T14:19:00Z">
          <w:pPr>
            <w:numPr>
              <w:numId w:val="9"/>
            </w:numPr>
            <w:tabs>
              <w:tab w:val="num" w:pos="540"/>
              <w:tab w:val="num" w:pos="720"/>
            </w:tabs>
            <w:suppressAutoHyphens/>
            <w:ind w:left="720" w:hanging="360"/>
          </w:pPr>
        </w:pPrChange>
      </w:pPr>
      <w:del w:id="14353" w:author="AbbVie02no" w:date="2025-05-15T14:19:00Z">
        <w:r w:rsidRPr="009C5EFD">
          <w:rPr>
            <w:sz w:val="22"/>
            <w:szCs w:val="22"/>
          </w:rPr>
          <w:delText>følelse</w:delText>
        </w:r>
        <w:r w:rsidR="00F402ED" w:rsidRPr="009C5EFD">
          <w:rPr>
            <w:sz w:val="22"/>
            <w:szCs w:val="22"/>
          </w:rPr>
          <w:delText xml:space="preserve"> av at hjertet slår rask</w:delText>
        </w:r>
        <w:r w:rsidR="005F38E5">
          <w:rPr>
            <w:sz w:val="22"/>
            <w:szCs w:val="22"/>
          </w:rPr>
          <w:delText>t</w:delText>
        </w:r>
        <w:r w:rsidRPr="009C5EFD">
          <w:rPr>
            <w:sz w:val="22"/>
            <w:szCs w:val="22"/>
          </w:rPr>
          <w:delText>,</w:delText>
        </w:r>
      </w:del>
    </w:p>
    <w:p w14:paraId="25F82A8A" w14:textId="20A5E6CB" w:rsidR="006B0D92" w:rsidRPr="009C5EFD" w:rsidRDefault="00E453CD">
      <w:pPr>
        <w:rPr>
          <w:del w:id="14354" w:author="AbbVie02no" w:date="2025-05-15T14:19:00Z"/>
          <w:sz w:val="22"/>
          <w:szCs w:val="22"/>
        </w:rPr>
        <w:pPrChange w:id="14355" w:author="AbbVie02no" w:date="2025-05-15T14:19:00Z">
          <w:pPr>
            <w:numPr>
              <w:numId w:val="9"/>
            </w:numPr>
            <w:tabs>
              <w:tab w:val="num" w:pos="540"/>
              <w:tab w:val="num" w:pos="720"/>
            </w:tabs>
            <w:suppressAutoHyphens/>
            <w:ind w:left="720" w:hanging="360"/>
          </w:pPr>
        </w:pPrChange>
      </w:pPr>
      <w:del w:id="14356" w:author="AbbVie02no" w:date="2025-05-15T14:19:00Z">
        <w:r w:rsidRPr="009C5EFD">
          <w:rPr>
            <w:sz w:val="22"/>
            <w:szCs w:val="22"/>
          </w:rPr>
          <w:delText>høyt blodtrykk,</w:delText>
        </w:r>
      </w:del>
    </w:p>
    <w:p w14:paraId="3C84A8DB" w14:textId="19887CF0" w:rsidR="006B0D92" w:rsidRPr="009C5EFD" w:rsidRDefault="00E453CD">
      <w:pPr>
        <w:rPr>
          <w:del w:id="14357" w:author="AbbVie02no" w:date="2025-05-15T14:19:00Z"/>
          <w:sz w:val="22"/>
          <w:szCs w:val="22"/>
        </w:rPr>
        <w:pPrChange w:id="14358" w:author="AbbVie02no" w:date="2025-05-15T14:19:00Z">
          <w:pPr>
            <w:numPr>
              <w:numId w:val="9"/>
            </w:numPr>
            <w:tabs>
              <w:tab w:val="num" w:pos="540"/>
              <w:tab w:val="num" w:pos="720"/>
            </w:tabs>
            <w:suppressAutoHyphens/>
            <w:ind w:left="720" w:hanging="360"/>
          </w:pPr>
        </w:pPrChange>
      </w:pPr>
      <w:del w:id="14359" w:author="AbbVie02no" w:date="2025-05-15T14:19:00Z">
        <w:r w:rsidRPr="009C5EFD">
          <w:rPr>
            <w:sz w:val="22"/>
            <w:szCs w:val="22"/>
          </w:rPr>
          <w:delText>rødme,</w:delText>
        </w:r>
      </w:del>
    </w:p>
    <w:p w14:paraId="484EA04A" w14:textId="0CB65C0A" w:rsidR="006B0D92" w:rsidRPr="009C5EFD" w:rsidRDefault="00E453CD">
      <w:pPr>
        <w:rPr>
          <w:del w:id="14360" w:author="AbbVie02no" w:date="2025-05-15T14:19:00Z"/>
          <w:sz w:val="22"/>
          <w:szCs w:val="22"/>
        </w:rPr>
        <w:pPrChange w:id="14361" w:author="AbbVie02no" w:date="2025-05-15T14:19:00Z">
          <w:pPr>
            <w:numPr>
              <w:numId w:val="9"/>
            </w:numPr>
            <w:tabs>
              <w:tab w:val="num" w:pos="540"/>
              <w:tab w:val="num" w:pos="720"/>
            </w:tabs>
            <w:suppressAutoHyphens/>
            <w:ind w:left="720" w:hanging="360"/>
          </w:pPr>
        </w:pPrChange>
      </w:pPr>
      <w:del w:id="14362" w:author="AbbVie02no" w:date="2025-05-15T14:19:00Z">
        <w:r w:rsidRPr="009C5EFD">
          <w:rPr>
            <w:sz w:val="22"/>
            <w:szCs w:val="22"/>
          </w:rPr>
          <w:delText>blodansamling (hematom),</w:delText>
        </w:r>
      </w:del>
    </w:p>
    <w:p w14:paraId="0B6822B5" w14:textId="4D869417" w:rsidR="006B0D92" w:rsidRPr="009C5EFD" w:rsidRDefault="00E453CD">
      <w:pPr>
        <w:rPr>
          <w:del w:id="14363" w:author="AbbVie02no" w:date="2025-05-15T14:19:00Z"/>
          <w:sz w:val="22"/>
          <w:szCs w:val="22"/>
        </w:rPr>
        <w:pPrChange w:id="14364" w:author="AbbVie02no" w:date="2025-05-15T14:19:00Z">
          <w:pPr>
            <w:numPr>
              <w:numId w:val="9"/>
            </w:numPr>
            <w:tabs>
              <w:tab w:val="num" w:pos="540"/>
              <w:tab w:val="num" w:pos="720"/>
            </w:tabs>
            <w:suppressAutoHyphens/>
            <w:ind w:left="720" w:hanging="360"/>
          </w:pPr>
        </w:pPrChange>
      </w:pPr>
      <w:del w:id="14365" w:author="AbbVie02no" w:date="2025-05-15T14:19:00Z">
        <w:r w:rsidRPr="009C5EFD">
          <w:rPr>
            <w:sz w:val="22"/>
            <w:szCs w:val="22"/>
          </w:rPr>
          <w:delText>hoste,</w:delText>
        </w:r>
      </w:del>
    </w:p>
    <w:p w14:paraId="35083BD7" w14:textId="0394A48D" w:rsidR="006B0D92" w:rsidRPr="009C5EFD" w:rsidRDefault="00E453CD">
      <w:pPr>
        <w:rPr>
          <w:del w:id="14366" w:author="AbbVie02no" w:date="2025-05-15T14:19:00Z"/>
          <w:sz w:val="22"/>
          <w:szCs w:val="22"/>
        </w:rPr>
        <w:pPrChange w:id="14367" w:author="AbbVie02no" w:date="2025-05-15T14:19:00Z">
          <w:pPr>
            <w:numPr>
              <w:numId w:val="9"/>
            </w:numPr>
            <w:tabs>
              <w:tab w:val="num" w:pos="540"/>
              <w:tab w:val="num" w:pos="720"/>
            </w:tabs>
            <w:suppressAutoHyphens/>
            <w:ind w:left="720" w:hanging="360"/>
          </w:pPr>
        </w:pPrChange>
      </w:pPr>
      <w:del w:id="14368" w:author="AbbVie02no" w:date="2025-05-15T14:19:00Z">
        <w:r w:rsidRPr="009C5EFD">
          <w:rPr>
            <w:sz w:val="22"/>
            <w:szCs w:val="22"/>
          </w:rPr>
          <w:delText>astma,</w:delText>
        </w:r>
      </w:del>
    </w:p>
    <w:p w14:paraId="17EC88E4" w14:textId="668CB75C" w:rsidR="006B0D92" w:rsidRPr="009C5EFD" w:rsidRDefault="00E453CD">
      <w:pPr>
        <w:rPr>
          <w:del w:id="14369" w:author="AbbVie02no" w:date="2025-05-15T14:19:00Z"/>
          <w:sz w:val="22"/>
          <w:szCs w:val="22"/>
        </w:rPr>
        <w:pPrChange w:id="14370" w:author="AbbVie02no" w:date="2025-05-15T14:19:00Z">
          <w:pPr>
            <w:numPr>
              <w:numId w:val="9"/>
            </w:numPr>
            <w:tabs>
              <w:tab w:val="num" w:pos="540"/>
              <w:tab w:val="num" w:pos="720"/>
            </w:tabs>
            <w:suppressAutoHyphens/>
            <w:ind w:left="720" w:hanging="360"/>
          </w:pPr>
        </w:pPrChange>
      </w:pPr>
      <w:del w:id="14371" w:author="AbbVie02no" w:date="2025-05-15T14:19:00Z">
        <w:r w:rsidRPr="009C5EFD">
          <w:rPr>
            <w:sz w:val="22"/>
            <w:szCs w:val="22"/>
          </w:rPr>
          <w:delText>kortpusthet,</w:delText>
        </w:r>
      </w:del>
    </w:p>
    <w:p w14:paraId="684C47E0" w14:textId="5A13B06C" w:rsidR="006B0D92" w:rsidRPr="009C5EFD" w:rsidRDefault="00E453CD">
      <w:pPr>
        <w:rPr>
          <w:del w:id="14372" w:author="AbbVie02no" w:date="2025-05-15T14:19:00Z"/>
          <w:sz w:val="22"/>
          <w:szCs w:val="22"/>
        </w:rPr>
        <w:pPrChange w:id="14373" w:author="AbbVie02no" w:date="2025-05-15T14:19:00Z">
          <w:pPr>
            <w:numPr>
              <w:numId w:val="9"/>
            </w:numPr>
            <w:tabs>
              <w:tab w:val="num" w:pos="540"/>
              <w:tab w:val="num" w:pos="720"/>
            </w:tabs>
            <w:suppressAutoHyphens/>
            <w:ind w:left="720" w:hanging="360"/>
          </w:pPr>
        </w:pPrChange>
      </w:pPr>
      <w:del w:id="14374" w:author="AbbVie02no" w:date="2025-05-15T14:19:00Z">
        <w:r w:rsidRPr="009C5EFD">
          <w:rPr>
            <w:sz w:val="22"/>
            <w:szCs w:val="22"/>
          </w:rPr>
          <w:delText>mageblødning,</w:delText>
        </w:r>
      </w:del>
    </w:p>
    <w:p w14:paraId="516E4D4B" w14:textId="6135B84E" w:rsidR="006B0D92" w:rsidRPr="009C5EFD" w:rsidRDefault="00E453CD">
      <w:pPr>
        <w:rPr>
          <w:del w:id="14375" w:author="AbbVie02no" w:date="2025-05-15T14:19:00Z"/>
          <w:sz w:val="22"/>
          <w:szCs w:val="22"/>
        </w:rPr>
        <w:pPrChange w:id="14376" w:author="AbbVie02no" w:date="2025-05-15T14:19:00Z">
          <w:pPr>
            <w:numPr>
              <w:numId w:val="9"/>
            </w:numPr>
            <w:tabs>
              <w:tab w:val="num" w:pos="540"/>
              <w:tab w:val="num" w:pos="720"/>
            </w:tabs>
            <w:suppressAutoHyphens/>
            <w:ind w:left="720" w:hanging="360"/>
          </w:pPr>
        </w:pPrChange>
      </w:pPr>
      <w:del w:id="14377" w:author="AbbVie02no" w:date="2025-05-15T14:19:00Z">
        <w:r w:rsidRPr="009C5EFD">
          <w:rPr>
            <w:sz w:val="22"/>
            <w:szCs w:val="22"/>
          </w:rPr>
          <w:delText>dyspepsi (forstyr</w:delText>
        </w:r>
        <w:r w:rsidR="00F402ED" w:rsidRPr="009C5EFD">
          <w:rPr>
            <w:sz w:val="22"/>
            <w:szCs w:val="22"/>
          </w:rPr>
          <w:delText xml:space="preserve">relser i øvre mage-tarm-kanal, </w:delText>
        </w:r>
        <w:r w:rsidRPr="009C5EFD">
          <w:rPr>
            <w:sz w:val="22"/>
            <w:szCs w:val="22"/>
          </w:rPr>
          <w:delText>dårlig fordøyelse, oppblåsthet, halsbrann),</w:delText>
        </w:r>
      </w:del>
    </w:p>
    <w:p w14:paraId="0F9805D3" w14:textId="6041F32F" w:rsidR="006B0D92" w:rsidRPr="009C5EFD" w:rsidRDefault="00E453CD">
      <w:pPr>
        <w:rPr>
          <w:del w:id="14378" w:author="AbbVie02no" w:date="2025-05-15T14:19:00Z"/>
          <w:sz w:val="22"/>
          <w:szCs w:val="22"/>
        </w:rPr>
        <w:pPrChange w:id="14379" w:author="AbbVie02no" w:date="2025-05-15T14:19:00Z">
          <w:pPr>
            <w:numPr>
              <w:numId w:val="9"/>
            </w:numPr>
            <w:tabs>
              <w:tab w:val="num" w:pos="540"/>
              <w:tab w:val="num" w:pos="720"/>
            </w:tabs>
            <w:suppressAutoHyphens/>
            <w:ind w:left="720" w:hanging="360"/>
          </w:pPr>
        </w:pPrChange>
      </w:pPr>
      <w:del w:id="14380" w:author="AbbVie02no" w:date="2025-05-15T14:19:00Z">
        <w:r w:rsidRPr="009C5EFD">
          <w:rPr>
            <w:sz w:val="22"/>
            <w:szCs w:val="22"/>
          </w:rPr>
          <w:delText>sure oppstøt,</w:delText>
        </w:r>
      </w:del>
    </w:p>
    <w:p w14:paraId="56241F61" w14:textId="7540B511" w:rsidR="006B0D92" w:rsidRPr="009C5EFD" w:rsidRDefault="00E453CD">
      <w:pPr>
        <w:rPr>
          <w:del w:id="14381" w:author="AbbVie02no" w:date="2025-05-15T14:19:00Z"/>
          <w:sz w:val="22"/>
          <w:szCs w:val="22"/>
        </w:rPr>
        <w:pPrChange w:id="14382" w:author="AbbVie02no" w:date="2025-05-15T14:19:00Z">
          <w:pPr>
            <w:numPr>
              <w:numId w:val="9"/>
            </w:numPr>
            <w:tabs>
              <w:tab w:val="num" w:pos="540"/>
              <w:tab w:val="num" w:pos="720"/>
            </w:tabs>
            <w:suppressAutoHyphens/>
            <w:ind w:left="720" w:hanging="360"/>
          </w:pPr>
        </w:pPrChange>
      </w:pPr>
      <w:del w:id="14383" w:author="AbbVie02no" w:date="2025-05-15T14:19:00Z">
        <w:r w:rsidRPr="009C5EFD">
          <w:rPr>
            <w:sz w:val="22"/>
            <w:szCs w:val="22"/>
          </w:rPr>
          <w:delText>Sjøgrens syndrom</w:delText>
        </w:r>
        <w:r w:rsidR="00E30ED5" w:rsidRPr="009C5EFD">
          <w:rPr>
            <w:sz w:val="22"/>
            <w:szCs w:val="22"/>
          </w:rPr>
          <w:delText xml:space="preserve"> (inkludert tørre øyne og munn)</w:delText>
        </w:r>
        <w:r w:rsidRPr="009C5EFD">
          <w:rPr>
            <w:sz w:val="22"/>
            <w:szCs w:val="22"/>
          </w:rPr>
          <w:delText>,</w:delText>
        </w:r>
      </w:del>
    </w:p>
    <w:p w14:paraId="42D4C120" w14:textId="1F5CEF89" w:rsidR="006B0D92" w:rsidRPr="009C5EFD" w:rsidRDefault="00E453CD">
      <w:pPr>
        <w:rPr>
          <w:del w:id="14384" w:author="AbbVie02no" w:date="2025-05-15T14:19:00Z"/>
          <w:sz w:val="22"/>
          <w:szCs w:val="22"/>
        </w:rPr>
        <w:pPrChange w:id="14385" w:author="AbbVie02no" w:date="2025-05-15T14:19:00Z">
          <w:pPr>
            <w:numPr>
              <w:numId w:val="9"/>
            </w:numPr>
            <w:tabs>
              <w:tab w:val="num" w:pos="540"/>
              <w:tab w:val="num" w:pos="720"/>
            </w:tabs>
            <w:suppressAutoHyphens/>
            <w:ind w:left="720" w:hanging="360"/>
          </w:pPr>
        </w:pPrChange>
      </w:pPr>
      <w:del w:id="14386" w:author="AbbVie02no" w:date="2025-05-15T14:19:00Z">
        <w:r w:rsidRPr="009C5EFD">
          <w:rPr>
            <w:sz w:val="22"/>
            <w:szCs w:val="22"/>
          </w:rPr>
          <w:delText>kløe,</w:delText>
        </w:r>
      </w:del>
    </w:p>
    <w:p w14:paraId="7701D03F" w14:textId="75BC515F" w:rsidR="006B0D92" w:rsidRPr="009C5EFD" w:rsidRDefault="00E453CD">
      <w:pPr>
        <w:rPr>
          <w:del w:id="14387" w:author="AbbVie02no" w:date="2025-05-15T14:19:00Z"/>
          <w:sz w:val="22"/>
          <w:szCs w:val="22"/>
        </w:rPr>
        <w:pPrChange w:id="14388" w:author="AbbVie02no" w:date="2025-05-15T14:19:00Z">
          <w:pPr>
            <w:numPr>
              <w:numId w:val="9"/>
            </w:numPr>
            <w:tabs>
              <w:tab w:val="num" w:pos="540"/>
              <w:tab w:val="num" w:pos="720"/>
            </w:tabs>
            <w:suppressAutoHyphens/>
            <w:ind w:left="720" w:hanging="360"/>
          </w:pPr>
        </w:pPrChange>
      </w:pPr>
      <w:del w:id="14389" w:author="AbbVie02no" w:date="2025-05-15T14:19:00Z">
        <w:r w:rsidRPr="009C5EFD">
          <w:rPr>
            <w:sz w:val="22"/>
            <w:szCs w:val="22"/>
          </w:rPr>
          <w:delText>kløende utslett,</w:delText>
        </w:r>
      </w:del>
    </w:p>
    <w:p w14:paraId="1B9F091C" w14:textId="6364A844" w:rsidR="006B0D92" w:rsidRPr="009C5EFD" w:rsidRDefault="00E453CD">
      <w:pPr>
        <w:rPr>
          <w:del w:id="14390" w:author="AbbVie02no" w:date="2025-05-15T14:19:00Z"/>
          <w:sz w:val="22"/>
          <w:szCs w:val="22"/>
        </w:rPr>
        <w:pPrChange w:id="14391" w:author="AbbVie02no" w:date="2025-05-15T14:19:00Z">
          <w:pPr>
            <w:numPr>
              <w:numId w:val="9"/>
            </w:numPr>
            <w:tabs>
              <w:tab w:val="num" w:pos="540"/>
              <w:tab w:val="num" w:pos="720"/>
            </w:tabs>
            <w:suppressAutoHyphens/>
            <w:ind w:left="720" w:hanging="360"/>
          </w:pPr>
        </w:pPrChange>
      </w:pPr>
      <w:del w:id="14392" w:author="AbbVie02no" w:date="2025-05-15T14:19:00Z">
        <w:r w:rsidRPr="009C5EFD">
          <w:rPr>
            <w:sz w:val="22"/>
            <w:szCs w:val="22"/>
          </w:rPr>
          <w:delText>blåmerke,</w:delText>
        </w:r>
      </w:del>
    </w:p>
    <w:p w14:paraId="3F2D3357" w14:textId="14C099FC" w:rsidR="006B0D92" w:rsidRPr="009C5EFD" w:rsidRDefault="00E453CD">
      <w:pPr>
        <w:rPr>
          <w:del w:id="14393" w:author="AbbVie02no" w:date="2025-05-15T14:19:00Z"/>
          <w:sz w:val="22"/>
          <w:szCs w:val="22"/>
        </w:rPr>
        <w:pPrChange w:id="14394" w:author="AbbVie02no" w:date="2025-05-15T14:19:00Z">
          <w:pPr>
            <w:numPr>
              <w:numId w:val="9"/>
            </w:numPr>
            <w:tabs>
              <w:tab w:val="num" w:pos="540"/>
              <w:tab w:val="num" w:pos="720"/>
            </w:tabs>
            <w:suppressAutoHyphens/>
            <w:ind w:left="720" w:hanging="360"/>
          </w:pPr>
        </w:pPrChange>
      </w:pPr>
      <w:del w:id="14395" w:author="AbbVie02no" w:date="2025-05-15T14:19:00Z">
        <w:r w:rsidRPr="009C5EFD">
          <w:rPr>
            <w:sz w:val="22"/>
            <w:szCs w:val="22"/>
          </w:rPr>
          <w:delText>hudbetennelse (som eksem),</w:delText>
        </w:r>
      </w:del>
    </w:p>
    <w:p w14:paraId="441764FA" w14:textId="1D1A7547" w:rsidR="006B0D92" w:rsidRPr="009C5EFD" w:rsidRDefault="00E453CD">
      <w:pPr>
        <w:rPr>
          <w:del w:id="14396" w:author="AbbVie02no" w:date="2025-05-15T14:19:00Z"/>
          <w:sz w:val="22"/>
          <w:szCs w:val="22"/>
        </w:rPr>
        <w:pPrChange w:id="14397" w:author="AbbVie02no" w:date="2025-05-15T14:19:00Z">
          <w:pPr>
            <w:numPr>
              <w:numId w:val="9"/>
            </w:numPr>
            <w:tabs>
              <w:tab w:val="num" w:pos="540"/>
              <w:tab w:val="num" w:pos="720"/>
            </w:tabs>
            <w:suppressAutoHyphens/>
            <w:ind w:left="720" w:hanging="360"/>
          </w:pPr>
        </w:pPrChange>
      </w:pPr>
      <w:del w:id="14398" w:author="AbbVie02no" w:date="2025-05-15T14:19:00Z">
        <w:r w:rsidRPr="009C5EFD">
          <w:rPr>
            <w:sz w:val="22"/>
            <w:szCs w:val="22"/>
          </w:rPr>
          <w:delText>brekking av fingernegl og tånegl,</w:delText>
        </w:r>
      </w:del>
    </w:p>
    <w:p w14:paraId="50899287" w14:textId="179CB57D" w:rsidR="006B0D92" w:rsidRPr="009C5EFD" w:rsidRDefault="00E453CD">
      <w:pPr>
        <w:rPr>
          <w:del w:id="14399" w:author="AbbVie02no" w:date="2025-05-15T14:19:00Z"/>
          <w:sz w:val="22"/>
          <w:szCs w:val="22"/>
        </w:rPr>
        <w:pPrChange w:id="14400" w:author="AbbVie02no" w:date="2025-05-15T14:19:00Z">
          <w:pPr>
            <w:numPr>
              <w:numId w:val="9"/>
            </w:numPr>
            <w:tabs>
              <w:tab w:val="num" w:pos="540"/>
              <w:tab w:val="num" w:pos="720"/>
            </w:tabs>
            <w:suppressAutoHyphens/>
            <w:ind w:left="720" w:hanging="360"/>
          </w:pPr>
        </w:pPrChange>
      </w:pPr>
      <w:del w:id="14401" w:author="AbbVie02no" w:date="2025-05-15T14:19:00Z">
        <w:r w:rsidRPr="009C5EFD">
          <w:rPr>
            <w:sz w:val="22"/>
            <w:szCs w:val="22"/>
          </w:rPr>
          <w:delText>økt svette,</w:delText>
        </w:r>
      </w:del>
    </w:p>
    <w:p w14:paraId="48C7185D" w14:textId="6A4A9E96" w:rsidR="003F162F" w:rsidRPr="009C5EFD" w:rsidRDefault="00E453CD">
      <w:pPr>
        <w:rPr>
          <w:del w:id="14402" w:author="AbbVie02no" w:date="2025-05-15T14:19:00Z"/>
          <w:sz w:val="22"/>
          <w:szCs w:val="22"/>
        </w:rPr>
        <w:pPrChange w:id="14403" w:author="AbbVie02no" w:date="2025-05-15T14:19:00Z">
          <w:pPr>
            <w:numPr>
              <w:numId w:val="9"/>
            </w:numPr>
            <w:tabs>
              <w:tab w:val="num" w:pos="540"/>
              <w:tab w:val="num" w:pos="720"/>
            </w:tabs>
            <w:suppressAutoHyphens/>
            <w:ind w:left="720" w:hanging="360"/>
          </w:pPr>
        </w:pPrChange>
      </w:pPr>
      <w:del w:id="14404" w:author="AbbVie02no" w:date="2025-05-15T14:19:00Z">
        <w:r w:rsidRPr="009C5EFD">
          <w:rPr>
            <w:sz w:val="22"/>
            <w:szCs w:val="22"/>
          </w:rPr>
          <w:delText>hårtap,</w:delText>
        </w:r>
      </w:del>
    </w:p>
    <w:p w14:paraId="18FE8107" w14:textId="265D759E" w:rsidR="003F162F" w:rsidRPr="009C5EFD" w:rsidRDefault="00E453CD">
      <w:pPr>
        <w:rPr>
          <w:del w:id="14405" w:author="AbbVie02no" w:date="2025-05-15T14:19:00Z"/>
          <w:sz w:val="22"/>
          <w:szCs w:val="22"/>
        </w:rPr>
        <w:pPrChange w:id="14406" w:author="AbbVie02no" w:date="2025-05-15T14:19:00Z">
          <w:pPr>
            <w:numPr>
              <w:numId w:val="9"/>
            </w:numPr>
            <w:tabs>
              <w:tab w:val="num" w:pos="540"/>
              <w:tab w:val="num" w:pos="720"/>
            </w:tabs>
            <w:suppressAutoHyphens/>
            <w:ind w:left="720" w:hanging="360"/>
          </w:pPr>
        </w:pPrChange>
      </w:pPr>
      <w:del w:id="14407" w:author="AbbVie02no" w:date="2025-05-15T14:19:00Z">
        <w:r w:rsidRPr="009C5EFD">
          <w:rPr>
            <w:sz w:val="22"/>
            <w:szCs w:val="22"/>
          </w:rPr>
          <w:delText>nytt tilfelle eller forverring av psoriasis,</w:delText>
        </w:r>
      </w:del>
    </w:p>
    <w:p w14:paraId="76A8A9D4" w14:textId="49444A94" w:rsidR="006B0D92" w:rsidRPr="009C5EFD" w:rsidRDefault="00E453CD">
      <w:pPr>
        <w:rPr>
          <w:del w:id="14408" w:author="AbbVie02no" w:date="2025-05-15T14:19:00Z"/>
          <w:sz w:val="22"/>
          <w:szCs w:val="22"/>
        </w:rPr>
        <w:pPrChange w:id="14409" w:author="AbbVie02no" w:date="2025-05-15T14:19:00Z">
          <w:pPr>
            <w:numPr>
              <w:numId w:val="9"/>
            </w:numPr>
            <w:tabs>
              <w:tab w:val="num" w:pos="540"/>
              <w:tab w:val="num" w:pos="720"/>
            </w:tabs>
            <w:suppressAutoHyphens/>
            <w:ind w:left="720" w:hanging="360"/>
          </w:pPr>
        </w:pPrChange>
      </w:pPr>
      <w:del w:id="14410" w:author="AbbVie02no" w:date="2025-05-15T14:19:00Z">
        <w:r w:rsidRPr="009C5EFD">
          <w:rPr>
            <w:sz w:val="22"/>
            <w:szCs w:val="22"/>
          </w:rPr>
          <w:delText>muskelkramper,</w:delText>
        </w:r>
      </w:del>
    </w:p>
    <w:p w14:paraId="3F882460" w14:textId="520DA6A2" w:rsidR="006B0D92" w:rsidRPr="009C5EFD" w:rsidRDefault="00E453CD">
      <w:pPr>
        <w:rPr>
          <w:del w:id="14411" w:author="AbbVie02no" w:date="2025-05-15T14:19:00Z"/>
          <w:sz w:val="22"/>
          <w:szCs w:val="22"/>
        </w:rPr>
        <w:pPrChange w:id="14412" w:author="AbbVie02no" w:date="2025-05-15T14:19:00Z">
          <w:pPr>
            <w:numPr>
              <w:numId w:val="9"/>
            </w:numPr>
            <w:tabs>
              <w:tab w:val="num" w:pos="540"/>
              <w:tab w:val="num" w:pos="720"/>
            </w:tabs>
            <w:suppressAutoHyphens/>
            <w:ind w:left="720" w:hanging="360"/>
          </w:pPr>
        </w:pPrChange>
      </w:pPr>
      <w:del w:id="14413" w:author="AbbVie02no" w:date="2025-05-15T14:19:00Z">
        <w:r w:rsidRPr="009C5EFD">
          <w:rPr>
            <w:sz w:val="22"/>
            <w:szCs w:val="22"/>
          </w:rPr>
          <w:delText xml:space="preserve">blod i urin, </w:delText>
        </w:r>
      </w:del>
    </w:p>
    <w:p w14:paraId="64E8422D" w14:textId="01B0B0C4" w:rsidR="006B0D92" w:rsidRPr="009C5EFD" w:rsidRDefault="00E453CD">
      <w:pPr>
        <w:rPr>
          <w:del w:id="14414" w:author="AbbVie02no" w:date="2025-05-15T14:19:00Z"/>
          <w:sz w:val="22"/>
          <w:szCs w:val="22"/>
        </w:rPr>
        <w:pPrChange w:id="14415" w:author="AbbVie02no" w:date="2025-05-15T14:19:00Z">
          <w:pPr>
            <w:numPr>
              <w:numId w:val="9"/>
            </w:numPr>
            <w:tabs>
              <w:tab w:val="num" w:pos="540"/>
              <w:tab w:val="num" w:pos="720"/>
            </w:tabs>
            <w:suppressAutoHyphens/>
            <w:ind w:left="720" w:hanging="360"/>
          </w:pPr>
        </w:pPrChange>
      </w:pPr>
      <w:del w:id="14416" w:author="AbbVie02no" w:date="2025-05-15T14:19:00Z">
        <w:r w:rsidRPr="009C5EFD">
          <w:rPr>
            <w:sz w:val="22"/>
            <w:szCs w:val="22"/>
          </w:rPr>
          <w:delText>nyreproblemer</w:delText>
        </w:r>
        <w:r w:rsidR="00F402ED" w:rsidRPr="009C5EFD">
          <w:rPr>
            <w:sz w:val="22"/>
            <w:szCs w:val="22"/>
          </w:rPr>
          <w:delText>,</w:delText>
        </w:r>
      </w:del>
    </w:p>
    <w:p w14:paraId="3D3FA73E" w14:textId="1822BF08" w:rsidR="006B0D92" w:rsidRPr="009C5EFD" w:rsidRDefault="00E453CD">
      <w:pPr>
        <w:rPr>
          <w:del w:id="14417" w:author="AbbVie02no" w:date="2025-05-15T14:19:00Z"/>
          <w:sz w:val="22"/>
          <w:szCs w:val="22"/>
        </w:rPr>
        <w:pPrChange w:id="14418" w:author="AbbVie02no" w:date="2025-05-15T14:19:00Z">
          <w:pPr>
            <w:numPr>
              <w:numId w:val="9"/>
            </w:numPr>
            <w:tabs>
              <w:tab w:val="num" w:pos="540"/>
              <w:tab w:val="num" w:pos="720"/>
            </w:tabs>
            <w:suppressAutoHyphens/>
            <w:ind w:left="720" w:hanging="360"/>
          </w:pPr>
        </w:pPrChange>
      </w:pPr>
      <w:del w:id="14419" w:author="AbbVie02no" w:date="2025-05-15T14:19:00Z">
        <w:r w:rsidRPr="009C5EFD">
          <w:rPr>
            <w:sz w:val="22"/>
            <w:szCs w:val="22"/>
          </w:rPr>
          <w:delText>brystsmerte</w:delText>
        </w:r>
        <w:r w:rsidR="00CE3E50" w:rsidRPr="009C5EFD">
          <w:rPr>
            <w:sz w:val="22"/>
            <w:szCs w:val="22"/>
          </w:rPr>
          <w:delText>r</w:delText>
        </w:r>
        <w:r w:rsidRPr="009C5EFD">
          <w:rPr>
            <w:sz w:val="22"/>
            <w:szCs w:val="22"/>
          </w:rPr>
          <w:delText>,</w:delText>
        </w:r>
      </w:del>
    </w:p>
    <w:p w14:paraId="4DFFC8C5" w14:textId="1B8E3B27" w:rsidR="006B0D92" w:rsidRPr="009C5EFD" w:rsidRDefault="00E453CD">
      <w:pPr>
        <w:rPr>
          <w:del w:id="14420" w:author="AbbVie02no" w:date="2025-05-15T14:19:00Z"/>
          <w:sz w:val="22"/>
          <w:szCs w:val="22"/>
        </w:rPr>
        <w:pPrChange w:id="14421" w:author="AbbVie02no" w:date="2025-05-15T14:19:00Z">
          <w:pPr>
            <w:numPr>
              <w:numId w:val="9"/>
            </w:numPr>
            <w:tabs>
              <w:tab w:val="num" w:pos="540"/>
              <w:tab w:val="num" w:pos="720"/>
            </w:tabs>
            <w:suppressAutoHyphens/>
            <w:ind w:left="720" w:hanging="360"/>
          </w:pPr>
        </w:pPrChange>
      </w:pPr>
      <w:del w:id="14422" w:author="AbbVie02no" w:date="2025-05-15T14:19:00Z">
        <w:r w:rsidRPr="009C5EFD">
          <w:rPr>
            <w:sz w:val="22"/>
            <w:szCs w:val="22"/>
          </w:rPr>
          <w:delText>ødem,</w:delText>
        </w:r>
      </w:del>
    </w:p>
    <w:p w14:paraId="68C5FFD6" w14:textId="5F0F2BF3" w:rsidR="00E7194E" w:rsidRPr="009C5EFD" w:rsidRDefault="00E453CD">
      <w:pPr>
        <w:rPr>
          <w:del w:id="14423" w:author="AbbVie02no" w:date="2025-05-15T14:19:00Z"/>
          <w:sz w:val="22"/>
          <w:szCs w:val="22"/>
        </w:rPr>
        <w:pPrChange w:id="14424" w:author="AbbVie02no" w:date="2025-05-15T14:19:00Z">
          <w:pPr>
            <w:numPr>
              <w:numId w:val="9"/>
            </w:numPr>
            <w:tabs>
              <w:tab w:val="num" w:pos="540"/>
              <w:tab w:val="num" w:pos="720"/>
            </w:tabs>
            <w:suppressAutoHyphens/>
            <w:ind w:left="720" w:hanging="360"/>
          </w:pPr>
        </w:pPrChange>
      </w:pPr>
      <w:del w:id="14425" w:author="AbbVie02no" w:date="2025-05-15T14:19:00Z">
        <w:r w:rsidRPr="009C5EFD">
          <w:rPr>
            <w:sz w:val="22"/>
            <w:szCs w:val="22"/>
          </w:rPr>
          <w:delText>feber,</w:delText>
        </w:r>
      </w:del>
    </w:p>
    <w:p w14:paraId="0EF49F85" w14:textId="710B6019" w:rsidR="006B0D92" w:rsidRPr="009C5EFD" w:rsidRDefault="00E453CD">
      <w:pPr>
        <w:rPr>
          <w:del w:id="14426" w:author="AbbVie02no" w:date="2025-05-15T14:19:00Z"/>
          <w:sz w:val="22"/>
          <w:szCs w:val="22"/>
        </w:rPr>
        <w:pPrChange w:id="14427" w:author="AbbVie02no" w:date="2025-05-15T14:19:00Z">
          <w:pPr>
            <w:numPr>
              <w:numId w:val="9"/>
            </w:numPr>
            <w:tabs>
              <w:tab w:val="num" w:pos="540"/>
              <w:tab w:val="num" w:pos="720"/>
            </w:tabs>
            <w:suppressAutoHyphens/>
            <w:ind w:left="720" w:hanging="360"/>
          </w:pPr>
        </w:pPrChange>
      </w:pPr>
      <w:del w:id="14428" w:author="AbbVie02no" w:date="2025-05-15T14:19:00Z">
        <w:r w:rsidRPr="009C5EFD">
          <w:rPr>
            <w:sz w:val="22"/>
            <w:szCs w:val="22"/>
          </w:rPr>
          <w:delText>reduksjon i blodplater som øker risiko for blødning eller blåmerke</w:delText>
        </w:r>
        <w:r w:rsidR="002E6078" w:rsidRPr="009C5EFD">
          <w:rPr>
            <w:sz w:val="22"/>
            <w:szCs w:val="22"/>
          </w:rPr>
          <w:delText>,</w:delText>
        </w:r>
      </w:del>
    </w:p>
    <w:p w14:paraId="59985E92" w14:textId="30D1CDD2" w:rsidR="002E6078" w:rsidRPr="009C5EFD" w:rsidRDefault="00E453CD">
      <w:pPr>
        <w:rPr>
          <w:del w:id="14429" w:author="AbbVie02no" w:date="2025-05-15T14:19:00Z"/>
          <w:sz w:val="22"/>
          <w:szCs w:val="22"/>
        </w:rPr>
        <w:pPrChange w:id="14430" w:author="AbbVie02no" w:date="2025-05-15T14:19:00Z">
          <w:pPr>
            <w:numPr>
              <w:numId w:val="9"/>
            </w:numPr>
            <w:tabs>
              <w:tab w:val="num" w:pos="540"/>
              <w:tab w:val="num" w:pos="720"/>
            </w:tabs>
            <w:suppressAutoHyphens/>
            <w:ind w:left="720" w:hanging="360"/>
          </w:pPr>
        </w:pPrChange>
      </w:pPr>
      <w:del w:id="14431" w:author="AbbVie02no" w:date="2025-05-15T14:19:00Z">
        <w:r w:rsidRPr="009C5EFD">
          <w:rPr>
            <w:sz w:val="22"/>
            <w:szCs w:val="22"/>
          </w:rPr>
          <w:delText>svekket heling.</w:delText>
        </w:r>
      </w:del>
    </w:p>
    <w:p w14:paraId="4570FC27" w14:textId="7BD1CA27" w:rsidR="006B0D92" w:rsidRPr="009C5EFD" w:rsidRDefault="006B0D92">
      <w:pPr>
        <w:rPr>
          <w:del w:id="14432" w:author="AbbVie02no" w:date="2025-05-15T14:19:00Z"/>
          <w:sz w:val="22"/>
          <w:szCs w:val="22"/>
        </w:rPr>
        <w:pPrChange w:id="14433" w:author="AbbVie02no" w:date="2025-05-15T14:19:00Z">
          <w:pPr>
            <w:suppressAutoHyphens/>
          </w:pPr>
        </w:pPrChange>
      </w:pPr>
    </w:p>
    <w:p w14:paraId="1A863A57" w14:textId="2BD6EDBE" w:rsidR="00CF2078" w:rsidRDefault="00E453CD">
      <w:pPr>
        <w:rPr>
          <w:del w:id="14434" w:author="AbbVie02no" w:date="2025-05-15T14:19:00Z"/>
          <w:sz w:val="22"/>
          <w:szCs w:val="22"/>
        </w:rPr>
        <w:pPrChange w:id="14435" w:author="AbbVie02no" w:date="2025-05-15T14:19:00Z">
          <w:pPr>
            <w:keepNext/>
            <w:suppressAutoHyphens/>
          </w:pPr>
        </w:pPrChange>
      </w:pPr>
      <w:del w:id="14436" w:author="AbbVie02no" w:date="2025-05-15T14:19:00Z">
        <w:r w:rsidRPr="006936CB">
          <w:rPr>
            <w:sz w:val="22"/>
            <w:szCs w:val="22"/>
          </w:rPr>
          <w:delText>Mindre vanlige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 xml:space="preserve">forekomme hos </w:delText>
        </w:r>
        <w:r w:rsidR="0099090E" w:rsidRPr="009C5EFD">
          <w:rPr>
            <w:sz w:val="22"/>
            <w:szCs w:val="22"/>
          </w:rPr>
          <w:delText>opptil</w:delText>
        </w:r>
        <w:r w:rsidR="008861C9" w:rsidRPr="009C5EFD">
          <w:rPr>
            <w:sz w:val="22"/>
            <w:szCs w:val="22"/>
          </w:rPr>
          <w:delText xml:space="preserve"> </w:delText>
        </w:r>
        <w:r w:rsidRPr="009C5EFD">
          <w:rPr>
            <w:sz w:val="22"/>
            <w:szCs w:val="22"/>
          </w:rPr>
          <w:delText xml:space="preserve">1 </w:delText>
        </w:r>
        <w:r w:rsidR="00E30ED5" w:rsidRPr="009C5EFD">
          <w:rPr>
            <w:sz w:val="22"/>
            <w:szCs w:val="22"/>
          </w:rPr>
          <w:delText>av</w:delText>
        </w:r>
        <w:r w:rsidRPr="009C5EFD">
          <w:rPr>
            <w:sz w:val="22"/>
            <w:szCs w:val="22"/>
          </w:rPr>
          <w:delText xml:space="preserve"> 100 </w:delText>
        </w:r>
        <w:r w:rsidR="0099090E" w:rsidRPr="009C5EFD">
          <w:rPr>
            <w:sz w:val="22"/>
            <w:szCs w:val="22"/>
          </w:rPr>
          <w:delText>personer</w:delText>
        </w:r>
        <w:r w:rsidRPr="009C5EFD">
          <w:rPr>
            <w:sz w:val="22"/>
            <w:szCs w:val="22"/>
          </w:rPr>
          <w:delText>)</w:delText>
        </w:r>
      </w:del>
    </w:p>
    <w:p w14:paraId="2A78CABD" w14:textId="6F6B5E5F" w:rsidR="006B0D92" w:rsidRPr="009C5EFD" w:rsidRDefault="006B0D92">
      <w:pPr>
        <w:rPr>
          <w:del w:id="14437" w:author="AbbVie02no" w:date="2025-05-15T14:19:00Z"/>
          <w:sz w:val="22"/>
          <w:szCs w:val="22"/>
        </w:rPr>
        <w:pPrChange w:id="14438" w:author="AbbVie02no" w:date="2025-05-15T14:19:00Z">
          <w:pPr>
            <w:keepNext/>
            <w:suppressAutoHyphens/>
          </w:pPr>
        </w:pPrChange>
      </w:pPr>
    </w:p>
    <w:p w14:paraId="770671CC" w14:textId="2502AE7D" w:rsidR="006B0D92" w:rsidRPr="009C5EFD" w:rsidRDefault="00E453CD">
      <w:pPr>
        <w:rPr>
          <w:del w:id="14439" w:author="AbbVie02no" w:date="2025-05-15T14:19:00Z"/>
          <w:sz w:val="22"/>
          <w:szCs w:val="22"/>
        </w:rPr>
        <w:pPrChange w:id="14440" w:author="AbbVie02no" w:date="2025-05-15T14:19:00Z">
          <w:pPr>
            <w:numPr>
              <w:numId w:val="16"/>
            </w:numPr>
            <w:tabs>
              <w:tab w:val="num" w:pos="540"/>
              <w:tab w:val="num" w:pos="720"/>
            </w:tabs>
            <w:suppressAutoHyphens/>
            <w:ind w:left="540" w:hanging="540"/>
          </w:pPr>
        </w:pPrChange>
      </w:pPr>
      <w:del w:id="14441" w:author="AbbVie02no" w:date="2025-05-15T14:19:00Z">
        <w:r w:rsidRPr="009C5EFD">
          <w:rPr>
            <w:sz w:val="22"/>
            <w:szCs w:val="22"/>
          </w:rPr>
          <w:delText>opportunistiske infeksjoner (inkludert tuberkulose og andre infeksjoner som oppstår</w:delText>
        </w:r>
        <w:r w:rsidR="002316CD">
          <w:rPr>
            <w:sz w:val="22"/>
            <w:szCs w:val="22"/>
          </w:rPr>
          <w:delText xml:space="preserve"> ved svekket immunforsvar</w:delText>
        </w:r>
        <w:r w:rsidRPr="009C5EFD">
          <w:rPr>
            <w:sz w:val="22"/>
            <w:szCs w:val="22"/>
          </w:rPr>
          <w:delText>),</w:delText>
        </w:r>
      </w:del>
    </w:p>
    <w:p w14:paraId="4D48A7B4" w14:textId="7D6FB3C3" w:rsidR="006B0D92" w:rsidRPr="009C5EFD" w:rsidRDefault="00E453CD">
      <w:pPr>
        <w:rPr>
          <w:del w:id="14442" w:author="AbbVie02no" w:date="2025-05-15T14:19:00Z"/>
          <w:sz w:val="22"/>
          <w:szCs w:val="22"/>
        </w:rPr>
        <w:pPrChange w:id="14443" w:author="AbbVie02no" w:date="2025-05-15T14:19:00Z">
          <w:pPr>
            <w:numPr>
              <w:numId w:val="16"/>
            </w:numPr>
            <w:tabs>
              <w:tab w:val="num" w:pos="540"/>
              <w:tab w:val="num" w:pos="720"/>
            </w:tabs>
            <w:suppressAutoHyphens/>
            <w:ind w:left="540" w:hanging="540"/>
          </w:pPr>
        </w:pPrChange>
      </w:pPr>
      <w:del w:id="14444" w:author="AbbVie02no" w:date="2025-05-15T14:19:00Z">
        <w:r w:rsidRPr="009C5EFD">
          <w:rPr>
            <w:sz w:val="22"/>
            <w:szCs w:val="22"/>
          </w:rPr>
          <w:delText>nevrologiske sykdommer (inkludert hjernehinnebetennelse),</w:delText>
        </w:r>
      </w:del>
    </w:p>
    <w:p w14:paraId="77568352" w14:textId="3B4BDF0F" w:rsidR="006B0D92" w:rsidRPr="009C5EFD" w:rsidRDefault="00E453CD">
      <w:pPr>
        <w:rPr>
          <w:del w:id="14445" w:author="AbbVie02no" w:date="2025-05-15T14:19:00Z"/>
          <w:sz w:val="22"/>
          <w:szCs w:val="22"/>
        </w:rPr>
        <w:pPrChange w:id="14446" w:author="AbbVie02no" w:date="2025-05-15T14:19:00Z">
          <w:pPr>
            <w:numPr>
              <w:numId w:val="16"/>
            </w:numPr>
            <w:tabs>
              <w:tab w:val="num" w:pos="540"/>
              <w:tab w:val="num" w:pos="720"/>
            </w:tabs>
            <w:suppressAutoHyphens/>
            <w:ind w:left="540" w:hanging="540"/>
          </w:pPr>
        </w:pPrChange>
      </w:pPr>
      <w:del w:id="14447" w:author="AbbVie02no" w:date="2025-05-15T14:19:00Z">
        <w:r w:rsidRPr="009C5EFD">
          <w:rPr>
            <w:sz w:val="22"/>
            <w:szCs w:val="22"/>
          </w:rPr>
          <w:delText>øyebetennelser,</w:delText>
        </w:r>
      </w:del>
    </w:p>
    <w:p w14:paraId="4CF8E650" w14:textId="1F7F4011" w:rsidR="006B0D92" w:rsidRPr="009C5EFD" w:rsidRDefault="00E453CD">
      <w:pPr>
        <w:rPr>
          <w:del w:id="14448" w:author="AbbVie02no" w:date="2025-05-15T14:19:00Z"/>
          <w:sz w:val="22"/>
          <w:szCs w:val="22"/>
        </w:rPr>
        <w:pPrChange w:id="14449" w:author="AbbVie02no" w:date="2025-05-15T14:19:00Z">
          <w:pPr>
            <w:numPr>
              <w:numId w:val="16"/>
            </w:numPr>
            <w:tabs>
              <w:tab w:val="num" w:pos="540"/>
              <w:tab w:val="num" w:pos="720"/>
            </w:tabs>
            <w:suppressAutoHyphens/>
            <w:ind w:left="540" w:hanging="540"/>
          </w:pPr>
        </w:pPrChange>
      </w:pPr>
      <w:del w:id="14450" w:author="AbbVie02no" w:date="2025-05-15T14:19:00Z">
        <w:r w:rsidRPr="009C5EFD">
          <w:rPr>
            <w:sz w:val="22"/>
            <w:szCs w:val="22"/>
          </w:rPr>
          <w:delText>bakterieinfeksjoner,</w:delText>
        </w:r>
      </w:del>
    </w:p>
    <w:p w14:paraId="03A858EB" w14:textId="6A2B4D58" w:rsidR="003F162F" w:rsidRPr="009C5EFD" w:rsidRDefault="00E453CD">
      <w:pPr>
        <w:rPr>
          <w:del w:id="14451" w:author="AbbVie02no" w:date="2025-05-15T14:19:00Z"/>
          <w:sz w:val="22"/>
          <w:szCs w:val="22"/>
        </w:rPr>
        <w:pPrChange w:id="14452" w:author="AbbVie02no" w:date="2025-05-15T14:19:00Z">
          <w:pPr>
            <w:numPr>
              <w:numId w:val="16"/>
            </w:numPr>
            <w:tabs>
              <w:tab w:val="num" w:pos="540"/>
              <w:tab w:val="num" w:pos="720"/>
            </w:tabs>
            <w:suppressAutoHyphens/>
            <w:ind w:left="540" w:hanging="540"/>
          </w:pPr>
        </w:pPrChange>
      </w:pPr>
      <w:del w:id="14453" w:author="AbbVie02no" w:date="2025-05-15T14:19:00Z">
        <w:r w:rsidRPr="009C5EFD">
          <w:rPr>
            <w:sz w:val="22"/>
            <w:szCs w:val="22"/>
          </w:rPr>
          <w:delText>divertikulitt (betennelse og infeksjon i tykktarmen),</w:delText>
        </w:r>
      </w:del>
    </w:p>
    <w:p w14:paraId="6C67D848" w14:textId="1B64879E" w:rsidR="002568DD" w:rsidRPr="009C5EFD" w:rsidRDefault="00E453CD">
      <w:pPr>
        <w:rPr>
          <w:del w:id="14454" w:author="AbbVie02no" w:date="2025-05-15T14:19:00Z"/>
          <w:sz w:val="22"/>
          <w:szCs w:val="22"/>
        </w:rPr>
        <w:pPrChange w:id="14455" w:author="AbbVie02no" w:date="2025-05-15T14:19:00Z">
          <w:pPr>
            <w:numPr>
              <w:numId w:val="16"/>
            </w:numPr>
            <w:tabs>
              <w:tab w:val="num" w:pos="540"/>
              <w:tab w:val="num" w:pos="720"/>
            </w:tabs>
            <w:suppressAutoHyphens/>
            <w:ind w:left="540" w:hanging="540"/>
          </w:pPr>
        </w:pPrChange>
      </w:pPr>
      <w:del w:id="14456" w:author="AbbVie02no" w:date="2025-05-15T14:19:00Z">
        <w:r w:rsidRPr="009C5EFD">
          <w:rPr>
            <w:sz w:val="22"/>
            <w:szCs w:val="22"/>
          </w:rPr>
          <w:delText>kreft,</w:delText>
        </w:r>
      </w:del>
    </w:p>
    <w:p w14:paraId="66E122BD" w14:textId="5462F253" w:rsidR="002568DD" w:rsidRPr="009C5EFD" w:rsidRDefault="00E453CD">
      <w:pPr>
        <w:rPr>
          <w:del w:id="14457" w:author="AbbVie02no" w:date="2025-05-15T14:19:00Z"/>
          <w:sz w:val="22"/>
          <w:szCs w:val="22"/>
        </w:rPr>
        <w:pPrChange w:id="14458" w:author="AbbVie02no" w:date="2025-05-15T14:19:00Z">
          <w:pPr>
            <w:numPr>
              <w:numId w:val="16"/>
            </w:numPr>
            <w:tabs>
              <w:tab w:val="num" w:pos="540"/>
              <w:tab w:val="num" w:pos="720"/>
            </w:tabs>
            <w:suppressAutoHyphens/>
            <w:ind w:left="540" w:hanging="540"/>
          </w:pPr>
        </w:pPrChange>
      </w:pPr>
      <w:del w:id="14459" w:author="AbbVie02no" w:date="2025-05-15T14:19:00Z">
        <w:r w:rsidRPr="009C5EFD">
          <w:rPr>
            <w:sz w:val="22"/>
            <w:szCs w:val="22"/>
          </w:rPr>
          <w:delText>kreft som påvirker lymfesystemet,</w:delText>
        </w:r>
      </w:del>
    </w:p>
    <w:p w14:paraId="65FE8BBE" w14:textId="1297D1AB" w:rsidR="002568DD" w:rsidRPr="009C5EFD" w:rsidRDefault="00E453CD">
      <w:pPr>
        <w:rPr>
          <w:del w:id="14460" w:author="AbbVie02no" w:date="2025-05-15T14:19:00Z"/>
          <w:sz w:val="22"/>
          <w:szCs w:val="22"/>
        </w:rPr>
        <w:pPrChange w:id="14461" w:author="AbbVie02no" w:date="2025-05-15T14:19:00Z">
          <w:pPr>
            <w:numPr>
              <w:numId w:val="16"/>
            </w:numPr>
            <w:tabs>
              <w:tab w:val="num" w:pos="540"/>
              <w:tab w:val="num" w:pos="720"/>
            </w:tabs>
            <w:suppressAutoHyphens/>
            <w:ind w:left="540" w:hanging="540"/>
          </w:pPr>
        </w:pPrChange>
      </w:pPr>
      <w:del w:id="14462" w:author="AbbVie02no" w:date="2025-05-15T14:19:00Z">
        <w:r w:rsidRPr="009C5EFD">
          <w:rPr>
            <w:sz w:val="22"/>
            <w:szCs w:val="22"/>
          </w:rPr>
          <w:delText>melanom,</w:delText>
        </w:r>
      </w:del>
    </w:p>
    <w:p w14:paraId="7143E51E" w14:textId="7ACCD62F" w:rsidR="00C3739E" w:rsidRPr="009C5EFD" w:rsidRDefault="00E453CD">
      <w:pPr>
        <w:rPr>
          <w:del w:id="14463" w:author="AbbVie02no" w:date="2025-05-15T14:19:00Z"/>
          <w:sz w:val="22"/>
          <w:szCs w:val="22"/>
        </w:rPr>
        <w:pPrChange w:id="14464" w:author="AbbVie02no" w:date="2025-05-15T14:19:00Z">
          <w:pPr>
            <w:numPr>
              <w:numId w:val="16"/>
            </w:numPr>
            <w:tabs>
              <w:tab w:val="num" w:pos="540"/>
              <w:tab w:val="num" w:pos="720"/>
            </w:tabs>
            <w:suppressAutoHyphens/>
            <w:ind w:left="540" w:hanging="540"/>
          </w:pPr>
        </w:pPrChange>
      </w:pPr>
      <w:del w:id="14465" w:author="AbbVie02no" w:date="2025-05-15T14:19:00Z">
        <w:r w:rsidRPr="009C5EFD">
          <w:rPr>
            <w:sz w:val="22"/>
            <w:szCs w:val="22"/>
          </w:rPr>
          <w:delText xml:space="preserve">forstyrrelser i </w:delText>
        </w:r>
        <w:r w:rsidR="003F162F" w:rsidRPr="009C5EFD">
          <w:rPr>
            <w:sz w:val="22"/>
            <w:szCs w:val="22"/>
          </w:rPr>
          <w:delText>immunsystem</w:delText>
        </w:r>
        <w:r w:rsidRPr="009C5EFD">
          <w:rPr>
            <w:sz w:val="22"/>
            <w:szCs w:val="22"/>
          </w:rPr>
          <w:delText>et</w:delText>
        </w:r>
        <w:r w:rsidR="003F162F" w:rsidRPr="009C5EFD">
          <w:rPr>
            <w:sz w:val="22"/>
            <w:szCs w:val="22"/>
          </w:rPr>
          <w:delText xml:space="preserve"> som kan påvirke lungene, hud</w:delText>
        </w:r>
        <w:r w:rsidRPr="009C5EFD">
          <w:rPr>
            <w:sz w:val="22"/>
            <w:szCs w:val="22"/>
          </w:rPr>
          <w:delText>en</w:delText>
        </w:r>
        <w:r w:rsidR="003F162F" w:rsidRPr="009C5EFD">
          <w:rPr>
            <w:sz w:val="22"/>
            <w:szCs w:val="22"/>
          </w:rPr>
          <w:delText xml:space="preserve"> og lymfeknute</w:delText>
        </w:r>
        <w:r w:rsidRPr="009C5EFD">
          <w:rPr>
            <w:sz w:val="22"/>
            <w:szCs w:val="22"/>
          </w:rPr>
          <w:delText>ne</w:delText>
        </w:r>
        <w:r w:rsidR="003F162F" w:rsidRPr="009C5EFD">
          <w:rPr>
            <w:sz w:val="22"/>
            <w:szCs w:val="22"/>
          </w:rPr>
          <w:delText xml:space="preserve"> (</w:delText>
        </w:r>
        <w:r w:rsidRPr="009C5EFD">
          <w:rPr>
            <w:sz w:val="22"/>
            <w:szCs w:val="22"/>
          </w:rPr>
          <w:delText xml:space="preserve">vises </w:delText>
        </w:r>
        <w:r w:rsidR="00A852C4" w:rsidRPr="009C5EFD">
          <w:rPr>
            <w:sz w:val="22"/>
            <w:szCs w:val="22"/>
          </w:rPr>
          <w:delText>vanligvis</w:delText>
        </w:r>
        <w:r w:rsidR="001A03CB" w:rsidRPr="009C5EFD">
          <w:rPr>
            <w:sz w:val="22"/>
            <w:szCs w:val="22"/>
          </w:rPr>
          <w:delText xml:space="preserve"> som</w:delText>
        </w:r>
        <w:r w:rsidR="003F162F" w:rsidRPr="009C5EFD">
          <w:rPr>
            <w:sz w:val="22"/>
            <w:szCs w:val="22"/>
          </w:rPr>
          <w:delText xml:space="preserve"> sarkoidose),</w:delText>
        </w:r>
      </w:del>
    </w:p>
    <w:p w14:paraId="54B99BB8" w14:textId="3AA2713B" w:rsidR="006B0D92" w:rsidRPr="009C5EFD" w:rsidRDefault="00E453CD">
      <w:pPr>
        <w:rPr>
          <w:del w:id="14466" w:author="AbbVie02no" w:date="2025-05-15T14:19:00Z"/>
          <w:sz w:val="22"/>
          <w:szCs w:val="22"/>
        </w:rPr>
        <w:pPrChange w:id="14467" w:author="AbbVie02no" w:date="2025-05-15T14:19:00Z">
          <w:pPr>
            <w:numPr>
              <w:numId w:val="16"/>
            </w:numPr>
            <w:tabs>
              <w:tab w:val="num" w:pos="540"/>
              <w:tab w:val="num" w:pos="720"/>
            </w:tabs>
            <w:suppressAutoHyphens/>
            <w:ind w:left="540" w:hanging="540"/>
          </w:pPr>
        </w:pPrChange>
      </w:pPr>
      <w:del w:id="14468" w:author="AbbVie02no" w:date="2025-05-15T14:19:00Z">
        <w:r w:rsidRPr="009C5EFD">
          <w:rPr>
            <w:sz w:val="22"/>
            <w:szCs w:val="22"/>
          </w:rPr>
          <w:delText>vaskulitt (betennelse i blodårene),</w:delText>
        </w:r>
      </w:del>
    </w:p>
    <w:p w14:paraId="6F97CA5E" w14:textId="6CF79A79" w:rsidR="006B0D92" w:rsidRPr="009C5EFD" w:rsidRDefault="00E453CD">
      <w:pPr>
        <w:rPr>
          <w:del w:id="14469" w:author="AbbVie02no" w:date="2025-05-15T14:19:00Z"/>
          <w:sz w:val="22"/>
          <w:szCs w:val="22"/>
        </w:rPr>
        <w:pPrChange w:id="14470" w:author="AbbVie02no" w:date="2025-05-15T14:19:00Z">
          <w:pPr>
            <w:numPr>
              <w:numId w:val="16"/>
            </w:numPr>
            <w:tabs>
              <w:tab w:val="num" w:pos="540"/>
              <w:tab w:val="num" w:pos="720"/>
            </w:tabs>
            <w:suppressAutoHyphens/>
            <w:ind w:left="540" w:hanging="540"/>
          </w:pPr>
        </w:pPrChange>
      </w:pPr>
      <w:del w:id="14471" w:author="AbbVie02no" w:date="2025-05-15T14:19:00Z">
        <w:r w:rsidRPr="009C5EFD">
          <w:rPr>
            <w:sz w:val="22"/>
            <w:szCs w:val="22"/>
          </w:rPr>
          <w:delText>skjelving,</w:delText>
        </w:r>
      </w:del>
    </w:p>
    <w:p w14:paraId="2D3B60E6" w14:textId="55B9185E" w:rsidR="00EE6BE1" w:rsidRPr="009C5EFD" w:rsidRDefault="00E453CD">
      <w:pPr>
        <w:rPr>
          <w:del w:id="14472" w:author="AbbVie02no" w:date="2025-05-15T14:19:00Z"/>
          <w:sz w:val="22"/>
          <w:szCs w:val="22"/>
        </w:rPr>
        <w:pPrChange w:id="14473" w:author="AbbVie02no" w:date="2025-05-15T14:19:00Z">
          <w:pPr>
            <w:numPr>
              <w:numId w:val="16"/>
            </w:numPr>
            <w:tabs>
              <w:tab w:val="num" w:pos="540"/>
              <w:tab w:val="num" w:pos="720"/>
            </w:tabs>
            <w:suppressAutoHyphens/>
            <w:ind w:left="540" w:hanging="540"/>
          </w:pPr>
        </w:pPrChange>
      </w:pPr>
      <w:del w:id="14474" w:author="AbbVie02no" w:date="2025-05-15T14:19:00Z">
        <w:r w:rsidRPr="009C5EFD">
          <w:rPr>
            <w:sz w:val="22"/>
            <w:szCs w:val="22"/>
          </w:rPr>
          <w:delText>slag,</w:delText>
        </w:r>
      </w:del>
    </w:p>
    <w:p w14:paraId="5A012EFF" w14:textId="1C877C94" w:rsidR="003F162F" w:rsidRPr="009C5EFD" w:rsidRDefault="00E453CD">
      <w:pPr>
        <w:rPr>
          <w:del w:id="14475" w:author="AbbVie02no" w:date="2025-05-15T14:19:00Z"/>
          <w:sz w:val="22"/>
          <w:szCs w:val="22"/>
        </w:rPr>
        <w:pPrChange w:id="14476" w:author="AbbVie02no" w:date="2025-05-15T14:19:00Z">
          <w:pPr>
            <w:numPr>
              <w:numId w:val="16"/>
            </w:numPr>
            <w:tabs>
              <w:tab w:val="num" w:pos="540"/>
              <w:tab w:val="num" w:pos="720"/>
            </w:tabs>
            <w:suppressAutoHyphens/>
            <w:ind w:left="540" w:hanging="540"/>
          </w:pPr>
        </w:pPrChange>
      </w:pPr>
      <w:del w:id="14477" w:author="AbbVie02no" w:date="2025-05-15T14:19:00Z">
        <w:r w:rsidRPr="009C5EFD">
          <w:rPr>
            <w:sz w:val="22"/>
            <w:szCs w:val="22"/>
          </w:rPr>
          <w:delText>ne</w:delText>
        </w:r>
        <w:r w:rsidR="007D4332">
          <w:rPr>
            <w:sz w:val="22"/>
            <w:szCs w:val="22"/>
          </w:rPr>
          <w:delText>v</w:delText>
        </w:r>
        <w:r w:rsidRPr="009C5EFD">
          <w:rPr>
            <w:sz w:val="22"/>
            <w:szCs w:val="22"/>
          </w:rPr>
          <w:delText xml:space="preserve">ropati, </w:delText>
        </w:r>
      </w:del>
    </w:p>
    <w:p w14:paraId="7A74C580" w14:textId="14A13A5F" w:rsidR="006B0D92" w:rsidRPr="009C5EFD" w:rsidRDefault="00E453CD">
      <w:pPr>
        <w:rPr>
          <w:del w:id="14478" w:author="AbbVie02no" w:date="2025-05-15T14:19:00Z"/>
          <w:sz w:val="22"/>
          <w:szCs w:val="22"/>
        </w:rPr>
        <w:pPrChange w:id="14479" w:author="AbbVie02no" w:date="2025-05-15T14:19:00Z">
          <w:pPr>
            <w:numPr>
              <w:numId w:val="16"/>
            </w:numPr>
            <w:tabs>
              <w:tab w:val="num" w:pos="540"/>
              <w:tab w:val="num" w:pos="720"/>
            </w:tabs>
            <w:suppressAutoHyphens/>
            <w:ind w:left="540" w:hanging="540"/>
          </w:pPr>
        </w:pPrChange>
      </w:pPr>
      <w:del w:id="14480" w:author="AbbVie02no" w:date="2025-05-15T14:19:00Z">
        <w:r w:rsidRPr="009C5EFD">
          <w:rPr>
            <w:sz w:val="22"/>
            <w:szCs w:val="22"/>
          </w:rPr>
          <w:delText>hørseltap, øresus,</w:delText>
        </w:r>
      </w:del>
    </w:p>
    <w:p w14:paraId="6CC9A9AC" w14:textId="7581C5B3" w:rsidR="006B0D92" w:rsidRPr="009C5EFD" w:rsidRDefault="00E453CD">
      <w:pPr>
        <w:rPr>
          <w:del w:id="14481" w:author="AbbVie02no" w:date="2025-05-15T14:19:00Z"/>
          <w:sz w:val="22"/>
          <w:szCs w:val="22"/>
        </w:rPr>
        <w:pPrChange w:id="14482" w:author="AbbVie02no" w:date="2025-05-15T14:19:00Z">
          <w:pPr>
            <w:numPr>
              <w:numId w:val="16"/>
            </w:numPr>
            <w:tabs>
              <w:tab w:val="num" w:pos="540"/>
              <w:tab w:val="num" w:pos="720"/>
            </w:tabs>
            <w:suppressAutoHyphens/>
            <w:ind w:left="540" w:hanging="540"/>
          </w:pPr>
        </w:pPrChange>
      </w:pPr>
      <w:del w:id="14483" w:author="AbbVie02no" w:date="2025-05-15T14:19:00Z">
        <w:r w:rsidRPr="009C5EFD">
          <w:rPr>
            <w:sz w:val="22"/>
            <w:szCs w:val="22"/>
          </w:rPr>
          <w:delText>følelse av at hjertet slår uregelmessig,</w:delText>
        </w:r>
      </w:del>
    </w:p>
    <w:p w14:paraId="0F7F142A" w14:textId="6A34AB38" w:rsidR="006B0D92" w:rsidRPr="009C5EFD" w:rsidRDefault="00E453CD">
      <w:pPr>
        <w:rPr>
          <w:del w:id="14484" w:author="AbbVie02no" w:date="2025-05-15T14:19:00Z"/>
          <w:sz w:val="22"/>
          <w:szCs w:val="22"/>
        </w:rPr>
        <w:pPrChange w:id="14485" w:author="AbbVie02no" w:date="2025-05-15T14:19:00Z">
          <w:pPr>
            <w:numPr>
              <w:numId w:val="16"/>
            </w:numPr>
            <w:tabs>
              <w:tab w:val="num" w:pos="540"/>
              <w:tab w:val="num" w:pos="720"/>
            </w:tabs>
            <w:suppressAutoHyphens/>
            <w:ind w:left="540" w:hanging="540"/>
          </w:pPr>
        </w:pPrChange>
      </w:pPr>
      <w:del w:id="14486" w:author="AbbVie02no" w:date="2025-05-15T14:19:00Z">
        <w:r w:rsidRPr="009C5EFD">
          <w:rPr>
            <w:sz w:val="22"/>
            <w:szCs w:val="22"/>
          </w:rPr>
          <w:lastRenderedPageBreak/>
          <w:delText>hjerteproblemer som forårsaker andpustenhet eller hevelse i ankler,</w:delText>
        </w:r>
      </w:del>
    </w:p>
    <w:p w14:paraId="1935394C" w14:textId="75F72A75" w:rsidR="006814B9" w:rsidRPr="009C5EFD" w:rsidRDefault="00E453CD">
      <w:pPr>
        <w:rPr>
          <w:del w:id="14487" w:author="AbbVie02no" w:date="2025-05-15T14:19:00Z"/>
          <w:sz w:val="22"/>
          <w:szCs w:val="22"/>
        </w:rPr>
        <w:pPrChange w:id="14488" w:author="AbbVie02no" w:date="2025-05-15T14:19:00Z">
          <w:pPr>
            <w:numPr>
              <w:numId w:val="16"/>
            </w:numPr>
            <w:tabs>
              <w:tab w:val="num" w:pos="540"/>
              <w:tab w:val="num" w:pos="720"/>
            </w:tabs>
            <w:suppressAutoHyphens/>
            <w:ind w:left="540" w:hanging="540"/>
          </w:pPr>
        </w:pPrChange>
      </w:pPr>
      <w:del w:id="14489" w:author="AbbVie02no" w:date="2025-05-15T14:19:00Z">
        <w:r w:rsidRPr="009C5EFD">
          <w:rPr>
            <w:sz w:val="22"/>
            <w:szCs w:val="22"/>
          </w:rPr>
          <w:delText>hjerteinfarkt,</w:delText>
        </w:r>
      </w:del>
    </w:p>
    <w:p w14:paraId="29E3C844" w14:textId="689BEBD7" w:rsidR="00332C19" w:rsidRPr="009C5EFD" w:rsidRDefault="00E453CD">
      <w:pPr>
        <w:rPr>
          <w:del w:id="14490" w:author="AbbVie02no" w:date="2025-05-15T14:19:00Z"/>
          <w:sz w:val="22"/>
          <w:szCs w:val="22"/>
        </w:rPr>
        <w:pPrChange w:id="14491" w:author="AbbVie02no" w:date="2025-05-15T14:19:00Z">
          <w:pPr>
            <w:numPr>
              <w:numId w:val="16"/>
            </w:numPr>
            <w:tabs>
              <w:tab w:val="num" w:pos="540"/>
              <w:tab w:val="num" w:pos="720"/>
            </w:tabs>
            <w:suppressAutoHyphens/>
            <w:ind w:left="540" w:hanging="540"/>
          </w:pPr>
        </w:pPrChange>
      </w:pPr>
      <w:del w:id="14492" w:author="AbbVie02no" w:date="2025-05-15T14:19:00Z">
        <w:r w:rsidRPr="009C5EFD">
          <w:rPr>
            <w:sz w:val="22"/>
            <w:szCs w:val="22"/>
          </w:rPr>
          <w:delText>en utposning på veggen av en stor pulsåre, betennelse og blodpropp i en blodåre, blokade av et blodkar,</w:delText>
        </w:r>
      </w:del>
    </w:p>
    <w:p w14:paraId="2286A043" w14:textId="405C95F0" w:rsidR="006B0D92" w:rsidRPr="009C5EFD" w:rsidRDefault="00E453CD">
      <w:pPr>
        <w:rPr>
          <w:del w:id="14493" w:author="AbbVie02no" w:date="2025-05-15T14:19:00Z"/>
          <w:sz w:val="22"/>
          <w:szCs w:val="22"/>
        </w:rPr>
        <w:pPrChange w:id="14494" w:author="AbbVie02no" w:date="2025-05-15T14:19:00Z">
          <w:pPr>
            <w:numPr>
              <w:numId w:val="16"/>
            </w:numPr>
            <w:tabs>
              <w:tab w:val="num" w:pos="540"/>
              <w:tab w:val="num" w:pos="720"/>
            </w:tabs>
            <w:suppressAutoHyphens/>
            <w:ind w:left="540" w:hanging="540"/>
          </w:pPr>
        </w:pPrChange>
      </w:pPr>
      <w:del w:id="14495" w:author="AbbVie02no" w:date="2025-05-15T14:19:00Z">
        <w:r w:rsidRPr="009C5EFD">
          <w:rPr>
            <w:sz w:val="22"/>
            <w:szCs w:val="22"/>
          </w:rPr>
          <w:delText>lungesykdom som forårsaker andpustenhet (inkludert betennelse),</w:delText>
        </w:r>
      </w:del>
    </w:p>
    <w:p w14:paraId="21BEEFBA" w14:textId="793EDCB8" w:rsidR="004C2B8D" w:rsidRPr="009C5EFD" w:rsidRDefault="00E453CD">
      <w:pPr>
        <w:rPr>
          <w:del w:id="14496" w:author="AbbVie02no" w:date="2025-05-15T14:19:00Z"/>
          <w:sz w:val="22"/>
          <w:szCs w:val="22"/>
        </w:rPr>
        <w:pPrChange w:id="14497" w:author="AbbVie02no" w:date="2025-05-15T14:19:00Z">
          <w:pPr>
            <w:numPr>
              <w:numId w:val="16"/>
            </w:numPr>
            <w:tabs>
              <w:tab w:val="num" w:pos="540"/>
              <w:tab w:val="num" w:pos="720"/>
            </w:tabs>
            <w:suppressAutoHyphens/>
            <w:ind w:left="540" w:hanging="540"/>
          </w:pPr>
        </w:pPrChange>
      </w:pPr>
      <w:del w:id="14498" w:author="AbbVie02no" w:date="2025-05-15T14:19:00Z">
        <w:r w:rsidRPr="009C5EFD">
          <w:rPr>
            <w:sz w:val="22"/>
            <w:szCs w:val="22"/>
          </w:rPr>
          <w:delText>lungeemboli (</w:delText>
        </w:r>
        <w:r w:rsidR="00C11FE9" w:rsidRPr="009C5EFD">
          <w:rPr>
            <w:sz w:val="22"/>
            <w:szCs w:val="22"/>
          </w:rPr>
          <w:delText>blodpropp i en blodåre i lungene</w:delText>
        </w:r>
        <w:r w:rsidRPr="009C5EFD">
          <w:rPr>
            <w:sz w:val="22"/>
            <w:szCs w:val="22"/>
          </w:rPr>
          <w:delText>),</w:delText>
        </w:r>
      </w:del>
    </w:p>
    <w:p w14:paraId="34FF6DB1" w14:textId="1C4159FA" w:rsidR="004C2B8D" w:rsidRPr="009C5EFD" w:rsidRDefault="00E453CD">
      <w:pPr>
        <w:rPr>
          <w:del w:id="14499" w:author="AbbVie02no" w:date="2025-05-15T14:19:00Z"/>
          <w:sz w:val="22"/>
          <w:szCs w:val="22"/>
        </w:rPr>
        <w:pPrChange w:id="14500" w:author="AbbVie02no" w:date="2025-05-15T14:19:00Z">
          <w:pPr>
            <w:numPr>
              <w:numId w:val="16"/>
            </w:numPr>
            <w:tabs>
              <w:tab w:val="num" w:pos="540"/>
              <w:tab w:val="num" w:pos="720"/>
            </w:tabs>
            <w:suppressAutoHyphens/>
            <w:ind w:left="540" w:hanging="540"/>
          </w:pPr>
        </w:pPrChange>
      </w:pPr>
      <w:del w:id="14501" w:author="AbbVie02no" w:date="2025-05-15T14:19:00Z">
        <w:r>
          <w:rPr>
            <w:sz w:val="22"/>
            <w:szCs w:val="22"/>
          </w:rPr>
          <w:delText>pleura</w:delText>
        </w:r>
        <w:r w:rsidRPr="009C5EFD">
          <w:rPr>
            <w:sz w:val="22"/>
            <w:szCs w:val="22"/>
          </w:rPr>
          <w:delText>væske (unormal samling av væske i lungesekken),</w:delText>
        </w:r>
      </w:del>
    </w:p>
    <w:p w14:paraId="461FDED7" w14:textId="47C7D4DC" w:rsidR="006B0D92" w:rsidRPr="009C5EFD" w:rsidRDefault="00E453CD">
      <w:pPr>
        <w:rPr>
          <w:del w:id="14502" w:author="AbbVie02no" w:date="2025-05-15T14:19:00Z"/>
          <w:sz w:val="22"/>
          <w:szCs w:val="22"/>
        </w:rPr>
        <w:pPrChange w:id="14503" w:author="AbbVie02no" w:date="2025-05-15T14:19:00Z">
          <w:pPr>
            <w:numPr>
              <w:numId w:val="16"/>
            </w:numPr>
            <w:tabs>
              <w:tab w:val="num" w:pos="540"/>
              <w:tab w:val="num" w:pos="720"/>
            </w:tabs>
            <w:suppressAutoHyphens/>
            <w:ind w:left="540" w:hanging="540"/>
          </w:pPr>
        </w:pPrChange>
      </w:pPr>
      <w:del w:id="14504" w:author="AbbVie02no" w:date="2025-05-15T14:19:00Z">
        <w:r w:rsidRPr="009C5EFD">
          <w:rPr>
            <w:sz w:val="22"/>
            <w:szCs w:val="22"/>
          </w:rPr>
          <w:delText>betennelse i bukspyttkjertel so</w:delText>
        </w:r>
        <w:r w:rsidR="00F402ED" w:rsidRPr="009C5EFD">
          <w:rPr>
            <w:sz w:val="22"/>
            <w:szCs w:val="22"/>
          </w:rPr>
          <w:delText>m forårsaker sterke smerter i mag</w:delText>
        </w:r>
        <w:r w:rsidRPr="009C5EFD">
          <w:rPr>
            <w:sz w:val="22"/>
            <w:szCs w:val="22"/>
          </w:rPr>
          <w:delText>e og rygg,</w:delText>
        </w:r>
      </w:del>
    </w:p>
    <w:p w14:paraId="4FB4B925" w14:textId="56611578" w:rsidR="006B0D92" w:rsidRPr="009C5EFD" w:rsidRDefault="00E453CD">
      <w:pPr>
        <w:rPr>
          <w:del w:id="14505" w:author="AbbVie02no" w:date="2025-05-15T14:19:00Z"/>
          <w:sz w:val="22"/>
          <w:szCs w:val="22"/>
        </w:rPr>
        <w:pPrChange w:id="14506" w:author="AbbVie02no" w:date="2025-05-15T14:19:00Z">
          <w:pPr>
            <w:numPr>
              <w:numId w:val="16"/>
            </w:numPr>
            <w:tabs>
              <w:tab w:val="num" w:pos="540"/>
              <w:tab w:val="num" w:pos="720"/>
            </w:tabs>
            <w:suppressAutoHyphens/>
            <w:ind w:left="540" w:hanging="540"/>
          </w:pPr>
        </w:pPrChange>
      </w:pPr>
      <w:del w:id="14507" w:author="AbbVie02no" w:date="2025-05-15T14:19:00Z">
        <w:r w:rsidRPr="009C5EFD">
          <w:rPr>
            <w:sz w:val="22"/>
            <w:szCs w:val="22"/>
          </w:rPr>
          <w:delText>svelgeproblemer,</w:delText>
        </w:r>
      </w:del>
    </w:p>
    <w:p w14:paraId="632F8E84" w14:textId="3427A0CC" w:rsidR="006B0D92" w:rsidRPr="009C5EFD" w:rsidRDefault="00E453CD">
      <w:pPr>
        <w:rPr>
          <w:del w:id="14508" w:author="AbbVie02no" w:date="2025-05-15T14:19:00Z"/>
          <w:sz w:val="22"/>
          <w:szCs w:val="22"/>
        </w:rPr>
        <w:pPrChange w:id="14509" w:author="AbbVie02no" w:date="2025-05-15T14:19:00Z">
          <w:pPr>
            <w:numPr>
              <w:numId w:val="16"/>
            </w:numPr>
            <w:tabs>
              <w:tab w:val="num" w:pos="540"/>
              <w:tab w:val="num" w:pos="720"/>
            </w:tabs>
            <w:suppressAutoHyphens/>
            <w:ind w:left="540" w:hanging="540"/>
          </w:pPr>
        </w:pPrChange>
      </w:pPr>
      <w:del w:id="14510" w:author="AbbVie02no" w:date="2025-05-15T14:19:00Z">
        <w:r w:rsidRPr="009C5EFD">
          <w:rPr>
            <w:sz w:val="22"/>
            <w:szCs w:val="22"/>
          </w:rPr>
          <w:delText>opphovnet ansikt,</w:delText>
        </w:r>
      </w:del>
    </w:p>
    <w:p w14:paraId="327B4222" w14:textId="10559640" w:rsidR="006B0D92" w:rsidRPr="009C5EFD" w:rsidRDefault="00E453CD">
      <w:pPr>
        <w:rPr>
          <w:del w:id="14511" w:author="AbbVie02no" w:date="2025-05-15T14:19:00Z"/>
          <w:sz w:val="22"/>
          <w:szCs w:val="22"/>
        </w:rPr>
        <w:pPrChange w:id="14512" w:author="AbbVie02no" w:date="2025-05-15T14:19:00Z">
          <w:pPr>
            <w:numPr>
              <w:numId w:val="16"/>
            </w:numPr>
            <w:tabs>
              <w:tab w:val="num" w:pos="540"/>
              <w:tab w:val="num" w:pos="720"/>
            </w:tabs>
            <w:suppressAutoHyphens/>
            <w:ind w:left="540" w:hanging="540"/>
          </w:pPr>
        </w:pPrChange>
      </w:pPr>
      <w:del w:id="14513" w:author="AbbVie02no" w:date="2025-05-15T14:19:00Z">
        <w:r w:rsidRPr="009C5EFD">
          <w:rPr>
            <w:sz w:val="22"/>
            <w:szCs w:val="22"/>
          </w:rPr>
          <w:delText>betennelse i galleb</w:delText>
        </w:r>
        <w:r w:rsidR="002316CD">
          <w:rPr>
            <w:sz w:val="22"/>
            <w:szCs w:val="22"/>
          </w:rPr>
          <w:delText>l</w:delText>
        </w:r>
        <w:r w:rsidRPr="009C5EFD">
          <w:rPr>
            <w:sz w:val="22"/>
            <w:szCs w:val="22"/>
          </w:rPr>
          <w:delText>ære</w:delText>
        </w:r>
        <w:r w:rsidR="002316CD">
          <w:rPr>
            <w:sz w:val="22"/>
            <w:szCs w:val="22"/>
          </w:rPr>
          <w:delText>n</w:delText>
        </w:r>
        <w:r w:rsidRPr="009C5EFD">
          <w:rPr>
            <w:sz w:val="22"/>
            <w:szCs w:val="22"/>
          </w:rPr>
          <w:delText>, gallestein,</w:delText>
        </w:r>
      </w:del>
    </w:p>
    <w:p w14:paraId="3DA4E692" w14:textId="3130B696" w:rsidR="006B0D92" w:rsidRPr="009C5EFD" w:rsidRDefault="00E453CD">
      <w:pPr>
        <w:rPr>
          <w:del w:id="14514" w:author="AbbVie02no" w:date="2025-05-15T14:19:00Z"/>
          <w:sz w:val="22"/>
          <w:szCs w:val="22"/>
        </w:rPr>
        <w:pPrChange w:id="14515" w:author="AbbVie02no" w:date="2025-05-15T14:19:00Z">
          <w:pPr>
            <w:numPr>
              <w:numId w:val="16"/>
            </w:numPr>
            <w:tabs>
              <w:tab w:val="num" w:pos="540"/>
              <w:tab w:val="num" w:pos="720"/>
            </w:tabs>
            <w:suppressAutoHyphens/>
            <w:ind w:left="540" w:hanging="540"/>
          </w:pPr>
        </w:pPrChange>
      </w:pPr>
      <w:del w:id="14516" w:author="AbbVie02no" w:date="2025-05-15T14:19:00Z">
        <w:r w:rsidRPr="009C5EFD">
          <w:rPr>
            <w:sz w:val="22"/>
            <w:szCs w:val="22"/>
          </w:rPr>
          <w:delText>fettlever,</w:delText>
        </w:r>
      </w:del>
    </w:p>
    <w:p w14:paraId="7A2E4F2B" w14:textId="10696D94" w:rsidR="006B0D92" w:rsidRPr="009C5EFD" w:rsidRDefault="00E453CD">
      <w:pPr>
        <w:rPr>
          <w:del w:id="14517" w:author="AbbVie02no" w:date="2025-05-15T14:19:00Z"/>
          <w:sz w:val="22"/>
          <w:szCs w:val="22"/>
        </w:rPr>
        <w:pPrChange w:id="14518" w:author="AbbVie02no" w:date="2025-05-15T14:19:00Z">
          <w:pPr>
            <w:numPr>
              <w:numId w:val="16"/>
            </w:numPr>
            <w:tabs>
              <w:tab w:val="num" w:pos="540"/>
              <w:tab w:val="num" w:pos="720"/>
            </w:tabs>
            <w:suppressAutoHyphens/>
            <w:ind w:left="540" w:hanging="540"/>
          </w:pPr>
        </w:pPrChange>
      </w:pPr>
      <w:del w:id="14519" w:author="AbbVie02no" w:date="2025-05-15T14:19:00Z">
        <w:r w:rsidRPr="009C5EFD">
          <w:rPr>
            <w:sz w:val="22"/>
            <w:szCs w:val="22"/>
          </w:rPr>
          <w:delText>nattesvette,</w:delText>
        </w:r>
      </w:del>
    </w:p>
    <w:p w14:paraId="5DA0268C" w14:textId="2F956C21" w:rsidR="006B0D92" w:rsidRPr="009C5EFD" w:rsidRDefault="00E453CD">
      <w:pPr>
        <w:rPr>
          <w:del w:id="14520" w:author="AbbVie02no" w:date="2025-05-15T14:19:00Z"/>
          <w:sz w:val="22"/>
          <w:szCs w:val="22"/>
        </w:rPr>
        <w:pPrChange w:id="14521" w:author="AbbVie02no" w:date="2025-05-15T14:19:00Z">
          <w:pPr>
            <w:numPr>
              <w:numId w:val="16"/>
            </w:numPr>
            <w:tabs>
              <w:tab w:val="num" w:pos="540"/>
              <w:tab w:val="num" w:pos="720"/>
            </w:tabs>
            <w:suppressAutoHyphens/>
            <w:ind w:left="540" w:hanging="540"/>
          </w:pPr>
        </w:pPrChange>
      </w:pPr>
      <w:del w:id="14522" w:author="AbbVie02no" w:date="2025-05-15T14:19:00Z">
        <w:r w:rsidRPr="009C5EFD">
          <w:rPr>
            <w:sz w:val="22"/>
            <w:szCs w:val="22"/>
          </w:rPr>
          <w:delText>arrdannelse,</w:delText>
        </w:r>
      </w:del>
    </w:p>
    <w:p w14:paraId="63F3A17F" w14:textId="51A0120E" w:rsidR="006B0D92" w:rsidRPr="009C5EFD" w:rsidRDefault="00E453CD">
      <w:pPr>
        <w:rPr>
          <w:del w:id="14523" w:author="AbbVie02no" w:date="2025-05-15T14:19:00Z"/>
          <w:sz w:val="22"/>
          <w:szCs w:val="22"/>
        </w:rPr>
        <w:pPrChange w:id="14524" w:author="AbbVie02no" w:date="2025-05-15T14:19:00Z">
          <w:pPr>
            <w:numPr>
              <w:numId w:val="16"/>
            </w:numPr>
            <w:tabs>
              <w:tab w:val="num" w:pos="540"/>
              <w:tab w:val="num" w:pos="720"/>
            </w:tabs>
            <w:suppressAutoHyphens/>
            <w:ind w:left="540" w:hanging="540"/>
          </w:pPr>
        </w:pPrChange>
      </w:pPr>
      <w:del w:id="14525" w:author="AbbVie02no" w:date="2025-05-15T14:19:00Z">
        <w:r w:rsidRPr="009C5EFD">
          <w:rPr>
            <w:sz w:val="22"/>
            <w:szCs w:val="22"/>
          </w:rPr>
          <w:delText>unormal muskeltap,</w:delText>
        </w:r>
      </w:del>
    </w:p>
    <w:p w14:paraId="148780C5" w14:textId="5A73D6E8" w:rsidR="006A2704" w:rsidRPr="009C5EFD" w:rsidRDefault="00E453CD">
      <w:pPr>
        <w:rPr>
          <w:del w:id="14526" w:author="AbbVie02no" w:date="2025-05-15T14:19:00Z"/>
          <w:sz w:val="22"/>
          <w:szCs w:val="22"/>
        </w:rPr>
        <w:pPrChange w:id="14527" w:author="AbbVie02no" w:date="2025-05-15T14:19:00Z">
          <w:pPr>
            <w:numPr>
              <w:numId w:val="16"/>
            </w:numPr>
            <w:tabs>
              <w:tab w:val="num" w:pos="540"/>
              <w:tab w:val="num" w:pos="720"/>
            </w:tabs>
            <w:suppressAutoHyphens/>
            <w:ind w:left="540" w:hanging="540"/>
          </w:pPr>
        </w:pPrChange>
      </w:pPr>
      <w:del w:id="14528" w:author="AbbVie02no" w:date="2025-05-15T14:19:00Z">
        <w:r w:rsidRPr="009C5EFD">
          <w:rPr>
            <w:sz w:val="22"/>
            <w:szCs w:val="22"/>
          </w:rPr>
          <w:delText>systemisk lupus erythematosus (inkludert betennelser i hud, hjerte, lunge, ledd og andre organer),</w:delText>
        </w:r>
      </w:del>
    </w:p>
    <w:p w14:paraId="2D63D42B" w14:textId="408F2543" w:rsidR="006B0D92" w:rsidRPr="009C5EFD" w:rsidRDefault="00E453CD">
      <w:pPr>
        <w:rPr>
          <w:del w:id="14529" w:author="AbbVie02no" w:date="2025-05-15T14:19:00Z"/>
          <w:sz w:val="22"/>
          <w:szCs w:val="22"/>
        </w:rPr>
        <w:pPrChange w:id="14530" w:author="AbbVie02no" w:date="2025-05-15T14:19:00Z">
          <w:pPr>
            <w:numPr>
              <w:numId w:val="16"/>
            </w:numPr>
            <w:tabs>
              <w:tab w:val="num" w:pos="540"/>
              <w:tab w:val="num" w:pos="720"/>
            </w:tabs>
            <w:suppressAutoHyphens/>
            <w:ind w:left="540" w:hanging="540"/>
          </w:pPr>
        </w:pPrChange>
      </w:pPr>
      <w:del w:id="14531" w:author="AbbVie02no" w:date="2025-05-15T14:19:00Z">
        <w:r w:rsidRPr="009C5EFD">
          <w:rPr>
            <w:sz w:val="22"/>
            <w:szCs w:val="22"/>
          </w:rPr>
          <w:delText>søvnforstyrrelser,</w:delText>
        </w:r>
      </w:del>
    </w:p>
    <w:p w14:paraId="69CF3DDA" w14:textId="517E9C8E" w:rsidR="006B0D92" w:rsidRPr="009C5EFD" w:rsidRDefault="00E453CD">
      <w:pPr>
        <w:rPr>
          <w:del w:id="14532" w:author="AbbVie02no" w:date="2025-05-15T14:19:00Z"/>
          <w:sz w:val="22"/>
          <w:szCs w:val="22"/>
        </w:rPr>
        <w:pPrChange w:id="14533" w:author="AbbVie02no" w:date="2025-05-15T14:19:00Z">
          <w:pPr>
            <w:numPr>
              <w:numId w:val="16"/>
            </w:numPr>
            <w:tabs>
              <w:tab w:val="num" w:pos="540"/>
              <w:tab w:val="num" w:pos="720"/>
            </w:tabs>
            <w:suppressAutoHyphens/>
            <w:ind w:left="540" w:hanging="540"/>
          </w:pPr>
        </w:pPrChange>
      </w:pPr>
      <w:del w:id="14534" w:author="AbbVie02no" w:date="2025-05-15T14:19:00Z">
        <w:r w:rsidRPr="009C5EFD">
          <w:rPr>
            <w:sz w:val="22"/>
            <w:szCs w:val="22"/>
          </w:rPr>
          <w:delText>impotens,</w:delText>
        </w:r>
      </w:del>
    </w:p>
    <w:p w14:paraId="4E84B1EE" w14:textId="62A14D63" w:rsidR="006B0D92" w:rsidRPr="009C5EFD" w:rsidRDefault="00E453CD">
      <w:pPr>
        <w:rPr>
          <w:del w:id="14535" w:author="AbbVie02no" w:date="2025-05-15T14:19:00Z"/>
          <w:sz w:val="22"/>
          <w:szCs w:val="22"/>
        </w:rPr>
        <w:pPrChange w:id="14536" w:author="AbbVie02no" w:date="2025-05-15T14:19:00Z">
          <w:pPr>
            <w:numPr>
              <w:numId w:val="16"/>
            </w:numPr>
            <w:tabs>
              <w:tab w:val="num" w:pos="540"/>
              <w:tab w:val="num" w:pos="720"/>
            </w:tabs>
            <w:suppressAutoHyphens/>
            <w:ind w:left="540" w:hanging="540"/>
          </w:pPr>
        </w:pPrChange>
      </w:pPr>
      <w:del w:id="14537" w:author="AbbVie02no" w:date="2025-05-15T14:19:00Z">
        <w:r w:rsidRPr="009C5EFD">
          <w:rPr>
            <w:sz w:val="22"/>
            <w:szCs w:val="22"/>
          </w:rPr>
          <w:delText>betennelser.</w:delText>
        </w:r>
      </w:del>
    </w:p>
    <w:p w14:paraId="53AADA37" w14:textId="6122B47E" w:rsidR="006B0D92" w:rsidRPr="009C5EFD" w:rsidRDefault="006B0D92">
      <w:pPr>
        <w:rPr>
          <w:del w:id="14538" w:author="AbbVie02no" w:date="2025-05-15T14:19:00Z"/>
          <w:szCs w:val="22"/>
        </w:rPr>
        <w:pPrChange w:id="14539" w:author="AbbVie02no" w:date="2025-05-15T14:19:00Z">
          <w:pPr>
            <w:pStyle w:val="EMEAFigureTitle"/>
            <w:tabs>
              <w:tab w:val="clear" w:pos="562"/>
            </w:tabs>
          </w:pPr>
        </w:pPrChange>
      </w:pPr>
    </w:p>
    <w:p w14:paraId="5C825941" w14:textId="6B3AAFF0" w:rsidR="006B0D92" w:rsidRDefault="00E453CD">
      <w:pPr>
        <w:rPr>
          <w:del w:id="14540" w:author="AbbVie02no" w:date="2025-05-15T14:19:00Z"/>
          <w:sz w:val="22"/>
          <w:szCs w:val="22"/>
        </w:rPr>
        <w:pPrChange w:id="14541" w:author="AbbVie02no" w:date="2025-05-15T14:19:00Z">
          <w:pPr>
            <w:keepNext/>
          </w:pPr>
        </w:pPrChange>
      </w:pPr>
      <w:del w:id="14542" w:author="AbbVie02no" w:date="2025-05-15T14:19:00Z">
        <w:r w:rsidRPr="006936CB">
          <w:rPr>
            <w:sz w:val="22"/>
            <w:szCs w:val="22"/>
          </w:rPr>
          <w:delText>Sjeldne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forekomme hos</w:delText>
        </w:r>
        <w:r w:rsidR="0099090E"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E30ED5" w:rsidRPr="009C5EFD">
          <w:rPr>
            <w:sz w:val="22"/>
            <w:szCs w:val="22"/>
          </w:rPr>
          <w:delText>av</w:delText>
        </w:r>
        <w:r w:rsidRPr="009C5EFD">
          <w:rPr>
            <w:sz w:val="22"/>
            <w:szCs w:val="22"/>
          </w:rPr>
          <w:delText xml:space="preserve"> 1000 </w:delText>
        </w:r>
        <w:r w:rsidR="0099090E" w:rsidRPr="009C5EFD">
          <w:rPr>
            <w:sz w:val="22"/>
            <w:szCs w:val="22"/>
          </w:rPr>
          <w:delText>personer</w:delText>
        </w:r>
        <w:r w:rsidRPr="009C5EFD">
          <w:rPr>
            <w:sz w:val="22"/>
            <w:szCs w:val="22"/>
          </w:rPr>
          <w:delText>)</w:delText>
        </w:r>
      </w:del>
    </w:p>
    <w:p w14:paraId="0FA6F453" w14:textId="457C86F1" w:rsidR="00CF2078" w:rsidRPr="009C5EFD" w:rsidRDefault="00CF2078">
      <w:pPr>
        <w:rPr>
          <w:del w:id="14543" w:author="AbbVie02no" w:date="2025-05-15T14:19:00Z"/>
          <w:sz w:val="22"/>
          <w:szCs w:val="22"/>
        </w:rPr>
        <w:pPrChange w:id="14544" w:author="AbbVie02no" w:date="2025-05-15T14:19:00Z">
          <w:pPr>
            <w:keepNext/>
          </w:pPr>
        </w:pPrChange>
      </w:pPr>
    </w:p>
    <w:p w14:paraId="12F7C23C" w14:textId="27952392" w:rsidR="001A03CB" w:rsidRPr="009C5EFD" w:rsidRDefault="00E453CD">
      <w:pPr>
        <w:rPr>
          <w:del w:id="14545" w:author="AbbVie02no" w:date="2025-05-15T14:19:00Z"/>
          <w:sz w:val="22"/>
          <w:szCs w:val="22"/>
        </w:rPr>
        <w:pPrChange w:id="14546" w:author="AbbVie02no" w:date="2025-05-15T14:19:00Z">
          <w:pPr>
            <w:numPr>
              <w:numId w:val="15"/>
            </w:numPr>
            <w:tabs>
              <w:tab w:val="num" w:pos="540"/>
              <w:tab w:val="num" w:pos="720"/>
            </w:tabs>
            <w:ind w:left="720" w:hanging="360"/>
          </w:pPr>
        </w:pPrChange>
      </w:pPr>
      <w:del w:id="14547" w:author="AbbVie02no" w:date="2025-05-15T14:19:00Z">
        <w:r w:rsidRPr="009C5EFD">
          <w:rPr>
            <w:sz w:val="22"/>
            <w:szCs w:val="22"/>
          </w:rPr>
          <w:delText xml:space="preserve">leukemi (kreft som </w:delText>
        </w:r>
        <w:r w:rsidR="004768F2" w:rsidRPr="009C5EFD">
          <w:rPr>
            <w:sz w:val="22"/>
            <w:szCs w:val="22"/>
          </w:rPr>
          <w:delText>påvirker</w:delText>
        </w:r>
        <w:r w:rsidRPr="009C5EFD">
          <w:rPr>
            <w:sz w:val="22"/>
            <w:szCs w:val="22"/>
          </w:rPr>
          <w:delText xml:space="preserve"> blod og benmarg),</w:delText>
        </w:r>
      </w:del>
    </w:p>
    <w:p w14:paraId="45E34679" w14:textId="660D87D0" w:rsidR="001A03CB" w:rsidRPr="009C5EFD" w:rsidRDefault="00E453CD">
      <w:pPr>
        <w:rPr>
          <w:del w:id="14548" w:author="AbbVie02no" w:date="2025-05-15T14:19:00Z"/>
          <w:sz w:val="22"/>
          <w:szCs w:val="22"/>
        </w:rPr>
        <w:pPrChange w:id="14549" w:author="AbbVie02no" w:date="2025-05-15T14:19:00Z">
          <w:pPr>
            <w:numPr>
              <w:numId w:val="15"/>
            </w:numPr>
            <w:tabs>
              <w:tab w:val="num" w:pos="540"/>
              <w:tab w:val="num" w:pos="720"/>
            </w:tabs>
            <w:ind w:left="540" w:hanging="540"/>
          </w:pPr>
        </w:pPrChange>
      </w:pPr>
      <w:del w:id="14550" w:author="AbbVie02no" w:date="2025-05-15T14:19:00Z">
        <w:r w:rsidRPr="009C5EFD">
          <w:rPr>
            <w:sz w:val="22"/>
            <w:szCs w:val="22"/>
          </w:rPr>
          <w:delText>alvorlig allergisk reaksjon med sjokk,</w:delText>
        </w:r>
      </w:del>
    </w:p>
    <w:p w14:paraId="3B135F28" w14:textId="36436F6F" w:rsidR="006B0D92" w:rsidRPr="009C5EFD" w:rsidRDefault="00E453CD">
      <w:pPr>
        <w:rPr>
          <w:del w:id="14551" w:author="AbbVie02no" w:date="2025-05-15T14:19:00Z"/>
          <w:sz w:val="22"/>
          <w:szCs w:val="22"/>
        </w:rPr>
        <w:pPrChange w:id="14552" w:author="AbbVie02no" w:date="2025-05-15T14:19:00Z">
          <w:pPr>
            <w:numPr>
              <w:numId w:val="15"/>
            </w:numPr>
            <w:tabs>
              <w:tab w:val="num" w:pos="540"/>
              <w:tab w:val="num" w:pos="720"/>
            </w:tabs>
            <w:ind w:left="720" w:hanging="360"/>
          </w:pPr>
        </w:pPrChange>
      </w:pPr>
      <w:del w:id="14553" w:author="AbbVie02no" w:date="2025-05-15T14:19:00Z">
        <w:r w:rsidRPr="009C5EFD">
          <w:rPr>
            <w:sz w:val="22"/>
            <w:szCs w:val="22"/>
          </w:rPr>
          <w:delText>multippel sklerose</w:delText>
        </w:r>
        <w:r w:rsidR="00955671" w:rsidRPr="009C5EFD">
          <w:rPr>
            <w:sz w:val="22"/>
            <w:szCs w:val="22"/>
          </w:rPr>
          <w:delText>,</w:delText>
        </w:r>
      </w:del>
    </w:p>
    <w:p w14:paraId="71365B25" w14:textId="28E3EB3D" w:rsidR="001A03CB" w:rsidRPr="009C5EFD" w:rsidRDefault="00E453CD">
      <w:pPr>
        <w:rPr>
          <w:del w:id="14554" w:author="AbbVie02no" w:date="2025-05-15T14:19:00Z"/>
          <w:sz w:val="22"/>
          <w:szCs w:val="22"/>
        </w:rPr>
        <w:pPrChange w:id="14555" w:author="AbbVie02no" w:date="2025-05-15T14:19:00Z">
          <w:pPr>
            <w:numPr>
              <w:numId w:val="15"/>
            </w:numPr>
            <w:tabs>
              <w:tab w:val="num" w:pos="540"/>
              <w:tab w:val="num" w:pos="720"/>
            </w:tabs>
            <w:ind w:left="540" w:hanging="540"/>
          </w:pPr>
        </w:pPrChange>
      </w:pPr>
      <w:del w:id="14556" w:author="AbbVie02no" w:date="2025-05-15T14:19:00Z">
        <w:r w:rsidRPr="009C5EFD">
          <w:rPr>
            <w:sz w:val="22"/>
            <w:szCs w:val="22"/>
          </w:rPr>
          <w:delText>nerveforstyrrelser (som betennelse på øyenervene og Guillain-Barré syndrom som kan forårsake muskelsvakhet, unormale sanseinntrykk, prikking i armene og overkroppen),</w:delText>
        </w:r>
      </w:del>
    </w:p>
    <w:p w14:paraId="4D537D92" w14:textId="68DD69EE" w:rsidR="006B0D92" w:rsidRPr="009C5EFD" w:rsidRDefault="00E453CD">
      <w:pPr>
        <w:rPr>
          <w:del w:id="14557" w:author="AbbVie02no" w:date="2025-05-15T14:19:00Z"/>
          <w:sz w:val="22"/>
          <w:szCs w:val="22"/>
        </w:rPr>
        <w:pPrChange w:id="14558" w:author="AbbVie02no" w:date="2025-05-15T14:19:00Z">
          <w:pPr>
            <w:numPr>
              <w:numId w:val="15"/>
            </w:numPr>
            <w:tabs>
              <w:tab w:val="num" w:pos="540"/>
              <w:tab w:val="num" w:pos="720"/>
            </w:tabs>
            <w:ind w:left="720" w:hanging="360"/>
          </w:pPr>
        </w:pPrChange>
      </w:pPr>
      <w:del w:id="14559" w:author="AbbVie02no" w:date="2025-05-15T14:19:00Z">
        <w:r w:rsidRPr="009C5EFD">
          <w:rPr>
            <w:sz w:val="22"/>
            <w:szCs w:val="22"/>
          </w:rPr>
          <w:delText>hjertet slutter å pumpe,</w:delText>
        </w:r>
      </w:del>
    </w:p>
    <w:p w14:paraId="17052FDF" w14:textId="567E14AC" w:rsidR="001A03CB" w:rsidRPr="009C5EFD" w:rsidRDefault="00E453CD">
      <w:pPr>
        <w:rPr>
          <w:del w:id="14560" w:author="AbbVie02no" w:date="2025-05-15T14:19:00Z"/>
          <w:sz w:val="22"/>
          <w:szCs w:val="22"/>
        </w:rPr>
        <w:pPrChange w:id="14561" w:author="AbbVie02no" w:date="2025-05-15T14:19:00Z">
          <w:pPr>
            <w:numPr>
              <w:numId w:val="15"/>
            </w:numPr>
            <w:tabs>
              <w:tab w:val="num" w:pos="540"/>
              <w:tab w:val="num" w:pos="720"/>
            </w:tabs>
            <w:ind w:left="540" w:hanging="540"/>
          </w:pPr>
        </w:pPrChange>
      </w:pPr>
      <w:del w:id="14562" w:author="AbbVie02no" w:date="2025-05-15T14:19:00Z">
        <w:r w:rsidRPr="009C5EFD">
          <w:rPr>
            <w:sz w:val="22"/>
            <w:szCs w:val="22"/>
          </w:rPr>
          <w:delText>lungefibrose (arrdannelse i lungene),</w:delText>
        </w:r>
      </w:del>
    </w:p>
    <w:p w14:paraId="3D0A2BB8" w14:textId="6518B2CD" w:rsidR="001A03CB" w:rsidRPr="009C5EFD" w:rsidRDefault="00E453CD">
      <w:pPr>
        <w:rPr>
          <w:del w:id="14563" w:author="AbbVie02no" w:date="2025-05-15T14:19:00Z"/>
          <w:sz w:val="22"/>
          <w:szCs w:val="22"/>
        </w:rPr>
        <w:pPrChange w:id="14564" w:author="AbbVie02no" w:date="2025-05-15T14:19:00Z">
          <w:pPr>
            <w:numPr>
              <w:numId w:val="15"/>
            </w:numPr>
            <w:tabs>
              <w:tab w:val="num" w:pos="540"/>
              <w:tab w:val="num" w:pos="720"/>
            </w:tabs>
            <w:ind w:left="540" w:hanging="540"/>
          </w:pPr>
        </w:pPrChange>
      </w:pPr>
      <w:del w:id="14565" w:author="AbbVie02no" w:date="2025-05-15T14:19:00Z">
        <w:r w:rsidRPr="009C5EFD">
          <w:rPr>
            <w:sz w:val="22"/>
            <w:szCs w:val="22"/>
          </w:rPr>
          <w:delText xml:space="preserve">hull </w:delText>
        </w:r>
        <w:r w:rsidR="002316CD">
          <w:rPr>
            <w:sz w:val="22"/>
            <w:szCs w:val="22"/>
          </w:rPr>
          <w:delText>på</w:delText>
        </w:r>
        <w:r w:rsidRPr="009C5EFD">
          <w:rPr>
            <w:sz w:val="22"/>
            <w:szCs w:val="22"/>
          </w:rPr>
          <w:delText xml:space="preserve"> ta</w:delText>
        </w:r>
        <w:r w:rsidR="004768F2" w:rsidRPr="009C5EFD">
          <w:rPr>
            <w:sz w:val="22"/>
            <w:szCs w:val="22"/>
          </w:rPr>
          <w:delText>r</w:delText>
        </w:r>
        <w:r w:rsidRPr="009C5EFD">
          <w:rPr>
            <w:sz w:val="22"/>
            <w:szCs w:val="22"/>
          </w:rPr>
          <w:delText>men</w:delText>
        </w:r>
        <w:r w:rsidR="002316CD">
          <w:rPr>
            <w:sz w:val="22"/>
            <w:szCs w:val="22"/>
          </w:rPr>
          <w:delText xml:space="preserve"> (perforasjon)</w:delText>
        </w:r>
        <w:r w:rsidRPr="009C5EFD">
          <w:rPr>
            <w:sz w:val="22"/>
            <w:szCs w:val="22"/>
          </w:rPr>
          <w:delText>,</w:delText>
        </w:r>
      </w:del>
    </w:p>
    <w:p w14:paraId="4A3C040A" w14:textId="5FA809B8" w:rsidR="0099090E" w:rsidRPr="009C5EFD" w:rsidRDefault="00E453CD">
      <w:pPr>
        <w:rPr>
          <w:del w:id="14566" w:author="AbbVie02no" w:date="2025-05-15T14:19:00Z"/>
          <w:sz w:val="22"/>
          <w:szCs w:val="22"/>
        </w:rPr>
        <w:pPrChange w:id="14567" w:author="AbbVie02no" w:date="2025-05-15T14:19:00Z">
          <w:pPr>
            <w:numPr>
              <w:numId w:val="15"/>
            </w:numPr>
            <w:tabs>
              <w:tab w:val="num" w:pos="540"/>
              <w:tab w:val="num" w:pos="720"/>
            </w:tabs>
            <w:ind w:left="540" w:hanging="540"/>
          </w:pPr>
        </w:pPrChange>
      </w:pPr>
      <w:del w:id="14568" w:author="AbbVie02no" w:date="2025-05-15T14:19:00Z">
        <w:r w:rsidRPr="009C5EFD">
          <w:rPr>
            <w:sz w:val="22"/>
            <w:szCs w:val="22"/>
          </w:rPr>
          <w:delText>hepatitt,</w:delText>
        </w:r>
      </w:del>
    </w:p>
    <w:p w14:paraId="7B73D76F" w14:textId="5B0A85E1" w:rsidR="001A03CB" w:rsidRPr="009C5EFD" w:rsidRDefault="00E453CD">
      <w:pPr>
        <w:rPr>
          <w:del w:id="14569" w:author="AbbVie02no" w:date="2025-05-15T14:19:00Z"/>
          <w:sz w:val="22"/>
          <w:szCs w:val="22"/>
        </w:rPr>
        <w:pPrChange w:id="14570" w:author="AbbVie02no" w:date="2025-05-15T14:19:00Z">
          <w:pPr>
            <w:numPr>
              <w:numId w:val="15"/>
            </w:numPr>
            <w:tabs>
              <w:tab w:val="num" w:pos="540"/>
              <w:tab w:val="num" w:pos="720"/>
            </w:tabs>
            <w:ind w:left="540" w:hanging="540"/>
          </w:pPr>
        </w:pPrChange>
      </w:pPr>
      <w:del w:id="14571" w:author="AbbVie02no" w:date="2025-05-15T14:19:00Z">
        <w:r w:rsidRPr="009C5EFD">
          <w:rPr>
            <w:sz w:val="22"/>
            <w:szCs w:val="22"/>
          </w:rPr>
          <w:delText>reaktivering av hepatitt B,</w:delText>
        </w:r>
      </w:del>
    </w:p>
    <w:p w14:paraId="261CBB6E" w14:textId="25D33DF8" w:rsidR="00102C0B" w:rsidRPr="009C5EFD" w:rsidRDefault="00E453CD">
      <w:pPr>
        <w:rPr>
          <w:del w:id="14572" w:author="AbbVie02no" w:date="2025-05-15T14:19:00Z"/>
          <w:sz w:val="22"/>
          <w:szCs w:val="22"/>
        </w:rPr>
        <w:pPrChange w:id="14573" w:author="AbbVie02no" w:date="2025-05-15T14:19:00Z">
          <w:pPr>
            <w:numPr>
              <w:numId w:val="15"/>
            </w:numPr>
            <w:tabs>
              <w:tab w:val="num" w:pos="540"/>
              <w:tab w:val="num" w:pos="720"/>
            </w:tabs>
            <w:ind w:left="540" w:hanging="540"/>
          </w:pPr>
        </w:pPrChange>
      </w:pPr>
      <w:del w:id="14574" w:author="AbbVie02no" w:date="2025-05-15T14:19:00Z">
        <w:r w:rsidRPr="009C5EFD">
          <w:rPr>
            <w:sz w:val="22"/>
            <w:szCs w:val="22"/>
          </w:rPr>
          <w:delText>autoimmun hepatitt (leverbetennelse forårsaket av kroppens eget immunforsvar)</w:delText>
        </w:r>
        <w:r w:rsidR="00A367DB" w:rsidRPr="009C5EFD">
          <w:rPr>
            <w:sz w:val="22"/>
            <w:szCs w:val="22"/>
          </w:rPr>
          <w:delText>,</w:delText>
        </w:r>
      </w:del>
    </w:p>
    <w:p w14:paraId="374F3969" w14:textId="2042ACD8" w:rsidR="001A03CB" w:rsidRPr="009C5EFD" w:rsidRDefault="00E453CD">
      <w:pPr>
        <w:rPr>
          <w:del w:id="14575" w:author="AbbVie02no" w:date="2025-05-15T14:19:00Z"/>
          <w:sz w:val="22"/>
          <w:szCs w:val="22"/>
        </w:rPr>
        <w:pPrChange w:id="14576" w:author="AbbVie02no" w:date="2025-05-15T14:19:00Z">
          <w:pPr>
            <w:numPr>
              <w:numId w:val="15"/>
            </w:numPr>
            <w:tabs>
              <w:tab w:val="num" w:pos="540"/>
              <w:tab w:val="num" w:pos="720"/>
            </w:tabs>
            <w:ind w:left="540" w:hanging="540"/>
          </w:pPr>
        </w:pPrChange>
      </w:pPr>
      <w:del w:id="14577" w:author="AbbVie02no" w:date="2025-05-15T14:19:00Z">
        <w:r w:rsidRPr="009C5EFD">
          <w:rPr>
            <w:sz w:val="22"/>
            <w:szCs w:val="22"/>
          </w:rPr>
          <w:delText>betennelse i blodkarene i huden</w:delText>
        </w:r>
        <w:r w:rsidR="00C11FE9" w:rsidRPr="009C5EFD">
          <w:rPr>
            <w:sz w:val="22"/>
            <w:szCs w:val="22"/>
          </w:rPr>
          <w:delText>,</w:delText>
        </w:r>
      </w:del>
    </w:p>
    <w:p w14:paraId="755A51CD" w14:textId="0F8A6AA3" w:rsidR="001A03CB" w:rsidRPr="009C5EFD" w:rsidRDefault="00E453CD">
      <w:pPr>
        <w:rPr>
          <w:del w:id="14578" w:author="AbbVie02no" w:date="2025-05-15T14:19:00Z"/>
          <w:sz w:val="22"/>
          <w:szCs w:val="22"/>
        </w:rPr>
        <w:pPrChange w:id="14579" w:author="AbbVie02no" w:date="2025-05-15T14:19:00Z">
          <w:pPr>
            <w:numPr>
              <w:numId w:val="15"/>
            </w:numPr>
            <w:tabs>
              <w:tab w:val="num" w:pos="540"/>
              <w:tab w:val="num" w:pos="720"/>
            </w:tabs>
            <w:ind w:left="540" w:hanging="540"/>
          </w:pPr>
        </w:pPrChange>
      </w:pPr>
      <w:del w:id="14580" w:author="AbbVie02no" w:date="2025-05-15T14:19:00Z">
        <w:r w:rsidRPr="009C5EFD">
          <w:rPr>
            <w:sz w:val="22"/>
            <w:szCs w:val="22"/>
          </w:rPr>
          <w:delText>Stevens-Johnson syndrom (tidlige symptomer inkludert diffus følelse av ubehag og tretthett, feber, hodepine og utslett),</w:delText>
        </w:r>
      </w:del>
    </w:p>
    <w:p w14:paraId="25010B74" w14:textId="750B29B1" w:rsidR="001A03CB" w:rsidRPr="009C5EFD" w:rsidRDefault="00E453CD">
      <w:pPr>
        <w:rPr>
          <w:del w:id="14581" w:author="AbbVie02no" w:date="2025-05-15T14:19:00Z"/>
          <w:sz w:val="22"/>
          <w:szCs w:val="22"/>
        </w:rPr>
        <w:pPrChange w:id="14582" w:author="AbbVie02no" w:date="2025-05-15T14:19:00Z">
          <w:pPr>
            <w:numPr>
              <w:numId w:val="15"/>
            </w:numPr>
            <w:tabs>
              <w:tab w:val="num" w:pos="540"/>
              <w:tab w:val="num" w:pos="720"/>
            </w:tabs>
            <w:ind w:left="540" w:hanging="540"/>
          </w:pPr>
        </w:pPrChange>
      </w:pPr>
      <w:del w:id="14583" w:author="AbbVie02no" w:date="2025-05-15T14:19:00Z">
        <w:r w:rsidRPr="009C5EFD">
          <w:rPr>
            <w:sz w:val="22"/>
            <w:szCs w:val="22"/>
          </w:rPr>
          <w:delText>ansiktsødem i forbindelse med allergiske reaksjoner,</w:delText>
        </w:r>
      </w:del>
    </w:p>
    <w:p w14:paraId="34211CDC" w14:textId="110EBE1D" w:rsidR="001A03CB" w:rsidRPr="009C5EFD" w:rsidRDefault="00E453CD">
      <w:pPr>
        <w:rPr>
          <w:del w:id="14584" w:author="AbbVie02no" w:date="2025-05-15T14:19:00Z"/>
          <w:sz w:val="22"/>
          <w:szCs w:val="22"/>
        </w:rPr>
        <w:pPrChange w:id="14585" w:author="AbbVie02no" w:date="2025-05-15T14:19:00Z">
          <w:pPr>
            <w:numPr>
              <w:numId w:val="15"/>
            </w:numPr>
            <w:tabs>
              <w:tab w:val="num" w:pos="540"/>
              <w:tab w:val="num" w:pos="720"/>
            </w:tabs>
            <w:ind w:left="540" w:hanging="540"/>
          </w:pPr>
        </w:pPrChange>
      </w:pPr>
      <w:del w:id="14586" w:author="AbbVie02no" w:date="2025-05-15T14:19:00Z">
        <w:r w:rsidRPr="009C5EFD">
          <w:rPr>
            <w:sz w:val="22"/>
            <w:szCs w:val="22"/>
          </w:rPr>
          <w:delText>erythema multiforme (hudutslett med inflammasjon),</w:delText>
        </w:r>
      </w:del>
    </w:p>
    <w:p w14:paraId="755CF4D7" w14:textId="4A8515B1" w:rsidR="00714EE6" w:rsidRDefault="00E453CD">
      <w:pPr>
        <w:rPr>
          <w:del w:id="14587" w:author="AbbVie02no" w:date="2025-05-15T14:19:00Z"/>
          <w:sz w:val="22"/>
          <w:szCs w:val="22"/>
        </w:rPr>
        <w:pPrChange w:id="14588" w:author="AbbVie02no" w:date="2025-05-15T14:19:00Z">
          <w:pPr>
            <w:numPr>
              <w:numId w:val="15"/>
            </w:numPr>
            <w:tabs>
              <w:tab w:val="num" w:pos="540"/>
              <w:tab w:val="num" w:pos="720"/>
            </w:tabs>
            <w:ind w:left="540" w:hanging="540"/>
          </w:pPr>
        </w:pPrChange>
      </w:pPr>
      <w:del w:id="14589" w:author="AbbVie02no" w:date="2025-05-15T14:19:00Z">
        <w:r w:rsidRPr="009C5EFD">
          <w:rPr>
            <w:sz w:val="22"/>
            <w:szCs w:val="22"/>
          </w:rPr>
          <w:delText>lupuslignende syndrom</w:delText>
        </w:r>
        <w:r>
          <w:rPr>
            <w:sz w:val="22"/>
            <w:szCs w:val="22"/>
          </w:rPr>
          <w:delText>,</w:delText>
        </w:r>
      </w:del>
    </w:p>
    <w:p w14:paraId="0A29E2E8" w14:textId="45DED622" w:rsidR="000730B6" w:rsidRDefault="00E453CD">
      <w:pPr>
        <w:rPr>
          <w:del w:id="14590" w:author="AbbVie02no" w:date="2025-05-15T14:19:00Z"/>
          <w:sz w:val="22"/>
          <w:szCs w:val="22"/>
        </w:rPr>
        <w:pPrChange w:id="14591" w:author="AbbVie02no" w:date="2025-05-15T14:19:00Z">
          <w:pPr>
            <w:numPr>
              <w:numId w:val="15"/>
            </w:numPr>
            <w:tabs>
              <w:tab w:val="num" w:pos="540"/>
              <w:tab w:val="num" w:pos="720"/>
            </w:tabs>
            <w:ind w:left="540" w:hanging="540"/>
          </w:pPr>
        </w:pPrChange>
      </w:pPr>
      <w:del w:id="14592" w:author="AbbVie02no" w:date="2025-05-15T14:19:00Z">
        <w:r>
          <w:rPr>
            <w:sz w:val="22"/>
            <w:szCs w:val="22"/>
          </w:rPr>
          <w:delText>angioødem (</w:delText>
        </w:r>
        <w:r w:rsidR="00714EE6">
          <w:rPr>
            <w:sz w:val="22"/>
            <w:szCs w:val="22"/>
          </w:rPr>
          <w:delText>lokalisert opphovning av huden)</w:delText>
        </w:r>
        <w:r>
          <w:rPr>
            <w:sz w:val="22"/>
            <w:szCs w:val="22"/>
          </w:rPr>
          <w:delText>,</w:delText>
        </w:r>
      </w:del>
    </w:p>
    <w:p w14:paraId="03F28912" w14:textId="2387A457" w:rsidR="006B0D92" w:rsidRPr="00A36D70" w:rsidRDefault="00E453CD">
      <w:pPr>
        <w:rPr>
          <w:del w:id="14593" w:author="AbbVie02no" w:date="2025-05-15T14:19:00Z"/>
          <w:sz w:val="22"/>
          <w:szCs w:val="22"/>
        </w:rPr>
        <w:pPrChange w:id="14594" w:author="AbbVie02no" w:date="2025-05-15T14:19:00Z">
          <w:pPr>
            <w:numPr>
              <w:numId w:val="15"/>
            </w:numPr>
            <w:tabs>
              <w:tab w:val="num" w:pos="540"/>
              <w:tab w:val="num" w:pos="720"/>
            </w:tabs>
            <w:ind w:left="540" w:hanging="540"/>
          </w:pPr>
        </w:pPrChange>
      </w:pPr>
      <w:del w:id="14595" w:author="AbbVie02no" w:date="2025-05-15T14:19:00Z">
        <w:r w:rsidRPr="000730B6">
          <w:rPr>
            <w:sz w:val="22"/>
            <w:szCs w:val="22"/>
          </w:rPr>
          <w:delText>lichenoid hudreaksjon (kløende rødlig-lilla utslett).</w:delText>
        </w:r>
      </w:del>
    </w:p>
    <w:p w14:paraId="0A812027" w14:textId="25B85188" w:rsidR="00DE6B05" w:rsidRPr="009C5EFD" w:rsidRDefault="00DE6B05" w:rsidP="00A6493F">
      <w:pPr>
        <w:rPr>
          <w:del w:id="14596" w:author="AbbVie02no" w:date="2025-05-15T14:19:00Z"/>
          <w:sz w:val="22"/>
          <w:szCs w:val="22"/>
        </w:rPr>
      </w:pPr>
    </w:p>
    <w:p w14:paraId="16BB3CE1" w14:textId="5FB1064D" w:rsidR="006C4FDE" w:rsidRDefault="00E453CD">
      <w:pPr>
        <w:rPr>
          <w:del w:id="14597" w:author="AbbVie02no" w:date="2025-05-15T14:19:00Z"/>
          <w:sz w:val="22"/>
          <w:szCs w:val="22"/>
        </w:rPr>
        <w:pPrChange w:id="14598" w:author="AbbVie02no" w:date="2025-05-15T14:19:00Z">
          <w:pPr>
            <w:keepNext/>
          </w:pPr>
        </w:pPrChange>
      </w:pPr>
      <w:del w:id="14599" w:author="AbbVie02no" w:date="2025-05-15T14:19:00Z">
        <w:r w:rsidRPr="006936CB">
          <w:rPr>
            <w:sz w:val="22"/>
            <w:szCs w:val="22"/>
          </w:rPr>
          <w:delText>Ikke kjent</w:delText>
        </w:r>
        <w:r w:rsidRPr="009C5EFD">
          <w:rPr>
            <w:sz w:val="22"/>
            <w:szCs w:val="22"/>
          </w:rPr>
          <w:delText xml:space="preserve"> (</w:delText>
        </w:r>
        <w:r w:rsidR="00E63B3E">
          <w:rPr>
            <w:sz w:val="22"/>
            <w:szCs w:val="22"/>
          </w:rPr>
          <w:delText xml:space="preserve">frekvens </w:delText>
        </w:r>
        <w:r w:rsidRPr="009C5EFD">
          <w:rPr>
            <w:sz w:val="22"/>
            <w:szCs w:val="22"/>
          </w:rPr>
          <w:delText xml:space="preserve">kan ikke </w:delText>
        </w:r>
        <w:r w:rsidR="002316CD">
          <w:rPr>
            <w:sz w:val="22"/>
            <w:szCs w:val="22"/>
          </w:rPr>
          <w:delText>anslås</w:delText>
        </w:r>
        <w:r w:rsidRPr="009C5EFD">
          <w:rPr>
            <w:sz w:val="22"/>
            <w:szCs w:val="22"/>
          </w:rPr>
          <w:delText xml:space="preserve"> ut ifra tilgjengelig</w:delText>
        </w:r>
        <w:r w:rsidR="00E63B3E">
          <w:rPr>
            <w:sz w:val="22"/>
            <w:szCs w:val="22"/>
          </w:rPr>
          <w:delText>e</w:delText>
        </w:r>
        <w:r w:rsidRPr="009C5EFD">
          <w:rPr>
            <w:sz w:val="22"/>
            <w:szCs w:val="22"/>
          </w:rPr>
          <w:delText xml:space="preserve"> data)</w:delText>
        </w:r>
      </w:del>
    </w:p>
    <w:p w14:paraId="281B4CDF" w14:textId="254B9436" w:rsidR="00BD3F76" w:rsidRPr="009C5EFD" w:rsidRDefault="00BD3F76">
      <w:pPr>
        <w:rPr>
          <w:del w:id="14600" w:author="AbbVie02no" w:date="2025-05-15T14:19:00Z"/>
          <w:sz w:val="22"/>
          <w:szCs w:val="22"/>
        </w:rPr>
        <w:pPrChange w:id="14601" w:author="AbbVie02no" w:date="2025-05-15T14:19:00Z">
          <w:pPr>
            <w:keepNext/>
          </w:pPr>
        </w:pPrChange>
      </w:pPr>
    </w:p>
    <w:p w14:paraId="3A60C547" w14:textId="0BCDD5B1" w:rsidR="006C4FDE" w:rsidRPr="009C5EFD" w:rsidRDefault="00E453CD">
      <w:pPr>
        <w:rPr>
          <w:del w:id="14602" w:author="AbbVie02no" w:date="2025-05-15T14:19:00Z"/>
          <w:sz w:val="22"/>
          <w:szCs w:val="22"/>
        </w:rPr>
        <w:pPrChange w:id="14603" w:author="AbbVie02no" w:date="2025-05-15T14:19:00Z">
          <w:pPr>
            <w:numPr>
              <w:numId w:val="49"/>
            </w:numPr>
            <w:tabs>
              <w:tab w:val="num" w:pos="567"/>
              <w:tab w:val="num" w:pos="720"/>
            </w:tabs>
            <w:ind w:left="567" w:hanging="567"/>
          </w:pPr>
        </w:pPrChange>
      </w:pPr>
      <w:del w:id="14604" w:author="AbbVie02no" w:date="2025-05-15T14:19:00Z">
        <w:r w:rsidRPr="009C5EFD">
          <w:rPr>
            <w:sz w:val="22"/>
            <w:szCs w:val="22"/>
          </w:rPr>
          <w:delText>hepatosplenisk T-cellelymfom (en sjelden form for blodkreft, som ofte er dødelig),</w:delText>
        </w:r>
      </w:del>
    </w:p>
    <w:p w14:paraId="2D7D0C76" w14:textId="70CBF551" w:rsidR="006C4FDE" w:rsidRDefault="00E453CD">
      <w:pPr>
        <w:rPr>
          <w:del w:id="14605" w:author="AbbVie02no" w:date="2025-05-15T14:19:00Z"/>
          <w:sz w:val="22"/>
          <w:szCs w:val="22"/>
        </w:rPr>
        <w:pPrChange w:id="14606" w:author="AbbVie02no" w:date="2025-05-15T14:19:00Z">
          <w:pPr>
            <w:numPr>
              <w:numId w:val="49"/>
            </w:numPr>
            <w:tabs>
              <w:tab w:val="num" w:pos="567"/>
              <w:tab w:val="num" w:pos="720"/>
            </w:tabs>
            <w:ind w:left="567" w:hanging="567"/>
          </w:pPr>
        </w:pPrChange>
      </w:pPr>
      <w:del w:id="14607" w:author="AbbVie02no" w:date="2025-05-15T14:19:00Z">
        <w:r w:rsidRPr="009C5EFD">
          <w:rPr>
            <w:sz w:val="22"/>
            <w:szCs w:val="22"/>
          </w:rPr>
          <w:delText>merkelcellekarsinom (en type hudkreft),</w:delText>
        </w:r>
      </w:del>
    </w:p>
    <w:p w14:paraId="3153D246" w14:textId="04186BDD" w:rsidR="003A4023" w:rsidRPr="000A0941" w:rsidRDefault="00E453CD">
      <w:pPr>
        <w:rPr>
          <w:del w:id="14608" w:author="AbbVie02no" w:date="2025-05-15T14:19:00Z"/>
          <w:sz w:val="22"/>
          <w:szCs w:val="22"/>
        </w:rPr>
        <w:pPrChange w:id="14609" w:author="AbbVie02no" w:date="2025-05-15T14:19:00Z">
          <w:pPr>
            <w:numPr>
              <w:numId w:val="49"/>
            </w:numPr>
            <w:tabs>
              <w:tab w:val="num" w:pos="567"/>
              <w:tab w:val="num" w:pos="720"/>
            </w:tabs>
            <w:ind w:left="567" w:hanging="567"/>
          </w:pPr>
        </w:pPrChange>
      </w:pPr>
      <w:del w:id="14610" w:author="AbbVie02no" w:date="2025-05-15T14:19:00Z">
        <w:r w:rsidRPr="003A4023">
          <w:rPr>
            <w:sz w:val="22"/>
            <w:szCs w:val="22"/>
          </w:rPr>
          <w:delText>Kaposis sarkom, en sjelden krefttype relatert til in</w:delText>
        </w:r>
        <w:r w:rsidRPr="000A0941">
          <w:rPr>
            <w:sz w:val="22"/>
            <w:szCs w:val="22"/>
          </w:rPr>
          <w:delText>feksjon med humant herpes virus 8. Kaposis sarkom opptrer som oftest som lilla lesjoner i huden</w:delText>
        </w:r>
        <w:r w:rsidR="00E63B3E">
          <w:rPr>
            <w:sz w:val="22"/>
            <w:szCs w:val="22"/>
          </w:rPr>
          <w:delText>,</w:delText>
        </w:r>
      </w:del>
    </w:p>
    <w:p w14:paraId="77B6A53D" w14:textId="67E983A0" w:rsidR="006C4FDE" w:rsidRPr="009C5EFD" w:rsidRDefault="00E453CD">
      <w:pPr>
        <w:rPr>
          <w:del w:id="14611" w:author="AbbVie02no" w:date="2025-05-15T14:19:00Z"/>
          <w:sz w:val="22"/>
          <w:szCs w:val="22"/>
        </w:rPr>
        <w:pPrChange w:id="14612" w:author="AbbVie02no" w:date="2025-05-15T14:19:00Z">
          <w:pPr>
            <w:numPr>
              <w:numId w:val="49"/>
            </w:numPr>
            <w:tabs>
              <w:tab w:val="num" w:pos="567"/>
              <w:tab w:val="num" w:pos="720"/>
            </w:tabs>
            <w:ind w:left="567" w:hanging="567"/>
          </w:pPr>
        </w:pPrChange>
      </w:pPr>
      <w:del w:id="14613" w:author="AbbVie02no" w:date="2025-05-15T14:19:00Z">
        <w:r w:rsidRPr="009C5EFD">
          <w:rPr>
            <w:sz w:val="22"/>
            <w:szCs w:val="22"/>
          </w:rPr>
          <w:delText>leversvikt</w:delText>
        </w:r>
        <w:r w:rsidR="00961A84">
          <w:rPr>
            <w:sz w:val="22"/>
            <w:szCs w:val="22"/>
          </w:rPr>
          <w:delText>,</w:delText>
        </w:r>
      </w:del>
    </w:p>
    <w:p w14:paraId="34EDFEE3" w14:textId="25630FF9" w:rsidR="00915892" w:rsidRPr="009C5EFD" w:rsidRDefault="00E453CD">
      <w:pPr>
        <w:rPr>
          <w:del w:id="14614" w:author="AbbVie02no" w:date="2025-05-15T14:19:00Z"/>
          <w:sz w:val="22"/>
          <w:szCs w:val="22"/>
        </w:rPr>
        <w:pPrChange w:id="14615" w:author="AbbVie02no" w:date="2025-05-15T14:19:00Z">
          <w:pPr>
            <w:numPr>
              <w:numId w:val="49"/>
            </w:numPr>
            <w:tabs>
              <w:tab w:val="num" w:pos="567"/>
              <w:tab w:val="num" w:pos="720"/>
            </w:tabs>
            <w:ind w:left="567" w:hanging="567"/>
          </w:pPr>
        </w:pPrChange>
      </w:pPr>
      <w:del w:id="14616" w:author="AbbVie02no" w:date="2025-05-15T14:19:00Z">
        <w:r w:rsidRPr="009C5EFD">
          <w:rPr>
            <w:sz w:val="22"/>
            <w:szCs w:val="22"/>
          </w:rPr>
          <w:delText>forverring av en tilstand kalt dermatomyositt (forekommer som hudutslett ledsaget med muskelsvakhet)</w:delText>
        </w:r>
        <w:r w:rsidR="00C2280E">
          <w:rPr>
            <w:sz w:val="22"/>
            <w:szCs w:val="22"/>
          </w:rPr>
          <w:delText>,</w:delText>
        </w:r>
      </w:del>
    </w:p>
    <w:p w14:paraId="29580955" w14:textId="69525946" w:rsidR="0028328B" w:rsidRPr="00E90360" w:rsidRDefault="00E453CD">
      <w:pPr>
        <w:rPr>
          <w:del w:id="14617" w:author="AbbVie02no" w:date="2025-05-15T14:19:00Z"/>
          <w:sz w:val="22"/>
          <w:szCs w:val="22"/>
        </w:rPr>
        <w:pPrChange w:id="14618" w:author="AbbVie02no" w:date="2025-05-15T14:19:00Z">
          <w:pPr>
            <w:numPr>
              <w:numId w:val="49"/>
            </w:numPr>
            <w:tabs>
              <w:tab w:val="num" w:pos="567"/>
              <w:tab w:val="num" w:pos="720"/>
            </w:tabs>
            <w:ind w:left="567" w:hanging="567"/>
          </w:pPr>
        </w:pPrChange>
      </w:pPr>
      <w:del w:id="14619" w:author="AbbVie02no" w:date="2025-05-15T14:19:00Z">
        <w:r>
          <w:rPr>
            <w:sz w:val="22"/>
            <w:szCs w:val="22"/>
          </w:rPr>
          <w:delText>vektøkning (for de fleste pasientene var vektøkningen liten)</w:delText>
        </w:r>
        <w:r w:rsidR="00C2280E">
          <w:rPr>
            <w:sz w:val="22"/>
            <w:szCs w:val="22"/>
          </w:rPr>
          <w:delText>.</w:delText>
        </w:r>
      </w:del>
    </w:p>
    <w:p w14:paraId="316AC491" w14:textId="1737CC0B" w:rsidR="006C4FDE" w:rsidRPr="009C5EFD" w:rsidRDefault="006C4FDE" w:rsidP="00A6493F">
      <w:pPr>
        <w:rPr>
          <w:del w:id="14620" w:author="AbbVie02no" w:date="2025-05-15T14:19:00Z"/>
          <w:sz w:val="22"/>
          <w:szCs w:val="22"/>
        </w:rPr>
      </w:pPr>
    </w:p>
    <w:p w14:paraId="6803BB7A" w14:textId="5F676B5A" w:rsidR="006B0D92" w:rsidRPr="009C5EFD" w:rsidRDefault="00E453CD" w:rsidP="00A6493F">
      <w:pPr>
        <w:rPr>
          <w:del w:id="14621" w:author="AbbVie02no" w:date="2025-05-15T14:19:00Z"/>
          <w:sz w:val="22"/>
          <w:szCs w:val="22"/>
        </w:rPr>
      </w:pPr>
      <w:del w:id="14622" w:author="AbbVie02no" w:date="2025-05-15T14:19:00Z">
        <w:r w:rsidRPr="009C5EFD">
          <w:rPr>
            <w:sz w:val="22"/>
            <w:szCs w:val="22"/>
          </w:rPr>
          <w:lastRenderedPageBreak/>
          <w:delText>Noen bivirkninger som er</w:delText>
        </w:r>
        <w:r w:rsidR="006C4FDE" w:rsidRPr="009C5EFD">
          <w:rPr>
            <w:sz w:val="22"/>
            <w:szCs w:val="22"/>
          </w:rPr>
          <w:delText xml:space="preserve"> observert med Humira</w:delText>
        </w:r>
        <w:r w:rsidRPr="009C5EFD">
          <w:rPr>
            <w:sz w:val="22"/>
            <w:szCs w:val="22"/>
          </w:rPr>
          <w:delText xml:space="preserve"> har </w:delText>
        </w:r>
        <w:r w:rsidR="00753087" w:rsidRPr="009C5EFD">
          <w:rPr>
            <w:sz w:val="22"/>
            <w:szCs w:val="22"/>
          </w:rPr>
          <w:delText xml:space="preserve">ikke </w:delText>
        </w:r>
        <w:r w:rsidRPr="009C5EFD">
          <w:rPr>
            <w:sz w:val="22"/>
            <w:szCs w:val="22"/>
          </w:rPr>
          <w:delText xml:space="preserve">symptomer og kan bare vises gjennom blodprøver. </w:delText>
        </w:r>
      </w:del>
    </w:p>
    <w:p w14:paraId="723C1820" w14:textId="74F9024F" w:rsidR="006B0D92" w:rsidRPr="009C5EFD" w:rsidRDefault="00E453CD">
      <w:pPr>
        <w:rPr>
          <w:del w:id="14623" w:author="AbbVie02no" w:date="2025-05-15T14:19:00Z"/>
          <w:sz w:val="22"/>
          <w:szCs w:val="22"/>
        </w:rPr>
        <w:pPrChange w:id="14624" w:author="AbbVie02no" w:date="2025-05-15T14:19:00Z">
          <w:pPr>
            <w:keepNext/>
          </w:pPr>
        </w:pPrChange>
      </w:pPr>
      <w:del w:id="14625" w:author="AbbVie02no" w:date="2025-05-15T14:19:00Z">
        <w:r w:rsidRPr="009C5EFD">
          <w:rPr>
            <w:sz w:val="22"/>
            <w:szCs w:val="22"/>
          </w:rPr>
          <w:delText>Disse er:</w:delText>
        </w:r>
      </w:del>
    </w:p>
    <w:p w14:paraId="0676778B" w14:textId="0FDA97F3" w:rsidR="00955671" w:rsidRPr="009C5EFD" w:rsidRDefault="00955671">
      <w:pPr>
        <w:rPr>
          <w:del w:id="14626" w:author="AbbVie02no" w:date="2025-05-15T14:19:00Z"/>
          <w:sz w:val="22"/>
          <w:szCs w:val="22"/>
        </w:rPr>
        <w:pPrChange w:id="14627" w:author="AbbVie02no" w:date="2025-05-15T14:19:00Z">
          <w:pPr>
            <w:keepNext/>
          </w:pPr>
        </w:pPrChange>
      </w:pPr>
    </w:p>
    <w:p w14:paraId="09D4C2FA" w14:textId="13944E0A" w:rsidR="00C13645" w:rsidRDefault="00E453CD">
      <w:pPr>
        <w:rPr>
          <w:del w:id="14628" w:author="AbbVie02no" w:date="2025-05-15T14:19:00Z"/>
          <w:sz w:val="22"/>
          <w:szCs w:val="22"/>
        </w:rPr>
        <w:pPrChange w:id="14629" w:author="AbbVie02no" w:date="2025-05-15T14:19:00Z">
          <w:pPr>
            <w:keepNext/>
            <w:suppressAutoHyphens/>
          </w:pPr>
        </w:pPrChange>
      </w:pPr>
      <w:del w:id="14630" w:author="AbbVie02no" w:date="2025-05-15T14:19:00Z">
        <w:r w:rsidRPr="006936CB">
          <w:rPr>
            <w:sz w:val="22"/>
            <w:szCs w:val="22"/>
          </w:rPr>
          <w:delText>Svært vanlige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forekomme hos</w:delText>
        </w:r>
        <w:r w:rsidR="0099090E" w:rsidRPr="009C5EFD">
          <w:rPr>
            <w:sz w:val="22"/>
            <w:szCs w:val="22"/>
          </w:rPr>
          <w:delText xml:space="preserve"> </w:delText>
        </w:r>
        <w:r w:rsidR="006A6F54" w:rsidRPr="009C5EFD">
          <w:rPr>
            <w:sz w:val="22"/>
            <w:szCs w:val="22"/>
          </w:rPr>
          <w:delText>flere</w:delText>
        </w:r>
        <w:r w:rsidRPr="009C5EFD">
          <w:rPr>
            <w:sz w:val="22"/>
            <w:szCs w:val="22"/>
          </w:rPr>
          <w:delText xml:space="preserve"> enn 1 </w:delText>
        </w:r>
        <w:r w:rsidR="00E30ED5" w:rsidRPr="009C5EFD">
          <w:rPr>
            <w:sz w:val="22"/>
            <w:szCs w:val="22"/>
          </w:rPr>
          <w:delText>av</w:delText>
        </w:r>
        <w:r w:rsidRPr="009C5EFD">
          <w:rPr>
            <w:sz w:val="22"/>
            <w:szCs w:val="22"/>
          </w:rPr>
          <w:delText xml:space="preserve"> 10 </w:delText>
        </w:r>
        <w:r w:rsidR="0099090E" w:rsidRPr="009C5EFD">
          <w:rPr>
            <w:sz w:val="22"/>
            <w:szCs w:val="22"/>
          </w:rPr>
          <w:delText>personer</w:delText>
        </w:r>
        <w:r w:rsidRPr="009C5EFD">
          <w:rPr>
            <w:sz w:val="22"/>
            <w:szCs w:val="22"/>
          </w:rPr>
          <w:delText>)</w:delText>
        </w:r>
      </w:del>
    </w:p>
    <w:p w14:paraId="42489C21" w14:textId="3B82958C" w:rsidR="006B0D92" w:rsidRPr="009C5EFD" w:rsidRDefault="006B0D92">
      <w:pPr>
        <w:rPr>
          <w:del w:id="14631" w:author="AbbVie02no" w:date="2025-05-15T14:19:00Z"/>
          <w:sz w:val="22"/>
          <w:szCs w:val="22"/>
        </w:rPr>
        <w:pPrChange w:id="14632" w:author="AbbVie02no" w:date="2025-05-15T14:19:00Z">
          <w:pPr>
            <w:keepNext/>
            <w:suppressAutoHyphens/>
          </w:pPr>
        </w:pPrChange>
      </w:pPr>
    </w:p>
    <w:p w14:paraId="769A7760" w14:textId="481889B5" w:rsidR="006B0D92" w:rsidRPr="009C5EFD" w:rsidRDefault="00E453CD">
      <w:pPr>
        <w:rPr>
          <w:del w:id="14633" w:author="AbbVie02no" w:date="2025-05-15T14:19:00Z"/>
          <w:sz w:val="22"/>
          <w:szCs w:val="22"/>
        </w:rPr>
        <w:pPrChange w:id="14634" w:author="AbbVie02no" w:date="2025-05-15T14:19:00Z">
          <w:pPr>
            <w:numPr>
              <w:numId w:val="15"/>
            </w:numPr>
            <w:tabs>
              <w:tab w:val="num" w:pos="540"/>
              <w:tab w:val="num" w:pos="720"/>
            </w:tabs>
            <w:ind w:left="720" w:hanging="360"/>
          </w:pPr>
        </w:pPrChange>
      </w:pPr>
      <w:del w:id="14635" w:author="AbbVie02no" w:date="2025-05-15T14:19:00Z">
        <w:r w:rsidRPr="009C5EFD">
          <w:rPr>
            <w:sz w:val="22"/>
            <w:szCs w:val="22"/>
          </w:rPr>
          <w:delText>lave blodverdier for hvite blodlegemer,</w:delText>
        </w:r>
      </w:del>
    </w:p>
    <w:p w14:paraId="1EE29277" w14:textId="58DC29CF" w:rsidR="006B0D92" w:rsidRPr="009C5EFD" w:rsidRDefault="00E453CD">
      <w:pPr>
        <w:rPr>
          <w:del w:id="14636" w:author="AbbVie02no" w:date="2025-05-15T14:19:00Z"/>
          <w:sz w:val="22"/>
          <w:szCs w:val="22"/>
        </w:rPr>
        <w:pPrChange w:id="14637" w:author="AbbVie02no" w:date="2025-05-15T14:19:00Z">
          <w:pPr>
            <w:numPr>
              <w:numId w:val="15"/>
            </w:numPr>
            <w:tabs>
              <w:tab w:val="num" w:pos="540"/>
              <w:tab w:val="num" w:pos="720"/>
            </w:tabs>
            <w:ind w:left="720" w:hanging="360"/>
          </w:pPr>
        </w:pPrChange>
      </w:pPr>
      <w:del w:id="14638" w:author="AbbVie02no" w:date="2025-05-15T14:19:00Z">
        <w:r w:rsidRPr="009C5EFD">
          <w:rPr>
            <w:sz w:val="22"/>
            <w:szCs w:val="22"/>
          </w:rPr>
          <w:delText>lave blodverdier for røde blodlegemer,</w:delText>
        </w:r>
      </w:del>
    </w:p>
    <w:p w14:paraId="7519AAFB" w14:textId="65FCA57D" w:rsidR="006B0D92" w:rsidRPr="009C5EFD" w:rsidRDefault="00E453CD">
      <w:pPr>
        <w:rPr>
          <w:del w:id="14639" w:author="AbbVie02no" w:date="2025-05-15T14:19:00Z"/>
          <w:sz w:val="22"/>
          <w:szCs w:val="22"/>
        </w:rPr>
        <w:pPrChange w:id="14640" w:author="AbbVie02no" w:date="2025-05-15T14:19:00Z">
          <w:pPr>
            <w:numPr>
              <w:numId w:val="15"/>
            </w:numPr>
            <w:tabs>
              <w:tab w:val="num" w:pos="540"/>
              <w:tab w:val="num" w:pos="720"/>
            </w:tabs>
            <w:ind w:left="720" w:hanging="360"/>
          </w:pPr>
        </w:pPrChange>
      </w:pPr>
      <w:del w:id="14641" w:author="AbbVie02no" w:date="2025-05-15T14:19:00Z">
        <w:r w:rsidRPr="009C5EFD">
          <w:rPr>
            <w:sz w:val="22"/>
            <w:szCs w:val="22"/>
          </w:rPr>
          <w:delText>forhøyede lipider i blod,</w:delText>
        </w:r>
      </w:del>
    </w:p>
    <w:p w14:paraId="74C15185" w14:textId="5D17F1AD" w:rsidR="006B0D92" w:rsidRPr="009C5EFD" w:rsidRDefault="00E453CD">
      <w:pPr>
        <w:rPr>
          <w:del w:id="14642" w:author="AbbVie02no" w:date="2025-05-15T14:19:00Z"/>
          <w:sz w:val="22"/>
          <w:szCs w:val="22"/>
        </w:rPr>
        <w:pPrChange w:id="14643" w:author="AbbVie02no" w:date="2025-05-15T14:19:00Z">
          <w:pPr>
            <w:numPr>
              <w:numId w:val="15"/>
            </w:numPr>
            <w:tabs>
              <w:tab w:val="num" w:pos="540"/>
              <w:tab w:val="num" w:pos="720"/>
            </w:tabs>
            <w:ind w:left="720" w:hanging="360"/>
          </w:pPr>
        </w:pPrChange>
      </w:pPr>
      <w:del w:id="14644" w:author="AbbVie02no" w:date="2025-05-15T14:19:00Z">
        <w:r w:rsidRPr="009C5EFD">
          <w:rPr>
            <w:sz w:val="22"/>
            <w:szCs w:val="22"/>
          </w:rPr>
          <w:delText>forhøyede leverenzymer.</w:delText>
        </w:r>
      </w:del>
    </w:p>
    <w:p w14:paraId="376162B6" w14:textId="7A9F55A2" w:rsidR="006B0D92" w:rsidRPr="009C5EFD" w:rsidRDefault="006B0D92" w:rsidP="00A6493F">
      <w:pPr>
        <w:rPr>
          <w:del w:id="14645" w:author="AbbVie02no" w:date="2025-05-15T14:19:00Z"/>
          <w:sz w:val="22"/>
          <w:szCs w:val="22"/>
        </w:rPr>
      </w:pPr>
    </w:p>
    <w:p w14:paraId="2E14C2A6" w14:textId="08504CBE" w:rsidR="00C13645" w:rsidRDefault="00E453CD">
      <w:pPr>
        <w:rPr>
          <w:del w:id="14646" w:author="AbbVie02no" w:date="2025-05-15T14:19:00Z"/>
          <w:sz w:val="22"/>
          <w:szCs w:val="22"/>
        </w:rPr>
        <w:pPrChange w:id="14647" w:author="AbbVie02no" w:date="2025-05-15T14:19:00Z">
          <w:pPr>
            <w:keepNext/>
            <w:suppressAutoHyphens/>
          </w:pPr>
        </w:pPrChange>
      </w:pPr>
      <w:del w:id="14648" w:author="AbbVie02no" w:date="2025-05-15T14:19:00Z">
        <w:r w:rsidRPr="006936CB">
          <w:rPr>
            <w:sz w:val="22"/>
            <w:szCs w:val="22"/>
          </w:rPr>
          <w:delText>Vanlige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forekomme hos</w:delText>
        </w:r>
        <w:r w:rsidR="0099090E"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E30ED5" w:rsidRPr="009C5EFD">
          <w:rPr>
            <w:sz w:val="22"/>
            <w:szCs w:val="22"/>
          </w:rPr>
          <w:delText>av</w:delText>
        </w:r>
        <w:r w:rsidRPr="009C5EFD">
          <w:rPr>
            <w:sz w:val="22"/>
            <w:szCs w:val="22"/>
          </w:rPr>
          <w:delText xml:space="preserve"> 10 </w:delText>
        </w:r>
        <w:r w:rsidR="0099090E" w:rsidRPr="009C5EFD">
          <w:rPr>
            <w:sz w:val="22"/>
            <w:szCs w:val="22"/>
          </w:rPr>
          <w:delText>personer</w:delText>
        </w:r>
        <w:r w:rsidRPr="009C5EFD">
          <w:rPr>
            <w:sz w:val="22"/>
            <w:szCs w:val="22"/>
          </w:rPr>
          <w:delText>)</w:delText>
        </w:r>
      </w:del>
    </w:p>
    <w:p w14:paraId="6D7C2EAC" w14:textId="0B9CD6F7" w:rsidR="006B0D92" w:rsidRPr="009C5EFD" w:rsidRDefault="006B0D92">
      <w:pPr>
        <w:rPr>
          <w:del w:id="14649" w:author="AbbVie02no" w:date="2025-05-15T14:19:00Z"/>
          <w:sz w:val="22"/>
          <w:szCs w:val="22"/>
        </w:rPr>
        <w:pPrChange w:id="14650" w:author="AbbVie02no" w:date="2025-05-15T14:19:00Z">
          <w:pPr>
            <w:keepNext/>
            <w:suppressAutoHyphens/>
          </w:pPr>
        </w:pPrChange>
      </w:pPr>
    </w:p>
    <w:p w14:paraId="50176A8E" w14:textId="6E8A4E45" w:rsidR="006B0D92" w:rsidRPr="009C5EFD" w:rsidRDefault="00E453CD">
      <w:pPr>
        <w:rPr>
          <w:del w:id="14651" w:author="AbbVie02no" w:date="2025-05-15T14:19:00Z"/>
          <w:sz w:val="22"/>
          <w:szCs w:val="22"/>
        </w:rPr>
        <w:pPrChange w:id="14652" w:author="AbbVie02no" w:date="2025-05-15T14:19:00Z">
          <w:pPr>
            <w:numPr>
              <w:numId w:val="15"/>
            </w:numPr>
            <w:tabs>
              <w:tab w:val="num" w:pos="540"/>
              <w:tab w:val="num" w:pos="720"/>
            </w:tabs>
            <w:ind w:left="720" w:hanging="360"/>
          </w:pPr>
        </w:pPrChange>
      </w:pPr>
      <w:del w:id="14653" w:author="AbbVie02no" w:date="2025-05-15T14:19:00Z">
        <w:r w:rsidRPr="009C5EFD">
          <w:rPr>
            <w:sz w:val="22"/>
            <w:szCs w:val="22"/>
          </w:rPr>
          <w:delText>høye blodverdier for hvite blodlegemer,</w:delText>
        </w:r>
      </w:del>
    </w:p>
    <w:p w14:paraId="2D5F9CFC" w14:textId="7F41DD7C" w:rsidR="006B0D92" w:rsidRPr="009C5EFD" w:rsidRDefault="00E453CD">
      <w:pPr>
        <w:rPr>
          <w:del w:id="14654" w:author="AbbVie02no" w:date="2025-05-15T14:19:00Z"/>
          <w:sz w:val="22"/>
          <w:szCs w:val="22"/>
        </w:rPr>
        <w:pPrChange w:id="14655" w:author="AbbVie02no" w:date="2025-05-15T14:19:00Z">
          <w:pPr>
            <w:numPr>
              <w:numId w:val="15"/>
            </w:numPr>
            <w:tabs>
              <w:tab w:val="num" w:pos="540"/>
              <w:tab w:val="num" w:pos="720"/>
            </w:tabs>
            <w:ind w:left="720" w:hanging="360"/>
          </w:pPr>
        </w:pPrChange>
      </w:pPr>
      <w:del w:id="14656" w:author="AbbVie02no" w:date="2025-05-15T14:19:00Z">
        <w:r w:rsidRPr="009C5EFD">
          <w:rPr>
            <w:sz w:val="22"/>
            <w:szCs w:val="22"/>
          </w:rPr>
          <w:delText>lave blodverdier for blodplater,</w:delText>
        </w:r>
      </w:del>
    </w:p>
    <w:p w14:paraId="48162964" w14:textId="1475E473" w:rsidR="006B0D92" w:rsidRPr="009C5EFD" w:rsidRDefault="00E453CD">
      <w:pPr>
        <w:rPr>
          <w:del w:id="14657" w:author="AbbVie02no" w:date="2025-05-15T14:19:00Z"/>
          <w:sz w:val="22"/>
          <w:szCs w:val="22"/>
        </w:rPr>
        <w:pPrChange w:id="14658" w:author="AbbVie02no" w:date="2025-05-15T14:19:00Z">
          <w:pPr>
            <w:numPr>
              <w:numId w:val="15"/>
            </w:numPr>
            <w:tabs>
              <w:tab w:val="num" w:pos="540"/>
              <w:tab w:val="num" w:pos="720"/>
            </w:tabs>
            <w:ind w:left="720" w:hanging="360"/>
          </w:pPr>
        </w:pPrChange>
      </w:pPr>
      <w:del w:id="14659" w:author="AbbVie02no" w:date="2025-05-15T14:19:00Z">
        <w:r w:rsidRPr="009C5EFD">
          <w:rPr>
            <w:sz w:val="22"/>
            <w:szCs w:val="22"/>
          </w:rPr>
          <w:delText>forhøyet urinsyre i blod,</w:delText>
        </w:r>
      </w:del>
    </w:p>
    <w:p w14:paraId="153EC3DD" w14:textId="1DFAF347" w:rsidR="006B0D92" w:rsidRPr="009C5EFD" w:rsidRDefault="00E453CD">
      <w:pPr>
        <w:rPr>
          <w:del w:id="14660" w:author="AbbVie02no" w:date="2025-05-15T14:19:00Z"/>
          <w:sz w:val="22"/>
          <w:szCs w:val="22"/>
        </w:rPr>
        <w:pPrChange w:id="14661" w:author="AbbVie02no" w:date="2025-05-15T14:19:00Z">
          <w:pPr>
            <w:numPr>
              <w:numId w:val="15"/>
            </w:numPr>
            <w:tabs>
              <w:tab w:val="num" w:pos="540"/>
              <w:tab w:val="num" w:pos="720"/>
            </w:tabs>
            <w:ind w:left="720" w:hanging="360"/>
          </w:pPr>
        </w:pPrChange>
      </w:pPr>
      <w:del w:id="14662" w:author="AbbVie02no" w:date="2025-05-15T14:19:00Z">
        <w:r w:rsidRPr="009C5EFD">
          <w:rPr>
            <w:sz w:val="22"/>
            <w:szCs w:val="22"/>
          </w:rPr>
          <w:delText>unormale blodverdier for natrium,</w:delText>
        </w:r>
      </w:del>
    </w:p>
    <w:p w14:paraId="23ECA34B" w14:textId="3A978902" w:rsidR="006B0D92" w:rsidRPr="009C5EFD" w:rsidRDefault="00E453CD">
      <w:pPr>
        <w:rPr>
          <w:del w:id="14663" w:author="AbbVie02no" w:date="2025-05-15T14:19:00Z"/>
          <w:sz w:val="22"/>
          <w:szCs w:val="22"/>
        </w:rPr>
        <w:pPrChange w:id="14664" w:author="AbbVie02no" w:date="2025-05-15T14:19:00Z">
          <w:pPr>
            <w:numPr>
              <w:numId w:val="15"/>
            </w:numPr>
            <w:tabs>
              <w:tab w:val="num" w:pos="540"/>
              <w:tab w:val="num" w:pos="720"/>
            </w:tabs>
            <w:ind w:left="720" w:hanging="360"/>
          </w:pPr>
        </w:pPrChange>
      </w:pPr>
      <w:del w:id="14665" w:author="AbbVie02no" w:date="2025-05-15T14:19:00Z">
        <w:r w:rsidRPr="009C5EFD">
          <w:rPr>
            <w:sz w:val="22"/>
            <w:szCs w:val="22"/>
          </w:rPr>
          <w:delText>lave blodverdier for kalsium,</w:delText>
        </w:r>
      </w:del>
    </w:p>
    <w:p w14:paraId="48413BF4" w14:textId="78DB404C" w:rsidR="006B0D92" w:rsidRPr="009C5EFD" w:rsidRDefault="00E453CD">
      <w:pPr>
        <w:rPr>
          <w:del w:id="14666" w:author="AbbVie02no" w:date="2025-05-15T14:19:00Z"/>
          <w:sz w:val="22"/>
          <w:szCs w:val="22"/>
        </w:rPr>
        <w:pPrChange w:id="14667" w:author="AbbVie02no" w:date="2025-05-15T14:19:00Z">
          <w:pPr>
            <w:numPr>
              <w:numId w:val="15"/>
            </w:numPr>
            <w:tabs>
              <w:tab w:val="num" w:pos="540"/>
              <w:tab w:val="num" w:pos="720"/>
            </w:tabs>
            <w:ind w:left="720" w:hanging="360"/>
          </w:pPr>
        </w:pPrChange>
      </w:pPr>
      <w:del w:id="14668" w:author="AbbVie02no" w:date="2025-05-15T14:19:00Z">
        <w:r w:rsidRPr="009C5EFD">
          <w:rPr>
            <w:sz w:val="22"/>
            <w:szCs w:val="22"/>
          </w:rPr>
          <w:delText>lave blodverdier for fosfat,</w:delText>
        </w:r>
      </w:del>
    </w:p>
    <w:p w14:paraId="09A5D2F7" w14:textId="109E5CAA" w:rsidR="006B0D92" w:rsidRPr="009C5EFD" w:rsidRDefault="00E453CD">
      <w:pPr>
        <w:rPr>
          <w:del w:id="14669" w:author="AbbVie02no" w:date="2025-05-15T14:19:00Z"/>
          <w:sz w:val="22"/>
          <w:szCs w:val="22"/>
        </w:rPr>
        <w:pPrChange w:id="14670" w:author="AbbVie02no" w:date="2025-05-15T14:19:00Z">
          <w:pPr>
            <w:numPr>
              <w:numId w:val="15"/>
            </w:numPr>
            <w:tabs>
              <w:tab w:val="num" w:pos="540"/>
              <w:tab w:val="num" w:pos="720"/>
            </w:tabs>
            <w:ind w:left="720" w:hanging="360"/>
          </w:pPr>
        </w:pPrChange>
      </w:pPr>
      <w:del w:id="14671" w:author="AbbVie02no" w:date="2025-05-15T14:19:00Z">
        <w:r w:rsidRPr="009C5EFD">
          <w:rPr>
            <w:sz w:val="22"/>
            <w:szCs w:val="22"/>
          </w:rPr>
          <w:delText>høyt blodsukker,</w:delText>
        </w:r>
      </w:del>
    </w:p>
    <w:p w14:paraId="399B009C" w14:textId="3B15994A" w:rsidR="006B0D92" w:rsidRPr="009C5EFD" w:rsidRDefault="00E453CD">
      <w:pPr>
        <w:rPr>
          <w:del w:id="14672" w:author="AbbVie02no" w:date="2025-05-15T14:19:00Z"/>
          <w:sz w:val="22"/>
          <w:szCs w:val="22"/>
        </w:rPr>
        <w:pPrChange w:id="14673" w:author="AbbVie02no" w:date="2025-05-15T14:19:00Z">
          <w:pPr>
            <w:numPr>
              <w:numId w:val="15"/>
            </w:numPr>
            <w:tabs>
              <w:tab w:val="num" w:pos="540"/>
              <w:tab w:val="num" w:pos="720"/>
            </w:tabs>
            <w:ind w:left="720" w:hanging="360"/>
          </w:pPr>
        </w:pPrChange>
      </w:pPr>
      <w:del w:id="14674" w:author="AbbVie02no" w:date="2025-05-15T14:19:00Z">
        <w:r w:rsidRPr="009C5EFD">
          <w:rPr>
            <w:sz w:val="22"/>
            <w:szCs w:val="22"/>
          </w:rPr>
          <w:delText>høye blodverdier for laktatdehydrogenase,</w:delText>
        </w:r>
      </w:del>
    </w:p>
    <w:p w14:paraId="0A7320F7" w14:textId="7AD4A5FA" w:rsidR="00714EE6" w:rsidRDefault="00E453CD">
      <w:pPr>
        <w:rPr>
          <w:del w:id="14675" w:author="AbbVie02no" w:date="2025-05-15T14:19:00Z"/>
          <w:sz w:val="22"/>
          <w:szCs w:val="22"/>
        </w:rPr>
        <w:pPrChange w:id="14676" w:author="AbbVie02no" w:date="2025-05-15T14:19:00Z">
          <w:pPr>
            <w:numPr>
              <w:numId w:val="15"/>
            </w:numPr>
            <w:tabs>
              <w:tab w:val="num" w:pos="540"/>
              <w:tab w:val="num" w:pos="720"/>
            </w:tabs>
            <w:ind w:left="720" w:hanging="360"/>
          </w:pPr>
        </w:pPrChange>
      </w:pPr>
      <w:del w:id="14677" w:author="AbbVie02no" w:date="2025-05-15T14:19:00Z">
        <w:r w:rsidRPr="009C5EFD">
          <w:rPr>
            <w:sz w:val="22"/>
            <w:szCs w:val="22"/>
          </w:rPr>
          <w:delText>tilsted</w:delText>
        </w:r>
        <w:r w:rsidR="009F3F87" w:rsidRPr="009C5EFD">
          <w:rPr>
            <w:sz w:val="22"/>
            <w:szCs w:val="22"/>
          </w:rPr>
          <w:delText>e</w:delText>
        </w:r>
        <w:r w:rsidRPr="009C5EFD">
          <w:rPr>
            <w:sz w:val="22"/>
            <w:szCs w:val="22"/>
          </w:rPr>
          <w:delText>værelse av autoantistoffer i blod</w:delText>
        </w:r>
        <w:r>
          <w:rPr>
            <w:sz w:val="22"/>
            <w:szCs w:val="22"/>
          </w:rPr>
          <w:delText>,</w:delText>
        </w:r>
      </w:del>
    </w:p>
    <w:p w14:paraId="7DC4515C" w14:textId="0132DE31" w:rsidR="00714EE6" w:rsidRPr="00E90360" w:rsidRDefault="00E453CD">
      <w:pPr>
        <w:rPr>
          <w:del w:id="14678" w:author="AbbVie02no" w:date="2025-05-15T14:19:00Z"/>
          <w:sz w:val="22"/>
          <w:szCs w:val="22"/>
        </w:rPr>
        <w:pPrChange w:id="14679" w:author="AbbVie02no" w:date="2025-05-15T14:19:00Z">
          <w:pPr>
            <w:numPr>
              <w:numId w:val="15"/>
            </w:numPr>
            <w:tabs>
              <w:tab w:val="num" w:pos="540"/>
              <w:tab w:val="num" w:pos="720"/>
            </w:tabs>
            <w:ind w:left="720" w:hanging="360"/>
          </w:pPr>
        </w:pPrChange>
      </w:pPr>
      <w:del w:id="14680" w:author="AbbVie02no" w:date="2025-05-15T14:19:00Z">
        <w:r>
          <w:rPr>
            <w:sz w:val="22"/>
            <w:szCs w:val="22"/>
          </w:rPr>
          <w:delText>lavt kaliumnivå i blodet.</w:delText>
        </w:r>
      </w:del>
    </w:p>
    <w:p w14:paraId="6F722803" w14:textId="1782BD0B" w:rsidR="00714EE6" w:rsidRDefault="00714EE6" w:rsidP="00A6493F">
      <w:pPr>
        <w:rPr>
          <w:del w:id="14681" w:author="AbbVie02no" w:date="2025-05-15T14:19:00Z"/>
          <w:sz w:val="22"/>
          <w:szCs w:val="22"/>
        </w:rPr>
      </w:pPr>
    </w:p>
    <w:p w14:paraId="0975E305" w14:textId="41C55722" w:rsidR="00714EE6" w:rsidRPr="00E90360" w:rsidRDefault="00E453CD">
      <w:pPr>
        <w:rPr>
          <w:del w:id="14682" w:author="AbbVie02no" w:date="2025-05-15T14:19:00Z"/>
          <w:sz w:val="22"/>
          <w:szCs w:val="22"/>
        </w:rPr>
        <w:pPrChange w:id="14683" w:author="AbbVie02no" w:date="2025-05-15T14:19:00Z">
          <w:pPr>
            <w:keepNext/>
          </w:pPr>
        </w:pPrChange>
      </w:pPr>
      <w:del w:id="14684" w:author="AbbVie02no" w:date="2025-05-15T14:19:00Z">
        <w:r w:rsidRPr="006936CB">
          <w:rPr>
            <w:sz w:val="22"/>
          </w:rPr>
          <w:delText>Mindre vanlige</w:delText>
        </w:r>
        <w:r w:rsidRPr="00E90360">
          <w:rPr>
            <w:sz w:val="22"/>
            <w:szCs w:val="22"/>
          </w:rPr>
          <w:delText xml:space="preserve"> (</w:delText>
        </w:r>
        <w:r>
          <w:rPr>
            <w:sz w:val="22"/>
            <w:szCs w:val="22"/>
          </w:rPr>
          <w:delText>kan forekomme hos opptil 1 av 100 personer</w:delText>
        </w:r>
        <w:r w:rsidRPr="00E90360">
          <w:rPr>
            <w:sz w:val="22"/>
            <w:szCs w:val="22"/>
          </w:rPr>
          <w:delText>)</w:delText>
        </w:r>
      </w:del>
    </w:p>
    <w:p w14:paraId="0A92E7E6" w14:textId="4AAC93A2" w:rsidR="00714EE6" w:rsidRPr="00E90360" w:rsidRDefault="00714EE6">
      <w:pPr>
        <w:rPr>
          <w:del w:id="14685" w:author="AbbVie02no" w:date="2025-05-15T14:19:00Z"/>
          <w:sz w:val="22"/>
          <w:szCs w:val="22"/>
        </w:rPr>
        <w:pPrChange w:id="14686" w:author="AbbVie02no" w:date="2025-05-15T14:19:00Z">
          <w:pPr>
            <w:keepNext/>
          </w:pPr>
        </w:pPrChange>
      </w:pPr>
    </w:p>
    <w:p w14:paraId="40D7150E" w14:textId="33C327F2" w:rsidR="006B0D92" w:rsidRPr="00714EE6" w:rsidRDefault="00E453CD">
      <w:pPr>
        <w:rPr>
          <w:del w:id="14687" w:author="AbbVie02no" w:date="2025-05-15T14:19:00Z"/>
          <w:sz w:val="22"/>
          <w:szCs w:val="22"/>
        </w:rPr>
        <w:pPrChange w:id="14688" w:author="AbbVie02no" w:date="2025-05-15T14:19:00Z">
          <w:pPr>
            <w:numPr>
              <w:numId w:val="15"/>
            </w:numPr>
            <w:tabs>
              <w:tab w:val="num" w:pos="540"/>
              <w:tab w:val="num" w:pos="720"/>
            </w:tabs>
            <w:ind w:left="720" w:hanging="360"/>
          </w:pPr>
        </w:pPrChange>
      </w:pPr>
      <w:del w:id="14689" w:author="AbbVie02no" w:date="2025-05-15T14:19:00Z">
        <w:r>
          <w:rPr>
            <w:sz w:val="22"/>
            <w:szCs w:val="22"/>
          </w:rPr>
          <w:delText>forhøyede bilirubinverdier (leverblodprøve).</w:delText>
        </w:r>
      </w:del>
    </w:p>
    <w:p w14:paraId="164FA443" w14:textId="60E036FE" w:rsidR="006B0D92" w:rsidRPr="009C5EFD" w:rsidRDefault="006B0D92" w:rsidP="00A6493F">
      <w:pPr>
        <w:rPr>
          <w:del w:id="14690" w:author="AbbVie02no" w:date="2025-05-15T14:19:00Z"/>
          <w:sz w:val="22"/>
          <w:szCs w:val="22"/>
        </w:rPr>
      </w:pPr>
    </w:p>
    <w:p w14:paraId="085D6095" w14:textId="65684E44" w:rsidR="006B0D92" w:rsidRDefault="00E453CD">
      <w:pPr>
        <w:rPr>
          <w:del w:id="14691" w:author="AbbVie02no" w:date="2025-05-15T14:19:00Z"/>
          <w:sz w:val="22"/>
          <w:szCs w:val="22"/>
        </w:rPr>
        <w:pPrChange w:id="14692" w:author="AbbVie02no" w:date="2025-05-15T14:19:00Z">
          <w:pPr>
            <w:keepNext/>
          </w:pPr>
        </w:pPrChange>
      </w:pPr>
      <w:del w:id="14693" w:author="AbbVie02no" w:date="2025-05-15T14:19:00Z">
        <w:r w:rsidRPr="006936CB">
          <w:rPr>
            <w:sz w:val="22"/>
            <w:szCs w:val="22"/>
          </w:rPr>
          <w:delText>Sjeldne</w:delText>
        </w:r>
        <w:r w:rsidRPr="009C5EFD">
          <w:rPr>
            <w:sz w:val="22"/>
            <w:szCs w:val="22"/>
          </w:rPr>
          <w:delText xml:space="preserve"> (</w:delText>
        </w:r>
        <w:r w:rsidR="0099090E" w:rsidRPr="009C5EFD">
          <w:rPr>
            <w:sz w:val="22"/>
            <w:szCs w:val="22"/>
          </w:rPr>
          <w:delText xml:space="preserve">kan </w:delText>
        </w:r>
        <w:r w:rsidR="003B66F8" w:rsidRPr="009C5EFD">
          <w:rPr>
            <w:sz w:val="22"/>
            <w:szCs w:val="22"/>
          </w:rPr>
          <w:delText>forekomme hos</w:delText>
        </w:r>
        <w:r w:rsidR="0099090E"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E30ED5" w:rsidRPr="009C5EFD">
          <w:rPr>
            <w:sz w:val="22"/>
            <w:szCs w:val="22"/>
          </w:rPr>
          <w:delText>av</w:delText>
        </w:r>
        <w:r w:rsidRPr="009C5EFD">
          <w:rPr>
            <w:sz w:val="22"/>
            <w:szCs w:val="22"/>
          </w:rPr>
          <w:delText xml:space="preserve"> 1000 </w:delText>
        </w:r>
        <w:r w:rsidR="0099090E" w:rsidRPr="009C5EFD">
          <w:rPr>
            <w:sz w:val="22"/>
            <w:szCs w:val="22"/>
          </w:rPr>
          <w:delText>personer</w:delText>
        </w:r>
        <w:r w:rsidRPr="009C5EFD">
          <w:rPr>
            <w:sz w:val="22"/>
            <w:szCs w:val="22"/>
          </w:rPr>
          <w:delText>)</w:delText>
        </w:r>
      </w:del>
    </w:p>
    <w:p w14:paraId="014ED720" w14:textId="6D8F71A0" w:rsidR="00C13645" w:rsidRPr="009C5EFD" w:rsidRDefault="00C13645">
      <w:pPr>
        <w:rPr>
          <w:del w:id="14694" w:author="AbbVie02no" w:date="2025-05-15T14:19:00Z"/>
          <w:sz w:val="22"/>
          <w:szCs w:val="22"/>
        </w:rPr>
        <w:pPrChange w:id="14695" w:author="AbbVie02no" w:date="2025-05-15T14:19:00Z">
          <w:pPr>
            <w:keepNext/>
          </w:pPr>
        </w:pPrChange>
      </w:pPr>
    </w:p>
    <w:p w14:paraId="489F936F" w14:textId="2B19483C" w:rsidR="006B0D92" w:rsidRPr="009C5EFD" w:rsidRDefault="00E453CD">
      <w:pPr>
        <w:rPr>
          <w:del w:id="14696" w:author="AbbVie02no" w:date="2025-05-15T14:19:00Z"/>
          <w:sz w:val="22"/>
          <w:szCs w:val="22"/>
        </w:rPr>
        <w:pPrChange w:id="14697" w:author="AbbVie02no" w:date="2025-05-15T14:19:00Z">
          <w:pPr>
            <w:numPr>
              <w:numId w:val="15"/>
            </w:numPr>
            <w:tabs>
              <w:tab w:val="num" w:pos="540"/>
              <w:tab w:val="num" w:pos="720"/>
            </w:tabs>
            <w:ind w:left="720" w:hanging="360"/>
          </w:pPr>
        </w:pPrChange>
      </w:pPr>
      <w:del w:id="14698" w:author="AbbVie02no" w:date="2025-05-15T14:19:00Z">
        <w:r w:rsidRPr="009C5EFD">
          <w:rPr>
            <w:sz w:val="22"/>
            <w:szCs w:val="22"/>
          </w:rPr>
          <w:delText>lave blodverdier for hvite blodlegemer, røde blodlegemer og antall plater.</w:delText>
        </w:r>
      </w:del>
    </w:p>
    <w:p w14:paraId="2CE7D4A1" w14:textId="03F4E44B" w:rsidR="00DE3458" w:rsidRPr="009C5EFD" w:rsidRDefault="00DE3458">
      <w:pPr>
        <w:rPr>
          <w:del w:id="14699" w:author="AbbVie02no" w:date="2025-05-15T14:19:00Z"/>
          <w:sz w:val="22"/>
          <w:szCs w:val="22"/>
        </w:rPr>
        <w:pPrChange w:id="14700" w:author="AbbVie02no" w:date="2025-05-15T14:19:00Z">
          <w:pPr>
            <w:suppressAutoHyphens/>
          </w:pPr>
        </w:pPrChange>
      </w:pPr>
    </w:p>
    <w:p w14:paraId="54D4F87B" w14:textId="0124A0C4" w:rsidR="00A23010" w:rsidRPr="009C5EFD" w:rsidRDefault="00E453CD">
      <w:pPr>
        <w:rPr>
          <w:del w:id="14701" w:author="AbbVie02no" w:date="2025-05-15T14:19:00Z"/>
          <w:sz w:val="22"/>
          <w:szCs w:val="22"/>
        </w:rPr>
        <w:pPrChange w:id="14702" w:author="AbbVie02no" w:date="2025-05-15T14:19:00Z">
          <w:pPr>
            <w:keepNext/>
          </w:pPr>
        </w:pPrChange>
      </w:pPr>
      <w:del w:id="14703" w:author="AbbVie02no" w:date="2025-05-15T14:19:00Z">
        <w:r w:rsidRPr="009C5EFD">
          <w:rPr>
            <w:rFonts w:eastAsia="SimSun"/>
            <w:b/>
            <w:noProof/>
            <w:sz w:val="22"/>
            <w:szCs w:val="22"/>
          </w:rPr>
          <w:delText>Melding av bivirkninger</w:delText>
        </w:r>
      </w:del>
    </w:p>
    <w:p w14:paraId="094D7847" w14:textId="52BA03E3" w:rsidR="00F257A4" w:rsidRPr="00F257A4" w:rsidRDefault="00E453CD" w:rsidP="00A6493F">
      <w:pPr>
        <w:rPr>
          <w:del w:id="14704" w:author="AbbVie02no" w:date="2025-05-15T14:19:00Z"/>
          <w:sz w:val="22"/>
          <w:szCs w:val="22"/>
        </w:rPr>
      </w:pPr>
      <w:del w:id="14705" w:author="AbbVie02no" w:date="2025-05-15T14:19:00Z">
        <w:r w:rsidRPr="005C4BE2">
          <w:rPr>
            <w:sz w:val="22"/>
            <w:szCs w:val="22"/>
          </w:rPr>
          <w:delText xml:space="preserve">Kontakt </w:delText>
        </w:r>
        <w:r w:rsidR="00DC006C" w:rsidRPr="005C4BE2">
          <w:rPr>
            <w:sz w:val="22"/>
            <w:szCs w:val="22"/>
          </w:rPr>
          <w:delText xml:space="preserve">ditt barns </w:delText>
        </w:r>
        <w:r w:rsidRPr="005C4BE2">
          <w:rPr>
            <w:sz w:val="22"/>
            <w:szCs w:val="22"/>
          </w:rPr>
          <w:delText xml:space="preserve">lege eller apotek dersom </w:delText>
        </w:r>
        <w:r w:rsidR="00DC006C" w:rsidRPr="005C4BE2">
          <w:rPr>
            <w:sz w:val="22"/>
            <w:szCs w:val="22"/>
          </w:rPr>
          <w:delText xml:space="preserve">ditt barn </w:delText>
        </w:r>
        <w:r w:rsidR="007C3745" w:rsidRPr="005C4BE2">
          <w:rPr>
            <w:sz w:val="22"/>
            <w:szCs w:val="22"/>
          </w:rPr>
          <w:delText>opplever</w:delText>
        </w:r>
        <w:r w:rsidR="00DC006C" w:rsidRPr="005C4BE2">
          <w:rPr>
            <w:sz w:val="22"/>
            <w:szCs w:val="22"/>
          </w:rPr>
          <w:delText xml:space="preserve"> </w:delText>
        </w:r>
        <w:r w:rsidRPr="005C4BE2">
          <w:rPr>
            <w:sz w:val="22"/>
            <w:szCs w:val="22"/>
          </w:rPr>
          <w:delText>bivirkninge</w:delText>
        </w:r>
        <w:r w:rsidR="00DC006C" w:rsidRPr="005C4BE2">
          <w:rPr>
            <w:sz w:val="22"/>
            <w:szCs w:val="22"/>
          </w:rPr>
          <w:delText>r</w:delText>
        </w:r>
        <w:r w:rsidRPr="00F257A4">
          <w:rPr>
            <w:sz w:val="22"/>
            <w:szCs w:val="22"/>
          </w:rPr>
          <w:delText>. Dette</w:delText>
        </w:r>
      </w:del>
    </w:p>
    <w:p w14:paraId="7C0BFD5A" w14:textId="1DBFB6C9" w:rsidR="00DE3458" w:rsidRPr="005C4BE2" w:rsidRDefault="00E453CD" w:rsidP="00A6493F">
      <w:pPr>
        <w:rPr>
          <w:del w:id="14706" w:author="AbbVie02no" w:date="2025-05-15T14:19:00Z"/>
          <w:sz w:val="22"/>
          <w:szCs w:val="22"/>
        </w:rPr>
      </w:pPr>
      <w:del w:id="14707" w:author="AbbVie02no" w:date="2025-05-15T14:19:00Z">
        <w:r w:rsidRPr="00F257A4">
          <w:rPr>
            <w:sz w:val="22"/>
            <w:szCs w:val="22"/>
          </w:rPr>
          <w:delText xml:space="preserve">gjelder også </w:delText>
        </w:r>
        <w:r w:rsidRPr="005C4BE2">
          <w:rPr>
            <w:sz w:val="22"/>
            <w:szCs w:val="22"/>
          </w:rPr>
          <w:delText xml:space="preserve">bivirkninger som ikke er nevnt i pakningsvedlegget. </w:delText>
        </w:r>
        <w:r w:rsidR="00A23010" w:rsidRPr="001F5D4B">
          <w:rPr>
            <w:sz w:val="22"/>
            <w:szCs w:val="22"/>
          </w:rPr>
          <w:delText xml:space="preserve">Du kan også melde fra om bivirkninger direkte via </w:delText>
        </w:r>
        <w:r w:rsidR="00AB5EFC" w:rsidRPr="00DD03D8">
          <w:rPr>
            <w:noProof/>
            <w:sz w:val="22"/>
            <w:szCs w:val="22"/>
            <w:highlight w:val="lightGray"/>
          </w:rPr>
          <w:delText>det nasjonale meldesystemet som beskrevet i</w:delText>
        </w:r>
        <w:r w:rsidR="00AB5EFC" w:rsidRPr="00DD03D8">
          <w:rPr>
            <w:sz w:val="22"/>
            <w:szCs w:val="22"/>
            <w:highlight w:val="lightGray"/>
          </w:rPr>
          <w:delText xml:space="preserve"> </w:delText>
        </w:r>
        <w:r w:rsidR="00AE324E">
          <w:fldChar w:fldCharType="begin"/>
        </w:r>
        <w:r w:rsidR="00AE324E">
          <w:delInstrText>HYPERLINK "http://www.ema.europa.eu/docs/en_GB/document_library/Template_or_form/2013/03/WC500139752.doc"</w:delInstrText>
        </w:r>
        <w:r w:rsidR="00AE324E">
          <w:fldChar w:fldCharType="separate"/>
        </w:r>
        <w:r w:rsidR="00AE324E" w:rsidRPr="00DD03D8">
          <w:rPr>
            <w:color w:val="0000FF"/>
            <w:sz w:val="22"/>
            <w:szCs w:val="22"/>
            <w:highlight w:val="lightGray"/>
            <w:u w:val="single"/>
          </w:rPr>
          <w:delText>Appendix V</w:delText>
        </w:r>
        <w:r w:rsidR="00AE324E">
          <w:fldChar w:fldCharType="end"/>
        </w:r>
        <w:r w:rsidR="00A23010" w:rsidRPr="001F5D4B">
          <w:rPr>
            <w:sz w:val="22"/>
            <w:szCs w:val="22"/>
          </w:rPr>
          <w:delText>. Ved å melde fra om bivirkninger bidrar du med informasjon om sikkerheten ved bruk av dette legemidlet.</w:delText>
        </w:r>
      </w:del>
    </w:p>
    <w:p w14:paraId="7303636C" w14:textId="5ED3FAE9" w:rsidR="00817C73" w:rsidRPr="009C5EFD" w:rsidRDefault="00817C73">
      <w:pPr>
        <w:rPr>
          <w:del w:id="14708" w:author="AbbVie02no" w:date="2025-05-15T14:19:00Z"/>
          <w:b/>
          <w:sz w:val="22"/>
          <w:szCs w:val="22"/>
        </w:rPr>
        <w:pPrChange w:id="14709" w:author="AbbVie02no" w:date="2025-05-15T14:19:00Z">
          <w:pPr>
            <w:suppressAutoHyphens/>
            <w:ind w:left="567" w:hanging="567"/>
          </w:pPr>
        </w:pPrChange>
      </w:pPr>
    </w:p>
    <w:p w14:paraId="640A1EA4" w14:textId="054D97D6" w:rsidR="00817C73" w:rsidRPr="009C5EFD" w:rsidRDefault="00817C73">
      <w:pPr>
        <w:rPr>
          <w:del w:id="14710" w:author="AbbVie02no" w:date="2025-05-15T14:19:00Z"/>
          <w:b/>
          <w:sz w:val="22"/>
          <w:szCs w:val="22"/>
        </w:rPr>
        <w:pPrChange w:id="14711" w:author="AbbVie02no" w:date="2025-05-15T14:19:00Z">
          <w:pPr>
            <w:suppressAutoHyphens/>
            <w:ind w:left="567" w:hanging="567"/>
          </w:pPr>
        </w:pPrChange>
      </w:pPr>
    </w:p>
    <w:p w14:paraId="734675E2" w14:textId="21D3AFAD" w:rsidR="00DE3458" w:rsidRPr="009C5EFD" w:rsidRDefault="00E453CD">
      <w:pPr>
        <w:rPr>
          <w:del w:id="14712" w:author="AbbVie02no" w:date="2025-05-15T14:19:00Z"/>
          <w:sz w:val="22"/>
          <w:szCs w:val="22"/>
        </w:rPr>
        <w:pPrChange w:id="14713" w:author="AbbVie02no" w:date="2025-05-15T14:19:00Z">
          <w:pPr>
            <w:keepNext/>
            <w:suppressAutoHyphens/>
            <w:ind w:left="567" w:hanging="567"/>
          </w:pPr>
        </w:pPrChange>
      </w:pPr>
      <w:del w:id="14714" w:author="AbbVie02no" w:date="2025-05-15T14:19:00Z">
        <w:r w:rsidRPr="009C5EFD">
          <w:rPr>
            <w:b/>
            <w:sz w:val="22"/>
            <w:szCs w:val="22"/>
          </w:rPr>
          <w:delText>5.</w:delText>
        </w:r>
        <w:r w:rsidRPr="009C5EFD">
          <w:rPr>
            <w:b/>
            <w:sz w:val="22"/>
            <w:szCs w:val="22"/>
          </w:rPr>
          <w:tab/>
        </w:r>
        <w:r w:rsidR="00DC006C" w:rsidRPr="009C5EFD">
          <w:rPr>
            <w:b/>
            <w:sz w:val="22"/>
            <w:szCs w:val="22"/>
          </w:rPr>
          <w:delText>Hvordan du oppbevarer Humira</w:delText>
        </w:r>
      </w:del>
    </w:p>
    <w:p w14:paraId="7125460D" w14:textId="51073293" w:rsidR="00DE3458" w:rsidRPr="009C5EFD" w:rsidRDefault="00DE3458">
      <w:pPr>
        <w:rPr>
          <w:del w:id="14715" w:author="AbbVie02no" w:date="2025-05-15T14:19:00Z"/>
          <w:sz w:val="22"/>
          <w:szCs w:val="22"/>
        </w:rPr>
        <w:pPrChange w:id="14716" w:author="AbbVie02no" w:date="2025-05-15T14:19:00Z">
          <w:pPr>
            <w:keepNext/>
          </w:pPr>
        </w:pPrChange>
      </w:pPr>
    </w:p>
    <w:p w14:paraId="3DFD50BE" w14:textId="467330C5" w:rsidR="00DE3458" w:rsidRPr="009C5EFD" w:rsidRDefault="00E453CD">
      <w:pPr>
        <w:rPr>
          <w:del w:id="14717" w:author="AbbVie02no" w:date="2025-05-15T14:19:00Z"/>
          <w:sz w:val="22"/>
          <w:szCs w:val="22"/>
        </w:rPr>
        <w:pPrChange w:id="14718" w:author="AbbVie02no" w:date="2025-05-15T14:19:00Z">
          <w:pPr>
            <w:suppressAutoHyphens/>
          </w:pPr>
        </w:pPrChange>
      </w:pPr>
      <w:del w:id="14719" w:author="AbbVie02no" w:date="2025-05-15T14:19:00Z">
        <w:r w:rsidRPr="009C5EFD">
          <w:rPr>
            <w:sz w:val="22"/>
            <w:szCs w:val="22"/>
          </w:rPr>
          <w:delText>Oppbevar</w:delText>
        </w:r>
        <w:r w:rsidR="00EC3164" w:rsidRPr="009C5EFD">
          <w:rPr>
            <w:sz w:val="22"/>
            <w:szCs w:val="22"/>
          </w:rPr>
          <w:delText xml:space="preserve"> dette legemidlet</w:delText>
        </w:r>
        <w:r w:rsidRPr="009C5EFD">
          <w:rPr>
            <w:sz w:val="22"/>
            <w:szCs w:val="22"/>
          </w:rPr>
          <w:delText xml:space="preserve"> utilgjengelig for barn.</w:delText>
        </w:r>
      </w:del>
    </w:p>
    <w:p w14:paraId="3A0F51C8" w14:textId="4C22CFC8" w:rsidR="00DE3458" w:rsidRPr="009C5EFD" w:rsidRDefault="00DE3458">
      <w:pPr>
        <w:rPr>
          <w:del w:id="14720" w:author="AbbVie02no" w:date="2025-05-15T14:19:00Z"/>
          <w:sz w:val="22"/>
          <w:szCs w:val="22"/>
        </w:rPr>
        <w:pPrChange w:id="14721" w:author="AbbVie02no" w:date="2025-05-15T14:19:00Z">
          <w:pPr>
            <w:suppressAutoHyphens/>
          </w:pPr>
        </w:pPrChange>
      </w:pPr>
    </w:p>
    <w:p w14:paraId="78C12771" w14:textId="72C62A94" w:rsidR="00DE3458" w:rsidRPr="009C5EFD" w:rsidRDefault="00E453CD">
      <w:pPr>
        <w:rPr>
          <w:del w:id="14722" w:author="AbbVie02no" w:date="2025-05-15T14:19:00Z"/>
          <w:sz w:val="22"/>
          <w:szCs w:val="22"/>
        </w:rPr>
        <w:pPrChange w:id="14723" w:author="AbbVie02no" w:date="2025-05-15T14:19:00Z">
          <w:pPr>
            <w:suppressAutoHyphens/>
          </w:pPr>
        </w:pPrChange>
      </w:pPr>
      <w:del w:id="14724" w:author="AbbVie02no" w:date="2025-05-15T14:19:00Z">
        <w:r w:rsidRPr="009C5EFD">
          <w:rPr>
            <w:sz w:val="22"/>
            <w:szCs w:val="22"/>
          </w:rPr>
          <w:delText xml:space="preserve">Bruk ikke </w:delText>
        </w:r>
        <w:r w:rsidR="00DC006C" w:rsidRPr="009C5EFD">
          <w:rPr>
            <w:sz w:val="22"/>
            <w:szCs w:val="22"/>
          </w:rPr>
          <w:delText xml:space="preserve">dette legemidlet </w:delText>
        </w:r>
        <w:r w:rsidRPr="009C5EFD">
          <w:rPr>
            <w:sz w:val="22"/>
            <w:szCs w:val="22"/>
          </w:rPr>
          <w:delText>etter utløpsdatoen som er angitt på etiketten/blisteret/esken</w:delText>
        </w:r>
        <w:r w:rsidR="00F95BCE">
          <w:rPr>
            <w:sz w:val="22"/>
            <w:szCs w:val="22"/>
          </w:rPr>
          <w:delText xml:space="preserve"> etter EXP</w:delText>
        </w:r>
        <w:r w:rsidRPr="009C5EFD">
          <w:rPr>
            <w:sz w:val="22"/>
            <w:szCs w:val="22"/>
          </w:rPr>
          <w:delText>.</w:delText>
        </w:r>
      </w:del>
    </w:p>
    <w:p w14:paraId="25130653" w14:textId="375C584B" w:rsidR="00DE3458" w:rsidRPr="009C5EFD" w:rsidRDefault="00DE3458">
      <w:pPr>
        <w:rPr>
          <w:del w:id="14725" w:author="AbbVie02no" w:date="2025-05-15T14:19:00Z"/>
          <w:sz w:val="22"/>
          <w:szCs w:val="22"/>
        </w:rPr>
        <w:pPrChange w:id="14726" w:author="AbbVie02no" w:date="2025-05-15T14:19:00Z">
          <w:pPr>
            <w:suppressAutoHyphens/>
          </w:pPr>
        </w:pPrChange>
      </w:pPr>
    </w:p>
    <w:p w14:paraId="65E663C2" w14:textId="7C0EFA03" w:rsidR="00E3195D" w:rsidRDefault="00E453CD">
      <w:pPr>
        <w:rPr>
          <w:del w:id="14727" w:author="AbbVie02no" w:date="2025-05-15T14:19:00Z"/>
          <w:sz w:val="22"/>
          <w:szCs w:val="22"/>
        </w:rPr>
        <w:pPrChange w:id="14728" w:author="AbbVie02no" w:date="2025-05-15T14:19:00Z">
          <w:pPr>
            <w:suppressAutoHyphens/>
          </w:pPr>
        </w:pPrChange>
      </w:pPr>
      <w:del w:id="14729" w:author="AbbVie02no" w:date="2025-05-15T14:19:00Z">
        <w:r w:rsidRPr="009C5EFD">
          <w:rPr>
            <w:sz w:val="22"/>
            <w:szCs w:val="22"/>
          </w:rPr>
          <w:delText>Oppbevares i kjøleskap (2</w:delText>
        </w:r>
        <w:r w:rsidR="002316CD">
          <w:rPr>
            <w:sz w:val="22"/>
            <w:szCs w:val="22"/>
          </w:rPr>
          <w:delText> </w:delText>
        </w:r>
        <w:r w:rsidRPr="009C5EFD">
          <w:rPr>
            <w:sz w:val="22"/>
            <w:szCs w:val="22"/>
          </w:rPr>
          <w:delText>°C – 8</w:delText>
        </w:r>
        <w:r w:rsidR="002316CD">
          <w:rPr>
            <w:sz w:val="22"/>
            <w:szCs w:val="22"/>
          </w:rPr>
          <w:delText> </w:delText>
        </w:r>
        <w:r w:rsidRPr="009C5EFD">
          <w:rPr>
            <w:sz w:val="22"/>
            <w:szCs w:val="22"/>
          </w:rPr>
          <w:delText xml:space="preserve">°C). </w:delText>
        </w:r>
        <w:r w:rsidR="00D81405" w:rsidRPr="009C5EFD">
          <w:rPr>
            <w:sz w:val="22"/>
            <w:szCs w:val="22"/>
          </w:rPr>
          <w:delText xml:space="preserve">Skal </w:delText>
        </w:r>
        <w:r w:rsidRPr="009C5EFD">
          <w:rPr>
            <w:sz w:val="22"/>
            <w:szCs w:val="22"/>
          </w:rPr>
          <w:delText xml:space="preserve">ikke fryses. </w:delText>
        </w:r>
      </w:del>
    </w:p>
    <w:p w14:paraId="528DFFDD" w14:textId="659A40A5" w:rsidR="00E3195D" w:rsidRDefault="00E3195D">
      <w:pPr>
        <w:rPr>
          <w:del w:id="14730" w:author="AbbVie02no" w:date="2025-05-15T14:19:00Z"/>
          <w:sz w:val="22"/>
          <w:szCs w:val="22"/>
        </w:rPr>
        <w:pPrChange w:id="14731" w:author="AbbVie02no" w:date="2025-05-15T14:19:00Z">
          <w:pPr>
            <w:suppressAutoHyphens/>
          </w:pPr>
        </w:pPrChange>
      </w:pPr>
    </w:p>
    <w:p w14:paraId="2C9D9AD3" w14:textId="3CA13A3B" w:rsidR="00DC006C" w:rsidRPr="009C5EFD" w:rsidRDefault="00E453CD">
      <w:pPr>
        <w:rPr>
          <w:del w:id="14732" w:author="AbbVie02no" w:date="2025-05-15T14:19:00Z"/>
          <w:sz w:val="22"/>
          <w:szCs w:val="22"/>
        </w:rPr>
        <w:pPrChange w:id="14733" w:author="AbbVie02no" w:date="2025-05-15T14:19:00Z">
          <w:pPr>
            <w:suppressAutoHyphens/>
          </w:pPr>
        </w:pPrChange>
      </w:pPr>
      <w:del w:id="14734" w:author="AbbVie02no" w:date="2025-05-15T14:19:00Z">
        <w:r w:rsidRPr="009C5EFD">
          <w:rPr>
            <w:sz w:val="22"/>
            <w:szCs w:val="22"/>
          </w:rPr>
          <w:delText>Hetteglasset oppbevares i ytterpakningen</w:delText>
        </w:r>
        <w:r w:rsidR="00C73989" w:rsidRPr="009C5EFD">
          <w:rPr>
            <w:sz w:val="22"/>
            <w:szCs w:val="22"/>
          </w:rPr>
          <w:delText xml:space="preserve"> for å beskytte mot lys</w:delText>
        </w:r>
        <w:r w:rsidRPr="009C5EFD">
          <w:rPr>
            <w:sz w:val="22"/>
            <w:szCs w:val="22"/>
          </w:rPr>
          <w:delText>.</w:delText>
        </w:r>
      </w:del>
    </w:p>
    <w:p w14:paraId="35496CD1" w14:textId="1043CFA4" w:rsidR="00DC006C" w:rsidRPr="009C5EFD" w:rsidRDefault="00DC006C">
      <w:pPr>
        <w:rPr>
          <w:del w:id="14735" w:author="AbbVie02no" w:date="2025-05-15T14:19:00Z"/>
          <w:sz w:val="22"/>
          <w:szCs w:val="22"/>
        </w:rPr>
        <w:pPrChange w:id="14736" w:author="AbbVie02no" w:date="2025-05-15T14:19:00Z">
          <w:pPr>
            <w:suppressAutoHyphens/>
          </w:pPr>
        </w:pPrChange>
      </w:pPr>
    </w:p>
    <w:p w14:paraId="5CE0516F" w14:textId="322140C1" w:rsidR="00DE3458" w:rsidRPr="009C5EFD" w:rsidRDefault="00E453CD">
      <w:pPr>
        <w:rPr>
          <w:del w:id="14737" w:author="AbbVie02no" w:date="2025-05-15T14:19:00Z"/>
          <w:sz w:val="22"/>
          <w:szCs w:val="22"/>
        </w:rPr>
        <w:pPrChange w:id="14738" w:author="AbbVie02no" w:date="2025-05-15T14:19:00Z">
          <w:pPr>
            <w:suppressAutoHyphens/>
          </w:pPr>
        </w:pPrChange>
      </w:pPr>
      <w:del w:id="14739" w:author="AbbVie02no" w:date="2025-05-15T14:19:00Z">
        <w:r w:rsidRPr="009C5EFD">
          <w:rPr>
            <w:sz w:val="22"/>
            <w:szCs w:val="22"/>
          </w:rPr>
          <w:delText>Legemidler skal i</w:delText>
        </w:r>
        <w:r w:rsidR="00DC006C" w:rsidRPr="009C5EFD">
          <w:rPr>
            <w:sz w:val="22"/>
            <w:szCs w:val="22"/>
          </w:rPr>
          <w:delText>kke kast</w:delText>
        </w:r>
        <w:r w:rsidRPr="009C5EFD">
          <w:rPr>
            <w:sz w:val="22"/>
            <w:szCs w:val="22"/>
          </w:rPr>
          <w:delText>es</w:delText>
        </w:r>
        <w:r w:rsidR="00DC006C" w:rsidRPr="009C5EFD">
          <w:rPr>
            <w:sz w:val="22"/>
            <w:szCs w:val="22"/>
          </w:rPr>
          <w:delText xml:space="preserve"> </w:delText>
        </w:r>
        <w:r w:rsidR="00393FFC" w:rsidRPr="009C5EFD">
          <w:rPr>
            <w:sz w:val="22"/>
            <w:szCs w:val="22"/>
          </w:rPr>
          <w:delText>i</w:delText>
        </w:r>
        <w:r w:rsidR="00DC006C" w:rsidRPr="009C5EFD">
          <w:rPr>
            <w:sz w:val="22"/>
            <w:szCs w:val="22"/>
          </w:rPr>
          <w:delText xml:space="preserve"> avløp</w:delText>
        </w:r>
        <w:r w:rsidRPr="009C5EFD">
          <w:rPr>
            <w:sz w:val="22"/>
            <w:szCs w:val="22"/>
          </w:rPr>
          <w:delText>svann</w:delText>
        </w:r>
        <w:r w:rsidR="00DC006C" w:rsidRPr="009C5EFD">
          <w:rPr>
            <w:sz w:val="22"/>
            <w:szCs w:val="22"/>
          </w:rPr>
          <w:delText xml:space="preserve"> eller sammen med husholdningsavfall. Spør legen din eller </w:delText>
        </w:r>
        <w:r w:rsidRPr="009C5EFD">
          <w:rPr>
            <w:sz w:val="22"/>
            <w:szCs w:val="22"/>
          </w:rPr>
          <w:delText xml:space="preserve">på </w:delText>
        </w:r>
        <w:r w:rsidR="00DC006C" w:rsidRPr="009C5EFD">
          <w:rPr>
            <w:sz w:val="22"/>
            <w:szCs w:val="22"/>
          </w:rPr>
          <w:delText>apotek</w:delText>
        </w:r>
        <w:r w:rsidRPr="009C5EFD">
          <w:rPr>
            <w:sz w:val="22"/>
            <w:szCs w:val="22"/>
          </w:rPr>
          <w:delText>et</w:delText>
        </w:r>
        <w:r w:rsidR="00DC006C" w:rsidRPr="009C5EFD">
          <w:rPr>
            <w:sz w:val="22"/>
            <w:szCs w:val="22"/>
          </w:rPr>
          <w:delText xml:space="preserve"> hvordan </w:delText>
        </w:r>
        <w:r w:rsidRPr="009C5EFD">
          <w:rPr>
            <w:sz w:val="22"/>
            <w:szCs w:val="22"/>
          </w:rPr>
          <w:delText>legemidler</w:delText>
        </w:r>
        <w:r w:rsidR="00393FFC" w:rsidRPr="009C5EFD">
          <w:rPr>
            <w:sz w:val="22"/>
            <w:szCs w:val="22"/>
          </w:rPr>
          <w:delText xml:space="preserve"> </w:delText>
        </w:r>
        <w:r w:rsidR="00092C95" w:rsidRPr="009C5EFD">
          <w:rPr>
            <w:sz w:val="22"/>
            <w:szCs w:val="22"/>
          </w:rPr>
          <w:delText xml:space="preserve">som </w:delText>
        </w:r>
        <w:r w:rsidR="00393FFC" w:rsidRPr="009C5EFD">
          <w:rPr>
            <w:sz w:val="22"/>
            <w:szCs w:val="22"/>
          </w:rPr>
          <w:delText xml:space="preserve">du ikke </w:delText>
        </w:r>
        <w:r w:rsidRPr="009C5EFD">
          <w:rPr>
            <w:sz w:val="22"/>
            <w:szCs w:val="22"/>
          </w:rPr>
          <w:delText xml:space="preserve">lenger </w:delText>
        </w:r>
        <w:r w:rsidR="00393FFC" w:rsidRPr="009C5EFD">
          <w:rPr>
            <w:sz w:val="22"/>
            <w:szCs w:val="22"/>
          </w:rPr>
          <w:delText>bruker skal kastes. Disse tiltakene bidrar til å beskytte miljøet.</w:delText>
        </w:r>
      </w:del>
    </w:p>
    <w:p w14:paraId="24A1026B" w14:textId="40BDEB47" w:rsidR="00DE3458" w:rsidRPr="009C5EFD" w:rsidRDefault="00DE3458">
      <w:pPr>
        <w:rPr>
          <w:del w:id="14740" w:author="AbbVie02no" w:date="2025-05-15T14:19:00Z"/>
          <w:sz w:val="22"/>
          <w:szCs w:val="22"/>
        </w:rPr>
        <w:pPrChange w:id="14741" w:author="AbbVie02no" w:date="2025-05-15T14:19:00Z">
          <w:pPr>
            <w:suppressAutoHyphens/>
          </w:pPr>
        </w:pPrChange>
      </w:pPr>
    </w:p>
    <w:p w14:paraId="4FE67659" w14:textId="50F7E15A" w:rsidR="00DE3458" w:rsidRPr="009C5EFD" w:rsidRDefault="00DE3458">
      <w:pPr>
        <w:rPr>
          <w:del w:id="14742" w:author="AbbVie02no" w:date="2025-05-15T14:19:00Z"/>
          <w:b/>
          <w:sz w:val="22"/>
          <w:szCs w:val="22"/>
        </w:rPr>
        <w:pPrChange w:id="14743" w:author="AbbVie02no" w:date="2025-05-15T14:19:00Z">
          <w:pPr>
            <w:suppressAutoHyphens/>
          </w:pPr>
        </w:pPrChange>
      </w:pPr>
    </w:p>
    <w:p w14:paraId="57570601" w14:textId="2B499D34" w:rsidR="00DE3458" w:rsidRPr="009C5EFD" w:rsidRDefault="00E453CD">
      <w:pPr>
        <w:rPr>
          <w:del w:id="14744" w:author="AbbVie02no" w:date="2025-05-15T14:19:00Z"/>
          <w:sz w:val="22"/>
          <w:szCs w:val="22"/>
        </w:rPr>
        <w:pPrChange w:id="14745" w:author="AbbVie02no" w:date="2025-05-15T14:19:00Z">
          <w:pPr>
            <w:keepNext/>
            <w:suppressAutoHyphens/>
            <w:ind w:left="540" w:hanging="540"/>
          </w:pPr>
        </w:pPrChange>
      </w:pPr>
      <w:del w:id="14746" w:author="AbbVie02no" w:date="2025-05-15T14:19:00Z">
        <w:r w:rsidRPr="009C5EFD">
          <w:rPr>
            <w:b/>
            <w:sz w:val="22"/>
            <w:szCs w:val="22"/>
          </w:rPr>
          <w:delText>6.</w:delText>
        </w:r>
        <w:r w:rsidRPr="009C5EFD">
          <w:rPr>
            <w:b/>
            <w:sz w:val="22"/>
            <w:szCs w:val="22"/>
          </w:rPr>
          <w:tab/>
        </w:r>
        <w:r w:rsidR="004F6AD7" w:rsidRPr="009C5EFD">
          <w:rPr>
            <w:b/>
            <w:sz w:val="22"/>
            <w:szCs w:val="22"/>
          </w:rPr>
          <w:delText>Innholdet i pakningen og ytterligere</w:delText>
        </w:r>
        <w:r w:rsidR="00393FFC" w:rsidRPr="009C5EFD">
          <w:rPr>
            <w:b/>
            <w:sz w:val="22"/>
            <w:szCs w:val="22"/>
          </w:rPr>
          <w:delText xml:space="preserve"> informasjon</w:delText>
        </w:r>
      </w:del>
    </w:p>
    <w:p w14:paraId="408E2DC1" w14:textId="4220A616" w:rsidR="00DE3458" w:rsidRPr="009C5EFD" w:rsidRDefault="00DE3458">
      <w:pPr>
        <w:rPr>
          <w:del w:id="14747" w:author="AbbVie02no" w:date="2025-05-15T14:19:00Z"/>
          <w:sz w:val="22"/>
          <w:szCs w:val="22"/>
        </w:rPr>
        <w:pPrChange w:id="14748" w:author="AbbVie02no" w:date="2025-05-15T14:19:00Z">
          <w:pPr>
            <w:keepNext/>
          </w:pPr>
        </w:pPrChange>
      </w:pPr>
    </w:p>
    <w:p w14:paraId="297E1357" w14:textId="3736D2DA" w:rsidR="00DE3458" w:rsidRPr="009C5EFD" w:rsidRDefault="00E453CD">
      <w:pPr>
        <w:rPr>
          <w:del w:id="14749" w:author="AbbVie02no" w:date="2025-05-15T14:19:00Z"/>
          <w:szCs w:val="22"/>
        </w:rPr>
        <w:pPrChange w:id="14750" w:author="AbbVie02no" w:date="2025-05-15T14:19:00Z">
          <w:pPr>
            <w:pStyle w:val="Heading3"/>
          </w:pPr>
        </w:pPrChange>
      </w:pPr>
      <w:del w:id="14751" w:author="AbbVie02no" w:date="2025-05-15T14:19:00Z">
        <w:r w:rsidRPr="009C5EFD">
          <w:rPr>
            <w:szCs w:val="22"/>
          </w:rPr>
          <w:lastRenderedPageBreak/>
          <w:delText>Sammensetning av Humira</w:delText>
        </w:r>
      </w:del>
    </w:p>
    <w:p w14:paraId="64B8BC5B" w14:textId="4D43C3A5" w:rsidR="00DE3458" w:rsidRPr="009C5EFD" w:rsidRDefault="00DE3458">
      <w:pPr>
        <w:rPr>
          <w:del w:id="14752" w:author="AbbVie02no" w:date="2025-05-15T14:19:00Z"/>
          <w:b/>
          <w:sz w:val="22"/>
          <w:szCs w:val="22"/>
        </w:rPr>
        <w:pPrChange w:id="14753" w:author="AbbVie02no" w:date="2025-05-15T14:19:00Z">
          <w:pPr>
            <w:keepNext/>
          </w:pPr>
        </w:pPrChange>
      </w:pPr>
    </w:p>
    <w:p w14:paraId="1E1EE167" w14:textId="3AD3E08F" w:rsidR="00DE3458" w:rsidRPr="009C5EFD" w:rsidRDefault="00E453CD">
      <w:pPr>
        <w:rPr>
          <w:del w:id="14754" w:author="AbbVie02no" w:date="2025-05-15T14:19:00Z"/>
          <w:sz w:val="22"/>
          <w:szCs w:val="22"/>
        </w:rPr>
        <w:pPrChange w:id="14755" w:author="AbbVie02no" w:date="2025-05-15T14:19:00Z">
          <w:pPr>
            <w:suppressAutoHyphens/>
          </w:pPr>
        </w:pPrChange>
      </w:pPr>
      <w:del w:id="14756" w:author="AbbVie02no" w:date="2025-05-15T14:19:00Z">
        <w:r w:rsidRPr="009C5EFD">
          <w:rPr>
            <w:sz w:val="22"/>
            <w:szCs w:val="22"/>
          </w:rPr>
          <w:delText>Virkestoffet er adalimumab.</w:delText>
        </w:r>
      </w:del>
    </w:p>
    <w:p w14:paraId="21B9E6F0" w14:textId="77075884" w:rsidR="00DE3458" w:rsidRPr="009C5EFD" w:rsidRDefault="00E453CD">
      <w:pPr>
        <w:rPr>
          <w:del w:id="14757" w:author="AbbVie02no" w:date="2025-05-15T14:19:00Z"/>
          <w:szCs w:val="22"/>
        </w:rPr>
        <w:pPrChange w:id="14758" w:author="AbbVie02no" w:date="2025-05-15T14:19:00Z">
          <w:pPr>
            <w:pStyle w:val="BodyTextIndent2"/>
            <w:ind w:left="0" w:firstLine="0"/>
          </w:pPr>
        </w:pPrChange>
      </w:pPr>
      <w:del w:id="14759" w:author="AbbVie02no" w:date="2025-05-15T14:19:00Z">
        <w:r w:rsidRPr="009C5EFD">
          <w:rPr>
            <w:szCs w:val="22"/>
          </w:rPr>
          <w:delText xml:space="preserve">Hjelpestoffer er mannitol, sitronsyremonohydrat, natriumsitrat, natriumdihydrogenfosfatdihydrat, dinatriumfosfatdihydrat, natriumklorid, polysorbat 80, natriumhydroksid </w:delText>
        </w:r>
        <w:r w:rsidR="001147DE" w:rsidRPr="009C5EFD">
          <w:rPr>
            <w:szCs w:val="22"/>
          </w:rPr>
          <w:delText xml:space="preserve">og </w:delText>
        </w:r>
        <w:r w:rsidRPr="009C5EFD">
          <w:rPr>
            <w:szCs w:val="22"/>
          </w:rPr>
          <w:delText>vann til injeksjonsvæsker.</w:delText>
        </w:r>
      </w:del>
    </w:p>
    <w:p w14:paraId="73DD59B4" w14:textId="6FDBADB8" w:rsidR="00DE3458" w:rsidRPr="009C5EFD" w:rsidRDefault="00DE3458">
      <w:pPr>
        <w:rPr>
          <w:del w:id="14760" w:author="AbbVie02no" w:date="2025-05-15T14:19:00Z"/>
          <w:szCs w:val="22"/>
        </w:rPr>
        <w:pPrChange w:id="14761" w:author="AbbVie02no" w:date="2025-05-15T14:19:00Z">
          <w:pPr>
            <w:pStyle w:val="EndnoteText"/>
            <w:widowControl/>
            <w:tabs>
              <w:tab w:val="clear" w:pos="567"/>
            </w:tabs>
            <w:suppressAutoHyphens/>
          </w:pPr>
        </w:pPrChange>
      </w:pPr>
    </w:p>
    <w:p w14:paraId="0DC74A66" w14:textId="146D1320" w:rsidR="00DE3458" w:rsidRPr="009C5EFD" w:rsidRDefault="00E453CD">
      <w:pPr>
        <w:rPr>
          <w:del w:id="14762" w:author="AbbVie02no" w:date="2025-05-15T14:19:00Z"/>
          <w:szCs w:val="22"/>
        </w:rPr>
        <w:pPrChange w:id="14763" w:author="AbbVie02no" w:date="2025-05-15T14:19:00Z">
          <w:pPr>
            <w:pStyle w:val="Heading3"/>
            <w:suppressAutoHyphens/>
          </w:pPr>
        </w:pPrChange>
      </w:pPr>
      <w:del w:id="14764" w:author="AbbVie02no" w:date="2025-05-15T14:19:00Z">
        <w:r w:rsidRPr="009C5EFD">
          <w:rPr>
            <w:szCs w:val="22"/>
          </w:rPr>
          <w:delText>Hvordan Humira ser ut og innholdet i pakningen</w:delText>
        </w:r>
      </w:del>
    </w:p>
    <w:p w14:paraId="317DF635" w14:textId="37837443" w:rsidR="00DE3458" w:rsidRPr="009C5EFD" w:rsidRDefault="00DE3458">
      <w:pPr>
        <w:rPr>
          <w:del w:id="14765" w:author="AbbVie02no" w:date="2025-05-15T14:19:00Z"/>
          <w:b/>
          <w:sz w:val="22"/>
          <w:szCs w:val="22"/>
        </w:rPr>
        <w:pPrChange w:id="14766" w:author="AbbVie02no" w:date="2025-05-15T14:19:00Z">
          <w:pPr>
            <w:keepNext/>
            <w:suppressAutoHyphens/>
          </w:pPr>
        </w:pPrChange>
      </w:pPr>
    </w:p>
    <w:p w14:paraId="485B3036" w14:textId="75AE20A9" w:rsidR="00DE3458" w:rsidRPr="009C5EFD" w:rsidRDefault="00E453CD">
      <w:pPr>
        <w:rPr>
          <w:del w:id="14767" w:author="AbbVie02no" w:date="2025-05-15T14:19:00Z"/>
          <w:szCs w:val="22"/>
        </w:rPr>
        <w:pPrChange w:id="14768" w:author="AbbVie02no" w:date="2025-05-15T14:19:00Z">
          <w:pPr>
            <w:pStyle w:val="EndnoteText"/>
            <w:widowControl/>
            <w:tabs>
              <w:tab w:val="clear" w:pos="567"/>
            </w:tabs>
            <w:suppressAutoHyphens/>
          </w:pPr>
        </w:pPrChange>
      </w:pPr>
      <w:del w:id="14769" w:author="AbbVie02no" w:date="2025-05-15T14:19:00Z">
        <w:r w:rsidRPr="009C5EFD">
          <w:rPr>
            <w:szCs w:val="22"/>
          </w:rPr>
          <w:delText xml:space="preserve">Humira 40 mg injeksjonsvæske, oppløsning i hetteglass er tilgjengelig som steril oppløsning av 40 mg adalimumab oppløst i 0,8 ml </w:delText>
        </w:r>
        <w:r w:rsidR="008D4298">
          <w:rPr>
            <w:szCs w:val="22"/>
          </w:rPr>
          <w:delText>opp</w:delText>
        </w:r>
        <w:r w:rsidRPr="009C5EFD">
          <w:rPr>
            <w:szCs w:val="22"/>
          </w:rPr>
          <w:delText>løsning.</w:delText>
        </w:r>
      </w:del>
    </w:p>
    <w:p w14:paraId="6D55631A" w14:textId="3427F865" w:rsidR="00DE3458" w:rsidRPr="009C5EFD" w:rsidRDefault="00DE3458">
      <w:pPr>
        <w:rPr>
          <w:del w:id="14770" w:author="AbbVie02no" w:date="2025-05-15T14:19:00Z"/>
          <w:szCs w:val="22"/>
        </w:rPr>
        <w:pPrChange w:id="14771" w:author="AbbVie02no" w:date="2025-05-15T14:19:00Z">
          <w:pPr>
            <w:pStyle w:val="EndnoteText"/>
            <w:widowControl/>
            <w:tabs>
              <w:tab w:val="clear" w:pos="567"/>
            </w:tabs>
            <w:suppressAutoHyphens/>
          </w:pPr>
        </w:pPrChange>
      </w:pPr>
    </w:p>
    <w:p w14:paraId="7FC7D454" w14:textId="68A0AD4A" w:rsidR="00DE3458" w:rsidRPr="009C5EFD" w:rsidRDefault="00E453CD">
      <w:pPr>
        <w:rPr>
          <w:del w:id="14772" w:author="AbbVie02no" w:date="2025-05-15T14:19:00Z"/>
          <w:szCs w:val="22"/>
        </w:rPr>
        <w:pPrChange w:id="14773" w:author="AbbVie02no" w:date="2025-05-15T14:19:00Z">
          <w:pPr>
            <w:pStyle w:val="EndnoteText"/>
            <w:widowControl/>
            <w:tabs>
              <w:tab w:val="clear" w:pos="567"/>
            </w:tabs>
            <w:suppressAutoHyphens/>
          </w:pPr>
        </w:pPrChange>
      </w:pPr>
      <w:del w:id="14774" w:author="AbbVie02no" w:date="2025-05-15T14:19:00Z">
        <w:r w:rsidRPr="009C5EFD">
          <w:rPr>
            <w:szCs w:val="22"/>
          </w:rPr>
          <w:delText xml:space="preserve">Humira </w:delText>
        </w:r>
        <w:r w:rsidR="006A122D" w:rsidRPr="009C5EFD">
          <w:rPr>
            <w:szCs w:val="22"/>
          </w:rPr>
          <w:delText>hetteglasset er laget av</w:delText>
        </w:r>
        <w:r w:rsidR="00F349AD" w:rsidRPr="009C5EFD">
          <w:rPr>
            <w:szCs w:val="22"/>
          </w:rPr>
          <w:delText xml:space="preserve"> </w:delText>
        </w:r>
        <w:r w:rsidR="006A122D" w:rsidRPr="009C5EFD">
          <w:rPr>
            <w:szCs w:val="22"/>
          </w:rPr>
          <w:delText xml:space="preserve">glass og </w:delText>
        </w:r>
        <w:r w:rsidRPr="009C5EFD">
          <w:rPr>
            <w:szCs w:val="22"/>
          </w:rPr>
          <w:delText>inneholder</w:delText>
        </w:r>
        <w:r w:rsidR="006A122D" w:rsidRPr="009C5EFD">
          <w:rPr>
            <w:szCs w:val="22"/>
          </w:rPr>
          <w:delText xml:space="preserve"> en</w:delText>
        </w:r>
        <w:r w:rsidRPr="009C5EFD">
          <w:rPr>
            <w:szCs w:val="22"/>
          </w:rPr>
          <w:delText xml:space="preserve"> oppløsning av adalimumab. Hver pakke inneholder </w:delText>
        </w:r>
        <w:r w:rsidR="00290AEF" w:rsidRPr="009C5EFD">
          <w:rPr>
            <w:szCs w:val="22"/>
          </w:rPr>
          <w:delText>to e</w:delText>
        </w:r>
        <w:r w:rsidR="000B3E24" w:rsidRPr="009C5EFD">
          <w:rPr>
            <w:szCs w:val="22"/>
          </w:rPr>
          <w:delText>s</w:delText>
        </w:r>
        <w:r w:rsidR="00290AEF" w:rsidRPr="009C5EFD">
          <w:rPr>
            <w:szCs w:val="22"/>
          </w:rPr>
          <w:delText>k</w:delText>
        </w:r>
        <w:r w:rsidR="000B3E24" w:rsidRPr="009C5EFD">
          <w:rPr>
            <w:szCs w:val="22"/>
          </w:rPr>
          <w:delText xml:space="preserve">er som hver inneholder </w:delText>
        </w:r>
        <w:r w:rsidRPr="009C5EFD">
          <w:rPr>
            <w:szCs w:val="22"/>
          </w:rPr>
          <w:delText>et hetteglass</w:delText>
        </w:r>
        <w:r w:rsidR="000B3E24" w:rsidRPr="009C5EFD">
          <w:rPr>
            <w:szCs w:val="22"/>
          </w:rPr>
          <w:delText xml:space="preserve">, en tom steril sprøyte, en </w:delText>
        </w:r>
        <w:r w:rsidR="008138BF">
          <w:rPr>
            <w:szCs w:val="22"/>
          </w:rPr>
          <w:delText>kanyle</w:delText>
        </w:r>
        <w:r w:rsidR="000B3E24" w:rsidRPr="009C5EFD">
          <w:rPr>
            <w:szCs w:val="22"/>
          </w:rPr>
          <w:delText xml:space="preserve">, en hetteglassadapter </w:delText>
        </w:r>
        <w:r w:rsidRPr="009C5EFD">
          <w:rPr>
            <w:szCs w:val="22"/>
          </w:rPr>
          <w:delText>og to injeksjonstørk.</w:delText>
        </w:r>
      </w:del>
    </w:p>
    <w:p w14:paraId="30298C55" w14:textId="7724CFCA" w:rsidR="00DE3458" w:rsidRPr="009C5EFD" w:rsidRDefault="00DE3458">
      <w:pPr>
        <w:rPr>
          <w:del w:id="14775" w:author="AbbVie02no" w:date="2025-05-15T14:19:00Z"/>
          <w:szCs w:val="22"/>
        </w:rPr>
        <w:pPrChange w:id="14776" w:author="AbbVie02no" w:date="2025-05-15T14:19:00Z">
          <w:pPr>
            <w:pStyle w:val="EndnoteText"/>
            <w:widowControl/>
            <w:tabs>
              <w:tab w:val="clear" w:pos="567"/>
            </w:tabs>
            <w:suppressAutoHyphens/>
          </w:pPr>
        </w:pPrChange>
      </w:pPr>
    </w:p>
    <w:p w14:paraId="44F96F6C" w14:textId="2AA8BFA6" w:rsidR="00DE3458" w:rsidRPr="009C5EFD" w:rsidRDefault="00E453CD">
      <w:pPr>
        <w:rPr>
          <w:del w:id="14777" w:author="AbbVie02no" w:date="2025-05-15T14:19:00Z"/>
          <w:sz w:val="22"/>
          <w:szCs w:val="22"/>
        </w:rPr>
        <w:pPrChange w:id="14778" w:author="AbbVie02no" w:date="2025-05-15T14:19:00Z">
          <w:pPr>
            <w:numPr>
              <w:ilvl w:val="12"/>
            </w:numPr>
            <w:ind w:right="-2"/>
          </w:pPr>
        </w:pPrChange>
      </w:pPr>
      <w:del w:id="14779" w:author="AbbVie02no" w:date="2025-05-15T14:19:00Z">
        <w:r w:rsidRPr="009C5EFD">
          <w:rPr>
            <w:sz w:val="22"/>
            <w:szCs w:val="22"/>
          </w:rPr>
          <w:delText xml:space="preserve">Humira </w:delText>
        </w:r>
        <w:r w:rsidR="00FF0116">
          <w:rPr>
            <w:sz w:val="22"/>
            <w:szCs w:val="22"/>
          </w:rPr>
          <w:delText>kan</w:delText>
        </w:r>
        <w:r w:rsidRPr="009C5EFD">
          <w:rPr>
            <w:sz w:val="22"/>
            <w:szCs w:val="22"/>
          </w:rPr>
          <w:delText xml:space="preserve"> </w:delText>
        </w:r>
        <w:r w:rsidR="00FF0116">
          <w:rPr>
            <w:sz w:val="22"/>
            <w:szCs w:val="22"/>
          </w:rPr>
          <w:delText xml:space="preserve">være </w:delText>
        </w:r>
        <w:r w:rsidRPr="009C5EFD">
          <w:rPr>
            <w:sz w:val="22"/>
            <w:szCs w:val="22"/>
          </w:rPr>
          <w:delText xml:space="preserve">tilgjengelig som </w:delText>
        </w:r>
        <w:r w:rsidR="00FF0116">
          <w:rPr>
            <w:sz w:val="22"/>
            <w:szCs w:val="22"/>
          </w:rPr>
          <w:delText xml:space="preserve">hetteglass, </w:delText>
        </w:r>
        <w:r w:rsidRPr="009C5EFD">
          <w:rPr>
            <w:sz w:val="22"/>
            <w:szCs w:val="22"/>
          </w:rPr>
          <w:delText>ferdigfylt sprøyte og</w:delText>
        </w:r>
        <w:r w:rsidR="00FF0116">
          <w:rPr>
            <w:sz w:val="22"/>
            <w:szCs w:val="22"/>
          </w:rPr>
          <w:delText>/eller</w:delText>
        </w:r>
        <w:r w:rsidRPr="009C5EFD">
          <w:rPr>
            <w:sz w:val="22"/>
            <w:szCs w:val="22"/>
          </w:rPr>
          <w:delText xml:space="preserve"> ferdigfylt penn.</w:delText>
        </w:r>
      </w:del>
    </w:p>
    <w:p w14:paraId="30345435" w14:textId="26CD15CD" w:rsidR="003B6A91" w:rsidRPr="00D968A3" w:rsidRDefault="003B6A91">
      <w:pPr>
        <w:rPr>
          <w:del w:id="14780" w:author="AbbVie02no" w:date="2025-05-15T14:19:00Z"/>
          <w:szCs w:val="22"/>
        </w:rPr>
        <w:pPrChange w:id="14781" w:author="AbbVie02no" w:date="2025-05-15T14:19:00Z">
          <w:pPr>
            <w:pStyle w:val="BodyText3"/>
            <w:tabs>
              <w:tab w:val="clear" w:pos="-720"/>
            </w:tabs>
            <w:suppressAutoHyphens w:val="0"/>
          </w:pPr>
        </w:pPrChange>
      </w:pPr>
    </w:p>
    <w:p w14:paraId="628F4427" w14:textId="7C0B36A3" w:rsidR="00DE3458" w:rsidRPr="009C5EFD" w:rsidRDefault="00E453CD">
      <w:pPr>
        <w:rPr>
          <w:del w:id="14782" w:author="AbbVie02no" w:date="2025-05-15T14:19:00Z"/>
          <w:szCs w:val="22"/>
        </w:rPr>
        <w:pPrChange w:id="14783" w:author="AbbVie02no" w:date="2025-05-15T14:19:00Z">
          <w:pPr>
            <w:pStyle w:val="BodyText3"/>
            <w:keepNext/>
            <w:tabs>
              <w:tab w:val="clear" w:pos="-720"/>
            </w:tabs>
            <w:suppressAutoHyphens w:val="0"/>
          </w:pPr>
        </w:pPrChange>
      </w:pPr>
      <w:del w:id="14784" w:author="AbbVie02no" w:date="2025-05-15T14:19:00Z">
        <w:r w:rsidRPr="009C5EFD">
          <w:rPr>
            <w:szCs w:val="22"/>
          </w:rPr>
          <w:delText>Innehaver av markedsføringstillatelsen</w:delText>
        </w:r>
      </w:del>
    </w:p>
    <w:p w14:paraId="2D367046" w14:textId="553C0173" w:rsidR="00FE1CE9" w:rsidRPr="009C5EFD" w:rsidRDefault="00FE1CE9">
      <w:pPr>
        <w:rPr>
          <w:del w:id="14785" w:author="AbbVie02no" w:date="2025-05-15T14:19:00Z"/>
          <w:sz w:val="22"/>
          <w:szCs w:val="22"/>
        </w:rPr>
        <w:pPrChange w:id="14786" w:author="AbbVie02no" w:date="2025-05-15T14:19:00Z">
          <w:pPr>
            <w:keepNext/>
          </w:pPr>
        </w:pPrChange>
      </w:pPr>
    </w:p>
    <w:p w14:paraId="1C7DFAAF" w14:textId="67AD3F2B" w:rsidR="00DD76CF" w:rsidRPr="00EF12DF" w:rsidRDefault="00E453CD" w:rsidP="00A6493F">
      <w:pPr>
        <w:rPr>
          <w:del w:id="14787" w:author="AbbVie02no" w:date="2025-05-15T14:19:00Z"/>
          <w:sz w:val="22"/>
          <w:szCs w:val="22"/>
        </w:rPr>
      </w:pPr>
      <w:del w:id="14788" w:author="AbbVie02no" w:date="2025-05-15T14:19:00Z">
        <w:r w:rsidRPr="00EF12DF">
          <w:rPr>
            <w:sz w:val="22"/>
            <w:szCs w:val="22"/>
          </w:rPr>
          <w:delText>AbbVie Deutschland GmbH &amp; Co. KG</w:delText>
        </w:r>
      </w:del>
    </w:p>
    <w:p w14:paraId="2806C977" w14:textId="1EE02A20" w:rsidR="00DD76CF" w:rsidRPr="00EF12DF" w:rsidRDefault="00E453CD" w:rsidP="00A6493F">
      <w:pPr>
        <w:rPr>
          <w:del w:id="14789" w:author="AbbVie02no" w:date="2025-05-15T14:19:00Z"/>
          <w:sz w:val="22"/>
          <w:szCs w:val="22"/>
        </w:rPr>
      </w:pPr>
      <w:del w:id="14790" w:author="AbbVie02no" w:date="2025-05-15T14:19:00Z">
        <w:r w:rsidRPr="00EF12DF">
          <w:rPr>
            <w:sz w:val="22"/>
            <w:szCs w:val="22"/>
          </w:rPr>
          <w:delText>Knollstrasse</w:delText>
        </w:r>
      </w:del>
    </w:p>
    <w:p w14:paraId="276BB56C" w14:textId="2031271D" w:rsidR="00DD76CF" w:rsidRPr="00EF12DF" w:rsidRDefault="00E453CD" w:rsidP="00A6493F">
      <w:pPr>
        <w:rPr>
          <w:del w:id="14791" w:author="AbbVie02no" w:date="2025-05-15T14:19:00Z"/>
          <w:sz w:val="22"/>
          <w:szCs w:val="22"/>
        </w:rPr>
      </w:pPr>
      <w:del w:id="14792" w:author="AbbVie02no" w:date="2025-05-15T14:19:00Z">
        <w:r w:rsidRPr="00EF12DF">
          <w:rPr>
            <w:sz w:val="22"/>
            <w:szCs w:val="22"/>
          </w:rPr>
          <w:delText>67061 Ludwigshafen</w:delText>
        </w:r>
      </w:del>
    </w:p>
    <w:p w14:paraId="6A1BA5E1" w14:textId="24E457AC" w:rsidR="00DD76CF" w:rsidRPr="009C5EFD" w:rsidRDefault="00E453CD" w:rsidP="00A6493F">
      <w:pPr>
        <w:rPr>
          <w:del w:id="14793" w:author="AbbVie02no" w:date="2025-05-15T14:19:00Z"/>
          <w:sz w:val="22"/>
          <w:szCs w:val="22"/>
        </w:rPr>
      </w:pPr>
      <w:del w:id="14794" w:author="AbbVie02no" w:date="2025-05-15T14:19:00Z">
        <w:r>
          <w:rPr>
            <w:sz w:val="22"/>
            <w:szCs w:val="22"/>
          </w:rPr>
          <w:delText>Tyskland</w:delText>
        </w:r>
      </w:del>
    </w:p>
    <w:p w14:paraId="41B7AB0A" w14:textId="67042F55" w:rsidR="00DE3458" w:rsidRPr="00637363" w:rsidRDefault="00DE3458">
      <w:pPr>
        <w:rPr>
          <w:del w:id="14795" w:author="AbbVie02no" w:date="2025-05-15T14:19:00Z"/>
          <w:sz w:val="22"/>
          <w:szCs w:val="22"/>
        </w:rPr>
        <w:pPrChange w:id="14796" w:author="AbbVie02no" w:date="2025-05-15T14:19:00Z">
          <w:pPr>
            <w:suppressAutoHyphens/>
          </w:pPr>
        </w:pPrChange>
      </w:pPr>
    </w:p>
    <w:p w14:paraId="3E29739A" w14:textId="4DDE3989" w:rsidR="00DE3458" w:rsidRPr="00637363" w:rsidRDefault="00E453CD">
      <w:pPr>
        <w:rPr>
          <w:del w:id="14797" w:author="AbbVie02no" w:date="2025-05-15T14:19:00Z"/>
          <w:b/>
          <w:sz w:val="22"/>
          <w:szCs w:val="22"/>
        </w:rPr>
        <w:pPrChange w:id="14798" w:author="AbbVie02no" w:date="2025-05-15T14:19:00Z">
          <w:pPr>
            <w:keepNext/>
            <w:suppressAutoHyphens/>
          </w:pPr>
        </w:pPrChange>
      </w:pPr>
      <w:del w:id="14799" w:author="AbbVie02no" w:date="2025-05-15T14:19:00Z">
        <w:r w:rsidRPr="00637363">
          <w:rPr>
            <w:b/>
            <w:sz w:val="22"/>
            <w:szCs w:val="22"/>
          </w:rPr>
          <w:delText>Tilvirker</w:delText>
        </w:r>
      </w:del>
    </w:p>
    <w:p w14:paraId="5744B409" w14:textId="61521BC7" w:rsidR="00FE1CE9" w:rsidRPr="00637363" w:rsidRDefault="00FE1CE9">
      <w:pPr>
        <w:rPr>
          <w:del w:id="14800" w:author="AbbVie02no" w:date="2025-05-15T14:19:00Z"/>
          <w:sz w:val="22"/>
          <w:szCs w:val="22"/>
        </w:rPr>
        <w:pPrChange w:id="14801" w:author="AbbVie02no" w:date="2025-05-15T14:19:00Z">
          <w:pPr>
            <w:keepNext/>
          </w:pPr>
        </w:pPrChange>
      </w:pPr>
    </w:p>
    <w:p w14:paraId="01BB95FD" w14:textId="7D5803CF" w:rsidR="00FE1CE9" w:rsidRPr="001F5D4B" w:rsidRDefault="00E453CD" w:rsidP="00A6493F">
      <w:pPr>
        <w:rPr>
          <w:del w:id="14802" w:author="AbbVie02no" w:date="2025-05-15T14:19:00Z"/>
          <w:sz w:val="22"/>
          <w:szCs w:val="22"/>
          <w:lang w:val="de-DE"/>
        </w:rPr>
      </w:pPr>
      <w:del w:id="14803" w:author="AbbVie02no" w:date="2025-05-15T14:19:00Z">
        <w:r w:rsidRPr="001F5D4B">
          <w:rPr>
            <w:sz w:val="22"/>
            <w:szCs w:val="22"/>
            <w:lang w:val="de-DE"/>
          </w:rPr>
          <w:delText>AbbVie Biotechnology GmbH</w:delText>
        </w:r>
      </w:del>
    </w:p>
    <w:p w14:paraId="1475C0C9" w14:textId="264B9498" w:rsidR="00FE1CE9" w:rsidRPr="001F5D4B" w:rsidRDefault="00E453CD">
      <w:pPr>
        <w:rPr>
          <w:del w:id="14804" w:author="AbbVie02no" w:date="2025-05-15T14:19:00Z"/>
          <w:sz w:val="22"/>
          <w:szCs w:val="22"/>
          <w:lang w:val="de-DE"/>
        </w:rPr>
        <w:pPrChange w:id="14805" w:author="AbbVie02no" w:date="2025-05-15T14:19:00Z">
          <w:pPr>
            <w:numPr>
              <w:ilvl w:val="12"/>
            </w:numPr>
            <w:tabs>
              <w:tab w:val="left" w:pos="720"/>
            </w:tabs>
          </w:pPr>
        </w:pPrChange>
      </w:pPr>
      <w:del w:id="14806" w:author="AbbVie02no" w:date="2025-05-15T14:19:00Z">
        <w:r w:rsidRPr="001F5D4B">
          <w:rPr>
            <w:sz w:val="22"/>
            <w:szCs w:val="22"/>
            <w:lang w:val="de-DE"/>
          </w:rPr>
          <w:delText>Knollstrasse</w:delText>
        </w:r>
      </w:del>
    </w:p>
    <w:p w14:paraId="0471A981" w14:textId="09203208" w:rsidR="00FE1CE9" w:rsidRPr="001F5D4B" w:rsidRDefault="00E453CD">
      <w:pPr>
        <w:rPr>
          <w:del w:id="14807" w:author="AbbVie02no" w:date="2025-05-15T14:19:00Z"/>
          <w:sz w:val="22"/>
          <w:szCs w:val="22"/>
          <w:lang w:val="de-DE"/>
        </w:rPr>
        <w:pPrChange w:id="14808" w:author="AbbVie02no" w:date="2025-05-15T14:19:00Z">
          <w:pPr>
            <w:numPr>
              <w:ilvl w:val="12"/>
            </w:numPr>
            <w:tabs>
              <w:tab w:val="left" w:pos="720"/>
            </w:tabs>
          </w:pPr>
        </w:pPrChange>
      </w:pPr>
      <w:del w:id="14809" w:author="AbbVie02no" w:date="2025-05-15T14:19:00Z">
        <w:r w:rsidRPr="001F5D4B">
          <w:rPr>
            <w:sz w:val="22"/>
            <w:szCs w:val="22"/>
            <w:lang w:val="de-DE"/>
          </w:rPr>
          <w:delText>67061 Ludwigshafen</w:delText>
        </w:r>
      </w:del>
    </w:p>
    <w:p w14:paraId="1780731C" w14:textId="3DA563F4" w:rsidR="00FE1CE9" w:rsidRPr="009C5EFD" w:rsidRDefault="00E453CD" w:rsidP="00A6493F">
      <w:pPr>
        <w:rPr>
          <w:del w:id="14810" w:author="AbbVie02no" w:date="2025-05-15T14:19:00Z"/>
          <w:sz w:val="22"/>
          <w:szCs w:val="22"/>
        </w:rPr>
      </w:pPr>
      <w:del w:id="14811" w:author="AbbVie02no" w:date="2025-05-15T14:19:00Z">
        <w:r w:rsidRPr="009C5EFD">
          <w:rPr>
            <w:sz w:val="22"/>
            <w:szCs w:val="22"/>
          </w:rPr>
          <w:delText>Tyskland</w:delText>
        </w:r>
      </w:del>
    </w:p>
    <w:p w14:paraId="35CCCA52" w14:textId="0CF85E90" w:rsidR="00DE3458" w:rsidRPr="009C5EFD" w:rsidRDefault="00DE3458" w:rsidP="00A6493F">
      <w:pPr>
        <w:rPr>
          <w:del w:id="14812" w:author="AbbVie02no" w:date="2025-05-15T14:19:00Z"/>
          <w:sz w:val="22"/>
          <w:szCs w:val="22"/>
        </w:rPr>
      </w:pPr>
    </w:p>
    <w:p w14:paraId="0C7A7AC4" w14:textId="2806373C" w:rsidR="00433E08" w:rsidRPr="009C5EFD" w:rsidRDefault="00E453CD" w:rsidP="00A6493F">
      <w:pPr>
        <w:rPr>
          <w:del w:id="14813" w:author="AbbVie02no" w:date="2025-05-15T14:19:00Z"/>
          <w:sz w:val="22"/>
          <w:szCs w:val="22"/>
        </w:rPr>
      </w:pPr>
      <w:del w:id="14814" w:author="AbbVie02no" w:date="2025-05-15T14:19:00Z">
        <w:r w:rsidRPr="00F257A4">
          <w:rPr>
            <w:sz w:val="22"/>
            <w:szCs w:val="22"/>
          </w:rPr>
          <w:delText xml:space="preserve">Ta kontakt med den lokale representanten for innehaveren av markedsføringstillatelsen </w:delText>
        </w:r>
        <w:r>
          <w:rPr>
            <w:sz w:val="22"/>
            <w:szCs w:val="22"/>
          </w:rPr>
          <w:delText>f</w:delText>
        </w:r>
        <w:r w:rsidRPr="009C5EFD">
          <w:rPr>
            <w:sz w:val="22"/>
            <w:szCs w:val="22"/>
          </w:rPr>
          <w:delText xml:space="preserve">or </w:delText>
        </w:r>
        <w:r w:rsidR="00DE3458" w:rsidRPr="009C5EFD">
          <w:rPr>
            <w:sz w:val="22"/>
            <w:szCs w:val="22"/>
          </w:rPr>
          <w:delText>ytterligere informasjon om dette legemidlet</w:delText>
        </w:r>
        <w:r w:rsidR="00A71697">
          <w:rPr>
            <w:sz w:val="22"/>
            <w:szCs w:val="22"/>
          </w:rPr>
          <w:delText>:</w:delText>
        </w:r>
      </w:del>
    </w:p>
    <w:p w14:paraId="51C475E9" w14:textId="1181C97F" w:rsidR="009F5209" w:rsidRPr="009C5EFD" w:rsidRDefault="009F5209" w:rsidP="00A6493F">
      <w:pPr>
        <w:rPr>
          <w:del w:id="14815" w:author="AbbVie02no" w:date="2025-05-15T14:19:00Z"/>
        </w:rPr>
      </w:pPr>
    </w:p>
    <w:tbl>
      <w:tblPr>
        <w:tblW w:w="9356" w:type="dxa"/>
        <w:tblInd w:w="-34" w:type="dxa"/>
        <w:tblLayout w:type="fixed"/>
        <w:tblLook w:val="0000" w:firstRow="0" w:lastRow="0" w:firstColumn="0" w:lastColumn="0" w:noHBand="0" w:noVBand="0"/>
      </w:tblPr>
      <w:tblGrid>
        <w:gridCol w:w="34"/>
        <w:gridCol w:w="4610"/>
        <w:gridCol w:w="34"/>
        <w:gridCol w:w="4678"/>
      </w:tblGrid>
      <w:tr w:rsidR="004644D4" w14:paraId="54743EAA" w14:textId="48163229" w:rsidTr="001F79B0">
        <w:trPr>
          <w:del w:id="14816" w:author="AbbVie02no" w:date="2025-05-15T14:19:00Z"/>
        </w:trPr>
        <w:tc>
          <w:tcPr>
            <w:tcW w:w="4644" w:type="dxa"/>
            <w:gridSpan w:val="2"/>
          </w:tcPr>
          <w:p w14:paraId="78EC5B22" w14:textId="3653CF32" w:rsidR="00BD646C" w:rsidRPr="00BD646C" w:rsidRDefault="00E453CD" w:rsidP="00A6493F">
            <w:pPr>
              <w:rPr>
                <w:del w:id="14817" w:author="AbbVie02no" w:date="2025-05-15T14:19:00Z"/>
                <w:b/>
                <w:bCs/>
                <w:sz w:val="22"/>
                <w:szCs w:val="22"/>
                <w:lang w:val="fr-BE"/>
              </w:rPr>
            </w:pPr>
            <w:del w:id="14818" w:author="AbbVie02no" w:date="2025-05-15T14:19:00Z">
              <w:r w:rsidRPr="00BD646C">
                <w:rPr>
                  <w:b/>
                  <w:bCs/>
                  <w:sz w:val="22"/>
                  <w:szCs w:val="22"/>
                  <w:lang w:val="fr-BE"/>
                </w:rPr>
                <w:delText>België/Belgique/Belgien</w:delText>
              </w:r>
            </w:del>
          </w:p>
          <w:p w14:paraId="1E713259" w14:textId="6C4A37C1" w:rsidR="00BD646C" w:rsidRPr="00BD646C" w:rsidRDefault="00E453CD" w:rsidP="00A6493F">
            <w:pPr>
              <w:rPr>
                <w:del w:id="14819" w:author="AbbVie02no" w:date="2025-05-15T14:19:00Z"/>
                <w:bCs/>
                <w:sz w:val="22"/>
                <w:szCs w:val="22"/>
                <w:lang w:val="fr-FR"/>
              </w:rPr>
            </w:pPr>
            <w:del w:id="14820" w:author="AbbVie02no" w:date="2025-05-15T14:19:00Z">
              <w:r w:rsidRPr="00BD646C">
                <w:rPr>
                  <w:bCs/>
                  <w:sz w:val="22"/>
                  <w:szCs w:val="22"/>
                  <w:lang w:val="fr-FR"/>
                </w:rPr>
                <w:delText>AbbVie SA</w:delText>
              </w:r>
            </w:del>
          </w:p>
          <w:p w14:paraId="77A531B5" w14:textId="009E593D" w:rsidR="00BD646C" w:rsidRPr="00BD646C" w:rsidRDefault="00E453CD" w:rsidP="00A6493F">
            <w:pPr>
              <w:rPr>
                <w:del w:id="14821" w:author="AbbVie02no" w:date="2025-05-15T14:19:00Z"/>
                <w:sz w:val="22"/>
                <w:szCs w:val="22"/>
                <w:lang w:val="fr-FR"/>
              </w:rPr>
            </w:pPr>
            <w:del w:id="14822" w:author="AbbVie02no" w:date="2025-05-15T14:19:00Z">
              <w:r w:rsidRPr="00BD646C">
                <w:rPr>
                  <w:bCs/>
                  <w:sz w:val="22"/>
                  <w:szCs w:val="22"/>
                  <w:lang w:val="fr-FR"/>
                </w:rPr>
                <w:delText xml:space="preserve">Tél/Tel: +32 10 </w:delText>
              </w:r>
              <w:r w:rsidRPr="00BD646C">
                <w:rPr>
                  <w:sz w:val="22"/>
                  <w:szCs w:val="22"/>
                  <w:lang w:val="fr-FR"/>
                </w:rPr>
                <w:delText>477811</w:delText>
              </w:r>
            </w:del>
          </w:p>
          <w:p w14:paraId="1770E17F" w14:textId="55D22178" w:rsidR="00BD646C" w:rsidRPr="00BD646C" w:rsidRDefault="00BD646C" w:rsidP="00A6493F">
            <w:pPr>
              <w:rPr>
                <w:del w:id="14823" w:author="AbbVie02no" w:date="2025-05-15T14:19:00Z"/>
                <w:bCs/>
                <w:sz w:val="22"/>
                <w:szCs w:val="22"/>
                <w:lang w:val="fr-FR"/>
              </w:rPr>
            </w:pPr>
          </w:p>
        </w:tc>
        <w:tc>
          <w:tcPr>
            <w:tcW w:w="4678" w:type="dxa"/>
            <w:gridSpan w:val="2"/>
          </w:tcPr>
          <w:p w14:paraId="6087789C" w14:textId="306F599C" w:rsidR="00BD646C" w:rsidRPr="00BD646C" w:rsidRDefault="00E453CD" w:rsidP="00A6493F">
            <w:pPr>
              <w:rPr>
                <w:del w:id="14824" w:author="AbbVie02no" w:date="2025-05-15T14:19:00Z"/>
                <w:b/>
                <w:bCs/>
                <w:sz w:val="22"/>
                <w:szCs w:val="22"/>
                <w:lang w:val="lt-LT"/>
              </w:rPr>
            </w:pPr>
            <w:del w:id="14825" w:author="AbbVie02no" w:date="2025-05-15T14:19:00Z">
              <w:r w:rsidRPr="00BD646C">
                <w:rPr>
                  <w:b/>
                  <w:bCs/>
                  <w:sz w:val="22"/>
                  <w:szCs w:val="22"/>
                  <w:lang w:val="lt-LT"/>
                </w:rPr>
                <w:delText>Lietuva</w:delText>
              </w:r>
            </w:del>
          </w:p>
          <w:p w14:paraId="482AF0B5" w14:textId="7B3B23EE" w:rsidR="00BD646C" w:rsidRPr="00BD646C" w:rsidRDefault="00E453CD" w:rsidP="00A6493F">
            <w:pPr>
              <w:rPr>
                <w:del w:id="14826" w:author="AbbVie02no" w:date="2025-05-15T14:19:00Z"/>
                <w:bCs/>
                <w:sz w:val="22"/>
                <w:szCs w:val="22"/>
                <w:lang w:val="lv-LV"/>
              </w:rPr>
            </w:pPr>
            <w:del w:id="14827" w:author="AbbVie02no" w:date="2025-05-15T14:19:00Z">
              <w:r w:rsidRPr="00BD646C">
                <w:rPr>
                  <w:bCs/>
                  <w:sz w:val="22"/>
                  <w:szCs w:val="22"/>
                  <w:lang w:val="lv-LV"/>
                </w:rPr>
                <w:delText xml:space="preserve">AbbVie UAB </w:delText>
              </w:r>
            </w:del>
          </w:p>
          <w:p w14:paraId="32612925" w14:textId="3CA604E2" w:rsidR="00BD646C" w:rsidRPr="00BD646C" w:rsidRDefault="00E453CD" w:rsidP="00A6493F">
            <w:pPr>
              <w:rPr>
                <w:del w:id="14828" w:author="AbbVie02no" w:date="2025-05-15T14:19:00Z"/>
                <w:bCs/>
                <w:sz w:val="22"/>
                <w:szCs w:val="22"/>
                <w:lang w:val="lv-LV"/>
              </w:rPr>
            </w:pPr>
            <w:del w:id="14829" w:author="AbbVie02no" w:date="2025-05-15T14:19:00Z">
              <w:r w:rsidRPr="00BD646C">
                <w:rPr>
                  <w:bCs/>
                  <w:sz w:val="22"/>
                  <w:szCs w:val="22"/>
                  <w:lang w:val="lv-LV"/>
                </w:rPr>
                <w:delText>Tel: +370 5 205 3023</w:delText>
              </w:r>
            </w:del>
          </w:p>
        </w:tc>
      </w:tr>
      <w:tr w:rsidR="004644D4" w14:paraId="30048C25" w14:textId="1ECFD1D3" w:rsidTr="001F79B0">
        <w:trPr>
          <w:del w:id="14830" w:author="AbbVie02no" w:date="2025-05-15T14:19:00Z"/>
        </w:trPr>
        <w:tc>
          <w:tcPr>
            <w:tcW w:w="4644" w:type="dxa"/>
            <w:gridSpan w:val="2"/>
          </w:tcPr>
          <w:p w14:paraId="0A94F1E1" w14:textId="0C514F06" w:rsidR="00BD646C" w:rsidRPr="00BD646C" w:rsidRDefault="00E453CD" w:rsidP="00A6493F">
            <w:pPr>
              <w:rPr>
                <w:del w:id="14831" w:author="AbbVie02no" w:date="2025-05-15T14:19:00Z"/>
                <w:b/>
                <w:bCs/>
                <w:sz w:val="22"/>
                <w:szCs w:val="22"/>
                <w:lang w:val="bg-BG"/>
              </w:rPr>
            </w:pPr>
            <w:del w:id="14832" w:author="AbbVie02no" w:date="2025-05-15T14:19:00Z">
              <w:r w:rsidRPr="00BD646C">
                <w:rPr>
                  <w:b/>
                  <w:bCs/>
                  <w:sz w:val="22"/>
                  <w:szCs w:val="22"/>
                  <w:lang w:val="bg-BG"/>
                </w:rPr>
                <w:delText>България</w:delText>
              </w:r>
            </w:del>
          </w:p>
          <w:p w14:paraId="0F0FEA5B" w14:textId="6A1D505A" w:rsidR="00BD646C" w:rsidRPr="00BD646C" w:rsidRDefault="00E453CD" w:rsidP="00A6493F">
            <w:pPr>
              <w:rPr>
                <w:del w:id="14833" w:author="AbbVie02no" w:date="2025-05-15T14:19:00Z"/>
                <w:sz w:val="22"/>
                <w:szCs w:val="22"/>
                <w:lang w:val="da-DK"/>
              </w:rPr>
            </w:pPr>
            <w:del w:id="14834" w:author="AbbVie02no" w:date="2025-05-15T14:19:00Z">
              <w:r w:rsidRPr="00BD646C">
                <w:rPr>
                  <w:sz w:val="22"/>
                  <w:szCs w:val="22"/>
                  <w:lang w:val="sk-SK"/>
                </w:rPr>
                <w:delText>АбВи ЕООД</w:delText>
              </w:r>
            </w:del>
          </w:p>
          <w:p w14:paraId="709E5F93" w14:textId="54F74036" w:rsidR="00BD646C" w:rsidRPr="00BD646C" w:rsidRDefault="00E453CD" w:rsidP="00A6493F">
            <w:pPr>
              <w:rPr>
                <w:del w:id="14835" w:author="AbbVie02no" w:date="2025-05-15T14:19:00Z"/>
                <w:bCs/>
                <w:sz w:val="22"/>
                <w:szCs w:val="22"/>
                <w:lang w:val="da-DK"/>
              </w:rPr>
            </w:pPr>
            <w:del w:id="14836" w:author="AbbVie02no" w:date="2025-05-15T14:19:00Z">
              <w:r w:rsidRPr="00BD646C">
                <w:rPr>
                  <w:sz w:val="22"/>
                  <w:szCs w:val="22"/>
                  <w:lang w:val="sk-SK"/>
                </w:rPr>
                <w:delText>Тел</w:delText>
              </w:r>
              <w:r w:rsidRPr="00BD646C">
                <w:rPr>
                  <w:sz w:val="22"/>
                  <w:szCs w:val="22"/>
                  <w:lang w:val="it-IT"/>
                </w:rPr>
                <w:delText>.:+359 2 90 30 430</w:delText>
              </w:r>
            </w:del>
          </w:p>
        </w:tc>
        <w:tc>
          <w:tcPr>
            <w:tcW w:w="4678" w:type="dxa"/>
            <w:gridSpan w:val="2"/>
          </w:tcPr>
          <w:p w14:paraId="06C5854A" w14:textId="0EE81461" w:rsidR="00BD646C" w:rsidRPr="00BD646C" w:rsidRDefault="00E453CD" w:rsidP="00A6493F">
            <w:pPr>
              <w:rPr>
                <w:del w:id="14837" w:author="AbbVie02no" w:date="2025-05-15T14:19:00Z"/>
                <w:b/>
                <w:bCs/>
                <w:sz w:val="22"/>
                <w:szCs w:val="22"/>
                <w:lang w:val="de-DE"/>
              </w:rPr>
            </w:pPr>
            <w:del w:id="14838" w:author="AbbVie02no" w:date="2025-05-15T14:19:00Z">
              <w:r w:rsidRPr="00BD646C">
                <w:rPr>
                  <w:b/>
                  <w:bCs/>
                  <w:sz w:val="22"/>
                  <w:szCs w:val="22"/>
                  <w:lang w:val="de-DE"/>
                </w:rPr>
                <w:delText>Luxembourg/Luxemburg</w:delText>
              </w:r>
            </w:del>
          </w:p>
          <w:p w14:paraId="62971729" w14:textId="78BC7DF2" w:rsidR="00BD646C" w:rsidRPr="00BD646C" w:rsidRDefault="00E453CD" w:rsidP="00A6493F">
            <w:pPr>
              <w:rPr>
                <w:del w:id="14839" w:author="AbbVie02no" w:date="2025-05-15T14:19:00Z"/>
                <w:bCs/>
                <w:sz w:val="22"/>
                <w:szCs w:val="22"/>
                <w:lang w:val="de-DE"/>
              </w:rPr>
            </w:pPr>
            <w:del w:id="14840" w:author="AbbVie02no" w:date="2025-05-15T14:19:00Z">
              <w:r w:rsidRPr="00BD646C">
                <w:rPr>
                  <w:bCs/>
                  <w:sz w:val="22"/>
                  <w:szCs w:val="22"/>
                  <w:lang w:val="de-DE"/>
                </w:rPr>
                <w:delText>AbbVie SA</w:delText>
              </w:r>
            </w:del>
          </w:p>
          <w:p w14:paraId="59607156" w14:textId="04BA999D" w:rsidR="00BD646C" w:rsidRPr="00BD646C" w:rsidRDefault="00E453CD" w:rsidP="00A6493F">
            <w:pPr>
              <w:rPr>
                <w:del w:id="14841" w:author="AbbVie02no" w:date="2025-05-15T14:19:00Z"/>
                <w:bCs/>
                <w:sz w:val="22"/>
                <w:szCs w:val="22"/>
                <w:lang w:val="de-DE"/>
              </w:rPr>
            </w:pPr>
            <w:del w:id="14842" w:author="AbbVie02no" w:date="2025-05-15T14:19:00Z">
              <w:r w:rsidRPr="00BD646C">
                <w:rPr>
                  <w:bCs/>
                  <w:sz w:val="22"/>
                  <w:szCs w:val="22"/>
                  <w:lang w:val="de-DE"/>
                </w:rPr>
                <w:delText>Belgique/Belgien</w:delText>
              </w:r>
            </w:del>
          </w:p>
          <w:p w14:paraId="63E8CA3B" w14:textId="77823016" w:rsidR="00BD646C" w:rsidRPr="00BD646C" w:rsidRDefault="00E453CD" w:rsidP="00A6493F">
            <w:pPr>
              <w:rPr>
                <w:del w:id="14843" w:author="AbbVie02no" w:date="2025-05-15T14:19:00Z"/>
                <w:bCs/>
                <w:sz w:val="22"/>
                <w:szCs w:val="22"/>
                <w:lang w:val="fr-FR"/>
              </w:rPr>
            </w:pPr>
            <w:del w:id="14844" w:author="AbbVie02no" w:date="2025-05-15T14:19:00Z">
              <w:r w:rsidRPr="00BD646C">
                <w:rPr>
                  <w:bCs/>
                  <w:sz w:val="22"/>
                  <w:szCs w:val="22"/>
                  <w:lang w:val="fr-FR"/>
                </w:rPr>
                <w:delText>Tél/Tel: +32 10 477811</w:delText>
              </w:r>
            </w:del>
          </w:p>
          <w:p w14:paraId="74A3190A" w14:textId="587BC20A" w:rsidR="00BD646C" w:rsidRPr="00BD646C" w:rsidRDefault="00BD646C" w:rsidP="00A6493F">
            <w:pPr>
              <w:rPr>
                <w:del w:id="14845" w:author="AbbVie02no" w:date="2025-05-15T14:19:00Z"/>
                <w:bCs/>
                <w:sz w:val="22"/>
                <w:szCs w:val="22"/>
                <w:lang w:val="fr-FR"/>
              </w:rPr>
            </w:pPr>
          </w:p>
        </w:tc>
      </w:tr>
      <w:tr w:rsidR="004644D4" w14:paraId="67DE7B75" w14:textId="572E380C" w:rsidTr="001F79B0">
        <w:trPr>
          <w:del w:id="14846" w:author="AbbVie02no" w:date="2025-05-15T14:19:00Z"/>
        </w:trPr>
        <w:tc>
          <w:tcPr>
            <w:tcW w:w="4644" w:type="dxa"/>
            <w:gridSpan w:val="2"/>
          </w:tcPr>
          <w:p w14:paraId="3981367E" w14:textId="205BD249" w:rsidR="00BD646C" w:rsidRPr="00BD646C" w:rsidRDefault="00E453CD" w:rsidP="00A6493F">
            <w:pPr>
              <w:rPr>
                <w:del w:id="14847" w:author="AbbVie02no" w:date="2025-05-15T14:19:00Z"/>
                <w:b/>
                <w:bCs/>
                <w:sz w:val="22"/>
                <w:szCs w:val="22"/>
                <w:lang w:val="sk-SK"/>
              </w:rPr>
            </w:pPr>
            <w:del w:id="14848" w:author="AbbVie02no" w:date="2025-05-15T14:19:00Z">
              <w:r w:rsidRPr="00BD646C">
                <w:rPr>
                  <w:b/>
                  <w:bCs/>
                  <w:sz w:val="22"/>
                  <w:szCs w:val="22"/>
                  <w:lang w:val="sk-SK"/>
                </w:rPr>
                <w:delText>Česká republika</w:delText>
              </w:r>
            </w:del>
          </w:p>
          <w:p w14:paraId="2D144B74" w14:textId="57E3215D" w:rsidR="00BD646C" w:rsidRPr="00BD646C" w:rsidRDefault="00E453CD" w:rsidP="00A6493F">
            <w:pPr>
              <w:rPr>
                <w:del w:id="14849" w:author="AbbVie02no" w:date="2025-05-15T14:19:00Z"/>
                <w:bCs/>
                <w:sz w:val="22"/>
                <w:szCs w:val="22"/>
                <w:lang w:val="sk-SK"/>
              </w:rPr>
            </w:pPr>
            <w:del w:id="14850" w:author="AbbVie02no" w:date="2025-05-15T14:19:00Z">
              <w:r w:rsidRPr="00BD646C">
                <w:rPr>
                  <w:bCs/>
                  <w:sz w:val="22"/>
                  <w:szCs w:val="22"/>
                  <w:lang w:val="sk-SK"/>
                </w:rPr>
                <w:delText xml:space="preserve">AbbVie s.r.o. </w:delText>
              </w:r>
            </w:del>
          </w:p>
          <w:p w14:paraId="7E9F6625" w14:textId="40085B89" w:rsidR="00BD646C" w:rsidRPr="00BD646C" w:rsidRDefault="00E453CD" w:rsidP="00A6493F">
            <w:pPr>
              <w:rPr>
                <w:del w:id="14851" w:author="AbbVie02no" w:date="2025-05-15T14:19:00Z"/>
                <w:bCs/>
                <w:sz w:val="22"/>
                <w:szCs w:val="22"/>
                <w:lang w:val="sk-SK"/>
              </w:rPr>
            </w:pPr>
            <w:del w:id="14852" w:author="AbbVie02no" w:date="2025-05-15T14:19:00Z">
              <w:r w:rsidRPr="00BD646C">
                <w:rPr>
                  <w:bCs/>
                  <w:sz w:val="22"/>
                  <w:szCs w:val="22"/>
                  <w:lang w:val="sk-SK"/>
                </w:rPr>
                <w:delText>Tel: +420 233 098 111</w:delText>
              </w:r>
            </w:del>
          </w:p>
        </w:tc>
        <w:tc>
          <w:tcPr>
            <w:tcW w:w="4678" w:type="dxa"/>
            <w:gridSpan w:val="2"/>
          </w:tcPr>
          <w:p w14:paraId="441EA4CF" w14:textId="408E6C2C" w:rsidR="00BD646C" w:rsidRPr="00BD646C" w:rsidRDefault="00E453CD" w:rsidP="00A6493F">
            <w:pPr>
              <w:rPr>
                <w:del w:id="14853" w:author="AbbVie02no" w:date="2025-05-15T14:19:00Z"/>
                <w:b/>
                <w:bCs/>
                <w:sz w:val="22"/>
                <w:szCs w:val="22"/>
                <w:lang w:val="hu-HU"/>
              </w:rPr>
            </w:pPr>
            <w:del w:id="14854" w:author="AbbVie02no" w:date="2025-05-15T14:19:00Z">
              <w:r w:rsidRPr="00BD646C">
                <w:rPr>
                  <w:b/>
                  <w:bCs/>
                  <w:sz w:val="22"/>
                  <w:szCs w:val="22"/>
                  <w:lang w:val="hu-HU"/>
                </w:rPr>
                <w:delText>Magyarország</w:delText>
              </w:r>
            </w:del>
          </w:p>
          <w:p w14:paraId="66A56D57" w14:textId="3E717F3D" w:rsidR="00BD646C" w:rsidRPr="00BD646C" w:rsidRDefault="00E453CD" w:rsidP="00A6493F">
            <w:pPr>
              <w:rPr>
                <w:del w:id="14855" w:author="AbbVie02no" w:date="2025-05-15T14:19:00Z"/>
                <w:bCs/>
                <w:sz w:val="22"/>
                <w:szCs w:val="22"/>
                <w:lang w:val="hu-HU"/>
              </w:rPr>
            </w:pPr>
            <w:del w:id="14856" w:author="AbbVie02no" w:date="2025-05-15T14:19:00Z">
              <w:r w:rsidRPr="00BD646C">
                <w:rPr>
                  <w:bCs/>
                  <w:sz w:val="22"/>
                  <w:szCs w:val="22"/>
                  <w:lang w:val="hu-HU"/>
                </w:rPr>
                <w:delText>AbbVie Kft.</w:delText>
              </w:r>
            </w:del>
          </w:p>
          <w:p w14:paraId="7360A221" w14:textId="465EE889" w:rsidR="00BD646C" w:rsidRPr="00BD646C" w:rsidRDefault="00E453CD" w:rsidP="00A6493F">
            <w:pPr>
              <w:rPr>
                <w:del w:id="14857" w:author="AbbVie02no" w:date="2025-05-15T14:19:00Z"/>
                <w:bCs/>
                <w:sz w:val="22"/>
                <w:szCs w:val="22"/>
                <w:lang w:val="hu-HU"/>
              </w:rPr>
            </w:pPr>
            <w:del w:id="14858" w:author="AbbVie02no" w:date="2025-05-15T14:19:00Z">
              <w:r w:rsidRPr="00BD646C">
                <w:rPr>
                  <w:bCs/>
                  <w:sz w:val="22"/>
                  <w:szCs w:val="22"/>
                  <w:lang w:val="hu-HU"/>
                </w:rPr>
                <w:delText>Tel.:+36 1 455 8600</w:delText>
              </w:r>
            </w:del>
          </w:p>
          <w:p w14:paraId="5D38D209" w14:textId="420BBBBE" w:rsidR="00BD646C" w:rsidRPr="00BD646C" w:rsidRDefault="00BD646C" w:rsidP="00A6493F">
            <w:pPr>
              <w:rPr>
                <w:del w:id="14859" w:author="AbbVie02no" w:date="2025-05-15T14:19:00Z"/>
                <w:bCs/>
                <w:sz w:val="22"/>
                <w:szCs w:val="22"/>
                <w:lang w:val="hu-HU"/>
              </w:rPr>
            </w:pPr>
          </w:p>
        </w:tc>
      </w:tr>
      <w:tr w:rsidR="004644D4" w14:paraId="4547537B" w14:textId="51332779" w:rsidTr="001F79B0">
        <w:trPr>
          <w:trHeight w:val="737"/>
          <w:del w:id="14860" w:author="AbbVie02no" w:date="2025-05-15T14:19:00Z"/>
        </w:trPr>
        <w:tc>
          <w:tcPr>
            <w:tcW w:w="4644" w:type="dxa"/>
            <w:gridSpan w:val="2"/>
          </w:tcPr>
          <w:p w14:paraId="5D332FB0" w14:textId="76A13CB7" w:rsidR="00BD646C" w:rsidRPr="00692DC9" w:rsidRDefault="00E453CD" w:rsidP="00A6493F">
            <w:pPr>
              <w:rPr>
                <w:del w:id="14861" w:author="AbbVie02no" w:date="2025-05-15T14:19:00Z"/>
                <w:b/>
                <w:bCs/>
                <w:sz w:val="22"/>
                <w:szCs w:val="22"/>
                <w:rPrChange w:id="14862" w:author="AbbVie05no" w:date="2025-05-19T11:03:00Z">
                  <w:rPr>
                    <w:del w:id="14863" w:author="AbbVie02no" w:date="2025-05-15T14:19:00Z"/>
                    <w:b/>
                    <w:bCs/>
                    <w:sz w:val="22"/>
                    <w:szCs w:val="22"/>
                    <w:lang w:val="en-US"/>
                  </w:rPr>
                </w:rPrChange>
              </w:rPr>
            </w:pPr>
            <w:del w:id="14864" w:author="AbbVie02no" w:date="2025-05-15T14:19:00Z">
              <w:r w:rsidRPr="00692DC9">
                <w:rPr>
                  <w:b/>
                  <w:bCs/>
                  <w:sz w:val="22"/>
                  <w:szCs w:val="22"/>
                  <w:rPrChange w:id="14865" w:author="AbbVie05no" w:date="2025-05-19T11:03:00Z">
                    <w:rPr>
                      <w:b/>
                      <w:bCs/>
                      <w:sz w:val="22"/>
                      <w:szCs w:val="22"/>
                      <w:lang w:val="en-US"/>
                    </w:rPr>
                  </w:rPrChange>
                </w:rPr>
                <w:delText>Danmark</w:delText>
              </w:r>
            </w:del>
          </w:p>
          <w:p w14:paraId="0FB95A44" w14:textId="6769C9DC" w:rsidR="00BD646C" w:rsidRPr="00692DC9" w:rsidRDefault="00E453CD" w:rsidP="00A6493F">
            <w:pPr>
              <w:rPr>
                <w:del w:id="14866" w:author="AbbVie02no" w:date="2025-05-15T14:19:00Z"/>
                <w:bCs/>
                <w:sz w:val="22"/>
                <w:szCs w:val="22"/>
                <w:rPrChange w:id="14867" w:author="AbbVie05no" w:date="2025-05-19T11:03:00Z">
                  <w:rPr>
                    <w:del w:id="14868" w:author="AbbVie02no" w:date="2025-05-15T14:19:00Z"/>
                    <w:bCs/>
                    <w:sz w:val="22"/>
                    <w:szCs w:val="22"/>
                    <w:lang w:val="en-US"/>
                  </w:rPr>
                </w:rPrChange>
              </w:rPr>
            </w:pPr>
            <w:del w:id="14869" w:author="AbbVie02no" w:date="2025-05-15T14:19:00Z">
              <w:r w:rsidRPr="00692DC9">
                <w:rPr>
                  <w:bCs/>
                  <w:sz w:val="22"/>
                  <w:szCs w:val="22"/>
                  <w:rPrChange w:id="14870" w:author="AbbVie05no" w:date="2025-05-19T11:03:00Z">
                    <w:rPr>
                      <w:bCs/>
                      <w:sz w:val="22"/>
                      <w:szCs w:val="22"/>
                      <w:lang w:val="en-US"/>
                    </w:rPr>
                  </w:rPrChange>
                </w:rPr>
                <w:delText>AbbVie A/S</w:delText>
              </w:r>
            </w:del>
          </w:p>
          <w:p w14:paraId="54C8A8AF" w14:textId="0B541C7D" w:rsidR="00BD646C" w:rsidRPr="00BD646C" w:rsidRDefault="00E453CD" w:rsidP="00A6493F">
            <w:pPr>
              <w:rPr>
                <w:del w:id="14871" w:author="AbbVie02no" w:date="2025-05-15T14:19:00Z"/>
                <w:bCs/>
                <w:sz w:val="22"/>
                <w:szCs w:val="22"/>
                <w:lang w:val="sk-SK"/>
              </w:rPr>
            </w:pPr>
            <w:del w:id="14872" w:author="AbbVie02no" w:date="2025-05-15T14:19:00Z">
              <w:r w:rsidRPr="00692DC9">
                <w:rPr>
                  <w:bCs/>
                  <w:sz w:val="22"/>
                  <w:szCs w:val="22"/>
                  <w:rPrChange w:id="14873" w:author="AbbVie05no" w:date="2025-05-19T11:03:00Z">
                    <w:rPr>
                      <w:bCs/>
                      <w:sz w:val="22"/>
                      <w:szCs w:val="22"/>
                      <w:lang w:val="en-US"/>
                    </w:rPr>
                  </w:rPrChange>
                </w:rPr>
                <w:delText>Tlf: +45 72 30-20-28</w:delText>
              </w:r>
            </w:del>
          </w:p>
        </w:tc>
        <w:tc>
          <w:tcPr>
            <w:tcW w:w="4678" w:type="dxa"/>
            <w:gridSpan w:val="2"/>
          </w:tcPr>
          <w:p w14:paraId="30FC3471" w14:textId="01A0E845" w:rsidR="00BD646C" w:rsidRPr="00BD646C" w:rsidRDefault="00E453CD" w:rsidP="00A6493F">
            <w:pPr>
              <w:rPr>
                <w:del w:id="14874" w:author="AbbVie02no" w:date="2025-05-15T14:19:00Z"/>
                <w:b/>
                <w:bCs/>
                <w:sz w:val="22"/>
                <w:szCs w:val="22"/>
                <w:lang w:val="mt-MT"/>
              </w:rPr>
            </w:pPr>
            <w:del w:id="14875" w:author="AbbVie02no" w:date="2025-05-15T14:19:00Z">
              <w:r w:rsidRPr="00BD646C">
                <w:rPr>
                  <w:b/>
                  <w:bCs/>
                  <w:sz w:val="22"/>
                  <w:szCs w:val="22"/>
                  <w:lang w:val="mt-MT"/>
                </w:rPr>
                <w:delText>Malta</w:delText>
              </w:r>
            </w:del>
          </w:p>
          <w:p w14:paraId="567497FC" w14:textId="092749D6" w:rsidR="00BD646C" w:rsidRPr="00BD646C" w:rsidRDefault="00E453CD" w:rsidP="00A6493F">
            <w:pPr>
              <w:rPr>
                <w:del w:id="14876" w:author="AbbVie02no" w:date="2025-05-15T14:19:00Z"/>
                <w:bCs/>
                <w:sz w:val="22"/>
                <w:szCs w:val="22"/>
                <w:lang w:val="sk-SK"/>
              </w:rPr>
            </w:pPr>
            <w:del w:id="14877" w:author="AbbVie02no" w:date="2025-05-15T14:19:00Z">
              <w:r w:rsidRPr="00BD646C">
                <w:rPr>
                  <w:bCs/>
                  <w:sz w:val="22"/>
                  <w:szCs w:val="22"/>
                  <w:lang w:val="sk-SK"/>
                </w:rPr>
                <w:delText xml:space="preserve">V.J.Salomone Pharma Limited </w:delText>
              </w:r>
            </w:del>
          </w:p>
          <w:p w14:paraId="51F77C95" w14:textId="629A5683" w:rsidR="00BD646C" w:rsidRPr="00BD646C" w:rsidRDefault="00E453CD" w:rsidP="00A6493F">
            <w:pPr>
              <w:rPr>
                <w:del w:id="14878" w:author="AbbVie02no" w:date="2025-05-15T14:19:00Z"/>
                <w:bCs/>
                <w:sz w:val="22"/>
                <w:szCs w:val="22"/>
                <w:lang w:val="sk-SK"/>
              </w:rPr>
            </w:pPr>
            <w:del w:id="14879" w:author="AbbVie02no" w:date="2025-05-15T14:19:00Z">
              <w:r w:rsidRPr="00BD646C">
                <w:rPr>
                  <w:bCs/>
                  <w:sz w:val="22"/>
                  <w:szCs w:val="22"/>
                  <w:lang w:val="sk-SK"/>
                </w:rPr>
                <w:delText xml:space="preserve">Tel: </w:delText>
              </w:r>
              <w:r w:rsidR="00BB66E5" w:rsidRPr="00692DC9">
                <w:rPr>
                  <w:bCs/>
                  <w:sz w:val="22"/>
                  <w:szCs w:val="22"/>
                  <w:rPrChange w:id="14880" w:author="AbbVie05no" w:date="2025-05-19T11:03:00Z">
                    <w:rPr>
                      <w:bCs/>
                      <w:sz w:val="22"/>
                      <w:szCs w:val="22"/>
                      <w:lang w:val="en-GB"/>
                    </w:rPr>
                  </w:rPrChange>
                </w:rPr>
                <w:delText>+356 21220174</w:delText>
              </w:r>
            </w:del>
          </w:p>
          <w:p w14:paraId="1E733866" w14:textId="55F5C92A" w:rsidR="00BD646C" w:rsidRPr="00BD646C" w:rsidRDefault="00BD646C" w:rsidP="00A6493F">
            <w:pPr>
              <w:rPr>
                <w:del w:id="14881" w:author="AbbVie02no" w:date="2025-05-15T14:19:00Z"/>
                <w:bCs/>
                <w:sz w:val="22"/>
                <w:szCs w:val="22"/>
                <w:lang w:val="sk-SK"/>
              </w:rPr>
            </w:pPr>
          </w:p>
        </w:tc>
      </w:tr>
      <w:tr w:rsidR="004644D4" w14:paraId="35FBEC3E" w14:textId="5915C449" w:rsidTr="001F79B0">
        <w:trPr>
          <w:del w:id="14882" w:author="AbbVie02no" w:date="2025-05-15T14:19:00Z"/>
        </w:trPr>
        <w:tc>
          <w:tcPr>
            <w:tcW w:w="4644" w:type="dxa"/>
            <w:gridSpan w:val="2"/>
          </w:tcPr>
          <w:p w14:paraId="5C5A78E3" w14:textId="2F1B9555" w:rsidR="00BD646C" w:rsidRPr="00BD646C" w:rsidRDefault="00E453CD" w:rsidP="00A6493F">
            <w:pPr>
              <w:rPr>
                <w:del w:id="14883" w:author="AbbVie02no" w:date="2025-05-15T14:19:00Z"/>
                <w:b/>
                <w:bCs/>
                <w:sz w:val="22"/>
                <w:szCs w:val="22"/>
                <w:lang w:val="de-DE"/>
              </w:rPr>
            </w:pPr>
            <w:del w:id="14884" w:author="AbbVie02no" w:date="2025-05-15T14:19:00Z">
              <w:r w:rsidRPr="00BD646C">
                <w:rPr>
                  <w:b/>
                  <w:bCs/>
                  <w:sz w:val="22"/>
                  <w:szCs w:val="22"/>
                  <w:lang w:val="de-DE"/>
                </w:rPr>
                <w:delText>Deutschland</w:delText>
              </w:r>
            </w:del>
          </w:p>
          <w:p w14:paraId="15DC8930" w14:textId="2CA7246D" w:rsidR="00BD646C" w:rsidRPr="00BD646C" w:rsidRDefault="00E453CD" w:rsidP="00A6493F">
            <w:pPr>
              <w:rPr>
                <w:del w:id="14885" w:author="AbbVie02no" w:date="2025-05-15T14:19:00Z"/>
                <w:bCs/>
                <w:sz w:val="22"/>
                <w:szCs w:val="22"/>
                <w:lang w:val="de-DE"/>
              </w:rPr>
            </w:pPr>
            <w:del w:id="14886" w:author="AbbVie02no" w:date="2025-05-15T14:19:00Z">
              <w:r w:rsidRPr="00BD646C">
                <w:rPr>
                  <w:sz w:val="22"/>
                  <w:szCs w:val="22"/>
                  <w:lang w:val="de-DE"/>
                </w:rPr>
                <w:delText xml:space="preserve">AbbVie Deutschland </w:delText>
              </w:r>
              <w:r w:rsidRPr="00BD646C">
                <w:rPr>
                  <w:bCs/>
                  <w:sz w:val="22"/>
                  <w:szCs w:val="22"/>
                  <w:lang w:val="de-DE"/>
                </w:rPr>
                <w:delText>GmbH &amp; Co. KG</w:delText>
              </w:r>
            </w:del>
          </w:p>
          <w:p w14:paraId="4887BF6B" w14:textId="177BB427" w:rsidR="00BD646C" w:rsidRPr="00BD646C" w:rsidRDefault="00E453CD" w:rsidP="00A6493F">
            <w:pPr>
              <w:rPr>
                <w:del w:id="14887" w:author="AbbVie02no" w:date="2025-05-15T14:19:00Z"/>
                <w:sz w:val="22"/>
                <w:szCs w:val="22"/>
                <w:lang w:val="de-DE"/>
              </w:rPr>
            </w:pPr>
            <w:del w:id="14888" w:author="AbbVie02no" w:date="2025-05-15T14:19:00Z">
              <w:r w:rsidRPr="00BD646C">
                <w:rPr>
                  <w:sz w:val="22"/>
                  <w:szCs w:val="22"/>
                  <w:lang w:val="de-DE"/>
                </w:rPr>
                <w:delText>Tel: 00800 222843 33 (gebührenfrei)</w:delText>
              </w:r>
            </w:del>
          </w:p>
          <w:p w14:paraId="1AC74291" w14:textId="40DEC63E" w:rsidR="00BD646C" w:rsidRPr="00BD646C" w:rsidRDefault="00E453CD" w:rsidP="00A6493F">
            <w:pPr>
              <w:rPr>
                <w:del w:id="14889" w:author="AbbVie02no" w:date="2025-05-15T14:19:00Z"/>
                <w:sz w:val="22"/>
                <w:szCs w:val="22"/>
                <w:lang w:val="de-DE"/>
              </w:rPr>
            </w:pPr>
            <w:del w:id="14890" w:author="AbbVie02no" w:date="2025-05-15T14:19:00Z">
              <w:r w:rsidRPr="00BD646C">
                <w:rPr>
                  <w:sz w:val="22"/>
                  <w:szCs w:val="22"/>
                  <w:lang w:val="de-DE"/>
                </w:rPr>
                <w:delText>Tel: +49 (0) 611 / 1720-0</w:delText>
              </w:r>
            </w:del>
          </w:p>
          <w:p w14:paraId="69516E38" w14:textId="3D681EF3" w:rsidR="00BD646C" w:rsidRPr="00BD646C" w:rsidRDefault="00BD646C" w:rsidP="00A6493F">
            <w:pPr>
              <w:rPr>
                <w:del w:id="14891" w:author="AbbVie02no" w:date="2025-05-15T14:19:00Z"/>
                <w:sz w:val="22"/>
                <w:szCs w:val="22"/>
                <w:lang w:val="de-DE"/>
              </w:rPr>
            </w:pPr>
          </w:p>
        </w:tc>
        <w:tc>
          <w:tcPr>
            <w:tcW w:w="4678" w:type="dxa"/>
            <w:gridSpan w:val="2"/>
          </w:tcPr>
          <w:p w14:paraId="73FE475D" w14:textId="44B21E86" w:rsidR="00BD646C" w:rsidRPr="00BD646C" w:rsidRDefault="00E453CD" w:rsidP="00A6493F">
            <w:pPr>
              <w:rPr>
                <w:del w:id="14892" w:author="AbbVie02no" w:date="2025-05-15T14:19:00Z"/>
                <w:b/>
                <w:bCs/>
                <w:sz w:val="22"/>
                <w:szCs w:val="22"/>
                <w:lang w:val="nl-NL"/>
              </w:rPr>
            </w:pPr>
            <w:del w:id="14893" w:author="AbbVie02no" w:date="2025-05-15T14:19:00Z">
              <w:r w:rsidRPr="00BD646C">
                <w:rPr>
                  <w:b/>
                  <w:bCs/>
                  <w:sz w:val="22"/>
                  <w:szCs w:val="22"/>
                  <w:lang w:val="nl-NL"/>
                </w:rPr>
                <w:lastRenderedPageBreak/>
                <w:delText>Nederland</w:delText>
              </w:r>
            </w:del>
          </w:p>
          <w:p w14:paraId="7D049FA3" w14:textId="2D5C0D9E" w:rsidR="00BD646C" w:rsidRPr="00BD646C" w:rsidRDefault="00E453CD" w:rsidP="00A6493F">
            <w:pPr>
              <w:rPr>
                <w:del w:id="14894" w:author="AbbVie02no" w:date="2025-05-15T14:19:00Z"/>
                <w:bCs/>
                <w:sz w:val="22"/>
                <w:szCs w:val="22"/>
                <w:lang w:val="de-DE"/>
              </w:rPr>
            </w:pPr>
            <w:del w:id="14895" w:author="AbbVie02no" w:date="2025-05-15T14:19:00Z">
              <w:r w:rsidRPr="00BD646C">
                <w:rPr>
                  <w:bCs/>
                  <w:sz w:val="22"/>
                  <w:szCs w:val="22"/>
                  <w:lang w:val="de-DE"/>
                </w:rPr>
                <w:delText>AbbVie B.V.</w:delText>
              </w:r>
            </w:del>
          </w:p>
          <w:p w14:paraId="356D1CF0" w14:textId="25D78BAA" w:rsidR="00BD646C" w:rsidRPr="00BD646C" w:rsidRDefault="00E453CD" w:rsidP="00A6493F">
            <w:pPr>
              <w:rPr>
                <w:del w:id="14896" w:author="AbbVie02no" w:date="2025-05-15T14:19:00Z"/>
                <w:bCs/>
                <w:sz w:val="22"/>
                <w:szCs w:val="22"/>
                <w:lang w:val="de-DE"/>
              </w:rPr>
            </w:pPr>
            <w:del w:id="14897" w:author="AbbVie02no" w:date="2025-05-15T14:19:00Z">
              <w:r w:rsidRPr="00BD646C">
                <w:rPr>
                  <w:bCs/>
                  <w:sz w:val="22"/>
                  <w:szCs w:val="22"/>
                  <w:lang w:val="de-DE"/>
                </w:rPr>
                <w:delText>Tel: +31 (0)88 322 2843</w:delText>
              </w:r>
            </w:del>
          </w:p>
        </w:tc>
      </w:tr>
      <w:tr w:rsidR="004644D4" w14:paraId="7E28BB1C" w14:textId="74A06DDA" w:rsidTr="001F79B0">
        <w:trPr>
          <w:del w:id="14898" w:author="AbbVie02no" w:date="2025-05-15T14:19:00Z"/>
        </w:trPr>
        <w:tc>
          <w:tcPr>
            <w:tcW w:w="4644" w:type="dxa"/>
            <w:gridSpan w:val="2"/>
          </w:tcPr>
          <w:p w14:paraId="1CA2E430" w14:textId="3B0FDAE3" w:rsidR="00BD646C" w:rsidRPr="00BD646C" w:rsidRDefault="00E453CD" w:rsidP="00A6493F">
            <w:pPr>
              <w:rPr>
                <w:del w:id="14899" w:author="AbbVie02no" w:date="2025-05-15T14:19:00Z"/>
                <w:b/>
                <w:bCs/>
                <w:sz w:val="22"/>
                <w:szCs w:val="22"/>
                <w:lang w:val="et-EE"/>
              </w:rPr>
            </w:pPr>
            <w:del w:id="14900" w:author="AbbVie02no" w:date="2025-05-15T14:19:00Z">
              <w:r w:rsidRPr="00BD646C">
                <w:rPr>
                  <w:b/>
                  <w:bCs/>
                  <w:sz w:val="22"/>
                  <w:szCs w:val="22"/>
                  <w:lang w:val="et-EE"/>
                </w:rPr>
                <w:delText>Eesti</w:delText>
              </w:r>
            </w:del>
          </w:p>
          <w:p w14:paraId="3018BADD" w14:textId="1B128BB0" w:rsidR="00BD646C" w:rsidRPr="00BD646C" w:rsidRDefault="00E453CD" w:rsidP="00A6493F">
            <w:pPr>
              <w:rPr>
                <w:del w:id="14901" w:author="AbbVie02no" w:date="2025-05-15T14:19:00Z"/>
                <w:bCs/>
                <w:sz w:val="22"/>
                <w:szCs w:val="22"/>
                <w:lang w:val="et-EE"/>
              </w:rPr>
            </w:pPr>
            <w:del w:id="14902" w:author="AbbVie02no" w:date="2025-05-15T14:19: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3FC57751" w14:textId="6F56DB42" w:rsidR="00BD646C" w:rsidRPr="00BD646C" w:rsidRDefault="00E453CD" w:rsidP="00A6493F">
            <w:pPr>
              <w:rPr>
                <w:del w:id="14903" w:author="AbbVie02no" w:date="2025-05-15T14:19:00Z"/>
                <w:bCs/>
                <w:sz w:val="22"/>
                <w:szCs w:val="22"/>
                <w:lang w:val="lv-LV"/>
              </w:rPr>
            </w:pPr>
            <w:del w:id="14904" w:author="AbbVie02no" w:date="2025-05-15T14:19:00Z">
              <w:r w:rsidRPr="00BD646C">
                <w:rPr>
                  <w:bCs/>
                  <w:sz w:val="22"/>
                  <w:szCs w:val="22"/>
                  <w:lang w:val="et-EE"/>
                </w:rPr>
                <w:delText>Tel: +372 623 1011</w:delText>
              </w:r>
            </w:del>
          </w:p>
        </w:tc>
        <w:tc>
          <w:tcPr>
            <w:tcW w:w="4678" w:type="dxa"/>
            <w:gridSpan w:val="2"/>
          </w:tcPr>
          <w:p w14:paraId="157F3FC3" w14:textId="48067E7E" w:rsidR="00BD646C" w:rsidRPr="00BD646C" w:rsidRDefault="00E453CD" w:rsidP="00A6493F">
            <w:pPr>
              <w:rPr>
                <w:del w:id="14905" w:author="AbbVie02no" w:date="2025-05-15T14:19:00Z"/>
                <w:b/>
                <w:bCs/>
                <w:sz w:val="22"/>
                <w:szCs w:val="22"/>
              </w:rPr>
            </w:pPr>
            <w:del w:id="14906" w:author="AbbVie02no" w:date="2025-05-15T14:19:00Z">
              <w:r w:rsidRPr="00BD646C">
                <w:rPr>
                  <w:b/>
                  <w:bCs/>
                  <w:sz w:val="22"/>
                  <w:szCs w:val="22"/>
                </w:rPr>
                <w:delText>Norge</w:delText>
              </w:r>
            </w:del>
          </w:p>
          <w:p w14:paraId="4DBDCD71" w14:textId="05BA33A4" w:rsidR="00BD646C" w:rsidRPr="00BD646C" w:rsidRDefault="00E453CD" w:rsidP="00A6493F">
            <w:pPr>
              <w:rPr>
                <w:del w:id="14907" w:author="AbbVie02no" w:date="2025-05-15T14:19:00Z"/>
                <w:bCs/>
                <w:sz w:val="22"/>
                <w:szCs w:val="22"/>
                <w:lang w:val="sk-SK"/>
              </w:rPr>
            </w:pPr>
            <w:del w:id="14908" w:author="AbbVie02no" w:date="2025-05-15T14:19:00Z">
              <w:r w:rsidRPr="00BD646C">
                <w:rPr>
                  <w:bCs/>
                  <w:sz w:val="22"/>
                  <w:szCs w:val="22"/>
                  <w:lang w:val="sk-SK"/>
                </w:rPr>
                <w:delText>AbbVie AS</w:delText>
              </w:r>
            </w:del>
          </w:p>
          <w:p w14:paraId="057F4B56" w14:textId="05896EEA" w:rsidR="00BD646C" w:rsidRPr="00BD646C" w:rsidRDefault="00E453CD" w:rsidP="00A6493F">
            <w:pPr>
              <w:rPr>
                <w:del w:id="14909" w:author="AbbVie02no" w:date="2025-05-15T14:19:00Z"/>
                <w:bCs/>
                <w:sz w:val="22"/>
                <w:szCs w:val="22"/>
                <w:lang w:val="sk-SK"/>
              </w:rPr>
            </w:pPr>
            <w:del w:id="14910" w:author="AbbVie02no" w:date="2025-05-15T14:19:00Z">
              <w:r w:rsidRPr="00BD646C">
                <w:rPr>
                  <w:bCs/>
                  <w:sz w:val="22"/>
                  <w:szCs w:val="22"/>
                  <w:lang w:val="sk-SK"/>
                </w:rPr>
                <w:delText>Tlf: +47 67 81 80 00</w:delText>
              </w:r>
            </w:del>
          </w:p>
          <w:p w14:paraId="7F79C934" w14:textId="0470C0C8" w:rsidR="00BD646C" w:rsidRPr="00BD646C" w:rsidRDefault="00BD646C" w:rsidP="00A6493F">
            <w:pPr>
              <w:rPr>
                <w:del w:id="14911" w:author="AbbVie02no" w:date="2025-05-15T14:19:00Z"/>
                <w:bCs/>
                <w:sz w:val="22"/>
                <w:szCs w:val="22"/>
                <w:lang w:val="sk-SK"/>
              </w:rPr>
            </w:pPr>
          </w:p>
        </w:tc>
      </w:tr>
      <w:tr w:rsidR="004644D4" w14:paraId="5E913C1C" w14:textId="307A5BAC" w:rsidTr="001F79B0">
        <w:trPr>
          <w:trHeight w:val="794"/>
          <w:del w:id="14912" w:author="AbbVie02no" w:date="2025-05-15T14:19:00Z"/>
        </w:trPr>
        <w:tc>
          <w:tcPr>
            <w:tcW w:w="4644" w:type="dxa"/>
            <w:gridSpan w:val="2"/>
          </w:tcPr>
          <w:p w14:paraId="7B9F1EAC" w14:textId="17501122" w:rsidR="00BD646C" w:rsidRPr="00BD646C" w:rsidRDefault="00E453CD" w:rsidP="00A6493F">
            <w:pPr>
              <w:rPr>
                <w:del w:id="14913" w:author="AbbVie02no" w:date="2025-05-15T14:19:00Z"/>
                <w:b/>
                <w:bCs/>
                <w:sz w:val="22"/>
                <w:szCs w:val="22"/>
                <w:lang w:val="el-GR"/>
              </w:rPr>
            </w:pPr>
            <w:del w:id="14914" w:author="AbbVie02no" w:date="2025-05-15T14:19:00Z">
              <w:r w:rsidRPr="00BD646C">
                <w:rPr>
                  <w:b/>
                  <w:bCs/>
                  <w:sz w:val="22"/>
                  <w:szCs w:val="22"/>
                  <w:lang w:val="el-GR"/>
                </w:rPr>
                <w:delText>Ελλάδα</w:delText>
              </w:r>
            </w:del>
          </w:p>
          <w:p w14:paraId="2268B648" w14:textId="4AE15B9B" w:rsidR="00BD646C" w:rsidRPr="00BD646C" w:rsidRDefault="00E453CD" w:rsidP="00A6493F">
            <w:pPr>
              <w:rPr>
                <w:del w:id="14915" w:author="AbbVie02no" w:date="2025-05-15T14:19:00Z"/>
                <w:bCs/>
                <w:sz w:val="22"/>
                <w:szCs w:val="22"/>
                <w:lang w:val="el-GR"/>
              </w:rPr>
            </w:pPr>
            <w:del w:id="14916" w:author="AbbVie02no" w:date="2025-05-15T14:19:00Z">
              <w:r w:rsidRPr="00BD646C">
                <w:rPr>
                  <w:bCs/>
                  <w:sz w:val="22"/>
                  <w:szCs w:val="22"/>
                  <w:lang w:val="et-EE"/>
                </w:rPr>
                <w:delText xml:space="preserve">AbbVie </w:delText>
              </w:r>
              <w:r w:rsidRPr="00BD646C">
                <w:rPr>
                  <w:sz w:val="22"/>
                  <w:szCs w:val="22"/>
                  <w:lang w:val="el-GR"/>
                </w:rPr>
                <w:delText>ΦΑΡΜΑΚΕΥΤΙΚΗ Α.Ε.</w:delText>
              </w:r>
            </w:del>
          </w:p>
          <w:p w14:paraId="26259D22" w14:textId="06B72B85" w:rsidR="00BD646C" w:rsidRPr="00BD646C" w:rsidRDefault="00E453CD" w:rsidP="00A6493F">
            <w:pPr>
              <w:rPr>
                <w:del w:id="14917" w:author="AbbVie02no" w:date="2025-05-15T14:19:00Z"/>
                <w:bCs/>
                <w:sz w:val="22"/>
                <w:szCs w:val="22"/>
                <w:lang w:val="sk-SK"/>
              </w:rPr>
            </w:pPr>
            <w:del w:id="14918" w:author="AbbVie02no" w:date="2025-05-15T14:19:00Z">
              <w:r w:rsidRPr="00BD646C">
                <w:rPr>
                  <w:bCs/>
                  <w:sz w:val="22"/>
                  <w:szCs w:val="22"/>
                  <w:lang w:val="el-GR"/>
                </w:rPr>
                <w:delText xml:space="preserve">Τηλ: +30 </w:delText>
              </w:r>
              <w:r w:rsidRPr="00BD646C">
                <w:rPr>
                  <w:bCs/>
                  <w:sz w:val="22"/>
                  <w:szCs w:val="22"/>
                  <w:lang w:val="sk-SK"/>
                </w:rPr>
                <w:delText>214 4165 555</w:delText>
              </w:r>
            </w:del>
          </w:p>
        </w:tc>
        <w:tc>
          <w:tcPr>
            <w:tcW w:w="4678" w:type="dxa"/>
            <w:gridSpan w:val="2"/>
          </w:tcPr>
          <w:p w14:paraId="0C09E4F1" w14:textId="61A412A0" w:rsidR="00BD646C" w:rsidRPr="00BD646C" w:rsidRDefault="00E453CD" w:rsidP="00A6493F">
            <w:pPr>
              <w:rPr>
                <w:del w:id="14919" w:author="AbbVie02no" w:date="2025-05-15T14:19:00Z"/>
                <w:b/>
                <w:bCs/>
                <w:sz w:val="22"/>
                <w:szCs w:val="22"/>
                <w:lang w:val="de-DE"/>
              </w:rPr>
            </w:pPr>
            <w:del w:id="14920" w:author="AbbVie02no" w:date="2025-05-15T14:19:00Z">
              <w:r w:rsidRPr="00BD646C">
                <w:rPr>
                  <w:b/>
                  <w:bCs/>
                  <w:sz w:val="22"/>
                  <w:szCs w:val="22"/>
                  <w:lang w:val="de-DE"/>
                </w:rPr>
                <w:delText>Österreich</w:delText>
              </w:r>
            </w:del>
          </w:p>
          <w:p w14:paraId="72A09EE1" w14:textId="2B7BB650" w:rsidR="00BD646C" w:rsidRPr="00BD646C" w:rsidRDefault="00E453CD" w:rsidP="00A6493F">
            <w:pPr>
              <w:rPr>
                <w:del w:id="14921" w:author="AbbVie02no" w:date="2025-05-15T14:19:00Z"/>
                <w:bCs/>
                <w:sz w:val="22"/>
                <w:szCs w:val="22"/>
                <w:lang w:val="de-DE"/>
              </w:rPr>
            </w:pPr>
            <w:del w:id="14922" w:author="AbbVie02no" w:date="2025-05-15T14:19:00Z">
              <w:r w:rsidRPr="00BD646C">
                <w:rPr>
                  <w:bCs/>
                  <w:sz w:val="22"/>
                  <w:szCs w:val="22"/>
                  <w:lang w:val="de-DE"/>
                </w:rPr>
                <w:delText xml:space="preserve">AbbVie GmbH </w:delText>
              </w:r>
            </w:del>
          </w:p>
          <w:p w14:paraId="16FC19D3" w14:textId="64AD2848" w:rsidR="00BD646C" w:rsidRPr="00BD646C" w:rsidRDefault="00E453CD" w:rsidP="00A6493F">
            <w:pPr>
              <w:rPr>
                <w:del w:id="14923" w:author="AbbVie02no" w:date="2025-05-15T14:19:00Z"/>
                <w:bCs/>
                <w:sz w:val="22"/>
                <w:szCs w:val="22"/>
                <w:lang w:val="de-DE"/>
              </w:rPr>
            </w:pPr>
            <w:del w:id="14924" w:author="AbbVie02no" w:date="2025-05-15T14:19:00Z">
              <w:r w:rsidRPr="00BD646C">
                <w:rPr>
                  <w:bCs/>
                  <w:sz w:val="22"/>
                  <w:szCs w:val="22"/>
                  <w:lang w:val="de-DE"/>
                </w:rPr>
                <w:delText>Tel: +43 1 20589-0</w:delText>
              </w:r>
            </w:del>
          </w:p>
          <w:p w14:paraId="60775F55" w14:textId="61EF32BD" w:rsidR="00BD646C" w:rsidRPr="00BD646C" w:rsidRDefault="00BD646C" w:rsidP="00A6493F">
            <w:pPr>
              <w:rPr>
                <w:del w:id="14925" w:author="AbbVie02no" w:date="2025-05-15T14:19:00Z"/>
                <w:bCs/>
                <w:sz w:val="22"/>
                <w:szCs w:val="22"/>
                <w:lang w:val="de-DE"/>
              </w:rPr>
            </w:pPr>
          </w:p>
        </w:tc>
      </w:tr>
      <w:tr w:rsidR="004644D4" w14:paraId="2AD0802F" w14:textId="24086B7C" w:rsidTr="001F79B0">
        <w:trPr>
          <w:gridBefore w:val="1"/>
          <w:wBefore w:w="34" w:type="dxa"/>
          <w:del w:id="14926" w:author="AbbVie02no" w:date="2025-05-15T14:19:00Z"/>
        </w:trPr>
        <w:tc>
          <w:tcPr>
            <w:tcW w:w="4644" w:type="dxa"/>
            <w:gridSpan w:val="2"/>
          </w:tcPr>
          <w:p w14:paraId="04BBDE29" w14:textId="7A3981D4" w:rsidR="00BD646C" w:rsidRPr="00BD646C" w:rsidRDefault="00E453CD" w:rsidP="00A6493F">
            <w:pPr>
              <w:rPr>
                <w:del w:id="14927" w:author="AbbVie02no" w:date="2025-05-15T14:19:00Z"/>
                <w:b/>
                <w:bCs/>
                <w:sz w:val="22"/>
                <w:szCs w:val="22"/>
                <w:lang w:val="es-ES"/>
              </w:rPr>
            </w:pPr>
            <w:del w:id="14928" w:author="AbbVie02no" w:date="2025-05-15T14:19:00Z">
              <w:r w:rsidRPr="00BD646C">
                <w:rPr>
                  <w:b/>
                  <w:bCs/>
                  <w:sz w:val="22"/>
                  <w:szCs w:val="22"/>
                  <w:lang w:val="es-ES"/>
                </w:rPr>
                <w:delText>España</w:delText>
              </w:r>
            </w:del>
          </w:p>
          <w:p w14:paraId="36467228" w14:textId="1330B1CE" w:rsidR="00BD646C" w:rsidRPr="00BD646C" w:rsidRDefault="00E453CD" w:rsidP="00A6493F">
            <w:pPr>
              <w:rPr>
                <w:del w:id="14929" w:author="AbbVie02no" w:date="2025-05-15T14:19:00Z"/>
                <w:sz w:val="22"/>
                <w:szCs w:val="22"/>
                <w:lang w:val="es-ES"/>
              </w:rPr>
            </w:pPr>
            <w:del w:id="14930" w:author="AbbVie02no" w:date="2025-05-15T14:19:00Z">
              <w:r w:rsidRPr="00BD646C">
                <w:rPr>
                  <w:sz w:val="22"/>
                  <w:szCs w:val="22"/>
                  <w:lang w:val="es-ES"/>
                </w:rPr>
                <w:delText xml:space="preserve">AbbVie </w:delText>
              </w:r>
              <w:r w:rsidRPr="00BD646C">
                <w:rPr>
                  <w:bCs/>
                  <w:sz w:val="22"/>
                  <w:szCs w:val="22"/>
                  <w:lang w:val="es-ES"/>
                </w:rPr>
                <w:delText>Spain</w:delText>
              </w:r>
              <w:r w:rsidRPr="00BD646C">
                <w:rPr>
                  <w:sz w:val="22"/>
                  <w:szCs w:val="22"/>
                  <w:lang w:val="es-ES"/>
                </w:rPr>
                <w:delText>, S.L.U</w:delText>
              </w:r>
              <w:r w:rsidRPr="00BD646C">
                <w:rPr>
                  <w:bCs/>
                  <w:sz w:val="22"/>
                  <w:szCs w:val="22"/>
                  <w:lang w:val="es-ES"/>
                </w:rPr>
                <w:delText>.</w:delText>
              </w:r>
            </w:del>
          </w:p>
          <w:p w14:paraId="47964943" w14:textId="075AF0E4" w:rsidR="00BD646C" w:rsidRPr="00BD646C" w:rsidRDefault="00E453CD" w:rsidP="00A6493F">
            <w:pPr>
              <w:rPr>
                <w:del w:id="14931" w:author="AbbVie02no" w:date="2025-05-15T14:19:00Z"/>
                <w:bCs/>
                <w:sz w:val="22"/>
                <w:szCs w:val="22"/>
                <w:lang w:val="pl-PL"/>
              </w:rPr>
            </w:pPr>
            <w:del w:id="14932" w:author="AbbVie02no" w:date="2025-05-15T14:19:00Z">
              <w:r w:rsidRPr="00BD646C">
                <w:rPr>
                  <w:bCs/>
                  <w:sz w:val="22"/>
                  <w:szCs w:val="22"/>
                  <w:lang w:val="pt-PT"/>
                </w:rPr>
                <w:delText>Tel: +34 91 384 09 10</w:delText>
              </w:r>
            </w:del>
          </w:p>
        </w:tc>
        <w:tc>
          <w:tcPr>
            <w:tcW w:w="4678" w:type="dxa"/>
          </w:tcPr>
          <w:p w14:paraId="6B857C49" w14:textId="67F4ABAA" w:rsidR="00BD646C" w:rsidRPr="00BD646C" w:rsidRDefault="00E453CD" w:rsidP="00A6493F">
            <w:pPr>
              <w:rPr>
                <w:del w:id="14933" w:author="AbbVie02no" w:date="2025-05-15T14:19:00Z"/>
                <w:b/>
                <w:bCs/>
                <w:iCs/>
                <w:sz w:val="22"/>
                <w:szCs w:val="22"/>
                <w:lang w:val="pl-PL"/>
              </w:rPr>
            </w:pPr>
            <w:del w:id="14934" w:author="AbbVie02no" w:date="2025-05-15T14:19:00Z">
              <w:r w:rsidRPr="00BD646C">
                <w:rPr>
                  <w:b/>
                  <w:bCs/>
                  <w:iCs/>
                  <w:sz w:val="22"/>
                  <w:szCs w:val="22"/>
                  <w:lang w:val="pl-PL"/>
                </w:rPr>
                <w:delText>Polska</w:delText>
              </w:r>
            </w:del>
          </w:p>
          <w:p w14:paraId="7AFDDA67" w14:textId="008CD44F" w:rsidR="00BD646C" w:rsidRPr="00BD646C" w:rsidRDefault="00E453CD" w:rsidP="00A6493F">
            <w:pPr>
              <w:rPr>
                <w:del w:id="14935" w:author="AbbVie02no" w:date="2025-05-15T14:19:00Z"/>
                <w:bCs/>
                <w:sz w:val="22"/>
                <w:szCs w:val="22"/>
                <w:lang w:val="pl-PL"/>
              </w:rPr>
            </w:pPr>
            <w:del w:id="14936" w:author="AbbVie02no" w:date="2025-05-15T14:19:00Z">
              <w:r w:rsidRPr="00BD646C">
                <w:rPr>
                  <w:bCs/>
                  <w:sz w:val="22"/>
                  <w:szCs w:val="22"/>
                  <w:lang w:val="pl-PL"/>
                </w:rPr>
                <w:delText>AbbVie Sp. z o.o.</w:delText>
              </w:r>
            </w:del>
          </w:p>
          <w:p w14:paraId="77B0922F" w14:textId="24BFC1DA" w:rsidR="00BD646C" w:rsidRPr="00BD646C" w:rsidRDefault="00E453CD" w:rsidP="00A6493F">
            <w:pPr>
              <w:rPr>
                <w:del w:id="14937" w:author="AbbVie02no" w:date="2025-05-15T14:19:00Z"/>
                <w:bCs/>
                <w:sz w:val="22"/>
                <w:szCs w:val="22"/>
                <w:lang w:val="pl-PL"/>
              </w:rPr>
            </w:pPr>
            <w:del w:id="14938" w:author="AbbVie02no" w:date="2025-05-15T14:19:00Z">
              <w:r w:rsidRPr="00BD646C">
                <w:rPr>
                  <w:sz w:val="22"/>
                  <w:szCs w:val="22"/>
                  <w:lang w:val="es-ES"/>
                </w:rPr>
                <w:delText xml:space="preserve">Tel.: +48 22 </w:delText>
              </w:r>
              <w:r w:rsidRPr="00BD646C">
                <w:rPr>
                  <w:bCs/>
                  <w:sz w:val="22"/>
                  <w:szCs w:val="22"/>
                  <w:lang w:val="pl-PL"/>
                </w:rPr>
                <w:delText xml:space="preserve">372 78 00 </w:delText>
              </w:r>
            </w:del>
          </w:p>
          <w:p w14:paraId="4BE4FD26" w14:textId="6B7C8BB4" w:rsidR="00BD646C" w:rsidRPr="00BD646C" w:rsidRDefault="00BD646C" w:rsidP="00A6493F">
            <w:pPr>
              <w:rPr>
                <w:del w:id="14939" w:author="AbbVie02no" w:date="2025-05-15T14:19:00Z"/>
                <w:bCs/>
                <w:sz w:val="22"/>
                <w:szCs w:val="22"/>
                <w:lang w:val="pl-PL"/>
              </w:rPr>
            </w:pPr>
          </w:p>
        </w:tc>
      </w:tr>
      <w:tr w:rsidR="004644D4" w14:paraId="7B1043CB" w14:textId="394C8D46" w:rsidTr="001F79B0">
        <w:trPr>
          <w:trHeight w:val="734"/>
          <w:del w:id="14940" w:author="AbbVie02no" w:date="2025-05-15T14:19:00Z"/>
        </w:trPr>
        <w:tc>
          <w:tcPr>
            <w:tcW w:w="4678" w:type="dxa"/>
            <w:gridSpan w:val="3"/>
          </w:tcPr>
          <w:p w14:paraId="1BD25BB3" w14:textId="70C91159" w:rsidR="00BD646C" w:rsidRPr="00BD646C" w:rsidRDefault="00E453CD" w:rsidP="00A6493F">
            <w:pPr>
              <w:rPr>
                <w:del w:id="14941" w:author="AbbVie02no" w:date="2025-05-15T14:19:00Z"/>
                <w:b/>
                <w:bCs/>
                <w:sz w:val="22"/>
                <w:szCs w:val="22"/>
                <w:lang w:val="fr-FR"/>
              </w:rPr>
            </w:pPr>
            <w:del w:id="14942" w:author="AbbVie02no" w:date="2025-05-15T14:19:00Z">
              <w:r w:rsidRPr="00BD646C">
                <w:rPr>
                  <w:b/>
                  <w:bCs/>
                  <w:sz w:val="22"/>
                  <w:szCs w:val="22"/>
                  <w:lang w:val="fr-FR"/>
                </w:rPr>
                <w:delText>France</w:delText>
              </w:r>
            </w:del>
          </w:p>
          <w:p w14:paraId="7014A696" w14:textId="0AD6710A" w:rsidR="00BD646C" w:rsidRPr="00BD646C" w:rsidRDefault="00E453CD" w:rsidP="00A6493F">
            <w:pPr>
              <w:rPr>
                <w:del w:id="14943" w:author="AbbVie02no" w:date="2025-05-15T14:19:00Z"/>
                <w:bCs/>
                <w:sz w:val="22"/>
                <w:szCs w:val="22"/>
                <w:lang w:val="fr-FR"/>
              </w:rPr>
            </w:pPr>
            <w:del w:id="14944" w:author="AbbVie02no" w:date="2025-05-15T14:19:00Z">
              <w:r w:rsidRPr="00BD646C">
                <w:rPr>
                  <w:bCs/>
                  <w:sz w:val="22"/>
                  <w:szCs w:val="22"/>
                  <w:lang w:val="fr-FR"/>
                </w:rPr>
                <w:delText>AbbVie</w:delText>
              </w:r>
            </w:del>
          </w:p>
          <w:p w14:paraId="6347AA0C" w14:textId="3EF62D2A" w:rsidR="00BD646C" w:rsidRPr="00BD646C" w:rsidRDefault="00E453CD" w:rsidP="00A6493F">
            <w:pPr>
              <w:rPr>
                <w:del w:id="14945" w:author="AbbVie02no" w:date="2025-05-15T14:19:00Z"/>
                <w:bCs/>
                <w:sz w:val="22"/>
                <w:szCs w:val="22"/>
                <w:lang w:val="fr-FR"/>
              </w:rPr>
            </w:pPr>
            <w:del w:id="14946" w:author="AbbVie02no" w:date="2025-05-15T14:19:00Z">
              <w:r w:rsidRPr="00BD646C">
                <w:rPr>
                  <w:bCs/>
                  <w:sz w:val="22"/>
                  <w:szCs w:val="22"/>
                  <w:lang w:val="fr-FR"/>
                </w:rPr>
                <w:delText>Tél: +33 (0) 1 45 60 13 00</w:delText>
              </w:r>
            </w:del>
          </w:p>
        </w:tc>
        <w:tc>
          <w:tcPr>
            <w:tcW w:w="4678" w:type="dxa"/>
          </w:tcPr>
          <w:p w14:paraId="4F537B61" w14:textId="08534A49" w:rsidR="00BD646C" w:rsidRPr="00BD646C" w:rsidRDefault="00E453CD" w:rsidP="00A6493F">
            <w:pPr>
              <w:rPr>
                <w:del w:id="14947" w:author="AbbVie02no" w:date="2025-05-15T14:19:00Z"/>
                <w:b/>
                <w:bCs/>
                <w:sz w:val="22"/>
                <w:szCs w:val="22"/>
                <w:lang w:val="pt-PT"/>
              </w:rPr>
            </w:pPr>
            <w:del w:id="14948" w:author="AbbVie02no" w:date="2025-05-15T14:19:00Z">
              <w:r w:rsidRPr="00BD646C">
                <w:rPr>
                  <w:b/>
                  <w:bCs/>
                  <w:sz w:val="22"/>
                  <w:szCs w:val="22"/>
                  <w:lang w:val="pt-PT"/>
                </w:rPr>
                <w:delText>Portugal</w:delText>
              </w:r>
            </w:del>
          </w:p>
          <w:p w14:paraId="50B11D17" w14:textId="3335EB79" w:rsidR="00BD646C" w:rsidRPr="00BD646C" w:rsidRDefault="00E453CD" w:rsidP="00A6493F">
            <w:pPr>
              <w:rPr>
                <w:del w:id="14949" w:author="AbbVie02no" w:date="2025-05-15T14:19:00Z"/>
                <w:bCs/>
                <w:sz w:val="22"/>
                <w:szCs w:val="22"/>
                <w:lang w:val="fr-FR"/>
              </w:rPr>
            </w:pPr>
            <w:del w:id="14950" w:author="AbbVie02no" w:date="2025-05-15T14:19:00Z">
              <w:r w:rsidRPr="00BD646C">
                <w:rPr>
                  <w:bCs/>
                  <w:sz w:val="22"/>
                  <w:szCs w:val="22"/>
                  <w:lang w:val="fr-FR"/>
                </w:rPr>
                <w:delText xml:space="preserve">AbbVie, Lda. </w:delText>
              </w:r>
            </w:del>
          </w:p>
          <w:p w14:paraId="35B5E7ED" w14:textId="649D7725" w:rsidR="00BD646C" w:rsidRPr="00BD646C" w:rsidRDefault="00E453CD" w:rsidP="00A6493F">
            <w:pPr>
              <w:rPr>
                <w:del w:id="14951" w:author="AbbVie02no" w:date="2025-05-15T14:19:00Z"/>
                <w:sz w:val="22"/>
                <w:szCs w:val="22"/>
                <w:lang w:val="fr-FR"/>
              </w:rPr>
            </w:pPr>
            <w:del w:id="14952" w:author="AbbVie02no" w:date="2025-05-15T14:19:00Z">
              <w:r w:rsidRPr="00BD646C">
                <w:rPr>
                  <w:sz w:val="22"/>
                  <w:szCs w:val="22"/>
                  <w:lang w:val="fr-FR"/>
                </w:rPr>
                <w:delText>Tel: +351 (0)21 1908400</w:delText>
              </w:r>
            </w:del>
          </w:p>
          <w:p w14:paraId="1E8F5082" w14:textId="07F0BB42" w:rsidR="00BD646C" w:rsidRPr="00BD646C" w:rsidRDefault="00BD646C" w:rsidP="00A6493F">
            <w:pPr>
              <w:rPr>
                <w:del w:id="14953" w:author="AbbVie02no" w:date="2025-05-15T14:19:00Z"/>
                <w:sz w:val="22"/>
                <w:szCs w:val="22"/>
                <w:lang w:val="fr-FR"/>
              </w:rPr>
            </w:pPr>
          </w:p>
        </w:tc>
      </w:tr>
      <w:tr w:rsidR="004644D4" w14:paraId="12E0EE65" w14:textId="18755107" w:rsidTr="001F79B0">
        <w:trPr>
          <w:gridBefore w:val="1"/>
          <w:wBefore w:w="34" w:type="dxa"/>
          <w:del w:id="14954" w:author="AbbVie02no" w:date="2025-05-15T14:19:00Z"/>
        </w:trPr>
        <w:tc>
          <w:tcPr>
            <w:tcW w:w="4644" w:type="dxa"/>
            <w:gridSpan w:val="2"/>
          </w:tcPr>
          <w:p w14:paraId="3A05C845" w14:textId="19C16601" w:rsidR="00BD646C" w:rsidRPr="003979AA" w:rsidRDefault="00E453CD" w:rsidP="00A6493F">
            <w:pPr>
              <w:rPr>
                <w:del w:id="14955" w:author="AbbVie02no" w:date="2025-05-15T14:19:00Z"/>
                <w:sz w:val="22"/>
                <w:szCs w:val="22"/>
              </w:rPr>
            </w:pPr>
            <w:del w:id="14956" w:author="AbbVie02no" w:date="2025-05-15T14:19:00Z">
              <w:r w:rsidRPr="003979AA">
                <w:rPr>
                  <w:b/>
                  <w:bCs/>
                  <w:sz w:val="22"/>
                  <w:szCs w:val="22"/>
                </w:rPr>
                <w:delText xml:space="preserve">Hrvatska </w:delText>
              </w:r>
            </w:del>
          </w:p>
          <w:p w14:paraId="0AE0CCEC" w14:textId="75934DFA" w:rsidR="00BD646C" w:rsidRPr="00BD646C" w:rsidRDefault="00E453CD" w:rsidP="00A6493F">
            <w:pPr>
              <w:rPr>
                <w:del w:id="14957" w:author="AbbVie02no" w:date="2025-05-15T14:19:00Z"/>
                <w:sz w:val="22"/>
                <w:szCs w:val="22"/>
                <w:lang w:val="hr-HR"/>
              </w:rPr>
            </w:pPr>
            <w:del w:id="14958" w:author="AbbVie02no" w:date="2025-05-15T14:19:00Z">
              <w:r w:rsidRPr="00BD646C">
                <w:rPr>
                  <w:sz w:val="22"/>
                  <w:szCs w:val="22"/>
                  <w:lang w:val="hr-HR"/>
                </w:rPr>
                <w:delText>AbbVie d.o.o.</w:delText>
              </w:r>
            </w:del>
          </w:p>
          <w:p w14:paraId="6D2222A5" w14:textId="274A58CC" w:rsidR="00BD646C" w:rsidRPr="00BD646C" w:rsidRDefault="00E453CD" w:rsidP="00A6493F">
            <w:pPr>
              <w:rPr>
                <w:del w:id="14959" w:author="AbbVie02no" w:date="2025-05-15T14:19:00Z"/>
                <w:bCs/>
                <w:sz w:val="22"/>
                <w:szCs w:val="22"/>
                <w:lang w:val="it-IT"/>
              </w:rPr>
            </w:pPr>
            <w:del w:id="14960" w:author="AbbVie02no" w:date="2025-05-15T14:19:00Z">
              <w:r w:rsidRPr="00BD646C">
                <w:rPr>
                  <w:sz w:val="22"/>
                  <w:szCs w:val="22"/>
                  <w:lang w:val="hr-HR"/>
                </w:rPr>
                <w:delText xml:space="preserve">Tel + 385 (0)1 </w:delText>
              </w:r>
              <w:r w:rsidRPr="00692DC9">
                <w:rPr>
                  <w:sz w:val="22"/>
                  <w:szCs w:val="22"/>
                  <w:rPrChange w:id="14961" w:author="AbbVie05no" w:date="2025-05-19T11:03:00Z">
                    <w:rPr>
                      <w:sz w:val="22"/>
                      <w:szCs w:val="22"/>
                      <w:lang w:val="en-US"/>
                    </w:rPr>
                  </w:rPrChange>
                </w:rPr>
                <w:delText>5625 501</w:delText>
              </w:r>
            </w:del>
          </w:p>
        </w:tc>
        <w:tc>
          <w:tcPr>
            <w:tcW w:w="4678" w:type="dxa"/>
          </w:tcPr>
          <w:p w14:paraId="5197F486" w14:textId="4CBADAC8" w:rsidR="00BD646C" w:rsidRPr="00BD646C" w:rsidRDefault="00E453CD" w:rsidP="00A6493F">
            <w:pPr>
              <w:rPr>
                <w:del w:id="14962" w:author="AbbVie02no" w:date="2025-05-15T14:19:00Z"/>
                <w:b/>
                <w:bCs/>
                <w:sz w:val="22"/>
                <w:szCs w:val="22"/>
                <w:lang w:val="it-IT"/>
              </w:rPr>
            </w:pPr>
            <w:del w:id="14963" w:author="AbbVie02no" w:date="2025-05-15T14:19:00Z">
              <w:r w:rsidRPr="00BD646C">
                <w:rPr>
                  <w:b/>
                  <w:bCs/>
                  <w:sz w:val="22"/>
                  <w:szCs w:val="22"/>
                  <w:lang w:val="it-IT"/>
                </w:rPr>
                <w:delText>România</w:delText>
              </w:r>
            </w:del>
          </w:p>
          <w:p w14:paraId="4D8C97C3" w14:textId="2CEE88E5" w:rsidR="00BD646C" w:rsidRPr="00BD646C" w:rsidRDefault="00E453CD" w:rsidP="00A6493F">
            <w:pPr>
              <w:rPr>
                <w:del w:id="14964" w:author="AbbVie02no" w:date="2025-05-15T14:19:00Z"/>
                <w:sz w:val="22"/>
                <w:szCs w:val="22"/>
                <w:lang w:val="it-IT"/>
              </w:rPr>
            </w:pPr>
            <w:del w:id="14965" w:author="AbbVie02no" w:date="2025-05-15T14:19:00Z">
              <w:r w:rsidRPr="00BD646C">
                <w:rPr>
                  <w:sz w:val="22"/>
                  <w:szCs w:val="22"/>
                  <w:lang w:val="it-IT"/>
                </w:rPr>
                <w:delText>AbbVie S.R.L.</w:delText>
              </w:r>
            </w:del>
          </w:p>
          <w:p w14:paraId="25A700F0" w14:textId="54B971C9" w:rsidR="00BD646C" w:rsidRPr="00BD646C" w:rsidRDefault="00E453CD" w:rsidP="00A6493F">
            <w:pPr>
              <w:rPr>
                <w:del w:id="14966" w:author="AbbVie02no" w:date="2025-05-15T14:19:00Z"/>
                <w:sz w:val="22"/>
                <w:szCs w:val="22"/>
                <w:lang w:val="pl-PL"/>
              </w:rPr>
            </w:pPr>
            <w:del w:id="14967" w:author="AbbVie02no" w:date="2025-05-15T14:19:00Z">
              <w:r w:rsidRPr="00BD646C">
                <w:rPr>
                  <w:sz w:val="22"/>
                  <w:szCs w:val="22"/>
                  <w:lang w:val="pl-PL"/>
                </w:rPr>
                <w:delText>Tel: +40 21 529 30 35</w:delText>
              </w:r>
            </w:del>
          </w:p>
          <w:p w14:paraId="12DBBCA6" w14:textId="694F0B67" w:rsidR="00BD646C" w:rsidRPr="00BD646C" w:rsidRDefault="00BD646C" w:rsidP="00A6493F">
            <w:pPr>
              <w:rPr>
                <w:del w:id="14968" w:author="AbbVie02no" w:date="2025-05-15T14:19:00Z"/>
                <w:sz w:val="22"/>
                <w:szCs w:val="22"/>
                <w:lang w:val="pl-PL"/>
              </w:rPr>
            </w:pPr>
          </w:p>
        </w:tc>
      </w:tr>
      <w:tr w:rsidR="004644D4" w14:paraId="1D934BC9" w14:textId="4A040AB2" w:rsidTr="001F79B0">
        <w:trPr>
          <w:gridBefore w:val="1"/>
          <w:wBefore w:w="34" w:type="dxa"/>
          <w:del w:id="14969" w:author="AbbVie02no" w:date="2025-05-15T14:19:00Z"/>
        </w:trPr>
        <w:tc>
          <w:tcPr>
            <w:tcW w:w="4644" w:type="dxa"/>
            <w:gridSpan w:val="2"/>
          </w:tcPr>
          <w:p w14:paraId="5A26541C" w14:textId="39AF67E7" w:rsidR="00BD646C" w:rsidRPr="00BD646C" w:rsidRDefault="00E453CD" w:rsidP="00A6493F">
            <w:pPr>
              <w:rPr>
                <w:del w:id="14970" w:author="AbbVie02no" w:date="2025-05-15T14:19:00Z"/>
                <w:b/>
                <w:bCs/>
                <w:sz w:val="22"/>
                <w:szCs w:val="22"/>
                <w:lang w:val="sk-SK"/>
              </w:rPr>
            </w:pPr>
            <w:del w:id="14971" w:author="AbbVie02no" w:date="2025-05-15T14:19:00Z">
              <w:r w:rsidRPr="00BD646C">
                <w:rPr>
                  <w:b/>
                  <w:bCs/>
                  <w:sz w:val="22"/>
                  <w:szCs w:val="22"/>
                  <w:lang w:val="sk-SK"/>
                </w:rPr>
                <w:delText>Ireland</w:delText>
              </w:r>
            </w:del>
          </w:p>
          <w:p w14:paraId="0B759197" w14:textId="28E948C1" w:rsidR="00BD646C" w:rsidRPr="00BD646C" w:rsidRDefault="00E453CD" w:rsidP="00A6493F">
            <w:pPr>
              <w:rPr>
                <w:del w:id="14972" w:author="AbbVie02no" w:date="2025-05-15T14:19:00Z"/>
                <w:bCs/>
                <w:sz w:val="22"/>
                <w:szCs w:val="22"/>
                <w:lang w:val="sk-SK"/>
              </w:rPr>
            </w:pPr>
            <w:del w:id="14973" w:author="AbbVie02no" w:date="2025-05-15T14:19:00Z">
              <w:r w:rsidRPr="00BD646C">
                <w:rPr>
                  <w:bCs/>
                  <w:sz w:val="22"/>
                  <w:szCs w:val="22"/>
                  <w:lang w:val="sk-SK"/>
                </w:rPr>
                <w:delText xml:space="preserve">AbbVie Limited </w:delText>
              </w:r>
            </w:del>
          </w:p>
          <w:p w14:paraId="385EF20C" w14:textId="0E0580D4" w:rsidR="00BD646C" w:rsidRPr="00BD646C" w:rsidRDefault="00E453CD" w:rsidP="00A6493F">
            <w:pPr>
              <w:rPr>
                <w:del w:id="14974" w:author="AbbVie02no" w:date="2025-05-15T14:19:00Z"/>
                <w:bCs/>
                <w:sz w:val="22"/>
                <w:szCs w:val="22"/>
                <w:lang w:val="sk-SK"/>
              </w:rPr>
            </w:pPr>
            <w:del w:id="14975" w:author="AbbVie02no" w:date="2025-05-15T14:19:00Z">
              <w:r w:rsidRPr="00BD646C">
                <w:rPr>
                  <w:bCs/>
                  <w:sz w:val="22"/>
                  <w:szCs w:val="22"/>
                  <w:lang w:val="pt-PT"/>
                </w:rPr>
                <w:delText>Tel: +353 (0)1 428790</w:delText>
              </w:r>
              <w:r w:rsidR="00167578">
                <w:rPr>
                  <w:bCs/>
                  <w:sz w:val="22"/>
                  <w:szCs w:val="22"/>
                  <w:lang w:val="pt-PT"/>
                </w:rPr>
                <w:delText>0</w:delText>
              </w:r>
            </w:del>
          </w:p>
        </w:tc>
        <w:tc>
          <w:tcPr>
            <w:tcW w:w="4678" w:type="dxa"/>
          </w:tcPr>
          <w:p w14:paraId="2D7885EF" w14:textId="24144087" w:rsidR="00BD646C" w:rsidRPr="00BD646C" w:rsidRDefault="00E453CD" w:rsidP="00A6493F">
            <w:pPr>
              <w:rPr>
                <w:del w:id="14976" w:author="AbbVie02no" w:date="2025-05-15T14:19:00Z"/>
                <w:b/>
                <w:bCs/>
                <w:sz w:val="22"/>
                <w:szCs w:val="22"/>
                <w:lang w:val="sl-SI"/>
              </w:rPr>
            </w:pPr>
            <w:del w:id="14977" w:author="AbbVie02no" w:date="2025-05-15T14:19:00Z">
              <w:r w:rsidRPr="00BD646C">
                <w:rPr>
                  <w:b/>
                  <w:bCs/>
                  <w:sz w:val="22"/>
                  <w:szCs w:val="22"/>
                  <w:lang w:val="sl-SI"/>
                </w:rPr>
                <w:delText>Slovenija</w:delText>
              </w:r>
            </w:del>
          </w:p>
          <w:p w14:paraId="03B6F7EC" w14:textId="1F8BBE6C" w:rsidR="00BD646C" w:rsidRPr="00BD646C" w:rsidRDefault="00E453CD" w:rsidP="00A6493F">
            <w:pPr>
              <w:rPr>
                <w:del w:id="14978" w:author="AbbVie02no" w:date="2025-05-15T14:19:00Z"/>
                <w:bCs/>
                <w:sz w:val="22"/>
                <w:szCs w:val="22"/>
                <w:lang w:val="sl-SI"/>
              </w:rPr>
            </w:pPr>
            <w:del w:id="14979" w:author="AbbVie02no" w:date="2025-05-15T14:19:00Z">
              <w:r w:rsidRPr="00BD646C">
                <w:rPr>
                  <w:bCs/>
                  <w:sz w:val="22"/>
                  <w:szCs w:val="22"/>
                  <w:lang w:val="sl-SI"/>
                </w:rPr>
                <w:delText xml:space="preserve">AbbVie </w:delText>
              </w:r>
              <w:r w:rsidRPr="00BD646C">
                <w:rPr>
                  <w:sz w:val="22"/>
                  <w:szCs w:val="22"/>
                  <w:lang w:val="sl-SI"/>
                </w:rPr>
                <w:delText>Biofarmacevtska družba d.o.o.</w:delText>
              </w:r>
            </w:del>
          </w:p>
          <w:p w14:paraId="1D51C0E6" w14:textId="7144535F" w:rsidR="00BD646C" w:rsidRPr="00BD646C" w:rsidRDefault="00E453CD" w:rsidP="00A6493F">
            <w:pPr>
              <w:rPr>
                <w:del w:id="14980" w:author="AbbVie02no" w:date="2025-05-15T14:19:00Z"/>
                <w:bCs/>
                <w:sz w:val="22"/>
                <w:szCs w:val="22"/>
                <w:lang w:val="sl-SI"/>
              </w:rPr>
            </w:pPr>
            <w:del w:id="14981" w:author="AbbVie02no" w:date="2025-05-15T14:19:00Z">
              <w:r w:rsidRPr="00BD646C">
                <w:rPr>
                  <w:bCs/>
                  <w:sz w:val="22"/>
                  <w:szCs w:val="22"/>
                  <w:lang w:val="sl-SI"/>
                </w:rPr>
                <w:delText>Tel: +386 (1)32 08 060</w:delText>
              </w:r>
            </w:del>
          </w:p>
          <w:p w14:paraId="6461F8D1" w14:textId="653F5746" w:rsidR="00BD646C" w:rsidRPr="00BD646C" w:rsidRDefault="00BD646C" w:rsidP="00A6493F">
            <w:pPr>
              <w:rPr>
                <w:del w:id="14982" w:author="AbbVie02no" w:date="2025-05-15T14:19:00Z"/>
                <w:bCs/>
                <w:sz w:val="22"/>
                <w:szCs w:val="22"/>
                <w:lang w:val="sl-SI"/>
              </w:rPr>
            </w:pPr>
          </w:p>
        </w:tc>
      </w:tr>
      <w:tr w:rsidR="004644D4" w14:paraId="42CDCF0F" w14:textId="75EB9266" w:rsidTr="001F79B0">
        <w:trPr>
          <w:gridBefore w:val="1"/>
          <w:wBefore w:w="34" w:type="dxa"/>
          <w:del w:id="14983" w:author="AbbVie02no" w:date="2025-05-15T14:19:00Z"/>
        </w:trPr>
        <w:tc>
          <w:tcPr>
            <w:tcW w:w="4644" w:type="dxa"/>
            <w:gridSpan w:val="2"/>
          </w:tcPr>
          <w:p w14:paraId="36CF1A0A" w14:textId="64F08E67" w:rsidR="00BD646C" w:rsidRPr="00BD646C" w:rsidRDefault="00E453CD" w:rsidP="00A6493F">
            <w:pPr>
              <w:rPr>
                <w:del w:id="14984" w:author="AbbVie02no" w:date="2025-05-15T14:19:00Z"/>
                <w:b/>
                <w:bCs/>
                <w:sz w:val="22"/>
                <w:szCs w:val="22"/>
                <w:lang w:val="is-IS"/>
              </w:rPr>
            </w:pPr>
            <w:del w:id="14985" w:author="AbbVie02no" w:date="2025-05-15T14:19:00Z">
              <w:r w:rsidRPr="00BD646C">
                <w:rPr>
                  <w:b/>
                  <w:bCs/>
                  <w:sz w:val="22"/>
                  <w:szCs w:val="22"/>
                  <w:lang w:val="is-IS"/>
                </w:rPr>
                <w:delText>Ísland</w:delText>
              </w:r>
            </w:del>
          </w:p>
          <w:p w14:paraId="4226B811" w14:textId="77F91E52" w:rsidR="00BD646C" w:rsidRPr="00BD646C" w:rsidRDefault="00E453CD" w:rsidP="00A6493F">
            <w:pPr>
              <w:rPr>
                <w:del w:id="14986" w:author="AbbVie02no" w:date="2025-05-15T14:19:00Z"/>
                <w:bCs/>
                <w:sz w:val="22"/>
                <w:szCs w:val="22"/>
                <w:lang w:val="sk-SK"/>
              </w:rPr>
            </w:pPr>
            <w:del w:id="14987" w:author="AbbVie02no" w:date="2025-05-15T14:19:00Z">
              <w:r w:rsidRPr="00BD646C">
                <w:rPr>
                  <w:bCs/>
                  <w:sz w:val="22"/>
                  <w:szCs w:val="22"/>
                  <w:lang w:val="sk-SK"/>
                </w:rPr>
                <w:delText>Vistor hf.</w:delText>
              </w:r>
            </w:del>
          </w:p>
          <w:p w14:paraId="6270341F" w14:textId="31565349" w:rsidR="00BD646C" w:rsidRPr="00BD646C" w:rsidRDefault="00E453CD" w:rsidP="00A6493F">
            <w:pPr>
              <w:rPr>
                <w:del w:id="14988" w:author="AbbVie02no" w:date="2025-05-15T14:19:00Z"/>
                <w:bCs/>
                <w:sz w:val="22"/>
                <w:szCs w:val="22"/>
                <w:lang w:val="sk-SK"/>
              </w:rPr>
            </w:pPr>
            <w:del w:id="14989" w:author="AbbVie02no" w:date="2025-05-15T14:19:00Z">
              <w:r w:rsidRPr="00BD646C">
                <w:rPr>
                  <w:bCs/>
                  <w:sz w:val="22"/>
                  <w:szCs w:val="22"/>
                  <w:lang w:val="sk-SK"/>
                </w:rPr>
                <w:delText>Tel: +354 535 7000</w:delText>
              </w:r>
            </w:del>
          </w:p>
        </w:tc>
        <w:tc>
          <w:tcPr>
            <w:tcW w:w="4678" w:type="dxa"/>
          </w:tcPr>
          <w:p w14:paraId="058C8233" w14:textId="5BCCB601" w:rsidR="00BD646C" w:rsidRPr="00BD646C" w:rsidRDefault="00E453CD" w:rsidP="00A6493F">
            <w:pPr>
              <w:rPr>
                <w:del w:id="14990" w:author="AbbVie02no" w:date="2025-05-15T14:19:00Z"/>
                <w:b/>
                <w:bCs/>
                <w:sz w:val="22"/>
                <w:szCs w:val="22"/>
                <w:lang w:val="sk-SK"/>
              </w:rPr>
            </w:pPr>
            <w:del w:id="14991" w:author="AbbVie02no" w:date="2025-05-15T14:19:00Z">
              <w:r w:rsidRPr="00BD646C">
                <w:rPr>
                  <w:b/>
                  <w:bCs/>
                  <w:sz w:val="22"/>
                  <w:szCs w:val="22"/>
                  <w:lang w:val="sk-SK"/>
                </w:rPr>
                <w:delText>Slovenská republika</w:delText>
              </w:r>
            </w:del>
          </w:p>
          <w:p w14:paraId="7A6B9872" w14:textId="5D9B9A6A" w:rsidR="00BD646C" w:rsidRPr="00BD646C" w:rsidRDefault="00E453CD" w:rsidP="00A6493F">
            <w:pPr>
              <w:rPr>
                <w:del w:id="14992" w:author="AbbVie02no" w:date="2025-05-15T14:19:00Z"/>
                <w:bCs/>
                <w:sz w:val="22"/>
                <w:szCs w:val="22"/>
                <w:lang w:val="sk-SK"/>
              </w:rPr>
            </w:pPr>
            <w:del w:id="14993" w:author="AbbVie02no" w:date="2025-05-15T14:19:00Z">
              <w:r w:rsidRPr="00BD646C">
                <w:rPr>
                  <w:bCs/>
                  <w:sz w:val="22"/>
                  <w:szCs w:val="22"/>
                  <w:lang w:val="sk-SK"/>
                </w:rPr>
                <w:delText>AbbVie s.r.o.</w:delText>
              </w:r>
            </w:del>
          </w:p>
          <w:p w14:paraId="0CC436EB" w14:textId="7F952F63" w:rsidR="00BD646C" w:rsidRPr="00BD646C" w:rsidRDefault="00E453CD" w:rsidP="00A6493F">
            <w:pPr>
              <w:rPr>
                <w:del w:id="14994" w:author="AbbVie02no" w:date="2025-05-15T14:19:00Z"/>
                <w:bCs/>
                <w:sz w:val="22"/>
                <w:szCs w:val="22"/>
                <w:lang w:val="sk-SK"/>
              </w:rPr>
            </w:pPr>
            <w:del w:id="14995" w:author="AbbVie02no" w:date="2025-05-15T14:19:00Z">
              <w:r w:rsidRPr="00BD646C">
                <w:rPr>
                  <w:bCs/>
                  <w:sz w:val="22"/>
                  <w:szCs w:val="22"/>
                  <w:lang w:val="sk-SK"/>
                </w:rPr>
                <w:delText>Tel: +421 2 5050 0777</w:delText>
              </w:r>
            </w:del>
          </w:p>
          <w:p w14:paraId="5E7B7F41" w14:textId="1947E366" w:rsidR="00BD646C" w:rsidRPr="00BD646C" w:rsidRDefault="00BD646C" w:rsidP="00A6493F">
            <w:pPr>
              <w:rPr>
                <w:del w:id="14996" w:author="AbbVie02no" w:date="2025-05-15T14:19:00Z"/>
                <w:bCs/>
                <w:sz w:val="22"/>
                <w:szCs w:val="22"/>
                <w:lang w:val="sk-SK"/>
              </w:rPr>
            </w:pPr>
          </w:p>
        </w:tc>
      </w:tr>
      <w:tr w:rsidR="004644D4" w14:paraId="682AD213" w14:textId="604F682D" w:rsidTr="001F79B0">
        <w:trPr>
          <w:gridBefore w:val="1"/>
          <w:wBefore w:w="34" w:type="dxa"/>
          <w:del w:id="14997" w:author="AbbVie02no" w:date="2025-05-15T14:19:00Z"/>
        </w:trPr>
        <w:tc>
          <w:tcPr>
            <w:tcW w:w="4644" w:type="dxa"/>
            <w:gridSpan w:val="2"/>
          </w:tcPr>
          <w:p w14:paraId="6C8D423F" w14:textId="13C815C3" w:rsidR="00BD646C" w:rsidRPr="00BD646C" w:rsidRDefault="00E453CD" w:rsidP="00A6493F">
            <w:pPr>
              <w:rPr>
                <w:del w:id="14998" w:author="AbbVie02no" w:date="2025-05-15T14:19:00Z"/>
                <w:b/>
                <w:bCs/>
                <w:sz w:val="22"/>
                <w:szCs w:val="22"/>
                <w:lang w:val="it-IT"/>
              </w:rPr>
            </w:pPr>
            <w:del w:id="14999" w:author="AbbVie02no" w:date="2025-05-15T14:19:00Z">
              <w:r w:rsidRPr="00BD646C">
                <w:rPr>
                  <w:b/>
                  <w:bCs/>
                  <w:sz w:val="22"/>
                  <w:szCs w:val="22"/>
                  <w:lang w:val="it-IT"/>
                </w:rPr>
                <w:delText>Italia</w:delText>
              </w:r>
            </w:del>
          </w:p>
          <w:p w14:paraId="023355E3" w14:textId="1D70C88A" w:rsidR="00BD646C" w:rsidRPr="00BD646C" w:rsidRDefault="00E453CD" w:rsidP="00A6493F">
            <w:pPr>
              <w:rPr>
                <w:del w:id="15000" w:author="AbbVie02no" w:date="2025-05-15T14:19:00Z"/>
                <w:bCs/>
                <w:sz w:val="22"/>
                <w:szCs w:val="22"/>
                <w:lang w:val="pt-PT"/>
              </w:rPr>
            </w:pPr>
            <w:del w:id="15001" w:author="AbbVie02no" w:date="2025-05-15T14:19:00Z">
              <w:r w:rsidRPr="00BD646C">
                <w:rPr>
                  <w:bCs/>
                  <w:sz w:val="22"/>
                  <w:szCs w:val="22"/>
                  <w:lang w:val="pt-PT"/>
                </w:rPr>
                <w:delText xml:space="preserve">AbbVie S.r.l. </w:delText>
              </w:r>
            </w:del>
          </w:p>
          <w:p w14:paraId="0672A7A1" w14:textId="06019EC7" w:rsidR="00BD646C" w:rsidRPr="00BD646C" w:rsidRDefault="00E453CD" w:rsidP="00A6493F">
            <w:pPr>
              <w:rPr>
                <w:del w:id="15002" w:author="AbbVie02no" w:date="2025-05-15T14:19:00Z"/>
                <w:bCs/>
                <w:sz w:val="22"/>
                <w:szCs w:val="22"/>
                <w:lang w:val="fi-FI"/>
              </w:rPr>
            </w:pPr>
            <w:del w:id="15003" w:author="AbbVie02no" w:date="2025-05-15T14:19:00Z">
              <w:r w:rsidRPr="00BD646C">
                <w:rPr>
                  <w:bCs/>
                  <w:sz w:val="22"/>
                  <w:szCs w:val="22"/>
                  <w:lang w:val="fr-FR"/>
                </w:rPr>
                <w:delText>Tel: +39 06 928921</w:delText>
              </w:r>
            </w:del>
          </w:p>
        </w:tc>
        <w:tc>
          <w:tcPr>
            <w:tcW w:w="4678" w:type="dxa"/>
          </w:tcPr>
          <w:p w14:paraId="77958DE0" w14:textId="11D8D22D" w:rsidR="00BD646C" w:rsidRPr="00BD646C" w:rsidRDefault="00E453CD" w:rsidP="00A6493F">
            <w:pPr>
              <w:rPr>
                <w:del w:id="15004" w:author="AbbVie02no" w:date="2025-05-15T14:19:00Z"/>
                <w:b/>
                <w:bCs/>
                <w:sz w:val="22"/>
                <w:szCs w:val="22"/>
                <w:lang w:val="fi-FI"/>
              </w:rPr>
            </w:pPr>
            <w:del w:id="15005" w:author="AbbVie02no" w:date="2025-05-15T14:19:00Z">
              <w:r w:rsidRPr="00BD646C">
                <w:rPr>
                  <w:b/>
                  <w:bCs/>
                  <w:sz w:val="22"/>
                  <w:szCs w:val="22"/>
                  <w:lang w:val="fi-FI"/>
                </w:rPr>
                <w:delText>Suomi/Finland</w:delText>
              </w:r>
            </w:del>
          </w:p>
          <w:p w14:paraId="3F70B8A9" w14:textId="196312A7" w:rsidR="00BD646C" w:rsidRPr="00BD646C" w:rsidRDefault="00E453CD" w:rsidP="00A6493F">
            <w:pPr>
              <w:rPr>
                <w:del w:id="15006" w:author="AbbVie02no" w:date="2025-05-15T14:19:00Z"/>
                <w:bCs/>
                <w:sz w:val="22"/>
                <w:szCs w:val="22"/>
                <w:lang w:val="de-CH"/>
              </w:rPr>
            </w:pPr>
            <w:del w:id="15007" w:author="AbbVie02no" w:date="2025-05-15T14:19:00Z">
              <w:r w:rsidRPr="00BD646C">
                <w:rPr>
                  <w:bCs/>
                  <w:sz w:val="22"/>
                  <w:szCs w:val="22"/>
                  <w:lang w:val="sk-SK"/>
                </w:rPr>
                <w:delText>AbbVie Oy</w:delText>
              </w:r>
            </w:del>
          </w:p>
          <w:p w14:paraId="6269047C" w14:textId="151C7298" w:rsidR="00BD646C" w:rsidRPr="00BD646C" w:rsidRDefault="00E453CD" w:rsidP="00A6493F">
            <w:pPr>
              <w:rPr>
                <w:del w:id="15008" w:author="AbbVie02no" w:date="2025-05-15T14:19:00Z"/>
                <w:bCs/>
                <w:sz w:val="22"/>
                <w:szCs w:val="22"/>
                <w:lang w:val="sk-SK"/>
              </w:rPr>
            </w:pPr>
            <w:del w:id="15009" w:author="AbbVie02no" w:date="2025-05-15T14:19:00Z">
              <w:r w:rsidRPr="00BD646C">
                <w:rPr>
                  <w:bCs/>
                  <w:sz w:val="22"/>
                  <w:szCs w:val="22"/>
                  <w:lang w:val="sk-SK"/>
                </w:rPr>
                <w:delText>Puh/Tel: +358 (0)10 2411 200</w:delText>
              </w:r>
            </w:del>
          </w:p>
          <w:p w14:paraId="71DDE1C2" w14:textId="7F64FD1E" w:rsidR="00BD646C" w:rsidRPr="00BD646C" w:rsidRDefault="00BD646C" w:rsidP="00A6493F">
            <w:pPr>
              <w:rPr>
                <w:del w:id="15010" w:author="AbbVie02no" w:date="2025-05-15T14:19:00Z"/>
                <w:sz w:val="22"/>
                <w:szCs w:val="22"/>
                <w:lang w:val="sk-SK"/>
              </w:rPr>
            </w:pPr>
          </w:p>
        </w:tc>
      </w:tr>
      <w:tr w:rsidR="004644D4" w14:paraId="2D944660" w14:textId="754B30D1" w:rsidTr="001F79B0">
        <w:trPr>
          <w:gridBefore w:val="1"/>
          <w:wBefore w:w="34" w:type="dxa"/>
          <w:cantSplit/>
          <w:trHeight w:val="887"/>
          <w:del w:id="15011" w:author="AbbVie02no" w:date="2025-05-15T14:19:00Z"/>
        </w:trPr>
        <w:tc>
          <w:tcPr>
            <w:tcW w:w="4644" w:type="dxa"/>
            <w:gridSpan w:val="2"/>
          </w:tcPr>
          <w:p w14:paraId="4DCA13D2" w14:textId="2FB4E52E" w:rsidR="00BD646C" w:rsidRPr="00BD646C" w:rsidRDefault="00E453CD" w:rsidP="00A6493F">
            <w:pPr>
              <w:rPr>
                <w:del w:id="15012" w:author="AbbVie02no" w:date="2025-05-15T14:19:00Z"/>
                <w:b/>
                <w:bCs/>
                <w:sz w:val="22"/>
                <w:szCs w:val="22"/>
                <w:lang w:val="el-GR"/>
              </w:rPr>
            </w:pPr>
            <w:del w:id="15013" w:author="AbbVie02no" w:date="2025-05-15T14:19:00Z">
              <w:r w:rsidRPr="00BD646C">
                <w:rPr>
                  <w:b/>
                  <w:bCs/>
                  <w:sz w:val="22"/>
                  <w:szCs w:val="22"/>
                  <w:lang w:val="el-GR"/>
                </w:rPr>
                <w:delText>Κύπρος</w:delText>
              </w:r>
            </w:del>
          </w:p>
          <w:p w14:paraId="5C672EDD" w14:textId="7B64AFFA" w:rsidR="00BD646C" w:rsidRPr="00BD646C" w:rsidRDefault="00E453CD" w:rsidP="00A6493F">
            <w:pPr>
              <w:rPr>
                <w:del w:id="15014" w:author="AbbVie02no" w:date="2025-05-15T14:19:00Z"/>
                <w:bCs/>
                <w:sz w:val="22"/>
                <w:szCs w:val="22"/>
                <w:lang w:val="el-GR"/>
              </w:rPr>
            </w:pPr>
            <w:del w:id="15015" w:author="AbbVie02no" w:date="2025-05-15T14:19:00Z">
              <w:r w:rsidRPr="00BD646C">
                <w:rPr>
                  <w:bCs/>
                  <w:sz w:val="22"/>
                  <w:szCs w:val="22"/>
                  <w:lang w:val="sk-SK"/>
                </w:rPr>
                <w:delText xml:space="preserve">Lifepharma (Z.A.M.) </w:delText>
              </w:r>
              <w:r w:rsidRPr="00BD646C">
                <w:rPr>
                  <w:bCs/>
                  <w:sz w:val="22"/>
                  <w:szCs w:val="22"/>
                  <w:lang w:val="it-IT"/>
                </w:rPr>
                <w:delText>Ltd</w:delText>
              </w:r>
            </w:del>
          </w:p>
          <w:p w14:paraId="7D7DAA60" w14:textId="43A36A9D" w:rsidR="00BD646C" w:rsidRPr="00BD646C" w:rsidRDefault="00E453CD" w:rsidP="00A6493F">
            <w:pPr>
              <w:rPr>
                <w:del w:id="15016" w:author="AbbVie02no" w:date="2025-05-15T14:19:00Z"/>
                <w:bCs/>
                <w:sz w:val="22"/>
                <w:szCs w:val="22"/>
                <w:lang w:val="lv-LV"/>
              </w:rPr>
            </w:pPr>
            <w:del w:id="15017" w:author="AbbVie02no" w:date="2025-05-15T14:19:00Z">
              <w:r w:rsidRPr="00BD646C">
                <w:rPr>
                  <w:bCs/>
                  <w:sz w:val="22"/>
                  <w:szCs w:val="22"/>
                  <w:lang w:val="el-GR"/>
                </w:rPr>
                <w:delText>Τηλ.: +357 22 34 74 40</w:delText>
              </w:r>
            </w:del>
          </w:p>
        </w:tc>
        <w:tc>
          <w:tcPr>
            <w:tcW w:w="4678" w:type="dxa"/>
          </w:tcPr>
          <w:p w14:paraId="58FE19C3" w14:textId="31BA39A1" w:rsidR="00BD646C" w:rsidRPr="00BD646C" w:rsidRDefault="00E453CD" w:rsidP="00A6493F">
            <w:pPr>
              <w:rPr>
                <w:del w:id="15018" w:author="AbbVie02no" w:date="2025-05-15T14:19:00Z"/>
                <w:b/>
                <w:bCs/>
                <w:sz w:val="22"/>
                <w:szCs w:val="22"/>
                <w:lang w:val="sk-SK"/>
              </w:rPr>
            </w:pPr>
            <w:del w:id="15019" w:author="AbbVie02no" w:date="2025-05-15T14:19:00Z">
              <w:r w:rsidRPr="00BD646C">
                <w:rPr>
                  <w:b/>
                  <w:bCs/>
                  <w:sz w:val="22"/>
                  <w:szCs w:val="22"/>
                  <w:lang w:val="sk-SK"/>
                </w:rPr>
                <w:delText>Sverige</w:delText>
              </w:r>
            </w:del>
          </w:p>
          <w:p w14:paraId="272F3578" w14:textId="01634D0A" w:rsidR="00BD646C" w:rsidRPr="00BD646C" w:rsidRDefault="00E453CD" w:rsidP="00A6493F">
            <w:pPr>
              <w:rPr>
                <w:del w:id="15020" w:author="AbbVie02no" w:date="2025-05-15T14:19:00Z"/>
                <w:bCs/>
                <w:sz w:val="22"/>
                <w:szCs w:val="22"/>
                <w:lang w:val="pt-PT"/>
              </w:rPr>
            </w:pPr>
            <w:del w:id="15021" w:author="AbbVie02no" w:date="2025-05-15T14:19:00Z">
              <w:r w:rsidRPr="00BD646C">
                <w:rPr>
                  <w:bCs/>
                  <w:sz w:val="22"/>
                  <w:szCs w:val="22"/>
                  <w:lang w:val="pt-PT"/>
                </w:rPr>
                <w:delText>AbbVie AB</w:delText>
              </w:r>
            </w:del>
          </w:p>
          <w:p w14:paraId="5922F816" w14:textId="63880C42" w:rsidR="00BD646C" w:rsidRPr="00BD646C" w:rsidRDefault="00E453CD" w:rsidP="00A6493F">
            <w:pPr>
              <w:rPr>
                <w:del w:id="15022" w:author="AbbVie02no" w:date="2025-05-15T14:19:00Z"/>
                <w:bCs/>
                <w:sz w:val="22"/>
                <w:szCs w:val="22"/>
                <w:lang w:val="sk-SK"/>
              </w:rPr>
            </w:pPr>
            <w:del w:id="15023" w:author="AbbVie02no" w:date="2025-05-15T14:19:00Z">
              <w:r w:rsidRPr="00BD646C">
                <w:rPr>
                  <w:bCs/>
                  <w:sz w:val="22"/>
                  <w:szCs w:val="22"/>
                  <w:lang w:val="da-DK"/>
                </w:rPr>
                <w:delText>Tel: +46 (0)8 684 44 600</w:delText>
              </w:r>
            </w:del>
          </w:p>
        </w:tc>
      </w:tr>
      <w:tr w:rsidR="004644D4" w14:paraId="3F880669" w14:textId="0B33ACF5" w:rsidTr="001F79B0">
        <w:trPr>
          <w:gridBefore w:val="1"/>
          <w:wBefore w:w="34" w:type="dxa"/>
          <w:cantSplit/>
          <w:trHeight w:val="761"/>
          <w:del w:id="15024" w:author="AbbVie02no" w:date="2025-05-15T14:19:00Z"/>
        </w:trPr>
        <w:tc>
          <w:tcPr>
            <w:tcW w:w="4644" w:type="dxa"/>
            <w:gridSpan w:val="2"/>
          </w:tcPr>
          <w:p w14:paraId="2C5C974F" w14:textId="763B1B7A" w:rsidR="00BD646C" w:rsidRPr="00BD646C" w:rsidRDefault="00E453CD" w:rsidP="00A6493F">
            <w:pPr>
              <w:rPr>
                <w:del w:id="15025" w:author="AbbVie02no" w:date="2025-05-15T14:19:00Z"/>
                <w:b/>
                <w:bCs/>
                <w:sz w:val="22"/>
                <w:szCs w:val="22"/>
                <w:lang w:val="lv-LV"/>
              </w:rPr>
            </w:pPr>
            <w:del w:id="15026" w:author="AbbVie02no" w:date="2025-05-15T14:19:00Z">
              <w:r w:rsidRPr="00BD646C">
                <w:rPr>
                  <w:b/>
                  <w:bCs/>
                  <w:sz w:val="22"/>
                  <w:szCs w:val="22"/>
                  <w:lang w:val="lv-LV"/>
                </w:rPr>
                <w:delText>Latvija</w:delText>
              </w:r>
            </w:del>
          </w:p>
          <w:p w14:paraId="772581A5" w14:textId="35D02980" w:rsidR="00BD646C" w:rsidRPr="00BD646C" w:rsidRDefault="00E453CD" w:rsidP="00A6493F">
            <w:pPr>
              <w:rPr>
                <w:del w:id="15027" w:author="AbbVie02no" w:date="2025-05-15T14:19:00Z"/>
                <w:bCs/>
                <w:sz w:val="22"/>
                <w:szCs w:val="22"/>
                <w:lang w:val="lv-LV"/>
              </w:rPr>
            </w:pPr>
            <w:del w:id="15028" w:author="AbbVie02no" w:date="2025-05-15T14:19:00Z">
              <w:r w:rsidRPr="00BD646C">
                <w:rPr>
                  <w:bCs/>
                  <w:sz w:val="22"/>
                  <w:szCs w:val="22"/>
                  <w:lang w:val="lv-LV"/>
                </w:rPr>
                <w:delText xml:space="preserve">AbbVie SIA </w:delText>
              </w:r>
            </w:del>
          </w:p>
          <w:p w14:paraId="74EB8FDF" w14:textId="3B3AA472" w:rsidR="00BD646C" w:rsidRPr="00BD646C" w:rsidRDefault="00E453CD" w:rsidP="00A6493F">
            <w:pPr>
              <w:rPr>
                <w:del w:id="15029" w:author="AbbVie02no" w:date="2025-05-15T14:19:00Z"/>
                <w:bCs/>
                <w:sz w:val="22"/>
                <w:szCs w:val="22"/>
                <w:lang w:val="lv-LV"/>
              </w:rPr>
            </w:pPr>
            <w:del w:id="15030" w:author="AbbVie02no" w:date="2025-05-15T14:19:00Z">
              <w:r w:rsidRPr="00BD646C">
                <w:rPr>
                  <w:bCs/>
                  <w:sz w:val="22"/>
                  <w:szCs w:val="22"/>
                  <w:lang w:val="lv-LV"/>
                </w:rPr>
                <w:delText>Tel: +371 67605000</w:delText>
              </w:r>
            </w:del>
          </w:p>
        </w:tc>
        <w:tc>
          <w:tcPr>
            <w:tcW w:w="4678" w:type="dxa"/>
          </w:tcPr>
          <w:p w14:paraId="1900674F" w14:textId="53C36CD9" w:rsidR="00BD646C" w:rsidRPr="00BD646C" w:rsidRDefault="00BD646C" w:rsidP="00A6493F">
            <w:pPr>
              <w:rPr>
                <w:del w:id="15031" w:author="AbbVie02no" w:date="2025-05-15T14:19:00Z"/>
                <w:b/>
                <w:bCs/>
                <w:sz w:val="22"/>
                <w:szCs w:val="22"/>
                <w:lang w:val="sk-SK"/>
              </w:rPr>
            </w:pPr>
          </w:p>
        </w:tc>
      </w:tr>
    </w:tbl>
    <w:p w14:paraId="606AB346" w14:textId="587EEA99" w:rsidR="00A91022" w:rsidRPr="00692DC9" w:rsidRDefault="00A91022" w:rsidP="00A6493F">
      <w:pPr>
        <w:rPr>
          <w:del w:id="15032" w:author="AbbVie02no" w:date="2025-05-15T14:19:00Z"/>
          <w:rPrChange w:id="15033" w:author="AbbVie05no" w:date="2025-05-19T11:03:00Z">
            <w:rPr>
              <w:del w:id="15034" w:author="AbbVie02no" w:date="2025-05-15T14:19:00Z"/>
              <w:lang w:val="en-US"/>
            </w:rPr>
          </w:rPrChange>
        </w:rPr>
      </w:pPr>
    </w:p>
    <w:p w14:paraId="786C690E" w14:textId="257E0F28" w:rsidR="0049775E" w:rsidRPr="00392F01" w:rsidRDefault="00E453CD" w:rsidP="00A6493F">
      <w:pPr>
        <w:rPr>
          <w:del w:id="15035" w:author="AbbVie02no" w:date="2025-05-15T14:19:00Z"/>
          <w:b/>
          <w:sz w:val="22"/>
          <w:szCs w:val="22"/>
        </w:rPr>
      </w:pPr>
      <w:del w:id="15036" w:author="AbbVie02no" w:date="2025-05-15T14:19:00Z">
        <w:r w:rsidRPr="00392F01">
          <w:rPr>
            <w:b/>
            <w:sz w:val="22"/>
            <w:szCs w:val="22"/>
          </w:rPr>
          <w:delText xml:space="preserve">Dette pakningsvedlegget ble sist </w:delText>
        </w:r>
        <w:r w:rsidR="006F20A1" w:rsidRPr="00392F01">
          <w:rPr>
            <w:b/>
            <w:sz w:val="22"/>
            <w:szCs w:val="22"/>
          </w:rPr>
          <w:delText>oppdatert</w:delText>
        </w:r>
      </w:del>
    </w:p>
    <w:p w14:paraId="72073C1D" w14:textId="70183B68" w:rsidR="0049775E" w:rsidRPr="00392F01" w:rsidRDefault="0049775E" w:rsidP="00A6493F">
      <w:pPr>
        <w:rPr>
          <w:del w:id="15037" w:author="AbbVie02no" w:date="2025-05-15T14:19:00Z"/>
          <w:b/>
          <w:sz w:val="22"/>
          <w:szCs w:val="22"/>
        </w:rPr>
      </w:pPr>
    </w:p>
    <w:p w14:paraId="1A9A1275" w14:textId="12C915A5" w:rsidR="00354729" w:rsidRPr="00392F01" w:rsidRDefault="00E453CD" w:rsidP="00A6493F">
      <w:pPr>
        <w:rPr>
          <w:del w:id="15038" w:author="AbbVie02no" w:date="2025-05-15T14:19:00Z"/>
          <w:b/>
          <w:sz w:val="22"/>
          <w:szCs w:val="22"/>
        </w:rPr>
      </w:pPr>
      <w:del w:id="15039" w:author="AbbVie02no" w:date="2025-05-15T14:19:00Z">
        <w:r w:rsidRPr="00392F01">
          <w:rPr>
            <w:sz w:val="22"/>
          </w:rPr>
          <w:delText>Detaljert informasjon om dette legemidlet er tilgjengelig på nettstedet til Det europeiske legemiddelkontoret (</w:delText>
        </w:r>
        <w:r w:rsidR="001D434C">
          <w:rPr>
            <w:sz w:val="22"/>
          </w:rPr>
          <w:delText>t</w:delText>
        </w:r>
        <w:r w:rsidRPr="00392F01">
          <w:rPr>
            <w:sz w:val="22"/>
          </w:rPr>
          <w:delText>he European Medicines Agency)</w:delText>
        </w:r>
        <w:r w:rsidR="002345C5" w:rsidRPr="00392F01">
          <w:rPr>
            <w:sz w:val="22"/>
          </w:rPr>
          <w:delText>:</w:delText>
        </w:r>
        <w:r w:rsidRPr="00392F01">
          <w:rPr>
            <w:sz w:val="22"/>
          </w:rPr>
          <w:delText xml:space="preserve"> </w:delText>
        </w:r>
        <w:r>
          <w:fldChar w:fldCharType="begin"/>
        </w:r>
        <w:r>
          <w:delInstrText>HYPERLINK "http://www.ema.europa.eu"</w:delInstrText>
        </w:r>
        <w:r>
          <w:fldChar w:fldCharType="separate"/>
        </w:r>
        <w:r w:rsidRPr="00392F01">
          <w:rPr>
            <w:rStyle w:val="Hyperlink"/>
            <w:sz w:val="22"/>
          </w:rPr>
          <w:delText>http://www.ema.europa.eu</w:delText>
        </w:r>
        <w:r>
          <w:fldChar w:fldCharType="end"/>
        </w:r>
        <w:r w:rsidRPr="00392F01">
          <w:rPr>
            <w:sz w:val="22"/>
          </w:rPr>
          <w:delText>.</w:delText>
        </w:r>
      </w:del>
    </w:p>
    <w:p w14:paraId="23C2D7F7" w14:textId="4750189B" w:rsidR="00354729" w:rsidRPr="00392F01" w:rsidRDefault="00354729" w:rsidP="00A6493F">
      <w:pPr>
        <w:rPr>
          <w:del w:id="15040" w:author="AbbVie02no" w:date="2025-05-15T14:19:00Z"/>
          <w:b/>
          <w:sz w:val="22"/>
          <w:szCs w:val="22"/>
        </w:rPr>
      </w:pPr>
    </w:p>
    <w:p w14:paraId="04E3E0D2" w14:textId="1ECF8B3D" w:rsidR="00DE3458" w:rsidRPr="00392F01" w:rsidRDefault="00E453CD" w:rsidP="00A6493F">
      <w:pPr>
        <w:rPr>
          <w:del w:id="15041" w:author="AbbVie02no" w:date="2025-05-15T14:19:00Z"/>
          <w:sz w:val="22"/>
          <w:szCs w:val="22"/>
        </w:rPr>
      </w:pPr>
      <w:del w:id="15042" w:author="AbbVie02no" w:date="2025-05-15T14:19:00Z">
        <w:r w:rsidRPr="00392F01">
          <w:rPr>
            <w:b/>
            <w:sz w:val="22"/>
            <w:szCs w:val="22"/>
          </w:rPr>
          <w:delText xml:space="preserve">For å lytte til eller be om en kopi av dette pakningsvedlegget </w:delText>
        </w:r>
        <w:r w:rsidR="00B0241B" w:rsidRPr="00776A84">
          <w:rPr>
            <w:b/>
            <w:sz w:val="22"/>
            <w:highlight w:val="lightGray"/>
          </w:rPr>
          <w:delText>i &lt;blindeskrift&gt;, &lt;større skrift&gt; eller &lt;lydfil&gt;</w:delText>
        </w:r>
        <w:r w:rsidRPr="00392F01">
          <w:rPr>
            <w:b/>
            <w:sz w:val="22"/>
            <w:szCs w:val="22"/>
          </w:rPr>
          <w:delText xml:space="preserve"> kan du kontakte den lokale representant for innehaveren av markedsføringstillatelsen.</w:delText>
        </w:r>
      </w:del>
    </w:p>
    <w:p w14:paraId="353493B5" w14:textId="590407ED" w:rsidR="00DE3458" w:rsidRPr="00392F01" w:rsidRDefault="00E453CD">
      <w:pPr>
        <w:jc w:val="center"/>
        <w:rPr>
          <w:del w:id="15043" w:author="AbbVie02no" w:date="2025-05-15T14:21:00Z"/>
          <w:b/>
          <w:sz w:val="22"/>
          <w:szCs w:val="22"/>
        </w:rPr>
        <w:pPrChange w:id="15044" w:author="AbbVie02no" w:date="2025-05-15T14:19:00Z">
          <w:pPr>
            <w:ind w:left="54"/>
            <w:jc w:val="center"/>
          </w:pPr>
        </w:pPrChange>
      </w:pPr>
      <w:del w:id="15045" w:author="AbbVie02no" w:date="2025-05-15T14:19:00Z">
        <w:r w:rsidRPr="00392F01">
          <w:rPr>
            <w:sz w:val="22"/>
            <w:szCs w:val="22"/>
          </w:rPr>
          <w:br w:type="page"/>
        </w:r>
      </w:del>
      <w:del w:id="15046" w:author="AbbVie02no" w:date="2025-05-15T14:21:00Z">
        <w:r w:rsidR="00BE1A1E" w:rsidRPr="00392F01">
          <w:rPr>
            <w:b/>
            <w:sz w:val="22"/>
            <w:szCs w:val="22"/>
          </w:rPr>
          <w:lastRenderedPageBreak/>
          <w:delText>Pakningsvedlegg: Informasjon til pasienten</w:delText>
        </w:r>
      </w:del>
    </w:p>
    <w:p w14:paraId="3D13622B" w14:textId="0AB0FA06" w:rsidR="00DE3458" w:rsidRPr="00392F01" w:rsidRDefault="00DE3458" w:rsidP="009C5EFD">
      <w:pPr>
        <w:jc w:val="center"/>
        <w:rPr>
          <w:del w:id="15047" w:author="AbbVie02no" w:date="2025-05-15T14:21:00Z"/>
          <w:b/>
          <w:sz w:val="22"/>
          <w:szCs w:val="22"/>
        </w:rPr>
      </w:pPr>
    </w:p>
    <w:p w14:paraId="2BA9D62D" w14:textId="05BADAC5" w:rsidR="00A367DB" w:rsidRPr="00392F01" w:rsidRDefault="00E453CD" w:rsidP="009C5EFD">
      <w:pPr>
        <w:jc w:val="center"/>
        <w:rPr>
          <w:del w:id="15048" w:author="AbbVie02no" w:date="2025-05-15T14:21:00Z"/>
          <w:sz w:val="22"/>
          <w:szCs w:val="22"/>
        </w:rPr>
      </w:pPr>
      <w:del w:id="15049" w:author="AbbVie02no" w:date="2025-05-15T14:21:00Z">
        <w:r w:rsidRPr="00392F01">
          <w:rPr>
            <w:b/>
            <w:sz w:val="22"/>
            <w:szCs w:val="22"/>
          </w:rPr>
          <w:delText>Humira 40</w:delText>
        </w:r>
        <w:r w:rsidR="00FE5EF1" w:rsidRPr="00392F01">
          <w:rPr>
            <w:b/>
            <w:sz w:val="22"/>
            <w:szCs w:val="22"/>
          </w:rPr>
          <w:delText> </w:delText>
        </w:r>
        <w:r w:rsidRPr="00392F01">
          <w:rPr>
            <w:b/>
            <w:sz w:val="22"/>
            <w:szCs w:val="22"/>
          </w:rPr>
          <w:delText>mg injeksjonsvæske, oppløsning i ferdigfylt sprøyte</w:delText>
        </w:r>
      </w:del>
    </w:p>
    <w:p w14:paraId="2D8A4BEC" w14:textId="578ACAC5" w:rsidR="00DE3458" w:rsidRPr="00392F01" w:rsidRDefault="00E453CD" w:rsidP="009C5EFD">
      <w:pPr>
        <w:ind w:left="54"/>
        <w:jc w:val="center"/>
        <w:rPr>
          <w:del w:id="15050" w:author="AbbVie02no" w:date="2025-05-15T14:21:00Z"/>
          <w:sz w:val="22"/>
          <w:szCs w:val="22"/>
        </w:rPr>
      </w:pPr>
      <w:del w:id="15051" w:author="AbbVie02no" w:date="2025-05-15T14:21:00Z">
        <w:r w:rsidRPr="00392F01">
          <w:rPr>
            <w:sz w:val="22"/>
            <w:szCs w:val="22"/>
          </w:rPr>
          <w:delText>adalimumab</w:delText>
        </w:r>
      </w:del>
    </w:p>
    <w:p w14:paraId="2D8F72D4" w14:textId="0291C59B" w:rsidR="004F6D4C" w:rsidRPr="00392F01" w:rsidRDefault="004F6D4C" w:rsidP="009C5EFD">
      <w:pPr>
        <w:ind w:left="54"/>
        <w:jc w:val="center"/>
        <w:rPr>
          <w:del w:id="15052" w:author="AbbVie02no" w:date="2025-05-15T14:21:00Z"/>
          <w:sz w:val="22"/>
          <w:szCs w:val="22"/>
        </w:rPr>
      </w:pPr>
    </w:p>
    <w:p w14:paraId="7334FD8A" w14:textId="74DAFEB3" w:rsidR="00DE3458" w:rsidRPr="009C5EFD" w:rsidRDefault="00E453CD" w:rsidP="00602A37">
      <w:pPr>
        <w:rPr>
          <w:del w:id="15053" w:author="AbbVie02no" w:date="2025-05-15T14:21:00Z"/>
          <w:sz w:val="22"/>
          <w:szCs w:val="22"/>
        </w:rPr>
      </w:pPr>
      <w:del w:id="15054" w:author="AbbVie02no" w:date="2025-05-15T14:21:00Z">
        <w:r w:rsidRPr="00392F01">
          <w:rPr>
            <w:b/>
            <w:sz w:val="22"/>
            <w:szCs w:val="22"/>
          </w:rPr>
          <w:delText xml:space="preserve">Les nøye gjennom dette pakningsvedlegget før du begynner å bruke </w:delText>
        </w:r>
        <w:r w:rsidR="00092C95" w:rsidRPr="00392F01">
          <w:rPr>
            <w:b/>
            <w:sz w:val="22"/>
            <w:szCs w:val="22"/>
          </w:rPr>
          <w:delText xml:space="preserve">dette </w:delText>
        </w:r>
        <w:r w:rsidRPr="00392F01">
          <w:rPr>
            <w:b/>
            <w:sz w:val="22"/>
            <w:szCs w:val="22"/>
          </w:rPr>
          <w:delText>legemidlet</w:delText>
        </w:r>
        <w:r w:rsidR="00092C95" w:rsidRPr="00392F01">
          <w:rPr>
            <w:b/>
            <w:sz w:val="22"/>
            <w:szCs w:val="22"/>
          </w:rPr>
          <w:delText xml:space="preserve">. </w:delText>
        </w:r>
        <w:r w:rsidR="00092C95" w:rsidRPr="009C5EFD">
          <w:rPr>
            <w:b/>
            <w:sz w:val="22"/>
            <w:szCs w:val="22"/>
          </w:rPr>
          <w:delText>D</w:delText>
        </w:r>
        <w:r w:rsidR="00A6322A" w:rsidRPr="009C5EFD">
          <w:rPr>
            <w:b/>
            <w:sz w:val="22"/>
            <w:szCs w:val="22"/>
          </w:rPr>
          <w:delText>et inneholder informasjon</w:delText>
        </w:r>
        <w:r w:rsidR="00092C95" w:rsidRPr="009C5EFD">
          <w:rPr>
            <w:b/>
            <w:sz w:val="22"/>
            <w:szCs w:val="22"/>
          </w:rPr>
          <w:delText xml:space="preserve"> som er viktig for deg</w:delText>
        </w:r>
        <w:r w:rsidRPr="009C5EFD">
          <w:rPr>
            <w:b/>
            <w:sz w:val="22"/>
            <w:szCs w:val="22"/>
          </w:rPr>
          <w:delText>.</w:delText>
        </w:r>
      </w:del>
    </w:p>
    <w:p w14:paraId="52EF7EC2" w14:textId="08473F80" w:rsidR="00DE3458" w:rsidRPr="009C5EFD" w:rsidRDefault="00E453CD" w:rsidP="009C5EFD">
      <w:pPr>
        <w:numPr>
          <w:ilvl w:val="0"/>
          <w:numId w:val="1"/>
        </w:numPr>
        <w:ind w:left="567" w:right="-2" w:hanging="567"/>
        <w:rPr>
          <w:del w:id="15055" w:author="AbbVie02no" w:date="2025-05-15T14:21:00Z"/>
          <w:sz w:val="22"/>
          <w:szCs w:val="22"/>
        </w:rPr>
      </w:pPr>
      <w:del w:id="15056" w:author="AbbVie02no" w:date="2025-05-15T14:21:00Z">
        <w:r w:rsidRPr="009C5EFD">
          <w:rPr>
            <w:sz w:val="22"/>
            <w:szCs w:val="22"/>
          </w:rPr>
          <w:delText>Ta vare på dette pakningsvedlegget. Du kan få behov for å lese det igjen.</w:delText>
        </w:r>
      </w:del>
    </w:p>
    <w:p w14:paraId="48DEBA68" w14:textId="49D80BEA" w:rsidR="007C5DA8" w:rsidRPr="009C5EFD" w:rsidRDefault="00E453CD" w:rsidP="009C5EFD">
      <w:pPr>
        <w:numPr>
          <w:ilvl w:val="0"/>
          <w:numId w:val="1"/>
        </w:numPr>
        <w:ind w:left="567" w:right="-2" w:hanging="567"/>
        <w:rPr>
          <w:del w:id="15057" w:author="AbbVie02no" w:date="2025-05-15T14:21:00Z"/>
          <w:sz w:val="22"/>
          <w:szCs w:val="22"/>
        </w:rPr>
      </w:pPr>
      <w:del w:id="15058" w:author="AbbVie02no" w:date="2025-05-15T14:21:00Z">
        <w:r w:rsidRPr="009C5EFD">
          <w:rPr>
            <w:sz w:val="22"/>
            <w:szCs w:val="22"/>
          </w:rPr>
          <w:delText xml:space="preserve">Legen </w:delText>
        </w:r>
        <w:r w:rsidR="000B52DC" w:rsidRPr="009C5EFD">
          <w:rPr>
            <w:sz w:val="22"/>
            <w:szCs w:val="22"/>
          </w:rPr>
          <w:delText>vil</w:delText>
        </w:r>
        <w:r w:rsidRPr="009C5EFD">
          <w:rPr>
            <w:sz w:val="22"/>
            <w:szCs w:val="22"/>
          </w:rPr>
          <w:delText xml:space="preserve"> også gi deg et </w:delText>
        </w:r>
        <w:r w:rsidRPr="00B07EA9">
          <w:rPr>
            <w:b/>
            <w:sz w:val="22"/>
            <w:szCs w:val="22"/>
          </w:rPr>
          <w:delText>pasientkort</w:delText>
        </w:r>
        <w:r w:rsidRPr="009C5EFD">
          <w:rPr>
            <w:sz w:val="22"/>
            <w:szCs w:val="22"/>
          </w:rPr>
          <w:delText xml:space="preserve"> som inneholder viktige sikkerhetsopplysninger som du må være oppmerksom på før du får Humira og under behandling med Humira. Ha dette </w:delText>
        </w:r>
        <w:r w:rsidRPr="00B07EA9">
          <w:rPr>
            <w:b/>
            <w:sz w:val="22"/>
            <w:szCs w:val="22"/>
          </w:rPr>
          <w:delText>pasientkortet</w:delText>
        </w:r>
        <w:r w:rsidRPr="009C5EFD">
          <w:rPr>
            <w:sz w:val="22"/>
            <w:szCs w:val="22"/>
          </w:rPr>
          <w:delText xml:space="preserve"> på deg.</w:delText>
        </w:r>
      </w:del>
    </w:p>
    <w:p w14:paraId="23A21122" w14:textId="7759E5D5" w:rsidR="007C5DA8" w:rsidRPr="009C5EFD" w:rsidRDefault="00E453CD" w:rsidP="00776A84">
      <w:pPr>
        <w:numPr>
          <w:ilvl w:val="0"/>
          <w:numId w:val="1"/>
        </w:numPr>
        <w:ind w:left="567" w:right="-2" w:hanging="567"/>
        <w:rPr>
          <w:del w:id="15059" w:author="AbbVie02no" w:date="2025-05-15T14:21:00Z"/>
          <w:sz w:val="22"/>
          <w:szCs w:val="22"/>
        </w:rPr>
      </w:pPr>
      <w:del w:id="15060" w:author="AbbVie02no" w:date="2025-05-15T14:21:00Z">
        <w:r w:rsidRPr="007C5DA8">
          <w:rPr>
            <w:sz w:val="22"/>
            <w:szCs w:val="22"/>
          </w:rPr>
          <w:delText>Spør lege</w:delText>
        </w:r>
        <w:r w:rsidRPr="00D92908">
          <w:rPr>
            <w:sz w:val="22"/>
            <w:szCs w:val="22"/>
          </w:rPr>
          <w:delText xml:space="preserve"> eller apotek hvis du har flere spørsmål eller trenger mer informasjon. </w:delText>
        </w:r>
      </w:del>
    </w:p>
    <w:p w14:paraId="1B7807AA" w14:textId="69AA3808" w:rsidR="00DE3458" w:rsidRPr="009C5EFD" w:rsidRDefault="00E453CD" w:rsidP="009C5EFD">
      <w:pPr>
        <w:numPr>
          <w:ilvl w:val="0"/>
          <w:numId w:val="1"/>
        </w:numPr>
        <w:ind w:left="567" w:right="-2" w:hanging="567"/>
        <w:rPr>
          <w:del w:id="15061" w:author="AbbVie02no" w:date="2025-05-15T14:21:00Z"/>
          <w:b/>
          <w:sz w:val="22"/>
          <w:szCs w:val="22"/>
        </w:rPr>
      </w:pPr>
      <w:del w:id="15062" w:author="AbbVie02no" w:date="2025-05-15T14:21:00Z">
        <w:r w:rsidRPr="009C5EFD">
          <w:rPr>
            <w:sz w:val="22"/>
            <w:szCs w:val="22"/>
          </w:rPr>
          <w:delText xml:space="preserve">Dette legemidlet er skrevet ut </w:delText>
        </w:r>
        <w:r w:rsidR="00A6322A" w:rsidRPr="009C5EFD">
          <w:rPr>
            <w:sz w:val="22"/>
            <w:szCs w:val="22"/>
          </w:rPr>
          <w:delText xml:space="preserve">kun </w:delText>
        </w:r>
        <w:r w:rsidRPr="009C5EFD">
          <w:rPr>
            <w:sz w:val="22"/>
            <w:szCs w:val="22"/>
          </w:rPr>
          <w:delText xml:space="preserve">til deg. Ikke gi det videre til andre. Det kan skade dem selv om de har symptomer </w:delText>
        </w:r>
        <w:r w:rsidR="002547FB" w:rsidRPr="009C5EFD">
          <w:rPr>
            <w:sz w:val="22"/>
            <w:szCs w:val="22"/>
          </w:rPr>
          <w:delText xml:space="preserve">på </w:delText>
        </w:r>
        <w:r w:rsidR="00A6322A" w:rsidRPr="009C5EFD">
          <w:rPr>
            <w:sz w:val="22"/>
            <w:szCs w:val="22"/>
          </w:rPr>
          <w:delText xml:space="preserve">sykdom </w:delText>
        </w:r>
        <w:r w:rsidRPr="009C5EFD">
          <w:rPr>
            <w:sz w:val="22"/>
            <w:szCs w:val="22"/>
          </w:rPr>
          <w:delText>som ligner dine.</w:delText>
        </w:r>
      </w:del>
    </w:p>
    <w:p w14:paraId="66CAD514" w14:textId="2D0F57CA" w:rsidR="00DE3458" w:rsidRPr="009C5EFD" w:rsidRDefault="00E453CD" w:rsidP="009C5EFD">
      <w:pPr>
        <w:numPr>
          <w:ilvl w:val="0"/>
          <w:numId w:val="1"/>
        </w:numPr>
        <w:ind w:left="567" w:right="-2" w:hanging="567"/>
        <w:rPr>
          <w:del w:id="15063" w:author="AbbVie02no" w:date="2025-05-15T14:21:00Z"/>
          <w:b/>
          <w:sz w:val="22"/>
          <w:szCs w:val="22"/>
        </w:rPr>
      </w:pPr>
      <w:del w:id="15064" w:author="AbbVie02no" w:date="2025-05-15T14:21:00Z">
        <w:r w:rsidRPr="009C5EFD">
          <w:rPr>
            <w:sz w:val="22"/>
            <w:szCs w:val="22"/>
          </w:rPr>
          <w:delText xml:space="preserve">Kontakt lege eller apotek dersom </w:delText>
        </w:r>
        <w:r w:rsidR="00092C95" w:rsidRPr="009C5EFD">
          <w:rPr>
            <w:sz w:val="22"/>
            <w:szCs w:val="22"/>
          </w:rPr>
          <w:delText xml:space="preserve">du opplever </w:delText>
        </w:r>
        <w:r w:rsidRPr="009C5EFD">
          <w:rPr>
            <w:sz w:val="22"/>
            <w:szCs w:val="22"/>
          </w:rPr>
          <w:delText>bivirkninge</w:delText>
        </w:r>
        <w:r w:rsidR="00A6322A" w:rsidRPr="009C5EFD">
          <w:rPr>
            <w:sz w:val="22"/>
            <w:szCs w:val="22"/>
          </w:rPr>
          <w:delText>r</w:delText>
        </w:r>
        <w:r w:rsidR="00092C95" w:rsidRPr="009C5EFD">
          <w:rPr>
            <w:sz w:val="22"/>
            <w:szCs w:val="22"/>
          </w:rPr>
          <w:delText xml:space="preserve">, </w:delText>
        </w:r>
        <w:r w:rsidR="00A6322A" w:rsidRPr="009C5EFD">
          <w:rPr>
            <w:sz w:val="22"/>
            <w:szCs w:val="22"/>
          </w:rPr>
          <w:delText>inkluder</w:delText>
        </w:r>
        <w:r w:rsidR="00092C95" w:rsidRPr="009C5EFD">
          <w:rPr>
            <w:sz w:val="22"/>
            <w:szCs w:val="22"/>
          </w:rPr>
          <w:delText>t</w:delText>
        </w:r>
        <w:r w:rsidR="00A6322A" w:rsidRPr="009C5EFD">
          <w:rPr>
            <w:sz w:val="22"/>
            <w:szCs w:val="22"/>
          </w:rPr>
          <w:delText xml:space="preserve"> mulige</w:delText>
        </w:r>
        <w:r w:rsidRPr="009C5EFD">
          <w:rPr>
            <w:sz w:val="22"/>
            <w:szCs w:val="22"/>
          </w:rPr>
          <w:delText xml:space="preserve"> bivirkninger som ikke er nevnt i dette pakningsvedlegget.</w:delText>
        </w:r>
        <w:r w:rsidR="000D5DAE" w:rsidRPr="009C5EFD">
          <w:rPr>
            <w:sz w:val="22"/>
            <w:szCs w:val="22"/>
          </w:rPr>
          <w:delText xml:space="preserve"> Se avsnitt 4.</w:delText>
        </w:r>
      </w:del>
    </w:p>
    <w:p w14:paraId="0E5D55AE" w14:textId="40A7B653" w:rsidR="00DE3458" w:rsidRPr="009C5EFD" w:rsidRDefault="00DE3458" w:rsidP="001F5D4B">
      <w:pPr>
        <w:ind w:right="-2"/>
        <w:rPr>
          <w:del w:id="15065" w:author="AbbVie02no" w:date="2025-05-15T14:21:00Z"/>
          <w:sz w:val="22"/>
          <w:szCs w:val="22"/>
        </w:rPr>
      </w:pPr>
    </w:p>
    <w:p w14:paraId="2DACBFE4" w14:textId="153B5651" w:rsidR="00DE3458" w:rsidRPr="009C5EFD" w:rsidRDefault="00E453CD" w:rsidP="00776A84">
      <w:pPr>
        <w:keepNext/>
        <w:rPr>
          <w:del w:id="15066" w:author="AbbVie02no" w:date="2025-05-15T14:21:00Z"/>
          <w:sz w:val="22"/>
          <w:szCs w:val="22"/>
        </w:rPr>
      </w:pPr>
      <w:del w:id="15067" w:author="AbbVie02no" w:date="2025-05-15T14:21:00Z">
        <w:r w:rsidRPr="009C5EFD">
          <w:rPr>
            <w:b/>
            <w:sz w:val="22"/>
            <w:szCs w:val="22"/>
          </w:rPr>
          <w:delText>I dette pakningsvedlegget finner du informasjon om</w:delText>
        </w:r>
      </w:del>
    </w:p>
    <w:p w14:paraId="574A52D6" w14:textId="482766EA" w:rsidR="00DE3458" w:rsidRPr="009C5EFD" w:rsidRDefault="00E453CD" w:rsidP="007F67EE">
      <w:pPr>
        <w:ind w:left="567" w:right="-29" w:hanging="567"/>
        <w:rPr>
          <w:del w:id="15068" w:author="AbbVie02no" w:date="2025-05-15T14:21:00Z"/>
          <w:sz w:val="22"/>
          <w:szCs w:val="22"/>
        </w:rPr>
      </w:pPr>
      <w:del w:id="15069" w:author="AbbVie02no" w:date="2025-05-15T14:21:00Z">
        <w:r w:rsidRPr="009C5EFD">
          <w:rPr>
            <w:sz w:val="22"/>
            <w:szCs w:val="22"/>
          </w:rPr>
          <w:delText>1.</w:delText>
        </w:r>
        <w:r w:rsidRPr="009C5EFD">
          <w:rPr>
            <w:sz w:val="22"/>
            <w:szCs w:val="22"/>
          </w:rPr>
          <w:tab/>
          <w:delText>Hva Humira er og hva det brukes mot</w:delText>
        </w:r>
      </w:del>
    </w:p>
    <w:p w14:paraId="5958C0BF" w14:textId="16FF8FC5" w:rsidR="00DE3458" w:rsidRPr="009C5EFD" w:rsidRDefault="00E453CD" w:rsidP="00193D76">
      <w:pPr>
        <w:ind w:left="567" w:right="-29" w:hanging="567"/>
        <w:rPr>
          <w:del w:id="15070" w:author="AbbVie02no" w:date="2025-05-15T14:21:00Z"/>
          <w:sz w:val="22"/>
          <w:szCs w:val="22"/>
        </w:rPr>
      </w:pPr>
      <w:del w:id="15071" w:author="AbbVie02no" w:date="2025-05-15T14:21:00Z">
        <w:r w:rsidRPr="009C5EFD">
          <w:rPr>
            <w:sz w:val="22"/>
            <w:szCs w:val="22"/>
          </w:rPr>
          <w:delText>2.</w:delText>
        </w:r>
        <w:r w:rsidRPr="009C5EFD">
          <w:rPr>
            <w:sz w:val="22"/>
            <w:szCs w:val="22"/>
          </w:rPr>
          <w:tab/>
          <w:delText xml:space="preserve">Hva du må </w:delText>
        </w:r>
        <w:r w:rsidR="002547FB" w:rsidRPr="009C5EFD">
          <w:rPr>
            <w:sz w:val="22"/>
            <w:szCs w:val="22"/>
          </w:rPr>
          <w:delText>vite</w:delText>
        </w:r>
        <w:r w:rsidRPr="009C5EFD">
          <w:rPr>
            <w:sz w:val="22"/>
            <w:szCs w:val="22"/>
          </w:rPr>
          <w:delText xml:space="preserve"> før du bruker Humira</w:delText>
        </w:r>
      </w:del>
    </w:p>
    <w:p w14:paraId="3CE73388" w14:textId="2AF5A995" w:rsidR="00DE3458" w:rsidRPr="009C5EFD" w:rsidRDefault="00E453CD" w:rsidP="002D0790">
      <w:pPr>
        <w:ind w:left="567" w:right="-29" w:hanging="567"/>
        <w:rPr>
          <w:del w:id="15072" w:author="AbbVie02no" w:date="2025-05-15T14:21:00Z"/>
          <w:sz w:val="22"/>
          <w:szCs w:val="22"/>
        </w:rPr>
      </w:pPr>
      <w:del w:id="15073" w:author="AbbVie02no" w:date="2025-05-15T14:21:00Z">
        <w:r w:rsidRPr="009C5EFD">
          <w:rPr>
            <w:sz w:val="22"/>
            <w:szCs w:val="22"/>
          </w:rPr>
          <w:delText>3.</w:delText>
        </w:r>
        <w:r w:rsidRPr="009C5EFD">
          <w:rPr>
            <w:sz w:val="22"/>
            <w:szCs w:val="22"/>
          </w:rPr>
          <w:tab/>
          <w:delText>Hvordan du bruker Humira</w:delText>
        </w:r>
      </w:del>
    </w:p>
    <w:p w14:paraId="0CB0C193" w14:textId="5D0F1FA1" w:rsidR="00DE3458" w:rsidRPr="009C5EFD" w:rsidRDefault="00E453CD" w:rsidP="00C07C98">
      <w:pPr>
        <w:ind w:left="567" w:right="-29" w:hanging="567"/>
        <w:rPr>
          <w:del w:id="15074" w:author="AbbVie02no" w:date="2025-05-15T14:21:00Z"/>
          <w:sz w:val="22"/>
          <w:szCs w:val="22"/>
        </w:rPr>
      </w:pPr>
      <w:del w:id="15075" w:author="AbbVie02no" w:date="2025-05-15T14:21:00Z">
        <w:r w:rsidRPr="009C5EFD">
          <w:rPr>
            <w:sz w:val="22"/>
            <w:szCs w:val="22"/>
          </w:rPr>
          <w:delText>4.</w:delText>
        </w:r>
        <w:r w:rsidRPr="009C5EFD">
          <w:rPr>
            <w:sz w:val="22"/>
            <w:szCs w:val="22"/>
          </w:rPr>
          <w:tab/>
          <w:delText>Mulige bivirkninger</w:delText>
        </w:r>
      </w:del>
    </w:p>
    <w:p w14:paraId="73FEDDB8" w14:textId="531E31E4" w:rsidR="00DE3458" w:rsidRPr="009C5EFD" w:rsidRDefault="00E453CD" w:rsidP="00E14E58">
      <w:pPr>
        <w:ind w:left="567" w:right="-29" w:hanging="567"/>
        <w:rPr>
          <w:del w:id="15076" w:author="AbbVie02no" w:date="2025-05-15T14:21:00Z"/>
          <w:sz w:val="22"/>
          <w:szCs w:val="22"/>
        </w:rPr>
      </w:pPr>
      <w:del w:id="15077" w:author="AbbVie02no" w:date="2025-05-15T14:21:00Z">
        <w:r w:rsidRPr="009C5EFD">
          <w:rPr>
            <w:sz w:val="22"/>
            <w:szCs w:val="22"/>
          </w:rPr>
          <w:delText>5.</w:delText>
        </w:r>
        <w:r w:rsidRPr="009C5EFD">
          <w:rPr>
            <w:sz w:val="22"/>
            <w:szCs w:val="22"/>
          </w:rPr>
          <w:tab/>
          <w:delText>Hvordan du oppbevarer Humira</w:delText>
        </w:r>
      </w:del>
    </w:p>
    <w:p w14:paraId="138CDA53" w14:textId="01E3EAD5" w:rsidR="00DE3458" w:rsidRPr="009C5EFD" w:rsidRDefault="00E453CD" w:rsidP="009C5EFD">
      <w:pPr>
        <w:ind w:left="567" w:right="-29" w:hanging="567"/>
        <w:rPr>
          <w:del w:id="15078" w:author="AbbVie02no" w:date="2025-05-15T14:21:00Z"/>
          <w:sz w:val="22"/>
          <w:szCs w:val="22"/>
        </w:rPr>
      </w:pPr>
      <w:del w:id="15079" w:author="AbbVie02no" w:date="2025-05-15T14:21:00Z">
        <w:r w:rsidRPr="009C5EFD">
          <w:rPr>
            <w:sz w:val="22"/>
            <w:szCs w:val="22"/>
          </w:rPr>
          <w:delText>6.</w:delText>
        </w:r>
        <w:r w:rsidRPr="009C5EFD">
          <w:rPr>
            <w:sz w:val="22"/>
            <w:szCs w:val="22"/>
          </w:rPr>
          <w:tab/>
        </w:r>
        <w:r w:rsidR="00BB24A8" w:rsidRPr="009C5EFD">
          <w:rPr>
            <w:sz w:val="22"/>
            <w:szCs w:val="22"/>
          </w:rPr>
          <w:delText xml:space="preserve">Innholdet i pakningen og </w:delText>
        </w:r>
        <w:r w:rsidR="002547FB" w:rsidRPr="009C5EFD">
          <w:rPr>
            <w:sz w:val="22"/>
            <w:szCs w:val="22"/>
          </w:rPr>
          <w:delText>y</w:delText>
        </w:r>
        <w:r w:rsidRPr="009C5EFD">
          <w:rPr>
            <w:sz w:val="22"/>
            <w:szCs w:val="22"/>
          </w:rPr>
          <w:delText>tterligere informasjon</w:delText>
        </w:r>
      </w:del>
    </w:p>
    <w:p w14:paraId="1DA06D02" w14:textId="1FB498B1" w:rsidR="00DE3458" w:rsidRPr="009C5EFD" w:rsidRDefault="00DE3458" w:rsidP="001F5D4B">
      <w:pPr>
        <w:ind w:right="-29"/>
        <w:rPr>
          <w:del w:id="15080" w:author="AbbVie02no" w:date="2025-05-15T14:21:00Z"/>
          <w:sz w:val="22"/>
          <w:szCs w:val="22"/>
        </w:rPr>
      </w:pPr>
    </w:p>
    <w:p w14:paraId="2E82AAD0" w14:textId="6E527154" w:rsidR="00DE3458" w:rsidRPr="009C5EFD" w:rsidRDefault="00DE3458" w:rsidP="007F67EE">
      <w:pPr>
        <w:suppressAutoHyphens/>
        <w:rPr>
          <w:del w:id="15081" w:author="AbbVie02no" w:date="2025-05-15T14:21:00Z"/>
          <w:sz w:val="22"/>
          <w:szCs w:val="22"/>
        </w:rPr>
      </w:pPr>
    </w:p>
    <w:p w14:paraId="65DFB32B" w14:textId="2C5BE7A7" w:rsidR="00DE3458" w:rsidRPr="009C5EFD" w:rsidRDefault="00E453CD" w:rsidP="00776A84">
      <w:pPr>
        <w:keepNext/>
        <w:suppressAutoHyphens/>
        <w:ind w:left="567" w:hanging="567"/>
        <w:rPr>
          <w:del w:id="15082" w:author="AbbVie02no" w:date="2025-05-15T14:21:00Z"/>
          <w:sz w:val="22"/>
          <w:szCs w:val="22"/>
        </w:rPr>
      </w:pPr>
      <w:del w:id="15083" w:author="AbbVie02no" w:date="2025-05-15T14:21:00Z">
        <w:r w:rsidRPr="009C5EFD">
          <w:rPr>
            <w:b/>
            <w:sz w:val="22"/>
            <w:szCs w:val="22"/>
          </w:rPr>
          <w:delText>1.</w:delText>
        </w:r>
        <w:r w:rsidRPr="009C5EFD">
          <w:rPr>
            <w:b/>
            <w:sz w:val="22"/>
            <w:szCs w:val="22"/>
          </w:rPr>
          <w:tab/>
        </w:r>
        <w:r w:rsidR="00BB24A8" w:rsidRPr="009C5EFD">
          <w:rPr>
            <w:b/>
            <w:sz w:val="22"/>
            <w:szCs w:val="22"/>
          </w:rPr>
          <w:delText>Hva Humira er og hva det brukes mot</w:delText>
        </w:r>
      </w:del>
    </w:p>
    <w:p w14:paraId="51E96F02" w14:textId="5CD2AEF5" w:rsidR="00DE3458" w:rsidRPr="009C5EFD" w:rsidRDefault="00DE3458" w:rsidP="00776A84">
      <w:pPr>
        <w:keepNext/>
        <w:rPr>
          <w:del w:id="15084" w:author="AbbVie02no" w:date="2025-05-15T14:21:00Z"/>
          <w:sz w:val="22"/>
          <w:szCs w:val="22"/>
        </w:rPr>
      </w:pPr>
    </w:p>
    <w:p w14:paraId="03547945" w14:textId="3C2D3A3E" w:rsidR="00F827E5" w:rsidRDefault="00E453CD" w:rsidP="007F67EE">
      <w:pPr>
        <w:suppressAutoHyphens/>
        <w:rPr>
          <w:del w:id="15085" w:author="AbbVie02no" w:date="2025-05-15T14:21:00Z"/>
          <w:sz w:val="22"/>
          <w:szCs w:val="22"/>
        </w:rPr>
      </w:pPr>
      <w:del w:id="15086" w:author="AbbVie02no" w:date="2025-05-15T14:21:00Z">
        <w:r w:rsidRPr="009C5EFD">
          <w:rPr>
            <w:sz w:val="22"/>
            <w:szCs w:val="22"/>
          </w:rPr>
          <w:delText xml:space="preserve">Humira inneholder </w:delText>
        </w:r>
        <w:r w:rsidR="00B37BD4" w:rsidRPr="009C5EFD">
          <w:rPr>
            <w:sz w:val="22"/>
            <w:szCs w:val="22"/>
          </w:rPr>
          <w:delText>virkestoffet</w:delText>
        </w:r>
        <w:r w:rsidRPr="009C5EFD">
          <w:rPr>
            <w:sz w:val="22"/>
            <w:szCs w:val="22"/>
          </w:rPr>
          <w:delText xml:space="preserve"> adalimumab.</w:delText>
        </w:r>
      </w:del>
    </w:p>
    <w:p w14:paraId="5ABD01DD" w14:textId="2E204101" w:rsidR="00F827E5" w:rsidRDefault="00F827E5" w:rsidP="007F67EE">
      <w:pPr>
        <w:suppressAutoHyphens/>
        <w:rPr>
          <w:del w:id="15087" w:author="AbbVie02no" w:date="2025-05-15T14:21:00Z"/>
          <w:sz w:val="22"/>
          <w:szCs w:val="22"/>
        </w:rPr>
      </w:pPr>
    </w:p>
    <w:p w14:paraId="1FFD652A" w14:textId="4DB9F6F2" w:rsidR="00F827E5" w:rsidRDefault="00E453CD" w:rsidP="007F67EE">
      <w:pPr>
        <w:suppressAutoHyphens/>
        <w:rPr>
          <w:del w:id="15088" w:author="AbbVie02no" w:date="2025-05-15T14:21:00Z"/>
          <w:sz w:val="22"/>
          <w:szCs w:val="22"/>
        </w:rPr>
      </w:pPr>
      <w:del w:id="15089" w:author="AbbVie02no" w:date="2025-05-15T14:21:00Z">
        <w:r w:rsidRPr="009C5EFD">
          <w:rPr>
            <w:sz w:val="22"/>
            <w:szCs w:val="22"/>
          </w:rPr>
          <w:delText xml:space="preserve">Humira </w:delText>
        </w:r>
        <w:r w:rsidR="0063534D" w:rsidRPr="009C5EFD">
          <w:rPr>
            <w:sz w:val="22"/>
            <w:szCs w:val="22"/>
          </w:rPr>
          <w:delText xml:space="preserve">brukes </w:delText>
        </w:r>
        <w:r w:rsidR="006A5138">
          <w:rPr>
            <w:sz w:val="22"/>
            <w:szCs w:val="22"/>
          </w:rPr>
          <w:delText>til</w:delText>
        </w:r>
        <w:r>
          <w:rPr>
            <w:sz w:val="22"/>
            <w:szCs w:val="22"/>
          </w:rPr>
          <w:delText xml:space="preserve"> å</w:delText>
        </w:r>
        <w:r w:rsidR="0063534D" w:rsidRPr="009C5EFD">
          <w:rPr>
            <w:sz w:val="22"/>
            <w:szCs w:val="22"/>
          </w:rPr>
          <w:delText xml:space="preserve"> </w:delText>
        </w:r>
        <w:r w:rsidRPr="009C5EFD">
          <w:rPr>
            <w:sz w:val="22"/>
            <w:szCs w:val="22"/>
          </w:rPr>
          <w:delText>behandl</w:delText>
        </w:r>
        <w:r>
          <w:rPr>
            <w:sz w:val="22"/>
            <w:szCs w:val="22"/>
          </w:rPr>
          <w:delText>e</w:delText>
        </w:r>
        <w:r w:rsidR="00A84CEA">
          <w:rPr>
            <w:sz w:val="22"/>
            <w:szCs w:val="22"/>
          </w:rPr>
          <w:delText xml:space="preserve"> </w:delText>
        </w:r>
        <w:r>
          <w:rPr>
            <w:sz w:val="22"/>
            <w:szCs w:val="22"/>
          </w:rPr>
          <w:delText>betennelsessykdommene beskrevet under:</w:delText>
        </w:r>
      </w:del>
    </w:p>
    <w:p w14:paraId="571EB99F" w14:textId="33EF85D3" w:rsidR="00F827E5" w:rsidRPr="00F827E5" w:rsidRDefault="00E453CD" w:rsidP="00F827E5">
      <w:pPr>
        <w:keepLines/>
        <w:numPr>
          <w:ilvl w:val="0"/>
          <w:numId w:val="143"/>
        </w:numPr>
        <w:tabs>
          <w:tab w:val="left" w:pos="562"/>
        </w:tabs>
        <w:suppressAutoHyphens/>
        <w:ind w:left="284" w:right="-2" w:hanging="284"/>
        <w:rPr>
          <w:del w:id="15090" w:author="AbbVie02no" w:date="2025-05-15T14:21:00Z"/>
          <w:noProof/>
          <w:color w:val="000000"/>
          <w:sz w:val="22"/>
          <w:szCs w:val="22"/>
        </w:rPr>
      </w:pPr>
      <w:del w:id="15091" w:author="AbbVie02no" w:date="2025-05-15T14:21:00Z">
        <w:r w:rsidRPr="00F827E5">
          <w:rPr>
            <w:noProof/>
            <w:color w:val="000000"/>
            <w:sz w:val="22"/>
            <w:szCs w:val="22"/>
          </w:rPr>
          <w:delText>R</w:delText>
        </w:r>
        <w:r>
          <w:rPr>
            <w:noProof/>
            <w:color w:val="000000"/>
            <w:sz w:val="22"/>
            <w:szCs w:val="22"/>
          </w:rPr>
          <w:delText>evmatoid artritt</w:delText>
        </w:r>
      </w:del>
    </w:p>
    <w:p w14:paraId="50C3FFE6" w14:textId="7592E279" w:rsidR="00F827E5" w:rsidRDefault="00E453CD" w:rsidP="00F827E5">
      <w:pPr>
        <w:keepLines/>
        <w:numPr>
          <w:ilvl w:val="0"/>
          <w:numId w:val="143"/>
        </w:numPr>
        <w:tabs>
          <w:tab w:val="left" w:pos="562"/>
        </w:tabs>
        <w:suppressAutoHyphens/>
        <w:ind w:left="284" w:right="-2" w:hanging="284"/>
        <w:rPr>
          <w:del w:id="15092" w:author="AbbVie02no" w:date="2025-05-15T14:21:00Z"/>
          <w:noProof/>
          <w:color w:val="000000"/>
          <w:sz w:val="22"/>
          <w:szCs w:val="22"/>
        </w:rPr>
      </w:pPr>
      <w:del w:id="15093" w:author="AbbVie02no" w:date="2025-05-15T14:21:00Z">
        <w:r w:rsidRPr="00F827E5">
          <w:rPr>
            <w:noProof/>
            <w:color w:val="000000"/>
            <w:sz w:val="22"/>
            <w:szCs w:val="22"/>
          </w:rPr>
          <w:delText>Polyarti</w:delText>
        </w:r>
        <w:r>
          <w:rPr>
            <w:noProof/>
            <w:color w:val="000000"/>
            <w:sz w:val="22"/>
            <w:szCs w:val="22"/>
          </w:rPr>
          <w:delText>kulær juvenil</w:delText>
        </w:r>
        <w:r w:rsidRPr="00F827E5">
          <w:rPr>
            <w:noProof/>
            <w:color w:val="000000"/>
            <w:sz w:val="22"/>
            <w:szCs w:val="22"/>
          </w:rPr>
          <w:delText xml:space="preserve"> idiopati</w:delText>
        </w:r>
        <w:r>
          <w:rPr>
            <w:noProof/>
            <w:color w:val="000000"/>
            <w:sz w:val="22"/>
            <w:szCs w:val="22"/>
          </w:rPr>
          <w:delText>sk</w:delText>
        </w:r>
        <w:r w:rsidRPr="00F827E5">
          <w:rPr>
            <w:noProof/>
            <w:color w:val="000000"/>
            <w:sz w:val="22"/>
            <w:szCs w:val="22"/>
          </w:rPr>
          <w:delText xml:space="preserve"> artrit</w:delText>
        </w:r>
        <w:r>
          <w:rPr>
            <w:noProof/>
            <w:color w:val="000000"/>
            <w:sz w:val="22"/>
            <w:szCs w:val="22"/>
          </w:rPr>
          <w:delText>t</w:delText>
        </w:r>
      </w:del>
    </w:p>
    <w:p w14:paraId="0A3CED0E" w14:textId="719C19A9" w:rsidR="00F827E5" w:rsidRDefault="00E453CD" w:rsidP="00F827E5">
      <w:pPr>
        <w:keepLines/>
        <w:numPr>
          <w:ilvl w:val="0"/>
          <w:numId w:val="143"/>
        </w:numPr>
        <w:tabs>
          <w:tab w:val="left" w:pos="562"/>
        </w:tabs>
        <w:suppressAutoHyphens/>
        <w:ind w:left="284" w:right="-2" w:hanging="284"/>
        <w:rPr>
          <w:del w:id="15094" w:author="AbbVie02no" w:date="2025-05-15T14:21:00Z"/>
          <w:noProof/>
          <w:color w:val="000000"/>
          <w:sz w:val="22"/>
          <w:szCs w:val="22"/>
        </w:rPr>
      </w:pPr>
      <w:del w:id="15095" w:author="AbbVie02no" w:date="2025-05-15T14:21:00Z">
        <w:r>
          <w:rPr>
            <w:noProof/>
            <w:color w:val="000000"/>
            <w:sz w:val="22"/>
            <w:szCs w:val="22"/>
          </w:rPr>
          <w:delText>Entesittrelatert artritt</w:delText>
        </w:r>
      </w:del>
    </w:p>
    <w:p w14:paraId="5E5EE509" w14:textId="63A114FB" w:rsidR="00F827E5" w:rsidRDefault="00E453CD" w:rsidP="00F827E5">
      <w:pPr>
        <w:keepLines/>
        <w:numPr>
          <w:ilvl w:val="0"/>
          <w:numId w:val="143"/>
        </w:numPr>
        <w:tabs>
          <w:tab w:val="left" w:pos="562"/>
        </w:tabs>
        <w:suppressAutoHyphens/>
        <w:ind w:left="284" w:right="-2" w:hanging="284"/>
        <w:rPr>
          <w:del w:id="15096" w:author="AbbVie02no" w:date="2025-05-15T14:21:00Z"/>
          <w:noProof/>
          <w:color w:val="000000"/>
          <w:sz w:val="22"/>
          <w:szCs w:val="22"/>
        </w:rPr>
      </w:pPr>
      <w:del w:id="15097" w:author="AbbVie02no" w:date="2025-05-15T14:21:00Z">
        <w:r>
          <w:rPr>
            <w:noProof/>
            <w:color w:val="000000"/>
            <w:sz w:val="22"/>
            <w:szCs w:val="22"/>
          </w:rPr>
          <w:delText>Bekh</w:delText>
        </w:r>
        <w:r w:rsidR="00F31617">
          <w:rPr>
            <w:noProof/>
            <w:color w:val="000000"/>
            <w:sz w:val="22"/>
            <w:szCs w:val="22"/>
          </w:rPr>
          <w:delText>t</w:delText>
        </w:r>
        <w:r>
          <w:rPr>
            <w:noProof/>
            <w:color w:val="000000"/>
            <w:sz w:val="22"/>
            <w:szCs w:val="22"/>
          </w:rPr>
          <w:delText>erevs sykdom (ankyloserende spondylitt)</w:delText>
        </w:r>
      </w:del>
    </w:p>
    <w:p w14:paraId="798577E3" w14:textId="5E35CC09" w:rsidR="00F827E5" w:rsidRDefault="00E453CD" w:rsidP="00F827E5">
      <w:pPr>
        <w:keepLines/>
        <w:numPr>
          <w:ilvl w:val="0"/>
          <w:numId w:val="143"/>
        </w:numPr>
        <w:tabs>
          <w:tab w:val="left" w:pos="562"/>
        </w:tabs>
        <w:suppressAutoHyphens/>
        <w:ind w:left="284" w:right="-2" w:hanging="284"/>
        <w:rPr>
          <w:del w:id="15098" w:author="AbbVie02no" w:date="2025-05-15T14:21:00Z"/>
          <w:noProof/>
          <w:color w:val="000000"/>
          <w:sz w:val="22"/>
          <w:szCs w:val="22"/>
        </w:rPr>
      </w:pPr>
      <w:del w:id="15099" w:author="AbbVie02no" w:date="2025-05-15T14:21:00Z">
        <w:r>
          <w:rPr>
            <w:noProof/>
            <w:color w:val="000000"/>
            <w:sz w:val="22"/>
            <w:szCs w:val="22"/>
          </w:rPr>
          <w:delText>Aksial spon</w:delText>
        </w:r>
        <w:r w:rsidR="006A5138">
          <w:rPr>
            <w:noProof/>
            <w:color w:val="000000"/>
            <w:sz w:val="22"/>
            <w:szCs w:val="22"/>
          </w:rPr>
          <w:delText>d</w:delText>
        </w:r>
        <w:r>
          <w:rPr>
            <w:noProof/>
            <w:color w:val="000000"/>
            <w:sz w:val="22"/>
            <w:szCs w:val="22"/>
          </w:rPr>
          <w:delText>ylartritt uten radiografisk bekreftelse på ankyloserende spondylitt</w:delText>
        </w:r>
      </w:del>
    </w:p>
    <w:p w14:paraId="105535B4" w14:textId="6E99375C" w:rsidR="00F827E5" w:rsidRDefault="00E453CD" w:rsidP="00F827E5">
      <w:pPr>
        <w:keepLines/>
        <w:numPr>
          <w:ilvl w:val="0"/>
          <w:numId w:val="143"/>
        </w:numPr>
        <w:tabs>
          <w:tab w:val="left" w:pos="562"/>
        </w:tabs>
        <w:suppressAutoHyphens/>
        <w:ind w:left="284" w:right="-2" w:hanging="284"/>
        <w:rPr>
          <w:del w:id="15100" w:author="AbbVie02no" w:date="2025-05-15T14:21:00Z"/>
          <w:noProof/>
          <w:color w:val="000000"/>
          <w:sz w:val="22"/>
          <w:szCs w:val="22"/>
        </w:rPr>
      </w:pPr>
      <w:del w:id="15101" w:author="AbbVie02no" w:date="2025-05-15T14:21:00Z">
        <w:r>
          <w:rPr>
            <w:noProof/>
            <w:color w:val="000000"/>
            <w:sz w:val="22"/>
            <w:szCs w:val="22"/>
          </w:rPr>
          <w:delText>Psoriasisartritt</w:delText>
        </w:r>
      </w:del>
    </w:p>
    <w:p w14:paraId="2FFA0625" w14:textId="67446669" w:rsidR="00F827E5" w:rsidRDefault="00E453CD" w:rsidP="00F827E5">
      <w:pPr>
        <w:keepLines/>
        <w:numPr>
          <w:ilvl w:val="0"/>
          <w:numId w:val="143"/>
        </w:numPr>
        <w:tabs>
          <w:tab w:val="left" w:pos="562"/>
        </w:tabs>
        <w:suppressAutoHyphens/>
        <w:ind w:left="284" w:right="-2" w:hanging="284"/>
        <w:rPr>
          <w:del w:id="15102" w:author="AbbVie02no" w:date="2025-05-15T14:21:00Z"/>
          <w:noProof/>
          <w:color w:val="000000"/>
          <w:sz w:val="22"/>
          <w:szCs w:val="22"/>
        </w:rPr>
      </w:pPr>
      <w:del w:id="15103" w:author="AbbVie02no" w:date="2025-05-15T14:21:00Z">
        <w:r>
          <w:rPr>
            <w:noProof/>
            <w:color w:val="000000"/>
            <w:sz w:val="22"/>
            <w:szCs w:val="22"/>
          </w:rPr>
          <w:delText>Psoriasis</w:delText>
        </w:r>
      </w:del>
    </w:p>
    <w:p w14:paraId="25CA856C" w14:textId="61C02031" w:rsidR="00F827E5" w:rsidRDefault="00E453CD" w:rsidP="00F827E5">
      <w:pPr>
        <w:keepLines/>
        <w:numPr>
          <w:ilvl w:val="0"/>
          <w:numId w:val="143"/>
        </w:numPr>
        <w:tabs>
          <w:tab w:val="left" w:pos="562"/>
        </w:tabs>
        <w:suppressAutoHyphens/>
        <w:ind w:left="284" w:right="-2" w:hanging="284"/>
        <w:rPr>
          <w:del w:id="15104" w:author="AbbVie02no" w:date="2025-05-15T14:21:00Z"/>
          <w:noProof/>
          <w:color w:val="000000"/>
          <w:sz w:val="22"/>
          <w:szCs w:val="22"/>
        </w:rPr>
      </w:pPr>
      <w:del w:id="15105" w:author="AbbVie02no" w:date="2025-05-15T14:21:00Z">
        <w:r>
          <w:rPr>
            <w:noProof/>
            <w:color w:val="000000"/>
            <w:sz w:val="22"/>
            <w:szCs w:val="22"/>
          </w:rPr>
          <w:delText>Hidrosadenitt</w:delText>
        </w:r>
      </w:del>
    </w:p>
    <w:p w14:paraId="656D3AC0" w14:textId="68377261" w:rsidR="00F827E5" w:rsidRDefault="00E453CD" w:rsidP="00F827E5">
      <w:pPr>
        <w:keepLines/>
        <w:numPr>
          <w:ilvl w:val="0"/>
          <w:numId w:val="143"/>
        </w:numPr>
        <w:tabs>
          <w:tab w:val="left" w:pos="562"/>
        </w:tabs>
        <w:suppressAutoHyphens/>
        <w:ind w:left="284" w:right="-2" w:hanging="284"/>
        <w:rPr>
          <w:del w:id="15106" w:author="AbbVie02no" w:date="2025-05-15T14:21:00Z"/>
          <w:noProof/>
          <w:color w:val="000000"/>
          <w:sz w:val="22"/>
          <w:szCs w:val="22"/>
        </w:rPr>
      </w:pPr>
      <w:del w:id="15107" w:author="AbbVie02no" w:date="2025-05-15T14:21:00Z">
        <w:r>
          <w:rPr>
            <w:noProof/>
            <w:color w:val="000000"/>
            <w:sz w:val="22"/>
            <w:szCs w:val="22"/>
          </w:rPr>
          <w:delText>Crohns sykdom</w:delText>
        </w:r>
      </w:del>
    </w:p>
    <w:p w14:paraId="2A73D2A2" w14:textId="55F42399" w:rsidR="00F827E5" w:rsidRDefault="00E453CD" w:rsidP="00F827E5">
      <w:pPr>
        <w:keepLines/>
        <w:numPr>
          <w:ilvl w:val="0"/>
          <w:numId w:val="143"/>
        </w:numPr>
        <w:tabs>
          <w:tab w:val="left" w:pos="562"/>
        </w:tabs>
        <w:suppressAutoHyphens/>
        <w:ind w:left="284" w:right="-2" w:hanging="284"/>
        <w:rPr>
          <w:del w:id="15108" w:author="AbbVie02no" w:date="2025-05-15T14:21:00Z"/>
          <w:noProof/>
          <w:color w:val="000000"/>
          <w:sz w:val="22"/>
          <w:szCs w:val="22"/>
        </w:rPr>
      </w:pPr>
      <w:del w:id="15109" w:author="AbbVie02no" w:date="2025-05-15T14:21:00Z">
        <w:r>
          <w:rPr>
            <w:noProof/>
            <w:color w:val="000000"/>
            <w:sz w:val="22"/>
            <w:szCs w:val="22"/>
          </w:rPr>
          <w:delText>Ulcerøs kolitt</w:delText>
        </w:r>
      </w:del>
    </w:p>
    <w:p w14:paraId="3864667F" w14:textId="225736EE" w:rsidR="00F827E5" w:rsidRPr="00F827E5" w:rsidRDefault="00E453CD" w:rsidP="00F827E5">
      <w:pPr>
        <w:keepLines/>
        <w:numPr>
          <w:ilvl w:val="0"/>
          <w:numId w:val="143"/>
        </w:numPr>
        <w:tabs>
          <w:tab w:val="left" w:pos="562"/>
        </w:tabs>
        <w:suppressAutoHyphens/>
        <w:ind w:left="284" w:right="-2" w:hanging="284"/>
        <w:rPr>
          <w:del w:id="15110" w:author="AbbVie02no" w:date="2025-05-15T14:21:00Z"/>
          <w:noProof/>
          <w:color w:val="000000"/>
          <w:sz w:val="22"/>
          <w:szCs w:val="22"/>
        </w:rPr>
      </w:pPr>
      <w:del w:id="15111" w:author="AbbVie02no" w:date="2025-05-15T14:21:00Z">
        <w:r>
          <w:rPr>
            <w:noProof/>
            <w:color w:val="000000"/>
            <w:sz w:val="22"/>
            <w:szCs w:val="22"/>
          </w:rPr>
          <w:delText>Ikke-infeksiøs uveitt</w:delText>
        </w:r>
      </w:del>
    </w:p>
    <w:p w14:paraId="7EBCE136" w14:textId="06E3011C" w:rsidR="00F827E5" w:rsidRDefault="00F827E5" w:rsidP="007F67EE">
      <w:pPr>
        <w:suppressAutoHyphens/>
        <w:rPr>
          <w:del w:id="15112" w:author="AbbVie02no" w:date="2025-05-15T14:21:00Z"/>
          <w:sz w:val="22"/>
          <w:szCs w:val="22"/>
        </w:rPr>
      </w:pPr>
    </w:p>
    <w:p w14:paraId="2F18D4F9" w14:textId="7ED7A669" w:rsidR="00F827E5" w:rsidRDefault="00E453CD" w:rsidP="007F67EE">
      <w:pPr>
        <w:suppressAutoHyphens/>
        <w:rPr>
          <w:del w:id="15113" w:author="AbbVie02no" w:date="2025-05-15T14:21:00Z"/>
          <w:sz w:val="22"/>
          <w:szCs w:val="22"/>
        </w:rPr>
      </w:pPr>
      <w:del w:id="15114" w:author="AbbVie02no" w:date="2025-05-15T14:21:00Z">
        <w:r w:rsidRPr="009C5EFD">
          <w:rPr>
            <w:sz w:val="22"/>
            <w:szCs w:val="22"/>
          </w:rPr>
          <w:delText>Virkestoffet</w:delText>
        </w:r>
        <w:r>
          <w:rPr>
            <w:sz w:val="22"/>
            <w:szCs w:val="22"/>
          </w:rPr>
          <w:delText xml:space="preserve"> i Humira</w:delText>
        </w:r>
        <w:r w:rsidRPr="009C5EFD">
          <w:rPr>
            <w:sz w:val="22"/>
            <w:szCs w:val="22"/>
          </w:rPr>
          <w:delText xml:space="preserve">, adalimumab, er et humant monoklonalt antistoff. Monoklonale antistoffer er proteiner som </w:delText>
        </w:r>
        <w:r>
          <w:rPr>
            <w:sz w:val="22"/>
            <w:szCs w:val="22"/>
          </w:rPr>
          <w:delText>fester</w:delText>
        </w:r>
        <w:r w:rsidRPr="009C5EFD">
          <w:rPr>
            <w:sz w:val="22"/>
            <w:szCs w:val="22"/>
          </w:rPr>
          <w:delText xml:space="preserve"> seg til </w:delText>
        </w:r>
        <w:r>
          <w:rPr>
            <w:sz w:val="22"/>
            <w:szCs w:val="22"/>
          </w:rPr>
          <w:delText>et spesifikt mål</w:delText>
        </w:r>
        <w:r w:rsidRPr="009C5EFD">
          <w:rPr>
            <w:sz w:val="22"/>
            <w:szCs w:val="22"/>
          </w:rPr>
          <w:delText>.</w:delText>
        </w:r>
      </w:del>
    </w:p>
    <w:p w14:paraId="66AF0DC6" w14:textId="3217F5AB" w:rsidR="00F827E5" w:rsidRDefault="00F827E5" w:rsidP="007F67EE">
      <w:pPr>
        <w:suppressAutoHyphens/>
        <w:rPr>
          <w:del w:id="15115" w:author="AbbVie02no" w:date="2025-05-15T14:21:00Z"/>
          <w:sz w:val="22"/>
          <w:szCs w:val="22"/>
        </w:rPr>
      </w:pPr>
    </w:p>
    <w:p w14:paraId="64B06368" w14:textId="0890BBC6" w:rsidR="00DE3458" w:rsidRPr="009C5EFD" w:rsidRDefault="00E453CD" w:rsidP="007F67EE">
      <w:pPr>
        <w:suppressAutoHyphens/>
        <w:rPr>
          <w:del w:id="15116" w:author="AbbVie02no" w:date="2025-05-15T14:21:00Z"/>
          <w:sz w:val="22"/>
          <w:szCs w:val="22"/>
        </w:rPr>
      </w:pPr>
      <w:del w:id="15117" w:author="AbbVie02no" w:date="2025-05-15T14:21:00Z">
        <w:r>
          <w:rPr>
            <w:sz w:val="22"/>
            <w:szCs w:val="22"/>
          </w:rPr>
          <w:delText>Målet til a</w:delText>
        </w:r>
        <w:r w:rsidRPr="009C5EFD">
          <w:rPr>
            <w:sz w:val="22"/>
            <w:szCs w:val="22"/>
          </w:rPr>
          <w:delText xml:space="preserve">dalimumab </w:delText>
        </w:r>
        <w:r>
          <w:rPr>
            <w:sz w:val="22"/>
            <w:szCs w:val="22"/>
          </w:rPr>
          <w:delText>er</w:delText>
        </w:r>
        <w:r w:rsidRPr="009C5EFD">
          <w:rPr>
            <w:sz w:val="22"/>
            <w:szCs w:val="22"/>
          </w:rPr>
          <w:delText xml:space="preserve"> et protein </w:delText>
        </w:r>
        <w:r>
          <w:rPr>
            <w:sz w:val="22"/>
            <w:szCs w:val="22"/>
          </w:rPr>
          <w:delText xml:space="preserve">som kalles </w:delText>
        </w:r>
        <w:r w:rsidRPr="009C5EFD">
          <w:rPr>
            <w:sz w:val="22"/>
            <w:szCs w:val="22"/>
          </w:rPr>
          <w:delText xml:space="preserve">tumornekrosefaktor </w:delText>
        </w:r>
        <w:r>
          <w:rPr>
            <w:sz w:val="22"/>
            <w:szCs w:val="22"/>
          </w:rPr>
          <w:delText>(</w:delText>
        </w:r>
        <w:r w:rsidRPr="009C5EFD">
          <w:rPr>
            <w:sz w:val="22"/>
            <w:szCs w:val="22"/>
          </w:rPr>
          <w:delText>TNF</w:delText>
        </w:r>
        <w:r>
          <w:rPr>
            <w:sz w:val="22"/>
            <w:szCs w:val="22"/>
          </w:rPr>
          <w:delText>α</w:delText>
        </w:r>
        <w:r w:rsidRPr="009C5EFD">
          <w:rPr>
            <w:sz w:val="22"/>
            <w:szCs w:val="22"/>
          </w:rPr>
          <w:delText>), som</w:delText>
        </w:r>
        <w:r>
          <w:rPr>
            <w:sz w:val="22"/>
            <w:szCs w:val="22"/>
          </w:rPr>
          <w:delText xml:space="preserve"> er involvert i immunforsvaret. Ved betennelsessykdommene ovenfor foreligger det i økte nivåer. Ved å feste seg til TNFα, senker Humira betennelsesprosessen ved disse tilstandene.</w:delText>
        </w:r>
      </w:del>
    </w:p>
    <w:p w14:paraId="5DE27DFF" w14:textId="338056F3" w:rsidR="00DE3458" w:rsidRPr="009C5EFD" w:rsidRDefault="00DE3458" w:rsidP="00193D76">
      <w:pPr>
        <w:suppressAutoHyphens/>
        <w:rPr>
          <w:del w:id="15118" w:author="AbbVie02no" w:date="2025-05-15T14:21:00Z"/>
          <w:sz w:val="22"/>
          <w:szCs w:val="22"/>
        </w:rPr>
      </w:pPr>
    </w:p>
    <w:p w14:paraId="55088B15" w14:textId="22680C11" w:rsidR="00DE3458" w:rsidRPr="009C5EFD" w:rsidRDefault="00E453CD" w:rsidP="00776A84">
      <w:pPr>
        <w:pStyle w:val="Heading2"/>
        <w:suppressAutoHyphens/>
        <w:ind w:left="0"/>
        <w:rPr>
          <w:del w:id="15119" w:author="AbbVie02no" w:date="2025-05-15T14:21:00Z"/>
          <w:szCs w:val="22"/>
        </w:rPr>
      </w:pPr>
      <w:del w:id="15120" w:author="AbbVie02no" w:date="2025-05-15T14:21:00Z">
        <w:r w:rsidRPr="009C5EFD">
          <w:rPr>
            <w:szCs w:val="22"/>
          </w:rPr>
          <w:delText>Revmatoid artritt</w:delText>
        </w:r>
      </w:del>
    </w:p>
    <w:p w14:paraId="43CC909A" w14:textId="0CA3BAC0" w:rsidR="00DE3458" w:rsidRPr="009C5EFD" w:rsidRDefault="00DE3458" w:rsidP="00776A84">
      <w:pPr>
        <w:keepNext/>
        <w:suppressAutoHyphens/>
        <w:rPr>
          <w:del w:id="15121" w:author="AbbVie02no" w:date="2025-05-15T14:21:00Z"/>
          <w:sz w:val="22"/>
          <w:szCs w:val="22"/>
        </w:rPr>
      </w:pPr>
    </w:p>
    <w:p w14:paraId="19D433F9" w14:textId="34F2B69F" w:rsidR="00122922" w:rsidRPr="009C5EFD" w:rsidRDefault="00E453CD" w:rsidP="00E14E58">
      <w:pPr>
        <w:suppressAutoHyphens/>
        <w:rPr>
          <w:del w:id="15122" w:author="AbbVie02no" w:date="2025-05-15T14:21:00Z"/>
          <w:sz w:val="22"/>
          <w:szCs w:val="22"/>
        </w:rPr>
      </w:pPr>
      <w:del w:id="15123" w:author="AbbVie02no" w:date="2025-05-15T14:21:00Z">
        <w:r w:rsidRPr="009C5EFD">
          <w:rPr>
            <w:sz w:val="22"/>
            <w:szCs w:val="22"/>
          </w:rPr>
          <w:delText>Revmatoid artritt er en betennelsessykdom i leddene.</w:delText>
        </w:r>
      </w:del>
    </w:p>
    <w:p w14:paraId="7CDA8AA1" w14:textId="5E54C203" w:rsidR="00122922" w:rsidRPr="009C5EFD" w:rsidRDefault="00122922" w:rsidP="009C5EFD">
      <w:pPr>
        <w:suppressAutoHyphens/>
        <w:rPr>
          <w:del w:id="15124" w:author="AbbVie02no" w:date="2025-05-15T14:21:00Z"/>
          <w:sz w:val="22"/>
          <w:szCs w:val="22"/>
        </w:rPr>
      </w:pPr>
    </w:p>
    <w:p w14:paraId="67054503" w14:textId="2167CE4C" w:rsidR="00DE3458" w:rsidRPr="009C5EFD" w:rsidRDefault="00E453CD" w:rsidP="009C5EFD">
      <w:pPr>
        <w:suppressAutoHyphens/>
        <w:rPr>
          <w:del w:id="15125" w:author="AbbVie02no" w:date="2025-05-15T14:21:00Z"/>
          <w:sz w:val="22"/>
          <w:szCs w:val="22"/>
        </w:rPr>
      </w:pPr>
      <w:del w:id="15126" w:author="AbbVie02no" w:date="2025-05-15T14:21:00Z">
        <w:r w:rsidRPr="009C5EFD">
          <w:rPr>
            <w:sz w:val="22"/>
            <w:szCs w:val="22"/>
          </w:rPr>
          <w:delText xml:space="preserve">Humira brukes </w:delText>
        </w:r>
        <w:r w:rsidR="008D4298">
          <w:rPr>
            <w:sz w:val="22"/>
            <w:szCs w:val="22"/>
          </w:rPr>
          <w:delText>til</w:delText>
        </w:r>
        <w:r w:rsidRPr="009C5EFD">
          <w:rPr>
            <w:sz w:val="22"/>
            <w:szCs w:val="22"/>
          </w:rPr>
          <w:delText xml:space="preserve"> å behandle revmatoid artritt hos voksne. Hvis du har moderat til alvorlig aktiv revmatoid artritt, kan det hende du først får andre sykdomsmodifiserende </w:delText>
        </w:r>
        <w:r w:rsidR="00F82487">
          <w:rPr>
            <w:sz w:val="22"/>
            <w:szCs w:val="22"/>
          </w:rPr>
          <w:delText>legemidler</w:delText>
        </w:r>
        <w:r w:rsidRPr="009C5EFD">
          <w:rPr>
            <w:sz w:val="22"/>
            <w:szCs w:val="22"/>
          </w:rPr>
          <w:delText xml:space="preserve">, som metotreksat. </w:delText>
        </w:r>
        <w:r w:rsidRPr="009C5EFD">
          <w:rPr>
            <w:sz w:val="22"/>
            <w:szCs w:val="22"/>
          </w:rPr>
          <w:lastRenderedPageBreak/>
          <w:delText xml:space="preserve">Dersom du ikke reagerer godt nok på disse </w:delText>
        </w:r>
        <w:r w:rsidR="00F82487">
          <w:rPr>
            <w:sz w:val="22"/>
            <w:szCs w:val="22"/>
          </w:rPr>
          <w:delText>legemidlene</w:delText>
        </w:r>
        <w:r w:rsidRPr="009C5EFD">
          <w:rPr>
            <w:sz w:val="22"/>
            <w:szCs w:val="22"/>
          </w:rPr>
          <w:delText xml:space="preserve">, vil du få Humira for å behandle din revmatoid artritt. </w:delText>
        </w:r>
      </w:del>
    </w:p>
    <w:p w14:paraId="50356E1D" w14:textId="26620B5C" w:rsidR="00DE3458" w:rsidRPr="009C5EFD" w:rsidRDefault="00DE3458" w:rsidP="009C5EFD">
      <w:pPr>
        <w:suppressAutoHyphens/>
        <w:rPr>
          <w:del w:id="15127" w:author="AbbVie02no" w:date="2025-05-15T14:21:00Z"/>
          <w:sz w:val="22"/>
          <w:szCs w:val="22"/>
        </w:rPr>
      </w:pPr>
    </w:p>
    <w:p w14:paraId="2CCE2933" w14:textId="3DDF4F25" w:rsidR="00DE3458" w:rsidRPr="009C5EFD" w:rsidRDefault="00E453CD" w:rsidP="009C5EFD">
      <w:pPr>
        <w:suppressAutoHyphens/>
        <w:rPr>
          <w:del w:id="15128" w:author="AbbVie02no" w:date="2025-05-15T14:21:00Z"/>
          <w:sz w:val="22"/>
          <w:szCs w:val="22"/>
        </w:rPr>
      </w:pPr>
      <w:del w:id="15129" w:author="AbbVie02no" w:date="2025-05-15T14:21:00Z">
        <w:r w:rsidRPr="009C5EFD">
          <w:rPr>
            <w:sz w:val="22"/>
            <w:szCs w:val="22"/>
          </w:rPr>
          <w:delText xml:space="preserve">Humira kan også brukes </w:delText>
        </w:r>
        <w:r w:rsidR="008D4298">
          <w:rPr>
            <w:sz w:val="22"/>
            <w:szCs w:val="22"/>
          </w:rPr>
          <w:delText>til</w:delText>
        </w:r>
        <w:r w:rsidR="008D4298" w:rsidRPr="009C5EFD">
          <w:rPr>
            <w:sz w:val="22"/>
            <w:szCs w:val="22"/>
          </w:rPr>
          <w:delText xml:space="preserve"> </w:delText>
        </w:r>
        <w:r w:rsidRPr="009C5EFD">
          <w:rPr>
            <w:sz w:val="22"/>
            <w:szCs w:val="22"/>
          </w:rPr>
          <w:delText xml:space="preserve">å behandle alvorlig, aktiv og progredierende revmatoid artritt uten tidligere </w:delText>
        </w:r>
        <w:r w:rsidR="000F00C8" w:rsidRPr="009C5EFD">
          <w:rPr>
            <w:sz w:val="22"/>
            <w:szCs w:val="22"/>
          </w:rPr>
          <w:delText xml:space="preserve">behandling med </w:delText>
        </w:r>
        <w:r w:rsidRPr="009C5EFD">
          <w:rPr>
            <w:sz w:val="22"/>
            <w:szCs w:val="22"/>
          </w:rPr>
          <w:delText>metotreksat.</w:delText>
        </w:r>
      </w:del>
    </w:p>
    <w:p w14:paraId="7C0F5B1F" w14:textId="3AEC1595" w:rsidR="00DE3458" w:rsidRPr="009C5EFD" w:rsidRDefault="00DE3458" w:rsidP="009C5EFD">
      <w:pPr>
        <w:suppressAutoHyphens/>
        <w:rPr>
          <w:del w:id="15130" w:author="AbbVie02no" w:date="2025-05-15T14:21:00Z"/>
          <w:sz w:val="22"/>
          <w:szCs w:val="22"/>
        </w:rPr>
      </w:pPr>
    </w:p>
    <w:p w14:paraId="7427AD0B" w14:textId="6AF1E157" w:rsidR="00DE3458" w:rsidRPr="009C5EFD" w:rsidRDefault="00E453CD" w:rsidP="009C5EFD">
      <w:pPr>
        <w:suppressAutoHyphens/>
        <w:rPr>
          <w:del w:id="15131" w:author="AbbVie02no" w:date="2025-05-15T14:21:00Z"/>
          <w:sz w:val="22"/>
          <w:szCs w:val="22"/>
        </w:rPr>
      </w:pPr>
      <w:del w:id="15132" w:author="AbbVie02no" w:date="2025-05-15T14:21:00Z">
        <w:r w:rsidRPr="009C5EFD">
          <w:rPr>
            <w:sz w:val="22"/>
            <w:szCs w:val="22"/>
          </w:rPr>
          <w:delText xml:space="preserve">Humira har vist seg å kunne bremse skadevirkninger av sykdommen på bindevev og ben i leddene og kan hjelpe til å forbedre din fysiske funksjon. </w:delText>
        </w:r>
      </w:del>
    </w:p>
    <w:p w14:paraId="312677B5" w14:textId="5C5EADB5" w:rsidR="00DE3458" w:rsidRPr="009C5EFD" w:rsidRDefault="00DE3458" w:rsidP="009C5EFD">
      <w:pPr>
        <w:suppressAutoHyphens/>
        <w:rPr>
          <w:del w:id="15133" w:author="AbbVie02no" w:date="2025-05-15T14:21:00Z"/>
          <w:sz w:val="22"/>
          <w:szCs w:val="22"/>
        </w:rPr>
      </w:pPr>
    </w:p>
    <w:p w14:paraId="2BCB2635" w14:textId="28981215" w:rsidR="00DE3458" w:rsidRPr="009C5EFD" w:rsidRDefault="00E453CD" w:rsidP="009C5EFD">
      <w:pPr>
        <w:pStyle w:val="BodyText2"/>
        <w:suppressAutoHyphens/>
        <w:autoSpaceDE/>
        <w:autoSpaceDN/>
        <w:adjustRightInd/>
        <w:rPr>
          <w:del w:id="15134" w:author="AbbVie02no" w:date="2025-05-15T14:21:00Z"/>
          <w:color w:val="auto"/>
          <w:szCs w:val="22"/>
        </w:rPr>
      </w:pPr>
      <w:del w:id="15135" w:author="AbbVie02no" w:date="2025-05-15T14:21:00Z">
        <w:r w:rsidRPr="009C5EFD">
          <w:rPr>
            <w:color w:val="auto"/>
            <w:szCs w:val="22"/>
          </w:rPr>
          <w:delText xml:space="preserve">Vanligvis brukes Humira sammen med metotreksat. Hvis </w:delText>
        </w:r>
        <w:r w:rsidR="002858DC">
          <w:rPr>
            <w:color w:val="auto"/>
            <w:szCs w:val="22"/>
          </w:rPr>
          <w:delText>legen din</w:delText>
        </w:r>
        <w:r w:rsidRPr="009C5EFD">
          <w:rPr>
            <w:color w:val="auto"/>
            <w:szCs w:val="22"/>
          </w:rPr>
          <w:delText xml:space="preserve"> vurderer at metotreksat ikke er egnet kan Humira gis alene.</w:delText>
        </w:r>
      </w:del>
    </w:p>
    <w:p w14:paraId="2B8595B9" w14:textId="6CFA78FB" w:rsidR="00017ADA" w:rsidRPr="009C5EFD" w:rsidRDefault="00017ADA" w:rsidP="009C5EFD">
      <w:pPr>
        <w:pStyle w:val="BodyText2"/>
        <w:suppressAutoHyphens/>
        <w:autoSpaceDE/>
        <w:autoSpaceDN/>
        <w:adjustRightInd/>
        <w:rPr>
          <w:del w:id="15136" w:author="AbbVie02no" w:date="2025-05-15T14:21:00Z"/>
          <w:color w:val="auto"/>
          <w:szCs w:val="22"/>
        </w:rPr>
      </w:pPr>
    </w:p>
    <w:p w14:paraId="3ECDA536" w14:textId="74889116" w:rsidR="00DE3458" w:rsidRPr="009C5EFD" w:rsidRDefault="00E453CD" w:rsidP="00776A84">
      <w:pPr>
        <w:keepNext/>
        <w:suppressAutoHyphens/>
        <w:rPr>
          <w:del w:id="15137" w:author="AbbVie02no" w:date="2025-05-15T14:21:00Z"/>
          <w:sz w:val="22"/>
          <w:szCs w:val="22"/>
          <w:u w:val="single"/>
        </w:rPr>
      </w:pPr>
      <w:del w:id="15138" w:author="AbbVie02no" w:date="2025-05-15T14:21:00Z">
        <w:r w:rsidRPr="009C5EFD">
          <w:rPr>
            <w:sz w:val="22"/>
            <w:szCs w:val="22"/>
            <w:u w:val="single"/>
          </w:rPr>
          <w:delText>Polyartikulær juvenil idiopatisk artritt</w:delText>
        </w:r>
        <w:r w:rsidR="00E562E5" w:rsidRPr="009C5EFD">
          <w:rPr>
            <w:sz w:val="22"/>
            <w:szCs w:val="22"/>
            <w:u w:val="single"/>
          </w:rPr>
          <w:delText xml:space="preserve"> og</w:delText>
        </w:r>
        <w:r w:rsidR="00E562E5" w:rsidRPr="009C5EFD">
          <w:rPr>
            <w:u w:val="single"/>
          </w:rPr>
          <w:delText xml:space="preserve"> </w:delText>
        </w:r>
        <w:r w:rsidR="00E562E5" w:rsidRPr="009C5EFD">
          <w:rPr>
            <w:sz w:val="22"/>
            <w:szCs w:val="22"/>
            <w:u w:val="single"/>
          </w:rPr>
          <w:delText xml:space="preserve">entesittrelatert artritt </w:delText>
        </w:r>
      </w:del>
    </w:p>
    <w:p w14:paraId="7247DBA3" w14:textId="3632FA05" w:rsidR="00DE3458" w:rsidRPr="009C5EFD" w:rsidRDefault="00DE3458" w:rsidP="00776A84">
      <w:pPr>
        <w:keepNext/>
        <w:suppressAutoHyphens/>
        <w:rPr>
          <w:del w:id="15139" w:author="AbbVie02no" w:date="2025-05-15T14:21:00Z"/>
          <w:sz w:val="22"/>
          <w:szCs w:val="22"/>
        </w:rPr>
      </w:pPr>
    </w:p>
    <w:p w14:paraId="49C1DFF2" w14:textId="292E6BAC" w:rsidR="00122922" w:rsidRPr="009C5EFD" w:rsidRDefault="00E453CD" w:rsidP="009C5EFD">
      <w:pPr>
        <w:suppressAutoHyphens/>
        <w:rPr>
          <w:del w:id="15140" w:author="AbbVie02no" w:date="2025-05-15T14:21:00Z"/>
          <w:sz w:val="22"/>
          <w:szCs w:val="22"/>
          <w:u w:val="single"/>
        </w:rPr>
      </w:pPr>
      <w:del w:id="15141" w:author="AbbVie02no" w:date="2025-05-15T14:21:00Z">
        <w:r w:rsidRPr="009C5EFD">
          <w:rPr>
            <w:sz w:val="22"/>
            <w:szCs w:val="22"/>
          </w:rPr>
          <w:delText>Polyartikulær juvenil idiopatisk artritt og entesittrelatert artritt er betennelsessykdommer.</w:delText>
        </w:r>
      </w:del>
    </w:p>
    <w:p w14:paraId="2DB917C3" w14:textId="74E56F96" w:rsidR="00122922" w:rsidRPr="009C5EFD" w:rsidRDefault="00122922" w:rsidP="00F57CDB">
      <w:pPr>
        <w:suppressAutoHyphens/>
        <w:rPr>
          <w:del w:id="15142" w:author="AbbVie02no" w:date="2025-05-15T14:21:00Z"/>
          <w:sz w:val="22"/>
          <w:szCs w:val="22"/>
        </w:rPr>
      </w:pPr>
    </w:p>
    <w:p w14:paraId="30D16D4E" w14:textId="0FD95376" w:rsidR="00DE3458" w:rsidRPr="009C5EFD" w:rsidRDefault="00E453CD" w:rsidP="009C5EFD">
      <w:pPr>
        <w:suppressAutoHyphens/>
        <w:rPr>
          <w:del w:id="15143" w:author="AbbVie02no" w:date="2025-05-15T14:21:00Z"/>
          <w:sz w:val="22"/>
          <w:szCs w:val="22"/>
        </w:rPr>
      </w:pPr>
      <w:del w:id="15144" w:author="AbbVie02no" w:date="2025-05-15T14:21:00Z">
        <w:r w:rsidRPr="009C5EFD">
          <w:rPr>
            <w:sz w:val="22"/>
            <w:szCs w:val="22"/>
          </w:rPr>
          <w:delText xml:space="preserve">Humira brukes </w:delText>
        </w:r>
        <w:r w:rsidR="008D4298">
          <w:rPr>
            <w:sz w:val="22"/>
            <w:szCs w:val="22"/>
          </w:rPr>
          <w:delText>til</w:delText>
        </w:r>
        <w:r w:rsidR="008D4298" w:rsidRPr="009C5EFD">
          <w:rPr>
            <w:sz w:val="22"/>
            <w:szCs w:val="22"/>
          </w:rPr>
          <w:delText xml:space="preserve"> </w:delText>
        </w:r>
        <w:r w:rsidRPr="009C5EFD">
          <w:rPr>
            <w:sz w:val="22"/>
            <w:szCs w:val="22"/>
          </w:rPr>
          <w:delText xml:space="preserve">å behandle polyartikulær juvenil idiopatisk artritt hos barn og ungdom </w:delText>
        </w:r>
        <w:r w:rsidR="004924BF">
          <w:rPr>
            <w:sz w:val="22"/>
            <w:szCs w:val="22"/>
          </w:rPr>
          <w:delText>fra</w:delText>
        </w:r>
        <w:r w:rsidRPr="009C5EFD">
          <w:rPr>
            <w:sz w:val="22"/>
            <w:szCs w:val="22"/>
          </w:rPr>
          <w:delText xml:space="preserve"> 2 til 17 år</w:delText>
        </w:r>
        <w:r w:rsidR="00E562E5" w:rsidRPr="009C5EFD">
          <w:rPr>
            <w:sz w:val="22"/>
            <w:szCs w:val="22"/>
          </w:rPr>
          <w:delText xml:space="preserve"> og entesittrelatert artritt hos barn og ungdom </w:delText>
        </w:r>
        <w:r w:rsidR="004924BF">
          <w:rPr>
            <w:sz w:val="22"/>
            <w:szCs w:val="22"/>
          </w:rPr>
          <w:delText>fra</w:delText>
        </w:r>
        <w:r w:rsidR="00E562E5" w:rsidRPr="009C5EFD">
          <w:rPr>
            <w:sz w:val="22"/>
            <w:szCs w:val="22"/>
          </w:rPr>
          <w:delText xml:space="preserve"> 6 til 17 år</w:delText>
        </w:r>
        <w:r w:rsidRPr="009C5EFD">
          <w:rPr>
            <w:sz w:val="22"/>
            <w:szCs w:val="22"/>
          </w:rPr>
          <w:delText xml:space="preserve">. Det kan hende du først får andre sykdomsmodifiserende </w:delText>
        </w:r>
        <w:r w:rsidR="00F82487">
          <w:rPr>
            <w:sz w:val="22"/>
            <w:szCs w:val="22"/>
          </w:rPr>
          <w:delText>legemidler</w:delText>
        </w:r>
        <w:r w:rsidRPr="009C5EFD">
          <w:rPr>
            <w:sz w:val="22"/>
            <w:szCs w:val="22"/>
          </w:rPr>
          <w:delText xml:space="preserve">, som metotreksat. Dersom du ikke reagerer godt nok på disse </w:delText>
        </w:r>
        <w:r w:rsidR="00F82487">
          <w:rPr>
            <w:sz w:val="22"/>
            <w:szCs w:val="22"/>
          </w:rPr>
          <w:delText>legemidlene</w:delText>
        </w:r>
        <w:r w:rsidRPr="009C5EFD">
          <w:rPr>
            <w:sz w:val="22"/>
            <w:szCs w:val="22"/>
          </w:rPr>
          <w:delText>, vil du få Humira for å behandle din polyartikulær juvenil idiopatisk artritt</w:delText>
        </w:r>
        <w:r w:rsidR="005C76A9" w:rsidRPr="009C5EFD">
          <w:rPr>
            <w:sz w:val="22"/>
            <w:szCs w:val="22"/>
          </w:rPr>
          <w:delText xml:space="preserve"> eller entesittrelatert artritt</w:delText>
        </w:r>
        <w:r w:rsidRPr="009C5EFD">
          <w:rPr>
            <w:sz w:val="22"/>
            <w:szCs w:val="22"/>
          </w:rPr>
          <w:delText>.</w:delText>
        </w:r>
      </w:del>
    </w:p>
    <w:p w14:paraId="6D5B1E87" w14:textId="1F6384C7" w:rsidR="004841DE" w:rsidRPr="009C5EFD" w:rsidRDefault="004841DE" w:rsidP="009C5EFD">
      <w:pPr>
        <w:suppressAutoHyphens/>
        <w:rPr>
          <w:del w:id="15145" w:author="AbbVie02no" w:date="2025-05-15T14:21:00Z"/>
          <w:sz w:val="22"/>
          <w:szCs w:val="22"/>
          <w:u w:val="single"/>
        </w:rPr>
      </w:pPr>
    </w:p>
    <w:p w14:paraId="5BAF0F09" w14:textId="7F358A61" w:rsidR="00DE3458" w:rsidRPr="009C5EFD" w:rsidRDefault="00E453CD" w:rsidP="00776A84">
      <w:pPr>
        <w:keepNext/>
        <w:suppressAutoHyphens/>
        <w:rPr>
          <w:del w:id="15146" w:author="AbbVie02no" w:date="2025-05-15T14:21:00Z"/>
          <w:sz w:val="22"/>
          <w:szCs w:val="22"/>
          <w:u w:val="single"/>
        </w:rPr>
      </w:pPr>
      <w:del w:id="15147" w:author="AbbVie02no" w:date="2025-05-15T14:21:00Z">
        <w:r w:rsidRPr="009C5EFD">
          <w:rPr>
            <w:sz w:val="22"/>
            <w:szCs w:val="22"/>
            <w:u w:val="single"/>
          </w:rPr>
          <w:delText>Bekhterevs sykdom (ankyloserende spondylitt)</w:delText>
        </w:r>
        <w:r w:rsidR="004841DE" w:rsidRPr="009C5EFD">
          <w:rPr>
            <w:sz w:val="22"/>
            <w:szCs w:val="22"/>
            <w:u w:val="single"/>
          </w:rPr>
          <w:delText xml:space="preserve"> og aksial spondylartritt uten radiografisk bekreftelse på ankyloserende spondylitt</w:delText>
        </w:r>
      </w:del>
    </w:p>
    <w:p w14:paraId="65E0BEFC" w14:textId="440AB448" w:rsidR="00122922" w:rsidRPr="009C5EFD" w:rsidRDefault="00122922" w:rsidP="00776A84">
      <w:pPr>
        <w:keepNext/>
        <w:suppressAutoHyphens/>
        <w:rPr>
          <w:del w:id="15148" w:author="AbbVie02no" w:date="2025-05-15T14:21:00Z"/>
          <w:sz w:val="22"/>
          <w:szCs w:val="22"/>
        </w:rPr>
      </w:pPr>
    </w:p>
    <w:p w14:paraId="7A0BA6E8" w14:textId="158E4491" w:rsidR="00DE3458" w:rsidRPr="009C5EFD" w:rsidRDefault="00E453CD" w:rsidP="009C5EFD">
      <w:pPr>
        <w:suppressAutoHyphens/>
        <w:rPr>
          <w:del w:id="15149" w:author="AbbVie02no" w:date="2025-05-15T14:21:00Z"/>
          <w:sz w:val="22"/>
          <w:szCs w:val="22"/>
        </w:rPr>
      </w:pPr>
      <w:del w:id="15150" w:author="AbbVie02no" w:date="2025-05-15T14:21:00Z">
        <w:r w:rsidRPr="009C5EFD">
          <w:rPr>
            <w:sz w:val="22"/>
            <w:szCs w:val="22"/>
          </w:rPr>
          <w:delText>Bekhterevs sykdom (ankyloserende spondylitt) og aksial spondylartritt uten radiografisk bekreftelse på ankyloserende spondylitt er betennelsessykdommer i ryggsøylen.</w:delText>
        </w:r>
      </w:del>
    </w:p>
    <w:p w14:paraId="2C0EF88F" w14:textId="0DE93EA1" w:rsidR="00122922" w:rsidRPr="009C5EFD" w:rsidRDefault="00122922" w:rsidP="009C5EFD">
      <w:pPr>
        <w:pStyle w:val="EMEANormal"/>
        <w:rPr>
          <w:del w:id="15151" w:author="AbbVie02no" w:date="2025-05-15T14:21:00Z"/>
          <w:szCs w:val="22"/>
          <w:lang w:val="nb-NO"/>
        </w:rPr>
      </w:pPr>
    </w:p>
    <w:p w14:paraId="55625D8A" w14:textId="350D702B" w:rsidR="00047C52" w:rsidRPr="009C5EFD" w:rsidRDefault="00E453CD" w:rsidP="009C5EFD">
      <w:pPr>
        <w:pStyle w:val="EMEANormal"/>
        <w:rPr>
          <w:del w:id="15152" w:author="AbbVie02no" w:date="2025-05-15T14:21:00Z"/>
          <w:szCs w:val="22"/>
          <w:lang w:val="nb-NO"/>
        </w:rPr>
      </w:pPr>
      <w:del w:id="15153" w:author="AbbVie02no" w:date="2025-05-15T14:21:00Z">
        <w:r w:rsidRPr="009C5EFD">
          <w:rPr>
            <w:szCs w:val="22"/>
            <w:lang w:val="nb-NO"/>
          </w:rPr>
          <w:delText xml:space="preserve">Humira brukes </w:delText>
        </w:r>
        <w:r w:rsidR="008D4298">
          <w:rPr>
            <w:szCs w:val="22"/>
            <w:lang w:val="nb-NO"/>
          </w:rPr>
          <w:delText>til</w:delText>
        </w:r>
        <w:r w:rsidR="008D4298" w:rsidRPr="009C5EFD">
          <w:rPr>
            <w:szCs w:val="22"/>
            <w:lang w:val="nb-NO"/>
          </w:rPr>
          <w:delText xml:space="preserve"> </w:delText>
        </w:r>
        <w:r w:rsidRPr="009C5EFD">
          <w:rPr>
            <w:szCs w:val="22"/>
            <w:lang w:val="nb-NO"/>
          </w:rPr>
          <w:delText xml:space="preserve">å behandle Bekhterevs sykdom (ankyloserende spondylitt) og aksial spondylartritt uten radiografisk bekreftelse på ankyloserende spondylitt hos voksne. </w:delText>
        </w:r>
        <w:r w:rsidR="00DE3458" w:rsidRPr="009C5EFD">
          <w:rPr>
            <w:szCs w:val="22"/>
            <w:lang w:val="nb-NO"/>
          </w:rPr>
          <w:delText>Hvis du har Bekhterevs sykdom</w:delText>
        </w:r>
        <w:r w:rsidR="004841DE" w:rsidRPr="009C5EFD">
          <w:rPr>
            <w:szCs w:val="22"/>
            <w:lang w:val="nb-NO"/>
          </w:rPr>
          <w:delText xml:space="preserve"> eller aksial spondylartritt uten radiografisk bekreftelse på ankyloserende spondylitt</w:delText>
        </w:r>
        <w:r w:rsidR="00DE3458" w:rsidRPr="009C5EFD">
          <w:rPr>
            <w:szCs w:val="22"/>
            <w:lang w:val="nb-NO"/>
          </w:rPr>
          <w:delText xml:space="preserve">, vil du først få andre legemidler. Dersom du ikke reagerer godt nok på disse legemidlene, vil du få Humira for å redusere sykdomstegn og symptomer på </w:delText>
        </w:r>
        <w:r w:rsidR="002858DC">
          <w:rPr>
            <w:szCs w:val="22"/>
            <w:lang w:val="nb-NO"/>
          </w:rPr>
          <w:delText>sykdommen din</w:delText>
        </w:r>
        <w:r w:rsidR="00DE3458" w:rsidRPr="009C5EFD">
          <w:rPr>
            <w:szCs w:val="22"/>
            <w:lang w:val="nb-NO"/>
          </w:rPr>
          <w:delText>.</w:delText>
        </w:r>
      </w:del>
    </w:p>
    <w:p w14:paraId="39AB5DEF" w14:textId="5F94EC8C" w:rsidR="00047C52" w:rsidRPr="009C5EFD" w:rsidRDefault="00047C52" w:rsidP="009C5EFD">
      <w:pPr>
        <w:pStyle w:val="EMEANormal"/>
        <w:rPr>
          <w:del w:id="15154" w:author="AbbVie02no" w:date="2025-05-15T14:21:00Z"/>
          <w:szCs w:val="22"/>
          <w:lang w:val="nb-NO"/>
        </w:rPr>
      </w:pPr>
    </w:p>
    <w:p w14:paraId="7E3F7BC1" w14:textId="11C1CA49" w:rsidR="00047C52" w:rsidRPr="009C5EFD" w:rsidRDefault="00E453CD" w:rsidP="00776A84">
      <w:pPr>
        <w:pStyle w:val="Heading2"/>
        <w:suppressAutoHyphens/>
        <w:ind w:left="0"/>
        <w:rPr>
          <w:del w:id="15155" w:author="AbbVie02no" w:date="2025-05-15T14:21:00Z"/>
          <w:szCs w:val="22"/>
        </w:rPr>
      </w:pPr>
      <w:del w:id="15156" w:author="AbbVie02no" w:date="2025-05-15T14:21:00Z">
        <w:r w:rsidRPr="009C5EFD">
          <w:rPr>
            <w:szCs w:val="22"/>
          </w:rPr>
          <w:delText>Psoriasisartritt</w:delText>
        </w:r>
      </w:del>
    </w:p>
    <w:p w14:paraId="647B8476" w14:textId="5279FCB4" w:rsidR="00122922" w:rsidRPr="009C5EFD" w:rsidRDefault="00122922" w:rsidP="00776A84">
      <w:pPr>
        <w:keepNext/>
        <w:suppressAutoHyphens/>
        <w:rPr>
          <w:del w:id="15157" w:author="AbbVie02no" w:date="2025-05-15T14:21:00Z"/>
          <w:sz w:val="22"/>
          <w:szCs w:val="22"/>
        </w:rPr>
      </w:pPr>
    </w:p>
    <w:p w14:paraId="71958BB0" w14:textId="38363AA6" w:rsidR="00047C52" w:rsidRPr="009C5EFD" w:rsidRDefault="00E453CD" w:rsidP="009C5EFD">
      <w:pPr>
        <w:suppressAutoHyphens/>
        <w:rPr>
          <w:del w:id="15158" w:author="AbbVie02no" w:date="2025-05-15T14:21:00Z"/>
          <w:sz w:val="22"/>
          <w:szCs w:val="22"/>
        </w:rPr>
      </w:pPr>
      <w:del w:id="15159" w:author="AbbVie02no" w:date="2025-05-15T14:21:00Z">
        <w:r w:rsidRPr="009C5EFD">
          <w:rPr>
            <w:sz w:val="22"/>
            <w:szCs w:val="22"/>
          </w:rPr>
          <w:delText>Psoriasisartritt er en betennelsessykdom i leddene assosiert med psoriasis.</w:delText>
        </w:r>
      </w:del>
    </w:p>
    <w:p w14:paraId="111CE390" w14:textId="1374B871" w:rsidR="00122922" w:rsidRPr="009C5EFD" w:rsidRDefault="00122922" w:rsidP="009C5EFD">
      <w:pPr>
        <w:suppressAutoHyphens/>
        <w:rPr>
          <w:del w:id="15160" w:author="AbbVie02no" w:date="2025-05-15T14:21:00Z"/>
          <w:sz w:val="22"/>
          <w:szCs w:val="22"/>
        </w:rPr>
      </w:pPr>
    </w:p>
    <w:p w14:paraId="1C52D246" w14:textId="6D2B5F66" w:rsidR="00047C52" w:rsidRPr="00EE4677" w:rsidRDefault="00E453CD" w:rsidP="009C5EFD">
      <w:pPr>
        <w:suppressAutoHyphens/>
        <w:rPr>
          <w:del w:id="15161" w:author="AbbVie02no" w:date="2025-05-15T14:21:00Z"/>
          <w:sz w:val="22"/>
          <w:szCs w:val="22"/>
        </w:rPr>
      </w:pPr>
      <w:del w:id="15162" w:author="AbbVie02no" w:date="2025-05-15T14:21:00Z">
        <w:r w:rsidRPr="00285738">
          <w:rPr>
            <w:sz w:val="22"/>
            <w:szCs w:val="22"/>
          </w:rPr>
          <w:delText xml:space="preserve">Humira brukes </w:delText>
        </w:r>
        <w:r w:rsidR="008D4298">
          <w:rPr>
            <w:sz w:val="22"/>
            <w:szCs w:val="22"/>
          </w:rPr>
          <w:delText>til</w:delText>
        </w:r>
        <w:r w:rsidR="008D4298" w:rsidRPr="00285738">
          <w:rPr>
            <w:sz w:val="22"/>
            <w:szCs w:val="22"/>
          </w:rPr>
          <w:delText xml:space="preserve"> </w:delText>
        </w:r>
        <w:r w:rsidRPr="00285738">
          <w:rPr>
            <w:sz w:val="22"/>
            <w:szCs w:val="22"/>
          </w:rPr>
          <w:delText>å</w:delText>
        </w:r>
        <w:r w:rsidRPr="00EA59CB">
          <w:rPr>
            <w:sz w:val="22"/>
            <w:szCs w:val="22"/>
          </w:rPr>
          <w:delText xml:space="preserve"> behandle psoriasisartritt hos voksne. </w:delText>
        </w:r>
        <w:r w:rsidRPr="00EE4677">
          <w:rPr>
            <w:sz w:val="22"/>
            <w:szCs w:val="22"/>
          </w:rPr>
          <w:delText xml:space="preserve">Humira har vist seg å minske skade på brusk og ben i leddene som er forårsaket av sykdommen og å forbedre fysisk funksjon. </w:delText>
        </w:r>
      </w:del>
    </w:p>
    <w:p w14:paraId="30597B6E" w14:textId="33F7D0AE" w:rsidR="00047C52" w:rsidRPr="009C5EFD" w:rsidRDefault="00047C52" w:rsidP="009C5EFD">
      <w:pPr>
        <w:pStyle w:val="EMEANormal"/>
        <w:rPr>
          <w:del w:id="15163" w:author="AbbVie02no" w:date="2025-05-15T14:21:00Z"/>
          <w:szCs w:val="22"/>
          <w:lang w:val="nb-NO"/>
        </w:rPr>
      </w:pPr>
    </w:p>
    <w:p w14:paraId="73E1070C" w14:textId="032118A3" w:rsidR="00122922" w:rsidRPr="009C5EFD" w:rsidRDefault="00E453CD" w:rsidP="00776A84">
      <w:pPr>
        <w:keepNext/>
        <w:suppressAutoHyphens/>
        <w:rPr>
          <w:del w:id="15164" w:author="AbbVie02no" w:date="2025-05-15T14:21:00Z"/>
          <w:sz w:val="22"/>
          <w:szCs w:val="22"/>
          <w:u w:val="single"/>
        </w:rPr>
      </w:pPr>
      <w:del w:id="15165" w:author="AbbVie02no" w:date="2025-05-15T14:21:00Z">
        <w:r w:rsidRPr="009C5EFD">
          <w:rPr>
            <w:sz w:val="22"/>
            <w:szCs w:val="22"/>
            <w:u w:val="single"/>
          </w:rPr>
          <w:delText>Plakkpsoriasis</w:delText>
        </w:r>
        <w:r w:rsidR="00676357" w:rsidRPr="009C5EFD">
          <w:rPr>
            <w:sz w:val="22"/>
            <w:szCs w:val="22"/>
            <w:u w:val="single"/>
          </w:rPr>
          <w:delText xml:space="preserve"> hos voksne og barn</w:delText>
        </w:r>
      </w:del>
    </w:p>
    <w:p w14:paraId="1AD83A44" w14:textId="27BAE1C2" w:rsidR="00047C52" w:rsidRPr="009C5EFD" w:rsidRDefault="00047C52" w:rsidP="00776A84">
      <w:pPr>
        <w:pStyle w:val="Heading8"/>
        <w:rPr>
          <w:del w:id="15166" w:author="AbbVie02no" w:date="2025-05-15T14:21:00Z"/>
          <w:szCs w:val="22"/>
        </w:rPr>
      </w:pPr>
    </w:p>
    <w:p w14:paraId="7440138C" w14:textId="390E4005" w:rsidR="00047C52" w:rsidRPr="009C5EFD" w:rsidRDefault="00E453CD" w:rsidP="009C5EFD">
      <w:pPr>
        <w:rPr>
          <w:del w:id="15167" w:author="AbbVie02no" w:date="2025-05-15T14:21:00Z"/>
          <w:b/>
          <w:sz w:val="22"/>
          <w:szCs w:val="22"/>
        </w:rPr>
      </w:pPr>
      <w:del w:id="15168" w:author="AbbVie02no" w:date="2025-05-15T14:21:00Z">
        <w:r w:rsidRPr="009C5EFD">
          <w:rPr>
            <w:sz w:val="22"/>
            <w:szCs w:val="22"/>
          </w:rPr>
          <w:delText>Plakkpsoriasis er en hudsykdom som forårsaker røde, flassende, tørre flekker på huden dekket med sølvfarget</w:delText>
        </w:r>
        <w:r w:rsidR="00E03E89" w:rsidRPr="009C5EFD">
          <w:rPr>
            <w:sz w:val="22"/>
            <w:szCs w:val="22"/>
          </w:rPr>
          <w:delText>,</w:delText>
        </w:r>
        <w:r w:rsidRPr="009C5EFD">
          <w:rPr>
            <w:sz w:val="22"/>
            <w:szCs w:val="22"/>
          </w:rPr>
          <w:delText xml:space="preserve"> skjellaktig hud. </w:delText>
        </w:r>
        <w:r w:rsidR="0012694E">
          <w:rPr>
            <w:sz w:val="22"/>
            <w:szCs w:val="22"/>
          </w:rPr>
          <w:delText>Plakkpsoriasis kan også påvirke neglene, føre til smuldring, fortykkelse og løsning fra neglesengen som kan være smertefullt.</w:delText>
        </w:r>
        <w:r w:rsidR="0012694E" w:rsidRPr="009C5EFD">
          <w:rPr>
            <w:sz w:val="22"/>
            <w:szCs w:val="22"/>
          </w:rPr>
          <w:delText xml:space="preserve"> </w:delText>
        </w:r>
        <w:r w:rsidRPr="009C5EFD">
          <w:rPr>
            <w:sz w:val="22"/>
            <w:szCs w:val="22"/>
          </w:rPr>
          <w:delText>Psoriasis antas å være forårsaket av problemer med kroppens immunsystem</w:delText>
        </w:r>
        <w:r w:rsidR="0063534D" w:rsidRPr="009C5EFD">
          <w:rPr>
            <w:sz w:val="22"/>
            <w:szCs w:val="22"/>
          </w:rPr>
          <w:delText>,</w:delText>
        </w:r>
        <w:r w:rsidRPr="009C5EFD">
          <w:rPr>
            <w:sz w:val="22"/>
            <w:szCs w:val="22"/>
          </w:rPr>
          <w:delText xml:space="preserve"> som fører til økt produksjon av hudceller.</w:delText>
        </w:r>
      </w:del>
    </w:p>
    <w:p w14:paraId="593AE1B0" w14:textId="72BAD442" w:rsidR="00726E6B" w:rsidRDefault="00726E6B" w:rsidP="009C5EFD">
      <w:pPr>
        <w:pStyle w:val="EMEANormal"/>
        <w:rPr>
          <w:del w:id="15169" w:author="AbbVie02no" w:date="2025-05-15T14:21:00Z"/>
          <w:szCs w:val="22"/>
          <w:lang w:val="nb-NO"/>
        </w:rPr>
      </w:pPr>
    </w:p>
    <w:p w14:paraId="42F0F248" w14:textId="1BC73285" w:rsidR="00122922" w:rsidRPr="008A0941" w:rsidRDefault="00E453CD" w:rsidP="00EE4677">
      <w:pPr>
        <w:pStyle w:val="EMEANormal"/>
        <w:rPr>
          <w:del w:id="15170" w:author="AbbVie02no" w:date="2025-05-15T14:21:00Z"/>
          <w:szCs w:val="22"/>
          <w:lang w:val="nb-NO"/>
        </w:rPr>
      </w:pPr>
      <w:del w:id="15171" w:author="AbbVie02no" w:date="2025-05-15T14:21:00Z">
        <w:r w:rsidRPr="009C5EFD">
          <w:rPr>
            <w:szCs w:val="22"/>
            <w:lang w:val="nb-NO"/>
          </w:rPr>
          <w:delText xml:space="preserve">Humira brukes </w:delText>
        </w:r>
        <w:r w:rsidR="00CD1ADE">
          <w:rPr>
            <w:szCs w:val="22"/>
            <w:lang w:val="nb-NO"/>
          </w:rPr>
          <w:delText>til</w:delText>
        </w:r>
        <w:r w:rsidRPr="009C5EFD">
          <w:rPr>
            <w:szCs w:val="22"/>
            <w:lang w:val="nb-NO"/>
          </w:rPr>
          <w:delText xml:space="preserve"> behandl</w:delText>
        </w:r>
        <w:r w:rsidR="00CD1ADE">
          <w:rPr>
            <w:szCs w:val="22"/>
            <w:lang w:val="nb-NO"/>
          </w:rPr>
          <w:delText>ing av</w:delText>
        </w:r>
        <w:r w:rsidRPr="009C5EFD">
          <w:rPr>
            <w:szCs w:val="22"/>
            <w:lang w:val="nb-NO"/>
          </w:rPr>
          <w:delText xml:space="preserve"> moderat til alvorlig </w:delText>
        </w:r>
        <w:r w:rsidR="00676357" w:rsidRPr="009C5EFD">
          <w:rPr>
            <w:szCs w:val="22"/>
            <w:lang w:val="nb-NO"/>
          </w:rPr>
          <w:delText>plakk</w:delText>
        </w:r>
        <w:r w:rsidRPr="009C5EFD">
          <w:rPr>
            <w:szCs w:val="22"/>
            <w:lang w:val="nb-NO"/>
          </w:rPr>
          <w:delText xml:space="preserve">psoriasis hos voksne. </w:delText>
        </w:r>
        <w:r w:rsidR="00285738" w:rsidRPr="00285738">
          <w:rPr>
            <w:szCs w:val="22"/>
            <w:lang w:val="nb-NO"/>
          </w:rPr>
          <w:delText>Humira brukes</w:delText>
        </w:r>
        <w:r w:rsidR="00286943">
          <w:rPr>
            <w:szCs w:val="22"/>
            <w:lang w:val="nb-NO"/>
          </w:rPr>
          <w:delText xml:space="preserve"> </w:delText>
        </w:r>
        <w:r w:rsidR="00285738" w:rsidRPr="00285738">
          <w:rPr>
            <w:szCs w:val="22"/>
            <w:lang w:val="nb-NO"/>
          </w:rPr>
          <w:delText xml:space="preserve">til behandling av alvorlig plakkpsoriasis hos barn og ungdom </w:delText>
        </w:r>
        <w:r w:rsidR="004924BF">
          <w:rPr>
            <w:szCs w:val="22"/>
            <w:lang w:val="nb-NO"/>
          </w:rPr>
          <w:delText>fra</w:delText>
        </w:r>
        <w:r w:rsidR="00285738" w:rsidRPr="00285738">
          <w:rPr>
            <w:szCs w:val="22"/>
            <w:lang w:val="nb-NO"/>
          </w:rPr>
          <w:delText xml:space="preserve"> 4 til 17 år, hvor topikal </w:delText>
        </w:r>
        <w:r w:rsidR="008D4298">
          <w:rPr>
            <w:szCs w:val="22"/>
            <w:lang w:val="nb-NO"/>
          </w:rPr>
          <w:delText xml:space="preserve">(lokal) </w:delText>
        </w:r>
        <w:r w:rsidR="00285738" w:rsidRPr="00285738">
          <w:rPr>
            <w:szCs w:val="22"/>
            <w:lang w:val="nb-NO"/>
          </w:rPr>
          <w:delText>behandling og lysbehandling ikke har virket godt nok eller ikke er egnet.</w:delText>
        </w:r>
      </w:del>
    </w:p>
    <w:p w14:paraId="308B89BA" w14:textId="43E9C6B2" w:rsidR="00DE3458" w:rsidRPr="009C5EFD" w:rsidRDefault="00DE3458" w:rsidP="009C5EFD">
      <w:pPr>
        <w:suppressAutoHyphens/>
        <w:rPr>
          <w:del w:id="15172" w:author="AbbVie02no" w:date="2025-05-15T14:21:00Z"/>
          <w:sz w:val="22"/>
          <w:szCs w:val="22"/>
        </w:rPr>
      </w:pPr>
    </w:p>
    <w:p w14:paraId="742F68AD" w14:textId="6D0080D9" w:rsidR="00017ADA" w:rsidRPr="009C5EFD" w:rsidRDefault="00E453CD" w:rsidP="00776A84">
      <w:pPr>
        <w:keepNext/>
        <w:autoSpaceDE w:val="0"/>
        <w:autoSpaceDN w:val="0"/>
        <w:adjustRightInd w:val="0"/>
        <w:rPr>
          <w:del w:id="15173" w:author="AbbVie02no" w:date="2025-05-15T14:21:00Z"/>
          <w:rFonts w:eastAsia="TimesNewRoman"/>
          <w:sz w:val="22"/>
          <w:szCs w:val="22"/>
          <w:u w:val="single"/>
        </w:rPr>
      </w:pPr>
      <w:del w:id="15174" w:author="AbbVie02no" w:date="2025-05-15T14:21:00Z">
        <w:r w:rsidRPr="009C5EFD">
          <w:rPr>
            <w:rFonts w:eastAsia="TimesNewRoman"/>
            <w:sz w:val="22"/>
            <w:szCs w:val="22"/>
            <w:u w:val="single"/>
          </w:rPr>
          <w:delText>Hidrosadenitt</w:delText>
        </w:r>
        <w:r w:rsidR="009E4D7A">
          <w:rPr>
            <w:rFonts w:eastAsia="TimesNewRoman"/>
            <w:sz w:val="22"/>
            <w:szCs w:val="22"/>
            <w:u w:val="single"/>
          </w:rPr>
          <w:delText xml:space="preserve"> hos voksne og ungdom</w:delText>
        </w:r>
      </w:del>
    </w:p>
    <w:p w14:paraId="59CFB952" w14:textId="475C0748" w:rsidR="00017ADA" w:rsidRPr="009C5EFD" w:rsidRDefault="00017ADA" w:rsidP="00776A84">
      <w:pPr>
        <w:keepNext/>
        <w:autoSpaceDE w:val="0"/>
        <w:autoSpaceDN w:val="0"/>
        <w:adjustRightInd w:val="0"/>
        <w:rPr>
          <w:del w:id="15175" w:author="AbbVie02no" w:date="2025-05-15T14:21:00Z"/>
          <w:rFonts w:eastAsia="TimesNewRoman"/>
          <w:sz w:val="22"/>
          <w:szCs w:val="22"/>
          <w:u w:val="single"/>
        </w:rPr>
      </w:pPr>
    </w:p>
    <w:p w14:paraId="11055E07" w14:textId="66E2F00A" w:rsidR="00017ADA" w:rsidRPr="009C5EFD" w:rsidRDefault="00E453CD" w:rsidP="009C5EFD">
      <w:pPr>
        <w:autoSpaceDE w:val="0"/>
        <w:autoSpaceDN w:val="0"/>
        <w:adjustRightInd w:val="0"/>
        <w:rPr>
          <w:del w:id="15176" w:author="AbbVie02no" w:date="2025-05-15T14:21:00Z"/>
          <w:rFonts w:eastAsia="TimesNewRoman"/>
          <w:sz w:val="22"/>
          <w:szCs w:val="22"/>
        </w:rPr>
      </w:pPr>
      <w:del w:id="15177" w:author="AbbVie02no" w:date="2025-05-15T14:21:00Z">
        <w:r w:rsidRPr="009C5EFD">
          <w:rPr>
            <w:rFonts w:eastAsia="TimesNewRoman"/>
            <w:sz w:val="22"/>
            <w:szCs w:val="22"/>
          </w:rPr>
          <w:delText xml:space="preserve">Hidrosadenitt (også kalt svettekjertelbetennelse) er en kronisk og ofte smertefull </w:delText>
        </w:r>
        <w:r w:rsidR="0037625C">
          <w:rPr>
            <w:rFonts w:eastAsia="TimesNewRoman"/>
            <w:sz w:val="22"/>
            <w:szCs w:val="22"/>
          </w:rPr>
          <w:delText>betennelsessykdom</w:delText>
        </w:r>
        <w:r w:rsidRPr="009C5EFD">
          <w:rPr>
            <w:rFonts w:eastAsia="TimesNewRoman"/>
            <w:sz w:val="22"/>
            <w:szCs w:val="22"/>
          </w:rPr>
          <w:delText xml:space="preserve"> </w:delText>
        </w:r>
        <w:r w:rsidR="0037625C">
          <w:rPr>
            <w:rFonts w:eastAsia="TimesNewRoman"/>
            <w:sz w:val="22"/>
            <w:szCs w:val="22"/>
          </w:rPr>
          <w:delText xml:space="preserve">i </w:delText>
        </w:r>
        <w:r w:rsidRPr="009C5EFD">
          <w:rPr>
            <w:rFonts w:eastAsia="TimesNewRoman"/>
            <w:sz w:val="22"/>
            <w:szCs w:val="22"/>
          </w:rPr>
          <w:delText>hud</w:delText>
        </w:r>
        <w:r w:rsidR="0037625C">
          <w:rPr>
            <w:rFonts w:eastAsia="TimesNewRoman"/>
            <w:sz w:val="22"/>
            <w:szCs w:val="22"/>
          </w:rPr>
          <w:delText>en</w:delText>
        </w:r>
        <w:r w:rsidRPr="009C5EFD">
          <w:rPr>
            <w:rFonts w:eastAsia="TimesNewRoman"/>
            <w:sz w:val="22"/>
            <w:szCs w:val="22"/>
          </w:rPr>
          <w:delText xml:space="preserve">. Symptomer kan være ømme knuter (klumper) og byller (abcesser) som kan lekke puss. </w:delText>
        </w:r>
        <w:r w:rsidR="00C211E7">
          <w:rPr>
            <w:rFonts w:eastAsia="TimesNewRoman"/>
            <w:sz w:val="22"/>
            <w:szCs w:val="22"/>
          </w:rPr>
          <w:delText xml:space="preserve">Som </w:delText>
        </w:r>
        <w:r w:rsidR="00C211E7">
          <w:rPr>
            <w:rFonts w:eastAsia="TimesNewRoman"/>
            <w:sz w:val="22"/>
            <w:szCs w:val="22"/>
          </w:rPr>
          <w:lastRenderedPageBreak/>
          <w:delText>oftest</w:delText>
        </w:r>
        <w:r w:rsidR="00C211E7" w:rsidRPr="009C5EFD">
          <w:rPr>
            <w:rFonts w:eastAsia="TimesNewRoman"/>
            <w:sz w:val="22"/>
            <w:szCs w:val="22"/>
          </w:rPr>
          <w:delText xml:space="preserve"> </w:delText>
        </w:r>
        <w:r w:rsidRPr="009C5EFD">
          <w:rPr>
            <w:rFonts w:eastAsia="TimesNewRoman"/>
            <w:sz w:val="22"/>
            <w:szCs w:val="22"/>
          </w:rPr>
          <w:delText>påvirke</w:delText>
        </w:r>
        <w:r w:rsidR="00C211E7">
          <w:rPr>
            <w:rFonts w:eastAsia="TimesNewRoman"/>
            <w:sz w:val="22"/>
            <w:szCs w:val="22"/>
          </w:rPr>
          <w:delText>s</w:delText>
        </w:r>
        <w:r w:rsidRPr="009C5EFD">
          <w:rPr>
            <w:rFonts w:eastAsia="TimesNewRoman"/>
            <w:sz w:val="22"/>
            <w:szCs w:val="22"/>
          </w:rPr>
          <w:delText xml:space="preserve"> spesifikke områder av huden, som f.eks</w:delText>
        </w:r>
        <w:r w:rsidR="00146674">
          <w:rPr>
            <w:rFonts w:eastAsia="TimesNewRoman"/>
            <w:sz w:val="22"/>
            <w:szCs w:val="22"/>
          </w:rPr>
          <w:delText>.</w:delText>
        </w:r>
        <w:r w:rsidRPr="009C5EFD">
          <w:rPr>
            <w:rFonts w:eastAsia="TimesNewRoman"/>
            <w:sz w:val="22"/>
            <w:szCs w:val="22"/>
          </w:rPr>
          <w:delText xml:space="preserve"> under brystene, i armhulene, innsiden av lårene, lysken og rumpe. Arrdannelse kan også forekomme i berørte områder.</w:delText>
        </w:r>
      </w:del>
    </w:p>
    <w:p w14:paraId="15F4E0DA" w14:textId="2B1FA280" w:rsidR="00017ADA" w:rsidRPr="009C5EFD" w:rsidRDefault="00017ADA" w:rsidP="009C5EFD">
      <w:pPr>
        <w:autoSpaceDE w:val="0"/>
        <w:autoSpaceDN w:val="0"/>
        <w:adjustRightInd w:val="0"/>
        <w:rPr>
          <w:del w:id="15178" w:author="AbbVie02no" w:date="2025-05-15T14:21:00Z"/>
          <w:rFonts w:eastAsia="TimesNewRoman"/>
          <w:sz w:val="22"/>
          <w:szCs w:val="22"/>
        </w:rPr>
      </w:pPr>
    </w:p>
    <w:p w14:paraId="6E62C869" w14:textId="1052404A" w:rsidR="00017ADA" w:rsidRPr="009C5EFD" w:rsidRDefault="00E453CD" w:rsidP="009C5EFD">
      <w:pPr>
        <w:autoSpaceDE w:val="0"/>
        <w:autoSpaceDN w:val="0"/>
        <w:adjustRightInd w:val="0"/>
        <w:rPr>
          <w:del w:id="15179" w:author="AbbVie02no" w:date="2025-05-15T14:21:00Z"/>
          <w:rFonts w:eastAsia="TimesNewRoman"/>
          <w:sz w:val="22"/>
          <w:szCs w:val="22"/>
        </w:rPr>
      </w:pPr>
      <w:del w:id="15180" w:author="AbbVie02no" w:date="2025-05-15T14:21:00Z">
        <w:r w:rsidRPr="009C5EFD">
          <w:rPr>
            <w:rFonts w:eastAsia="TimesNewRoman"/>
            <w:sz w:val="22"/>
            <w:szCs w:val="22"/>
          </w:rPr>
          <w:delText xml:space="preserve">Humira brukes </w:delText>
        </w:r>
        <w:r w:rsidR="008D4298">
          <w:rPr>
            <w:rFonts w:eastAsia="TimesNewRoman"/>
            <w:sz w:val="22"/>
            <w:szCs w:val="22"/>
          </w:rPr>
          <w:delText>til</w:delText>
        </w:r>
        <w:r w:rsidR="008D4298" w:rsidRPr="009C5EFD">
          <w:rPr>
            <w:rFonts w:eastAsia="TimesNewRoman"/>
            <w:sz w:val="22"/>
            <w:szCs w:val="22"/>
          </w:rPr>
          <w:delText xml:space="preserve"> </w:delText>
        </w:r>
        <w:r w:rsidRPr="009C5EFD">
          <w:rPr>
            <w:rFonts w:eastAsia="TimesNewRoman"/>
            <w:sz w:val="22"/>
            <w:szCs w:val="22"/>
          </w:rPr>
          <w:delText xml:space="preserve">å behandle </w:delText>
        </w:r>
        <w:r w:rsidR="007F67EE" w:rsidRPr="009C5EFD">
          <w:rPr>
            <w:rFonts w:eastAsia="TimesNewRoman"/>
            <w:sz w:val="22"/>
            <w:szCs w:val="22"/>
          </w:rPr>
          <w:delText>hidrosadenitt</w:delText>
        </w:r>
        <w:r w:rsidRPr="009C5EFD">
          <w:rPr>
            <w:rFonts w:eastAsia="TimesNewRoman"/>
            <w:sz w:val="22"/>
            <w:szCs w:val="22"/>
          </w:rPr>
          <w:delText xml:space="preserve"> hos voksne</w:delText>
        </w:r>
        <w:r w:rsidR="009E4D7A">
          <w:rPr>
            <w:rFonts w:eastAsia="TimesNewRoman"/>
            <w:sz w:val="22"/>
            <w:szCs w:val="22"/>
          </w:rPr>
          <w:delText xml:space="preserve"> og ungdom </w:delText>
        </w:r>
        <w:r w:rsidR="008D4298">
          <w:rPr>
            <w:rFonts w:eastAsia="TimesNewRoman"/>
            <w:sz w:val="22"/>
            <w:szCs w:val="22"/>
          </w:rPr>
          <w:delText>over</w:delText>
        </w:r>
        <w:r w:rsidR="009E4D7A">
          <w:rPr>
            <w:rFonts w:eastAsia="TimesNewRoman"/>
            <w:sz w:val="22"/>
            <w:szCs w:val="22"/>
          </w:rPr>
          <w:delText xml:space="preserve"> 12 år</w:delText>
        </w:r>
        <w:r w:rsidRPr="009C5EFD">
          <w:rPr>
            <w:rFonts w:eastAsia="TimesNewRoman"/>
            <w:sz w:val="22"/>
            <w:szCs w:val="22"/>
          </w:rPr>
          <w:delText>. Humira kan redusere antall knuter og byller, og smerten som ofte er forbundet med sykdommen.</w:delText>
        </w:r>
        <w:r w:rsidR="009E4D7A">
          <w:rPr>
            <w:rFonts w:eastAsia="TimesNewRoman"/>
            <w:sz w:val="22"/>
            <w:szCs w:val="22"/>
          </w:rPr>
          <w:delText xml:space="preserve"> </w:delText>
        </w:r>
        <w:r w:rsidR="009E4D7A">
          <w:rPr>
            <w:sz w:val="22"/>
            <w:szCs w:val="22"/>
          </w:rPr>
          <w:delText xml:space="preserve">Det kan hende </w:delText>
        </w:r>
        <w:r w:rsidR="009E4D7A" w:rsidRPr="009C5EFD">
          <w:rPr>
            <w:sz w:val="22"/>
            <w:szCs w:val="22"/>
          </w:rPr>
          <w:delText>du først få</w:delText>
        </w:r>
        <w:r w:rsidR="009E4D7A">
          <w:rPr>
            <w:sz w:val="22"/>
            <w:szCs w:val="22"/>
          </w:rPr>
          <w:delText>r</w:delText>
        </w:r>
        <w:r w:rsidR="009E4D7A" w:rsidRPr="009C5EFD">
          <w:rPr>
            <w:sz w:val="22"/>
            <w:szCs w:val="22"/>
          </w:rPr>
          <w:delText xml:space="preserve"> andre </w:delText>
        </w:r>
        <w:r w:rsidR="009E4D7A">
          <w:rPr>
            <w:sz w:val="22"/>
            <w:szCs w:val="22"/>
          </w:rPr>
          <w:delText xml:space="preserve">legemidler. </w:delText>
        </w:r>
        <w:r w:rsidR="009E4D7A" w:rsidRPr="009C5EFD">
          <w:rPr>
            <w:sz w:val="22"/>
            <w:szCs w:val="22"/>
          </w:rPr>
          <w:delText xml:space="preserve">Dersom du ikke reagerer godt nok på disse </w:delText>
        </w:r>
        <w:r w:rsidR="009E4D7A">
          <w:rPr>
            <w:sz w:val="22"/>
            <w:szCs w:val="22"/>
          </w:rPr>
          <w:delText>legemidlene</w:delText>
        </w:r>
        <w:r w:rsidR="009E4D7A" w:rsidRPr="009C5EFD">
          <w:rPr>
            <w:sz w:val="22"/>
            <w:szCs w:val="22"/>
          </w:rPr>
          <w:delText>, vil du få Humira</w:delText>
        </w:r>
        <w:r w:rsidR="009E4D7A">
          <w:rPr>
            <w:sz w:val="22"/>
            <w:szCs w:val="22"/>
          </w:rPr>
          <w:delText>.</w:delText>
        </w:r>
      </w:del>
    </w:p>
    <w:p w14:paraId="5EAF4D58" w14:textId="3E79087C" w:rsidR="00017ADA" w:rsidRPr="009C5EFD" w:rsidRDefault="00017ADA" w:rsidP="009C5EFD">
      <w:pPr>
        <w:suppressAutoHyphens/>
        <w:rPr>
          <w:del w:id="15181" w:author="AbbVie02no" w:date="2025-05-15T14:21:00Z"/>
          <w:sz w:val="22"/>
          <w:szCs w:val="22"/>
        </w:rPr>
      </w:pPr>
    </w:p>
    <w:p w14:paraId="063703B6" w14:textId="6B919F04" w:rsidR="00DE3458" w:rsidRPr="009C5EFD" w:rsidRDefault="00E453CD" w:rsidP="001F5D4B">
      <w:pPr>
        <w:pStyle w:val="EMEANormal"/>
        <w:keepNext/>
        <w:rPr>
          <w:del w:id="15182" w:author="AbbVie02no" w:date="2025-05-15T14:21:00Z"/>
          <w:szCs w:val="22"/>
          <w:lang w:val="nb-NO"/>
        </w:rPr>
      </w:pPr>
      <w:del w:id="15183" w:author="AbbVie02no" w:date="2025-05-15T14:21:00Z">
        <w:r w:rsidRPr="009C5EFD">
          <w:rPr>
            <w:szCs w:val="22"/>
            <w:u w:val="single"/>
            <w:lang w:val="nb-NO"/>
          </w:rPr>
          <w:delText>Crohns sykdom</w:delText>
        </w:r>
        <w:r w:rsidR="00823F09" w:rsidRPr="009C5EFD">
          <w:rPr>
            <w:szCs w:val="22"/>
            <w:u w:val="single"/>
            <w:lang w:val="nb-NO"/>
          </w:rPr>
          <w:delText xml:space="preserve"> hos </w:delText>
        </w:r>
        <w:r w:rsidR="00466480" w:rsidRPr="009C5EFD">
          <w:rPr>
            <w:szCs w:val="22"/>
            <w:u w:val="single"/>
            <w:lang w:val="nb-NO"/>
          </w:rPr>
          <w:delText>voksne</w:delText>
        </w:r>
        <w:r w:rsidR="00823F09" w:rsidRPr="009C5EFD">
          <w:rPr>
            <w:szCs w:val="22"/>
            <w:u w:val="single"/>
            <w:lang w:val="nb-NO"/>
          </w:rPr>
          <w:delText xml:space="preserve"> og barn</w:delText>
        </w:r>
      </w:del>
    </w:p>
    <w:p w14:paraId="07960F53" w14:textId="4C8E438E" w:rsidR="00122922" w:rsidRPr="009C5EFD" w:rsidRDefault="00122922" w:rsidP="001F5D4B">
      <w:pPr>
        <w:pStyle w:val="EMEANormal"/>
        <w:keepNext/>
        <w:rPr>
          <w:del w:id="15184" w:author="AbbVie02no" w:date="2025-05-15T14:21:00Z"/>
          <w:szCs w:val="22"/>
          <w:lang w:val="nb-NO"/>
        </w:rPr>
      </w:pPr>
    </w:p>
    <w:p w14:paraId="22D68B17" w14:textId="7AF356F4" w:rsidR="00DE3458" w:rsidRPr="009C5EFD" w:rsidRDefault="00E453CD" w:rsidP="00776A84">
      <w:pPr>
        <w:pStyle w:val="EMEANormal"/>
        <w:rPr>
          <w:del w:id="15185" w:author="AbbVie02no" w:date="2025-05-15T14:21:00Z"/>
          <w:szCs w:val="22"/>
          <w:lang w:val="nb-NO"/>
        </w:rPr>
      </w:pPr>
      <w:del w:id="15186" w:author="AbbVie02no" w:date="2025-05-15T14:21:00Z">
        <w:r w:rsidRPr="009C5EFD">
          <w:rPr>
            <w:szCs w:val="22"/>
            <w:lang w:val="nb-NO"/>
          </w:rPr>
          <w:delText>Crohns sykdom er en betennelsessykdom i fordøyelseskanalen.</w:delText>
        </w:r>
      </w:del>
    </w:p>
    <w:p w14:paraId="1BA2C414" w14:textId="645BB73D" w:rsidR="00122922" w:rsidRPr="009C5EFD" w:rsidRDefault="00122922" w:rsidP="007F67EE">
      <w:pPr>
        <w:pStyle w:val="EMEANormal"/>
        <w:rPr>
          <w:del w:id="15187" w:author="AbbVie02no" w:date="2025-05-15T14:21:00Z"/>
          <w:szCs w:val="22"/>
          <w:lang w:val="nb-NO"/>
        </w:rPr>
      </w:pPr>
    </w:p>
    <w:p w14:paraId="4E48FB1F" w14:textId="2F95FA64" w:rsidR="00DE3458" w:rsidRPr="009C5EFD" w:rsidRDefault="00E453CD" w:rsidP="007F67EE">
      <w:pPr>
        <w:pStyle w:val="EMEANormal"/>
        <w:rPr>
          <w:del w:id="15188" w:author="AbbVie02no" w:date="2025-05-15T14:21:00Z"/>
          <w:szCs w:val="22"/>
          <w:lang w:val="nb-NO"/>
        </w:rPr>
      </w:pPr>
      <w:del w:id="15189" w:author="AbbVie02no" w:date="2025-05-15T14:21:00Z">
        <w:r w:rsidRPr="009C5EFD">
          <w:rPr>
            <w:szCs w:val="22"/>
            <w:lang w:val="nb-NO"/>
          </w:rPr>
          <w:delText xml:space="preserve">Humira brukes </w:delText>
        </w:r>
        <w:r w:rsidR="008D4298">
          <w:rPr>
            <w:szCs w:val="22"/>
            <w:lang w:val="nb-NO"/>
          </w:rPr>
          <w:delText>til</w:delText>
        </w:r>
        <w:r w:rsidR="008D4298" w:rsidRPr="009C5EFD">
          <w:rPr>
            <w:szCs w:val="22"/>
            <w:lang w:val="nb-NO"/>
          </w:rPr>
          <w:delText xml:space="preserve"> </w:delText>
        </w:r>
        <w:r w:rsidRPr="009C5EFD">
          <w:rPr>
            <w:szCs w:val="22"/>
            <w:lang w:val="nb-NO"/>
          </w:rPr>
          <w:delText xml:space="preserve">å behandle Crohns sykdom hos voksne og barn </w:delText>
        </w:r>
        <w:r w:rsidR="004924BF">
          <w:rPr>
            <w:szCs w:val="22"/>
            <w:lang w:val="nb-NO"/>
          </w:rPr>
          <w:delText>fra</w:delText>
        </w:r>
        <w:r w:rsidRPr="009C5EFD">
          <w:rPr>
            <w:szCs w:val="22"/>
            <w:lang w:val="nb-NO"/>
          </w:rPr>
          <w:delText xml:space="preserve"> 6 til 17 år. Hvis du har Crohns sykdom vil du først få andre legemidler. Dersom du ikke reagerer godt nok på disse legemidlene, vil du få Humira for å redusere sykdomstegn og symptomer på din </w:delText>
        </w:r>
        <w:r w:rsidR="00823F09" w:rsidRPr="009C5EFD">
          <w:rPr>
            <w:szCs w:val="22"/>
            <w:lang w:val="nb-NO"/>
          </w:rPr>
          <w:delText xml:space="preserve">Crohns </w:delText>
        </w:r>
        <w:r w:rsidRPr="009C5EFD">
          <w:rPr>
            <w:szCs w:val="22"/>
            <w:lang w:val="nb-NO"/>
          </w:rPr>
          <w:delText>sykdom.</w:delText>
        </w:r>
      </w:del>
    </w:p>
    <w:p w14:paraId="60D6B584" w14:textId="27B3A47F" w:rsidR="00DE3458" w:rsidRPr="009C5EFD" w:rsidRDefault="00DE3458" w:rsidP="00193D76">
      <w:pPr>
        <w:suppressAutoHyphens/>
        <w:rPr>
          <w:del w:id="15190" w:author="AbbVie02no" w:date="2025-05-15T14:21:00Z"/>
          <w:sz w:val="22"/>
          <w:szCs w:val="22"/>
        </w:rPr>
      </w:pPr>
    </w:p>
    <w:p w14:paraId="27FE8051" w14:textId="75E6C280" w:rsidR="00047C52" w:rsidRPr="009C5EFD" w:rsidRDefault="00E453CD" w:rsidP="00776A84">
      <w:pPr>
        <w:pStyle w:val="EMEANormal"/>
        <w:keepNext/>
        <w:rPr>
          <w:del w:id="15191" w:author="AbbVie02no" w:date="2025-05-15T14:21:00Z"/>
          <w:szCs w:val="22"/>
          <w:u w:val="single"/>
          <w:lang w:val="nb-NO"/>
        </w:rPr>
      </w:pPr>
      <w:del w:id="15192" w:author="AbbVie02no" w:date="2025-05-15T14:21:00Z">
        <w:r w:rsidRPr="009C5EFD">
          <w:rPr>
            <w:szCs w:val="22"/>
            <w:u w:val="single"/>
            <w:lang w:val="nb-NO"/>
          </w:rPr>
          <w:delText>Ulcerøs kolitt</w:delText>
        </w:r>
        <w:r w:rsidR="00CF2468">
          <w:rPr>
            <w:szCs w:val="22"/>
            <w:u w:val="single"/>
            <w:lang w:val="nb-NO"/>
          </w:rPr>
          <w:delText xml:space="preserve"> hos voksne og barn</w:delText>
        </w:r>
      </w:del>
    </w:p>
    <w:p w14:paraId="698D6476" w14:textId="30C0ADB9" w:rsidR="00122922" w:rsidRPr="009C5EFD" w:rsidRDefault="00122922" w:rsidP="00776A84">
      <w:pPr>
        <w:pStyle w:val="EMEANormal"/>
        <w:keepNext/>
        <w:rPr>
          <w:del w:id="15193" w:author="AbbVie02no" w:date="2025-05-15T14:21:00Z"/>
          <w:szCs w:val="22"/>
          <w:lang w:val="nb-NO"/>
        </w:rPr>
      </w:pPr>
    </w:p>
    <w:p w14:paraId="7053F62E" w14:textId="04B53386" w:rsidR="00047C52" w:rsidRPr="009C5EFD" w:rsidRDefault="00E453CD" w:rsidP="00E14E58">
      <w:pPr>
        <w:pStyle w:val="EMEANormal"/>
        <w:rPr>
          <w:del w:id="15194" w:author="AbbVie02no" w:date="2025-05-15T14:21:00Z"/>
          <w:szCs w:val="22"/>
          <w:u w:val="single"/>
          <w:lang w:val="nb-NO"/>
        </w:rPr>
      </w:pPr>
      <w:del w:id="15195" w:author="AbbVie02no" w:date="2025-05-15T14:21:00Z">
        <w:r w:rsidRPr="009C5EFD">
          <w:rPr>
            <w:szCs w:val="22"/>
            <w:lang w:val="nb-NO"/>
          </w:rPr>
          <w:delText xml:space="preserve">Ulcerøs kolitt er en betennelsessykdom i </w:delText>
        </w:r>
        <w:r w:rsidR="008436AF">
          <w:rPr>
            <w:szCs w:val="22"/>
            <w:lang w:val="nb-NO"/>
          </w:rPr>
          <w:delText>tykk</w:delText>
        </w:r>
        <w:r w:rsidRPr="009C5EFD">
          <w:rPr>
            <w:szCs w:val="22"/>
            <w:lang w:val="nb-NO"/>
          </w:rPr>
          <w:delText>tarmen.</w:delText>
        </w:r>
      </w:del>
    </w:p>
    <w:p w14:paraId="60183174" w14:textId="368658E6" w:rsidR="00122922" w:rsidRPr="009C5EFD" w:rsidRDefault="00122922" w:rsidP="009C5EFD">
      <w:pPr>
        <w:pStyle w:val="EMEANormal"/>
        <w:rPr>
          <w:del w:id="15196" w:author="AbbVie02no" w:date="2025-05-15T14:21:00Z"/>
          <w:szCs w:val="22"/>
          <w:lang w:val="nb-NO"/>
        </w:rPr>
      </w:pPr>
    </w:p>
    <w:p w14:paraId="1B2E1AF7" w14:textId="460CB14F" w:rsidR="00047C52" w:rsidRDefault="00E453CD" w:rsidP="009C5EFD">
      <w:pPr>
        <w:pStyle w:val="EMEANormal"/>
        <w:rPr>
          <w:del w:id="15197" w:author="AbbVie02no" w:date="2025-05-15T14:21:00Z"/>
          <w:szCs w:val="22"/>
          <w:lang w:val="nb-NO"/>
        </w:rPr>
      </w:pPr>
      <w:del w:id="15198" w:author="AbbVie02no" w:date="2025-05-15T14:21:00Z">
        <w:r w:rsidRPr="009C5EFD">
          <w:rPr>
            <w:szCs w:val="22"/>
            <w:lang w:val="nb-NO"/>
          </w:rPr>
          <w:delText xml:space="preserve">Humira brukes </w:delText>
        </w:r>
        <w:r w:rsidR="008D4298">
          <w:rPr>
            <w:szCs w:val="22"/>
            <w:lang w:val="nb-NO"/>
          </w:rPr>
          <w:delText>til</w:delText>
        </w:r>
        <w:r w:rsidR="008D4298" w:rsidRPr="009C5EFD">
          <w:rPr>
            <w:szCs w:val="22"/>
            <w:lang w:val="nb-NO"/>
          </w:rPr>
          <w:delText xml:space="preserve"> </w:delText>
        </w:r>
        <w:r w:rsidRPr="009C5EFD">
          <w:rPr>
            <w:szCs w:val="22"/>
            <w:lang w:val="nb-NO"/>
          </w:rPr>
          <w:delText xml:space="preserve">å behandle </w:delText>
        </w:r>
        <w:r w:rsidR="00CF2468">
          <w:rPr>
            <w:szCs w:val="22"/>
            <w:lang w:val="nb-NO"/>
          </w:rPr>
          <w:delText xml:space="preserve">moderat til alvorlig </w:delText>
        </w:r>
        <w:r w:rsidRPr="009C5EFD">
          <w:rPr>
            <w:szCs w:val="22"/>
            <w:lang w:val="nb-NO"/>
          </w:rPr>
          <w:delText>ulcerøs kolitt hos voksne</w:delText>
        </w:r>
        <w:r w:rsidR="00CF2468">
          <w:rPr>
            <w:szCs w:val="22"/>
            <w:lang w:val="nb-NO"/>
          </w:rPr>
          <w:delText xml:space="preserve"> og barn </w:delText>
        </w:r>
        <w:r w:rsidR="00AE6009">
          <w:rPr>
            <w:szCs w:val="22"/>
            <w:lang w:val="nb-NO"/>
          </w:rPr>
          <w:delText>fra</w:delText>
        </w:r>
        <w:r w:rsidR="00CF2468">
          <w:rPr>
            <w:szCs w:val="22"/>
            <w:lang w:val="nb-NO"/>
          </w:rPr>
          <w:delText xml:space="preserve"> 6 til 17 år</w:delText>
        </w:r>
        <w:r w:rsidRPr="009C5EFD">
          <w:rPr>
            <w:szCs w:val="22"/>
            <w:lang w:val="nb-NO"/>
          </w:rPr>
          <w:delText xml:space="preserve">. Hvis du har ulcerøs kolitt </w:delText>
        </w:r>
        <w:r w:rsidR="00581BB0">
          <w:rPr>
            <w:szCs w:val="22"/>
            <w:lang w:val="nb-NO"/>
          </w:rPr>
          <w:delText xml:space="preserve">kan det hende </w:delText>
        </w:r>
        <w:r w:rsidRPr="009C5EFD">
          <w:rPr>
            <w:szCs w:val="22"/>
            <w:lang w:val="nb-NO"/>
          </w:rPr>
          <w:delText>du først få</w:delText>
        </w:r>
        <w:r w:rsidR="00C00D63">
          <w:rPr>
            <w:szCs w:val="22"/>
            <w:lang w:val="nb-NO"/>
          </w:rPr>
          <w:delText>r</w:delText>
        </w:r>
        <w:r w:rsidRPr="009C5EFD">
          <w:rPr>
            <w:szCs w:val="22"/>
            <w:lang w:val="nb-NO"/>
          </w:rPr>
          <w:delText xml:space="preserve"> andre legemidler. Dersom du ikke reagerer godt nok på disse legemidlene, vil du få Humira for å redusere sykdomstegn og symptomer på </w:delText>
        </w:r>
        <w:r w:rsidR="002858DC">
          <w:rPr>
            <w:szCs w:val="22"/>
            <w:lang w:val="nb-NO"/>
          </w:rPr>
          <w:delText>sykdommen din</w:delText>
        </w:r>
        <w:r w:rsidRPr="009C5EFD">
          <w:rPr>
            <w:szCs w:val="22"/>
            <w:lang w:val="nb-NO"/>
          </w:rPr>
          <w:delText>.</w:delText>
        </w:r>
      </w:del>
    </w:p>
    <w:p w14:paraId="52CD37D1" w14:textId="6FFB0ACC" w:rsidR="00290344" w:rsidRDefault="00290344" w:rsidP="009C5EFD">
      <w:pPr>
        <w:pStyle w:val="EMEANormal"/>
        <w:rPr>
          <w:del w:id="15199" w:author="AbbVie02no" w:date="2025-05-15T14:21:00Z"/>
          <w:szCs w:val="22"/>
          <w:lang w:val="nb-NO"/>
        </w:rPr>
      </w:pPr>
    </w:p>
    <w:p w14:paraId="25E32EB6" w14:textId="71FB2490" w:rsidR="00521E94" w:rsidRDefault="00E453CD" w:rsidP="00776A84">
      <w:pPr>
        <w:pStyle w:val="EMEANormal"/>
        <w:keepNext/>
        <w:rPr>
          <w:del w:id="15200" w:author="AbbVie02no" w:date="2025-05-15T14:21:00Z"/>
          <w:szCs w:val="22"/>
          <w:u w:val="single"/>
          <w:lang w:val="nb-NO"/>
        </w:rPr>
      </w:pPr>
      <w:del w:id="15201" w:author="AbbVie02no" w:date="2025-05-15T14:21:00Z">
        <w:r>
          <w:rPr>
            <w:szCs w:val="22"/>
            <w:u w:val="single"/>
            <w:lang w:val="nb-NO"/>
          </w:rPr>
          <w:delText xml:space="preserve">Ikke-infeksiøs </w:delText>
        </w:r>
        <w:r w:rsidRPr="00521E94">
          <w:rPr>
            <w:szCs w:val="22"/>
            <w:u w:val="single"/>
            <w:lang w:val="nb-NO"/>
          </w:rPr>
          <w:delText xml:space="preserve">uveitt </w:delText>
        </w:r>
        <w:r w:rsidR="004E1A09">
          <w:rPr>
            <w:szCs w:val="22"/>
            <w:u w:val="single"/>
            <w:lang w:val="nb-NO"/>
          </w:rPr>
          <w:delText>hos voksne og barn</w:delText>
        </w:r>
      </w:del>
    </w:p>
    <w:p w14:paraId="1783B12B" w14:textId="4AB69868" w:rsidR="00521E94" w:rsidRDefault="00521E94" w:rsidP="00776A84">
      <w:pPr>
        <w:pStyle w:val="EMEANormal"/>
        <w:keepNext/>
        <w:rPr>
          <w:del w:id="15202" w:author="AbbVie02no" w:date="2025-05-15T14:21:00Z"/>
          <w:szCs w:val="22"/>
          <w:u w:val="single"/>
          <w:lang w:val="nb-NO"/>
        </w:rPr>
      </w:pPr>
    </w:p>
    <w:p w14:paraId="3230892D" w14:textId="6C0CB652" w:rsidR="00521E94" w:rsidRDefault="00E453CD" w:rsidP="009C5EFD">
      <w:pPr>
        <w:pStyle w:val="EMEANormal"/>
        <w:rPr>
          <w:del w:id="15203" w:author="AbbVie02no" w:date="2025-05-15T14:21:00Z"/>
          <w:szCs w:val="22"/>
          <w:lang w:val="nb-NO"/>
        </w:rPr>
      </w:pPr>
      <w:del w:id="15204" w:author="AbbVie02no" w:date="2025-05-15T14:21:00Z">
        <w:r w:rsidRPr="00521E94">
          <w:rPr>
            <w:szCs w:val="22"/>
            <w:lang w:val="nb-NO"/>
          </w:rPr>
          <w:delText xml:space="preserve">Ikke-infeksiøs uveitt </w:delText>
        </w:r>
        <w:r>
          <w:rPr>
            <w:szCs w:val="22"/>
            <w:lang w:val="nb-NO"/>
          </w:rPr>
          <w:delText xml:space="preserve">er en betennelsessykdom </w:delText>
        </w:r>
        <w:r w:rsidRPr="00521E94">
          <w:rPr>
            <w:szCs w:val="22"/>
            <w:lang w:val="nb-NO"/>
          </w:rPr>
          <w:delText xml:space="preserve">som påvirker </w:delText>
        </w:r>
        <w:r>
          <w:rPr>
            <w:szCs w:val="22"/>
            <w:lang w:val="nb-NO"/>
          </w:rPr>
          <w:delText>visse deler av øyet.</w:delText>
        </w:r>
      </w:del>
    </w:p>
    <w:p w14:paraId="0B0B52ED" w14:textId="3EBB5BEE" w:rsidR="0082569C" w:rsidRDefault="0082569C" w:rsidP="009C5EFD">
      <w:pPr>
        <w:pStyle w:val="EMEANormal"/>
        <w:rPr>
          <w:del w:id="15205" w:author="AbbVie02no" w:date="2025-05-15T14:21:00Z"/>
          <w:szCs w:val="22"/>
          <w:lang w:val="nb-NO"/>
        </w:rPr>
      </w:pPr>
    </w:p>
    <w:p w14:paraId="4C78FDD4" w14:textId="685C950F" w:rsidR="004E1A09" w:rsidRDefault="00E453CD" w:rsidP="00776A84">
      <w:pPr>
        <w:pStyle w:val="EMEANormal"/>
        <w:keepNext/>
        <w:rPr>
          <w:del w:id="15206" w:author="AbbVie02no" w:date="2025-05-15T14:21:00Z"/>
          <w:szCs w:val="22"/>
          <w:lang w:val="nb-NO"/>
        </w:rPr>
      </w:pPr>
      <w:del w:id="15207" w:author="AbbVie02no" w:date="2025-05-15T14:21:00Z">
        <w:r>
          <w:rPr>
            <w:szCs w:val="22"/>
            <w:lang w:val="nb-NO"/>
          </w:rPr>
          <w:delText xml:space="preserve">Humira brukes </w:delText>
        </w:r>
        <w:r w:rsidR="008D4298">
          <w:rPr>
            <w:szCs w:val="22"/>
            <w:lang w:val="nb-NO"/>
          </w:rPr>
          <w:delText xml:space="preserve">til </w:delText>
        </w:r>
        <w:r>
          <w:rPr>
            <w:szCs w:val="22"/>
            <w:lang w:val="nb-NO"/>
          </w:rPr>
          <w:delText>å behandle</w:delText>
        </w:r>
      </w:del>
    </w:p>
    <w:p w14:paraId="58AE7C8A" w14:textId="2EA64F90" w:rsidR="004E1A09" w:rsidRDefault="00E453CD" w:rsidP="00B3311E">
      <w:pPr>
        <w:pStyle w:val="EMEANormal"/>
        <w:numPr>
          <w:ilvl w:val="0"/>
          <w:numId w:val="129"/>
        </w:numPr>
        <w:rPr>
          <w:del w:id="15208" w:author="AbbVie02no" w:date="2025-05-15T14:21:00Z"/>
          <w:szCs w:val="22"/>
          <w:lang w:val="nb-NO"/>
        </w:rPr>
      </w:pPr>
      <w:del w:id="15209" w:author="AbbVie02no" w:date="2025-05-15T14:21:00Z">
        <w:r>
          <w:rPr>
            <w:szCs w:val="22"/>
            <w:lang w:val="nb-NO"/>
          </w:rPr>
          <w:delText>V</w:delText>
        </w:r>
        <w:r w:rsidR="0082569C">
          <w:rPr>
            <w:szCs w:val="22"/>
            <w:lang w:val="nb-NO"/>
          </w:rPr>
          <w:delText xml:space="preserve">oksne med ikke-infeksiøs uveitt med betennelse som påvirker </w:delText>
        </w:r>
        <w:r w:rsidR="009028B4">
          <w:rPr>
            <w:szCs w:val="22"/>
            <w:lang w:val="nb-NO"/>
          </w:rPr>
          <w:delText>bakre del av øyet</w:delText>
        </w:r>
      </w:del>
    </w:p>
    <w:p w14:paraId="38ECA1C2" w14:textId="78180F53" w:rsidR="004E1A09" w:rsidRDefault="00E453CD" w:rsidP="00B3311E">
      <w:pPr>
        <w:pStyle w:val="EMEANormal"/>
        <w:numPr>
          <w:ilvl w:val="0"/>
          <w:numId w:val="129"/>
        </w:numPr>
        <w:rPr>
          <w:del w:id="15210" w:author="AbbVie02no" w:date="2025-05-15T14:21:00Z"/>
          <w:szCs w:val="22"/>
          <w:lang w:val="nb-NO"/>
        </w:rPr>
      </w:pPr>
      <w:del w:id="15211" w:author="AbbVie02no" w:date="2025-05-15T14:21:00Z">
        <w:r>
          <w:rPr>
            <w:szCs w:val="22"/>
            <w:lang w:val="nb-NO"/>
          </w:rPr>
          <w:delText xml:space="preserve">Barn </w:delText>
        </w:r>
        <w:r w:rsidR="008D4298">
          <w:rPr>
            <w:szCs w:val="22"/>
            <w:lang w:val="nb-NO"/>
          </w:rPr>
          <w:delText xml:space="preserve">over </w:delText>
        </w:r>
        <w:r>
          <w:rPr>
            <w:szCs w:val="22"/>
            <w:lang w:val="nb-NO"/>
          </w:rPr>
          <w:delText>2 år med kroni</w:delText>
        </w:r>
        <w:r w:rsidR="008B761C">
          <w:rPr>
            <w:szCs w:val="22"/>
            <w:lang w:val="nb-NO"/>
          </w:rPr>
          <w:delText>sk ikke-infek</w:delText>
        </w:r>
        <w:r w:rsidR="00E00C61">
          <w:rPr>
            <w:szCs w:val="22"/>
            <w:lang w:val="nb-NO"/>
          </w:rPr>
          <w:delText>s</w:delText>
        </w:r>
        <w:r w:rsidR="008B761C">
          <w:rPr>
            <w:szCs w:val="22"/>
            <w:lang w:val="nb-NO"/>
          </w:rPr>
          <w:delText>iøs uveitt med be</w:delText>
        </w:r>
        <w:r>
          <w:rPr>
            <w:szCs w:val="22"/>
            <w:lang w:val="nb-NO"/>
          </w:rPr>
          <w:delText>tennelse som påvirker fremre del av øyet (regnbuehinnebetennelse)</w:delText>
        </w:r>
      </w:del>
    </w:p>
    <w:p w14:paraId="69067155" w14:textId="4E10DDA9" w:rsidR="004E1A09" w:rsidRDefault="004E1A09" w:rsidP="00B3311E">
      <w:pPr>
        <w:pStyle w:val="EMEANormal"/>
        <w:tabs>
          <w:tab w:val="clear" w:pos="562"/>
        </w:tabs>
        <w:rPr>
          <w:del w:id="15212" w:author="AbbVie02no" w:date="2025-05-15T14:21:00Z"/>
          <w:szCs w:val="22"/>
          <w:lang w:val="nb-NO"/>
        </w:rPr>
      </w:pPr>
    </w:p>
    <w:p w14:paraId="3736AC43" w14:textId="796DEFD9" w:rsidR="004120E2" w:rsidRPr="00B3311E" w:rsidRDefault="00E453CD" w:rsidP="001F5D4B">
      <w:pPr>
        <w:suppressAutoHyphens/>
        <w:rPr>
          <w:del w:id="15213" w:author="AbbVie02no" w:date="2025-05-15T14:21:00Z"/>
          <w:sz w:val="22"/>
          <w:szCs w:val="22"/>
        </w:rPr>
      </w:pPr>
      <w:del w:id="15214" w:author="AbbVie02no" w:date="2025-05-15T14:21:00Z">
        <w:r w:rsidRPr="00B3311E">
          <w:rPr>
            <w:sz w:val="22"/>
            <w:szCs w:val="22"/>
          </w:rPr>
          <w:delText xml:space="preserve">Denne betennelsen </w:delText>
        </w:r>
        <w:r w:rsidR="004E1A09" w:rsidRPr="00B3311E">
          <w:rPr>
            <w:sz w:val="22"/>
            <w:szCs w:val="22"/>
          </w:rPr>
          <w:delText xml:space="preserve">kan </w:delText>
        </w:r>
        <w:r w:rsidRPr="00B3311E">
          <w:rPr>
            <w:sz w:val="22"/>
            <w:szCs w:val="22"/>
          </w:rPr>
          <w:delText xml:space="preserve">føre til nedsatt syn og/eller tilstedeværelse av </w:delText>
        </w:r>
        <w:r w:rsidR="004E1A09" w:rsidRPr="00B3311E">
          <w:rPr>
            <w:sz w:val="22"/>
            <w:szCs w:val="22"/>
          </w:rPr>
          <w:delText xml:space="preserve">flytende </w:delText>
        </w:r>
        <w:r w:rsidR="00533509">
          <w:rPr>
            <w:sz w:val="22"/>
            <w:szCs w:val="22"/>
          </w:rPr>
          <w:delText>legemer</w:delText>
        </w:r>
        <w:r w:rsidR="00533509" w:rsidRPr="00B3311E">
          <w:rPr>
            <w:sz w:val="22"/>
            <w:szCs w:val="22"/>
          </w:rPr>
          <w:delText xml:space="preserve"> </w:delText>
        </w:r>
        <w:r w:rsidRPr="00B3311E">
          <w:rPr>
            <w:sz w:val="22"/>
            <w:szCs w:val="22"/>
          </w:rPr>
          <w:delText xml:space="preserve">i øyet (svarte prikker eller ujevne linjer som beveger seg </w:delText>
        </w:r>
        <w:r w:rsidR="004E1A09" w:rsidRPr="00B3311E">
          <w:rPr>
            <w:sz w:val="22"/>
            <w:szCs w:val="22"/>
          </w:rPr>
          <w:delText>over</w:delText>
        </w:r>
        <w:r w:rsidRPr="00B3311E">
          <w:rPr>
            <w:sz w:val="22"/>
            <w:szCs w:val="22"/>
          </w:rPr>
          <w:delText xml:space="preserve"> synsfeltet). Humira virker ved å redusere denne betennelsen.</w:delText>
        </w:r>
      </w:del>
    </w:p>
    <w:p w14:paraId="477B4CC6" w14:textId="09975AF6" w:rsidR="004120E2" w:rsidRDefault="004120E2" w:rsidP="001F5D4B">
      <w:pPr>
        <w:suppressAutoHyphens/>
        <w:rPr>
          <w:del w:id="15215" w:author="AbbVie02no" w:date="2025-05-15T14:21:00Z"/>
          <w:szCs w:val="22"/>
        </w:rPr>
      </w:pPr>
    </w:p>
    <w:p w14:paraId="603D17E0" w14:textId="0E893E0D" w:rsidR="00DE3458" w:rsidRPr="009C5EFD" w:rsidRDefault="00DE3458" w:rsidP="001F5D4B">
      <w:pPr>
        <w:suppressAutoHyphens/>
        <w:rPr>
          <w:del w:id="15216" w:author="AbbVie02no" w:date="2025-05-15T14:21:00Z"/>
          <w:sz w:val="22"/>
          <w:szCs w:val="22"/>
        </w:rPr>
      </w:pPr>
    </w:p>
    <w:p w14:paraId="22C9E550" w14:textId="4CC4BCF6" w:rsidR="00DE3458" w:rsidRPr="001F5D4B" w:rsidRDefault="00E453CD" w:rsidP="00776A84">
      <w:pPr>
        <w:keepNext/>
        <w:suppressAutoHyphens/>
        <w:ind w:left="567" w:hanging="567"/>
        <w:rPr>
          <w:del w:id="15217" w:author="AbbVie02no" w:date="2025-05-15T14:21:00Z"/>
          <w:b/>
          <w:sz w:val="22"/>
          <w:szCs w:val="22"/>
        </w:rPr>
      </w:pPr>
      <w:del w:id="15218" w:author="AbbVie02no" w:date="2025-05-15T14:21:00Z">
        <w:r w:rsidRPr="009C5EFD">
          <w:rPr>
            <w:b/>
            <w:sz w:val="22"/>
            <w:szCs w:val="22"/>
          </w:rPr>
          <w:delText>2.</w:delText>
        </w:r>
        <w:r w:rsidRPr="009C5EFD">
          <w:rPr>
            <w:b/>
            <w:sz w:val="22"/>
            <w:szCs w:val="22"/>
          </w:rPr>
          <w:tab/>
        </w:r>
        <w:r w:rsidR="009F20CB" w:rsidRPr="009C5EFD">
          <w:rPr>
            <w:b/>
            <w:sz w:val="22"/>
            <w:szCs w:val="22"/>
          </w:rPr>
          <w:delText xml:space="preserve">Hva du må </w:delText>
        </w:r>
        <w:r w:rsidR="002547FB" w:rsidRPr="009C5EFD">
          <w:rPr>
            <w:b/>
            <w:sz w:val="22"/>
            <w:szCs w:val="22"/>
          </w:rPr>
          <w:delText>vite</w:delText>
        </w:r>
        <w:r w:rsidR="009F20CB" w:rsidRPr="009C5EFD">
          <w:rPr>
            <w:b/>
            <w:sz w:val="22"/>
            <w:szCs w:val="22"/>
          </w:rPr>
          <w:delText xml:space="preserve"> før du bruker Humira</w:delText>
        </w:r>
      </w:del>
    </w:p>
    <w:p w14:paraId="366EE7FC" w14:textId="32920575" w:rsidR="00DE3458" w:rsidRPr="007F67EE" w:rsidRDefault="00DE3458" w:rsidP="00776A84">
      <w:pPr>
        <w:keepNext/>
        <w:rPr>
          <w:del w:id="15219" w:author="AbbVie02no" w:date="2025-05-15T14:21:00Z"/>
          <w:sz w:val="22"/>
          <w:szCs w:val="22"/>
        </w:rPr>
      </w:pPr>
    </w:p>
    <w:p w14:paraId="57C671AE" w14:textId="692919B7" w:rsidR="00DE3458" w:rsidRPr="00C07C98" w:rsidRDefault="00E453CD" w:rsidP="00776A84">
      <w:pPr>
        <w:keepNext/>
        <w:suppressAutoHyphens/>
        <w:rPr>
          <w:del w:id="15220" w:author="AbbVie02no" w:date="2025-05-15T14:21:00Z"/>
          <w:b/>
          <w:sz w:val="22"/>
          <w:szCs w:val="22"/>
        </w:rPr>
      </w:pPr>
      <w:del w:id="15221" w:author="AbbVie02no" w:date="2025-05-15T14:21:00Z">
        <w:r w:rsidRPr="00193D76">
          <w:rPr>
            <w:b/>
            <w:sz w:val="22"/>
            <w:szCs w:val="22"/>
          </w:rPr>
          <w:delText>Bruk ikke H</w:delText>
        </w:r>
        <w:r w:rsidR="001F3D06" w:rsidRPr="002D0790">
          <w:rPr>
            <w:b/>
            <w:sz w:val="22"/>
            <w:szCs w:val="22"/>
          </w:rPr>
          <w:delText>umira</w:delText>
        </w:r>
      </w:del>
    </w:p>
    <w:p w14:paraId="730416D2" w14:textId="68CC7D09" w:rsidR="00DE3458" w:rsidRPr="00E14E58" w:rsidRDefault="00DE3458" w:rsidP="00776A84">
      <w:pPr>
        <w:keepNext/>
        <w:suppressAutoHyphens/>
        <w:rPr>
          <w:del w:id="15222" w:author="AbbVie02no" w:date="2025-05-15T14:21:00Z"/>
          <w:sz w:val="22"/>
          <w:szCs w:val="22"/>
        </w:rPr>
      </w:pPr>
    </w:p>
    <w:p w14:paraId="7EEC64BB" w14:textId="67D816AA" w:rsidR="00DE3458" w:rsidRDefault="00E453CD" w:rsidP="007F67EE">
      <w:pPr>
        <w:numPr>
          <w:ilvl w:val="0"/>
          <w:numId w:val="3"/>
        </w:numPr>
        <w:tabs>
          <w:tab w:val="clear" w:pos="720"/>
          <w:tab w:val="num" w:pos="567"/>
        </w:tabs>
        <w:ind w:left="567" w:hanging="567"/>
        <w:rPr>
          <w:del w:id="15223" w:author="AbbVie02no" w:date="2025-05-15T14:21:00Z"/>
          <w:sz w:val="22"/>
          <w:szCs w:val="22"/>
        </w:rPr>
      </w:pPr>
      <w:del w:id="15224" w:author="AbbVie02no" w:date="2025-05-15T14:21:00Z">
        <w:r>
          <w:rPr>
            <w:sz w:val="22"/>
            <w:szCs w:val="22"/>
          </w:rPr>
          <w:delText>D</w:delText>
        </w:r>
        <w:r w:rsidR="00345205">
          <w:rPr>
            <w:sz w:val="22"/>
            <w:szCs w:val="22"/>
          </w:rPr>
          <w:delText>ersom</w:delText>
        </w:r>
        <w:r w:rsidRPr="009C5EFD">
          <w:rPr>
            <w:sz w:val="22"/>
            <w:szCs w:val="22"/>
          </w:rPr>
          <w:delText xml:space="preserve"> du er allergisk overfor adalimumab eller </w:delText>
        </w:r>
        <w:r w:rsidR="00866346" w:rsidRPr="009C5EFD">
          <w:rPr>
            <w:sz w:val="22"/>
            <w:szCs w:val="22"/>
          </w:rPr>
          <w:delText xml:space="preserve">noen </w:delText>
        </w:r>
        <w:r w:rsidRPr="009C5EFD">
          <w:rPr>
            <w:sz w:val="22"/>
            <w:szCs w:val="22"/>
          </w:rPr>
          <w:delText xml:space="preserve">av de andre innholdsstoffene i </w:delText>
        </w:r>
        <w:r w:rsidR="001F3D06" w:rsidRPr="009C5EFD">
          <w:rPr>
            <w:sz w:val="22"/>
            <w:szCs w:val="22"/>
          </w:rPr>
          <w:delText>dette legemidlet (</w:delText>
        </w:r>
        <w:r w:rsidR="00866346" w:rsidRPr="009C5EFD">
          <w:rPr>
            <w:sz w:val="22"/>
            <w:szCs w:val="22"/>
          </w:rPr>
          <w:delText xml:space="preserve">listet opp </w:delText>
        </w:r>
        <w:r w:rsidR="001F3D06" w:rsidRPr="009C5EFD">
          <w:rPr>
            <w:sz w:val="22"/>
            <w:szCs w:val="22"/>
          </w:rPr>
          <w:delText xml:space="preserve">i </w:delText>
        </w:r>
        <w:r w:rsidR="00945704">
          <w:rPr>
            <w:sz w:val="22"/>
            <w:szCs w:val="22"/>
          </w:rPr>
          <w:delText xml:space="preserve">avsnitt </w:delText>
        </w:r>
        <w:r w:rsidR="001F3D06" w:rsidRPr="009C5EFD">
          <w:rPr>
            <w:sz w:val="22"/>
            <w:szCs w:val="22"/>
          </w:rPr>
          <w:delText>6)</w:delText>
        </w:r>
        <w:r w:rsidRPr="009C5EFD">
          <w:rPr>
            <w:sz w:val="22"/>
            <w:szCs w:val="22"/>
          </w:rPr>
          <w:delText>.</w:delText>
        </w:r>
      </w:del>
    </w:p>
    <w:p w14:paraId="4DE1503F" w14:textId="67EA6347" w:rsidR="00460A0D" w:rsidRPr="009C5EFD" w:rsidRDefault="00460A0D" w:rsidP="00AF70AD">
      <w:pPr>
        <w:ind w:left="567"/>
        <w:rPr>
          <w:del w:id="15225" w:author="AbbVie02no" w:date="2025-05-15T14:21:00Z"/>
          <w:sz w:val="22"/>
          <w:szCs w:val="22"/>
        </w:rPr>
      </w:pPr>
    </w:p>
    <w:p w14:paraId="57D05388" w14:textId="11F16058" w:rsidR="00DE3458" w:rsidRDefault="00E453CD" w:rsidP="00193D76">
      <w:pPr>
        <w:numPr>
          <w:ilvl w:val="0"/>
          <w:numId w:val="3"/>
        </w:numPr>
        <w:tabs>
          <w:tab w:val="num" w:pos="567"/>
        </w:tabs>
        <w:ind w:left="567" w:hanging="567"/>
        <w:rPr>
          <w:del w:id="15226" w:author="AbbVie02no" w:date="2025-05-15T14:21:00Z"/>
          <w:sz w:val="22"/>
          <w:szCs w:val="22"/>
        </w:rPr>
      </w:pPr>
      <w:del w:id="15227" w:author="AbbVie02no" w:date="2025-05-15T14:21:00Z">
        <w:r>
          <w:rPr>
            <w:sz w:val="22"/>
            <w:szCs w:val="22"/>
          </w:rPr>
          <w:delText>D</w:delText>
        </w:r>
        <w:r w:rsidRPr="009C5EFD">
          <w:rPr>
            <w:sz w:val="22"/>
            <w:szCs w:val="22"/>
          </w:rPr>
          <w:delText xml:space="preserve">ersom du har en </w:delText>
        </w:r>
        <w:r w:rsidR="00021903">
          <w:rPr>
            <w:sz w:val="22"/>
            <w:szCs w:val="22"/>
          </w:rPr>
          <w:delText>alvorlig</w:delText>
        </w:r>
        <w:r w:rsidRPr="009C5EFD">
          <w:rPr>
            <w:sz w:val="22"/>
            <w:szCs w:val="22"/>
          </w:rPr>
          <w:delText xml:space="preserve"> infeksjon, </w:delText>
        </w:r>
        <w:r w:rsidRPr="009C5EFD">
          <w:rPr>
            <w:color w:val="000000"/>
            <w:sz w:val="22"/>
            <w:szCs w:val="22"/>
          </w:rPr>
          <w:delText xml:space="preserve">inkludert </w:delText>
        </w:r>
        <w:r w:rsidRPr="009C5EFD">
          <w:rPr>
            <w:sz w:val="22"/>
            <w:szCs w:val="22"/>
          </w:rPr>
          <w:delText xml:space="preserve">aktiv tuberkulose (se </w:delText>
        </w:r>
        <w:r w:rsidR="00D57009">
          <w:rPr>
            <w:sz w:val="22"/>
            <w:szCs w:val="22"/>
          </w:rPr>
          <w:delText>«</w:delText>
        </w:r>
        <w:r w:rsidR="00352D18" w:rsidRPr="009C5EFD">
          <w:rPr>
            <w:sz w:val="22"/>
            <w:szCs w:val="22"/>
          </w:rPr>
          <w:delText>Advarsler og forsiktighetsregler</w:delText>
        </w:r>
        <w:r w:rsidR="00D57009">
          <w:rPr>
            <w:sz w:val="22"/>
            <w:szCs w:val="22"/>
          </w:rPr>
          <w:delText>»</w:delText>
        </w:r>
        <w:r w:rsidRPr="009C5EFD">
          <w:rPr>
            <w:sz w:val="22"/>
            <w:szCs w:val="22"/>
          </w:rPr>
          <w:delText>). Det er viktig at du informerer legen om du har symptomer på infeksjon, som for eksempel feber, sår, tretthet, problemer med tennene.</w:delText>
        </w:r>
      </w:del>
    </w:p>
    <w:p w14:paraId="6E216FA8" w14:textId="7409BE0C" w:rsidR="00460A0D" w:rsidRPr="009C5EFD" w:rsidRDefault="00460A0D" w:rsidP="00AF70AD">
      <w:pPr>
        <w:ind w:left="567"/>
        <w:rPr>
          <w:del w:id="15228" w:author="AbbVie02no" w:date="2025-05-15T14:21:00Z"/>
          <w:sz w:val="22"/>
          <w:szCs w:val="22"/>
        </w:rPr>
      </w:pPr>
    </w:p>
    <w:p w14:paraId="13C5656A" w14:textId="01C1BDFD" w:rsidR="00DE3458" w:rsidRPr="009C5EFD" w:rsidRDefault="00E453CD" w:rsidP="002D0790">
      <w:pPr>
        <w:numPr>
          <w:ilvl w:val="0"/>
          <w:numId w:val="3"/>
        </w:numPr>
        <w:tabs>
          <w:tab w:val="num" w:pos="567"/>
        </w:tabs>
        <w:ind w:left="567" w:hanging="567"/>
        <w:rPr>
          <w:del w:id="15229" w:author="AbbVie02no" w:date="2025-05-15T14:21:00Z"/>
          <w:sz w:val="22"/>
          <w:szCs w:val="22"/>
        </w:rPr>
      </w:pPr>
      <w:del w:id="15230" w:author="AbbVie02no" w:date="2025-05-15T14:21:00Z">
        <w:r>
          <w:rPr>
            <w:sz w:val="22"/>
            <w:szCs w:val="22"/>
          </w:rPr>
          <w:delText>D</w:delText>
        </w:r>
        <w:r w:rsidR="00345205">
          <w:rPr>
            <w:sz w:val="22"/>
            <w:szCs w:val="22"/>
          </w:rPr>
          <w:delText>ersom</w:delText>
        </w:r>
        <w:r w:rsidRPr="009C5EFD">
          <w:rPr>
            <w:sz w:val="22"/>
            <w:szCs w:val="22"/>
          </w:rPr>
          <w:delText xml:space="preserve"> du har moderat til alvorlig hjertesvikt. Det er viktig at du forteller legen hvis du har eller har hatt en alvorlig hjertesykdom (se </w:delText>
        </w:r>
        <w:r w:rsidR="00D57009">
          <w:rPr>
            <w:sz w:val="22"/>
            <w:szCs w:val="22"/>
          </w:rPr>
          <w:delText>«</w:delText>
        </w:r>
        <w:r w:rsidR="00352D18" w:rsidRPr="009C5EFD">
          <w:rPr>
            <w:sz w:val="22"/>
            <w:szCs w:val="22"/>
          </w:rPr>
          <w:delText>Advarsler og forsiktighetsregler</w:delText>
        </w:r>
        <w:r w:rsidR="00D57009">
          <w:rPr>
            <w:sz w:val="22"/>
            <w:szCs w:val="22"/>
          </w:rPr>
          <w:delText>»</w:delText>
        </w:r>
        <w:r w:rsidRPr="009C5EFD">
          <w:rPr>
            <w:sz w:val="22"/>
            <w:szCs w:val="22"/>
          </w:rPr>
          <w:delText>).</w:delText>
        </w:r>
      </w:del>
    </w:p>
    <w:p w14:paraId="16D03DD8" w14:textId="00A24AF6" w:rsidR="00DE3458" w:rsidRPr="009C5EFD" w:rsidRDefault="00DE3458" w:rsidP="00C07C98">
      <w:pPr>
        <w:tabs>
          <w:tab w:val="num" w:pos="567"/>
        </w:tabs>
        <w:suppressAutoHyphens/>
        <w:ind w:left="567" w:hanging="567"/>
        <w:rPr>
          <w:del w:id="15231" w:author="AbbVie02no" w:date="2025-05-15T14:21:00Z"/>
          <w:sz w:val="22"/>
          <w:szCs w:val="22"/>
        </w:rPr>
      </w:pPr>
    </w:p>
    <w:p w14:paraId="4DE152FF" w14:textId="5CD939EE" w:rsidR="00DE3458" w:rsidRPr="009C5EFD" w:rsidRDefault="00E453CD" w:rsidP="00776A84">
      <w:pPr>
        <w:keepNext/>
        <w:tabs>
          <w:tab w:val="num" w:pos="567"/>
        </w:tabs>
        <w:suppressAutoHyphens/>
        <w:ind w:left="567" w:hanging="567"/>
        <w:rPr>
          <w:del w:id="15232" w:author="AbbVie02no" w:date="2025-05-15T14:21:00Z"/>
          <w:b/>
          <w:sz w:val="22"/>
          <w:szCs w:val="22"/>
        </w:rPr>
      </w:pPr>
      <w:del w:id="15233" w:author="AbbVie02no" w:date="2025-05-15T14:21:00Z">
        <w:r w:rsidRPr="009C5EFD">
          <w:rPr>
            <w:b/>
            <w:sz w:val="22"/>
            <w:szCs w:val="22"/>
          </w:rPr>
          <w:delText>Advarsler og forsiktighetsregler</w:delText>
        </w:r>
      </w:del>
    </w:p>
    <w:p w14:paraId="5839DE12" w14:textId="14904EBC" w:rsidR="00D972F2" w:rsidRPr="009C5EFD" w:rsidRDefault="00D972F2" w:rsidP="00776A84">
      <w:pPr>
        <w:keepNext/>
        <w:tabs>
          <w:tab w:val="num" w:pos="567"/>
        </w:tabs>
        <w:suppressAutoHyphens/>
        <w:ind w:left="567" w:hanging="567"/>
        <w:rPr>
          <w:del w:id="15234" w:author="AbbVie02no" w:date="2025-05-15T14:21:00Z"/>
          <w:sz w:val="22"/>
          <w:szCs w:val="22"/>
        </w:rPr>
      </w:pPr>
    </w:p>
    <w:p w14:paraId="3F0945C9" w14:textId="60F48CF6" w:rsidR="00F96B76" w:rsidRDefault="00E453CD" w:rsidP="009C5EFD">
      <w:pPr>
        <w:pStyle w:val="BodyTextIndent3"/>
        <w:ind w:left="0" w:firstLine="0"/>
        <w:rPr>
          <w:del w:id="15235" w:author="AbbVie02no" w:date="2025-05-15T14:21:00Z"/>
          <w:szCs w:val="22"/>
        </w:rPr>
      </w:pPr>
      <w:del w:id="15236" w:author="AbbVie02no" w:date="2025-05-15T14:21:00Z">
        <w:r w:rsidRPr="009C5EFD">
          <w:rPr>
            <w:szCs w:val="22"/>
          </w:rPr>
          <w:delText>Sna</w:delText>
        </w:r>
        <w:r w:rsidR="002547FB" w:rsidRPr="009C5EFD">
          <w:rPr>
            <w:szCs w:val="22"/>
          </w:rPr>
          <w:delText>kk</w:delText>
        </w:r>
        <w:r w:rsidRPr="009C5EFD">
          <w:rPr>
            <w:szCs w:val="22"/>
          </w:rPr>
          <w:delText xml:space="preserve"> med legen din eller apotek før Humira brukes.</w:delText>
        </w:r>
      </w:del>
    </w:p>
    <w:p w14:paraId="61C7036A" w14:textId="20D0B693" w:rsidR="00A1429F" w:rsidRPr="009C5EFD" w:rsidRDefault="00A1429F" w:rsidP="009C5EFD">
      <w:pPr>
        <w:pStyle w:val="BodyTextIndent3"/>
        <w:ind w:left="0" w:firstLine="0"/>
        <w:rPr>
          <w:del w:id="15237" w:author="AbbVie02no" w:date="2025-05-15T14:21:00Z"/>
          <w:szCs w:val="22"/>
        </w:rPr>
      </w:pPr>
    </w:p>
    <w:p w14:paraId="2ADAD9B8" w14:textId="78F184E4" w:rsidR="00DE3458" w:rsidRPr="009C5EFD" w:rsidRDefault="00E453CD" w:rsidP="009C5EFD">
      <w:pPr>
        <w:pStyle w:val="BodyTextIndent3"/>
        <w:numPr>
          <w:ilvl w:val="0"/>
          <w:numId w:val="3"/>
        </w:numPr>
        <w:tabs>
          <w:tab w:val="clear" w:pos="720"/>
          <w:tab w:val="num" w:pos="567"/>
        </w:tabs>
        <w:ind w:left="567" w:hanging="567"/>
        <w:rPr>
          <w:del w:id="15238" w:author="AbbVie02no" w:date="2025-05-15T14:21:00Z"/>
          <w:szCs w:val="22"/>
        </w:rPr>
      </w:pPr>
      <w:del w:id="15239" w:author="AbbVie02no" w:date="2025-05-15T14:21:00Z">
        <w:r w:rsidRPr="009C5EFD">
          <w:rPr>
            <w:szCs w:val="22"/>
          </w:rPr>
          <w:lastRenderedPageBreak/>
          <w:delText xml:space="preserve">Dersom du får allergiske reaksjoner med symptomer som tetthet eller piping i brystet, svimmelhet, hevelse eller utslett, må du ikke </w:delText>
        </w:r>
        <w:r w:rsidRPr="009C5EFD">
          <w:rPr>
            <w:color w:val="000000"/>
            <w:szCs w:val="22"/>
          </w:rPr>
          <w:delText xml:space="preserve">fortsette å </w:delText>
        </w:r>
        <w:r w:rsidR="008D4298">
          <w:rPr>
            <w:szCs w:val="22"/>
          </w:rPr>
          <w:delText>injisere</w:delText>
        </w:r>
        <w:r w:rsidR="008D4298" w:rsidRPr="009C5EFD">
          <w:rPr>
            <w:szCs w:val="22"/>
          </w:rPr>
          <w:delText xml:space="preserve"> </w:delText>
        </w:r>
        <w:r w:rsidRPr="009C5EFD">
          <w:rPr>
            <w:szCs w:val="22"/>
          </w:rPr>
          <w:delText>Humira, men kontakte legen umiddelbart</w:delText>
        </w:r>
        <w:r w:rsidR="00A1429F">
          <w:rPr>
            <w:szCs w:val="22"/>
          </w:rPr>
          <w:delText xml:space="preserve"> siden disse reaksjone</w:delText>
        </w:r>
        <w:r w:rsidR="00D93F46">
          <w:rPr>
            <w:szCs w:val="22"/>
          </w:rPr>
          <w:delText>ne</w:delText>
        </w:r>
        <w:r w:rsidR="00A1429F">
          <w:rPr>
            <w:szCs w:val="22"/>
          </w:rPr>
          <w:delText xml:space="preserve"> i sjeldne tilfeller kan være livstruende</w:delText>
        </w:r>
        <w:r w:rsidRPr="009C5EFD">
          <w:rPr>
            <w:szCs w:val="22"/>
          </w:rPr>
          <w:delText>.</w:delText>
        </w:r>
      </w:del>
    </w:p>
    <w:p w14:paraId="28DF2403" w14:textId="70110FDE" w:rsidR="00DE3458" w:rsidRPr="009C5EFD" w:rsidRDefault="00E453CD" w:rsidP="009C5EFD">
      <w:pPr>
        <w:pStyle w:val="BodyTextIndent3"/>
        <w:numPr>
          <w:ilvl w:val="0"/>
          <w:numId w:val="3"/>
        </w:numPr>
        <w:tabs>
          <w:tab w:val="clear" w:pos="720"/>
          <w:tab w:val="num" w:pos="567"/>
        </w:tabs>
        <w:ind w:left="567" w:hanging="567"/>
        <w:rPr>
          <w:del w:id="15240" w:author="AbbVie02no" w:date="2025-05-15T14:21:00Z"/>
          <w:szCs w:val="22"/>
        </w:rPr>
      </w:pPr>
      <w:del w:id="15241" w:author="AbbVie02no" w:date="2025-05-15T14:21:00Z">
        <w:r w:rsidRPr="009C5EFD">
          <w:rPr>
            <w:szCs w:val="22"/>
          </w:rPr>
          <w:delText xml:space="preserve">Dersom du har en infeksjon, deriblant langtids- eller lokalisert infeksjon (for eksempel leggsår) må du snakke med legen før du begynner å bruke Humira. </w:delText>
        </w:r>
        <w:r w:rsidR="008D4298">
          <w:rPr>
            <w:szCs w:val="22"/>
          </w:rPr>
          <w:delText>K</w:delText>
        </w:r>
        <w:r w:rsidRPr="009C5EFD">
          <w:rPr>
            <w:szCs w:val="22"/>
          </w:rPr>
          <w:delText>ontakt legen hvis du er usikker.</w:delText>
        </w:r>
      </w:del>
    </w:p>
    <w:p w14:paraId="13755B76" w14:textId="3696BE31" w:rsidR="00DE3458" w:rsidRPr="009C5EFD" w:rsidRDefault="00E453CD" w:rsidP="009C5EFD">
      <w:pPr>
        <w:numPr>
          <w:ilvl w:val="0"/>
          <w:numId w:val="3"/>
        </w:numPr>
        <w:tabs>
          <w:tab w:val="clear" w:pos="720"/>
          <w:tab w:val="num" w:pos="567"/>
        </w:tabs>
        <w:suppressAutoHyphens/>
        <w:ind w:left="567" w:hanging="567"/>
        <w:rPr>
          <w:del w:id="15242" w:author="AbbVie02no" w:date="2025-05-15T14:21:00Z"/>
          <w:sz w:val="22"/>
          <w:szCs w:val="22"/>
        </w:rPr>
      </w:pPr>
      <w:del w:id="15243" w:author="AbbVie02no" w:date="2025-05-15T14:21:00Z">
        <w:r w:rsidRPr="009C5EFD">
          <w:rPr>
            <w:sz w:val="22"/>
            <w:szCs w:val="22"/>
          </w:rPr>
          <w:delText xml:space="preserve">Du kan lettere få infeksjoner mens du behandles med Humira. </w:delText>
        </w:r>
        <w:r w:rsidR="00156721" w:rsidRPr="009C5EFD">
          <w:rPr>
            <w:sz w:val="22"/>
            <w:szCs w:val="22"/>
          </w:rPr>
          <w:delText>Denne risikoen ka</w:delText>
        </w:r>
        <w:r w:rsidR="000D0044" w:rsidRPr="009C5EFD">
          <w:rPr>
            <w:sz w:val="22"/>
            <w:szCs w:val="22"/>
          </w:rPr>
          <w:delText>n være større hvis din lungefun</w:delText>
        </w:r>
        <w:r w:rsidR="00156721" w:rsidRPr="009C5EFD">
          <w:rPr>
            <w:sz w:val="22"/>
            <w:szCs w:val="22"/>
          </w:rPr>
          <w:delText>k</w:delText>
        </w:r>
        <w:r w:rsidR="000D0044" w:rsidRPr="009C5EFD">
          <w:rPr>
            <w:sz w:val="22"/>
            <w:szCs w:val="22"/>
          </w:rPr>
          <w:delText>s</w:delText>
        </w:r>
        <w:r w:rsidR="00156721" w:rsidRPr="009C5EFD">
          <w:rPr>
            <w:sz w:val="22"/>
            <w:szCs w:val="22"/>
          </w:rPr>
          <w:delText xml:space="preserve">jon er nedsatt. </w:delText>
        </w:r>
        <w:r w:rsidRPr="009C5EFD">
          <w:rPr>
            <w:sz w:val="22"/>
            <w:szCs w:val="22"/>
          </w:rPr>
          <w:delText>Disse infeksjonene kan være alvorlige og inkluderer tuberkulose, infeksjoner forårsaket av virus, sopp</w:delText>
        </w:r>
        <w:r w:rsidR="00241894" w:rsidRPr="009C5EFD">
          <w:rPr>
            <w:sz w:val="22"/>
            <w:szCs w:val="22"/>
          </w:rPr>
          <w:delText>, parasitter</w:delText>
        </w:r>
        <w:r w:rsidRPr="009C5EFD">
          <w:rPr>
            <w:sz w:val="22"/>
            <w:szCs w:val="22"/>
          </w:rPr>
          <w:delText xml:space="preserve"> eller bakterie, eller andre opportunistiske infeksjoner og </w:delText>
        </w:r>
        <w:r w:rsidRPr="009C5EFD">
          <w:rPr>
            <w:color w:val="000000"/>
            <w:sz w:val="22"/>
            <w:szCs w:val="22"/>
          </w:rPr>
          <w:delText>blodforgiftning</w:delText>
        </w:r>
        <w:r w:rsidRPr="009C5EFD">
          <w:rPr>
            <w:sz w:val="22"/>
            <w:szCs w:val="22"/>
          </w:rPr>
          <w:delText xml:space="preserve"> som i sjeldne tilfeller kan være livstruende. Det er viktig å fortelle legen om eventuelle symptomer som feber, sår, tretthet eller problemer med tennene. Legen kan anbefale å avbryte behandlingen med Humira midlertidig.</w:delText>
        </w:r>
      </w:del>
    </w:p>
    <w:p w14:paraId="18428594" w14:textId="425B55A8" w:rsidR="00DE3458" w:rsidRPr="009C5EFD" w:rsidRDefault="00E453CD" w:rsidP="009C5EFD">
      <w:pPr>
        <w:numPr>
          <w:ilvl w:val="0"/>
          <w:numId w:val="3"/>
        </w:numPr>
        <w:tabs>
          <w:tab w:val="clear" w:pos="720"/>
          <w:tab w:val="num" w:pos="567"/>
        </w:tabs>
        <w:suppressAutoHyphens/>
        <w:ind w:left="567" w:hanging="567"/>
        <w:rPr>
          <w:del w:id="15244" w:author="AbbVie02no" w:date="2025-05-15T14:21:00Z"/>
          <w:sz w:val="22"/>
          <w:szCs w:val="22"/>
        </w:rPr>
      </w:pPr>
      <w:del w:id="15245" w:author="AbbVie02no" w:date="2025-05-15T14:21:00Z">
        <w:r w:rsidRPr="009C5EFD">
          <w:rPr>
            <w:sz w:val="22"/>
            <w:szCs w:val="22"/>
          </w:rPr>
          <w:delText xml:space="preserve">Ettersom det har vært påvist tilfeller av tuberkulose hos pasienter under behandling med Humira, kommer legen til å undersøke om du har tegn eller symptomer på tuberkulose før Humira-behandling </w:delText>
        </w:r>
        <w:r w:rsidR="00020B96" w:rsidRPr="009C5EFD">
          <w:rPr>
            <w:sz w:val="22"/>
            <w:szCs w:val="22"/>
          </w:rPr>
          <w:delText>startes opp</w:delText>
        </w:r>
        <w:r w:rsidRPr="009C5EFD">
          <w:rPr>
            <w:sz w:val="22"/>
            <w:szCs w:val="22"/>
          </w:rPr>
          <w:delText xml:space="preserve">. </w:delText>
        </w:r>
        <w:r w:rsidR="002713B0" w:rsidRPr="009C5EFD">
          <w:rPr>
            <w:sz w:val="22"/>
            <w:szCs w:val="22"/>
          </w:rPr>
          <w:delText xml:space="preserve">Dette omfatter en grundig medisinsk </w:delText>
        </w:r>
        <w:r w:rsidR="00BF02E7">
          <w:rPr>
            <w:sz w:val="22"/>
            <w:szCs w:val="22"/>
          </w:rPr>
          <w:delText>vurdering</w:delText>
        </w:r>
        <w:r w:rsidR="002713B0" w:rsidRPr="009C5EFD">
          <w:rPr>
            <w:sz w:val="22"/>
            <w:szCs w:val="22"/>
          </w:rPr>
          <w:delText xml:space="preserve"> som vil inkludere </w:delText>
        </w:r>
        <w:r w:rsidR="000555F9" w:rsidRPr="009C5EFD">
          <w:rPr>
            <w:sz w:val="22"/>
            <w:szCs w:val="22"/>
          </w:rPr>
          <w:delText>din</w:delText>
        </w:r>
        <w:r w:rsidR="002713B0" w:rsidRPr="009C5EFD">
          <w:rPr>
            <w:sz w:val="22"/>
            <w:szCs w:val="22"/>
          </w:rPr>
          <w:delText xml:space="preserve"> sykdomshistorie og passende screeningtester (f.eks. røntgenbilde av brystkasse og en tuberkulinprøve). </w:delText>
        </w:r>
        <w:r w:rsidRPr="009C5EFD">
          <w:rPr>
            <w:sz w:val="22"/>
            <w:szCs w:val="22"/>
          </w:rPr>
          <w:delText xml:space="preserve">Disse testene </w:delText>
        </w:r>
        <w:r w:rsidR="00B069A2" w:rsidRPr="009C5EFD">
          <w:rPr>
            <w:sz w:val="22"/>
            <w:szCs w:val="22"/>
          </w:rPr>
          <w:delText xml:space="preserve">og resultatene </w:delText>
        </w:r>
        <w:r w:rsidRPr="009C5EFD">
          <w:rPr>
            <w:sz w:val="22"/>
            <w:szCs w:val="22"/>
          </w:rPr>
          <w:delText xml:space="preserve">bør registreres i </w:delText>
        </w:r>
        <w:r w:rsidRPr="00B07EA9">
          <w:rPr>
            <w:b/>
            <w:sz w:val="22"/>
            <w:szCs w:val="22"/>
          </w:rPr>
          <w:delText>pasientkortet</w:delText>
        </w:r>
        <w:r w:rsidRPr="009C5EFD">
          <w:rPr>
            <w:sz w:val="22"/>
            <w:szCs w:val="22"/>
          </w:rPr>
          <w:delText xml:space="preserve"> ditt. Det er svært viktig at du forteller legen om du noensinne har hatt tuberkulose, eller om du har vært i nær kontakt med noen som har hatt tuberkulose. </w:delText>
        </w:r>
        <w:r w:rsidR="00BF0E13" w:rsidRPr="009C5EFD">
          <w:rPr>
            <w:sz w:val="22"/>
            <w:szCs w:val="22"/>
          </w:rPr>
          <w:delText>Tuberkulose kan utvikles under behandling selv</w:delText>
        </w:r>
        <w:r w:rsidR="0004489F">
          <w:rPr>
            <w:sz w:val="22"/>
            <w:szCs w:val="22"/>
          </w:rPr>
          <w:delText xml:space="preserve"> </w:delText>
        </w:r>
        <w:r w:rsidR="00BF0E13" w:rsidRPr="009C5EFD">
          <w:rPr>
            <w:sz w:val="22"/>
            <w:szCs w:val="22"/>
          </w:rPr>
          <w:delText xml:space="preserve">om </w:delText>
        </w:r>
        <w:r w:rsidR="000555F9" w:rsidRPr="009C5EFD">
          <w:rPr>
            <w:sz w:val="22"/>
            <w:szCs w:val="22"/>
          </w:rPr>
          <w:delText>du</w:delText>
        </w:r>
        <w:r w:rsidR="00BF0E13" w:rsidRPr="009C5EFD">
          <w:rPr>
            <w:sz w:val="22"/>
            <w:szCs w:val="22"/>
          </w:rPr>
          <w:delText xml:space="preserve"> har mottatt forebyggende behandling mot tuberkulose. </w:delText>
        </w:r>
        <w:r w:rsidRPr="009C5EFD">
          <w:rPr>
            <w:sz w:val="22"/>
            <w:szCs w:val="22"/>
          </w:rPr>
          <w:delText>Dersom symptomer på tuberkulose (vedvarende hoste, vekttap, sløvhet, lett feber) eller andre infeksjoner dukker opp under eller etter behandlingen må du fortelle legen om det straks.</w:delText>
        </w:r>
      </w:del>
    </w:p>
    <w:p w14:paraId="4B0B2BB9" w14:textId="0FBAE34A" w:rsidR="00DE3458" w:rsidRPr="009C5EFD" w:rsidRDefault="00E453CD" w:rsidP="009C5EFD">
      <w:pPr>
        <w:pStyle w:val="EMEABullet2"/>
        <w:numPr>
          <w:ilvl w:val="0"/>
          <w:numId w:val="3"/>
        </w:numPr>
        <w:tabs>
          <w:tab w:val="clear" w:pos="720"/>
          <w:tab w:val="num" w:pos="567"/>
        </w:tabs>
        <w:ind w:left="567" w:hanging="567"/>
        <w:rPr>
          <w:del w:id="15246" w:author="AbbVie02no" w:date="2025-05-15T14:21:00Z"/>
          <w:szCs w:val="22"/>
          <w:lang w:val="nb-NO"/>
        </w:rPr>
      </w:pPr>
      <w:del w:id="15247" w:author="AbbVie02no" w:date="2025-05-15T14:21:00Z">
        <w:r w:rsidRPr="009C5EFD">
          <w:rPr>
            <w:szCs w:val="22"/>
            <w:lang w:val="nb-NO"/>
          </w:rPr>
          <w:delText xml:space="preserve">Gi beskjed til legen om du bosetter deg eller reiser i områder hvor soppinfeksjoner som histoplasmose, koksidioidomykose eller blastomykose er endemiske. </w:delText>
        </w:r>
      </w:del>
    </w:p>
    <w:p w14:paraId="06993173" w14:textId="2CFCA1DA" w:rsidR="00DE3458" w:rsidRPr="009C5EFD" w:rsidRDefault="00E453CD" w:rsidP="009C5EFD">
      <w:pPr>
        <w:numPr>
          <w:ilvl w:val="0"/>
          <w:numId w:val="3"/>
        </w:numPr>
        <w:tabs>
          <w:tab w:val="clear" w:pos="720"/>
          <w:tab w:val="num" w:pos="567"/>
        </w:tabs>
        <w:suppressAutoHyphens/>
        <w:ind w:left="567" w:hanging="567"/>
        <w:rPr>
          <w:del w:id="15248" w:author="AbbVie02no" w:date="2025-05-15T14:21:00Z"/>
          <w:sz w:val="22"/>
          <w:szCs w:val="22"/>
        </w:rPr>
      </w:pPr>
      <w:del w:id="15249" w:author="AbbVie02no" w:date="2025-05-15T14:21:00Z">
        <w:r w:rsidRPr="009C5EFD">
          <w:rPr>
            <w:sz w:val="22"/>
            <w:szCs w:val="22"/>
          </w:rPr>
          <w:delText>Gi beskjed til legen om du tidligere har hatt gjentatte infeksjoner eller andre lidelser som øker faren for infeksjoner.</w:delText>
        </w:r>
      </w:del>
    </w:p>
    <w:p w14:paraId="3E0AC911" w14:textId="2987E95E" w:rsidR="00176824" w:rsidRPr="009C5EFD" w:rsidRDefault="00E453CD" w:rsidP="009C5EFD">
      <w:pPr>
        <w:pStyle w:val="EMEABullet2"/>
        <w:rPr>
          <w:del w:id="15250" w:author="AbbVie02no" w:date="2025-05-15T14:21:00Z"/>
          <w:lang w:val="nb-NO"/>
        </w:rPr>
      </w:pPr>
      <w:del w:id="15251" w:author="AbbVie02no" w:date="2025-05-15T14:21:00Z">
        <w:r w:rsidRPr="009C5EFD">
          <w:rPr>
            <w:lang w:val="nb-NO"/>
          </w:rPr>
          <w:delText xml:space="preserve">Gi beskjed til legen din dersom du er bærer av hepatitt B-virus (HBV), dersom du har aktiv HBV-infeksjon, eller hvis du tror du kan være utsatt for å få HBV. </w:delText>
        </w:r>
        <w:r w:rsidR="002858DC">
          <w:rPr>
            <w:lang w:val="nb-NO"/>
          </w:rPr>
          <w:delText>L</w:delText>
        </w:r>
        <w:r w:rsidR="007E6CC7" w:rsidRPr="009C5EFD">
          <w:rPr>
            <w:lang w:val="nb-NO"/>
          </w:rPr>
          <w:delText>ege</w:delText>
        </w:r>
        <w:r w:rsidR="002858DC">
          <w:rPr>
            <w:lang w:val="nb-NO"/>
          </w:rPr>
          <w:delText>n din</w:delText>
        </w:r>
        <w:r w:rsidR="007E6CC7" w:rsidRPr="009C5EFD">
          <w:rPr>
            <w:lang w:val="nb-NO"/>
          </w:rPr>
          <w:delText xml:space="preserve"> burde teste deg for HBV.</w:delText>
        </w:r>
        <w:r w:rsidRPr="009C5EFD">
          <w:rPr>
            <w:lang w:val="nb-NO"/>
          </w:rPr>
          <w:delText xml:space="preserve"> Humira kan reaktivere HBV hos </w:delText>
        </w:r>
        <w:r w:rsidR="00DF7B30" w:rsidRPr="009C5EFD">
          <w:rPr>
            <w:szCs w:val="22"/>
            <w:lang w:val="nb-NO"/>
          </w:rPr>
          <w:delText>personer</w:delText>
        </w:r>
        <w:r w:rsidRPr="009C5EFD">
          <w:rPr>
            <w:lang w:val="nb-NO"/>
          </w:rPr>
          <w:delText xml:space="preserve"> som er bærere av dette viruset. I noen sjeldne tilfeller, særlig hvis du tar andre legemidler som demper immunsystemet, kan reaktivering av HBV være livstruende. </w:delText>
        </w:r>
      </w:del>
    </w:p>
    <w:p w14:paraId="3ED0652C" w14:textId="14058FE7" w:rsidR="00DE3458" w:rsidRPr="009C5EFD" w:rsidRDefault="00E453CD" w:rsidP="009C5EFD">
      <w:pPr>
        <w:pStyle w:val="EMEABullet2"/>
        <w:rPr>
          <w:del w:id="15252" w:author="AbbVie02no" w:date="2025-05-15T14:21:00Z"/>
          <w:szCs w:val="22"/>
          <w:lang w:val="nb-NO"/>
        </w:rPr>
      </w:pPr>
      <w:del w:id="15253" w:author="AbbVie02no" w:date="2025-05-15T14:21:00Z">
        <w:r w:rsidRPr="009C5EFD">
          <w:rPr>
            <w:szCs w:val="22"/>
            <w:lang w:val="nb-NO"/>
          </w:rPr>
          <w:delText xml:space="preserve">Hvis du er over 65 år kan du være mer mottagelig for infeksjoner mens du blir behandlet med Humira. Du og </w:delText>
        </w:r>
        <w:r w:rsidR="002858DC">
          <w:rPr>
            <w:szCs w:val="22"/>
            <w:lang w:val="nb-NO"/>
          </w:rPr>
          <w:delText>legen din</w:delText>
        </w:r>
        <w:r w:rsidRPr="009C5EFD">
          <w:rPr>
            <w:szCs w:val="22"/>
            <w:lang w:val="nb-NO"/>
          </w:rPr>
          <w:delText xml:space="preserve"> bør være særlig oppmerksomme på tegn på infeksjoner mens du blir behandlet med Humira. Det er viktig at du forteller </w:delText>
        </w:r>
        <w:r w:rsidR="002858DC">
          <w:rPr>
            <w:szCs w:val="22"/>
            <w:lang w:val="nb-NO"/>
          </w:rPr>
          <w:delText>legen din</w:delText>
        </w:r>
        <w:r w:rsidRPr="009C5EFD">
          <w:rPr>
            <w:szCs w:val="22"/>
            <w:lang w:val="nb-NO"/>
          </w:rPr>
          <w:delText xml:space="preserve"> dersom du får symptomer på infeksjoner, for eksempel feber, sår, trøtthet eller tannproblemer.  </w:delText>
        </w:r>
      </w:del>
    </w:p>
    <w:p w14:paraId="5BC61436" w14:textId="0448939E" w:rsidR="00DE3458" w:rsidRPr="009C5EFD" w:rsidRDefault="00E453CD" w:rsidP="009C5EFD">
      <w:pPr>
        <w:numPr>
          <w:ilvl w:val="0"/>
          <w:numId w:val="3"/>
        </w:numPr>
        <w:tabs>
          <w:tab w:val="clear" w:pos="720"/>
          <w:tab w:val="num" w:pos="567"/>
        </w:tabs>
        <w:suppressAutoHyphens/>
        <w:ind w:left="567" w:hanging="567"/>
        <w:rPr>
          <w:del w:id="15254" w:author="AbbVie02no" w:date="2025-05-15T14:21:00Z"/>
          <w:sz w:val="22"/>
          <w:szCs w:val="22"/>
        </w:rPr>
      </w:pPr>
      <w:del w:id="15255" w:author="AbbVie02no" w:date="2025-05-15T14:21:00Z">
        <w:r w:rsidRPr="009C5EFD">
          <w:rPr>
            <w:sz w:val="22"/>
            <w:szCs w:val="22"/>
          </w:rPr>
          <w:delText>Hvis du skal opereres eller ha inngrep i tennene skal du si fra til legen din at du bruker Humira. Legen kan anbefale å avbryte behandlingen midlertidig.</w:delText>
        </w:r>
      </w:del>
    </w:p>
    <w:p w14:paraId="5902438B" w14:textId="00DEC270" w:rsidR="00DE3458" w:rsidRPr="009C5EFD" w:rsidRDefault="00E453CD" w:rsidP="009C5EFD">
      <w:pPr>
        <w:numPr>
          <w:ilvl w:val="0"/>
          <w:numId w:val="3"/>
        </w:numPr>
        <w:tabs>
          <w:tab w:val="clear" w:pos="720"/>
          <w:tab w:val="num" w:pos="567"/>
        </w:tabs>
        <w:suppressAutoHyphens/>
        <w:ind w:left="567" w:hanging="567"/>
        <w:rPr>
          <w:del w:id="15256" w:author="AbbVie02no" w:date="2025-05-15T14:21:00Z"/>
          <w:sz w:val="22"/>
          <w:szCs w:val="22"/>
        </w:rPr>
      </w:pPr>
      <w:del w:id="15257" w:author="AbbVie02no" w:date="2025-05-15T14:21:00Z">
        <w:r w:rsidRPr="009C5EFD">
          <w:rPr>
            <w:sz w:val="22"/>
            <w:szCs w:val="22"/>
          </w:rPr>
          <w:delText xml:space="preserve">Dersom du har </w:delText>
        </w:r>
        <w:r w:rsidR="00C316D0">
          <w:rPr>
            <w:sz w:val="22"/>
            <w:szCs w:val="22"/>
          </w:rPr>
          <w:delText xml:space="preserve">eller utvikler </w:delText>
        </w:r>
        <w:r w:rsidRPr="009C5EFD">
          <w:rPr>
            <w:sz w:val="22"/>
            <w:szCs w:val="22"/>
          </w:rPr>
          <w:delText>en demyeliniserende sykdom som multippel sklerose, vil legen avgjøre om du kan bruke Humira.</w:delText>
        </w:r>
        <w:r w:rsidR="00C316D0">
          <w:rPr>
            <w:sz w:val="22"/>
            <w:szCs w:val="22"/>
          </w:rPr>
          <w:delText xml:space="preserve"> Gi beskjed til legen umiddelbart dersom du opplever symptomer som synsforstyrrelser, svakhet i armer eller ben eller nummenhet eller prikking i noen del av kroppen.</w:delText>
        </w:r>
      </w:del>
    </w:p>
    <w:p w14:paraId="46E602DD" w14:textId="4C5C627D" w:rsidR="00DE3458" w:rsidRPr="009C5EFD" w:rsidRDefault="00E453CD" w:rsidP="009C5EFD">
      <w:pPr>
        <w:numPr>
          <w:ilvl w:val="0"/>
          <w:numId w:val="3"/>
        </w:numPr>
        <w:tabs>
          <w:tab w:val="clear" w:pos="720"/>
          <w:tab w:val="num" w:pos="567"/>
        </w:tabs>
        <w:suppressAutoHyphens/>
        <w:ind w:left="567" w:hanging="567"/>
        <w:rPr>
          <w:del w:id="15258" w:author="AbbVie02no" w:date="2025-05-15T14:21:00Z"/>
          <w:sz w:val="22"/>
          <w:szCs w:val="22"/>
        </w:rPr>
      </w:pPr>
      <w:del w:id="15259" w:author="AbbVie02no" w:date="2025-05-15T14:21:00Z">
        <w:r w:rsidRPr="009C5EFD">
          <w:rPr>
            <w:sz w:val="22"/>
          </w:rPr>
          <w:delText>Enkelte</w:delText>
        </w:r>
        <w:r w:rsidRPr="009C5EFD">
          <w:rPr>
            <w:sz w:val="22"/>
            <w:szCs w:val="22"/>
          </w:rPr>
          <w:delText xml:space="preserve"> vaksiner </w:delText>
        </w:r>
        <w:r w:rsidRPr="009C5EFD">
          <w:rPr>
            <w:sz w:val="22"/>
          </w:rPr>
          <w:delText xml:space="preserve">kan forårsake infeksjoner og bør </w:delText>
        </w:r>
        <w:r w:rsidRPr="009C5EFD">
          <w:rPr>
            <w:sz w:val="22"/>
            <w:szCs w:val="22"/>
          </w:rPr>
          <w:delText xml:space="preserve">ikke </w:delText>
        </w:r>
        <w:r w:rsidRPr="009C5EFD">
          <w:rPr>
            <w:sz w:val="22"/>
          </w:rPr>
          <w:delText>tas</w:delText>
        </w:r>
        <w:r w:rsidR="004F6D4C" w:rsidRPr="009C5EFD">
          <w:rPr>
            <w:sz w:val="22"/>
          </w:rPr>
          <w:delText xml:space="preserve"> </w:delText>
        </w:r>
        <w:r w:rsidRPr="009C5EFD">
          <w:rPr>
            <w:sz w:val="22"/>
            <w:szCs w:val="22"/>
          </w:rPr>
          <w:delText xml:space="preserve">under behandling med Humira. Spør legen din før du </w:delText>
        </w:r>
        <w:r w:rsidR="008D4298">
          <w:rPr>
            <w:sz w:val="22"/>
            <w:szCs w:val="22"/>
          </w:rPr>
          <w:delText>får</w:delText>
        </w:r>
        <w:r w:rsidRPr="009C5EFD">
          <w:rPr>
            <w:sz w:val="22"/>
            <w:szCs w:val="22"/>
          </w:rPr>
          <w:delText xml:space="preserve"> vaksiner. Det anbefales at</w:delText>
        </w:r>
        <w:r w:rsidR="00823F09" w:rsidRPr="009C5EFD">
          <w:rPr>
            <w:sz w:val="22"/>
            <w:szCs w:val="22"/>
          </w:rPr>
          <w:delText xml:space="preserve"> barn</w:delText>
        </w:r>
        <w:r w:rsidRPr="009C5EFD">
          <w:rPr>
            <w:sz w:val="22"/>
            <w:szCs w:val="22"/>
          </w:rPr>
          <w:delText xml:space="preserve">, hvis mulig, vaksineres fullstendig i tråd med gjeldende vaksinasjonsveiledninger før behandling med Humira startes. </w:delText>
        </w:r>
        <w:r w:rsidRPr="009C5EFD">
          <w:rPr>
            <w:sz w:val="22"/>
          </w:rPr>
          <w:delText xml:space="preserve">Hvis du ble behandlet med Humira under graviditet, kan spedbarnet ditt ha større risiko for å få en slik infeksjon inntil omtrent fem måneder etter siste dose </w:delText>
        </w:r>
        <w:r w:rsidR="00CE18D8" w:rsidRPr="009C5EFD">
          <w:rPr>
            <w:sz w:val="22"/>
          </w:rPr>
          <w:delText xml:space="preserve">som </w:delText>
        </w:r>
        <w:r w:rsidRPr="009C5EFD">
          <w:rPr>
            <w:sz w:val="22"/>
          </w:rPr>
          <w:delText>du mottok under graviditeten. Det er viktig at du forteller ditt spedbarns leger og annet helsepersonell at du brukte Humira under graviditet</w:delText>
        </w:r>
        <w:r w:rsidR="007E32B8" w:rsidRPr="009C5EFD">
          <w:rPr>
            <w:sz w:val="22"/>
          </w:rPr>
          <w:delText>en</w:delText>
        </w:r>
        <w:r w:rsidRPr="009C5EFD">
          <w:rPr>
            <w:sz w:val="22"/>
          </w:rPr>
          <w:delText>, slik at de kan vurdere når barnet ditt burde vaksineres.</w:delText>
        </w:r>
      </w:del>
    </w:p>
    <w:p w14:paraId="0108AA30" w14:textId="6B5CE9C2" w:rsidR="00DE3458" w:rsidRPr="009C5EFD" w:rsidRDefault="00E453CD" w:rsidP="009C5EFD">
      <w:pPr>
        <w:numPr>
          <w:ilvl w:val="0"/>
          <w:numId w:val="3"/>
        </w:numPr>
        <w:tabs>
          <w:tab w:val="num" w:pos="567"/>
        </w:tabs>
        <w:suppressAutoHyphens/>
        <w:ind w:left="567" w:hanging="567"/>
        <w:rPr>
          <w:del w:id="15260" w:author="AbbVie02no" w:date="2025-05-15T14:21:00Z"/>
          <w:sz w:val="22"/>
          <w:szCs w:val="22"/>
        </w:rPr>
      </w:pPr>
      <w:del w:id="15261" w:author="AbbVie02no" w:date="2025-05-15T14:21:00Z">
        <w:r w:rsidRPr="009C5EFD">
          <w:rPr>
            <w:sz w:val="22"/>
            <w:szCs w:val="22"/>
          </w:rPr>
          <w:delText>Dersom du har lett hjertesvikt og du behandles med Humira skal din hjertestatus overvåkes nøye av legen. Det er viktig at du orienterer legen om du har eller har hatt alvorlige hjertelidelser. Hvis du utvikler nye eller forverrede symptomer på hjertesvikt (for eksempel tungpustethet, hovne føtter) skal du kontakte legen umiddelbart. Legen vil avgjøre om du skal fortsette med Humira.</w:delText>
        </w:r>
      </w:del>
    </w:p>
    <w:p w14:paraId="44759501" w14:textId="7019A24D" w:rsidR="00DE3458" w:rsidRPr="009C5EFD" w:rsidRDefault="00E453CD" w:rsidP="009C5EFD">
      <w:pPr>
        <w:numPr>
          <w:ilvl w:val="0"/>
          <w:numId w:val="3"/>
        </w:numPr>
        <w:tabs>
          <w:tab w:val="num" w:pos="567"/>
        </w:tabs>
        <w:suppressAutoHyphens/>
        <w:ind w:left="567" w:hanging="567"/>
        <w:rPr>
          <w:del w:id="15262" w:author="AbbVie02no" w:date="2025-05-15T14:21:00Z"/>
          <w:sz w:val="22"/>
          <w:szCs w:val="22"/>
        </w:rPr>
      </w:pPr>
      <w:del w:id="15263" w:author="AbbVie02no" w:date="2025-05-15T14:21:00Z">
        <w:r w:rsidRPr="009C5EFD">
          <w:rPr>
            <w:sz w:val="22"/>
            <w:szCs w:val="22"/>
          </w:rPr>
          <w:delText>Hos noen pasienter kan kroppen få problemer med å produsere nok av de blodlegemene som hjelper kroppen til å forhindre infeksjoner eller stoppe blødninger. Kontakt lege snarest hvis du får feber som ikke forsvinner, får blåmerker eller blør svært lett eller ser svært blek ut. Legen din kan bestemme at behandlingen må avbrytes.</w:delText>
        </w:r>
      </w:del>
    </w:p>
    <w:p w14:paraId="6DE22F96" w14:textId="0E6E6436" w:rsidR="00DE3458" w:rsidRPr="009C5EFD" w:rsidRDefault="00E453CD" w:rsidP="009C5EFD">
      <w:pPr>
        <w:numPr>
          <w:ilvl w:val="0"/>
          <w:numId w:val="3"/>
        </w:numPr>
        <w:tabs>
          <w:tab w:val="num" w:pos="567"/>
        </w:tabs>
        <w:suppressAutoHyphens/>
        <w:ind w:left="567" w:hanging="567"/>
        <w:rPr>
          <w:del w:id="15264" w:author="AbbVie02no" w:date="2025-05-15T14:21:00Z"/>
          <w:sz w:val="22"/>
          <w:szCs w:val="22"/>
        </w:rPr>
      </w:pPr>
      <w:del w:id="15265" w:author="AbbVie02no" w:date="2025-05-15T14:21:00Z">
        <w:r w:rsidRPr="009C5EFD">
          <w:rPr>
            <w:sz w:val="22"/>
            <w:szCs w:val="22"/>
          </w:rPr>
          <w:lastRenderedPageBreak/>
          <w:delText xml:space="preserve">Det har vært svært sjeldne tilfeller av visse typer kreft hos </w:delText>
        </w:r>
        <w:r w:rsidR="002A5C8A" w:rsidRPr="009C5EFD">
          <w:rPr>
            <w:sz w:val="22"/>
            <w:szCs w:val="22"/>
          </w:rPr>
          <w:delText>barn og ungdom</w:delText>
        </w:r>
        <w:r w:rsidRPr="009C5EFD">
          <w:rPr>
            <w:sz w:val="22"/>
            <w:szCs w:val="22"/>
          </w:rPr>
          <w:delText xml:space="preserve"> som får Humira eller andre TNF-blokkere. Personer med mer alvorlig revmatoid artritt som har hatt sykdommen i lang tid kan ha høyere risiko enn gjennomsnittet for å få lymfom </w:delText>
        </w:r>
        <w:r w:rsidR="002A5C8A" w:rsidRPr="009C5EFD">
          <w:rPr>
            <w:sz w:val="22"/>
            <w:szCs w:val="22"/>
          </w:rPr>
          <w:delText>(</w:delText>
        </w:r>
        <w:r w:rsidRPr="009C5EFD">
          <w:rPr>
            <w:sz w:val="22"/>
            <w:szCs w:val="22"/>
          </w:rPr>
          <w:delText>kreft som angriper lymfesystemet</w:delText>
        </w:r>
        <w:r w:rsidR="002A5C8A" w:rsidRPr="009C5EFD">
          <w:rPr>
            <w:sz w:val="22"/>
            <w:szCs w:val="22"/>
          </w:rPr>
          <w:delText>) og leukemi (kreft som angriper blod og benmarg)</w:delText>
        </w:r>
        <w:r w:rsidRPr="009C5EFD">
          <w:rPr>
            <w:sz w:val="22"/>
            <w:szCs w:val="22"/>
          </w:rPr>
          <w:delText>. Hvis du tar Humira</w:delText>
        </w:r>
        <w:r w:rsidR="00AF11AD" w:rsidRPr="009C5EFD">
          <w:rPr>
            <w:sz w:val="22"/>
            <w:szCs w:val="22"/>
          </w:rPr>
          <w:delText>,</w:delText>
        </w:r>
        <w:r w:rsidRPr="009C5EFD">
          <w:rPr>
            <w:sz w:val="22"/>
            <w:szCs w:val="22"/>
          </w:rPr>
          <w:delText xml:space="preserve"> kan risikoen </w:delText>
        </w:r>
        <w:r w:rsidR="002A5C8A" w:rsidRPr="009C5EFD">
          <w:rPr>
            <w:sz w:val="22"/>
            <w:szCs w:val="22"/>
          </w:rPr>
          <w:delText xml:space="preserve">for å få lymfom, leukemi og andre typer kreft </w:delText>
        </w:r>
        <w:r w:rsidRPr="009C5EFD">
          <w:rPr>
            <w:sz w:val="22"/>
            <w:szCs w:val="22"/>
          </w:rPr>
          <w:delText xml:space="preserve">øke. I sjeldne tilfeller har man observert en spesiell og alvorlig type lymfom hos pasienter som bruker Humira. Noen av disse pasientene ble også behandlet med azatioprin eller 6-merkaptopurin. </w:delText>
        </w:r>
        <w:r w:rsidR="007E6CC7" w:rsidRPr="009C5EFD">
          <w:rPr>
            <w:sz w:val="22"/>
            <w:szCs w:val="22"/>
          </w:rPr>
          <w:delText>Fortell legen din dersom du tar azatioprin eller 6-merkaptopurin sammen med Humira.</w:delText>
        </w:r>
        <w:r w:rsidR="00A47E91" w:rsidRPr="009C5EFD">
          <w:rPr>
            <w:sz w:val="22"/>
            <w:szCs w:val="22"/>
          </w:rPr>
          <w:delText xml:space="preserve"> </w:delText>
        </w:r>
        <w:r w:rsidRPr="009C5EFD">
          <w:rPr>
            <w:sz w:val="22"/>
            <w:szCs w:val="22"/>
          </w:rPr>
          <w:delText xml:space="preserve">I tillegg </w:delText>
        </w:r>
        <w:r w:rsidR="006949D7">
          <w:rPr>
            <w:sz w:val="22"/>
            <w:szCs w:val="22"/>
          </w:rPr>
          <w:delText>ha</w:delText>
        </w:r>
        <w:r w:rsidRPr="009C5EFD">
          <w:rPr>
            <w:sz w:val="22"/>
            <w:szCs w:val="22"/>
          </w:rPr>
          <w:delText>r tilfeller av ikke-melanom hudkreft</w:delText>
        </w:r>
        <w:r w:rsidR="006949D7">
          <w:rPr>
            <w:sz w:val="22"/>
            <w:szCs w:val="22"/>
          </w:rPr>
          <w:delText xml:space="preserve"> blitt</w:delText>
        </w:r>
        <w:r w:rsidRPr="009C5EFD">
          <w:rPr>
            <w:sz w:val="22"/>
            <w:szCs w:val="22"/>
          </w:rPr>
          <w:delText xml:space="preserve"> sett hos pasienter som får Humira. Fortell legen din hvis nye hudlesjoner </w:delText>
        </w:r>
        <w:r w:rsidR="008D4298">
          <w:rPr>
            <w:sz w:val="22"/>
            <w:szCs w:val="22"/>
          </w:rPr>
          <w:delText xml:space="preserve">(unormale forandringer på huden) </w:delText>
        </w:r>
        <w:r w:rsidRPr="009C5EFD">
          <w:rPr>
            <w:sz w:val="22"/>
            <w:szCs w:val="22"/>
          </w:rPr>
          <w:delText>viser seg under eller etter behandling eller hvis eksisterende hudlesjoner forandrer seg.</w:delText>
        </w:r>
      </w:del>
    </w:p>
    <w:p w14:paraId="19488C33" w14:textId="483E36A5" w:rsidR="00750CB0" w:rsidRDefault="00E453CD" w:rsidP="00750CB0">
      <w:pPr>
        <w:numPr>
          <w:ilvl w:val="0"/>
          <w:numId w:val="3"/>
        </w:numPr>
        <w:tabs>
          <w:tab w:val="num" w:pos="567"/>
        </w:tabs>
        <w:suppressAutoHyphens/>
        <w:ind w:left="567" w:hanging="567"/>
        <w:rPr>
          <w:del w:id="15266" w:author="AbbVie02no" w:date="2025-05-15T14:21:00Z"/>
          <w:sz w:val="22"/>
          <w:szCs w:val="22"/>
        </w:rPr>
      </w:pPr>
      <w:del w:id="15267" w:author="AbbVie02no" w:date="2025-05-15T14:21:00Z">
        <w:r w:rsidRPr="009C5EFD">
          <w:rPr>
            <w:sz w:val="22"/>
            <w:szCs w:val="22"/>
          </w:rPr>
          <w:delText xml:space="preserve">Andre krefttyper enn lymfomer er sett hos pasienter som hadde en bestemt type lungesykdom kalt kronisk obstruktiv lungesykdom (KOLS) og som fikk behandling med andre TNF-blokkere. Dersom du har KOLS, eller er storrøyker, skal du snakke med </w:delText>
        </w:r>
        <w:r w:rsidR="002858DC">
          <w:rPr>
            <w:sz w:val="22"/>
            <w:szCs w:val="22"/>
          </w:rPr>
          <w:delText>legen din</w:delText>
        </w:r>
        <w:r w:rsidRPr="009C5EFD">
          <w:rPr>
            <w:sz w:val="22"/>
            <w:szCs w:val="22"/>
          </w:rPr>
          <w:delText xml:space="preserve"> om behandling med en TNF-blokker passer for deg. </w:delText>
        </w:r>
      </w:del>
    </w:p>
    <w:p w14:paraId="0F373A00" w14:textId="29C38D28" w:rsidR="00750CB0" w:rsidRPr="00F827E5" w:rsidRDefault="00E453CD" w:rsidP="00750CB0">
      <w:pPr>
        <w:numPr>
          <w:ilvl w:val="0"/>
          <w:numId w:val="3"/>
        </w:numPr>
        <w:tabs>
          <w:tab w:val="num" w:pos="567"/>
        </w:tabs>
        <w:suppressAutoHyphens/>
        <w:ind w:left="567" w:hanging="567"/>
        <w:rPr>
          <w:del w:id="15268" w:author="AbbVie02no" w:date="2025-05-15T14:21:00Z"/>
          <w:sz w:val="22"/>
          <w:szCs w:val="22"/>
        </w:rPr>
      </w:pPr>
      <w:del w:id="15269" w:author="AbbVie02no" w:date="2025-05-15T14:21:00Z">
        <w:r w:rsidRPr="00DC73BE">
          <w:rPr>
            <w:sz w:val="22"/>
          </w:rPr>
          <w:delText>I sjeldne tilfeller kan behandling med Humira føre til et syndrom som ligner på lupus. Kontakt lege dersom symptomer som vedvarende uforklarlig utslett, feber, leddsmerter eller tretthet oppstår</w:delText>
        </w:r>
        <w:r w:rsidRPr="00DC73BE">
          <w:rPr>
            <w:sz w:val="22"/>
            <w:szCs w:val="22"/>
          </w:rPr>
          <w:delText>.</w:delText>
        </w:r>
      </w:del>
    </w:p>
    <w:p w14:paraId="54B8D1B0" w14:textId="4E0AF173" w:rsidR="00066CD1" w:rsidRPr="001F5D4B" w:rsidRDefault="00066CD1" w:rsidP="009C5EFD">
      <w:pPr>
        <w:pStyle w:val="Heading3"/>
        <w:keepNext w:val="0"/>
        <w:suppressAutoHyphens/>
        <w:rPr>
          <w:del w:id="15270" w:author="AbbVie02no" w:date="2025-05-15T14:21:00Z"/>
          <w:b w:val="0"/>
          <w:szCs w:val="22"/>
          <w:lang w:val="nb-NO"/>
        </w:rPr>
      </w:pPr>
    </w:p>
    <w:p w14:paraId="515135E9" w14:textId="180D1E0B" w:rsidR="00010FAB" w:rsidRPr="00193D76" w:rsidRDefault="00E453CD" w:rsidP="00776A84">
      <w:pPr>
        <w:keepNext/>
        <w:suppressAutoHyphens/>
        <w:rPr>
          <w:del w:id="15271" w:author="AbbVie02no" w:date="2025-05-15T14:21:00Z"/>
          <w:sz w:val="22"/>
          <w:szCs w:val="22"/>
        </w:rPr>
      </w:pPr>
      <w:del w:id="15272" w:author="AbbVie02no" w:date="2025-05-15T14:21:00Z">
        <w:r w:rsidRPr="007F67EE">
          <w:rPr>
            <w:b/>
            <w:sz w:val="22"/>
            <w:szCs w:val="22"/>
          </w:rPr>
          <w:delText>Barn og ungdom</w:delText>
        </w:r>
      </w:del>
    </w:p>
    <w:p w14:paraId="338E17D8" w14:textId="4A465414" w:rsidR="00010FAB" w:rsidRPr="002D0790" w:rsidRDefault="00010FAB" w:rsidP="00776A84">
      <w:pPr>
        <w:keepNext/>
        <w:suppressAutoHyphens/>
        <w:rPr>
          <w:del w:id="15273" w:author="AbbVie02no" w:date="2025-05-15T14:21:00Z"/>
          <w:sz w:val="22"/>
          <w:szCs w:val="22"/>
        </w:rPr>
      </w:pPr>
    </w:p>
    <w:p w14:paraId="6D357808" w14:textId="4DA2A1ED" w:rsidR="00010FAB" w:rsidRPr="009C5EFD" w:rsidRDefault="00E453CD" w:rsidP="009C5EFD">
      <w:pPr>
        <w:numPr>
          <w:ilvl w:val="0"/>
          <w:numId w:val="3"/>
        </w:numPr>
        <w:tabs>
          <w:tab w:val="num" w:pos="567"/>
        </w:tabs>
        <w:suppressAutoHyphens/>
        <w:ind w:left="567" w:hanging="567"/>
        <w:rPr>
          <w:del w:id="15274" w:author="AbbVie02no" w:date="2025-05-15T14:21:00Z"/>
          <w:sz w:val="22"/>
          <w:szCs w:val="22"/>
        </w:rPr>
      </w:pPr>
      <w:del w:id="15275" w:author="AbbVie02no" w:date="2025-05-15T14:21:00Z">
        <w:r w:rsidRPr="00C07C98">
          <w:rPr>
            <w:sz w:val="22"/>
            <w:szCs w:val="22"/>
          </w:rPr>
          <w:delText xml:space="preserve">Vaksinasjoner: hvis mulig, </w:delText>
        </w:r>
        <w:r w:rsidR="00A23FF7">
          <w:rPr>
            <w:sz w:val="22"/>
            <w:szCs w:val="22"/>
          </w:rPr>
          <w:delText>bør</w:delText>
        </w:r>
        <w:r w:rsidR="00A23FF7" w:rsidRPr="00C07C98">
          <w:rPr>
            <w:sz w:val="22"/>
            <w:szCs w:val="22"/>
          </w:rPr>
          <w:delText xml:space="preserve"> </w:delText>
        </w:r>
        <w:r w:rsidRPr="00C07C98">
          <w:rPr>
            <w:sz w:val="22"/>
            <w:szCs w:val="22"/>
          </w:rPr>
          <w:delText>barn</w:delText>
        </w:r>
        <w:r w:rsidR="00730260">
          <w:rPr>
            <w:sz w:val="22"/>
            <w:szCs w:val="22"/>
          </w:rPr>
          <w:delText>et ditt</w:delText>
        </w:r>
        <w:r w:rsidRPr="00C07C98">
          <w:rPr>
            <w:sz w:val="22"/>
            <w:szCs w:val="22"/>
          </w:rPr>
          <w:delText xml:space="preserve"> være oppdatert i henhold til alle vaksinasjoner før Humira brukes</w:delText>
        </w:r>
        <w:r w:rsidR="002A2171" w:rsidRPr="00E14E58">
          <w:rPr>
            <w:sz w:val="22"/>
            <w:szCs w:val="22"/>
          </w:rPr>
          <w:delText>.</w:delText>
        </w:r>
      </w:del>
    </w:p>
    <w:p w14:paraId="374ABE72" w14:textId="254F88BE" w:rsidR="00010FAB" w:rsidRPr="009C5EFD" w:rsidRDefault="00E453CD" w:rsidP="009C5EFD">
      <w:pPr>
        <w:numPr>
          <w:ilvl w:val="0"/>
          <w:numId w:val="3"/>
        </w:numPr>
        <w:tabs>
          <w:tab w:val="num" w:pos="567"/>
        </w:tabs>
        <w:suppressAutoHyphens/>
        <w:ind w:left="567" w:hanging="567"/>
        <w:rPr>
          <w:del w:id="15276" w:author="AbbVie02no" w:date="2025-05-15T14:21:00Z"/>
        </w:rPr>
      </w:pPr>
      <w:del w:id="15277" w:author="AbbVie02no" w:date="2025-05-15T14:21:00Z">
        <w:r w:rsidRPr="009C5EFD">
          <w:rPr>
            <w:sz w:val="22"/>
            <w:szCs w:val="22"/>
          </w:rPr>
          <w:delText xml:space="preserve">Ikke gi Humira til barn med polyartikulær juvenil </w:delText>
        </w:r>
        <w:r w:rsidR="00726E6B">
          <w:rPr>
            <w:sz w:val="22"/>
            <w:szCs w:val="22"/>
          </w:rPr>
          <w:delText xml:space="preserve">idiopatisk </w:delText>
        </w:r>
        <w:r w:rsidRPr="009C5EFD">
          <w:rPr>
            <w:sz w:val="22"/>
            <w:szCs w:val="22"/>
          </w:rPr>
          <w:delText>artritt under alderen 2 år.</w:delText>
        </w:r>
      </w:del>
    </w:p>
    <w:p w14:paraId="4978F8D9" w14:textId="773D9C24" w:rsidR="00010FAB" w:rsidRPr="001F5D4B" w:rsidRDefault="00010FAB" w:rsidP="009C5EFD">
      <w:pPr>
        <w:pStyle w:val="Heading3"/>
        <w:keepNext w:val="0"/>
        <w:suppressAutoHyphens/>
        <w:rPr>
          <w:del w:id="15278" w:author="AbbVie02no" w:date="2025-05-15T14:21:00Z"/>
          <w:b w:val="0"/>
          <w:szCs w:val="22"/>
          <w:lang w:val="nb-NO"/>
        </w:rPr>
      </w:pPr>
    </w:p>
    <w:p w14:paraId="40EF8A14" w14:textId="422B1809" w:rsidR="00DE3458" w:rsidRPr="00C07C98" w:rsidRDefault="00E453CD" w:rsidP="00776A84">
      <w:pPr>
        <w:pStyle w:val="Heading3"/>
        <w:suppressAutoHyphens/>
        <w:rPr>
          <w:del w:id="15279" w:author="AbbVie02no" w:date="2025-05-15T14:21:00Z"/>
          <w:szCs w:val="22"/>
          <w:lang w:val="nb-NO"/>
        </w:rPr>
      </w:pPr>
      <w:del w:id="15280" w:author="AbbVie02no" w:date="2025-05-15T14:21:00Z">
        <w:r w:rsidRPr="007F67EE">
          <w:rPr>
            <w:szCs w:val="22"/>
            <w:lang w:val="nb-NO"/>
          </w:rPr>
          <w:delText>A</w:delText>
        </w:r>
        <w:r w:rsidRPr="00193D76">
          <w:rPr>
            <w:szCs w:val="22"/>
            <w:lang w:val="nb-NO"/>
          </w:rPr>
          <w:delText xml:space="preserve">ndre legemidler </w:delText>
        </w:r>
        <w:r w:rsidRPr="002D0790">
          <w:rPr>
            <w:szCs w:val="22"/>
            <w:lang w:val="nb-NO"/>
          </w:rPr>
          <w:delText>og</w:delText>
        </w:r>
        <w:r w:rsidRPr="00C07C98">
          <w:rPr>
            <w:szCs w:val="22"/>
            <w:lang w:val="nb-NO"/>
          </w:rPr>
          <w:delText xml:space="preserve"> Humira</w:delText>
        </w:r>
      </w:del>
    </w:p>
    <w:p w14:paraId="4090F4A9" w14:textId="0A45F860" w:rsidR="00DE3458" w:rsidRPr="001F5D4B" w:rsidRDefault="00DE3458" w:rsidP="00776A84">
      <w:pPr>
        <w:keepNext/>
        <w:suppressAutoHyphens/>
        <w:rPr>
          <w:del w:id="15281" w:author="AbbVie02no" w:date="2025-05-15T14:21:00Z"/>
          <w:sz w:val="22"/>
          <w:szCs w:val="22"/>
        </w:rPr>
      </w:pPr>
    </w:p>
    <w:p w14:paraId="1406D79B" w14:textId="2C07217F" w:rsidR="00010FAB" w:rsidRPr="001F5D4B" w:rsidRDefault="00E453CD" w:rsidP="009C5EFD">
      <w:pPr>
        <w:suppressAutoHyphens/>
        <w:rPr>
          <w:del w:id="15282" w:author="AbbVie02no" w:date="2025-05-15T14:21:00Z"/>
          <w:sz w:val="22"/>
          <w:szCs w:val="22"/>
        </w:rPr>
      </w:pPr>
      <w:del w:id="15283" w:author="AbbVie02no" w:date="2025-05-15T14:21:00Z">
        <w:r>
          <w:rPr>
            <w:sz w:val="22"/>
            <w:szCs w:val="22"/>
          </w:rPr>
          <w:delText>Snakk med</w:delText>
        </w:r>
        <w:r w:rsidRPr="001F5D4B">
          <w:rPr>
            <w:sz w:val="22"/>
            <w:szCs w:val="22"/>
          </w:rPr>
          <w:delText xml:space="preserve"> </w:delText>
        </w:r>
        <w:r w:rsidR="002858DC" w:rsidRPr="001F5D4B">
          <w:rPr>
            <w:sz w:val="22"/>
            <w:szCs w:val="22"/>
          </w:rPr>
          <w:delText>legen din</w:delText>
        </w:r>
        <w:r w:rsidRPr="001F5D4B">
          <w:rPr>
            <w:sz w:val="22"/>
            <w:szCs w:val="22"/>
          </w:rPr>
          <w:delText xml:space="preserve"> eller apotek dersom du bruker, nylig </w:delText>
        </w:r>
        <w:r w:rsidR="00711651" w:rsidRPr="001F5D4B">
          <w:rPr>
            <w:sz w:val="22"/>
            <w:szCs w:val="22"/>
          </w:rPr>
          <w:delText xml:space="preserve">har </w:delText>
        </w:r>
        <w:r w:rsidRPr="001F5D4B">
          <w:rPr>
            <w:sz w:val="22"/>
            <w:szCs w:val="22"/>
          </w:rPr>
          <w:delText xml:space="preserve">brukt eller </w:delText>
        </w:r>
        <w:r w:rsidR="00711651" w:rsidRPr="001F5D4B">
          <w:rPr>
            <w:sz w:val="22"/>
            <w:szCs w:val="22"/>
          </w:rPr>
          <w:delText>planlegger</w:delText>
        </w:r>
        <w:r w:rsidRPr="001F5D4B">
          <w:rPr>
            <w:sz w:val="22"/>
            <w:szCs w:val="22"/>
          </w:rPr>
          <w:delText xml:space="preserve"> å bruke andre legemidler.</w:delText>
        </w:r>
      </w:del>
    </w:p>
    <w:p w14:paraId="658A1179" w14:textId="289CD769" w:rsidR="00010FAB" w:rsidRPr="009C5EFD" w:rsidRDefault="00010FAB" w:rsidP="009C5EFD">
      <w:pPr>
        <w:suppressAutoHyphens/>
        <w:rPr>
          <w:del w:id="15284" w:author="AbbVie02no" w:date="2025-05-15T14:21:00Z"/>
          <w:szCs w:val="22"/>
        </w:rPr>
      </w:pPr>
    </w:p>
    <w:p w14:paraId="7CCD49B0" w14:textId="14E7F689" w:rsidR="00DE3458" w:rsidRPr="009C5EFD" w:rsidRDefault="00E453CD" w:rsidP="009C5EFD">
      <w:pPr>
        <w:suppressAutoHyphens/>
        <w:rPr>
          <w:del w:id="15285" w:author="AbbVie02no" w:date="2025-05-15T14:21:00Z"/>
          <w:sz w:val="22"/>
          <w:szCs w:val="22"/>
        </w:rPr>
      </w:pPr>
      <w:del w:id="15286" w:author="AbbVie02no" w:date="2025-05-15T14:21:00Z">
        <w:r w:rsidRPr="009C5EFD">
          <w:rPr>
            <w:sz w:val="22"/>
            <w:szCs w:val="22"/>
          </w:rPr>
          <w:delText>Humira kan tas sammen med metotreksat eller visse sykdomsmodifiserende antirevmatiske midler (sulfasalasin, hydroksyklorokin, leflunomid samt gullpreparater til injeksjon), steroider eller smertestillende midler, deriblant ikke-steroide antiinflammatoriske midler (NSAID</w:delText>
        </w:r>
        <w:r w:rsidR="00B225C9" w:rsidRPr="009C5EFD">
          <w:rPr>
            <w:sz w:val="22"/>
            <w:szCs w:val="22"/>
          </w:rPr>
          <w:delText>s</w:delText>
        </w:r>
        <w:r w:rsidRPr="009C5EFD">
          <w:rPr>
            <w:sz w:val="22"/>
            <w:szCs w:val="22"/>
          </w:rPr>
          <w:delText>).</w:delText>
        </w:r>
      </w:del>
    </w:p>
    <w:p w14:paraId="6A90D301" w14:textId="21E994E7" w:rsidR="00DE3458" w:rsidRPr="009C5EFD" w:rsidRDefault="00DE3458" w:rsidP="009C5EFD">
      <w:pPr>
        <w:suppressAutoHyphens/>
        <w:rPr>
          <w:del w:id="15287" w:author="AbbVie02no" w:date="2025-05-15T14:21:00Z"/>
          <w:sz w:val="22"/>
          <w:szCs w:val="22"/>
        </w:rPr>
      </w:pPr>
    </w:p>
    <w:p w14:paraId="50FBC71F" w14:textId="38E6CBB3" w:rsidR="00DE3458" w:rsidRPr="009C5EFD" w:rsidRDefault="00E453CD" w:rsidP="009C5EFD">
      <w:pPr>
        <w:suppressAutoHyphens/>
        <w:rPr>
          <w:del w:id="15288" w:author="AbbVie02no" w:date="2025-05-15T14:21:00Z"/>
          <w:sz w:val="22"/>
          <w:szCs w:val="22"/>
        </w:rPr>
      </w:pPr>
      <w:del w:id="15289" w:author="AbbVie02no" w:date="2025-05-15T14:21:00Z">
        <w:r w:rsidRPr="009C5EFD">
          <w:rPr>
            <w:sz w:val="22"/>
            <w:szCs w:val="22"/>
          </w:rPr>
          <w:delText>Du må ikke ta Humira sammen med legemidler som inneholder virkestoffe</w:delText>
        </w:r>
        <w:r w:rsidR="002A2660">
          <w:rPr>
            <w:sz w:val="22"/>
            <w:szCs w:val="22"/>
          </w:rPr>
          <w:delText>ne</w:delText>
        </w:r>
        <w:r w:rsidRPr="009C5EFD">
          <w:rPr>
            <w:sz w:val="22"/>
            <w:szCs w:val="22"/>
          </w:rPr>
          <w:delText xml:space="preserve"> anakinra eller abatacept</w:delText>
        </w:r>
        <w:r w:rsidR="002A2660">
          <w:rPr>
            <w:sz w:val="22"/>
            <w:szCs w:val="22"/>
          </w:rPr>
          <w:delText xml:space="preserve"> på grunn av økt risiko for alvorlig infeksjon</w:delText>
        </w:r>
        <w:r w:rsidRPr="009C5EFD">
          <w:rPr>
            <w:sz w:val="22"/>
            <w:szCs w:val="22"/>
          </w:rPr>
          <w:delText>. Hvis du har spørsmål, kontakt legen din.</w:delText>
        </w:r>
      </w:del>
    </w:p>
    <w:p w14:paraId="6612D078" w14:textId="092158C3" w:rsidR="00DE3458" w:rsidRPr="009C5EFD" w:rsidRDefault="00DE3458" w:rsidP="009C5EFD">
      <w:pPr>
        <w:suppressAutoHyphens/>
        <w:rPr>
          <w:del w:id="15290" w:author="AbbVie02no" w:date="2025-05-15T14:21:00Z"/>
          <w:sz w:val="22"/>
          <w:szCs w:val="22"/>
        </w:rPr>
      </w:pPr>
    </w:p>
    <w:p w14:paraId="7AD46E1F" w14:textId="2633AA10" w:rsidR="00DE3458" w:rsidRPr="009C5EFD" w:rsidRDefault="00E453CD" w:rsidP="00D35625">
      <w:pPr>
        <w:keepNext/>
        <w:rPr>
          <w:del w:id="15291" w:author="AbbVie02no" w:date="2025-05-15T14:21:00Z"/>
          <w:b/>
          <w:sz w:val="22"/>
          <w:szCs w:val="22"/>
        </w:rPr>
      </w:pPr>
      <w:del w:id="15292" w:author="AbbVie02no" w:date="2025-05-15T14:21:00Z">
        <w:r w:rsidRPr="009C5EFD">
          <w:rPr>
            <w:b/>
            <w:sz w:val="22"/>
            <w:szCs w:val="22"/>
          </w:rPr>
          <w:delText>Graviditet og amming</w:delText>
        </w:r>
      </w:del>
    </w:p>
    <w:p w14:paraId="429195FF" w14:textId="270FE33C" w:rsidR="00DE3458" w:rsidRPr="009C5EFD" w:rsidRDefault="00DE3458" w:rsidP="00D35625">
      <w:pPr>
        <w:keepNext/>
        <w:rPr>
          <w:del w:id="15293" w:author="AbbVie02no" w:date="2025-05-15T14:21:00Z"/>
          <w:sz w:val="22"/>
          <w:szCs w:val="22"/>
        </w:rPr>
      </w:pPr>
    </w:p>
    <w:p w14:paraId="66341F7E" w14:textId="5A49BFE4" w:rsidR="00DE3458" w:rsidRPr="00D35625" w:rsidRDefault="00E453CD" w:rsidP="00D35625">
      <w:pPr>
        <w:pStyle w:val="ListParagraph"/>
        <w:numPr>
          <w:ilvl w:val="0"/>
          <w:numId w:val="15"/>
        </w:numPr>
        <w:suppressAutoHyphens/>
        <w:rPr>
          <w:del w:id="15294" w:author="AbbVie02no" w:date="2025-05-15T14:21:00Z"/>
          <w:sz w:val="22"/>
          <w:szCs w:val="22"/>
        </w:rPr>
      </w:pPr>
      <w:del w:id="15295" w:author="AbbVie02no" w:date="2025-05-15T14:21:00Z">
        <w:r w:rsidRPr="00D35625">
          <w:rPr>
            <w:sz w:val="22"/>
            <w:szCs w:val="22"/>
          </w:rPr>
          <w:delText xml:space="preserve">Du </w:delText>
        </w:r>
        <w:r w:rsidR="00AA09C3" w:rsidRPr="00D35625">
          <w:rPr>
            <w:sz w:val="22"/>
            <w:szCs w:val="22"/>
          </w:rPr>
          <w:delText xml:space="preserve">bør vurdere å </w:delText>
        </w:r>
        <w:r w:rsidRPr="00D35625">
          <w:rPr>
            <w:sz w:val="22"/>
            <w:szCs w:val="22"/>
          </w:rPr>
          <w:delText xml:space="preserve">bruke </w:delText>
        </w:r>
        <w:r w:rsidR="008D4298" w:rsidRPr="00D35625">
          <w:rPr>
            <w:sz w:val="22"/>
            <w:szCs w:val="22"/>
          </w:rPr>
          <w:delText>sikker</w:delText>
        </w:r>
        <w:r w:rsidRPr="00D35625">
          <w:rPr>
            <w:sz w:val="22"/>
            <w:szCs w:val="22"/>
          </w:rPr>
          <w:delText xml:space="preserve"> prevensjon</w:delText>
        </w:r>
        <w:r w:rsidR="00AA09C3" w:rsidRPr="00D35625">
          <w:rPr>
            <w:sz w:val="22"/>
            <w:szCs w:val="22"/>
          </w:rPr>
          <w:delText xml:space="preserve"> for å forhindre graviditet og fortsette bruken </w:delText>
        </w:r>
        <w:r w:rsidRPr="00D35625">
          <w:rPr>
            <w:sz w:val="22"/>
            <w:szCs w:val="22"/>
          </w:rPr>
          <w:delText>i minst 5</w:delText>
        </w:r>
        <w:r w:rsidR="00F13B44">
          <w:rPr>
            <w:sz w:val="22"/>
            <w:szCs w:val="22"/>
          </w:rPr>
          <w:delText> </w:delText>
        </w:r>
        <w:r w:rsidRPr="00D35625">
          <w:rPr>
            <w:sz w:val="22"/>
            <w:szCs w:val="22"/>
          </w:rPr>
          <w:delText>måneder etter siste behandling med Humira.</w:delText>
        </w:r>
        <w:r w:rsidR="00716CE9" w:rsidRPr="00D35625">
          <w:rPr>
            <w:sz w:val="22"/>
            <w:szCs w:val="22"/>
          </w:rPr>
          <w:delText xml:space="preserve"> </w:delText>
        </w:r>
      </w:del>
    </w:p>
    <w:p w14:paraId="78A90607" w14:textId="7DC24F42" w:rsidR="00E70B94" w:rsidRDefault="00E453CD" w:rsidP="00E70B94">
      <w:pPr>
        <w:pStyle w:val="ListParagraph"/>
        <w:numPr>
          <w:ilvl w:val="0"/>
          <w:numId w:val="147"/>
        </w:numPr>
        <w:suppressAutoHyphens/>
        <w:rPr>
          <w:del w:id="15296" w:author="AbbVie02no" w:date="2025-05-15T14:21:00Z"/>
          <w:sz w:val="22"/>
          <w:szCs w:val="22"/>
        </w:rPr>
      </w:pPr>
      <w:del w:id="15297" w:author="AbbVie02no" w:date="2025-05-15T14:21:00Z">
        <w:r>
          <w:rPr>
            <w:sz w:val="22"/>
            <w:szCs w:val="22"/>
          </w:rPr>
          <w:delText xml:space="preserve">Snakk </w:delText>
        </w:r>
        <w:r w:rsidRPr="00922A98">
          <w:rPr>
            <w:sz w:val="22"/>
            <w:szCs w:val="22"/>
          </w:rPr>
          <w:delText>med lege</w:delText>
        </w:r>
        <w:r>
          <w:rPr>
            <w:sz w:val="22"/>
            <w:szCs w:val="22"/>
          </w:rPr>
          <w:delText xml:space="preserve"> </w:delText>
        </w:r>
        <w:r w:rsidR="00F13B44">
          <w:rPr>
            <w:sz w:val="22"/>
            <w:szCs w:val="22"/>
          </w:rPr>
          <w:delText>før du</w:delText>
        </w:r>
        <w:r w:rsidRPr="00922A98">
          <w:rPr>
            <w:sz w:val="22"/>
            <w:szCs w:val="22"/>
          </w:rPr>
          <w:delText xml:space="preserve"> tar det</w:delText>
        </w:r>
        <w:r>
          <w:rPr>
            <w:sz w:val="22"/>
            <w:szCs w:val="22"/>
          </w:rPr>
          <w:delText xml:space="preserve">te legemidlet dersom </w:delText>
        </w:r>
        <w:r w:rsidR="00F13B44">
          <w:rPr>
            <w:sz w:val="22"/>
            <w:szCs w:val="22"/>
          </w:rPr>
          <w:delText>du</w:delText>
        </w:r>
        <w:r>
          <w:rPr>
            <w:sz w:val="22"/>
            <w:szCs w:val="22"/>
          </w:rPr>
          <w:delText xml:space="preserve"> er gravid, tror at </w:delText>
        </w:r>
        <w:r w:rsidR="00E06B46">
          <w:rPr>
            <w:sz w:val="22"/>
            <w:szCs w:val="22"/>
          </w:rPr>
          <w:delText>du</w:delText>
        </w:r>
        <w:r w:rsidRPr="00922A98">
          <w:rPr>
            <w:sz w:val="22"/>
            <w:szCs w:val="22"/>
          </w:rPr>
          <w:delText xml:space="preserve"> kan være gravid</w:delText>
        </w:r>
        <w:r>
          <w:rPr>
            <w:sz w:val="22"/>
            <w:szCs w:val="22"/>
          </w:rPr>
          <w:delText xml:space="preserve"> eller planlegger å bli gravid.</w:delText>
        </w:r>
      </w:del>
    </w:p>
    <w:p w14:paraId="075931E8" w14:textId="7BDA68F9" w:rsidR="00E70B94" w:rsidRDefault="00E453CD" w:rsidP="00E70B94">
      <w:pPr>
        <w:pStyle w:val="ListParagraph"/>
        <w:numPr>
          <w:ilvl w:val="0"/>
          <w:numId w:val="147"/>
        </w:numPr>
        <w:suppressAutoHyphens/>
        <w:rPr>
          <w:del w:id="15298" w:author="AbbVie02no" w:date="2025-05-15T14:21:00Z"/>
          <w:sz w:val="22"/>
          <w:szCs w:val="22"/>
        </w:rPr>
      </w:pPr>
      <w:del w:id="15299" w:author="AbbVie02no" w:date="2025-05-15T14:21:00Z">
        <w:r>
          <w:rPr>
            <w:sz w:val="22"/>
            <w:szCs w:val="22"/>
          </w:rPr>
          <w:delText>Humira bør kun brukes under graviditet dersom det er nødvendig.</w:delText>
        </w:r>
      </w:del>
    </w:p>
    <w:p w14:paraId="03DC5266" w14:textId="7810834A" w:rsidR="00E70B94" w:rsidRDefault="00E453CD" w:rsidP="00E70B94">
      <w:pPr>
        <w:pStyle w:val="ListParagraph"/>
        <w:numPr>
          <w:ilvl w:val="0"/>
          <w:numId w:val="147"/>
        </w:numPr>
        <w:suppressAutoHyphens/>
        <w:rPr>
          <w:del w:id="15300" w:author="AbbVie02no" w:date="2025-05-15T14:21:00Z"/>
          <w:sz w:val="22"/>
          <w:szCs w:val="22"/>
        </w:rPr>
      </w:pPr>
      <w:del w:id="15301" w:author="AbbVie02no" w:date="2025-05-15T14:21:00Z">
        <w:r>
          <w:rPr>
            <w:sz w:val="22"/>
            <w:szCs w:val="22"/>
          </w:rPr>
          <w:delText xml:space="preserve">I henhold til en studie på gravide var det ingen større risiko for </w:delText>
        </w:r>
        <w:r w:rsidR="00CF2078">
          <w:rPr>
            <w:sz w:val="22"/>
            <w:szCs w:val="22"/>
          </w:rPr>
          <w:delText>fosterskader</w:delText>
        </w:r>
        <w:r>
          <w:rPr>
            <w:sz w:val="22"/>
            <w:szCs w:val="22"/>
          </w:rPr>
          <w:delText xml:space="preserve"> når moren hadde fått Humira under graviditet sammenlignet med mødre med den samme sykdommen som ikke hadde fått Humira.</w:delText>
        </w:r>
      </w:del>
    </w:p>
    <w:p w14:paraId="3651C09D" w14:textId="35535CEC" w:rsidR="00446CD7" w:rsidRPr="00D35625" w:rsidRDefault="00E453CD" w:rsidP="00D35625">
      <w:pPr>
        <w:pStyle w:val="ListParagraph"/>
        <w:numPr>
          <w:ilvl w:val="0"/>
          <w:numId w:val="147"/>
        </w:numPr>
        <w:suppressAutoHyphens/>
        <w:rPr>
          <w:del w:id="15302" w:author="AbbVie02no" w:date="2025-05-15T14:21:00Z"/>
          <w:sz w:val="22"/>
          <w:szCs w:val="22"/>
        </w:rPr>
      </w:pPr>
      <w:del w:id="15303" w:author="AbbVie02no" w:date="2025-05-15T14:21:00Z">
        <w:r>
          <w:rPr>
            <w:sz w:val="22"/>
            <w:szCs w:val="22"/>
          </w:rPr>
          <w:delText>Humira kan brukes under amming.</w:delText>
        </w:r>
      </w:del>
    </w:p>
    <w:p w14:paraId="79570B4B" w14:textId="066EA49D" w:rsidR="00D45BAA" w:rsidRDefault="00E453CD" w:rsidP="00D35625">
      <w:pPr>
        <w:pStyle w:val="ListParagraph"/>
        <w:numPr>
          <w:ilvl w:val="0"/>
          <w:numId w:val="150"/>
        </w:numPr>
        <w:suppressAutoHyphens/>
        <w:rPr>
          <w:del w:id="15304" w:author="AbbVie02no" w:date="2025-05-15T14:21:00Z"/>
          <w:sz w:val="22"/>
        </w:rPr>
      </w:pPr>
      <w:del w:id="15305" w:author="AbbVie02no" w:date="2025-05-15T14:21:00Z">
        <w:r>
          <w:rPr>
            <w:sz w:val="22"/>
          </w:rPr>
          <w:delText>Dersom</w:delText>
        </w:r>
        <w:r w:rsidRPr="00D35625">
          <w:rPr>
            <w:sz w:val="22"/>
          </w:rPr>
          <w:delText xml:space="preserve"> </w:delText>
        </w:r>
        <w:r w:rsidR="007E6CC7" w:rsidRPr="00D35625">
          <w:rPr>
            <w:sz w:val="22"/>
          </w:rPr>
          <w:delText>du bruk</w:delText>
        </w:r>
        <w:r>
          <w:rPr>
            <w:sz w:val="22"/>
          </w:rPr>
          <w:delText>er</w:delText>
        </w:r>
        <w:r w:rsidR="007E6CC7" w:rsidRPr="00D35625">
          <w:rPr>
            <w:sz w:val="22"/>
          </w:rPr>
          <w:delText xml:space="preserve"> Humira under graviditet, kan spedbarnet ditt ha høyere risiko for å få en infeksjon. </w:delText>
        </w:r>
      </w:del>
    </w:p>
    <w:p w14:paraId="1B59284C" w14:textId="5868F7BE" w:rsidR="00DE3458" w:rsidRPr="00D35625" w:rsidRDefault="00E453CD" w:rsidP="00D35625">
      <w:pPr>
        <w:pStyle w:val="ListParagraph"/>
        <w:numPr>
          <w:ilvl w:val="0"/>
          <w:numId w:val="150"/>
        </w:numPr>
        <w:suppressAutoHyphens/>
        <w:rPr>
          <w:del w:id="15306" w:author="AbbVie02no" w:date="2025-05-15T14:21:00Z"/>
          <w:sz w:val="22"/>
        </w:rPr>
      </w:pPr>
      <w:del w:id="15307" w:author="AbbVie02no" w:date="2025-05-15T14:21:00Z">
        <w:r w:rsidRPr="00D35625">
          <w:rPr>
            <w:sz w:val="22"/>
          </w:rPr>
          <w:delText xml:space="preserve">Det er viktig at du forteller </w:delText>
        </w:r>
        <w:r w:rsidR="005A55C8">
          <w:rPr>
            <w:sz w:val="22"/>
          </w:rPr>
          <w:delText xml:space="preserve">legen til </w:delText>
        </w:r>
        <w:r w:rsidRPr="00D35625">
          <w:rPr>
            <w:sz w:val="22"/>
          </w:rPr>
          <w:delText>spedbarn</w:delText>
        </w:r>
        <w:r w:rsidR="005A55C8">
          <w:rPr>
            <w:sz w:val="22"/>
          </w:rPr>
          <w:delText>et ditt</w:delText>
        </w:r>
        <w:r w:rsidRPr="00D35625">
          <w:rPr>
            <w:sz w:val="22"/>
          </w:rPr>
          <w:delText xml:space="preserve"> og annet helsepersonell </w:delText>
        </w:r>
        <w:r w:rsidR="00035491">
          <w:rPr>
            <w:sz w:val="22"/>
          </w:rPr>
          <w:delText>om</w:delText>
        </w:r>
        <w:r w:rsidRPr="00D35625">
          <w:rPr>
            <w:sz w:val="22"/>
          </w:rPr>
          <w:delText xml:space="preserve"> </w:delText>
        </w:r>
        <w:r w:rsidR="00B904B8">
          <w:rPr>
            <w:sz w:val="22"/>
          </w:rPr>
          <w:delText xml:space="preserve">din </w:delText>
        </w:r>
        <w:r w:rsidRPr="00D35625">
          <w:rPr>
            <w:sz w:val="22"/>
          </w:rPr>
          <w:delText>bruk</w:delText>
        </w:r>
        <w:r w:rsidR="00035491">
          <w:rPr>
            <w:sz w:val="22"/>
          </w:rPr>
          <w:delText xml:space="preserve"> av</w:delText>
        </w:r>
        <w:r w:rsidRPr="00D35625">
          <w:rPr>
            <w:sz w:val="22"/>
          </w:rPr>
          <w:delText xml:space="preserve"> Humira under graviditet</w:delText>
        </w:r>
        <w:r w:rsidR="007E32B8" w:rsidRPr="00D35625">
          <w:rPr>
            <w:sz w:val="22"/>
          </w:rPr>
          <w:delText>en</w:delText>
        </w:r>
        <w:r w:rsidRPr="00D35625">
          <w:rPr>
            <w:sz w:val="22"/>
          </w:rPr>
          <w:delText xml:space="preserve"> før </w:delText>
        </w:r>
        <w:r w:rsidR="00900FF9">
          <w:rPr>
            <w:sz w:val="22"/>
          </w:rPr>
          <w:delText>sped</w:delText>
        </w:r>
        <w:r w:rsidRPr="00D35625">
          <w:rPr>
            <w:sz w:val="22"/>
          </w:rPr>
          <w:delText>barnet vaksineres (for mer informasjon om vaksiner</w:delText>
        </w:r>
        <w:r w:rsidR="00F13B44">
          <w:rPr>
            <w:sz w:val="22"/>
          </w:rPr>
          <w:delText>,</w:delText>
        </w:r>
        <w:r w:rsidR="00375534">
          <w:rPr>
            <w:sz w:val="22"/>
          </w:rPr>
          <w:delText xml:space="preserve"> </w:delText>
        </w:r>
        <w:r w:rsidR="00375534" w:rsidRPr="004849ED">
          <w:rPr>
            <w:sz w:val="22"/>
            <w:szCs w:val="22"/>
          </w:rPr>
          <w:delText xml:space="preserve">se </w:delText>
        </w:r>
        <w:r w:rsidR="00375534">
          <w:rPr>
            <w:sz w:val="22"/>
            <w:szCs w:val="22"/>
          </w:rPr>
          <w:delText>avsnittet «Advarsler og forsiktighetsregler»</w:delText>
        </w:r>
        <w:r w:rsidR="00F13B44">
          <w:rPr>
            <w:sz w:val="22"/>
            <w:szCs w:val="22"/>
          </w:rPr>
          <w:delText>)</w:delText>
        </w:r>
        <w:r w:rsidR="00375534">
          <w:rPr>
            <w:sz w:val="22"/>
            <w:szCs w:val="22"/>
          </w:rPr>
          <w:delText>.</w:delText>
        </w:r>
      </w:del>
    </w:p>
    <w:p w14:paraId="466B9C63" w14:textId="4DF51E7F" w:rsidR="00DE3458" w:rsidRPr="009C5EFD" w:rsidRDefault="00DE3458" w:rsidP="009C5EFD">
      <w:pPr>
        <w:rPr>
          <w:del w:id="15308" w:author="AbbVie02no" w:date="2025-05-15T14:21:00Z"/>
          <w:sz w:val="22"/>
          <w:szCs w:val="22"/>
        </w:rPr>
      </w:pPr>
    </w:p>
    <w:p w14:paraId="295B6552" w14:textId="406B6C1F" w:rsidR="00DE3458" w:rsidRPr="009C5EFD" w:rsidRDefault="00E453CD" w:rsidP="00AF70AD">
      <w:pPr>
        <w:keepNext/>
        <w:suppressAutoHyphens/>
        <w:rPr>
          <w:del w:id="15309" w:author="AbbVie02no" w:date="2025-05-15T14:21:00Z"/>
          <w:b/>
          <w:sz w:val="22"/>
          <w:szCs w:val="22"/>
        </w:rPr>
      </w:pPr>
      <w:del w:id="15310" w:author="AbbVie02no" w:date="2025-05-15T14:21:00Z">
        <w:r w:rsidRPr="009C5EFD">
          <w:rPr>
            <w:b/>
            <w:sz w:val="22"/>
            <w:szCs w:val="22"/>
          </w:rPr>
          <w:lastRenderedPageBreak/>
          <w:delText>Kjøring og bruk av maskiner</w:delText>
        </w:r>
      </w:del>
    </w:p>
    <w:p w14:paraId="324ACF16" w14:textId="741FB5EE" w:rsidR="00DE3458" w:rsidRPr="009C5EFD" w:rsidRDefault="00DE3458" w:rsidP="00AF70AD">
      <w:pPr>
        <w:keepNext/>
        <w:suppressAutoHyphens/>
        <w:rPr>
          <w:del w:id="15311" w:author="AbbVie02no" w:date="2025-05-15T14:21:00Z"/>
          <w:b/>
          <w:sz w:val="22"/>
          <w:szCs w:val="22"/>
        </w:rPr>
      </w:pPr>
    </w:p>
    <w:p w14:paraId="7AF73FBA" w14:textId="43CB27FC" w:rsidR="00DE3458" w:rsidRDefault="00E453CD" w:rsidP="009C5EFD">
      <w:pPr>
        <w:suppressAutoHyphens/>
        <w:rPr>
          <w:del w:id="15312" w:author="AbbVie02no" w:date="2025-05-15T14:21:00Z"/>
          <w:sz w:val="22"/>
          <w:szCs w:val="22"/>
        </w:rPr>
      </w:pPr>
      <w:del w:id="15313" w:author="AbbVie02no" w:date="2025-05-15T14:21:00Z">
        <w:r w:rsidRPr="009C5EFD">
          <w:rPr>
            <w:sz w:val="22"/>
            <w:szCs w:val="22"/>
          </w:rPr>
          <w:delText xml:space="preserve">Humira kan ha en </w:delText>
        </w:r>
        <w:r w:rsidR="00626FDD" w:rsidRPr="009C5EFD">
          <w:rPr>
            <w:sz w:val="22"/>
            <w:szCs w:val="22"/>
          </w:rPr>
          <w:delText>liten på</w:delText>
        </w:r>
        <w:r w:rsidRPr="009C5EFD">
          <w:rPr>
            <w:sz w:val="22"/>
            <w:szCs w:val="22"/>
          </w:rPr>
          <w:delText>virkning på evnen til å kjøre bil</w:delText>
        </w:r>
        <w:r w:rsidR="00AF4FC3" w:rsidRPr="009C5EFD">
          <w:rPr>
            <w:sz w:val="22"/>
            <w:szCs w:val="22"/>
          </w:rPr>
          <w:delText>, sykkel</w:delText>
        </w:r>
        <w:r w:rsidRPr="009C5EFD">
          <w:rPr>
            <w:sz w:val="22"/>
            <w:szCs w:val="22"/>
          </w:rPr>
          <w:delText xml:space="preserve"> </w:delText>
        </w:r>
        <w:r w:rsidR="00AF4FC3" w:rsidRPr="009C5EFD">
          <w:rPr>
            <w:sz w:val="22"/>
            <w:szCs w:val="22"/>
          </w:rPr>
          <w:delText>eller</w:delText>
        </w:r>
        <w:r w:rsidR="004A62A3" w:rsidRPr="009C5EFD">
          <w:rPr>
            <w:sz w:val="22"/>
            <w:szCs w:val="22"/>
          </w:rPr>
          <w:delText xml:space="preserve"> </w:delText>
        </w:r>
        <w:r w:rsidRPr="009C5EFD">
          <w:rPr>
            <w:sz w:val="22"/>
            <w:szCs w:val="22"/>
          </w:rPr>
          <w:delText xml:space="preserve">bruke maskiner. Svimmelhet </w:delText>
        </w:r>
        <w:r w:rsidR="000224B7" w:rsidRPr="009C5EFD">
          <w:rPr>
            <w:sz w:val="22"/>
            <w:szCs w:val="22"/>
          </w:rPr>
          <w:delText>og</w:delText>
        </w:r>
        <w:r w:rsidRPr="009C5EFD">
          <w:rPr>
            <w:sz w:val="22"/>
            <w:szCs w:val="22"/>
          </w:rPr>
          <w:delText xml:space="preserve"> synsforstyrrelse kan oppstå etter </w:delText>
        </w:r>
        <w:r w:rsidR="00626FDD" w:rsidRPr="009C5EFD">
          <w:rPr>
            <w:sz w:val="22"/>
            <w:szCs w:val="22"/>
          </w:rPr>
          <w:delText xml:space="preserve">injeksjon </w:delText>
        </w:r>
        <w:r w:rsidRPr="009C5EFD">
          <w:rPr>
            <w:sz w:val="22"/>
            <w:szCs w:val="22"/>
          </w:rPr>
          <w:delText>av Humira.</w:delText>
        </w:r>
      </w:del>
    </w:p>
    <w:p w14:paraId="7A54C05F" w14:textId="63C9C1F1" w:rsidR="00E55E7C" w:rsidRDefault="00E55E7C" w:rsidP="009C5EFD">
      <w:pPr>
        <w:suppressAutoHyphens/>
        <w:rPr>
          <w:del w:id="15314" w:author="AbbVie02no" w:date="2025-05-15T14:21:00Z"/>
          <w:sz w:val="22"/>
          <w:szCs w:val="22"/>
        </w:rPr>
      </w:pPr>
    </w:p>
    <w:p w14:paraId="2064FBD1" w14:textId="0D696703" w:rsidR="00E55E7C" w:rsidRPr="00D22D58" w:rsidRDefault="00E453CD" w:rsidP="00776A84">
      <w:pPr>
        <w:keepNext/>
        <w:suppressAutoHyphens/>
        <w:rPr>
          <w:del w:id="15315" w:author="AbbVie02no" w:date="2025-05-15T14:21:00Z"/>
          <w:b/>
          <w:sz w:val="22"/>
          <w:szCs w:val="22"/>
        </w:rPr>
      </w:pPr>
      <w:del w:id="15316" w:author="AbbVie02no" w:date="2025-05-15T14:21:00Z">
        <w:r w:rsidRPr="00D22D58">
          <w:rPr>
            <w:b/>
            <w:sz w:val="22"/>
            <w:szCs w:val="22"/>
          </w:rPr>
          <w:delText>Humira inneholder natrium</w:delText>
        </w:r>
      </w:del>
    </w:p>
    <w:p w14:paraId="5D1D4BC7" w14:textId="1FA18C19" w:rsidR="00E55E7C" w:rsidRDefault="00E55E7C" w:rsidP="00776A84">
      <w:pPr>
        <w:keepNext/>
        <w:suppressAutoHyphens/>
        <w:rPr>
          <w:del w:id="15317" w:author="AbbVie02no" w:date="2025-05-15T14:21:00Z"/>
          <w:sz w:val="22"/>
          <w:szCs w:val="22"/>
        </w:rPr>
      </w:pPr>
    </w:p>
    <w:p w14:paraId="47F0FCBD" w14:textId="542474C1" w:rsidR="00E55E7C" w:rsidRPr="009C5EFD" w:rsidRDefault="00E453CD" w:rsidP="00E55E7C">
      <w:pPr>
        <w:suppressAutoHyphens/>
        <w:rPr>
          <w:del w:id="15318" w:author="AbbVie02no" w:date="2025-05-15T14:21:00Z"/>
          <w:sz w:val="22"/>
          <w:szCs w:val="22"/>
        </w:rPr>
      </w:pPr>
      <w:del w:id="15319" w:author="AbbVie02no" w:date="2025-05-15T14:21:00Z">
        <w:r>
          <w:rPr>
            <w:sz w:val="22"/>
            <w:szCs w:val="22"/>
          </w:rPr>
          <w:delText>Dette legemidlet inneholder mindre enn 1</w:delText>
        </w:r>
        <w:r w:rsidR="007D4332">
          <w:rPr>
            <w:sz w:val="22"/>
            <w:szCs w:val="22"/>
          </w:rPr>
          <w:delText> </w:delText>
        </w:r>
        <w:r>
          <w:rPr>
            <w:sz w:val="22"/>
            <w:szCs w:val="22"/>
          </w:rPr>
          <w:delText xml:space="preserve">mmol natrium (23 mg) per 0,8 ml dose, dvs. </w:delText>
        </w:r>
        <w:r w:rsidR="00684DB9" w:rsidRPr="00684DB9">
          <w:rPr>
            <w:sz w:val="22"/>
            <w:szCs w:val="22"/>
          </w:rPr>
          <w:delText xml:space="preserve">så godt som </w:delText>
        </w:r>
        <w:r w:rsidR="00D57009">
          <w:rPr>
            <w:sz w:val="22"/>
            <w:szCs w:val="22"/>
          </w:rPr>
          <w:delText>«</w:delText>
        </w:r>
        <w:r w:rsidR="00684DB9" w:rsidRPr="00684DB9">
          <w:rPr>
            <w:sz w:val="22"/>
            <w:szCs w:val="22"/>
          </w:rPr>
          <w:delText>natriumfritt</w:delText>
        </w:r>
        <w:r w:rsidR="00D57009">
          <w:rPr>
            <w:sz w:val="22"/>
            <w:szCs w:val="22"/>
          </w:rPr>
          <w:delText>»</w:delText>
        </w:r>
        <w:r>
          <w:rPr>
            <w:sz w:val="22"/>
            <w:szCs w:val="22"/>
          </w:rPr>
          <w:delText>.</w:delText>
        </w:r>
      </w:del>
    </w:p>
    <w:p w14:paraId="031CCAA3" w14:textId="159FE0E4" w:rsidR="00DE3458" w:rsidRPr="009C5EFD" w:rsidRDefault="00DE3458" w:rsidP="009C5EFD">
      <w:pPr>
        <w:pStyle w:val="EndnoteText"/>
        <w:widowControl/>
        <w:tabs>
          <w:tab w:val="clear" w:pos="567"/>
        </w:tabs>
        <w:suppressAutoHyphens/>
        <w:rPr>
          <w:del w:id="15320" w:author="AbbVie02no" w:date="2025-05-15T14:21:00Z"/>
          <w:szCs w:val="22"/>
          <w:lang w:val="nb-NO"/>
        </w:rPr>
      </w:pPr>
    </w:p>
    <w:p w14:paraId="029678E1" w14:textId="318336F6" w:rsidR="00DE3458" w:rsidRPr="009C5EFD" w:rsidRDefault="00DE3458" w:rsidP="009C5EFD">
      <w:pPr>
        <w:suppressAutoHyphens/>
        <w:rPr>
          <w:del w:id="15321" w:author="AbbVie02no" w:date="2025-05-15T14:21:00Z"/>
          <w:sz w:val="22"/>
          <w:szCs w:val="22"/>
        </w:rPr>
      </w:pPr>
    </w:p>
    <w:p w14:paraId="61A802EA" w14:textId="157DAF41" w:rsidR="00DE3458" w:rsidRPr="009C5EFD" w:rsidRDefault="00E453CD" w:rsidP="00776A84">
      <w:pPr>
        <w:keepNext/>
        <w:suppressAutoHyphens/>
        <w:ind w:left="562" w:hanging="562"/>
        <w:rPr>
          <w:del w:id="15322" w:author="AbbVie02no" w:date="2025-05-15T14:21:00Z"/>
          <w:sz w:val="22"/>
          <w:szCs w:val="22"/>
        </w:rPr>
      </w:pPr>
      <w:del w:id="15323" w:author="AbbVie02no" w:date="2025-05-15T14:21:00Z">
        <w:r w:rsidRPr="009C5EFD">
          <w:rPr>
            <w:b/>
            <w:sz w:val="22"/>
            <w:szCs w:val="22"/>
          </w:rPr>
          <w:delText>3.</w:delText>
        </w:r>
        <w:r w:rsidRPr="009C5EFD">
          <w:rPr>
            <w:b/>
            <w:sz w:val="22"/>
            <w:szCs w:val="22"/>
          </w:rPr>
          <w:tab/>
        </w:r>
        <w:r w:rsidR="00710056" w:rsidRPr="009C5EFD">
          <w:rPr>
            <w:b/>
            <w:sz w:val="22"/>
            <w:szCs w:val="22"/>
          </w:rPr>
          <w:delText>Hvordan du bruker Humira</w:delText>
        </w:r>
      </w:del>
    </w:p>
    <w:p w14:paraId="0584BE2C" w14:textId="11B91C38" w:rsidR="00DE3458" w:rsidRPr="009C5EFD" w:rsidRDefault="00DE3458" w:rsidP="00776A84">
      <w:pPr>
        <w:keepNext/>
        <w:rPr>
          <w:del w:id="15324" w:author="AbbVie02no" w:date="2025-05-15T14:21:00Z"/>
          <w:sz w:val="22"/>
          <w:szCs w:val="22"/>
        </w:rPr>
      </w:pPr>
    </w:p>
    <w:p w14:paraId="508050C9" w14:textId="08B1C9F2" w:rsidR="00DE3458" w:rsidRPr="009C5EFD" w:rsidRDefault="00E453CD" w:rsidP="009C5EFD">
      <w:pPr>
        <w:pStyle w:val="BodyText2"/>
        <w:suppressAutoHyphens/>
        <w:autoSpaceDE/>
        <w:autoSpaceDN/>
        <w:adjustRightInd/>
        <w:rPr>
          <w:del w:id="15325" w:author="AbbVie02no" w:date="2025-05-15T14:21:00Z"/>
          <w:color w:val="auto"/>
          <w:szCs w:val="22"/>
        </w:rPr>
      </w:pPr>
      <w:del w:id="15326" w:author="AbbVie02no" w:date="2025-05-15T14:21:00Z">
        <w:r w:rsidRPr="009C5EFD">
          <w:rPr>
            <w:color w:val="auto"/>
            <w:szCs w:val="22"/>
          </w:rPr>
          <w:delText xml:space="preserve">Bruk alltid </w:delText>
        </w:r>
        <w:r w:rsidR="00716CE9" w:rsidRPr="009C5EFD">
          <w:rPr>
            <w:color w:val="auto"/>
            <w:szCs w:val="22"/>
          </w:rPr>
          <w:delText xml:space="preserve">dette legemidlet </w:delText>
        </w:r>
        <w:r w:rsidR="00711651" w:rsidRPr="009C5EFD">
          <w:rPr>
            <w:color w:val="auto"/>
            <w:szCs w:val="22"/>
          </w:rPr>
          <w:delText xml:space="preserve">nøyaktig </w:delText>
        </w:r>
        <w:r w:rsidRPr="009C5EFD">
          <w:rPr>
            <w:color w:val="auto"/>
            <w:szCs w:val="22"/>
          </w:rPr>
          <w:delText xml:space="preserve">slik legen </w:delText>
        </w:r>
        <w:r w:rsidR="00716CE9" w:rsidRPr="009C5EFD">
          <w:rPr>
            <w:color w:val="auto"/>
            <w:szCs w:val="22"/>
          </w:rPr>
          <w:delText xml:space="preserve">eller apotek </w:delText>
        </w:r>
        <w:r w:rsidRPr="009C5EFD">
          <w:rPr>
            <w:color w:val="auto"/>
            <w:szCs w:val="22"/>
          </w:rPr>
          <w:delText xml:space="preserve">har fortalt deg. Kontakt lege eller apotek hvis du er usikker. </w:delText>
        </w:r>
        <w:r w:rsidR="00847A9A">
          <w:rPr>
            <w:szCs w:val="22"/>
          </w:rPr>
          <w:delText>Legen din kan forskrive en annen styrke av Humira dersom du trenger en annen dose.</w:delText>
        </w:r>
      </w:del>
    </w:p>
    <w:p w14:paraId="65A80EB3" w14:textId="279CECBB" w:rsidR="00DE3458" w:rsidRPr="009C5EFD" w:rsidRDefault="00DE3458" w:rsidP="009C5EFD">
      <w:pPr>
        <w:suppressAutoHyphens/>
        <w:rPr>
          <w:del w:id="15327" w:author="AbbVie02no" w:date="2025-05-15T14:21:00Z"/>
          <w:sz w:val="22"/>
          <w:szCs w:val="22"/>
        </w:rPr>
      </w:pPr>
    </w:p>
    <w:p w14:paraId="7B48E781" w14:textId="118C183E" w:rsidR="00823F09" w:rsidRPr="009C5EFD" w:rsidRDefault="00E453CD" w:rsidP="00776A84">
      <w:pPr>
        <w:keepNext/>
        <w:suppressAutoHyphens/>
        <w:rPr>
          <w:del w:id="15328" w:author="AbbVie02no" w:date="2025-05-15T14:21:00Z"/>
          <w:sz w:val="22"/>
          <w:szCs w:val="22"/>
          <w:u w:val="single"/>
        </w:rPr>
      </w:pPr>
      <w:del w:id="15329" w:author="AbbVie02no" w:date="2025-05-15T14:21:00Z">
        <w:r w:rsidRPr="009C5EFD">
          <w:rPr>
            <w:sz w:val="22"/>
            <w:szCs w:val="22"/>
            <w:u w:val="single"/>
          </w:rPr>
          <w:delText>Voksne med revmatoid artritt, psoriasisartritt, Bekhterevs sykdom eller aksial spondylartritt uten radiografisk bekreftelse på ankyloserende spondylitt</w:delText>
        </w:r>
      </w:del>
    </w:p>
    <w:p w14:paraId="36E63115" w14:textId="468ACF2D" w:rsidR="00823F09" w:rsidRPr="009C5EFD" w:rsidRDefault="00823F09" w:rsidP="00776A84">
      <w:pPr>
        <w:keepNext/>
        <w:suppressAutoHyphens/>
        <w:rPr>
          <w:del w:id="15330" w:author="AbbVie02no" w:date="2025-05-15T14:21:00Z"/>
          <w:sz w:val="22"/>
          <w:szCs w:val="22"/>
        </w:rPr>
      </w:pPr>
    </w:p>
    <w:p w14:paraId="37F5B7CA" w14:textId="6852B9FC" w:rsidR="00DE3458" w:rsidRPr="009C5EFD" w:rsidRDefault="00E453CD" w:rsidP="009C5EFD">
      <w:pPr>
        <w:suppressAutoHyphens/>
        <w:rPr>
          <w:del w:id="15331" w:author="AbbVie02no" w:date="2025-05-15T14:21:00Z"/>
          <w:sz w:val="22"/>
          <w:szCs w:val="22"/>
        </w:rPr>
      </w:pPr>
      <w:del w:id="15332" w:author="AbbVie02no" w:date="2025-05-15T14:21:00Z">
        <w:r w:rsidRPr="009C5EFD">
          <w:rPr>
            <w:sz w:val="22"/>
            <w:szCs w:val="22"/>
          </w:rPr>
          <w:delText>Humira injiseres under huden (subkutan bruk). Den vanlige dosen for voksne med revmatoid artritt,</w:delText>
        </w:r>
        <w:r w:rsidR="00047C52" w:rsidRPr="009C5EFD">
          <w:rPr>
            <w:sz w:val="22"/>
            <w:szCs w:val="22"/>
          </w:rPr>
          <w:delText xml:space="preserve"> </w:delText>
        </w:r>
        <w:r w:rsidRPr="009C5EFD">
          <w:rPr>
            <w:sz w:val="22"/>
            <w:szCs w:val="22"/>
          </w:rPr>
          <w:delText>Bekhterevs sykdom (ankyloserende spondylitt)</w:delText>
        </w:r>
        <w:r w:rsidR="00985B74" w:rsidRPr="009C5EFD">
          <w:rPr>
            <w:sz w:val="22"/>
            <w:szCs w:val="22"/>
          </w:rPr>
          <w:delText>,</w:delText>
        </w:r>
        <w:r w:rsidRPr="009C5EFD">
          <w:rPr>
            <w:sz w:val="22"/>
            <w:szCs w:val="22"/>
          </w:rPr>
          <w:delText xml:space="preserve"> </w:delText>
        </w:r>
        <w:r w:rsidR="00985B74" w:rsidRPr="009C5EFD">
          <w:rPr>
            <w:sz w:val="22"/>
            <w:szCs w:val="22"/>
          </w:rPr>
          <w:delText xml:space="preserve">aksial spondylartritt uten radiografisk bekreftelse på ankyloserende spondylitt </w:delText>
        </w:r>
        <w:r w:rsidR="00047C52" w:rsidRPr="009C5EFD">
          <w:rPr>
            <w:sz w:val="22"/>
            <w:szCs w:val="22"/>
          </w:rPr>
          <w:delText xml:space="preserve">og psoriasisartritt </w:delText>
        </w:r>
        <w:r w:rsidRPr="009C5EFD">
          <w:rPr>
            <w:sz w:val="22"/>
            <w:szCs w:val="22"/>
          </w:rPr>
          <w:delText xml:space="preserve">er 40 mg adalimumab annenhver uke som en enkeltdose. </w:delText>
        </w:r>
      </w:del>
    </w:p>
    <w:p w14:paraId="68988CF5" w14:textId="48B5DD2D" w:rsidR="00241894" w:rsidRPr="009C5EFD" w:rsidRDefault="00241894" w:rsidP="009C5EFD">
      <w:pPr>
        <w:suppressAutoHyphens/>
        <w:rPr>
          <w:del w:id="15333" w:author="AbbVie02no" w:date="2025-05-15T14:21:00Z"/>
          <w:sz w:val="22"/>
          <w:szCs w:val="22"/>
        </w:rPr>
      </w:pPr>
    </w:p>
    <w:p w14:paraId="3F648545" w14:textId="6DA01A27" w:rsidR="00241894" w:rsidRPr="009C5EFD" w:rsidRDefault="00E453CD" w:rsidP="009C5EFD">
      <w:pPr>
        <w:suppressAutoHyphens/>
        <w:rPr>
          <w:del w:id="15334" w:author="AbbVie02no" w:date="2025-05-15T14:21:00Z"/>
          <w:sz w:val="22"/>
          <w:szCs w:val="22"/>
        </w:rPr>
      </w:pPr>
      <w:del w:id="15335" w:author="AbbVie02no" w:date="2025-05-15T14:21:00Z">
        <w:r w:rsidRPr="009C5EFD">
          <w:rPr>
            <w:sz w:val="22"/>
            <w:szCs w:val="22"/>
          </w:rPr>
          <w:delText xml:space="preserve">Ved revmatoid artritt fortsetter behandlingen med metotreksat mens du bruker Humira. Hvis </w:delText>
        </w:r>
        <w:r w:rsidR="002858DC">
          <w:rPr>
            <w:sz w:val="22"/>
            <w:szCs w:val="22"/>
          </w:rPr>
          <w:delText>legen din</w:delText>
        </w:r>
        <w:r w:rsidRPr="009C5EFD">
          <w:rPr>
            <w:sz w:val="22"/>
            <w:szCs w:val="22"/>
          </w:rPr>
          <w:delText xml:space="preserve"> vurderer at metotreksat ikke er egnet</w:delText>
        </w:r>
        <w:r w:rsidR="003A41E4" w:rsidRPr="009C5EFD">
          <w:rPr>
            <w:sz w:val="22"/>
            <w:szCs w:val="22"/>
          </w:rPr>
          <w:delText>,</w:delText>
        </w:r>
        <w:r w:rsidRPr="009C5EFD">
          <w:rPr>
            <w:sz w:val="22"/>
            <w:szCs w:val="22"/>
          </w:rPr>
          <w:delText xml:space="preserve"> kan Humira gis alene.</w:delText>
        </w:r>
      </w:del>
    </w:p>
    <w:p w14:paraId="0E5981FC" w14:textId="32184174" w:rsidR="00241894" w:rsidRPr="009C5EFD" w:rsidRDefault="00241894" w:rsidP="009C5EFD">
      <w:pPr>
        <w:suppressAutoHyphens/>
        <w:rPr>
          <w:del w:id="15336" w:author="AbbVie02no" w:date="2025-05-15T14:21:00Z"/>
          <w:sz w:val="22"/>
          <w:szCs w:val="22"/>
        </w:rPr>
      </w:pPr>
    </w:p>
    <w:p w14:paraId="1ADC52D4" w14:textId="42A0BF39" w:rsidR="00823F09" w:rsidRPr="009C5EFD" w:rsidRDefault="00E453CD" w:rsidP="009C5EFD">
      <w:pPr>
        <w:suppressAutoHyphens/>
        <w:rPr>
          <w:del w:id="15337" w:author="AbbVie02no" w:date="2025-05-15T14:21:00Z"/>
          <w:sz w:val="22"/>
          <w:szCs w:val="22"/>
        </w:rPr>
      </w:pPr>
      <w:del w:id="15338" w:author="AbbVie02no" w:date="2025-05-15T14:21:00Z">
        <w:r w:rsidRPr="009C5EFD">
          <w:rPr>
            <w:sz w:val="22"/>
            <w:szCs w:val="22"/>
          </w:rPr>
          <w:delText xml:space="preserve">Hvis du har revmatoid artritt og ikke får behandling med metotreksat mens du behandles med Humira, kan </w:delText>
        </w:r>
        <w:r w:rsidR="002858DC">
          <w:rPr>
            <w:sz w:val="22"/>
            <w:szCs w:val="22"/>
          </w:rPr>
          <w:delText>legen din</w:delText>
        </w:r>
        <w:r w:rsidRPr="009C5EFD">
          <w:rPr>
            <w:sz w:val="22"/>
            <w:szCs w:val="22"/>
          </w:rPr>
          <w:delText xml:space="preserve"> bestemme å gi deg 40</w:delText>
        </w:r>
        <w:r w:rsidR="00031EB6">
          <w:rPr>
            <w:sz w:val="22"/>
            <w:szCs w:val="22"/>
          </w:rPr>
          <w:delText> </w:delText>
        </w:r>
        <w:r w:rsidRPr="009C5EFD">
          <w:rPr>
            <w:sz w:val="22"/>
            <w:szCs w:val="22"/>
          </w:rPr>
          <w:delText>mg adalimumab hver uke</w:delText>
        </w:r>
        <w:r w:rsidR="00CC0DA9">
          <w:rPr>
            <w:sz w:val="22"/>
            <w:szCs w:val="22"/>
          </w:rPr>
          <w:delText xml:space="preserve"> eller 80</w:delText>
        </w:r>
        <w:r w:rsidR="00031EB6">
          <w:rPr>
            <w:sz w:val="22"/>
            <w:szCs w:val="22"/>
          </w:rPr>
          <w:delText> </w:delText>
        </w:r>
        <w:r w:rsidR="00CC0DA9">
          <w:rPr>
            <w:sz w:val="22"/>
            <w:szCs w:val="22"/>
          </w:rPr>
          <w:delText>mg annenhver uke</w:delText>
        </w:r>
        <w:r w:rsidRPr="009C5EFD">
          <w:rPr>
            <w:sz w:val="22"/>
            <w:szCs w:val="22"/>
          </w:rPr>
          <w:delText>.</w:delText>
        </w:r>
      </w:del>
    </w:p>
    <w:p w14:paraId="11623DED" w14:textId="2BD4C9A5" w:rsidR="00823F09" w:rsidRPr="009C5EFD" w:rsidRDefault="00823F09" w:rsidP="009C5EFD">
      <w:pPr>
        <w:suppressAutoHyphens/>
        <w:rPr>
          <w:del w:id="15339" w:author="AbbVie02no" w:date="2025-05-15T14:21:00Z"/>
          <w:sz w:val="22"/>
          <w:szCs w:val="22"/>
        </w:rPr>
      </w:pPr>
    </w:p>
    <w:p w14:paraId="00EE5557" w14:textId="07BD493F" w:rsidR="006634E6" w:rsidRPr="006634E6" w:rsidRDefault="00E453CD" w:rsidP="006634E6">
      <w:pPr>
        <w:keepNext/>
        <w:suppressAutoHyphens/>
        <w:rPr>
          <w:del w:id="15340" w:author="AbbVie02no" w:date="2025-05-15T14:21:00Z"/>
          <w:sz w:val="22"/>
          <w:szCs w:val="22"/>
          <w:u w:val="single"/>
        </w:rPr>
      </w:pPr>
      <w:del w:id="15341" w:author="AbbVie02no" w:date="2025-05-15T14:21:00Z">
        <w:r w:rsidRPr="006634E6">
          <w:rPr>
            <w:sz w:val="22"/>
            <w:szCs w:val="22"/>
            <w:u w:val="single"/>
          </w:rPr>
          <w:delText>Barn</w:delText>
        </w:r>
        <w:r>
          <w:rPr>
            <w:sz w:val="22"/>
            <w:szCs w:val="22"/>
            <w:u w:val="single"/>
          </w:rPr>
          <w:delText xml:space="preserve">, </w:delText>
        </w:r>
        <w:r w:rsidRPr="006634E6">
          <w:rPr>
            <w:sz w:val="22"/>
            <w:szCs w:val="22"/>
            <w:u w:val="single"/>
          </w:rPr>
          <w:delText xml:space="preserve">ungdom </w:delText>
        </w:r>
        <w:r>
          <w:rPr>
            <w:sz w:val="22"/>
            <w:szCs w:val="22"/>
            <w:u w:val="single"/>
          </w:rPr>
          <w:delText xml:space="preserve">og voksne </w:delText>
        </w:r>
        <w:r w:rsidRPr="006634E6">
          <w:rPr>
            <w:sz w:val="22"/>
            <w:szCs w:val="22"/>
            <w:u w:val="single"/>
          </w:rPr>
          <w:delText>med polyartikulær juvenil idiopatisk artritt</w:delText>
        </w:r>
      </w:del>
    </w:p>
    <w:p w14:paraId="524C8C79" w14:textId="03AFA9BE" w:rsidR="006634E6" w:rsidRPr="006634E6" w:rsidRDefault="006634E6" w:rsidP="006634E6">
      <w:pPr>
        <w:keepNext/>
        <w:suppressAutoHyphens/>
        <w:rPr>
          <w:del w:id="15342" w:author="AbbVie02no" w:date="2025-05-15T14:21:00Z"/>
          <w:sz w:val="22"/>
          <w:szCs w:val="22"/>
        </w:rPr>
      </w:pPr>
    </w:p>
    <w:p w14:paraId="5DB5DBB1" w14:textId="424EE31A" w:rsidR="006634E6" w:rsidRPr="006634E6" w:rsidRDefault="00E453CD" w:rsidP="006634E6">
      <w:pPr>
        <w:keepNext/>
        <w:suppressAutoHyphens/>
        <w:rPr>
          <w:del w:id="15343" w:author="AbbVie02no" w:date="2025-05-15T14:21:00Z"/>
          <w:i/>
          <w:sz w:val="22"/>
          <w:szCs w:val="22"/>
        </w:rPr>
      </w:pPr>
      <w:del w:id="15344" w:author="AbbVie02no" w:date="2025-05-15T14:21:00Z">
        <w:r w:rsidRPr="006634E6">
          <w:rPr>
            <w:i/>
            <w:sz w:val="22"/>
            <w:szCs w:val="22"/>
          </w:rPr>
          <w:delText xml:space="preserve">Barn og ungdom </w:delText>
        </w:r>
        <w:r w:rsidR="006A5138">
          <w:rPr>
            <w:i/>
            <w:sz w:val="22"/>
            <w:szCs w:val="22"/>
          </w:rPr>
          <w:delText>over</w:delText>
        </w:r>
        <w:r w:rsidRPr="006634E6">
          <w:rPr>
            <w:i/>
            <w:sz w:val="22"/>
            <w:szCs w:val="22"/>
          </w:rPr>
          <w:delText xml:space="preserve"> 2 år som veier 10 kg til </w:delText>
        </w:r>
        <w:r w:rsidR="00684DB9">
          <w:rPr>
            <w:i/>
            <w:sz w:val="22"/>
            <w:szCs w:val="22"/>
          </w:rPr>
          <w:delText>under</w:delText>
        </w:r>
        <w:r w:rsidRPr="006634E6">
          <w:rPr>
            <w:i/>
            <w:sz w:val="22"/>
            <w:szCs w:val="22"/>
          </w:rPr>
          <w:delText xml:space="preserve"> 30 kg</w:delText>
        </w:r>
      </w:del>
    </w:p>
    <w:p w14:paraId="24BA0386" w14:textId="676B3CBA" w:rsidR="006634E6" w:rsidRPr="006634E6" w:rsidRDefault="006634E6" w:rsidP="006634E6">
      <w:pPr>
        <w:keepNext/>
        <w:suppressAutoHyphens/>
        <w:rPr>
          <w:del w:id="15345" w:author="AbbVie02no" w:date="2025-05-15T14:21:00Z"/>
          <w:sz w:val="22"/>
          <w:szCs w:val="22"/>
          <w:u w:val="single"/>
        </w:rPr>
      </w:pPr>
    </w:p>
    <w:p w14:paraId="0F25E694" w14:textId="2934A3CA" w:rsidR="006634E6" w:rsidRPr="006634E6" w:rsidRDefault="00E453CD" w:rsidP="00776A84">
      <w:pPr>
        <w:suppressAutoHyphens/>
        <w:rPr>
          <w:del w:id="15346" w:author="AbbVie02no" w:date="2025-05-15T14:21:00Z"/>
          <w:sz w:val="22"/>
          <w:szCs w:val="22"/>
          <w:u w:val="single"/>
        </w:rPr>
      </w:pPr>
      <w:del w:id="15347" w:author="AbbVie02no" w:date="2025-05-15T14:21:00Z">
        <w:r w:rsidRPr="006634E6">
          <w:rPr>
            <w:sz w:val="22"/>
            <w:szCs w:val="22"/>
          </w:rPr>
          <w:delText>Anbefalt dose med Humira er 20 mg annenhver uke.</w:delText>
        </w:r>
      </w:del>
    </w:p>
    <w:p w14:paraId="3C0B6667" w14:textId="637C4476" w:rsidR="006634E6" w:rsidRPr="006634E6" w:rsidRDefault="006634E6" w:rsidP="00776A84">
      <w:pPr>
        <w:suppressAutoHyphens/>
        <w:rPr>
          <w:del w:id="15348" w:author="AbbVie02no" w:date="2025-05-15T14:21:00Z"/>
          <w:sz w:val="22"/>
          <w:szCs w:val="22"/>
          <w:u w:val="single"/>
        </w:rPr>
      </w:pPr>
    </w:p>
    <w:p w14:paraId="1C643E75" w14:textId="2913C214" w:rsidR="006634E6" w:rsidRPr="00AB7697" w:rsidRDefault="00E453CD" w:rsidP="006634E6">
      <w:pPr>
        <w:keepNext/>
        <w:suppressAutoHyphens/>
        <w:rPr>
          <w:del w:id="15349" w:author="AbbVie02no" w:date="2025-05-15T14:21:00Z"/>
          <w:i/>
          <w:sz w:val="22"/>
          <w:szCs w:val="22"/>
        </w:rPr>
      </w:pPr>
      <w:del w:id="15350" w:author="AbbVie02no" w:date="2025-05-15T14:21:00Z">
        <w:r w:rsidRPr="00D22D58">
          <w:rPr>
            <w:i/>
            <w:sz w:val="22"/>
            <w:szCs w:val="22"/>
          </w:rPr>
          <w:delText>Barn</w:delText>
        </w:r>
        <w:r>
          <w:rPr>
            <w:i/>
            <w:sz w:val="22"/>
            <w:szCs w:val="22"/>
          </w:rPr>
          <w:delText>,</w:delText>
        </w:r>
        <w:r w:rsidRPr="00D22D58">
          <w:rPr>
            <w:i/>
            <w:sz w:val="22"/>
            <w:szCs w:val="22"/>
          </w:rPr>
          <w:delText xml:space="preserve"> ungdom </w:delText>
        </w:r>
        <w:r>
          <w:rPr>
            <w:i/>
            <w:sz w:val="22"/>
            <w:szCs w:val="22"/>
          </w:rPr>
          <w:delText xml:space="preserve">og voksne </w:delText>
        </w:r>
        <w:r w:rsidR="006A5138">
          <w:rPr>
            <w:i/>
            <w:sz w:val="22"/>
            <w:szCs w:val="22"/>
          </w:rPr>
          <w:delText>over</w:delText>
        </w:r>
        <w:r w:rsidRPr="00D22D58">
          <w:rPr>
            <w:i/>
            <w:sz w:val="22"/>
            <w:szCs w:val="22"/>
          </w:rPr>
          <w:delText xml:space="preserve"> 2 år som veier 30 kg </w:delText>
        </w:r>
        <w:r>
          <w:rPr>
            <w:i/>
            <w:sz w:val="22"/>
            <w:szCs w:val="22"/>
          </w:rPr>
          <w:delText>eller mer</w:delText>
        </w:r>
      </w:del>
    </w:p>
    <w:p w14:paraId="4CBCDB74" w14:textId="76094A09" w:rsidR="006634E6" w:rsidRPr="00AB7697" w:rsidRDefault="006634E6" w:rsidP="006634E6">
      <w:pPr>
        <w:keepNext/>
        <w:suppressAutoHyphens/>
        <w:rPr>
          <w:del w:id="15351" w:author="AbbVie02no" w:date="2025-05-15T14:21:00Z"/>
          <w:i/>
          <w:sz w:val="22"/>
          <w:szCs w:val="22"/>
        </w:rPr>
      </w:pPr>
    </w:p>
    <w:p w14:paraId="043BDFE3" w14:textId="4E5EAF61" w:rsidR="006634E6" w:rsidRPr="006634E6" w:rsidRDefault="00E453CD" w:rsidP="00776A84">
      <w:pPr>
        <w:suppressAutoHyphens/>
        <w:rPr>
          <w:del w:id="15352" w:author="AbbVie02no" w:date="2025-05-15T14:21:00Z"/>
          <w:sz w:val="22"/>
          <w:szCs w:val="22"/>
        </w:rPr>
      </w:pPr>
      <w:del w:id="15353" w:author="AbbVie02no" w:date="2025-05-15T14:21:00Z">
        <w:r w:rsidRPr="006634E6">
          <w:rPr>
            <w:sz w:val="22"/>
            <w:szCs w:val="22"/>
          </w:rPr>
          <w:delText>Anbefalt dose med Humira er 40 mg annenhver uke.</w:delText>
        </w:r>
      </w:del>
    </w:p>
    <w:p w14:paraId="0808CCC7" w14:textId="217AEA77" w:rsidR="006634E6" w:rsidRPr="006634E6" w:rsidRDefault="006634E6" w:rsidP="006634E6">
      <w:pPr>
        <w:suppressAutoHyphens/>
        <w:rPr>
          <w:del w:id="15354" w:author="AbbVie02no" w:date="2025-05-15T14:21:00Z"/>
          <w:sz w:val="22"/>
          <w:szCs w:val="22"/>
        </w:rPr>
      </w:pPr>
    </w:p>
    <w:p w14:paraId="54A4A271" w14:textId="1F566987" w:rsidR="006634E6" w:rsidRPr="006634E6" w:rsidRDefault="00E453CD" w:rsidP="00776A84">
      <w:pPr>
        <w:keepNext/>
        <w:suppressAutoHyphens/>
        <w:rPr>
          <w:del w:id="15355" w:author="AbbVie02no" w:date="2025-05-15T14:21:00Z"/>
          <w:sz w:val="22"/>
          <w:szCs w:val="22"/>
          <w:u w:val="single"/>
        </w:rPr>
      </w:pPr>
      <w:del w:id="15356" w:author="AbbVie02no" w:date="2025-05-15T14:21:00Z">
        <w:r w:rsidRPr="006634E6">
          <w:rPr>
            <w:sz w:val="22"/>
            <w:szCs w:val="22"/>
            <w:u w:val="single"/>
          </w:rPr>
          <w:delText>Barn, ungdom og voksne med entesittrelatert artritt</w:delText>
        </w:r>
      </w:del>
    </w:p>
    <w:p w14:paraId="4AF8B313" w14:textId="511B1A90" w:rsidR="006634E6" w:rsidRPr="006634E6" w:rsidRDefault="006634E6" w:rsidP="00776A84">
      <w:pPr>
        <w:keepNext/>
        <w:suppressAutoHyphens/>
        <w:rPr>
          <w:del w:id="15357" w:author="AbbVie02no" w:date="2025-05-15T14:21:00Z"/>
          <w:sz w:val="22"/>
          <w:szCs w:val="22"/>
        </w:rPr>
      </w:pPr>
    </w:p>
    <w:p w14:paraId="41FABA91" w14:textId="690B8EC0" w:rsidR="006634E6" w:rsidRPr="006634E6" w:rsidRDefault="00E453CD" w:rsidP="006634E6">
      <w:pPr>
        <w:keepNext/>
        <w:numPr>
          <w:ilvl w:val="12"/>
          <w:numId w:val="0"/>
        </w:numPr>
        <w:tabs>
          <w:tab w:val="left" w:pos="720"/>
        </w:tabs>
        <w:suppressAutoHyphens/>
        <w:rPr>
          <w:del w:id="15358" w:author="AbbVie02no" w:date="2025-05-15T14:21:00Z"/>
          <w:i/>
          <w:sz w:val="22"/>
        </w:rPr>
      </w:pPr>
      <w:del w:id="15359" w:author="AbbVie02no" w:date="2025-05-15T14:21:00Z">
        <w:r w:rsidRPr="006634E6">
          <w:rPr>
            <w:i/>
            <w:sz w:val="22"/>
          </w:rPr>
          <w:delText xml:space="preserve">Barn og ungdom </w:delText>
        </w:r>
        <w:r w:rsidR="006A5138">
          <w:rPr>
            <w:i/>
            <w:sz w:val="22"/>
          </w:rPr>
          <w:delText>over</w:delText>
        </w:r>
        <w:r w:rsidRPr="006634E6">
          <w:rPr>
            <w:i/>
            <w:sz w:val="22"/>
          </w:rPr>
          <w:delText xml:space="preserve"> 6 år som veier 15 kg til </w:delText>
        </w:r>
        <w:r w:rsidR="00684DB9">
          <w:rPr>
            <w:i/>
            <w:sz w:val="22"/>
          </w:rPr>
          <w:delText>under</w:delText>
        </w:r>
        <w:r w:rsidRPr="006634E6">
          <w:rPr>
            <w:i/>
            <w:sz w:val="22"/>
          </w:rPr>
          <w:delText xml:space="preserve"> 30 kg</w:delText>
        </w:r>
      </w:del>
    </w:p>
    <w:p w14:paraId="4AD41E46" w14:textId="7B705129" w:rsidR="006634E6" w:rsidRPr="006634E6" w:rsidRDefault="006634E6" w:rsidP="006634E6">
      <w:pPr>
        <w:keepNext/>
        <w:numPr>
          <w:ilvl w:val="12"/>
          <w:numId w:val="0"/>
        </w:numPr>
        <w:tabs>
          <w:tab w:val="left" w:pos="720"/>
        </w:tabs>
        <w:suppressAutoHyphens/>
        <w:rPr>
          <w:del w:id="15360" w:author="AbbVie02no" w:date="2025-05-15T14:21:00Z"/>
          <w:sz w:val="22"/>
          <w:u w:val="single"/>
        </w:rPr>
      </w:pPr>
    </w:p>
    <w:p w14:paraId="469A35DA" w14:textId="666A49E8" w:rsidR="006634E6" w:rsidRPr="006634E6" w:rsidRDefault="00E453CD" w:rsidP="00776A84">
      <w:pPr>
        <w:numPr>
          <w:ilvl w:val="12"/>
          <w:numId w:val="0"/>
        </w:numPr>
        <w:tabs>
          <w:tab w:val="left" w:pos="720"/>
        </w:tabs>
        <w:suppressAutoHyphens/>
        <w:rPr>
          <w:del w:id="15361" w:author="AbbVie02no" w:date="2025-05-15T14:21:00Z"/>
          <w:sz w:val="22"/>
          <w:u w:val="single"/>
        </w:rPr>
      </w:pPr>
      <w:del w:id="15362" w:author="AbbVie02no" w:date="2025-05-15T14:21:00Z">
        <w:r w:rsidRPr="006634E6">
          <w:rPr>
            <w:sz w:val="22"/>
            <w:szCs w:val="22"/>
          </w:rPr>
          <w:delText>Anbefalt dose med Humira er 20 mg annenhver uke.</w:delText>
        </w:r>
      </w:del>
    </w:p>
    <w:p w14:paraId="2510BE8B" w14:textId="16A23B8D" w:rsidR="006634E6" w:rsidRPr="006634E6" w:rsidRDefault="006634E6" w:rsidP="00776A84">
      <w:pPr>
        <w:numPr>
          <w:ilvl w:val="12"/>
          <w:numId w:val="0"/>
        </w:numPr>
        <w:tabs>
          <w:tab w:val="left" w:pos="720"/>
        </w:tabs>
        <w:suppressAutoHyphens/>
        <w:rPr>
          <w:del w:id="15363" w:author="AbbVie02no" w:date="2025-05-15T14:21:00Z"/>
          <w:sz w:val="22"/>
          <w:u w:val="single"/>
        </w:rPr>
      </w:pPr>
    </w:p>
    <w:p w14:paraId="0E6AA5E1" w14:textId="2306B64D" w:rsidR="006634E6" w:rsidRPr="006634E6" w:rsidRDefault="00E453CD" w:rsidP="006634E6">
      <w:pPr>
        <w:keepNext/>
        <w:numPr>
          <w:ilvl w:val="12"/>
          <w:numId w:val="0"/>
        </w:numPr>
        <w:tabs>
          <w:tab w:val="left" w:pos="720"/>
        </w:tabs>
        <w:suppressAutoHyphens/>
        <w:rPr>
          <w:del w:id="15364" w:author="AbbVie02no" w:date="2025-05-15T14:21:00Z"/>
          <w:i/>
          <w:sz w:val="22"/>
        </w:rPr>
      </w:pPr>
      <w:del w:id="15365" w:author="AbbVie02no" w:date="2025-05-15T14:21:00Z">
        <w:r w:rsidRPr="006634E6">
          <w:rPr>
            <w:i/>
            <w:sz w:val="22"/>
          </w:rPr>
          <w:delText xml:space="preserve">Barn, ungdom og voksne </w:delText>
        </w:r>
        <w:r w:rsidR="006A5138">
          <w:rPr>
            <w:i/>
            <w:sz w:val="22"/>
          </w:rPr>
          <w:delText>over</w:delText>
        </w:r>
        <w:r w:rsidRPr="006634E6">
          <w:rPr>
            <w:i/>
            <w:sz w:val="22"/>
          </w:rPr>
          <w:delText xml:space="preserve"> 6 år som veier 30 kg eller mer</w:delText>
        </w:r>
      </w:del>
    </w:p>
    <w:p w14:paraId="2C6A51E0" w14:textId="538C7034" w:rsidR="006634E6" w:rsidRPr="006634E6" w:rsidRDefault="006634E6" w:rsidP="006634E6">
      <w:pPr>
        <w:keepNext/>
        <w:numPr>
          <w:ilvl w:val="12"/>
          <w:numId w:val="0"/>
        </w:numPr>
        <w:tabs>
          <w:tab w:val="left" w:pos="720"/>
        </w:tabs>
        <w:suppressAutoHyphens/>
        <w:rPr>
          <w:del w:id="15366" w:author="AbbVie02no" w:date="2025-05-15T14:21:00Z"/>
          <w:sz w:val="22"/>
        </w:rPr>
      </w:pPr>
    </w:p>
    <w:p w14:paraId="05D3CD81" w14:textId="74B8A502" w:rsidR="00FD18AB" w:rsidRPr="009C5EFD" w:rsidRDefault="00E453CD" w:rsidP="009C5EFD">
      <w:pPr>
        <w:suppressAutoHyphens/>
        <w:rPr>
          <w:del w:id="15367" w:author="AbbVie02no" w:date="2025-05-15T14:21:00Z"/>
          <w:sz w:val="22"/>
          <w:szCs w:val="22"/>
        </w:rPr>
      </w:pPr>
      <w:del w:id="15368" w:author="AbbVie02no" w:date="2025-05-15T14:21:00Z">
        <w:r w:rsidRPr="006634E6">
          <w:rPr>
            <w:sz w:val="22"/>
            <w:szCs w:val="22"/>
          </w:rPr>
          <w:delText xml:space="preserve">Anbefalt dose med Humira er </w:delText>
        </w:r>
        <w:r w:rsidRPr="006634E6">
          <w:rPr>
            <w:sz w:val="22"/>
          </w:rPr>
          <w:delText>40 mg annenhver uke.</w:delText>
        </w:r>
      </w:del>
    </w:p>
    <w:p w14:paraId="297F7A26" w14:textId="6A9F45CB" w:rsidR="00823F09" w:rsidRPr="009C5EFD" w:rsidRDefault="00823F09" w:rsidP="009C5EFD">
      <w:pPr>
        <w:suppressAutoHyphens/>
        <w:rPr>
          <w:del w:id="15369" w:author="AbbVie02no" w:date="2025-05-15T14:21:00Z"/>
          <w:sz w:val="22"/>
          <w:szCs w:val="22"/>
        </w:rPr>
      </w:pPr>
    </w:p>
    <w:p w14:paraId="1A7DC4B2" w14:textId="33085143" w:rsidR="00823F09" w:rsidRPr="009C5EFD" w:rsidRDefault="00E453CD" w:rsidP="00AF70AD">
      <w:pPr>
        <w:keepNext/>
        <w:suppressAutoHyphens/>
        <w:rPr>
          <w:del w:id="15370" w:author="AbbVie02no" w:date="2025-05-15T14:21:00Z"/>
          <w:sz w:val="22"/>
          <w:szCs w:val="22"/>
          <w:u w:val="single"/>
        </w:rPr>
      </w:pPr>
      <w:del w:id="15371" w:author="AbbVie02no" w:date="2025-05-15T14:21:00Z">
        <w:r w:rsidRPr="009C5EFD">
          <w:rPr>
            <w:sz w:val="22"/>
            <w:szCs w:val="22"/>
            <w:u w:val="single"/>
          </w:rPr>
          <w:delText>Voksne med psoriasis</w:delText>
        </w:r>
      </w:del>
    </w:p>
    <w:p w14:paraId="65EF9FAD" w14:textId="612246B0" w:rsidR="00C2417B" w:rsidRPr="009C5EFD" w:rsidRDefault="00C2417B" w:rsidP="00AF70AD">
      <w:pPr>
        <w:keepNext/>
        <w:suppressAutoHyphens/>
        <w:rPr>
          <w:del w:id="15372" w:author="AbbVie02no" w:date="2025-05-15T14:21:00Z"/>
          <w:sz w:val="22"/>
          <w:szCs w:val="22"/>
        </w:rPr>
      </w:pPr>
    </w:p>
    <w:p w14:paraId="34CDA6D6" w14:textId="2D8C0472" w:rsidR="008C5F7C" w:rsidRPr="009C5EFD" w:rsidRDefault="00E453CD" w:rsidP="009C5EFD">
      <w:pPr>
        <w:suppressAutoHyphens/>
        <w:rPr>
          <w:del w:id="15373" w:author="AbbVie02no" w:date="2025-05-15T14:21:00Z"/>
          <w:sz w:val="22"/>
          <w:szCs w:val="22"/>
        </w:rPr>
      </w:pPr>
      <w:del w:id="15374" w:author="AbbVie02no" w:date="2025-05-15T14:21:00Z">
        <w:r w:rsidRPr="009C5EFD">
          <w:rPr>
            <w:sz w:val="22"/>
            <w:szCs w:val="22"/>
          </w:rPr>
          <w:delText xml:space="preserve">Den vanlige dosen for voksne pasienter med psoriasis er en </w:delText>
        </w:r>
        <w:r w:rsidR="004B0DF8">
          <w:rPr>
            <w:sz w:val="22"/>
            <w:szCs w:val="22"/>
          </w:rPr>
          <w:delText>start</w:delText>
        </w:r>
        <w:r w:rsidRPr="009C5EFD">
          <w:rPr>
            <w:sz w:val="22"/>
            <w:szCs w:val="22"/>
          </w:rPr>
          <w:delText>dose på 80</w:delText>
        </w:r>
        <w:r w:rsidR="00031EB6">
          <w:rPr>
            <w:sz w:val="22"/>
            <w:szCs w:val="22"/>
          </w:rPr>
          <w:delText> </w:delText>
        </w:r>
        <w:r w:rsidRPr="009C5EFD">
          <w:rPr>
            <w:sz w:val="22"/>
            <w:szCs w:val="22"/>
          </w:rPr>
          <w:delText>mg</w:delText>
        </w:r>
        <w:r w:rsidR="006634E6">
          <w:rPr>
            <w:sz w:val="22"/>
            <w:szCs w:val="22"/>
          </w:rPr>
          <w:delText xml:space="preserve"> (som </w:delText>
        </w:r>
        <w:r w:rsidR="00CC0DA9">
          <w:rPr>
            <w:sz w:val="22"/>
            <w:szCs w:val="22"/>
          </w:rPr>
          <w:delText>to 40</w:delText>
        </w:r>
        <w:r w:rsidR="00031EB6">
          <w:rPr>
            <w:sz w:val="22"/>
            <w:szCs w:val="22"/>
          </w:rPr>
          <w:delText> </w:delText>
        </w:r>
        <w:r w:rsidR="00CC0DA9">
          <w:rPr>
            <w:sz w:val="22"/>
            <w:szCs w:val="22"/>
          </w:rPr>
          <w:delText xml:space="preserve">mg </w:delText>
        </w:r>
        <w:r w:rsidR="006634E6">
          <w:rPr>
            <w:sz w:val="22"/>
            <w:szCs w:val="22"/>
          </w:rPr>
          <w:delText>injeksjoner på en dag)</w:delText>
        </w:r>
        <w:r w:rsidR="006F09CB" w:rsidRPr="009C5EFD">
          <w:rPr>
            <w:sz w:val="22"/>
            <w:szCs w:val="22"/>
          </w:rPr>
          <w:delText>,</w:delText>
        </w:r>
        <w:r w:rsidRPr="009C5EFD">
          <w:rPr>
            <w:sz w:val="22"/>
            <w:szCs w:val="22"/>
          </w:rPr>
          <w:delText xml:space="preserve"> etterfulgt av 40</w:delText>
        </w:r>
        <w:r w:rsidR="00031EB6">
          <w:rPr>
            <w:sz w:val="22"/>
            <w:szCs w:val="22"/>
          </w:rPr>
          <w:delText> </w:delText>
        </w:r>
        <w:r w:rsidRPr="009C5EFD">
          <w:rPr>
            <w:sz w:val="22"/>
            <w:szCs w:val="22"/>
          </w:rPr>
          <w:delText xml:space="preserve">mg annenhver uke som starter en uke etter den første dosen. Du bør fortsette med injeksjoner av Humira så lenge </w:delText>
        </w:r>
        <w:r w:rsidR="006F09CB" w:rsidRPr="009C5EFD">
          <w:rPr>
            <w:sz w:val="22"/>
            <w:szCs w:val="22"/>
          </w:rPr>
          <w:delText xml:space="preserve">som </w:delText>
        </w:r>
        <w:r w:rsidRPr="009C5EFD">
          <w:rPr>
            <w:sz w:val="22"/>
            <w:szCs w:val="22"/>
          </w:rPr>
          <w:delText>legen har gitt beskjed om.</w:delText>
        </w:r>
        <w:r w:rsidR="002774DF">
          <w:rPr>
            <w:sz w:val="22"/>
            <w:szCs w:val="22"/>
          </w:rPr>
          <w:delText xml:space="preserve"> </w:delText>
        </w:r>
        <w:r w:rsidR="002774DF" w:rsidRPr="002774DF">
          <w:rPr>
            <w:sz w:val="22"/>
            <w:szCs w:val="22"/>
          </w:rPr>
          <w:delText>Legen din kan øke dosering</w:delText>
        </w:r>
        <w:r w:rsidR="00CC0DA9">
          <w:rPr>
            <w:sz w:val="22"/>
            <w:szCs w:val="22"/>
          </w:rPr>
          <w:delText>en</w:delText>
        </w:r>
        <w:r w:rsidR="002774DF" w:rsidRPr="002774DF">
          <w:rPr>
            <w:sz w:val="22"/>
            <w:szCs w:val="22"/>
          </w:rPr>
          <w:delText xml:space="preserve"> til 40</w:delText>
        </w:r>
        <w:r w:rsidR="00031EB6">
          <w:rPr>
            <w:sz w:val="22"/>
            <w:szCs w:val="22"/>
          </w:rPr>
          <w:delText> </w:delText>
        </w:r>
        <w:r w:rsidR="002774DF" w:rsidRPr="002774DF">
          <w:rPr>
            <w:sz w:val="22"/>
            <w:szCs w:val="22"/>
          </w:rPr>
          <w:delText xml:space="preserve">mg hver uke </w:delText>
        </w:r>
        <w:r w:rsidR="00CC0DA9">
          <w:rPr>
            <w:sz w:val="22"/>
            <w:szCs w:val="22"/>
          </w:rPr>
          <w:delText>eller 80</w:delText>
        </w:r>
        <w:r w:rsidR="00031EB6">
          <w:rPr>
            <w:sz w:val="22"/>
            <w:szCs w:val="22"/>
          </w:rPr>
          <w:delText> </w:delText>
        </w:r>
        <w:r w:rsidR="00CC0DA9">
          <w:rPr>
            <w:sz w:val="22"/>
            <w:szCs w:val="22"/>
          </w:rPr>
          <w:delText xml:space="preserve">mg annenhver uke </w:delText>
        </w:r>
        <w:r w:rsidR="002774DF" w:rsidRPr="002774DF">
          <w:rPr>
            <w:sz w:val="22"/>
            <w:szCs w:val="22"/>
          </w:rPr>
          <w:delText>avhengig av din respons.</w:delText>
        </w:r>
      </w:del>
    </w:p>
    <w:p w14:paraId="5086244D" w14:textId="6F936234" w:rsidR="008C5F7C" w:rsidRPr="009C5EFD" w:rsidRDefault="008C5F7C" w:rsidP="009C5EFD">
      <w:pPr>
        <w:suppressAutoHyphens/>
        <w:rPr>
          <w:del w:id="15375" w:author="AbbVie02no" w:date="2025-05-15T14:21:00Z"/>
          <w:sz w:val="22"/>
          <w:szCs w:val="22"/>
        </w:rPr>
      </w:pPr>
    </w:p>
    <w:p w14:paraId="452B7F88" w14:textId="486BB699" w:rsidR="00671839" w:rsidRPr="003A3547" w:rsidRDefault="00E453CD" w:rsidP="00AF70AD">
      <w:pPr>
        <w:pStyle w:val="BodyText3"/>
        <w:keepNext/>
        <w:tabs>
          <w:tab w:val="clear" w:pos="-720"/>
        </w:tabs>
        <w:rPr>
          <w:del w:id="15376" w:author="AbbVie02no" w:date="2025-05-15T14:21:00Z"/>
          <w:b w:val="0"/>
          <w:szCs w:val="22"/>
          <w:u w:val="single"/>
          <w:lang w:val="nb-NO"/>
        </w:rPr>
      </w:pPr>
      <w:del w:id="15377" w:author="AbbVie02no" w:date="2025-05-15T14:21:00Z">
        <w:r w:rsidRPr="003A3547">
          <w:rPr>
            <w:b w:val="0"/>
            <w:szCs w:val="22"/>
            <w:u w:val="single"/>
            <w:lang w:val="nb-NO"/>
          </w:rPr>
          <w:lastRenderedPageBreak/>
          <w:delText xml:space="preserve">Barn og ungdom med </w:delText>
        </w:r>
        <w:r w:rsidR="00771D63">
          <w:rPr>
            <w:b w:val="0"/>
            <w:szCs w:val="22"/>
            <w:u w:val="single"/>
            <w:lang w:val="nb-NO"/>
          </w:rPr>
          <w:delText>plakk</w:delText>
        </w:r>
        <w:r w:rsidRPr="003A3547">
          <w:rPr>
            <w:b w:val="0"/>
            <w:szCs w:val="22"/>
            <w:u w:val="single"/>
            <w:lang w:val="nb-NO"/>
          </w:rPr>
          <w:delText>psoriasis</w:delText>
        </w:r>
      </w:del>
    </w:p>
    <w:p w14:paraId="30C84AEA" w14:textId="6748EB7D" w:rsidR="00671839" w:rsidRPr="003A3547" w:rsidRDefault="00671839" w:rsidP="00AF70AD">
      <w:pPr>
        <w:pStyle w:val="BodyText3"/>
        <w:keepNext/>
        <w:tabs>
          <w:tab w:val="clear" w:pos="-720"/>
        </w:tabs>
        <w:rPr>
          <w:del w:id="15378" w:author="AbbVie02no" w:date="2025-05-15T14:21:00Z"/>
          <w:szCs w:val="22"/>
          <w:lang w:val="nb-NO"/>
        </w:rPr>
      </w:pPr>
    </w:p>
    <w:p w14:paraId="0EEEC9EE" w14:textId="638FF493" w:rsidR="00671839" w:rsidRPr="00AB7697" w:rsidRDefault="00E453CD" w:rsidP="00776A84">
      <w:pPr>
        <w:keepNext/>
        <w:numPr>
          <w:ilvl w:val="12"/>
          <w:numId w:val="0"/>
        </w:numPr>
        <w:tabs>
          <w:tab w:val="left" w:pos="1590"/>
        </w:tabs>
        <w:rPr>
          <w:del w:id="15379" w:author="AbbVie02no" w:date="2025-05-15T14:21:00Z"/>
          <w:sz w:val="22"/>
          <w:szCs w:val="22"/>
          <w:u w:val="single"/>
        </w:rPr>
      </w:pPr>
      <w:del w:id="15380" w:author="AbbVie02no" w:date="2025-05-15T14:21:00Z">
        <w:r w:rsidRPr="00AB7697">
          <w:rPr>
            <w:i/>
            <w:sz w:val="22"/>
            <w:szCs w:val="22"/>
          </w:rPr>
          <w:delText xml:space="preserve">Barn og ungdom fra 4 til 17 år som veier 15 kg til </w:delText>
        </w:r>
        <w:r w:rsidR="00684DB9" w:rsidRPr="00AB7697">
          <w:rPr>
            <w:i/>
            <w:sz w:val="22"/>
            <w:szCs w:val="22"/>
          </w:rPr>
          <w:delText>under</w:delText>
        </w:r>
        <w:r w:rsidRPr="00AB7697">
          <w:rPr>
            <w:i/>
            <w:sz w:val="22"/>
            <w:szCs w:val="22"/>
          </w:rPr>
          <w:delText xml:space="preserve"> 30 kg</w:delText>
        </w:r>
      </w:del>
    </w:p>
    <w:p w14:paraId="79C5578B" w14:textId="24A68911" w:rsidR="00671839" w:rsidRPr="00D22D58" w:rsidRDefault="00671839" w:rsidP="00776A84">
      <w:pPr>
        <w:keepNext/>
        <w:numPr>
          <w:ilvl w:val="12"/>
          <w:numId w:val="0"/>
        </w:numPr>
        <w:rPr>
          <w:del w:id="15381" w:author="AbbVie02no" w:date="2025-05-15T14:21:00Z"/>
        </w:rPr>
      </w:pPr>
    </w:p>
    <w:p w14:paraId="22BC7685" w14:textId="25F2D531" w:rsidR="00671839" w:rsidRPr="00AB7697" w:rsidRDefault="00E453CD" w:rsidP="00671839">
      <w:pPr>
        <w:numPr>
          <w:ilvl w:val="12"/>
          <w:numId w:val="0"/>
        </w:numPr>
        <w:tabs>
          <w:tab w:val="left" w:pos="720"/>
        </w:tabs>
        <w:ind w:right="-2"/>
        <w:rPr>
          <w:del w:id="15382" w:author="AbbVie02no" w:date="2025-05-15T14:21:00Z"/>
          <w:sz w:val="22"/>
          <w:szCs w:val="22"/>
        </w:rPr>
      </w:pPr>
      <w:del w:id="15383" w:author="AbbVie02no" w:date="2025-05-15T14:21:00Z">
        <w:r w:rsidRPr="00AB7697">
          <w:rPr>
            <w:sz w:val="22"/>
            <w:szCs w:val="22"/>
          </w:rPr>
          <w:delText>Den anbefalte dosen av Humira er en dose på 20 mg ved oppstart, etterfulgt av 20 mg en uke senere. Deretter er vanlig dose 20 mg annenhver uke.</w:delText>
        </w:r>
      </w:del>
    </w:p>
    <w:p w14:paraId="331B8C15" w14:textId="6FE9896C" w:rsidR="00671839" w:rsidRPr="00D22D58" w:rsidRDefault="00671839" w:rsidP="00671839">
      <w:pPr>
        <w:numPr>
          <w:ilvl w:val="12"/>
          <w:numId w:val="0"/>
        </w:numPr>
        <w:tabs>
          <w:tab w:val="left" w:pos="720"/>
        </w:tabs>
        <w:ind w:right="-2"/>
        <w:rPr>
          <w:del w:id="15384" w:author="AbbVie02no" w:date="2025-05-15T14:21:00Z"/>
        </w:rPr>
      </w:pPr>
    </w:p>
    <w:p w14:paraId="42D9CB35" w14:textId="4602E32A" w:rsidR="00671839" w:rsidRPr="00AB7697" w:rsidRDefault="00E453CD" w:rsidP="00776A84">
      <w:pPr>
        <w:keepNext/>
        <w:numPr>
          <w:ilvl w:val="12"/>
          <w:numId w:val="0"/>
        </w:numPr>
        <w:tabs>
          <w:tab w:val="left" w:pos="720"/>
        </w:tabs>
        <w:rPr>
          <w:del w:id="15385" w:author="AbbVie02no" w:date="2025-05-15T14:21:00Z"/>
          <w:i/>
          <w:sz w:val="22"/>
          <w:szCs w:val="22"/>
        </w:rPr>
      </w:pPr>
      <w:del w:id="15386" w:author="AbbVie02no" w:date="2025-05-15T14:21:00Z">
        <w:r w:rsidRPr="00AB7697">
          <w:rPr>
            <w:i/>
            <w:sz w:val="22"/>
            <w:szCs w:val="22"/>
          </w:rPr>
          <w:delText>Barn og ungdom fra 4 til 17 år som veier 30 kg eller mer</w:delText>
        </w:r>
      </w:del>
    </w:p>
    <w:p w14:paraId="38559855" w14:textId="77D18FCE" w:rsidR="00671839" w:rsidRPr="00D22D58" w:rsidRDefault="00671839" w:rsidP="00776A84">
      <w:pPr>
        <w:keepNext/>
        <w:numPr>
          <w:ilvl w:val="12"/>
          <w:numId w:val="0"/>
        </w:numPr>
        <w:tabs>
          <w:tab w:val="left" w:pos="720"/>
        </w:tabs>
        <w:rPr>
          <w:del w:id="15387" w:author="AbbVie02no" w:date="2025-05-15T14:21:00Z"/>
        </w:rPr>
      </w:pPr>
    </w:p>
    <w:p w14:paraId="46C1B3D2" w14:textId="7831BB95" w:rsidR="000739C0" w:rsidRPr="007250BA" w:rsidRDefault="00E453CD" w:rsidP="009C5EFD">
      <w:pPr>
        <w:suppressAutoHyphens/>
        <w:rPr>
          <w:del w:id="15388" w:author="AbbVie02no" w:date="2025-05-15T14:21:00Z"/>
          <w:sz w:val="22"/>
          <w:szCs w:val="22"/>
        </w:rPr>
      </w:pPr>
      <w:del w:id="15389" w:author="AbbVie02no" w:date="2025-05-15T14:21:00Z">
        <w:r w:rsidRPr="00AF70AD">
          <w:rPr>
            <w:sz w:val="22"/>
            <w:szCs w:val="22"/>
          </w:rPr>
          <w:delText>Den anbefalte dosen av Humira er en dose på 40 mg ved oppstart, etterfulgt av 40 mg en uke senere. Deretter er vanlig dose 40 mg annenhver uke.</w:delText>
        </w:r>
      </w:del>
    </w:p>
    <w:p w14:paraId="101C48F2" w14:textId="26F62E94" w:rsidR="000739C0" w:rsidRPr="009C5EFD" w:rsidRDefault="000739C0" w:rsidP="009C5EFD">
      <w:pPr>
        <w:suppressAutoHyphens/>
        <w:rPr>
          <w:del w:id="15390" w:author="AbbVie02no" w:date="2025-05-15T14:21:00Z"/>
          <w:sz w:val="22"/>
          <w:szCs w:val="22"/>
        </w:rPr>
      </w:pPr>
    </w:p>
    <w:p w14:paraId="28273499" w14:textId="439FFFE0" w:rsidR="00017ADA" w:rsidRPr="009C5EFD" w:rsidRDefault="00E453CD" w:rsidP="00AF70AD">
      <w:pPr>
        <w:keepNext/>
        <w:autoSpaceDE w:val="0"/>
        <w:autoSpaceDN w:val="0"/>
        <w:adjustRightInd w:val="0"/>
        <w:rPr>
          <w:del w:id="15391" w:author="AbbVie02no" w:date="2025-05-15T14:21:00Z"/>
          <w:rFonts w:eastAsia="TimesNewRoman"/>
          <w:sz w:val="22"/>
          <w:szCs w:val="22"/>
          <w:u w:val="single"/>
        </w:rPr>
      </w:pPr>
      <w:del w:id="15392" w:author="AbbVie02no" w:date="2025-05-15T14:21:00Z">
        <w:r w:rsidRPr="009C5EFD">
          <w:rPr>
            <w:rFonts w:eastAsia="TimesNewRoman"/>
            <w:sz w:val="22"/>
            <w:szCs w:val="22"/>
            <w:u w:val="single"/>
          </w:rPr>
          <w:delText xml:space="preserve">Voksne med </w:delText>
        </w:r>
        <w:r w:rsidR="007F67EE" w:rsidRPr="009C5EFD">
          <w:rPr>
            <w:rFonts w:eastAsia="TimesNewRoman"/>
            <w:sz w:val="22"/>
            <w:szCs w:val="22"/>
            <w:u w:val="single"/>
          </w:rPr>
          <w:delText>hidrosadenitt</w:delText>
        </w:r>
      </w:del>
    </w:p>
    <w:p w14:paraId="03198C68" w14:textId="6C281149" w:rsidR="00017ADA" w:rsidRPr="009C5EFD" w:rsidRDefault="00017ADA" w:rsidP="00AF70AD">
      <w:pPr>
        <w:keepNext/>
        <w:autoSpaceDE w:val="0"/>
        <w:autoSpaceDN w:val="0"/>
        <w:adjustRightInd w:val="0"/>
        <w:rPr>
          <w:del w:id="15393" w:author="AbbVie02no" w:date="2025-05-15T14:21:00Z"/>
          <w:rFonts w:eastAsia="TimesNewRoman"/>
          <w:sz w:val="22"/>
          <w:szCs w:val="22"/>
        </w:rPr>
      </w:pPr>
    </w:p>
    <w:p w14:paraId="062C1573" w14:textId="5E6BDBAB" w:rsidR="00017ADA" w:rsidRDefault="00E453CD" w:rsidP="009C5EFD">
      <w:pPr>
        <w:autoSpaceDE w:val="0"/>
        <w:autoSpaceDN w:val="0"/>
        <w:adjustRightInd w:val="0"/>
        <w:rPr>
          <w:del w:id="15394" w:author="AbbVie02no" w:date="2025-05-15T14:21:00Z"/>
          <w:rFonts w:eastAsia="TimesNewRoman"/>
          <w:sz w:val="22"/>
          <w:szCs w:val="22"/>
        </w:rPr>
      </w:pPr>
      <w:del w:id="15395" w:author="AbbVie02no" w:date="2025-05-15T14:21:00Z">
        <w:r w:rsidRPr="009C5EFD">
          <w:rPr>
            <w:rFonts w:eastAsia="TimesNewRoman"/>
            <w:sz w:val="22"/>
            <w:szCs w:val="22"/>
          </w:rPr>
          <w:delText xml:space="preserve">Den vanlige doseringen for </w:delText>
        </w:r>
        <w:r w:rsidR="007F67EE" w:rsidRPr="009C5EFD">
          <w:rPr>
            <w:rFonts w:eastAsia="TimesNewRoman"/>
            <w:sz w:val="22"/>
            <w:szCs w:val="22"/>
          </w:rPr>
          <w:delText>hidrosadenitt</w:delText>
        </w:r>
        <w:r w:rsidRPr="009C5EFD">
          <w:rPr>
            <w:rFonts w:eastAsia="TimesNewRoman"/>
            <w:sz w:val="22"/>
            <w:szCs w:val="22"/>
          </w:rPr>
          <w:delText xml:space="preserve"> er en dose på 160</w:delText>
        </w:r>
        <w:r w:rsidR="00031EB6">
          <w:rPr>
            <w:rFonts w:eastAsia="TimesNewRoman"/>
            <w:sz w:val="22"/>
            <w:szCs w:val="22"/>
          </w:rPr>
          <w:delText> </w:delText>
        </w:r>
        <w:r w:rsidRPr="009C5EFD">
          <w:rPr>
            <w:rFonts w:eastAsia="TimesNewRoman"/>
            <w:sz w:val="22"/>
            <w:szCs w:val="22"/>
          </w:rPr>
          <w:delText xml:space="preserve">mg ved oppstart (som </w:delText>
        </w:r>
        <w:r w:rsidR="00CC0DA9">
          <w:rPr>
            <w:rFonts w:eastAsia="TimesNewRoman"/>
            <w:sz w:val="22"/>
            <w:szCs w:val="22"/>
          </w:rPr>
          <w:delText>fire 40</w:delText>
        </w:r>
        <w:r w:rsidR="00031EB6">
          <w:rPr>
            <w:rFonts w:eastAsia="TimesNewRoman"/>
            <w:sz w:val="22"/>
            <w:szCs w:val="22"/>
          </w:rPr>
          <w:delText> </w:delText>
        </w:r>
        <w:r w:rsidR="00CC0DA9">
          <w:rPr>
            <w:rFonts w:eastAsia="TimesNewRoman"/>
            <w:sz w:val="22"/>
            <w:szCs w:val="22"/>
          </w:rPr>
          <w:delText xml:space="preserve">mg </w:delText>
        </w:r>
        <w:r w:rsidRPr="009C5EFD">
          <w:rPr>
            <w:rFonts w:eastAsia="TimesNewRoman"/>
            <w:sz w:val="22"/>
            <w:szCs w:val="22"/>
          </w:rPr>
          <w:delText xml:space="preserve">injeksjoner på </w:delText>
        </w:r>
        <w:r w:rsidR="00CC0DA9">
          <w:rPr>
            <w:rFonts w:eastAsia="TimesNewRoman"/>
            <w:sz w:val="22"/>
            <w:szCs w:val="22"/>
          </w:rPr>
          <w:delText>en</w:delText>
        </w:r>
        <w:r w:rsidR="00CC0DA9" w:rsidRPr="009C5EFD">
          <w:rPr>
            <w:rFonts w:eastAsia="TimesNewRoman"/>
            <w:sz w:val="22"/>
            <w:szCs w:val="22"/>
          </w:rPr>
          <w:delText xml:space="preserve"> </w:delText>
        </w:r>
        <w:r w:rsidRPr="009C5EFD">
          <w:rPr>
            <w:rFonts w:eastAsia="TimesNewRoman"/>
            <w:sz w:val="22"/>
            <w:szCs w:val="22"/>
          </w:rPr>
          <w:delText xml:space="preserve">dag eller </w:delText>
        </w:r>
        <w:r w:rsidR="00CC0DA9">
          <w:rPr>
            <w:rFonts w:eastAsia="TimesNewRoman"/>
            <w:sz w:val="22"/>
            <w:szCs w:val="22"/>
          </w:rPr>
          <w:delText>to 40</w:delText>
        </w:r>
        <w:r w:rsidR="00031EB6">
          <w:rPr>
            <w:rFonts w:eastAsia="TimesNewRoman"/>
            <w:sz w:val="22"/>
            <w:szCs w:val="22"/>
          </w:rPr>
          <w:delText> </w:delText>
        </w:r>
        <w:r w:rsidR="00CC0DA9">
          <w:rPr>
            <w:rFonts w:eastAsia="TimesNewRoman"/>
            <w:sz w:val="22"/>
            <w:szCs w:val="22"/>
          </w:rPr>
          <w:delText>mg</w:delText>
        </w:r>
        <w:r w:rsidR="00CC0DA9" w:rsidRPr="009C5EFD">
          <w:rPr>
            <w:rFonts w:eastAsia="TimesNewRoman"/>
            <w:sz w:val="22"/>
            <w:szCs w:val="22"/>
          </w:rPr>
          <w:delText xml:space="preserve"> </w:delText>
        </w:r>
        <w:r w:rsidRPr="009C5EFD">
          <w:rPr>
            <w:rFonts w:eastAsia="TimesNewRoman"/>
            <w:sz w:val="22"/>
            <w:szCs w:val="22"/>
          </w:rPr>
          <w:delText xml:space="preserve">injeksjoner daglig </w:delText>
        </w:r>
        <w:r w:rsidR="00326F9C">
          <w:rPr>
            <w:rFonts w:eastAsia="TimesNewRoman"/>
            <w:sz w:val="22"/>
            <w:szCs w:val="22"/>
          </w:rPr>
          <w:delText>i</w:delText>
        </w:r>
        <w:r w:rsidR="007250BA" w:rsidRPr="009C5EFD">
          <w:rPr>
            <w:rFonts w:eastAsia="TimesNewRoman"/>
            <w:sz w:val="22"/>
            <w:szCs w:val="22"/>
          </w:rPr>
          <w:delText xml:space="preserve"> </w:delText>
        </w:r>
        <w:r w:rsidRPr="009C5EFD">
          <w:rPr>
            <w:rFonts w:eastAsia="TimesNewRoman"/>
            <w:sz w:val="22"/>
            <w:szCs w:val="22"/>
          </w:rPr>
          <w:delText>to påfølgende dager), etterfulgt av en dose på 80</w:delText>
        </w:r>
        <w:r w:rsidR="00031EB6">
          <w:rPr>
            <w:rFonts w:eastAsia="TimesNewRoman"/>
            <w:sz w:val="22"/>
            <w:szCs w:val="22"/>
          </w:rPr>
          <w:delText> </w:delText>
        </w:r>
        <w:r w:rsidRPr="009C5EFD">
          <w:rPr>
            <w:rFonts w:eastAsia="TimesNewRoman"/>
            <w:sz w:val="22"/>
            <w:szCs w:val="22"/>
          </w:rPr>
          <w:delText xml:space="preserve">mg (som </w:delText>
        </w:r>
        <w:r w:rsidR="00CC0DA9">
          <w:rPr>
            <w:rFonts w:eastAsia="TimesNewRoman"/>
            <w:sz w:val="22"/>
            <w:szCs w:val="22"/>
          </w:rPr>
          <w:delText>to 40</w:delText>
        </w:r>
        <w:r w:rsidR="00031EB6">
          <w:rPr>
            <w:rFonts w:eastAsia="TimesNewRoman"/>
            <w:sz w:val="22"/>
            <w:szCs w:val="22"/>
          </w:rPr>
          <w:delText> </w:delText>
        </w:r>
        <w:r w:rsidR="00CC0DA9">
          <w:rPr>
            <w:rFonts w:eastAsia="TimesNewRoman"/>
            <w:sz w:val="22"/>
            <w:szCs w:val="22"/>
          </w:rPr>
          <w:delText xml:space="preserve">mg </w:delText>
        </w:r>
        <w:r w:rsidRPr="009C5EFD">
          <w:rPr>
            <w:rFonts w:eastAsia="TimesNewRoman"/>
            <w:sz w:val="22"/>
            <w:szCs w:val="22"/>
          </w:rPr>
          <w:delText xml:space="preserve">injeksjoner på </w:delText>
        </w:r>
        <w:r w:rsidR="00671839">
          <w:rPr>
            <w:rFonts w:eastAsia="TimesNewRoman"/>
            <w:sz w:val="22"/>
            <w:szCs w:val="22"/>
          </w:rPr>
          <w:delText>en</w:delText>
        </w:r>
        <w:r w:rsidR="00671839" w:rsidRPr="009C5EFD">
          <w:rPr>
            <w:rFonts w:eastAsia="TimesNewRoman"/>
            <w:sz w:val="22"/>
            <w:szCs w:val="22"/>
          </w:rPr>
          <w:delText xml:space="preserve"> </w:delText>
        </w:r>
        <w:r w:rsidRPr="009C5EFD">
          <w:rPr>
            <w:rFonts w:eastAsia="TimesNewRoman"/>
            <w:sz w:val="22"/>
            <w:szCs w:val="22"/>
          </w:rPr>
          <w:delText>dag) to uker senere. Etter ytterligere to uker, fortsettes det med en dose</w:delText>
        </w:r>
        <w:r w:rsidR="00354512">
          <w:rPr>
            <w:rFonts w:eastAsia="TimesNewRoman"/>
            <w:sz w:val="22"/>
            <w:szCs w:val="22"/>
          </w:rPr>
          <w:delText>ring</w:delText>
        </w:r>
        <w:r w:rsidRPr="009C5EFD">
          <w:rPr>
            <w:rFonts w:eastAsia="TimesNewRoman"/>
            <w:sz w:val="22"/>
            <w:szCs w:val="22"/>
          </w:rPr>
          <w:delText xml:space="preserve"> på 40</w:delText>
        </w:r>
        <w:r w:rsidR="00031EB6">
          <w:rPr>
            <w:rFonts w:eastAsia="TimesNewRoman"/>
            <w:sz w:val="22"/>
            <w:szCs w:val="22"/>
          </w:rPr>
          <w:delText> </w:delText>
        </w:r>
        <w:r w:rsidRPr="009C5EFD">
          <w:rPr>
            <w:rFonts w:eastAsia="TimesNewRoman"/>
            <w:sz w:val="22"/>
            <w:szCs w:val="22"/>
          </w:rPr>
          <w:delText>mg hver uke</w:delText>
        </w:r>
        <w:r w:rsidR="00CC0DA9">
          <w:rPr>
            <w:rFonts w:eastAsia="TimesNewRoman"/>
            <w:sz w:val="22"/>
            <w:szCs w:val="22"/>
          </w:rPr>
          <w:delText xml:space="preserve"> eller 80</w:delText>
        </w:r>
        <w:r w:rsidR="00031EB6">
          <w:rPr>
            <w:rFonts w:eastAsia="TimesNewRoman"/>
            <w:sz w:val="22"/>
            <w:szCs w:val="22"/>
          </w:rPr>
          <w:delText> </w:delText>
        </w:r>
        <w:r w:rsidR="00CC0DA9">
          <w:rPr>
            <w:rFonts w:eastAsia="TimesNewRoman"/>
            <w:sz w:val="22"/>
            <w:szCs w:val="22"/>
          </w:rPr>
          <w:delText>mg annenhver uke, som forskrevet av legen din</w:delText>
        </w:r>
        <w:r w:rsidRPr="009C5EFD">
          <w:rPr>
            <w:rFonts w:eastAsia="TimesNewRoman"/>
            <w:sz w:val="22"/>
            <w:szCs w:val="22"/>
          </w:rPr>
          <w:delText>.</w:delText>
        </w:r>
        <w:r w:rsidRPr="001F5D4B">
          <w:rPr>
            <w:color w:val="222222"/>
          </w:rPr>
          <w:delText xml:space="preserve"> </w:delText>
        </w:r>
        <w:r w:rsidRPr="007F67EE">
          <w:rPr>
            <w:rFonts w:eastAsia="TimesNewRoman"/>
            <w:sz w:val="22"/>
            <w:szCs w:val="22"/>
          </w:rPr>
          <w:delText>Det anbefales at du bruker en antiseptisk vask daglig på de berørte områdene.</w:delText>
        </w:r>
      </w:del>
    </w:p>
    <w:p w14:paraId="643FA1F0" w14:textId="6AD72043" w:rsidR="00ED67B8" w:rsidRDefault="00ED67B8" w:rsidP="009C5EFD">
      <w:pPr>
        <w:autoSpaceDE w:val="0"/>
        <w:autoSpaceDN w:val="0"/>
        <w:adjustRightInd w:val="0"/>
        <w:rPr>
          <w:del w:id="15396" w:author="AbbVie02no" w:date="2025-05-15T14:21:00Z"/>
          <w:rFonts w:eastAsia="TimesNewRoman"/>
          <w:sz w:val="22"/>
          <w:szCs w:val="22"/>
        </w:rPr>
      </w:pPr>
    </w:p>
    <w:p w14:paraId="783457C1" w14:textId="6F5CD817" w:rsidR="00671839" w:rsidRPr="00671839" w:rsidRDefault="00E453CD" w:rsidP="00776A84">
      <w:pPr>
        <w:keepNext/>
        <w:autoSpaceDE w:val="0"/>
        <w:autoSpaceDN w:val="0"/>
        <w:adjustRightInd w:val="0"/>
        <w:rPr>
          <w:del w:id="15397" w:author="AbbVie02no" w:date="2025-05-15T14:21:00Z"/>
          <w:sz w:val="22"/>
          <w:szCs w:val="22"/>
          <w:u w:val="single"/>
        </w:rPr>
      </w:pPr>
      <w:del w:id="15398" w:author="AbbVie02no" w:date="2025-05-15T14:21:00Z">
        <w:r w:rsidRPr="00671839">
          <w:rPr>
            <w:sz w:val="22"/>
            <w:szCs w:val="22"/>
            <w:u w:val="single"/>
          </w:rPr>
          <w:delText>Ungdom med hidrosadenitt fra 12 til 17 år, som veier 30 kg eller mer</w:delText>
        </w:r>
      </w:del>
    </w:p>
    <w:p w14:paraId="0B178765" w14:textId="57DAE756" w:rsidR="00671839" w:rsidRPr="00671839" w:rsidRDefault="00671839" w:rsidP="00776A84">
      <w:pPr>
        <w:keepNext/>
        <w:autoSpaceDE w:val="0"/>
        <w:autoSpaceDN w:val="0"/>
        <w:adjustRightInd w:val="0"/>
        <w:rPr>
          <w:del w:id="15399" w:author="AbbVie02no" w:date="2025-05-15T14:21:00Z"/>
          <w:sz w:val="22"/>
          <w:szCs w:val="22"/>
          <w:u w:val="single"/>
        </w:rPr>
      </w:pPr>
    </w:p>
    <w:p w14:paraId="20B1DFF8" w14:textId="618EB018" w:rsidR="00ED67B8" w:rsidRPr="00ED67B8" w:rsidRDefault="00E453CD" w:rsidP="00ED67B8">
      <w:pPr>
        <w:autoSpaceDE w:val="0"/>
        <w:autoSpaceDN w:val="0"/>
        <w:adjustRightInd w:val="0"/>
        <w:rPr>
          <w:del w:id="15400" w:author="AbbVie02no" w:date="2025-05-15T14:21:00Z"/>
          <w:sz w:val="22"/>
          <w:szCs w:val="22"/>
        </w:rPr>
      </w:pPr>
      <w:del w:id="15401" w:author="AbbVie02no" w:date="2025-05-15T14:21:00Z">
        <w:r w:rsidRPr="00671839">
          <w:rPr>
            <w:sz w:val="22"/>
            <w:szCs w:val="22"/>
          </w:rPr>
          <w:delText>Den anbefalte dosen av Humira er en dose på 80</w:delText>
        </w:r>
        <w:r w:rsidR="00031EB6">
          <w:rPr>
            <w:sz w:val="22"/>
            <w:szCs w:val="22"/>
          </w:rPr>
          <w:delText> </w:delText>
        </w:r>
        <w:r w:rsidRPr="00671839">
          <w:rPr>
            <w:sz w:val="22"/>
            <w:szCs w:val="22"/>
          </w:rPr>
          <w:delText xml:space="preserve">mg ved oppstart (som </w:delText>
        </w:r>
        <w:r w:rsidR="00CC0DA9">
          <w:rPr>
            <w:sz w:val="22"/>
            <w:szCs w:val="22"/>
          </w:rPr>
          <w:delText>to 40</w:delText>
        </w:r>
        <w:r w:rsidR="00031EB6">
          <w:rPr>
            <w:sz w:val="22"/>
            <w:szCs w:val="22"/>
          </w:rPr>
          <w:delText> </w:delText>
        </w:r>
        <w:r w:rsidR="00CC0DA9">
          <w:rPr>
            <w:sz w:val="22"/>
            <w:szCs w:val="22"/>
          </w:rPr>
          <w:delText>mg</w:delText>
        </w:r>
        <w:r w:rsidR="00CC0DA9" w:rsidRPr="00671839">
          <w:rPr>
            <w:sz w:val="22"/>
            <w:szCs w:val="22"/>
          </w:rPr>
          <w:delText xml:space="preserve"> </w:delText>
        </w:r>
        <w:r w:rsidRPr="00671839">
          <w:rPr>
            <w:sz w:val="22"/>
            <w:szCs w:val="22"/>
          </w:rPr>
          <w:delText>injeksjoner på en dag), etterfulgt av 40</w:delText>
        </w:r>
        <w:r w:rsidR="00031EB6">
          <w:rPr>
            <w:sz w:val="22"/>
            <w:szCs w:val="22"/>
          </w:rPr>
          <w:delText> </w:delText>
        </w:r>
        <w:r w:rsidRPr="00671839">
          <w:rPr>
            <w:sz w:val="22"/>
            <w:szCs w:val="22"/>
          </w:rPr>
          <w:delText>mg annenhver uke fra en uke senere. Legen din kan øke dosering</w:delText>
        </w:r>
        <w:r w:rsidR="00CC0DA9">
          <w:rPr>
            <w:sz w:val="22"/>
            <w:szCs w:val="22"/>
          </w:rPr>
          <w:delText>en</w:delText>
        </w:r>
        <w:r w:rsidRPr="00671839">
          <w:rPr>
            <w:sz w:val="22"/>
            <w:szCs w:val="22"/>
          </w:rPr>
          <w:delText xml:space="preserve"> til 40</w:delText>
        </w:r>
        <w:r w:rsidR="00031EB6">
          <w:rPr>
            <w:sz w:val="22"/>
            <w:szCs w:val="22"/>
          </w:rPr>
          <w:delText> </w:delText>
        </w:r>
        <w:r w:rsidRPr="00671839">
          <w:rPr>
            <w:sz w:val="22"/>
            <w:szCs w:val="22"/>
          </w:rPr>
          <w:delText xml:space="preserve">mg hver uke </w:delText>
        </w:r>
        <w:r w:rsidR="00CC0DA9">
          <w:rPr>
            <w:sz w:val="22"/>
            <w:szCs w:val="22"/>
          </w:rPr>
          <w:delText>eller 80</w:delText>
        </w:r>
        <w:r w:rsidR="00031EB6">
          <w:rPr>
            <w:sz w:val="22"/>
            <w:szCs w:val="22"/>
          </w:rPr>
          <w:delText> </w:delText>
        </w:r>
        <w:r w:rsidR="00CC0DA9">
          <w:rPr>
            <w:sz w:val="22"/>
            <w:szCs w:val="22"/>
          </w:rPr>
          <w:delText xml:space="preserve">mg annenhver uke </w:delText>
        </w:r>
        <w:r w:rsidRPr="00671839">
          <w:rPr>
            <w:sz w:val="22"/>
            <w:szCs w:val="22"/>
          </w:rPr>
          <w:delText>dersom du har utilstrekkelig respons</w:delText>
        </w:r>
        <w:r w:rsidR="00CC0DA9">
          <w:rPr>
            <w:sz w:val="22"/>
            <w:szCs w:val="22"/>
          </w:rPr>
          <w:delText xml:space="preserve"> på Humira 40</w:delText>
        </w:r>
        <w:r w:rsidR="00031EB6">
          <w:rPr>
            <w:sz w:val="22"/>
            <w:szCs w:val="22"/>
          </w:rPr>
          <w:delText> </w:delText>
        </w:r>
        <w:r w:rsidR="00CC0DA9">
          <w:rPr>
            <w:sz w:val="22"/>
            <w:szCs w:val="22"/>
          </w:rPr>
          <w:delText>mg annenhver uke</w:delText>
        </w:r>
        <w:r w:rsidRPr="00671839">
          <w:rPr>
            <w:sz w:val="22"/>
            <w:szCs w:val="22"/>
          </w:rPr>
          <w:delText>.</w:delText>
        </w:r>
      </w:del>
    </w:p>
    <w:p w14:paraId="62EA025C" w14:textId="3A0677C3" w:rsidR="00ED67B8" w:rsidRPr="00ED67B8" w:rsidRDefault="00ED67B8" w:rsidP="00ED67B8">
      <w:pPr>
        <w:autoSpaceDE w:val="0"/>
        <w:autoSpaceDN w:val="0"/>
        <w:adjustRightInd w:val="0"/>
        <w:rPr>
          <w:del w:id="15402" w:author="AbbVie02no" w:date="2025-05-15T14:21:00Z"/>
          <w:sz w:val="22"/>
          <w:szCs w:val="22"/>
        </w:rPr>
      </w:pPr>
    </w:p>
    <w:p w14:paraId="46697863" w14:textId="57239135" w:rsidR="00ED67B8" w:rsidRPr="002D0790" w:rsidRDefault="00E453CD" w:rsidP="00ED67B8">
      <w:pPr>
        <w:autoSpaceDE w:val="0"/>
        <w:autoSpaceDN w:val="0"/>
        <w:adjustRightInd w:val="0"/>
        <w:rPr>
          <w:del w:id="15403" w:author="AbbVie02no" w:date="2025-05-15T14:21:00Z"/>
          <w:sz w:val="22"/>
          <w:szCs w:val="22"/>
        </w:rPr>
      </w:pPr>
      <w:del w:id="15404" w:author="AbbVie02no" w:date="2025-05-15T14:21:00Z">
        <w:r w:rsidRPr="00ED67B8">
          <w:rPr>
            <w:sz w:val="22"/>
            <w:szCs w:val="22"/>
          </w:rPr>
          <w:delText>Det anbefales at du bruker en antiseptisk vask daglig på de berørte områdene.</w:delText>
        </w:r>
      </w:del>
    </w:p>
    <w:p w14:paraId="573C3632" w14:textId="0A8689C8" w:rsidR="00017ADA" w:rsidRPr="00C07C98" w:rsidRDefault="00017ADA" w:rsidP="009C5EFD">
      <w:pPr>
        <w:suppressAutoHyphens/>
        <w:rPr>
          <w:del w:id="15405" w:author="AbbVie02no" w:date="2025-05-15T14:21:00Z"/>
          <w:sz w:val="22"/>
          <w:szCs w:val="22"/>
        </w:rPr>
      </w:pPr>
    </w:p>
    <w:p w14:paraId="3BF7F9E6" w14:textId="3DB48D60" w:rsidR="00DE3458" w:rsidRPr="009C5EFD" w:rsidRDefault="00E453CD" w:rsidP="008111AA">
      <w:pPr>
        <w:keepNext/>
        <w:suppressAutoHyphens/>
        <w:rPr>
          <w:del w:id="15406" w:author="AbbVie02no" w:date="2025-05-15T14:21:00Z"/>
          <w:sz w:val="22"/>
          <w:szCs w:val="22"/>
        </w:rPr>
      </w:pPr>
      <w:del w:id="15407" w:author="AbbVie02no" w:date="2025-05-15T14:21:00Z">
        <w:r w:rsidRPr="00E14E58">
          <w:rPr>
            <w:sz w:val="22"/>
            <w:szCs w:val="22"/>
            <w:u w:val="single"/>
          </w:rPr>
          <w:delText>Voksne med Crohns sykdom</w:delText>
        </w:r>
        <w:r w:rsidR="00AD32EE" w:rsidRPr="009C5EFD">
          <w:rPr>
            <w:sz w:val="22"/>
            <w:szCs w:val="22"/>
          </w:rPr>
          <w:delText xml:space="preserve"> </w:delText>
        </w:r>
        <w:r w:rsidR="00D95F49" w:rsidRPr="009C5EFD">
          <w:rPr>
            <w:sz w:val="22"/>
            <w:szCs w:val="22"/>
          </w:rPr>
          <w:delText xml:space="preserve">  </w:delText>
        </w:r>
      </w:del>
    </w:p>
    <w:p w14:paraId="333ACF50" w14:textId="52A07125" w:rsidR="00DE3458" w:rsidRPr="009C5EFD" w:rsidRDefault="00DE3458" w:rsidP="008111AA">
      <w:pPr>
        <w:keepNext/>
        <w:suppressAutoHyphens/>
        <w:rPr>
          <w:del w:id="15408" w:author="AbbVie02no" w:date="2025-05-15T14:21:00Z"/>
          <w:sz w:val="22"/>
          <w:szCs w:val="22"/>
        </w:rPr>
      </w:pPr>
    </w:p>
    <w:p w14:paraId="722FF2F9" w14:textId="5BEA812F" w:rsidR="009C176A" w:rsidRPr="009C5EFD" w:rsidRDefault="00E453CD" w:rsidP="00776A84">
      <w:pPr>
        <w:suppressAutoHyphens/>
        <w:rPr>
          <w:del w:id="15409" w:author="AbbVie02no" w:date="2025-05-15T14:21:00Z"/>
          <w:sz w:val="22"/>
          <w:szCs w:val="22"/>
        </w:rPr>
      </w:pPr>
      <w:del w:id="15410" w:author="AbbVie02no" w:date="2025-05-15T14:21:00Z">
        <w:r w:rsidRPr="009C5EFD">
          <w:rPr>
            <w:sz w:val="22"/>
            <w:szCs w:val="22"/>
          </w:rPr>
          <w:delText>De</w:delText>
        </w:r>
        <w:r w:rsidR="00CF50C4" w:rsidRPr="009C5EFD">
          <w:rPr>
            <w:sz w:val="22"/>
            <w:szCs w:val="22"/>
          </w:rPr>
          <w:delText>n</w:delText>
        </w:r>
        <w:r w:rsidRPr="009C5EFD">
          <w:rPr>
            <w:sz w:val="22"/>
            <w:szCs w:val="22"/>
          </w:rPr>
          <w:delText xml:space="preserve"> vanlige dosering</w:delText>
        </w:r>
        <w:r w:rsidR="00CF50C4" w:rsidRPr="009C5EFD">
          <w:rPr>
            <w:sz w:val="22"/>
            <w:szCs w:val="22"/>
          </w:rPr>
          <w:delText>en</w:delText>
        </w:r>
        <w:r w:rsidRPr="009C5EFD">
          <w:rPr>
            <w:sz w:val="22"/>
            <w:szCs w:val="22"/>
          </w:rPr>
          <w:delText xml:space="preserve"> for Crohns sykdom er 80</w:delText>
        </w:r>
        <w:r w:rsidR="00031EB6">
          <w:rPr>
            <w:sz w:val="22"/>
            <w:szCs w:val="22"/>
          </w:rPr>
          <w:delText> </w:delText>
        </w:r>
        <w:r w:rsidRPr="009C5EFD">
          <w:rPr>
            <w:sz w:val="22"/>
            <w:szCs w:val="22"/>
          </w:rPr>
          <w:delText xml:space="preserve">mg </w:delText>
        </w:r>
        <w:r w:rsidR="008C5F7C" w:rsidRPr="009C5EFD">
          <w:rPr>
            <w:sz w:val="22"/>
            <w:szCs w:val="22"/>
          </w:rPr>
          <w:delText>ved oppstart</w:delText>
        </w:r>
        <w:r w:rsidR="00671839">
          <w:rPr>
            <w:sz w:val="22"/>
            <w:szCs w:val="22"/>
          </w:rPr>
          <w:delText xml:space="preserve"> (som </w:delText>
        </w:r>
        <w:r w:rsidR="00CC0DA9">
          <w:rPr>
            <w:sz w:val="22"/>
            <w:szCs w:val="22"/>
          </w:rPr>
          <w:delText>to 40</w:delText>
        </w:r>
        <w:r w:rsidR="00031EB6">
          <w:rPr>
            <w:sz w:val="22"/>
            <w:szCs w:val="22"/>
          </w:rPr>
          <w:delText> </w:delText>
        </w:r>
        <w:r w:rsidR="00CC0DA9">
          <w:rPr>
            <w:sz w:val="22"/>
            <w:szCs w:val="22"/>
          </w:rPr>
          <w:delText xml:space="preserve">mg </w:delText>
        </w:r>
        <w:r w:rsidR="00671839">
          <w:rPr>
            <w:sz w:val="22"/>
            <w:szCs w:val="22"/>
          </w:rPr>
          <w:delText>injeksjoner på en dag)</w:delText>
        </w:r>
        <w:r w:rsidRPr="009C5EFD">
          <w:rPr>
            <w:sz w:val="22"/>
            <w:szCs w:val="22"/>
          </w:rPr>
          <w:delText xml:space="preserve">, etterfulgt av 40 mg annenhver uke </w:delText>
        </w:r>
        <w:r w:rsidR="008C5F7C" w:rsidRPr="009C5EFD">
          <w:rPr>
            <w:sz w:val="22"/>
            <w:szCs w:val="22"/>
          </w:rPr>
          <w:delText>to uker senere</w:delText>
        </w:r>
        <w:r w:rsidRPr="009C5EFD">
          <w:rPr>
            <w:sz w:val="22"/>
            <w:szCs w:val="22"/>
          </w:rPr>
          <w:delText xml:space="preserve">. </w:delText>
        </w:r>
        <w:r w:rsidR="008C5F7C" w:rsidRPr="009C5EFD">
          <w:rPr>
            <w:sz w:val="22"/>
            <w:szCs w:val="22"/>
          </w:rPr>
          <w:delText>Hvis det er behov for en raskere respons,</w:delText>
        </w:r>
        <w:r w:rsidRPr="009C5EFD">
          <w:rPr>
            <w:sz w:val="22"/>
            <w:szCs w:val="22"/>
          </w:rPr>
          <w:delText xml:space="preserve"> kan legen din forskrive en </w:delText>
        </w:r>
        <w:r w:rsidR="008C5F7C" w:rsidRPr="009C5EFD">
          <w:rPr>
            <w:sz w:val="22"/>
            <w:szCs w:val="22"/>
          </w:rPr>
          <w:delText>oppstarts</w:delText>
        </w:r>
        <w:r w:rsidRPr="009C5EFD">
          <w:rPr>
            <w:sz w:val="22"/>
            <w:szCs w:val="22"/>
          </w:rPr>
          <w:delText>dose på 160</w:delText>
        </w:r>
        <w:r w:rsidR="00031EB6">
          <w:rPr>
            <w:sz w:val="22"/>
            <w:szCs w:val="22"/>
          </w:rPr>
          <w:delText> </w:delText>
        </w:r>
        <w:r w:rsidRPr="009C5EFD">
          <w:rPr>
            <w:sz w:val="22"/>
            <w:szCs w:val="22"/>
          </w:rPr>
          <w:delText xml:space="preserve">mg (som </w:delText>
        </w:r>
        <w:r w:rsidR="00CC0DA9">
          <w:rPr>
            <w:sz w:val="22"/>
            <w:szCs w:val="22"/>
          </w:rPr>
          <w:delText>fire 40</w:delText>
        </w:r>
        <w:r w:rsidR="00031EB6">
          <w:rPr>
            <w:sz w:val="22"/>
            <w:szCs w:val="22"/>
          </w:rPr>
          <w:delText> </w:delText>
        </w:r>
        <w:r w:rsidR="00CC0DA9">
          <w:rPr>
            <w:sz w:val="22"/>
            <w:szCs w:val="22"/>
          </w:rPr>
          <w:delText>mg</w:delText>
        </w:r>
        <w:r w:rsidR="00CC0DA9" w:rsidRPr="009C5EFD">
          <w:rPr>
            <w:sz w:val="22"/>
            <w:szCs w:val="22"/>
          </w:rPr>
          <w:delText xml:space="preserve"> </w:delText>
        </w:r>
        <w:r w:rsidRPr="009C5EFD">
          <w:rPr>
            <w:sz w:val="22"/>
            <w:szCs w:val="22"/>
          </w:rPr>
          <w:delText xml:space="preserve">injeksjoner på en dag eller </w:delText>
        </w:r>
        <w:r w:rsidR="00CC0DA9">
          <w:rPr>
            <w:sz w:val="22"/>
            <w:szCs w:val="22"/>
          </w:rPr>
          <w:delText>to 40</w:delText>
        </w:r>
        <w:r w:rsidR="00031EB6">
          <w:rPr>
            <w:sz w:val="22"/>
            <w:szCs w:val="22"/>
          </w:rPr>
          <w:delText> </w:delText>
        </w:r>
        <w:r w:rsidR="00CC0DA9">
          <w:rPr>
            <w:sz w:val="22"/>
            <w:szCs w:val="22"/>
          </w:rPr>
          <w:delText>mg</w:delText>
        </w:r>
        <w:r w:rsidR="00CC0DA9"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 </w:delText>
        </w:r>
        <w:r w:rsidR="000C1DD6" w:rsidRPr="009C5EFD">
          <w:rPr>
            <w:sz w:val="22"/>
            <w:szCs w:val="22"/>
          </w:rPr>
          <w:delText xml:space="preserve">etterfulgt av </w:delText>
        </w:r>
        <w:r w:rsidRPr="009C5EFD">
          <w:rPr>
            <w:sz w:val="22"/>
            <w:szCs w:val="22"/>
          </w:rPr>
          <w:delText>80</w:delText>
        </w:r>
        <w:r w:rsidR="00031EB6">
          <w:rPr>
            <w:sz w:val="22"/>
            <w:szCs w:val="22"/>
          </w:rPr>
          <w:delText> </w:delText>
        </w:r>
        <w:r w:rsidRPr="009C5EFD">
          <w:rPr>
            <w:sz w:val="22"/>
            <w:szCs w:val="22"/>
          </w:rPr>
          <w:delText xml:space="preserve">mg </w:delText>
        </w:r>
        <w:r w:rsidR="00671839">
          <w:rPr>
            <w:sz w:val="22"/>
            <w:szCs w:val="22"/>
          </w:rPr>
          <w:delText xml:space="preserve">(som </w:delText>
        </w:r>
        <w:r w:rsidR="00CC0DA9">
          <w:rPr>
            <w:sz w:val="22"/>
            <w:szCs w:val="22"/>
          </w:rPr>
          <w:delText>to 40</w:delText>
        </w:r>
        <w:r w:rsidR="00031EB6">
          <w:rPr>
            <w:sz w:val="22"/>
            <w:szCs w:val="22"/>
          </w:rPr>
          <w:delText> </w:delText>
        </w:r>
        <w:r w:rsidR="00CC0DA9">
          <w:rPr>
            <w:sz w:val="22"/>
            <w:szCs w:val="22"/>
          </w:rPr>
          <w:delText xml:space="preserve">mg </w:delText>
        </w:r>
        <w:r w:rsidR="00671839">
          <w:rPr>
            <w:sz w:val="22"/>
            <w:szCs w:val="22"/>
          </w:rPr>
          <w:delText xml:space="preserve">injeksjoner på en dag) </w:delText>
        </w:r>
        <w:r w:rsidR="000C1DD6" w:rsidRPr="009C5EFD">
          <w:rPr>
            <w:sz w:val="22"/>
            <w:szCs w:val="22"/>
          </w:rPr>
          <w:delText>to uker senere,</w:delText>
        </w:r>
        <w:r w:rsidRPr="009C5EFD">
          <w:rPr>
            <w:sz w:val="22"/>
            <w:szCs w:val="22"/>
          </w:rPr>
          <w:delText xml:space="preserve"> og deretter 40</w:delText>
        </w:r>
        <w:r w:rsidR="00031EB6">
          <w:rPr>
            <w:sz w:val="22"/>
            <w:szCs w:val="22"/>
          </w:rPr>
          <w:delText> </w:delText>
        </w:r>
        <w:r w:rsidRPr="009C5EFD">
          <w:rPr>
            <w:sz w:val="22"/>
            <w:szCs w:val="22"/>
          </w:rPr>
          <w:delText>mg annenhver uke.</w:delText>
        </w:r>
        <w:r w:rsidR="00047C52" w:rsidRPr="009C5EFD">
          <w:rPr>
            <w:sz w:val="22"/>
            <w:szCs w:val="22"/>
          </w:rPr>
          <w:delText xml:space="preserve"> </w:delText>
        </w:r>
        <w:r w:rsidR="000C1DD6" w:rsidRPr="009C5EFD">
          <w:rPr>
            <w:sz w:val="22"/>
            <w:szCs w:val="22"/>
          </w:rPr>
          <w:delText>L</w:delText>
        </w:r>
        <w:r w:rsidRPr="009C5EFD">
          <w:rPr>
            <w:sz w:val="22"/>
            <w:szCs w:val="22"/>
          </w:rPr>
          <w:delText xml:space="preserve">egen din </w:delText>
        </w:r>
        <w:r w:rsidR="000C1DD6" w:rsidRPr="009C5EFD">
          <w:rPr>
            <w:sz w:val="22"/>
            <w:szCs w:val="22"/>
          </w:rPr>
          <w:delText xml:space="preserve">kan </w:delText>
        </w:r>
        <w:r w:rsidRPr="009C5EFD">
          <w:rPr>
            <w:sz w:val="22"/>
            <w:szCs w:val="22"/>
          </w:rPr>
          <w:delText>øke dose</w:delText>
        </w:r>
        <w:r w:rsidR="000C1DD6" w:rsidRPr="009C5EFD">
          <w:rPr>
            <w:sz w:val="22"/>
            <w:szCs w:val="22"/>
          </w:rPr>
          <w:delText>ring</w:delText>
        </w:r>
        <w:r w:rsidR="00CC0DA9">
          <w:rPr>
            <w:sz w:val="22"/>
            <w:szCs w:val="22"/>
          </w:rPr>
          <w:delText>en</w:delText>
        </w:r>
        <w:r w:rsidRPr="009C5EFD">
          <w:rPr>
            <w:sz w:val="22"/>
            <w:szCs w:val="22"/>
          </w:rPr>
          <w:delText xml:space="preserve"> til 40</w:delText>
        </w:r>
        <w:r w:rsidR="00031EB6">
          <w:rPr>
            <w:sz w:val="22"/>
            <w:szCs w:val="22"/>
          </w:rPr>
          <w:delText> </w:delText>
        </w:r>
        <w:r w:rsidRPr="009C5EFD">
          <w:rPr>
            <w:sz w:val="22"/>
            <w:szCs w:val="22"/>
          </w:rPr>
          <w:delText xml:space="preserve">mg </w:delText>
        </w:r>
        <w:r w:rsidR="006E24C0" w:rsidRPr="009C5EFD">
          <w:rPr>
            <w:sz w:val="22"/>
            <w:szCs w:val="22"/>
          </w:rPr>
          <w:delText>hver</w:delText>
        </w:r>
        <w:r w:rsidRPr="009C5EFD">
          <w:rPr>
            <w:sz w:val="22"/>
            <w:szCs w:val="22"/>
          </w:rPr>
          <w:delText xml:space="preserve"> uke</w:delText>
        </w:r>
        <w:r w:rsidR="000C1DD6" w:rsidRPr="009C5EFD">
          <w:rPr>
            <w:sz w:val="22"/>
            <w:szCs w:val="22"/>
          </w:rPr>
          <w:delText xml:space="preserve"> </w:delText>
        </w:r>
        <w:r w:rsidR="00CC0DA9">
          <w:rPr>
            <w:sz w:val="22"/>
            <w:szCs w:val="22"/>
          </w:rPr>
          <w:delText>eller 80</w:delText>
        </w:r>
        <w:r w:rsidR="00031EB6">
          <w:rPr>
            <w:sz w:val="22"/>
            <w:szCs w:val="22"/>
          </w:rPr>
          <w:delText> </w:delText>
        </w:r>
        <w:r w:rsidR="00CC0DA9">
          <w:rPr>
            <w:sz w:val="22"/>
            <w:szCs w:val="22"/>
          </w:rPr>
          <w:delText xml:space="preserve">mg annenhver uke </w:delText>
        </w:r>
        <w:r w:rsidR="000C1DD6" w:rsidRPr="009C5EFD">
          <w:rPr>
            <w:sz w:val="22"/>
            <w:szCs w:val="22"/>
          </w:rPr>
          <w:delText>avhengig av din respons</w:delText>
        </w:r>
        <w:r w:rsidRPr="009C5EFD">
          <w:rPr>
            <w:sz w:val="22"/>
            <w:szCs w:val="22"/>
          </w:rPr>
          <w:delText>.</w:delText>
        </w:r>
      </w:del>
    </w:p>
    <w:p w14:paraId="34891C2A" w14:textId="4E6AC1EA" w:rsidR="009C176A" w:rsidRPr="009C5EFD" w:rsidRDefault="009C176A" w:rsidP="009C5EFD">
      <w:pPr>
        <w:suppressAutoHyphens/>
        <w:rPr>
          <w:del w:id="15411" w:author="AbbVie02no" w:date="2025-05-15T14:21:00Z"/>
          <w:sz w:val="22"/>
          <w:szCs w:val="22"/>
        </w:rPr>
      </w:pPr>
    </w:p>
    <w:p w14:paraId="0B0A4BB5" w14:textId="3045F310" w:rsidR="00671839" w:rsidRPr="009C5EFD" w:rsidRDefault="00E453CD" w:rsidP="00AF70AD">
      <w:pPr>
        <w:keepNext/>
        <w:suppressAutoHyphens/>
        <w:rPr>
          <w:del w:id="15412" w:author="AbbVie02no" w:date="2025-05-15T14:21:00Z"/>
          <w:sz w:val="22"/>
          <w:szCs w:val="22"/>
          <w:u w:val="single"/>
        </w:rPr>
      </w:pPr>
      <w:del w:id="15413" w:author="AbbVie02no" w:date="2025-05-15T14:21:00Z">
        <w:r w:rsidRPr="009C5EFD">
          <w:rPr>
            <w:sz w:val="22"/>
            <w:szCs w:val="22"/>
            <w:u w:val="single"/>
          </w:rPr>
          <w:delText xml:space="preserve">Barn </w:delText>
        </w:r>
        <w:r w:rsidR="007D4332">
          <w:rPr>
            <w:sz w:val="22"/>
            <w:szCs w:val="22"/>
            <w:u w:val="single"/>
          </w:rPr>
          <w:delText>og</w:delText>
        </w:r>
        <w:r w:rsidRPr="009C5EFD">
          <w:rPr>
            <w:sz w:val="22"/>
            <w:szCs w:val="22"/>
            <w:u w:val="single"/>
          </w:rPr>
          <w:delText xml:space="preserve"> ungdom med Crohns sykdom</w:delText>
        </w:r>
      </w:del>
    </w:p>
    <w:p w14:paraId="25070711" w14:textId="068A78CB" w:rsidR="00671839" w:rsidRPr="009C5EFD" w:rsidRDefault="00671839" w:rsidP="00AF70AD">
      <w:pPr>
        <w:keepNext/>
        <w:suppressAutoHyphens/>
        <w:rPr>
          <w:del w:id="15414" w:author="AbbVie02no" w:date="2025-05-15T14:21:00Z"/>
          <w:sz w:val="22"/>
          <w:szCs w:val="22"/>
          <w:u w:val="single"/>
        </w:rPr>
      </w:pPr>
    </w:p>
    <w:p w14:paraId="19A6E661" w14:textId="738601FA" w:rsidR="00671839" w:rsidRPr="007D4332" w:rsidRDefault="00E453CD" w:rsidP="00AF70AD">
      <w:pPr>
        <w:keepNext/>
        <w:suppressAutoHyphens/>
        <w:rPr>
          <w:del w:id="15415" w:author="AbbVie02no" w:date="2025-05-15T14:21:00Z"/>
          <w:sz w:val="22"/>
          <w:szCs w:val="22"/>
          <w:u w:val="single"/>
        </w:rPr>
      </w:pPr>
      <w:del w:id="15416" w:author="AbbVie02no" w:date="2025-05-15T14:21:00Z">
        <w:r w:rsidRPr="00AB7697">
          <w:rPr>
            <w:bCs/>
            <w:i/>
            <w:sz w:val="22"/>
            <w:szCs w:val="22"/>
          </w:rPr>
          <w:delText xml:space="preserve">Barn </w:delText>
        </w:r>
        <w:r w:rsidR="007D4332" w:rsidRPr="00AB7697">
          <w:rPr>
            <w:bCs/>
            <w:i/>
            <w:sz w:val="22"/>
            <w:szCs w:val="22"/>
          </w:rPr>
          <w:delText>og</w:delText>
        </w:r>
        <w:r w:rsidRPr="00AB7697">
          <w:rPr>
            <w:bCs/>
            <w:i/>
            <w:sz w:val="22"/>
            <w:szCs w:val="22"/>
          </w:rPr>
          <w:delText xml:space="preserve"> ungdom fra 6 til 17 år som veier </w:delText>
        </w:r>
        <w:r w:rsidR="00684DB9" w:rsidRPr="00AB7697">
          <w:rPr>
            <w:bCs/>
            <w:i/>
            <w:sz w:val="22"/>
            <w:szCs w:val="22"/>
          </w:rPr>
          <w:delText>under</w:delText>
        </w:r>
        <w:r w:rsidRPr="00AB7697">
          <w:rPr>
            <w:bCs/>
            <w:i/>
            <w:sz w:val="22"/>
            <w:szCs w:val="22"/>
          </w:rPr>
          <w:delText xml:space="preserve"> 40 kg</w:delText>
        </w:r>
      </w:del>
    </w:p>
    <w:p w14:paraId="32E0CA7E" w14:textId="7706CB54" w:rsidR="00671839" w:rsidRPr="00D22D58" w:rsidRDefault="00671839" w:rsidP="00AF70AD">
      <w:pPr>
        <w:keepNext/>
        <w:suppressAutoHyphens/>
        <w:rPr>
          <w:del w:id="15417" w:author="AbbVie02no" w:date="2025-05-15T14:21:00Z"/>
          <w:sz w:val="22"/>
          <w:szCs w:val="22"/>
          <w:u w:val="single"/>
        </w:rPr>
      </w:pPr>
    </w:p>
    <w:p w14:paraId="74C5008A" w14:textId="54F8A730" w:rsidR="00671839" w:rsidRPr="009C5EFD" w:rsidRDefault="00E453CD" w:rsidP="00671839">
      <w:pPr>
        <w:suppressAutoHyphens/>
        <w:rPr>
          <w:del w:id="15418" w:author="AbbVie02no" w:date="2025-05-15T14:21:00Z"/>
          <w:sz w:val="22"/>
          <w:szCs w:val="22"/>
        </w:rPr>
      </w:pPr>
      <w:del w:id="15419" w:author="AbbVie02no" w:date="2025-05-15T14:21:00Z">
        <w:r w:rsidRPr="009C5EFD">
          <w:rPr>
            <w:sz w:val="22"/>
            <w:szCs w:val="22"/>
          </w:rPr>
          <w:delText>Den vanlige doseringen er 40 mg ved oppstart, etterfulgt av 20</w:delText>
        </w:r>
        <w:r w:rsidR="009A0654">
          <w:rPr>
            <w:sz w:val="22"/>
            <w:szCs w:val="22"/>
          </w:rPr>
          <w:delText> </w:delText>
        </w:r>
        <w:r w:rsidRPr="009C5EFD">
          <w:rPr>
            <w:sz w:val="22"/>
            <w:szCs w:val="22"/>
          </w:rPr>
          <w:delText xml:space="preserve">mg to uker senere. Hvis det er behov for en raskere respons, kan </w:delText>
        </w:r>
        <w:r w:rsidR="00E42BA1">
          <w:rPr>
            <w:sz w:val="22"/>
            <w:szCs w:val="22"/>
          </w:rPr>
          <w:delText>legen din</w:delText>
        </w:r>
        <w:r w:rsidRPr="009C5EFD">
          <w:rPr>
            <w:sz w:val="22"/>
            <w:szCs w:val="22"/>
          </w:rPr>
          <w:delText xml:space="preserve"> forskrive en oppstartsdose på 80</w:delText>
        </w:r>
        <w:r w:rsidR="009A0654">
          <w:rPr>
            <w:sz w:val="22"/>
            <w:szCs w:val="22"/>
          </w:rPr>
          <w:delText> </w:delText>
        </w:r>
        <w:r w:rsidRPr="009C5EFD">
          <w:rPr>
            <w:sz w:val="22"/>
            <w:szCs w:val="22"/>
          </w:rPr>
          <w:delText xml:space="preserve">mg (som </w:delText>
        </w:r>
        <w:r w:rsidR="00CC0DA9">
          <w:rPr>
            <w:sz w:val="22"/>
            <w:szCs w:val="22"/>
          </w:rPr>
          <w:delText>to 40</w:delText>
        </w:r>
        <w:r w:rsidR="009A0654">
          <w:rPr>
            <w:sz w:val="22"/>
            <w:szCs w:val="22"/>
          </w:rPr>
          <w:delText> </w:delText>
        </w:r>
        <w:r w:rsidR="00CC0DA9">
          <w:rPr>
            <w:sz w:val="22"/>
            <w:szCs w:val="22"/>
          </w:rPr>
          <w:delText xml:space="preserve">mg </w:delText>
        </w:r>
        <w:r w:rsidRPr="009C5EFD">
          <w:rPr>
            <w:sz w:val="22"/>
            <w:szCs w:val="22"/>
          </w:rPr>
          <w:delText xml:space="preserve">injeksjoner på en dag), etterfulgt av 40 mg to uker senere. </w:delText>
        </w:r>
      </w:del>
    </w:p>
    <w:p w14:paraId="44B293E3" w14:textId="6232B1A1" w:rsidR="00671839" w:rsidRPr="009C5EFD" w:rsidRDefault="00671839" w:rsidP="00671839">
      <w:pPr>
        <w:suppressAutoHyphens/>
        <w:rPr>
          <w:del w:id="15420" w:author="AbbVie02no" w:date="2025-05-15T14:21:00Z"/>
          <w:sz w:val="22"/>
          <w:szCs w:val="22"/>
        </w:rPr>
      </w:pPr>
    </w:p>
    <w:p w14:paraId="11E038B8" w14:textId="1FBAB85C" w:rsidR="00671839" w:rsidRPr="009C5EFD" w:rsidRDefault="00E453CD" w:rsidP="00671839">
      <w:pPr>
        <w:suppressAutoHyphens/>
        <w:rPr>
          <w:del w:id="15421" w:author="AbbVie02no" w:date="2025-05-15T14:21:00Z"/>
          <w:sz w:val="22"/>
          <w:szCs w:val="22"/>
        </w:rPr>
      </w:pPr>
      <w:del w:id="15422" w:author="AbbVie02no" w:date="2025-05-15T14:21:00Z">
        <w:r w:rsidRPr="009C5EFD">
          <w:rPr>
            <w:sz w:val="22"/>
            <w:szCs w:val="22"/>
          </w:rPr>
          <w:delText>Deretter er vanlig dosering 20</w:delText>
        </w:r>
        <w:r w:rsidR="009A0654">
          <w:rPr>
            <w:sz w:val="22"/>
            <w:szCs w:val="22"/>
          </w:rPr>
          <w:delText> </w:delText>
        </w:r>
        <w:r w:rsidRPr="009C5EFD">
          <w:rPr>
            <w:sz w:val="22"/>
            <w:szCs w:val="22"/>
          </w:rPr>
          <w:delText xml:space="preserve">mg annenhver uke. </w:delText>
        </w:r>
        <w:r w:rsidR="00E42BA1">
          <w:rPr>
            <w:sz w:val="22"/>
            <w:szCs w:val="22"/>
          </w:rPr>
          <w:delText>Legen din</w:delText>
        </w:r>
        <w:r w:rsidRPr="009C5EFD">
          <w:rPr>
            <w:sz w:val="22"/>
            <w:szCs w:val="22"/>
          </w:rPr>
          <w:delText xml:space="preserve"> kan øke doseringsfrekvensen til 20</w:delText>
        </w:r>
        <w:r w:rsidR="009A0654">
          <w:rPr>
            <w:sz w:val="22"/>
            <w:szCs w:val="22"/>
          </w:rPr>
          <w:delText> </w:delText>
        </w:r>
        <w:r w:rsidRPr="009C5EFD">
          <w:rPr>
            <w:sz w:val="22"/>
            <w:szCs w:val="22"/>
          </w:rPr>
          <w:delText xml:space="preserve">mg hver uke avhengig av </w:delText>
        </w:r>
        <w:r w:rsidR="00E42BA1">
          <w:rPr>
            <w:sz w:val="22"/>
            <w:szCs w:val="22"/>
          </w:rPr>
          <w:delText>din</w:delText>
        </w:r>
        <w:r w:rsidRPr="009C5EFD">
          <w:rPr>
            <w:sz w:val="22"/>
            <w:szCs w:val="22"/>
          </w:rPr>
          <w:delText xml:space="preserve"> respons.</w:delText>
        </w:r>
      </w:del>
    </w:p>
    <w:p w14:paraId="61ECA8BC" w14:textId="593F6F59" w:rsidR="00671839" w:rsidRPr="009C5EFD" w:rsidRDefault="00671839" w:rsidP="00671839">
      <w:pPr>
        <w:suppressAutoHyphens/>
        <w:rPr>
          <w:del w:id="15423" w:author="AbbVie02no" w:date="2025-05-15T14:21:00Z"/>
          <w:sz w:val="22"/>
          <w:szCs w:val="22"/>
        </w:rPr>
      </w:pPr>
    </w:p>
    <w:p w14:paraId="4F120F7C" w14:textId="0EEE06DE" w:rsidR="00671839" w:rsidRPr="00D42EE2" w:rsidRDefault="00E453CD" w:rsidP="00AF70AD">
      <w:pPr>
        <w:keepNext/>
        <w:suppressAutoHyphens/>
        <w:rPr>
          <w:del w:id="15424" w:author="AbbVie02no" w:date="2025-05-15T14:21:00Z"/>
          <w:sz w:val="22"/>
          <w:szCs w:val="22"/>
          <w:u w:val="single"/>
        </w:rPr>
      </w:pPr>
      <w:del w:id="15425" w:author="AbbVie02no" w:date="2025-05-15T14:21:00Z">
        <w:r w:rsidRPr="00D22D58">
          <w:rPr>
            <w:bCs/>
            <w:i/>
            <w:sz w:val="22"/>
          </w:rPr>
          <w:delText>Barn og ungdom fra 6 til 17 år som veier 40 kg eller mer</w:delText>
        </w:r>
      </w:del>
    </w:p>
    <w:p w14:paraId="02E8E410" w14:textId="5C8A2BD1" w:rsidR="00671839" w:rsidRPr="00D22D58" w:rsidRDefault="00671839" w:rsidP="00AF70AD">
      <w:pPr>
        <w:keepNext/>
        <w:suppressAutoHyphens/>
        <w:rPr>
          <w:del w:id="15426" w:author="AbbVie02no" w:date="2025-05-15T14:21:00Z"/>
          <w:sz w:val="22"/>
          <w:szCs w:val="22"/>
          <w:u w:val="single"/>
        </w:rPr>
      </w:pPr>
    </w:p>
    <w:p w14:paraId="3B81EF63" w14:textId="378FBD96" w:rsidR="00671839" w:rsidRPr="009C5EFD" w:rsidRDefault="00E453CD" w:rsidP="00671839">
      <w:pPr>
        <w:suppressAutoHyphens/>
        <w:rPr>
          <w:del w:id="15427" w:author="AbbVie02no" w:date="2025-05-15T14:21:00Z"/>
          <w:sz w:val="22"/>
          <w:szCs w:val="22"/>
        </w:rPr>
      </w:pPr>
      <w:del w:id="15428" w:author="AbbVie02no" w:date="2025-05-15T14:21:00Z">
        <w:r w:rsidRPr="009C5EFD">
          <w:rPr>
            <w:sz w:val="22"/>
            <w:szCs w:val="22"/>
          </w:rPr>
          <w:delText>Den vanlige doseringen er 80</w:delText>
        </w:r>
        <w:r w:rsidR="009A0654">
          <w:rPr>
            <w:sz w:val="22"/>
            <w:szCs w:val="22"/>
          </w:rPr>
          <w:delText> </w:delText>
        </w:r>
        <w:r w:rsidRPr="009C5EFD">
          <w:rPr>
            <w:sz w:val="22"/>
            <w:szCs w:val="22"/>
          </w:rPr>
          <w:delText>mg ved oppstart</w:delText>
        </w:r>
        <w:r>
          <w:rPr>
            <w:sz w:val="22"/>
            <w:szCs w:val="22"/>
          </w:rPr>
          <w:delText xml:space="preserve"> </w:delText>
        </w:r>
        <w:r w:rsidRPr="009C5EFD">
          <w:rPr>
            <w:sz w:val="22"/>
            <w:szCs w:val="22"/>
          </w:rPr>
          <w:delText xml:space="preserve">(som </w:delText>
        </w:r>
        <w:r w:rsidR="00CC0DA9">
          <w:rPr>
            <w:sz w:val="22"/>
            <w:szCs w:val="22"/>
          </w:rPr>
          <w:delText>to 40</w:delText>
        </w:r>
        <w:r w:rsidR="009A0654">
          <w:rPr>
            <w:sz w:val="22"/>
            <w:szCs w:val="22"/>
          </w:rPr>
          <w:delText> </w:delText>
        </w:r>
        <w:r w:rsidR="00CC0DA9">
          <w:rPr>
            <w:sz w:val="22"/>
            <w:szCs w:val="22"/>
          </w:rPr>
          <w:delText>mg</w:delText>
        </w:r>
        <w:r w:rsidR="00CC0DA9" w:rsidRPr="009C5EFD">
          <w:rPr>
            <w:sz w:val="22"/>
            <w:szCs w:val="22"/>
          </w:rPr>
          <w:delText xml:space="preserve"> </w:delText>
        </w:r>
        <w:r w:rsidRPr="009C5EFD">
          <w:rPr>
            <w:sz w:val="22"/>
            <w:szCs w:val="22"/>
          </w:rPr>
          <w:delText>injeksjoner på en dag), etterfulgt av 40</w:delText>
        </w:r>
        <w:r w:rsidR="009A0654">
          <w:rPr>
            <w:sz w:val="22"/>
            <w:szCs w:val="22"/>
          </w:rPr>
          <w:delText> </w:delText>
        </w:r>
        <w:r w:rsidRPr="009C5EFD">
          <w:rPr>
            <w:sz w:val="22"/>
            <w:szCs w:val="22"/>
          </w:rPr>
          <w:delText xml:space="preserve">mg to uker senere. Hvis det er behov for en raskere respons, kan </w:delText>
        </w:r>
        <w:r w:rsidR="00E42BA1">
          <w:rPr>
            <w:sz w:val="22"/>
            <w:szCs w:val="22"/>
          </w:rPr>
          <w:delText>legen din</w:delText>
        </w:r>
        <w:r w:rsidRPr="009C5EFD">
          <w:rPr>
            <w:sz w:val="22"/>
            <w:szCs w:val="22"/>
          </w:rPr>
          <w:delText xml:space="preserve"> forskrive en oppstartsdose på 160</w:delText>
        </w:r>
        <w:r w:rsidR="009A0654">
          <w:rPr>
            <w:sz w:val="22"/>
            <w:szCs w:val="22"/>
          </w:rPr>
          <w:delText> </w:delText>
        </w:r>
        <w:r w:rsidRPr="009C5EFD">
          <w:rPr>
            <w:sz w:val="22"/>
            <w:szCs w:val="22"/>
          </w:rPr>
          <w:delText xml:space="preserve">mg (som </w:delText>
        </w:r>
        <w:r w:rsidR="00CC0DA9">
          <w:rPr>
            <w:sz w:val="22"/>
            <w:szCs w:val="22"/>
          </w:rPr>
          <w:delText>fire 40</w:delText>
        </w:r>
        <w:r w:rsidR="009A0654">
          <w:rPr>
            <w:sz w:val="22"/>
            <w:szCs w:val="22"/>
          </w:rPr>
          <w:delText> </w:delText>
        </w:r>
        <w:r w:rsidR="00CC0DA9">
          <w:rPr>
            <w:sz w:val="22"/>
            <w:szCs w:val="22"/>
          </w:rPr>
          <w:delText>mg</w:delText>
        </w:r>
        <w:r w:rsidR="00CC0DA9" w:rsidRPr="009C5EFD">
          <w:rPr>
            <w:sz w:val="22"/>
            <w:szCs w:val="22"/>
          </w:rPr>
          <w:delText xml:space="preserve"> </w:delText>
        </w:r>
        <w:r w:rsidRPr="009C5EFD">
          <w:rPr>
            <w:sz w:val="22"/>
            <w:szCs w:val="22"/>
          </w:rPr>
          <w:delText xml:space="preserve">injeksjoner på en dag eller </w:delText>
        </w:r>
        <w:r w:rsidR="00CC0DA9">
          <w:rPr>
            <w:sz w:val="22"/>
            <w:szCs w:val="22"/>
          </w:rPr>
          <w:delText>to 40</w:delText>
        </w:r>
        <w:r w:rsidR="009A0654">
          <w:rPr>
            <w:sz w:val="22"/>
            <w:szCs w:val="22"/>
          </w:rPr>
          <w:delText> </w:delText>
        </w:r>
        <w:r w:rsidR="00CC0DA9">
          <w:rPr>
            <w:sz w:val="22"/>
            <w:szCs w:val="22"/>
          </w:rPr>
          <w:delText>mg</w:delText>
        </w:r>
        <w:r w:rsidR="00CC0DA9"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 etterfulgt av 80</w:delText>
        </w:r>
        <w:r w:rsidR="009A0654">
          <w:rPr>
            <w:sz w:val="22"/>
            <w:szCs w:val="22"/>
          </w:rPr>
          <w:delText> </w:delText>
        </w:r>
        <w:r w:rsidRPr="009C5EFD">
          <w:rPr>
            <w:sz w:val="22"/>
            <w:szCs w:val="22"/>
          </w:rPr>
          <w:delText xml:space="preserve">mg (som </w:delText>
        </w:r>
        <w:r w:rsidR="00CC0DA9">
          <w:rPr>
            <w:sz w:val="22"/>
            <w:szCs w:val="22"/>
          </w:rPr>
          <w:delText>to 40</w:delText>
        </w:r>
        <w:r w:rsidR="009A0654">
          <w:rPr>
            <w:sz w:val="22"/>
            <w:szCs w:val="22"/>
          </w:rPr>
          <w:delText> </w:delText>
        </w:r>
        <w:r w:rsidR="00CC0DA9">
          <w:rPr>
            <w:sz w:val="22"/>
            <w:szCs w:val="22"/>
          </w:rPr>
          <w:delText>mg</w:delText>
        </w:r>
        <w:r w:rsidR="00CC0DA9" w:rsidRPr="009C5EFD">
          <w:rPr>
            <w:sz w:val="22"/>
            <w:szCs w:val="22"/>
          </w:rPr>
          <w:delText xml:space="preserve"> </w:delText>
        </w:r>
        <w:r w:rsidRPr="009C5EFD">
          <w:rPr>
            <w:sz w:val="22"/>
            <w:szCs w:val="22"/>
          </w:rPr>
          <w:delText>injeksjoner på en dag)</w:delText>
        </w:r>
        <w:r>
          <w:rPr>
            <w:sz w:val="22"/>
            <w:szCs w:val="22"/>
          </w:rPr>
          <w:delText xml:space="preserve"> </w:delText>
        </w:r>
        <w:r w:rsidRPr="009C5EFD">
          <w:rPr>
            <w:sz w:val="22"/>
            <w:szCs w:val="22"/>
          </w:rPr>
          <w:delText xml:space="preserve">to uker senere. </w:delText>
        </w:r>
      </w:del>
    </w:p>
    <w:p w14:paraId="02C97DF1" w14:textId="2068F22B" w:rsidR="00671839" w:rsidRPr="009C5EFD" w:rsidRDefault="00671839" w:rsidP="00671839">
      <w:pPr>
        <w:suppressAutoHyphens/>
        <w:rPr>
          <w:del w:id="15429" w:author="AbbVie02no" w:date="2025-05-15T14:21:00Z"/>
          <w:sz w:val="22"/>
          <w:szCs w:val="22"/>
        </w:rPr>
      </w:pPr>
    </w:p>
    <w:p w14:paraId="06F129EC" w14:textId="6C8C93A2" w:rsidR="009C176A" w:rsidRPr="009C5EFD" w:rsidRDefault="00E453CD" w:rsidP="009C5EFD">
      <w:pPr>
        <w:suppressAutoHyphens/>
        <w:rPr>
          <w:del w:id="15430" w:author="AbbVie02no" w:date="2025-05-15T14:21:00Z"/>
          <w:sz w:val="22"/>
          <w:szCs w:val="22"/>
        </w:rPr>
      </w:pPr>
      <w:del w:id="15431" w:author="AbbVie02no" w:date="2025-05-15T14:21:00Z">
        <w:r w:rsidRPr="009C5EFD">
          <w:rPr>
            <w:sz w:val="22"/>
            <w:szCs w:val="22"/>
          </w:rPr>
          <w:lastRenderedPageBreak/>
          <w:delText>Deretter er vanlig dosering 40</w:delText>
        </w:r>
        <w:r w:rsidR="009A0654">
          <w:rPr>
            <w:sz w:val="22"/>
            <w:szCs w:val="22"/>
          </w:rPr>
          <w:delText> </w:delText>
        </w:r>
        <w:r w:rsidRPr="009C5EFD">
          <w:rPr>
            <w:sz w:val="22"/>
            <w:szCs w:val="22"/>
          </w:rPr>
          <w:delText xml:space="preserve">mg annenhver uke. </w:delText>
        </w:r>
        <w:r w:rsidR="00CC0DA9">
          <w:rPr>
            <w:sz w:val="22"/>
            <w:szCs w:val="22"/>
          </w:rPr>
          <w:delText>Legen din</w:delText>
        </w:r>
        <w:r w:rsidRPr="009C5EFD">
          <w:rPr>
            <w:sz w:val="22"/>
            <w:szCs w:val="22"/>
          </w:rPr>
          <w:delText xml:space="preserve"> kan øke dosering</w:delText>
        </w:r>
        <w:r w:rsidR="00CC0DA9">
          <w:rPr>
            <w:sz w:val="22"/>
            <w:szCs w:val="22"/>
          </w:rPr>
          <w:delText>en</w:delText>
        </w:r>
        <w:r w:rsidRPr="009C5EFD">
          <w:rPr>
            <w:sz w:val="22"/>
            <w:szCs w:val="22"/>
          </w:rPr>
          <w:delText xml:space="preserve"> til 40</w:delText>
        </w:r>
        <w:r w:rsidR="009A0654">
          <w:rPr>
            <w:sz w:val="22"/>
            <w:szCs w:val="22"/>
          </w:rPr>
          <w:delText> </w:delText>
        </w:r>
        <w:r w:rsidRPr="009C5EFD">
          <w:rPr>
            <w:sz w:val="22"/>
            <w:szCs w:val="22"/>
          </w:rPr>
          <w:delText xml:space="preserve">mg hver uke </w:delText>
        </w:r>
        <w:r w:rsidR="00E42BA1">
          <w:rPr>
            <w:sz w:val="22"/>
            <w:szCs w:val="22"/>
          </w:rPr>
          <w:delText>eller 80</w:delText>
        </w:r>
        <w:r w:rsidR="009A0654">
          <w:rPr>
            <w:sz w:val="22"/>
            <w:szCs w:val="22"/>
          </w:rPr>
          <w:delText> </w:delText>
        </w:r>
        <w:r w:rsidR="00E42BA1">
          <w:rPr>
            <w:sz w:val="22"/>
            <w:szCs w:val="22"/>
          </w:rPr>
          <w:delText xml:space="preserve">mg annenhver uke </w:delText>
        </w:r>
        <w:r w:rsidRPr="009C5EFD">
          <w:rPr>
            <w:sz w:val="22"/>
            <w:szCs w:val="22"/>
          </w:rPr>
          <w:delText xml:space="preserve">avhengig av </w:delText>
        </w:r>
        <w:r w:rsidR="00E42BA1">
          <w:rPr>
            <w:sz w:val="22"/>
            <w:szCs w:val="22"/>
          </w:rPr>
          <w:delText>din</w:delText>
        </w:r>
        <w:r w:rsidRPr="009C5EFD">
          <w:rPr>
            <w:sz w:val="22"/>
            <w:szCs w:val="22"/>
          </w:rPr>
          <w:delText xml:space="preserve"> respons.</w:delText>
        </w:r>
      </w:del>
    </w:p>
    <w:p w14:paraId="6CE1EC05" w14:textId="68089181" w:rsidR="009C176A" w:rsidRPr="009C5EFD" w:rsidRDefault="009C176A" w:rsidP="009C5EFD">
      <w:pPr>
        <w:suppressAutoHyphens/>
        <w:rPr>
          <w:del w:id="15432" w:author="AbbVie02no" w:date="2025-05-15T14:21:00Z"/>
          <w:sz w:val="22"/>
          <w:szCs w:val="22"/>
        </w:rPr>
      </w:pPr>
    </w:p>
    <w:p w14:paraId="32286FDF" w14:textId="37D70867" w:rsidR="00047C52" w:rsidRPr="009C5EFD" w:rsidRDefault="00E453CD" w:rsidP="00EC0A94">
      <w:pPr>
        <w:keepNext/>
        <w:suppressAutoHyphens/>
        <w:rPr>
          <w:del w:id="15433" w:author="AbbVie02no" w:date="2025-05-15T14:21:00Z"/>
          <w:sz w:val="22"/>
          <w:szCs w:val="22"/>
        </w:rPr>
      </w:pPr>
      <w:del w:id="15434" w:author="AbbVie02no" w:date="2025-05-15T14:21:00Z">
        <w:r w:rsidRPr="009C5EFD">
          <w:rPr>
            <w:sz w:val="22"/>
            <w:szCs w:val="22"/>
            <w:u w:val="single"/>
          </w:rPr>
          <w:delText>Voksne med ulcerøs kolitt</w:delText>
        </w:r>
        <w:r w:rsidR="00DE3458" w:rsidRPr="009C5EFD">
          <w:rPr>
            <w:sz w:val="22"/>
            <w:szCs w:val="22"/>
          </w:rPr>
          <w:delText xml:space="preserve"> </w:delText>
        </w:r>
      </w:del>
    </w:p>
    <w:p w14:paraId="54589680" w14:textId="4F6A2305" w:rsidR="00047C52" w:rsidRPr="009C5EFD" w:rsidRDefault="00047C52" w:rsidP="00EC0A94">
      <w:pPr>
        <w:keepNext/>
        <w:suppressAutoHyphens/>
        <w:rPr>
          <w:del w:id="15435" w:author="AbbVie02no" w:date="2025-05-15T14:21:00Z"/>
          <w:sz w:val="22"/>
          <w:szCs w:val="22"/>
        </w:rPr>
      </w:pPr>
    </w:p>
    <w:p w14:paraId="65929A31" w14:textId="349041D8" w:rsidR="00DE3458" w:rsidRDefault="00E453CD" w:rsidP="00776A84">
      <w:pPr>
        <w:suppressAutoHyphens/>
        <w:rPr>
          <w:del w:id="15436" w:author="AbbVie02no" w:date="2025-05-15T14:21:00Z"/>
          <w:sz w:val="22"/>
          <w:szCs w:val="22"/>
        </w:rPr>
      </w:pPr>
      <w:del w:id="15437" w:author="AbbVie02no" w:date="2025-05-15T14:21:00Z">
        <w:r w:rsidRPr="009C5EFD">
          <w:rPr>
            <w:sz w:val="22"/>
            <w:szCs w:val="22"/>
          </w:rPr>
          <w:delText xml:space="preserve">Den vanlige Humira dosen for voksne pasienter med ulcerøs kolitt er 160 mg ved uke 0 (som </w:delText>
        </w:r>
        <w:r w:rsidR="00E42BA1">
          <w:rPr>
            <w:sz w:val="22"/>
            <w:szCs w:val="22"/>
          </w:rPr>
          <w:delText>fire 40</w:delText>
        </w:r>
        <w:r w:rsidR="009A0654">
          <w:rPr>
            <w:sz w:val="22"/>
            <w:szCs w:val="22"/>
          </w:rPr>
          <w:delText> </w:delText>
        </w:r>
        <w:r w:rsidR="00E42BA1">
          <w:rPr>
            <w:sz w:val="22"/>
            <w:szCs w:val="22"/>
          </w:rPr>
          <w:delText>mg</w:delText>
        </w:r>
        <w:r w:rsidR="00E42BA1" w:rsidRPr="009C5EFD">
          <w:rPr>
            <w:sz w:val="22"/>
            <w:szCs w:val="22"/>
          </w:rPr>
          <w:delText xml:space="preserve"> </w:delText>
        </w:r>
        <w:r w:rsidRPr="009C5EFD">
          <w:rPr>
            <w:sz w:val="22"/>
            <w:szCs w:val="22"/>
          </w:rPr>
          <w:delText xml:space="preserve">injeksjoner på en dag eller som </w:delText>
        </w:r>
        <w:r w:rsidR="00E42BA1">
          <w:rPr>
            <w:sz w:val="22"/>
            <w:szCs w:val="22"/>
          </w:rPr>
          <w:delText>to 40</w:delText>
        </w:r>
        <w:r w:rsidR="009A0654">
          <w:rPr>
            <w:sz w:val="22"/>
            <w:szCs w:val="22"/>
          </w:rPr>
          <w:delText> </w:delText>
        </w:r>
        <w:r w:rsidR="00E42BA1">
          <w:rPr>
            <w:sz w:val="22"/>
            <w:szCs w:val="22"/>
          </w:rPr>
          <w:delText>mg</w:delText>
        </w:r>
        <w:r w:rsidR="00E42BA1"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w:delText>
        </w:r>
        <w:r w:rsidR="006E24C0" w:rsidRPr="009C5EFD">
          <w:rPr>
            <w:sz w:val="22"/>
            <w:szCs w:val="22"/>
          </w:rPr>
          <w:delText>,</w:delText>
        </w:r>
        <w:r w:rsidRPr="009C5EFD">
          <w:rPr>
            <w:sz w:val="22"/>
            <w:szCs w:val="22"/>
          </w:rPr>
          <w:delText xml:space="preserve"> etterfulgt av 80</w:delText>
        </w:r>
        <w:r w:rsidR="009A0654">
          <w:rPr>
            <w:sz w:val="22"/>
            <w:szCs w:val="22"/>
          </w:rPr>
          <w:delText> </w:delText>
        </w:r>
        <w:r w:rsidRPr="009C5EFD">
          <w:rPr>
            <w:sz w:val="22"/>
            <w:szCs w:val="22"/>
          </w:rPr>
          <w:delText>mg</w:delText>
        </w:r>
        <w:r w:rsidR="00095354">
          <w:rPr>
            <w:sz w:val="22"/>
            <w:szCs w:val="22"/>
          </w:rPr>
          <w:delText xml:space="preserve"> </w:delText>
        </w:r>
        <w:r w:rsidR="00095354" w:rsidRPr="009C5EFD">
          <w:rPr>
            <w:sz w:val="22"/>
            <w:szCs w:val="22"/>
          </w:rPr>
          <w:delText xml:space="preserve">(som </w:delText>
        </w:r>
        <w:r w:rsidR="00E42BA1">
          <w:rPr>
            <w:sz w:val="22"/>
            <w:szCs w:val="22"/>
          </w:rPr>
          <w:delText>to 40</w:delText>
        </w:r>
        <w:r w:rsidR="009A0654">
          <w:rPr>
            <w:sz w:val="22"/>
            <w:szCs w:val="22"/>
          </w:rPr>
          <w:delText> </w:delText>
        </w:r>
        <w:r w:rsidR="00E42BA1">
          <w:rPr>
            <w:sz w:val="22"/>
            <w:szCs w:val="22"/>
          </w:rPr>
          <w:delText>mg</w:delText>
        </w:r>
        <w:r w:rsidR="00E42BA1" w:rsidRPr="009C5EFD">
          <w:rPr>
            <w:sz w:val="22"/>
            <w:szCs w:val="22"/>
          </w:rPr>
          <w:delText xml:space="preserve"> </w:delText>
        </w:r>
        <w:r w:rsidR="00095354" w:rsidRPr="009C5EFD">
          <w:rPr>
            <w:sz w:val="22"/>
            <w:szCs w:val="22"/>
          </w:rPr>
          <w:delText>injeksjoner på en dag)</w:delText>
        </w:r>
        <w:r w:rsidRPr="009C5EFD">
          <w:rPr>
            <w:sz w:val="22"/>
            <w:szCs w:val="22"/>
          </w:rPr>
          <w:delText xml:space="preserve"> ved uke</w:delText>
        </w:r>
        <w:r w:rsidR="009A0654">
          <w:rPr>
            <w:sz w:val="22"/>
            <w:szCs w:val="22"/>
          </w:rPr>
          <w:delText> </w:delText>
        </w:r>
        <w:r w:rsidRPr="009C5EFD">
          <w:rPr>
            <w:sz w:val="22"/>
            <w:szCs w:val="22"/>
          </w:rPr>
          <w:delText>2, og deretter 40</w:delText>
        </w:r>
        <w:r w:rsidR="009A0654">
          <w:rPr>
            <w:sz w:val="22"/>
            <w:szCs w:val="22"/>
          </w:rPr>
          <w:delText> </w:delText>
        </w:r>
        <w:r w:rsidRPr="009C5EFD">
          <w:rPr>
            <w:sz w:val="22"/>
            <w:szCs w:val="22"/>
          </w:rPr>
          <w:delText>mg annenhver uke. Avhengig av din respons kan l</w:delText>
        </w:r>
        <w:r w:rsidR="006F09CB" w:rsidRPr="009C5EFD">
          <w:rPr>
            <w:sz w:val="22"/>
            <w:szCs w:val="22"/>
          </w:rPr>
          <w:delText>egen din øke dose</w:delText>
        </w:r>
        <w:r w:rsidR="00354512">
          <w:rPr>
            <w:sz w:val="22"/>
            <w:szCs w:val="22"/>
          </w:rPr>
          <w:delText>ringen</w:delText>
        </w:r>
        <w:r w:rsidR="006F09CB" w:rsidRPr="009C5EFD">
          <w:rPr>
            <w:sz w:val="22"/>
            <w:szCs w:val="22"/>
          </w:rPr>
          <w:delText xml:space="preserve"> til 40</w:delText>
        </w:r>
        <w:r w:rsidR="009A0654">
          <w:rPr>
            <w:sz w:val="22"/>
            <w:szCs w:val="22"/>
          </w:rPr>
          <w:delText> </w:delText>
        </w:r>
        <w:r w:rsidR="006F09CB" w:rsidRPr="009C5EFD">
          <w:rPr>
            <w:sz w:val="22"/>
            <w:szCs w:val="22"/>
          </w:rPr>
          <w:delText>mg hver</w:delText>
        </w:r>
        <w:r w:rsidRPr="009C5EFD">
          <w:rPr>
            <w:sz w:val="22"/>
            <w:szCs w:val="22"/>
          </w:rPr>
          <w:delText xml:space="preserve"> uke</w:delText>
        </w:r>
        <w:r w:rsidR="00E42BA1">
          <w:rPr>
            <w:sz w:val="22"/>
            <w:szCs w:val="22"/>
          </w:rPr>
          <w:delText xml:space="preserve"> eller 80</w:delText>
        </w:r>
        <w:r w:rsidR="009A0654">
          <w:rPr>
            <w:sz w:val="22"/>
            <w:szCs w:val="22"/>
          </w:rPr>
          <w:delText> </w:delText>
        </w:r>
        <w:r w:rsidR="00E42BA1">
          <w:rPr>
            <w:sz w:val="22"/>
            <w:szCs w:val="22"/>
          </w:rPr>
          <w:delText>mg annenhver uke</w:delText>
        </w:r>
        <w:r w:rsidRPr="009C5EFD">
          <w:rPr>
            <w:sz w:val="22"/>
            <w:szCs w:val="22"/>
          </w:rPr>
          <w:delText>.</w:delText>
        </w:r>
      </w:del>
    </w:p>
    <w:p w14:paraId="44324702" w14:textId="1D3ADBAE" w:rsidR="00CF2468" w:rsidRDefault="00CF2468" w:rsidP="00776A84">
      <w:pPr>
        <w:suppressAutoHyphens/>
        <w:rPr>
          <w:del w:id="15438" w:author="AbbVie02no" w:date="2025-05-15T14:21:00Z"/>
          <w:sz w:val="22"/>
          <w:szCs w:val="22"/>
        </w:rPr>
      </w:pPr>
    </w:p>
    <w:p w14:paraId="57DADF35" w14:textId="06D3839D" w:rsidR="00CF2468" w:rsidRPr="00E04B2A" w:rsidRDefault="00E453CD" w:rsidP="00CF2468">
      <w:pPr>
        <w:numPr>
          <w:ilvl w:val="12"/>
          <w:numId w:val="0"/>
        </w:numPr>
        <w:ind w:right="-2"/>
        <w:rPr>
          <w:del w:id="15439" w:author="AbbVie02no" w:date="2025-05-15T14:21:00Z"/>
          <w:sz w:val="22"/>
          <w:u w:val="single"/>
        </w:rPr>
      </w:pPr>
      <w:del w:id="15440" w:author="AbbVie02no" w:date="2025-05-15T14:21:00Z">
        <w:r w:rsidRPr="00E04B2A">
          <w:rPr>
            <w:sz w:val="22"/>
            <w:u w:val="single"/>
          </w:rPr>
          <w:delText>Barn og ungdom med ulcerøs kolitt</w:delText>
        </w:r>
      </w:del>
    </w:p>
    <w:p w14:paraId="02B1D909" w14:textId="7B6CBF86" w:rsidR="00CF2468" w:rsidRPr="00E04B2A" w:rsidRDefault="00CF2468" w:rsidP="00CF2468">
      <w:pPr>
        <w:numPr>
          <w:ilvl w:val="12"/>
          <w:numId w:val="0"/>
        </w:numPr>
        <w:ind w:right="-2"/>
        <w:rPr>
          <w:del w:id="15441" w:author="AbbVie02no" w:date="2025-05-15T14:21:00Z"/>
          <w:sz w:val="22"/>
        </w:rPr>
      </w:pPr>
    </w:p>
    <w:p w14:paraId="7BDFED81" w14:textId="0C19FADF" w:rsidR="00CF2468" w:rsidRPr="00E04B2A" w:rsidRDefault="00E453CD" w:rsidP="00CF2468">
      <w:pPr>
        <w:numPr>
          <w:ilvl w:val="12"/>
          <w:numId w:val="0"/>
        </w:numPr>
        <w:ind w:right="-2"/>
        <w:rPr>
          <w:del w:id="15442" w:author="AbbVie02no" w:date="2025-05-15T14:21:00Z"/>
          <w:i/>
          <w:iCs/>
          <w:sz w:val="22"/>
        </w:rPr>
      </w:pPr>
      <w:del w:id="15443" w:author="AbbVie02no" w:date="2025-05-15T14:21:00Z">
        <w:r w:rsidRPr="00E04B2A">
          <w:rPr>
            <w:i/>
            <w:sz w:val="22"/>
          </w:rPr>
          <w:delText xml:space="preserve">Barn og ungdom fra 6 år som veier </w:delText>
        </w:r>
        <w:r w:rsidR="00AE6009">
          <w:rPr>
            <w:i/>
            <w:sz w:val="22"/>
          </w:rPr>
          <w:delText>under</w:delText>
        </w:r>
        <w:r w:rsidRPr="00E04B2A">
          <w:rPr>
            <w:i/>
            <w:sz w:val="22"/>
          </w:rPr>
          <w:delText xml:space="preserve"> 40 kg</w:delText>
        </w:r>
      </w:del>
    </w:p>
    <w:p w14:paraId="58A779C1" w14:textId="5BBA0637" w:rsidR="00CF2468" w:rsidRPr="00E04B2A" w:rsidRDefault="00CF2468" w:rsidP="00CF2468">
      <w:pPr>
        <w:numPr>
          <w:ilvl w:val="12"/>
          <w:numId w:val="0"/>
        </w:numPr>
        <w:ind w:right="-2"/>
        <w:rPr>
          <w:del w:id="15444" w:author="AbbVie02no" w:date="2025-05-15T14:21:00Z"/>
          <w:sz w:val="22"/>
        </w:rPr>
      </w:pPr>
    </w:p>
    <w:p w14:paraId="2BF6D6AD" w14:textId="65D77B25" w:rsidR="00CF2468" w:rsidRPr="00E04B2A" w:rsidRDefault="00E453CD" w:rsidP="00CF2468">
      <w:pPr>
        <w:numPr>
          <w:ilvl w:val="12"/>
          <w:numId w:val="0"/>
        </w:numPr>
        <w:ind w:right="-2"/>
        <w:rPr>
          <w:del w:id="15445" w:author="AbbVie02no" w:date="2025-05-15T14:21:00Z"/>
          <w:sz w:val="22"/>
        </w:rPr>
      </w:pPr>
      <w:del w:id="15446" w:author="AbbVie02no" w:date="2025-05-15T14:21:00Z">
        <w:r w:rsidRPr="00E04B2A">
          <w:rPr>
            <w:sz w:val="22"/>
          </w:rPr>
          <w:delText xml:space="preserve">Den </w:delText>
        </w:r>
        <w:r w:rsidR="00AE6009" w:rsidRPr="00AE6009">
          <w:rPr>
            <w:sz w:val="22"/>
          </w:rPr>
          <w:delText xml:space="preserve">vanlige </w:delText>
        </w:r>
        <w:r w:rsidRPr="00E04B2A">
          <w:rPr>
            <w:sz w:val="22"/>
          </w:rPr>
          <w:delText xml:space="preserve">dosen </w:delText>
        </w:r>
        <w:r w:rsidR="00AE6009">
          <w:rPr>
            <w:sz w:val="22"/>
          </w:rPr>
          <w:delText xml:space="preserve">av Humira </w:delText>
        </w:r>
        <w:r w:rsidRPr="00E04B2A">
          <w:rPr>
            <w:sz w:val="22"/>
          </w:rPr>
          <w:delText xml:space="preserve">er 80 mg (som to 40 mg injeksjoner på </w:delText>
        </w:r>
        <w:r w:rsidR="004B7798">
          <w:rPr>
            <w:sz w:val="22"/>
          </w:rPr>
          <w:delText>é</w:delText>
        </w:r>
        <w:r w:rsidRPr="00E04B2A">
          <w:rPr>
            <w:sz w:val="22"/>
          </w:rPr>
          <w:delText xml:space="preserve">n dag), etterfulgt av 40 mg (som én 40 mg injeksjon) to uker senere. Deretter er den vanlige dosen 40 mg annenhver uke. </w:delText>
        </w:r>
      </w:del>
    </w:p>
    <w:p w14:paraId="37968476" w14:textId="169C2165" w:rsidR="00CF2468" w:rsidRPr="00E04B2A" w:rsidRDefault="00CF2468" w:rsidP="00CF2468">
      <w:pPr>
        <w:numPr>
          <w:ilvl w:val="12"/>
          <w:numId w:val="0"/>
        </w:numPr>
        <w:ind w:right="-2"/>
        <w:rPr>
          <w:del w:id="15447" w:author="AbbVie02no" w:date="2025-05-15T14:21:00Z"/>
          <w:sz w:val="22"/>
        </w:rPr>
      </w:pPr>
    </w:p>
    <w:p w14:paraId="24648600" w14:textId="56DD0F0D" w:rsidR="00CF2468" w:rsidRDefault="00E453CD" w:rsidP="00CF2468">
      <w:pPr>
        <w:numPr>
          <w:ilvl w:val="12"/>
          <w:numId w:val="0"/>
        </w:numPr>
        <w:ind w:right="-2"/>
        <w:rPr>
          <w:del w:id="15448" w:author="AbbVie02no" w:date="2025-05-15T14:21:00Z"/>
          <w:sz w:val="22"/>
        </w:rPr>
      </w:pPr>
      <w:del w:id="15449" w:author="AbbVie02no" w:date="2025-05-15T14:21:00Z">
        <w:r w:rsidRPr="00E04B2A">
          <w:rPr>
            <w:sz w:val="22"/>
          </w:rPr>
          <w:delText xml:space="preserve">Pasienter som fyller 18 år mens de får 40 mg annenhver uke, bør fortsette </w:delText>
        </w:r>
        <w:r w:rsidR="00AE6009">
          <w:rPr>
            <w:sz w:val="22"/>
          </w:rPr>
          <w:delText xml:space="preserve">med </w:delText>
        </w:r>
        <w:r w:rsidRPr="00E04B2A">
          <w:rPr>
            <w:sz w:val="22"/>
          </w:rPr>
          <w:delText>den foreskrevne dosen.</w:delText>
        </w:r>
      </w:del>
    </w:p>
    <w:p w14:paraId="3F756D64" w14:textId="79975849" w:rsidR="00FE2F56" w:rsidRDefault="00FE2F56" w:rsidP="00CF2468">
      <w:pPr>
        <w:numPr>
          <w:ilvl w:val="12"/>
          <w:numId w:val="0"/>
        </w:numPr>
        <w:ind w:right="-2"/>
        <w:rPr>
          <w:del w:id="15450" w:author="AbbVie02no" w:date="2025-05-15T14:21:00Z"/>
          <w:sz w:val="22"/>
        </w:rPr>
      </w:pPr>
    </w:p>
    <w:p w14:paraId="16F2626F" w14:textId="43D95C53" w:rsidR="00FE2F56" w:rsidRPr="00E04B2A" w:rsidRDefault="00E453CD" w:rsidP="00FE2F56">
      <w:pPr>
        <w:numPr>
          <w:ilvl w:val="12"/>
          <w:numId w:val="0"/>
        </w:numPr>
        <w:ind w:right="-2"/>
        <w:rPr>
          <w:del w:id="15451" w:author="AbbVie02no" w:date="2025-05-15T14:21:00Z"/>
          <w:i/>
          <w:iCs/>
          <w:sz w:val="22"/>
        </w:rPr>
      </w:pPr>
      <w:del w:id="15452" w:author="AbbVie02no" w:date="2025-05-15T14:21:00Z">
        <w:r w:rsidRPr="00E04B2A">
          <w:rPr>
            <w:i/>
            <w:sz w:val="22"/>
          </w:rPr>
          <w:delText>Barn og ungdom fra 6 år som veier 40 kg</w:delText>
        </w:r>
        <w:r w:rsidR="00AE6009">
          <w:rPr>
            <w:i/>
            <w:sz w:val="22"/>
          </w:rPr>
          <w:delText xml:space="preserve"> eller mer</w:delText>
        </w:r>
      </w:del>
    </w:p>
    <w:p w14:paraId="6BB6EC47" w14:textId="04B7C308" w:rsidR="00FE2F56" w:rsidRPr="00E04B2A" w:rsidRDefault="00FE2F56" w:rsidP="00FE2F56">
      <w:pPr>
        <w:numPr>
          <w:ilvl w:val="12"/>
          <w:numId w:val="0"/>
        </w:numPr>
        <w:ind w:right="-2"/>
        <w:rPr>
          <w:del w:id="15453" w:author="AbbVie02no" w:date="2025-05-15T14:21:00Z"/>
          <w:i/>
          <w:iCs/>
          <w:sz w:val="22"/>
        </w:rPr>
      </w:pPr>
    </w:p>
    <w:p w14:paraId="63934339" w14:textId="0D1132D5" w:rsidR="00FE2F56" w:rsidRPr="00E04B2A" w:rsidRDefault="00E453CD" w:rsidP="00FE2F56">
      <w:pPr>
        <w:numPr>
          <w:ilvl w:val="12"/>
          <w:numId w:val="0"/>
        </w:numPr>
        <w:ind w:right="-2"/>
        <w:rPr>
          <w:del w:id="15454" w:author="AbbVie02no" w:date="2025-05-15T14:21:00Z"/>
          <w:sz w:val="22"/>
        </w:rPr>
      </w:pPr>
      <w:del w:id="15455" w:author="AbbVie02no" w:date="2025-05-15T14:21:00Z">
        <w:r>
          <w:rPr>
            <w:sz w:val="22"/>
          </w:rPr>
          <w:delText xml:space="preserve">Den </w:delText>
        </w:r>
        <w:r w:rsidR="00AE6009" w:rsidRPr="00AE6009">
          <w:rPr>
            <w:sz w:val="22"/>
          </w:rPr>
          <w:delText xml:space="preserve">vanlige </w:delText>
        </w:r>
        <w:r>
          <w:rPr>
            <w:sz w:val="22"/>
          </w:rPr>
          <w:delText xml:space="preserve">dosen </w:delText>
        </w:r>
        <w:r w:rsidR="00AE6009">
          <w:rPr>
            <w:sz w:val="22"/>
          </w:rPr>
          <w:delText xml:space="preserve">av Humira </w:delText>
        </w:r>
        <w:r>
          <w:rPr>
            <w:sz w:val="22"/>
          </w:rPr>
          <w:delText>er 160</w:delText>
        </w:r>
        <w:r w:rsidRPr="00E04B2A">
          <w:rPr>
            <w:sz w:val="22"/>
          </w:rPr>
          <w:delText xml:space="preserve"> mg (som fire 40 mg injeksjoner på </w:delText>
        </w:r>
        <w:r w:rsidR="004B7798">
          <w:rPr>
            <w:sz w:val="22"/>
          </w:rPr>
          <w:delText>é</w:delText>
        </w:r>
        <w:r w:rsidRPr="00E04B2A">
          <w:rPr>
            <w:sz w:val="22"/>
          </w:rPr>
          <w:delText>n dag eller to 40 mg injeksjoner dag</w:delText>
        </w:r>
        <w:r w:rsidR="00AE6009">
          <w:rPr>
            <w:sz w:val="22"/>
          </w:rPr>
          <w:delText>lig</w:delText>
        </w:r>
        <w:r w:rsidRPr="00E04B2A">
          <w:rPr>
            <w:sz w:val="22"/>
          </w:rPr>
          <w:delText xml:space="preserve"> </w:delText>
        </w:r>
        <w:r w:rsidR="00326F9C">
          <w:rPr>
            <w:sz w:val="22"/>
          </w:rPr>
          <w:delText>i</w:delText>
        </w:r>
        <w:r w:rsidRPr="00E04B2A">
          <w:rPr>
            <w:sz w:val="22"/>
          </w:rPr>
          <w:delText xml:space="preserve"> to påfølgende dager), etterfulgt av 80 mg (som to 40 mg injeksjoner på én dag) to uker senere. Deretter er den vanlige dosen 80 mg annenhver uke. </w:delText>
        </w:r>
      </w:del>
    </w:p>
    <w:p w14:paraId="2386BD0C" w14:textId="67D7D477" w:rsidR="00FE2F56" w:rsidRPr="00E04B2A" w:rsidRDefault="00FE2F56" w:rsidP="00FE2F56">
      <w:pPr>
        <w:numPr>
          <w:ilvl w:val="12"/>
          <w:numId w:val="0"/>
        </w:numPr>
        <w:ind w:right="-2"/>
        <w:rPr>
          <w:del w:id="15456" w:author="AbbVie02no" w:date="2025-05-15T14:21:00Z"/>
          <w:sz w:val="22"/>
        </w:rPr>
      </w:pPr>
    </w:p>
    <w:p w14:paraId="030F38F3" w14:textId="4D91CCAF" w:rsidR="00FE2F56" w:rsidRDefault="00E453CD" w:rsidP="00FE2F56">
      <w:pPr>
        <w:numPr>
          <w:ilvl w:val="12"/>
          <w:numId w:val="0"/>
        </w:numPr>
        <w:ind w:right="-2"/>
        <w:rPr>
          <w:del w:id="15457" w:author="AbbVie02no" w:date="2025-05-15T14:21:00Z"/>
          <w:sz w:val="22"/>
        </w:rPr>
      </w:pPr>
      <w:del w:id="15458" w:author="AbbVie02no" w:date="2025-05-15T14:21:00Z">
        <w:r w:rsidRPr="00E04B2A">
          <w:rPr>
            <w:sz w:val="22"/>
          </w:rPr>
          <w:delText xml:space="preserve">Pasienter som fyller 18 år mens de får 80 mg annenhver uke, bør fortsette </w:delText>
        </w:r>
        <w:r w:rsidR="00AE6009">
          <w:rPr>
            <w:sz w:val="22"/>
          </w:rPr>
          <w:delText xml:space="preserve">med </w:delText>
        </w:r>
        <w:r w:rsidRPr="00E04B2A">
          <w:rPr>
            <w:sz w:val="22"/>
          </w:rPr>
          <w:delText>den foreskrevne dosen.</w:delText>
        </w:r>
      </w:del>
    </w:p>
    <w:p w14:paraId="7A086F9B" w14:textId="6D663E3F" w:rsidR="00B64440" w:rsidRPr="00E04B2A" w:rsidRDefault="00B64440" w:rsidP="00FE2F56">
      <w:pPr>
        <w:numPr>
          <w:ilvl w:val="12"/>
          <w:numId w:val="0"/>
        </w:numPr>
        <w:ind w:right="-2"/>
        <w:rPr>
          <w:del w:id="15459" w:author="AbbVie02no" w:date="2025-05-15T14:21:00Z"/>
          <w:sz w:val="22"/>
        </w:rPr>
      </w:pPr>
    </w:p>
    <w:p w14:paraId="30AE8965" w14:textId="679B00D1" w:rsidR="00836BFE" w:rsidRDefault="00E453CD" w:rsidP="00EC0A94">
      <w:pPr>
        <w:keepNext/>
        <w:suppressAutoHyphens/>
        <w:rPr>
          <w:del w:id="15460" w:author="AbbVie02no" w:date="2025-05-15T14:21:00Z"/>
          <w:sz w:val="22"/>
          <w:szCs w:val="22"/>
          <w:u w:val="single"/>
        </w:rPr>
      </w:pPr>
      <w:del w:id="15461" w:author="AbbVie02no" w:date="2025-05-15T14:21:00Z">
        <w:r w:rsidRPr="009C5EFD">
          <w:rPr>
            <w:sz w:val="22"/>
            <w:szCs w:val="22"/>
            <w:u w:val="single"/>
          </w:rPr>
          <w:delText xml:space="preserve">Voksne med </w:delText>
        </w:r>
        <w:r>
          <w:rPr>
            <w:sz w:val="22"/>
            <w:szCs w:val="22"/>
            <w:u w:val="single"/>
          </w:rPr>
          <w:delText>ikke-infeksiøs uveitt</w:delText>
        </w:r>
      </w:del>
    </w:p>
    <w:p w14:paraId="32D9AA74" w14:textId="407B3D4C" w:rsidR="00836BFE" w:rsidRDefault="00836BFE" w:rsidP="00EC0A94">
      <w:pPr>
        <w:keepNext/>
        <w:suppressAutoHyphens/>
        <w:rPr>
          <w:del w:id="15462" w:author="AbbVie02no" w:date="2025-05-15T14:21:00Z"/>
          <w:sz w:val="22"/>
          <w:szCs w:val="22"/>
          <w:u w:val="single"/>
        </w:rPr>
      </w:pPr>
    </w:p>
    <w:p w14:paraId="636CF7E9" w14:textId="3C13BAFE" w:rsidR="00836BFE" w:rsidRDefault="00E453CD" w:rsidP="00776A84">
      <w:pPr>
        <w:suppressAutoHyphens/>
        <w:rPr>
          <w:del w:id="15463" w:author="AbbVie02no" w:date="2025-05-15T14:21:00Z"/>
          <w:sz w:val="22"/>
          <w:szCs w:val="22"/>
        </w:rPr>
      </w:pPr>
      <w:del w:id="15464" w:author="AbbVie02no" w:date="2025-05-15T14:21:00Z">
        <w:r w:rsidRPr="00836BFE">
          <w:rPr>
            <w:sz w:val="22"/>
            <w:szCs w:val="22"/>
          </w:rPr>
          <w:delText xml:space="preserve">Den vanlige dosen for voksne pasienter med </w:delText>
        </w:r>
        <w:r>
          <w:rPr>
            <w:sz w:val="22"/>
            <w:szCs w:val="22"/>
          </w:rPr>
          <w:delText xml:space="preserve">ikke-infeksiøs uveitt </w:delText>
        </w:r>
        <w:r w:rsidRPr="00836BFE">
          <w:rPr>
            <w:sz w:val="22"/>
            <w:szCs w:val="22"/>
          </w:rPr>
          <w:delText xml:space="preserve">er en </w:delText>
        </w:r>
        <w:r w:rsidR="00C72976">
          <w:rPr>
            <w:sz w:val="22"/>
            <w:szCs w:val="22"/>
          </w:rPr>
          <w:delText>start</w:delText>
        </w:r>
        <w:r w:rsidRPr="00836BFE">
          <w:rPr>
            <w:sz w:val="22"/>
            <w:szCs w:val="22"/>
          </w:rPr>
          <w:delText>dose på 80 mg</w:delText>
        </w:r>
        <w:r w:rsidR="00095354">
          <w:rPr>
            <w:sz w:val="22"/>
            <w:szCs w:val="22"/>
          </w:rPr>
          <w:delText xml:space="preserve"> </w:delText>
        </w:r>
        <w:r w:rsidR="00095354" w:rsidRPr="009C5EFD">
          <w:rPr>
            <w:sz w:val="22"/>
            <w:szCs w:val="22"/>
          </w:rPr>
          <w:delText>(som 2 injeksjoner på en dag)</w:delText>
        </w:r>
        <w:r w:rsidRPr="00836BFE">
          <w:rPr>
            <w:sz w:val="22"/>
            <w:szCs w:val="22"/>
          </w:rPr>
          <w:delText xml:space="preserve">, etterfulgt av 40 mg annenhver uke som starter </w:delText>
        </w:r>
        <w:r w:rsidR="00353CFE">
          <w:rPr>
            <w:sz w:val="22"/>
            <w:szCs w:val="22"/>
          </w:rPr>
          <w:delText>é</w:delText>
        </w:r>
        <w:r w:rsidRPr="00836BFE">
          <w:rPr>
            <w:sz w:val="22"/>
            <w:szCs w:val="22"/>
          </w:rPr>
          <w:delText>n uke etter den første dosen.</w:delText>
        </w:r>
        <w:r w:rsidR="00D2298B">
          <w:rPr>
            <w:sz w:val="22"/>
            <w:szCs w:val="22"/>
          </w:rPr>
          <w:delText xml:space="preserve"> </w:delText>
        </w:r>
        <w:r w:rsidR="00D2298B" w:rsidRPr="009C5EFD">
          <w:rPr>
            <w:sz w:val="22"/>
            <w:szCs w:val="22"/>
          </w:rPr>
          <w:delText>Du bør fortsette med injeksjoner av Humira så lenge som legen har gitt beskjed om</w:delText>
        </w:r>
        <w:r w:rsidR="00353CFE">
          <w:rPr>
            <w:sz w:val="22"/>
            <w:szCs w:val="22"/>
          </w:rPr>
          <w:delText xml:space="preserve"> det</w:delText>
        </w:r>
        <w:r w:rsidR="00D2298B" w:rsidRPr="009C5EFD">
          <w:rPr>
            <w:sz w:val="22"/>
            <w:szCs w:val="22"/>
          </w:rPr>
          <w:delText>.</w:delText>
        </w:r>
      </w:del>
    </w:p>
    <w:p w14:paraId="666F8254" w14:textId="5BF97D03" w:rsidR="00D2298B" w:rsidRDefault="00D2298B" w:rsidP="00776A84">
      <w:pPr>
        <w:suppressAutoHyphens/>
        <w:rPr>
          <w:del w:id="15465" w:author="AbbVie02no" w:date="2025-05-15T14:21:00Z"/>
          <w:sz w:val="22"/>
          <w:szCs w:val="22"/>
        </w:rPr>
      </w:pPr>
    </w:p>
    <w:p w14:paraId="5EE7C4CE" w14:textId="3811B8EF" w:rsidR="000877DF" w:rsidRDefault="00E453CD" w:rsidP="00776A84">
      <w:pPr>
        <w:suppressAutoHyphens/>
        <w:rPr>
          <w:del w:id="15466" w:author="AbbVie02no" w:date="2025-05-15T14:21:00Z"/>
          <w:sz w:val="22"/>
          <w:szCs w:val="22"/>
        </w:rPr>
      </w:pPr>
      <w:del w:id="15467" w:author="AbbVie02no" w:date="2025-05-15T14:21:00Z">
        <w:r>
          <w:rPr>
            <w:sz w:val="22"/>
            <w:szCs w:val="22"/>
          </w:rPr>
          <w:delText xml:space="preserve">Behandling med kortikosteroider eller andre </w:delText>
        </w:r>
        <w:r w:rsidR="00F82487">
          <w:rPr>
            <w:sz w:val="22"/>
            <w:szCs w:val="22"/>
          </w:rPr>
          <w:delText>legemidler</w:delText>
        </w:r>
        <w:r>
          <w:rPr>
            <w:sz w:val="22"/>
            <w:szCs w:val="22"/>
          </w:rPr>
          <w:delText xml:space="preserve"> som påvirker immunsystemet </w:delText>
        </w:r>
        <w:r w:rsidR="008869A9">
          <w:rPr>
            <w:sz w:val="22"/>
            <w:szCs w:val="22"/>
          </w:rPr>
          <w:delText xml:space="preserve">kan </w:delText>
        </w:r>
        <w:r>
          <w:rPr>
            <w:sz w:val="22"/>
            <w:szCs w:val="22"/>
          </w:rPr>
          <w:delText>fortsette under behandling med Humira ved ikke-infeksiøs uveitt. Humira kan også gis alene.</w:delText>
        </w:r>
      </w:del>
    </w:p>
    <w:p w14:paraId="7C75E913" w14:textId="1AF069DD" w:rsidR="000877DF" w:rsidRDefault="000877DF" w:rsidP="00776A84">
      <w:pPr>
        <w:suppressAutoHyphens/>
        <w:rPr>
          <w:del w:id="15468" w:author="AbbVie02no" w:date="2025-05-15T14:21:00Z"/>
          <w:sz w:val="22"/>
          <w:szCs w:val="22"/>
        </w:rPr>
      </w:pPr>
    </w:p>
    <w:p w14:paraId="527B80BA" w14:textId="6B8AEA59" w:rsidR="00095354" w:rsidRDefault="00E453CD" w:rsidP="00AF70AD">
      <w:pPr>
        <w:pStyle w:val="BodyText3"/>
        <w:keepNext/>
        <w:tabs>
          <w:tab w:val="clear" w:pos="-720"/>
        </w:tabs>
        <w:rPr>
          <w:del w:id="15469" w:author="AbbVie02no" w:date="2025-05-15T14:21:00Z"/>
          <w:b w:val="0"/>
          <w:szCs w:val="22"/>
          <w:u w:val="single"/>
          <w:lang w:val="nb-NO"/>
        </w:rPr>
      </w:pPr>
      <w:del w:id="15470" w:author="AbbVie02no" w:date="2025-05-15T14:21:00Z">
        <w:r>
          <w:rPr>
            <w:b w:val="0"/>
            <w:szCs w:val="22"/>
            <w:u w:val="single"/>
            <w:lang w:val="nb-NO"/>
          </w:rPr>
          <w:delText xml:space="preserve">Barn og ungdom med kronisk ikke-infeksiøs uveitt </w:delText>
        </w:r>
        <w:r w:rsidR="00AA2810">
          <w:rPr>
            <w:b w:val="0"/>
            <w:szCs w:val="22"/>
            <w:u w:val="single"/>
            <w:lang w:val="nb-NO"/>
          </w:rPr>
          <w:delText>over</w:delText>
        </w:r>
        <w:r>
          <w:rPr>
            <w:b w:val="0"/>
            <w:szCs w:val="22"/>
            <w:u w:val="single"/>
            <w:lang w:val="nb-NO"/>
          </w:rPr>
          <w:delText xml:space="preserve"> 2 år</w:delText>
        </w:r>
      </w:del>
    </w:p>
    <w:p w14:paraId="67063F1A" w14:textId="4B4D425B" w:rsidR="00095354" w:rsidRDefault="00095354" w:rsidP="00AF70AD">
      <w:pPr>
        <w:pStyle w:val="BodyText3"/>
        <w:keepNext/>
        <w:tabs>
          <w:tab w:val="clear" w:pos="-720"/>
        </w:tabs>
        <w:rPr>
          <w:del w:id="15471" w:author="AbbVie02no" w:date="2025-05-15T14:21:00Z"/>
          <w:b w:val="0"/>
          <w:szCs w:val="22"/>
          <w:u w:val="single"/>
          <w:lang w:val="nb-NO"/>
        </w:rPr>
      </w:pPr>
    </w:p>
    <w:p w14:paraId="75AFB8FC" w14:textId="1B76892A" w:rsidR="00095354" w:rsidRPr="00D22D58" w:rsidRDefault="00E453CD" w:rsidP="00AF70AD">
      <w:pPr>
        <w:pStyle w:val="BodyText3"/>
        <w:keepNext/>
        <w:tabs>
          <w:tab w:val="clear" w:pos="-720"/>
        </w:tabs>
        <w:rPr>
          <w:del w:id="15472" w:author="AbbVie02no" w:date="2025-05-15T14:21:00Z"/>
          <w:b w:val="0"/>
          <w:i/>
          <w:szCs w:val="22"/>
          <w:lang w:val="nb-NO"/>
        </w:rPr>
      </w:pPr>
      <w:del w:id="15473" w:author="AbbVie02no" w:date="2025-05-15T14:21:00Z">
        <w:r w:rsidRPr="00D22D58">
          <w:rPr>
            <w:b w:val="0"/>
            <w:i/>
            <w:szCs w:val="22"/>
            <w:lang w:val="nb-NO"/>
          </w:rPr>
          <w:delText xml:space="preserve">Barn </w:delText>
        </w:r>
        <w:r>
          <w:rPr>
            <w:b w:val="0"/>
            <w:i/>
            <w:szCs w:val="22"/>
            <w:lang w:val="nb-NO"/>
          </w:rPr>
          <w:delText xml:space="preserve">og ungdom </w:delText>
        </w:r>
        <w:r w:rsidR="00960EA5">
          <w:rPr>
            <w:b w:val="0"/>
            <w:i/>
            <w:szCs w:val="22"/>
            <w:lang w:val="nb-NO"/>
          </w:rPr>
          <w:delText>over</w:delText>
        </w:r>
        <w:r>
          <w:rPr>
            <w:b w:val="0"/>
            <w:i/>
            <w:szCs w:val="22"/>
            <w:lang w:val="nb-NO"/>
          </w:rPr>
          <w:delText xml:space="preserve"> 2 år </w:delText>
        </w:r>
        <w:r w:rsidRPr="00D22D58">
          <w:rPr>
            <w:b w:val="0"/>
            <w:i/>
            <w:szCs w:val="22"/>
            <w:lang w:val="nb-NO"/>
          </w:rPr>
          <w:delText xml:space="preserve">som veier </w:delText>
        </w:r>
        <w:r w:rsidR="00684DB9">
          <w:rPr>
            <w:b w:val="0"/>
            <w:i/>
            <w:szCs w:val="22"/>
            <w:lang w:val="nb-NO"/>
          </w:rPr>
          <w:delText>under</w:delText>
        </w:r>
        <w:r w:rsidRPr="00D22D58">
          <w:rPr>
            <w:b w:val="0"/>
            <w:i/>
            <w:szCs w:val="22"/>
            <w:lang w:val="nb-NO"/>
          </w:rPr>
          <w:delText xml:space="preserve"> 30 kg</w:delText>
        </w:r>
      </w:del>
    </w:p>
    <w:p w14:paraId="71589501" w14:textId="2D78E0F5" w:rsidR="00095354" w:rsidRDefault="00095354" w:rsidP="00AF70AD">
      <w:pPr>
        <w:pStyle w:val="BodyText3"/>
        <w:keepNext/>
        <w:tabs>
          <w:tab w:val="clear" w:pos="-720"/>
        </w:tabs>
        <w:rPr>
          <w:del w:id="15474" w:author="AbbVie02no" w:date="2025-05-15T14:21:00Z"/>
          <w:b w:val="0"/>
          <w:szCs w:val="22"/>
          <w:u w:val="single"/>
          <w:lang w:val="nb-NO"/>
        </w:rPr>
      </w:pPr>
    </w:p>
    <w:p w14:paraId="6E593222" w14:textId="3CAA1D5A" w:rsidR="00095354" w:rsidRDefault="00E453CD" w:rsidP="00095354">
      <w:pPr>
        <w:pStyle w:val="BodyText3"/>
        <w:tabs>
          <w:tab w:val="clear" w:pos="-720"/>
        </w:tabs>
        <w:rPr>
          <w:del w:id="15475" w:author="AbbVie02no" w:date="2025-05-15T14:21:00Z"/>
          <w:b w:val="0"/>
          <w:szCs w:val="22"/>
          <w:lang w:val="nb-NO"/>
        </w:rPr>
      </w:pPr>
      <w:del w:id="15476" w:author="AbbVie02no" w:date="2025-05-15T14:21:00Z">
        <w:r>
          <w:rPr>
            <w:b w:val="0"/>
            <w:szCs w:val="22"/>
            <w:lang w:val="nb-NO"/>
          </w:rPr>
          <w:delText>Den vanlige dosen av Humira er 20 mg annenhver uke sammen med metotreksat.</w:delText>
        </w:r>
      </w:del>
    </w:p>
    <w:p w14:paraId="6EE53C68" w14:textId="6534D917" w:rsidR="00095354" w:rsidRDefault="00095354" w:rsidP="00095354">
      <w:pPr>
        <w:pStyle w:val="BodyText3"/>
        <w:tabs>
          <w:tab w:val="clear" w:pos="-720"/>
        </w:tabs>
        <w:rPr>
          <w:del w:id="15477" w:author="AbbVie02no" w:date="2025-05-15T14:21:00Z"/>
          <w:b w:val="0"/>
          <w:szCs w:val="22"/>
          <w:lang w:val="nb-NO"/>
        </w:rPr>
      </w:pPr>
    </w:p>
    <w:p w14:paraId="6B4B5DEF" w14:textId="78D09F57" w:rsidR="00095354" w:rsidRDefault="00E453CD" w:rsidP="00095354">
      <w:pPr>
        <w:pStyle w:val="BodyText3"/>
        <w:tabs>
          <w:tab w:val="clear" w:pos="-720"/>
        </w:tabs>
        <w:rPr>
          <w:del w:id="15478" w:author="AbbVie02no" w:date="2025-05-15T14:21:00Z"/>
          <w:b w:val="0"/>
          <w:szCs w:val="22"/>
          <w:lang w:val="nb-NO"/>
        </w:rPr>
      </w:pPr>
      <w:del w:id="15479" w:author="AbbVie02no" w:date="2025-05-15T14:21:00Z">
        <w:r>
          <w:rPr>
            <w:b w:val="0"/>
            <w:szCs w:val="22"/>
            <w:lang w:val="nb-NO"/>
          </w:rPr>
          <w:delText xml:space="preserve">Legen </w:delText>
        </w:r>
        <w:r w:rsidR="00523824">
          <w:rPr>
            <w:b w:val="0"/>
            <w:szCs w:val="22"/>
            <w:lang w:val="nb-NO"/>
          </w:rPr>
          <w:delText>din</w:delText>
        </w:r>
        <w:r>
          <w:rPr>
            <w:b w:val="0"/>
            <w:szCs w:val="22"/>
            <w:lang w:val="nb-NO"/>
          </w:rPr>
          <w:delText xml:space="preserve"> kan også forskrive en startdose på 40 mg som skal gis én uke før</w:delText>
        </w:r>
        <w:r w:rsidR="008D4298">
          <w:rPr>
            <w:b w:val="0"/>
            <w:szCs w:val="22"/>
            <w:lang w:val="nb-NO"/>
          </w:rPr>
          <w:delText xml:space="preserve"> oppstart av</w:delText>
        </w:r>
        <w:r>
          <w:rPr>
            <w:b w:val="0"/>
            <w:szCs w:val="22"/>
            <w:lang w:val="nb-NO"/>
          </w:rPr>
          <w:delText xml:space="preserve"> den vanlige dosen.</w:delText>
        </w:r>
      </w:del>
    </w:p>
    <w:p w14:paraId="455F9947" w14:textId="767DB341" w:rsidR="00095354" w:rsidRDefault="00095354" w:rsidP="00095354">
      <w:pPr>
        <w:pStyle w:val="BodyText3"/>
        <w:tabs>
          <w:tab w:val="clear" w:pos="-720"/>
        </w:tabs>
        <w:rPr>
          <w:del w:id="15480" w:author="AbbVie02no" w:date="2025-05-15T14:21:00Z"/>
          <w:b w:val="0"/>
          <w:szCs w:val="22"/>
          <w:lang w:val="nb-NO"/>
        </w:rPr>
      </w:pPr>
    </w:p>
    <w:p w14:paraId="7F881194" w14:textId="5643747C" w:rsidR="00095354" w:rsidRPr="00D22D58" w:rsidRDefault="00E453CD" w:rsidP="00AF70AD">
      <w:pPr>
        <w:pStyle w:val="BodyText3"/>
        <w:keepNext/>
        <w:tabs>
          <w:tab w:val="clear" w:pos="-720"/>
        </w:tabs>
        <w:rPr>
          <w:del w:id="15481" w:author="AbbVie02no" w:date="2025-05-15T14:21:00Z"/>
          <w:b w:val="0"/>
          <w:i/>
          <w:szCs w:val="22"/>
          <w:lang w:val="nb-NO"/>
        </w:rPr>
      </w:pPr>
      <w:del w:id="15482" w:author="AbbVie02no" w:date="2025-05-15T14:21:00Z">
        <w:r w:rsidRPr="00D22D58">
          <w:rPr>
            <w:b w:val="0"/>
            <w:i/>
            <w:szCs w:val="22"/>
            <w:lang w:val="nb-NO"/>
          </w:rPr>
          <w:delText xml:space="preserve">Barn </w:delText>
        </w:r>
        <w:r>
          <w:rPr>
            <w:b w:val="0"/>
            <w:i/>
            <w:szCs w:val="22"/>
            <w:lang w:val="nb-NO"/>
          </w:rPr>
          <w:delText xml:space="preserve">og ungdom </w:delText>
        </w:r>
        <w:r w:rsidR="00960EA5">
          <w:rPr>
            <w:b w:val="0"/>
            <w:i/>
            <w:szCs w:val="22"/>
            <w:lang w:val="nb-NO"/>
          </w:rPr>
          <w:delText>over</w:delText>
        </w:r>
        <w:r>
          <w:rPr>
            <w:b w:val="0"/>
            <w:i/>
            <w:szCs w:val="22"/>
            <w:lang w:val="nb-NO"/>
          </w:rPr>
          <w:delText>2 år som veier 30 kg eller mer</w:delText>
        </w:r>
      </w:del>
    </w:p>
    <w:p w14:paraId="22176456" w14:textId="74D8A0F8" w:rsidR="00095354" w:rsidRDefault="00095354" w:rsidP="00AF70AD">
      <w:pPr>
        <w:pStyle w:val="BodyText3"/>
        <w:keepNext/>
        <w:tabs>
          <w:tab w:val="clear" w:pos="-720"/>
        </w:tabs>
        <w:rPr>
          <w:del w:id="15483" w:author="AbbVie02no" w:date="2025-05-15T14:21:00Z"/>
          <w:b w:val="0"/>
          <w:szCs w:val="22"/>
          <w:u w:val="single"/>
          <w:lang w:val="nb-NO"/>
        </w:rPr>
      </w:pPr>
    </w:p>
    <w:p w14:paraId="7670FD99" w14:textId="7A643BB2" w:rsidR="000877DF" w:rsidRDefault="00E453CD" w:rsidP="00392F46">
      <w:pPr>
        <w:pStyle w:val="BodyText3"/>
        <w:tabs>
          <w:tab w:val="clear" w:pos="-720"/>
        </w:tabs>
        <w:rPr>
          <w:del w:id="15484" w:author="AbbVie02no" w:date="2025-05-15T14:21:00Z"/>
          <w:b w:val="0"/>
          <w:szCs w:val="22"/>
          <w:lang w:val="nb-NO"/>
        </w:rPr>
      </w:pPr>
      <w:del w:id="15485" w:author="AbbVie02no" w:date="2025-05-15T14:21:00Z">
        <w:r>
          <w:rPr>
            <w:b w:val="0"/>
            <w:szCs w:val="22"/>
            <w:lang w:val="nb-NO"/>
          </w:rPr>
          <w:delText>Den vanlige dosen av Humira er 40 mg annenhver uke sammen med metotreksat.</w:delText>
        </w:r>
      </w:del>
    </w:p>
    <w:p w14:paraId="67BDC5EC" w14:textId="725317E4" w:rsidR="000877DF" w:rsidRDefault="000877DF" w:rsidP="000877DF">
      <w:pPr>
        <w:pStyle w:val="BodyText3"/>
        <w:tabs>
          <w:tab w:val="clear" w:pos="-720"/>
        </w:tabs>
        <w:rPr>
          <w:del w:id="15486" w:author="AbbVie02no" w:date="2025-05-15T14:21:00Z"/>
          <w:b w:val="0"/>
          <w:szCs w:val="22"/>
          <w:lang w:val="nb-NO"/>
        </w:rPr>
      </w:pPr>
    </w:p>
    <w:p w14:paraId="765EEBF0" w14:textId="5E59061F" w:rsidR="00D2298B" w:rsidRPr="000877DF" w:rsidRDefault="00E453CD" w:rsidP="00B3311E">
      <w:pPr>
        <w:pStyle w:val="BodyText3"/>
        <w:tabs>
          <w:tab w:val="clear" w:pos="-720"/>
        </w:tabs>
        <w:rPr>
          <w:del w:id="15487" w:author="AbbVie02no" w:date="2025-05-15T14:21:00Z"/>
          <w:szCs w:val="22"/>
        </w:rPr>
      </w:pPr>
      <w:del w:id="15488" w:author="AbbVie02no" w:date="2025-05-15T14:21:00Z">
        <w:r>
          <w:rPr>
            <w:b w:val="0"/>
            <w:szCs w:val="22"/>
            <w:lang w:val="nb-NO"/>
          </w:rPr>
          <w:delText xml:space="preserve">Legen </w:delText>
        </w:r>
        <w:r w:rsidR="00095354">
          <w:rPr>
            <w:b w:val="0"/>
            <w:szCs w:val="22"/>
            <w:lang w:val="nb-NO"/>
          </w:rPr>
          <w:delText>din</w:delText>
        </w:r>
        <w:r>
          <w:rPr>
            <w:b w:val="0"/>
            <w:szCs w:val="22"/>
            <w:lang w:val="nb-NO"/>
          </w:rPr>
          <w:delText xml:space="preserve"> kan også forskrive en startdose på 80 mg som skal gis én uke før </w:delText>
        </w:r>
        <w:r w:rsidR="008D4298">
          <w:rPr>
            <w:b w:val="0"/>
            <w:szCs w:val="22"/>
            <w:lang w:val="nb-NO"/>
          </w:rPr>
          <w:delText xml:space="preserve">oppstart av </w:delText>
        </w:r>
        <w:r>
          <w:rPr>
            <w:b w:val="0"/>
            <w:szCs w:val="22"/>
            <w:lang w:val="nb-NO"/>
          </w:rPr>
          <w:delText>den vanlige dosen.</w:delText>
        </w:r>
      </w:del>
    </w:p>
    <w:p w14:paraId="328E4409" w14:textId="184CC648" w:rsidR="008C5F7C" w:rsidRPr="009C5EFD" w:rsidRDefault="008C5F7C" w:rsidP="009C5EFD">
      <w:pPr>
        <w:suppressAutoHyphens/>
        <w:rPr>
          <w:del w:id="15489" w:author="AbbVie02no" w:date="2025-05-15T14:21:00Z"/>
          <w:sz w:val="22"/>
          <w:szCs w:val="22"/>
        </w:rPr>
      </w:pPr>
    </w:p>
    <w:p w14:paraId="16D4CBD6" w14:textId="6AA5A38C" w:rsidR="00FB36DE" w:rsidRPr="009C5EFD" w:rsidRDefault="00E453CD" w:rsidP="00AF70AD">
      <w:pPr>
        <w:pStyle w:val="BodyText3"/>
        <w:keepNext/>
        <w:tabs>
          <w:tab w:val="clear" w:pos="-720"/>
        </w:tabs>
        <w:rPr>
          <w:del w:id="15490" w:author="AbbVie02no" w:date="2025-05-15T14:21:00Z"/>
          <w:szCs w:val="22"/>
          <w:lang w:val="nb-NO"/>
        </w:rPr>
      </w:pPr>
      <w:del w:id="15491" w:author="AbbVie02no" w:date="2025-05-15T14:21:00Z">
        <w:r w:rsidRPr="009C5EFD">
          <w:rPr>
            <w:szCs w:val="22"/>
            <w:lang w:val="nb-NO"/>
          </w:rPr>
          <w:delText>Metode og administrasjonsmåte</w:delText>
        </w:r>
      </w:del>
    </w:p>
    <w:p w14:paraId="7C9C9DEA" w14:textId="6F80313C" w:rsidR="00FB36DE" w:rsidRPr="009C5EFD" w:rsidRDefault="00FB36DE" w:rsidP="00AF70AD">
      <w:pPr>
        <w:pStyle w:val="BodyText3"/>
        <w:keepNext/>
        <w:tabs>
          <w:tab w:val="clear" w:pos="-720"/>
        </w:tabs>
        <w:rPr>
          <w:del w:id="15492" w:author="AbbVie02no" w:date="2025-05-15T14:21:00Z"/>
          <w:b w:val="0"/>
          <w:szCs w:val="22"/>
          <w:lang w:val="nb-NO"/>
        </w:rPr>
      </w:pPr>
    </w:p>
    <w:p w14:paraId="1F631DA9" w14:textId="2B7EC6BE" w:rsidR="00245AEB" w:rsidRPr="009C5EFD" w:rsidRDefault="00E453CD" w:rsidP="009C5EFD">
      <w:pPr>
        <w:pStyle w:val="BodyText3"/>
        <w:tabs>
          <w:tab w:val="clear" w:pos="-720"/>
        </w:tabs>
        <w:rPr>
          <w:del w:id="15493" w:author="AbbVie02no" w:date="2025-05-15T14:21:00Z"/>
          <w:b w:val="0"/>
          <w:szCs w:val="22"/>
          <w:lang w:val="nb-NO"/>
        </w:rPr>
      </w:pPr>
      <w:del w:id="15494" w:author="AbbVie02no" w:date="2025-05-15T14:21:00Z">
        <w:r w:rsidRPr="009C5EFD">
          <w:rPr>
            <w:b w:val="0"/>
            <w:szCs w:val="22"/>
            <w:lang w:val="nb-NO"/>
          </w:rPr>
          <w:delText xml:space="preserve">Humira administreres </w:delText>
        </w:r>
        <w:r w:rsidR="00626FDD" w:rsidRPr="009C5EFD">
          <w:rPr>
            <w:b w:val="0"/>
            <w:szCs w:val="22"/>
            <w:lang w:val="nb-NO"/>
          </w:rPr>
          <w:delText xml:space="preserve">(gis) </w:delText>
        </w:r>
        <w:r w:rsidRPr="009C5EFD">
          <w:rPr>
            <w:b w:val="0"/>
            <w:szCs w:val="22"/>
            <w:lang w:val="nb-NO"/>
          </w:rPr>
          <w:delText>ved injeksjon under huden (ved subkutan injeksjon).</w:delText>
        </w:r>
      </w:del>
    </w:p>
    <w:p w14:paraId="3875956A" w14:textId="399B3DCB" w:rsidR="00245AEB" w:rsidRPr="009C5EFD" w:rsidRDefault="00245AEB" w:rsidP="009C5EFD">
      <w:pPr>
        <w:pStyle w:val="BodyText3"/>
        <w:tabs>
          <w:tab w:val="clear" w:pos="-720"/>
        </w:tabs>
        <w:rPr>
          <w:del w:id="15495" w:author="AbbVie02no" w:date="2025-05-15T14:21:00Z"/>
          <w:b w:val="0"/>
          <w:szCs w:val="22"/>
          <w:lang w:val="nb-NO"/>
        </w:rPr>
      </w:pPr>
    </w:p>
    <w:p w14:paraId="11F1E61E" w14:textId="3C39ADE0" w:rsidR="00DE3458" w:rsidRPr="009C5EFD" w:rsidRDefault="00E453CD" w:rsidP="00AF70AD">
      <w:pPr>
        <w:pStyle w:val="BodyText3"/>
        <w:keepNext/>
        <w:tabs>
          <w:tab w:val="clear" w:pos="-720"/>
        </w:tabs>
        <w:rPr>
          <w:del w:id="15496" w:author="AbbVie02no" w:date="2025-05-15T14:21:00Z"/>
          <w:szCs w:val="22"/>
          <w:lang w:val="nb-NO"/>
        </w:rPr>
      </w:pPr>
      <w:del w:id="15497" w:author="AbbVie02no" w:date="2025-05-15T14:21:00Z">
        <w:r w:rsidRPr="009C5EFD">
          <w:rPr>
            <w:szCs w:val="22"/>
            <w:lang w:val="nb-NO"/>
          </w:rPr>
          <w:lastRenderedPageBreak/>
          <w:delText>Instruksjoner om hvordan en injeksjon Humira forberedes og settes</w:delText>
        </w:r>
      </w:del>
    </w:p>
    <w:p w14:paraId="0815C1E0" w14:textId="0BD04F9B" w:rsidR="00FB36DE" w:rsidRPr="009C5EFD" w:rsidRDefault="00FB36DE" w:rsidP="00AF70AD">
      <w:pPr>
        <w:keepNext/>
        <w:suppressAutoHyphens/>
        <w:rPr>
          <w:del w:id="15498" w:author="AbbVie02no" w:date="2025-05-15T14:21:00Z"/>
          <w:sz w:val="22"/>
          <w:szCs w:val="22"/>
        </w:rPr>
      </w:pPr>
    </w:p>
    <w:p w14:paraId="45BB71F6" w14:textId="508E9670" w:rsidR="00DE3458" w:rsidRPr="009C5EFD" w:rsidRDefault="00E453CD" w:rsidP="009C5EFD">
      <w:pPr>
        <w:suppressAutoHyphens/>
        <w:rPr>
          <w:del w:id="15499" w:author="AbbVie02no" w:date="2025-05-15T14:21:00Z"/>
          <w:sz w:val="22"/>
          <w:szCs w:val="22"/>
        </w:rPr>
      </w:pPr>
      <w:del w:id="15500" w:author="AbbVie02no" w:date="2025-05-15T14:21:00Z">
        <w:r w:rsidRPr="009C5EFD">
          <w:rPr>
            <w:sz w:val="22"/>
            <w:szCs w:val="22"/>
          </w:rPr>
          <w:delText>Følgende instruksjoner forklarer hvordan Humira skal injiseres. Les instruksjonene nøye og følg dem steg for steg. Legen eller legens assistent vil forklare deg hvordan du skal sette sprøyten på deg selv. Ikke forsøk å sette sprøyten på deg selv før du er sikker på at du forstår hvordan sprøyten skal gjøres i stand og settes. Etter nødvendig opplæring kan du sette injeksjonen selv, eller en annen person, for eksempel et familiemedlem eller en venn, kan sette den.</w:delText>
        </w:r>
      </w:del>
    </w:p>
    <w:p w14:paraId="430FBE10" w14:textId="092E2780" w:rsidR="00DE3458" w:rsidRPr="009C5EFD" w:rsidRDefault="00DE3458" w:rsidP="009C5EFD">
      <w:pPr>
        <w:suppressAutoHyphens/>
        <w:rPr>
          <w:del w:id="15501" w:author="AbbVie02no" w:date="2025-05-15T14:21:00Z"/>
          <w:sz w:val="22"/>
          <w:szCs w:val="22"/>
        </w:rPr>
      </w:pPr>
    </w:p>
    <w:p w14:paraId="4DFB4188" w14:textId="105D39B4" w:rsidR="00DE3458" w:rsidRPr="009C5EFD" w:rsidRDefault="00E453CD" w:rsidP="009C5EFD">
      <w:pPr>
        <w:suppressAutoHyphens/>
        <w:rPr>
          <w:del w:id="15502" w:author="AbbVie02no" w:date="2025-05-15T14:21:00Z"/>
          <w:sz w:val="22"/>
          <w:szCs w:val="22"/>
        </w:rPr>
      </w:pPr>
      <w:del w:id="15503" w:author="AbbVie02no" w:date="2025-05-15T14:21:00Z">
        <w:r w:rsidRPr="009C5EFD">
          <w:rPr>
            <w:sz w:val="22"/>
            <w:szCs w:val="22"/>
          </w:rPr>
          <w:delText>Injeksjonen skal ikke blandes ut i samme sprøyte eller hetteglass sammen med noe annet legemiddel.</w:delText>
        </w:r>
      </w:del>
    </w:p>
    <w:p w14:paraId="3B0DD074" w14:textId="637B7918" w:rsidR="00DE3458" w:rsidRPr="009C5EFD" w:rsidRDefault="00DE3458" w:rsidP="009C5EFD">
      <w:pPr>
        <w:suppressAutoHyphens/>
        <w:rPr>
          <w:del w:id="15504" w:author="AbbVie02no" w:date="2025-05-15T14:21:00Z"/>
          <w:sz w:val="22"/>
          <w:szCs w:val="22"/>
        </w:rPr>
      </w:pPr>
    </w:p>
    <w:p w14:paraId="1C02C803" w14:textId="6CDB8448" w:rsidR="00DE3458" w:rsidRPr="009C5EFD" w:rsidRDefault="00E453CD" w:rsidP="00AF70AD">
      <w:pPr>
        <w:keepNext/>
        <w:tabs>
          <w:tab w:val="left" w:pos="567"/>
        </w:tabs>
        <w:suppressAutoHyphens/>
        <w:rPr>
          <w:del w:id="15505" w:author="AbbVie02no" w:date="2025-05-15T14:21:00Z"/>
          <w:b/>
          <w:sz w:val="22"/>
          <w:szCs w:val="22"/>
        </w:rPr>
      </w:pPr>
      <w:del w:id="15506" w:author="AbbVie02no" w:date="2025-05-15T14:21:00Z">
        <w:r w:rsidRPr="009C5EFD">
          <w:rPr>
            <w:b/>
            <w:sz w:val="22"/>
            <w:szCs w:val="22"/>
          </w:rPr>
          <w:delText>1)</w:delText>
        </w:r>
        <w:r w:rsidRPr="009C5EFD">
          <w:rPr>
            <w:b/>
            <w:sz w:val="22"/>
            <w:szCs w:val="22"/>
          </w:rPr>
          <w:tab/>
          <w:delText>Klargjøring</w:delText>
        </w:r>
      </w:del>
    </w:p>
    <w:p w14:paraId="31BFD4B6" w14:textId="3C6EB3CB" w:rsidR="00DE3458" w:rsidRPr="009C5EFD" w:rsidRDefault="00DE3458" w:rsidP="00AF70AD">
      <w:pPr>
        <w:keepNext/>
        <w:suppressAutoHyphens/>
        <w:rPr>
          <w:del w:id="15507" w:author="AbbVie02no" w:date="2025-05-15T14:21:00Z"/>
          <w:sz w:val="22"/>
          <w:szCs w:val="22"/>
        </w:rPr>
      </w:pPr>
    </w:p>
    <w:p w14:paraId="275017BF" w14:textId="1011AFC0" w:rsidR="00DE3458" w:rsidRPr="009C5EFD" w:rsidRDefault="00E453CD" w:rsidP="00EE4677">
      <w:pPr>
        <w:numPr>
          <w:ilvl w:val="0"/>
          <w:numId w:val="27"/>
        </w:numPr>
        <w:tabs>
          <w:tab w:val="num" w:pos="1548"/>
        </w:tabs>
        <w:suppressAutoHyphens/>
        <w:rPr>
          <w:del w:id="15508" w:author="AbbVie02no" w:date="2025-05-15T14:21:00Z"/>
          <w:sz w:val="22"/>
          <w:szCs w:val="22"/>
        </w:rPr>
      </w:pPr>
      <w:del w:id="15509" w:author="AbbVie02no" w:date="2025-05-15T14:21:00Z">
        <w:r w:rsidRPr="009C5EFD">
          <w:rPr>
            <w:sz w:val="22"/>
            <w:szCs w:val="22"/>
          </w:rPr>
          <w:delText>Vask hende</w:delText>
        </w:r>
        <w:r w:rsidR="00CF50C4" w:rsidRPr="009C5EFD">
          <w:rPr>
            <w:sz w:val="22"/>
            <w:szCs w:val="22"/>
          </w:rPr>
          <w:delText>ne</w:delText>
        </w:r>
        <w:r w:rsidRPr="009C5EFD">
          <w:rPr>
            <w:sz w:val="22"/>
            <w:szCs w:val="22"/>
          </w:rPr>
          <w:delText xml:space="preserve"> </w:delText>
        </w:r>
        <w:r w:rsidR="00CF50C4" w:rsidRPr="009C5EFD">
          <w:rPr>
            <w:sz w:val="22"/>
            <w:szCs w:val="22"/>
          </w:rPr>
          <w:delText xml:space="preserve">dine </w:delText>
        </w:r>
        <w:r w:rsidRPr="009C5EFD">
          <w:rPr>
            <w:sz w:val="22"/>
            <w:szCs w:val="22"/>
          </w:rPr>
          <w:delText>grundig.</w:delText>
        </w:r>
      </w:del>
    </w:p>
    <w:p w14:paraId="46ABB4C1" w14:textId="5C54B435" w:rsidR="00DE3458" w:rsidRPr="009C5EFD" w:rsidRDefault="00E453CD" w:rsidP="00EE4677">
      <w:pPr>
        <w:numPr>
          <w:ilvl w:val="0"/>
          <w:numId w:val="27"/>
        </w:numPr>
        <w:tabs>
          <w:tab w:val="num" w:pos="1548"/>
        </w:tabs>
        <w:suppressAutoHyphens/>
        <w:rPr>
          <w:del w:id="15510" w:author="AbbVie02no" w:date="2025-05-15T14:21:00Z"/>
          <w:sz w:val="22"/>
          <w:szCs w:val="22"/>
        </w:rPr>
      </w:pPr>
      <w:del w:id="15511" w:author="AbbVie02no" w:date="2025-05-15T14:21:00Z">
        <w:r w:rsidRPr="009C5EFD">
          <w:rPr>
            <w:sz w:val="22"/>
            <w:szCs w:val="22"/>
          </w:rPr>
          <w:delText>Legg følgende deler klar på et rent bord.</w:delText>
        </w:r>
      </w:del>
    </w:p>
    <w:p w14:paraId="44423D0F" w14:textId="5FDCC712" w:rsidR="00DE3458" w:rsidRPr="009C5EFD" w:rsidRDefault="00E453CD" w:rsidP="00EE4677">
      <w:pPr>
        <w:numPr>
          <w:ilvl w:val="0"/>
          <w:numId w:val="28"/>
        </w:numPr>
        <w:tabs>
          <w:tab w:val="num" w:pos="2268"/>
        </w:tabs>
        <w:suppressAutoHyphens/>
        <w:rPr>
          <w:del w:id="15512" w:author="AbbVie02no" w:date="2025-05-15T14:21:00Z"/>
          <w:sz w:val="22"/>
          <w:szCs w:val="22"/>
        </w:rPr>
      </w:pPr>
      <w:del w:id="15513" w:author="AbbVie02no" w:date="2025-05-15T14:21:00Z">
        <w:r w:rsidRPr="009C5EFD">
          <w:rPr>
            <w:sz w:val="22"/>
            <w:szCs w:val="22"/>
          </w:rPr>
          <w:delText>En ferdigfylt sprøyte med Humira injeksjonsvæske.</w:delText>
        </w:r>
      </w:del>
    </w:p>
    <w:p w14:paraId="3C2D4656" w14:textId="7FCE7C3A" w:rsidR="00DE3458" w:rsidRPr="009C5EFD" w:rsidRDefault="00E453CD" w:rsidP="00EE4677">
      <w:pPr>
        <w:numPr>
          <w:ilvl w:val="0"/>
          <w:numId w:val="28"/>
        </w:numPr>
        <w:tabs>
          <w:tab w:val="num" w:pos="2268"/>
        </w:tabs>
        <w:suppressAutoHyphens/>
        <w:rPr>
          <w:del w:id="15514" w:author="AbbVie02no" w:date="2025-05-15T14:21:00Z"/>
          <w:sz w:val="22"/>
          <w:szCs w:val="22"/>
        </w:rPr>
      </w:pPr>
      <w:del w:id="15515" w:author="AbbVie02no" w:date="2025-05-15T14:21:00Z">
        <w:r w:rsidRPr="009C5EFD">
          <w:rPr>
            <w:sz w:val="22"/>
            <w:szCs w:val="22"/>
          </w:rPr>
          <w:delText>Et injeksjonstørk.</w:delText>
        </w:r>
      </w:del>
    </w:p>
    <w:p w14:paraId="2FF01B93" w14:textId="2F80C045" w:rsidR="006F409A" w:rsidRPr="009C5EFD" w:rsidRDefault="006F409A" w:rsidP="009C5EFD">
      <w:pPr>
        <w:tabs>
          <w:tab w:val="num" w:pos="2268"/>
        </w:tabs>
        <w:suppressAutoHyphens/>
        <w:jc w:val="center"/>
        <w:rPr>
          <w:del w:id="15516" w:author="AbbVie02no" w:date="2025-05-15T14:21:00Z"/>
          <w:sz w:val="22"/>
          <w:szCs w:val="22"/>
        </w:rPr>
      </w:pPr>
    </w:p>
    <w:p w14:paraId="295E9113" w14:textId="7F0FB775" w:rsidR="003962B0" w:rsidRPr="007F67EE" w:rsidRDefault="00E453CD" w:rsidP="009C5EFD">
      <w:pPr>
        <w:tabs>
          <w:tab w:val="num" w:pos="2268"/>
        </w:tabs>
        <w:suppressAutoHyphens/>
        <w:jc w:val="center"/>
        <w:rPr>
          <w:del w:id="15517" w:author="AbbVie02no" w:date="2025-05-15T14:21:00Z"/>
          <w:sz w:val="22"/>
          <w:szCs w:val="22"/>
        </w:rPr>
      </w:pPr>
      <w:del w:id="15518" w:author="AbbVie02no" w:date="2025-05-15T14:21:00Z">
        <w:r>
          <w:rPr>
            <w:noProof/>
            <w:lang w:val="en-GB" w:eastAsia="en-GB"/>
          </w:rPr>
          <w:drawing>
            <wp:inline distT="0" distB="0" distL="0" distR="0" wp14:anchorId="276065E0" wp14:editId="38310D14">
              <wp:extent cx="2047875" cy="2028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2047875" cy="2028825"/>
                      </a:xfrm>
                      <a:prstGeom prst="rect">
                        <a:avLst/>
                      </a:prstGeom>
                      <a:noFill/>
                      <a:ln>
                        <a:noFill/>
                      </a:ln>
                    </pic:spPr>
                  </pic:pic>
                </a:graphicData>
              </a:graphic>
            </wp:inline>
          </w:drawing>
        </w:r>
      </w:del>
    </w:p>
    <w:p w14:paraId="2BF041FF" w14:textId="18FE122C" w:rsidR="00DE3458" w:rsidRPr="00193D76" w:rsidRDefault="00DE3458" w:rsidP="009C5EFD">
      <w:pPr>
        <w:tabs>
          <w:tab w:val="num" w:pos="567"/>
        </w:tabs>
        <w:suppressAutoHyphens/>
        <w:ind w:left="567" w:hanging="567"/>
        <w:rPr>
          <w:del w:id="15519" w:author="AbbVie02no" w:date="2025-05-15T14:21:00Z"/>
          <w:sz w:val="22"/>
          <w:szCs w:val="22"/>
        </w:rPr>
      </w:pPr>
    </w:p>
    <w:p w14:paraId="3B20A10A" w14:textId="231BE06F" w:rsidR="00DE3458" w:rsidRPr="00E14E58" w:rsidRDefault="00E453CD" w:rsidP="00EE4677">
      <w:pPr>
        <w:numPr>
          <w:ilvl w:val="0"/>
          <w:numId w:val="29"/>
        </w:numPr>
        <w:tabs>
          <w:tab w:val="num" w:pos="1494"/>
        </w:tabs>
        <w:suppressAutoHyphens/>
        <w:rPr>
          <w:del w:id="15520" w:author="AbbVie02no" w:date="2025-05-15T14:21:00Z"/>
          <w:sz w:val="22"/>
          <w:szCs w:val="22"/>
        </w:rPr>
      </w:pPr>
      <w:del w:id="15521" w:author="AbbVie02no" w:date="2025-05-15T14:21:00Z">
        <w:r w:rsidRPr="002D0790">
          <w:rPr>
            <w:sz w:val="22"/>
            <w:szCs w:val="22"/>
          </w:rPr>
          <w:delText xml:space="preserve">Se på utløpsdatoen for sprøyten. </w:delText>
        </w:r>
        <w:r w:rsidR="007667D3" w:rsidRPr="00C07C98">
          <w:rPr>
            <w:sz w:val="22"/>
            <w:szCs w:val="22"/>
          </w:rPr>
          <w:delText>Ikke bruk produktet dersom datoen har passert måneden og året som er vist.</w:delText>
        </w:r>
      </w:del>
    </w:p>
    <w:p w14:paraId="6DCEC875" w14:textId="7F7DC5FB" w:rsidR="00DE3458" w:rsidRPr="009C5EFD" w:rsidRDefault="00DE3458" w:rsidP="009C5EFD">
      <w:pPr>
        <w:tabs>
          <w:tab w:val="num" w:pos="1494"/>
        </w:tabs>
        <w:suppressAutoHyphens/>
        <w:rPr>
          <w:del w:id="15522" w:author="AbbVie02no" w:date="2025-05-15T14:21:00Z"/>
          <w:sz w:val="22"/>
          <w:szCs w:val="22"/>
        </w:rPr>
      </w:pPr>
    </w:p>
    <w:p w14:paraId="30ED29D0" w14:textId="6F1CFC5D" w:rsidR="00DE3458" w:rsidRPr="009C5EFD" w:rsidRDefault="00E453CD" w:rsidP="00AF70AD">
      <w:pPr>
        <w:keepNext/>
        <w:tabs>
          <w:tab w:val="left" w:pos="567"/>
        </w:tabs>
        <w:suppressAutoHyphens/>
        <w:rPr>
          <w:del w:id="15523" w:author="AbbVie02no" w:date="2025-05-15T14:21:00Z"/>
          <w:b/>
          <w:sz w:val="22"/>
          <w:szCs w:val="22"/>
        </w:rPr>
      </w:pPr>
      <w:del w:id="15524" w:author="AbbVie02no" w:date="2025-05-15T14:21:00Z">
        <w:r w:rsidRPr="009C5EFD">
          <w:rPr>
            <w:b/>
            <w:sz w:val="22"/>
            <w:szCs w:val="22"/>
          </w:rPr>
          <w:delText>2)</w:delText>
        </w:r>
        <w:r w:rsidRPr="009C5EFD">
          <w:rPr>
            <w:b/>
            <w:sz w:val="22"/>
            <w:szCs w:val="22"/>
          </w:rPr>
          <w:tab/>
          <w:delText>Velg ut og gjør klar stedet injeksjonen skal settes</w:delText>
        </w:r>
      </w:del>
    </w:p>
    <w:p w14:paraId="1569ED67" w14:textId="460A5C25" w:rsidR="00DE3458" w:rsidRPr="009C5EFD" w:rsidRDefault="00DE3458" w:rsidP="00AF70AD">
      <w:pPr>
        <w:keepNext/>
        <w:tabs>
          <w:tab w:val="num" w:pos="567"/>
        </w:tabs>
        <w:suppressAutoHyphens/>
        <w:ind w:left="567" w:hanging="567"/>
        <w:rPr>
          <w:del w:id="15525" w:author="AbbVie02no" w:date="2025-05-15T14:21:00Z"/>
          <w:sz w:val="22"/>
          <w:szCs w:val="22"/>
        </w:rPr>
      </w:pPr>
    </w:p>
    <w:p w14:paraId="1BC53DEB" w14:textId="717CA3BA" w:rsidR="00DE3458" w:rsidRPr="009C5EFD" w:rsidRDefault="00E453CD" w:rsidP="00EE4677">
      <w:pPr>
        <w:numPr>
          <w:ilvl w:val="0"/>
          <w:numId w:val="30"/>
        </w:numPr>
        <w:suppressAutoHyphens/>
        <w:rPr>
          <w:del w:id="15526" w:author="AbbVie02no" w:date="2025-05-15T14:21:00Z"/>
          <w:sz w:val="22"/>
          <w:szCs w:val="22"/>
        </w:rPr>
      </w:pPr>
      <w:del w:id="15527" w:author="AbbVie02no" w:date="2025-05-15T14:21:00Z">
        <w:r w:rsidRPr="009C5EFD">
          <w:rPr>
            <w:sz w:val="22"/>
            <w:szCs w:val="22"/>
          </w:rPr>
          <w:delText>Velg et sted på låret eller magen.</w:delText>
        </w:r>
      </w:del>
    </w:p>
    <w:p w14:paraId="78E52E5E" w14:textId="55A1FD25" w:rsidR="00DE3458" w:rsidRPr="009C5EFD" w:rsidRDefault="00DE3458" w:rsidP="009C5EFD">
      <w:pPr>
        <w:tabs>
          <w:tab w:val="num" w:pos="1494"/>
        </w:tabs>
        <w:suppressAutoHyphens/>
        <w:rPr>
          <w:del w:id="15528" w:author="AbbVie02no" w:date="2025-05-15T14:21:00Z"/>
          <w:sz w:val="22"/>
          <w:szCs w:val="22"/>
        </w:rPr>
      </w:pPr>
    </w:p>
    <w:p w14:paraId="0B30CFBA" w14:textId="3BBBE7AD" w:rsidR="003962B0" w:rsidRPr="007F67EE" w:rsidRDefault="00E453CD" w:rsidP="009C5EFD">
      <w:pPr>
        <w:tabs>
          <w:tab w:val="num" w:pos="567"/>
        </w:tabs>
        <w:suppressAutoHyphens/>
        <w:ind w:left="567" w:hanging="567"/>
        <w:jc w:val="center"/>
        <w:rPr>
          <w:del w:id="15529" w:author="AbbVie02no" w:date="2025-05-15T14:21:00Z"/>
          <w:sz w:val="22"/>
          <w:szCs w:val="22"/>
        </w:rPr>
      </w:pPr>
      <w:del w:id="15530" w:author="AbbVie02no" w:date="2025-05-15T14:21:00Z">
        <w:r>
          <w:rPr>
            <w:noProof/>
            <w:lang w:val="en-GB" w:eastAsia="en-GB"/>
          </w:rPr>
          <w:drawing>
            <wp:inline distT="0" distB="0" distL="0" distR="0" wp14:anchorId="4CCF95C7" wp14:editId="52B1C125">
              <wp:extent cx="2047875" cy="20383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2047875" cy="2038350"/>
                      </a:xfrm>
                      <a:prstGeom prst="rect">
                        <a:avLst/>
                      </a:prstGeom>
                      <a:noFill/>
                      <a:ln>
                        <a:noFill/>
                      </a:ln>
                    </pic:spPr>
                  </pic:pic>
                </a:graphicData>
              </a:graphic>
            </wp:inline>
          </w:drawing>
        </w:r>
      </w:del>
    </w:p>
    <w:p w14:paraId="6A9DC48C" w14:textId="32B3AFAA" w:rsidR="00DE3458" w:rsidRPr="00193D76" w:rsidRDefault="00DE3458" w:rsidP="009C5EFD">
      <w:pPr>
        <w:tabs>
          <w:tab w:val="num" w:pos="567"/>
        </w:tabs>
        <w:suppressAutoHyphens/>
        <w:ind w:left="567" w:hanging="567"/>
        <w:rPr>
          <w:del w:id="15531" w:author="AbbVie02no" w:date="2025-05-15T14:21:00Z"/>
          <w:sz w:val="22"/>
          <w:szCs w:val="22"/>
        </w:rPr>
      </w:pPr>
    </w:p>
    <w:p w14:paraId="418A0E9E" w14:textId="2C8F786D" w:rsidR="00DE3458" w:rsidRPr="00C07C98" w:rsidRDefault="00E453CD" w:rsidP="00EE4677">
      <w:pPr>
        <w:numPr>
          <w:ilvl w:val="0"/>
          <w:numId w:val="31"/>
        </w:numPr>
        <w:suppressAutoHyphens/>
        <w:rPr>
          <w:del w:id="15532" w:author="AbbVie02no" w:date="2025-05-15T14:21:00Z"/>
          <w:sz w:val="22"/>
          <w:szCs w:val="22"/>
        </w:rPr>
      </w:pPr>
      <w:del w:id="15533" w:author="AbbVie02no" w:date="2025-05-15T14:21:00Z">
        <w:r w:rsidRPr="002D0790">
          <w:rPr>
            <w:sz w:val="22"/>
            <w:szCs w:val="22"/>
          </w:rPr>
          <w:delText>Hver ny injeksjon som settes skal settes minst 3 cm</w:delText>
        </w:r>
        <w:r w:rsidRPr="00C07C98">
          <w:rPr>
            <w:sz w:val="22"/>
            <w:szCs w:val="22"/>
          </w:rPr>
          <w:delText xml:space="preserve"> fra der hvor den forrige ble satt.</w:delText>
        </w:r>
      </w:del>
    </w:p>
    <w:p w14:paraId="685FA27B" w14:textId="6816D8EE" w:rsidR="00DE3458" w:rsidRPr="009C5EFD" w:rsidRDefault="00E453CD" w:rsidP="00EE4677">
      <w:pPr>
        <w:numPr>
          <w:ilvl w:val="0"/>
          <w:numId w:val="32"/>
        </w:numPr>
        <w:suppressAutoHyphens/>
        <w:rPr>
          <w:del w:id="15534" w:author="AbbVie02no" w:date="2025-05-15T14:21:00Z"/>
          <w:sz w:val="22"/>
          <w:szCs w:val="22"/>
        </w:rPr>
      </w:pPr>
      <w:del w:id="15535" w:author="AbbVie02no" w:date="2025-05-15T14:21:00Z">
        <w:r w:rsidRPr="00E14E58">
          <w:rPr>
            <w:sz w:val="22"/>
            <w:szCs w:val="22"/>
          </w:rPr>
          <w:delText xml:space="preserve">Ikke injisér på et sted hvor huden er rødlig, </w:delText>
        </w:r>
        <w:r w:rsidR="008A4A9C" w:rsidRPr="009C5EFD">
          <w:rPr>
            <w:sz w:val="22"/>
            <w:szCs w:val="22"/>
          </w:rPr>
          <w:delText>har blåmerker</w:delText>
        </w:r>
        <w:r w:rsidRPr="009C5EFD">
          <w:rPr>
            <w:sz w:val="22"/>
            <w:szCs w:val="22"/>
          </w:rPr>
          <w:delText xml:space="preserve"> eller </w:delText>
        </w:r>
        <w:r w:rsidR="008A4A9C" w:rsidRPr="009C5EFD">
          <w:rPr>
            <w:sz w:val="22"/>
            <w:szCs w:val="22"/>
          </w:rPr>
          <w:delText xml:space="preserve">er </w:delText>
        </w:r>
        <w:r w:rsidRPr="009C5EFD">
          <w:rPr>
            <w:sz w:val="22"/>
            <w:szCs w:val="22"/>
          </w:rPr>
          <w:delText>hard - dette kan være tegn på en infeksjon.</w:delText>
        </w:r>
      </w:del>
    </w:p>
    <w:p w14:paraId="37E935C8" w14:textId="549174E9" w:rsidR="00DE3458" w:rsidRPr="009C5EFD" w:rsidRDefault="00E453CD" w:rsidP="00EE4677">
      <w:pPr>
        <w:numPr>
          <w:ilvl w:val="0"/>
          <w:numId w:val="32"/>
        </w:numPr>
        <w:suppressAutoHyphens/>
        <w:rPr>
          <w:del w:id="15536" w:author="AbbVie02no" w:date="2025-05-15T14:21:00Z"/>
          <w:sz w:val="22"/>
          <w:szCs w:val="22"/>
        </w:rPr>
      </w:pPr>
      <w:del w:id="15537" w:author="AbbVie02no" w:date="2025-05-15T14:21:00Z">
        <w:r w:rsidRPr="009C5EFD">
          <w:rPr>
            <w:sz w:val="22"/>
            <w:szCs w:val="22"/>
          </w:rPr>
          <w:delText>Bruk det vedlagte injeksjonstørket og tørk av injeksjonsstedet med ringbevegelser.</w:delText>
        </w:r>
      </w:del>
    </w:p>
    <w:p w14:paraId="08C0FF1E" w14:textId="68106737" w:rsidR="00DE3458" w:rsidRPr="009C5EFD" w:rsidRDefault="00E453CD" w:rsidP="00EE4677">
      <w:pPr>
        <w:numPr>
          <w:ilvl w:val="0"/>
          <w:numId w:val="32"/>
        </w:numPr>
        <w:suppressAutoHyphens/>
        <w:rPr>
          <w:del w:id="15538" w:author="AbbVie02no" w:date="2025-05-15T14:21:00Z"/>
          <w:sz w:val="22"/>
          <w:szCs w:val="22"/>
        </w:rPr>
      </w:pPr>
      <w:del w:id="15539" w:author="AbbVie02no" w:date="2025-05-15T14:21:00Z">
        <w:r w:rsidRPr="009C5EFD">
          <w:rPr>
            <w:sz w:val="22"/>
            <w:szCs w:val="22"/>
          </w:rPr>
          <w:delText>Ikke berør området igjen før injeksjonen settes.</w:delText>
        </w:r>
      </w:del>
    </w:p>
    <w:p w14:paraId="6F07E3FC" w14:textId="58549FE4" w:rsidR="00DE3458" w:rsidRPr="009C5EFD" w:rsidRDefault="00DE3458" w:rsidP="009C5EFD">
      <w:pPr>
        <w:tabs>
          <w:tab w:val="num" w:pos="567"/>
        </w:tabs>
        <w:suppressAutoHyphens/>
        <w:ind w:left="567" w:hanging="567"/>
        <w:rPr>
          <w:del w:id="15540" w:author="AbbVie02no" w:date="2025-05-15T14:21:00Z"/>
          <w:sz w:val="22"/>
          <w:szCs w:val="22"/>
        </w:rPr>
      </w:pPr>
    </w:p>
    <w:p w14:paraId="1CC21C55" w14:textId="6C2ACB55" w:rsidR="00DE3458" w:rsidRPr="009C5EFD" w:rsidRDefault="00E453CD" w:rsidP="00602A37">
      <w:pPr>
        <w:keepNext/>
        <w:tabs>
          <w:tab w:val="left" w:pos="993"/>
        </w:tabs>
        <w:suppressAutoHyphens/>
        <w:ind w:left="562" w:hanging="562"/>
        <w:rPr>
          <w:del w:id="15541" w:author="AbbVie02no" w:date="2025-05-15T14:21:00Z"/>
          <w:b/>
          <w:sz w:val="22"/>
          <w:szCs w:val="22"/>
        </w:rPr>
      </w:pPr>
      <w:del w:id="15542" w:author="AbbVie02no" w:date="2025-05-15T14:21:00Z">
        <w:r w:rsidRPr="009C5EFD">
          <w:rPr>
            <w:b/>
            <w:sz w:val="22"/>
            <w:szCs w:val="22"/>
          </w:rPr>
          <w:delText>3)</w:delText>
        </w:r>
        <w:r w:rsidRPr="009C5EFD">
          <w:rPr>
            <w:b/>
            <w:sz w:val="22"/>
            <w:szCs w:val="22"/>
          </w:rPr>
          <w:tab/>
          <w:delText>Injeksjon av Humira</w:delText>
        </w:r>
      </w:del>
    </w:p>
    <w:p w14:paraId="5DC59E00" w14:textId="40C76860" w:rsidR="00B77C31" w:rsidRPr="009C5EFD" w:rsidRDefault="00B77C31" w:rsidP="00AF70AD">
      <w:pPr>
        <w:keepNext/>
        <w:tabs>
          <w:tab w:val="left" w:pos="993"/>
        </w:tabs>
        <w:suppressAutoHyphens/>
        <w:rPr>
          <w:del w:id="15543" w:author="AbbVie02no" w:date="2025-05-15T14:21:00Z"/>
          <w:b/>
          <w:sz w:val="22"/>
          <w:szCs w:val="22"/>
        </w:rPr>
      </w:pPr>
    </w:p>
    <w:p w14:paraId="014B5DE4" w14:textId="2B64B11F" w:rsidR="003962B0" w:rsidRPr="00684BCA" w:rsidRDefault="00E453CD" w:rsidP="00AF70AD">
      <w:pPr>
        <w:numPr>
          <w:ilvl w:val="0"/>
          <w:numId w:val="6"/>
        </w:numPr>
        <w:tabs>
          <w:tab w:val="num" w:pos="567"/>
          <w:tab w:val="left" w:pos="993"/>
        </w:tabs>
        <w:suppressAutoHyphens/>
        <w:ind w:left="567" w:hanging="567"/>
        <w:rPr>
          <w:del w:id="15544" w:author="AbbVie02no" w:date="2025-05-15T14:21:00Z"/>
          <w:sz w:val="22"/>
          <w:szCs w:val="22"/>
        </w:rPr>
      </w:pPr>
      <w:del w:id="15545" w:author="AbbVie02no" w:date="2025-05-15T14:21:00Z">
        <w:r w:rsidRPr="00684BCA">
          <w:rPr>
            <w:sz w:val="22"/>
            <w:szCs w:val="22"/>
          </w:rPr>
          <w:delText>IKKE ryst sprøyten.</w:delText>
        </w:r>
      </w:del>
    </w:p>
    <w:p w14:paraId="435D98EB" w14:textId="04000F3A" w:rsidR="00DE3458" w:rsidRPr="00E14E58" w:rsidRDefault="00E453CD" w:rsidP="009C5EFD">
      <w:pPr>
        <w:numPr>
          <w:ilvl w:val="0"/>
          <w:numId w:val="6"/>
        </w:numPr>
        <w:tabs>
          <w:tab w:val="num" w:pos="567"/>
          <w:tab w:val="left" w:pos="993"/>
        </w:tabs>
        <w:suppressAutoHyphens/>
        <w:ind w:left="567" w:hanging="567"/>
        <w:rPr>
          <w:del w:id="15546" w:author="AbbVie02no" w:date="2025-05-15T14:21:00Z"/>
          <w:sz w:val="22"/>
          <w:szCs w:val="22"/>
        </w:rPr>
      </w:pPr>
      <w:del w:id="15547" w:author="AbbVie02no" w:date="2025-05-15T14:21:00Z">
        <w:r w:rsidRPr="002D0790">
          <w:rPr>
            <w:sz w:val="22"/>
            <w:szCs w:val="22"/>
          </w:rPr>
          <w:delText xml:space="preserve">Ta </w:delText>
        </w:r>
        <w:r w:rsidR="004305DE">
          <w:rPr>
            <w:sz w:val="22"/>
            <w:szCs w:val="22"/>
          </w:rPr>
          <w:delText>hetten</w:delText>
        </w:r>
        <w:r w:rsidR="004305DE" w:rsidRPr="00C07C98">
          <w:rPr>
            <w:sz w:val="22"/>
            <w:szCs w:val="22"/>
          </w:rPr>
          <w:delText xml:space="preserve"> </w:delText>
        </w:r>
        <w:r w:rsidRPr="00E14E58">
          <w:rPr>
            <w:sz w:val="22"/>
            <w:szCs w:val="22"/>
          </w:rPr>
          <w:delText>av sprøytespissen, og pass på at du ikke berører spissen eller lar den berøre noe</w:delText>
        </w:r>
      </w:del>
    </w:p>
    <w:p w14:paraId="78C045D6" w14:textId="3823F9ED" w:rsidR="00DE3458" w:rsidRDefault="00E453CD" w:rsidP="009C5EFD">
      <w:pPr>
        <w:numPr>
          <w:ilvl w:val="0"/>
          <w:numId w:val="6"/>
        </w:numPr>
        <w:tabs>
          <w:tab w:val="num" w:pos="567"/>
          <w:tab w:val="left" w:pos="993"/>
        </w:tabs>
        <w:suppressAutoHyphens/>
        <w:ind w:left="567" w:hanging="567"/>
        <w:rPr>
          <w:del w:id="15548" w:author="AbbVie02no" w:date="2025-05-15T14:21:00Z"/>
          <w:sz w:val="22"/>
          <w:szCs w:val="22"/>
        </w:rPr>
      </w:pPr>
      <w:del w:id="15549" w:author="AbbVie02no" w:date="2025-05-15T14:21:00Z">
        <w:r w:rsidRPr="009C5EFD">
          <w:rPr>
            <w:sz w:val="22"/>
            <w:szCs w:val="22"/>
          </w:rPr>
          <w:delText xml:space="preserve">Ta forsiktig tak i den rengjorte huden med den </w:delText>
        </w:r>
        <w:r w:rsidR="00133445" w:rsidRPr="009C5EFD">
          <w:rPr>
            <w:sz w:val="22"/>
            <w:szCs w:val="22"/>
          </w:rPr>
          <w:delText>frie</w:delText>
        </w:r>
        <w:r w:rsidRPr="009C5EFD">
          <w:rPr>
            <w:sz w:val="22"/>
            <w:szCs w:val="22"/>
          </w:rPr>
          <w:delText xml:space="preserve"> hånden og hold fast</w:delText>
        </w:r>
      </w:del>
    </w:p>
    <w:p w14:paraId="03441F94" w14:textId="5737D15D" w:rsidR="00B560B0" w:rsidRDefault="00B560B0" w:rsidP="00AF70AD">
      <w:pPr>
        <w:tabs>
          <w:tab w:val="left" w:pos="993"/>
        </w:tabs>
        <w:suppressAutoHyphens/>
        <w:rPr>
          <w:del w:id="15550" w:author="AbbVie02no" w:date="2025-05-15T14:21:00Z"/>
          <w:sz w:val="22"/>
          <w:szCs w:val="22"/>
        </w:rPr>
      </w:pPr>
    </w:p>
    <w:p w14:paraId="677C158E" w14:textId="79AF004E" w:rsidR="00B560B0" w:rsidRDefault="00E453CD" w:rsidP="00AF70AD">
      <w:pPr>
        <w:tabs>
          <w:tab w:val="left" w:pos="993"/>
        </w:tabs>
        <w:suppressAutoHyphens/>
        <w:jc w:val="center"/>
        <w:rPr>
          <w:del w:id="15551" w:author="AbbVie02no" w:date="2025-05-15T14:21:00Z"/>
          <w:sz w:val="22"/>
          <w:szCs w:val="22"/>
        </w:rPr>
      </w:pPr>
      <w:del w:id="15552" w:author="AbbVie02no" w:date="2025-05-15T14:21:00Z">
        <w:r>
          <w:rPr>
            <w:noProof/>
            <w:lang w:val="en-GB" w:eastAsia="en-GB"/>
          </w:rPr>
          <w:drawing>
            <wp:inline distT="0" distB="0" distL="0" distR="0" wp14:anchorId="084B77B8" wp14:editId="523C8810">
              <wp:extent cx="2003425" cy="196405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62"/>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2003425" cy="1964055"/>
                      </a:xfrm>
                      <a:prstGeom prst="rect">
                        <a:avLst/>
                      </a:prstGeom>
                      <a:noFill/>
                      <a:ln>
                        <a:noFill/>
                      </a:ln>
                    </pic:spPr>
                  </pic:pic>
                </a:graphicData>
              </a:graphic>
            </wp:inline>
          </w:drawing>
        </w:r>
      </w:del>
    </w:p>
    <w:p w14:paraId="1E53C98C" w14:textId="49AB9E2E" w:rsidR="00B560B0" w:rsidRPr="009C5EFD" w:rsidRDefault="00B560B0" w:rsidP="00AF70AD">
      <w:pPr>
        <w:tabs>
          <w:tab w:val="left" w:pos="993"/>
        </w:tabs>
        <w:suppressAutoHyphens/>
        <w:rPr>
          <w:del w:id="15553" w:author="AbbVie02no" w:date="2025-05-15T14:21:00Z"/>
          <w:sz w:val="22"/>
          <w:szCs w:val="22"/>
        </w:rPr>
      </w:pPr>
    </w:p>
    <w:p w14:paraId="0F67CBFD" w14:textId="4E9073C1" w:rsidR="00DE3458" w:rsidRPr="009C5EFD" w:rsidRDefault="00E453CD" w:rsidP="009C5EFD">
      <w:pPr>
        <w:numPr>
          <w:ilvl w:val="0"/>
          <w:numId w:val="6"/>
        </w:numPr>
        <w:tabs>
          <w:tab w:val="num" w:pos="567"/>
          <w:tab w:val="left" w:pos="993"/>
        </w:tabs>
        <w:suppressAutoHyphens/>
        <w:ind w:left="567" w:hanging="567"/>
        <w:rPr>
          <w:del w:id="15554" w:author="AbbVie02no" w:date="2025-05-15T14:21:00Z"/>
          <w:sz w:val="22"/>
          <w:szCs w:val="22"/>
        </w:rPr>
      </w:pPr>
      <w:del w:id="15555" w:author="AbbVie02no" w:date="2025-05-15T14:21:00Z">
        <w:r w:rsidRPr="009C5EFD">
          <w:rPr>
            <w:sz w:val="22"/>
            <w:szCs w:val="22"/>
          </w:rPr>
          <w:delText>Hold sprøyten med den andre hånden i 45-graders vinkel til huden og med den sporede siden opp.</w:delText>
        </w:r>
      </w:del>
    </w:p>
    <w:p w14:paraId="1C09715E" w14:textId="52AA05B1" w:rsidR="00DE3458" w:rsidRPr="009C5EFD" w:rsidRDefault="00E453CD" w:rsidP="009C5EFD">
      <w:pPr>
        <w:numPr>
          <w:ilvl w:val="0"/>
          <w:numId w:val="6"/>
        </w:numPr>
        <w:tabs>
          <w:tab w:val="num" w:pos="567"/>
          <w:tab w:val="left" w:pos="993"/>
        </w:tabs>
        <w:suppressAutoHyphens/>
        <w:ind w:left="567" w:hanging="567"/>
        <w:rPr>
          <w:del w:id="15556" w:author="AbbVie02no" w:date="2025-05-15T14:21:00Z"/>
          <w:sz w:val="22"/>
          <w:szCs w:val="22"/>
        </w:rPr>
      </w:pPr>
      <w:del w:id="15557" w:author="AbbVie02no" w:date="2025-05-15T14:21:00Z">
        <w:r w:rsidRPr="009C5EFD">
          <w:rPr>
            <w:sz w:val="22"/>
            <w:szCs w:val="22"/>
          </w:rPr>
          <w:delText xml:space="preserve">Trykk </w:delText>
        </w:r>
        <w:r w:rsidR="008138BF">
          <w:rPr>
            <w:sz w:val="22"/>
            <w:szCs w:val="22"/>
          </w:rPr>
          <w:delText>kanyl</w:delText>
        </w:r>
        <w:r w:rsidRPr="009C5EFD">
          <w:rPr>
            <w:sz w:val="22"/>
            <w:szCs w:val="22"/>
          </w:rPr>
          <w:delText>en helt gjennom huden med en rask, kortvarig bevegelse.</w:delText>
        </w:r>
      </w:del>
    </w:p>
    <w:p w14:paraId="314EEF6D" w14:textId="4EBDBC5D" w:rsidR="00DE3458" w:rsidRPr="009C5EFD" w:rsidRDefault="00E453CD" w:rsidP="009C5EFD">
      <w:pPr>
        <w:numPr>
          <w:ilvl w:val="0"/>
          <w:numId w:val="6"/>
        </w:numPr>
        <w:tabs>
          <w:tab w:val="num" w:pos="567"/>
          <w:tab w:val="left" w:pos="993"/>
        </w:tabs>
        <w:suppressAutoHyphens/>
        <w:ind w:left="567" w:hanging="567"/>
        <w:rPr>
          <w:del w:id="15558" w:author="AbbVie02no" w:date="2025-05-15T14:21:00Z"/>
          <w:sz w:val="22"/>
          <w:szCs w:val="22"/>
        </w:rPr>
      </w:pPr>
      <w:del w:id="15559" w:author="AbbVie02no" w:date="2025-05-15T14:21:00Z">
        <w:r w:rsidRPr="009C5EFD">
          <w:rPr>
            <w:sz w:val="22"/>
            <w:szCs w:val="22"/>
          </w:rPr>
          <w:delText xml:space="preserve">Slipp taket i huden </w:delText>
        </w:r>
        <w:r w:rsidR="0036089A" w:rsidRPr="009C5EFD">
          <w:rPr>
            <w:sz w:val="22"/>
            <w:szCs w:val="22"/>
          </w:rPr>
          <w:delText>som du holder i</w:delText>
        </w:r>
        <w:r w:rsidRPr="009C5EFD">
          <w:rPr>
            <w:sz w:val="22"/>
            <w:szCs w:val="22"/>
          </w:rPr>
          <w:delText xml:space="preserve"> hånden. </w:delText>
        </w:r>
      </w:del>
    </w:p>
    <w:p w14:paraId="3C43FEFE" w14:textId="6E975C6C" w:rsidR="00DE3458" w:rsidRPr="009C5EFD" w:rsidRDefault="00E453CD" w:rsidP="009C5EFD">
      <w:pPr>
        <w:numPr>
          <w:ilvl w:val="0"/>
          <w:numId w:val="6"/>
        </w:numPr>
        <w:tabs>
          <w:tab w:val="num" w:pos="567"/>
          <w:tab w:val="left" w:pos="993"/>
        </w:tabs>
        <w:suppressAutoHyphens/>
        <w:ind w:left="567" w:hanging="567"/>
        <w:rPr>
          <w:del w:id="15560" w:author="AbbVie02no" w:date="2025-05-15T14:21:00Z"/>
          <w:sz w:val="22"/>
          <w:szCs w:val="22"/>
        </w:rPr>
      </w:pPr>
      <w:del w:id="15561" w:author="AbbVie02no" w:date="2025-05-15T14:21:00Z">
        <w:r w:rsidRPr="009C5EFD">
          <w:rPr>
            <w:sz w:val="22"/>
            <w:szCs w:val="22"/>
          </w:rPr>
          <w:delText xml:space="preserve">Trykk inn sprøytestempelet </w:delText>
        </w:r>
        <w:r w:rsidR="0036089A" w:rsidRPr="009C5EFD">
          <w:rPr>
            <w:sz w:val="22"/>
            <w:szCs w:val="22"/>
          </w:rPr>
          <w:delText>for å injisere</w:delText>
        </w:r>
        <w:r w:rsidRPr="009C5EFD">
          <w:rPr>
            <w:sz w:val="22"/>
            <w:szCs w:val="22"/>
          </w:rPr>
          <w:delText xml:space="preserve"> oppløsningen – det kan ta fra 2 til 5 sekunder å tømme sprøyten.</w:delText>
        </w:r>
      </w:del>
    </w:p>
    <w:p w14:paraId="179A1A50" w14:textId="7D9FA711" w:rsidR="00DE3458" w:rsidRPr="009C5EFD" w:rsidRDefault="00E453CD" w:rsidP="009C5EFD">
      <w:pPr>
        <w:numPr>
          <w:ilvl w:val="0"/>
          <w:numId w:val="6"/>
        </w:numPr>
        <w:tabs>
          <w:tab w:val="num" w:pos="567"/>
          <w:tab w:val="left" w:pos="993"/>
        </w:tabs>
        <w:suppressAutoHyphens/>
        <w:ind w:left="567" w:hanging="567"/>
        <w:rPr>
          <w:del w:id="15562" w:author="AbbVie02no" w:date="2025-05-15T14:21:00Z"/>
          <w:sz w:val="22"/>
          <w:szCs w:val="22"/>
        </w:rPr>
      </w:pPr>
      <w:del w:id="15563" w:author="AbbVie02no" w:date="2025-05-15T14:21:00Z">
        <w:r w:rsidRPr="009C5EFD">
          <w:rPr>
            <w:sz w:val="22"/>
            <w:szCs w:val="22"/>
          </w:rPr>
          <w:delText>Når sprøyten er tom, t</w:delText>
        </w:r>
        <w:r w:rsidR="0036089A" w:rsidRPr="009C5EFD">
          <w:rPr>
            <w:sz w:val="22"/>
            <w:szCs w:val="22"/>
          </w:rPr>
          <w:delText xml:space="preserve">rekkes </w:delText>
        </w:r>
        <w:r w:rsidR="008138BF">
          <w:rPr>
            <w:sz w:val="22"/>
            <w:szCs w:val="22"/>
          </w:rPr>
          <w:delText>kanyl</w:delText>
        </w:r>
        <w:r w:rsidR="0036089A" w:rsidRPr="009C5EFD">
          <w:rPr>
            <w:sz w:val="22"/>
            <w:szCs w:val="22"/>
          </w:rPr>
          <w:delText>en ut av</w:delText>
        </w:r>
        <w:r w:rsidRPr="009C5EFD">
          <w:rPr>
            <w:sz w:val="22"/>
            <w:szCs w:val="22"/>
          </w:rPr>
          <w:delText xml:space="preserve"> huden, </w:delText>
        </w:r>
        <w:r w:rsidR="0036089A" w:rsidRPr="009C5EFD">
          <w:rPr>
            <w:sz w:val="22"/>
            <w:szCs w:val="22"/>
          </w:rPr>
          <w:delText>pass på å trekke den ut i</w:delText>
        </w:r>
        <w:r w:rsidRPr="009C5EFD">
          <w:rPr>
            <w:sz w:val="22"/>
            <w:szCs w:val="22"/>
          </w:rPr>
          <w:delText xml:space="preserve"> samme vinkel som </w:delText>
        </w:r>
        <w:r w:rsidR="0036089A" w:rsidRPr="009C5EFD">
          <w:rPr>
            <w:sz w:val="22"/>
            <w:szCs w:val="22"/>
          </w:rPr>
          <w:delText>den ble stukket inn</w:delText>
        </w:r>
        <w:r w:rsidRPr="009C5EFD">
          <w:rPr>
            <w:sz w:val="22"/>
            <w:szCs w:val="22"/>
          </w:rPr>
          <w:delText>.</w:delText>
        </w:r>
      </w:del>
    </w:p>
    <w:p w14:paraId="0DF01FD8" w14:textId="55E9B01C" w:rsidR="00DE3458" w:rsidRPr="009C5EFD" w:rsidRDefault="00E453CD" w:rsidP="009C5EFD">
      <w:pPr>
        <w:numPr>
          <w:ilvl w:val="0"/>
          <w:numId w:val="6"/>
        </w:numPr>
        <w:tabs>
          <w:tab w:val="num" w:pos="567"/>
          <w:tab w:val="left" w:pos="993"/>
        </w:tabs>
        <w:suppressAutoHyphens/>
        <w:ind w:left="567" w:hanging="567"/>
        <w:rPr>
          <w:del w:id="15564" w:author="AbbVie02no" w:date="2025-05-15T14:21:00Z"/>
          <w:sz w:val="22"/>
          <w:szCs w:val="22"/>
        </w:rPr>
      </w:pPr>
      <w:del w:id="15565" w:author="AbbVie02no" w:date="2025-05-15T14:21:00Z">
        <w:r w:rsidRPr="009C5EFD">
          <w:rPr>
            <w:sz w:val="22"/>
            <w:szCs w:val="22"/>
          </w:rPr>
          <w:delText>Trykk mot injeksjonsstedet i 10 sekunder med et stykke gasbind. Det kan hende det vil blø litt. Ikke gni injeksjonsstedet. Bruk plaster dersom nødvendig.</w:delText>
        </w:r>
      </w:del>
    </w:p>
    <w:p w14:paraId="50025E76" w14:textId="0115F712" w:rsidR="00896B33" w:rsidRPr="009C5EFD" w:rsidRDefault="00896B33" w:rsidP="009C5EFD">
      <w:pPr>
        <w:tabs>
          <w:tab w:val="left" w:pos="567"/>
          <w:tab w:val="left" w:pos="993"/>
        </w:tabs>
        <w:suppressAutoHyphens/>
        <w:rPr>
          <w:del w:id="15566" w:author="AbbVie02no" w:date="2025-05-15T14:21:00Z"/>
          <w:b/>
          <w:sz w:val="22"/>
          <w:szCs w:val="22"/>
        </w:rPr>
      </w:pPr>
    </w:p>
    <w:p w14:paraId="05EEA92A" w14:textId="123B5573" w:rsidR="00DE3458" w:rsidRPr="009C5EFD" w:rsidRDefault="00E453CD" w:rsidP="00AF70AD">
      <w:pPr>
        <w:keepNext/>
        <w:tabs>
          <w:tab w:val="left" w:pos="567"/>
          <w:tab w:val="left" w:pos="993"/>
        </w:tabs>
        <w:suppressAutoHyphens/>
        <w:rPr>
          <w:del w:id="15567" w:author="AbbVie02no" w:date="2025-05-15T14:21:00Z"/>
          <w:b/>
          <w:sz w:val="22"/>
          <w:szCs w:val="22"/>
        </w:rPr>
      </w:pPr>
      <w:del w:id="15568" w:author="AbbVie02no" w:date="2025-05-15T14:21:00Z">
        <w:r w:rsidRPr="009C5EFD">
          <w:rPr>
            <w:b/>
            <w:sz w:val="22"/>
            <w:szCs w:val="22"/>
          </w:rPr>
          <w:delText>4)</w:delText>
        </w:r>
        <w:r w:rsidRPr="009C5EFD">
          <w:rPr>
            <w:b/>
            <w:sz w:val="22"/>
            <w:szCs w:val="22"/>
          </w:rPr>
          <w:tab/>
          <w:delText>Kast utstyr som blir til overs</w:delText>
        </w:r>
      </w:del>
    </w:p>
    <w:p w14:paraId="2FDC70FF" w14:textId="0949DDBE" w:rsidR="00DE3458" w:rsidRPr="009C5EFD" w:rsidRDefault="00DE3458" w:rsidP="00AF70AD">
      <w:pPr>
        <w:keepNext/>
        <w:tabs>
          <w:tab w:val="num" w:pos="567"/>
          <w:tab w:val="left" w:pos="993"/>
        </w:tabs>
        <w:suppressAutoHyphens/>
        <w:ind w:left="567" w:hanging="567"/>
        <w:rPr>
          <w:del w:id="15569" w:author="AbbVie02no" w:date="2025-05-15T14:21:00Z"/>
          <w:b/>
          <w:sz w:val="22"/>
          <w:szCs w:val="22"/>
        </w:rPr>
      </w:pPr>
    </w:p>
    <w:p w14:paraId="36E7BE14" w14:textId="480B50B1" w:rsidR="00DE3458" w:rsidRPr="009C5EFD" w:rsidRDefault="00E453CD" w:rsidP="009C5EFD">
      <w:pPr>
        <w:numPr>
          <w:ilvl w:val="0"/>
          <w:numId w:val="5"/>
        </w:numPr>
        <w:tabs>
          <w:tab w:val="clear" w:pos="1080"/>
          <w:tab w:val="num" w:pos="567"/>
          <w:tab w:val="num" w:pos="709"/>
          <w:tab w:val="left" w:pos="1134"/>
        </w:tabs>
        <w:suppressAutoHyphens/>
        <w:ind w:left="567" w:hanging="567"/>
        <w:rPr>
          <w:del w:id="15570" w:author="AbbVie02no" w:date="2025-05-15T14:21:00Z"/>
          <w:sz w:val="22"/>
          <w:szCs w:val="22"/>
        </w:rPr>
      </w:pPr>
      <w:del w:id="15571" w:author="AbbVie02no" w:date="2025-05-15T14:21:00Z">
        <w:r w:rsidRPr="009C5EFD">
          <w:rPr>
            <w:sz w:val="22"/>
            <w:szCs w:val="22"/>
          </w:rPr>
          <w:delText xml:space="preserve">Sprøyten med Humira skal </w:delText>
        </w:r>
        <w:r w:rsidRPr="00776A84">
          <w:rPr>
            <w:sz w:val="22"/>
            <w:szCs w:val="22"/>
          </w:rPr>
          <w:delText>ALDRI</w:delText>
        </w:r>
        <w:r w:rsidRPr="009C5EFD">
          <w:rPr>
            <w:b/>
            <w:sz w:val="22"/>
            <w:szCs w:val="22"/>
          </w:rPr>
          <w:delText xml:space="preserve"> </w:delText>
        </w:r>
        <w:r w:rsidRPr="009C5EFD">
          <w:rPr>
            <w:sz w:val="22"/>
            <w:szCs w:val="22"/>
          </w:rPr>
          <w:delText xml:space="preserve">brukes på nytt. </w:delText>
        </w:r>
        <w:r w:rsidR="000E79A3" w:rsidRPr="00E90360">
          <w:rPr>
            <w:sz w:val="22"/>
            <w:szCs w:val="20"/>
          </w:rPr>
          <w:delText xml:space="preserve">Sett </w:delText>
        </w:r>
        <w:r w:rsidR="008C27A3">
          <w:rPr>
            <w:sz w:val="22"/>
            <w:szCs w:val="20"/>
          </w:rPr>
          <w:delText>ALDRI</w:delText>
        </w:r>
        <w:r w:rsidR="000E79A3" w:rsidRPr="00E90360">
          <w:rPr>
            <w:sz w:val="22"/>
            <w:szCs w:val="20"/>
          </w:rPr>
          <w:delText xml:space="preserve"> </w:delText>
        </w:r>
        <w:r w:rsidR="00BD34A1">
          <w:rPr>
            <w:sz w:val="22"/>
            <w:szCs w:val="20"/>
          </w:rPr>
          <w:delText>kanyle</w:delText>
        </w:r>
        <w:r w:rsidR="000E79A3">
          <w:rPr>
            <w:sz w:val="22"/>
            <w:szCs w:val="20"/>
          </w:rPr>
          <w:delText>hetten</w:delText>
        </w:r>
        <w:r w:rsidR="000E79A3" w:rsidRPr="00E90360">
          <w:rPr>
            <w:sz w:val="22"/>
            <w:szCs w:val="20"/>
          </w:rPr>
          <w:delText xml:space="preserve"> tilbake på en kanyle</w:delText>
        </w:r>
        <w:r w:rsidRPr="009C5EFD">
          <w:rPr>
            <w:sz w:val="22"/>
            <w:szCs w:val="22"/>
          </w:rPr>
          <w:delText>.</w:delText>
        </w:r>
      </w:del>
    </w:p>
    <w:p w14:paraId="7373DE21" w14:textId="6B866744" w:rsidR="00DE3458" w:rsidRPr="009C5EFD" w:rsidRDefault="00E453CD" w:rsidP="009C5EFD">
      <w:pPr>
        <w:numPr>
          <w:ilvl w:val="0"/>
          <w:numId w:val="5"/>
        </w:numPr>
        <w:tabs>
          <w:tab w:val="clear" w:pos="1080"/>
          <w:tab w:val="num" w:pos="567"/>
          <w:tab w:val="num" w:pos="709"/>
          <w:tab w:val="left" w:pos="1134"/>
        </w:tabs>
        <w:suppressAutoHyphens/>
        <w:ind w:left="567" w:hanging="567"/>
        <w:rPr>
          <w:del w:id="15572" w:author="AbbVie02no" w:date="2025-05-15T14:21:00Z"/>
          <w:sz w:val="22"/>
          <w:szCs w:val="22"/>
        </w:rPr>
      </w:pPr>
      <w:del w:id="15573" w:author="AbbVie02no" w:date="2025-05-15T14:21:00Z">
        <w:r w:rsidRPr="009C5EFD">
          <w:rPr>
            <w:sz w:val="22"/>
            <w:szCs w:val="22"/>
          </w:rPr>
          <w:delText>Etter injeksjon av Humira, skal sprøyten du har brukt umiddelbart kastes i en spesiell avfallsbeholder slik du har fått beskjed om fra lege, sykepleier eller farmasøyt.</w:delText>
        </w:r>
      </w:del>
    </w:p>
    <w:p w14:paraId="3F1D8229" w14:textId="5FFB0B4F" w:rsidR="00DE3458" w:rsidRPr="009C5EFD" w:rsidRDefault="00E453CD" w:rsidP="009C5EFD">
      <w:pPr>
        <w:numPr>
          <w:ilvl w:val="0"/>
          <w:numId w:val="5"/>
        </w:numPr>
        <w:tabs>
          <w:tab w:val="clear" w:pos="1080"/>
          <w:tab w:val="num" w:pos="567"/>
        </w:tabs>
        <w:suppressAutoHyphens/>
        <w:ind w:left="567" w:hanging="567"/>
        <w:rPr>
          <w:del w:id="15574" w:author="AbbVie02no" w:date="2025-05-15T14:21:00Z"/>
          <w:sz w:val="22"/>
          <w:szCs w:val="22"/>
        </w:rPr>
      </w:pPr>
      <w:del w:id="15575" w:author="AbbVie02no" w:date="2025-05-15T14:21:00Z">
        <w:r w:rsidRPr="009C5EFD">
          <w:rPr>
            <w:sz w:val="22"/>
            <w:szCs w:val="22"/>
          </w:rPr>
          <w:delText>Avfallsbeholderen må oppbevares utilgjengelig for barn.</w:delText>
        </w:r>
      </w:del>
    </w:p>
    <w:p w14:paraId="6A174791" w14:textId="3CEDAE44" w:rsidR="00817C73" w:rsidRPr="009C5EFD" w:rsidRDefault="00817C73" w:rsidP="009C5EFD">
      <w:pPr>
        <w:rPr>
          <w:del w:id="15576" w:author="AbbVie02no" w:date="2025-05-15T14:21:00Z"/>
          <w:b/>
          <w:sz w:val="22"/>
          <w:szCs w:val="22"/>
        </w:rPr>
      </w:pPr>
    </w:p>
    <w:p w14:paraId="1A217C5D" w14:textId="7E553A15" w:rsidR="00102E64" w:rsidRPr="00AB7697" w:rsidRDefault="00E453CD" w:rsidP="00AF70AD">
      <w:pPr>
        <w:pStyle w:val="BodyText3"/>
        <w:keepNext/>
        <w:tabs>
          <w:tab w:val="clear" w:pos="-720"/>
        </w:tabs>
        <w:rPr>
          <w:del w:id="15577" w:author="AbbVie02no" w:date="2025-05-15T14:21:00Z"/>
          <w:szCs w:val="22"/>
          <w:highlight w:val="lightGray"/>
          <w:lang w:val="nb-NO"/>
        </w:rPr>
      </w:pPr>
      <w:del w:id="15578" w:author="AbbVie02no" w:date="2025-05-15T14:21:00Z">
        <w:r w:rsidRPr="00AB7697">
          <w:rPr>
            <w:szCs w:val="22"/>
            <w:highlight w:val="lightGray"/>
            <w:lang w:val="nb-NO"/>
          </w:rPr>
          <w:delText>Instruksjoner om hvordan en injeksjon Humira forberedes og settes</w:delText>
        </w:r>
      </w:del>
    </w:p>
    <w:p w14:paraId="11ACCAD6" w14:textId="26A225DA" w:rsidR="00102E64" w:rsidRPr="00AB7697" w:rsidRDefault="00102E64" w:rsidP="00AF70AD">
      <w:pPr>
        <w:keepNext/>
        <w:suppressAutoHyphens/>
        <w:rPr>
          <w:del w:id="15579" w:author="AbbVie02no" w:date="2025-05-15T14:21:00Z"/>
          <w:sz w:val="22"/>
          <w:szCs w:val="22"/>
          <w:highlight w:val="lightGray"/>
        </w:rPr>
      </w:pPr>
    </w:p>
    <w:p w14:paraId="2CEE3F6C" w14:textId="2A40F3FD" w:rsidR="00102E64" w:rsidRPr="00AB7697" w:rsidRDefault="00E453CD" w:rsidP="00102E64">
      <w:pPr>
        <w:suppressAutoHyphens/>
        <w:rPr>
          <w:del w:id="15580" w:author="AbbVie02no" w:date="2025-05-15T14:21:00Z"/>
          <w:sz w:val="22"/>
          <w:szCs w:val="22"/>
          <w:highlight w:val="lightGray"/>
        </w:rPr>
      </w:pPr>
      <w:del w:id="15581" w:author="AbbVie02no" w:date="2025-05-15T14:21:00Z">
        <w:r w:rsidRPr="00AB7697">
          <w:rPr>
            <w:sz w:val="22"/>
            <w:szCs w:val="22"/>
            <w:highlight w:val="lightGray"/>
          </w:rPr>
          <w:delText>Følgende instruksjoner forklarer hvordan Humira skal injiseres. Les instruksjonene nøye og følg dem steg for steg. Legen eller legens assistent vil forklare deg hvordan du skal sette sprøyten på deg selv. Ikke forsøk å sette sprøyten på deg selv før du er sikker på at du forstår hvordan sprøyten skal gjøres i stand og settes. Etter nødvendig opplæring kan du sette injeksjonen selv, eller en annen person, for eksempel et familiemedlem eller en venn, kan sette den.</w:delText>
        </w:r>
      </w:del>
    </w:p>
    <w:p w14:paraId="4B03D73E" w14:textId="18DCFE3D" w:rsidR="00102E64" w:rsidRPr="00AB7697" w:rsidRDefault="00102E64" w:rsidP="00102E64">
      <w:pPr>
        <w:suppressAutoHyphens/>
        <w:rPr>
          <w:del w:id="15582" w:author="AbbVie02no" w:date="2025-05-15T14:21:00Z"/>
          <w:sz w:val="22"/>
          <w:szCs w:val="22"/>
          <w:highlight w:val="lightGray"/>
        </w:rPr>
      </w:pPr>
    </w:p>
    <w:p w14:paraId="6D654A86" w14:textId="61A2A9E2" w:rsidR="00102E64" w:rsidRPr="00AB7697" w:rsidRDefault="00E453CD" w:rsidP="00102E64">
      <w:pPr>
        <w:suppressAutoHyphens/>
        <w:rPr>
          <w:del w:id="15583" w:author="AbbVie02no" w:date="2025-05-15T14:21:00Z"/>
          <w:sz w:val="22"/>
          <w:szCs w:val="22"/>
          <w:highlight w:val="lightGray"/>
        </w:rPr>
      </w:pPr>
      <w:del w:id="15584" w:author="AbbVie02no" w:date="2025-05-15T14:21:00Z">
        <w:r w:rsidRPr="00AB7697">
          <w:rPr>
            <w:sz w:val="22"/>
            <w:szCs w:val="22"/>
            <w:highlight w:val="lightGray"/>
          </w:rPr>
          <w:delText>Injeksjonen skal ikke blandes ut i samme sprøyte eller hetteglass sammen med noe annet legemiddel.</w:delText>
        </w:r>
      </w:del>
    </w:p>
    <w:p w14:paraId="61E8F130" w14:textId="385C1FA4" w:rsidR="00102E64" w:rsidRPr="00AB7697" w:rsidRDefault="00102E64" w:rsidP="00102E64">
      <w:pPr>
        <w:suppressAutoHyphens/>
        <w:ind w:left="54"/>
        <w:rPr>
          <w:del w:id="15585" w:author="AbbVie02no" w:date="2025-05-15T14:21:00Z"/>
          <w:sz w:val="22"/>
          <w:szCs w:val="22"/>
          <w:highlight w:val="lightGray"/>
        </w:rPr>
      </w:pPr>
    </w:p>
    <w:p w14:paraId="407997AD" w14:textId="663B1729" w:rsidR="00102E64" w:rsidRPr="00AB7697" w:rsidRDefault="00E453CD" w:rsidP="00AF70AD">
      <w:pPr>
        <w:keepNext/>
        <w:tabs>
          <w:tab w:val="left" w:pos="567"/>
        </w:tabs>
        <w:suppressAutoHyphens/>
        <w:rPr>
          <w:del w:id="15586" w:author="AbbVie02no" w:date="2025-05-15T14:21:00Z"/>
          <w:b/>
          <w:sz w:val="22"/>
          <w:szCs w:val="22"/>
          <w:highlight w:val="lightGray"/>
        </w:rPr>
      </w:pPr>
      <w:del w:id="15587" w:author="AbbVie02no" w:date="2025-05-15T14:21:00Z">
        <w:r w:rsidRPr="00AB7697">
          <w:rPr>
            <w:b/>
            <w:sz w:val="22"/>
            <w:szCs w:val="22"/>
            <w:highlight w:val="lightGray"/>
          </w:rPr>
          <w:delText>1)</w:delText>
        </w:r>
        <w:r w:rsidRPr="00AB7697">
          <w:rPr>
            <w:b/>
            <w:sz w:val="22"/>
            <w:szCs w:val="22"/>
            <w:highlight w:val="lightGray"/>
          </w:rPr>
          <w:tab/>
          <w:delText>Klargjøring</w:delText>
        </w:r>
      </w:del>
    </w:p>
    <w:p w14:paraId="13BCAE81" w14:textId="03F45B9C" w:rsidR="00102E64" w:rsidRPr="00AB7697" w:rsidRDefault="00102E64" w:rsidP="00AF70AD">
      <w:pPr>
        <w:keepNext/>
        <w:tabs>
          <w:tab w:val="num" w:pos="567"/>
        </w:tabs>
        <w:suppressAutoHyphens/>
        <w:ind w:left="567" w:hanging="567"/>
        <w:rPr>
          <w:del w:id="15588" w:author="AbbVie02no" w:date="2025-05-15T14:21:00Z"/>
          <w:sz w:val="22"/>
          <w:szCs w:val="22"/>
          <w:highlight w:val="lightGray"/>
        </w:rPr>
      </w:pPr>
    </w:p>
    <w:p w14:paraId="487F387F" w14:textId="3B1324C0" w:rsidR="00102E64" w:rsidRPr="00AB7697" w:rsidRDefault="00E453CD" w:rsidP="00102E64">
      <w:pPr>
        <w:tabs>
          <w:tab w:val="num" w:pos="1548"/>
        </w:tabs>
        <w:suppressAutoHyphens/>
        <w:rPr>
          <w:del w:id="15589" w:author="AbbVie02no" w:date="2025-05-15T14:21:00Z"/>
          <w:sz w:val="22"/>
          <w:szCs w:val="22"/>
          <w:highlight w:val="lightGray"/>
        </w:rPr>
      </w:pPr>
      <w:del w:id="15590" w:author="AbbVie02no" w:date="2025-05-15T14:21:00Z">
        <w:r w:rsidRPr="00AB7697">
          <w:rPr>
            <w:sz w:val="22"/>
            <w:szCs w:val="22"/>
            <w:highlight w:val="lightGray"/>
          </w:rPr>
          <w:delText>Vask hendene dine grundig.</w:delText>
        </w:r>
      </w:del>
    </w:p>
    <w:p w14:paraId="53A72B5D" w14:textId="06213D69" w:rsidR="00102E64" w:rsidRPr="00AB7697" w:rsidRDefault="00E453CD" w:rsidP="00102E64">
      <w:pPr>
        <w:tabs>
          <w:tab w:val="num" w:pos="1548"/>
        </w:tabs>
        <w:suppressAutoHyphens/>
        <w:rPr>
          <w:del w:id="15591" w:author="AbbVie02no" w:date="2025-05-15T14:21:00Z"/>
          <w:sz w:val="22"/>
          <w:szCs w:val="22"/>
          <w:highlight w:val="lightGray"/>
        </w:rPr>
      </w:pPr>
      <w:del w:id="15592" w:author="AbbVie02no" w:date="2025-05-15T14:21:00Z">
        <w:r w:rsidRPr="00AB7697">
          <w:rPr>
            <w:sz w:val="22"/>
            <w:szCs w:val="22"/>
            <w:highlight w:val="lightGray"/>
          </w:rPr>
          <w:delText>Legg følgende deler klar på et rent bord.</w:delText>
        </w:r>
      </w:del>
    </w:p>
    <w:p w14:paraId="4F3776B6" w14:textId="443DA0B6" w:rsidR="00102E64" w:rsidRPr="00AB7697" w:rsidRDefault="00102E64" w:rsidP="00102E64">
      <w:pPr>
        <w:tabs>
          <w:tab w:val="num" w:pos="1548"/>
        </w:tabs>
        <w:suppressAutoHyphens/>
        <w:rPr>
          <w:del w:id="15593" w:author="AbbVie02no" w:date="2025-05-15T14:21:00Z"/>
          <w:sz w:val="22"/>
          <w:szCs w:val="22"/>
          <w:highlight w:val="lightGray"/>
        </w:rPr>
      </w:pPr>
    </w:p>
    <w:p w14:paraId="1DD1FB7C" w14:textId="6DDC449A" w:rsidR="00102E64" w:rsidRPr="00AB7697" w:rsidRDefault="00E453CD" w:rsidP="00102E64">
      <w:pPr>
        <w:numPr>
          <w:ilvl w:val="0"/>
          <w:numId w:val="34"/>
        </w:numPr>
        <w:tabs>
          <w:tab w:val="num" w:pos="2268"/>
        </w:tabs>
        <w:suppressAutoHyphens/>
        <w:rPr>
          <w:del w:id="15594" w:author="AbbVie02no" w:date="2025-05-15T14:21:00Z"/>
          <w:sz w:val="22"/>
          <w:szCs w:val="22"/>
          <w:highlight w:val="lightGray"/>
        </w:rPr>
      </w:pPr>
      <w:del w:id="15595" w:author="AbbVie02no" w:date="2025-05-15T14:21:00Z">
        <w:r w:rsidRPr="00AB7697">
          <w:rPr>
            <w:sz w:val="22"/>
            <w:szCs w:val="22"/>
            <w:highlight w:val="lightGray"/>
          </w:rPr>
          <w:delText>En ferdigfylt sprøyte med Humira injeksjonsvæske.</w:delText>
        </w:r>
      </w:del>
    </w:p>
    <w:p w14:paraId="1BA995F2" w14:textId="6CAD3E2C" w:rsidR="00102E64" w:rsidRPr="00AB7697" w:rsidRDefault="00E453CD" w:rsidP="00102E64">
      <w:pPr>
        <w:numPr>
          <w:ilvl w:val="0"/>
          <w:numId w:val="34"/>
        </w:numPr>
        <w:tabs>
          <w:tab w:val="num" w:pos="2268"/>
        </w:tabs>
        <w:suppressAutoHyphens/>
        <w:rPr>
          <w:del w:id="15596" w:author="AbbVie02no" w:date="2025-05-15T14:21:00Z"/>
          <w:sz w:val="22"/>
          <w:szCs w:val="22"/>
          <w:highlight w:val="lightGray"/>
        </w:rPr>
      </w:pPr>
      <w:del w:id="15597" w:author="AbbVie02no" w:date="2025-05-15T14:21:00Z">
        <w:r w:rsidRPr="00AB7697">
          <w:rPr>
            <w:sz w:val="22"/>
            <w:szCs w:val="22"/>
            <w:highlight w:val="lightGray"/>
          </w:rPr>
          <w:delText>Et injeksjonstørk.</w:delText>
        </w:r>
      </w:del>
    </w:p>
    <w:p w14:paraId="53EA2CD8" w14:textId="4D371053" w:rsidR="00102E64" w:rsidRPr="00AB7697" w:rsidRDefault="00102E64" w:rsidP="00102E64">
      <w:pPr>
        <w:ind w:left="2160"/>
        <w:rPr>
          <w:del w:id="15598" w:author="AbbVie02no" w:date="2025-05-15T14:21:00Z"/>
          <w:sz w:val="22"/>
          <w:szCs w:val="22"/>
          <w:highlight w:val="lightGray"/>
        </w:rPr>
      </w:pPr>
    </w:p>
    <w:p w14:paraId="59C742B1" w14:textId="7AC00E0F" w:rsidR="00102E64" w:rsidRPr="00AB7697" w:rsidRDefault="00E453CD" w:rsidP="00102E64">
      <w:pPr>
        <w:tabs>
          <w:tab w:val="num" w:pos="2268"/>
        </w:tabs>
        <w:suppressAutoHyphens/>
        <w:ind w:left="567"/>
        <w:rPr>
          <w:del w:id="15599" w:author="AbbVie02no" w:date="2025-05-15T14:21:00Z"/>
          <w:sz w:val="22"/>
          <w:szCs w:val="22"/>
          <w:highlight w:val="lightGray"/>
        </w:rPr>
      </w:pPr>
      <w:del w:id="15600" w:author="AbbVie02no" w:date="2025-05-15T14:21:00Z">
        <w:r w:rsidRPr="00AB7697">
          <w:rPr>
            <w:sz w:val="22"/>
            <w:szCs w:val="22"/>
            <w:highlight w:val="lightGray"/>
          </w:rPr>
          <w:tab/>
        </w:r>
        <w:r w:rsidRPr="00AB7697">
          <w:rPr>
            <w:noProof/>
            <w:sz w:val="22"/>
            <w:szCs w:val="22"/>
            <w:highlight w:val="lightGray"/>
            <w:lang w:val="en-GB" w:eastAsia="en-GB"/>
          </w:rPr>
          <w:drawing>
            <wp:inline distT="0" distB="0" distL="0" distR="0" wp14:anchorId="773CACD2" wp14:editId="7E018D2D">
              <wp:extent cx="2362200" cy="18097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21"/>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362200" cy="1809750"/>
                      </a:xfrm>
                      <a:prstGeom prst="rect">
                        <a:avLst/>
                      </a:prstGeom>
                      <a:noFill/>
                      <a:ln>
                        <a:noFill/>
                      </a:ln>
                    </pic:spPr>
                  </pic:pic>
                </a:graphicData>
              </a:graphic>
            </wp:inline>
          </w:drawing>
        </w:r>
      </w:del>
    </w:p>
    <w:p w14:paraId="4C56738A" w14:textId="34E85115" w:rsidR="00102E64" w:rsidRPr="00AB7697" w:rsidRDefault="00102E64" w:rsidP="00102E64">
      <w:pPr>
        <w:tabs>
          <w:tab w:val="num" w:pos="2268"/>
        </w:tabs>
        <w:suppressAutoHyphens/>
        <w:ind w:left="567"/>
        <w:rPr>
          <w:del w:id="15601" w:author="AbbVie02no" w:date="2025-05-15T14:21:00Z"/>
          <w:sz w:val="22"/>
          <w:szCs w:val="22"/>
          <w:highlight w:val="lightGray"/>
        </w:rPr>
      </w:pPr>
    </w:p>
    <w:p w14:paraId="2B9B5CE9" w14:textId="4B539C68" w:rsidR="00102E64" w:rsidRPr="00AB7697" w:rsidRDefault="00E453CD" w:rsidP="00AB7697">
      <w:pPr>
        <w:tabs>
          <w:tab w:val="num" w:pos="1494"/>
        </w:tabs>
        <w:suppressAutoHyphens/>
        <w:ind w:left="567"/>
        <w:rPr>
          <w:del w:id="15602" w:author="AbbVie02no" w:date="2025-05-15T14:21:00Z"/>
          <w:sz w:val="22"/>
          <w:szCs w:val="22"/>
          <w:highlight w:val="lightGray"/>
        </w:rPr>
      </w:pPr>
      <w:del w:id="15603" w:author="AbbVie02no" w:date="2025-05-15T14:21:00Z">
        <w:r w:rsidRPr="00AB7697">
          <w:rPr>
            <w:sz w:val="22"/>
            <w:szCs w:val="22"/>
            <w:highlight w:val="lightGray"/>
          </w:rPr>
          <w:delText>Se på utløpsdatoen for sprøyten. Ikke bruk produktet dersom datoen har passert måneden og året som er vist.</w:delText>
        </w:r>
      </w:del>
    </w:p>
    <w:p w14:paraId="02482014" w14:textId="61A41746" w:rsidR="00102E64" w:rsidRPr="00AB7697" w:rsidRDefault="00102E64" w:rsidP="00102E64">
      <w:pPr>
        <w:tabs>
          <w:tab w:val="num" w:pos="567"/>
        </w:tabs>
        <w:suppressAutoHyphens/>
        <w:ind w:left="567" w:hanging="567"/>
        <w:rPr>
          <w:del w:id="15604" w:author="AbbVie02no" w:date="2025-05-15T14:21:00Z"/>
          <w:sz w:val="22"/>
          <w:szCs w:val="22"/>
          <w:highlight w:val="lightGray"/>
        </w:rPr>
      </w:pPr>
    </w:p>
    <w:p w14:paraId="2403530B" w14:textId="62BFA20E" w:rsidR="00102E64" w:rsidRPr="00AB7697" w:rsidRDefault="00E453CD" w:rsidP="003E6B4B">
      <w:pPr>
        <w:keepNext/>
        <w:tabs>
          <w:tab w:val="left" w:pos="567"/>
        </w:tabs>
        <w:suppressAutoHyphens/>
        <w:rPr>
          <w:del w:id="15605" w:author="AbbVie02no" w:date="2025-05-15T14:21:00Z"/>
          <w:b/>
          <w:sz w:val="22"/>
          <w:szCs w:val="22"/>
          <w:highlight w:val="lightGray"/>
        </w:rPr>
      </w:pPr>
      <w:del w:id="15606" w:author="AbbVie02no" w:date="2025-05-15T14:21:00Z">
        <w:r w:rsidRPr="00AB7697">
          <w:rPr>
            <w:b/>
            <w:sz w:val="22"/>
            <w:szCs w:val="22"/>
            <w:highlight w:val="lightGray"/>
          </w:rPr>
          <w:delText>2)</w:delText>
        </w:r>
        <w:r w:rsidRPr="00AB7697">
          <w:rPr>
            <w:b/>
            <w:sz w:val="22"/>
            <w:szCs w:val="22"/>
            <w:highlight w:val="lightGray"/>
          </w:rPr>
          <w:tab/>
          <w:delText>Velg ut og gjør klar stedet injeksjonen skal settes</w:delText>
        </w:r>
      </w:del>
    </w:p>
    <w:p w14:paraId="2E95942F" w14:textId="6CB8D205" w:rsidR="00102E64" w:rsidRPr="00AB7697" w:rsidRDefault="00102E64" w:rsidP="003E6B4B">
      <w:pPr>
        <w:keepNext/>
        <w:tabs>
          <w:tab w:val="num" w:pos="567"/>
        </w:tabs>
        <w:suppressAutoHyphens/>
        <w:ind w:left="567" w:hanging="567"/>
        <w:rPr>
          <w:del w:id="15607" w:author="AbbVie02no" w:date="2025-05-15T14:21:00Z"/>
          <w:sz w:val="22"/>
          <w:szCs w:val="22"/>
          <w:highlight w:val="lightGray"/>
        </w:rPr>
      </w:pPr>
    </w:p>
    <w:p w14:paraId="3B62889F" w14:textId="72BF8CAB" w:rsidR="00102E64" w:rsidRPr="00AB7697" w:rsidRDefault="00E453CD" w:rsidP="003E6B4B">
      <w:pPr>
        <w:keepNext/>
        <w:tabs>
          <w:tab w:val="num" w:pos="567"/>
        </w:tabs>
        <w:suppressAutoHyphens/>
        <w:ind w:left="567" w:hanging="567"/>
        <w:rPr>
          <w:del w:id="15608" w:author="AbbVie02no" w:date="2025-05-15T14:21:00Z"/>
          <w:sz w:val="22"/>
          <w:szCs w:val="22"/>
          <w:highlight w:val="lightGray"/>
        </w:rPr>
      </w:pPr>
      <w:del w:id="15609" w:author="AbbVie02no" w:date="2025-05-15T14:21:00Z">
        <w:r w:rsidRPr="00AB7697">
          <w:rPr>
            <w:sz w:val="22"/>
            <w:szCs w:val="22"/>
            <w:highlight w:val="lightGray"/>
          </w:rPr>
          <w:delText>Velg et sted på låret eller magen.</w:delText>
        </w:r>
      </w:del>
    </w:p>
    <w:p w14:paraId="4E20026B" w14:textId="398471C2" w:rsidR="00102E64" w:rsidRPr="00AB7697" w:rsidRDefault="00102E64" w:rsidP="00102E64">
      <w:pPr>
        <w:pStyle w:val="EMEABullet2"/>
        <w:numPr>
          <w:ilvl w:val="0"/>
          <w:numId w:val="0"/>
        </w:numPr>
        <w:tabs>
          <w:tab w:val="num" w:pos="567"/>
        </w:tabs>
        <w:ind w:left="567" w:hanging="567"/>
        <w:rPr>
          <w:del w:id="15610" w:author="AbbVie02no" w:date="2025-05-15T14:21:00Z"/>
          <w:szCs w:val="22"/>
          <w:highlight w:val="lightGray"/>
          <w:lang w:val="nb-NO"/>
        </w:rPr>
      </w:pPr>
    </w:p>
    <w:p w14:paraId="3D09A7BA" w14:textId="28ABB6A6" w:rsidR="00102E64" w:rsidRPr="00AB7697" w:rsidRDefault="00E453CD" w:rsidP="00102E64">
      <w:pPr>
        <w:tabs>
          <w:tab w:val="num" w:pos="567"/>
        </w:tabs>
        <w:suppressAutoHyphens/>
        <w:ind w:left="567" w:hanging="567"/>
        <w:jc w:val="center"/>
        <w:rPr>
          <w:del w:id="15611" w:author="AbbVie02no" w:date="2025-05-15T14:21:00Z"/>
          <w:sz w:val="22"/>
          <w:szCs w:val="22"/>
          <w:highlight w:val="lightGray"/>
        </w:rPr>
      </w:pPr>
      <w:del w:id="15612" w:author="AbbVie02no" w:date="2025-05-15T14:21:00Z">
        <w:r w:rsidRPr="00AB7697">
          <w:rPr>
            <w:noProof/>
            <w:sz w:val="22"/>
            <w:szCs w:val="22"/>
            <w:highlight w:val="lightGray"/>
            <w:lang w:val="en-GB" w:eastAsia="en-GB"/>
          </w:rPr>
          <w:drawing>
            <wp:inline distT="0" distB="0" distL="0" distR="0" wp14:anchorId="4DCE0486" wp14:editId="739077CC">
              <wp:extent cx="1876425" cy="160972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22"/>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876425" cy="1609725"/>
                      </a:xfrm>
                      <a:prstGeom prst="rect">
                        <a:avLst/>
                      </a:prstGeom>
                      <a:noFill/>
                      <a:ln>
                        <a:noFill/>
                      </a:ln>
                    </pic:spPr>
                  </pic:pic>
                </a:graphicData>
              </a:graphic>
            </wp:inline>
          </w:drawing>
        </w:r>
      </w:del>
    </w:p>
    <w:p w14:paraId="367450C7" w14:textId="5E8AB646" w:rsidR="00102E64" w:rsidRPr="00AB7697" w:rsidRDefault="00102E64" w:rsidP="00102E64">
      <w:pPr>
        <w:tabs>
          <w:tab w:val="num" w:pos="567"/>
        </w:tabs>
        <w:suppressAutoHyphens/>
        <w:ind w:left="567" w:hanging="567"/>
        <w:rPr>
          <w:del w:id="15613" w:author="AbbVie02no" w:date="2025-05-15T14:21:00Z"/>
          <w:sz w:val="22"/>
          <w:szCs w:val="22"/>
          <w:highlight w:val="lightGray"/>
        </w:rPr>
      </w:pPr>
    </w:p>
    <w:p w14:paraId="274BC3B4" w14:textId="5AB39C58" w:rsidR="00102E64" w:rsidRPr="00AB7697" w:rsidRDefault="00E453CD" w:rsidP="00AB7697">
      <w:pPr>
        <w:tabs>
          <w:tab w:val="num" w:pos="1440"/>
        </w:tabs>
        <w:suppressAutoHyphens/>
        <w:ind w:left="567"/>
        <w:rPr>
          <w:del w:id="15614" w:author="AbbVie02no" w:date="2025-05-15T14:21:00Z"/>
          <w:sz w:val="22"/>
          <w:szCs w:val="22"/>
          <w:highlight w:val="lightGray"/>
        </w:rPr>
      </w:pPr>
      <w:del w:id="15615" w:author="AbbVie02no" w:date="2025-05-15T14:21:00Z">
        <w:r w:rsidRPr="00AB7697">
          <w:rPr>
            <w:sz w:val="22"/>
            <w:szCs w:val="22"/>
            <w:highlight w:val="lightGray"/>
          </w:rPr>
          <w:delText>Hver ny injeksjon som settes skal settes minst 3 cm fra der hvor den forrige ble satt.</w:delText>
        </w:r>
      </w:del>
    </w:p>
    <w:p w14:paraId="209F88F7" w14:textId="07C9651F" w:rsidR="00102E64" w:rsidRPr="00AB7697" w:rsidRDefault="00E453CD" w:rsidP="00102E64">
      <w:pPr>
        <w:numPr>
          <w:ilvl w:val="0"/>
          <w:numId w:val="37"/>
        </w:numPr>
        <w:tabs>
          <w:tab w:val="num" w:pos="2160"/>
        </w:tabs>
        <w:suppressAutoHyphens/>
        <w:rPr>
          <w:del w:id="15616" w:author="AbbVie02no" w:date="2025-05-15T14:21:00Z"/>
          <w:sz w:val="22"/>
          <w:szCs w:val="22"/>
          <w:highlight w:val="lightGray"/>
        </w:rPr>
      </w:pPr>
      <w:del w:id="15617" w:author="AbbVie02no" w:date="2025-05-15T14:21:00Z">
        <w:r w:rsidRPr="00AB7697">
          <w:rPr>
            <w:sz w:val="22"/>
            <w:szCs w:val="22"/>
            <w:highlight w:val="lightGray"/>
          </w:rPr>
          <w:delText>Ikke injisér på et sted hvor huden er rødlig, har blåmerker eller er hard - dette kan være tegn på en infeksjon.</w:delText>
        </w:r>
      </w:del>
    </w:p>
    <w:p w14:paraId="23562487" w14:textId="2D95EE0C" w:rsidR="00102E64" w:rsidRPr="00AB7697" w:rsidRDefault="00E453CD" w:rsidP="00102E64">
      <w:pPr>
        <w:numPr>
          <w:ilvl w:val="0"/>
          <w:numId w:val="37"/>
        </w:numPr>
        <w:tabs>
          <w:tab w:val="num" w:pos="2160"/>
        </w:tabs>
        <w:suppressAutoHyphens/>
        <w:rPr>
          <w:del w:id="15618" w:author="AbbVie02no" w:date="2025-05-15T14:21:00Z"/>
          <w:sz w:val="22"/>
          <w:szCs w:val="22"/>
          <w:highlight w:val="lightGray"/>
        </w:rPr>
      </w:pPr>
      <w:del w:id="15619" w:author="AbbVie02no" w:date="2025-05-15T14:21:00Z">
        <w:r w:rsidRPr="00AB7697">
          <w:rPr>
            <w:sz w:val="22"/>
            <w:szCs w:val="22"/>
            <w:highlight w:val="lightGray"/>
          </w:rPr>
          <w:delText>Bruk det vedlagte injeksjonstørket og tørk av injeksjonsstedet med ringbevegelser</w:delText>
        </w:r>
      </w:del>
    </w:p>
    <w:p w14:paraId="3AC41CBF" w14:textId="25932F14" w:rsidR="00102E64" w:rsidRPr="00AB7697" w:rsidRDefault="00E453CD" w:rsidP="00102E64">
      <w:pPr>
        <w:numPr>
          <w:ilvl w:val="0"/>
          <w:numId w:val="37"/>
        </w:numPr>
        <w:tabs>
          <w:tab w:val="num" w:pos="2160"/>
        </w:tabs>
        <w:suppressAutoHyphens/>
        <w:rPr>
          <w:del w:id="15620" w:author="AbbVie02no" w:date="2025-05-15T14:21:00Z"/>
          <w:sz w:val="22"/>
          <w:szCs w:val="22"/>
          <w:highlight w:val="lightGray"/>
        </w:rPr>
      </w:pPr>
      <w:del w:id="15621" w:author="AbbVie02no" w:date="2025-05-15T14:21:00Z">
        <w:r w:rsidRPr="00AB7697">
          <w:rPr>
            <w:sz w:val="22"/>
            <w:szCs w:val="22"/>
            <w:highlight w:val="lightGray"/>
          </w:rPr>
          <w:delText>Ikke berør området igjen før injeksjonen settes.</w:delText>
        </w:r>
      </w:del>
    </w:p>
    <w:p w14:paraId="108F8CBA" w14:textId="1A81CFEF" w:rsidR="00102E64" w:rsidRPr="00AB7697" w:rsidRDefault="00102E64" w:rsidP="00102E64">
      <w:pPr>
        <w:tabs>
          <w:tab w:val="num" w:pos="567"/>
        </w:tabs>
        <w:suppressAutoHyphens/>
        <w:ind w:left="567" w:hanging="567"/>
        <w:rPr>
          <w:del w:id="15622" w:author="AbbVie02no" w:date="2025-05-15T14:21:00Z"/>
          <w:sz w:val="22"/>
          <w:szCs w:val="22"/>
          <w:highlight w:val="lightGray"/>
        </w:rPr>
      </w:pPr>
    </w:p>
    <w:p w14:paraId="6E167E07" w14:textId="48E0562F" w:rsidR="00102E64" w:rsidRPr="00AB7697" w:rsidRDefault="00E453CD" w:rsidP="00776A84">
      <w:pPr>
        <w:keepNext/>
        <w:tabs>
          <w:tab w:val="left" w:pos="567"/>
        </w:tabs>
        <w:suppressAutoHyphens/>
        <w:rPr>
          <w:del w:id="15623" w:author="AbbVie02no" w:date="2025-05-15T14:21:00Z"/>
          <w:sz w:val="22"/>
          <w:szCs w:val="22"/>
          <w:highlight w:val="lightGray"/>
        </w:rPr>
      </w:pPr>
      <w:del w:id="15624" w:author="AbbVie02no" w:date="2025-05-15T14:21:00Z">
        <w:r w:rsidRPr="00AB7697">
          <w:rPr>
            <w:b/>
            <w:sz w:val="22"/>
            <w:szCs w:val="22"/>
            <w:highlight w:val="lightGray"/>
          </w:rPr>
          <w:delText>3)</w:delText>
        </w:r>
        <w:r w:rsidRPr="00AB7697">
          <w:rPr>
            <w:b/>
            <w:sz w:val="22"/>
            <w:szCs w:val="22"/>
            <w:highlight w:val="lightGray"/>
          </w:rPr>
          <w:tab/>
          <w:delText>Injeksjon av Humira</w:delText>
        </w:r>
      </w:del>
    </w:p>
    <w:p w14:paraId="6FEDD72A" w14:textId="615723E3" w:rsidR="00102E64" w:rsidRPr="00AB7697" w:rsidRDefault="00102E64" w:rsidP="00776A84">
      <w:pPr>
        <w:keepNext/>
        <w:suppressAutoHyphens/>
        <w:rPr>
          <w:del w:id="15625" w:author="AbbVie02no" w:date="2025-05-15T14:21:00Z"/>
          <w:sz w:val="22"/>
          <w:szCs w:val="22"/>
          <w:highlight w:val="lightGray"/>
        </w:rPr>
      </w:pPr>
    </w:p>
    <w:p w14:paraId="12645395" w14:textId="51E6E564" w:rsidR="00102E64" w:rsidRPr="00AB7697" w:rsidRDefault="00E453CD" w:rsidP="00102E64">
      <w:pPr>
        <w:numPr>
          <w:ilvl w:val="0"/>
          <w:numId w:val="6"/>
        </w:numPr>
        <w:tabs>
          <w:tab w:val="num" w:pos="567"/>
        </w:tabs>
        <w:suppressAutoHyphens/>
        <w:ind w:left="567" w:hanging="567"/>
        <w:rPr>
          <w:del w:id="15626" w:author="AbbVie02no" w:date="2025-05-15T14:21:00Z"/>
          <w:sz w:val="22"/>
          <w:szCs w:val="22"/>
          <w:highlight w:val="lightGray"/>
        </w:rPr>
      </w:pPr>
      <w:del w:id="15627" w:author="AbbVie02no" w:date="2025-05-15T14:21:00Z">
        <w:r w:rsidRPr="00AB7697">
          <w:rPr>
            <w:sz w:val="22"/>
            <w:szCs w:val="22"/>
            <w:highlight w:val="lightGray"/>
          </w:rPr>
          <w:delText>IKKE ryst sprøyten.</w:delText>
        </w:r>
      </w:del>
    </w:p>
    <w:p w14:paraId="2DE72F35" w14:textId="080EE03D" w:rsidR="00102E64" w:rsidRPr="00AB7697" w:rsidRDefault="00E453CD" w:rsidP="00102E64">
      <w:pPr>
        <w:numPr>
          <w:ilvl w:val="0"/>
          <w:numId w:val="6"/>
        </w:numPr>
        <w:tabs>
          <w:tab w:val="num" w:pos="567"/>
        </w:tabs>
        <w:suppressAutoHyphens/>
        <w:ind w:left="567" w:hanging="567"/>
        <w:rPr>
          <w:del w:id="15628" w:author="AbbVie02no" w:date="2025-05-15T14:21:00Z"/>
          <w:sz w:val="22"/>
          <w:szCs w:val="22"/>
          <w:highlight w:val="lightGray"/>
        </w:rPr>
      </w:pPr>
      <w:del w:id="15629" w:author="AbbVie02no" w:date="2025-05-15T14:21:00Z">
        <w:r w:rsidRPr="00AB7697">
          <w:rPr>
            <w:sz w:val="22"/>
            <w:szCs w:val="22"/>
            <w:highlight w:val="lightGray"/>
          </w:rPr>
          <w:delText xml:space="preserve">Ta </w:delText>
        </w:r>
        <w:r w:rsidR="004305DE">
          <w:rPr>
            <w:sz w:val="22"/>
            <w:szCs w:val="22"/>
            <w:highlight w:val="lightGray"/>
          </w:rPr>
          <w:delText>hetten</w:delText>
        </w:r>
        <w:r w:rsidR="004305DE" w:rsidRPr="00AB7697">
          <w:rPr>
            <w:sz w:val="22"/>
            <w:szCs w:val="22"/>
            <w:highlight w:val="lightGray"/>
          </w:rPr>
          <w:delText xml:space="preserve"> </w:delText>
        </w:r>
        <w:r w:rsidRPr="00AB7697">
          <w:rPr>
            <w:sz w:val="22"/>
            <w:szCs w:val="22"/>
            <w:highlight w:val="lightGray"/>
          </w:rPr>
          <w:delText>av sprøytespissen, og pass på at du ikke berører spissen eller lar den berøre noe</w:delText>
        </w:r>
      </w:del>
    </w:p>
    <w:p w14:paraId="190AC0F3" w14:textId="6C6D74A1" w:rsidR="00102E64" w:rsidRPr="00AB7697" w:rsidRDefault="00E453CD" w:rsidP="00AB7697">
      <w:pPr>
        <w:numPr>
          <w:ilvl w:val="0"/>
          <w:numId w:val="6"/>
        </w:numPr>
        <w:tabs>
          <w:tab w:val="num" w:pos="567"/>
        </w:tabs>
        <w:suppressAutoHyphens/>
        <w:ind w:left="567" w:hanging="567"/>
        <w:rPr>
          <w:del w:id="15630" w:author="AbbVie02no" w:date="2025-05-15T14:21:00Z"/>
          <w:szCs w:val="22"/>
          <w:highlight w:val="lightGray"/>
        </w:rPr>
      </w:pPr>
      <w:del w:id="15631" w:author="AbbVie02no" w:date="2025-05-15T14:21:00Z">
        <w:r w:rsidRPr="00AB7697">
          <w:rPr>
            <w:sz w:val="22"/>
            <w:szCs w:val="22"/>
            <w:highlight w:val="lightGray"/>
          </w:rPr>
          <w:delText>Ta forsiktig tak i den rengjorte huden med den frie hånden og hold fast</w:delText>
        </w:r>
      </w:del>
    </w:p>
    <w:p w14:paraId="4C98E2B3" w14:textId="3E20303C" w:rsidR="00102E64" w:rsidRPr="00AB7697" w:rsidRDefault="00102E64" w:rsidP="00102E64">
      <w:pPr>
        <w:pStyle w:val="EMEANormal"/>
        <w:rPr>
          <w:del w:id="15632" w:author="AbbVie02no" w:date="2025-05-15T14:21:00Z"/>
          <w:highlight w:val="lightGray"/>
          <w:lang w:val="nb-NO"/>
        </w:rPr>
      </w:pPr>
    </w:p>
    <w:p w14:paraId="203DBE40" w14:textId="36AF2098" w:rsidR="00102E64" w:rsidRPr="00692DC9" w:rsidRDefault="00E453CD" w:rsidP="00AB7697">
      <w:pPr>
        <w:jc w:val="center"/>
        <w:rPr>
          <w:del w:id="15633" w:author="AbbVie02no" w:date="2025-05-15T14:21:00Z"/>
          <w:highlight w:val="lightGray"/>
          <w:rPrChange w:id="15634" w:author="AbbVie05no" w:date="2025-05-19T11:03:00Z">
            <w:rPr>
              <w:del w:id="15635" w:author="AbbVie02no" w:date="2025-05-15T14:21:00Z"/>
              <w:highlight w:val="lightGray"/>
              <w:lang w:val="en-GB"/>
            </w:rPr>
          </w:rPrChange>
        </w:rPr>
      </w:pPr>
      <w:del w:id="15636" w:author="AbbVie02no" w:date="2025-05-15T14:21:00Z">
        <w:r>
          <w:rPr>
            <w:noProof/>
            <w:highlight w:val="lightGray"/>
            <w:lang w:val="en-GB"/>
          </w:rPr>
          <w:object w:dxaOrig="2880" w:dyaOrig="2731" w14:anchorId="5FB7B1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136.45pt;mso-width-percent:0;mso-height-percent:0;mso-width-percent:0;mso-height-percent:0" o:ole="" o:allowoverlap="f">
              <v:imagedata r:id="rId58" o:title=""/>
            </v:shape>
            <o:OLEObject Type="Embed" ProgID="PBrush" ShapeID="_x0000_i1025" DrawAspect="Content" ObjectID="_1818931157" r:id="rId59"/>
          </w:object>
        </w:r>
      </w:del>
    </w:p>
    <w:p w14:paraId="7BB87330" w14:textId="77823537" w:rsidR="00102E64" w:rsidRPr="00102E64" w:rsidRDefault="00102E64" w:rsidP="00102E64">
      <w:pPr>
        <w:suppressAutoHyphens/>
        <w:rPr>
          <w:del w:id="15637" w:author="AbbVie02no" w:date="2025-05-15T14:21:00Z"/>
          <w:sz w:val="22"/>
          <w:szCs w:val="22"/>
        </w:rPr>
      </w:pPr>
    </w:p>
    <w:p w14:paraId="6E2805C0" w14:textId="1ADD59EE" w:rsidR="00102E64" w:rsidRPr="00AB7697" w:rsidRDefault="00E453CD" w:rsidP="00102E64">
      <w:pPr>
        <w:numPr>
          <w:ilvl w:val="0"/>
          <w:numId w:val="6"/>
        </w:numPr>
        <w:tabs>
          <w:tab w:val="num" w:pos="567"/>
        </w:tabs>
        <w:suppressAutoHyphens/>
        <w:ind w:left="567" w:hanging="567"/>
        <w:rPr>
          <w:del w:id="15638" w:author="AbbVie02no" w:date="2025-05-15T14:21:00Z"/>
          <w:sz w:val="22"/>
          <w:szCs w:val="22"/>
          <w:highlight w:val="lightGray"/>
        </w:rPr>
      </w:pPr>
      <w:del w:id="15639" w:author="AbbVie02no" w:date="2025-05-15T14:21:00Z">
        <w:r w:rsidRPr="00AB7697">
          <w:rPr>
            <w:sz w:val="22"/>
            <w:szCs w:val="22"/>
            <w:highlight w:val="lightGray"/>
          </w:rPr>
          <w:delText>Hold sprøyten med den andre hånden i 45-graders vinkel til huden og med den sporede siden opp.</w:delText>
        </w:r>
      </w:del>
    </w:p>
    <w:p w14:paraId="107186C5" w14:textId="7663FA4E" w:rsidR="00102E64" w:rsidRPr="00AB7697" w:rsidRDefault="00E453CD" w:rsidP="00102E64">
      <w:pPr>
        <w:numPr>
          <w:ilvl w:val="0"/>
          <w:numId w:val="6"/>
        </w:numPr>
        <w:tabs>
          <w:tab w:val="num" w:pos="567"/>
        </w:tabs>
        <w:suppressAutoHyphens/>
        <w:ind w:left="567" w:hanging="567"/>
        <w:rPr>
          <w:del w:id="15640" w:author="AbbVie02no" w:date="2025-05-15T14:21:00Z"/>
          <w:sz w:val="22"/>
          <w:szCs w:val="22"/>
          <w:highlight w:val="lightGray"/>
        </w:rPr>
      </w:pPr>
      <w:del w:id="15641" w:author="AbbVie02no" w:date="2025-05-15T14:21:00Z">
        <w:r w:rsidRPr="00AB7697">
          <w:rPr>
            <w:sz w:val="22"/>
            <w:szCs w:val="22"/>
            <w:highlight w:val="lightGray"/>
          </w:rPr>
          <w:lastRenderedPageBreak/>
          <w:delText xml:space="preserve">Trykk </w:delText>
        </w:r>
        <w:r w:rsidR="008138BF">
          <w:rPr>
            <w:sz w:val="22"/>
            <w:szCs w:val="22"/>
            <w:highlight w:val="lightGray"/>
          </w:rPr>
          <w:delText>kanyl</w:delText>
        </w:r>
        <w:r w:rsidRPr="00AB7697">
          <w:rPr>
            <w:sz w:val="22"/>
            <w:szCs w:val="22"/>
            <w:highlight w:val="lightGray"/>
          </w:rPr>
          <w:delText>en helt gjennom huden med en rask, kortvarig bevegelse.</w:delText>
        </w:r>
      </w:del>
    </w:p>
    <w:p w14:paraId="6E4BFC52" w14:textId="63BB8E57" w:rsidR="00102E64" w:rsidRPr="00AB7697" w:rsidRDefault="00E453CD" w:rsidP="00102E64">
      <w:pPr>
        <w:numPr>
          <w:ilvl w:val="0"/>
          <w:numId w:val="6"/>
        </w:numPr>
        <w:tabs>
          <w:tab w:val="num" w:pos="567"/>
        </w:tabs>
        <w:suppressAutoHyphens/>
        <w:ind w:left="567" w:hanging="567"/>
        <w:rPr>
          <w:del w:id="15642" w:author="AbbVie02no" w:date="2025-05-15T14:21:00Z"/>
          <w:sz w:val="22"/>
          <w:szCs w:val="22"/>
          <w:highlight w:val="lightGray"/>
        </w:rPr>
      </w:pPr>
      <w:del w:id="15643" w:author="AbbVie02no" w:date="2025-05-15T14:21:00Z">
        <w:r w:rsidRPr="00AB7697">
          <w:rPr>
            <w:sz w:val="22"/>
            <w:szCs w:val="22"/>
            <w:highlight w:val="lightGray"/>
          </w:rPr>
          <w:delText xml:space="preserve">Slipp taket i huden som du holder i hånden. </w:delText>
        </w:r>
      </w:del>
    </w:p>
    <w:p w14:paraId="741BBDF0" w14:textId="0366DB0E" w:rsidR="00102E64" w:rsidRPr="00AB7697" w:rsidRDefault="00E453CD" w:rsidP="00102E64">
      <w:pPr>
        <w:numPr>
          <w:ilvl w:val="0"/>
          <w:numId w:val="6"/>
        </w:numPr>
        <w:tabs>
          <w:tab w:val="num" w:pos="567"/>
        </w:tabs>
        <w:suppressAutoHyphens/>
        <w:ind w:left="567" w:hanging="567"/>
        <w:rPr>
          <w:del w:id="15644" w:author="AbbVie02no" w:date="2025-05-15T14:21:00Z"/>
          <w:sz w:val="22"/>
          <w:szCs w:val="22"/>
          <w:highlight w:val="lightGray"/>
        </w:rPr>
      </w:pPr>
      <w:del w:id="15645" w:author="AbbVie02no" w:date="2025-05-15T14:21:00Z">
        <w:r w:rsidRPr="00AB7697">
          <w:rPr>
            <w:sz w:val="22"/>
            <w:szCs w:val="22"/>
            <w:highlight w:val="lightGray"/>
          </w:rPr>
          <w:delText>Trykk inn sprøytestempelet for å injisere oppløsningen – det kan ta fra 2 til 5 sekunder å tømme sprøyten.</w:delText>
        </w:r>
      </w:del>
    </w:p>
    <w:p w14:paraId="67528C9B" w14:textId="2ABA32CC" w:rsidR="00102E64" w:rsidRPr="00AB7697" w:rsidRDefault="00E453CD" w:rsidP="00102E64">
      <w:pPr>
        <w:numPr>
          <w:ilvl w:val="0"/>
          <w:numId w:val="6"/>
        </w:numPr>
        <w:tabs>
          <w:tab w:val="num" w:pos="567"/>
        </w:tabs>
        <w:suppressAutoHyphens/>
        <w:ind w:left="567" w:hanging="567"/>
        <w:rPr>
          <w:del w:id="15646" w:author="AbbVie02no" w:date="2025-05-15T14:21:00Z"/>
          <w:sz w:val="22"/>
          <w:szCs w:val="22"/>
          <w:highlight w:val="lightGray"/>
        </w:rPr>
      </w:pPr>
      <w:del w:id="15647" w:author="AbbVie02no" w:date="2025-05-15T14:21:00Z">
        <w:r w:rsidRPr="00AB7697">
          <w:rPr>
            <w:sz w:val="22"/>
            <w:szCs w:val="22"/>
            <w:highlight w:val="lightGray"/>
          </w:rPr>
          <w:delText xml:space="preserve">Når sprøyten er tom, trekkes </w:delText>
        </w:r>
        <w:r w:rsidR="008138BF">
          <w:rPr>
            <w:sz w:val="22"/>
            <w:szCs w:val="22"/>
            <w:highlight w:val="lightGray"/>
          </w:rPr>
          <w:delText>kanyl</w:delText>
        </w:r>
        <w:r w:rsidRPr="00AB7697">
          <w:rPr>
            <w:sz w:val="22"/>
            <w:szCs w:val="22"/>
            <w:highlight w:val="lightGray"/>
          </w:rPr>
          <w:delText>en ut av huden, pass på å trekke den ut i samme vinkel som den ble stukket inn.</w:delText>
        </w:r>
      </w:del>
    </w:p>
    <w:p w14:paraId="64E91037" w14:textId="41B9415E" w:rsidR="00102E64" w:rsidRPr="00AB7697" w:rsidRDefault="00E453CD" w:rsidP="00102E64">
      <w:pPr>
        <w:numPr>
          <w:ilvl w:val="0"/>
          <w:numId w:val="6"/>
        </w:numPr>
        <w:tabs>
          <w:tab w:val="num" w:pos="567"/>
        </w:tabs>
        <w:suppressAutoHyphens/>
        <w:ind w:left="567" w:hanging="567"/>
        <w:rPr>
          <w:del w:id="15648" w:author="AbbVie02no" w:date="2025-05-15T14:21:00Z"/>
          <w:sz w:val="22"/>
          <w:szCs w:val="22"/>
          <w:highlight w:val="lightGray"/>
        </w:rPr>
      </w:pPr>
      <w:del w:id="15649" w:author="AbbVie02no" w:date="2025-05-15T14:21:00Z">
        <w:r w:rsidRPr="00AB7697">
          <w:rPr>
            <w:sz w:val="22"/>
            <w:szCs w:val="22"/>
            <w:highlight w:val="lightGray"/>
          </w:rPr>
          <w:delText xml:space="preserve">Hold sprøyten i den ene hånden mens du lar </w:delText>
        </w:r>
        <w:r w:rsidR="004305DE">
          <w:rPr>
            <w:sz w:val="22"/>
            <w:szCs w:val="22"/>
            <w:highlight w:val="lightGray"/>
          </w:rPr>
          <w:delText>kanyle</w:delText>
        </w:r>
        <w:r w:rsidRPr="00AB7697">
          <w:rPr>
            <w:sz w:val="22"/>
            <w:szCs w:val="22"/>
            <w:highlight w:val="lightGray"/>
          </w:rPr>
          <w:delText>beskyttelse</w:delText>
        </w:r>
        <w:r w:rsidR="004305DE">
          <w:rPr>
            <w:sz w:val="22"/>
            <w:szCs w:val="22"/>
            <w:highlight w:val="lightGray"/>
          </w:rPr>
          <w:delText>n</w:delText>
        </w:r>
        <w:r w:rsidRPr="00AB7697">
          <w:rPr>
            <w:sz w:val="22"/>
            <w:szCs w:val="22"/>
            <w:highlight w:val="lightGray"/>
          </w:rPr>
          <w:delText xml:space="preserve"> gli på sprøytespissen til du hører et klikk.</w:delText>
        </w:r>
      </w:del>
    </w:p>
    <w:p w14:paraId="5C1FFC20" w14:textId="4F40361A" w:rsidR="00102E64" w:rsidRPr="00AB7697" w:rsidRDefault="00E453CD" w:rsidP="00102E64">
      <w:pPr>
        <w:numPr>
          <w:ilvl w:val="0"/>
          <w:numId w:val="6"/>
        </w:numPr>
        <w:tabs>
          <w:tab w:val="clear" w:pos="720"/>
          <w:tab w:val="num" w:pos="567"/>
        </w:tabs>
        <w:suppressAutoHyphens/>
        <w:ind w:left="567" w:hanging="567"/>
        <w:rPr>
          <w:del w:id="15650" w:author="AbbVie02no" w:date="2025-05-15T14:21:00Z"/>
          <w:sz w:val="22"/>
          <w:szCs w:val="22"/>
          <w:highlight w:val="lightGray"/>
        </w:rPr>
      </w:pPr>
      <w:del w:id="15651" w:author="AbbVie02no" w:date="2025-05-15T14:21:00Z">
        <w:r w:rsidRPr="00AB7697">
          <w:rPr>
            <w:sz w:val="22"/>
            <w:szCs w:val="22"/>
            <w:highlight w:val="lightGray"/>
          </w:rPr>
          <w:delText>Trykk mot injeksjonsstedet i 10 sekunder med et stykke gasbind. Det kan hende det vil blø litt. Ikke gni injeksjonsstedet. Bruk plaster dersom nødvendig.</w:delText>
        </w:r>
      </w:del>
    </w:p>
    <w:p w14:paraId="521831EA" w14:textId="6D686A78" w:rsidR="00102E64" w:rsidRPr="00AB7697" w:rsidRDefault="00102E64" w:rsidP="00102E64">
      <w:pPr>
        <w:tabs>
          <w:tab w:val="num" w:pos="567"/>
        </w:tabs>
        <w:suppressAutoHyphens/>
        <w:ind w:left="567" w:hanging="567"/>
        <w:rPr>
          <w:del w:id="15652" w:author="AbbVie02no" w:date="2025-05-15T14:21:00Z"/>
          <w:sz w:val="22"/>
          <w:szCs w:val="22"/>
          <w:highlight w:val="lightGray"/>
        </w:rPr>
      </w:pPr>
    </w:p>
    <w:p w14:paraId="053FB321" w14:textId="20847D19" w:rsidR="00102E64" w:rsidRPr="00AB7697" w:rsidRDefault="00E453CD" w:rsidP="00AF70AD">
      <w:pPr>
        <w:keepNext/>
        <w:tabs>
          <w:tab w:val="left" w:pos="567"/>
        </w:tabs>
        <w:suppressAutoHyphens/>
        <w:rPr>
          <w:del w:id="15653" w:author="AbbVie02no" w:date="2025-05-15T14:21:00Z"/>
          <w:b/>
          <w:sz w:val="22"/>
          <w:szCs w:val="22"/>
          <w:highlight w:val="lightGray"/>
        </w:rPr>
      </w:pPr>
      <w:del w:id="15654" w:author="AbbVie02no" w:date="2025-05-15T14:21:00Z">
        <w:r w:rsidRPr="00AB7697">
          <w:rPr>
            <w:b/>
            <w:sz w:val="22"/>
            <w:szCs w:val="22"/>
            <w:highlight w:val="lightGray"/>
          </w:rPr>
          <w:delText>4)</w:delText>
        </w:r>
        <w:r w:rsidRPr="00AB7697">
          <w:rPr>
            <w:b/>
            <w:sz w:val="22"/>
            <w:szCs w:val="22"/>
            <w:highlight w:val="lightGray"/>
          </w:rPr>
          <w:tab/>
          <w:delText>Kast utstyr som blir til overs</w:delText>
        </w:r>
      </w:del>
    </w:p>
    <w:p w14:paraId="77C7B9A6" w14:textId="15BFF975" w:rsidR="00102E64" w:rsidRPr="00AB7697" w:rsidRDefault="00102E64" w:rsidP="00AF70AD">
      <w:pPr>
        <w:keepNext/>
        <w:tabs>
          <w:tab w:val="num" w:pos="567"/>
        </w:tabs>
        <w:suppressAutoHyphens/>
        <w:ind w:left="567" w:hanging="567"/>
        <w:rPr>
          <w:del w:id="15655" w:author="AbbVie02no" w:date="2025-05-15T14:21:00Z"/>
          <w:b/>
          <w:sz w:val="22"/>
          <w:szCs w:val="22"/>
          <w:highlight w:val="lightGray"/>
        </w:rPr>
      </w:pPr>
    </w:p>
    <w:p w14:paraId="442A0C24" w14:textId="568CF5EF" w:rsidR="00102E64" w:rsidRPr="00AB7697" w:rsidRDefault="00E453CD" w:rsidP="00102E64">
      <w:pPr>
        <w:numPr>
          <w:ilvl w:val="0"/>
          <w:numId w:val="5"/>
        </w:numPr>
        <w:tabs>
          <w:tab w:val="clear" w:pos="1080"/>
          <w:tab w:val="num" w:pos="567"/>
          <w:tab w:val="left" w:pos="1134"/>
        </w:tabs>
        <w:suppressAutoHyphens/>
        <w:ind w:left="567" w:hanging="567"/>
        <w:rPr>
          <w:del w:id="15656" w:author="AbbVie02no" w:date="2025-05-15T14:21:00Z"/>
          <w:sz w:val="22"/>
          <w:szCs w:val="22"/>
          <w:highlight w:val="lightGray"/>
        </w:rPr>
      </w:pPr>
      <w:del w:id="15657" w:author="AbbVie02no" w:date="2025-05-15T14:21:00Z">
        <w:r w:rsidRPr="00AB7697">
          <w:rPr>
            <w:sz w:val="22"/>
            <w:szCs w:val="22"/>
            <w:highlight w:val="lightGray"/>
          </w:rPr>
          <w:delText xml:space="preserve">Sprøyten med Humira skal ALDRI brukes på nytt. </w:delText>
        </w:r>
        <w:r w:rsidR="000E79A3" w:rsidRPr="00776A84">
          <w:rPr>
            <w:sz w:val="22"/>
            <w:szCs w:val="20"/>
            <w:highlight w:val="lightGray"/>
          </w:rPr>
          <w:delText xml:space="preserve">Sett </w:delText>
        </w:r>
        <w:r w:rsidR="008C27A3">
          <w:rPr>
            <w:sz w:val="22"/>
            <w:szCs w:val="20"/>
            <w:highlight w:val="lightGray"/>
          </w:rPr>
          <w:delText>ALDRI</w:delText>
        </w:r>
        <w:r w:rsidR="000E79A3" w:rsidRPr="00776A84">
          <w:rPr>
            <w:sz w:val="22"/>
            <w:szCs w:val="20"/>
            <w:highlight w:val="lightGray"/>
          </w:rPr>
          <w:delText xml:space="preserve"> </w:delText>
        </w:r>
        <w:r w:rsidR="00BD34A1">
          <w:rPr>
            <w:sz w:val="22"/>
            <w:szCs w:val="20"/>
            <w:highlight w:val="lightGray"/>
          </w:rPr>
          <w:delText>kanyle</w:delText>
        </w:r>
        <w:r w:rsidR="000E79A3" w:rsidRPr="00776A84">
          <w:rPr>
            <w:sz w:val="22"/>
            <w:szCs w:val="20"/>
            <w:highlight w:val="lightGray"/>
          </w:rPr>
          <w:delText>hetten tilbake på en kanyle</w:delText>
        </w:r>
        <w:r w:rsidRPr="000E79A3">
          <w:rPr>
            <w:sz w:val="22"/>
            <w:szCs w:val="22"/>
            <w:highlight w:val="lightGray"/>
          </w:rPr>
          <w:delText>.</w:delText>
        </w:r>
      </w:del>
    </w:p>
    <w:p w14:paraId="1C209E37" w14:textId="20891D51" w:rsidR="00102E64" w:rsidRPr="00AB7697" w:rsidRDefault="00E453CD" w:rsidP="00102E64">
      <w:pPr>
        <w:numPr>
          <w:ilvl w:val="0"/>
          <w:numId w:val="5"/>
        </w:numPr>
        <w:tabs>
          <w:tab w:val="clear" w:pos="1080"/>
          <w:tab w:val="num" w:pos="567"/>
          <w:tab w:val="left" w:pos="1134"/>
        </w:tabs>
        <w:suppressAutoHyphens/>
        <w:ind w:left="567" w:hanging="567"/>
        <w:rPr>
          <w:del w:id="15658" w:author="AbbVie02no" w:date="2025-05-15T14:21:00Z"/>
          <w:sz w:val="22"/>
          <w:szCs w:val="22"/>
          <w:highlight w:val="lightGray"/>
        </w:rPr>
      </w:pPr>
      <w:del w:id="15659" w:author="AbbVie02no" w:date="2025-05-15T14:21:00Z">
        <w:r w:rsidRPr="00AB7697">
          <w:rPr>
            <w:sz w:val="22"/>
            <w:szCs w:val="22"/>
            <w:highlight w:val="lightGray"/>
          </w:rPr>
          <w:delText>Etter injeksjon av Humira, skal sprøyten du har brukt umiddelbart kastes i en spesiell avfallsbeholder slik du har fått beskjed om fra lege, sykepleier eller farmasøyt.</w:delText>
        </w:r>
      </w:del>
    </w:p>
    <w:p w14:paraId="2A62755B" w14:textId="0D8281A7" w:rsidR="00102E64" w:rsidRDefault="00E453CD" w:rsidP="00102E64">
      <w:pPr>
        <w:rPr>
          <w:del w:id="15660" w:author="AbbVie02no" w:date="2025-05-15T14:21:00Z"/>
          <w:b/>
          <w:sz w:val="22"/>
          <w:szCs w:val="22"/>
        </w:rPr>
      </w:pPr>
      <w:del w:id="15661" w:author="AbbVie02no" w:date="2025-05-15T14:21:00Z">
        <w:r w:rsidRPr="00AB7697">
          <w:rPr>
            <w:sz w:val="22"/>
            <w:szCs w:val="22"/>
            <w:highlight w:val="lightGray"/>
          </w:rPr>
          <w:delText>Avfallsbeholderen må oppbevares utilgjengelig for barn.</w:delText>
        </w:r>
      </w:del>
    </w:p>
    <w:p w14:paraId="1E3CE194" w14:textId="62B493EC" w:rsidR="00102E64" w:rsidRDefault="00102E64" w:rsidP="009C5EFD">
      <w:pPr>
        <w:rPr>
          <w:del w:id="15662" w:author="AbbVie02no" w:date="2025-05-15T14:21:00Z"/>
          <w:b/>
          <w:sz w:val="22"/>
          <w:szCs w:val="22"/>
        </w:rPr>
      </w:pPr>
    </w:p>
    <w:p w14:paraId="20A6A31D" w14:textId="20FCC0A1" w:rsidR="00DE3458" w:rsidRPr="009C5EFD" w:rsidRDefault="00E453CD" w:rsidP="00776A84">
      <w:pPr>
        <w:keepNext/>
        <w:rPr>
          <w:del w:id="15663" w:author="AbbVie02no" w:date="2025-05-15T14:21:00Z"/>
          <w:b/>
          <w:sz w:val="22"/>
          <w:szCs w:val="22"/>
        </w:rPr>
      </w:pPr>
      <w:del w:id="15664" w:author="AbbVie02no" w:date="2025-05-15T14:21:00Z">
        <w:r w:rsidRPr="009C5EFD">
          <w:rPr>
            <w:b/>
            <w:sz w:val="22"/>
            <w:szCs w:val="22"/>
          </w:rPr>
          <w:delText>Dersom du tar for mye av Humira</w:delText>
        </w:r>
      </w:del>
    </w:p>
    <w:p w14:paraId="33CC59CA" w14:textId="1B769E9B" w:rsidR="00DE3458" w:rsidRPr="009C5EFD" w:rsidRDefault="00DE3458" w:rsidP="00776A84">
      <w:pPr>
        <w:keepNext/>
        <w:rPr>
          <w:del w:id="15665" w:author="AbbVie02no" w:date="2025-05-15T14:21:00Z"/>
          <w:sz w:val="22"/>
          <w:szCs w:val="22"/>
        </w:rPr>
      </w:pPr>
    </w:p>
    <w:p w14:paraId="419D7472" w14:textId="36A7A7CA" w:rsidR="00DE3458" w:rsidRPr="009C5EFD" w:rsidRDefault="00E453CD" w:rsidP="009C5EFD">
      <w:pPr>
        <w:rPr>
          <w:del w:id="15666" w:author="AbbVie02no" w:date="2025-05-15T14:21:00Z"/>
          <w:sz w:val="22"/>
          <w:szCs w:val="22"/>
        </w:rPr>
      </w:pPr>
      <w:del w:id="15667" w:author="AbbVie02no" w:date="2025-05-15T14:21:00Z">
        <w:r w:rsidRPr="009C5EFD">
          <w:rPr>
            <w:sz w:val="22"/>
            <w:szCs w:val="22"/>
          </w:rPr>
          <w:delText xml:space="preserve">Dersom du ved et uhell </w:delText>
        </w:r>
        <w:r w:rsidR="00701CB3">
          <w:rPr>
            <w:sz w:val="22"/>
            <w:szCs w:val="22"/>
          </w:rPr>
          <w:delText>injiserer</w:delText>
        </w:r>
        <w:r w:rsidRPr="009C5EFD">
          <w:rPr>
            <w:sz w:val="22"/>
            <w:szCs w:val="22"/>
          </w:rPr>
          <w:delText xml:space="preserve"> Humira oftere enn legen har forskrevet, oppsøk legen </w:delText>
        </w:r>
        <w:r w:rsidR="00624B8E">
          <w:rPr>
            <w:sz w:val="22"/>
            <w:szCs w:val="22"/>
          </w:rPr>
          <w:delText xml:space="preserve">din </w:delText>
        </w:r>
        <w:r w:rsidR="00B77C31" w:rsidRPr="009C5EFD">
          <w:rPr>
            <w:sz w:val="22"/>
            <w:szCs w:val="22"/>
          </w:rPr>
          <w:delText>eller</w:delText>
        </w:r>
        <w:r w:rsidR="00252A68" w:rsidRPr="009C5EFD">
          <w:rPr>
            <w:sz w:val="22"/>
            <w:szCs w:val="22"/>
          </w:rPr>
          <w:delText xml:space="preserve"> farmasøyt på</w:delText>
        </w:r>
        <w:r w:rsidR="00B77C31" w:rsidRPr="009C5EFD">
          <w:rPr>
            <w:sz w:val="22"/>
            <w:szCs w:val="22"/>
          </w:rPr>
          <w:delText xml:space="preserve"> apotek </w:delText>
        </w:r>
        <w:r w:rsidRPr="009C5EFD">
          <w:rPr>
            <w:sz w:val="22"/>
            <w:szCs w:val="22"/>
          </w:rPr>
          <w:delText>og fortell ham/henne at du har tatt for mye. Ta alltid med deg ytterpakningen for legemidlet, selv om den er tom.</w:delText>
        </w:r>
      </w:del>
    </w:p>
    <w:p w14:paraId="50891FFD" w14:textId="58DCCF04" w:rsidR="008861C9" w:rsidRPr="009C5EFD" w:rsidRDefault="008861C9" w:rsidP="009C5EFD">
      <w:pPr>
        <w:rPr>
          <w:del w:id="15668" w:author="AbbVie02no" w:date="2025-05-15T14:21:00Z"/>
          <w:b/>
          <w:sz w:val="22"/>
          <w:szCs w:val="22"/>
        </w:rPr>
      </w:pPr>
    </w:p>
    <w:p w14:paraId="379D204D" w14:textId="2B9CE1A2" w:rsidR="00DE3458" w:rsidRPr="009C5EFD" w:rsidRDefault="00E453CD" w:rsidP="00776A84">
      <w:pPr>
        <w:keepNext/>
        <w:rPr>
          <w:del w:id="15669" w:author="AbbVie02no" w:date="2025-05-15T14:21:00Z"/>
          <w:b/>
          <w:sz w:val="22"/>
          <w:szCs w:val="22"/>
        </w:rPr>
      </w:pPr>
      <w:del w:id="15670" w:author="AbbVie02no" w:date="2025-05-15T14:21:00Z">
        <w:r w:rsidRPr="009C5EFD">
          <w:rPr>
            <w:b/>
            <w:sz w:val="22"/>
            <w:szCs w:val="22"/>
          </w:rPr>
          <w:delText>Dersom du har glemt å ta Humira</w:delText>
        </w:r>
      </w:del>
    </w:p>
    <w:p w14:paraId="21ECF953" w14:textId="3C88C3B1" w:rsidR="00DE3458" w:rsidRPr="009C5EFD" w:rsidRDefault="00DE3458" w:rsidP="00776A84">
      <w:pPr>
        <w:keepNext/>
        <w:rPr>
          <w:del w:id="15671" w:author="AbbVie02no" w:date="2025-05-15T14:21:00Z"/>
          <w:sz w:val="22"/>
          <w:szCs w:val="22"/>
        </w:rPr>
      </w:pPr>
    </w:p>
    <w:p w14:paraId="1B25A658" w14:textId="47DF9629" w:rsidR="00DE3458" w:rsidRPr="009C5EFD" w:rsidRDefault="00E453CD" w:rsidP="009C5EFD">
      <w:pPr>
        <w:rPr>
          <w:del w:id="15672" w:author="AbbVie02no" w:date="2025-05-15T14:21:00Z"/>
          <w:sz w:val="22"/>
          <w:szCs w:val="22"/>
        </w:rPr>
      </w:pPr>
      <w:del w:id="15673" w:author="AbbVie02no" w:date="2025-05-15T14:21:00Z">
        <w:r w:rsidRPr="009C5EFD">
          <w:rPr>
            <w:sz w:val="22"/>
            <w:szCs w:val="22"/>
          </w:rPr>
          <w:delText xml:space="preserve">Dersom du har glemt å </w:delText>
        </w:r>
        <w:r w:rsidR="00747617" w:rsidRPr="009C5EFD">
          <w:rPr>
            <w:sz w:val="22"/>
            <w:szCs w:val="22"/>
          </w:rPr>
          <w:delText>ta Humira</w:delText>
        </w:r>
        <w:r w:rsidRPr="009C5EFD">
          <w:rPr>
            <w:sz w:val="22"/>
            <w:szCs w:val="22"/>
          </w:rPr>
          <w:delText>, skal du sette neste dose så snart du husker det. Deretter kan du sette neste dose den dagen det opprinnelig var planlagt, som om du ikke hadde glemt en dose.</w:delText>
        </w:r>
      </w:del>
    </w:p>
    <w:p w14:paraId="0E6B327F" w14:textId="67907D55" w:rsidR="00252A68" w:rsidRPr="009C5EFD" w:rsidRDefault="00252A68" w:rsidP="009C5EFD">
      <w:pPr>
        <w:rPr>
          <w:del w:id="15674" w:author="AbbVie02no" w:date="2025-05-15T14:21:00Z"/>
          <w:sz w:val="22"/>
          <w:szCs w:val="22"/>
        </w:rPr>
      </w:pPr>
    </w:p>
    <w:p w14:paraId="417CF247" w14:textId="1A008323" w:rsidR="00252A68" w:rsidRPr="009C5EFD" w:rsidRDefault="00E453CD" w:rsidP="00776A84">
      <w:pPr>
        <w:keepNext/>
        <w:rPr>
          <w:del w:id="15675" w:author="AbbVie02no" w:date="2025-05-15T14:21:00Z"/>
          <w:b/>
          <w:sz w:val="22"/>
          <w:szCs w:val="22"/>
        </w:rPr>
      </w:pPr>
      <w:del w:id="15676" w:author="AbbVie02no" w:date="2025-05-15T14:21:00Z">
        <w:r w:rsidRPr="009C5EFD">
          <w:rPr>
            <w:b/>
            <w:sz w:val="22"/>
            <w:szCs w:val="22"/>
          </w:rPr>
          <w:delText xml:space="preserve">Dersom du </w:delText>
        </w:r>
        <w:r w:rsidR="007C3745" w:rsidRPr="009C5EFD">
          <w:rPr>
            <w:b/>
            <w:sz w:val="22"/>
            <w:szCs w:val="22"/>
          </w:rPr>
          <w:delText>avbryter behandling med</w:delText>
        </w:r>
        <w:r w:rsidRPr="009C5EFD">
          <w:rPr>
            <w:b/>
            <w:sz w:val="22"/>
            <w:szCs w:val="22"/>
          </w:rPr>
          <w:delText xml:space="preserve"> Humira</w:delText>
        </w:r>
      </w:del>
    </w:p>
    <w:p w14:paraId="716753D9" w14:textId="20B3A1EB" w:rsidR="00DE3458" w:rsidRPr="009C5EFD" w:rsidRDefault="00DE3458" w:rsidP="00776A84">
      <w:pPr>
        <w:keepNext/>
        <w:suppressAutoHyphens/>
        <w:rPr>
          <w:del w:id="15677" w:author="AbbVie02no" w:date="2025-05-15T14:21:00Z"/>
          <w:sz w:val="22"/>
          <w:szCs w:val="22"/>
        </w:rPr>
      </w:pPr>
    </w:p>
    <w:p w14:paraId="2408A5AB" w14:textId="037EA8FE" w:rsidR="00252A68" w:rsidRPr="009C5EFD" w:rsidRDefault="00E453CD" w:rsidP="009C5EFD">
      <w:pPr>
        <w:rPr>
          <w:del w:id="15678" w:author="AbbVie02no" w:date="2025-05-15T14:21:00Z"/>
          <w:sz w:val="22"/>
          <w:szCs w:val="22"/>
        </w:rPr>
      </w:pPr>
      <w:del w:id="15679" w:author="AbbVie02no" w:date="2025-05-15T14:21:00Z">
        <w:r w:rsidRPr="009C5EFD">
          <w:rPr>
            <w:sz w:val="22"/>
            <w:szCs w:val="22"/>
          </w:rPr>
          <w:delText xml:space="preserve">Beslutningen om å </w:delText>
        </w:r>
        <w:r w:rsidR="007C3745" w:rsidRPr="009C5EFD">
          <w:rPr>
            <w:sz w:val="22"/>
            <w:szCs w:val="22"/>
          </w:rPr>
          <w:delText>avbryte behandling med</w:delText>
        </w:r>
        <w:r w:rsidRPr="009C5EFD">
          <w:rPr>
            <w:sz w:val="22"/>
            <w:szCs w:val="22"/>
          </w:rPr>
          <w:delText xml:space="preserve"> Humira bør </w:delText>
        </w:r>
        <w:r w:rsidR="004F6AD7" w:rsidRPr="009C5EFD">
          <w:rPr>
            <w:sz w:val="22"/>
            <w:szCs w:val="22"/>
          </w:rPr>
          <w:delText>diskuteres</w:delText>
        </w:r>
        <w:r w:rsidRPr="009C5EFD">
          <w:rPr>
            <w:sz w:val="22"/>
            <w:szCs w:val="22"/>
          </w:rPr>
          <w:delText xml:space="preserve"> med </w:delText>
        </w:r>
        <w:r w:rsidR="002858DC">
          <w:rPr>
            <w:sz w:val="22"/>
            <w:szCs w:val="22"/>
          </w:rPr>
          <w:delText>legen din</w:delText>
        </w:r>
        <w:r w:rsidRPr="009C5EFD">
          <w:rPr>
            <w:sz w:val="22"/>
            <w:szCs w:val="22"/>
          </w:rPr>
          <w:delText>. Dine symptomer kan komme tilbake etter seponering.</w:delText>
        </w:r>
      </w:del>
    </w:p>
    <w:p w14:paraId="7AC85215" w14:textId="2D25CAB4" w:rsidR="00252A68" w:rsidRPr="009C5EFD" w:rsidRDefault="00252A68" w:rsidP="009C5EFD">
      <w:pPr>
        <w:rPr>
          <w:del w:id="15680" w:author="AbbVie02no" w:date="2025-05-15T14:21:00Z"/>
          <w:sz w:val="22"/>
          <w:szCs w:val="22"/>
        </w:rPr>
      </w:pPr>
    </w:p>
    <w:p w14:paraId="7201DBF9" w14:textId="6C547C27" w:rsidR="00DE3458" w:rsidRPr="009C5EFD" w:rsidRDefault="00E453CD" w:rsidP="009C5EFD">
      <w:pPr>
        <w:rPr>
          <w:del w:id="15681" w:author="AbbVie02no" w:date="2025-05-15T14:21:00Z"/>
          <w:sz w:val="22"/>
          <w:szCs w:val="22"/>
        </w:rPr>
      </w:pPr>
      <w:del w:id="15682" w:author="AbbVie02no" w:date="2025-05-15T14:21:00Z">
        <w:r w:rsidRPr="009C5EFD">
          <w:rPr>
            <w:sz w:val="22"/>
            <w:szCs w:val="22"/>
          </w:rPr>
          <w:delText>Spør lege eller apotek dersom du har noen spørsmål om bruken av dette legemidlet.</w:delText>
        </w:r>
      </w:del>
    </w:p>
    <w:p w14:paraId="4C60D279" w14:textId="002BD384" w:rsidR="00DE3458" w:rsidRPr="009C5EFD" w:rsidRDefault="00DE3458" w:rsidP="009C5EFD">
      <w:pPr>
        <w:suppressAutoHyphens/>
        <w:rPr>
          <w:del w:id="15683" w:author="AbbVie02no" w:date="2025-05-15T14:21:00Z"/>
          <w:sz w:val="22"/>
          <w:szCs w:val="22"/>
        </w:rPr>
      </w:pPr>
    </w:p>
    <w:p w14:paraId="39773EE7" w14:textId="2C5E1F6F" w:rsidR="00827101" w:rsidRPr="009C5EFD" w:rsidRDefault="00827101" w:rsidP="009C5EFD">
      <w:pPr>
        <w:suppressAutoHyphens/>
        <w:rPr>
          <w:del w:id="15684" w:author="AbbVie02no" w:date="2025-05-15T14:21:00Z"/>
          <w:sz w:val="22"/>
        </w:rPr>
      </w:pPr>
    </w:p>
    <w:p w14:paraId="2EB500AE" w14:textId="397670C0" w:rsidR="00DE3458" w:rsidRPr="009C5EFD" w:rsidRDefault="00E453CD" w:rsidP="009C5EFD">
      <w:pPr>
        <w:keepNext/>
        <w:tabs>
          <w:tab w:val="left" w:pos="567"/>
        </w:tabs>
        <w:suppressAutoHyphens/>
        <w:rPr>
          <w:del w:id="15685" w:author="AbbVie02no" w:date="2025-05-15T14:21:00Z"/>
          <w:b/>
          <w:sz w:val="22"/>
          <w:szCs w:val="22"/>
        </w:rPr>
      </w:pPr>
      <w:del w:id="15686" w:author="AbbVie02no" w:date="2025-05-15T14:21:00Z">
        <w:r w:rsidRPr="009C5EFD">
          <w:rPr>
            <w:b/>
            <w:sz w:val="22"/>
            <w:szCs w:val="22"/>
          </w:rPr>
          <w:delText>4.</w:delText>
        </w:r>
        <w:r w:rsidRPr="009C5EFD">
          <w:rPr>
            <w:b/>
            <w:sz w:val="22"/>
            <w:szCs w:val="22"/>
          </w:rPr>
          <w:tab/>
        </w:r>
        <w:r w:rsidR="00024261" w:rsidRPr="009C5EFD">
          <w:rPr>
            <w:b/>
            <w:sz w:val="22"/>
            <w:szCs w:val="22"/>
          </w:rPr>
          <w:delText>Mulige bivirkninger</w:delText>
        </w:r>
        <w:r w:rsidRPr="009C5EFD">
          <w:rPr>
            <w:b/>
            <w:sz w:val="22"/>
            <w:szCs w:val="22"/>
          </w:rPr>
          <w:delText xml:space="preserve"> </w:delText>
        </w:r>
      </w:del>
    </w:p>
    <w:p w14:paraId="70E7E81A" w14:textId="0FD04F84" w:rsidR="00DE3458" w:rsidRPr="009C5EFD" w:rsidRDefault="00DE3458" w:rsidP="009C5EFD">
      <w:pPr>
        <w:keepNext/>
        <w:suppressAutoHyphens/>
        <w:rPr>
          <w:del w:id="15687" w:author="AbbVie02no" w:date="2025-05-15T14:21:00Z"/>
          <w:sz w:val="22"/>
          <w:szCs w:val="22"/>
        </w:rPr>
      </w:pPr>
    </w:p>
    <w:p w14:paraId="0BC025EF" w14:textId="187A27BB" w:rsidR="00DE3458" w:rsidRPr="009C5EFD" w:rsidRDefault="00E453CD" w:rsidP="00776A84">
      <w:pPr>
        <w:suppressAutoHyphens/>
        <w:rPr>
          <w:del w:id="15688" w:author="AbbVie02no" w:date="2025-05-15T14:21:00Z"/>
          <w:sz w:val="22"/>
          <w:szCs w:val="22"/>
        </w:rPr>
      </w:pPr>
      <w:del w:id="15689" w:author="AbbVie02no" w:date="2025-05-15T14:21:00Z">
        <w:r w:rsidRPr="009C5EFD">
          <w:rPr>
            <w:sz w:val="22"/>
            <w:szCs w:val="22"/>
          </w:rPr>
          <w:delText xml:space="preserve">Som alle legemidler kan </w:delText>
        </w:r>
        <w:r w:rsidR="00024261" w:rsidRPr="009C5EFD">
          <w:rPr>
            <w:sz w:val="22"/>
            <w:szCs w:val="22"/>
          </w:rPr>
          <w:delText xml:space="preserve">dette legemidlet </w:delText>
        </w:r>
        <w:r w:rsidRPr="009C5EFD">
          <w:rPr>
            <w:sz w:val="22"/>
            <w:szCs w:val="22"/>
          </w:rPr>
          <w:delText xml:space="preserve">forårsake bivirkninger, men ikke alle får det. De fleste bivirkningene er milde til moderate. Noen kan imidlertid være alvorlige og kreve behandling. Bivirkninger kan oppstå i minst </w:delText>
        </w:r>
        <w:r w:rsidR="000B52DC" w:rsidRPr="009C5EFD">
          <w:rPr>
            <w:sz w:val="22"/>
            <w:szCs w:val="22"/>
          </w:rPr>
          <w:delText>4</w:delText>
        </w:r>
        <w:r w:rsidRPr="009C5EFD">
          <w:rPr>
            <w:sz w:val="22"/>
            <w:szCs w:val="22"/>
          </w:rPr>
          <w:delText xml:space="preserve"> måneder etter siste injeksjon med Humira.</w:delText>
        </w:r>
      </w:del>
    </w:p>
    <w:p w14:paraId="657BF84C" w14:textId="2152F113" w:rsidR="000739C0" w:rsidRPr="009C5EFD" w:rsidRDefault="000739C0" w:rsidP="009C5EFD">
      <w:pPr>
        <w:suppressAutoHyphens/>
        <w:rPr>
          <w:del w:id="15690" w:author="AbbVie02no" w:date="2025-05-15T14:21:00Z"/>
          <w:sz w:val="22"/>
          <w:szCs w:val="22"/>
        </w:rPr>
      </w:pPr>
    </w:p>
    <w:p w14:paraId="5FF15778" w14:textId="765E4FD6" w:rsidR="00DE3458" w:rsidRPr="009C5EFD" w:rsidRDefault="00E453CD" w:rsidP="009C5EFD">
      <w:pPr>
        <w:suppressAutoHyphens/>
        <w:rPr>
          <w:del w:id="15691" w:author="AbbVie02no" w:date="2025-05-15T14:21:00Z"/>
          <w:sz w:val="22"/>
          <w:szCs w:val="22"/>
        </w:rPr>
      </w:pPr>
      <w:del w:id="15692" w:author="AbbVie02no" w:date="2025-05-15T14:21:00Z">
        <w:r w:rsidRPr="009C5EFD">
          <w:rPr>
            <w:sz w:val="22"/>
            <w:szCs w:val="22"/>
          </w:rPr>
          <w:delText>Dersom du merker noe av det følgende, skal du umiddelbart gi beskjed til legen</w:delText>
        </w:r>
      </w:del>
    </w:p>
    <w:p w14:paraId="48B58AF5" w14:textId="4C06EA7E" w:rsidR="00DE3458" w:rsidRPr="009C5EFD" w:rsidRDefault="00E453CD" w:rsidP="009C5EFD">
      <w:pPr>
        <w:numPr>
          <w:ilvl w:val="0"/>
          <w:numId w:val="7"/>
        </w:numPr>
        <w:tabs>
          <w:tab w:val="clear" w:pos="720"/>
          <w:tab w:val="num" w:pos="567"/>
        </w:tabs>
        <w:suppressAutoHyphens/>
        <w:ind w:left="567" w:hanging="567"/>
        <w:rPr>
          <w:del w:id="15693" w:author="AbbVie02no" w:date="2025-05-15T14:21:00Z"/>
          <w:sz w:val="22"/>
          <w:szCs w:val="22"/>
        </w:rPr>
      </w:pPr>
      <w:del w:id="15694" w:author="AbbVie02no" w:date="2025-05-15T14:21:00Z">
        <w:r>
          <w:rPr>
            <w:sz w:val="22"/>
            <w:szCs w:val="22"/>
          </w:rPr>
          <w:delText>a</w:delText>
        </w:r>
        <w:r w:rsidRPr="009C5EFD">
          <w:rPr>
            <w:sz w:val="22"/>
            <w:szCs w:val="22"/>
          </w:rPr>
          <w:delText>lvorlig utslett, elveblest eller andre tegn på allergisk reaksjon</w:delText>
        </w:r>
        <w:r w:rsidR="00024261" w:rsidRPr="009C5EFD">
          <w:rPr>
            <w:sz w:val="22"/>
            <w:szCs w:val="22"/>
          </w:rPr>
          <w:delText>,</w:delText>
        </w:r>
      </w:del>
    </w:p>
    <w:p w14:paraId="77A0B636" w14:textId="3FC52718" w:rsidR="00DE3458" w:rsidRPr="009C5EFD" w:rsidRDefault="00E453CD" w:rsidP="009C5EFD">
      <w:pPr>
        <w:numPr>
          <w:ilvl w:val="0"/>
          <w:numId w:val="7"/>
        </w:numPr>
        <w:tabs>
          <w:tab w:val="clear" w:pos="720"/>
          <w:tab w:val="num" w:pos="567"/>
        </w:tabs>
        <w:suppressAutoHyphens/>
        <w:ind w:left="567" w:hanging="567"/>
        <w:rPr>
          <w:del w:id="15695" w:author="AbbVie02no" w:date="2025-05-15T14:21:00Z"/>
          <w:sz w:val="22"/>
          <w:szCs w:val="22"/>
        </w:rPr>
      </w:pPr>
      <w:del w:id="15696" w:author="AbbVie02no" w:date="2025-05-15T14:21:00Z">
        <w:r>
          <w:rPr>
            <w:sz w:val="22"/>
            <w:szCs w:val="22"/>
          </w:rPr>
          <w:delText>h</w:delText>
        </w:r>
        <w:r w:rsidRPr="009C5EFD">
          <w:rPr>
            <w:sz w:val="22"/>
            <w:szCs w:val="22"/>
          </w:rPr>
          <w:delText>ovent ansikt, hender, føtter</w:delText>
        </w:r>
        <w:r w:rsidR="00024261" w:rsidRPr="009C5EFD">
          <w:rPr>
            <w:sz w:val="22"/>
            <w:szCs w:val="22"/>
          </w:rPr>
          <w:delText>,</w:delText>
        </w:r>
      </w:del>
    </w:p>
    <w:p w14:paraId="6B7B3452" w14:textId="4436E15E" w:rsidR="00DE3458" w:rsidRPr="009C5EFD" w:rsidRDefault="00E453CD" w:rsidP="009C5EFD">
      <w:pPr>
        <w:numPr>
          <w:ilvl w:val="0"/>
          <w:numId w:val="7"/>
        </w:numPr>
        <w:tabs>
          <w:tab w:val="clear" w:pos="720"/>
          <w:tab w:val="num" w:pos="567"/>
        </w:tabs>
        <w:suppressAutoHyphens/>
        <w:ind w:left="567" w:hanging="567"/>
        <w:rPr>
          <w:del w:id="15697" w:author="AbbVie02no" w:date="2025-05-15T14:21:00Z"/>
          <w:sz w:val="22"/>
          <w:szCs w:val="22"/>
        </w:rPr>
      </w:pPr>
      <w:del w:id="15698" w:author="AbbVie02no" w:date="2025-05-15T14:21:00Z">
        <w:r>
          <w:rPr>
            <w:sz w:val="22"/>
            <w:szCs w:val="22"/>
          </w:rPr>
          <w:delText>p</w:delText>
        </w:r>
        <w:r w:rsidRPr="009C5EFD">
          <w:rPr>
            <w:sz w:val="22"/>
            <w:szCs w:val="22"/>
          </w:rPr>
          <w:delText>uste-, svelgebesvær</w:delText>
        </w:r>
        <w:r w:rsidR="00024261" w:rsidRPr="009C5EFD">
          <w:rPr>
            <w:sz w:val="22"/>
            <w:szCs w:val="22"/>
          </w:rPr>
          <w:delText>,</w:delText>
        </w:r>
      </w:del>
    </w:p>
    <w:p w14:paraId="70930D9F" w14:textId="3DC9FB2F" w:rsidR="00DE3458" w:rsidRPr="009C5EFD" w:rsidRDefault="00E453CD" w:rsidP="009C5EFD">
      <w:pPr>
        <w:numPr>
          <w:ilvl w:val="0"/>
          <w:numId w:val="7"/>
        </w:numPr>
        <w:tabs>
          <w:tab w:val="clear" w:pos="720"/>
          <w:tab w:val="num" w:pos="567"/>
        </w:tabs>
        <w:suppressAutoHyphens/>
        <w:ind w:left="567" w:hanging="567"/>
        <w:rPr>
          <w:del w:id="15699" w:author="AbbVie02no" w:date="2025-05-15T14:21:00Z"/>
          <w:sz w:val="22"/>
          <w:szCs w:val="22"/>
        </w:rPr>
      </w:pPr>
      <w:del w:id="15700" w:author="AbbVie02no" w:date="2025-05-15T14:21:00Z">
        <w:r>
          <w:rPr>
            <w:sz w:val="22"/>
            <w:szCs w:val="22"/>
          </w:rPr>
          <w:delText>k</w:delText>
        </w:r>
        <w:r w:rsidRPr="009C5EFD">
          <w:rPr>
            <w:sz w:val="22"/>
            <w:szCs w:val="22"/>
          </w:rPr>
          <w:delText>ortpustethet i forbindelse med anstrengelse eller når man ligger ned, eller hevelse i føttene.</w:delText>
        </w:r>
      </w:del>
    </w:p>
    <w:p w14:paraId="547E72E3" w14:textId="08B60E39" w:rsidR="00DE3458" w:rsidRPr="009C5EFD" w:rsidRDefault="00DE3458" w:rsidP="009C5EFD">
      <w:pPr>
        <w:tabs>
          <w:tab w:val="num" w:pos="567"/>
        </w:tabs>
        <w:suppressAutoHyphens/>
        <w:ind w:left="567" w:hanging="567"/>
        <w:rPr>
          <w:del w:id="15701" w:author="AbbVie02no" w:date="2025-05-15T14:21:00Z"/>
          <w:sz w:val="22"/>
          <w:szCs w:val="22"/>
        </w:rPr>
      </w:pPr>
    </w:p>
    <w:p w14:paraId="120A5E7C" w14:textId="4A2C81E9" w:rsidR="00DE3458" w:rsidRPr="009C5EFD" w:rsidRDefault="00E453CD" w:rsidP="009C5EFD">
      <w:pPr>
        <w:tabs>
          <w:tab w:val="num" w:pos="567"/>
        </w:tabs>
        <w:suppressAutoHyphens/>
        <w:ind w:left="567" w:hanging="567"/>
        <w:rPr>
          <w:del w:id="15702" w:author="AbbVie02no" w:date="2025-05-15T14:21:00Z"/>
          <w:sz w:val="22"/>
          <w:szCs w:val="22"/>
        </w:rPr>
      </w:pPr>
      <w:del w:id="15703" w:author="AbbVie02no" w:date="2025-05-15T14:21:00Z">
        <w:r w:rsidRPr="009C5EFD">
          <w:rPr>
            <w:sz w:val="22"/>
            <w:szCs w:val="22"/>
          </w:rPr>
          <w:delText>Gi beskjed til legen så raskt som mulig dersom du merker noe av dette</w:delText>
        </w:r>
      </w:del>
    </w:p>
    <w:p w14:paraId="32D783BA" w14:textId="3C320E5C" w:rsidR="00DE3458" w:rsidRPr="009C5EFD" w:rsidRDefault="00E453CD" w:rsidP="009C5EFD">
      <w:pPr>
        <w:numPr>
          <w:ilvl w:val="0"/>
          <w:numId w:val="8"/>
        </w:numPr>
        <w:tabs>
          <w:tab w:val="clear" w:pos="720"/>
          <w:tab w:val="num" w:pos="567"/>
        </w:tabs>
        <w:suppressAutoHyphens/>
        <w:ind w:left="567" w:hanging="567"/>
        <w:rPr>
          <w:del w:id="15704" w:author="AbbVie02no" w:date="2025-05-15T14:21:00Z"/>
          <w:sz w:val="22"/>
          <w:szCs w:val="22"/>
        </w:rPr>
      </w:pPr>
      <w:del w:id="15705" w:author="AbbVie02no" w:date="2025-05-15T14:21:00Z">
        <w:r>
          <w:rPr>
            <w:sz w:val="22"/>
            <w:szCs w:val="22"/>
          </w:rPr>
          <w:delText>t</w:delText>
        </w:r>
        <w:r w:rsidRPr="009C5EFD">
          <w:rPr>
            <w:sz w:val="22"/>
            <w:szCs w:val="22"/>
          </w:rPr>
          <w:delText>egn på infeksjoner, som feber, uvelhet, sår, tannproblemer, svie ved vannlating</w:delText>
        </w:r>
        <w:r w:rsidR="00024261" w:rsidRPr="009C5EFD">
          <w:rPr>
            <w:sz w:val="22"/>
            <w:szCs w:val="22"/>
          </w:rPr>
          <w:delText>,</w:delText>
        </w:r>
      </w:del>
    </w:p>
    <w:p w14:paraId="10E557C1" w14:textId="39EA2759" w:rsidR="00DE3458" w:rsidRPr="009C5EFD" w:rsidRDefault="00E453CD" w:rsidP="009C5EFD">
      <w:pPr>
        <w:numPr>
          <w:ilvl w:val="0"/>
          <w:numId w:val="8"/>
        </w:numPr>
        <w:tabs>
          <w:tab w:val="clear" w:pos="720"/>
          <w:tab w:val="num" w:pos="567"/>
        </w:tabs>
        <w:suppressAutoHyphens/>
        <w:ind w:left="567" w:hanging="567"/>
        <w:rPr>
          <w:del w:id="15706" w:author="AbbVie02no" w:date="2025-05-15T14:21:00Z"/>
          <w:sz w:val="22"/>
          <w:szCs w:val="22"/>
        </w:rPr>
      </w:pPr>
      <w:del w:id="15707" w:author="AbbVie02no" w:date="2025-05-15T14:21:00Z">
        <w:r>
          <w:rPr>
            <w:sz w:val="22"/>
            <w:szCs w:val="22"/>
          </w:rPr>
          <w:delText>f</w:delText>
        </w:r>
        <w:r w:rsidRPr="009C5EFD">
          <w:rPr>
            <w:sz w:val="22"/>
            <w:szCs w:val="22"/>
          </w:rPr>
          <w:delText>ølelse av svakhet eller tretthet</w:delText>
        </w:r>
        <w:r w:rsidR="00024261" w:rsidRPr="009C5EFD">
          <w:rPr>
            <w:sz w:val="22"/>
            <w:szCs w:val="22"/>
          </w:rPr>
          <w:delText>,</w:delText>
        </w:r>
      </w:del>
    </w:p>
    <w:p w14:paraId="49645124" w14:textId="34468FFA" w:rsidR="00DE3458" w:rsidRPr="009C5EFD" w:rsidRDefault="00E453CD" w:rsidP="009C5EFD">
      <w:pPr>
        <w:numPr>
          <w:ilvl w:val="0"/>
          <w:numId w:val="8"/>
        </w:numPr>
        <w:tabs>
          <w:tab w:val="clear" w:pos="720"/>
          <w:tab w:val="num" w:pos="567"/>
        </w:tabs>
        <w:suppressAutoHyphens/>
        <w:ind w:left="567" w:hanging="567"/>
        <w:rPr>
          <w:del w:id="15708" w:author="AbbVie02no" w:date="2025-05-15T14:21:00Z"/>
          <w:sz w:val="22"/>
          <w:szCs w:val="22"/>
        </w:rPr>
      </w:pPr>
      <w:del w:id="15709" w:author="AbbVie02no" w:date="2025-05-15T14:21:00Z">
        <w:r>
          <w:rPr>
            <w:sz w:val="22"/>
            <w:szCs w:val="22"/>
          </w:rPr>
          <w:delText>h</w:delText>
        </w:r>
        <w:r w:rsidRPr="009C5EFD">
          <w:rPr>
            <w:sz w:val="22"/>
            <w:szCs w:val="22"/>
          </w:rPr>
          <w:delText>oste</w:delText>
        </w:r>
        <w:r w:rsidR="00024261" w:rsidRPr="009C5EFD">
          <w:rPr>
            <w:sz w:val="22"/>
            <w:szCs w:val="22"/>
          </w:rPr>
          <w:delText>,</w:delText>
        </w:r>
      </w:del>
    </w:p>
    <w:p w14:paraId="2889BD9A" w14:textId="0667067A" w:rsidR="00DE3458" w:rsidRPr="009C5EFD" w:rsidRDefault="00E453CD" w:rsidP="00AB7697">
      <w:pPr>
        <w:numPr>
          <w:ilvl w:val="0"/>
          <w:numId w:val="8"/>
        </w:numPr>
        <w:tabs>
          <w:tab w:val="clear" w:pos="720"/>
          <w:tab w:val="num" w:pos="567"/>
        </w:tabs>
        <w:suppressAutoHyphens/>
        <w:ind w:left="567" w:hanging="567"/>
        <w:rPr>
          <w:del w:id="15710" w:author="AbbVie02no" w:date="2025-05-15T14:21:00Z"/>
          <w:sz w:val="22"/>
          <w:szCs w:val="22"/>
        </w:rPr>
      </w:pPr>
      <w:del w:id="15711" w:author="AbbVie02no" w:date="2025-05-15T14:21:00Z">
        <w:r>
          <w:rPr>
            <w:sz w:val="22"/>
            <w:szCs w:val="22"/>
          </w:rPr>
          <w:delText>p</w:delText>
        </w:r>
        <w:r w:rsidRPr="009C5EFD">
          <w:rPr>
            <w:sz w:val="22"/>
            <w:szCs w:val="22"/>
          </w:rPr>
          <w:delText>rikking</w:delText>
        </w:r>
        <w:r w:rsidR="00024261" w:rsidRPr="009C5EFD">
          <w:rPr>
            <w:sz w:val="22"/>
            <w:szCs w:val="22"/>
          </w:rPr>
          <w:delText>,</w:delText>
        </w:r>
      </w:del>
    </w:p>
    <w:p w14:paraId="473B8986" w14:textId="2EFF2E31" w:rsidR="00DE3458" w:rsidRPr="009C5EFD" w:rsidRDefault="00E453CD" w:rsidP="00AB7697">
      <w:pPr>
        <w:numPr>
          <w:ilvl w:val="0"/>
          <w:numId w:val="8"/>
        </w:numPr>
        <w:tabs>
          <w:tab w:val="clear" w:pos="720"/>
          <w:tab w:val="num" w:pos="567"/>
        </w:tabs>
        <w:suppressAutoHyphens/>
        <w:ind w:left="567" w:hanging="567"/>
        <w:rPr>
          <w:del w:id="15712" w:author="AbbVie02no" w:date="2025-05-15T14:21:00Z"/>
          <w:sz w:val="22"/>
          <w:szCs w:val="22"/>
        </w:rPr>
      </w:pPr>
      <w:del w:id="15713" w:author="AbbVie02no" w:date="2025-05-15T14:21:00Z">
        <w:r>
          <w:rPr>
            <w:sz w:val="22"/>
            <w:szCs w:val="22"/>
          </w:rPr>
          <w:delText>n</w:delText>
        </w:r>
        <w:r w:rsidRPr="009C5EFD">
          <w:rPr>
            <w:sz w:val="22"/>
            <w:szCs w:val="22"/>
          </w:rPr>
          <w:delText>ummenhet</w:delText>
        </w:r>
        <w:r w:rsidR="00024261" w:rsidRPr="009C5EFD">
          <w:rPr>
            <w:sz w:val="22"/>
            <w:szCs w:val="22"/>
          </w:rPr>
          <w:delText>,</w:delText>
        </w:r>
      </w:del>
    </w:p>
    <w:p w14:paraId="5217A595" w14:textId="6DB09999" w:rsidR="00DE3458" w:rsidRPr="009C5EFD" w:rsidRDefault="00E453CD" w:rsidP="00AB7697">
      <w:pPr>
        <w:numPr>
          <w:ilvl w:val="0"/>
          <w:numId w:val="8"/>
        </w:numPr>
        <w:tabs>
          <w:tab w:val="clear" w:pos="720"/>
          <w:tab w:val="num" w:pos="567"/>
        </w:tabs>
        <w:suppressAutoHyphens/>
        <w:ind w:left="567" w:hanging="567"/>
        <w:rPr>
          <w:del w:id="15714" w:author="AbbVie02no" w:date="2025-05-15T14:21:00Z"/>
          <w:sz w:val="22"/>
          <w:szCs w:val="22"/>
        </w:rPr>
      </w:pPr>
      <w:del w:id="15715" w:author="AbbVie02no" w:date="2025-05-15T14:21:00Z">
        <w:r>
          <w:rPr>
            <w:sz w:val="22"/>
            <w:szCs w:val="22"/>
          </w:rPr>
          <w:lastRenderedPageBreak/>
          <w:delText>d</w:delText>
        </w:r>
        <w:r w:rsidRPr="009C5EFD">
          <w:rPr>
            <w:sz w:val="22"/>
            <w:szCs w:val="22"/>
          </w:rPr>
          <w:delText>obbeltsyn</w:delText>
        </w:r>
        <w:r w:rsidR="00024261" w:rsidRPr="009C5EFD">
          <w:rPr>
            <w:sz w:val="22"/>
            <w:szCs w:val="22"/>
          </w:rPr>
          <w:delText>,</w:delText>
        </w:r>
      </w:del>
    </w:p>
    <w:p w14:paraId="70381F0A" w14:textId="27B91841" w:rsidR="00DE3458" w:rsidRPr="009C5EFD" w:rsidRDefault="00E453CD" w:rsidP="00AB7697">
      <w:pPr>
        <w:numPr>
          <w:ilvl w:val="0"/>
          <w:numId w:val="8"/>
        </w:numPr>
        <w:tabs>
          <w:tab w:val="clear" w:pos="720"/>
          <w:tab w:val="num" w:pos="567"/>
        </w:tabs>
        <w:suppressAutoHyphens/>
        <w:ind w:left="567" w:hanging="567"/>
        <w:rPr>
          <w:del w:id="15716" w:author="AbbVie02no" w:date="2025-05-15T14:21:00Z"/>
          <w:sz w:val="22"/>
          <w:szCs w:val="22"/>
        </w:rPr>
      </w:pPr>
      <w:del w:id="15717" w:author="AbbVie02no" w:date="2025-05-15T14:21:00Z">
        <w:r>
          <w:rPr>
            <w:sz w:val="22"/>
            <w:szCs w:val="22"/>
          </w:rPr>
          <w:delText>s</w:delText>
        </w:r>
        <w:r w:rsidRPr="009C5EFD">
          <w:rPr>
            <w:sz w:val="22"/>
            <w:szCs w:val="22"/>
          </w:rPr>
          <w:delText>vakhet i armer eller bein</w:delText>
        </w:r>
        <w:r w:rsidR="00024261" w:rsidRPr="009C5EFD">
          <w:rPr>
            <w:sz w:val="22"/>
            <w:szCs w:val="22"/>
          </w:rPr>
          <w:delText>,</w:delText>
        </w:r>
      </w:del>
    </w:p>
    <w:p w14:paraId="340BC1A3" w14:textId="67190CB9" w:rsidR="00DE3458" w:rsidRPr="009C5EFD" w:rsidRDefault="00E453CD" w:rsidP="00AB7697">
      <w:pPr>
        <w:numPr>
          <w:ilvl w:val="0"/>
          <w:numId w:val="8"/>
        </w:numPr>
        <w:tabs>
          <w:tab w:val="clear" w:pos="720"/>
          <w:tab w:val="num" w:pos="567"/>
        </w:tabs>
        <w:suppressAutoHyphens/>
        <w:ind w:left="567" w:hanging="567"/>
        <w:rPr>
          <w:del w:id="15718" w:author="AbbVie02no" w:date="2025-05-15T14:21:00Z"/>
          <w:sz w:val="22"/>
          <w:szCs w:val="22"/>
        </w:rPr>
      </w:pPr>
      <w:del w:id="15719" w:author="AbbVie02no" w:date="2025-05-15T14:21:00Z">
        <w:r>
          <w:rPr>
            <w:sz w:val="22"/>
            <w:szCs w:val="22"/>
          </w:rPr>
          <w:delText>e</w:delText>
        </w:r>
        <w:r w:rsidRPr="009C5EFD">
          <w:rPr>
            <w:sz w:val="22"/>
            <w:szCs w:val="22"/>
          </w:rPr>
          <w:delText>n kul eller åpent sår som ikke gror</w:delText>
        </w:r>
        <w:r w:rsidR="00024261" w:rsidRPr="009C5EFD">
          <w:rPr>
            <w:sz w:val="22"/>
            <w:szCs w:val="22"/>
          </w:rPr>
          <w:delText>,</w:delText>
        </w:r>
      </w:del>
    </w:p>
    <w:p w14:paraId="42105F8F" w14:textId="3E9A2CA4" w:rsidR="00024261" w:rsidRPr="009C5EFD" w:rsidRDefault="00E453CD" w:rsidP="00AB7697">
      <w:pPr>
        <w:numPr>
          <w:ilvl w:val="0"/>
          <w:numId w:val="8"/>
        </w:numPr>
        <w:tabs>
          <w:tab w:val="clear" w:pos="720"/>
          <w:tab w:val="num" w:pos="567"/>
        </w:tabs>
        <w:suppressAutoHyphens/>
        <w:ind w:left="567" w:hanging="567"/>
        <w:rPr>
          <w:del w:id="15720" w:author="AbbVie02no" w:date="2025-05-15T14:21:00Z"/>
          <w:sz w:val="22"/>
          <w:szCs w:val="22"/>
        </w:rPr>
      </w:pPr>
      <w:del w:id="15721" w:author="AbbVie02no" w:date="2025-05-15T14:21:00Z">
        <w:r>
          <w:rPr>
            <w:sz w:val="22"/>
            <w:szCs w:val="22"/>
          </w:rPr>
          <w:delText>t</w:delText>
        </w:r>
        <w:r w:rsidRPr="009C5EFD">
          <w:rPr>
            <w:sz w:val="22"/>
            <w:szCs w:val="22"/>
          </w:rPr>
          <w:delText>egn og symptomer på blodsykdommer som for eksempel vedvarende feber, blåmerker, blødninger, blekhet.</w:delText>
        </w:r>
      </w:del>
    </w:p>
    <w:p w14:paraId="092EC685" w14:textId="3BAF75C8" w:rsidR="00DE3458" w:rsidRPr="009C5EFD" w:rsidRDefault="00DE3458" w:rsidP="00776A84">
      <w:pPr>
        <w:suppressAutoHyphens/>
        <w:rPr>
          <w:del w:id="15722" w:author="AbbVie02no" w:date="2025-05-15T14:21:00Z"/>
          <w:sz w:val="22"/>
          <w:szCs w:val="22"/>
        </w:rPr>
      </w:pPr>
    </w:p>
    <w:p w14:paraId="6282A06D" w14:textId="12569426" w:rsidR="00DE3458" w:rsidRPr="009C5EFD" w:rsidRDefault="00E453CD" w:rsidP="00AB7697">
      <w:pPr>
        <w:suppressAutoHyphens/>
        <w:rPr>
          <w:del w:id="15723" w:author="AbbVie02no" w:date="2025-05-15T14:21:00Z"/>
          <w:sz w:val="22"/>
          <w:szCs w:val="22"/>
        </w:rPr>
      </w:pPr>
      <w:del w:id="15724" w:author="AbbVie02no" w:date="2025-05-15T14:21:00Z">
        <w:r w:rsidRPr="009C5EFD">
          <w:rPr>
            <w:sz w:val="22"/>
            <w:szCs w:val="22"/>
          </w:rPr>
          <w:delText>Symptomene beskrevet over kan være tegn på bivirkningene nedenfor, som er sett med Humira</w:delText>
        </w:r>
        <w:r w:rsidR="00E0374F">
          <w:rPr>
            <w:sz w:val="22"/>
            <w:szCs w:val="22"/>
          </w:rPr>
          <w:delText>.</w:delText>
        </w:r>
      </w:del>
    </w:p>
    <w:p w14:paraId="485153B5" w14:textId="1E7E3BF1" w:rsidR="00DE3458" w:rsidRPr="009C5EFD" w:rsidRDefault="00DE3458" w:rsidP="00AB7697">
      <w:pPr>
        <w:suppressAutoHyphens/>
        <w:rPr>
          <w:del w:id="15725" w:author="AbbVie02no" w:date="2025-05-15T14:21:00Z"/>
          <w:sz w:val="22"/>
          <w:szCs w:val="22"/>
        </w:rPr>
      </w:pPr>
    </w:p>
    <w:p w14:paraId="730525FC" w14:textId="7C8C4CD9" w:rsidR="00C13645" w:rsidRDefault="00E453CD" w:rsidP="00776A84">
      <w:pPr>
        <w:keepNext/>
        <w:suppressAutoHyphens/>
        <w:rPr>
          <w:del w:id="15726" w:author="AbbVie02no" w:date="2025-05-15T14:21:00Z"/>
          <w:sz w:val="22"/>
          <w:szCs w:val="22"/>
        </w:rPr>
      </w:pPr>
      <w:del w:id="15727" w:author="AbbVie02no" w:date="2025-05-15T14:21:00Z">
        <w:r w:rsidRPr="006936CB">
          <w:rPr>
            <w:sz w:val="22"/>
            <w:szCs w:val="22"/>
          </w:rPr>
          <w:delText>Svært vanlige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00F30EDA" w:rsidRPr="009C5EFD">
          <w:rPr>
            <w:sz w:val="22"/>
            <w:szCs w:val="22"/>
          </w:rPr>
          <w:delText xml:space="preserve"> </w:delText>
        </w:r>
        <w:r w:rsidR="001B7481" w:rsidRPr="009C5EFD">
          <w:rPr>
            <w:sz w:val="22"/>
            <w:szCs w:val="22"/>
          </w:rPr>
          <w:delText>flere</w:delText>
        </w:r>
        <w:r w:rsidRPr="009C5EFD">
          <w:rPr>
            <w:sz w:val="22"/>
            <w:szCs w:val="22"/>
          </w:rPr>
          <w:delText xml:space="preserve"> enn 1 </w:delText>
        </w:r>
        <w:r w:rsidR="00877BAD" w:rsidRPr="009C5EFD">
          <w:rPr>
            <w:sz w:val="22"/>
            <w:szCs w:val="22"/>
          </w:rPr>
          <w:delText>av</w:delText>
        </w:r>
        <w:r w:rsidRPr="009C5EFD">
          <w:rPr>
            <w:sz w:val="22"/>
            <w:szCs w:val="22"/>
          </w:rPr>
          <w:delText xml:space="preserve"> 10 </w:delText>
        </w:r>
        <w:r w:rsidR="00F30EDA" w:rsidRPr="009C5EFD">
          <w:rPr>
            <w:sz w:val="22"/>
            <w:szCs w:val="22"/>
          </w:rPr>
          <w:delText>personer</w:delText>
        </w:r>
        <w:r w:rsidRPr="009C5EFD">
          <w:rPr>
            <w:sz w:val="22"/>
            <w:szCs w:val="22"/>
          </w:rPr>
          <w:delText>)</w:delText>
        </w:r>
      </w:del>
    </w:p>
    <w:p w14:paraId="278F2F95" w14:textId="2D6D1F16" w:rsidR="00DE3458" w:rsidRPr="009C5EFD" w:rsidRDefault="00DE3458" w:rsidP="00776A84">
      <w:pPr>
        <w:keepNext/>
        <w:suppressAutoHyphens/>
        <w:rPr>
          <w:del w:id="15728" w:author="AbbVie02no" w:date="2025-05-15T14:21:00Z"/>
          <w:sz w:val="22"/>
          <w:szCs w:val="22"/>
        </w:rPr>
      </w:pPr>
    </w:p>
    <w:p w14:paraId="3B21247F" w14:textId="79023223" w:rsidR="00DE3458" w:rsidRPr="009C5EFD" w:rsidRDefault="00E453CD" w:rsidP="00AB7697">
      <w:pPr>
        <w:numPr>
          <w:ilvl w:val="0"/>
          <w:numId w:val="9"/>
        </w:numPr>
        <w:tabs>
          <w:tab w:val="clear" w:pos="720"/>
          <w:tab w:val="num" w:pos="540"/>
        </w:tabs>
        <w:suppressAutoHyphens/>
        <w:ind w:left="0" w:firstLine="0"/>
        <w:rPr>
          <w:del w:id="15729" w:author="AbbVie02no" w:date="2025-05-15T14:21:00Z"/>
          <w:sz w:val="22"/>
          <w:szCs w:val="22"/>
        </w:rPr>
      </w:pPr>
      <w:del w:id="15730" w:author="AbbVie02no" w:date="2025-05-15T14:21:00Z">
        <w:r w:rsidRPr="009C5EFD">
          <w:rPr>
            <w:sz w:val="22"/>
            <w:szCs w:val="22"/>
          </w:rPr>
          <w:delText>reaksjoner på injeksjonsstedet (inkludert smerte</w:delText>
        </w:r>
        <w:r w:rsidR="005F38E5">
          <w:rPr>
            <w:sz w:val="22"/>
            <w:szCs w:val="22"/>
          </w:rPr>
          <w:delText>r</w:delText>
        </w:r>
        <w:r w:rsidRPr="009C5EFD">
          <w:rPr>
            <w:sz w:val="22"/>
            <w:szCs w:val="22"/>
          </w:rPr>
          <w:delText>, hevelse, rødme eller kløe)</w:delText>
        </w:r>
        <w:r w:rsidR="00D43F19">
          <w:rPr>
            <w:sz w:val="22"/>
            <w:szCs w:val="22"/>
          </w:rPr>
          <w:delText>,</w:delText>
        </w:r>
      </w:del>
    </w:p>
    <w:p w14:paraId="0181ECEA" w14:textId="1215BA3F" w:rsidR="007B668D" w:rsidRPr="009C5EFD" w:rsidRDefault="00E453CD" w:rsidP="00AB7697">
      <w:pPr>
        <w:numPr>
          <w:ilvl w:val="0"/>
          <w:numId w:val="9"/>
        </w:numPr>
        <w:tabs>
          <w:tab w:val="clear" w:pos="720"/>
          <w:tab w:val="num" w:pos="540"/>
        </w:tabs>
        <w:suppressAutoHyphens/>
        <w:ind w:left="0" w:firstLine="0"/>
        <w:rPr>
          <w:del w:id="15731" w:author="AbbVie02no" w:date="2025-05-15T14:21:00Z"/>
          <w:sz w:val="22"/>
          <w:szCs w:val="22"/>
        </w:rPr>
      </w:pPr>
      <w:del w:id="15732" w:author="AbbVie02no" w:date="2025-05-15T14:21:00Z">
        <w:r w:rsidRPr="009C5EFD">
          <w:rPr>
            <w:sz w:val="22"/>
            <w:szCs w:val="22"/>
          </w:rPr>
          <w:delText>luftveisinfeksjon (inkludert forkjølelse, rennende nese, bihulebetennelse, lungebetennelse),</w:delText>
        </w:r>
      </w:del>
    </w:p>
    <w:p w14:paraId="706A7923" w14:textId="40C4A99A" w:rsidR="007B668D" w:rsidRPr="009C5EFD" w:rsidRDefault="00E453CD" w:rsidP="00AB7697">
      <w:pPr>
        <w:numPr>
          <w:ilvl w:val="0"/>
          <w:numId w:val="9"/>
        </w:numPr>
        <w:tabs>
          <w:tab w:val="clear" w:pos="720"/>
          <w:tab w:val="num" w:pos="540"/>
        </w:tabs>
        <w:suppressAutoHyphens/>
        <w:ind w:left="0" w:firstLine="0"/>
        <w:rPr>
          <w:del w:id="15733" w:author="AbbVie02no" w:date="2025-05-15T14:21:00Z"/>
          <w:sz w:val="22"/>
          <w:szCs w:val="22"/>
        </w:rPr>
      </w:pPr>
      <w:del w:id="15734" w:author="AbbVie02no" w:date="2025-05-15T14:21:00Z">
        <w:r w:rsidRPr="009C5EFD">
          <w:rPr>
            <w:sz w:val="22"/>
            <w:szCs w:val="22"/>
          </w:rPr>
          <w:delText>hodepine,</w:delText>
        </w:r>
      </w:del>
    </w:p>
    <w:p w14:paraId="3FB63365" w14:textId="6087404A" w:rsidR="007B668D" w:rsidRPr="009C5EFD" w:rsidRDefault="00E453CD" w:rsidP="00AB7697">
      <w:pPr>
        <w:numPr>
          <w:ilvl w:val="0"/>
          <w:numId w:val="9"/>
        </w:numPr>
        <w:tabs>
          <w:tab w:val="clear" w:pos="720"/>
          <w:tab w:val="num" w:pos="540"/>
        </w:tabs>
        <w:suppressAutoHyphens/>
        <w:ind w:left="0" w:firstLine="0"/>
        <w:rPr>
          <w:del w:id="15735" w:author="AbbVie02no" w:date="2025-05-15T14:21:00Z"/>
          <w:sz w:val="22"/>
          <w:szCs w:val="22"/>
        </w:rPr>
      </w:pPr>
      <w:del w:id="15736" w:author="AbbVie02no" w:date="2025-05-15T14:21:00Z">
        <w:r w:rsidRPr="009C5EFD">
          <w:rPr>
            <w:sz w:val="22"/>
            <w:szCs w:val="22"/>
          </w:rPr>
          <w:delText>smerte</w:delText>
        </w:r>
        <w:r w:rsidR="001E51D3" w:rsidRPr="009C5EFD">
          <w:rPr>
            <w:sz w:val="22"/>
            <w:szCs w:val="22"/>
          </w:rPr>
          <w:delText>r i buken</w:delText>
        </w:r>
        <w:r w:rsidRPr="009C5EFD">
          <w:rPr>
            <w:sz w:val="22"/>
            <w:szCs w:val="22"/>
          </w:rPr>
          <w:delText>,</w:delText>
        </w:r>
      </w:del>
    </w:p>
    <w:p w14:paraId="4BDE7C7D" w14:textId="676CFE0A" w:rsidR="007B668D" w:rsidRPr="009C5EFD" w:rsidRDefault="00E453CD" w:rsidP="00AB7697">
      <w:pPr>
        <w:numPr>
          <w:ilvl w:val="0"/>
          <w:numId w:val="9"/>
        </w:numPr>
        <w:tabs>
          <w:tab w:val="clear" w:pos="720"/>
          <w:tab w:val="num" w:pos="540"/>
        </w:tabs>
        <w:suppressAutoHyphens/>
        <w:ind w:left="0" w:firstLine="0"/>
        <w:rPr>
          <w:del w:id="15737" w:author="AbbVie02no" w:date="2025-05-15T14:21:00Z"/>
          <w:sz w:val="22"/>
          <w:szCs w:val="22"/>
        </w:rPr>
      </w:pPr>
      <w:del w:id="15738" w:author="AbbVie02no" w:date="2025-05-15T14:21:00Z">
        <w:r w:rsidRPr="009C5EFD">
          <w:rPr>
            <w:sz w:val="22"/>
            <w:szCs w:val="22"/>
          </w:rPr>
          <w:delText>kvalme og oppkast,</w:delText>
        </w:r>
      </w:del>
    </w:p>
    <w:p w14:paraId="315A963C" w14:textId="3ED5946E" w:rsidR="007B668D" w:rsidRPr="009C5EFD" w:rsidRDefault="00E453CD" w:rsidP="00AB7697">
      <w:pPr>
        <w:numPr>
          <w:ilvl w:val="0"/>
          <w:numId w:val="9"/>
        </w:numPr>
        <w:tabs>
          <w:tab w:val="clear" w:pos="720"/>
          <w:tab w:val="num" w:pos="540"/>
        </w:tabs>
        <w:suppressAutoHyphens/>
        <w:ind w:left="0" w:firstLine="0"/>
        <w:rPr>
          <w:del w:id="15739" w:author="AbbVie02no" w:date="2025-05-15T14:21:00Z"/>
          <w:sz w:val="22"/>
          <w:szCs w:val="22"/>
        </w:rPr>
      </w:pPr>
      <w:del w:id="15740" w:author="AbbVie02no" w:date="2025-05-15T14:21:00Z">
        <w:r w:rsidRPr="009C5EFD">
          <w:rPr>
            <w:sz w:val="22"/>
            <w:szCs w:val="22"/>
          </w:rPr>
          <w:delText>utslett,</w:delText>
        </w:r>
      </w:del>
    </w:p>
    <w:p w14:paraId="7B4258EE" w14:textId="40553469" w:rsidR="007B668D" w:rsidRDefault="00E453CD" w:rsidP="00AB7697">
      <w:pPr>
        <w:numPr>
          <w:ilvl w:val="0"/>
          <w:numId w:val="9"/>
        </w:numPr>
        <w:tabs>
          <w:tab w:val="clear" w:pos="720"/>
          <w:tab w:val="num" w:pos="540"/>
        </w:tabs>
        <w:suppressAutoHyphens/>
        <w:ind w:left="0" w:firstLine="0"/>
        <w:rPr>
          <w:del w:id="15741" w:author="AbbVie02no" w:date="2025-05-15T14:21:00Z"/>
          <w:sz w:val="22"/>
          <w:szCs w:val="22"/>
        </w:rPr>
      </w:pPr>
      <w:del w:id="15742" w:author="AbbVie02no" w:date="2025-05-15T14:21:00Z">
        <w:r w:rsidRPr="009C5EFD">
          <w:rPr>
            <w:sz w:val="22"/>
            <w:szCs w:val="22"/>
          </w:rPr>
          <w:delText>smerter i muskler og skjelett.</w:delText>
        </w:r>
      </w:del>
    </w:p>
    <w:p w14:paraId="3B5A9A32" w14:textId="1FC87CC2" w:rsidR="005040C5" w:rsidRPr="00704987" w:rsidRDefault="005040C5" w:rsidP="005A1DEF">
      <w:pPr>
        <w:keepNext/>
        <w:suppressAutoHyphens/>
        <w:rPr>
          <w:del w:id="15743" w:author="AbbVie02no" w:date="2025-05-15T14:21:00Z"/>
        </w:rPr>
      </w:pPr>
    </w:p>
    <w:p w14:paraId="1DDA5432" w14:textId="747C9E2E" w:rsidR="00C13645" w:rsidRDefault="00E453CD" w:rsidP="005040C5">
      <w:pPr>
        <w:keepNext/>
        <w:suppressAutoHyphens/>
        <w:rPr>
          <w:del w:id="15744" w:author="AbbVie02no" w:date="2025-05-15T14:21:00Z"/>
          <w:sz w:val="22"/>
          <w:szCs w:val="22"/>
        </w:rPr>
      </w:pPr>
      <w:del w:id="15745" w:author="AbbVie02no" w:date="2025-05-15T14:21:00Z">
        <w:r w:rsidRPr="006936CB">
          <w:rPr>
            <w:sz w:val="22"/>
            <w:szCs w:val="22"/>
          </w:rPr>
          <w:delText>Vanlige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00F30EDA"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877BAD" w:rsidRPr="009C5EFD">
          <w:rPr>
            <w:sz w:val="22"/>
            <w:szCs w:val="22"/>
          </w:rPr>
          <w:delText>av</w:delText>
        </w:r>
        <w:r w:rsidRPr="009C5EFD">
          <w:rPr>
            <w:sz w:val="22"/>
            <w:szCs w:val="22"/>
          </w:rPr>
          <w:delText xml:space="preserve"> 10 </w:delText>
        </w:r>
        <w:r w:rsidR="00F30EDA" w:rsidRPr="009C5EFD">
          <w:rPr>
            <w:sz w:val="22"/>
            <w:szCs w:val="22"/>
          </w:rPr>
          <w:delText>personer</w:delText>
        </w:r>
        <w:r w:rsidRPr="009C5EFD">
          <w:rPr>
            <w:sz w:val="22"/>
            <w:szCs w:val="22"/>
          </w:rPr>
          <w:delText>)</w:delText>
        </w:r>
      </w:del>
    </w:p>
    <w:p w14:paraId="5BDCC872" w14:textId="6BCD3183" w:rsidR="007B668D" w:rsidRPr="009C5EFD" w:rsidRDefault="007B668D" w:rsidP="005040C5">
      <w:pPr>
        <w:keepNext/>
        <w:suppressAutoHyphens/>
        <w:rPr>
          <w:del w:id="15746" w:author="AbbVie02no" w:date="2025-05-15T14:21:00Z"/>
          <w:sz w:val="22"/>
          <w:szCs w:val="22"/>
        </w:rPr>
      </w:pPr>
    </w:p>
    <w:p w14:paraId="4002A5CA" w14:textId="259BD5B1" w:rsidR="007B668D" w:rsidRDefault="00E453CD" w:rsidP="00776A84">
      <w:pPr>
        <w:numPr>
          <w:ilvl w:val="0"/>
          <w:numId w:val="9"/>
        </w:numPr>
        <w:tabs>
          <w:tab w:val="clear" w:pos="720"/>
          <w:tab w:val="num" w:pos="540"/>
        </w:tabs>
        <w:suppressAutoHyphens/>
        <w:ind w:left="0" w:firstLine="0"/>
        <w:rPr>
          <w:del w:id="15747" w:author="AbbVie02no" w:date="2025-05-15T14:21:00Z"/>
          <w:sz w:val="22"/>
          <w:szCs w:val="22"/>
        </w:rPr>
      </w:pPr>
      <w:del w:id="15748" w:author="AbbVie02no" w:date="2025-05-15T14:21:00Z">
        <w:r>
          <w:rPr>
            <w:sz w:val="22"/>
            <w:szCs w:val="22"/>
          </w:rPr>
          <w:delText>alvorlige</w:delText>
        </w:r>
        <w:r w:rsidR="00F827E5" w:rsidRPr="009C5EFD">
          <w:rPr>
            <w:sz w:val="22"/>
            <w:szCs w:val="22"/>
          </w:rPr>
          <w:delText xml:space="preserve"> </w:delText>
        </w:r>
        <w:r w:rsidRPr="009C5EFD">
          <w:rPr>
            <w:sz w:val="22"/>
            <w:szCs w:val="22"/>
          </w:rPr>
          <w:delText>infeksjoner (inkludert blodforgiftning og influensa),</w:delText>
        </w:r>
      </w:del>
    </w:p>
    <w:p w14:paraId="409F1132" w14:textId="4A02AFE3" w:rsidR="00F827E5" w:rsidRPr="009C5EFD" w:rsidRDefault="00E453CD" w:rsidP="00AF70AD">
      <w:pPr>
        <w:numPr>
          <w:ilvl w:val="0"/>
          <w:numId w:val="9"/>
        </w:numPr>
        <w:tabs>
          <w:tab w:val="clear" w:pos="720"/>
          <w:tab w:val="num" w:pos="540"/>
        </w:tabs>
        <w:suppressAutoHyphens/>
        <w:ind w:left="0" w:firstLine="0"/>
        <w:rPr>
          <w:del w:id="15749" w:author="AbbVie02no" w:date="2025-05-15T14:21:00Z"/>
          <w:sz w:val="22"/>
          <w:szCs w:val="22"/>
        </w:rPr>
      </w:pPr>
      <w:del w:id="15750" w:author="AbbVie02no" w:date="2025-05-15T14:21:00Z">
        <w:r>
          <w:rPr>
            <w:sz w:val="22"/>
            <w:szCs w:val="22"/>
          </w:rPr>
          <w:delText>mageinfeksjon (inkludert gastroenteritt),</w:delText>
        </w:r>
      </w:del>
    </w:p>
    <w:p w14:paraId="31638AB3" w14:textId="17314682" w:rsidR="007B668D" w:rsidRPr="009C5EFD" w:rsidRDefault="00E453CD" w:rsidP="00AF70AD">
      <w:pPr>
        <w:numPr>
          <w:ilvl w:val="0"/>
          <w:numId w:val="9"/>
        </w:numPr>
        <w:tabs>
          <w:tab w:val="clear" w:pos="720"/>
          <w:tab w:val="num" w:pos="540"/>
        </w:tabs>
        <w:suppressAutoHyphens/>
        <w:ind w:left="0" w:firstLine="0"/>
        <w:rPr>
          <w:del w:id="15751" w:author="AbbVie02no" w:date="2025-05-15T14:21:00Z"/>
          <w:sz w:val="22"/>
          <w:szCs w:val="22"/>
        </w:rPr>
      </w:pPr>
      <w:del w:id="15752" w:author="AbbVie02no" w:date="2025-05-15T14:21:00Z">
        <w:r w:rsidRPr="009C5EFD">
          <w:rPr>
            <w:sz w:val="22"/>
            <w:szCs w:val="22"/>
          </w:rPr>
          <w:delText>hudinfeksjon (inkludert cellulitt (betennelse med hevelse og ømhet i bindevev) og helvetesild),</w:delText>
        </w:r>
      </w:del>
    </w:p>
    <w:p w14:paraId="52CCBF35" w14:textId="0F4F1CF1" w:rsidR="007B668D" w:rsidRPr="009C5EFD" w:rsidRDefault="00E453CD" w:rsidP="00AF70AD">
      <w:pPr>
        <w:numPr>
          <w:ilvl w:val="0"/>
          <w:numId w:val="9"/>
        </w:numPr>
        <w:tabs>
          <w:tab w:val="clear" w:pos="720"/>
          <w:tab w:val="num" w:pos="540"/>
        </w:tabs>
        <w:suppressAutoHyphens/>
        <w:ind w:left="0" w:firstLine="0"/>
        <w:rPr>
          <w:del w:id="15753" w:author="AbbVie02no" w:date="2025-05-15T14:21:00Z"/>
          <w:sz w:val="22"/>
          <w:szCs w:val="22"/>
        </w:rPr>
      </w:pPr>
      <w:del w:id="15754" w:author="AbbVie02no" w:date="2025-05-15T14:21:00Z">
        <w:r w:rsidRPr="009C5EFD">
          <w:rPr>
            <w:sz w:val="22"/>
            <w:szCs w:val="22"/>
          </w:rPr>
          <w:delText>øreinfeksjon,</w:delText>
        </w:r>
      </w:del>
    </w:p>
    <w:p w14:paraId="13D0275A" w14:textId="0D423414" w:rsidR="007B668D" w:rsidRPr="009C5EFD" w:rsidRDefault="00E453CD" w:rsidP="00AF70AD">
      <w:pPr>
        <w:numPr>
          <w:ilvl w:val="0"/>
          <w:numId w:val="9"/>
        </w:numPr>
        <w:tabs>
          <w:tab w:val="clear" w:pos="720"/>
          <w:tab w:val="num" w:pos="540"/>
        </w:tabs>
        <w:suppressAutoHyphens/>
        <w:ind w:left="0" w:firstLine="0"/>
        <w:rPr>
          <w:del w:id="15755" w:author="AbbVie02no" w:date="2025-05-15T14:21:00Z"/>
          <w:sz w:val="22"/>
          <w:szCs w:val="22"/>
        </w:rPr>
      </w:pPr>
      <w:del w:id="15756" w:author="AbbVie02no" w:date="2025-05-15T14:21:00Z">
        <w:r w:rsidRPr="009C5EFD">
          <w:rPr>
            <w:sz w:val="22"/>
            <w:szCs w:val="22"/>
          </w:rPr>
          <w:delText>munninfeksjon (inkludert tanninfeksjoner og forkjølelsessår),</w:delText>
        </w:r>
      </w:del>
    </w:p>
    <w:p w14:paraId="33826C08" w14:textId="5A2C02BF" w:rsidR="007B668D" w:rsidRPr="009C5EFD" w:rsidRDefault="00E453CD" w:rsidP="00AF70AD">
      <w:pPr>
        <w:numPr>
          <w:ilvl w:val="0"/>
          <w:numId w:val="9"/>
        </w:numPr>
        <w:tabs>
          <w:tab w:val="clear" w:pos="720"/>
          <w:tab w:val="num" w:pos="540"/>
        </w:tabs>
        <w:suppressAutoHyphens/>
        <w:ind w:left="0" w:firstLine="0"/>
        <w:rPr>
          <w:del w:id="15757" w:author="AbbVie02no" w:date="2025-05-15T14:21:00Z"/>
          <w:sz w:val="22"/>
          <w:szCs w:val="22"/>
        </w:rPr>
      </w:pPr>
      <w:del w:id="15758" w:author="AbbVie02no" w:date="2025-05-15T14:21:00Z">
        <w:r w:rsidRPr="009C5EFD">
          <w:rPr>
            <w:sz w:val="22"/>
            <w:szCs w:val="22"/>
          </w:rPr>
          <w:delText>infeksjoner i forplantningskanal,</w:delText>
        </w:r>
      </w:del>
    </w:p>
    <w:p w14:paraId="2D773B8F" w14:textId="696906A3" w:rsidR="007B668D" w:rsidRPr="009C5EFD" w:rsidRDefault="00E453CD" w:rsidP="00AF70AD">
      <w:pPr>
        <w:numPr>
          <w:ilvl w:val="0"/>
          <w:numId w:val="9"/>
        </w:numPr>
        <w:tabs>
          <w:tab w:val="clear" w:pos="720"/>
          <w:tab w:val="num" w:pos="540"/>
        </w:tabs>
        <w:suppressAutoHyphens/>
        <w:ind w:left="0" w:firstLine="0"/>
        <w:rPr>
          <w:del w:id="15759" w:author="AbbVie02no" w:date="2025-05-15T14:21:00Z"/>
          <w:sz w:val="22"/>
          <w:szCs w:val="22"/>
        </w:rPr>
      </w:pPr>
      <w:del w:id="15760" w:author="AbbVie02no" w:date="2025-05-15T14:21:00Z">
        <w:r w:rsidRPr="009C5EFD">
          <w:rPr>
            <w:sz w:val="22"/>
            <w:szCs w:val="22"/>
          </w:rPr>
          <w:delText>urinveisinfeksjon,</w:delText>
        </w:r>
      </w:del>
    </w:p>
    <w:p w14:paraId="5234AFD2" w14:textId="49631099" w:rsidR="005907B1" w:rsidRPr="009C5EFD" w:rsidRDefault="00E453CD" w:rsidP="00AF70AD">
      <w:pPr>
        <w:numPr>
          <w:ilvl w:val="0"/>
          <w:numId w:val="16"/>
        </w:numPr>
        <w:tabs>
          <w:tab w:val="clear" w:pos="720"/>
          <w:tab w:val="num" w:pos="540"/>
        </w:tabs>
        <w:suppressAutoHyphens/>
        <w:ind w:left="540" w:hanging="540"/>
        <w:rPr>
          <w:del w:id="15761" w:author="AbbVie02no" w:date="2025-05-15T14:21:00Z"/>
          <w:sz w:val="22"/>
          <w:szCs w:val="22"/>
        </w:rPr>
      </w:pPr>
      <w:del w:id="15762" w:author="AbbVie02no" w:date="2025-05-15T14:21:00Z">
        <w:r w:rsidRPr="009C5EFD">
          <w:rPr>
            <w:sz w:val="22"/>
            <w:szCs w:val="22"/>
          </w:rPr>
          <w:delText xml:space="preserve">soppinfeksjon, </w:delText>
        </w:r>
      </w:del>
    </w:p>
    <w:p w14:paraId="4A49E115" w14:textId="7AB63F74" w:rsidR="007B668D" w:rsidRPr="009C5EFD" w:rsidRDefault="00E453CD" w:rsidP="00AF70AD">
      <w:pPr>
        <w:numPr>
          <w:ilvl w:val="0"/>
          <w:numId w:val="9"/>
        </w:numPr>
        <w:tabs>
          <w:tab w:val="clear" w:pos="720"/>
          <w:tab w:val="num" w:pos="540"/>
        </w:tabs>
        <w:suppressAutoHyphens/>
        <w:ind w:left="0" w:firstLine="0"/>
        <w:rPr>
          <w:del w:id="15763" w:author="AbbVie02no" w:date="2025-05-15T14:21:00Z"/>
          <w:sz w:val="22"/>
          <w:szCs w:val="22"/>
        </w:rPr>
      </w:pPr>
      <w:del w:id="15764" w:author="AbbVie02no" w:date="2025-05-15T14:21:00Z">
        <w:r w:rsidRPr="009C5EFD">
          <w:rPr>
            <w:sz w:val="22"/>
            <w:szCs w:val="22"/>
          </w:rPr>
          <w:delText>leddinfeksjoner,</w:delText>
        </w:r>
      </w:del>
    </w:p>
    <w:p w14:paraId="0F4CBBA6" w14:textId="5A9B3D22" w:rsidR="007B668D" w:rsidRPr="009C5EFD" w:rsidRDefault="00E453CD" w:rsidP="00AF70AD">
      <w:pPr>
        <w:numPr>
          <w:ilvl w:val="0"/>
          <w:numId w:val="9"/>
        </w:numPr>
        <w:tabs>
          <w:tab w:val="clear" w:pos="720"/>
          <w:tab w:val="num" w:pos="540"/>
        </w:tabs>
        <w:suppressAutoHyphens/>
        <w:ind w:left="0" w:firstLine="0"/>
        <w:rPr>
          <w:del w:id="15765" w:author="AbbVie02no" w:date="2025-05-15T14:21:00Z"/>
          <w:sz w:val="22"/>
          <w:szCs w:val="22"/>
        </w:rPr>
      </w:pPr>
      <w:del w:id="15766" w:author="AbbVie02no" w:date="2025-05-15T14:21:00Z">
        <w:r w:rsidRPr="009C5EFD">
          <w:rPr>
            <w:sz w:val="22"/>
            <w:szCs w:val="22"/>
          </w:rPr>
          <w:delText>godartede tumorer,</w:delText>
        </w:r>
      </w:del>
    </w:p>
    <w:p w14:paraId="0DC77AB1" w14:textId="5FC3FDB3" w:rsidR="007B668D" w:rsidRPr="009C5EFD" w:rsidRDefault="00E453CD" w:rsidP="00AF70AD">
      <w:pPr>
        <w:numPr>
          <w:ilvl w:val="0"/>
          <w:numId w:val="9"/>
        </w:numPr>
        <w:tabs>
          <w:tab w:val="clear" w:pos="720"/>
          <w:tab w:val="num" w:pos="540"/>
        </w:tabs>
        <w:suppressAutoHyphens/>
        <w:ind w:left="0" w:firstLine="0"/>
        <w:rPr>
          <w:del w:id="15767" w:author="AbbVie02no" w:date="2025-05-15T14:21:00Z"/>
          <w:sz w:val="22"/>
          <w:szCs w:val="22"/>
        </w:rPr>
      </w:pPr>
      <w:del w:id="15768" w:author="AbbVie02no" w:date="2025-05-15T14:21:00Z">
        <w:r w:rsidRPr="009C5EFD">
          <w:rPr>
            <w:sz w:val="22"/>
            <w:szCs w:val="22"/>
          </w:rPr>
          <w:delText>hudkreft,</w:delText>
        </w:r>
      </w:del>
    </w:p>
    <w:p w14:paraId="38BA924C" w14:textId="061CE589" w:rsidR="007B668D" w:rsidRPr="009C5EFD" w:rsidRDefault="00E453CD" w:rsidP="00AF70AD">
      <w:pPr>
        <w:numPr>
          <w:ilvl w:val="0"/>
          <w:numId w:val="9"/>
        </w:numPr>
        <w:tabs>
          <w:tab w:val="clear" w:pos="720"/>
          <w:tab w:val="num" w:pos="540"/>
        </w:tabs>
        <w:suppressAutoHyphens/>
        <w:ind w:left="0" w:firstLine="0"/>
        <w:rPr>
          <w:del w:id="15769" w:author="AbbVie02no" w:date="2025-05-15T14:21:00Z"/>
          <w:sz w:val="22"/>
          <w:szCs w:val="22"/>
        </w:rPr>
      </w:pPr>
      <w:del w:id="15770" w:author="AbbVie02no" w:date="2025-05-15T14:21:00Z">
        <w:r w:rsidRPr="009C5EFD">
          <w:rPr>
            <w:sz w:val="22"/>
            <w:szCs w:val="22"/>
          </w:rPr>
          <w:delText>allergiske reaksjoner (inkludert sesongallergi),</w:delText>
        </w:r>
      </w:del>
    </w:p>
    <w:p w14:paraId="688B37B6" w14:textId="5F8F16DF" w:rsidR="003F317F" w:rsidRPr="009C5EFD" w:rsidRDefault="00E453CD" w:rsidP="00AF70AD">
      <w:pPr>
        <w:numPr>
          <w:ilvl w:val="0"/>
          <w:numId w:val="9"/>
        </w:numPr>
        <w:tabs>
          <w:tab w:val="clear" w:pos="720"/>
          <w:tab w:val="num" w:pos="540"/>
        </w:tabs>
        <w:suppressAutoHyphens/>
        <w:ind w:left="0" w:firstLine="0"/>
        <w:rPr>
          <w:del w:id="15771" w:author="AbbVie02no" w:date="2025-05-15T14:21:00Z"/>
          <w:sz w:val="22"/>
          <w:szCs w:val="22"/>
        </w:rPr>
      </w:pPr>
      <w:del w:id="15772" w:author="AbbVie02no" w:date="2025-05-15T14:21:00Z">
        <w:r w:rsidRPr="009C5EFD">
          <w:rPr>
            <w:sz w:val="22"/>
            <w:szCs w:val="22"/>
          </w:rPr>
          <w:delText>dehydrering,</w:delText>
        </w:r>
      </w:del>
    </w:p>
    <w:p w14:paraId="3FE5339C" w14:textId="6EB8AAB5" w:rsidR="007B668D" w:rsidRPr="009C5EFD" w:rsidRDefault="00E453CD" w:rsidP="00AF70AD">
      <w:pPr>
        <w:numPr>
          <w:ilvl w:val="0"/>
          <w:numId w:val="9"/>
        </w:numPr>
        <w:tabs>
          <w:tab w:val="clear" w:pos="720"/>
          <w:tab w:val="num" w:pos="540"/>
        </w:tabs>
        <w:suppressAutoHyphens/>
        <w:ind w:left="0" w:firstLine="0"/>
        <w:rPr>
          <w:del w:id="15773" w:author="AbbVie02no" w:date="2025-05-15T14:21:00Z"/>
          <w:sz w:val="22"/>
          <w:szCs w:val="22"/>
        </w:rPr>
      </w:pPr>
      <w:del w:id="15774" w:author="AbbVie02no" w:date="2025-05-15T14:21:00Z">
        <w:r w:rsidRPr="009C5EFD">
          <w:rPr>
            <w:sz w:val="22"/>
            <w:szCs w:val="22"/>
          </w:rPr>
          <w:delText>humørsvingninger (inkludert depresjon),</w:delText>
        </w:r>
      </w:del>
    </w:p>
    <w:p w14:paraId="56F9B020" w14:textId="073D4CFF" w:rsidR="007B668D" w:rsidRPr="009C5EFD" w:rsidRDefault="00E453CD" w:rsidP="00AF70AD">
      <w:pPr>
        <w:numPr>
          <w:ilvl w:val="0"/>
          <w:numId w:val="9"/>
        </w:numPr>
        <w:tabs>
          <w:tab w:val="clear" w:pos="720"/>
          <w:tab w:val="num" w:pos="540"/>
        </w:tabs>
        <w:suppressAutoHyphens/>
        <w:ind w:left="0" w:firstLine="0"/>
        <w:rPr>
          <w:del w:id="15775" w:author="AbbVie02no" w:date="2025-05-15T14:21:00Z"/>
          <w:sz w:val="22"/>
          <w:szCs w:val="22"/>
        </w:rPr>
      </w:pPr>
      <w:del w:id="15776" w:author="AbbVie02no" w:date="2025-05-15T14:21:00Z">
        <w:r w:rsidRPr="009C5EFD">
          <w:rPr>
            <w:sz w:val="22"/>
            <w:szCs w:val="22"/>
          </w:rPr>
          <w:delText>angst,</w:delText>
        </w:r>
      </w:del>
    </w:p>
    <w:p w14:paraId="43E6AE44" w14:textId="3099EBEC" w:rsidR="007B668D" w:rsidRPr="009C5EFD" w:rsidRDefault="00E453CD" w:rsidP="00AF70AD">
      <w:pPr>
        <w:numPr>
          <w:ilvl w:val="0"/>
          <w:numId w:val="9"/>
        </w:numPr>
        <w:tabs>
          <w:tab w:val="clear" w:pos="720"/>
          <w:tab w:val="num" w:pos="540"/>
        </w:tabs>
        <w:suppressAutoHyphens/>
        <w:ind w:left="0" w:firstLine="0"/>
        <w:rPr>
          <w:del w:id="15777" w:author="AbbVie02no" w:date="2025-05-15T14:21:00Z"/>
          <w:sz w:val="22"/>
          <w:szCs w:val="22"/>
        </w:rPr>
      </w:pPr>
      <w:del w:id="15778" w:author="AbbVie02no" w:date="2025-05-15T14:21:00Z">
        <w:r w:rsidRPr="009C5EFD">
          <w:rPr>
            <w:sz w:val="22"/>
            <w:szCs w:val="22"/>
          </w:rPr>
          <w:delText>søvnvansker,</w:delText>
        </w:r>
      </w:del>
    </w:p>
    <w:p w14:paraId="03B83D19" w14:textId="42EA456E" w:rsidR="007B668D" w:rsidRPr="009C5EFD" w:rsidRDefault="00E453CD" w:rsidP="00AF70AD">
      <w:pPr>
        <w:numPr>
          <w:ilvl w:val="0"/>
          <w:numId w:val="9"/>
        </w:numPr>
        <w:tabs>
          <w:tab w:val="clear" w:pos="720"/>
          <w:tab w:val="num" w:pos="540"/>
        </w:tabs>
        <w:suppressAutoHyphens/>
        <w:ind w:left="0" w:firstLine="0"/>
        <w:rPr>
          <w:del w:id="15779" w:author="AbbVie02no" w:date="2025-05-15T14:21:00Z"/>
          <w:sz w:val="22"/>
          <w:szCs w:val="22"/>
        </w:rPr>
      </w:pPr>
      <w:del w:id="15780" w:author="AbbVie02no" w:date="2025-05-15T14:21:00Z">
        <w:r w:rsidRPr="009C5EFD">
          <w:rPr>
            <w:sz w:val="22"/>
            <w:szCs w:val="22"/>
          </w:rPr>
          <w:delText>sanseforstyrrelser som kribling, prikking eller nummenhet,</w:delText>
        </w:r>
      </w:del>
    </w:p>
    <w:p w14:paraId="4E0CAC1E" w14:textId="48D13DF7" w:rsidR="007B668D" w:rsidRPr="009C5EFD" w:rsidRDefault="00E453CD" w:rsidP="00AF70AD">
      <w:pPr>
        <w:numPr>
          <w:ilvl w:val="0"/>
          <w:numId w:val="9"/>
        </w:numPr>
        <w:tabs>
          <w:tab w:val="clear" w:pos="720"/>
          <w:tab w:val="num" w:pos="540"/>
        </w:tabs>
        <w:suppressAutoHyphens/>
        <w:ind w:left="0" w:firstLine="0"/>
        <w:rPr>
          <w:del w:id="15781" w:author="AbbVie02no" w:date="2025-05-15T14:21:00Z"/>
          <w:sz w:val="22"/>
          <w:szCs w:val="22"/>
        </w:rPr>
      </w:pPr>
      <w:del w:id="15782" w:author="AbbVie02no" w:date="2025-05-15T14:21:00Z">
        <w:r w:rsidRPr="009C5EFD">
          <w:rPr>
            <w:sz w:val="22"/>
            <w:szCs w:val="22"/>
          </w:rPr>
          <w:delText>migrene,</w:delText>
        </w:r>
      </w:del>
    </w:p>
    <w:p w14:paraId="5733D20A" w14:textId="60D3EA00" w:rsidR="007B668D" w:rsidRPr="009C5EFD" w:rsidRDefault="00E453CD" w:rsidP="00AF70AD">
      <w:pPr>
        <w:numPr>
          <w:ilvl w:val="0"/>
          <w:numId w:val="9"/>
        </w:numPr>
        <w:tabs>
          <w:tab w:val="clear" w:pos="720"/>
          <w:tab w:val="num" w:pos="540"/>
        </w:tabs>
        <w:suppressAutoHyphens/>
        <w:ind w:left="0" w:firstLine="0"/>
        <w:rPr>
          <w:del w:id="15783" w:author="AbbVie02no" w:date="2025-05-15T14:21:00Z"/>
          <w:sz w:val="22"/>
          <w:szCs w:val="22"/>
        </w:rPr>
      </w:pPr>
      <w:del w:id="15784" w:author="AbbVie02no" w:date="2025-05-15T14:21:00Z">
        <w:r w:rsidRPr="009C5EFD">
          <w:rPr>
            <w:sz w:val="22"/>
            <w:szCs w:val="22"/>
          </w:rPr>
          <w:delText xml:space="preserve">kompresjon av nerverot (inkludert smerter i korsryggen og i </w:delText>
        </w:r>
        <w:r w:rsidR="00954434">
          <w:rPr>
            <w:sz w:val="22"/>
            <w:szCs w:val="22"/>
          </w:rPr>
          <w:delText>beina</w:delText>
        </w:r>
        <w:r w:rsidRPr="009C5EFD">
          <w:rPr>
            <w:sz w:val="22"/>
            <w:szCs w:val="22"/>
          </w:rPr>
          <w:delText>),</w:delText>
        </w:r>
      </w:del>
    </w:p>
    <w:p w14:paraId="7A0DACFC" w14:textId="671E79AE" w:rsidR="007B668D" w:rsidRPr="009C5EFD" w:rsidRDefault="00E453CD" w:rsidP="00AF70AD">
      <w:pPr>
        <w:numPr>
          <w:ilvl w:val="0"/>
          <w:numId w:val="9"/>
        </w:numPr>
        <w:tabs>
          <w:tab w:val="clear" w:pos="720"/>
          <w:tab w:val="num" w:pos="540"/>
        </w:tabs>
        <w:suppressAutoHyphens/>
        <w:ind w:left="0" w:firstLine="0"/>
        <w:rPr>
          <w:del w:id="15785" w:author="AbbVie02no" w:date="2025-05-15T14:21:00Z"/>
          <w:sz w:val="22"/>
          <w:szCs w:val="22"/>
        </w:rPr>
      </w:pPr>
      <w:del w:id="15786" w:author="AbbVie02no" w:date="2025-05-15T14:21:00Z">
        <w:r w:rsidRPr="009C5EFD">
          <w:rPr>
            <w:sz w:val="22"/>
            <w:szCs w:val="22"/>
          </w:rPr>
          <w:delText>synsforstyrrelser,</w:delText>
        </w:r>
      </w:del>
    </w:p>
    <w:p w14:paraId="79B23A34" w14:textId="00E44D62" w:rsidR="005907B1" w:rsidRPr="009C5EFD" w:rsidRDefault="00E453CD" w:rsidP="00AF70AD">
      <w:pPr>
        <w:numPr>
          <w:ilvl w:val="0"/>
          <w:numId w:val="16"/>
        </w:numPr>
        <w:tabs>
          <w:tab w:val="clear" w:pos="720"/>
          <w:tab w:val="num" w:pos="540"/>
        </w:tabs>
        <w:suppressAutoHyphens/>
        <w:ind w:left="540" w:hanging="540"/>
        <w:rPr>
          <w:del w:id="15787" w:author="AbbVie02no" w:date="2025-05-15T14:21:00Z"/>
          <w:sz w:val="22"/>
          <w:szCs w:val="22"/>
        </w:rPr>
      </w:pPr>
      <w:del w:id="15788" w:author="AbbVie02no" w:date="2025-05-15T14:21:00Z">
        <w:r w:rsidRPr="009C5EFD">
          <w:rPr>
            <w:sz w:val="22"/>
            <w:szCs w:val="22"/>
          </w:rPr>
          <w:delText xml:space="preserve">øyeinfeksjon, </w:delText>
        </w:r>
      </w:del>
    </w:p>
    <w:p w14:paraId="456FC411" w14:textId="39638AB4" w:rsidR="007B668D" w:rsidRPr="009C5EFD" w:rsidRDefault="00E453CD" w:rsidP="00AF70AD">
      <w:pPr>
        <w:numPr>
          <w:ilvl w:val="0"/>
          <w:numId w:val="9"/>
        </w:numPr>
        <w:tabs>
          <w:tab w:val="clear" w:pos="720"/>
          <w:tab w:val="num" w:pos="540"/>
        </w:tabs>
        <w:suppressAutoHyphens/>
        <w:ind w:left="0" w:firstLine="0"/>
        <w:rPr>
          <w:del w:id="15789" w:author="AbbVie02no" w:date="2025-05-15T14:21:00Z"/>
          <w:sz w:val="22"/>
          <w:szCs w:val="22"/>
        </w:rPr>
      </w:pPr>
      <w:del w:id="15790" w:author="AbbVie02no" w:date="2025-05-15T14:21:00Z">
        <w:r w:rsidRPr="009C5EFD">
          <w:rPr>
            <w:sz w:val="22"/>
            <w:szCs w:val="22"/>
          </w:rPr>
          <w:delText>betennelse i øyelokk og opphovnet øye,</w:delText>
        </w:r>
      </w:del>
    </w:p>
    <w:p w14:paraId="6BC19EA8" w14:textId="64B7A0CB" w:rsidR="007B668D" w:rsidRPr="009C5EFD" w:rsidRDefault="00E453CD" w:rsidP="00AF70AD">
      <w:pPr>
        <w:numPr>
          <w:ilvl w:val="0"/>
          <w:numId w:val="9"/>
        </w:numPr>
        <w:tabs>
          <w:tab w:val="clear" w:pos="720"/>
          <w:tab w:val="num" w:pos="540"/>
        </w:tabs>
        <w:suppressAutoHyphens/>
        <w:ind w:left="0" w:firstLine="0"/>
        <w:rPr>
          <w:del w:id="15791" w:author="AbbVie02no" w:date="2025-05-15T14:21:00Z"/>
          <w:sz w:val="22"/>
          <w:szCs w:val="22"/>
        </w:rPr>
      </w:pPr>
      <w:del w:id="15792" w:author="AbbVie02no" w:date="2025-05-15T14:21:00Z">
        <w:r w:rsidRPr="009C5EFD">
          <w:rPr>
            <w:sz w:val="22"/>
            <w:szCs w:val="22"/>
          </w:rPr>
          <w:delText>svimmelhet,</w:delText>
        </w:r>
      </w:del>
    </w:p>
    <w:p w14:paraId="7DF0951A" w14:textId="570F21F7" w:rsidR="007B668D" w:rsidRPr="009C5EFD" w:rsidRDefault="00E453CD" w:rsidP="00AF70AD">
      <w:pPr>
        <w:numPr>
          <w:ilvl w:val="0"/>
          <w:numId w:val="9"/>
        </w:numPr>
        <w:tabs>
          <w:tab w:val="clear" w:pos="720"/>
          <w:tab w:val="num" w:pos="540"/>
        </w:tabs>
        <w:suppressAutoHyphens/>
        <w:ind w:left="0" w:firstLine="0"/>
        <w:rPr>
          <w:del w:id="15793" w:author="AbbVie02no" w:date="2025-05-15T14:21:00Z"/>
          <w:sz w:val="22"/>
          <w:szCs w:val="22"/>
        </w:rPr>
      </w:pPr>
      <w:del w:id="15794" w:author="AbbVie02no" w:date="2025-05-15T14:21:00Z">
        <w:r w:rsidRPr="009C5EFD">
          <w:rPr>
            <w:sz w:val="22"/>
            <w:szCs w:val="22"/>
          </w:rPr>
          <w:delText>følelse av at hjertet slår rask</w:delText>
        </w:r>
        <w:r w:rsidR="005F38E5">
          <w:rPr>
            <w:sz w:val="22"/>
            <w:szCs w:val="22"/>
          </w:rPr>
          <w:delText>t</w:delText>
        </w:r>
        <w:r w:rsidRPr="009C5EFD">
          <w:rPr>
            <w:sz w:val="22"/>
            <w:szCs w:val="22"/>
          </w:rPr>
          <w:delText>,</w:delText>
        </w:r>
      </w:del>
    </w:p>
    <w:p w14:paraId="1195133D" w14:textId="079C8C9B" w:rsidR="007B668D" w:rsidRPr="009C5EFD" w:rsidRDefault="00E453CD" w:rsidP="00AF70AD">
      <w:pPr>
        <w:numPr>
          <w:ilvl w:val="0"/>
          <w:numId w:val="9"/>
        </w:numPr>
        <w:tabs>
          <w:tab w:val="clear" w:pos="720"/>
          <w:tab w:val="num" w:pos="540"/>
        </w:tabs>
        <w:suppressAutoHyphens/>
        <w:ind w:left="0" w:firstLine="0"/>
        <w:rPr>
          <w:del w:id="15795" w:author="AbbVie02no" w:date="2025-05-15T14:21:00Z"/>
          <w:sz w:val="22"/>
          <w:szCs w:val="22"/>
        </w:rPr>
      </w:pPr>
      <w:del w:id="15796" w:author="AbbVie02no" w:date="2025-05-15T14:21:00Z">
        <w:r w:rsidRPr="009C5EFD">
          <w:rPr>
            <w:sz w:val="22"/>
            <w:szCs w:val="22"/>
          </w:rPr>
          <w:delText>høyt blodtrykk,</w:delText>
        </w:r>
      </w:del>
    </w:p>
    <w:p w14:paraId="1F0FCA54" w14:textId="4B0B53F4" w:rsidR="007B668D" w:rsidRPr="009C5EFD" w:rsidRDefault="00E453CD" w:rsidP="00AF70AD">
      <w:pPr>
        <w:numPr>
          <w:ilvl w:val="0"/>
          <w:numId w:val="9"/>
        </w:numPr>
        <w:tabs>
          <w:tab w:val="clear" w:pos="720"/>
          <w:tab w:val="num" w:pos="540"/>
        </w:tabs>
        <w:suppressAutoHyphens/>
        <w:ind w:left="0" w:firstLine="0"/>
        <w:rPr>
          <w:del w:id="15797" w:author="AbbVie02no" w:date="2025-05-15T14:21:00Z"/>
          <w:sz w:val="22"/>
          <w:szCs w:val="22"/>
        </w:rPr>
      </w:pPr>
      <w:del w:id="15798" w:author="AbbVie02no" w:date="2025-05-15T14:21:00Z">
        <w:r w:rsidRPr="009C5EFD">
          <w:rPr>
            <w:sz w:val="22"/>
            <w:szCs w:val="22"/>
          </w:rPr>
          <w:delText>rødme,</w:delText>
        </w:r>
      </w:del>
    </w:p>
    <w:p w14:paraId="3BD1B0B6" w14:textId="07B1E515" w:rsidR="007B668D" w:rsidRPr="009C5EFD" w:rsidRDefault="00E453CD" w:rsidP="00AF70AD">
      <w:pPr>
        <w:numPr>
          <w:ilvl w:val="0"/>
          <w:numId w:val="9"/>
        </w:numPr>
        <w:tabs>
          <w:tab w:val="clear" w:pos="720"/>
          <w:tab w:val="num" w:pos="540"/>
        </w:tabs>
        <w:suppressAutoHyphens/>
        <w:ind w:left="0" w:firstLine="0"/>
        <w:rPr>
          <w:del w:id="15799" w:author="AbbVie02no" w:date="2025-05-15T14:21:00Z"/>
          <w:sz w:val="22"/>
          <w:szCs w:val="22"/>
        </w:rPr>
      </w:pPr>
      <w:del w:id="15800" w:author="AbbVie02no" w:date="2025-05-15T14:21:00Z">
        <w:r w:rsidRPr="009C5EFD">
          <w:rPr>
            <w:sz w:val="22"/>
            <w:szCs w:val="22"/>
          </w:rPr>
          <w:delText>blodansamling (hematom),</w:delText>
        </w:r>
      </w:del>
    </w:p>
    <w:p w14:paraId="767518CB" w14:textId="066D37FC" w:rsidR="007B668D" w:rsidRPr="009C5EFD" w:rsidRDefault="00E453CD" w:rsidP="00AF70AD">
      <w:pPr>
        <w:numPr>
          <w:ilvl w:val="0"/>
          <w:numId w:val="9"/>
        </w:numPr>
        <w:tabs>
          <w:tab w:val="clear" w:pos="720"/>
          <w:tab w:val="num" w:pos="540"/>
        </w:tabs>
        <w:suppressAutoHyphens/>
        <w:ind w:left="0" w:firstLine="0"/>
        <w:rPr>
          <w:del w:id="15801" w:author="AbbVie02no" w:date="2025-05-15T14:21:00Z"/>
          <w:sz w:val="22"/>
          <w:szCs w:val="22"/>
        </w:rPr>
      </w:pPr>
      <w:del w:id="15802" w:author="AbbVie02no" w:date="2025-05-15T14:21:00Z">
        <w:r w:rsidRPr="009C5EFD">
          <w:rPr>
            <w:sz w:val="22"/>
            <w:szCs w:val="22"/>
          </w:rPr>
          <w:delText>hoste,</w:delText>
        </w:r>
      </w:del>
    </w:p>
    <w:p w14:paraId="05452C6B" w14:textId="2F03B1E4" w:rsidR="007B668D" w:rsidRPr="009C5EFD" w:rsidRDefault="00E453CD" w:rsidP="00AF70AD">
      <w:pPr>
        <w:numPr>
          <w:ilvl w:val="0"/>
          <w:numId w:val="9"/>
        </w:numPr>
        <w:tabs>
          <w:tab w:val="clear" w:pos="720"/>
          <w:tab w:val="num" w:pos="540"/>
        </w:tabs>
        <w:suppressAutoHyphens/>
        <w:ind w:left="0" w:firstLine="0"/>
        <w:rPr>
          <w:del w:id="15803" w:author="AbbVie02no" w:date="2025-05-15T14:21:00Z"/>
          <w:sz w:val="22"/>
          <w:szCs w:val="22"/>
        </w:rPr>
      </w:pPr>
      <w:del w:id="15804" w:author="AbbVie02no" w:date="2025-05-15T14:21:00Z">
        <w:r w:rsidRPr="009C5EFD">
          <w:rPr>
            <w:sz w:val="22"/>
            <w:szCs w:val="22"/>
          </w:rPr>
          <w:delText>astma,</w:delText>
        </w:r>
      </w:del>
    </w:p>
    <w:p w14:paraId="49C5C456" w14:textId="246C4C94" w:rsidR="007B668D" w:rsidRPr="009C5EFD" w:rsidRDefault="00E453CD" w:rsidP="00AF70AD">
      <w:pPr>
        <w:numPr>
          <w:ilvl w:val="0"/>
          <w:numId w:val="9"/>
        </w:numPr>
        <w:tabs>
          <w:tab w:val="clear" w:pos="720"/>
          <w:tab w:val="num" w:pos="540"/>
        </w:tabs>
        <w:suppressAutoHyphens/>
        <w:ind w:left="0" w:firstLine="0"/>
        <w:rPr>
          <w:del w:id="15805" w:author="AbbVie02no" w:date="2025-05-15T14:21:00Z"/>
          <w:sz w:val="22"/>
          <w:szCs w:val="22"/>
        </w:rPr>
      </w:pPr>
      <w:del w:id="15806" w:author="AbbVie02no" w:date="2025-05-15T14:21:00Z">
        <w:r w:rsidRPr="009C5EFD">
          <w:rPr>
            <w:sz w:val="22"/>
            <w:szCs w:val="22"/>
          </w:rPr>
          <w:delText>kortpusthet,</w:delText>
        </w:r>
      </w:del>
    </w:p>
    <w:p w14:paraId="4309EB50" w14:textId="65628429" w:rsidR="007B668D" w:rsidRPr="009C5EFD" w:rsidRDefault="00E453CD" w:rsidP="00AF70AD">
      <w:pPr>
        <w:numPr>
          <w:ilvl w:val="0"/>
          <w:numId w:val="9"/>
        </w:numPr>
        <w:tabs>
          <w:tab w:val="clear" w:pos="720"/>
          <w:tab w:val="num" w:pos="540"/>
        </w:tabs>
        <w:suppressAutoHyphens/>
        <w:ind w:left="0" w:firstLine="0"/>
        <w:rPr>
          <w:del w:id="15807" w:author="AbbVie02no" w:date="2025-05-15T14:21:00Z"/>
          <w:sz w:val="22"/>
          <w:szCs w:val="22"/>
        </w:rPr>
      </w:pPr>
      <w:del w:id="15808" w:author="AbbVie02no" w:date="2025-05-15T14:21:00Z">
        <w:r w:rsidRPr="009C5EFD">
          <w:rPr>
            <w:sz w:val="22"/>
            <w:szCs w:val="22"/>
          </w:rPr>
          <w:delText>mageblødning,</w:delText>
        </w:r>
      </w:del>
    </w:p>
    <w:p w14:paraId="6E952E42" w14:textId="154E9F70" w:rsidR="007B668D" w:rsidRPr="009C5EFD" w:rsidRDefault="00E453CD" w:rsidP="00AF70AD">
      <w:pPr>
        <w:numPr>
          <w:ilvl w:val="0"/>
          <w:numId w:val="9"/>
        </w:numPr>
        <w:tabs>
          <w:tab w:val="clear" w:pos="720"/>
          <w:tab w:val="num" w:pos="540"/>
        </w:tabs>
        <w:suppressAutoHyphens/>
        <w:ind w:left="0" w:firstLine="0"/>
        <w:rPr>
          <w:del w:id="15809" w:author="AbbVie02no" w:date="2025-05-15T14:21:00Z"/>
          <w:sz w:val="22"/>
          <w:szCs w:val="22"/>
        </w:rPr>
      </w:pPr>
      <w:del w:id="15810" w:author="AbbVie02no" w:date="2025-05-15T14:21:00Z">
        <w:r w:rsidRPr="009C5EFD">
          <w:rPr>
            <w:sz w:val="22"/>
            <w:szCs w:val="22"/>
          </w:rPr>
          <w:delText>dyspepsi (forstyrrelser i øvre mage-tarm-kanal, dårlig fordøyelse, oppblåsthet, halsbrann),</w:delText>
        </w:r>
      </w:del>
    </w:p>
    <w:p w14:paraId="6C1C7DC7" w14:textId="3BB986A8" w:rsidR="007B668D" w:rsidRPr="009C5EFD" w:rsidRDefault="00E453CD" w:rsidP="00AF70AD">
      <w:pPr>
        <w:numPr>
          <w:ilvl w:val="0"/>
          <w:numId w:val="9"/>
        </w:numPr>
        <w:tabs>
          <w:tab w:val="clear" w:pos="720"/>
          <w:tab w:val="num" w:pos="540"/>
        </w:tabs>
        <w:suppressAutoHyphens/>
        <w:ind w:left="0" w:firstLine="0"/>
        <w:rPr>
          <w:del w:id="15811" w:author="AbbVie02no" w:date="2025-05-15T14:21:00Z"/>
          <w:sz w:val="22"/>
          <w:szCs w:val="22"/>
        </w:rPr>
      </w:pPr>
      <w:del w:id="15812" w:author="AbbVie02no" w:date="2025-05-15T14:21:00Z">
        <w:r w:rsidRPr="009C5EFD">
          <w:rPr>
            <w:sz w:val="22"/>
            <w:szCs w:val="22"/>
          </w:rPr>
          <w:delText>sure oppstøt,</w:delText>
        </w:r>
      </w:del>
    </w:p>
    <w:p w14:paraId="1C123966" w14:textId="097AAFD5" w:rsidR="007B668D" w:rsidRPr="009C5EFD" w:rsidRDefault="00E453CD" w:rsidP="00AF70AD">
      <w:pPr>
        <w:numPr>
          <w:ilvl w:val="0"/>
          <w:numId w:val="9"/>
        </w:numPr>
        <w:tabs>
          <w:tab w:val="clear" w:pos="720"/>
          <w:tab w:val="num" w:pos="540"/>
        </w:tabs>
        <w:suppressAutoHyphens/>
        <w:ind w:left="0" w:firstLine="0"/>
        <w:rPr>
          <w:del w:id="15813" w:author="AbbVie02no" w:date="2025-05-15T14:21:00Z"/>
          <w:sz w:val="22"/>
          <w:szCs w:val="22"/>
        </w:rPr>
      </w:pPr>
      <w:del w:id="15814" w:author="AbbVie02no" w:date="2025-05-15T14:21:00Z">
        <w:r w:rsidRPr="009C5EFD">
          <w:rPr>
            <w:sz w:val="22"/>
            <w:szCs w:val="22"/>
          </w:rPr>
          <w:delText>Sjøgrens syndrom</w:delText>
        </w:r>
        <w:r w:rsidR="007D42E7" w:rsidRPr="009C5EFD">
          <w:rPr>
            <w:sz w:val="22"/>
            <w:szCs w:val="22"/>
          </w:rPr>
          <w:delText xml:space="preserve"> (inkludert tørre øyne og munn)</w:delText>
        </w:r>
        <w:r w:rsidRPr="009C5EFD">
          <w:rPr>
            <w:sz w:val="22"/>
            <w:szCs w:val="22"/>
          </w:rPr>
          <w:delText>,</w:delText>
        </w:r>
      </w:del>
    </w:p>
    <w:p w14:paraId="0230CC82" w14:textId="2E5D9BBE" w:rsidR="007B668D" w:rsidRPr="009C5EFD" w:rsidRDefault="00E453CD" w:rsidP="00AF70AD">
      <w:pPr>
        <w:numPr>
          <w:ilvl w:val="0"/>
          <w:numId w:val="9"/>
        </w:numPr>
        <w:tabs>
          <w:tab w:val="clear" w:pos="720"/>
          <w:tab w:val="num" w:pos="540"/>
        </w:tabs>
        <w:suppressAutoHyphens/>
        <w:ind w:left="0" w:firstLine="0"/>
        <w:rPr>
          <w:del w:id="15815" w:author="AbbVie02no" w:date="2025-05-15T14:21:00Z"/>
          <w:sz w:val="22"/>
          <w:szCs w:val="22"/>
        </w:rPr>
      </w:pPr>
      <w:del w:id="15816" w:author="AbbVie02no" w:date="2025-05-15T14:21:00Z">
        <w:r w:rsidRPr="009C5EFD">
          <w:rPr>
            <w:sz w:val="22"/>
            <w:szCs w:val="22"/>
          </w:rPr>
          <w:lastRenderedPageBreak/>
          <w:delText>kløe,</w:delText>
        </w:r>
      </w:del>
    </w:p>
    <w:p w14:paraId="25225186" w14:textId="40B26AD5" w:rsidR="007B668D" w:rsidRPr="009C5EFD" w:rsidRDefault="00E453CD" w:rsidP="00AF70AD">
      <w:pPr>
        <w:numPr>
          <w:ilvl w:val="0"/>
          <w:numId w:val="9"/>
        </w:numPr>
        <w:tabs>
          <w:tab w:val="clear" w:pos="720"/>
          <w:tab w:val="num" w:pos="540"/>
        </w:tabs>
        <w:suppressAutoHyphens/>
        <w:ind w:left="0" w:firstLine="0"/>
        <w:rPr>
          <w:del w:id="15817" w:author="AbbVie02no" w:date="2025-05-15T14:21:00Z"/>
          <w:sz w:val="22"/>
          <w:szCs w:val="22"/>
        </w:rPr>
      </w:pPr>
      <w:del w:id="15818" w:author="AbbVie02no" w:date="2025-05-15T14:21:00Z">
        <w:r w:rsidRPr="009C5EFD">
          <w:rPr>
            <w:sz w:val="22"/>
            <w:szCs w:val="22"/>
          </w:rPr>
          <w:delText>kløende utslett,</w:delText>
        </w:r>
      </w:del>
    </w:p>
    <w:p w14:paraId="309E414C" w14:textId="38CBAE14" w:rsidR="007B668D" w:rsidRPr="009C5EFD" w:rsidRDefault="00E453CD" w:rsidP="00AF70AD">
      <w:pPr>
        <w:numPr>
          <w:ilvl w:val="0"/>
          <w:numId w:val="9"/>
        </w:numPr>
        <w:tabs>
          <w:tab w:val="clear" w:pos="720"/>
          <w:tab w:val="num" w:pos="540"/>
        </w:tabs>
        <w:suppressAutoHyphens/>
        <w:ind w:left="0" w:firstLine="0"/>
        <w:rPr>
          <w:del w:id="15819" w:author="AbbVie02no" w:date="2025-05-15T14:21:00Z"/>
          <w:sz w:val="22"/>
          <w:szCs w:val="22"/>
        </w:rPr>
      </w:pPr>
      <w:del w:id="15820" w:author="AbbVie02no" w:date="2025-05-15T14:21:00Z">
        <w:r w:rsidRPr="009C5EFD">
          <w:rPr>
            <w:sz w:val="22"/>
            <w:szCs w:val="22"/>
          </w:rPr>
          <w:delText>blåmerke,</w:delText>
        </w:r>
      </w:del>
    </w:p>
    <w:p w14:paraId="423BD341" w14:textId="127BBB38" w:rsidR="007B668D" w:rsidRPr="009C5EFD" w:rsidRDefault="00E453CD" w:rsidP="00AF70AD">
      <w:pPr>
        <w:numPr>
          <w:ilvl w:val="0"/>
          <w:numId w:val="9"/>
        </w:numPr>
        <w:tabs>
          <w:tab w:val="clear" w:pos="720"/>
          <w:tab w:val="num" w:pos="540"/>
        </w:tabs>
        <w:suppressAutoHyphens/>
        <w:ind w:left="0" w:firstLine="0"/>
        <w:rPr>
          <w:del w:id="15821" w:author="AbbVie02no" w:date="2025-05-15T14:21:00Z"/>
          <w:sz w:val="22"/>
          <w:szCs w:val="22"/>
        </w:rPr>
      </w:pPr>
      <w:del w:id="15822" w:author="AbbVie02no" w:date="2025-05-15T14:21:00Z">
        <w:r w:rsidRPr="009C5EFD">
          <w:rPr>
            <w:sz w:val="22"/>
            <w:szCs w:val="22"/>
          </w:rPr>
          <w:delText>hudbetennelse (som eksem),</w:delText>
        </w:r>
      </w:del>
    </w:p>
    <w:p w14:paraId="0C244BDE" w14:textId="73EA7E2A" w:rsidR="007B668D" w:rsidRPr="009C5EFD" w:rsidRDefault="00E453CD" w:rsidP="00AF70AD">
      <w:pPr>
        <w:numPr>
          <w:ilvl w:val="0"/>
          <w:numId w:val="9"/>
        </w:numPr>
        <w:tabs>
          <w:tab w:val="clear" w:pos="720"/>
          <w:tab w:val="num" w:pos="540"/>
        </w:tabs>
        <w:suppressAutoHyphens/>
        <w:ind w:left="0" w:firstLine="0"/>
        <w:rPr>
          <w:del w:id="15823" w:author="AbbVie02no" w:date="2025-05-15T14:21:00Z"/>
          <w:sz w:val="22"/>
          <w:szCs w:val="22"/>
        </w:rPr>
      </w:pPr>
      <w:del w:id="15824" w:author="AbbVie02no" w:date="2025-05-15T14:21:00Z">
        <w:r w:rsidRPr="009C5EFD">
          <w:rPr>
            <w:sz w:val="22"/>
            <w:szCs w:val="22"/>
          </w:rPr>
          <w:delText>brekking av fingernegl og tånegl,</w:delText>
        </w:r>
      </w:del>
    </w:p>
    <w:p w14:paraId="677F42A9" w14:textId="733A640B" w:rsidR="007B668D" w:rsidRPr="009C5EFD" w:rsidRDefault="00E453CD" w:rsidP="00AF70AD">
      <w:pPr>
        <w:numPr>
          <w:ilvl w:val="0"/>
          <w:numId w:val="9"/>
        </w:numPr>
        <w:tabs>
          <w:tab w:val="clear" w:pos="720"/>
          <w:tab w:val="num" w:pos="540"/>
        </w:tabs>
        <w:suppressAutoHyphens/>
        <w:ind w:left="0" w:firstLine="0"/>
        <w:rPr>
          <w:del w:id="15825" w:author="AbbVie02no" w:date="2025-05-15T14:21:00Z"/>
          <w:sz w:val="22"/>
          <w:szCs w:val="22"/>
        </w:rPr>
      </w:pPr>
      <w:del w:id="15826" w:author="AbbVie02no" w:date="2025-05-15T14:21:00Z">
        <w:r w:rsidRPr="009C5EFD">
          <w:rPr>
            <w:sz w:val="22"/>
            <w:szCs w:val="22"/>
          </w:rPr>
          <w:delText>økt svette,</w:delText>
        </w:r>
      </w:del>
    </w:p>
    <w:p w14:paraId="182D4462" w14:textId="483C5BCD" w:rsidR="00AA0F66" w:rsidRPr="009C5EFD" w:rsidRDefault="00E453CD" w:rsidP="00AF70AD">
      <w:pPr>
        <w:numPr>
          <w:ilvl w:val="0"/>
          <w:numId w:val="9"/>
        </w:numPr>
        <w:tabs>
          <w:tab w:val="clear" w:pos="720"/>
          <w:tab w:val="num" w:pos="540"/>
        </w:tabs>
        <w:suppressAutoHyphens/>
        <w:ind w:left="0" w:firstLine="0"/>
        <w:rPr>
          <w:del w:id="15827" w:author="AbbVie02no" w:date="2025-05-15T14:21:00Z"/>
          <w:sz w:val="22"/>
          <w:szCs w:val="22"/>
        </w:rPr>
      </w:pPr>
      <w:del w:id="15828" w:author="AbbVie02no" w:date="2025-05-15T14:21:00Z">
        <w:r w:rsidRPr="009C5EFD">
          <w:rPr>
            <w:sz w:val="22"/>
            <w:szCs w:val="22"/>
          </w:rPr>
          <w:delText>hårtap,</w:delText>
        </w:r>
      </w:del>
    </w:p>
    <w:p w14:paraId="1BA5282A" w14:textId="1C4DF5B2" w:rsidR="00AA0F66" w:rsidRPr="009C5EFD" w:rsidRDefault="00E453CD" w:rsidP="00AF70AD">
      <w:pPr>
        <w:numPr>
          <w:ilvl w:val="0"/>
          <w:numId w:val="9"/>
        </w:numPr>
        <w:tabs>
          <w:tab w:val="clear" w:pos="720"/>
          <w:tab w:val="num" w:pos="540"/>
        </w:tabs>
        <w:suppressAutoHyphens/>
        <w:ind w:left="0" w:firstLine="0"/>
        <w:rPr>
          <w:del w:id="15829" w:author="AbbVie02no" w:date="2025-05-15T14:21:00Z"/>
          <w:sz w:val="22"/>
          <w:szCs w:val="22"/>
        </w:rPr>
      </w:pPr>
      <w:del w:id="15830" w:author="AbbVie02no" w:date="2025-05-15T14:21:00Z">
        <w:r w:rsidRPr="009C5EFD">
          <w:rPr>
            <w:sz w:val="22"/>
            <w:szCs w:val="22"/>
          </w:rPr>
          <w:delText>nytt tilfelle eller forverring av psoriasis,</w:delText>
        </w:r>
      </w:del>
    </w:p>
    <w:p w14:paraId="2A028E74" w14:textId="6434C28C" w:rsidR="007B668D" w:rsidRPr="009C5EFD" w:rsidRDefault="00E453CD" w:rsidP="00AF70AD">
      <w:pPr>
        <w:numPr>
          <w:ilvl w:val="0"/>
          <w:numId w:val="9"/>
        </w:numPr>
        <w:tabs>
          <w:tab w:val="clear" w:pos="720"/>
          <w:tab w:val="num" w:pos="540"/>
        </w:tabs>
        <w:suppressAutoHyphens/>
        <w:ind w:left="0" w:firstLine="0"/>
        <w:rPr>
          <w:del w:id="15831" w:author="AbbVie02no" w:date="2025-05-15T14:21:00Z"/>
          <w:sz w:val="22"/>
          <w:szCs w:val="22"/>
        </w:rPr>
      </w:pPr>
      <w:del w:id="15832" w:author="AbbVie02no" w:date="2025-05-15T14:21:00Z">
        <w:r w:rsidRPr="009C5EFD">
          <w:rPr>
            <w:sz w:val="22"/>
            <w:szCs w:val="22"/>
          </w:rPr>
          <w:delText>muskelkramper,</w:delText>
        </w:r>
      </w:del>
    </w:p>
    <w:p w14:paraId="3F1FBEA6" w14:textId="5E9ACC24" w:rsidR="007B668D" w:rsidRPr="009C5EFD" w:rsidRDefault="00E453CD" w:rsidP="00AF70AD">
      <w:pPr>
        <w:numPr>
          <w:ilvl w:val="0"/>
          <w:numId w:val="9"/>
        </w:numPr>
        <w:tabs>
          <w:tab w:val="clear" w:pos="720"/>
          <w:tab w:val="num" w:pos="540"/>
        </w:tabs>
        <w:suppressAutoHyphens/>
        <w:ind w:left="0" w:firstLine="0"/>
        <w:rPr>
          <w:del w:id="15833" w:author="AbbVie02no" w:date="2025-05-15T14:21:00Z"/>
          <w:sz w:val="22"/>
          <w:szCs w:val="22"/>
        </w:rPr>
      </w:pPr>
      <w:del w:id="15834" w:author="AbbVie02no" w:date="2025-05-15T14:21:00Z">
        <w:r w:rsidRPr="009C5EFD">
          <w:rPr>
            <w:sz w:val="22"/>
            <w:szCs w:val="22"/>
          </w:rPr>
          <w:delText xml:space="preserve">blod i urin, </w:delText>
        </w:r>
      </w:del>
    </w:p>
    <w:p w14:paraId="3FE1BD39" w14:textId="6BFC6617" w:rsidR="007B668D" w:rsidRPr="009C5EFD" w:rsidRDefault="00E453CD" w:rsidP="00AF70AD">
      <w:pPr>
        <w:numPr>
          <w:ilvl w:val="0"/>
          <w:numId w:val="9"/>
        </w:numPr>
        <w:tabs>
          <w:tab w:val="clear" w:pos="720"/>
          <w:tab w:val="num" w:pos="540"/>
        </w:tabs>
        <w:suppressAutoHyphens/>
        <w:ind w:left="0" w:firstLine="0"/>
        <w:rPr>
          <w:del w:id="15835" w:author="AbbVie02no" w:date="2025-05-15T14:21:00Z"/>
          <w:sz w:val="22"/>
          <w:szCs w:val="22"/>
        </w:rPr>
      </w:pPr>
      <w:del w:id="15836" w:author="AbbVie02no" w:date="2025-05-15T14:21:00Z">
        <w:r w:rsidRPr="009C5EFD">
          <w:rPr>
            <w:sz w:val="22"/>
            <w:szCs w:val="22"/>
          </w:rPr>
          <w:delText>nyreproblemer,</w:delText>
        </w:r>
      </w:del>
    </w:p>
    <w:p w14:paraId="52250228" w14:textId="0009754D" w:rsidR="007B668D" w:rsidRPr="009C5EFD" w:rsidRDefault="00E453CD" w:rsidP="00AF70AD">
      <w:pPr>
        <w:numPr>
          <w:ilvl w:val="0"/>
          <w:numId w:val="9"/>
        </w:numPr>
        <w:tabs>
          <w:tab w:val="clear" w:pos="720"/>
          <w:tab w:val="num" w:pos="540"/>
        </w:tabs>
        <w:suppressAutoHyphens/>
        <w:ind w:left="0" w:firstLine="0"/>
        <w:rPr>
          <w:del w:id="15837" w:author="AbbVie02no" w:date="2025-05-15T14:21:00Z"/>
          <w:sz w:val="22"/>
          <w:szCs w:val="22"/>
        </w:rPr>
      </w:pPr>
      <w:del w:id="15838" w:author="AbbVie02no" w:date="2025-05-15T14:21:00Z">
        <w:r w:rsidRPr="009C5EFD">
          <w:rPr>
            <w:sz w:val="22"/>
            <w:szCs w:val="22"/>
          </w:rPr>
          <w:delText>brystsmerte</w:delText>
        </w:r>
        <w:r w:rsidR="00CE3E50" w:rsidRPr="009C5EFD">
          <w:rPr>
            <w:sz w:val="22"/>
            <w:szCs w:val="22"/>
          </w:rPr>
          <w:delText>r</w:delText>
        </w:r>
        <w:r w:rsidRPr="009C5EFD">
          <w:rPr>
            <w:sz w:val="22"/>
            <w:szCs w:val="22"/>
          </w:rPr>
          <w:delText>,</w:delText>
        </w:r>
      </w:del>
    </w:p>
    <w:p w14:paraId="70D09930" w14:textId="5A606C98" w:rsidR="007B668D" w:rsidRPr="009C5EFD" w:rsidRDefault="00E453CD" w:rsidP="00AF70AD">
      <w:pPr>
        <w:numPr>
          <w:ilvl w:val="0"/>
          <w:numId w:val="9"/>
        </w:numPr>
        <w:tabs>
          <w:tab w:val="clear" w:pos="720"/>
          <w:tab w:val="num" w:pos="540"/>
        </w:tabs>
        <w:suppressAutoHyphens/>
        <w:ind w:left="0" w:firstLine="0"/>
        <w:rPr>
          <w:del w:id="15839" w:author="AbbVie02no" w:date="2025-05-15T14:21:00Z"/>
          <w:sz w:val="22"/>
          <w:szCs w:val="22"/>
        </w:rPr>
      </w:pPr>
      <w:del w:id="15840" w:author="AbbVie02no" w:date="2025-05-15T14:21:00Z">
        <w:r w:rsidRPr="009C5EFD">
          <w:rPr>
            <w:sz w:val="22"/>
            <w:szCs w:val="22"/>
          </w:rPr>
          <w:delText>ødem,</w:delText>
        </w:r>
      </w:del>
    </w:p>
    <w:p w14:paraId="0D91AC6B" w14:textId="7E154700" w:rsidR="00867ED0" w:rsidRPr="009C5EFD" w:rsidRDefault="00E453CD" w:rsidP="00AF70AD">
      <w:pPr>
        <w:numPr>
          <w:ilvl w:val="0"/>
          <w:numId w:val="9"/>
        </w:numPr>
        <w:tabs>
          <w:tab w:val="clear" w:pos="720"/>
          <w:tab w:val="num" w:pos="540"/>
        </w:tabs>
        <w:suppressAutoHyphens/>
        <w:ind w:left="0" w:firstLine="0"/>
        <w:rPr>
          <w:del w:id="15841" w:author="AbbVie02no" w:date="2025-05-15T14:21:00Z"/>
          <w:sz w:val="22"/>
          <w:szCs w:val="22"/>
        </w:rPr>
      </w:pPr>
      <w:del w:id="15842" w:author="AbbVie02no" w:date="2025-05-15T14:21:00Z">
        <w:r w:rsidRPr="009C5EFD">
          <w:rPr>
            <w:sz w:val="22"/>
            <w:szCs w:val="22"/>
          </w:rPr>
          <w:delText>feber,</w:delText>
        </w:r>
      </w:del>
    </w:p>
    <w:p w14:paraId="28904097" w14:textId="523BF87B" w:rsidR="007B668D" w:rsidRPr="009C5EFD" w:rsidRDefault="00E453CD" w:rsidP="00AF70AD">
      <w:pPr>
        <w:numPr>
          <w:ilvl w:val="0"/>
          <w:numId w:val="9"/>
        </w:numPr>
        <w:tabs>
          <w:tab w:val="clear" w:pos="720"/>
          <w:tab w:val="num" w:pos="540"/>
        </w:tabs>
        <w:suppressAutoHyphens/>
        <w:ind w:left="0" w:firstLine="0"/>
        <w:rPr>
          <w:del w:id="15843" w:author="AbbVie02no" w:date="2025-05-15T14:21:00Z"/>
          <w:sz w:val="22"/>
          <w:szCs w:val="22"/>
        </w:rPr>
      </w:pPr>
      <w:del w:id="15844" w:author="AbbVie02no" w:date="2025-05-15T14:21:00Z">
        <w:r w:rsidRPr="009C5EFD">
          <w:rPr>
            <w:sz w:val="22"/>
            <w:szCs w:val="22"/>
          </w:rPr>
          <w:delText>reduksjon i blodplater som øker risiko for blødning eller blåmerke</w:delText>
        </w:r>
        <w:r w:rsidR="00C742D0" w:rsidRPr="009C5EFD">
          <w:rPr>
            <w:sz w:val="22"/>
            <w:szCs w:val="22"/>
          </w:rPr>
          <w:delText>,</w:delText>
        </w:r>
      </w:del>
    </w:p>
    <w:p w14:paraId="410AB1C7" w14:textId="7B27B1A8" w:rsidR="00C742D0" w:rsidRPr="009C5EFD" w:rsidRDefault="00E453CD" w:rsidP="00AF70AD">
      <w:pPr>
        <w:numPr>
          <w:ilvl w:val="0"/>
          <w:numId w:val="9"/>
        </w:numPr>
        <w:tabs>
          <w:tab w:val="clear" w:pos="720"/>
          <w:tab w:val="num" w:pos="540"/>
        </w:tabs>
        <w:suppressAutoHyphens/>
        <w:ind w:left="0" w:firstLine="0"/>
        <w:rPr>
          <w:del w:id="15845" w:author="AbbVie02no" w:date="2025-05-15T14:21:00Z"/>
          <w:sz w:val="22"/>
          <w:szCs w:val="22"/>
        </w:rPr>
      </w:pPr>
      <w:del w:id="15846" w:author="AbbVie02no" w:date="2025-05-15T14:21:00Z">
        <w:r w:rsidRPr="009C5EFD">
          <w:rPr>
            <w:sz w:val="22"/>
            <w:szCs w:val="22"/>
          </w:rPr>
          <w:delText>svekket heling.</w:delText>
        </w:r>
      </w:del>
    </w:p>
    <w:p w14:paraId="5252FFBA" w14:textId="3CD77297" w:rsidR="003B66F8" w:rsidRPr="009C5EFD" w:rsidRDefault="003B66F8" w:rsidP="009C5EFD">
      <w:pPr>
        <w:suppressAutoHyphens/>
        <w:rPr>
          <w:del w:id="15847" w:author="AbbVie02no" w:date="2025-05-15T14:21:00Z"/>
          <w:sz w:val="22"/>
          <w:szCs w:val="22"/>
        </w:rPr>
      </w:pPr>
    </w:p>
    <w:p w14:paraId="552953A4" w14:textId="3FBB1308" w:rsidR="00C13645" w:rsidRDefault="00E453CD" w:rsidP="00AF70AD">
      <w:pPr>
        <w:keepNext/>
        <w:suppressAutoHyphens/>
        <w:rPr>
          <w:del w:id="15848" w:author="AbbVie02no" w:date="2025-05-15T14:21:00Z"/>
          <w:sz w:val="22"/>
          <w:szCs w:val="22"/>
        </w:rPr>
      </w:pPr>
      <w:del w:id="15849" w:author="AbbVie02no" w:date="2025-05-15T14:21:00Z">
        <w:r w:rsidRPr="006936CB">
          <w:rPr>
            <w:sz w:val="22"/>
            <w:szCs w:val="22"/>
          </w:rPr>
          <w:delText>Mindre vanlige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00F30EDA"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877BAD" w:rsidRPr="009C5EFD">
          <w:rPr>
            <w:sz w:val="22"/>
            <w:szCs w:val="22"/>
          </w:rPr>
          <w:delText>av</w:delText>
        </w:r>
        <w:r w:rsidRPr="009C5EFD">
          <w:rPr>
            <w:sz w:val="22"/>
            <w:szCs w:val="22"/>
          </w:rPr>
          <w:delText xml:space="preserve"> 100 </w:delText>
        </w:r>
        <w:r w:rsidR="00F30EDA" w:rsidRPr="009C5EFD">
          <w:rPr>
            <w:sz w:val="22"/>
            <w:szCs w:val="22"/>
          </w:rPr>
          <w:delText>personer</w:delText>
        </w:r>
        <w:r w:rsidRPr="009C5EFD">
          <w:rPr>
            <w:sz w:val="22"/>
            <w:szCs w:val="22"/>
          </w:rPr>
          <w:delText>)</w:delText>
        </w:r>
      </w:del>
    </w:p>
    <w:p w14:paraId="2D7AA8F3" w14:textId="06D5F852" w:rsidR="007B668D" w:rsidRPr="009C5EFD" w:rsidRDefault="007B668D" w:rsidP="00AF70AD">
      <w:pPr>
        <w:keepNext/>
        <w:suppressAutoHyphens/>
        <w:rPr>
          <w:del w:id="15850" w:author="AbbVie02no" w:date="2025-05-15T14:21:00Z"/>
          <w:sz w:val="22"/>
          <w:szCs w:val="22"/>
        </w:rPr>
      </w:pPr>
    </w:p>
    <w:p w14:paraId="55B03B1B" w14:textId="1249A664" w:rsidR="007B668D" w:rsidRPr="009C5EFD" w:rsidRDefault="00E453CD" w:rsidP="00776A84">
      <w:pPr>
        <w:numPr>
          <w:ilvl w:val="0"/>
          <w:numId w:val="16"/>
        </w:numPr>
        <w:tabs>
          <w:tab w:val="clear" w:pos="720"/>
          <w:tab w:val="num" w:pos="540"/>
        </w:tabs>
        <w:suppressAutoHyphens/>
        <w:ind w:left="539" w:hanging="539"/>
        <w:rPr>
          <w:del w:id="15851" w:author="AbbVie02no" w:date="2025-05-15T14:21:00Z"/>
          <w:sz w:val="22"/>
          <w:szCs w:val="22"/>
        </w:rPr>
      </w:pPr>
      <w:del w:id="15852" w:author="AbbVie02no" w:date="2025-05-15T14:21:00Z">
        <w:r w:rsidRPr="009C5EFD">
          <w:rPr>
            <w:sz w:val="22"/>
            <w:szCs w:val="22"/>
          </w:rPr>
          <w:delText xml:space="preserve">opportunistiske infeksjoner (inkludert tuberkulose og andre infeksjoner som oppstår </w:delText>
        </w:r>
        <w:r w:rsidR="00CA31D4">
          <w:rPr>
            <w:sz w:val="22"/>
            <w:szCs w:val="22"/>
          </w:rPr>
          <w:delText>ved svekket immunforsvar</w:delText>
        </w:r>
        <w:r w:rsidRPr="009C5EFD">
          <w:rPr>
            <w:sz w:val="22"/>
            <w:szCs w:val="22"/>
          </w:rPr>
          <w:delText>),</w:delText>
        </w:r>
      </w:del>
    </w:p>
    <w:p w14:paraId="64D869ED" w14:textId="2992171A" w:rsidR="007B668D" w:rsidRPr="009C5EFD" w:rsidRDefault="00E453CD" w:rsidP="00EE4677">
      <w:pPr>
        <w:numPr>
          <w:ilvl w:val="0"/>
          <w:numId w:val="16"/>
        </w:numPr>
        <w:tabs>
          <w:tab w:val="clear" w:pos="720"/>
          <w:tab w:val="num" w:pos="540"/>
        </w:tabs>
        <w:suppressAutoHyphens/>
        <w:ind w:left="540" w:hanging="540"/>
        <w:rPr>
          <w:del w:id="15853" w:author="AbbVie02no" w:date="2025-05-15T14:21:00Z"/>
          <w:sz w:val="22"/>
          <w:szCs w:val="22"/>
        </w:rPr>
      </w:pPr>
      <w:del w:id="15854" w:author="AbbVie02no" w:date="2025-05-15T14:21:00Z">
        <w:r w:rsidRPr="009C5EFD">
          <w:rPr>
            <w:sz w:val="22"/>
            <w:szCs w:val="22"/>
          </w:rPr>
          <w:delText>nevrologiske sykdommer (inkludert hjernehinnebetennelse),</w:delText>
        </w:r>
      </w:del>
    </w:p>
    <w:p w14:paraId="5D64913F" w14:textId="0FD0D6D3" w:rsidR="007B668D" w:rsidRPr="009C5EFD" w:rsidRDefault="00E453CD" w:rsidP="00EE4677">
      <w:pPr>
        <w:numPr>
          <w:ilvl w:val="0"/>
          <w:numId w:val="16"/>
        </w:numPr>
        <w:tabs>
          <w:tab w:val="clear" w:pos="720"/>
          <w:tab w:val="num" w:pos="540"/>
        </w:tabs>
        <w:suppressAutoHyphens/>
        <w:ind w:left="540" w:hanging="540"/>
        <w:rPr>
          <w:del w:id="15855" w:author="AbbVie02no" w:date="2025-05-15T14:21:00Z"/>
          <w:sz w:val="22"/>
          <w:szCs w:val="22"/>
        </w:rPr>
      </w:pPr>
      <w:del w:id="15856" w:author="AbbVie02no" w:date="2025-05-15T14:21:00Z">
        <w:r w:rsidRPr="009C5EFD">
          <w:rPr>
            <w:sz w:val="22"/>
            <w:szCs w:val="22"/>
          </w:rPr>
          <w:delText>øyebetennelser,</w:delText>
        </w:r>
      </w:del>
    </w:p>
    <w:p w14:paraId="76250A28" w14:textId="546F8F94" w:rsidR="007B668D" w:rsidRPr="009C5EFD" w:rsidRDefault="00E453CD" w:rsidP="00EE4677">
      <w:pPr>
        <w:numPr>
          <w:ilvl w:val="0"/>
          <w:numId w:val="16"/>
        </w:numPr>
        <w:tabs>
          <w:tab w:val="clear" w:pos="720"/>
          <w:tab w:val="num" w:pos="540"/>
        </w:tabs>
        <w:suppressAutoHyphens/>
        <w:ind w:left="540" w:hanging="540"/>
        <w:rPr>
          <w:del w:id="15857" w:author="AbbVie02no" w:date="2025-05-15T14:21:00Z"/>
          <w:sz w:val="22"/>
          <w:szCs w:val="22"/>
        </w:rPr>
      </w:pPr>
      <w:del w:id="15858" w:author="AbbVie02no" w:date="2025-05-15T14:21:00Z">
        <w:r w:rsidRPr="009C5EFD">
          <w:rPr>
            <w:sz w:val="22"/>
            <w:szCs w:val="22"/>
          </w:rPr>
          <w:delText>bakterieinfeksjoner,</w:delText>
        </w:r>
      </w:del>
    </w:p>
    <w:p w14:paraId="06038C6F" w14:textId="032BBCD2" w:rsidR="00AA0F66" w:rsidRPr="009C5EFD" w:rsidRDefault="00E453CD" w:rsidP="00EE4677">
      <w:pPr>
        <w:numPr>
          <w:ilvl w:val="0"/>
          <w:numId w:val="16"/>
        </w:numPr>
        <w:tabs>
          <w:tab w:val="clear" w:pos="720"/>
          <w:tab w:val="num" w:pos="540"/>
        </w:tabs>
        <w:suppressAutoHyphens/>
        <w:ind w:left="540" w:hanging="540"/>
        <w:rPr>
          <w:del w:id="15859" w:author="AbbVie02no" w:date="2025-05-15T14:21:00Z"/>
          <w:sz w:val="22"/>
          <w:szCs w:val="22"/>
        </w:rPr>
      </w:pPr>
      <w:del w:id="15860" w:author="AbbVie02no" w:date="2025-05-15T14:21:00Z">
        <w:r w:rsidRPr="009C5EFD">
          <w:rPr>
            <w:sz w:val="22"/>
            <w:szCs w:val="22"/>
          </w:rPr>
          <w:delText>divertikulitt (betennelse og infeksjon i tykktarmen),</w:delText>
        </w:r>
      </w:del>
    </w:p>
    <w:p w14:paraId="512F2104" w14:textId="13DA0A75" w:rsidR="00C742D0" w:rsidRPr="009C5EFD" w:rsidRDefault="00E453CD" w:rsidP="00EE4677">
      <w:pPr>
        <w:numPr>
          <w:ilvl w:val="0"/>
          <w:numId w:val="16"/>
        </w:numPr>
        <w:tabs>
          <w:tab w:val="clear" w:pos="720"/>
          <w:tab w:val="num" w:pos="540"/>
        </w:tabs>
        <w:suppressAutoHyphens/>
        <w:ind w:left="540" w:hanging="540"/>
        <w:rPr>
          <w:del w:id="15861" w:author="AbbVie02no" w:date="2025-05-15T14:21:00Z"/>
          <w:sz w:val="22"/>
          <w:szCs w:val="22"/>
        </w:rPr>
      </w:pPr>
      <w:del w:id="15862" w:author="AbbVie02no" w:date="2025-05-15T14:21:00Z">
        <w:r w:rsidRPr="009C5EFD">
          <w:rPr>
            <w:sz w:val="22"/>
            <w:szCs w:val="22"/>
          </w:rPr>
          <w:delText>kreft,</w:delText>
        </w:r>
      </w:del>
    </w:p>
    <w:p w14:paraId="1812741E" w14:textId="0D8AD3C2" w:rsidR="00C742D0" w:rsidRPr="009C5EFD" w:rsidRDefault="00E453CD" w:rsidP="00EE4677">
      <w:pPr>
        <w:numPr>
          <w:ilvl w:val="0"/>
          <w:numId w:val="16"/>
        </w:numPr>
        <w:tabs>
          <w:tab w:val="clear" w:pos="720"/>
          <w:tab w:val="num" w:pos="540"/>
        </w:tabs>
        <w:suppressAutoHyphens/>
        <w:ind w:left="540" w:hanging="540"/>
        <w:rPr>
          <w:del w:id="15863" w:author="AbbVie02no" w:date="2025-05-15T14:21:00Z"/>
          <w:sz w:val="22"/>
          <w:szCs w:val="22"/>
        </w:rPr>
      </w:pPr>
      <w:del w:id="15864" w:author="AbbVie02no" w:date="2025-05-15T14:21:00Z">
        <w:r w:rsidRPr="009C5EFD">
          <w:rPr>
            <w:sz w:val="22"/>
            <w:szCs w:val="22"/>
          </w:rPr>
          <w:delText>kreft som påvirker lymf</w:delText>
        </w:r>
        <w:r w:rsidR="007D42E7" w:rsidRPr="009C5EFD">
          <w:rPr>
            <w:sz w:val="22"/>
            <w:szCs w:val="22"/>
          </w:rPr>
          <w:delText>e</w:delText>
        </w:r>
        <w:r w:rsidRPr="009C5EFD">
          <w:rPr>
            <w:sz w:val="22"/>
            <w:szCs w:val="22"/>
          </w:rPr>
          <w:delText>systemet,</w:delText>
        </w:r>
      </w:del>
    </w:p>
    <w:p w14:paraId="16FD5853" w14:textId="37C790CF" w:rsidR="00C742D0" w:rsidRPr="009C5EFD" w:rsidRDefault="00E453CD" w:rsidP="00EE4677">
      <w:pPr>
        <w:numPr>
          <w:ilvl w:val="0"/>
          <w:numId w:val="16"/>
        </w:numPr>
        <w:tabs>
          <w:tab w:val="clear" w:pos="720"/>
          <w:tab w:val="num" w:pos="540"/>
        </w:tabs>
        <w:suppressAutoHyphens/>
        <w:ind w:left="540" w:hanging="540"/>
        <w:rPr>
          <w:del w:id="15865" w:author="AbbVie02no" w:date="2025-05-15T14:21:00Z"/>
          <w:sz w:val="22"/>
          <w:szCs w:val="22"/>
        </w:rPr>
      </w:pPr>
      <w:del w:id="15866" w:author="AbbVie02no" w:date="2025-05-15T14:21:00Z">
        <w:r w:rsidRPr="009C5EFD">
          <w:rPr>
            <w:sz w:val="22"/>
            <w:szCs w:val="22"/>
          </w:rPr>
          <w:delText>melanom,</w:delText>
        </w:r>
      </w:del>
    </w:p>
    <w:p w14:paraId="10322F30" w14:textId="23C8759A" w:rsidR="00705CC8" w:rsidRPr="009C5EFD" w:rsidRDefault="00E453CD" w:rsidP="00EE4677">
      <w:pPr>
        <w:numPr>
          <w:ilvl w:val="0"/>
          <w:numId w:val="16"/>
        </w:numPr>
        <w:tabs>
          <w:tab w:val="clear" w:pos="720"/>
          <w:tab w:val="num" w:pos="540"/>
        </w:tabs>
        <w:suppressAutoHyphens/>
        <w:ind w:left="540" w:hanging="540"/>
        <w:rPr>
          <w:del w:id="15867" w:author="AbbVie02no" w:date="2025-05-15T14:21:00Z"/>
          <w:sz w:val="22"/>
          <w:szCs w:val="22"/>
        </w:rPr>
      </w:pPr>
      <w:del w:id="15868" w:author="AbbVie02no" w:date="2025-05-15T14:21:00Z">
        <w:r w:rsidRPr="009C5EFD">
          <w:rPr>
            <w:sz w:val="22"/>
            <w:szCs w:val="22"/>
          </w:rPr>
          <w:delText xml:space="preserve">forstyrrelser </w:delText>
        </w:r>
        <w:r w:rsidR="00ED2157" w:rsidRPr="009C5EFD">
          <w:rPr>
            <w:sz w:val="22"/>
            <w:szCs w:val="22"/>
          </w:rPr>
          <w:delText xml:space="preserve">i immunsystemet </w:delText>
        </w:r>
        <w:r w:rsidRPr="009C5EFD">
          <w:rPr>
            <w:sz w:val="22"/>
            <w:szCs w:val="22"/>
          </w:rPr>
          <w:delText>som kan påvirke lungene, hud</w:delText>
        </w:r>
        <w:r w:rsidR="00ED2157" w:rsidRPr="009C5EFD">
          <w:rPr>
            <w:sz w:val="22"/>
            <w:szCs w:val="22"/>
          </w:rPr>
          <w:delText>en</w:delText>
        </w:r>
        <w:r w:rsidRPr="009C5EFD">
          <w:rPr>
            <w:sz w:val="22"/>
            <w:szCs w:val="22"/>
          </w:rPr>
          <w:delText xml:space="preserve"> og lymfeknute</w:delText>
        </w:r>
        <w:r w:rsidR="00ED2157" w:rsidRPr="009C5EFD">
          <w:rPr>
            <w:sz w:val="22"/>
            <w:szCs w:val="22"/>
          </w:rPr>
          <w:delText>ne</w:delText>
        </w:r>
        <w:r w:rsidRPr="009C5EFD">
          <w:rPr>
            <w:sz w:val="22"/>
            <w:szCs w:val="22"/>
          </w:rPr>
          <w:delText xml:space="preserve"> (</w:delText>
        </w:r>
        <w:r w:rsidR="00ED2157" w:rsidRPr="009C5EFD">
          <w:rPr>
            <w:sz w:val="22"/>
            <w:szCs w:val="22"/>
          </w:rPr>
          <w:delText xml:space="preserve">vises </w:delText>
        </w:r>
        <w:r w:rsidR="007D42E7" w:rsidRPr="009C5EFD">
          <w:rPr>
            <w:sz w:val="22"/>
            <w:szCs w:val="22"/>
          </w:rPr>
          <w:delText>vanligvis</w:delText>
        </w:r>
        <w:r w:rsidRPr="009C5EFD">
          <w:rPr>
            <w:sz w:val="22"/>
            <w:szCs w:val="22"/>
          </w:rPr>
          <w:delText xml:space="preserve"> som sarkoidose),</w:delText>
        </w:r>
      </w:del>
    </w:p>
    <w:p w14:paraId="7048FF67" w14:textId="1C37FEA2" w:rsidR="00C3739E" w:rsidRPr="009C5EFD" w:rsidRDefault="00E453CD" w:rsidP="00EE4677">
      <w:pPr>
        <w:numPr>
          <w:ilvl w:val="0"/>
          <w:numId w:val="16"/>
        </w:numPr>
        <w:tabs>
          <w:tab w:val="clear" w:pos="720"/>
          <w:tab w:val="num" w:pos="540"/>
        </w:tabs>
        <w:suppressAutoHyphens/>
        <w:ind w:left="540" w:hanging="540"/>
        <w:rPr>
          <w:del w:id="15869" w:author="AbbVie02no" w:date="2025-05-15T14:21:00Z"/>
          <w:sz w:val="22"/>
          <w:szCs w:val="22"/>
        </w:rPr>
      </w:pPr>
      <w:del w:id="15870" w:author="AbbVie02no" w:date="2025-05-15T14:21:00Z">
        <w:r w:rsidRPr="009C5EFD">
          <w:rPr>
            <w:sz w:val="22"/>
            <w:szCs w:val="22"/>
          </w:rPr>
          <w:delText>vaskulitt (betennelse i blodårene),</w:delText>
        </w:r>
      </w:del>
    </w:p>
    <w:p w14:paraId="3B7B10BF" w14:textId="7520A82F" w:rsidR="007B668D" w:rsidRPr="009C5EFD" w:rsidRDefault="00E453CD" w:rsidP="00EE4677">
      <w:pPr>
        <w:numPr>
          <w:ilvl w:val="0"/>
          <w:numId w:val="16"/>
        </w:numPr>
        <w:tabs>
          <w:tab w:val="clear" w:pos="720"/>
          <w:tab w:val="num" w:pos="540"/>
        </w:tabs>
        <w:suppressAutoHyphens/>
        <w:ind w:left="540" w:hanging="540"/>
        <w:rPr>
          <w:del w:id="15871" w:author="AbbVie02no" w:date="2025-05-15T14:21:00Z"/>
          <w:sz w:val="22"/>
          <w:szCs w:val="22"/>
        </w:rPr>
      </w:pPr>
      <w:del w:id="15872" w:author="AbbVie02no" w:date="2025-05-15T14:21:00Z">
        <w:r w:rsidRPr="009C5EFD">
          <w:rPr>
            <w:sz w:val="22"/>
            <w:szCs w:val="22"/>
          </w:rPr>
          <w:delText>skjelving,</w:delText>
        </w:r>
      </w:del>
    </w:p>
    <w:p w14:paraId="7B3E52D0" w14:textId="43A3A820" w:rsidR="003F317F" w:rsidRPr="009C5EFD" w:rsidRDefault="00E453CD" w:rsidP="00EE4677">
      <w:pPr>
        <w:numPr>
          <w:ilvl w:val="0"/>
          <w:numId w:val="16"/>
        </w:numPr>
        <w:tabs>
          <w:tab w:val="clear" w:pos="720"/>
          <w:tab w:val="num" w:pos="540"/>
        </w:tabs>
        <w:suppressAutoHyphens/>
        <w:ind w:left="540" w:hanging="540"/>
        <w:rPr>
          <w:del w:id="15873" w:author="AbbVie02no" w:date="2025-05-15T14:21:00Z"/>
          <w:sz w:val="22"/>
          <w:szCs w:val="22"/>
        </w:rPr>
      </w:pPr>
      <w:del w:id="15874" w:author="AbbVie02no" w:date="2025-05-15T14:21:00Z">
        <w:r w:rsidRPr="009C5EFD">
          <w:rPr>
            <w:sz w:val="22"/>
            <w:szCs w:val="22"/>
          </w:rPr>
          <w:delText>ne</w:delText>
        </w:r>
        <w:r w:rsidR="00523824">
          <w:rPr>
            <w:sz w:val="22"/>
            <w:szCs w:val="22"/>
          </w:rPr>
          <w:delText>v</w:delText>
        </w:r>
        <w:r w:rsidRPr="009C5EFD">
          <w:rPr>
            <w:sz w:val="22"/>
            <w:szCs w:val="22"/>
          </w:rPr>
          <w:delText>ropati,</w:delText>
        </w:r>
      </w:del>
    </w:p>
    <w:p w14:paraId="20FBF731" w14:textId="557580F0" w:rsidR="00AA0F66" w:rsidRPr="009C5EFD" w:rsidRDefault="00E453CD" w:rsidP="00EE4677">
      <w:pPr>
        <w:numPr>
          <w:ilvl w:val="0"/>
          <w:numId w:val="16"/>
        </w:numPr>
        <w:tabs>
          <w:tab w:val="clear" w:pos="720"/>
          <w:tab w:val="num" w:pos="540"/>
        </w:tabs>
        <w:suppressAutoHyphens/>
        <w:ind w:left="540" w:hanging="540"/>
        <w:rPr>
          <w:del w:id="15875" w:author="AbbVie02no" w:date="2025-05-15T14:21:00Z"/>
          <w:sz w:val="22"/>
          <w:szCs w:val="22"/>
        </w:rPr>
      </w:pPr>
      <w:del w:id="15876" w:author="AbbVie02no" w:date="2025-05-15T14:21:00Z">
        <w:r w:rsidRPr="009C5EFD">
          <w:rPr>
            <w:sz w:val="22"/>
            <w:szCs w:val="22"/>
          </w:rPr>
          <w:delText>slag,</w:delText>
        </w:r>
      </w:del>
    </w:p>
    <w:p w14:paraId="7D46CF90" w14:textId="12B6D50C" w:rsidR="007B668D" w:rsidRPr="009C5EFD" w:rsidRDefault="00E453CD" w:rsidP="00EE4677">
      <w:pPr>
        <w:numPr>
          <w:ilvl w:val="0"/>
          <w:numId w:val="16"/>
        </w:numPr>
        <w:tabs>
          <w:tab w:val="clear" w:pos="720"/>
          <w:tab w:val="num" w:pos="540"/>
        </w:tabs>
        <w:suppressAutoHyphens/>
        <w:ind w:left="540" w:hanging="540"/>
        <w:rPr>
          <w:del w:id="15877" w:author="AbbVie02no" w:date="2025-05-15T14:21:00Z"/>
          <w:sz w:val="22"/>
          <w:szCs w:val="22"/>
        </w:rPr>
      </w:pPr>
      <w:del w:id="15878" w:author="AbbVie02no" w:date="2025-05-15T14:21:00Z">
        <w:r w:rsidRPr="009C5EFD">
          <w:rPr>
            <w:sz w:val="22"/>
            <w:szCs w:val="22"/>
          </w:rPr>
          <w:delText>hørseltap, øresus,</w:delText>
        </w:r>
      </w:del>
    </w:p>
    <w:p w14:paraId="2095D36E" w14:textId="2EF97954" w:rsidR="007B668D" w:rsidRPr="009C5EFD" w:rsidRDefault="00E453CD" w:rsidP="00EE4677">
      <w:pPr>
        <w:numPr>
          <w:ilvl w:val="0"/>
          <w:numId w:val="16"/>
        </w:numPr>
        <w:tabs>
          <w:tab w:val="clear" w:pos="720"/>
          <w:tab w:val="num" w:pos="540"/>
        </w:tabs>
        <w:suppressAutoHyphens/>
        <w:ind w:left="540" w:hanging="540"/>
        <w:rPr>
          <w:del w:id="15879" w:author="AbbVie02no" w:date="2025-05-15T14:21:00Z"/>
          <w:sz w:val="22"/>
          <w:szCs w:val="22"/>
        </w:rPr>
      </w:pPr>
      <w:del w:id="15880" w:author="AbbVie02no" w:date="2025-05-15T14:21:00Z">
        <w:r w:rsidRPr="009C5EFD">
          <w:rPr>
            <w:sz w:val="22"/>
            <w:szCs w:val="22"/>
          </w:rPr>
          <w:delText>følelse av at hjertet slår uregelmessig,</w:delText>
        </w:r>
      </w:del>
    </w:p>
    <w:p w14:paraId="2EDCF037" w14:textId="0EEE3F99" w:rsidR="007B668D" w:rsidRPr="009C5EFD" w:rsidRDefault="00E453CD" w:rsidP="00EE4677">
      <w:pPr>
        <w:numPr>
          <w:ilvl w:val="0"/>
          <w:numId w:val="16"/>
        </w:numPr>
        <w:tabs>
          <w:tab w:val="clear" w:pos="720"/>
          <w:tab w:val="num" w:pos="540"/>
        </w:tabs>
        <w:suppressAutoHyphens/>
        <w:ind w:left="540" w:hanging="540"/>
        <w:rPr>
          <w:del w:id="15881" w:author="AbbVie02no" w:date="2025-05-15T14:21:00Z"/>
          <w:sz w:val="22"/>
          <w:szCs w:val="22"/>
        </w:rPr>
      </w:pPr>
      <w:del w:id="15882" w:author="AbbVie02no" w:date="2025-05-15T14:21:00Z">
        <w:r w:rsidRPr="009C5EFD">
          <w:rPr>
            <w:sz w:val="22"/>
            <w:szCs w:val="22"/>
          </w:rPr>
          <w:delText>hjerteproblemer som forårsaker andpustenhet eller hevelse i ankler,</w:delText>
        </w:r>
      </w:del>
    </w:p>
    <w:p w14:paraId="6CF82BDE" w14:textId="6230A5D3" w:rsidR="00AA0F66" w:rsidRPr="009C5EFD" w:rsidRDefault="00E453CD" w:rsidP="00EE4677">
      <w:pPr>
        <w:numPr>
          <w:ilvl w:val="0"/>
          <w:numId w:val="16"/>
        </w:numPr>
        <w:tabs>
          <w:tab w:val="clear" w:pos="720"/>
          <w:tab w:val="num" w:pos="540"/>
        </w:tabs>
        <w:suppressAutoHyphens/>
        <w:ind w:left="540" w:hanging="540"/>
        <w:rPr>
          <w:del w:id="15883" w:author="AbbVie02no" w:date="2025-05-15T14:21:00Z"/>
          <w:sz w:val="22"/>
          <w:szCs w:val="22"/>
        </w:rPr>
      </w:pPr>
      <w:del w:id="15884" w:author="AbbVie02no" w:date="2025-05-15T14:21:00Z">
        <w:r w:rsidRPr="009C5EFD">
          <w:rPr>
            <w:sz w:val="22"/>
            <w:szCs w:val="22"/>
          </w:rPr>
          <w:delText>hjerteinfarkt,</w:delText>
        </w:r>
      </w:del>
    </w:p>
    <w:p w14:paraId="07B7E534" w14:textId="0E77BF65" w:rsidR="003F317F" w:rsidRPr="009C5EFD" w:rsidRDefault="00E453CD" w:rsidP="00EE4677">
      <w:pPr>
        <w:numPr>
          <w:ilvl w:val="0"/>
          <w:numId w:val="16"/>
        </w:numPr>
        <w:tabs>
          <w:tab w:val="clear" w:pos="720"/>
          <w:tab w:val="num" w:pos="540"/>
        </w:tabs>
        <w:suppressAutoHyphens/>
        <w:ind w:left="540" w:hanging="540"/>
        <w:rPr>
          <w:del w:id="15885" w:author="AbbVie02no" w:date="2025-05-15T14:21:00Z"/>
          <w:sz w:val="22"/>
          <w:szCs w:val="22"/>
        </w:rPr>
      </w:pPr>
      <w:del w:id="15886" w:author="AbbVie02no" w:date="2025-05-15T14:21:00Z">
        <w:r w:rsidRPr="009C5EFD">
          <w:rPr>
            <w:sz w:val="22"/>
            <w:szCs w:val="22"/>
          </w:rPr>
          <w:delText>en utposning på veggen av en stor pulsåre, betennelse og blodpropp i en blodåre, blokade av et blodkar,</w:delText>
        </w:r>
      </w:del>
    </w:p>
    <w:p w14:paraId="34E0B19D" w14:textId="5B1B96DE" w:rsidR="007B668D" w:rsidRPr="009C5EFD" w:rsidRDefault="00E453CD" w:rsidP="00EE4677">
      <w:pPr>
        <w:numPr>
          <w:ilvl w:val="0"/>
          <w:numId w:val="16"/>
        </w:numPr>
        <w:tabs>
          <w:tab w:val="clear" w:pos="720"/>
          <w:tab w:val="num" w:pos="540"/>
        </w:tabs>
        <w:suppressAutoHyphens/>
        <w:ind w:left="540" w:hanging="540"/>
        <w:rPr>
          <w:del w:id="15887" w:author="AbbVie02no" w:date="2025-05-15T14:21:00Z"/>
          <w:sz w:val="22"/>
          <w:szCs w:val="22"/>
        </w:rPr>
      </w:pPr>
      <w:del w:id="15888" w:author="AbbVie02no" w:date="2025-05-15T14:21:00Z">
        <w:r w:rsidRPr="009C5EFD">
          <w:rPr>
            <w:sz w:val="22"/>
            <w:szCs w:val="22"/>
          </w:rPr>
          <w:delText>lungesykdom som forårsaker andpustenhet (inkludert betennelse),</w:delText>
        </w:r>
      </w:del>
    </w:p>
    <w:p w14:paraId="2B0AB6F1" w14:textId="285E63AC" w:rsidR="00AA0F66" w:rsidRPr="009C5EFD" w:rsidRDefault="00E453CD" w:rsidP="00EE4677">
      <w:pPr>
        <w:numPr>
          <w:ilvl w:val="0"/>
          <w:numId w:val="16"/>
        </w:numPr>
        <w:tabs>
          <w:tab w:val="clear" w:pos="720"/>
          <w:tab w:val="num" w:pos="540"/>
        </w:tabs>
        <w:suppressAutoHyphens/>
        <w:ind w:left="540" w:hanging="540"/>
        <w:rPr>
          <w:del w:id="15889" w:author="AbbVie02no" w:date="2025-05-15T14:21:00Z"/>
          <w:sz w:val="22"/>
          <w:szCs w:val="22"/>
        </w:rPr>
      </w:pPr>
      <w:del w:id="15890" w:author="AbbVie02no" w:date="2025-05-15T14:21:00Z">
        <w:r w:rsidRPr="009C5EFD">
          <w:rPr>
            <w:sz w:val="22"/>
            <w:szCs w:val="22"/>
          </w:rPr>
          <w:delText>lungeemboli (blodpropp i en blodåre i lungene),</w:delText>
        </w:r>
      </w:del>
    </w:p>
    <w:p w14:paraId="55190C66" w14:textId="658CCF24" w:rsidR="00AA0F66" w:rsidRPr="009C5EFD" w:rsidRDefault="00E453CD" w:rsidP="00EE4677">
      <w:pPr>
        <w:numPr>
          <w:ilvl w:val="0"/>
          <w:numId w:val="16"/>
        </w:numPr>
        <w:tabs>
          <w:tab w:val="clear" w:pos="720"/>
          <w:tab w:val="num" w:pos="540"/>
        </w:tabs>
        <w:suppressAutoHyphens/>
        <w:ind w:left="540" w:hanging="540"/>
        <w:rPr>
          <w:del w:id="15891" w:author="AbbVie02no" w:date="2025-05-15T14:21:00Z"/>
          <w:sz w:val="22"/>
          <w:szCs w:val="22"/>
        </w:rPr>
      </w:pPr>
      <w:del w:id="15892" w:author="AbbVie02no" w:date="2025-05-15T14:21:00Z">
        <w:r>
          <w:rPr>
            <w:sz w:val="22"/>
            <w:szCs w:val="22"/>
          </w:rPr>
          <w:delText>pleura</w:delText>
        </w:r>
        <w:r w:rsidRPr="009C5EFD">
          <w:rPr>
            <w:sz w:val="22"/>
            <w:szCs w:val="22"/>
          </w:rPr>
          <w:delText>væske (unormal samling av væske i lungesekken),</w:delText>
        </w:r>
      </w:del>
    </w:p>
    <w:p w14:paraId="3CFD7E85" w14:textId="4C11E03E" w:rsidR="007B668D" w:rsidRPr="009C5EFD" w:rsidRDefault="00E453CD" w:rsidP="00EE4677">
      <w:pPr>
        <w:numPr>
          <w:ilvl w:val="0"/>
          <w:numId w:val="16"/>
        </w:numPr>
        <w:tabs>
          <w:tab w:val="clear" w:pos="720"/>
          <w:tab w:val="num" w:pos="540"/>
        </w:tabs>
        <w:suppressAutoHyphens/>
        <w:ind w:left="540" w:hanging="540"/>
        <w:rPr>
          <w:del w:id="15893" w:author="AbbVie02no" w:date="2025-05-15T14:21:00Z"/>
          <w:sz w:val="22"/>
          <w:szCs w:val="22"/>
        </w:rPr>
      </w:pPr>
      <w:del w:id="15894" w:author="AbbVie02no" w:date="2025-05-15T14:21:00Z">
        <w:r w:rsidRPr="009C5EFD">
          <w:rPr>
            <w:sz w:val="22"/>
            <w:szCs w:val="22"/>
          </w:rPr>
          <w:delText>betennelse i bukspyttkjertel som forårsaker sterke smerter i mage og rygg,</w:delText>
        </w:r>
      </w:del>
    </w:p>
    <w:p w14:paraId="63EB8982" w14:textId="49A1618A" w:rsidR="007B668D" w:rsidRPr="009C5EFD" w:rsidRDefault="00E453CD" w:rsidP="00EE4677">
      <w:pPr>
        <w:numPr>
          <w:ilvl w:val="0"/>
          <w:numId w:val="16"/>
        </w:numPr>
        <w:tabs>
          <w:tab w:val="clear" w:pos="720"/>
          <w:tab w:val="num" w:pos="540"/>
        </w:tabs>
        <w:suppressAutoHyphens/>
        <w:ind w:left="540" w:hanging="540"/>
        <w:rPr>
          <w:del w:id="15895" w:author="AbbVie02no" w:date="2025-05-15T14:21:00Z"/>
          <w:sz w:val="22"/>
          <w:szCs w:val="22"/>
        </w:rPr>
      </w:pPr>
      <w:del w:id="15896" w:author="AbbVie02no" w:date="2025-05-15T14:21:00Z">
        <w:r w:rsidRPr="009C5EFD">
          <w:rPr>
            <w:sz w:val="22"/>
            <w:szCs w:val="22"/>
          </w:rPr>
          <w:delText>svelgeproblemer,</w:delText>
        </w:r>
      </w:del>
    </w:p>
    <w:p w14:paraId="5E072E38" w14:textId="464BB8A4" w:rsidR="007B668D" w:rsidRPr="009C5EFD" w:rsidRDefault="00E453CD" w:rsidP="00EE4677">
      <w:pPr>
        <w:numPr>
          <w:ilvl w:val="0"/>
          <w:numId w:val="16"/>
        </w:numPr>
        <w:tabs>
          <w:tab w:val="clear" w:pos="720"/>
          <w:tab w:val="num" w:pos="540"/>
        </w:tabs>
        <w:suppressAutoHyphens/>
        <w:ind w:left="540" w:hanging="540"/>
        <w:rPr>
          <w:del w:id="15897" w:author="AbbVie02no" w:date="2025-05-15T14:21:00Z"/>
          <w:sz w:val="22"/>
          <w:szCs w:val="22"/>
        </w:rPr>
      </w:pPr>
      <w:del w:id="15898" w:author="AbbVie02no" w:date="2025-05-15T14:21:00Z">
        <w:r w:rsidRPr="009C5EFD">
          <w:rPr>
            <w:sz w:val="22"/>
            <w:szCs w:val="22"/>
          </w:rPr>
          <w:delText>opphovnet ansikt,</w:delText>
        </w:r>
      </w:del>
    </w:p>
    <w:p w14:paraId="54850D0F" w14:textId="55722F60" w:rsidR="007B668D" w:rsidRPr="009C5EFD" w:rsidRDefault="00E453CD" w:rsidP="00EE4677">
      <w:pPr>
        <w:numPr>
          <w:ilvl w:val="0"/>
          <w:numId w:val="16"/>
        </w:numPr>
        <w:tabs>
          <w:tab w:val="clear" w:pos="720"/>
          <w:tab w:val="num" w:pos="540"/>
        </w:tabs>
        <w:suppressAutoHyphens/>
        <w:ind w:left="540" w:hanging="540"/>
        <w:rPr>
          <w:del w:id="15899" w:author="AbbVie02no" w:date="2025-05-15T14:21:00Z"/>
          <w:sz w:val="22"/>
          <w:szCs w:val="22"/>
        </w:rPr>
      </w:pPr>
      <w:del w:id="15900" w:author="AbbVie02no" w:date="2025-05-15T14:21:00Z">
        <w:r w:rsidRPr="009C5EFD">
          <w:rPr>
            <w:sz w:val="22"/>
            <w:szCs w:val="22"/>
          </w:rPr>
          <w:delText>betennelse i galleb</w:delText>
        </w:r>
        <w:r w:rsidR="00CA31D4">
          <w:rPr>
            <w:sz w:val="22"/>
            <w:szCs w:val="22"/>
          </w:rPr>
          <w:delText>l</w:delText>
        </w:r>
        <w:r w:rsidRPr="009C5EFD">
          <w:rPr>
            <w:sz w:val="22"/>
            <w:szCs w:val="22"/>
          </w:rPr>
          <w:delText>ære</w:delText>
        </w:r>
        <w:r w:rsidR="00CA31D4">
          <w:rPr>
            <w:sz w:val="22"/>
            <w:szCs w:val="22"/>
          </w:rPr>
          <w:delText>n</w:delText>
        </w:r>
        <w:r w:rsidRPr="009C5EFD">
          <w:rPr>
            <w:sz w:val="22"/>
            <w:szCs w:val="22"/>
          </w:rPr>
          <w:delText>, gallestein,</w:delText>
        </w:r>
      </w:del>
    </w:p>
    <w:p w14:paraId="0F52D5D0" w14:textId="71F8E08A" w:rsidR="007B668D" w:rsidRPr="009C5EFD" w:rsidRDefault="00E453CD" w:rsidP="00EE4677">
      <w:pPr>
        <w:numPr>
          <w:ilvl w:val="0"/>
          <w:numId w:val="16"/>
        </w:numPr>
        <w:tabs>
          <w:tab w:val="clear" w:pos="720"/>
          <w:tab w:val="num" w:pos="540"/>
        </w:tabs>
        <w:suppressAutoHyphens/>
        <w:ind w:left="540" w:hanging="540"/>
        <w:rPr>
          <w:del w:id="15901" w:author="AbbVie02no" w:date="2025-05-15T14:21:00Z"/>
          <w:sz w:val="22"/>
          <w:szCs w:val="22"/>
        </w:rPr>
      </w:pPr>
      <w:del w:id="15902" w:author="AbbVie02no" w:date="2025-05-15T14:21:00Z">
        <w:r w:rsidRPr="009C5EFD">
          <w:rPr>
            <w:sz w:val="22"/>
            <w:szCs w:val="22"/>
          </w:rPr>
          <w:delText>fettlever,</w:delText>
        </w:r>
      </w:del>
    </w:p>
    <w:p w14:paraId="77E14C79" w14:textId="4EA17A32" w:rsidR="007B668D" w:rsidRPr="009C5EFD" w:rsidRDefault="00E453CD" w:rsidP="00EE4677">
      <w:pPr>
        <w:numPr>
          <w:ilvl w:val="0"/>
          <w:numId w:val="16"/>
        </w:numPr>
        <w:tabs>
          <w:tab w:val="clear" w:pos="720"/>
          <w:tab w:val="num" w:pos="540"/>
        </w:tabs>
        <w:suppressAutoHyphens/>
        <w:ind w:left="540" w:hanging="540"/>
        <w:rPr>
          <w:del w:id="15903" w:author="AbbVie02no" w:date="2025-05-15T14:21:00Z"/>
          <w:sz w:val="22"/>
          <w:szCs w:val="22"/>
        </w:rPr>
      </w:pPr>
      <w:del w:id="15904" w:author="AbbVie02no" w:date="2025-05-15T14:21:00Z">
        <w:r w:rsidRPr="009C5EFD">
          <w:rPr>
            <w:sz w:val="22"/>
            <w:szCs w:val="22"/>
          </w:rPr>
          <w:delText>nattesvette,</w:delText>
        </w:r>
      </w:del>
    </w:p>
    <w:p w14:paraId="193FBBD7" w14:textId="6FE8BF35" w:rsidR="007B668D" w:rsidRPr="009C5EFD" w:rsidRDefault="00E453CD" w:rsidP="00EE4677">
      <w:pPr>
        <w:numPr>
          <w:ilvl w:val="0"/>
          <w:numId w:val="16"/>
        </w:numPr>
        <w:tabs>
          <w:tab w:val="clear" w:pos="720"/>
          <w:tab w:val="num" w:pos="540"/>
        </w:tabs>
        <w:suppressAutoHyphens/>
        <w:ind w:left="540" w:hanging="540"/>
        <w:rPr>
          <w:del w:id="15905" w:author="AbbVie02no" w:date="2025-05-15T14:21:00Z"/>
          <w:sz w:val="22"/>
          <w:szCs w:val="22"/>
        </w:rPr>
      </w:pPr>
      <w:del w:id="15906" w:author="AbbVie02no" w:date="2025-05-15T14:21:00Z">
        <w:r w:rsidRPr="009C5EFD">
          <w:rPr>
            <w:sz w:val="22"/>
            <w:szCs w:val="22"/>
          </w:rPr>
          <w:delText>arrdannelse,</w:delText>
        </w:r>
      </w:del>
    </w:p>
    <w:p w14:paraId="3D15E093" w14:textId="6BEF40EE" w:rsidR="00101613" w:rsidRPr="009C5EFD" w:rsidRDefault="00E453CD" w:rsidP="00EE4677">
      <w:pPr>
        <w:numPr>
          <w:ilvl w:val="0"/>
          <w:numId w:val="16"/>
        </w:numPr>
        <w:tabs>
          <w:tab w:val="clear" w:pos="720"/>
          <w:tab w:val="num" w:pos="540"/>
        </w:tabs>
        <w:suppressAutoHyphens/>
        <w:ind w:left="540" w:hanging="540"/>
        <w:rPr>
          <w:del w:id="15907" w:author="AbbVie02no" w:date="2025-05-15T14:21:00Z"/>
          <w:sz w:val="22"/>
          <w:szCs w:val="22"/>
        </w:rPr>
      </w:pPr>
      <w:del w:id="15908" w:author="AbbVie02no" w:date="2025-05-15T14:21:00Z">
        <w:r w:rsidRPr="009C5EFD">
          <w:rPr>
            <w:sz w:val="22"/>
            <w:szCs w:val="22"/>
          </w:rPr>
          <w:delText>unormal</w:delText>
        </w:r>
        <w:r w:rsidR="007B668D" w:rsidRPr="009C5EFD">
          <w:rPr>
            <w:sz w:val="22"/>
            <w:szCs w:val="22"/>
          </w:rPr>
          <w:delText xml:space="preserve"> muske</w:delText>
        </w:r>
        <w:r w:rsidR="000D0044" w:rsidRPr="009C5EFD">
          <w:rPr>
            <w:sz w:val="22"/>
            <w:szCs w:val="22"/>
          </w:rPr>
          <w:delText>l</w:delText>
        </w:r>
        <w:r w:rsidR="007B668D" w:rsidRPr="009C5EFD">
          <w:rPr>
            <w:sz w:val="22"/>
            <w:szCs w:val="22"/>
          </w:rPr>
          <w:delText>tap,</w:delText>
        </w:r>
        <w:r w:rsidRPr="009C5EFD">
          <w:rPr>
            <w:sz w:val="22"/>
            <w:szCs w:val="22"/>
          </w:rPr>
          <w:delText xml:space="preserve"> </w:delText>
        </w:r>
      </w:del>
    </w:p>
    <w:p w14:paraId="0B554D75" w14:textId="6E3406AF" w:rsidR="00101613" w:rsidRPr="009C5EFD" w:rsidRDefault="00E453CD" w:rsidP="00EE4677">
      <w:pPr>
        <w:numPr>
          <w:ilvl w:val="0"/>
          <w:numId w:val="16"/>
        </w:numPr>
        <w:tabs>
          <w:tab w:val="clear" w:pos="720"/>
          <w:tab w:val="num" w:pos="540"/>
        </w:tabs>
        <w:suppressAutoHyphens/>
        <w:ind w:left="540" w:hanging="540"/>
        <w:rPr>
          <w:del w:id="15909" w:author="AbbVie02no" w:date="2025-05-15T14:21:00Z"/>
          <w:sz w:val="22"/>
          <w:szCs w:val="22"/>
        </w:rPr>
      </w:pPr>
      <w:del w:id="15910" w:author="AbbVie02no" w:date="2025-05-15T14:21:00Z">
        <w:r w:rsidRPr="009C5EFD">
          <w:rPr>
            <w:sz w:val="22"/>
            <w:szCs w:val="22"/>
          </w:rPr>
          <w:delText>systemisk lupus erythematosus (inkludert betennelser i hud, hjerte, lunge, ledd og andre organer),</w:delText>
        </w:r>
      </w:del>
    </w:p>
    <w:p w14:paraId="6289441D" w14:textId="67C1F84A" w:rsidR="007B668D" w:rsidRPr="009C5EFD" w:rsidRDefault="00E453CD" w:rsidP="00EE4677">
      <w:pPr>
        <w:numPr>
          <w:ilvl w:val="0"/>
          <w:numId w:val="16"/>
        </w:numPr>
        <w:tabs>
          <w:tab w:val="clear" w:pos="720"/>
          <w:tab w:val="num" w:pos="540"/>
        </w:tabs>
        <w:suppressAutoHyphens/>
        <w:ind w:left="540" w:hanging="540"/>
        <w:rPr>
          <w:del w:id="15911" w:author="AbbVie02no" w:date="2025-05-15T14:21:00Z"/>
          <w:sz w:val="22"/>
          <w:szCs w:val="22"/>
        </w:rPr>
      </w:pPr>
      <w:del w:id="15912" w:author="AbbVie02no" w:date="2025-05-15T14:21:00Z">
        <w:r w:rsidRPr="009C5EFD">
          <w:rPr>
            <w:sz w:val="22"/>
            <w:szCs w:val="22"/>
          </w:rPr>
          <w:delText>søvnforstyrrelser,</w:delText>
        </w:r>
        <w:r w:rsidR="00101613" w:rsidRPr="009C5EFD">
          <w:rPr>
            <w:sz w:val="22"/>
            <w:szCs w:val="22"/>
          </w:rPr>
          <w:delText xml:space="preserve"> </w:delText>
        </w:r>
      </w:del>
    </w:p>
    <w:p w14:paraId="4706F8BB" w14:textId="3975F27A" w:rsidR="007B668D" w:rsidRPr="009C5EFD" w:rsidRDefault="00E453CD" w:rsidP="00EE4677">
      <w:pPr>
        <w:numPr>
          <w:ilvl w:val="0"/>
          <w:numId w:val="16"/>
        </w:numPr>
        <w:tabs>
          <w:tab w:val="clear" w:pos="720"/>
          <w:tab w:val="num" w:pos="540"/>
        </w:tabs>
        <w:suppressAutoHyphens/>
        <w:ind w:left="540" w:hanging="540"/>
        <w:rPr>
          <w:del w:id="15913" w:author="AbbVie02no" w:date="2025-05-15T14:21:00Z"/>
          <w:sz w:val="22"/>
          <w:szCs w:val="22"/>
        </w:rPr>
      </w:pPr>
      <w:del w:id="15914" w:author="AbbVie02no" w:date="2025-05-15T14:21:00Z">
        <w:r w:rsidRPr="009C5EFD">
          <w:rPr>
            <w:sz w:val="22"/>
            <w:szCs w:val="22"/>
          </w:rPr>
          <w:lastRenderedPageBreak/>
          <w:delText>impotens,</w:delText>
        </w:r>
      </w:del>
    </w:p>
    <w:p w14:paraId="718102DC" w14:textId="50C7F431" w:rsidR="007B668D" w:rsidRPr="009C5EFD" w:rsidRDefault="00E453CD" w:rsidP="00EE4677">
      <w:pPr>
        <w:numPr>
          <w:ilvl w:val="0"/>
          <w:numId w:val="16"/>
        </w:numPr>
        <w:tabs>
          <w:tab w:val="clear" w:pos="720"/>
          <w:tab w:val="num" w:pos="540"/>
        </w:tabs>
        <w:suppressAutoHyphens/>
        <w:ind w:left="540" w:hanging="540"/>
        <w:rPr>
          <w:del w:id="15915" w:author="AbbVie02no" w:date="2025-05-15T14:21:00Z"/>
          <w:sz w:val="22"/>
          <w:szCs w:val="22"/>
        </w:rPr>
      </w:pPr>
      <w:del w:id="15916" w:author="AbbVie02no" w:date="2025-05-15T14:21:00Z">
        <w:r w:rsidRPr="009C5EFD">
          <w:rPr>
            <w:sz w:val="22"/>
            <w:szCs w:val="22"/>
          </w:rPr>
          <w:delText>betennelser.</w:delText>
        </w:r>
      </w:del>
    </w:p>
    <w:p w14:paraId="7D57A575" w14:textId="21EFD2A5" w:rsidR="007B668D" w:rsidRPr="009C5EFD" w:rsidRDefault="007B668D" w:rsidP="009C5EFD">
      <w:pPr>
        <w:pStyle w:val="EMEAFigureTitle"/>
        <w:tabs>
          <w:tab w:val="clear" w:pos="562"/>
        </w:tabs>
        <w:rPr>
          <w:del w:id="15917" w:author="AbbVie02no" w:date="2025-05-15T14:21:00Z"/>
          <w:szCs w:val="22"/>
          <w:lang w:val="nb-NO"/>
        </w:rPr>
      </w:pPr>
    </w:p>
    <w:p w14:paraId="26737D4E" w14:textId="1C70867D" w:rsidR="007B668D" w:rsidRDefault="00E453CD" w:rsidP="00AF70AD">
      <w:pPr>
        <w:keepNext/>
        <w:rPr>
          <w:del w:id="15918" w:author="AbbVie02no" w:date="2025-05-15T14:21:00Z"/>
          <w:sz w:val="22"/>
          <w:szCs w:val="22"/>
        </w:rPr>
      </w:pPr>
      <w:del w:id="15919" w:author="AbbVie02no" w:date="2025-05-15T14:21:00Z">
        <w:r w:rsidRPr="006936CB">
          <w:rPr>
            <w:sz w:val="22"/>
            <w:szCs w:val="22"/>
          </w:rPr>
          <w:delText>Sjeldne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00F30EDA"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877BAD" w:rsidRPr="009C5EFD">
          <w:rPr>
            <w:sz w:val="22"/>
            <w:szCs w:val="22"/>
          </w:rPr>
          <w:delText>av</w:delText>
        </w:r>
        <w:r w:rsidRPr="009C5EFD">
          <w:rPr>
            <w:sz w:val="22"/>
            <w:szCs w:val="22"/>
          </w:rPr>
          <w:delText xml:space="preserve"> 1000 </w:delText>
        </w:r>
        <w:r w:rsidR="00F30EDA" w:rsidRPr="009C5EFD">
          <w:rPr>
            <w:sz w:val="22"/>
            <w:szCs w:val="22"/>
          </w:rPr>
          <w:delText>personer</w:delText>
        </w:r>
        <w:r w:rsidRPr="009C5EFD">
          <w:rPr>
            <w:sz w:val="22"/>
            <w:szCs w:val="22"/>
          </w:rPr>
          <w:delText>)</w:delText>
        </w:r>
      </w:del>
    </w:p>
    <w:p w14:paraId="379AE04B" w14:textId="23E42701" w:rsidR="00C13645" w:rsidRPr="009C5EFD" w:rsidRDefault="00C13645" w:rsidP="00AF70AD">
      <w:pPr>
        <w:keepNext/>
        <w:rPr>
          <w:del w:id="15920" w:author="AbbVie02no" w:date="2025-05-15T14:21:00Z"/>
          <w:sz w:val="22"/>
          <w:szCs w:val="22"/>
        </w:rPr>
      </w:pPr>
    </w:p>
    <w:p w14:paraId="4B9B779C" w14:textId="09E0E2D8" w:rsidR="00AA0F66" w:rsidRPr="009C5EFD" w:rsidRDefault="00E453CD" w:rsidP="00776A84">
      <w:pPr>
        <w:numPr>
          <w:ilvl w:val="0"/>
          <w:numId w:val="15"/>
        </w:numPr>
        <w:tabs>
          <w:tab w:val="clear" w:pos="720"/>
          <w:tab w:val="num" w:pos="540"/>
        </w:tabs>
        <w:ind w:left="0" w:firstLine="0"/>
        <w:rPr>
          <w:del w:id="15921" w:author="AbbVie02no" w:date="2025-05-15T14:21:00Z"/>
          <w:sz w:val="22"/>
          <w:szCs w:val="22"/>
        </w:rPr>
      </w:pPr>
      <w:del w:id="15922" w:author="AbbVie02no" w:date="2025-05-15T14:21:00Z">
        <w:r w:rsidRPr="009C5EFD">
          <w:rPr>
            <w:sz w:val="22"/>
            <w:szCs w:val="22"/>
          </w:rPr>
          <w:delText xml:space="preserve">leukemi (kreft som </w:delText>
        </w:r>
        <w:r w:rsidR="00ED2157" w:rsidRPr="009C5EFD">
          <w:rPr>
            <w:sz w:val="22"/>
            <w:szCs w:val="22"/>
          </w:rPr>
          <w:delText>påvirker</w:delText>
        </w:r>
        <w:r w:rsidRPr="009C5EFD">
          <w:rPr>
            <w:sz w:val="22"/>
            <w:szCs w:val="22"/>
          </w:rPr>
          <w:delText xml:space="preserve"> blod og benmarg),</w:delText>
        </w:r>
      </w:del>
    </w:p>
    <w:p w14:paraId="264877C3" w14:textId="10E67B93" w:rsidR="00AA0F66" w:rsidRPr="009C5EFD" w:rsidRDefault="00E453CD" w:rsidP="00EE4677">
      <w:pPr>
        <w:numPr>
          <w:ilvl w:val="0"/>
          <w:numId w:val="15"/>
        </w:numPr>
        <w:tabs>
          <w:tab w:val="clear" w:pos="720"/>
          <w:tab w:val="num" w:pos="540"/>
        </w:tabs>
        <w:ind w:left="540" w:hanging="540"/>
        <w:rPr>
          <w:del w:id="15923" w:author="AbbVie02no" w:date="2025-05-15T14:21:00Z"/>
          <w:sz w:val="22"/>
          <w:szCs w:val="22"/>
        </w:rPr>
      </w:pPr>
      <w:del w:id="15924" w:author="AbbVie02no" w:date="2025-05-15T14:21:00Z">
        <w:r w:rsidRPr="009C5EFD">
          <w:rPr>
            <w:sz w:val="22"/>
            <w:szCs w:val="22"/>
          </w:rPr>
          <w:delText>alvorlig allergisk reaksjon med sjokk,</w:delText>
        </w:r>
      </w:del>
    </w:p>
    <w:p w14:paraId="45273062" w14:textId="4FF73C60" w:rsidR="00AA0F66" w:rsidRPr="009C5EFD" w:rsidRDefault="00E453CD" w:rsidP="00EE4677">
      <w:pPr>
        <w:numPr>
          <w:ilvl w:val="0"/>
          <w:numId w:val="15"/>
        </w:numPr>
        <w:tabs>
          <w:tab w:val="clear" w:pos="720"/>
          <w:tab w:val="num" w:pos="540"/>
        </w:tabs>
        <w:ind w:left="0" w:firstLine="0"/>
        <w:rPr>
          <w:del w:id="15925" w:author="AbbVie02no" w:date="2025-05-15T14:21:00Z"/>
          <w:sz w:val="22"/>
          <w:szCs w:val="22"/>
        </w:rPr>
      </w:pPr>
      <w:del w:id="15926" w:author="AbbVie02no" w:date="2025-05-15T14:21:00Z">
        <w:r w:rsidRPr="009C5EFD">
          <w:rPr>
            <w:sz w:val="22"/>
            <w:szCs w:val="22"/>
          </w:rPr>
          <w:delText>multippel sklerose,</w:delText>
        </w:r>
      </w:del>
    </w:p>
    <w:p w14:paraId="0B77F074" w14:textId="37E53E52" w:rsidR="00AA0F66" w:rsidRPr="009C5EFD" w:rsidRDefault="00E453CD" w:rsidP="00EE4677">
      <w:pPr>
        <w:numPr>
          <w:ilvl w:val="0"/>
          <w:numId w:val="15"/>
        </w:numPr>
        <w:tabs>
          <w:tab w:val="clear" w:pos="720"/>
          <w:tab w:val="num" w:pos="540"/>
        </w:tabs>
        <w:ind w:left="540" w:hanging="540"/>
        <w:rPr>
          <w:del w:id="15927" w:author="AbbVie02no" w:date="2025-05-15T14:21:00Z"/>
          <w:sz w:val="22"/>
          <w:szCs w:val="22"/>
        </w:rPr>
      </w:pPr>
      <w:del w:id="15928" w:author="AbbVie02no" w:date="2025-05-15T14:21:00Z">
        <w:r w:rsidRPr="009C5EFD">
          <w:rPr>
            <w:sz w:val="22"/>
            <w:szCs w:val="22"/>
          </w:rPr>
          <w:delText>nerveforstyrrelser (som betennelse på øyenervene og Guillain-Barré syndrom som kan forårsake muskelsvakhet, unormale sanseinntrykk, prikking i armene og overkroppen),</w:delText>
        </w:r>
      </w:del>
    </w:p>
    <w:p w14:paraId="1350453F" w14:textId="1050CD47" w:rsidR="00AA0F66" w:rsidRPr="009C5EFD" w:rsidRDefault="00E453CD" w:rsidP="00EE4677">
      <w:pPr>
        <w:numPr>
          <w:ilvl w:val="0"/>
          <w:numId w:val="15"/>
        </w:numPr>
        <w:tabs>
          <w:tab w:val="clear" w:pos="720"/>
          <w:tab w:val="num" w:pos="540"/>
        </w:tabs>
        <w:ind w:left="0" w:firstLine="0"/>
        <w:rPr>
          <w:del w:id="15929" w:author="AbbVie02no" w:date="2025-05-15T14:21:00Z"/>
          <w:sz w:val="22"/>
          <w:szCs w:val="22"/>
        </w:rPr>
      </w:pPr>
      <w:del w:id="15930" w:author="AbbVie02no" w:date="2025-05-15T14:21:00Z">
        <w:r w:rsidRPr="009C5EFD">
          <w:rPr>
            <w:sz w:val="22"/>
            <w:szCs w:val="22"/>
          </w:rPr>
          <w:delText>hjertet slutter å pumpe,</w:delText>
        </w:r>
      </w:del>
    </w:p>
    <w:p w14:paraId="097D30B8" w14:textId="5556A0F1" w:rsidR="00AA0F66" w:rsidRPr="009C5EFD" w:rsidRDefault="00E453CD" w:rsidP="00EE4677">
      <w:pPr>
        <w:numPr>
          <w:ilvl w:val="0"/>
          <w:numId w:val="15"/>
        </w:numPr>
        <w:tabs>
          <w:tab w:val="clear" w:pos="720"/>
          <w:tab w:val="num" w:pos="540"/>
        </w:tabs>
        <w:ind w:left="540" w:hanging="540"/>
        <w:rPr>
          <w:del w:id="15931" w:author="AbbVie02no" w:date="2025-05-15T14:21:00Z"/>
          <w:sz w:val="22"/>
          <w:szCs w:val="22"/>
        </w:rPr>
      </w:pPr>
      <w:del w:id="15932" w:author="AbbVie02no" w:date="2025-05-15T14:21:00Z">
        <w:r w:rsidRPr="009C5EFD">
          <w:rPr>
            <w:sz w:val="22"/>
            <w:szCs w:val="22"/>
          </w:rPr>
          <w:delText>lungefibrose (arrdannelse i lungene),</w:delText>
        </w:r>
      </w:del>
    </w:p>
    <w:p w14:paraId="22C2CA7A" w14:textId="36C1F5D8" w:rsidR="00AA0F66" w:rsidRPr="009C5EFD" w:rsidRDefault="00E453CD" w:rsidP="00EE4677">
      <w:pPr>
        <w:numPr>
          <w:ilvl w:val="0"/>
          <w:numId w:val="15"/>
        </w:numPr>
        <w:tabs>
          <w:tab w:val="clear" w:pos="720"/>
          <w:tab w:val="num" w:pos="540"/>
        </w:tabs>
        <w:ind w:left="540" w:hanging="540"/>
        <w:rPr>
          <w:del w:id="15933" w:author="AbbVie02no" w:date="2025-05-15T14:21:00Z"/>
          <w:sz w:val="22"/>
          <w:szCs w:val="22"/>
        </w:rPr>
      </w:pPr>
      <w:del w:id="15934" w:author="AbbVie02no" w:date="2025-05-15T14:21:00Z">
        <w:r w:rsidRPr="009C5EFD">
          <w:rPr>
            <w:sz w:val="22"/>
            <w:szCs w:val="22"/>
          </w:rPr>
          <w:delText xml:space="preserve">hull </w:delText>
        </w:r>
        <w:r w:rsidR="00CA31D4">
          <w:rPr>
            <w:sz w:val="22"/>
            <w:szCs w:val="22"/>
          </w:rPr>
          <w:delText>på</w:delText>
        </w:r>
        <w:r w:rsidRPr="009C5EFD">
          <w:rPr>
            <w:sz w:val="22"/>
            <w:szCs w:val="22"/>
          </w:rPr>
          <w:delText xml:space="preserve"> ta</w:delText>
        </w:r>
        <w:r w:rsidR="00ED2157" w:rsidRPr="009C5EFD">
          <w:rPr>
            <w:sz w:val="22"/>
            <w:szCs w:val="22"/>
          </w:rPr>
          <w:delText>r</w:delText>
        </w:r>
        <w:r w:rsidRPr="009C5EFD">
          <w:rPr>
            <w:sz w:val="22"/>
            <w:szCs w:val="22"/>
          </w:rPr>
          <w:delText>men</w:delText>
        </w:r>
        <w:r w:rsidR="00CA31D4">
          <w:rPr>
            <w:sz w:val="22"/>
            <w:szCs w:val="22"/>
          </w:rPr>
          <w:delText xml:space="preserve"> (perforasjon)</w:delText>
        </w:r>
        <w:r w:rsidRPr="009C5EFD">
          <w:rPr>
            <w:sz w:val="22"/>
            <w:szCs w:val="22"/>
          </w:rPr>
          <w:delText>,</w:delText>
        </w:r>
      </w:del>
    </w:p>
    <w:p w14:paraId="25DE76AD" w14:textId="2A7F2EB4" w:rsidR="00F30EDA" w:rsidRPr="009C5EFD" w:rsidRDefault="00E453CD" w:rsidP="00EE4677">
      <w:pPr>
        <w:numPr>
          <w:ilvl w:val="0"/>
          <w:numId w:val="15"/>
        </w:numPr>
        <w:tabs>
          <w:tab w:val="clear" w:pos="720"/>
          <w:tab w:val="num" w:pos="540"/>
        </w:tabs>
        <w:ind w:left="540" w:hanging="540"/>
        <w:rPr>
          <w:del w:id="15935" w:author="AbbVie02no" w:date="2025-05-15T14:21:00Z"/>
          <w:sz w:val="22"/>
          <w:szCs w:val="22"/>
        </w:rPr>
      </w:pPr>
      <w:del w:id="15936" w:author="AbbVie02no" w:date="2025-05-15T14:21:00Z">
        <w:r w:rsidRPr="009C5EFD">
          <w:rPr>
            <w:sz w:val="22"/>
            <w:szCs w:val="22"/>
          </w:rPr>
          <w:delText>hepatitt,</w:delText>
        </w:r>
      </w:del>
    </w:p>
    <w:p w14:paraId="627B81D8" w14:textId="732416F8" w:rsidR="00AA0F66" w:rsidRPr="009C5EFD" w:rsidRDefault="00E453CD" w:rsidP="00EE4677">
      <w:pPr>
        <w:numPr>
          <w:ilvl w:val="0"/>
          <w:numId w:val="15"/>
        </w:numPr>
        <w:tabs>
          <w:tab w:val="clear" w:pos="720"/>
          <w:tab w:val="num" w:pos="540"/>
        </w:tabs>
        <w:ind w:left="540" w:hanging="540"/>
        <w:rPr>
          <w:del w:id="15937" w:author="AbbVie02no" w:date="2025-05-15T14:21:00Z"/>
          <w:sz w:val="22"/>
          <w:szCs w:val="22"/>
        </w:rPr>
      </w:pPr>
      <w:del w:id="15938" w:author="AbbVie02no" w:date="2025-05-15T14:21:00Z">
        <w:r w:rsidRPr="009C5EFD">
          <w:rPr>
            <w:sz w:val="22"/>
            <w:szCs w:val="22"/>
          </w:rPr>
          <w:delText>reaktivering av hepatitt B,</w:delText>
        </w:r>
      </w:del>
    </w:p>
    <w:p w14:paraId="373121BF" w14:textId="0E3FEFEB" w:rsidR="00102C0B" w:rsidRPr="009C5EFD" w:rsidRDefault="00E453CD" w:rsidP="00EE4677">
      <w:pPr>
        <w:numPr>
          <w:ilvl w:val="0"/>
          <w:numId w:val="15"/>
        </w:numPr>
        <w:tabs>
          <w:tab w:val="clear" w:pos="720"/>
          <w:tab w:val="num" w:pos="540"/>
        </w:tabs>
        <w:ind w:left="540" w:hanging="540"/>
        <w:rPr>
          <w:del w:id="15939" w:author="AbbVie02no" w:date="2025-05-15T14:21:00Z"/>
          <w:sz w:val="22"/>
          <w:szCs w:val="22"/>
        </w:rPr>
      </w:pPr>
      <w:del w:id="15940" w:author="AbbVie02no" w:date="2025-05-15T14:21:00Z">
        <w:r w:rsidRPr="009C5EFD">
          <w:rPr>
            <w:sz w:val="22"/>
            <w:szCs w:val="22"/>
          </w:rPr>
          <w:delText>autoimmun hepatitt (leverbetennelse forårsaket av kroppens eget immunforsvar)</w:delText>
        </w:r>
        <w:r w:rsidR="00B92A85">
          <w:rPr>
            <w:sz w:val="22"/>
            <w:szCs w:val="22"/>
          </w:rPr>
          <w:delText>,</w:delText>
        </w:r>
      </w:del>
    </w:p>
    <w:p w14:paraId="72E873E6" w14:textId="4E8F2D24" w:rsidR="00AA0F66" w:rsidRPr="009C5EFD" w:rsidRDefault="00E453CD" w:rsidP="00EE4677">
      <w:pPr>
        <w:numPr>
          <w:ilvl w:val="0"/>
          <w:numId w:val="15"/>
        </w:numPr>
        <w:tabs>
          <w:tab w:val="clear" w:pos="720"/>
          <w:tab w:val="num" w:pos="540"/>
        </w:tabs>
        <w:ind w:left="540" w:hanging="540"/>
        <w:rPr>
          <w:del w:id="15941" w:author="AbbVie02no" w:date="2025-05-15T14:21:00Z"/>
          <w:sz w:val="22"/>
          <w:szCs w:val="22"/>
        </w:rPr>
      </w:pPr>
      <w:del w:id="15942" w:author="AbbVie02no" w:date="2025-05-15T14:21:00Z">
        <w:r w:rsidRPr="009C5EFD">
          <w:rPr>
            <w:sz w:val="22"/>
            <w:szCs w:val="22"/>
          </w:rPr>
          <w:delText>betennelse i blodkarene i huden,</w:delText>
        </w:r>
      </w:del>
    </w:p>
    <w:p w14:paraId="5AB344C0" w14:textId="1A20F5A2" w:rsidR="00AA0F66" w:rsidRPr="009C5EFD" w:rsidRDefault="00E453CD" w:rsidP="00EE4677">
      <w:pPr>
        <w:numPr>
          <w:ilvl w:val="0"/>
          <w:numId w:val="15"/>
        </w:numPr>
        <w:tabs>
          <w:tab w:val="clear" w:pos="720"/>
          <w:tab w:val="num" w:pos="540"/>
        </w:tabs>
        <w:ind w:left="540" w:hanging="540"/>
        <w:rPr>
          <w:del w:id="15943" w:author="AbbVie02no" w:date="2025-05-15T14:21:00Z"/>
          <w:sz w:val="22"/>
          <w:szCs w:val="22"/>
        </w:rPr>
      </w:pPr>
      <w:del w:id="15944" w:author="AbbVie02no" w:date="2025-05-15T14:21:00Z">
        <w:r w:rsidRPr="009C5EFD">
          <w:rPr>
            <w:sz w:val="22"/>
            <w:szCs w:val="22"/>
          </w:rPr>
          <w:delText>Stevens-Johnson syndrom (tidlige symptomer inkludert diffus følelse av ubehag og tretthett, feber, hodepine og utslett),</w:delText>
        </w:r>
      </w:del>
    </w:p>
    <w:p w14:paraId="2A615FE1" w14:textId="1BD52F9E" w:rsidR="00AA0F66" w:rsidRPr="009C5EFD" w:rsidRDefault="00E453CD" w:rsidP="00EE4677">
      <w:pPr>
        <w:numPr>
          <w:ilvl w:val="0"/>
          <w:numId w:val="15"/>
        </w:numPr>
        <w:tabs>
          <w:tab w:val="clear" w:pos="720"/>
          <w:tab w:val="num" w:pos="540"/>
        </w:tabs>
        <w:ind w:left="540" w:hanging="540"/>
        <w:rPr>
          <w:del w:id="15945" w:author="AbbVie02no" w:date="2025-05-15T14:21:00Z"/>
          <w:sz w:val="22"/>
          <w:szCs w:val="22"/>
        </w:rPr>
      </w:pPr>
      <w:del w:id="15946" w:author="AbbVie02no" w:date="2025-05-15T14:21:00Z">
        <w:r w:rsidRPr="009C5EFD">
          <w:rPr>
            <w:sz w:val="22"/>
            <w:szCs w:val="22"/>
          </w:rPr>
          <w:delText>ansiktsødem i forbindelse med allergiske reaksjoner,</w:delText>
        </w:r>
      </w:del>
    </w:p>
    <w:p w14:paraId="74A80451" w14:textId="2D66A24A" w:rsidR="00AA0F66" w:rsidRPr="009C5EFD" w:rsidRDefault="00E453CD" w:rsidP="00EE4677">
      <w:pPr>
        <w:numPr>
          <w:ilvl w:val="0"/>
          <w:numId w:val="15"/>
        </w:numPr>
        <w:tabs>
          <w:tab w:val="clear" w:pos="720"/>
          <w:tab w:val="num" w:pos="540"/>
        </w:tabs>
        <w:ind w:left="540" w:hanging="540"/>
        <w:rPr>
          <w:del w:id="15947" w:author="AbbVie02no" w:date="2025-05-15T14:21:00Z"/>
          <w:sz w:val="22"/>
          <w:szCs w:val="22"/>
        </w:rPr>
      </w:pPr>
      <w:del w:id="15948" w:author="AbbVie02no" w:date="2025-05-15T14:21:00Z">
        <w:r w:rsidRPr="009C5EFD">
          <w:rPr>
            <w:sz w:val="22"/>
            <w:szCs w:val="22"/>
          </w:rPr>
          <w:delText>erythema multiforme (hudutslett med inflammasjon),</w:delText>
        </w:r>
      </w:del>
    </w:p>
    <w:p w14:paraId="6CBA7F80" w14:textId="4A9482B6" w:rsidR="00F827E5" w:rsidRDefault="00E453CD" w:rsidP="00EE4677">
      <w:pPr>
        <w:numPr>
          <w:ilvl w:val="0"/>
          <w:numId w:val="15"/>
        </w:numPr>
        <w:tabs>
          <w:tab w:val="clear" w:pos="720"/>
          <w:tab w:val="num" w:pos="540"/>
        </w:tabs>
        <w:ind w:left="540" w:hanging="540"/>
        <w:rPr>
          <w:del w:id="15949" w:author="AbbVie02no" w:date="2025-05-15T14:21:00Z"/>
          <w:sz w:val="22"/>
          <w:szCs w:val="22"/>
        </w:rPr>
      </w:pPr>
      <w:del w:id="15950" w:author="AbbVie02no" w:date="2025-05-15T14:21:00Z">
        <w:r w:rsidRPr="009C5EFD">
          <w:rPr>
            <w:sz w:val="22"/>
            <w:szCs w:val="22"/>
          </w:rPr>
          <w:delText>lupuslignende syndrom</w:delText>
        </w:r>
        <w:r w:rsidR="00C13645">
          <w:rPr>
            <w:sz w:val="22"/>
            <w:szCs w:val="22"/>
          </w:rPr>
          <w:delText>,</w:delText>
        </w:r>
      </w:del>
    </w:p>
    <w:p w14:paraId="49BA36E1" w14:textId="254E802C" w:rsidR="007B668D" w:rsidRDefault="00E453CD" w:rsidP="00EE4677">
      <w:pPr>
        <w:numPr>
          <w:ilvl w:val="0"/>
          <w:numId w:val="15"/>
        </w:numPr>
        <w:tabs>
          <w:tab w:val="clear" w:pos="720"/>
          <w:tab w:val="num" w:pos="540"/>
        </w:tabs>
        <w:ind w:left="540" w:hanging="540"/>
        <w:rPr>
          <w:del w:id="15951" w:author="AbbVie02no" w:date="2025-05-15T14:21:00Z"/>
          <w:sz w:val="22"/>
          <w:szCs w:val="22"/>
        </w:rPr>
      </w:pPr>
      <w:del w:id="15952" w:author="AbbVie02no" w:date="2025-05-15T14:21:00Z">
        <w:r>
          <w:rPr>
            <w:sz w:val="22"/>
            <w:szCs w:val="22"/>
          </w:rPr>
          <w:delText>angioødem (</w:delText>
        </w:r>
        <w:r w:rsidR="00F827E5">
          <w:rPr>
            <w:sz w:val="22"/>
            <w:szCs w:val="22"/>
          </w:rPr>
          <w:delText>lokalisert opphovning av huden)</w:delText>
        </w:r>
        <w:r w:rsidR="00A36D70">
          <w:rPr>
            <w:sz w:val="22"/>
            <w:szCs w:val="22"/>
          </w:rPr>
          <w:delText>,</w:delText>
        </w:r>
      </w:del>
    </w:p>
    <w:p w14:paraId="07D82671" w14:textId="0EEC2DF4" w:rsidR="00A36D70" w:rsidRPr="00A36D70" w:rsidRDefault="00E453CD" w:rsidP="00A36D70">
      <w:pPr>
        <w:numPr>
          <w:ilvl w:val="0"/>
          <w:numId w:val="15"/>
        </w:numPr>
        <w:tabs>
          <w:tab w:val="clear" w:pos="720"/>
          <w:tab w:val="num" w:pos="540"/>
        </w:tabs>
        <w:ind w:left="540" w:hanging="540"/>
        <w:rPr>
          <w:del w:id="15953" w:author="AbbVie02no" w:date="2025-05-15T14:21:00Z"/>
          <w:sz w:val="22"/>
          <w:szCs w:val="22"/>
        </w:rPr>
      </w:pPr>
      <w:del w:id="15954" w:author="AbbVie02no" w:date="2025-05-15T14:21:00Z">
        <w:r>
          <w:rPr>
            <w:sz w:val="22"/>
            <w:szCs w:val="22"/>
          </w:rPr>
          <w:delText>lichenoid hudreaksjon (kløende rødlig-lilla utslett).</w:delText>
        </w:r>
      </w:del>
    </w:p>
    <w:p w14:paraId="0A476238" w14:textId="15ABABA8" w:rsidR="00AA0F66" w:rsidRPr="009C5EFD" w:rsidRDefault="00AA0F66" w:rsidP="009C5EFD">
      <w:pPr>
        <w:rPr>
          <w:del w:id="15955" w:author="AbbVie02no" w:date="2025-05-15T14:21:00Z"/>
          <w:sz w:val="22"/>
          <w:szCs w:val="22"/>
        </w:rPr>
      </w:pPr>
    </w:p>
    <w:p w14:paraId="6F8FB56A" w14:textId="5D09D39D" w:rsidR="006C4FDE" w:rsidRDefault="00E453CD" w:rsidP="00AF70AD">
      <w:pPr>
        <w:keepNext/>
        <w:rPr>
          <w:del w:id="15956" w:author="AbbVie02no" w:date="2025-05-15T14:21:00Z"/>
          <w:sz w:val="22"/>
          <w:szCs w:val="22"/>
        </w:rPr>
      </w:pPr>
      <w:del w:id="15957" w:author="AbbVie02no" w:date="2025-05-15T14:21:00Z">
        <w:r w:rsidRPr="006936CB">
          <w:rPr>
            <w:sz w:val="22"/>
            <w:szCs w:val="22"/>
          </w:rPr>
          <w:delText>Ikke kjent</w:delText>
        </w:r>
        <w:r w:rsidRPr="009C5EFD">
          <w:rPr>
            <w:sz w:val="22"/>
            <w:szCs w:val="22"/>
          </w:rPr>
          <w:delText xml:space="preserve"> (</w:delText>
        </w:r>
        <w:r w:rsidR="00E63B3E">
          <w:rPr>
            <w:sz w:val="22"/>
            <w:szCs w:val="22"/>
          </w:rPr>
          <w:delText xml:space="preserve">frekvens </w:delText>
        </w:r>
        <w:r w:rsidRPr="009C5EFD">
          <w:rPr>
            <w:sz w:val="22"/>
            <w:szCs w:val="22"/>
          </w:rPr>
          <w:delText xml:space="preserve">kan ikke </w:delText>
        </w:r>
        <w:r w:rsidR="00CA31D4">
          <w:rPr>
            <w:sz w:val="22"/>
            <w:szCs w:val="22"/>
          </w:rPr>
          <w:delText>anslås</w:delText>
        </w:r>
        <w:r w:rsidRPr="009C5EFD">
          <w:rPr>
            <w:sz w:val="22"/>
            <w:szCs w:val="22"/>
          </w:rPr>
          <w:delText xml:space="preserve"> ut ifra tilgjengelig</w:delText>
        </w:r>
        <w:r w:rsidR="00E63B3E">
          <w:rPr>
            <w:sz w:val="22"/>
            <w:szCs w:val="22"/>
          </w:rPr>
          <w:delText>e</w:delText>
        </w:r>
        <w:r w:rsidRPr="009C5EFD">
          <w:rPr>
            <w:sz w:val="22"/>
            <w:szCs w:val="22"/>
          </w:rPr>
          <w:delText xml:space="preserve"> data)</w:delText>
        </w:r>
      </w:del>
    </w:p>
    <w:p w14:paraId="772F90C0" w14:textId="5D081669" w:rsidR="00BD3F76" w:rsidRPr="009C5EFD" w:rsidRDefault="00BD3F76" w:rsidP="00AF70AD">
      <w:pPr>
        <w:keepNext/>
        <w:rPr>
          <w:del w:id="15958" w:author="AbbVie02no" w:date="2025-05-15T14:21:00Z"/>
          <w:sz w:val="22"/>
          <w:szCs w:val="22"/>
        </w:rPr>
      </w:pPr>
    </w:p>
    <w:p w14:paraId="76D10FA8" w14:textId="206F5A8A" w:rsidR="006C4FDE" w:rsidRPr="009C5EFD" w:rsidRDefault="00E453CD" w:rsidP="00776A84">
      <w:pPr>
        <w:numPr>
          <w:ilvl w:val="0"/>
          <w:numId w:val="49"/>
        </w:numPr>
        <w:tabs>
          <w:tab w:val="clear" w:pos="720"/>
          <w:tab w:val="num" w:pos="567"/>
        </w:tabs>
        <w:ind w:left="567" w:hanging="567"/>
        <w:rPr>
          <w:del w:id="15959" w:author="AbbVie02no" w:date="2025-05-15T14:21:00Z"/>
          <w:sz w:val="22"/>
          <w:szCs w:val="22"/>
        </w:rPr>
      </w:pPr>
      <w:del w:id="15960" w:author="AbbVie02no" w:date="2025-05-15T14:21:00Z">
        <w:r w:rsidRPr="009C5EFD">
          <w:rPr>
            <w:sz w:val="22"/>
            <w:szCs w:val="22"/>
          </w:rPr>
          <w:delText>hepatosplenisk T-cellelymfom (en sjelden form for blodkreft, som ofte er dødelig),</w:delText>
        </w:r>
      </w:del>
    </w:p>
    <w:p w14:paraId="4D528E40" w14:textId="40F11229" w:rsidR="006C4FDE" w:rsidRDefault="00E453CD" w:rsidP="00EE4677">
      <w:pPr>
        <w:numPr>
          <w:ilvl w:val="0"/>
          <w:numId w:val="49"/>
        </w:numPr>
        <w:tabs>
          <w:tab w:val="clear" w:pos="720"/>
          <w:tab w:val="num" w:pos="567"/>
        </w:tabs>
        <w:ind w:left="567" w:hanging="567"/>
        <w:rPr>
          <w:del w:id="15961" w:author="AbbVie02no" w:date="2025-05-15T14:21:00Z"/>
          <w:sz w:val="22"/>
          <w:szCs w:val="22"/>
        </w:rPr>
      </w:pPr>
      <w:del w:id="15962" w:author="AbbVie02no" w:date="2025-05-15T14:21:00Z">
        <w:r w:rsidRPr="009C5EFD">
          <w:rPr>
            <w:sz w:val="22"/>
            <w:szCs w:val="22"/>
          </w:rPr>
          <w:delText>merkelcellekarsinom (en type hudkreft),</w:delText>
        </w:r>
      </w:del>
    </w:p>
    <w:p w14:paraId="73280E94" w14:textId="3188F8A7" w:rsidR="003A4023" w:rsidRPr="000A0941" w:rsidRDefault="00E453CD" w:rsidP="003A4023">
      <w:pPr>
        <w:numPr>
          <w:ilvl w:val="0"/>
          <w:numId w:val="49"/>
        </w:numPr>
        <w:tabs>
          <w:tab w:val="clear" w:pos="720"/>
          <w:tab w:val="num" w:pos="567"/>
        </w:tabs>
        <w:ind w:left="567" w:hanging="567"/>
        <w:rPr>
          <w:del w:id="15963" w:author="AbbVie02no" w:date="2025-05-15T14:21:00Z"/>
          <w:sz w:val="22"/>
          <w:szCs w:val="22"/>
        </w:rPr>
      </w:pPr>
      <w:del w:id="15964" w:author="AbbVie02no" w:date="2025-05-15T14:21:00Z">
        <w:r w:rsidRPr="003A4023">
          <w:rPr>
            <w:sz w:val="22"/>
            <w:szCs w:val="22"/>
          </w:rPr>
          <w:delText>Kaposis sarkom, en sjelden krefttype relatert til in</w:delText>
        </w:r>
        <w:r w:rsidRPr="000A0941">
          <w:rPr>
            <w:sz w:val="22"/>
            <w:szCs w:val="22"/>
          </w:rPr>
          <w:delText>feksjon med humant herpes virus 8. Kaposis sarkom opptrer som oftest som lilla lesjoner i huden</w:delText>
        </w:r>
        <w:r w:rsidR="00E63B3E">
          <w:rPr>
            <w:sz w:val="22"/>
            <w:szCs w:val="22"/>
          </w:rPr>
          <w:delText>,</w:delText>
        </w:r>
      </w:del>
    </w:p>
    <w:p w14:paraId="62C44218" w14:textId="0E6438E6" w:rsidR="006C4FDE" w:rsidRPr="009C5EFD" w:rsidRDefault="00E453CD" w:rsidP="00EE4677">
      <w:pPr>
        <w:numPr>
          <w:ilvl w:val="0"/>
          <w:numId w:val="49"/>
        </w:numPr>
        <w:tabs>
          <w:tab w:val="clear" w:pos="720"/>
          <w:tab w:val="num" w:pos="567"/>
        </w:tabs>
        <w:ind w:left="567" w:hanging="567"/>
        <w:rPr>
          <w:del w:id="15965" w:author="AbbVie02no" w:date="2025-05-15T14:21:00Z"/>
          <w:sz w:val="22"/>
          <w:szCs w:val="22"/>
        </w:rPr>
      </w:pPr>
      <w:del w:id="15966" w:author="AbbVie02no" w:date="2025-05-15T14:21:00Z">
        <w:r w:rsidRPr="009C5EFD">
          <w:rPr>
            <w:sz w:val="22"/>
            <w:szCs w:val="22"/>
          </w:rPr>
          <w:delText>leversvikt</w:delText>
        </w:r>
        <w:r w:rsidR="00961A84">
          <w:rPr>
            <w:sz w:val="22"/>
            <w:szCs w:val="22"/>
          </w:rPr>
          <w:delText>,</w:delText>
        </w:r>
      </w:del>
    </w:p>
    <w:p w14:paraId="1E287627" w14:textId="14D6B465" w:rsidR="00915892" w:rsidRPr="009C5EFD" w:rsidRDefault="00E453CD" w:rsidP="00EE4677">
      <w:pPr>
        <w:numPr>
          <w:ilvl w:val="0"/>
          <w:numId w:val="49"/>
        </w:numPr>
        <w:tabs>
          <w:tab w:val="clear" w:pos="720"/>
          <w:tab w:val="num" w:pos="567"/>
        </w:tabs>
        <w:ind w:left="567" w:hanging="567"/>
        <w:rPr>
          <w:del w:id="15967" w:author="AbbVie02no" w:date="2025-05-15T14:21:00Z"/>
          <w:sz w:val="22"/>
          <w:szCs w:val="22"/>
        </w:rPr>
      </w:pPr>
      <w:del w:id="15968" w:author="AbbVie02no" w:date="2025-05-15T14:21:00Z">
        <w:r w:rsidRPr="009C5EFD">
          <w:rPr>
            <w:sz w:val="22"/>
            <w:szCs w:val="22"/>
          </w:rPr>
          <w:delText>forverring av en tilstand kalt dermatomyositt (forekommer som hudutslett ledsaget med muskelsvakhet)</w:delText>
        </w:r>
        <w:r w:rsidR="00C2280E">
          <w:rPr>
            <w:sz w:val="22"/>
            <w:szCs w:val="22"/>
          </w:rPr>
          <w:delText>,</w:delText>
        </w:r>
      </w:del>
    </w:p>
    <w:p w14:paraId="11496B12" w14:textId="74B6B1C4" w:rsidR="0028328B" w:rsidRPr="00E90360" w:rsidRDefault="00E453CD" w:rsidP="0028328B">
      <w:pPr>
        <w:numPr>
          <w:ilvl w:val="0"/>
          <w:numId w:val="49"/>
        </w:numPr>
        <w:tabs>
          <w:tab w:val="clear" w:pos="720"/>
          <w:tab w:val="num" w:pos="567"/>
        </w:tabs>
        <w:ind w:left="567" w:hanging="567"/>
        <w:rPr>
          <w:del w:id="15969" w:author="AbbVie02no" w:date="2025-05-15T14:21:00Z"/>
          <w:sz w:val="22"/>
          <w:szCs w:val="22"/>
        </w:rPr>
      </w:pPr>
      <w:del w:id="15970" w:author="AbbVie02no" w:date="2025-05-15T14:21:00Z">
        <w:r>
          <w:rPr>
            <w:sz w:val="22"/>
            <w:szCs w:val="22"/>
          </w:rPr>
          <w:delText>vektøkning (for de fleste pasientene var vektøkningen liten)</w:delText>
        </w:r>
        <w:r w:rsidR="00C2280E">
          <w:rPr>
            <w:sz w:val="22"/>
            <w:szCs w:val="22"/>
          </w:rPr>
          <w:delText>.</w:delText>
        </w:r>
      </w:del>
    </w:p>
    <w:p w14:paraId="489D4E28" w14:textId="1FCE9EFF" w:rsidR="006C4FDE" w:rsidRPr="009C5EFD" w:rsidRDefault="006C4FDE" w:rsidP="009C5EFD">
      <w:pPr>
        <w:rPr>
          <w:del w:id="15971" w:author="AbbVie02no" w:date="2025-05-15T14:21:00Z"/>
          <w:sz w:val="22"/>
          <w:szCs w:val="22"/>
        </w:rPr>
      </w:pPr>
    </w:p>
    <w:p w14:paraId="55CC2C59" w14:textId="03E26CA6" w:rsidR="007B668D" w:rsidRPr="009C5EFD" w:rsidRDefault="00E453CD" w:rsidP="009C5EFD">
      <w:pPr>
        <w:rPr>
          <w:del w:id="15972" w:author="AbbVie02no" w:date="2025-05-15T14:21:00Z"/>
          <w:sz w:val="22"/>
          <w:szCs w:val="22"/>
        </w:rPr>
      </w:pPr>
      <w:del w:id="15973" w:author="AbbVie02no" w:date="2025-05-15T14:21:00Z">
        <w:r w:rsidRPr="009C5EFD">
          <w:rPr>
            <w:sz w:val="22"/>
            <w:szCs w:val="22"/>
          </w:rPr>
          <w:delText xml:space="preserve">Noen bivirkninger som er </w:delText>
        </w:r>
        <w:r w:rsidR="000C05A4" w:rsidRPr="009C5EFD">
          <w:rPr>
            <w:sz w:val="22"/>
            <w:szCs w:val="22"/>
          </w:rPr>
          <w:delText>observert med Humira</w:delText>
        </w:r>
        <w:r w:rsidRPr="009C5EFD">
          <w:rPr>
            <w:sz w:val="22"/>
            <w:szCs w:val="22"/>
          </w:rPr>
          <w:delText xml:space="preserve"> har</w:delText>
        </w:r>
        <w:r w:rsidR="007D42E7" w:rsidRPr="009C5EFD">
          <w:rPr>
            <w:sz w:val="22"/>
            <w:szCs w:val="22"/>
          </w:rPr>
          <w:delText xml:space="preserve"> ikke</w:delText>
        </w:r>
        <w:r w:rsidRPr="009C5EFD">
          <w:rPr>
            <w:sz w:val="22"/>
            <w:szCs w:val="22"/>
          </w:rPr>
          <w:delText xml:space="preserve"> symptomer og kan bare vises gjennom blodprøver. Disse er:</w:delText>
        </w:r>
      </w:del>
    </w:p>
    <w:p w14:paraId="14CE27AE" w14:textId="206ED0E8" w:rsidR="007B668D" w:rsidRPr="009C5EFD" w:rsidRDefault="007B668D" w:rsidP="009C5EFD">
      <w:pPr>
        <w:rPr>
          <w:del w:id="15974" w:author="AbbVie02no" w:date="2025-05-15T14:21:00Z"/>
          <w:sz w:val="22"/>
          <w:szCs w:val="22"/>
        </w:rPr>
      </w:pPr>
    </w:p>
    <w:p w14:paraId="43D4ED6A" w14:textId="07999AF5" w:rsidR="007B668D" w:rsidRDefault="00E453CD" w:rsidP="00AF70AD">
      <w:pPr>
        <w:keepNext/>
        <w:suppressAutoHyphens/>
        <w:rPr>
          <w:del w:id="15975" w:author="AbbVie02no" w:date="2025-05-15T14:21:00Z"/>
          <w:sz w:val="22"/>
          <w:szCs w:val="22"/>
        </w:rPr>
      </w:pPr>
      <w:del w:id="15976" w:author="AbbVie02no" w:date="2025-05-15T14:21:00Z">
        <w:r w:rsidRPr="006936CB">
          <w:rPr>
            <w:sz w:val="22"/>
            <w:szCs w:val="22"/>
          </w:rPr>
          <w:delText>Svært vanlige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Pr="009C5EFD">
          <w:rPr>
            <w:sz w:val="22"/>
            <w:szCs w:val="22"/>
          </w:rPr>
          <w:delText xml:space="preserve"> </w:delText>
        </w:r>
        <w:r w:rsidR="001B7481" w:rsidRPr="009C5EFD">
          <w:rPr>
            <w:sz w:val="22"/>
            <w:szCs w:val="22"/>
          </w:rPr>
          <w:delText xml:space="preserve">flere </w:delText>
        </w:r>
        <w:r w:rsidRPr="009C5EFD">
          <w:rPr>
            <w:sz w:val="22"/>
            <w:szCs w:val="22"/>
          </w:rPr>
          <w:delText xml:space="preserve">enn 1 </w:delText>
        </w:r>
        <w:r w:rsidR="00877BAD" w:rsidRPr="009C5EFD">
          <w:rPr>
            <w:sz w:val="22"/>
            <w:szCs w:val="22"/>
          </w:rPr>
          <w:delText>av</w:delText>
        </w:r>
        <w:r w:rsidRPr="009C5EFD">
          <w:rPr>
            <w:sz w:val="22"/>
            <w:szCs w:val="22"/>
          </w:rPr>
          <w:delText xml:space="preserve"> 10 </w:delText>
        </w:r>
        <w:r w:rsidR="00F30EDA" w:rsidRPr="009C5EFD">
          <w:rPr>
            <w:sz w:val="22"/>
            <w:szCs w:val="22"/>
          </w:rPr>
          <w:delText>personer</w:delText>
        </w:r>
        <w:r w:rsidRPr="009C5EFD">
          <w:rPr>
            <w:sz w:val="22"/>
            <w:szCs w:val="22"/>
          </w:rPr>
          <w:delText>)</w:delText>
        </w:r>
      </w:del>
    </w:p>
    <w:p w14:paraId="5AA4E5FB" w14:textId="2ADA4DCC" w:rsidR="00C13645" w:rsidRPr="009C5EFD" w:rsidRDefault="00C13645" w:rsidP="00AF70AD">
      <w:pPr>
        <w:keepNext/>
        <w:suppressAutoHyphens/>
        <w:rPr>
          <w:del w:id="15977" w:author="AbbVie02no" w:date="2025-05-15T14:21:00Z"/>
          <w:sz w:val="22"/>
          <w:szCs w:val="22"/>
        </w:rPr>
      </w:pPr>
    </w:p>
    <w:p w14:paraId="0317AC4C" w14:textId="2A69E5E1" w:rsidR="007B668D" w:rsidRPr="009C5EFD" w:rsidRDefault="00E453CD" w:rsidP="00776A84">
      <w:pPr>
        <w:numPr>
          <w:ilvl w:val="0"/>
          <w:numId w:val="15"/>
        </w:numPr>
        <w:tabs>
          <w:tab w:val="clear" w:pos="720"/>
          <w:tab w:val="num" w:pos="540"/>
        </w:tabs>
        <w:ind w:left="0" w:firstLine="0"/>
        <w:rPr>
          <w:del w:id="15978" w:author="AbbVie02no" w:date="2025-05-15T14:21:00Z"/>
          <w:sz w:val="22"/>
          <w:szCs w:val="22"/>
        </w:rPr>
      </w:pPr>
      <w:del w:id="15979" w:author="AbbVie02no" w:date="2025-05-15T14:21:00Z">
        <w:r w:rsidRPr="009C5EFD">
          <w:rPr>
            <w:sz w:val="22"/>
            <w:szCs w:val="22"/>
          </w:rPr>
          <w:delText>lave blodverdier for hvite blodlegemer,</w:delText>
        </w:r>
      </w:del>
    </w:p>
    <w:p w14:paraId="3E39987B" w14:textId="0DBCAD37" w:rsidR="007B668D" w:rsidRPr="009C5EFD" w:rsidRDefault="00E453CD" w:rsidP="00EE4677">
      <w:pPr>
        <w:numPr>
          <w:ilvl w:val="0"/>
          <w:numId w:val="15"/>
        </w:numPr>
        <w:tabs>
          <w:tab w:val="clear" w:pos="720"/>
          <w:tab w:val="num" w:pos="540"/>
        </w:tabs>
        <w:ind w:left="0" w:firstLine="0"/>
        <w:rPr>
          <w:del w:id="15980" w:author="AbbVie02no" w:date="2025-05-15T14:21:00Z"/>
          <w:sz w:val="22"/>
          <w:szCs w:val="22"/>
        </w:rPr>
      </w:pPr>
      <w:del w:id="15981" w:author="AbbVie02no" w:date="2025-05-15T14:21:00Z">
        <w:r w:rsidRPr="009C5EFD">
          <w:rPr>
            <w:sz w:val="22"/>
            <w:szCs w:val="22"/>
          </w:rPr>
          <w:delText>lave blodverdier for røde blodlegemer,</w:delText>
        </w:r>
      </w:del>
    </w:p>
    <w:p w14:paraId="429B7B5B" w14:textId="38E35391" w:rsidR="007B668D" w:rsidRPr="009C5EFD" w:rsidRDefault="00E453CD" w:rsidP="00EE4677">
      <w:pPr>
        <w:numPr>
          <w:ilvl w:val="0"/>
          <w:numId w:val="15"/>
        </w:numPr>
        <w:tabs>
          <w:tab w:val="clear" w:pos="720"/>
          <w:tab w:val="num" w:pos="540"/>
        </w:tabs>
        <w:ind w:left="0" w:firstLine="0"/>
        <w:rPr>
          <w:del w:id="15982" w:author="AbbVie02no" w:date="2025-05-15T14:21:00Z"/>
          <w:sz w:val="22"/>
          <w:szCs w:val="22"/>
        </w:rPr>
      </w:pPr>
      <w:del w:id="15983" w:author="AbbVie02no" w:date="2025-05-15T14:21:00Z">
        <w:r w:rsidRPr="009C5EFD">
          <w:rPr>
            <w:sz w:val="22"/>
            <w:szCs w:val="22"/>
          </w:rPr>
          <w:delText>forhøyede lipider i blod,</w:delText>
        </w:r>
      </w:del>
    </w:p>
    <w:p w14:paraId="61D82647" w14:textId="05E6F78F" w:rsidR="007B668D" w:rsidRPr="009C5EFD" w:rsidRDefault="00E453CD" w:rsidP="00EE4677">
      <w:pPr>
        <w:numPr>
          <w:ilvl w:val="0"/>
          <w:numId w:val="15"/>
        </w:numPr>
        <w:tabs>
          <w:tab w:val="clear" w:pos="720"/>
          <w:tab w:val="num" w:pos="540"/>
        </w:tabs>
        <w:ind w:left="0" w:firstLine="0"/>
        <w:rPr>
          <w:del w:id="15984" w:author="AbbVie02no" w:date="2025-05-15T14:21:00Z"/>
          <w:sz w:val="22"/>
          <w:szCs w:val="22"/>
        </w:rPr>
      </w:pPr>
      <w:del w:id="15985" w:author="AbbVie02no" w:date="2025-05-15T14:21:00Z">
        <w:r w:rsidRPr="009C5EFD">
          <w:rPr>
            <w:sz w:val="22"/>
            <w:szCs w:val="22"/>
          </w:rPr>
          <w:delText>forhøyede leverenzymer.</w:delText>
        </w:r>
      </w:del>
    </w:p>
    <w:p w14:paraId="3C4151ED" w14:textId="08B3D516" w:rsidR="00F30EDA" w:rsidRPr="009C5EFD" w:rsidRDefault="00F30EDA" w:rsidP="009C5EFD">
      <w:pPr>
        <w:rPr>
          <w:del w:id="15986" w:author="AbbVie02no" w:date="2025-05-15T14:21:00Z"/>
          <w:sz w:val="22"/>
          <w:szCs w:val="22"/>
        </w:rPr>
      </w:pPr>
    </w:p>
    <w:p w14:paraId="30F0CCA9" w14:textId="755EAB19" w:rsidR="00C13645" w:rsidRDefault="00E453CD" w:rsidP="00AF70AD">
      <w:pPr>
        <w:keepNext/>
        <w:suppressAutoHyphens/>
        <w:rPr>
          <w:del w:id="15987" w:author="AbbVie02no" w:date="2025-05-15T14:21:00Z"/>
          <w:sz w:val="22"/>
          <w:szCs w:val="22"/>
        </w:rPr>
      </w:pPr>
      <w:del w:id="15988" w:author="AbbVie02no" w:date="2025-05-15T14:21:00Z">
        <w:r w:rsidRPr="006936CB">
          <w:rPr>
            <w:sz w:val="22"/>
            <w:szCs w:val="22"/>
          </w:rPr>
          <w:delText>Vanlige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00F30EDA" w:rsidRPr="009C5EFD">
          <w:rPr>
            <w:sz w:val="22"/>
            <w:szCs w:val="22"/>
          </w:rPr>
          <w:delText xml:space="preserve"> opptil</w:delText>
        </w:r>
        <w:r w:rsidR="003B66F8" w:rsidRPr="009C5EFD">
          <w:rPr>
            <w:sz w:val="22"/>
            <w:szCs w:val="22"/>
          </w:rPr>
          <w:delText xml:space="preserve"> </w:delText>
        </w:r>
        <w:r w:rsidRPr="009C5EFD">
          <w:rPr>
            <w:sz w:val="22"/>
            <w:szCs w:val="22"/>
          </w:rPr>
          <w:delText xml:space="preserve">1 </w:delText>
        </w:r>
        <w:r w:rsidR="00877BAD" w:rsidRPr="009C5EFD">
          <w:rPr>
            <w:sz w:val="22"/>
            <w:szCs w:val="22"/>
          </w:rPr>
          <w:delText>av</w:delText>
        </w:r>
        <w:r w:rsidRPr="009C5EFD">
          <w:rPr>
            <w:sz w:val="22"/>
            <w:szCs w:val="22"/>
          </w:rPr>
          <w:delText xml:space="preserve"> 10 </w:delText>
        </w:r>
        <w:r w:rsidR="00F30EDA" w:rsidRPr="009C5EFD">
          <w:rPr>
            <w:sz w:val="22"/>
            <w:szCs w:val="22"/>
          </w:rPr>
          <w:delText>personer</w:delText>
        </w:r>
        <w:r w:rsidRPr="009C5EFD">
          <w:rPr>
            <w:sz w:val="22"/>
            <w:szCs w:val="22"/>
          </w:rPr>
          <w:delText>)</w:delText>
        </w:r>
      </w:del>
    </w:p>
    <w:p w14:paraId="20E847E3" w14:textId="4BD6C7E1" w:rsidR="007B668D" w:rsidRPr="009C5EFD" w:rsidRDefault="007B668D" w:rsidP="00AF70AD">
      <w:pPr>
        <w:keepNext/>
        <w:suppressAutoHyphens/>
        <w:rPr>
          <w:del w:id="15989" w:author="AbbVie02no" w:date="2025-05-15T14:21:00Z"/>
          <w:sz w:val="22"/>
          <w:szCs w:val="22"/>
        </w:rPr>
      </w:pPr>
    </w:p>
    <w:p w14:paraId="0A1A96CD" w14:textId="7CDE4BE1" w:rsidR="007B668D" w:rsidRPr="009C5EFD" w:rsidRDefault="00E453CD" w:rsidP="00776A84">
      <w:pPr>
        <w:numPr>
          <w:ilvl w:val="0"/>
          <w:numId w:val="15"/>
        </w:numPr>
        <w:tabs>
          <w:tab w:val="clear" w:pos="720"/>
          <w:tab w:val="num" w:pos="540"/>
        </w:tabs>
        <w:ind w:left="0" w:firstLine="0"/>
        <w:rPr>
          <w:del w:id="15990" w:author="AbbVie02no" w:date="2025-05-15T14:21:00Z"/>
          <w:sz w:val="22"/>
          <w:szCs w:val="22"/>
        </w:rPr>
      </w:pPr>
      <w:del w:id="15991" w:author="AbbVie02no" w:date="2025-05-15T14:21:00Z">
        <w:r w:rsidRPr="009C5EFD">
          <w:rPr>
            <w:sz w:val="22"/>
            <w:szCs w:val="22"/>
          </w:rPr>
          <w:delText>høye blodverdier for hvite blodlegemer,</w:delText>
        </w:r>
      </w:del>
    </w:p>
    <w:p w14:paraId="3917E6F4" w14:textId="05F39C0B" w:rsidR="007B668D" w:rsidRPr="009C5EFD" w:rsidRDefault="00E453CD" w:rsidP="00EE4677">
      <w:pPr>
        <w:numPr>
          <w:ilvl w:val="0"/>
          <w:numId w:val="15"/>
        </w:numPr>
        <w:tabs>
          <w:tab w:val="clear" w:pos="720"/>
          <w:tab w:val="num" w:pos="540"/>
        </w:tabs>
        <w:ind w:left="0" w:firstLine="0"/>
        <w:rPr>
          <w:del w:id="15992" w:author="AbbVie02no" w:date="2025-05-15T14:21:00Z"/>
          <w:sz w:val="22"/>
          <w:szCs w:val="22"/>
        </w:rPr>
      </w:pPr>
      <w:del w:id="15993" w:author="AbbVie02no" w:date="2025-05-15T14:21:00Z">
        <w:r w:rsidRPr="009C5EFD">
          <w:rPr>
            <w:sz w:val="22"/>
            <w:szCs w:val="22"/>
          </w:rPr>
          <w:delText>lave blodverdier for blodplater,</w:delText>
        </w:r>
      </w:del>
    </w:p>
    <w:p w14:paraId="6503E61F" w14:textId="7D63E8F3" w:rsidR="007B668D" w:rsidRPr="009C5EFD" w:rsidRDefault="00E453CD" w:rsidP="00EE4677">
      <w:pPr>
        <w:numPr>
          <w:ilvl w:val="0"/>
          <w:numId w:val="15"/>
        </w:numPr>
        <w:tabs>
          <w:tab w:val="clear" w:pos="720"/>
          <w:tab w:val="num" w:pos="540"/>
        </w:tabs>
        <w:ind w:left="0" w:firstLine="0"/>
        <w:rPr>
          <w:del w:id="15994" w:author="AbbVie02no" w:date="2025-05-15T14:21:00Z"/>
          <w:sz w:val="22"/>
          <w:szCs w:val="22"/>
        </w:rPr>
      </w:pPr>
      <w:del w:id="15995" w:author="AbbVie02no" w:date="2025-05-15T14:21:00Z">
        <w:r w:rsidRPr="009C5EFD">
          <w:rPr>
            <w:sz w:val="22"/>
            <w:szCs w:val="22"/>
          </w:rPr>
          <w:delText>forhøyet urinsyre i blod,</w:delText>
        </w:r>
      </w:del>
    </w:p>
    <w:p w14:paraId="61A0180A" w14:textId="1F87EA6F" w:rsidR="007B668D" w:rsidRPr="009C5EFD" w:rsidRDefault="00E453CD" w:rsidP="00EE4677">
      <w:pPr>
        <w:numPr>
          <w:ilvl w:val="0"/>
          <w:numId w:val="15"/>
        </w:numPr>
        <w:tabs>
          <w:tab w:val="clear" w:pos="720"/>
          <w:tab w:val="num" w:pos="540"/>
        </w:tabs>
        <w:ind w:left="0" w:firstLine="0"/>
        <w:rPr>
          <w:del w:id="15996" w:author="AbbVie02no" w:date="2025-05-15T14:21:00Z"/>
          <w:sz w:val="22"/>
          <w:szCs w:val="22"/>
        </w:rPr>
      </w:pPr>
      <w:del w:id="15997" w:author="AbbVie02no" w:date="2025-05-15T14:21:00Z">
        <w:r w:rsidRPr="009C5EFD">
          <w:rPr>
            <w:sz w:val="22"/>
            <w:szCs w:val="22"/>
          </w:rPr>
          <w:delText>unormale blodverdier for natrium,</w:delText>
        </w:r>
      </w:del>
    </w:p>
    <w:p w14:paraId="55C71D3C" w14:textId="7FE719C3" w:rsidR="007B668D" w:rsidRPr="009C5EFD" w:rsidRDefault="00E453CD" w:rsidP="00EE4677">
      <w:pPr>
        <w:numPr>
          <w:ilvl w:val="0"/>
          <w:numId w:val="15"/>
        </w:numPr>
        <w:tabs>
          <w:tab w:val="clear" w:pos="720"/>
          <w:tab w:val="num" w:pos="540"/>
        </w:tabs>
        <w:ind w:left="0" w:firstLine="0"/>
        <w:rPr>
          <w:del w:id="15998" w:author="AbbVie02no" w:date="2025-05-15T14:21:00Z"/>
          <w:sz w:val="22"/>
          <w:szCs w:val="22"/>
        </w:rPr>
      </w:pPr>
      <w:del w:id="15999" w:author="AbbVie02no" w:date="2025-05-15T14:21:00Z">
        <w:r w:rsidRPr="009C5EFD">
          <w:rPr>
            <w:sz w:val="22"/>
            <w:szCs w:val="22"/>
          </w:rPr>
          <w:delText>lave blodverdier for kalsium,</w:delText>
        </w:r>
      </w:del>
    </w:p>
    <w:p w14:paraId="52B96C53" w14:textId="6C16AC85" w:rsidR="007B668D" w:rsidRPr="009C5EFD" w:rsidRDefault="00E453CD" w:rsidP="00EE4677">
      <w:pPr>
        <w:numPr>
          <w:ilvl w:val="0"/>
          <w:numId w:val="15"/>
        </w:numPr>
        <w:tabs>
          <w:tab w:val="clear" w:pos="720"/>
          <w:tab w:val="num" w:pos="540"/>
        </w:tabs>
        <w:ind w:left="0" w:firstLine="0"/>
        <w:rPr>
          <w:del w:id="16000" w:author="AbbVie02no" w:date="2025-05-15T14:21:00Z"/>
          <w:sz w:val="22"/>
          <w:szCs w:val="22"/>
        </w:rPr>
      </w:pPr>
      <w:del w:id="16001" w:author="AbbVie02no" w:date="2025-05-15T14:21:00Z">
        <w:r w:rsidRPr="009C5EFD">
          <w:rPr>
            <w:sz w:val="22"/>
            <w:szCs w:val="22"/>
          </w:rPr>
          <w:delText>lave blodverdier for fosfat,</w:delText>
        </w:r>
      </w:del>
    </w:p>
    <w:p w14:paraId="2E7D8AB7" w14:textId="46B03372" w:rsidR="007B668D" w:rsidRPr="009C5EFD" w:rsidRDefault="00E453CD" w:rsidP="00EE4677">
      <w:pPr>
        <w:numPr>
          <w:ilvl w:val="0"/>
          <w:numId w:val="15"/>
        </w:numPr>
        <w:tabs>
          <w:tab w:val="clear" w:pos="720"/>
          <w:tab w:val="num" w:pos="540"/>
        </w:tabs>
        <w:ind w:left="0" w:firstLine="0"/>
        <w:rPr>
          <w:del w:id="16002" w:author="AbbVie02no" w:date="2025-05-15T14:21:00Z"/>
          <w:sz w:val="22"/>
          <w:szCs w:val="22"/>
        </w:rPr>
      </w:pPr>
      <w:del w:id="16003" w:author="AbbVie02no" w:date="2025-05-15T14:21:00Z">
        <w:r w:rsidRPr="009C5EFD">
          <w:rPr>
            <w:sz w:val="22"/>
            <w:szCs w:val="22"/>
          </w:rPr>
          <w:delText>høyt blodsukker,</w:delText>
        </w:r>
      </w:del>
    </w:p>
    <w:p w14:paraId="213F4ACD" w14:textId="0C40ECD4" w:rsidR="007B668D" w:rsidRPr="009C5EFD" w:rsidRDefault="00E453CD" w:rsidP="00EE4677">
      <w:pPr>
        <w:numPr>
          <w:ilvl w:val="0"/>
          <w:numId w:val="15"/>
        </w:numPr>
        <w:tabs>
          <w:tab w:val="clear" w:pos="720"/>
          <w:tab w:val="num" w:pos="540"/>
        </w:tabs>
        <w:ind w:left="0" w:firstLine="0"/>
        <w:rPr>
          <w:del w:id="16004" w:author="AbbVie02no" w:date="2025-05-15T14:21:00Z"/>
          <w:sz w:val="22"/>
          <w:szCs w:val="22"/>
        </w:rPr>
      </w:pPr>
      <w:del w:id="16005" w:author="AbbVie02no" w:date="2025-05-15T14:21:00Z">
        <w:r w:rsidRPr="009C5EFD">
          <w:rPr>
            <w:sz w:val="22"/>
            <w:szCs w:val="22"/>
          </w:rPr>
          <w:lastRenderedPageBreak/>
          <w:delText>høye blodverdier for laktatdehydrogenase,</w:delText>
        </w:r>
      </w:del>
    </w:p>
    <w:p w14:paraId="1425566B" w14:textId="1D13A2BC" w:rsidR="007B668D" w:rsidRDefault="00E453CD" w:rsidP="00EE4677">
      <w:pPr>
        <w:numPr>
          <w:ilvl w:val="0"/>
          <w:numId w:val="15"/>
        </w:numPr>
        <w:tabs>
          <w:tab w:val="clear" w:pos="720"/>
          <w:tab w:val="num" w:pos="540"/>
        </w:tabs>
        <w:ind w:left="0" w:firstLine="0"/>
        <w:rPr>
          <w:del w:id="16006" w:author="AbbVie02no" w:date="2025-05-15T14:21:00Z"/>
          <w:sz w:val="22"/>
          <w:szCs w:val="22"/>
        </w:rPr>
      </w:pPr>
      <w:del w:id="16007" w:author="AbbVie02no" w:date="2025-05-15T14:21:00Z">
        <w:r w:rsidRPr="009C5EFD">
          <w:rPr>
            <w:sz w:val="22"/>
            <w:szCs w:val="22"/>
          </w:rPr>
          <w:delText>tilsted</w:delText>
        </w:r>
        <w:r w:rsidR="009F3F87" w:rsidRPr="009C5EFD">
          <w:rPr>
            <w:sz w:val="22"/>
            <w:szCs w:val="22"/>
          </w:rPr>
          <w:delText>e</w:delText>
        </w:r>
        <w:r w:rsidRPr="009C5EFD">
          <w:rPr>
            <w:sz w:val="22"/>
            <w:szCs w:val="22"/>
          </w:rPr>
          <w:delText>værelse av autoantistoffer i blod</w:delText>
        </w:r>
        <w:r w:rsidR="00750CB0">
          <w:rPr>
            <w:sz w:val="22"/>
            <w:szCs w:val="22"/>
          </w:rPr>
          <w:delText>,</w:delText>
        </w:r>
      </w:del>
    </w:p>
    <w:p w14:paraId="77710655" w14:textId="3BD10AB7" w:rsidR="00750CB0" w:rsidRPr="00E90360" w:rsidRDefault="00E453CD" w:rsidP="00750CB0">
      <w:pPr>
        <w:numPr>
          <w:ilvl w:val="0"/>
          <w:numId w:val="15"/>
        </w:numPr>
        <w:tabs>
          <w:tab w:val="clear" w:pos="720"/>
          <w:tab w:val="num" w:pos="540"/>
        </w:tabs>
        <w:ind w:left="0" w:firstLine="0"/>
        <w:rPr>
          <w:del w:id="16008" w:author="AbbVie02no" w:date="2025-05-15T14:21:00Z"/>
          <w:sz w:val="22"/>
          <w:szCs w:val="22"/>
        </w:rPr>
      </w:pPr>
      <w:del w:id="16009" w:author="AbbVie02no" w:date="2025-05-15T14:21:00Z">
        <w:r>
          <w:rPr>
            <w:sz w:val="22"/>
            <w:szCs w:val="22"/>
          </w:rPr>
          <w:delText>lavt kaliumnivå i blodet.</w:delText>
        </w:r>
      </w:del>
    </w:p>
    <w:p w14:paraId="460CE550" w14:textId="5D94D2AA" w:rsidR="00750CB0" w:rsidRDefault="00750CB0" w:rsidP="00750CB0">
      <w:pPr>
        <w:rPr>
          <w:del w:id="16010" w:author="AbbVie02no" w:date="2025-05-15T14:21:00Z"/>
          <w:sz w:val="22"/>
          <w:szCs w:val="22"/>
        </w:rPr>
      </w:pPr>
    </w:p>
    <w:p w14:paraId="77C60068" w14:textId="591DB8F5" w:rsidR="00750CB0" w:rsidRPr="00E90360" w:rsidRDefault="00E453CD" w:rsidP="00750CB0">
      <w:pPr>
        <w:keepNext/>
        <w:rPr>
          <w:del w:id="16011" w:author="AbbVie02no" w:date="2025-05-15T14:21:00Z"/>
          <w:sz w:val="22"/>
          <w:szCs w:val="22"/>
        </w:rPr>
      </w:pPr>
      <w:del w:id="16012" w:author="AbbVie02no" w:date="2025-05-15T14:21:00Z">
        <w:r w:rsidRPr="006936CB">
          <w:rPr>
            <w:sz w:val="22"/>
          </w:rPr>
          <w:delText>Mindre vanlige</w:delText>
        </w:r>
        <w:r w:rsidRPr="00E90360">
          <w:rPr>
            <w:sz w:val="22"/>
            <w:szCs w:val="22"/>
          </w:rPr>
          <w:delText xml:space="preserve"> (</w:delText>
        </w:r>
        <w:r>
          <w:rPr>
            <w:sz w:val="22"/>
            <w:szCs w:val="22"/>
          </w:rPr>
          <w:delText>kan forekomme hos opptil 1 av 100 personer</w:delText>
        </w:r>
        <w:r w:rsidRPr="00E90360">
          <w:rPr>
            <w:sz w:val="22"/>
            <w:szCs w:val="22"/>
          </w:rPr>
          <w:delText>)</w:delText>
        </w:r>
      </w:del>
    </w:p>
    <w:p w14:paraId="020A8787" w14:textId="644D6B9D" w:rsidR="00750CB0" w:rsidRPr="00E90360" w:rsidRDefault="00750CB0" w:rsidP="00750CB0">
      <w:pPr>
        <w:keepNext/>
        <w:rPr>
          <w:del w:id="16013" w:author="AbbVie02no" w:date="2025-05-15T14:21:00Z"/>
          <w:sz w:val="22"/>
          <w:szCs w:val="22"/>
        </w:rPr>
      </w:pPr>
    </w:p>
    <w:p w14:paraId="68FDEF54" w14:textId="1E58A46D" w:rsidR="00750CB0" w:rsidRPr="00E90360" w:rsidRDefault="00E453CD" w:rsidP="00776A84">
      <w:pPr>
        <w:numPr>
          <w:ilvl w:val="0"/>
          <w:numId w:val="15"/>
        </w:numPr>
        <w:tabs>
          <w:tab w:val="clear" w:pos="720"/>
          <w:tab w:val="num" w:pos="540"/>
        </w:tabs>
        <w:ind w:left="0" w:firstLine="0"/>
        <w:rPr>
          <w:del w:id="16014" w:author="AbbVie02no" w:date="2025-05-15T14:21:00Z"/>
          <w:sz w:val="22"/>
          <w:szCs w:val="22"/>
        </w:rPr>
      </w:pPr>
      <w:del w:id="16015" w:author="AbbVie02no" w:date="2025-05-15T14:21:00Z">
        <w:r>
          <w:rPr>
            <w:sz w:val="22"/>
            <w:szCs w:val="22"/>
          </w:rPr>
          <w:delText>forhøyede bilirubinverdier (leverblodprøve).</w:delText>
        </w:r>
      </w:del>
    </w:p>
    <w:p w14:paraId="70D34694" w14:textId="49A89F52" w:rsidR="007B668D" w:rsidRPr="009C5EFD" w:rsidRDefault="007B668D" w:rsidP="009C5EFD">
      <w:pPr>
        <w:rPr>
          <w:del w:id="16016" w:author="AbbVie02no" w:date="2025-05-15T14:21:00Z"/>
          <w:sz w:val="22"/>
          <w:szCs w:val="22"/>
        </w:rPr>
      </w:pPr>
    </w:p>
    <w:p w14:paraId="74477D2B" w14:textId="24A5FDEB" w:rsidR="007B668D" w:rsidRDefault="00E453CD" w:rsidP="00AF70AD">
      <w:pPr>
        <w:keepNext/>
        <w:rPr>
          <w:del w:id="16017" w:author="AbbVie02no" w:date="2025-05-15T14:21:00Z"/>
          <w:sz w:val="22"/>
          <w:szCs w:val="22"/>
        </w:rPr>
      </w:pPr>
      <w:del w:id="16018" w:author="AbbVie02no" w:date="2025-05-15T14:21:00Z">
        <w:r w:rsidRPr="006936CB">
          <w:rPr>
            <w:sz w:val="22"/>
            <w:szCs w:val="22"/>
          </w:rPr>
          <w:delText>Sjeldne</w:delText>
        </w:r>
        <w:r w:rsidRPr="009C5EFD">
          <w:rPr>
            <w:sz w:val="22"/>
            <w:szCs w:val="22"/>
          </w:rPr>
          <w:delText xml:space="preserve"> (</w:delText>
        </w:r>
        <w:r w:rsidR="00F30EDA" w:rsidRPr="009C5EFD">
          <w:rPr>
            <w:sz w:val="22"/>
            <w:szCs w:val="22"/>
          </w:rPr>
          <w:delText xml:space="preserve">kan </w:delText>
        </w:r>
        <w:r w:rsidR="003B66F8" w:rsidRPr="009C5EFD">
          <w:rPr>
            <w:sz w:val="22"/>
            <w:szCs w:val="22"/>
          </w:rPr>
          <w:delText>forekomme hos</w:delText>
        </w:r>
        <w:r w:rsidR="00F30EDA" w:rsidRPr="009C5EFD">
          <w:rPr>
            <w:sz w:val="22"/>
            <w:szCs w:val="22"/>
          </w:rPr>
          <w:delText xml:space="preserve"> opptil</w:delText>
        </w:r>
        <w:r w:rsidR="008861C9" w:rsidRPr="009C5EFD">
          <w:rPr>
            <w:sz w:val="22"/>
            <w:szCs w:val="22"/>
          </w:rPr>
          <w:delText xml:space="preserve"> </w:delText>
        </w:r>
        <w:r w:rsidRPr="009C5EFD">
          <w:rPr>
            <w:sz w:val="22"/>
            <w:szCs w:val="22"/>
          </w:rPr>
          <w:delText xml:space="preserve">1 </w:delText>
        </w:r>
        <w:r w:rsidR="004A34E7" w:rsidRPr="009C5EFD">
          <w:rPr>
            <w:sz w:val="22"/>
            <w:szCs w:val="22"/>
          </w:rPr>
          <w:delText>av</w:delText>
        </w:r>
        <w:r w:rsidRPr="009C5EFD">
          <w:rPr>
            <w:sz w:val="22"/>
            <w:szCs w:val="22"/>
          </w:rPr>
          <w:delText xml:space="preserve"> 1000 </w:delText>
        </w:r>
        <w:r w:rsidR="00F30EDA" w:rsidRPr="009C5EFD">
          <w:rPr>
            <w:sz w:val="22"/>
            <w:szCs w:val="22"/>
          </w:rPr>
          <w:delText>personer</w:delText>
        </w:r>
        <w:r w:rsidRPr="009C5EFD">
          <w:rPr>
            <w:sz w:val="22"/>
            <w:szCs w:val="22"/>
          </w:rPr>
          <w:delText>)</w:delText>
        </w:r>
      </w:del>
    </w:p>
    <w:p w14:paraId="7599DFEA" w14:textId="0F0AE815" w:rsidR="00C13645" w:rsidRPr="009C5EFD" w:rsidRDefault="00C13645" w:rsidP="00AF70AD">
      <w:pPr>
        <w:keepNext/>
        <w:rPr>
          <w:del w:id="16019" w:author="AbbVie02no" w:date="2025-05-15T14:21:00Z"/>
          <w:sz w:val="22"/>
          <w:szCs w:val="22"/>
        </w:rPr>
      </w:pPr>
    </w:p>
    <w:p w14:paraId="2B30199B" w14:textId="3DE6C5BB" w:rsidR="007B668D" w:rsidRPr="009C5EFD" w:rsidRDefault="00E453CD" w:rsidP="00776A84">
      <w:pPr>
        <w:numPr>
          <w:ilvl w:val="0"/>
          <w:numId w:val="15"/>
        </w:numPr>
        <w:tabs>
          <w:tab w:val="clear" w:pos="720"/>
          <w:tab w:val="num" w:pos="540"/>
        </w:tabs>
        <w:ind w:left="0" w:firstLine="0"/>
        <w:rPr>
          <w:del w:id="16020" w:author="AbbVie02no" w:date="2025-05-15T14:21:00Z"/>
          <w:sz w:val="22"/>
          <w:szCs w:val="22"/>
        </w:rPr>
      </w:pPr>
      <w:del w:id="16021" w:author="AbbVie02no" w:date="2025-05-15T14:21:00Z">
        <w:r w:rsidRPr="009C5EFD">
          <w:rPr>
            <w:sz w:val="22"/>
            <w:szCs w:val="22"/>
          </w:rPr>
          <w:delText>lave blodverdier for hvite blodlegemer, røde blodlegemer og antall plater.</w:delText>
        </w:r>
      </w:del>
    </w:p>
    <w:p w14:paraId="6F53240D" w14:textId="593C7D96" w:rsidR="00DE3458" w:rsidRPr="009C5EFD" w:rsidRDefault="00DE3458" w:rsidP="009C5EFD">
      <w:pPr>
        <w:suppressAutoHyphens/>
        <w:rPr>
          <w:del w:id="16022" w:author="AbbVie02no" w:date="2025-05-15T14:21:00Z"/>
          <w:sz w:val="22"/>
          <w:szCs w:val="22"/>
        </w:rPr>
      </w:pPr>
    </w:p>
    <w:p w14:paraId="639AF145" w14:textId="304E01A4" w:rsidR="00A23010" w:rsidRPr="001C217B" w:rsidRDefault="00E453CD" w:rsidP="00825C6F">
      <w:pPr>
        <w:keepNext/>
        <w:rPr>
          <w:del w:id="16023" w:author="AbbVie02no" w:date="2025-05-15T14:21:00Z"/>
          <w:b/>
          <w:sz w:val="22"/>
        </w:rPr>
      </w:pPr>
      <w:del w:id="16024" w:author="AbbVie02no" w:date="2025-05-15T14:21:00Z">
        <w:r w:rsidRPr="001C217B">
          <w:rPr>
            <w:rFonts w:eastAsia="SimSun"/>
            <w:b/>
            <w:sz w:val="22"/>
          </w:rPr>
          <w:delText>Melding av bivirkninger</w:delText>
        </w:r>
      </w:del>
    </w:p>
    <w:p w14:paraId="4A26C94B" w14:textId="1880BF6D" w:rsidR="00DE3458" w:rsidRPr="005C4BE2" w:rsidRDefault="00E453CD" w:rsidP="00776A84">
      <w:pPr>
        <w:rPr>
          <w:del w:id="16025" w:author="AbbVie02no" w:date="2025-05-15T14:21:00Z"/>
          <w:sz w:val="22"/>
          <w:szCs w:val="22"/>
        </w:rPr>
      </w:pPr>
      <w:del w:id="16026" w:author="AbbVie02no" w:date="2025-05-15T14:21:00Z">
        <w:r w:rsidRPr="005C4BE2">
          <w:rPr>
            <w:sz w:val="22"/>
            <w:szCs w:val="22"/>
          </w:rPr>
          <w:delText xml:space="preserve">Kontakt lege eller apotek dersom </w:delText>
        </w:r>
        <w:r w:rsidR="007C3745" w:rsidRPr="005C4BE2">
          <w:rPr>
            <w:sz w:val="22"/>
            <w:szCs w:val="22"/>
          </w:rPr>
          <w:delText>du opplever</w:delText>
        </w:r>
        <w:r w:rsidR="00660C63" w:rsidRPr="005C4BE2">
          <w:rPr>
            <w:sz w:val="22"/>
            <w:szCs w:val="22"/>
          </w:rPr>
          <w:delText xml:space="preserve"> </w:delText>
        </w:r>
        <w:r w:rsidRPr="005C4BE2">
          <w:rPr>
            <w:sz w:val="22"/>
            <w:szCs w:val="22"/>
          </w:rPr>
          <w:delText>bivirkninge</w:delText>
        </w:r>
        <w:r w:rsidR="00660C63" w:rsidRPr="005C4BE2">
          <w:rPr>
            <w:sz w:val="22"/>
            <w:szCs w:val="22"/>
          </w:rPr>
          <w:delText>r</w:delText>
        </w:r>
        <w:r w:rsidR="007C5DA8">
          <w:rPr>
            <w:sz w:val="22"/>
            <w:szCs w:val="22"/>
          </w:rPr>
          <w:delText xml:space="preserve">. </w:delText>
        </w:r>
        <w:r w:rsidR="007C5DA8" w:rsidRPr="007C5DA8">
          <w:rPr>
            <w:sz w:val="22"/>
            <w:szCs w:val="22"/>
          </w:rPr>
          <w:delText>Dette</w:delText>
        </w:r>
        <w:r w:rsidR="00A71697">
          <w:rPr>
            <w:sz w:val="22"/>
            <w:szCs w:val="22"/>
          </w:rPr>
          <w:delText xml:space="preserve"> </w:delText>
        </w:r>
        <w:r w:rsidR="007C5DA8" w:rsidRPr="007C5DA8">
          <w:rPr>
            <w:sz w:val="22"/>
            <w:szCs w:val="22"/>
          </w:rPr>
          <w:delText>gjelder også</w:delText>
        </w:r>
        <w:r w:rsidRPr="005C4BE2">
          <w:rPr>
            <w:sz w:val="22"/>
            <w:szCs w:val="22"/>
          </w:rPr>
          <w:delText xml:space="preserve"> bivirkninger som ikke er nevnt i pakningsvedlegget.</w:delText>
        </w:r>
        <w:r w:rsidR="00A23010" w:rsidRPr="005C4BE2">
          <w:rPr>
            <w:sz w:val="22"/>
            <w:szCs w:val="22"/>
          </w:rPr>
          <w:delText xml:space="preserve"> </w:delText>
        </w:r>
        <w:r w:rsidR="00A23010" w:rsidRPr="001F5D4B">
          <w:rPr>
            <w:sz w:val="22"/>
            <w:szCs w:val="22"/>
          </w:rPr>
          <w:delText xml:space="preserve">Du kan også melde fra om bivirkninger direkte via </w:delText>
        </w:r>
        <w:r w:rsidR="00AB5EFC" w:rsidRPr="008B252B">
          <w:rPr>
            <w:noProof/>
            <w:sz w:val="22"/>
            <w:szCs w:val="22"/>
            <w:highlight w:val="lightGray"/>
          </w:rPr>
          <w:delText>det nasjonale meldesystemet som beskrevet i</w:delText>
        </w:r>
        <w:r w:rsidR="00AB5EFC" w:rsidRPr="008B252B">
          <w:rPr>
            <w:sz w:val="22"/>
            <w:szCs w:val="22"/>
            <w:highlight w:val="lightGray"/>
          </w:rPr>
          <w:delText xml:space="preserve"> </w:delText>
        </w:r>
        <w:r w:rsidR="00AE324E">
          <w:fldChar w:fldCharType="begin"/>
        </w:r>
        <w:r w:rsidR="00AE324E">
          <w:delInstrText>HYPERLINK "http://www.ema.europa.eu/docs/en_GB/document_library/Template_or_form/2013/03/WC500139752.doc"</w:delInstrText>
        </w:r>
        <w:r w:rsidR="00AE324E">
          <w:fldChar w:fldCharType="separate"/>
        </w:r>
        <w:r w:rsidR="00AE324E" w:rsidRPr="008B252B">
          <w:rPr>
            <w:color w:val="0000FF"/>
            <w:sz w:val="22"/>
            <w:szCs w:val="22"/>
            <w:highlight w:val="lightGray"/>
            <w:u w:val="single"/>
          </w:rPr>
          <w:delText>Appendix V</w:delText>
        </w:r>
        <w:r w:rsidR="00AE324E">
          <w:fldChar w:fldCharType="end"/>
        </w:r>
        <w:r w:rsidR="00A23010" w:rsidRPr="008B252B">
          <w:rPr>
            <w:sz w:val="22"/>
            <w:szCs w:val="22"/>
            <w:highlight w:val="lightGray"/>
          </w:rPr>
          <w:delText>.</w:delText>
        </w:r>
        <w:r w:rsidR="00A23010" w:rsidRPr="001F5D4B">
          <w:rPr>
            <w:sz w:val="22"/>
            <w:szCs w:val="22"/>
          </w:rPr>
          <w:delText xml:space="preserve"> Ved å melde fra om bivirkninger bidrar du med informasjon om sikkerheten ved bruk av dette legemidlet.</w:delText>
        </w:r>
        <w:r w:rsidRPr="005C4BE2">
          <w:rPr>
            <w:sz w:val="22"/>
            <w:szCs w:val="22"/>
          </w:rPr>
          <w:delText xml:space="preserve"> </w:delText>
        </w:r>
      </w:del>
    </w:p>
    <w:p w14:paraId="4D052B4C" w14:textId="1E3C851A" w:rsidR="00AC7A27" w:rsidRPr="009C5EFD" w:rsidRDefault="00AC7A27" w:rsidP="009C5EFD">
      <w:pPr>
        <w:rPr>
          <w:del w:id="16027" w:author="AbbVie02no" w:date="2025-05-15T14:21:00Z"/>
          <w:sz w:val="22"/>
          <w:szCs w:val="22"/>
        </w:rPr>
      </w:pPr>
    </w:p>
    <w:p w14:paraId="5A5ACF69" w14:textId="12CAFB62" w:rsidR="004F6D4C" w:rsidRPr="009C5EFD" w:rsidRDefault="004F6D4C" w:rsidP="009C5EFD">
      <w:pPr>
        <w:rPr>
          <w:del w:id="16028" w:author="AbbVie02no" w:date="2025-05-15T14:21:00Z"/>
          <w:sz w:val="22"/>
          <w:szCs w:val="22"/>
        </w:rPr>
      </w:pPr>
    </w:p>
    <w:p w14:paraId="68D3CFF3" w14:textId="18DD2C75" w:rsidR="00DE3458" w:rsidRPr="009C5EFD" w:rsidRDefault="00E453CD" w:rsidP="00776A84">
      <w:pPr>
        <w:keepNext/>
        <w:suppressAutoHyphens/>
        <w:ind w:left="567" w:hanging="567"/>
        <w:rPr>
          <w:del w:id="16029" w:author="AbbVie02no" w:date="2025-05-15T14:21:00Z"/>
          <w:sz w:val="22"/>
          <w:szCs w:val="22"/>
        </w:rPr>
      </w:pPr>
      <w:del w:id="16030" w:author="AbbVie02no" w:date="2025-05-15T14:21:00Z">
        <w:r w:rsidRPr="009C5EFD">
          <w:rPr>
            <w:b/>
            <w:sz w:val="22"/>
            <w:szCs w:val="22"/>
          </w:rPr>
          <w:delText>5.</w:delText>
        </w:r>
        <w:r w:rsidRPr="009C5EFD">
          <w:rPr>
            <w:b/>
            <w:sz w:val="22"/>
            <w:szCs w:val="22"/>
          </w:rPr>
          <w:tab/>
        </w:r>
        <w:r w:rsidR="00DC006C" w:rsidRPr="009C5EFD">
          <w:rPr>
            <w:b/>
            <w:sz w:val="22"/>
            <w:szCs w:val="22"/>
          </w:rPr>
          <w:delText>Hvordan du oppbevarer Humira</w:delText>
        </w:r>
      </w:del>
    </w:p>
    <w:p w14:paraId="20DD9132" w14:textId="77FF4158" w:rsidR="00DE3458" w:rsidRPr="009C5EFD" w:rsidRDefault="00DE3458" w:rsidP="00776A84">
      <w:pPr>
        <w:keepNext/>
        <w:rPr>
          <w:del w:id="16031" w:author="AbbVie02no" w:date="2025-05-15T14:21:00Z"/>
          <w:sz w:val="22"/>
          <w:szCs w:val="22"/>
        </w:rPr>
      </w:pPr>
    </w:p>
    <w:p w14:paraId="6F17DE90" w14:textId="76E692C7" w:rsidR="00DE3458" w:rsidRPr="009C5EFD" w:rsidRDefault="00E453CD" w:rsidP="009C5EFD">
      <w:pPr>
        <w:suppressAutoHyphens/>
        <w:rPr>
          <w:del w:id="16032" w:author="AbbVie02no" w:date="2025-05-15T14:21:00Z"/>
          <w:sz w:val="22"/>
          <w:szCs w:val="22"/>
        </w:rPr>
      </w:pPr>
      <w:del w:id="16033" w:author="AbbVie02no" w:date="2025-05-15T14:21:00Z">
        <w:r w:rsidRPr="009C5EFD">
          <w:rPr>
            <w:sz w:val="22"/>
            <w:szCs w:val="22"/>
          </w:rPr>
          <w:delText>Oppbevar</w:delText>
        </w:r>
        <w:r w:rsidR="00393FFC" w:rsidRPr="009C5EFD">
          <w:rPr>
            <w:sz w:val="22"/>
            <w:szCs w:val="22"/>
          </w:rPr>
          <w:delText xml:space="preserve"> dette legemidlet</w:delText>
        </w:r>
        <w:r w:rsidRPr="009C5EFD">
          <w:rPr>
            <w:sz w:val="22"/>
            <w:szCs w:val="22"/>
          </w:rPr>
          <w:delText xml:space="preserve"> utilgjengelig for barn.</w:delText>
        </w:r>
      </w:del>
    </w:p>
    <w:p w14:paraId="01C22B62" w14:textId="0699D7A1" w:rsidR="00DE3458" w:rsidRPr="009C5EFD" w:rsidRDefault="00DE3458" w:rsidP="009C5EFD">
      <w:pPr>
        <w:suppressAutoHyphens/>
        <w:rPr>
          <w:del w:id="16034" w:author="AbbVie02no" w:date="2025-05-15T14:21:00Z"/>
          <w:sz w:val="22"/>
          <w:szCs w:val="22"/>
        </w:rPr>
      </w:pPr>
    </w:p>
    <w:p w14:paraId="110705D4" w14:textId="66837C7E" w:rsidR="00DE3458" w:rsidRPr="009C5EFD" w:rsidRDefault="00E453CD" w:rsidP="009C5EFD">
      <w:pPr>
        <w:suppressAutoHyphens/>
        <w:rPr>
          <w:del w:id="16035" w:author="AbbVie02no" w:date="2025-05-15T14:21:00Z"/>
          <w:sz w:val="22"/>
          <w:szCs w:val="22"/>
        </w:rPr>
      </w:pPr>
      <w:del w:id="16036" w:author="AbbVie02no" w:date="2025-05-15T14:21:00Z">
        <w:r w:rsidRPr="009C5EFD">
          <w:rPr>
            <w:sz w:val="22"/>
            <w:szCs w:val="22"/>
          </w:rPr>
          <w:delText xml:space="preserve">Bruk ikke </w:delText>
        </w:r>
        <w:r w:rsidR="00660C63" w:rsidRPr="009C5EFD">
          <w:rPr>
            <w:sz w:val="22"/>
            <w:szCs w:val="22"/>
          </w:rPr>
          <w:delText>dette legemidlet</w:delText>
        </w:r>
        <w:r w:rsidRPr="009C5EFD">
          <w:rPr>
            <w:sz w:val="22"/>
            <w:szCs w:val="22"/>
          </w:rPr>
          <w:delText xml:space="preserve"> etter utløpsdatoen som er angitt på etiketten/blisteret/esken</w:delText>
        </w:r>
        <w:r w:rsidR="00F95BCE">
          <w:rPr>
            <w:sz w:val="22"/>
            <w:szCs w:val="22"/>
          </w:rPr>
          <w:delText xml:space="preserve"> etter EXP</w:delText>
        </w:r>
        <w:r w:rsidRPr="009C5EFD">
          <w:rPr>
            <w:sz w:val="22"/>
            <w:szCs w:val="22"/>
          </w:rPr>
          <w:delText xml:space="preserve">. </w:delText>
        </w:r>
      </w:del>
    </w:p>
    <w:p w14:paraId="55774479" w14:textId="5D4BED00" w:rsidR="00DE3458" w:rsidRPr="009C5EFD" w:rsidRDefault="00DE3458" w:rsidP="009C5EFD">
      <w:pPr>
        <w:suppressAutoHyphens/>
        <w:rPr>
          <w:del w:id="16037" w:author="AbbVie02no" w:date="2025-05-15T14:21:00Z"/>
          <w:sz w:val="22"/>
          <w:szCs w:val="22"/>
        </w:rPr>
      </w:pPr>
    </w:p>
    <w:p w14:paraId="5B8AB81D" w14:textId="3707E7D3" w:rsidR="00E3195D" w:rsidRDefault="00E453CD" w:rsidP="009C5EFD">
      <w:pPr>
        <w:suppressAutoHyphens/>
        <w:rPr>
          <w:del w:id="16038" w:author="AbbVie02no" w:date="2025-05-15T14:21:00Z"/>
          <w:sz w:val="22"/>
          <w:szCs w:val="22"/>
        </w:rPr>
      </w:pPr>
      <w:del w:id="16039" w:author="AbbVie02no" w:date="2025-05-15T14:21:00Z">
        <w:r w:rsidRPr="009C5EFD">
          <w:rPr>
            <w:sz w:val="22"/>
            <w:szCs w:val="22"/>
          </w:rPr>
          <w:delText>Oppbevares i kjøleskap (</w:delText>
        </w:r>
        <w:r w:rsidR="002568DD" w:rsidRPr="009C5EFD">
          <w:rPr>
            <w:sz w:val="22"/>
            <w:szCs w:val="22"/>
          </w:rPr>
          <w:delText>2</w:delText>
        </w:r>
        <w:r w:rsidR="00CA31D4">
          <w:rPr>
            <w:sz w:val="22"/>
            <w:szCs w:val="22"/>
          </w:rPr>
          <w:delText> </w:delText>
        </w:r>
        <w:r w:rsidR="002568DD" w:rsidRPr="009C5EFD">
          <w:rPr>
            <w:sz w:val="22"/>
            <w:szCs w:val="22"/>
          </w:rPr>
          <w:delText>°C – 8</w:delText>
        </w:r>
        <w:r w:rsidR="00CA31D4">
          <w:rPr>
            <w:sz w:val="22"/>
            <w:szCs w:val="22"/>
          </w:rPr>
          <w:delText> </w:delText>
        </w:r>
        <w:r w:rsidR="002568DD" w:rsidRPr="009C5EFD">
          <w:rPr>
            <w:sz w:val="22"/>
            <w:szCs w:val="22"/>
          </w:rPr>
          <w:delText>°C</w:delText>
        </w:r>
        <w:r w:rsidRPr="009C5EFD">
          <w:rPr>
            <w:sz w:val="22"/>
            <w:szCs w:val="22"/>
          </w:rPr>
          <w:delText xml:space="preserve">). </w:delText>
        </w:r>
        <w:r w:rsidR="00D81405" w:rsidRPr="009C5EFD">
          <w:rPr>
            <w:sz w:val="22"/>
            <w:szCs w:val="22"/>
          </w:rPr>
          <w:delText xml:space="preserve">Skal </w:delText>
        </w:r>
        <w:r w:rsidRPr="009C5EFD">
          <w:rPr>
            <w:sz w:val="22"/>
            <w:szCs w:val="22"/>
          </w:rPr>
          <w:delText xml:space="preserve">ikke fryses. </w:delText>
        </w:r>
      </w:del>
    </w:p>
    <w:p w14:paraId="73C6086C" w14:textId="45554E96" w:rsidR="00E3195D" w:rsidRDefault="00E3195D" w:rsidP="009C5EFD">
      <w:pPr>
        <w:suppressAutoHyphens/>
        <w:rPr>
          <w:del w:id="16040" w:author="AbbVie02no" w:date="2025-05-15T14:21:00Z"/>
          <w:sz w:val="22"/>
          <w:szCs w:val="22"/>
        </w:rPr>
      </w:pPr>
    </w:p>
    <w:p w14:paraId="0F3E19EA" w14:textId="5B8D425B" w:rsidR="00DE3458" w:rsidRPr="009C5EFD" w:rsidRDefault="00E453CD" w:rsidP="009C5EFD">
      <w:pPr>
        <w:suppressAutoHyphens/>
        <w:rPr>
          <w:del w:id="16041" w:author="AbbVie02no" w:date="2025-05-15T14:21:00Z"/>
          <w:sz w:val="22"/>
          <w:szCs w:val="22"/>
        </w:rPr>
      </w:pPr>
      <w:del w:id="16042" w:author="AbbVie02no" w:date="2025-05-15T14:21:00Z">
        <w:r w:rsidRPr="009C5EFD">
          <w:rPr>
            <w:sz w:val="22"/>
            <w:szCs w:val="22"/>
          </w:rPr>
          <w:delText>Den ferdigfylte sprøyten oppbevares i ytterpakningen</w:delText>
        </w:r>
        <w:r w:rsidR="0001615F" w:rsidRPr="009C5EFD">
          <w:rPr>
            <w:sz w:val="22"/>
            <w:szCs w:val="22"/>
          </w:rPr>
          <w:delText xml:space="preserve"> for å beskytte mot lys</w:delText>
        </w:r>
        <w:r w:rsidRPr="009C5EFD">
          <w:rPr>
            <w:sz w:val="22"/>
            <w:szCs w:val="22"/>
          </w:rPr>
          <w:delText>.</w:delText>
        </w:r>
      </w:del>
    </w:p>
    <w:p w14:paraId="5C74D117" w14:textId="55378189" w:rsidR="00681E1F" w:rsidRPr="009C5EFD" w:rsidRDefault="00681E1F" w:rsidP="009C5EFD">
      <w:pPr>
        <w:suppressAutoHyphens/>
        <w:rPr>
          <w:del w:id="16043" w:author="AbbVie02no" w:date="2025-05-15T14:21:00Z"/>
          <w:sz w:val="22"/>
          <w:szCs w:val="22"/>
        </w:rPr>
      </w:pPr>
    </w:p>
    <w:p w14:paraId="08864A35" w14:textId="0FD171F0" w:rsidR="00681E1F" w:rsidRPr="009C5EFD" w:rsidRDefault="00E453CD" w:rsidP="00B53964">
      <w:pPr>
        <w:keepNext/>
        <w:suppressAutoHyphens/>
        <w:rPr>
          <w:del w:id="16044" w:author="AbbVie02no" w:date="2025-05-15T14:21:00Z"/>
          <w:sz w:val="22"/>
          <w:szCs w:val="22"/>
        </w:rPr>
      </w:pPr>
      <w:del w:id="16045" w:author="AbbVie02no" w:date="2025-05-15T14:21:00Z">
        <w:r w:rsidRPr="009C5EFD">
          <w:rPr>
            <w:sz w:val="22"/>
            <w:szCs w:val="22"/>
          </w:rPr>
          <w:delText>Alternativ oppbevaring:</w:delText>
        </w:r>
      </w:del>
    </w:p>
    <w:p w14:paraId="22D9877B" w14:textId="710CBAE2" w:rsidR="002E62EC" w:rsidRPr="009C5EFD" w:rsidRDefault="002E62EC" w:rsidP="00B53964">
      <w:pPr>
        <w:keepNext/>
        <w:suppressAutoHyphens/>
        <w:rPr>
          <w:del w:id="16046" w:author="AbbVie02no" w:date="2025-05-15T14:21:00Z"/>
          <w:sz w:val="22"/>
          <w:szCs w:val="22"/>
        </w:rPr>
      </w:pPr>
    </w:p>
    <w:p w14:paraId="0E2F4451" w14:textId="21BA35DC" w:rsidR="00681E1F" w:rsidRPr="009C5EFD" w:rsidRDefault="00E453CD" w:rsidP="00776A84">
      <w:pPr>
        <w:suppressAutoHyphens/>
        <w:rPr>
          <w:del w:id="16047" w:author="AbbVie02no" w:date="2025-05-15T14:21:00Z"/>
          <w:sz w:val="22"/>
          <w:szCs w:val="22"/>
        </w:rPr>
      </w:pPr>
      <w:del w:id="16048" w:author="AbbVie02no" w:date="2025-05-15T14:21:00Z">
        <w:r w:rsidRPr="009C5EFD">
          <w:rPr>
            <w:sz w:val="22"/>
            <w:szCs w:val="22"/>
          </w:rPr>
          <w:delText>Ved behov (for eksempel når du er på reise) kan en enkelt Humira ferdigfylt sprøyte oppbevares ved romtemperatur (opptil 25</w:delText>
        </w:r>
        <w:r w:rsidR="00CA31D4">
          <w:rPr>
            <w:sz w:val="22"/>
            <w:szCs w:val="22"/>
          </w:rPr>
          <w:delText> </w:delText>
        </w:r>
        <w:r w:rsidRPr="009C5EFD">
          <w:rPr>
            <w:sz w:val="22"/>
            <w:szCs w:val="22"/>
          </w:rPr>
          <w:delText xml:space="preserve">°C) for en periode på maksimum 14 dager – sørg for å beskytte den mot lys. I det øyeblikk den tas fra kjøleskap for oppbevaring i romtemperatur </w:delText>
        </w:r>
        <w:r w:rsidRPr="009C5EFD">
          <w:rPr>
            <w:b/>
            <w:sz w:val="22"/>
            <w:szCs w:val="22"/>
          </w:rPr>
          <w:delText>må sprøyten brukes innen 14 dager eller kastes</w:delText>
        </w:r>
        <w:r w:rsidRPr="009C5EFD">
          <w:rPr>
            <w:sz w:val="22"/>
            <w:szCs w:val="22"/>
          </w:rPr>
          <w:delText>, selv om den blir lagt tilbake i kjøleskapet.</w:delText>
        </w:r>
      </w:del>
    </w:p>
    <w:p w14:paraId="465C879B" w14:textId="7FB102F3" w:rsidR="00681E1F" w:rsidRPr="009C5EFD" w:rsidRDefault="00681E1F" w:rsidP="009C5EFD">
      <w:pPr>
        <w:suppressAutoHyphens/>
        <w:rPr>
          <w:del w:id="16049" w:author="AbbVie02no" w:date="2025-05-15T14:21:00Z"/>
          <w:sz w:val="22"/>
          <w:szCs w:val="22"/>
        </w:rPr>
      </w:pPr>
    </w:p>
    <w:p w14:paraId="66CB1747" w14:textId="3D29F820" w:rsidR="00681E1F" w:rsidRPr="009C5EFD" w:rsidRDefault="00E453CD" w:rsidP="009C5EFD">
      <w:pPr>
        <w:suppressAutoHyphens/>
        <w:rPr>
          <w:del w:id="16050" w:author="AbbVie02no" w:date="2025-05-15T14:21:00Z"/>
          <w:sz w:val="22"/>
          <w:szCs w:val="22"/>
        </w:rPr>
      </w:pPr>
      <w:del w:id="16051" w:author="AbbVie02no" w:date="2025-05-15T14:21:00Z">
        <w:r w:rsidRPr="009C5EFD">
          <w:rPr>
            <w:sz w:val="22"/>
            <w:szCs w:val="22"/>
          </w:rPr>
          <w:delText>Du bør notere datoen når sprøyten først tas ut fra kjøleskapet, og datoen for når den burde bli kastet.</w:delText>
        </w:r>
      </w:del>
    </w:p>
    <w:p w14:paraId="1848F40F" w14:textId="0E20B680" w:rsidR="00393FFC" w:rsidRPr="009C5EFD" w:rsidRDefault="00393FFC" w:rsidP="009C5EFD">
      <w:pPr>
        <w:suppressAutoHyphens/>
        <w:rPr>
          <w:del w:id="16052" w:author="AbbVie02no" w:date="2025-05-15T14:21:00Z"/>
          <w:sz w:val="22"/>
          <w:szCs w:val="22"/>
        </w:rPr>
      </w:pPr>
    </w:p>
    <w:p w14:paraId="41C7A131" w14:textId="22E87F31" w:rsidR="00393FFC" w:rsidRPr="009C5EFD" w:rsidRDefault="00E453CD" w:rsidP="009C5EFD">
      <w:pPr>
        <w:suppressAutoHyphens/>
        <w:rPr>
          <w:del w:id="16053" w:author="AbbVie02no" w:date="2025-05-15T14:21:00Z"/>
          <w:sz w:val="22"/>
          <w:szCs w:val="22"/>
        </w:rPr>
      </w:pPr>
      <w:del w:id="16054" w:author="AbbVie02no" w:date="2025-05-15T14:21:00Z">
        <w:r w:rsidRPr="009C5EFD">
          <w:rPr>
            <w:sz w:val="22"/>
            <w:szCs w:val="22"/>
          </w:rPr>
          <w:delText xml:space="preserve">Legemidler skal ikke kastes </w:delText>
        </w:r>
        <w:r w:rsidR="007C3745" w:rsidRPr="009C5EFD">
          <w:rPr>
            <w:sz w:val="22"/>
            <w:szCs w:val="22"/>
          </w:rPr>
          <w:delText>i</w:delText>
        </w:r>
        <w:r w:rsidRPr="009C5EFD">
          <w:rPr>
            <w:sz w:val="22"/>
            <w:szCs w:val="22"/>
          </w:rPr>
          <w:delText xml:space="preserve"> avløpsvann eller sammen med husholdningsavfall. Spør legen din eller på apoteket hvordan legemidler </w:delText>
        </w:r>
        <w:r w:rsidR="007C3745" w:rsidRPr="009C5EFD">
          <w:rPr>
            <w:sz w:val="22"/>
            <w:szCs w:val="22"/>
          </w:rPr>
          <w:delText xml:space="preserve">som </w:delText>
        </w:r>
        <w:r w:rsidRPr="009C5EFD">
          <w:rPr>
            <w:sz w:val="22"/>
            <w:szCs w:val="22"/>
          </w:rPr>
          <w:delText>du ikke lenger bruker skal kastes. Disse tiltakene bidrar til å beskytte miljøet.</w:delText>
        </w:r>
      </w:del>
    </w:p>
    <w:p w14:paraId="227FA20E" w14:textId="4C6442F5" w:rsidR="00DE3458" w:rsidRPr="001F5D4B" w:rsidRDefault="00DE3458" w:rsidP="009C5EFD">
      <w:pPr>
        <w:suppressAutoHyphens/>
        <w:rPr>
          <w:del w:id="16055" w:author="AbbVie02no" w:date="2025-05-15T14:21:00Z"/>
          <w:sz w:val="22"/>
          <w:szCs w:val="22"/>
        </w:rPr>
      </w:pPr>
    </w:p>
    <w:p w14:paraId="1578B0FB" w14:textId="3D6987C5" w:rsidR="00DE3458" w:rsidRPr="001F5D4B" w:rsidRDefault="00DE3458" w:rsidP="009C5EFD">
      <w:pPr>
        <w:suppressAutoHyphens/>
        <w:rPr>
          <w:del w:id="16056" w:author="AbbVie02no" w:date="2025-05-15T14:21:00Z"/>
          <w:sz w:val="22"/>
          <w:szCs w:val="22"/>
        </w:rPr>
      </w:pPr>
    </w:p>
    <w:p w14:paraId="522A4202" w14:textId="587767CF" w:rsidR="00393FFC" w:rsidRPr="00E14E58" w:rsidRDefault="00E453CD" w:rsidP="00776A84">
      <w:pPr>
        <w:keepNext/>
        <w:suppressAutoHyphens/>
        <w:ind w:left="540" w:hanging="540"/>
        <w:rPr>
          <w:del w:id="16057" w:author="AbbVie02no" w:date="2025-05-15T14:21:00Z"/>
          <w:sz w:val="22"/>
          <w:szCs w:val="22"/>
        </w:rPr>
      </w:pPr>
      <w:del w:id="16058" w:author="AbbVie02no" w:date="2025-05-15T14:21:00Z">
        <w:r w:rsidRPr="007F67EE">
          <w:rPr>
            <w:b/>
            <w:sz w:val="22"/>
            <w:szCs w:val="22"/>
          </w:rPr>
          <w:delText>6.</w:delText>
        </w:r>
        <w:r w:rsidRPr="007F67EE">
          <w:rPr>
            <w:b/>
            <w:sz w:val="22"/>
            <w:szCs w:val="22"/>
          </w:rPr>
          <w:tab/>
        </w:r>
        <w:r w:rsidRPr="00193D76">
          <w:rPr>
            <w:b/>
            <w:sz w:val="22"/>
            <w:szCs w:val="22"/>
          </w:rPr>
          <w:delText xml:space="preserve">Innholdet i pakningen og </w:delText>
        </w:r>
        <w:r w:rsidR="004F6AD7" w:rsidRPr="002D0790">
          <w:rPr>
            <w:b/>
            <w:sz w:val="22"/>
            <w:szCs w:val="22"/>
          </w:rPr>
          <w:delText>ytterligere</w:delText>
        </w:r>
        <w:r w:rsidRPr="00C07C98">
          <w:rPr>
            <w:b/>
            <w:sz w:val="22"/>
            <w:szCs w:val="22"/>
          </w:rPr>
          <w:delText xml:space="preserve"> informasjon</w:delText>
        </w:r>
      </w:del>
    </w:p>
    <w:p w14:paraId="3A3322BD" w14:textId="77D65101" w:rsidR="00DE3458" w:rsidRPr="009C5EFD" w:rsidRDefault="00DE3458" w:rsidP="00776A84">
      <w:pPr>
        <w:keepNext/>
        <w:tabs>
          <w:tab w:val="left" w:pos="567"/>
        </w:tabs>
        <w:suppressAutoHyphens/>
        <w:rPr>
          <w:del w:id="16059" w:author="AbbVie02no" w:date="2025-05-15T14:21:00Z"/>
          <w:sz w:val="22"/>
          <w:szCs w:val="22"/>
        </w:rPr>
      </w:pPr>
    </w:p>
    <w:p w14:paraId="56C88899" w14:textId="20C888A2" w:rsidR="00DE3458" w:rsidRPr="009C5EFD" w:rsidRDefault="00E453CD" w:rsidP="00776A84">
      <w:pPr>
        <w:pStyle w:val="Heading3"/>
        <w:rPr>
          <w:del w:id="16060" w:author="AbbVie02no" w:date="2025-05-15T14:21:00Z"/>
          <w:szCs w:val="22"/>
          <w:lang w:val="nb-NO"/>
        </w:rPr>
      </w:pPr>
      <w:del w:id="16061" w:author="AbbVie02no" w:date="2025-05-15T14:21:00Z">
        <w:r w:rsidRPr="009C5EFD">
          <w:rPr>
            <w:szCs w:val="22"/>
            <w:lang w:val="nb-NO"/>
          </w:rPr>
          <w:delText>Sammensetning av Humira</w:delText>
        </w:r>
      </w:del>
    </w:p>
    <w:p w14:paraId="662D2A8C" w14:textId="482E8099" w:rsidR="00DE3458" w:rsidRPr="009C5EFD" w:rsidRDefault="00DE3458" w:rsidP="00776A84">
      <w:pPr>
        <w:keepNext/>
        <w:rPr>
          <w:del w:id="16062" w:author="AbbVie02no" w:date="2025-05-15T14:21:00Z"/>
          <w:b/>
          <w:sz w:val="22"/>
          <w:szCs w:val="22"/>
        </w:rPr>
      </w:pPr>
    </w:p>
    <w:p w14:paraId="6DC63C4F" w14:textId="48A2E0A8" w:rsidR="00DE3458" w:rsidRPr="009C5EFD" w:rsidRDefault="00E453CD" w:rsidP="009C5EFD">
      <w:pPr>
        <w:suppressAutoHyphens/>
        <w:rPr>
          <w:del w:id="16063" w:author="AbbVie02no" w:date="2025-05-15T14:21:00Z"/>
          <w:sz w:val="22"/>
          <w:szCs w:val="22"/>
        </w:rPr>
      </w:pPr>
      <w:del w:id="16064" w:author="AbbVie02no" w:date="2025-05-15T14:21:00Z">
        <w:r w:rsidRPr="009C5EFD">
          <w:rPr>
            <w:sz w:val="22"/>
            <w:szCs w:val="22"/>
          </w:rPr>
          <w:delText>Virkestoffet er adalimumab.</w:delText>
        </w:r>
      </w:del>
    </w:p>
    <w:p w14:paraId="6904A1C7" w14:textId="2AA220DA" w:rsidR="00DE3458" w:rsidRPr="009C5EFD" w:rsidRDefault="00E453CD" w:rsidP="009C5EFD">
      <w:pPr>
        <w:pStyle w:val="BodyTextIndent2"/>
        <w:ind w:left="0" w:firstLine="0"/>
        <w:rPr>
          <w:del w:id="16065" w:author="AbbVie02no" w:date="2025-05-15T14:21:00Z"/>
          <w:szCs w:val="22"/>
        </w:rPr>
      </w:pPr>
      <w:del w:id="16066" w:author="AbbVie02no" w:date="2025-05-15T14:21:00Z">
        <w:r w:rsidRPr="009C5EFD">
          <w:rPr>
            <w:szCs w:val="22"/>
          </w:rPr>
          <w:delText xml:space="preserve">Hjelpestoffer er mannitol, sitronsyremonohydrat, natriumsitrat, natriumdihydrogenfosfatdihydrat, dinatriumfosfatdihydrat, natriumklorid, polysorbat 80, natriumhydroksid </w:delText>
        </w:r>
        <w:r w:rsidR="001147DE" w:rsidRPr="009C5EFD">
          <w:rPr>
            <w:szCs w:val="22"/>
          </w:rPr>
          <w:delText xml:space="preserve">og </w:delText>
        </w:r>
        <w:r w:rsidRPr="009C5EFD">
          <w:rPr>
            <w:szCs w:val="22"/>
          </w:rPr>
          <w:delText>vann til injeksjonsvæsker.</w:delText>
        </w:r>
      </w:del>
    </w:p>
    <w:p w14:paraId="71BF2B87" w14:textId="28D3263C" w:rsidR="00DE3458" w:rsidRPr="009C5EFD" w:rsidRDefault="00DE3458" w:rsidP="009C5EFD">
      <w:pPr>
        <w:pStyle w:val="EndnoteText"/>
        <w:widowControl/>
        <w:tabs>
          <w:tab w:val="clear" w:pos="567"/>
        </w:tabs>
        <w:suppressAutoHyphens/>
        <w:rPr>
          <w:del w:id="16067" w:author="AbbVie02no" w:date="2025-05-15T14:21:00Z"/>
          <w:szCs w:val="22"/>
          <w:lang w:val="nb-NO"/>
        </w:rPr>
      </w:pPr>
    </w:p>
    <w:p w14:paraId="4DF5CAE2" w14:textId="7911E430" w:rsidR="00DE3458" w:rsidRPr="009C5EFD" w:rsidRDefault="00E453CD" w:rsidP="00776A84">
      <w:pPr>
        <w:pStyle w:val="Heading3"/>
        <w:suppressAutoHyphens/>
        <w:rPr>
          <w:del w:id="16068" w:author="AbbVie02no" w:date="2025-05-15T14:21:00Z"/>
          <w:szCs w:val="22"/>
          <w:lang w:val="nb-NO"/>
        </w:rPr>
      </w:pPr>
      <w:del w:id="16069" w:author="AbbVie02no" w:date="2025-05-15T14:21:00Z">
        <w:r w:rsidRPr="009C5EFD">
          <w:rPr>
            <w:szCs w:val="22"/>
            <w:lang w:val="nb-NO"/>
          </w:rPr>
          <w:delText>Hvordan Humira ferdigfylt sprøyte ser ut og innholdet i pakningen</w:delText>
        </w:r>
      </w:del>
    </w:p>
    <w:p w14:paraId="69752F38" w14:textId="3E6C0005" w:rsidR="00B90124" w:rsidRPr="009C5EFD" w:rsidRDefault="00B90124" w:rsidP="00776A84">
      <w:pPr>
        <w:pStyle w:val="EndnoteText"/>
        <w:keepNext/>
        <w:widowControl/>
        <w:tabs>
          <w:tab w:val="clear" w:pos="567"/>
        </w:tabs>
        <w:suppressAutoHyphens/>
        <w:rPr>
          <w:del w:id="16070" w:author="AbbVie02no" w:date="2025-05-15T14:21:00Z"/>
          <w:szCs w:val="22"/>
          <w:lang w:val="nb-NO"/>
        </w:rPr>
      </w:pPr>
    </w:p>
    <w:p w14:paraId="4FA15F7E" w14:textId="181489AF" w:rsidR="00B90124" w:rsidRPr="009C5EFD" w:rsidRDefault="00E453CD" w:rsidP="009C5EFD">
      <w:pPr>
        <w:pStyle w:val="EndnoteText"/>
        <w:widowControl/>
        <w:tabs>
          <w:tab w:val="clear" w:pos="567"/>
        </w:tabs>
        <w:suppressAutoHyphens/>
        <w:rPr>
          <w:del w:id="16071" w:author="AbbVie02no" w:date="2025-05-15T14:21:00Z"/>
          <w:b/>
          <w:bCs/>
          <w:szCs w:val="22"/>
          <w:lang w:val="nb-NO"/>
        </w:rPr>
      </w:pPr>
      <w:del w:id="16072" w:author="AbbVie02no" w:date="2025-05-15T14:21:00Z">
        <w:r w:rsidRPr="009C5EFD">
          <w:rPr>
            <w:szCs w:val="22"/>
            <w:lang w:val="nb-NO"/>
          </w:rPr>
          <w:delText xml:space="preserve">Humira 40 mg injeksjonsvæske, oppløsning i ferdigfylt </w:delText>
        </w:r>
        <w:r w:rsidR="00EF0E28" w:rsidRPr="009C5EFD">
          <w:rPr>
            <w:szCs w:val="22"/>
            <w:lang w:val="nb-NO"/>
          </w:rPr>
          <w:delText>sprøyte</w:delText>
        </w:r>
        <w:r w:rsidRPr="009C5EFD">
          <w:rPr>
            <w:szCs w:val="22"/>
            <w:lang w:val="nb-NO"/>
          </w:rPr>
          <w:delText xml:space="preserve"> er tilgjengelig som steril oppløsning av 40 mg adalimumab oppløst i 0,8 ml </w:delText>
        </w:r>
        <w:r w:rsidR="00CA31D4">
          <w:rPr>
            <w:szCs w:val="22"/>
            <w:lang w:val="nb-NO"/>
          </w:rPr>
          <w:delText>opp</w:delText>
        </w:r>
        <w:r w:rsidRPr="009C5EFD">
          <w:rPr>
            <w:szCs w:val="22"/>
            <w:lang w:val="nb-NO"/>
          </w:rPr>
          <w:delText>løsning.</w:delText>
        </w:r>
      </w:del>
    </w:p>
    <w:p w14:paraId="7CD9510B" w14:textId="66F2ADA1" w:rsidR="00DE3458" w:rsidRPr="00D968A3" w:rsidRDefault="00DE3458" w:rsidP="009C5EFD">
      <w:pPr>
        <w:suppressAutoHyphens/>
        <w:rPr>
          <w:del w:id="16073" w:author="AbbVie02no" w:date="2025-05-15T14:21:00Z"/>
          <w:bCs/>
          <w:sz w:val="22"/>
          <w:szCs w:val="22"/>
        </w:rPr>
      </w:pPr>
    </w:p>
    <w:p w14:paraId="3806FEE5" w14:textId="064E8A89" w:rsidR="00DE3458" w:rsidRPr="009C5EFD" w:rsidRDefault="00E453CD" w:rsidP="009C5EFD">
      <w:pPr>
        <w:pStyle w:val="EndnoteText"/>
        <w:widowControl/>
        <w:tabs>
          <w:tab w:val="clear" w:pos="567"/>
        </w:tabs>
        <w:suppressAutoHyphens/>
        <w:rPr>
          <w:del w:id="16074" w:author="AbbVie02no" w:date="2025-05-15T14:21:00Z"/>
          <w:szCs w:val="22"/>
          <w:lang w:val="nb-NO"/>
        </w:rPr>
      </w:pPr>
      <w:del w:id="16075" w:author="AbbVie02no" w:date="2025-05-15T14:21:00Z">
        <w:r w:rsidRPr="009C5EFD">
          <w:rPr>
            <w:szCs w:val="22"/>
            <w:lang w:val="nb-NO"/>
          </w:rPr>
          <w:lastRenderedPageBreak/>
          <w:delText xml:space="preserve">Humira ferdigfylt sprøyte er en glassprøyte som inneholder oppløsning av adalimumab. Hver pakke inneholder 1, 2, 4, eller 6 ferdigfylte sprøyter for pasientbruk sammen med henholdsvis 1, 2, 4, eller 6 injeksjonstørk. Ikke alle pakningsstørrelser vil nødvendigvis bli markedsført. </w:delText>
        </w:r>
      </w:del>
    </w:p>
    <w:p w14:paraId="7F6D603E" w14:textId="0E2561E5" w:rsidR="00DE3458" w:rsidRPr="009C5EFD" w:rsidRDefault="00DE3458" w:rsidP="009C5EFD">
      <w:pPr>
        <w:pStyle w:val="EndnoteText"/>
        <w:widowControl/>
        <w:tabs>
          <w:tab w:val="clear" w:pos="567"/>
        </w:tabs>
        <w:suppressAutoHyphens/>
        <w:rPr>
          <w:del w:id="16076" w:author="AbbVie02no" w:date="2025-05-15T14:21:00Z"/>
          <w:szCs w:val="22"/>
          <w:lang w:val="nb-NO"/>
        </w:rPr>
      </w:pPr>
    </w:p>
    <w:p w14:paraId="22122E8D" w14:textId="0653C4EF" w:rsidR="00DE3458" w:rsidRPr="009C5EFD" w:rsidRDefault="00E453CD" w:rsidP="009C5EFD">
      <w:pPr>
        <w:numPr>
          <w:ilvl w:val="12"/>
          <w:numId w:val="0"/>
        </w:numPr>
        <w:ind w:right="-2"/>
        <w:rPr>
          <w:del w:id="16077" w:author="AbbVie02no" w:date="2025-05-15T14:21:00Z"/>
          <w:sz w:val="22"/>
          <w:szCs w:val="22"/>
        </w:rPr>
      </w:pPr>
      <w:del w:id="16078" w:author="AbbVie02no" w:date="2025-05-15T14:21:00Z">
        <w:r w:rsidRPr="009C5EFD">
          <w:rPr>
            <w:sz w:val="22"/>
            <w:szCs w:val="22"/>
          </w:rPr>
          <w:delText xml:space="preserve">Humira </w:delText>
        </w:r>
        <w:r>
          <w:rPr>
            <w:sz w:val="22"/>
            <w:szCs w:val="22"/>
          </w:rPr>
          <w:delText>kan</w:delText>
        </w:r>
        <w:r w:rsidRPr="009C5EFD">
          <w:rPr>
            <w:sz w:val="22"/>
            <w:szCs w:val="22"/>
          </w:rPr>
          <w:delText xml:space="preserve"> </w:delText>
        </w:r>
        <w:r>
          <w:rPr>
            <w:sz w:val="22"/>
            <w:szCs w:val="22"/>
          </w:rPr>
          <w:delText xml:space="preserve">være </w:delText>
        </w:r>
        <w:r w:rsidRPr="009C5EFD">
          <w:rPr>
            <w:sz w:val="22"/>
            <w:szCs w:val="22"/>
          </w:rPr>
          <w:delText xml:space="preserve">tilgjengelig som </w:delText>
        </w:r>
        <w:r>
          <w:rPr>
            <w:sz w:val="22"/>
            <w:szCs w:val="22"/>
          </w:rPr>
          <w:delText xml:space="preserve">hetteglass, </w:delText>
        </w:r>
        <w:r w:rsidRPr="009C5EFD">
          <w:rPr>
            <w:sz w:val="22"/>
            <w:szCs w:val="22"/>
          </w:rPr>
          <w:delText>ferdigfylt sprøyte og</w:delText>
        </w:r>
        <w:r>
          <w:rPr>
            <w:sz w:val="22"/>
            <w:szCs w:val="22"/>
          </w:rPr>
          <w:delText>/eller</w:delText>
        </w:r>
        <w:r w:rsidRPr="009C5EFD">
          <w:rPr>
            <w:sz w:val="22"/>
            <w:szCs w:val="22"/>
          </w:rPr>
          <w:delText xml:space="preserve"> ferdigfylt penn.</w:delText>
        </w:r>
      </w:del>
    </w:p>
    <w:p w14:paraId="2E908CCC" w14:textId="56B6A604" w:rsidR="00DE3458" w:rsidRPr="009C5EFD" w:rsidRDefault="00DE3458" w:rsidP="009C5EFD">
      <w:pPr>
        <w:pStyle w:val="EndnoteText"/>
        <w:widowControl/>
        <w:tabs>
          <w:tab w:val="clear" w:pos="567"/>
        </w:tabs>
        <w:suppressAutoHyphens/>
        <w:rPr>
          <w:del w:id="16079" w:author="AbbVie02no" w:date="2025-05-15T14:21:00Z"/>
          <w:szCs w:val="22"/>
          <w:lang w:val="nb-NO"/>
        </w:rPr>
      </w:pPr>
    </w:p>
    <w:p w14:paraId="7A764313" w14:textId="38B22D03" w:rsidR="00DE3458" w:rsidRPr="009C5EFD" w:rsidRDefault="00E453CD" w:rsidP="001F5D4B">
      <w:pPr>
        <w:pStyle w:val="BodyText3"/>
        <w:keepNext/>
        <w:tabs>
          <w:tab w:val="clear" w:pos="-720"/>
        </w:tabs>
        <w:suppressAutoHyphens w:val="0"/>
        <w:rPr>
          <w:del w:id="16080" w:author="AbbVie02no" w:date="2025-05-15T14:21:00Z"/>
          <w:szCs w:val="22"/>
          <w:lang w:val="nb-NO"/>
        </w:rPr>
      </w:pPr>
      <w:del w:id="16081" w:author="AbbVie02no" w:date="2025-05-15T14:21:00Z">
        <w:r w:rsidRPr="009C5EFD">
          <w:rPr>
            <w:szCs w:val="22"/>
            <w:lang w:val="nb-NO"/>
          </w:rPr>
          <w:delText>Innehaver av markedsføringstillatelsen</w:delText>
        </w:r>
      </w:del>
    </w:p>
    <w:p w14:paraId="25F82F5B" w14:textId="26758BA2" w:rsidR="004329A2" w:rsidRPr="009C5EFD" w:rsidRDefault="004329A2" w:rsidP="001F5D4B">
      <w:pPr>
        <w:keepNext/>
        <w:rPr>
          <w:del w:id="16082" w:author="AbbVie02no" w:date="2025-05-15T14:21:00Z"/>
          <w:sz w:val="22"/>
          <w:szCs w:val="22"/>
        </w:rPr>
      </w:pPr>
    </w:p>
    <w:p w14:paraId="3D3D8ED9" w14:textId="23BB5B1F" w:rsidR="00DD76CF" w:rsidRPr="00EF12DF" w:rsidRDefault="00E453CD" w:rsidP="00DD76CF">
      <w:pPr>
        <w:rPr>
          <w:del w:id="16083" w:author="AbbVie02no" w:date="2025-05-15T14:21:00Z"/>
          <w:sz w:val="22"/>
          <w:szCs w:val="22"/>
        </w:rPr>
      </w:pPr>
      <w:del w:id="16084" w:author="AbbVie02no" w:date="2025-05-15T14:21:00Z">
        <w:r w:rsidRPr="00EF12DF">
          <w:rPr>
            <w:sz w:val="22"/>
            <w:szCs w:val="22"/>
          </w:rPr>
          <w:delText>AbbVie Deutschland GmbH &amp; Co. KG</w:delText>
        </w:r>
      </w:del>
    </w:p>
    <w:p w14:paraId="7D9DFE09" w14:textId="4A5C3D7C" w:rsidR="00DD76CF" w:rsidRPr="00EF12DF" w:rsidRDefault="00E453CD" w:rsidP="00DD76CF">
      <w:pPr>
        <w:rPr>
          <w:del w:id="16085" w:author="AbbVie02no" w:date="2025-05-15T14:21:00Z"/>
          <w:sz w:val="22"/>
          <w:szCs w:val="22"/>
        </w:rPr>
      </w:pPr>
      <w:del w:id="16086" w:author="AbbVie02no" w:date="2025-05-15T14:21:00Z">
        <w:r w:rsidRPr="00EF12DF">
          <w:rPr>
            <w:sz w:val="22"/>
            <w:szCs w:val="22"/>
          </w:rPr>
          <w:delText>Knollstrasse</w:delText>
        </w:r>
      </w:del>
    </w:p>
    <w:p w14:paraId="31278BFE" w14:textId="1F542647" w:rsidR="00DD76CF" w:rsidRPr="00EF12DF" w:rsidRDefault="00E453CD" w:rsidP="00DD76CF">
      <w:pPr>
        <w:rPr>
          <w:del w:id="16087" w:author="AbbVie02no" w:date="2025-05-15T14:21:00Z"/>
          <w:sz w:val="22"/>
          <w:szCs w:val="22"/>
        </w:rPr>
      </w:pPr>
      <w:del w:id="16088" w:author="AbbVie02no" w:date="2025-05-15T14:21:00Z">
        <w:r w:rsidRPr="00EF12DF">
          <w:rPr>
            <w:sz w:val="22"/>
            <w:szCs w:val="22"/>
          </w:rPr>
          <w:delText>67061 Ludwigshafen</w:delText>
        </w:r>
      </w:del>
    </w:p>
    <w:p w14:paraId="55325854" w14:textId="7C67DC10" w:rsidR="00DD76CF" w:rsidRPr="009C5EFD" w:rsidRDefault="00E453CD" w:rsidP="00DD76CF">
      <w:pPr>
        <w:rPr>
          <w:del w:id="16089" w:author="AbbVie02no" w:date="2025-05-15T14:21:00Z"/>
          <w:sz w:val="22"/>
          <w:szCs w:val="22"/>
        </w:rPr>
      </w:pPr>
      <w:del w:id="16090" w:author="AbbVie02no" w:date="2025-05-15T14:21:00Z">
        <w:r>
          <w:rPr>
            <w:sz w:val="22"/>
            <w:szCs w:val="22"/>
          </w:rPr>
          <w:delText>Tyskland</w:delText>
        </w:r>
      </w:del>
    </w:p>
    <w:p w14:paraId="07736C2E" w14:textId="37724F05" w:rsidR="00DE3458" w:rsidRPr="00637363" w:rsidRDefault="00DE3458" w:rsidP="007F67EE">
      <w:pPr>
        <w:suppressAutoHyphens/>
        <w:rPr>
          <w:del w:id="16091" w:author="AbbVie02no" w:date="2025-05-15T14:21:00Z"/>
          <w:sz w:val="22"/>
          <w:szCs w:val="22"/>
        </w:rPr>
      </w:pPr>
    </w:p>
    <w:p w14:paraId="7209D622" w14:textId="4F223A42" w:rsidR="00DE3458" w:rsidRPr="00637363" w:rsidRDefault="00E453CD" w:rsidP="001F5D4B">
      <w:pPr>
        <w:keepNext/>
        <w:suppressAutoHyphens/>
        <w:rPr>
          <w:del w:id="16092" w:author="AbbVie02no" w:date="2025-05-15T14:21:00Z"/>
          <w:b/>
          <w:sz w:val="22"/>
          <w:szCs w:val="22"/>
        </w:rPr>
      </w:pPr>
      <w:del w:id="16093" w:author="AbbVie02no" w:date="2025-05-15T14:21:00Z">
        <w:r w:rsidRPr="00637363">
          <w:rPr>
            <w:b/>
            <w:sz w:val="22"/>
            <w:szCs w:val="22"/>
          </w:rPr>
          <w:delText>Tilvirker</w:delText>
        </w:r>
      </w:del>
    </w:p>
    <w:p w14:paraId="7E68C3BE" w14:textId="6F21D775" w:rsidR="00D8722C" w:rsidRPr="00637363" w:rsidRDefault="00D8722C" w:rsidP="001F5D4B">
      <w:pPr>
        <w:keepNext/>
        <w:rPr>
          <w:del w:id="16094" w:author="AbbVie02no" w:date="2025-05-15T14:21:00Z"/>
          <w:sz w:val="22"/>
          <w:szCs w:val="22"/>
        </w:rPr>
      </w:pPr>
    </w:p>
    <w:p w14:paraId="142A57B9" w14:textId="1FCB35D2" w:rsidR="00D8722C" w:rsidRPr="001F5D4B" w:rsidRDefault="00E453CD" w:rsidP="00C07C98">
      <w:pPr>
        <w:rPr>
          <w:del w:id="16095" w:author="AbbVie02no" w:date="2025-05-15T14:21:00Z"/>
          <w:sz w:val="22"/>
          <w:szCs w:val="22"/>
          <w:lang w:val="de-DE"/>
        </w:rPr>
      </w:pPr>
      <w:del w:id="16096" w:author="AbbVie02no" w:date="2025-05-15T14:21:00Z">
        <w:r w:rsidRPr="001F5D4B">
          <w:rPr>
            <w:sz w:val="22"/>
            <w:szCs w:val="22"/>
            <w:lang w:val="de-DE"/>
          </w:rPr>
          <w:delText>AbbVie Biotechnology GmbH</w:delText>
        </w:r>
      </w:del>
    </w:p>
    <w:p w14:paraId="377405E3" w14:textId="1441ED5A" w:rsidR="00D8722C" w:rsidRPr="001F5D4B" w:rsidRDefault="00E453CD" w:rsidP="00E14E58">
      <w:pPr>
        <w:numPr>
          <w:ilvl w:val="12"/>
          <w:numId w:val="0"/>
        </w:numPr>
        <w:tabs>
          <w:tab w:val="left" w:pos="720"/>
        </w:tabs>
        <w:rPr>
          <w:del w:id="16097" w:author="AbbVie02no" w:date="2025-05-15T14:21:00Z"/>
          <w:sz w:val="22"/>
          <w:szCs w:val="22"/>
          <w:lang w:val="de-DE"/>
        </w:rPr>
      </w:pPr>
      <w:del w:id="16098" w:author="AbbVie02no" w:date="2025-05-15T14:21:00Z">
        <w:r w:rsidRPr="001F5D4B">
          <w:rPr>
            <w:sz w:val="22"/>
            <w:szCs w:val="22"/>
            <w:lang w:val="de-DE"/>
          </w:rPr>
          <w:delText>Knollstrasse</w:delText>
        </w:r>
      </w:del>
    </w:p>
    <w:p w14:paraId="79129959" w14:textId="41A31E6B" w:rsidR="00D8722C" w:rsidRPr="001F5D4B" w:rsidRDefault="00E453CD" w:rsidP="009C5EFD">
      <w:pPr>
        <w:numPr>
          <w:ilvl w:val="12"/>
          <w:numId w:val="0"/>
        </w:numPr>
        <w:tabs>
          <w:tab w:val="left" w:pos="720"/>
        </w:tabs>
        <w:rPr>
          <w:del w:id="16099" w:author="AbbVie02no" w:date="2025-05-15T14:21:00Z"/>
          <w:sz w:val="22"/>
          <w:szCs w:val="22"/>
          <w:lang w:val="de-DE"/>
        </w:rPr>
      </w:pPr>
      <w:del w:id="16100" w:author="AbbVie02no" w:date="2025-05-15T14:21:00Z">
        <w:r w:rsidRPr="001F5D4B">
          <w:rPr>
            <w:sz w:val="22"/>
            <w:szCs w:val="22"/>
            <w:lang w:val="de-DE"/>
          </w:rPr>
          <w:delText>67061 Ludwigshafen</w:delText>
        </w:r>
      </w:del>
    </w:p>
    <w:p w14:paraId="5991DAE6" w14:textId="15F4E518" w:rsidR="00D8722C" w:rsidRPr="009C5EFD" w:rsidRDefault="00E453CD" w:rsidP="009C5EFD">
      <w:pPr>
        <w:rPr>
          <w:del w:id="16101" w:author="AbbVie02no" w:date="2025-05-15T14:21:00Z"/>
          <w:sz w:val="22"/>
          <w:szCs w:val="22"/>
        </w:rPr>
      </w:pPr>
      <w:del w:id="16102" w:author="AbbVie02no" w:date="2025-05-15T14:21:00Z">
        <w:r w:rsidRPr="009C5EFD">
          <w:rPr>
            <w:sz w:val="22"/>
            <w:szCs w:val="22"/>
          </w:rPr>
          <w:delText>Tyskland</w:delText>
        </w:r>
      </w:del>
    </w:p>
    <w:p w14:paraId="4B87953A" w14:textId="6F058C41" w:rsidR="005B38A1" w:rsidRPr="009C5EFD" w:rsidRDefault="005B38A1" w:rsidP="009C5EFD">
      <w:pPr>
        <w:rPr>
          <w:del w:id="16103" w:author="AbbVie02no" w:date="2025-05-15T14:21:00Z"/>
          <w:sz w:val="22"/>
          <w:szCs w:val="22"/>
        </w:rPr>
      </w:pPr>
    </w:p>
    <w:p w14:paraId="2B74AC96" w14:textId="52F46CB1" w:rsidR="00DE3458" w:rsidRPr="009C5EFD" w:rsidRDefault="00E453CD" w:rsidP="009C5EFD">
      <w:pPr>
        <w:rPr>
          <w:del w:id="16104" w:author="AbbVie02no" w:date="2025-05-15T14:21:00Z"/>
          <w:sz w:val="22"/>
          <w:szCs w:val="22"/>
        </w:rPr>
      </w:pPr>
      <w:del w:id="16105" w:author="AbbVie02no" w:date="2025-05-15T14:21:00Z">
        <w:r w:rsidRPr="007C5DA8">
          <w:rPr>
            <w:sz w:val="22"/>
            <w:szCs w:val="22"/>
          </w:rPr>
          <w:delText xml:space="preserve">Ta kontakt med den lokale representanten for innehaveren av markedsføringstillatelsen </w:delText>
        </w:r>
        <w:r>
          <w:rPr>
            <w:sz w:val="22"/>
            <w:szCs w:val="22"/>
          </w:rPr>
          <w:delText>f</w:delText>
        </w:r>
        <w:r w:rsidRPr="009C5EFD">
          <w:rPr>
            <w:sz w:val="22"/>
            <w:szCs w:val="22"/>
          </w:rPr>
          <w:delText>or ytterligere informasjon om dette legemidlet</w:delText>
        </w:r>
        <w:r w:rsidR="00A71697">
          <w:rPr>
            <w:sz w:val="22"/>
            <w:szCs w:val="22"/>
          </w:rPr>
          <w:delText>:</w:delText>
        </w:r>
      </w:del>
    </w:p>
    <w:p w14:paraId="360DBA27" w14:textId="05FA988C" w:rsidR="00433E08" w:rsidRPr="009C5EFD" w:rsidRDefault="00433E08" w:rsidP="009C5EFD">
      <w:pPr>
        <w:rPr>
          <w:del w:id="16106" w:author="AbbVie02no" w:date="2025-05-15T14:21:00Z"/>
        </w:rPr>
      </w:pPr>
    </w:p>
    <w:tbl>
      <w:tblPr>
        <w:tblW w:w="9356" w:type="dxa"/>
        <w:tblInd w:w="-34" w:type="dxa"/>
        <w:tblLayout w:type="fixed"/>
        <w:tblLook w:val="0000" w:firstRow="0" w:lastRow="0" w:firstColumn="0" w:lastColumn="0" w:noHBand="0" w:noVBand="0"/>
      </w:tblPr>
      <w:tblGrid>
        <w:gridCol w:w="34"/>
        <w:gridCol w:w="4610"/>
        <w:gridCol w:w="34"/>
        <w:gridCol w:w="4678"/>
      </w:tblGrid>
      <w:tr w:rsidR="004644D4" w14:paraId="21A5CDBA" w14:textId="5737A529" w:rsidTr="001F79B0">
        <w:trPr>
          <w:del w:id="16107" w:author="AbbVie02no" w:date="2025-05-15T14:21:00Z"/>
        </w:trPr>
        <w:tc>
          <w:tcPr>
            <w:tcW w:w="4644" w:type="dxa"/>
            <w:gridSpan w:val="2"/>
          </w:tcPr>
          <w:p w14:paraId="47AB44D5" w14:textId="1287DE64" w:rsidR="00BD646C" w:rsidRPr="00BD646C" w:rsidRDefault="00E453CD" w:rsidP="001F79B0">
            <w:pPr>
              <w:rPr>
                <w:del w:id="16108" w:author="AbbVie02no" w:date="2025-05-15T14:21:00Z"/>
                <w:b/>
                <w:bCs/>
                <w:sz w:val="22"/>
                <w:szCs w:val="22"/>
                <w:lang w:val="fr-BE"/>
              </w:rPr>
            </w:pPr>
            <w:del w:id="16109" w:author="AbbVie02no" w:date="2025-05-15T14:21:00Z">
              <w:r w:rsidRPr="00BD646C">
                <w:rPr>
                  <w:b/>
                  <w:bCs/>
                  <w:sz w:val="22"/>
                  <w:szCs w:val="22"/>
                  <w:lang w:val="fr-BE"/>
                </w:rPr>
                <w:delText>België/Belgique/Belgien</w:delText>
              </w:r>
            </w:del>
          </w:p>
          <w:p w14:paraId="107C70FB" w14:textId="0F1AC240" w:rsidR="00BD646C" w:rsidRPr="00BD646C" w:rsidRDefault="00E453CD" w:rsidP="001F79B0">
            <w:pPr>
              <w:rPr>
                <w:del w:id="16110" w:author="AbbVie02no" w:date="2025-05-15T14:21:00Z"/>
                <w:bCs/>
                <w:sz w:val="22"/>
                <w:szCs w:val="22"/>
                <w:lang w:val="fr-FR"/>
              </w:rPr>
            </w:pPr>
            <w:del w:id="16111" w:author="AbbVie02no" w:date="2025-05-15T14:21:00Z">
              <w:r w:rsidRPr="00BD646C">
                <w:rPr>
                  <w:bCs/>
                  <w:sz w:val="22"/>
                  <w:szCs w:val="22"/>
                  <w:lang w:val="fr-FR"/>
                </w:rPr>
                <w:delText>AbbVie SA</w:delText>
              </w:r>
            </w:del>
          </w:p>
          <w:p w14:paraId="1106F93F" w14:textId="7917BF90" w:rsidR="00BD646C" w:rsidRPr="00BD646C" w:rsidRDefault="00E453CD" w:rsidP="001F79B0">
            <w:pPr>
              <w:rPr>
                <w:del w:id="16112" w:author="AbbVie02no" w:date="2025-05-15T14:21:00Z"/>
                <w:sz w:val="22"/>
                <w:szCs w:val="22"/>
                <w:lang w:val="fr-FR"/>
              </w:rPr>
            </w:pPr>
            <w:del w:id="16113" w:author="AbbVie02no" w:date="2025-05-15T14:21:00Z">
              <w:r w:rsidRPr="00BD646C">
                <w:rPr>
                  <w:bCs/>
                  <w:sz w:val="22"/>
                  <w:szCs w:val="22"/>
                  <w:lang w:val="fr-FR"/>
                </w:rPr>
                <w:delText xml:space="preserve">Tél/Tel: +32 10 </w:delText>
              </w:r>
              <w:r w:rsidRPr="00BD646C">
                <w:rPr>
                  <w:sz w:val="22"/>
                  <w:szCs w:val="22"/>
                  <w:lang w:val="fr-FR"/>
                </w:rPr>
                <w:delText>477811</w:delText>
              </w:r>
            </w:del>
          </w:p>
          <w:p w14:paraId="539491DE" w14:textId="1F1D01E5" w:rsidR="00BD646C" w:rsidRPr="00BD646C" w:rsidRDefault="00BD646C" w:rsidP="001F79B0">
            <w:pPr>
              <w:rPr>
                <w:del w:id="16114" w:author="AbbVie02no" w:date="2025-05-15T14:21:00Z"/>
                <w:bCs/>
                <w:sz w:val="22"/>
                <w:szCs w:val="22"/>
                <w:lang w:val="fr-FR"/>
              </w:rPr>
            </w:pPr>
          </w:p>
        </w:tc>
        <w:tc>
          <w:tcPr>
            <w:tcW w:w="4678" w:type="dxa"/>
            <w:gridSpan w:val="2"/>
          </w:tcPr>
          <w:p w14:paraId="05ACE365" w14:textId="0EE5114F" w:rsidR="00BD646C" w:rsidRPr="00BD646C" w:rsidRDefault="00E453CD" w:rsidP="001F79B0">
            <w:pPr>
              <w:rPr>
                <w:del w:id="16115" w:author="AbbVie02no" w:date="2025-05-15T14:21:00Z"/>
                <w:b/>
                <w:bCs/>
                <w:sz w:val="22"/>
                <w:szCs w:val="22"/>
                <w:lang w:val="lt-LT"/>
              </w:rPr>
            </w:pPr>
            <w:del w:id="16116" w:author="AbbVie02no" w:date="2025-05-15T14:21:00Z">
              <w:r w:rsidRPr="00BD646C">
                <w:rPr>
                  <w:b/>
                  <w:bCs/>
                  <w:sz w:val="22"/>
                  <w:szCs w:val="22"/>
                  <w:lang w:val="lt-LT"/>
                </w:rPr>
                <w:delText>Lietuva</w:delText>
              </w:r>
            </w:del>
          </w:p>
          <w:p w14:paraId="549C42D3" w14:textId="18BB2A2C" w:rsidR="00BD646C" w:rsidRPr="00BD646C" w:rsidRDefault="00E453CD" w:rsidP="001F79B0">
            <w:pPr>
              <w:rPr>
                <w:del w:id="16117" w:author="AbbVie02no" w:date="2025-05-15T14:21:00Z"/>
                <w:bCs/>
                <w:sz w:val="22"/>
                <w:szCs w:val="22"/>
                <w:lang w:val="lv-LV"/>
              </w:rPr>
            </w:pPr>
            <w:del w:id="16118" w:author="AbbVie02no" w:date="2025-05-15T14:21:00Z">
              <w:r w:rsidRPr="00BD646C">
                <w:rPr>
                  <w:bCs/>
                  <w:sz w:val="22"/>
                  <w:szCs w:val="22"/>
                  <w:lang w:val="lv-LV"/>
                </w:rPr>
                <w:delText xml:space="preserve">AbbVie UAB </w:delText>
              </w:r>
            </w:del>
          </w:p>
          <w:p w14:paraId="09BC8E25" w14:textId="41438AFB" w:rsidR="00BD646C" w:rsidRPr="00BD646C" w:rsidRDefault="00E453CD" w:rsidP="001F79B0">
            <w:pPr>
              <w:rPr>
                <w:del w:id="16119" w:author="AbbVie02no" w:date="2025-05-15T14:21:00Z"/>
                <w:bCs/>
                <w:sz w:val="22"/>
                <w:szCs w:val="22"/>
                <w:lang w:val="lv-LV"/>
              </w:rPr>
            </w:pPr>
            <w:del w:id="16120" w:author="AbbVie02no" w:date="2025-05-15T14:21:00Z">
              <w:r w:rsidRPr="00BD646C">
                <w:rPr>
                  <w:bCs/>
                  <w:sz w:val="22"/>
                  <w:szCs w:val="22"/>
                  <w:lang w:val="lv-LV"/>
                </w:rPr>
                <w:delText>Tel: +370 5 205 3023</w:delText>
              </w:r>
            </w:del>
          </w:p>
        </w:tc>
      </w:tr>
      <w:tr w:rsidR="004644D4" w14:paraId="36197FE7" w14:textId="567AAC46" w:rsidTr="001F79B0">
        <w:trPr>
          <w:del w:id="16121" w:author="AbbVie02no" w:date="2025-05-15T14:21:00Z"/>
        </w:trPr>
        <w:tc>
          <w:tcPr>
            <w:tcW w:w="4644" w:type="dxa"/>
            <w:gridSpan w:val="2"/>
          </w:tcPr>
          <w:p w14:paraId="70D21975" w14:textId="6E7E22DF" w:rsidR="00BD646C" w:rsidRPr="00BD646C" w:rsidRDefault="00E453CD" w:rsidP="001F79B0">
            <w:pPr>
              <w:rPr>
                <w:del w:id="16122" w:author="AbbVie02no" w:date="2025-05-15T14:21:00Z"/>
                <w:b/>
                <w:bCs/>
                <w:sz w:val="22"/>
                <w:szCs w:val="22"/>
                <w:lang w:val="bg-BG"/>
              </w:rPr>
            </w:pPr>
            <w:del w:id="16123" w:author="AbbVie02no" w:date="2025-05-15T14:21:00Z">
              <w:r w:rsidRPr="00BD646C">
                <w:rPr>
                  <w:b/>
                  <w:bCs/>
                  <w:sz w:val="22"/>
                  <w:szCs w:val="22"/>
                  <w:lang w:val="bg-BG"/>
                </w:rPr>
                <w:delText>България</w:delText>
              </w:r>
            </w:del>
          </w:p>
          <w:p w14:paraId="472782E2" w14:textId="18D1F087" w:rsidR="00BD646C" w:rsidRPr="00BD646C" w:rsidRDefault="00E453CD" w:rsidP="001F79B0">
            <w:pPr>
              <w:rPr>
                <w:del w:id="16124" w:author="AbbVie02no" w:date="2025-05-15T14:21:00Z"/>
                <w:sz w:val="22"/>
                <w:szCs w:val="22"/>
                <w:lang w:val="da-DK"/>
              </w:rPr>
            </w:pPr>
            <w:del w:id="16125" w:author="AbbVie02no" w:date="2025-05-15T14:21:00Z">
              <w:r w:rsidRPr="00BD646C">
                <w:rPr>
                  <w:sz w:val="22"/>
                  <w:szCs w:val="22"/>
                  <w:lang w:val="sk-SK"/>
                </w:rPr>
                <w:delText>АбВи ЕООД</w:delText>
              </w:r>
            </w:del>
          </w:p>
          <w:p w14:paraId="51D4E8CC" w14:textId="17830CBD" w:rsidR="00BD646C" w:rsidRPr="00BD646C" w:rsidRDefault="00E453CD" w:rsidP="001F79B0">
            <w:pPr>
              <w:rPr>
                <w:del w:id="16126" w:author="AbbVie02no" w:date="2025-05-15T14:21:00Z"/>
                <w:bCs/>
                <w:sz w:val="22"/>
                <w:szCs w:val="22"/>
                <w:lang w:val="da-DK"/>
              </w:rPr>
            </w:pPr>
            <w:del w:id="16127" w:author="AbbVie02no" w:date="2025-05-15T14:21:00Z">
              <w:r w:rsidRPr="00BD646C">
                <w:rPr>
                  <w:sz w:val="22"/>
                  <w:szCs w:val="22"/>
                  <w:lang w:val="sk-SK"/>
                </w:rPr>
                <w:delText>Тел</w:delText>
              </w:r>
              <w:r w:rsidRPr="00BD646C">
                <w:rPr>
                  <w:sz w:val="22"/>
                  <w:szCs w:val="22"/>
                  <w:lang w:val="it-IT"/>
                </w:rPr>
                <w:delText>.:+359 2 90 30 430</w:delText>
              </w:r>
            </w:del>
          </w:p>
        </w:tc>
        <w:tc>
          <w:tcPr>
            <w:tcW w:w="4678" w:type="dxa"/>
            <w:gridSpan w:val="2"/>
          </w:tcPr>
          <w:p w14:paraId="6FF3CBFF" w14:textId="3D665ECE" w:rsidR="00BD646C" w:rsidRPr="00BD646C" w:rsidRDefault="00E453CD" w:rsidP="001F79B0">
            <w:pPr>
              <w:rPr>
                <w:del w:id="16128" w:author="AbbVie02no" w:date="2025-05-15T14:21:00Z"/>
                <w:b/>
                <w:bCs/>
                <w:sz w:val="22"/>
                <w:szCs w:val="22"/>
                <w:lang w:val="de-DE"/>
              </w:rPr>
            </w:pPr>
            <w:del w:id="16129" w:author="AbbVie02no" w:date="2025-05-15T14:21:00Z">
              <w:r w:rsidRPr="00BD646C">
                <w:rPr>
                  <w:b/>
                  <w:bCs/>
                  <w:sz w:val="22"/>
                  <w:szCs w:val="22"/>
                  <w:lang w:val="de-DE"/>
                </w:rPr>
                <w:delText>Luxembourg/Luxemburg</w:delText>
              </w:r>
            </w:del>
          </w:p>
          <w:p w14:paraId="76E5F96F" w14:textId="60E5129D" w:rsidR="00BD646C" w:rsidRPr="00BD646C" w:rsidRDefault="00E453CD" w:rsidP="001F79B0">
            <w:pPr>
              <w:rPr>
                <w:del w:id="16130" w:author="AbbVie02no" w:date="2025-05-15T14:21:00Z"/>
                <w:bCs/>
                <w:sz w:val="22"/>
                <w:szCs w:val="22"/>
                <w:lang w:val="de-DE"/>
              </w:rPr>
            </w:pPr>
            <w:del w:id="16131" w:author="AbbVie02no" w:date="2025-05-15T14:21:00Z">
              <w:r w:rsidRPr="00BD646C">
                <w:rPr>
                  <w:bCs/>
                  <w:sz w:val="22"/>
                  <w:szCs w:val="22"/>
                  <w:lang w:val="de-DE"/>
                </w:rPr>
                <w:delText>AbbVie SA</w:delText>
              </w:r>
            </w:del>
          </w:p>
          <w:p w14:paraId="6F9F04A4" w14:textId="01CC96E2" w:rsidR="00BD646C" w:rsidRPr="00BD646C" w:rsidRDefault="00E453CD" w:rsidP="001F79B0">
            <w:pPr>
              <w:rPr>
                <w:del w:id="16132" w:author="AbbVie02no" w:date="2025-05-15T14:21:00Z"/>
                <w:bCs/>
                <w:sz w:val="22"/>
                <w:szCs w:val="22"/>
                <w:lang w:val="de-DE"/>
              </w:rPr>
            </w:pPr>
            <w:del w:id="16133" w:author="AbbVie02no" w:date="2025-05-15T14:21:00Z">
              <w:r w:rsidRPr="00BD646C">
                <w:rPr>
                  <w:bCs/>
                  <w:sz w:val="22"/>
                  <w:szCs w:val="22"/>
                  <w:lang w:val="de-DE"/>
                </w:rPr>
                <w:delText>Belgique/Belgien</w:delText>
              </w:r>
            </w:del>
          </w:p>
          <w:p w14:paraId="42820861" w14:textId="40DFAA5E" w:rsidR="00BD646C" w:rsidRPr="00BD646C" w:rsidRDefault="00E453CD" w:rsidP="001F79B0">
            <w:pPr>
              <w:rPr>
                <w:del w:id="16134" w:author="AbbVie02no" w:date="2025-05-15T14:21:00Z"/>
                <w:bCs/>
                <w:sz w:val="22"/>
                <w:szCs w:val="22"/>
                <w:lang w:val="fr-FR"/>
              </w:rPr>
            </w:pPr>
            <w:del w:id="16135" w:author="AbbVie02no" w:date="2025-05-15T14:21:00Z">
              <w:r w:rsidRPr="00BD646C">
                <w:rPr>
                  <w:bCs/>
                  <w:sz w:val="22"/>
                  <w:szCs w:val="22"/>
                  <w:lang w:val="fr-FR"/>
                </w:rPr>
                <w:delText>Tél/Tel: +32 10 477811</w:delText>
              </w:r>
            </w:del>
          </w:p>
          <w:p w14:paraId="1188545F" w14:textId="5F979D4E" w:rsidR="00BD646C" w:rsidRPr="00BD646C" w:rsidRDefault="00BD646C" w:rsidP="001F79B0">
            <w:pPr>
              <w:rPr>
                <w:del w:id="16136" w:author="AbbVie02no" w:date="2025-05-15T14:21:00Z"/>
                <w:bCs/>
                <w:sz w:val="22"/>
                <w:szCs w:val="22"/>
                <w:lang w:val="fr-FR"/>
              </w:rPr>
            </w:pPr>
          </w:p>
        </w:tc>
      </w:tr>
      <w:tr w:rsidR="004644D4" w14:paraId="0591E879" w14:textId="121BAEF1" w:rsidTr="001F79B0">
        <w:trPr>
          <w:del w:id="16137" w:author="AbbVie02no" w:date="2025-05-15T14:21:00Z"/>
        </w:trPr>
        <w:tc>
          <w:tcPr>
            <w:tcW w:w="4644" w:type="dxa"/>
            <w:gridSpan w:val="2"/>
          </w:tcPr>
          <w:p w14:paraId="0B4C8E06" w14:textId="3871E594" w:rsidR="00BD646C" w:rsidRPr="00BD646C" w:rsidRDefault="00E453CD" w:rsidP="001F79B0">
            <w:pPr>
              <w:rPr>
                <w:del w:id="16138" w:author="AbbVie02no" w:date="2025-05-15T14:21:00Z"/>
                <w:b/>
                <w:bCs/>
                <w:sz w:val="22"/>
                <w:szCs w:val="22"/>
                <w:lang w:val="sk-SK"/>
              </w:rPr>
            </w:pPr>
            <w:del w:id="16139" w:author="AbbVie02no" w:date="2025-05-15T14:21:00Z">
              <w:r w:rsidRPr="00BD646C">
                <w:rPr>
                  <w:b/>
                  <w:bCs/>
                  <w:sz w:val="22"/>
                  <w:szCs w:val="22"/>
                  <w:lang w:val="sk-SK"/>
                </w:rPr>
                <w:delText>Česká republika</w:delText>
              </w:r>
            </w:del>
          </w:p>
          <w:p w14:paraId="12F12C23" w14:textId="6C37660C" w:rsidR="00BD646C" w:rsidRPr="00BD646C" w:rsidRDefault="00E453CD" w:rsidP="001F79B0">
            <w:pPr>
              <w:rPr>
                <w:del w:id="16140" w:author="AbbVie02no" w:date="2025-05-15T14:21:00Z"/>
                <w:bCs/>
                <w:sz w:val="22"/>
                <w:szCs w:val="22"/>
                <w:lang w:val="sk-SK"/>
              </w:rPr>
            </w:pPr>
            <w:del w:id="16141" w:author="AbbVie02no" w:date="2025-05-15T14:21:00Z">
              <w:r w:rsidRPr="00BD646C">
                <w:rPr>
                  <w:bCs/>
                  <w:sz w:val="22"/>
                  <w:szCs w:val="22"/>
                  <w:lang w:val="sk-SK"/>
                </w:rPr>
                <w:delText xml:space="preserve">AbbVie s.r.o. </w:delText>
              </w:r>
            </w:del>
          </w:p>
          <w:p w14:paraId="4936F7C8" w14:textId="17E86B76" w:rsidR="00BD646C" w:rsidRPr="00BD646C" w:rsidRDefault="00E453CD" w:rsidP="001F79B0">
            <w:pPr>
              <w:rPr>
                <w:del w:id="16142" w:author="AbbVie02no" w:date="2025-05-15T14:21:00Z"/>
                <w:bCs/>
                <w:sz w:val="22"/>
                <w:szCs w:val="22"/>
                <w:lang w:val="sk-SK"/>
              </w:rPr>
            </w:pPr>
            <w:del w:id="16143" w:author="AbbVie02no" w:date="2025-05-15T14:21:00Z">
              <w:r w:rsidRPr="00BD646C">
                <w:rPr>
                  <w:bCs/>
                  <w:sz w:val="22"/>
                  <w:szCs w:val="22"/>
                  <w:lang w:val="sk-SK"/>
                </w:rPr>
                <w:delText>Tel: +420 233 098 111</w:delText>
              </w:r>
            </w:del>
          </w:p>
        </w:tc>
        <w:tc>
          <w:tcPr>
            <w:tcW w:w="4678" w:type="dxa"/>
            <w:gridSpan w:val="2"/>
          </w:tcPr>
          <w:p w14:paraId="5CCC8EEB" w14:textId="2ACB6BE4" w:rsidR="00BD646C" w:rsidRPr="00BD646C" w:rsidRDefault="00E453CD" w:rsidP="001F79B0">
            <w:pPr>
              <w:rPr>
                <w:del w:id="16144" w:author="AbbVie02no" w:date="2025-05-15T14:21:00Z"/>
                <w:b/>
                <w:bCs/>
                <w:sz w:val="22"/>
                <w:szCs w:val="22"/>
                <w:lang w:val="hu-HU"/>
              </w:rPr>
            </w:pPr>
            <w:del w:id="16145" w:author="AbbVie02no" w:date="2025-05-15T14:21:00Z">
              <w:r w:rsidRPr="00BD646C">
                <w:rPr>
                  <w:b/>
                  <w:bCs/>
                  <w:sz w:val="22"/>
                  <w:szCs w:val="22"/>
                  <w:lang w:val="hu-HU"/>
                </w:rPr>
                <w:delText>Magyarország</w:delText>
              </w:r>
            </w:del>
          </w:p>
          <w:p w14:paraId="2E93B05A" w14:textId="0F27AFB9" w:rsidR="00BD646C" w:rsidRPr="00BD646C" w:rsidRDefault="00E453CD" w:rsidP="001F79B0">
            <w:pPr>
              <w:rPr>
                <w:del w:id="16146" w:author="AbbVie02no" w:date="2025-05-15T14:21:00Z"/>
                <w:bCs/>
                <w:sz w:val="22"/>
                <w:szCs w:val="22"/>
                <w:lang w:val="hu-HU"/>
              </w:rPr>
            </w:pPr>
            <w:del w:id="16147" w:author="AbbVie02no" w:date="2025-05-15T14:21:00Z">
              <w:r w:rsidRPr="00BD646C">
                <w:rPr>
                  <w:bCs/>
                  <w:sz w:val="22"/>
                  <w:szCs w:val="22"/>
                  <w:lang w:val="hu-HU"/>
                </w:rPr>
                <w:delText>AbbVie Kft.</w:delText>
              </w:r>
            </w:del>
          </w:p>
          <w:p w14:paraId="72E14482" w14:textId="3E13F8E8" w:rsidR="00BD646C" w:rsidRPr="00BD646C" w:rsidRDefault="00E453CD" w:rsidP="001F79B0">
            <w:pPr>
              <w:rPr>
                <w:del w:id="16148" w:author="AbbVie02no" w:date="2025-05-15T14:21:00Z"/>
                <w:bCs/>
                <w:sz w:val="22"/>
                <w:szCs w:val="22"/>
                <w:lang w:val="hu-HU"/>
              </w:rPr>
            </w:pPr>
            <w:del w:id="16149" w:author="AbbVie02no" w:date="2025-05-15T14:21:00Z">
              <w:r w:rsidRPr="00BD646C">
                <w:rPr>
                  <w:bCs/>
                  <w:sz w:val="22"/>
                  <w:szCs w:val="22"/>
                  <w:lang w:val="hu-HU"/>
                </w:rPr>
                <w:delText>Tel.:+36 1 455 8600</w:delText>
              </w:r>
            </w:del>
          </w:p>
          <w:p w14:paraId="470E2AEF" w14:textId="1F40C03D" w:rsidR="00BD646C" w:rsidRPr="00BD646C" w:rsidRDefault="00BD646C" w:rsidP="001F79B0">
            <w:pPr>
              <w:rPr>
                <w:del w:id="16150" w:author="AbbVie02no" w:date="2025-05-15T14:21:00Z"/>
                <w:bCs/>
                <w:sz w:val="22"/>
                <w:szCs w:val="22"/>
                <w:lang w:val="hu-HU"/>
              </w:rPr>
            </w:pPr>
          </w:p>
        </w:tc>
      </w:tr>
      <w:tr w:rsidR="004644D4" w14:paraId="1747C6AA" w14:textId="163A90CB" w:rsidTr="001F79B0">
        <w:trPr>
          <w:trHeight w:val="737"/>
          <w:del w:id="16151" w:author="AbbVie02no" w:date="2025-05-15T14:21:00Z"/>
        </w:trPr>
        <w:tc>
          <w:tcPr>
            <w:tcW w:w="4644" w:type="dxa"/>
            <w:gridSpan w:val="2"/>
          </w:tcPr>
          <w:p w14:paraId="49900EAC" w14:textId="359996DA" w:rsidR="00BD646C" w:rsidRPr="00692DC9" w:rsidRDefault="00E453CD" w:rsidP="001F79B0">
            <w:pPr>
              <w:rPr>
                <w:del w:id="16152" w:author="AbbVie02no" w:date="2025-05-15T14:21:00Z"/>
                <w:b/>
                <w:bCs/>
                <w:sz w:val="22"/>
                <w:szCs w:val="22"/>
                <w:rPrChange w:id="16153" w:author="AbbVie05no" w:date="2025-05-19T11:03:00Z">
                  <w:rPr>
                    <w:del w:id="16154" w:author="AbbVie02no" w:date="2025-05-15T14:21:00Z"/>
                    <w:b/>
                    <w:bCs/>
                    <w:sz w:val="22"/>
                    <w:szCs w:val="22"/>
                    <w:lang w:val="en-US"/>
                  </w:rPr>
                </w:rPrChange>
              </w:rPr>
            </w:pPr>
            <w:del w:id="16155" w:author="AbbVie02no" w:date="2025-05-15T14:21:00Z">
              <w:r w:rsidRPr="00692DC9">
                <w:rPr>
                  <w:b/>
                  <w:bCs/>
                  <w:sz w:val="22"/>
                  <w:szCs w:val="22"/>
                  <w:rPrChange w:id="16156" w:author="AbbVie05no" w:date="2025-05-19T11:03:00Z">
                    <w:rPr>
                      <w:b/>
                      <w:bCs/>
                      <w:sz w:val="22"/>
                      <w:szCs w:val="22"/>
                      <w:lang w:val="en-US"/>
                    </w:rPr>
                  </w:rPrChange>
                </w:rPr>
                <w:delText>Danmark</w:delText>
              </w:r>
            </w:del>
          </w:p>
          <w:p w14:paraId="368FB679" w14:textId="1E235388" w:rsidR="00BD646C" w:rsidRPr="00692DC9" w:rsidRDefault="00E453CD" w:rsidP="001F79B0">
            <w:pPr>
              <w:rPr>
                <w:del w:id="16157" w:author="AbbVie02no" w:date="2025-05-15T14:21:00Z"/>
                <w:bCs/>
                <w:sz w:val="22"/>
                <w:szCs w:val="22"/>
                <w:rPrChange w:id="16158" w:author="AbbVie05no" w:date="2025-05-19T11:03:00Z">
                  <w:rPr>
                    <w:del w:id="16159" w:author="AbbVie02no" w:date="2025-05-15T14:21:00Z"/>
                    <w:bCs/>
                    <w:sz w:val="22"/>
                    <w:szCs w:val="22"/>
                    <w:lang w:val="en-US"/>
                  </w:rPr>
                </w:rPrChange>
              </w:rPr>
            </w:pPr>
            <w:del w:id="16160" w:author="AbbVie02no" w:date="2025-05-15T14:21:00Z">
              <w:r w:rsidRPr="00692DC9">
                <w:rPr>
                  <w:bCs/>
                  <w:sz w:val="22"/>
                  <w:szCs w:val="22"/>
                  <w:rPrChange w:id="16161" w:author="AbbVie05no" w:date="2025-05-19T11:03:00Z">
                    <w:rPr>
                      <w:bCs/>
                      <w:sz w:val="22"/>
                      <w:szCs w:val="22"/>
                      <w:lang w:val="en-US"/>
                    </w:rPr>
                  </w:rPrChange>
                </w:rPr>
                <w:delText>AbbVie A/S</w:delText>
              </w:r>
            </w:del>
          </w:p>
          <w:p w14:paraId="42581F91" w14:textId="0D9DB734" w:rsidR="00BD646C" w:rsidRPr="00BD646C" w:rsidRDefault="00E453CD" w:rsidP="001F79B0">
            <w:pPr>
              <w:rPr>
                <w:del w:id="16162" w:author="AbbVie02no" w:date="2025-05-15T14:21:00Z"/>
                <w:bCs/>
                <w:sz w:val="22"/>
                <w:szCs w:val="22"/>
                <w:lang w:val="sk-SK"/>
              </w:rPr>
            </w:pPr>
            <w:del w:id="16163" w:author="AbbVie02no" w:date="2025-05-15T14:21:00Z">
              <w:r w:rsidRPr="00692DC9">
                <w:rPr>
                  <w:bCs/>
                  <w:sz w:val="22"/>
                  <w:szCs w:val="22"/>
                  <w:rPrChange w:id="16164" w:author="AbbVie05no" w:date="2025-05-19T11:03:00Z">
                    <w:rPr>
                      <w:bCs/>
                      <w:sz w:val="22"/>
                      <w:szCs w:val="22"/>
                      <w:lang w:val="en-US"/>
                    </w:rPr>
                  </w:rPrChange>
                </w:rPr>
                <w:delText>Tlf: +45 72 30-20-28</w:delText>
              </w:r>
            </w:del>
          </w:p>
        </w:tc>
        <w:tc>
          <w:tcPr>
            <w:tcW w:w="4678" w:type="dxa"/>
            <w:gridSpan w:val="2"/>
          </w:tcPr>
          <w:p w14:paraId="49BFCED3" w14:textId="26DCD510" w:rsidR="00BD646C" w:rsidRPr="00BD646C" w:rsidRDefault="00E453CD" w:rsidP="001F79B0">
            <w:pPr>
              <w:rPr>
                <w:del w:id="16165" w:author="AbbVie02no" w:date="2025-05-15T14:21:00Z"/>
                <w:b/>
                <w:bCs/>
                <w:sz w:val="22"/>
                <w:szCs w:val="22"/>
                <w:lang w:val="mt-MT"/>
              </w:rPr>
            </w:pPr>
            <w:del w:id="16166" w:author="AbbVie02no" w:date="2025-05-15T14:21:00Z">
              <w:r w:rsidRPr="00BD646C">
                <w:rPr>
                  <w:b/>
                  <w:bCs/>
                  <w:sz w:val="22"/>
                  <w:szCs w:val="22"/>
                  <w:lang w:val="mt-MT"/>
                </w:rPr>
                <w:delText>Malta</w:delText>
              </w:r>
            </w:del>
          </w:p>
          <w:p w14:paraId="5E6E43A0" w14:textId="28131658" w:rsidR="00BD646C" w:rsidRPr="00BD646C" w:rsidRDefault="00E453CD" w:rsidP="001F79B0">
            <w:pPr>
              <w:rPr>
                <w:del w:id="16167" w:author="AbbVie02no" w:date="2025-05-15T14:21:00Z"/>
                <w:bCs/>
                <w:sz w:val="22"/>
                <w:szCs w:val="22"/>
                <w:lang w:val="sk-SK"/>
              </w:rPr>
            </w:pPr>
            <w:del w:id="16168" w:author="AbbVie02no" w:date="2025-05-15T14:21:00Z">
              <w:r w:rsidRPr="00BD646C">
                <w:rPr>
                  <w:bCs/>
                  <w:sz w:val="22"/>
                  <w:szCs w:val="22"/>
                  <w:lang w:val="sk-SK"/>
                </w:rPr>
                <w:delText xml:space="preserve">V.J.Salomone Pharma Limited </w:delText>
              </w:r>
            </w:del>
          </w:p>
          <w:p w14:paraId="47253C33" w14:textId="3796B69E" w:rsidR="00BD646C" w:rsidRPr="00BD646C" w:rsidRDefault="00E453CD" w:rsidP="001F79B0">
            <w:pPr>
              <w:rPr>
                <w:del w:id="16169" w:author="AbbVie02no" w:date="2025-05-15T14:21:00Z"/>
                <w:bCs/>
                <w:sz w:val="22"/>
                <w:szCs w:val="22"/>
                <w:lang w:val="sk-SK"/>
              </w:rPr>
            </w:pPr>
            <w:del w:id="16170" w:author="AbbVie02no" w:date="2025-05-15T14:21:00Z">
              <w:r w:rsidRPr="00BD646C">
                <w:rPr>
                  <w:bCs/>
                  <w:sz w:val="22"/>
                  <w:szCs w:val="22"/>
                  <w:lang w:val="sk-SK"/>
                </w:rPr>
                <w:delText xml:space="preserve">Tel: </w:delText>
              </w:r>
              <w:r w:rsidR="00BB66E5" w:rsidRPr="00692DC9">
                <w:rPr>
                  <w:bCs/>
                  <w:sz w:val="22"/>
                  <w:szCs w:val="22"/>
                  <w:rPrChange w:id="16171" w:author="AbbVie05no" w:date="2025-05-19T11:03:00Z">
                    <w:rPr>
                      <w:bCs/>
                      <w:sz w:val="22"/>
                      <w:szCs w:val="22"/>
                      <w:lang w:val="en-GB"/>
                    </w:rPr>
                  </w:rPrChange>
                </w:rPr>
                <w:delText>+356 21220174</w:delText>
              </w:r>
            </w:del>
          </w:p>
          <w:p w14:paraId="7A8339A7" w14:textId="2BE89F78" w:rsidR="00BD646C" w:rsidRPr="00BD646C" w:rsidRDefault="00BD646C" w:rsidP="001F79B0">
            <w:pPr>
              <w:rPr>
                <w:del w:id="16172" w:author="AbbVie02no" w:date="2025-05-15T14:21:00Z"/>
                <w:bCs/>
                <w:sz w:val="22"/>
                <w:szCs w:val="22"/>
                <w:lang w:val="sk-SK"/>
              </w:rPr>
            </w:pPr>
          </w:p>
        </w:tc>
      </w:tr>
      <w:tr w:rsidR="004644D4" w14:paraId="088662D3" w14:textId="11520845" w:rsidTr="001F79B0">
        <w:trPr>
          <w:del w:id="16173" w:author="AbbVie02no" w:date="2025-05-15T14:21:00Z"/>
        </w:trPr>
        <w:tc>
          <w:tcPr>
            <w:tcW w:w="4644" w:type="dxa"/>
            <w:gridSpan w:val="2"/>
          </w:tcPr>
          <w:p w14:paraId="379D1923" w14:textId="0222FE2F" w:rsidR="00BD646C" w:rsidRPr="00BD646C" w:rsidRDefault="00E453CD" w:rsidP="001F79B0">
            <w:pPr>
              <w:rPr>
                <w:del w:id="16174" w:author="AbbVie02no" w:date="2025-05-15T14:21:00Z"/>
                <w:b/>
                <w:bCs/>
                <w:sz w:val="22"/>
                <w:szCs w:val="22"/>
                <w:lang w:val="de-DE"/>
              </w:rPr>
            </w:pPr>
            <w:del w:id="16175" w:author="AbbVie02no" w:date="2025-05-15T14:21:00Z">
              <w:r w:rsidRPr="00BD646C">
                <w:rPr>
                  <w:b/>
                  <w:bCs/>
                  <w:sz w:val="22"/>
                  <w:szCs w:val="22"/>
                  <w:lang w:val="de-DE"/>
                </w:rPr>
                <w:delText>Deutschland</w:delText>
              </w:r>
            </w:del>
          </w:p>
          <w:p w14:paraId="20DA2218" w14:textId="6B40064F" w:rsidR="00BD646C" w:rsidRPr="00BD646C" w:rsidRDefault="00E453CD" w:rsidP="001F79B0">
            <w:pPr>
              <w:rPr>
                <w:del w:id="16176" w:author="AbbVie02no" w:date="2025-05-15T14:21:00Z"/>
                <w:bCs/>
                <w:sz w:val="22"/>
                <w:szCs w:val="22"/>
                <w:lang w:val="de-DE"/>
              </w:rPr>
            </w:pPr>
            <w:del w:id="16177" w:author="AbbVie02no" w:date="2025-05-15T14:21:00Z">
              <w:r w:rsidRPr="00BD646C">
                <w:rPr>
                  <w:sz w:val="22"/>
                  <w:szCs w:val="22"/>
                  <w:lang w:val="de-DE"/>
                </w:rPr>
                <w:delText xml:space="preserve">AbbVie Deutschland </w:delText>
              </w:r>
              <w:r w:rsidRPr="00BD646C">
                <w:rPr>
                  <w:bCs/>
                  <w:sz w:val="22"/>
                  <w:szCs w:val="22"/>
                  <w:lang w:val="de-DE"/>
                </w:rPr>
                <w:delText>GmbH &amp; Co. KG</w:delText>
              </w:r>
            </w:del>
          </w:p>
          <w:p w14:paraId="6B5AA60B" w14:textId="167B05F1" w:rsidR="00BD646C" w:rsidRPr="00BD646C" w:rsidRDefault="00E453CD" w:rsidP="001F79B0">
            <w:pPr>
              <w:rPr>
                <w:del w:id="16178" w:author="AbbVie02no" w:date="2025-05-15T14:21:00Z"/>
                <w:sz w:val="22"/>
                <w:szCs w:val="22"/>
                <w:lang w:val="de-DE"/>
              </w:rPr>
            </w:pPr>
            <w:del w:id="16179" w:author="AbbVie02no" w:date="2025-05-15T14:21:00Z">
              <w:r w:rsidRPr="00BD646C">
                <w:rPr>
                  <w:sz w:val="22"/>
                  <w:szCs w:val="22"/>
                  <w:lang w:val="de-DE"/>
                </w:rPr>
                <w:delText>Tel: 00800 222843 33 (gebührenfrei)</w:delText>
              </w:r>
            </w:del>
          </w:p>
          <w:p w14:paraId="0FA0DE19" w14:textId="2F0A936C" w:rsidR="00BD646C" w:rsidRPr="00BD646C" w:rsidRDefault="00E453CD" w:rsidP="001F79B0">
            <w:pPr>
              <w:rPr>
                <w:del w:id="16180" w:author="AbbVie02no" w:date="2025-05-15T14:21:00Z"/>
                <w:sz w:val="22"/>
                <w:szCs w:val="22"/>
                <w:lang w:val="de-DE"/>
              </w:rPr>
            </w:pPr>
            <w:del w:id="16181" w:author="AbbVie02no" w:date="2025-05-15T14:21:00Z">
              <w:r w:rsidRPr="00BD646C">
                <w:rPr>
                  <w:sz w:val="22"/>
                  <w:szCs w:val="22"/>
                  <w:lang w:val="de-DE"/>
                </w:rPr>
                <w:delText>Tel: +49 (0) 611 / 1720-0</w:delText>
              </w:r>
            </w:del>
          </w:p>
          <w:p w14:paraId="2975205A" w14:textId="43C66030" w:rsidR="00BD646C" w:rsidRPr="00BD646C" w:rsidRDefault="00BD646C" w:rsidP="001F79B0">
            <w:pPr>
              <w:rPr>
                <w:del w:id="16182" w:author="AbbVie02no" w:date="2025-05-15T14:21:00Z"/>
                <w:sz w:val="22"/>
                <w:szCs w:val="22"/>
                <w:lang w:val="de-DE"/>
              </w:rPr>
            </w:pPr>
          </w:p>
        </w:tc>
        <w:tc>
          <w:tcPr>
            <w:tcW w:w="4678" w:type="dxa"/>
            <w:gridSpan w:val="2"/>
          </w:tcPr>
          <w:p w14:paraId="0D66EA2D" w14:textId="383DE1F9" w:rsidR="00BD646C" w:rsidRPr="00BD646C" w:rsidRDefault="00E453CD" w:rsidP="001F79B0">
            <w:pPr>
              <w:rPr>
                <w:del w:id="16183" w:author="AbbVie02no" w:date="2025-05-15T14:21:00Z"/>
                <w:b/>
                <w:bCs/>
                <w:sz w:val="22"/>
                <w:szCs w:val="22"/>
                <w:lang w:val="nl-NL"/>
              </w:rPr>
            </w:pPr>
            <w:del w:id="16184" w:author="AbbVie02no" w:date="2025-05-15T14:21:00Z">
              <w:r w:rsidRPr="00BD646C">
                <w:rPr>
                  <w:b/>
                  <w:bCs/>
                  <w:sz w:val="22"/>
                  <w:szCs w:val="22"/>
                  <w:lang w:val="nl-NL"/>
                </w:rPr>
                <w:delText>Nederland</w:delText>
              </w:r>
            </w:del>
          </w:p>
          <w:p w14:paraId="40326CC8" w14:textId="231B18FC" w:rsidR="00BD646C" w:rsidRPr="00BD646C" w:rsidRDefault="00E453CD" w:rsidP="001F79B0">
            <w:pPr>
              <w:rPr>
                <w:del w:id="16185" w:author="AbbVie02no" w:date="2025-05-15T14:21:00Z"/>
                <w:bCs/>
                <w:sz w:val="22"/>
                <w:szCs w:val="22"/>
                <w:lang w:val="de-DE"/>
              </w:rPr>
            </w:pPr>
            <w:del w:id="16186" w:author="AbbVie02no" w:date="2025-05-15T14:21:00Z">
              <w:r w:rsidRPr="00BD646C">
                <w:rPr>
                  <w:bCs/>
                  <w:sz w:val="22"/>
                  <w:szCs w:val="22"/>
                  <w:lang w:val="de-DE"/>
                </w:rPr>
                <w:delText>AbbVie B.V.</w:delText>
              </w:r>
            </w:del>
          </w:p>
          <w:p w14:paraId="6984037B" w14:textId="75F3495A" w:rsidR="00BD646C" w:rsidRPr="00BD646C" w:rsidRDefault="00E453CD" w:rsidP="001F79B0">
            <w:pPr>
              <w:rPr>
                <w:del w:id="16187" w:author="AbbVie02no" w:date="2025-05-15T14:21:00Z"/>
                <w:bCs/>
                <w:sz w:val="22"/>
                <w:szCs w:val="22"/>
                <w:lang w:val="de-DE"/>
              </w:rPr>
            </w:pPr>
            <w:del w:id="16188" w:author="AbbVie02no" w:date="2025-05-15T14:21:00Z">
              <w:r w:rsidRPr="00BD646C">
                <w:rPr>
                  <w:bCs/>
                  <w:sz w:val="22"/>
                  <w:szCs w:val="22"/>
                  <w:lang w:val="de-DE"/>
                </w:rPr>
                <w:delText>Tel: +31 (0)88 322 2843</w:delText>
              </w:r>
            </w:del>
          </w:p>
        </w:tc>
      </w:tr>
      <w:tr w:rsidR="004644D4" w14:paraId="4AB366CD" w14:textId="0B8919DF" w:rsidTr="001F79B0">
        <w:trPr>
          <w:del w:id="16189" w:author="AbbVie02no" w:date="2025-05-15T14:21:00Z"/>
        </w:trPr>
        <w:tc>
          <w:tcPr>
            <w:tcW w:w="4644" w:type="dxa"/>
            <w:gridSpan w:val="2"/>
          </w:tcPr>
          <w:p w14:paraId="2689E3AA" w14:textId="009A012C" w:rsidR="00BD646C" w:rsidRPr="00BD646C" w:rsidRDefault="00E453CD" w:rsidP="001F79B0">
            <w:pPr>
              <w:rPr>
                <w:del w:id="16190" w:author="AbbVie02no" w:date="2025-05-15T14:21:00Z"/>
                <w:b/>
                <w:bCs/>
                <w:sz w:val="22"/>
                <w:szCs w:val="22"/>
                <w:lang w:val="et-EE"/>
              </w:rPr>
            </w:pPr>
            <w:del w:id="16191" w:author="AbbVie02no" w:date="2025-05-15T14:21:00Z">
              <w:r w:rsidRPr="00BD646C">
                <w:rPr>
                  <w:b/>
                  <w:bCs/>
                  <w:sz w:val="22"/>
                  <w:szCs w:val="22"/>
                  <w:lang w:val="et-EE"/>
                </w:rPr>
                <w:delText>Eesti</w:delText>
              </w:r>
            </w:del>
          </w:p>
          <w:p w14:paraId="12EFAE47" w14:textId="227B2106" w:rsidR="00BD646C" w:rsidRPr="00BD646C" w:rsidRDefault="00E453CD" w:rsidP="001F79B0">
            <w:pPr>
              <w:rPr>
                <w:del w:id="16192" w:author="AbbVie02no" w:date="2025-05-15T14:21:00Z"/>
                <w:bCs/>
                <w:sz w:val="22"/>
                <w:szCs w:val="22"/>
                <w:lang w:val="et-EE"/>
              </w:rPr>
            </w:pPr>
            <w:del w:id="16193" w:author="AbbVie02no" w:date="2025-05-15T14:21: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0FFD9224" w14:textId="0F6B9EF6" w:rsidR="00BD646C" w:rsidRPr="00BD646C" w:rsidRDefault="00E453CD" w:rsidP="001F79B0">
            <w:pPr>
              <w:rPr>
                <w:del w:id="16194" w:author="AbbVie02no" w:date="2025-05-15T14:21:00Z"/>
                <w:bCs/>
                <w:sz w:val="22"/>
                <w:szCs w:val="22"/>
                <w:lang w:val="lv-LV"/>
              </w:rPr>
            </w:pPr>
            <w:del w:id="16195" w:author="AbbVie02no" w:date="2025-05-15T14:21:00Z">
              <w:r w:rsidRPr="00BD646C">
                <w:rPr>
                  <w:bCs/>
                  <w:sz w:val="22"/>
                  <w:szCs w:val="22"/>
                  <w:lang w:val="et-EE"/>
                </w:rPr>
                <w:delText>Tel: +372 623 1011</w:delText>
              </w:r>
            </w:del>
          </w:p>
        </w:tc>
        <w:tc>
          <w:tcPr>
            <w:tcW w:w="4678" w:type="dxa"/>
            <w:gridSpan w:val="2"/>
          </w:tcPr>
          <w:p w14:paraId="0DDC3956" w14:textId="4A517B84" w:rsidR="00BD646C" w:rsidRPr="00BD646C" w:rsidRDefault="00E453CD" w:rsidP="001F79B0">
            <w:pPr>
              <w:rPr>
                <w:del w:id="16196" w:author="AbbVie02no" w:date="2025-05-15T14:21:00Z"/>
                <w:b/>
                <w:bCs/>
                <w:sz w:val="22"/>
                <w:szCs w:val="22"/>
              </w:rPr>
            </w:pPr>
            <w:del w:id="16197" w:author="AbbVie02no" w:date="2025-05-15T14:21:00Z">
              <w:r w:rsidRPr="00BD646C">
                <w:rPr>
                  <w:b/>
                  <w:bCs/>
                  <w:sz w:val="22"/>
                  <w:szCs w:val="22"/>
                </w:rPr>
                <w:delText>Norge</w:delText>
              </w:r>
            </w:del>
          </w:p>
          <w:p w14:paraId="54904BF1" w14:textId="17B0EB05" w:rsidR="00BD646C" w:rsidRPr="00BD646C" w:rsidRDefault="00E453CD" w:rsidP="001F79B0">
            <w:pPr>
              <w:rPr>
                <w:del w:id="16198" w:author="AbbVie02no" w:date="2025-05-15T14:21:00Z"/>
                <w:bCs/>
                <w:sz w:val="22"/>
                <w:szCs w:val="22"/>
                <w:lang w:val="sk-SK"/>
              </w:rPr>
            </w:pPr>
            <w:del w:id="16199" w:author="AbbVie02no" w:date="2025-05-15T14:21:00Z">
              <w:r w:rsidRPr="00BD646C">
                <w:rPr>
                  <w:bCs/>
                  <w:sz w:val="22"/>
                  <w:szCs w:val="22"/>
                  <w:lang w:val="sk-SK"/>
                </w:rPr>
                <w:delText>AbbVie AS</w:delText>
              </w:r>
            </w:del>
          </w:p>
          <w:p w14:paraId="3EBE4321" w14:textId="7CD5BD7F" w:rsidR="00BD646C" w:rsidRPr="00BD646C" w:rsidRDefault="00E453CD" w:rsidP="001F79B0">
            <w:pPr>
              <w:rPr>
                <w:del w:id="16200" w:author="AbbVie02no" w:date="2025-05-15T14:21:00Z"/>
                <w:bCs/>
                <w:sz w:val="22"/>
                <w:szCs w:val="22"/>
                <w:lang w:val="sk-SK"/>
              </w:rPr>
            </w:pPr>
            <w:del w:id="16201" w:author="AbbVie02no" w:date="2025-05-15T14:21:00Z">
              <w:r w:rsidRPr="00BD646C">
                <w:rPr>
                  <w:bCs/>
                  <w:sz w:val="22"/>
                  <w:szCs w:val="22"/>
                  <w:lang w:val="sk-SK"/>
                </w:rPr>
                <w:delText>Tlf: +47 67 81 80 00</w:delText>
              </w:r>
            </w:del>
          </w:p>
          <w:p w14:paraId="24221604" w14:textId="2ED3B9BB" w:rsidR="00BD646C" w:rsidRPr="00BD646C" w:rsidRDefault="00BD646C" w:rsidP="001F79B0">
            <w:pPr>
              <w:rPr>
                <w:del w:id="16202" w:author="AbbVie02no" w:date="2025-05-15T14:21:00Z"/>
                <w:bCs/>
                <w:sz w:val="22"/>
                <w:szCs w:val="22"/>
                <w:lang w:val="sk-SK"/>
              </w:rPr>
            </w:pPr>
          </w:p>
        </w:tc>
      </w:tr>
      <w:tr w:rsidR="004644D4" w14:paraId="75C1A0E5" w14:textId="3198E088" w:rsidTr="001F79B0">
        <w:trPr>
          <w:trHeight w:val="794"/>
          <w:del w:id="16203" w:author="AbbVie02no" w:date="2025-05-15T14:21:00Z"/>
        </w:trPr>
        <w:tc>
          <w:tcPr>
            <w:tcW w:w="4644" w:type="dxa"/>
            <w:gridSpan w:val="2"/>
          </w:tcPr>
          <w:p w14:paraId="5F7BAE06" w14:textId="413A2AE6" w:rsidR="00BD646C" w:rsidRPr="00BD646C" w:rsidRDefault="00E453CD" w:rsidP="001F79B0">
            <w:pPr>
              <w:rPr>
                <w:del w:id="16204" w:author="AbbVie02no" w:date="2025-05-15T14:21:00Z"/>
                <w:b/>
                <w:bCs/>
                <w:sz w:val="22"/>
                <w:szCs w:val="22"/>
                <w:lang w:val="el-GR"/>
              </w:rPr>
            </w:pPr>
            <w:del w:id="16205" w:author="AbbVie02no" w:date="2025-05-15T14:21:00Z">
              <w:r w:rsidRPr="00BD646C">
                <w:rPr>
                  <w:b/>
                  <w:bCs/>
                  <w:sz w:val="22"/>
                  <w:szCs w:val="22"/>
                  <w:lang w:val="el-GR"/>
                </w:rPr>
                <w:delText>Ελλάδα</w:delText>
              </w:r>
            </w:del>
          </w:p>
          <w:p w14:paraId="26CFF712" w14:textId="56435E05" w:rsidR="00BD646C" w:rsidRPr="00BD646C" w:rsidRDefault="00E453CD" w:rsidP="001F79B0">
            <w:pPr>
              <w:rPr>
                <w:del w:id="16206" w:author="AbbVie02no" w:date="2025-05-15T14:21:00Z"/>
                <w:bCs/>
                <w:sz w:val="22"/>
                <w:szCs w:val="22"/>
                <w:lang w:val="el-GR"/>
              </w:rPr>
            </w:pPr>
            <w:del w:id="16207" w:author="AbbVie02no" w:date="2025-05-15T14:21:00Z">
              <w:r w:rsidRPr="00BD646C">
                <w:rPr>
                  <w:bCs/>
                  <w:sz w:val="22"/>
                  <w:szCs w:val="22"/>
                  <w:lang w:val="et-EE"/>
                </w:rPr>
                <w:delText xml:space="preserve">AbbVie </w:delText>
              </w:r>
              <w:r w:rsidRPr="00BD646C">
                <w:rPr>
                  <w:sz w:val="22"/>
                  <w:szCs w:val="22"/>
                  <w:lang w:val="el-GR"/>
                </w:rPr>
                <w:delText>ΦΑΡΜΑΚΕΥΤΙΚΗ Α.Ε.</w:delText>
              </w:r>
            </w:del>
          </w:p>
          <w:p w14:paraId="13462DAE" w14:textId="094F0BC5" w:rsidR="00BD646C" w:rsidRPr="00BD646C" w:rsidRDefault="00E453CD" w:rsidP="001F79B0">
            <w:pPr>
              <w:rPr>
                <w:del w:id="16208" w:author="AbbVie02no" w:date="2025-05-15T14:21:00Z"/>
                <w:bCs/>
                <w:sz w:val="22"/>
                <w:szCs w:val="22"/>
                <w:lang w:val="sk-SK"/>
              </w:rPr>
            </w:pPr>
            <w:del w:id="16209" w:author="AbbVie02no" w:date="2025-05-15T14:21:00Z">
              <w:r w:rsidRPr="00BD646C">
                <w:rPr>
                  <w:bCs/>
                  <w:sz w:val="22"/>
                  <w:szCs w:val="22"/>
                  <w:lang w:val="el-GR"/>
                </w:rPr>
                <w:delText xml:space="preserve">Τηλ: +30 </w:delText>
              </w:r>
              <w:r w:rsidRPr="00BD646C">
                <w:rPr>
                  <w:bCs/>
                  <w:sz w:val="22"/>
                  <w:szCs w:val="22"/>
                  <w:lang w:val="sk-SK"/>
                </w:rPr>
                <w:delText>214 4165 555</w:delText>
              </w:r>
            </w:del>
          </w:p>
        </w:tc>
        <w:tc>
          <w:tcPr>
            <w:tcW w:w="4678" w:type="dxa"/>
            <w:gridSpan w:val="2"/>
          </w:tcPr>
          <w:p w14:paraId="06533246" w14:textId="1D576C2E" w:rsidR="00BD646C" w:rsidRPr="00BD646C" w:rsidRDefault="00E453CD" w:rsidP="001F79B0">
            <w:pPr>
              <w:rPr>
                <w:del w:id="16210" w:author="AbbVie02no" w:date="2025-05-15T14:21:00Z"/>
                <w:b/>
                <w:bCs/>
                <w:sz w:val="22"/>
                <w:szCs w:val="22"/>
                <w:lang w:val="de-DE"/>
              </w:rPr>
            </w:pPr>
            <w:del w:id="16211" w:author="AbbVie02no" w:date="2025-05-15T14:21:00Z">
              <w:r w:rsidRPr="00BD646C">
                <w:rPr>
                  <w:b/>
                  <w:bCs/>
                  <w:sz w:val="22"/>
                  <w:szCs w:val="22"/>
                  <w:lang w:val="de-DE"/>
                </w:rPr>
                <w:delText>Österreich</w:delText>
              </w:r>
            </w:del>
          </w:p>
          <w:p w14:paraId="40BC5489" w14:textId="02A3614B" w:rsidR="00BD646C" w:rsidRPr="00BD646C" w:rsidRDefault="00E453CD" w:rsidP="001F79B0">
            <w:pPr>
              <w:rPr>
                <w:del w:id="16212" w:author="AbbVie02no" w:date="2025-05-15T14:21:00Z"/>
                <w:bCs/>
                <w:sz w:val="22"/>
                <w:szCs w:val="22"/>
                <w:lang w:val="de-DE"/>
              </w:rPr>
            </w:pPr>
            <w:del w:id="16213" w:author="AbbVie02no" w:date="2025-05-15T14:21:00Z">
              <w:r w:rsidRPr="00BD646C">
                <w:rPr>
                  <w:bCs/>
                  <w:sz w:val="22"/>
                  <w:szCs w:val="22"/>
                  <w:lang w:val="de-DE"/>
                </w:rPr>
                <w:delText xml:space="preserve">AbbVie GmbH </w:delText>
              </w:r>
            </w:del>
          </w:p>
          <w:p w14:paraId="1403F2F3" w14:textId="1141F9AB" w:rsidR="00BD646C" w:rsidRPr="00BD646C" w:rsidRDefault="00E453CD" w:rsidP="001F79B0">
            <w:pPr>
              <w:rPr>
                <w:del w:id="16214" w:author="AbbVie02no" w:date="2025-05-15T14:21:00Z"/>
                <w:bCs/>
                <w:sz w:val="22"/>
                <w:szCs w:val="22"/>
                <w:lang w:val="de-DE"/>
              </w:rPr>
            </w:pPr>
            <w:del w:id="16215" w:author="AbbVie02no" w:date="2025-05-15T14:21:00Z">
              <w:r w:rsidRPr="00BD646C">
                <w:rPr>
                  <w:bCs/>
                  <w:sz w:val="22"/>
                  <w:szCs w:val="22"/>
                  <w:lang w:val="de-DE"/>
                </w:rPr>
                <w:delText>Tel: +43 1 20589-0</w:delText>
              </w:r>
            </w:del>
          </w:p>
          <w:p w14:paraId="768C0C52" w14:textId="2B13CC7F" w:rsidR="00BD646C" w:rsidRPr="00BD646C" w:rsidRDefault="00BD646C" w:rsidP="001F79B0">
            <w:pPr>
              <w:rPr>
                <w:del w:id="16216" w:author="AbbVie02no" w:date="2025-05-15T14:21:00Z"/>
                <w:bCs/>
                <w:sz w:val="22"/>
                <w:szCs w:val="22"/>
                <w:lang w:val="de-DE"/>
              </w:rPr>
            </w:pPr>
          </w:p>
        </w:tc>
      </w:tr>
      <w:tr w:rsidR="004644D4" w14:paraId="25A7DBFE" w14:textId="71C7ED1C" w:rsidTr="001F79B0">
        <w:trPr>
          <w:gridBefore w:val="1"/>
          <w:wBefore w:w="34" w:type="dxa"/>
          <w:del w:id="16217" w:author="AbbVie02no" w:date="2025-05-15T14:21:00Z"/>
        </w:trPr>
        <w:tc>
          <w:tcPr>
            <w:tcW w:w="4644" w:type="dxa"/>
            <w:gridSpan w:val="2"/>
          </w:tcPr>
          <w:p w14:paraId="20465BD1" w14:textId="4FE2F922" w:rsidR="00BD646C" w:rsidRPr="00BD646C" w:rsidRDefault="00E453CD" w:rsidP="001F79B0">
            <w:pPr>
              <w:rPr>
                <w:del w:id="16218" w:author="AbbVie02no" w:date="2025-05-15T14:21:00Z"/>
                <w:b/>
                <w:bCs/>
                <w:sz w:val="22"/>
                <w:szCs w:val="22"/>
                <w:lang w:val="es-ES"/>
              </w:rPr>
            </w:pPr>
            <w:del w:id="16219" w:author="AbbVie02no" w:date="2025-05-15T14:21:00Z">
              <w:r w:rsidRPr="00BD646C">
                <w:rPr>
                  <w:b/>
                  <w:bCs/>
                  <w:sz w:val="22"/>
                  <w:szCs w:val="22"/>
                  <w:lang w:val="es-ES"/>
                </w:rPr>
                <w:delText>España</w:delText>
              </w:r>
            </w:del>
          </w:p>
          <w:p w14:paraId="463D26AF" w14:textId="6DCCB222" w:rsidR="00BD646C" w:rsidRPr="00BD646C" w:rsidRDefault="00E453CD" w:rsidP="001F79B0">
            <w:pPr>
              <w:rPr>
                <w:del w:id="16220" w:author="AbbVie02no" w:date="2025-05-15T14:21:00Z"/>
                <w:sz w:val="22"/>
                <w:szCs w:val="22"/>
                <w:lang w:val="es-ES"/>
              </w:rPr>
            </w:pPr>
            <w:del w:id="16221" w:author="AbbVie02no" w:date="2025-05-15T14:21:00Z">
              <w:r w:rsidRPr="00BD646C">
                <w:rPr>
                  <w:sz w:val="22"/>
                  <w:szCs w:val="22"/>
                  <w:lang w:val="es-ES"/>
                </w:rPr>
                <w:delText xml:space="preserve">AbbVie </w:delText>
              </w:r>
              <w:r w:rsidRPr="00BD646C">
                <w:rPr>
                  <w:bCs/>
                  <w:sz w:val="22"/>
                  <w:szCs w:val="22"/>
                  <w:lang w:val="es-ES"/>
                </w:rPr>
                <w:delText>Spain</w:delText>
              </w:r>
              <w:r w:rsidRPr="00BD646C">
                <w:rPr>
                  <w:sz w:val="22"/>
                  <w:szCs w:val="22"/>
                  <w:lang w:val="es-ES"/>
                </w:rPr>
                <w:delText>, S.L.U</w:delText>
              </w:r>
              <w:r w:rsidRPr="00BD646C">
                <w:rPr>
                  <w:bCs/>
                  <w:sz w:val="22"/>
                  <w:szCs w:val="22"/>
                  <w:lang w:val="es-ES"/>
                </w:rPr>
                <w:delText>.</w:delText>
              </w:r>
            </w:del>
          </w:p>
          <w:p w14:paraId="3301E589" w14:textId="3F6FE10F" w:rsidR="00BD646C" w:rsidRPr="00BD646C" w:rsidRDefault="00E453CD" w:rsidP="001F79B0">
            <w:pPr>
              <w:rPr>
                <w:del w:id="16222" w:author="AbbVie02no" w:date="2025-05-15T14:21:00Z"/>
                <w:bCs/>
                <w:sz w:val="22"/>
                <w:szCs w:val="22"/>
                <w:lang w:val="pl-PL"/>
              </w:rPr>
            </w:pPr>
            <w:del w:id="16223" w:author="AbbVie02no" w:date="2025-05-15T14:21:00Z">
              <w:r w:rsidRPr="00BD646C">
                <w:rPr>
                  <w:bCs/>
                  <w:sz w:val="22"/>
                  <w:szCs w:val="22"/>
                  <w:lang w:val="pt-PT"/>
                </w:rPr>
                <w:delText>Tel: +34 91 384 09 10</w:delText>
              </w:r>
            </w:del>
          </w:p>
        </w:tc>
        <w:tc>
          <w:tcPr>
            <w:tcW w:w="4678" w:type="dxa"/>
          </w:tcPr>
          <w:p w14:paraId="6ACF8A10" w14:textId="75CE3493" w:rsidR="00BD646C" w:rsidRPr="00BD646C" w:rsidRDefault="00E453CD" w:rsidP="001F79B0">
            <w:pPr>
              <w:rPr>
                <w:del w:id="16224" w:author="AbbVie02no" w:date="2025-05-15T14:21:00Z"/>
                <w:b/>
                <w:bCs/>
                <w:iCs/>
                <w:sz w:val="22"/>
                <w:szCs w:val="22"/>
                <w:lang w:val="pl-PL"/>
              </w:rPr>
            </w:pPr>
            <w:del w:id="16225" w:author="AbbVie02no" w:date="2025-05-15T14:21:00Z">
              <w:r w:rsidRPr="00BD646C">
                <w:rPr>
                  <w:b/>
                  <w:bCs/>
                  <w:iCs/>
                  <w:sz w:val="22"/>
                  <w:szCs w:val="22"/>
                  <w:lang w:val="pl-PL"/>
                </w:rPr>
                <w:delText>Polska</w:delText>
              </w:r>
            </w:del>
          </w:p>
          <w:p w14:paraId="36F08B16" w14:textId="3185C73B" w:rsidR="00BD646C" w:rsidRPr="00BD646C" w:rsidRDefault="00E453CD" w:rsidP="001F79B0">
            <w:pPr>
              <w:rPr>
                <w:del w:id="16226" w:author="AbbVie02no" w:date="2025-05-15T14:21:00Z"/>
                <w:bCs/>
                <w:sz w:val="22"/>
                <w:szCs w:val="22"/>
                <w:lang w:val="pl-PL"/>
              </w:rPr>
            </w:pPr>
            <w:del w:id="16227" w:author="AbbVie02no" w:date="2025-05-15T14:21:00Z">
              <w:r w:rsidRPr="00BD646C">
                <w:rPr>
                  <w:bCs/>
                  <w:sz w:val="22"/>
                  <w:szCs w:val="22"/>
                  <w:lang w:val="pl-PL"/>
                </w:rPr>
                <w:delText>AbbVie Sp. z o.o.</w:delText>
              </w:r>
            </w:del>
          </w:p>
          <w:p w14:paraId="4514ADD3" w14:textId="429DE33D" w:rsidR="00BD646C" w:rsidRPr="00BD646C" w:rsidRDefault="00E453CD" w:rsidP="001F79B0">
            <w:pPr>
              <w:rPr>
                <w:del w:id="16228" w:author="AbbVie02no" w:date="2025-05-15T14:21:00Z"/>
                <w:bCs/>
                <w:sz w:val="22"/>
                <w:szCs w:val="22"/>
                <w:lang w:val="pl-PL"/>
              </w:rPr>
            </w:pPr>
            <w:del w:id="16229" w:author="AbbVie02no" w:date="2025-05-15T14:21:00Z">
              <w:r w:rsidRPr="00BD646C">
                <w:rPr>
                  <w:sz w:val="22"/>
                  <w:szCs w:val="22"/>
                  <w:lang w:val="es-ES"/>
                </w:rPr>
                <w:delText xml:space="preserve">Tel.: +48 22 </w:delText>
              </w:r>
              <w:r w:rsidRPr="00BD646C">
                <w:rPr>
                  <w:bCs/>
                  <w:sz w:val="22"/>
                  <w:szCs w:val="22"/>
                  <w:lang w:val="pl-PL"/>
                </w:rPr>
                <w:delText xml:space="preserve">372 78 00 </w:delText>
              </w:r>
            </w:del>
          </w:p>
          <w:p w14:paraId="455D4188" w14:textId="3E237839" w:rsidR="00BD646C" w:rsidRPr="00BD646C" w:rsidRDefault="00BD646C" w:rsidP="001F79B0">
            <w:pPr>
              <w:rPr>
                <w:del w:id="16230" w:author="AbbVie02no" w:date="2025-05-15T14:21:00Z"/>
                <w:bCs/>
                <w:sz w:val="22"/>
                <w:szCs w:val="22"/>
                <w:lang w:val="pl-PL"/>
              </w:rPr>
            </w:pPr>
          </w:p>
        </w:tc>
      </w:tr>
      <w:tr w:rsidR="004644D4" w14:paraId="595C7CAC" w14:textId="0EC9551E" w:rsidTr="001F79B0">
        <w:trPr>
          <w:trHeight w:val="734"/>
          <w:del w:id="16231" w:author="AbbVie02no" w:date="2025-05-15T14:21:00Z"/>
        </w:trPr>
        <w:tc>
          <w:tcPr>
            <w:tcW w:w="4678" w:type="dxa"/>
            <w:gridSpan w:val="3"/>
          </w:tcPr>
          <w:p w14:paraId="33AF7418" w14:textId="3D17FD52" w:rsidR="00BD646C" w:rsidRPr="00BD646C" w:rsidRDefault="00E453CD" w:rsidP="001F79B0">
            <w:pPr>
              <w:rPr>
                <w:del w:id="16232" w:author="AbbVie02no" w:date="2025-05-15T14:21:00Z"/>
                <w:b/>
                <w:bCs/>
                <w:sz w:val="22"/>
                <w:szCs w:val="22"/>
                <w:lang w:val="fr-FR"/>
              </w:rPr>
            </w:pPr>
            <w:del w:id="16233" w:author="AbbVie02no" w:date="2025-05-15T14:21:00Z">
              <w:r w:rsidRPr="00BD646C">
                <w:rPr>
                  <w:b/>
                  <w:bCs/>
                  <w:sz w:val="22"/>
                  <w:szCs w:val="22"/>
                  <w:lang w:val="fr-FR"/>
                </w:rPr>
                <w:lastRenderedPageBreak/>
                <w:delText>France</w:delText>
              </w:r>
            </w:del>
          </w:p>
          <w:p w14:paraId="6D0587DF" w14:textId="1D4882FC" w:rsidR="00BD646C" w:rsidRPr="00BD646C" w:rsidRDefault="00E453CD" w:rsidP="001F79B0">
            <w:pPr>
              <w:rPr>
                <w:del w:id="16234" w:author="AbbVie02no" w:date="2025-05-15T14:21:00Z"/>
                <w:bCs/>
                <w:sz w:val="22"/>
                <w:szCs w:val="22"/>
                <w:lang w:val="fr-FR"/>
              </w:rPr>
            </w:pPr>
            <w:del w:id="16235" w:author="AbbVie02no" w:date="2025-05-15T14:21:00Z">
              <w:r w:rsidRPr="00BD646C">
                <w:rPr>
                  <w:bCs/>
                  <w:sz w:val="22"/>
                  <w:szCs w:val="22"/>
                  <w:lang w:val="fr-FR"/>
                </w:rPr>
                <w:delText>AbbVie</w:delText>
              </w:r>
            </w:del>
          </w:p>
          <w:p w14:paraId="083A56F9" w14:textId="7F95D219" w:rsidR="00BD646C" w:rsidRPr="00BD646C" w:rsidRDefault="00E453CD" w:rsidP="001F79B0">
            <w:pPr>
              <w:rPr>
                <w:del w:id="16236" w:author="AbbVie02no" w:date="2025-05-15T14:21:00Z"/>
                <w:bCs/>
                <w:sz w:val="22"/>
                <w:szCs w:val="22"/>
                <w:lang w:val="fr-FR"/>
              </w:rPr>
            </w:pPr>
            <w:del w:id="16237" w:author="AbbVie02no" w:date="2025-05-15T14:21:00Z">
              <w:r w:rsidRPr="00BD646C">
                <w:rPr>
                  <w:bCs/>
                  <w:sz w:val="22"/>
                  <w:szCs w:val="22"/>
                  <w:lang w:val="fr-FR"/>
                </w:rPr>
                <w:delText>Tél: +33 (0) 1 45 60 13 00</w:delText>
              </w:r>
            </w:del>
          </w:p>
        </w:tc>
        <w:tc>
          <w:tcPr>
            <w:tcW w:w="4678" w:type="dxa"/>
          </w:tcPr>
          <w:p w14:paraId="412743BB" w14:textId="5FD1E532" w:rsidR="00BD646C" w:rsidRPr="00BD646C" w:rsidRDefault="00E453CD" w:rsidP="001F79B0">
            <w:pPr>
              <w:rPr>
                <w:del w:id="16238" w:author="AbbVie02no" w:date="2025-05-15T14:21:00Z"/>
                <w:b/>
                <w:bCs/>
                <w:sz w:val="22"/>
                <w:szCs w:val="22"/>
                <w:lang w:val="pt-PT"/>
              </w:rPr>
            </w:pPr>
            <w:del w:id="16239" w:author="AbbVie02no" w:date="2025-05-15T14:21:00Z">
              <w:r w:rsidRPr="00BD646C">
                <w:rPr>
                  <w:b/>
                  <w:bCs/>
                  <w:sz w:val="22"/>
                  <w:szCs w:val="22"/>
                  <w:lang w:val="pt-PT"/>
                </w:rPr>
                <w:delText>Portugal</w:delText>
              </w:r>
            </w:del>
          </w:p>
          <w:p w14:paraId="1A5E3C65" w14:textId="04E88B52" w:rsidR="00BD646C" w:rsidRPr="00BD646C" w:rsidRDefault="00E453CD" w:rsidP="001F79B0">
            <w:pPr>
              <w:rPr>
                <w:del w:id="16240" w:author="AbbVie02no" w:date="2025-05-15T14:21:00Z"/>
                <w:bCs/>
                <w:sz w:val="22"/>
                <w:szCs w:val="22"/>
                <w:lang w:val="fr-FR"/>
              </w:rPr>
            </w:pPr>
            <w:del w:id="16241" w:author="AbbVie02no" w:date="2025-05-15T14:21:00Z">
              <w:r w:rsidRPr="00BD646C">
                <w:rPr>
                  <w:bCs/>
                  <w:sz w:val="22"/>
                  <w:szCs w:val="22"/>
                  <w:lang w:val="fr-FR"/>
                </w:rPr>
                <w:delText xml:space="preserve">AbbVie, Lda. </w:delText>
              </w:r>
            </w:del>
          </w:p>
          <w:p w14:paraId="2C3FB1E7" w14:textId="687C9C66" w:rsidR="00BD646C" w:rsidRPr="00BD646C" w:rsidRDefault="00E453CD" w:rsidP="001F79B0">
            <w:pPr>
              <w:rPr>
                <w:del w:id="16242" w:author="AbbVie02no" w:date="2025-05-15T14:21:00Z"/>
                <w:sz w:val="22"/>
                <w:szCs w:val="22"/>
                <w:lang w:val="fr-FR"/>
              </w:rPr>
            </w:pPr>
            <w:del w:id="16243" w:author="AbbVie02no" w:date="2025-05-15T14:21:00Z">
              <w:r w:rsidRPr="00BD646C">
                <w:rPr>
                  <w:sz w:val="22"/>
                  <w:szCs w:val="22"/>
                  <w:lang w:val="fr-FR"/>
                </w:rPr>
                <w:delText>Tel: +351 (0)21 1908400</w:delText>
              </w:r>
            </w:del>
          </w:p>
          <w:p w14:paraId="2298C223" w14:textId="0F88D112" w:rsidR="00BD646C" w:rsidRPr="00BD646C" w:rsidRDefault="00BD646C" w:rsidP="001F79B0">
            <w:pPr>
              <w:rPr>
                <w:del w:id="16244" w:author="AbbVie02no" w:date="2025-05-15T14:21:00Z"/>
                <w:sz w:val="22"/>
                <w:szCs w:val="22"/>
                <w:lang w:val="fr-FR"/>
              </w:rPr>
            </w:pPr>
          </w:p>
        </w:tc>
      </w:tr>
      <w:tr w:rsidR="004644D4" w14:paraId="1852A2C4" w14:textId="7C41CF22" w:rsidTr="001F79B0">
        <w:trPr>
          <w:gridBefore w:val="1"/>
          <w:wBefore w:w="34" w:type="dxa"/>
          <w:del w:id="16245" w:author="AbbVie02no" w:date="2025-05-15T14:21:00Z"/>
        </w:trPr>
        <w:tc>
          <w:tcPr>
            <w:tcW w:w="4644" w:type="dxa"/>
            <w:gridSpan w:val="2"/>
          </w:tcPr>
          <w:p w14:paraId="4C27C905" w14:textId="27E043F4" w:rsidR="00BD646C" w:rsidRPr="003979AA" w:rsidRDefault="00E453CD" w:rsidP="001F79B0">
            <w:pPr>
              <w:rPr>
                <w:del w:id="16246" w:author="AbbVie02no" w:date="2025-05-15T14:21:00Z"/>
                <w:sz w:val="22"/>
                <w:szCs w:val="22"/>
              </w:rPr>
            </w:pPr>
            <w:del w:id="16247" w:author="AbbVie02no" w:date="2025-05-15T14:21:00Z">
              <w:r w:rsidRPr="003979AA">
                <w:rPr>
                  <w:b/>
                  <w:bCs/>
                  <w:sz w:val="22"/>
                  <w:szCs w:val="22"/>
                </w:rPr>
                <w:delText xml:space="preserve">Hrvatska </w:delText>
              </w:r>
            </w:del>
          </w:p>
          <w:p w14:paraId="2D57AC4B" w14:textId="2F2F3F4C" w:rsidR="00BD646C" w:rsidRPr="00BD646C" w:rsidRDefault="00E453CD" w:rsidP="001F79B0">
            <w:pPr>
              <w:rPr>
                <w:del w:id="16248" w:author="AbbVie02no" w:date="2025-05-15T14:21:00Z"/>
                <w:sz w:val="22"/>
                <w:szCs w:val="22"/>
                <w:lang w:val="hr-HR"/>
              </w:rPr>
            </w:pPr>
            <w:del w:id="16249" w:author="AbbVie02no" w:date="2025-05-15T14:21:00Z">
              <w:r w:rsidRPr="00BD646C">
                <w:rPr>
                  <w:sz w:val="22"/>
                  <w:szCs w:val="22"/>
                  <w:lang w:val="hr-HR"/>
                </w:rPr>
                <w:delText>AbbVie d.o.o.</w:delText>
              </w:r>
            </w:del>
          </w:p>
          <w:p w14:paraId="17798D2B" w14:textId="0CC92296" w:rsidR="00BD646C" w:rsidRPr="00BD646C" w:rsidRDefault="00E453CD" w:rsidP="001F79B0">
            <w:pPr>
              <w:rPr>
                <w:del w:id="16250" w:author="AbbVie02no" w:date="2025-05-15T14:21:00Z"/>
                <w:bCs/>
                <w:sz w:val="22"/>
                <w:szCs w:val="22"/>
                <w:lang w:val="it-IT"/>
              </w:rPr>
            </w:pPr>
            <w:del w:id="16251" w:author="AbbVie02no" w:date="2025-05-15T14:21:00Z">
              <w:r w:rsidRPr="00BD646C">
                <w:rPr>
                  <w:sz w:val="22"/>
                  <w:szCs w:val="22"/>
                  <w:lang w:val="hr-HR"/>
                </w:rPr>
                <w:delText xml:space="preserve">Tel + 385 (0)1 </w:delText>
              </w:r>
              <w:r w:rsidRPr="00692DC9">
                <w:rPr>
                  <w:sz w:val="22"/>
                  <w:szCs w:val="22"/>
                  <w:rPrChange w:id="16252" w:author="AbbVie05no" w:date="2025-05-19T11:03:00Z">
                    <w:rPr>
                      <w:sz w:val="22"/>
                      <w:szCs w:val="22"/>
                      <w:lang w:val="en-US"/>
                    </w:rPr>
                  </w:rPrChange>
                </w:rPr>
                <w:delText>5625 501</w:delText>
              </w:r>
            </w:del>
          </w:p>
        </w:tc>
        <w:tc>
          <w:tcPr>
            <w:tcW w:w="4678" w:type="dxa"/>
          </w:tcPr>
          <w:p w14:paraId="2D296EE2" w14:textId="13EC9AF2" w:rsidR="00BD646C" w:rsidRPr="00BD646C" w:rsidRDefault="00E453CD" w:rsidP="001F79B0">
            <w:pPr>
              <w:rPr>
                <w:del w:id="16253" w:author="AbbVie02no" w:date="2025-05-15T14:21:00Z"/>
                <w:b/>
                <w:bCs/>
                <w:sz w:val="22"/>
                <w:szCs w:val="22"/>
                <w:lang w:val="it-IT"/>
              </w:rPr>
            </w:pPr>
            <w:del w:id="16254" w:author="AbbVie02no" w:date="2025-05-15T14:21:00Z">
              <w:r w:rsidRPr="00BD646C">
                <w:rPr>
                  <w:b/>
                  <w:bCs/>
                  <w:sz w:val="22"/>
                  <w:szCs w:val="22"/>
                  <w:lang w:val="it-IT"/>
                </w:rPr>
                <w:delText>România</w:delText>
              </w:r>
            </w:del>
          </w:p>
          <w:p w14:paraId="298F99C9" w14:textId="7790C3CF" w:rsidR="00BD646C" w:rsidRPr="00BD646C" w:rsidRDefault="00E453CD" w:rsidP="001F79B0">
            <w:pPr>
              <w:rPr>
                <w:del w:id="16255" w:author="AbbVie02no" w:date="2025-05-15T14:21:00Z"/>
                <w:sz w:val="22"/>
                <w:szCs w:val="22"/>
                <w:lang w:val="it-IT"/>
              </w:rPr>
            </w:pPr>
            <w:del w:id="16256" w:author="AbbVie02no" w:date="2025-05-15T14:21:00Z">
              <w:r w:rsidRPr="00BD646C">
                <w:rPr>
                  <w:sz w:val="22"/>
                  <w:szCs w:val="22"/>
                  <w:lang w:val="it-IT"/>
                </w:rPr>
                <w:delText>AbbVie S.R.L.</w:delText>
              </w:r>
            </w:del>
          </w:p>
          <w:p w14:paraId="050B8B04" w14:textId="06CF973E" w:rsidR="00BD646C" w:rsidRPr="00BD646C" w:rsidRDefault="00E453CD" w:rsidP="001F79B0">
            <w:pPr>
              <w:rPr>
                <w:del w:id="16257" w:author="AbbVie02no" w:date="2025-05-15T14:21:00Z"/>
                <w:sz w:val="22"/>
                <w:szCs w:val="22"/>
                <w:lang w:val="pl-PL"/>
              </w:rPr>
            </w:pPr>
            <w:del w:id="16258" w:author="AbbVie02no" w:date="2025-05-15T14:21:00Z">
              <w:r w:rsidRPr="00BD646C">
                <w:rPr>
                  <w:sz w:val="22"/>
                  <w:szCs w:val="22"/>
                  <w:lang w:val="pl-PL"/>
                </w:rPr>
                <w:delText>Tel: +40 21 529 30 35</w:delText>
              </w:r>
            </w:del>
          </w:p>
          <w:p w14:paraId="26E0C783" w14:textId="64E9E6A2" w:rsidR="00BD646C" w:rsidRPr="00BD646C" w:rsidRDefault="00BD646C" w:rsidP="001F79B0">
            <w:pPr>
              <w:rPr>
                <w:del w:id="16259" w:author="AbbVie02no" w:date="2025-05-15T14:21:00Z"/>
                <w:sz w:val="22"/>
                <w:szCs w:val="22"/>
                <w:lang w:val="pl-PL"/>
              </w:rPr>
            </w:pPr>
          </w:p>
        </w:tc>
      </w:tr>
      <w:tr w:rsidR="004644D4" w14:paraId="130917D7" w14:textId="00091DBF" w:rsidTr="001F79B0">
        <w:trPr>
          <w:gridBefore w:val="1"/>
          <w:wBefore w:w="34" w:type="dxa"/>
          <w:del w:id="16260" w:author="AbbVie02no" w:date="2025-05-15T14:21:00Z"/>
        </w:trPr>
        <w:tc>
          <w:tcPr>
            <w:tcW w:w="4644" w:type="dxa"/>
            <w:gridSpan w:val="2"/>
          </w:tcPr>
          <w:p w14:paraId="353AF931" w14:textId="33877D94" w:rsidR="00BD646C" w:rsidRPr="00BD646C" w:rsidRDefault="00E453CD" w:rsidP="001F79B0">
            <w:pPr>
              <w:rPr>
                <w:del w:id="16261" w:author="AbbVie02no" w:date="2025-05-15T14:21:00Z"/>
                <w:b/>
                <w:bCs/>
                <w:sz w:val="22"/>
                <w:szCs w:val="22"/>
                <w:lang w:val="sk-SK"/>
              </w:rPr>
            </w:pPr>
            <w:del w:id="16262" w:author="AbbVie02no" w:date="2025-05-15T14:21:00Z">
              <w:r w:rsidRPr="00BD646C">
                <w:rPr>
                  <w:b/>
                  <w:bCs/>
                  <w:sz w:val="22"/>
                  <w:szCs w:val="22"/>
                  <w:lang w:val="sk-SK"/>
                </w:rPr>
                <w:delText>Ireland</w:delText>
              </w:r>
            </w:del>
          </w:p>
          <w:p w14:paraId="3276AB49" w14:textId="6A2FD4DE" w:rsidR="00BD646C" w:rsidRPr="00BD646C" w:rsidRDefault="00E453CD" w:rsidP="001F79B0">
            <w:pPr>
              <w:rPr>
                <w:del w:id="16263" w:author="AbbVie02no" w:date="2025-05-15T14:21:00Z"/>
                <w:bCs/>
                <w:sz w:val="22"/>
                <w:szCs w:val="22"/>
                <w:lang w:val="sk-SK"/>
              </w:rPr>
            </w:pPr>
            <w:del w:id="16264" w:author="AbbVie02no" w:date="2025-05-15T14:21:00Z">
              <w:r w:rsidRPr="00BD646C">
                <w:rPr>
                  <w:bCs/>
                  <w:sz w:val="22"/>
                  <w:szCs w:val="22"/>
                  <w:lang w:val="sk-SK"/>
                </w:rPr>
                <w:delText xml:space="preserve">AbbVie Limited </w:delText>
              </w:r>
            </w:del>
          </w:p>
          <w:p w14:paraId="0D95EB3C" w14:textId="2DEC496D" w:rsidR="00BD646C" w:rsidRPr="00BD646C" w:rsidRDefault="00E453CD" w:rsidP="001F79B0">
            <w:pPr>
              <w:rPr>
                <w:del w:id="16265" w:author="AbbVie02no" w:date="2025-05-15T14:21:00Z"/>
                <w:bCs/>
                <w:sz w:val="22"/>
                <w:szCs w:val="22"/>
                <w:lang w:val="sk-SK"/>
              </w:rPr>
            </w:pPr>
            <w:del w:id="16266" w:author="AbbVie02no" w:date="2025-05-15T14:21:00Z">
              <w:r w:rsidRPr="00BD646C">
                <w:rPr>
                  <w:bCs/>
                  <w:sz w:val="22"/>
                  <w:szCs w:val="22"/>
                  <w:lang w:val="pt-PT"/>
                </w:rPr>
                <w:delText>Tel: +353 (0)1 428790</w:delText>
              </w:r>
              <w:r w:rsidR="00167578">
                <w:rPr>
                  <w:bCs/>
                  <w:sz w:val="22"/>
                  <w:szCs w:val="22"/>
                  <w:lang w:val="pt-PT"/>
                </w:rPr>
                <w:delText>0</w:delText>
              </w:r>
            </w:del>
          </w:p>
        </w:tc>
        <w:tc>
          <w:tcPr>
            <w:tcW w:w="4678" w:type="dxa"/>
          </w:tcPr>
          <w:p w14:paraId="4B6E1CDC" w14:textId="41BA173F" w:rsidR="00BD646C" w:rsidRPr="00BD646C" w:rsidRDefault="00E453CD" w:rsidP="001F79B0">
            <w:pPr>
              <w:rPr>
                <w:del w:id="16267" w:author="AbbVie02no" w:date="2025-05-15T14:21:00Z"/>
                <w:b/>
                <w:bCs/>
                <w:sz w:val="22"/>
                <w:szCs w:val="22"/>
                <w:lang w:val="sl-SI"/>
              </w:rPr>
            </w:pPr>
            <w:del w:id="16268" w:author="AbbVie02no" w:date="2025-05-15T14:21:00Z">
              <w:r w:rsidRPr="00BD646C">
                <w:rPr>
                  <w:b/>
                  <w:bCs/>
                  <w:sz w:val="22"/>
                  <w:szCs w:val="22"/>
                  <w:lang w:val="sl-SI"/>
                </w:rPr>
                <w:delText>Slovenija</w:delText>
              </w:r>
            </w:del>
          </w:p>
          <w:p w14:paraId="5A560960" w14:textId="3B27F36E" w:rsidR="00BD646C" w:rsidRPr="00BD646C" w:rsidRDefault="00E453CD" w:rsidP="001F79B0">
            <w:pPr>
              <w:rPr>
                <w:del w:id="16269" w:author="AbbVie02no" w:date="2025-05-15T14:21:00Z"/>
                <w:bCs/>
                <w:sz w:val="22"/>
                <w:szCs w:val="22"/>
                <w:lang w:val="sl-SI"/>
              </w:rPr>
            </w:pPr>
            <w:del w:id="16270" w:author="AbbVie02no" w:date="2025-05-15T14:21:00Z">
              <w:r w:rsidRPr="00BD646C">
                <w:rPr>
                  <w:bCs/>
                  <w:sz w:val="22"/>
                  <w:szCs w:val="22"/>
                  <w:lang w:val="sl-SI"/>
                </w:rPr>
                <w:delText xml:space="preserve">AbbVie </w:delText>
              </w:r>
              <w:r w:rsidRPr="00BD646C">
                <w:rPr>
                  <w:sz w:val="22"/>
                  <w:szCs w:val="22"/>
                  <w:lang w:val="sl-SI"/>
                </w:rPr>
                <w:delText>Biofarmacevtska družba d.o.o.</w:delText>
              </w:r>
            </w:del>
          </w:p>
          <w:p w14:paraId="31B27F78" w14:textId="0DC5EFAE" w:rsidR="00BD646C" w:rsidRPr="00BD646C" w:rsidRDefault="00E453CD" w:rsidP="001F79B0">
            <w:pPr>
              <w:rPr>
                <w:del w:id="16271" w:author="AbbVie02no" w:date="2025-05-15T14:21:00Z"/>
                <w:bCs/>
                <w:sz w:val="22"/>
                <w:szCs w:val="22"/>
                <w:lang w:val="sl-SI"/>
              </w:rPr>
            </w:pPr>
            <w:del w:id="16272" w:author="AbbVie02no" w:date="2025-05-15T14:21:00Z">
              <w:r w:rsidRPr="00BD646C">
                <w:rPr>
                  <w:bCs/>
                  <w:sz w:val="22"/>
                  <w:szCs w:val="22"/>
                  <w:lang w:val="sl-SI"/>
                </w:rPr>
                <w:delText>Tel: +386 (1)32 08 060</w:delText>
              </w:r>
            </w:del>
          </w:p>
          <w:p w14:paraId="27D0DF09" w14:textId="7D88B15C" w:rsidR="00BD646C" w:rsidRPr="00BD646C" w:rsidRDefault="00BD646C" w:rsidP="001F79B0">
            <w:pPr>
              <w:rPr>
                <w:del w:id="16273" w:author="AbbVie02no" w:date="2025-05-15T14:21:00Z"/>
                <w:bCs/>
                <w:sz w:val="22"/>
                <w:szCs w:val="22"/>
                <w:lang w:val="sl-SI"/>
              </w:rPr>
            </w:pPr>
          </w:p>
        </w:tc>
      </w:tr>
      <w:tr w:rsidR="004644D4" w14:paraId="6D9EC5B5" w14:textId="57A46AA6" w:rsidTr="001F79B0">
        <w:trPr>
          <w:gridBefore w:val="1"/>
          <w:wBefore w:w="34" w:type="dxa"/>
          <w:del w:id="16274" w:author="AbbVie02no" w:date="2025-05-15T14:21:00Z"/>
        </w:trPr>
        <w:tc>
          <w:tcPr>
            <w:tcW w:w="4644" w:type="dxa"/>
            <w:gridSpan w:val="2"/>
          </w:tcPr>
          <w:p w14:paraId="5EE45617" w14:textId="00327BDC" w:rsidR="00BD646C" w:rsidRPr="00BD646C" w:rsidRDefault="00E453CD" w:rsidP="001F79B0">
            <w:pPr>
              <w:rPr>
                <w:del w:id="16275" w:author="AbbVie02no" w:date="2025-05-15T14:21:00Z"/>
                <w:b/>
                <w:bCs/>
                <w:sz w:val="22"/>
                <w:szCs w:val="22"/>
                <w:lang w:val="is-IS"/>
              </w:rPr>
            </w:pPr>
            <w:del w:id="16276" w:author="AbbVie02no" w:date="2025-05-15T14:21:00Z">
              <w:r w:rsidRPr="00BD646C">
                <w:rPr>
                  <w:b/>
                  <w:bCs/>
                  <w:sz w:val="22"/>
                  <w:szCs w:val="22"/>
                  <w:lang w:val="is-IS"/>
                </w:rPr>
                <w:delText>Ísland</w:delText>
              </w:r>
            </w:del>
          </w:p>
          <w:p w14:paraId="78C79907" w14:textId="72339BFC" w:rsidR="00BD646C" w:rsidRPr="00BD646C" w:rsidRDefault="00E453CD" w:rsidP="001F79B0">
            <w:pPr>
              <w:rPr>
                <w:del w:id="16277" w:author="AbbVie02no" w:date="2025-05-15T14:21:00Z"/>
                <w:bCs/>
                <w:sz w:val="22"/>
                <w:szCs w:val="22"/>
                <w:lang w:val="sk-SK"/>
              </w:rPr>
            </w:pPr>
            <w:del w:id="16278" w:author="AbbVie02no" w:date="2025-05-15T14:21:00Z">
              <w:r w:rsidRPr="00BD646C">
                <w:rPr>
                  <w:bCs/>
                  <w:sz w:val="22"/>
                  <w:szCs w:val="22"/>
                  <w:lang w:val="sk-SK"/>
                </w:rPr>
                <w:delText>Vistor hf.</w:delText>
              </w:r>
            </w:del>
          </w:p>
          <w:p w14:paraId="1C46983B" w14:textId="6EB99EE8" w:rsidR="00BD646C" w:rsidRPr="00BD646C" w:rsidRDefault="00E453CD" w:rsidP="001F79B0">
            <w:pPr>
              <w:rPr>
                <w:del w:id="16279" w:author="AbbVie02no" w:date="2025-05-15T14:21:00Z"/>
                <w:bCs/>
                <w:sz w:val="22"/>
                <w:szCs w:val="22"/>
                <w:lang w:val="sk-SK"/>
              </w:rPr>
            </w:pPr>
            <w:del w:id="16280" w:author="AbbVie02no" w:date="2025-05-15T14:21:00Z">
              <w:r w:rsidRPr="00BD646C">
                <w:rPr>
                  <w:bCs/>
                  <w:sz w:val="22"/>
                  <w:szCs w:val="22"/>
                  <w:lang w:val="sk-SK"/>
                </w:rPr>
                <w:delText>Tel: +354 535 7000</w:delText>
              </w:r>
            </w:del>
          </w:p>
        </w:tc>
        <w:tc>
          <w:tcPr>
            <w:tcW w:w="4678" w:type="dxa"/>
          </w:tcPr>
          <w:p w14:paraId="5B4ADE7B" w14:textId="6E144772" w:rsidR="00BD646C" w:rsidRPr="00BD646C" w:rsidRDefault="00E453CD" w:rsidP="001F79B0">
            <w:pPr>
              <w:rPr>
                <w:del w:id="16281" w:author="AbbVie02no" w:date="2025-05-15T14:21:00Z"/>
                <w:b/>
                <w:bCs/>
                <w:sz w:val="22"/>
                <w:szCs w:val="22"/>
                <w:lang w:val="sk-SK"/>
              </w:rPr>
            </w:pPr>
            <w:del w:id="16282" w:author="AbbVie02no" w:date="2025-05-15T14:21:00Z">
              <w:r w:rsidRPr="00BD646C">
                <w:rPr>
                  <w:b/>
                  <w:bCs/>
                  <w:sz w:val="22"/>
                  <w:szCs w:val="22"/>
                  <w:lang w:val="sk-SK"/>
                </w:rPr>
                <w:delText>Slovenská republika</w:delText>
              </w:r>
            </w:del>
          </w:p>
          <w:p w14:paraId="624606B9" w14:textId="46C1362F" w:rsidR="00BD646C" w:rsidRPr="00BD646C" w:rsidRDefault="00E453CD" w:rsidP="001F79B0">
            <w:pPr>
              <w:rPr>
                <w:del w:id="16283" w:author="AbbVie02no" w:date="2025-05-15T14:21:00Z"/>
                <w:bCs/>
                <w:sz w:val="22"/>
                <w:szCs w:val="22"/>
                <w:lang w:val="sk-SK"/>
              </w:rPr>
            </w:pPr>
            <w:del w:id="16284" w:author="AbbVie02no" w:date="2025-05-15T14:21:00Z">
              <w:r w:rsidRPr="00BD646C">
                <w:rPr>
                  <w:bCs/>
                  <w:sz w:val="22"/>
                  <w:szCs w:val="22"/>
                  <w:lang w:val="sk-SK"/>
                </w:rPr>
                <w:delText>AbbVie s.r.o.</w:delText>
              </w:r>
            </w:del>
          </w:p>
          <w:p w14:paraId="337CD295" w14:textId="61DBBC4A" w:rsidR="00BD646C" w:rsidRPr="00BD646C" w:rsidRDefault="00E453CD" w:rsidP="001F79B0">
            <w:pPr>
              <w:rPr>
                <w:del w:id="16285" w:author="AbbVie02no" w:date="2025-05-15T14:21:00Z"/>
                <w:bCs/>
                <w:sz w:val="22"/>
                <w:szCs w:val="22"/>
                <w:lang w:val="sk-SK"/>
              </w:rPr>
            </w:pPr>
            <w:del w:id="16286" w:author="AbbVie02no" w:date="2025-05-15T14:21:00Z">
              <w:r w:rsidRPr="00BD646C">
                <w:rPr>
                  <w:bCs/>
                  <w:sz w:val="22"/>
                  <w:szCs w:val="22"/>
                  <w:lang w:val="sk-SK"/>
                </w:rPr>
                <w:delText>Tel: +421 2 5050 0777</w:delText>
              </w:r>
            </w:del>
          </w:p>
          <w:p w14:paraId="56A75CC5" w14:textId="45D35659" w:rsidR="00BD646C" w:rsidRPr="00BD646C" w:rsidRDefault="00BD646C" w:rsidP="001F79B0">
            <w:pPr>
              <w:rPr>
                <w:del w:id="16287" w:author="AbbVie02no" w:date="2025-05-15T14:21:00Z"/>
                <w:bCs/>
                <w:sz w:val="22"/>
                <w:szCs w:val="22"/>
                <w:lang w:val="sk-SK"/>
              </w:rPr>
            </w:pPr>
          </w:p>
        </w:tc>
      </w:tr>
      <w:tr w:rsidR="004644D4" w14:paraId="2CABFB7D" w14:textId="5699419F" w:rsidTr="001F79B0">
        <w:trPr>
          <w:gridBefore w:val="1"/>
          <w:wBefore w:w="34" w:type="dxa"/>
          <w:del w:id="16288" w:author="AbbVie02no" w:date="2025-05-15T14:21:00Z"/>
        </w:trPr>
        <w:tc>
          <w:tcPr>
            <w:tcW w:w="4644" w:type="dxa"/>
            <w:gridSpan w:val="2"/>
          </w:tcPr>
          <w:p w14:paraId="7F13B047" w14:textId="5B2C188F" w:rsidR="00BD646C" w:rsidRPr="00BD646C" w:rsidRDefault="00E453CD" w:rsidP="001F79B0">
            <w:pPr>
              <w:rPr>
                <w:del w:id="16289" w:author="AbbVie02no" w:date="2025-05-15T14:21:00Z"/>
                <w:b/>
                <w:bCs/>
                <w:sz w:val="22"/>
                <w:szCs w:val="22"/>
                <w:lang w:val="it-IT"/>
              </w:rPr>
            </w:pPr>
            <w:del w:id="16290" w:author="AbbVie02no" w:date="2025-05-15T14:21:00Z">
              <w:r w:rsidRPr="00BD646C">
                <w:rPr>
                  <w:b/>
                  <w:bCs/>
                  <w:sz w:val="22"/>
                  <w:szCs w:val="22"/>
                  <w:lang w:val="it-IT"/>
                </w:rPr>
                <w:delText>Italia</w:delText>
              </w:r>
            </w:del>
          </w:p>
          <w:p w14:paraId="315E99FE" w14:textId="19DE6A48" w:rsidR="00BD646C" w:rsidRPr="00BD646C" w:rsidRDefault="00E453CD" w:rsidP="001F79B0">
            <w:pPr>
              <w:rPr>
                <w:del w:id="16291" w:author="AbbVie02no" w:date="2025-05-15T14:21:00Z"/>
                <w:bCs/>
                <w:sz w:val="22"/>
                <w:szCs w:val="22"/>
                <w:lang w:val="pt-PT"/>
              </w:rPr>
            </w:pPr>
            <w:del w:id="16292" w:author="AbbVie02no" w:date="2025-05-15T14:21:00Z">
              <w:r w:rsidRPr="00BD646C">
                <w:rPr>
                  <w:bCs/>
                  <w:sz w:val="22"/>
                  <w:szCs w:val="22"/>
                  <w:lang w:val="pt-PT"/>
                </w:rPr>
                <w:delText xml:space="preserve">AbbVie S.r.l. </w:delText>
              </w:r>
            </w:del>
          </w:p>
          <w:p w14:paraId="1546650A" w14:textId="08724349" w:rsidR="00BD646C" w:rsidRPr="00BD646C" w:rsidRDefault="00E453CD" w:rsidP="001F79B0">
            <w:pPr>
              <w:rPr>
                <w:del w:id="16293" w:author="AbbVie02no" w:date="2025-05-15T14:21:00Z"/>
                <w:bCs/>
                <w:sz w:val="22"/>
                <w:szCs w:val="22"/>
                <w:lang w:val="fi-FI"/>
              </w:rPr>
            </w:pPr>
            <w:del w:id="16294" w:author="AbbVie02no" w:date="2025-05-15T14:21:00Z">
              <w:r w:rsidRPr="00BD646C">
                <w:rPr>
                  <w:bCs/>
                  <w:sz w:val="22"/>
                  <w:szCs w:val="22"/>
                  <w:lang w:val="fr-FR"/>
                </w:rPr>
                <w:delText>Tel: +39 06 928921</w:delText>
              </w:r>
            </w:del>
          </w:p>
        </w:tc>
        <w:tc>
          <w:tcPr>
            <w:tcW w:w="4678" w:type="dxa"/>
          </w:tcPr>
          <w:p w14:paraId="489EFA36" w14:textId="71A6FD98" w:rsidR="00BD646C" w:rsidRPr="00BD646C" w:rsidRDefault="00E453CD" w:rsidP="001F79B0">
            <w:pPr>
              <w:rPr>
                <w:del w:id="16295" w:author="AbbVie02no" w:date="2025-05-15T14:21:00Z"/>
                <w:b/>
                <w:bCs/>
                <w:sz w:val="22"/>
                <w:szCs w:val="22"/>
                <w:lang w:val="fi-FI"/>
              </w:rPr>
            </w:pPr>
            <w:del w:id="16296" w:author="AbbVie02no" w:date="2025-05-15T14:21:00Z">
              <w:r w:rsidRPr="00BD646C">
                <w:rPr>
                  <w:b/>
                  <w:bCs/>
                  <w:sz w:val="22"/>
                  <w:szCs w:val="22"/>
                  <w:lang w:val="fi-FI"/>
                </w:rPr>
                <w:delText>Suomi/Finland</w:delText>
              </w:r>
            </w:del>
          </w:p>
          <w:p w14:paraId="15F1D1B2" w14:textId="0F5AE7AC" w:rsidR="00BD646C" w:rsidRPr="00BD646C" w:rsidRDefault="00E453CD" w:rsidP="001F79B0">
            <w:pPr>
              <w:rPr>
                <w:del w:id="16297" w:author="AbbVie02no" w:date="2025-05-15T14:21:00Z"/>
                <w:bCs/>
                <w:sz w:val="22"/>
                <w:szCs w:val="22"/>
                <w:lang w:val="de-CH"/>
              </w:rPr>
            </w:pPr>
            <w:del w:id="16298" w:author="AbbVie02no" w:date="2025-05-15T14:21:00Z">
              <w:r w:rsidRPr="00BD646C">
                <w:rPr>
                  <w:bCs/>
                  <w:sz w:val="22"/>
                  <w:szCs w:val="22"/>
                  <w:lang w:val="sk-SK"/>
                </w:rPr>
                <w:delText>AbbVie Oy</w:delText>
              </w:r>
            </w:del>
          </w:p>
          <w:p w14:paraId="7906589A" w14:textId="348D0633" w:rsidR="00BD646C" w:rsidRPr="00BD646C" w:rsidRDefault="00E453CD" w:rsidP="001F79B0">
            <w:pPr>
              <w:rPr>
                <w:del w:id="16299" w:author="AbbVie02no" w:date="2025-05-15T14:21:00Z"/>
                <w:bCs/>
                <w:sz w:val="22"/>
                <w:szCs w:val="22"/>
                <w:lang w:val="sk-SK"/>
              </w:rPr>
            </w:pPr>
            <w:del w:id="16300" w:author="AbbVie02no" w:date="2025-05-15T14:21:00Z">
              <w:r w:rsidRPr="00BD646C">
                <w:rPr>
                  <w:bCs/>
                  <w:sz w:val="22"/>
                  <w:szCs w:val="22"/>
                  <w:lang w:val="sk-SK"/>
                </w:rPr>
                <w:delText>Puh/Tel: +358 (0)10 2411 200</w:delText>
              </w:r>
            </w:del>
          </w:p>
          <w:p w14:paraId="0381FBF8" w14:textId="2133ADA4" w:rsidR="00BD646C" w:rsidRPr="00BD646C" w:rsidRDefault="00BD646C" w:rsidP="001F79B0">
            <w:pPr>
              <w:rPr>
                <w:del w:id="16301" w:author="AbbVie02no" w:date="2025-05-15T14:21:00Z"/>
                <w:sz w:val="22"/>
                <w:szCs w:val="22"/>
                <w:lang w:val="sk-SK"/>
              </w:rPr>
            </w:pPr>
          </w:p>
        </w:tc>
      </w:tr>
      <w:tr w:rsidR="004644D4" w14:paraId="6CFE00A7" w14:textId="19A8E73B" w:rsidTr="001F79B0">
        <w:trPr>
          <w:gridBefore w:val="1"/>
          <w:wBefore w:w="34" w:type="dxa"/>
          <w:cantSplit/>
          <w:trHeight w:val="887"/>
          <w:del w:id="16302" w:author="AbbVie02no" w:date="2025-05-15T14:21:00Z"/>
        </w:trPr>
        <w:tc>
          <w:tcPr>
            <w:tcW w:w="4644" w:type="dxa"/>
            <w:gridSpan w:val="2"/>
          </w:tcPr>
          <w:p w14:paraId="5CDBAC32" w14:textId="0C645CE3" w:rsidR="00BD646C" w:rsidRPr="00BD646C" w:rsidRDefault="00E453CD" w:rsidP="001F79B0">
            <w:pPr>
              <w:rPr>
                <w:del w:id="16303" w:author="AbbVie02no" w:date="2025-05-15T14:21:00Z"/>
                <w:b/>
                <w:bCs/>
                <w:sz w:val="22"/>
                <w:szCs w:val="22"/>
                <w:lang w:val="el-GR"/>
              </w:rPr>
            </w:pPr>
            <w:del w:id="16304" w:author="AbbVie02no" w:date="2025-05-15T14:21:00Z">
              <w:r w:rsidRPr="00BD646C">
                <w:rPr>
                  <w:b/>
                  <w:bCs/>
                  <w:sz w:val="22"/>
                  <w:szCs w:val="22"/>
                  <w:lang w:val="el-GR"/>
                </w:rPr>
                <w:delText>Κύπρος</w:delText>
              </w:r>
            </w:del>
          </w:p>
          <w:p w14:paraId="7269E66F" w14:textId="0722000E" w:rsidR="00BD646C" w:rsidRPr="00BD646C" w:rsidRDefault="00E453CD" w:rsidP="001F79B0">
            <w:pPr>
              <w:rPr>
                <w:del w:id="16305" w:author="AbbVie02no" w:date="2025-05-15T14:21:00Z"/>
                <w:bCs/>
                <w:sz w:val="22"/>
                <w:szCs w:val="22"/>
                <w:lang w:val="el-GR"/>
              </w:rPr>
            </w:pPr>
            <w:del w:id="16306" w:author="AbbVie02no" w:date="2025-05-15T14:21:00Z">
              <w:r w:rsidRPr="00BD646C">
                <w:rPr>
                  <w:bCs/>
                  <w:sz w:val="22"/>
                  <w:szCs w:val="22"/>
                  <w:lang w:val="sk-SK"/>
                </w:rPr>
                <w:delText xml:space="preserve">Lifepharma (Z.A.M.) </w:delText>
              </w:r>
              <w:r w:rsidRPr="00BD646C">
                <w:rPr>
                  <w:bCs/>
                  <w:sz w:val="22"/>
                  <w:szCs w:val="22"/>
                  <w:lang w:val="it-IT"/>
                </w:rPr>
                <w:delText>Ltd</w:delText>
              </w:r>
            </w:del>
          </w:p>
          <w:p w14:paraId="63BA1C38" w14:textId="578A8A51" w:rsidR="00BD646C" w:rsidRPr="00BD646C" w:rsidRDefault="00E453CD" w:rsidP="001F79B0">
            <w:pPr>
              <w:rPr>
                <w:del w:id="16307" w:author="AbbVie02no" w:date="2025-05-15T14:21:00Z"/>
                <w:bCs/>
                <w:sz w:val="22"/>
                <w:szCs w:val="22"/>
                <w:lang w:val="lv-LV"/>
              </w:rPr>
            </w:pPr>
            <w:del w:id="16308" w:author="AbbVie02no" w:date="2025-05-15T14:21:00Z">
              <w:r w:rsidRPr="00BD646C">
                <w:rPr>
                  <w:bCs/>
                  <w:sz w:val="22"/>
                  <w:szCs w:val="22"/>
                  <w:lang w:val="el-GR"/>
                </w:rPr>
                <w:delText>Τηλ.: +357 22 34 74 40</w:delText>
              </w:r>
            </w:del>
          </w:p>
        </w:tc>
        <w:tc>
          <w:tcPr>
            <w:tcW w:w="4678" w:type="dxa"/>
          </w:tcPr>
          <w:p w14:paraId="75D97FC2" w14:textId="24470F85" w:rsidR="00BD646C" w:rsidRPr="00BD646C" w:rsidRDefault="00E453CD" w:rsidP="001F79B0">
            <w:pPr>
              <w:rPr>
                <w:del w:id="16309" w:author="AbbVie02no" w:date="2025-05-15T14:21:00Z"/>
                <w:b/>
                <w:bCs/>
                <w:sz w:val="22"/>
                <w:szCs w:val="22"/>
                <w:lang w:val="sk-SK"/>
              </w:rPr>
            </w:pPr>
            <w:del w:id="16310" w:author="AbbVie02no" w:date="2025-05-15T14:21:00Z">
              <w:r w:rsidRPr="00BD646C">
                <w:rPr>
                  <w:b/>
                  <w:bCs/>
                  <w:sz w:val="22"/>
                  <w:szCs w:val="22"/>
                  <w:lang w:val="sk-SK"/>
                </w:rPr>
                <w:delText>Sverige</w:delText>
              </w:r>
            </w:del>
          </w:p>
          <w:p w14:paraId="34073980" w14:textId="7597CA10" w:rsidR="00BD646C" w:rsidRPr="00BD646C" w:rsidRDefault="00E453CD" w:rsidP="001F79B0">
            <w:pPr>
              <w:rPr>
                <w:del w:id="16311" w:author="AbbVie02no" w:date="2025-05-15T14:21:00Z"/>
                <w:bCs/>
                <w:sz w:val="22"/>
                <w:szCs w:val="22"/>
                <w:lang w:val="pt-PT"/>
              </w:rPr>
            </w:pPr>
            <w:del w:id="16312" w:author="AbbVie02no" w:date="2025-05-15T14:21:00Z">
              <w:r w:rsidRPr="00BD646C">
                <w:rPr>
                  <w:bCs/>
                  <w:sz w:val="22"/>
                  <w:szCs w:val="22"/>
                  <w:lang w:val="pt-PT"/>
                </w:rPr>
                <w:delText>AbbVie AB</w:delText>
              </w:r>
            </w:del>
          </w:p>
          <w:p w14:paraId="1435BF71" w14:textId="532A526C" w:rsidR="00BD646C" w:rsidRPr="00BD646C" w:rsidRDefault="00E453CD" w:rsidP="001F79B0">
            <w:pPr>
              <w:rPr>
                <w:del w:id="16313" w:author="AbbVie02no" w:date="2025-05-15T14:21:00Z"/>
                <w:bCs/>
                <w:sz w:val="22"/>
                <w:szCs w:val="22"/>
                <w:lang w:val="sk-SK"/>
              </w:rPr>
            </w:pPr>
            <w:del w:id="16314" w:author="AbbVie02no" w:date="2025-05-15T14:21:00Z">
              <w:r w:rsidRPr="00BD646C">
                <w:rPr>
                  <w:bCs/>
                  <w:sz w:val="22"/>
                  <w:szCs w:val="22"/>
                  <w:lang w:val="da-DK"/>
                </w:rPr>
                <w:delText>Tel: +46 (0)8 684 44 600</w:delText>
              </w:r>
            </w:del>
          </w:p>
        </w:tc>
      </w:tr>
      <w:tr w:rsidR="004644D4" w14:paraId="38AD0F6D" w14:textId="5C5488CD" w:rsidTr="001F79B0">
        <w:trPr>
          <w:gridBefore w:val="1"/>
          <w:wBefore w:w="34" w:type="dxa"/>
          <w:cantSplit/>
          <w:trHeight w:val="761"/>
          <w:del w:id="16315" w:author="AbbVie02no" w:date="2025-05-15T14:21:00Z"/>
        </w:trPr>
        <w:tc>
          <w:tcPr>
            <w:tcW w:w="4644" w:type="dxa"/>
            <w:gridSpan w:val="2"/>
          </w:tcPr>
          <w:p w14:paraId="676C061E" w14:textId="59619261" w:rsidR="00BD646C" w:rsidRPr="00BD646C" w:rsidRDefault="00E453CD" w:rsidP="001F79B0">
            <w:pPr>
              <w:rPr>
                <w:del w:id="16316" w:author="AbbVie02no" w:date="2025-05-15T14:21:00Z"/>
                <w:b/>
                <w:bCs/>
                <w:sz w:val="22"/>
                <w:szCs w:val="22"/>
                <w:lang w:val="lv-LV"/>
              </w:rPr>
            </w:pPr>
            <w:del w:id="16317" w:author="AbbVie02no" w:date="2025-05-15T14:21:00Z">
              <w:r w:rsidRPr="00BD646C">
                <w:rPr>
                  <w:b/>
                  <w:bCs/>
                  <w:sz w:val="22"/>
                  <w:szCs w:val="22"/>
                  <w:lang w:val="lv-LV"/>
                </w:rPr>
                <w:delText>Latvija</w:delText>
              </w:r>
            </w:del>
          </w:p>
          <w:p w14:paraId="3633AC0D" w14:textId="2AFD5436" w:rsidR="00BD646C" w:rsidRPr="00BD646C" w:rsidRDefault="00E453CD" w:rsidP="001F79B0">
            <w:pPr>
              <w:rPr>
                <w:del w:id="16318" w:author="AbbVie02no" w:date="2025-05-15T14:21:00Z"/>
                <w:bCs/>
                <w:sz w:val="22"/>
                <w:szCs w:val="22"/>
                <w:lang w:val="lv-LV"/>
              </w:rPr>
            </w:pPr>
            <w:del w:id="16319" w:author="AbbVie02no" w:date="2025-05-15T14:21:00Z">
              <w:r w:rsidRPr="00BD646C">
                <w:rPr>
                  <w:bCs/>
                  <w:sz w:val="22"/>
                  <w:szCs w:val="22"/>
                  <w:lang w:val="lv-LV"/>
                </w:rPr>
                <w:delText xml:space="preserve">AbbVie SIA </w:delText>
              </w:r>
            </w:del>
          </w:p>
          <w:p w14:paraId="775C51ED" w14:textId="01149F0F" w:rsidR="00BD646C" w:rsidRPr="00BD646C" w:rsidRDefault="00E453CD" w:rsidP="001F79B0">
            <w:pPr>
              <w:rPr>
                <w:del w:id="16320" w:author="AbbVie02no" w:date="2025-05-15T14:21:00Z"/>
                <w:bCs/>
                <w:sz w:val="22"/>
                <w:szCs w:val="22"/>
                <w:lang w:val="lv-LV"/>
              </w:rPr>
            </w:pPr>
            <w:del w:id="16321" w:author="AbbVie02no" w:date="2025-05-15T14:21:00Z">
              <w:r w:rsidRPr="00BD646C">
                <w:rPr>
                  <w:bCs/>
                  <w:sz w:val="22"/>
                  <w:szCs w:val="22"/>
                  <w:lang w:val="lv-LV"/>
                </w:rPr>
                <w:delText>Tel: +371 67605000</w:delText>
              </w:r>
            </w:del>
          </w:p>
        </w:tc>
        <w:tc>
          <w:tcPr>
            <w:tcW w:w="4678" w:type="dxa"/>
          </w:tcPr>
          <w:p w14:paraId="6EA12FA0" w14:textId="0F26BE05" w:rsidR="00BD646C" w:rsidRPr="00BD646C" w:rsidRDefault="00BD646C" w:rsidP="001F79B0">
            <w:pPr>
              <w:rPr>
                <w:del w:id="16322" w:author="AbbVie02no" w:date="2025-05-15T14:21:00Z"/>
                <w:b/>
                <w:bCs/>
                <w:sz w:val="22"/>
                <w:szCs w:val="22"/>
                <w:lang w:val="sk-SK"/>
              </w:rPr>
            </w:pPr>
          </w:p>
        </w:tc>
      </w:tr>
    </w:tbl>
    <w:p w14:paraId="62359DA4" w14:textId="321114A6" w:rsidR="00A91022" w:rsidRPr="00692DC9" w:rsidRDefault="00A91022" w:rsidP="007F67EE">
      <w:pPr>
        <w:rPr>
          <w:del w:id="16323" w:author="AbbVie02no" w:date="2025-05-15T14:21:00Z"/>
          <w:rPrChange w:id="16324" w:author="AbbVie05no" w:date="2025-05-19T11:03:00Z">
            <w:rPr>
              <w:del w:id="16325" w:author="AbbVie02no" w:date="2025-05-15T14:21:00Z"/>
              <w:lang w:val="en-US"/>
            </w:rPr>
          </w:rPrChange>
        </w:rPr>
      </w:pPr>
    </w:p>
    <w:p w14:paraId="3DED7CA3" w14:textId="226BF362" w:rsidR="0049775E" w:rsidRPr="00392F01" w:rsidRDefault="00E453CD" w:rsidP="00193D76">
      <w:pPr>
        <w:rPr>
          <w:del w:id="16326" w:author="AbbVie02no" w:date="2025-05-15T14:21:00Z"/>
          <w:b/>
          <w:sz w:val="22"/>
          <w:szCs w:val="22"/>
        </w:rPr>
      </w:pPr>
      <w:del w:id="16327" w:author="AbbVie02no" w:date="2025-05-15T14:21:00Z">
        <w:r w:rsidRPr="00392F01">
          <w:rPr>
            <w:b/>
            <w:sz w:val="22"/>
            <w:szCs w:val="22"/>
          </w:rPr>
          <w:delText xml:space="preserve">Dette pakningsvedlegget ble sist </w:delText>
        </w:r>
        <w:r w:rsidR="006F20A1" w:rsidRPr="00392F01">
          <w:rPr>
            <w:b/>
            <w:sz w:val="22"/>
            <w:szCs w:val="22"/>
          </w:rPr>
          <w:delText>oppdatert</w:delText>
        </w:r>
      </w:del>
    </w:p>
    <w:p w14:paraId="5AD34DCF" w14:textId="2264B851" w:rsidR="0049775E" w:rsidRPr="00392F01" w:rsidRDefault="0049775E" w:rsidP="002D0790">
      <w:pPr>
        <w:rPr>
          <w:del w:id="16328" w:author="AbbVie02no" w:date="2025-05-15T14:21:00Z"/>
          <w:b/>
          <w:sz w:val="22"/>
          <w:szCs w:val="22"/>
        </w:rPr>
      </w:pPr>
    </w:p>
    <w:p w14:paraId="775CDACF" w14:textId="61887D33" w:rsidR="000877DF" w:rsidRPr="00392F01" w:rsidRDefault="00E453CD" w:rsidP="00C07C98">
      <w:pPr>
        <w:rPr>
          <w:del w:id="16329" w:author="AbbVie02no" w:date="2025-05-15T14:21:00Z"/>
          <w:b/>
          <w:sz w:val="22"/>
          <w:szCs w:val="22"/>
        </w:rPr>
      </w:pPr>
      <w:del w:id="16330" w:author="AbbVie02no" w:date="2025-05-15T14:21:00Z">
        <w:r w:rsidRPr="00392F01">
          <w:rPr>
            <w:sz w:val="22"/>
          </w:rPr>
          <w:delText>Detaljert informasjon om dette legemidlet er tilgjengelig på nettstedet til Det europeiske legemiddelkontoret (</w:delText>
        </w:r>
        <w:r w:rsidR="001D434C">
          <w:rPr>
            <w:sz w:val="22"/>
          </w:rPr>
          <w:delText>t</w:delText>
        </w:r>
        <w:r w:rsidRPr="00392F01">
          <w:rPr>
            <w:sz w:val="22"/>
          </w:rPr>
          <w:delText>he European Medicines Agency)</w:delText>
        </w:r>
        <w:r w:rsidR="002345C5" w:rsidRPr="00392F01">
          <w:rPr>
            <w:sz w:val="22"/>
          </w:rPr>
          <w:delText>:</w:delText>
        </w:r>
        <w:r w:rsidRPr="00392F01">
          <w:rPr>
            <w:sz w:val="22"/>
          </w:rPr>
          <w:delText xml:space="preserve"> </w:delText>
        </w:r>
        <w:r>
          <w:fldChar w:fldCharType="begin"/>
        </w:r>
        <w:r>
          <w:delInstrText>HYPERLINK "http://www.ema.europa.eu"</w:delInstrText>
        </w:r>
        <w:r>
          <w:fldChar w:fldCharType="separate"/>
        </w:r>
        <w:r w:rsidRPr="00392F01">
          <w:rPr>
            <w:rStyle w:val="Hyperlink"/>
            <w:sz w:val="22"/>
          </w:rPr>
          <w:delText>http://www.ema.europa.eu</w:delText>
        </w:r>
        <w:r>
          <w:fldChar w:fldCharType="end"/>
        </w:r>
        <w:r w:rsidRPr="00392F01">
          <w:rPr>
            <w:sz w:val="22"/>
          </w:rPr>
          <w:delText>.</w:delText>
        </w:r>
      </w:del>
    </w:p>
    <w:p w14:paraId="40432485" w14:textId="4C37EF02" w:rsidR="000877DF" w:rsidRPr="00392F01" w:rsidRDefault="000877DF" w:rsidP="00C07C98">
      <w:pPr>
        <w:rPr>
          <w:del w:id="16331" w:author="AbbVie02no" w:date="2025-05-15T14:21:00Z"/>
          <w:b/>
          <w:sz w:val="22"/>
          <w:szCs w:val="22"/>
        </w:rPr>
      </w:pPr>
    </w:p>
    <w:p w14:paraId="6ADCDCC1" w14:textId="66E4D413" w:rsidR="00DE3458" w:rsidRPr="00392F01" w:rsidRDefault="00E453CD" w:rsidP="00C07C98">
      <w:pPr>
        <w:rPr>
          <w:del w:id="16332" w:author="AbbVie02no" w:date="2025-05-15T14:21:00Z"/>
          <w:sz w:val="22"/>
          <w:szCs w:val="22"/>
        </w:rPr>
      </w:pPr>
      <w:del w:id="16333" w:author="AbbVie02no" w:date="2025-05-15T14:21:00Z">
        <w:r w:rsidRPr="00392F01">
          <w:rPr>
            <w:b/>
            <w:sz w:val="22"/>
            <w:szCs w:val="22"/>
          </w:rPr>
          <w:delText xml:space="preserve">For å lytte til eller be om en kopi av dette pakningsvedlegget </w:delText>
        </w:r>
        <w:r w:rsidR="00B0241B" w:rsidRPr="00776A84">
          <w:rPr>
            <w:b/>
            <w:sz w:val="22"/>
            <w:highlight w:val="lightGray"/>
          </w:rPr>
          <w:delText>i &lt;blindeskrift&gt;, &lt;større skrift&gt; eller &lt;lydfil&gt;</w:delText>
        </w:r>
        <w:r w:rsidRPr="00392F01">
          <w:rPr>
            <w:b/>
            <w:sz w:val="22"/>
            <w:szCs w:val="22"/>
          </w:rPr>
          <w:delText xml:space="preserve"> kan du kontakte den lokale representant for innehaveren av markedsføringstillatelsen.</w:delText>
        </w:r>
      </w:del>
    </w:p>
    <w:p w14:paraId="360DBB2B" w14:textId="0EFF4318" w:rsidR="00DE3458" w:rsidRPr="00392F01" w:rsidRDefault="00E453CD" w:rsidP="00AB7697">
      <w:pPr>
        <w:jc w:val="center"/>
        <w:rPr>
          <w:del w:id="16334" w:author="AbbVie02no" w:date="2025-05-15T14:22:00Z"/>
          <w:b/>
          <w:sz w:val="22"/>
          <w:szCs w:val="22"/>
        </w:rPr>
      </w:pPr>
      <w:del w:id="16335" w:author="AbbVie02no" w:date="2025-05-15T14:21:00Z">
        <w:r w:rsidRPr="00392F01">
          <w:rPr>
            <w:sz w:val="22"/>
            <w:szCs w:val="22"/>
          </w:rPr>
          <w:br w:type="page"/>
        </w:r>
      </w:del>
      <w:del w:id="16336" w:author="AbbVie02no" w:date="2025-05-15T14:22:00Z">
        <w:r w:rsidR="00BE1A1E" w:rsidRPr="00392F01">
          <w:rPr>
            <w:b/>
            <w:sz w:val="22"/>
            <w:szCs w:val="22"/>
          </w:rPr>
          <w:lastRenderedPageBreak/>
          <w:delText>Pakningsvedlegg: Informasjon til pasienten</w:delText>
        </w:r>
      </w:del>
    </w:p>
    <w:p w14:paraId="47D23F8E" w14:textId="71BDAB6F" w:rsidR="00DE3458" w:rsidRPr="00392F01" w:rsidRDefault="00DE3458" w:rsidP="00E14E58">
      <w:pPr>
        <w:jc w:val="center"/>
        <w:rPr>
          <w:del w:id="16337" w:author="AbbVie02no" w:date="2025-05-15T14:22:00Z"/>
          <w:b/>
          <w:sz w:val="22"/>
          <w:szCs w:val="22"/>
        </w:rPr>
      </w:pPr>
    </w:p>
    <w:p w14:paraId="67DD09BE" w14:textId="512C331B" w:rsidR="00E5216D" w:rsidRPr="00392F01" w:rsidRDefault="00E453CD" w:rsidP="009C5EFD">
      <w:pPr>
        <w:jc w:val="center"/>
        <w:rPr>
          <w:del w:id="16338" w:author="AbbVie02no" w:date="2025-05-15T14:22:00Z"/>
          <w:sz w:val="22"/>
          <w:szCs w:val="22"/>
        </w:rPr>
      </w:pPr>
      <w:del w:id="16339" w:author="AbbVie02no" w:date="2025-05-15T14:22:00Z">
        <w:r w:rsidRPr="00392F01">
          <w:rPr>
            <w:b/>
            <w:sz w:val="22"/>
            <w:szCs w:val="22"/>
          </w:rPr>
          <w:delText>Humira 40</w:delText>
        </w:r>
        <w:r w:rsidR="009111DB" w:rsidRPr="00392F01">
          <w:rPr>
            <w:b/>
            <w:sz w:val="22"/>
            <w:szCs w:val="22"/>
          </w:rPr>
          <w:delText> </w:delText>
        </w:r>
        <w:r w:rsidRPr="00392F01">
          <w:rPr>
            <w:b/>
            <w:sz w:val="22"/>
            <w:szCs w:val="22"/>
          </w:rPr>
          <w:delText>mg injeksjonsvæske, oppløsning i ferdigfylt penn</w:delText>
        </w:r>
      </w:del>
    </w:p>
    <w:p w14:paraId="25CBB217" w14:textId="5FD808FD" w:rsidR="00DE3458" w:rsidRPr="00392F01" w:rsidRDefault="00E453CD" w:rsidP="009C5EFD">
      <w:pPr>
        <w:ind w:left="54"/>
        <w:jc w:val="center"/>
        <w:rPr>
          <w:del w:id="16340" w:author="AbbVie02no" w:date="2025-05-15T14:22:00Z"/>
          <w:sz w:val="22"/>
          <w:szCs w:val="22"/>
        </w:rPr>
      </w:pPr>
      <w:del w:id="16341" w:author="AbbVie02no" w:date="2025-05-15T14:22:00Z">
        <w:r w:rsidRPr="00392F01">
          <w:rPr>
            <w:sz w:val="22"/>
            <w:szCs w:val="22"/>
          </w:rPr>
          <w:delText>adalimumab</w:delText>
        </w:r>
      </w:del>
    </w:p>
    <w:p w14:paraId="127BDDB2" w14:textId="7DDDB5F0" w:rsidR="00DE3458" w:rsidRPr="00392F01" w:rsidRDefault="00DE3458" w:rsidP="009C5EFD">
      <w:pPr>
        <w:ind w:left="54"/>
        <w:jc w:val="center"/>
        <w:rPr>
          <w:del w:id="16342" w:author="AbbVie02no" w:date="2025-05-15T14:22:00Z"/>
          <w:sz w:val="22"/>
          <w:szCs w:val="22"/>
        </w:rPr>
      </w:pPr>
    </w:p>
    <w:p w14:paraId="34F4B820" w14:textId="55792BED" w:rsidR="00DE3458" w:rsidRPr="009C5EFD" w:rsidRDefault="00E453CD" w:rsidP="00AF70AD">
      <w:pPr>
        <w:rPr>
          <w:del w:id="16343" w:author="AbbVie02no" w:date="2025-05-15T14:22:00Z"/>
          <w:sz w:val="22"/>
          <w:szCs w:val="22"/>
        </w:rPr>
      </w:pPr>
      <w:del w:id="16344" w:author="AbbVie02no" w:date="2025-05-15T14:22:00Z">
        <w:r w:rsidRPr="00392F01">
          <w:rPr>
            <w:b/>
            <w:sz w:val="22"/>
            <w:szCs w:val="22"/>
          </w:rPr>
          <w:delText xml:space="preserve">Les nøye gjennom dette pakningsvedlegget før du begynner å bruke </w:delText>
        </w:r>
        <w:r w:rsidR="00986752" w:rsidRPr="00392F01">
          <w:rPr>
            <w:b/>
            <w:sz w:val="22"/>
            <w:szCs w:val="22"/>
          </w:rPr>
          <w:delText xml:space="preserve">dette </w:delText>
        </w:r>
        <w:r w:rsidRPr="00392F01">
          <w:rPr>
            <w:b/>
            <w:sz w:val="22"/>
            <w:szCs w:val="22"/>
          </w:rPr>
          <w:delText>legemidlet</w:delText>
        </w:r>
        <w:r w:rsidR="00986752" w:rsidRPr="00392F01">
          <w:rPr>
            <w:b/>
            <w:sz w:val="22"/>
            <w:szCs w:val="22"/>
          </w:rPr>
          <w:delText xml:space="preserve">. </w:delText>
        </w:r>
        <w:r w:rsidR="00986752" w:rsidRPr="009C5EFD">
          <w:rPr>
            <w:b/>
            <w:sz w:val="22"/>
            <w:szCs w:val="22"/>
          </w:rPr>
          <w:delText>D</w:delText>
        </w:r>
        <w:r w:rsidR="00A6322A" w:rsidRPr="009C5EFD">
          <w:rPr>
            <w:b/>
            <w:sz w:val="22"/>
            <w:szCs w:val="22"/>
          </w:rPr>
          <w:delText>et inneholder informasjon</w:delText>
        </w:r>
        <w:r w:rsidR="00986752" w:rsidRPr="009C5EFD">
          <w:rPr>
            <w:b/>
            <w:sz w:val="22"/>
            <w:szCs w:val="22"/>
          </w:rPr>
          <w:delText xml:space="preserve"> som er viktig for deg</w:delText>
        </w:r>
        <w:r w:rsidRPr="009C5EFD">
          <w:rPr>
            <w:b/>
            <w:sz w:val="22"/>
            <w:szCs w:val="22"/>
          </w:rPr>
          <w:delText>.</w:delText>
        </w:r>
      </w:del>
    </w:p>
    <w:p w14:paraId="2B4881E3" w14:textId="61E53002" w:rsidR="00DE3458" w:rsidRPr="009C5EFD" w:rsidRDefault="00E453CD" w:rsidP="009C5EFD">
      <w:pPr>
        <w:numPr>
          <w:ilvl w:val="0"/>
          <w:numId w:val="1"/>
        </w:numPr>
        <w:ind w:left="567" w:right="-2" w:hanging="567"/>
        <w:rPr>
          <w:del w:id="16345" w:author="AbbVie02no" w:date="2025-05-15T14:22:00Z"/>
          <w:sz w:val="22"/>
          <w:szCs w:val="22"/>
        </w:rPr>
      </w:pPr>
      <w:del w:id="16346" w:author="AbbVie02no" w:date="2025-05-15T14:22:00Z">
        <w:r w:rsidRPr="009C5EFD">
          <w:rPr>
            <w:sz w:val="22"/>
            <w:szCs w:val="22"/>
          </w:rPr>
          <w:delText>Ta vare på dette pakningsvedlegget. Du kan få behov for å lese det igjen.</w:delText>
        </w:r>
      </w:del>
    </w:p>
    <w:p w14:paraId="17ABA846" w14:textId="78ECE6CA" w:rsidR="00DE3458" w:rsidRPr="009C5EFD" w:rsidRDefault="00E453CD" w:rsidP="009C5EFD">
      <w:pPr>
        <w:numPr>
          <w:ilvl w:val="0"/>
          <w:numId w:val="1"/>
        </w:numPr>
        <w:ind w:left="567" w:right="-2" w:hanging="567"/>
        <w:rPr>
          <w:del w:id="16347" w:author="AbbVie02no" w:date="2025-05-15T14:22:00Z"/>
          <w:sz w:val="22"/>
          <w:szCs w:val="22"/>
        </w:rPr>
      </w:pPr>
      <w:del w:id="16348" w:author="AbbVie02no" w:date="2025-05-15T14:22:00Z">
        <w:r w:rsidRPr="009C5EFD">
          <w:rPr>
            <w:sz w:val="22"/>
            <w:szCs w:val="22"/>
          </w:rPr>
          <w:delText xml:space="preserve">Legen </w:delText>
        </w:r>
        <w:r w:rsidR="000B52DC" w:rsidRPr="009C5EFD">
          <w:rPr>
            <w:sz w:val="22"/>
            <w:szCs w:val="22"/>
          </w:rPr>
          <w:delText>vil</w:delText>
        </w:r>
        <w:r w:rsidRPr="009C5EFD">
          <w:rPr>
            <w:sz w:val="22"/>
            <w:szCs w:val="22"/>
          </w:rPr>
          <w:delText xml:space="preserve"> også gi deg et </w:delText>
        </w:r>
        <w:r w:rsidRPr="00B07EA9">
          <w:rPr>
            <w:b/>
            <w:sz w:val="22"/>
            <w:szCs w:val="22"/>
          </w:rPr>
          <w:delText xml:space="preserve">pasientkort </w:delText>
        </w:r>
        <w:r w:rsidRPr="009C5EFD">
          <w:rPr>
            <w:sz w:val="22"/>
            <w:szCs w:val="22"/>
          </w:rPr>
          <w:delText xml:space="preserve">som inneholder viktige sikkerhetsopplysninger som du må være oppmerksom på før du får Humira og under behandling med Humira. Ha dette </w:delText>
        </w:r>
        <w:r w:rsidRPr="00B07EA9">
          <w:rPr>
            <w:b/>
            <w:sz w:val="22"/>
            <w:szCs w:val="22"/>
          </w:rPr>
          <w:delText>pasientkortet</w:delText>
        </w:r>
        <w:r w:rsidRPr="009C5EFD">
          <w:rPr>
            <w:sz w:val="22"/>
            <w:szCs w:val="22"/>
          </w:rPr>
          <w:delText xml:space="preserve"> på deg.</w:delText>
        </w:r>
      </w:del>
    </w:p>
    <w:p w14:paraId="2F6351DC" w14:textId="05D2FBBE" w:rsidR="00F57CDB" w:rsidRPr="009C5EFD" w:rsidRDefault="00E453CD" w:rsidP="00776A84">
      <w:pPr>
        <w:numPr>
          <w:ilvl w:val="0"/>
          <w:numId w:val="1"/>
        </w:numPr>
        <w:ind w:left="567" w:hanging="567"/>
        <w:rPr>
          <w:del w:id="16349" w:author="AbbVie02no" w:date="2025-05-15T14:22:00Z"/>
          <w:sz w:val="22"/>
          <w:szCs w:val="22"/>
        </w:rPr>
      </w:pPr>
      <w:del w:id="16350" w:author="AbbVie02no" w:date="2025-05-15T14:22:00Z">
        <w:r w:rsidRPr="00F57CDB">
          <w:rPr>
            <w:sz w:val="22"/>
            <w:szCs w:val="22"/>
          </w:rPr>
          <w:delText>Spør lege</w:delText>
        </w:r>
        <w:r>
          <w:rPr>
            <w:sz w:val="22"/>
            <w:szCs w:val="22"/>
          </w:rPr>
          <w:delText xml:space="preserve"> </w:delText>
        </w:r>
        <w:r w:rsidRPr="00F57CDB">
          <w:rPr>
            <w:sz w:val="22"/>
            <w:szCs w:val="22"/>
          </w:rPr>
          <w:delText>eller</w:delText>
        </w:r>
        <w:r>
          <w:rPr>
            <w:sz w:val="22"/>
            <w:szCs w:val="22"/>
          </w:rPr>
          <w:delText xml:space="preserve"> </w:delText>
        </w:r>
        <w:r w:rsidRPr="00F57CDB">
          <w:rPr>
            <w:sz w:val="22"/>
            <w:szCs w:val="22"/>
          </w:rPr>
          <w:delText>apotek hvis du har flere spørsmål eller trenger</w:delText>
        </w:r>
        <w:r w:rsidR="007A31C0">
          <w:rPr>
            <w:sz w:val="22"/>
            <w:szCs w:val="22"/>
          </w:rPr>
          <w:delText xml:space="preserve"> mer informasjon</w:delText>
        </w:r>
        <w:r>
          <w:rPr>
            <w:sz w:val="22"/>
            <w:szCs w:val="22"/>
          </w:rPr>
          <w:delText>.</w:delText>
        </w:r>
        <w:r w:rsidRPr="00F57CDB">
          <w:rPr>
            <w:sz w:val="22"/>
            <w:szCs w:val="22"/>
          </w:rPr>
          <w:delText xml:space="preserve"> </w:delText>
        </w:r>
      </w:del>
    </w:p>
    <w:p w14:paraId="104822E4" w14:textId="05888781" w:rsidR="00DE3458" w:rsidRPr="009C5EFD" w:rsidRDefault="00E453CD" w:rsidP="009C5EFD">
      <w:pPr>
        <w:numPr>
          <w:ilvl w:val="0"/>
          <w:numId w:val="1"/>
        </w:numPr>
        <w:ind w:left="567" w:right="-2" w:hanging="567"/>
        <w:rPr>
          <w:del w:id="16351" w:author="AbbVie02no" w:date="2025-05-15T14:22:00Z"/>
          <w:b/>
          <w:sz w:val="22"/>
          <w:szCs w:val="22"/>
        </w:rPr>
      </w:pPr>
      <w:del w:id="16352" w:author="AbbVie02no" w:date="2025-05-15T14:22:00Z">
        <w:r w:rsidRPr="009C5EFD">
          <w:rPr>
            <w:sz w:val="22"/>
            <w:szCs w:val="22"/>
          </w:rPr>
          <w:delText xml:space="preserve">Dette legemidlet er skrevet ut </w:delText>
        </w:r>
        <w:r w:rsidR="00A6322A" w:rsidRPr="009C5EFD">
          <w:rPr>
            <w:sz w:val="22"/>
            <w:szCs w:val="22"/>
          </w:rPr>
          <w:delText xml:space="preserve">kun </w:delText>
        </w:r>
        <w:r w:rsidRPr="009C5EFD">
          <w:rPr>
            <w:sz w:val="22"/>
            <w:szCs w:val="22"/>
          </w:rPr>
          <w:delText xml:space="preserve">til deg. Ikke gi det videre til andre. Det kan skade dem, selv om de har symptomer </w:delText>
        </w:r>
        <w:r w:rsidR="002547FB" w:rsidRPr="009C5EFD">
          <w:rPr>
            <w:sz w:val="22"/>
            <w:szCs w:val="22"/>
          </w:rPr>
          <w:delText xml:space="preserve">på </w:delText>
        </w:r>
        <w:r w:rsidR="00A6322A" w:rsidRPr="009C5EFD">
          <w:rPr>
            <w:sz w:val="22"/>
            <w:szCs w:val="22"/>
          </w:rPr>
          <w:delText xml:space="preserve">sykdom </w:delText>
        </w:r>
        <w:r w:rsidRPr="009C5EFD">
          <w:rPr>
            <w:sz w:val="22"/>
            <w:szCs w:val="22"/>
          </w:rPr>
          <w:delText>som ligner dine.</w:delText>
        </w:r>
      </w:del>
    </w:p>
    <w:p w14:paraId="3A6F409F" w14:textId="43C3CC83" w:rsidR="00DE3458" w:rsidRPr="009C5EFD" w:rsidRDefault="00E453CD" w:rsidP="009C5EFD">
      <w:pPr>
        <w:numPr>
          <w:ilvl w:val="0"/>
          <w:numId w:val="1"/>
        </w:numPr>
        <w:ind w:left="567" w:right="-2" w:hanging="567"/>
        <w:rPr>
          <w:del w:id="16353" w:author="AbbVie02no" w:date="2025-05-15T14:22:00Z"/>
          <w:b/>
          <w:sz w:val="22"/>
          <w:szCs w:val="22"/>
        </w:rPr>
      </w:pPr>
      <w:del w:id="16354" w:author="AbbVie02no" w:date="2025-05-15T14:22:00Z">
        <w:r w:rsidRPr="009C5EFD">
          <w:rPr>
            <w:sz w:val="22"/>
            <w:szCs w:val="22"/>
          </w:rPr>
          <w:delText xml:space="preserve">Kontakt lege eller apotek dersom </w:delText>
        </w:r>
        <w:r w:rsidR="00A6322A" w:rsidRPr="009C5EFD">
          <w:rPr>
            <w:sz w:val="22"/>
            <w:szCs w:val="22"/>
          </w:rPr>
          <w:delText xml:space="preserve">du </w:delText>
        </w:r>
        <w:r w:rsidR="0049775E" w:rsidRPr="009C5EFD">
          <w:rPr>
            <w:sz w:val="22"/>
            <w:szCs w:val="22"/>
          </w:rPr>
          <w:delText>opplever</w:delText>
        </w:r>
        <w:r w:rsidR="00A6322A" w:rsidRPr="009C5EFD">
          <w:rPr>
            <w:sz w:val="22"/>
            <w:szCs w:val="22"/>
          </w:rPr>
          <w:delText xml:space="preserve"> </w:delText>
        </w:r>
        <w:r w:rsidRPr="009C5EFD">
          <w:rPr>
            <w:sz w:val="22"/>
            <w:szCs w:val="22"/>
          </w:rPr>
          <w:delText>bivirkninge</w:delText>
        </w:r>
        <w:r w:rsidR="00A6322A" w:rsidRPr="009C5EFD">
          <w:rPr>
            <w:sz w:val="22"/>
            <w:szCs w:val="22"/>
          </w:rPr>
          <w:delText>r</w:delText>
        </w:r>
        <w:r w:rsidR="0049775E" w:rsidRPr="009C5EFD">
          <w:rPr>
            <w:sz w:val="22"/>
            <w:szCs w:val="22"/>
          </w:rPr>
          <w:delText xml:space="preserve">, </w:delText>
        </w:r>
        <w:r w:rsidR="00A6322A" w:rsidRPr="009C5EFD">
          <w:rPr>
            <w:sz w:val="22"/>
            <w:szCs w:val="22"/>
          </w:rPr>
          <w:delText>inkluder</w:delText>
        </w:r>
        <w:r w:rsidR="0049775E" w:rsidRPr="009C5EFD">
          <w:rPr>
            <w:sz w:val="22"/>
            <w:szCs w:val="22"/>
          </w:rPr>
          <w:delText>t</w:delText>
        </w:r>
        <w:r w:rsidR="00A6322A" w:rsidRPr="009C5EFD">
          <w:rPr>
            <w:sz w:val="22"/>
            <w:szCs w:val="22"/>
          </w:rPr>
          <w:delText xml:space="preserve"> mulige</w:delText>
        </w:r>
        <w:r w:rsidRPr="009C5EFD">
          <w:rPr>
            <w:sz w:val="22"/>
            <w:szCs w:val="22"/>
          </w:rPr>
          <w:delText xml:space="preserve"> bivirkninger som ikke er nevnt i dette pakningsvedlegget.</w:delText>
        </w:r>
        <w:r w:rsidR="000D5DAE" w:rsidRPr="009C5EFD">
          <w:rPr>
            <w:sz w:val="22"/>
            <w:szCs w:val="22"/>
          </w:rPr>
          <w:delText xml:space="preserve"> Se avsnitt 4.</w:delText>
        </w:r>
      </w:del>
    </w:p>
    <w:p w14:paraId="590EEBA7" w14:textId="4989A84A" w:rsidR="00DE3458" w:rsidRPr="009C5EFD" w:rsidRDefault="00DE3458" w:rsidP="009C5EFD">
      <w:pPr>
        <w:ind w:left="54" w:right="-2"/>
        <w:rPr>
          <w:del w:id="16355" w:author="AbbVie02no" w:date="2025-05-15T14:22:00Z"/>
          <w:sz w:val="22"/>
          <w:szCs w:val="22"/>
        </w:rPr>
      </w:pPr>
    </w:p>
    <w:p w14:paraId="2C7341FB" w14:textId="349DB9A4" w:rsidR="00DE3458" w:rsidRPr="009C5EFD" w:rsidRDefault="00E453CD" w:rsidP="00776A84">
      <w:pPr>
        <w:keepNext/>
        <w:rPr>
          <w:del w:id="16356" w:author="AbbVie02no" w:date="2025-05-15T14:22:00Z"/>
          <w:sz w:val="22"/>
          <w:szCs w:val="22"/>
        </w:rPr>
      </w:pPr>
      <w:del w:id="16357" w:author="AbbVie02no" w:date="2025-05-15T14:22:00Z">
        <w:r w:rsidRPr="009C5EFD">
          <w:rPr>
            <w:b/>
            <w:sz w:val="22"/>
            <w:szCs w:val="22"/>
          </w:rPr>
          <w:delText>I dette pakningsvedlegget finner du informasjon om</w:delText>
        </w:r>
      </w:del>
    </w:p>
    <w:p w14:paraId="5CB70BA1" w14:textId="4DB37B87" w:rsidR="00DE3458" w:rsidRPr="009C5EFD" w:rsidRDefault="00E453CD" w:rsidP="009C5EFD">
      <w:pPr>
        <w:ind w:left="567" w:right="-29" w:hanging="567"/>
        <w:rPr>
          <w:del w:id="16358" w:author="AbbVie02no" w:date="2025-05-15T14:22:00Z"/>
          <w:sz w:val="22"/>
          <w:szCs w:val="22"/>
        </w:rPr>
      </w:pPr>
      <w:del w:id="16359" w:author="AbbVie02no" w:date="2025-05-15T14:22:00Z">
        <w:r w:rsidRPr="009C5EFD">
          <w:rPr>
            <w:sz w:val="22"/>
            <w:szCs w:val="22"/>
          </w:rPr>
          <w:delText>1.</w:delText>
        </w:r>
        <w:r w:rsidRPr="009C5EFD">
          <w:rPr>
            <w:sz w:val="22"/>
            <w:szCs w:val="22"/>
          </w:rPr>
          <w:tab/>
          <w:delText>Hva Humira er og hva det brukes mot</w:delText>
        </w:r>
      </w:del>
    </w:p>
    <w:p w14:paraId="75460A55" w14:textId="264188DC" w:rsidR="00DE3458" w:rsidRPr="009C5EFD" w:rsidRDefault="00E453CD" w:rsidP="009C5EFD">
      <w:pPr>
        <w:ind w:left="567" w:right="-29" w:hanging="567"/>
        <w:rPr>
          <w:del w:id="16360" w:author="AbbVie02no" w:date="2025-05-15T14:22:00Z"/>
          <w:sz w:val="22"/>
          <w:szCs w:val="22"/>
        </w:rPr>
      </w:pPr>
      <w:del w:id="16361" w:author="AbbVie02no" w:date="2025-05-15T14:22:00Z">
        <w:r w:rsidRPr="009C5EFD">
          <w:rPr>
            <w:sz w:val="22"/>
            <w:szCs w:val="22"/>
          </w:rPr>
          <w:delText>2.</w:delText>
        </w:r>
        <w:r w:rsidRPr="009C5EFD">
          <w:rPr>
            <w:sz w:val="22"/>
            <w:szCs w:val="22"/>
          </w:rPr>
          <w:tab/>
          <w:delText xml:space="preserve">Hva du må </w:delText>
        </w:r>
        <w:r w:rsidR="002547FB" w:rsidRPr="009C5EFD">
          <w:rPr>
            <w:sz w:val="22"/>
            <w:szCs w:val="22"/>
          </w:rPr>
          <w:delText>vite</w:delText>
        </w:r>
        <w:r w:rsidRPr="009C5EFD">
          <w:rPr>
            <w:sz w:val="22"/>
            <w:szCs w:val="22"/>
          </w:rPr>
          <w:delText xml:space="preserve"> før du bruker Humira</w:delText>
        </w:r>
      </w:del>
    </w:p>
    <w:p w14:paraId="1B075FD5" w14:textId="26D9ABBE" w:rsidR="00DE3458" w:rsidRPr="009C5EFD" w:rsidRDefault="00E453CD" w:rsidP="009C5EFD">
      <w:pPr>
        <w:ind w:left="567" w:right="-29" w:hanging="567"/>
        <w:rPr>
          <w:del w:id="16362" w:author="AbbVie02no" w:date="2025-05-15T14:22:00Z"/>
          <w:sz w:val="22"/>
          <w:szCs w:val="22"/>
        </w:rPr>
      </w:pPr>
      <w:del w:id="16363" w:author="AbbVie02no" w:date="2025-05-15T14:22:00Z">
        <w:r w:rsidRPr="009C5EFD">
          <w:rPr>
            <w:sz w:val="22"/>
            <w:szCs w:val="22"/>
          </w:rPr>
          <w:delText>3.</w:delText>
        </w:r>
        <w:r w:rsidRPr="009C5EFD">
          <w:rPr>
            <w:sz w:val="22"/>
            <w:szCs w:val="22"/>
          </w:rPr>
          <w:tab/>
          <w:delText>Hvordan du bruker Humira</w:delText>
        </w:r>
      </w:del>
    </w:p>
    <w:p w14:paraId="04F43916" w14:textId="62F08F10" w:rsidR="00DE3458" w:rsidRPr="009C5EFD" w:rsidRDefault="00E453CD" w:rsidP="009C5EFD">
      <w:pPr>
        <w:ind w:left="567" w:right="-29" w:hanging="567"/>
        <w:rPr>
          <w:del w:id="16364" w:author="AbbVie02no" w:date="2025-05-15T14:22:00Z"/>
          <w:sz w:val="22"/>
          <w:szCs w:val="22"/>
        </w:rPr>
      </w:pPr>
      <w:del w:id="16365" w:author="AbbVie02no" w:date="2025-05-15T14:22:00Z">
        <w:r w:rsidRPr="009C5EFD">
          <w:rPr>
            <w:sz w:val="22"/>
            <w:szCs w:val="22"/>
          </w:rPr>
          <w:delText>4.</w:delText>
        </w:r>
        <w:r w:rsidRPr="009C5EFD">
          <w:rPr>
            <w:sz w:val="22"/>
            <w:szCs w:val="22"/>
          </w:rPr>
          <w:tab/>
          <w:delText>Mulige bivirkninger</w:delText>
        </w:r>
      </w:del>
    </w:p>
    <w:p w14:paraId="283EB824" w14:textId="2CA54088" w:rsidR="00DE3458" w:rsidRPr="009C5EFD" w:rsidRDefault="00E453CD" w:rsidP="009C5EFD">
      <w:pPr>
        <w:ind w:left="567" w:right="-29" w:hanging="567"/>
        <w:rPr>
          <w:del w:id="16366" w:author="AbbVie02no" w:date="2025-05-15T14:22:00Z"/>
          <w:sz w:val="22"/>
          <w:szCs w:val="22"/>
        </w:rPr>
      </w:pPr>
      <w:del w:id="16367" w:author="AbbVie02no" w:date="2025-05-15T14:22:00Z">
        <w:r w:rsidRPr="009C5EFD">
          <w:rPr>
            <w:sz w:val="22"/>
            <w:szCs w:val="22"/>
          </w:rPr>
          <w:delText>5.</w:delText>
        </w:r>
        <w:r w:rsidRPr="009C5EFD">
          <w:rPr>
            <w:sz w:val="22"/>
            <w:szCs w:val="22"/>
          </w:rPr>
          <w:tab/>
          <w:delText>Hvordan du oppbevarer Humira</w:delText>
        </w:r>
      </w:del>
    </w:p>
    <w:p w14:paraId="092B0AEF" w14:textId="6ECA2CB7" w:rsidR="00DE3458" w:rsidRPr="009C5EFD" w:rsidRDefault="00E453CD" w:rsidP="009C5EFD">
      <w:pPr>
        <w:ind w:left="567" w:right="-29" w:hanging="567"/>
        <w:rPr>
          <w:del w:id="16368" w:author="AbbVie02no" w:date="2025-05-15T14:22:00Z"/>
          <w:sz w:val="22"/>
          <w:szCs w:val="22"/>
        </w:rPr>
      </w:pPr>
      <w:del w:id="16369" w:author="AbbVie02no" w:date="2025-05-15T14:22:00Z">
        <w:r w:rsidRPr="009C5EFD">
          <w:rPr>
            <w:sz w:val="22"/>
            <w:szCs w:val="22"/>
          </w:rPr>
          <w:delText>6.</w:delText>
        </w:r>
        <w:r w:rsidRPr="009C5EFD">
          <w:rPr>
            <w:sz w:val="22"/>
            <w:szCs w:val="22"/>
          </w:rPr>
          <w:tab/>
        </w:r>
        <w:r w:rsidR="00BB24A8" w:rsidRPr="009C5EFD">
          <w:rPr>
            <w:sz w:val="22"/>
            <w:szCs w:val="22"/>
          </w:rPr>
          <w:delText xml:space="preserve">Innholdet i pakningen og </w:delText>
        </w:r>
        <w:r w:rsidR="002547FB" w:rsidRPr="009C5EFD">
          <w:rPr>
            <w:sz w:val="22"/>
            <w:szCs w:val="22"/>
          </w:rPr>
          <w:delText>y</w:delText>
        </w:r>
        <w:r w:rsidRPr="009C5EFD">
          <w:rPr>
            <w:sz w:val="22"/>
            <w:szCs w:val="22"/>
          </w:rPr>
          <w:delText>tterligere informasjon</w:delText>
        </w:r>
      </w:del>
    </w:p>
    <w:p w14:paraId="534F1BBC" w14:textId="5D225307" w:rsidR="00DE3458" w:rsidRPr="009C5EFD" w:rsidRDefault="00DE3458" w:rsidP="001F5D4B">
      <w:pPr>
        <w:ind w:right="-29"/>
        <w:rPr>
          <w:del w:id="16370" w:author="AbbVie02no" w:date="2025-05-15T14:22:00Z"/>
          <w:sz w:val="22"/>
          <w:szCs w:val="22"/>
        </w:rPr>
      </w:pPr>
    </w:p>
    <w:p w14:paraId="1CE7DBE2" w14:textId="08D818C6" w:rsidR="00DE3458" w:rsidRPr="009C5EFD" w:rsidRDefault="00DE3458" w:rsidP="007F67EE">
      <w:pPr>
        <w:suppressAutoHyphens/>
        <w:rPr>
          <w:del w:id="16371" w:author="AbbVie02no" w:date="2025-05-15T14:22:00Z"/>
          <w:sz w:val="22"/>
          <w:szCs w:val="22"/>
        </w:rPr>
      </w:pPr>
    </w:p>
    <w:p w14:paraId="05EB25C0" w14:textId="29454834" w:rsidR="00BB24A8" w:rsidRPr="009C5EFD" w:rsidRDefault="00E453CD" w:rsidP="00776A84">
      <w:pPr>
        <w:keepNext/>
        <w:suppressAutoHyphens/>
        <w:ind w:left="567" w:hanging="567"/>
        <w:rPr>
          <w:del w:id="16372" w:author="AbbVie02no" w:date="2025-05-15T14:22:00Z"/>
          <w:sz w:val="22"/>
          <w:szCs w:val="22"/>
        </w:rPr>
      </w:pPr>
      <w:del w:id="16373" w:author="AbbVie02no" w:date="2025-05-15T14:22:00Z">
        <w:r w:rsidRPr="009C5EFD">
          <w:rPr>
            <w:b/>
            <w:sz w:val="22"/>
            <w:szCs w:val="22"/>
          </w:rPr>
          <w:delText>1.</w:delText>
        </w:r>
        <w:r w:rsidRPr="009C5EFD">
          <w:rPr>
            <w:b/>
            <w:sz w:val="22"/>
            <w:szCs w:val="22"/>
          </w:rPr>
          <w:tab/>
          <w:delText>Hva Humira er og hva det brukes mot</w:delText>
        </w:r>
      </w:del>
    </w:p>
    <w:p w14:paraId="2913F684" w14:textId="61EFAD55" w:rsidR="00DE3458" w:rsidRPr="009C5EFD" w:rsidRDefault="00DE3458" w:rsidP="00776A84">
      <w:pPr>
        <w:keepNext/>
        <w:suppressAutoHyphens/>
        <w:ind w:left="567" w:hanging="567"/>
        <w:rPr>
          <w:del w:id="16374" w:author="AbbVie02no" w:date="2025-05-15T14:22:00Z"/>
          <w:sz w:val="22"/>
          <w:szCs w:val="22"/>
        </w:rPr>
      </w:pPr>
    </w:p>
    <w:p w14:paraId="7DE4EF87" w14:textId="341930C2" w:rsidR="00750CB0" w:rsidRDefault="00E453CD" w:rsidP="00C07C98">
      <w:pPr>
        <w:suppressAutoHyphens/>
        <w:rPr>
          <w:del w:id="16375" w:author="AbbVie02no" w:date="2025-05-15T14:22:00Z"/>
          <w:sz w:val="22"/>
          <w:szCs w:val="22"/>
        </w:rPr>
      </w:pPr>
      <w:del w:id="16376" w:author="AbbVie02no" w:date="2025-05-15T14:22:00Z">
        <w:r w:rsidRPr="009C5EFD">
          <w:rPr>
            <w:sz w:val="22"/>
            <w:szCs w:val="22"/>
          </w:rPr>
          <w:delText xml:space="preserve">Humira inneholder </w:delText>
        </w:r>
        <w:r w:rsidR="00626FDD" w:rsidRPr="009C5EFD">
          <w:rPr>
            <w:sz w:val="22"/>
            <w:szCs w:val="22"/>
          </w:rPr>
          <w:delText>virkestoffet</w:delText>
        </w:r>
        <w:r w:rsidRPr="009C5EFD">
          <w:rPr>
            <w:sz w:val="22"/>
            <w:szCs w:val="22"/>
          </w:rPr>
          <w:delText xml:space="preserve"> adalimumab. </w:delText>
        </w:r>
      </w:del>
    </w:p>
    <w:p w14:paraId="52C61C7B" w14:textId="45705054" w:rsidR="00750CB0" w:rsidRDefault="00750CB0" w:rsidP="00C07C98">
      <w:pPr>
        <w:suppressAutoHyphens/>
        <w:rPr>
          <w:del w:id="16377" w:author="AbbVie02no" w:date="2025-05-15T14:22:00Z"/>
          <w:sz w:val="22"/>
          <w:szCs w:val="22"/>
        </w:rPr>
      </w:pPr>
    </w:p>
    <w:p w14:paraId="153F8011" w14:textId="0AD3432C" w:rsidR="00750CB0" w:rsidRDefault="00E453CD" w:rsidP="00750CB0">
      <w:pPr>
        <w:suppressAutoHyphens/>
        <w:rPr>
          <w:del w:id="16378" w:author="AbbVie02no" w:date="2025-05-15T14:22:00Z"/>
          <w:sz w:val="22"/>
          <w:szCs w:val="22"/>
        </w:rPr>
      </w:pPr>
      <w:del w:id="16379" w:author="AbbVie02no" w:date="2025-05-15T14:22:00Z">
        <w:r w:rsidRPr="009C5EFD">
          <w:rPr>
            <w:sz w:val="22"/>
            <w:szCs w:val="22"/>
          </w:rPr>
          <w:delText xml:space="preserve">Humira brukes </w:delText>
        </w:r>
        <w:r w:rsidR="00CA31D4">
          <w:rPr>
            <w:sz w:val="22"/>
            <w:szCs w:val="22"/>
          </w:rPr>
          <w:delText>til</w:delText>
        </w:r>
        <w:r>
          <w:rPr>
            <w:sz w:val="22"/>
            <w:szCs w:val="22"/>
          </w:rPr>
          <w:delText xml:space="preserve"> å</w:delText>
        </w:r>
        <w:r w:rsidRPr="009C5EFD">
          <w:rPr>
            <w:sz w:val="22"/>
            <w:szCs w:val="22"/>
          </w:rPr>
          <w:delText xml:space="preserve"> behandl</w:delText>
        </w:r>
        <w:r>
          <w:rPr>
            <w:sz w:val="22"/>
            <w:szCs w:val="22"/>
          </w:rPr>
          <w:delText>e</w:delText>
        </w:r>
        <w:r w:rsidR="00A84CEA">
          <w:rPr>
            <w:sz w:val="22"/>
            <w:szCs w:val="22"/>
          </w:rPr>
          <w:delText xml:space="preserve"> </w:delText>
        </w:r>
        <w:r>
          <w:rPr>
            <w:sz w:val="22"/>
            <w:szCs w:val="22"/>
          </w:rPr>
          <w:delText>betennelsessykdommene beskrevet under:</w:delText>
        </w:r>
      </w:del>
    </w:p>
    <w:p w14:paraId="4020B670" w14:textId="2202A488" w:rsidR="00750CB0" w:rsidRPr="00F827E5" w:rsidRDefault="00E453CD" w:rsidP="00750CB0">
      <w:pPr>
        <w:keepLines/>
        <w:numPr>
          <w:ilvl w:val="0"/>
          <w:numId w:val="143"/>
        </w:numPr>
        <w:tabs>
          <w:tab w:val="left" w:pos="562"/>
        </w:tabs>
        <w:suppressAutoHyphens/>
        <w:ind w:left="284" w:right="-2" w:hanging="284"/>
        <w:rPr>
          <w:del w:id="16380" w:author="AbbVie02no" w:date="2025-05-15T14:22:00Z"/>
          <w:noProof/>
          <w:color w:val="000000"/>
          <w:sz w:val="22"/>
          <w:szCs w:val="22"/>
        </w:rPr>
      </w:pPr>
      <w:del w:id="16381" w:author="AbbVie02no" w:date="2025-05-15T14:22:00Z">
        <w:r w:rsidRPr="00F827E5">
          <w:rPr>
            <w:noProof/>
            <w:color w:val="000000"/>
            <w:sz w:val="22"/>
            <w:szCs w:val="22"/>
          </w:rPr>
          <w:delText>R</w:delText>
        </w:r>
        <w:r>
          <w:rPr>
            <w:noProof/>
            <w:color w:val="000000"/>
            <w:sz w:val="22"/>
            <w:szCs w:val="22"/>
          </w:rPr>
          <w:delText>evmatoid artritt</w:delText>
        </w:r>
      </w:del>
    </w:p>
    <w:p w14:paraId="4203AB3F" w14:textId="1E031393" w:rsidR="00750CB0" w:rsidRDefault="00E453CD" w:rsidP="00750CB0">
      <w:pPr>
        <w:keepLines/>
        <w:numPr>
          <w:ilvl w:val="0"/>
          <w:numId w:val="143"/>
        </w:numPr>
        <w:tabs>
          <w:tab w:val="left" w:pos="562"/>
        </w:tabs>
        <w:suppressAutoHyphens/>
        <w:ind w:left="284" w:right="-2" w:hanging="284"/>
        <w:rPr>
          <w:del w:id="16382" w:author="AbbVie02no" w:date="2025-05-15T14:22:00Z"/>
          <w:noProof/>
          <w:color w:val="000000"/>
          <w:sz w:val="22"/>
          <w:szCs w:val="22"/>
        </w:rPr>
      </w:pPr>
      <w:del w:id="16383" w:author="AbbVie02no" w:date="2025-05-15T14:22:00Z">
        <w:r w:rsidRPr="00F827E5">
          <w:rPr>
            <w:noProof/>
            <w:color w:val="000000"/>
            <w:sz w:val="22"/>
            <w:szCs w:val="22"/>
          </w:rPr>
          <w:delText>Polyarti</w:delText>
        </w:r>
        <w:r>
          <w:rPr>
            <w:noProof/>
            <w:color w:val="000000"/>
            <w:sz w:val="22"/>
            <w:szCs w:val="22"/>
          </w:rPr>
          <w:delText>kulær juvenil</w:delText>
        </w:r>
        <w:r w:rsidRPr="00F827E5">
          <w:rPr>
            <w:noProof/>
            <w:color w:val="000000"/>
            <w:sz w:val="22"/>
            <w:szCs w:val="22"/>
          </w:rPr>
          <w:delText xml:space="preserve"> idiopati</w:delText>
        </w:r>
        <w:r>
          <w:rPr>
            <w:noProof/>
            <w:color w:val="000000"/>
            <w:sz w:val="22"/>
            <w:szCs w:val="22"/>
          </w:rPr>
          <w:delText>sk</w:delText>
        </w:r>
        <w:r w:rsidRPr="00F827E5">
          <w:rPr>
            <w:noProof/>
            <w:color w:val="000000"/>
            <w:sz w:val="22"/>
            <w:szCs w:val="22"/>
          </w:rPr>
          <w:delText xml:space="preserve"> artrit</w:delText>
        </w:r>
        <w:r>
          <w:rPr>
            <w:noProof/>
            <w:color w:val="000000"/>
            <w:sz w:val="22"/>
            <w:szCs w:val="22"/>
          </w:rPr>
          <w:delText>t</w:delText>
        </w:r>
      </w:del>
    </w:p>
    <w:p w14:paraId="21CD7172" w14:textId="2306AD53" w:rsidR="00750CB0" w:rsidRDefault="00E453CD" w:rsidP="00750CB0">
      <w:pPr>
        <w:keepLines/>
        <w:numPr>
          <w:ilvl w:val="0"/>
          <w:numId w:val="143"/>
        </w:numPr>
        <w:tabs>
          <w:tab w:val="left" w:pos="562"/>
        </w:tabs>
        <w:suppressAutoHyphens/>
        <w:ind w:left="284" w:right="-2" w:hanging="284"/>
        <w:rPr>
          <w:del w:id="16384" w:author="AbbVie02no" w:date="2025-05-15T14:22:00Z"/>
          <w:noProof/>
          <w:color w:val="000000"/>
          <w:sz w:val="22"/>
          <w:szCs w:val="22"/>
        </w:rPr>
      </w:pPr>
      <w:del w:id="16385" w:author="AbbVie02no" w:date="2025-05-15T14:22:00Z">
        <w:r>
          <w:rPr>
            <w:noProof/>
            <w:color w:val="000000"/>
            <w:sz w:val="22"/>
            <w:szCs w:val="22"/>
          </w:rPr>
          <w:delText>Entesittrelatert artritt</w:delText>
        </w:r>
      </w:del>
    </w:p>
    <w:p w14:paraId="6185E8EB" w14:textId="4DE9C228" w:rsidR="00750CB0" w:rsidRDefault="00E453CD" w:rsidP="00750CB0">
      <w:pPr>
        <w:keepLines/>
        <w:numPr>
          <w:ilvl w:val="0"/>
          <w:numId w:val="143"/>
        </w:numPr>
        <w:tabs>
          <w:tab w:val="left" w:pos="562"/>
        </w:tabs>
        <w:suppressAutoHyphens/>
        <w:ind w:left="284" w:right="-2" w:hanging="284"/>
        <w:rPr>
          <w:del w:id="16386" w:author="AbbVie02no" w:date="2025-05-15T14:22:00Z"/>
          <w:noProof/>
          <w:color w:val="000000"/>
          <w:sz w:val="22"/>
          <w:szCs w:val="22"/>
        </w:rPr>
      </w:pPr>
      <w:del w:id="16387" w:author="AbbVie02no" w:date="2025-05-15T14:22:00Z">
        <w:r>
          <w:rPr>
            <w:noProof/>
            <w:color w:val="000000"/>
            <w:sz w:val="22"/>
            <w:szCs w:val="22"/>
          </w:rPr>
          <w:delText>Bekh</w:delText>
        </w:r>
        <w:r w:rsidR="00F31617">
          <w:rPr>
            <w:noProof/>
            <w:color w:val="000000"/>
            <w:sz w:val="22"/>
            <w:szCs w:val="22"/>
          </w:rPr>
          <w:delText>t</w:delText>
        </w:r>
        <w:r>
          <w:rPr>
            <w:noProof/>
            <w:color w:val="000000"/>
            <w:sz w:val="22"/>
            <w:szCs w:val="22"/>
          </w:rPr>
          <w:delText>erevs sykdom (ankyloserende spondylitt)</w:delText>
        </w:r>
      </w:del>
    </w:p>
    <w:p w14:paraId="69457CA6" w14:textId="0550EBC6" w:rsidR="00750CB0" w:rsidRDefault="00E453CD" w:rsidP="00750CB0">
      <w:pPr>
        <w:keepLines/>
        <w:numPr>
          <w:ilvl w:val="0"/>
          <w:numId w:val="143"/>
        </w:numPr>
        <w:tabs>
          <w:tab w:val="left" w:pos="562"/>
        </w:tabs>
        <w:suppressAutoHyphens/>
        <w:ind w:left="284" w:right="-2" w:hanging="284"/>
        <w:rPr>
          <w:del w:id="16388" w:author="AbbVie02no" w:date="2025-05-15T14:22:00Z"/>
          <w:noProof/>
          <w:color w:val="000000"/>
          <w:sz w:val="22"/>
          <w:szCs w:val="22"/>
        </w:rPr>
      </w:pPr>
      <w:del w:id="16389" w:author="AbbVie02no" w:date="2025-05-15T14:22:00Z">
        <w:r>
          <w:rPr>
            <w:noProof/>
            <w:color w:val="000000"/>
            <w:sz w:val="22"/>
            <w:szCs w:val="22"/>
          </w:rPr>
          <w:delText>Aksial spon</w:delText>
        </w:r>
        <w:r w:rsidR="00CA31D4">
          <w:rPr>
            <w:noProof/>
            <w:color w:val="000000"/>
            <w:sz w:val="22"/>
            <w:szCs w:val="22"/>
          </w:rPr>
          <w:delText>d</w:delText>
        </w:r>
        <w:r>
          <w:rPr>
            <w:noProof/>
            <w:color w:val="000000"/>
            <w:sz w:val="22"/>
            <w:szCs w:val="22"/>
          </w:rPr>
          <w:delText>ylartritt uten radiografisk bekreftelse på ankyloserende spondylitt</w:delText>
        </w:r>
      </w:del>
    </w:p>
    <w:p w14:paraId="29CBE11F" w14:textId="016BFB6D" w:rsidR="00750CB0" w:rsidRDefault="00E453CD" w:rsidP="00750CB0">
      <w:pPr>
        <w:keepLines/>
        <w:numPr>
          <w:ilvl w:val="0"/>
          <w:numId w:val="143"/>
        </w:numPr>
        <w:tabs>
          <w:tab w:val="left" w:pos="562"/>
        </w:tabs>
        <w:suppressAutoHyphens/>
        <w:ind w:left="284" w:right="-2" w:hanging="284"/>
        <w:rPr>
          <w:del w:id="16390" w:author="AbbVie02no" w:date="2025-05-15T14:22:00Z"/>
          <w:noProof/>
          <w:color w:val="000000"/>
          <w:sz w:val="22"/>
          <w:szCs w:val="22"/>
        </w:rPr>
      </w:pPr>
      <w:del w:id="16391" w:author="AbbVie02no" w:date="2025-05-15T14:22:00Z">
        <w:r>
          <w:rPr>
            <w:noProof/>
            <w:color w:val="000000"/>
            <w:sz w:val="22"/>
            <w:szCs w:val="22"/>
          </w:rPr>
          <w:delText>Psoriasisartritt</w:delText>
        </w:r>
      </w:del>
    </w:p>
    <w:p w14:paraId="0D881C8F" w14:textId="5CAD5DBB" w:rsidR="00750CB0" w:rsidRDefault="00E453CD" w:rsidP="00750CB0">
      <w:pPr>
        <w:keepLines/>
        <w:numPr>
          <w:ilvl w:val="0"/>
          <w:numId w:val="143"/>
        </w:numPr>
        <w:tabs>
          <w:tab w:val="left" w:pos="562"/>
        </w:tabs>
        <w:suppressAutoHyphens/>
        <w:ind w:left="284" w:right="-2" w:hanging="284"/>
        <w:rPr>
          <w:del w:id="16392" w:author="AbbVie02no" w:date="2025-05-15T14:22:00Z"/>
          <w:noProof/>
          <w:color w:val="000000"/>
          <w:sz w:val="22"/>
          <w:szCs w:val="22"/>
        </w:rPr>
      </w:pPr>
      <w:del w:id="16393" w:author="AbbVie02no" w:date="2025-05-15T14:22:00Z">
        <w:r>
          <w:rPr>
            <w:noProof/>
            <w:color w:val="000000"/>
            <w:sz w:val="22"/>
            <w:szCs w:val="22"/>
          </w:rPr>
          <w:delText>Psoriasis</w:delText>
        </w:r>
      </w:del>
    </w:p>
    <w:p w14:paraId="39BC5990" w14:textId="33C29D94" w:rsidR="00750CB0" w:rsidRDefault="00E453CD" w:rsidP="00750CB0">
      <w:pPr>
        <w:keepLines/>
        <w:numPr>
          <w:ilvl w:val="0"/>
          <w:numId w:val="143"/>
        </w:numPr>
        <w:tabs>
          <w:tab w:val="left" w:pos="562"/>
        </w:tabs>
        <w:suppressAutoHyphens/>
        <w:ind w:left="284" w:right="-2" w:hanging="284"/>
        <w:rPr>
          <w:del w:id="16394" w:author="AbbVie02no" w:date="2025-05-15T14:22:00Z"/>
          <w:noProof/>
          <w:color w:val="000000"/>
          <w:sz w:val="22"/>
          <w:szCs w:val="22"/>
        </w:rPr>
      </w:pPr>
      <w:del w:id="16395" w:author="AbbVie02no" w:date="2025-05-15T14:22:00Z">
        <w:r>
          <w:rPr>
            <w:noProof/>
            <w:color w:val="000000"/>
            <w:sz w:val="22"/>
            <w:szCs w:val="22"/>
          </w:rPr>
          <w:delText>Hidrosadenitt</w:delText>
        </w:r>
      </w:del>
    </w:p>
    <w:p w14:paraId="09C4CB53" w14:textId="1BCF5351" w:rsidR="00750CB0" w:rsidRDefault="00E453CD" w:rsidP="00750CB0">
      <w:pPr>
        <w:keepLines/>
        <w:numPr>
          <w:ilvl w:val="0"/>
          <w:numId w:val="143"/>
        </w:numPr>
        <w:tabs>
          <w:tab w:val="left" w:pos="562"/>
        </w:tabs>
        <w:suppressAutoHyphens/>
        <w:ind w:left="284" w:right="-2" w:hanging="284"/>
        <w:rPr>
          <w:del w:id="16396" w:author="AbbVie02no" w:date="2025-05-15T14:22:00Z"/>
          <w:noProof/>
          <w:color w:val="000000"/>
          <w:sz w:val="22"/>
          <w:szCs w:val="22"/>
        </w:rPr>
      </w:pPr>
      <w:del w:id="16397" w:author="AbbVie02no" w:date="2025-05-15T14:22:00Z">
        <w:r>
          <w:rPr>
            <w:noProof/>
            <w:color w:val="000000"/>
            <w:sz w:val="22"/>
            <w:szCs w:val="22"/>
          </w:rPr>
          <w:delText>Crohns sykdom</w:delText>
        </w:r>
      </w:del>
    </w:p>
    <w:p w14:paraId="5DB8D2BE" w14:textId="7986505E" w:rsidR="00750CB0" w:rsidRDefault="00E453CD" w:rsidP="00750CB0">
      <w:pPr>
        <w:keepLines/>
        <w:numPr>
          <w:ilvl w:val="0"/>
          <w:numId w:val="143"/>
        </w:numPr>
        <w:tabs>
          <w:tab w:val="left" w:pos="562"/>
        </w:tabs>
        <w:suppressAutoHyphens/>
        <w:ind w:left="284" w:right="-2" w:hanging="284"/>
        <w:rPr>
          <w:del w:id="16398" w:author="AbbVie02no" w:date="2025-05-15T14:22:00Z"/>
          <w:noProof/>
          <w:color w:val="000000"/>
          <w:sz w:val="22"/>
          <w:szCs w:val="22"/>
        </w:rPr>
      </w:pPr>
      <w:del w:id="16399" w:author="AbbVie02no" w:date="2025-05-15T14:22:00Z">
        <w:r>
          <w:rPr>
            <w:noProof/>
            <w:color w:val="000000"/>
            <w:sz w:val="22"/>
            <w:szCs w:val="22"/>
          </w:rPr>
          <w:delText>Ulcerøs kolitt</w:delText>
        </w:r>
      </w:del>
    </w:p>
    <w:p w14:paraId="1679A794" w14:textId="3A52F81E" w:rsidR="00750CB0" w:rsidRPr="00F827E5" w:rsidRDefault="00E453CD" w:rsidP="00750CB0">
      <w:pPr>
        <w:keepLines/>
        <w:numPr>
          <w:ilvl w:val="0"/>
          <w:numId w:val="143"/>
        </w:numPr>
        <w:tabs>
          <w:tab w:val="left" w:pos="562"/>
        </w:tabs>
        <w:suppressAutoHyphens/>
        <w:ind w:left="284" w:right="-2" w:hanging="284"/>
        <w:rPr>
          <w:del w:id="16400" w:author="AbbVie02no" w:date="2025-05-15T14:22:00Z"/>
          <w:noProof/>
          <w:color w:val="000000"/>
          <w:sz w:val="22"/>
          <w:szCs w:val="22"/>
        </w:rPr>
      </w:pPr>
      <w:del w:id="16401" w:author="AbbVie02no" w:date="2025-05-15T14:22:00Z">
        <w:r>
          <w:rPr>
            <w:noProof/>
            <w:color w:val="000000"/>
            <w:sz w:val="22"/>
            <w:szCs w:val="22"/>
          </w:rPr>
          <w:delText>Ikke-infeksiøs uveitt</w:delText>
        </w:r>
      </w:del>
    </w:p>
    <w:p w14:paraId="541EA976" w14:textId="1C0576CF" w:rsidR="00750CB0" w:rsidRDefault="00750CB0" w:rsidP="00750CB0">
      <w:pPr>
        <w:suppressAutoHyphens/>
        <w:rPr>
          <w:del w:id="16402" w:author="AbbVie02no" w:date="2025-05-15T14:22:00Z"/>
          <w:sz w:val="22"/>
          <w:szCs w:val="22"/>
        </w:rPr>
      </w:pPr>
    </w:p>
    <w:p w14:paraId="375805C2" w14:textId="5CF642F3" w:rsidR="00750CB0" w:rsidRDefault="00E453CD" w:rsidP="00750CB0">
      <w:pPr>
        <w:suppressAutoHyphens/>
        <w:rPr>
          <w:del w:id="16403" w:author="AbbVie02no" w:date="2025-05-15T14:22:00Z"/>
          <w:sz w:val="22"/>
          <w:szCs w:val="22"/>
        </w:rPr>
      </w:pPr>
      <w:del w:id="16404" w:author="AbbVie02no" w:date="2025-05-15T14:22:00Z">
        <w:r w:rsidRPr="009C5EFD">
          <w:rPr>
            <w:sz w:val="22"/>
            <w:szCs w:val="22"/>
          </w:rPr>
          <w:delText>Virkestoffet</w:delText>
        </w:r>
        <w:r>
          <w:rPr>
            <w:sz w:val="22"/>
            <w:szCs w:val="22"/>
          </w:rPr>
          <w:delText xml:space="preserve"> i Humira</w:delText>
        </w:r>
        <w:r w:rsidRPr="009C5EFD">
          <w:rPr>
            <w:sz w:val="22"/>
            <w:szCs w:val="22"/>
          </w:rPr>
          <w:delText xml:space="preserve">, adalimumab, er et humant monoklonalt antistoff. Monoklonale antistoffer er proteiner som </w:delText>
        </w:r>
        <w:r>
          <w:rPr>
            <w:sz w:val="22"/>
            <w:szCs w:val="22"/>
          </w:rPr>
          <w:delText>fester</w:delText>
        </w:r>
        <w:r w:rsidRPr="009C5EFD">
          <w:rPr>
            <w:sz w:val="22"/>
            <w:szCs w:val="22"/>
          </w:rPr>
          <w:delText xml:space="preserve"> seg til </w:delText>
        </w:r>
        <w:r>
          <w:rPr>
            <w:sz w:val="22"/>
            <w:szCs w:val="22"/>
          </w:rPr>
          <w:delText>et spesifikt mål</w:delText>
        </w:r>
        <w:r w:rsidRPr="009C5EFD">
          <w:rPr>
            <w:sz w:val="22"/>
            <w:szCs w:val="22"/>
          </w:rPr>
          <w:delText>.</w:delText>
        </w:r>
      </w:del>
    </w:p>
    <w:p w14:paraId="46E1C0E9" w14:textId="6E735B69" w:rsidR="00750CB0" w:rsidRDefault="00750CB0" w:rsidP="00750CB0">
      <w:pPr>
        <w:suppressAutoHyphens/>
        <w:rPr>
          <w:del w:id="16405" w:author="AbbVie02no" w:date="2025-05-15T14:22:00Z"/>
          <w:sz w:val="22"/>
          <w:szCs w:val="22"/>
        </w:rPr>
      </w:pPr>
    </w:p>
    <w:p w14:paraId="5DB297E3" w14:textId="1D9BFA21" w:rsidR="00DE3458" w:rsidRDefault="00E453CD" w:rsidP="00E14E58">
      <w:pPr>
        <w:suppressAutoHyphens/>
        <w:rPr>
          <w:del w:id="16406" w:author="AbbVie02no" w:date="2025-05-15T14:22:00Z"/>
          <w:sz w:val="22"/>
          <w:szCs w:val="22"/>
        </w:rPr>
      </w:pPr>
      <w:del w:id="16407" w:author="AbbVie02no" w:date="2025-05-15T14:22:00Z">
        <w:r>
          <w:rPr>
            <w:sz w:val="22"/>
            <w:szCs w:val="22"/>
          </w:rPr>
          <w:delText>Målet til a</w:delText>
        </w:r>
        <w:r w:rsidRPr="009C5EFD">
          <w:rPr>
            <w:sz w:val="22"/>
            <w:szCs w:val="22"/>
          </w:rPr>
          <w:delText xml:space="preserve">dalimumab </w:delText>
        </w:r>
        <w:r>
          <w:rPr>
            <w:sz w:val="22"/>
            <w:szCs w:val="22"/>
          </w:rPr>
          <w:delText>er</w:delText>
        </w:r>
        <w:r w:rsidRPr="009C5EFD">
          <w:rPr>
            <w:sz w:val="22"/>
            <w:szCs w:val="22"/>
          </w:rPr>
          <w:delText xml:space="preserve"> et protein </w:delText>
        </w:r>
        <w:r>
          <w:rPr>
            <w:sz w:val="22"/>
            <w:szCs w:val="22"/>
          </w:rPr>
          <w:delText xml:space="preserve">som kalles </w:delText>
        </w:r>
        <w:r w:rsidRPr="009C5EFD">
          <w:rPr>
            <w:sz w:val="22"/>
            <w:szCs w:val="22"/>
          </w:rPr>
          <w:delText xml:space="preserve">tumornekrosefaktor </w:delText>
        </w:r>
        <w:r>
          <w:rPr>
            <w:sz w:val="22"/>
            <w:szCs w:val="22"/>
          </w:rPr>
          <w:delText>(</w:delText>
        </w:r>
        <w:r w:rsidRPr="009C5EFD">
          <w:rPr>
            <w:sz w:val="22"/>
            <w:szCs w:val="22"/>
          </w:rPr>
          <w:delText>TNF</w:delText>
        </w:r>
        <w:r>
          <w:rPr>
            <w:sz w:val="22"/>
            <w:szCs w:val="22"/>
          </w:rPr>
          <w:delText>α</w:delText>
        </w:r>
        <w:r w:rsidRPr="009C5EFD">
          <w:rPr>
            <w:sz w:val="22"/>
            <w:szCs w:val="22"/>
          </w:rPr>
          <w:delText>), som</w:delText>
        </w:r>
        <w:r>
          <w:rPr>
            <w:sz w:val="22"/>
            <w:szCs w:val="22"/>
          </w:rPr>
          <w:delText xml:space="preserve"> er involvert i immunforsvaret. Ved betennelsessykdommene ovenfor foreligger det i økte nivåer. Ved å feste seg til TNFα, senker Humira betennelsesprosessen ved disse tilstandene.</w:delText>
        </w:r>
      </w:del>
    </w:p>
    <w:p w14:paraId="2779D93A" w14:textId="03D7930B" w:rsidR="00903EBB" w:rsidRPr="009C5EFD" w:rsidRDefault="00903EBB" w:rsidP="00E14E58">
      <w:pPr>
        <w:suppressAutoHyphens/>
        <w:rPr>
          <w:del w:id="16408" w:author="AbbVie02no" w:date="2025-05-15T14:22:00Z"/>
          <w:sz w:val="22"/>
          <w:szCs w:val="22"/>
        </w:rPr>
      </w:pPr>
    </w:p>
    <w:p w14:paraId="088F3FEB" w14:textId="67356C12" w:rsidR="00DE3458" w:rsidRPr="009C5EFD" w:rsidRDefault="00E453CD" w:rsidP="00776A84">
      <w:pPr>
        <w:pStyle w:val="Heading2"/>
        <w:suppressAutoHyphens/>
        <w:ind w:left="0"/>
        <w:rPr>
          <w:del w:id="16409" w:author="AbbVie02no" w:date="2025-05-15T14:22:00Z"/>
          <w:szCs w:val="22"/>
        </w:rPr>
      </w:pPr>
      <w:del w:id="16410" w:author="AbbVie02no" w:date="2025-05-15T14:22:00Z">
        <w:r w:rsidRPr="009C5EFD">
          <w:rPr>
            <w:szCs w:val="22"/>
          </w:rPr>
          <w:delText>Revmatoid artritt</w:delText>
        </w:r>
      </w:del>
    </w:p>
    <w:p w14:paraId="7A93D689" w14:textId="077FD38C" w:rsidR="00F54285" w:rsidRPr="009C5EFD" w:rsidRDefault="00F54285" w:rsidP="00776A84">
      <w:pPr>
        <w:pStyle w:val="EndnoteText"/>
        <w:keepNext/>
        <w:widowControl/>
        <w:tabs>
          <w:tab w:val="clear" w:pos="567"/>
        </w:tabs>
        <w:suppressAutoHyphens/>
        <w:rPr>
          <w:del w:id="16411" w:author="AbbVie02no" w:date="2025-05-15T14:22:00Z"/>
          <w:szCs w:val="22"/>
          <w:lang w:val="nb-NO"/>
        </w:rPr>
      </w:pPr>
    </w:p>
    <w:p w14:paraId="149A4081" w14:textId="269B06EA" w:rsidR="00DE3458" w:rsidRPr="009C5EFD" w:rsidRDefault="00E453CD" w:rsidP="009C5EFD">
      <w:pPr>
        <w:pStyle w:val="EndnoteText"/>
        <w:widowControl/>
        <w:tabs>
          <w:tab w:val="clear" w:pos="567"/>
        </w:tabs>
        <w:suppressAutoHyphens/>
        <w:rPr>
          <w:del w:id="16412" w:author="AbbVie02no" w:date="2025-05-15T14:22:00Z"/>
          <w:szCs w:val="22"/>
          <w:lang w:val="nb-NO"/>
        </w:rPr>
      </w:pPr>
      <w:del w:id="16413" w:author="AbbVie02no" w:date="2025-05-15T14:22:00Z">
        <w:r w:rsidRPr="009C5EFD">
          <w:rPr>
            <w:szCs w:val="22"/>
            <w:lang w:val="nb-NO"/>
          </w:rPr>
          <w:delText>Revmatoid artritt er en betennelsessykdom i leddene.</w:delText>
        </w:r>
      </w:del>
    </w:p>
    <w:p w14:paraId="7CA95CB7" w14:textId="246506B7" w:rsidR="00F54285" w:rsidRPr="009C5EFD" w:rsidRDefault="00F54285" w:rsidP="009C5EFD">
      <w:pPr>
        <w:suppressAutoHyphens/>
        <w:rPr>
          <w:del w:id="16414" w:author="AbbVie02no" w:date="2025-05-15T14:22:00Z"/>
          <w:sz w:val="22"/>
          <w:szCs w:val="22"/>
        </w:rPr>
      </w:pPr>
    </w:p>
    <w:p w14:paraId="0856E01B" w14:textId="11FE535C" w:rsidR="00DE3458" w:rsidRPr="009C5EFD" w:rsidRDefault="00E453CD" w:rsidP="009C5EFD">
      <w:pPr>
        <w:suppressAutoHyphens/>
        <w:rPr>
          <w:del w:id="16415" w:author="AbbVie02no" w:date="2025-05-15T14:22:00Z"/>
          <w:sz w:val="22"/>
          <w:szCs w:val="22"/>
        </w:rPr>
      </w:pPr>
      <w:del w:id="16416" w:author="AbbVie02no" w:date="2025-05-15T14:22:00Z">
        <w:r w:rsidRPr="009C5EFD">
          <w:rPr>
            <w:sz w:val="22"/>
            <w:szCs w:val="22"/>
          </w:rPr>
          <w:delText xml:space="preserve">Humira brukes </w:delText>
        </w:r>
        <w:r w:rsidR="00995DA3">
          <w:rPr>
            <w:sz w:val="22"/>
            <w:szCs w:val="22"/>
          </w:rPr>
          <w:delText>til</w:delText>
        </w:r>
        <w:r w:rsidRPr="009C5EFD">
          <w:rPr>
            <w:sz w:val="22"/>
            <w:szCs w:val="22"/>
          </w:rPr>
          <w:delText xml:space="preserve"> å behandle revmatoid artritt hos voksne. Hvis du har moderat til alvorlig aktiv revmatoid artritt, kan det hende du først får andre sykdomsmodifiserende </w:delText>
        </w:r>
        <w:r w:rsidR="00F82487">
          <w:rPr>
            <w:sz w:val="22"/>
            <w:szCs w:val="22"/>
          </w:rPr>
          <w:delText>legemidler</w:delText>
        </w:r>
        <w:r w:rsidRPr="009C5EFD">
          <w:rPr>
            <w:sz w:val="22"/>
            <w:szCs w:val="22"/>
          </w:rPr>
          <w:delText xml:space="preserve">, som metotreksat. </w:delText>
        </w:r>
        <w:r w:rsidRPr="009C5EFD">
          <w:rPr>
            <w:sz w:val="22"/>
            <w:szCs w:val="22"/>
          </w:rPr>
          <w:lastRenderedPageBreak/>
          <w:delText xml:space="preserve">Dersom du ikke reagerer godt nok på disse </w:delText>
        </w:r>
        <w:r w:rsidR="00F82487">
          <w:rPr>
            <w:sz w:val="22"/>
            <w:szCs w:val="22"/>
          </w:rPr>
          <w:delText>legemidlene</w:delText>
        </w:r>
        <w:r w:rsidRPr="009C5EFD">
          <w:rPr>
            <w:sz w:val="22"/>
            <w:szCs w:val="22"/>
          </w:rPr>
          <w:delText>, vil du få Humi</w:delText>
        </w:r>
        <w:r w:rsidR="00F25B55" w:rsidRPr="009C5EFD">
          <w:rPr>
            <w:sz w:val="22"/>
            <w:szCs w:val="22"/>
          </w:rPr>
          <w:delText>ra for å behandle din revmatoid</w:delText>
        </w:r>
        <w:r w:rsidRPr="009C5EFD">
          <w:rPr>
            <w:sz w:val="22"/>
            <w:szCs w:val="22"/>
          </w:rPr>
          <w:delText xml:space="preserve"> artritt. </w:delText>
        </w:r>
      </w:del>
    </w:p>
    <w:p w14:paraId="07E01699" w14:textId="64D0A26F" w:rsidR="00DE3458" w:rsidRPr="009C5EFD" w:rsidRDefault="00DE3458" w:rsidP="009C5EFD">
      <w:pPr>
        <w:suppressAutoHyphens/>
        <w:rPr>
          <w:del w:id="16417" w:author="AbbVie02no" w:date="2025-05-15T14:22:00Z"/>
          <w:sz w:val="22"/>
          <w:szCs w:val="22"/>
        </w:rPr>
      </w:pPr>
    </w:p>
    <w:p w14:paraId="3ACF9432" w14:textId="77230EDF" w:rsidR="00DE3458" w:rsidRPr="009C5EFD" w:rsidRDefault="00E453CD" w:rsidP="009C5EFD">
      <w:pPr>
        <w:suppressAutoHyphens/>
        <w:rPr>
          <w:del w:id="16418" w:author="AbbVie02no" w:date="2025-05-15T14:22:00Z"/>
          <w:sz w:val="22"/>
          <w:szCs w:val="22"/>
        </w:rPr>
      </w:pPr>
      <w:del w:id="16419" w:author="AbbVie02no" w:date="2025-05-15T14:22:00Z">
        <w:r w:rsidRPr="009C5EFD">
          <w:rPr>
            <w:sz w:val="22"/>
            <w:szCs w:val="22"/>
          </w:rPr>
          <w:delText xml:space="preserve">Humira kan også brukes </w:delText>
        </w:r>
        <w:r w:rsidR="00CA31D4">
          <w:rPr>
            <w:sz w:val="22"/>
            <w:szCs w:val="22"/>
          </w:rPr>
          <w:delText>til</w:delText>
        </w:r>
        <w:r w:rsidR="00CA31D4" w:rsidRPr="009C5EFD">
          <w:rPr>
            <w:sz w:val="22"/>
            <w:szCs w:val="22"/>
          </w:rPr>
          <w:delText xml:space="preserve"> </w:delText>
        </w:r>
        <w:r w:rsidRPr="009C5EFD">
          <w:rPr>
            <w:sz w:val="22"/>
            <w:szCs w:val="22"/>
          </w:rPr>
          <w:delText xml:space="preserve">å behandle alvorlig, aktiv og progredierende revmatoid artritt uten tidligere </w:delText>
        </w:r>
        <w:r w:rsidR="000F00C8" w:rsidRPr="009C5EFD">
          <w:rPr>
            <w:sz w:val="22"/>
            <w:szCs w:val="22"/>
          </w:rPr>
          <w:delText xml:space="preserve">behandling med </w:delText>
        </w:r>
        <w:r w:rsidRPr="009C5EFD">
          <w:rPr>
            <w:sz w:val="22"/>
            <w:szCs w:val="22"/>
          </w:rPr>
          <w:delText>metotreksat.</w:delText>
        </w:r>
      </w:del>
    </w:p>
    <w:p w14:paraId="487506E0" w14:textId="16FE86D6" w:rsidR="00DE3458" w:rsidRPr="009C5EFD" w:rsidRDefault="00DE3458" w:rsidP="009C5EFD">
      <w:pPr>
        <w:suppressAutoHyphens/>
        <w:rPr>
          <w:del w:id="16420" w:author="AbbVie02no" w:date="2025-05-15T14:22:00Z"/>
          <w:sz w:val="22"/>
          <w:szCs w:val="22"/>
        </w:rPr>
      </w:pPr>
    </w:p>
    <w:p w14:paraId="4C958881" w14:textId="12BD619A" w:rsidR="00DE3458" w:rsidRPr="009C5EFD" w:rsidRDefault="00E453CD" w:rsidP="009C5EFD">
      <w:pPr>
        <w:suppressAutoHyphens/>
        <w:rPr>
          <w:del w:id="16421" w:author="AbbVie02no" w:date="2025-05-15T14:22:00Z"/>
          <w:sz w:val="22"/>
          <w:szCs w:val="22"/>
        </w:rPr>
      </w:pPr>
      <w:del w:id="16422" w:author="AbbVie02no" w:date="2025-05-15T14:22:00Z">
        <w:r w:rsidRPr="009C5EFD">
          <w:rPr>
            <w:sz w:val="22"/>
            <w:szCs w:val="22"/>
          </w:rPr>
          <w:delText xml:space="preserve">Humira har vist seg å kunne bremse skadevirkninger av sykdommen på bindevev og ben i leddene og kan hjelpe til å forbedre din fysiske funksjon. </w:delText>
        </w:r>
      </w:del>
    </w:p>
    <w:p w14:paraId="1FA2A17F" w14:textId="06560CAB" w:rsidR="00DE3458" w:rsidRPr="009C5EFD" w:rsidRDefault="00DE3458" w:rsidP="009C5EFD">
      <w:pPr>
        <w:suppressAutoHyphens/>
        <w:rPr>
          <w:del w:id="16423" w:author="AbbVie02no" w:date="2025-05-15T14:22:00Z"/>
          <w:sz w:val="22"/>
          <w:szCs w:val="22"/>
        </w:rPr>
      </w:pPr>
    </w:p>
    <w:p w14:paraId="3D1A3671" w14:textId="24F1E976" w:rsidR="00DE3458" w:rsidRPr="009C5EFD" w:rsidRDefault="00E453CD" w:rsidP="009C5EFD">
      <w:pPr>
        <w:rPr>
          <w:del w:id="16424" w:author="AbbVie02no" w:date="2025-05-15T14:22:00Z"/>
          <w:sz w:val="22"/>
          <w:szCs w:val="22"/>
        </w:rPr>
      </w:pPr>
      <w:del w:id="16425" w:author="AbbVie02no" w:date="2025-05-15T14:22:00Z">
        <w:r w:rsidRPr="009C5EFD">
          <w:rPr>
            <w:sz w:val="22"/>
            <w:szCs w:val="22"/>
          </w:rPr>
          <w:delText>Vanligvis brukes Humira sammen med metotreksat. Hvis lege</w:delText>
        </w:r>
        <w:r w:rsidR="002858DC">
          <w:rPr>
            <w:sz w:val="22"/>
            <w:szCs w:val="22"/>
          </w:rPr>
          <w:delText>n din</w:delText>
        </w:r>
        <w:r w:rsidRPr="009C5EFD">
          <w:rPr>
            <w:sz w:val="22"/>
            <w:szCs w:val="22"/>
          </w:rPr>
          <w:delText xml:space="preserve"> vurderer at metotreksat ikke er egnet kan Humira gis alene.</w:delText>
        </w:r>
      </w:del>
    </w:p>
    <w:p w14:paraId="31A75475" w14:textId="6F961CB2" w:rsidR="00DE3458" w:rsidRPr="009C5EFD" w:rsidRDefault="00DE3458" w:rsidP="009C5EFD">
      <w:pPr>
        <w:rPr>
          <w:del w:id="16426" w:author="AbbVie02no" w:date="2025-05-15T14:22:00Z"/>
          <w:sz w:val="22"/>
          <w:szCs w:val="22"/>
        </w:rPr>
      </w:pPr>
    </w:p>
    <w:p w14:paraId="7B5FEA50" w14:textId="13584A0E" w:rsidR="00DE3458" w:rsidRPr="009C5EFD" w:rsidRDefault="00E453CD" w:rsidP="00776A84">
      <w:pPr>
        <w:keepNext/>
        <w:suppressAutoHyphens/>
        <w:rPr>
          <w:del w:id="16427" w:author="AbbVie02no" w:date="2025-05-15T14:22:00Z"/>
          <w:sz w:val="22"/>
          <w:szCs w:val="22"/>
          <w:u w:val="single"/>
        </w:rPr>
      </w:pPr>
      <w:del w:id="16428" w:author="AbbVie02no" w:date="2025-05-15T14:22:00Z">
        <w:r w:rsidRPr="009C5EFD">
          <w:rPr>
            <w:sz w:val="22"/>
            <w:szCs w:val="22"/>
            <w:u w:val="single"/>
          </w:rPr>
          <w:delText>Polyartikulær juvenil idiopatisk artritt</w:delText>
        </w:r>
        <w:r w:rsidR="00456110" w:rsidRPr="009C5EFD">
          <w:rPr>
            <w:sz w:val="22"/>
            <w:szCs w:val="22"/>
            <w:u w:val="single"/>
          </w:rPr>
          <w:delText xml:space="preserve"> og entesittrelatert artritt</w:delText>
        </w:r>
      </w:del>
    </w:p>
    <w:p w14:paraId="29ACE8CA" w14:textId="3D1DC378" w:rsidR="00F54285" w:rsidRPr="009C5EFD" w:rsidRDefault="00F54285" w:rsidP="009C5EFD">
      <w:pPr>
        <w:suppressAutoHyphens/>
        <w:rPr>
          <w:del w:id="16429" w:author="AbbVie02no" w:date="2025-05-15T14:22:00Z"/>
          <w:sz w:val="22"/>
          <w:szCs w:val="22"/>
        </w:rPr>
      </w:pPr>
    </w:p>
    <w:p w14:paraId="696B4C3F" w14:textId="4A167A49" w:rsidR="00DE3458" w:rsidRPr="009C5EFD" w:rsidRDefault="00E453CD" w:rsidP="009C5EFD">
      <w:pPr>
        <w:suppressAutoHyphens/>
        <w:rPr>
          <w:del w:id="16430" w:author="AbbVie02no" w:date="2025-05-15T14:22:00Z"/>
          <w:sz w:val="22"/>
          <w:szCs w:val="22"/>
        </w:rPr>
      </w:pPr>
      <w:del w:id="16431" w:author="AbbVie02no" w:date="2025-05-15T14:22:00Z">
        <w:r w:rsidRPr="009C5EFD">
          <w:rPr>
            <w:sz w:val="22"/>
            <w:szCs w:val="22"/>
          </w:rPr>
          <w:delText>Polyartikulær juvenil idiopatisk artritt og</w:delText>
        </w:r>
        <w:r w:rsidRPr="009C5EFD">
          <w:delText xml:space="preserve"> </w:delText>
        </w:r>
        <w:r w:rsidRPr="009C5EFD">
          <w:rPr>
            <w:sz w:val="22"/>
            <w:szCs w:val="22"/>
          </w:rPr>
          <w:delText>entesittrelatert artritt er betennelsessykdommer.</w:delText>
        </w:r>
      </w:del>
    </w:p>
    <w:p w14:paraId="5458F5EF" w14:textId="5B5E1B29" w:rsidR="00F54285" w:rsidRPr="009C5EFD" w:rsidRDefault="00F54285" w:rsidP="009C5EFD">
      <w:pPr>
        <w:rPr>
          <w:del w:id="16432" w:author="AbbVie02no" w:date="2025-05-15T14:22:00Z"/>
          <w:sz w:val="22"/>
          <w:szCs w:val="22"/>
        </w:rPr>
      </w:pPr>
    </w:p>
    <w:p w14:paraId="73DFC4FC" w14:textId="0F036E09" w:rsidR="00DE3458" w:rsidRPr="009C5EFD" w:rsidRDefault="00E453CD" w:rsidP="009C5EFD">
      <w:pPr>
        <w:rPr>
          <w:del w:id="16433" w:author="AbbVie02no" w:date="2025-05-15T14:22:00Z"/>
          <w:sz w:val="22"/>
          <w:szCs w:val="22"/>
        </w:rPr>
      </w:pPr>
      <w:del w:id="16434" w:author="AbbVie02no" w:date="2025-05-15T14:22:00Z">
        <w:r w:rsidRPr="009C5EFD">
          <w:rPr>
            <w:sz w:val="22"/>
            <w:szCs w:val="22"/>
          </w:rPr>
          <w:delText xml:space="preserve">Humira brukes </w:delText>
        </w:r>
        <w:r w:rsidR="006068F5">
          <w:rPr>
            <w:sz w:val="22"/>
            <w:szCs w:val="22"/>
          </w:rPr>
          <w:delText>til</w:delText>
        </w:r>
        <w:r w:rsidR="006068F5" w:rsidRPr="009C5EFD">
          <w:rPr>
            <w:sz w:val="22"/>
            <w:szCs w:val="22"/>
          </w:rPr>
          <w:delText xml:space="preserve"> </w:delText>
        </w:r>
        <w:r w:rsidRPr="009C5EFD">
          <w:rPr>
            <w:sz w:val="22"/>
            <w:szCs w:val="22"/>
          </w:rPr>
          <w:delText xml:space="preserve">å behandle polyartikulær juvenil idiopatisk artritt hos barn og ungdom </w:delText>
        </w:r>
        <w:r w:rsidR="004924BF">
          <w:rPr>
            <w:sz w:val="22"/>
            <w:szCs w:val="22"/>
          </w:rPr>
          <w:delText>fra</w:delText>
        </w:r>
        <w:r w:rsidRPr="009C5EFD">
          <w:rPr>
            <w:sz w:val="22"/>
            <w:szCs w:val="22"/>
          </w:rPr>
          <w:delText xml:space="preserve"> 2 til 17 år</w:delText>
        </w:r>
        <w:r w:rsidR="00456110" w:rsidRPr="009C5EFD">
          <w:rPr>
            <w:sz w:val="22"/>
            <w:szCs w:val="22"/>
          </w:rPr>
          <w:delText xml:space="preserve"> og entesittrelatert artritt hos barn og ungdom </w:delText>
        </w:r>
        <w:r w:rsidR="004924BF">
          <w:rPr>
            <w:sz w:val="22"/>
            <w:szCs w:val="22"/>
          </w:rPr>
          <w:delText>fra</w:delText>
        </w:r>
        <w:r w:rsidR="00456110" w:rsidRPr="009C5EFD">
          <w:rPr>
            <w:sz w:val="22"/>
            <w:szCs w:val="22"/>
          </w:rPr>
          <w:delText xml:space="preserve"> 6 til 17 år</w:delText>
        </w:r>
        <w:r w:rsidRPr="009C5EFD">
          <w:rPr>
            <w:sz w:val="22"/>
            <w:szCs w:val="22"/>
          </w:rPr>
          <w:delText xml:space="preserve">. Det kan hende du først får andre sykdomsmodifiserende </w:delText>
        </w:r>
        <w:r w:rsidR="00F82487">
          <w:rPr>
            <w:sz w:val="22"/>
            <w:szCs w:val="22"/>
          </w:rPr>
          <w:delText>legemidler</w:delText>
        </w:r>
        <w:r w:rsidRPr="009C5EFD">
          <w:rPr>
            <w:sz w:val="22"/>
            <w:szCs w:val="22"/>
          </w:rPr>
          <w:delText xml:space="preserve">, som metotreksat. Dersom du ikke reagerer godt nok på disse </w:delText>
        </w:r>
        <w:r w:rsidR="00F82487">
          <w:rPr>
            <w:sz w:val="22"/>
            <w:szCs w:val="22"/>
          </w:rPr>
          <w:delText>legemidlene</w:delText>
        </w:r>
        <w:r w:rsidRPr="009C5EFD">
          <w:rPr>
            <w:sz w:val="22"/>
            <w:szCs w:val="22"/>
          </w:rPr>
          <w:delText>, vil du få Humira for å behandle din polyartikulær juvenil idiopatisk artritt</w:delText>
        </w:r>
        <w:r w:rsidR="00456110" w:rsidRPr="009C5EFD">
          <w:rPr>
            <w:sz w:val="22"/>
            <w:szCs w:val="22"/>
          </w:rPr>
          <w:delText xml:space="preserve"> eller</w:delText>
        </w:r>
        <w:r w:rsidR="00456110" w:rsidRPr="009C5EFD">
          <w:delText xml:space="preserve"> </w:delText>
        </w:r>
        <w:r w:rsidR="00456110" w:rsidRPr="009C5EFD">
          <w:rPr>
            <w:sz w:val="22"/>
            <w:szCs w:val="22"/>
          </w:rPr>
          <w:delText>entesittrelatert artritt</w:delText>
        </w:r>
        <w:r w:rsidRPr="009C5EFD">
          <w:rPr>
            <w:sz w:val="22"/>
            <w:szCs w:val="22"/>
          </w:rPr>
          <w:delText>.</w:delText>
        </w:r>
      </w:del>
    </w:p>
    <w:p w14:paraId="6A94FEB7" w14:textId="11A10260" w:rsidR="00E92154" w:rsidRPr="009C5EFD" w:rsidRDefault="00E92154" w:rsidP="009C5EFD">
      <w:pPr>
        <w:rPr>
          <w:del w:id="16435" w:author="AbbVie02no" w:date="2025-05-15T14:22:00Z"/>
          <w:sz w:val="22"/>
          <w:szCs w:val="22"/>
          <w:u w:val="single"/>
        </w:rPr>
      </w:pPr>
    </w:p>
    <w:p w14:paraId="70FCA664" w14:textId="2C67A663" w:rsidR="00E92154" w:rsidRPr="009C5EFD" w:rsidRDefault="00E453CD" w:rsidP="009C5EFD">
      <w:pPr>
        <w:suppressAutoHyphens/>
        <w:rPr>
          <w:del w:id="16436" w:author="AbbVie02no" w:date="2025-05-15T14:22:00Z"/>
          <w:sz w:val="22"/>
          <w:szCs w:val="22"/>
          <w:u w:val="single"/>
        </w:rPr>
      </w:pPr>
      <w:del w:id="16437" w:author="AbbVie02no" w:date="2025-05-15T14:22:00Z">
        <w:r w:rsidRPr="009C5EFD">
          <w:rPr>
            <w:sz w:val="22"/>
            <w:szCs w:val="22"/>
            <w:u w:val="single"/>
          </w:rPr>
          <w:delText>Bekhterevs sykdom (ankyloserende spondylitt) og aksial spondylartritt uten radiografisk bekreftelse på ankyloserende spondylitt</w:delText>
        </w:r>
      </w:del>
    </w:p>
    <w:p w14:paraId="27884A75" w14:textId="1F66F052" w:rsidR="00F54285" w:rsidRPr="009C5EFD" w:rsidRDefault="00F54285" w:rsidP="009C5EFD">
      <w:pPr>
        <w:suppressAutoHyphens/>
        <w:rPr>
          <w:del w:id="16438" w:author="AbbVie02no" w:date="2025-05-15T14:22:00Z"/>
          <w:sz w:val="22"/>
          <w:szCs w:val="22"/>
        </w:rPr>
      </w:pPr>
    </w:p>
    <w:p w14:paraId="329D355C" w14:textId="709ABC1F" w:rsidR="00E92154" w:rsidRPr="009C5EFD" w:rsidRDefault="00E453CD" w:rsidP="009C5EFD">
      <w:pPr>
        <w:suppressAutoHyphens/>
        <w:rPr>
          <w:del w:id="16439" w:author="AbbVie02no" w:date="2025-05-15T14:22:00Z"/>
          <w:sz w:val="22"/>
          <w:szCs w:val="22"/>
        </w:rPr>
      </w:pPr>
      <w:del w:id="16440" w:author="AbbVie02no" w:date="2025-05-15T14:22:00Z">
        <w:r w:rsidRPr="009C5EFD">
          <w:rPr>
            <w:sz w:val="22"/>
            <w:szCs w:val="22"/>
          </w:rPr>
          <w:delText>Bekhterevs sykdom (ankyloserende spondylitt) og aksial spondylartritt uten radiografisk bekreftelse på ankyloserende spondylitt er betennelsessykdommer i ryggsøylen.</w:delText>
        </w:r>
      </w:del>
    </w:p>
    <w:p w14:paraId="5414CF81" w14:textId="7B2FF774" w:rsidR="00F54285" w:rsidRPr="009C5EFD" w:rsidRDefault="00F54285" w:rsidP="009C5EFD">
      <w:pPr>
        <w:rPr>
          <w:del w:id="16441" w:author="AbbVie02no" w:date="2025-05-15T14:22:00Z"/>
          <w:sz w:val="22"/>
          <w:szCs w:val="22"/>
        </w:rPr>
      </w:pPr>
    </w:p>
    <w:p w14:paraId="3D6973D6" w14:textId="61DF8813" w:rsidR="00D6775E" w:rsidRPr="00856A68" w:rsidRDefault="00E453CD" w:rsidP="009C5EFD">
      <w:pPr>
        <w:rPr>
          <w:del w:id="16442" w:author="AbbVie02no" w:date="2025-05-15T14:22:00Z"/>
          <w:sz w:val="22"/>
          <w:szCs w:val="22"/>
        </w:rPr>
      </w:pPr>
      <w:del w:id="16443" w:author="AbbVie02no" w:date="2025-05-15T14:22:00Z">
        <w:r w:rsidRPr="00856A68">
          <w:rPr>
            <w:sz w:val="22"/>
            <w:szCs w:val="22"/>
          </w:rPr>
          <w:delText xml:space="preserve">Humira brukes </w:delText>
        </w:r>
        <w:r w:rsidR="006068F5">
          <w:rPr>
            <w:sz w:val="22"/>
            <w:szCs w:val="22"/>
          </w:rPr>
          <w:delText>til</w:delText>
        </w:r>
        <w:r w:rsidR="006068F5" w:rsidRPr="00856A68">
          <w:rPr>
            <w:sz w:val="22"/>
            <w:szCs w:val="22"/>
          </w:rPr>
          <w:delText xml:space="preserve"> </w:delText>
        </w:r>
        <w:r w:rsidRPr="00856A68">
          <w:rPr>
            <w:sz w:val="22"/>
            <w:szCs w:val="22"/>
          </w:rPr>
          <w:delText xml:space="preserve">å behandle Bekhterevs sykdom (ankyloserende spondylitt) og aksial spondylartritt uten radiografisk bekreftelse på ankyloserende spondylitt hos voksne. </w:delText>
        </w:r>
        <w:r w:rsidR="00E92154" w:rsidRPr="00856A68">
          <w:rPr>
            <w:sz w:val="22"/>
            <w:szCs w:val="22"/>
          </w:rPr>
          <w:delText xml:space="preserve">Hvis du har Bekhterevs sykdom eller aksial spondylartritt uten radiografisk bekreftelse på ankyloserende spondylitt, vil du først få andre legemidler. Dersom du ikke reagerer godt nok på disse legemidlene, vil du få Humira for å redusere sykdomstegn og symptomer på </w:delText>
        </w:r>
        <w:r w:rsidR="002858DC" w:rsidRPr="00856A68">
          <w:rPr>
            <w:sz w:val="22"/>
            <w:szCs w:val="22"/>
          </w:rPr>
          <w:delText>sykdommen din</w:delText>
        </w:r>
        <w:r w:rsidR="00E92154" w:rsidRPr="00856A68">
          <w:rPr>
            <w:sz w:val="22"/>
            <w:szCs w:val="22"/>
          </w:rPr>
          <w:delText>.</w:delText>
        </w:r>
      </w:del>
    </w:p>
    <w:p w14:paraId="118DA8C5" w14:textId="57741CB0" w:rsidR="00D6775E" w:rsidRPr="009C5EFD" w:rsidRDefault="00D6775E" w:rsidP="009C5EFD">
      <w:pPr>
        <w:rPr>
          <w:del w:id="16444" w:author="AbbVie02no" w:date="2025-05-15T14:22:00Z"/>
          <w:sz w:val="22"/>
          <w:szCs w:val="22"/>
        </w:rPr>
      </w:pPr>
    </w:p>
    <w:p w14:paraId="029040BF" w14:textId="14A49337" w:rsidR="00D6775E" w:rsidRPr="009C5EFD" w:rsidRDefault="00E453CD" w:rsidP="00776A84">
      <w:pPr>
        <w:pStyle w:val="Heading8"/>
        <w:rPr>
          <w:del w:id="16445" w:author="AbbVie02no" w:date="2025-05-15T14:22:00Z"/>
          <w:szCs w:val="22"/>
        </w:rPr>
      </w:pPr>
      <w:del w:id="16446" w:author="AbbVie02no" w:date="2025-05-15T14:22:00Z">
        <w:r w:rsidRPr="009C5EFD">
          <w:rPr>
            <w:szCs w:val="22"/>
          </w:rPr>
          <w:delText>Psoriasisartritt</w:delText>
        </w:r>
      </w:del>
    </w:p>
    <w:p w14:paraId="7310952F" w14:textId="08B05696" w:rsidR="00F54285" w:rsidRPr="009C5EFD" w:rsidRDefault="00F54285" w:rsidP="00776A84">
      <w:pPr>
        <w:keepNext/>
        <w:rPr>
          <w:del w:id="16447" w:author="AbbVie02no" w:date="2025-05-15T14:22:00Z"/>
          <w:sz w:val="22"/>
          <w:szCs w:val="22"/>
        </w:rPr>
      </w:pPr>
    </w:p>
    <w:p w14:paraId="5E3815F3" w14:textId="5D030A78" w:rsidR="00D6775E" w:rsidRPr="009C5EFD" w:rsidRDefault="00E453CD" w:rsidP="009C5EFD">
      <w:pPr>
        <w:rPr>
          <w:del w:id="16448" w:author="AbbVie02no" w:date="2025-05-15T14:22:00Z"/>
          <w:sz w:val="22"/>
          <w:szCs w:val="22"/>
        </w:rPr>
      </w:pPr>
      <w:del w:id="16449" w:author="AbbVie02no" w:date="2025-05-15T14:22:00Z">
        <w:r w:rsidRPr="009C5EFD">
          <w:rPr>
            <w:sz w:val="22"/>
            <w:szCs w:val="22"/>
          </w:rPr>
          <w:delText>Psoriasisartritt er en betennelsessykdom i leddene assosiert med psoriasis.</w:delText>
        </w:r>
      </w:del>
    </w:p>
    <w:p w14:paraId="28AEEF02" w14:textId="58B588D1" w:rsidR="00F54285" w:rsidRPr="009C5EFD" w:rsidRDefault="00F54285" w:rsidP="009C5EFD">
      <w:pPr>
        <w:rPr>
          <w:del w:id="16450" w:author="AbbVie02no" w:date="2025-05-15T14:22:00Z"/>
          <w:sz w:val="22"/>
          <w:szCs w:val="22"/>
        </w:rPr>
      </w:pPr>
    </w:p>
    <w:p w14:paraId="5A13F07F" w14:textId="3A2FAD23" w:rsidR="00D6775E" w:rsidRPr="009C5EFD" w:rsidRDefault="00E453CD" w:rsidP="009C5EFD">
      <w:pPr>
        <w:rPr>
          <w:del w:id="16451" w:author="AbbVie02no" w:date="2025-05-15T14:22:00Z"/>
          <w:sz w:val="22"/>
          <w:szCs w:val="22"/>
        </w:rPr>
      </w:pPr>
      <w:del w:id="16452" w:author="AbbVie02no" w:date="2025-05-15T14:22:00Z">
        <w:r w:rsidRPr="009C5EFD">
          <w:rPr>
            <w:sz w:val="22"/>
            <w:szCs w:val="22"/>
          </w:rPr>
          <w:delText xml:space="preserve">Humira brukes </w:delText>
        </w:r>
        <w:r w:rsidR="006068F5">
          <w:rPr>
            <w:sz w:val="22"/>
            <w:szCs w:val="22"/>
          </w:rPr>
          <w:delText>til</w:delText>
        </w:r>
        <w:r w:rsidR="006068F5" w:rsidRPr="009C5EFD">
          <w:rPr>
            <w:sz w:val="22"/>
            <w:szCs w:val="22"/>
          </w:rPr>
          <w:delText xml:space="preserve"> </w:delText>
        </w:r>
        <w:r w:rsidRPr="009C5EFD">
          <w:rPr>
            <w:sz w:val="22"/>
            <w:szCs w:val="22"/>
          </w:rPr>
          <w:delText>å behandle psoriasisartritt hos voksne. Humira har vist seg å minske skade på brusk og ben i leddene som er forårsaket av sykdommen og å forbedre fysisk funksjon.</w:delText>
        </w:r>
      </w:del>
    </w:p>
    <w:p w14:paraId="49FE30FF" w14:textId="5211E5CA" w:rsidR="00D6775E" w:rsidRPr="009C5EFD" w:rsidRDefault="00D6775E" w:rsidP="009C5EFD">
      <w:pPr>
        <w:rPr>
          <w:del w:id="16453" w:author="AbbVie02no" w:date="2025-05-15T14:22:00Z"/>
          <w:sz w:val="22"/>
          <w:szCs w:val="22"/>
        </w:rPr>
      </w:pPr>
    </w:p>
    <w:p w14:paraId="37AA7FF4" w14:textId="5B29D527" w:rsidR="00D6775E" w:rsidRPr="009C5EFD" w:rsidRDefault="00E453CD" w:rsidP="00776A84">
      <w:pPr>
        <w:pStyle w:val="Heading8"/>
        <w:rPr>
          <w:del w:id="16454" w:author="AbbVie02no" w:date="2025-05-15T14:22:00Z"/>
          <w:szCs w:val="22"/>
        </w:rPr>
      </w:pPr>
      <w:del w:id="16455" w:author="AbbVie02no" w:date="2025-05-15T14:22:00Z">
        <w:r w:rsidRPr="009C5EFD">
          <w:rPr>
            <w:szCs w:val="22"/>
          </w:rPr>
          <w:delText>P</w:delText>
        </w:r>
        <w:r w:rsidR="00F54285" w:rsidRPr="009C5EFD">
          <w:rPr>
            <w:szCs w:val="22"/>
          </w:rPr>
          <w:delText>lakkp</w:delText>
        </w:r>
        <w:r w:rsidRPr="009C5EFD">
          <w:rPr>
            <w:szCs w:val="22"/>
          </w:rPr>
          <w:delText xml:space="preserve">soriasis </w:delText>
        </w:r>
        <w:r w:rsidR="00F54285" w:rsidRPr="009C5EFD">
          <w:rPr>
            <w:szCs w:val="22"/>
          </w:rPr>
          <w:delText>hos voksne og barn</w:delText>
        </w:r>
      </w:del>
    </w:p>
    <w:p w14:paraId="22FB7AE6" w14:textId="6EE326DC" w:rsidR="00D6775E" w:rsidRPr="009C5EFD" w:rsidRDefault="00D6775E" w:rsidP="00776A84">
      <w:pPr>
        <w:keepNext/>
        <w:rPr>
          <w:del w:id="16456" w:author="AbbVie02no" w:date="2025-05-15T14:22:00Z"/>
          <w:b/>
          <w:sz w:val="22"/>
          <w:szCs w:val="22"/>
        </w:rPr>
      </w:pPr>
    </w:p>
    <w:p w14:paraId="24A6996E" w14:textId="46850515" w:rsidR="00F54285" w:rsidRPr="009C5EFD" w:rsidRDefault="00E453CD" w:rsidP="009C5EFD">
      <w:pPr>
        <w:suppressAutoHyphens/>
        <w:rPr>
          <w:del w:id="16457" w:author="AbbVie02no" w:date="2025-05-15T14:22:00Z"/>
          <w:sz w:val="22"/>
          <w:szCs w:val="22"/>
        </w:rPr>
      </w:pPr>
      <w:del w:id="16458" w:author="AbbVie02no" w:date="2025-05-15T14:22:00Z">
        <w:r w:rsidRPr="009C5EFD">
          <w:rPr>
            <w:sz w:val="22"/>
            <w:szCs w:val="22"/>
          </w:rPr>
          <w:delText>Plakkpsoriasis er en hudsykdom som forårsaker røde, flassende, tørre flekker på huden dekket med sølvfarget</w:delText>
        </w:r>
        <w:r w:rsidR="00810B52" w:rsidRPr="009C5EFD">
          <w:rPr>
            <w:sz w:val="22"/>
            <w:szCs w:val="22"/>
          </w:rPr>
          <w:delText>,</w:delText>
        </w:r>
        <w:r w:rsidRPr="009C5EFD">
          <w:rPr>
            <w:sz w:val="22"/>
            <w:szCs w:val="22"/>
          </w:rPr>
          <w:delText xml:space="preserve"> skjellaktig hud. </w:delText>
        </w:r>
        <w:r w:rsidR="0012694E">
          <w:rPr>
            <w:sz w:val="22"/>
            <w:szCs w:val="22"/>
          </w:rPr>
          <w:delText>Plakkpsoriasis kan også påvirke neglene, føre til smuldring, fortykkelse og løsning fra neglesengen som kan være smertefullt.</w:delText>
        </w:r>
        <w:r w:rsidR="0012694E" w:rsidRPr="009C5EFD">
          <w:rPr>
            <w:sz w:val="22"/>
            <w:szCs w:val="22"/>
          </w:rPr>
          <w:delText xml:space="preserve"> </w:delText>
        </w:r>
        <w:r w:rsidRPr="009C5EFD">
          <w:rPr>
            <w:sz w:val="22"/>
            <w:szCs w:val="22"/>
          </w:rPr>
          <w:delText>Psoriasis antas å være forårsaket av problemer med kroppens immunsystem</w:delText>
        </w:r>
        <w:r w:rsidR="00810B52" w:rsidRPr="009C5EFD">
          <w:rPr>
            <w:sz w:val="22"/>
            <w:szCs w:val="22"/>
          </w:rPr>
          <w:delText>,</w:delText>
        </w:r>
        <w:r w:rsidRPr="009C5EFD">
          <w:rPr>
            <w:sz w:val="22"/>
            <w:szCs w:val="22"/>
          </w:rPr>
          <w:delText xml:space="preserve"> som fører til økt produksjon av hudceller.</w:delText>
        </w:r>
      </w:del>
    </w:p>
    <w:p w14:paraId="2658DC91" w14:textId="7820D230" w:rsidR="00F54285" w:rsidRPr="009C5EFD" w:rsidRDefault="00F54285" w:rsidP="009C5EFD">
      <w:pPr>
        <w:rPr>
          <w:del w:id="16459" w:author="AbbVie02no" w:date="2025-05-15T14:22:00Z"/>
          <w:b/>
          <w:sz w:val="22"/>
          <w:szCs w:val="22"/>
        </w:rPr>
      </w:pPr>
    </w:p>
    <w:p w14:paraId="3A1264B8" w14:textId="30331BD9" w:rsidR="00F54285" w:rsidRPr="009C5EFD" w:rsidRDefault="00E453CD" w:rsidP="009C5EFD">
      <w:pPr>
        <w:suppressAutoHyphens/>
        <w:rPr>
          <w:del w:id="16460" w:author="AbbVie02no" w:date="2025-05-15T14:22:00Z"/>
          <w:sz w:val="22"/>
          <w:szCs w:val="22"/>
        </w:rPr>
      </w:pPr>
      <w:del w:id="16461" w:author="AbbVie02no" w:date="2025-05-15T14:22:00Z">
        <w:r w:rsidRPr="00EE4677">
          <w:rPr>
            <w:sz w:val="22"/>
            <w:szCs w:val="22"/>
          </w:rPr>
          <w:delText xml:space="preserve">Humira brukes </w:delText>
        </w:r>
        <w:r w:rsidR="00CD1ADE">
          <w:rPr>
            <w:sz w:val="22"/>
            <w:szCs w:val="22"/>
          </w:rPr>
          <w:delText>til</w:delText>
        </w:r>
        <w:r w:rsidRPr="00EE4677">
          <w:rPr>
            <w:sz w:val="22"/>
            <w:szCs w:val="22"/>
          </w:rPr>
          <w:delText xml:space="preserve"> behandl</w:delText>
        </w:r>
        <w:r w:rsidR="00CD1ADE">
          <w:rPr>
            <w:sz w:val="22"/>
            <w:szCs w:val="22"/>
          </w:rPr>
          <w:delText>ing av</w:delText>
        </w:r>
        <w:r w:rsidRPr="00EE4677">
          <w:rPr>
            <w:sz w:val="22"/>
            <w:szCs w:val="22"/>
          </w:rPr>
          <w:delText xml:space="preserve"> moderat til alvorlig plakkpsoriasis hos voksne.</w:delText>
        </w:r>
        <w:r w:rsidRPr="009C5EFD">
          <w:rPr>
            <w:szCs w:val="22"/>
          </w:rPr>
          <w:delText xml:space="preserve"> </w:delText>
        </w:r>
        <w:r w:rsidR="000B2F79" w:rsidRPr="009C5EFD">
          <w:rPr>
            <w:sz w:val="22"/>
            <w:szCs w:val="22"/>
          </w:rPr>
          <w:delText xml:space="preserve">Humira brukes til behandling av alvorlig plakkpsoriasis hos barn og ungdom </w:delText>
        </w:r>
        <w:r w:rsidR="004924BF">
          <w:rPr>
            <w:sz w:val="22"/>
            <w:szCs w:val="22"/>
          </w:rPr>
          <w:delText>fra</w:delText>
        </w:r>
        <w:r w:rsidR="000B2F79" w:rsidRPr="009C5EFD">
          <w:rPr>
            <w:sz w:val="22"/>
            <w:szCs w:val="22"/>
          </w:rPr>
          <w:delText xml:space="preserve"> 4 til 17 år, hvor topikal </w:delText>
        </w:r>
        <w:r w:rsidR="006068F5">
          <w:rPr>
            <w:sz w:val="22"/>
            <w:szCs w:val="22"/>
          </w:rPr>
          <w:delText xml:space="preserve">(lokal) </w:delText>
        </w:r>
        <w:r w:rsidR="000B2F79" w:rsidRPr="009C5EFD">
          <w:rPr>
            <w:sz w:val="22"/>
            <w:szCs w:val="22"/>
          </w:rPr>
          <w:delText xml:space="preserve">behandling og </w:delText>
        </w:r>
        <w:r w:rsidR="000B2F79">
          <w:rPr>
            <w:sz w:val="22"/>
            <w:szCs w:val="22"/>
          </w:rPr>
          <w:delText>lys</w:delText>
        </w:r>
        <w:r w:rsidR="000B2F79" w:rsidRPr="009C5EFD">
          <w:rPr>
            <w:sz w:val="22"/>
            <w:szCs w:val="22"/>
          </w:rPr>
          <w:delText>behandling ikke har virket godt nok eller ikke er egnet.</w:delText>
        </w:r>
      </w:del>
    </w:p>
    <w:p w14:paraId="6EAEA99A" w14:textId="33C02CEC" w:rsidR="00DD2E86" w:rsidRPr="009C5EFD" w:rsidRDefault="00DD2E86" w:rsidP="009C5EFD">
      <w:pPr>
        <w:suppressAutoHyphens/>
        <w:rPr>
          <w:del w:id="16462" w:author="AbbVie02no" w:date="2025-05-15T14:22:00Z"/>
          <w:sz w:val="22"/>
          <w:szCs w:val="22"/>
        </w:rPr>
      </w:pPr>
    </w:p>
    <w:p w14:paraId="3DAD7314" w14:textId="10655E03" w:rsidR="00DD2E86" w:rsidRPr="009C5EFD" w:rsidRDefault="00E453CD" w:rsidP="00776A84">
      <w:pPr>
        <w:keepNext/>
        <w:autoSpaceDE w:val="0"/>
        <w:autoSpaceDN w:val="0"/>
        <w:adjustRightInd w:val="0"/>
        <w:rPr>
          <w:del w:id="16463" w:author="AbbVie02no" w:date="2025-05-15T14:22:00Z"/>
          <w:rFonts w:eastAsia="TimesNewRoman"/>
          <w:sz w:val="22"/>
          <w:szCs w:val="22"/>
          <w:u w:val="single"/>
        </w:rPr>
      </w:pPr>
      <w:del w:id="16464" w:author="AbbVie02no" w:date="2025-05-15T14:22:00Z">
        <w:r w:rsidRPr="009C5EFD">
          <w:rPr>
            <w:rFonts w:eastAsia="TimesNewRoman"/>
            <w:sz w:val="22"/>
            <w:szCs w:val="22"/>
            <w:u w:val="single"/>
          </w:rPr>
          <w:delText>Hidrosadenitt</w:delText>
        </w:r>
        <w:r>
          <w:rPr>
            <w:rFonts w:eastAsia="TimesNewRoman"/>
            <w:sz w:val="22"/>
            <w:szCs w:val="22"/>
            <w:u w:val="single"/>
          </w:rPr>
          <w:delText xml:space="preserve"> hos voksne og ungdom</w:delText>
        </w:r>
      </w:del>
    </w:p>
    <w:p w14:paraId="4224A31A" w14:textId="1BD44261" w:rsidR="00DD2E86" w:rsidRPr="009C5EFD" w:rsidRDefault="00DD2E86" w:rsidP="00776A84">
      <w:pPr>
        <w:keepNext/>
        <w:autoSpaceDE w:val="0"/>
        <w:autoSpaceDN w:val="0"/>
        <w:adjustRightInd w:val="0"/>
        <w:rPr>
          <w:del w:id="16465" w:author="AbbVie02no" w:date="2025-05-15T14:22:00Z"/>
          <w:rFonts w:eastAsia="TimesNewRoman"/>
          <w:sz w:val="22"/>
          <w:szCs w:val="22"/>
          <w:u w:val="single"/>
        </w:rPr>
      </w:pPr>
    </w:p>
    <w:p w14:paraId="1291F84F" w14:textId="28221829" w:rsidR="00DD2E86" w:rsidRPr="009C5EFD" w:rsidRDefault="00E453CD" w:rsidP="009C5EFD">
      <w:pPr>
        <w:autoSpaceDE w:val="0"/>
        <w:autoSpaceDN w:val="0"/>
        <w:adjustRightInd w:val="0"/>
        <w:rPr>
          <w:del w:id="16466" w:author="AbbVie02no" w:date="2025-05-15T14:22:00Z"/>
          <w:rFonts w:eastAsia="TimesNewRoman"/>
          <w:sz w:val="22"/>
          <w:szCs w:val="22"/>
        </w:rPr>
      </w:pPr>
      <w:del w:id="16467" w:author="AbbVie02no" w:date="2025-05-15T14:22:00Z">
        <w:r w:rsidRPr="009C5EFD">
          <w:rPr>
            <w:rFonts w:eastAsia="TimesNewRoman"/>
            <w:sz w:val="22"/>
            <w:szCs w:val="22"/>
          </w:rPr>
          <w:delText xml:space="preserve">Hidrosadenitt (også kalt svettekjertelbetennelse) er en kronisk og ofte smertefull </w:delText>
        </w:r>
        <w:r w:rsidR="00D03039">
          <w:rPr>
            <w:rFonts w:eastAsia="TimesNewRoman"/>
            <w:sz w:val="22"/>
            <w:szCs w:val="22"/>
          </w:rPr>
          <w:delText xml:space="preserve">betennelsessykdom i </w:delText>
        </w:r>
        <w:r w:rsidRPr="009C5EFD">
          <w:rPr>
            <w:rFonts w:eastAsia="TimesNewRoman"/>
            <w:sz w:val="22"/>
            <w:szCs w:val="22"/>
          </w:rPr>
          <w:delText>hud</w:delText>
        </w:r>
        <w:r w:rsidR="00D03039">
          <w:rPr>
            <w:rFonts w:eastAsia="TimesNewRoman"/>
            <w:sz w:val="22"/>
            <w:szCs w:val="22"/>
          </w:rPr>
          <w:delText>en</w:delText>
        </w:r>
        <w:r w:rsidRPr="009C5EFD">
          <w:rPr>
            <w:rFonts w:eastAsia="TimesNewRoman"/>
            <w:sz w:val="22"/>
            <w:szCs w:val="22"/>
          </w:rPr>
          <w:delText xml:space="preserve">. Symptomer kan være ømme knuter (klumper) og byller (abcesser) som kan lekke puss. </w:delText>
        </w:r>
        <w:r w:rsidR="00C211E7">
          <w:rPr>
            <w:rFonts w:eastAsia="TimesNewRoman"/>
            <w:sz w:val="22"/>
            <w:szCs w:val="22"/>
          </w:rPr>
          <w:delText xml:space="preserve">Som </w:delText>
        </w:r>
        <w:r w:rsidR="00C211E7">
          <w:rPr>
            <w:rFonts w:eastAsia="TimesNewRoman"/>
            <w:sz w:val="22"/>
            <w:szCs w:val="22"/>
          </w:rPr>
          <w:lastRenderedPageBreak/>
          <w:delText>oftest</w:delText>
        </w:r>
        <w:r w:rsidR="00C211E7" w:rsidRPr="009C5EFD">
          <w:rPr>
            <w:rFonts w:eastAsia="TimesNewRoman"/>
            <w:sz w:val="22"/>
            <w:szCs w:val="22"/>
          </w:rPr>
          <w:delText xml:space="preserve"> </w:delText>
        </w:r>
        <w:r w:rsidRPr="009C5EFD">
          <w:rPr>
            <w:rFonts w:eastAsia="TimesNewRoman"/>
            <w:sz w:val="22"/>
            <w:szCs w:val="22"/>
          </w:rPr>
          <w:delText>påvirke</w:delText>
        </w:r>
        <w:r w:rsidR="00C211E7">
          <w:rPr>
            <w:rFonts w:eastAsia="TimesNewRoman"/>
            <w:sz w:val="22"/>
            <w:szCs w:val="22"/>
          </w:rPr>
          <w:delText>s</w:delText>
        </w:r>
        <w:r w:rsidRPr="009C5EFD">
          <w:rPr>
            <w:rFonts w:eastAsia="TimesNewRoman"/>
            <w:sz w:val="22"/>
            <w:szCs w:val="22"/>
          </w:rPr>
          <w:delText xml:space="preserve"> spesifikke områder av huden, som f.eks</w:delText>
        </w:r>
        <w:r w:rsidR="00146674">
          <w:rPr>
            <w:rFonts w:eastAsia="TimesNewRoman"/>
            <w:sz w:val="22"/>
            <w:szCs w:val="22"/>
          </w:rPr>
          <w:delText>.</w:delText>
        </w:r>
        <w:r w:rsidRPr="009C5EFD">
          <w:rPr>
            <w:rFonts w:eastAsia="TimesNewRoman"/>
            <w:sz w:val="22"/>
            <w:szCs w:val="22"/>
          </w:rPr>
          <w:delText xml:space="preserve"> under brystene, i armhulene, innsiden av lårene, lysken og rumpe. Arrdannelse kan også forekomme i berørte områder.</w:delText>
        </w:r>
      </w:del>
    </w:p>
    <w:p w14:paraId="04EFBCB4" w14:textId="3F05B0F7" w:rsidR="00DD2E86" w:rsidRPr="009C5EFD" w:rsidRDefault="00DD2E86" w:rsidP="009C5EFD">
      <w:pPr>
        <w:autoSpaceDE w:val="0"/>
        <w:autoSpaceDN w:val="0"/>
        <w:adjustRightInd w:val="0"/>
        <w:rPr>
          <w:del w:id="16468" w:author="AbbVie02no" w:date="2025-05-15T14:22:00Z"/>
          <w:rFonts w:eastAsia="TimesNewRoman"/>
          <w:sz w:val="22"/>
          <w:szCs w:val="22"/>
        </w:rPr>
      </w:pPr>
    </w:p>
    <w:p w14:paraId="7C26FC3C" w14:textId="6CADC725" w:rsidR="00DD2E86" w:rsidRPr="009C5EFD" w:rsidRDefault="00E453CD" w:rsidP="009C5EFD">
      <w:pPr>
        <w:autoSpaceDE w:val="0"/>
        <w:autoSpaceDN w:val="0"/>
        <w:adjustRightInd w:val="0"/>
        <w:rPr>
          <w:del w:id="16469" w:author="AbbVie02no" w:date="2025-05-15T14:22:00Z"/>
          <w:rFonts w:eastAsia="TimesNewRoman"/>
          <w:sz w:val="22"/>
          <w:szCs w:val="22"/>
        </w:rPr>
      </w:pPr>
      <w:del w:id="16470" w:author="AbbVie02no" w:date="2025-05-15T14:22:00Z">
        <w:r w:rsidRPr="009C5EFD">
          <w:rPr>
            <w:rFonts w:eastAsia="TimesNewRoman"/>
            <w:sz w:val="22"/>
            <w:szCs w:val="22"/>
          </w:rPr>
          <w:delText xml:space="preserve">Humira brukes </w:delText>
        </w:r>
        <w:r w:rsidR="006068F5">
          <w:rPr>
            <w:rFonts w:eastAsia="TimesNewRoman"/>
            <w:sz w:val="22"/>
            <w:szCs w:val="22"/>
          </w:rPr>
          <w:delText>til</w:delText>
        </w:r>
        <w:r w:rsidR="006068F5" w:rsidRPr="009C5EFD">
          <w:rPr>
            <w:rFonts w:eastAsia="TimesNewRoman"/>
            <w:sz w:val="22"/>
            <w:szCs w:val="22"/>
          </w:rPr>
          <w:delText xml:space="preserve"> </w:delText>
        </w:r>
        <w:r w:rsidRPr="009C5EFD">
          <w:rPr>
            <w:rFonts w:eastAsia="TimesNewRoman"/>
            <w:sz w:val="22"/>
            <w:szCs w:val="22"/>
          </w:rPr>
          <w:delText xml:space="preserve">å behandle </w:delText>
        </w:r>
        <w:r w:rsidR="007F67EE" w:rsidRPr="009C5EFD">
          <w:rPr>
            <w:rFonts w:eastAsia="TimesNewRoman"/>
            <w:sz w:val="22"/>
            <w:szCs w:val="22"/>
          </w:rPr>
          <w:delText>hidrosadenitt</w:delText>
        </w:r>
        <w:r w:rsidRPr="009C5EFD">
          <w:rPr>
            <w:rFonts w:eastAsia="TimesNewRoman"/>
            <w:sz w:val="22"/>
            <w:szCs w:val="22"/>
          </w:rPr>
          <w:delText xml:space="preserve"> hos voksne</w:delText>
        </w:r>
        <w:r w:rsidR="009E4D7A">
          <w:rPr>
            <w:rFonts w:eastAsia="TimesNewRoman"/>
            <w:sz w:val="22"/>
            <w:szCs w:val="22"/>
          </w:rPr>
          <w:delText xml:space="preserve"> og ungdom </w:delText>
        </w:r>
        <w:r w:rsidR="006068F5">
          <w:rPr>
            <w:rFonts w:eastAsia="TimesNewRoman"/>
            <w:sz w:val="22"/>
            <w:szCs w:val="22"/>
          </w:rPr>
          <w:delText xml:space="preserve">over </w:delText>
        </w:r>
        <w:r w:rsidR="009E4D7A">
          <w:rPr>
            <w:rFonts w:eastAsia="TimesNewRoman"/>
            <w:sz w:val="22"/>
            <w:szCs w:val="22"/>
          </w:rPr>
          <w:delText>12 år</w:delText>
        </w:r>
        <w:r w:rsidRPr="009C5EFD">
          <w:rPr>
            <w:rFonts w:eastAsia="TimesNewRoman"/>
            <w:sz w:val="22"/>
            <w:szCs w:val="22"/>
          </w:rPr>
          <w:delText>. Humira kan redusere antall knuter og byller, og smerten som ofte er forbundet med sykdommen.</w:delText>
        </w:r>
        <w:r w:rsidR="009E4D7A">
          <w:rPr>
            <w:rFonts w:eastAsia="TimesNewRoman"/>
            <w:sz w:val="22"/>
            <w:szCs w:val="22"/>
          </w:rPr>
          <w:delText xml:space="preserve"> </w:delText>
        </w:r>
        <w:r w:rsidR="009E4D7A">
          <w:rPr>
            <w:sz w:val="22"/>
            <w:szCs w:val="22"/>
          </w:rPr>
          <w:delText xml:space="preserve">Det kan hende </w:delText>
        </w:r>
        <w:r w:rsidR="009E4D7A" w:rsidRPr="009C5EFD">
          <w:rPr>
            <w:sz w:val="22"/>
            <w:szCs w:val="22"/>
          </w:rPr>
          <w:delText>du først få</w:delText>
        </w:r>
        <w:r w:rsidR="009E4D7A">
          <w:rPr>
            <w:sz w:val="22"/>
            <w:szCs w:val="22"/>
          </w:rPr>
          <w:delText>r</w:delText>
        </w:r>
        <w:r w:rsidR="009E4D7A" w:rsidRPr="009C5EFD">
          <w:rPr>
            <w:sz w:val="22"/>
            <w:szCs w:val="22"/>
          </w:rPr>
          <w:delText xml:space="preserve"> andre </w:delText>
        </w:r>
        <w:r w:rsidR="009E4D7A">
          <w:rPr>
            <w:sz w:val="22"/>
            <w:szCs w:val="22"/>
          </w:rPr>
          <w:delText xml:space="preserve">legemidler. </w:delText>
        </w:r>
        <w:r w:rsidR="009E4D7A" w:rsidRPr="009C5EFD">
          <w:rPr>
            <w:sz w:val="22"/>
            <w:szCs w:val="22"/>
          </w:rPr>
          <w:delText xml:space="preserve">Dersom du ikke reagerer godt nok på disse </w:delText>
        </w:r>
        <w:r w:rsidR="009E4D7A">
          <w:rPr>
            <w:sz w:val="22"/>
            <w:szCs w:val="22"/>
          </w:rPr>
          <w:delText>legemidlene</w:delText>
        </w:r>
        <w:r w:rsidR="009E4D7A" w:rsidRPr="009C5EFD">
          <w:rPr>
            <w:sz w:val="22"/>
            <w:szCs w:val="22"/>
          </w:rPr>
          <w:delText>, vil du få Humira</w:delText>
        </w:r>
        <w:r w:rsidR="009E4D7A">
          <w:rPr>
            <w:sz w:val="22"/>
            <w:szCs w:val="22"/>
          </w:rPr>
          <w:delText>.</w:delText>
        </w:r>
      </w:del>
    </w:p>
    <w:p w14:paraId="7EA7887F" w14:textId="61BDD478" w:rsidR="00F54285" w:rsidRPr="009C5EFD" w:rsidRDefault="00F54285" w:rsidP="009C5EFD">
      <w:pPr>
        <w:rPr>
          <w:del w:id="16471" w:author="AbbVie02no" w:date="2025-05-15T14:22:00Z"/>
          <w:sz w:val="22"/>
          <w:szCs w:val="22"/>
        </w:rPr>
      </w:pPr>
    </w:p>
    <w:p w14:paraId="7C2C7654" w14:textId="317A12BA" w:rsidR="00DE3458" w:rsidRPr="009C5EFD" w:rsidRDefault="00E453CD" w:rsidP="001F5D4B">
      <w:pPr>
        <w:keepNext/>
        <w:rPr>
          <w:del w:id="16472" w:author="AbbVie02no" w:date="2025-05-15T14:22:00Z"/>
          <w:sz w:val="22"/>
          <w:szCs w:val="22"/>
        </w:rPr>
      </w:pPr>
      <w:del w:id="16473" w:author="AbbVie02no" w:date="2025-05-15T14:22:00Z">
        <w:r w:rsidRPr="009C5EFD">
          <w:rPr>
            <w:sz w:val="22"/>
            <w:szCs w:val="22"/>
            <w:u w:val="single"/>
          </w:rPr>
          <w:delText>Crohns sykdom</w:delText>
        </w:r>
        <w:r w:rsidR="00686174" w:rsidRPr="009C5EFD">
          <w:rPr>
            <w:sz w:val="22"/>
            <w:szCs w:val="22"/>
            <w:u w:val="single"/>
          </w:rPr>
          <w:delText xml:space="preserve"> hos voksne og barn</w:delText>
        </w:r>
      </w:del>
    </w:p>
    <w:p w14:paraId="50C48101" w14:textId="332D291C" w:rsidR="00F54285" w:rsidRPr="009C5EFD" w:rsidRDefault="00F54285" w:rsidP="001F5D4B">
      <w:pPr>
        <w:keepNext/>
        <w:rPr>
          <w:del w:id="16474" w:author="AbbVie02no" w:date="2025-05-15T14:22:00Z"/>
          <w:sz w:val="22"/>
          <w:szCs w:val="22"/>
        </w:rPr>
      </w:pPr>
    </w:p>
    <w:p w14:paraId="1D95F362" w14:textId="14EECFB2" w:rsidR="00DE3458" w:rsidRPr="009C5EFD" w:rsidRDefault="00E453CD" w:rsidP="00776A84">
      <w:pPr>
        <w:rPr>
          <w:del w:id="16475" w:author="AbbVie02no" w:date="2025-05-15T14:22:00Z"/>
          <w:sz w:val="22"/>
          <w:szCs w:val="22"/>
        </w:rPr>
      </w:pPr>
      <w:del w:id="16476" w:author="AbbVie02no" w:date="2025-05-15T14:22:00Z">
        <w:r w:rsidRPr="009C5EFD">
          <w:rPr>
            <w:sz w:val="22"/>
            <w:szCs w:val="22"/>
          </w:rPr>
          <w:delText>Crohns sykdom er en betennelsessykdom i fordøyelseskanalen.</w:delText>
        </w:r>
      </w:del>
    </w:p>
    <w:p w14:paraId="1CA6BF49" w14:textId="28A29D7B" w:rsidR="00F54285" w:rsidRPr="009C5EFD" w:rsidRDefault="00F54285" w:rsidP="007F67EE">
      <w:pPr>
        <w:rPr>
          <w:del w:id="16477" w:author="AbbVie02no" w:date="2025-05-15T14:22:00Z"/>
          <w:szCs w:val="22"/>
        </w:rPr>
      </w:pPr>
    </w:p>
    <w:p w14:paraId="44050E57" w14:textId="052F249E" w:rsidR="00DE3458" w:rsidRPr="009C5EFD" w:rsidRDefault="00E453CD" w:rsidP="00193D76">
      <w:pPr>
        <w:rPr>
          <w:del w:id="16478" w:author="AbbVie02no" w:date="2025-05-15T14:22:00Z"/>
          <w:sz w:val="22"/>
          <w:szCs w:val="22"/>
        </w:rPr>
      </w:pPr>
      <w:del w:id="16479" w:author="AbbVie02no" w:date="2025-05-15T14:22:00Z">
        <w:r w:rsidRPr="001F5D4B">
          <w:rPr>
            <w:sz w:val="22"/>
            <w:szCs w:val="22"/>
          </w:rPr>
          <w:delText xml:space="preserve">Humira brukes </w:delText>
        </w:r>
        <w:r w:rsidR="006068F5">
          <w:rPr>
            <w:sz w:val="22"/>
            <w:szCs w:val="22"/>
          </w:rPr>
          <w:delText>til</w:delText>
        </w:r>
        <w:r w:rsidR="006068F5" w:rsidRPr="001F5D4B">
          <w:rPr>
            <w:sz w:val="22"/>
            <w:szCs w:val="22"/>
          </w:rPr>
          <w:delText xml:space="preserve"> </w:delText>
        </w:r>
        <w:r w:rsidRPr="001F5D4B">
          <w:rPr>
            <w:sz w:val="22"/>
            <w:szCs w:val="22"/>
          </w:rPr>
          <w:delText xml:space="preserve">å behandle Crohns sykdom hos voksne og barn </w:delText>
        </w:r>
        <w:r w:rsidR="004924BF">
          <w:rPr>
            <w:sz w:val="22"/>
            <w:szCs w:val="22"/>
          </w:rPr>
          <w:delText>fra</w:delText>
        </w:r>
        <w:r w:rsidRPr="001F5D4B">
          <w:rPr>
            <w:sz w:val="22"/>
            <w:szCs w:val="22"/>
          </w:rPr>
          <w:delText xml:space="preserve"> 6 til 17 år. </w:delText>
        </w:r>
        <w:r w:rsidRPr="009C5EFD">
          <w:rPr>
            <w:sz w:val="22"/>
            <w:szCs w:val="22"/>
          </w:rPr>
          <w:delText xml:space="preserve">Hvis du har Crohns sykdom vil du først få andre legemidler. Dersom du ikke reagerer godt nok på disse legemidlene, vil du få Humira for å redusere sykdomstegn og symptomer på din </w:delText>
        </w:r>
        <w:r w:rsidR="00686174" w:rsidRPr="009C5EFD">
          <w:rPr>
            <w:sz w:val="22"/>
            <w:szCs w:val="22"/>
          </w:rPr>
          <w:delText xml:space="preserve">Crohns </w:delText>
        </w:r>
        <w:r w:rsidRPr="009C5EFD">
          <w:rPr>
            <w:sz w:val="22"/>
            <w:szCs w:val="22"/>
          </w:rPr>
          <w:delText>sykdom.</w:delText>
        </w:r>
      </w:del>
    </w:p>
    <w:p w14:paraId="1103E9A3" w14:textId="7C9C692F" w:rsidR="00047C52" w:rsidRPr="009C5EFD" w:rsidRDefault="00047C52" w:rsidP="002D0790">
      <w:pPr>
        <w:rPr>
          <w:del w:id="16480" w:author="AbbVie02no" w:date="2025-05-15T14:22:00Z"/>
          <w:sz w:val="22"/>
          <w:szCs w:val="22"/>
        </w:rPr>
      </w:pPr>
    </w:p>
    <w:p w14:paraId="5E26D75F" w14:textId="52AF6416" w:rsidR="00047C52" w:rsidRPr="009C5EFD" w:rsidRDefault="00E453CD" w:rsidP="00776A84">
      <w:pPr>
        <w:pStyle w:val="EMEANormal"/>
        <w:keepNext/>
        <w:rPr>
          <w:del w:id="16481" w:author="AbbVie02no" w:date="2025-05-15T14:22:00Z"/>
          <w:szCs w:val="22"/>
          <w:u w:val="single"/>
          <w:lang w:val="nb-NO"/>
        </w:rPr>
      </w:pPr>
      <w:del w:id="16482" w:author="AbbVie02no" w:date="2025-05-15T14:22:00Z">
        <w:r w:rsidRPr="009C5EFD">
          <w:rPr>
            <w:szCs w:val="22"/>
            <w:u w:val="single"/>
            <w:lang w:val="nb-NO"/>
          </w:rPr>
          <w:delText>Ulcerøs kolitt</w:delText>
        </w:r>
        <w:r w:rsidR="00CF2468">
          <w:rPr>
            <w:szCs w:val="22"/>
            <w:u w:val="single"/>
            <w:lang w:val="nb-NO"/>
          </w:rPr>
          <w:delText xml:space="preserve"> hos voksne og barn</w:delText>
        </w:r>
      </w:del>
    </w:p>
    <w:p w14:paraId="13214A74" w14:textId="2D9F6FCB" w:rsidR="00F54285" w:rsidRPr="009C5EFD" w:rsidRDefault="00F54285" w:rsidP="00776A84">
      <w:pPr>
        <w:pStyle w:val="EMEANormal"/>
        <w:keepNext/>
        <w:rPr>
          <w:del w:id="16483" w:author="AbbVie02no" w:date="2025-05-15T14:22:00Z"/>
          <w:szCs w:val="22"/>
          <w:lang w:val="nb-NO"/>
        </w:rPr>
      </w:pPr>
    </w:p>
    <w:p w14:paraId="7F32100A" w14:textId="2E7ABD26" w:rsidR="00047C52" w:rsidRPr="009C5EFD" w:rsidRDefault="00E453CD" w:rsidP="009C5EFD">
      <w:pPr>
        <w:pStyle w:val="EMEANormal"/>
        <w:rPr>
          <w:del w:id="16484" w:author="AbbVie02no" w:date="2025-05-15T14:22:00Z"/>
          <w:szCs w:val="22"/>
          <w:u w:val="single"/>
          <w:lang w:val="nb-NO"/>
        </w:rPr>
      </w:pPr>
      <w:del w:id="16485" w:author="AbbVie02no" w:date="2025-05-15T14:22:00Z">
        <w:r w:rsidRPr="009C5EFD">
          <w:rPr>
            <w:szCs w:val="22"/>
            <w:lang w:val="nb-NO"/>
          </w:rPr>
          <w:delText xml:space="preserve">Ulcerøs kolitt er en betennelsessykdom i </w:delText>
        </w:r>
        <w:r w:rsidR="008436AF">
          <w:rPr>
            <w:szCs w:val="22"/>
            <w:lang w:val="nb-NO"/>
          </w:rPr>
          <w:delText>tykk</w:delText>
        </w:r>
        <w:r w:rsidRPr="009C5EFD">
          <w:rPr>
            <w:szCs w:val="22"/>
            <w:lang w:val="nb-NO"/>
          </w:rPr>
          <w:delText>tarmen.</w:delText>
        </w:r>
      </w:del>
    </w:p>
    <w:p w14:paraId="3E9E4FE9" w14:textId="35B725CF" w:rsidR="00F54285" w:rsidRPr="009C5EFD" w:rsidRDefault="00F54285" w:rsidP="009C5EFD">
      <w:pPr>
        <w:pStyle w:val="EMEANormal"/>
        <w:rPr>
          <w:del w:id="16486" w:author="AbbVie02no" w:date="2025-05-15T14:22:00Z"/>
          <w:szCs w:val="22"/>
          <w:lang w:val="nb-NO"/>
        </w:rPr>
      </w:pPr>
    </w:p>
    <w:p w14:paraId="5A6C7649" w14:textId="3E548DF6" w:rsidR="00047C52" w:rsidRDefault="00E453CD" w:rsidP="009C5EFD">
      <w:pPr>
        <w:pStyle w:val="EMEANormal"/>
        <w:rPr>
          <w:del w:id="16487" w:author="AbbVie02no" w:date="2025-05-15T14:22:00Z"/>
          <w:szCs w:val="22"/>
          <w:lang w:val="nb-NO"/>
        </w:rPr>
      </w:pPr>
      <w:del w:id="16488" w:author="AbbVie02no" w:date="2025-05-15T14:22:00Z">
        <w:r w:rsidRPr="009C5EFD">
          <w:rPr>
            <w:szCs w:val="22"/>
            <w:lang w:val="nb-NO"/>
          </w:rPr>
          <w:delText xml:space="preserve">Humira brukes </w:delText>
        </w:r>
        <w:r w:rsidR="006068F5">
          <w:rPr>
            <w:szCs w:val="22"/>
            <w:lang w:val="nb-NO"/>
          </w:rPr>
          <w:delText>til</w:delText>
        </w:r>
        <w:r w:rsidR="006068F5" w:rsidRPr="009C5EFD">
          <w:rPr>
            <w:szCs w:val="22"/>
            <w:lang w:val="nb-NO"/>
          </w:rPr>
          <w:delText xml:space="preserve"> </w:delText>
        </w:r>
        <w:r w:rsidRPr="009C5EFD">
          <w:rPr>
            <w:szCs w:val="22"/>
            <w:lang w:val="nb-NO"/>
          </w:rPr>
          <w:delText xml:space="preserve">å behandle </w:delText>
        </w:r>
        <w:r w:rsidR="00CF2468">
          <w:rPr>
            <w:szCs w:val="22"/>
            <w:lang w:val="nb-NO"/>
          </w:rPr>
          <w:delText xml:space="preserve">moderat til alvorlig </w:delText>
        </w:r>
        <w:r w:rsidRPr="009C5EFD">
          <w:rPr>
            <w:szCs w:val="22"/>
            <w:lang w:val="nb-NO"/>
          </w:rPr>
          <w:delText>ulcerøs kolitt hos voksne</w:delText>
        </w:r>
        <w:r w:rsidR="00CF2468">
          <w:rPr>
            <w:szCs w:val="22"/>
            <w:lang w:val="nb-NO"/>
          </w:rPr>
          <w:delText xml:space="preserve"> og barn </w:delText>
        </w:r>
        <w:r w:rsidR="00B64440">
          <w:rPr>
            <w:szCs w:val="22"/>
            <w:lang w:val="nb-NO"/>
          </w:rPr>
          <w:delText>fra</w:delText>
        </w:r>
        <w:r w:rsidR="00CF2468">
          <w:rPr>
            <w:szCs w:val="22"/>
            <w:lang w:val="nb-NO"/>
          </w:rPr>
          <w:delText xml:space="preserve"> 6 til 17 år</w:delText>
        </w:r>
        <w:r w:rsidRPr="009C5EFD">
          <w:rPr>
            <w:szCs w:val="22"/>
            <w:lang w:val="nb-NO"/>
          </w:rPr>
          <w:delText xml:space="preserve">. Hvis du har ulcerøs kolitt </w:delText>
        </w:r>
        <w:r w:rsidR="008476A6">
          <w:rPr>
            <w:szCs w:val="22"/>
            <w:lang w:val="nb-NO"/>
          </w:rPr>
          <w:delText xml:space="preserve">kan det hende </w:delText>
        </w:r>
        <w:r w:rsidRPr="009C5EFD">
          <w:rPr>
            <w:szCs w:val="22"/>
            <w:lang w:val="nb-NO"/>
          </w:rPr>
          <w:delText>du først få</w:delText>
        </w:r>
        <w:r w:rsidR="00C00D63">
          <w:rPr>
            <w:szCs w:val="22"/>
            <w:lang w:val="nb-NO"/>
          </w:rPr>
          <w:delText>r</w:delText>
        </w:r>
        <w:r w:rsidRPr="009C5EFD">
          <w:rPr>
            <w:szCs w:val="22"/>
            <w:lang w:val="nb-NO"/>
          </w:rPr>
          <w:delText xml:space="preserve"> andre legemidler. Dersom du ikke reagerer godt nok på disse legemidlene, vil du få Humira for å redusere sykdomstegn og symptomer på </w:delText>
        </w:r>
        <w:r w:rsidR="002858DC">
          <w:rPr>
            <w:szCs w:val="22"/>
            <w:lang w:val="nb-NO"/>
          </w:rPr>
          <w:delText>sykdommen din</w:delText>
        </w:r>
        <w:r w:rsidRPr="009C5EFD">
          <w:rPr>
            <w:szCs w:val="22"/>
            <w:lang w:val="nb-NO"/>
          </w:rPr>
          <w:delText>.</w:delText>
        </w:r>
      </w:del>
    </w:p>
    <w:p w14:paraId="0E02A3CB" w14:textId="4CD6E63E" w:rsidR="000D1D89" w:rsidRDefault="000D1D89" w:rsidP="009C5EFD">
      <w:pPr>
        <w:pStyle w:val="EMEANormal"/>
        <w:rPr>
          <w:del w:id="16489" w:author="AbbVie02no" w:date="2025-05-15T14:22:00Z"/>
          <w:szCs w:val="22"/>
          <w:lang w:val="nb-NO"/>
        </w:rPr>
      </w:pPr>
    </w:p>
    <w:p w14:paraId="16524AFC" w14:textId="7E03D8E3" w:rsidR="000D1D89" w:rsidRDefault="00E453CD" w:rsidP="00776A84">
      <w:pPr>
        <w:pStyle w:val="EMEANormal"/>
        <w:keepNext/>
        <w:rPr>
          <w:del w:id="16490" w:author="AbbVie02no" w:date="2025-05-15T14:22:00Z"/>
          <w:szCs w:val="22"/>
          <w:u w:val="single"/>
          <w:lang w:val="nb-NO"/>
        </w:rPr>
      </w:pPr>
      <w:del w:id="16491" w:author="AbbVie02no" w:date="2025-05-15T14:22:00Z">
        <w:r>
          <w:rPr>
            <w:szCs w:val="22"/>
            <w:u w:val="single"/>
            <w:lang w:val="nb-NO"/>
          </w:rPr>
          <w:delText xml:space="preserve">Ikke-infeksiøs </w:delText>
        </w:r>
        <w:r w:rsidRPr="00521E94">
          <w:rPr>
            <w:szCs w:val="22"/>
            <w:u w:val="single"/>
            <w:lang w:val="nb-NO"/>
          </w:rPr>
          <w:delText xml:space="preserve">uveitt </w:delText>
        </w:r>
        <w:r w:rsidR="008554B3">
          <w:rPr>
            <w:szCs w:val="22"/>
            <w:u w:val="single"/>
            <w:lang w:val="nb-NO"/>
          </w:rPr>
          <w:delText>hos voksne og barn</w:delText>
        </w:r>
      </w:del>
    </w:p>
    <w:p w14:paraId="6E136DC6" w14:textId="74A47F84" w:rsidR="000D1D89" w:rsidRDefault="000D1D89" w:rsidP="00776A84">
      <w:pPr>
        <w:pStyle w:val="EMEANormal"/>
        <w:keepNext/>
        <w:rPr>
          <w:del w:id="16492" w:author="AbbVie02no" w:date="2025-05-15T14:22:00Z"/>
          <w:szCs w:val="22"/>
          <w:u w:val="single"/>
          <w:lang w:val="nb-NO"/>
        </w:rPr>
      </w:pPr>
    </w:p>
    <w:p w14:paraId="7A674906" w14:textId="01C7783F" w:rsidR="000D1D89" w:rsidRDefault="00E453CD" w:rsidP="000D1D89">
      <w:pPr>
        <w:pStyle w:val="EMEANormal"/>
        <w:rPr>
          <w:del w:id="16493" w:author="AbbVie02no" w:date="2025-05-15T14:22:00Z"/>
          <w:szCs w:val="22"/>
          <w:lang w:val="nb-NO"/>
        </w:rPr>
      </w:pPr>
      <w:del w:id="16494" w:author="AbbVie02no" w:date="2025-05-15T14:22:00Z">
        <w:r w:rsidRPr="00521E94">
          <w:rPr>
            <w:szCs w:val="22"/>
            <w:lang w:val="nb-NO"/>
          </w:rPr>
          <w:delText xml:space="preserve">Ikke-infeksiøs uveitt </w:delText>
        </w:r>
        <w:r>
          <w:rPr>
            <w:szCs w:val="22"/>
            <w:lang w:val="nb-NO"/>
          </w:rPr>
          <w:delText xml:space="preserve">er en betennelsessykdom </w:delText>
        </w:r>
        <w:r w:rsidRPr="00521E94">
          <w:rPr>
            <w:szCs w:val="22"/>
            <w:lang w:val="nb-NO"/>
          </w:rPr>
          <w:delText xml:space="preserve">som påvirker </w:delText>
        </w:r>
        <w:r>
          <w:rPr>
            <w:szCs w:val="22"/>
            <w:lang w:val="nb-NO"/>
          </w:rPr>
          <w:delText>visse deler av øyet.</w:delText>
        </w:r>
      </w:del>
    </w:p>
    <w:p w14:paraId="6769745F" w14:textId="5C5CBE76" w:rsidR="000D1D89" w:rsidRDefault="000D1D89" w:rsidP="000D1D89">
      <w:pPr>
        <w:pStyle w:val="EMEANormal"/>
        <w:rPr>
          <w:del w:id="16495" w:author="AbbVie02no" w:date="2025-05-15T14:22:00Z"/>
          <w:szCs w:val="22"/>
          <w:lang w:val="nb-NO"/>
        </w:rPr>
      </w:pPr>
    </w:p>
    <w:p w14:paraId="53A250D4" w14:textId="41FC0C64" w:rsidR="008554B3" w:rsidRDefault="00E453CD" w:rsidP="00776A84">
      <w:pPr>
        <w:pStyle w:val="EMEANormal"/>
        <w:keepNext/>
        <w:rPr>
          <w:del w:id="16496" w:author="AbbVie02no" w:date="2025-05-15T14:22:00Z"/>
          <w:szCs w:val="22"/>
          <w:lang w:val="nb-NO"/>
        </w:rPr>
      </w:pPr>
      <w:del w:id="16497" w:author="AbbVie02no" w:date="2025-05-15T14:22:00Z">
        <w:r>
          <w:rPr>
            <w:szCs w:val="22"/>
            <w:lang w:val="nb-NO"/>
          </w:rPr>
          <w:delText xml:space="preserve">Humira brukes </w:delText>
        </w:r>
        <w:r w:rsidR="006068F5">
          <w:rPr>
            <w:szCs w:val="22"/>
            <w:lang w:val="nb-NO"/>
          </w:rPr>
          <w:delText xml:space="preserve">til </w:delText>
        </w:r>
        <w:r>
          <w:rPr>
            <w:szCs w:val="22"/>
            <w:lang w:val="nb-NO"/>
          </w:rPr>
          <w:delText xml:space="preserve">å behandle </w:delText>
        </w:r>
      </w:del>
    </w:p>
    <w:p w14:paraId="1503B993" w14:textId="46AC44BF" w:rsidR="008554B3" w:rsidRDefault="00E453CD" w:rsidP="00B3311E">
      <w:pPr>
        <w:pStyle w:val="EMEANormal"/>
        <w:numPr>
          <w:ilvl w:val="0"/>
          <w:numId w:val="131"/>
        </w:numPr>
        <w:rPr>
          <w:del w:id="16498" w:author="AbbVie02no" w:date="2025-05-15T14:22:00Z"/>
          <w:szCs w:val="22"/>
          <w:lang w:val="nb-NO"/>
        </w:rPr>
      </w:pPr>
      <w:del w:id="16499" w:author="AbbVie02no" w:date="2025-05-15T14:22:00Z">
        <w:r>
          <w:rPr>
            <w:szCs w:val="22"/>
            <w:lang w:val="nb-NO"/>
          </w:rPr>
          <w:delText>V</w:delText>
        </w:r>
        <w:r w:rsidR="000D1D89">
          <w:rPr>
            <w:szCs w:val="22"/>
            <w:lang w:val="nb-NO"/>
          </w:rPr>
          <w:delText xml:space="preserve">oksne med ikke-infeksiøs uveitt med betennelse som påvirker </w:delText>
        </w:r>
        <w:r w:rsidR="009028B4" w:rsidRPr="009028B4">
          <w:rPr>
            <w:szCs w:val="22"/>
            <w:lang w:val="nb-NO"/>
          </w:rPr>
          <w:delText>bakre del av øyet</w:delText>
        </w:r>
      </w:del>
    </w:p>
    <w:p w14:paraId="4AF2E6BD" w14:textId="77E59467" w:rsidR="008554B3" w:rsidRPr="00EB049D" w:rsidRDefault="00E453CD" w:rsidP="00B3311E">
      <w:pPr>
        <w:pStyle w:val="EMEANormal"/>
        <w:numPr>
          <w:ilvl w:val="0"/>
          <w:numId w:val="129"/>
        </w:numPr>
        <w:rPr>
          <w:del w:id="16500" w:author="AbbVie02no" w:date="2025-05-15T14:22:00Z"/>
          <w:szCs w:val="22"/>
          <w:lang w:val="nb-NO"/>
        </w:rPr>
      </w:pPr>
      <w:del w:id="16501" w:author="AbbVie02no" w:date="2025-05-15T14:22:00Z">
        <w:r>
          <w:rPr>
            <w:szCs w:val="22"/>
            <w:lang w:val="nb-NO"/>
          </w:rPr>
          <w:delText xml:space="preserve">Barn </w:delText>
        </w:r>
        <w:r w:rsidR="006068F5">
          <w:rPr>
            <w:szCs w:val="22"/>
            <w:lang w:val="nb-NO"/>
          </w:rPr>
          <w:delText xml:space="preserve">over </w:delText>
        </w:r>
        <w:r>
          <w:rPr>
            <w:szCs w:val="22"/>
            <w:lang w:val="nb-NO"/>
          </w:rPr>
          <w:delText>2 år med kronis</w:delText>
        </w:r>
        <w:r w:rsidR="008B761C">
          <w:rPr>
            <w:szCs w:val="22"/>
            <w:lang w:val="nb-NO"/>
          </w:rPr>
          <w:delText>k ikke-infek</w:delText>
        </w:r>
        <w:r w:rsidR="00E00C61">
          <w:rPr>
            <w:szCs w:val="22"/>
            <w:lang w:val="nb-NO"/>
          </w:rPr>
          <w:delText>s</w:delText>
        </w:r>
        <w:r w:rsidR="008B761C">
          <w:rPr>
            <w:szCs w:val="22"/>
            <w:lang w:val="nb-NO"/>
          </w:rPr>
          <w:delText>iøs uveitt med bet</w:delText>
        </w:r>
        <w:r>
          <w:rPr>
            <w:szCs w:val="22"/>
            <w:lang w:val="nb-NO"/>
          </w:rPr>
          <w:delText>ennelse som påvirker fremre del av øyet (regnbuehinnebetennelse)</w:delText>
        </w:r>
      </w:del>
    </w:p>
    <w:p w14:paraId="638AAC30" w14:textId="3D7B3AF7" w:rsidR="008554B3" w:rsidRDefault="008554B3" w:rsidP="000D1D89">
      <w:pPr>
        <w:pStyle w:val="EMEANormal"/>
        <w:rPr>
          <w:del w:id="16502" w:author="AbbVie02no" w:date="2025-05-15T14:22:00Z"/>
          <w:szCs w:val="22"/>
          <w:lang w:val="nb-NO"/>
        </w:rPr>
      </w:pPr>
    </w:p>
    <w:p w14:paraId="59FC8ADF" w14:textId="6C51A038" w:rsidR="000D1D89" w:rsidRPr="009C5EFD" w:rsidRDefault="00E453CD" w:rsidP="000D1D89">
      <w:pPr>
        <w:pStyle w:val="EMEANormal"/>
        <w:rPr>
          <w:del w:id="16503" w:author="AbbVie02no" w:date="2025-05-15T14:22:00Z"/>
          <w:szCs w:val="22"/>
          <w:lang w:val="nb-NO"/>
        </w:rPr>
      </w:pPr>
      <w:del w:id="16504" w:author="AbbVie02no" w:date="2025-05-15T14:22:00Z">
        <w:r>
          <w:rPr>
            <w:szCs w:val="22"/>
            <w:lang w:val="nb-NO"/>
          </w:rPr>
          <w:delText xml:space="preserve">Denne betennelsen </w:delText>
        </w:r>
        <w:r w:rsidR="008554B3">
          <w:rPr>
            <w:szCs w:val="22"/>
            <w:lang w:val="nb-NO"/>
          </w:rPr>
          <w:delText xml:space="preserve">kan </w:delText>
        </w:r>
        <w:r>
          <w:rPr>
            <w:szCs w:val="22"/>
            <w:lang w:val="nb-NO"/>
          </w:rPr>
          <w:delText xml:space="preserve">føre til nedsatt syn og/eller tilstedeværelse av </w:delText>
        </w:r>
        <w:r w:rsidR="008554B3">
          <w:rPr>
            <w:szCs w:val="22"/>
            <w:lang w:val="nb-NO"/>
          </w:rPr>
          <w:delText xml:space="preserve">flytende </w:delText>
        </w:r>
        <w:r w:rsidR="00533509">
          <w:rPr>
            <w:szCs w:val="22"/>
            <w:lang w:val="nb-NO"/>
          </w:rPr>
          <w:delText xml:space="preserve">legemer </w:delText>
        </w:r>
        <w:r>
          <w:rPr>
            <w:szCs w:val="22"/>
            <w:lang w:val="nb-NO"/>
          </w:rPr>
          <w:delText xml:space="preserve">i øyet (svarte prikker eller ujevne linjer som beveger seg </w:delText>
        </w:r>
        <w:r w:rsidR="008554B3">
          <w:rPr>
            <w:szCs w:val="22"/>
            <w:lang w:val="nb-NO"/>
          </w:rPr>
          <w:delText>over</w:delText>
        </w:r>
        <w:r>
          <w:rPr>
            <w:szCs w:val="22"/>
            <w:lang w:val="nb-NO"/>
          </w:rPr>
          <w:delText xml:space="preserve"> synsfeltet). Humira virker ved å redusere denne betennelsen.</w:delText>
        </w:r>
      </w:del>
    </w:p>
    <w:p w14:paraId="48687A42" w14:textId="127C695A" w:rsidR="00DE3458" w:rsidRPr="009C5EFD" w:rsidRDefault="00DE3458" w:rsidP="009C5EFD">
      <w:pPr>
        <w:rPr>
          <w:del w:id="16505" w:author="AbbVie02no" w:date="2025-05-15T14:22:00Z"/>
          <w:sz w:val="22"/>
          <w:szCs w:val="22"/>
        </w:rPr>
      </w:pPr>
    </w:p>
    <w:p w14:paraId="6B27095F" w14:textId="49E24F7A" w:rsidR="00DE3458" w:rsidRPr="009C5EFD" w:rsidRDefault="00DE3458" w:rsidP="00AF70AD">
      <w:pPr>
        <w:suppressAutoHyphens/>
        <w:rPr>
          <w:del w:id="16506" w:author="AbbVie02no" w:date="2025-05-15T14:22:00Z"/>
          <w:sz w:val="22"/>
          <w:szCs w:val="22"/>
        </w:rPr>
      </w:pPr>
    </w:p>
    <w:p w14:paraId="539F61B8" w14:textId="0BFD41DA" w:rsidR="00DE3458" w:rsidRPr="009C5EFD" w:rsidRDefault="00E453CD" w:rsidP="00776A84">
      <w:pPr>
        <w:keepNext/>
        <w:suppressAutoHyphens/>
        <w:ind w:left="621" w:hanging="621"/>
        <w:rPr>
          <w:del w:id="16507" w:author="AbbVie02no" w:date="2025-05-15T14:22:00Z"/>
          <w:sz w:val="22"/>
          <w:szCs w:val="22"/>
        </w:rPr>
      </w:pPr>
      <w:del w:id="16508" w:author="AbbVie02no" w:date="2025-05-15T14:22:00Z">
        <w:r w:rsidRPr="009C5EFD">
          <w:rPr>
            <w:b/>
            <w:sz w:val="22"/>
            <w:szCs w:val="22"/>
          </w:rPr>
          <w:delText>2.</w:delText>
        </w:r>
        <w:r w:rsidRPr="009C5EFD">
          <w:rPr>
            <w:b/>
            <w:sz w:val="22"/>
            <w:szCs w:val="22"/>
          </w:rPr>
          <w:tab/>
        </w:r>
        <w:r w:rsidR="009F20CB" w:rsidRPr="009C5EFD">
          <w:rPr>
            <w:b/>
            <w:sz w:val="22"/>
            <w:szCs w:val="22"/>
          </w:rPr>
          <w:delText xml:space="preserve">Hva du må </w:delText>
        </w:r>
        <w:r w:rsidR="002547FB" w:rsidRPr="009C5EFD">
          <w:rPr>
            <w:b/>
            <w:sz w:val="22"/>
            <w:szCs w:val="22"/>
          </w:rPr>
          <w:delText>vite</w:delText>
        </w:r>
        <w:r w:rsidR="009F20CB" w:rsidRPr="009C5EFD">
          <w:rPr>
            <w:b/>
            <w:sz w:val="22"/>
            <w:szCs w:val="22"/>
          </w:rPr>
          <w:delText xml:space="preserve"> før du bruker Humira</w:delText>
        </w:r>
      </w:del>
    </w:p>
    <w:p w14:paraId="2474B260" w14:textId="0DD40DCF" w:rsidR="00DE3458" w:rsidRPr="009C5EFD" w:rsidRDefault="00DE3458" w:rsidP="00776A84">
      <w:pPr>
        <w:keepNext/>
        <w:ind w:left="621" w:hanging="621"/>
        <w:rPr>
          <w:del w:id="16509" w:author="AbbVie02no" w:date="2025-05-15T14:22:00Z"/>
          <w:sz w:val="22"/>
          <w:szCs w:val="22"/>
        </w:rPr>
      </w:pPr>
    </w:p>
    <w:p w14:paraId="2BEBE13F" w14:textId="54D75707" w:rsidR="00DE3458" w:rsidRPr="009C5EFD" w:rsidRDefault="00E453CD" w:rsidP="00776A84">
      <w:pPr>
        <w:keepNext/>
        <w:suppressAutoHyphens/>
        <w:ind w:left="480" w:hanging="480"/>
        <w:rPr>
          <w:del w:id="16510" w:author="AbbVie02no" w:date="2025-05-15T14:22:00Z"/>
          <w:b/>
          <w:sz w:val="22"/>
          <w:szCs w:val="22"/>
        </w:rPr>
      </w:pPr>
      <w:del w:id="16511" w:author="AbbVie02no" w:date="2025-05-15T14:22:00Z">
        <w:r w:rsidRPr="009C5EFD">
          <w:rPr>
            <w:b/>
            <w:sz w:val="22"/>
            <w:szCs w:val="22"/>
          </w:rPr>
          <w:delText>Bruk ikke H</w:delText>
        </w:r>
        <w:r w:rsidR="001F3D06" w:rsidRPr="009C5EFD">
          <w:rPr>
            <w:b/>
            <w:sz w:val="22"/>
            <w:szCs w:val="22"/>
          </w:rPr>
          <w:delText>umira</w:delText>
        </w:r>
      </w:del>
    </w:p>
    <w:p w14:paraId="132CF599" w14:textId="6432916A" w:rsidR="00DE3458" w:rsidRPr="009C5EFD" w:rsidRDefault="00DE3458" w:rsidP="00776A84">
      <w:pPr>
        <w:keepNext/>
        <w:suppressAutoHyphens/>
        <w:ind w:left="480" w:hanging="426"/>
        <w:rPr>
          <w:del w:id="16512" w:author="AbbVie02no" w:date="2025-05-15T14:22:00Z"/>
          <w:sz w:val="22"/>
          <w:szCs w:val="22"/>
        </w:rPr>
      </w:pPr>
    </w:p>
    <w:p w14:paraId="3ED69B8A" w14:textId="383DDDDE" w:rsidR="00DE3458" w:rsidRPr="009C5EFD" w:rsidRDefault="00E453CD" w:rsidP="009C5EFD">
      <w:pPr>
        <w:numPr>
          <w:ilvl w:val="0"/>
          <w:numId w:val="3"/>
        </w:numPr>
        <w:tabs>
          <w:tab w:val="clear" w:pos="720"/>
          <w:tab w:val="num" w:pos="567"/>
        </w:tabs>
        <w:ind w:left="567" w:hanging="567"/>
        <w:rPr>
          <w:del w:id="16513" w:author="AbbVie02no" w:date="2025-05-15T14:22:00Z"/>
          <w:sz w:val="22"/>
          <w:szCs w:val="22"/>
        </w:rPr>
      </w:pPr>
      <w:del w:id="16514" w:author="AbbVie02no" w:date="2025-05-15T14:22:00Z">
        <w:r>
          <w:rPr>
            <w:sz w:val="22"/>
            <w:szCs w:val="22"/>
          </w:rPr>
          <w:delText>D</w:delText>
        </w:r>
        <w:r w:rsidR="00345205">
          <w:rPr>
            <w:sz w:val="22"/>
            <w:szCs w:val="22"/>
          </w:rPr>
          <w:delText>ersom</w:delText>
        </w:r>
        <w:r w:rsidRPr="009C5EFD">
          <w:rPr>
            <w:sz w:val="22"/>
            <w:szCs w:val="22"/>
          </w:rPr>
          <w:delText xml:space="preserve"> du er allergisk overfor adalimumab eller </w:delText>
        </w:r>
        <w:r w:rsidR="00866346" w:rsidRPr="009C5EFD">
          <w:rPr>
            <w:sz w:val="22"/>
            <w:szCs w:val="22"/>
          </w:rPr>
          <w:delText xml:space="preserve">noen </w:delText>
        </w:r>
        <w:r w:rsidRPr="009C5EFD">
          <w:rPr>
            <w:sz w:val="22"/>
            <w:szCs w:val="22"/>
          </w:rPr>
          <w:delText xml:space="preserve">av de andre innholdsstoffene i </w:delText>
        </w:r>
        <w:r w:rsidR="001F3D06" w:rsidRPr="009C5EFD">
          <w:rPr>
            <w:sz w:val="22"/>
            <w:szCs w:val="22"/>
          </w:rPr>
          <w:delText>dette legemidlet (</w:delText>
        </w:r>
        <w:r w:rsidR="00866346" w:rsidRPr="009C5EFD">
          <w:rPr>
            <w:sz w:val="22"/>
            <w:szCs w:val="22"/>
          </w:rPr>
          <w:delText xml:space="preserve">listet opp </w:delText>
        </w:r>
        <w:r w:rsidR="001F3D06" w:rsidRPr="009C5EFD">
          <w:rPr>
            <w:sz w:val="22"/>
            <w:szCs w:val="22"/>
          </w:rPr>
          <w:delText xml:space="preserve">i </w:delText>
        </w:r>
        <w:r w:rsidR="005A1D75">
          <w:rPr>
            <w:sz w:val="22"/>
            <w:szCs w:val="22"/>
          </w:rPr>
          <w:delText xml:space="preserve">avsnitt </w:delText>
        </w:r>
        <w:r w:rsidR="001F3D06" w:rsidRPr="009C5EFD">
          <w:rPr>
            <w:sz w:val="22"/>
            <w:szCs w:val="22"/>
          </w:rPr>
          <w:delText>6)</w:delText>
        </w:r>
        <w:r w:rsidRPr="009C5EFD">
          <w:rPr>
            <w:sz w:val="22"/>
            <w:szCs w:val="22"/>
          </w:rPr>
          <w:delText>.</w:delText>
        </w:r>
      </w:del>
    </w:p>
    <w:p w14:paraId="4A19D65F" w14:textId="27A14323" w:rsidR="00DE3458" w:rsidRPr="009C5EFD" w:rsidRDefault="00E453CD" w:rsidP="009C5EFD">
      <w:pPr>
        <w:numPr>
          <w:ilvl w:val="0"/>
          <w:numId w:val="3"/>
        </w:numPr>
        <w:tabs>
          <w:tab w:val="num" w:pos="567"/>
        </w:tabs>
        <w:ind w:left="567" w:hanging="567"/>
        <w:rPr>
          <w:del w:id="16515" w:author="AbbVie02no" w:date="2025-05-15T14:22:00Z"/>
          <w:sz w:val="22"/>
          <w:szCs w:val="22"/>
        </w:rPr>
      </w:pPr>
      <w:del w:id="16516" w:author="AbbVie02no" w:date="2025-05-15T14:22:00Z">
        <w:r>
          <w:rPr>
            <w:sz w:val="22"/>
            <w:szCs w:val="22"/>
          </w:rPr>
          <w:delText>D</w:delText>
        </w:r>
        <w:r w:rsidRPr="009C5EFD">
          <w:rPr>
            <w:sz w:val="22"/>
            <w:szCs w:val="22"/>
          </w:rPr>
          <w:delText xml:space="preserve">ersom du har en </w:delText>
        </w:r>
        <w:r w:rsidR="00021903">
          <w:rPr>
            <w:sz w:val="22"/>
            <w:szCs w:val="22"/>
          </w:rPr>
          <w:delText>alvorlig</w:delText>
        </w:r>
        <w:r w:rsidRPr="009C5EFD">
          <w:rPr>
            <w:sz w:val="22"/>
            <w:szCs w:val="22"/>
          </w:rPr>
          <w:delText xml:space="preserve"> infeksjon, </w:delText>
        </w:r>
        <w:r w:rsidRPr="009C5EFD">
          <w:rPr>
            <w:color w:val="000000"/>
            <w:sz w:val="22"/>
            <w:szCs w:val="22"/>
          </w:rPr>
          <w:delText xml:space="preserve">inkludert </w:delText>
        </w:r>
        <w:r w:rsidRPr="009C5EFD">
          <w:rPr>
            <w:sz w:val="22"/>
            <w:szCs w:val="22"/>
          </w:rPr>
          <w:delText xml:space="preserve">aktiv tuberkulose (se </w:delText>
        </w:r>
        <w:r w:rsidR="00D57009">
          <w:rPr>
            <w:sz w:val="22"/>
            <w:szCs w:val="22"/>
          </w:rPr>
          <w:delText>«</w:delText>
        </w:r>
        <w:r w:rsidR="00352D18" w:rsidRPr="009C5EFD">
          <w:rPr>
            <w:sz w:val="22"/>
            <w:szCs w:val="22"/>
          </w:rPr>
          <w:delText>Advarsler og forsiktighetsregler</w:delText>
        </w:r>
        <w:r w:rsidR="00D57009">
          <w:rPr>
            <w:sz w:val="22"/>
            <w:szCs w:val="22"/>
          </w:rPr>
          <w:delText>»</w:delText>
        </w:r>
        <w:r w:rsidRPr="009C5EFD">
          <w:rPr>
            <w:sz w:val="22"/>
            <w:szCs w:val="22"/>
          </w:rPr>
          <w:delText>). Det er viktig at du informerer legen om du har symptomer på infeksjon, som for eksempel feber, sår, tretthet, problemer med tennene.</w:delText>
        </w:r>
      </w:del>
    </w:p>
    <w:p w14:paraId="5C41E129" w14:textId="7612BF8D" w:rsidR="00DE3458" w:rsidRPr="009C5EFD" w:rsidRDefault="00E453CD" w:rsidP="009C5EFD">
      <w:pPr>
        <w:numPr>
          <w:ilvl w:val="0"/>
          <w:numId w:val="3"/>
        </w:numPr>
        <w:tabs>
          <w:tab w:val="num" w:pos="567"/>
        </w:tabs>
        <w:ind w:left="567" w:hanging="567"/>
        <w:rPr>
          <w:del w:id="16517" w:author="AbbVie02no" w:date="2025-05-15T14:22:00Z"/>
          <w:sz w:val="22"/>
          <w:szCs w:val="22"/>
        </w:rPr>
      </w:pPr>
      <w:del w:id="16518" w:author="AbbVie02no" w:date="2025-05-15T14:22:00Z">
        <w:r>
          <w:rPr>
            <w:sz w:val="22"/>
            <w:szCs w:val="22"/>
          </w:rPr>
          <w:delText>D</w:delText>
        </w:r>
        <w:r w:rsidR="00345205">
          <w:rPr>
            <w:sz w:val="22"/>
            <w:szCs w:val="22"/>
          </w:rPr>
          <w:delText>ersom</w:delText>
        </w:r>
        <w:r w:rsidRPr="009C5EFD">
          <w:rPr>
            <w:sz w:val="22"/>
            <w:szCs w:val="22"/>
          </w:rPr>
          <w:delText xml:space="preserve"> du har moderat til alvorlig hjertesvikt. Det er viktig at du forteller legen hvis du har eller har hatt en alvorlig hjertesykdom (se </w:delText>
        </w:r>
        <w:r w:rsidR="00D57009">
          <w:rPr>
            <w:sz w:val="22"/>
            <w:szCs w:val="22"/>
          </w:rPr>
          <w:delText>«</w:delText>
        </w:r>
        <w:r w:rsidR="00352D18" w:rsidRPr="009C5EFD">
          <w:rPr>
            <w:sz w:val="22"/>
            <w:szCs w:val="22"/>
          </w:rPr>
          <w:delText>Advarsler og forsiktighetsregler</w:delText>
        </w:r>
        <w:r w:rsidR="00D57009">
          <w:rPr>
            <w:sz w:val="22"/>
            <w:szCs w:val="22"/>
          </w:rPr>
          <w:delText>»</w:delText>
        </w:r>
        <w:r w:rsidRPr="009C5EFD">
          <w:rPr>
            <w:sz w:val="22"/>
            <w:szCs w:val="22"/>
          </w:rPr>
          <w:delText>).</w:delText>
        </w:r>
      </w:del>
    </w:p>
    <w:p w14:paraId="6667DC40" w14:textId="484B70CB" w:rsidR="00DE3458" w:rsidRPr="009C5EFD" w:rsidRDefault="00DE3458" w:rsidP="009C5EFD">
      <w:pPr>
        <w:tabs>
          <w:tab w:val="num" w:pos="567"/>
        </w:tabs>
        <w:suppressAutoHyphens/>
        <w:ind w:left="567" w:hanging="567"/>
        <w:rPr>
          <w:del w:id="16519" w:author="AbbVie02no" w:date="2025-05-15T14:22:00Z"/>
          <w:sz w:val="22"/>
          <w:szCs w:val="22"/>
        </w:rPr>
      </w:pPr>
    </w:p>
    <w:p w14:paraId="397974D8" w14:textId="6C297FF8" w:rsidR="00DE3458" w:rsidRPr="009C5EFD" w:rsidRDefault="00E453CD" w:rsidP="00776A84">
      <w:pPr>
        <w:keepNext/>
        <w:tabs>
          <w:tab w:val="num" w:pos="567"/>
        </w:tabs>
        <w:suppressAutoHyphens/>
        <w:ind w:left="567" w:hanging="567"/>
        <w:rPr>
          <w:del w:id="16520" w:author="AbbVie02no" w:date="2025-05-15T14:22:00Z"/>
          <w:b/>
          <w:sz w:val="22"/>
          <w:szCs w:val="22"/>
        </w:rPr>
      </w:pPr>
      <w:del w:id="16521" w:author="AbbVie02no" w:date="2025-05-15T14:22:00Z">
        <w:r w:rsidRPr="009C5EFD">
          <w:rPr>
            <w:b/>
            <w:sz w:val="22"/>
            <w:szCs w:val="22"/>
          </w:rPr>
          <w:delText>Advarsler og forsiktighetsregler</w:delText>
        </w:r>
      </w:del>
    </w:p>
    <w:p w14:paraId="03844409" w14:textId="0F1F4E80" w:rsidR="00263BA7" w:rsidRPr="009C5EFD" w:rsidRDefault="00263BA7" w:rsidP="00776A84">
      <w:pPr>
        <w:keepNext/>
        <w:tabs>
          <w:tab w:val="num" w:pos="567"/>
        </w:tabs>
        <w:suppressAutoHyphens/>
        <w:ind w:left="567" w:hanging="567"/>
        <w:rPr>
          <w:del w:id="16522" w:author="AbbVie02no" w:date="2025-05-15T14:22:00Z"/>
          <w:sz w:val="22"/>
          <w:szCs w:val="22"/>
        </w:rPr>
      </w:pPr>
    </w:p>
    <w:p w14:paraId="0432BE47" w14:textId="6DD5C3D9" w:rsidR="00F96B76" w:rsidRDefault="00E453CD" w:rsidP="00776A84">
      <w:pPr>
        <w:pStyle w:val="BodyTextIndent3"/>
        <w:keepNext/>
        <w:rPr>
          <w:del w:id="16523" w:author="AbbVie02no" w:date="2025-05-15T14:22:00Z"/>
          <w:szCs w:val="22"/>
        </w:rPr>
      </w:pPr>
      <w:del w:id="16524" w:author="AbbVie02no" w:date="2025-05-15T14:22:00Z">
        <w:r w:rsidRPr="009C5EFD">
          <w:rPr>
            <w:szCs w:val="22"/>
          </w:rPr>
          <w:delText xml:space="preserve">Snakk med legen eller apotek før </w:delText>
        </w:r>
        <w:r w:rsidR="007C5DA8">
          <w:rPr>
            <w:szCs w:val="22"/>
          </w:rPr>
          <w:delText xml:space="preserve">du bruker </w:delText>
        </w:r>
        <w:r w:rsidRPr="009C5EFD">
          <w:rPr>
            <w:szCs w:val="22"/>
          </w:rPr>
          <w:delText>Humira.</w:delText>
        </w:r>
      </w:del>
    </w:p>
    <w:p w14:paraId="29BA5554" w14:textId="3CC75A3D" w:rsidR="00A1429F" w:rsidRPr="009C5EFD" w:rsidRDefault="00A1429F" w:rsidP="00776A84">
      <w:pPr>
        <w:pStyle w:val="BodyTextIndent3"/>
        <w:keepNext/>
        <w:rPr>
          <w:del w:id="16525" w:author="AbbVie02no" w:date="2025-05-15T14:22:00Z"/>
          <w:szCs w:val="22"/>
        </w:rPr>
      </w:pPr>
    </w:p>
    <w:p w14:paraId="6C683F72" w14:textId="122809EF" w:rsidR="00DE3458" w:rsidRPr="009C5EFD" w:rsidRDefault="00E453CD" w:rsidP="009C5EFD">
      <w:pPr>
        <w:pStyle w:val="BodyTextIndent3"/>
        <w:numPr>
          <w:ilvl w:val="0"/>
          <w:numId w:val="3"/>
        </w:numPr>
        <w:tabs>
          <w:tab w:val="clear" w:pos="720"/>
          <w:tab w:val="num" w:pos="567"/>
        </w:tabs>
        <w:ind w:left="567" w:hanging="567"/>
        <w:rPr>
          <w:del w:id="16526" w:author="AbbVie02no" w:date="2025-05-15T14:22:00Z"/>
          <w:szCs w:val="22"/>
        </w:rPr>
      </w:pPr>
      <w:del w:id="16527" w:author="AbbVie02no" w:date="2025-05-15T14:22:00Z">
        <w:r w:rsidRPr="009C5EFD">
          <w:rPr>
            <w:szCs w:val="22"/>
          </w:rPr>
          <w:delText xml:space="preserve">Dersom du får allergiske reaksjoner med symptomer som tetthet eller piping i brystet, svimmelhet, hevelse eller utslett, må du ikke </w:delText>
        </w:r>
        <w:r w:rsidRPr="009C5EFD">
          <w:rPr>
            <w:color w:val="000000"/>
            <w:szCs w:val="22"/>
          </w:rPr>
          <w:delText xml:space="preserve">fortsette å </w:delText>
        </w:r>
        <w:r w:rsidR="006068F5">
          <w:rPr>
            <w:szCs w:val="22"/>
          </w:rPr>
          <w:delText>injisere</w:delText>
        </w:r>
        <w:r w:rsidR="006068F5" w:rsidRPr="009C5EFD">
          <w:rPr>
            <w:szCs w:val="22"/>
          </w:rPr>
          <w:delText xml:space="preserve"> </w:delText>
        </w:r>
        <w:r w:rsidRPr="009C5EFD">
          <w:rPr>
            <w:szCs w:val="22"/>
          </w:rPr>
          <w:delText>Humira, men kontakte legen umiddelbart</w:delText>
        </w:r>
        <w:r w:rsidR="00A1429F">
          <w:rPr>
            <w:szCs w:val="22"/>
          </w:rPr>
          <w:delText xml:space="preserve"> siden disse reaksjone</w:delText>
        </w:r>
        <w:r w:rsidR="00D93F46">
          <w:rPr>
            <w:szCs w:val="22"/>
          </w:rPr>
          <w:delText>ne</w:delText>
        </w:r>
        <w:r w:rsidR="00A1429F">
          <w:rPr>
            <w:szCs w:val="22"/>
          </w:rPr>
          <w:delText xml:space="preserve"> i sjeldne tilfeller kan være livstruende</w:delText>
        </w:r>
        <w:r w:rsidRPr="009C5EFD">
          <w:rPr>
            <w:szCs w:val="22"/>
          </w:rPr>
          <w:delText>.</w:delText>
        </w:r>
      </w:del>
    </w:p>
    <w:p w14:paraId="7656E0A3" w14:textId="7DC231BB" w:rsidR="00DE3458" w:rsidRPr="009C5EFD" w:rsidRDefault="00E453CD" w:rsidP="009C5EFD">
      <w:pPr>
        <w:pStyle w:val="BodyTextIndent3"/>
        <w:numPr>
          <w:ilvl w:val="0"/>
          <w:numId w:val="3"/>
        </w:numPr>
        <w:tabs>
          <w:tab w:val="clear" w:pos="720"/>
          <w:tab w:val="num" w:pos="567"/>
        </w:tabs>
        <w:ind w:left="567" w:hanging="567"/>
        <w:rPr>
          <w:del w:id="16528" w:author="AbbVie02no" w:date="2025-05-15T14:22:00Z"/>
          <w:szCs w:val="22"/>
        </w:rPr>
      </w:pPr>
      <w:del w:id="16529" w:author="AbbVie02no" w:date="2025-05-15T14:22:00Z">
        <w:r w:rsidRPr="009C5EFD">
          <w:rPr>
            <w:szCs w:val="22"/>
          </w:rPr>
          <w:lastRenderedPageBreak/>
          <w:delText xml:space="preserve">Dersom du har en infeksjon, deriblant langtids- eller lokalisert infeksjon (for eksempel leggsår) må du snakke med legen før du begynner å bruke Humira. </w:delText>
        </w:r>
        <w:r w:rsidR="006068F5">
          <w:rPr>
            <w:szCs w:val="22"/>
          </w:rPr>
          <w:delText>K</w:delText>
        </w:r>
        <w:r w:rsidRPr="009C5EFD">
          <w:rPr>
            <w:szCs w:val="22"/>
          </w:rPr>
          <w:delText>ontakt lege hvis du er usikker.</w:delText>
        </w:r>
      </w:del>
    </w:p>
    <w:p w14:paraId="7DF4C087" w14:textId="54FEBA69" w:rsidR="00DE3458" w:rsidRPr="009C5EFD" w:rsidRDefault="00E453CD" w:rsidP="009C5EFD">
      <w:pPr>
        <w:numPr>
          <w:ilvl w:val="0"/>
          <w:numId w:val="3"/>
        </w:numPr>
        <w:tabs>
          <w:tab w:val="clear" w:pos="720"/>
          <w:tab w:val="num" w:pos="567"/>
        </w:tabs>
        <w:suppressAutoHyphens/>
        <w:ind w:left="567" w:hanging="567"/>
        <w:rPr>
          <w:del w:id="16530" w:author="AbbVie02no" w:date="2025-05-15T14:22:00Z"/>
          <w:sz w:val="22"/>
          <w:szCs w:val="22"/>
        </w:rPr>
      </w:pPr>
      <w:del w:id="16531" w:author="AbbVie02no" w:date="2025-05-15T14:22:00Z">
        <w:r w:rsidRPr="009C5EFD">
          <w:rPr>
            <w:sz w:val="22"/>
            <w:szCs w:val="22"/>
          </w:rPr>
          <w:delText xml:space="preserve">Du kan lettere få infeksjoner mens du behandles med Humira. </w:delText>
        </w:r>
        <w:r w:rsidR="00156721" w:rsidRPr="009C5EFD">
          <w:rPr>
            <w:sz w:val="22"/>
            <w:szCs w:val="22"/>
          </w:rPr>
          <w:delText>Denne risikoen kan være større hvis din lungefunk</w:delText>
        </w:r>
        <w:r w:rsidR="00F25B55" w:rsidRPr="009C5EFD">
          <w:rPr>
            <w:sz w:val="22"/>
            <w:szCs w:val="22"/>
          </w:rPr>
          <w:delText>s</w:delText>
        </w:r>
        <w:r w:rsidR="00156721" w:rsidRPr="009C5EFD">
          <w:rPr>
            <w:sz w:val="22"/>
            <w:szCs w:val="22"/>
          </w:rPr>
          <w:delText xml:space="preserve">jon er nedsatt. </w:delText>
        </w:r>
        <w:r w:rsidRPr="009C5EFD">
          <w:rPr>
            <w:sz w:val="22"/>
            <w:szCs w:val="22"/>
          </w:rPr>
          <w:delText>Disse infeksjonene kan være alvorlige og inkluderer tuberkulose, infeksjoner forårsaket av virus, sopp</w:delText>
        </w:r>
        <w:r w:rsidR="00241894" w:rsidRPr="009C5EFD">
          <w:rPr>
            <w:sz w:val="22"/>
            <w:szCs w:val="22"/>
          </w:rPr>
          <w:delText>, parasitter</w:delText>
        </w:r>
        <w:r w:rsidRPr="009C5EFD">
          <w:rPr>
            <w:sz w:val="22"/>
            <w:szCs w:val="22"/>
          </w:rPr>
          <w:delText xml:space="preserve"> eller bakterie, eller andre opportunistiske infeksjoner og </w:delText>
        </w:r>
        <w:r w:rsidRPr="009C5EFD">
          <w:rPr>
            <w:color w:val="000000"/>
            <w:sz w:val="22"/>
            <w:szCs w:val="22"/>
          </w:rPr>
          <w:delText>blodforgiftning</w:delText>
        </w:r>
        <w:r w:rsidRPr="009C5EFD">
          <w:rPr>
            <w:sz w:val="22"/>
            <w:szCs w:val="22"/>
          </w:rPr>
          <w:delText xml:space="preserve"> som i sjeldne tilfeller kan være livstruende. Det er viktig å fortelle legen om eventuelle symptomer som feber, sår, tretthet eller problemer med tennene. Legen kan anbefale å avbryte behandlingen med Humira midlertidig.</w:delText>
        </w:r>
      </w:del>
    </w:p>
    <w:p w14:paraId="318AE9DD" w14:textId="76FE5605" w:rsidR="00DE3458" w:rsidRPr="009C5EFD" w:rsidRDefault="00E453CD" w:rsidP="009C5EFD">
      <w:pPr>
        <w:numPr>
          <w:ilvl w:val="0"/>
          <w:numId w:val="3"/>
        </w:numPr>
        <w:tabs>
          <w:tab w:val="clear" w:pos="720"/>
          <w:tab w:val="num" w:pos="567"/>
        </w:tabs>
        <w:suppressAutoHyphens/>
        <w:ind w:left="567" w:hanging="567"/>
        <w:rPr>
          <w:del w:id="16532" w:author="AbbVie02no" w:date="2025-05-15T14:22:00Z"/>
          <w:sz w:val="22"/>
          <w:szCs w:val="22"/>
        </w:rPr>
      </w:pPr>
      <w:del w:id="16533" w:author="AbbVie02no" w:date="2025-05-15T14:22:00Z">
        <w:r w:rsidRPr="009C5EFD">
          <w:rPr>
            <w:sz w:val="22"/>
            <w:szCs w:val="22"/>
          </w:rPr>
          <w:delText xml:space="preserve">Ettersom det har vært påvist tilfeller av tuberkulose hos pasienter under behandling med Humira, kommer legen til å undersøke om du har tegn eller symptomer på tuberkulose før Humira-behandling </w:delText>
        </w:r>
        <w:r w:rsidR="00020B96" w:rsidRPr="009C5EFD">
          <w:rPr>
            <w:sz w:val="22"/>
            <w:szCs w:val="22"/>
          </w:rPr>
          <w:delText>startes opp</w:delText>
        </w:r>
        <w:r w:rsidRPr="009C5EFD">
          <w:rPr>
            <w:sz w:val="22"/>
            <w:szCs w:val="22"/>
          </w:rPr>
          <w:delText xml:space="preserve">. </w:delText>
        </w:r>
        <w:r w:rsidR="00764859" w:rsidRPr="009C5EFD">
          <w:rPr>
            <w:sz w:val="22"/>
            <w:szCs w:val="22"/>
          </w:rPr>
          <w:delText xml:space="preserve">Dette omfatter en grundig medisinsk </w:delText>
        </w:r>
        <w:r w:rsidR="00BF02E7">
          <w:rPr>
            <w:sz w:val="22"/>
            <w:szCs w:val="22"/>
          </w:rPr>
          <w:delText>vurdering</w:delText>
        </w:r>
        <w:r w:rsidR="00764859" w:rsidRPr="009C5EFD">
          <w:rPr>
            <w:sz w:val="22"/>
            <w:szCs w:val="22"/>
          </w:rPr>
          <w:delText xml:space="preserve"> som vil inkludere </w:delText>
        </w:r>
        <w:r w:rsidR="0037050E" w:rsidRPr="009C5EFD">
          <w:rPr>
            <w:sz w:val="22"/>
            <w:szCs w:val="22"/>
          </w:rPr>
          <w:delText>din</w:delText>
        </w:r>
        <w:r w:rsidR="00764859" w:rsidRPr="009C5EFD">
          <w:rPr>
            <w:sz w:val="22"/>
            <w:szCs w:val="22"/>
          </w:rPr>
          <w:delText xml:space="preserve"> sykdomshistorie og passende screeningtester (f.eks. røntgenbilde av brystkasse og en tuberkulinprøve). </w:delText>
        </w:r>
        <w:r w:rsidRPr="009C5EFD">
          <w:rPr>
            <w:sz w:val="22"/>
            <w:szCs w:val="22"/>
          </w:rPr>
          <w:delText xml:space="preserve">Disse testene </w:delText>
        </w:r>
        <w:r w:rsidR="00B069A2" w:rsidRPr="009C5EFD">
          <w:rPr>
            <w:sz w:val="22"/>
            <w:szCs w:val="22"/>
          </w:rPr>
          <w:delText xml:space="preserve">og resultatene </w:delText>
        </w:r>
        <w:r w:rsidRPr="009C5EFD">
          <w:rPr>
            <w:sz w:val="22"/>
            <w:szCs w:val="22"/>
          </w:rPr>
          <w:delText xml:space="preserve">bør registreres i </w:delText>
        </w:r>
        <w:r w:rsidRPr="00B07EA9">
          <w:rPr>
            <w:b/>
            <w:sz w:val="22"/>
            <w:szCs w:val="22"/>
          </w:rPr>
          <w:delText xml:space="preserve">pasientkortet </w:delText>
        </w:r>
        <w:r w:rsidRPr="009C5EFD">
          <w:rPr>
            <w:sz w:val="22"/>
            <w:szCs w:val="22"/>
          </w:rPr>
          <w:delText xml:space="preserve">ditt. Det er svært viktig at du forteller legen om du noensinne har hatt tuberkulose, eller om du har vært i nær kontakt med noen som har hatt tuberkulose. </w:delText>
        </w:r>
        <w:r w:rsidR="00BF0E13" w:rsidRPr="009C5EFD">
          <w:rPr>
            <w:sz w:val="22"/>
            <w:szCs w:val="22"/>
          </w:rPr>
          <w:delText>Tuberkulose kan utvikles under behandling selv</w:delText>
        </w:r>
        <w:r w:rsidR="0004489F">
          <w:rPr>
            <w:sz w:val="22"/>
            <w:szCs w:val="22"/>
          </w:rPr>
          <w:delText xml:space="preserve"> </w:delText>
        </w:r>
        <w:r w:rsidR="00BF0E13" w:rsidRPr="009C5EFD">
          <w:rPr>
            <w:sz w:val="22"/>
            <w:szCs w:val="22"/>
          </w:rPr>
          <w:delText xml:space="preserve">om </w:delText>
        </w:r>
        <w:r w:rsidR="0037050E" w:rsidRPr="009C5EFD">
          <w:rPr>
            <w:sz w:val="22"/>
            <w:szCs w:val="22"/>
          </w:rPr>
          <w:delText>du</w:delText>
        </w:r>
        <w:r w:rsidR="00BF0E13" w:rsidRPr="009C5EFD">
          <w:rPr>
            <w:sz w:val="22"/>
            <w:szCs w:val="22"/>
          </w:rPr>
          <w:delText xml:space="preserve"> har mottatt forebyggende behandling mot tuberkulose. </w:delText>
        </w:r>
        <w:r w:rsidRPr="009C5EFD">
          <w:rPr>
            <w:sz w:val="22"/>
            <w:szCs w:val="22"/>
          </w:rPr>
          <w:delText>Dersom symptomer på tuberkulose (vedvarende hoste, vekttap, sløvhet, lett feber) eller andre infeksjoner dukker opp under eller etter behandlingen må du fortelle legen om det straks.</w:delText>
        </w:r>
      </w:del>
    </w:p>
    <w:p w14:paraId="393A8FA3" w14:textId="54B94EA3" w:rsidR="00DE3458" w:rsidRPr="009C5EFD" w:rsidRDefault="00E453CD" w:rsidP="009C5EFD">
      <w:pPr>
        <w:numPr>
          <w:ilvl w:val="0"/>
          <w:numId w:val="3"/>
        </w:numPr>
        <w:tabs>
          <w:tab w:val="clear" w:pos="720"/>
          <w:tab w:val="num" w:pos="567"/>
        </w:tabs>
        <w:suppressAutoHyphens/>
        <w:ind w:left="567" w:hanging="567"/>
        <w:rPr>
          <w:del w:id="16534" w:author="AbbVie02no" w:date="2025-05-15T14:22:00Z"/>
          <w:sz w:val="22"/>
          <w:szCs w:val="22"/>
        </w:rPr>
      </w:pPr>
      <w:del w:id="16535" w:author="AbbVie02no" w:date="2025-05-15T14:22:00Z">
        <w:r w:rsidRPr="009C5EFD">
          <w:rPr>
            <w:sz w:val="22"/>
            <w:szCs w:val="22"/>
          </w:rPr>
          <w:delText xml:space="preserve">Gi beskjed til legen om du bosetter deg eller reiser i områder hvor soppinfeksjoner som histoplasmose, koksidioidomykose eller blastomykose er endemiske. </w:delText>
        </w:r>
      </w:del>
    </w:p>
    <w:p w14:paraId="16A53D94" w14:textId="07770568" w:rsidR="00DE3458" w:rsidRPr="009C5EFD" w:rsidRDefault="00E453CD" w:rsidP="009C5EFD">
      <w:pPr>
        <w:numPr>
          <w:ilvl w:val="0"/>
          <w:numId w:val="3"/>
        </w:numPr>
        <w:tabs>
          <w:tab w:val="clear" w:pos="720"/>
          <w:tab w:val="num" w:pos="567"/>
        </w:tabs>
        <w:suppressAutoHyphens/>
        <w:ind w:left="567" w:hanging="567"/>
        <w:rPr>
          <w:del w:id="16536" w:author="AbbVie02no" w:date="2025-05-15T14:22:00Z"/>
          <w:sz w:val="22"/>
          <w:szCs w:val="22"/>
        </w:rPr>
      </w:pPr>
      <w:del w:id="16537" w:author="AbbVie02no" w:date="2025-05-15T14:22:00Z">
        <w:r w:rsidRPr="009C5EFD">
          <w:rPr>
            <w:sz w:val="22"/>
            <w:szCs w:val="22"/>
          </w:rPr>
          <w:delText>Gi beskjed til legen om du tidligere har hatt gjentatte infeksjoner eller andre lidelser som øker faren for infeksjoner.</w:delText>
        </w:r>
      </w:del>
    </w:p>
    <w:p w14:paraId="5C3816AE" w14:textId="3806A79E" w:rsidR="00176824" w:rsidRPr="009C5EFD" w:rsidRDefault="00E453CD" w:rsidP="009C5EFD">
      <w:pPr>
        <w:pStyle w:val="EMEABullet2"/>
        <w:rPr>
          <w:del w:id="16538" w:author="AbbVie02no" w:date="2025-05-15T14:22:00Z"/>
          <w:lang w:val="nb-NO"/>
        </w:rPr>
      </w:pPr>
      <w:del w:id="16539" w:author="AbbVie02no" w:date="2025-05-15T14:22:00Z">
        <w:r w:rsidRPr="009C5EFD">
          <w:rPr>
            <w:lang w:val="nb-NO"/>
          </w:rPr>
          <w:delText xml:space="preserve">Gi beskjed til legen din dersom du er bærer av hepatitt B-virus (HBV), dersom du har aktiv HBV-infeksjon, eller hvis du tror du kan være utsatt for å få HBV. </w:delText>
        </w:r>
        <w:r w:rsidR="002858DC">
          <w:rPr>
            <w:lang w:val="nb-NO"/>
          </w:rPr>
          <w:delText>L</w:delText>
        </w:r>
        <w:r w:rsidR="00A47E91" w:rsidRPr="009C5EFD">
          <w:rPr>
            <w:lang w:val="nb-NO"/>
          </w:rPr>
          <w:delText>ege</w:delText>
        </w:r>
        <w:r w:rsidR="002858DC">
          <w:rPr>
            <w:lang w:val="nb-NO"/>
          </w:rPr>
          <w:delText>n din</w:delText>
        </w:r>
        <w:r w:rsidR="00A47E91" w:rsidRPr="009C5EFD">
          <w:rPr>
            <w:lang w:val="nb-NO"/>
          </w:rPr>
          <w:delText xml:space="preserve"> burde teste deg for HBV. </w:delText>
        </w:r>
        <w:r w:rsidRPr="009C5EFD">
          <w:rPr>
            <w:lang w:val="nb-NO"/>
          </w:rPr>
          <w:delText xml:space="preserve">Humira kan reaktivere HBV hos </w:delText>
        </w:r>
        <w:r w:rsidR="00DF7B30" w:rsidRPr="009C5EFD">
          <w:rPr>
            <w:szCs w:val="22"/>
            <w:lang w:val="nb-NO"/>
          </w:rPr>
          <w:delText>personer</w:delText>
        </w:r>
        <w:r w:rsidRPr="009C5EFD">
          <w:rPr>
            <w:lang w:val="nb-NO"/>
          </w:rPr>
          <w:delText xml:space="preserve"> som er bærere av dette viruset. I noen sjeldne tilfeller, særlig hvis du tar andre legemidler som demper immunsystemet, kan reaktivering av HBV være livstruende.</w:delText>
        </w:r>
      </w:del>
    </w:p>
    <w:p w14:paraId="6ECAE8BA" w14:textId="660E77AD" w:rsidR="00DE3458" w:rsidRPr="009C5EFD" w:rsidRDefault="00E453CD" w:rsidP="009C5EFD">
      <w:pPr>
        <w:pStyle w:val="EMEABullet2"/>
        <w:rPr>
          <w:del w:id="16540" w:author="AbbVie02no" w:date="2025-05-15T14:22:00Z"/>
          <w:szCs w:val="22"/>
          <w:lang w:val="nb-NO"/>
        </w:rPr>
      </w:pPr>
      <w:del w:id="16541" w:author="AbbVie02no" w:date="2025-05-15T14:22:00Z">
        <w:r w:rsidRPr="009C5EFD">
          <w:rPr>
            <w:szCs w:val="22"/>
            <w:lang w:val="nb-NO"/>
          </w:rPr>
          <w:delText xml:space="preserve">Hvis du er over 65 år kan du være mer mottagelig for infeksjoner mens du blir behandlet med Humira. Du og </w:delText>
        </w:r>
        <w:r w:rsidR="002858DC">
          <w:rPr>
            <w:szCs w:val="22"/>
            <w:lang w:val="nb-NO"/>
          </w:rPr>
          <w:delText>legen din</w:delText>
        </w:r>
        <w:r w:rsidRPr="009C5EFD">
          <w:rPr>
            <w:szCs w:val="22"/>
            <w:lang w:val="nb-NO"/>
          </w:rPr>
          <w:delText xml:space="preserve"> bør være særlig oppmerksomme på tegn på infeksjoner mens du blir behandlet med Humira. Det er viktig at du forteller </w:delText>
        </w:r>
        <w:r w:rsidR="002858DC">
          <w:rPr>
            <w:szCs w:val="22"/>
            <w:lang w:val="nb-NO"/>
          </w:rPr>
          <w:delText>legen din</w:delText>
        </w:r>
        <w:r w:rsidRPr="009C5EFD">
          <w:rPr>
            <w:szCs w:val="22"/>
            <w:lang w:val="nb-NO"/>
          </w:rPr>
          <w:delText xml:space="preserve"> dersom du får symptomer på infeksjoner, for eksempel feber, sår, trøtthet eller tannproblemer.  </w:delText>
        </w:r>
      </w:del>
    </w:p>
    <w:p w14:paraId="794F0767" w14:textId="530E00A4" w:rsidR="00DE3458" w:rsidRPr="009C5EFD" w:rsidRDefault="00E453CD" w:rsidP="009C5EFD">
      <w:pPr>
        <w:numPr>
          <w:ilvl w:val="0"/>
          <w:numId w:val="3"/>
        </w:numPr>
        <w:tabs>
          <w:tab w:val="clear" w:pos="720"/>
          <w:tab w:val="num" w:pos="567"/>
        </w:tabs>
        <w:suppressAutoHyphens/>
        <w:ind w:left="567" w:hanging="567"/>
        <w:rPr>
          <w:del w:id="16542" w:author="AbbVie02no" w:date="2025-05-15T14:22:00Z"/>
          <w:sz w:val="22"/>
          <w:szCs w:val="22"/>
        </w:rPr>
      </w:pPr>
      <w:del w:id="16543" w:author="AbbVie02no" w:date="2025-05-15T14:22:00Z">
        <w:r w:rsidRPr="009C5EFD">
          <w:rPr>
            <w:sz w:val="22"/>
            <w:szCs w:val="22"/>
          </w:rPr>
          <w:delText>Hvis du skal opereres eller ha inngrep i tennene skal du si fra til legen din at du bruker Humira. Legen kan anbefale å avbryte behandlingen midlertidig.</w:delText>
        </w:r>
      </w:del>
    </w:p>
    <w:p w14:paraId="67DBE08B" w14:textId="1025431E" w:rsidR="00DE3458" w:rsidRPr="009C5EFD" w:rsidRDefault="00E453CD" w:rsidP="009C5EFD">
      <w:pPr>
        <w:numPr>
          <w:ilvl w:val="0"/>
          <w:numId w:val="3"/>
        </w:numPr>
        <w:tabs>
          <w:tab w:val="clear" w:pos="720"/>
          <w:tab w:val="num" w:pos="567"/>
        </w:tabs>
        <w:suppressAutoHyphens/>
        <w:ind w:left="567" w:hanging="567"/>
        <w:rPr>
          <w:del w:id="16544" w:author="AbbVie02no" w:date="2025-05-15T14:22:00Z"/>
          <w:sz w:val="22"/>
          <w:szCs w:val="22"/>
        </w:rPr>
      </w:pPr>
      <w:del w:id="16545" w:author="AbbVie02no" w:date="2025-05-15T14:22:00Z">
        <w:r w:rsidRPr="009C5EFD">
          <w:rPr>
            <w:sz w:val="22"/>
            <w:szCs w:val="22"/>
          </w:rPr>
          <w:delText xml:space="preserve">Dersom du har </w:delText>
        </w:r>
        <w:r w:rsidR="00C316D0">
          <w:rPr>
            <w:sz w:val="22"/>
            <w:szCs w:val="22"/>
          </w:rPr>
          <w:delText xml:space="preserve">eller utvikler </w:delText>
        </w:r>
        <w:r w:rsidRPr="009C5EFD">
          <w:rPr>
            <w:sz w:val="22"/>
            <w:szCs w:val="22"/>
          </w:rPr>
          <w:delText>en demyeliniserende sykdom som multippel sklerose, vil legen avgjøre om du kan bruke Humira.</w:delText>
        </w:r>
        <w:r w:rsidR="00C316D0">
          <w:rPr>
            <w:sz w:val="22"/>
            <w:szCs w:val="22"/>
          </w:rPr>
          <w:delText xml:space="preserve"> Gi beskjed til legen umiddelbart dersom du opplever symptomer som synsforstyrrelser, svakhet i armer eller ben eller nummenhet eller prikking i noen del av kroppen.</w:delText>
        </w:r>
      </w:del>
    </w:p>
    <w:p w14:paraId="79422483" w14:textId="061A9AC4" w:rsidR="00DE3458" w:rsidRPr="009C5EFD" w:rsidRDefault="00E453CD" w:rsidP="009C5EFD">
      <w:pPr>
        <w:numPr>
          <w:ilvl w:val="0"/>
          <w:numId w:val="3"/>
        </w:numPr>
        <w:tabs>
          <w:tab w:val="clear" w:pos="720"/>
          <w:tab w:val="num" w:pos="567"/>
        </w:tabs>
        <w:suppressAutoHyphens/>
        <w:ind w:left="567" w:hanging="567"/>
        <w:rPr>
          <w:del w:id="16546" w:author="AbbVie02no" w:date="2025-05-15T14:22:00Z"/>
          <w:sz w:val="22"/>
          <w:szCs w:val="22"/>
        </w:rPr>
      </w:pPr>
      <w:del w:id="16547" w:author="AbbVie02no" w:date="2025-05-15T14:22:00Z">
        <w:r w:rsidRPr="009C5EFD">
          <w:rPr>
            <w:sz w:val="22"/>
          </w:rPr>
          <w:delText>Enkelte</w:delText>
        </w:r>
        <w:r w:rsidRPr="009C5EFD">
          <w:rPr>
            <w:sz w:val="22"/>
            <w:szCs w:val="22"/>
          </w:rPr>
          <w:delText xml:space="preserve"> vaksiner </w:delText>
        </w:r>
        <w:r w:rsidRPr="009C5EFD">
          <w:rPr>
            <w:sz w:val="22"/>
          </w:rPr>
          <w:delText xml:space="preserve">kan forårsake infeksjoner og bør </w:delText>
        </w:r>
        <w:r w:rsidRPr="009C5EFD">
          <w:rPr>
            <w:sz w:val="22"/>
            <w:szCs w:val="22"/>
          </w:rPr>
          <w:delText xml:space="preserve">ikke </w:delText>
        </w:r>
        <w:r w:rsidRPr="009C5EFD">
          <w:rPr>
            <w:sz w:val="22"/>
          </w:rPr>
          <w:delText>tas</w:delText>
        </w:r>
        <w:r w:rsidR="009F273F" w:rsidRPr="009C5EFD">
          <w:rPr>
            <w:sz w:val="22"/>
          </w:rPr>
          <w:delText xml:space="preserve"> </w:delText>
        </w:r>
        <w:r w:rsidRPr="009C5EFD">
          <w:rPr>
            <w:sz w:val="22"/>
            <w:szCs w:val="22"/>
          </w:rPr>
          <w:delText xml:space="preserve">under behandling med Humira. </w:delText>
        </w:r>
        <w:r w:rsidRPr="009C5EFD">
          <w:rPr>
            <w:color w:val="000000"/>
            <w:sz w:val="22"/>
            <w:szCs w:val="22"/>
          </w:rPr>
          <w:delText xml:space="preserve">Spør </w:delText>
        </w:r>
        <w:r w:rsidRPr="009C5EFD">
          <w:rPr>
            <w:sz w:val="22"/>
            <w:szCs w:val="22"/>
          </w:rPr>
          <w:delText xml:space="preserve">legen din før du </w:delText>
        </w:r>
        <w:r w:rsidR="006068F5">
          <w:rPr>
            <w:sz w:val="22"/>
            <w:szCs w:val="22"/>
          </w:rPr>
          <w:delText>får</w:delText>
        </w:r>
        <w:r w:rsidR="006068F5" w:rsidRPr="009C5EFD">
          <w:rPr>
            <w:sz w:val="22"/>
            <w:szCs w:val="22"/>
          </w:rPr>
          <w:delText xml:space="preserve"> </w:delText>
        </w:r>
        <w:r w:rsidRPr="009C5EFD">
          <w:rPr>
            <w:sz w:val="22"/>
            <w:szCs w:val="22"/>
          </w:rPr>
          <w:delText>vaksiner. Det anbefales at</w:delText>
        </w:r>
        <w:r w:rsidR="00686174" w:rsidRPr="009C5EFD">
          <w:rPr>
            <w:sz w:val="22"/>
            <w:szCs w:val="22"/>
          </w:rPr>
          <w:delText xml:space="preserve"> barn</w:delText>
        </w:r>
        <w:r w:rsidRPr="009C5EFD">
          <w:rPr>
            <w:sz w:val="22"/>
            <w:szCs w:val="22"/>
          </w:rPr>
          <w:delText>, hvis mulig, vaksineres fullstendig i tråd med gjeldende vaksinasjonsveiledninger før behandling med Humira startes.</w:delText>
        </w:r>
        <w:r w:rsidRPr="009C5EFD">
          <w:rPr>
            <w:sz w:val="22"/>
          </w:rPr>
          <w:delText xml:space="preserve"> Hvis du ble behandlet med Humira under graviditet, kan spedbarnet ditt ha større risiko for å få en slik infeksjon inntil omtrent fem måneder etter siste dose </w:delText>
        </w:r>
        <w:r w:rsidR="00060CC6" w:rsidRPr="009C5EFD">
          <w:rPr>
            <w:sz w:val="22"/>
          </w:rPr>
          <w:delText xml:space="preserve">som </w:delText>
        </w:r>
        <w:r w:rsidRPr="009C5EFD">
          <w:rPr>
            <w:sz w:val="22"/>
          </w:rPr>
          <w:delText>du mottok under graviditeten. Det er viktig at du forteller ditt spedbarns leger og annet helsepersonell at du brukte Humira under graviditet</w:delText>
        </w:r>
        <w:r w:rsidR="00060CC6" w:rsidRPr="009C5EFD">
          <w:rPr>
            <w:sz w:val="22"/>
          </w:rPr>
          <w:delText>en</w:delText>
        </w:r>
        <w:r w:rsidRPr="009C5EFD">
          <w:rPr>
            <w:sz w:val="22"/>
          </w:rPr>
          <w:delText>, slik at de kan vurdere når barnet ditt burde vaksineres.</w:delText>
        </w:r>
      </w:del>
    </w:p>
    <w:p w14:paraId="797FA4A1" w14:textId="0D1D93F9" w:rsidR="00DE3458" w:rsidRPr="009C5EFD" w:rsidRDefault="00E453CD" w:rsidP="009C5EFD">
      <w:pPr>
        <w:numPr>
          <w:ilvl w:val="0"/>
          <w:numId w:val="3"/>
        </w:numPr>
        <w:tabs>
          <w:tab w:val="num" w:pos="567"/>
        </w:tabs>
        <w:suppressAutoHyphens/>
        <w:ind w:left="567" w:hanging="567"/>
        <w:rPr>
          <w:del w:id="16548" w:author="AbbVie02no" w:date="2025-05-15T14:22:00Z"/>
          <w:sz w:val="22"/>
          <w:szCs w:val="22"/>
        </w:rPr>
      </w:pPr>
      <w:del w:id="16549" w:author="AbbVie02no" w:date="2025-05-15T14:22:00Z">
        <w:r w:rsidRPr="009C5EFD">
          <w:rPr>
            <w:sz w:val="22"/>
            <w:szCs w:val="22"/>
          </w:rPr>
          <w:delText>Dersom du har lett hjertesvikt og du behandles med Humira skal din hjertestatus overvåkes nøye av legen. Det er viktig at du orienterer legen om du har eller har hatt alvorlige hjertelidelser. Hvis du utvikler nye eller forverrede symptomer på hjertesvikt (for eksempel tungpustethet, hovne føtter) skal du kontakte legen umiddelbart. Legen vil avgjøre om du skal fortsette med Humira.</w:delText>
        </w:r>
      </w:del>
    </w:p>
    <w:p w14:paraId="30DBBC2F" w14:textId="37032AB4" w:rsidR="00DE3458" w:rsidRPr="009C5EFD" w:rsidRDefault="00E453CD" w:rsidP="009C5EFD">
      <w:pPr>
        <w:numPr>
          <w:ilvl w:val="0"/>
          <w:numId w:val="3"/>
        </w:numPr>
        <w:tabs>
          <w:tab w:val="num" w:pos="567"/>
        </w:tabs>
        <w:suppressAutoHyphens/>
        <w:ind w:left="567" w:hanging="567"/>
        <w:rPr>
          <w:del w:id="16550" w:author="AbbVie02no" w:date="2025-05-15T14:22:00Z"/>
          <w:sz w:val="22"/>
          <w:szCs w:val="22"/>
        </w:rPr>
      </w:pPr>
      <w:del w:id="16551" w:author="AbbVie02no" w:date="2025-05-15T14:22:00Z">
        <w:r w:rsidRPr="009C5EFD">
          <w:rPr>
            <w:sz w:val="22"/>
            <w:szCs w:val="22"/>
          </w:rPr>
          <w:delText>Hos noen pasienter kan kroppen få problemer med å produsere nok av de blodlegemene som hjelper kroppen til å forhindre infeksjoner eller stoppe blødninger. Kontakt lege snarest hvis du får feber som ikke forsvinner, får blåmerker eller blør svært lett eller ser svært blek ut. Legen din kan bestemme at behandlingen må avbrytes.</w:delText>
        </w:r>
      </w:del>
    </w:p>
    <w:p w14:paraId="78CF2F1D" w14:textId="769499A3" w:rsidR="00DE3458" w:rsidRPr="009C5EFD" w:rsidRDefault="00E453CD" w:rsidP="009C5EFD">
      <w:pPr>
        <w:numPr>
          <w:ilvl w:val="0"/>
          <w:numId w:val="3"/>
        </w:numPr>
        <w:tabs>
          <w:tab w:val="num" w:pos="567"/>
        </w:tabs>
        <w:suppressAutoHyphens/>
        <w:ind w:left="567" w:hanging="567"/>
        <w:rPr>
          <w:del w:id="16552" w:author="AbbVie02no" w:date="2025-05-15T14:22:00Z"/>
          <w:sz w:val="22"/>
          <w:szCs w:val="22"/>
        </w:rPr>
      </w:pPr>
      <w:del w:id="16553" w:author="AbbVie02no" w:date="2025-05-15T14:22:00Z">
        <w:r w:rsidRPr="009C5EFD">
          <w:rPr>
            <w:sz w:val="22"/>
            <w:szCs w:val="22"/>
          </w:rPr>
          <w:delText xml:space="preserve">Det har vært svært sjeldne tilfeller av visse typer kreft hos </w:delText>
        </w:r>
        <w:r w:rsidR="00B00090" w:rsidRPr="009C5EFD">
          <w:rPr>
            <w:sz w:val="22"/>
            <w:szCs w:val="22"/>
          </w:rPr>
          <w:delText>barn og ungdom</w:delText>
        </w:r>
        <w:r w:rsidRPr="009C5EFD">
          <w:rPr>
            <w:sz w:val="22"/>
            <w:szCs w:val="22"/>
          </w:rPr>
          <w:delText xml:space="preserve"> som får Humira eller andre TNF-blokkere. Personer med mer alvorlig revmatoid artritt som har hatt sykdommen i lang tid kan ha høyere risiko enn gjennomsnittet for å få lymfom </w:delText>
        </w:r>
        <w:r w:rsidR="00B00090" w:rsidRPr="009C5EFD">
          <w:rPr>
            <w:sz w:val="22"/>
            <w:szCs w:val="22"/>
          </w:rPr>
          <w:delText>(</w:delText>
        </w:r>
        <w:r w:rsidRPr="009C5EFD">
          <w:rPr>
            <w:sz w:val="22"/>
            <w:szCs w:val="22"/>
          </w:rPr>
          <w:delText xml:space="preserve">kreft som angriper </w:delText>
        </w:r>
        <w:r w:rsidRPr="009C5EFD">
          <w:rPr>
            <w:sz w:val="22"/>
            <w:szCs w:val="22"/>
          </w:rPr>
          <w:lastRenderedPageBreak/>
          <w:delText>lymfesystemet</w:delText>
        </w:r>
        <w:r w:rsidR="00B00090" w:rsidRPr="009C5EFD">
          <w:rPr>
            <w:sz w:val="22"/>
            <w:szCs w:val="22"/>
          </w:rPr>
          <w:delText>) og leukemi (kreft som angriper blod og benmarg)</w:delText>
        </w:r>
        <w:r w:rsidRPr="009C5EFD">
          <w:rPr>
            <w:sz w:val="22"/>
            <w:szCs w:val="22"/>
          </w:rPr>
          <w:delText>. Hvis du tar Humira</w:delText>
        </w:r>
        <w:r w:rsidR="00AF11AD" w:rsidRPr="009C5EFD">
          <w:rPr>
            <w:sz w:val="22"/>
            <w:szCs w:val="22"/>
          </w:rPr>
          <w:delText>,</w:delText>
        </w:r>
        <w:r w:rsidRPr="009C5EFD">
          <w:rPr>
            <w:sz w:val="22"/>
            <w:szCs w:val="22"/>
          </w:rPr>
          <w:delText xml:space="preserve"> kan risikoen </w:delText>
        </w:r>
        <w:r w:rsidR="00B00090" w:rsidRPr="009C5EFD">
          <w:rPr>
            <w:sz w:val="22"/>
            <w:szCs w:val="22"/>
          </w:rPr>
          <w:delText>for å få lym</w:delText>
        </w:r>
        <w:r w:rsidR="00AF11AD" w:rsidRPr="009C5EFD">
          <w:rPr>
            <w:sz w:val="22"/>
            <w:szCs w:val="22"/>
          </w:rPr>
          <w:delText xml:space="preserve">fom, leukemi og andre typer </w:delText>
        </w:r>
        <w:r w:rsidR="00B00090" w:rsidRPr="009C5EFD">
          <w:rPr>
            <w:sz w:val="22"/>
            <w:szCs w:val="22"/>
          </w:rPr>
          <w:delText xml:space="preserve">kreft </w:delText>
        </w:r>
        <w:r w:rsidRPr="009C5EFD">
          <w:rPr>
            <w:sz w:val="22"/>
            <w:szCs w:val="22"/>
          </w:rPr>
          <w:delText xml:space="preserve">øke. I sjeldne tilfeller har man observert en spesiell og alvorlig type lymfom hos pasienter som bruker Humira. Noen av disse pasientene ble også behandlet med azatioprin eller 6-merkaptopurin. </w:delText>
        </w:r>
        <w:r w:rsidR="00A47E91" w:rsidRPr="009C5EFD">
          <w:rPr>
            <w:sz w:val="22"/>
            <w:szCs w:val="22"/>
          </w:rPr>
          <w:delText>Fortell legen din dersom du tar azatioprin eller 6-merkaptopurin sammen med Humira.</w:delText>
        </w:r>
        <w:r w:rsidRPr="009C5EFD">
          <w:rPr>
            <w:sz w:val="22"/>
            <w:szCs w:val="22"/>
          </w:rPr>
          <w:delText xml:space="preserve"> I tillegg </w:delText>
        </w:r>
        <w:r w:rsidR="006949D7">
          <w:rPr>
            <w:sz w:val="22"/>
            <w:szCs w:val="22"/>
          </w:rPr>
          <w:delText>har</w:delText>
        </w:r>
        <w:r w:rsidRPr="009C5EFD">
          <w:rPr>
            <w:sz w:val="22"/>
            <w:szCs w:val="22"/>
          </w:rPr>
          <w:delText xml:space="preserve"> tilfeller av ikke-melanom hudkreft</w:delText>
        </w:r>
        <w:r w:rsidR="006949D7">
          <w:rPr>
            <w:sz w:val="22"/>
            <w:szCs w:val="22"/>
          </w:rPr>
          <w:delText xml:space="preserve"> blitt</w:delText>
        </w:r>
        <w:r w:rsidRPr="009C5EFD">
          <w:rPr>
            <w:sz w:val="22"/>
            <w:szCs w:val="22"/>
          </w:rPr>
          <w:delText xml:space="preserve"> sett hos pasienter som får Humira. Fortell legen din hvis nye hudlesjoner </w:delText>
        </w:r>
        <w:r w:rsidR="006068F5">
          <w:rPr>
            <w:sz w:val="22"/>
            <w:szCs w:val="22"/>
          </w:rPr>
          <w:delText xml:space="preserve">(unormale forandringer på huden) </w:delText>
        </w:r>
        <w:r w:rsidRPr="009C5EFD">
          <w:rPr>
            <w:sz w:val="22"/>
            <w:szCs w:val="22"/>
          </w:rPr>
          <w:delText>viser seg under eller etter behandling eller hvis eksisterende hudlesjoner forandrer seg.</w:delText>
        </w:r>
      </w:del>
    </w:p>
    <w:p w14:paraId="3F4F55C9" w14:textId="43A25EA2" w:rsidR="00DE3458" w:rsidRDefault="00E453CD" w:rsidP="009C5EFD">
      <w:pPr>
        <w:numPr>
          <w:ilvl w:val="0"/>
          <w:numId w:val="3"/>
        </w:numPr>
        <w:tabs>
          <w:tab w:val="num" w:pos="567"/>
        </w:tabs>
        <w:suppressAutoHyphens/>
        <w:ind w:left="567" w:hanging="567"/>
        <w:rPr>
          <w:del w:id="16554" w:author="AbbVie02no" w:date="2025-05-15T14:22:00Z"/>
          <w:sz w:val="22"/>
          <w:szCs w:val="22"/>
        </w:rPr>
      </w:pPr>
      <w:del w:id="16555" w:author="AbbVie02no" w:date="2025-05-15T14:22:00Z">
        <w:r w:rsidRPr="009C5EFD">
          <w:rPr>
            <w:sz w:val="22"/>
            <w:szCs w:val="22"/>
          </w:rPr>
          <w:delText xml:space="preserve">Andre krefttyper enn lymfomer er sett hos pasienter som hadde en bestemt type lungesykdom kalt kronisk obstruktiv lungesykdom (KOLS) og som fikk behandling med andre TNF-blokkere. Dersom du har KOLS, eller er storrøyker, skal du snakke med </w:delText>
        </w:r>
        <w:r w:rsidR="002858DC">
          <w:rPr>
            <w:sz w:val="22"/>
            <w:szCs w:val="22"/>
          </w:rPr>
          <w:delText>legen din</w:delText>
        </w:r>
        <w:r w:rsidRPr="009C5EFD">
          <w:rPr>
            <w:sz w:val="22"/>
            <w:szCs w:val="22"/>
          </w:rPr>
          <w:delText xml:space="preserve"> om behandling med en TNF-blokker passer for deg.</w:delText>
        </w:r>
      </w:del>
    </w:p>
    <w:p w14:paraId="619AC95F" w14:textId="4498AB7D" w:rsidR="00750CB0" w:rsidRPr="009C5EFD" w:rsidRDefault="00E453CD" w:rsidP="009C5EFD">
      <w:pPr>
        <w:numPr>
          <w:ilvl w:val="0"/>
          <w:numId w:val="3"/>
        </w:numPr>
        <w:tabs>
          <w:tab w:val="num" w:pos="567"/>
        </w:tabs>
        <w:suppressAutoHyphens/>
        <w:ind w:left="567" w:hanging="567"/>
        <w:rPr>
          <w:del w:id="16556" w:author="AbbVie02no" w:date="2025-05-15T14:22:00Z"/>
          <w:sz w:val="22"/>
          <w:szCs w:val="22"/>
        </w:rPr>
      </w:pPr>
      <w:del w:id="16557" w:author="AbbVie02no" w:date="2025-05-15T14:22:00Z">
        <w:r w:rsidRPr="00DC73BE">
          <w:rPr>
            <w:sz w:val="22"/>
          </w:rPr>
          <w:delText>I sjeldne tilfeller kan behandling med Humira føre til et syndrom som ligner på lupus. Kontakt lege dersom symptomer som vedvarende uforklarlig utslett, feber, leddsmerter eller tretthet oppstår</w:delText>
        </w:r>
        <w:r w:rsidRPr="00DC73BE">
          <w:rPr>
            <w:sz w:val="22"/>
            <w:szCs w:val="22"/>
          </w:rPr>
          <w:delText>.</w:delText>
        </w:r>
      </w:del>
    </w:p>
    <w:p w14:paraId="0A2C3B0D" w14:textId="2FF7C58F" w:rsidR="00C84AFD" w:rsidRPr="00AF70AD" w:rsidRDefault="00C84AFD" w:rsidP="009C5EFD">
      <w:pPr>
        <w:pStyle w:val="Heading3"/>
        <w:keepNext w:val="0"/>
        <w:suppressAutoHyphens/>
        <w:rPr>
          <w:del w:id="16558" w:author="AbbVie02no" w:date="2025-05-15T14:22:00Z"/>
          <w:b w:val="0"/>
          <w:szCs w:val="22"/>
          <w:lang w:val="nb-NO"/>
        </w:rPr>
      </w:pPr>
    </w:p>
    <w:p w14:paraId="5DE206A9" w14:textId="1CADDFDF" w:rsidR="00010FAB" w:rsidRPr="009C5EFD" w:rsidRDefault="00E453CD" w:rsidP="00776A84">
      <w:pPr>
        <w:keepNext/>
        <w:suppressAutoHyphens/>
        <w:rPr>
          <w:del w:id="16559" w:author="AbbVie02no" w:date="2025-05-15T14:22:00Z"/>
          <w:sz w:val="22"/>
          <w:szCs w:val="22"/>
        </w:rPr>
      </w:pPr>
      <w:del w:id="16560" w:author="AbbVie02no" w:date="2025-05-15T14:22:00Z">
        <w:r w:rsidRPr="009C5EFD">
          <w:rPr>
            <w:b/>
            <w:sz w:val="22"/>
            <w:szCs w:val="22"/>
          </w:rPr>
          <w:delText>Barn og ungdom</w:delText>
        </w:r>
      </w:del>
    </w:p>
    <w:p w14:paraId="4326704A" w14:textId="55721FB0" w:rsidR="00010FAB" w:rsidRPr="009C5EFD" w:rsidRDefault="00010FAB" w:rsidP="00776A84">
      <w:pPr>
        <w:keepNext/>
        <w:suppressAutoHyphens/>
        <w:rPr>
          <w:del w:id="16561" w:author="AbbVie02no" w:date="2025-05-15T14:22:00Z"/>
          <w:sz w:val="22"/>
          <w:szCs w:val="22"/>
        </w:rPr>
      </w:pPr>
    </w:p>
    <w:p w14:paraId="34AE9A21" w14:textId="75D5A0C2" w:rsidR="00010FAB" w:rsidRPr="009C5EFD" w:rsidRDefault="00E453CD" w:rsidP="009C5EFD">
      <w:pPr>
        <w:numPr>
          <w:ilvl w:val="0"/>
          <w:numId w:val="3"/>
        </w:numPr>
        <w:tabs>
          <w:tab w:val="num" w:pos="567"/>
        </w:tabs>
        <w:suppressAutoHyphens/>
        <w:ind w:left="567" w:hanging="567"/>
        <w:rPr>
          <w:del w:id="16562" w:author="AbbVie02no" w:date="2025-05-15T14:22:00Z"/>
          <w:sz w:val="22"/>
          <w:szCs w:val="22"/>
        </w:rPr>
      </w:pPr>
      <w:del w:id="16563" w:author="AbbVie02no" w:date="2025-05-15T14:22:00Z">
        <w:r w:rsidRPr="009C5EFD">
          <w:rPr>
            <w:sz w:val="22"/>
            <w:szCs w:val="22"/>
          </w:rPr>
          <w:delText xml:space="preserve">Vaksinasjoner: hvis mulig, </w:delText>
        </w:r>
        <w:r w:rsidR="00A23FF7">
          <w:rPr>
            <w:sz w:val="22"/>
            <w:szCs w:val="22"/>
          </w:rPr>
          <w:delText>bør</w:delText>
        </w:r>
        <w:r w:rsidR="00A23FF7" w:rsidRPr="009C5EFD">
          <w:rPr>
            <w:sz w:val="22"/>
            <w:szCs w:val="22"/>
          </w:rPr>
          <w:delText xml:space="preserve"> barn</w:delText>
        </w:r>
        <w:r w:rsidR="00A23FF7">
          <w:rPr>
            <w:sz w:val="22"/>
            <w:szCs w:val="22"/>
          </w:rPr>
          <w:delText>et</w:delText>
        </w:r>
        <w:r w:rsidR="00A23FF7" w:rsidRPr="009C5EFD">
          <w:rPr>
            <w:sz w:val="22"/>
            <w:szCs w:val="22"/>
          </w:rPr>
          <w:delText xml:space="preserve"> </w:delText>
        </w:r>
        <w:r w:rsidRPr="009C5EFD">
          <w:rPr>
            <w:sz w:val="22"/>
            <w:szCs w:val="22"/>
          </w:rPr>
          <w:delText>ditt være oppdatert i henhold til alle vaksinasjoner før Humira brukes</w:delText>
        </w:r>
        <w:r w:rsidR="002A2171" w:rsidRPr="009C5EFD">
          <w:rPr>
            <w:sz w:val="22"/>
            <w:szCs w:val="22"/>
          </w:rPr>
          <w:delText>.</w:delText>
        </w:r>
      </w:del>
    </w:p>
    <w:p w14:paraId="295BB643" w14:textId="0D672E65" w:rsidR="00010FAB" w:rsidRPr="009C5EFD" w:rsidRDefault="00E453CD" w:rsidP="009C5EFD">
      <w:pPr>
        <w:numPr>
          <w:ilvl w:val="0"/>
          <w:numId w:val="3"/>
        </w:numPr>
        <w:tabs>
          <w:tab w:val="num" w:pos="567"/>
        </w:tabs>
        <w:suppressAutoHyphens/>
        <w:ind w:left="567" w:hanging="567"/>
        <w:rPr>
          <w:del w:id="16564" w:author="AbbVie02no" w:date="2025-05-15T14:22:00Z"/>
          <w:szCs w:val="22"/>
        </w:rPr>
      </w:pPr>
      <w:del w:id="16565" w:author="AbbVie02no" w:date="2025-05-15T14:22:00Z">
        <w:r w:rsidRPr="009C5EFD">
          <w:rPr>
            <w:sz w:val="22"/>
            <w:szCs w:val="22"/>
          </w:rPr>
          <w:delText xml:space="preserve">Ikke gi Humira til barn med polyartikulær juvenil </w:delText>
        </w:r>
        <w:r w:rsidR="000D6FF0">
          <w:rPr>
            <w:sz w:val="22"/>
            <w:szCs w:val="22"/>
          </w:rPr>
          <w:delText xml:space="preserve">idiopatisk </w:delText>
        </w:r>
        <w:r w:rsidRPr="009C5EFD">
          <w:rPr>
            <w:sz w:val="22"/>
            <w:szCs w:val="22"/>
          </w:rPr>
          <w:delText>artritt under alderen 2 år.</w:delText>
        </w:r>
      </w:del>
    </w:p>
    <w:p w14:paraId="3E6BECC0" w14:textId="4A6B9289" w:rsidR="00010FAB" w:rsidRPr="00AF70AD" w:rsidRDefault="00010FAB" w:rsidP="009C5EFD">
      <w:pPr>
        <w:pStyle w:val="Heading3"/>
        <w:keepNext w:val="0"/>
        <w:suppressAutoHyphens/>
        <w:rPr>
          <w:del w:id="16566" w:author="AbbVie02no" w:date="2025-05-15T14:22:00Z"/>
          <w:b w:val="0"/>
          <w:szCs w:val="22"/>
          <w:lang w:val="nb-NO"/>
        </w:rPr>
      </w:pPr>
    </w:p>
    <w:p w14:paraId="4D66555F" w14:textId="33378258" w:rsidR="00DE3458" w:rsidRPr="009C5EFD" w:rsidRDefault="00E453CD" w:rsidP="00776A84">
      <w:pPr>
        <w:pStyle w:val="Heading3"/>
        <w:suppressAutoHyphens/>
        <w:rPr>
          <w:del w:id="16567" w:author="AbbVie02no" w:date="2025-05-15T14:22:00Z"/>
          <w:szCs w:val="22"/>
          <w:lang w:val="nb-NO"/>
        </w:rPr>
      </w:pPr>
      <w:del w:id="16568" w:author="AbbVie02no" w:date="2025-05-15T14:22:00Z">
        <w:r w:rsidRPr="009C5EFD">
          <w:rPr>
            <w:szCs w:val="22"/>
            <w:lang w:val="nb-NO"/>
          </w:rPr>
          <w:delText>Andre legemidler og Humira</w:delText>
        </w:r>
      </w:del>
    </w:p>
    <w:p w14:paraId="69E5EC42" w14:textId="739031AC" w:rsidR="00DE3458" w:rsidRPr="00AF70AD" w:rsidRDefault="00DE3458" w:rsidP="00776A84">
      <w:pPr>
        <w:keepNext/>
        <w:suppressAutoHyphens/>
        <w:rPr>
          <w:del w:id="16569" w:author="AbbVie02no" w:date="2025-05-15T14:22:00Z"/>
          <w:sz w:val="22"/>
          <w:szCs w:val="22"/>
        </w:rPr>
      </w:pPr>
    </w:p>
    <w:p w14:paraId="34A59C82" w14:textId="6BF45A98" w:rsidR="00010FAB" w:rsidRPr="001F5D4B" w:rsidRDefault="00E453CD" w:rsidP="009C5EFD">
      <w:pPr>
        <w:suppressAutoHyphens/>
        <w:rPr>
          <w:del w:id="16570" w:author="AbbVie02no" w:date="2025-05-15T14:22:00Z"/>
          <w:sz w:val="22"/>
          <w:szCs w:val="22"/>
        </w:rPr>
      </w:pPr>
      <w:del w:id="16571" w:author="AbbVie02no" w:date="2025-05-15T14:22:00Z">
        <w:r>
          <w:rPr>
            <w:sz w:val="22"/>
            <w:szCs w:val="22"/>
          </w:rPr>
          <w:delText>Snakk med</w:delText>
        </w:r>
        <w:r w:rsidRPr="001F5D4B">
          <w:rPr>
            <w:sz w:val="22"/>
            <w:szCs w:val="22"/>
          </w:rPr>
          <w:delText xml:space="preserve"> </w:delText>
        </w:r>
        <w:r w:rsidR="002858DC" w:rsidRPr="001F5D4B">
          <w:rPr>
            <w:sz w:val="22"/>
            <w:szCs w:val="22"/>
          </w:rPr>
          <w:delText>legen din</w:delText>
        </w:r>
        <w:r w:rsidRPr="001F5D4B">
          <w:rPr>
            <w:sz w:val="22"/>
            <w:szCs w:val="22"/>
          </w:rPr>
          <w:delText xml:space="preserve"> eller apotek dersom du bruker, nylig </w:delText>
        </w:r>
        <w:r w:rsidR="00711651" w:rsidRPr="001F5D4B">
          <w:rPr>
            <w:sz w:val="22"/>
            <w:szCs w:val="22"/>
          </w:rPr>
          <w:delText xml:space="preserve">har </w:delText>
        </w:r>
        <w:r w:rsidRPr="001F5D4B">
          <w:rPr>
            <w:sz w:val="22"/>
            <w:szCs w:val="22"/>
          </w:rPr>
          <w:delText xml:space="preserve">brukt eller </w:delText>
        </w:r>
        <w:r w:rsidR="00711651" w:rsidRPr="001F5D4B">
          <w:rPr>
            <w:sz w:val="22"/>
            <w:szCs w:val="22"/>
          </w:rPr>
          <w:delText>planlegger</w:delText>
        </w:r>
        <w:r w:rsidRPr="001F5D4B">
          <w:rPr>
            <w:sz w:val="22"/>
            <w:szCs w:val="22"/>
          </w:rPr>
          <w:delText xml:space="preserve"> å bruke andre legemidler.</w:delText>
        </w:r>
      </w:del>
    </w:p>
    <w:p w14:paraId="5071FCB8" w14:textId="18447B4C" w:rsidR="00010FAB" w:rsidRPr="009C5EFD" w:rsidRDefault="00010FAB" w:rsidP="009C5EFD">
      <w:pPr>
        <w:suppressAutoHyphens/>
        <w:rPr>
          <w:del w:id="16572" w:author="AbbVie02no" w:date="2025-05-15T14:22:00Z"/>
          <w:szCs w:val="22"/>
        </w:rPr>
      </w:pPr>
    </w:p>
    <w:p w14:paraId="3FF90259" w14:textId="235036A7" w:rsidR="00DE3458" w:rsidRPr="009C5EFD" w:rsidRDefault="00E453CD" w:rsidP="009C5EFD">
      <w:pPr>
        <w:suppressAutoHyphens/>
        <w:rPr>
          <w:del w:id="16573" w:author="AbbVie02no" w:date="2025-05-15T14:22:00Z"/>
          <w:sz w:val="22"/>
          <w:szCs w:val="22"/>
        </w:rPr>
      </w:pPr>
      <w:del w:id="16574" w:author="AbbVie02no" w:date="2025-05-15T14:22:00Z">
        <w:r w:rsidRPr="009C5EFD">
          <w:rPr>
            <w:sz w:val="22"/>
            <w:szCs w:val="22"/>
          </w:rPr>
          <w:delText>Humira kan tas sammen med metotreksat eller visse sykdomsmodifiserende antirevmatiske midler (sulfasalasin, hydroksyklorokin, leflunomid samt gullpreparater til injeksjon), steroider eller smertestillende midler, deriblant ikke-steroide antiinflammatoriske midler (NSAID</w:delText>
        </w:r>
        <w:r w:rsidR="00B225C9" w:rsidRPr="009C5EFD">
          <w:rPr>
            <w:sz w:val="22"/>
            <w:szCs w:val="22"/>
          </w:rPr>
          <w:delText>s</w:delText>
        </w:r>
        <w:r w:rsidRPr="009C5EFD">
          <w:rPr>
            <w:sz w:val="22"/>
            <w:szCs w:val="22"/>
          </w:rPr>
          <w:delText>).</w:delText>
        </w:r>
      </w:del>
    </w:p>
    <w:p w14:paraId="4EDBF290" w14:textId="574D67A7" w:rsidR="00DE3458" w:rsidRPr="009C5EFD" w:rsidRDefault="00DE3458" w:rsidP="009C5EFD">
      <w:pPr>
        <w:suppressAutoHyphens/>
        <w:rPr>
          <w:del w:id="16575" w:author="AbbVie02no" w:date="2025-05-15T14:22:00Z"/>
          <w:sz w:val="22"/>
          <w:szCs w:val="22"/>
        </w:rPr>
      </w:pPr>
    </w:p>
    <w:p w14:paraId="66F55D2B" w14:textId="12AB8666" w:rsidR="00DE3458" w:rsidRPr="009C5EFD" w:rsidRDefault="00E453CD" w:rsidP="009C5EFD">
      <w:pPr>
        <w:suppressAutoHyphens/>
        <w:rPr>
          <w:del w:id="16576" w:author="AbbVie02no" w:date="2025-05-15T14:22:00Z"/>
          <w:sz w:val="22"/>
          <w:szCs w:val="22"/>
        </w:rPr>
      </w:pPr>
      <w:del w:id="16577" w:author="AbbVie02no" w:date="2025-05-15T14:22:00Z">
        <w:r w:rsidRPr="009C5EFD">
          <w:rPr>
            <w:sz w:val="22"/>
            <w:szCs w:val="22"/>
          </w:rPr>
          <w:delText>Du må ikke ta Humira sammen med legemidler som inneholder virkestoffe</w:delText>
        </w:r>
        <w:r w:rsidR="00582FC8">
          <w:rPr>
            <w:sz w:val="22"/>
            <w:szCs w:val="22"/>
          </w:rPr>
          <w:delText>ne</w:delText>
        </w:r>
        <w:r w:rsidRPr="009C5EFD">
          <w:rPr>
            <w:sz w:val="22"/>
            <w:szCs w:val="22"/>
          </w:rPr>
          <w:delText xml:space="preserve"> anakinra eller abatacept</w:delText>
        </w:r>
        <w:r w:rsidR="00582FC8">
          <w:rPr>
            <w:sz w:val="22"/>
            <w:szCs w:val="22"/>
          </w:rPr>
          <w:delText xml:space="preserve"> </w:delText>
        </w:r>
        <w:r w:rsidR="00582FC8" w:rsidRPr="00582FC8">
          <w:rPr>
            <w:sz w:val="22"/>
            <w:szCs w:val="22"/>
          </w:rPr>
          <w:delText>på grunn av økt risiko for alvorlig infeksjon</w:delText>
        </w:r>
        <w:r w:rsidRPr="009C5EFD">
          <w:rPr>
            <w:sz w:val="22"/>
            <w:szCs w:val="22"/>
          </w:rPr>
          <w:delText>. Hvis du har spørsmål, kontakt legen din.</w:delText>
        </w:r>
      </w:del>
    </w:p>
    <w:p w14:paraId="6E04392C" w14:textId="594FA5BC" w:rsidR="00DE3458" w:rsidRPr="009C5EFD" w:rsidRDefault="00DE3458" w:rsidP="009C5EFD">
      <w:pPr>
        <w:suppressAutoHyphens/>
        <w:rPr>
          <w:del w:id="16578" w:author="AbbVie02no" w:date="2025-05-15T14:22:00Z"/>
          <w:sz w:val="22"/>
          <w:szCs w:val="22"/>
        </w:rPr>
      </w:pPr>
    </w:p>
    <w:p w14:paraId="3312452C" w14:textId="182560A8" w:rsidR="00DE3458" w:rsidRDefault="00E453CD" w:rsidP="00D35625">
      <w:pPr>
        <w:keepNext/>
        <w:rPr>
          <w:del w:id="16579" w:author="AbbVie02no" w:date="2025-05-15T14:22:00Z"/>
          <w:b/>
          <w:sz w:val="22"/>
          <w:szCs w:val="22"/>
        </w:rPr>
      </w:pPr>
      <w:del w:id="16580" w:author="AbbVie02no" w:date="2025-05-15T14:22:00Z">
        <w:r w:rsidRPr="009C5EFD">
          <w:rPr>
            <w:b/>
            <w:sz w:val="22"/>
            <w:szCs w:val="22"/>
          </w:rPr>
          <w:delText>Graviditet og amming</w:delText>
        </w:r>
      </w:del>
    </w:p>
    <w:p w14:paraId="5EF469F2" w14:textId="6CF9C347" w:rsidR="00446CD7" w:rsidRPr="009C5EFD" w:rsidRDefault="00446CD7" w:rsidP="00D35625">
      <w:pPr>
        <w:keepNext/>
        <w:rPr>
          <w:del w:id="16581" w:author="AbbVie02no" w:date="2025-05-15T14:22:00Z"/>
          <w:b/>
          <w:sz w:val="22"/>
          <w:szCs w:val="22"/>
        </w:rPr>
      </w:pPr>
    </w:p>
    <w:p w14:paraId="61915542" w14:textId="5D415CBA" w:rsidR="00DE3458" w:rsidRPr="00D35625" w:rsidRDefault="00E453CD" w:rsidP="00D35625">
      <w:pPr>
        <w:pStyle w:val="ListParagraph"/>
        <w:numPr>
          <w:ilvl w:val="0"/>
          <w:numId w:val="15"/>
        </w:numPr>
        <w:suppressAutoHyphens/>
        <w:rPr>
          <w:del w:id="16582" w:author="AbbVie02no" w:date="2025-05-15T14:22:00Z"/>
          <w:sz w:val="22"/>
          <w:szCs w:val="22"/>
        </w:rPr>
      </w:pPr>
      <w:del w:id="16583" w:author="AbbVie02no" w:date="2025-05-15T14:22:00Z">
        <w:r w:rsidRPr="00D35625">
          <w:rPr>
            <w:sz w:val="22"/>
            <w:szCs w:val="22"/>
          </w:rPr>
          <w:delText xml:space="preserve">Du </w:delText>
        </w:r>
        <w:r w:rsidR="00AA09C3" w:rsidRPr="00D35625">
          <w:rPr>
            <w:sz w:val="22"/>
            <w:szCs w:val="22"/>
          </w:rPr>
          <w:delText xml:space="preserve">bør vurdere å </w:delText>
        </w:r>
        <w:r w:rsidRPr="00D35625">
          <w:rPr>
            <w:sz w:val="22"/>
            <w:szCs w:val="22"/>
          </w:rPr>
          <w:delText xml:space="preserve">bruke </w:delText>
        </w:r>
        <w:r w:rsidR="006068F5" w:rsidRPr="00D35625">
          <w:rPr>
            <w:sz w:val="22"/>
            <w:szCs w:val="22"/>
          </w:rPr>
          <w:delText>sikker</w:delText>
        </w:r>
        <w:r w:rsidRPr="00D35625">
          <w:rPr>
            <w:sz w:val="22"/>
            <w:szCs w:val="22"/>
          </w:rPr>
          <w:delText xml:space="preserve"> prevensjon </w:delText>
        </w:r>
        <w:r w:rsidR="00AA09C3" w:rsidRPr="00D35625">
          <w:rPr>
            <w:sz w:val="22"/>
            <w:szCs w:val="22"/>
          </w:rPr>
          <w:delText xml:space="preserve">for å forhindre graviditet og fortsette bruken </w:delText>
        </w:r>
        <w:r w:rsidRPr="00D35625">
          <w:rPr>
            <w:sz w:val="22"/>
            <w:szCs w:val="22"/>
          </w:rPr>
          <w:delText>i minst 5 måneder etter siste behandling med Humira.</w:delText>
        </w:r>
      </w:del>
    </w:p>
    <w:p w14:paraId="1F80B7D8" w14:textId="767999F5" w:rsidR="00446CD7" w:rsidRDefault="00E453CD" w:rsidP="00446CD7">
      <w:pPr>
        <w:pStyle w:val="ListParagraph"/>
        <w:numPr>
          <w:ilvl w:val="0"/>
          <w:numId w:val="15"/>
        </w:numPr>
        <w:suppressAutoHyphens/>
        <w:rPr>
          <w:del w:id="16584" w:author="AbbVie02no" w:date="2025-05-15T14:22:00Z"/>
          <w:sz w:val="22"/>
          <w:szCs w:val="22"/>
        </w:rPr>
      </w:pPr>
      <w:del w:id="16585" w:author="AbbVie02no" w:date="2025-05-15T14:22:00Z">
        <w:r>
          <w:rPr>
            <w:sz w:val="22"/>
            <w:szCs w:val="22"/>
          </w:rPr>
          <w:delText xml:space="preserve">Snakk med </w:delText>
        </w:r>
        <w:r w:rsidRPr="00922A98">
          <w:rPr>
            <w:sz w:val="22"/>
            <w:szCs w:val="22"/>
          </w:rPr>
          <w:delText>lege</w:delText>
        </w:r>
        <w:r>
          <w:rPr>
            <w:sz w:val="22"/>
            <w:szCs w:val="22"/>
          </w:rPr>
          <w:delText xml:space="preserve"> </w:delText>
        </w:r>
        <w:r w:rsidRPr="00922A98">
          <w:rPr>
            <w:sz w:val="22"/>
            <w:szCs w:val="22"/>
          </w:rPr>
          <w:delText xml:space="preserve">før </w:delText>
        </w:r>
        <w:r w:rsidR="00E06B46">
          <w:rPr>
            <w:sz w:val="22"/>
            <w:szCs w:val="22"/>
          </w:rPr>
          <w:delText>du</w:delText>
        </w:r>
        <w:r w:rsidRPr="00922A98">
          <w:rPr>
            <w:sz w:val="22"/>
            <w:szCs w:val="22"/>
          </w:rPr>
          <w:delText xml:space="preserve"> tar det</w:delText>
        </w:r>
        <w:r>
          <w:rPr>
            <w:sz w:val="22"/>
            <w:szCs w:val="22"/>
          </w:rPr>
          <w:delText xml:space="preserve">te legemidlet dersom </w:delText>
        </w:r>
        <w:r w:rsidR="00E06B46">
          <w:rPr>
            <w:sz w:val="22"/>
            <w:szCs w:val="22"/>
          </w:rPr>
          <w:delText>du</w:delText>
        </w:r>
        <w:r>
          <w:rPr>
            <w:sz w:val="22"/>
            <w:szCs w:val="22"/>
          </w:rPr>
          <w:delText xml:space="preserve"> er gravid, tror at </w:delText>
        </w:r>
        <w:r w:rsidR="00E06B46">
          <w:rPr>
            <w:sz w:val="22"/>
            <w:szCs w:val="22"/>
          </w:rPr>
          <w:delText>du</w:delText>
        </w:r>
        <w:r w:rsidRPr="00922A98">
          <w:rPr>
            <w:sz w:val="22"/>
            <w:szCs w:val="22"/>
          </w:rPr>
          <w:delText xml:space="preserve"> kan være gravid</w:delText>
        </w:r>
        <w:r>
          <w:rPr>
            <w:sz w:val="22"/>
            <w:szCs w:val="22"/>
          </w:rPr>
          <w:delText xml:space="preserve"> eller planlegger å bli gravid.</w:delText>
        </w:r>
      </w:del>
    </w:p>
    <w:p w14:paraId="28199E68" w14:textId="074CF0B4" w:rsidR="00446CD7" w:rsidRDefault="00E453CD" w:rsidP="00446CD7">
      <w:pPr>
        <w:pStyle w:val="ListParagraph"/>
        <w:numPr>
          <w:ilvl w:val="0"/>
          <w:numId w:val="15"/>
        </w:numPr>
        <w:suppressAutoHyphens/>
        <w:rPr>
          <w:del w:id="16586" w:author="AbbVie02no" w:date="2025-05-15T14:22:00Z"/>
          <w:sz w:val="22"/>
          <w:szCs w:val="22"/>
        </w:rPr>
      </w:pPr>
      <w:del w:id="16587" w:author="AbbVie02no" w:date="2025-05-15T14:22:00Z">
        <w:r>
          <w:rPr>
            <w:sz w:val="22"/>
            <w:szCs w:val="22"/>
          </w:rPr>
          <w:delText>Humira bør kun brukes under graviditet dersom det er nødvendig.</w:delText>
        </w:r>
      </w:del>
    </w:p>
    <w:p w14:paraId="79DEB373" w14:textId="61CC178C" w:rsidR="00446CD7" w:rsidRDefault="00E453CD" w:rsidP="00446CD7">
      <w:pPr>
        <w:pStyle w:val="ListParagraph"/>
        <w:numPr>
          <w:ilvl w:val="0"/>
          <w:numId w:val="15"/>
        </w:numPr>
        <w:suppressAutoHyphens/>
        <w:rPr>
          <w:del w:id="16588" w:author="AbbVie02no" w:date="2025-05-15T14:22:00Z"/>
          <w:sz w:val="22"/>
          <w:szCs w:val="22"/>
        </w:rPr>
      </w:pPr>
      <w:del w:id="16589" w:author="AbbVie02no" w:date="2025-05-15T14:22:00Z">
        <w:r>
          <w:rPr>
            <w:sz w:val="22"/>
            <w:szCs w:val="22"/>
          </w:rPr>
          <w:delText xml:space="preserve">I henhold til en studie på gravide var det ingen større risiko for </w:delText>
        </w:r>
        <w:r w:rsidR="00CF2078">
          <w:rPr>
            <w:sz w:val="22"/>
            <w:szCs w:val="22"/>
          </w:rPr>
          <w:delText>fosterskader</w:delText>
        </w:r>
        <w:r>
          <w:rPr>
            <w:sz w:val="22"/>
            <w:szCs w:val="22"/>
          </w:rPr>
          <w:delText xml:space="preserve"> når moren hadde fått Humira under graviditet sammenlignet med mødre med den samme sykdommen som ikke hadde fått Humira.</w:delText>
        </w:r>
      </w:del>
    </w:p>
    <w:p w14:paraId="6F974167" w14:textId="1FEE207B" w:rsidR="00446CD7" w:rsidRDefault="00E453CD" w:rsidP="00446CD7">
      <w:pPr>
        <w:pStyle w:val="ListParagraph"/>
        <w:numPr>
          <w:ilvl w:val="0"/>
          <w:numId w:val="15"/>
        </w:numPr>
        <w:suppressAutoHyphens/>
        <w:rPr>
          <w:del w:id="16590" w:author="AbbVie02no" w:date="2025-05-15T14:22:00Z"/>
          <w:sz w:val="22"/>
          <w:szCs w:val="22"/>
        </w:rPr>
      </w:pPr>
      <w:del w:id="16591" w:author="AbbVie02no" w:date="2025-05-15T14:22:00Z">
        <w:r>
          <w:rPr>
            <w:sz w:val="22"/>
            <w:szCs w:val="22"/>
          </w:rPr>
          <w:delText>Humira kan brukes under amming.</w:delText>
        </w:r>
      </w:del>
    </w:p>
    <w:p w14:paraId="18B50BB9" w14:textId="47057A0C" w:rsidR="00446CD7" w:rsidRDefault="00E453CD" w:rsidP="00D35625">
      <w:pPr>
        <w:pStyle w:val="EMEAFigureTitle"/>
        <w:numPr>
          <w:ilvl w:val="0"/>
          <w:numId w:val="151"/>
        </w:numPr>
        <w:tabs>
          <w:tab w:val="clear" w:pos="562"/>
        </w:tabs>
        <w:rPr>
          <w:del w:id="16592" w:author="AbbVie02no" w:date="2025-05-15T14:22:00Z"/>
          <w:lang w:val="nb-NO"/>
        </w:rPr>
      </w:pPr>
      <w:del w:id="16593" w:author="AbbVie02no" w:date="2025-05-15T14:22:00Z">
        <w:r>
          <w:rPr>
            <w:lang w:val="nb-NO"/>
          </w:rPr>
          <w:delText>Dersom</w:delText>
        </w:r>
        <w:r w:rsidR="00A47E91" w:rsidRPr="009C5EFD">
          <w:rPr>
            <w:lang w:val="nb-NO"/>
          </w:rPr>
          <w:delText xml:space="preserve"> du bruk</w:delText>
        </w:r>
        <w:r>
          <w:rPr>
            <w:lang w:val="nb-NO"/>
          </w:rPr>
          <w:delText>er</w:delText>
        </w:r>
        <w:r w:rsidR="00A47E91" w:rsidRPr="009C5EFD">
          <w:rPr>
            <w:lang w:val="nb-NO"/>
          </w:rPr>
          <w:delText xml:space="preserve"> Humira under graviditet, kan spedbarnet ditt ha høyere risiko for å få en infeksjon. </w:delText>
        </w:r>
      </w:del>
    </w:p>
    <w:p w14:paraId="748F830F" w14:textId="62A04BC2" w:rsidR="00DE3458" w:rsidRPr="009C5EFD" w:rsidRDefault="00E453CD" w:rsidP="00D35625">
      <w:pPr>
        <w:pStyle w:val="EMEAFigureTitle"/>
        <w:numPr>
          <w:ilvl w:val="0"/>
          <w:numId w:val="151"/>
        </w:numPr>
        <w:tabs>
          <w:tab w:val="clear" w:pos="562"/>
        </w:tabs>
        <w:rPr>
          <w:del w:id="16594" w:author="AbbVie02no" w:date="2025-05-15T14:22:00Z"/>
          <w:lang w:val="nb-NO"/>
        </w:rPr>
      </w:pPr>
      <w:del w:id="16595" w:author="AbbVie02no" w:date="2025-05-15T14:22:00Z">
        <w:r w:rsidRPr="009C5EFD">
          <w:rPr>
            <w:lang w:val="nb-NO"/>
          </w:rPr>
          <w:delText xml:space="preserve">Det er viktig at du forteller </w:delText>
        </w:r>
        <w:r w:rsidR="00035491">
          <w:rPr>
            <w:lang w:val="nb-NO"/>
          </w:rPr>
          <w:delText>legen til spedbarnet ditt</w:delText>
        </w:r>
        <w:r w:rsidRPr="009C5EFD">
          <w:rPr>
            <w:lang w:val="nb-NO"/>
          </w:rPr>
          <w:delText xml:space="preserve"> og annet helsepersonell </w:delText>
        </w:r>
        <w:r w:rsidR="00166342">
          <w:rPr>
            <w:lang w:val="nb-NO"/>
          </w:rPr>
          <w:delText>om</w:delText>
        </w:r>
        <w:r w:rsidRPr="009C5EFD">
          <w:rPr>
            <w:lang w:val="nb-NO"/>
          </w:rPr>
          <w:delText xml:space="preserve"> </w:delText>
        </w:r>
        <w:r w:rsidR="00B904B8">
          <w:rPr>
            <w:lang w:val="nb-NO"/>
          </w:rPr>
          <w:delText xml:space="preserve">din </w:delText>
        </w:r>
        <w:r w:rsidRPr="009C5EFD">
          <w:rPr>
            <w:lang w:val="nb-NO"/>
          </w:rPr>
          <w:delText>bruk</w:delText>
        </w:r>
        <w:r w:rsidR="00166342">
          <w:rPr>
            <w:lang w:val="nb-NO"/>
          </w:rPr>
          <w:delText xml:space="preserve"> av</w:delText>
        </w:r>
        <w:r w:rsidRPr="009C5EFD">
          <w:rPr>
            <w:lang w:val="nb-NO"/>
          </w:rPr>
          <w:delText xml:space="preserve"> Humira under graviditet</w:delText>
        </w:r>
        <w:r w:rsidR="00060CC6" w:rsidRPr="009C5EFD">
          <w:rPr>
            <w:lang w:val="nb-NO"/>
          </w:rPr>
          <w:delText>en</w:delText>
        </w:r>
        <w:r w:rsidRPr="009C5EFD">
          <w:rPr>
            <w:lang w:val="nb-NO"/>
          </w:rPr>
          <w:delText xml:space="preserve"> før </w:delText>
        </w:r>
        <w:r w:rsidR="00900FF9">
          <w:rPr>
            <w:lang w:val="nb-NO"/>
          </w:rPr>
          <w:delText>sped</w:delText>
        </w:r>
        <w:r w:rsidRPr="009C5EFD">
          <w:rPr>
            <w:lang w:val="nb-NO"/>
          </w:rPr>
          <w:delText>barnet vaksineres</w:delText>
        </w:r>
        <w:r w:rsidR="00166342">
          <w:rPr>
            <w:lang w:val="nb-NO"/>
          </w:rPr>
          <w:delText>.</w:delText>
        </w:r>
        <w:r w:rsidRPr="009C5EFD">
          <w:rPr>
            <w:lang w:val="nb-NO"/>
          </w:rPr>
          <w:delText xml:space="preserve"> </w:delText>
        </w:r>
        <w:r w:rsidR="00166342">
          <w:rPr>
            <w:lang w:val="nb-NO"/>
          </w:rPr>
          <w:delText>F</w:delText>
        </w:r>
        <w:r w:rsidR="003049EE" w:rsidRPr="00D35625">
          <w:rPr>
            <w:lang w:val="nb-NO"/>
          </w:rPr>
          <w:delText xml:space="preserve">or mer informasjon om vaksiner, </w:delText>
        </w:r>
        <w:r w:rsidR="003049EE" w:rsidRPr="00D35625">
          <w:rPr>
            <w:szCs w:val="22"/>
            <w:lang w:val="nb-NO"/>
          </w:rPr>
          <w:delText>se avsnittet «Advarsler og forsiktighetsregler»</w:delText>
        </w:r>
        <w:r w:rsidRPr="009C5EFD">
          <w:rPr>
            <w:lang w:val="nb-NO"/>
          </w:rPr>
          <w:delText>.</w:delText>
        </w:r>
      </w:del>
    </w:p>
    <w:p w14:paraId="40A3C1E6" w14:textId="3A873F3F" w:rsidR="00DE3458" w:rsidRPr="009C5EFD" w:rsidRDefault="00DE3458" w:rsidP="009C5EFD">
      <w:pPr>
        <w:rPr>
          <w:del w:id="16596" w:author="AbbVie02no" w:date="2025-05-15T14:22:00Z"/>
          <w:sz w:val="22"/>
          <w:szCs w:val="22"/>
        </w:rPr>
      </w:pPr>
    </w:p>
    <w:p w14:paraId="65525A50" w14:textId="01B6B232" w:rsidR="00DE3458" w:rsidRPr="009C5EFD" w:rsidRDefault="00E453CD" w:rsidP="00776A84">
      <w:pPr>
        <w:keepNext/>
        <w:suppressAutoHyphens/>
        <w:rPr>
          <w:del w:id="16597" w:author="AbbVie02no" w:date="2025-05-15T14:22:00Z"/>
          <w:b/>
          <w:sz w:val="22"/>
          <w:szCs w:val="22"/>
        </w:rPr>
      </w:pPr>
      <w:del w:id="16598" w:author="AbbVie02no" w:date="2025-05-15T14:22:00Z">
        <w:r w:rsidRPr="009C5EFD">
          <w:rPr>
            <w:b/>
            <w:sz w:val="22"/>
            <w:szCs w:val="22"/>
          </w:rPr>
          <w:delText>Kjøring og bruk av maskiner</w:delText>
        </w:r>
      </w:del>
    </w:p>
    <w:p w14:paraId="235F8D06" w14:textId="58DEEAD9" w:rsidR="00DE3458" w:rsidRPr="00AF70AD" w:rsidRDefault="00DE3458" w:rsidP="00776A84">
      <w:pPr>
        <w:keepNext/>
        <w:suppressAutoHyphens/>
        <w:rPr>
          <w:del w:id="16599" w:author="AbbVie02no" w:date="2025-05-15T14:22:00Z"/>
          <w:sz w:val="22"/>
          <w:szCs w:val="22"/>
        </w:rPr>
      </w:pPr>
    </w:p>
    <w:p w14:paraId="23B1F07B" w14:textId="09C320D3" w:rsidR="00DE3458" w:rsidRDefault="00E453CD" w:rsidP="009C5EFD">
      <w:pPr>
        <w:rPr>
          <w:del w:id="16600" w:author="AbbVie02no" w:date="2025-05-15T14:22:00Z"/>
          <w:sz w:val="22"/>
          <w:szCs w:val="22"/>
        </w:rPr>
      </w:pPr>
      <w:del w:id="16601" w:author="AbbVie02no" w:date="2025-05-15T14:22:00Z">
        <w:r w:rsidRPr="009C5EFD">
          <w:rPr>
            <w:sz w:val="22"/>
            <w:szCs w:val="22"/>
          </w:rPr>
          <w:delText xml:space="preserve">Humira kan ha en </w:delText>
        </w:r>
        <w:r w:rsidR="00626FDD" w:rsidRPr="009C5EFD">
          <w:rPr>
            <w:sz w:val="22"/>
            <w:szCs w:val="22"/>
          </w:rPr>
          <w:delText>liten på</w:delText>
        </w:r>
        <w:r w:rsidRPr="009C5EFD">
          <w:rPr>
            <w:sz w:val="22"/>
            <w:szCs w:val="22"/>
          </w:rPr>
          <w:delText>virkning på evnen til å kjøre bil</w:delText>
        </w:r>
        <w:r w:rsidR="00AF4FC3" w:rsidRPr="009C5EFD">
          <w:rPr>
            <w:sz w:val="22"/>
            <w:szCs w:val="22"/>
          </w:rPr>
          <w:delText>, sykkel</w:delText>
        </w:r>
        <w:r w:rsidRPr="009C5EFD">
          <w:rPr>
            <w:sz w:val="22"/>
            <w:szCs w:val="22"/>
          </w:rPr>
          <w:delText xml:space="preserve"> </w:delText>
        </w:r>
        <w:r w:rsidR="00AF4FC3" w:rsidRPr="009C5EFD">
          <w:rPr>
            <w:sz w:val="22"/>
            <w:szCs w:val="22"/>
          </w:rPr>
          <w:delText>eller</w:delText>
        </w:r>
        <w:r w:rsidR="004A62A3" w:rsidRPr="009C5EFD">
          <w:rPr>
            <w:sz w:val="22"/>
            <w:szCs w:val="22"/>
          </w:rPr>
          <w:delText xml:space="preserve"> </w:delText>
        </w:r>
        <w:r w:rsidRPr="009C5EFD">
          <w:rPr>
            <w:sz w:val="22"/>
            <w:szCs w:val="22"/>
          </w:rPr>
          <w:delText xml:space="preserve">bruke maskiner. Svimmelhet </w:delText>
        </w:r>
        <w:r w:rsidR="000224B7" w:rsidRPr="009C5EFD">
          <w:rPr>
            <w:sz w:val="22"/>
            <w:szCs w:val="22"/>
          </w:rPr>
          <w:delText>og</w:delText>
        </w:r>
        <w:r w:rsidRPr="009C5EFD">
          <w:rPr>
            <w:sz w:val="22"/>
            <w:szCs w:val="22"/>
          </w:rPr>
          <w:delText xml:space="preserve"> synsforstyrrelse kan oppstå etter </w:delText>
        </w:r>
        <w:r w:rsidR="00626FDD" w:rsidRPr="009C5EFD">
          <w:rPr>
            <w:sz w:val="22"/>
            <w:szCs w:val="22"/>
          </w:rPr>
          <w:delText xml:space="preserve">injeksjon </w:delText>
        </w:r>
        <w:r w:rsidRPr="009C5EFD">
          <w:rPr>
            <w:sz w:val="22"/>
            <w:szCs w:val="22"/>
          </w:rPr>
          <w:delText>av Humira.</w:delText>
        </w:r>
      </w:del>
    </w:p>
    <w:p w14:paraId="7C63553A" w14:textId="1DCEF008" w:rsidR="00E55E7C" w:rsidRDefault="00E55E7C" w:rsidP="009C5EFD">
      <w:pPr>
        <w:rPr>
          <w:del w:id="16602" w:author="AbbVie02no" w:date="2025-05-15T14:22:00Z"/>
          <w:sz w:val="22"/>
          <w:szCs w:val="22"/>
        </w:rPr>
      </w:pPr>
    </w:p>
    <w:p w14:paraId="09C99B45" w14:textId="41FE70D8" w:rsidR="00E55E7C" w:rsidRPr="00D22D58" w:rsidRDefault="00E453CD" w:rsidP="00E55E7C">
      <w:pPr>
        <w:suppressAutoHyphens/>
        <w:rPr>
          <w:del w:id="16603" w:author="AbbVie02no" w:date="2025-05-15T14:22:00Z"/>
          <w:b/>
          <w:sz w:val="22"/>
          <w:szCs w:val="22"/>
        </w:rPr>
      </w:pPr>
      <w:del w:id="16604" w:author="AbbVie02no" w:date="2025-05-15T14:22:00Z">
        <w:r w:rsidRPr="00D22D58">
          <w:rPr>
            <w:b/>
            <w:sz w:val="22"/>
            <w:szCs w:val="22"/>
          </w:rPr>
          <w:lastRenderedPageBreak/>
          <w:delText>Humira inneholder natrium</w:delText>
        </w:r>
      </w:del>
    </w:p>
    <w:p w14:paraId="165649A9" w14:textId="593BF891" w:rsidR="00E55E7C" w:rsidRDefault="00E55E7C" w:rsidP="00E55E7C">
      <w:pPr>
        <w:suppressAutoHyphens/>
        <w:rPr>
          <w:del w:id="16605" w:author="AbbVie02no" w:date="2025-05-15T14:22:00Z"/>
          <w:sz w:val="22"/>
          <w:szCs w:val="22"/>
        </w:rPr>
      </w:pPr>
    </w:p>
    <w:p w14:paraId="07549697" w14:textId="43D2C1A1" w:rsidR="00E55E7C" w:rsidRPr="009C5EFD" w:rsidRDefault="00E453CD" w:rsidP="00E55E7C">
      <w:pPr>
        <w:rPr>
          <w:del w:id="16606" w:author="AbbVie02no" w:date="2025-05-15T14:22:00Z"/>
          <w:sz w:val="22"/>
          <w:szCs w:val="22"/>
        </w:rPr>
      </w:pPr>
      <w:del w:id="16607" w:author="AbbVie02no" w:date="2025-05-15T14:22:00Z">
        <w:r>
          <w:rPr>
            <w:sz w:val="22"/>
            <w:szCs w:val="22"/>
          </w:rPr>
          <w:delText>Dette legemidlet inneholder mindre enn 1</w:delText>
        </w:r>
        <w:r w:rsidR="00523824">
          <w:rPr>
            <w:sz w:val="22"/>
            <w:szCs w:val="22"/>
          </w:rPr>
          <w:delText> </w:delText>
        </w:r>
        <w:r>
          <w:rPr>
            <w:sz w:val="22"/>
            <w:szCs w:val="22"/>
          </w:rPr>
          <w:delText xml:space="preserve">mmol natrium (23 mg) per 0,8 ml dose, dvs. </w:delText>
        </w:r>
        <w:r w:rsidR="00684DB9" w:rsidRPr="00684DB9">
          <w:rPr>
            <w:sz w:val="22"/>
            <w:szCs w:val="22"/>
          </w:rPr>
          <w:delText xml:space="preserve">så godt som </w:delText>
        </w:r>
        <w:r w:rsidR="00D57009">
          <w:rPr>
            <w:sz w:val="22"/>
            <w:szCs w:val="22"/>
          </w:rPr>
          <w:delText>«</w:delText>
        </w:r>
        <w:r w:rsidR="00684DB9" w:rsidRPr="00684DB9">
          <w:rPr>
            <w:sz w:val="22"/>
            <w:szCs w:val="22"/>
          </w:rPr>
          <w:delText>natriumfritt</w:delText>
        </w:r>
        <w:r w:rsidR="00D57009">
          <w:rPr>
            <w:sz w:val="22"/>
            <w:szCs w:val="22"/>
          </w:rPr>
          <w:delText>»</w:delText>
        </w:r>
        <w:r>
          <w:rPr>
            <w:sz w:val="22"/>
            <w:szCs w:val="22"/>
          </w:rPr>
          <w:delText>.</w:delText>
        </w:r>
      </w:del>
    </w:p>
    <w:p w14:paraId="5321C930" w14:textId="075B1C93" w:rsidR="00DE3458" w:rsidRPr="009C5EFD" w:rsidRDefault="00DE3458" w:rsidP="009C5EFD">
      <w:pPr>
        <w:pStyle w:val="EndnoteText"/>
        <w:widowControl/>
        <w:tabs>
          <w:tab w:val="clear" w:pos="567"/>
        </w:tabs>
        <w:suppressAutoHyphens/>
        <w:rPr>
          <w:del w:id="16608" w:author="AbbVie02no" w:date="2025-05-15T14:22:00Z"/>
          <w:szCs w:val="22"/>
          <w:lang w:val="nb-NO"/>
        </w:rPr>
      </w:pPr>
    </w:p>
    <w:p w14:paraId="52302854" w14:textId="4D63FA22" w:rsidR="00DE3458" w:rsidRPr="009C5EFD" w:rsidRDefault="00DE3458" w:rsidP="009C5EFD">
      <w:pPr>
        <w:suppressAutoHyphens/>
        <w:rPr>
          <w:del w:id="16609" w:author="AbbVie02no" w:date="2025-05-15T14:22:00Z"/>
          <w:sz w:val="22"/>
          <w:szCs w:val="22"/>
        </w:rPr>
      </w:pPr>
    </w:p>
    <w:p w14:paraId="1C87FBF4" w14:textId="0C900A1C" w:rsidR="00DE3458" w:rsidRPr="009C5EFD" w:rsidRDefault="00E453CD" w:rsidP="00776A84">
      <w:pPr>
        <w:keepNext/>
        <w:tabs>
          <w:tab w:val="left" w:pos="567"/>
        </w:tabs>
        <w:suppressAutoHyphens/>
        <w:rPr>
          <w:del w:id="16610" w:author="AbbVie02no" w:date="2025-05-15T14:22:00Z"/>
          <w:sz w:val="22"/>
          <w:szCs w:val="22"/>
        </w:rPr>
      </w:pPr>
      <w:del w:id="16611" w:author="AbbVie02no" w:date="2025-05-15T14:22:00Z">
        <w:r w:rsidRPr="009C5EFD">
          <w:rPr>
            <w:b/>
            <w:sz w:val="22"/>
            <w:szCs w:val="22"/>
          </w:rPr>
          <w:delText>3.</w:delText>
        </w:r>
        <w:r w:rsidRPr="009C5EFD">
          <w:rPr>
            <w:b/>
            <w:sz w:val="22"/>
            <w:szCs w:val="22"/>
          </w:rPr>
          <w:tab/>
        </w:r>
        <w:r w:rsidR="00710056" w:rsidRPr="009C5EFD">
          <w:rPr>
            <w:b/>
            <w:sz w:val="22"/>
            <w:szCs w:val="22"/>
          </w:rPr>
          <w:delText>Hvordan du bruker Humira</w:delText>
        </w:r>
      </w:del>
    </w:p>
    <w:p w14:paraId="27D98686" w14:textId="0CE08939" w:rsidR="00DE3458" w:rsidRPr="009C5EFD" w:rsidRDefault="00DE3458" w:rsidP="00776A84">
      <w:pPr>
        <w:keepNext/>
        <w:rPr>
          <w:del w:id="16612" w:author="AbbVie02no" w:date="2025-05-15T14:22:00Z"/>
          <w:sz w:val="22"/>
          <w:szCs w:val="22"/>
        </w:rPr>
      </w:pPr>
    </w:p>
    <w:p w14:paraId="5F0A9613" w14:textId="3C0EBD52" w:rsidR="00B54B4F" w:rsidRPr="009C5EFD" w:rsidRDefault="00E453CD" w:rsidP="009C5EFD">
      <w:pPr>
        <w:suppressAutoHyphens/>
        <w:rPr>
          <w:del w:id="16613" w:author="AbbVie02no" w:date="2025-05-15T14:22:00Z"/>
          <w:sz w:val="22"/>
          <w:szCs w:val="22"/>
        </w:rPr>
      </w:pPr>
      <w:del w:id="16614" w:author="AbbVie02no" w:date="2025-05-15T14:22:00Z">
        <w:r w:rsidRPr="009C5EFD">
          <w:rPr>
            <w:sz w:val="22"/>
            <w:szCs w:val="22"/>
          </w:rPr>
          <w:delText xml:space="preserve">Bruk alltid </w:delText>
        </w:r>
        <w:r w:rsidR="00716CE9" w:rsidRPr="009C5EFD">
          <w:rPr>
            <w:sz w:val="22"/>
            <w:szCs w:val="22"/>
          </w:rPr>
          <w:delText xml:space="preserve">dette legemidlet </w:delText>
        </w:r>
        <w:r w:rsidR="00711651" w:rsidRPr="009C5EFD">
          <w:rPr>
            <w:sz w:val="22"/>
            <w:szCs w:val="22"/>
          </w:rPr>
          <w:delText xml:space="preserve">nøyaktig </w:delText>
        </w:r>
        <w:r w:rsidRPr="009C5EFD">
          <w:rPr>
            <w:sz w:val="22"/>
            <w:szCs w:val="22"/>
          </w:rPr>
          <w:delText xml:space="preserve">slik legen </w:delText>
        </w:r>
        <w:r w:rsidR="00716CE9" w:rsidRPr="009C5EFD">
          <w:rPr>
            <w:sz w:val="22"/>
            <w:szCs w:val="22"/>
          </w:rPr>
          <w:delText xml:space="preserve">eller apotek </w:delText>
        </w:r>
        <w:r w:rsidRPr="009C5EFD">
          <w:rPr>
            <w:sz w:val="22"/>
            <w:szCs w:val="22"/>
          </w:rPr>
          <w:delText>har fortalt deg. Kontakt lege eller apotek hvis du er usikker.</w:delText>
        </w:r>
        <w:r w:rsidR="00847A9A">
          <w:rPr>
            <w:sz w:val="22"/>
            <w:szCs w:val="22"/>
          </w:rPr>
          <w:delText xml:space="preserve"> Legen din kan forskrive en annen styrke av Humira dersom du trenger en annen dose.</w:delText>
        </w:r>
      </w:del>
    </w:p>
    <w:p w14:paraId="342C371C" w14:textId="1C81BA7F" w:rsidR="00B54B4F" w:rsidRPr="009C5EFD" w:rsidRDefault="00B54B4F" w:rsidP="009C5EFD">
      <w:pPr>
        <w:suppressAutoHyphens/>
        <w:rPr>
          <w:del w:id="16615" w:author="AbbVie02no" w:date="2025-05-15T14:22:00Z"/>
          <w:sz w:val="22"/>
          <w:szCs w:val="22"/>
        </w:rPr>
      </w:pPr>
    </w:p>
    <w:p w14:paraId="1F4B0FB4" w14:textId="632331AC" w:rsidR="00DE3458" w:rsidRPr="009C5EFD" w:rsidRDefault="00E453CD" w:rsidP="00776A84">
      <w:pPr>
        <w:keepNext/>
        <w:suppressAutoHyphens/>
        <w:rPr>
          <w:del w:id="16616" w:author="AbbVie02no" w:date="2025-05-15T14:22:00Z"/>
          <w:sz w:val="22"/>
          <w:szCs w:val="22"/>
        </w:rPr>
      </w:pPr>
      <w:del w:id="16617" w:author="AbbVie02no" w:date="2025-05-15T14:22:00Z">
        <w:r w:rsidRPr="009C5EFD">
          <w:rPr>
            <w:sz w:val="22"/>
            <w:szCs w:val="22"/>
            <w:u w:val="single"/>
          </w:rPr>
          <w:delText>Voksne med revmatoid artritt, psoriasisartritt, Bekhterevs sykdom eller aksial spondylartritt uten radiografisk bekreftelse på ankyloserende spondylitt</w:delText>
        </w:r>
        <w:r w:rsidRPr="009C5EFD">
          <w:rPr>
            <w:sz w:val="22"/>
            <w:szCs w:val="22"/>
          </w:rPr>
          <w:delText xml:space="preserve"> </w:delText>
        </w:r>
      </w:del>
    </w:p>
    <w:p w14:paraId="1DA640C3" w14:textId="58358DD7" w:rsidR="00DE3458" w:rsidRPr="009C5EFD" w:rsidRDefault="00DE3458" w:rsidP="00776A84">
      <w:pPr>
        <w:keepNext/>
        <w:suppressAutoHyphens/>
        <w:rPr>
          <w:del w:id="16618" w:author="AbbVie02no" w:date="2025-05-15T14:22:00Z"/>
          <w:sz w:val="22"/>
          <w:szCs w:val="22"/>
        </w:rPr>
      </w:pPr>
    </w:p>
    <w:p w14:paraId="0E0F408D" w14:textId="4821EAD7" w:rsidR="00DE3458" w:rsidRPr="009C5EFD" w:rsidRDefault="00E453CD" w:rsidP="009C5EFD">
      <w:pPr>
        <w:suppressAutoHyphens/>
        <w:rPr>
          <w:del w:id="16619" w:author="AbbVie02no" w:date="2025-05-15T14:22:00Z"/>
          <w:sz w:val="22"/>
          <w:szCs w:val="22"/>
        </w:rPr>
      </w:pPr>
      <w:del w:id="16620" w:author="AbbVie02no" w:date="2025-05-15T14:22:00Z">
        <w:r w:rsidRPr="009C5EFD">
          <w:rPr>
            <w:sz w:val="22"/>
            <w:szCs w:val="22"/>
          </w:rPr>
          <w:delText>Humira injiseres under huden (subkutan bruk). Den vanlige dosen for voksne med revmatoid artritt, Bekhterevs sykdom (ankyloserende spondylitt)</w:delText>
        </w:r>
        <w:r w:rsidR="00A77C2C" w:rsidRPr="009C5EFD">
          <w:rPr>
            <w:sz w:val="22"/>
            <w:szCs w:val="22"/>
          </w:rPr>
          <w:delText>, aksial spondylartritt uten radiografisk bekreftelse på ankyloserende spondylitt</w:delText>
        </w:r>
        <w:r w:rsidRPr="009C5EFD">
          <w:rPr>
            <w:sz w:val="22"/>
            <w:szCs w:val="22"/>
          </w:rPr>
          <w:delText xml:space="preserve"> </w:delText>
        </w:r>
        <w:r w:rsidR="00D6775E" w:rsidRPr="009C5EFD">
          <w:rPr>
            <w:sz w:val="22"/>
            <w:szCs w:val="22"/>
          </w:rPr>
          <w:delText xml:space="preserve">og psoriasisartritt </w:delText>
        </w:r>
        <w:r w:rsidRPr="009C5EFD">
          <w:rPr>
            <w:sz w:val="22"/>
            <w:szCs w:val="22"/>
          </w:rPr>
          <w:delText xml:space="preserve">er 40 mg adalimumab annenhver uke som en enkeltdose. </w:delText>
        </w:r>
      </w:del>
    </w:p>
    <w:p w14:paraId="7A2C0E2D" w14:textId="77C50A66" w:rsidR="00241894" w:rsidRPr="009C5EFD" w:rsidRDefault="00E453CD" w:rsidP="009C5EFD">
      <w:pPr>
        <w:suppressAutoHyphens/>
        <w:rPr>
          <w:del w:id="16621" w:author="AbbVie02no" w:date="2025-05-15T14:22:00Z"/>
          <w:sz w:val="22"/>
          <w:szCs w:val="22"/>
        </w:rPr>
      </w:pPr>
      <w:del w:id="16622" w:author="AbbVie02no" w:date="2025-05-15T14:22:00Z">
        <w:r w:rsidRPr="009C5EFD">
          <w:rPr>
            <w:sz w:val="22"/>
            <w:szCs w:val="22"/>
          </w:rPr>
          <w:delText xml:space="preserve">Ved revmatoid artritt fortsetter behandlingen med metotreksat mens du bruker Humira. Hvis </w:delText>
        </w:r>
        <w:r w:rsidR="002858DC">
          <w:rPr>
            <w:sz w:val="22"/>
            <w:szCs w:val="22"/>
          </w:rPr>
          <w:delText>legen din</w:delText>
        </w:r>
        <w:r w:rsidRPr="009C5EFD">
          <w:rPr>
            <w:sz w:val="22"/>
            <w:szCs w:val="22"/>
          </w:rPr>
          <w:delText xml:space="preserve"> vurderer at metotreksat ikke er egnet</w:delText>
        </w:r>
        <w:r w:rsidR="00845AEA" w:rsidRPr="009C5EFD">
          <w:rPr>
            <w:sz w:val="22"/>
            <w:szCs w:val="22"/>
          </w:rPr>
          <w:delText>,</w:delText>
        </w:r>
        <w:r w:rsidRPr="009C5EFD">
          <w:rPr>
            <w:sz w:val="22"/>
            <w:szCs w:val="22"/>
          </w:rPr>
          <w:delText xml:space="preserve"> kan Humira gis alene.</w:delText>
        </w:r>
      </w:del>
    </w:p>
    <w:p w14:paraId="0728D3F4" w14:textId="5D2CF1B3" w:rsidR="00241894" w:rsidRPr="009C5EFD" w:rsidRDefault="00241894" w:rsidP="009C5EFD">
      <w:pPr>
        <w:suppressAutoHyphens/>
        <w:rPr>
          <w:del w:id="16623" w:author="AbbVie02no" w:date="2025-05-15T14:22:00Z"/>
          <w:sz w:val="22"/>
          <w:szCs w:val="22"/>
        </w:rPr>
      </w:pPr>
    </w:p>
    <w:p w14:paraId="4457F801" w14:textId="370471E2" w:rsidR="00B54B4F" w:rsidRPr="009C5EFD" w:rsidRDefault="00E453CD" w:rsidP="009C5EFD">
      <w:pPr>
        <w:suppressAutoHyphens/>
        <w:rPr>
          <w:del w:id="16624" w:author="AbbVie02no" w:date="2025-05-15T14:22:00Z"/>
          <w:sz w:val="22"/>
          <w:szCs w:val="22"/>
        </w:rPr>
      </w:pPr>
      <w:del w:id="16625" w:author="AbbVie02no" w:date="2025-05-15T14:22:00Z">
        <w:r w:rsidRPr="009C5EFD">
          <w:rPr>
            <w:sz w:val="22"/>
            <w:szCs w:val="22"/>
          </w:rPr>
          <w:delText xml:space="preserve">Hvis du har revmatoid artritt og ikke får behandling med metotreksat mens du behandles med Humira, kan </w:delText>
        </w:r>
        <w:r w:rsidR="002858DC">
          <w:rPr>
            <w:sz w:val="22"/>
            <w:szCs w:val="22"/>
          </w:rPr>
          <w:delText>legen din</w:delText>
        </w:r>
        <w:r w:rsidRPr="009C5EFD">
          <w:rPr>
            <w:sz w:val="22"/>
            <w:szCs w:val="22"/>
          </w:rPr>
          <w:delText xml:space="preserve"> bestemme å gi deg 40 mg adalimumab hver uke</w:delText>
        </w:r>
        <w:r w:rsidR="00684BCA">
          <w:rPr>
            <w:sz w:val="22"/>
            <w:szCs w:val="22"/>
          </w:rPr>
          <w:delText xml:space="preserve"> eller 80 mg annenhver uke</w:delText>
        </w:r>
        <w:r w:rsidRPr="009C5EFD">
          <w:rPr>
            <w:sz w:val="22"/>
            <w:szCs w:val="22"/>
          </w:rPr>
          <w:delText>.</w:delText>
        </w:r>
      </w:del>
    </w:p>
    <w:p w14:paraId="7DD21953" w14:textId="4091AF5D" w:rsidR="00B54B4F" w:rsidRPr="009C5EFD" w:rsidRDefault="00B54B4F" w:rsidP="009C5EFD">
      <w:pPr>
        <w:suppressAutoHyphens/>
        <w:rPr>
          <w:del w:id="16626" w:author="AbbVie02no" w:date="2025-05-15T14:22:00Z"/>
          <w:sz w:val="22"/>
          <w:szCs w:val="22"/>
        </w:rPr>
      </w:pPr>
    </w:p>
    <w:p w14:paraId="002272A0" w14:textId="4FEFE74C" w:rsidR="006B036B" w:rsidRPr="006634E6" w:rsidRDefault="00E453CD" w:rsidP="006B036B">
      <w:pPr>
        <w:keepNext/>
        <w:suppressAutoHyphens/>
        <w:rPr>
          <w:del w:id="16627" w:author="AbbVie02no" w:date="2025-05-15T14:22:00Z"/>
          <w:sz w:val="22"/>
          <w:szCs w:val="22"/>
          <w:u w:val="single"/>
        </w:rPr>
      </w:pPr>
      <w:del w:id="16628" w:author="AbbVie02no" w:date="2025-05-15T14:22:00Z">
        <w:r w:rsidRPr="006634E6">
          <w:rPr>
            <w:sz w:val="22"/>
            <w:szCs w:val="22"/>
            <w:u w:val="single"/>
          </w:rPr>
          <w:delText>Barn</w:delText>
        </w:r>
        <w:r>
          <w:rPr>
            <w:sz w:val="22"/>
            <w:szCs w:val="22"/>
            <w:u w:val="single"/>
          </w:rPr>
          <w:delText xml:space="preserve">, </w:delText>
        </w:r>
        <w:r w:rsidRPr="006634E6">
          <w:rPr>
            <w:sz w:val="22"/>
            <w:szCs w:val="22"/>
            <w:u w:val="single"/>
          </w:rPr>
          <w:delText xml:space="preserve">ungdom </w:delText>
        </w:r>
        <w:r>
          <w:rPr>
            <w:sz w:val="22"/>
            <w:szCs w:val="22"/>
            <w:u w:val="single"/>
          </w:rPr>
          <w:delText xml:space="preserve">og voksne </w:delText>
        </w:r>
        <w:r w:rsidRPr="006634E6">
          <w:rPr>
            <w:sz w:val="22"/>
            <w:szCs w:val="22"/>
            <w:u w:val="single"/>
          </w:rPr>
          <w:delText>med polyartikulær juvenil idiopatisk artritt</w:delText>
        </w:r>
      </w:del>
    </w:p>
    <w:p w14:paraId="44942623" w14:textId="41892A52" w:rsidR="006B036B" w:rsidRPr="006634E6" w:rsidRDefault="006B036B" w:rsidP="006B036B">
      <w:pPr>
        <w:keepNext/>
        <w:suppressAutoHyphens/>
        <w:rPr>
          <w:del w:id="16629" w:author="AbbVie02no" w:date="2025-05-15T14:22:00Z"/>
          <w:sz w:val="22"/>
          <w:szCs w:val="22"/>
        </w:rPr>
      </w:pPr>
    </w:p>
    <w:p w14:paraId="0287E789" w14:textId="2FDB2F57" w:rsidR="006B036B" w:rsidRPr="006634E6" w:rsidRDefault="00E453CD" w:rsidP="006B036B">
      <w:pPr>
        <w:keepNext/>
        <w:suppressAutoHyphens/>
        <w:rPr>
          <w:del w:id="16630" w:author="AbbVie02no" w:date="2025-05-15T14:22:00Z"/>
          <w:i/>
          <w:sz w:val="22"/>
          <w:szCs w:val="22"/>
        </w:rPr>
      </w:pPr>
      <w:del w:id="16631" w:author="AbbVie02no" w:date="2025-05-15T14:22:00Z">
        <w:r w:rsidRPr="006634E6">
          <w:rPr>
            <w:i/>
            <w:sz w:val="22"/>
            <w:szCs w:val="22"/>
          </w:rPr>
          <w:delText xml:space="preserve">Barn og ungdom </w:delText>
        </w:r>
        <w:r w:rsidR="006068F5">
          <w:rPr>
            <w:i/>
            <w:sz w:val="22"/>
            <w:szCs w:val="22"/>
          </w:rPr>
          <w:delText>over</w:delText>
        </w:r>
        <w:r w:rsidRPr="006634E6">
          <w:rPr>
            <w:i/>
            <w:sz w:val="22"/>
            <w:szCs w:val="22"/>
          </w:rPr>
          <w:delText xml:space="preserve"> 2 år som veier 10 kg til </w:delText>
        </w:r>
        <w:r w:rsidR="00684DB9">
          <w:rPr>
            <w:i/>
            <w:sz w:val="22"/>
            <w:szCs w:val="22"/>
          </w:rPr>
          <w:delText>under</w:delText>
        </w:r>
        <w:r w:rsidRPr="006634E6">
          <w:rPr>
            <w:i/>
            <w:sz w:val="22"/>
            <w:szCs w:val="22"/>
          </w:rPr>
          <w:delText xml:space="preserve"> 30 kg</w:delText>
        </w:r>
      </w:del>
    </w:p>
    <w:p w14:paraId="32CA13F7" w14:textId="06B3DEEC" w:rsidR="006B036B" w:rsidRPr="006634E6" w:rsidRDefault="006B036B" w:rsidP="006B036B">
      <w:pPr>
        <w:keepNext/>
        <w:suppressAutoHyphens/>
        <w:rPr>
          <w:del w:id="16632" w:author="AbbVie02no" w:date="2025-05-15T14:22:00Z"/>
          <w:sz w:val="22"/>
          <w:szCs w:val="22"/>
          <w:u w:val="single"/>
        </w:rPr>
      </w:pPr>
    </w:p>
    <w:p w14:paraId="0D6CB01F" w14:textId="4CC354B7" w:rsidR="006B036B" w:rsidRPr="006634E6" w:rsidRDefault="00E453CD" w:rsidP="006B036B">
      <w:pPr>
        <w:keepNext/>
        <w:suppressAutoHyphens/>
        <w:rPr>
          <w:del w:id="16633" w:author="AbbVie02no" w:date="2025-05-15T14:22:00Z"/>
          <w:sz w:val="22"/>
          <w:szCs w:val="22"/>
          <w:u w:val="single"/>
        </w:rPr>
      </w:pPr>
      <w:del w:id="16634" w:author="AbbVie02no" w:date="2025-05-15T14:22:00Z">
        <w:r w:rsidRPr="006634E6">
          <w:rPr>
            <w:sz w:val="22"/>
            <w:szCs w:val="22"/>
          </w:rPr>
          <w:delText>Anbefalt dose med Humira er 20 mg annenhver uke.</w:delText>
        </w:r>
      </w:del>
    </w:p>
    <w:p w14:paraId="1DAD4106" w14:textId="7C95BC28" w:rsidR="006B036B" w:rsidRPr="006634E6" w:rsidRDefault="006B036B" w:rsidP="00776A84">
      <w:pPr>
        <w:suppressAutoHyphens/>
        <w:rPr>
          <w:del w:id="16635" w:author="AbbVie02no" w:date="2025-05-15T14:22:00Z"/>
          <w:sz w:val="22"/>
          <w:szCs w:val="22"/>
          <w:u w:val="single"/>
        </w:rPr>
      </w:pPr>
    </w:p>
    <w:p w14:paraId="1AA439A8" w14:textId="71419A8F" w:rsidR="006B036B" w:rsidRPr="00D22D58" w:rsidRDefault="00E453CD" w:rsidP="006B036B">
      <w:pPr>
        <w:keepNext/>
        <w:suppressAutoHyphens/>
        <w:rPr>
          <w:del w:id="16636" w:author="AbbVie02no" w:date="2025-05-15T14:22:00Z"/>
          <w:i/>
          <w:sz w:val="22"/>
          <w:szCs w:val="22"/>
        </w:rPr>
      </w:pPr>
      <w:del w:id="16637" w:author="AbbVie02no" w:date="2025-05-15T14:22:00Z">
        <w:r w:rsidRPr="00D22D58">
          <w:rPr>
            <w:i/>
            <w:sz w:val="22"/>
            <w:szCs w:val="22"/>
          </w:rPr>
          <w:delText>Barn</w:delText>
        </w:r>
        <w:r>
          <w:rPr>
            <w:i/>
            <w:sz w:val="22"/>
            <w:szCs w:val="22"/>
          </w:rPr>
          <w:delText>,</w:delText>
        </w:r>
        <w:r w:rsidRPr="00D22D58">
          <w:rPr>
            <w:i/>
            <w:sz w:val="22"/>
            <w:szCs w:val="22"/>
          </w:rPr>
          <w:delText xml:space="preserve"> ungdom </w:delText>
        </w:r>
        <w:r>
          <w:rPr>
            <w:i/>
            <w:sz w:val="22"/>
            <w:szCs w:val="22"/>
          </w:rPr>
          <w:delText xml:space="preserve">og voksne </w:delText>
        </w:r>
        <w:r w:rsidR="006068F5">
          <w:rPr>
            <w:i/>
            <w:sz w:val="22"/>
            <w:szCs w:val="22"/>
          </w:rPr>
          <w:delText>over</w:delText>
        </w:r>
        <w:r w:rsidRPr="00D22D58">
          <w:rPr>
            <w:i/>
            <w:sz w:val="22"/>
            <w:szCs w:val="22"/>
          </w:rPr>
          <w:delText xml:space="preserve"> 2 år som veier 30 kg </w:delText>
        </w:r>
        <w:r>
          <w:rPr>
            <w:i/>
            <w:sz w:val="22"/>
            <w:szCs w:val="22"/>
          </w:rPr>
          <w:delText>eller mer</w:delText>
        </w:r>
      </w:del>
    </w:p>
    <w:p w14:paraId="29449788" w14:textId="7CD35D27" w:rsidR="006B036B" w:rsidRPr="00D22D58" w:rsidRDefault="006B036B" w:rsidP="006B036B">
      <w:pPr>
        <w:keepNext/>
        <w:suppressAutoHyphens/>
        <w:rPr>
          <w:del w:id="16638" w:author="AbbVie02no" w:date="2025-05-15T14:22:00Z"/>
          <w:i/>
          <w:sz w:val="22"/>
          <w:szCs w:val="22"/>
        </w:rPr>
      </w:pPr>
    </w:p>
    <w:p w14:paraId="47760A68" w14:textId="2AE32AD1" w:rsidR="006B036B" w:rsidRPr="006634E6" w:rsidRDefault="00E453CD" w:rsidP="006B036B">
      <w:pPr>
        <w:keepNext/>
        <w:suppressAutoHyphens/>
        <w:rPr>
          <w:del w:id="16639" w:author="AbbVie02no" w:date="2025-05-15T14:22:00Z"/>
          <w:sz w:val="22"/>
          <w:szCs w:val="22"/>
        </w:rPr>
      </w:pPr>
      <w:del w:id="16640" w:author="AbbVie02no" w:date="2025-05-15T14:22:00Z">
        <w:r w:rsidRPr="006634E6">
          <w:rPr>
            <w:sz w:val="22"/>
            <w:szCs w:val="22"/>
          </w:rPr>
          <w:delText>Anbefalt dose med Humira er 40 mg annenhver uke.</w:delText>
        </w:r>
      </w:del>
    </w:p>
    <w:p w14:paraId="167A14FF" w14:textId="67EE5603" w:rsidR="006B036B" w:rsidRPr="006634E6" w:rsidRDefault="006B036B" w:rsidP="006B036B">
      <w:pPr>
        <w:suppressAutoHyphens/>
        <w:rPr>
          <w:del w:id="16641" w:author="AbbVie02no" w:date="2025-05-15T14:22:00Z"/>
          <w:sz w:val="22"/>
          <w:szCs w:val="22"/>
        </w:rPr>
      </w:pPr>
    </w:p>
    <w:p w14:paraId="64842C9D" w14:textId="231D506D" w:rsidR="006B036B" w:rsidRPr="006634E6" w:rsidRDefault="00E453CD" w:rsidP="00776A84">
      <w:pPr>
        <w:keepNext/>
        <w:suppressAutoHyphens/>
        <w:rPr>
          <w:del w:id="16642" w:author="AbbVie02no" w:date="2025-05-15T14:22:00Z"/>
          <w:sz w:val="22"/>
          <w:szCs w:val="22"/>
          <w:u w:val="single"/>
        </w:rPr>
      </w:pPr>
      <w:del w:id="16643" w:author="AbbVie02no" w:date="2025-05-15T14:22:00Z">
        <w:r w:rsidRPr="006634E6">
          <w:rPr>
            <w:sz w:val="22"/>
            <w:szCs w:val="22"/>
            <w:u w:val="single"/>
          </w:rPr>
          <w:delText>Barn, ungdom og voksne med entesittrelatert artritt</w:delText>
        </w:r>
      </w:del>
    </w:p>
    <w:p w14:paraId="3DB062CB" w14:textId="36A33027" w:rsidR="006B036B" w:rsidRPr="006634E6" w:rsidRDefault="006B036B" w:rsidP="00776A84">
      <w:pPr>
        <w:keepNext/>
        <w:suppressAutoHyphens/>
        <w:rPr>
          <w:del w:id="16644" w:author="AbbVie02no" w:date="2025-05-15T14:22:00Z"/>
          <w:sz w:val="22"/>
          <w:szCs w:val="22"/>
        </w:rPr>
      </w:pPr>
    </w:p>
    <w:p w14:paraId="32CAE4D5" w14:textId="45F61AAC" w:rsidR="006B036B" w:rsidRPr="006634E6" w:rsidRDefault="00E453CD" w:rsidP="006B036B">
      <w:pPr>
        <w:keepNext/>
        <w:numPr>
          <w:ilvl w:val="12"/>
          <w:numId w:val="0"/>
        </w:numPr>
        <w:tabs>
          <w:tab w:val="left" w:pos="720"/>
        </w:tabs>
        <w:suppressAutoHyphens/>
        <w:rPr>
          <w:del w:id="16645" w:author="AbbVie02no" w:date="2025-05-15T14:22:00Z"/>
          <w:i/>
          <w:sz w:val="22"/>
        </w:rPr>
      </w:pPr>
      <w:del w:id="16646" w:author="AbbVie02no" w:date="2025-05-15T14:22:00Z">
        <w:r w:rsidRPr="006634E6">
          <w:rPr>
            <w:i/>
            <w:sz w:val="22"/>
          </w:rPr>
          <w:delText xml:space="preserve">Barn og ungdom </w:delText>
        </w:r>
        <w:r w:rsidR="006068F5">
          <w:rPr>
            <w:i/>
            <w:sz w:val="22"/>
          </w:rPr>
          <w:delText>over</w:delText>
        </w:r>
        <w:r w:rsidRPr="006634E6">
          <w:rPr>
            <w:i/>
            <w:sz w:val="22"/>
          </w:rPr>
          <w:delText xml:space="preserve"> 6 år som veier 15 kg til </w:delText>
        </w:r>
        <w:r w:rsidR="00684DB9">
          <w:rPr>
            <w:i/>
            <w:sz w:val="22"/>
          </w:rPr>
          <w:delText>under</w:delText>
        </w:r>
        <w:r w:rsidRPr="006634E6">
          <w:rPr>
            <w:i/>
            <w:sz w:val="22"/>
          </w:rPr>
          <w:delText xml:space="preserve"> 30 kg</w:delText>
        </w:r>
      </w:del>
    </w:p>
    <w:p w14:paraId="2CB9861D" w14:textId="0D6A2549" w:rsidR="006B036B" w:rsidRPr="006634E6" w:rsidRDefault="006B036B" w:rsidP="006B036B">
      <w:pPr>
        <w:keepNext/>
        <w:numPr>
          <w:ilvl w:val="12"/>
          <w:numId w:val="0"/>
        </w:numPr>
        <w:tabs>
          <w:tab w:val="left" w:pos="720"/>
        </w:tabs>
        <w:suppressAutoHyphens/>
        <w:rPr>
          <w:del w:id="16647" w:author="AbbVie02no" w:date="2025-05-15T14:22:00Z"/>
          <w:sz w:val="22"/>
          <w:u w:val="single"/>
        </w:rPr>
      </w:pPr>
    </w:p>
    <w:p w14:paraId="645ACBFE" w14:textId="7427DD60" w:rsidR="006B036B" w:rsidRPr="006634E6" w:rsidRDefault="00E453CD" w:rsidP="006B036B">
      <w:pPr>
        <w:keepNext/>
        <w:numPr>
          <w:ilvl w:val="12"/>
          <w:numId w:val="0"/>
        </w:numPr>
        <w:tabs>
          <w:tab w:val="left" w:pos="720"/>
        </w:tabs>
        <w:suppressAutoHyphens/>
        <w:rPr>
          <w:del w:id="16648" w:author="AbbVie02no" w:date="2025-05-15T14:22:00Z"/>
          <w:sz w:val="22"/>
          <w:u w:val="single"/>
        </w:rPr>
      </w:pPr>
      <w:del w:id="16649" w:author="AbbVie02no" w:date="2025-05-15T14:22:00Z">
        <w:r w:rsidRPr="006634E6">
          <w:rPr>
            <w:sz w:val="22"/>
            <w:szCs w:val="22"/>
          </w:rPr>
          <w:delText>Anbefalt dose med Humira er 20 mg annenhver uke.</w:delText>
        </w:r>
      </w:del>
    </w:p>
    <w:p w14:paraId="0A50B7BA" w14:textId="3864B286" w:rsidR="006B036B" w:rsidRPr="006634E6" w:rsidRDefault="006B036B" w:rsidP="00776A84">
      <w:pPr>
        <w:numPr>
          <w:ilvl w:val="12"/>
          <w:numId w:val="0"/>
        </w:numPr>
        <w:tabs>
          <w:tab w:val="left" w:pos="720"/>
        </w:tabs>
        <w:suppressAutoHyphens/>
        <w:rPr>
          <w:del w:id="16650" w:author="AbbVie02no" w:date="2025-05-15T14:22:00Z"/>
          <w:sz w:val="22"/>
          <w:u w:val="single"/>
        </w:rPr>
      </w:pPr>
    </w:p>
    <w:p w14:paraId="55A515FD" w14:textId="559580F6" w:rsidR="006B036B" w:rsidRPr="006634E6" w:rsidRDefault="00E453CD" w:rsidP="006B036B">
      <w:pPr>
        <w:keepNext/>
        <w:numPr>
          <w:ilvl w:val="12"/>
          <w:numId w:val="0"/>
        </w:numPr>
        <w:tabs>
          <w:tab w:val="left" w:pos="720"/>
        </w:tabs>
        <w:suppressAutoHyphens/>
        <w:rPr>
          <w:del w:id="16651" w:author="AbbVie02no" w:date="2025-05-15T14:22:00Z"/>
          <w:i/>
          <w:sz w:val="22"/>
        </w:rPr>
      </w:pPr>
      <w:del w:id="16652" w:author="AbbVie02no" w:date="2025-05-15T14:22:00Z">
        <w:r w:rsidRPr="006634E6">
          <w:rPr>
            <w:i/>
            <w:sz w:val="22"/>
          </w:rPr>
          <w:delText xml:space="preserve">Barn, ungdom og voksne </w:delText>
        </w:r>
        <w:r w:rsidR="006068F5">
          <w:rPr>
            <w:i/>
            <w:sz w:val="22"/>
          </w:rPr>
          <w:delText>over</w:delText>
        </w:r>
        <w:r w:rsidRPr="006634E6">
          <w:rPr>
            <w:i/>
            <w:sz w:val="22"/>
          </w:rPr>
          <w:delText xml:space="preserve"> 6 år som veier 30 kg eller mer</w:delText>
        </w:r>
      </w:del>
    </w:p>
    <w:p w14:paraId="39496653" w14:textId="638144D7" w:rsidR="006B036B" w:rsidRPr="006634E6" w:rsidRDefault="006B036B" w:rsidP="006B036B">
      <w:pPr>
        <w:keepNext/>
        <w:numPr>
          <w:ilvl w:val="12"/>
          <w:numId w:val="0"/>
        </w:numPr>
        <w:tabs>
          <w:tab w:val="left" w:pos="720"/>
        </w:tabs>
        <w:suppressAutoHyphens/>
        <w:rPr>
          <w:del w:id="16653" w:author="AbbVie02no" w:date="2025-05-15T14:22:00Z"/>
          <w:sz w:val="22"/>
        </w:rPr>
      </w:pPr>
    </w:p>
    <w:p w14:paraId="4FE748B5" w14:textId="0FC4BC9E" w:rsidR="00456110" w:rsidRPr="009C5EFD" w:rsidRDefault="00E453CD" w:rsidP="00776A84">
      <w:pPr>
        <w:suppressAutoHyphens/>
        <w:rPr>
          <w:del w:id="16654" w:author="AbbVie02no" w:date="2025-05-15T14:22:00Z"/>
          <w:sz w:val="22"/>
          <w:szCs w:val="22"/>
        </w:rPr>
      </w:pPr>
      <w:del w:id="16655" w:author="AbbVie02no" w:date="2025-05-15T14:22:00Z">
        <w:r w:rsidRPr="006634E6">
          <w:rPr>
            <w:sz w:val="22"/>
            <w:szCs w:val="22"/>
          </w:rPr>
          <w:delText xml:space="preserve">Anbefalt dose med Humira er </w:delText>
        </w:r>
        <w:r w:rsidRPr="006634E6">
          <w:rPr>
            <w:sz w:val="22"/>
          </w:rPr>
          <w:delText>40 mg annenhver uke.</w:delText>
        </w:r>
      </w:del>
    </w:p>
    <w:p w14:paraId="76DD1753" w14:textId="0984B113" w:rsidR="00456110" w:rsidRPr="009C5EFD" w:rsidRDefault="00456110" w:rsidP="009C5EFD">
      <w:pPr>
        <w:suppressAutoHyphens/>
        <w:rPr>
          <w:del w:id="16656" w:author="AbbVie02no" w:date="2025-05-15T14:22:00Z"/>
          <w:sz w:val="22"/>
          <w:szCs w:val="22"/>
        </w:rPr>
      </w:pPr>
    </w:p>
    <w:p w14:paraId="1AD4C79C" w14:textId="3D28D2A0" w:rsidR="00B54B4F" w:rsidRPr="009C5EFD" w:rsidRDefault="00E453CD" w:rsidP="009C5EFD">
      <w:pPr>
        <w:keepNext/>
        <w:suppressAutoHyphens/>
        <w:rPr>
          <w:del w:id="16657" w:author="AbbVie02no" w:date="2025-05-15T14:22:00Z"/>
          <w:sz w:val="22"/>
          <w:szCs w:val="22"/>
          <w:u w:val="single"/>
        </w:rPr>
      </w:pPr>
      <w:del w:id="16658" w:author="AbbVie02no" w:date="2025-05-15T14:22:00Z">
        <w:r w:rsidRPr="009C5EFD">
          <w:rPr>
            <w:sz w:val="22"/>
            <w:szCs w:val="22"/>
            <w:u w:val="single"/>
          </w:rPr>
          <w:delText>Voksne med psoriasis</w:delText>
        </w:r>
      </w:del>
    </w:p>
    <w:p w14:paraId="6FFA7A45" w14:textId="62252754" w:rsidR="00D6775E" w:rsidRPr="009C5EFD" w:rsidRDefault="00D6775E" w:rsidP="009C5EFD">
      <w:pPr>
        <w:keepNext/>
        <w:suppressAutoHyphens/>
        <w:rPr>
          <w:del w:id="16659" w:author="AbbVie02no" w:date="2025-05-15T14:22:00Z"/>
          <w:sz w:val="22"/>
          <w:szCs w:val="22"/>
        </w:rPr>
      </w:pPr>
    </w:p>
    <w:p w14:paraId="773197A8" w14:textId="4AB2438E" w:rsidR="00D6775E" w:rsidRPr="009C5EFD" w:rsidRDefault="00E453CD" w:rsidP="00776A84">
      <w:pPr>
        <w:suppressAutoHyphens/>
        <w:rPr>
          <w:del w:id="16660" w:author="AbbVie02no" w:date="2025-05-15T14:22:00Z"/>
          <w:sz w:val="22"/>
          <w:szCs w:val="22"/>
        </w:rPr>
      </w:pPr>
      <w:del w:id="16661" w:author="AbbVie02no" w:date="2025-05-15T14:22:00Z">
        <w:r w:rsidRPr="009C5EFD">
          <w:rPr>
            <w:sz w:val="22"/>
            <w:szCs w:val="22"/>
          </w:rPr>
          <w:delText xml:space="preserve">Den vanlige dosen for voksne pasienter med psoriasis er en </w:delText>
        </w:r>
        <w:r w:rsidR="009407B1">
          <w:rPr>
            <w:sz w:val="22"/>
            <w:szCs w:val="22"/>
          </w:rPr>
          <w:delText>start</w:delText>
        </w:r>
        <w:r w:rsidRPr="009C5EFD">
          <w:rPr>
            <w:sz w:val="22"/>
            <w:szCs w:val="22"/>
          </w:rPr>
          <w:delText>dose på 80 mg</w:delText>
        </w:r>
        <w:r w:rsidR="006B036B">
          <w:rPr>
            <w:sz w:val="22"/>
            <w:szCs w:val="22"/>
          </w:rPr>
          <w:delText xml:space="preserve"> </w:delText>
        </w:r>
        <w:r w:rsidR="006B036B" w:rsidRPr="006B036B">
          <w:rPr>
            <w:sz w:val="22"/>
            <w:szCs w:val="22"/>
          </w:rPr>
          <w:delText xml:space="preserve">(som </w:delText>
        </w:r>
        <w:r w:rsidR="00CF61EC">
          <w:rPr>
            <w:sz w:val="22"/>
            <w:szCs w:val="22"/>
          </w:rPr>
          <w:delText xml:space="preserve">to 40 mg </w:delText>
        </w:r>
        <w:r w:rsidR="006B036B" w:rsidRPr="006B036B">
          <w:rPr>
            <w:sz w:val="22"/>
            <w:szCs w:val="22"/>
          </w:rPr>
          <w:delText>injeksjoner på en dag)</w:delText>
        </w:r>
        <w:r w:rsidR="00D87FF0" w:rsidRPr="009C5EFD">
          <w:rPr>
            <w:sz w:val="22"/>
            <w:szCs w:val="22"/>
          </w:rPr>
          <w:delText>,</w:delText>
        </w:r>
        <w:r w:rsidRPr="009C5EFD">
          <w:rPr>
            <w:sz w:val="22"/>
            <w:szCs w:val="22"/>
          </w:rPr>
          <w:delText xml:space="preserve"> etterfulgt av 40 mg annenhver uke som starter en uke etter den første dosen. Du bør fortsette med injeksjoner av Humira så lenge </w:delText>
        </w:r>
        <w:r w:rsidR="00D87FF0" w:rsidRPr="009C5EFD">
          <w:rPr>
            <w:sz w:val="22"/>
            <w:szCs w:val="22"/>
          </w:rPr>
          <w:delText xml:space="preserve">som </w:delText>
        </w:r>
        <w:r w:rsidRPr="009C5EFD">
          <w:rPr>
            <w:sz w:val="22"/>
            <w:szCs w:val="22"/>
          </w:rPr>
          <w:delText>legen har gitt beskjed om.</w:delText>
        </w:r>
        <w:r w:rsidR="002774DF">
          <w:rPr>
            <w:sz w:val="22"/>
            <w:szCs w:val="22"/>
          </w:rPr>
          <w:delText xml:space="preserve"> </w:delText>
        </w:r>
        <w:r w:rsidR="002774DF" w:rsidRPr="002774DF">
          <w:rPr>
            <w:sz w:val="22"/>
            <w:szCs w:val="22"/>
          </w:rPr>
          <w:delText>Legen din kan øke dosering</w:delText>
        </w:r>
        <w:r w:rsidR="006177BE">
          <w:rPr>
            <w:sz w:val="22"/>
            <w:szCs w:val="22"/>
          </w:rPr>
          <w:delText>en</w:delText>
        </w:r>
        <w:r w:rsidR="002774DF" w:rsidRPr="002774DF">
          <w:rPr>
            <w:sz w:val="22"/>
            <w:szCs w:val="22"/>
          </w:rPr>
          <w:delText xml:space="preserve"> til 40 mg hver uke </w:delText>
        </w:r>
        <w:r w:rsidR="006177BE">
          <w:rPr>
            <w:sz w:val="22"/>
            <w:szCs w:val="22"/>
          </w:rPr>
          <w:delText xml:space="preserve">eller 80 mg annenhver uke </w:delText>
        </w:r>
        <w:r w:rsidR="002774DF" w:rsidRPr="002774DF">
          <w:rPr>
            <w:sz w:val="22"/>
            <w:szCs w:val="22"/>
          </w:rPr>
          <w:delText>avhengig av din respons.</w:delText>
        </w:r>
      </w:del>
    </w:p>
    <w:p w14:paraId="44940C21" w14:textId="33D676DA" w:rsidR="00F54285" w:rsidRPr="009C5EFD" w:rsidRDefault="00F54285" w:rsidP="009C5EFD">
      <w:pPr>
        <w:suppressAutoHyphens/>
        <w:rPr>
          <w:del w:id="16662" w:author="AbbVie02no" w:date="2025-05-15T14:22:00Z"/>
          <w:sz w:val="22"/>
          <w:szCs w:val="22"/>
        </w:rPr>
      </w:pPr>
    </w:p>
    <w:p w14:paraId="7EA230D1" w14:textId="4EF3AA93" w:rsidR="00F54285" w:rsidRPr="009C5EFD" w:rsidRDefault="00E453CD" w:rsidP="00776A84">
      <w:pPr>
        <w:pStyle w:val="BodyText3"/>
        <w:keepNext/>
        <w:tabs>
          <w:tab w:val="clear" w:pos="-720"/>
        </w:tabs>
        <w:rPr>
          <w:del w:id="16663" w:author="AbbVie02no" w:date="2025-05-15T14:22:00Z"/>
          <w:b w:val="0"/>
          <w:szCs w:val="22"/>
          <w:u w:val="single"/>
          <w:lang w:val="nb-NO"/>
        </w:rPr>
      </w:pPr>
      <w:del w:id="16664" w:author="AbbVie02no" w:date="2025-05-15T14:22:00Z">
        <w:r w:rsidRPr="009C5EFD">
          <w:rPr>
            <w:b w:val="0"/>
            <w:szCs w:val="22"/>
            <w:u w:val="single"/>
            <w:lang w:val="nb-NO"/>
          </w:rPr>
          <w:delText xml:space="preserve">Barn </w:delText>
        </w:r>
        <w:r w:rsidR="00771D63">
          <w:rPr>
            <w:b w:val="0"/>
            <w:szCs w:val="22"/>
            <w:u w:val="single"/>
            <w:lang w:val="nb-NO"/>
          </w:rPr>
          <w:delText>og</w:delText>
        </w:r>
        <w:r w:rsidR="00771D63" w:rsidRPr="009C5EFD">
          <w:rPr>
            <w:b w:val="0"/>
            <w:szCs w:val="22"/>
            <w:u w:val="single"/>
            <w:lang w:val="nb-NO"/>
          </w:rPr>
          <w:delText xml:space="preserve"> </w:delText>
        </w:r>
        <w:r w:rsidRPr="009C5EFD">
          <w:rPr>
            <w:b w:val="0"/>
            <w:szCs w:val="22"/>
            <w:u w:val="single"/>
            <w:lang w:val="nb-NO"/>
          </w:rPr>
          <w:delText xml:space="preserve">ungdom med </w:delText>
        </w:r>
        <w:r w:rsidR="00A56B64" w:rsidRPr="009C5EFD">
          <w:rPr>
            <w:b w:val="0"/>
            <w:szCs w:val="22"/>
            <w:u w:val="single"/>
            <w:lang w:val="nb-NO"/>
          </w:rPr>
          <w:delText>plakk</w:delText>
        </w:r>
        <w:r w:rsidRPr="009C5EFD">
          <w:rPr>
            <w:b w:val="0"/>
            <w:szCs w:val="22"/>
            <w:u w:val="single"/>
            <w:lang w:val="nb-NO"/>
          </w:rPr>
          <w:delText>psoriasis</w:delText>
        </w:r>
      </w:del>
    </w:p>
    <w:p w14:paraId="2F37B22B" w14:textId="74E3A70F" w:rsidR="00F54285" w:rsidRPr="001F5D4B" w:rsidRDefault="00F54285" w:rsidP="00776A84">
      <w:pPr>
        <w:pStyle w:val="BodyText3"/>
        <w:keepNext/>
        <w:tabs>
          <w:tab w:val="clear" w:pos="-720"/>
        </w:tabs>
        <w:rPr>
          <w:del w:id="16665" w:author="AbbVie02no" w:date="2025-05-15T14:22:00Z"/>
          <w:b w:val="0"/>
          <w:szCs w:val="22"/>
          <w:lang w:val="nb-NO"/>
        </w:rPr>
      </w:pPr>
    </w:p>
    <w:p w14:paraId="06BAF95C" w14:textId="3BEBD806" w:rsidR="00771D63" w:rsidRPr="00AB7697" w:rsidRDefault="00E453CD" w:rsidP="00776A84">
      <w:pPr>
        <w:keepNext/>
        <w:numPr>
          <w:ilvl w:val="12"/>
          <w:numId w:val="0"/>
        </w:numPr>
        <w:tabs>
          <w:tab w:val="left" w:pos="1590"/>
        </w:tabs>
        <w:ind w:right="-2"/>
        <w:rPr>
          <w:del w:id="16666" w:author="AbbVie02no" w:date="2025-05-15T14:22:00Z"/>
          <w:sz w:val="22"/>
          <w:szCs w:val="22"/>
          <w:u w:val="single"/>
        </w:rPr>
      </w:pPr>
      <w:del w:id="16667" w:author="AbbVie02no" w:date="2025-05-15T14:22:00Z">
        <w:r w:rsidRPr="00AB7697">
          <w:rPr>
            <w:i/>
            <w:sz w:val="22"/>
            <w:szCs w:val="22"/>
          </w:rPr>
          <w:delText xml:space="preserve">Barn og ungdom fra 4 til 17 år som veier 15 kg til </w:delText>
        </w:r>
        <w:r w:rsidR="00684DB9">
          <w:rPr>
            <w:i/>
            <w:sz w:val="22"/>
            <w:szCs w:val="22"/>
          </w:rPr>
          <w:delText>under</w:delText>
        </w:r>
        <w:r w:rsidRPr="00AB7697">
          <w:rPr>
            <w:i/>
            <w:sz w:val="22"/>
            <w:szCs w:val="22"/>
          </w:rPr>
          <w:delText xml:space="preserve"> 30 kg</w:delText>
        </w:r>
      </w:del>
    </w:p>
    <w:p w14:paraId="4DFCFAD0" w14:textId="61CB41D5" w:rsidR="00771D63" w:rsidRPr="00AB7697" w:rsidRDefault="00771D63" w:rsidP="00776A84">
      <w:pPr>
        <w:keepNext/>
        <w:numPr>
          <w:ilvl w:val="12"/>
          <w:numId w:val="0"/>
        </w:numPr>
        <w:ind w:right="-2"/>
        <w:rPr>
          <w:del w:id="16668" w:author="AbbVie02no" w:date="2025-05-15T14:22:00Z"/>
          <w:sz w:val="22"/>
          <w:szCs w:val="22"/>
        </w:rPr>
      </w:pPr>
    </w:p>
    <w:p w14:paraId="7D2EE6D5" w14:textId="79826979" w:rsidR="00771D63" w:rsidRPr="00AB7697" w:rsidRDefault="00E453CD" w:rsidP="00771D63">
      <w:pPr>
        <w:numPr>
          <w:ilvl w:val="12"/>
          <w:numId w:val="0"/>
        </w:numPr>
        <w:tabs>
          <w:tab w:val="left" w:pos="720"/>
        </w:tabs>
        <w:ind w:right="-2"/>
        <w:rPr>
          <w:del w:id="16669" w:author="AbbVie02no" w:date="2025-05-15T14:22:00Z"/>
          <w:sz w:val="22"/>
          <w:szCs w:val="22"/>
        </w:rPr>
      </w:pPr>
      <w:del w:id="16670" w:author="AbbVie02no" w:date="2025-05-15T14:22:00Z">
        <w:r w:rsidRPr="00AB7697">
          <w:rPr>
            <w:sz w:val="22"/>
            <w:szCs w:val="22"/>
          </w:rPr>
          <w:delText>Den anbefalte dosen av Humira er en dose på 20 mg ved oppstart, etterfulgt av 20 mg en uke senere. Deretter er vanlig dose 20 mg annenhver uke.</w:delText>
        </w:r>
      </w:del>
    </w:p>
    <w:p w14:paraId="0B5A8174" w14:textId="1B154643" w:rsidR="00771D63" w:rsidRPr="00AB7697" w:rsidRDefault="00771D63" w:rsidP="00771D63">
      <w:pPr>
        <w:numPr>
          <w:ilvl w:val="12"/>
          <w:numId w:val="0"/>
        </w:numPr>
        <w:tabs>
          <w:tab w:val="left" w:pos="720"/>
        </w:tabs>
        <w:ind w:right="-2"/>
        <w:rPr>
          <w:del w:id="16671" w:author="AbbVie02no" w:date="2025-05-15T14:22:00Z"/>
          <w:sz w:val="22"/>
          <w:szCs w:val="22"/>
        </w:rPr>
      </w:pPr>
    </w:p>
    <w:p w14:paraId="2A24ED39" w14:textId="085F9A40" w:rsidR="00771D63" w:rsidRPr="00AB7697" w:rsidRDefault="00E453CD" w:rsidP="00776A84">
      <w:pPr>
        <w:keepNext/>
        <w:numPr>
          <w:ilvl w:val="12"/>
          <w:numId w:val="0"/>
        </w:numPr>
        <w:tabs>
          <w:tab w:val="left" w:pos="720"/>
        </w:tabs>
        <w:ind w:right="-2"/>
        <w:rPr>
          <w:del w:id="16672" w:author="AbbVie02no" w:date="2025-05-15T14:22:00Z"/>
          <w:i/>
          <w:sz w:val="22"/>
          <w:szCs w:val="22"/>
        </w:rPr>
      </w:pPr>
      <w:del w:id="16673" w:author="AbbVie02no" w:date="2025-05-15T14:22:00Z">
        <w:r w:rsidRPr="00AB7697">
          <w:rPr>
            <w:i/>
            <w:sz w:val="22"/>
            <w:szCs w:val="22"/>
          </w:rPr>
          <w:delText>Barn og ungdom fra 4 til 17 år som veier 30 kg eller mer</w:delText>
        </w:r>
      </w:del>
    </w:p>
    <w:p w14:paraId="65AD7261" w14:textId="56AD4EDB" w:rsidR="00771D63" w:rsidRPr="00AB7697" w:rsidRDefault="00771D63" w:rsidP="00776A84">
      <w:pPr>
        <w:keepNext/>
        <w:numPr>
          <w:ilvl w:val="12"/>
          <w:numId w:val="0"/>
        </w:numPr>
        <w:tabs>
          <w:tab w:val="left" w:pos="720"/>
        </w:tabs>
        <w:ind w:right="-2"/>
        <w:rPr>
          <w:del w:id="16674" w:author="AbbVie02no" w:date="2025-05-15T14:22:00Z"/>
          <w:sz w:val="22"/>
          <w:szCs w:val="22"/>
        </w:rPr>
      </w:pPr>
    </w:p>
    <w:p w14:paraId="4A09E8CD" w14:textId="3F7D4FFF" w:rsidR="00F54285" w:rsidRPr="009C5EFD" w:rsidRDefault="00E453CD" w:rsidP="009C5EFD">
      <w:pPr>
        <w:rPr>
          <w:del w:id="16675" w:author="AbbVie02no" w:date="2025-05-15T14:22:00Z"/>
          <w:sz w:val="22"/>
          <w:szCs w:val="22"/>
        </w:rPr>
      </w:pPr>
      <w:del w:id="16676" w:author="AbbVie02no" w:date="2025-05-15T14:22:00Z">
        <w:r w:rsidRPr="00771D63">
          <w:rPr>
            <w:szCs w:val="22"/>
          </w:rPr>
          <w:delText xml:space="preserve">Den anbefalte dosen av Humira er en dose på 40 mg ved oppstart, etterfulgt av 40 mg en uke senere. Deretter er vanlig dose </w:delText>
        </w:r>
        <w:r w:rsidRPr="00D326F7">
          <w:rPr>
            <w:szCs w:val="22"/>
          </w:rPr>
          <w:delText>4</w:delText>
        </w:r>
        <w:r w:rsidRPr="00C37307">
          <w:rPr>
            <w:szCs w:val="22"/>
          </w:rPr>
          <w:delText>0 mg annenhver uke.</w:delText>
        </w:r>
      </w:del>
    </w:p>
    <w:p w14:paraId="7934DA15" w14:textId="4572C44D" w:rsidR="00DD2E86" w:rsidRPr="009C5EFD" w:rsidRDefault="00DD2E86" w:rsidP="009C5EFD">
      <w:pPr>
        <w:suppressAutoHyphens/>
        <w:rPr>
          <w:del w:id="16677" w:author="AbbVie02no" w:date="2025-05-15T14:22:00Z"/>
          <w:sz w:val="22"/>
          <w:szCs w:val="22"/>
        </w:rPr>
      </w:pPr>
    </w:p>
    <w:p w14:paraId="7B9F611E" w14:textId="53F7CF36" w:rsidR="00DD2E86" w:rsidRPr="009C5EFD" w:rsidRDefault="00E453CD" w:rsidP="00776A84">
      <w:pPr>
        <w:keepNext/>
        <w:autoSpaceDE w:val="0"/>
        <w:autoSpaceDN w:val="0"/>
        <w:adjustRightInd w:val="0"/>
        <w:rPr>
          <w:del w:id="16678" w:author="AbbVie02no" w:date="2025-05-15T14:22:00Z"/>
          <w:rFonts w:eastAsia="TimesNewRoman"/>
          <w:sz w:val="22"/>
          <w:szCs w:val="22"/>
          <w:u w:val="single"/>
        </w:rPr>
      </w:pPr>
      <w:del w:id="16679" w:author="AbbVie02no" w:date="2025-05-15T14:22:00Z">
        <w:r w:rsidRPr="009C5EFD">
          <w:rPr>
            <w:rFonts w:eastAsia="TimesNewRoman"/>
            <w:sz w:val="22"/>
            <w:szCs w:val="22"/>
            <w:u w:val="single"/>
          </w:rPr>
          <w:delText xml:space="preserve">Voksne med </w:delText>
        </w:r>
        <w:r w:rsidR="007F67EE" w:rsidRPr="009C5EFD">
          <w:rPr>
            <w:rFonts w:eastAsia="TimesNewRoman"/>
            <w:sz w:val="22"/>
            <w:szCs w:val="22"/>
            <w:u w:val="single"/>
          </w:rPr>
          <w:delText>hidrosadenitt</w:delText>
        </w:r>
      </w:del>
    </w:p>
    <w:p w14:paraId="2C5DC817" w14:textId="64D53C5B" w:rsidR="00DD2E86" w:rsidRPr="009C5EFD" w:rsidRDefault="00DD2E86" w:rsidP="00776A84">
      <w:pPr>
        <w:keepNext/>
        <w:autoSpaceDE w:val="0"/>
        <w:autoSpaceDN w:val="0"/>
        <w:adjustRightInd w:val="0"/>
        <w:rPr>
          <w:del w:id="16680" w:author="AbbVie02no" w:date="2025-05-15T14:22:00Z"/>
          <w:rFonts w:eastAsia="TimesNewRoman"/>
          <w:sz w:val="22"/>
          <w:szCs w:val="22"/>
          <w:u w:val="single"/>
        </w:rPr>
      </w:pPr>
    </w:p>
    <w:p w14:paraId="24D1EE80" w14:textId="3DE0E79A" w:rsidR="00DD2E86" w:rsidRDefault="00E453CD" w:rsidP="009C5EFD">
      <w:pPr>
        <w:autoSpaceDE w:val="0"/>
        <w:autoSpaceDN w:val="0"/>
        <w:adjustRightInd w:val="0"/>
        <w:rPr>
          <w:del w:id="16681" w:author="AbbVie02no" w:date="2025-05-15T14:22:00Z"/>
          <w:rFonts w:eastAsia="TimesNewRoman"/>
          <w:sz w:val="22"/>
          <w:szCs w:val="22"/>
        </w:rPr>
      </w:pPr>
      <w:del w:id="16682" w:author="AbbVie02no" w:date="2025-05-15T14:22:00Z">
        <w:r w:rsidRPr="009C5EFD">
          <w:rPr>
            <w:rFonts w:eastAsia="TimesNewRoman"/>
            <w:sz w:val="22"/>
            <w:szCs w:val="22"/>
          </w:rPr>
          <w:delText xml:space="preserve">Den vanlige doseringen for </w:delText>
        </w:r>
        <w:r w:rsidR="007F67EE" w:rsidRPr="009C5EFD">
          <w:rPr>
            <w:rFonts w:eastAsia="TimesNewRoman"/>
            <w:sz w:val="22"/>
            <w:szCs w:val="22"/>
          </w:rPr>
          <w:delText>hidrosadenitt</w:delText>
        </w:r>
        <w:r w:rsidRPr="009C5EFD">
          <w:rPr>
            <w:rFonts w:eastAsia="TimesNewRoman"/>
            <w:sz w:val="22"/>
            <w:szCs w:val="22"/>
          </w:rPr>
          <w:delText xml:space="preserve"> er en dose på 160 mg ved oppstart (som </w:delText>
        </w:r>
        <w:r w:rsidR="006177BE">
          <w:rPr>
            <w:rFonts w:eastAsia="TimesNewRoman"/>
            <w:sz w:val="22"/>
            <w:szCs w:val="22"/>
          </w:rPr>
          <w:delText xml:space="preserve">fire 40 mg </w:delText>
        </w:r>
        <w:r w:rsidRPr="009C5EFD">
          <w:rPr>
            <w:rFonts w:eastAsia="TimesNewRoman"/>
            <w:sz w:val="22"/>
            <w:szCs w:val="22"/>
          </w:rPr>
          <w:delText xml:space="preserve">injeksjoner på </w:delText>
        </w:r>
        <w:r w:rsidR="006177BE">
          <w:rPr>
            <w:rFonts w:eastAsia="TimesNewRoman"/>
            <w:sz w:val="22"/>
            <w:szCs w:val="22"/>
          </w:rPr>
          <w:delText>en</w:delText>
        </w:r>
        <w:r w:rsidR="006177BE" w:rsidRPr="009C5EFD">
          <w:rPr>
            <w:rFonts w:eastAsia="TimesNewRoman"/>
            <w:sz w:val="22"/>
            <w:szCs w:val="22"/>
          </w:rPr>
          <w:delText xml:space="preserve"> </w:delText>
        </w:r>
        <w:r w:rsidRPr="009C5EFD">
          <w:rPr>
            <w:rFonts w:eastAsia="TimesNewRoman"/>
            <w:sz w:val="22"/>
            <w:szCs w:val="22"/>
          </w:rPr>
          <w:delText xml:space="preserve">dag eller </w:delText>
        </w:r>
        <w:r w:rsidR="006177BE">
          <w:rPr>
            <w:rFonts w:eastAsia="TimesNewRoman"/>
            <w:sz w:val="22"/>
            <w:szCs w:val="22"/>
          </w:rPr>
          <w:delText>to 40 mg</w:delText>
        </w:r>
        <w:r w:rsidR="006177BE" w:rsidRPr="009C5EFD">
          <w:rPr>
            <w:rFonts w:eastAsia="TimesNewRoman"/>
            <w:sz w:val="22"/>
            <w:szCs w:val="22"/>
          </w:rPr>
          <w:delText xml:space="preserve"> </w:delText>
        </w:r>
        <w:r w:rsidRPr="009C5EFD">
          <w:rPr>
            <w:rFonts w:eastAsia="TimesNewRoman"/>
            <w:sz w:val="22"/>
            <w:szCs w:val="22"/>
          </w:rPr>
          <w:delText xml:space="preserve">injeksjoner daglig </w:delText>
        </w:r>
        <w:r w:rsidR="00326F9C">
          <w:rPr>
            <w:rFonts w:eastAsia="TimesNewRoman"/>
            <w:sz w:val="22"/>
            <w:szCs w:val="22"/>
          </w:rPr>
          <w:delText>i</w:delText>
        </w:r>
        <w:r w:rsidR="007250BA" w:rsidRPr="009C5EFD">
          <w:rPr>
            <w:rFonts w:eastAsia="TimesNewRoman"/>
            <w:sz w:val="22"/>
            <w:szCs w:val="22"/>
          </w:rPr>
          <w:delText xml:space="preserve"> </w:delText>
        </w:r>
        <w:r w:rsidRPr="009C5EFD">
          <w:rPr>
            <w:rFonts w:eastAsia="TimesNewRoman"/>
            <w:sz w:val="22"/>
            <w:szCs w:val="22"/>
          </w:rPr>
          <w:delText xml:space="preserve">to påfølgende dager), etterfulgt av en dose på 80 mg (som </w:delText>
        </w:r>
        <w:r w:rsidR="006177BE">
          <w:rPr>
            <w:rFonts w:eastAsia="TimesNewRoman"/>
            <w:sz w:val="22"/>
            <w:szCs w:val="22"/>
          </w:rPr>
          <w:delText>to 40 mg</w:delText>
        </w:r>
        <w:r w:rsidR="006177BE" w:rsidRPr="009C5EFD">
          <w:rPr>
            <w:rFonts w:eastAsia="TimesNewRoman"/>
            <w:sz w:val="22"/>
            <w:szCs w:val="22"/>
          </w:rPr>
          <w:delText xml:space="preserve"> </w:delText>
        </w:r>
        <w:r w:rsidRPr="009C5EFD">
          <w:rPr>
            <w:rFonts w:eastAsia="TimesNewRoman"/>
            <w:sz w:val="22"/>
            <w:szCs w:val="22"/>
          </w:rPr>
          <w:delText xml:space="preserve">injeksjoner på </w:delText>
        </w:r>
        <w:r w:rsidR="00771D63">
          <w:rPr>
            <w:rFonts w:eastAsia="TimesNewRoman"/>
            <w:sz w:val="22"/>
            <w:szCs w:val="22"/>
          </w:rPr>
          <w:delText>en</w:delText>
        </w:r>
        <w:r w:rsidR="00771D63" w:rsidRPr="009C5EFD">
          <w:rPr>
            <w:rFonts w:eastAsia="TimesNewRoman"/>
            <w:sz w:val="22"/>
            <w:szCs w:val="22"/>
          </w:rPr>
          <w:delText xml:space="preserve"> </w:delText>
        </w:r>
        <w:r w:rsidRPr="009C5EFD">
          <w:rPr>
            <w:rFonts w:eastAsia="TimesNewRoman"/>
            <w:sz w:val="22"/>
            <w:szCs w:val="22"/>
          </w:rPr>
          <w:delText>dag) to uker senere. Etter ytterligere to uker, fortsettes det med en dose</w:delText>
        </w:r>
        <w:r w:rsidR="006177BE">
          <w:rPr>
            <w:rFonts w:eastAsia="TimesNewRoman"/>
            <w:sz w:val="22"/>
            <w:szCs w:val="22"/>
          </w:rPr>
          <w:delText>ring</w:delText>
        </w:r>
        <w:r w:rsidRPr="009C5EFD">
          <w:rPr>
            <w:rFonts w:eastAsia="TimesNewRoman"/>
            <w:sz w:val="22"/>
            <w:szCs w:val="22"/>
          </w:rPr>
          <w:delText xml:space="preserve"> på 40 mg hver uke</w:delText>
        </w:r>
        <w:r w:rsidR="006177BE">
          <w:rPr>
            <w:rFonts w:eastAsia="TimesNewRoman"/>
            <w:sz w:val="22"/>
            <w:szCs w:val="22"/>
          </w:rPr>
          <w:delText xml:space="preserve"> eller 80 mg annenhver uke, som forskrevet av legen din</w:delText>
        </w:r>
        <w:r w:rsidRPr="009C5EFD">
          <w:rPr>
            <w:rFonts w:eastAsia="TimesNewRoman"/>
            <w:sz w:val="22"/>
            <w:szCs w:val="22"/>
          </w:rPr>
          <w:delText>.</w:delText>
        </w:r>
        <w:r w:rsidRPr="001F5D4B">
          <w:rPr>
            <w:color w:val="222222"/>
          </w:rPr>
          <w:delText xml:space="preserve"> </w:delText>
        </w:r>
        <w:r w:rsidRPr="007F67EE">
          <w:rPr>
            <w:rFonts w:eastAsia="TimesNewRoman"/>
            <w:sz w:val="22"/>
            <w:szCs w:val="22"/>
          </w:rPr>
          <w:delText>Det anbefales at du bruker en antiseptisk vask daglig på de berørte områdene.</w:delText>
        </w:r>
      </w:del>
    </w:p>
    <w:p w14:paraId="24B77DAB" w14:textId="7821E18C" w:rsidR="007D7EB5" w:rsidRDefault="007D7EB5" w:rsidP="009C5EFD">
      <w:pPr>
        <w:autoSpaceDE w:val="0"/>
        <w:autoSpaceDN w:val="0"/>
        <w:adjustRightInd w:val="0"/>
        <w:rPr>
          <w:del w:id="16683" w:author="AbbVie02no" w:date="2025-05-15T14:22:00Z"/>
          <w:rFonts w:eastAsia="TimesNewRoman"/>
          <w:sz w:val="22"/>
          <w:szCs w:val="22"/>
        </w:rPr>
      </w:pPr>
    </w:p>
    <w:p w14:paraId="2E5CC271" w14:textId="6B8C2757" w:rsidR="00771D63" w:rsidRDefault="00E453CD" w:rsidP="00776A84">
      <w:pPr>
        <w:pStyle w:val="BodyText3"/>
        <w:keepNext/>
        <w:tabs>
          <w:tab w:val="clear" w:pos="-720"/>
        </w:tabs>
        <w:rPr>
          <w:del w:id="16684" w:author="AbbVie02no" w:date="2025-05-15T14:22:00Z"/>
          <w:b w:val="0"/>
          <w:szCs w:val="22"/>
          <w:u w:val="single"/>
          <w:lang w:val="nb-NO"/>
        </w:rPr>
      </w:pPr>
      <w:del w:id="16685" w:author="AbbVie02no" w:date="2025-05-15T14:22:00Z">
        <w:r w:rsidRPr="00DA6326">
          <w:rPr>
            <w:b w:val="0"/>
            <w:szCs w:val="22"/>
            <w:u w:val="single"/>
            <w:lang w:val="nb-NO"/>
          </w:rPr>
          <w:delText xml:space="preserve">Ungdom med hidrosadenitt fra 12 </w:delText>
        </w:r>
        <w:r>
          <w:rPr>
            <w:b w:val="0"/>
            <w:szCs w:val="22"/>
            <w:u w:val="single"/>
            <w:lang w:val="nb-NO"/>
          </w:rPr>
          <w:delText xml:space="preserve">til 17 </w:delText>
        </w:r>
        <w:r w:rsidRPr="00DA6326">
          <w:rPr>
            <w:b w:val="0"/>
            <w:szCs w:val="22"/>
            <w:u w:val="single"/>
            <w:lang w:val="nb-NO"/>
          </w:rPr>
          <w:delText xml:space="preserve">år, </w:delText>
        </w:r>
        <w:r>
          <w:rPr>
            <w:b w:val="0"/>
            <w:szCs w:val="22"/>
            <w:u w:val="single"/>
            <w:lang w:val="nb-NO"/>
          </w:rPr>
          <w:delText>som veier 30 kg eller mer</w:delText>
        </w:r>
      </w:del>
    </w:p>
    <w:p w14:paraId="379C412B" w14:textId="7ACE2D50" w:rsidR="00771D63" w:rsidRPr="00DA6326" w:rsidRDefault="00771D63" w:rsidP="00776A84">
      <w:pPr>
        <w:pStyle w:val="BodyText3"/>
        <w:keepNext/>
        <w:tabs>
          <w:tab w:val="clear" w:pos="-720"/>
        </w:tabs>
        <w:rPr>
          <w:del w:id="16686" w:author="AbbVie02no" w:date="2025-05-15T14:22:00Z"/>
          <w:b w:val="0"/>
          <w:szCs w:val="22"/>
          <w:u w:val="single"/>
          <w:lang w:val="nb-NO"/>
        </w:rPr>
      </w:pPr>
    </w:p>
    <w:p w14:paraId="007CD97B" w14:textId="60574419" w:rsidR="007D7EB5" w:rsidRPr="00ED67B8" w:rsidRDefault="00E453CD" w:rsidP="007D7EB5">
      <w:pPr>
        <w:autoSpaceDE w:val="0"/>
        <w:autoSpaceDN w:val="0"/>
        <w:adjustRightInd w:val="0"/>
        <w:rPr>
          <w:del w:id="16687" w:author="AbbVie02no" w:date="2025-05-15T14:22:00Z"/>
          <w:sz w:val="22"/>
          <w:szCs w:val="22"/>
        </w:rPr>
      </w:pPr>
      <w:del w:id="16688" w:author="AbbVie02no" w:date="2025-05-15T14:22:00Z">
        <w:r w:rsidRPr="00AB7697">
          <w:rPr>
            <w:sz w:val="22"/>
            <w:szCs w:val="22"/>
          </w:rPr>
          <w:delText xml:space="preserve">Den anbefalte dosen av Humira er en dose på 80 mg ved oppstart (som </w:delText>
        </w:r>
        <w:r w:rsidR="006177BE">
          <w:rPr>
            <w:sz w:val="22"/>
            <w:szCs w:val="22"/>
          </w:rPr>
          <w:delText>to 40 mg</w:delText>
        </w:r>
        <w:r w:rsidR="006177BE" w:rsidRPr="00AB7697">
          <w:rPr>
            <w:sz w:val="22"/>
            <w:szCs w:val="22"/>
          </w:rPr>
          <w:delText xml:space="preserve"> </w:delText>
        </w:r>
        <w:r w:rsidRPr="00AB7697">
          <w:rPr>
            <w:sz w:val="22"/>
            <w:szCs w:val="22"/>
          </w:rPr>
          <w:delText>injeksjoner på en dag), etterfulgt av 40 mg annenhver uke fra en uke senere. Legen din kan øke dosering</w:delText>
        </w:r>
        <w:r w:rsidR="006177BE">
          <w:rPr>
            <w:sz w:val="22"/>
            <w:szCs w:val="22"/>
          </w:rPr>
          <w:delText>en</w:delText>
        </w:r>
        <w:r w:rsidRPr="00AB7697">
          <w:rPr>
            <w:sz w:val="22"/>
            <w:szCs w:val="22"/>
          </w:rPr>
          <w:delText xml:space="preserve"> til 40 mg hver uke </w:delText>
        </w:r>
        <w:r w:rsidR="006177BE">
          <w:rPr>
            <w:sz w:val="22"/>
            <w:szCs w:val="22"/>
          </w:rPr>
          <w:delText xml:space="preserve">eller 80 mg annenhver uke </w:delText>
        </w:r>
        <w:r w:rsidRPr="00AB7697">
          <w:rPr>
            <w:sz w:val="22"/>
            <w:szCs w:val="22"/>
          </w:rPr>
          <w:delText>dersom du har utilstrekkelig respons</w:delText>
        </w:r>
        <w:r w:rsidR="006177BE">
          <w:rPr>
            <w:sz w:val="22"/>
            <w:szCs w:val="22"/>
          </w:rPr>
          <w:delText xml:space="preserve"> på Humira 40 mg annenhver uke</w:delText>
        </w:r>
        <w:r w:rsidRPr="00AB7697">
          <w:rPr>
            <w:sz w:val="22"/>
            <w:szCs w:val="22"/>
          </w:rPr>
          <w:delText>.</w:delText>
        </w:r>
      </w:del>
    </w:p>
    <w:p w14:paraId="50AFE267" w14:textId="0EDC5325" w:rsidR="007D7EB5" w:rsidRPr="00ED67B8" w:rsidRDefault="007D7EB5" w:rsidP="007D7EB5">
      <w:pPr>
        <w:autoSpaceDE w:val="0"/>
        <w:autoSpaceDN w:val="0"/>
        <w:adjustRightInd w:val="0"/>
        <w:rPr>
          <w:del w:id="16689" w:author="AbbVie02no" w:date="2025-05-15T14:22:00Z"/>
          <w:sz w:val="22"/>
          <w:szCs w:val="22"/>
        </w:rPr>
      </w:pPr>
    </w:p>
    <w:p w14:paraId="068D7565" w14:textId="667F8318" w:rsidR="007D7EB5" w:rsidRPr="007F67EE" w:rsidRDefault="00E453CD" w:rsidP="007D7EB5">
      <w:pPr>
        <w:autoSpaceDE w:val="0"/>
        <w:autoSpaceDN w:val="0"/>
        <w:adjustRightInd w:val="0"/>
        <w:rPr>
          <w:del w:id="16690" w:author="AbbVie02no" w:date="2025-05-15T14:22:00Z"/>
          <w:rFonts w:eastAsia="Calibri"/>
          <w:sz w:val="22"/>
          <w:szCs w:val="22"/>
        </w:rPr>
      </w:pPr>
      <w:del w:id="16691" w:author="AbbVie02no" w:date="2025-05-15T14:22:00Z">
        <w:r w:rsidRPr="00ED67B8">
          <w:rPr>
            <w:sz w:val="22"/>
            <w:szCs w:val="22"/>
          </w:rPr>
          <w:delText>Det anbefales at du bruker en antiseptisk vask daglig på de berørte områdene.</w:delText>
        </w:r>
      </w:del>
    </w:p>
    <w:p w14:paraId="7BDD58D0" w14:textId="44D51D0A" w:rsidR="00F54285" w:rsidRPr="00193D76" w:rsidRDefault="00F54285" w:rsidP="009C5EFD">
      <w:pPr>
        <w:suppressAutoHyphens/>
        <w:rPr>
          <w:del w:id="16692" w:author="AbbVie02no" w:date="2025-05-15T14:22:00Z"/>
          <w:b/>
          <w:sz w:val="22"/>
          <w:szCs w:val="22"/>
        </w:rPr>
      </w:pPr>
    </w:p>
    <w:p w14:paraId="75A51B72" w14:textId="155C2CBA" w:rsidR="00686174" w:rsidRPr="00E14E58" w:rsidRDefault="00E453CD" w:rsidP="008111AA">
      <w:pPr>
        <w:keepNext/>
        <w:suppressAutoHyphens/>
        <w:rPr>
          <w:del w:id="16693" w:author="AbbVie02no" w:date="2025-05-15T14:22:00Z"/>
          <w:sz w:val="22"/>
          <w:szCs w:val="22"/>
        </w:rPr>
      </w:pPr>
      <w:del w:id="16694" w:author="AbbVie02no" w:date="2025-05-15T14:22:00Z">
        <w:r w:rsidRPr="002D0790">
          <w:rPr>
            <w:sz w:val="22"/>
            <w:szCs w:val="22"/>
            <w:u w:val="single"/>
          </w:rPr>
          <w:delText>Voksne med Crohns sykdom</w:delText>
        </w:r>
      </w:del>
    </w:p>
    <w:p w14:paraId="5A1AD63B" w14:textId="0C2C981E" w:rsidR="00686174" w:rsidRPr="009C5EFD" w:rsidRDefault="00686174" w:rsidP="008111AA">
      <w:pPr>
        <w:keepNext/>
        <w:suppressAutoHyphens/>
        <w:rPr>
          <w:del w:id="16695" w:author="AbbVie02no" w:date="2025-05-15T14:22:00Z"/>
          <w:sz w:val="22"/>
          <w:szCs w:val="22"/>
        </w:rPr>
      </w:pPr>
    </w:p>
    <w:p w14:paraId="52996BFA" w14:textId="371EFFCB" w:rsidR="00686174" w:rsidRPr="009C5EFD" w:rsidRDefault="00E453CD" w:rsidP="00776A84">
      <w:pPr>
        <w:suppressAutoHyphens/>
        <w:rPr>
          <w:del w:id="16696" w:author="AbbVie02no" w:date="2025-05-15T14:22:00Z"/>
          <w:sz w:val="22"/>
          <w:szCs w:val="22"/>
        </w:rPr>
      </w:pPr>
      <w:del w:id="16697" w:author="AbbVie02no" w:date="2025-05-15T14:22:00Z">
        <w:r w:rsidRPr="009C5EFD">
          <w:rPr>
            <w:sz w:val="22"/>
            <w:szCs w:val="22"/>
          </w:rPr>
          <w:delText>Den vanlige doseringen for Crohns sykdom er 80 mg ved oppstart</w:delText>
        </w:r>
        <w:r w:rsidR="006B036B">
          <w:rPr>
            <w:sz w:val="22"/>
            <w:szCs w:val="22"/>
          </w:rPr>
          <w:delText xml:space="preserve"> </w:delText>
        </w:r>
        <w:r w:rsidR="006B036B" w:rsidRPr="006B036B">
          <w:rPr>
            <w:sz w:val="22"/>
            <w:szCs w:val="22"/>
          </w:rPr>
          <w:delText xml:space="preserve">(som </w:delText>
        </w:r>
        <w:r w:rsidR="006177BE">
          <w:rPr>
            <w:sz w:val="22"/>
            <w:szCs w:val="22"/>
          </w:rPr>
          <w:delText>to 40 mg</w:delText>
        </w:r>
        <w:r w:rsidR="006177BE" w:rsidRPr="006B036B">
          <w:rPr>
            <w:sz w:val="22"/>
            <w:szCs w:val="22"/>
          </w:rPr>
          <w:delText xml:space="preserve"> </w:delText>
        </w:r>
        <w:r w:rsidR="006B036B" w:rsidRPr="006B036B">
          <w:rPr>
            <w:sz w:val="22"/>
            <w:szCs w:val="22"/>
          </w:rPr>
          <w:delText>injeksjoner på en dag)</w:delText>
        </w:r>
        <w:r w:rsidRPr="009C5EFD">
          <w:rPr>
            <w:sz w:val="22"/>
            <w:szCs w:val="22"/>
          </w:rPr>
          <w:delText xml:space="preserve">, etterfulgt av 40 mg annenhver uke to uker senere. Hvis det er behov for en raskere respons, kan legen din forskrive en oppstartsdose på 160 mg (som </w:delText>
        </w:r>
        <w:r w:rsidR="006177BE">
          <w:rPr>
            <w:sz w:val="22"/>
            <w:szCs w:val="22"/>
          </w:rPr>
          <w:delText>fire 40 mg</w:delText>
        </w:r>
        <w:r w:rsidR="006177BE" w:rsidRPr="009C5EFD">
          <w:rPr>
            <w:sz w:val="22"/>
            <w:szCs w:val="22"/>
          </w:rPr>
          <w:delText xml:space="preserve"> </w:delText>
        </w:r>
        <w:r w:rsidRPr="009C5EFD">
          <w:rPr>
            <w:sz w:val="22"/>
            <w:szCs w:val="22"/>
          </w:rPr>
          <w:delText xml:space="preserve">injeksjoner på en dag eller </w:delText>
        </w:r>
        <w:r w:rsidR="006177BE">
          <w:rPr>
            <w:sz w:val="22"/>
            <w:szCs w:val="22"/>
          </w:rPr>
          <w:delText>to 40 mg</w:delText>
        </w:r>
        <w:r w:rsidR="006177BE"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 etterfulgt av 80 mg </w:delText>
        </w:r>
        <w:r w:rsidR="006B036B" w:rsidRPr="006B036B">
          <w:rPr>
            <w:sz w:val="22"/>
            <w:szCs w:val="22"/>
          </w:rPr>
          <w:delText xml:space="preserve">(som </w:delText>
        </w:r>
        <w:r w:rsidR="006177BE">
          <w:rPr>
            <w:sz w:val="22"/>
            <w:szCs w:val="22"/>
          </w:rPr>
          <w:delText>to 40 mg</w:delText>
        </w:r>
        <w:r w:rsidR="006177BE" w:rsidRPr="006B036B">
          <w:rPr>
            <w:sz w:val="22"/>
            <w:szCs w:val="22"/>
          </w:rPr>
          <w:delText xml:space="preserve"> </w:delText>
        </w:r>
        <w:r w:rsidR="006B036B" w:rsidRPr="006B036B">
          <w:rPr>
            <w:sz w:val="22"/>
            <w:szCs w:val="22"/>
          </w:rPr>
          <w:delText>injeksjoner på en dag)</w:delText>
        </w:r>
        <w:r w:rsidR="006B036B">
          <w:rPr>
            <w:sz w:val="22"/>
            <w:szCs w:val="22"/>
          </w:rPr>
          <w:delText xml:space="preserve"> </w:delText>
        </w:r>
        <w:r w:rsidRPr="009C5EFD">
          <w:rPr>
            <w:sz w:val="22"/>
            <w:szCs w:val="22"/>
          </w:rPr>
          <w:delText>to uker senere, og deretter 40 mg annenhver uke. Legen din kan øke dosering</w:delText>
        </w:r>
        <w:r w:rsidR="006177BE">
          <w:rPr>
            <w:sz w:val="22"/>
            <w:szCs w:val="22"/>
          </w:rPr>
          <w:delText>en</w:delText>
        </w:r>
        <w:r w:rsidRPr="009C5EFD">
          <w:rPr>
            <w:sz w:val="22"/>
            <w:szCs w:val="22"/>
          </w:rPr>
          <w:delText xml:space="preserve"> til 40 mg hver uke </w:delText>
        </w:r>
        <w:r w:rsidR="006177BE">
          <w:rPr>
            <w:sz w:val="22"/>
            <w:szCs w:val="22"/>
          </w:rPr>
          <w:delText xml:space="preserve">eller 80 mg annenhver uke </w:delText>
        </w:r>
        <w:r w:rsidRPr="009C5EFD">
          <w:rPr>
            <w:sz w:val="22"/>
            <w:szCs w:val="22"/>
          </w:rPr>
          <w:delText>avhengig av din respons.</w:delText>
        </w:r>
      </w:del>
    </w:p>
    <w:p w14:paraId="62D027CA" w14:textId="3B47E643" w:rsidR="00686174" w:rsidRPr="009C5EFD" w:rsidRDefault="00686174" w:rsidP="00776A84">
      <w:pPr>
        <w:suppressAutoHyphens/>
        <w:rPr>
          <w:del w:id="16698" w:author="AbbVie02no" w:date="2025-05-15T14:22:00Z"/>
          <w:sz w:val="22"/>
          <w:szCs w:val="22"/>
        </w:rPr>
      </w:pPr>
    </w:p>
    <w:p w14:paraId="669365A5" w14:textId="14E376B9" w:rsidR="00771D63" w:rsidRPr="009C5EFD" w:rsidRDefault="00E453CD" w:rsidP="00776A84">
      <w:pPr>
        <w:keepNext/>
        <w:suppressAutoHyphens/>
        <w:rPr>
          <w:del w:id="16699" w:author="AbbVie02no" w:date="2025-05-15T14:22:00Z"/>
          <w:sz w:val="22"/>
          <w:szCs w:val="22"/>
          <w:u w:val="single"/>
        </w:rPr>
      </w:pPr>
      <w:del w:id="16700" w:author="AbbVie02no" w:date="2025-05-15T14:22:00Z">
        <w:r w:rsidRPr="009C5EFD">
          <w:rPr>
            <w:sz w:val="22"/>
            <w:szCs w:val="22"/>
            <w:u w:val="single"/>
          </w:rPr>
          <w:delText xml:space="preserve">Barn </w:delText>
        </w:r>
        <w:r w:rsidR="00AD3F71">
          <w:rPr>
            <w:sz w:val="22"/>
            <w:szCs w:val="22"/>
            <w:u w:val="single"/>
          </w:rPr>
          <w:delText>og</w:delText>
        </w:r>
        <w:r w:rsidRPr="009C5EFD">
          <w:rPr>
            <w:sz w:val="22"/>
            <w:szCs w:val="22"/>
            <w:u w:val="single"/>
          </w:rPr>
          <w:delText xml:space="preserve"> ungdom med Crohns sykdom</w:delText>
        </w:r>
      </w:del>
    </w:p>
    <w:p w14:paraId="3FAF4F0C" w14:textId="754E55C6" w:rsidR="00771D63" w:rsidRPr="009C5EFD" w:rsidRDefault="00771D63" w:rsidP="00776A84">
      <w:pPr>
        <w:keepNext/>
        <w:suppressAutoHyphens/>
        <w:rPr>
          <w:del w:id="16701" w:author="AbbVie02no" w:date="2025-05-15T14:22:00Z"/>
          <w:sz w:val="22"/>
          <w:szCs w:val="22"/>
          <w:u w:val="single"/>
        </w:rPr>
      </w:pPr>
    </w:p>
    <w:p w14:paraId="43784C9C" w14:textId="7F53ADD6" w:rsidR="00771D63" w:rsidRPr="00771D63" w:rsidRDefault="00E453CD" w:rsidP="00776A84">
      <w:pPr>
        <w:keepNext/>
        <w:suppressAutoHyphens/>
        <w:rPr>
          <w:del w:id="16702" w:author="AbbVie02no" w:date="2025-05-15T14:22:00Z"/>
          <w:sz w:val="22"/>
          <w:szCs w:val="22"/>
          <w:u w:val="single"/>
        </w:rPr>
      </w:pPr>
      <w:del w:id="16703" w:author="AbbVie02no" w:date="2025-05-15T14:22:00Z">
        <w:r w:rsidRPr="00AB7697">
          <w:rPr>
            <w:bCs/>
            <w:i/>
            <w:sz w:val="22"/>
            <w:szCs w:val="22"/>
          </w:rPr>
          <w:delText xml:space="preserve">Barn </w:delText>
        </w:r>
        <w:r w:rsidR="00AD3F71">
          <w:rPr>
            <w:bCs/>
            <w:i/>
            <w:sz w:val="22"/>
            <w:szCs w:val="22"/>
          </w:rPr>
          <w:delText>og</w:delText>
        </w:r>
        <w:r w:rsidRPr="00AB7697">
          <w:rPr>
            <w:bCs/>
            <w:i/>
            <w:sz w:val="22"/>
            <w:szCs w:val="22"/>
          </w:rPr>
          <w:delText xml:space="preserve"> ungdom fra 6 til 17 år som veier </w:delText>
        </w:r>
        <w:r w:rsidR="00684DB9">
          <w:rPr>
            <w:bCs/>
            <w:i/>
            <w:sz w:val="22"/>
            <w:szCs w:val="22"/>
          </w:rPr>
          <w:delText>under</w:delText>
        </w:r>
        <w:r w:rsidRPr="00AB7697">
          <w:rPr>
            <w:bCs/>
            <w:i/>
            <w:sz w:val="22"/>
            <w:szCs w:val="22"/>
          </w:rPr>
          <w:delText xml:space="preserve"> 40 kg</w:delText>
        </w:r>
      </w:del>
    </w:p>
    <w:p w14:paraId="791FE0EC" w14:textId="4840F9C8" w:rsidR="00771D63" w:rsidRPr="00D22D58" w:rsidRDefault="00771D63" w:rsidP="00776A84">
      <w:pPr>
        <w:keepNext/>
        <w:suppressAutoHyphens/>
        <w:rPr>
          <w:del w:id="16704" w:author="AbbVie02no" w:date="2025-05-15T14:22:00Z"/>
          <w:sz w:val="22"/>
          <w:szCs w:val="22"/>
          <w:u w:val="single"/>
        </w:rPr>
      </w:pPr>
    </w:p>
    <w:p w14:paraId="5704BF49" w14:textId="66CE5F88" w:rsidR="00771D63" w:rsidRPr="009C5EFD" w:rsidRDefault="00E453CD" w:rsidP="00771D63">
      <w:pPr>
        <w:suppressAutoHyphens/>
        <w:rPr>
          <w:del w:id="16705" w:author="AbbVie02no" w:date="2025-05-15T14:22:00Z"/>
          <w:sz w:val="22"/>
          <w:szCs w:val="22"/>
        </w:rPr>
      </w:pPr>
      <w:del w:id="16706" w:author="AbbVie02no" w:date="2025-05-15T14:22:00Z">
        <w:r w:rsidRPr="009C5EFD">
          <w:rPr>
            <w:sz w:val="22"/>
            <w:szCs w:val="22"/>
          </w:rPr>
          <w:delText xml:space="preserve">Den vanlige doseringen er 40 mg ved oppstart, etterfulgt av 20 mg to uker senere. Hvis det er behov for en raskere respons, kan ditt barns lege forskrive en oppstartsdose på 80 mg (som </w:delText>
        </w:r>
        <w:r w:rsidR="006177BE">
          <w:rPr>
            <w:sz w:val="22"/>
            <w:szCs w:val="22"/>
          </w:rPr>
          <w:delText xml:space="preserve">to 40 mg </w:delText>
        </w:r>
        <w:r w:rsidRPr="009C5EFD">
          <w:rPr>
            <w:sz w:val="22"/>
            <w:szCs w:val="22"/>
          </w:rPr>
          <w:delText xml:space="preserve">injeksjoner på en dag), etterfulgt av 40 mg to uker senere. </w:delText>
        </w:r>
      </w:del>
    </w:p>
    <w:p w14:paraId="6C2B2F9B" w14:textId="1633C60A" w:rsidR="00771D63" w:rsidRPr="009C5EFD" w:rsidRDefault="00771D63" w:rsidP="00771D63">
      <w:pPr>
        <w:suppressAutoHyphens/>
        <w:rPr>
          <w:del w:id="16707" w:author="AbbVie02no" w:date="2025-05-15T14:22:00Z"/>
          <w:sz w:val="22"/>
          <w:szCs w:val="22"/>
        </w:rPr>
      </w:pPr>
    </w:p>
    <w:p w14:paraId="4FCE3037" w14:textId="6C9CDC76" w:rsidR="00771D63" w:rsidRPr="009C5EFD" w:rsidRDefault="00E453CD" w:rsidP="00771D63">
      <w:pPr>
        <w:suppressAutoHyphens/>
        <w:rPr>
          <w:del w:id="16708" w:author="AbbVie02no" w:date="2025-05-15T14:22:00Z"/>
          <w:sz w:val="22"/>
          <w:szCs w:val="22"/>
        </w:rPr>
      </w:pPr>
      <w:del w:id="16709" w:author="AbbVie02no" w:date="2025-05-15T14:22:00Z">
        <w:r w:rsidRPr="009C5EFD">
          <w:rPr>
            <w:sz w:val="22"/>
            <w:szCs w:val="22"/>
          </w:rPr>
          <w:delText xml:space="preserve">Deretter er vanlig dosering 20 mg annenhver uke. </w:delText>
        </w:r>
        <w:r w:rsidR="00354512">
          <w:rPr>
            <w:sz w:val="22"/>
            <w:szCs w:val="22"/>
          </w:rPr>
          <w:delText>Legen din</w:delText>
        </w:r>
        <w:r w:rsidRPr="009C5EFD">
          <w:rPr>
            <w:sz w:val="22"/>
            <w:szCs w:val="22"/>
          </w:rPr>
          <w:delText xml:space="preserve"> kan øke doseringsfrekvensen til 20 mg hver uke avhengig av </w:delText>
        </w:r>
        <w:r w:rsidR="00354512">
          <w:rPr>
            <w:sz w:val="22"/>
            <w:szCs w:val="22"/>
          </w:rPr>
          <w:delText>din</w:delText>
        </w:r>
        <w:r w:rsidRPr="009C5EFD">
          <w:rPr>
            <w:sz w:val="22"/>
            <w:szCs w:val="22"/>
          </w:rPr>
          <w:delText xml:space="preserve"> respons.</w:delText>
        </w:r>
      </w:del>
    </w:p>
    <w:p w14:paraId="341C7ED4" w14:textId="58C27993" w:rsidR="00771D63" w:rsidRPr="009C5EFD" w:rsidRDefault="00771D63" w:rsidP="00771D63">
      <w:pPr>
        <w:suppressAutoHyphens/>
        <w:rPr>
          <w:del w:id="16710" w:author="AbbVie02no" w:date="2025-05-15T14:22:00Z"/>
          <w:sz w:val="22"/>
          <w:szCs w:val="22"/>
        </w:rPr>
      </w:pPr>
    </w:p>
    <w:p w14:paraId="443A647B" w14:textId="3297B2E2" w:rsidR="00771D63" w:rsidRPr="00D42EE2" w:rsidRDefault="00E453CD" w:rsidP="00776A84">
      <w:pPr>
        <w:keepNext/>
        <w:suppressAutoHyphens/>
        <w:rPr>
          <w:del w:id="16711" w:author="AbbVie02no" w:date="2025-05-15T14:22:00Z"/>
          <w:sz w:val="22"/>
          <w:szCs w:val="22"/>
          <w:u w:val="single"/>
        </w:rPr>
      </w:pPr>
      <w:del w:id="16712" w:author="AbbVie02no" w:date="2025-05-15T14:22:00Z">
        <w:r w:rsidRPr="00D22D58">
          <w:rPr>
            <w:bCs/>
            <w:i/>
            <w:sz w:val="22"/>
          </w:rPr>
          <w:delText>Barn og ungdom fra 6 til 17 år som veier 40 kg eller mer</w:delText>
        </w:r>
      </w:del>
    </w:p>
    <w:p w14:paraId="0F2D97E1" w14:textId="00B64852" w:rsidR="00771D63" w:rsidRPr="00D22D58" w:rsidRDefault="00771D63" w:rsidP="00776A84">
      <w:pPr>
        <w:keepNext/>
        <w:suppressAutoHyphens/>
        <w:rPr>
          <w:del w:id="16713" w:author="AbbVie02no" w:date="2025-05-15T14:22:00Z"/>
          <w:sz w:val="22"/>
          <w:szCs w:val="22"/>
          <w:u w:val="single"/>
        </w:rPr>
      </w:pPr>
    </w:p>
    <w:p w14:paraId="63285A5E" w14:textId="76F901AB" w:rsidR="00771D63" w:rsidRPr="009C5EFD" w:rsidRDefault="00E453CD" w:rsidP="00771D63">
      <w:pPr>
        <w:suppressAutoHyphens/>
        <w:rPr>
          <w:del w:id="16714" w:author="AbbVie02no" w:date="2025-05-15T14:22:00Z"/>
          <w:sz w:val="22"/>
          <w:szCs w:val="22"/>
        </w:rPr>
      </w:pPr>
      <w:del w:id="16715" w:author="AbbVie02no" w:date="2025-05-15T14:22:00Z">
        <w:r w:rsidRPr="009C5EFD">
          <w:rPr>
            <w:sz w:val="22"/>
            <w:szCs w:val="22"/>
          </w:rPr>
          <w:delText>Den vanlige doseringen er 80 mg ved oppstart</w:delText>
        </w:r>
        <w:r>
          <w:rPr>
            <w:sz w:val="22"/>
            <w:szCs w:val="22"/>
          </w:rPr>
          <w:delText xml:space="preserve"> </w:delText>
        </w:r>
        <w:r w:rsidRPr="009C5EFD">
          <w:rPr>
            <w:sz w:val="22"/>
            <w:szCs w:val="22"/>
          </w:rPr>
          <w:delText xml:space="preserve">(som </w:delText>
        </w:r>
        <w:r w:rsidR="006177BE">
          <w:rPr>
            <w:sz w:val="22"/>
            <w:szCs w:val="22"/>
          </w:rPr>
          <w:delText>to 40 mg</w:delText>
        </w:r>
        <w:r w:rsidR="006177BE" w:rsidRPr="009C5EFD">
          <w:rPr>
            <w:sz w:val="22"/>
            <w:szCs w:val="22"/>
          </w:rPr>
          <w:delText xml:space="preserve"> </w:delText>
        </w:r>
        <w:r w:rsidRPr="009C5EFD">
          <w:rPr>
            <w:sz w:val="22"/>
            <w:szCs w:val="22"/>
          </w:rPr>
          <w:delText xml:space="preserve">injeksjoner på en dag), etterfulgt av 40 mg to uker senere. Hvis det er behov for en raskere respons, kan ditt barns lege forskrive en oppstartsdose på 160 mg (som </w:delText>
        </w:r>
        <w:r w:rsidR="006177BE">
          <w:rPr>
            <w:sz w:val="22"/>
            <w:szCs w:val="22"/>
          </w:rPr>
          <w:delText>fire 40 mg</w:delText>
        </w:r>
        <w:r w:rsidR="006177BE" w:rsidRPr="009C5EFD">
          <w:rPr>
            <w:sz w:val="22"/>
            <w:szCs w:val="22"/>
          </w:rPr>
          <w:delText xml:space="preserve"> </w:delText>
        </w:r>
        <w:r w:rsidRPr="009C5EFD">
          <w:rPr>
            <w:sz w:val="22"/>
            <w:szCs w:val="22"/>
          </w:rPr>
          <w:delText xml:space="preserve">injeksjoner på en dag eller </w:delText>
        </w:r>
        <w:r w:rsidR="006177BE">
          <w:rPr>
            <w:sz w:val="22"/>
            <w:szCs w:val="22"/>
          </w:rPr>
          <w:delText>to 40 mg</w:delText>
        </w:r>
        <w:r w:rsidR="006177BE"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 etterfulgt av 80 mg (som </w:delText>
        </w:r>
        <w:r w:rsidR="006177BE">
          <w:rPr>
            <w:sz w:val="22"/>
            <w:szCs w:val="22"/>
          </w:rPr>
          <w:delText>to 40 mg</w:delText>
        </w:r>
        <w:r w:rsidR="006177BE" w:rsidRPr="009C5EFD">
          <w:rPr>
            <w:sz w:val="22"/>
            <w:szCs w:val="22"/>
          </w:rPr>
          <w:delText xml:space="preserve"> </w:delText>
        </w:r>
        <w:r w:rsidRPr="009C5EFD">
          <w:rPr>
            <w:sz w:val="22"/>
            <w:szCs w:val="22"/>
          </w:rPr>
          <w:delText>injeksjoner på en dag)</w:delText>
        </w:r>
        <w:r>
          <w:rPr>
            <w:sz w:val="22"/>
            <w:szCs w:val="22"/>
          </w:rPr>
          <w:delText xml:space="preserve"> </w:delText>
        </w:r>
        <w:r w:rsidRPr="009C5EFD">
          <w:rPr>
            <w:sz w:val="22"/>
            <w:szCs w:val="22"/>
          </w:rPr>
          <w:delText xml:space="preserve">to uker senere. </w:delText>
        </w:r>
      </w:del>
    </w:p>
    <w:p w14:paraId="1E1FBADE" w14:textId="49C1F096" w:rsidR="00771D63" w:rsidRPr="009C5EFD" w:rsidRDefault="00771D63" w:rsidP="00771D63">
      <w:pPr>
        <w:suppressAutoHyphens/>
        <w:rPr>
          <w:del w:id="16716" w:author="AbbVie02no" w:date="2025-05-15T14:22:00Z"/>
          <w:sz w:val="22"/>
          <w:szCs w:val="22"/>
        </w:rPr>
      </w:pPr>
    </w:p>
    <w:p w14:paraId="42508DA5" w14:textId="1AB4AC50" w:rsidR="00F54285" w:rsidRPr="009C5EFD" w:rsidRDefault="00E453CD" w:rsidP="009C5EFD">
      <w:pPr>
        <w:rPr>
          <w:del w:id="16717" w:author="AbbVie02no" w:date="2025-05-15T14:22:00Z"/>
          <w:sz w:val="22"/>
          <w:szCs w:val="22"/>
        </w:rPr>
      </w:pPr>
      <w:del w:id="16718" w:author="AbbVie02no" w:date="2025-05-15T14:22:00Z">
        <w:r w:rsidRPr="009C5EFD">
          <w:rPr>
            <w:sz w:val="22"/>
            <w:szCs w:val="22"/>
          </w:rPr>
          <w:delText xml:space="preserve">Deretter er vanlig dosering 40 mg annenhver uke. </w:delText>
        </w:r>
        <w:r w:rsidR="00354512">
          <w:rPr>
            <w:sz w:val="22"/>
            <w:szCs w:val="22"/>
          </w:rPr>
          <w:delText>Legen din</w:delText>
        </w:r>
        <w:r w:rsidRPr="009C5EFD">
          <w:rPr>
            <w:sz w:val="22"/>
            <w:szCs w:val="22"/>
          </w:rPr>
          <w:delText xml:space="preserve"> kan øke dosering</w:delText>
        </w:r>
        <w:r w:rsidR="00354512">
          <w:rPr>
            <w:sz w:val="22"/>
            <w:szCs w:val="22"/>
          </w:rPr>
          <w:delText>en</w:delText>
        </w:r>
        <w:r w:rsidRPr="009C5EFD">
          <w:rPr>
            <w:sz w:val="22"/>
            <w:szCs w:val="22"/>
          </w:rPr>
          <w:delText xml:space="preserve"> til 40 mg hver uke </w:delText>
        </w:r>
        <w:r w:rsidR="00354512">
          <w:rPr>
            <w:sz w:val="22"/>
            <w:szCs w:val="22"/>
          </w:rPr>
          <w:delText xml:space="preserve">eller 80 mg annenhver uke </w:delText>
        </w:r>
        <w:r w:rsidRPr="009C5EFD">
          <w:rPr>
            <w:sz w:val="22"/>
            <w:szCs w:val="22"/>
          </w:rPr>
          <w:delText xml:space="preserve">avhengig av </w:delText>
        </w:r>
        <w:r w:rsidR="00354512">
          <w:rPr>
            <w:sz w:val="22"/>
            <w:szCs w:val="22"/>
          </w:rPr>
          <w:delText>din</w:delText>
        </w:r>
        <w:r w:rsidRPr="009C5EFD">
          <w:rPr>
            <w:sz w:val="22"/>
            <w:szCs w:val="22"/>
          </w:rPr>
          <w:delText xml:space="preserve"> respons.</w:delText>
        </w:r>
      </w:del>
    </w:p>
    <w:p w14:paraId="2756D938" w14:textId="2043426B" w:rsidR="00F54285" w:rsidRPr="009C5EFD" w:rsidRDefault="00F54285" w:rsidP="009C5EFD">
      <w:pPr>
        <w:suppressAutoHyphens/>
        <w:rPr>
          <w:del w:id="16719" w:author="AbbVie02no" w:date="2025-05-15T14:22:00Z"/>
          <w:sz w:val="22"/>
          <w:szCs w:val="22"/>
        </w:rPr>
      </w:pPr>
    </w:p>
    <w:p w14:paraId="49D810DC" w14:textId="77BB2F4C" w:rsidR="003F317F" w:rsidRPr="009C5EFD" w:rsidRDefault="00E453CD" w:rsidP="00AF70AD">
      <w:pPr>
        <w:keepNext/>
        <w:suppressAutoHyphens/>
        <w:rPr>
          <w:del w:id="16720" w:author="AbbVie02no" w:date="2025-05-15T14:22:00Z"/>
          <w:sz w:val="22"/>
          <w:szCs w:val="22"/>
        </w:rPr>
      </w:pPr>
      <w:del w:id="16721" w:author="AbbVie02no" w:date="2025-05-15T14:22:00Z">
        <w:r w:rsidRPr="009C5EFD">
          <w:rPr>
            <w:sz w:val="22"/>
            <w:szCs w:val="22"/>
            <w:u w:val="single"/>
          </w:rPr>
          <w:delText>Voksne med ulcerøs kolitt</w:delText>
        </w:r>
      </w:del>
    </w:p>
    <w:p w14:paraId="010BA7C2" w14:textId="63126580" w:rsidR="00245AEB" w:rsidRPr="009C5EFD" w:rsidRDefault="00245AEB" w:rsidP="00AF70AD">
      <w:pPr>
        <w:keepNext/>
        <w:suppressAutoHyphens/>
        <w:rPr>
          <w:del w:id="16722" w:author="AbbVie02no" w:date="2025-05-15T14:22:00Z"/>
          <w:sz w:val="22"/>
          <w:szCs w:val="22"/>
        </w:rPr>
      </w:pPr>
    </w:p>
    <w:p w14:paraId="372F7D2B" w14:textId="5040FC3C" w:rsidR="0045602C" w:rsidRDefault="00E453CD" w:rsidP="009C5EFD">
      <w:pPr>
        <w:suppressAutoHyphens/>
        <w:rPr>
          <w:del w:id="16723" w:author="AbbVie02no" w:date="2025-05-15T14:22:00Z"/>
          <w:sz w:val="22"/>
          <w:szCs w:val="22"/>
        </w:rPr>
      </w:pPr>
      <w:del w:id="16724" w:author="AbbVie02no" w:date="2025-05-15T14:22:00Z">
        <w:r w:rsidRPr="009C5EFD">
          <w:rPr>
            <w:sz w:val="22"/>
            <w:szCs w:val="22"/>
          </w:rPr>
          <w:delText xml:space="preserve">Den vanlige Humira dosen for voksne pasienter med ulcerøs kolitt er 160 mg ved uke 0 (som </w:delText>
        </w:r>
        <w:r w:rsidR="00354512">
          <w:rPr>
            <w:sz w:val="22"/>
            <w:szCs w:val="22"/>
          </w:rPr>
          <w:delText>fire 40 mg</w:delText>
        </w:r>
        <w:r w:rsidR="00354512" w:rsidRPr="009C5EFD">
          <w:rPr>
            <w:sz w:val="22"/>
            <w:szCs w:val="22"/>
          </w:rPr>
          <w:delText xml:space="preserve"> </w:delText>
        </w:r>
        <w:r w:rsidRPr="009C5EFD">
          <w:rPr>
            <w:sz w:val="22"/>
            <w:szCs w:val="22"/>
          </w:rPr>
          <w:delText xml:space="preserve">injeksjoner på en dag eller som </w:delText>
        </w:r>
        <w:r w:rsidR="00354512">
          <w:rPr>
            <w:sz w:val="22"/>
            <w:szCs w:val="22"/>
          </w:rPr>
          <w:delText>to 40 mg</w:delText>
        </w:r>
        <w:r w:rsidR="00354512" w:rsidRPr="009C5EFD">
          <w:rPr>
            <w:sz w:val="22"/>
            <w:szCs w:val="22"/>
          </w:rPr>
          <w:delText xml:space="preserve"> </w:delText>
        </w:r>
        <w:r w:rsidRPr="009C5EFD">
          <w:rPr>
            <w:sz w:val="22"/>
            <w:szCs w:val="22"/>
          </w:rPr>
          <w:delText xml:space="preserve">injeksjoner daglig </w:delText>
        </w:r>
        <w:r w:rsidR="00326F9C">
          <w:rPr>
            <w:sz w:val="22"/>
            <w:szCs w:val="22"/>
          </w:rPr>
          <w:delText>i</w:delText>
        </w:r>
        <w:r w:rsidRPr="009C5EFD">
          <w:rPr>
            <w:sz w:val="22"/>
            <w:szCs w:val="22"/>
          </w:rPr>
          <w:delText xml:space="preserve"> to påfølgende dager)</w:delText>
        </w:r>
        <w:r w:rsidR="00D87FF0" w:rsidRPr="009C5EFD">
          <w:rPr>
            <w:sz w:val="22"/>
            <w:szCs w:val="22"/>
          </w:rPr>
          <w:delText>,</w:delText>
        </w:r>
        <w:r w:rsidRPr="009C5EFD">
          <w:rPr>
            <w:sz w:val="22"/>
            <w:szCs w:val="22"/>
          </w:rPr>
          <w:delText xml:space="preserve"> etterfulgt av 80 </w:delText>
        </w:r>
        <w:r w:rsidRPr="009C5EFD">
          <w:rPr>
            <w:sz w:val="22"/>
            <w:szCs w:val="22"/>
          </w:rPr>
          <w:lastRenderedPageBreak/>
          <w:delText>mg</w:delText>
        </w:r>
        <w:r w:rsidR="00771D63">
          <w:rPr>
            <w:sz w:val="22"/>
            <w:szCs w:val="22"/>
          </w:rPr>
          <w:delText xml:space="preserve"> </w:delText>
        </w:r>
        <w:r w:rsidR="00771D63" w:rsidRPr="009C5EFD">
          <w:rPr>
            <w:sz w:val="22"/>
            <w:szCs w:val="22"/>
          </w:rPr>
          <w:delText xml:space="preserve">(som </w:delText>
        </w:r>
        <w:r w:rsidR="00354512">
          <w:rPr>
            <w:sz w:val="22"/>
            <w:szCs w:val="22"/>
          </w:rPr>
          <w:delText>to 40 mg</w:delText>
        </w:r>
        <w:r w:rsidR="00354512" w:rsidRPr="009C5EFD">
          <w:rPr>
            <w:sz w:val="22"/>
            <w:szCs w:val="22"/>
          </w:rPr>
          <w:delText xml:space="preserve"> </w:delText>
        </w:r>
        <w:r w:rsidR="00771D63" w:rsidRPr="009C5EFD">
          <w:rPr>
            <w:sz w:val="22"/>
            <w:szCs w:val="22"/>
          </w:rPr>
          <w:delText>injeksjoner på en dag)</w:delText>
        </w:r>
        <w:r w:rsidRPr="009C5EFD">
          <w:rPr>
            <w:sz w:val="22"/>
            <w:szCs w:val="22"/>
          </w:rPr>
          <w:delText xml:space="preserve"> ved uke 2, og deretter 40 mg annenhver uke. Avhengig av din respons kan l</w:delText>
        </w:r>
        <w:r w:rsidR="00D87FF0" w:rsidRPr="009C5EFD">
          <w:rPr>
            <w:sz w:val="22"/>
            <w:szCs w:val="22"/>
          </w:rPr>
          <w:delText>egen din øke dose</w:delText>
        </w:r>
        <w:r w:rsidR="00354512">
          <w:rPr>
            <w:sz w:val="22"/>
            <w:szCs w:val="22"/>
          </w:rPr>
          <w:delText>ringen</w:delText>
        </w:r>
        <w:r w:rsidR="00D87FF0" w:rsidRPr="009C5EFD">
          <w:rPr>
            <w:sz w:val="22"/>
            <w:szCs w:val="22"/>
          </w:rPr>
          <w:delText xml:space="preserve"> til 40 mg hver</w:delText>
        </w:r>
        <w:r w:rsidRPr="009C5EFD">
          <w:rPr>
            <w:sz w:val="22"/>
            <w:szCs w:val="22"/>
          </w:rPr>
          <w:delText xml:space="preserve"> uke</w:delText>
        </w:r>
        <w:r w:rsidR="00354512">
          <w:rPr>
            <w:sz w:val="22"/>
            <w:szCs w:val="22"/>
          </w:rPr>
          <w:delText xml:space="preserve"> eller 80 mg annenhver uke</w:delText>
        </w:r>
        <w:r w:rsidRPr="009C5EFD">
          <w:rPr>
            <w:sz w:val="22"/>
            <w:szCs w:val="22"/>
          </w:rPr>
          <w:delText>.</w:delText>
        </w:r>
      </w:del>
    </w:p>
    <w:p w14:paraId="33E19D3C" w14:textId="68196DC0" w:rsidR="0045602C" w:rsidRDefault="0045602C" w:rsidP="009C5EFD">
      <w:pPr>
        <w:suppressAutoHyphens/>
        <w:rPr>
          <w:del w:id="16725" w:author="AbbVie02no" w:date="2025-05-15T14:22:00Z"/>
          <w:sz w:val="22"/>
          <w:szCs w:val="22"/>
        </w:rPr>
      </w:pPr>
    </w:p>
    <w:p w14:paraId="7159D817" w14:textId="7D11F617" w:rsidR="00CF2468" w:rsidRPr="00E04B2A" w:rsidRDefault="00E453CD" w:rsidP="00CF2468">
      <w:pPr>
        <w:numPr>
          <w:ilvl w:val="12"/>
          <w:numId w:val="0"/>
        </w:numPr>
        <w:ind w:right="-2"/>
        <w:rPr>
          <w:del w:id="16726" w:author="AbbVie02no" w:date="2025-05-15T14:22:00Z"/>
          <w:sz w:val="22"/>
          <w:u w:val="single"/>
        </w:rPr>
      </w:pPr>
      <w:del w:id="16727" w:author="AbbVie02no" w:date="2025-05-15T14:22:00Z">
        <w:r w:rsidRPr="00E04B2A">
          <w:rPr>
            <w:sz w:val="22"/>
            <w:u w:val="single"/>
          </w:rPr>
          <w:delText>Barn og ungdom med ulcerøs kolitt</w:delText>
        </w:r>
      </w:del>
    </w:p>
    <w:p w14:paraId="1EC3EDA2" w14:textId="351AD128" w:rsidR="00CF2468" w:rsidRPr="00E04B2A" w:rsidRDefault="00CF2468" w:rsidP="00CF2468">
      <w:pPr>
        <w:numPr>
          <w:ilvl w:val="12"/>
          <w:numId w:val="0"/>
        </w:numPr>
        <w:ind w:right="-2"/>
        <w:rPr>
          <w:del w:id="16728" w:author="AbbVie02no" w:date="2025-05-15T14:22:00Z"/>
          <w:sz w:val="22"/>
        </w:rPr>
      </w:pPr>
    </w:p>
    <w:p w14:paraId="5D801C51" w14:textId="3ED52799" w:rsidR="00CF2468" w:rsidRPr="00E04B2A" w:rsidRDefault="00E453CD" w:rsidP="00CF2468">
      <w:pPr>
        <w:numPr>
          <w:ilvl w:val="12"/>
          <w:numId w:val="0"/>
        </w:numPr>
        <w:ind w:right="-2"/>
        <w:rPr>
          <w:del w:id="16729" w:author="AbbVie02no" w:date="2025-05-15T14:22:00Z"/>
          <w:i/>
          <w:iCs/>
          <w:sz w:val="22"/>
        </w:rPr>
      </w:pPr>
      <w:del w:id="16730" w:author="AbbVie02no" w:date="2025-05-15T14:22:00Z">
        <w:r w:rsidRPr="00E04B2A">
          <w:rPr>
            <w:i/>
            <w:sz w:val="22"/>
          </w:rPr>
          <w:delText xml:space="preserve">Barn og ungdom fra 6 år som veier </w:delText>
        </w:r>
        <w:r w:rsidR="00AE6009">
          <w:rPr>
            <w:i/>
            <w:sz w:val="22"/>
          </w:rPr>
          <w:delText>under</w:delText>
        </w:r>
        <w:r w:rsidRPr="00E04B2A">
          <w:rPr>
            <w:i/>
            <w:sz w:val="22"/>
          </w:rPr>
          <w:delText xml:space="preserve"> 40 kg</w:delText>
        </w:r>
      </w:del>
    </w:p>
    <w:p w14:paraId="16CB3FAC" w14:textId="125CFC04" w:rsidR="00CF2468" w:rsidRPr="00E04B2A" w:rsidRDefault="00CF2468" w:rsidP="00CF2468">
      <w:pPr>
        <w:numPr>
          <w:ilvl w:val="12"/>
          <w:numId w:val="0"/>
        </w:numPr>
        <w:ind w:right="-2"/>
        <w:rPr>
          <w:del w:id="16731" w:author="AbbVie02no" w:date="2025-05-15T14:22:00Z"/>
          <w:sz w:val="22"/>
        </w:rPr>
      </w:pPr>
    </w:p>
    <w:p w14:paraId="0E5660B6" w14:textId="4D961440" w:rsidR="00CF2468" w:rsidRPr="00E04B2A" w:rsidRDefault="00E453CD" w:rsidP="00CF2468">
      <w:pPr>
        <w:numPr>
          <w:ilvl w:val="12"/>
          <w:numId w:val="0"/>
        </w:numPr>
        <w:ind w:right="-2"/>
        <w:rPr>
          <w:del w:id="16732" w:author="AbbVie02no" w:date="2025-05-15T14:22:00Z"/>
          <w:sz w:val="22"/>
        </w:rPr>
      </w:pPr>
      <w:del w:id="16733" w:author="AbbVie02no" w:date="2025-05-15T14:22:00Z">
        <w:r w:rsidRPr="00E04B2A">
          <w:rPr>
            <w:sz w:val="22"/>
          </w:rPr>
          <w:delText xml:space="preserve">Den </w:delText>
        </w:r>
        <w:r w:rsidR="00AE6009" w:rsidRPr="00AE6009">
          <w:rPr>
            <w:sz w:val="22"/>
          </w:rPr>
          <w:delText xml:space="preserve">vanlige </w:delText>
        </w:r>
        <w:r w:rsidRPr="00E04B2A">
          <w:rPr>
            <w:sz w:val="22"/>
          </w:rPr>
          <w:delText xml:space="preserve">dosen </w:delText>
        </w:r>
        <w:r w:rsidR="00AE6009">
          <w:rPr>
            <w:sz w:val="22"/>
          </w:rPr>
          <w:delText xml:space="preserve">av Humira </w:delText>
        </w:r>
        <w:r w:rsidRPr="00E04B2A">
          <w:rPr>
            <w:sz w:val="22"/>
          </w:rPr>
          <w:delText xml:space="preserve">er 80 mg (som to 40 mg injeksjoner på </w:delText>
        </w:r>
        <w:r w:rsidR="00644664">
          <w:rPr>
            <w:sz w:val="22"/>
          </w:rPr>
          <w:delText>é</w:delText>
        </w:r>
        <w:r w:rsidRPr="00E04B2A">
          <w:rPr>
            <w:sz w:val="22"/>
          </w:rPr>
          <w:delText xml:space="preserve">n dag), etterfulgt av 40 mg (som én 40 mg injeksjon) to uker senere. Deretter er den vanlige dosen 40 mg annenhver uke. </w:delText>
        </w:r>
      </w:del>
    </w:p>
    <w:p w14:paraId="22C8D493" w14:textId="1193B0AC" w:rsidR="00CF2468" w:rsidRPr="00E04B2A" w:rsidRDefault="00CF2468" w:rsidP="00CF2468">
      <w:pPr>
        <w:numPr>
          <w:ilvl w:val="12"/>
          <w:numId w:val="0"/>
        </w:numPr>
        <w:ind w:right="-2"/>
        <w:rPr>
          <w:del w:id="16734" w:author="AbbVie02no" w:date="2025-05-15T14:22:00Z"/>
          <w:sz w:val="22"/>
        </w:rPr>
      </w:pPr>
    </w:p>
    <w:p w14:paraId="0D8FD68F" w14:textId="3715C4B5" w:rsidR="00CF2468" w:rsidRPr="00E04B2A" w:rsidRDefault="00E453CD" w:rsidP="00CF2468">
      <w:pPr>
        <w:numPr>
          <w:ilvl w:val="12"/>
          <w:numId w:val="0"/>
        </w:numPr>
        <w:ind w:right="-2"/>
        <w:rPr>
          <w:del w:id="16735" w:author="AbbVie02no" w:date="2025-05-15T14:22:00Z"/>
          <w:sz w:val="22"/>
        </w:rPr>
      </w:pPr>
      <w:del w:id="16736" w:author="AbbVie02no" w:date="2025-05-15T14:22:00Z">
        <w:r w:rsidRPr="00E04B2A">
          <w:rPr>
            <w:sz w:val="22"/>
          </w:rPr>
          <w:delText xml:space="preserve">Pasienter som fyller 18 år mens de får 40 mg annenhver uke, bør fortsette </w:delText>
        </w:r>
        <w:r w:rsidR="00AE6009">
          <w:rPr>
            <w:sz w:val="22"/>
          </w:rPr>
          <w:delText xml:space="preserve">med </w:delText>
        </w:r>
        <w:r w:rsidRPr="00E04B2A">
          <w:rPr>
            <w:sz w:val="22"/>
          </w:rPr>
          <w:delText>den foreskrevne dosen.</w:delText>
        </w:r>
      </w:del>
    </w:p>
    <w:p w14:paraId="6226E68B" w14:textId="592813D1" w:rsidR="00CF2468" w:rsidRPr="00E04B2A" w:rsidRDefault="00CF2468" w:rsidP="00CF2468">
      <w:pPr>
        <w:numPr>
          <w:ilvl w:val="12"/>
          <w:numId w:val="0"/>
        </w:numPr>
        <w:ind w:right="-2"/>
        <w:rPr>
          <w:del w:id="16737" w:author="AbbVie02no" w:date="2025-05-15T14:22:00Z"/>
          <w:sz w:val="22"/>
        </w:rPr>
      </w:pPr>
    </w:p>
    <w:p w14:paraId="09673DFD" w14:textId="3D5119E5" w:rsidR="00CF2468" w:rsidRPr="00E04B2A" w:rsidRDefault="00E453CD" w:rsidP="00CF2468">
      <w:pPr>
        <w:numPr>
          <w:ilvl w:val="12"/>
          <w:numId w:val="0"/>
        </w:numPr>
        <w:ind w:right="-2"/>
        <w:rPr>
          <w:del w:id="16738" w:author="AbbVie02no" w:date="2025-05-15T14:22:00Z"/>
          <w:i/>
          <w:iCs/>
          <w:sz w:val="22"/>
        </w:rPr>
      </w:pPr>
      <w:del w:id="16739" w:author="AbbVie02no" w:date="2025-05-15T14:22:00Z">
        <w:r w:rsidRPr="00E04B2A">
          <w:rPr>
            <w:i/>
            <w:sz w:val="22"/>
          </w:rPr>
          <w:delText>Barn og ungdom fra 6 år som veier 40 kg</w:delText>
        </w:r>
        <w:r w:rsidR="00AE6009">
          <w:rPr>
            <w:i/>
            <w:sz w:val="22"/>
          </w:rPr>
          <w:delText xml:space="preserve"> eller mer</w:delText>
        </w:r>
      </w:del>
    </w:p>
    <w:p w14:paraId="58C1BE11" w14:textId="6B5B28BA" w:rsidR="00CF2468" w:rsidRPr="00E04B2A" w:rsidRDefault="00CF2468" w:rsidP="00CF2468">
      <w:pPr>
        <w:numPr>
          <w:ilvl w:val="12"/>
          <w:numId w:val="0"/>
        </w:numPr>
        <w:ind w:right="-2"/>
        <w:rPr>
          <w:del w:id="16740" w:author="AbbVie02no" w:date="2025-05-15T14:22:00Z"/>
          <w:i/>
          <w:iCs/>
          <w:sz w:val="22"/>
        </w:rPr>
      </w:pPr>
    </w:p>
    <w:p w14:paraId="1BA583FF" w14:textId="17523826" w:rsidR="00CF2468" w:rsidRPr="00E04B2A" w:rsidRDefault="00E453CD" w:rsidP="00CF2468">
      <w:pPr>
        <w:numPr>
          <w:ilvl w:val="12"/>
          <w:numId w:val="0"/>
        </w:numPr>
        <w:ind w:right="-2"/>
        <w:rPr>
          <w:del w:id="16741" w:author="AbbVie02no" w:date="2025-05-15T14:22:00Z"/>
          <w:sz w:val="22"/>
        </w:rPr>
      </w:pPr>
      <w:del w:id="16742" w:author="AbbVie02no" w:date="2025-05-15T14:22:00Z">
        <w:r>
          <w:rPr>
            <w:sz w:val="22"/>
          </w:rPr>
          <w:delText xml:space="preserve">Den </w:delText>
        </w:r>
        <w:r w:rsidR="00AE6009" w:rsidRPr="00AE6009">
          <w:rPr>
            <w:sz w:val="22"/>
          </w:rPr>
          <w:delText xml:space="preserve">vanlige </w:delText>
        </w:r>
        <w:r>
          <w:rPr>
            <w:sz w:val="22"/>
          </w:rPr>
          <w:delText xml:space="preserve">dosen </w:delText>
        </w:r>
        <w:r w:rsidR="00AE6009">
          <w:rPr>
            <w:sz w:val="22"/>
          </w:rPr>
          <w:delText xml:space="preserve">av Humira </w:delText>
        </w:r>
        <w:r>
          <w:rPr>
            <w:sz w:val="22"/>
          </w:rPr>
          <w:delText>er 160</w:delText>
        </w:r>
        <w:r w:rsidRPr="00E04B2A">
          <w:rPr>
            <w:sz w:val="22"/>
          </w:rPr>
          <w:delText xml:space="preserve"> mg (som fire 40 mg injeksjoner på </w:delText>
        </w:r>
        <w:r w:rsidR="00644664">
          <w:rPr>
            <w:sz w:val="22"/>
          </w:rPr>
          <w:delText>é</w:delText>
        </w:r>
        <w:r w:rsidRPr="00E04B2A">
          <w:rPr>
            <w:sz w:val="22"/>
          </w:rPr>
          <w:delText>n dag eller to 40 mg injeksjoner dag</w:delText>
        </w:r>
        <w:r w:rsidR="00AE6009">
          <w:rPr>
            <w:sz w:val="22"/>
          </w:rPr>
          <w:delText>lig</w:delText>
        </w:r>
        <w:r w:rsidRPr="00E04B2A">
          <w:rPr>
            <w:sz w:val="22"/>
          </w:rPr>
          <w:delText xml:space="preserve"> </w:delText>
        </w:r>
        <w:r w:rsidR="00326F9C">
          <w:rPr>
            <w:sz w:val="22"/>
          </w:rPr>
          <w:delText>i</w:delText>
        </w:r>
        <w:r w:rsidRPr="00E04B2A">
          <w:rPr>
            <w:sz w:val="22"/>
          </w:rPr>
          <w:delText xml:space="preserve"> to påfølgende dager), etterfulgt av 80 mg (som to 40 mg injeksjoner på én dag) to uker senere. Deretter er den vanlige dosen 80 mg annenhver uke. </w:delText>
        </w:r>
      </w:del>
    </w:p>
    <w:p w14:paraId="37C57DBE" w14:textId="4840C539" w:rsidR="00CF2468" w:rsidRPr="00E04B2A" w:rsidRDefault="00CF2468" w:rsidP="00CF2468">
      <w:pPr>
        <w:numPr>
          <w:ilvl w:val="12"/>
          <w:numId w:val="0"/>
        </w:numPr>
        <w:ind w:right="-2"/>
        <w:rPr>
          <w:del w:id="16743" w:author="AbbVie02no" w:date="2025-05-15T14:22:00Z"/>
          <w:sz w:val="22"/>
        </w:rPr>
      </w:pPr>
    </w:p>
    <w:p w14:paraId="2E75AD07" w14:textId="74F2DB76" w:rsidR="00CF2468" w:rsidRPr="00E04B2A" w:rsidRDefault="00E453CD" w:rsidP="00CF2468">
      <w:pPr>
        <w:rPr>
          <w:del w:id="16744" w:author="AbbVie02no" w:date="2025-05-15T14:22:00Z"/>
          <w:sz w:val="22"/>
        </w:rPr>
      </w:pPr>
      <w:del w:id="16745" w:author="AbbVie02no" w:date="2025-05-15T14:22:00Z">
        <w:r w:rsidRPr="00E04B2A">
          <w:rPr>
            <w:sz w:val="22"/>
          </w:rPr>
          <w:delText xml:space="preserve">Pasienter som fyller 18 år mens de får 80 mg annenhver uke, bør fortsette </w:delText>
        </w:r>
        <w:r w:rsidR="00AE6009">
          <w:rPr>
            <w:sz w:val="22"/>
          </w:rPr>
          <w:delText xml:space="preserve">med </w:delText>
        </w:r>
        <w:r w:rsidRPr="00E04B2A">
          <w:rPr>
            <w:sz w:val="22"/>
          </w:rPr>
          <w:delText>den foreskrevne dosen.</w:delText>
        </w:r>
      </w:del>
    </w:p>
    <w:p w14:paraId="737BB890" w14:textId="23DA2EA3" w:rsidR="00D2298B" w:rsidRDefault="00D2298B" w:rsidP="009C5EFD">
      <w:pPr>
        <w:suppressAutoHyphens/>
        <w:rPr>
          <w:del w:id="16746" w:author="AbbVie02no" w:date="2025-05-15T14:22:00Z"/>
          <w:sz w:val="22"/>
          <w:szCs w:val="22"/>
        </w:rPr>
      </w:pPr>
    </w:p>
    <w:p w14:paraId="6C64500A" w14:textId="51A26212" w:rsidR="00D2298B" w:rsidRDefault="00E453CD" w:rsidP="00D2298B">
      <w:pPr>
        <w:keepNext/>
        <w:suppressAutoHyphens/>
        <w:rPr>
          <w:del w:id="16747" w:author="AbbVie02no" w:date="2025-05-15T14:22:00Z"/>
          <w:sz w:val="22"/>
          <w:szCs w:val="22"/>
          <w:u w:val="single"/>
        </w:rPr>
      </w:pPr>
      <w:del w:id="16748" w:author="AbbVie02no" w:date="2025-05-15T14:22:00Z">
        <w:r w:rsidRPr="009C5EFD">
          <w:rPr>
            <w:sz w:val="22"/>
            <w:szCs w:val="22"/>
            <w:u w:val="single"/>
          </w:rPr>
          <w:delText xml:space="preserve">Voksne med </w:delText>
        </w:r>
        <w:r>
          <w:rPr>
            <w:sz w:val="22"/>
            <w:szCs w:val="22"/>
            <w:u w:val="single"/>
          </w:rPr>
          <w:delText>ikke-infeksiøs uveitt</w:delText>
        </w:r>
      </w:del>
    </w:p>
    <w:p w14:paraId="5F5F86D8" w14:textId="5D993B95" w:rsidR="00D2298B" w:rsidRDefault="00D2298B" w:rsidP="00D2298B">
      <w:pPr>
        <w:keepNext/>
        <w:suppressAutoHyphens/>
        <w:rPr>
          <w:del w:id="16749" w:author="AbbVie02no" w:date="2025-05-15T14:22:00Z"/>
          <w:sz w:val="22"/>
          <w:szCs w:val="22"/>
          <w:u w:val="single"/>
        </w:rPr>
      </w:pPr>
    </w:p>
    <w:p w14:paraId="6EC4E601" w14:textId="67A9FBA1" w:rsidR="00D2298B" w:rsidRDefault="00E453CD" w:rsidP="00776A84">
      <w:pPr>
        <w:suppressAutoHyphens/>
        <w:rPr>
          <w:del w:id="16750" w:author="AbbVie02no" w:date="2025-05-15T14:22:00Z"/>
          <w:sz w:val="22"/>
          <w:szCs w:val="22"/>
        </w:rPr>
      </w:pPr>
      <w:del w:id="16751" w:author="AbbVie02no" w:date="2025-05-15T14:22:00Z">
        <w:r w:rsidRPr="00836BFE">
          <w:rPr>
            <w:sz w:val="22"/>
            <w:szCs w:val="22"/>
          </w:rPr>
          <w:delText xml:space="preserve">Den vanlige dosen for voksne pasienter med </w:delText>
        </w:r>
        <w:r>
          <w:rPr>
            <w:sz w:val="22"/>
            <w:szCs w:val="22"/>
          </w:rPr>
          <w:delText xml:space="preserve">ikke-infeksiøs uveitt </w:delText>
        </w:r>
        <w:r w:rsidRPr="00836BFE">
          <w:rPr>
            <w:sz w:val="22"/>
            <w:szCs w:val="22"/>
          </w:rPr>
          <w:delText xml:space="preserve">er en </w:delText>
        </w:r>
        <w:r w:rsidR="00C72976">
          <w:rPr>
            <w:sz w:val="22"/>
            <w:szCs w:val="22"/>
          </w:rPr>
          <w:delText>start</w:delText>
        </w:r>
        <w:r w:rsidRPr="00836BFE">
          <w:rPr>
            <w:sz w:val="22"/>
            <w:szCs w:val="22"/>
          </w:rPr>
          <w:delText>dose på 80 mg</w:delText>
        </w:r>
        <w:r w:rsidR="00771D63">
          <w:rPr>
            <w:sz w:val="22"/>
            <w:szCs w:val="22"/>
          </w:rPr>
          <w:delText xml:space="preserve"> </w:delText>
        </w:r>
        <w:r w:rsidR="00771D63" w:rsidRPr="009C5EFD">
          <w:rPr>
            <w:sz w:val="22"/>
            <w:szCs w:val="22"/>
          </w:rPr>
          <w:delText>(som 2 injeksjoner på en dag)</w:delText>
        </w:r>
        <w:r w:rsidRPr="00836BFE">
          <w:rPr>
            <w:sz w:val="22"/>
            <w:szCs w:val="22"/>
          </w:rPr>
          <w:delText xml:space="preserve">, etterfulgt av 40 mg annenhver uke som starter </w:delText>
        </w:r>
        <w:r w:rsidR="00353CFE">
          <w:rPr>
            <w:sz w:val="22"/>
            <w:szCs w:val="22"/>
          </w:rPr>
          <w:delText>é</w:delText>
        </w:r>
        <w:r w:rsidRPr="00836BFE">
          <w:rPr>
            <w:sz w:val="22"/>
            <w:szCs w:val="22"/>
          </w:rPr>
          <w:delText>n uke etter den første dosen.</w:delText>
        </w:r>
        <w:r>
          <w:rPr>
            <w:sz w:val="22"/>
            <w:szCs w:val="22"/>
          </w:rPr>
          <w:delText xml:space="preserve"> </w:delText>
        </w:r>
        <w:r w:rsidRPr="009C5EFD">
          <w:rPr>
            <w:sz w:val="22"/>
            <w:szCs w:val="22"/>
          </w:rPr>
          <w:delText>Du bør fortsette med injeksjoner av Humira så lenge som legen har gitt beskjed om</w:delText>
        </w:r>
        <w:r w:rsidR="00353CFE">
          <w:rPr>
            <w:sz w:val="22"/>
            <w:szCs w:val="22"/>
          </w:rPr>
          <w:delText xml:space="preserve"> det</w:delText>
        </w:r>
        <w:r w:rsidRPr="009C5EFD">
          <w:rPr>
            <w:sz w:val="22"/>
            <w:szCs w:val="22"/>
          </w:rPr>
          <w:delText>.</w:delText>
        </w:r>
      </w:del>
    </w:p>
    <w:p w14:paraId="12B8B6E4" w14:textId="7F2744D3" w:rsidR="00D2298B" w:rsidRDefault="00D2298B" w:rsidP="00776A84">
      <w:pPr>
        <w:suppressAutoHyphens/>
        <w:rPr>
          <w:del w:id="16752" w:author="AbbVie02no" w:date="2025-05-15T14:22:00Z"/>
          <w:sz w:val="22"/>
          <w:szCs w:val="22"/>
        </w:rPr>
      </w:pPr>
    </w:p>
    <w:p w14:paraId="534D0C7D" w14:textId="4A3EA181" w:rsidR="00D2298B" w:rsidRDefault="00E453CD" w:rsidP="00D2298B">
      <w:pPr>
        <w:suppressAutoHyphens/>
        <w:rPr>
          <w:del w:id="16753" w:author="AbbVie02no" w:date="2025-05-15T14:22:00Z"/>
          <w:sz w:val="22"/>
          <w:szCs w:val="22"/>
        </w:rPr>
      </w:pPr>
      <w:del w:id="16754" w:author="AbbVie02no" w:date="2025-05-15T14:22:00Z">
        <w:r>
          <w:rPr>
            <w:sz w:val="22"/>
            <w:szCs w:val="22"/>
          </w:rPr>
          <w:delText xml:space="preserve">Behandling med kortikosteroider eller andre </w:delText>
        </w:r>
        <w:r w:rsidR="009A59EE">
          <w:rPr>
            <w:sz w:val="22"/>
            <w:szCs w:val="22"/>
          </w:rPr>
          <w:delText>legemidler</w:delText>
        </w:r>
        <w:r>
          <w:rPr>
            <w:sz w:val="22"/>
            <w:szCs w:val="22"/>
          </w:rPr>
          <w:delText xml:space="preserve"> som påvirker immunsystemet </w:delText>
        </w:r>
        <w:r w:rsidR="005707A5">
          <w:rPr>
            <w:sz w:val="22"/>
            <w:szCs w:val="22"/>
          </w:rPr>
          <w:delText xml:space="preserve">kan </w:delText>
        </w:r>
        <w:r>
          <w:rPr>
            <w:sz w:val="22"/>
            <w:szCs w:val="22"/>
          </w:rPr>
          <w:delText>fortsette under behandling med Humira ved ikke-infeksiøs uveitt. Humira kan også gis alene.</w:delText>
        </w:r>
      </w:del>
    </w:p>
    <w:p w14:paraId="4DE4F213" w14:textId="5FC6A6FB" w:rsidR="008554B3" w:rsidRDefault="008554B3" w:rsidP="00D2298B">
      <w:pPr>
        <w:suppressAutoHyphens/>
        <w:rPr>
          <w:del w:id="16755" w:author="AbbVie02no" w:date="2025-05-15T14:22:00Z"/>
          <w:sz w:val="22"/>
          <w:szCs w:val="22"/>
        </w:rPr>
      </w:pPr>
    </w:p>
    <w:p w14:paraId="6327947F" w14:textId="4F86E867" w:rsidR="00771D63" w:rsidRDefault="00E453CD" w:rsidP="00776A84">
      <w:pPr>
        <w:pStyle w:val="BodyText3"/>
        <w:keepNext/>
        <w:tabs>
          <w:tab w:val="clear" w:pos="-720"/>
        </w:tabs>
        <w:rPr>
          <w:del w:id="16756" w:author="AbbVie02no" w:date="2025-05-15T14:22:00Z"/>
          <w:b w:val="0"/>
          <w:szCs w:val="22"/>
          <w:u w:val="single"/>
          <w:lang w:val="nb-NO"/>
        </w:rPr>
      </w:pPr>
      <w:del w:id="16757" w:author="AbbVie02no" w:date="2025-05-15T14:22:00Z">
        <w:r>
          <w:rPr>
            <w:b w:val="0"/>
            <w:szCs w:val="22"/>
            <w:u w:val="single"/>
            <w:lang w:val="nb-NO"/>
          </w:rPr>
          <w:delText xml:space="preserve">Barn og ungdom med kronisk ikke-infeksiøs uveitt </w:delText>
        </w:r>
        <w:r w:rsidR="006068F5">
          <w:rPr>
            <w:b w:val="0"/>
            <w:szCs w:val="22"/>
            <w:u w:val="single"/>
            <w:lang w:val="nb-NO"/>
          </w:rPr>
          <w:delText>over</w:delText>
        </w:r>
        <w:r>
          <w:rPr>
            <w:b w:val="0"/>
            <w:szCs w:val="22"/>
            <w:u w:val="single"/>
            <w:lang w:val="nb-NO"/>
          </w:rPr>
          <w:delText xml:space="preserve"> 2 år</w:delText>
        </w:r>
      </w:del>
    </w:p>
    <w:p w14:paraId="0078C4ED" w14:textId="058EA38B" w:rsidR="00771D63" w:rsidRDefault="00771D63" w:rsidP="00776A84">
      <w:pPr>
        <w:pStyle w:val="BodyText3"/>
        <w:keepNext/>
        <w:tabs>
          <w:tab w:val="clear" w:pos="-720"/>
        </w:tabs>
        <w:rPr>
          <w:del w:id="16758" w:author="AbbVie02no" w:date="2025-05-15T14:22:00Z"/>
          <w:b w:val="0"/>
          <w:szCs w:val="22"/>
          <w:u w:val="single"/>
          <w:lang w:val="nb-NO"/>
        </w:rPr>
      </w:pPr>
    </w:p>
    <w:p w14:paraId="34276415" w14:textId="6DC0D59A" w:rsidR="00771D63" w:rsidRPr="00D22D58" w:rsidRDefault="00E453CD" w:rsidP="00776A84">
      <w:pPr>
        <w:pStyle w:val="BodyText3"/>
        <w:keepNext/>
        <w:tabs>
          <w:tab w:val="clear" w:pos="-720"/>
        </w:tabs>
        <w:rPr>
          <w:del w:id="16759" w:author="AbbVie02no" w:date="2025-05-15T14:22:00Z"/>
          <w:b w:val="0"/>
          <w:i/>
          <w:szCs w:val="22"/>
          <w:lang w:val="nb-NO"/>
        </w:rPr>
      </w:pPr>
      <w:del w:id="16760" w:author="AbbVie02no" w:date="2025-05-15T14:22:00Z">
        <w:r w:rsidRPr="00D22D58">
          <w:rPr>
            <w:b w:val="0"/>
            <w:i/>
            <w:szCs w:val="22"/>
            <w:lang w:val="nb-NO"/>
          </w:rPr>
          <w:delText xml:space="preserve">Barn </w:delText>
        </w:r>
        <w:r>
          <w:rPr>
            <w:b w:val="0"/>
            <w:i/>
            <w:szCs w:val="22"/>
            <w:lang w:val="nb-NO"/>
          </w:rPr>
          <w:delText xml:space="preserve">og ungdom </w:delText>
        </w:r>
        <w:r w:rsidR="006068F5">
          <w:rPr>
            <w:b w:val="0"/>
            <w:i/>
            <w:szCs w:val="22"/>
            <w:lang w:val="nb-NO"/>
          </w:rPr>
          <w:delText>over</w:delText>
        </w:r>
        <w:r>
          <w:rPr>
            <w:b w:val="0"/>
            <w:i/>
            <w:szCs w:val="22"/>
            <w:lang w:val="nb-NO"/>
          </w:rPr>
          <w:delText xml:space="preserve"> 2 år </w:delText>
        </w:r>
        <w:r w:rsidRPr="00D22D58">
          <w:rPr>
            <w:b w:val="0"/>
            <w:i/>
            <w:szCs w:val="22"/>
            <w:lang w:val="nb-NO"/>
          </w:rPr>
          <w:delText xml:space="preserve">som veier </w:delText>
        </w:r>
        <w:r w:rsidR="00684DB9">
          <w:rPr>
            <w:b w:val="0"/>
            <w:i/>
            <w:szCs w:val="22"/>
            <w:lang w:val="nb-NO"/>
          </w:rPr>
          <w:delText>under</w:delText>
        </w:r>
        <w:r w:rsidRPr="00D22D58">
          <w:rPr>
            <w:b w:val="0"/>
            <w:i/>
            <w:szCs w:val="22"/>
            <w:lang w:val="nb-NO"/>
          </w:rPr>
          <w:delText xml:space="preserve"> 30 kg</w:delText>
        </w:r>
      </w:del>
    </w:p>
    <w:p w14:paraId="66374502" w14:textId="19CF55E8" w:rsidR="00771D63" w:rsidRDefault="00771D63" w:rsidP="00776A84">
      <w:pPr>
        <w:pStyle w:val="BodyText3"/>
        <w:keepNext/>
        <w:tabs>
          <w:tab w:val="clear" w:pos="-720"/>
        </w:tabs>
        <w:rPr>
          <w:del w:id="16761" w:author="AbbVie02no" w:date="2025-05-15T14:22:00Z"/>
          <w:b w:val="0"/>
          <w:szCs w:val="22"/>
          <w:u w:val="single"/>
          <w:lang w:val="nb-NO"/>
        </w:rPr>
      </w:pPr>
    </w:p>
    <w:p w14:paraId="715F38B9" w14:textId="47E1D90B" w:rsidR="00771D63" w:rsidRDefault="00E453CD" w:rsidP="00771D63">
      <w:pPr>
        <w:pStyle w:val="BodyText3"/>
        <w:tabs>
          <w:tab w:val="clear" w:pos="-720"/>
        </w:tabs>
        <w:rPr>
          <w:del w:id="16762" w:author="AbbVie02no" w:date="2025-05-15T14:22:00Z"/>
          <w:b w:val="0"/>
          <w:szCs w:val="22"/>
          <w:lang w:val="nb-NO"/>
        </w:rPr>
      </w:pPr>
      <w:del w:id="16763" w:author="AbbVie02no" w:date="2025-05-15T14:22:00Z">
        <w:r>
          <w:rPr>
            <w:b w:val="0"/>
            <w:szCs w:val="22"/>
            <w:lang w:val="nb-NO"/>
          </w:rPr>
          <w:delText>Den vanlige dosen av Humira er 20 mg annenhver uke sammen med metotreksat.</w:delText>
        </w:r>
      </w:del>
    </w:p>
    <w:p w14:paraId="6D101561" w14:textId="3E506492" w:rsidR="00771D63" w:rsidRDefault="00771D63" w:rsidP="00771D63">
      <w:pPr>
        <w:pStyle w:val="BodyText3"/>
        <w:tabs>
          <w:tab w:val="clear" w:pos="-720"/>
        </w:tabs>
        <w:rPr>
          <w:del w:id="16764" w:author="AbbVie02no" w:date="2025-05-15T14:22:00Z"/>
          <w:b w:val="0"/>
          <w:szCs w:val="22"/>
          <w:lang w:val="nb-NO"/>
        </w:rPr>
      </w:pPr>
    </w:p>
    <w:p w14:paraId="1D1113F7" w14:textId="57BC56E6" w:rsidR="00771D63" w:rsidRDefault="00E453CD" w:rsidP="00771D63">
      <w:pPr>
        <w:pStyle w:val="BodyText3"/>
        <w:tabs>
          <w:tab w:val="clear" w:pos="-720"/>
        </w:tabs>
        <w:rPr>
          <w:del w:id="16765" w:author="AbbVie02no" w:date="2025-05-15T14:22:00Z"/>
          <w:b w:val="0"/>
          <w:szCs w:val="22"/>
          <w:lang w:val="nb-NO"/>
        </w:rPr>
      </w:pPr>
      <w:del w:id="16766" w:author="AbbVie02no" w:date="2025-05-15T14:22:00Z">
        <w:r>
          <w:rPr>
            <w:b w:val="0"/>
            <w:szCs w:val="22"/>
            <w:lang w:val="nb-NO"/>
          </w:rPr>
          <w:delText xml:space="preserve">Legen til barnet ditt kan også forskrive en startdose på 40 mg som skal gis én uke før </w:delText>
        </w:r>
        <w:r w:rsidR="00E11BA9">
          <w:rPr>
            <w:b w:val="0"/>
            <w:szCs w:val="22"/>
            <w:lang w:val="nb-NO"/>
          </w:rPr>
          <w:delText xml:space="preserve">oppstart av </w:delText>
        </w:r>
        <w:r>
          <w:rPr>
            <w:b w:val="0"/>
            <w:szCs w:val="22"/>
            <w:lang w:val="nb-NO"/>
          </w:rPr>
          <w:delText>den vanlige dosen.</w:delText>
        </w:r>
      </w:del>
    </w:p>
    <w:p w14:paraId="3337A999" w14:textId="6F5E9516" w:rsidR="00771D63" w:rsidRDefault="00771D63" w:rsidP="00771D63">
      <w:pPr>
        <w:pStyle w:val="BodyText3"/>
        <w:tabs>
          <w:tab w:val="clear" w:pos="-720"/>
        </w:tabs>
        <w:rPr>
          <w:del w:id="16767" w:author="AbbVie02no" w:date="2025-05-15T14:22:00Z"/>
          <w:b w:val="0"/>
          <w:szCs w:val="22"/>
          <w:lang w:val="nb-NO"/>
        </w:rPr>
      </w:pPr>
    </w:p>
    <w:p w14:paraId="79721544" w14:textId="7374D395" w:rsidR="00771D63" w:rsidRPr="00D22D58" w:rsidRDefault="00E453CD" w:rsidP="00776A84">
      <w:pPr>
        <w:pStyle w:val="BodyText3"/>
        <w:keepNext/>
        <w:tabs>
          <w:tab w:val="clear" w:pos="-720"/>
        </w:tabs>
        <w:rPr>
          <w:del w:id="16768" w:author="AbbVie02no" w:date="2025-05-15T14:22:00Z"/>
          <w:b w:val="0"/>
          <w:i/>
          <w:szCs w:val="22"/>
          <w:lang w:val="nb-NO"/>
        </w:rPr>
      </w:pPr>
      <w:del w:id="16769" w:author="AbbVie02no" w:date="2025-05-15T14:22:00Z">
        <w:r w:rsidRPr="00D22D58">
          <w:rPr>
            <w:b w:val="0"/>
            <w:i/>
            <w:szCs w:val="22"/>
            <w:lang w:val="nb-NO"/>
          </w:rPr>
          <w:delText xml:space="preserve">Barn </w:delText>
        </w:r>
        <w:r>
          <w:rPr>
            <w:b w:val="0"/>
            <w:i/>
            <w:szCs w:val="22"/>
            <w:lang w:val="nb-NO"/>
          </w:rPr>
          <w:delText xml:space="preserve">og ungdom </w:delText>
        </w:r>
        <w:r w:rsidR="00AA2810">
          <w:rPr>
            <w:b w:val="0"/>
            <w:i/>
            <w:szCs w:val="22"/>
            <w:lang w:val="nb-NO"/>
          </w:rPr>
          <w:delText>over</w:delText>
        </w:r>
        <w:r>
          <w:rPr>
            <w:b w:val="0"/>
            <w:i/>
            <w:szCs w:val="22"/>
            <w:lang w:val="nb-NO"/>
          </w:rPr>
          <w:delText xml:space="preserve"> 2 år </w:delText>
        </w:r>
        <w:r w:rsidRPr="00D22D58">
          <w:rPr>
            <w:b w:val="0"/>
            <w:i/>
            <w:szCs w:val="22"/>
            <w:lang w:val="nb-NO"/>
          </w:rPr>
          <w:delText>som veier 30 kg eller mer:</w:delText>
        </w:r>
      </w:del>
    </w:p>
    <w:p w14:paraId="28A6C4DF" w14:textId="63E5F7A8" w:rsidR="00771D63" w:rsidRDefault="00771D63" w:rsidP="00776A84">
      <w:pPr>
        <w:pStyle w:val="BodyText3"/>
        <w:keepNext/>
        <w:tabs>
          <w:tab w:val="clear" w:pos="-720"/>
        </w:tabs>
        <w:rPr>
          <w:del w:id="16770" w:author="AbbVie02no" w:date="2025-05-15T14:22:00Z"/>
          <w:b w:val="0"/>
          <w:szCs w:val="22"/>
          <w:u w:val="single"/>
          <w:lang w:val="nb-NO"/>
        </w:rPr>
      </w:pPr>
    </w:p>
    <w:p w14:paraId="20DB5988" w14:textId="21EB1EB7" w:rsidR="00771D63" w:rsidRDefault="00E453CD" w:rsidP="00771D63">
      <w:pPr>
        <w:pStyle w:val="BodyText3"/>
        <w:tabs>
          <w:tab w:val="clear" w:pos="-720"/>
        </w:tabs>
        <w:rPr>
          <w:del w:id="16771" w:author="AbbVie02no" w:date="2025-05-15T14:22:00Z"/>
          <w:b w:val="0"/>
          <w:szCs w:val="22"/>
          <w:lang w:val="nb-NO"/>
        </w:rPr>
      </w:pPr>
      <w:del w:id="16772" w:author="AbbVie02no" w:date="2025-05-15T14:22:00Z">
        <w:r>
          <w:rPr>
            <w:b w:val="0"/>
            <w:szCs w:val="22"/>
            <w:lang w:val="nb-NO"/>
          </w:rPr>
          <w:delText>Den vanlige dosen av Humira er 40 mg annenhver uke sammen med metotreksat.</w:delText>
        </w:r>
      </w:del>
    </w:p>
    <w:p w14:paraId="1A068AEE" w14:textId="5406061B" w:rsidR="00771D63" w:rsidRDefault="00771D63" w:rsidP="00771D63">
      <w:pPr>
        <w:pStyle w:val="BodyText3"/>
        <w:tabs>
          <w:tab w:val="clear" w:pos="-720"/>
        </w:tabs>
        <w:rPr>
          <w:del w:id="16773" w:author="AbbVie02no" w:date="2025-05-15T14:22:00Z"/>
          <w:b w:val="0"/>
          <w:szCs w:val="22"/>
          <w:lang w:val="nb-NO"/>
        </w:rPr>
      </w:pPr>
    </w:p>
    <w:p w14:paraId="080C7BBF" w14:textId="64066D74" w:rsidR="008554B3" w:rsidRPr="00EB049D" w:rsidRDefault="00E453CD" w:rsidP="00B3311E">
      <w:pPr>
        <w:pStyle w:val="BodyText3"/>
        <w:tabs>
          <w:tab w:val="clear" w:pos="-720"/>
        </w:tabs>
        <w:rPr>
          <w:del w:id="16774" w:author="AbbVie02no" w:date="2025-05-15T14:22:00Z"/>
          <w:szCs w:val="22"/>
        </w:rPr>
      </w:pPr>
      <w:del w:id="16775" w:author="AbbVie02no" w:date="2025-05-15T14:22:00Z">
        <w:r w:rsidRPr="0009620B">
          <w:rPr>
            <w:b w:val="0"/>
            <w:szCs w:val="22"/>
          </w:rPr>
          <w:delText xml:space="preserve">Legen til barnet ditt kan også forskrive en startdose på 80 mg som skal gis én uke før </w:delText>
        </w:r>
        <w:r w:rsidR="00E11BA9">
          <w:rPr>
            <w:b w:val="0"/>
            <w:szCs w:val="22"/>
          </w:rPr>
          <w:delText xml:space="preserve">oppstart av </w:delText>
        </w:r>
        <w:r w:rsidRPr="0009620B">
          <w:rPr>
            <w:b w:val="0"/>
            <w:szCs w:val="22"/>
          </w:rPr>
          <w:delText>den vanlige dosen.</w:delText>
        </w:r>
      </w:del>
    </w:p>
    <w:p w14:paraId="61F3F31A" w14:textId="65A1EAA2" w:rsidR="009450E9" w:rsidRPr="009C5EFD" w:rsidRDefault="009450E9" w:rsidP="009C5EFD">
      <w:pPr>
        <w:suppressAutoHyphens/>
        <w:rPr>
          <w:del w:id="16776" w:author="AbbVie02no" w:date="2025-05-15T14:22:00Z"/>
          <w:sz w:val="22"/>
          <w:szCs w:val="22"/>
        </w:rPr>
      </w:pPr>
    </w:p>
    <w:p w14:paraId="66C2066F" w14:textId="48C2071A" w:rsidR="009450E9" w:rsidRPr="009C5EFD" w:rsidRDefault="00E453CD" w:rsidP="00776A84">
      <w:pPr>
        <w:keepNext/>
        <w:suppressAutoHyphens/>
        <w:rPr>
          <w:del w:id="16777" w:author="AbbVie02no" w:date="2025-05-15T14:22:00Z"/>
          <w:b/>
          <w:sz w:val="22"/>
          <w:szCs w:val="22"/>
        </w:rPr>
      </w:pPr>
      <w:del w:id="16778" w:author="AbbVie02no" w:date="2025-05-15T14:22:00Z">
        <w:r w:rsidRPr="009C5EFD">
          <w:rPr>
            <w:b/>
            <w:sz w:val="22"/>
            <w:szCs w:val="22"/>
          </w:rPr>
          <w:delText>Metode og administrasjonsmåte</w:delText>
        </w:r>
      </w:del>
    </w:p>
    <w:p w14:paraId="3C7DAFEF" w14:textId="56974E41" w:rsidR="009450E9" w:rsidRPr="009C5EFD" w:rsidRDefault="009450E9" w:rsidP="00776A84">
      <w:pPr>
        <w:keepNext/>
        <w:suppressAutoHyphens/>
        <w:rPr>
          <w:del w:id="16779" w:author="AbbVie02no" w:date="2025-05-15T14:22:00Z"/>
          <w:sz w:val="22"/>
          <w:szCs w:val="22"/>
        </w:rPr>
      </w:pPr>
    </w:p>
    <w:p w14:paraId="3CD334F9" w14:textId="3280B166" w:rsidR="009450E9" w:rsidRPr="009C5EFD" w:rsidRDefault="00E453CD" w:rsidP="009C5EFD">
      <w:pPr>
        <w:suppressAutoHyphens/>
        <w:rPr>
          <w:del w:id="16780" w:author="AbbVie02no" w:date="2025-05-15T14:22:00Z"/>
          <w:sz w:val="22"/>
          <w:szCs w:val="22"/>
        </w:rPr>
      </w:pPr>
      <w:del w:id="16781" w:author="AbbVie02no" w:date="2025-05-15T14:22:00Z">
        <w:r w:rsidRPr="009C5EFD">
          <w:rPr>
            <w:sz w:val="22"/>
            <w:szCs w:val="22"/>
          </w:rPr>
          <w:delText>Humira administreres (gis) ved injeksjon under huden (ved subkutan injeksjon).</w:delText>
        </w:r>
      </w:del>
    </w:p>
    <w:p w14:paraId="0DA4036F" w14:textId="0E2251C7" w:rsidR="00245AEB" w:rsidRPr="009C5EFD" w:rsidRDefault="00245AEB" w:rsidP="00776A84">
      <w:pPr>
        <w:pStyle w:val="Heading3"/>
        <w:keepNext w:val="0"/>
        <w:rPr>
          <w:del w:id="16782" w:author="AbbVie02no" w:date="2025-05-15T14:22:00Z"/>
          <w:lang w:val="nb-NO"/>
        </w:rPr>
      </w:pPr>
    </w:p>
    <w:p w14:paraId="68247E08" w14:textId="25C330A1" w:rsidR="00DE3458" w:rsidRPr="009C5EFD" w:rsidRDefault="00E453CD" w:rsidP="009C5EFD">
      <w:pPr>
        <w:pStyle w:val="Heading3"/>
        <w:rPr>
          <w:del w:id="16783" w:author="AbbVie02no" w:date="2025-05-15T14:22:00Z"/>
          <w:lang w:val="nb-NO"/>
        </w:rPr>
      </w:pPr>
      <w:del w:id="16784" w:author="AbbVie02no" w:date="2025-05-15T14:22:00Z">
        <w:r w:rsidRPr="009C5EFD">
          <w:rPr>
            <w:lang w:val="nb-NO"/>
          </w:rPr>
          <w:delText>Selvinjisering av Humira</w:delText>
        </w:r>
      </w:del>
    </w:p>
    <w:p w14:paraId="5B03E866" w14:textId="4C2D618F" w:rsidR="00DE3458" w:rsidRPr="009C5EFD" w:rsidRDefault="00DE3458" w:rsidP="00776A84">
      <w:pPr>
        <w:keepNext/>
        <w:suppressAutoHyphens/>
        <w:rPr>
          <w:del w:id="16785" w:author="AbbVie02no" w:date="2025-05-15T14:22:00Z"/>
          <w:sz w:val="22"/>
          <w:szCs w:val="22"/>
        </w:rPr>
      </w:pPr>
    </w:p>
    <w:p w14:paraId="3FF775AF" w14:textId="5F7D4784" w:rsidR="00DE3458" w:rsidRPr="009C5EFD" w:rsidRDefault="00E453CD" w:rsidP="009C5EFD">
      <w:pPr>
        <w:suppressAutoHyphens/>
        <w:rPr>
          <w:del w:id="16786" w:author="AbbVie02no" w:date="2025-05-15T14:22:00Z"/>
          <w:sz w:val="22"/>
          <w:szCs w:val="22"/>
        </w:rPr>
      </w:pPr>
      <w:del w:id="16787" w:author="AbbVie02no" w:date="2025-05-15T14:22:00Z">
        <w:r w:rsidRPr="009C5EFD">
          <w:rPr>
            <w:sz w:val="22"/>
            <w:szCs w:val="22"/>
          </w:rPr>
          <w:delText>Følgende instruksjoner forklarer hvordan du skal sette Humira på deg selv ved bruk av den ferdigfylte pennen. Les instruksjonene nøye og følg dem steg for steg. Legen eller legens assistent vil forklare deg hvordan du skal sette sprøyten på deg selv. Ikke forsøk å sette sprøyten på deg selv før du er sikker på at du forstår hvordan sprøyten skal gjøres i stand og settes. Etter nødvendig opplæring kan du sette injeksjonen selv, eller en annen person, for eksempel et familiemedlem eller en venn, kan sette den.</w:delText>
        </w:r>
      </w:del>
    </w:p>
    <w:p w14:paraId="136A923E" w14:textId="642D7B1A" w:rsidR="00DE3458" w:rsidRPr="009C5EFD" w:rsidRDefault="00DE3458" w:rsidP="009C5EFD">
      <w:pPr>
        <w:suppressAutoHyphens/>
        <w:rPr>
          <w:del w:id="16788" w:author="AbbVie02no" w:date="2025-05-15T14:22:00Z"/>
          <w:sz w:val="22"/>
          <w:szCs w:val="22"/>
        </w:rPr>
      </w:pPr>
    </w:p>
    <w:p w14:paraId="7A791BED" w14:textId="6FCED860" w:rsidR="00DE3458" w:rsidRPr="009C5EFD" w:rsidRDefault="00E453CD" w:rsidP="00776A84">
      <w:pPr>
        <w:pStyle w:val="Heading3"/>
        <w:suppressAutoHyphens/>
        <w:rPr>
          <w:del w:id="16789" w:author="AbbVie02no" w:date="2025-05-15T14:22:00Z"/>
          <w:szCs w:val="22"/>
          <w:lang w:val="nb-NO"/>
        </w:rPr>
      </w:pPr>
      <w:del w:id="16790" w:author="AbbVie02no" w:date="2025-05-15T14:22:00Z">
        <w:r w:rsidRPr="009C5EFD">
          <w:rPr>
            <w:szCs w:val="22"/>
            <w:lang w:val="nb-NO"/>
          </w:rPr>
          <w:delText>Hva skal jeg gjøre før jeg setter en subkutan injeksjon med Humira på meg selv?</w:delText>
        </w:r>
      </w:del>
    </w:p>
    <w:p w14:paraId="13315746" w14:textId="6D4FCA4A" w:rsidR="00DE3458" w:rsidRPr="009C5EFD" w:rsidRDefault="00DE3458" w:rsidP="00776A84">
      <w:pPr>
        <w:keepNext/>
        <w:suppressAutoHyphens/>
        <w:rPr>
          <w:del w:id="16791" w:author="AbbVie02no" w:date="2025-05-15T14:22:00Z"/>
          <w:sz w:val="22"/>
          <w:szCs w:val="22"/>
        </w:rPr>
      </w:pPr>
    </w:p>
    <w:p w14:paraId="66EDDBCA" w14:textId="71017D9D" w:rsidR="00DE3458" w:rsidRPr="009C5EFD" w:rsidRDefault="00E453CD" w:rsidP="009C5EFD">
      <w:pPr>
        <w:pStyle w:val="EMEAFigureTitle"/>
        <w:numPr>
          <w:ilvl w:val="2"/>
          <w:numId w:val="4"/>
        </w:numPr>
        <w:tabs>
          <w:tab w:val="clear" w:pos="567"/>
          <w:tab w:val="num" w:pos="540"/>
        </w:tabs>
        <w:ind w:left="540" w:hanging="540"/>
        <w:rPr>
          <w:del w:id="16792" w:author="AbbVie02no" w:date="2025-05-15T14:22:00Z"/>
          <w:szCs w:val="22"/>
          <w:lang w:val="nb-NO"/>
        </w:rPr>
      </w:pPr>
      <w:del w:id="16793" w:author="AbbVie02no" w:date="2025-05-15T14:22:00Z">
        <w:r w:rsidRPr="009C5EFD">
          <w:rPr>
            <w:szCs w:val="22"/>
            <w:lang w:val="nb-NO"/>
          </w:rPr>
          <w:delText>Vask hende</w:delText>
        </w:r>
        <w:r w:rsidR="006A053D" w:rsidRPr="009C5EFD">
          <w:rPr>
            <w:szCs w:val="22"/>
            <w:lang w:val="nb-NO"/>
          </w:rPr>
          <w:delText>ne dine</w:delText>
        </w:r>
        <w:r w:rsidRPr="009C5EFD">
          <w:rPr>
            <w:szCs w:val="22"/>
            <w:lang w:val="nb-NO"/>
          </w:rPr>
          <w:delText xml:space="preserve"> grundig.</w:delText>
        </w:r>
      </w:del>
    </w:p>
    <w:p w14:paraId="4E15B989" w14:textId="507A667A" w:rsidR="00DE3458" w:rsidRPr="009C5EFD" w:rsidRDefault="00E453CD" w:rsidP="009C5EFD">
      <w:pPr>
        <w:numPr>
          <w:ilvl w:val="2"/>
          <w:numId w:val="4"/>
        </w:numPr>
        <w:tabs>
          <w:tab w:val="num" w:pos="540"/>
        </w:tabs>
        <w:suppressAutoHyphens/>
        <w:ind w:left="540" w:hanging="540"/>
        <w:rPr>
          <w:del w:id="16794" w:author="AbbVie02no" w:date="2025-05-15T14:22:00Z"/>
          <w:sz w:val="22"/>
          <w:szCs w:val="22"/>
        </w:rPr>
      </w:pPr>
      <w:del w:id="16795" w:author="AbbVie02no" w:date="2025-05-15T14:22:00Z">
        <w:r w:rsidRPr="009C5EFD">
          <w:rPr>
            <w:sz w:val="22"/>
            <w:szCs w:val="22"/>
          </w:rPr>
          <w:delText>Ta en ferdigfylt penn med Humira ut av kjøleskapet.</w:delText>
        </w:r>
      </w:del>
    </w:p>
    <w:p w14:paraId="327B9EDA" w14:textId="3F90BBA1" w:rsidR="00DE3458" w:rsidRPr="009C5EFD" w:rsidRDefault="00E453CD" w:rsidP="009C5EFD">
      <w:pPr>
        <w:numPr>
          <w:ilvl w:val="2"/>
          <w:numId w:val="4"/>
        </w:numPr>
        <w:tabs>
          <w:tab w:val="num" w:pos="540"/>
        </w:tabs>
        <w:suppressAutoHyphens/>
        <w:ind w:left="540" w:hanging="540"/>
        <w:rPr>
          <w:del w:id="16796" w:author="AbbVie02no" w:date="2025-05-15T14:22:00Z"/>
          <w:sz w:val="22"/>
          <w:szCs w:val="22"/>
        </w:rPr>
      </w:pPr>
      <w:del w:id="16797" w:author="AbbVie02no" w:date="2025-05-15T14:22:00Z">
        <w:r w:rsidRPr="009C5EFD">
          <w:rPr>
            <w:sz w:val="22"/>
            <w:szCs w:val="22"/>
          </w:rPr>
          <w:delText>Ikke ryst eller kast den ferdigfylte pennen.</w:delText>
        </w:r>
      </w:del>
    </w:p>
    <w:p w14:paraId="4B89E21E" w14:textId="3E334EB9" w:rsidR="00DE3458" w:rsidRPr="009C5EFD" w:rsidRDefault="00E453CD" w:rsidP="009C5EFD">
      <w:pPr>
        <w:numPr>
          <w:ilvl w:val="2"/>
          <w:numId w:val="4"/>
        </w:numPr>
        <w:tabs>
          <w:tab w:val="num" w:pos="540"/>
        </w:tabs>
        <w:suppressAutoHyphens/>
        <w:ind w:left="540" w:hanging="540"/>
        <w:rPr>
          <w:del w:id="16798" w:author="AbbVie02no" w:date="2025-05-15T14:22:00Z"/>
          <w:sz w:val="22"/>
          <w:szCs w:val="22"/>
        </w:rPr>
      </w:pPr>
      <w:del w:id="16799" w:author="AbbVie02no" w:date="2025-05-15T14:22:00Z">
        <w:r w:rsidRPr="009C5EFD">
          <w:rPr>
            <w:sz w:val="22"/>
            <w:szCs w:val="22"/>
          </w:rPr>
          <w:delText>Legg følgende deler klar på et rent bord.</w:delText>
        </w:r>
      </w:del>
    </w:p>
    <w:p w14:paraId="03B47956" w14:textId="67066855" w:rsidR="00DE3458" w:rsidRPr="009C5EFD" w:rsidRDefault="00E453CD" w:rsidP="00EE4677">
      <w:pPr>
        <w:numPr>
          <w:ilvl w:val="0"/>
          <w:numId w:val="38"/>
        </w:numPr>
        <w:tabs>
          <w:tab w:val="num" w:pos="2268"/>
        </w:tabs>
        <w:suppressAutoHyphens/>
        <w:rPr>
          <w:del w:id="16800" w:author="AbbVie02no" w:date="2025-05-15T14:22:00Z"/>
          <w:sz w:val="22"/>
          <w:szCs w:val="22"/>
        </w:rPr>
      </w:pPr>
      <w:del w:id="16801" w:author="AbbVie02no" w:date="2025-05-15T14:22:00Z">
        <w:r w:rsidRPr="009C5EFD">
          <w:rPr>
            <w:sz w:val="22"/>
            <w:szCs w:val="22"/>
          </w:rPr>
          <w:delText>En ferdigfylt penn med Humira injeksjonsvæske</w:delText>
        </w:r>
      </w:del>
    </w:p>
    <w:p w14:paraId="3D9F82F4" w14:textId="78C95085" w:rsidR="00DE3458" w:rsidRPr="009C5EFD" w:rsidRDefault="00E453CD" w:rsidP="00EE4677">
      <w:pPr>
        <w:numPr>
          <w:ilvl w:val="0"/>
          <w:numId w:val="38"/>
        </w:numPr>
        <w:tabs>
          <w:tab w:val="num" w:pos="2268"/>
        </w:tabs>
        <w:suppressAutoHyphens/>
        <w:rPr>
          <w:del w:id="16802" w:author="AbbVie02no" w:date="2025-05-15T14:22:00Z"/>
          <w:sz w:val="22"/>
          <w:szCs w:val="22"/>
        </w:rPr>
      </w:pPr>
      <w:del w:id="16803" w:author="AbbVie02no" w:date="2025-05-15T14:22:00Z">
        <w:r w:rsidRPr="009C5EFD">
          <w:rPr>
            <w:sz w:val="22"/>
            <w:szCs w:val="22"/>
          </w:rPr>
          <w:delText>Et injeksjonstørk</w:delText>
        </w:r>
      </w:del>
    </w:p>
    <w:p w14:paraId="2B6F92A6" w14:textId="5E22E770" w:rsidR="0071103A" w:rsidRPr="009C5EFD" w:rsidRDefault="0071103A" w:rsidP="009C5EFD">
      <w:pPr>
        <w:tabs>
          <w:tab w:val="num" w:pos="2268"/>
        </w:tabs>
        <w:suppressAutoHyphens/>
        <w:ind w:left="567"/>
        <w:rPr>
          <w:del w:id="16804" w:author="AbbVie02no" w:date="2025-05-15T14:22:00Z"/>
          <w:sz w:val="22"/>
          <w:szCs w:val="22"/>
        </w:rPr>
      </w:pPr>
    </w:p>
    <w:tbl>
      <w:tblPr>
        <w:tblW w:w="0" w:type="auto"/>
        <w:jc w:val="center"/>
        <w:tblLook w:val="01E0" w:firstRow="1" w:lastRow="1" w:firstColumn="1" w:lastColumn="1" w:noHBand="0" w:noVBand="0"/>
      </w:tblPr>
      <w:tblGrid>
        <w:gridCol w:w="4607"/>
        <w:gridCol w:w="4458"/>
      </w:tblGrid>
      <w:tr w:rsidR="004644D4" w14:paraId="2E75742C" w14:textId="76EB3466" w:rsidTr="003962B0">
        <w:trPr>
          <w:jc w:val="center"/>
          <w:del w:id="16805" w:author="AbbVie02no" w:date="2025-05-15T14:22:00Z"/>
        </w:trPr>
        <w:tc>
          <w:tcPr>
            <w:tcW w:w="4643" w:type="dxa"/>
          </w:tcPr>
          <w:p w14:paraId="7259B322" w14:textId="3D3066B7" w:rsidR="003962B0" w:rsidRPr="00692DC9" w:rsidRDefault="00E453CD" w:rsidP="009C5EFD">
            <w:pPr>
              <w:ind w:left="1440" w:hanging="240"/>
              <w:jc w:val="right"/>
              <w:rPr>
                <w:del w:id="16806" w:author="AbbVie02no" w:date="2025-05-15T14:22:00Z"/>
                <w:i/>
                <w:iCs/>
                <w:rPrChange w:id="16807" w:author="AbbVie05no" w:date="2025-05-19T11:03:00Z">
                  <w:rPr>
                    <w:del w:id="16808" w:author="AbbVie02no" w:date="2025-05-15T14:22:00Z"/>
                    <w:i/>
                    <w:iCs/>
                    <w:lang w:val="en-GB"/>
                  </w:rPr>
                </w:rPrChange>
              </w:rPr>
            </w:pPr>
            <w:del w:id="16809" w:author="AbbVie02no" w:date="2025-05-15T14:22:00Z">
              <w:r>
                <w:rPr>
                  <w:i/>
                  <w:iCs/>
                  <w:noProof/>
                  <w:lang w:val="en-GB" w:eastAsia="en-GB"/>
                </w:rPr>
                <w:drawing>
                  <wp:inline distT="0" distB="0" distL="0" distR="0" wp14:anchorId="0850B543" wp14:editId="1B469166">
                    <wp:extent cx="1666875" cy="16097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666875" cy="1609725"/>
                            </a:xfrm>
                            <a:prstGeom prst="rect">
                              <a:avLst/>
                            </a:prstGeom>
                            <a:noFill/>
                            <a:ln>
                              <a:noFill/>
                            </a:ln>
                          </pic:spPr>
                        </pic:pic>
                      </a:graphicData>
                    </a:graphic>
                  </wp:inline>
                </w:drawing>
              </w:r>
            </w:del>
          </w:p>
        </w:tc>
        <w:tc>
          <w:tcPr>
            <w:tcW w:w="4644" w:type="dxa"/>
          </w:tcPr>
          <w:p w14:paraId="763A0E78" w14:textId="04E14FAE" w:rsidR="003962B0" w:rsidRPr="00692DC9" w:rsidRDefault="003962B0" w:rsidP="009C5EFD">
            <w:pPr>
              <w:ind w:left="1440" w:hanging="240"/>
              <w:rPr>
                <w:del w:id="16810" w:author="AbbVie02no" w:date="2025-05-15T14:22:00Z"/>
                <w:iCs/>
                <w:rPrChange w:id="16811" w:author="AbbVie05no" w:date="2025-05-19T11:03:00Z">
                  <w:rPr>
                    <w:del w:id="16812" w:author="AbbVie02no" w:date="2025-05-15T14:22:00Z"/>
                    <w:iCs/>
                    <w:lang w:val="en-GB"/>
                  </w:rPr>
                </w:rPrChange>
              </w:rPr>
            </w:pPr>
          </w:p>
          <w:p w14:paraId="2C49F9D2" w14:textId="52BA677A" w:rsidR="003962B0" w:rsidRPr="00692DC9" w:rsidRDefault="003962B0" w:rsidP="009C5EFD">
            <w:pPr>
              <w:ind w:left="1440" w:hanging="240"/>
              <w:rPr>
                <w:del w:id="16813" w:author="AbbVie02no" w:date="2025-05-15T14:22:00Z"/>
                <w:iCs/>
                <w:rPrChange w:id="16814" w:author="AbbVie05no" w:date="2025-05-19T11:03:00Z">
                  <w:rPr>
                    <w:del w:id="16815" w:author="AbbVie02no" w:date="2025-05-15T14:22:00Z"/>
                    <w:iCs/>
                    <w:lang w:val="en-GB"/>
                  </w:rPr>
                </w:rPrChange>
              </w:rPr>
            </w:pPr>
          </w:p>
          <w:p w14:paraId="2D01BA3E" w14:textId="038E84A2" w:rsidR="003962B0" w:rsidRPr="00692DC9" w:rsidRDefault="00E453CD" w:rsidP="005A1DEF">
            <w:pPr>
              <w:rPr>
                <w:del w:id="16816" w:author="AbbVie02no" w:date="2025-05-15T14:22:00Z"/>
                <w:rPrChange w:id="16817" w:author="AbbVie05no" w:date="2025-05-19T11:03:00Z">
                  <w:rPr>
                    <w:del w:id="16818" w:author="AbbVie02no" w:date="2025-05-15T14:22:00Z"/>
                    <w:lang w:val="en-GB"/>
                  </w:rPr>
                </w:rPrChange>
              </w:rPr>
            </w:pPr>
            <w:del w:id="16819" w:author="AbbVie02no" w:date="2025-05-15T14:22:00Z">
              <w:r w:rsidRPr="00692DC9">
                <w:rPr>
                  <w:rPrChange w:id="16820" w:author="AbbVie05no" w:date="2025-05-19T11:03:00Z">
                    <w:rPr>
                      <w:lang w:val="en-GB"/>
                    </w:rPr>
                  </w:rPrChange>
                </w:rPr>
                <w:delText>Injeksjonstørk</w:delText>
              </w:r>
            </w:del>
          </w:p>
          <w:p w14:paraId="3652A4E8" w14:textId="0D82FAC5" w:rsidR="003962B0" w:rsidRPr="00692DC9" w:rsidRDefault="003962B0" w:rsidP="009C5EFD">
            <w:pPr>
              <w:ind w:left="1440" w:hanging="240"/>
              <w:rPr>
                <w:del w:id="16821" w:author="AbbVie02no" w:date="2025-05-15T14:22:00Z"/>
                <w:rPrChange w:id="16822" w:author="AbbVie05no" w:date="2025-05-19T11:03:00Z">
                  <w:rPr>
                    <w:del w:id="16823" w:author="AbbVie02no" w:date="2025-05-15T14:22:00Z"/>
                    <w:lang w:val="en-GB"/>
                  </w:rPr>
                </w:rPrChange>
              </w:rPr>
            </w:pPr>
          </w:p>
          <w:p w14:paraId="1B8D1D98" w14:textId="74DB08B7" w:rsidR="003962B0" w:rsidRPr="00692DC9" w:rsidRDefault="003962B0" w:rsidP="009C5EFD">
            <w:pPr>
              <w:ind w:left="1440" w:hanging="240"/>
              <w:rPr>
                <w:del w:id="16824" w:author="AbbVie02no" w:date="2025-05-15T14:22:00Z"/>
                <w:rPrChange w:id="16825" w:author="AbbVie05no" w:date="2025-05-19T11:03:00Z">
                  <w:rPr>
                    <w:del w:id="16826" w:author="AbbVie02no" w:date="2025-05-15T14:22:00Z"/>
                    <w:lang w:val="en-GB"/>
                  </w:rPr>
                </w:rPrChange>
              </w:rPr>
            </w:pPr>
          </w:p>
          <w:p w14:paraId="0FB5045F" w14:textId="66A584F9" w:rsidR="003962B0" w:rsidRPr="00692DC9" w:rsidRDefault="00E453CD" w:rsidP="005A1DEF">
            <w:pPr>
              <w:rPr>
                <w:del w:id="16827" w:author="AbbVie02no" w:date="2025-05-15T14:22:00Z"/>
                <w:iCs/>
                <w:rPrChange w:id="16828" w:author="AbbVie05no" w:date="2025-05-19T11:03:00Z">
                  <w:rPr>
                    <w:del w:id="16829" w:author="AbbVie02no" w:date="2025-05-15T14:22:00Z"/>
                    <w:iCs/>
                    <w:lang w:val="en-GB"/>
                  </w:rPr>
                </w:rPrChange>
              </w:rPr>
            </w:pPr>
            <w:del w:id="16830" w:author="AbbVie02no" w:date="2025-05-15T14:22:00Z">
              <w:r w:rsidRPr="00692DC9">
                <w:rPr>
                  <w:rPrChange w:id="16831" w:author="AbbVie05no" w:date="2025-05-19T11:03:00Z">
                    <w:rPr>
                      <w:lang w:val="en-GB"/>
                    </w:rPr>
                  </w:rPrChange>
                </w:rPr>
                <w:delText>Vindu</w:delText>
              </w:r>
            </w:del>
          </w:p>
        </w:tc>
      </w:tr>
    </w:tbl>
    <w:p w14:paraId="6AF696A5" w14:textId="38461522" w:rsidR="00DE3458" w:rsidRPr="009C5EFD" w:rsidRDefault="00DE3458" w:rsidP="007F67EE">
      <w:pPr>
        <w:tabs>
          <w:tab w:val="num" w:pos="2268"/>
        </w:tabs>
        <w:suppressAutoHyphens/>
        <w:rPr>
          <w:del w:id="16832" w:author="AbbVie02no" w:date="2025-05-15T14:22:00Z"/>
          <w:sz w:val="22"/>
          <w:szCs w:val="22"/>
        </w:rPr>
      </w:pPr>
    </w:p>
    <w:p w14:paraId="10FE2FE8" w14:textId="7A6D02BF" w:rsidR="00DE3458" w:rsidRPr="009C5EFD" w:rsidRDefault="00E453CD" w:rsidP="00193D76">
      <w:pPr>
        <w:numPr>
          <w:ilvl w:val="2"/>
          <w:numId w:val="4"/>
        </w:numPr>
        <w:suppressAutoHyphens/>
        <w:rPr>
          <w:del w:id="16833" w:author="AbbVie02no" w:date="2025-05-15T14:22:00Z"/>
          <w:sz w:val="22"/>
          <w:szCs w:val="22"/>
        </w:rPr>
      </w:pPr>
      <w:del w:id="16834" w:author="AbbVie02no" w:date="2025-05-15T14:22:00Z">
        <w:r w:rsidRPr="009C5EFD">
          <w:rPr>
            <w:sz w:val="22"/>
            <w:szCs w:val="22"/>
          </w:rPr>
          <w:delText>Sjekk utløpsdatoen på etiketten til pennen (</w:delText>
        </w:r>
        <w:r w:rsidR="00474918" w:rsidRPr="009C5EFD">
          <w:rPr>
            <w:sz w:val="22"/>
            <w:szCs w:val="22"/>
          </w:rPr>
          <w:delText>Utløpsdato</w:delText>
        </w:r>
        <w:r w:rsidRPr="009C5EFD">
          <w:rPr>
            <w:sz w:val="22"/>
            <w:szCs w:val="22"/>
          </w:rPr>
          <w:delText>). Ikke bruk produktet dersom datoen har passert måneden og året som er vist.</w:delText>
        </w:r>
      </w:del>
    </w:p>
    <w:p w14:paraId="0280836B" w14:textId="529D1E70" w:rsidR="00DE3458" w:rsidRPr="009C5EFD" w:rsidRDefault="00E453CD" w:rsidP="002D0790">
      <w:pPr>
        <w:numPr>
          <w:ilvl w:val="2"/>
          <w:numId w:val="4"/>
        </w:numPr>
        <w:suppressAutoHyphens/>
        <w:rPr>
          <w:del w:id="16835" w:author="AbbVie02no" w:date="2025-05-15T14:22:00Z"/>
          <w:sz w:val="22"/>
          <w:szCs w:val="22"/>
        </w:rPr>
      </w:pPr>
      <w:del w:id="16836" w:author="AbbVie02no" w:date="2025-05-15T14:22:00Z">
        <w:r w:rsidRPr="009C5EFD">
          <w:rPr>
            <w:sz w:val="22"/>
            <w:szCs w:val="22"/>
          </w:rPr>
          <w:delText xml:space="preserve">Hold pennen med den grå hetten (merket </w:delText>
        </w:r>
        <w:r w:rsidR="00D57009">
          <w:rPr>
            <w:sz w:val="22"/>
            <w:szCs w:val="22"/>
          </w:rPr>
          <w:delText>«</w:delText>
        </w:r>
        <w:r w:rsidRPr="009C5EFD">
          <w:rPr>
            <w:sz w:val="22"/>
            <w:szCs w:val="22"/>
          </w:rPr>
          <w:delText>1</w:delText>
        </w:r>
        <w:r w:rsidR="00D57009">
          <w:rPr>
            <w:sz w:val="22"/>
            <w:szCs w:val="22"/>
          </w:rPr>
          <w:delText>»</w:delText>
        </w:r>
        <w:r w:rsidRPr="009C5EFD">
          <w:rPr>
            <w:sz w:val="22"/>
            <w:szCs w:val="22"/>
          </w:rPr>
          <w:delText>) pekende oppover. Sjekk utseendet til Humira oppløsning gjennom vindue</w:delText>
        </w:r>
        <w:r w:rsidR="00A04E0A">
          <w:rPr>
            <w:sz w:val="22"/>
            <w:szCs w:val="22"/>
          </w:rPr>
          <w:delText>t</w:delText>
        </w:r>
        <w:r w:rsidRPr="009C5EFD">
          <w:rPr>
            <w:sz w:val="22"/>
            <w:szCs w:val="22"/>
          </w:rPr>
          <w:delText xml:space="preserve"> på sidene av pennen. Den må være klar og fargeløs. Du må ikke bruke den hvis den er uklar eller misfarget eller har flak eller partikler</w:delText>
        </w:r>
        <w:r w:rsidR="001C6C1E" w:rsidRPr="009C5EFD">
          <w:rPr>
            <w:sz w:val="22"/>
            <w:szCs w:val="22"/>
          </w:rPr>
          <w:delText xml:space="preserve"> i seg</w:delText>
        </w:r>
        <w:r w:rsidRPr="009C5EFD">
          <w:rPr>
            <w:sz w:val="22"/>
            <w:szCs w:val="22"/>
          </w:rPr>
          <w:delText>. Ikke bruk penn som er frosset eller har vært oppbevart i direkte sollys. Fjern både den grå og den plommefarge</w:delText>
        </w:r>
        <w:r w:rsidR="00961A84">
          <w:rPr>
            <w:sz w:val="22"/>
            <w:szCs w:val="22"/>
          </w:rPr>
          <w:delText>d</w:delText>
        </w:r>
        <w:r w:rsidRPr="009C5EFD">
          <w:rPr>
            <w:sz w:val="22"/>
            <w:szCs w:val="22"/>
          </w:rPr>
          <w:delText xml:space="preserve">e hetten først </w:delText>
        </w:r>
        <w:r w:rsidRPr="009C5EFD">
          <w:rPr>
            <w:b/>
            <w:sz w:val="22"/>
            <w:szCs w:val="22"/>
          </w:rPr>
          <w:delText>umiddelbart</w:delText>
        </w:r>
        <w:r w:rsidRPr="009C5EFD">
          <w:rPr>
            <w:sz w:val="22"/>
            <w:szCs w:val="22"/>
          </w:rPr>
          <w:delText xml:space="preserve"> før injeksjon.</w:delText>
        </w:r>
      </w:del>
    </w:p>
    <w:p w14:paraId="173E52D3" w14:textId="70A589E9" w:rsidR="00EC0FA3" w:rsidRPr="009C5EFD" w:rsidRDefault="00EC0FA3" w:rsidP="00C07C98">
      <w:pPr>
        <w:suppressAutoHyphens/>
        <w:ind w:left="567"/>
        <w:rPr>
          <w:del w:id="16837" w:author="AbbVie02no" w:date="2025-05-15T14:22:00Z"/>
          <w:sz w:val="22"/>
          <w:szCs w:val="22"/>
        </w:rPr>
      </w:pPr>
    </w:p>
    <w:tbl>
      <w:tblPr>
        <w:tblW w:w="0" w:type="auto"/>
        <w:tblLook w:val="01E0" w:firstRow="1" w:lastRow="1" w:firstColumn="1" w:lastColumn="1" w:noHBand="0" w:noVBand="0"/>
      </w:tblPr>
      <w:tblGrid>
        <w:gridCol w:w="4615"/>
        <w:gridCol w:w="4450"/>
      </w:tblGrid>
      <w:tr w:rsidR="004644D4" w14:paraId="475D9C7B" w14:textId="641CF0A9" w:rsidTr="00174DB6">
        <w:trPr>
          <w:del w:id="16838" w:author="AbbVie02no" w:date="2025-05-15T14:22:00Z"/>
        </w:trPr>
        <w:tc>
          <w:tcPr>
            <w:tcW w:w="4643" w:type="dxa"/>
          </w:tcPr>
          <w:p w14:paraId="4CFC2FE9" w14:textId="0852484C" w:rsidR="00174DB6" w:rsidRPr="00692DC9" w:rsidRDefault="00E453CD" w:rsidP="00E14E58">
            <w:pPr>
              <w:ind w:left="1440" w:hanging="240"/>
              <w:jc w:val="right"/>
              <w:rPr>
                <w:del w:id="16839" w:author="AbbVie02no" w:date="2025-05-15T14:22:00Z"/>
                <w:rPrChange w:id="16840" w:author="AbbVie05no" w:date="2025-05-19T11:03:00Z">
                  <w:rPr>
                    <w:del w:id="16841" w:author="AbbVie02no" w:date="2025-05-15T14:22:00Z"/>
                    <w:lang w:val="en-GB"/>
                  </w:rPr>
                </w:rPrChange>
              </w:rPr>
            </w:pPr>
            <w:del w:id="16842" w:author="AbbVie02no" w:date="2025-05-15T14:22:00Z">
              <w:r>
                <w:rPr>
                  <w:noProof/>
                  <w:lang w:val="en-GB" w:eastAsia="en-GB"/>
                </w:rPr>
                <w:drawing>
                  <wp:inline distT="0" distB="0" distL="0" distR="0" wp14:anchorId="7D44C985" wp14:editId="52F400DB">
                    <wp:extent cx="1743075" cy="1781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743075" cy="1781175"/>
                            </a:xfrm>
                            <a:prstGeom prst="rect">
                              <a:avLst/>
                            </a:prstGeom>
                            <a:noFill/>
                            <a:ln>
                              <a:noFill/>
                            </a:ln>
                          </pic:spPr>
                        </pic:pic>
                      </a:graphicData>
                    </a:graphic>
                  </wp:inline>
                </w:drawing>
              </w:r>
            </w:del>
          </w:p>
        </w:tc>
        <w:tc>
          <w:tcPr>
            <w:tcW w:w="4644" w:type="dxa"/>
          </w:tcPr>
          <w:p w14:paraId="01C6E486" w14:textId="57AC3139" w:rsidR="00174DB6" w:rsidRPr="00692DC9" w:rsidRDefault="00174DB6" w:rsidP="009C5EFD">
            <w:pPr>
              <w:ind w:left="1440" w:hanging="240"/>
              <w:rPr>
                <w:del w:id="16843" w:author="AbbVie02no" w:date="2025-05-15T14:22:00Z"/>
                <w:rPrChange w:id="16844" w:author="AbbVie05no" w:date="2025-05-19T11:03:00Z">
                  <w:rPr>
                    <w:del w:id="16845" w:author="AbbVie02no" w:date="2025-05-15T14:22:00Z"/>
                    <w:lang w:val="en-GB"/>
                  </w:rPr>
                </w:rPrChange>
              </w:rPr>
            </w:pPr>
          </w:p>
          <w:p w14:paraId="4639AB37" w14:textId="03E93898" w:rsidR="00174DB6" w:rsidRPr="00692DC9" w:rsidRDefault="00174DB6" w:rsidP="009C5EFD">
            <w:pPr>
              <w:ind w:left="1440" w:hanging="240"/>
              <w:rPr>
                <w:del w:id="16846" w:author="AbbVie02no" w:date="2025-05-15T14:22:00Z"/>
                <w:rPrChange w:id="16847" w:author="AbbVie05no" w:date="2025-05-19T11:03:00Z">
                  <w:rPr>
                    <w:del w:id="16848" w:author="AbbVie02no" w:date="2025-05-15T14:22:00Z"/>
                    <w:lang w:val="en-GB"/>
                  </w:rPr>
                </w:rPrChange>
              </w:rPr>
            </w:pPr>
          </w:p>
          <w:p w14:paraId="2D6A4236" w14:textId="252CCD60" w:rsidR="00174DB6" w:rsidRPr="00692DC9" w:rsidRDefault="00174DB6" w:rsidP="009C5EFD">
            <w:pPr>
              <w:ind w:left="1440" w:hanging="240"/>
              <w:rPr>
                <w:del w:id="16849" w:author="AbbVie02no" w:date="2025-05-15T14:22:00Z"/>
                <w:rPrChange w:id="16850" w:author="AbbVie05no" w:date="2025-05-19T11:03:00Z">
                  <w:rPr>
                    <w:del w:id="16851" w:author="AbbVie02no" w:date="2025-05-15T14:22:00Z"/>
                    <w:lang w:val="en-GB"/>
                  </w:rPr>
                </w:rPrChange>
              </w:rPr>
            </w:pPr>
          </w:p>
          <w:p w14:paraId="607AEB4E" w14:textId="34DA0665" w:rsidR="00174DB6" w:rsidRPr="00E14E58" w:rsidRDefault="00E453CD" w:rsidP="005A1DEF">
            <w:pPr>
              <w:rPr>
                <w:del w:id="16852" w:author="AbbVie02no" w:date="2025-05-15T14:22:00Z"/>
              </w:rPr>
            </w:pPr>
            <w:del w:id="16853" w:author="AbbVie02no" w:date="2025-05-15T14:22:00Z">
              <w:r w:rsidRPr="00E14E58">
                <w:delText>Vindu</w:delText>
              </w:r>
            </w:del>
          </w:p>
          <w:p w14:paraId="66A1F96F" w14:textId="2B342AAF" w:rsidR="00174DB6" w:rsidRPr="009C5EFD" w:rsidRDefault="00174DB6" w:rsidP="009C5EFD">
            <w:pPr>
              <w:ind w:left="1440" w:hanging="240"/>
              <w:rPr>
                <w:del w:id="16854" w:author="AbbVie02no" w:date="2025-05-15T14:22:00Z"/>
              </w:rPr>
            </w:pPr>
          </w:p>
          <w:p w14:paraId="6EEAF8F4" w14:textId="05352D71" w:rsidR="00174DB6" w:rsidRPr="009C5EFD" w:rsidRDefault="00E453CD" w:rsidP="005A1DEF">
            <w:pPr>
              <w:rPr>
                <w:del w:id="16855" w:author="AbbVie02no" w:date="2025-05-15T14:22:00Z"/>
              </w:rPr>
            </w:pPr>
            <w:del w:id="16856" w:author="AbbVie02no" w:date="2025-05-15T14:22:00Z">
              <w:r w:rsidRPr="009C5EFD">
                <w:delText>Klar væske i sprøyte</w:delText>
              </w:r>
            </w:del>
          </w:p>
        </w:tc>
      </w:tr>
    </w:tbl>
    <w:p w14:paraId="6D48EDA0" w14:textId="45496E78" w:rsidR="00DE3458" w:rsidRPr="009C5EFD" w:rsidRDefault="00DE3458" w:rsidP="007F67EE">
      <w:pPr>
        <w:tabs>
          <w:tab w:val="left" w:pos="567"/>
        </w:tabs>
        <w:suppressAutoHyphens/>
        <w:rPr>
          <w:del w:id="16857" w:author="AbbVie02no" w:date="2025-05-15T14:22:00Z"/>
          <w:sz w:val="22"/>
          <w:szCs w:val="22"/>
        </w:rPr>
      </w:pPr>
    </w:p>
    <w:p w14:paraId="21D11640" w14:textId="354B2FD6" w:rsidR="00DE3458" w:rsidRPr="009C5EFD" w:rsidRDefault="00E453CD" w:rsidP="00757A9B">
      <w:pPr>
        <w:pStyle w:val="Heading3"/>
        <w:tabs>
          <w:tab w:val="left" w:pos="567"/>
        </w:tabs>
        <w:suppressAutoHyphens/>
        <w:rPr>
          <w:del w:id="16858" w:author="AbbVie02no" w:date="2025-05-15T14:22:00Z"/>
          <w:szCs w:val="22"/>
          <w:lang w:val="nb-NO"/>
        </w:rPr>
      </w:pPr>
      <w:del w:id="16859" w:author="AbbVie02no" w:date="2025-05-15T14:22:00Z">
        <w:r w:rsidRPr="009C5EFD">
          <w:rPr>
            <w:szCs w:val="22"/>
            <w:lang w:val="nb-NO"/>
          </w:rPr>
          <w:delText>Hvor skal jeg sette injeksjonen min?</w:delText>
        </w:r>
      </w:del>
    </w:p>
    <w:p w14:paraId="6D4F6A4B" w14:textId="2076FC69" w:rsidR="00DE3458" w:rsidRPr="009C5EFD" w:rsidRDefault="00DE3458" w:rsidP="00757A9B">
      <w:pPr>
        <w:keepNext/>
        <w:tabs>
          <w:tab w:val="left" w:pos="567"/>
        </w:tabs>
        <w:suppressAutoHyphens/>
        <w:rPr>
          <w:del w:id="16860" w:author="AbbVie02no" w:date="2025-05-15T14:22:00Z"/>
          <w:b/>
          <w:sz w:val="22"/>
          <w:szCs w:val="22"/>
        </w:rPr>
      </w:pPr>
    </w:p>
    <w:p w14:paraId="1AAD9F4F" w14:textId="09677209" w:rsidR="00DE3458" w:rsidRPr="009C5EFD" w:rsidRDefault="00E453CD" w:rsidP="00757A9B">
      <w:pPr>
        <w:pStyle w:val="EMEAFigureTitle"/>
        <w:keepNext/>
        <w:tabs>
          <w:tab w:val="clear" w:pos="562"/>
          <w:tab w:val="left" w:pos="567"/>
          <w:tab w:val="left" w:pos="720"/>
          <w:tab w:val="num" w:pos="1494"/>
        </w:tabs>
        <w:rPr>
          <w:del w:id="16861" w:author="AbbVie02no" w:date="2025-05-15T14:22:00Z"/>
          <w:szCs w:val="22"/>
          <w:lang w:val="nb-NO"/>
        </w:rPr>
      </w:pPr>
      <w:del w:id="16862" w:author="AbbVie02no" w:date="2025-05-15T14:22:00Z">
        <w:r w:rsidRPr="009C5EFD">
          <w:rPr>
            <w:szCs w:val="22"/>
            <w:lang w:val="nb-NO"/>
          </w:rPr>
          <w:delText>1.</w:delText>
        </w:r>
        <w:r w:rsidRPr="009C5EFD">
          <w:rPr>
            <w:szCs w:val="22"/>
            <w:lang w:val="nb-NO"/>
          </w:rPr>
          <w:tab/>
          <w:delText>Velg et sted på toppen av låret eller magen (unntatt området rundt navlen).</w:delText>
        </w:r>
      </w:del>
    </w:p>
    <w:p w14:paraId="11C54815" w14:textId="608E86A1" w:rsidR="00DE3458" w:rsidRPr="009C5EFD" w:rsidRDefault="00DE3458" w:rsidP="00E14E58">
      <w:pPr>
        <w:tabs>
          <w:tab w:val="num" w:pos="1494"/>
        </w:tabs>
        <w:suppressAutoHyphens/>
        <w:rPr>
          <w:del w:id="16863" w:author="AbbVie02no" w:date="2025-05-15T14:22:00Z"/>
          <w:sz w:val="22"/>
          <w:szCs w:val="22"/>
        </w:rPr>
      </w:pPr>
    </w:p>
    <w:p w14:paraId="586B11D0" w14:textId="09F58FFF" w:rsidR="00174DB6" w:rsidRPr="007F67EE" w:rsidRDefault="00E453CD" w:rsidP="009C5EFD">
      <w:pPr>
        <w:tabs>
          <w:tab w:val="num" w:pos="567"/>
        </w:tabs>
        <w:suppressAutoHyphens/>
        <w:ind w:left="567" w:hanging="567"/>
        <w:jc w:val="center"/>
        <w:rPr>
          <w:del w:id="16864" w:author="AbbVie02no" w:date="2025-05-15T14:22:00Z"/>
          <w:sz w:val="22"/>
          <w:szCs w:val="22"/>
        </w:rPr>
      </w:pPr>
      <w:del w:id="16865" w:author="AbbVie02no" w:date="2025-05-15T14:22:00Z">
        <w:r>
          <w:rPr>
            <w:noProof/>
            <w:lang w:val="en-GB" w:eastAsia="en-GB"/>
          </w:rPr>
          <w:drawing>
            <wp:inline distT="0" distB="0" distL="0" distR="0" wp14:anchorId="75D1B00A" wp14:editId="085B71B6">
              <wp:extent cx="2000250" cy="1866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000250" cy="1866900"/>
                      </a:xfrm>
                      <a:prstGeom prst="rect">
                        <a:avLst/>
                      </a:prstGeom>
                      <a:noFill/>
                      <a:ln>
                        <a:noFill/>
                      </a:ln>
                    </pic:spPr>
                  </pic:pic>
                </a:graphicData>
              </a:graphic>
            </wp:inline>
          </w:drawing>
        </w:r>
      </w:del>
    </w:p>
    <w:p w14:paraId="1E973DA5" w14:textId="2CA1F1A5" w:rsidR="00DE3458" w:rsidRPr="00193D76" w:rsidRDefault="00DE3458" w:rsidP="009C5EFD">
      <w:pPr>
        <w:tabs>
          <w:tab w:val="num" w:pos="567"/>
        </w:tabs>
        <w:suppressAutoHyphens/>
        <w:ind w:left="567" w:hanging="567"/>
        <w:jc w:val="center"/>
        <w:rPr>
          <w:del w:id="16866" w:author="AbbVie02no" w:date="2025-05-15T14:22:00Z"/>
          <w:sz w:val="22"/>
          <w:szCs w:val="22"/>
        </w:rPr>
      </w:pPr>
    </w:p>
    <w:p w14:paraId="2B2497B1" w14:textId="31C650F6" w:rsidR="00DE3458" w:rsidRPr="00E14E58" w:rsidRDefault="00E453CD" w:rsidP="00EE4677">
      <w:pPr>
        <w:numPr>
          <w:ilvl w:val="0"/>
          <w:numId w:val="11"/>
        </w:numPr>
        <w:tabs>
          <w:tab w:val="clear" w:pos="720"/>
          <w:tab w:val="num" w:pos="540"/>
          <w:tab w:val="left" w:pos="567"/>
        </w:tabs>
        <w:suppressAutoHyphens/>
        <w:ind w:left="540" w:hanging="540"/>
        <w:rPr>
          <w:del w:id="16867" w:author="AbbVie02no" w:date="2025-05-15T14:22:00Z"/>
          <w:sz w:val="22"/>
          <w:szCs w:val="22"/>
        </w:rPr>
      </w:pPr>
      <w:del w:id="16868" w:author="AbbVie02no" w:date="2025-05-15T14:22:00Z">
        <w:r w:rsidRPr="002D0790">
          <w:rPr>
            <w:sz w:val="22"/>
            <w:szCs w:val="22"/>
          </w:rPr>
          <w:delText>Bytt injeksjonsstedet hver gang slik at du ikke blir sår på et område. Hver ny</w:delText>
        </w:r>
        <w:r w:rsidR="001C6C1E" w:rsidRPr="00C07C98">
          <w:rPr>
            <w:sz w:val="22"/>
            <w:szCs w:val="22"/>
          </w:rPr>
          <w:delText>e</w:delText>
        </w:r>
        <w:r w:rsidRPr="00E14E58">
          <w:rPr>
            <w:sz w:val="22"/>
            <w:szCs w:val="22"/>
          </w:rPr>
          <w:delText xml:space="preserve"> injeksjon som settes skal settes minst 3 cm fra der hvor den forrige ble satt.</w:delText>
        </w:r>
      </w:del>
    </w:p>
    <w:p w14:paraId="35DC3658" w14:textId="1FE60252" w:rsidR="00DE3458" w:rsidRPr="009C5EFD" w:rsidRDefault="00E453CD" w:rsidP="00EE4677">
      <w:pPr>
        <w:numPr>
          <w:ilvl w:val="0"/>
          <w:numId w:val="11"/>
        </w:numPr>
        <w:tabs>
          <w:tab w:val="clear" w:pos="720"/>
          <w:tab w:val="num" w:pos="540"/>
          <w:tab w:val="left" w:pos="567"/>
        </w:tabs>
        <w:suppressAutoHyphens/>
        <w:ind w:left="540" w:hanging="540"/>
        <w:rPr>
          <w:del w:id="16869" w:author="AbbVie02no" w:date="2025-05-15T14:22:00Z"/>
          <w:sz w:val="22"/>
          <w:szCs w:val="22"/>
        </w:rPr>
      </w:pPr>
      <w:del w:id="16870" w:author="AbbVie02no" w:date="2025-05-15T14:22:00Z">
        <w:r w:rsidRPr="009C5EFD">
          <w:rPr>
            <w:sz w:val="22"/>
            <w:szCs w:val="22"/>
          </w:rPr>
          <w:delText xml:space="preserve">Ikke injisér på et sted hvor huden er rødlig, </w:delText>
        </w:r>
        <w:r w:rsidR="001C6C1E" w:rsidRPr="009C5EFD">
          <w:rPr>
            <w:sz w:val="22"/>
            <w:szCs w:val="22"/>
          </w:rPr>
          <w:delText>har blåmerker</w:delText>
        </w:r>
        <w:r w:rsidRPr="009C5EFD">
          <w:rPr>
            <w:sz w:val="22"/>
            <w:szCs w:val="22"/>
          </w:rPr>
          <w:delText xml:space="preserve"> eller </w:delText>
        </w:r>
        <w:r w:rsidR="001C6C1E" w:rsidRPr="009C5EFD">
          <w:rPr>
            <w:sz w:val="22"/>
            <w:szCs w:val="22"/>
          </w:rPr>
          <w:delText xml:space="preserve">er </w:delText>
        </w:r>
        <w:r w:rsidRPr="009C5EFD">
          <w:rPr>
            <w:sz w:val="22"/>
            <w:szCs w:val="22"/>
          </w:rPr>
          <w:delText>hard - dette kan være tegn på en infeksjon.</w:delText>
        </w:r>
      </w:del>
    </w:p>
    <w:p w14:paraId="5C1DAE07" w14:textId="55F3D8D5" w:rsidR="00DE3458" w:rsidRPr="009C5EFD" w:rsidRDefault="00DE3458" w:rsidP="009C5EFD">
      <w:pPr>
        <w:suppressAutoHyphens/>
        <w:rPr>
          <w:del w:id="16871" w:author="AbbVie02no" w:date="2025-05-15T14:22:00Z"/>
          <w:sz w:val="22"/>
          <w:szCs w:val="22"/>
        </w:rPr>
      </w:pPr>
    </w:p>
    <w:p w14:paraId="79AA1722" w14:textId="4B71F448" w:rsidR="00DE3458" w:rsidRPr="009C5EFD" w:rsidRDefault="00E453CD" w:rsidP="00AF70AD">
      <w:pPr>
        <w:keepNext/>
        <w:suppressAutoHyphens/>
        <w:rPr>
          <w:del w:id="16872" w:author="AbbVie02no" w:date="2025-05-15T14:22:00Z"/>
          <w:b/>
          <w:sz w:val="22"/>
          <w:szCs w:val="22"/>
        </w:rPr>
      </w:pPr>
      <w:del w:id="16873" w:author="AbbVie02no" w:date="2025-05-15T14:22:00Z">
        <w:r w:rsidRPr="009C5EFD">
          <w:rPr>
            <w:b/>
            <w:sz w:val="22"/>
            <w:szCs w:val="22"/>
          </w:rPr>
          <w:delText>Hvordan skal jeg sette injeksjonen min?</w:delText>
        </w:r>
      </w:del>
    </w:p>
    <w:p w14:paraId="0D467654" w14:textId="6DB54AC4" w:rsidR="00DE3458" w:rsidRPr="009C5EFD" w:rsidRDefault="00DE3458" w:rsidP="00AF70AD">
      <w:pPr>
        <w:keepNext/>
        <w:suppressAutoHyphens/>
        <w:rPr>
          <w:del w:id="16874" w:author="AbbVie02no" w:date="2025-05-15T14:22:00Z"/>
          <w:sz w:val="22"/>
          <w:szCs w:val="22"/>
        </w:rPr>
      </w:pPr>
    </w:p>
    <w:p w14:paraId="63363B79" w14:textId="71BFA51E" w:rsidR="00DE3458" w:rsidRPr="009C5EFD" w:rsidRDefault="00E453CD" w:rsidP="00EE4677">
      <w:pPr>
        <w:numPr>
          <w:ilvl w:val="0"/>
          <w:numId w:val="12"/>
        </w:numPr>
        <w:tabs>
          <w:tab w:val="clear" w:pos="720"/>
          <w:tab w:val="num" w:pos="540"/>
        </w:tabs>
        <w:suppressAutoHyphens/>
        <w:ind w:left="540" w:hanging="540"/>
        <w:rPr>
          <w:del w:id="16875" w:author="AbbVie02no" w:date="2025-05-15T14:22:00Z"/>
          <w:sz w:val="22"/>
          <w:szCs w:val="22"/>
        </w:rPr>
      </w:pPr>
      <w:del w:id="16876" w:author="AbbVie02no" w:date="2025-05-15T14:22:00Z">
        <w:r w:rsidRPr="009C5EFD">
          <w:rPr>
            <w:sz w:val="22"/>
            <w:szCs w:val="22"/>
          </w:rPr>
          <w:delText>Bruk det vedlagte injeksjonstørket og tørk av injeksjonsstedet med ringbevegelser. Ikke berør området igjen før injeksjonen settes.</w:delText>
        </w:r>
      </w:del>
    </w:p>
    <w:p w14:paraId="32946B52" w14:textId="228C7618" w:rsidR="00823DEB" w:rsidRPr="009C5EFD" w:rsidRDefault="00E453CD" w:rsidP="00602A37">
      <w:pPr>
        <w:numPr>
          <w:ilvl w:val="0"/>
          <w:numId w:val="12"/>
        </w:numPr>
        <w:suppressAutoHyphens/>
        <w:ind w:left="547" w:hanging="547"/>
        <w:rPr>
          <w:del w:id="16877" w:author="AbbVie02no" w:date="2025-05-15T14:22:00Z"/>
          <w:sz w:val="22"/>
          <w:szCs w:val="22"/>
        </w:rPr>
      </w:pPr>
      <w:del w:id="16878" w:author="AbbVie02no" w:date="2025-05-15T14:22:00Z">
        <w:r w:rsidRPr="009C5EFD">
          <w:rPr>
            <w:sz w:val="22"/>
            <w:szCs w:val="22"/>
          </w:rPr>
          <w:delText>Fjern både den grå og den plommefarge</w:delText>
        </w:r>
        <w:r w:rsidR="00961A84">
          <w:rPr>
            <w:sz w:val="22"/>
            <w:szCs w:val="22"/>
          </w:rPr>
          <w:delText>d</w:delText>
        </w:r>
        <w:r w:rsidRPr="009C5EFD">
          <w:rPr>
            <w:sz w:val="22"/>
            <w:szCs w:val="22"/>
          </w:rPr>
          <w:delText xml:space="preserve">e hetten først </w:delText>
        </w:r>
        <w:r w:rsidRPr="009C5EFD">
          <w:rPr>
            <w:b/>
            <w:sz w:val="22"/>
            <w:szCs w:val="22"/>
          </w:rPr>
          <w:delText>umiddelbart</w:delText>
        </w:r>
        <w:r w:rsidRPr="009C5EFD">
          <w:rPr>
            <w:sz w:val="22"/>
            <w:szCs w:val="22"/>
          </w:rPr>
          <w:delText xml:space="preserve"> før injeksjon. Hold pennen med en hånd. Plasser hånden på midten av pennen slik at verken den grå hetten (1) eller den plommefarge</w:delText>
        </w:r>
        <w:r w:rsidR="00961A84">
          <w:rPr>
            <w:sz w:val="22"/>
            <w:szCs w:val="22"/>
          </w:rPr>
          <w:delText>d</w:delText>
        </w:r>
        <w:r w:rsidRPr="009C5EFD">
          <w:rPr>
            <w:sz w:val="22"/>
            <w:szCs w:val="22"/>
          </w:rPr>
          <w:delText>e hetten dekkes (2). Hold pennen slik at den grå hetten (1) peker oppover. Trekk den grå hetten (1) rett ut med den andre hånden</w:delText>
        </w:r>
        <w:r w:rsidR="000C3E34">
          <w:rPr>
            <w:sz w:val="22"/>
            <w:szCs w:val="22"/>
          </w:rPr>
          <w:delText>,</w:delText>
        </w:r>
        <w:r w:rsidR="000C3E34" w:rsidRPr="000C3E34">
          <w:delText xml:space="preserve"> </w:delText>
        </w:r>
        <w:r w:rsidR="000C3E34">
          <w:rPr>
            <w:sz w:val="22"/>
            <w:szCs w:val="22"/>
          </w:rPr>
          <w:delText>sjekk</w:delText>
        </w:r>
        <w:r w:rsidRPr="009C5EFD">
          <w:rPr>
            <w:sz w:val="22"/>
            <w:szCs w:val="22"/>
          </w:rPr>
          <w:delText xml:space="preserve"> at kanylens lille </w:delText>
        </w:r>
        <w:r w:rsidR="000C3E34">
          <w:rPr>
            <w:sz w:val="22"/>
            <w:szCs w:val="22"/>
          </w:rPr>
          <w:delText>svarte</w:delText>
        </w:r>
        <w:r w:rsidRPr="009C5EFD">
          <w:rPr>
            <w:sz w:val="22"/>
            <w:szCs w:val="22"/>
          </w:rPr>
          <w:delText xml:space="preserve"> </w:delText>
        </w:r>
        <w:r w:rsidR="00834F67" w:rsidRPr="009C5EFD">
          <w:rPr>
            <w:sz w:val="22"/>
            <w:szCs w:val="22"/>
          </w:rPr>
          <w:delText xml:space="preserve">beskyttelseshylse </w:delText>
        </w:r>
        <w:r w:rsidRPr="009C5EFD">
          <w:rPr>
            <w:sz w:val="22"/>
            <w:szCs w:val="22"/>
          </w:rPr>
          <w:delText>er fjernet sammen med hetten</w:delText>
        </w:r>
        <w:r w:rsidR="000C3E34">
          <w:rPr>
            <w:sz w:val="22"/>
            <w:szCs w:val="22"/>
          </w:rPr>
          <w:delText xml:space="preserve">, </w:delText>
        </w:r>
        <w:r w:rsidRPr="009C5EFD">
          <w:rPr>
            <w:sz w:val="22"/>
            <w:szCs w:val="22"/>
          </w:rPr>
          <w:delText xml:space="preserve">og </w:delText>
        </w:r>
        <w:r w:rsidR="000C3E34">
          <w:rPr>
            <w:sz w:val="22"/>
            <w:szCs w:val="22"/>
          </w:rPr>
          <w:delText xml:space="preserve">deretter </w:delText>
        </w:r>
        <w:r w:rsidRPr="009C5EFD">
          <w:rPr>
            <w:sz w:val="22"/>
            <w:szCs w:val="22"/>
          </w:rPr>
          <w:delText xml:space="preserve">kast den. Det er i orden dersom noen få dråper med væske kommer ut av kanylen. Den hvite </w:delText>
        </w:r>
        <w:r w:rsidR="002B55DD" w:rsidRPr="009C5EFD">
          <w:rPr>
            <w:sz w:val="22"/>
            <w:szCs w:val="22"/>
          </w:rPr>
          <w:delText>kanyle</w:delText>
        </w:r>
        <w:r w:rsidR="00834F67" w:rsidRPr="009C5EFD">
          <w:rPr>
            <w:sz w:val="22"/>
            <w:szCs w:val="22"/>
          </w:rPr>
          <w:delText xml:space="preserve">armen </w:delText>
        </w:r>
        <w:r w:rsidRPr="009C5EFD">
          <w:rPr>
            <w:sz w:val="22"/>
            <w:szCs w:val="22"/>
          </w:rPr>
          <w:delText xml:space="preserve">vil </w:delText>
        </w:r>
        <w:r w:rsidR="00834F67" w:rsidRPr="009C5EFD">
          <w:rPr>
            <w:sz w:val="22"/>
            <w:szCs w:val="22"/>
          </w:rPr>
          <w:delText xml:space="preserve">nå </w:delText>
        </w:r>
        <w:r w:rsidRPr="009C5EFD">
          <w:rPr>
            <w:sz w:val="22"/>
            <w:szCs w:val="22"/>
          </w:rPr>
          <w:delText xml:space="preserve">være synlig. Ikke berør kanylen som er i sylinderen. </w:delText>
        </w:r>
        <w:r w:rsidRPr="009C5EFD">
          <w:rPr>
            <w:b/>
            <w:sz w:val="22"/>
            <w:szCs w:val="22"/>
          </w:rPr>
          <w:delText xml:space="preserve">IKKE SETT HETTEN TILBAKE </w:delText>
        </w:r>
        <w:r w:rsidRPr="009C5EFD">
          <w:rPr>
            <w:sz w:val="22"/>
            <w:szCs w:val="22"/>
          </w:rPr>
          <w:delText>fordi du da kan ødelegge kanylen.</w:delText>
        </w:r>
      </w:del>
    </w:p>
    <w:p w14:paraId="02E604E1" w14:textId="019B2FBE" w:rsidR="00174DB6" w:rsidRPr="009C5EFD" w:rsidRDefault="00174DB6" w:rsidP="009C5EFD">
      <w:pPr>
        <w:suppressAutoHyphens/>
        <w:rPr>
          <w:del w:id="16879" w:author="AbbVie02no" w:date="2025-05-15T14:22:00Z"/>
          <w:sz w:val="22"/>
          <w:szCs w:val="22"/>
        </w:rPr>
      </w:pPr>
    </w:p>
    <w:p w14:paraId="4D55E848" w14:textId="02A23D84" w:rsidR="00174DB6" w:rsidRPr="007F67EE" w:rsidRDefault="00E453CD" w:rsidP="009C5EFD">
      <w:pPr>
        <w:suppressAutoHyphens/>
        <w:jc w:val="center"/>
        <w:rPr>
          <w:del w:id="16880" w:author="AbbVie02no" w:date="2025-05-15T14:22:00Z"/>
          <w:sz w:val="22"/>
          <w:szCs w:val="22"/>
        </w:rPr>
      </w:pPr>
      <w:del w:id="16881" w:author="AbbVie02no" w:date="2025-05-15T14:22:00Z">
        <w:r>
          <w:rPr>
            <w:noProof/>
            <w:lang w:val="en-GB" w:eastAsia="en-GB"/>
          </w:rPr>
          <w:drawing>
            <wp:inline distT="0" distB="0" distL="0" distR="0" wp14:anchorId="3726132F" wp14:editId="4ABAB12A">
              <wp:extent cx="2000250" cy="2038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2000250" cy="2038350"/>
                      </a:xfrm>
                      <a:prstGeom prst="rect">
                        <a:avLst/>
                      </a:prstGeom>
                      <a:noFill/>
                      <a:ln>
                        <a:noFill/>
                      </a:ln>
                    </pic:spPr>
                  </pic:pic>
                </a:graphicData>
              </a:graphic>
            </wp:inline>
          </w:drawing>
        </w:r>
      </w:del>
    </w:p>
    <w:p w14:paraId="73BCE301" w14:textId="251EAB79" w:rsidR="00823DEB" w:rsidRPr="00193D76" w:rsidRDefault="00823DEB" w:rsidP="009C5EFD">
      <w:pPr>
        <w:suppressAutoHyphens/>
        <w:rPr>
          <w:del w:id="16882" w:author="AbbVie02no" w:date="2025-05-15T14:22:00Z"/>
          <w:sz w:val="22"/>
          <w:szCs w:val="22"/>
        </w:rPr>
      </w:pPr>
    </w:p>
    <w:p w14:paraId="305D8DD5" w14:textId="4663AEE6" w:rsidR="00DE3458" w:rsidRPr="009C5EFD" w:rsidRDefault="00E453CD" w:rsidP="00EE4677">
      <w:pPr>
        <w:numPr>
          <w:ilvl w:val="0"/>
          <w:numId w:val="12"/>
        </w:numPr>
        <w:tabs>
          <w:tab w:val="clear" w:pos="720"/>
          <w:tab w:val="num" w:pos="540"/>
        </w:tabs>
        <w:suppressAutoHyphens/>
        <w:ind w:left="540" w:hanging="540"/>
        <w:rPr>
          <w:del w:id="16883" w:author="AbbVie02no" w:date="2025-05-15T14:22:00Z"/>
          <w:sz w:val="22"/>
          <w:szCs w:val="22"/>
        </w:rPr>
      </w:pPr>
      <w:del w:id="16884" w:author="AbbVie02no" w:date="2025-05-15T14:22:00Z">
        <w:r w:rsidRPr="002D0790">
          <w:rPr>
            <w:sz w:val="22"/>
            <w:szCs w:val="22"/>
          </w:rPr>
          <w:delText>Trekk den plommefarge</w:delText>
        </w:r>
        <w:r w:rsidR="00961A84">
          <w:rPr>
            <w:sz w:val="22"/>
            <w:szCs w:val="22"/>
          </w:rPr>
          <w:delText>d</w:delText>
        </w:r>
        <w:r w:rsidRPr="002D0790">
          <w:rPr>
            <w:sz w:val="22"/>
            <w:szCs w:val="22"/>
          </w:rPr>
          <w:delText xml:space="preserve">e sikkerhetshetten (merket </w:delText>
        </w:r>
        <w:r w:rsidR="00D57009">
          <w:rPr>
            <w:sz w:val="22"/>
            <w:szCs w:val="22"/>
          </w:rPr>
          <w:delText>«</w:delText>
        </w:r>
        <w:r w:rsidRPr="002D0790">
          <w:rPr>
            <w:sz w:val="22"/>
            <w:szCs w:val="22"/>
          </w:rPr>
          <w:delText>2</w:delText>
        </w:r>
        <w:r w:rsidR="00D57009">
          <w:rPr>
            <w:sz w:val="22"/>
            <w:szCs w:val="22"/>
          </w:rPr>
          <w:delText>»</w:delText>
        </w:r>
        <w:r w:rsidRPr="002D0790">
          <w:rPr>
            <w:sz w:val="22"/>
            <w:szCs w:val="22"/>
          </w:rPr>
          <w:delText>) rett ut for å avdekke den plommefarge</w:delText>
        </w:r>
        <w:r w:rsidR="00961A84">
          <w:rPr>
            <w:sz w:val="22"/>
            <w:szCs w:val="22"/>
          </w:rPr>
          <w:delText>d</w:delText>
        </w:r>
        <w:r w:rsidRPr="002D0790">
          <w:rPr>
            <w:sz w:val="22"/>
            <w:szCs w:val="22"/>
          </w:rPr>
          <w:delText>e aktiviseringsknappen på toppen. Ikke trykk på aktiviseringsknappen før penn</w:delText>
        </w:r>
        <w:r w:rsidRPr="00C07C98">
          <w:rPr>
            <w:sz w:val="22"/>
            <w:szCs w:val="22"/>
          </w:rPr>
          <w:delText xml:space="preserve">en er ordentlig plassert mot huden for å unngå at legemidlet sprutes ut av pennen. </w:delText>
        </w:r>
        <w:r w:rsidRPr="00E14E58">
          <w:rPr>
            <w:b/>
            <w:sz w:val="22"/>
            <w:szCs w:val="22"/>
          </w:rPr>
          <w:delText>IKKE SETT HETTEN TILBAKE da det kan forårsake utladning av legemidlet.</w:delText>
        </w:r>
      </w:del>
    </w:p>
    <w:p w14:paraId="1016F096" w14:textId="79398A8A" w:rsidR="00DE3458" w:rsidRPr="009C5EFD" w:rsidRDefault="00DE3458" w:rsidP="009C5EFD">
      <w:pPr>
        <w:suppressAutoHyphens/>
        <w:rPr>
          <w:del w:id="16885" w:author="AbbVie02no" w:date="2025-05-15T14:22:00Z"/>
          <w:b/>
          <w:sz w:val="22"/>
          <w:szCs w:val="22"/>
        </w:rPr>
      </w:pPr>
    </w:p>
    <w:p w14:paraId="5B18538D" w14:textId="11DDCB96" w:rsidR="00DE3458" w:rsidRPr="009C5EFD" w:rsidRDefault="00E453CD" w:rsidP="009C5EFD">
      <w:pPr>
        <w:pStyle w:val="Heading3"/>
        <w:keepNext w:val="0"/>
        <w:suppressAutoHyphens/>
        <w:rPr>
          <w:del w:id="16886" w:author="AbbVie02no" w:date="2025-05-15T14:22:00Z"/>
          <w:b w:val="0"/>
          <w:szCs w:val="22"/>
          <w:lang w:val="nb-NO"/>
        </w:rPr>
      </w:pPr>
      <w:del w:id="16887" w:author="AbbVie02no" w:date="2025-05-15T14:22:00Z">
        <w:r w:rsidRPr="009C5EFD">
          <w:rPr>
            <w:szCs w:val="22"/>
            <w:lang w:val="nb-NO"/>
          </w:rPr>
          <w:delText>Å sette injeksjonen</w:delText>
        </w:r>
      </w:del>
    </w:p>
    <w:p w14:paraId="4F4A36BE" w14:textId="04D7F118" w:rsidR="00DE3458" w:rsidRPr="009C5EFD" w:rsidRDefault="00DE3458" w:rsidP="009C5EFD">
      <w:pPr>
        <w:suppressAutoHyphens/>
        <w:rPr>
          <w:del w:id="16888" w:author="AbbVie02no" w:date="2025-05-15T14:22:00Z"/>
          <w:sz w:val="22"/>
          <w:szCs w:val="22"/>
        </w:rPr>
      </w:pPr>
    </w:p>
    <w:p w14:paraId="6D22EDCA" w14:textId="3C82D276" w:rsidR="00DE3458" w:rsidRPr="009C5EFD" w:rsidRDefault="00E453CD" w:rsidP="00EE4677">
      <w:pPr>
        <w:numPr>
          <w:ilvl w:val="0"/>
          <w:numId w:val="13"/>
        </w:numPr>
        <w:tabs>
          <w:tab w:val="clear" w:pos="720"/>
          <w:tab w:val="num" w:pos="540"/>
        </w:tabs>
        <w:suppressAutoHyphens/>
        <w:ind w:left="540" w:hanging="540"/>
        <w:rPr>
          <w:del w:id="16889" w:author="AbbVie02no" w:date="2025-05-15T14:22:00Z"/>
          <w:sz w:val="22"/>
          <w:szCs w:val="22"/>
        </w:rPr>
      </w:pPr>
      <w:del w:id="16890" w:author="AbbVie02no" w:date="2025-05-15T14:22:00Z">
        <w:r w:rsidRPr="009C5EFD">
          <w:rPr>
            <w:sz w:val="22"/>
            <w:szCs w:val="22"/>
          </w:rPr>
          <w:delText xml:space="preserve">Ta forsiktig tak i den rengjorte huden på injeksjonsstedet med den </w:delText>
        </w:r>
        <w:r w:rsidR="00C21925" w:rsidRPr="009C5EFD">
          <w:rPr>
            <w:sz w:val="22"/>
            <w:szCs w:val="22"/>
          </w:rPr>
          <w:delText>frie</w:delText>
        </w:r>
        <w:r w:rsidRPr="009C5EFD">
          <w:rPr>
            <w:sz w:val="22"/>
            <w:szCs w:val="22"/>
          </w:rPr>
          <w:delText xml:space="preserve"> hånden og hold fast (se illustrasjon).</w:delText>
        </w:r>
      </w:del>
    </w:p>
    <w:p w14:paraId="70094542" w14:textId="43BFF4F6" w:rsidR="00DE3458" w:rsidRPr="009C5EFD" w:rsidRDefault="00E453CD" w:rsidP="00EE4677">
      <w:pPr>
        <w:numPr>
          <w:ilvl w:val="0"/>
          <w:numId w:val="13"/>
        </w:numPr>
        <w:tabs>
          <w:tab w:val="clear" w:pos="720"/>
          <w:tab w:val="num" w:pos="540"/>
        </w:tabs>
        <w:suppressAutoHyphens/>
        <w:ind w:left="540" w:hanging="540"/>
        <w:rPr>
          <w:del w:id="16891" w:author="AbbVie02no" w:date="2025-05-15T14:22:00Z"/>
          <w:sz w:val="22"/>
          <w:szCs w:val="22"/>
        </w:rPr>
      </w:pPr>
      <w:del w:id="16892" w:author="AbbVie02no" w:date="2025-05-15T14:22:00Z">
        <w:r w:rsidRPr="009C5EFD">
          <w:rPr>
            <w:sz w:val="22"/>
            <w:szCs w:val="22"/>
          </w:rPr>
          <w:delText>Plasser den hvite enden av pennen med en rett vinkel (90 grader) mot huden slik at du kan se vinduet. En eller flere bobler i vinduet er normalt.</w:delText>
        </w:r>
      </w:del>
    </w:p>
    <w:p w14:paraId="2EB2DDF4" w14:textId="4FF58247" w:rsidR="00DE3458" w:rsidRPr="009C5EFD" w:rsidRDefault="00E453CD" w:rsidP="00EE4677">
      <w:pPr>
        <w:numPr>
          <w:ilvl w:val="0"/>
          <w:numId w:val="13"/>
        </w:numPr>
        <w:tabs>
          <w:tab w:val="clear" w:pos="720"/>
          <w:tab w:val="num" w:pos="540"/>
        </w:tabs>
        <w:suppressAutoHyphens/>
        <w:ind w:left="540" w:hanging="540"/>
        <w:rPr>
          <w:del w:id="16893" w:author="AbbVie02no" w:date="2025-05-15T14:22:00Z"/>
          <w:sz w:val="22"/>
          <w:szCs w:val="22"/>
        </w:rPr>
      </w:pPr>
      <w:del w:id="16894" w:author="AbbVie02no" w:date="2025-05-15T14:22:00Z">
        <w:r w:rsidRPr="009C5EFD">
          <w:rPr>
            <w:sz w:val="22"/>
            <w:szCs w:val="22"/>
          </w:rPr>
          <w:delText>Press sakte mot injeksjonsstedet (hold på plass uten å bevege) mens du holder sylinderen til pennen.</w:delText>
        </w:r>
      </w:del>
    </w:p>
    <w:p w14:paraId="1EF99F8D" w14:textId="6814E206" w:rsidR="00DE3458" w:rsidRPr="009C5EFD" w:rsidRDefault="00E453CD" w:rsidP="00EE4677">
      <w:pPr>
        <w:numPr>
          <w:ilvl w:val="0"/>
          <w:numId w:val="13"/>
        </w:numPr>
        <w:tabs>
          <w:tab w:val="clear" w:pos="720"/>
          <w:tab w:val="num" w:pos="540"/>
        </w:tabs>
        <w:suppressAutoHyphens/>
        <w:ind w:left="540" w:hanging="540"/>
        <w:rPr>
          <w:del w:id="16895" w:author="AbbVie02no" w:date="2025-05-15T14:22:00Z"/>
          <w:sz w:val="22"/>
          <w:szCs w:val="22"/>
        </w:rPr>
      </w:pPr>
      <w:del w:id="16896" w:author="AbbVie02no" w:date="2025-05-15T14:22:00Z">
        <w:r w:rsidRPr="009C5EFD">
          <w:rPr>
            <w:sz w:val="22"/>
            <w:szCs w:val="22"/>
          </w:rPr>
          <w:delText xml:space="preserve">Når du er klar for å starte injeksjonen presser du den plommefargede knappen på toppen med pekefinger eller tommel (se nedenfor). Du vil da høre ett høyt </w:delText>
        </w:r>
        <w:r w:rsidR="00D57009">
          <w:rPr>
            <w:sz w:val="22"/>
            <w:szCs w:val="22"/>
          </w:rPr>
          <w:delText>«</w:delText>
        </w:r>
        <w:r w:rsidRPr="009C5EFD">
          <w:rPr>
            <w:sz w:val="22"/>
            <w:szCs w:val="22"/>
          </w:rPr>
          <w:delText>klikk</w:delText>
        </w:r>
        <w:r w:rsidR="00D57009">
          <w:rPr>
            <w:sz w:val="22"/>
            <w:szCs w:val="22"/>
          </w:rPr>
          <w:delText>»</w:delText>
        </w:r>
        <w:r w:rsidRPr="009C5EFD">
          <w:rPr>
            <w:sz w:val="22"/>
            <w:szCs w:val="22"/>
          </w:rPr>
          <w:delText xml:space="preserve"> når kanylen utløses, og du vil føle et lite stikk når den går gjennom huden.</w:delText>
        </w:r>
      </w:del>
    </w:p>
    <w:p w14:paraId="696AA9C1" w14:textId="2AE69C06" w:rsidR="00DE3458" w:rsidRPr="009C5EFD" w:rsidRDefault="00E453CD" w:rsidP="00EE4677">
      <w:pPr>
        <w:numPr>
          <w:ilvl w:val="0"/>
          <w:numId w:val="13"/>
        </w:numPr>
        <w:tabs>
          <w:tab w:val="clear" w:pos="720"/>
          <w:tab w:val="num" w:pos="540"/>
        </w:tabs>
        <w:suppressAutoHyphens/>
        <w:ind w:left="540" w:hanging="540"/>
        <w:rPr>
          <w:del w:id="16897" w:author="AbbVie02no" w:date="2025-05-15T14:22:00Z"/>
          <w:sz w:val="22"/>
          <w:szCs w:val="22"/>
        </w:rPr>
      </w:pPr>
      <w:del w:id="16898" w:author="AbbVie02no" w:date="2025-05-15T14:22:00Z">
        <w:r w:rsidRPr="009C5EFD">
          <w:rPr>
            <w:sz w:val="22"/>
            <w:szCs w:val="22"/>
          </w:rPr>
          <w:delText xml:space="preserve">Fortsett å holde pennen på plass med et jevnt trykk i </w:delText>
        </w:r>
        <w:r w:rsidRPr="009C5EFD">
          <w:rPr>
            <w:b/>
            <w:sz w:val="22"/>
            <w:szCs w:val="22"/>
          </w:rPr>
          <w:delText>10 sekunder for å sikre en fullstendig injeksjon</w:delText>
        </w:r>
        <w:r w:rsidRPr="009C5EFD">
          <w:rPr>
            <w:sz w:val="22"/>
            <w:szCs w:val="22"/>
          </w:rPr>
          <w:delText>. Ikke fjern pennen mens injeksjonen gis.</w:delText>
        </w:r>
      </w:del>
    </w:p>
    <w:p w14:paraId="3BFF4088" w14:textId="49A9DCF3" w:rsidR="00DE3458" w:rsidRPr="009C5EFD" w:rsidRDefault="00E453CD" w:rsidP="009C5EFD">
      <w:pPr>
        <w:suppressAutoHyphens/>
        <w:jc w:val="center"/>
        <w:rPr>
          <w:del w:id="16899" w:author="AbbVie02no" w:date="2025-05-15T14:22:00Z"/>
          <w:sz w:val="22"/>
          <w:szCs w:val="22"/>
        </w:rPr>
      </w:pPr>
      <w:del w:id="16900" w:author="AbbVie02no" w:date="2025-05-15T14:22:00Z">
        <w:r w:rsidRPr="009C5EFD">
          <w:rPr>
            <w:sz w:val="22"/>
            <w:szCs w:val="22"/>
          </w:rPr>
          <w:delText xml:space="preserve">  </w:delText>
        </w:r>
        <w:r w:rsidRPr="009C5EFD">
          <w:rPr>
            <w:sz w:val="22"/>
            <w:szCs w:val="22"/>
          </w:rPr>
          <w:tab/>
          <w:delText xml:space="preserve"> </w:delText>
        </w:r>
      </w:del>
    </w:p>
    <w:tbl>
      <w:tblPr>
        <w:tblW w:w="0" w:type="auto"/>
        <w:jc w:val="center"/>
        <w:tblLook w:val="01E0" w:firstRow="1" w:lastRow="1" w:firstColumn="1" w:lastColumn="1" w:noHBand="0" w:noVBand="0"/>
      </w:tblPr>
      <w:tblGrid>
        <w:gridCol w:w="4544"/>
        <w:gridCol w:w="4521"/>
      </w:tblGrid>
      <w:tr w:rsidR="004644D4" w14:paraId="68ADECC3" w14:textId="4A3BC50D" w:rsidTr="00564643">
        <w:trPr>
          <w:jc w:val="center"/>
          <w:del w:id="16901" w:author="AbbVie02no" w:date="2025-05-15T14:22:00Z"/>
        </w:trPr>
        <w:tc>
          <w:tcPr>
            <w:tcW w:w="4640" w:type="dxa"/>
          </w:tcPr>
          <w:p w14:paraId="4A5B7F11" w14:textId="7DB8036A" w:rsidR="00174DB6" w:rsidRPr="00692DC9" w:rsidRDefault="00E453CD" w:rsidP="009C5EFD">
            <w:pPr>
              <w:ind w:left="1440" w:hanging="240"/>
              <w:jc w:val="center"/>
              <w:rPr>
                <w:del w:id="16902" w:author="AbbVie02no" w:date="2025-05-15T14:22:00Z"/>
                <w:rPrChange w:id="16903" w:author="AbbVie05no" w:date="2025-05-19T11:03:00Z">
                  <w:rPr>
                    <w:del w:id="16904" w:author="AbbVie02no" w:date="2025-05-15T14:22:00Z"/>
                    <w:lang w:val="en-GB"/>
                  </w:rPr>
                </w:rPrChange>
              </w:rPr>
            </w:pPr>
            <w:del w:id="16905" w:author="AbbVie02no" w:date="2025-05-15T14:22:00Z">
              <w:r>
                <w:rPr>
                  <w:noProof/>
                  <w:lang w:val="en-GB" w:eastAsia="en-GB"/>
                </w:rPr>
                <w:lastRenderedPageBreak/>
                <w:drawing>
                  <wp:inline distT="0" distB="0" distL="0" distR="0" wp14:anchorId="772B6FD9" wp14:editId="586EBEA2">
                    <wp:extent cx="1743075" cy="16764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1743075" cy="1676400"/>
                            </a:xfrm>
                            <a:prstGeom prst="rect">
                              <a:avLst/>
                            </a:prstGeom>
                            <a:noFill/>
                            <a:ln>
                              <a:noFill/>
                            </a:ln>
                          </pic:spPr>
                        </pic:pic>
                      </a:graphicData>
                    </a:graphic>
                  </wp:inline>
                </w:drawing>
              </w:r>
            </w:del>
          </w:p>
        </w:tc>
        <w:tc>
          <w:tcPr>
            <w:tcW w:w="4641" w:type="dxa"/>
          </w:tcPr>
          <w:p w14:paraId="33268AF7" w14:textId="32859898" w:rsidR="00174DB6" w:rsidRPr="00692DC9" w:rsidRDefault="00E453CD" w:rsidP="009C5EFD">
            <w:pPr>
              <w:ind w:left="1440" w:hanging="240"/>
              <w:jc w:val="center"/>
              <w:rPr>
                <w:del w:id="16906" w:author="AbbVie02no" w:date="2025-05-15T14:22:00Z"/>
                <w:rPrChange w:id="16907" w:author="AbbVie05no" w:date="2025-05-19T11:03:00Z">
                  <w:rPr>
                    <w:del w:id="16908" w:author="AbbVie02no" w:date="2025-05-15T14:22:00Z"/>
                    <w:lang w:val="en-GB"/>
                  </w:rPr>
                </w:rPrChange>
              </w:rPr>
            </w:pPr>
            <w:del w:id="16909" w:author="AbbVie02no" w:date="2025-05-15T14:22:00Z">
              <w:r>
                <w:rPr>
                  <w:noProof/>
                  <w:lang w:val="en-GB" w:eastAsia="en-GB"/>
                </w:rPr>
                <w:drawing>
                  <wp:inline distT="0" distB="0" distL="0" distR="0" wp14:anchorId="2B942EC9" wp14:editId="6ED39801">
                    <wp:extent cx="1666875" cy="16573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666875" cy="1657350"/>
                            </a:xfrm>
                            <a:prstGeom prst="rect">
                              <a:avLst/>
                            </a:prstGeom>
                            <a:noFill/>
                            <a:ln>
                              <a:noFill/>
                            </a:ln>
                          </pic:spPr>
                        </pic:pic>
                      </a:graphicData>
                    </a:graphic>
                  </wp:inline>
                </w:drawing>
              </w:r>
            </w:del>
          </w:p>
        </w:tc>
      </w:tr>
    </w:tbl>
    <w:p w14:paraId="7360D62B" w14:textId="720368A6" w:rsidR="00174DB6" w:rsidRPr="009C5EFD" w:rsidRDefault="00174DB6" w:rsidP="007F67EE">
      <w:pPr>
        <w:suppressAutoHyphens/>
        <w:rPr>
          <w:del w:id="16910" w:author="AbbVie02no" w:date="2025-05-15T14:22:00Z"/>
          <w:sz w:val="22"/>
          <w:szCs w:val="22"/>
        </w:rPr>
      </w:pPr>
    </w:p>
    <w:p w14:paraId="65052DF3" w14:textId="65CEB160" w:rsidR="00DE3458" w:rsidRPr="009C5EFD" w:rsidRDefault="00E453CD" w:rsidP="00EE4677">
      <w:pPr>
        <w:numPr>
          <w:ilvl w:val="0"/>
          <w:numId w:val="13"/>
        </w:numPr>
        <w:tabs>
          <w:tab w:val="clear" w:pos="720"/>
          <w:tab w:val="num" w:pos="540"/>
        </w:tabs>
        <w:suppressAutoHyphens/>
        <w:ind w:left="540" w:hanging="540"/>
        <w:rPr>
          <w:del w:id="16911" w:author="AbbVie02no" w:date="2025-05-15T14:22:00Z"/>
          <w:sz w:val="22"/>
          <w:szCs w:val="22"/>
        </w:rPr>
      </w:pPr>
      <w:del w:id="16912" w:author="AbbVie02no" w:date="2025-05-15T14:22:00Z">
        <w:r w:rsidRPr="009C5EFD">
          <w:rPr>
            <w:sz w:val="22"/>
            <w:szCs w:val="22"/>
          </w:rPr>
          <w:delText>Du vil se en gul indikator komme i vinduet under injeksjonen. Injeksjonen er fullstendig når den gule indikatoren slutter å bevege seg.</w:delText>
        </w:r>
        <w:r w:rsidR="00876B70" w:rsidRPr="009C5EFD">
          <w:rPr>
            <w:sz w:val="22"/>
            <w:szCs w:val="22"/>
          </w:rPr>
          <w:delText xml:space="preserve"> Den gule indikatoren </w:delText>
        </w:r>
        <w:r w:rsidR="00CC3451" w:rsidRPr="009C5EFD">
          <w:rPr>
            <w:sz w:val="22"/>
            <w:szCs w:val="22"/>
          </w:rPr>
          <w:delText xml:space="preserve">er </w:delText>
        </w:r>
        <w:r w:rsidR="00876B70" w:rsidRPr="009C5EFD">
          <w:rPr>
            <w:sz w:val="22"/>
            <w:szCs w:val="22"/>
          </w:rPr>
          <w:delText>en del av den ferdigefylte pennen</w:delText>
        </w:r>
        <w:r w:rsidR="003B0792" w:rsidRPr="009C5EFD">
          <w:rPr>
            <w:sz w:val="22"/>
            <w:szCs w:val="22"/>
          </w:rPr>
          <w:delText>s sprøytestempel</w:delText>
        </w:r>
        <w:r w:rsidR="00876B70" w:rsidRPr="009C5EFD">
          <w:rPr>
            <w:sz w:val="22"/>
            <w:szCs w:val="22"/>
          </w:rPr>
          <w:delText xml:space="preserve">. </w:delText>
        </w:r>
        <w:r w:rsidR="003B0792" w:rsidRPr="009C5EFD">
          <w:rPr>
            <w:sz w:val="22"/>
            <w:szCs w:val="22"/>
          </w:rPr>
          <w:delText>Der</w:delText>
        </w:r>
        <w:r w:rsidR="00CC3451" w:rsidRPr="009C5EFD">
          <w:rPr>
            <w:sz w:val="22"/>
            <w:szCs w:val="22"/>
          </w:rPr>
          <w:delText>s</w:delText>
        </w:r>
        <w:r w:rsidR="003B0792" w:rsidRPr="009C5EFD">
          <w:rPr>
            <w:sz w:val="22"/>
            <w:szCs w:val="22"/>
          </w:rPr>
          <w:delText>om den g</w:delText>
        </w:r>
        <w:r w:rsidR="00876B70" w:rsidRPr="009C5EFD">
          <w:rPr>
            <w:sz w:val="22"/>
            <w:szCs w:val="22"/>
          </w:rPr>
          <w:delText>ule</w:delText>
        </w:r>
        <w:r w:rsidR="003B0792" w:rsidRPr="009C5EFD">
          <w:rPr>
            <w:sz w:val="22"/>
            <w:szCs w:val="22"/>
          </w:rPr>
          <w:delText xml:space="preserve"> </w:delText>
        </w:r>
        <w:r w:rsidR="00876B70" w:rsidRPr="009C5EFD">
          <w:rPr>
            <w:sz w:val="22"/>
            <w:szCs w:val="22"/>
          </w:rPr>
          <w:delText xml:space="preserve">indikatoren ikke </w:delText>
        </w:r>
        <w:r w:rsidR="003B0792" w:rsidRPr="009C5EFD">
          <w:rPr>
            <w:sz w:val="22"/>
            <w:szCs w:val="22"/>
          </w:rPr>
          <w:delText xml:space="preserve">er synlig </w:delText>
        </w:r>
        <w:r w:rsidR="00876B70" w:rsidRPr="009C5EFD">
          <w:rPr>
            <w:sz w:val="22"/>
            <w:szCs w:val="22"/>
          </w:rPr>
          <w:delText>i v</w:delText>
        </w:r>
        <w:r w:rsidR="003B0792" w:rsidRPr="009C5EFD">
          <w:rPr>
            <w:sz w:val="22"/>
            <w:szCs w:val="22"/>
          </w:rPr>
          <w:delText>i</w:delText>
        </w:r>
        <w:r w:rsidR="00876B70" w:rsidRPr="009C5EFD">
          <w:rPr>
            <w:sz w:val="22"/>
            <w:szCs w:val="22"/>
          </w:rPr>
          <w:delText>nduet har</w:delText>
        </w:r>
        <w:r w:rsidR="003B0792" w:rsidRPr="009C5EFD">
          <w:rPr>
            <w:sz w:val="22"/>
            <w:szCs w:val="22"/>
          </w:rPr>
          <w:delText xml:space="preserve"> ikke sprøyte</w:delText>
        </w:r>
        <w:r w:rsidR="00876B70" w:rsidRPr="009C5EFD">
          <w:rPr>
            <w:sz w:val="22"/>
            <w:szCs w:val="22"/>
          </w:rPr>
          <w:delText>stemp</w:delText>
        </w:r>
        <w:r w:rsidR="00F42FF9" w:rsidRPr="009C5EFD">
          <w:rPr>
            <w:sz w:val="22"/>
            <w:szCs w:val="22"/>
          </w:rPr>
          <w:delText>e</w:delText>
        </w:r>
        <w:r w:rsidR="00876B70" w:rsidRPr="009C5EFD">
          <w:rPr>
            <w:sz w:val="22"/>
            <w:szCs w:val="22"/>
          </w:rPr>
          <w:delText xml:space="preserve">let </w:delText>
        </w:r>
        <w:r w:rsidR="003B0792" w:rsidRPr="009C5EFD">
          <w:rPr>
            <w:sz w:val="22"/>
            <w:szCs w:val="22"/>
          </w:rPr>
          <w:delText xml:space="preserve">flyttet seg </w:delText>
        </w:r>
        <w:r w:rsidR="00876B70" w:rsidRPr="009C5EFD">
          <w:rPr>
            <w:sz w:val="22"/>
            <w:szCs w:val="22"/>
          </w:rPr>
          <w:delText>tilstrekkelig, og injeksjonen er ikke fullstendig.</w:delText>
        </w:r>
      </w:del>
    </w:p>
    <w:p w14:paraId="12C0A6B6" w14:textId="2DE38D7F" w:rsidR="00DE3458" w:rsidRPr="009C5EFD" w:rsidRDefault="00E453CD" w:rsidP="00EE4677">
      <w:pPr>
        <w:numPr>
          <w:ilvl w:val="0"/>
          <w:numId w:val="13"/>
        </w:numPr>
        <w:tabs>
          <w:tab w:val="clear" w:pos="720"/>
          <w:tab w:val="num" w:pos="540"/>
        </w:tabs>
        <w:suppressAutoHyphens/>
        <w:ind w:left="540" w:hanging="540"/>
        <w:rPr>
          <w:del w:id="16913" w:author="AbbVie02no" w:date="2025-05-15T14:22:00Z"/>
          <w:sz w:val="22"/>
          <w:szCs w:val="22"/>
        </w:rPr>
      </w:pPr>
      <w:del w:id="16914" w:author="AbbVie02no" w:date="2025-05-15T14:22:00Z">
        <w:r w:rsidRPr="009C5EFD">
          <w:rPr>
            <w:sz w:val="22"/>
            <w:szCs w:val="22"/>
          </w:rPr>
          <w:delText xml:space="preserve">Løft pennen rett ut fra injeksjonsstedet. Den hvite </w:delText>
        </w:r>
        <w:r w:rsidR="002B55DD" w:rsidRPr="009C5EFD">
          <w:rPr>
            <w:sz w:val="22"/>
            <w:szCs w:val="22"/>
          </w:rPr>
          <w:delText xml:space="preserve">kanylearmen </w:delText>
        </w:r>
        <w:r w:rsidR="00313B81" w:rsidRPr="009C5EFD">
          <w:rPr>
            <w:sz w:val="22"/>
            <w:szCs w:val="22"/>
          </w:rPr>
          <w:delText xml:space="preserve">(sylinderen) </w:delText>
        </w:r>
        <w:r w:rsidRPr="009C5EFD">
          <w:rPr>
            <w:sz w:val="22"/>
            <w:szCs w:val="22"/>
          </w:rPr>
          <w:delText xml:space="preserve">vil bevege seg ned over kanylen og skjule den. Ikke prøv å røre </w:delText>
        </w:r>
        <w:r w:rsidR="008138BF">
          <w:rPr>
            <w:sz w:val="22"/>
            <w:szCs w:val="22"/>
          </w:rPr>
          <w:delText>kanyl</w:delText>
        </w:r>
        <w:r w:rsidRPr="009C5EFD">
          <w:rPr>
            <w:sz w:val="22"/>
            <w:szCs w:val="22"/>
          </w:rPr>
          <w:delText xml:space="preserve">espissen (kanylen). Den hvite </w:delText>
        </w:r>
        <w:r w:rsidR="00B945DC" w:rsidRPr="009C5EFD">
          <w:rPr>
            <w:sz w:val="22"/>
            <w:szCs w:val="22"/>
          </w:rPr>
          <w:delText>kanyle</w:delText>
        </w:r>
        <w:r w:rsidRPr="009C5EFD">
          <w:rPr>
            <w:sz w:val="22"/>
            <w:szCs w:val="22"/>
          </w:rPr>
          <w:delText xml:space="preserve">beskytteren er der for å beskytte deg mot å berøre </w:delText>
        </w:r>
        <w:r w:rsidR="008138BF">
          <w:rPr>
            <w:sz w:val="22"/>
            <w:szCs w:val="22"/>
          </w:rPr>
          <w:delText>kanyl</w:delText>
        </w:r>
        <w:r w:rsidRPr="009C5EFD">
          <w:rPr>
            <w:sz w:val="22"/>
            <w:szCs w:val="22"/>
          </w:rPr>
          <w:delText>en.</w:delText>
        </w:r>
      </w:del>
    </w:p>
    <w:p w14:paraId="03C84905" w14:textId="0DB7FD02" w:rsidR="00DE3458" w:rsidRPr="009C5EFD" w:rsidRDefault="00DE3458" w:rsidP="00C07C98">
      <w:pPr>
        <w:suppressAutoHyphens/>
        <w:rPr>
          <w:del w:id="16915" w:author="AbbVie02no" w:date="2025-05-15T14:22:00Z"/>
          <w:sz w:val="22"/>
          <w:szCs w:val="22"/>
        </w:rPr>
      </w:pPr>
    </w:p>
    <w:tbl>
      <w:tblPr>
        <w:tblW w:w="9287" w:type="dxa"/>
        <w:jc w:val="center"/>
        <w:tblLook w:val="01E0" w:firstRow="1" w:lastRow="1" w:firstColumn="1" w:lastColumn="1" w:noHBand="0" w:noVBand="0"/>
      </w:tblPr>
      <w:tblGrid>
        <w:gridCol w:w="2840"/>
        <w:gridCol w:w="1803"/>
        <w:gridCol w:w="2780"/>
        <w:gridCol w:w="1864"/>
      </w:tblGrid>
      <w:tr w:rsidR="004644D4" w14:paraId="7A1DD7E5" w14:textId="20F337B9" w:rsidTr="005A1DEF">
        <w:trPr>
          <w:jc w:val="center"/>
          <w:del w:id="16916" w:author="AbbVie02no" w:date="2025-05-15T14:22:00Z"/>
        </w:trPr>
        <w:tc>
          <w:tcPr>
            <w:tcW w:w="2840" w:type="dxa"/>
          </w:tcPr>
          <w:p w14:paraId="35A6016F" w14:textId="74BFFBDF" w:rsidR="00A40013" w:rsidRPr="00692DC9" w:rsidRDefault="00E453CD" w:rsidP="005A1DEF">
            <w:pPr>
              <w:pStyle w:val="EMEANormal"/>
              <w:rPr>
                <w:del w:id="16917" w:author="AbbVie02no" w:date="2025-05-15T14:22:00Z"/>
                <w:lang w:val="nb-NO"/>
                <w:rPrChange w:id="16918" w:author="AbbVie05no" w:date="2025-05-19T11:03:00Z">
                  <w:rPr>
                    <w:del w:id="16919" w:author="AbbVie02no" w:date="2025-05-15T14:22:00Z"/>
                    <w:lang w:val="en-GB"/>
                  </w:rPr>
                </w:rPrChange>
              </w:rPr>
            </w:pPr>
            <w:del w:id="16920" w:author="AbbVie02no" w:date="2025-05-15T14:22:00Z">
              <w:r>
                <w:rPr>
                  <w:noProof/>
                  <w:lang w:val="en-GB" w:eastAsia="en-GB"/>
                </w:rPr>
                <w:drawing>
                  <wp:inline distT="0" distB="0" distL="0" distR="0" wp14:anchorId="467B470A" wp14:editId="02611B09">
                    <wp:extent cx="1662430" cy="16624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662430" cy="1662430"/>
                            </a:xfrm>
                            <a:prstGeom prst="rect">
                              <a:avLst/>
                            </a:prstGeom>
                            <a:noFill/>
                            <a:ln>
                              <a:noFill/>
                            </a:ln>
                          </pic:spPr>
                        </pic:pic>
                      </a:graphicData>
                    </a:graphic>
                  </wp:inline>
                </w:drawing>
              </w:r>
            </w:del>
          </w:p>
        </w:tc>
        <w:tc>
          <w:tcPr>
            <w:tcW w:w="1803" w:type="dxa"/>
          </w:tcPr>
          <w:p w14:paraId="3C91D724" w14:textId="042E8CE1" w:rsidR="00A40013" w:rsidRPr="00692DC9" w:rsidRDefault="00A40013" w:rsidP="005A1DEF">
            <w:pPr>
              <w:pStyle w:val="EMEANormal"/>
              <w:rPr>
                <w:del w:id="16921" w:author="AbbVie02no" w:date="2025-05-15T14:22:00Z"/>
                <w:lang w:val="nb-NO"/>
                <w:rPrChange w:id="16922" w:author="AbbVie05no" w:date="2025-05-19T11:03:00Z">
                  <w:rPr>
                    <w:del w:id="16923" w:author="AbbVie02no" w:date="2025-05-15T14:22:00Z"/>
                    <w:lang w:val="en-GB"/>
                  </w:rPr>
                </w:rPrChange>
              </w:rPr>
            </w:pPr>
          </w:p>
          <w:p w14:paraId="41F7556C" w14:textId="7B5C7C63" w:rsidR="00A40013" w:rsidRPr="00692DC9" w:rsidRDefault="00E453CD" w:rsidP="005A1DEF">
            <w:pPr>
              <w:pStyle w:val="EMEANormal"/>
              <w:rPr>
                <w:del w:id="16924" w:author="AbbVie02no" w:date="2025-05-15T14:22:00Z"/>
                <w:lang w:val="nb-NO"/>
                <w:rPrChange w:id="16925" w:author="AbbVie05no" w:date="2025-05-19T11:03:00Z">
                  <w:rPr>
                    <w:del w:id="16926" w:author="AbbVie02no" w:date="2025-05-15T14:22:00Z"/>
                    <w:lang w:val="en-GB"/>
                  </w:rPr>
                </w:rPrChange>
              </w:rPr>
            </w:pPr>
            <w:del w:id="16927" w:author="AbbVie02no" w:date="2025-05-15T14:22:00Z">
              <w:r w:rsidRPr="00692DC9">
                <w:rPr>
                  <w:lang w:val="nb-NO"/>
                  <w:rPrChange w:id="16928" w:author="AbbVie05no" w:date="2025-05-19T11:03:00Z">
                    <w:rPr>
                      <w:lang w:val="en-GB"/>
                    </w:rPr>
                  </w:rPrChange>
                </w:rPr>
                <w:delText>Hvit kanylebeskytter</w:delText>
              </w:r>
            </w:del>
          </w:p>
        </w:tc>
        <w:tc>
          <w:tcPr>
            <w:tcW w:w="2780" w:type="dxa"/>
          </w:tcPr>
          <w:p w14:paraId="4894E5CD" w14:textId="4B54A109" w:rsidR="00A40013" w:rsidRPr="00692DC9" w:rsidRDefault="00E453CD" w:rsidP="007E595C">
            <w:pPr>
              <w:pStyle w:val="EMEANormal"/>
              <w:rPr>
                <w:del w:id="16929" w:author="AbbVie02no" w:date="2025-05-15T14:22:00Z"/>
                <w:lang w:val="nb-NO"/>
                <w:rPrChange w:id="16930" w:author="AbbVie05no" w:date="2025-05-19T11:03:00Z">
                  <w:rPr>
                    <w:del w:id="16931" w:author="AbbVie02no" w:date="2025-05-15T14:22:00Z"/>
                    <w:lang w:val="en-GB"/>
                  </w:rPr>
                </w:rPrChange>
              </w:rPr>
            </w:pPr>
            <w:del w:id="16932" w:author="AbbVie02no" w:date="2025-05-15T14:22:00Z">
              <w:r>
                <w:rPr>
                  <w:noProof/>
                  <w:lang w:val="en-GB" w:eastAsia="en-GB"/>
                </w:rPr>
                <w:drawing>
                  <wp:inline distT="0" distB="0" distL="0" distR="0" wp14:anchorId="6256D7EC" wp14:editId="38A666A8">
                    <wp:extent cx="1626870" cy="166243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626870" cy="1662430"/>
                            </a:xfrm>
                            <a:prstGeom prst="rect">
                              <a:avLst/>
                            </a:prstGeom>
                            <a:noFill/>
                            <a:ln>
                              <a:noFill/>
                            </a:ln>
                          </pic:spPr>
                        </pic:pic>
                      </a:graphicData>
                    </a:graphic>
                  </wp:inline>
                </w:drawing>
              </w:r>
            </w:del>
          </w:p>
        </w:tc>
        <w:tc>
          <w:tcPr>
            <w:tcW w:w="1864" w:type="dxa"/>
          </w:tcPr>
          <w:p w14:paraId="1340D3F3" w14:textId="08B2C52B" w:rsidR="00A40013" w:rsidRPr="00692DC9" w:rsidRDefault="00A40013" w:rsidP="007E595C">
            <w:pPr>
              <w:pStyle w:val="EMEANormal"/>
              <w:rPr>
                <w:del w:id="16933" w:author="AbbVie02no" w:date="2025-05-15T14:22:00Z"/>
                <w:lang w:val="nb-NO"/>
                <w:rPrChange w:id="16934" w:author="AbbVie05no" w:date="2025-05-19T11:03:00Z">
                  <w:rPr>
                    <w:del w:id="16935" w:author="AbbVie02no" w:date="2025-05-15T14:22:00Z"/>
                    <w:lang w:val="en-GB"/>
                  </w:rPr>
                </w:rPrChange>
              </w:rPr>
            </w:pPr>
          </w:p>
          <w:p w14:paraId="390FC906" w14:textId="4D42AF81" w:rsidR="00A40013" w:rsidRPr="00692DC9" w:rsidRDefault="00A40013" w:rsidP="007E595C">
            <w:pPr>
              <w:pStyle w:val="EMEANormal"/>
              <w:rPr>
                <w:del w:id="16936" w:author="AbbVie02no" w:date="2025-05-15T14:22:00Z"/>
                <w:lang w:val="nb-NO"/>
                <w:rPrChange w:id="16937" w:author="AbbVie05no" w:date="2025-05-19T11:03:00Z">
                  <w:rPr>
                    <w:del w:id="16938" w:author="AbbVie02no" w:date="2025-05-15T14:22:00Z"/>
                    <w:lang w:val="en-GB"/>
                  </w:rPr>
                </w:rPrChange>
              </w:rPr>
            </w:pPr>
          </w:p>
          <w:p w14:paraId="2D9FCA6A" w14:textId="1253BA23" w:rsidR="00A40013" w:rsidRPr="00692DC9" w:rsidRDefault="00A40013" w:rsidP="007E595C">
            <w:pPr>
              <w:pStyle w:val="EMEANormal"/>
              <w:rPr>
                <w:del w:id="16939" w:author="AbbVie02no" w:date="2025-05-15T14:22:00Z"/>
                <w:lang w:val="nb-NO"/>
                <w:rPrChange w:id="16940" w:author="AbbVie05no" w:date="2025-05-19T11:03:00Z">
                  <w:rPr>
                    <w:del w:id="16941" w:author="AbbVie02no" w:date="2025-05-15T14:22:00Z"/>
                    <w:lang w:val="en-GB"/>
                  </w:rPr>
                </w:rPrChange>
              </w:rPr>
            </w:pPr>
          </w:p>
          <w:p w14:paraId="6625192D" w14:textId="171DC03F" w:rsidR="00A40013" w:rsidRPr="00692DC9" w:rsidRDefault="00E453CD" w:rsidP="007E595C">
            <w:pPr>
              <w:pStyle w:val="EMEANormal"/>
              <w:rPr>
                <w:del w:id="16942" w:author="AbbVie02no" w:date="2025-05-15T14:22:00Z"/>
                <w:lang w:val="nb-NO"/>
                <w:rPrChange w:id="16943" w:author="AbbVie05no" w:date="2025-05-19T11:03:00Z">
                  <w:rPr>
                    <w:del w:id="16944" w:author="AbbVie02no" w:date="2025-05-15T14:22:00Z"/>
                    <w:lang w:val="en-GB"/>
                  </w:rPr>
                </w:rPrChange>
              </w:rPr>
            </w:pPr>
            <w:del w:id="16945" w:author="AbbVie02no" w:date="2025-05-15T14:22:00Z">
              <w:r w:rsidRPr="00692DC9">
                <w:rPr>
                  <w:lang w:val="nb-NO"/>
                  <w:rPrChange w:id="16946" w:author="AbbVie05no" w:date="2025-05-19T11:03:00Z">
                    <w:rPr>
                      <w:lang w:val="en-GB"/>
                    </w:rPr>
                  </w:rPrChange>
                </w:rPr>
                <w:delText>Vindu</w:delText>
              </w:r>
            </w:del>
          </w:p>
          <w:p w14:paraId="3843B6EE" w14:textId="6B64FFA2" w:rsidR="00A40013" w:rsidRPr="00692DC9" w:rsidRDefault="00A40013" w:rsidP="007E595C">
            <w:pPr>
              <w:pStyle w:val="EMEANormal"/>
              <w:rPr>
                <w:del w:id="16947" w:author="AbbVie02no" w:date="2025-05-15T14:22:00Z"/>
                <w:lang w:val="nb-NO"/>
                <w:rPrChange w:id="16948" w:author="AbbVie05no" w:date="2025-05-19T11:03:00Z">
                  <w:rPr>
                    <w:del w:id="16949" w:author="AbbVie02no" w:date="2025-05-15T14:22:00Z"/>
                    <w:lang w:val="en-GB"/>
                  </w:rPr>
                </w:rPrChange>
              </w:rPr>
            </w:pPr>
          </w:p>
          <w:p w14:paraId="18CD8B4D" w14:textId="2326133F" w:rsidR="00A40013" w:rsidRPr="00692DC9" w:rsidRDefault="00E453CD" w:rsidP="007E595C">
            <w:pPr>
              <w:tabs>
                <w:tab w:val="left" w:pos="7370"/>
              </w:tabs>
              <w:rPr>
                <w:del w:id="16950" w:author="AbbVie02no" w:date="2025-05-15T14:22:00Z"/>
                <w:rPrChange w:id="16951" w:author="AbbVie05no" w:date="2025-05-19T11:03:00Z">
                  <w:rPr>
                    <w:del w:id="16952" w:author="AbbVie02no" w:date="2025-05-15T14:22:00Z"/>
                    <w:lang w:val="en-GB"/>
                  </w:rPr>
                </w:rPrChange>
              </w:rPr>
            </w:pPr>
            <w:del w:id="16953" w:author="AbbVie02no" w:date="2025-05-15T14:22:00Z">
              <w:r w:rsidRPr="00692DC9">
                <w:rPr>
                  <w:rPrChange w:id="16954" w:author="AbbVie05no" w:date="2025-05-19T11:03:00Z">
                    <w:rPr>
                      <w:lang w:val="en-GB"/>
                    </w:rPr>
                  </w:rPrChange>
                </w:rPr>
                <w:delText>Synlig gul indikator</w:delText>
              </w:r>
            </w:del>
          </w:p>
          <w:p w14:paraId="2065BD5A" w14:textId="06BD22F8" w:rsidR="00A40013" w:rsidRPr="00692DC9" w:rsidRDefault="00A40013" w:rsidP="007E595C">
            <w:pPr>
              <w:pStyle w:val="EMEANormal"/>
              <w:rPr>
                <w:del w:id="16955" w:author="AbbVie02no" w:date="2025-05-15T14:22:00Z"/>
                <w:lang w:val="nb-NO"/>
                <w:rPrChange w:id="16956" w:author="AbbVie05no" w:date="2025-05-19T11:03:00Z">
                  <w:rPr>
                    <w:del w:id="16957" w:author="AbbVie02no" w:date="2025-05-15T14:22:00Z"/>
                    <w:lang w:val="en-GB"/>
                  </w:rPr>
                </w:rPrChange>
              </w:rPr>
            </w:pPr>
          </w:p>
        </w:tc>
      </w:tr>
    </w:tbl>
    <w:p w14:paraId="65F060DA" w14:textId="2DAD6D74" w:rsidR="00A9551B" w:rsidRPr="002D0790" w:rsidRDefault="00A9551B" w:rsidP="007F67EE">
      <w:pPr>
        <w:suppressAutoHyphens/>
        <w:rPr>
          <w:del w:id="16958" w:author="AbbVie02no" w:date="2025-05-15T14:22:00Z"/>
          <w:sz w:val="22"/>
          <w:szCs w:val="22"/>
        </w:rPr>
      </w:pPr>
    </w:p>
    <w:p w14:paraId="51C0845B" w14:textId="5AC219C8" w:rsidR="00DE3458" w:rsidRPr="00C07C98" w:rsidRDefault="00E453CD" w:rsidP="00EE4677">
      <w:pPr>
        <w:numPr>
          <w:ilvl w:val="0"/>
          <w:numId w:val="13"/>
        </w:numPr>
        <w:tabs>
          <w:tab w:val="clear" w:pos="720"/>
          <w:tab w:val="num" w:pos="540"/>
        </w:tabs>
        <w:suppressAutoHyphens/>
        <w:ind w:left="540" w:hanging="540"/>
        <w:rPr>
          <w:del w:id="16959" w:author="AbbVie02no" w:date="2025-05-15T14:22:00Z"/>
          <w:sz w:val="22"/>
          <w:szCs w:val="22"/>
        </w:rPr>
      </w:pPr>
      <w:del w:id="16960" w:author="AbbVie02no" w:date="2025-05-15T14:22:00Z">
        <w:r w:rsidRPr="00C07C98">
          <w:rPr>
            <w:sz w:val="22"/>
            <w:szCs w:val="22"/>
          </w:rPr>
          <w:delText>Det kan hende du vil blø litt ved injeksjonsstedet. Trykk mot injeksjonsstedet i 10 sekunder, enten med en bomullsdott eller med et stykke gasbind. Ikke gni injeksjonsstedet. Bruk et plaster om nødvendig.</w:delText>
        </w:r>
      </w:del>
    </w:p>
    <w:p w14:paraId="61A265E2" w14:textId="6363E4B9" w:rsidR="00DE3458" w:rsidRPr="00E14E58" w:rsidRDefault="00DE3458" w:rsidP="002D0790">
      <w:pPr>
        <w:tabs>
          <w:tab w:val="num" w:pos="567"/>
          <w:tab w:val="left" w:pos="993"/>
        </w:tabs>
        <w:suppressAutoHyphens/>
        <w:ind w:left="567" w:hanging="567"/>
        <w:rPr>
          <w:del w:id="16961" w:author="AbbVie02no" w:date="2025-05-15T14:22:00Z"/>
          <w:sz w:val="22"/>
          <w:szCs w:val="22"/>
        </w:rPr>
      </w:pPr>
    </w:p>
    <w:p w14:paraId="2E2B6C3D" w14:textId="63C1C4A2" w:rsidR="00DE3458" w:rsidRPr="009C5EFD" w:rsidRDefault="00E453CD" w:rsidP="00776A84">
      <w:pPr>
        <w:keepNext/>
        <w:tabs>
          <w:tab w:val="left" w:pos="993"/>
        </w:tabs>
        <w:suppressAutoHyphens/>
        <w:rPr>
          <w:del w:id="16962" w:author="AbbVie02no" w:date="2025-05-15T14:22:00Z"/>
          <w:b/>
          <w:sz w:val="22"/>
          <w:szCs w:val="22"/>
        </w:rPr>
      </w:pPr>
      <w:del w:id="16963" w:author="AbbVie02no" w:date="2025-05-15T14:22:00Z">
        <w:r w:rsidRPr="009C5EFD">
          <w:rPr>
            <w:b/>
            <w:sz w:val="22"/>
            <w:szCs w:val="22"/>
          </w:rPr>
          <w:delText>Kast utstyr som blir til overs</w:delText>
        </w:r>
      </w:del>
    </w:p>
    <w:p w14:paraId="52E43188" w14:textId="1BA16195" w:rsidR="00DE3458" w:rsidRPr="009C5EFD" w:rsidRDefault="00DE3458" w:rsidP="00776A84">
      <w:pPr>
        <w:keepNext/>
        <w:tabs>
          <w:tab w:val="num" w:pos="567"/>
          <w:tab w:val="left" w:pos="993"/>
        </w:tabs>
        <w:suppressAutoHyphens/>
        <w:ind w:left="567" w:hanging="567"/>
        <w:rPr>
          <w:del w:id="16964" w:author="AbbVie02no" w:date="2025-05-15T14:22:00Z"/>
          <w:b/>
          <w:sz w:val="22"/>
          <w:szCs w:val="22"/>
        </w:rPr>
      </w:pPr>
    </w:p>
    <w:p w14:paraId="174D124A" w14:textId="1F3628E0" w:rsidR="00DE3458" w:rsidRPr="009C5EFD" w:rsidRDefault="00E453CD" w:rsidP="00AB7697">
      <w:pPr>
        <w:tabs>
          <w:tab w:val="num" w:pos="1080"/>
          <w:tab w:val="left" w:pos="1134"/>
        </w:tabs>
        <w:suppressAutoHyphens/>
        <w:rPr>
          <w:del w:id="16965" w:author="AbbVie02no" w:date="2025-05-15T14:22:00Z"/>
          <w:sz w:val="22"/>
          <w:szCs w:val="22"/>
        </w:rPr>
      </w:pPr>
      <w:del w:id="16966" w:author="AbbVie02no" w:date="2025-05-15T14:22:00Z">
        <w:r w:rsidRPr="009C5EFD">
          <w:rPr>
            <w:sz w:val="22"/>
            <w:szCs w:val="22"/>
          </w:rPr>
          <w:delText>Bruk ny penn for hver injeksjon. Ikke sett noen av hettene tilbake på pennen.</w:delText>
        </w:r>
        <w:r w:rsidR="00D326F7">
          <w:rPr>
            <w:sz w:val="22"/>
            <w:szCs w:val="22"/>
          </w:rPr>
          <w:delText xml:space="preserve"> </w:delText>
        </w:r>
        <w:r w:rsidRPr="009C5EFD">
          <w:rPr>
            <w:sz w:val="22"/>
            <w:szCs w:val="22"/>
          </w:rPr>
          <w:delText xml:space="preserve">Etter injeksjon av Humira, skal den pennen du har brukt umiddelbart kastes i en spesiell avfallsbeholder </w:delText>
        </w:r>
        <w:r w:rsidR="006A053D" w:rsidRPr="009C5EFD">
          <w:rPr>
            <w:sz w:val="22"/>
            <w:szCs w:val="22"/>
          </w:rPr>
          <w:delText>slik</w:delText>
        </w:r>
        <w:r w:rsidRPr="009C5EFD">
          <w:rPr>
            <w:sz w:val="22"/>
            <w:szCs w:val="22"/>
          </w:rPr>
          <w:delText xml:space="preserve"> du har fått beskjed om fra lege, sykepleier eller farmasøyt.</w:delText>
        </w:r>
        <w:r w:rsidR="00D326F7">
          <w:rPr>
            <w:sz w:val="22"/>
            <w:szCs w:val="22"/>
          </w:rPr>
          <w:delText xml:space="preserve"> </w:delText>
        </w:r>
        <w:r w:rsidR="006A053D" w:rsidRPr="009C5EFD">
          <w:rPr>
            <w:sz w:val="22"/>
            <w:szCs w:val="22"/>
          </w:rPr>
          <w:delText>A</w:delText>
        </w:r>
        <w:r w:rsidRPr="009C5EFD">
          <w:rPr>
            <w:sz w:val="22"/>
            <w:szCs w:val="22"/>
          </w:rPr>
          <w:delText>vfallsbeholderen må oppbevares utilgjengelig for barn.</w:delText>
        </w:r>
      </w:del>
    </w:p>
    <w:p w14:paraId="02C3593C" w14:textId="7BCAD77D" w:rsidR="00245AEB" w:rsidRPr="009C5EFD" w:rsidRDefault="00245AEB" w:rsidP="009C5EFD">
      <w:pPr>
        <w:rPr>
          <w:del w:id="16967" w:author="AbbVie02no" w:date="2025-05-15T14:22:00Z"/>
          <w:b/>
          <w:sz w:val="22"/>
          <w:szCs w:val="22"/>
        </w:rPr>
      </w:pPr>
    </w:p>
    <w:p w14:paraId="1B42F6B1" w14:textId="05011284" w:rsidR="00DE3458" w:rsidRPr="009C5EFD" w:rsidRDefault="00E453CD" w:rsidP="00776A84">
      <w:pPr>
        <w:keepNext/>
        <w:rPr>
          <w:del w:id="16968" w:author="AbbVie02no" w:date="2025-05-15T14:22:00Z"/>
          <w:b/>
          <w:sz w:val="22"/>
          <w:szCs w:val="22"/>
        </w:rPr>
      </w:pPr>
      <w:del w:id="16969" w:author="AbbVie02no" w:date="2025-05-15T14:22:00Z">
        <w:r w:rsidRPr="009C5EFD">
          <w:rPr>
            <w:b/>
            <w:sz w:val="22"/>
            <w:szCs w:val="22"/>
          </w:rPr>
          <w:delText>Dersom du tar for mye av Humira</w:delText>
        </w:r>
      </w:del>
    </w:p>
    <w:p w14:paraId="72FE9800" w14:textId="153008A7" w:rsidR="00DE3458" w:rsidRPr="009C5EFD" w:rsidRDefault="00DE3458" w:rsidP="00776A84">
      <w:pPr>
        <w:keepNext/>
        <w:rPr>
          <w:del w:id="16970" w:author="AbbVie02no" w:date="2025-05-15T14:22:00Z"/>
          <w:sz w:val="22"/>
          <w:szCs w:val="22"/>
        </w:rPr>
      </w:pPr>
    </w:p>
    <w:p w14:paraId="2C1A3595" w14:textId="35BC70E8" w:rsidR="00DE3458" w:rsidRPr="009C5EFD" w:rsidRDefault="00E453CD" w:rsidP="009C5EFD">
      <w:pPr>
        <w:rPr>
          <w:del w:id="16971" w:author="AbbVie02no" w:date="2025-05-15T14:22:00Z"/>
          <w:sz w:val="22"/>
          <w:szCs w:val="22"/>
        </w:rPr>
      </w:pPr>
      <w:del w:id="16972" w:author="AbbVie02no" w:date="2025-05-15T14:22:00Z">
        <w:r w:rsidRPr="009C5EFD">
          <w:rPr>
            <w:sz w:val="22"/>
            <w:szCs w:val="22"/>
          </w:rPr>
          <w:delText xml:space="preserve">Dersom du ved et uhell </w:delText>
        </w:r>
        <w:r w:rsidR="00701CB3">
          <w:rPr>
            <w:sz w:val="22"/>
            <w:szCs w:val="22"/>
          </w:rPr>
          <w:delText>injiserer</w:delText>
        </w:r>
        <w:r w:rsidRPr="009C5EFD">
          <w:rPr>
            <w:sz w:val="22"/>
            <w:szCs w:val="22"/>
          </w:rPr>
          <w:delText xml:space="preserve"> Humira oftere enn legen har forskrevet, oppsøk legen </w:delText>
        </w:r>
        <w:r w:rsidR="00624B8E">
          <w:rPr>
            <w:sz w:val="22"/>
            <w:szCs w:val="22"/>
          </w:rPr>
          <w:delText xml:space="preserve">din </w:delText>
        </w:r>
        <w:r w:rsidR="00252A68" w:rsidRPr="009C5EFD">
          <w:rPr>
            <w:sz w:val="22"/>
            <w:szCs w:val="22"/>
          </w:rPr>
          <w:delText xml:space="preserve">eller farmasøyt på apotek </w:delText>
        </w:r>
        <w:r w:rsidRPr="009C5EFD">
          <w:rPr>
            <w:sz w:val="22"/>
            <w:szCs w:val="22"/>
          </w:rPr>
          <w:delText>og fortell ham/henne at du har tatt for mye. Ta alltid med deg ytterpakningen til legemidlet, selv om den er tom.</w:delText>
        </w:r>
      </w:del>
    </w:p>
    <w:p w14:paraId="04865918" w14:textId="19443852" w:rsidR="00754071" w:rsidRPr="009C5EFD" w:rsidRDefault="00754071" w:rsidP="009C5EFD">
      <w:pPr>
        <w:rPr>
          <w:del w:id="16973" w:author="AbbVie02no" w:date="2025-05-15T14:22:00Z"/>
          <w:b/>
          <w:sz w:val="22"/>
          <w:szCs w:val="22"/>
        </w:rPr>
      </w:pPr>
    </w:p>
    <w:p w14:paraId="31149788" w14:textId="24396808" w:rsidR="00DE3458" w:rsidRPr="009C5EFD" w:rsidRDefault="00E453CD" w:rsidP="00776A84">
      <w:pPr>
        <w:keepNext/>
        <w:rPr>
          <w:del w:id="16974" w:author="AbbVie02no" w:date="2025-05-15T14:22:00Z"/>
          <w:b/>
          <w:sz w:val="22"/>
          <w:szCs w:val="22"/>
        </w:rPr>
      </w:pPr>
      <w:del w:id="16975" w:author="AbbVie02no" w:date="2025-05-15T14:22:00Z">
        <w:r w:rsidRPr="009C5EFD">
          <w:rPr>
            <w:b/>
            <w:sz w:val="22"/>
            <w:szCs w:val="22"/>
          </w:rPr>
          <w:delText>Dersom du har glemt å ta Humira</w:delText>
        </w:r>
      </w:del>
    </w:p>
    <w:p w14:paraId="7E05FD84" w14:textId="4958CF33" w:rsidR="00DE3458" w:rsidRPr="009C5EFD" w:rsidRDefault="00DE3458" w:rsidP="00776A84">
      <w:pPr>
        <w:keepNext/>
        <w:rPr>
          <w:del w:id="16976" w:author="AbbVie02no" w:date="2025-05-15T14:22:00Z"/>
          <w:sz w:val="22"/>
          <w:szCs w:val="22"/>
        </w:rPr>
      </w:pPr>
    </w:p>
    <w:p w14:paraId="46DBAB3C" w14:textId="575C8E69" w:rsidR="00DE3458" w:rsidRPr="009C5EFD" w:rsidRDefault="00E453CD" w:rsidP="009C5EFD">
      <w:pPr>
        <w:rPr>
          <w:del w:id="16977" w:author="AbbVie02no" w:date="2025-05-15T14:22:00Z"/>
          <w:sz w:val="22"/>
          <w:szCs w:val="22"/>
        </w:rPr>
      </w:pPr>
      <w:del w:id="16978" w:author="AbbVie02no" w:date="2025-05-15T14:22:00Z">
        <w:r w:rsidRPr="009C5EFD">
          <w:rPr>
            <w:sz w:val="22"/>
            <w:szCs w:val="22"/>
          </w:rPr>
          <w:delText xml:space="preserve">Dersom du har glemt å </w:delText>
        </w:r>
        <w:r w:rsidR="006A053D" w:rsidRPr="009C5EFD">
          <w:rPr>
            <w:sz w:val="22"/>
            <w:szCs w:val="22"/>
          </w:rPr>
          <w:delText>ta Humira</w:delText>
        </w:r>
        <w:r w:rsidRPr="009C5EFD">
          <w:rPr>
            <w:sz w:val="22"/>
            <w:szCs w:val="22"/>
          </w:rPr>
          <w:delText xml:space="preserve">, skal du sette neste dose så snart du </w:delText>
        </w:r>
        <w:r w:rsidRPr="009C5EFD">
          <w:rPr>
            <w:color w:val="000000"/>
            <w:sz w:val="22"/>
            <w:szCs w:val="22"/>
          </w:rPr>
          <w:delText xml:space="preserve">husker </w:delText>
        </w:r>
        <w:r w:rsidRPr="009C5EFD">
          <w:rPr>
            <w:sz w:val="22"/>
            <w:szCs w:val="22"/>
          </w:rPr>
          <w:delText xml:space="preserve">det. </w:delText>
        </w:r>
        <w:r w:rsidRPr="009C5EFD">
          <w:rPr>
            <w:color w:val="000000"/>
            <w:sz w:val="22"/>
            <w:szCs w:val="22"/>
          </w:rPr>
          <w:delText>Deretter</w:delText>
        </w:r>
        <w:r w:rsidRPr="009C5EFD">
          <w:rPr>
            <w:sz w:val="22"/>
            <w:szCs w:val="22"/>
          </w:rPr>
          <w:delText xml:space="preserve"> kan du sette neste dose den dagen det opprinnelig var planlagt, som om du ikke hadde glemt en dose.</w:delText>
        </w:r>
      </w:del>
    </w:p>
    <w:p w14:paraId="7445076B" w14:textId="14D042EA" w:rsidR="00252A68" w:rsidRPr="009C5EFD" w:rsidRDefault="00252A68" w:rsidP="009C5EFD">
      <w:pPr>
        <w:rPr>
          <w:del w:id="16979" w:author="AbbVie02no" w:date="2025-05-15T14:22:00Z"/>
          <w:sz w:val="22"/>
          <w:szCs w:val="22"/>
        </w:rPr>
      </w:pPr>
    </w:p>
    <w:p w14:paraId="173A7FEC" w14:textId="69BC0A7E" w:rsidR="00252A68" w:rsidRPr="009C5EFD" w:rsidRDefault="00E453CD" w:rsidP="00776A84">
      <w:pPr>
        <w:keepNext/>
        <w:rPr>
          <w:del w:id="16980" w:author="AbbVie02no" w:date="2025-05-15T14:22:00Z"/>
          <w:b/>
          <w:sz w:val="22"/>
          <w:szCs w:val="22"/>
        </w:rPr>
      </w:pPr>
      <w:del w:id="16981" w:author="AbbVie02no" w:date="2025-05-15T14:22:00Z">
        <w:r w:rsidRPr="009C5EFD">
          <w:rPr>
            <w:b/>
            <w:sz w:val="22"/>
            <w:szCs w:val="22"/>
          </w:rPr>
          <w:delText xml:space="preserve">Dersom du </w:delText>
        </w:r>
        <w:r w:rsidR="0049775E" w:rsidRPr="009C5EFD">
          <w:rPr>
            <w:b/>
            <w:sz w:val="22"/>
            <w:szCs w:val="22"/>
          </w:rPr>
          <w:delText>avbryter behandling med</w:delText>
        </w:r>
        <w:r w:rsidRPr="009C5EFD">
          <w:rPr>
            <w:b/>
            <w:sz w:val="22"/>
            <w:szCs w:val="22"/>
          </w:rPr>
          <w:delText xml:space="preserve"> Humira</w:delText>
        </w:r>
      </w:del>
    </w:p>
    <w:p w14:paraId="3A4A3183" w14:textId="6DEB7669" w:rsidR="00252A68" w:rsidRPr="009C5EFD" w:rsidRDefault="00252A68" w:rsidP="00776A84">
      <w:pPr>
        <w:keepNext/>
        <w:suppressAutoHyphens/>
        <w:rPr>
          <w:del w:id="16982" w:author="AbbVie02no" w:date="2025-05-15T14:22:00Z"/>
          <w:sz w:val="22"/>
          <w:szCs w:val="22"/>
        </w:rPr>
      </w:pPr>
    </w:p>
    <w:p w14:paraId="4B5A51F2" w14:textId="783A3E4D" w:rsidR="00252A68" w:rsidRPr="009C5EFD" w:rsidRDefault="00E453CD" w:rsidP="009C5EFD">
      <w:pPr>
        <w:rPr>
          <w:del w:id="16983" w:author="AbbVie02no" w:date="2025-05-15T14:22:00Z"/>
          <w:sz w:val="22"/>
          <w:szCs w:val="22"/>
        </w:rPr>
      </w:pPr>
      <w:del w:id="16984" w:author="AbbVie02no" w:date="2025-05-15T14:22:00Z">
        <w:r w:rsidRPr="009C5EFD">
          <w:rPr>
            <w:sz w:val="22"/>
            <w:szCs w:val="22"/>
          </w:rPr>
          <w:delText xml:space="preserve">Beslutningen om å </w:delText>
        </w:r>
        <w:r w:rsidR="0049775E" w:rsidRPr="009C5EFD">
          <w:rPr>
            <w:sz w:val="22"/>
            <w:szCs w:val="22"/>
          </w:rPr>
          <w:delText>avbryte behandling med</w:delText>
        </w:r>
        <w:r w:rsidRPr="009C5EFD">
          <w:rPr>
            <w:sz w:val="22"/>
            <w:szCs w:val="22"/>
          </w:rPr>
          <w:delText xml:space="preserve"> Humira bør </w:delText>
        </w:r>
        <w:r w:rsidR="004F6AD7" w:rsidRPr="009C5EFD">
          <w:rPr>
            <w:sz w:val="22"/>
            <w:szCs w:val="22"/>
          </w:rPr>
          <w:delText>diskute</w:delText>
        </w:r>
        <w:r w:rsidRPr="009C5EFD">
          <w:rPr>
            <w:sz w:val="22"/>
            <w:szCs w:val="22"/>
          </w:rPr>
          <w:delText xml:space="preserve">res med </w:delText>
        </w:r>
        <w:r w:rsidR="002858DC">
          <w:rPr>
            <w:sz w:val="22"/>
            <w:szCs w:val="22"/>
          </w:rPr>
          <w:delText>legen din</w:delText>
        </w:r>
        <w:r w:rsidRPr="009C5EFD">
          <w:rPr>
            <w:sz w:val="22"/>
            <w:szCs w:val="22"/>
          </w:rPr>
          <w:delText>. Dine symptomer kan komme tilbake etter seponering.</w:delText>
        </w:r>
      </w:del>
    </w:p>
    <w:p w14:paraId="63068535" w14:textId="6D7510C6" w:rsidR="00252A68" w:rsidRPr="009C5EFD" w:rsidRDefault="00252A68" w:rsidP="009C5EFD">
      <w:pPr>
        <w:rPr>
          <w:del w:id="16985" w:author="AbbVie02no" w:date="2025-05-15T14:22:00Z"/>
          <w:sz w:val="22"/>
          <w:szCs w:val="22"/>
        </w:rPr>
      </w:pPr>
    </w:p>
    <w:p w14:paraId="0C31295C" w14:textId="1878A848" w:rsidR="00DE3458" w:rsidRPr="009C5EFD" w:rsidRDefault="00E453CD" w:rsidP="009C5EFD">
      <w:pPr>
        <w:rPr>
          <w:del w:id="16986" w:author="AbbVie02no" w:date="2025-05-15T14:22:00Z"/>
          <w:sz w:val="22"/>
          <w:szCs w:val="22"/>
        </w:rPr>
      </w:pPr>
      <w:del w:id="16987" w:author="AbbVie02no" w:date="2025-05-15T14:22:00Z">
        <w:r w:rsidRPr="009C5EFD">
          <w:rPr>
            <w:sz w:val="22"/>
            <w:szCs w:val="22"/>
          </w:rPr>
          <w:delText>Spør lege eller apotek dersom du har noen spørsmål om bruken av dette legemidlet.</w:delText>
        </w:r>
      </w:del>
    </w:p>
    <w:p w14:paraId="550C5F80" w14:textId="67DC7FDC" w:rsidR="00DE3458" w:rsidRPr="009C5EFD" w:rsidRDefault="00DE3458" w:rsidP="009C5EFD">
      <w:pPr>
        <w:suppressAutoHyphens/>
        <w:rPr>
          <w:del w:id="16988" w:author="AbbVie02no" w:date="2025-05-15T14:22:00Z"/>
          <w:sz w:val="22"/>
          <w:szCs w:val="22"/>
        </w:rPr>
      </w:pPr>
    </w:p>
    <w:p w14:paraId="56B88A5D" w14:textId="1122137C" w:rsidR="00DE3458" w:rsidRPr="009C5EFD" w:rsidRDefault="00DE3458" w:rsidP="009C5EFD">
      <w:pPr>
        <w:suppressAutoHyphens/>
        <w:rPr>
          <w:del w:id="16989" w:author="AbbVie02no" w:date="2025-05-15T14:22:00Z"/>
          <w:sz w:val="22"/>
          <w:szCs w:val="22"/>
        </w:rPr>
      </w:pPr>
    </w:p>
    <w:p w14:paraId="00A0FBF6" w14:textId="5C00CE8B" w:rsidR="00DE3458" w:rsidRPr="009C5EFD" w:rsidRDefault="00E453CD" w:rsidP="001F5D4B">
      <w:pPr>
        <w:keepNext/>
        <w:tabs>
          <w:tab w:val="left" w:pos="567"/>
        </w:tabs>
        <w:suppressAutoHyphens/>
        <w:rPr>
          <w:del w:id="16990" w:author="AbbVie02no" w:date="2025-05-15T14:22:00Z"/>
          <w:b/>
          <w:sz w:val="22"/>
          <w:szCs w:val="22"/>
        </w:rPr>
      </w:pPr>
      <w:del w:id="16991" w:author="AbbVie02no" w:date="2025-05-15T14:22:00Z">
        <w:r w:rsidRPr="009C5EFD">
          <w:rPr>
            <w:b/>
            <w:sz w:val="22"/>
            <w:szCs w:val="22"/>
          </w:rPr>
          <w:delText>4.</w:delText>
        </w:r>
        <w:r w:rsidRPr="009C5EFD">
          <w:rPr>
            <w:b/>
            <w:sz w:val="22"/>
            <w:szCs w:val="22"/>
          </w:rPr>
          <w:tab/>
        </w:r>
        <w:r w:rsidR="00024261" w:rsidRPr="009C5EFD">
          <w:rPr>
            <w:b/>
            <w:sz w:val="22"/>
            <w:szCs w:val="22"/>
          </w:rPr>
          <w:delText>Mulige bivirkninger</w:delText>
        </w:r>
      </w:del>
    </w:p>
    <w:p w14:paraId="3AEECE9B" w14:textId="26008430" w:rsidR="00DE3458" w:rsidRPr="009C5EFD" w:rsidRDefault="00DE3458" w:rsidP="001F5D4B">
      <w:pPr>
        <w:keepNext/>
        <w:suppressAutoHyphens/>
        <w:rPr>
          <w:del w:id="16992" w:author="AbbVie02no" w:date="2025-05-15T14:22:00Z"/>
          <w:sz w:val="22"/>
          <w:szCs w:val="22"/>
        </w:rPr>
      </w:pPr>
    </w:p>
    <w:p w14:paraId="7678D9A9" w14:textId="2336A48A" w:rsidR="00DE3458" w:rsidRPr="009C5EFD" w:rsidRDefault="00E453CD">
      <w:pPr>
        <w:keepNext/>
        <w:suppressAutoHyphens/>
        <w:rPr>
          <w:del w:id="16993" w:author="AbbVie02no" w:date="2025-05-15T14:22:00Z"/>
          <w:sz w:val="22"/>
          <w:szCs w:val="22"/>
        </w:rPr>
      </w:pPr>
      <w:del w:id="16994" w:author="AbbVie02no" w:date="2025-05-15T14:22:00Z">
        <w:r w:rsidRPr="009C5EFD">
          <w:rPr>
            <w:sz w:val="22"/>
            <w:szCs w:val="22"/>
          </w:rPr>
          <w:delText xml:space="preserve">Som alle legemidler kan </w:delText>
        </w:r>
        <w:r w:rsidR="00024261" w:rsidRPr="009C5EFD">
          <w:rPr>
            <w:sz w:val="22"/>
            <w:szCs w:val="22"/>
          </w:rPr>
          <w:delText>dette legemidlet</w:delText>
        </w:r>
        <w:r w:rsidRPr="009C5EFD">
          <w:rPr>
            <w:sz w:val="22"/>
            <w:szCs w:val="22"/>
          </w:rPr>
          <w:delText xml:space="preserve"> forårsake bivirkninger, men ikke alle får det. De fleste bivirkningene er milde til moderate. Noen kan imidlertid være alvorlige og kreve behandling. Bivirkninger kan oppstå i minst </w:delText>
        </w:r>
        <w:r w:rsidR="000B52DC" w:rsidRPr="009C5EFD">
          <w:rPr>
            <w:sz w:val="22"/>
            <w:szCs w:val="22"/>
          </w:rPr>
          <w:delText>4</w:delText>
        </w:r>
        <w:r w:rsidRPr="009C5EFD">
          <w:rPr>
            <w:sz w:val="22"/>
            <w:szCs w:val="22"/>
          </w:rPr>
          <w:delText xml:space="preserve"> måneder etter siste injeksjon med Humira.</w:delText>
        </w:r>
      </w:del>
    </w:p>
    <w:p w14:paraId="15432D65" w14:textId="02530FFD" w:rsidR="00DE3458" w:rsidRPr="009C5EFD" w:rsidRDefault="00DE3458" w:rsidP="002D0790">
      <w:pPr>
        <w:suppressAutoHyphens/>
        <w:rPr>
          <w:del w:id="16995" w:author="AbbVie02no" w:date="2025-05-15T14:22:00Z"/>
          <w:sz w:val="22"/>
          <w:szCs w:val="22"/>
        </w:rPr>
      </w:pPr>
    </w:p>
    <w:p w14:paraId="4D313F0D" w14:textId="548129DF" w:rsidR="00DE3458" w:rsidRPr="009C5EFD" w:rsidRDefault="00E453CD" w:rsidP="00C07C98">
      <w:pPr>
        <w:suppressAutoHyphens/>
        <w:rPr>
          <w:del w:id="16996" w:author="AbbVie02no" w:date="2025-05-15T14:22:00Z"/>
          <w:sz w:val="22"/>
          <w:szCs w:val="22"/>
        </w:rPr>
      </w:pPr>
      <w:del w:id="16997" w:author="AbbVie02no" w:date="2025-05-15T14:22:00Z">
        <w:r w:rsidRPr="009C5EFD">
          <w:rPr>
            <w:sz w:val="22"/>
            <w:szCs w:val="22"/>
          </w:rPr>
          <w:delText>Dersom du merker noe av det følgende, skal du umiddelbart gi beskjed til legen</w:delText>
        </w:r>
      </w:del>
    </w:p>
    <w:p w14:paraId="754CBADF" w14:textId="6899E8D6" w:rsidR="00DE3458" w:rsidRPr="009C5EFD" w:rsidRDefault="00E453CD" w:rsidP="00E14E58">
      <w:pPr>
        <w:numPr>
          <w:ilvl w:val="0"/>
          <w:numId w:val="7"/>
        </w:numPr>
        <w:tabs>
          <w:tab w:val="clear" w:pos="720"/>
          <w:tab w:val="num" w:pos="567"/>
        </w:tabs>
        <w:suppressAutoHyphens/>
        <w:ind w:left="567" w:hanging="567"/>
        <w:rPr>
          <w:del w:id="16998" w:author="AbbVie02no" w:date="2025-05-15T14:22:00Z"/>
          <w:sz w:val="22"/>
          <w:szCs w:val="22"/>
        </w:rPr>
      </w:pPr>
      <w:del w:id="16999" w:author="AbbVie02no" w:date="2025-05-15T14:22:00Z">
        <w:r>
          <w:rPr>
            <w:sz w:val="22"/>
            <w:szCs w:val="22"/>
          </w:rPr>
          <w:delText>a</w:delText>
        </w:r>
        <w:r w:rsidRPr="009C5EFD">
          <w:rPr>
            <w:sz w:val="22"/>
            <w:szCs w:val="22"/>
          </w:rPr>
          <w:delText>lvorlig utslett, elveblest eller andre tegn på allergisk reaksjon</w:delText>
        </w:r>
        <w:r w:rsidR="00024261" w:rsidRPr="009C5EFD">
          <w:rPr>
            <w:sz w:val="22"/>
            <w:szCs w:val="22"/>
          </w:rPr>
          <w:delText>,</w:delText>
        </w:r>
      </w:del>
    </w:p>
    <w:p w14:paraId="1BAA0575" w14:textId="63A06330" w:rsidR="00DE3458" w:rsidRPr="009C5EFD" w:rsidRDefault="00E453CD" w:rsidP="009C5EFD">
      <w:pPr>
        <w:numPr>
          <w:ilvl w:val="0"/>
          <w:numId w:val="7"/>
        </w:numPr>
        <w:tabs>
          <w:tab w:val="clear" w:pos="720"/>
          <w:tab w:val="num" w:pos="567"/>
        </w:tabs>
        <w:suppressAutoHyphens/>
        <w:ind w:left="567" w:hanging="567"/>
        <w:rPr>
          <w:del w:id="17000" w:author="AbbVie02no" w:date="2025-05-15T14:22:00Z"/>
          <w:sz w:val="22"/>
          <w:szCs w:val="22"/>
        </w:rPr>
      </w:pPr>
      <w:del w:id="17001" w:author="AbbVie02no" w:date="2025-05-15T14:22:00Z">
        <w:r>
          <w:rPr>
            <w:sz w:val="22"/>
            <w:szCs w:val="22"/>
          </w:rPr>
          <w:delText>h</w:delText>
        </w:r>
        <w:r w:rsidRPr="009C5EFD">
          <w:rPr>
            <w:sz w:val="22"/>
            <w:szCs w:val="22"/>
          </w:rPr>
          <w:delText>ovent ansikt, hender, føtter</w:delText>
        </w:r>
        <w:r w:rsidR="00024261" w:rsidRPr="009C5EFD">
          <w:rPr>
            <w:sz w:val="22"/>
            <w:szCs w:val="22"/>
          </w:rPr>
          <w:delText>,</w:delText>
        </w:r>
      </w:del>
    </w:p>
    <w:p w14:paraId="64A02A80" w14:textId="5BA7762D" w:rsidR="00DE3458" w:rsidRPr="009C5EFD" w:rsidRDefault="00E453CD" w:rsidP="009C5EFD">
      <w:pPr>
        <w:numPr>
          <w:ilvl w:val="0"/>
          <w:numId w:val="7"/>
        </w:numPr>
        <w:tabs>
          <w:tab w:val="clear" w:pos="720"/>
          <w:tab w:val="num" w:pos="567"/>
        </w:tabs>
        <w:suppressAutoHyphens/>
        <w:ind w:left="567" w:hanging="567"/>
        <w:rPr>
          <w:del w:id="17002" w:author="AbbVie02no" w:date="2025-05-15T14:22:00Z"/>
          <w:sz w:val="22"/>
          <w:szCs w:val="22"/>
        </w:rPr>
      </w:pPr>
      <w:del w:id="17003" w:author="AbbVie02no" w:date="2025-05-15T14:22:00Z">
        <w:r>
          <w:rPr>
            <w:sz w:val="22"/>
            <w:szCs w:val="22"/>
          </w:rPr>
          <w:delText>p</w:delText>
        </w:r>
        <w:r w:rsidRPr="009C5EFD">
          <w:rPr>
            <w:sz w:val="22"/>
            <w:szCs w:val="22"/>
          </w:rPr>
          <w:delText>uste-, svelgebesvær</w:delText>
        </w:r>
        <w:r w:rsidR="00024261" w:rsidRPr="009C5EFD">
          <w:rPr>
            <w:sz w:val="22"/>
            <w:szCs w:val="22"/>
          </w:rPr>
          <w:delText>,</w:delText>
        </w:r>
      </w:del>
    </w:p>
    <w:p w14:paraId="6F8B57E6" w14:textId="0713D2FE" w:rsidR="00DE3458" w:rsidRPr="009C5EFD" w:rsidRDefault="00E453CD" w:rsidP="009C5EFD">
      <w:pPr>
        <w:numPr>
          <w:ilvl w:val="0"/>
          <w:numId w:val="7"/>
        </w:numPr>
        <w:tabs>
          <w:tab w:val="clear" w:pos="720"/>
          <w:tab w:val="num" w:pos="567"/>
        </w:tabs>
        <w:suppressAutoHyphens/>
        <w:ind w:left="567" w:hanging="567"/>
        <w:rPr>
          <w:del w:id="17004" w:author="AbbVie02no" w:date="2025-05-15T14:22:00Z"/>
          <w:sz w:val="22"/>
          <w:szCs w:val="22"/>
        </w:rPr>
      </w:pPr>
      <w:del w:id="17005" w:author="AbbVie02no" w:date="2025-05-15T14:22:00Z">
        <w:r>
          <w:rPr>
            <w:sz w:val="22"/>
            <w:szCs w:val="22"/>
          </w:rPr>
          <w:delText>k</w:delText>
        </w:r>
        <w:r w:rsidRPr="009C5EFD">
          <w:rPr>
            <w:sz w:val="22"/>
            <w:szCs w:val="22"/>
          </w:rPr>
          <w:delText>ortpustethet i forbindelse med anstrengelse eller når man ligger ned, eller hevelse i føttene.</w:delText>
        </w:r>
      </w:del>
    </w:p>
    <w:p w14:paraId="4FB805DE" w14:textId="1E921ED6" w:rsidR="00DE3458" w:rsidRPr="009C5EFD" w:rsidRDefault="00DE3458" w:rsidP="009C5EFD">
      <w:pPr>
        <w:tabs>
          <w:tab w:val="num" w:pos="567"/>
        </w:tabs>
        <w:suppressAutoHyphens/>
        <w:ind w:left="567" w:hanging="567"/>
        <w:rPr>
          <w:del w:id="17006" w:author="AbbVie02no" w:date="2025-05-15T14:22:00Z"/>
          <w:sz w:val="22"/>
          <w:szCs w:val="22"/>
        </w:rPr>
      </w:pPr>
    </w:p>
    <w:p w14:paraId="61C60477" w14:textId="639E67B1" w:rsidR="00DE3458" w:rsidRPr="009C5EFD" w:rsidRDefault="00E453CD" w:rsidP="009C5EFD">
      <w:pPr>
        <w:tabs>
          <w:tab w:val="num" w:pos="567"/>
        </w:tabs>
        <w:suppressAutoHyphens/>
        <w:ind w:left="567" w:hanging="567"/>
        <w:rPr>
          <w:del w:id="17007" w:author="AbbVie02no" w:date="2025-05-15T14:22:00Z"/>
          <w:sz w:val="22"/>
          <w:szCs w:val="22"/>
        </w:rPr>
      </w:pPr>
      <w:del w:id="17008" w:author="AbbVie02no" w:date="2025-05-15T14:22:00Z">
        <w:r w:rsidRPr="009C5EFD">
          <w:rPr>
            <w:sz w:val="22"/>
            <w:szCs w:val="22"/>
          </w:rPr>
          <w:delText>Gi beskjed til legen så raskt som mulig dersom du merker noe av dette</w:delText>
        </w:r>
      </w:del>
    </w:p>
    <w:p w14:paraId="04A63BE0" w14:textId="167D8337" w:rsidR="00DE3458" w:rsidRPr="009C5EFD" w:rsidRDefault="00E453CD" w:rsidP="009C5EFD">
      <w:pPr>
        <w:numPr>
          <w:ilvl w:val="0"/>
          <w:numId w:val="8"/>
        </w:numPr>
        <w:tabs>
          <w:tab w:val="clear" w:pos="720"/>
          <w:tab w:val="num" w:pos="567"/>
        </w:tabs>
        <w:suppressAutoHyphens/>
        <w:ind w:left="567" w:hanging="567"/>
        <w:rPr>
          <w:del w:id="17009" w:author="AbbVie02no" w:date="2025-05-15T14:22:00Z"/>
          <w:sz w:val="22"/>
          <w:szCs w:val="22"/>
        </w:rPr>
      </w:pPr>
      <w:del w:id="17010" w:author="AbbVie02no" w:date="2025-05-15T14:22:00Z">
        <w:r>
          <w:rPr>
            <w:sz w:val="22"/>
            <w:szCs w:val="22"/>
          </w:rPr>
          <w:delText>t</w:delText>
        </w:r>
        <w:r w:rsidRPr="009C5EFD">
          <w:rPr>
            <w:sz w:val="22"/>
            <w:szCs w:val="22"/>
          </w:rPr>
          <w:delText>egn på infeksjoner, som feber, uvelhet, sår, tannproblemer, svie ved vannlating</w:delText>
        </w:r>
        <w:r w:rsidR="00024261" w:rsidRPr="009C5EFD">
          <w:rPr>
            <w:sz w:val="22"/>
            <w:szCs w:val="22"/>
          </w:rPr>
          <w:delText>,</w:delText>
        </w:r>
      </w:del>
    </w:p>
    <w:p w14:paraId="7853B067" w14:textId="7691FC7C" w:rsidR="00DE3458" w:rsidRPr="009C5EFD" w:rsidRDefault="00E453CD" w:rsidP="009C5EFD">
      <w:pPr>
        <w:numPr>
          <w:ilvl w:val="0"/>
          <w:numId w:val="8"/>
        </w:numPr>
        <w:tabs>
          <w:tab w:val="clear" w:pos="720"/>
          <w:tab w:val="num" w:pos="567"/>
        </w:tabs>
        <w:suppressAutoHyphens/>
        <w:ind w:left="567" w:hanging="567"/>
        <w:rPr>
          <w:del w:id="17011" w:author="AbbVie02no" w:date="2025-05-15T14:22:00Z"/>
          <w:sz w:val="22"/>
          <w:szCs w:val="22"/>
        </w:rPr>
      </w:pPr>
      <w:del w:id="17012" w:author="AbbVie02no" w:date="2025-05-15T14:22:00Z">
        <w:r>
          <w:rPr>
            <w:sz w:val="22"/>
            <w:szCs w:val="22"/>
          </w:rPr>
          <w:delText>f</w:delText>
        </w:r>
        <w:r w:rsidRPr="009C5EFD">
          <w:rPr>
            <w:sz w:val="22"/>
            <w:szCs w:val="22"/>
          </w:rPr>
          <w:delText>ølelse av svakhet eller tretthet</w:delText>
        </w:r>
        <w:r w:rsidR="00024261" w:rsidRPr="009C5EFD">
          <w:rPr>
            <w:sz w:val="22"/>
            <w:szCs w:val="22"/>
          </w:rPr>
          <w:delText>,</w:delText>
        </w:r>
      </w:del>
    </w:p>
    <w:p w14:paraId="3DA349D1" w14:textId="0492A344" w:rsidR="00DE3458" w:rsidRPr="009C5EFD" w:rsidRDefault="00E453CD" w:rsidP="009C5EFD">
      <w:pPr>
        <w:numPr>
          <w:ilvl w:val="0"/>
          <w:numId w:val="8"/>
        </w:numPr>
        <w:tabs>
          <w:tab w:val="clear" w:pos="720"/>
          <w:tab w:val="num" w:pos="567"/>
        </w:tabs>
        <w:suppressAutoHyphens/>
        <w:ind w:left="567" w:hanging="567"/>
        <w:rPr>
          <w:del w:id="17013" w:author="AbbVie02no" w:date="2025-05-15T14:22:00Z"/>
          <w:sz w:val="22"/>
          <w:szCs w:val="22"/>
        </w:rPr>
      </w:pPr>
      <w:del w:id="17014" w:author="AbbVie02no" w:date="2025-05-15T14:22:00Z">
        <w:r>
          <w:rPr>
            <w:sz w:val="22"/>
            <w:szCs w:val="22"/>
          </w:rPr>
          <w:delText>h</w:delText>
        </w:r>
        <w:r w:rsidRPr="009C5EFD">
          <w:rPr>
            <w:sz w:val="22"/>
            <w:szCs w:val="22"/>
          </w:rPr>
          <w:delText>oste</w:delText>
        </w:r>
        <w:r w:rsidR="00024261" w:rsidRPr="009C5EFD">
          <w:rPr>
            <w:sz w:val="22"/>
            <w:szCs w:val="22"/>
          </w:rPr>
          <w:delText>,</w:delText>
        </w:r>
      </w:del>
    </w:p>
    <w:p w14:paraId="3C53AE11" w14:textId="0B34C2E5" w:rsidR="00DE3458" w:rsidRPr="009C5EFD" w:rsidRDefault="00E453CD" w:rsidP="009C5EFD">
      <w:pPr>
        <w:numPr>
          <w:ilvl w:val="0"/>
          <w:numId w:val="8"/>
        </w:numPr>
        <w:tabs>
          <w:tab w:val="clear" w:pos="720"/>
          <w:tab w:val="num" w:pos="567"/>
        </w:tabs>
        <w:suppressAutoHyphens/>
        <w:ind w:left="567" w:hanging="567"/>
        <w:rPr>
          <w:del w:id="17015" w:author="AbbVie02no" w:date="2025-05-15T14:22:00Z"/>
          <w:sz w:val="22"/>
          <w:szCs w:val="22"/>
        </w:rPr>
      </w:pPr>
      <w:del w:id="17016" w:author="AbbVie02no" w:date="2025-05-15T14:22:00Z">
        <w:r>
          <w:rPr>
            <w:sz w:val="22"/>
            <w:szCs w:val="22"/>
          </w:rPr>
          <w:delText>p</w:delText>
        </w:r>
        <w:r w:rsidRPr="009C5EFD">
          <w:rPr>
            <w:sz w:val="22"/>
            <w:szCs w:val="22"/>
          </w:rPr>
          <w:delText>rikking</w:delText>
        </w:r>
        <w:r w:rsidR="00024261" w:rsidRPr="009C5EFD">
          <w:rPr>
            <w:sz w:val="22"/>
            <w:szCs w:val="22"/>
          </w:rPr>
          <w:delText>,</w:delText>
        </w:r>
      </w:del>
    </w:p>
    <w:p w14:paraId="7149A587" w14:textId="7BCCAA7C" w:rsidR="00DE3458" w:rsidRPr="009C5EFD" w:rsidRDefault="00E453CD" w:rsidP="009C5EFD">
      <w:pPr>
        <w:numPr>
          <w:ilvl w:val="0"/>
          <w:numId w:val="8"/>
        </w:numPr>
        <w:tabs>
          <w:tab w:val="clear" w:pos="720"/>
          <w:tab w:val="num" w:pos="567"/>
        </w:tabs>
        <w:suppressAutoHyphens/>
        <w:ind w:left="567" w:hanging="567"/>
        <w:rPr>
          <w:del w:id="17017" w:author="AbbVie02no" w:date="2025-05-15T14:22:00Z"/>
          <w:sz w:val="22"/>
          <w:szCs w:val="22"/>
        </w:rPr>
      </w:pPr>
      <w:del w:id="17018" w:author="AbbVie02no" w:date="2025-05-15T14:22:00Z">
        <w:r>
          <w:rPr>
            <w:sz w:val="22"/>
            <w:szCs w:val="22"/>
          </w:rPr>
          <w:delText>n</w:delText>
        </w:r>
        <w:r w:rsidRPr="009C5EFD">
          <w:rPr>
            <w:sz w:val="22"/>
            <w:szCs w:val="22"/>
          </w:rPr>
          <w:delText>ummenhet</w:delText>
        </w:r>
        <w:r w:rsidR="00024261" w:rsidRPr="009C5EFD">
          <w:rPr>
            <w:sz w:val="22"/>
            <w:szCs w:val="22"/>
          </w:rPr>
          <w:delText>,</w:delText>
        </w:r>
      </w:del>
    </w:p>
    <w:p w14:paraId="316026B4" w14:textId="033F9493" w:rsidR="00DE3458" w:rsidRPr="009C5EFD" w:rsidRDefault="00E453CD" w:rsidP="009C5EFD">
      <w:pPr>
        <w:numPr>
          <w:ilvl w:val="0"/>
          <w:numId w:val="8"/>
        </w:numPr>
        <w:tabs>
          <w:tab w:val="clear" w:pos="720"/>
          <w:tab w:val="num" w:pos="567"/>
        </w:tabs>
        <w:suppressAutoHyphens/>
        <w:ind w:left="567" w:hanging="567"/>
        <w:rPr>
          <w:del w:id="17019" w:author="AbbVie02no" w:date="2025-05-15T14:22:00Z"/>
          <w:sz w:val="22"/>
          <w:szCs w:val="22"/>
        </w:rPr>
      </w:pPr>
      <w:del w:id="17020" w:author="AbbVie02no" w:date="2025-05-15T14:22:00Z">
        <w:r>
          <w:rPr>
            <w:sz w:val="22"/>
            <w:szCs w:val="22"/>
          </w:rPr>
          <w:delText>d</w:delText>
        </w:r>
        <w:r w:rsidRPr="009C5EFD">
          <w:rPr>
            <w:sz w:val="22"/>
            <w:szCs w:val="22"/>
          </w:rPr>
          <w:delText>obbeltsyn</w:delText>
        </w:r>
        <w:r w:rsidR="00024261" w:rsidRPr="009C5EFD">
          <w:rPr>
            <w:sz w:val="22"/>
            <w:szCs w:val="22"/>
          </w:rPr>
          <w:delText>,</w:delText>
        </w:r>
      </w:del>
    </w:p>
    <w:p w14:paraId="50B98834" w14:textId="0337AA18" w:rsidR="00DE3458" w:rsidRPr="009C5EFD" w:rsidRDefault="00E453CD" w:rsidP="009C5EFD">
      <w:pPr>
        <w:numPr>
          <w:ilvl w:val="0"/>
          <w:numId w:val="8"/>
        </w:numPr>
        <w:tabs>
          <w:tab w:val="clear" w:pos="720"/>
          <w:tab w:val="num" w:pos="567"/>
        </w:tabs>
        <w:suppressAutoHyphens/>
        <w:ind w:left="567" w:hanging="567"/>
        <w:rPr>
          <w:del w:id="17021" w:author="AbbVie02no" w:date="2025-05-15T14:22:00Z"/>
          <w:sz w:val="22"/>
          <w:szCs w:val="22"/>
        </w:rPr>
      </w:pPr>
      <w:del w:id="17022" w:author="AbbVie02no" w:date="2025-05-15T14:22:00Z">
        <w:r>
          <w:rPr>
            <w:sz w:val="22"/>
            <w:szCs w:val="22"/>
          </w:rPr>
          <w:delText>s</w:delText>
        </w:r>
        <w:r w:rsidRPr="009C5EFD">
          <w:rPr>
            <w:sz w:val="22"/>
            <w:szCs w:val="22"/>
          </w:rPr>
          <w:delText>vakhet i armer eller bein</w:delText>
        </w:r>
        <w:r w:rsidR="00024261" w:rsidRPr="009C5EFD">
          <w:rPr>
            <w:sz w:val="22"/>
            <w:szCs w:val="22"/>
          </w:rPr>
          <w:delText>,</w:delText>
        </w:r>
      </w:del>
    </w:p>
    <w:p w14:paraId="78AB114C" w14:textId="56D86C64" w:rsidR="00DE3458" w:rsidRPr="009C5EFD" w:rsidRDefault="00E453CD" w:rsidP="009C5EFD">
      <w:pPr>
        <w:numPr>
          <w:ilvl w:val="0"/>
          <w:numId w:val="8"/>
        </w:numPr>
        <w:tabs>
          <w:tab w:val="clear" w:pos="720"/>
          <w:tab w:val="num" w:pos="567"/>
        </w:tabs>
        <w:suppressAutoHyphens/>
        <w:ind w:left="567" w:hanging="567"/>
        <w:rPr>
          <w:del w:id="17023" w:author="AbbVie02no" w:date="2025-05-15T14:22:00Z"/>
          <w:sz w:val="22"/>
          <w:szCs w:val="22"/>
        </w:rPr>
      </w:pPr>
      <w:del w:id="17024" w:author="AbbVie02no" w:date="2025-05-15T14:22:00Z">
        <w:r>
          <w:rPr>
            <w:sz w:val="22"/>
            <w:szCs w:val="22"/>
          </w:rPr>
          <w:delText>e</w:delText>
        </w:r>
        <w:r w:rsidRPr="009C5EFD">
          <w:rPr>
            <w:sz w:val="22"/>
            <w:szCs w:val="22"/>
          </w:rPr>
          <w:delText>n kul eller åpent sår som ikke gror</w:delText>
        </w:r>
        <w:r w:rsidR="00024261" w:rsidRPr="009C5EFD">
          <w:rPr>
            <w:sz w:val="22"/>
            <w:szCs w:val="22"/>
          </w:rPr>
          <w:delText>,</w:delText>
        </w:r>
      </w:del>
    </w:p>
    <w:p w14:paraId="55C38BB7" w14:textId="525DFE28" w:rsidR="00024261" w:rsidRPr="009C5EFD" w:rsidRDefault="00E453CD" w:rsidP="009C5EFD">
      <w:pPr>
        <w:numPr>
          <w:ilvl w:val="0"/>
          <w:numId w:val="8"/>
        </w:numPr>
        <w:tabs>
          <w:tab w:val="clear" w:pos="720"/>
          <w:tab w:val="num" w:pos="567"/>
        </w:tabs>
        <w:suppressAutoHyphens/>
        <w:ind w:left="567" w:hanging="567"/>
        <w:rPr>
          <w:del w:id="17025" w:author="AbbVie02no" w:date="2025-05-15T14:22:00Z"/>
          <w:sz w:val="22"/>
          <w:szCs w:val="22"/>
        </w:rPr>
      </w:pPr>
      <w:del w:id="17026" w:author="AbbVie02no" w:date="2025-05-15T14:22:00Z">
        <w:r>
          <w:rPr>
            <w:sz w:val="22"/>
            <w:szCs w:val="22"/>
          </w:rPr>
          <w:delText>t</w:delText>
        </w:r>
        <w:r w:rsidRPr="009C5EFD">
          <w:rPr>
            <w:sz w:val="22"/>
            <w:szCs w:val="22"/>
          </w:rPr>
          <w:delText>egn og symptomer på blodsykdommer som for eksempel vedvarende feber, blåmerker, blødninger, blekhet.</w:delText>
        </w:r>
      </w:del>
    </w:p>
    <w:p w14:paraId="49D3D61A" w14:textId="7AEC13BA" w:rsidR="00DE3458" w:rsidRPr="009C5EFD" w:rsidRDefault="00DE3458" w:rsidP="009C5EFD">
      <w:pPr>
        <w:suppressAutoHyphens/>
        <w:rPr>
          <w:del w:id="17027" w:author="AbbVie02no" w:date="2025-05-15T14:22:00Z"/>
          <w:sz w:val="22"/>
          <w:szCs w:val="22"/>
        </w:rPr>
      </w:pPr>
    </w:p>
    <w:p w14:paraId="5EC98F7E" w14:textId="5C7C8EA9" w:rsidR="00DE3458" w:rsidRPr="009C5EFD" w:rsidRDefault="00E453CD" w:rsidP="009C5EFD">
      <w:pPr>
        <w:suppressAutoHyphens/>
        <w:rPr>
          <w:del w:id="17028" w:author="AbbVie02no" w:date="2025-05-15T14:22:00Z"/>
          <w:sz w:val="22"/>
          <w:szCs w:val="22"/>
        </w:rPr>
      </w:pPr>
      <w:del w:id="17029" w:author="AbbVie02no" w:date="2025-05-15T14:22:00Z">
        <w:r w:rsidRPr="009C5EFD">
          <w:rPr>
            <w:sz w:val="22"/>
            <w:szCs w:val="22"/>
          </w:rPr>
          <w:delText>Symptomene beskrevet over kan være tegn på bivirkningene nedenfor, som er sett med Humira</w:delText>
        </w:r>
        <w:r w:rsidR="00D326F7">
          <w:rPr>
            <w:sz w:val="22"/>
            <w:szCs w:val="22"/>
          </w:rPr>
          <w:delText>.</w:delText>
        </w:r>
      </w:del>
    </w:p>
    <w:p w14:paraId="7592ABC3" w14:textId="3179DCDC" w:rsidR="00DE3458" w:rsidRPr="009C5EFD" w:rsidRDefault="00DE3458" w:rsidP="009C5EFD">
      <w:pPr>
        <w:suppressAutoHyphens/>
        <w:rPr>
          <w:del w:id="17030" w:author="AbbVie02no" w:date="2025-05-15T14:22:00Z"/>
          <w:sz w:val="22"/>
          <w:szCs w:val="22"/>
        </w:rPr>
      </w:pPr>
    </w:p>
    <w:p w14:paraId="16D453A0" w14:textId="626561A9" w:rsidR="00C13645" w:rsidRDefault="00E453CD" w:rsidP="00776A84">
      <w:pPr>
        <w:keepNext/>
        <w:suppressAutoHyphens/>
        <w:rPr>
          <w:del w:id="17031" w:author="AbbVie02no" w:date="2025-05-15T14:22:00Z"/>
          <w:sz w:val="22"/>
          <w:szCs w:val="22"/>
        </w:rPr>
      </w:pPr>
      <w:del w:id="17032" w:author="AbbVie02no" w:date="2025-05-15T14:22:00Z">
        <w:r w:rsidRPr="006936CB">
          <w:rPr>
            <w:sz w:val="22"/>
            <w:szCs w:val="22"/>
          </w:rPr>
          <w:delText>Svært vanlige</w:delText>
        </w:r>
        <w:r w:rsidRPr="009C5EFD">
          <w:rPr>
            <w:sz w:val="22"/>
            <w:szCs w:val="22"/>
          </w:rPr>
          <w:delText xml:space="preserve"> (</w:delText>
        </w:r>
        <w:r w:rsidR="00151C5C" w:rsidRPr="009C5EFD">
          <w:rPr>
            <w:sz w:val="22"/>
            <w:szCs w:val="22"/>
          </w:rPr>
          <w:delText xml:space="preserve">kan </w:delText>
        </w:r>
        <w:r w:rsidR="003B66F8" w:rsidRPr="009C5EFD">
          <w:rPr>
            <w:sz w:val="22"/>
            <w:szCs w:val="22"/>
          </w:rPr>
          <w:delText>forekomme hos</w:delText>
        </w:r>
        <w:r w:rsidR="00151C5C" w:rsidRPr="009C5EFD">
          <w:rPr>
            <w:sz w:val="22"/>
            <w:szCs w:val="22"/>
          </w:rPr>
          <w:delText xml:space="preserve"> </w:delText>
        </w:r>
        <w:r w:rsidR="00810B52" w:rsidRPr="009C5EFD">
          <w:rPr>
            <w:sz w:val="22"/>
            <w:szCs w:val="22"/>
          </w:rPr>
          <w:delText>flere</w:delText>
        </w:r>
        <w:r w:rsidRPr="009C5EFD">
          <w:rPr>
            <w:sz w:val="22"/>
            <w:szCs w:val="22"/>
          </w:rPr>
          <w:delText xml:space="preserve"> enn 1 </w:delText>
        </w:r>
        <w:r w:rsidR="00997C9A" w:rsidRPr="009C5EFD">
          <w:rPr>
            <w:sz w:val="22"/>
            <w:szCs w:val="22"/>
          </w:rPr>
          <w:delText>av</w:delText>
        </w:r>
        <w:r w:rsidRPr="009C5EFD">
          <w:rPr>
            <w:sz w:val="22"/>
            <w:szCs w:val="22"/>
          </w:rPr>
          <w:delText xml:space="preserve"> 10 </w:delText>
        </w:r>
        <w:r w:rsidR="00151C5C" w:rsidRPr="009C5EFD">
          <w:rPr>
            <w:sz w:val="22"/>
            <w:szCs w:val="22"/>
          </w:rPr>
          <w:delText>personer</w:delText>
        </w:r>
        <w:r w:rsidRPr="009C5EFD">
          <w:rPr>
            <w:sz w:val="22"/>
            <w:szCs w:val="22"/>
          </w:rPr>
          <w:delText>)</w:delText>
        </w:r>
      </w:del>
    </w:p>
    <w:p w14:paraId="6A98D74C" w14:textId="66607579" w:rsidR="00DE3458" w:rsidRPr="009C5EFD" w:rsidRDefault="00DE3458" w:rsidP="00776A84">
      <w:pPr>
        <w:keepNext/>
        <w:suppressAutoHyphens/>
        <w:rPr>
          <w:del w:id="17033" w:author="AbbVie02no" w:date="2025-05-15T14:22:00Z"/>
          <w:sz w:val="22"/>
          <w:szCs w:val="22"/>
        </w:rPr>
      </w:pPr>
    </w:p>
    <w:p w14:paraId="048864F7" w14:textId="4F5B5255" w:rsidR="00DE3458" w:rsidRPr="009C5EFD" w:rsidRDefault="00E453CD" w:rsidP="009C5EFD">
      <w:pPr>
        <w:numPr>
          <w:ilvl w:val="0"/>
          <w:numId w:val="9"/>
        </w:numPr>
        <w:tabs>
          <w:tab w:val="clear" w:pos="720"/>
          <w:tab w:val="num" w:pos="540"/>
        </w:tabs>
        <w:suppressAutoHyphens/>
        <w:ind w:left="0" w:firstLine="0"/>
        <w:rPr>
          <w:del w:id="17034" w:author="AbbVie02no" w:date="2025-05-15T14:22:00Z"/>
          <w:sz w:val="22"/>
          <w:szCs w:val="22"/>
        </w:rPr>
      </w:pPr>
      <w:del w:id="17035" w:author="AbbVie02no" w:date="2025-05-15T14:22:00Z">
        <w:r w:rsidRPr="009C5EFD">
          <w:rPr>
            <w:sz w:val="22"/>
            <w:szCs w:val="22"/>
          </w:rPr>
          <w:delText>reaksjoner på injeksjonsstedet (inkludert smerte</w:delText>
        </w:r>
        <w:r w:rsidR="005F38E5">
          <w:rPr>
            <w:sz w:val="22"/>
            <w:szCs w:val="22"/>
          </w:rPr>
          <w:delText>r</w:delText>
        </w:r>
        <w:r w:rsidRPr="009C5EFD">
          <w:rPr>
            <w:sz w:val="22"/>
            <w:szCs w:val="22"/>
          </w:rPr>
          <w:delText>, hevelse, rødme eller kløe)</w:delText>
        </w:r>
        <w:r w:rsidR="00D43F19">
          <w:rPr>
            <w:sz w:val="22"/>
            <w:szCs w:val="22"/>
          </w:rPr>
          <w:delText>,</w:delText>
        </w:r>
      </w:del>
    </w:p>
    <w:p w14:paraId="7F960FD9" w14:textId="3428D8DA" w:rsidR="007B668D" w:rsidRPr="009C5EFD" w:rsidRDefault="00E453CD" w:rsidP="009C5EFD">
      <w:pPr>
        <w:numPr>
          <w:ilvl w:val="0"/>
          <w:numId w:val="9"/>
        </w:numPr>
        <w:tabs>
          <w:tab w:val="clear" w:pos="720"/>
          <w:tab w:val="num" w:pos="540"/>
        </w:tabs>
        <w:suppressAutoHyphens/>
        <w:ind w:left="0" w:firstLine="0"/>
        <w:rPr>
          <w:del w:id="17036" w:author="AbbVie02no" w:date="2025-05-15T14:22:00Z"/>
          <w:sz w:val="22"/>
          <w:szCs w:val="22"/>
        </w:rPr>
      </w:pPr>
      <w:del w:id="17037" w:author="AbbVie02no" w:date="2025-05-15T14:22:00Z">
        <w:r w:rsidRPr="009C5EFD">
          <w:rPr>
            <w:sz w:val="22"/>
            <w:szCs w:val="22"/>
          </w:rPr>
          <w:delText>luftveisinfeksjon (inkludert forkjølelse, rennende nese, bihulebetennelse, lungebetennelse),</w:delText>
        </w:r>
      </w:del>
    </w:p>
    <w:p w14:paraId="3AEAF9E8" w14:textId="7B922578" w:rsidR="007B668D" w:rsidRPr="009C5EFD" w:rsidRDefault="00E453CD" w:rsidP="009C5EFD">
      <w:pPr>
        <w:numPr>
          <w:ilvl w:val="0"/>
          <w:numId w:val="9"/>
        </w:numPr>
        <w:tabs>
          <w:tab w:val="clear" w:pos="720"/>
          <w:tab w:val="num" w:pos="540"/>
        </w:tabs>
        <w:suppressAutoHyphens/>
        <w:ind w:left="0" w:firstLine="0"/>
        <w:rPr>
          <w:del w:id="17038" w:author="AbbVie02no" w:date="2025-05-15T14:22:00Z"/>
          <w:sz w:val="22"/>
          <w:szCs w:val="22"/>
        </w:rPr>
      </w:pPr>
      <w:del w:id="17039" w:author="AbbVie02no" w:date="2025-05-15T14:22:00Z">
        <w:r w:rsidRPr="009C5EFD">
          <w:rPr>
            <w:sz w:val="22"/>
            <w:szCs w:val="22"/>
          </w:rPr>
          <w:delText>hodepine,</w:delText>
        </w:r>
      </w:del>
    </w:p>
    <w:p w14:paraId="63821FB5" w14:textId="345C8CF4" w:rsidR="007B668D" w:rsidRPr="009C5EFD" w:rsidRDefault="00E453CD" w:rsidP="009C5EFD">
      <w:pPr>
        <w:numPr>
          <w:ilvl w:val="0"/>
          <w:numId w:val="9"/>
        </w:numPr>
        <w:tabs>
          <w:tab w:val="clear" w:pos="720"/>
          <w:tab w:val="num" w:pos="540"/>
        </w:tabs>
        <w:suppressAutoHyphens/>
        <w:ind w:left="0" w:firstLine="0"/>
        <w:rPr>
          <w:del w:id="17040" w:author="AbbVie02no" w:date="2025-05-15T14:22:00Z"/>
          <w:sz w:val="22"/>
          <w:szCs w:val="22"/>
        </w:rPr>
      </w:pPr>
      <w:del w:id="17041" w:author="AbbVie02no" w:date="2025-05-15T14:22:00Z">
        <w:r w:rsidRPr="009C5EFD">
          <w:rPr>
            <w:sz w:val="22"/>
            <w:szCs w:val="22"/>
          </w:rPr>
          <w:delText>smerte</w:delText>
        </w:r>
        <w:r w:rsidR="001E51D3" w:rsidRPr="009C5EFD">
          <w:rPr>
            <w:sz w:val="22"/>
            <w:szCs w:val="22"/>
          </w:rPr>
          <w:delText>r i buken</w:delText>
        </w:r>
        <w:r w:rsidRPr="009C5EFD">
          <w:rPr>
            <w:sz w:val="22"/>
            <w:szCs w:val="22"/>
          </w:rPr>
          <w:delText>,</w:delText>
        </w:r>
      </w:del>
    </w:p>
    <w:p w14:paraId="12074836" w14:textId="32F7AF56" w:rsidR="007B668D" w:rsidRPr="009C5EFD" w:rsidRDefault="00E453CD" w:rsidP="009C5EFD">
      <w:pPr>
        <w:numPr>
          <w:ilvl w:val="0"/>
          <w:numId w:val="9"/>
        </w:numPr>
        <w:tabs>
          <w:tab w:val="clear" w:pos="720"/>
          <w:tab w:val="num" w:pos="540"/>
        </w:tabs>
        <w:suppressAutoHyphens/>
        <w:ind w:left="0" w:firstLine="0"/>
        <w:rPr>
          <w:del w:id="17042" w:author="AbbVie02no" w:date="2025-05-15T14:22:00Z"/>
          <w:sz w:val="22"/>
          <w:szCs w:val="22"/>
        </w:rPr>
      </w:pPr>
      <w:del w:id="17043" w:author="AbbVie02no" w:date="2025-05-15T14:22:00Z">
        <w:r w:rsidRPr="009C5EFD">
          <w:rPr>
            <w:sz w:val="22"/>
            <w:szCs w:val="22"/>
          </w:rPr>
          <w:delText>kvalme og oppkast,</w:delText>
        </w:r>
      </w:del>
    </w:p>
    <w:p w14:paraId="3C69F0D8" w14:textId="3393D04C" w:rsidR="007B668D" w:rsidRPr="009C5EFD" w:rsidRDefault="00E453CD" w:rsidP="009C5EFD">
      <w:pPr>
        <w:numPr>
          <w:ilvl w:val="0"/>
          <w:numId w:val="9"/>
        </w:numPr>
        <w:tabs>
          <w:tab w:val="clear" w:pos="720"/>
          <w:tab w:val="num" w:pos="540"/>
        </w:tabs>
        <w:suppressAutoHyphens/>
        <w:ind w:left="0" w:firstLine="0"/>
        <w:rPr>
          <w:del w:id="17044" w:author="AbbVie02no" w:date="2025-05-15T14:22:00Z"/>
          <w:sz w:val="22"/>
          <w:szCs w:val="22"/>
        </w:rPr>
      </w:pPr>
      <w:del w:id="17045" w:author="AbbVie02no" w:date="2025-05-15T14:22:00Z">
        <w:r w:rsidRPr="009C5EFD">
          <w:rPr>
            <w:sz w:val="22"/>
            <w:szCs w:val="22"/>
          </w:rPr>
          <w:delText>utslett,</w:delText>
        </w:r>
      </w:del>
    </w:p>
    <w:p w14:paraId="47497545" w14:textId="5BD4E3BB" w:rsidR="007B668D" w:rsidRPr="009C5EFD" w:rsidRDefault="00E453CD" w:rsidP="009C5EFD">
      <w:pPr>
        <w:numPr>
          <w:ilvl w:val="0"/>
          <w:numId w:val="9"/>
        </w:numPr>
        <w:tabs>
          <w:tab w:val="clear" w:pos="720"/>
          <w:tab w:val="num" w:pos="540"/>
        </w:tabs>
        <w:suppressAutoHyphens/>
        <w:ind w:left="0" w:firstLine="0"/>
        <w:rPr>
          <w:del w:id="17046" w:author="AbbVie02no" w:date="2025-05-15T14:22:00Z"/>
          <w:sz w:val="22"/>
          <w:szCs w:val="22"/>
        </w:rPr>
      </w:pPr>
      <w:del w:id="17047" w:author="AbbVie02no" w:date="2025-05-15T14:22:00Z">
        <w:r w:rsidRPr="009C5EFD">
          <w:rPr>
            <w:sz w:val="22"/>
            <w:szCs w:val="22"/>
          </w:rPr>
          <w:delText>smerter i muskler og skjelett.</w:delText>
        </w:r>
      </w:del>
    </w:p>
    <w:p w14:paraId="6824B9FF" w14:textId="113172E0" w:rsidR="007B668D" w:rsidRPr="009C5EFD" w:rsidRDefault="007B668D" w:rsidP="009C5EFD">
      <w:pPr>
        <w:pStyle w:val="EndnoteText"/>
        <w:widowControl/>
        <w:tabs>
          <w:tab w:val="clear" w:pos="567"/>
        </w:tabs>
        <w:suppressAutoHyphens/>
        <w:rPr>
          <w:del w:id="17048" w:author="AbbVie02no" w:date="2025-05-15T14:22:00Z"/>
          <w:szCs w:val="22"/>
          <w:lang w:val="nb-NO"/>
        </w:rPr>
      </w:pPr>
    </w:p>
    <w:p w14:paraId="640054FC" w14:textId="51DC8DF1" w:rsidR="00C13645" w:rsidRDefault="00E453CD" w:rsidP="00776A84">
      <w:pPr>
        <w:keepNext/>
        <w:suppressAutoHyphens/>
        <w:rPr>
          <w:del w:id="17049" w:author="AbbVie02no" w:date="2025-05-15T14:22:00Z"/>
          <w:sz w:val="22"/>
          <w:szCs w:val="22"/>
        </w:rPr>
      </w:pPr>
      <w:del w:id="17050" w:author="AbbVie02no" w:date="2025-05-15T14:22:00Z">
        <w:r w:rsidRPr="006936CB">
          <w:rPr>
            <w:sz w:val="22"/>
            <w:szCs w:val="22"/>
          </w:rPr>
          <w:delText>Vanlige</w:delText>
        </w:r>
        <w:r w:rsidRPr="009C5EFD">
          <w:rPr>
            <w:sz w:val="22"/>
            <w:szCs w:val="22"/>
          </w:rPr>
          <w:delText xml:space="preserve"> (</w:delText>
        </w:r>
        <w:r w:rsidR="00151C5C" w:rsidRPr="009C5EFD">
          <w:rPr>
            <w:sz w:val="22"/>
            <w:szCs w:val="22"/>
          </w:rPr>
          <w:delText xml:space="preserve">kan </w:delText>
        </w:r>
        <w:r w:rsidR="003B66F8" w:rsidRPr="009C5EFD">
          <w:rPr>
            <w:sz w:val="22"/>
            <w:szCs w:val="22"/>
          </w:rPr>
          <w:delText>forekomme hos</w:delText>
        </w:r>
        <w:r w:rsidR="00151C5C" w:rsidRPr="009C5EFD">
          <w:rPr>
            <w:sz w:val="22"/>
            <w:szCs w:val="22"/>
          </w:rPr>
          <w:delText xml:space="preserve"> opptil</w:delText>
        </w:r>
        <w:r w:rsidRPr="009C5EFD">
          <w:rPr>
            <w:sz w:val="22"/>
            <w:szCs w:val="22"/>
          </w:rPr>
          <w:delText xml:space="preserve"> 1 </w:delText>
        </w:r>
        <w:r w:rsidR="00997C9A" w:rsidRPr="009C5EFD">
          <w:rPr>
            <w:sz w:val="22"/>
            <w:szCs w:val="22"/>
          </w:rPr>
          <w:delText>av</w:delText>
        </w:r>
        <w:r w:rsidRPr="009C5EFD">
          <w:rPr>
            <w:sz w:val="22"/>
            <w:szCs w:val="22"/>
          </w:rPr>
          <w:delText xml:space="preserve"> 10 </w:delText>
        </w:r>
        <w:r w:rsidR="00151C5C" w:rsidRPr="009C5EFD">
          <w:rPr>
            <w:sz w:val="22"/>
            <w:szCs w:val="22"/>
          </w:rPr>
          <w:delText>personer</w:delText>
        </w:r>
        <w:r w:rsidRPr="009C5EFD">
          <w:rPr>
            <w:sz w:val="22"/>
            <w:szCs w:val="22"/>
          </w:rPr>
          <w:delText>)</w:delText>
        </w:r>
      </w:del>
    </w:p>
    <w:p w14:paraId="7BC93038" w14:textId="153E44FF" w:rsidR="007B668D" w:rsidRPr="009C5EFD" w:rsidRDefault="007B668D" w:rsidP="00776A84">
      <w:pPr>
        <w:keepNext/>
        <w:suppressAutoHyphens/>
        <w:rPr>
          <w:del w:id="17051" w:author="AbbVie02no" w:date="2025-05-15T14:22:00Z"/>
          <w:sz w:val="22"/>
          <w:szCs w:val="22"/>
        </w:rPr>
      </w:pPr>
    </w:p>
    <w:p w14:paraId="704BCB07" w14:textId="3AD966E3" w:rsidR="007B668D" w:rsidRDefault="00E453CD" w:rsidP="009C5EFD">
      <w:pPr>
        <w:numPr>
          <w:ilvl w:val="0"/>
          <w:numId w:val="9"/>
        </w:numPr>
        <w:tabs>
          <w:tab w:val="clear" w:pos="720"/>
          <w:tab w:val="num" w:pos="540"/>
        </w:tabs>
        <w:suppressAutoHyphens/>
        <w:ind w:left="0" w:firstLine="0"/>
        <w:rPr>
          <w:del w:id="17052" w:author="AbbVie02no" w:date="2025-05-15T14:22:00Z"/>
          <w:sz w:val="22"/>
          <w:szCs w:val="22"/>
        </w:rPr>
      </w:pPr>
      <w:del w:id="17053" w:author="AbbVie02no" w:date="2025-05-15T14:22:00Z">
        <w:r>
          <w:rPr>
            <w:sz w:val="22"/>
            <w:szCs w:val="22"/>
          </w:rPr>
          <w:delText>alvorlige</w:delText>
        </w:r>
        <w:r w:rsidR="00047252" w:rsidRPr="009C5EFD">
          <w:rPr>
            <w:sz w:val="22"/>
            <w:szCs w:val="22"/>
          </w:rPr>
          <w:delText xml:space="preserve"> </w:delText>
        </w:r>
        <w:r w:rsidRPr="009C5EFD">
          <w:rPr>
            <w:sz w:val="22"/>
            <w:szCs w:val="22"/>
          </w:rPr>
          <w:delText>infeksjoner (inkludert blodforgiftning og influensa),</w:delText>
        </w:r>
      </w:del>
    </w:p>
    <w:p w14:paraId="26B8C0F5" w14:textId="3FBEB640" w:rsidR="00047252" w:rsidRPr="009C5EFD" w:rsidRDefault="00E453CD" w:rsidP="009C5EFD">
      <w:pPr>
        <w:numPr>
          <w:ilvl w:val="0"/>
          <w:numId w:val="9"/>
        </w:numPr>
        <w:tabs>
          <w:tab w:val="clear" w:pos="720"/>
          <w:tab w:val="num" w:pos="540"/>
        </w:tabs>
        <w:suppressAutoHyphens/>
        <w:ind w:left="0" w:firstLine="0"/>
        <w:rPr>
          <w:del w:id="17054" w:author="AbbVie02no" w:date="2025-05-15T14:22:00Z"/>
          <w:sz w:val="22"/>
          <w:szCs w:val="22"/>
        </w:rPr>
      </w:pPr>
      <w:del w:id="17055" w:author="AbbVie02no" w:date="2025-05-15T14:22:00Z">
        <w:r>
          <w:rPr>
            <w:sz w:val="22"/>
            <w:szCs w:val="22"/>
          </w:rPr>
          <w:delText>mageinfeksjon (inkludert gastroenteritt)</w:delText>
        </w:r>
      </w:del>
    </w:p>
    <w:p w14:paraId="18CF42C2" w14:textId="6777954A" w:rsidR="007B668D" w:rsidRPr="009C5EFD" w:rsidRDefault="00E453CD" w:rsidP="009C5EFD">
      <w:pPr>
        <w:numPr>
          <w:ilvl w:val="0"/>
          <w:numId w:val="9"/>
        </w:numPr>
        <w:tabs>
          <w:tab w:val="clear" w:pos="720"/>
          <w:tab w:val="num" w:pos="540"/>
        </w:tabs>
        <w:suppressAutoHyphens/>
        <w:ind w:left="0" w:firstLine="0"/>
        <w:rPr>
          <w:del w:id="17056" w:author="AbbVie02no" w:date="2025-05-15T14:22:00Z"/>
          <w:sz w:val="22"/>
          <w:szCs w:val="22"/>
        </w:rPr>
      </w:pPr>
      <w:del w:id="17057" w:author="AbbVie02no" w:date="2025-05-15T14:22:00Z">
        <w:r w:rsidRPr="009C5EFD">
          <w:rPr>
            <w:sz w:val="22"/>
            <w:szCs w:val="22"/>
          </w:rPr>
          <w:delText>hudinfeksjon (inkludert cellulitt (betennelse med hevelse og ømhet i bindevev) og helvetesild),</w:delText>
        </w:r>
      </w:del>
    </w:p>
    <w:p w14:paraId="6240D874" w14:textId="3217AF9A" w:rsidR="007B668D" w:rsidRPr="009C5EFD" w:rsidRDefault="00E453CD" w:rsidP="009C5EFD">
      <w:pPr>
        <w:numPr>
          <w:ilvl w:val="0"/>
          <w:numId w:val="9"/>
        </w:numPr>
        <w:tabs>
          <w:tab w:val="clear" w:pos="720"/>
          <w:tab w:val="num" w:pos="540"/>
        </w:tabs>
        <w:suppressAutoHyphens/>
        <w:ind w:left="0" w:firstLine="0"/>
        <w:rPr>
          <w:del w:id="17058" w:author="AbbVie02no" w:date="2025-05-15T14:22:00Z"/>
          <w:sz w:val="22"/>
          <w:szCs w:val="22"/>
        </w:rPr>
      </w:pPr>
      <w:del w:id="17059" w:author="AbbVie02no" w:date="2025-05-15T14:22:00Z">
        <w:r w:rsidRPr="009C5EFD">
          <w:rPr>
            <w:sz w:val="22"/>
            <w:szCs w:val="22"/>
          </w:rPr>
          <w:delText>øreinfeksjon,</w:delText>
        </w:r>
      </w:del>
    </w:p>
    <w:p w14:paraId="6CBCBB05" w14:textId="2EDDE8EF" w:rsidR="007B668D" w:rsidRPr="009C5EFD" w:rsidRDefault="00E453CD" w:rsidP="009C5EFD">
      <w:pPr>
        <w:numPr>
          <w:ilvl w:val="0"/>
          <w:numId w:val="9"/>
        </w:numPr>
        <w:tabs>
          <w:tab w:val="clear" w:pos="720"/>
          <w:tab w:val="num" w:pos="540"/>
        </w:tabs>
        <w:suppressAutoHyphens/>
        <w:ind w:left="0" w:firstLine="0"/>
        <w:rPr>
          <w:del w:id="17060" w:author="AbbVie02no" w:date="2025-05-15T14:22:00Z"/>
          <w:sz w:val="22"/>
          <w:szCs w:val="22"/>
        </w:rPr>
      </w:pPr>
      <w:del w:id="17061" w:author="AbbVie02no" w:date="2025-05-15T14:22:00Z">
        <w:r w:rsidRPr="009C5EFD">
          <w:rPr>
            <w:sz w:val="22"/>
            <w:szCs w:val="22"/>
          </w:rPr>
          <w:delText>munninfeksjon (inkludert tanninfeksjoner og forkjølelsessår),</w:delText>
        </w:r>
      </w:del>
    </w:p>
    <w:p w14:paraId="1F5FA9B3" w14:textId="6AF293B1" w:rsidR="007B668D" w:rsidRPr="009C5EFD" w:rsidRDefault="00E453CD" w:rsidP="009C5EFD">
      <w:pPr>
        <w:numPr>
          <w:ilvl w:val="0"/>
          <w:numId w:val="9"/>
        </w:numPr>
        <w:tabs>
          <w:tab w:val="clear" w:pos="720"/>
          <w:tab w:val="num" w:pos="540"/>
        </w:tabs>
        <w:suppressAutoHyphens/>
        <w:ind w:left="0" w:firstLine="0"/>
        <w:rPr>
          <w:del w:id="17062" w:author="AbbVie02no" w:date="2025-05-15T14:22:00Z"/>
          <w:sz w:val="22"/>
          <w:szCs w:val="22"/>
        </w:rPr>
      </w:pPr>
      <w:del w:id="17063" w:author="AbbVie02no" w:date="2025-05-15T14:22:00Z">
        <w:r w:rsidRPr="009C5EFD">
          <w:rPr>
            <w:sz w:val="22"/>
            <w:szCs w:val="22"/>
          </w:rPr>
          <w:delText>infeksjoner i forplantningskanal,</w:delText>
        </w:r>
      </w:del>
    </w:p>
    <w:p w14:paraId="33FE0DAC" w14:textId="0D54798D" w:rsidR="007B668D" w:rsidRPr="009C5EFD" w:rsidRDefault="00E453CD" w:rsidP="009C5EFD">
      <w:pPr>
        <w:numPr>
          <w:ilvl w:val="0"/>
          <w:numId w:val="9"/>
        </w:numPr>
        <w:tabs>
          <w:tab w:val="clear" w:pos="720"/>
          <w:tab w:val="num" w:pos="540"/>
        </w:tabs>
        <w:suppressAutoHyphens/>
        <w:ind w:left="0" w:firstLine="0"/>
        <w:rPr>
          <w:del w:id="17064" w:author="AbbVie02no" w:date="2025-05-15T14:22:00Z"/>
          <w:sz w:val="22"/>
          <w:szCs w:val="22"/>
        </w:rPr>
      </w:pPr>
      <w:del w:id="17065" w:author="AbbVie02no" w:date="2025-05-15T14:22:00Z">
        <w:r w:rsidRPr="009C5EFD">
          <w:rPr>
            <w:sz w:val="22"/>
            <w:szCs w:val="22"/>
          </w:rPr>
          <w:delText>urinveisinfeksjon,</w:delText>
        </w:r>
      </w:del>
    </w:p>
    <w:p w14:paraId="345F4A90" w14:textId="1946960B" w:rsidR="005907B1" w:rsidRPr="009C5EFD" w:rsidRDefault="00E453CD" w:rsidP="00EE4677">
      <w:pPr>
        <w:numPr>
          <w:ilvl w:val="0"/>
          <w:numId w:val="16"/>
        </w:numPr>
        <w:tabs>
          <w:tab w:val="clear" w:pos="720"/>
          <w:tab w:val="num" w:pos="540"/>
        </w:tabs>
        <w:suppressAutoHyphens/>
        <w:ind w:left="540" w:hanging="540"/>
        <w:rPr>
          <w:del w:id="17066" w:author="AbbVie02no" w:date="2025-05-15T14:22:00Z"/>
          <w:sz w:val="22"/>
          <w:szCs w:val="22"/>
        </w:rPr>
      </w:pPr>
      <w:del w:id="17067" w:author="AbbVie02no" w:date="2025-05-15T14:22:00Z">
        <w:r w:rsidRPr="009C5EFD">
          <w:rPr>
            <w:sz w:val="22"/>
            <w:szCs w:val="22"/>
          </w:rPr>
          <w:delText xml:space="preserve">soppinfeksjon, </w:delText>
        </w:r>
      </w:del>
    </w:p>
    <w:p w14:paraId="46BC504D" w14:textId="738662A8" w:rsidR="007B668D" w:rsidRPr="009C5EFD" w:rsidRDefault="00E453CD" w:rsidP="009C5EFD">
      <w:pPr>
        <w:numPr>
          <w:ilvl w:val="0"/>
          <w:numId w:val="9"/>
        </w:numPr>
        <w:tabs>
          <w:tab w:val="clear" w:pos="720"/>
          <w:tab w:val="num" w:pos="540"/>
        </w:tabs>
        <w:suppressAutoHyphens/>
        <w:ind w:left="0" w:firstLine="0"/>
        <w:rPr>
          <w:del w:id="17068" w:author="AbbVie02no" w:date="2025-05-15T14:22:00Z"/>
          <w:sz w:val="22"/>
          <w:szCs w:val="22"/>
        </w:rPr>
      </w:pPr>
      <w:del w:id="17069" w:author="AbbVie02no" w:date="2025-05-15T14:22:00Z">
        <w:r w:rsidRPr="009C5EFD">
          <w:rPr>
            <w:sz w:val="22"/>
            <w:szCs w:val="22"/>
          </w:rPr>
          <w:delText>leddinfeksjoner,</w:delText>
        </w:r>
      </w:del>
    </w:p>
    <w:p w14:paraId="41617995" w14:textId="286B7DFB" w:rsidR="007B668D" w:rsidRPr="009C5EFD" w:rsidRDefault="00E453CD" w:rsidP="009C5EFD">
      <w:pPr>
        <w:numPr>
          <w:ilvl w:val="0"/>
          <w:numId w:val="9"/>
        </w:numPr>
        <w:tabs>
          <w:tab w:val="clear" w:pos="720"/>
          <w:tab w:val="num" w:pos="540"/>
        </w:tabs>
        <w:suppressAutoHyphens/>
        <w:ind w:left="0" w:firstLine="0"/>
        <w:rPr>
          <w:del w:id="17070" w:author="AbbVie02no" w:date="2025-05-15T14:22:00Z"/>
          <w:sz w:val="22"/>
          <w:szCs w:val="22"/>
        </w:rPr>
      </w:pPr>
      <w:del w:id="17071" w:author="AbbVie02no" w:date="2025-05-15T14:22:00Z">
        <w:r w:rsidRPr="009C5EFD">
          <w:rPr>
            <w:sz w:val="22"/>
            <w:szCs w:val="22"/>
          </w:rPr>
          <w:delText>godartede tumorer,</w:delText>
        </w:r>
      </w:del>
    </w:p>
    <w:p w14:paraId="53821A46" w14:textId="5273921B" w:rsidR="007B668D" w:rsidRPr="009C5EFD" w:rsidRDefault="00E453CD" w:rsidP="009C5EFD">
      <w:pPr>
        <w:numPr>
          <w:ilvl w:val="0"/>
          <w:numId w:val="9"/>
        </w:numPr>
        <w:tabs>
          <w:tab w:val="clear" w:pos="720"/>
          <w:tab w:val="num" w:pos="540"/>
        </w:tabs>
        <w:suppressAutoHyphens/>
        <w:ind w:left="0" w:firstLine="0"/>
        <w:rPr>
          <w:del w:id="17072" w:author="AbbVie02no" w:date="2025-05-15T14:22:00Z"/>
          <w:sz w:val="22"/>
          <w:szCs w:val="22"/>
        </w:rPr>
      </w:pPr>
      <w:del w:id="17073" w:author="AbbVie02no" w:date="2025-05-15T14:22:00Z">
        <w:r w:rsidRPr="009C5EFD">
          <w:rPr>
            <w:sz w:val="22"/>
            <w:szCs w:val="22"/>
          </w:rPr>
          <w:delText>hudkreft,</w:delText>
        </w:r>
      </w:del>
    </w:p>
    <w:p w14:paraId="4136E4C5" w14:textId="6EA0B28E" w:rsidR="007B668D" w:rsidRPr="009C5EFD" w:rsidRDefault="00E453CD" w:rsidP="009C5EFD">
      <w:pPr>
        <w:numPr>
          <w:ilvl w:val="0"/>
          <w:numId w:val="9"/>
        </w:numPr>
        <w:tabs>
          <w:tab w:val="clear" w:pos="720"/>
          <w:tab w:val="num" w:pos="540"/>
        </w:tabs>
        <w:suppressAutoHyphens/>
        <w:ind w:left="0" w:firstLine="0"/>
        <w:rPr>
          <w:del w:id="17074" w:author="AbbVie02no" w:date="2025-05-15T14:22:00Z"/>
          <w:sz w:val="22"/>
          <w:szCs w:val="22"/>
        </w:rPr>
      </w:pPr>
      <w:del w:id="17075" w:author="AbbVie02no" w:date="2025-05-15T14:22:00Z">
        <w:r w:rsidRPr="009C5EFD">
          <w:rPr>
            <w:sz w:val="22"/>
            <w:szCs w:val="22"/>
          </w:rPr>
          <w:delText>allergiske reaksjoner (inkludert sesongallergi),</w:delText>
        </w:r>
      </w:del>
    </w:p>
    <w:p w14:paraId="71F31E46" w14:textId="5688B48D" w:rsidR="00F469D6" w:rsidRPr="009C5EFD" w:rsidRDefault="00E453CD" w:rsidP="009C5EFD">
      <w:pPr>
        <w:numPr>
          <w:ilvl w:val="0"/>
          <w:numId w:val="9"/>
        </w:numPr>
        <w:tabs>
          <w:tab w:val="clear" w:pos="720"/>
          <w:tab w:val="num" w:pos="540"/>
        </w:tabs>
        <w:suppressAutoHyphens/>
        <w:ind w:left="0" w:firstLine="0"/>
        <w:rPr>
          <w:del w:id="17076" w:author="AbbVie02no" w:date="2025-05-15T14:22:00Z"/>
          <w:sz w:val="22"/>
          <w:szCs w:val="22"/>
        </w:rPr>
      </w:pPr>
      <w:del w:id="17077" w:author="AbbVie02no" w:date="2025-05-15T14:22:00Z">
        <w:r w:rsidRPr="009C5EFD">
          <w:rPr>
            <w:sz w:val="22"/>
            <w:szCs w:val="22"/>
          </w:rPr>
          <w:delText>dehydrering,</w:delText>
        </w:r>
      </w:del>
    </w:p>
    <w:p w14:paraId="16DD52ED" w14:textId="2D724882" w:rsidR="007B668D" w:rsidRPr="009C5EFD" w:rsidRDefault="00E453CD" w:rsidP="009C5EFD">
      <w:pPr>
        <w:numPr>
          <w:ilvl w:val="0"/>
          <w:numId w:val="9"/>
        </w:numPr>
        <w:tabs>
          <w:tab w:val="clear" w:pos="720"/>
          <w:tab w:val="num" w:pos="540"/>
        </w:tabs>
        <w:suppressAutoHyphens/>
        <w:ind w:left="0" w:firstLine="0"/>
        <w:rPr>
          <w:del w:id="17078" w:author="AbbVie02no" w:date="2025-05-15T14:22:00Z"/>
          <w:sz w:val="22"/>
          <w:szCs w:val="22"/>
        </w:rPr>
      </w:pPr>
      <w:del w:id="17079" w:author="AbbVie02no" w:date="2025-05-15T14:22:00Z">
        <w:r w:rsidRPr="009C5EFD">
          <w:rPr>
            <w:sz w:val="22"/>
            <w:szCs w:val="22"/>
          </w:rPr>
          <w:lastRenderedPageBreak/>
          <w:delText>humørsvingninger (inkludert depresjon),</w:delText>
        </w:r>
      </w:del>
    </w:p>
    <w:p w14:paraId="43C30C5D" w14:textId="08A2231A" w:rsidR="007B668D" w:rsidRPr="009C5EFD" w:rsidRDefault="00E453CD" w:rsidP="009C5EFD">
      <w:pPr>
        <w:numPr>
          <w:ilvl w:val="0"/>
          <w:numId w:val="9"/>
        </w:numPr>
        <w:tabs>
          <w:tab w:val="clear" w:pos="720"/>
          <w:tab w:val="num" w:pos="540"/>
        </w:tabs>
        <w:suppressAutoHyphens/>
        <w:ind w:left="0" w:firstLine="0"/>
        <w:rPr>
          <w:del w:id="17080" w:author="AbbVie02no" w:date="2025-05-15T14:22:00Z"/>
          <w:sz w:val="22"/>
          <w:szCs w:val="22"/>
        </w:rPr>
      </w:pPr>
      <w:del w:id="17081" w:author="AbbVie02no" w:date="2025-05-15T14:22:00Z">
        <w:r w:rsidRPr="009C5EFD">
          <w:rPr>
            <w:sz w:val="22"/>
            <w:szCs w:val="22"/>
          </w:rPr>
          <w:delText>angst,</w:delText>
        </w:r>
      </w:del>
    </w:p>
    <w:p w14:paraId="2CBE2374" w14:textId="7E310ACF" w:rsidR="007B668D" w:rsidRPr="009C5EFD" w:rsidRDefault="00E453CD" w:rsidP="009C5EFD">
      <w:pPr>
        <w:numPr>
          <w:ilvl w:val="0"/>
          <w:numId w:val="9"/>
        </w:numPr>
        <w:tabs>
          <w:tab w:val="clear" w:pos="720"/>
          <w:tab w:val="num" w:pos="540"/>
        </w:tabs>
        <w:suppressAutoHyphens/>
        <w:ind w:left="0" w:firstLine="0"/>
        <w:rPr>
          <w:del w:id="17082" w:author="AbbVie02no" w:date="2025-05-15T14:22:00Z"/>
          <w:sz w:val="22"/>
          <w:szCs w:val="22"/>
        </w:rPr>
      </w:pPr>
      <w:del w:id="17083" w:author="AbbVie02no" w:date="2025-05-15T14:22:00Z">
        <w:r w:rsidRPr="009C5EFD">
          <w:rPr>
            <w:sz w:val="22"/>
            <w:szCs w:val="22"/>
          </w:rPr>
          <w:delText>søvnvansker,</w:delText>
        </w:r>
      </w:del>
    </w:p>
    <w:p w14:paraId="1562E08D" w14:textId="44DFD363" w:rsidR="007B668D" w:rsidRPr="009C5EFD" w:rsidRDefault="00E453CD" w:rsidP="009C5EFD">
      <w:pPr>
        <w:numPr>
          <w:ilvl w:val="0"/>
          <w:numId w:val="9"/>
        </w:numPr>
        <w:tabs>
          <w:tab w:val="clear" w:pos="720"/>
          <w:tab w:val="num" w:pos="540"/>
        </w:tabs>
        <w:suppressAutoHyphens/>
        <w:ind w:left="0" w:firstLine="0"/>
        <w:rPr>
          <w:del w:id="17084" w:author="AbbVie02no" w:date="2025-05-15T14:22:00Z"/>
          <w:sz w:val="22"/>
          <w:szCs w:val="22"/>
        </w:rPr>
      </w:pPr>
      <w:del w:id="17085" w:author="AbbVie02no" w:date="2025-05-15T14:22:00Z">
        <w:r w:rsidRPr="009C5EFD">
          <w:rPr>
            <w:sz w:val="22"/>
            <w:szCs w:val="22"/>
          </w:rPr>
          <w:delText>sanseforstyrrelser som kribling, prikking eller nummenhet,</w:delText>
        </w:r>
      </w:del>
    </w:p>
    <w:p w14:paraId="0D4D38AC" w14:textId="4D22CC41" w:rsidR="007B668D" w:rsidRPr="009C5EFD" w:rsidRDefault="00E453CD" w:rsidP="009C5EFD">
      <w:pPr>
        <w:numPr>
          <w:ilvl w:val="0"/>
          <w:numId w:val="9"/>
        </w:numPr>
        <w:tabs>
          <w:tab w:val="clear" w:pos="720"/>
          <w:tab w:val="num" w:pos="540"/>
        </w:tabs>
        <w:suppressAutoHyphens/>
        <w:ind w:left="0" w:firstLine="0"/>
        <w:rPr>
          <w:del w:id="17086" w:author="AbbVie02no" w:date="2025-05-15T14:22:00Z"/>
          <w:sz w:val="22"/>
          <w:szCs w:val="22"/>
        </w:rPr>
      </w:pPr>
      <w:del w:id="17087" w:author="AbbVie02no" w:date="2025-05-15T14:22:00Z">
        <w:r w:rsidRPr="009C5EFD">
          <w:rPr>
            <w:sz w:val="22"/>
            <w:szCs w:val="22"/>
          </w:rPr>
          <w:delText>migrene,</w:delText>
        </w:r>
      </w:del>
    </w:p>
    <w:p w14:paraId="6683E1D8" w14:textId="3F887D3C" w:rsidR="007B668D" w:rsidRPr="009C5EFD" w:rsidRDefault="00E453CD" w:rsidP="009C5EFD">
      <w:pPr>
        <w:numPr>
          <w:ilvl w:val="0"/>
          <w:numId w:val="9"/>
        </w:numPr>
        <w:tabs>
          <w:tab w:val="clear" w:pos="720"/>
          <w:tab w:val="num" w:pos="540"/>
        </w:tabs>
        <w:suppressAutoHyphens/>
        <w:ind w:left="0" w:firstLine="0"/>
        <w:rPr>
          <w:del w:id="17088" w:author="AbbVie02no" w:date="2025-05-15T14:22:00Z"/>
          <w:sz w:val="22"/>
          <w:szCs w:val="22"/>
        </w:rPr>
      </w:pPr>
      <w:del w:id="17089" w:author="AbbVie02no" w:date="2025-05-15T14:22:00Z">
        <w:r w:rsidRPr="009C5EFD">
          <w:rPr>
            <w:sz w:val="22"/>
            <w:szCs w:val="22"/>
          </w:rPr>
          <w:delText xml:space="preserve">kompresjon av nerverot (inkludert smerter i korsryggen og i </w:delText>
        </w:r>
        <w:r w:rsidR="00954434">
          <w:rPr>
            <w:sz w:val="22"/>
            <w:szCs w:val="22"/>
          </w:rPr>
          <w:delText>beina</w:delText>
        </w:r>
        <w:r w:rsidRPr="009C5EFD">
          <w:rPr>
            <w:sz w:val="22"/>
            <w:szCs w:val="22"/>
          </w:rPr>
          <w:delText>),</w:delText>
        </w:r>
      </w:del>
    </w:p>
    <w:p w14:paraId="6C7C009F" w14:textId="192C81FE" w:rsidR="007B668D" w:rsidRPr="009C5EFD" w:rsidRDefault="00E453CD" w:rsidP="009C5EFD">
      <w:pPr>
        <w:numPr>
          <w:ilvl w:val="0"/>
          <w:numId w:val="9"/>
        </w:numPr>
        <w:tabs>
          <w:tab w:val="clear" w:pos="720"/>
          <w:tab w:val="num" w:pos="540"/>
        </w:tabs>
        <w:suppressAutoHyphens/>
        <w:ind w:left="0" w:firstLine="0"/>
        <w:rPr>
          <w:del w:id="17090" w:author="AbbVie02no" w:date="2025-05-15T14:22:00Z"/>
          <w:sz w:val="22"/>
          <w:szCs w:val="22"/>
        </w:rPr>
      </w:pPr>
      <w:del w:id="17091" w:author="AbbVie02no" w:date="2025-05-15T14:22:00Z">
        <w:r w:rsidRPr="009C5EFD">
          <w:rPr>
            <w:sz w:val="22"/>
            <w:szCs w:val="22"/>
          </w:rPr>
          <w:delText>synsforstyrrelser,</w:delText>
        </w:r>
      </w:del>
    </w:p>
    <w:p w14:paraId="6C30B5D7" w14:textId="670211A8" w:rsidR="005907B1" w:rsidRPr="009C5EFD" w:rsidRDefault="00E453CD" w:rsidP="00EE4677">
      <w:pPr>
        <w:numPr>
          <w:ilvl w:val="0"/>
          <w:numId w:val="16"/>
        </w:numPr>
        <w:tabs>
          <w:tab w:val="clear" w:pos="720"/>
          <w:tab w:val="num" w:pos="540"/>
        </w:tabs>
        <w:suppressAutoHyphens/>
        <w:ind w:left="540" w:hanging="540"/>
        <w:rPr>
          <w:del w:id="17092" w:author="AbbVie02no" w:date="2025-05-15T14:22:00Z"/>
          <w:sz w:val="22"/>
          <w:szCs w:val="22"/>
        </w:rPr>
      </w:pPr>
      <w:del w:id="17093" w:author="AbbVie02no" w:date="2025-05-15T14:22:00Z">
        <w:r w:rsidRPr="009C5EFD">
          <w:rPr>
            <w:sz w:val="22"/>
            <w:szCs w:val="22"/>
          </w:rPr>
          <w:delText xml:space="preserve">øyeinfeksjon, </w:delText>
        </w:r>
      </w:del>
    </w:p>
    <w:p w14:paraId="23BCF078" w14:textId="36A0DA8F" w:rsidR="007B668D" w:rsidRPr="009C5EFD" w:rsidRDefault="00E453CD" w:rsidP="009C5EFD">
      <w:pPr>
        <w:numPr>
          <w:ilvl w:val="0"/>
          <w:numId w:val="9"/>
        </w:numPr>
        <w:tabs>
          <w:tab w:val="clear" w:pos="720"/>
          <w:tab w:val="num" w:pos="540"/>
        </w:tabs>
        <w:suppressAutoHyphens/>
        <w:ind w:left="0" w:firstLine="0"/>
        <w:rPr>
          <w:del w:id="17094" w:author="AbbVie02no" w:date="2025-05-15T14:22:00Z"/>
          <w:sz w:val="22"/>
          <w:szCs w:val="22"/>
        </w:rPr>
      </w:pPr>
      <w:del w:id="17095" w:author="AbbVie02no" w:date="2025-05-15T14:22:00Z">
        <w:r w:rsidRPr="009C5EFD">
          <w:rPr>
            <w:sz w:val="22"/>
            <w:szCs w:val="22"/>
          </w:rPr>
          <w:delText>betennelse i øyelokk og opphovnet øye,</w:delText>
        </w:r>
      </w:del>
    </w:p>
    <w:p w14:paraId="2261ECB5" w14:textId="5769176F" w:rsidR="007B668D" w:rsidRPr="009C5EFD" w:rsidRDefault="00E453CD" w:rsidP="009C5EFD">
      <w:pPr>
        <w:numPr>
          <w:ilvl w:val="0"/>
          <w:numId w:val="9"/>
        </w:numPr>
        <w:tabs>
          <w:tab w:val="clear" w:pos="720"/>
          <w:tab w:val="num" w:pos="540"/>
        </w:tabs>
        <w:suppressAutoHyphens/>
        <w:ind w:left="0" w:firstLine="0"/>
        <w:rPr>
          <w:del w:id="17096" w:author="AbbVie02no" w:date="2025-05-15T14:22:00Z"/>
          <w:sz w:val="22"/>
          <w:szCs w:val="22"/>
        </w:rPr>
      </w:pPr>
      <w:del w:id="17097" w:author="AbbVie02no" w:date="2025-05-15T14:22:00Z">
        <w:r w:rsidRPr="009C5EFD">
          <w:rPr>
            <w:sz w:val="22"/>
            <w:szCs w:val="22"/>
          </w:rPr>
          <w:delText>svimmelhet,</w:delText>
        </w:r>
      </w:del>
    </w:p>
    <w:p w14:paraId="21C2AFAD" w14:textId="23CB0D3F" w:rsidR="007B668D" w:rsidRPr="009C5EFD" w:rsidRDefault="00E453CD" w:rsidP="009C5EFD">
      <w:pPr>
        <w:numPr>
          <w:ilvl w:val="0"/>
          <w:numId w:val="9"/>
        </w:numPr>
        <w:tabs>
          <w:tab w:val="clear" w:pos="720"/>
          <w:tab w:val="num" w:pos="540"/>
        </w:tabs>
        <w:suppressAutoHyphens/>
        <w:ind w:left="0" w:firstLine="0"/>
        <w:rPr>
          <w:del w:id="17098" w:author="AbbVie02no" w:date="2025-05-15T14:22:00Z"/>
          <w:sz w:val="22"/>
          <w:szCs w:val="22"/>
        </w:rPr>
      </w:pPr>
      <w:del w:id="17099" w:author="AbbVie02no" w:date="2025-05-15T14:22:00Z">
        <w:r w:rsidRPr="009C5EFD">
          <w:rPr>
            <w:sz w:val="22"/>
            <w:szCs w:val="22"/>
          </w:rPr>
          <w:delText>følelse av at hjertet slår rask</w:delText>
        </w:r>
        <w:r w:rsidR="005F38E5">
          <w:rPr>
            <w:sz w:val="22"/>
            <w:szCs w:val="22"/>
          </w:rPr>
          <w:delText>t</w:delText>
        </w:r>
        <w:r w:rsidRPr="009C5EFD">
          <w:rPr>
            <w:sz w:val="22"/>
            <w:szCs w:val="22"/>
          </w:rPr>
          <w:delText>,</w:delText>
        </w:r>
      </w:del>
    </w:p>
    <w:p w14:paraId="44DA441B" w14:textId="76A2CF7B" w:rsidR="007B668D" w:rsidRPr="009C5EFD" w:rsidRDefault="00E453CD" w:rsidP="009C5EFD">
      <w:pPr>
        <w:numPr>
          <w:ilvl w:val="0"/>
          <w:numId w:val="9"/>
        </w:numPr>
        <w:tabs>
          <w:tab w:val="clear" w:pos="720"/>
          <w:tab w:val="num" w:pos="540"/>
        </w:tabs>
        <w:suppressAutoHyphens/>
        <w:ind w:left="0" w:firstLine="0"/>
        <w:rPr>
          <w:del w:id="17100" w:author="AbbVie02no" w:date="2025-05-15T14:22:00Z"/>
          <w:sz w:val="22"/>
          <w:szCs w:val="22"/>
        </w:rPr>
      </w:pPr>
      <w:del w:id="17101" w:author="AbbVie02no" w:date="2025-05-15T14:22:00Z">
        <w:r w:rsidRPr="009C5EFD">
          <w:rPr>
            <w:sz w:val="22"/>
            <w:szCs w:val="22"/>
          </w:rPr>
          <w:delText>høyt blodtrykk,</w:delText>
        </w:r>
      </w:del>
    </w:p>
    <w:p w14:paraId="0473ABDC" w14:textId="699B12F3" w:rsidR="007B668D" w:rsidRPr="009C5EFD" w:rsidRDefault="00E453CD" w:rsidP="009C5EFD">
      <w:pPr>
        <w:numPr>
          <w:ilvl w:val="0"/>
          <w:numId w:val="9"/>
        </w:numPr>
        <w:tabs>
          <w:tab w:val="clear" w:pos="720"/>
          <w:tab w:val="num" w:pos="540"/>
        </w:tabs>
        <w:suppressAutoHyphens/>
        <w:ind w:left="0" w:firstLine="0"/>
        <w:rPr>
          <w:del w:id="17102" w:author="AbbVie02no" w:date="2025-05-15T14:22:00Z"/>
          <w:sz w:val="22"/>
          <w:szCs w:val="22"/>
        </w:rPr>
      </w:pPr>
      <w:del w:id="17103" w:author="AbbVie02no" w:date="2025-05-15T14:22:00Z">
        <w:r w:rsidRPr="009C5EFD">
          <w:rPr>
            <w:sz w:val="22"/>
            <w:szCs w:val="22"/>
          </w:rPr>
          <w:delText>rødme,</w:delText>
        </w:r>
      </w:del>
    </w:p>
    <w:p w14:paraId="6494C78C" w14:textId="01FE7486" w:rsidR="007B668D" w:rsidRPr="009C5EFD" w:rsidRDefault="00E453CD" w:rsidP="009C5EFD">
      <w:pPr>
        <w:numPr>
          <w:ilvl w:val="0"/>
          <w:numId w:val="9"/>
        </w:numPr>
        <w:tabs>
          <w:tab w:val="clear" w:pos="720"/>
          <w:tab w:val="num" w:pos="540"/>
        </w:tabs>
        <w:suppressAutoHyphens/>
        <w:ind w:left="0" w:firstLine="0"/>
        <w:rPr>
          <w:del w:id="17104" w:author="AbbVie02no" w:date="2025-05-15T14:22:00Z"/>
          <w:sz w:val="22"/>
          <w:szCs w:val="22"/>
        </w:rPr>
      </w:pPr>
      <w:del w:id="17105" w:author="AbbVie02no" w:date="2025-05-15T14:22:00Z">
        <w:r w:rsidRPr="009C5EFD">
          <w:rPr>
            <w:sz w:val="22"/>
            <w:szCs w:val="22"/>
          </w:rPr>
          <w:delText>blod</w:delText>
        </w:r>
        <w:r w:rsidR="00636750" w:rsidRPr="009C5EFD">
          <w:rPr>
            <w:sz w:val="22"/>
            <w:szCs w:val="22"/>
          </w:rPr>
          <w:delText>ansamling (hematom)</w:delText>
        </w:r>
        <w:r w:rsidRPr="009C5EFD">
          <w:rPr>
            <w:sz w:val="22"/>
            <w:szCs w:val="22"/>
          </w:rPr>
          <w:delText>,</w:delText>
        </w:r>
      </w:del>
    </w:p>
    <w:p w14:paraId="3AB841A4" w14:textId="4C1B6C13" w:rsidR="007B668D" w:rsidRPr="009C5EFD" w:rsidRDefault="00E453CD" w:rsidP="009C5EFD">
      <w:pPr>
        <w:numPr>
          <w:ilvl w:val="0"/>
          <w:numId w:val="9"/>
        </w:numPr>
        <w:tabs>
          <w:tab w:val="clear" w:pos="720"/>
          <w:tab w:val="num" w:pos="540"/>
        </w:tabs>
        <w:suppressAutoHyphens/>
        <w:ind w:left="0" w:firstLine="0"/>
        <w:rPr>
          <w:del w:id="17106" w:author="AbbVie02no" w:date="2025-05-15T14:22:00Z"/>
          <w:sz w:val="22"/>
          <w:szCs w:val="22"/>
        </w:rPr>
      </w:pPr>
      <w:del w:id="17107" w:author="AbbVie02no" w:date="2025-05-15T14:22:00Z">
        <w:r w:rsidRPr="009C5EFD">
          <w:rPr>
            <w:sz w:val="22"/>
            <w:szCs w:val="22"/>
          </w:rPr>
          <w:delText>hoste,</w:delText>
        </w:r>
      </w:del>
    </w:p>
    <w:p w14:paraId="49BB0D1D" w14:textId="5B4FE0E1" w:rsidR="007B668D" w:rsidRPr="009C5EFD" w:rsidRDefault="00E453CD" w:rsidP="009C5EFD">
      <w:pPr>
        <w:numPr>
          <w:ilvl w:val="0"/>
          <w:numId w:val="9"/>
        </w:numPr>
        <w:tabs>
          <w:tab w:val="clear" w:pos="720"/>
          <w:tab w:val="num" w:pos="540"/>
        </w:tabs>
        <w:suppressAutoHyphens/>
        <w:ind w:left="0" w:firstLine="0"/>
        <w:rPr>
          <w:del w:id="17108" w:author="AbbVie02no" w:date="2025-05-15T14:22:00Z"/>
          <w:sz w:val="22"/>
          <w:szCs w:val="22"/>
        </w:rPr>
      </w:pPr>
      <w:del w:id="17109" w:author="AbbVie02no" w:date="2025-05-15T14:22:00Z">
        <w:r w:rsidRPr="009C5EFD">
          <w:rPr>
            <w:sz w:val="22"/>
            <w:szCs w:val="22"/>
          </w:rPr>
          <w:delText>astma,</w:delText>
        </w:r>
      </w:del>
    </w:p>
    <w:p w14:paraId="27F2F7E4" w14:textId="31E66731" w:rsidR="007B668D" w:rsidRPr="009C5EFD" w:rsidRDefault="00E453CD" w:rsidP="009C5EFD">
      <w:pPr>
        <w:numPr>
          <w:ilvl w:val="0"/>
          <w:numId w:val="9"/>
        </w:numPr>
        <w:tabs>
          <w:tab w:val="clear" w:pos="720"/>
          <w:tab w:val="num" w:pos="540"/>
        </w:tabs>
        <w:suppressAutoHyphens/>
        <w:ind w:left="0" w:firstLine="0"/>
        <w:rPr>
          <w:del w:id="17110" w:author="AbbVie02no" w:date="2025-05-15T14:22:00Z"/>
          <w:sz w:val="22"/>
          <w:szCs w:val="22"/>
        </w:rPr>
      </w:pPr>
      <w:del w:id="17111" w:author="AbbVie02no" w:date="2025-05-15T14:22:00Z">
        <w:r w:rsidRPr="009C5EFD">
          <w:rPr>
            <w:sz w:val="22"/>
            <w:szCs w:val="22"/>
          </w:rPr>
          <w:delText>kortpusthet,</w:delText>
        </w:r>
      </w:del>
    </w:p>
    <w:p w14:paraId="2F1C9DF3" w14:textId="11FDCDE4" w:rsidR="007B668D" w:rsidRPr="009C5EFD" w:rsidRDefault="00E453CD" w:rsidP="009C5EFD">
      <w:pPr>
        <w:numPr>
          <w:ilvl w:val="0"/>
          <w:numId w:val="9"/>
        </w:numPr>
        <w:tabs>
          <w:tab w:val="clear" w:pos="720"/>
          <w:tab w:val="num" w:pos="540"/>
        </w:tabs>
        <w:suppressAutoHyphens/>
        <w:ind w:left="0" w:firstLine="0"/>
        <w:rPr>
          <w:del w:id="17112" w:author="AbbVie02no" w:date="2025-05-15T14:22:00Z"/>
          <w:sz w:val="22"/>
          <w:szCs w:val="22"/>
        </w:rPr>
      </w:pPr>
      <w:del w:id="17113" w:author="AbbVie02no" w:date="2025-05-15T14:22:00Z">
        <w:r w:rsidRPr="009C5EFD">
          <w:rPr>
            <w:sz w:val="22"/>
            <w:szCs w:val="22"/>
          </w:rPr>
          <w:delText>mageblødning,</w:delText>
        </w:r>
      </w:del>
    </w:p>
    <w:p w14:paraId="77E44EFD" w14:textId="64D19013" w:rsidR="007B668D" w:rsidRPr="009C5EFD" w:rsidRDefault="00E453CD" w:rsidP="009C5EFD">
      <w:pPr>
        <w:numPr>
          <w:ilvl w:val="0"/>
          <w:numId w:val="9"/>
        </w:numPr>
        <w:tabs>
          <w:tab w:val="clear" w:pos="720"/>
          <w:tab w:val="num" w:pos="540"/>
        </w:tabs>
        <w:suppressAutoHyphens/>
        <w:ind w:left="0" w:firstLine="0"/>
        <w:rPr>
          <w:del w:id="17114" w:author="AbbVie02no" w:date="2025-05-15T14:22:00Z"/>
          <w:sz w:val="22"/>
          <w:szCs w:val="22"/>
        </w:rPr>
      </w:pPr>
      <w:del w:id="17115" w:author="AbbVie02no" w:date="2025-05-15T14:22:00Z">
        <w:r w:rsidRPr="009C5EFD">
          <w:rPr>
            <w:sz w:val="22"/>
            <w:szCs w:val="22"/>
          </w:rPr>
          <w:delText>dyspepsi (forstyrrelser i øvre mage-tarm-kanal, dårlig fordøyelse, oppblåsthet, halsbrann),</w:delText>
        </w:r>
      </w:del>
    </w:p>
    <w:p w14:paraId="0CB72657" w14:textId="158D3467" w:rsidR="007B668D" w:rsidRPr="009C5EFD" w:rsidRDefault="00E453CD" w:rsidP="009C5EFD">
      <w:pPr>
        <w:numPr>
          <w:ilvl w:val="0"/>
          <w:numId w:val="9"/>
        </w:numPr>
        <w:tabs>
          <w:tab w:val="clear" w:pos="720"/>
          <w:tab w:val="num" w:pos="540"/>
        </w:tabs>
        <w:suppressAutoHyphens/>
        <w:ind w:left="0" w:firstLine="0"/>
        <w:rPr>
          <w:del w:id="17116" w:author="AbbVie02no" w:date="2025-05-15T14:22:00Z"/>
          <w:sz w:val="22"/>
          <w:szCs w:val="22"/>
        </w:rPr>
      </w:pPr>
      <w:del w:id="17117" w:author="AbbVie02no" w:date="2025-05-15T14:22:00Z">
        <w:r w:rsidRPr="009C5EFD">
          <w:rPr>
            <w:sz w:val="22"/>
            <w:szCs w:val="22"/>
          </w:rPr>
          <w:delText>sure oppstøt,</w:delText>
        </w:r>
      </w:del>
    </w:p>
    <w:p w14:paraId="694696C5" w14:textId="3D17F51D" w:rsidR="007B668D" w:rsidRPr="009C5EFD" w:rsidRDefault="00E453CD" w:rsidP="009C5EFD">
      <w:pPr>
        <w:numPr>
          <w:ilvl w:val="0"/>
          <w:numId w:val="9"/>
        </w:numPr>
        <w:tabs>
          <w:tab w:val="clear" w:pos="720"/>
          <w:tab w:val="num" w:pos="540"/>
        </w:tabs>
        <w:suppressAutoHyphens/>
        <w:ind w:left="0" w:firstLine="0"/>
        <w:rPr>
          <w:del w:id="17118" w:author="AbbVie02no" w:date="2025-05-15T14:22:00Z"/>
          <w:sz w:val="22"/>
          <w:szCs w:val="22"/>
        </w:rPr>
      </w:pPr>
      <w:del w:id="17119" w:author="AbbVie02no" w:date="2025-05-15T14:22:00Z">
        <w:r w:rsidRPr="009C5EFD">
          <w:rPr>
            <w:sz w:val="22"/>
            <w:szCs w:val="22"/>
          </w:rPr>
          <w:delText>Sjøgrens syndrom</w:delText>
        </w:r>
        <w:r w:rsidR="00997C9A" w:rsidRPr="009C5EFD">
          <w:rPr>
            <w:sz w:val="22"/>
            <w:szCs w:val="22"/>
          </w:rPr>
          <w:delText xml:space="preserve"> (inkludert tørre øyne og munn)</w:delText>
        </w:r>
        <w:r w:rsidRPr="009C5EFD">
          <w:rPr>
            <w:sz w:val="22"/>
            <w:szCs w:val="22"/>
          </w:rPr>
          <w:delText>,</w:delText>
        </w:r>
      </w:del>
    </w:p>
    <w:p w14:paraId="5412E220" w14:textId="7265254D" w:rsidR="007B668D" w:rsidRPr="009C5EFD" w:rsidRDefault="00E453CD" w:rsidP="009C5EFD">
      <w:pPr>
        <w:numPr>
          <w:ilvl w:val="0"/>
          <w:numId w:val="9"/>
        </w:numPr>
        <w:tabs>
          <w:tab w:val="clear" w:pos="720"/>
          <w:tab w:val="num" w:pos="540"/>
        </w:tabs>
        <w:suppressAutoHyphens/>
        <w:ind w:left="0" w:firstLine="0"/>
        <w:rPr>
          <w:del w:id="17120" w:author="AbbVie02no" w:date="2025-05-15T14:22:00Z"/>
          <w:sz w:val="22"/>
          <w:szCs w:val="22"/>
        </w:rPr>
      </w:pPr>
      <w:del w:id="17121" w:author="AbbVie02no" w:date="2025-05-15T14:22:00Z">
        <w:r w:rsidRPr="009C5EFD">
          <w:rPr>
            <w:sz w:val="22"/>
            <w:szCs w:val="22"/>
          </w:rPr>
          <w:delText>kløe,</w:delText>
        </w:r>
      </w:del>
    </w:p>
    <w:p w14:paraId="7379C84E" w14:textId="2D661F6D" w:rsidR="007B668D" w:rsidRPr="009C5EFD" w:rsidRDefault="00E453CD" w:rsidP="009C5EFD">
      <w:pPr>
        <w:numPr>
          <w:ilvl w:val="0"/>
          <w:numId w:val="9"/>
        </w:numPr>
        <w:tabs>
          <w:tab w:val="clear" w:pos="720"/>
          <w:tab w:val="num" w:pos="540"/>
        </w:tabs>
        <w:suppressAutoHyphens/>
        <w:ind w:left="0" w:firstLine="0"/>
        <w:rPr>
          <w:del w:id="17122" w:author="AbbVie02no" w:date="2025-05-15T14:22:00Z"/>
          <w:sz w:val="22"/>
          <w:szCs w:val="22"/>
        </w:rPr>
      </w:pPr>
      <w:del w:id="17123" w:author="AbbVie02no" w:date="2025-05-15T14:22:00Z">
        <w:r w:rsidRPr="009C5EFD">
          <w:rPr>
            <w:sz w:val="22"/>
            <w:szCs w:val="22"/>
          </w:rPr>
          <w:delText>kløende utslett,</w:delText>
        </w:r>
      </w:del>
    </w:p>
    <w:p w14:paraId="22063AA5" w14:textId="74E862AD" w:rsidR="007B668D" w:rsidRPr="009C5EFD" w:rsidRDefault="00E453CD" w:rsidP="009C5EFD">
      <w:pPr>
        <w:numPr>
          <w:ilvl w:val="0"/>
          <w:numId w:val="9"/>
        </w:numPr>
        <w:tabs>
          <w:tab w:val="clear" w:pos="720"/>
          <w:tab w:val="num" w:pos="540"/>
        </w:tabs>
        <w:suppressAutoHyphens/>
        <w:ind w:left="0" w:firstLine="0"/>
        <w:rPr>
          <w:del w:id="17124" w:author="AbbVie02no" w:date="2025-05-15T14:22:00Z"/>
          <w:sz w:val="22"/>
          <w:szCs w:val="22"/>
        </w:rPr>
      </w:pPr>
      <w:del w:id="17125" w:author="AbbVie02no" w:date="2025-05-15T14:22:00Z">
        <w:r w:rsidRPr="009C5EFD">
          <w:rPr>
            <w:sz w:val="22"/>
            <w:szCs w:val="22"/>
          </w:rPr>
          <w:delText>blåmerke,</w:delText>
        </w:r>
      </w:del>
    </w:p>
    <w:p w14:paraId="64048B67" w14:textId="35D70A93" w:rsidR="007B668D" w:rsidRPr="009C5EFD" w:rsidRDefault="00E453CD" w:rsidP="009C5EFD">
      <w:pPr>
        <w:numPr>
          <w:ilvl w:val="0"/>
          <w:numId w:val="9"/>
        </w:numPr>
        <w:tabs>
          <w:tab w:val="clear" w:pos="720"/>
          <w:tab w:val="num" w:pos="540"/>
        </w:tabs>
        <w:suppressAutoHyphens/>
        <w:ind w:left="0" w:firstLine="0"/>
        <w:rPr>
          <w:del w:id="17126" w:author="AbbVie02no" w:date="2025-05-15T14:22:00Z"/>
          <w:sz w:val="22"/>
          <w:szCs w:val="22"/>
        </w:rPr>
      </w:pPr>
      <w:del w:id="17127" w:author="AbbVie02no" w:date="2025-05-15T14:22:00Z">
        <w:r w:rsidRPr="009C5EFD">
          <w:rPr>
            <w:sz w:val="22"/>
            <w:szCs w:val="22"/>
          </w:rPr>
          <w:delText>hudbetennelse (som eksem),</w:delText>
        </w:r>
      </w:del>
    </w:p>
    <w:p w14:paraId="1D64E8DA" w14:textId="213E6042" w:rsidR="007B668D" w:rsidRPr="009C5EFD" w:rsidRDefault="00E453CD" w:rsidP="009C5EFD">
      <w:pPr>
        <w:numPr>
          <w:ilvl w:val="0"/>
          <w:numId w:val="9"/>
        </w:numPr>
        <w:tabs>
          <w:tab w:val="clear" w:pos="720"/>
          <w:tab w:val="num" w:pos="540"/>
        </w:tabs>
        <w:suppressAutoHyphens/>
        <w:ind w:left="0" w:firstLine="0"/>
        <w:rPr>
          <w:del w:id="17128" w:author="AbbVie02no" w:date="2025-05-15T14:22:00Z"/>
          <w:sz w:val="22"/>
          <w:szCs w:val="22"/>
        </w:rPr>
      </w:pPr>
      <w:del w:id="17129" w:author="AbbVie02no" w:date="2025-05-15T14:22:00Z">
        <w:r w:rsidRPr="009C5EFD">
          <w:rPr>
            <w:sz w:val="22"/>
            <w:szCs w:val="22"/>
          </w:rPr>
          <w:delText>brekking av fingernegl og tånegl,</w:delText>
        </w:r>
      </w:del>
    </w:p>
    <w:p w14:paraId="4345C564" w14:textId="18679756" w:rsidR="007B668D" w:rsidRPr="009C5EFD" w:rsidRDefault="00E453CD" w:rsidP="009C5EFD">
      <w:pPr>
        <w:numPr>
          <w:ilvl w:val="0"/>
          <w:numId w:val="9"/>
        </w:numPr>
        <w:tabs>
          <w:tab w:val="clear" w:pos="720"/>
          <w:tab w:val="num" w:pos="540"/>
        </w:tabs>
        <w:suppressAutoHyphens/>
        <w:ind w:left="0" w:firstLine="0"/>
        <w:rPr>
          <w:del w:id="17130" w:author="AbbVie02no" w:date="2025-05-15T14:22:00Z"/>
          <w:sz w:val="22"/>
          <w:szCs w:val="22"/>
        </w:rPr>
      </w:pPr>
      <w:del w:id="17131" w:author="AbbVie02no" w:date="2025-05-15T14:22:00Z">
        <w:r w:rsidRPr="009C5EFD">
          <w:rPr>
            <w:sz w:val="22"/>
            <w:szCs w:val="22"/>
          </w:rPr>
          <w:delText>økt svette,</w:delText>
        </w:r>
      </w:del>
    </w:p>
    <w:p w14:paraId="66B27121" w14:textId="0BFE77BA" w:rsidR="00730859" w:rsidRPr="009C5EFD" w:rsidRDefault="00E453CD" w:rsidP="009C5EFD">
      <w:pPr>
        <w:numPr>
          <w:ilvl w:val="0"/>
          <w:numId w:val="9"/>
        </w:numPr>
        <w:tabs>
          <w:tab w:val="clear" w:pos="720"/>
          <w:tab w:val="num" w:pos="540"/>
        </w:tabs>
        <w:suppressAutoHyphens/>
        <w:ind w:left="0" w:firstLine="0"/>
        <w:rPr>
          <w:del w:id="17132" w:author="AbbVie02no" w:date="2025-05-15T14:22:00Z"/>
          <w:sz w:val="22"/>
          <w:szCs w:val="22"/>
        </w:rPr>
      </w:pPr>
      <w:del w:id="17133" w:author="AbbVie02no" w:date="2025-05-15T14:22:00Z">
        <w:r w:rsidRPr="009C5EFD">
          <w:rPr>
            <w:sz w:val="22"/>
            <w:szCs w:val="22"/>
          </w:rPr>
          <w:delText>hårtap,</w:delText>
        </w:r>
      </w:del>
    </w:p>
    <w:p w14:paraId="66AAFD17" w14:textId="11192A77" w:rsidR="00730859" w:rsidRPr="009C5EFD" w:rsidRDefault="00E453CD" w:rsidP="009C5EFD">
      <w:pPr>
        <w:numPr>
          <w:ilvl w:val="0"/>
          <w:numId w:val="9"/>
        </w:numPr>
        <w:tabs>
          <w:tab w:val="clear" w:pos="720"/>
          <w:tab w:val="num" w:pos="540"/>
        </w:tabs>
        <w:suppressAutoHyphens/>
        <w:ind w:left="0" w:firstLine="0"/>
        <w:rPr>
          <w:del w:id="17134" w:author="AbbVie02no" w:date="2025-05-15T14:22:00Z"/>
          <w:sz w:val="22"/>
          <w:szCs w:val="22"/>
        </w:rPr>
      </w:pPr>
      <w:del w:id="17135" w:author="AbbVie02no" w:date="2025-05-15T14:22:00Z">
        <w:r w:rsidRPr="009C5EFD">
          <w:rPr>
            <w:sz w:val="22"/>
            <w:szCs w:val="22"/>
          </w:rPr>
          <w:delText>nytt tilfelle eller forverring av psoriasis,</w:delText>
        </w:r>
      </w:del>
    </w:p>
    <w:p w14:paraId="48BC5018" w14:textId="546CD0D7" w:rsidR="007B668D" w:rsidRPr="009C5EFD" w:rsidRDefault="00E453CD" w:rsidP="009C5EFD">
      <w:pPr>
        <w:numPr>
          <w:ilvl w:val="0"/>
          <w:numId w:val="9"/>
        </w:numPr>
        <w:tabs>
          <w:tab w:val="clear" w:pos="720"/>
          <w:tab w:val="num" w:pos="540"/>
        </w:tabs>
        <w:suppressAutoHyphens/>
        <w:ind w:left="0" w:firstLine="0"/>
        <w:rPr>
          <w:del w:id="17136" w:author="AbbVie02no" w:date="2025-05-15T14:22:00Z"/>
          <w:sz w:val="22"/>
          <w:szCs w:val="22"/>
        </w:rPr>
      </w:pPr>
      <w:del w:id="17137" w:author="AbbVie02no" w:date="2025-05-15T14:22:00Z">
        <w:r w:rsidRPr="009C5EFD">
          <w:rPr>
            <w:sz w:val="22"/>
            <w:szCs w:val="22"/>
          </w:rPr>
          <w:delText>muskelkramper,</w:delText>
        </w:r>
      </w:del>
    </w:p>
    <w:p w14:paraId="7B598268" w14:textId="7929DD30" w:rsidR="007B668D" w:rsidRPr="009C5EFD" w:rsidRDefault="00E453CD" w:rsidP="009C5EFD">
      <w:pPr>
        <w:numPr>
          <w:ilvl w:val="0"/>
          <w:numId w:val="9"/>
        </w:numPr>
        <w:tabs>
          <w:tab w:val="clear" w:pos="720"/>
          <w:tab w:val="num" w:pos="540"/>
        </w:tabs>
        <w:suppressAutoHyphens/>
        <w:ind w:left="0" w:firstLine="0"/>
        <w:rPr>
          <w:del w:id="17138" w:author="AbbVie02no" w:date="2025-05-15T14:22:00Z"/>
          <w:sz w:val="22"/>
          <w:szCs w:val="22"/>
        </w:rPr>
      </w:pPr>
      <w:del w:id="17139" w:author="AbbVie02no" w:date="2025-05-15T14:22:00Z">
        <w:r w:rsidRPr="009C5EFD">
          <w:rPr>
            <w:sz w:val="22"/>
            <w:szCs w:val="22"/>
          </w:rPr>
          <w:delText xml:space="preserve">blod i urin, </w:delText>
        </w:r>
      </w:del>
    </w:p>
    <w:p w14:paraId="33ECB9E1" w14:textId="5C9DC4C6" w:rsidR="007B668D" w:rsidRPr="009C5EFD" w:rsidRDefault="00E453CD" w:rsidP="009C5EFD">
      <w:pPr>
        <w:numPr>
          <w:ilvl w:val="0"/>
          <w:numId w:val="9"/>
        </w:numPr>
        <w:tabs>
          <w:tab w:val="clear" w:pos="720"/>
          <w:tab w:val="num" w:pos="540"/>
        </w:tabs>
        <w:suppressAutoHyphens/>
        <w:ind w:left="0" w:firstLine="0"/>
        <w:rPr>
          <w:del w:id="17140" w:author="AbbVie02no" w:date="2025-05-15T14:22:00Z"/>
          <w:sz w:val="22"/>
          <w:szCs w:val="22"/>
        </w:rPr>
      </w:pPr>
      <w:del w:id="17141" w:author="AbbVie02no" w:date="2025-05-15T14:22:00Z">
        <w:r w:rsidRPr="009C5EFD">
          <w:rPr>
            <w:sz w:val="22"/>
            <w:szCs w:val="22"/>
          </w:rPr>
          <w:delText>nyreproblemer,</w:delText>
        </w:r>
      </w:del>
    </w:p>
    <w:p w14:paraId="1BA3CE5F" w14:textId="6BB697EE" w:rsidR="007B668D" w:rsidRPr="009C5EFD" w:rsidRDefault="00E453CD" w:rsidP="009C5EFD">
      <w:pPr>
        <w:numPr>
          <w:ilvl w:val="0"/>
          <w:numId w:val="9"/>
        </w:numPr>
        <w:tabs>
          <w:tab w:val="clear" w:pos="720"/>
          <w:tab w:val="num" w:pos="540"/>
        </w:tabs>
        <w:suppressAutoHyphens/>
        <w:ind w:left="0" w:firstLine="0"/>
        <w:rPr>
          <w:del w:id="17142" w:author="AbbVie02no" w:date="2025-05-15T14:22:00Z"/>
          <w:sz w:val="22"/>
          <w:szCs w:val="22"/>
        </w:rPr>
      </w:pPr>
      <w:del w:id="17143" w:author="AbbVie02no" w:date="2025-05-15T14:22:00Z">
        <w:r w:rsidRPr="009C5EFD">
          <w:rPr>
            <w:sz w:val="22"/>
            <w:szCs w:val="22"/>
          </w:rPr>
          <w:delText>brystsmerte</w:delText>
        </w:r>
        <w:r w:rsidR="00CE3E50" w:rsidRPr="009C5EFD">
          <w:rPr>
            <w:sz w:val="22"/>
            <w:szCs w:val="22"/>
          </w:rPr>
          <w:delText>r</w:delText>
        </w:r>
        <w:r w:rsidRPr="009C5EFD">
          <w:rPr>
            <w:sz w:val="22"/>
            <w:szCs w:val="22"/>
          </w:rPr>
          <w:delText>,</w:delText>
        </w:r>
      </w:del>
    </w:p>
    <w:p w14:paraId="7630DFFC" w14:textId="3B6C5929" w:rsidR="007B668D" w:rsidRPr="009C5EFD" w:rsidRDefault="00E453CD" w:rsidP="009C5EFD">
      <w:pPr>
        <w:numPr>
          <w:ilvl w:val="0"/>
          <w:numId w:val="9"/>
        </w:numPr>
        <w:tabs>
          <w:tab w:val="clear" w:pos="720"/>
          <w:tab w:val="num" w:pos="540"/>
        </w:tabs>
        <w:suppressAutoHyphens/>
        <w:ind w:left="0" w:firstLine="0"/>
        <w:rPr>
          <w:del w:id="17144" w:author="AbbVie02no" w:date="2025-05-15T14:22:00Z"/>
          <w:sz w:val="22"/>
          <w:szCs w:val="22"/>
        </w:rPr>
      </w:pPr>
      <w:del w:id="17145" w:author="AbbVie02no" w:date="2025-05-15T14:22:00Z">
        <w:r w:rsidRPr="009C5EFD">
          <w:rPr>
            <w:sz w:val="22"/>
            <w:szCs w:val="22"/>
          </w:rPr>
          <w:delText>ødem,</w:delText>
        </w:r>
      </w:del>
    </w:p>
    <w:p w14:paraId="4C0DBFB5" w14:textId="50113EE4" w:rsidR="0030065E" w:rsidRPr="009C5EFD" w:rsidRDefault="00E453CD" w:rsidP="009C5EFD">
      <w:pPr>
        <w:numPr>
          <w:ilvl w:val="0"/>
          <w:numId w:val="9"/>
        </w:numPr>
        <w:tabs>
          <w:tab w:val="clear" w:pos="720"/>
          <w:tab w:val="num" w:pos="540"/>
        </w:tabs>
        <w:suppressAutoHyphens/>
        <w:ind w:left="0" w:firstLine="0"/>
        <w:rPr>
          <w:del w:id="17146" w:author="AbbVie02no" w:date="2025-05-15T14:22:00Z"/>
          <w:sz w:val="22"/>
          <w:szCs w:val="22"/>
        </w:rPr>
      </w:pPr>
      <w:del w:id="17147" w:author="AbbVie02no" w:date="2025-05-15T14:22:00Z">
        <w:r w:rsidRPr="009C5EFD">
          <w:rPr>
            <w:sz w:val="22"/>
            <w:szCs w:val="22"/>
          </w:rPr>
          <w:delText>feber,</w:delText>
        </w:r>
      </w:del>
    </w:p>
    <w:p w14:paraId="468051A7" w14:textId="7F05D985" w:rsidR="007B668D" w:rsidRPr="009C5EFD" w:rsidRDefault="00E453CD" w:rsidP="009C5EFD">
      <w:pPr>
        <w:numPr>
          <w:ilvl w:val="0"/>
          <w:numId w:val="9"/>
        </w:numPr>
        <w:tabs>
          <w:tab w:val="clear" w:pos="720"/>
          <w:tab w:val="num" w:pos="540"/>
        </w:tabs>
        <w:suppressAutoHyphens/>
        <w:ind w:left="0" w:firstLine="0"/>
        <w:rPr>
          <w:del w:id="17148" w:author="AbbVie02no" w:date="2025-05-15T14:22:00Z"/>
          <w:sz w:val="22"/>
          <w:szCs w:val="22"/>
        </w:rPr>
      </w:pPr>
      <w:del w:id="17149" w:author="AbbVie02no" w:date="2025-05-15T14:22:00Z">
        <w:r w:rsidRPr="009C5EFD">
          <w:rPr>
            <w:sz w:val="22"/>
            <w:szCs w:val="22"/>
          </w:rPr>
          <w:delText>reduksjon i blodplater som øker risiko for blødning eller blåmerke</w:delText>
        </w:r>
        <w:r w:rsidR="00866650" w:rsidRPr="009C5EFD">
          <w:rPr>
            <w:sz w:val="22"/>
            <w:szCs w:val="22"/>
          </w:rPr>
          <w:delText>,</w:delText>
        </w:r>
      </w:del>
    </w:p>
    <w:p w14:paraId="43C957C6" w14:textId="4F7C3CF0" w:rsidR="00866650" w:rsidRPr="009C5EFD" w:rsidRDefault="00E453CD" w:rsidP="009C5EFD">
      <w:pPr>
        <w:numPr>
          <w:ilvl w:val="0"/>
          <w:numId w:val="9"/>
        </w:numPr>
        <w:tabs>
          <w:tab w:val="clear" w:pos="720"/>
          <w:tab w:val="num" w:pos="540"/>
        </w:tabs>
        <w:suppressAutoHyphens/>
        <w:ind w:left="0" w:firstLine="0"/>
        <w:rPr>
          <w:del w:id="17150" w:author="AbbVie02no" w:date="2025-05-15T14:22:00Z"/>
          <w:sz w:val="22"/>
          <w:szCs w:val="22"/>
        </w:rPr>
      </w:pPr>
      <w:del w:id="17151" w:author="AbbVie02no" w:date="2025-05-15T14:22:00Z">
        <w:r w:rsidRPr="009C5EFD">
          <w:rPr>
            <w:sz w:val="22"/>
            <w:szCs w:val="22"/>
          </w:rPr>
          <w:delText>svekket heling.</w:delText>
        </w:r>
      </w:del>
    </w:p>
    <w:p w14:paraId="1E39142F" w14:textId="6C3AAF15" w:rsidR="00151C5C" w:rsidRPr="009C5EFD" w:rsidRDefault="00151C5C" w:rsidP="009C5EFD">
      <w:pPr>
        <w:suppressAutoHyphens/>
        <w:rPr>
          <w:del w:id="17152" w:author="AbbVie02no" w:date="2025-05-15T14:22:00Z"/>
          <w:sz w:val="22"/>
          <w:szCs w:val="22"/>
        </w:rPr>
      </w:pPr>
    </w:p>
    <w:p w14:paraId="0EC80CF8" w14:textId="63B2D4C7" w:rsidR="00C13645" w:rsidRDefault="00E453CD" w:rsidP="00776A84">
      <w:pPr>
        <w:keepNext/>
        <w:suppressAutoHyphens/>
        <w:rPr>
          <w:del w:id="17153" w:author="AbbVie02no" w:date="2025-05-15T14:22:00Z"/>
          <w:sz w:val="22"/>
          <w:szCs w:val="22"/>
        </w:rPr>
      </w:pPr>
      <w:del w:id="17154" w:author="AbbVie02no" w:date="2025-05-15T14:22:00Z">
        <w:r w:rsidRPr="006936CB">
          <w:rPr>
            <w:sz w:val="22"/>
            <w:szCs w:val="22"/>
          </w:rPr>
          <w:delText>Mindre vanlige</w:delText>
        </w:r>
        <w:r w:rsidRPr="009C5EFD">
          <w:rPr>
            <w:sz w:val="22"/>
            <w:szCs w:val="22"/>
          </w:rPr>
          <w:delText xml:space="preserve"> (</w:delText>
        </w:r>
        <w:r w:rsidR="00151C5C" w:rsidRPr="009C5EFD">
          <w:rPr>
            <w:sz w:val="22"/>
            <w:szCs w:val="22"/>
          </w:rPr>
          <w:delText xml:space="preserve">kan </w:delText>
        </w:r>
        <w:r w:rsidR="003B66F8" w:rsidRPr="009C5EFD">
          <w:rPr>
            <w:sz w:val="22"/>
            <w:szCs w:val="22"/>
          </w:rPr>
          <w:delText>forekomme hos</w:delText>
        </w:r>
        <w:r w:rsidR="00151C5C" w:rsidRPr="009C5EFD">
          <w:rPr>
            <w:sz w:val="22"/>
            <w:szCs w:val="22"/>
          </w:rPr>
          <w:delText xml:space="preserve"> opptil </w:delText>
        </w:r>
        <w:r w:rsidRPr="009C5EFD">
          <w:rPr>
            <w:sz w:val="22"/>
            <w:szCs w:val="22"/>
          </w:rPr>
          <w:delText xml:space="preserve">1 </w:delText>
        </w:r>
        <w:r w:rsidR="00997C9A" w:rsidRPr="009C5EFD">
          <w:rPr>
            <w:sz w:val="22"/>
            <w:szCs w:val="22"/>
          </w:rPr>
          <w:delText>av</w:delText>
        </w:r>
        <w:r w:rsidRPr="009C5EFD">
          <w:rPr>
            <w:sz w:val="22"/>
            <w:szCs w:val="22"/>
          </w:rPr>
          <w:delText xml:space="preserve"> 100 </w:delText>
        </w:r>
        <w:r w:rsidR="00151C5C" w:rsidRPr="009C5EFD">
          <w:rPr>
            <w:sz w:val="22"/>
            <w:szCs w:val="22"/>
          </w:rPr>
          <w:delText>personer</w:delText>
        </w:r>
        <w:r w:rsidRPr="009C5EFD">
          <w:rPr>
            <w:sz w:val="22"/>
            <w:szCs w:val="22"/>
          </w:rPr>
          <w:delText>)</w:delText>
        </w:r>
      </w:del>
    </w:p>
    <w:p w14:paraId="2BA63AEB" w14:textId="5E99C9C2" w:rsidR="007B668D" w:rsidRPr="009C5EFD" w:rsidRDefault="007B668D" w:rsidP="00776A84">
      <w:pPr>
        <w:keepNext/>
        <w:suppressAutoHyphens/>
        <w:rPr>
          <w:del w:id="17155" w:author="AbbVie02no" w:date="2025-05-15T14:22:00Z"/>
          <w:sz w:val="22"/>
          <w:szCs w:val="22"/>
        </w:rPr>
      </w:pPr>
    </w:p>
    <w:p w14:paraId="232F2563" w14:textId="51CA80CD" w:rsidR="007B668D" w:rsidRPr="009C5EFD" w:rsidRDefault="00E453CD" w:rsidP="00EE4677">
      <w:pPr>
        <w:numPr>
          <w:ilvl w:val="0"/>
          <w:numId w:val="16"/>
        </w:numPr>
        <w:tabs>
          <w:tab w:val="clear" w:pos="720"/>
          <w:tab w:val="num" w:pos="540"/>
        </w:tabs>
        <w:suppressAutoHyphens/>
        <w:ind w:left="540" w:hanging="540"/>
        <w:rPr>
          <w:del w:id="17156" w:author="AbbVie02no" w:date="2025-05-15T14:22:00Z"/>
          <w:sz w:val="22"/>
          <w:szCs w:val="22"/>
        </w:rPr>
      </w:pPr>
      <w:del w:id="17157" w:author="AbbVie02no" w:date="2025-05-15T14:22:00Z">
        <w:r w:rsidRPr="009C5EFD">
          <w:rPr>
            <w:sz w:val="22"/>
            <w:szCs w:val="22"/>
          </w:rPr>
          <w:delText xml:space="preserve">opportunistiske infeksjoner (inkludert tuberkulose og andre infeksjoner som oppstår </w:delText>
        </w:r>
        <w:r w:rsidR="00E11BA9">
          <w:rPr>
            <w:sz w:val="22"/>
            <w:szCs w:val="22"/>
          </w:rPr>
          <w:delText>ved svekket immunforsvar</w:delText>
        </w:r>
        <w:r w:rsidRPr="009C5EFD">
          <w:rPr>
            <w:sz w:val="22"/>
            <w:szCs w:val="22"/>
          </w:rPr>
          <w:delText>),</w:delText>
        </w:r>
      </w:del>
    </w:p>
    <w:p w14:paraId="62B9FC89" w14:textId="2BE3440B" w:rsidR="007B668D" w:rsidRPr="009C5EFD" w:rsidRDefault="00E453CD" w:rsidP="00EE4677">
      <w:pPr>
        <w:numPr>
          <w:ilvl w:val="0"/>
          <w:numId w:val="16"/>
        </w:numPr>
        <w:tabs>
          <w:tab w:val="clear" w:pos="720"/>
          <w:tab w:val="num" w:pos="540"/>
        </w:tabs>
        <w:suppressAutoHyphens/>
        <w:ind w:left="540" w:hanging="540"/>
        <w:rPr>
          <w:del w:id="17158" w:author="AbbVie02no" w:date="2025-05-15T14:22:00Z"/>
          <w:sz w:val="22"/>
          <w:szCs w:val="22"/>
        </w:rPr>
      </w:pPr>
      <w:del w:id="17159" w:author="AbbVie02no" w:date="2025-05-15T14:22:00Z">
        <w:r w:rsidRPr="009C5EFD">
          <w:rPr>
            <w:sz w:val="22"/>
            <w:szCs w:val="22"/>
          </w:rPr>
          <w:delText>nevrologiske sykdommer (inkludert hjernehinnebetennelse),</w:delText>
        </w:r>
      </w:del>
    </w:p>
    <w:p w14:paraId="141A0F1B" w14:textId="0FCA379C" w:rsidR="007B668D" w:rsidRPr="009C5EFD" w:rsidRDefault="00E453CD" w:rsidP="00EE4677">
      <w:pPr>
        <w:numPr>
          <w:ilvl w:val="0"/>
          <w:numId w:val="16"/>
        </w:numPr>
        <w:tabs>
          <w:tab w:val="clear" w:pos="720"/>
          <w:tab w:val="num" w:pos="540"/>
        </w:tabs>
        <w:suppressAutoHyphens/>
        <w:ind w:left="540" w:hanging="540"/>
        <w:rPr>
          <w:del w:id="17160" w:author="AbbVie02no" w:date="2025-05-15T14:22:00Z"/>
          <w:sz w:val="22"/>
          <w:szCs w:val="22"/>
        </w:rPr>
      </w:pPr>
      <w:del w:id="17161" w:author="AbbVie02no" w:date="2025-05-15T14:22:00Z">
        <w:r w:rsidRPr="009C5EFD">
          <w:rPr>
            <w:sz w:val="22"/>
            <w:szCs w:val="22"/>
          </w:rPr>
          <w:delText>øyebetennelser,</w:delText>
        </w:r>
      </w:del>
    </w:p>
    <w:p w14:paraId="46C23189" w14:textId="0B357A1A" w:rsidR="007B668D" w:rsidRPr="009C5EFD" w:rsidRDefault="00E453CD" w:rsidP="00EE4677">
      <w:pPr>
        <w:numPr>
          <w:ilvl w:val="0"/>
          <w:numId w:val="16"/>
        </w:numPr>
        <w:tabs>
          <w:tab w:val="clear" w:pos="720"/>
          <w:tab w:val="num" w:pos="540"/>
        </w:tabs>
        <w:suppressAutoHyphens/>
        <w:ind w:left="540" w:hanging="540"/>
        <w:rPr>
          <w:del w:id="17162" w:author="AbbVie02no" w:date="2025-05-15T14:22:00Z"/>
          <w:sz w:val="22"/>
          <w:szCs w:val="22"/>
        </w:rPr>
      </w:pPr>
      <w:del w:id="17163" w:author="AbbVie02no" w:date="2025-05-15T14:22:00Z">
        <w:r w:rsidRPr="009C5EFD">
          <w:rPr>
            <w:sz w:val="22"/>
            <w:szCs w:val="22"/>
          </w:rPr>
          <w:delText>bakterieinfeksjoner,</w:delText>
        </w:r>
      </w:del>
    </w:p>
    <w:p w14:paraId="22F32D7D" w14:textId="34D071AA" w:rsidR="00730859" w:rsidRPr="009C5EFD" w:rsidRDefault="00E453CD" w:rsidP="00EE4677">
      <w:pPr>
        <w:numPr>
          <w:ilvl w:val="0"/>
          <w:numId w:val="16"/>
        </w:numPr>
        <w:tabs>
          <w:tab w:val="clear" w:pos="720"/>
          <w:tab w:val="num" w:pos="540"/>
        </w:tabs>
        <w:suppressAutoHyphens/>
        <w:ind w:left="540" w:hanging="540"/>
        <w:rPr>
          <w:del w:id="17164" w:author="AbbVie02no" w:date="2025-05-15T14:22:00Z"/>
          <w:sz w:val="22"/>
          <w:szCs w:val="22"/>
        </w:rPr>
      </w:pPr>
      <w:del w:id="17165" w:author="AbbVie02no" w:date="2025-05-15T14:22:00Z">
        <w:r w:rsidRPr="009C5EFD">
          <w:rPr>
            <w:sz w:val="22"/>
            <w:szCs w:val="22"/>
          </w:rPr>
          <w:delText>divertikulitt (betennelse og infeksjon i tykktarmen),</w:delText>
        </w:r>
      </w:del>
    </w:p>
    <w:p w14:paraId="6624CA48" w14:textId="53A291CE" w:rsidR="00866650" w:rsidRPr="009C5EFD" w:rsidRDefault="00E453CD" w:rsidP="00EE4677">
      <w:pPr>
        <w:numPr>
          <w:ilvl w:val="0"/>
          <w:numId w:val="16"/>
        </w:numPr>
        <w:tabs>
          <w:tab w:val="clear" w:pos="720"/>
          <w:tab w:val="num" w:pos="540"/>
        </w:tabs>
        <w:suppressAutoHyphens/>
        <w:ind w:left="540" w:hanging="540"/>
        <w:rPr>
          <w:del w:id="17166" w:author="AbbVie02no" w:date="2025-05-15T14:22:00Z"/>
          <w:sz w:val="22"/>
          <w:szCs w:val="22"/>
        </w:rPr>
      </w:pPr>
      <w:del w:id="17167" w:author="AbbVie02no" w:date="2025-05-15T14:22:00Z">
        <w:r w:rsidRPr="009C5EFD">
          <w:rPr>
            <w:sz w:val="22"/>
            <w:szCs w:val="22"/>
          </w:rPr>
          <w:delText>kreft,</w:delText>
        </w:r>
      </w:del>
    </w:p>
    <w:p w14:paraId="2C711D00" w14:textId="54FB3BAD" w:rsidR="00866650" w:rsidRPr="009C5EFD" w:rsidRDefault="00E453CD" w:rsidP="00EE4677">
      <w:pPr>
        <w:numPr>
          <w:ilvl w:val="0"/>
          <w:numId w:val="16"/>
        </w:numPr>
        <w:tabs>
          <w:tab w:val="clear" w:pos="720"/>
          <w:tab w:val="num" w:pos="540"/>
        </w:tabs>
        <w:suppressAutoHyphens/>
        <w:ind w:left="540" w:hanging="540"/>
        <w:rPr>
          <w:del w:id="17168" w:author="AbbVie02no" w:date="2025-05-15T14:22:00Z"/>
          <w:sz w:val="22"/>
          <w:szCs w:val="22"/>
        </w:rPr>
      </w:pPr>
      <w:del w:id="17169" w:author="AbbVie02no" w:date="2025-05-15T14:22:00Z">
        <w:r w:rsidRPr="009C5EFD">
          <w:rPr>
            <w:sz w:val="22"/>
            <w:szCs w:val="22"/>
          </w:rPr>
          <w:delText>kreft som påvirker lymfesystemet,</w:delText>
        </w:r>
      </w:del>
    </w:p>
    <w:p w14:paraId="0A72519C" w14:textId="72EFECEB" w:rsidR="00866650" w:rsidRPr="009C5EFD" w:rsidRDefault="00E453CD" w:rsidP="00EE4677">
      <w:pPr>
        <w:numPr>
          <w:ilvl w:val="0"/>
          <w:numId w:val="16"/>
        </w:numPr>
        <w:tabs>
          <w:tab w:val="clear" w:pos="720"/>
          <w:tab w:val="num" w:pos="540"/>
        </w:tabs>
        <w:suppressAutoHyphens/>
        <w:ind w:left="540" w:hanging="540"/>
        <w:rPr>
          <w:del w:id="17170" w:author="AbbVie02no" w:date="2025-05-15T14:22:00Z"/>
          <w:sz w:val="22"/>
          <w:szCs w:val="22"/>
        </w:rPr>
      </w:pPr>
      <w:del w:id="17171" w:author="AbbVie02no" w:date="2025-05-15T14:22:00Z">
        <w:r w:rsidRPr="009C5EFD">
          <w:rPr>
            <w:sz w:val="22"/>
            <w:szCs w:val="22"/>
          </w:rPr>
          <w:delText>melanom,</w:delText>
        </w:r>
      </w:del>
    </w:p>
    <w:p w14:paraId="5EB18185" w14:textId="3E975149" w:rsidR="00C3739E" w:rsidRPr="009C5EFD" w:rsidRDefault="00E453CD" w:rsidP="00EE4677">
      <w:pPr>
        <w:numPr>
          <w:ilvl w:val="0"/>
          <w:numId w:val="16"/>
        </w:numPr>
        <w:tabs>
          <w:tab w:val="clear" w:pos="720"/>
          <w:tab w:val="num" w:pos="540"/>
        </w:tabs>
        <w:suppressAutoHyphens/>
        <w:ind w:left="540" w:hanging="540"/>
        <w:rPr>
          <w:del w:id="17172" w:author="AbbVie02no" w:date="2025-05-15T14:22:00Z"/>
          <w:sz w:val="22"/>
          <w:szCs w:val="22"/>
        </w:rPr>
      </w:pPr>
      <w:del w:id="17173" w:author="AbbVie02no" w:date="2025-05-15T14:22:00Z">
        <w:r w:rsidRPr="009C5EFD">
          <w:rPr>
            <w:sz w:val="22"/>
            <w:szCs w:val="22"/>
          </w:rPr>
          <w:delText>forstyrrelser</w:delText>
        </w:r>
        <w:r w:rsidR="00ED2157" w:rsidRPr="009C5EFD">
          <w:rPr>
            <w:sz w:val="22"/>
            <w:szCs w:val="22"/>
          </w:rPr>
          <w:delText xml:space="preserve"> i immunsystemet</w:delText>
        </w:r>
        <w:r w:rsidRPr="009C5EFD">
          <w:rPr>
            <w:sz w:val="22"/>
            <w:szCs w:val="22"/>
          </w:rPr>
          <w:delText xml:space="preserve"> som kan påvirke lungene, hud</w:delText>
        </w:r>
        <w:r w:rsidR="00ED2157" w:rsidRPr="009C5EFD">
          <w:rPr>
            <w:sz w:val="22"/>
            <w:szCs w:val="22"/>
          </w:rPr>
          <w:delText>en</w:delText>
        </w:r>
        <w:r w:rsidRPr="009C5EFD">
          <w:rPr>
            <w:sz w:val="22"/>
            <w:szCs w:val="22"/>
          </w:rPr>
          <w:delText xml:space="preserve"> og lymfeknute</w:delText>
        </w:r>
        <w:r w:rsidR="00ED2157" w:rsidRPr="009C5EFD">
          <w:rPr>
            <w:sz w:val="22"/>
            <w:szCs w:val="22"/>
          </w:rPr>
          <w:delText>ne</w:delText>
        </w:r>
        <w:r w:rsidRPr="009C5EFD">
          <w:rPr>
            <w:sz w:val="22"/>
            <w:szCs w:val="22"/>
          </w:rPr>
          <w:delText xml:space="preserve"> (</w:delText>
        </w:r>
        <w:r w:rsidR="00ED2157" w:rsidRPr="009C5EFD">
          <w:rPr>
            <w:sz w:val="22"/>
            <w:szCs w:val="22"/>
          </w:rPr>
          <w:delText xml:space="preserve">vises </w:delText>
        </w:r>
        <w:r w:rsidR="00C55CAC" w:rsidRPr="009C5EFD">
          <w:rPr>
            <w:sz w:val="22"/>
            <w:szCs w:val="22"/>
          </w:rPr>
          <w:delText xml:space="preserve">vanligvis </w:delText>
        </w:r>
        <w:r w:rsidRPr="009C5EFD">
          <w:rPr>
            <w:sz w:val="22"/>
            <w:szCs w:val="22"/>
          </w:rPr>
          <w:delText>som sarkoidose),</w:delText>
        </w:r>
      </w:del>
    </w:p>
    <w:p w14:paraId="5AC2BFD4" w14:textId="43906A87" w:rsidR="007B668D" w:rsidRPr="009C5EFD" w:rsidRDefault="00E453CD" w:rsidP="00EE4677">
      <w:pPr>
        <w:numPr>
          <w:ilvl w:val="0"/>
          <w:numId w:val="16"/>
        </w:numPr>
        <w:tabs>
          <w:tab w:val="clear" w:pos="720"/>
          <w:tab w:val="num" w:pos="540"/>
        </w:tabs>
        <w:suppressAutoHyphens/>
        <w:ind w:left="540" w:hanging="540"/>
        <w:rPr>
          <w:del w:id="17174" w:author="AbbVie02no" w:date="2025-05-15T14:22:00Z"/>
          <w:sz w:val="22"/>
          <w:szCs w:val="22"/>
        </w:rPr>
      </w:pPr>
      <w:del w:id="17175" w:author="AbbVie02no" w:date="2025-05-15T14:22:00Z">
        <w:r w:rsidRPr="009C5EFD">
          <w:rPr>
            <w:sz w:val="22"/>
            <w:szCs w:val="22"/>
          </w:rPr>
          <w:delText xml:space="preserve">vaskulitt (betennelse i blodårene), </w:delText>
        </w:r>
      </w:del>
    </w:p>
    <w:p w14:paraId="7C461329" w14:textId="1F96B05D" w:rsidR="007B668D" w:rsidRPr="009C5EFD" w:rsidRDefault="00E453CD" w:rsidP="00EE4677">
      <w:pPr>
        <w:numPr>
          <w:ilvl w:val="0"/>
          <w:numId w:val="16"/>
        </w:numPr>
        <w:tabs>
          <w:tab w:val="clear" w:pos="720"/>
          <w:tab w:val="num" w:pos="540"/>
        </w:tabs>
        <w:suppressAutoHyphens/>
        <w:ind w:left="540" w:hanging="540"/>
        <w:rPr>
          <w:del w:id="17176" w:author="AbbVie02no" w:date="2025-05-15T14:22:00Z"/>
          <w:sz w:val="22"/>
          <w:szCs w:val="22"/>
        </w:rPr>
      </w:pPr>
      <w:del w:id="17177" w:author="AbbVie02no" w:date="2025-05-15T14:22:00Z">
        <w:r w:rsidRPr="009C5EFD">
          <w:rPr>
            <w:sz w:val="22"/>
            <w:szCs w:val="22"/>
          </w:rPr>
          <w:delText>skjelving,</w:delText>
        </w:r>
      </w:del>
    </w:p>
    <w:p w14:paraId="275A025C" w14:textId="332B621A" w:rsidR="00F469D6" w:rsidRPr="009C5EFD" w:rsidRDefault="00E453CD" w:rsidP="00EE4677">
      <w:pPr>
        <w:numPr>
          <w:ilvl w:val="0"/>
          <w:numId w:val="16"/>
        </w:numPr>
        <w:tabs>
          <w:tab w:val="clear" w:pos="720"/>
          <w:tab w:val="num" w:pos="540"/>
        </w:tabs>
        <w:suppressAutoHyphens/>
        <w:ind w:left="540" w:hanging="540"/>
        <w:rPr>
          <w:del w:id="17178" w:author="AbbVie02no" w:date="2025-05-15T14:22:00Z"/>
          <w:sz w:val="22"/>
          <w:szCs w:val="22"/>
        </w:rPr>
      </w:pPr>
      <w:del w:id="17179" w:author="AbbVie02no" w:date="2025-05-15T14:22:00Z">
        <w:r w:rsidRPr="009C5EFD">
          <w:rPr>
            <w:sz w:val="22"/>
            <w:szCs w:val="22"/>
          </w:rPr>
          <w:delText>ne</w:delText>
        </w:r>
        <w:r w:rsidR="00350AB5">
          <w:rPr>
            <w:sz w:val="22"/>
            <w:szCs w:val="22"/>
          </w:rPr>
          <w:delText>v</w:delText>
        </w:r>
        <w:r w:rsidRPr="009C5EFD">
          <w:rPr>
            <w:sz w:val="22"/>
            <w:szCs w:val="22"/>
          </w:rPr>
          <w:delText>ropati,</w:delText>
        </w:r>
      </w:del>
    </w:p>
    <w:p w14:paraId="43193DA4" w14:textId="40278939" w:rsidR="00730859" w:rsidRPr="009C5EFD" w:rsidRDefault="00E453CD" w:rsidP="00EE4677">
      <w:pPr>
        <w:numPr>
          <w:ilvl w:val="0"/>
          <w:numId w:val="16"/>
        </w:numPr>
        <w:tabs>
          <w:tab w:val="clear" w:pos="720"/>
          <w:tab w:val="num" w:pos="540"/>
        </w:tabs>
        <w:suppressAutoHyphens/>
        <w:ind w:left="540" w:hanging="540"/>
        <w:rPr>
          <w:del w:id="17180" w:author="AbbVie02no" w:date="2025-05-15T14:22:00Z"/>
          <w:sz w:val="22"/>
          <w:szCs w:val="22"/>
        </w:rPr>
      </w:pPr>
      <w:del w:id="17181" w:author="AbbVie02no" w:date="2025-05-15T14:22:00Z">
        <w:r w:rsidRPr="009C5EFD">
          <w:rPr>
            <w:sz w:val="22"/>
            <w:szCs w:val="22"/>
          </w:rPr>
          <w:lastRenderedPageBreak/>
          <w:delText>slag,</w:delText>
        </w:r>
      </w:del>
    </w:p>
    <w:p w14:paraId="3A5E9B96" w14:textId="6727D7EC" w:rsidR="007B668D" w:rsidRPr="009C5EFD" w:rsidRDefault="00E453CD" w:rsidP="00EE4677">
      <w:pPr>
        <w:numPr>
          <w:ilvl w:val="0"/>
          <w:numId w:val="16"/>
        </w:numPr>
        <w:tabs>
          <w:tab w:val="clear" w:pos="720"/>
          <w:tab w:val="num" w:pos="540"/>
        </w:tabs>
        <w:suppressAutoHyphens/>
        <w:ind w:left="540" w:hanging="540"/>
        <w:rPr>
          <w:del w:id="17182" w:author="AbbVie02no" w:date="2025-05-15T14:22:00Z"/>
          <w:sz w:val="22"/>
          <w:szCs w:val="22"/>
        </w:rPr>
      </w:pPr>
      <w:del w:id="17183" w:author="AbbVie02no" w:date="2025-05-15T14:22:00Z">
        <w:r w:rsidRPr="009C5EFD">
          <w:rPr>
            <w:sz w:val="22"/>
            <w:szCs w:val="22"/>
          </w:rPr>
          <w:delText>hørseltap, øresus,</w:delText>
        </w:r>
      </w:del>
    </w:p>
    <w:p w14:paraId="5A83AF9E" w14:textId="78F5737B" w:rsidR="007B668D" w:rsidRPr="009C5EFD" w:rsidRDefault="00E453CD" w:rsidP="00EE4677">
      <w:pPr>
        <w:numPr>
          <w:ilvl w:val="0"/>
          <w:numId w:val="16"/>
        </w:numPr>
        <w:tabs>
          <w:tab w:val="clear" w:pos="720"/>
          <w:tab w:val="num" w:pos="540"/>
        </w:tabs>
        <w:suppressAutoHyphens/>
        <w:ind w:left="540" w:hanging="540"/>
        <w:rPr>
          <w:del w:id="17184" w:author="AbbVie02no" w:date="2025-05-15T14:22:00Z"/>
          <w:sz w:val="22"/>
          <w:szCs w:val="22"/>
        </w:rPr>
      </w:pPr>
      <w:del w:id="17185" w:author="AbbVie02no" w:date="2025-05-15T14:22:00Z">
        <w:r w:rsidRPr="009C5EFD">
          <w:rPr>
            <w:sz w:val="22"/>
            <w:szCs w:val="22"/>
          </w:rPr>
          <w:delText>følelse av at hjertet slår uregelmessig,</w:delText>
        </w:r>
      </w:del>
    </w:p>
    <w:p w14:paraId="08F53058" w14:textId="1872BAE9" w:rsidR="007B668D" w:rsidRPr="009C5EFD" w:rsidRDefault="00E453CD" w:rsidP="00EE4677">
      <w:pPr>
        <w:numPr>
          <w:ilvl w:val="0"/>
          <w:numId w:val="16"/>
        </w:numPr>
        <w:tabs>
          <w:tab w:val="clear" w:pos="720"/>
          <w:tab w:val="num" w:pos="540"/>
        </w:tabs>
        <w:suppressAutoHyphens/>
        <w:ind w:left="540" w:hanging="540"/>
        <w:rPr>
          <w:del w:id="17186" w:author="AbbVie02no" w:date="2025-05-15T14:22:00Z"/>
          <w:sz w:val="22"/>
          <w:szCs w:val="22"/>
        </w:rPr>
      </w:pPr>
      <w:del w:id="17187" w:author="AbbVie02no" w:date="2025-05-15T14:22:00Z">
        <w:r w:rsidRPr="009C5EFD">
          <w:rPr>
            <w:sz w:val="22"/>
            <w:szCs w:val="22"/>
          </w:rPr>
          <w:delText>hjerteproblemer som forårsaker andpustenhet eller hevelse i ankler,</w:delText>
        </w:r>
      </w:del>
    </w:p>
    <w:p w14:paraId="414C61AE" w14:textId="32552A46" w:rsidR="00730859" w:rsidRPr="009C5EFD" w:rsidRDefault="00E453CD" w:rsidP="00EE4677">
      <w:pPr>
        <w:numPr>
          <w:ilvl w:val="0"/>
          <w:numId w:val="16"/>
        </w:numPr>
        <w:tabs>
          <w:tab w:val="clear" w:pos="720"/>
          <w:tab w:val="num" w:pos="540"/>
        </w:tabs>
        <w:suppressAutoHyphens/>
        <w:ind w:left="540" w:hanging="540"/>
        <w:rPr>
          <w:del w:id="17188" w:author="AbbVie02no" w:date="2025-05-15T14:22:00Z"/>
          <w:sz w:val="22"/>
          <w:szCs w:val="22"/>
        </w:rPr>
      </w:pPr>
      <w:del w:id="17189" w:author="AbbVie02no" w:date="2025-05-15T14:22:00Z">
        <w:r w:rsidRPr="009C5EFD">
          <w:rPr>
            <w:sz w:val="22"/>
            <w:szCs w:val="22"/>
          </w:rPr>
          <w:delText>hjerteinfarkt</w:delText>
        </w:r>
        <w:r w:rsidR="00F469D6" w:rsidRPr="009C5EFD">
          <w:rPr>
            <w:sz w:val="22"/>
            <w:szCs w:val="22"/>
          </w:rPr>
          <w:delText>,</w:delText>
        </w:r>
      </w:del>
    </w:p>
    <w:p w14:paraId="2A4C3584" w14:textId="10363A51" w:rsidR="00F469D6" w:rsidRPr="009C5EFD" w:rsidRDefault="00E453CD" w:rsidP="00EE4677">
      <w:pPr>
        <w:numPr>
          <w:ilvl w:val="0"/>
          <w:numId w:val="16"/>
        </w:numPr>
        <w:tabs>
          <w:tab w:val="clear" w:pos="720"/>
          <w:tab w:val="num" w:pos="540"/>
        </w:tabs>
        <w:suppressAutoHyphens/>
        <w:ind w:left="540" w:hanging="540"/>
        <w:rPr>
          <w:del w:id="17190" w:author="AbbVie02no" w:date="2025-05-15T14:22:00Z"/>
          <w:sz w:val="22"/>
          <w:szCs w:val="22"/>
        </w:rPr>
      </w:pPr>
      <w:del w:id="17191" w:author="AbbVie02no" w:date="2025-05-15T14:22:00Z">
        <w:r w:rsidRPr="009C5EFD">
          <w:rPr>
            <w:sz w:val="22"/>
            <w:szCs w:val="22"/>
          </w:rPr>
          <w:delText>en utposning på veggen av en stor pulsåre, betennelse og blodpropp i en blodåre, blokade av et blodkar,</w:delText>
        </w:r>
      </w:del>
    </w:p>
    <w:p w14:paraId="48ADD29C" w14:textId="2A988C06" w:rsidR="007B668D" w:rsidRPr="009C5EFD" w:rsidRDefault="00E453CD" w:rsidP="00EE4677">
      <w:pPr>
        <w:numPr>
          <w:ilvl w:val="0"/>
          <w:numId w:val="16"/>
        </w:numPr>
        <w:tabs>
          <w:tab w:val="clear" w:pos="720"/>
          <w:tab w:val="num" w:pos="540"/>
        </w:tabs>
        <w:suppressAutoHyphens/>
        <w:ind w:left="540" w:hanging="540"/>
        <w:rPr>
          <w:del w:id="17192" w:author="AbbVie02no" w:date="2025-05-15T14:22:00Z"/>
          <w:sz w:val="22"/>
          <w:szCs w:val="22"/>
        </w:rPr>
      </w:pPr>
      <w:del w:id="17193" w:author="AbbVie02no" w:date="2025-05-15T14:22:00Z">
        <w:r w:rsidRPr="009C5EFD">
          <w:rPr>
            <w:sz w:val="22"/>
            <w:szCs w:val="22"/>
          </w:rPr>
          <w:delText>lungesykdom som forårsaker andpustenhet (inkludert betennelse),</w:delText>
        </w:r>
      </w:del>
    </w:p>
    <w:p w14:paraId="4F75735A" w14:textId="7E74C012" w:rsidR="00730859" w:rsidRPr="009C5EFD" w:rsidRDefault="00E453CD" w:rsidP="00EE4677">
      <w:pPr>
        <w:numPr>
          <w:ilvl w:val="0"/>
          <w:numId w:val="16"/>
        </w:numPr>
        <w:tabs>
          <w:tab w:val="clear" w:pos="720"/>
          <w:tab w:val="num" w:pos="540"/>
        </w:tabs>
        <w:suppressAutoHyphens/>
        <w:ind w:left="540" w:hanging="540"/>
        <w:rPr>
          <w:del w:id="17194" w:author="AbbVie02no" w:date="2025-05-15T14:22:00Z"/>
          <w:sz w:val="22"/>
          <w:szCs w:val="22"/>
        </w:rPr>
      </w:pPr>
      <w:del w:id="17195" w:author="AbbVie02no" w:date="2025-05-15T14:22:00Z">
        <w:r w:rsidRPr="009C5EFD">
          <w:rPr>
            <w:sz w:val="22"/>
            <w:szCs w:val="22"/>
          </w:rPr>
          <w:delText>lungeemboli (blodpropp i en blodåre i lungene),</w:delText>
        </w:r>
      </w:del>
    </w:p>
    <w:p w14:paraId="67D724E0" w14:textId="536BBE45" w:rsidR="00730859" w:rsidRPr="009C5EFD" w:rsidRDefault="00E453CD" w:rsidP="00EE4677">
      <w:pPr>
        <w:numPr>
          <w:ilvl w:val="0"/>
          <w:numId w:val="16"/>
        </w:numPr>
        <w:tabs>
          <w:tab w:val="clear" w:pos="720"/>
          <w:tab w:val="num" w:pos="540"/>
        </w:tabs>
        <w:suppressAutoHyphens/>
        <w:ind w:left="540" w:hanging="540"/>
        <w:rPr>
          <w:del w:id="17196" w:author="AbbVie02no" w:date="2025-05-15T14:22:00Z"/>
          <w:sz w:val="22"/>
          <w:szCs w:val="22"/>
        </w:rPr>
      </w:pPr>
      <w:del w:id="17197" w:author="AbbVie02no" w:date="2025-05-15T14:22:00Z">
        <w:r>
          <w:rPr>
            <w:sz w:val="22"/>
            <w:szCs w:val="22"/>
          </w:rPr>
          <w:delText>pleura</w:delText>
        </w:r>
        <w:r w:rsidRPr="009C5EFD">
          <w:rPr>
            <w:sz w:val="22"/>
            <w:szCs w:val="22"/>
          </w:rPr>
          <w:delText>væske (unormal samling av væske i lungesekken),</w:delText>
        </w:r>
      </w:del>
    </w:p>
    <w:p w14:paraId="43AE95C4" w14:textId="322CAD50" w:rsidR="007B668D" w:rsidRPr="009C5EFD" w:rsidRDefault="00E453CD" w:rsidP="00EE4677">
      <w:pPr>
        <w:numPr>
          <w:ilvl w:val="0"/>
          <w:numId w:val="16"/>
        </w:numPr>
        <w:tabs>
          <w:tab w:val="clear" w:pos="720"/>
          <w:tab w:val="num" w:pos="540"/>
        </w:tabs>
        <w:suppressAutoHyphens/>
        <w:ind w:left="540" w:hanging="540"/>
        <w:rPr>
          <w:del w:id="17198" w:author="AbbVie02no" w:date="2025-05-15T14:22:00Z"/>
          <w:sz w:val="22"/>
          <w:szCs w:val="22"/>
        </w:rPr>
      </w:pPr>
      <w:del w:id="17199" w:author="AbbVie02no" w:date="2025-05-15T14:22:00Z">
        <w:r w:rsidRPr="009C5EFD">
          <w:rPr>
            <w:sz w:val="22"/>
            <w:szCs w:val="22"/>
          </w:rPr>
          <w:delText>betennelse i bukspyttkjertel som forårsaker sterke smerter i mage og rygg,</w:delText>
        </w:r>
      </w:del>
    </w:p>
    <w:p w14:paraId="1BB46BBA" w14:textId="1547B3CB" w:rsidR="007B668D" w:rsidRPr="009C5EFD" w:rsidRDefault="00E453CD" w:rsidP="00EE4677">
      <w:pPr>
        <w:numPr>
          <w:ilvl w:val="0"/>
          <w:numId w:val="16"/>
        </w:numPr>
        <w:tabs>
          <w:tab w:val="clear" w:pos="720"/>
          <w:tab w:val="num" w:pos="540"/>
        </w:tabs>
        <w:suppressAutoHyphens/>
        <w:ind w:left="540" w:hanging="540"/>
        <w:rPr>
          <w:del w:id="17200" w:author="AbbVie02no" w:date="2025-05-15T14:22:00Z"/>
          <w:sz w:val="22"/>
          <w:szCs w:val="22"/>
        </w:rPr>
      </w:pPr>
      <w:del w:id="17201" w:author="AbbVie02no" w:date="2025-05-15T14:22:00Z">
        <w:r w:rsidRPr="009C5EFD">
          <w:rPr>
            <w:sz w:val="22"/>
            <w:szCs w:val="22"/>
          </w:rPr>
          <w:delText>svelgeproblemer,</w:delText>
        </w:r>
      </w:del>
    </w:p>
    <w:p w14:paraId="73958B25" w14:textId="13645805" w:rsidR="007B668D" w:rsidRPr="009C5EFD" w:rsidRDefault="00E453CD" w:rsidP="00EE4677">
      <w:pPr>
        <w:numPr>
          <w:ilvl w:val="0"/>
          <w:numId w:val="16"/>
        </w:numPr>
        <w:tabs>
          <w:tab w:val="clear" w:pos="720"/>
          <w:tab w:val="num" w:pos="540"/>
        </w:tabs>
        <w:suppressAutoHyphens/>
        <w:ind w:left="540" w:hanging="540"/>
        <w:rPr>
          <w:del w:id="17202" w:author="AbbVie02no" w:date="2025-05-15T14:22:00Z"/>
          <w:sz w:val="22"/>
          <w:szCs w:val="22"/>
        </w:rPr>
      </w:pPr>
      <w:del w:id="17203" w:author="AbbVie02no" w:date="2025-05-15T14:22:00Z">
        <w:r w:rsidRPr="009C5EFD">
          <w:rPr>
            <w:sz w:val="22"/>
            <w:szCs w:val="22"/>
          </w:rPr>
          <w:delText>opphovnet ansikt,</w:delText>
        </w:r>
      </w:del>
    </w:p>
    <w:p w14:paraId="4B07FCB5" w14:textId="5F6DD229" w:rsidR="007B668D" w:rsidRPr="009C5EFD" w:rsidRDefault="00E453CD" w:rsidP="00EE4677">
      <w:pPr>
        <w:numPr>
          <w:ilvl w:val="0"/>
          <w:numId w:val="16"/>
        </w:numPr>
        <w:tabs>
          <w:tab w:val="clear" w:pos="720"/>
          <w:tab w:val="num" w:pos="540"/>
        </w:tabs>
        <w:suppressAutoHyphens/>
        <w:ind w:left="540" w:hanging="540"/>
        <w:rPr>
          <w:del w:id="17204" w:author="AbbVie02no" w:date="2025-05-15T14:22:00Z"/>
          <w:sz w:val="22"/>
          <w:szCs w:val="22"/>
        </w:rPr>
      </w:pPr>
      <w:del w:id="17205" w:author="AbbVie02no" w:date="2025-05-15T14:22:00Z">
        <w:r w:rsidRPr="009C5EFD">
          <w:rPr>
            <w:sz w:val="22"/>
            <w:szCs w:val="22"/>
          </w:rPr>
          <w:delText>betennelse i galleb</w:delText>
        </w:r>
        <w:r w:rsidR="00E11BA9">
          <w:rPr>
            <w:sz w:val="22"/>
            <w:szCs w:val="22"/>
          </w:rPr>
          <w:delText>l</w:delText>
        </w:r>
        <w:r w:rsidRPr="009C5EFD">
          <w:rPr>
            <w:sz w:val="22"/>
            <w:szCs w:val="22"/>
          </w:rPr>
          <w:delText>ære</w:delText>
        </w:r>
        <w:r w:rsidR="00E11BA9">
          <w:rPr>
            <w:sz w:val="22"/>
            <w:szCs w:val="22"/>
          </w:rPr>
          <w:delText>n</w:delText>
        </w:r>
        <w:r w:rsidRPr="009C5EFD">
          <w:rPr>
            <w:sz w:val="22"/>
            <w:szCs w:val="22"/>
          </w:rPr>
          <w:delText>, gallestein,</w:delText>
        </w:r>
      </w:del>
    </w:p>
    <w:p w14:paraId="0C7685BF" w14:textId="75264203" w:rsidR="007B668D" w:rsidRPr="009C5EFD" w:rsidRDefault="00E453CD" w:rsidP="00EE4677">
      <w:pPr>
        <w:numPr>
          <w:ilvl w:val="0"/>
          <w:numId w:val="16"/>
        </w:numPr>
        <w:tabs>
          <w:tab w:val="clear" w:pos="720"/>
          <w:tab w:val="num" w:pos="540"/>
        </w:tabs>
        <w:suppressAutoHyphens/>
        <w:ind w:left="540" w:hanging="540"/>
        <w:rPr>
          <w:del w:id="17206" w:author="AbbVie02no" w:date="2025-05-15T14:22:00Z"/>
          <w:sz w:val="22"/>
          <w:szCs w:val="22"/>
        </w:rPr>
      </w:pPr>
      <w:del w:id="17207" w:author="AbbVie02no" w:date="2025-05-15T14:22:00Z">
        <w:r w:rsidRPr="009C5EFD">
          <w:rPr>
            <w:sz w:val="22"/>
            <w:szCs w:val="22"/>
          </w:rPr>
          <w:delText>fettlever,</w:delText>
        </w:r>
      </w:del>
    </w:p>
    <w:p w14:paraId="39F5A9A2" w14:textId="66889FB7" w:rsidR="007B668D" w:rsidRPr="009C5EFD" w:rsidRDefault="00E453CD" w:rsidP="00EE4677">
      <w:pPr>
        <w:numPr>
          <w:ilvl w:val="0"/>
          <w:numId w:val="16"/>
        </w:numPr>
        <w:tabs>
          <w:tab w:val="clear" w:pos="720"/>
          <w:tab w:val="num" w:pos="540"/>
        </w:tabs>
        <w:suppressAutoHyphens/>
        <w:ind w:left="540" w:hanging="540"/>
        <w:rPr>
          <w:del w:id="17208" w:author="AbbVie02no" w:date="2025-05-15T14:22:00Z"/>
          <w:sz w:val="22"/>
          <w:szCs w:val="22"/>
        </w:rPr>
      </w:pPr>
      <w:del w:id="17209" w:author="AbbVie02no" w:date="2025-05-15T14:22:00Z">
        <w:r w:rsidRPr="009C5EFD">
          <w:rPr>
            <w:sz w:val="22"/>
            <w:szCs w:val="22"/>
          </w:rPr>
          <w:delText>nattesvette,</w:delText>
        </w:r>
      </w:del>
    </w:p>
    <w:p w14:paraId="20797D00" w14:textId="74786CEE" w:rsidR="007B668D" w:rsidRPr="009C5EFD" w:rsidRDefault="00E453CD" w:rsidP="00EE4677">
      <w:pPr>
        <w:numPr>
          <w:ilvl w:val="0"/>
          <w:numId w:val="16"/>
        </w:numPr>
        <w:tabs>
          <w:tab w:val="clear" w:pos="720"/>
          <w:tab w:val="num" w:pos="540"/>
        </w:tabs>
        <w:suppressAutoHyphens/>
        <w:ind w:left="540" w:hanging="540"/>
        <w:rPr>
          <w:del w:id="17210" w:author="AbbVie02no" w:date="2025-05-15T14:22:00Z"/>
          <w:sz w:val="22"/>
          <w:szCs w:val="22"/>
        </w:rPr>
      </w:pPr>
      <w:del w:id="17211" w:author="AbbVie02no" w:date="2025-05-15T14:22:00Z">
        <w:r w:rsidRPr="009C5EFD">
          <w:rPr>
            <w:sz w:val="22"/>
            <w:szCs w:val="22"/>
          </w:rPr>
          <w:delText>arrdannelse,</w:delText>
        </w:r>
      </w:del>
    </w:p>
    <w:p w14:paraId="6FBD37F9" w14:textId="06DE44CC" w:rsidR="007B668D" w:rsidRPr="009C5EFD" w:rsidRDefault="00E453CD" w:rsidP="00EE4677">
      <w:pPr>
        <w:numPr>
          <w:ilvl w:val="0"/>
          <w:numId w:val="16"/>
        </w:numPr>
        <w:tabs>
          <w:tab w:val="clear" w:pos="720"/>
          <w:tab w:val="num" w:pos="540"/>
        </w:tabs>
        <w:suppressAutoHyphens/>
        <w:ind w:left="540" w:hanging="540"/>
        <w:rPr>
          <w:del w:id="17212" w:author="AbbVie02no" w:date="2025-05-15T14:22:00Z"/>
          <w:sz w:val="22"/>
          <w:szCs w:val="22"/>
        </w:rPr>
      </w:pPr>
      <w:del w:id="17213" w:author="AbbVie02no" w:date="2025-05-15T14:22:00Z">
        <w:r w:rsidRPr="009C5EFD">
          <w:rPr>
            <w:sz w:val="22"/>
            <w:szCs w:val="22"/>
          </w:rPr>
          <w:delText>unormal muske</w:delText>
        </w:r>
        <w:r w:rsidR="00F25B55" w:rsidRPr="009C5EFD">
          <w:rPr>
            <w:sz w:val="22"/>
            <w:szCs w:val="22"/>
          </w:rPr>
          <w:delText>l</w:delText>
        </w:r>
        <w:r w:rsidRPr="009C5EFD">
          <w:rPr>
            <w:sz w:val="22"/>
            <w:szCs w:val="22"/>
          </w:rPr>
          <w:delText>tap,</w:delText>
        </w:r>
      </w:del>
    </w:p>
    <w:p w14:paraId="49193688" w14:textId="011F5C79" w:rsidR="00F469D6" w:rsidRPr="009C5EFD" w:rsidRDefault="00E453CD" w:rsidP="00EE4677">
      <w:pPr>
        <w:numPr>
          <w:ilvl w:val="0"/>
          <w:numId w:val="16"/>
        </w:numPr>
        <w:tabs>
          <w:tab w:val="clear" w:pos="720"/>
          <w:tab w:val="num" w:pos="540"/>
        </w:tabs>
        <w:suppressAutoHyphens/>
        <w:ind w:left="540" w:hanging="540"/>
        <w:rPr>
          <w:del w:id="17214" w:author="AbbVie02no" w:date="2025-05-15T14:22:00Z"/>
          <w:sz w:val="22"/>
          <w:szCs w:val="22"/>
        </w:rPr>
      </w:pPr>
      <w:del w:id="17215" w:author="AbbVie02no" w:date="2025-05-15T14:22:00Z">
        <w:r w:rsidRPr="009C5EFD">
          <w:rPr>
            <w:sz w:val="22"/>
            <w:szCs w:val="22"/>
          </w:rPr>
          <w:delText>systemisk lupus erythematosus (inkludert betennelser i hud, hjerte, lunge, ledd og andre organer),</w:delText>
        </w:r>
      </w:del>
    </w:p>
    <w:p w14:paraId="674DC89C" w14:textId="327D7366" w:rsidR="007B668D" w:rsidRPr="009C5EFD" w:rsidRDefault="00E453CD" w:rsidP="00EE4677">
      <w:pPr>
        <w:numPr>
          <w:ilvl w:val="0"/>
          <w:numId w:val="16"/>
        </w:numPr>
        <w:tabs>
          <w:tab w:val="clear" w:pos="720"/>
          <w:tab w:val="num" w:pos="540"/>
        </w:tabs>
        <w:suppressAutoHyphens/>
        <w:ind w:left="540" w:hanging="540"/>
        <w:rPr>
          <w:del w:id="17216" w:author="AbbVie02no" w:date="2025-05-15T14:22:00Z"/>
          <w:sz w:val="22"/>
          <w:szCs w:val="22"/>
        </w:rPr>
      </w:pPr>
      <w:del w:id="17217" w:author="AbbVie02no" w:date="2025-05-15T14:22:00Z">
        <w:r w:rsidRPr="009C5EFD">
          <w:rPr>
            <w:sz w:val="22"/>
            <w:szCs w:val="22"/>
          </w:rPr>
          <w:delText>søvnforstyrrelser,</w:delText>
        </w:r>
      </w:del>
    </w:p>
    <w:p w14:paraId="2E15F445" w14:textId="300F20FB" w:rsidR="007B668D" w:rsidRPr="009C5EFD" w:rsidRDefault="00E453CD" w:rsidP="00EE4677">
      <w:pPr>
        <w:numPr>
          <w:ilvl w:val="0"/>
          <w:numId w:val="16"/>
        </w:numPr>
        <w:tabs>
          <w:tab w:val="clear" w:pos="720"/>
          <w:tab w:val="num" w:pos="540"/>
        </w:tabs>
        <w:suppressAutoHyphens/>
        <w:ind w:left="540" w:hanging="540"/>
        <w:rPr>
          <w:del w:id="17218" w:author="AbbVie02no" w:date="2025-05-15T14:22:00Z"/>
          <w:sz w:val="22"/>
          <w:szCs w:val="22"/>
        </w:rPr>
      </w:pPr>
      <w:del w:id="17219" w:author="AbbVie02no" w:date="2025-05-15T14:22:00Z">
        <w:r w:rsidRPr="009C5EFD">
          <w:rPr>
            <w:sz w:val="22"/>
            <w:szCs w:val="22"/>
          </w:rPr>
          <w:delText>impotens,</w:delText>
        </w:r>
      </w:del>
    </w:p>
    <w:p w14:paraId="1B48CE9D" w14:textId="40E79EC7" w:rsidR="007B668D" w:rsidRPr="009C5EFD" w:rsidRDefault="00E453CD" w:rsidP="00EE4677">
      <w:pPr>
        <w:numPr>
          <w:ilvl w:val="0"/>
          <w:numId w:val="16"/>
        </w:numPr>
        <w:tabs>
          <w:tab w:val="clear" w:pos="720"/>
          <w:tab w:val="num" w:pos="540"/>
        </w:tabs>
        <w:suppressAutoHyphens/>
        <w:ind w:left="540" w:hanging="540"/>
        <w:rPr>
          <w:del w:id="17220" w:author="AbbVie02no" w:date="2025-05-15T14:22:00Z"/>
          <w:sz w:val="22"/>
          <w:szCs w:val="22"/>
        </w:rPr>
      </w:pPr>
      <w:del w:id="17221" w:author="AbbVie02no" w:date="2025-05-15T14:22:00Z">
        <w:r w:rsidRPr="009C5EFD">
          <w:rPr>
            <w:sz w:val="22"/>
            <w:szCs w:val="22"/>
          </w:rPr>
          <w:delText>betennelser.</w:delText>
        </w:r>
      </w:del>
    </w:p>
    <w:p w14:paraId="532B24D1" w14:textId="10C3161B" w:rsidR="007B668D" w:rsidRPr="009C5EFD" w:rsidRDefault="007B668D" w:rsidP="009C5EFD">
      <w:pPr>
        <w:pStyle w:val="EMEAFigureTitle"/>
        <w:tabs>
          <w:tab w:val="clear" w:pos="562"/>
        </w:tabs>
        <w:rPr>
          <w:del w:id="17222" w:author="AbbVie02no" w:date="2025-05-15T14:22:00Z"/>
          <w:szCs w:val="22"/>
          <w:lang w:val="nb-NO"/>
        </w:rPr>
      </w:pPr>
    </w:p>
    <w:p w14:paraId="39304037" w14:textId="1665EE15" w:rsidR="007B668D" w:rsidRDefault="00E453CD" w:rsidP="00776A84">
      <w:pPr>
        <w:keepNext/>
        <w:rPr>
          <w:del w:id="17223" w:author="AbbVie02no" w:date="2025-05-15T14:22:00Z"/>
          <w:sz w:val="22"/>
          <w:szCs w:val="22"/>
        </w:rPr>
      </w:pPr>
      <w:del w:id="17224" w:author="AbbVie02no" w:date="2025-05-15T14:22:00Z">
        <w:r w:rsidRPr="006936CB">
          <w:rPr>
            <w:sz w:val="22"/>
            <w:szCs w:val="22"/>
          </w:rPr>
          <w:delText>Sjeldne</w:delText>
        </w:r>
        <w:r w:rsidRPr="009C5EFD">
          <w:rPr>
            <w:sz w:val="22"/>
            <w:szCs w:val="22"/>
          </w:rPr>
          <w:delText xml:space="preserve"> (</w:delText>
        </w:r>
        <w:r w:rsidR="00151C5C" w:rsidRPr="009C5EFD">
          <w:rPr>
            <w:sz w:val="22"/>
            <w:szCs w:val="22"/>
          </w:rPr>
          <w:delText xml:space="preserve">kan </w:delText>
        </w:r>
        <w:r w:rsidR="003B66F8" w:rsidRPr="009C5EFD">
          <w:rPr>
            <w:sz w:val="22"/>
            <w:szCs w:val="22"/>
          </w:rPr>
          <w:delText>forekomme hos</w:delText>
        </w:r>
        <w:r w:rsidR="00151C5C" w:rsidRPr="009C5EFD">
          <w:rPr>
            <w:sz w:val="22"/>
            <w:szCs w:val="22"/>
          </w:rPr>
          <w:delText xml:space="preserve"> opptil </w:delText>
        </w:r>
        <w:r w:rsidRPr="009C5EFD">
          <w:rPr>
            <w:sz w:val="22"/>
            <w:szCs w:val="22"/>
          </w:rPr>
          <w:delText xml:space="preserve">1 </w:delText>
        </w:r>
        <w:r w:rsidR="00C55CAC" w:rsidRPr="009C5EFD">
          <w:rPr>
            <w:sz w:val="22"/>
            <w:szCs w:val="22"/>
          </w:rPr>
          <w:delText>av</w:delText>
        </w:r>
        <w:r w:rsidRPr="009C5EFD">
          <w:rPr>
            <w:sz w:val="22"/>
            <w:szCs w:val="22"/>
          </w:rPr>
          <w:delText xml:space="preserve"> 1000 </w:delText>
        </w:r>
        <w:r w:rsidR="00151C5C" w:rsidRPr="009C5EFD">
          <w:rPr>
            <w:sz w:val="22"/>
            <w:szCs w:val="22"/>
          </w:rPr>
          <w:delText>personer</w:delText>
        </w:r>
        <w:r w:rsidRPr="009C5EFD">
          <w:rPr>
            <w:sz w:val="22"/>
            <w:szCs w:val="22"/>
          </w:rPr>
          <w:delText>)</w:delText>
        </w:r>
      </w:del>
    </w:p>
    <w:p w14:paraId="0B1C531A" w14:textId="5F6B6129" w:rsidR="00C13645" w:rsidRPr="009C5EFD" w:rsidRDefault="00C13645" w:rsidP="00776A84">
      <w:pPr>
        <w:keepNext/>
        <w:rPr>
          <w:del w:id="17225" w:author="AbbVie02no" w:date="2025-05-15T14:22:00Z"/>
          <w:sz w:val="22"/>
          <w:szCs w:val="22"/>
        </w:rPr>
      </w:pPr>
    </w:p>
    <w:p w14:paraId="58ACCD1B" w14:textId="6A0E80AB" w:rsidR="00730859" w:rsidRPr="009C5EFD" w:rsidRDefault="00E453CD" w:rsidP="00EE4677">
      <w:pPr>
        <w:numPr>
          <w:ilvl w:val="0"/>
          <w:numId w:val="15"/>
        </w:numPr>
        <w:tabs>
          <w:tab w:val="clear" w:pos="720"/>
          <w:tab w:val="num" w:pos="540"/>
        </w:tabs>
        <w:ind w:left="0" w:firstLine="0"/>
        <w:rPr>
          <w:del w:id="17226" w:author="AbbVie02no" w:date="2025-05-15T14:22:00Z"/>
          <w:sz w:val="22"/>
          <w:szCs w:val="22"/>
        </w:rPr>
      </w:pPr>
      <w:del w:id="17227" w:author="AbbVie02no" w:date="2025-05-15T14:22:00Z">
        <w:r w:rsidRPr="009C5EFD">
          <w:rPr>
            <w:sz w:val="22"/>
            <w:szCs w:val="22"/>
          </w:rPr>
          <w:delText xml:space="preserve">leukemi (kreft som </w:delText>
        </w:r>
        <w:r w:rsidR="00ED2157" w:rsidRPr="009C5EFD">
          <w:rPr>
            <w:sz w:val="22"/>
            <w:szCs w:val="22"/>
          </w:rPr>
          <w:delText>påvirker</w:delText>
        </w:r>
        <w:r w:rsidRPr="009C5EFD">
          <w:rPr>
            <w:sz w:val="22"/>
            <w:szCs w:val="22"/>
          </w:rPr>
          <w:delText xml:space="preserve"> blod og benmarg),</w:delText>
        </w:r>
      </w:del>
    </w:p>
    <w:p w14:paraId="78457BA4" w14:textId="2923971C" w:rsidR="00730859" w:rsidRPr="009C5EFD" w:rsidRDefault="00E453CD" w:rsidP="00EE4677">
      <w:pPr>
        <w:numPr>
          <w:ilvl w:val="0"/>
          <w:numId w:val="15"/>
        </w:numPr>
        <w:tabs>
          <w:tab w:val="clear" w:pos="720"/>
          <w:tab w:val="num" w:pos="540"/>
        </w:tabs>
        <w:ind w:left="540" w:hanging="540"/>
        <w:rPr>
          <w:del w:id="17228" w:author="AbbVie02no" w:date="2025-05-15T14:22:00Z"/>
          <w:sz w:val="22"/>
          <w:szCs w:val="22"/>
        </w:rPr>
      </w:pPr>
      <w:del w:id="17229" w:author="AbbVie02no" w:date="2025-05-15T14:22:00Z">
        <w:r w:rsidRPr="009C5EFD">
          <w:rPr>
            <w:sz w:val="22"/>
            <w:szCs w:val="22"/>
          </w:rPr>
          <w:delText>alvorlig allergisk reaksjon med sjokk,</w:delText>
        </w:r>
      </w:del>
    </w:p>
    <w:p w14:paraId="1CA545EE" w14:textId="301DA1AF" w:rsidR="00730859" w:rsidRPr="009C5EFD" w:rsidRDefault="00E453CD" w:rsidP="00EE4677">
      <w:pPr>
        <w:numPr>
          <w:ilvl w:val="0"/>
          <w:numId w:val="15"/>
        </w:numPr>
        <w:tabs>
          <w:tab w:val="clear" w:pos="720"/>
          <w:tab w:val="num" w:pos="540"/>
        </w:tabs>
        <w:ind w:left="0" w:firstLine="0"/>
        <w:rPr>
          <w:del w:id="17230" w:author="AbbVie02no" w:date="2025-05-15T14:22:00Z"/>
          <w:sz w:val="22"/>
          <w:szCs w:val="22"/>
        </w:rPr>
      </w:pPr>
      <w:del w:id="17231" w:author="AbbVie02no" w:date="2025-05-15T14:22:00Z">
        <w:r w:rsidRPr="009C5EFD">
          <w:rPr>
            <w:sz w:val="22"/>
            <w:szCs w:val="22"/>
          </w:rPr>
          <w:delText>multippel sklerose,</w:delText>
        </w:r>
      </w:del>
    </w:p>
    <w:p w14:paraId="0B787EFA" w14:textId="081C2865" w:rsidR="00730859" w:rsidRPr="009C5EFD" w:rsidRDefault="00E453CD" w:rsidP="00EE4677">
      <w:pPr>
        <w:numPr>
          <w:ilvl w:val="0"/>
          <w:numId w:val="15"/>
        </w:numPr>
        <w:tabs>
          <w:tab w:val="clear" w:pos="720"/>
          <w:tab w:val="num" w:pos="540"/>
        </w:tabs>
        <w:ind w:left="540" w:hanging="540"/>
        <w:rPr>
          <w:del w:id="17232" w:author="AbbVie02no" w:date="2025-05-15T14:22:00Z"/>
          <w:sz w:val="22"/>
          <w:szCs w:val="22"/>
        </w:rPr>
      </w:pPr>
      <w:del w:id="17233" w:author="AbbVie02no" w:date="2025-05-15T14:22:00Z">
        <w:r w:rsidRPr="009C5EFD">
          <w:rPr>
            <w:sz w:val="22"/>
            <w:szCs w:val="22"/>
          </w:rPr>
          <w:delText>nerveforstyrrelser (som betennelse på øyenervene og Guillain-Barré syndrom som kan forårsake muskelsvakhet, unormale sanseinntrykk, prikking i armene og overkroppen),</w:delText>
        </w:r>
      </w:del>
    </w:p>
    <w:p w14:paraId="28ABE32F" w14:textId="15FEE4A4" w:rsidR="00730859" w:rsidRPr="009C5EFD" w:rsidRDefault="00E453CD" w:rsidP="00EE4677">
      <w:pPr>
        <w:numPr>
          <w:ilvl w:val="0"/>
          <w:numId w:val="15"/>
        </w:numPr>
        <w:tabs>
          <w:tab w:val="clear" w:pos="720"/>
          <w:tab w:val="num" w:pos="540"/>
        </w:tabs>
        <w:ind w:left="0" w:firstLine="0"/>
        <w:rPr>
          <w:del w:id="17234" w:author="AbbVie02no" w:date="2025-05-15T14:22:00Z"/>
          <w:sz w:val="22"/>
          <w:szCs w:val="22"/>
        </w:rPr>
      </w:pPr>
      <w:del w:id="17235" w:author="AbbVie02no" w:date="2025-05-15T14:22:00Z">
        <w:r w:rsidRPr="009C5EFD">
          <w:rPr>
            <w:sz w:val="22"/>
            <w:szCs w:val="22"/>
          </w:rPr>
          <w:delText>hjertet slutter å pumpe,</w:delText>
        </w:r>
      </w:del>
    </w:p>
    <w:p w14:paraId="65375BE9" w14:textId="104AF1BE" w:rsidR="00730859" w:rsidRPr="009C5EFD" w:rsidRDefault="00E453CD" w:rsidP="00EE4677">
      <w:pPr>
        <w:numPr>
          <w:ilvl w:val="0"/>
          <w:numId w:val="15"/>
        </w:numPr>
        <w:tabs>
          <w:tab w:val="clear" w:pos="720"/>
          <w:tab w:val="num" w:pos="540"/>
        </w:tabs>
        <w:ind w:left="540" w:hanging="540"/>
        <w:rPr>
          <w:del w:id="17236" w:author="AbbVie02no" w:date="2025-05-15T14:22:00Z"/>
          <w:sz w:val="22"/>
          <w:szCs w:val="22"/>
        </w:rPr>
      </w:pPr>
      <w:del w:id="17237" w:author="AbbVie02no" w:date="2025-05-15T14:22:00Z">
        <w:r w:rsidRPr="009C5EFD">
          <w:rPr>
            <w:sz w:val="22"/>
            <w:szCs w:val="22"/>
          </w:rPr>
          <w:delText>lungefibrose (arrdannelse i lungene),</w:delText>
        </w:r>
      </w:del>
    </w:p>
    <w:p w14:paraId="17CDF1AF" w14:textId="7D18A9BF" w:rsidR="00730859" w:rsidRPr="009C5EFD" w:rsidRDefault="00E453CD" w:rsidP="00EE4677">
      <w:pPr>
        <w:numPr>
          <w:ilvl w:val="0"/>
          <w:numId w:val="15"/>
        </w:numPr>
        <w:tabs>
          <w:tab w:val="clear" w:pos="720"/>
          <w:tab w:val="num" w:pos="540"/>
        </w:tabs>
        <w:ind w:left="540" w:hanging="540"/>
        <w:rPr>
          <w:del w:id="17238" w:author="AbbVie02no" w:date="2025-05-15T14:22:00Z"/>
          <w:sz w:val="22"/>
          <w:szCs w:val="22"/>
        </w:rPr>
      </w:pPr>
      <w:del w:id="17239" w:author="AbbVie02no" w:date="2025-05-15T14:22:00Z">
        <w:r w:rsidRPr="009C5EFD">
          <w:rPr>
            <w:sz w:val="22"/>
            <w:szCs w:val="22"/>
          </w:rPr>
          <w:delText xml:space="preserve">hull </w:delText>
        </w:r>
        <w:r w:rsidR="00E11BA9">
          <w:rPr>
            <w:sz w:val="22"/>
            <w:szCs w:val="22"/>
          </w:rPr>
          <w:delText>på</w:delText>
        </w:r>
        <w:r w:rsidRPr="009C5EFD">
          <w:rPr>
            <w:sz w:val="22"/>
            <w:szCs w:val="22"/>
          </w:rPr>
          <w:delText xml:space="preserve"> ta</w:delText>
        </w:r>
        <w:r w:rsidR="00ED2157" w:rsidRPr="009C5EFD">
          <w:rPr>
            <w:sz w:val="22"/>
            <w:szCs w:val="22"/>
          </w:rPr>
          <w:delText>r</w:delText>
        </w:r>
        <w:r w:rsidRPr="009C5EFD">
          <w:rPr>
            <w:sz w:val="22"/>
            <w:szCs w:val="22"/>
          </w:rPr>
          <w:delText>men</w:delText>
        </w:r>
        <w:r w:rsidR="00E11BA9">
          <w:rPr>
            <w:sz w:val="22"/>
            <w:szCs w:val="22"/>
          </w:rPr>
          <w:delText xml:space="preserve"> (perforasjon)</w:delText>
        </w:r>
        <w:r w:rsidRPr="009C5EFD">
          <w:rPr>
            <w:sz w:val="22"/>
            <w:szCs w:val="22"/>
          </w:rPr>
          <w:delText>,</w:delText>
        </w:r>
      </w:del>
    </w:p>
    <w:p w14:paraId="52BD7999" w14:textId="28D03FB1" w:rsidR="00151C5C" w:rsidRPr="009C5EFD" w:rsidRDefault="00E453CD" w:rsidP="00EE4677">
      <w:pPr>
        <w:numPr>
          <w:ilvl w:val="0"/>
          <w:numId w:val="15"/>
        </w:numPr>
        <w:tabs>
          <w:tab w:val="clear" w:pos="720"/>
          <w:tab w:val="num" w:pos="540"/>
        </w:tabs>
        <w:ind w:left="540" w:hanging="540"/>
        <w:rPr>
          <w:del w:id="17240" w:author="AbbVie02no" w:date="2025-05-15T14:22:00Z"/>
          <w:sz w:val="22"/>
          <w:szCs w:val="22"/>
        </w:rPr>
      </w:pPr>
      <w:del w:id="17241" w:author="AbbVie02no" w:date="2025-05-15T14:22:00Z">
        <w:r w:rsidRPr="009C5EFD">
          <w:rPr>
            <w:sz w:val="22"/>
            <w:szCs w:val="22"/>
          </w:rPr>
          <w:delText>hepatitt,</w:delText>
        </w:r>
      </w:del>
    </w:p>
    <w:p w14:paraId="49EED72C" w14:textId="1BB2ED1B" w:rsidR="00730859" w:rsidRPr="009C5EFD" w:rsidRDefault="00E453CD" w:rsidP="00EE4677">
      <w:pPr>
        <w:numPr>
          <w:ilvl w:val="0"/>
          <w:numId w:val="15"/>
        </w:numPr>
        <w:tabs>
          <w:tab w:val="clear" w:pos="720"/>
          <w:tab w:val="num" w:pos="540"/>
        </w:tabs>
        <w:ind w:left="540" w:hanging="540"/>
        <w:rPr>
          <w:del w:id="17242" w:author="AbbVie02no" w:date="2025-05-15T14:22:00Z"/>
          <w:sz w:val="22"/>
          <w:szCs w:val="22"/>
        </w:rPr>
      </w:pPr>
      <w:del w:id="17243" w:author="AbbVie02no" w:date="2025-05-15T14:22:00Z">
        <w:r w:rsidRPr="009C5EFD">
          <w:rPr>
            <w:sz w:val="22"/>
            <w:szCs w:val="22"/>
          </w:rPr>
          <w:delText>reaktivering av hepatitt B,</w:delText>
        </w:r>
      </w:del>
    </w:p>
    <w:p w14:paraId="6AC17EBC" w14:textId="43DACFEF" w:rsidR="00102C0B" w:rsidRPr="009C5EFD" w:rsidRDefault="00E453CD" w:rsidP="00EE4677">
      <w:pPr>
        <w:numPr>
          <w:ilvl w:val="0"/>
          <w:numId w:val="15"/>
        </w:numPr>
        <w:tabs>
          <w:tab w:val="clear" w:pos="720"/>
          <w:tab w:val="num" w:pos="540"/>
        </w:tabs>
        <w:ind w:left="540" w:hanging="540"/>
        <w:rPr>
          <w:del w:id="17244" w:author="AbbVie02no" w:date="2025-05-15T14:22:00Z"/>
          <w:sz w:val="22"/>
          <w:szCs w:val="22"/>
        </w:rPr>
      </w:pPr>
      <w:del w:id="17245" w:author="AbbVie02no" w:date="2025-05-15T14:22:00Z">
        <w:r w:rsidRPr="009C5EFD">
          <w:rPr>
            <w:sz w:val="22"/>
            <w:szCs w:val="22"/>
          </w:rPr>
          <w:delText>autoimmun hepatitt (leverbetennelse forårsaket av kroppens eget immunforsvar)</w:delText>
        </w:r>
        <w:r w:rsidR="00B92A85">
          <w:rPr>
            <w:sz w:val="22"/>
            <w:szCs w:val="22"/>
          </w:rPr>
          <w:delText>,</w:delText>
        </w:r>
      </w:del>
    </w:p>
    <w:p w14:paraId="1C27E4A4" w14:textId="776A9788" w:rsidR="00730859" w:rsidRPr="009C5EFD" w:rsidRDefault="00E453CD" w:rsidP="00EE4677">
      <w:pPr>
        <w:numPr>
          <w:ilvl w:val="0"/>
          <w:numId w:val="15"/>
        </w:numPr>
        <w:tabs>
          <w:tab w:val="clear" w:pos="720"/>
          <w:tab w:val="num" w:pos="540"/>
        </w:tabs>
        <w:ind w:left="540" w:hanging="540"/>
        <w:rPr>
          <w:del w:id="17246" w:author="AbbVie02no" w:date="2025-05-15T14:22:00Z"/>
          <w:sz w:val="22"/>
          <w:szCs w:val="22"/>
        </w:rPr>
      </w:pPr>
      <w:del w:id="17247" w:author="AbbVie02no" w:date="2025-05-15T14:22:00Z">
        <w:r w:rsidRPr="009C5EFD">
          <w:rPr>
            <w:sz w:val="22"/>
            <w:szCs w:val="22"/>
          </w:rPr>
          <w:delText>betennelse i blodkarene i huden,</w:delText>
        </w:r>
      </w:del>
    </w:p>
    <w:p w14:paraId="417B2219" w14:textId="167E5B81" w:rsidR="00730859" w:rsidRPr="009C5EFD" w:rsidRDefault="00E453CD" w:rsidP="00EE4677">
      <w:pPr>
        <w:numPr>
          <w:ilvl w:val="0"/>
          <w:numId w:val="15"/>
        </w:numPr>
        <w:tabs>
          <w:tab w:val="clear" w:pos="720"/>
          <w:tab w:val="num" w:pos="540"/>
        </w:tabs>
        <w:ind w:left="540" w:hanging="540"/>
        <w:rPr>
          <w:del w:id="17248" w:author="AbbVie02no" w:date="2025-05-15T14:22:00Z"/>
          <w:sz w:val="22"/>
          <w:szCs w:val="22"/>
        </w:rPr>
      </w:pPr>
      <w:del w:id="17249" w:author="AbbVie02no" w:date="2025-05-15T14:22:00Z">
        <w:r w:rsidRPr="009C5EFD">
          <w:rPr>
            <w:sz w:val="22"/>
            <w:szCs w:val="22"/>
          </w:rPr>
          <w:delText>Stevens-Johnson syndrom (tidlige symptomer inkludert diffus følelse av ubehag og tretthett, feber, hodepine og utslett),</w:delText>
        </w:r>
      </w:del>
    </w:p>
    <w:p w14:paraId="2BD7ED9A" w14:textId="10BE1A59" w:rsidR="00730859" w:rsidRPr="009C5EFD" w:rsidRDefault="00E453CD" w:rsidP="00EE4677">
      <w:pPr>
        <w:numPr>
          <w:ilvl w:val="0"/>
          <w:numId w:val="15"/>
        </w:numPr>
        <w:tabs>
          <w:tab w:val="clear" w:pos="720"/>
          <w:tab w:val="num" w:pos="540"/>
        </w:tabs>
        <w:ind w:left="540" w:hanging="540"/>
        <w:rPr>
          <w:del w:id="17250" w:author="AbbVie02no" w:date="2025-05-15T14:22:00Z"/>
          <w:sz w:val="22"/>
          <w:szCs w:val="22"/>
        </w:rPr>
      </w:pPr>
      <w:del w:id="17251" w:author="AbbVie02no" w:date="2025-05-15T14:22:00Z">
        <w:r w:rsidRPr="009C5EFD">
          <w:rPr>
            <w:sz w:val="22"/>
            <w:szCs w:val="22"/>
          </w:rPr>
          <w:delText>ansiktsødem i forbindelse med allergiske reaksjoner,</w:delText>
        </w:r>
      </w:del>
    </w:p>
    <w:p w14:paraId="15C30297" w14:textId="342F5419" w:rsidR="00730859" w:rsidRPr="009C5EFD" w:rsidRDefault="00E453CD" w:rsidP="00EE4677">
      <w:pPr>
        <w:numPr>
          <w:ilvl w:val="0"/>
          <w:numId w:val="15"/>
        </w:numPr>
        <w:tabs>
          <w:tab w:val="clear" w:pos="720"/>
          <w:tab w:val="num" w:pos="540"/>
        </w:tabs>
        <w:ind w:left="540" w:hanging="540"/>
        <w:rPr>
          <w:del w:id="17252" w:author="AbbVie02no" w:date="2025-05-15T14:22:00Z"/>
          <w:sz w:val="22"/>
          <w:szCs w:val="22"/>
        </w:rPr>
      </w:pPr>
      <w:del w:id="17253" w:author="AbbVie02no" w:date="2025-05-15T14:22:00Z">
        <w:r w:rsidRPr="009C5EFD">
          <w:rPr>
            <w:sz w:val="22"/>
            <w:szCs w:val="22"/>
          </w:rPr>
          <w:delText>erythema multiforme (hudutslett med inflammasjon),</w:delText>
        </w:r>
      </w:del>
    </w:p>
    <w:p w14:paraId="754725EE" w14:textId="31E2211B" w:rsidR="00047252" w:rsidRDefault="00E453CD" w:rsidP="00EE4677">
      <w:pPr>
        <w:numPr>
          <w:ilvl w:val="0"/>
          <w:numId w:val="15"/>
        </w:numPr>
        <w:tabs>
          <w:tab w:val="clear" w:pos="720"/>
          <w:tab w:val="num" w:pos="540"/>
        </w:tabs>
        <w:ind w:left="540" w:hanging="540"/>
        <w:rPr>
          <w:del w:id="17254" w:author="AbbVie02no" w:date="2025-05-15T14:22:00Z"/>
          <w:sz w:val="22"/>
          <w:szCs w:val="22"/>
        </w:rPr>
      </w:pPr>
      <w:del w:id="17255" w:author="AbbVie02no" w:date="2025-05-15T14:22:00Z">
        <w:r w:rsidRPr="009C5EFD">
          <w:rPr>
            <w:sz w:val="22"/>
            <w:szCs w:val="22"/>
          </w:rPr>
          <w:delText>lupuslignende syndrom</w:delText>
        </w:r>
        <w:r w:rsidR="00C13645">
          <w:rPr>
            <w:sz w:val="22"/>
            <w:szCs w:val="22"/>
          </w:rPr>
          <w:delText>,</w:delText>
        </w:r>
      </w:del>
    </w:p>
    <w:p w14:paraId="45871BD0" w14:textId="214CDC0D" w:rsidR="007B668D" w:rsidRDefault="00E453CD" w:rsidP="00EE4677">
      <w:pPr>
        <w:numPr>
          <w:ilvl w:val="0"/>
          <w:numId w:val="15"/>
        </w:numPr>
        <w:tabs>
          <w:tab w:val="clear" w:pos="720"/>
          <w:tab w:val="num" w:pos="540"/>
        </w:tabs>
        <w:ind w:left="540" w:hanging="540"/>
        <w:rPr>
          <w:del w:id="17256" w:author="AbbVie02no" w:date="2025-05-15T14:22:00Z"/>
          <w:sz w:val="22"/>
          <w:szCs w:val="22"/>
        </w:rPr>
      </w:pPr>
      <w:del w:id="17257" w:author="AbbVie02no" w:date="2025-05-15T14:22:00Z">
        <w:r>
          <w:rPr>
            <w:sz w:val="22"/>
            <w:szCs w:val="22"/>
          </w:rPr>
          <w:delText>angioødem (</w:delText>
        </w:r>
        <w:r w:rsidR="00047252">
          <w:rPr>
            <w:sz w:val="22"/>
            <w:szCs w:val="22"/>
          </w:rPr>
          <w:delText>lokalisert opphovning av huden)</w:delText>
        </w:r>
        <w:r w:rsidR="00A36D70">
          <w:rPr>
            <w:sz w:val="22"/>
            <w:szCs w:val="22"/>
          </w:rPr>
          <w:delText>,</w:delText>
        </w:r>
      </w:del>
    </w:p>
    <w:p w14:paraId="6B42DA3E" w14:textId="27A693F9" w:rsidR="00A36D70" w:rsidRPr="00A36D70" w:rsidRDefault="00E453CD" w:rsidP="00A36D70">
      <w:pPr>
        <w:numPr>
          <w:ilvl w:val="0"/>
          <w:numId w:val="15"/>
        </w:numPr>
        <w:tabs>
          <w:tab w:val="clear" w:pos="720"/>
          <w:tab w:val="num" w:pos="540"/>
        </w:tabs>
        <w:ind w:left="540" w:hanging="540"/>
        <w:rPr>
          <w:del w:id="17258" w:author="AbbVie02no" w:date="2025-05-15T14:22:00Z"/>
          <w:sz w:val="22"/>
          <w:szCs w:val="22"/>
        </w:rPr>
      </w:pPr>
      <w:del w:id="17259" w:author="AbbVie02no" w:date="2025-05-15T14:22:00Z">
        <w:r>
          <w:rPr>
            <w:sz w:val="22"/>
            <w:szCs w:val="22"/>
          </w:rPr>
          <w:delText>lichenoid hudreaksjon (kløende rødlig-lilla utslett).</w:delText>
        </w:r>
      </w:del>
    </w:p>
    <w:p w14:paraId="7EBB7B00" w14:textId="3C877486" w:rsidR="007B668D" w:rsidRPr="009C5EFD" w:rsidRDefault="007B668D" w:rsidP="009C5EFD">
      <w:pPr>
        <w:rPr>
          <w:del w:id="17260" w:author="AbbVie02no" w:date="2025-05-15T14:22:00Z"/>
          <w:sz w:val="22"/>
          <w:szCs w:val="22"/>
        </w:rPr>
      </w:pPr>
    </w:p>
    <w:p w14:paraId="796AA037" w14:textId="1426B03B" w:rsidR="000C05A4" w:rsidRDefault="00E453CD" w:rsidP="00776A84">
      <w:pPr>
        <w:keepNext/>
        <w:rPr>
          <w:del w:id="17261" w:author="AbbVie02no" w:date="2025-05-15T14:22:00Z"/>
          <w:sz w:val="22"/>
          <w:szCs w:val="22"/>
        </w:rPr>
      </w:pPr>
      <w:del w:id="17262" w:author="AbbVie02no" w:date="2025-05-15T14:22:00Z">
        <w:r w:rsidRPr="006936CB">
          <w:rPr>
            <w:sz w:val="22"/>
            <w:szCs w:val="22"/>
          </w:rPr>
          <w:delText>Ikke kjent</w:delText>
        </w:r>
        <w:r w:rsidRPr="009C5EFD">
          <w:rPr>
            <w:sz w:val="22"/>
            <w:szCs w:val="22"/>
          </w:rPr>
          <w:delText xml:space="preserve"> (</w:delText>
        </w:r>
        <w:r w:rsidR="00E63B3E">
          <w:rPr>
            <w:sz w:val="22"/>
            <w:szCs w:val="22"/>
          </w:rPr>
          <w:delText xml:space="preserve">frekvens </w:delText>
        </w:r>
        <w:r w:rsidRPr="009C5EFD">
          <w:rPr>
            <w:sz w:val="22"/>
            <w:szCs w:val="22"/>
          </w:rPr>
          <w:delText xml:space="preserve">kan ikke </w:delText>
        </w:r>
        <w:r w:rsidR="00E11BA9">
          <w:rPr>
            <w:sz w:val="22"/>
            <w:szCs w:val="22"/>
          </w:rPr>
          <w:delText>anslås</w:delText>
        </w:r>
        <w:r w:rsidRPr="009C5EFD">
          <w:rPr>
            <w:sz w:val="22"/>
            <w:szCs w:val="22"/>
          </w:rPr>
          <w:delText xml:space="preserve"> ut ifra tilgjengelig</w:delText>
        </w:r>
        <w:r w:rsidR="00E63B3E">
          <w:rPr>
            <w:sz w:val="22"/>
            <w:szCs w:val="22"/>
          </w:rPr>
          <w:delText>e</w:delText>
        </w:r>
        <w:r w:rsidRPr="009C5EFD">
          <w:rPr>
            <w:sz w:val="22"/>
            <w:szCs w:val="22"/>
          </w:rPr>
          <w:delText xml:space="preserve"> data)</w:delText>
        </w:r>
      </w:del>
    </w:p>
    <w:p w14:paraId="0A914982" w14:textId="2B4384A7" w:rsidR="00BD3F76" w:rsidRPr="009C5EFD" w:rsidRDefault="00BD3F76" w:rsidP="00776A84">
      <w:pPr>
        <w:keepNext/>
        <w:rPr>
          <w:del w:id="17263" w:author="AbbVie02no" w:date="2025-05-15T14:22:00Z"/>
          <w:sz w:val="22"/>
          <w:szCs w:val="22"/>
        </w:rPr>
      </w:pPr>
    </w:p>
    <w:p w14:paraId="02BDA685" w14:textId="6026D89A" w:rsidR="000C05A4" w:rsidRPr="009C5EFD" w:rsidRDefault="00E453CD" w:rsidP="00EE4677">
      <w:pPr>
        <w:numPr>
          <w:ilvl w:val="0"/>
          <w:numId w:val="49"/>
        </w:numPr>
        <w:tabs>
          <w:tab w:val="clear" w:pos="720"/>
          <w:tab w:val="num" w:pos="567"/>
        </w:tabs>
        <w:ind w:left="567" w:hanging="567"/>
        <w:rPr>
          <w:del w:id="17264" w:author="AbbVie02no" w:date="2025-05-15T14:22:00Z"/>
          <w:sz w:val="22"/>
          <w:szCs w:val="22"/>
        </w:rPr>
      </w:pPr>
      <w:del w:id="17265" w:author="AbbVie02no" w:date="2025-05-15T14:22:00Z">
        <w:r w:rsidRPr="009C5EFD">
          <w:rPr>
            <w:sz w:val="22"/>
            <w:szCs w:val="22"/>
          </w:rPr>
          <w:delText>hepatosplenisk T-cellelymfom (en sjelden form for blodkreft, som ofte er dødelig),</w:delText>
        </w:r>
      </w:del>
    </w:p>
    <w:p w14:paraId="40A9E8D3" w14:textId="202CC3E4" w:rsidR="000C05A4" w:rsidRDefault="00E453CD" w:rsidP="00EE4677">
      <w:pPr>
        <w:numPr>
          <w:ilvl w:val="0"/>
          <w:numId w:val="49"/>
        </w:numPr>
        <w:tabs>
          <w:tab w:val="clear" w:pos="720"/>
          <w:tab w:val="num" w:pos="567"/>
        </w:tabs>
        <w:ind w:left="567" w:hanging="567"/>
        <w:rPr>
          <w:del w:id="17266" w:author="AbbVie02no" w:date="2025-05-15T14:22:00Z"/>
          <w:sz w:val="22"/>
          <w:szCs w:val="22"/>
        </w:rPr>
      </w:pPr>
      <w:del w:id="17267" w:author="AbbVie02no" w:date="2025-05-15T14:22:00Z">
        <w:r w:rsidRPr="009C5EFD">
          <w:rPr>
            <w:sz w:val="22"/>
            <w:szCs w:val="22"/>
          </w:rPr>
          <w:delText>merkelcellekarsinom (en type hudkreft),</w:delText>
        </w:r>
      </w:del>
    </w:p>
    <w:p w14:paraId="5155BC72" w14:textId="5AB2F023" w:rsidR="003A4023" w:rsidRPr="000A0941" w:rsidRDefault="00E453CD" w:rsidP="003A4023">
      <w:pPr>
        <w:numPr>
          <w:ilvl w:val="0"/>
          <w:numId w:val="49"/>
        </w:numPr>
        <w:tabs>
          <w:tab w:val="clear" w:pos="720"/>
          <w:tab w:val="num" w:pos="567"/>
        </w:tabs>
        <w:ind w:left="567" w:hanging="567"/>
        <w:rPr>
          <w:del w:id="17268" w:author="AbbVie02no" w:date="2025-05-15T14:22:00Z"/>
          <w:sz w:val="22"/>
          <w:szCs w:val="22"/>
        </w:rPr>
      </w:pPr>
      <w:del w:id="17269" w:author="AbbVie02no" w:date="2025-05-15T14:22:00Z">
        <w:r w:rsidRPr="003A4023">
          <w:rPr>
            <w:sz w:val="22"/>
            <w:szCs w:val="22"/>
          </w:rPr>
          <w:delText>Kaposis sarkom, en sjelden krefttype relatert til in</w:delText>
        </w:r>
        <w:r w:rsidRPr="000A0941">
          <w:rPr>
            <w:sz w:val="22"/>
            <w:szCs w:val="22"/>
          </w:rPr>
          <w:delText>feksjon med humant herpes virus 8. Kaposis sarkom opptrer som oftest som lilla lesjoner i huden</w:delText>
        </w:r>
        <w:r w:rsidR="00E63B3E">
          <w:rPr>
            <w:sz w:val="22"/>
            <w:szCs w:val="22"/>
          </w:rPr>
          <w:delText>,</w:delText>
        </w:r>
      </w:del>
    </w:p>
    <w:p w14:paraId="612B516E" w14:textId="09000EA6" w:rsidR="000C05A4" w:rsidRPr="009C5EFD" w:rsidRDefault="00E453CD" w:rsidP="00EE4677">
      <w:pPr>
        <w:numPr>
          <w:ilvl w:val="0"/>
          <w:numId w:val="49"/>
        </w:numPr>
        <w:tabs>
          <w:tab w:val="clear" w:pos="720"/>
          <w:tab w:val="num" w:pos="567"/>
        </w:tabs>
        <w:ind w:left="567" w:hanging="567"/>
        <w:rPr>
          <w:del w:id="17270" w:author="AbbVie02no" w:date="2025-05-15T14:22:00Z"/>
          <w:sz w:val="22"/>
          <w:szCs w:val="22"/>
        </w:rPr>
      </w:pPr>
      <w:del w:id="17271" w:author="AbbVie02no" w:date="2025-05-15T14:22:00Z">
        <w:r w:rsidRPr="009C5EFD">
          <w:rPr>
            <w:sz w:val="22"/>
            <w:szCs w:val="22"/>
          </w:rPr>
          <w:delText>leversvikt</w:delText>
        </w:r>
        <w:r w:rsidR="00961A84">
          <w:rPr>
            <w:sz w:val="22"/>
            <w:szCs w:val="22"/>
          </w:rPr>
          <w:delText>,</w:delText>
        </w:r>
      </w:del>
    </w:p>
    <w:p w14:paraId="55DFD801" w14:textId="75F2932F" w:rsidR="000C05A4" w:rsidRPr="009C5EFD" w:rsidRDefault="00E453CD" w:rsidP="00EE4677">
      <w:pPr>
        <w:numPr>
          <w:ilvl w:val="0"/>
          <w:numId w:val="49"/>
        </w:numPr>
        <w:tabs>
          <w:tab w:val="clear" w:pos="720"/>
          <w:tab w:val="num" w:pos="567"/>
        </w:tabs>
        <w:ind w:left="567" w:hanging="567"/>
        <w:rPr>
          <w:del w:id="17272" w:author="AbbVie02no" w:date="2025-05-15T14:22:00Z"/>
          <w:sz w:val="22"/>
          <w:szCs w:val="22"/>
        </w:rPr>
      </w:pPr>
      <w:del w:id="17273" w:author="AbbVie02no" w:date="2025-05-15T14:22:00Z">
        <w:r w:rsidRPr="009C5EFD">
          <w:rPr>
            <w:sz w:val="22"/>
            <w:szCs w:val="22"/>
          </w:rPr>
          <w:lastRenderedPageBreak/>
          <w:delText>forverring av en tilstand kalt dermatomyositt (forekommer som hudutslett ledsaget med muskelsvakhet)</w:delText>
        </w:r>
        <w:r w:rsidR="00C2280E">
          <w:rPr>
            <w:sz w:val="22"/>
            <w:szCs w:val="22"/>
          </w:rPr>
          <w:delText>,</w:delText>
        </w:r>
      </w:del>
    </w:p>
    <w:p w14:paraId="076E7F8D" w14:textId="2198A5CC" w:rsidR="00915892" w:rsidRPr="00E90360" w:rsidRDefault="00E453CD" w:rsidP="00915892">
      <w:pPr>
        <w:numPr>
          <w:ilvl w:val="0"/>
          <w:numId w:val="49"/>
        </w:numPr>
        <w:tabs>
          <w:tab w:val="clear" w:pos="720"/>
          <w:tab w:val="num" w:pos="567"/>
        </w:tabs>
        <w:ind w:left="567" w:hanging="567"/>
        <w:rPr>
          <w:del w:id="17274" w:author="AbbVie02no" w:date="2025-05-15T14:22:00Z"/>
          <w:sz w:val="22"/>
          <w:szCs w:val="22"/>
        </w:rPr>
      </w:pPr>
      <w:del w:id="17275" w:author="AbbVie02no" w:date="2025-05-15T14:22:00Z">
        <w:r>
          <w:rPr>
            <w:sz w:val="22"/>
            <w:szCs w:val="22"/>
          </w:rPr>
          <w:delText>vektøkning (for de fleste pasientene var vektøkningen liten)</w:delText>
        </w:r>
        <w:r w:rsidR="00C2280E">
          <w:rPr>
            <w:sz w:val="22"/>
            <w:szCs w:val="22"/>
          </w:rPr>
          <w:delText>.</w:delText>
        </w:r>
      </w:del>
    </w:p>
    <w:p w14:paraId="351FE7E4" w14:textId="781D55AD" w:rsidR="000C05A4" w:rsidRPr="009C5EFD" w:rsidRDefault="000C05A4" w:rsidP="009C5EFD">
      <w:pPr>
        <w:rPr>
          <w:del w:id="17276" w:author="AbbVie02no" w:date="2025-05-15T14:22:00Z"/>
          <w:sz w:val="22"/>
          <w:szCs w:val="22"/>
        </w:rPr>
      </w:pPr>
    </w:p>
    <w:p w14:paraId="240FDAFD" w14:textId="1439945E" w:rsidR="007B668D" w:rsidRPr="009C5EFD" w:rsidRDefault="00E453CD" w:rsidP="009C5EFD">
      <w:pPr>
        <w:rPr>
          <w:del w:id="17277" w:author="AbbVie02no" w:date="2025-05-15T14:22:00Z"/>
          <w:sz w:val="22"/>
          <w:szCs w:val="22"/>
        </w:rPr>
      </w:pPr>
      <w:del w:id="17278" w:author="AbbVie02no" w:date="2025-05-15T14:22:00Z">
        <w:r w:rsidRPr="009C5EFD">
          <w:rPr>
            <w:sz w:val="22"/>
            <w:szCs w:val="22"/>
          </w:rPr>
          <w:delText xml:space="preserve">Noen bivirkninger som er </w:delText>
        </w:r>
        <w:r w:rsidR="000C05A4" w:rsidRPr="009C5EFD">
          <w:rPr>
            <w:sz w:val="22"/>
            <w:szCs w:val="22"/>
          </w:rPr>
          <w:delText>observert med Humira</w:delText>
        </w:r>
        <w:r w:rsidRPr="009C5EFD">
          <w:rPr>
            <w:sz w:val="22"/>
            <w:szCs w:val="22"/>
          </w:rPr>
          <w:delText xml:space="preserve"> har</w:delText>
        </w:r>
        <w:r w:rsidR="00AB1EBD" w:rsidRPr="009C5EFD">
          <w:rPr>
            <w:sz w:val="22"/>
            <w:szCs w:val="22"/>
          </w:rPr>
          <w:delText xml:space="preserve"> ikke</w:delText>
        </w:r>
        <w:r w:rsidRPr="009C5EFD">
          <w:rPr>
            <w:sz w:val="22"/>
            <w:szCs w:val="22"/>
          </w:rPr>
          <w:delText xml:space="preserve"> symptomer og kan bare vises gjennom blodprøver. Disse er:</w:delText>
        </w:r>
      </w:del>
    </w:p>
    <w:p w14:paraId="0F50E87D" w14:textId="7FFD87B4" w:rsidR="007B668D" w:rsidRPr="009C5EFD" w:rsidRDefault="007B668D" w:rsidP="009C5EFD">
      <w:pPr>
        <w:rPr>
          <w:del w:id="17279" w:author="AbbVie02no" w:date="2025-05-15T14:22:00Z"/>
          <w:sz w:val="22"/>
          <w:szCs w:val="22"/>
        </w:rPr>
      </w:pPr>
    </w:p>
    <w:p w14:paraId="2DF3CF50" w14:textId="0A25231B" w:rsidR="00C13645" w:rsidRDefault="00E453CD" w:rsidP="00776A84">
      <w:pPr>
        <w:keepNext/>
        <w:suppressAutoHyphens/>
        <w:rPr>
          <w:del w:id="17280" w:author="AbbVie02no" w:date="2025-05-15T14:22:00Z"/>
          <w:sz w:val="22"/>
          <w:szCs w:val="22"/>
        </w:rPr>
      </w:pPr>
      <w:del w:id="17281" w:author="AbbVie02no" w:date="2025-05-15T14:22:00Z">
        <w:r w:rsidRPr="006936CB">
          <w:rPr>
            <w:sz w:val="22"/>
            <w:szCs w:val="22"/>
          </w:rPr>
          <w:delText>Svært vanlige</w:delText>
        </w:r>
        <w:r w:rsidRPr="009C5EFD">
          <w:rPr>
            <w:sz w:val="22"/>
            <w:szCs w:val="22"/>
          </w:rPr>
          <w:delText xml:space="preserve"> (</w:delText>
        </w:r>
        <w:r w:rsidR="00151C5C" w:rsidRPr="009C5EFD">
          <w:rPr>
            <w:sz w:val="22"/>
            <w:szCs w:val="22"/>
          </w:rPr>
          <w:delText xml:space="preserve">kan </w:delText>
        </w:r>
        <w:r w:rsidR="003B66F8" w:rsidRPr="009C5EFD">
          <w:rPr>
            <w:sz w:val="22"/>
            <w:szCs w:val="22"/>
          </w:rPr>
          <w:delText>forekomme hos</w:delText>
        </w:r>
        <w:r w:rsidR="00151C5C" w:rsidRPr="009C5EFD">
          <w:rPr>
            <w:sz w:val="22"/>
            <w:szCs w:val="22"/>
          </w:rPr>
          <w:delText xml:space="preserve"> </w:delText>
        </w:r>
        <w:r w:rsidR="00810B52" w:rsidRPr="009C5EFD">
          <w:rPr>
            <w:sz w:val="22"/>
            <w:szCs w:val="22"/>
          </w:rPr>
          <w:delText>flere</w:delText>
        </w:r>
        <w:r w:rsidRPr="009C5EFD">
          <w:rPr>
            <w:sz w:val="22"/>
            <w:szCs w:val="22"/>
          </w:rPr>
          <w:delText xml:space="preserve"> enn 1 </w:delText>
        </w:r>
        <w:r w:rsidR="00C55CAC" w:rsidRPr="009C5EFD">
          <w:rPr>
            <w:sz w:val="22"/>
            <w:szCs w:val="22"/>
          </w:rPr>
          <w:delText>av</w:delText>
        </w:r>
        <w:r w:rsidRPr="009C5EFD">
          <w:rPr>
            <w:sz w:val="22"/>
            <w:szCs w:val="22"/>
          </w:rPr>
          <w:delText xml:space="preserve"> 10 </w:delText>
        </w:r>
        <w:r w:rsidR="00151C5C" w:rsidRPr="009C5EFD">
          <w:rPr>
            <w:sz w:val="22"/>
            <w:szCs w:val="22"/>
          </w:rPr>
          <w:delText>personer</w:delText>
        </w:r>
        <w:r w:rsidRPr="009C5EFD">
          <w:rPr>
            <w:sz w:val="22"/>
            <w:szCs w:val="22"/>
          </w:rPr>
          <w:delText>)</w:delText>
        </w:r>
      </w:del>
    </w:p>
    <w:p w14:paraId="7D6509F9" w14:textId="4DC07BE7" w:rsidR="007B668D" w:rsidRPr="009C5EFD" w:rsidRDefault="007B668D" w:rsidP="00776A84">
      <w:pPr>
        <w:keepNext/>
        <w:suppressAutoHyphens/>
        <w:rPr>
          <w:del w:id="17282" w:author="AbbVie02no" w:date="2025-05-15T14:22:00Z"/>
          <w:sz w:val="22"/>
          <w:szCs w:val="22"/>
        </w:rPr>
      </w:pPr>
    </w:p>
    <w:p w14:paraId="283C9476" w14:textId="755D56FD" w:rsidR="007B668D" w:rsidRPr="009C5EFD" w:rsidRDefault="00E453CD" w:rsidP="00EE4677">
      <w:pPr>
        <w:numPr>
          <w:ilvl w:val="0"/>
          <w:numId w:val="15"/>
        </w:numPr>
        <w:tabs>
          <w:tab w:val="clear" w:pos="720"/>
          <w:tab w:val="num" w:pos="540"/>
        </w:tabs>
        <w:ind w:left="0" w:firstLine="0"/>
        <w:rPr>
          <w:del w:id="17283" w:author="AbbVie02no" w:date="2025-05-15T14:22:00Z"/>
          <w:sz w:val="22"/>
          <w:szCs w:val="22"/>
        </w:rPr>
      </w:pPr>
      <w:del w:id="17284" w:author="AbbVie02no" w:date="2025-05-15T14:22:00Z">
        <w:r w:rsidRPr="009C5EFD">
          <w:rPr>
            <w:sz w:val="22"/>
            <w:szCs w:val="22"/>
          </w:rPr>
          <w:delText>lave blodverdier for hvite blodlegemer,</w:delText>
        </w:r>
      </w:del>
    </w:p>
    <w:p w14:paraId="37184836" w14:textId="40CB580C" w:rsidR="007B668D" w:rsidRPr="009C5EFD" w:rsidRDefault="00E453CD" w:rsidP="00EE4677">
      <w:pPr>
        <w:numPr>
          <w:ilvl w:val="0"/>
          <w:numId w:val="15"/>
        </w:numPr>
        <w:tabs>
          <w:tab w:val="clear" w:pos="720"/>
          <w:tab w:val="num" w:pos="540"/>
        </w:tabs>
        <w:ind w:left="0" w:firstLine="0"/>
        <w:rPr>
          <w:del w:id="17285" w:author="AbbVie02no" w:date="2025-05-15T14:22:00Z"/>
          <w:sz w:val="22"/>
          <w:szCs w:val="22"/>
        </w:rPr>
      </w:pPr>
      <w:del w:id="17286" w:author="AbbVie02no" w:date="2025-05-15T14:22:00Z">
        <w:r w:rsidRPr="009C5EFD">
          <w:rPr>
            <w:sz w:val="22"/>
            <w:szCs w:val="22"/>
          </w:rPr>
          <w:delText>lave blodverdier for røde blodlegemer,</w:delText>
        </w:r>
      </w:del>
    </w:p>
    <w:p w14:paraId="39971530" w14:textId="41019ADA" w:rsidR="007B668D" w:rsidRPr="009C5EFD" w:rsidRDefault="00E453CD" w:rsidP="00EE4677">
      <w:pPr>
        <w:numPr>
          <w:ilvl w:val="0"/>
          <w:numId w:val="15"/>
        </w:numPr>
        <w:tabs>
          <w:tab w:val="clear" w:pos="720"/>
          <w:tab w:val="num" w:pos="540"/>
        </w:tabs>
        <w:ind w:left="0" w:firstLine="0"/>
        <w:rPr>
          <w:del w:id="17287" w:author="AbbVie02no" w:date="2025-05-15T14:22:00Z"/>
          <w:sz w:val="22"/>
          <w:szCs w:val="22"/>
        </w:rPr>
      </w:pPr>
      <w:del w:id="17288" w:author="AbbVie02no" w:date="2025-05-15T14:22:00Z">
        <w:r w:rsidRPr="009C5EFD">
          <w:rPr>
            <w:sz w:val="22"/>
            <w:szCs w:val="22"/>
          </w:rPr>
          <w:delText>forhøyede lipider i blod,</w:delText>
        </w:r>
      </w:del>
    </w:p>
    <w:p w14:paraId="7414968B" w14:textId="581BEA8A" w:rsidR="007B668D" w:rsidRPr="009C5EFD" w:rsidRDefault="00E453CD" w:rsidP="00EE4677">
      <w:pPr>
        <w:numPr>
          <w:ilvl w:val="0"/>
          <w:numId w:val="15"/>
        </w:numPr>
        <w:tabs>
          <w:tab w:val="clear" w:pos="720"/>
          <w:tab w:val="num" w:pos="540"/>
        </w:tabs>
        <w:ind w:left="0" w:firstLine="0"/>
        <w:rPr>
          <w:del w:id="17289" w:author="AbbVie02no" w:date="2025-05-15T14:22:00Z"/>
          <w:sz w:val="22"/>
          <w:szCs w:val="22"/>
        </w:rPr>
      </w:pPr>
      <w:del w:id="17290" w:author="AbbVie02no" w:date="2025-05-15T14:22:00Z">
        <w:r w:rsidRPr="009C5EFD">
          <w:rPr>
            <w:sz w:val="22"/>
            <w:szCs w:val="22"/>
          </w:rPr>
          <w:delText>forhøyede leverenzymer.</w:delText>
        </w:r>
      </w:del>
    </w:p>
    <w:p w14:paraId="54E056F8" w14:textId="420198F5" w:rsidR="007B668D" w:rsidRPr="009C5EFD" w:rsidRDefault="007B668D" w:rsidP="009C5EFD">
      <w:pPr>
        <w:rPr>
          <w:del w:id="17291" w:author="AbbVie02no" w:date="2025-05-15T14:22:00Z"/>
          <w:sz w:val="22"/>
          <w:szCs w:val="22"/>
        </w:rPr>
      </w:pPr>
    </w:p>
    <w:p w14:paraId="3D754754" w14:textId="408D36CB" w:rsidR="00C13645" w:rsidRDefault="00E453CD" w:rsidP="00776A84">
      <w:pPr>
        <w:keepNext/>
        <w:suppressAutoHyphens/>
        <w:rPr>
          <w:del w:id="17292" w:author="AbbVie02no" w:date="2025-05-15T14:22:00Z"/>
          <w:sz w:val="22"/>
          <w:szCs w:val="22"/>
        </w:rPr>
      </w:pPr>
      <w:del w:id="17293" w:author="AbbVie02no" w:date="2025-05-15T14:22:00Z">
        <w:r w:rsidRPr="006936CB">
          <w:rPr>
            <w:sz w:val="22"/>
            <w:szCs w:val="22"/>
          </w:rPr>
          <w:delText>Vanlige</w:delText>
        </w:r>
        <w:r w:rsidRPr="009C5EFD">
          <w:rPr>
            <w:sz w:val="22"/>
            <w:szCs w:val="22"/>
          </w:rPr>
          <w:delText xml:space="preserve"> (</w:delText>
        </w:r>
        <w:r w:rsidR="00151C5C" w:rsidRPr="009C5EFD">
          <w:rPr>
            <w:sz w:val="22"/>
            <w:szCs w:val="22"/>
          </w:rPr>
          <w:delText xml:space="preserve">kan </w:delText>
        </w:r>
        <w:r w:rsidR="003B66F8" w:rsidRPr="009C5EFD">
          <w:rPr>
            <w:sz w:val="22"/>
            <w:szCs w:val="22"/>
          </w:rPr>
          <w:delText>forekomme hos</w:delText>
        </w:r>
        <w:r w:rsidR="00151C5C" w:rsidRPr="009C5EFD">
          <w:rPr>
            <w:sz w:val="22"/>
            <w:szCs w:val="22"/>
          </w:rPr>
          <w:delText xml:space="preserve"> opptil </w:delText>
        </w:r>
        <w:r w:rsidRPr="009C5EFD">
          <w:rPr>
            <w:sz w:val="22"/>
            <w:szCs w:val="22"/>
          </w:rPr>
          <w:delText xml:space="preserve">1 </w:delText>
        </w:r>
        <w:r w:rsidR="00C55CAC" w:rsidRPr="009C5EFD">
          <w:rPr>
            <w:sz w:val="22"/>
            <w:szCs w:val="22"/>
          </w:rPr>
          <w:delText>av</w:delText>
        </w:r>
        <w:r w:rsidRPr="009C5EFD">
          <w:rPr>
            <w:sz w:val="22"/>
            <w:szCs w:val="22"/>
          </w:rPr>
          <w:delText xml:space="preserve"> 10 </w:delText>
        </w:r>
        <w:r w:rsidR="00151C5C" w:rsidRPr="009C5EFD">
          <w:rPr>
            <w:sz w:val="22"/>
            <w:szCs w:val="22"/>
          </w:rPr>
          <w:delText>personer</w:delText>
        </w:r>
        <w:r w:rsidRPr="009C5EFD">
          <w:rPr>
            <w:sz w:val="22"/>
            <w:szCs w:val="22"/>
          </w:rPr>
          <w:delText>)</w:delText>
        </w:r>
      </w:del>
    </w:p>
    <w:p w14:paraId="573E362F" w14:textId="047BE04B" w:rsidR="007B668D" w:rsidRPr="009C5EFD" w:rsidRDefault="007B668D" w:rsidP="00776A84">
      <w:pPr>
        <w:keepNext/>
        <w:suppressAutoHyphens/>
        <w:rPr>
          <w:del w:id="17294" w:author="AbbVie02no" w:date="2025-05-15T14:22:00Z"/>
          <w:sz w:val="22"/>
          <w:szCs w:val="22"/>
        </w:rPr>
      </w:pPr>
    </w:p>
    <w:p w14:paraId="08B18CA8" w14:textId="18EFC876" w:rsidR="007B668D" w:rsidRPr="009C5EFD" w:rsidRDefault="00E453CD" w:rsidP="00EE4677">
      <w:pPr>
        <w:numPr>
          <w:ilvl w:val="0"/>
          <w:numId w:val="15"/>
        </w:numPr>
        <w:tabs>
          <w:tab w:val="clear" w:pos="720"/>
          <w:tab w:val="num" w:pos="540"/>
        </w:tabs>
        <w:ind w:left="0" w:firstLine="0"/>
        <w:rPr>
          <w:del w:id="17295" w:author="AbbVie02no" w:date="2025-05-15T14:22:00Z"/>
          <w:sz w:val="22"/>
          <w:szCs w:val="22"/>
        </w:rPr>
      </w:pPr>
      <w:del w:id="17296" w:author="AbbVie02no" w:date="2025-05-15T14:22:00Z">
        <w:r w:rsidRPr="009C5EFD">
          <w:rPr>
            <w:sz w:val="22"/>
            <w:szCs w:val="22"/>
          </w:rPr>
          <w:delText>høye blodverdier for hvite blodlegemer,</w:delText>
        </w:r>
      </w:del>
    </w:p>
    <w:p w14:paraId="1E6DCBDF" w14:textId="4C2571EC" w:rsidR="007B668D" w:rsidRPr="009C5EFD" w:rsidRDefault="00E453CD" w:rsidP="00EE4677">
      <w:pPr>
        <w:numPr>
          <w:ilvl w:val="0"/>
          <w:numId w:val="15"/>
        </w:numPr>
        <w:tabs>
          <w:tab w:val="clear" w:pos="720"/>
          <w:tab w:val="num" w:pos="540"/>
        </w:tabs>
        <w:ind w:left="0" w:firstLine="0"/>
        <w:rPr>
          <w:del w:id="17297" w:author="AbbVie02no" w:date="2025-05-15T14:22:00Z"/>
          <w:sz w:val="22"/>
          <w:szCs w:val="22"/>
        </w:rPr>
      </w:pPr>
      <w:del w:id="17298" w:author="AbbVie02no" w:date="2025-05-15T14:22:00Z">
        <w:r w:rsidRPr="009C5EFD">
          <w:rPr>
            <w:sz w:val="22"/>
            <w:szCs w:val="22"/>
          </w:rPr>
          <w:delText>lave blodverdier for blodplater,</w:delText>
        </w:r>
      </w:del>
    </w:p>
    <w:p w14:paraId="7532DE62" w14:textId="62331B19" w:rsidR="007B668D" w:rsidRPr="009C5EFD" w:rsidRDefault="00E453CD" w:rsidP="00EE4677">
      <w:pPr>
        <w:numPr>
          <w:ilvl w:val="0"/>
          <w:numId w:val="15"/>
        </w:numPr>
        <w:tabs>
          <w:tab w:val="clear" w:pos="720"/>
          <w:tab w:val="num" w:pos="540"/>
        </w:tabs>
        <w:ind w:left="0" w:firstLine="0"/>
        <w:rPr>
          <w:del w:id="17299" w:author="AbbVie02no" w:date="2025-05-15T14:22:00Z"/>
          <w:sz w:val="22"/>
          <w:szCs w:val="22"/>
        </w:rPr>
      </w:pPr>
      <w:del w:id="17300" w:author="AbbVie02no" w:date="2025-05-15T14:22:00Z">
        <w:r w:rsidRPr="009C5EFD">
          <w:rPr>
            <w:sz w:val="22"/>
            <w:szCs w:val="22"/>
          </w:rPr>
          <w:delText>forhøyet urinsyre i blod,</w:delText>
        </w:r>
      </w:del>
    </w:p>
    <w:p w14:paraId="3B8A5488" w14:textId="6129F6A7" w:rsidR="007B668D" w:rsidRPr="009C5EFD" w:rsidRDefault="00E453CD" w:rsidP="00EE4677">
      <w:pPr>
        <w:numPr>
          <w:ilvl w:val="0"/>
          <w:numId w:val="15"/>
        </w:numPr>
        <w:tabs>
          <w:tab w:val="clear" w:pos="720"/>
          <w:tab w:val="num" w:pos="540"/>
        </w:tabs>
        <w:ind w:left="0" w:firstLine="0"/>
        <w:rPr>
          <w:del w:id="17301" w:author="AbbVie02no" w:date="2025-05-15T14:22:00Z"/>
          <w:sz w:val="22"/>
          <w:szCs w:val="22"/>
        </w:rPr>
      </w:pPr>
      <w:del w:id="17302" w:author="AbbVie02no" w:date="2025-05-15T14:22:00Z">
        <w:r w:rsidRPr="009C5EFD">
          <w:rPr>
            <w:sz w:val="22"/>
            <w:szCs w:val="22"/>
          </w:rPr>
          <w:delText>unormale blodverdier for natrium,</w:delText>
        </w:r>
      </w:del>
    </w:p>
    <w:p w14:paraId="44D9B3DB" w14:textId="25448013" w:rsidR="007B668D" w:rsidRPr="009C5EFD" w:rsidRDefault="00E453CD" w:rsidP="00EE4677">
      <w:pPr>
        <w:numPr>
          <w:ilvl w:val="0"/>
          <w:numId w:val="15"/>
        </w:numPr>
        <w:tabs>
          <w:tab w:val="clear" w:pos="720"/>
          <w:tab w:val="num" w:pos="540"/>
        </w:tabs>
        <w:ind w:left="0" w:firstLine="0"/>
        <w:rPr>
          <w:del w:id="17303" w:author="AbbVie02no" w:date="2025-05-15T14:22:00Z"/>
          <w:sz w:val="22"/>
          <w:szCs w:val="22"/>
        </w:rPr>
      </w:pPr>
      <w:del w:id="17304" w:author="AbbVie02no" w:date="2025-05-15T14:22:00Z">
        <w:r w:rsidRPr="009C5EFD">
          <w:rPr>
            <w:sz w:val="22"/>
            <w:szCs w:val="22"/>
          </w:rPr>
          <w:delText>lave blodverdier for kalsium,</w:delText>
        </w:r>
      </w:del>
    </w:p>
    <w:p w14:paraId="6ED5B937" w14:textId="142DB2C6" w:rsidR="007B668D" w:rsidRPr="009C5EFD" w:rsidRDefault="00E453CD" w:rsidP="00EE4677">
      <w:pPr>
        <w:numPr>
          <w:ilvl w:val="0"/>
          <w:numId w:val="15"/>
        </w:numPr>
        <w:tabs>
          <w:tab w:val="clear" w:pos="720"/>
          <w:tab w:val="num" w:pos="540"/>
        </w:tabs>
        <w:ind w:left="0" w:firstLine="0"/>
        <w:rPr>
          <w:del w:id="17305" w:author="AbbVie02no" w:date="2025-05-15T14:22:00Z"/>
          <w:sz w:val="22"/>
          <w:szCs w:val="22"/>
        </w:rPr>
      </w:pPr>
      <w:del w:id="17306" w:author="AbbVie02no" w:date="2025-05-15T14:22:00Z">
        <w:r w:rsidRPr="009C5EFD">
          <w:rPr>
            <w:sz w:val="22"/>
            <w:szCs w:val="22"/>
          </w:rPr>
          <w:delText>lave blodverdier for fosfat,</w:delText>
        </w:r>
      </w:del>
    </w:p>
    <w:p w14:paraId="182F58F6" w14:textId="291047FC" w:rsidR="007B668D" w:rsidRPr="009C5EFD" w:rsidRDefault="00E453CD" w:rsidP="00EE4677">
      <w:pPr>
        <w:numPr>
          <w:ilvl w:val="0"/>
          <w:numId w:val="15"/>
        </w:numPr>
        <w:tabs>
          <w:tab w:val="clear" w:pos="720"/>
          <w:tab w:val="num" w:pos="540"/>
        </w:tabs>
        <w:ind w:left="0" w:firstLine="0"/>
        <w:rPr>
          <w:del w:id="17307" w:author="AbbVie02no" w:date="2025-05-15T14:22:00Z"/>
          <w:sz w:val="22"/>
          <w:szCs w:val="22"/>
        </w:rPr>
      </w:pPr>
      <w:del w:id="17308" w:author="AbbVie02no" w:date="2025-05-15T14:22:00Z">
        <w:r w:rsidRPr="009C5EFD">
          <w:rPr>
            <w:sz w:val="22"/>
            <w:szCs w:val="22"/>
          </w:rPr>
          <w:delText>høyt blodsukker,</w:delText>
        </w:r>
      </w:del>
    </w:p>
    <w:p w14:paraId="6B749115" w14:textId="393F03D0" w:rsidR="007B668D" w:rsidRPr="009C5EFD" w:rsidRDefault="00E453CD" w:rsidP="00EE4677">
      <w:pPr>
        <w:numPr>
          <w:ilvl w:val="0"/>
          <w:numId w:val="15"/>
        </w:numPr>
        <w:tabs>
          <w:tab w:val="clear" w:pos="720"/>
          <w:tab w:val="num" w:pos="540"/>
        </w:tabs>
        <w:ind w:left="0" w:firstLine="0"/>
        <w:rPr>
          <w:del w:id="17309" w:author="AbbVie02no" w:date="2025-05-15T14:22:00Z"/>
          <w:sz w:val="22"/>
          <w:szCs w:val="22"/>
        </w:rPr>
      </w:pPr>
      <w:del w:id="17310" w:author="AbbVie02no" w:date="2025-05-15T14:22:00Z">
        <w:r w:rsidRPr="009C5EFD">
          <w:rPr>
            <w:sz w:val="22"/>
            <w:szCs w:val="22"/>
          </w:rPr>
          <w:delText>høye blodverdier for laktatdehydrogenase,</w:delText>
        </w:r>
      </w:del>
    </w:p>
    <w:p w14:paraId="71EEC9E9" w14:textId="0CEF408F" w:rsidR="007B668D" w:rsidRDefault="00E453CD" w:rsidP="00EE4677">
      <w:pPr>
        <w:numPr>
          <w:ilvl w:val="0"/>
          <w:numId w:val="15"/>
        </w:numPr>
        <w:tabs>
          <w:tab w:val="clear" w:pos="720"/>
          <w:tab w:val="num" w:pos="540"/>
        </w:tabs>
        <w:ind w:left="0" w:firstLine="0"/>
        <w:rPr>
          <w:del w:id="17311" w:author="AbbVie02no" w:date="2025-05-15T14:22:00Z"/>
          <w:sz w:val="22"/>
          <w:szCs w:val="22"/>
        </w:rPr>
      </w:pPr>
      <w:del w:id="17312" w:author="AbbVie02no" w:date="2025-05-15T14:22:00Z">
        <w:r w:rsidRPr="009C5EFD">
          <w:rPr>
            <w:sz w:val="22"/>
            <w:szCs w:val="22"/>
          </w:rPr>
          <w:delText>tilsted</w:delText>
        </w:r>
        <w:r w:rsidR="009F3F87" w:rsidRPr="009C5EFD">
          <w:rPr>
            <w:sz w:val="22"/>
            <w:szCs w:val="22"/>
          </w:rPr>
          <w:delText>e</w:delText>
        </w:r>
        <w:r w:rsidRPr="009C5EFD">
          <w:rPr>
            <w:sz w:val="22"/>
            <w:szCs w:val="22"/>
          </w:rPr>
          <w:delText>værelse av autoantistoffer i blod</w:delText>
        </w:r>
        <w:r w:rsidR="00047252">
          <w:rPr>
            <w:sz w:val="22"/>
            <w:szCs w:val="22"/>
          </w:rPr>
          <w:delText>,</w:delText>
        </w:r>
      </w:del>
    </w:p>
    <w:p w14:paraId="70C4F670" w14:textId="13BE6A89" w:rsidR="00047252" w:rsidRPr="00E90360" w:rsidRDefault="00E453CD" w:rsidP="00047252">
      <w:pPr>
        <w:numPr>
          <w:ilvl w:val="0"/>
          <w:numId w:val="15"/>
        </w:numPr>
        <w:tabs>
          <w:tab w:val="clear" w:pos="720"/>
          <w:tab w:val="num" w:pos="540"/>
        </w:tabs>
        <w:ind w:left="0" w:firstLine="0"/>
        <w:rPr>
          <w:del w:id="17313" w:author="AbbVie02no" w:date="2025-05-15T14:22:00Z"/>
          <w:sz w:val="22"/>
          <w:szCs w:val="22"/>
        </w:rPr>
      </w:pPr>
      <w:del w:id="17314" w:author="AbbVie02no" w:date="2025-05-15T14:22:00Z">
        <w:r>
          <w:rPr>
            <w:sz w:val="22"/>
            <w:szCs w:val="22"/>
          </w:rPr>
          <w:delText>lavt kaliumnivå i blodet.</w:delText>
        </w:r>
      </w:del>
    </w:p>
    <w:p w14:paraId="4F2F1E33" w14:textId="0B09D4B4" w:rsidR="00047252" w:rsidRDefault="00047252" w:rsidP="00047252">
      <w:pPr>
        <w:rPr>
          <w:del w:id="17315" w:author="AbbVie02no" w:date="2025-05-15T14:22:00Z"/>
          <w:sz w:val="22"/>
          <w:szCs w:val="22"/>
        </w:rPr>
      </w:pPr>
    </w:p>
    <w:p w14:paraId="5DA65993" w14:textId="613719EA" w:rsidR="00047252" w:rsidRDefault="00E453CD" w:rsidP="00047252">
      <w:pPr>
        <w:keepNext/>
        <w:rPr>
          <w:del w:id="17316" w:author="AbbVie02no" w:date="2025-05-15T14:22:00Z"/>
          <w:sz w:val="22"/>
          <w:szCs w:val="22"/>
        </w:rPr>
      </w:pPr>
      <w:del w:id="17317" w:author="AbbVie02no" w:date="2025-05-15T14:22:00Z">
        <w:r w:rsidRPr="006936CB">
          <w:rPr>
            <w:sz w:val="22"/>
          </w:rPr>
          <w:delText>Mindre vanlige</w:delText>
        </w:r>
        <w:r w:rsidRPr="00E90360">
          <w:rPr>
            <w:sz w:val="22"/>
            <w:szCs w:val="22"/>
          </w:rPr>
          <w:delText xml:space="preserve"> (</w:delText>
        </w:r>
        <w:r>
          <w:rPr>
            <w:sz w:val="22"/>
            <w:szCs w:val="22"/>
          </w:rPr>
          <w:delText>kan forekomme hos opptil 1 av 100 personer</w:delText>
        </w:r>
        <w:r w:rsidRPr="00E90360">
          <w:rPr>
            <w:sz w:val="22"/>
            <w:szCs w:val="22"/>
          </w:rPr>
          <w:delText>)</w:delText>
        </w:r>
      </w:del>
    </w:p>
    <w:p w14:paraId="51C74E71" w14:textId="19EA0DA3" w:rsidR="00C13645" w:rsidRPr="00E90360" w:rsidRDefault="00C13645" w:rsidP="00047252">
      <w:pPr>
        <w:keepNext/>
        <w:rPr>
          <w:del w:id="17318" w:author="AbbVie02no" w:date="2025-05-15T14:22:00Z"/>
          <w:sz w:val="22"/>
          <w:szCs w:val="22"/>
        </w:rPr>
      </w:pPr>
    </w:p>
    <w:p w14:paraId="6619306C" w14:textId="12556827" w:rsidR="00047252" w:rsidRPr="00047252" w:rsidRDefault="00E453CD" w:rsidP="00776A84">
      <w:pPr>
        <w:numPr>
          <w:ilvl w:val="0"/>
          <w:numId w:val="15"/>
        </w:numPr>
        <w:tabs>
          <w:tab w:val="clear" w:pos="720"/>
          <w:tab w:val="num" w:pos="540"/>
        </w:tabs>
        <w:ind w:left="0" w:firstLine="0"/>
        <w:rPr>
          <w:del w:id="17319" w:author="AbbVie02no" w:date="2025-05-15T14:22:00Z"/>
          <w:sz w:val="22"/>
          <w:szCs w:val="22"/>
        </w:rPr>
      </w:pPr>
      <w:del w:id="17320" w:author="AbbVie02no" w:date="2025-05-15T14:22:00Z">
        <w:r>
          <w:rPr>
            <w:sz w:val="22"/>
            <w:szCs w:val="22"/>
          </w:rPr>
          <w:delText>forhøyede bilirubinverdier (leverblodprøve).</w:delText>
        </w:r>
      </w:del>
    </w:p>
    <w:p w14:paraId="6F63843C" w14:textId="718949C0" w:rsidR="007B668D" w:rsidRPr="009C5EFD" w:rsidRDefault="007B668D" w:rsidP="009C5EFD">
      <w:pPr>
        <w:rPr>
          <w:del w:id="17321" w:author="AbbVie02no" w:date="2025-05-15T14:22:00Z"/>
          <w:sz w:val="22"/>
          <w:szCs w:val="22"/>
        </w:rPr>
      </w:pPr>
    </w:p>
    <w:p w14:paraId="57D4EC4E" w14:textId="50818445" w:rsidR="007B668D" w:rsidRDefault="00E453CD" w:rsidP="00776A84">
      <w:pPr>
        <w:keepNext/>
        <w:rPr>
          <w:del w:id="17322" w:author="AbbVie02no" w:date="2025-05-15T14:22:00Z"/>
          <w:sz w:val="22"/>
          <w:szCs w:val="22"/>
        </w:rPr>
      </w:pPr>
      <w:del w:id="17323" w:author="AbbVie02no" w:date="2025-05-15T14:22:00Z">
        <w:r w:rsidRPr="006936CB">
          <w:rPr>
            <w:sz w:val="22"/>
            <w:szCs w:val="22"/>
          </w:rPr>
          <w:delText>Sjeldne</w:delText>
        </w:r>
        <w:r w:rsidRPr="009C5EFD">
          <w:rPr>
            <w:sz w:val="22"/>
            <w:szCs w:val="22"/>
          </w:rPr>
          <w:delText xml:space="preserve"> (</w:delText>
        </w:r>
        <w:r w:rsidR="001343F8" w:rsidRPr="009C5EFD">
          <w:rPr>
            <w:sz w:val="22"/>
            <w:szCs w:val="22"/>
          </w:rPr>
          <w:delText xml:space="preserve">kan </w:delText>
        </w:r>
        <w:r w:rsidR="003B66F8" w:rsidRPr="009C5EFD">
          <w:rPr>
            <w:sz w:val="22"/>
            <w:szCs w:val="22"/>
          </w:rPr>
          <w:delText>forekomme hos</w:delText>
        </w:r>
        <w:r w:rsidR="001343F8" w:rsidRPr="009C5EFD">
          <w:rPr>
            <w:sz w:val="22"/>
            <w:szCs w:val="22"/>
          </w:rPr>
          <w:delText xml:space="preserve"> opptil </w:delText>
        </w:r>
        <w:r w:rsidRPr="009C5EFD">
          <w:rPr>
            <w:sz w:val="22"/>
            <w:szCs w:val="22"/>
          </w:rPr>
          <w:delText xml:space="preserve">1 </w:delText>
        </w:r>
        <w:r w:rsidR="00C55CAC" w:rsidRPr="009C5EFD">
          <w:rPr>
            <w:sz w:val="22"/>
            <w:szCs w:val="22"/>
          </w:rPr>
          <w:delText>av</w:delText>
        </w:r>
        <w:r w:rsidRPr="009C5EFD">
          <w:rPr>
            <w:sz w:val="22"/>
            <w:szCs w:val="22"/>
          </w:rPr>
          <w:delText xml:space="preserve"> 1000 </w:delText>
        </w:r>
        <w:r w:rsidR="001343F8" w:rsidRPr="009C5EFD">
          <w:rPr>
            <w:sz w:val="22"/>
            <w:szCs w:val="22"/>
          </w:rPr>
          <w:delText>personer</w:delText>
        </w:r>
        <w:r w:rsidRPr="009C5EFD">
          <w:rPr>
            <w:sz w:val="22"/>
            <w:szCs w:val="22"/>
          </w:rPr>
          <w:delText>)</w:delText>
        </w:r>
      </w:del>
    </w:p>
    <w:p w14:paraId="1E7A4594" w14:textId="13BC26DB" w:rsidR="00C13645" w:rsidRPr="009C5EFD" w:rsidRDefault="00C13645" w:rsidP="00776A84">
      <w:pPr>
        <w:keepNext/>
        <w:rPr>
          <w:del w:id="17324" w:author="AbbVie02no" w:date="2025-05-15T14:22:00Z"/>
          <w:sz w:val="22"/>
          <w:szCs w:val="22"/>
        </w:rPr>
      </w:pPr>
    </w:p>
    <w:p w14:paraId="53CBFF0E" w14:textId="000B9031" w:rsidR="007B668D" w:rsidRPr="009C5EFD" w:rsidRDefault="00E453CD" w:rsidP="00EE4677">
      <w:pPr>
        <w:numPr>
          <w:ilvl w:val="0"/>
          <w:numId w:val="15"/>
        </w:numPr>
        <w:tabs>
          <w:tab w:val="clear" w:pos="720"/>
          <w:tab w:val="num" w:pos="540"/>
        </w:tabs>
        <w:ind w:left="0" w:firstLine="0"/>
        <w:rPr>
          <w:del w:id="17325" w:author="AbbVie02no" w:date="2025-05-15T14:22:00Z"/>
          <w:sz w:val="22"/>
          <w:szCs w:val="22"/>
        </w:rPr>
      </w:pPr>
      <w:del w:id="17326" w:author="AbbVie02no" w:date="2025-05-15T14:22:00Z">
        <w:r w:rsidRPr="009C5EFD">
          <w:rPr>
            <w:sz w:val="22"/>
            <w:szCs w:val="22"/>
          </w:rPr>
          <w:delText>lave blodverdier for hvite blodlegemer, røde blodlegemer og antall plater.</w:delText>
        </w:r>
      </w:del>
    </w:p>
    <w:p w14:paraId="54049014" w14:textId="56A75967" w:rsidR="007B668D" w:rsidRPr="009C5EFD" w:rsidRDefault="007B668D" w:rsidP="009C5EFD">
      <w:pPr>
        <w:rPr>
          <w:del w:id="17327" w:author="AbbVie02no" w:date="2025-05-15T14:22:00Z"/>
          <w:sz w:val="22"/>
          <w:szCs w:val="22"/>
        </w:rPr>
      </w:pPr>
    </w:p>
    <w:p w14:paraId="4E1840DB" w14:textId="25B758FE" w:rsidR="00A23010" w:rsidRPr="001C217B" w:rsidRDefault="00E453CD" w:rsidP="00776A84">
      <w:pPr>
        <w:keepNext/>
        <w:rPr>
          <w:del w:id="17328" w:author="AbbVie02no" w:date="2025-05-15T14:22:00Z"/>
          <w:b/>
          <w:sz w:val="22"/>
        </w:rPr>
      </w:pPr>
      <w:del w:id="17329" w:author="AbbVie02no" w:date="2025-05-15T14:22:00Z">
        <w:r w:rsidRPr="001C217B">
          <w:rPr>
            <w:rFonts w:eastAsia="SimSun"/>
            <w:b/>
            <w:sz w:val="22"/>
          </w:rPr>
          <w:delText>Melding av bivirkninger</w:delText>
        </w:r>
      </w:del>
    </w:p>
    <w:p w14:paraId="137CF97D" w14:textId="758D3B8D" w:rsidR="00DE3458" w:rsidRPr="005C4BE2" w:rsidRDefault="00E453CD" w:rsidP="00D80AF5">
      <w:pPr>
        <w:rPr>
          <w:del w:id="17330" w:author="AbbVie02no" w:date="2025-05-15T14:22:00Z"/>
          <w:sz w:val="22"/>
          <w:szCs w:val="22"/>
        </w:rPr>
      </w:pPr>
      <w:del w:id="17331" w:author="AbbVie02no" w:date="2025-05-15T14:22:00Z">
        <w:r w:rsidRPr="005C4BE2">
          <w:rPr>
            <w:sz w:val="22"/>
            <w:szCs w:val="22"/>
          </w:rPr>
          <w:delText xml:space="preserve">Kontakt lege eller apotek dersom </w:delText>
        </w:r>
        <w:r w:rsidR="0049775E" w:rsidRPr="005C4BE2">
          <w:rPr>
            <w:sz w:val="22"/>
            <w:szCs w:val="22"/>
          </w:rPr>
          <w:delText>du opplever</w:delText>
        </w:r>
        <w:r w:rsidR="00660C63" w:rsidRPr="005C4BE2">
          <w:rPr>
            <w:sz w:val="22"/>
            <w:szCs w:val="22"/>
          </w:rPr>
          <w:delText xml:space="preserve"> </w:delText>
        </w:r>
        <w:r w:rsidRPr="005C4BE2">
          <w:rPr>
            <w:sz w:val="22"/>
            <w:szCs w:val="22"/>
          </w:rPr>
          <w:delText>bivirkninge</w:delText>
        </w:r>
        <w:r w:rsidR="00660C63" w:rsidRPr="005C4BE2">
          <w:rPr>
            <w:sz w:val="22"/>
            <w:szCs w:val="22"/>
          </w:rPr>
          <w:delText>r</w:delText>
        </w:r>
        <w:r w:rsidR="00D80AF5">
          <w:rPr>
            <w:sz w:val="22"/>
            <w:szCs w:val="22"/>
          </w:rPr>
          <w:delText xml:space="preserve">. </w:delText>
        </w:r>
        <w:r w:rsidR="00D80AF5" w:rsidRPr="00D80AF5">
          <w:rPr>
            <w:sz w:val="22"/>
            <w:szCs w:val="22"/>
          </w:rPr>
          <w:delText>Dette</w:delText>
        </w:r>
        <w:r w:rsidR="00D80AF5">
          <w:rPr>
            <w:sz w:val="22"/>
            <w:szCs w:val="22"/>
          </w:rPr>
          <w:delText xml:space="preserve"> </w:delText>
        </w:r>
        <w:r w:rsidR="00D80AF5" w:rsidRPr="00D80AF5">
          <w:rPr>
            <w:sz w:val="22"/>
            <w:szCs w:val="22"/>
          </w:rPr>
          <w:delText>gjelder også</w:delText>
        </w:r>
        <w:r w:rsidRPr="005C4BE2">
          <w:rPr>
            <w:sz w:val="22"/>
            <w:szCs w:val="22"/>
          </w:rPr>
          <w:delText xml:space="preserve"> bivirkninger som ikke er nevnt i pakningsvedlegget. </w:delText>
        </w:r>
        <w:r w:rsidR="00A23010" w:rsidRPr="001F5D4B">
          <w:rPr>
            <w:sz w:val="22"/>
            <w:szCs w:val="22"/>
          </w:rPr>
          <w:delText xml:space="preserve">Du kan også melde fra om bivirkninger direkte via </w:delText>
        </w:r>
        <w:r w:rsidR="00C81C1D" w:rsidRPr="0085613F">
          <w:rPr>
            <w:noProof/>
            <w:sz w:val="22"/>
            <w:szCs w:val="22"/>
            <w:highlight w:val="lightGray"/>
          </w:rPr>
          <w:delText>det nasjonale meldesystemet som beskrevet i</w:delText>
        </w:r>
        <w:r w:rsidR="00C81C1D" w:rsidRPr="0085613F">
          <w:rPr>
            <w:sz w:val="22"/>
            <w:szCs w:val="22"/>
            <w:highlight w:val="lightGray"/>
          </w:rPr>
          <w:delText xml:space="preserve"> </w:delText>
        </w:r>
        <w:r w:rsidR="00AE324E">
          <w:fldChar w:fldCharType="begin"/>
        </w:r>
        <w:r w:rsidR="00AE324E">
          <w:delInstrText>HYPERLINK "http://www.ema.europa.eu/docs/en_GB/document_library/Template_or_form/2013/03/WC500139752.doc"</w:delInstrText>
        </w:r>
        <w:r w:rsidR="00AE324E">
          <w:fldChar w:fldCharType="separate"/>
        </w:r>
        <w:r w:rsidR="00AE324E" w:rsidRPr="0085613F">
          <w:rPr>
            <w:color w:val="0000FF"/>
            <w:sz w:val="22"/>
            <w:szCs w:val="22"/>
            <w:highlight w:val="lightGray"/>
            <w:u w:val="single"/>
          </w:rPr>
          <w:delText>Appendix V</w:delText>
        </w:r>
        <w:r w:rsidR="00AE324E">
          <w:fldChar w:fldCharType="end"/>
        </w:r>
        <w:r w:rsidR="00A23010" w:rsidRPr="0085613F">
          <w:rPr>
            <w:sz w:val="22"/>
            <w:szCs w:val="22"/>
            <w:highlight w:val="lightGray"/>
          </w:rPr>
          <w:delText>.</w:delText>
        </w:r>
        <w:r w:rsidR="00A23010" w:rsidRPr="001F5D4B">
          <w:rPr>
            <w:sz w:val="22"/>
            <w:szCs w:val="22"/>
          </w:rPr>
          <w:delText xml:space="preserve"> Ved å melde fra om bivirkninger bidrar du med informasjon om sikkerheten ved bruk av dette legemidlet.</w:delText>
        </w:r>
      </w:del>
    </w:p>
    <w:p w14:paraId="3C7BE16A" w14:textId="463282DD" w:rsidR="00DE3458" w:rsidRPr="00E14E58" w:rsidRDefault="00DE3458" w:rsidP="009C5EFD">
      <w:pPr>
        <w:rPr>
          <w:del w:id="17332" w:author="AbbVie02no" w:date="2025-05-15T14:22:00Z"/>
          <w:sz w:val="22"/>
          <w:szCs w:val="22"/>
        </w:rPr>
      </w:pPr>
    </w:p>
    <w:p w14:paraId="77837167" w14:textId="1AD32ED4" w:rsidR="00DE3458" w:rsidRPr="009C5EFD" w:rsidRDefault="00DE3458" w:rsidP="009C5EFD">
      <w:pPr>
        <w:rPr>
          <w:del w:id="17333" w:author="AbbVie02no" w:date="2025-05-15T14:22:00Z"/>
          <w:sz w:val="22"/>
          <w:szCs w:val="22"/>
        </w:rPr>
      </w:pPr>
    </w:p>
    <w:p w14:paraId="08A26AB7" w14:textId="1AB86D4E" w:rsidR="00DE3458" w:rsidRPr="009C5EFD" w:rsidRDefault="00E453CD" w:rsidP="00776A84">
      <w:pPr>
        <w:keepNext/>
        <w:suppressAutoHyphens/>
        <w:ind w:left="567" w:hanging="567"/>
        <w:rPr>
          <w:del w:id="17334" w:author="AbbVie02no" w:date="2025-05-15T14:22:00Z"/>
          <w:sz w:val="22"/>
          <w:szCs w:val="22"/>
        </w:rPr>
      </w:pPr>
      <w:del w:id="17335" w:author="AbbVie02no" w:date="2025-05-15T14:22:00Z">
        <w:r w:rsidRPr="009C5EFD">
          <w:rPr>
            <w:b/>
            <w:sz w:val="22"/>
            <w:szCs w:val="22"/>
          </w:rPr>
          <w:delText>5.</w:delText>
        </w:r>
        <w:r w:rsidRPr="009C5EFD">
          <w:rPr>
            <w:b/>
            <w:sz w:val="22"/>
            <w:szCs w:val="22"/>
          </w:rPr>
          <w:tab/>
        </w:r>
        <w:r w:rsidR="00DC006C" w:rsidRPr="009C5EFD">
          <w:rPr>
            <w:b/>
            <w:sz w:val="22"/>
            <w:szCs w:val="22"/>
          </w:rPr>
          <w:delText>Hvordan du oppbevarer Humira</w:delText>
        </w:r>
      </w:del>
    </w:p>
    <w:p w14:paraId="59E4B057" w14:textId="30461697" w:rsidR="00DE3458" w:rsidRPr="009C5EFD" w:rsidRDefault="00DE3458" w:rsidP="00776A84">
      <w:pPr>
        <w:keepNext/>
        <w:rPr>
          <w:del w:id="17336" w:author="AbbVie02no" w:date="2025-05-15T14:22:00Z"/>
          <w:sz w:val="22"/>
          <w:szCs w:val="22"/>
        </w:rPr>
      </w:pPr>
    </w:p>
    <w:p w14:paraId="354DECD9" w14:textId="1C50CB73" w:rsidR="00DE3458" w:rsidRPr="009C5EFD" w:rsidRDefault="00E453CD" w:rsidP="009C5EFD">
      <w:pPr>
        <w:suppressAutoHyphens/>
        <w:rPr>
          <w:del w:id="17337" w:author="AbbVie02no" w:date="2025-05-15T14:22:00Z"/>
          <w:sz w:val="22"/>
          <w:szCs w:val="22"/>
        </w:rPr>
      </w:pPr>
      <w:del w:id="17338" w:author="AbbVie02no" w:date="2025-05-15T14:22:00Z">
        <w:r w:rsidRPr="009C5EFD">
          <w:rPr>
            <w:sz w:val="22"/>
            <w:szCs w:val="22"/>
          </w:rPr>
          <w:delText>Oppbevar</w:delText>
        </w:r>
        <w:r w:rsidR="00393FFC" w:rsidRPr="009C5EFD">
          <w:rPr>
            <w:sz w:val="22"/>
            <w:szCs w:val="22"/>
          </w:rPr>
          <w:delText xml:space="preserve"> dette legemidlet</w:delText>
        </w:r>
        <w:r w:rsidRPr="009C5EFD">
          <w:rPr>
            <w:sz w:val="22"/>
            <w:szCs w:val="22"/>
          </w:rPr>
          <w:delText xml:space="preserve"> utilgjengelig for barn.</w:delText>
        </w:r>
      </w:del>
    </w:p>
    <w:p w14:paraId="09840240" w14:textId="6299A962" w:rsidR="00DE3458" w:rsidRPr="009C5EFD" w:rsidRDefault="00DE3458" w:rsidP="009C5EFD">
      <w:pPr>
        <w:suppressAutoHyphens/>
        <w:rPr>
          <w:del w:id="17339" w:author="AbbVie02no" w:date="2025-05-15T14:22:00Z"/>
          <w:sz w:val="22"/>
          <w:szCs w:val="22"/>
        </w:rPr>
      </w:pPr>
    </w:p>
    <w:p w14:paraId="2856F451" w14:textId="12441B0C" w:rsidR="00DE3458" w:rsidRPr="009C5EFD" w:rsidRDefault="00E453CD" w:rsidP="009C5EFD">
      <w:pPr>
        <w:suppressAutoHyphens/>
        <w:rPr>
          <w:del w:id="17340" w:author="AbbVie02no" w:date="2025-05-15T14:22:00Z"/>
          <w:sz w:val="22"/>
          <w:szCs w:val="22"/>
        </w:rPr>
      </w:pPr>
      <w:del w:id="17341" w:author="AbbVie02no" w:date="2025-05-15T14:22:00Z">
        <w:r w:rsidRPr="009C5EFD">
          <w:rPr>
            <w:sz w:val="22"/>
            <w:szCs w:val="22"/>
          </w:rPr>
          <w:delText xml:space="preserve">Bruk ikke </w:delText>
        </w:r>
        <w:r w:rsidR="00660C63" w:rsidRPr="009C5EFD">
          <w:rPr>
            <w:sz w:val="22"/>
            <w:szCs w:val="22"/>
          </w:rPr>
          <w:delText>dette legemidlet</w:delText>
        </w:r>
        <w:r w:rsidRPr="009C5EFD">
          <w:rPr>
            <w:sz w:val="22"/>
            <w:szCs w:val="22"/>
          </w:rPr>
          <w:delText xml:space="preserve"> etter utløpsdatoen som er angitt på etiketten/blisteret/esken</w:delText>
        </w:r>
        <w:r w:rsidR="00F95BCE">
          <w:rPr>
            <w:sz w:val="22"/>
            <w:szCs w:val="22"/>
          </w:rPr>
          <w:delText xml:space="preserve"> etter EXP</w:delText>
        </w:r>
        <w:r w:rsidRPr="009C5EFD">
          <w:rPr>
            <w:sz w:val="22"/>
            <w:szCs w:val="22"/>
          </w:rPr>
          <w:delText xml:space="preserve">. </w:delText>
        </w:r>
      </w:del>
    </w:p>
    <w:p w14:paraId="2AE7A191" w14:textId="59CE586D" w:rsidR="00DE3458" w:rsidRPr="009C5EFD" w:rsidRDefault="00DE3458" w:rsidP="009C5EFD">
      <w:pPr>
        <w:suppressAutoHyphens/>
        <w:rPr>
          <w:del w:id="17342" w:author="AbbVie02no" w:date="2025-05-15T14:22:00Z"/>
          <w:sz w:val="22"/>
          <w:szCs w:val="22"/>
        </w:rPr>
      </w:pPr>
    </w:p>
    <w:p w14:paraId="132DFEDC" w14:textId="32398661" w:rsidR="00E3195D" w:rsidRDefault="00E453CD" w:rsidP="009C5EFD">
      <w:pPr>
        <w:suppressAutoHyphens/>
        <w:rPr>
          <w:del w:id="17343" w:author="AbbVie02no" w:date="2025-05-15T14:22:00Z"/>
          <w:sz w:val="22"/>
          <w:szCs w:val="22"/>
        </w:rPr>
      </w:pPr>
      <w:del w:id="17344" w:author="AbbVie02no" w:date="2025-05-15T14:22:00Z">
        <w:r w:rsidRPr="009C5EFD">
          <w:rPr>
            <w:sz w:val="22"/>
            <w:szCs w:val="22"/>
          </w:rPr>
          <w:delText>Oppbevares i kjøleskap (</w:delText>
        </w:r>
        <w:r w:rsidR="002568DD" w:rsidRPr="009C5EFD">
          <w:rPr>
            <w:sz w:val="22"/>
            <w:szCs w:val="22"/>
          </w:rPr>
          <w:delText>2</w:delText>
        </w:r>
        <w:r w:rsidR="00E11BA9">
          <w:rPr>
            <w:sz w:val="22"/>
            <w:szCs w:val="22"/>
          </w:rPr>
          <w:delText> </w:delText>
        </w:r>
        <w:r w:rsidR="002568DD" w:rsidRPr="009C5EFD">
          <w:rPr>
            <w:sz w:val="22"/>
            <w:szCs w:val="22"/>
          </w:rPr>
          <w:delText>°C – 8</w:delText>
        </w:r>
        <w:r w:rsidR="00E11BA9">
          <w:rPr>
            <w:sz w:val="22"/>
            <w:szCs w:val="22"/>
          </w:rPr>
          <w:delText> </w:delText>
        </w:r>
        <w:r w:rsidR="002568DD" w:rsidRPr="009C5EFD">
          <w:rPr>
            <w:sz w:val="22"/>
            <w:szCs w:val="22"/>
          </w:rPr>
          <w:delText>°C</w:delText>
        </w:r>
        <w:r w:rsidRPr="009C5EFD">
          <w:rPr>
            <w:sz w:val="22"/>
            <w:szCs w:val="22"/>
          </w:rPr>
          <w:delText xml:space="preserve">). </w:delText>
        </w:r>
        <w:r w:rsidR="00D81405" w:rsidRPr="009C5EFD">
          <w:rPr>
            <w:sz w:val="22"/>
            <w:szCs w:val="22"/>
          </w:rPr>
          <w:delText xml:space="preserve">Skal </w:delText>
        </w:r>
        <w:r w:rsidRPr="009C5EFD">
          <w:rPr>
            <w:sz w:val="22"/>
            <w:szCs w:val="22"/>
          </w:rPr>
          <w:delText xml:space="preserve">ikke fryses. </w:delText>
        </w:r>
      </w:del>
    </w:p>
    <w:p w14:paraId="669706D3" w14:textId="63E502EA" w:rsidR="00E3195D" w:rsidRDefault="00E3195D" w:rsidP="009C5EFD">
      <w:pPr>
        <w:suppressAutoHyphens/>
        <w:rPr>
          <w:del w:id="17345" w:author="AbbVie02no" w:date="2025-05-15T14:22:00Z"/>
          <w:sz w:val="22"/>
          <w:szCs w:val="22"/>
        </w:rPr>
      </w:pPr>
    </w:p>
    <w:p w14:paraId="4AEDC2BD" w14:textId="7FF74B48" w:rsidR="00256F23" w:rsidRPr="009C5EFD" w:rsidRDefault="00E453CD" w:rsidP="009C5EFD">
      <w:pPr>
        <w:suppressAutoHyphens/>
        <w:rPr>
          <w:del w:id="17346" w:author="AbbVie02no" w:date="2025-05-15T14:22:00Z"/>
          <w:sz w:val="22"/>
          <w:szCs w:val="22"/>
        </w:rPr>
      </w:pPr>
      <w:del w:id="17347" w:author="AbbVie02no" w:date="2025-05-15T14:22:00Z">
        <w:r w:rsidRPr="009C5EFD">
          <w:rPr>
            <w:sz w:val="22"/>
            <w:szCs w:val="22"/>
          </w:rPr>
          <w:delText>Den ferdigfylte pennen oppbevares i ytterpakningen</w:delText>
        </w:r>
        <w:r w:rsidR="0001615F" w:rsidRPr="009C5EFD">
          <w:rPr>
            <w:sz w:val="22"/>
            <w:szCs w:val="22"/>
          </w:rPr>
          <w:delText xml:space="preserve"> for å beskytte mot lys</w:delText>
        </w:r>
        <w:r w:rsidRPr="009C5EFD">
          <w:rPr>
            <w:sz w:val="22"/>
            <w:szCs w:val="22"/>
          </w:rPr>
          <w:delText>.</w:delText>
        </w:r>
      </w:del>
    </w:p>
    <w:p w14:paraId="1E54B0B1" w14:textId="4D100F34" w:rsidR="00256F23" w:rsidRPr="009C5EFD" w:rsidRDefault="00256F23" w:rsidP="009C5EFD">
      <w:pPr>
        <w:suppressAutoHyphens/>
        <w:rPr>
          <w:del w:id="17348" w:author="AbbVie02no" w:date="2025-05-15T14:22:00Z"/>
          <w:sz w:val="22"/>
          <w:szCs w:val="22"/>
        </w:rPr>
      </w:pPr>
    </w:p>
    <w:p w14:paraId="320B3C96" w14:textId="0F6FF574" w:rsidR="00256F23" w:rsidRPr="009C5EFD" w:rsidRDefault="00E453CD" w:rsidP="00776A84">
      <w:pPr>
        <w:keepNext/>
        <w:suppressAutoHyphens/>
        <w:rPr>
          <w:del w:id="17349" w:author="AbbVie02no" w:date="2025-05-15T14:22:00Z"/>
          <w:sz w:val="22"/>
          <w:szCs w:val="22"/>
        </w:rPr>
      </w:pPr>
      <w:del w:id="17350" w:author="AbbVie02no" w:date="2025-05-15T14:22:00Z">
        <w:r w:rsidRPr="009C5EFD">
          <w:rPr>
            <w:sz w:val="22"/>
            <w:szCs w:val="22"/>
          </w:rPr>
          <w:delText>Alternativ oppbevaring:</w:delText>
        </w:r>
      </w:del>
    </w:p>
    <w:p w14:paraId="74200880" w14:textId="5528241A" w:rsidR="00256F23" w:rsidRPr="009C5EFD" w:rsidRDefault="00256F23" w:rsidP="00776A84">
      <w:pPr>
        <w:keepNext/>
        <w:suppressAutoHyphens/>
        <w:rPr>
          <w:del w:id="17351" w:author="AbbVie02no" w:date="2025-05-15T14:22:00Z"/>
          <w:sz w:val="22"/>
          <w:szCs w:val="22"/>
        </w:rPr>
      </w:pPr>
    </w:p>
    <w:p w14:paraId="0BF317AE" w14:textId="451709AE" w:rsidR="00DE3458" w:rsidRPr="009C5EFD" w:rsidRDefault="00E453CD" w:rsidP="009C5EFD">
      <w:pPr>
        <w:suppressAutoHyphens/>
        <w:rPr>
          <w:del w:id="17352" w:author="AbbVie02no" w:date="2025-05-15T14:22:00Z"/>
          <w:sz w:val="22"/>
          <w:szCs w:val="22"/>
        </w:rPr>
      </w:pPr>
      <w:del w:id="17353" w:author="AbbVie02no" w:date="2025-05-15T14:22:00Z">
        <w:r w:rsidRPr="009C5EFD">
          <w:rPr>
            <w:sz w:val="22"/>
            <w:szCs w:val="22"/>
          </w:rPr>
          <w:delText>Ved behov (for eksempel når du er på reise) kan en enkelt Humira ferdigfylt penn oppbevares ved romtemperatur (opptil 25</w:delText>
        </w:r>
        <w:r w:rsidR="00E11BA9">
          <w:rPr>
            <w:sz w:val="22"/>
            <w:szCs w:val="22"/>
          </w:rPr>
          <w:delText> </w:delText>
        </w:r>
        <w:r w:rsidRPr="009C5EFD">
          <w:rPr>
            <w:sz w:val="22"/>
            <w:szCs w:val="22"/>
          </w:rPr>
          <w:delText xml:space="preserve">°C) for en periode på maksimum 14 dager – sørg for å beskytte den mot lys. </w:delText>
        </w:r>
        <w:r w:rsidRPr="009C5EFD">
          <w:rPr>
            <w:sz w:val="22"/>
            <w:szCs w:val="22"/>
          </w:rPr>
          <w:lastRenderedPageBreak/>
          <w:delText xml:space="preserve">I det øyeblikk den tas fra kjøleskap for oppbevaring i romtemperatur </w:delText>
        </w:r>
        <w:r w:rsidRPr="009C5EFD">
          <w:rPr>
            <w:b/>
            <w:sz w:val="22"/>
            <w:szCs w:val="22"/>
          </w:rPr>
          <w:delText>må pennen brukes innen 14 dager eller kastes</w:delText>
        </w:r>
        <w:r w:rsidRPr="009C5EFD">
          <w:rPr>
            <w:sz w:val="22"/>
            <w:szCs w:val="22"/>
          </w:rPr>
          <w:delText>, selv om den blir lagt tilbake i kjøleskapet.</w:delText>
        </w:r>
      </w:del>
    </w:p>
    <w:p w14:paraId="07E02763" w14:textId="1FDB380C" w:rsidR="00256F23" w:rsidRPr="009C5EFD" w:rsidRDefault="00256F23" w:rsidP="009C5EFD">
      <w:pPr>
        <w:suppressAutoHyphens/>
        <w:rPr>
          <w:del w:id="17354" w:author="AbbVie02no" w:date="2025-05-15T14:22:00Z"/>
          <w:sz w:val="22"/>
          <w:szCs w:val="22"/>
        </w:rPr>
      </w:pPr>
    </w:p>
    <w:p w14:paraId="3D53A4C8" w14:textId="3B968956" w:rsidR="00256F23" w:rsidRPr="009C5EFD" w:rsidRDefault="00E453CD" w:rsidP="009C5EFD">
      <w:pPr>
        <w:suppressAutoHyphens/>
        <w:rPr>
          <w:del w:id="17355" w:author="AbbVie02no" w:date="2025-05-15T14:22:00Z"/>
          <w:sz w:val="22"/>
          <w:szCs w:val="22"/>
        </w:rPr>
      </w:pPr>
      <w:del w:id="17356" w:author="AbbVie02no" w:date="2025-05-15T14:22:00Z">
        <w:r w:rsidRPr="009C5EFD">
          <w:rPr>
            <w:sz w:val="22"/>
            <w:szCs w:val="22"/>
          </w:rPr>
          <w:delText>Du bør notere datoen når pennen først tas ut fra kjøleskapet, og datoen for når den burde bli kastet.</w:delText>
        </w:r>
      </w:del>
    </w:p>
    <w:p w14:paraId="4CE55FC0" w14:textId="191F6E14" w:rsidR="00393FFC" w:rsidRPr="009C5EFD" w:rsidRDefault="00393FFC" w:rsidP="009C5EFD">
      <w:pPr>
        <w:suppressAutoHyphens/>
        <w:rPr>
          <w:del w:id="17357" w:author="AbbVie02no" w:date="2025-05-15T14:22:00Z"/>
          <w:sz w:val="22"/>
          <w:szCs w:val="22"/>
        </w:rPr>
      </w:pPr>
    </w:p>
    <w:p w14:paraId="16973373" w14:textId="2BC35552" w:rsidR="00393FFC" w:rsidRPr="009C5EFD" w:rsidRDefault="00E453CD" w:rsidP="009C5EFD">
      <w:pPr>
        <w:suppressAutoHyphens/>
        <w:rPr>
          <w:del w:id="17358" w:author="AbbVie02no" w:date="2025-05-15T14:22:00Z"/>
          <w:sz w:val="22"/>
          <w:szCs w:val="22"/>
        </w:rPr>
      </w:pPr>
      <w:del w:id="17359" w:author="AbbVie02no" w:date="2025-05-15T14:22:00Z">
        <w:r w:rsidRPr="009C5EFD">
          <w:rPr>
            <w:sz w:val="22"/>
            <w:szCs w:val="22"/>
          </w:rPr>
          <w:delText xml:space="preserve">Legemidler skal ikke kastes i avløpsvann eller sammen med husholdningsavfall. Spør legen din eller på apoteket hvordan legemidler </w:delText>
        </w:r>
        <w:r w:rsidR="0049775E" w:rsidRPr="009C5EFD">
          <w:rPr>
            <w:sz w:val="22"/>
            <w:szCs w:val="22"/>
          </w:rPr>
          <w:delText xml:space="preserve">som </w:delText>
        </w:r>
        <w:r w:rsidRPr="009C5EFD">
          <w:rPr>
            <w:sz w:val="22"/>
            <w:szCs w:val="22"/>
          </w:rPr>
          <w:delText>du ikke lenger bruker skal kastes. Disse tiltakene bidrar til å beskytte miljøet.</w:delText>
        </w:r>
      </w:del>
    </w:p>
    <w:p w14:paraId="419D8F6E" w14:textId="7FAD066C" w:rsidR="00DE3458" w:rsidRPr="009C5EFD" w:rsidRDefault="00DE3458" w:rsidP="009C5EFD">
      <w:pPr>
        <w:suppressAutoHyphens/>
        <w:rPr>
          <w:del w:id="17360" w:author="AbbVie02no" w:date="2025-05-15T14:22:00Z"/>
          <w:b/>
          <w:sz w:val="22"/>
          <w:szCs w:val="22"/>
        </w:rPr>
      </w:pPr>
    </w:p>
    <w:p w14:paraId="549441D5" w14:textId="2BDC630F" w:rsidR="00DE3458" w:rsidRPr="009C5EFD" w:rsidRDefault="00DE3458" w:rsidP="009C5EFD">
      <w:pPr>
        <w:suppressAutoHyphens/>
        <w:rPr>
          <w:del w:id="17361" w:author="AbbVie02no" w:date="2025-05-15T14:22:00Z"/>
          <w:b/>
          <w:sz w:val="22"/>
          <w:szCs w:val="22"/>
        </w:rPr>
      </w:pPr>
    </w:p>
    <w:p w14:paraId="56AE5E2C" w14:textId="768C6036" w:rsidR="00393FFC" w:rsidRPr="009C5EFD" w:rsidRDefault="00E453CD" w:rsidP="00776A84">
      <w:pPr>
        <w:keepNext/>
        <w:suppressAutoHyphens/>
        <w:ind w:left="540" w:hanging="540"/>
        <w:rPr>
          <w:del w:id="17362" w:author="AbbVie02no" w:date="2025-05-15T14:22:00Z"/>
          <w:sz w:val="22"/>
          <w:szCs w:val="22"/>
        </w:rPr>
      </w:pPr>
      <w:del w:id="17363" w:author="AbbVie02no" w:date="2025-05-15T14:22:00Z">
        <w:r w:rsidRPr="009C5EFD">
          <w:rPr>
            <w:b/>
            <w:sz w:val="22"/>
            <w:szCs w:val="22"/>
          </w:rPr>
          <w:delText>6.</w:delText>
        </w:r>
        <w:r w:rsidRPr="009C5EFD">
          <w:rPr>
            <w:b/>
            <w:sz w:val="22"/>
            <w:szCs w:val="22"/>
          </w:rPr>
          <w:tab/>
          <w:delText xml:space="preserve">Innholdet i pakningen og </w:delText>
        </w:r>
        <w:r w:rsidR="004F6AD7" w:rsidRPr="009C5EFD">
          <w:rPr>
            <w:b/>
            <w:sz w:val="22"/>
            <w:szCs w:val="22"/>
          </w:rPr>
          <w:delText>ytterligere</w:delText>
        </w:r>
        <w:r w:rsidRPr="009C5EFD">
          <w:rPr>
            <w:b/>
            <w:sz w:val="22"/>
            <w:szCs w:val="22"/>
          </w:rPr>
          <w:delText xml:space="preserve"> informasjon</w:delText>
        </w:r>
      </w:del>
    </w:p>
    <w:p w14:paraId="7A5F96FF" w14:textId="0253FE6B" w:rsidR="00DE3458" w:rsidRPr="009C5EFD" w:rsidRDefault="00DE3458" w:rsidP="00776A84">
      <w:pPr>
        <w:keepNext/>
        <w:tabs>
          <w:tab w:val="left" w:pos="567"/>
        </w:tabs>
        <w:suppressAutoHyphens/>
        <w:rPr>
          <w:del w:id="17364" w:author="AbbVie02no" w:date="2025-05-15T14:22:00Z"/>
          <w:sz w:val="22"/>
          <w:szCs w:val="22"/>
        </w:rPr>
      </w:pPr>
    </w:p>
    <w:p w14:paraId="4030ACBF" w14:textId="0F9D7103" w:rsidR="00DE3458" w:rsidRPr="009C5EFD" w:rsidRDefault="00E453CD" w:rsidP="00776A84">
      <w:pPr>
        <w:pStyle w:val="Heading3"/>
        <w:rPr>
          <w:del w:id="17365" w:author="AbbVie02no" w:date="2025-05-15T14:22:00Z"/>
          <w:szCs w:val="22"/>
          <w:lang w:val="nb-NO"/>
        </w:rPr>
      </w:pPr>
      <w:del w:id="17366" w:author="AbbVie02no" w:date="2025-05-15T14:22:00Z">
        <w:r w:rsidRPr="009C5EFD">
          <w:rPr>
            <w:szCs w:val="22"/>
            <w:lang w:val="nb-NO"/>
          </w:rPr>
          <w:delText>Sammensetning av Humira</w:delText>
        </w:r>
      </w:del>
    </w:p>
    <w:p w14:paraId="265FFBD2" w14:textId="26053584" w:rsidR="00DE3458" w:rsidRPr="009C5EFD" w:rsidRDefault="00DE3458" w:rsidP="00776A84">
      <w:pPr>
        <w:keepNext/>
        <w:rPr>
          <w:del w:id="17367" w:author="AbbVie02no" w:date="2025-05-15T14:22:00Z"/>
          <w:b/>
          <w:sz w:val="22"/>
          <w:szCs w:val="22"/>
        </w:rPr>
      </w:pPr>
    </w:p>
    <w:p w14:paraId="4B4C785C" w14:textId="0851D7E2" w:rsidR="00DE3458" w:rsidRPr="009C5EFD" w:rsidRDefault="00E453CD" w:rsidP="009C5EFD">
      <w:pPr>
        <w:suppressAutoHyphens/>
        <w:rPr>
          <w:del w:id="17368" w:author="AbbVie02no" w:date="2025-05-15T14:22:00Z"/>
          <w:sz w:val="22"/>
          <w:szCs w:val="22"/>
        </w:rPr>
      </w:pPr>
      <w:del w:id="17369" w:author="AbbVie02no" w:date="2025-05-15T14:22:00Z">
        <w:r w:rsidRPr="009C5EFD">
          <w:rPr>
            <w:sz w:val="22"/>
            <w:szCs w:val="22"/>
          </w:rPr>
          <w:delText>Virkestoffet er adalimumab.</w:delText>
        </w:r>
      </w:del>
    </w:p>
    <w:p w14:paraId="4FB24FCA" w14:textId="72AB656B" w:rsidR="00DE3458" w:rsidRPr="009C5EFD" w:rsidRDefault="00E453CD" w:rsidP="009C5EFD">
      <w:pPr>
        <w:pStyle w:val="BodyTextIndent2"/>
        <w:ind w:left="0" w:firstLine="0"/>
        <w:rPr>
          <w:del w:id="17370" w:author="AbbVie02no" w:date="2025-05-15T14:22:00Z"/>
          <w:szCs w:val="22"/>
        </w:rPr>
      </w:pPr>
      <w:del w:id="17371" w:author="AbbVie02no" w:date="2025-05-15T14:22:00Z">
        <w:r w:rsidRPr="009C5EFD">
          <w:rPr>
            <w:szCs w:val="22"/>
          </w:rPr>
          <w:delText xml:space="preserve">Hjelpestoffer er mannitol, sitronsyremonohydrat, natriumsitrat, natriumdihydrogenfosfatdihydrat, dinatriumfosfatdihydrat, natriumklorid, polysorbat 80, natriumhydroksid </w:delText>
        </w:r>
        <w:r w:rsidR="001147DE" w:rsidRPr="009C5EFD">
          <w:rPr>
            <w:szCs w:val="22"/>
          </w:rPr>
          <w:delText xml:space="preserve">og </w:delText>
        </w:r>
        <w:r w:rsidRPr="009C5EFD">
          <w:rPr>
            <w:szCs w:val="22"/>
          </w:rPr>
          <w:delText>vann til injeksjonsvæsker.</w:delText>
        </w:r>
      </w:del>
    </w:p>
    <w:p w14:paraId="06ABE795" w14:textId="345EB74D" w:rsidR="000A71FD" w:rsidRPr="009C5EFD" w:rsidRDefault="000A71FD" w:rsidP="009C5EFD">
      <w:pPr>
        <w:pStyle w:val="Heading3"/>
        <w:keepNext w:val="0"/>
        <w:suppressAutoHyphens/>
        <w:rPr>
          <w:del w:id="17372" w:author="AbbVie02no" w:date="2025-05-15T14:22:00Z"/>
          <w:szCs w:val="22"/>
          <w:lang w:val="nb-NO"/>
        </w:rPr>
      </w:pPr>
    </w:p>
    <w:p w14:paraId="0BDFE186" w14:textId="269A1E95" w:rsidR="00DE3458" w:rsidRPr="009C5EFD" w:rsidRDefault="00E453CD" w:rsidP="001F5D4B">
      <w:pPr>
        <w:pStyle w:val="Heading3"/>
        <w:suppressAutoHyphens/>
        <w:rPr>
          <w:del w:id="17373" w:author="AbbVie02no" w:date="2025-05-15T14:22:00Z"/>
          <w:szCs w:val="22"/>
          <w:lang w:val="nb-NO"/>
        </w:rPr>
      </w:pPr>
      <w:del w:id="17374" w:author="AbbVie02no" w:date="2025-05-15T14:22:00Z">
        <w:r w:rsidRPr="009C5EFD">
          <w:rPr>
            <w:szCs w:val="22"/>
            <w:lang w:val="nb-NO"/>
          </w:rPr>
          <w:delText>Hvordan Humira ferdigfylt penn ser ut og innholdet i pakningen</w:delText>
        </w:r>
      </w:del>
    </w:p>
    <w:p w14:paraId="26DB9378" w14:textId="0193F241" w:rsidR="008103EC" w:rsidRPr="009C5EFD" w:rsidRDefault="008103EC" w:rsidP="00776A84">
      <w:pPr>
        <w:keepNext/>
        <w:rPr>
          <w:del w:id="17375" w:author="AbbVie02no" w:date="2025-05-15T14:22:00Z"/>
        </w:rPr>
      </w:pPr>
    </w:p>
    <w:p w14:paraId="50B52880" w14:textId="14400C3C" w:rsidR="00DE3458" w:rsidRPr="009C5EFD" w:rsidRDefault="00E453CD" w:rsidP="00193D76">
      <w:pPr>
        <w:pStyle w:val="EndnoteText"/>
        <w:widowControl/>
        <w:tabs>
          <w:tab w:val="clear" w:pos="567"/>
        </w:tabs>
        <w:suppressAutoHyphens/>
        <w:rPr>
          <w:del w:id="17376" w:author="AbbVie02no" w:date="2025-05-15T14:22:00Z"/>
          <w:b/>
          <w:szCs w:val="22"/>
          <w:lang w:val="nb-NO"/>
        </w:rPr>
      </w:pPr>
      <w:del w:id="17377" w:author="AbbVie02no" w:date="2025-05-15T14:22:00Z">
        <w:r w:rsidRPr="009C5EFD">
          <w:rPr>
            <w:szCs w:val="22"/>
            <w:lang w:val="nb-NO"/>
          </w:rPr>
          <w:delText xml:space="preserve">Humira 40 mg injeksjonsvæske, oppløsning i ferdigfylt penn er tilgjengelig som steril oppløsning av 40 mg adalimumab oppløst i 0,8 ml </w:delText>
        </w:r>
        <w:r w:rsidR="00E11BA9">
          <w:rPr>
            <w:szCs w:val="22"/>
            <w:lang w:val="nb-NO"/>
          </w:rPr>
          <w:delText>opp</w:delText>
        </w:r>
        <w:r w:rsidRPr="009C5EFD">
          <w:rPr>
            <w:szCs w:val="22"/>
            <w:lang w:val="nb-NO"/>
          </w:rPr>
          <w:delText>løsning.</w:delText>
        </w:r>
      </w:del>
    </w:p>
    <w:p w14:paraId="50DFA265" w14:textId="2D9FC614" w:rsidR="00DE3458" w:rsidRPr="009C5EFD" w:rsidRDefault="00E453CD" w:rsidP="002D0790">
      <w:pPr>
        <w:pStyle w:val="EndnoteText"/>
        <w:widowControl/>
        <w:tabs>
          <w:tab w:val="clear" w:pos="567"/>
        </w:tabs>
        <w:suppressAutoHyphens/>
        <w:rPr>
          <w:del w:id="17378" w:author="AbbVie02no" w:date="2025-05-15T14:22:00Z"/>
          <w:szCs w:val="22"/>
          <w:lang w:val="nb-NO"/>
        </w:rPr>
      </w:pPr>
      <w:del w:id="17379" w:author="AbbVie02no" w:date="2025-05-15T14:22:00Z">
        <w:r w:rsidRPr="009C5EFD">
          <w:rPr>
            <w:szCs w:val="22"/>
            <w:lang w:val="nb-NO"/>
          </w:rPr>
          <w:delText>Humira ferdigfylt penn er ett grått- og plommefarget plastrør som inneholder glassprøyte</w:delText>
        </w:r>
        <w:r w:rsidR="00730859" w:rsidRPr="009C5EFD">
          <w:rPr>
            <w:szCs w:val="22"/>
            <w:lang w:val="nb-NO"/>
          </w:rPr>
          <w:delText xml:space="preserve"> </w:delText>
        </w:r>
        <w:r w:rsidRPr="009C5EFD">
          <w:rPr>
            <w:szCs w:val="22"/>
            <w:lang w:val="nb-NO"/>
          </w:rPr>
          <w:delText xml:space="preserve">med Humira. Det finnes to hetter på pennen – den ene er grå og merket med </w:delText>
        </w:r>
        <w:r w:rsidR="00D57009">
          <w:rPr>
            <w:szCs w:val="22"/>
            <w:lang w:val="nb-NO"/>
          </w:rPr>
          <w:delText>«</w:delText>
        </w:r>
        <w:r w:rsidRPr="009C5EFD">
          <w:rPr>
            <w:szCs w:val="22"/>
            <w:lang w:val="nb-NO"/>
          </w:rPr>
          <w:delText>1</w:delText>
        </w:r>
        <w:r w:rsidR="00D57009">
          <w:rPr>
            <w:szCs w:val="22"/>
            <w:lang w:val="nb-NO"/>
          </w:rPr>
          <w:delText>»</w:delText>
        </w:r>
        <w:r w:rsidRPr="009C5EFD">
          <w:rPr>
            <w:szCs w:val="22"/>
            <w:lang w:val="nb-NO"/>
          </w:rPr>
          <w:delText xml:space="preserve"> og den andre er plommefarget og merket med </w:delText>
        </w:r>
        <w:r w:rsidR="00D57009">
          <w:rPr>
            <w:szCs w:val="22"/>
            <w:lang w:val="nb-NO"/>
          </w:rPr>
          <w:delText>«</w:delText>
        </w:r>
        <w:r w:rsidRPr="009C5EFD">
          <w:rPr>
            <w:szCs w:val="22"/>
            <w:lang w:val="nb-NO"/>
          </w:rPr>
          <w:delText>2</w:delText>
        </w:r>
        <w:r w:rsidR="00D57009">
          <w:rPr>
            <w:szCs w:val="22"/>
            <w:lang w:val="nb-NO"/>
          </w:rPr>
          <w:delText>»</w:delText>
        </w:r>
        <w:r w:rsidRPr="009C5EFD">
          <w:rPr>
            <w:szCs w:val="22"/>
            <w:lang w:val="nb-NO"/>
          </w:rPr>
          <w:delText xml:space="preserve">. Pennen har et vindu på hver sin side. Gjennom disse vinduene kan du se Humiraoppløsningen i sprøyten. </w:delText>
        </w:r>
      </w:del>
    </w:p>
    <w:p w14:paraId="2E65EC1C" w14:textId="657EC00F" w:rsidR="00DE3458" w:rsidRPr="009C5EFD" w:rsidRDefault="00DE3458" w:rsidP="00C07C98">
      <w:pPr>
        <w:pStyle w:val="EndnoteText"/>
        <w:widowControl/>
        <w:tabs>
          <w:tab w:val="clear" w:pos="567"/>
        </w:tabs>
        <w:suppressAutoHyphens/>
        <w:rPr>
          <w:del w:id="17380" w:author="AbbVie02no" w:date="2025-05-15T14:22:00Z"/>
          <w:szCs w:val="22"/>
          <w:lang w:val="nb-NO"/>
        </w:rPr>
      </w:pPr>
    </w:p>
    <w:p w14:paraId="171FCBD6" w14:textId="408D8F6E" w:rsidR="00B826CB" w:rsidRPr="009C5EFD" w:rsidRDefault="00E453CD" w:rsidP="00E14E58">
      <w:pPr>
        <w:pStyle w:val="EndnoteText"/>
        <w:widowControl/>
        <w:tabs>
          <w:tab w:val="clear" w:pos="567"/>
        </w:tabs>
        <w:suppressAutoHyphens/>
        <w:rPr>
          <w:del w:id="17381" w:author="AbbVie02no" w:date="2025-05-15T14:22:00Z"/>
          <w:szCs w:val="22"/>
          <w:lang w:val="nb-NO"/>
        </w:rPr>
      </w:pPr>
      <w:del w:id="17382" w:author="AbbVie02no" w:date="2025-05-15T14:22:00Z">
        <w:r w:rsidRPr="009C5EFD">
          <w:rPr>
            <w:szCs w:val="22"/>
            <w:lang w:val="nb-NO"/>
          </w:rPr>
          <w:delText xml:space="preserve">Humira ferdigfylt penn er tilgjengelig i pakker med 1, 2, 4, eller 6 ferdigfylte penner. </w:delText>
        </w:r>
        <w:r w:rsidR="00D20B49">
          <w:rPr>
            <w:szCs w:val="22"/>
            <w:lang w:val="nb-NO"/>
          </w:rPr>
          <w:delText>Pakningen med 1 ferdigfyl</w:delText>
        </w:r>
        <w:r w:rsidR="000C3E34">
          <w:rPr>
            <w:szCs w:val="22"/>
            <w:lang w:val="nb-NO"/>
          </w:rPr>
          <w:delText>t penn kommer med 2 injeksjonsstørk (en ekstra). For pakning</w:delText>
        </w:r>
        <w:r w:rsidR="006E0BC6">
          <w:rPr>
            <w:szCs w:val="22"/>
            <w:lang w:val="nb-NO"/>
          </w:rPr>
          <w:delText>er</w:delText>
        </w:r>
        <w:r w:rsidR="000C3E34">
          <w:rPr>
            <w:szCs w:val="22"/>
            <w:lang w:val="nb-NO"/>
          </w:rPr>
          <w:delText xml:space="preserve"> med 2, 4 og 6 ferdigfylte penner </w:delText>
        </w:r>
        <w:r w:rsidR="00D20B49">
          <w:rPr>
            <w:szCs w:val="22"/>
            <w:lang w:val="nb-NO"/>
          </w:rPr>
          <w:delText>følger det med hver ferdigfylt</w:delText>
        </w:r>
        <w:r w:rsidR="006E0BC6">
          <w:rPr>
            <w:szCs w:val="22"/>
            <w:lang w:val="nb-NO"/>
          </w:rPr>
          <w:delText>e</w:delText>
        </w:r>
        <w:r w:rsidR="00D20B49">
          <w:rPr>
            <w:szCs w:val="22"/>
            <w:lang w:val="nb-NO"/>
          </w:rPr>
          <w:delText xml:space="preserve"> penn 1 injeksjonsstørk. </w:delText>
        </w:r>
        <w:r w:rsidRPr="009C5EFD">
          <w:rPr>
            <w:szCs w:val="22"/>
            <w:lang w:val="nb-NO"/>
          </w:rPr>
          <w:delText>Hver pakke inneholder et injeksjonstørk. Ikke alle pakningsstørrelser vil nødvendigvis bli markedsført.</w:delText>
        </w:r>
        <w:r w:rsidR="00730859" w:rsidRPr="009C5EFD">
          <w:rPr>
            <w:szCs w:val="22"/>
            <w:lang w:val="nb-NO"/>
          </w:rPr>
          <w:delText xml:space="preserve"> </w:delText>
        </w:r>
      </w:del>
    </w:p>
    <w:p w14:paraId="39DB862B" w14:textId="11C44A01" w:rsidR="00B826CB" w:rsidRPr="009C5EFD" w:rsidRDefault="00B826CB" w:rsidP="009C5EFD">
      <w:pPr>
        <w:pStyle w:val="EndnoteText"/>
        <w:widowControl/>
        <w:tabs>
          <w:tab w:val="clear" w:pos="567"/>
        </w:tabs>
        <w:suppressAutoHyphens/>
        <w:rPr>
          <w:del w:id="17383" w:author="AbbVie02no" w:date="2025-05-15T14:22:00Z"/>
          <w:szCs w:val="22"/>
          <w:lang w:val="nb-NO"/>
        </w:rPr>
      </w:pPr>
    </w:p>
    <w:p w14:paraId="35B6E6A7" w14:textId="2F2D4E05" w:rsidR="00DE3458" w:rsidRPr="009C5EFD" w:rsidRDefault="00E453CD" w:rsidP="009C5EFD">
      <w:pPr>
        <w:pStyle w:val="EndnoteText"/>
        <w:widowControl/>
        <w:tabs>
          <w:tab w:val="clear" w:pos="567"/>
        </w:tabs>
        <w:suppressAutoHyphens/>
        <w:rPr>
          <w:del w:id="17384" w:author="AbbVie02no" w:date="2025-05-15T14:22:00Z"/>
          <w:szCs w:val="22"/>
          <w:lang w:val="nb-NO"/>
        </w:rPr>
      </w:pPr>
      <w:del w:id="17385" w:author="AbbVie02no" w:date="2025-05-15T14:22:00Z">
        <w:r w:rsidRPr="009C5EFD">
          <w:rPr>
            <w:szCs w:val="22"/>
          </w:rPr>
          <w:delText xml:space="preserve">Humira </w:delText>
        </w:r>
        <w:r>
          <w:rPr>
            <w:szCs w:val="22"/>
          </w:rPr>
          <w:delText>kan</w:delText>
        </w:r>
        <w:r w:rsidRPr="009C5EFD">
          <w:rPr>
            <w:szCs w:val="22"/>
          </w:rPr>
          <w:delText xml:space="preserve"> </w:delText>
        </w:r>
        <w:r>
          <w:rPr>
            <w:szCs w:val="22"/>
          </w:rPr>
          <w:delText xml:space="preserve">være </w:delText>
        </w:r>
        <w:r w:rsidRPr="009C5EFD">
          <w:rPr>
            <w:szCs w:val="22"/>
          </w:rPr>
          <w:delText xml:space="preserve">tilgjengelig som </w:delText>
        </w:r>
        <w:r>
          <w:rPr>
            <w:szCs w:val="22"/>
          </w:rPr>
          <w:delText xml:space="preserve">hetteglass, </w:delText>
        </w:r>
        <w:r w:rsidRPr="009C5EFD">
          <w:rPr>
            <w:szCs w:val="22"/>
          </w:rPr>
          <w:delText>ferdigfylt sprøyte og</w:delText>
        </w:r>
        <w:r>
          <w:rPr>
            <w:szCs w:val="22"/>
          </w:rPr>
          <w:delText>/eller</w:delText>
        </w:r>
        <w:r w:rsidRPr="009C5EFD">
          <w:rPr>
            <w:szCs w:val="22"/>
          </w:rPr>
          <w:delText xml:space="preserve"> ferdigfylt penn.</w:delText>
        </w:r>
      </w:del>
    </w:p>
    <w:p w14:paraId="44BB7600" w14:textId="7816D50E" w:rsidR="00AC7A27" w:rsidRPr="009C5EFD" w:rsidRDefault="00AC7A27" w:rsidP="009C5EFD">
      <w:pPr>
        <w:pStyle w:val="BodyText3"/>
        <w:tabs>
          <w:tab w:val="clear" w:pos="-720"/>
        </w:tabs>
        <w:suppressAutoHyphens w:val="0"/>
        <w:rPr>
          <w:del w:id="17386" w:author="AbbVie02no" w:date="2025-05-15T14:22:00Z"/>
          <w:szCs w:val="22"/>
          <w:lang w:val="nb-NO"/>
        </w:rPr>
      </w:pPr>
    </w:p>
    <w:p w14:paraId="66AAB5F7" w14:textId="3978E8AC" w:rsidR="00DE3458" w:rsidRPr="009C5EFD" w:rsidRDefault="00E453CD" w:rsidP="00776A84">
      <w:pPr>
        <w:pStyle w:val="BodyText3"/>
        <w:keepNext/>
        <w:tabs>
          <w:tab w:val="clear" w:pos="-720"/>
        </w:tabs>
        <w:suppressAutoHyphens w:val="0"/>
        <w:rPr>
          <w:del w:id="17387" w:author="AbbVie02no" w:date="2025-05-15T14:22:00Z"/>
          <w:szCs w:val="22"/>
          <w:lang w:val="nb-NO"/>
        </w:rPr>
      </w:pPr>
      <w:del w:id="17388" w:author="AbbVie02no" w:date="2025-05-15T14:22:00Z">
        <w:r w:rsidRPr="009C5EFD">
          <w:rPr>
            <w:szCs w:val="22"/>
            <w:lang w:val="nb-NO"/>
          </w:rPr>
          <w:delText>Innehaver av markedsføringstillatelsen</w:delText>
        </w:r>
      </w:del>
    </w:p>
    <w:p w14:paraId="3E13A803" w14:textId="6E82D1C4" w:rsidR="00D8722C" w:rsidRPr="009C5EFD" w:rsidRDefault="00D8722C" w:rsidP="00776A84">
      <w:pPr>
        <w:keepNext/>
        <w:rPr>
          <w:del w:id="17389" w:author="AbbVie02no" w:date="2025-05-15T14:22:00Z"/>
          <w:sz w:val="22"/>
          <w:szCs w:val="22"/>
        </w:rPr>
      </w:pPr>
    </w:p>
    <w:p w14:paraId="1321486B" w14:textId="0C44BC08" w:rsidR="00DD76CF" w:rsidRPr="00EF12DF" w:rsidRDefault="00E453CD" w:rsidP="00DD76CF">
      <w:pPr>
        <w:rPr>
          <w:del w:id="17390" w:author="AbbVie02no" w:date="2025-05-15T14:22:00Z"/>
          <w:sz w:val="22"/>
          <w:szCs w:val="22"/>
        </w:rPr>
      </w:pPr>
      <w:del w:id="17391" w:author="AbbVie02no" w:date="2025-05-15T14:22:00Z">
        <w:r w:rsidRPr="00EF12DF">
          <w:rPr>
            <w:sz w:val="22"/>
            <w:szCs w:val="22"/>
          </w:rPr>
          <w:delText>AbbVie Deutschland GmbH &amp; Co. KG</w:delText>
        </w:r>
      </w:del>
    </w:p>
    <w:p w14:paraId="7EE3F5BA" w14:textId="23B68F49" w:rsidR="00DD76CF" w:rsidRPr="00EF12DF" w:rsidRDefault="00E453CD" w:rsidP="00DD76CF">
      <w:pPr>
        <w:rPr>
          <w:del w:id="17392" w:author="AbbVie02no" w:date="2025-05-15T14:22:00Z"/>
          <w:sz w:val="22"/>
          <w:szCs w:val="22"/>
        </w:rPr>
      </w:pPr>
      <w:del w:id="17393" w:author="AbbVie02no" w:date="2025-05-15T14:22:00Z">
        <w:r w:rsidRPr="00EF12DF">
          <w:rPr>
            <w:sz w:val="22"/>
            <w:szCs w:val="22"/>
          </w:rPr>
          <w:delText>Knollstrasse</w:delText>
        </w:r>
      </w:del>
    </w:p>
    <w:p w14:paraId="0A56DE01" w14:textId="79B9113A" w:rsidR="00DD76CF" w:rsidRPr="00EF12DF" w:rsidRDefault="00E453CD" w:rsidP="00DD76CF">
      <w:pPr>
        <w:rPr>
          <w:del w:id="17394" w:author="AbbVie02no" w:date="2025-05-15T14:22:00Z"/>
          <w:sz w:val="22"/>
          <w:szCs w:val="22"/>
        </w:rPr>
      </w:pPr>
      <w:del w:id="17395" w:author="AbbVie02no" w:date="2025-05-15T14:22:00Z">
        <w:r w:rsidRPr="00EF12DF">
          <w:rPr>
            <w:sz w:val="22"/>
            <w:szCs w:val="22"/>
          </w:rPr>
          <w:delText>67061 Ludwigshafen</w:delText>
        </w:r>
      </w:del>
    </w:p>
    <w:p w14:paraId="418F8289" w14:textId="0A1A77A3" w:rsidR="00DD76CF" w:rsidRPr="009C5EFD" w:rsidRDefault="00E453CD" w:rsidP="00DD76CF">
      <w:pPr>
        <w:rPr>
          <w:del w:id="17396" w:author="AbbVie02no" w:date="2025-05-15T14:22:00Z"/>
          <w:sz w:val="22"/>
          <w:szCs w:val="22"/>
        </w:rPr>
      </w:pPr>
      <w:del w:id="17397" w:author="AbbVie02no" w:date="2025-05-15T14:22:00Z">
        <w:r>
          <w:rPr>
            <w:sz w:val="22"/>
            <w:szCs w:val="22"/>
          </w:rPr>
          <w:delText>Tyskland</w:delText>
        </w:r>
      </w:del>
    </w:p>
    <w:p w14:paraId="398FA81F" w14:textId="346C4F07" w:rsidR="00DE3458" w:rsidRPr="00637363" w:rsidRDefault="00DE3458" w:rsidP="009C5EFD">
      <w:pPr>
        <w:tabs>
          <w:tab w:val="left" w:pos="1216"/>
        </w:tabs>
        <w:suppressAutoHyphens/>
        <w:rPr>
          <w:del w:id="17398" w:author="AbbVie02no" w:date="2025-05-15T14:22:00Z"/>
          <w:sz w:val="22"/>
          <w:szCs w:val="22"/>
        </w:rPr>
      </w:pPr>
    </w:p>
    <w:p w14:paraId="57318BBF" w14:textId="102D5054" w:rsidR="00DE3458" w:rsidRPr="00637363" w:rsidRDefault="00E453CD" w:rsidP="00776A84">
      <w:pPr>
        <w:keepNext/>
        <w:suppressAutoHyphens/>
        <w:rPr>
          <w:del w:id="17399" w:author="AbbVie02no" w:date="2025-05-15T14:22:00Z"/>
          <w:b/>
          <w:sz w:val="22"/>
          <w:szCs w:val="22"/>
        </w:rPr>
      </w:pPr>
      <w:del w:id="17400" w:author="AbbVie02no" w:date="2025-05-15T14:22:00Z">
        <w:r w:rsidRPr="00637363">
          <w:rPr>
            <w:b/>
            <w:sz w:val="22"/>
            <w:szCs w:val="22"/>
          </w:rPr>
          <w:delText>Tilvirker</w:delText>
        </w:r>
      </w:del>
    </w:p>
    <w:p w14:paraId="22CAFA1A" w14:textId="356F5BCA" w:rsidR="00D8722C" w:rsidRPr="00637363" w:rsidRDefault="00D8722C" w:rsidP="00776A84">
      <w:pPr>
        <w:keepNext/>
        <w:rPr>
          <w:del w:id="17401" w:author="AbbVie02no" w:date="2025-05-15T14:22:00Z"/>
          <w:sz w:val="22"/>
          <w:szCs w:val="22"/>
        </w:rPr>
      </w:pPr>
    </w:p>
    <w:p w14:paraId="5FE97782" w14:textId="70CEA8AD" w:rsidR="00D8722C" w:rsidRPr="001F5D4B" w:rsidRDefault="00E453CD" w:rsidP="009C5EFD">
      <w:pPr>
        <w:keepNext/>
        <w:rPr>
          <w:del w:id="17402" w:author="AbbVie02no" w:date="2025-05-15T14:22:00Z"/>
          <w:sz w:val="22"/>
          <w:szCs w:val="22"/>
          <w:lang w:val="de-DE"/>
        </w:rPr>
      </w:pPr>
      <w:del w:id="17403" w:author="AbbVie02no" w:date="2025-05-15T14:22:00Z">
        <w:r w:rsidRPr="001F5D4B">
          <w:rPr>
            <w:sz w:val="22"/>
            <w:szCs w:val="22"/>
            <w:lang w:val="de-DE"/>
          </w:rPr>
          <w:delText>AbbVie Biotechnology GmbH</w:delText>
        </w:r>
      </w:del>
    </w:p>
    <w:p w14:paraId="1A9A9BAF" w14:textId="3B4629EC" w:rsidR="00D8722C" w:rsidRPr="001F5D4B" w:rsidRDefault="00E453CD" w:rsidP="009C5EFD">
      <w:pPr>
        <w:keepNext/>
        <w:numPr>
          <w:ilvl w:val="12"/>
          <w:numId w:val="0"/>
        </w:numPr>
        <w:tabs>
          <w:tab w:val="left" w:pos="720"/>
        </w:tabs>
        <w:rPr>
          <w:del w:id="17404" w:author="AbbVie02no" w:date="2025-05-15T14:22:00Z"/>
          <w:sz w:val="22"/>
          <w:szCs w:val="22"/>
          <w:lang w:val="de-DE"/>
        </w:rPr>
      </w:pPr>
      <w:del w:id="17405" w:author="AbbVie02no" w:date="2025-05-15T14:22:00Z">
        <w:r w:rsidRPr="001F5D4B">
          <w:rPr>
            <w:sz w:val="22"/>
            <w:szCs w:val="22"/>
            <w:lang w:val="de-DE"/>
          </w:rPr>
          <w:delText>Knollstrasse</w:delText>
        </w:r>
      </w:del>
    </w:p>
    <w:p w14:paraId="385339CE" w14:textId="0FB935C3" w:rsidR="00D8722C" w:rsidRPr="001F5D4B" w:rsidRDefault="00E453CD" w:rsidP="009C5EFD">
      <w:pPr>
        <w:keepNext/>
        <w:numPr>
          <w:ilvl w:val="12"/>
          <w:numId w:val="0"/>
        </w:numPr>
        <w:tabs>
          <w:tab w:val="left" w:pos="720"/>
        </w:tabs>
        <w:rPr>
          <w:del w:id="17406" w:author="AbbVie02no" w:date="2025-05-15T14:22:00Z"/>
          <w:sz w:val="22"/>
          <w:szCs w:val="22"/>
          <w:lang w:val="de-DE"/>
        </w:rPr>
      </w:pPr>
      <w:del w:id="17407" w:author="AbbVie02no" w:date="2025-05-15T14:22:00Z">
        <w:r w:rsidRPr="001F5D4B">
          <w:rPr>
            <w:sz w:val="22"/>
            <w:szCs w:val="22"/>
            <w:lang w:val="de-DE"/>
          </w:rPr>
          <w:delText>67061 Ludwigshafen</w:delText>
        </w:r>
      </w:del>
    </w:p>
    <w:p w14:paraId="6BDD5446" w14:textId="51043850" w:rsidR="00D8722C" w:rsidRPr="009C5EFD" w:rsidRDefault="00E453CD" w:rsidP="009C5EFD">
      <w:pPr>
        <w:keepNext/>
        <w:rPr>
          <w:del w:id="17408" w:author="AbbVie02no" w:date="2025-05-15T14:22:00Z"/>
          <w:sz w:val="22"/>
          <w:szCs w:val="22"/>
        </w:rPr>
      </w:pPr>
      <w:del w:id="17409" w:author="AbbVie02no" w:date="2025-05-15T14:22:00Z">
        <w:r w:rsidRPr="009C5EFD">
          <w:rPr>
            <w:sz w:val="22"/>
            <w:szCs w:val="22"/>
          </w:rPr>
          <w:delText>Tyskland</w:delText>
        </w:r>
      </w:del>
    </w:p>
    <w:p w14:paraId="24F6E35D" w14:textId="29F1411C" w:rsidR="00DE3458" w:rsidRPr="009C5EFD" w:rsidRDefault="00DE3458" w:rsidP="009C5EFD">
      <w:pPr>
        <w:pStyle w:val="EndnoteText"/>
        <w:widowControl/>
        <w:tabs>
          <w:tab w:val="clear" w:pos="567"/>
        </w:tabs>
        <w:rPr>
          <w:del w:id="17410" w:author="AbbVie02no" w:date="2025-05-15T14:22:00Z"/>
          <w:szCs w:val="22"/>
          <w:lang w:val="nb-NO"/>
        </w:rPr>
      </w:pPr>
    </w:p>
    <w:p w14:paraId="2E7D29D9" w14:textId="11299E22" w:rsidR="00DE3458" w:rsidRPr="009C5EFD" w:rsidRDefault="00E453CD" w:rsidP="009C5EFD">
      <w:pPr>
        <w:rPr>
          <w:del w:id="17411" w:author="AbbVie02no" w:date="2025-05-15T14:22:00Z"/>
          <w:sz w:val="22"/>
          <w:szCs w:val="22"/>
        </w:rPr>
      </w:pPr>
      <w:del w:id="17412" w:author="AbbVie02no" w:date="2025-05-15T14:22:00Z">
        <w:r w:rsidRPr="00D80AF5">
          <w:rPr>
            <w:sz w:val="22"/>
            <w:szCs w:val="22"/>
          </w:rPr>
          <w:delText>Ta kontakt med den lokale representanten for innehaveren av markedsføringstillatelsen f</w:delText>
        </w:r>
        <w:r w:rsidRPr="009C5EFD">
          <w:rPr>
            <w:sz w:val="22"/>
            <w:szCs w:val="22"/>
          </w:rPr>
          <w:delText>or ytterligere informasjon om dette legemidlet</w:delText>
        </w:r>
        <w:r w:rsidR="007A31C0">
          <w:rPr>
            <w:sz w:val="22"/>
            <w:szCs w:val="22"/>
          </w:rPr>
          <w:delText>:</w:delText>
        </w:r>
      </w:del>
    </w:p>
    <w:p w14:paraId="12BB331D" w14:textId="04A42AA3" w:rsidR="00433E08" w:rsidRPr="009C5EFD" w:rsidRDefault="00433E08" w:rsidP="009C5EFD">
      <w:pPr>
        <w:rPr>
          <w:del w:id="17413" w:author="AbbVie02no" w:date="2025-05-15T14:22:00Z"/>
        </w:rPr>
      </w:pPr>
    </w:p>
    <w:tbl>
      <w:tblPr>
        <w:tblW w:w="9356" w:type="dxa"/>
        <w:tblInd w:w="-34" w:type="dxa"/>
        <w:tblLayout w:type="fixed"/>
        <w:tblLook w:val="0000" w:firstRow="0" w:lastRow="0" w:firstColumn="0" w:lastColumn="0" w:noHBand="0" w:noVBand="0"/>
      </w:tblPr>
      <w:tblGrid>
        <w:gridCol w:w="34"/>
        <w:gridCol w:w="4610"/>
        <w:gridCol w:w="34"/>
        <w:gridCol w:w="4678"/>
      </w:tblGrid>
      <w:tr w:rsidR="004644D4" w14:paraId="01B6A3BE" w14:textId="25FFA11F" w:rsidTr="001F79B0">
        <w:trPr>
          <w:del w:id="17414" w:author="AbbVie02no" w:date="2025-05-15T14:22:00Z"/>
        </w:trPr>
        <w:tc>
          <w:tcPr>
            <w:tcW w:w="4644" w:type="dxa"/>
            <w:gridSpan w:val="2"/>
          </w:tcPr>
          <w:p w14:paraId="32A4ABBD" w14:textId="2A4D7AD3" w:rsidR="00930E09" w:rsidRPr="00BD646C" w:rsidRDefault="00E453CD" w:rsidP="001F79B0">
            <w:pPr>
              <w:rPr>
                <w:del w:id="17415" w:author="AbbVie02no" w:date="2025-05-15T14:22:00Z"/>
                <w:b/>
                <w:bCs/>
                <w:sz w:val="22"/>
                <w:szCs w:val="22"/>
                <w:lang w:val="fr-BE"/>
              </w:rPr>
            </w:pPr>
            <w:del w:id="17416" w:author="AbbVie02no" w:date="2025-05-15T14:22:00Z">
              <w:r w:rsidRPr="00BD646C">
                <w:rPr>
                  <w:b/>
                  <w:bCs/>
                  <w:sz w:val="22"/>
                  <w:szCs w:val="22"/>
                  <w:lang w:val="fr-BE"/>
                </w:rPr>
                <w:delText>België/Belgique/Belgien</w:delText>
              </w:r>
            </w:del>
          </w:p>
          <w:p w14:paraId="725D4115" w14:textId="029C855B" w:rsidR="00930E09" w:rsidRPr="00BD646C" w:rsidRDefault="00E453CD" w:rsidP="001F79B0">
            <w:pPr>
              <w:rPr>
                <w:del w:id="17417" w:author="AbbVie02no" w:date="2025-05-15T14:22:00Z"/>
                <w:bCs/>
                <w:sz w:val="22"/>
                <w:szCs w:val="22"/>
                <w:lang w:val="fr-FR"/>
              </w:rPr>
            </w:pPr>
            <w:del w:id="17418" w:author="AbbVie02no" w:date="2025-05-15T14:22:00Z">
              <w:r w:rsidRPr="00BD646C">
                <w:rPr>
                  <w:bCs/>
                  <w:sz w:val="22"/>
                  <w:szCs w:val="22"/>
                  <w:lang w:val="fr-FR"/>
                </w:rPr>
                <w:delText>AbbVie SA</w:delText>
              </w:r>
            </w:del>
          </w:p>
          <w:p w14:paraId="7E96B125" w14:textId="0D2E5813" w:rsidR="00930E09" w:rsidRPr="00BD646C" w:rsidRDefault="00E453CD" w:rsidP="001F79B0">
            <w:pPr>
              <w:rPr>
                <w:del w:id="17419" w:author="AbbVie02no" w:date="2025-05-15T14:22:00Z"/>
                <w:sz w:val="22"/>
                <w:szCs w:val="22"/>
                <w:lang w:val="fr-FR"/>
              </w:rPr>
            </w:pPr>
            <w:del w:id="17420" w:author="AbbVie02no" w:date="2025-05-15T14:22:00Z">
              <w:r w:rsidRPr="00BD646C">
                <w:rPr>
                  <w:bCs/>
                  <w:sz w:val="22"/>
                  <w:szCs w:val="22"/>
                  <w:lang w:val="fr-FR"/>
                </w:rPr>
                <w:delText xml:space="preserve">Tél/Tel: +32 10 </w:delText>
              </w:r>
              <w:r w:rsidRPr="00BD646C">
                <w:rPr>
                  <w:sz w:val="22"/>
                  <w:szCs w:val="22"/>
                  <w:lang w:val="fr-FR"/>
                </w:rPr>
                <w:delText>477811</w:delText>
              </w:r>
            </w:del>
          </w:p>
          <w:p w14:paraId="7616D5A5" w14:textId="45F596A9" w:rsidR="00930E09" w:rsidRPr="00BD646C" w:rsidRDefault="00930E09" w:rsidP="001F79B0">
            <w:pPr>
              <w:rPr>
                <w:del w:id="17421" w:author="AbbVie02no" w:date="2025-05-15T14:22:00Z"/>
                <w:bCs/>
                <w:sz w:val="22"/>
                <w:szCs w:val="22"/>
                <w:lang w:val="fr-FR"/>
              </w:rPr>
            </w:pPr>
          </w:p>
        </w:tc>
        <w:tc>
          <w:tcPr>
            <w:tcW w:w="4678" w:type="dxa"/>
            <w:gridSpan w:val="2"/>
          </w:tcPr>
          <w:p w14:paraId="650F08DC" w14:textId="4AD1075B" w:rsidR="00930E09" w:rsidRPr="00BD646C" w:rsidRDefault="00E453CD" w:rsidP="001F79B0">
            <w:pPr>
              <w:rPr>
                <w:del w:id="17422" w:author="AbbVie02no" w:date="2025-05-15T14:22:00Z"/>
                <w:b/>
                <w:bCs/>
                <w:sz w:val="22"/>
                <w:szCs w:val="22"/>
                <w:lang w:val="lt-LT"/>
              </w:rPr>
            </w:pPr>
            <w:del w:id="17423" w:author="AbbVie02no" w:date="2025-05-15T14:22:00Z">
              <w:r w:rsidRPr="00BD646C">
                <w:rPr>
                  <w:b/>
                  <w:bCs/>
                  <w:sz w:val="22"/>
                  <w:szCs w:val="22"/>
                  <w:lang w:val="lt-LT"/>
                </w:rPr>
                <w:delText>Lietuva</w:delText>
              </w:r>
            </w:del>
          </w:p>
          <w:p w14:paraId="0CD3CBBF" w14:textId="2BF88ECC" w:rsidR="00930E09" w:rsidRPr="00BD646C" w:rsidRDefault="00E453CD" w:rsidP="001F79B0">
            <w:pPr>
              <w:rPr>
                <w:del w:id="17424" w:author="AbbVie02no" w:date="2025-05-15T14:22:00Z"/>
                <w:bCs/>
                <w:sz w:val="22"/>
                <w:szCs w:val="22"/>
                <w:lang w:val="lv-LV"/>
              </w:rPr>
            </w:pPr>
            <w:del w:id="17425" w:author="AbbVie02no" w:date="2025-05-15T14:22:00Z">
              <w:r w:rsidRPr="00BD646C">
                <w:rPr>
                  <w:bCs/>
                  <w:sz w:val="22"/>
                  <w:szCs w:val="22"/>
                  <w:lang w:val="lv-LV"/>
                </w:rPr>
                <w:delText xml:space="preserve">AbbVie UAB </w:delText>
              </w:r>
            </w:del>
          </w:p>
          <w:p w14:paraId="343C2079" w14:textId="61D43B9B" w:rsidR="00930E09" w:rsidRPr="00BD646C" w:rsidRDefault="00E453CD" w:rsidP="001F79B0">
            <w:pPr>
              <w:rPr>
                <w:del w:id="17426" w:author="AbbVie02no" w:date="2025-05-15T14:22:00Z"/>
                <w:bCs/>
                <w:sz w:val="22"/>
                <w:szCs w:val="22"/>
                <w:lang w:val="lv-LV"/>
              </w:rPr>
            </w:pPr>
            <w:del w:id="17427" w:author="AbbVie02no" w:date="2025-05-15T14:22:00Z">
              <w:r w:rsidRPr="00BD646C">
                <w:rPr>
                  <w:bCs/>
                  <w:sz w:val="22"/>
                  <w:szCs w:val="22"/>
                  <w:lang w:val="lv-LV"/>
                </w:rPr>
                <w:delText>Tel: +370 5 205 3023</w:delText>
              </w:r>
            </w:del>
          </w:p>
        </w:tc>
      </w:tr>
      <w:tr w:rsidR="004644D4" w14:paraId="36FF7507" w14:textId="24ADB156" w:rsidTr="001F79B0">
        <w:trPr>
          <w:del w:id="17428" w:author="AbbVie02no" w:date="2025-05-15T14:22:00Z"/>
        </w:trPr>
        <w:tc>
          <w:tcPr>
            <w:tcW w:w="4644" w:type="dxa"/>
            <w:gridSpan w:val="2"/>
          </w:tcPr>
          <w:p w14:paraId="56B46512" w14:textId="34A507FA" w:rsidR="00930E09" w:rsidRPr="00BD646C" w:rsidRDefault="00E453CD" w:rsidP="00930E09">
            <w:pPr>
              <w:keepNext/>
              <w:rPr>
                <w:del w:id="17429" w:author="AbbVie02no" w:date="2025-05-15T14:22:00Z"/>
                <w:b/>
                <w:bCs/>
                <w:sz w:val="22"/>
                <w:szCs w:val="22"/>
                <w:lang w:val="bg-BG"/>
              </w:rPr>
            </w:pPr>
            <w:del w:id="17430" w:author="AbbVie02no" w:date="2025-05-15T14:22:00Z">
              <w:r w:rsidRPr="00BD646C">
                <w:rPr>
                  <w:b/>
                  <w:bCs/>
                  <w:sz w:val="22"/>
                  <w:szCs w:val="22"/>
                  <w:lang w:val="bg-BG"/>
                </w:rPr>
                <w:lastRenderedPageBreak/>
                <w:delText>България</w:delText>
              </w:r>
            </w:del>
          </w:p>
          <w:p w14:paraId="61965475" w14:textId="56C32E52" w:rsidR="00930E09" w:rsidRPr="00BD646C" w:rsidRDefault="00E453CD" w:rsidP="00930E09">
            <w:pPr>
              <w:keepNext/>
              <w:rPr>
                <w:del w:id="17431" w:author="AbbVie02no" w:date="2025-05-15T14:22:00Z"/>
                <w:sz w:val="22"/>
                <w:szCs w:val="22"/>
                <w:lang w:val="da-DK"/>
              </w:rPr>
            </w:pPr>
            <w:del w:id="17432" w:author="AbbVie02no" w:date="2025-05-15T14:22:00Z">
              <w:r w:rsidRPr="00BD646C">
                <w:rPr>
                  <w:sz w:val="22"/>
                  <w:szCs w:val="22"/>
                  <w:lang w:val="sk-SK"/>
                </w:rPr>
                <w:delText>АбВи ЕООД</w:delText>
              </w:r>
            </w:del>
          </w:p>
          <w:p w14:paraId="5F32F314" w14:textId="42DCDAC4" w:rsidR="00930E09" w:rsidRPr="00BD646C" w:rsidRDefault="00E453CD" w:rsidP="00930E09">
            <w:pPr>
              <w:keepNext/>
              <w:rPr>
                <w:del w:id="17433" w:author="AbbVie02no" w:date="2025-05-15T14:22:00Z"/>
                <w:bCs/>
                <w:sz w:val="22"/>
                <w:szCs w:val="22"/>
                <w:lang w:val="da-DK"/>
              </w:rPr>
            </w:pPr>
            <w:del w:id="17434" w:author="AbbVie02no" w:date="2025-05-15T14:22:00Z">
              <w:r w:rsidRPr="00BD646C">
                <w:rPr>
                  <w:sz w:val="22"/>
                  <w:szCs w:val="22"/>
                  <w:lang w:val="sk-SK"/>
                </w:rPr>
                <w:delText>Тел</w:delText>
              </w:r>
              <w:r w:rsidRPr="00BD646C">
                <w:rPr>
                  <w:sz w:val="22"/>
                  <w:szCs w:val="22"/>
                  <w:lang w:val="it-IT"/>
                </w:rPr>
                <w:delText>.:+359 2 90 30 430</w:delText>
              </w:r>
            </w:del>
          </w:p>
        </w:tc>
        <w:tc>
          <w:tcPr>
            <w:tcW w:w="4678" w:type="dxa"/>
            <w:gridSpan w:val="2"/>
          </w:tcPr>
          <w:p w14:paraId="40A439A8" w14:textId="6E516C64" w:rsidR="00930E09" w:rsidRPr="00BD646C" w:rsidRDefault="00E453CD" w:rsidP="00930E09">
            <w:pPr>
              <w:keepNext/>
              <w:rPr>
                <w:del w:id="17435" w:author="AbbVie02no" w:date="2025-05-15T14:22:00Z"/>
                <w:b/>
                <w:bCs/>
                <w:sz w:val="22"/>
                <w:szCs w:val="22"/>
                <w:lang w:val="de-DE"/>
              </w:rPr>
            </w:pPr>
            <w:del w:id="17436" w:author="AbbVie02no" w:date="2025-05-15T14:22:00Z">
              <w:r w:rsidRPr="00BD646C">
                <w:rPr>
                  <w:b/>
                  <w:bCs/>
                  <w:sz w:val="22"/>
                  <w:szCs w:val="22"/>
                  <w:lang w:val="de-DE"/>
                </w:rPr>
                <w:delText>Luxembourg/Luxemburg</w:delText>
              </w:r>
            </w:del>
          </w:p>
          <w:p w14:paraId="7744B161" w14:textId="6A9148D3" w:rsidR="00930E09" w:rsidRPr="00BD646C" w:rsidRDefault="00E453CD" w:rsidP="00930E09">
            <w:pPr>
              <w:keepNext/>
              <w:rPr>
                <w:del w:id="17437" w:author="AbbVie02no" w:date="2025-05-15T14:22:00Z"/>
                <w:bCs/>
                <w:sz w:val="22"/>
                <w:szCs w:val="22"/>
                <w:lang w:val="de-DE"/>
              </w:rPr>
            </w:pPr>
            <w:del w:id="17438" w:author="AbbVie02no" w:date="2025-05-15T14:22:00Z">
              <w:r w:rsidRPr="00BD646C">
                <w:rPr>
                  <w:bCs/>
                  <w:sz w:val="22"/>
                  <w:szCs w:val="22"/>
                  <w:lang w:val="de-DE"/>
                </w:rPr>
                <w:delText>AbbVie SA</w:delText>
              </w:r>
            </w:del>
          </w:p>
          <w:p w14:paraId="2155BDCB" w14:textId="3BACA3CC" w:rsidR="00930E09" w:rsidRPr="00BD646C" w:rsidRDefault="00E453CD" w:rsidP="00930E09">
            <w:pPr>
              <w:keepNext/>
              <w:rPr>
                <w:del w:id="17439" w:author="AbbVie02no" w:date="2025-05-15T14:22:00Z"/>
                <w:bCs/>
                <w:sz w:val="22"/>
                <w:szCs w:val="22"/>
                <w:lang w:val="de-DE"/>
              </w:rPr>
            </w:pPr>
            <w:del w:id="17440" w:author="AbbVie02no" w:date="2025-05-15T14:22:00Z">
              <w:r w:rsidRPr="00BD646C">
                <w:rPr>
                  <w:bCs/>
                  <w:sz w:val="22"/>
                  <w:szCs w:val="22"/>
                  <w:lang w:val="de-DE"/>
                </w:rPr>
                <w:delText>Belgique/Belgien</w:delText>
              </w:r>
            </w:del>
          </w:p>
          <w:p w14:paraId="715EC96B" w14:textId="57ADB698" w:rsidR="00930E09" w:rsidRPr="00BD646C" w:rsidRDefault="00E453CD" w:rsidP="00930E09">
            <w:pPr>
              <w:keepNext/>
              <w:rPr>
                <w:del w:id="17441" w:author="AbbVie02no" w:date="2025-05-15T14:22:00Z"/>
                <w:bCs/>
                <w:sz w:val="22"/>
                <w:szCs w:val="22"/>
                <w:lang w:val="fr-FR"/>
              </w:rPr>
            </w:pPr>
            <w:del w:id="17442" w:author="AbbVie02no" w:date="2025-05-15T14:22:00Z">
              <w:r w:rsidRPr="00BD646C">
                <w:rPr>
                  <w:bCs/>
                  <w:sz w:val="22"/>
                  <w:szCs w:val="22"/>
                  <w:lang w:val="fr-FR"/>
                </w:rPr>
                <w:delText>Tél/Tel: +32 10 477811</w:delText>
              </w:r>
            </w:del>
          </w:p>
          <w:p w14:paraId="5C62024F" w14:textId="3E42D337" w:rsidR="00930E09" w:rsidRPr="00BD646C" w:rsidRDefault="00930E09" w:rsidP="00930E09">
            <w:pPr>
              <w:keepNext/>
              <w:rPr>
                <w:del w:id="17443" w:author="AbbVie02no" w:date="2025-05-15T14:22:00Z"/>
                <w:bCs/>
                <w:sz w:val="22"/>
                <w:szCs w:val="22"/>
                <w:lang w:val="fr-FR"/>
              </w:rPr>
            </w:pPr>
          </w:p>
        </w:tc>
      </w:tr>
      <w:tr w:rsidR="004644D4" w14:paraId="49ED38FF" w14:textId="7445722D" w:rsidTr="001F79B0">
        <w:trPr>
          <w:del w:id="17444" w:author="AbbVie02no" w:date="2025-05-15T14:22:00Z"/>
        </w:trPr>
        <w:tc>
          <w:tcPr>
            <w:tcW w:w="4644" w:type="dxa"/>
            <w:gridSpan w:val="2"/>
          </w:tcPr>
          <w:p w14:paraId="01396FB4" w14:textId="574BF570" w:rsidR="00930E09" w:rsidRPr="00BD646C" w:rsidRDefault="00E453CD" w:rsidP="001F79B0">
            <w:pPr>
              <w:rPr>
                <w:del w:id="17445" w:author="AbbVie02no" w:date="2025-05-15T14:22:00Z"/>
                <w:b/>
                <w:bCs/>
                <w:sz w:val="22"/>
                <w:szCs w:val="22"/>
                <w:lang w:val="sk-SK"/>
              </w:rPr>
            </w:pPr>
            <w:del w:id="17446" w:author="AbbVie02no" w:date="2025-05-15T14:22:00Z">
              <w:r w:rsidRPr="00BD646C">
                <w:rPr>
                  <w:b/>
                  <w:bCs/>
                  <w:sz w:val="22"/>
                  <w:szCs w:val="22"/>
                  <w:lang w:val="sk-SK"/>
                </w:rPr>
                <w:delText>Česká republika</w:delText>
              </w:r>
            </w:del>
          </w:p>
          <w:p w14:paraId="137EFDEC" w14:textId="441C27B9" w:rsidR="00930E09" w:rsidRPr="00BD646C" w:rsidRDefault="00E453CD" w:rsidP="001F79B0">
            <w:pPr>
              <w:rPr>
                <w:del w:id="17447" w:author="AbbVie02no" w:date="2025-05-15T14:22:00Z"/>
                <w:bCs/>
                <w:sz w:val="22"/>
                <w:szCs w:val="22"/>
                <w:lang w:val="sk-SK"/>
              </w:rPr>
            </w:pPr>
            <w:del w:id="17448" w:author="AbbVie02no" w:date="2025-05-15T14:22:00Z">
              <w:r w:rsidRPr="00BD646C">
                <w:rPr>
                  <w:bCs/>
                  <w:sz w:val="22"/>
                  <w:szCs w:val="22"/>
                  <w:lang w:val="sk-SK"/>
                </w:rPr>
                <w:delText xml:space="preserve">AbbVie s.r.o. </w:delText>
              </w:r>
            </w:del>
          </w:p>
          <w:p w14:paraId="09DFFCB0" w14:textId="5C582EF3" w:rsidR="00930E09" w:rsidRPr="00BD646C" w:rsidRDefault="00E453CD" w:rsidP="001F79B0">
            <w:pPr>
              <w:rPr>
                <w:del w:id="17449" w:author="AbbVie02no" w:date="2025-05-15T14:22:00Z"/>
                <w:bCs/>
                <w:sz w:val="22"/>
                <w:szCs w:val="22"/>
                <w:lang w:val="sk-SK"/>
              </w:rPr>
            </w:pPr>
            <w:del w:id="17450" w:author="AbbVie02no" w:date="2025-05-15T14:22:00Z">
              <w:r w:rsidRPr="00BD646C">
                <w:rPr>
                  <w:bCs/>
                  <w:sz w:val="22"/>
                  <w:szCs w:val="22"/>
                  <w:lang w:val="sk-SK"/>
                </w:rPr>
                <w:delText>Tel: +420 233 098 111</w:delText>
              </w:r>
            </w:del>
          </w:p>
        </w:tc>
        <w:tc>
          <w:tcPr>
            <w:tcW w:w="4678" w:type="dxa"/>
            <w:gridSpan w:val="2"/>
          </w:tcPr>
          <w:p w14:paraId="70EDA285" w14:textId="3C0162E3" w:rsidR="00930E09" w:rsidRPr="00BD646C" w:rsidRDefault="00E453CD" w:rsidP="001F79B0">
            <w:pPr>
              <w:rPr>
                <w:del w:id="17451" w:author="AbbVie02no" w:date="2025-05-15T14:22:00Z"/>
                <w:b/>
                <w:bCs/>
                <w:sz w:val="22"/>
                <w:szCs w:val="22"/>
                <w:lang w:val="hu-HU"/>
              </w:rPr>
            </w:pPr>
            <w:del w:id="17452" w:author="AbbVie02no" w:date="2025-05-15T14:22:00Z">
              <w:r w:rsidRPr="00BD646C">
                <w:rPr>
                  <w:b/>
                  <w:bCs/>
                  <w:sz w:val="22"/>
                  <w:szCs w:val="22"/>
                  <w:lang w:val="hu-HU"/>
                </w:rPr>
                <w:delText>Magyarország</w:delText>
              </w:r>
            </w:del>
          </w:p>
          <w:p w14:paraId="6780C1CF" w14:textId="2E9D4FDE" w:rsidR="00930E09" w:rsidRPr="00BD646C" w:rsidRDefault="00E453CD" w:rsidP="001F79B0">
            <w:pPr>
              <w:rPr>
                <w:del w:id="17453" w:author="AbbVie02no" w:date="2025-05-15T14:22:00Z"/>
                <w:bCs/>
                <w:sz w:val="22"/>
                <w:szCs w:val="22"/>
                <w:lang w:val="hu-HU"/>
              </w:rPr>
            </w:pPr>
            <w:del w:id="17454" w:author="AbbVie02no" w:date="2025-05-15T14:22:00Z">
              <w:r w:rsidRPr="00BD646C">
                <w:rPr>
                  <w:bCs/>
                  <w:sz w:val="22"/>
                  <w:szCs w:val="22"/>
                  <w:lang w:val="hu-HU"/>
                </w:rPr>
                <w:delText>AbbVie Kft.</w:delText>
              </w:r>
            </w:del>
          </w:p>
          <w:p w14:paraId="5198239A" w14:textId="7C3C92DA" w:rsidR="00930E09" w:rsidRPr="00BD646C" w:rsidRDefault="00E453CD" w:rsidP="001F79B0">
            <w:pPr>
              <w:rPr>
                <w:del w:id="17455" w:author="AbbVie02no" w:date="2025-05-15T14:22:00Z"/>
                <w:bCs/>
                <w:sz w:val="22"/>
                <w:szCs w:val="22"/>
                <w:lang w:val="hu-HU"/>
              </w:rPr>
            </w:pPr>
            <w:del w:id="17456" w:author="AbbVie02no" w:date="2025-05-15T14:22:00Z">
              <w:r w:rsidRPr="00BD646C">
                <w:rPr>
                  <w:bCs/>
                  <w:sz w:val="22"/>
                  <w:szCs w:val="22"/>
                  <w:lang w:val="hu-HU"/>
                </w:rPr>
                <w:delText>Tel.:+36 1 455 8600</w:delText>
              </w:r>
            </w:del>
          </w:p>
          <w:p w14:paraId="549A9905" w14:textId="3ADABB05" w:rsidR="00930E09" w:rsidRPr="00BD646C" w:rsidRDefault="00930E09" w:rsidP="001F79B0">
            <w:pPr>
              <w:rPr>
                <w:del w:id="17457" w:author="AbbVie02no" w:date="2025-05-15T14:22:00Z"/>
                <w:bCs/>
                <w:sz w:val="22"/>
                <w:szCs w:val="22"/>
                <w:lang w:val="hu-HU"/>
              </w:rPr>
            </w:pPr>
          </w:p>
        </w:tc>
      </w:tr>
      <w:tr w:rsidR="004644D4" w14:paraId="3E0EBC2E" w14:textId="2F5C8DC5" w:rsidTr="001F79B0">
        <w:trPr>
          <w:trHeight w:val="737"/>
          <w:del w:id="17458" w:author="AbbVie02no" w:date="2025-05-15T14:22:00Z"/>
        </w:trPr>
        <w:tc>
          <w:tcPr>
            <w:tcW w:w="4644" w:type="dxa"/>
            <w:gridSpan w:val="2"/>
          </w:tcPr>
          <w:p w14:paraId="2CB062DC" w14:textId="7924C9BA" w:rsidR="00930E09" w:rsidRPr="00692DC9" w:rsidRDefault="00E453CD" w:rsidP="001F79B0">
            <w:pPr>
              <w:rPr>
                <w:del w:id="17459" w:author="AbbVie02no" w:date="2025-05-15T14:22:00Z"/>
                <w:b/>
                <w:bCs/>
                <w:sz w:val="22"/>
                <w:szCs w:val="22"/>
                <w:rPrChange w:id="17460" w:author="AbbVie05no" w:date="2025-05-19T11:03:00Z">
                  <w:rPr>
                    <w:del w:id="17461" w:author="AbbVie02no" w:date="2025-05-15T14:22:00Z"/>
                    <w:b/>
                    <w:bCs/>
                    <w:sz w:val="22"/>
                    <w:szCs w:val="22"/>
                    <w:lang w:val="en-US"/>
                  </w:rPr>
                </w:rPrChange>
              </w:rPr>
            </w:pPr>
            <w:del w:id="17462" w:author="AbbVie02no" w:date="2025-05-15T14:22:00Z">
              <w:r w:rsidRPr="00692DC9">
                <w:rPr>
                  <w:b/>
                  <w:bCs/>
                  <w:sz w:val="22"/>
                  <w:szCs w:val="22"/>
                  <w:rPrChange w:id="17463" w:author="AbbVie05no" w:date="2025-05-19T11:03:00Z">
                    <w:rPr>
                      <w:b/>
                      <w:bCs/>
                      <w:sz w:val="22"/>
                      <w:szCs w:val="22"/>
                      <w:lang w:val="en-US"/>
                    </w:rPr>
                  </w:rPrChange>
                </w:rPr>
                <w:delText>Danmark</w:delText>
              </w:r>
            </w:del>
          </w:p>
          <w:p w14:paraId="05CD4BB2" w14:textId="4824E916" w:rsidR="00930E09" w:rsidRPr="00692DC9" w:rsidRDefault="00E453CD" w:rsidP="001F79B0">
            <w:pPr>
              <w:rPr>
                <w:del w:id="17464" w:author="AbbVie02no" w:date="2025-05-15T14:22:00Z"/>
                <w:bCs/>
                <w:sz w:val="22"/>
                <w:szCs w:val="22"/>
                <w:rPrChange w:id="17465" w:author="AbbVie05no" w:date="2025-05-19T11:03:00Z">
                  <w:rPr>
                    <w:del w:id="17466" w:author="AbbVie02no" w:date="2025-05-15T14:22:00Z"/>
                    <w:bCs/>
                    <w:sz w:val="22"/>
                    <w:szCs w:val="22"/>
                    <w:lang w:val="en-US"/>
                  </w:rPr>
                </w:rPrChange>
              </w:rPr>
            </w:pPr>
            <w:del w:id="17467" w:author="AbbVie02no" w:date="2025-05-15T14:22:00Z">
              <w:r w:rsidRPr="00692DC9">
                <w:rPr>
                  <w:bCs/>
                  <w:sz w:val="22"/>
                  <w:szCs w:val="22"/>
                  <w:rPrChange w:id="17468" w:author="AbbVie05no" w:date="2025-05-19T11:03:00Z">
                    <w:rPr>
                      <w:bCs/>
                      <w:sz w:val="22"/>
                      <w:szCs w:val="22"/>
                      <w:lang w:val="en-US"/>
                    </w:rPr>
                  </w:rPrChange>
                </w:rPr>
                <w:delText>AbbVie A/S</w:delText>
              </w:r>
            </w:del>
          </w:p>
          <w:p w14:paraId="2FDDA0DD" w14:textId="126B34D6" w:rsidR="00930E09" w:rsidRPr="00BD646C" w:rsidRDefault="00E453CD" w:rsidP="001F79B0">
            <w:pPr>
              <w:rPr>
                <w:del w:id="17469" w:author="AbbVie02no" w:date="2025-05-15T14:22:00Z"/>
                <w:bCs/>
                <w:sz w:val="22"/>
                <w:szCs w:val="22"/>
                <w:lang w:val="sk-SK"/>
              </w:rPr>
            </w:pPr>
            <w:del w:id="17470" w:author="AbbVie02no" w:date="2025-05-15T14:22:00Z">
              <w:r w:rsidRPr="00692DC9">
                <w:rPr>
                  <w:bCs/>
                  <w:sz w:val="22"/>
                  <w:szCs w:val="22"/>
                  <w:rPrChange w:id="17471" w:author="AbbVie05no" w:date="2025-05-19T11:03:00Z">
                    <w:rPr>
                      <w:bCs/>
                      <w:sz w:val="22"/>
                      <w:szCs w:val="22"/>
                      <w:lang w:val="en-US"/>
                    </w:rPr>
                  </w:rPrChange>
                </w:rPr>
                <w:delText>Tlf: +45 72 30-20-28</w:delText>
              </w:r>
            </w:del>
          </w:p>
        </w:tc>
        <w:tc>
          <w:tcPr>
            <w:tcW w:w="4678" w:type="dxa"/>
            <w:gridSpan w:val="2"/>
          </w:tcPr>
          <w:p w14:paraId="647116C6" w14:textId="0A0959C8" w:rsidR="00930E09" w:rsidRPr="00BD646C" w:rsidRDefault="00E453CD" w:rsidP="001F79B0">
            <w:pPr>
              <w:rPr>
                <w:del w:id="17472" w:author="AbbVie02no" w:date="2025-05-15T14:22:00Z"/>
                <w:b/>
                <w:bCs/>
                <w:sz w:val="22"/>
                <w:szCs w:val="22"/>
                <w:lang w:val="mt-MT"/>
              </w:rPr>
            </w:pPr>
            <w:del w:id="17473" w:author="AbbVie02no" w:date="2025-05-15T14:22:00Z">
              <w:r w:rsidRPr="00BD646C">
                <w:rPr>
                  <w:b/>
                  <w:bCs/>
                  <w:sz w:val="22"/>
                  <w:szCs w:val="22"/>
                  <w:lang w:val="mt-MT"/>
                </w:rPr>
                <w:delText>Malta</w:delText>
              </w:r>
            </w:del>
          </w:p>
          <w:p w14:paraId="6183979F" w14:textId="0056CDCF" w:rsidR="00930E09" w:rsidRPr="00BD646C" w:rsidRDefault="00E453CD" w:rsidP="001F79B0">
            <w:pPr>
              <w:rPr>
                <w:del w:id="17474" w:author="AbbVie02no" w:date="2025-05-15T14:22:00Z"/>
                <w:bCs/>
                <w:sz w:val="22"/>
                <w:szCs w:val="22"/>
                <w:lang w:val="sk-SK"/>
              </w:rPr>
            </w:pPr>
            <w:del w:id="17475" w:author="AbbVie02no" w:date="2025-05-15T14:22:00Z">
              <w:r w:rsidRPr="00BD646C">
                <w:rPr>
                  <w:bCs/>
                  <w:sz w:val="22"/>
                  <w:szCs w:val="22"/>
                  <w:lang w:val="sk-SK"/>
                </w:rPr>
                <w:delText xml:space="preserve">V.J.Salomone Pharma Limited </w:delText>
              </w:r>
            </w:del>
          </w:p>
          <w:p w14:paraId="105CABF8" w14:textId="713404CB" w:rsidR="00930E09" w:rsidRPr="00BD646C" w:rsidRDefault="00E453CD" w:rsidP="001F79B0">
            <w:pPr>
              <w:rPr>
                <w:del w:id="17476" w:author="AbbVie02no" w:date="2025-05-15T14:22:00Z"/>
                <w:bCs/>
                <w:sz w:val="22"/>
                <w:szCs w:val="22"/>
                <w:lang w:val="sk-SK"/>
              </w:rPr>
            </w:pPr>
            <w:del w:id="17477" w:author="AbbVie02no" w:date="2025-05-15T14:22:00Z">
              <w:r w:rsidRPr="00BD646C">
                <w:rPr>
                  <w:bCs/>
                  <w:sz w:val="22"/>
                  <w:szCs w:val="22"/>
                  <w:lang w:val="sk-SK"/>
                </w:rPr>
                <w:delText xml:space="preserve">Tel: </w:delText>
              </w:r>
              <w:r w:rsidR="00BB66E5" w:rsidRPr="00692DC9">
                <w:rPr>
                  <w:bCs/>
                  <w:sz w:val="22"/>
                  <w:szCs w:val="22"/>
                  <w:rPrChange w:id="17478" w:author="AbbVie05no" w:date="2025-05-19T11:03:00Z">
                    <w:rPr>
                      <w:bCs/>
                      <w:sz w:val="22"/>
                      <w:szCs w:val="22"/>
                      <w:lang w:val="en-GB"/>
                    </w:rPr>
                  </w:rPrChange>
                </w:rPr>
                <w:delText>+356 21220174</w:delText>
              </w:r>
            </w:del>
          </w:p>
          <w:p w14:paraId="4E3E1093" w14:textId="73A8D767" w:rsidR="00930E09" w:rsidRPr="00BD646C" w:rsidRDefault="00930E09" w:rsidP="001F79B0">
            <w:pPr>
              <w:rPr>
                <w:del w:id="17479" w:author="AbbVie02no" w:date="2025-05-15T14:22:00Z"/>
                <w:bCs/>
                <w:sz w:val="22"/>
                <w:szCs w:val="22"/>
                <w:lang w:val="sk-SK"/>
              </w:rPr>
            </w:pPr>
          </w:p>
        </w:tc>
      </w:tr>
      <w:tr w:rsidR="004644D4" w14:paraId="020C4D5D" w14:textId="2634ED31" w:rsidTr="001F79B0">
        <w:trPr>
          <w:del w:id="17480" w:author="AbbVie02no" w:date="2025-05-15T14:22:00Z"/>
        </w:trPr>
        <w:tc>
          <w:tcPr>
            <w:tcW w:w="4644" w:type="dxa"/>
            <w:gridSpan w:val="2"/>
          </w:tcPr>
          <w:p w14:paraId="56561650" w14:textId="770605FD" w:rsidR="00930E09" w:rsidRPr="00BD646C" w:rsidRDefault="00E453CD" w:rsidP="001F79B0">
            <w:pPr>
              <w:rPr>
                <w:del w:id="17481" w:author="AbbVie02no" w:date="2025-05-15T14:22:00Z"/>
                <w:b/>
                <w:bCs/>
                <w:sz w:val="22"/>
                <w:szCs w:val="22"/>
                <w:lang w:val="de-DE"/>
              </w:rPr>
            </w:pPr>
            <w:del w:id="17482" w:author="AbbVie02no" w:date="2025-05-15T14:22:00Z">
              <w:r w:rsidRPr="00BD646C">
                <w:rPr>
                  <w:b/>
                  <w:bCs/>
                  <w:sz w:val="22"/>
                  <w:szCs w:val="22"/>
                  <w:lang w:val="de-DE"/>
                </w:rPr>
                <w:delText>Deutschland</w:delText>
              </w:r>
            </w:del>
          </w:p>
          <w:p w14:paraId="3FA2E097" w14:textId="2A51BF84" w:rsidR="00930E09" w:rsidRPr="00BD646C" w:rsidRDefault="00E453CD" w:rsidP="001F79B0">
            <w:pPr>
              <w:rPr>
                <w:del w:id="17483" w:author="AbbVie02no" w:date="2025-05-15T14:22:00Z"/>
                <w:bCs/>
                <w:sz w:val="22"/>
                <w:szCs w:val="22"/>
                <w:lang w:val="de-DE"/>
              </w:rPr>
            </w:pPr>
            <w:del w:id="17484" w:author="AbbVie02no" w:date="2025-05-15T14:22:00Z">
              <w:r w:rsidRPr="00BD646C">
                <w:rPr>
                  <w:sz w:val="22"/>
                  <w:szCs w:val="22"/>
                  <w:lang w:val="de-DE"/>
                </w:rPr>
                <w:delText xml:space="preserve">AbbVie Deutschland </w:delText>
              </w:r>
              <w:r w:rsidRPr="00BD646C">
                <w:rPr>
                  <w:bCs/>
                  <w:sz w:val="22"/>
                  <w:szCs w:val="22"/>
                  <w:lang w:val="de-DE"/>
                </w:rPr>
                <w:delText>GmbH &amp; Co. KG</w:delText>
              </w:r>
            </w:del>
          </w:p>
          <w:p w14:paraId="668EDF6A" w14:textId="0F695239" w:rsidR="00930E09" w:rsidRPr="00BD646C" w:rsidRDefault="00E453CD" w:rsidP="001F79B0">
            <w:pPr>
              <w:rPr>
                <w:del w:id="17485" w:author="AbbVie02no" w:date="2025-05-15T14:22:00Z"/>
                <w:sz w:val="22"/>
                <w:szCs w:val="22"/>
                <w:lang w:val="de-DE"/>
              </w:rPr>
            </w:pPr>
            <w:del w:id="17486" w:author="AbbVie02no" w:date="2025-05-15T14:22:00Z">
              <w:r w:rsidRPr="00BD646C">
                <w:rPr>
                  <w:sz w:val="22"/>
                  <w:szCs w:val="22"/>
                  <w:lang w:val="de-DE"/>
                </w:rPr>
                <w:delText>Tel: 00800 222843 33 (gebührenfrei)</w:delText>
              </w:r>
            </w:del>
          </w:p>
          <w:p w14:paraId="121DC831" w14:textId="25F239F1" w:rsidR="00930E09" w:rsidRPr="00BD646C" w:rsidRDefault="00E453CD" w:rsidP="001F79B0">
            <w:pPr>
              <w:rPr>
                <w:del w:id="17487" w:author="AbbVie02no" w:date="2025-05-15T14:22:00Z"/>
                <w:sz w:val="22"/>
                <w:szCs w:val="22"/>
                <w:lang w:val="de-DE"/>
              </w:rPr>
            </w:pPr>
            <w:del w:id="17488" w:author="AbbVie02no" w:date="2025-05-15T14:22:00Z">
              <w:r w:rsidRPr="00BD646C">
                <w:rPr>
                  <w:sz w:val="22"/>
                  <w:szCs w:val="22"/>
                  <w:lang w:val="de-DE"/>
                </w:rPr>
                <w:delText>Tel: +49 (0) 611 / 1720-0</w:delText>
              </w:r>
            </w:del>
          </w:p>
          <w:p w14:paraId="1B95BBBF" w14:textId="58A59696" w:rsidR="00930E09" w:rsidRPr="00BD646C" w:rsidRDefault="00930E09" w:rsidP="001F79B0">
            <w:pPr>
              <w:rPr>
                <w:del w:id="17489" w:author="AbbVie02no" w:date="2025-05-15T14:22:00Z"/>
                <w:sz w:val="22"/>
                <w:szCs w:val="22"/>
                <w:lang w:val="de-DE"/>
              </w:rPr>
            </w:pPr>
          </w:p>
        </w:tc>
        <w:tc>
          <w:tcPr>
            <w:tcW w:w="4678" w:type="dxa"/>
            <w:gridSpan w:val="2"/>
          </w:tcPr>
          <w:p w14:paraId="5A504DDA" w14:textId="78C05D34" w:rsidR="00930E09" w:rsidRPr="00BD646C" w:rsidRDefault="00E453CD" w:rsidP="001F79B0">
            <w:pPr>
              <w:rPr>
                <w:del w:id="17490" w:author="AbbVie02no" w:date="2025-05-15T14:22:00Z"/>
                <w:b/>
                <w:bCs/>
                <w:sz w:val="22"/>
                <w:szCs w:val="22"/>
                <w:lang w:val="nl-NL"/>
              </w:rPr>
            </w:pPr>
            <w:del w:id="17491" w:author="AbbVie02no" w:date="2025-05-15T14:22:00Z">
              <w:r w:rsidRPr="00BD646C">
                <w:rPr>
                  <w:b/>
                  <w:bCs/>
                  <w:sz w:val="22"/>
                  <w:szCs w:val="22"/>
                  <w:lang w:val="nl-NL"/>
                </w:rPr>
                <w:delText>Nederland</w:delText>
              </w:r>
            </w:del>
          </w:p>
          <w:p w14:paraId="55C77844" w14:textId="3D9D7809" w:rsidR="00930E09" w:rsidRPr="00BD646C" w:rsidRDefault="00E453CD" w:rsidP="001F79B0">
            <w:pPr>
              <w:rPr>
                <w:del w:id="17492" w:author="AbbVie02no" w:date="2025-05-15T14:22:00Z"/>
                <w:bCs/>
                <w:sz w:val="22"/>
                <w:szCs w:val="22"/>
                <w:lang w:val="de-DE"/>
              </w:rPr>
            </w:pPr>
            <w:del w:id="17493" w:author="AbbVie02no" w:date="2025-05-15T14:22:00Z">
              <w:r w:rsidRPr="00BD646C">
                <w:rPr>
                  <w:bCs/>
                  <w:sz w:val="22"/>
                  <w:szCs w:val="22"/>
                  <w:lang w:val="de-DE"/>
                </w:rPr>
                <w:delText>AbbVie B.V.</w:delText>
              </w:r>
            </w:del>
          </w:p>
          <w:p w14:paraId="605D9AE6" w14:textId="35B61AF5" w:rsidR="00930E09" w:rsidRPr="00BD646C" w:rsidRDefault="00E453CD" w:rsidP="001F79B0">
            <w:pPr>
              <w:rPr>
                <w:del w:id="17494" w:author="AbbVie02no" w:date="2025-05-15T14:22:00Z"/>
                <w:bCs/>
                <w:sz w:val="22"/>
                <w:szCs w:val="22"/>
                <w:lang w:val="de-DE"/>
              </w:rPr>
            </w:pPr>
            <w:del w:id="17495" w:author="AbbVie02no" w:date="2025-05-15T14:22:00Z">
              <w:r w:rsidRPr="00BD646C">
                <w:rPr>
                  <w:bCs/>
                  <w:sz w:val="22"/>
                  <w:szCs w:val="22"/>
                  <w:lang w:val="de-DE"/>
                </w:rPr>
                <w:delText>Tel: +31 (0)88 322 2843</w:delText>
              </w:r>
            </w:del>
          </w:p>
        </w:tc>
      </w:tr>
      <w:tr w:rsidR="004644D4" w14:paraId="37ED4E89" w14:textId="34F3EAAF" w:rsidTr="001F79B0">
        <w:trPr>
          <w:del w:id="17496" w:author="AbbVie02no" w:date="2025-05-15T14:22:00Z"/>
        </w:trPr>
        <w:tc>
          <w:tcPr>
            <w:tcW w:w="4644" w:type="dxa"/>
            <w:gridSpan w:val="2"/>
          </w:tcPr>
          <w:p w14:paraId="2D009A2A" w14:textId="5237B611" w:rsidR="00930E09" w:rsidRPr="00BD646C" w:rsidRDefault="00E453CD" w:rsidP="001F79B0">
            <w:pPr>
              <w:rPr>
                <w:del w:id="17497" w:author="AbbVie02no" w:date="2025-05-15T14:22:00Z"/>
                <w:b/>
                <w:bCs/>
                <w:sz w:val="22"/>
                <w:szCs w:val="22"/>
                <w:lang w:val="et-EE"/>
              </w:rPr>
            </w:pPr>
            <w:del w:id="17498" w:author="AbbVie02no" w:date="2025-05-15T14:22:00Z">
              <w:r w:rsidRPr="00BD646C">
                <w:rPr>
                  <w:b/>
                  <w:bCs/>
                  <w:sz w:val="22"/>
                  <w:szCs w:val="22"/>
                  <w:lang w:val="et-EE"/>
                </w:rPr>
                <w:delText>Eesti</w:delText>
              </w:r>
            </w:del>
          </w:p>
          <w:p w14:paraId="0B270BA4" w14:textId="211AE2B4" w:rsidR="00930E09" w:rsidRPr="00BD646C" w:rsidRDefault="00E453CD" w:rsidP="001F79B0">
            <w:pPr>
              <w:rPr>
                <w:del w:id="17499" w:author="AbbVie02no" w:date="2025-05-15T14:22:00Z"/>
                <w:bCs/>
                <w:sz w:val="22"/>
                <w:szCs w:val="22"/>
                <w:lang w:val="et-EE"/>
              </w:rPr>
            </w:pPr>
            <w:del w:id="17500" w:author="AbbVie02no" w:date="2025-05-15T14:22:00Z">
              <w:r w:rsidRPr="00BD646C">
                <w:rPr>
                  <w:bCs/>
                  <w:sz w:val="22"/>
                  <w:szCs w:val="22"/>
                  <w:lang w:val="et-EE"/>
                </w:rPr>
                <w:delText xml:space="preserve">AbbVie </w:delText>
              </w:r>
              <w:r w:rsidRPr="00BD646C">
                <w:rPr>
                  <w:bCs/>
                  <w:sz w:val="22"/>
                  <w:szCs w:val="22"/>
                  <w:lang w:val="sk-SK"/>
                </w:rPr>
                <w:delText>OÜ</w:delText>
              </w:r>
              <w:r w:rsidRPr="00BD646C">
                <w:rPr>
                  <w:bCs/>
                  <w:sz w:val="22"/>
                  <w:szCs w:val="22"/>
                  <w:lang w:val="et-EE"/>
                </w:rPr>
                <w:delText xml:space="preserve"> </w:delText>
              </w:r>
            </w:del>
          </w:p>
          <w:p w14:paraId="73F6368A" w14:textId="540062B2" w:rsidR="00930E09" w:rsidRPr="00BD646C" w:rsidRDefault="00E453CD" w:rsidP="001F79B0">
            <w:pPr>
              <w:rPr>
                <w:del w:id="17501" w:author="AbbVie02no" w:date="2025-05-15T14:22:00Z"/>
                <w:bCs/>
                <w:sz w:val="22"/>
                <w:szCs w:val="22"/>
                <w:lang w:val="lv-LV"/>
              </w:rPr>
            </w:pPr>
            <w:del w:id="17502" w:author="AbbVie02no" w:date="2025-05-15T14:22:00Z">
              <w:r w:rsidRPr="00BD646C">
                <w:rPr>
                  <w:bCs/>
                  <w:sz w:val="22"/>
                  <w:szCs w:val="22"/>
                  <w:lang w:val="et-EE"/>
                </w:rPr>
                <w:delText>Tel: +372 623 1011</w:delText>
              </w:r>
            </w:del>
          </w:p>
        </w:tc>
        <w:tc>
          <w:tcPr>
            <w:tcW w:w="4678" w:type="dxa"/>
            <w:gridSpan w:val="2"/>
          </w:tcPr>
          <w:p w14:paraId="47975387" w14:textId="315D02A8" w:rsidR="00930E09" w:rsidRPr="00BD646C" w:rsidRDefault="00E453CD" w:rsidP="001F79B0">
            <w:pPr>
              <w:rPr>
                <w:del w:id="17503" w:author="AbbVie02no" w:date="2025-05-15T14:22:00Z"/>
                <w:b/>
                <w:bCs/>
                <w:sz w:val="22"/>
                <w:szCs w:val="22"/>
              </w:rPr>
            </w:pPr>
            <w:del w:id="17504" w:author="AbbVie02no" w:date="2025-05-15T14:22:00Z">
              <w:r w:rsidRPr="00BD646C">
                <w:rPr>
                  <w:b/>
                  <w:bCs/>
                  <w:sz w:val="22"/>
                  <w:szCs w:val="22"/>
                </w:rPr>
                <w:delText>Norge</w:delText>
              </w:r>
            </w:del>
          </w:p>
          <w:p w14:paraId="136C4494" w14:textId="060A0C35" w:rsidR="00930E09" w:rsidRPr="00BD646C" w:rsidRDefault="00E453CD" w:rsidP="001F79B0">
            <w:pPr>
              <w:rPr>
                <w:del w:id="17505" w:author="AbbVie02no" w:date="2025-05-15T14:22:00Z"/>
                <w:bCs/>
                <w:sz w:val="22"/>
                <w:szCs w:val="22"/>
                <w:lang w:val="sk-SK"/>
              </w:rPr>
            </w:pPr>
            <w:del w:id="17506" w:author="AbbVie02no" w:date="2025-05-15T14:22:00Z">
              <w:r w:rsidRPr="00BD646C">
                <w:rPr>
                  <w:bCs/>
                  <w:sz w:val="22"/>
                  <w:szCs w:val="22"/>
                  <w:lang w:val="sk-SK"/>
                </w:rPr>
                <w:delText>AbbVie AS</w:delText>
              </w:r>
            </w:del>
          </w:p>
          <w:p w14:paraId="3B8F8FC6" w14:textId="1E0D9FA0" w:rsidR="00930E09" w:rsidRPr="00BD646C" w:rsidRDefault="00E453CD" w:rsidP="001F79B0">
            <w:pPr>
              <w:rPr>
                <w:del w:id="17507" w:author="AbbVie02no" w:date="2025-05-15T14:22:00Z"/>
                <w:bCs/>
                <w:sz w:val="22"/>
                <w:szCs w:val="22"/>
                <w:lang w:val="sk-SK"/>
              </w:rPr>
            </w:pPr>
            <w:del w:id="17508" w:author="AbbVie02no" w:date="2025-05-15T14:22:00Z">
              <w:r w:rsidRPr="00BD646C">
                <w:rPr>
                  <w:bCs/>
                  <w:sz w:val="22"/>
                  <w:szCs w:val="22"/>
                  <w:lang w:val="sk-SK"/>
                </w:rPr>
                <w:delText>Tlf: +47 67 81 80 00</w:delText>
              </w:r>
            </w:del>
          </w:p>
          <w:p w14:paraId="0D8B66A4" w14:textId="0BB1897B" w:rsidR="00930E09" w:rsidRPr="00BD646C" w:rsidRDefault="00930E09" w:rsidP="001F79B0">
            <w:pPr>
              <w:rPr>
                <w:del w:id="17509" w:author="AbbVie02no" w:date="2025-05-15T14:22:00Z"/>
                <w:bCs/>
                <w:sz w:val="22"/>
                <w:szCs w:val="22"/>
                <w:lang w:val="sk-SK"/>
              </w:rPr>
            </w:pPr>
          </w:p>
        </w:tc>
      </w:tr>
      <w:tr w:rsidR="004644D4" w14:paraId="44A363DC" w14:textId="102A7078" w:rsidTr="001F79B0">
        <w:trPr>
          <w:trHeight w:val="794"/>
          <w:del w:id="17510" w:author="AbbVie02no" w:date="2025-05-15T14:22:00Z"/>
        </w:trPr>
        <w:tc>
          <w:tcPr>
            <w:tcW w:w="4644" w:type="dxa"/>
            <w:gridSpan w:val="2"/>
          </w:tcPr>
          <w:p w14:paraId="25EAB703" w14:textId="7E82C1EC" w:rsidR="00930E09" w:rsidRPr="00BD646C" w:rsidRDefault="00E453CD" w:rsidP="001F79B0">
            <w:pPr>
              <w:rPr>
                <w:del w:id="17511" w:author="AbbVie02no" w:date="2025-05-15T14:22:00Z"/>
                <w:b/>
                <w:bCs/>
                <w:sz w:val="22"/>
                <w:szCs w:val="22"/>
                <w:lang w:val="el-GR"/>
              </w:rPr>
            </w:pPr>
            <w:del w:id="17512" w:author="AbbVie02no" w:date="2025-05-15T14:22:00Z">
              <w:r w:rsidRPr="00BD646C">
                <w:rPr>
                  <w:b/>
                  <w:bCs/>
                  <w:sz w:val="22"/>
                  <w:szCs w:val="22"/>
                  <w:lang w:val="el-GR"/>
                </w:rPr>
                <w:delText>Ελλάδα</w:delText>
              </w:r>
            </w:del>
          </w:p>
          <w:p w14:paraId="387BAE61" w14:textId="52923A82" w:rsidR="00930E09" w:rsidRPr="00BD646C" w:rsidRDefault="00E453CD" w:rsidP="001F79B0">
            <w:pPr>
              <w:rPr>
                <w:del w:id="17513" w:author="AbbVie02no" w:date="2025-05-15T14:22:00Z"/>
                <w:bCs/>
                <w:sz w:val="22"/>
                <w:szCs w:val="22"/>
                <w:lang w:val="el-GR"/>
              </w:rPr>
            </w:pPr>
            <w:del w:id="17514" w:author="AbbVie02no" w:date="2025-05-15T14:22:00Z">
              <w:r w:rsidRPr="00BD646C">
                <w:rPr>
                  <w:bCs/>
                  <w:sz w:val="22"/>
                  <w:szCs w:val="22"/>
                  <w:lang w:val="et-EE"/>
                </w:rPr>
                <w:delText xml:space="preserve">AbbVie </w:delText>
              </w:r>
              <w:r w:rsidRPr="00BD646C">
                <w:rPr>
                  <w:sz w:val="22"/>
                  <w:szCs w:val="22"/>
                  <w:lang w:val="el-GR"/>
                </w:rPr>
                <w:delText>ΦΑΡΜΑΚΕΥΤΙΚΗ Α.Ε.</w:delText>
              </w:r>
            </w:del>
          </w:p>
          <w:p w14:paraId="7BDD933B" w14:textId="5DB61547" w:rsidR="00930E09" w:rsidRPr="00BD646C" w:rsidRDefault="00E453CD" w:rsidP="001F79B0">
            <w:pPr>
              <w:rPr>
                <w:del w:id="17515" w:author="AbbVie02no" w:date="2025-05-15T14:22:00Z"/>
                <w:bCs/>
                <w:sz w:val="22"/>
                <w:szCs w:val="22"/>
                <w:lang w:val="sk-SK"/>
              </w:rPr>
            </w:pPr>
            <w:del w:id="17516" w:author="AbbVie02no" w:date="2025-05-15T14:22:00Z">
              <w:r w:rsidRPr="00BD646C">
                <w:rPr>
                  <w:bCs/>
                  <w:sz w:val="22"/>
                  <w:szCs w:val="22"/>
                  <w:lang w:val="el-GR"/>
                </w:rPr>
                <w:delText xml:space="preserve">Τηλ: +30 </w:delText>
              </w:r>
              <w:r w:rsidRPr="00BD646C">
                <w:rPr>
                  <w:bCs/>
                  <w:sz w:val="22"/>
                  <w:szCs w:val="22"/>
                  <w:lang w:val="sk-SK"/>
                </w:rPr>
                <w:delText>214 4165 555</w:delText>
              </w:r>
            </w:del>
          </w:p>
        </w:tc>
        <w:tc>
          <w:tcPr>
            <w:tcW w:w="4678" w:type="dxa"/>
            <w:gridSpan w:val="2"/>
          </w:tcPr>
          <w:p w14:paraId="7E663005" w14:textId="1E596001" w:rsidR="00930E09" w:rsidRPr="00BD646C" w:rsidRDefault="00E453CD" w:rsidP="001F79B0">
            <w:pPr>
              <w:rPr>
                <w:del w:id="17517" w:author="AbbVie02no" w:date="2025-05-15T14:22:00Z"/>
                <w:b/>
                <w:bCs/>
                <w:sz w:val="22"/>
                <w:szCs w:val="22"/>
                <w:lang w:val="de-DE"/>
              </w:rPr>
            </w:pPr>
            <w:del w:id="17518" w:author="AbbVie02no" w:date="2025-05-15T14:22:00Z">
              <w:r w:rsidRPr="00BD646C">
                <w:rPr>
                  <w:b/>
                  <w:bCs/>
                  <w:sz w:val="22"/>
                  <w:szCs w:val="22"/>
                  <w:lang w:val="de-DE"/>
                </w:rPr>
                <w:delText>Österreich</w:delText>
              </w:r>
            </w:del>
          </w:p>
          <w:p w14:paraId="314D3E1B" w14:textId="4AC3549E" w:rsidR="00930E09" w:rsidRPr="00BD646C" w:rsidRDefault="00E453CD" w:rsidP="001F79B0">
            <w:pPr>
              <w:rPr>
                <w:del w:id="17519" w:author="AbbVie02no" w:date="2025-05-15T14:22:00Z"/>
                <w:bCs/>
                <w:sz w:val="22"/>
                <w:szCs w:val="22"/>
                <w:lang w:val="de-DE"/>
              </w:rPr>
            </w:pPr>
            <w:del w:id="17520" w:author="AbbVie02no" w:date="2025-05-15T14:22:00Z">
              <w:r w:rsidRPr="00BD646C">
                <w:rPr>
                  <w:bCs/>
                  <w:sz w:val="22"/>
                  <w:szCs w:val="22"/>
                  <w:lang w:val="de-DE"/>
                </w:rPr>
                <w:delText xml:space="preserve">AbbVie GmbH </w:delText>
              </w:r>
            </w:del>
          </w:p>
          <w:p w14:paraId="7B54693F" w14:textId="1BE7CA85" w:rsidR="00930E09" w:rsidRPr="00BD646C" w:rsidRDefault="00E453CD" w:rsidP="001F79B0">
            <w:pPr>
              <w:rPr>
                <w:del w:id="17521" w:author="AbbVie02no" w:date="2025-05-15T14:22:00Z"/>
                <w:bCs/>
                <w:sz w:val="22"/>
                <w:szCs w:val="22"/>
                <w:lang w:val="de-DE"/>
              </w:rPr>
            </w:pPr>
            <w:del w:id="17522" w:author="AbbVie02no" w:date="2025-05-15T14:22:00Z">
              <w:r w:rsidRPr="00BD646C">
                <w:rPr>
                  <w:bCs/>
                  <w:sz w:val="22"/>
                  <w:szCs w:val="22"/>
                  <w:lang w:val="de-DE"/>
                </w:rPr>
                <w:delText>Tel: +43 1 20589-0</w:delText>
              </w:r>
            </w:del>
          </w:p>
          <w:p w14:paraId="7056951D" w14:textId="265118A0" w:rsidR="00930E09" w:rsidRPr="00BD646C" w:rsidRDefault="00930E09" w:rsidP="001F79B0">
            <w:pPr>
              <w:rPr>
                <w:del w:id="17523" w:author="AbbVie02no" w:date="2025-05-15T14:22:00Z"/>
                <w:bCs/>
                <w:sz w:val="22"/>
                <w:szCs w:val="22"/>
                <w:lang w:val="de-DE"/>
              </w:rPr>
            </w:pPr>
          </w:p>
        </w:tc>
      </w:tr>
      <w:tr w:rsidR="004644D4" w14:paraId="3E605C52" w14:textId="100D375C" w:rsidTr="001F79B0">
        <w:trPr>
          <w:gridBefore w:val="1"/>
          <w:wBefore w:w="34" w:type="dxa"/>
          <w:del w:id="17524" w:author="AbbVie02no" w:date="2025-05-15T14:22:00Z"/>
        </w:trPr>
        <w:tc>
          <w:tcPr>
            <w:tcW w:w="4644" w:type="dxa"/>
            <w:gridSpan w:val="2"/>
          </w:tcPr>
          <w:p w14:paraId="4B3ABF2B" w14:textId="19E8FEF0" w:rsidR="00930E09" w:rsidRPr="00BD646C" w:rsidRDefault="00E453CD" w:rsidP="001F79B0">
            <w:pPr>
              <w:rPr>
                <w:del w:id="17525" w:author="AbbVie02no" w:date="2025-05-15T14:22:00Z"/>
                <w:b/>
                <w:bCs/>
                <w:sz w:val="22"/>
                <w:szCs w:val="22"/>
                <w:lang w:val="es-ES"/>
              </w:rPr>
            </w:pPr>
            <w:del w:id="17526" w:author="AbbVie02no" w:date="2025-05-15T14:22:00Z">
              <w:r w:rsidRPr="00BD646C">
                <w:rPr>
                  <w:b/>
                  <w:bCs/>
                  <w:sz w:val="22"/>
                  <w:szCs w:val="22"/>
                  <w:lang w:val="es-ES"/>
                </w:rPr>
                <w:delText>España</w:delText>
              </w:r>
            </w:del>
          </w:p>
          <w:p w14:paraId="27C4C311" w14:textId="3DA5FAE4" w:rsidR="00930E09" w:rsidRPr="00BD646C" w:rsidRDefault="00E453CD" w:rsidP="001F79B0">
            <w:pPr>
              <w:rPr>
                <w:del w:id="17527" w:author="AbbVie02no" w:date="2025-05-15T14:22:00Z"/>
                <w:sz w:val="22"/>
                <w:szCs w:val="22"/>
                <w:lang w:val="es-ES"/>
              </w:rPr>
            </w:pPr>
            <w:del w:id="17528" w:author="AbbVie02no" w:date="2025-05-15T14:22:00Z">
              <w:r w:rsidRPr="00BD646C">
                <w:rPr>
                  <w:sz w:val="22"/>
                  <w:szCs w:val="22"/>
                  <w:lang w:val="es-ES"/>
                </w:rPr>
                <w:delText xml:space="preserve">AbbVie </w:delText>
              </w:r>
              <w:r w:rsidRPr="00BD646C">
                <w:rPr>
                  <w:bCs/>
                  <w:sz w:val="22"/>
                  <w:szCs w:val="22"/>
                  <w:lang w:val="es-ES"/>
                </w:rPr>
                <w:delText>Spain</w:delText>
              </w:r>
              <w:r w:rsidRPr="00BD646C">
                <w:rPr>
                  <w:sz w:val="22"/>
                  <w:szCs w:val="22"/>
                  <w:lang w:val="es-ES"/>
                </w:rPr>
                <w:delText>, S.L.U</w:delText>
              </w:r>
              <w:r w:rsidRPr="00BD646C">
                <w:rPr>
                  <w:bCs/>
                  <w:sz w:val="22"/>
                  <w:szCs w:val="22"/>
                  <w:lang w:val="es-ES"/>
                </w:rPr>
                <w:delText>.</w:delText>
              </w:r>
            </w:del>
          </w:p>
          <w:p w14:paraId="427C32F9" w14:textId="69C231CE" w:rsidR="00930E09" w:rsidRPr="00BD646C" w:rsidRDefault="00E453CD" w:rsidP="001F79B0">
            <w:pPr>
              <w:rPr>
                <w:del w:id="17529" w:author="AbbVie02no" w:date="2025-05-15T14:22:00Z"/>
                <w:bCs/>
                <w:sz w:val="22"/>
                <w:szCs w:val="22"/>
                <w:lang w:val="pl-PL"/>
              </w:rPr>
            </w:pPr>
            <w:del w:id="17530" w:author="AbbVie02no" w:date="2025-05-15T14:22:00Z">
              <w:r w:rsidRPr="00BD646C">
                <w:rPr>
                  <w:bCs/>
                  <w:sz w:val="22"/>
                  <w:szCs w:val="22"/>
                  <w:lang w:val="pt-PT"/>
                </w:rPr>
                <w:delText>Tel: +34 91 384 09 10</w:delText>
              </w:r>
            </w:del>
          </w:p>
        </w:tc>
        <w:tc>
          <w:tcPr>
            <w:tcW w:w="4678" w:type="dxa"/>
          </w:tcPr>
          <w:p w14:paraId="31BC6575" w14:textId="6F5F9F9C" w:rsidR="00930E09" w:rsidRPr="00BD646C" w:rsidRDefault="00E453CD" w:rsidP="001F79B0">
            <w:pPr>
              <w:rPr>
                <w:del w:id="17531" w:author="AbbVie02no" w:date="2025-05-15T14:22:00Z"/>
                <w:b/>
                <w:bCs/>
                <w:iCs/>
                <w:sz w:val="22"/>
                <w:szCs w:val="22"/>
                <w:lang w:val="pl-PL"/>
              </w:rPr>
            </w:pPr>
            <w:del w:id="17532" w:author="AbbVie02no" w:date="2025-05-15T14:22:00Z">
              <w:r w:rsidRPr="00BD646C">
                <w:rPr>
                  <w:b/>
                  <w:bCs/>
                  <w:iCs/>
                  <w:sz w:val="22"/>
                  <w:szCs w:val="22"/>
                  <w:lang w:val="pl-PL"/>
                </w:rPr>
                <w:delText>Polska</w:delText>
              </w:r>
            </w:del>
          </w:p>
          <w:p w14:paraId="238CFBAB" w14:textId="07D188EC" w:rsidR="00930E09" w:rsidRPr="00BD646C" w:rsidRDefault="00E453CD" w:rsidP="001F79B0">
            <w:pPr>
              <w:rPr>
                <w:del w:id="17533" w:author="AbbVie02no" w:date="2025-05-15T14:22:00Z"/>
                <w:bCs/>
                <w:sz w:val="22"/>
                <w:szCs w:val="22"/>
                <w:lang w:val="pl-PL"/>
              </w:rPr>
            </w:pPr>
            <w:del w:id="17534" w:author="AbbVie02no" w:date="2025-05-15T14:22:00Z">
              <w:r w:rsidRPr="00BD646C">
                <w:rPr>
                  <w:bCs/>
                  <w:sz w:val="22"/>
                  <w:szCs w:val="22"/>
                  <w:lang w:val="pl-PL"/>
                </w:rPr>
                <w:delText>AbbVie Sp. z o.o.</w:delText>
              </w:r>
            </w:del>
          </w:p>
          <w:p w14:paraId="729F9181" w14:textId="640AF923" w:rsidR="00930E09" w:rsidRPr="00BD646C" w:rsidRDefault="00E453CD" w:rsidP="001F79B0">
            <w:pPr>
              <w:rPr>
                <w:del w:id="17535" w:author="AbbVie02no" w:date="2025-05-15T14:22:00Z"/>
                <w:bCs/>
                <w:sz w:val="22"/>
                <w:szCs w:val="22"/>
                <w:lang w:val="pl-PL"/>
              </w:rPr>
            </w:pPr>
            <w:del w:id="17536" w:author="AbbVie02no" w:date="2025-05-15T14:22:00Z">
              <w:r w:rsidRPr="00BD646C">
                <w:rPr>
                  <w:sz w:val="22"/>
                  <w:szCs w:val="22"/>
                  <w:lang w:val="es-ES"/>
                </w:rPr>
                <w:delText xml:space="preserve">Tel.: +48 22 </w:delText>
              </w:r>
              <w:r w:rsidRPr="00BD646C">
                <w:rPr>
                  <w:bCs/>
                  <w:sz w:val="22"/>
                  <w:szCs w:val="22"/>
                  <w:lang w:val="pl-PL"/>
                </w:rPr>
                <w:delText xml:space="preserve">372 78 00 </w:delText>
              </w:r>
            </w:del>
          </w:p>
          <w:p w14:paraId="6E9DFF84" w14:textId="14049D24" w:rsidR="00930E09" w:rsidRPr="00BD646C" w:rsidRDefault="00930E09" w:rsidP="001F79B0">
            <w:pPr>
              <w:rPr>
                <w:del w:id="17537" w:author="AbbVie02no" w:date="2025-05-15T14:22:00Z"/>
                <w:bCs/>
                <w:sz w:val="22"/>
                <w:szCs w:val="22"/>
                <w:lang w:val="pl-PL"/>
              </w:rPr>
            </w:pPr>
          </w:p>
        </w:tc>
      </w:tr>
      <w:tr w:rsidR="004644D4" w14:paraId="076C4ADF" w14:textId="599461A1" w:rsidTr="001F79B0">
        <w:trPr>
          <w:trHeight w:val="734"/>
          <w:del w:id="17538" w:author="AbbVie02no" w:date="2025-05-15T14:22:00Z"/>
        </w:trPr>
        <w:tc>
          <w:tcPr>
            <w:tcW w:w="4678" w:type="dxa"/>
            <w:gridSpan w:val="3"/>
          </w:tcPr>
          <w:p w14:paraId="11C288E3" w14:textId="4AE6198C" w:rsidR="00930E09" w:rsidRPr="00BD646C" w:rsidRDefault="00E453CD" w:rsidP="001F79B0">
            <w:pPr>
              <w:rPr>
                <w:del w:id="17539" w:author="AbbVie02no" w:date="2025-05-15T14:22:00Z"/>
                <w:b/>
                <w:bCs/>
                <w:sz w:val="22"/>
                <w:szCs w:val="22"/>
                <w:lang w:val="fr-FR"/>
              </w:rPr>
            </w:pPr>
            <w:del w:id="17540" w:author="AbbVie02no" w:date="2025-05-15T14:22:00Z">
              <w:r w:rsidRPr="00BD646C">
                <w:rPr>
                  <w:b/>
                  <w:bCs/>
                  <w:sz w:val="22"/>
                  <w:szCs w:val="22"/>
                  <w:lang w:val="fr-FR"/>
                </w:rPr>
                <w:delText>France</w:delText>
              </w:r>
            </w:del>
          </w:p>
          <w:p w14:paraId="6F0A30CC" w14:textId="5521A601" w:rsidR="00930E09" w:rsidRPr="00BD646C" w:rsidRDefault="00E453CD" w:rsidP="001F79B0">
            <w:pPr>
              <w:rPr>
                <w:del w:id="17541" w:author="AbbVie02no" w:date="2025-05-15T14:22:00Z"/>
                <w:bCs/>
                <w:sz w:val="22"/>
                <w:szCs w:val="22"/>
                <w:lang w:val="fr-FR"/>
              </w:rPr>
            </w:pPr>
            <w:del w:id="17542" w:author="AbbVie02no" w:date="2025-05-15T14:22:00Z">
              <w:r w:rsidRPr="00BD646C">
                <w:rPr>
                  <w:bCs/>
                  <w:sz w:val="22"/>
                  <w:szCs w:val="22"/>
                  <w:lang w:val="fr-FR"/>
                </w:rPr>
                <w:delText>AbbVie</w:delText>
              </w:r>
            </w:del>
          </w:p>
          <w:p w14:paraId="74FEF51F" w14:textId="67C0DBCD" w:rsidR="00930E09" w:rsidRPr="00BD646C" w:rsidRDefault="00E453CD" w:rsidP="001F79B0">
            <w:pPr>
              <w:rPr>
                <w:del w:id="17543" w:author="AbbVie02no" w:date="2025-05-15T14:22:00Z"/>
                <w:bCs/>
                <w:sz w:val="22"/>
                <w:szCs w:val="22"/>
                <w:lang w:val="fr-FR"/>
              </w:rPr>
            </w:pPr>
            <w:del w:id="17544" w:author="AbbVie02no" w:date="2025-05-15T14:22:00Z">
              <w:r w:rsidRPr="00BD646C">
                <w:rPr>
                  <w:bCs/>
                  <w:sz w:val="22"/>
                  <w:szCs w:val="22"/>
                  <w:lang w:val="fr-FR"/>
                </w:rPr>
                <w:delText>Tél: +33 (0) 1 45 60 13 00</w:delText>
              </w:r>
            </w:del>
          </w:p>
        </w:tc>
        <w:tc>
          <w:tcPr>
            <w:tcW w:w="4678" w:type="dxa"/>
          </w:tcPr>
          <w:p w14:paraId="740E9F91" w14:textId="2F2C864E" w:rsidR="00930E09" w:rsidRPr="00BD646C" w:rsidRDefault="00E453CD" w:rsidP="001F79B0">
            <w:pPr>
              <w:rPr>
                <w:del w:id="17545" w:author="AbbVie02no" w:date="2025-05-15T14:22:00Z"/>
                <w:b/>
                <w:bCs/>
                <w:sz w:val="22"/>
                <w:szCs w:val="22"/>
                <w:lang w:val="pt-PT"/>
              </w:rPr>
            </w:pPr>
            <w:del w:id="17546" w:author="AbbVie02no" w:date="2025-05-15T14:22:00Z">
              <w:r w:rsidRPr="00BD646C">
                <w:rPr>
                  <w:b/>
                  <w:bCs/>
                  <w:sz w:val="22"/>
                  <w:szCs w:val="22"/>
                  <w:lang w:val="pt-PT"/>
                </w:rPr>
                <w:delText>Portugal</w:delText>
              </w:r>
            </w:del>
          </w:p>
          <w:p w14:paraId="700C80DF" w14:textId="775A8AAD" w:rsidR="00930E09" w:rsidRPr="00BD646C" w:rsidRDefault="00E453CD" w:rsidP="001F79B0">
            <w:pPr>
              <w:rPr>
                <w:del w:id="17547" w:author="AbbVie02no" w:date="2025-05-15T14:22:00Z"/>
                <w:bCs/>
                <w:sz w:val="22"/>
                <w:szCs w:val="22"/>
                <w:lang w:val="fr-FR"/>
              </w:rPr>
            </w:pPr>
            <w:del w:id="17548" w:author="AbbVie02no" w:date="2025-05-15T14:22:00Z">
              <w:r w:rsidRPr="00BD646C">
                <w:rPr>
                  <w:bCs/>
                  <w:sz w:val="22"/>
                  <w:szCs w:val="22"/>
                  <w:lang w:val="fr-FR"/>
                </w:rPr>
                <w:delText xml:space="preserve">AbbVie, Lda. </w:delText>
              </w:r>
            </w:del>
          </w:p>
          <w:p w14:paraId="2AB8ED50" w14:textId="42118636" w:rsidR="00930E09" w:rsidRPr="00BD646C" w:rsidRDefault="00E453CD" w:rsidP="001F79B0">
            <w:pPr>
              <w:rPr>
                <w:del w:id="17549" w:author="AbbVie02no" w:date="2025-05-15T14:22:00Z"/>
                <w:sz w:val="22"/>
                <w:szCs w:val="22"/>
                <w:lang w:val="fr-FR"/>
              </w:rPr>
            </w:pPr>
            <w:del w:id="17550" w:author="AbbVie02no" w:date="2025-05-15T14:22:00Z">
              <w:r w:rsidRPr="00BD646C">
                <w:rPr>
                  <w:sz w:val="22"/>
                  <w:szCs w:val="22"/>
                  <w:lang w:val="fr-FR"/>
                </w:rPr>
                <w:delText>Tel: +351 (0)21 1908400</w:delText>
              </w:r>
            </w:del>
          </w:p>
          <w:p w14:paraId="1374EB1C" w14:textId="3556AF6B" w:rsidR="00930E09" w:rsidRPr="00BD646C" w:rsidRDefault="00930E09" w:rsidP="001F79B0">
            <w:pPr>
              <w:rPr>
                <w:del w:id="17551" w:author="AbbVie02no" w:date="2025-05-15T14:22:00Z"/>
                <w:sz w:val="22"/>
                <w:szCs w:val="22"/>
                <w:lang w:val="fr-FR"/>
              </w:rPr>
            </w:pPr>
          </w:p>
        </w:tc>
      </w:tr>
      <w:tr w:rsidR="004644D4" w14:paraId="577B2272" w14:textId="6523C2C6" w:rsidTr="001F79B0">
        <w:trPr>
          <w:gridBefore w:val="1"/>
          <w:wBefore w:w="34" w:type="dxa"/>
          <w:del w:id="17552" w:author="AbbVie02no" w:date="2025-05-15T14:22:00Z"/>
        </w:trPr>
        <w:tc>
          <w:tcPr>
            <w:tcW w:w="4644" w:type="dxa"/>
            <w:gridSpan w:val="2"/>
          </w:tcPr>
          <w:p w14:paraId="6080FB3E" w14:textId="355F7C13" w:rsidR="00930E09" w:rsidRPr="003979AA" w:rsidRDefault="00E453CD" w:rsidP="001F79B0">
            <w:pPr>
              <w:rPr>
                <w:del w:id="17553" w:author="AbbVie02no" w:date="2025-05-15T14:22:00Z"/>
                <w:sz w:val="22"/>
                <w:szCs w:val="22"/>
              </w:rPr>
            </w:pPr>
            <w:del w:id="17554" w:author="AbbVie02no" w:date="2025-05-15T14:22:00Z">
              <w:r w:rsidRPr="003979AA">
                <w:rPr>
                  <w:b/>
                  <w:bCs/>
                  <w:sz w:val="22"/>
                  <w:szCs w:val="22"/>
                </w:rPr>
                <w:delText xml:space="preserve">Hrvatska </w:delText>
              </w:r>
            </w:del>
          </w:p>
          <w:p w14:paraId="4F335622" w14:textId="2F432B65" w:rsidR="00930E09" w:rsidRPr="00BD646C" w:rsidRDefault="00E453CD" w:rsidP="001F79B0">
            <w:pPr>
              <w:rPr>
                <w:del w:id="17555" w:author="AbbVie02no" w:date="2025-05-15T14:22:00Z"/>
                <w:sz w:val="22"/>
                <w:szCs w:val="22"/>
                <w:lang w:val="hr-HR"/>
              </w:rPr>
            </w:pPr>
            <w:del w:id="17556" w:author="AbbVie02no" w:date="2025-05-15T14:22:00Z">
              <w:r w:rsidRPr="00BD646C">
                <w:rPr>
                  <w:sz w:val="22"/>
                  <w:szCs w:val="22"/>
                  <w:lang w:val="hr-HR"/>
                </w:rPr>
                <w:delText>AbbVie d.o.o.</w:delText>
              </w:r>
            </w:del>
          </w:p>
          <w:p w14:paraId="7F7C43AB" w14:textId="7007F7F1" w:rsidR="00930E09" w:rsidRPr="00BD646C" w:rsidRDefault="00E453CD" w:rsidP="001F79B0">
            <w:pPr>
              <w:rPr>
                <w:del w:id="17557" w:author="AbbVie02no" w:date="2025-05-15T14:22:00Z"/>
                <w:bCs/>
                <w:sz w:val="22"/>
                <w:szCs w:val="22"/>
                <w:lang w:val="it-IT"/>
              </w:rPr>
            </w:pPr>
            <w:del w:id="17558" w:author="AbbVie02no" w:date="2025-05-15T14:22:00Z">
              <w:r w:rsidRPr="00BD646C">
                <w:rPr>
                  <w:sz w:val="22"/>
                  <w:szCs w:val="22"/>
                  <w:lang w:val="hr-HR"/>
                </w:rPr>
                <w:delText xml:space="preserve">Tel + 385 (0)1 </w:delText>
              </w:r>
              <w:r w:rsidRPr="00692DC9">
                <w:rPr>
                  <w:sz w:val="22"/>
                  <w:szCs w:val="22"/>
                  <w:rPrChange w:id="17559" w:author="AbbVie05no" w:date="2025-05-19T11:03:00Z">
                    <w:rPr>
                      <w:sz w:val="22"/>
                      <w:szCs w:val="22"/>
                      <w:lang w:val="en-US"/>
                    </w:rPr>
                  </w:rPrChange>
                </w:rPr>
                <w:delText>5625 501</w:delText>
              </w:r>
            </w:del>
          </w:p>
        </w:tc>
        <w:tc>
          <w:tcPr>
            <w:tcW w:w="4678" w:type="dxa"/>
          </w:tcPr>
          <w:p w14:paraId="5D3CF7D9" w14:textId="64B7CF35" w:rsidR="00930E09" w:rsidRPr="00BD646C" w:rsidRDefault="00E453CD" w:rsidP="001F79B0">
            <w:pPr>
              <w:rPr>
                <w:del w:id="17560" w:author="AbbVie02no" w:date="2025-05-15T14:22:00Z"/>
                <w:b/>
                <w:bCs/>
                <w:sz w:val="22"/>
                <w:szCs w:val="22"/>
                <w:lang w:val="it-IT"/>
              </w:rPr>
            </w:pPr>
            <w:del w:id="17561" w:author="AbbVie02no" w:date="2025-05-15T14:22:00Z">
              <w:r w:rsidRPr="00BD646C">
                <w:rPr>
                  <w:b/>
                  <w:bCs/>
                  <w:sz w:val="22"/>
                  <w:szCs w:val="22"/>
                  <w:lang w:val="it-IT"/>
                </w:rPr>
                <w:delText>România</w:delText>
              </w:r>
            </w:del>
          </w:p>
          <w:p w14:paraId="06FD1C13" w14:textId="42322164" w:rsidR="00930E09" w:rsidRPr="00BD646C" w:rsidRDefault="00E453CD" w:rsidP="001F79B0">
            <w:pPr>
              <w:rPr>
                <w:del w:id="17562" w:author="AbbVie02no" w:date="2025-05-15T14:22:00Z"/>
                <w:sz w:val="22"/>
                <w:szCs w:val="22"/>
                <w:lang w:val="it-IT"/>
              </w:rPr>
            </w:pPr>
            <w:del w:id="17563" w:author="AbbVie02no" w:date="2025-05-15T14:22:00Z">
              <w:r w:rsidRPr="00BD646C">
                <w:rPr>
                  <w:sz w:val="22"/>
                  <w:szCs w:val="22"/>
                  <w:lang w:val="it-IT"/>
                </w:rPr>
                <w:delText>AbbVie S.R.L.</w:delText>
              </w:r>
            </w:del>
          </w:p>
          <w:p w14:paraId="372AA905" w14:textId="2DFB0955" w:rsidR="00930E09" w:rsidRPr="00BD646C" w:rsidRDefault="00E453CD" w:rsidP="001F79B0">
            <w:pPr>
              <w:rPr>
                <w:del w:id="17564" w:author="AbbVie02no" w:date="2025-05-15T14:22:00Z"/>
                <w:sz w:val="22"/>
                <w:szCs w:val="22"/>
                <w:lang w:val="pl-PL"/>
              </w:rPr>
            </w:pPr>
            <w:del w:id="17565" w:author="AbbVie02no" w:date="2025-05-15T14:22:00Z">
              <w:r w:rsidRPr="00BD646C">
                <w:rPr>
                  <w:sz w:val="22"/>
                  <w:szCs w:val="22"/>
                  <w:lang w:val="pl-PL"/>
                </w:rPr>
                <w:delText>Tel: +40 21 529 30 35</w:delText>
              </w:r>
            </w:del>
          </w:p>
          <w:p w14:paraId="7AA2ED6B" w14:textId="12A1D2E1" w:rsidR="00930E09" w:rsidRPr="00BD646C" w:rsidRDefault="00930E09" w:rsidP="001F79B0">
            <w:pPr>
              <w:rPr>
                <w:del w:id="17566" w:author="AbbVie02no" w:date="2025-05-15T14:22:00Z"/>
                <w:sz w:val="22"/>
                <w:szCs w:val="22"/>
                <w:lang w:val="pl-PL"/>
              </w:rPr>
            </w:pPr>
          </w:p>
        </w:tc>
      </w:tr>
      <w:tr w:rsidR="004644D4" w14:paraId="76A6B75D" w14:textId="3A6CF9A8" w:rsidTr="001F79B0">
        <w:trPr>
          <w:gridBefore w:val="1"/>
          <w:wBefore w:w="34" w:type="dxa"/>
          <w:del w:id="17567" w:author="AbbVie02no" w:date="2025-05-15T14:22:00Z"/>
        </w:trPr>
        <w:tc>
          <w:tcPr>
            <w:tcW w:w="4644" w:type="dxa"/>
            <w:gridSpan w:val="2"/>
          </w:tcPr>
          <w:p w14:paraId="29E563EE" w14:textId="5A794E44" w:rsidR="00930E09" w:rsidRPr="00BD646C" w:rsidRDefault="00E453CD" w:rsidP="001F79B0">
            <w:pPr>
              <w:rPr>
                <w:del w:id="17568" w:author="AbbVie02no" w:date="2025-05-15T14:22:00Z"/>
                <w:b/>
                <w:bCs/>
                <w:sz w:val="22"/>
                <w:szCs w:val="22"/>
                <w:lang w:val="sk-SK"/>
              </w:rPr>
            </w:pPr>
            <w:del w:id="17569" w:author="AbbVie02no" w:date="2025-05-15T14:22:00Z">
              <w:r w:rsidRPr="00BD646C">
                <w:rPr>
                  <w:b/>
                  <w:bCs/>
                  <w:sz w:val="22"/>
                  <w:szCs w:val="22"/>
                  <w:lang w:val="sk-SK"/>
                </w:rPr>
                <w:delText>Ireland</w:delText>
              </w:r>
            </w:del>
          </w:p>
          <w:p w14:paraId="6037663E" w14:textId="2A7CA764" w:rsidR="00930E09" w:rsidRPr="00BD646C" w:rsidRDefault="00E453CD" w:rsidP="001F79B0">
            <w:pPr>
              <w:rPr>
                <w:del w:id="17570" w:author="AbbVie02no" w:date="2025-05-15T14:22:00Z"/>
                <w:bCs/>
                <w:sz w:val="22"/>
                <w:szCs w:val="22"/>
                <w:lang w:val="sk-SK"/>
              </w:rPr>
            </w:pPr>
            <w:del w:id="17571" w:author="AbbVie02no" w:date="2025-05-15T14:22:00Z">
              <w:r w:rsidRPr="00BD646C">
                <w:rPr>
                  <w:bCs/>
                  <w:sz w:val="22"/>
                  <w:szCs w:val="22"/>
                  <w:lang w:val="sk-SK"/>
                </w:rPr>
                <w:delText xml:space="preserve">AbbVie Limited </w:delText>
              </w:r>
            </w:del>
          </w:p>
          <w:p w14:paraId="485A4EFC" w14:textId="275F4700" w:rsidR="00930E09" w:rsidRPr="00BD646C" w:rsidRDefault="00E453CD" w:rsidP="001F79B0">
            <w:pPr>
              <w:rPr>
                <w:del w:id="17572" w:author="AbbVie02no" w:date="2025-05-15T14:22:00Z"/>
                <w:bCs/>
                <w:sz w:val="22"/>
                <w:szCs w:val="22"/>
                <w:lang w:val="sk-SK"/>
              </w:rPr>
            </w:pPr>
            <w:del w:id="17573" w:author="AbbVie02no" w:date="2025-05-15T14:22:00Z">
              <w:r w:rsidRPr="00BD646C">
                <w:rPr>
                  <w:bCs/>
                  <w:sz w:val="22"/>
                  <w:szCs w:val="22"/>
                  <w:lang w:val="pt-PT"/>
                </w:rPr>
                <w:delText>Tel: +353 (0)1 428790</w:delText>
              </w:r>
              <w:r w:rsidR="00167578">
                <w:rPr>
                  <w:bCs/>
                  <w:sz w:val="22"/>
                  <w:szCs w:val="22"/>
                  <w:lang w:val="pt-PT"/>
                </w:rPr>
                <w:delText>0</w:delText>
              </w:r>
            </w:del>
          </w:p>
        </w:tc>
        <w:tc>
          <w:tcPr>
            <w:tcW w:w="4678" w:type="dxa"/>
          </w:tcPr>
          <w:p w14:paraId="4B94FA0E" w14:textId="102B0A95" w:rsidR="00930E09" w:rsidRPr="00BD646C" w:rsidRDefault="00E453CD" w:rsidP="001F79B0">
            <w:pPr>
              <w:rPr>
                <w:del w:id="17574" w:author="AbbVie02no" w:date="2025-05-15T14:22:00Z"/>
                <w:b/>
                <w:bCs/>
                <w:sz w:val="22"/>
                <w:szCs w:val="22"/>
                <w:lang w:val="sl-SI"/>
              </w:rPr>
            </w:pPr>
            <w:del w:id="17575" w:author="AbbVie02no" w:date="2025-05-15T14:22:00Z">
              <w:r w:rsidRPr="00BD646C">
                <w:rPr>
                  <w:b/>
                  <w:bCs/>
                  <w:sz w:val="22"/>
                  <w:szCs w:val="22"/>
                  <w:lang w:val="sl-SI"/>
                </w:rPr>
                <w:delText>Slovenija</w:delText>
              </w:r>
            </w:del>
          </w:p>
          <w:p w14:paraId="2D49C321" w14:textId="4CFD19B2" w:rsidR="00930E09" w:rsidRPr="00BD646C" w:rsidRDefault="00E453CD" w:rsidP="001F79B0">
            <w:pPr>
              <w:rPr>
                <w:del w:id="17576" w:author="AbbVie02no" w:date="2025-05-15T14:22:00Z"/>
                <w:bCs/>
                <w:sz w:val="22"/>
                <w:szCs w:val="22"/>
                <w:lang w:val="sl-SI"/>
              </w:rPr>
            </w:pPr>
            <w:del w:id="17577" w:author="AbbVie02no" w:date="2025-05-15T14:22:00Z">
              <w:r w:rsidRPr="00BD646C">
                <w:rPr>
                  <w:bCs/>
                  <w:sz w:val="22"/>
                  <w:szCs w:val="22"/>
                  <w:lang w:val="sl-SI"/>
                </w:rPr>
                <w:delText xml:space="preserve">AbbVie </w:delText>
              </w:r>
              <w:r w:rsidRPr="00BD646C">
                <w:rPr>
                  <w:sz w:val="22"/>
                  <w:szCs w:val="22"/>
                  <w:lang w:val="sl-SI"/>
                </w:rPr>
                <w:delText>Biofarmacevtska družba d.o.o.</w:delText>
              </w:r>
            </w:del>
          </w:p>
          <w:p w14:paraId="01CF8CE1" w14:textId="4A7981F3" w:rsidR="00930E09" w:rsidRPr="00BD646C" w:rsidRDefault="00E453CD" w:rsidP="001F79B0">
            <w:pPr>
              <w:rPr>
                <w:del w:id="17578" w:author="AbbVie02no" w:date="2025-05-15T14:22:00Z"/>
                <w:bCs/>
                <w:sz w:val="22"/>
                <w:szCs w:val="22"/>
                <w:lang w:val="sl-SI"/>
              </w:rPr>
            </w:pPr>
            <w:del w:id="17579" w:author="AbbVie02no" w:date="2025-05-15T14:22:00Z">
              <w:r w:rsidRPr="00BD646C">
                <w:rPr>
                  <w:bCs/>
                  <w:sz w:val="22"/>
                  <w:szCs w:val="22"/>
                  <w:lang w:val="sl-SI"/>
                </w:rPr>
                <w:delText>Tel: +386 (1)32 08 060</w:delText>
              </w:r>
            </w:del>
          </w:p>
          <w:p w14:paraId="125C3695" w14:textId="327B2CA8" w:rsidR="00930E09" w:rsidRPr="00BD646C" w:rsidRDefault="00930E09" w:rsidP="001F79B0">
            <w:pPr>
              <w:rPr>
                <w:del w:id="17580" w:author="AbbVie02no" w:date="2025-05-15T14:22:00Z"/>
                <w:bCs/>
                <w:sz w:val="22"/>
                <w:szCs w:val="22"/>
                <w:lang w:val="sl-SI"/>
              </w:rPr>
            </w:pPr>
          </w:p>
        </w:tc>
      </w:tr>
      <w:tr w:rsidR="004644D4" w14:paraId="50D39399" w14:textId="544F5697" w:rsidTr="001F79B0">
        <w:trPr>
          <w:gridBefore w:val="1"/>
          <w:wBefore w:w="34" w:type="dxa"/>
          <w:del w:id="17581" w:author="AbbVie02no" w:date="2025-05-15T14:22:00Z"/>
        </w:trPr>
        <w:tc>
          <w:tcPr>
            <w:tcW w:w="4644" w:type="dxa"/>
            <w:gridSpan w:val="2"/>
          </w:tcPr>
          <w:p w14:paraId="74D55555" w14:textId="3416906A" w:rsidR="00930E09" w:rsidRPr="00BD646C" w:rsidRDefault="00E453CD" w:rsidP="001F79B0">
            <w:pPr>
              <w:rPr>
                <w:del w:id="17582" w:author="AbbVie02no" w:date="2025-05-15T14:22:00Z"/>
                <w:b/>
                <w:bCs/>
                <w:sz w:val="22"/>
                <w:szCs w:val="22"/>
                <w:lang w:val="is-IS"/>
              </w:rPr>
            </w:pPr>
            <w:del w:id="17583" w:author="AbbVie02no" w:date="2025-05-15T14:22:00Z">
              <w:r w:rsidRPr="00BD646C">
                <w:rPr>
                  <w:b/>
                  <w:bCs/>
                  <w:sz w:val="22"/>
                  <w:szCs w:val="22"/>
                  <w:lang w:val="is-IS"/>
                </w:rPr>
                <w:delText>Ísland</w:delText>
              </w:r>
            </w:del>
          </w:p>
          <w:p w14:paraId="3737831C" w14:textId="3393FC60" w:rsidR="00930E09" w:rsidRPr="00BD646C" w:rsidRDefault="00E453CD" w:rsidP="001F79B0">
            <w:pPr>
              <w:rPr>
                <w:del w:id="17584" w:author="AbbVie02no" w:date="2025-05-15T14:22:00Z"/>
                <w:bCs/>
                <w:sz w:val="22"/>
                <w:szCs w:val="22"/>
                <w:lang w:val="sk-SK"/>
              </w:rPr>
            </w:pPr>
            <w:del w:id="17585" w:author="AbbVie02no" w:date="2025-05-15T14:22:00Z">
              <w:r w:rsidRPr="00BD646C">
                <w:rPr>
                  <w:bCs/>
                  <w:sz w:val="22"/>
                  <w:szCs w:val="22"/>
                  <w:lang w:val="sk-SK"/>
                </w:rPr>
                <w:delText>Vistor hf.</w:delText>
              </w:r>
            </w:del>
          </w:p>
          <w:p w14:paraId="67AD8BEE" w14:textId="40212975" w:rsidR="00930E09" w:rsidRPr="00BD646C" w:rsidRDefault="00E453CD" w:rsidP="001F79B0">
            <w:pPr>
              <w:rPr>
                <w:del w:id="17586" w:author="AbbVie02no" w:date="2025-05-15T14:22:00Z"/>
                <w:bCs/>
                <w:sz w:val="22"/>
                <w:szCs w:val="22"/>
                <w:lang w:val="sk-SK"/>
              </w:rPr>
            </w:pPr>
            <w:del w:id="17587" w:author="AbbVie02no" w:date="2025-05-15T14:22:00Z">
              <w:r w:rsidRPr="00BD646C">
                <w:rPr>
                  <w:bCs/>
                  <w:sz w:val="22"/>
                  <w:szCs w:val="22"/>
                  <w:lang w:val="sk-SK"/>
                </w:rPr>
                <w:delText>Tel: +354 535 7000</w:delText>
              </w:r>
            </w:del>
          </w:p>
        </w:tc>
        <w:tc>
          <w:tcPr>
            <w:tcW w:w="4678" w:type="dxa"/>
          </w:tcPr>
          <w:p w14:paraId="07DE2399" w14:textId="65CC97D1" w:rsidR="00930E09" w:rsidRPr="00BD646C" w:rsidRDefault="00E453CD" w:rsidP="001F79B0">
            <w:pPr>
              <w:rPr>
                <w:del w:id="17588" w:author="AbbVie02no" w:date="2025-05-15T14:22:00Z"/>
                <w:b/>
                <w:bCs/>
                <w:sz w:val="22"/>
                <w:szCs w:val="22"/>
                <w:lang w:val="sk-SK"/>
              </w:rPr>
            </w:pPr>
            <w:del w:id="17589" w:author="AbbVie02no" w:date="2025-05-15T14:22:00Z">
              <w:r w:rsidRPr="00BD646C">
                <w:rPr>
                  <w:b/>
                  <w:bCs/>
                  <w:sz w:val="22"/>
                  <w:szCs w:val="22"/>
                  <w:lang w:val="sk-SK"/>
                </w:rPr>
                <w:delText>Slovenská republika</w:delText>
              </w:r>
            </w:del>
          </w:p>
          <w:p w14:paraId="70085AE7" w14:textId="2EB1D0F7" w:rsidR="00930E09" w:rsidRPr="00BD646C" w:rsidRDefault="00E453CD" w:rsidP="001F79B0">
            <w:pPr>
              <w:rPr>
                <w:del w:id="17590" w:author="AbbVie02no" w:date="2025-05-15T14:22:00Z"/>
                <w:bCs/>
                <w:sz w:val="22"/>
                <w:szCs w:val="22"/>
                <w:lang w:val="sk-SK"/>
              </w:rPr>
            </w:pPr>
            <w:del w:id="17591" w:author="AbbVie02no" w:date="2025-05-15T14:22:00Z">
              <w:r w:rsidRPr="00BD646C">
                <w:rPr>
                  <w:bCs/>
                  <w:sz w:val="22"/>
                  <w:szCs w:val="22"/>
                  <w:lang w:val="sk-SK"/>
                </w:rPr>
                <w:delText>AbbVie s.r.o.</w:delText>
              </w:r>
            </w:del>
          </w:p>
          <w:p w14:paraId="0B944436" w14:textId="0E1CC29A" w:rsidR="00930E09" w:rsidRPr="00BD646C" w:rsidRDefault="00E453CD" w:rsidP="001F79B0">
            <w:pPr>
              <w:rPr>
                <w:del w:id="17592" w:author="AbbVie02no" w:date="2025-05-15T14:22:00Z"/>
                <w:bCs/>
                <w:sz w:val="22"/>
                <w:szCs w:val="22"/>
                <w:lang w:val="sk-SK"/>
              </w:rPr>
            </w:pPr>
            <w:del w:id="17593" w:author="AbbVie02no" w:date="2025-05-15T14:22:00Z">
              <w:r w:rsidRPr="00BD646C">
                <w:rPr>
                  <w:bCs/>
                  <w:sz w:val="22"/>
                  <w:szCs w:val="22"/>
                  <w:lang w:val="sk-SK"/>
                </w:rPr>
                <w:delText>Tel: +421 2 5050 0777</w:delText>
              </w:r>
            </w:del>
          </w:p>
          <w:p w14:paraId="52097B7F" w14:textId="00624074" w:rsidR="00930E09" w:rsidRPr="00BD646C" w:rsidRDefault="00930E09" w:rsidP="001F79B0">
            <w:pPr>
              <w:rPr>
                <w:del w:id="17594" w:author="AbbVie02no" w:date="2025-05-15T14:22:00Z"/>
                <w:bCs/>
                <w:sz w:val="22"/>
                <w:szCs w:val="22"/>
                <w:lang w:val="sk-SK"/>
              </w:rPr>
            </w:pPr>
          </w:p>
        </w:tc>
      </w:tr>
      <w:tr w:rsidR="004644D4" w14:paraId="47094C93" w14:textId="1DB392D9" w:rsidTr="001F79B0">
        <w:trPr>
          <w:gridBefore w:val="1"/>
          <w:wBefore w:w="34" w:type="dxa"/>
          <w:del w:id="17595" w:author="AbbVie02no" w:date="2025-05-15T14:22:00Z"/>
        </w:trPr>
        <w:tc>
          <w:tcPr>
            <w:tcW w:w="4644" w:type="dxa"/>
            <w:gridSpan w:val="2"/>
          </w:tcPr>
          <w:p w14:paraId="5FD233F7" w14:textId="2AC9DAE5" w:rsidR="00930E09" w:rsidRPr="00BD646C" w:rsidRDefault="00E453CD" w:rsidP="001F79B0">
            <w:pPr>
              <w:rPr>
                <w:del w:id="17596" w:author="AbbVie02no" w:date="2025-05-15T14:22:00Z"/>
                <w:b/>
                <w:bCs/>
                <w:sz w:val="22"/>
                <w:szCs w:val="22"/>
                <w:lang w:val="it-IT"/>
              </w:rPr>
            </w:pPr>
            <w:del w:id="17597" w:author="AbbVie02no" w:date="2025-05-15T14:22:00Z">
              <w:r w:rsidRPr="00BD646C">
                <w:rPr>
                  <w:b/>
                  <w:bCs/>
                  <w:sz w:val="22"/>
                  <w:szCs w:val="22"/>
                  <w:lang w:val="it-IT"/>
                </w:rPr>
                <w:delText>Italia</w:delText>
              </w:r>
            </w:del>
          </w:p>
          <w:p w14:paraId="1E206D57" w14:textId="3E46387F" w:rsidR="00930E09" w:rsidRPr="00BD646C" w:rsidRDefault="00E453CD" w:rsidP="001F79B0">
            <w:pPr>
              <w:rPr>
                <w:del w:id="17598" w:author="AbbVie02no" w:date="2025-05-15T14:22:00Z"/>
                <w:bCs/>
                <w:sz w:val="22"/>
                <w:szCs w:val="22"/>
                <w:lang w:val="pt-PT"/>
              </w:rPr>
            </w:pPr>
            <w:del w:id="17599" w:author="AbbVie02no" w:date="2025-05-15T14:22:00Z">
              <w:r w:rsidRPr="00BD646C">
                <w:rPr>
                  <w:bCs/>
                  <w:sz w:val="22"/>
                  <w:szCs w:val="22"/>
                  <w:lang w:val="pt-PT"/>
                </w:rPr>
                <w:delText xml:space="preserve">AbbVie S.r.l. </w:delText>
              </w:r>
            </w:del>
          </w:p>
          <w:p w14:paraId="5D0F5794" w14:textId="375909F7" w:rsidR="00930E09" w:rsidRPr="00BD646C" w:rsidRDefault="00E453CD" w:rsidP="001F79B0">
            <w:pPr>
              <w:rPr>
                <w:del w:id="17600" w:author="AbbVie02no" w:date="2025-05-15T14:22:00Z"/>
                <w:bCs/>
                <w:sz w:val="22"/>
                <w:szCs w:val="22"/>
                <w:lang w:val="fi-FI"/>
              </w:rPr>
            </w:pPr>
            <w:del w:id="17601" w:author="AbbVie02no" w:date="2025-05-15T14:22:00Z">
              <w:r w:rsidRPr="00BD646C">
                <w:rPr>
                  <w:bCs/>
                  <w:sz w:val="22"/>
                  <w:szCs w:val="22"/>
                  <w:lang w:val="fr-FR"/>
                </w:rPr>
                <w:delText>Tel: +39 06 928921</w:delText>
              </w:r>
            </w:del>
          </w:p>
        </w:tc>
        <w:tc>
          <w:tcPr>
            <w:tcW w:w="4678" w:type="dxa"/>
          </w:tcPr>
          <w:p w14:paraId="309FB2B7" w14:textId="4944FC1A" w:rsidR="00930E09" w:rsidRPr="00BD646C" w:rsidRDefault="00E453CD" w:rsidP="001F79B0">
            <w:pPr>
              <w:rPr>
                <w:del w:id="17602" w:author="AbbVie02no" w:date="2025-05-15T14:22:00Z"/>
                <w:b/>
                <w:bCs/>
                <w:sz w:val="22"/>
                <w:szCs w:val="22"/>
                <w:lang w:val="fi-FI"/>
              </w:rPr>
            </w:pPr>
            <w:del w:id="17603" w:author="AbbVie02no" w:date="2025-05-15T14:22:00Z">
              <w:r w:rsidRPr="00BD646C">
                <w:rPr>
                  <w:b/>
                  <w:bCs/>
                  <w:sz w:val="22"/>
                  <w:szCs w:val="22"/>
                  <w:lang w:val="fi-FI"/>
                </w:rPr>
                <w:delText>Suomi/Finland</w:delText>
              </w:r>
            </w:del>
          </w:p>
          <w:p w14:paraId="7997EA2C" w14:textId="646F9031" w:rsidR="00930E09" w:rsidRPr="00BD646C" w:rsidRDefault="00E453CD" w:rsidP="001F79B0">
            <w:pPr>
              <w:rPr>
                <w:del w:id="17604" w:author="AbbVie02no" w:date="2025-05-15T14:22:00Z"/>
                <w:bCs/>
                <w:sz w:val="22"/>
                <w:szCs w:val="22"/>
                <w:lang w:val="de-CH"/>
              </w:rPr>
            </w:pPr>
            <w:del w:id="17605" w:author="AbbVie02no" w:date="2025-05-15T14:22:00Z">
              <w:r w:rsidRPr="00BD646C">
                <w:rPr>
                  <w:bCs/>
                  <w:sz w:val="22"/>
                  <w:szCs w:val="22"/>
                  <w:lang w:val="sk-SK"/>
                </w:rPr>
                <w:delText>AbbVie Oy</w:delText>
              </w:r>
            </w:del>
          </w:p>
          <w:p w14:paraId="53FF9611" w14:textId="1C442440" w:rsidR="00930E09" w:rsidRPr="00BD646C" w:rsidRDefault="00E453CD" w:rsidP="001F79B0">
            <w:pPr>
              <w:rPr>
                <w:del w:id="17606" w:author="AbbVie02no" w:date="2025-05-15T14:22:00Z"/>
                <w:bCs/>
                <w:sz w:val="22"/>
                <w:szCs w:val="22"/>
                <w:lang w:val="sk-SK"/>
              </w:rPr>
            </w:pPr>
            <w:del w:id="17607" w:author="AbbVie02no" w:date="2025-05-15T14:22:00Z">
              <w:r w:rsidRPr="00BD646C">
                <w:rPr>
                  <w:bCs/>
                  <w:sz w:val="22"/>
                  <w:szCs w:val="22"/>
                  <w:lang w:val="sk-SK"/>
                </w:rPr>
                <w:delText>Puh/Tel: +358 (0)10 2411 200</w:delText>
              </w:r>
            </w:del>
          </w:p>
          <w:p w14:paraId="0F2CDC3A" w14:textId="7D2F6145" w:rsidR="00930E09" w:rsidRPr="00BD646C" w:rsidRDefault="00930E09" w:rsidP="001F79B0">
            <w:pPr>
              <w:rPr>
                <w:del w:id="17608" w:author="AbbVie02no" w:date="2025-05-15T14:22:00Z"/>
                <w:sz w:val="22"/>
                <w:szCs w:val="22"/>
                <w:lang w:val="sk-SK"/>
              </w:rPr>
            </w:pPr>
          </w:p>
        </w:tc>
      </w:tr>
      <w:tr w:rsidR="004644D4" w14:paraId="38A23FE9" w14:textId="38289191" w:rsidTr="001F79B0">
        <w:trPr>
          <w:gridBefore w:val="1"/>
          <w:wBefore w:w="34" w:type="dxa"/>
          <w:cantSplit/>
          <w:trHeight w:val="887"/>
          <w:del w:id="17609" w:author="AbbVie02no" w:date="2025-05-15T14:22:00Z"/>
        </w:trPr>
        <w:tc>
          <w:tcPr>
            <w:tcW w:w="4644" w:type="dxa"/>
            <w:gridSpan w:val="2"/>
          </w:tcPr>
          <w:p w14:paraId="4ACB8363" w14:textId="058C0C22" w:rsidR="00930E09" w:rsidRPr="00BD646C" w:rsidRDefault="00E453CD" w:rsidP="001F79B0">
            <w:pPr>
              <w:rPr>
                <w:del w:id="17610" w:author="AbbVie02no" w:date="2025-05-15T14:22:00Z"/>
                <w:b/>
                <w:bCs/>
                <w:sz w:val="22"/>
                <w:szCs w:val="22"/>
                <w:lang w:val="el-GR"/>
              </w:rPr>
            </w:pPr>
            <w:del w:id="17611" w:author="AbbVie02no" w:date="2025-05-15T14:22:00Z">
              <w:r w:rsidRPr="00BD646C">
                <w:rPr>
                  <w:b/>
                  <w:bCs/>
                  <w:sz w:val="22"/>
                  <w:szCs w:val="22"/>
                  <w:lang w:val="el-GR"/>
                </w:rPr>
                <w:delText>Κύπρος</w:delText>
              </w:r>
            </w:del>
          </w:p>
          <w:p w14:paraId="7C7C3A96" w14:textId="29CDEDAA" w:rsidR="00930E09" w:rsidRPr="00BD646C" w:rsidRDefault="00E453CD" w:rsidP="001F79B0">
            <w:pPr>
              <w:rPr>
                <w:del w:id="17612" w:author="AbbVie02no" w:date="2025-05-15T14:22:00Z"/>
                <w:bCs/>
                <w:sz w:val="22"/>
                <w:szCs w:val="22"/>
                <w:lang w:val="el-GR"/>
              </w:rPr>
            </w:pPr>
            <w:del w:id="17613" w:author="AbbVie02no" w:date="2025-05-15T14:22:00Z">
              <w:r w:rsidRPr="00BD646C">
                <w:rPr>
                  <w:bCs/>
                  <w:sz w:val="22"/>
                  <w:szCs w:val="22"/>
                  <w:lang w:val="sk-SK"/>
                </w:rPr>
                <w:delText xml:space="preserve">Lifepharma (Z.A.M.) </w:delText>
              </w:r>
              <w:r w:rsidRPr="00BD646C">
                <w:rPr>
                  <w:bCs/>
                  <w:sz w:val="22"/>
                  <w:szCs w:val="22"/>
                  <w:lang w:val="it-IT"/>
                </w:rPr>
                <w:delText>Ltd</w:delText>
              </w:r>
            </w:del>
          </w:p>
          <w:p w14:paraId="44E09397" w14:textId="51C2CC87" w:rsidR="00930E09" w:rsidRPr="00BD646C" w:rsidRDefault="00E453CD" w:rsidP="001F79B0">
            <w:pPr>
              <w:rPr>
                <w:del w:id="17614" w:author="AbbVie02no" w:date="2025-05-15T14:22:00Z"/>
                <w:bCs/>
                <w:sz w:val="22"/>
                <w:szCs w:val="22"/>
                <w:lang w:val="lv-LV"/>
              </w:rPr>
            </w:pPr>
            <w:del w:id="17615" w:author="AbbVie02no" w:date="2025-05-15T14:22:00Z">
              <w:r w:rsidRPr="00BD646C">
                <w:rPr>
                  <w:bCs/>
                  <w:sz w:val="22"/>
                  <w:szCs w:val="22"/>
                  <w:lang w:val="el-GR"/>
                </w:rPr>
                <w:delText>Τηλ.: +357 22 34 74 40</w:delText>
              </w:r>
            </w:del>
          </w:p>
        </w:tc>
        <w:tc>
          <w:tcPr>
            <w:tcW w:w="4678" w:type="dxa"/>
          </w:tcPr>
          <w:p w14:paraId="768ACE83" w14:textId="153D8556" w:rsidR="00930E09" w:rsidRPr="00BD646C" w:rsidRDefault="00E453CD" w:rsidP="001F79B0">
            <w:pPr>
              <w:rPr>
                <w:del w:id="17616" w:author="AbbVie02no" w:date="2025-05-15T14:22:00Z"/>
                <w:b/>
                <w:bCs/>
                <w:sz w:val="22"/>
                <w:szCs w:val="22"/>
                <w:lang w:val="sk-SK"/>
              </w:rPr>
            </w:pPr>
            <w:del w:id="17617" w:author="AbbVie02no" w:date="2025-05-15T14:22:00Z">
              <w:r w:rsidRPr="00BD646C">
                <w:rPr>
                  <w:b/>
                  <w:bCs/>
                  <w:sz w:val="22"/>
                  <w:szCs w:val="22"/>
                  <w:lang w:val="sk-SK"/>
                </w:rPr>
                <w:delText>Sverige</w:delText>
              </w:r>
            </w:del>
          </w:p>
          <w:p w14:paraId="46215C71" w14:textId="16B4474C" w:rsidR="00930E09" w:rsidRPr="00BD646C" w:rsidRDefault="00E453CD" w:rsidP="001F79B0">
            <w:pPr>
              <w:rPr>
                <w:del w:id="17618" w:author="AbbVie02no" w:date="2025-05-15T14:22:00Z"/>
                <w:bCs/>
                <w:sz w:val="22"/>
                <w:szCs w:val="22"/>
                <w:lang w:val="pt-PT"/>
              </w:rPr>
            </w:pPr>
            <w:del w:id="17619" w:author="AbbVie02no" w:date="2025-05-15T14:22:00Z">
              <w:r w:rsidRPr="00BD646C">
                <w:rPr>
                  <w:bCs/>
                  <w:sz w:val="22"/>
                  <w:szCs w:val="22"/>
                  <w:lang w:val="pt-PT"/>
                </w:rPr>
                <w:delText>AbbVie AB</w:delText>
              </w:r>
            </w:del>
          </w:p>
          <w:p w14:paraId="08E447C7" w14:textId="6E89D11F" w:rsidR="00930E09" w:rsidRPr="00BD646C" w:rsidRDefault="00E453CD" w:rsidP="001F79B0">
            <w:pPr>
              <w:rPr>
                <w:del w:id="17620" w:author="AbbVie02no" w:date="2025-05-15T14:22:00Z"/>
                <w:bCs/>
                <w:sz w:val="22"/>
                <w:szCs w:val="22"/>
                <w:lang w:val="sk-SK"/>
              </w:rPr>
            </w:pPr>
            <w:del w:id="17621" w:author="AbbVie02no" w:date="2025-05-15T14:22:00Z">
              <w:r w:rsidRPr="00BD646C">
                <w:rPr>
                  <w:bCs/>
                  <w:sz w:val="22"/>
                  <w:szCs w:val="22"/>
                  <w:lang w:val="da-DK"/>
                </w:rPr>
                <w:delText>Tel: +46 (0)8 684 44 600</w:delText>
              </w:r>
            </w:del>
          </w:p>
        </w:tc>
      </w:tr>
      <w:tr w:rsidR="004644D4" w14:paraId="0CE69CDF" w14:textId="7637309C" w:rsidTr="001F79B0">
        <w:trPr>
          <w:gridBefore w:val="1"/>
          <w:wBefore w:w="34" w:type="dxa"/>
          <w:cantSplit/>
          <w:trHeight w:val="761"/>
          <w:del w:id="17622" w:author="AbbVie02no" w:date="2025-05-15T14:22:00Z"/>
        </w:trPr>
        <w:tc>
          <w:tcPr>
            <w:tcW w:w="4644" w:type="dxa"/>
            <w:gridSpan w:val="2"/>
          </w:tcPr>
          <w:p w14:paraId="437AA456" w14:textId="5050507D" w:rsidR="00930E09" w:rsidRPr="00BD646C" w:rsidRDefault="00E453CD" w:rsidP="001F79B0">
            <w:pPr>
              <w:rPr>
                <w:del w:id="17623" w:author="AbbVie02no" w:date="2025-05-15T14:22:00Z"/>
                <w:b/>
                <w:bCs/>
                <w:sz w:val="22"/>
                <w:szCs w:val="22"/>
                <w:lang w:val="lv-LV"/>
              </w:rPr>
            </w:pPr>
            <w:del w:id="17624" w:author="AbbVie02no" w:date="2025-05-15T14:22:00Z">
              <w:r w:rsidRPr="00BD646C">
                <w:rPr>
                  <w:b/>
                  <w:bCs/>
                  <w:sz w:val="22"/>
                  <w:szCs w:val="22"/>
                  <w:lang w:val="lv-LV"/>
                </w:rPr>
                <w:delText>Latvija</w:delText>
              </w:r>
            </w:del>
          </w:p>
          <w:p w14:paraId="52FF5726" w14:textId="3283FAA0" w:rsidR="00930E09" w:rsidRPr="00BD646C" w:rsidRDefault="00E453CD" w:rsidP="001F79B0">
            <w:pPr>
              <w:rPr>
                <w:del w:id="17625" w:author="AbbVie02no" w:date="2025-05-15T14:22:00Z"/>
                <w:bCs/>
                <w:sz w:val="22"/>
                <w:szCs w:val="22"/>
                <w:lang w:val="lv-LV"/>
              </w:rPr>
            </w:pPr>
            <w:del w:id="17626" w:author="AbbVie02no" w:date="2025-05-15T14:22:00Z">
              <w:r w:rsidRPr="00BD646C">
                <w:rPr>
                  <w:bCs/>
                  <w:sz w:val="22"/>
                  <w:szCs w:val="22"/>
                  <w:lang w:val="lv-LV"/>
                </w:rPr>
                <w:delText xml:space="preserve">AbbVie SIA </w:delText>
              </w:r>
            </w:del>
          </w:p>
          <w:p w14:paraId="28BF39D4" w14:textId="0E0A46EC" w:rsidR="00930E09" w:rsidRPr="00BD646C" w:rsidRDefault="00E453CD" w:rsidP="001F79B0">
            <w:pPr>
              <w:rPr>
                <w:del w:id="17627" w:author="AbbVie02no" w:date="2025-05-15T14:22:00Z"/>
                <w:bCs/>
                <w:sz w:val="22"/>
                <w:szCs w:val="22"/>
                <w:lang w:val="lv-LV"/>
              </w:rPr>
            </w:pPr>
            <w:del w:id="17628" w:author="AbbVie02no" w:date="2025-05-15T14:22:00Z">
              <w:r w:rsidRPr="00BD646C">
                <w:rPr>
                  <w:bCs/>
                  <w:sz w:val="22"/>
                  <w:szCs w:val="22"/>
                  <w:lang w:val="lv-LV"/>
                </w:rPr>
                <w:delText>Tel: +371 67605000</w:delText>
              </w:r>
            </w:del>
          </w:p>
        </w:tc>
        <w:tc>
          <w:tcPr>
            <w:tcW w:w="4678" w:type="dxa"/>
          </w:tcPr>
          <w:p w14:paraId="5A6918BB" w14:textId="3B4F8F3F" w:rsidR="00930E09" w:rsidRPr="00BD646C" w:rsidRDefault="00930E09" w:rsidP="001F79B0">
            <w:pPr>
              <w:rPr>
                <w:del w:id="17629" w:author="AbbVie02no" w:date="2025-05-15T14:22:00Z"/>
                <w:b/>
                <w:bCs/>
                <w:sz w:val="22"/>
                <w:szCs w:val="22"/>
                <w:lang w:val="sk-SK"/>
              </w:rPr>
            </w:pPr>
          </w:p>
        </w:tc>
      </w:tr>
    </w:tbl>
    <w:p w14:paraId="061CCFD0" w14:textId="3E50D0E0" w:rsidR="00A91022" w:rsidRPr="009C5EFD" w:rsidRDefault="00A91022" w:rsidP="007F67EE">
      <w:pPr>
        <w:rPr>
          <w:del w:id="17630" w:author="AbbVie02no" w:date="2025-05-15T14:22:00Z"/>
          <w:lang w:val="en-US"/>
        </w:rPr>
      </w:pPr>
    </w:p>
    <w:p w14:paraId="1A5D05E7" w14:textId="47D6B9DE" w:rsidR="00DE3458" w:rsidRPr="00392F01" w:rsidRDefault="00E453CD" w:rsidP="00032240">
      <w:pPr>
        <w:keepNext/>
        <w:rPr>
          <w:del w:id="17631" w:author="AbbVie02no" w:date="2025-05-15T14:22:00Z"/>
          <w:b/>
          <w:sz w:val="22"/>
          <w:szCs w:val="22"/>
        </w:rPr>
      </w:pPr>
      <w:del w:id="17632" w:author="AbbVie02no" w:date="2025-05-15T14:22:00Z">
        <w:r w:rsidRPr="00392F01">
          <w:rPr>
            <w:b/>
            <w:sz w:val="22"/>
            <w:szCs w:val="22"/>
          </w:rPr>
          <w:delText xml:space="preserve">Dette pakningsvedlegget ble sist </w:delText>
        </w:r>
        <w:r w:rsidR="006F20A1" w:rsidRPr="00392F01">
          <w:rPr>
            <w:b/>
            <w:sz w:val="22"/>
            <w:szCs w:val="22"/>
          </w:rPr>
          <w:delText>oppdatert</w:delText>
        </w:r>
      </w:del>
    </w:p>
    <w:p w14:paraId="7DB83041" w14:textId="13A545C7" w:rsidR="0049775E" w:rsidRPr="00392F01" w:rsidRDefault="0049775E" w:rsidP="002D0790">
      <w:pPr>
        <w:rPr>
          <w:del w:id="17633" w:author="AbbVie02no" w:date="2025-05-15T14:22:00Z"/>
          <w:b/>
          <w:sz w:val="22"/>
          <w:szCs w:val="22"/>
        </w:rPr>
      </w:pPr>
    </w:p>
    <w:p w14:paraId="1E201671" w14:textId="08EDA8A9" w:rsidR="0049775E" w:rsidRPr="00392F01" w:rsidRDefault="00E453CD" w:rsidP="00C07C98">
      <w:pPr>
        <w:rPr>
          <w:del w:id="17634" w:author="AbbVie02no" w:date="2025-05-15T14:22:00Z"/>
          <w:sz w:val="22"/>
        </w:rPr>
      </w:pPr>
      <w:del w:id="17635" w:author="AbbVie02no" w:date="2025-05-15T14:22:00Z">
        <w:r w:rsidRPr="00392F01">
          <w:rPr>
            <w:sz w:val="22"/>
          </w:rPr>
          <w:delText>Detaljert informasjon om dette legemidlet er tilgjengelig på nettstedet til Det europeiske legemiddelkontoret (</w:delText>
        </w:r>
        <w:r w:rsidR="001D434C">
          <w:rPr>
            <w:sz w:val="22"/>
          </w:rPr>
          <w:delText>t</w:delText>
        </w:r>
        <w:r w:rsidRPr="00392F01">
          <w:rPr>
            <w:sz w:val="22"/>
          </w:rPr>
          <w:delText>he European Medicines Agency)</w:delText>
        </w:r>
        <w:r w:rsidR="00345205" w:rsidRPr="00392F01">
          <w:rPr>
            <w:sz w:val="22"/>
          </w:rPr>
          <w:delText>:</w:delText>
        </w:r>
        <w:r w:rsidRPr="00392F01">
          <w:rPr>
            <w:sz w:val="22"/>
          </w:rPr>
          <w:delText xml:space="preserve"> </w:delText>
        </w:r>
        <w:r w:rsidR="00EA32F0">
          <w:fldChar w:fldCharType="begin"/>
        </w:r>
        <w:r w:rsidR="00EA32F0">
          <w:delInstrText>HYPERLINK "http://www.ema.europa.eu"</w:delInstrText>
        </w:r>
        <w:r w:rsidR="00EA32F0">
          <w:fldChar w:fldCharType="separate"/>
        </w:r>
        <w:r w:rsidR="00EA32F0" w:rsidRPr="00392F01">
          <w:rPr>
            <w:rStyle w:val="Hyperlink"/>
            <w:sz w:val="22"/>
          </w:rPr>
          <w:delText>http://www.ema.europa.eu</w:delText>
        </w:r>
        <w:r w:rsidR="00EA32F0">
          <w:fldChar w:fldCharType="end"/>
        </w:r>
        <w:r w:rsidR="00EA32F0" w:rsidRPr="00392F01">
          <w:rPr>
            <w:sz w:val="22"/>
          </w:rPr>
          <w:delText>.</w:delText>
        </w:r>
      </w:del>
    </w:p>
    <w:p w14:paraId="5009A506" w14:textId="206C0A14" w:rsidR="008554B3" w:rsidRPr="00392F01" w:rsidRDefault="008554B3" w:rsidP="00C07C98">
      <w:pPr>
        <w:rPr>
          <w:del w:id="17636" w:author="AbbVie02no" w:date="2025-05-15T14:22:00Z"/>
          <w:sz w:val="22"/>
        </w:rPr>
      </w:pPr>
    </w:p>
    <w:p w14:paraId="1D0CA4F5" w14:textId="1DB53417" w:rsidR="008554B3" w:rsidRPr="00392F01" w:rsidRDefault="00E453CD" w:rsidP="00C07C98">
      <w:pPr>
        <w:rPr>
          <w:del w:id="17637" w:author="AbbVie02no" w:date="2025-05-15T14:22:00Z"/>
          <w:sz w:val="22"/>
          <w:szCs w:val="22"/>
        </w:rPr>
      </w:pPr>
      <w:del w:id="17638" w:author="AbbVie02no" w:date="2025-05-15T14:22:00Z">
        <w:r w:rsidRPr="00392F01">
          <w:rPr>
            <w:b/>
            <w:sz w:val="22"/>
            <w:szCs w:val="22"/>
          </w:rPr>
          <w:delText xml:space="preserve">For å lytte til eller be om en kopi av dette pakningsvedlegget </w:delText>
        </w:r>
        <w:r w:rsidR="00B0241B" w:rsidRPr="00776A84">
          <w:rPr>
            <w:b/>
            <w:sz w:val="22"/>
            <w:highlight w:val="lightGray"/>
          </w:rPr>
          <w:delText>i &lt;blindeskrift&gt;, &lt;større skrift&gt; eller &lt;lydfil&gt;</w:delText>
        </w:r>
        <w:r w:rsidRPr="00392F01">
          <w:rPr>
            <w:b/>
            <w:sz w:val="22"/>
            <w:szCs w:val="22"/>
          </w:rPr>
          <w:delText xml:space="preserve"> kan du kontakte den lokale representant for innehaveren av markedsføringstillatelsen.</w:delText>
        </w:r>
      </w:del>
    </w:p>
    <w:p w14:paraId="09211350" w14:textId="4B9C0D34" w:rsidR="00B33BEC" w:rsidRPr="00B33BEC" w:rsidRDefault="00E453CD" w:rsidP="00B33BEC">
      <w:pPr>
        <w:ind w:left="54"/>
        <w:jc w:val="center"/>
        <w:rPr>
          <w:sz w:val="22"/>
          <w:szCs w:val="22"/>
        </w:rPr>
      </w:pPr>
      <w:del w:id="17639" w:author="AbbVie02no" w:date="2025-05-15T14:22:00Z">
        <w:r w:rsidRPr="00392F01">
          <w:rPr>
            <w:b/>
            <w:sz w:val="22"/>
            <w:szCs w:val="22"/>
          </w:rPr>
          <w:br w:type="page"/>
        </w:r>
      </w:del>
      <w:r w:rsidRPr="00095354">
        <w:rPr>
          <w:b/>
          <w:sz w:val="22"/>
          <w:szCs w:val="22"/>
        </w:rPr>
        <w:lastRenderedPageBreak/>
        <w:t>Pakningsvedlegg: Informasjon til pasienten</w:t>
      </w:r>
    </w:p>
    <w:p w14:paraId="54EEA267" w14:textId="77777777" w:rsidR="00B33BEC" w:rsidRPr="00B33BEC" w:rsidRDefault="00B33BEC" w:rsidP="00B33BEC">
      <w:pPr>
        <w:jc w:val="center"/>
        <w:rPr>
          <w:sz w:val="22"/>
          <w:szCs w:val="22"/>
        </w:rPr>
      </w:pPr>
    </w:p>
    <w:p w14:paraId="61D9280D" w14:textId="77777777" w:rsidR="00B33BEC" w:rsidRPr="00771D63" w:rsidRDefault="00E453CD" w:rsidP="00B33BEC">
      <w:pPr>
        <w:jc w:val="center"/>
        <w:rPr>
          <w:sz w:val="22"/>
          <w:szCs w:val="22"/>
        </w:rPr>
      </w:pPr>
      <w:r w:rsidRPr="00095354">
        <w:rPr>
          <w:b/>
          <w:sz w:val="22"/>
          <w:szCs w:val="22"/>
        </w:rPr>
        <w:t>Humira 40</w:t>
      </w:r>
      <w:r w:rsidRPr="006B036B">
        <w:rPr>
          <w:b/>
          <w:sz w:val="22"/>
          <w:szCs w:val="22"/>
        </w:rPr>
        <w:t> mg injeksjonsvæske, oppløsning i ferdigfylt sprøyte</w:t>
      </w:r>
    </w:p>
    <w:p w14:paraId="62E2645F" w14:textId="77777777" w:rsidR="00B33BEC" w:rsidRPr="00771D63" w:rsidRDefault="00E453CD" w:rsidP="00B33BEC">
      <w:pPr>
        <w:ind w:left="54"/>
        <w:jc w:val="center"/>
        <w:rPr>
          <w:sz w:val="22"/>
          <w:szCs w:val="22"/>
        </w:rPr>
      </w:pPr>
      <w:r w:rsidRPr="00771D63">
        <w:rPr>
          <w:sz w:val="22"/>
          <w:szCs w:val="22"/>
        </w:rPr>
        <w:t>adalimumab</w:t>
      </w:r>
    </w:p>
    <w:p w14:paraId="22316EB3" w14:textId="77777777" w:rsidR="00B33BEC" w:rsidRPr="00C37307" w:rsidRDefault="00B33BEC" w:rsidP="00B33BEC">
      <w:pPr>
        <w:ind w:left="54"/>
        <w:jc w:val="center"/>
        <w:rPr>
          <w:sz w:val="22"/>
          <w:szCs w:val="22"/>
        </w:rPr>
      </w:pPr>
    </w:p>
    <w:p w14:paraId="5D7088DD" w14:textId="77777777" w:rsidR="00B33BEC" w:rsidRPr="009C5EFD" w:rsidRDefault="00E453CD" w:rsidP="00B33BEC">
      <w:pPr>
        <w:rPr>
          <w:sz w:val="22"/>
          <w:szCs w:val="22"/>
        </w:rPr>
      </w:pPr>
      <w:r w:rsidRPr="00EC47A3">
        <w:rPr>
          <w:b/>
          <w:sz w:val="22"/>
          <w:szCs w:val="22"/>
        </w:rPr>
        <w:t xml:space="preserve">Les nøye gjennom dette pakningsvedlegget før du begynner å bruke dette legemidlet. </w:t>
      </w:r>
      <w:r w:rsidRPr="009C5EFD">
        <w:rPr>
          <w:b/>
          <w:sz w:val="22"/>
          <w:szCs w:val="22"/>
        </w:rPr>
        <w:t>Det inneholder informasjon som er viktig for deg.</w:t>
      </w:r>
    </w:p>
    <w:p w14:paraId="413F7D32" w14:textId="77777777" w:rsidR="00B33BEC" w:rsidRPr="009C5EFD" w:rsidRDefault="00E453CD" w:rsidP="00B33BEC">
      <w:pPr>
        <w:numPr>
          <w:ilvl w:val="0"/>
          <w:numId w:val="1"/>
        </w:numPr>
        <w:ind w:left="567" w:right="-2" w:hanging="567"/>
        <w:rPr>
          <w:sz w:val="22"/>
          <w:szCs w:val="22"/>
        </w:rPr>
      </w:pPr>
      <w:r w:rsidRPr="009C5EFD">
        <w:rPr>
          <w:sz w:val="22"/>
          <w:szCs w:val="22"/>
        </w:rPr>
        <w:t>Ta vare på dette pakningsvedlegget. Du kan få behov for å lese det igjen.</w:t>
      </w:r>
    </w:p>
    <w:p w14:paraId="3BB2CB1E" w14:textId="77777777" w:rsidR="00D80AF5" w:rsidRPr="009C5EFD" w:rsidRDefault="00E453CD" w:rsidP="00B33BEC">
      <w:pPr>
        <w:numPr>
          <w:ilvl w:val="0"/>
          <w:numId w:val="1"/>
        </w:numPr>
        <w:ind w:left="567" w:right="-2" w:hanging="567"/>
        <w:rPr>
          <w:sz w:val="22"/>
          <w:szCs w:val="22"/>
        </w:rPr>
      </w:pPr>
      <w:r w:rsidRPr="009C5EFD">
        <w:rPr>
          <w:sz w:val="22"/>
          <w:szCs w:val="22"/>
        </w:rPr>
        <w:t xml:space="preserve">Legen </w:t>
      </w:r>
      <w:r>
        <w:rPr>
          <w:sz w:val="22"/>
          <w:szCs w:val="22"/>
        </w:rPr>
        <w:t xml:space="preserve">din </w:t>
      </w:r>
      <w:r w:rsidRPr="009C5EFD">
        <w:rPr>
          <w:sz w:val="22"/>
          <w:szCs w:val="22"/>
        </w:rPr>
        <w:t xml:space="preserve">vil også gi deg et </w:t>
      </w:r>
      <w:r w:rsidRPr="00060AFF">
        <w:rPr>
          <w:b/>
          <w:sz w:val="22"/>
          <w:szCs w:val="22"/>
        </w:rPr>
        <w:t>pasientkort</w:t>
      </w:r>
      <w:r w:rsidRPr="009C5EFD">
        <w:rPr>
          <w:sz w:val="22"/>
          <w:szCs w:val="22"/>
        </w:rPr>
        <w:t xml:space="preserve"> som inneholder viktige sikkerhetsopplysninger som du må være oppmerksom på før du </w:t>
      </w:r>
      <w:r>
        <w:rPr>
          <w:sz w:val="22"/>
          <w:szCs w:val="22"/>
        </w:rPr>
        <w:t>begynner å bruke</w:t>
      </w:r>
      <w:r w:rsidRPr="009C5EFD">
        <w:rPr>
          <w:sz w:val="22"/>
          <w:szCs w:val="22"/>
        </w:rPr>
        <w:t xml:space="preserve"> Humira og under behandling med Humira. Ha dette </w:t>
      </w:r>
      <w:r w:rsidRPr="00060AFF">
        <w:rPr>
          <w:b/>
          <w:sz w:val="22"/>
          <w:szCs w:val="22"/>
        </w:rPr>
        <w:t>pasientkortet</w:t>
      </w:r>
      <w:r w:rsidRPr="009C5EFD">
        <w:rPr>
          <w:sz w:val="22"/>
          <w:szCs w:val="22"/>
        </w:rPr>
        <w:t xml:space="preserve"> på deg.</w:t>
      </w:r>
    </w:p>
    <w:p w14:paraId="55272393" w14:textId="77777777" w:rsidR="00D80AF5" w:rsidRPr="009C5EFD" w:rsidRDefault="00E453CD" w:rsidP="00776A84">
      <w:pPr>
        <w:numPr>
          <w:ilvl w:val="0"/>
          <w:numId w:val="1"/>
        </w:numPr>
        <w:ind w:left="567" w:right="-2" w:hanging="567"/>
        <w:rPr>
          <w:sz w:val="22"/>
          <w:szCs w:val="22"/>
        </w:rPr>
      </w:pPr>
      <w:r w:rsidRPr="00D80AF5">
        <w:rPr>
          <w:sz w:val="22"/>
          <w:szCs w:val="22"/>
        </w:rPr>
        <w:t xml:space="preserve">Spør lege eller apotek hvis du har flere spørsmål eller trenger mer informasjon. </w:t>
      </w:r>
    </w:p>
    <w:p w14:paraId="598CAAE6" w14:textId="77777777" w:rsidR="00B33BEC" w:rsidRPr="009C5EFD" w:rsidRDefault="00E453CD" w:rsidP="00B33BEC">
      <w:pPr>
        <w:numPr>
          <w:ilvl w:val="0"/>
          <w:numId w:val="1"/>
        </w:numPr>
        <w:ind w:left="567" w:right="-2" w:hanging="567"/>
        <w:rPr>
          <w:b/>
          <w:sz w:val="22"/>
          <w:szCs w:val="22"/>
        </w:rPr>
      </w:pPr>
      <w:r w:rsidRPr="009C5EFD">
        <w:rPr>
          <w:sz w:val="22"/>
          <w:szCs w:val="22"/>
        </w:rPr>
        <w:t>Dette legemidlet er skrevet ut kun til deg. Ikke gi det videre til andre. Det kan skade dem</w:t>
      </w:r>
      <w:r>
        <w:rPr>
          <w:sz w:val="22"/>
          <w:szCs w:val="22"/>
        </w:rPr>
        <w:t>,</w:t>
      </w:r>
      <w:r w:rsidRPr="009C5EFD">
        <w:rPr>
          <w:sz w:val="22"/>
          <w:szCs w:val="22"/>
        </w:rPr>
        <w:t xml:space="preserve"> selv om de har symptomer på sykdom som ligner dine.</w:t>
      </w:r>
    </w:p>
    <w:p w14:paraId="048513FF" w14:textId="77777777" w:rsidR="00B33BEC" w:rsidRPr="009C5EFD" w:rsidRDefault="00E453CD" w:rsidP="00B33BEC">
      <w:pPr>
        <w:numPr>
          <w:ilvl w:val="0"/>
          <w:numId w:val="1"/>
        </w:numPr>
        <w:ind w:left="567" w:right="-2" w:hanging="567"/>
        <w:rPr>
          <w:b/>
          <w:sz w:val="22"/>
          <w:szCs w:val="22"/>
        </w:rPr>
      </w:pPr>
      <w:r w:rsidRPr="009C5EFD">
        <w:rPr>
          <w:sz w:val="22"/>
          <w:szCs w:val="22"/>
        </w:rPr>
        <w:t>Kontakt lege</w:t>
      </w:r>
      <w:r>
        <w:rPr>
          <w:sz w:val="22"/>
          <w:szCs w:val="22"/>
        </w:rPr>
        <w:t>n din</w:t>
      </w:r>
      <w:r w:rsidRPr="009C5EFD">
        <w:rPr>
          <w:sz w:val="22"/>
          <w:szCs w:val="22"/>
        </w:rPr>
        <w:t xml:space="preserve"> eller apotek dersom du opplever bivirkninger, inkludert mulige bivirkninger som ikke er nevnt i dette pakningsvedlegget. Se avsnitt 4.</w:t>
      </w:r>
    </w:p>
    <w:p w14:paraId="005CDA55" w14:textId="77777777" w:rsidR="00B33BEC" w:rsidRPr="00C40ABF" w:rsidRDefault="00B33BEC" w:rsidP="00B33BEC">
      <w:pPr>
        <w:rPr>
          <w:sz w:val="22"/>
          <w:szCs w:val="22"/>
        </w:rPr>
      </w:pPr>
    </w:p>
    <w:p w14:paraId="0530A74E" w14:textId="77777777" w:rsidR="00B33BEC" w:rsidRPr="009C5EFD" w:rsidRDefault="00E453CD" w:rsidP="00776A84">
      <w:pPr>
        <w:keepNext/>
        <w:rPr>
          <w:b/>
          <w:sz w:val="22"/>
          <w:szCs w:val="22"/>
        </w:rPr>
      </w:pPr>
      <w:r w:rsidRPr="009C5EFD">
        <w:rPr>
          <w:b/>
          <w:sz w:val="22"/>
          <w:szCs w:val="22"/>
        </w:rPr>
        <w:t>I dette pakningsvedlegget finner du informasjon om</w:t>
      </w:r>
    </w:p>
    <w:p w14:paraId="368F0633" w14:textId="77777777" w:rsidR="00B33BEC" w:rsidRPr="009C5EFD" w:rsidRDefault="00E453CD" w:rsidP="00B33BEC">
      <w:pPr>
        <w:ind w:left="567" w:right="-29" w:hanging="567"/>
        <w:rPr>
          <w:sz w:val="22"/>
          <w:szCs w:val="22"/>
        </w:rPr>
      </w:pPr>
      <w:r w:rsidRPr="009C5EFD">
        <w:rPr>
          <w:sz w:val="22"/>
          <w:szCs w:val="22"/>
        </w:rPr>
        <w:t>1.</w:t>
      </w:r>
      <w:r w:rsidRPr="009C5EFD">
        <w:rPr>
          <w:sz w:val="22"/>
          <w:szCs w:val="22"/>
        </w:rPr>
        <w:tab/>
        <w:t>Hva Humira er og hva det brukes mot</w:t>
      </w:r>
    </w:p>
    <w:p w14:paraId="27ED907B" w14:textId="77777777" w:rsidR="00B33BEC" w:rsidRPr="009C5EFD" w:rsidRDefault="00E453CD" w:rsidP="00B33BEC">
      <w:pPr>
        <w:ind w:left="567" w:right="-29" w:hanging="567"/>
        <w:rPr>
          <w:sz w:val="22"/>
          <w:szCs w:val="22"/>
        </w:rPr>
      </w:pPr>
      <w:r w:rsidRPr="009C5EFD">
        <w:rPr>
          <w:sz w:val="22"/>
          <w:szCs w:val="22"/>
        </w:rPr>
        <w:t>2.</w:t>
      </w:r>
      <w:r w:rsidRPr="009C5EFD">
        <w:rPr>
          <w:sz w:val="22"/>
          <w:szCs w:val="22"/>
        </w:rPr>
        <w:tab/>
        <w:t>Hva du må vite før du bruker Humira</w:t>
      </w:r>
    </w:p>
    <w:p w14:paraId="5FCC89FC" w14:textId="77777777" w:rsidR="00B33BEC" w:rsidRPr="009C5EFD" w:rsidRDefault="00E453CD" w:rsidP="00B33BEC">
      <w:pPr>
        <w:ind w:left="567" w:right="-29" w:hanging="567"/>
        <w:rPr>
          <w:sz w:val="22"/>
          <w:szCs w:val="22"/>
        </w:rPr>
      </w:pPr>
      <w:r w:rsidRPr="009C5EFD">
        <w:rPr>
          <w:sz w:val="22"/>
          <w:szCs w:val="22"/>
        </w:rPr>
        <w:t>3.</w:t>
      </w:r>
      <w:r w:rsidRPr="009C5EFD">
        <w:rPr>
          <w:sz w:val="22"/>
          <w:szCs w:val="22"/>
        </w:rPr>
        <w:tab/>
        <w:t>Hvordan du bruker Humira</w:t>
      </w:r>
    </w:p>
    <w:p w14:paraId="44D67771" w14:textId="77777777" w:rsidR="00B33BEC" w:rsidRPr="009C5EFD" w:rsidRDefault="00E453CD" w:rsidP="00B33BEC">
      <w:pPr>
        <w:ind w:left="567" w:right="-29" w:hanging="567"/>
        <w:rPr>
          <w:sz w:val="22"/>
          <w:szCs w:val="22"/>
        </w:rPr>
      </w:pPr>
      <w:r w:rsidRPr="009C5EFD">
        <w:rPr>
          <w:sz w:val="22"/>
          <w:szCs w:val="22"/>
        </w:rPr>
        <w:t>4.</w:t>
      </w:r>
      <w:r w:rsidRPr="009C5EFD">
        <w:rPr>
          <w:sz w:val="22"/>
          <w:szCs w:val="22"/>
        </w:rPr>
        <w:tab/>
        <w:t>Mulige bivirkninger</w:t>
      </w:r>
    </w:p>
    <w:p w14:paraId="72B0FD4B" w14:textId="77777777" w:rsidR="00B33BEC" w:rsidRPr="009C5EFD" w:rsidRDefault="00E453CD" w:rsidP="00B33BEC">
      <w:pPr>
        <w:ind w:left="567" w:right="-29" w:hanging="567"/>
        <w:rPr>
          <w:sz w:val="22"/>
          <w:szCs w:val="22"/>
        </w:rPr>
      </w:pPr>
      <w:r w:rsidRPr="009C5EFD">
        <w:rPr>
          <w:sz w:val="22"/>
          <w:szCs w:val="22"/>
        </w:rPr>
        <w:t>5.</w:t>
      </w:r>
      <w:r w:rsidRPr="009C5EFD">
        <w:rPr>
          <w:sz w:val="22"/>
          <w:szCs w:val="22"/>
        </w:rPr>
        <w:tab/>
        <w:t>Hvordan du oppbevarer Humira</w:t>
      </w:r>
    </w:p>
    <w:p w14:paraId="0AF21EE2" w14:textId="77777777" w:rsidR="00B33BEC" w:rsidRDefault="00E453CD" w:rsidP="00B33BEC">
      <w:pPr>
        <w:ind w:left="567" w:right="-29" w:hanging="567"/>
        <w:rPr>
          <w:sz w:val="22"/>
          <w:szCs w:val="22"/>
        </w:rPr>
      </w:pPr>
      <w:r w:rsidRPr="009C5EFD">
        <w:rPr>
          <w:sz w:val="22"/>
          <w:szCs w:val="22"/>
        </w:rPr>
        <w:t>6.</w:t>
      </w:r>
      <w:r w:rsidRPr="009C5EFD">
        <w:rPr>
          <w:sz w:val="22"/>
          <w:szCs w:val="22"/>
        </w:rPr>
        <w:tab/>
        <w:t>Innholdet i pakningen og ytterligere informasjon</w:t>
      </w:r>
    </w:p>
    <w:p w14:paraId="059788AA" w14:textId="77777777" w:rsidR="00B33BEC" w:rsidRPr="009C5EFD" w:rsidRDefault="00E453CD" w:rsidP="00B33BEC">
      <w:pPr>
        <w:ind w:left="567" w:right="-29" w:hanging="567"/>
        <w:rPr>
          <w:sz w:val="22"/>
          <w:szCs w:val="22"/>
        </w:rPr>
      </w:pPr>
      <w:r>
        <w:rPr>
          <w:sz w:val="22"/>
          <w:szCs w:val="22"/>
        </w:rPr>
        <w:t>7.</w:t>
      </w:r>
      <w:r>
        <w:rPr>
          <w:sz w:val="22"/>
          <w:szCs w:val="22"/>
        </w:rPr>
        <w:tab/>
      </w:r>
      <w:r w:rsidR="00906D19">
        <w:rPr>
          <w:sz w:val="22"/>
          <w:szCs w:val="22"/>
        </w:rPr>
        <w:t>Hvordan du injiserer Humira</w:t>
      </w:r>
    </w:p>
    <w:p w14:paraId="21629CF4" w14:textId="77777777" w:rsidR="00B33BEC" w:rsidRPr="009C5EFD" w:rsidRDefault="00B33BEC" w:rsidP="00B33BEC">
      <w:pPr>
        <w:rPr>
          <w:sz w:val="22"/>
          <w:szCs w:val="22"/>
        </w:rPr>
      </w:pPr>
    </w:p>
    <w:p w14:paraId="5F2C0326" w14:textId="77777777" w:rsidR="00B33BEC" w:rsidRPr="009C5EFD" w:rsidRDefault="00B33BEC" w:rsidP="00B33BEC">
      <w:pPr>
        <w:rPr>
          <w:sz w:val="22"/>
          <w:szCs w:val="22"/>
        </w:rPr>
      </w:pPr>
    </w:p>
    <w:p w14:paraId="36819FB9" w14:textId="77777777" w:rsidR="00B33BEC" w:rsidRPr="009C5EFD" w:rsidRDefault="00E453CD" w:rsidP="00776A84">
      <w:pPr>
        <w:keepNext/>
        <w:ind w:left="567" w:hanging="567"/>
        <w:rPr>
          <w:b/>
          <w:sz w:val="22"/>
          <w:szCs w:val="22"/>
        </w:rPr>
      </w:pPr>
      <w:r w:rsidRPr="009C5EFD">
        <w:rPr>
          <w:b/>
          <w:sz w:val="22"/>
          <w:szCs w:val="22"/>
        </w:rPr>
        <w:t>1.</w:t>
      </w:r>
      <w:r w:rsidRPr="009C5EFD">
        <w:rPr>
          <w:b/>
          <w:sz w:val="22"/>
          <w:szCs w:val="22"/>
        </w:rPr>
        <w:tab/>
        <w:t>Hva Humira er og hva det brukes mot</w:t>
      </w:r>
    </w:p>
    <w:p w14:paraId="25D94AA9" w14:textId="77777777" w:rsidR="00B33BEC" w:rsidRPr="009C5EFD" w:rsidRDefault="00B33BEC" w:rsidP="00776A84">
      <w:pPr>
        <w:keepNext/>
        <w:rPr>
          <w:sz w:val="22"/>
          <w:szCs w:val="22"/>
        </w:rPr>
      </w:pPr>
    </w:p>
    <w:p w14:paraId="1C11EFB1" w14:textId="77777777" w:rsidR="00B33BEC" w:rsidRDefault="00E453CD" w:rsidP="00B33BEC">
      <w:pPr>
        <w:suppressAutoHyphens/>
        <w:rPr>
          <w:sz w:val="22"/>
          <w:szCs w:val="22"/>
        </w:rPr>
      </w:pPr>
      <w:r w:rsidRPr="009C5EFD">
        <w:rPr>
          <w:sz w:val="22"/>
          <w:szCs w:val="22"/>
        </w:rPr>
        <w:t>Humira inneholder virkestoffet adalimumab.</w:t>
      </w:r>
    </w:p>
    <w:p w14:paraId="772518E9" w14:textId="77777777" w:rsidR="00B33BEC" w:rsidRDefault="00B33BEC" w:rsidP="00B33BEC">
      <w:pPr>
        <w:suppressAutoHyphens/>
        <w:rPr>
          <w:sz w:val="22"/>
          <w:szCs w:val="22"/>
        </w:rPr>
      </w:pPr>
    </w:p>
    <w:p w14:paraId="6539AB03" w14:textId="77777777" w:rsidR="00B33BEC" w:rsidRDefault="00E453CD" w:rsidP="00776A84">
      <w:pPr>
        <w:keepNext/>
        <w:suppressAutoHyphens/>
        <w:rPr>
          <w:sz w:val="22"/>
          <w:szCs w:val="22"/>
        </w:rPr>
      </w:pPr>
      <w:r w:rsidRPr="009C5EFD">
        <w:rPr>
          <w:sz w:val="22"/>
          <w:szCs w:val="22"/>
        </w:rPr>
        <w:t xml:space="preserve">Humira brukes </w:t>
      </w:r>
      <w:r>
        <w:rPr>
          <w:sz w:val="22"/>
          <w:szCs w:val="22"/>
        </w:rPr>
        <w:t>til å</w:t>
      </w:r>
      <w:r w:rsidRPr="009C5EFD">
        <w:rPr>
          <w:sz w:val="22"/>
          <w:szCs w:val="22"/>
        </w:rPr>
        <w:t xml:space="preserve"> behandl</w:t>
      </w:r>
      <w:r>
        <w:rPr>
          <w:sz w:val="22"/>
          <w:szCs w:val="22"/>
        </w:rPr>
        <w:t>e</w:t>
      </w:r>
    </w:p>
    <w:p w14:paraId="70628268" w14:textId="77777777" w:rsidR="00B33BEC" w:rsidRPr="00F827E5" w:rsidRDefault="00E453CD" w:rsidP="00776A84">
      <w:pPr>
        <w:numPr>
          <w:ilvl w:val="0"/>
          <w:numId w:val="143"/>
        </w:numPr>
        <w:tabs>
          <w:tab w:val="left" w:pos="562"/>
        </w:tabs>
        <w:suppressAutoHyphens/>
        <w:ind w:left="284" w:hanging="284"/>
        <w:rPr>
          <w:noProof/>
          <w:color w:val="000000"/>
          <w:sz w:val="22"/>
          <w:szCs w:val="22"/>
        </w:rPr>
      </w:pPr>
      <w:r w:rsidRPr="00F827E5">
        <w:rPr>
          <w:noProof/>
          <w:color w:val="000000"/>
          <w:sz w:val="22"/>
          <w:szCs w:val="22"/>
        </w:rPr>
        <w:t>R</w:t>
      </w:r>
      <w:r>
        <w:rPr>
          <w:noProof/>
          <w:color w:val="000000"/>
          <w:sz w:val="22"/>
          <w:szCs w:val="22"/>
        </w:rPr>
        <w:t>evmatoid artritt</w:t>
      </w:r>
    </w:p>
    <w:p w14:paraId="0E31B457" w14:textId="77777777" w:rsidR="00B33BEC" w:rsidRDefault="00E453CD" w:rsidP="00776A84">
      <w:pPr>
        <w:numPr>
          <w:ilvl w:val="0"/>
          <w:numId w:val="143"/>
        </w:numPr>
        <w:tabs>
          <w:tab w:val="left" w:pos="562"/>
        </w:tabs>
        <w:suppressAutoHyphens/>
        <w:ind w:left="284" w:hanging="284"/>
        <w:rPr>
          <w:noProof/>
          <w:color w:val="000000"/>
          <w:sz w:val="22"/>
          <w:szCs w:val="22"/>
        </w:rPr>
      </w:pPr>
      <w:r w:rsidRPr="00F827E5">
        <w:rPr>
          <w:noProof/>
          <w:color w:val="000000"/>
          <w:sz w:val="22"/>
          <w:szCs w:val="22"/>
        </w:rPr>
        <w:t>Polyarti</w:t>
      </w:r>
      <w:r>
        <w:rPr>
          <w:noProof/>
          <w:color w:val="000000"/>
          <w:sz w:val="22"/>
          <w:szCs w:val="22"/>
        </w:rPr>
        <w:t>kulær juvenil</w:t>
      </w:r>
      <w:r w:rsidRPr="00F827E5">
        <w:rPr>
          <w:noProof/>
          <w:color w:val="000000"/>
          <w:sz w:val="22"/>
          <w:szCs w:val="22"/>
        </w:rPr>
        <w:t xml:space="preserve"> idiopati</w:t>
      </w:r>
      <w:r>
        <w:rPr>
          <w:noProof/>
          <w:color w:val="000000"/>
          <w:sz w:val="22"/>
          <w:szCs w:val="22"/>
        </w:rPr>
        <w:t>sk</w:t>
      </w:r>
      <w:r w:rsidRPr="00F827E5">
        <w:rPr>
          <w:noProof/>
          <w:color w:val="000000"/>
          <w:sz w:val="22"/>
          <w:szCs w:val="22"/>
        </w:rPr>
        <w:t xml:space="preserve"> artrit</w:t>
      </w:r>
      <w:r>
        <w:rPr>
          <w:noProof/>
          <w:color w:val="000000"/>
          <w:sz w:val="22"/>
          <w:szCs w:val="22"/>
        </w:rPr>
        <w:t>t</w:t>
      </w:r>
    </w:p>
    <w:p w14:paraId="23E01818"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Entesittrelatert artritt</w:t>
      </w:r>
    </w:p>
    <w:p w14:paraId="670903D1"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Bekhterevs sykdom (ankyloserende spondylitt)</w:t>
      </w:r>
    </w:p>
    <w:p w14:paraId="5FE4647B"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Aksial spondylartritt uten radiografisk bekreftelse på ankyloserende spondylitt</w:t>
      </w:r>
    </w:p>
    <w:p w14:paraId="57EFB0AD"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Psoriasisartritt</w:t>
      </w:r>
    </w:p>
    <w:p w14:paraId="2159CF91"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Plakkpsoriasis</w:t>
      </w:r>
    </w:p>
    <w:p w14:paraId="0D7CA4AD"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Hidrosadenitt</w:t>
      </w:r>
    </w:p>
    <w:p w14:paraId="01C640C4"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Crohns sykdom</w:t>
      </w:r>
    </w:p>
    <w:p w14:paraId="2DAF505C" w14:textId="77777777" w:rsidR="00B33BEC"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Ulcerøs kolitt</w:t>
      </w:r>
    </w:p>
    <w:p w14:paraId="39AA92E5" w14:textId="77777777" w:rsidR="00B33BEC" w:rsidRPr="00F827E5" w:rsidRDefault="00E453CD" w:rsidP="00776A84">
      <w:pPr>
        <w:numPr>
          <w:ilvl w:val="0"/>
          <w:numId w:val="143"/>
        </w:numPr>
        <w:tabs>
          <w:tab w:val="left" w:pos="562"/>
        </w:tabs>
        <w:suppressAutoHyphens/>
        <w:ind w:left="284" w:hanging="284"/>
        <w:rPr>
          <w:noProof/>
          <w:color w:val="000000"/>
          <w:sz w:val="22"/>
          <w:szCs w:val="22"/>
        </w:rPr>
      </w:pPr>
      <w:r>
        <w:rPr>
          <w:noProof/>
          <w:color w:val="000000"/>
          <w:sz w:val="22"/>
          <w:szCs w:val="22"/>
        </w:rPr>
        <w:t>Ikke-infeksiøs uveitt</w:t>
      </w:r>
    </w:p>
    <w:p w14:paraId="5FD231E2" w14:textId="77777777" w:rsidR="00B33BEC" w:rsidRDefault="00B33BEC" w:rsidP="00B33BEC">
      <w:pPr>
        <w:suppressAutoHyphens/>
        <w:rPr>
          <w:sz w:val="22"/>
          <w:szCs w:val="22"/>
        </w:rPr>
      </w:pPr>
    </w:p>
    <w:p w14:paraId="1DD08B03" w14:textId="77777777" w:rsidR="00B33BEC" w:rsidRDefault="00E453CD" w:rsidP="00B33BEC">
      <w:pPr>
        <w:suppressAutoHyphens/>
        <w:rPr>
          <w:sz w:val="22"/>
          <w:szCs w:val="22"/>
        </w:rPr>
      </w:pPr>
      <w:r w:rsidRPr="009C5EFD">
        <w:rPr>
          <w:sz w:val="22"/>
          <w:szCs w:val="22"/>
        </w:rPr>
        <w:t>Virkestoffet</w:t>
      </w:r>
      <w:r>
        <w:rPr>
          <w:sz w:val="22"/>
          <w:szCs w:val="22"/>
        </w:rPr>
        <w:t xml:space="preserve"> i Humira</w:t>
      </w:r>
      <w:r w:rsidRPr="009C5EFD">
        <w:rPr>
          <w:sz w:val="22"/>
          <w:szCs w:val="22"/>
        </w:rPr>
        <w:t xml:space="preserve">, adalimumab, er et humant monoklonalt antistoff. Monoklonale antistoffer er proteiner som </w:t>
      </w:r>
      <w:r>
        <w:rPr>
          <w:sz w:val="22"/>
          <w:szCs w:val="22"/>
        </w:rPr>
        <w:t>fester</w:t>
      </w:r>
      <w:r w:rsidRPr="009C5EFD">
        <w:rPr>
          <w:sz w:val="22"/>
          <w:szCs w:val="22"/>
        </w:rPr>
        <w:t xml:space="preserve"> seg til </w:t>
      </w:r>
      <w:r>
        <w:rPr>
          <w:sz w:val="22"/>
          <w:szCs w:val="22"/>
        </w:rPr>
        <w:t>et spesifikt mål</w:t>
      </w:r>
      <w:r w:rsidRPr="009C5EFD">
        <w:rPr>
          <w:sz w:val="22"/>
          <w:szCs w:val="22"/>
        </w:rPr>
        <w:t>.</w:t>
      </w:r>
    </w:p>
    <w:p w14:paraId="6471B8BF" w14:textId="77777777" w:rsidR="00B33BEC" w:rsidRDefault="00B33BEC" w:rsidP="00B33BEC">
      <w:pPr>
        <w:suppressAutoHyphens/>
        <w:rPr>
          <w:sz w:val="22"/>
          <w:szCs w:val="22"/>
        </w:rPr>
      </w:pPr>
    </w:p>
    <w:p w14:paraId="79C95C3D" w14:textId="77777777" w:rsidR="00B33BEC" w:rsidRDefault="00E453CD" w:rsidP="00B33BEC">
      <w:pPr>
        <w:suppressAutoHyphens/>
        <w:rPr>
          <w:sz w:val="22"/>
          <w:szCs w:val="22"/>
        </w:rPr>
      </w:pPr>
      <w:r>
        <w:rPr>
          <w:sz w:val="22"/>
          <w:szCs w:val="22"/>
        </w:rPr>
        <w:t>Målet til a</w:t>
      </w:r>
      <w:r w:rsidRPr="009C5EFD">
        <w:rPr>
          <w:sz w:val="22"/>
          <w:szCs w:val="22"/>
        </w:rPr>
        <w:t xml:space="preserve">dalimumab </w:t>
      </w:r>
      <w:r>
        <w:rPr>
          <w:sz w:val="22"/>
          <w:szCs w:val="22"/>
        </w:rPr>
        <w:t>er</w:t>
      </w:r>
      <w:r w:rsidRPr="009C5EFD">
        <w:rPr>
          <w:sz w:val="22"/>
          <w:szCs w:val="22"/>
        </w:rPr>
        <w:t xml:space="preserve"> et protein </w:t>
      </w:r>
      <w:r>
        <w:rPr>
          <w:sz w:val="22"/>
          <w:szCs w:val="22"/>
        </w:rPr>
        <w:t xml:space="preserve">som kalles </w:t>
      </w:r>
      <w:r w:rsidRPr="009C5EFD">
        <w:rPr>
          <w:sz w:val="22"/>
          <w:szCs w:val="22"/>
        </w:rPr>
        <w:t xml:space="preserve">tumornekrosefaktor </w:t>
      </w:r>
      <w:r>
        <w:rPr>
          <w:sz w:val="22"/>
          <w:szCs w:val="22"/>
        </w:rPr>
        <w:t>(</w:t>
      </w:r>
      <w:r w:rsidRPr="009C5EFD">
        <w:rPr>
          <w:sz w:val="22"/>
          <w:szCs w:val="22"/>
        </w:rPr>
        <w:t>TNF</w:t>
      </w:r>
      <w:r>
        <w:rPr>
          <w:sz w:val="22"/>
          <w:szCs w:val="22"/>
        </w:rPr>
        <w:t>α</w:t>
      </w:r>
      <w:r w:rsidRPr="009C5EFD">
        <w:rPr>
          <w:sz w:val="22"/>
          <w:szCs w:val="22"/>
        </w:rPr>
        <w:t>), som</w:t>
      </w:r>
      <w:r>
        <w:rPr>
          <w:sz w:val="22"/>
          <w:szCs w:val="22"/>
        </w:rPr>
        <w:t xml:space="preserve"> er involvert i immunforsvaret. Ved betennelsessykdommene ovenfor foreligger det i økte nivåer. Ved å feste seg til TNFα, senker Humira betennelsesprosessen ved disse tilstandene.</w:t>
      </w:r>
    </w:p>
    <w:p w14:paraId="3CE47CBB" w14:textId="77777777" w:rsidR="00B33BEC" w:rsidRPr="009C5EFD" w:rsidRDefault="00B33BEC" w:rsidP="00B33BEC">
      <w:pPr>
        <w:suppressAutoHyphens/>
        <w:rPr>
          <w:sz w:val="22"/>
          <w:szCs w:val="22"/>
        </w:rPr>
      </w:pPr>
    </w:p>
    <w:p w14:paraId="2491F36B" w14:textId="77777777" w:rsidR="00B33BEC" w:rsidRPr="00060AFF" w:rsidRDefault="00E453CD" w:rsidP="00AF70AD">
      <w:pPr>
        <w:pStyle w:val="Heading2"/>
        <w:suppressAutoHyphens/>
        <w:ind w:left="0"/>
        <w:rPr>
          <w:b/>
          <w:szCs w:val="22"/>
          <w:u w:val="none"/>
        </w:rPr>
      </w:pPr>
      <w:r w:rsidRPr="00060AFF">
        <w:rPr>
          <w:b/>
          <w:szCs w:val="22"/>
          <w:u w:val="none"/>
        </w:rPr>
        <w:t>Revmatoid artritt</w:t>
      </w:r>
    </w:p>
    <w:p w14:paraId="0E340F6A" w14:textId="77777777" w:rsidR="00B33BEC" w:rsidRPr="009C5EFD" w:rsidRDefault="00B33BEC" w:rsidP="00AF70AD">
      <w:pPr>
        <w:keepNext/>
        <w:suppressAutoHyphens/>
        <w:rPr>
          <w:sz w:val="22"/>
          <w:szCs w:val="22"/>
        </w:rPr>
      </w:pPr>
    </w:p>
    <w:p w14:paraId="7E400A2E" w14:textId="77777777" w:rsidR="00B33BEC" w:rsidRPr="009C5EFD" w:rsidRDefault="00E453CD" w:rsidP="00B33BEC">
      <w:pPr>
        <w:suppressAutoHyphens/>
        <w:rPr>
          <w:sz w:val="22"/>
          <w:szCs w:val="22"/>
        </w:rPr>
      </w:pPr>
      <w:r w:rsidRPr="009C5EFD">
        <w:rPr>
          <w:sz w:val="22"/>
          <w:szCs w:val="22"/>
        </w:rPr>
        <w:t>Revmatoid artritt er en betennelsessykdom i leddene.</w:t>
      </w:r>
    </w:p>
    <w:p w14:paraId="79D37B25" w14:textId="77777777" w:rsidR="00B33BEC" w:rsidRPr="009C5EFD" w:rsidRDefault="00B33BEC" w:rsidP="00B33BEC">
      <w:pPr>
        <w:suppressAutoHyphens/>
        <w:rPr>
          <w:sz w:val="22"/>
          <w:szCs w:val="22"/>
        </w:rPr>
      </w:pPr>
    </w:p>
    <w:p w14:paraId="41284522" w14:textId="77777777" w:rsidR="00B33BEC" w:rsidRPr="009C5EFD" w:rsidRDefault="00E453CD" w:rsidP="00B33BEC">
      <w:pPr>
        <w:suppressAutoHyphens/>
        <w:rPr>
          <w:sz w:val="22"/>
          <w:szCs w:val="22"/>
        </w:rPr>
      </w:pPr>
      <w:r w:rsidRPr="009C5EFD">
        <w:rPr>
          <w:sz w:val="22"/>
          <w:szCs w:val="22"/>
        </w:rPr>
        <w:lastRenderedPageBreak/>
        <w:t xml:space="preserve">Humira brukes </w:t>
      </w:r>
      <w:r>
        <w:rPr>
          <w:sz w:val="22"/>
          <w:szCs w:val="22"/>
        </w:rPr>
        <w:t>til</w:t>
      </w:r>
      <w:r w:rsidRPr="009C5EFD">
        <w:rPr>
          <w:sz w:val="22"/>
          <w:szCs w:val="22"/>
        </w:rPr>
        <w:t xml:space="preserve"> å behandle </w:t>
      </w:r>
      <w:r>
        <w:rPr>
          <w:sz w:val="22"/>
          <w:szCs w:val="22"/>
        </w:rPr>
        <w:t xml:space="preserve">moderat til alvorlig </w:t>
      </w:r>
      <w:r w:rsidRPr="009C5EFD">
        <w:rPr>
          <w:sz w:val="22"/>
          <w:szCs w:val="22"/>
        </w:rPr>
        <w:t xml:space="preserve">revmatoid artritt hos voksne. </w:t>
      </w:r>
      <w:r>
        <w:rPr>
          <w:sz w:val="22"/>
          <w:szCs w:val="22"/>
        </w:rPr>
        <w:t>Det</w:t>
      </w:r>
      <w:r w:rsidRPr="009C5EFD">
        <w:rPr>
          <w:sz w:val="22"/>
          <w:szCs w:val="22"/>
        </w:rPr>
        <w:t xml:space="preserve"> kan hende du først får andre sykdomsmodifiserende </w:t>
      </w:r>
      <w:r>
        <w:rPr>
          <w:sz w:val="22"/>
          <w:szCs w:val="22"/>
        </w:rPr>
        <w:t>legemidler</w:t>
      </w:r>
      <w:r w:rsidRPr="009C5EFD">
        <w:rPr>
          <w:sz w:val="22"/>
          <w:szCs w:val="22"/>
        </w:rPr>
        <w:t xml:space="preserve">, som metotreksat. Dersom du ikke reagerer godt nok på disse </w:t>
      </w:r>
      <w:r>
        <w:rPr>
          <w:sz w:val="22"/>
          <w:szCs w:val="22"/>
        </w:rPr>
        <w:t>legemidlene</w:t>
      </w:r>
      <w:r w:rsidRPr="009C5EFD">
        <w:rPr>
          <w:sz w:val="22"/>
          <w:szCs w:val="22"/>
        </w:rPr>
        <w:t xml:space="preserve">, vil du få Humira. </w:t>
      </w:r>
    </w:p>
    <w:p w14:paraId="40F10B95" w14:textId="77777777" w:rsidR="00B33BEC" w:rsidRPr="009C5EFD" w:rsidRDefault="00B33BEC" w:rsidP="00B33BEC">
      <w:pPr>
        <w:suppressAutoHyphens/>
        <w:rPr>
          <w:sz w:val="22"/>
          <w:szCs w:val="22"/>
        </w:rPr>
      </w:pPr>
    </w:p>
    <w:p w14:paraId="7A5631FC" w14:textId="77777777" w:rsidR="00B33BEC" w:rsidRPr="009C5EFD" w:rsidRDefault="00E453CD" w:rsidP="00B33BEC">
      <w:pPr>
        <w:suppressAutoHyphens/>
        <w:rPr>
          <w:sz w:val="22"/>
          <w:szCs w:val="22"/>
        </w:rPr>
      </w:pPr>
      <w:r w:rsidRPr="009C5EFD">
        <w:rPr>
          <w:sz w:val="22"/>
          <w:szCs w:val="22"/>
        </w:rPr>
        <w:t xml:space="preserve">Humira kan også brukes </w:t>
      </w:r>
      <w:r>
        <w:rPr>
          <w:sz w:val="22"/>
          <w:szCs w:val="22"/>
        </w:rPr>
        <w:t>til</w:t>
      </w:r>
      <w:r w:rsidRPr="009C5EFD">
        <w:rPr>
          <w:sz w:val="22"/>
          <w:szCs w:val="22"/>
        </w:rPr>
        <w:t xml:space="preserve"> å behandle alvorlig, aktiv og progredierende revmatoid artritt uten tidligere behandling med metotreksat.</w:t>
      </w:r>
    </w:p>
    <w:p w14:paraId="57C88F1A" w14:textId="77777777" w:rsidR="00B33BEC" w:rsidRPr="009C5EFD" w:rsidRDefault="00B33BEC" w:rsidP="00B33BEC">
      <w:pPr>
        <w:suppressAutoHyphens/>
        <w:rPr>
          <w:sz w:val="22"/>
          <w:szCs w:val="22"/>
        </w:rPr>
      </w:pPr>
    </w:p>
    <w:p w14:paraId="4426AA58" w14:textId="77777777" w:rsidR="00B33BEC" w:rsidRPr="009C5EFD" w:rsidRDefault="00E453CD" w:rsidP="00B33BEC">
      <w:pPr>
        <w:suppressAutoHyphens/>
        <w:rPr>
          <w:sz w:val="22"/>
          <w:szCs w:val="22"/>
        </w:rPr>
      </w:pPr>
      <w:r w:rsidRPr="009C5EFD">
        <w:rPr>
          <w:sz w:val="22"/>
          <w:szCs w:val="22"/>
        </w:rPr>
        <w:t xml:space="preserve">Humira </w:t>
      </w:r>
      <w:r>
        <w:rPr>
          <w:sz w:val="22"/>
          <w:szCs w:val="22"/>
        </w:rPr>
        <w:t>kan</w:t>
      </w:r>
      <w:r w:rsidRPr="009C5EFD">
        <w:rPr>
          <w:sz w:val="22"/>
          <w:szCs w:val="22"/>
        </w:rPr>
        <w:t xml:space="preserve"> bremse skadevirkninge</w:t>
      </w:r>
      <w:r>
        <w:rPr>
          <w:sz w:val="22"/>
          <w:szCs w:val="22"/>
        </w:rPr>
        <w:t>ne</w:t>
      </w:r>
      <w:r w:rsidRPr="009C5EFD">
        <w:rPr>
          <w:sz w:val="22"/>
          <w:szCs w:val="22"/>
        </w:rPr>
        <w:t xml:space="preserve"> i leddene </w:t>
      </w:r>
      <w:r>
        <w:rPr>
          <w:sz w:val="22"/>
          <w:szCs w:val="22"/>
        </w:rPr>
        <w:t xml:space="preserve">forårsaket av betennelsessykdommen </w:t>
      </w:r>
      <w:r w:rsidRPr="009C5EFD">
        <w:rPr>
          <w:sz w:val="22"/>
          <w:szCs w:val="22"/>
        </w:rPr>
        <w:t xml:space="preserve">og kan hjelpe </w:t>
      </w:r>
      <w:r>
        <w:rPr>
          <w:sz w:val="22"/>
          <w:szCs w:val="22"/>
        </w:rPr>
        <w:t>leddene med</w:t>
      </w:r>
      <w:r w:rsidRPr="009C5EFD">
        <w:rPr>
          <w:sz w:val="22"/>
          <w:szCs w:val="22"/>
        </w:rPr>
        <w:t xml:space="preserve"> å </w:t>
      </w:r>
      <w:r>
        <w:rPr>
          <w:sz w:val="22"/>
          <w:szCs w:val="22"/>
        </w:rPr>
        <w:t>bevege seg mer fritt</w:t>
      </w:r>
      <w:r w:rsidRPr="009C5EFD">
        <w:rPr>
          <w:sz w:val="22"/>
          <w:szCs w:val="22"/>
        </w:rPr>
        <w:t xml:space="preserve">. </w:t>
      </w:r>
    </w:p>
    <w:p w14:paraId="1A61B9E7" w14:textId="77777777" w:rsidR="00B33BEC" w:rsidRPr="009C5EFD" w:rsidRDefault="00B33BEC" w:rsidP="00B33BEC">
      <w:pPr>
        <w:suppressAutoHyphens/>
        <w:rPr>
          <w:sz w:val="22"/>
          <w:szCs w:val="22"/>
        </w:rPr>
      </w:pPr>
    </w:p>
    <w:p w14:paraId="322594C8" w14:textId="77777777" w:rsidR="00B33BEC" w:rsidRPr="009C5EFD" w:rsidRDefault="00E453CD" w:rsidP="00B33BEC">
      <w:pPr>
        <w:rPr>
          <w:sz w:val="22"/>
          <w:szCs w:val="22"/>
        </w:rPr>
      </w:pPr>
      <w:r>
        <w:rPr>
          <w:sz w:val="22"/>
          <w:szCs w:val="22"/>
        </w:rPr>
        <w:t>L</w:t>
      </w:r>
      <w:r w:rsidRPr="009C5EFD">
        <w:rPr>
          <w:sz w:val="22"/>
          <w:szCs w:val="22"/>
        </w:rPr>
        <w:t>ege</w:t>
      </w:r>
      <w:r>
        <w:rPr>
          <w:sz w:val="22"/>
          <w:szCs w:val="22"/>
        </w:rPr>
        <w:t>n din</w:t>
      </w:r>
      <w:r w:rsidRPr="009C5EFD">
        <w:rPr>
          <w:sz w:val="22"/>
          <w:szCs w:val="22"/>
        </w:rPr>
        <w:t xml:space="preserve"> </w:t>
      </w:r>
      <w:r>
        <w:rPr>
          <w:sz w:val="22"/>
          <w:szCs w:val="22"/>
        </w:rPr>
        <w:t>vil bestemme om</w:t>
      </w:r>
      <w:r w:rsidRPr="009C5EFD">
        <w:rPr>
          <w:sz w:val="22"/>
          <w:szCs w:val="22"/>
        </w:rPr>
        <w:t xml:space="preserve"> Humira </w:t>
      </w:r>
      <w:r>
        <w:rPr>
          <w:sz w:val="22"/>
          <w:szCs w:val="22"/>
        </w:rPr>
        <w:t xml:space="preserve">skal tas </w:t>
      </w:r>
      <w:r w:rsidRPr="009C5EFD">
        <w:rPr>
          <w:sz w:val="22"/>
          <w:szCs w:val="22"/>
        </w:rPr>
        <w:t xml:space="preserve">sammen med metotreksat </w:t>
      </w:r>
      <w:r>
        <w:rPr>
          <w:sz w:val="22"/>
          <w:szCs w:val="22"/>
        </w:rPr>
        <w:t>eller</w:t>
      </w:r>
      <w:r w:rsidRPr="009C5EFD">
        <w:rPr>
          <w:sz w:val="22"/>
          <w:szCs w:val="22"/>
        </w:rPr>
        <w:t xml:space="preserve"> gis alene.</w:t>
      </w:r>
    </w:p>
    <w:p w14:paraId="66C98988" w14:textId="77777777" w:rsidR="00B33BEC" w:rsidRPr="009C5EFD" w:rsidRDefault="00B33BEC" w:rsidP="00B33BEC">
      <w:pPr>
        <w:pStyle w:val="BodyText2"/>
        <w:suppressAutoHyphens/>
        <w:autoSpaceDE/>
        <w:adjustRightInd/>
        <w:rPr>
          <w:color w:val="auto"/>
          <w:szCs w:val="22"/>
        </w:rPr>
      </w:pPr>
    </w:p>
    <w:p w14:paraId="5CAE0E2E" w14:textId="77777777" w:rsidR="00B33BEC" w:rsidRPr="00060AFF" w:rsidRDefault="00E453CD" w:rsidP="00B33BEC">
      <w:pPr>
        <w:keepNext/>
        <w:suppressAutoHyphens/>
        <w:rPr>
          <w:b/>
          <w:sz w:val="22"/>
          <w:szCs w:val="22"/>
        </w:rPr>
      </w:pPr>
      <w:r w:rsidRPr="00060AFF">
        <w:rPr>
          <w:b/>
          <w:sz w:val="22"/>
          <w:szCs w:val="22"/>
        </w:rPr>
        <w:t>Polyartikulær juvenil idiopatisk artritt</w:t>
      </w:r>
    </w:p>
    <w:p w14:paraId="1C62EA82" w14:textId="77777777" w:rsidR="00B33BEC" w:rsidRPr="009C5EFD" w:rsidRDefault="00B33BEC" w:rsidP="00B33BEC">
      <w:pPr>
        <w:keepNext/>
        <w:suppressAutoHyphens/>
        <w:rPr>
          <w:sz w:val="22"/>
          <w:szCs w:val="22"/>
        </w:rPr>
      </w:pPr>
    </w:p>
    <w:p w14:paraId="19CB3101" w14:textId="77777777" w:rsidR="00B33BEC" w:rsidRPr="009C5EFD" w:rsidRDefault="00E453CD" w:rsidP="00B33BEC">
      <w:pPr>
        <w:suppressAutoHyphens/>
        <w:rPr>
          <w:sz w:val="22"/>
          <w:szCs w:val="22"/>
        </w:rPr>
      </w:pPr>
      <w:r w:rsidRPr="009C5EFD">
        <w:rPr>
          <w:sz w:val="22"/>
          <w:szCs w:val="22"/>
        </w:rPr>
        <w:t xml:space="preserve">Polyartikulær juvenil idiopatisk artritt er </w:t>
      </w:r>
      <w:r>
        <w:rPr>
          <w:sz w:val="22"/>
          <w:szCs w:val="22"/>
        </w:rPr>
        <w:t xml:space="preserve">en </w:t>
      </w:r>
      <w:r w:rsidRPr="009C5EFD">
        <w:rPr>
          <w:sz w:val="22"/>
          <w:szCs w:val="22"/>
        </w:rPr>
        <w:t>betennelsessykdom</w:t>
      </w:r>
      <w:r>
        <w:rPr>
          <w:sz w:val="22"/>
          <w:szCs w:val="22"/>
        </w:rPr>
        <w:t xml:space="preserve"> i leddene</w:t>
      </w:r>
      <w:r w:rsidRPr="009C5EFD">
        <w:rPr>
          <w:sz w:val="22"/>
          <w:szCs w:val="22"/>
        </w:rPr>
        <w:t>.</w:t>
      </w:r>
    </w:p>
    <w:p w14:paraId="2323BA8C" w14:textId="77777777" w:rsidR="00B33BEC" w:rsidRPr="009C5EFD" w:rsidRDefault="00B33BEC" w:rsidP="00B33BEC">
      <w:pPr>
        <w:rPr>
          <w:sz w:val="22"/>
          <w:szCs w:val="22"/>
        </w:rPr>
      </w:pPr>
    </w:p>
    <w:p w14:paraId="2CB855C4" w14:textId="77777777" w:rsidR="00B33BEC" w:rsidRPr="009C5EFD" w:rsidRDefault="00E453CD" w:rsidP="00B33BEC">
      <w:pPr>
        <w:rPr>
          <w:sz w:val="22"/>
          <w:szCs w:val="22"/>
        </w:rPr>
      </w:pPr>
      <w:r w:rsidRPr="009C5EFD">
        <w:rPr>
          <w:sz w:val="22"/>
          <w:szCs w:val="22"/>
        </w:rPr>
        <w:t xml:space="preserve">Humira brukes </w:t>
      </w:r>
      <w:r>
        <w:rPr>
          <w:sz w:val="22"/>
          <w:szCs w:val="22"/>
        </w:rPr>
        <w:t>til</w:t>
      </w:r>
      <w:r w:rsidRPr="009C5EFD">
        <w:rPr>
          <w:sz w:val="22"/>
          <w:szCs w:val="22"/>
        </w:rPr>
        <w:t xml:space="preserve"> å behandle polyartikulær juvenil idiopatisk artritt hos </w:t>
      </w:r>
      <w:r>
        <w:rPr>
          <w:sz w:val="22"/>
          <w:szCs w:val="22"/>
        </w:rPr>
        <w:t>pasienter over</w:t>
      </w:r>
      <w:r w:rsidRPr="009C5EFD">
        <w:rPr>
          <w:sz w:val="22"/>
          <w:szCs w:val="22"/>
        </w:rPr>
        <w:t xml:space="preserve"> 2 år</w:t>
      </w:r>
      <w:r>
        <w:rPr>
          <w:sz w:val="22"/>
          <w:szCs w:val="22"/>
        </w:rPr>
        <w:t>.</w:t>
      </w:r>
      <w:r w:rsidRPr="009C5EFD">
        <w:rPr>
          <w:sz w:val="22"/>
          <w:szCs w:val="22"/>
        </w:rPr>
        <w:t xml:space="preserve"> Det kan hende du først får andre sykdomsmodifiserende </w:t>
      </w:r>
      <w:r>
        <w:rPr>
          <w:sz w:val="22"/>
          <w:szCs w:val="22"/>
        </w:rPr>
        <w:t>legemidler</w:t>
      </w:r>
      <w:r w:rsidRPr="009C5EFD">
        <w:rPr>
          <w:sz w:val="22"/>
          <w:szCs w:val="22"/>
        </w:rPr>
        <w:t xml:space="preserve">, som metotreksat. Dersom du ikke reagerer godt nok på disse </w:t>
      </w:r>
      <w:r>
        <w:rPr>
          <w:sz w:val="22"/>
          <w:szCs w:val="22"/>
        </w:rPr>
        <w:t>legemidlene</w:t>
      </w:r>
      <w:r w:rsidRPr="009C5EFD">
        <w:rPr>
          <w:sz w:val="22"/>
          <w:szCs w:val="22"/>
        </w:rPr>
        <w:t>, vil du få Humira.</w:t>
      </w:r>
    </w:p>
    <w:p w14:paraId="36BF0FED" w14:textId="77777777" w:rsidR="00B33BEC" w:rsidRDefault="00B33BEC" w:rsidP="00B33BEC">
      <w:pPr>
        <w:rPr>
          <w:sz w:val="22"/>
          <w:szCs w:val="22"/>
        </w:rPr>
      </w:pPr>
    </w:p>
    <w:p w14:paraId="5AD2DB20" w14:textId="77777777" w:rsidR="00B33BEC" w:rsidRDefault="00E453CD" w:rsidP="00B33BEC">
      <w:pPr>
        <w:suppressAutoHyphens/>
        <w:rPr>
          <w:sz w:val="22"/>
          <w:szCs w:val="22"/>
        </w:rPr>
      </w:pPr>
      <w:r>
        <w:rPr>
          <w:sz w:val="22"/>
          <w:szCs w:val="22"/>
        </w:rPr>
        <w:t>L</w:t>
      </w:r>
      <w:r w:rsidRPr="009C5EFD">
        <w:rPr>
          <w:sz w:val="22"/>
          <w:szCs w:val="22"/>
        </w:rPr>
        <w:t>ege</w:t>
      </w:r>
      <w:r>
        <w:rPr>
          <w:sz w:val="22"/>
          <w:szCs w:val="22"/>
        </w:rPr>
        <w:t>n din</w:t>
      </w:r>
      <w:r w:rsidRPr="009C5EFD">
        <w:rPr>
          <w:sz w:val="22"/>
          <w:szCs w:val="22"/>
        </w:rPr>
        <w:t xml:space="preserve"> </w:t>
      </w:r>
      <w:r>
        <w:rPr>
          <w:sz w:val="22"/>
          <w:szCs w:val="22"/>
        </w:rPr>
        <w:t>vil bestemme om Humira skal tas sammen med</w:t>
      </w:r>
      <w:r w:rsidRPr="009C5EFD">
        <w:rPr>
          <w:sz w:val="22"/>
          <w:szCs w:val="22"/>
        </w:rPr>
        <w:t xml:space="preserve"> metotreksat </w:t>
      </w:r>
      <w:r>
        <w:rPr>
          <w:sz w:val="22"/>
          <w:szCs w:val="22"/>
        </w:rPr>
        <w:t>eller</w:t>
      </w:r>
      <w:r w:rsidRPr="009C5EFD">
        <w:rPr>
          <w:sz w:val="22"/>
          <w:szCs w:val="22"/>
        </w:rPr>
        <w:t xml:space="preserve"> gis alene.</w:t>
      </w:r>
    </w:p>
    <w:p w14:paraId="662D4745" w14:textId="77777777" w:rsidR="00B33BEC" w:rsidRDefault="00B33BEC" w:rsidP="00B33BEC">
      <w:pPr>
        <w:suppressAutoHyphens/>
        <w:rPr>
          <w:sz w:val="22"/>
          <w:szCs w:val="22"/>
        </w:rPr>
      </w:pPr>
    </w:p>
    <w:p w14:paraId="72140A70" w14:textId="77777777" w:rsidR="00B33BEC" w:rsidRDefault="00E453CD" w:rsidP="00776A84">
      <w:pPr>
        <w:keepNext/>
        <w:suppressAutoHyphens/>
        <w:rPr>
          <w:b/>
          <w:sz w:val="22"/>
          <w:szCs w:val="22"/>
        </w:rPr>
      </w:pPr>
      <w:r>
        <w:rPr>
          <w:b/>
          <w:sz w:val="22"/>
          <w:szCs w:val="22"/>
        </w:rPr>
        <w:t>E</w:t>
      </w:r>
      <w:r w:rsidRPr="00DC3C23">
        <w:rPr>
          <w:b/>
          <w:sz w:val="22"/>
          <w:szCs w:val="22"/>
        </w:rPr>
        <w:t>ntesittrelatert artritt</w:t>
      </w:r>
    </w:p>
    <w:p w14:paraId="05E16BDE" w14:textId="77777777" w:rsidR="00B33BEC" w:rsidRDefault="00B33BEC" w:rsidP="00776A84">
      <w:pPr>
        <w:keepNext/>
        <w:suppressAutoHyphens/>
        <w:rPr>
          <w:sz w:val="22"/>
          <w:szCs w:val="22"/>
        </w:rPr>
      </w:pPr>
    </w:p>
    <w:p w14:paraId="33F3DCD2" w14:textId="77777777" w:rsidR="00B33BEC" w:rsidRPr="00887835" w:rsidRDefault="00E453CD" w:rsidP="00B33BEC">
      <w:pPr>
        <w:rPr>
          <w:sz w:val="22"/>
          <w:szCs w:val="22"/>
        </w:rPr>
      </w:pPr>
      <w:r w:rsidRPr="00887835">
        <w:rPr>
          <w:sz w:val="22"/>
          <w:szCs w:val="22"/>
        </w:rPr>
        <w:t>Entesittrelatert artritt er en betennelsessykdom i leddene og de steder hvor sener er festet til benet.</w:t>
      </w:r>
    </w:p>
    <w:p w14:paraId="2D6B2E78" w14:textId="77777777" w:rsidR="00B33BEC" w:rsidRPr="00887835" w:rsidRDefault="00B33BEC" w:rsidP="00B33BEC">
      <w:pPr>
        <w:rPr>
          <w:sz w:val="22"/>
          <w:szCs w:val="22"/>
        </w:rPr>
      </w:pPr>
    </w:p>
    <w:p w14:paraId="03E284B1" w14:textId="77777777" w:rsidR="00B33BEC" w:rsidRPr="009C5EFD" w:rsidRDefault="00E453CD" w:rsidP="00B33BEC">
      <w:pPr>
        <w:suppressAutoHyphens/>
        <w:rPr>
          <w:sz w:val="22"/>
          <w:szCs w:val="22"/>
        </w:rPr>
      </w:pPr>
      <w:r w:rsidRPr="00887835">
        <w:rPr>
          <w:sz w:val="22"/>
          <w:szCs w:val="22"/>
        </w:rPr>
        <w:t xml:space="preserve">Humira brukes </w:t>
      </w:r>
      <w:r>
        <w:rPr>
          <w:sz w:val="22"/>
          <w:szCs w:val="22"/>
        </w:rPr>
        <w:t>til</w:t>
      </w:r>
      <w:r w:rsidRPr="00887835">
        <w:rPr>
          <w:sz w:val="22"/>
          <w:szCs w:val="22"/>
        </w:rPr>
        <w:t xml:space="preserve"> å behandle entesittrelatert artritt hos pasienter </w:t>
      </w:r>
      <w:r>
        <w:rPr>
          <w:sz w:val="22"/>
          <w:szCs w:val="22"/>
        </w:rPr>
        <w:t>over</w:t>
      </w:r>
      <w:r w:rsidRPr="00887835">
        <w:rPr>
          <w:sz w:val="22"/>
          <w:szCs w:val="22"/>
        </w:rPr>
        <w:t xml:space="preserve"> 6 år. </w:t>
      </w:r>
      <w:r w:rsidRPr="009C5EFD">
        <w:rPr>
          <w:sz w:val="22"/>
          <w:szCs w:val="22"/>
        </w:rPr>
        <w:t xml:space="preserve">Det kan hende du først får andre sykdomsmodifiserende </w:t>
      </w:r>
      <w:r>
        <w:rPr>
          <w:sz w:val="22"/>
          <w:szCs w:val="22"/>
        </w:rPr>
        <w:t>legemidler</w:t>
      </w:r>
      <w:r w:rsidRPr="009C5EFD">
        <w:rPr>
          <w:sz w:val="22"/>
          <w:szCs w:val="22"/>
        </w:rPr>
        <w:t xml:space="preserve">, som metotreksat. Dersom du ikke reagerer godt nok på disse </w:t>
      </w:r>
      <w:r>
        <w:rPr>
          <w:sz w:val="22"/>
          <w:szCs w:val="22"/>
        </w:rPr>
        <w:t>legemidlene</w:t>
      </w:r>
      <w:r w:rsidRPr="009C5EFD">
        <w:rPr>
          <w:sz w:val="22"/>
          <w:szCs w:val="22"/>
        </w:rPr>
        <w:t>, vil du få Humira</w:t>
      </w:r>
      <w:r>
        <w:rPr>
          <w:sz w:val="22"/>
          <w:szCs w:val="22"/>
        </w:rPr>
        <w:t>.</w:t>
      </w:r>
    </w:p>
    <w:p w14:paraId="24093EA3" w14:textId="77777777" w:rsidR="00B33BEC" w:rsidRPr="009C5EFD" w:rsidRDefault="00B33BEC">
      <w:pPr>
        <w:suppressAutoHyphens/>
        <w:rPr>
          <w:sz w:val="22"/>
          <w:szCs w:val="22"/>
          <w:u w:val="single"/>
        </w:rPr>
      </w:pPr>
    </w:p>
    <w:p w14:paraId="11B4BFDF" w14:textId="77777777" w:rsidR="00B33BEC" w:rsidRPr="00060AFF" w:rsidRDefault="00E453CD" w:rsidP="00776A84">
      <w:pPr>
        <w:keepNext/>
        <w:suppressAutoHyphens/>
        <w:rPr>
          <w:b/>
          <w:sz w:val="22"/>
          <w:szCs w:val="22"/>
        </w:rPr>
      </w:pPr>
      <w:r w:rsidRPr="00060AFF">
        <w:rPr>
          <w:b/>
          <w:sz w:val="22"/>
          <w:szCs w:val="22"/>
        </w:rPr>
        <w:t>Bekhterevs sykdom (ankyloserende spondylitt) og aksial spondylartritt uten radiografisk bekreftelse på ankyloserende spondylitt</w:t>
      </w:r>
    </w:p>
    <w:p w14:paraId="5E317A85" w14:textId="77777777" w:rsidR="00B33BEC" w:rsidRPr="009C5EFD" w:rsidRDefault="00B33BEC" w:rsidP="00776A84">
      <w:pPr>
        <w:keepNext/>
        <w:suppressAutoHyphens/>
        <w:rPr>
          <w:sz w:val="22"/>
          <w:szCs w:val="22"/>
        </w:rPr>
      </w:pPr>
    </w:p>
    <w:p w14:paraId="2B36161C" w14:textId="77777777" w:rsidR="00B33BEC" w:rsidRPr="009C5EFD" w:rsidRDefault="00E453CD" w:rsidP="00B33BEC">
      <w:pPr>
        <w:suppressAutoHyphens/>
        <w:rPr>
          <w:sz w:val="22"/>
          <w:szCs w:val="22"/>
        </w:rPr>
      </w:pPr>
      <w:r w:rsidRPr="009C5EFD">
        <w:rPr>
          <w:sz w:val="22"/>
          <w:szCs w:val="22"/>
        </w:rPr>
        <w:t>Bekhterevs sykdom (ankyloserende spondylitt) og aksial spondylartritt uten radiografisk bekreftelse på ankyloserende spondylitt er betennelsessykdommer i ryggsøylen.</w:t>
      </w:r>
    </w:p>
    <w:p w14:paraId="54FB0930" w14:textId="77777777" w:rsidR="00B33BEC" w:rsidRPr="009C5EFD" w:rsidRDefault="00B33BEC" w:rsidP="00B33BEC">
      <w:pPr>
        <w:pStyle w:val="EMEANormal"/>
        <w:rPr>
          <w:szCs w:val="22"/>
          <w:lang w:val="nb-NO"/>
        </w:rPr>
      </w:pPr>
    </w:p>
    <w:p w14:paraId="3D9C482F" w14:textId="77777777" w:rsidR="00B33BEC" w:rsidRPr="009C5EFD" w:rsidRDefault="00E453CD" w:rsidP="00B33BEC">
      <w:pPr>
        <w:pStyle w:val="EMEANormal"/>
        <w:rPr>
          <w:szCs w:val="22"/>
          <w:lang w:val="nb-NO"/>
        </w:rPr>
      </w:pPr>
      <w:r w:rsidRPr="00060AFF">
        <w:rPr>
          <w:szCs w:val="22"/>
          <w:lang w:val="nb-NO"/>
        </w:rPr>
        <w:t>Humira brukes til å behandle alvorlig Bekhterevs sykdom (ankyloserende spondylitt) og aksial spondylartritt uten radiografisk bekreftelse på ankyloserende spondylitt hos voksne. Det kan hende du først får andre legemidler. Dersom du ikke reagerer godt nok på disse legemidlene, vil du få Humira.</w:t>
      </w:r>
    </w:p>
    <w:p w14:paraId="2F8A136F" w14:textId="77777777" w:rsidR="00B33BEC" w:rsidRPr="009C5EFD" w:rsidRDefault="00B33BEC" w:rsidP="00B33BEC">
      <w:pPr>
        <w:pStyle w:val="EMEANormal"/>
        <w:rPr>
          <w:szCs w:val="22"/>
          <w:lang w:val="nb-NO"/>
        </w:rPr>
      </w:pPr>
    </w:p>
    <w:p w14:paraId="5F18536D" w14:textId="77777777" w:rsidR="00B33BEC" w:rsidRPr="00060AFF" w:rsidRDefault="00E453CD" w:rsidP="00776A84">
      <w:pPr>
        <w:pStyle w:val="Heading2"/>
        <w:suppressAutoHyphens/>
        <w:ind w:left="0"/>
        <w:rPr>
          <w:b/>
          <w:szCs w:val="22"/>
          <w:u w:val="none"/>
        </w:rPr>
      </w:pPr>
      <w:r w:rsidRPr="00060AFF">
        <w:rPr>
          <w:b/>
          <w:szCs w:val="22"/>
          <w:u w:val="none"/>
        </w:rPr>
        <w:t>Psoriasisartritt</w:t>
      </w:r>
    </w:p>
    <w:p w14:paraId="43456F17" w14:textId="77777777" w:rsidR="00B33BEC" w:rsidRPr="009C5EFD" w:rsidRDefault="00B33BEC" w:rsidP="00776A84">
      <w:pPr>
        <w:keepNext/>
        <w:suppressAutoHyphens/>
        <w:rPr>
          <w:sz w:val="22"/>
          <w:szCs w:val="22"/>
        </w:rPr>
      </w:pPr>
    </w:p>
    <w:p w14:paraId="59C38DCF" w14:textId="77777777" w:rsidR="00B33BEC" w:rsidRPr="009C5EFD" w:rsidRDefault="00E453CD" w:rsidP="00B33BEC">
      <w:pPr>
        <w:suppressAutoHyphens/>
        <w:rPr>
          <w:sz w:val="22"/>
          <w:szCs w:val="22"/>
        </w:rPr>
      </w:pPr>
      <w:r w:rsidRPr="009C5EFD">
        <w:rPr>
          <w:sz w:val="22"/>
          <w:szCs w:val="22"/>
        </w:rPr>
        <w:t xml:space="preserve">Psoriasisartritt er en betennelsessykdom i leddene </w:t>
      </w:r>
      <w:r>
        <w:rPr>
          <w:sz w:val="22"/>
          <w:szCs w:val="22"/>
        </w:rPr>
        <w:t xml:space="preserve">vanligvis </w:t>
      </w:r>
      <w:r w:rsidRPr="009C5EFD">
        <w:rPr>
          <w:sz w:val="22"/>
          <w:szCs w:val="22"/>
        </w:rPr>
        <w:t>assosiert med psoriasis.</w:t>
      </w:r>
    </w:p>
    <w:p w14:paraId="3E2430D7" w14:textId="77777777" w:rsidR="00B33BEC" w:rsidRPr="009C5EFD" w:rsidRDefault="00B33BEC" w:rsidP="00B33BEC">
      <w:pPr>
        <w:suppressAutoHyphens/>
        <w:rPr>
          <w:sz w:val="22"/>
          <w:szCs w:val="22"/>
        </w:rPr>
      </w:pPr>
    </w:p>
    <w:p w14:paraId="0D727E80" w14:textId="77777777" w:rsidR="00B33BEC" w:rsidRPr="00EE4677" w:rsidRDefault="00E453CD" w:rsidP="00B33BEC">
      <w:pPr>
        <w:suppressAutoHyphens/>
        <w:rPr>
          <w:sz w:val="22"/>
          <w:szCs w:val="22"/>
        </w:rPr>
      </w:pPr>
      <w:r w:rsidRPr="009C5EFD">
        <w:rPr>
          <w:sz w:val="22"/>
          <w:szCs w:val="22"/>
        </w:rPr>
        <w:t xml:space="preserve">Humira brukes </w:t>
      </w:r>
      <w:r>
        <w:rPr>
          <w:sz w:val="22"/>
          <w:szCs w:val="22"/>
        </w:rPr>
        <w:t>til</w:t>
      </w:r>
      <w:r w:rsidRPr="009C5EFD">
        <w:rPr>
          <w:sz w:val="22"/>
          <w:szCs w:val="22"/>
        </w:rPr>
        <w:t xml:space="preserve"> å behandle psoriasisartritt hos voksne. Humira </w:t>
      </w:r>
      <w:r>
        <w:rPr>
          <w:sz w:val="22"/>
          <w:szCs w:val="22"/>
        </w:rPr>
        <w:t>kan</w:t>
      </w:r>
      <w:r w:rsidRPr="009C5EFD">
        <w:rPr>
          <w:sz w:val="22"/>
          <w:szCs w:val="22"/>
        </w:rPr>
        <w:t xml:space="preserve"> bremse skadevirkninge</w:t>
      </w:r>
      <w:r>
        <w:rPr>
          <w:sz w:val="22"/>
          <w:szCs w:val="22"/>
        </w:rPr>
        <w:t>ne</w:t>
      </w:r>
      <w:r w:rsidRPr="009C5EFD">
        <w:rPr>
          <w:sz w:val="22"/>
          <w:szCs w:val="22"/>
        </w:rPr>
        <w:t xml:space="preserve"> i leddene forårsaket av sykdommen og kan hjelpe </w:t>
      </w:r>
      <w:r>
        <w:rPr>
          <w:sz w:val="22"/>
          <w:szCs w:val="22"/>
        </w:rPr>
        <w:t>leddene med</w:t>
      </w:r>
      <w:r w:rsidRPr="009C5EFD">
        <w:rPr>
          <w:sz w:val="22"/>
          <w:szCs w:val="22"/>
        </w:rPr>
        <w:t xml:space="preserve"> å </w:t>
      </w:r>
      <w:r>
        <w:rPr>
          <w:sz w:val="22"/>
          <w:szCs w:val="22"/>
        </w:rPr>
        <w:t>bevege seg mer fritt</w:t>
      </w:r>
      <w:r w:rsidRPr="009C5EFD">
        <w:rPr>
          <w:sz w:val="22"/>
          <w:szCs w:val="22"/>
        </w:rPr>
        <w:t>.</w:t>
      </w:r>
      <w:r>
        <w:rPr>
          <w:sz w:val="22"/>
          <w:szCs w:val="22"/>
        </w:rPr>
        <w:t xml:space="preserve"> Det kan hende </w:t>
      </w:r>
      <w:r w:rsidRPr="009C5EFD">
        <w:rPr>
          <w:sz w:val="22"/>
          <w:szCs w:val="22"/>
        </w:rPr>
        <w:t>du først få</w:t>
      </w:r>
      <w:r>
        <w:rPr>
          <w:sz w:val="22"/>
          <w:szCs w:val="22"/>
        </w:rPr>
        <w:t>r</w:t>
      </w:r>
      <w:r w:rsidRPr="009C5EFD">
        <w:rPr>
          <w:sz w:val="22"/>
          <w:szCs w:val="22"/>
        </w:rPr>
        <w:t xml:space="preserve"> andre </w:t>
      </w:r>
      <w:r>
        <w:rPr>
          <w:sz w:val="22"/>
          <w:szCs w:val="22"/>
        </w:rPr>
        <w:t xml:space="preserve">legemidler. </w:t>
      </w:r>
      <w:r w:rsidRPr="009C5EFD">
        <w:rPr>
          <w:sz w:val="22"/>
          <w:szCs w:val="22"/>
        </w:rPr>
        <w:t xml:space="preserve">Dersom du ikke reagerer godt nok på disse </w:t>
      </w:r>
      <w:r>
        <w:rPr>
          <w:sz w:val="22"/>
          <w:szCs w:val="22"/>
        </w:rPr>
        <w:t>legemidlene</w:t>
      </w:r>
      <w:r w:rsidRPr="009C5EFD">
        <w:rPr>
          <w:sz w:val="22"/>
          <w:szCs w:val="22"/>
        </w:rPr>
        <w:t>, vil du få Humira</w:t>
      </w:r>
      <w:r>
        <w:rPr>
          <w:sz w:val="22"/>
          <w:szCs w:val="22"/>
        </w:rPr>
        <w:t>.</w:t>
      </w:r>
    </w:p>
    <w:p w14:paraId="7C6BB888" w14:textId="77777777" w:rsidR="00B33BEC" w:rsidRPr="009C5EFD" w:rsidRDefault="00B33BEC" w:rsidP="00B33BEC">
      <w:pPr>
        <w:pStyle w:val="EMEANormal"/>
        <w:rPr>
          <w:szCs w:val="22"/>
          <w:lang w:val="nb-NO"/>
        </w:rPr>
      </w:pPr>
    </w:p>
    <w:p w14:paraId="4B9336E9" w14:textId="77777777" w:rsidR="00B33BEC" w:rsidRPr="009C5EFD" w:rsidRDefault="00E453CD" w:rsidP="00776A84">
      <w:pPr>
        <w:keepNext/>
        <w:suppressAutoHyphens/>
        <w:rPr>
          <w:sz w:val="22"/>
          <w:szCs w:val="22"/>
          <w:u w:val="single"/>
        </w:rPr>
      </w:pPr>
      <w:r w:rsidRPr="00060AFF">
        <w:rPr>
          <w:b/>
          <w:sz w:val="22"/>
          <w:szCs w:val="22"/>
        </w:rPr>
        <w:t>Plakkpsoriasis</w:t>
      </w:r>
    </w:p>
    <w:p w14:paraId="69AE6C12" w14:textId="77777777" w:rsidR="00B33BEC" w:rsidRPr="009C5EFD" w:rsidRDefault="00B33BEC" w:rsidP="00776A84">
      <w:pPr>
        <w:pStyle w:val="Heading8"/>
        <w:rPr>
          <w:szCs w:val="22"/>
        </w:rPr>
      </w:pPr>
    </w:p>
    <w:p w14:paraId="6374F02A" w14:textId="77777777" w:rsidR="00B33BEC" w:rsidRPr="009C5EFD" w:rsidRDefault="00E453CD" w:rsidP="00B33BEC">
      <w:pPr>
        <w:suppressAutoHyphens/>
        <w:rPr>
          <w:sz w:val="22"/>
          <w:szCs w:val="22"/>
        </w:rPr>
      </w:pPr>
      <w:r w:rsidRPr="009C5EFD">
        <w:rPr>
          <w:sz w:val="22"/>
          <w:szCs w:val="22"/>
        </w:rPr>
        <w:t>Plakkpsoriasis er en hudsykdom som forårsaker røde, flassende, tørre flekker på huden dekket med sølvfarget, skjellaktig hud.</w:t>
      </w:r>
      <w:r>
        <w:rPr>
          <w:sz w:val="22"/>
          <w:szCs w:val="22"/>
        </w:rPr>
        <w:t xml:space="preserve"> Plakkpsoriasis kan også påvirke neglene, føre til smuldring, fortykkelse og løsning fra neglesengen som kan være smertefullt.</w:t>
      </w:r>
      <w:r w:rsidRPr="009C5EFD">
        <w:rPr>
          <w:sz w:val="22"/>
          <w:szCs w:val="22"/>
        </w:rPr>
        <w:t xml:space="preserve"> </w:t>
      </w:r>
    </w:p>
    <w:p w14:paraId="182E5E3E" w14:textId="77777777" w:rsidR="00B33BEC" w:rsidRPr="00C40ABF" w:rsidRDefault="00B33BEC" w:rsidP="00B33BEC">
      <w:pPr>
        <w:rPr>
          <w:sz w:val="22"/>
          <w:szCs w:val="22"/>
        </w:rPr>
      </w:pPr>
    </w:p>
    <w:p w14:paraId="45E221FA" w14:textId="77777777" w:rsidR="00B33BEC" w:rsidRDefault="00E453CD" w:rsidP="001C4BD6">
      <w:pPr>
        <w:keepNext/>
        <w:rPr>
          <w:sz w:val="22"/>
          <w:szCs w:val="22"/>
        </w:rPr>
      </w:pPr>
      <w:r w:rsidRPr="001C217B">
        <w:rPr>
          <w:sz w:val="22"/>
          <w:szCs w:val="22"/>
        </w:rPr>
        <w:lastRenderedPageBreak/>
        <w:t xml:space="preserve">Humira brukes </w:t>
      </w:r>
      <w:r>
        <w:rPr>
          <w:sz w:val="22"/>
          <w:szCs w:val="22"/>
        </w:rPr>
        <w:t>til</w:t>
      </w:r>
      <w:r w:rsidRPr="001C217B">
        <w:rPr>
          <w:sz w:val="22"/>
          <w:szCs w:val="22"/>
        </w:rPr>
        <w:t xml:space="preserve"> </w:t>
      </w:r>
      <w:r>
        <w:rPr>
          <w:sz w:val="22"/>
          <w:szCs w:val="22"/>
        </w:rPr>
        <w:t xml:space="preserve">å </w:t>
      </w:r>
      <w:r w:rsidRPr="001C217B">
        <w:rPr>
          <w:sz w:val="22"/>
          <w:szCs w:val="22"/>
        </w:rPr>
        <w:t>behandl</w:t>
      </w:r>
      <w:r>
        <w:rPr>
          <w:sz w:val="22"/>
          <w:szCs w:val="22"/>
        </w:rPr>
        <w:t>e</w:t>
      </w:r>
    </w:p>
    <w:p w14:paraId="0F3E492B" w14:textId="77777777" w:rsidR="00B33BEC" w:rsidRDefault="00E453CD" w:rsidP="001C4BD6">
      <w:pPr>
        <w:pStyle w:val="EMEANormal"/>
        <w:keepNext/>
        <w:numPr>
          <w:ilvl w:val="0"/>
          <w:numId w:val="109"/>
        </w:numPr>
        <w:tabs>
          <w:tab w:val="clear" w:pos="562"/>
          <w:tab w:val="left" w:pos="720"/>
        </w:tabs>
        <w:rPr>
          <w:szCs w:val="21"/>
          <w:lang w:val="nb-NO"/>
        </w:rPr>
      </w:pPr>
      <w:r w:rsidRPr="0061743D">
        <w:rPr>
          <w:lang w:val="nb-NO"/>
        </w:rPr>
        <w:t xml:space="preserve">moderat til alvorlig </w:t>
      </w:r>
      <w:r w:rsidRPr="00887835">
        <w:rPr>
          <w:szCs w:val="22"/>
          <w:lang w:val="nb-NO"/>
        </w:rPr>
        <w:t xml:space="preserve">kronisk </w:t>
      </w:r>
      <w:r w:rsidRPr="0061743D">
        <w:rPr>
          <w:lang w:val="nb-NO"/>
        </w:rPr>
        <w:t>plakkpsoriasis hos voksne</w:t>
      </w:r>
      <w:r w:rsidRPr="00887835">
        <w:rPr>
          <w:szCs w:val="21"/>
          <w:lang w:val="nb-NO"/>
        </w:rPr>
        <w:t xml:space="preserve"> og</w:t>
      </w:r>
    </w:p>
    <w:p w14:paraId="6389A5D3" w14:textId="77777777" w:rsidR="00B33BEC" w:rsidRDefault="00E453CD" w:rsidP="00B33BEC">
      <w:pPr>
        <w:pStyle w:val="EMEANormal"/>
        <w:numPr>
          <w:ilvl w:val="0"/>
          <w:numId w:val="109"/>
        </w:numPr>
        <w:tabs>
          <w:tab w:val="clear" w:pos="562"/>
          <w:tab w:val="left" w:pos="720"/>
        </w:tabs>
        <w:rPr>
          <w:szCs w:val="21"/>
          <w:lang w:val="nb-NO"/>
        </w:rPr>
      </w:pPr>
      <w:r>
        <w:rPr>
          <w:szCs w:val="21"/>
          <w:lang w:val="nb-NO"/>
        </w:rPr>
        <w:t xml:space="preserve">alvorlig kronisk </w:t>
      </w:r>
      <w:r w:rsidRPr="0061743D">
        <w:rPr>
          <w:lang w:val="nb-NO"/>
        </w:rPr>
        <w:t xml:space="preserve">plakkpsoriasis hos barn og ungdom </w:t>
      </w:r>
      <w:r>
        <w:rPr>
          <w:lang w:val="nb-NO"/>
        </w:rPr>
        <w:t>fra</w:t>
      </w:r>
      <w:r w:rsidRPr="0061743D">
        <w:rPr>
          <w:lang w:val="nb-NO"/>
        </w:rPr>
        <w:t xml:space="preserve"> 4 til 17 år, hvor topikal </w:t>
      </w:r>
      <w:r>
        <w:rPr>
          <w:lang w:val="nb-NO"/>
        </w:rPr>
        <w:t xml:space="preserve">(lokal) </w:t>
      </w:r>
      <w:r w:rsidRPr="0061743D">
        <w:rPr>
          <w:lang w:val="nb-NO"/>
        </w:rPr>
        <w:t>behandling og lysbehandling ikke har virket godt nok eller ikke er egnet.</w:t>
      </w:r>
    </w:p>
    <w:p w14:paraId="32AB7A20" w14:textId="77777777" w:rsidR="00B33BEC" w:rsidRPr="00060AFF" w:rsidRDefault="00B33BEC" w:rsidP="00B33BEC">
      <w:pPr>
        <w:pStyle w:val="EMEANormal"/>
        <w:rPr>
          <w:szCs w:val="22"/>
          <w:lang w:val="nb-NO"/>
        </w:rPr>
      </w:pPr>
    </w:p>
    <w:p w14:paraId="7778FBBB" w14:textId="77777777" w:rsidR="00B33BEC" w:rsidRPr="009C5EFD" w:rsidRDefault="00E453CD" w:rsidP="00776A84">
      <w:pPr>
        <w:keepNext/>
        <w:autoSpaceDE w:val="0"/>
        <w:autoSpaceDN w:val="0"/>
        <w:adjustRightInd w:val="0"/>
        <w:rPr>
          <w:rFonts w:eastAsia="TimesNewRoman"/>
          <w:sz w:val="22"/>
          <w:szCs w:val="22"/>
          <w:u w:val="single"/>
        </w:rPr>
      </w:pPr>
      <w:r w:rsidRPr="00060AFF">
        <w:rPr>
          <w:rFonts w:eastAsia="TimesNewRoman"/>
          <w:b/>
          <w:sz w:val="22"/>
          <w:szCs w:val="22"/>
        </w:rPr>
        <w:t>Hidrosadenitt</w:t>
      </w:r>
    </w:p>
    <w:p w14:paraId="775E3A87" w14:textId="77777777" w:rsidR="00B33BEC" w:rsidRPr="009C5EFD" w:rsidRDefault="00B33BEC" w:rsidP="00776A84">
      <w:pPr>
        <w:keepNext/>
        <w:autoSpaceDE w:val="0"/>
        <w:autoSpaceDN w:val="0"/>
        <w:adjustRightInd w:val="0"/>
        <w:rPr>
          <w:rFonts w:eastAsia="TimesNewRoman"/>
          <w:sz w:val="22"/>
          <w:szCs w:val="22"/>
          <w:u w:val="single"/>
        </w:rPr>
      </w:pPr>
    </w:p>
    <w:p w14:paraId="74F84826" w14:textId="77777777" w:rsidR="00B33BEC" w:rsidRPr="009C5EFD" w:rsidRDefault="00E453CD" w:rsidP="00B33BEC">
      <w:pPr>
        <w:autoSpaceDE w:val="0"/>
        <w:autoSpaceDN w:val="0"/>
        <w:adjustRightInd w:val="0"/>
        <w:rPr>
          <w:rFonts w:eastAsia="TimesNewRoman"/>
          <w:sz w:val="22"/>
          <w:szCs w:val="22"/>
        </w:rPr>
      </w:pPr>
      <w:r w:rsidRPr="009C5EFD">
        <w:rPr>
          <w:rFonts w:eastAsia="TimesNewRoman"/>
          <w:sz w:val="22"/>
          <w:szCs w:val="22"/>
        </w:rPr>
        <w:t xml:space="preserve">Hidrosadenitt (også kalt svettekjertelbetennelse) er en kronisk og ofte smertefull </w:t>
      </w:r>
      <w:r>
        <w:rPr>
          <w:rFonts w:eastAsia="TimesNewRoman"/>
          <w:sz w:val="22"/>
          <w:szCs w:val="22"/>
        </w:rPr>
        <w:t xml:space="preserve">betennelsessykdom i </w:t>
      </w:r>
      <w:r w:rsidRPr="009C5EFD">
        <w:rPr>
          <w:rFonts w:eastAsia="TimesNewRoman"/>
          <w:sz w:val="22"/>
          <w:szCs w:val="22"/>
        </w:rPr>
        <w:t>hud</w:t>
      </w:r>
      <w:r>
        <w:rPr>
          <w:rFonts w:eastAsia="TimesNewRoman"/>
          <w:sz w:val="22"/>
          <w:szCs w:val="22"/>
        </w:rPr>
        <w:t>en</w:t>
      </w:r>
      <w:r w:rsidRPr="009C5EFD">
        <w:rPr>
          <w:rFonts w:eastAsia="TimesNewRoman"/>
          <w:sz w:val="22"/>
          <w:szCs w:val="22"/>
        </w:rPr>
        <w:t xml:space="preserve">. Symptomer kan være ømme knuter (klumper) og byller (abcesser) som kan lekke puss. </w:t>
      </w:r>
      <w:r>
        <w:rPr>
          <w:rFonts w:eastAsia="TimesNewRoman"/>
          <w:sz w:val="22"/>
          <w:szCs w:val="22"/>
        </w:rPr>
        <w:t>Som oftest</w:t>
      </w:r>
      <w:r w:rsidRPr="009C5EFD">
        <w:rPr>
          <w:rFonts w:eastAsia="TimesNewRoman"/>
          <w:sz w:val="22"/>
          <w:szCs w:val="22"/>
        </w:rPr>
        <w:t xml:space="preserve"> påvirke</w:t>
      </w:r>
      <w:r>
        <w:rPr>
          <w:rFonts w:eastAsia="TimesNewRoman"/>
          <w:sz w:val="22"/>
          <w:szCs w:val="22"/>
        </w:rPr>
        <w:t>s</w:t>
      </w:r>
      <w:r w:rsidRPr="009C5EFD">
        <w:rPr>
          <w:rFonts w:eastAsia="TimesNewRoman"/>
          <w:sz w:val="22"/>
          <w:szCs w:val="22"/>
        </w:rPr>
        <w:t xml:space="preserve"> spesifikke områder av huden, som f.eks</w:t>
      </w:r>
      <w:r>
        <w:rPr>
          <w:rFonts w:eastAsia="TimesNewRoman"/>
          <w:sz w:val="22"/>
          <w:szCs w:val="22"/>
        </w:rPr>
        <w:t>.</w:t>
      </w:r>
      <w:r w:rsidRPr="009C5EFD">
        <w:rPr>
          <w:rFonts w:eastAsia="TimesNewRoman"/>
          <w:sz w:val="22"/>
          <w:szCs w:val="22"/>
        </w:rPr>
        <w:t xml:space="preserve"> under brystene, i armhulene, innsiden av lårene, lysken og rumpe. Arrdannelse kan også forekomme i berørte områder.</w:t>
      </w:r>
    </w:p>
    <w:p w14:paraId="73F4C46D" w14:textId="77777777" w:rsidR="00B33BEC" w:rsidRPr="009C5EFD" w:rsidRDefault="00B33BEC" w:rsidP="00B33BEC">
      <w:pPr>
        <w:autoSpaceDE w:val="0"/>
        <w:autoSpaceDN w:val="0"/>
        <w:adjustRightInd w:val="0"/>
        <w:rPr>
          <w:rFonts w:eastAsia="TimesNewRoman"/>
          <w:sz w:val="22"/>
          <w:szCs w:val="22"/>
        </w:rPr>
      </w:pPr>
    </w:p>
    <w:p w14:paraId="102075B9" w14:textId="77777777" w:rsidR="00B33BEC" w:rsidRDefault="00E453CD" w:rsidP="00B33BEC">
      <w:pPr>
        <w:autoSpaceDE w:val="0"/>
        <w:autoSpaceDN w:val="0"/>
        <w:adjustRightInd w:val="0"/>
        <w:rPr>
          <w:rFonts w:eastAsia="TimesNewRoman"/>
          <w:sz w:val="22"/>
          <w:szCs w:val="22"/>
        </w:rPr>
      </w:pPr>
      <w:r w:rsidRPr="009C5EFD">
        <w:rPr>
          <w:rFonts w:eastAsia="TimesNewRoman"/>
          <w:sz w:val="22"/>
          <w:szCs w:val="22"/>
        </w:rPr>
        <w:t xml:space="preserve">Humira brukes </w:t>
      </w:r>
      <w:r>
        <w:rPr>
          <w:rFonts w:eastAsia="TimesNewRoman"/>
          <w:sz w:val="22"/>
          <w:szCs w:val="22"/>
        </w:rPr>
        <w:t>til</w:t>
      </w:r>
      <w:r w:rsidRPr="009C5EFD">
        <w:rPr>
          <w:rFonts w:eastAsia="TimesNewRoman"/>
          <w:sz w:val="22"/>
          <w:szCs w:val="22"/>
        </w:rPr>
        <w:t xml:space="preserve"> å behandle</w:t>
      </w:r>
    </w:p>
    <w:p w14:paraId="4850F1E1" w14:textId="77777777" w:rsidR="00B33BEC" w:rsidRPr="00887835" w:rsidRDefault="00E453CD" w:rsidP="00B33BEC">
      <w:pPr>
        <w:pStyle w:val="EMEANormal"/>
        <w:numPr>
          <w:ilvl w:val="0"/>
          <w:numId w:val="109"/>
        </w:numPr>
        <w:tabs>
          <w:tab w:val="clear" w:pos="562"/>
          <w:tab w:val="left" w:pos="720"/>
        </w:tabs>
        <w:rPr>
          <w:szCs w:val="21"/>
          <w:lang w:val="nb-NO"/>
        </w:rPr>
      </w:pPr>
      <w:r w:rsidRPr="00DA6326">
        <w:rPr>
          <w:rFonts w:eastAsia="TimesNewRoman"/>
          <w:szCs w:val="22"/>
          <w:lang w:val="nb-NO"/>
        </w:rPr>
        <w:t>moderat til alvorlig hidrosadenitt hos voksne og</w:t>
      </w:r>
    </w:p>
    <w:p w14:paraId="645C1D00" w14:textId="77777777" w:rsidR="00B33BEC" w:rsidRPr="0061743D" w:rsidRDefault="00E453CD" w:rsidP="00B33BEC">
      <w:pPr>
        <w:pStyle w:val="EMEANormal"/>
        <w:numPr>
          <w:ilvl w:val="0"/>
          <w:numId w:val="109"/>
        </w:numPr>
        <w:tabs>
          <w:tab w:val="clear" w:pos="562"/>
          <w:tab w:val="left" w:pos="720"/>
        </w:tabs>
        <w:rPr>
          <w:lang w:val="nb-NO"/>
        </w:rPr>
      </w:pPr>
      <w:r>
        <w:rPr>
          <w:lang w:val="nb-NO"/>
        </w:rPr>
        <w:t xml:space="preserve">moderat til </w:t>
      </w:r>
      <w:r w:rsidRPr="0061743D">
        <w:rPr>
          <w:lang w:val="nb-NO"/>
        </w:rPr>
        <w:t>alvorlig</w:t>
      </w:r>
      <w:r>
        <w:rPr>
          <w:szCs w:val="21"/>
          <w:lang w:val="nb-NO"/>
        </w:rPr>
        <w:t xml:space="preserve"> </w:t>
      </w:r>
      <w:r w:rsidRPr="00297B8C">
        <w:rPr>
          <w:rFonts w:eastAsia="TimesNewRoman"/>
          <w:szCs w:val="22"/>
          <w:lang w:val="nb-NO"/>
        </w:rPr>
        <w:t>hidrosadenitt</w:t>
      </w:r>
      <w:r w:rsidRPr="0061743D">
        <w:rPr>
          <w:lang w:val="nb-NO"/>
        </w:rPr>
        <w:t xml:space="preserve"> hos ungdom </w:t>
      </w:r>
      <w:r>
        <w:rPr>
          <w:lang w:val="nb-NO"/>
        </w:rPr>
        <w:t xml:space="preserve">fra </w:t>
      </w:r>
      <w:r w:rsidRPr="0061743D">
        <w:rPr>
          <w:lang w:val="nb-NO"/>
        </w:rPr>
        <w:t>1</w:t>
      </w:r>
      <w:r>
        <w:rPr>
          <w:lang w:val="nb-NO"/>
        </w:rPr>
        <w:t>2</w:t>
      </w:r>
      <w:r w:rsidRPr="0061743D">
        <w:rPr>
          <w:lang w:val="nb-NO"/>
        </w:rPr>
        <w:t xml:space="preserve"> </w:t>
      </w:r>
      <w:r>
        <w:rPr>
          <w:lang w:val="nb-NO"/>
        </w:rPr>
        <w:t xml:space="preserve">til 17 </w:t>
      </w:r>
      <w:r w:rsidRPr="0061743D">
        <w:rPr>
          <w:lang w:val="nb-NO"/>
        </w:rPr>
        <w:t>år.</w:t>
      </w:r>
    </w:p>
    <w:p w14:paraId="3CD18827" w14:textId="77777777" w:rsidR="00B33BEC" w:rsidRDefault="00B33BEC" w:rsidP="00B33BEC">
      <w:pPr>
        <w:autoSpaceDE w:val="0"/>
        <w:autoSpaceDN w:val="0"/>
        <w:adjustRightInd w:val="0"/>
        <w:rPr>
          <w:rFonts w:eastAsia="TimesNewRoman"/>
          <w:sz w:val="22"/>
          <w:szCs w:val="22"/>
        </w:rPr>
      </w:pPr>
    </w:p>
    <w:p w14:paraId="4D61235F" w14:textId="77777777" w:rsidR="00B33BEC" w:rsidRPr="009C5EFD" w:rsidRDefault="00E453CD" w:rsidP="00B33BEC">
      <w:pPr>
        <w:autoSpaceDE w:val="0"/>
        <w:autoSpaceDN w:val="0"/>
        <w:adjustRightInd w:val="0"/>
        <w:rPr>
          <w:rFonts w:eastAsia="TimesNewRoman"/>
          <w:sz w:val="22"/>
          <w:szCs w:val="22"/>
        </w:rPr>
      </w:pPr>
      <w:r w:rsidRPr="009C5EFD">
        <w:rPr>
          <w:rFonts w:eastAsia="TimesNewRoman"/>
          <w:sz w:val="22"/>
          <w:szCs w:val="22"/>
        </w:rPr>
        <w:t>Humira kan redusere antall knuter og byller</w:t>
      </w:r>
      <w:r>
        <w:rPr>
          <w:rFonts w:eastAsia="TimesNewRoman"/>
          <w:sz w:val="22"/>
          <w:szCs w:val="22"/>
        </w:rPr>
        <w:t xml:space="preserve"> forårsaket av sykdommen</w:t>
      </w:r>
      <w:r w:rsidRPr="009C5EFD">
        <w:rPr>
          <w:rFonts w:eastAsia="TimesNewRoman"/>
          <w:sz w:val="22"/>
          <w:szCs w:val="22"/>
        </w:rPr>
        <w:t>, og smerten som ofte er forbundet med sykdommen.</w:t>
      </w:r>
      <w:r>
        <w:rPr>
          <w:rFonts w:eastAsia="TimesNewRoman"/>
          <w:sz w:val="22"/>
          <w:szCs w:val="22"/>
        </w:rPr>
        <w:t xml:space="preserve"> </w:t>
      </w:r>
      <w:r>
        <w:rPr>
          <w:sz w:val="22"/>
          <w:szCs w:val="22"/>
        </w:rPr>
        <w:t xml:space="preserve">Det kan hende </w:t>
      </w:r>
      <w:r w:rsidRPr="009C5EFD">
        <w:rPr>
          <w:sz w:val="22"/>
          <w:szCs w:val="22"/>
        </w:rPr>
        <w:t>du først få</w:t>
      </w:r>
      <w:r>
        <w:rPr>
          <w:sz w:val="22"/>
          <w:szCs w:val="22"/>
        </w:rPr>
        <w:t>r</w:t>
      </w:r>
      <w:r w:rsidRPr="009C5EFD">
        <w:rPr>
          <w:sz w:val="22"/>
          <w:szCs w:val="22"/>
        </w:rPr>
        <w:t xml:space="preserve"> andre </w:t>
      </w:r>
      <w:r>
        <w:rPr>
          <w:sz w:val="22"/>
          <w:szCs w:val="22"/>
        </w:rPr>
        <w:t xml:space="preserve">legemidler. </w:t>
      </w:r>
      <w:r w:rsidRPr="009C5EFD">
        <w:rPr>
          <w:sz w:val="22"/>
          <w:szCs w:val="22"/>
        </w:rPr>
        <w:t xml:space="preserve">Dersom du ikke reagerer godt nok på disse </w:t>
      </w:r>
      <w:r>
        <w:rPr>
          <w:sz w:val="22"/>
          <w:szCs w:val="22"/>
        </w:rPr>
        <w:t>legemidlene</w:t>
      </w:r>
      <w:r w:rsidRPr="009C5EFD">
        <w:rPr>
          <w:sz w:val="22"/>
          <w:szCs w:val="22"/>
        </w:rPr>
        <w:t>, vil du få Humira</w:t>
      </w:r>
      <w:r>
        <w:rPr>
          <w:sz w:val="22"/>
          <w:szCs w:val="22"/>
        </w:rPr>
        <w:t>.</w:t>
      </w:r>
    </w:p>
    <w:p w14:paraId="2296E03C" w14:textId="77777777" w:rsidR="00B33BEC" w:rsidRPr="009C5EFD" w:rsidRDefault="00B33BEC" w:rsidP="00B33BEC">
      <w:pPr>
        <w:rPr>
          <w:sz w:val="22"/>
          <w:szCs w:val="22"/>
        </w:rPr>
      </w:pPr>
    </w:p>
    <w:p w14:paraId="112526C8" w14:textId="77777777" w:rsidR="00B33BEC" w:rsidRPr="009C5EFD" w:rsidRDefault="00E453CD" w:rsidP="00B33BEC">
      <w:pPr>
        <w:pStyle w:val="EMEANormal"/>
        <w:keepNext/>
        <w:rPr>
          <w:szCs w:val="22"/>
          <w:lang w:val="nb-NO"/>
        </w:rPr>
      </w:pPr>
      <w:r w:rsidRPr="00060AFF">
        <w:rPr>
          <w:b/>
          <w:szCs w:val="22"/>
          <w:lang w:val="nb-NO"/>
        </w:rPr>
        <w:t>Crohns sykdom</w:t>
      </w:r>
    </w:p>
    <w:p w14:paraId="594D76FC" w14:textId="77777777" w:rsidR="00B33BEC" w:rsidRPr="009C5EFD" w:rsidRDefault="00B33BEC" w:rsidP="00B33BEC">
      <w:pPr>
        <w:pStyle w:val="EMEANormal"/>
        <w:keepNext/>
        <w:rPr>
          <w:szCs w:val="22"/>
          <w:lang w:val="nb-NO"/>
        </w:rPr>
      </w:pPr>
    </w:p>
    <w:p w14:paraId="0BDA8175" w14:textId="77777777" w:rsidR="00B33BEC" w:rsidRPr="009C5EFD" w:rsidRDefault="00E453CD" w:rsidP="00776A84">
      <w:pPr>
        <w:pStyle w:val="EMEANormal"/>
        <w:rPr>
          <w:szCs w:val="22"/>
          <w:lang w:val="nb-NO"/>
        </w:rPr>
      </w:pPr>
      <w:r w:rsidRPr="009C5EFD">
        <w:rPr>
          <w:szCs w:val="22"/>
          <w:lang w:val="nb-NO"/>
        </w:rPr>
        <w:t>Crohns sykdom er en betennelsessykdom i fordøyelseskanalen.</w:t>
      </w:r>
    </w:p>
    <w:p w14:paraId="58A52C29" w14:textId="77777777" w:rsidR="00B33BEC" w:rsidRPr="009C5EFD" w:rsidRDefault="00B33BEC" w:rsidP="00B33BEC">
      <w:pPr>
        <w:pStyle w:val="EMEANormal"/>
        <w:rPr>
          <w:szCs w:val="22"/>
          <w:lang w:val="nb-NO"/>
        </w:rPr>
      </w:pPr>
    </w:p>
    <w:p w14:paraId="539C05BF" w14:textId="77777777" w:rsidR="00B33BEC" w:rsidRDefault="00E453CD" w:rsidP="00B33BEC">
      <w:pPr>
        <w:rPr>
          <w:sz w:val="22"/>
          <w:szCs w:val="22"/>
        </w:rPr>
      </w:pPr>
      <w:r w:rsidRPr="001F5D4B">
        <w:rPr>
          <w:sz w:val="22"/>
          <w:szCs w:val="22"/>
        </w:rPr>
        <w:t xml:space="preserve">Humira brukes </w:t>
      </w:r>
      <w:r>
        <w:rPr>
          <w:sz w:val="22"/>
          <w:szCs w:val="22"/>
        </w:rPr>
        <w:t>til</w:t>
      </w:r>
      <w:r w:rsidRPr="001F5D4B">
        <w:rPr>
          <w:sz w:val="22"/>
          <w:szCs w:val="22"/>
        </w:rPr>
        <w:t xml:space="preserve"> å behandle</w:t>
      </w:r>
    </w:p>
    <w:p w14:paraId="23955CF6" w14:textId="77777777" w:rsidR="00B33BEC" w:rsidRPr="00887835" w:rsidRDefault="00E453CD" w:rsidP="00B33BEC">
      <w:pPr>
        <w:pStyle w:val="EMEANormal"/>
        <w:numPr>
          <w:ilvl w:val="0"/>
          <w:numId w:val="110"/>
        </w:numPr>
        <w:tabs>
          <w:tab w:val="clear" w:pos="562"/>
          <w:tab w:val="left" w:pos="720"/>
        </w:tabs>
        <w:ind w:left="720"/>
        <w:rPr>
          <w:lang w:val="nb-NO"/>
        </w:rPr>
      </w:pPr>
      <w:r w:rsidRPr="00887835">
        <w:rPr>
          <w:szCs w:val="21"/>
          <w:lang w:val="nb-NO"/>
        </w:rPr>
        <w:t>moderat til alvorlig</w:t>
      </w:r>
      <w:r w:rsidRPr="0061743D">
        <w:rPr>
          <w:lang w:val="nb-NO"/>
        </w:rPr>
        <w:t xml:space="preserve"> Crohns sykdom hos voksne og</w:t>
      </w:r>
    </w:p>
    <w:p w14:paraId="341C0469" w14:textId="77777777" w:rsidR="00B33BEC" w:rsidRPr="00887835" w:rsidRDefault="00E453CD" w:rsidP="00B33BEC">
      <w:pPr>
        <w:pStyle w:val="EMEANormal"/>
        <w:numPr>
          <w:ilvl w:val="0"/>
          <w:numId w:val="110"/>
        </w:numPr>
        <w:tabs>
          <w:tab w:val="clear" w:pos="562"/>
          <w:tab w:val="left" w:pos="720"/>
        </w:tabs>
        <w:ind w:left="720"/>
        <w:rPr>
          <w:szCs w:val="22"/>
          <w:lang w:val="nb-NO"/>
        </w:rPr>
      </w:pPr>
      <w:r>
        <w:rPr>
          <w:szCs w:val="22"/>
          <w:lang w:val="nb-NO"/>
        </w:rPr>
        <w:t xml:space="preserve">moderat til alvorlig </w:t>
      </w:r>
      <w:r w:rsidRPr="00887835">
        <w:rPr>
          <w:szCs w:val="21"/>
          <w:lang w:val="nb-NO"/>
        </w:rPr>
        <w:t>Crohns sykdom hos</w:t>
      </w:r>
      <w:r w:rsidRPr="0061743D">
        <w:rPr>
          <w:lang w:val="nb-NO"/>
        </w:rPr>
        <w:t xml:space="preserve"> barn </w:t>
      </w:r>
      <w:r w:rsidRPr="00887835">
        <w:rPr>
          <w:szCs w:val="21"/>
          <w:lang w:val="nb-NO"/>
        </w:rPr>
        <w:t xml:space="preserve">og ungdom </w:t>
      </w:r>
      <w:r>
        <w:rPr>
          <w:szCs w:val="22"/>
          <w:lang w:val="nb-NO"/>
        </w:rPr>
        <w:t>fra</w:t>
      </w:r>
      <w:r w:rsidRPr="0061743D">
        <w:rPr>
          <w:lang w:val="nb-NO"/>
        </w:rPr>
        <w:t xml:space="preserve"> 6 </w:t>
      </w:r>
      <w:r>
        <w:rPr>
          <w:lang w:val="nb-NO"/>
        </w:rPr>
        <w:t>til 17 </w:t>
      </w:r>
      <w:r w:rsidRPr="0061743D">
        <w:rPr>
          <w:lang w:val="nb-NO"/>
        </w:rPr>
        <w:t>år</w:t>
      </w:r>
    </w:p>
    <w:p w14:paraId="31E20F14" w14:textId="77777777" w:rsidR="00B33BEC" w:rsidRPr="003D42FF" w:rsidRDefault="00B33BEC" w:rsidP="00B33BEC">
      <w:pPr>
        <w:rPr>
          <w:sz w:val="22"/>
          <w:szCs w:val="22"/>
        </w:rPr>
      </w:pPr>
    </w:p>
    <w:p w14:paraId="4869516D" w14:textId="77777777" w:rsidR="00B33BEC" w:rsidRPr="009C5EFD" w:rsidRDefault="00E453CD" w:rsidP="00B33BEC">
      <w:pPr>
        <w:pStyle w:val="EMEANormal"/>
        <w:rPr>
          <w:szCs w:val="22"/>
          <w:lang w:val="nb-NO"/>
        </w:rPr>
      </w:pPr>
      <w:r w:rsidRPr="00060AFF">
        <w:rPr>
          <w:szCs w:val="22"/>
          <w:lang w:val="nb-NO"/>
        </w:rPr>
        <w:t>Det kan hende du først får andre legemidler. Dersom du ikke reagerer godt nok på disse legemidlene, vil du få Humira.</w:t>
      </w:r>
    </w:p>
    <w:p w14:paraId="0B65904D" w14:textId="77777777" w:rsidR="00B33BEC" w:rsidRPr="009C5EFD" w:rsidRDefault="00B33BEC" w:rsidP="00B33BEC">
      <w:pPr>
        <w:suppressAutoHyphens/>
        <w:rPr>
          <w:sz w:val="22"/>
          <w:szCs w:val="22"/>
        </w:rPr>
      </w:pPr>
    </w:p>
    <w:p w14:paraId="525D9B4F" w14:textId="77777777" w:rsidR="00B33BEC" w:rsidRPr="00060AFF" w:rsidRDefault="00E453CD" w:rsidP="00B33BEC">
      <w:pPr>
        <w:pStyle w:val="EMEANormal"/>
        <w:keepNext/>
        <w:rPr>
          <w:b/>
          <w:szCs w:val="22"/>
          <w:lang w:val="nb-NO"/>
        </w:rPr>
      </w:pPr>
      <w:r w:rsidRPr="00060AFF">
        <w:rPr>
          <w:b/>
          <w:szCs w:val="22"/>
          <w:lang w:val="nb-NO"/>
        </w:rPr>
        <w:t>Ulcerøs kolitt</w:t>
      </w:r>
    </w:p>
    <w:p w14:paraId="6C1C0E86" w14:textId="77777777" w:rsidR="00B33BEC" w:rsidRPr="009C5EFD" w:rsidRDefault="00B33BEC" w:rsidP="00B33BEC">
      <w:pPr>
        <w:pStyle w:val="EMEANormal"/>
        <w:keepNext/>
        <w:rPr>
          <w:szCs w:val="22"/>
          <w:lang w:val="nb-NO"/>
        </w:rPr>
      </w:pPr>
    </w:p>
    <w:p w14:paraId="0B6608F1" w14:textId="77777777" w:rsidR="00B33BEC" w:rsidRPr="009C5EFD" w:rsidRDefault="00E453CD" w:rsidP="00776A84">
      <w:pPr>
        <w:pStyle w:val="EMEANormal"/>
        <w:rPr>
          <w:szCs w:val="22"/>
          <w:u w:val="single"/>
          <w:lang w:val="nb-NO"/>
        </w:rPr>
      </w:pPr>
      <w:r w:rsidRPr="009C5EFD">
        <w:rPr>
          <w:szCs w:val="22"/>
          <w:lang w:val="nb-NO"/>
        </w:rPr>
        <w:t xml:space="preserve">Ulcerøs kolitt er en betennelsessykdom i </w:t>
      </w:r>
      <w:r>
        <w:rPr>
          <w:szCs w:val="22"/>
          <w:lang w:val="nb-NO"/>
        </w:rPr>
        <w:t>tykk</w:t>
      </w:r>
      <w:r w:rsidRPr="009C5EFD">
        <w:rPr>
          <w:szCs w:val="22"/>
          <w:lang w:val="nb-NO"/>
        </w:rPr>
        <w:t>tarmen.</w:t>
      </w:r>
    </w:p>
    <w:p w14:paraId="6471CC82" w14:textId="77777777" w:rsidR="00B33BEC" w:rsidRPr="009C5EFD" w:rsidRDefault="00B33BEC" w:rsidP="00776A84">
      <w:pPr>
        <w:pStyle w:val="EMEANormal"/>
        <w:rPr>
          <w:szCs w:val="22"/>
          <w:lang w:val="nb-NO"/>
        </w:rPr>
      </w:pPr>
    </w:p>
    <w:p w14:paraId="7CBF7196" w14:textId="77777777" w:rsidR="00FE2F56" w:rsidRDefault="00E453CD" w:rsidP="00B33BEC">
      <w:pPr>
        <w:pStyle w:val="EMEANormal"/>
        <w:rPr>
          <w:szCs w:val="22"/>
          <w:lang w:val="nb-NO"/>
        </w:rPr>
      </w:pPr>
      <w:r w:rsidRPr="009C5EFD">
        <w:rPr>
          <w:szCs w:val="22"/>
          <w:lang w:val="nb-NO"/>
        </w:rPr>
        <w:t xml:space="preserve">Humira brukes </w:t>
      </w:r>
      <w:r>
        <w:rPr>
          <w:szCs w:val="22"/>
          <w:lang w:val="nb-NO"/>
        </w:rPr>
        <w:t>til</w:t>
      </w:r>
      <w:r w:rsidRPr="009C5EFD">
        <w:rPr>
          <w:szCs w:val="22"/>
          <w:lang w:val="nb-NO"/>
        </w:rPr>
        <w:t xml:space="preserve"> å behandle</w:t>
      </w:r>
    </w:p>
    <w:p w14:paraId="577589F1" w14:textId="77777777" w:rsidR="00FE2F56" w:rsidRPr="0015674E" w:rsidRDefault="00E453CD" w:rsidP="00E04B2A">
      <w:pPr>
        <w:pStyle w:val="ListParagraph"/>
        <w:numPr>
          <w:ilvl w:val="0"/>
          <w:numId w:val="15"/>
        </w:numPr>
        <w:tabs>
          <w:tab w:val="left" w:pos="562"/>
        </w:tabs>
        <w:suppressAutoHyphens/>
        <w:rPr>
          <w:sz w:val="22"/>
          <w:szCs w:val="22"/>
        </w:rPr>
      </w:pPr>
      <w:r>
        <w:rPr>
          <w:szCs w:val="22"/>
        </w:rPr>
        <w:tab/>
      </w:r>
      <w:r w:rsidR="00B33BEC" w:rsidRPr="0015674E">
        <w:rPr>
          <w:sz w:val="22"/>
          <w:szCs w:val="22"/>
        </w:rPr>
        <w:t>moderat til alvorlig ulcerøs kolitt hos voksne</w:t>
      </w:r>
      <w:r w:rsidR="00E361F7">
        <w:rPr>
          <w:sz w:val="22"/>
          <w:szCs w:val="22"/>
        </w:rPr>
        <w:t xml:space="preserve"> </w:t>
      </w:r>
      <w:r w:rsidR="00E361F7" w:rsidRPr="0015674E">
        <w:rPr>
          <w:sz w:val="22"/>
          <w:szCs w:val="22"/>
        </w:rPr>
        <w:t>og</w:t>
      </w:r>
    </w:p>
    <w:p w14:paraId="5339C588" w14:textId="77777777" w:rsidR="00CF58F0" w:rsidRPr="002C3646" w:rsidRDefault="00E453CD" w:rsidP="00E04B2A">
      <w:pPr>
        <w:pStyle w:val="ListParagraph"/>
        <w:numPr>
          <w:ilvl w:val="0"/>
          <w:numId w:val="15"/>
        </w:numPr>
        <w:tabs>
          <w:tab w:val="left" w:pos="562"/>
        </w:tabs>
        <w:suppressAutoHyphens/>
        <w:rPr>
          <w:szCs w:val="22"/>
        </w:rPr>
      </w:pPr>
      <w:r>
        <w:rPr>
          <w:sz w:val="22"/>
        </w:rPr>
        <w:tab/>
      </w:r>
      <w:r w:rsidRPr="00E04B2A">
        <w:rPr>
          <w:sz w:val="22"/>
        </w:rPr>
        <w:t xml:space="preserve">moderat til alvorlig ulcerøs kolitt hos barn og ungdom </w:t>
      </w:r>
      <w:r>
        <w:rPr>
          <w:sz w:val="22"/>
        </w:rPr>
        <w:t>fra</w:t>
      </w:r>
      <w:r w:rsidRPr="00E04B2A">
        <w:rPr>
          <w:sz w:val="22"/>
        </w:rPr>
        <w:t xml:space="preserve"> 6 til 17 år</w:t>
      </w:r>
    </w:p>
    <w:p w14:paraId="6A5BCA38" w14:textId="77777777" w:rsidR="00FE2F56" w:rsidRPr="00F840D8" w:rsidRDefault="00FE2F56" w:rsidP="0015674E">
      <w:pPr>
        <w:tabs>
          <w:tab w:val="left" w:pos="562"/>
        </w:tabs>
        <w:suppressAutoHyphens/>
        <w:rPr>
          <w:szCs w:val="22"/>
        </w:rPr>
      </w:pPr>
    </w:p>
    <w:p w14:paraId="5E69C20C" w14:textId="77777777" w:rsidR="00B33BEC" w:rsidRDefault="00E453CD" w:rsidP="00FE2F56">
      <w:pPr>
        <w:pStyle w:val="EMEANormal"/>
        <w:rPr>
          <w:szCs w:val="22"/>
          <w:lang w:val="nb-NO"/>
        </w:rPr>
      </w:pPr>
      <w:r w:rsidRPr="00887835">
        <w:rPr>
          <w:szCs w:val="22"/>
          <w:lang w:val="nb-NO"/>
        </w:rPr>
        <w:t>Det kan hende</w:t>
      </w:r>
      <w:r w:rsidRPr="009C5EFD">
        <w:rPr>
          <w:szCs w:val="22"/>
          <w:lang w:val="nb-NO"/>
        </w:rPr>
        <w:t xml:space="preserve"> du først </w:t>
      </w:r>
      <w:r w:rsidRPr="00887835">
        <w:rPr>
          <w:szCs w:val="22"/>
          <w:lang w:val="nb-NO"/>
        </w:rPr>
        <w:t>får</w:t>
      </w:r>
      <w:r w:rsidRPr="009C5EFD">
        <w:rPr>
          <w:szCs w:val="22"/>
          <w:lang w:val="nb-NO"/>
        </w:rPr>
        <w:t xml:space="preserve"> andre legemidler. Dersom du ikke reagerer godt nok på disse legemidlene, vil du få Humira.</w:t>
      </w:r>
    </w:p>
    <w:p w14:paraId="1A46424B" w14:textId="77777777" w:rsidR="00B33BEC" w:rsidRDefault="00B33BEC" w:rsidP="00B33BEC">
      <w:pPr>
        <w:pStyle w:val="EMEANormal"/>
        <w:rPr>
          <w:szCs w:val="22"/>
          <w:lang w:val="nb-NO"/>
        </w:rPr>
      </w:pPr>
    </w:p>
    <w:p w14:paraId="1469FB5C" w14:textId="77777777" w:rsidR="00B33BEC" w:rsidRDefault="00E453CD" w:rsidP="00776A84">
      <w:pPr>
        <w:pStyle w:val="EMEANormal"/>
        <w:keepNext/>
        <w:rPr>
          <w:szCs w:val="22"/>
          <w:u w:val="single"/>
          <w:lang w:val="nb-NO"/>
        </w:rPr>
      </w:pPr>
      <w:r w:rsidRPr="00060AFF">
        <w:rPr>
          <w:b/>
          <w:szCs w:val="22"/>
          <w:lang w:val="nb-NO"/>
        </w:rPr>
        <w:t>Ikke-infeksiøs uveitt</w:t>
      </w:r>
    </w:p>
    <w:p w14:paraId="40DCB02B" w14:textId="77777777" w:rsidR="00B33BEC" w:rsidRDefault="00B33BEC" w:rsidP="00776A84">
      <w:pPr>
        <w:pStyle w:val="EMEANormal"/>
        <w:keepNext/>
        <w:rPr>
          <w:szCs w:val="22"/>
          <w:u w:val="single"/>
          <w:lang w:val="nb-NO"/>
        </w:rPr>
      </w:pPr>
    </w:p>
    <w:p w14:paraId="6D5F40DA" w14:textId="77777777" w:rsidR="00B33BEC" w:rsidRDefault="00E453CD" w:rsidP="00B33BEC">
      <w:pPr>
        <w:pStyle w:val="EMEANormal"/>
        <w:rPr>
          <w:szCs w:val="22"/>
          <w:lang w:val="nb-NO"/>
        </w:rPr>
      </w:pPr>
      <w:r w:rsidRPr="00521E94">
        <w:rPr>
          <w:szCs w:val="22"/>
          <w:lang w:val="nb-NO"/>
        </w:rPr>
        <w:t xml:space="preserve">Ikke-infeksiøs uveitt </w:t>
      </w:r>
      <w:r>
        <w:rPr>
          <w:szCs w:val="22"/>
          <w:lang w:val="nb-NO"/>
        </w:rPr>
        <w:t xml:space="preserve">er en betennelsessykdom </w:t>
      </w:r>
      <w:r w:rsidRPr="00521E94">
        <w:rPr>
          <w:szCs w:val="22"/>
          <w:lang w:val="nb-NO"/>
        </w:rPr>
        <w:t xml:space="preserve">som påvirker </w:t>
      </w:r>
      <w:r>
        <w:rPr>
          <w:szCs w:val="22"/>
          <w:lang w:val="nb-NO"/>
        </w:rPr>
        <w:t>visse deler av øyet.</w:t>
      </w:r>
    </w:p>
    <w:p w14:paraId="7A47E639" w14:textId="77777777" w:rsidR="00B33BEC" w:rsidRDefault="00B33BEC" w:rsidP="00B33BEC">
      <w:pPr>
        <w:pStyle w:val="EMEANormal"/>
        <w:rPr>
          <w:szCs w:val="22"/>
          <w:lang w:val="nb-NO"/>
        </w:rPr>
      </w:pPr>
    </w:p>
    <w:p w14:paraId="335822CD" w14:textId="77777777" w:rsidR="00B33BEC" w:rsidRDefault="00E453CD" w:rsidP="00B33BEC">
      <w:pPr>
        <w:pStyle w:val="EMEANormal"/>
        <w:rPr>
          <w:szCs w:val="22"/>
          <w:lang w:val="nb-NO"/>
        </w:rPr>
      </w:pPr>
      <w:r>
        <w:rPr>
          <w:szCs w:val="22"/>
          <w:lang w:val="nb-NO"/>
        </w:rPr>
        <w:t xml:space="preserve">Humira brukes til å behandle </w:t>
      </w:r>
    </w:p>
    <w:p w14:paraId="573BE352" w14:textId="77777777" w:rsidR="00B33BEC" w:rsidRPr="004F1D48" w:rsidRDefault="00E453CD" w:rsidP="00AF70AD">
      <w:pPr>
        <w:pStyle w:val="EMEANormal"/>
        <w:numPr>
          <w:ilvl w:val="0"/>
          <w:numId w:val="110"/>
        </w:numPr>
        <w:tabs>
          <w:tab w:val="clear" w:pos="562"/>
          <w:tab w:val="left" w:pos="720"/>
        </w:tabs>
        <w:ind w:left="720"/>
        <w:rPr>
          <w:szCs w:val="21"/>
          <w:lang w:val="nb-NO"/>
        </w:rPr>
      </w:pPr>
      <w:r w:rsidRPr="00D34056">
        <w:rPr>
          <w:szCs w:val="21"/>
          <w:lang w:val="nb-NO"/>
        </w:rPr>
        <w:t>voksne med ikke-infeksiøs uveitt med betennelse som påvirker bakre del av øyet</w:t>
      </w:r>
    </w:p>
    <w:p w14:paraId="2F8C9A41" w14:textId="77777777" w:rsidR="00B33BEC" w:rsidRPr="00EB7302" w:rsidRDefault="00E453CD" w:rsidP="00AF70AD">
      <w:pPr>
        <w:pStyle w:val="EMEANormal"/>
        <w:numPr>
          <w:ilvl w:val="0"/>
          <w:numId w:val="110"/>
        </w:numPr>
        <w:tabs>
          <w:tab w:val="clear" w:pos="562"/>
          <w:tab w:val="left" w:pos="720"/>
        </w:tabs>
        <w:ind w:left="720"/>
        <w:rPr>
          <w:szCs w:val="21"/>
          <w:lang w:val="nb-NO"/>
        </w:rPr>
      </w:pPr>
      <w:r w:rsidRPr="009A2F72">
        <w:rPr>
          <w:szCs w:val="21"/>
          <w:lang w:val="nb-NO"/>
        </w:rPr>
        <w:t>barn over 2 år med kronisk ikke-infeksiøs uveitt med betennelse som påvirker fremre del av øye</w:t>
      </w:r>
      <w:r w:rsidRPr="00EB7302">
        <w:rPr>
          <w:szCs w:val="21"/>
          <w:lang w:val="nb-NO"/>
        </w:rPr>
        <w:t>t (regnbuehinnebetennelse)</w:t>
      </w:r>
    </w:p>
    <w:p w14:paraId="400684CF" w14:textId="77777777" w:rsidR="00B33BEC" w:rsidRDefault="00B33BEC" w:rsidP="00B33BEC">
      <w:pPr>
        <w:pStyle w:val="EMEANormal"/>
        <w:rPr>
          <w:szCs w:val="22"/>
          <w:lang w:val="nb-NO"/>
        </w:rPr>
      </w:pPr>
    </w:p>
    <w:p w14:paraId="5521C0D4" w14:textId="77777777" w:rsidR="00B33BEC" w:rsidRDefault="00E453CD" w:rsidP="00B33BEC">
      <w:pPr>
        <w:pStyle w:val="EMEANormal"/>
        <w:rPr>
          <w:szCs w:val="22"/>
          <w:lang w:val="nb-NO"/>
        </w:rPr>
      </w:pPr>
      <w:r>
        <w:rPr>
          <w:szCs w:val="22"/>
          <w:lang w:val="nb-NO"/>
        </w:rPr>
        <w:t xml:space="preserve">Denne betennelsen kan føre til nedsatt syn og/eller tilstedeværelse av flytende legemer i øyet (svarte prikker eller ujevne linjer som beveger seg over synsfeltet). Humira virker ved å redusere denne betennelsen. </w:t>
      </w:r>
    </w:p>
    <w:p w14:paraId="0AEF77BC" w14:textId="77777777" w:rsidR="00B33BEC" w:rsidRDefault="00B33BEC" w:rsidP="00B33BEC">
      <w:pPr>
        <w:pStyle w:val="EMEANormal"/>
        <w:rPr>
          <w:szCs w:val="22"/>
          <w:lang w:val="nb-NO"/>
        </w:rPr>
      </w:pPr>
    </w:p>
    <w:p w14:paraId="1FD11E4C" w14:textId="77777777" w:rsidR="00B33BEC" w:rsidRPr="009C5EFD" w:rsidRDefault="00E453CD" w:rsidP="00B33BEC">
      <w:pPr>
        <w:pStyle w:val="EMEANormal"/>
        <w:rPr>
          <w:szCs w:val="22"/>
          <w:lang w:val="nb-NO"/>
        </w:rPr>
      </w:pPr>
      <w:r w:rsidRPr="00A15CB1">
        <w:rPr>
          <w:szCs w:val="22"/>
          <w:lang w:val="nb-NO"/>
        </w:rPr>
        <w:lastRenderedPageBreak/>
        <w:t xml:space="preserve">Det kan </w:t>
      </w:r>
      <w:r>
        <w:rPr>
          <w:szCs w:val="22"/>
          <w:lang w:val="nb-NO"/>
        </w:rPr>
        <w:t>hende du</w:t>
      </w:r>
      <w:r w:rsidRPr="00A15CB1">
        <w:rPr>
          <w:szCs w:val="22"/>
          <w:lang w:val="nb-NO"/>
        </w:rPr>
        <w:t xml:space="preserve"> først får andre legemidler. Dersom du ikke reagerer godt nok på disse legemidlene, vil du få Humira.</w:t>
      </w:r>
    </w:p>
    <w:p w14:paraId="34840986" w14:textId="77777777" w:rsidR="00B33BEC" w:rsidRPr="009C5EFD" w:rsidRDefault="00B33BEC" w:rsidP="00B33BEC">
      <w:pPr>
        <w:suppressAutoHyphens/>
        <w:rPr>
          <w:sz w:val="22"/>
          <w:szCs w:val="22"/>
        </w:rPr>
      </w:pPr>
    </w:p>
    <w:p w14:paraId="486E3132" w14:textId="77777777" w:rsidR="00B33BEC" w:rsidRPr="009C5EFD" w:rsidRDefault="00B33BEC" w:rsidP="00B33BEC">
      <w:pPr>
        <w:suppressAutoHyphens/>
        <w:rPr>
          <w:sz w:val="22"/>
          <w:szCs w:val="22"/>
        </w:rPr>
      </w:pPr>
    </w:p>
    <w:p w14:paraId="46622AFF" w14:textId="77777777" w:rsidR="00B33BEC" w:rsidRPr="009C5EFD" w:rsidRDefault="00E453CD" w:rsidP="00602A37">
      <w:pPr>
        <w:keepNext/>
        <w:suppressAutoHyphens/>
        <w:ind w:left="562" w:hanging="562"/>
        <w:rPr>
          <w:sz w:val="22"/>
          <w:szCs w:val="22"/>
        </w:rPr>
      </w:pPr>
      <w:r w:rsidRPr="009C5EFD">
        <w:rPr>
          <w:b/>
          <w:sz w:val="22"/>
          <w:szCs w:val="22"/>
        </w:rPr>
        <w:t>2.</w:t>
      </w:r>
      <w:r w:rsidRPr="009C5EFD">
        <w:rPr>
          <w:b/>
          <w:sz w:val="22"/>
          <w:szCs w:val="22"/>
        </w:rPr>
        <w:tab/>
        <w:t>Hva du må vite før du bruker Humira</w:t>
      </w:r>
    </w:p>
    <w:p w14:paraId="3F185EB0" w14:textId="77777777" w:rsidR="00B33BEC" w:rsidRPr="009C5EFD" w:rsidRDefault="00B33BEC" w:rsidP="00B33BEC">
      <w:pPr>
        <w:keepNext/>
        <w:rPr>
          <w:sz w:val="22"/>
          <w:szCs w:val="22"/>
        </w:rPr>
      </w:pPr>
    </w:p>
    <w:p w14:paraId="24F56EEA" w14:textId="77777777" w:rsidR="00B33BEC" w:rsidRPr="009C5EFD" w:rsidRDefault="00E453CD" w:rsidP="00B33BEC">
      <w:pPr>
        <w:keepNext/>
        <w:suppressAutoHyphens/>
        <w:rPr>
          <w:b/>
          <w:sz w:val="22"/>
          <w:szCs w:val="22"/>
        </w:rPr>
      </w:pPr>
      <w:r w:rsidRPr="009C5EFD">
        <w:rPr>
          <w:b/>
          <w:sz w:val="22"/>
          <w:szCs w:val="22"/>
        </w:rPr>
        <w:t>Bruk ikke Humira</w:t>
      </w:r>
      <w:r>
        <w:rPr>
          <w:b/>
          <w:sz w:val="22"/>
          <w:szCs w:val="22"/>
        </w:rPr>
        <w:t>:</w:t>
      </w:r>
    </w:p>
    <w:p w14:paraId="76ACCCD7" w14:textId="77777777" w:rsidR="00B33BEC" w:rsidRPr="009C5EFD" w:rsidRDefault="00B33BEC" w:rsidP="00B33BEC">
      <w:pPr>
        <w:pStyle w:val="EMEANormal"/>
        <w:keepNext/>
        <w:rPr>
          <w:szCs w:val="22"/>
          <w:lang w:val="nb-NO"/>
        </w:rPr>
      </w:pPr>
    </w:p>
    <w:p w14:paraId="5E3B3908" w14:textId="77777777" w:rsidR="00B33BEC" w:rsidRPr="00926F2E" w:rsidRDefault="00E453CD" w:rsidP="00AF70AD">
      <w:pPr>
        <w:pStyle w:val="EMEANormal"/>
        <w:numPr>
          <w:ilvl w:val="0"/>
          <w:numId w:val="110"/>
        </w:numPr>
        <w:tabs>
          <w:tab w:val="clear" w:pos="562"/>
          <w:tab w:val="left" w:pos="720"/>
        </w:tabs>
        <w:ind w:left="720"/>
        <w:rPr>
          <w:szCs w:val="21"/>
          <w:lang w:val="nb-NO"/>
        </w:rPr>
      </w:pPr>
      <w:r>
        <w:rPr>
          <w:szCs w:val="21"/>
          <w:lang w:val="nb-NO"/>
        </w:rPr>
        <w:t>D</w:t>
      </w:r>
      <w:r w:rsidRPr="00AF70AD">
        <w:rPr>
          <w:szCs w:val="21"/>
          <w:lang w:val="nb-NO"/>
        </w:rPr>
        <w:t>ersom du er allergisk overfor adalimumab eller noen av de andre innholdsstoffene i dette legemidlet (listet opp i avsnitt 6).</w:t>
      </w:r>
    </w:p>
    <w:p w14:paraId="2107DB86" w14:textId="77777777" w:rsidR="00B33BEC" w:rsidRPr="00926F2E" w:rsidRDefault="00B33BEC" w:rsidP="00AF70AD">
      <w:pPr>
        <w:pStyle w:val="EMEANormal"/>
        <w:tabs>
          <w:tab w:val="clear" w:pos="562"/>
          <w:tab w:val="left" w:pos="720"/>
        </w:tabs>
        <w:ind w:left="720"/>
        <w:rPr>
          <w:szCs w:val="21"/>
          <w:lang w:val="nb-NO"/>
        </w:rPr>
      </w:pPr>
    </w:p>
    <w:p w14:paraId="457D6192" w14:textId="77777777" w:rsidR="00B33BEC" w:rsidRPr="00926F2E" w:rsidRDefault="00E453CD" w:rsidP="00AF70AD">
      <w:pPr>
        <w:pStyle w:val="EMEANormal"/>
        <w:numPr>
          <w:ilvl w:val="0"/>
          <w:numId w:val="110"/>
        </w:numPr>
        <w:tabs>
          <w:tab w:val="clear" w:pos="562"/>
          <w:tab w:val="left" w:pos="720"/>
        </w:tabs>
        <w:ind w:left="720"/>
        <w:rPr>
          <w:szCs w:val="21"/>
          <w:lang w:val="nb-NO"/>
        </w:rPr>
      </w:pPr>
      <w:r>
        <w:rPr>
          <w:szCs w:val="21"/>
          <w:lang w:val="nb-NO"/>
        </w:rPr>
        <w:t>D</w:t>
      </w:r>
      <w:r w:rsidRPr="00AF70AD">
        <w:rPr>
          <w:szCs w:val="21"/>
          <w:lang w:val="nb-NO"/>
        </w:rPr>
        <w:t xml:space="preserve">ersom du har aktiv tuberkulose eller andre alvorlige infeksjoner (se </w:t>
      </w:r>
      <w:r w:rsidR="00D57009">
        <w:rPr>
          <w:szCs w:val="21"/>
          <w:lang w:val="nb-NO"/>
        </w:rPr>
        <w:t>«</w:t>
      </w:r>
      <w:r w:rsidRPr="00AF70AD">
        <w:rPr>
          <w:szCs w:val="21"/>
          <w:lang w:val="nb-NO"/>
        </w:rPr>
        <w:t>Advarsler og forsiktighetsregler</w:t>
      </w:r>
      <w:r w:rsidR="00D57009">
        <w:rPr>
          <w:szCs w:val="21"/>
          <w:lang w:val="nb-NO"/>
        </w:rPr>
        <w:t>»</w:t>
      </w:r>
      <w:r w:rsidRPr="00AF70AD">
        <w:rPr>
          <w:szCs w:val="21"/>
          <w:lang w:val="nb-NO"/>
        </w:rPr>
        <w:t>). Det er viktig at du informerer legen din om du har symptomer på infeksjon, som f.eks. feber, sår, tretthet, problemer med tennene.</w:t>
      </w:r>
    </w:p>
    <w:p w14:paraId="7614F939" w14:textId="77777777" w:rsidR="00B33BEC" w:rsidRPr="00926F2E" w:rsidRDefault="00B33BEC" w:rsidP="00AF70AD">
      <w:pPr>
        <w:pStyle w:val="EMEANormal"/>
        <w:tabs>
          <w:tab w:val="clear" w:pos="562"/>
          <w:tab w:val="left" w:pos="720"/>
        </w:tabs>
        <w:ind w:left="720"/>
        <w:rPr>
          <w:szCs w:val="21"/>
          <w:lang w:val="nb-NO"/>
        </w:rPr>
      </w:pPr>
    </w:p>
    <w:p w14:paraId="1DAA0216" w14:textId="77777777" w:rsidR="00B33BEC" w:rsidRPr="00926F2E" w:rsidRDefault="00E453CD" w:rsidP="00AF70AD">
      <w:pPr>
        <w:pStyle w:val="EMEANormal"/>
        <w:numPr>
          <w:ilvl w:val="0"/>
          <w:numId w:val="110"/>
        </w:numPr>
        <w:tabs>
          <w:tab w:val="clear" w:pos="562"/>
          <w:tab w:val="left" w:pos="720"/>
        </w:tabs>
        <w:ind w:left="720"/>
        <w:rPr>
          <w:szCs w:val="22"/>
          <w:lang w:val="nb-NO"/>
        </w:rPr>
      </w:pPr>
      <w:r>
        <w:rPr>
          <w:szCs w:val="21"/>
          <w:lang w:val="nb-NO"/>
        </w:rPr>
        <w:t>D</w:t>
      </w:r>
      <w:r w:rsidRPr="00AF70AD">
        <w:rPr>
          <w:szCs w:val="21"/>
          <w:lang w:val="nb-NO"/>
        </w:rPr>
        <w:t xml:space="preserve">ersom du har moderat til alvorlig hjertesvikt. Det er viktig at du forteller legen din hvis du har eller har hatt en alvorlig hjertesykdom (se </w:t>
      </w:r>
      <w:r w:rsidR="00D57009">
        <w:rPr>
          <w:szCs w:val="21"/>
          <w:lang w:val="nb-NO"/>
        </w:rPr>
        <w:t>«</w:t>
      </w:r>
      <w:r w:rsidRPr="00AF70AD">
        <w:rPr>
          <w:szCs w:val="21"/>
          <w:lang w:val="nb-NO"/>
        </w:rPr>
        <w:t>Advarsler og forsiktighetsregler</w:t>
      </w:r>
      <w:r w:rsidR="00D57009">
        <w:rPr>
          <w:szCs w:val="21"/>
          <w:lang w:val="nb-NO"/>
        </w:rPr>
        <w:t>»</w:t>
      </w:r>
      <w:r w:rsidRPr="00AF70AD">
        <w:rPr>
          <w:szCs w:val="21"/>
          <w:lang w:val="nb-NO"/>
        </w:rPr>
        <w:t>).</w:t>
      </w:r>
    </w:p>
    <w:p w14:paraId="1E1EBB91" w14:textId="77777777" w:rsidR="00B33BEC" w:rsidRPr="009C5EFD" w:rsidRDefault="00B33BEC" w:rsidP="00776A84">
      <w:pPr>
        <w:tabs>
          <w:tab w:val="num" w:pos="567"/>
        </w:tabs>
        <w:suppressAutoHyphens/>
        <w:ind w:left="567" w:hanging="567"/>
        <w:rPr>
          <w:sz w:val="22"/>
          <w:szCs w:val="22"/>
        </w:rPr>
      </w:pPr>
    </w:p>
    <w:p w14:paraId="1C0E7EA6" w14:textId="77777777" w:rsidR="00B33BEC" w:rsidRPr="009C5EFD" w:rsidRDefault="00E453CD" w:rsidP="00776A84">
      <w:pPr>
        <w:keepNext/>
        <w:tabs>
          <w:tab w:val="num" w:pos="567"/>
        </w:tabs>
        <w:suppressAutoHyphens/>
        <w:ind w:left="567" w:hanging="567"/>
        <w:rPr>
          <w:b/>
          <w:sz w:val="22"/>
          <w:szCs w:val="22"/>
        </w:rPr>
      </w:pPr>
      <w:r w:rsidRPr="009C5EFD">
        <w:rPr>
          <w:b/>
          <w:sz w:val="22"/>
          <w:szCs w:val="22"/>
        </w:rPr>
        <w:t>Advarsler og forsiktighetsregler</w:t>
      </w:r>
    </w:p>
    <w:p w14:paraId="731D5907" w14:textId="77777777" w:rsidR="00B33BEC" w:rsidRPr="009C5EFD" w:rsidRDefault="00B33BEC" w:rsidP="00776A84">
      <w:pPr>
        <w:keepNext/>
        <w:tabs>
          <w:tab w:val="num" w:pos="567"/>
        </w:tabs>
        <w:suppressAutoHyphens/>
        <w:ind w:left="567" w:hanging="567"/>
        <w:rPr>
          <w:sz w:val="22"/>
          <w:szCs w:val="22"/>
        </w:rPr>
      </w:pPr>
    </w:p>
    <w:p w14:paraId="47ED609F" w14:textId="77777777" w:rsidR="00B33BEC" w:rsidRPr="009C5EFD" w:rsidRDefault="00E453CD" w:rsidP="00B33BEC">
      <w:pPr>
        <w:pStyle w:val="BodyTextIndent3"/>
        <w:ind w:left="0" w:firstLine="0"/>
        <w:rPr>
          <w:szCs w:val="22"/>
        </w:rPr>
      </w:pPr>
      <w:r w:rsidRPr="009C5EFD">
        <w:rPr>
          <w:szCs w:val="22"/>
        </w:rPr>
        <w:t>Snakk med lege eller apotek før</w:t>
      </w:r>
      <w:r w:rsidR="007C5DA8">
        <w:rPr>
          <w:szCs w:val="22"/>
        </w:rPr>
        <w:t xml:space="preserve"> du bruker</w:t>
      </w:r>
      <w:r w:rsidRPr="009C5EFD">
        <w:rPr>
          <w:szCs w:val="22"/>
        </w:rPr>
        <w:t xml:space="preserve"> Humira.</w:t>
      </w:r>
    </w:p>
    <w:p w14:paraId="78A08FFF" w14:textId="77777777" w:rsidR="00B33BEC" w:rsidRPr="009C5EFD" w:rsidRDefault="00B33BEC" w:rsidP="00B33BEC">
      <w:pPr>
        <w:pStyle w:val="BodyTextIndent3"/>
        <w:ind w:left="0" w:firstLine="0"/>
        <w:rPr>
          <w:szCs w:val="22"/>
        </w:rPr>
      </w:pPr>
    </w:p>
    <w:p w14:paraId="42C11A7B" w14:textId="77777777" w:rsidR="00B33BEC" w:rsidRDefault="00E453CD" w:rsidP="00776A84">
      <w:pPr>
        <w:pStyle w:val="BodyTextIndent3"/>
        <w:keepNext/>
        <w:rPr>
          <w:szCs w:val="22"/>
        </w:rPr>
      </w:pPr>
      <w:r>
        <w:rPr>
          <w:szCs w:val="22"/>
          <w:u w:val="single"/>
        </w:rPr>
        <w:t>Allergiske reaksjoner</w:t>
      </w:r>
    </w:p>
    <w:p w14:paraId="0521A971" w14:textId="77777777" w:rsidR="00B33BEC" w:rsidRPr="009B6AB2" w:rsidRDefault="00B33BEC" w:rsidP="00776A84">
      <w:pPr>
        <w:pStyle w:val="BodyTextIndent3"/>
        <w:keepNext/>
        <w:rPr>
          <w:szCs w:val="22"/>
        </w:rPr>
      </w:pPr>
    </w:p>
    <w:p w14:paraId="776E15D6" w14:textId="77777777" w:rsidR="00B33BEC" w:rsidRPr="009C5EFD" w:rsidRDefault="00E453CD" w:rsidP="00B33BEC">
      <w:pPr>
        <w:pStyle w:val="BodyTextIndent3"/>
        <w:numPr>
          <w:ilvl w:val="0"/>
          <w:numId w:val="3"/>
        </w:numPr>
        <w:rPr>
          <w:szCs w:val="22"/>
        </w:rPr>
      </w:pPr>
      <w:r w:rsidRPr="009C5EFD">
        <w:rPr>
          <w:szCs w:val="22"/>
        </w:rPr>
        <w:t xml:space="preserve">Dersom du får allergiske reaksjoner med symptomer som tetthet eller piping i brystet, svimmelhet, hevelse eller utslett, må du ikke </w:t>
      </w:r>
      <w:r w:rsidRPr="009C5EFD">
        <w:rPr>
          <w:color w:val="000000"/>
          <w:szCs w:val="22"/>
        </w:rPr>
        <w:t xml:space="preserve">fortsette å </w:t>
      </w:r>
      <w:r>
        <w:rPr>
          <w:szCs w:val="22"/>
        </w:rPr>
        <w:t>injisere</w:t>
      </w:r>
      <w:r w:rsidRPr="009C5EFD">
        <w:rPr>
          <w:szCs w:val="22"/>
        </w:rPr>
        <w:t xml:space="preserve"> Humira, men kontakte legen </w:t>
      </w:r>
      <w:r>
        <w:rPr>
          <w:szCs w:val="22"/>
        </w:rPr>
        <w:t>din</w:t>
      </w:r>
      <w:r w:rsidRPr="009C5EFD">
        <w:rPr>
          <w:szCs w:val="22"/>
        </w:rPr>
        <w:t xml:space="preserve"> umiddelbart</w:t>
      </w:r>
      <w:r>
        <w:rPr>
          <w:szCs w:val="22"/>
        </w:rPr>
        <w:t xml:space="preserve"> siden disse reaksjonene i sjeldne tilfeller kan være livstruende</w:t>
      </w:r>
      <w:r w:rsidRPr="009C5EFD">
        <w:rPr>
          <w:szCs w:val="22"/>
        </w:rPr>
        <w:t>.</w:t>
      </w:r>
    </w:p>
    <w:p w14:paraId="55489F03" w14:textId="77777777" w:rsidR="00B33BEC" w:rsidRDefault="00B33BEC" w:rsidP="00B33BEC">
      <w:pPr>
        <w:pStyle w:val="BodyTextIndent3"/>
        <w:ind w:firstLine="0"/>
        <w:rPr>
          <w:szCs w:val="22"/>
        </w:rPr>
      </w:pPr>
    </w:p>
    <w:p w14:paraId="5E09220F" w14:textId="77777777" w:rsidR="00B33BEC" w:rsidRDefault="00E453CD" w:rsidP="00776A84">
      <w:pPr>
        <w:pStyle w:val="BodyTextIndent3"/>
        <w:keepNext/>
        <w:rPr>
          <w:szCs w:val="22"/>
        </w:rPr>
      </w:pPr>
      <w:r>
        <w:rPr>
          <w:szCs w:val="22"/>
          <w:u w:val="single"/>
        </w:rPr>
        <w:t>Infeksjoner</w:t>
      </w:r>
    </w:p>
    <w:p w14:paraId="1F6C8FD7" w14:textId="77777777" w:rsidR="00B33BEC" w:rsidRPr="009B6AB2" w:rsidRDefault="00B33BEC" w:rsidP="00776A84">
      <w:pPr>
        <w:pStyle w:val="BodyTextIndent3"/>
        <w:keepNext/>
        <w:rPr>
          <w:szCs w:val="22"/>
        </w:rPr>
      </w:pPr>
    </w:p>
    <w:p w14:paraId="22D6DE49" w14:textId="77777777" w:rsidR="00B33BEC" w:rsidRPr="009C5EFD" w:rsidRDefault="00E453CD" w:rsidP="00B33BEC">
      <w:pPr>
        <w:pStyle w:val="BodyTextIndent3"/>
        <w:numPr>
          <w:ilvl w:val="0"/>
          <w:numId w:val="3"/>
        </w:numPr>
        <w:rPr>
          <w:szCs w:val="22"/>
        </w:rPr>
      </w:pPr>
      <w:r w:rsidRPr="009C5EFD">
        <w:rPr>
          <w:szCs w:val="22"/>
        </w:rPr>
        <w:t xml:space="preserve">Dersom du har en infeksjon, </w:t>
      </w:r>
      <w:r>
        <w:rPr>
          <w:szCs w:val="22"/>
        </w:rPr>
        <w:t>inkludert</w:t>
      </w:r>
      <w:r w:rsidRPr="009C5EFD">
        <w:rPr>
          <w:szCs w:val="22"/>
        </w:rPr>
        <w:t xml:space="preserve"> langtids</w:t>
      </w:r>
      <w:r>
        <w:rPr>
          <w:szCs w:val="22"/>
        </w:rPr>
        <w:t>infeksjon</w:t>
      </w:r>
      <w:r w:rsidRPr="009C5EFD">
        <w:rPr>
          <w:szCs w:val="22"/>
        </w:rPr>
        <w:t xml:space="preserve"> eller </w:t>
      </w:r>
      <w:r>
        <w:rPr>
          <w:szCs w:val="22"/>
        </w:rPr>
        <w:t>en</w:t>
      </w:r>
      <w:r w:rsidRPr="009C5EFD">
        <w:rPr>
          <w:szCs w:val="22"/>
        </w:rPr>
        <w:t xml:space="preserve"> infeksjon </w:t>
      </w:r>
      <w:r>
        <w:rPr>
          <w:szCs w:val="22"/>
        </w:rPr>
        <w:t xml:space="preserve">i én del av kroppen </w:t>
      </w:r>
      <w:r w:rsidRPr="009C5EFD">
        <w:rPr>
          <w:szCs w:val="22"/>
        </w:rPr>
        <w:t>(</w:t>
      </w:r>
      <w:r>
        <w:rPr>
          <w:szCs w:val="22"/>
        </w:rPr>
        <w:t>f.eks.</w:t>
      </w:r>
      <w:r w:rsidRPr="009C5EFD">
        <w:rPr>
          <w:szCs w:val="22"/>
        </w:rPr>
        <w:t xml:space="preserve"> leggsår) må du snakke med legen </w:t>
      </w:r>
      <w:r>
        <w:rPr>
          <w:szCs w:val="22"/>
        </w:rPr>
        <w:t xml:space="preserve">din </w:t>
      </w:r>
      <w:r w:rsidRPr="009C5EFD">
        <w:rPr>
          <w:szCs w:val="22"/>
        </w:rPr>
        <w:t xml:space="preserve">før du begynner å bruke Humira. </w:t>
      </w:r>
      <w:r>
        <w:rPr>
          <w:szCs w:val="22"/>
        </w:rPr>
        <w:t>K</w:t>
      </w:r>
      <w:r w:rsidRPr="009C5EFD">
        <w:rPr>
          <w:szCs w:val="22"/>
        </w:rPr>
        <w:t>ontakt legen</w:t>
      </w:r>
      <w:r>
        <w:rPr>
          <w:szCs w:val="22"/>
        </w:rPr>
        <w:t xml:space="preserve"> din</w:t>
      </w:r>
      <w:r w:rsidRPr="009C5EFD">
        <w:rPr>
          <w:szCs w:val="22"/>
        </w:rPr>
        <w:t xml:space="preserve"> hvis du er usikker.</w:t>
      </w:r>
    </w:p>
    <w:p w14:paraId="281A4C52" w14:textId="77777777" w:rsidR="00B33BEC" w:rsidRPr="009C5EFD" w:rsidRDefault="00B33BEC" w:rsidP="00B33BEC">
      <w:pPr>
        <w:pStyle w:val="BodyTextIndent3"/>
        <w:ind w:firstLine="0"/>
        <w:rPr>
          <w:szCs w:val="22"/>
        </w:rPr>
      </w:pPr>
    </w:p>
    <w:p w14:paraId="13EEA94D" w14:textId="77777777" w:rsidR="00B33BEC" w:rsidRDefault="00E453CD" w:rsidP="00B33BEC">
      <w:pPr>
        <w:numPr>
          <w:ilvl w:val="0"/>
          <w:numId w:val="3"/>
        </w:numPr>
        <w:suppressAutoHyphens/>
        <w:rPr>
          <w:sz w:val="22"/>
          <w:szCs w:val="22"/>
        </w:rPr>
      </w:pPr>
      <w:r w:rsidRPr="009C5EFD">
        <w:rPr>
          <w:sz w:val="22"/>
          <w:szCs w:val="22"/>
        </w:rPr>
        <w:t xml:space="preserve">Du kan lettere få infeksjoner mens du behandles med Humira. Denne risikoen kan være større hvis </w:t>
      </w:r>
      <w:r>
        <w:rPr>
          <w:sz w:val="22"/>
          <w:szCs w:val="22"/>
        </w:rPr>
        <w:t xml:space="preserve">du har problemer med </w:t>
      </w:r>
      <w:r w:rsidRPr="009C5EFD">
        <w:rPr>
          <w:sz w:val="22"/>
          <w:szCs w:val="22"/>
        </w:rPr>
        <w:t>din lungefunksjon. Disse infeksjonene kan være alvorlige og inkluderer</w:t>
      </w:r>
      <w:r>
        <w:rPr>
          <w:sz w:val="22"/>
          <w:szCs w:val="22"/>
        </w:rPr>
        <w:t>:</w:t>
      </w:r>
    </w:p>
    <w:p w14:paraId="45E1BBB3" w14:textId="77777777" w:rsidR="00B33BEC" w:rsidRDefault="00B33BEC" w:rsidP="00B33BEC">
      <w:pPr>
        <w:suppressAutoHyphens/>
        <w:ind w:left="567"/>
        <w:rPr>
          <w:sz w:val="22"/>
          <w:szCs w:val="22"/>
        </w:rPr>
      </w:pPr>
    </w:p>
    <w:p w14:paraId="7FEA9BDD" w14:textId="77777777" w:rsidR="00B33BEC" w:rsidRPr="00B20185" w:rsidRDefault="00E453CD" w:rsidP="00B33BEC">
      <w:pPr>
        <w:pStyle w:val="EMEABullet2"/>
        <w:numPr>
          <w:ilvl w:val="1"/>
          <w:numId w:val="111"/>
        </w:numPr>
        <w:tabs>
          <w:tab w:val="clear" w:pos="567"/>
        </w:tabs>
        <w:rPr>
          <w:lang w:val="en-GB"/>
        </w:rPr>
      </w:pPr>
      <w:r w:rsidRPr="0061743D">
        <w:rPr>
          <w:lang w:val="en-GB"/>
        </w:rPr>
        <w:t>tuberkulose</w:t>
      </w:r>
    </w:p>
    <w:p w14:paraId="666A6551" w14:textId="77777777" w:rsidR="00B33BEC" w:rsidRPr="00887835" w:rsidRDefault="00E453CD" w:rsidP="00B33BEC">
      <w:pPr>
        <w:pStyle w:val="EMEABullet2"/>
        <w:numPr>
          <w:ilvl w:val="1"/>
          <w:numId w:val="111"/>
        </w:numPr>
        <w:tabs>
          <w:tab w:val="clear" w:pos="567"/>
        </w:tabs>
        <w:rPr>
          <w:lang w:val="nb-NO"/>
        </w:rPr>
      </w:pPr>
      <w:r w:rsidRPr="0061743D">
        <w:rPr>
          <w:lang w:val="nb-NO"/>
        </w:rPr>
        <w:t xml:space="preserve">infeksjoner forårsaket av virus, sopp, parasitter eller </w:t>
      </w:r>
      <w:r w:rsidRPr="00887835">
        <w:rPr>
          <w:szCs w:val="22"/>
          <w:lang w:val="nb-NO"/>
        </w:rPr>
        <w:t>bakterie</w:t>
      </w:r>
      <w:r>
        <w:rPr>
          <w:szCs w:val="22"/>
          <w:lang w:val="nb-NO"/>
        </w:rPr>
        <w:t>r</w:t>
      </w:r>
    </w:p>
    <w:p w14:paraId="1ABDD455" w14:textId="77777777" w:rsidR="00B33BEC" w:rsidRPr="00887835" w:rsidRDefault="00E453CD" w:rsidP="00B33BEC">
      <w:pPr>
        <w:pStyle w:val="EMEANormal"/>
        <w:numPr>
          <w:ilvl w:val="1"/>
          <w:numId w:val="111"/>
        </w:numPr>
        <w:rPr>
          <w:lang w:val="nb-NO"/>
        </w:rPr>
      </w:pPr>
      <w:r>
        <w:rPr>
          <w:lang w:val="nb-NO"/>
        </w:rPr>
        <w:t>alvorlige infeksjoner i blodet (</w:t>
      </w:r>
      <w:r w:rsidRPr="0061743D">
        <w:rPr>
          <w:lang w:val="nb-NO"/>
        </w:rPr>
        <w:t>blodforgiftning</w:t>
      </w:r>
      <w:r>
        <w:rPr>
          <w:lang w:val="nb-NO"/>
        </w:rPr>
        <w:t>)</w:t>
      </w:r>
    </w:p>
    <w:p w14:paraId="7F8776AD" w14:textId="77777777" w:rsidR="00B33BEC" w:rsidRPr="00E54D13" w:rsidRDefault="00B33BEC" w:rsidP="00B33BEC">
      <w:pPr>
        <w:suppressAutoHyphens/>
        <w:ind w:left="567"/>
        <w:rPr>
          <w:sz w:val="22"/>
          <w:szCs w:val="22"/>
        </w:rPr>
      </w:pPr>
    </w:p>
    <w:p w14:paraId="0AE0B4BA" w14:textId="77777777" w:rsidR="00B33BEC" w:rsidRPr="009C5EFD" w:rsidRDefault="00E453CD" w:rsidP="00B33BEC">
      <w:pPr>
        <w:suppressAutoHyphens/>
        <w:ind w:left="720"/>
        <w:rPr>
          <w:sz w:val="22"/>
          <w:szCs w:val="22"/>
        </w:rPr>
      </w:pPr>
      <w:r>
        <w:rPr>
          <w:sz w:val="22"/>
          <w:szCs w:val="22"/>
        </w:rPr>
        <w:t>I</w:t>
      </w:r>
      <w:r w:rsidRPr="009C5EFD">
        <w:rPr>
          <w:sz w:val="22"/>
          <w:szCs w:val="22"/>
        </w:rPr>
        <w:t xml:space="preserve"> sjeldne tilfeller kan </w:t>
      </w:r>
      <w:r>
        <w:rPr>
          <w:sz w:val="22"/>
          <w:szCs w:val="22"/>
        </w:rPr>
        <w:t xml:space="preserve">disse infeksjonene </w:t>
      </w:r>
      <w:r w:rsidRPr="009C5EFD">
        <w:rPr>
          <w:sz w:val="22"/>
          <w:szCs w:val="22"/>
        </w:rPr>
        <w:t xml:space="preserve">være livstruende. Det er viktig å fortelle legen </w:t>
      </w:r>
      <w:r>
        <w:rPr>
          <w:sz w:val="22"/>
          <w:szCs w:val="22"/>
        </w:rPr>
        <w:t xml:space="preserve">din </w:t>
      </w:r>
      <w:r w:rsidRPr="009C5EFD">
        <w:rPr>
          <w:sz w:val="22"/>
          <w:szCs w:val="22"/>
        </w:rPr>
        <w:t xml:space="preserve">om eventuelle symptomer som feber, sår, tretthet eller problemer med tennene. Legen </w:t>
      </w:r>
      <w:r>
        <w:rPr>
          <w:sz w:val="22"/>
          <w:szCs w:val="22"/>
        </w:rPr>
        <w:t>din</w:t>
      </w:r>
      <w:r w:rsidRPr="009C5EFD">
        <w:rPr>
          <w:sz w:val="22"/>
          <w:szCs w:val="22"/>
        </w:rPr>
        <w:t xml:space="preserve"> kan anbefale å avbryte behandlingen med Humira </w:t>
      </w:r>
      <w:r>
        <w:rPr>
          <w:sz w:val="22"/>
          <w:szCs w:val="22"/>
        </w:rPr>
        <w:t>en stund</w:t>
      </w:r>
      <w:r w:rsidRPr="009C5EFD">
        <w:rPr>
          <w:sz w:val="22"/>
          <w:szCs w:val="22"/>
        </w:rPr>
        <w:t>.</w:t>
      </w:r>
    </w:p>
    <w:p w14:paraId="6981EA02" w14:textId="77777777" w:rsidR="00B33BEC" w:rsidRDefault="00B33BEC" w:rsidP="00B33BEC">
      <w:pPr>
        <w:suppressAutoHyphens/>
        <w:ind w:left="567"/>
        <w:rPr>
          <w:sz w:val="22"/>
          <w:szCs w:val="22"/>
        </w:rPr>
      </w:pPr>
    </w:p>
    <w:p w14:paraId="37FB2F89" w14:textId="77777777" w:rsidR="00B33BEC" w:rsidRDefault="00E453CD" w:rsidP="00B33BEC">
      <w:pPr>
        <w:numPr>
          <w:ilvl w:val="0"/>
          <w:numId w:val="3"/>
        </w:numPr>
        <w:suppressAutoHyphens/>
        <w:rPr>
          <w:sz w:val="22"/>
          <w:szCs w:val="22"/>
        </w:rPr>
      </w:pPr>
      <w:r w:rsidRPr="009C5EFD">
        <w:rPr>
          <w:sz w:val="22"/>
          <w:szCs w:val="22"/>
        </w:rPr>
        <w:t>Gi besk</w:t>
      </w:r>
      <w:r>
        <w:rPr>
          <w:sz w:val="22"/>
          <w:szCs w:val="22"/>
        </w:rPr>
        <w:t>jed til legen din om du bor</w:t>
      </w:r>
      <w:r w:rsidRPr="009C5EFD">
        <w:rPr>
          <w:sz w:val="22"/>
          <w:szCs w:val="22"/>
        </w:rPr>
        <w:t xml:space="preserve"> eller reiser i områder hvor soppinfeksjoner </w:t>
      </w:r>
      <w:r>
        <w:rPr>
          <w:sz w:val="22"/>
          <w:szCs w:val="22"/>
        </w:rPr>
        <w:t xml:space="preserve">(f.eks. </w:t>
      </w:r>
      <w:r w:rsidRPr="009C5EFD">
        <w:rPr>
          <w:sz w:val="22"/>
          <w:szCs w:val="22"/>
        </w:rPr>
        <w:t>histoplasmose, koksidioidomykose eller blastomykose</w:t>
      </w:r>
      <w:r>
        <w:rPr>
          <w:sz w:val="22"/>
          <w:szCs w:val="22"/>
        </w:rPr>
        <w:t>)</w:t>
      </w:r>
      <w:r w:rsidRPr="009C5EFD">
        <w:rPr>
          <w:sz w:val="22"/>
          <w:szCs w:val="22"/>
        </w:rPr>
        <w:t xml:space="preserve"> er </w:t>
      </w:r>
      <w:r>
        <w:rPr>
          <w:sz w:val="22"/>
          <w:szCs w:val="22"/>
        </w:rPr>
        <w:t>veldig vanlig</w:t>
      </w:r>
      <w:r w:rsidRPr="009C5EFD">
        <w:rPr>
          <w:sz w:val="22"/>
          <w:szCs w:val="22"/>
        </w:rPr>
        <w:t>.</w:t>
      </w:r>
    </w:p>
    <w:p w14:paraId="3A5B6852" w14:textId="77777777" w:rsidR="00B33BEC" w:rsidRPr="009C5EFD" w:rsidRDefault="00B33BEC" w:rsidP="00B33BEC">
      <w:pPr>
        <w:suppressAutoHyphens/>
        <w:rPr>
          <w:sz w:val="22"/>
          <w:szCs w:val="22"/>
        </w:rPr>
      </w:pPr>
    </w:p>
    <w:p w14:paraId="5FBDEB8D" w14:textId="77777777" w:rsidR="00B33BEC" w:rsidRDefault="00E453CD" w:rsidP="00B33BEC">
      <w:pPr>
        <w:numPr>
          <w:ilvl w:val="0"/>
          <w:numId w:val="3"/>
        </w:numPr>
        <w:suppressAutoHyphens/>
        <w:rPr>
          <w:sz w:val="22"/>
          <w:szCs w:val="22"/>
        </w:rPr>
      </w:pPr>
      <w:r w:rsidRPr="009C5EFD">
        <w:rPr>
          <w:sz w:val="22"/>
          <w:szCs w:val="22"/>
        </w:rPr>
        <w:t xml:space="preserve">Gi beskjed til legen </w:t>
      </w:r>
      <w:r>
        <w:rPr>
          <w:sz w:val="22"/>
          <w:szCs w:val="22"/>
        </w:rPr>
        <w:t xml:space="preserve">din </w:t>
      </w:r>
      <w:r w:rsidRPr="009C5EFD">
        <w:rPr>
          <w:sz w:val="22"/>
          <w:szCs w:val="22"/>
        </w:rPr>
        <w:t>om du har hatt gjentatte infeksjoner eller andre lidelser som øker faren for infeksjoner.</w:t>
      </w:r>
    </w:p>
    <w:p w14:paraId="1402714B" w14:textId="77777777" w:rsidR="00B33BEC" w:rsidRDefault="00B33BEC" w:rsidP="00B33BEC">
      <w:pPr>
        <w:pStyle w:val="ListParagraph"/>
        <w:rPr>
          <w:sz w:val="22"/>
          <w:szCs w:val="22"/>
        </w:rPr>
      </w:pPr>
    </w:p>
    <w:p w14:paraId="3CC10165" w14:textId="77777777" w:rsidR="00B33BEC" w:rsidRPr="00887835" w:rsidRDefault="00E453CD" w:rsidP="00B33BEC">
      <w:pPr>
        <w:numPr>
          <w:ilvl w:val="0"/>
          <w:numId w:val="3"/>
        </w:numPr>
        <w:suppressAutoHyphens/>
        <w:rPr>
          <w:sz w:val="22"/>
          <w:szCs w:val="22"/>
        </w:rPr>
      </w:pPr>
      <w:r w:rsidRPr="0061743D">
        <w:rPr>
          <w:sz w:val="22"/>
        </w:rPr>
        <w:t xml:space="preserve">Hvis du er over 65 år kan du være mer mottagelig for infeksjoner mens du blir behandlet med Humira. Du og legen din bør være særlig oppmerksomme på tegn på infeksjoner mens du blir behandlet med Humira. Det er viktig at du forteller legen din dersom du får symptomer på infeksjoner, </w:t>
      </w:r>
      <w:r>
        <w:rPr>
          <w:sz w:val="22"/>
          <w:szCs w:val="22"/>
        </w:rPr>
        <w:t>f.eks.</w:t>
      </w:r>
      <w:r w:rsidRPr="00887835">
        <w:rPr>
          <w:sz w:val="22"/>
          <w:szCs w:val="22"/>
        </w:rPr>
        <w:t xml:space="preserve"> feber, sår, trøtthet eller tannproblemer.</w:t>
      </w:r>
    </w:p>
    <w:p w14:paraId="535F4D8B" w14:textId="77777777" w:rsidR="00B33BEC" w:rsidRPr="00E54D13" w:rsidRDefault="00B33BEC" w:rsidP="00B33BEC">
      <w:pPr>
        <w:pStyle w:val="ListParagraph"/>
        <w:rPr>
          <w:sz w:val="22"/>
          <w:szCs w:val="22"/>
        </w:rPr>
      </w:pPr>
    </w:p>
    <w:p w14:paraId="0A2E9CC6" w14:textId="77777777" w:rsidR="00B33BEC" w:rsidRDefault="00E453CD" w:rsidP="00B33BEC">
      <w:pPr>
        <w:keepNext/>
        <w:suppressAutoHyphens/>
        <w:rPr>
          <w:sz w:val="22"/>
          <w:szCs w:val="22"/>
          <w:u w:val="single"/>
        </w:rPr>
      </w:pPr>
      <w:r>
        <w:rPr>
          <w:sz w:val="22"/>
          <w:szCs w:val="22"/>
          <w:u w:val="single"/>
        </w:rPr>
        <w:t>Tuberkulose</w:t>
      </w:r>
    </w:p>
    <w:p w14:paraId="39411226" w14:textId="77777777" w:rsidR="00B33BEC" w:rsidRPr="00887835" w:rsidRDefault="00B33BEC" w:rsidP="00B33BEC">
      <w:pPr>
        <w:keepNext/>
        <w:suppressAutoHyphens/>
        <w:rPr>
          <w:sz w:val="22"/>
          <w:szCs w:val="22"/>
          <w:u w:val="single"/>
        </w:rPr>
      </w:pPr>
    </w:p>
    <w:p w14:paraId="10621AD1" w14:textId="77777777" w:rsidR="00B33BEC" w:rsidRDefault="00E453CD" w:rsidP="00776A84">
      <w:pPr>
        <w:numPr>
          <w:ilvl w:val="0"/>
          <w:numId w:val="3"/>
        </w:numPr>
        <w:suppressAutoHyphens/>
        <w:ind w:left="714" w:hanging="357"/>
        <w:rPr>
          <w:sz w:val="22"/>
          <w:szCs w:val="22"/>
        </w:rPr>
      </w:pPr>
      <w:r>
        <w:rPr>
          <w:sz w:val="22"/>
          <w:szCs w:val="22"/>
        </w:rPr>
        <w:t xml:space="preserve">Det er veldig viktig at du forteller legen din </w:t>
      </w:r>
      <w:r w:rsidRPr="009C5EFD">
        <w:rPr>
          <w:sz w:val="22"/>
          <w:szCs w:val="22"/>
        </w:rPr>
        <w:t>om du noensinne har hatt tuberkulose, eller om du har vært i nær kontakt med noen som har hatt tuberkulose.</w:t>
      </w:r>
      <w:r>
        <w:rPr>
          <w:sz w:val="22"/>
          <w:szCs w:val="22"/>
        </w:rPr>
        <w:t xml:space="preserve"> Bruk ikke Humira hvis du har tuberkulose.</w:t>
      </w:r>
    </w:p>
    <w:p w14:paraId="1EAB83B1" w14:textId="77777777" w:rsidR="00B33BEC" w:rsidRDefault="00B33BEC" w:rsidP="00776A84">
      <w:pPr>
        <w:suppressAutoHyphens/>
        <w:ind w:left="567"/>
        <w:rPr>
          <w:sz w:val="22"/>
          <w:szCs w:val="22"/>
        </w:rPr>
      </w:pPr>
    </w:p>
    <w:p w14:paraId="34E7E6E2" w14:textId="77777777" w:rsidR="00B33BEC" w:rsidRDefault="00E453CD" w:rsidP="00B33BEC">
      <w:pPr>
        <w:numPr>
          <w:ilvl w:val="0"/>
          <w:numId w:val="3"/>
        </w:numPr>
        <w:tabs>
          <w:tab w:val="clear" w:pos="720"/>
          <w:tab w:val="num" w:pos="567"/>
          <w:tab w:val="num" w:pos="1440"/>
        </w:tabs>
        <w:suppressAutoHyphens/>
        <w:ind w:left="1440"/>
        <w:rPr>
          <w:sz w:val="22"/>
          <w:szCs w:val="22"/>
        </w:rPr>
      </w:pPr>
      <w:r w:rsidRPr="009C5EFD">
        <w:rPr>
          <w:sz w:val="22"/>
          <w:szCs w:val="22"/>
        </w:rPr>
        <w:t xml:space="preserve">Ettersom det har vært påvist tilfeller av tuberkulose hos pasienter under behandling med Humira, kommer legen </w:t>
      </w:r>
      <w:r>
        <w:rPr>
          <w:sz w:val="22"/>
          <w:szCs w:val="22"/>
        </w:rPr>
        <w:t xml:space="preserve">din </w:t>
      </w:r>
      <w:r w:rsidRPr="009C5EFD">
        <w:rPr>
          <w:sz w:val="22"/>
          <w:szCs w:val="22"/>
        </w:rPr>
        <w:t xml:space="preserve">til å undersøke om du har tegn eller symptomer på tuberkulose før Humira-behandling startes opp. Dette omfatter en grundig medisinsk </w:t>
      </w:r>
      <w:r w:rsidR="00BF02E7">
        <w:rPr>
          <w:sz w:val="22"/>
          <w:szCs w:val="22"/>
        </w:rPr>
        <w:t>vurdering</w:t>
      </w:r>
      <w:r w:rsidRPr="009C5EFD">
        <w:rPr>
          <w:sz w:val="22"/>
          <w:szCs w:val="22"/>
        </w:rPr>
        <w:t xml:space="preserve"> som vil inkludere din sykdomshistorie og passende screeningtester (f.eks. røntgenbilde av brystkasse og en tuberkulinprøve). Disse testene og resultatene bør registreres i </w:t>
      </w:r>
      <w:r w:rsidRPr="0061743D">
        <w:rPr>
          <w:b/>
          <w:sz w:val="22"/>
        </w:rPr>
        <w:t>pasientkortet</w:t>
      </w:r>
      <w:r w:rsidRPr="009C5EFD">
        <w:rPr>
          <w:sz w:val="22"/>
          <w:szCs w:val="22"/>
        </w:rPr>
        <w:t xml:space="preserve"> ditt.</w:t>
      </w:r>
    </w:p>
    <w:p w14:paraId="3F912DD0" w14:textId="77777777" w:rsidR="00B33BEC" w:rsidRDefault="00E453CD" w:rsidP="00B33BEC">
      <w:pPr>
        <w:numPr>
          <w:ilvl w:val="0"/>
          <w:numId w:val="3"/>
        </w:numPr>
        <w:tabs>
          <w:tab w:val="clear" w:pos="720"/>
          <w:tab w:val="num" w:pos="567"/>
          <w:tab w:val="num" w:pos="1440"/>
        </w:tabs>
        <w:suppressAutoHyphens/>
        <w:ind w:left="1440"/>
        <w:rPr>
          <w:sz w:val="22"/>
          <w:szCs w:val="22"/>
        </w:rPr>
      </w:pPr>
      <w:r w:rsidRPr="009C5EFD">
        <w:rPr>
          <w:sz w:val="22"/>
          <w:szCs w:val="22"/>
        </w:rPr>
        <w:t>Tuberkulose kan utvikles under behandling selv</w:t>
      </w:r>
      <w:r w:rsidR="0004489F">
        <w:rPr>
          <w:sz w:val="22"/>
          <w:szCs w:val="22"/>
        </w:rPr>
        <w:t xml:space="preserve"> </w:t>
      </w:r>
      <w:r w:rsidRPr="009C5EFD">
        <w:rPr>
          <w:sz w:val="22"/>
          <w:szCs w:val="22"/>
        </w:rPr>
        <w:t>om du har mottatt forebyggende behandling mot tuberkulose.</w:t>
      </w:r>
    </w:p>
    <w:p w14:paraId="3F9769DE" w14:textId="77777777" w:rsidR="00B33BEC" w:rsidRPr="009C5EFD" w:rsidRDefault="00E453CD" w:rsidP="00B33BEC">
      <w:pPr>
        <w:numPr>
          <w:ilvl w:val="0"/>
          <w:numId w:val="3"/>
        </w:numPr>
        <w:tabs>
          <w:tab w:val="clear" w:pos="720"/>
          <w:tab w:val="num" w:pos="567"/>
          <w:tab w:val="num" w:pos="1440"/>
        </w:tabs>
        <w:suppressAutoHyphens/>
        <w:ind w:left="1440"/>
        <w:rPr>
          <w:sz w:val="22"/>
          <w:szCs w:val="22"/>
        </w:rPr>
      </w:pPr>
      <w:r w:rsidRPr="009C5EFD">
        <w:rPr>
          <w:sz w:val="22"/>
          <w:szCs w:val="22"/>
        </w:rPr>
        <w:t>Dersom symptomer på tuberkulose (</w:t>
      </w:r>
      <w:r>
        <w:rPr>
          <w:sz w:val="22"/>
          <w:szCs w:val="22"/>
        </w:rPr>
        <w:t xml:space="preserve">f.eks. </w:t>
      </w:r>
      <w:r w:rsidRPr="009C5EFD">
        <w:rPr>
          <w:sz w:val="22"/>
          <w:szCs w:val="22"/>
        </w:rPr>
        <w:t xml:space="preserve">vedvarende hoste, vekttap, </w:t>
      </w:r>
      <w:r>
        <w:rPr>
          <w:sz w:val="22"/>
          <w:szCs w:val="22"/>
        </w:rPr>
        <w:t>energitap</w:t>
      </w:r>
      <w:r w:rsidRPr="009C5EFD">
        <w:rPr>
          <w:sz w:val="22"/>
          <w:szCs w:val="22"/>
        </w:rPr>
        <w:t xml:space="preserve">, lett feber) eller andre infeksjoner dukker opp under eller etter behandlingen må du fortelle legen </w:t>
      </w:r>
      <w:r>
        <w:rPr>
          <w:sz w:val="22"/>
          <w:szCs w:val="22"/>
        </w:rPr>
        <w:t xml:space="preserve">din </w:t>
      </w:r>
      <w:r w:rsidRPr="009C5EFD">
        <w:rPr>
          <w:sz w:val="22"/>
          <w:szCs w:val="22"/>
        </w:rPr>
        <w:t>om det straks.</w:t>
      </w:r>
    </w:p>
    <w:p w14:paraId="2EC5334E" w14:textId="77777777" w:rsidR="00B33BEC" w:rsidRDefault="00B33BEC" w:rsidP="00B33BEC">
      <w:pPr>
        <w:suppressAutoHyphens/>
        <w:ind w:left="567"/>
        <w:rPr>
          <w:sz w:val="22"/>
          <w:szCs w:val="22"/>
        </w:rPr>
      </w:pPr>
    </w:p>
    <w:p w14:paraId="5E4E0004" w14:textId="77777777" w:rsidR="00B33BEC" w:rsidRDefault="00E453CD" w:rsidP="00B33BEC">
      <w:pPr>
        <w:keepNext/>
        <w:suppressAutoHyphens/>
        <w:rPr>
          <w:sz w:val="22"/>
          <w:szCs w:val="22"/>
        </w:rPr>
      </w:pPr>
      <w:r>
        <w:rPr>
          <w:sz w:val="22"/>
          <w:szCs w:val="22"/>
          <w:u w:val="single"/>
        </w:rPr>
        <w:t>Hepatitt B</w:t>
      </w:r>
    </w:p>
    <w:p w14:paraId="71637AA2" w14:textId="77777777" w:rsidR="00B33BEC" w:rsidRPr="00845B5C" w:rsidRDefault="00B33BEC" w:rsidP="00B33BEC">
      <w:pPr>
        <w:keepNext/>
        <w:suppressAutoHyphens/>
        <w:rPr>
          <w:sz w:val="22"/>
          <w:szCs w:val="22"/>
        </w:rPr>
      </w:pPr>
    </w:p>
    <w:p w14:paraId="1064893F" w14:textId="77777777" w:rsidR="00B33BEC" w:rsidRDefault="00E453CD" w:rsidP="00776A84">
      <w:pPr>
        <w:numPr>
          <w:ilvl w:val="0"/>
          <w:numId w:val="3"/>
        </w:numPr>
        <w:suppressAutoHyphens/>
        <w:ind w:left="714" w:hanging="357"/>
      </w:pPr>
      <w:r w:rsidRPr="0061743D">
        <w:rPr>
          <w:sz w:val="22"/>
        </w:rPr>
        <w:t>Gi beskjed til legen din dersom du er bærer av hepatitt B-virus (HBV), dersom du har aktiv HBV-infeksjon, eller hvis du tror du kan være utsatt for å få HBV.</w:t>
      </w:r>
    </w:p>
    <w:p w14:paraId="7BF1FB0B" w14:textId="77777777" w:rsidR="00B33BEC" w:rsidRDefault="00B33BEC" w:rsidP="00B33BEC">
      <w:pPr>
        <w:pStyle w:val="EMEABullet2"/>
        <w:numPr>
          <w:ilvl w:val="0"/>
          <w:numId w:val="0"/>
        </w:numPr>
        <w:ind w:left="567"/>
        <w:rPr>
          <w:lang w:val="nb-NO"/>
        </w:rPr>
      </w:pPr>
    </w:p>
    <w:p w14:paraId="0D38C7F1" w14:textId="77777777" w:rsidR="00B33BEC" w:rsidRDefault="00E453CD" w:rsidP="00B33BEC">
      <w:pPr>
        <w:pStyle w:val="EMEABullet2"/>
        <w:tabs>
          <w:tab w:val="left" w:pos="1440"/>
        </w:tabs>
        <w:ind w:left="1440" w:hanging="360"/>
        <w:rPr>
          <w:lang w:val="nb-NO"/>
        </w:rPr>
      </w:pPr>
      <w:r>
        <w:rPr>
          <w:lang w:val="nb-NO"/>
        </w:rPr>
        <w:t>L</w:t>
      </w:r>
      <w:r w:rsidRPr="009C5EFD">
        <w:rPr>
          <w:lang w:val="nb-NO"/>
        </w:rPr>
        <w:t>ege</w:t>
      </w:r>
      <w:r>
        <w:rPr>
          <w:lang w:val="nb-NO"/>
        </w:rPr>
        <w:t>n din</w:t>
      </w:r>
      <w:r w:rsidRPr="009C5EFD">
        <w:rPr>
          <w:lang w:val="nb-NO"/>
        </w:rPr>
        <w:t xml:space="preserve"> b</w:t>
      </w:r>
      <w:r>
        <w:rPr>
          <w:lang w:val="nb-NO"/>
        </w:rPr>
        <w:t>ør</w:t>
      </w:r>
      <w:r w:rsidRPr="009C5EFD">
        <w:rPr>
          <w:lang w:val="nb-NO"/>
        </w:rPr>
        <w:t xml:space="preserve"> teste deg for HBV. </w:t>
      </w:r>
      <w:r>
        <w:rPr>
          <w:lang w:val="nb-NO"/>
        </w:rPr>
        <w:t>Hos</w:t>
      </w:r>
      <w:r w:rsidRPr="009C5EFD">
        <w:rPr>
          <w:lang w:val="nb-NO"/>
        </w:rPr>
        <w:t xml:space="preserve"> </w:t>
      </w:r>
      <w:r w:rsidRPr="009C5EFD">
        <w:rPr>
          <w:szCs w:val="22"/>
          <w:lang w:val="nb-NO"/>
        </w:rPr>
        <w:t>personer</w:t>
      </w:r>
      <w:r w:rsidRPr="009C5EFD">
        <w:rPr>
          <w:lang w:val="nb-NO"/>
        </w:rPr>
        <w:t xml:space="preserve"> som er bærere av </w:t>
      </w:r>
      <w:r>
        <w:rPr>
          <w:lang w:val="nb-NO"/>
        </w:rPr>
        <w:t xml:space="preserve">HBV kan </w:t>
      </w:r>
      <w:r w:rsidRPr="009C5EFD">
        <w:rPr>
          <w:lang w:val="nb-NO"/>
        </w:rPr>
        <w:t xml:space="preserve">Humira </w:t>
      </w:r>
      <w:r>
        <w:rPr>
          <w:lang w:val="nb-NO"/>
        </w:rPr>
        <w:t>forårsake at</w:t>
      </w:r>
      <w:r w:rsidRPr="009C5EFD">
        <w:rPr>
          <w:lang w:val="nb-NO"/>
        </w:rPr>
        <w:t xml:space="preserve"> viruset</w:t>
      </w:r>
      <w:r>
        <w:rPr>
          <w:lang w:val="nb-NO"/>
        </w:rPr>
        <w:t xml:space="preserve"> blir aktivt igjen</w:t>
      </w:r>
      <w:r w:rsidRPr="009C5EFD">
        <w:rPr>
          <w:lang w:val="nb-NO"/>
        </w:rPr>
        <w:t xml:space="preserve">. </w:t>
      </w:r>
    </w:p>
    <w:p w14:paraId="565B0E3D" w14:textId="77777777" w:rsidR="00B33BEC" w:rsidRPr="009C5EFD" w:rsidRDefault="00E453CD" w:rsidP="00B33BEC">
      <w:pPr>
        <w:pStyle w:val="EMEABullet2"/>
        <w:tabs>
          <w:tab w:val="left" w:pos="1440"/>
        </w:tabs>
        <w:ind w:left="1440" w:hanging="360"/>
        <w:rPr>
          <w:lang w:val="nb-NO"/>
        </w:rPr>
      </w:pPr>
      <w:r w:rsidRPr="009C5EFD">
        <w:rPr>
          <w:lang w:val="nb-NO"/>
        </w:rPr>
        <w:t>I noen sjeldne tilfeller, særlig hvis du tar andre legemidler som demper immunsystemet, kan reaktivering av HBV være livstruende.</w:t>
      </w:r>
    </w:p>
    <w:p w14:paraId="7E3E2202" w14:textId="77777777" w:rsidR="00B33BEC" w:rsidRDefault="00B33BEC" w:rsidP="00B33BEC">
      <w:pPr>
        <w:pStyle w:val="EMEABullet2"/>
        <w:numPr>
          <w:ilvl w:val="0"/>
          <w:numId w:val="0"/>
        </w:numPr>
        <w:rPr>
          <w:szCs w:val="22"/>
          <w:u w:val="single"/>
          <w:lang w:val="nb-NO"/>
        </w:rPr>
      </w:pPr>
    </w:p>
    <w:p w14:paraId="30AB9D7D" w14:textId="77777777" w:rsidR="00B33BEC" w:rsidRDefault="00E453CD" w:rsidP="00776A84">
      <w:pPr>
        <w:pStyle w:val="EMEABullet2"/>
        <w:keepNext/>
        <w:numPr>
          <w:ilvl w:val="0"/>
          <w:numId w:val="0"/>
        </w:numPr>
        <w:rPr>
          <w:szCs w:val="22"/>
          <w:lang w:val="nb-NO"/>
        </w:rPr>
      </w:pPr>
      <w:r>
        <w:rPr>
          <w:szCs w:val="22"/>
          <w:u w:val="single"/>
          <w:lang w:val="nb-NO"/>
        </w:rPr>
        <w:t>Operasjon og inngrep i tennene</w:t>
      </w:r>
    </w:p>
    <w:p w14:paraId="42C59A81" w14:textId="77777777" w:rsidR="00B33BEC" w:rsidRPr="009C5EFD" w:rsidRDefault="00B33BEC" w:rsidP="00776A84">
      <w:pPr>
        <w:pStyle w:val="EMEABullet2"/>
        <w:keepNext/>
        <w:numPr>
          <w:ilvl w:val="0"/>
          <w:numId w:val="0"/>
        </w:numPr>
        <w:rPr>
          <w:szCs w:val="22"/>
          <w:lang w:val="nb-NO"/>
        </w:rPr>
      </w:pPr>
    </w:p>
    <w:p w14:paraId="31C51564" w14:textId="77777777" w:rsidR="00B33BEC" w:rsidRPr="009C5EFD" w:rsidRDefault="00E453CD" w:rsidP="00B33BEC">
      <w:pPr>
        <w:numPr>
          <w:ilvl w:val="0"/>
          <w:numId w:val="3"/>
        </w:numPr>
        <w:suppressAutoHyphens/>
        <w:rPr>
          <w:sz w:val="22"/>
          <w:szCs w:val="22"/>
        </w:rPr>
      </w:pPr>
      <w:r>
        <w:rPr>
          <w:sz w:val="22"/>
          <w:szCs w:val="22"/>
        </w:rPr>
        <w:t>Dersom</w:t>
      </w:r>
      <w:r w:rsidRPr="009C5EFD">
        <w:rPr>
          <w:sz w:val="22"/>
          <w:szCs w:val="22"/>
        </w:rPr>
        <w:t xml:space="preserve"> du skal opereres eller ha inngrep i tennene skal du si fra til legen din at du bruker Humira. Legen </w:t>
      </w:r>
      <w:r>
        <w:rPr>
          <w:sz w:val="22"/>
          <w:szCs w:val="22"/>
        </w:rPr>
        <w:t>din</w:t>
      </w:r>
      <w:r w:rsidRPr="009C5EFD">
        <w:rPr>
          <w:sz w:val="22"/>
          <w:szCs w:val="22"/>
        </w:rPr>
        <w:t xml:space="preserve"> kan anbefale å avbryte behandlingen </w:t>
      </w:r>
      <w:r>
        <w:rPr>
          <w:sz w:val="22"/>
          <w:szCs w:val="22"/>
        </w:rPr>
        <w:t>med Humira</w:t>
      </w:r>
      <w:r w:rsidRPr="009C5EFD">
        <w:rPr>
          <w:sz w:val="22"/>
          <w:szCs w:val="22"/>
        </w:rPr>
        <w:t xml:space="preserve"> midlertidig.</w:t>
      </w:r>
    </w:p>
    <w:p w14:paraId="70D25E97" w14:textId="77777777" w:rsidR="00B33BEC" w:rsidRDefault="00B33BEC" w:rsidP="00B33BEC">
      <w:pPr>
        <w:suppressAutoHyphens/>
        <w:ind w:left="567"/>
        <w:rPr>
          <w:sz w:val="22"/>
          <w:szCs w:val="22"/>
        </w:rPr>
      </w:pPr>
    </w:p>
    <w:p w14:paraId="5183A8B6" w14:textId="77777777" w:rsidR="00B33BEC" w:rsidRDefault="00E453CD" w:rsidP="00776A84">
      <w:pPr>
        <w:keepNext/>
        <w:suppressAutoHyphens/>
        <w:rPr>
          <w:sz w:val="22"/>
          <w:szCs w:val="22"/>
        </w:rPr>
      </w:pPr>
      <w:r>
        <w:rPr>
          <w:sz w:val="22"/>
          <w:szCs w:val="22"/>
          <w:u w:val="single"/>
        </w:rPr>
        <w:t>D</w:t>
      </w:r>
      <w:r w:rsidRPr="00197087">
        <w:rPr>
          <w:sz w:val="22"/>
          <w:szCs w:val="22"/>
          <w:u w:val="single"/>
        </w:rPr>
        <w:t>emyeliniserende sykdom</w:t>
      </w:r>
    </w:p>
    <w:p w14:paraId="42EC30A6" w14:textId="77777777" w:rsidR="00B33BEC" w:rsidRPr="00197087" w:rsidRDefault="00B33BEC" w:rsidP="00776A84">
      <w:pPr>
        <w:keepNext/>
        <w:suppressAutoHyphens/>
        <w:rPr>
          <w:sz w:val="22"/>
          <w:szCs w:val="22"/>
        </w:rPr>
      </w:pPr>
    </w:p>
    <w:p w14:paraId="7A1324AC" w14:textId="77777777" w:rsidR="00B33BEC" w:rsidRDefault="00E453CD" w:rsidP="00B33BEC">
      <w:pPr>
        <w:numPr>
          <w:ilvl w:val="0"/>
          <w:numId w:val="3"/>
        </w:numPr>
        <w:suppressAutoHyphens/>
        <w:rPr>
          <w:sz w:val="22"/>
          <w:szCs w:val="22"/>
        </w:rPr>
      </w:pPr>
      <w:r w:rsidRPr="00C25673">
        <w:rPr>
          <w:sz w:val="22"/>
          <w:szCs w:val="22"/>
        </w:rPr>
        <w:t xml:space="preserve">Dersom du har eller utvikler en demyeliniserende sykdom </w:t>
      </w:r>
      <w:r>
        <w:rPr>
          <w:sz w:val="22"/>
          <w:szCs w:val="22"/>
        </w:rPr>
        <w:t xml:space="preserve">(en sykdom som påvirker det isolerende laget rundt nervene, </w:t>
      </w:r>
      <w:r w:rsidRPr="00C25673">
        <w:rPr>
          <w:sz w:val="22"/>
          <w:szCs w:val="22"/>
        </w:rPr>
        <w:t>som multippel sklerose</w:t>
      </w:r>
      <w:r>
        <w:rPr>
          <w:sz w:val="22"/>
          <w:szCs w:val="22"/>
        </w:rPr>
        <w:t>)</w:t>
      </w:r>
      <w:r w:rsidRPr="00C25673">
        <w:rPr>
          <w:sz w:val="22"/>
          <w:szCs w:val="22"/>
        </w:rPr>
        <w:t>, vil legen avgjøre om du kan bruke Humira. Gi beskjed til legen umiddelbart dersom du opplever symptomer som synsforstyrrelser, svakhet i armer eller ben eller nummenhet eller prikking i noen del av kroppen</w:t>
      </w:r>
      <w:r>
        <w:rPr>
          <w:sz w:val="22"/>
          <w:szCs w:val="22"/>
        </w:rPr>
        <w:t>.</w:t>
      </w:r>
    </w:p>
    <w:p w14:paraId="4B72C88E" w14:textId="77777777" w:rsidR="00B33BEC" w:rsidRDefault="00B33BEC" w:rsidP="00B33BEC">
      <w:pPr>
        <w:suppressAutoHyphens/>
        <w:ind w:left="720"/>
        <w:rPr>
          <w:sz w:val="22"/>
          <w:szCs w:val="22"/>
        </w:rPr>
      </w:pPr>
    </w:p>
    <w:p w14:paraId="0D84C2FC" w14:textId="77777777" w:rsidR="00B33BEC" w:rsidRDefault="00E453CD" w:rsidP="00776A84">
      <w:pPr>
        <w:keepNext/>
        <w:suppressAutoHyphens/>
        <w:rPr>
          <w:sz w:val="22"/>
          <w:szCs w:val="22"/>
        </w:rPr>
      </w:pPr>
      <w:r>
        <w:rPr>
          <w:sz w:val="22"/>
          <w:szCs w:val="22"/>
          <w:u w:val="single"/>
        </w:rPr>
        <w:t>Vaksinasjoner</w:t>
      </w:r>
    </w:p>
    <w:p w14:paraId="3938F764" w14:textId="77777777" w:rsidR="00B33BEC" w:rsidRPr="00197087" w:rsidRDefault="00B33BEC" w:rsidP="00776A84">
      <w:pPr>
        <w:keepNext/>
        <w:suppressAutoHyphens/>
        <w:rPr>
          <w:sz w:val="22"/>
          <w:szCs w:val="22"/>
        </w:rPr>
      </w:pPr>
    </w:p>
    <w:p w14:paraId="597799DC" w14:textId="77777777" w:rsidR="00B33BEC" w:rsidRDefault="00E453CD" w:rsidP="00B33BEC">
      <w:pPr>
        <w:numPr>
          <w:ilvl w:val="0"/>
          <w:numId w:val="3"/>
        </w:numPr>
        <w:suppressAutoHyphens/>
        <w:rPr>
          <w:sz w:val="22"/>
          <w:szCs w:val="22"/>
        </w:rPr>
      </w:pPr>
      <w:r w:rsidRPr="009C5EFD">
        <w:rPr>
          <w:sz w:val="22"/>
        </w:rPr>
        <w:t>Enkelte</w:t>
      </w:r>
      <w:r w:rsidRPr="009C5EFD">
        <w:rPr>
          <w:sz w:val="22"/>
          <w:szCs w:val="22"/>
        </w:rPr>
        <w:t xml:space="preserve"> vaksiner </w:t>
      </w:r>
      <w:r w:rsidRPr="009C5EFD">
        <w:rPr>
          <w:sz w:val="22"/>
        </w:rPr>
        <w:t xml:space="preserve">kan forårsake infeksjoner og bør </w:t>
      </w:r>
      <w:r w:rsidRPr="009C5EFD">
        <w:rPr>
          <w:sz w:val="22"/>
          <w:szCs w:val="22"/>
        </w:rPr>
        <w:t xml:space="preserve">ikke </w:t>
      </w:r>
      <w:r w:rsidRPr="009C5EFD">
        <w:rPr>
          <w:sz w:val="22"/>
        </w:rPr>
        <w:t xml:space="preserve">tas </w:t>
      </w:r>
      <w:r w:rsidRPr="009C5EFD">
        <w:rPr>
          <w:sz w:val="22"/>
          <w:szCs w:val="22"/>
        </w:rPr>
        <w:t xml:space="preserve">under behandling med Humira. </w:t>
      </w:r>
    </w:p>
    <w:p w14:paraId="5C56614A" w14:textId="77777777" w:rsidR="00B33BEC" w:rsidRDefault="00B33BEC" w:rsidP="00B33BEC">
      <w:pPr>
        <w:suppressAutoHyphens/>
        <w:ind w:left="720"/>
        <w:rPr>
          <w:sz w:val="22"/>
          <w:szCs w:val="22"/>
        </w:rPr>
      </w:pPr>
    </w:p>
    <w:p w14:paraId="78DF41F3" w14:textId="77777777" w:rsidR="00B33BEC" w:rsidRDefault="00E453CD" w:rsidP="00B33BEC">
      <w:pPr>
        <w:numPr>
          <w:ilvl w:val="0"/>
          <w:numId w:val="3"/>
        </w:numPr>
        <w:tabs>
          <w:tab w:val="clear" w:pos="720"/>
          <w:tab w:val="num" w:pos="567"/>
          <w:tab w:val="num" w:pos="1440"/>
        </w:tabs>
        <w:suppressAutoHyphens/>
        <w:ind w:left="1440"/>
        <w:rPr>
          <w:sz w:val="22"/>
          <w:szCs w:val="22"/>
        </w:rPr>
      </w:pPr>
      <w:r w:rsidRPr="009C5EFD">
        <w:rPr>
          <w:color w:val="000000"/>
          <w:sz w:val="22"/>
          <w:szCs w:val="22"/>
        </w:rPr>
        <w:t xml:space="preserve">Spør </w:t>
      </w:r>
      <w:r w:rsidRPr="009C5EFD">
        <w:rPr>
          <w:sz w:val="22"/>
          <w:szCs w:val="22"/>
        </w:rPr>
        <w:t xml:space="preserve">legen din før du </w:t>
      </w:r>
      <w:r>
        <w:rPr>
          <w:sz w:val="22"/>
          <w:szCs w:val="22"/>
        </w:rPr>
        <w:t>får</w:t>
      </w:r>
      <w:r w:rsidRPr="009C5EFD">
        <w:rPr>
          <w:sz w:val="22"/>
          <w:szCs w:val="22"/>
        </w:rPr>
        <w:t xml:space="preserve"> vaksiner.</w:t>
      </w:r>
    </w:p>
    <w:p w14:paraId="27F200F6" w14:textId="77777777" w:rsidR="00B33BEC" w:rsidRPr="00197087" w:rsidRDefault="00E453CD" w:rsidP="00B33BEC">
      <w:pPr>
        <w:numPr>
          <w:ilvl w:val="0"/>
          <w:numId w:val="3"/>
        </w:numPr>
        <w:tabs>
          <w:tab w:val="clear" w:pos="720"/>
          <w:tab w:val="num" w:pos="567"/>
          <w:tab w:val="num" w:pos="1440"/>
        </w:tabs>
        <w:suppressAutoHyphens/>
        <w:ind w:left="1440"/>
        <w:rPr>
          <w:sz w:val="22"/>
          <w:szCs w:val="22"/>
        </w:rPr>
      </w:pPr>
      <w:r w:rsidRPr="009C5EFD">
        <w:rPr>
          <w:sz w:val="22"/>
          <w:szCs w:val="22"/>
        </w:rPr>
        <w:t xml:space="preserve">Det anbefales at barn, hvis mulig, vaksineres </w:t>
      </w:r>
      <w:r>
        <w:rPr>
          <w:sz w:val="22"/>
          <w:szCs w:val="22"/>
        </w:rPr>
        <w:t>som planlagt i henhold til alderen</w:t>
      </w:r>
      <w:r w:rsidRPr="009C5EFD">
        <w:rPr>
          <w:sz w:val="22"/>
          <w:szCs w:val="22"/>
        </w:rPr>
        <w:t xml:space="preserve"> før behandling med Humira startes.</w:t>
      </w:r>
    </w:p>
    <w:p w14:paraId="0A1BB69C" w14:textId="77777777" w:rsidR="00B33BEC" w:rsidRPr="009C5EFD" w:rsidRDefault="00E453CD" w:rsidP="00B33BEC">
      <w:pPr>
        <w:numPr>
          <w:ilvl w:val="0"/>
          <w:numId w:val="3"/>
        </w:numPr>
        <w:tabs>
          <w:tab w:val="clear" w:pos="720"/>
          <w:tab w:val="num" w:pos="567"/>
          <w:tab w:val="num" w:pos="1440"/>
        </w:tabs>
        <w:suppressAutoHyphens/>
        <w:ind w:left="1440"/>
        <w:rPr>
          <w:sz w:val="22"/>
          <w:szCs w:val="22"/>
        </w:rPr>
      </w:pPr>
      <w:r>
        <w:rPr>
          <w:sz w:val="22"/>
        </w:rPr>
        <w:t>Dersom</w:t>
      </w:r>
      <w:r w:rsidRPr="009C5EFD">
        <w:rPr>
          <w:sz w:val="22"/>
        </w:rPr>
        <w:t xml:space="preserve"> du ble behandlet med Humira under graviditet, kan spedbarnet ditt ha større risiko for å få en slik infeksjon inntil omtrent fem måneder etter siste dose </w:t>
      </w:r>
      <w:r>
        <w:rPr>
          <w:sz w:val="22"/>
        </w:rPr>
        <w:t xml:space="preserve">Humira </w:t>
      </w:r>
      <w:r w:rsidRPr="009C5EFD">
        <w:rPr>
          <w:sz w:val="22"/>
        </w:rPr>
        <w:t>som du mottok under graviditeten. Det er viktig at du forteller ditt spedbarns leger og annet helsepersonell at du brukte Humira under graviditeten, slik at de kan vurdere når barnet ditt burde vaksineres.</w:t>
      </w:r>
    </w:p>
    <w:p w14:paraId="64393EF5" w14:textId="77777777" w:rsidR="00B33BEC" w:rsidRDefault="00B33BEC" w:rsidP="00B33BEC">
      <w:pPr>
        <w:tabs>
          <w:tab w:val="num" w:pos="1440"/>
        </w:tabs>
        <w:suppressAutoHyphens/>
        <w:ind w:left="1440"/>
        <w:rPr>
          <w:sz w:val="22"/>
        </w:rPr>
      </w:pPr>
    </w:p>
    <w:p w14:paraId="0331375E" w14:textId="77777777" w:rsidR="00B33BEC" w:rsidRDefault="00E453CD" w:rsidP="00B33BEC">
      <w:pPr>
        <w:keepNext/>
        <w:tabs>
          <w:tab w:val="num" w:pos="1440"/>
        </w:tabs>
        <w:suppressAutoHyphens/>
        <w:rPr>
          <w:sz w:val="22"/>
        </w:rPr>
      </w:pPr>
      <w:r>
        <w:rPr>
          <w:sz w:val="22"/>
          <w:u w:val="single"/>
        </w:rPr>
        <w:lastRenderedPageBreak/>
        <w:t>Hjertesvikt</w:t>
      </w:r>
    </w:p>
    <w:p w14:paraId="1225B604" w14:textId="77777777" w:rsidR="00B33BEC" w:rsidRPr="00541503" w:rsidRDefault="00B33BEC" w:rsidP="00B33BEC">
      <w:pPr>
        <w:keepNext/>
        <w:tabs>
          <w:tab w:val="num" w:pos="1440"/>
        </w:tabs>
        <w:suppressAutoHyphens/>
        <w:rPr>
          <w:sz w:val="22"/>
          <w:szCs w:val="22"/>
        </w:rPr>
      </w:pPr>
    </w:p>
    <w:p w14:paraId="4BC47904" w14:textId="77777777" w:rsidR="00B33BEC" w:rsidRDefault="00E453CD" w:rsidP="00776A84">
      <w:pPr>
        <w:numPr>
          <w:ilvl w:val="0"/>
          <w:numId w:val="3"/>
        </w:numPr>
        <w:suppressAutoHyphens/>
        <w:rPr>
          <w:sz w:val="22"/>
          <w:szCs w:val="22"/>
        </w:rPr>
      </w:pPr>
      <w:r>
        <w:rPr>
          <w:sz w:val="22"/>
          <w:szCs w:val="22"/>
        </w:rPr>
        <w:t xml:space="preserve">Dersom du har lett hjertesvikt og blir behandlet med Humira, må status for din hjertesvikt overvåkes nøye av legen. </w:t>
      </w:r>
      <w:r w:rsidRPr="009C5EFD">
        <w:rPr>
          <w:sz w:val="22"/>
          <w:szCs w:val="22"/>
        </w:rPr>
        <w:t xml:space="preserve">Det er viktig </w:t>
      </w:r>
      <w:r>
        <w:rPr>
          <w:sz w:val="22"/>
          <w:szCs w:val="22"/>
        </w:rPr>
        <w:t>å</w:t>
      </w:r>
      <w:r w:rsidRPr="009C5EFD">
        <w:rPr>
          <w:sz w:val="22"/>
          <w:szCs w:val="22"/>
        </w:rPr>
        <w:t xml:space="preserve"> </w:t>
      </w:r>
      <w:r>
        <w:rPr>
          <w:sz w:val="22"/>
          <w:szCs w:val="22"/>
        </w:rPr>
        <w:t>fortelle</w:t>
      </w:r>
      <w:r w:rsidRPr="009C5EFD">
        <w:rPr>
          <w:sz w:val="22"/>
          <w:szCs w:val="22"/>
        </w:rPr>
        <w:t xml:space="preserve"> legen </w:t>
      </w:r>
      <w:r>
        <w:rPr>
          <w:sz w:val="22"/>
          <w:szCs w:val="22"/>
        </w:rPr>
        <w:t xml:space="preserve">din </w:t>
      </w:r>
      <w:r w:rsidRPr="009C5EFD">
        <w:rPr>
          <w:sz w:val="22"/>
          <w:szCs w:val="22"/>
        </w:rPr>
        <w:t xml:space="preserve">om </w:t>
      </w:r>
      <w:r>
        <w:rPr>
          <w:sz w:val="22"/>
          <w:szCs w:val="22"/>
        </w:rPr>
        <w:t>du</w:t>
      </w:r>
      <w:r w:rsidRPr="009C5EFD">
        <w:rPr>
          <w:sz w:val="22"/>
          <w:szCs w:val="22"/>
        </w:rPr>
        <w:t xml:space="preserve"> har</w:t>
      </w:r>
      <w:r>
        <w:rPr>
          <w:sz w:val="22"/>
          <w:szCs w:val="22"/>
        </w:rPr>
        <w:t xml:space="preserve"> hatt</w:t>
      </w:r>
      <w:r w:rsidRPr="009C5EFD">
        <w:rPr>
          <w:sz w:val="22"/>
          <w:szCs w:val="22"/>
        </w:rPr>
        <w:t xml:space="preserve"> eller har</w:t>
      </w:r>
      <w:r>
        <w:rPr>
          <w:sz w:val="22"/>
          <w:szCs w:val="22"/>
        </w:rPr>
        <w:t xml:space="preserve"> en</w:t>
      </w:r>
      <w:r w:rsidRPr="009C5EFD">
        <w:rPr>
          <w:sz w:val="22"/>
          <w:szCs w:val="22"/>
        </w:rPr>
        <w:t xml:space="preserve"> alvorlig </w:t>
      </w:r>
      <w:r>
        <w:rPr>
          <w:sz w:val="22"/>
          <w:szCs w:val="22"/>
        </w:rPr>
        <w:t>hjertetilstand. Dersom</w:t>
      </w:r>
      <w:r w:rsidRPr="009C5EFD">
        <w:rPr>
          <w:sz w:val="22"/>
          <w:szCs w:val="22"/>
        </w:rPr>
        <w:t xml:space="preserve"> </w:t>
      </w:r>
      <w:r>
        <w:rPr>
          <w:sz w:val="22"/>
          <w:szCs w:val="22"/>
        </w:rPr>
        <w:t>du</w:t>
      </w:r>
      <w:r w:rsidRPr="009C5EFD">
        <w:rPr>
          <w:sz w:val="22"/>
          <w:szCs w:val="22"/>
        </w:rPr>
        <w:t xml:space="preserve"> utvikler nye eller forverrede symptomer på hjertesvikt (</w:t>
      </w:r>
      <w:r>
        <w:rPr>
          <w:sz w:val="22"/>
          <w:szCs w:val="22"/>
        </w:rPr>
        <w:t>f.eks.</w:t>
      </w:r>
      <w:r w:rsidRPr="009C5EFD">
        <w:rPr>
          <w:sz w:val="22"/>
          <w:szCs w:val="22"/>
        </w:rPr>
        <w:t xml:space="preserve"> tungpustethet, hovne føtter) skal du kontakte legen </w:t>
      </w:r>
      <w:r>
        <w:rPr>
          <w:sz w:val="22"/>
          <w:szCs w:val="22"/>
        </w:rPr>
        <w:t xml:space="preserve">din </w:t>
      </w:r>
      <w:r w:rsidRPr="009C5EFD">
        <w:rPr>
          <w:sz w:val="22"/>
          <w:szCs w:val="22"/>
        </w:rPr>
        <w:t xml:space="preserve">umiddelbart. Legen </w:t>
      </w:r>
      <w:r>
        <w:rPr>
          <w:sz w:val="22"/>
          <w:szCs w:val="22"/>
        </w:rPr>
        <w:t xml:space="preserve">din </w:t>
      </w:r>
      <w:r w:rsidRPr="009C5EFD">
        <w:rPr>
          <w:sz w:val="22"/>
          <w:szCs w:val="22"/>
        </w:rPr>
        <w:t xml:space="preserve">vil avgjøre om </w:t>
      </w:r>
      <w:r>
        <w:rPr>
          <w:sz w:val="22"/>
          <w:szCs w:val="22"/>
        </w:rPr>
        <w:t>du</w:t>
      </w:r>
      <w:r w:rsidRPr="009C5EFD">
        <w:rPr>
          <w:sz w:val="22"/>
          <w:szCs w:val="22"/>
        </w:rPr>
        <w:t xml:space="preserve"> skal fortsette med Humira.</w:t>
      </w:r>
    </w:p>
    <w:p w14:paraId="4B637CD2" w14:textId="77777777" w:rsidR="00B33BEC" w:rsidRDefault="00B33BEC" w:rsidP="00776A84">
      <w:pPr>
        <w:suppressAutoHyphens/>
        <w:ind w:left="567"/>
        <w:rPr>
          <w:sz w:val="22"/>
          <w:szCs w:val="22"/>
        </w:rPr>
      </w:pPr>
    </w:p>
    <w:p w14:paraId="42B8737C" w14:textId="77777777" w:rsidR="00B33BEC" w:rsidRDefault="00E453CD" w:rsidP="00776A84">
      <w:pPr>
        <w:keepNext/>
        <w:tabs>
          <w:tab w:val="num" w:pos="1440"/>
        </w:tabs>
        <w:suppressAutoHyphens/>
        <w:rPr>
          <w:sz w:val="22"/>
          <w:szCs w:val="22"/>
          <w:u w:val="single"/>
        </w:rPr>
      </w:pPr>
      <w:r w:rsidRPr="008A5FB6">
        <w:rPr>
          <w:sz w:val="22"/>
          <w:szCs w:val="22"/>
          <w:u w:val="single"/>
        </w:rPr>
        <w:t>Feber, blåmerker, blødning eller blekhet</w:t>
      </w:r>
    </w:p>
    <w:p w14:paraId="393324CE" w14:textId="77777777" w:rsidR="00B33BEC" w:rsidRPr="009C5EFD" w:rsidRDefault="00B33BEC" w:rsidP="00776A84">
      <w:pPr>
        <w:keepNext/>
        <w:tabs>
          <w:tab w:val="num" w:pos="1440"/>
        </w:tabs>
        <w:suppressAutoHyphens/>
        <w:rPr>
          <w:sz w:val="22"/>
          <w:szCs w:val="22"/>
        </w:rPr>
      </w:pPr>
    </w:p>
    <w:p w14:paraId="7A17B49F" w14:textId="77777777" w:rsidR="00B33BEC" w:rsidRPr="009C5EFD" w:rsidRDefault="00E453CD" w:rsidP="00B33BEC">
      <w:pPr>
        <w:numPr>
          <w:ilvl w:val="0"/>
          <w:numId w:val="3"/>
        </w:numPr>
        <w:suppressAutoHyphens/>
        <w:rPr>
          <w:sz w:val="22"/>
          <w:szCs w:val="22"/>
        </w:rPr>
      </w:pPr>
      <w:r w:rsidRPr="009C5EFD">
        <w:rPr>
          <w:sz w:val="22"/>
          <w:szCs w:val="22"/>
        </w:rPr>
        <w:t>Hos noen pasienter kan kroppen få problemer med å produsere nok av de blodlegemene som forhindre</w:t>
      </w:r>
      <w:r>
        <w:rPr>
          <w:sz w:val="22"/>
          <w:szCs w:val="22"/>
        </w:rPr>
        <w:t>r</w:t>
      </w:r>
      <w:r w:rsidRPr="009C5EFD">
        <w:rPr>
          <w:sz w:val="22"/>
          <w:szCs w:val="22"/>
        </w:rPr>
        <w:t xml:space="preserve"> infeksjoner eller stoppe</w:t>
      </w:r>
      <w:r>
        <w:rPr>
          <w:sz w:val="22"/>
          <w:szCs w:val="22"/>
        </w:rPr>
        <w:t>r</w:t>
      </w:r>
      <w:r w:rsidRPr="009C5EFD">
        <w:rPr>
          <w:sz w:val="22"/>
          <w:szCs w:val="22"/>
        </w:rPr>
        <w:t xml:space="preserve"> blødninger. Legen din kan bestemme at behandlingen må avbrytes.</w:t>
      </w:r>
      <w:r>
        <w:rPr>
          <w:sz w:val="22"/>
          <w:szCs w:val="22"/>
        </w:rPr>
        <w:t xml:space="preserve"> </w:t>
      </w:r>
      <w:r w:rsidRPr="009C5EFD">
        <w:rPr>
          <w:sz w:val="22"/>
          <w:szCs w:val="22"/>
        </w:rPr>
        <w:t xml:space="preserve">Kontakt lege snarest hvis du får feber som ikke forsvinner, får blåmerker eller blør svært lett eller ser svært blek ut. </w:t>
      </w:r>
    </w:p>
    <w:p w14:paraId="7A792408" w14:textId="77777777" w:rsidR="00B33BEC" w:rsidRDefault="00B33BEC" w:rsidP="00AF70AD">
      <w:pPr>
        <w:suppressAutoHyphens/>
        <w:rPr>
          <w:sz w:val="22"/>
          <w:szCs w:val="22"/>
        </w:rPr>
      </w:pPr>
    </w:p>
    <w:p w14:paraId="146832E2" w14:textId="77777777" w:rsidR="00B33BEC" w:rsidRDefault="00E453CD" w:rsidP="00B33BEC">
      <w:pPr>
        <w:keepNext/>
        <w:suppressAutoHyphens/>
        <w:rPr>
          <w:sz w:val="22"/>
          <w:szCs w:val="22"/>
        </w:rPr>
      </w:pPr>
      <w:r>
        <w:rPr>
          <w:sz w:val="22"/>
          <w:szCs w:val="22"/>
          <w:u w:val="single"/>
        </w:rPr>
        <w:t>Kreft</w:t>
      </w:r>
    </w:p>
    <w:p w14:paraId="7C74B1D5" w14:textId="77777777" w:rsidR="00B33BEC" w:rsidRPr="00F034FF" w:rsidRDefault="00B33BEC" w:rsidP="00B33BEC">
      <w:pPr>
        <w:keepNext/>
        <w:suppressAutoHyphens/>
        <w:rPr>
          <w:sz w:val="22"/>
          <w:szCs w:val="22"/>
        </w:rPr>
      </w:pPr>
    </w:p>
    <w:p w14:paraId="23D73F40" w14:textId="77777777" w:rsidR="00B33BEC" w:rsidRDefault="00E453CD" w:rsidP="00776A84">
      <w:pPr>
        <w:numPr>
          <w:ilvl w:val="0"/>
          <w:numId w:val="3"/>
        </w:numPr>
        <w:suppressAutoHyphens/>
        <w:ind w:left="714" w:hanging="357"/>
        <w:rPr>
          <w:sz w:val="22"/>
          <w:szCs w:val="22"/>
        </w:rPr>
      </w:pPr>
      <w:r w:rsidRPr="009C5EFD">
        <w:rPr>
          <w:sz w:val="22"/>
          <w:szCs w:val="22"/>
        </w:rPr>
        <w:t xml:space="preserve">Det har vært svært sjeldne tilfeller av visse typer kreft hos barn og </w:t>
      </w:r>
      <w:r>
        <w:rPr>
          <w:sz w:val="22"/>
          <w:szCs w:val="22"/>
        </w:rPr>
        <w:t>voksne</w:t>
      </w:r>
      <w:r w:rsidRPr="009C5EFD">
        <w:rPr>
          <w:sz w:val="22"/>
          <w:szCs w:val="22"/>
        </w:rPr>
        <w:t xml:space="preserve"> som får Humira eller andre TNF-blokkere.</w:t>
      </w:r>
    </w:p>
    <w:p w14:paraId="13A2524B" w14:textId="77777777" w:rsidR="00B33BEC" w:rsidRDefault="00E453CD" w:rsidP="00AF70AD">
      <w:pPr>
        <w:suppressAutoHyphens/>
        <w:rPr>
          <w:sz w:val="22"/>
          <w:szCs w:val="22"/>
        </w:rPr>
      </w:pPr>
      <w:r w:rsidRPr="009C5EFD">
        <w:rPr>
          <w:sz w:val="22"/>
          <w:szCs w:val="22"/>
        </w:rPr>
        <w:t xml:space="preserve"> </w:t>
      </w:r>
    </w:p>
    <w:p w14:paraId="553BCB21" w14:textId="77777777" w:rsidR="00B33BEC" w:rsidRDefault="00E453CD" w:rsidP="00B33BEC">
      <w:pPr>
        <w:numPr>
          <w:ilvl w:val="0"/>
          <w:numId w:val="3"/>
        </w:numPr>
        <w:tabs>
          <w:tab w:val="num" w:pos="567"/>
          <w:tab w:val="num" w:pos="1440"/>
        </w:tabs>
        <w:suppressAutoHyphens/>
        <w:ind w:left="1440"/>
        <w:rPr>
          <w:sz w:val="22"/>
          <w:szCs w:val="22"/>
        </w:rPr>
      </w:pPr>
      <w:r w:rsidRPr="009C5EFD">
        <w:rPr>
          <w:sz w:val="22"/>
          <w:szCs w:val="22"/>
        </w:rPr>
        <w:t>Personer med mer alvorlig revmatoid artritt som har hatt sykdommen i lang tid kan ha høyere risiko enn gjennomsnittet for å få lymfom (kreft som angriper lymfesystemet) og leukemi (kreft som angriper blod og benmarg).</w:t>
      </w:r>
    </w:p>
    <w:p w14:paraId="71ECA08E" w14:textId="77777777" w:rsidR="00B33BEC" w:rsidRDefault="00E453CD" w:rsidP="00B33BEC">
      <w:pPr>
        <w:numPr>
          <w:ilvl w:val="0"/>
          <w:numId w:val="3"/>
        </w:numPr>
        <w:tabs>
          <w:tab w:val="num" w:pos="567"/>
          <w:tab w:val="num" w:pos="1440"/>
        </w:tabs>
        <w:suppressAutoHyphens/>
        <w:ind w:left="1440"/>
        <w:rPr>
          <w:sz w:val="22"/>
          <w:szCs w:val="22"/>
        </w:rPr>
      </w:pPr>
      <w:r>
        <w:rPr>
          <w:sz w:val="22"/>
          <w:szCs w:val="22"/>
        </w:rPr>
        <w:t>Dersom</w:t>
      </w:r>
      <w:r w:rsidRPr="009C5EFD">
        <w:rPr>
          <w:sz w:val="22"/>
          <w:szCs w:val="22"/>
        </w:rPr>
        <w:t xml:space="preserve"> du tar Humira, kan risikoen for å få lymfom, leukemi og andre typer kreft øke. I sjeldne tilfeller har man </w:t>
      </w:r>
      <w:r>
        <w:rPr>
          <w:sz w:val="22"/>
          <w:szCs w:val="22"/>
        </w:rPr>
        <w:t>sett</w:t>
      </w:r>
      <w:r w:rsidRPr="009C5EFD">
        <w:rPr>
          <w:sz w:val="22"/>
          <w:szCs w:val="22"/>
        </w:rPr>
        <w:t xml:space="preserve"> en </w:t>
      </w:r>
      <w:r>
        <w:rPr>
          <w:sz w:val="22"/>
          <w:szCs w:val="22"/>
        </w:rPr>
        <w:t>sjelden</w:t>
      </w:r>
      <w:r w:rsidRPr="009C5EFD">
        <w:rPr>
          <w:sz w:val="22"/>
          <w:szCs w:val="22"/>
        </w:rPr>
        <w:t xml:space="preserve"> og alvorlig type lymfom hos pasienter som bruker Humira. Noen av disse pasientene ble også behandlet med azatioprin eller 6-merkaptopurin.</w:t>
      </w:r>
    </w:p>
    <w:p w14:paraId="1DD8532F" w14:textId="77777777" w:rsidR="00B33BEC" w:rsidRDefault="00E453CD" w:rsidP="00B33BEC">
      <w:pPr>
        <w:numPr>
          <w:ilvl w:val="0"/>
          <w:numId w:val="3"/>
        </w:numPr>
        <w:tabs>
          <w:tab w:val="num" w:pos="567"/>
          <w:tab w:val="num" w:pos="1440"/>
        </w:tabs>
        <w:suppressAutoHyphens/>
        <w:ind w:left="1440"/>
        <w:rPr>
          <w:sz w:val="22"/>
          <w:szCs w:val="22"/>
        </w:rPr>
      </w:pPr>
      <w:r w:rsidRPr="009C5EFD">
        <w:rPr>
          <w:sz w:val="22"/>
          <w:szCs w:val="22"/>
        </w:rPr>
        <w:t>Fortell legen din dersom du tar azatioprin eller 6-merkaptopurin sammen med Humira.</w:t>
      </w:r>
    </w:p>
    <w:p w14:paraId="0EFC059F" w14:textId="77777777" w:rsidR="00B33BEC" w:rsidRDefault="00E453CD" w:rsidP="00B33BEC">
      <w:pPr>
        <w:numPr>
          <w:ilvl w:val="0"/>
          <w:numId w:val="3"/>
        </w:numPr>
        <w:tabs>
          <w:tab w:val="num" w:pos="567"/>
          <w:tab w:val="num" w:pos="1440"/>
        </w:tabs>
        <w:suppressAutoHyphens/>
        <w:ind w:left="1440"/>
        <w:rPr>
          <w:sz w:val="22"/>
          <w:szCs w:val="22"/>
        </w:rPr>
      </w:pPr>
      <w:r>
        <w:rPr>
          <w:sz w:val="22"/>
          <w:szCs w:val="22"/>
        </w:rPr>
        <w:t>T</w:t>
      </w:r>
      <w:r w:rsidRPr="009C5EFD">
        <w:rPr>
          <w:sz w:val="22"/>
          <w:szCs w:val="22"/>
        </w:rPr>
        <w:t xml:space="preserve">ilfeller av ikke-melanom hudkreft </w:t>
      </w:r>
      <w:r>
        <w:rPr>
          <w:sz w:val="22"/>
          <w:szCs w:val="22"/>
        </w:rPr>
        <w:t xml:space="preserve">har </w:t>
      </w:r>
      <w:r w:rsidR="006949D7">
        <w:rPr>
          <w:sz w:val="22"/>
          <w:szCs w:val="22"/>
        </w:rPr>
        <w:t xml:space="preserve">blitt </w:t>
      </w:r>
      <w:r w:rsidRPr="009C5EFD">
        <w:rPr>
          <w:sz w:val="22"/>
          <w:szCs w:val="22"/>
        </w:rPr>
        <w:t>sett hos pasienter som får Humira.</w:t>
      </w:r>
    </w:p>
    <w:p w14:paraId="75706C8A" w14:textId="77777777" w:rsidR="00B33BEC" w:rsidRPr="009C5EFD" w:rsidRDefault="00E453CD" w:rsidP="00B33BEC">
      <w:pPr>
        <w:numPr>
          <w:ilvl w:val="0"/>
          <w:numId w:val="3"/>
        </w:numPr>
        <w:tabs>
          <w:tab w:val="num" w:pos="567"/>
          <w:tab w:val="num" w:pos="1440"/>
        </w:tabs>
        <w:suppressAutoHyphens/>
        <w:ind w:left="1440"/>
        <w:rPr>
          <w:sz w:val="22"/>
          <w:szCs w:val="22"/>
        </w:rPr>
      </w:pPr>
      <w:r w:rsidRPr="009C5EFD">
        <w:rPr>
          <w:sz w:val="22"/>
          <w:szCs w:val="22"/>
        </w:rPr>
        <w:t>Fortell legen din hvis nye hudlesjoner</w:t>
      </w:r>
      <w:r>
        <w:rPr>
          <w:sz w:val="22"/>
          <w:szCs w:val="22"/>
        </w:rPr>
        <w:t xml:space="preserve"> (unormale forandringer på huden)</w:t>
      </w:r>
      <w:r w:rsidRPr="009C5EFD">
        <w:rPr>
          <w:sz w:val="22"/>
          <w:szCs w:val="22"/>
        </w:rPr>
        <w:t xml:space="preserve"> viser seg under eller etter behandling eller hvis eksisterende hudlesjoner forandrer seg.</w:t>
      </w:r>
    </w:p>
    <w:p w14:paraId="7500EAC8" w14:textId="77777777" w:rsidR="00B33BEC" w:rsidRPr="009C5EFD" w:rsidRDefault="00B33BEC" w:rsidP="00B33BEC">
      <w:pPr>
        <w:tabs>
          <w:tab w:val="num" w:pos="1440"/>
        </w:tabs>
        <w:suppressAutoHyphens/>
        <w:rPr>
          <w:sz w:val="22"/>
          <w:szCs w:val="22"/>
        </w:rPr>
      </w:pPr>
    </w:p>
    <w:p w14:paraId="3F3BF637" w14:textId="77777777" w:rsidR="00B33BEC" w:rsidRPr="009C5EFD" w:rsidRDefault="00E453CD" w:rsidP="00B33BEC">
      <w:pPr>
        <w:numPr>
          <w:ilvl w:val="0"/>
          <w:numId w:val="3"/>
        </w:numPr>
        <w:suppressAutoHyphens/>
        <w:rPr>
          <w:sz w:val="22"/>
          <w:szCs w:val="22"/>
        </w:rPr>
      </w:pPr>
      <w:r w:rsidRPr="009C5EFD">
        <w:rPr>
          <w:sz w:val="22"/>
          <w:szCs w:val="22"/>
        </w:rPr>
        <w:t xml:space="preserve">Andre krefttyper enn lymfomer er sett hos pasienter som hadde en bestemt type lungesykdom kalt kronisk obstruktiv lungesykdom (KOLS) og som fikk behandling med andre TNF-blokkere. Dersom du har KOLS, eller er storrøyker, skal du snakke med </w:t>
      </w:r>
      <w:r>
        <w:rPr>
          <w:sz w:val="22"/>
          <w:szCs w:val="22"/>
        </w:rPr>
        <w:t>legen din</w:t>
      </w:r>
      <w:r w:rsidRPr="009C5EFD">
        <w:rPr>
          <w:sz w:val="22"/>
          <w:szCs w:val="22"/>
        </w:rPr>
        <w:t xml:space="preserve"> om behandling med en TNF-blokker passer for deg. </w:t>
      </w:r>
    </w:p>
    <w:p w14:paraId="7A6163AF" w14:textId="77777777" w:rsidR="00B33BEC" w:rsidRDefault="00B33BEC" w:rsidP="00B33BEC">
      <w:pPr>
        <w:pStyle w:val="Heading3"/>
        <w:keepNext w:val="0"/>
        <w:suppressAutoHyphens/>
        <w:rPr>
          <w:b w:val="0"/>
          <w:szCs w:val="22"/>
          <w:lang w:val="nb-NO"/>
        </w:rPr>
      </w:pPr>
    </w:p>
    <w:p w14:paraId="053A2A43" w14:textId="77777777" w:rsidR="00B33BEC" w:rsidRPr="00E90360" w:rsidRDefault="00E453CD" w:rsidP="00776A84">
      <w:pPr>
        <w:keepNext/>
        <w:suppressAutoHyphens/>
        <w:rPr>
          <w:sz w:val="22"/>
          <w:szCs w:val="22"/>
        </w:rPr>
      </w:pPr>
      <w:r>
        <w:rPr>
          <w:sz w:val="22"/>
          <w:szCs w:val="22"/>
          <w:u w:val="single"/>
        </w:rPr>
        <w:t>Autoimmune sykdommer</w:t>
      </w:r>
    </w:p>
    <w:p w14:paraId="2373FF38" w14:textId="77777777" w:rsidR="00B33BEC" w:rsidRPr="00E90360" w:rsidRDefault="00B33BEC" w:rsidP="00776A84">
      <w:pPr>
        <w:keepNext/>
        <w:suppressAutoHyphens/>
        <w:rPr>
          <w:sz w:val="22"/>
          <w:szCs w:val="22"/>
        </w:rPr>
      </w:pPr>
    </w:p>
    <w:p w14:paraId="3412C7A2" w14:textId="77777777" w:rsidR="00B33BEC" w:rsidRPr="009C5EFD" w:rsidRDefault="00E453CD" w:rsidP="00AF70AD">
      <w:pPr>
        <w:numPr>
          <w:ilvl w:val="0"/>
          <w:numId w:val="3"/>
        </w:numPr>
        <w:suppressAutoHyphens/>
        <w:rPr>
          <w:sz w:val="22"/>
          <w:szCs w:val="22"/>
        </w:rPr>
      </w:pPr>
      <w:r w:rsidRPr="00AF70AD">
        <w:rPr>
          <w:sz w:val="22"/>
          <w:szCs w:val="22"/>
        </w:rPr>
        <w:t>I sjeldne tilfeller kan behandling med Humira føre til et syndrom som ligner på lupus. Kontakt lege dersom symptomer som vedvarende uforklarlig utslett, feber, leddsmerter eller tretthet oppstår.</w:t>
      </w:r>
    </w:p>
    <w:p w14:paraId="4F8165D8" w14:textId="77777777" w:rsidR="00B33BEC" w:rsidRPr="00C40ABF" w:rsidRDefault="00B33BEC" w:rsidP="00B33BEC">
      <w:pPr>
        <w:pStyle w:val="Heading3"/>
        <w:keepNext w:val="0"/>
        <w:suppressAutoHyphens/>
        <w:rPr>
          <w:b w:val="0"/>
          <w:szCs w:val="22"/>
          <w:lang w:val="nb-NO"/>
        </w:rPr>
      </w:pPr>
    </w:p>
    <w:p w14:paraId="322D0110" w14:textId="77777777" w:rsidR="00B33BEC" w:rsidRPr="009C5EFD" w:rsidRDefault="00E453CD" w:rsidP="00776A84">
      <w:pPr>
        <w:keepNext/>
        <w:suppressAutoHyphens/>
        <w:rPr>
          <w:sz w:val="22"/>
          <w:szCs w:val="22"/>
        </w:rPr>
      </w:pPr>
      <w:r w:rsidRPr="009C5EFD">
        <w:rPr>
          <w:b/>
          <w:sz w:val="22"/>
          <w:szCs w:val="22"/>
        </w:rPr>
        <w:t>Barn og ungdom</w:t>
      </w:r>
    </w:p>
    <w:p w14:paraId="038E8461" w14:textId="77777777" w:rsidR="00B33BEC" w:rsidRPr="009C5EFD" w:rsidRDefault="00B33BEC" w:rsidP="00776A84">
      <w:pPr>
        <w:keepNext/>
        <w:suppressAutoHyphens/>
        <w:rPr>
          <w:sz w:val="22"/>
          <w:szCs w:val="22"/>
        </w:rPr>
      </w:pPr>
    </w:p>
    <w:p w14:paraId="0D792E3F" w14:textId="77777777" w:rsidR="00B33BEC" w:rsidRPr="009C5EFD" w:rsidRDefault="00E453CD" w:rsidP="00AF70AD">
      <w:pPr>
        <w:numPr>
          <w:ilvl w:val="0"/>
          <w:numId w:val="3"/>
        </w:numPr>
        <w:suppressAutoHyphens/>
        <w:rPr>
          <w:sz w:val="22"/>
          <w:szCs w:val="22"/>
        </w:rPr>
      </w:pPr>
      <w:r w:rsidRPr="009C5EFD">
        <w:rPr>
          <w:sz w:val="22"/>
          <w:szCs w:val="22"/>
        </w:rPr>
        <w:t xml:space="preserve">Vaksinasjoner: hvis mulig, </w:t>
      </w:r>
      <w:r>
        <w:rPr>
          <w:sz w:val="22"/>
          <w:szCs w:val="22"/>
        </w:rPr>
        <w:t>bør</w:t>
      </w:r>
      <w:r w:rsidRPr="009C5EFD">
        <w:rPr>
          <w:sz w:val="22"/>
          <w:szCs w:val="22"/>
        </w:rPr>
        <w:t xml:space="preserve"> barn</w:t>
      </w:r>
      <w:r>
        <w:rPr>
          <w:sz w:val="22"/>
          <w:szCs w:val="22"/>
        </w:rPr>
        <w:t>et</w:t>
      </w:r>
      <w:r w:rsidRPr="009C5EFD">
        <w:rPr>
          <w:sz w:val="22"/>
          <w:szCs w:val="22"/>
        </w:rPr>
        <w:t xml:space="preserve"> ditt være oppdatert i henhold til alle vaksinasjoner før Humira brukes.</w:t>
      </w:r>
    </w:p>
    <w:p w14:paraId="7CEFD26B" w14:textId="77777777" w:rsidR="00B33BEC" w:rsidRPr="009C5EFD" w:rsidRDefault="00B33BEC" w:rsidP="00B33BEC">
      <w:pPr>
        <w:pStyle w:val="Heading3"/>
        <w:keepNext w:val="0"/>
        <w:suppressAutoHyphens/>
        <w:rPr>
          <w:b w:val="0"/>
          <w:szCs w:val="22"/>
          <w:lang w:val="nb-NO"/>
        </w:rPr>
      </w:pPr>
    </w:p>
    <w:p w14:paraId="1768412B" w14:textId="77777777" w:rsidR="00B33BEC" w:rsidRPr="009C5EFD" w:rsidRDefault="00E453CD" w:rsidP="00776A84">
      <w:pPr>
        <w:pStyle w:val="Heading3"/>
        <w:suppressAutoHyphens/>
        <w:rPr>
          <w:szCs w:val="22"/>
          <w:lang w:val="nb-NO"/>
        </w:rPr>
      </w:pPr>
      <w:r w:rsidRPr="009C5EFD">
        <w:rPr>
          <w:szCs w:val="22"/>
          <w:lang w:val="nb-NO"/>
        </w:rPr>
        <w:t>Andre legemidler og Humira</w:t>
      </w:r>
    </w:p>
    <w:p w14:paraId="1598D07C" w14:textId="77777777" w:rsidR="00B33BEC" w:rsidRPr="009C5EFD" w:rsidRDefault="00B33BEC" w:rsidP="00776A84">
      <w:pPr>
        <w:keepNext/>
        <w:suppressAutoHyphens/>
        <w:rPr>
          <w:sz w:val="22"/>
          <w:szCs w:val="22"/>
        </w:rPr>
      </w:pPr>
    </w:p>
    <w:p w14:paraId="2282F1ED" w14:textId="77777777" w:rsidR="00B33BEC" w:rsidRPr="001F5D4B" w:rsidRDefault="00E453CD" w:rsidP="00B33BEC">
      <w:pPr>
        <w:suppressAutoHyphens/>
        <w:rPr>
          <w:sz w:val="22"/>
          <w:szCs w:val="22"/>
        </w:rPr>
      </w:pPr>
      <w:r>
        <w:rPr>
          <w:sz w:val="22"/>
          <w:szCs w:val="22"/>
        </w:rPr>
        <w:t>Snakk med</w:t>
      </w:r>
      <w:r w:rsidRPr="001F5D4B">
        <w:rPr>
          <w:sz w:val="22"/>
          <w:szCs w:val="22"/>
        </w:rPr>
        <w:t xml:space="preserve"> legen din eller apotek dersom du bruker, nylig har brukt eller planlegger å bruke andre legemidler.</w:t>
      </w:r>
    </w:p>
    <w:p w14:paraId="1487D283" w14:textId="77777777" w:rsidR="00B33BEC" w:rsidRPr="009C5EFD" w:rsidRDefault="00B33BEC" w:rsidP="00B33BEC">
      <w:pPr>
        <w:suppressAutoHyphens/>
        <w:rPr>
          <w:szCs w:val="22"/>
        </w:rPr>
      </w:pPr>
    </w:p>
    <w:p w14:paraId="39A3B505" w14:textId="77777777" w:rsidR="00B33BEC" w:rsidRDefault="00E453CD" w:rsidP="001C4BD6">
      <w:pPr>
        <w:keepNext/>
        <w:suppressAutoHyphens/>
        <w:rPr>
          <w:sz w:val="22"/>
          <w:szCs w:val="22"/>
        </w:rPr>
      </w:pPr>
      <w:r>
        <w:rPr>
          <w:sz w:val="22"/>
          <w:szCs w:val="22"/>
        </w:rPr>
        <w:lastRenderedPageBreak/>
        <w:t>Du må ikke ta Humira sammen med legemidler som inneholder de følgende virkestoffene på grunn av økt risiko for alvorlig infeksjon:</w:t>
      </w:r>
    </w:p>
    <w:p w14:paraId="58645AF4" w14:textId="77777777" w:rsidR="00B33BEC" w:rsidRDefault="00E453CD" w:rsidP="00B33BEC">
      <w:pPr>
        <w:pStyle w:val="ListParagraph"/>
        <w:numPr>
          <w:ilvl w:val="0"/>
          <w:numId w:val="112"/>
        </w:numPr>
        <w:tabs>
          <w:tab w:val="left" w:pos="720"/>
        </w:tabs>
        <w:suppressAutoHyphens/>
        <w:rPr>
          <w:sz w:val="22"/>
          <w:szCs w:val="22"/>
        </w:rPr>
      </w:pPr>
      <w:r>
        <w:rPr>
          <w:sz w:val="22"/>
          <w:szCs w:val="22"/>
        </w:rPr>
        <w:t>anakinra</w:t>
      </w:r>
    </w:p>
    <w:p w14:paraId="1D023030" w14:textId="77777777" w:rsidR="00B33BEC" w:rsidRPr="00887835" w:rsidRDefault="00E453CD" w:rsidP="00B33BEC">
      <w:pPr>
        <w:pStyle w:val="ListParagraph"/>
        <w:numPr>
          <w:ilvl w:val="0"/>
          <w:numId w:val="112"/>
        </w:numPr>
        <w:tabs>
          <w:tab w:val="left" w:pos="720"/>
        </w:tabs>
        <w:suppressAutoHyphens/>
        <w:rPr>
          <w:sz w:val="22"/>
          <w:szCs w:val="22"/>
        </w:rPr>
      </w:pPr>
      <w:r>
        <w:rPr>
          <w:sz w:val="22"/>
          <w:szCs w:val="22"/>
        </w:rPr>
        <w:t>abatacept.</w:t>
      </w:r>
    </w:p>
    <w:p w14:paraId="77FF6A57" w14:textId="77777777" w:rsidR="00B33BEC" w:rsidRPr="009C5EFD" w:rsidRDefault="00B33BEC" w:rsidP="00B33BEC">
      <w:pPr>
        <w:suppressAutoHyphens/>
        <w:rPr>
          <w:szCs w:val="22"/>
        </w:rPr>
      </w:pPr>
    </w:p>
    <w:p w14:paraId="1C9F81B2" w14:textId="77777777" w:rsidR="00B33BEC" w:rsidRDefault="00E453CD" w:rsidP="00B33BEC">
      <w:pPr>
        <w:suppressAutoHyphens/>
        <w:rPr>
          <w:sz w:val="22"/>
          <w:szCs w:val="22"/>
        </w:rPr>
      </w:pPr>
      <w:r w:rsidRPr="009C5EFD">
        <w:rPr>
          <w:sz w:val="22"/>
          <w:szCs w:val="22"/>
        </w:rPr>
        <w:t>Humira kan tas sammen med</w:t>
      </w:r>
      <w:r>
        <w:rPr>
          <w:sz w:val="22"/>
          <w:szCs w:val="22"/>
        </w:rPr>
        <w:t>:</w:t>
      </w:r>
    </w:p>
    <w:p w14:paraId="2E3F4755" w14:textId="77777777" w:rsidR="00B33BEC" w:rsidRDefault="00E453CD" w:rsidP="00B33BEC">
      <w:pPr>
        <w:pStyle w:val="ListParagraph"/>
        <w:numPr>
          <w:ilvl w:val="0"/>
          <w:numId w:val="113"/>
        </w:numPr>
        <w:suppressAutoHyphens/>
        <w:rPr>
          <w:sz w:val="22"/>
          <w:szCs w:val="22"/>
        </w:rPr>
      </w:pPr>
      <w:r w:rsidRPr="009C5EFD">
        <w:rPr>
          <w:sz w:val="22"/>
          <w:szCs w:val="22"/>
        </w:rPr>
        <w:t>metotreksat</w:t>
      </w:r>
    </w:p>
    <w:p w14:paraId="4CA04E29" w14:textId="77777777" w:rsidR="00B33BEC" w:rsidRDefault="00E453CD" w:rsidP="00B33BEC">
      <w:pPr>
        <w:pStyle w:val="ListParagraph"/>
        <w:numPr>
          <w:ilvl w:val="0"/>
          <w:numId w:val="113"/>
        </w:numPr>
        <w:suppressAutoHyphens/>
        <w:rPr>
          <w:sz w:val="22"/>
          <w:szCs w:val="22"/>
        </w:rPr>
      </w:pPr>
      <w:r w:rsidRPr="009C5EFD">
        <w:rPr>
          <w:sz w:val="22"/>
          <w:szCs w:val="22"/>
        </w:rPr>
        <w:t>visse sykdomsmodifiserende antirevmatiske midler (</w:t>
      </w:r>
      <w:r>
        <w:rPr>
          <w:sz w:val="22"/>
          <w:szCs w:val="22"/>
        </w:rPr>
        <w:t xml:space="preserve">f.eks. </w:t>
      </w:r>
      <w:r w:rsidRPr="009C5EFD">
        <w:rPr>
          <w:sz w:val="22"/>
          <w:szCs w:val="22"/>
        </w:rPr>
        <w:t xml:space="preserve">sulfasalasin, hydroksyklorokin, leflunomid </w:t>
      </w:r>
      <w:r>
        <w:rPr>
          <w:sz w:val="22"/>
          <w:szCs w:val="22"/>
        </w:rPr>
        <w:t>og</w:t>
      </w:r>
      <w:r w:rsidRPr="009C5EFD">
        <w:rPr>
          <w:sz w:val="22"/>
          <w:szCs w:val="22"/>
        </w:rPr>
        <w:t xml:space="preserve"> gullpreparater til injeksjon</w:t>
      </w:r>
      <w:r w:rsidRPr="00887835">
        <w:rPr>
          <w:sz w:val="22"/>
          <w:szCs w:val="22"/>
        </w:rPr>
        <w:t>)</w:t>
      </w:r>
    </w:p>
    <w:p w14:paraId="3CE36345" w14:textId="77777777" w:rsidR="00B33BEC" w:rsidRPr="009C5EFD" w:rsidRDefault="00E453CD" w:rsidP="00B33BEC">
      <w:pPr>
        <w:pStyle w:val="ListParagraph"/>
        <w:numPr>
          <w:ilvl w:val="0"/>
          <w:numId w:val="113"/>
        </w:numPr>
        <w:suppressAutoHyphens/>
        <w:rPr>
          <w:sz w:val="22"/>
          <w:szCs w:val="22"/>
        </w:rPr>
      </w:pPr>
      <w:r w:rsidRPr="009C5EFD">
        <w:rPr>
          <w:sz w:val="22"/>
          <w:szCs w:val="22"/>
        </w:rPr>
        <w:t>steroider eller smertestillende midler, deriblant ikke-steroide antiinflammatoriske midler (NSAIDs).</w:t>
      </w:r>
    </w:p>
    <w:p w14:paraId="7A6428E0" w14:textId="77777777" w:rsidR="00B33BEC" w:rsidRPr="009C5EFD" w:rsidRDefault="00B33BEC" w:rsidP="00B33BEC">
      <w:pPr>
        <w:suppressAutoHyphens/>
        <w:rPr>
          <w:sz w:val="22"/>
          <w:szCs w:val="22"/>
        </w:rPr>
      </w:pPr>
    </w:p>
    <w:p w14:paraId="6F811F45" w14:textId="77777777" w:rsidR="00B33BEC" w:rsidRPr="009C5EFD" w:rsidRDefault="00E453CD" w:rsidP="00B33BEC">
      <w:pPr>
        <w:suppressAutoHyphens/>
        <w:rPr>
          <w:sz w:val="22"/>
          <w:szCs w:val="22"/>
        </w:rPr>
      </w:pPr>
      <w:r w:rsidRPr="009C5EFD">
        <w:rPr>
          <w:sz w:val="22"/>
          <w:szCs w:val="22"/>
        </w:rPr>
        <w:t>Hvis du har spørsmål, kontakt legen din.</w:t>
      </w:r>
    </w:p>
    <w:p w14:paraId="47998AAF" w14:textId="77777777" w:rsidR="00B33BEC" w:rsidRPr="009C5EFD" w:rsidRDefault="00B33BEC" w:rsidP="00B33BEC">
      <w:pPr>
        <w:suppressAutoHyphens/>
        <w:rPr>
          <w:sz w:val="22"/>
          <w:szCs w:val="22"/>
        </w:rPr>
      </w:pPr>
    </w:p>
    <w:p w14:paraId="686A35B6" w14:textId="77777777" w:rsidR="00B33BEC" w:rsidRPr="009C5EFD" w:rsidRDefault="00E453CD" w:rsidP="00D35625">
      <w:pPr>
        <w:keepNext/>
        <w:rPr>
          <w:b/>
          <w:sz w:val="22"/>
          <w:szCs w:val="22"/>
        </w:rPr>
      </w:pPr>
      <w:r w:rsidRPr="009C5EFD">
        <w:rPr>
          <w:b/>
          <w:sz w:val="22"/>
          <w:szCs w:val="22"/>
        </w:rPr>
        <w:t>Graviditet og amming</w:t>
      </w:r>
    </w:p>
    <w:p w14:paraId="4D9B74A9" w14:textId="77777777" w:rsidR="00B33BEC" w:rsidRPr="009C5EFD" w:rsidRDefault="00B33BEC" w:rsidP="00D35625">
      <w:pPr>
        <w:keepNext/>
        <w:rPr>
          <w:sz w:val="22"/>
          <w:szCs w:val="22"/>
        </w:rPr>
      </w:pPr>
    </w:p>
    <w:p w14:paraId="5FD766A9" w14:textId="77777777" w:rsidR="00B33BEC" w:rsidRPr="00D35625" w:rsidRDefault="00E453CD" w:rsidP="00D35625">
      <w:pPr>
        <w:pStyle w:val="ListParagraph"/>
        <w:numPr>
          <w:ilvl w:val="0"/>
          <w:numId w:val="152"/>
        </w:numPr>
        <w:suppressAutoHyphens/>
        <w:rPr>
          <w:sz w:val="22"/>
          <w:szCs w:val="22"/>
        </w:rPr>
      </w:pPr>
      <w:r w:rsidRPr="00D35625">
        <w:rPr>
          <w:sz w:val="22"/>
          <w:szCs w:val="22"/>
        </w:rPr>
        <w:t xml:space="preserve">Du </w:t>
      </w:r>
      <w:r w:rsidR="00AA09C3" w:rsidRPr="00D35625">
        <w:rPr>
          <w:sz w:val="22"/>
          <w:szCs w:val="22"/>
        </w:rPr>
        <w:t xml:space="preserve">bør vurdere å </w:t>
      </w:r>
      <w:r w:rsidRPr="00D35625">
        <w:rPr>
          <w:sz w:val="22"/>
          <w:szCs w:val="22"/>
        </w:rPr>
        <w:t xml:space="preserve">bruke sikker prevensjon </w:t>
      </w:r>
      <w:r w:rsidR="00AA09C3" w:rsidRPr="00D35625">
        <w:rPr>
          <w:sz w:val="22"/>
          <w:szCs w:val="22"/>
        </w:rPr>
        <w:t xml:space="preserve">for å forhindre graviditet og fortsette bruken </w:t>
      </w:r>
      <w:r w:rsidRPr="00D35625">
        <w:rPr>
          <w:sz w:val="22"/>
          <w:szCs w:val="22"/>
        </w:rPr>
        <w:t>i minst 5</w:t>
      </w:r>
      <w:r w:rsidR="00F13B44">
        <w:rPr>
          <w:sz w:val="22"/>
          <w:szCs w:val="22"/>
        </w:rPr>
        <w:t> </w:t>
      </w:r>
      <w:r w:rsidRPr="00D35625">
        <w:rPr>
          <w:sz w:val="22"/>
          <w:szCs w:val="22"/>
        </w:rPr>
        <w:t>måneder etter siste behandling med Humira.</w:t>
      </w:r>
    </w:p>
    <w:p w14:paraId="658A577B" w14:textId="77777777" w:rsidR="00E70B94" w:rsidRDefault="00E453CD" w:rsidP="00E70B94">
      <w:pPr>
        <w:pStyle w:val="ListParagraph"/>
        <w:numPr>
          <w:ilvl w:val="0"/>
          <w:numId w:val="147"/>
        </w:numPr>
        <w:suppressAutoHyphens/>
        <w:rPr>
          <w:sz w:val="22"/>
          <w:szCs w:val="22"/>
        </w:rPr>
      </w:pPr>
      <w:r>
        <w:rPr>
          <w:sz w:val="22"/>
          <w:szCs w:val="22"/>
        </w:rPr>
        <w:t>Snakk med</w:t>
      </w:r>
      <w:r w:rsidR="00D80AF5">
        <w:rPr>
          <w:sz w:val="22"/>
          <w:szCs w:val="22"/>
        </w:rPr>
        <w:t xml:space="preserve"> </w:t>
      </w:r>
      <w:r w:rsidRPr="00922A98">
        <w:rPr>
          <w:sz w:val="22"/>
          <w:szCs w:val="22"/>
        </w:rPr>
        <w:t>lege</w:t>
      </w:r>
      <w:r w:rsidR="007A31C0">
        <w:rPr>
          <w:sz w:val="22"/>
          <w:szCs w:val="22"/>
        </w:rPr>
        <w:t xml:space="preserve"> </w:t>
      </w:r>
      <w:r w:rsidR="00F13B44">
        <w:rPr>
          <w:sz w:val="22"/>
          <w:szCs w:val="22"/>
        </w:rPr>
        <w:t xml:space="preserve">før du </w:t>
      </w:r>
      <w:r w:rsidRPr="00922A98">
        <w:rPr>
          <w:sz w:val="22"/>
          <w:szCs w:val="22"/>
        </w:rPr>
        <w:t>tar det</w:t>
      </w:r>
      <w:r>
        <w:rPr>
          <w:sz w:val="22"/>
          <w:szCs w:val="22"/>
        </w:rPr>
        <w:t xml:space="preserve">te legemidlet dersom </w:t>
      </w:r>
      <w:r w:rsidR="00F13B44">
        <w:rPr>
          <w:sz w:val="22"/>
          <w:szCs w:val="22"/>
        </w:rPr>
        <w:t>du</w:t>
      </w:r>
      <w:r>
        <w:rPr>
          <w:sz w:val="22"/>
          <w:szCs w:val="22"/>
        </w:rPr>
        <w:t xml:space="preserve"> er gravid, tror at </w:t>
      </w:r>
      <w:r w:rsidR="00CC0989">
        <w:rPr>
          <w:sz w:val="22"/>
          <w:szCs w:val="22"/>
        </w:rPr>
        <w:t>du</w:t>
      </w:r>
      <w:r w:rsidRPr="00922A98">
        <w:rPr>
          <w:sz w:val="22"/>
          <w:szCs w:val="22"/>
        </w:rPr>
        <w:t xml:space="preserve"> kan være gravid</w:t>
      </w:r>
      <w:r>
        <w:rPr>
          <w:sz w:val="22"/>
          <w:szCs w:val="22"/>
        </w:rPr>
        <w:t xml:space="preserve"> eller planlegger å bli gravid.</w:t>
      </w:r>
    </w:p>
    <w:p w14:paraId="074AEDB7" w14:textId="77777777" w:rsidR="00E70B94" w:rsidRDefault="00E453CD" w:rsidP="00E70B94">
      <w:pPr>
        <w:pStyle w:val="ListParagraph"/>
        <w:numPr>
          <w:ilvl w:val="0"/>
          <w:numId w:val="147"/>
        </w:numPr>
        <w:suppressAutoHyphens/>
        <w:rPr>
          <w:sz w:val="22"/>
          <w:szCs w:val="22"/>
        </w:rPr>
      </w:pPr>
      <w:r>
        <w:rPr>
          <w:sz w:val="22"/>
          <w:szCs w:val="22"/>
        </w:rPr>
        <w:t>Humira bør kun brukes under graviditet dersom det er nødvendig.</w:t>
      </w:r>
    </w:p>
    <w:p w14:paraId="608E4BC3" w14:textId="77777777" w:rsidR="00E70B94" w:rsidRDefault="00E453CD" w:rsidP="00E70B94">
      <w:pPr>
        <w:pStyle w:val="ListParagraph"/>
        <w:numPr>
          <w:ilvl w:val="0"/>
          <w:numId w:val="147"/>
        </w:numPr>
        <w:suppressAutoHyphens/>
        <w:rPr>
          <w:sz w:val="22"/>
          <w:szCs w:val="22"/>
        </w:rPr>
      </w:pPr>
      <w:r>
        <w:rPr>
          <w:sz w:val="22"/>
          <w:szCs w:val="22"/>
        </w:rPr>
        <w:t xml:space="preserve">I henhold til en studie på gravide var det ingen større risiko for </w:t>
      </w:r>
      <w:r w:rsidR="00CF2078">
        <w:rPr>
          <w:sz w:val="22"/>
          <w:szCs w:val="22"/>
        </w:rPr>
        <w:t>fosterskader</w:t>
      </w:r>
      <w:r>
        <w:rPr>
          <w:sz w:val="22"/>
          <w:szCs w:val="22"/>
        </w:rPr>
        <w:t xml:space="preserve"> når moren hadde fått Humira under graviditet sammenlignet med mødre med den samme sykdommen som ikke hadde fått Humira.</w:t>
      </w:r>
    </w:p>
    <w:p w14:paraId="4DFD6037" w14:textId="77777777" w:rsidR="00B33BEC" w:rsidRPr="00D35625" w:rsidRDefault="00E453CD" w:rsidP="00D35625">
      <w:pPr>
        <w:pStyle w:val="ListParagraph"/>
        <w:numPr>
          <w:ilvl w:val="0"/>
          <w:numId w:val="147"/>
        </w:numPr>
        <w:suppressAutoHyphens/>
        <w:rPr>
          <w:sz w:val="22"/>
          <w:szCs w:val="22"/>
        </w:rPr>
      </w:pPr>
      <w:r>
        <w:rPr>
          <w:sz w:val="22"/>
          <w:szCs w:val="22"/>
        </w:rPr>
        <w:t>Humira kan brukes under amming.</w:t>
      </w:r>
    </w:p>
    <w:p w14:paraId="0C60F8CC" w14:textId="77777777" w:rsidR="00446CD7" w:rsidRPr="00D35625" w:rsidRDefault="00E453CD" w:rsidP="00446CD7">
      <w:pPr>
        <w:pStyle w:val="ListParagraph"/>
        <w:numPr>
          <w:ilvl w:val="0"/>
          <w:numId w:val="147"/>
        </w:numPr>
        <w:suppressAutoHyphens/>
        <w:rPr>
          <w:sz w:val="22"/>
          <w:szCs w:val="22"/>
        </w:rPr>
      </w:pPr>
      <w:r w:rsidRPr="00D35625">
        <w:rPr>
          <w:sz w:val="22"/>
          <w:szCs w:val="22"/>
        </w:rPr>
        <w:t xml:space="preserve">Dersom du bruker Humira under graviditet, kan spedbarnet ditt ha høyere risiko for å få en infeksjon. </w:t>
      </w:r>
    </w:p>
    <w:p w14:paraId="7F356347" w14:textId="77777777" w:rsidR="00B33BEC" w:rsidRPr="00D35625" w:rsidRDefault="00E453CD" w:rsidP="00D35625">
      <w:pPr>
        <w:pStyle w:val="ListParagraph"/>
        <w:numPr>
          <w:ilvl w:val="0"/>
          <w:numId w:val="147"/>
        </w:numPr>
        <w:suppressAutoHyphens/>
        <w:rPr>
          <w:sz w:val="22"/>
          <w:szCs w:val="22"/>
        </w:rPr>
      </w:pPr>
      <w:r w:rsidRPr="00D35625">
        <w:rPr>
          <w:sz w:val="22"/>
          <w:szCs w:val="22"/>
        </w:rPr>
        <w:t xml:space="preserve">Det er viktig at du forteller </w:t>
      </w:r>
      <w:r w:rsidR="00166342" w:rsidRPr="00166342">
        <w:rPr>
          <w:sz w:val="22"/>
          <w:szCs w:val="22"/>
        </w:rPr>
        <w:t>legen til spedbarnet ditt</w:t>
      </w:r>
      <w:r w:rsidRPr="00D35625">
        <w:rPr>
          <w:sz w:val="22"/>
          <w:szCs w:val="22"/>
        </w:rPr>
        <w:t xml:space="preserve"> og annet helsepersonell </w:t>
      </w:r>
      <w:r w:rsidR="00166342">
        <w:rPr>
          <w:sz w:val="22"/>
          <w:szCs w:val="22"/>
        </w:rPr>
        <w:t>om</w:t>
      </w:r>
      <w:r w:rsidRPr="00D35625">
        <w:rPr>
          <w:sz w:val="22"/>
          <w:szCs w:val="22"/>
        </w:rPr>
        <w:t xml:space="preserve"> </w:t>
      </w:r>
      <w:r w:rsidR="00B904B8">
        <w:rPr>
          <w:sz w:val="22"/>
          <w:szCs w:val="22"/>
        </w:rPr>
        <w:t xml:space="preserve">din </w:t>
      </w:r>
      <w:r w:rsidRPr="00D35625">
        <w:rPr>
          <w:sz w:val="22"/>
          <w:szCs w:val="22"/>
        </w:rPr>
        <w:t>bruk</w:t>
      </w:r>
      <w:r w:rsidR="00166342">
        <w:rPr>
          <w:sz w:val="22"/>
          <w:szCs w:val="22"/>
        </w:rPr>
        <w:t xml:space="preserve"> av</w:t>
      </w:r>
      <w:r w:rsidRPr="00D35625">
        <w:rPr>
          <w:sz w:val="22"/>
          <w:szCs w:val="22"/>
        </w:rPr>
        <w:t xml:space="preserve"> Humira under graviditeten før </w:t>
      </w:r>
      <w:r w:rsidR="00900FF9">
        <w:rPr>
          <w:sz w:val="22"/>
          <w:szCs w:val="22"/>
        </w:rPr>
        <w:t>sped</w:t>
      </w:r>
      <w:r w:rsidRPr="00D35625">
        <w:rPr>
          <w:sz w:val="22"/>
          <w:szCs w:val="22"/>
        </w:rPr>
        <w:t>barnet vaksineres. For mer informasjon om vaksiner</w:t>
      </w:r>
      <w:r w:rsidR="007D515C">
        <w:rPr>
          <w:sz w:val="22"/>
          <w:szCs w:val="22"/>
        </w:rPr>
        <w:t>, se avsnittet «Advarsler og forsiktighetsregler»</w:t>
      </w:r>
      <w:r w:rsidRPr="009C5EFD">
        <w:t>.</w:t>
      </w:r>
    </w:p>
    <w:p w14:paraId="3E2E8B56" w14:textId="77777777" w:rsidR="00B33BEC" w:rsidRPr="009C5EFD" w:rsidRDefault="00B33BEC" w:rsidP="00B33BEC">
      <w:pPr>
        <w:rPr>
          <w:sz w:val="22"/>
          <w:szCs w:val="22"/>
        </w:rPr>
      </w:pPr>
    </w:p>
    <w:p w14:paraId="1AA4357D" w14:textId="77777777" w:rsidR="00B33BEC" w:rsidRPr="009C5EFD" w:rsidRDefault="00E453CD" w:rsidP="00776A84">
      <w:pPr>
        <w:keepNext/>
        <w:suppressAutoHyphens/>
        <w:rPr>
          <w:b/>
          <w:sz w:val="22"/>
          <w:szCs w:val="22"/>
        </w:rPr>
      </w:pPr>
      <w:r w:rsidRPr="009C5EFD">
        <w:rPr>
          <w:b/>
          <w:sz w:val="22"/>
          <w:szCs w:val="22"/>
        </w:rPr>
        <w:t>Kjøring og bruk av maskiner</w:t>
      </w:r>
    </w:p>
    <w:p w14:paraId="28A4CEAF" w14:textId="77777777" w:rsidR="00B33BEC" w:rsidRPr="00B33BEC" w:rsidRDefault="00B33BEC" w:rsidP="00776A84">
      <w:pPr>
        <w:keepNext/>
        <w:suppressAutoHyphens/>
        <w:rPr>
          <w:sz w:val="22"/>
          <w:szCs w:val="22"/>
        </w:rPr>
      </w:pPr>
    </w:p>
    <w:p w14:paraId="5599D3FC" w14:textId="77777777" w:rsidR="00B33BEC" w:rsidRPr="009C5EFD" w:rsidRDefault="00E453CD" w:rsidP="00B33BEC">
      <w:pPr>
        <w:suppressAutoHyphens/>
        <w:rPr>
          <w:sz w:val="22"/>
          <w:szCs w:val="22"/>
        </w:rPr>
      </w:pPr>
      <w:r w:rsidRPr="009C5EFD">
        <w:rPr>
          <w:sz w:val="22"/>
          <w:szCs w:val="22"/>
        </w:rPr>
        <w:t>Humira kan ha en liten påvirkning på evnen til å kjøre bil, sykkel eller bruke maskiner. Svimmelhet og synsforstyrrelse kan oppstå etter injeksjon av Humira.</w:t>
      </w:r>
    </w:p>
    <w:p w14:paraId="09663E2C" w14:textId="77777777" w:rsidR="00B33BEC" w:rsidRDefault="00B33BEC" w:rsidP="00B33BEC">
      <w:pPr>
        <w:pStyle w:val="EndnoteText"/>
        <w:widowControl/>
        <w:tabs>
          <w:tab w:val="clear" w:pos="567"/>
          <w:tab w:val="left" w:pos="708"/>
        </w:tabs>
        <w:suppressAutoHyphens/>
        <w:rPr>
          <w:ins w:id="17640" w:author="AbbVie02no" w:date="2025-05-15T14:22:00Z"/>
          <w:szCs w:val="22"/>
          <w:lang w:val="nb-NO"/>
        </w:rPr>
      </w:pPr>
    </w:p>
    <w:p w14:paraId="71305BC8" w14:textId="4F6658B6" w:rsidR="00A6493F" w:rsidRDefault="00E453CD" w:rsidP="00B33BEC">
      <w:pPr>
        <w:pStyle w:val="EndnoteText"/>
        <w:widowControl/>
        <w:tabs>
          <w:tab w:val="clear" w:pos="567"/>
          <w:tab w:val="left" w:pos="708"/>
        </w:tabs>
        <w:suppressAutoHyphens/>
        <w:rPr>
          <w:ins w:id="17641" w:author="AbbVie02no" w:date="2025-05-15T14:22:00Z"/>
          <w:b/>
          <w:bCs/>
          <w:szCs w:val="22"/>
          <w:lang w:val="nb-NO"/>
        </w:rPr>
      </w:pPr>
      <w:ins w:id="17642" w:author="AbbVie02no" w:date="2025-05-15T14:22:00Z">
        <w:r>
          <w:rPr>
            <w:b/>
            <w:bCs/>
            <w:szCs w:val="22"/>
            <w:lang w:val="nb-NO"/>
          </w:rPr>
          <w:t>Humira inneholder polysorbat</w:t>
        </w:r>
      </w:ins>
    </w:p>
    <w:p w14:paraId="39910EA7" w14:textId="77777777" w:rsidR="00A6493F" w:rsidRDefault="00A6493F" w:rsidP="00B33BEC">
      <w:pPr>
        <w:pStyle w:val="EndnoteText"/>
        <w:widowControl/>
        <w:tabs>
          <w:tab w:val="clear" w:pos="567"/>
          <w:tab w:val="left" w:pos="708"/>
        </w:tabs>
        <w:suppressAutoHyphens/>
        <w:rPr>
          <w:ins w:id="17643" w:author="AbbVie02no" w:date="2025-05-15T14:22:00Z"/>
          <w:b/>
          <w:bCs/>
          <w:szCs w:val="22"/>
          <w:lang w:val="nb-NO"/>
        </w:rPr>
      </w:pPr>
    </w:p>
    <w:p w14:paraId="57FD1E8A" w14:textId="0E6EC04A" w:rsidR="00A6493F" w:rsidRPr="00A6493F" w:rsidRDefault="00E453CD" w:rsidP="00B33BEC">
      <w:pPr>
        <w:pStyle w:val="EndnoteText"/>
        <w:widowControl/>
        <w:tabs>
          <w:tab w:val="clear" w:pos="567"/>
          <w:tab w:val="left" w:pos="708"/>
        </w:tabs>
        <w:suppressAutoHyphens/>
        <w:rPr>
          <w:szCs w:val="22"/>
          <w:lang w:val="nb-NO"/>
        </w:rPr>
      </w:pPr>
      <w:ins w:id="17644" w:author="AbbVie02no" w:date="2025-05-15T14:22:00Z">
        <w:r>
          <w:rPr>
            <w:szCs w:val="22"/>
            <w:lang w:val="nb-NO"/>
          </w:rPr>
          <w:t>Dette legemidl</w:t>
        </w:r>
      </w:ins>
      <w:ins w:id="17645" w:author="AbbVie02no" w:date="2025-05-15T14:23:00Z">
        <w:r>
          <w:rPr>
            <w:szCs w:val="22"/>
            <w:lang w:val="nb-NO"/>
          </w:rPr>
          <w:t>et inneholder 0,4 mg polysorbat 80 i hver 40 mg dose. Polysorbater kan forårsake allergiske reaksjoner. Fortell legen din dersom du har</w:t>
        </w:r>
      </w:ins>
      <w:ins w:id="17646" w:author="AbbVie02no" w:date="2025-05-15T14:24:00Z">
        <w:r>
          <w:rPr>
            <w:szCs w:val="22"/>
            <w:lang w:val="nb-NO"/>
          </w:rPr>
          <w:t xml:space="preserve"> noen</w:t>
        </w:r>
      </w:ins>
      <w:ins w:id="17647" w:author="AbbVie02no" w:date="2025-05-15T14:23:00Z">
        <w:r>
          <w:rPr>
            <w:szCs w:val="22"/>
            <w:lang w:val="nb-NO"/>
          </w:rPr>
          <w:t xml:space="preserve"> kjente allergier.</w:t>
        </w:r>
      </w:ins>
    </w:p>
    <w:p w14:paraId="326BC65F" w14:textId="77777777" w:rsidR="00B33BEC" w:rsidRDefault="00B33BEC" w:rsidP="00B33BEC">
      <w:pPr>
        <w:suppressAutoHyphens/>
        <w:rPr>
          <w:ins w:id="17648" w:author="AbbVie02no" w:date="2025-05-15T14:24:00Z"/>
          <w:sz w:val="22"/>
          <w:szCs w:val="22"/>
        </w:rPr>
      </w:pPr>
    </w:p>
    <w:p w14:paraId="3B71C522" w14:textId="77777777" w:rsidR="00A6493F" w:rsidRPr="009C5EFD" w:rsidRDefault="00A6493F" w:rsidP="00B33BEC">
      <w:pPr>
        <w:suppressAutoHyphens/>
        <w:rPr>
          <w:sz w:val="22"/>
          <w:szCs w:val="22"/>
        </w:rPr>
      </w:pPr>
    </w:p>
    <w:p w14:paraId="6BA600AD" w14:textId="77777777" w:rsidR="00B33BEC" w:rsidRPr="009C5EFD" w:rsidRDefault="00E453CD" w:rsidP="00776A84">
      <w:pPr>
        <w:keepNext/>
        <w:suppressAutoHyphens/>
        <w:ind w:left="567" w:hanging="567"/>
        <w:rPr>
          <w:sz w:val="22"/>
          <w:szCs w:val="22"/>
        </w:rPr>
      </w:pPr>
      <w:r w:rsidRPr="009C5EFD">
        <w:rPr>
          <w:b/>
          <w:sz w:val="22"/>
          <w:szCs w:val="22"/>
        </w:rPr>
        <w:t>3.</w:t>
      </w:r>
      <w:r w:rsidRPr="009C5EFD">
        <w:rPr>
          <w:b/>
          <w:sz w:val="22"/>
          <w:szCs w:val="22"/>
        </w:rPr>
        <w:tab/>
        <w:t>Hvordan du bruker Humira</w:t>
      </w:r>
    </w:p>
    <w:p w14:paraId="5A74E8B4" w14:textId="77777777" w:rsidR="00B33BEC" w:rsidRPr="009C5EFD" w:rsidRDefault="00B33BEC" w:rsidP="00776A84">
      <w:pPr>
        <w:keepNext/>
        <w:rPr>
          <w:sz w:val="22"/>
          <w:szCs w:val="22"/>
        </w:rPr>
      </w:pPr>
    </w:p>
    <w:p w14:paraId="521024F8" w14:textId="77777777" w:rsidR="00B33BEC" w:rsidRDefault="00E453CD" w:rsidP="00B33BEC">
      <w:pPr>
        <w:pStyle w:val="BodyText2"/>
        <w:suppressAutoHyphens/>
        <w:autoSpaceDE/>
        <w:adjustRightInd/>
        <w:rPr>
          <w:color w:val="auto"/>
          <w:szCs w:val="22"/>
        </w:rPr>
      </w:pPr>
      <w:r w:rsidRPr="009C5EFD">
        <w:rPr>
          <w:color w:val="auto"/>
          <w:szCs w:val="22"/>
        </w:rPr>
        <w:t>Bruk alltid dette legemidlet nøyaktig slik legen eller apotek har fortalt deg. Kontakt lege</w:t>
      </w:r>
      <w:r>
        <w:rPr>
          <w:color w:val="auto"/>
          <w:szCs w:val="22"/>
        </w:rPr>
        <w:t>n din</w:t>
      </w:r>
      <w:r w:rsidRPr="009C5EFD">
        <w:rPr>
          <w:color w:val="auto"/>
          <w:szCs w:val="22"/>
        </w:rPr>
        <w:t xml:space="preserve"> eller apotek hvis du er usikker.</w:t>
      </w:r>
    </w:p>
    <w:p w14:paraId="5067274B" w14:textId="77777777" w:rsidR="00B33BEC" w:rsidRDefault="00B33BEC" w:rsidP="00B33BEC">
      <w:pPr>
        <w:pStyle w:val="BodyText2"/>
        <w:suppressAutoHyphens/>
        <w:autoSpaceDE/>
        <w:adjustRightInd/>
        <w:rPr>
          <w:color w:val="auto"/>
          <w:szCs w:val="22"/>
        </w:rPr>
      </w:pPr>
    </w:p>
    <w:p w14:paraId="205B42FD" w14:textId="77777777" w:rsidR="00B33BEC" w:rsidRPr="009C5EFD" w:rsidRDefault="00E453CD" w:rsidP="00B33BEC">
      <w:pPr>
        <w:pStyle w:val="BodyText2"/>
        <w:suppressAutoHyphens/>
        <w:autoSpaceDE/>
        <w:adjustRightInd/>
        <w:rPr>
          <w:color w:val="auto"/>
          <w:szCs w:val="22"/>
        </w:rPr>
      </w:pPr>
      <w:r>
        <w:rPr>
          <w:szCs w:val="22"/>
        </w:rPr>
        <w:t>Anbefalte doser med Humira for hvert godkjent bruksområde er vist i tabellen under.</w:t>
      </w:r>
      <w:r w:rsidRPr="009C5EFD">
        <w:rPr>
          <w:color w:val="auto"/>
          <w:szCs w:val="22"/>
        </w:rPr>
        <w:t xml:space="preserve"> </w:t>
      </w:r>
      <w:r>
        <w:rPr>
          <w:szCs w:val="22"/>
        </w:rPr>
        <w:t>Legen din kan forskrive en annen styrke av Humira dersom du trenger en annen dose.</w:t>
      </w:r>
    </w:p>
    <w:p w14:paraId="6825961C" w14:textId="77777777" w:rsidR="00B33BEC" w:rsidRPr="009C5EFD" w:rsidRDefault="00B33BEC" w:rsidP="00B33BEC">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3"/>
        <w:gridCol w:w="3024"/>
      </w:tblGrid>
      <w:tr w:rsidR="004644D4" w14:paraId="6B4C7876" w14:textId="77777777" w:rsidTr="00972FC0">
        <w:tc>
          <w:tcPr>
            <w:tcW w:w="9287" w:type="dxa"/>
            <w:gridSpan w:val="3"/>
          </w:tcPr>
          <w:p w14:paraId="04FCA4D7" w14:textId="77777777" w:rsidR="00B33BEC" w:rsidRPr="00887835" w:rsidRDefault="00E453CD" w:rsidP="00972FC0">
            <w:pPr>
              <w:keepNext/>
              <w:numPr>
                <w:ilvl w:val="12"/>
                <w:numId w:val="0"/>
              </w:numPr>
              <w:suppressAutoHyphens/>
              <w:ind w:right="-2"/>
              <w:rPr>
                <w:b/>
                <w:sz w:val="22"/>
                <w:szCs w:val="22"/>
              </w:rPr>
            </w:pPr>
            <w:r w:rsidRPr="007830E7">
              <w:rPr>
                <w:b/>
                <w:sz w:val="22"/>
                <w:szCs w:val="22"/>
              </w:rPr>
              <w:lastRenderedPageBreak/>
              <w:t>R</w:t>
            </w:r>
            <w:r w:rsidRPr="00887835">
              <w:rPr>
                <w:b/>
                <w:sz w:val="22"/>
                <w:szCs w:val="22"/>
              </w:rPr>
              <w:t>evmatoid artritt, psoriasisartritt, Bekhterevs sykdom eller aksial spondylartritt uten radiografisk bekreftelse på ankyloserende spondylitt</w:t>
            </w:r>
          </w:p>
        </w:tc>
      </w:tr>
      <w:tr w:rsidR="004644D4" w14:paraId="2ED6C80D" w14:textId="77777777" w:rsidTr="00972FC0">
        <w:tc>
          <w:tcPr>
            <w:tcW w:w="3095" w:type="dxa"/>
          </w:tcPr>
          <w:p w14:paraId="6FB63516" w14:textId="77777777" w:rsidR="00B33BEC" w:rsidRPr="007830E7" w:rsidRDefault="00E453CD" w:rsidP="00972FC0">
            <w:pPr>
              <w:keepNext/>
              <w:numPr>
                <w:ilvl w:val="12"/>
                <w:numId w:val="0"/>
              </w:numPr>
              <w:suppressAutoHyphens/>
              <w:ind w:right="-2"/>
              <w:rPr>
                <w:sz w:val="22"/>
                <w:szCs w:val="22"/>
                <w:lang w:val="en-GB"/>
              </w:rPr>
            </w:pPr>
            <w:r w:rsidRPr="007830E7">
              <w:rPr>
                <w:b/>
                <w:sz w:val="22"/>
                <w:szCs w:val="22"/>
                <w:lang w:val="en-US"/>
              </w:rPr>
              <w:t>Alder eller kroppsvekt</w:t>
            </w:r>
          </w:p>
        </w:tc>
        <w:tc>
          <w:tcPr>
            <w:tcW w:w="3096" w:type="dxa"/>
          </w:tcPr>
          <w:p w14:paraId="3C1F6E53" w14:textId="77777777" w:rsidR="00B33BEC" w:rsidRPr="00887835" w:rsidRDefault="00E453CD" w:rsidP="00972FC0">
            <w:pPr>
              <w:keepNext/>
              <w:numPr>
                <w:ilvl w:val="12"/>
                <w:numId w:val="0"/>
              </w:numPr>
              <w:suppressAutoHyphens/>
              <w:ind w:right="-2"/>
              <w:rPr>
                <w:sz w:val="22"/>
                <w:szCs w:val="22"/>
              </w:rPr>
            </w:pPr>
            <w:r w:rsidRPr="00887835">
              <w:rPr>
                <w:b/>
                <w:sz w:val="22"/>
                <w:szCs w:val="22"/>
              </w:rPr>
              <w:t xml:space="preserve">Hvor mye og hvor ofte </w:t>
            </w:r>
            <w:r w:rsidRPr="007830E7">
              <w:rPr>
                <w:b/>
                <w:sz w:val="22"/>
                <w:szCs w:val="22"/>
              </w:rPr>
              <w:t xml:space="preserve">du </w:t>
            </w:r>
            <w:r w:rsidRPr="000B0B5B">
              <w:rPr>
                <w:b/>
                <w:sz w:val="22"/>
                <w:szCs w:val="22"/>
              </w:rPr>
              <w:t>skal ta</w:t>
            </w:r>
            <w:r w:rsidRPr="00887835">
              <w:rPr>
                <w:b/>
                <w:sz w:val="22"/>
                <w:szCs w:val="22"/>
              </w:rPr>
              <w:t>?</w:t>
            </w:r>
          </w:p>
        </w:tc>
        <w:tc>
          <w:tcPr>
            <w:tcW w:w="3096" w:type="dxa"/>
          </w:tcPr>
          <w:p w14:paraId="1CD83E32" w14:textId="77777777" w:rsidR="00B33BEC" w:rsidRPr="007830E7" w:rsidRDefault="00E453CD" w:rsidP="00972FC0">
            <w:pPr>
              <w:keepNext/>
              <w:numPr>
                <w:ilvl w:val="12"/>
                <w:numId w:val="0"/>
              </w:numPr>
              <w:suppressAutoHyphens/>
              <w:ind w:right="-2"/>
              <w:rPr>
                <w:sz w:val="22"/>
                <w:szCs w:val="22"/>
                <w:lang w:val="en-GB"/>
              </w:rPr>
            </w:pPr>
            <w:r w:rsidRPr="007830E7">
              <w:rPr>
                <w:b/>
                <w:sz w:val="22"/>
                <w:szCs w:val="22"/>
                <w:lang w:val="en-US"/>
              </w:rPr>
              <w:t>Merknader</w:t>
            </w:r>
          </w:p>
        </w:tc>
      </w:tr>
      <w:tr w:rsidR="004644D4" w14:paraId="362BA75F" w14:textId="77777777" w:rsidTr="00972FC0">
        <w:tc>
          <w:tcPr>
            <w:tcW w:w="3095" w:type="dxa"/>
          </w:tcPr>
          <w:p w14:paraId="00C563EF" w14:textId="77777777" w:rsidR="00B33BEC" w:rsidRPr="00F341B0" w:rsidRDefault="00E453CD" w:rsidP="00972FC0">
            <w:pPr>
              <w:keepNext/>
              <w:numPr>
                <w:ilvl w:val="12"/>
                <w:numId w:val="0"/>
              </w:numPr>
              <w:suppressAutoHyphens/>
              <w:ind w:right="-2"/>
              <w:rPr>
                <w:sz w:val="22"/>
                <w:szCs w:val="22"/>
                <w:lang w:val="en-GB"/>
              </w:rPr>
            </w:pPr>
            <w:r w:rsidRPr="001A1AC5">
              <w:rPr>
                <w:sz w:val="22"/>
                <w:szCs w:val="22"/>
                <w:lang w:val="en-US"/>
              </w:rPr>
              <w:t>Voksne</w:t>
            </w:r>
          </w:p>
        </w:tc>
        <w:tc>
          <w:tcPr>
            <w:tcW w:w="3096" w:type="dxa"/>
          </w:tcPr>
          <w:p w14:paraId="2F9766B2" w14:textId="77777777" w:rsidR="00B33BEC" w:rsidRPr="007830E7" w:rsidRDefault="00E453CD" w:rsidP="00972FC0">
            <w:pPr>
              <w:keepNext/>
              <w:numPr>
                <w:ilvl w:val="12"/>
                <w:numId w:val="0"/>
              </w:numPr>
              <w:suppressAutoHyphens/>
              <w:ind w:right="-2"/>
              <w:rPr>
                <w:sz w:val="22"/>
                <w:szCs w:val="22"/>
                <w:lang w:val="en-GB"/>
              </w:rPr>
            </w:pPr>
            <w:r w:rsidRPr="002E73E5">
              <w:rPr>
                <w:sz w:val="22"/>
                <w:szCs w:val="22"/>
                <w:lang w:val="en-US"/>
              </w:rPr>
              <w:t xml:space="preserve">40 mg </w:t>
            </w:r>
            <w:r w:rsidRPr="007830E7">
              <w:rPr>
                <w:sz w:val="22"/>
                <w:szCs w:val="22"/>
              </w:rPr>
              <w:t>annenhver uke</w:t>
            </w:r>
          </w:p>
        </w:tc>
        <w:tc>
          <w:tcPr>
            <w:tcW w:w="3096" w:type="dxa"/>
          </w:tcPr>
          <w:p w14:paraId="5E4B8E35" w14:textId="77777777" w:rsidR="00B33BEC" w:rsidRDefault="00E453CD" w:rsidP="00972FC0">
            <w:pPr>
              <w:keepNext/>
              <w:tabs>
                <w:tab w:val="left" w:pos="562"/>
              </w:tabs>
              <w:suppressAutoHyphens/>
              <w:rPr>
                <w:sz w:val="22"/>
                <w:szCs w:val="22"/>
              </w:rPr>
            </w:pPr>
            <w:r w:rsidRPr="00887835">
              <w:rPr>
                <w:sz w:val="22"/>
                <w:szCs w:val="22"/>
              </w:rPr>
              <w:t>Ved revmatoid artritt fortsetter behandlingen med metotreksat mens du bruker</w:t>
            </w:r>
            <w:r w:rsidRPr="007830E7">
              <w:rPr>
                <w:sz w:val="22"/>
                <w:szCs w:val="22"/>
              </w:rPr>
              <w:t xml:space="preserve"> Humira. Hvis legen din bestemmer</w:t>
            </w:r>
            <w:r w:rsidRPr="00887835">
              <w:rPr>
                <w:sz w:val="22"/>
                <w:szCs w:val="22"/>
              </w:rPr>
              <w:t xml:space="preserve"> at metotreksat ikke er egnet, kan Humira gis alene.</w:t>
            </w:r>
          </w:p>
          <w:p w14:paraId="139B80E7" w14:textId="77777777" w:rsidR="00B33BEC" w:rsidRPr="00887835" w:rsidRDefault="00B33BEC" w:rsidP="00972FC0">
            <w:pPr>
              <w:keepNext/>
              <w:tabs>
                <w:tab w:val="left" w:pos="562"/>
              </w:tabs>
              <w:suppressAutoHyphens/>
              <w:rPr>
                <w:sz w:val="22"/>
                <w:szCs w:val="22"/>
              </w:rPr>
            </w:pPr>
          </w:p>
          <w:p w14:paraId="4FACE074" w14:textId="77777777" w:rsidR="00B33BEC" w:rsidRPr="00887835" w:rsidRDefault="00E453CD" w:rsidP="00972FC0">
            <w:pPr>
              <w:keepNext/>
              <w:numPr>
                <w:ilvl w:val="12"/>
                <w:numId w:val="0"/>
              </w:numPr>
              <w:suppressAutoHyphens/>
              <w:ind w:right="-2"/>
              <w:rPr>
                <w:sz w:val="22"/>
                <w:szCs w:val="22"/>
              </w:rPr>
            </w:pPr>
            <w:r w:rsidRPr="00887835">
              <w:rPr>
                <w:sz w:val="22"/>
                <w:szCs w:val="22"/>
              </w:rPr>
              <w:t xml:space="preserve">Hvis du har revmatoid artritt og ikke får behandling med metotreksat mens du behandles med Humira, kan legen din bestemme å gi deg 40 mg </w:t>
            </w:r>
            <w:r>
              <w:rPr>
                <w:sz w:val="22"/>
                <w:szCs w:val="22"/>
              </w:rPr>
              <w:t>Humira</w:t>
            </w:r>
            <w:r w:rsidRPr="00887835">
              <w:rPr>
                <w:sz w:val="22"/>
                <w:szCs w:val="22"/>
              </w:rPr>
              <w:t xml:space="preserve"> hver uke</w:t>
            </w:r>
            <w:r w:rsidR="00924BD4">
              <w:rPr>
                <w:sz w:val="22"/>
                <w:szCs w:val="22"/>
              </w:rPr>
              <w:t xml:space="preserve"> eller 80 mg annenhver uke</w:t>
            </w:r>
            <w:r w:rsidRPr="00887835">
              <w:rPr>
                <w:sz w:val="22"/>
                <w:szCs w:val="22"/>
              </w:rPr>
              <w:t xml:space="preserve">. </w:t>
            </w:r>
          </w:p>
        </w:tc>
      </w:tr>
    </w:tbl>
    <w:p w14:paraId="43C0AA33" w14:textId="77777777" w:rsidR="00B33BEC" w:rsidRPr="009C5EFD" w:rsidRDefault="00B33BEC" w:rsidP="00B33BEC">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4"/>
        <w:gridCol w:w="3021"/>
      </w:tblGrid>
      <w:tr w:rsidR="004644D4" w14:paraId="4013FE53" w14:textId="77777777" w:rsidTr="00972FC0">
        <w:tc>
          <w:tcPr>
            <w:tcW w:w="9287" w:type="dxa"/>
            <w:gridSpan w:val="3"/>
          </w:tcPr>
          <w:p w14:paraId="514E3354" w14:textId="77777777" w:rsidR="00B33BEC" w:rsidRPr="00887835" w:rsidRDefault="00E453CD" w:rsidP="00972FC0">
            <w:pPr>
              <w:numPr>
                <w:ilvl w:val="12"/>
                <w:numId w:val="0"/>
              </w:numPr>
              <w:ind w:right="-2"/>
              <w:rPr>
                <w:sz w:val="22"/>
                <w:szCs w:val="22"/>
                <w:lang w:val="en-GB"/>
              </w:rPr>
            </w:pPr>
            <w:r w:rsidRPr="00887835">
              <w:rPr>
                <w:b/>
                <w:sz w:val="22"/>
                <w:szCs w:val="22"/>
                <w:lang w:val="en-GB"/>
              </w:rPr>
              <w:t>Polyartikulær juvenil idiopatisk artritt</w:t>
            </w:r>
          </w:p>
        </w:tc>
      </w:tr>
      <w:tr w:rsidR="004644D4" w14:paraId="02751A50" w14:textId="77777777" w:rsidTr="00972FC0">
        <w:tc>
          <w:tcPr>
            <w:tcW w:w="3095" w:type="dxa"/>
          </w:tcPr>
          <w:p w14:paraId="5A1083B4" w14:textId="77777777" w:rsidR="00B33BEC" w:rsidRPr="00887835" w:rsidRDefault="00E453CD" w:rsidP="00972FC0">
            <w:pPr>
              <w:numPr>
                <w:ilvl w:val="12"/>
                <w:numId w:val="0"/>
              </w:numPr>
              <w:ind w:right="-2"/>
              <w:rPr>
                <w:sz w:val="22"/>
                <w:szCs w:val="22"/>
                <w:lang w:val="en-GB"/>
              </w:rPr>
            </w:pPr>
            <w:r w:rsidRPr="007830E7">
              <w:rPr>
                <w:b/>
                <w:sz w:val="22"/>
                <w:szCs w:val="22"/>
                <w:lang w:val="en-US"/>
              </w:rPr>
              <w:t>Alder eller kroppsvekt</w:t>
            </w:r>
          </w:p>
        </w:tc>
        <w:tc>
          <w:tcPr>
            <w:tcW w:w="3096" w:type="dxa"/>
          </w:tcPr>
          <w:p w14:paraId="46996A28" w14:textId="77777777" w:rsidR="00B33BEC" w:rsidRPr="00887835" w:rsidRDefault="00E453CD" w:rsidP="00972FC0">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6" w:type="dxa"/>
          </w:tcPr>
          <w:p w14:paraId="068A4B3D" w14:textId="77777777" w:rsidR="00B33BEC" w:rsidRPr="00887835" w:rsidRDefault="00E453CD" w:rsidP="00972FC0">
            <w:pPr>
              <w:numPr>
                <w:ilvl w:val="12"/>
                <w:numId w:val="0"/>
              </w:numPr>
              <w:ind w:right="-2"/>
              <w:rPr>
                <w:sz w:val="22"/>
                <w:szCs w:val="22"/>
                <w:lang w:val="en-GB"/>
              </w:rPr>
            </w:pPr>
            <w:r w:rsidRPr="007830E7">
              <w:rPr>
                <w:b/>
                <w:sz w:val="22"/>
                <w:szCs w:val="22"/>
                <w:lang w:val="en-US"/>
              </w:rPr>
              <w:t>Merknader</w:t>
            </w:r>
          </w:p>
        </w:tc>
      </w:tr>
      <w:tr w:rsidR="004644D4" w14:paraId="74231026" w14:textId="77777777" w:rsidTr="00972FC0">
        <w:tc>
          <w:tcPr>
            <w:tcW w:w="3095" w:type="dxa"/>
          </w:tcPr>
          <w:p w14:paraId="617F168C" w14:textId="77777777" w:rsidR="00B33BEC" w:rsidRPr="00887835" w:rsidRDefault="00E453CD" w:rsidP="00972FC0">
            <w:pPr>
              <w:numPr>
                <w:ilvl w:val="12"/>
                <w:numId w:val="0"/>
              </w:numPr>
              <w:ind w:right="-2"/>
              <w:rPr>
                <w:sz w:val="22"/>
                <w:szCs w:val="22"/>
              </w:rPr>
            </w:pPr>
            <w:r>
              <w:rPr>
                <w:sz w:val="22"/>
                <w:szCs w:val="22"/>
              </w:rPr>
              <w:t>Barn, u</w:t>
            </w:r>
            <w:r w:rsidRPr="00887835">
              <w:rPr>
                <w:sz w:val="22"/>
                <w:szCs w:val="22"/>
              </w:rPr>
              <w:t xml:space="preserve">ngdom og voksne </w:t>
            </w:r>
            <w:r>
              <w:rPr>
                <w:sz w:val="22"/>
                <w:szCs w:val="22"/>
              </w:rPr>
              <w:t>over</w:t>
            </w:r>
            <w:r w:rsidRPr="00887835">
              <w:rPr>
                <w:sz w:val="22"/>
                <w:szCs w:val="22"/>
              </w:rPr>
              <w:t xml:space="preserve"> </w:t>
            </w:r>
            <w:r>
              <w:rPr>
                <w:sz w:val="22"/>
                <w:szCs w:val="22"/>
              </w:rPr>
              <w:t>2</w:t>
            </w:r>
            <w:r w:rsidRPr="00887835">
              <w:rPr>
                <w:sz w:val="22"/>
                <w:szCs w:val="22"/>
              </w:rPr>
              <w:t xml:space="preserve"> år</w:t>
            </w:r>
            <w:r>
              <w:rPr>
                <w:sz w:val="22"/>
                <w:szCs w:val="22"/>
              </w:rPr>
              <w:t xml:space="preserve"> som veier 30 kg eller mer</w:t>
            </w:r>
          </w:p>
        </w:tc>
        <w:tc>
          <w:tcPr>
            <w:tcW w:w="3096" w:type="dxa"/>
          </w:tcPr>
          <w:p w14:paraId="6390EE7F" w14:textId="77777777" w:rsidR="00B33BEC" w:rsidRPr="00887835" w:rsidRDefault="00E453CD" w:rsidP="00972FC0">
            <w:pPr>
              <w:numPr>
                <w:ilvl w:val="12"/>
                <w:numId w:val="0"/>
              </w:numPr>
              <w:ind w:right="-2"/>
              <w:rPr>
                <w:sz w:val="22"/>
                <w:szCs w:val="22"/>
                <w:lang w:val="en-GB"/>
              </w:rPr>
            </w:pPr>
            <w:r w:rsidRPr="004C7F6D">
              <w:rPr>
                <w:sz w:val="22"/>
                <w:szCs w:val="22"/>
                <w:lang w:val="en-US"/>
              </w:rPr>
              <w:t xml:space="preserve">40 mg </w:t>
            </w:r>
            <w:r w:rsidRPr="004C7F6D">
              <w:rPr>
                <w:sz w:val="22"/>
                <w:szCs w:val="22"/>
              </w:rPr>
              <w:t>annenhver uke</w:t>
            </w:r>
          </w:p>
        </w:tc>
        <w:tc>
          <w:tcPr>
            <w:tcW w:w="3096" w:type="dxa"/>
          </w:tcPr>
          <w:p w14:paraId="4A1A75B9" w14:textId="77777777" w:rsidR="00B33BEC" w:rsidRPr="00887835" w:rsidRDefault="00E453CD" w:rsidP="00972FC0">
            <w:pPr>
              <w:numPr>
                <w:ilvl w:val="12"/>
                <w:numId w:val="0"/>
              </w:numPr>
              <w:ind w:right="-2"/>
              <w:rPr>
                <w:sz w:val="22"/>
                <w:szCs w:val="22"/>
                <w:lang w:val="en-GB"/>
              </w:rPr>
            </w:pPr>
            <w:r>
              <w:rPr>
                <w:sz w:val="22"/>
                <w:szCs w:val="22"/>
                <w:lang w:val="en-GB"/>
              </w:rPr>
              <w:t>Ikke aktuelt</w:t>
            </w:r>
          </w:p>
        </w:tc>
      </w:tr>
      <w:tr w:rsidR="004644D4" w14:paraId="3969A37A" w14:textId="77777777" w:rsidTr="00972FC0">
        <w:tc>
          <w:tcPr>
            <w:tcW w:w="3095" w:type="dxa"/>
          </w:tcPr>
          <w:p w14:paraId="002F68C3" w14:textId="77777777" w:rsidR="00B33BEC" w:rsidRPr="00887835" w:rsidRDefault="00E453CD" w:rsidP="00972FC0">
            <w:pPr>
              <w:numPr>
                <w:ilvl w:val="12"/>
                <w:numId w:val="0"/>
              </w:numPr>
              <w:ind w:right="-2"/>
              <w:rPr>
                <w:sz w:val="22"/>
                <w:szCs w:val="22"/>
              </w:rPr>
            </w:pPr>
            <w:r w:rsidRPr="00887835">
              <w:rPr>
                <w:sz w:val="22"/>
                <w:szCs w:val="22"/>
              </w:rPr>
              <w:t xml:space="preserve">Barn </w:t>
            </w:r>
            <w:r>
              <w:rPr>
                <w:sz w:val="22"/>
                <w:szCs w:val="22"/>
              </w:rPr>
              <w:t>og ungdom over</w:t>
            </w:r>
            <w:r w:rsidRPr="00887835">
              <w:rPr>
                <w:sz w:val="22"/>
                <w:szCs w:val="22"/>
              </w:rPr>
              <w:t xml:space="preserve"> </w:t>
            </w:r>
            <w:r w:rsidRPr="009C5EFD">
              <w:rPr>
                <w:sz w:val="22"/>
                <w:szCs w:val="22"/>
              </w:rPr>
              <w:t>2 år</w:t>
            </w:r>
            <w:r>
              <w:rPr>
                <w:sz w:val="22"/>
                <w:szCs w:val="22"/>
              </w:rPr>
              <w:t xml:space="preserve"> som veier 10 kg til under 30 kg</w:t>
            </w:r>
          </w:p>
        </w:tc>
        <w:tc>
          <w:tcPr>
            <w:tcW w:w="3096" w:type="dxa"/>
          </w:tcPr>
          <w:p w14:paraId="35D2A422" w14:textId="77777777" w:rsidR="00B33BEC" w:rsidRPr="00887835" w:rsidRDefault="00E453CD" w:rsidP="00972FC0">
            <w:pPr>
              <w:numPr>
                <w:ilvl w:val="12"/>
                <w:numId w:val="0"/>
              </w:numPr>
              <w:ind w:right="-2"/>
              <w:rPr>
                <w:sz w:val="22"/>
                <w:szCs w:val="22"/>
              </w:rPr>
            </w:pPr>
            <w:r w:rsidRPr="00525676">
              <w:rPr>
                <w:sz w:val="22"/>
                <w:lang w:val="en-US"/>
              </w:rPr>
              <w:t xml:space="preserve">20 mg </w:t>
            </w:r>
            <w:r w:rsidRPr="004C7F6D">
              <w:rPr>
                <w:sz w:val="22"/>
                <w:szCs w:val="22"/>
              </w:rPr>
              <w:t>annenhver uke</w:t>
            </w:r>
          </w:p>
        </w:tc>
        <w:tc>
          <w:tcPr>
            <w:tcW w:w="3096" w:type="dxa"/>
          </w:tcPr>
          <w:p w14:paraId="6CEF7508" w14:textId="77777777" w:rsidR="00B33BEC" w:rsidRPr="00887835" w:rsidRDefault="00E453CD" w:rsidP="00972FC0">
            <w:pPr>
              <w:numPr>
                <w:ilvl w:val="12"/>
                <w:numId w:val="0"/>
              </w:numPr>
              <w:ind w:right="-2"/>
              <w:rPr>
                <w:sz w:val="22"/>
                <w:szCs w:val="22"/>
              </w:rPr>
            </w:pPr>
            <w:r>
              <w:rPr>
                <w:sz w:val="22"/>
                <w:szCs w:val="22"/>
                <w:lang w:val="en-GB"/>
              </w:rPr>
              <w:t>Ikke aktuelt</w:t>
            </w:r>
          </w:p>
        </w:tc>
      </w:tr>
    </w:tbl>
    <w:p w14:paraId="24B144A2" w14:textId="77777777" w:rsidR="00B33BEC" w:rsidRPr="009C5EFD" w:rsidRDefault="00B33BEC" w:rsidP="00B33BEC">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1"/>
      </w:tblGrid>
      <w:tr w:rsidR="004644D4" w14:paraId="5F207D06" w14:textId="77777777" w:rsidTr="00972FC0">
        <w:tc>
          <w:tcPr>
            <w:tcW w:w="9281" w:type="dxa"/>
            <w:gridSpan w:val="3"/>
          </w:tcPr>
          <w:p w14:paraId="3FA2AF01" w14:textId="77777777" w:rsidR="00B33BEC" w:rsidRPr="00887835" w:rsidRDefault="00E453CD" w:rsidP="00972FC0">
            <w:pPr>
              <w:numPr>
                <w:ilvl w:val="12"/>
                <w:numId w:val="0"/>
              </w:numPr>
              <w:ind w:right="-2"/>
              <w:rPr>
                <w:b/>
                <w:sz w:val="22"/>
                <w:szCs w:val="22"/>
                <w:lang w:val="en-GB"/>
              </w:rPr>
            </w:pPr>
            <w:r>
              <w:rPr>
                <w:b/>
                <w:sz w:val="22"/>
                <w:szCs w:val="22"/>
                <w:lang w:val="en-GB"/>
              </w:rPr>
              <w:t>E</w:t>
            </w:r>
            <w:r w:rsidRPr="007830E7">
              <w:rPr>
                <w:b/>
                <w:sz w:val="22"/>
                <w:szCs w:val="22"/>
                <w:lang w:val="en-GB"/>
              </w:rPr>
              <w:t>ntesittrelatert artritt</w:t>
            </w:r>
          </w:p>
        </w:tc>
      </w:tr>
      <w:tr w:rsidR="004644D4" w14:paraId="1BB042CD" w14:textId="77777777" w:rsidTr="00972FC0">
        <w:tc>
          <w:tcPr>
            <w:tcW w:w="3093" w:type="dxa"/>
          </w:tcPr>
          <w:p w14:paraId="7C6929D7" w14:textId="77777777" w:rsidR="00B33BEC" w:rsidRPr="00887835" w:rsidRDefault="00E453CD" w:rsidP="00972FC0">
            <w:pPr>
              <w:numPr>
                <w:ilvl w:val="12"/>
                <w:numId w:val="0"/>
              </w:numPr>
              <w:ind w:right="-2"/>
              <w:rPr>
                <w:sz w:val="22"/>
                <w:szCs w:val="22"/>
                <w:lang w:val="en-GB"/>
              </w:rPr>
            </w:pPr>
            <w:r w:rsidRPr="007830E7">
              <w:rPr>
                <w:b/>
                <w:sz w:val="22"/>
                <w:szCs w:val="22"/>
                <w:lang w:val="en-US"/>
              </w:rPr>
              <w:t>Alder eller kroppsvekt</w:t>
            </w:r>
          </w:p>
        </w:tc>
        <w:tc>
          <w:tcPr>
            <w:tcW w:w="3094" w:type="dxa"/>
          </w:tcPr>
          <w:p w14:paraId="69771510" w14:textId="77777777" w:rsidR="00B33BEC" w:rsidRPr="00887835" w:rsidRDefault="00E453CD" w:rsidP="00972FC0">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186FFFAD" w14:textId="77777777" w:rsidR="00B33BEC" w:rsidRPr="00887835" w:rsidRDefault="00E453CD" w:rsidP="00972FC0">
            <w:pPr>
              <w:numPr>
                <w:ilvl w:val="12"/>
                <w:numId w:val="0"/>
              </w:numPr>
              <w:ind w:right="-2"/>
              <w:rPr>
                <w:sz w:val="22"/>
                <w:szCs w:val="22"/>
                <w:lang w:val="en-GB"/>
              </w:rPr>
            </w:pPr>
            <w:r w:rsidRPr="007830E7">
              <w:rPr>
                <w:b/>
                <w:sz w:val="22"/>
                <w:szCs w:val="22"/>
                <w:lang w:val="en-US"/>
              </w:rPr>
              <w:t>Merknader</w:t>
            </w:r>
          </w:p>
        </w:tc>
      </w:tr>
      <w:tr w:rsidR="004644D4" w14:paraId="53CBC6E0" w14:textId="77777777" w:rsidTr="00972FC0">
        <w:tc>
          <w:tcPr>
            <w:tcW w:w="3093" w:type="dxa"/>
          </w:tcPr>
          <w:p w14:paraId="53FF79BB" w14:textId="77777777" w:rsidR="00B33BEC" w:rsidRPr="00887835" w:rsidRDefault="00E453CD" w:rsidP="00972FC0">
            <w:pPr>
              <w:numPr>
                <w:ilvl w:val="12"/>
                <w:numId w:val="0"/>
              </w:numPr>
              <w:ind w:right="-2"/>
              <w:rPr>
                <w:sz w:val="22"/>
                <w:szCs w:val="22"/>
              </w:rPr>
            </w:pPr>
            <w:r w:rsidRPr="00887835">
              <w:rPr>
                <w:sz w:val="22"/>
                <w:szCs w:val="22"/>
              </w:rPr>
              <w:t xml:space="preserve">Barn, ungdom og voksne </w:t>
            </w:r>
            <w:r>
              <w:rPr>
                <w:sz w:val="22"/>
                <w:szCs w:val="22"/>
              </w:rPr>
              <w:t>over</w:t>
            </w:r>
            <w:r w:rsidRPr="00887835">
              <w:rPr>
                <w:sz w:val="22"/>
                <w:szCs w:val="22"/>
              </w:rPr>
              <w:t xml:space="preserve"> 6 </w:t>
            </w:r>
            <w:r>
              <w:rPr>
                <w:sz w:val="22"/>
                <w:szCs w:val="22"/>
              </w:rPr>
              <w:t>år som veier 30 kg eller mer</w:t>
            </w:r>
          </w:p>
        </w:tc>
        <w:tc>
          <w:tcPr>
            <w:tcW w:w="3094" w:type="dxa"/>
          </w:tcPr>
          <w:p w14:paraId="0AEDCAD0" w14:textId="77777777" w:rsidR="00B33BEC" w:rsidRPr="00887835" w:rsidRDefault="00E453CD" w:rsidP="00972FC0">
            <w:pPr>
              <w:numPr>
                <w:ilvl w:val="12"/>
                <w:numId w:val="0"/>
              </w:numPr>
              <w:ind w:right="-2"/>
              <w:rPr>
                <w:sz w:val="22"/>
                <w:szCs w:val="22"/>
              </w:rPr>
            </w:pPr>
            <w:r w:rsidRPr="00525676">
              <w:rPr>
                <w:sz w:val="22"/>
                <w:lang w:val="en-US"/>
              </w:rPr>
              <w:t xml:space="preserve">40 mg </w:t>
            </w:r>
            <w:r w:rsidRPr="004C7F6D">
              <w:rPr>
                <w:sz w:val="22"/>
                <w:szCs w:val="22"/>
              </w:rPr>
              <w:t>annenhver uke</w:t>
            </w:r>
          </w:p>
        </w:tc>
        <w:tc>
          <w:tcPr>
            <w:tcW w:w="3094" w:type="dxa"/>
          </w:tcPr>
          <w:p w14:paraId="5F8A32CD" w14:textId="77777777" w:rsidR="00B33BEC" w:rsidRPr="00887835" w:rsidRDefault="00E453CD" w:rsidP="00972FC0">
            <w:pPr>
              <w:numPr>
                <w:ilvl w:val="12"/>
                <w:numId w:val="0"/>
              </w:numPr>
              <w:ind w:right="-2"/>
              <w:rPr>
                <w:sz w:val="22"/>
                <w:szCs w:val="22"/>
              </w:rPr>
            </w:pPr>
            <w:r>
              <w:rPr>
                <w:sz w:val="22"/>
                <w:szCs w:val="22"/>
                <w:lang w:val="en-GB"/>
              </w:rPr>
              <w:t>Ikke aktuelt</w:t>
            </w:r>
          </w:p>
        </w:tc>
      </w:tr>
      <w:tr w:rsidR="004644D4" w14:paraId="5B03DB0A" w14:textId="77777777" w:rsidTr="00972FC0">
        <w:tc>
          <w:tcPr>
            <w:tcW w:w="3093" w:type="dxa"/>
          </w:tcPr>
          <w:p w14:paraId="4B996880" w14:textId="77777777" w:rsidR="00B33BEC" w:rsidRPr="00887835" w:rsidRDefault="00E453CD" w:rsidP="00972FC0">
            <w:pPr>
              <w:numPr>
                <w:ilvl w:val="12"/>
                <w:numId w:val="0"/>
              </w:numPr>
              <w:ind w:right="-2"/>
              <w:rPr>
                <w:sz w:val="22"/>
                <w:szCs w:val="22"/>
              </w:rPr>
            </w:pPr>
            <w:r w:rsidRPr="00D22D58">
              <w:rPr>
                <w:sz w:val="22"/>
              </w:rPr>
              <w:t xml:space="preserve">Barn og ungdom </w:t>
            </w:r>
            <w:r>
              <w:rPr>
                <w:sz w:val="22"/>
              </w:rPr>
              <w:t>over</w:t>
            </w:r>
            <w:r w:rsidRPr="00D22D58">
              <w:rPr>
                <w:sz w:val="22"/>
              </w:rPr>
              <w:t xml:space="preserve"> </w:t>
            </w:r>
            <w:r>
              <w:rPr>
                <w:sz w:val="22"/>
              </w:rPr>
              <w:t>6</w:t>
            </w:r>
            <w:r w:rsidRPr="00D22D58">
              <w:rPr>
                <w:sz w:val="22"/>
              </w:rPr>
              <w:t xml:space="preserve"> år som veier </w:t>
            </w:r>
            <w:r>
              <w:rPr>
                <w:sz w:val="22"/>
              </w:rPr>
              <w:t>15</w:t>
            </w:r>
            <w:r w:rsidRPr="00D22D58">
              <w:rPr>
                <w:sz w:val="22"/>
              </w:rPr>
              <w:t xml:space="preserve"> kg </w:t>
            </w:r>
            <w:r>
              <w:rPr>
                <w:sz w:val="22"/>
              </w:rPr>
              <w:t>til under</w:t>
            </w:r>
            <w:r w:rsidRPr="00D22D58">
              <w:rPr>
                <w:sz w:val="22"/>
              </w:rPr>
              <w:t xml:space="preserve"> 30 kg</w:t>
            </w:r>
          </w:p>
        </w:tc>
        <w:tc>
          <w:tcPr>
            <w:tcW w:w="3094" w:type="dxa"/>
          </w:tcPr>
          <w:p w14:paraId="574ACA45" w14:textId="77777777" w:rsidR="00B33BEC" w:rsidRPr="00525676" w:rsidRDefault="00E453CD" w:rsidP="00972FC0">
            <w:pPr>
              <w:numPr>
                <w:ilvl w:val="12"/>
                <w:numId w:val="0"/>
              </w:numPr>
              <w:ind w:right="-2"/>
              <w:rPr>
                <w:sz w:val="22"/>
                <w:lang w:val="en-US"/>
              </w:rPr>
            </w:pPr>
            <w:r w:rsidRPr="00525676">
              <w:rPr>
                <w:sz w:val="22"/>
                <w:lang w:val="en-US"/>
              </w:rPr>
              <w:t xml:space="preserve">20 mg </w:t>
            </w:r>
            <w:r w:rsidRPr="004C7F6D">
              <w:rPr>
                <w:sz w:val="22"/>
                <w:szCs w:val="22"/>
              </w:rPr>
              <w:t>annenhver uke</w:t>
            </w:r>
          </w:p>
        </w:tc>
        <w:tc>
          <w:tcPr>
            <w:tcW w:w="3094" w:type="dxa"/>
          </w:tcPr>
          <w:p w14:paraId="6B3E95C0" w14:textId="77777777" w:rsidR="00B33BEC" w:rsidRPr="00887835" w:rsidRDefault="00E453CD" w:rsidP="00972FC0">
            <w:pPr>
              <w:numPr>
                <w:ilvl w:val="12"/>
                <w:numId w:val="0"/>
              </w:numPr>
              <w:ind w:right="-2"/>
              <w:rPr>
                <w:sz w:val="22"/>
                <w:szCs w:val="22"/>
              </w:rPr>
            </w:pPr>
            <w:r>
              <w:rPr>
                <w:sz w:val="22"/>
                <w:szCs w:val="22"/>
                <w:lang w:val="en-GB"/>
              </w:rPr>
              <w:t>Ikke aktuelt</w:t>
            </w:r>
          </w:p>
        </w:tc>
      </w:tr>
    </w:tbl>
    <w:p w14:paraId="3DF6E4E0" w14:textId="77777777" w:rsidR="00B33BEC" w:rsidRPr="009C5EFD" w:rsidRDefault="00B33BEC" w:rsidP="00B33BEC">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5"/>
        <w:gridCol w:w="3023"/>
      </w:tblGrid>
      <w:tr w:rsidR="004644D4" w14:paraId="68658E20" w14:textId="77777777" w:rsidTr="00972FC0">
        <w:tc>
          <w:tcPr>
            <w:tcW w:w="9281" w:type="dxa"/>
            <w:gridSpan w:val="3"/>
          </w:tcPr>
          <w:p w14:paraId="43B741D6" w14:textId="77777777" w:rsidR="00B33BEC" w:rsidRPr="00887835" w:rsidRDefault="00E453CD" w:rsidP="00972FC0">
            <w:pPr>
              <w:keepNext/>
              <w:numPr>
                <w:ilvl w:val="12"/>
                <w:numId w:val="0"/>
              </w:numPr>
              <w:ind w:right="-2"/>
              <w:rPr>
                <w:sz w:val="22"/>
                <w:szCs w:val="22"/>
                <w:lang w:val="en-GB"/>
              </w:rPr>
            </w:pPr>
            <w:r w:rsidRPr="002D5213">
              <w:rPr>
                <w:b/>
                <w:sz w:val="22"/>
                <w:szCs w:val="22"/>
                <w:lang w:val="en-GB"/>
              </w:rPr>
              <w:t>Pl</w:t>
            </w:r>
            <w:r>
              <w:rPr>
                <w:b/>
                <w:sz w:val="22"/>
                <w:szCs w:val="22"/>
                <w:lang w:val="en-GB"/>
              </w:rPr>
              <w:t>akk</w:t>
            </w:r>
            <w:r w:rsidRPr="00887835">
              <w:rPr>
                <w:b/>
                <w:sz w:val="22"/>
                <w:szCs w:val="22"/>
                <w:lang w:val="en-GB"/>
              </w:rPr>
              <w:t>psoriasis</w:t>
            </w:r>
          </w:p>
        </w:tc>
      </w:tr>
      <w:tr w:rsidR="004644D4" w14:paraId="74CB04CC" w14:textId="77777777" w:rsidTr="00972FC0">
        <w:tc>
          <w:tcPr>
            <w:tcW w:w="3093" w:type="dxa"/>
          </w:tcPr>
          <w:p w14:paraId="1B0A443C" w14:textId="77777777" w:rsidR="00B33BEC" w:rsidRPr="00887835" w:rsidRDefault="00E453CD" w:rsidP="00972FC0">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73E866C5" w14:textId="77777777" w:rsidR="00B33BEC" w:rsidRPr="00887835" w:rsidRDefault="00E453CD" w:rsidP="00972FC0">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35BB7D84" w14:textId="77777777" w:rsidR="00B33BEC" w:rsidRPr="00887835" w:rsidRDefault="00E453CD" w:rsidP="00972FC0">
            <w:pPr>
              <w:keepNext/>
              <w:numPr>
                <w:ilvl w:val="12"/>
                <w:numId w:val="0"/>
              </w:numPr>
              <w:ind w:right="-2"/>
              <w:rPr>
                <w:sz w:val="22"/>
                <w:szCs w:val="22"/>
                <w:lang w:val="en-GB"/>
              </w:rPr>
            </w:pPr>
            <w:r w:rsidRPr="007830E7">
              <w:rPr>
                <w:b/>
                <w:sz w:val="22"/>
                <w:szCs w:val="22"/>
                <w:lang w:val="en-US"/>
              </w:rPr>
              <w:t>Merknader</w:t>
            </w:r>
          </w:p>
        </w:tc>
      </w:tr>
      <w:tr w:rsidR="004644D4" w14:paraId="60E57E91" w14:textId="77777777" w:rsidTr="00972FC0">
        <w:tc>
          <w:tcPr>
            <w:tcW w:w="3093" w:type="dxa"/>
          </w:tcPr>
          <w:p w14:paraId="2B83E9C4" w14:textId="77777777" w:rsidR="00B33BEC" w:rsidRPr="00887835" w:rsidRDefault="00E453CD" w:rsidP="00972FC0">
            <w:pPr>
              <w:keepNext/>
              <w:numPr>
                <w:ilvl w:val="12"/>
                <w:numId w:val="0"/>
              </w:numPr>
              <w:ind w:right="-2"/>
              <w:rPr>
                <w:sz w:val="22"/>
                <w:szCs w:val="22"/>
              </w:rPr>
            </w:pPr>
            <w:r>
              <w:rPr>
                <w:sz w:val="22"/>
                <w:szCs w:val="22"/>
              </w:rPr>
              <w:t>Voksne</w:t>
            </w:r>
          </w:p>
          <w:p w14:paraId="7EABCE27" w14:textId="77777777" w:rsidR="00B33BEC" w:rsidRPr="00887835" w:rsidRDefault="00B33BEC" w:rsidP="00972FC0">
            <w:pPr>
              <w:keepNext/>
              <w:numPr>
                <w:ilvl w:val="12"/>
                <w:numId w:val="0"/>
              </w:numPr>
              <w:ind w:right="-2"/>
              <w:rPr>
                <w:sz w:val="22"/>
                <w:szCs w:val="22"/>
                <w:lang w:val="en-GB"/>
              </w:rPr>
            </w:pPr>
          </w:p>
        </w:tc>
        <w:tc>
          <w:tcPr>
            <w:tcW w:w="3094" w:type="dxa"/>
          </w:tcPr>
          <w:p w14:paraId="2010B916" w14:textId="77777777" w:rsidR="00B33BEC" w:rsidRPr="00887835" w:rsidRDefault="00E453CD" w:rsidP="00972FC0">
            <w:pPr>
              <w:keepNext/>
              <w:numPr>
                <w:ilvl w:val="12"/>
                <w:numId w:val="0"/>
              </w:numPr>
              <w:ind w:right="-2"/>
              <w:rPr>
                <w:sz w:val="22"/>
                <w:szCs w:val="22"/>
              </w:rPr>
            </w:pPr>
            <w:r w:rsidRPr="00887835">
              <w:rPr>
                <w:sz w:val="22"/>
                <w:szCs w:val="22"/>
              </w:rPr>
              <w:t xml:space="preserve">Første dose på 80 mg (to 40 mg injeksjoner på én dag), etterfulgt av 40 mg annenhver uke </w:t>
            </w:r>
            <w:r w:rsidRPr="00062568">
              <w:rPr>
                <w:sz w:val="22"/>
                <w:szCs w:val="22"/>
              </w:rPr>
              <w:t>som starter en uke etter den første dosen</w:t>
            </w:r>
            <w:r w:rsidRPr="00887835">
              <w:rPr>
                <w:sz w:val="22"/>
                <w:szCs w:val="22"/>
              </w:rPr>
              <w:t>.</w:t>
            </w:r>
          </w:p>
        </w:tc>
        <w:tc>
          <w:tcPr>
            <w:tcW w:w="3094" w:type="dxa"/>
          </w:tcPr>
          <w:p w14:paraId="3C9951D7" w14:textId="77777777" w:rsidR="00B33BEC" w:rsidRPr="00887835" w:rsidRDefault="00E453CD">
            <w:pPr>
              <w:keepNext/>
              <w:spacing w:before="100" w:beforeAutospacing="1" w:after="100" w:afterAutospacing="1"/>
              <w:rPr>
                <w:sz w:val="22"/>
                <w:szCs w:val="22"/>
              </w:rPr>
            </w:pPr>
            <w:r>
              <w:rPr>
                <w:sz w:val="22"/>
                <w:szCs w:val="22"/>
              </w:rPr>
              <w:t>Dersom du har en utilstrekkelig respons kan l</w:t>
            </w:r>
            <w:r w:rsidRPr="00887835">
              <w:rPr>
                <w:sz w:val="22"/>
                <w:szCs w:val="22"/>
              </w:rPr>
              <w:t>egen din øke dosering</w:t>
            </w:r>
            <w:r w:rsidR="00924BD4">
              <w:rPr>
                <w:sz w:val="22"/>
                <w:szCs w:val="22"/>
              </w:rPr>
              <w:t>en</w:t>
            </w:r>
            <w:r w:rsidRPr="00887835">
              <w:rPr>
                <w:sz w:val="22"/>
                <w:szCs w:val="22"/>
              </w:rPr>
              <w:t xml:space="preserve"> til 40</w:t>
            </w:r>
            <w:r w:rsidR="00DC201A">
              <w:rPr>
                <w:sz w:val="22"/>
                <w:szCs w:val="22"/>
              </w:rPr>
              <w:t> </w:t>
            </w:r>
            <w:r w:rsidRPr="00887835">
              <w:rPr>
                <w:sz w:val="22"/>
                <w:szCs w:val="22"/>
              </w:rPr>
              <w:t xml:space="preserve">mg </w:t>
            </w:r>
            <w:r>
              <w:rPr>
                <w:sz w:val="22"/>
                <w:szCs w:val="22"/>
              </w:rPr>
              <w:t>hver uke</w:t>
            </w:r>
            <w:r w:rsidR="00924BD4">
              <w:rPr>
                <w:sz w:val="22"/>
                <w:szCs w:val="22"/>
              </w:rPr>
              <w:t xml:space="preserve"> eller 80</w:t>
            </w:r>
            <w:r w:rsidR="00DC201A">
              <w:rPr>
                <w:sz w:val="22"/>
                <w:szCs w:val="22"/>
              </w:rPr>
              <w:t> </w:t>
            </w:r>
            <w:r w:rsidR="00924BD4">
              <w:rPr>
                <w:sz w:val="22"/>
                <w:szCs w:val="22"/>
              </w:rPr>
              <w:t>mg annenhver uke</w:t>
            </w:r>
            <w:r w:rsidRPr="00887835">
              <w:rPr>
                <w:sz w:val="22"/>
                <w:szCs w:val="22"/>
              </w:rPr>
              <w:t>.</w:t>
            </w:r>
          </w:p>
        </w:tc>
      </w:tr>
      <w:tr w:rsidR="004644D4" w14:paraId="7DB90CEB" w14:textId="77777777" w:rsidTr="00972FC0">
        <w:tc>
          <w:tcPr>
            <w:tcW w:w="3093" w:type="dxa"/>
          </w:tcPr>
          <w:p w14:paraId="5F357C3B" w14:textId="77777777" w:rsidR="00B33BEC" w:rsidRPr="00887835" w:rsidRDefault="00E453CD" w:rsidP="00972FC0">
            <w:pPr>
              <w:numPr>
                <w:ilvl w:val="12"/>
                <w:numId w:val="0"/>
              </w:numPr>
              <w:ind w:right="-2"/>
              <w:rPr>
                <w:sz w:val="22"/>
                <w:szCs w:val="22"/>
              </w:rPr>
            </w:pPr>
            <w:r w:rsidRPr="00D22D58">
              <w:rPr>
                <w:sz w:val="22"/>
              </w:rPr>
              <w:t>Barn</w:t>
            </w:r>
            <w:r>
              <w:rPr>
                <w:sz w:val="22"/>
              </w:rPr>
              <w:t xml:space="preserve"> og </w:t>
            </w:r>
            <w:r w:rsidRPr="00D22D58">
              <w:rPr>
                <w:sz w:val="22"/>
              </w:rPr>
              <w:t xml:space="preserve">ungdom fra </w:t>
            </w:r>
            <w:r>
              <w:rPr>
                <w:sz w:val="22"/>
              </w:rPr>
              <w:t>4 til 17</w:t>
            </w:r>
            <w:r w:rsidRPr="00D22D58">
              <w:rPr>
                <w:sz w:val="22"/>
              </w:rPr>
              <w:t xml:space="preserve"> år som veier 30 kg </w:t>
            </w:r>
            <w:r>
              <w:rPr>
                <w:sz w:val="22"/>
              </w:rPr>
              <w:t>eller mer</w:t>
            </w:r>
            <w:r>
              <w:rPr>
                <w:sz w:val="22"/>
                <w:szCs w:val="22"/>
              </w:rPr>
              <w:t xml:space="preserve"> </w:t>
            </w:r>
          </w:p>
        </w:tc>
        <w:tc>
          <w:tcPr>
            <w:tcW w:w="3094" w:type="dxa"/>
          </w:tcPr>
          <w:p w14:paraId="21EBD16E" w14:textId="77777777" w:rsidR="00B33BEC" w:rsidRDefault="00E453CD" w:rsidP="00972FC0">
            <w:pPr>
              <w:keepNext/>
              <w:numPr>
                <w:ilvl w:val="12"/>
                <w:numId w:val="0"/>
              </w:numPr>
              <w:ind w:right="-2"/>
              <w:rPr>
                <w:sz w:val="22"/>
                <w:szCs w:val="22"/>
              </w:rPr>
            </w:pPr>
            <w:r w:rsidRPr="00887835">
              <w:rPr>
                <w:sz w:val="22"/>
                <w:szCs w:val="22"/>
              </w:rPr>
              <w:t xml:space="preserve">Første dose på </w:t>
            </w:r>
            <w:r>
              <w:rPr>
                <w:sz w:val="22"/>
                <w:szCs w:val="22"/>
              </w:rPr>
              <w:t>40</w:t>
            </w:r>
            <w:r w:rsidRPr="00887835">
              <w:rPr>
                <w:sz w:val="22"/>
                <w:szCs w:val="22"/>
              </w:rPr>
              <w:t xml:space="preserve"> mg, etterfulgt av 40</w:t>
            </w:r>
            <w:r>
              <w:rPr>
                <w:sz w:val="22"/>
                <w:szCs w:val="22"/>
              </w:rPr>
              <w:t xml:space="preserve"> mg en uke senere.</w:t>
            </w:r>
          </w:p>
          <w:p w14:paraId="6ECE354F" w14:textId="77777777" w:rsidR="00B33BEC" w:rsidRDefault="00B33BEC" w:rsidP="00972FC0">
            <w:pPr>
              <w:keepNext/>
              <w:numPr>
                <w:ilvl w:val="12"/>
                <w:numId w:val="0"/>
              </w:numPr>
              <w:ind w:right="-2"/>
              <w:rPr>
                <w:sz w:val="22"/>
                <w:szCs w:val="22"/>
              </w:rPr>
            </w:pPr>
          </w:p>
          <w:p w14:paraId="77E01B6C" w14:textId="77777777" w:rsidR="00B33BEC" w:rsidRPr="00887835" w:rsidRDefault="00E453CD" w:rsidP="00972FC0">
            <w:pPr>
              <w:numPr>
                <w:ilvl w:val="12"/>
                <w:numId w:val="0"/>
              </w:numPr>
              <w:ind w:right="-2"/>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p>
        </w:tc>
        <w:tc>
          <w:tcPr>
            <w:tcW w:w="3094" w:type="dxa"/>
          </w:tcPr>
          <w:p w14:paraId="6B88E4A9" w14:textId="77777777" w:rsidR="00B33BEC" w:rsidRPr="00887835" w:rsidRDefault="00E453CD" w:rsidP="00972FC0">
            <w:pPr>
              <w:numPr>
                <w:ilvl w:val="12"/>
                <w:numId w:val="0"/>
              </w:numPr>
              <w:ind w:right="-2"/>
              <w:rPr>
                <w:sz w:val="22"/>
                <w:szCs w:val="22"/>
              </w:rPr>
            </w:pPr>
            <w:r>
              <w:rPr>
                <w:sz w:val="22"/>
                <w:szCs w:val="22"/>
                <w:lang w:val="en-GB"/>
              </w:rPr>
              <w:t>Ikke aktuelt</w:t>
            </w:r>
          </w:p>
        </w:tc>
      </w:tr>
      <w:tr w:rsidR="004644D4" w14:paraId="6449ED41" w14:textId="77777777" w:rsidTr="00972FC0">
        <w:tc>
          <w:tcPr>
            <w:tcW w:w="3093" w:type="dxa"/>
          </w:tcPr>
          <w:p w14:paraId="3F31985F" w14:textId="77777777" w:rsidR="00B33BEC" w:rsidRPr="00887835" w:rsidRDefault="00E453CD" w:rsidP="00972FC0">
            <w:pPr>
              <w:numPr>
                <w:ilvl w:val="12"/>
                <w:numId w:val="0"/>
              </w:numPr>
              <w:ind w:right="-2"/>
              <w:rPr>
                <w:sz w:val="22"/>
                <w:szCs w:val="22"/>
              </w:rPr>
            </w:pPr>
            <w:r w:rsidRPr="00D22D58">
              <w:rPr>
                <w:sz w:val="22"/>
              </w:rPr>
              <w:t xml:space="preserve">Barn og ungdom fra </w:t>
            </w:r>
            <w:r>
              <w:rPr>
                <w:sz w:val="22"/>
              </w:rPr>
              <w:t>4 til 17</w:t>
            </w:r>
            <w:r w:rsidRPr="00D22D58">
              <w:rPr>
                <w:sz w:val="22"/>
              </w:rPr>
              <w:t xml:space="preserve"> år som veier </w:t>
            </w:r>
            <w:r>
              <w:rPr>
                <w:sz w:val="22"/>
              </w:rPr>
              <w:t>15</w:t>
            </w:r>
            <w:r w:rsidRPr="00D22D58">
              <w:rPr>
                <w:sz w:val="22"/>
              </w:rPr>
              <w:t xml:space="preserve"> kg </w:t>
            </w:r>
            <w:r>
              <w:rPr>
                <w:sz w:val="22"/>
              </w:rPr>
              <w:t>til under</w:t>
            </w:r>
            <w:r w:rsidRPr="00D22D58">
              <w:rPr>
                <w:sz w:val="22"/>
              </w:rPr>
              <w:t xml:space="preserve"> 30 kg</w:t>
            </w:r>
          </w:p>
        </w:tc>
        <w:tc>
          <w:tcPr>
            <w:tcW w:w="3094" w:type="dxa"/>
          </w:tcPr>
          <w:p w14:paraId="6CAF37DF" w14:textId="77777777" w:rsidR="00B33BEC" w:rsidRDefault="00E453CD" w:rsidP="00972FC0">
            <w:pPr>
              <w:keepNext/>
              <w:numPr>
                <w:ilvl w:val="12"/>
                <w:numId w:val="0"/>
              </w:numPr>
              <w:ind w:right="-2"/>
              <w:rPr>
                <w:sz w:val="22"/>
                <w:szCs w:val="22"/>
              </w:rPr>
            </w:pPr>
            <w:r w:rsidRPr="00887835">
              <w:rPr>
                <w:sz w:val="22"/>
                <w:szCs w:val="22"/>
              </w:rPr>
              <w:t xml:space="preserve">Første dose på </w:t>
            </w:r>
            <w:r>
              <w:rPr>
                <w:sz w:val="22"/>
                <w:szCs w:val="22"/>
              </w:rPr>
              <w:t>20</w:t>
            </w:r>
            <w:r w:rsidRPr="00887835">
              <w:rPr>
                <w:sz w:val="22"/>
                <w:szCs w:val="22"/>
              </w:rPr>
              <w:t xml:space="preserve"> mg, etterfulgt av </w:t>
            </w:r>
            <w:r>
              <w:rPr>
                <w:sz w:val="22"/>
                <w:szCs w:val="22"/>
              </w:rPr>
              <w:t>2</w:t>
            </w:r>
            <w:r w:rsidRPr="00887835">
              <w:rPr>
                <w:sz w:val="22"/>
                <w:szCs w:val="22"/>
              </w:rPr>
              <w:t>0</w:t>
            </w:r>
            <w:r>
              <w:rPr>
                <w:sz w:val="22"/>
                <w:szCs w:val="22"/>
              </w:rPr>
              <w:t xml:space="preserve"> mg en uke senere.</w:t>
            </w:r>
          </w:p>
          <w:p w14:paraId="18FF4B2B" w14:textId="77777777" w:rsidR="00B33BEC" w:rsidRDefault="00B33BEC" w:rsidP="00972FC0">
            <w:pPr>
              <w:keepNext/>
              <w:numPr>
                <w:ilvl w:val="12"/>
                <w:numId w:val="0"/>
              </w:numPr>
              <w:ind w:right="-2"/>
              <w:rPr>
                <w:sz w:val="22"/>
                <w:szCs w:val="22"/>
              </w:rPr>
            </w:pPr>
          </w:p>
          <w:p w14:paraId="14F36C7E" w14:textId="77777777" w:rsidR="00B33BEC" w:rsidRPr="00887835" w:rsidRDefault="00E453CD" w:rsidP="00972FC0">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2</w:t>
            </w:r>
            <w:r w:rsidRPr="004C7F6D">
              <w:rPr>
                <w:sz w:val="22"/>
                <w:szCs w:val="22"/>
              </w:rPr>
              <w:t>0 mg annenhver uke.</w:t>
            </w:r>
          </w:p>
        </w:tc>
        <w:tc>
          <w:tcPr>
            <w:tcW w:w="3094" w:type="dxa"/>
          </w:tcPr>
          <w:p w14:paraId="5995D645" w14:textId="77777777" w:rsidR="00B33BEC" w:rsidRPr="00887835" w:rsidRDefault="00E453CD" w:rsidP="00972FC0">
            <w:pPr>
              <w:numPr>
                <w:ilvl w:val="12"/>
                <w:numId w:val="0"/>
              </w:numPr>
              <w:ind w:right="-2"/>
              <w:rPr>
                <w:sz w:val="22"/>
                <w:szCs w:val="22"/>
              </w:rPr>
            </w:pPr>
            <w:r>
              <w:rPr>
                <w:sz w:val="22"/>
                <w:szCs w:val="22"/>
                <w:lang w:val="en-GB"/>
              </w:rPr>
              <w:t>Ikke aktuelt</w:t>
            </w:r>
          </w:p>
        </w:tc>
      </w:tr>
    </w:tbl>
    <w:p w14:paraId="031FCECD" w14:textId="77777777" w:rsidR="00B33BEC" w:rsidRPr="009C5EFD" w:rsidRDefault="00B33BEC" w:rsidP="00B33BEC">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5"/>
        <w:gridCol w:w="3023"/>
      </w:tblGrid>
      <w:tr w:rsidR="004644D4" w14:paraId="0EED41AD" w14:textId="77777777" w:rsidTr="00972FC0">
        <w:tc>
          <w:tcPr>
            <w:tcW w:w="9281" w:type="dxa"/>
            <w:gridSpan w:val="3"/>
          </w:tcPr>
          <w:p w14:paraId="764D4F6F" w14:textId="77777777" w:rsidR="00B33BEC" w:rsidRPr="00887835" w:rsidRDefault="00E453CD" w:rsidP="00972FC0">
            <w:pPr>
              <w:keepNext/>
              <w:numPr>
                <w:ilvl w:val="12"/>
                <w:numId w:val="0"/>
              </w:numPr>
              <w:ind w:right="-2"/>
              <w:rPr>
                <w:b/>
                <w:sz w:val="22"/>
                <w:szCs w:val="22"/>
                <w:lang w:val="en-GB"/>
              </w:rPr>
            </w:pPr>
            <w:r>
              <w:rPr>
                <w:b/>
                <w:sz w:val="22"/>
                <w:szCs w:val="22"/>
              </w:rPr>
              <w:lastRenderedPageBreak/>
              <w:t>H</w:t>
            </w:r>
            <w:r w:rsidRPr="00062568">
              <w:rPr>
                <w:b/>
                <w:sz w:val="22"/>
                <w:szCs w:val="22"/>
              </w:rPr>
              <w:t>idrosadenitt</w:t>
            </w:r>
          </w:p>
        </w:tc>
      </w:tr>
      <w:tr w:rsidR="004644D4" w14:paraId="05320096" w14:textId="77777777" w:rsidTr="00972FC0">
        <w:tc>
          <w:tcPr>
            <w:tcW w:w="3093" w:type="dxa"/>
          </w:tcPr>
          <w:p w14:paraId="3EFD4711" w14:textId="77777777" w:rsidR="00B33BEC" w:rsidRPr="00887835" w:rsidRDefault="00E453CD" w:rsidP="00972FC0">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159C1A04" w14:textId="77777777" w:rsidR="00B33BEC" w:rsidRPr="00887835" w:rsidRDefault="00E453CD" w:rsidP="00972FC0">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209EBFD5" w14:textId="77777777" w:rsidR="00B33BEC" w:rsidRPr="00887835" w:rsidRDefault="00E453CD" w:rsidP="00972FC0">
            <w:pPr>
              <w:keepNext/>
              <w:numPr>
                <w:ilvl w:val="12"/>
                <w:numId w:val="0"/>
              </w:numPr>
              <w:ind w:right="-2"/>
              <w:rPr>
                <w:sz w:val="22"/>
                <w:szCs w:val="22"/>
                <w:lang w:val="en-GB"/>
              </w:rPr>
            </w:pPr>
            <w:r w:rsidRPr="007830E7">
              <w:rPr>
                <w:b/>
                <w:sz w:val="22"/>
                <w:szCs w:val="22"/>
                <w:lang w:val="en-US"/>
              </w:rPr>
              <w:t>Merknader</w:t>
            </w:r>
          </w:p>
        </w:tc>
      </w:tr>
      <w:tr w:rsidR="004644D4" w14:paraId="75140F57" w14:textId="77777777" w:rsidTr="00972FC0">
        <w:tc>
          <w:tcPr>
            <w:tcW w:w="3093" w:type="dxa"/>
          </w:tcPr>
          <w:p w14:paraId="6A4D226D" w14:textId="77777777" w:rsidR="00B33BEC" w:rsidRPr="00887835" w:rsidRDefault="00E453CD" w:rsidP="00972FC0">
            <w:pPr>
              <w:keepNext/>
              <w:numPr>
                <w:ilvl w:val="12"/>
                <w:numId w:val="0"/>
              </w:numPr>
              <w:ind w:right="-2"/>
              <w:rPr>
                <w:sz w:val="22"/>
                <w:szCs w:val="22"/>
                <w:lang w:val="en-GB"/>
              </w:rPr>
            </w:pPr>
            <w:r>
              <w:rPr>
                <w:sz w:val="22"/>
                <w:szCs w:val="22"/>
                <w:lang w:val="en-GB"/>
              </w:rPr>
              <w:t>Voksne</w:t>
            </w:r>
          </w:p>
        </w:tc>
        <w:tc>
          <w:tcPr>
            <w:tcW w:w="3094" w:type="dxa"/>
          </w:tcPr>
          <w:p w14:paraId="2C2EA8AF" w14:textId="77777777" w:rsidR="00B33BEC" w:rsidRPr="00887835" w:rsidRDefault="00E453CD" w:rsidP="00972FC0">
            <w:pPr>
              <w:keepNext/>
              <w:numPr>
                <w:ilvl w:val="12"/>
                <w:numId w:val="0"/>
              </w:numPr>
              <w:ind w:right="-2"/>
              <w:rPr>
                <w:sz w:val="22"/>
                <w:szCs w:val="22"/>
              </w:rPr>
            </w:pPr>
            <w:r w:rsidRPr="00887835">
              <w:rPr>
                <w:sz w:val="22"/>
                <w:szCs w:val="22"/>
              </w:rPr>
              <w:t xml:space="preserve">Første dose på 160 mg (fire 40 mg </w:t>
            </w:r>
            <w:r w:rsidRPr="00062568">
              <w:rPr>
                <w:sz w:val="22"/>
                <w:szCs w:val="22"/>
              </w:rPr>
              <w:t>injeksjoner på én dag</w:t>
            </w:r>
            <w:r w:rsidRPr="00887835">
              <w:rPr>
                <w:sz w:val="22"/>
                <w:szCs w:val="22"/>
              </w:rPr>
              <w:t xml:space="preserve"> eller to 40 mg injeksjoner daglig </w:t>
            </w:r>
            <w:r w:rsidR="00326F9C">
              <w:rPr>
                <w:sz w:val="22"/>
                <w:szCs w:val="22"/>
              </w:rPr>
              <w:t>i</w:t>
            </w:r>
            <w:r w:rsidRPr="00887835">
              <w:rPr>
                <w:sz w:val="22"/>
                <w:szCs w:val="22"/>
              </w:rPr>
              <w:t xml:space="preserve"> to påfølgende dager), </w:t>
            </w:r>
            <w:r>
              <w:rPr>
                <w:sz w:val="22"/>
                <w:szCs w:val="22"/>
              </w:rPr>
              <w:t>etterfulgt av en</w:t>
            </w:r>
            <w:r w:rsidRPr="00887835">
              <w:rPr>
                <w:sz w:val="22"/>
                <w:szCs w:val="22"/>
              </w:rPr>
              <w:t xml:space="preserve"> 80 mg dose (</w:t>
            </w:r>
            <w:r w:rsidRPr="004C7F6D">
              <w:rPr>
                <w:sz w:val="22"/>
                <w:szCs w:val="22"/>
              </w:rPr>
              <w:t>to 40 mg injeksjoner på én dag</w:t>
            </w:r>
            <w:r w:rsidRPr="00887835">
              <w:rPr>
                <w:sz w:val="22"/>
                <w:szCs w:val="22"/>
              </w:rPr>
              <w:t xml:space="preserve">) </w:t>
            </w:r>
            <w:r>
              <w:rPr>
                <w:sz w:val="22"/>
                <w:szCs w:val="22"/>
              </w:rPr>
              <w:t>to uker senere</w:t>
            </w:r>
            <w:r w:rsidRPr="00887835">
              <w:rPr>
                <w:sz w:val="22"/>
                <w:szCs w:val="22"/>
              </w:rPr>
              <w:t>. Etter</w:t>
            </w:r>
            <w:r w:rsidRPr="00861F89">
              <w:rPr>
                <w:sz w:val="22"/>
                <w:szCs w:val="22"/>
              </w:rPr>
              <w:t xml:space="preserve"> ytterligere to uker, fortsette</w:t>
            </w:r>
            <w:r>
              <w:rPr>
                <w:sz w:val="22"/>
                <w:szCs w:val="22"/>
              </w:rPr>
              <w:t>r du</w:t>
            </w:r>
            <w:r w:rsidRPr="00887835">
              <w:rPr>
                <w:sz w:val="22"/>
                <w:szCs w:val="22"/>
              </w:rPr>
              <w:t xml:space="preserve"> med en dose på 40 mg hver uke</w:t>
            </w:r>
            <w:r w:rsidR="00924BD4">
              <w:rPr>
                <w:sz w:val="22"/>
                <w:szCs w:val="22"/>
              </w:rPr>
              <w:t xml:space="preserve"> eller 80 mg annenhver uke, som forskrevet av legen din</w:t>
            </w:r>
            <w:r w:rsidRPr="00887835">
              <w:rPr>
                <w:sz w:val="22"/>
                <w:szCs w:val="22"/>
              </w:rPr>
              <w:t xml:space="preserve">. </w:t>
            </w:r>
          </w:p>
        </w:tc>
        <w:tc>
          <w:tcPr>
            <w:tcW w:w="3094" w:type="dxa"/>
          </w:tcPr>
          <w:p w14:paraId="150A096F" w14:textId="77777777" w:rsidR="00B33BEC" w:rsidRPr="00887835" w:rsidRDefault="00E453CD" w:rsidP="00972FC0">
            <w:pPr>
              <w:pStyle w:val="gtcbodytext"/>
              <w:keepNext/>
              <w:spacing w:before="100" w:beforeAutospacing="1" w:after="100" w:afterAutospacing="1" w:line="240" w:lineRule="auto"/>
              <w:rPr>
                <w:sz w:val="22"/>
                <w:szCs w:val="22"/>
                <w:lang w:val="nb-NO"/>
              </w:rPr>
            </w:pPr>
            <w:r w:rsidRPr="00887835">
              <w:rPr>
                <w:sz w:val="22"/>
                <w:szCs w:val="22"/>
                <w:lang w:val="nb-NO"/>
              </w:rPr>
              <w:t>Det anbefales at du bruker en antiseptisk vask daglig på de berørte områdene.</w:t>
            </w:r>
          </w:p>
          <w:p w14:paraId="3D18A238" w14:textId="77777777" w:rsidR="00B33BEC" w:rsidRPr="00887835" w:rsidRDefault="00B33BEC" w:rsidP="00972FC0">
            <w:pPr>
              <w:keepNext/>
              <w:numPr>
                <w:ilvl w:val="12"/>
                <w:numId w:val="0"/>
              </w:numPr>
              <w:ind w:right="-2"/>
              <w:rPr>
                <w:sz w:val="22"/>
                <w:szCs w:val="22"/>
              </w:rPr>
            </w:pPr>
          </w:p>
        </w:tc>
      </w:tr>
      <w:tr w:rsidR="004644D4" w14:paraId="1B995F3B" w14:textId="77777777" w:rsidTr="00972FC0">
        <w:tc>
          <w:tcPr>
            <w:tcW w:w="3093" w:type="dxa"/>
          </w:tcPr>
          <w:p w14:paraId="1D9D6402" w14:textId="77777777" w:rsidR="00B33BEC" w:rsidRPr="00DA6326" w:rsidRDefault="00E453CD" w:rsidP="00972FC0">
            <w:pPr>
              <w:numPr>
                <w:ilvl w:val="12"/>
                <w:numId w:val="0"/>
              </w:numPr>
              <w:ind w:right="-2"/>
              <w:rPr>
                <w:sz w:val="22"/>
                <w:szCs w:val="22"/>
              </w:rPr>
            </w:pPr>
            <w:r w:rsidRPr="00F635CA">
              <w:rPr>
                <w:sz w:val="22"/>
                <w:szCs w:val="22"/>
              </w:rPr>
              <w:t xml:space="preserve">Ungdom fra 12 </w:t>
            </w:r>
            <w:r>
              <w:rPr>
                <w:sz w:val="22"/>
                <w:szCs w:val="22"/>
              </w:rPr>
              <w:t xml:space="preserve">til 17 </w:t>
            </w:r>
            <w:r w:rsidRPr="00F635CA">
              <w:rPr>
                <w:sz w:val="22"/>
                <w:szCs w:val="22"/>
              </w:rPr>
              <w:t xml:space="preserve">år </w:t>
            </w:r>
            <w:r>
              <w:rPr>
                <w:sz w:val="22"/>
                <w:szCs w:val="22"/>
              </w:rPr>
              <w:t xml:space="preserve">som veier </w:t>
            </w:r>
            <w:r w:rsidRPr="00F635CA">
              <w:rPr>
                <w:sz w:val="22"/>
                <w:szCs w:val="22"/>
              </w:rPr>
              <w:t>30 kg</w:t>
            </w:r>
            <w:r>
              <w:rPr>
                <w:sz w:val="22"/>
                <w:szCs w:val="22"/>
              </w:rPr>
              <w:t xml:space="preserve"> eller mer</w:t>
            </w:r>
          </w:p>
        </w:tc>
        <w:tc>
          <w:tcPr>
            <w:tcW w:w="3094" w:type="dxa"/>
          </w:tcPr>
          <w:p w14:paraId="3A126DAE" w14:textId="77777777" w:rsidR="00B33BEC" w:rsidRPr="00F635CA" w:rsidRDefault="00E453CD" w:rsidP="00972FC0">
            <w:pPr>
              <w:numPr>
                <w:ilvl w:val="12"/>
                <w:numId w:val="0"/>
              </w:numPr>
              <w:ind w:right="-2"/>
              <w:rPr>
                <w:sz w:val="22"/>
                <w:szCs w:val="22"/>
              </w:rPr>
            </w:pPr>
            <w:r>
              <w:rPr>
                <w:sz w:val="22"/>
                <w:szCs w:val="22"/>
              </w:rPr>
              <w:t>Første</w:t>
            </w:r>
            <w:r w:rsidRPr="00F635CA">
              <w:rPr>
                <w:sz w:val="22"/>
                <w:szCs w:val="22"/>
              </w:rPr>
              <w:t xml:space="preserve"> dose på 80 mg (</w:t>
            </w:r>
            <w:r>
              <w:rPr>
                <w:sz w:val="22"/>
                <w:szCs w:val="22"/>
              </w:rPr>
              <w:t>to</w:t>
            </w:r>
            <w:r w:rsidRPr="00F635CA">
              <w:rPr>
                <w:sz w:val="22"/>
                <w:szCs w:val="22"/>
              </w:rPr>
              <w:t xml:space="preserve"> 40 mg injeksjoner på </w:t>
            </w:r>
            <w:r>
              <w:rPr>
                <w:sz w:val="22"/>
                <w:szCs w:val="22"/>
              </w:rPr>
              <w:t>én</w:t>
            </w:r>
            <w:r w:rsidRPr="00F635CA">
              <w:rPr>
                <w:sz w:val="22"/>
                <w:szCs w:val="22"/>
              </w:rPr>
              <w:t xml:space="preserve"> dag), etterfulgt av 40 mg annenhver uke fra en uke senere. </w:t>
            </w:r>
          </w:p>
          <w:p w14:paraId="70067497" w14:textId="77777777" w:rsidR="00B33BEC" w:rsidRPr="00F635CA" w:rsidRDefault="00B33BEC" w:rsidP="00972FC0">
            <w:pPr>
              <w:numPr>
                <w:ilvl w:val="12"/>
                <w:numId w:val="0"/>
              </w:numPr>
              <w:ind w:right="-2"/>
              <w:rPr>
                <w:sz w:val="22"/>
                <w:szCs w:val="22"/>
              </w:rPr>
            </w:pPr>
          </w:p>
          <w:p w14:paraId="42B3B087" w14:textId="77777777" w:rsidR="00B33BEC" w:rsidRPr="00887835" w:rsidRDefault="00B33BEC" w:rsidP="00972FC0">
            <w:pPr>
              <w:numPr>
                <w:ilvl w:val="12"/>
                <w:numId w:val="0"/>
              </w:numPr>
              <w:ind w:right="-2"/>
              <w:rPr>
                <w:sz w:val="22"/>
                <w:szCs w:val="22"/>
              </w:rPr>
            </w:pPr>
          </w:p>
        </w:tc>
        <w:tc>
          <w:tcPr>
            <w:tcW w:w="3094" w:type="dxa"/>
          </w:tcPr>
          <w:p w14:paraId="028805A3" w14:textId="77777777" w:rsidR="00924BD4" w:rsidRDefault="00E453CD">
            <w:pPr>
              <w:pStyle w:val="gtcbodytext"/>
              <w:spacing w:before="100" w:beforeAutospacing="1" w:after="100" w:afterAutospacing="1" w:line="240" w:lineRule="auto"/>
              <w:rPr>
                <w:sz w:val="22"/>
                <w:szCs w:val="22"/>
                <w:lang w:val="nb-NO"/>
              </w:rPr>
            </w:pPr>
            <w:r w:rsidRPr="00DA6326">
              <w:rPr>
                <w:sz w:val="22"/>
                <w:szCs w:val="22"/>
                <w:lang w:val="nb-NO"/>
              </w:rPr>
              <w:t>Legen din kan øke dosering</w:t>
            </w:r>
            <w:r>
              <w:rPr>
                <w:sz w:val="22"/>
                <w:szCs w:val="22"/>
                <w:lang w:val="nb-NO"/>
              </w:rPr>
              <w:t>en</w:t>
            </w:r>
            <w:r w:rsidRPr="00DA6326">
              <w:rPr>
                <w:sz w:val="22"/>
                <w:szCs w:val="22"/>
                <w:lang w:val="nb-NO"/>
              </w:rPr>
              <w:t xml:space="preserve"> til 40</w:t>
            </w:r>
            <w:r w:rsidR="00DC201A">
              <w:rPr>
                <w:sz w:val="22"/>
                <w:szCs w:val="22"/>
                <w:lang w:val="nb-NO"/>
              </w:rPr>
              <w:t> </w:t>
            </w:r>
            <w:r w:rsidRPr="00DA6326">
              <w:rPr>
                <w:sz w:val="22"/>
                <w:szCs w:val="22"/>
                <w:lang w:val="nb-NO"/>
              </w:rPr>
              <w:t xml:space="preserve">mg hver uke </w:t>
            </w:r>
            <w:r>
              <w:rPr>
                <w:sz w:val="22"/>
                <w:szCs w:val="22"/>
                <w:lang w:val="nb-NO"/>
              </w:rPr>
              <w:t>eller 80</w:t>
            </w:r>
            <w:r w:rsidR="00DC201A">
              <w:rPr>
                <w:sz w:val="22"/>
                <w:szCs w:val="22"/>
                <w:lang w:val="nb-NO"/>
              </w:rPr>
              <w:t> </w:t>
            </w:r>
            <w:r>
              <w:rPr>
                <w:sz w:val="22"/>
                <w:szCs w:val="22"/>
                <w:lang w:val="nb-NO"/>
              </w:rPr>
              <w:t xml:space="preserve">mg annenhver uke </w:t>
            </w:r>
            <w:r w:rsidRPr="00DA6326">
              <w:rPr>
                <w:sz w:val="22"/>
                <w:szCs w:val="22"/>
                <w:lang w:val="nb-NO"/>
              </w:rPr>
              <w:t>dersom du har utilstrekkelig respons</w:t>
            </w:r>
            <w:r>
              <w:rPr>
                <w:sz w:val="22"/>
                <w:szCs w:val="22"/>
                <w:lang w:val="nb-NO"/>
              </w:rPr>
              <w:t xml:space="preserve"> på 40</w:t>
            </w:r>
            <w:r w:rsidR="00DC201A">
              <w:rPr>
                <w:sz w:val="22"/>
                <w:szCs w:val="22"/>
                <w:lang w:val="nb-NO"/>
              </w:rPr>
              <w:t> </w:t>
            </w:r>
            <w:r>
              <w:rPr>
                <w:sz w:val="22"/>
                <w:szCs w:val="22"/>
                <w:lang w:val="nb-NO"/>
              </w:rPr>
              <w:t xml:space="preserve">mg Humira </w:t>
            </w:r>
            <w:r w:rsidR="00DC201A">
              <w:rPr>
                <w:sz w:val="22"/>
                <w:szCs w:val="22"/>
                <w:lang w:val="nb-NO"/>
              </w:rPr>
              <w:t>annen</w:t>
            </w:r>
            <w:r>
              <w:rPr>
                <w:sz w:val="22"/>
                <w:szCs w:val="22"/>
                <w:lang w:val="nb-NO"/>
              </w:rPr>
              <w:t>hver uke</w:t>
            </w:r>
            <w:r w:rsidRPr="00DA6326">
              <w:rPr>
                <w:sz w:val="22"/>
                <w:szCs w:val="22"/>
                <w:lang w:val="nb-NO"/>
              </w:rPr>
              <w:t>.</w:t>
            </w:r>
          </w:p>
          <w:p w14:paraId="374CE27B" w14:textId="77777777" w:rsidR="00B33BEC" w:rsidRPr="00887835" w:rsidRDefault="00E453CD">
            <w:pPr>
              <w:pStyle w:val="gtcbodytext"/>
              <w:spacing w:before="100" w:beforeAutospacing="1" w:after="100" w:afterAutospacing="1" w:line="240" w:lineRule="auto"/>
              <w:rPr>
                <w:sz w:val="22"/>
                <w:szCs w:val="22"/>
                <w:lang w:val="nb-NO"/>
              </w:rPr>
            </w:pPr>
            <w:r w:rsidRPr="00DA6326">
              <w:rPr>
                <w:sz w:val="22"/>
                <w:szCs w:val="22"/>
                <w:lang w:val="nb-NO"/>
              </w:rPr>
              <w:t>Det anbefales at du bruker en antiseptisk vask daglig på de berørte områdene.</w:t>
            </w:r>
          </w:p>
        </w:tc>
      </w:tr>
    </w:tbl>
    <w:p w14:paraId="65E71D0B" w14:textId="77777777" w:rsidR="00B33BEC" w:rsidRPr="00C40ABF" w:rsidRDefault="00B33BEC" w:rsidP="00B33BEC">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4"/>
        <w:gridCol w:w="3043"/>
      </w:tblGrid>
      <w:tr w:rsidR="004644D4" w14:paraId="5EEA0BBA" w14:textId="77777777" w:rsidTr="00972FC0">
        <w:tc>
          <w:tcPr>
            <w:tcW w:w="9281" w:type="dxa"/>
            <w:gridSpan w:val="3"/>
          </w:tcPr>
          <w:p w14:paraId="6E521B31" w14:textId="77777777" w:rsidR="00B33BEC" w:rsidRPr="00887835" w:rsidRDefault="00E453CD" w:rsidP="00972FC0">
            <w:pPr>
              <w:numPr>
                <w:ilvl w:val="12"/>
                <w:numId w:val="0"/>
              </w:numPr>
              <w:ind w:right="-2"/>
              <w:rPr>
                <w:sz w:val="22"/>
                <w:szCs w:val="22"/>
                <w:lang w:val="en-GB"/>
              </w:rPr>
            </w:pPr>
            <w:r w:rsidRPr="00861F89">
              <w:rPr>
                <w:b/>
                <w:sz w:val="22"/>
                <w:szCs w:val="22"/>
                <w:lang w:val="en-GB"/>
              </w:rPr>
              <w:t>Crohn</w:t>
            </w:r>
            <w:r w:rsidRPr="00887835">
              <w:rPr>
                <w:b/>
                <w:sz w:val="22"/>
                <w:szCs w:val="22"/>
                <w:lang w:val="en-GB"/>
              </w:rPr>
              <w:t xml:space="preserve">s </w:t>
            </w:r>
            <w:r>
              <w:rPr>
                <w:b/>
                <w:sz w:val="22"/>
                <w:szCs w:val="22"/>
                <w:lang w:val="en-GB"/>
              </w:rPr>
              <w:t>sykdom</w:t>
            </w:r>
          </w:p>
        </w:tc>
      </w:tr>
      <w:tr w:rsidR="004644D4" w14:paraId="6269A367" w14:textId="77777777" w:rsidTr="00972FC0">
        <w:tc>
          <w:tcPr>
            <w:tcW w:w="3093" w:type="dxa"/>
          </w:tcPr>
          <w:p w14:paraId="53D0D22F" w14:textId="77777777" w:rsidR="00B33BEC" w:rsidRPr="00887835" w:rsidRDefault="00E453CD" w:rsidP="00972FC0">
            <w:pPr>
              <w:numPr>
                <w:ilvl w:val="12"/>
                <w:numId w:val="0"/>
              </w:numPr>
              <w:ind w:right="-2"/>
              <w:rPr>
                <w:sz w:val="22"/>
                <w:szCs w:val="22"/>
                <w:lang w:val="en-GB"/>
              </w:rPr>
            </w:pPr>
            <w:r w:rsidRPr="007830E7">
              <w:rPr>
                <w:b/>
                <w:sz w:val="22"/>
                <w:szCs w:val="22"/>
                <w:lang w:val="en-US"/>
              </w:rPr>
              <w:t>Alder eller kroppsvekt</w:t>
            </w:r>
          </w:p>
        </w:tc>
        <w:tc>
          <w:tcPr>
            <w:tcW w:w="3094" w:type="dxa"/>
          </w:tcPr>
          <w:p w14:paraId="0D1C3955" w14:textId="77777777" w:rsidR="00B33BEC" w:rsidRPr="00887835" w:rsidRDefault="00E453CD" w:rsidP="00972FC0">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0ED026B5" w14:textId="77777777" w:rsidR="00B33BEC" w:rsidRPr="00887835" w:rsidRDefault="00E453CD" w:rsidP="00972FC0">
            <w:pPr>
              <w:numPr>
                <w:ilvl w:val="12"/>
                <w:numId w:val="0"/>
              </w:numPr>
              <w:ind w:right="-2"/>
              <w:rPr>
                <w:sz w:val="22"/>
                <w:szCs w:val="22"/>
                <w:lang w:val="en-GB"/>
              </w:rPr>
            </w:pPr>
            <w:r w:rsidRPr="007830E7">
              <w:rPr>
                <w:b/>
                <w:sz w:val="22"/>
                <w:szCs w:val="22"/>
                <w:lang w:val="en-US"/>
              </w:rPr>
              <w:t>Merknader</w:t>
            </w:r>
          </w:p>
        </w:tc>
      </w:tr>
      <w:tr w:rsidR="004644D4" w14:paraId="001C4047" w14:textId="77777777" w:rsidTr="00972FC0">
        <w:tc>
          <w:tcPr>
            <w:tcW w:w="3093" w:type="dxa"/>
          </w:tcPr>
          <w:p w14:paraId="09AE825C" w14:textId="77777777" w:rsidR="00B33BEC" w:rsidRPr="00887835" w:rsidRDefault="00E453CD" w:rsidP="00972FC0">
            <w:pPr>
              <w:numPr>
                <w:ilvl w:val="12"/>
                <w:numId w:val="0"/>
              </w:numPr>
              <w:ind w:right="-2"/>
              <w:rPr>
                <w:sz w:val="22"/>
                <w:szCs w:val="22"/>
              </w:rPr>
            </w:pPr>
            <w:r w:rsidRPr="00887835">
              <w:rPr>
                <w:sz w:val="22"/>
                <w:szCs w:val="22"/>
              </w:rPr>
              <w:t>Barn</w:t>
            </w:r>
            <w:r>
              <w:rPr>
                <w:sz w:val="22"/>
                <w:szCs w:val="22"/>
              </w:rPr>
              <w:t>,</w:t>
            </w:r>
            <w:r w:rsidRPr="00887835">
              <w:rPr>
                <w:sz w:val="22"/>
                <w:szCs w:val="22"/>
              </w:rPr>
              <w:t xml:space="preserve"> ungdom </w:t>
            </w:r>
            <w:r>
              <w:rPr>
                <w:sz w:val="22"/>
                <w:szCs w:val="22"/>
              </w:rPr>
              <w:t>og voksne over</w:t>
            </w:r>
            <w:r w:rsidRPr="00887835">
              <w:rPr>
                <w:sz w:val="22"/>
                <w:szCs w:val="22"/>
              </w:rPr>
              <w:t xml:space="preserve"> 6 år som veier 40 kg eller mer</w:t>
            </w:r>
          </w:p>
        </w:tc>
        <w:tc>
          <w:tcPr>
            <w:tcW w:w="3094" w:type="dxa"/>
          </w:tcPr>
          <w:p w14:paraId="06CBB208" w14:textId="77777777" w:rsidR="00B33BEC" w:rsidRDefault="00E453CD" w:rsidP="00972FC0">
            <w:pPr>
              <w:rPr>
                <w:sz w:val="22"/>
                <w:szCs w:val="22"/>
              </w:rPr>
            </w:pPr>
            <w:r w:rsidRPr="004C7F6D">
              <w:rPr>
                <w:sz w:val="22"/>
                <w:szCs w:val="22"/>
              </w:rPr>
              <w:t xml:space="preserve">Første dose på 80 mg (to 40 mg injeksjoner på én dag), etterfulgt </w:t>
            </w:r>
            <w:r>
              <w:rPr>
                <w:sz w:val="22"/>
                <w:szCs w:val="22"/>
              </w:rPr>
              <w:t>av</w:t>
            </w:r>
            <w:r w:rsidRPr="00887835">
              <w:rPr>
                <w:sz w:val="22"/>
                <w:szCs w:val="22"/>
              </w:rPr>
              <w:t xml:space="preserve"> 40 mg to </w:t>
            </w:r>
            <w:r>
              <w:rPr>
                <w:sz w:val="22"/>
                <w:szCs w:val="22"/>
              </w:rPr>
              <w:t>uker senere</w:t>
            </w:r>
            <w:r w:rsidRPr="00887835">
              <w:rPr>
                <w:sz w:val="22"/>
                <w:szCs w:val="22"/>
              </w:rPr>
              <w:t>.</w:t>
            </w:r>
          </w:p>
          <w:p w14:paraId="4F798FA2" w14:textId="77777777" w:rsidR="00B33BEC" w:rsidRPr="00887835" w:rsidRDefault="00B33BEC" w:rsidP="00972FC0">
            <w:pPr>
              <w:rPr>
                <w:sz w:val="22"/>
                <w:szCs w:val="22"/>
              </w:rPr>
            </w:pPr>
          </w:p>
          <w:p w14:paraId="05881292" w14:textId="77777777" w:rsidR="00B33BEC" w:rsidRDefault="00E453CD" w:rsidP="00972FC0">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 xml:space="preserve">dose på 160 mg (fire 40 mg </w:t>
            </w:r>
            <w:r w:rsidRPr="00062568">
              <w:rPr>
                <w:sz w:val="22"/>
                <w:szCs w:val="22"/>
              </w:rPr>
              <w:t>injeksjoner på én dag</w:t>
            </w:r>
            <w:r w:rsidRPr="004C7F6D">
              <w:rPr>
                <w:sz w:val="22"/>
                <w:szCs w:val="22"/>
              </w:rPr>
              <w:t xml:space="preserve"> eller to 40 mg injeksjoner daglig </w:t>
            </w:r>
            <w:r w:rsidR="00326F9C">
              <w:rPr>
                <w:sz w:val="22"/>
                <w:szCs w:val="22"/>
              </w:rPr>
              <w:t>i</w:t>
            </w:r>
            <w:r w:rsidRPr="004C7F6D">
              <w:rPr>
                <w:sz w:val="22"/>
                <w:szCs w:val="22"/>
              </w:rPr>
              <w:t xml:space="preserve"> to påfølgende dager), etterfulgt av 80 mg (to 40 mg injeksjoner på én dag)</w:t>
            </w:r>
            <w:r>
              <w:rPr>
                <w:sz w:val="22"/>
                <w:szCs w:val="22"/>
              </w:rPr>
              <w:t xml:space="preserve"> </w:t>
            </w:r>
            <w:r w:rsidRPr="004C7F6D">
              <w:rPr>
                <w:sz w:val="22"/>
                <w:szCs w:val="22"/>
              </w:rPr>
              <w:t>to uker senere</w:t>
            </w:r>
            <w:r>
              <w:rPr>
                <w:sz w:val="22"/>
                <w:szCs w:val="22"/>
              </w:rPr>
              <w:t>.</w:t>
            </w:r>
          </w:p>
          <w:p w14:paraId="503D20E9" w14:textId="77777777" w:rsidR="00B33BEC" w:rsidRPr="00887835" w:rsidRDefault="00B33BEC" w:rsidP="00972FC0">
            <w:pPr>
              <w:rPr>
                <w:sz w:val="22"/>
                <w:szCs w:val="22"/>
              </w:rPr>
            </w:pPr>
          </w:p>
          <w:p w14:paraId="54247B7C" w14:textId="77777777" w:rsidR="00B33BEC" w:rsidRPr="00887835" w:rsidRDefault="00E453CD" w:rsidP="00972FC0">
            <w:pPr>
              <w:numPr>
                <w:ilvl w:val="12"/>
                <w:numId w:val="0"/>
              </w:numPr>
              <w:ind w:right="-2"/>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p>
        </w:tc>
        <w:tc>
          <w:tcPr>
            <w:tcW w:w="3094" w:type="dxa"/>
          </w:tcPr>
          <w:p w14:paraId="16A23305" w14:textId="77777777" w:rsidR="00B33BEC" w:rsidRPr="00887835" w:rsidRDefault="00E453CD" w:rsidP="00972FC0">
            <w:pPr>
              <w:spacing w:before="100" w:beforeAutospacing="1" w:after="100" w:afterAutospacing="1"/>
              <w:rPr>
                <w:sz w:val="22"/>
                <w:szCs w:val="22"/>
              </w:rPr>
            </w:pPr>
            <w:r w:rsidRPr="00887835">
              <w:rPr>
                <w:sz w:val="22"/>
                <w:szCs w:val="22"/>
              </w:rPr>
              <w:t>Legen din kan øke dosering</w:t>
            </w:r>
            <w:r w:rsidR="00924BD4">
              <w:rPr>
                <w:sz w:val="22"/>
                <w:szCs w:val="22"/>
              </w:rPr>
              <w:t>en</w:t>
            </w:r>
            <w:r w:rsidRPr="00887835">
              <w:rPr>
                <w:sz w:val="22"/>
                <w:szCs w:val="22"/>
              </w:rPr>
              <w:t xml:space="preserve"> til 40 mg hver uke</w:t>
            </w:r>
            <w:r w:rsidR="00924BD4">
              <w:rPr>
                <w:sz w:val="22"/>
                <w:szCs w:val="22"/>
              </w:rPr>
              <w:t xml:space="preserve"> eller 80 mg annenhver uke</w:t>
            </w:r>
            <w:r w:rsidRPr="00887835">
              <w:rPr>
                <w:sz w:val="22"/>
                <w:szCs w:val="22"/>
              </w:rPr>
              <w:t>.</w:t>
            </w:r>
          </w:p>
          <w:p w14:paraId="678BFAAA" w14:textId="77777777" w:rsidR="00B33BEC" w:rsidRPr="00887835" w:rsidRDefault="00B33BEC" w:rsidP="00972FC0">
            <w:pPr>
              <w:spacing w:before="100" w:beforeAutospacing="1" w:after="100" w:afterAutospacing="1"/>
              <w:rPr>
                <w:sz w:val="22"/>
                <w:szCs w:val="22"/>
              </w:rPr>
            </w:pPr>
          </w:p>
        </w:tc>
      </w:tr>
      <w:tr w:rsidR="004644D4" w14:paraId="6F01692C" w14:textId="77777777" w:rsidTr="00972FC0">
        <w:tc>
          <w:tcPr>
            <w:tcW w:w="3093" w:type="dxa"/>
          </w:tcPr>
          <w:p w14:paraId="56DA8236" w14:textId="77777777" w:rsidR="00B33BEC" w:rsidRPr="00887835" w:rsidRDefault="00E453CD" w:rsidP="00972FC0">
            <w:pPr>
              <w:numPr>
                <w:ilvl w:val="12"/>
                <w:numId w:val="0"/>
              </w:numPr>
              <w:ind w:right="-2"/>
              <w:rPr>
                <w:sz w:val="22"/>
                <w:szCs w:val="22"/>
              </w:rPr>
            </w:pPr>
            <w:r w:rsidRPr="004C7F6D">
              <w:rPr>
                <w:sz w:val="22"/>
                <w:szCs w:val="22"/>
              </w:rPr>
              <w:t xml:space="preserve">Barn og ungdom fra 6 </w:t>
            </w:r>
            <w:r>
              <w:rPr>
                <w:sz w:val="22"/>
                <w:szCs w:val="22"/>
              </w:rPr>
              <w:t xml:space="preserve">til 17 </w:t>
            </w:r>
            <w:r w:rsidRPr="004C7F6D">
              <w:rPr>
                <w:sz w:val="22"/>
                <w:szCs w:val="22"/>
              </w:rPr>
              <w:t xml:space="preserve">år som veier </w:t>
            </w:r>
            <w:r>
              <w:rPr>
                <w:sz w:val="22"/>
                <w:szCs w:val="22"/>
              </w:rPr>
              <w:t xml:space="preserve">under </w:t>
            </w:r>
            <w:r w:rsidRPr="004C7F6D">
              <w:rPr>
                <w:sz w:val="22"/>
                <w:szCs w:val="22"/>
              </w:rPr>
              <w:t>40 kg</w:t>
            </w:r>
          </w:p>
        </w:tc>
        <w:tc>
          <w:tcPr>
            <w:tcW w:w="3094" w:type="dxa"/>
          </w:tcPr>
          <w:p w14:paraId="17C24815" w14:textId="77777777" w:rsidR="00B33BEC" w:rsidRDefault="00E453CD" w:rsidP="00972FC0">
            <w:pPr>
              <w:rPr>
                <w:sz w:val="22"/>
                <w:szCs w:val="22"/>
              </w:rPr>
            </w:pPr>
            <w:r w:rsidRPr="00887835">
              <w:rPr>
                <w:sz w:val="22"/>
                <w:szCs w:val="22"/>
              </w:rPr>
              <w:t xml:space="preserve">Første dose på 40 mg, etterfulgt av 20 mg to </w:t>
            </w:r>
            <w:r>
              <w:rPr>
                <w:sz w:val="22"/>
                <w:szCs w:val="22"/>
              </w:rPr>
              <w:t>uker senere</w:t>
            </w:r>
            <w:r w:rsidRPr="00887835">
              <w:rPr>
                <w:sz w:val="22"/>
                <w:szCs w:val="22"/>
              </w:rPr>
              <w:t xml:space="preserve">. </w:t>
            </w:r>
          </w:p>
          <w:p w14:paraId="1354162A" w14:textId="77777777" w:rsidR="00B33BEC" w:rsidRPr="00887835" w:rsidRDefault="00B33BEC" w:rsidP="00972FC0">
            <w:pPr>
              <w:rPr>
                <w:sz w:val="22"/>
                <w:szCs w:val="22"/>
              </w:rPr>
            </w:pPr>
          </w:p>
          <w:p w14:paraId="1BE2F624" w14:textId="77777777" w:rsidR="00B33BEC" w:rsidRDefault="00E453CD" w:rsidP="00972FC0">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dose på</w:t>
            </w:r>
            <w:r w:rsidRPr="00887835">
              <w:rPr>
                <w:sz w:val="22"/>
                <w:szCs w:val="22"/>
              </w:rPr>
              <w:t xml:space="preserve"> 80 mg (</w:t>
            </w:r>
            <w:r w:rsidRPr="004C7F6D">
              <w:rPr>
                <w:sz w:val="22"/>
                <w:szCs w:val="22"/>
              </w:rPr>
              <w:t>to 40 mg injeksjoner på én dag</w:t>
            </w:r>
            <w:r w:rsidRPr="00887835">
              <w:rPr>
                <w:sz w:val="22"/>
                <w:szCs w:val="22"/>
              </w:rPr>
              <w:t xml:space="preserve">), </w:t>
            </w:r>
            <w:r>
              <w:rPr>
                <w:sz w:val="22"/>
                <w:szCs w:val="22"/>
              </w:rPr>
              <w:t>etterfulgt av</w:t>
            </w:r>
            <w:r w:rsidRPr="00887835">
              <w:rPr>
                <w:sz w:val="22"/>
                <w:szCs w:val="22"/>
              </w:rPr>
              <w:t xml:space="preserve"> 40 mg to </w:t>
            </w:r>
            <w:r>
              <w:rPr>
                <w:sz w:val="22"/>
                <w:szCs w:val="22"/>
              </w:rPr>
              <w:t>uker senere</w:t>
            </w:r>
            <w:r w:rsidRPr="00887835">
              <w:rPr>
                <w:sz w:val="22"/>
                <w:szCs w:val="22"/>
              </w:rPr>
              <w:t>.</w:t>
            </w:r>
          </w:p>
          <w:p w14:paraId="6D099559" w14:textId="77777777" w:rsidR="00B33BEC" w:rsidRPr="00887835" w:rsidRDefault="00B33BEC" w:rsidP="00972FC0">
            <w:pPr>
              <w:rPr>
                <w:sz w:val="22"/>
                <w:szCs w:val="22"/>
              </w:rPr>
            </w:pPr>
          </w:p>
          <w:p w14:paraId="23B3621B" w14:textId="77777777" w:rsidR="00B33BEC" w:rsidRPr="00887835" w:rsidRDefault="00E453CD" w:rsidP="00972FC0">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20</w:t>
            </w:r>
            <w:r w:rsidRPr="004C7F6D">
              <w:rPr>
                <w:sz w:val="22"/>
                <w:szCs w:val="22"/>
              </w:rPr>
              <w:t xml:space="preserve"> mg annenhver uke.</w:t>
            </w:r>
          </w:p>
        </w:tc>
        <w:tc>
          <w:tcPr>
            <w:tcW w:w="3094" w:type="dxa"/>
          </w:tcPr>
          <w:p w14:paraId="33C77981" w14:textId="77777777" w:rsidR="00B33BEC" w:rsidRPr="00887835" w:rsidRDefault="00E453CD" w:rsidP="00972FC0">
            <w:pPr>
              <w:spacing w:before="100" w:beforeAutospacing="1" w:after="100" w:afterAutospacing="1"/>
              <w:rPr>
                <w:sz w:val="22"/>
                <w:szCs w:val="22"/>
              </w:rPr>
            </w:pPr>
            <w:r w:rsidRPr="009C5EFD">
              <w:rPr>
                <w:sz w:val="22"/>
                <w:szCs w:val="22"/>
              </w:rPr>
              <w:t xml:space="preserve">Legen din kan øke doseringsfrekvensen til </w:t>
            </w:r>
            <w:r>
              <w:rPr>
                <w:sz w:val="22"/>
                <w:szCs w:val="22"/>
              </w:rPr>
              <w:t>2</w:t>
            </w:r>
            <w:r w:rsidRPr="009C5EFD">
              <w:rPr>
                <w:sz w:val="22"/>
                <w:szCs w:val="22"/>
              </w:rPr>
              <w:t>0 mg hver uke</w:t>
            </w:r>
            <w:r w:rsidRPr="00887835">
              <w:rPr>
                <w:sz w:val="22"/>
                <w:szCs w:val="22"/>
              </w:rPr>
              <w:t>.</w:t>
            </w:r>
          </w:p>
          <w:p w14:paraId="068D1F96" w14:textId="77777777" w:rsidR="00B33BEC" w:rsidRPr="00887835" w:rsidRDefault="00B33BEC" w:rsidP="00972FC0">
            <w:pPr>
              <w:numPr>
                <w:ilvl w:val="12"/>
                <w:numId w:val="0"/>
              </w:numPr>
              <w:spacing w:before="100" w:beforeAutospacing="1" w:after="100" w:afterAutospacing="1"/>
              <w:ind w:right="-2"/>
              <w:rPr>
                <w:sz w:val="22"/>
                <w:szCs w:val="22"/>
              </w:rPr>
            </w:pPr>
          </w:p>
        </w:tc>
      </w:tr>
    </w:tbl>
    <w:p w14:paraId="242CB938" w14:textId="77777777" w:rsidR="00B33BEC" w:rsidRPr="00C40ABF" w:rsidRDefault="00B33BEC" w:rsidP="00B33BEC">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6"/>
        <w:gridCol w:w="3020"/>
      </w:tblGrid>
      <w:tr w:rsidR="004644D4" w14:paraId="06E35B1A" w14:textId="77777777" w:rsidTr="00972FC0">
        <w:tc>
          <w:tcPr>
            <w:tcW w:w="9281" w:type="dxa"/>
            <w:gridSpan w:val="3"/>
          </w:tcPr>
          <w:p w14:paraId="62CA531D" w14:textId="77777777" w:rsidR="00B33BEC" w:rsidRPr="00887835" w:rsidRDefault="00E453CD" w:rsidP="00972FC0">
            <w:pPr>
              <w:keepNext/>
              <w:numPr>
                <w:ilvl w:val="12"/>
                <w:numId w:val="0"/>
              </w:numPr>
              <w:ind w:right="-2"/>
              <w:rPr>
                <w:b/>
                <w:sz w:val="22"/>
                <w:szCs w:val="22"/>
                <w:lang w:val="en-GB"/>
              </w:rPr>
            </w:pPr>
            <w:r>
              <w:rPr>
                <w:b/>
                <w:sz w:val="22"/>
                <w:szCs w:val="22"/>
              </w:rPr>
              <w:t>U</w:t>
            </w:r>
            <w:r w:rsidRPr="003D2742">
              <w:rPr>
                <w:b/>
                <w:sz w:val="22"/>
                <w:szCs w:val="22"/>
              </w:rPr>
              <w:t>lcerøs kolitt</w:t>
            </w:r>
          </w:p>
        </w:tc>
      </w:tr>
      <w:tr w:rsidR="004644D4" w14:paraId="2D593F90" w14:textId="77777777" w:rsidTr="00972FC0">
        <w:tc>
          <w:tcPr>
            <w:tcW w:w="3093" w:type="dxa"/>
          </w:tcPr>
          <w:p w14:paraId="5B2AA692" w14:textId="77777777" w:rsidR="00B33BEC" w:rsidRPr="00887835" w:rsidRDefault="00E453CD" w:rsidP="00972FC0">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0E451CBD" w14:textId="77777777" w:rsidR="00B33BEC" w:rsidRPr="00887835" w:rsidRDefault="00E453CD" w:rsidP="00972FC0">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0C6C2F24" w14:textId="77777777" w:rsidR="00B33BEC" w:rsidRPr="00887835" w:rsidRDefault="00E453CD" w:rsidP="00972FC0">
            <w:pPr>
              <w:keepNext/>
              <w:numPr>
                <w:ilvl w:val="12"/>
                <w:numId w:val="0"/>
              </w:numPr>
              <w:ind w:right="-2"/>
              <w:rPr>
                <w:sz w:val="22"/>
                <w:szCs w:val="22"/>
                <w:lang w:val="en-GB"/>
              </w:rPr>
            </w:pPr>
            <w:r w:rsidRPr="007830E7">
              <w:rPr>
                <w:b/>
                <w:sz w:val="22"/>
                <w:szCs w:val="22"/>
                <w:lang w:val="en-US"/>
              </w:rPr>
              <w:t>Merknader</w:t>
            </w:r>
          </w:p>
        </w:tc>
      </w:tr>
      <w:tr w:rsidR="004644D4" w14:paraId="3456126E" w14:textId="77777777" w:rsidTr="00972FC0">
        <w:tc>
          <w:tcPr>
            <w:tcW w:w="3093" w:type="dxa"/>
          </w:tcPr>
          <w:p w14:paraId="53E835BA" w14:textId="77777777" w:rsidR="00B33BEC" w:rsidRPr="00CF58F0" w:rsidRDefault="00E453CD" w:rsidP="00972FC0">
            <w:pPr>
              <w:keepNext/>
              <w:numPr>
                <w:ilvl w:val="12"/>
                <w:numId w:val="0"/>
              </w:numPr>
              <w:ind w:right="-2"/>
              <w:rPr>
                <w:sz w:val="22"/>
                <w:szCs w:val="22"/>
                <w:lang w:val="en-GB"/>
              </w:rPr>
            </w:pPr>
            <w:r w:rsidRPr="00CF58F0">
              <w:rPr>
                <w:sz w:val="22"/>
                <w:szCs w:val="22"/>
              </w:rPr>
              <w:t>Voksne</w:t>
            </w:r>
          </w:p>
        </w:tc>
        <w:tc>
          <w:tcPr>
            <w:tcW w:w="3094" w:type="dxa"/>
          </w:tcPr>
          <w:p w14:paraId="0E62062D" w14:textId="77777777" w:rsidR="00B33BEC" w:rsidRPr="008800F8" w:rsidRDefault="00E453CD" w:rsidP="00972FC0">
            <w:pPr>
              <w:keepNext/>
              <w:numPr>
                <w:ilvl w:val="12"/>
                <w:numId w:val="0"/>
              </w:numPr>
              <w:rPr>
                <w:sz w:val="22"/>
                <w:szCs w:val="22"/>
              </w:rPr>
            </w:pPr>
            <w:r w:rsidRPr="00823E47">
              <w:rPr>
                <w:sz w:val="22"/>
                <w:szCs w:val="22"/>
              </w:rPr>
              <w:t xml:space="preserve">Første dose på 160 mg (fire 40 mg </w:t>
            </w:r>
            <w:r w:rsidRPr="00000B2B">
              <w:rPr>
                <w:sz w:val="22"/>
                <w:szCs w:val="22"/>
              </w:rPr>
              <w:t xml:space="preserve">injeksjoner på én dag eller to 40 mg injeksjoner daglig </w:t>
            </w:r>
            <w:r w:rsidR="00326F9C">
              <w:rPr>
                <w:sz w:val="22"/>
                <w:szCs w:val="22"/>
              </w:rPr>
              <w:t>i</w:t>
            </w:r>
            <w:r w:rsidRPr="00000B2B">
              <w:rPr>
                <w:sz w:val="22"/>
                <w:szCs w:val="22"/>
              </w:rPr>
              <w:t xml:space="preserve"> to påfølgende dager), etterfulgt av 80 mg (to 40 mg injeksjoner på én dag) to uker senere.</w:t>
            </w:r>
          </w:p>
          <w:p w14:paraId="6193AB83" w14:textId="77777777" w:rsidR="00B33BEC" w:rsidRPr="008800F8" w:rsidRDefault="00B33BEC" w:rsidP="00972FC0">
            <w:pPr>
              <w:keepNext/>
              <w:numPr>
                <w:ilvl w:val="12"/>
                <w:numId w:val="0"/>
              </w:numPr>
              <w:rPr>
                <w:sz w:val="22"/>
                <w:szCs w:val="22"/>
              </w:rPr>
            </w:pPr>
          </w:p>
          <w:p w14:paraId="79279F25" w14:textId="77777777" w:rsidR="00B33BEC" w:rsidRPr="00620B5E" w:rsidRDefault="00E453CD" w:rsidP="00972FC0">
            <w:pPr>
              <w:keepNext/>
              <w:numPr>
                <w:ilvl w:val="12"/>
                <w:numId w:val="0"/>
              </w:numPr>
              <w:rPr>
                <w:sz w:val="22"/>
                <w:szCs w:val="22"/>
              </w:rPr>
            </w:pPr>
            <w:r w:rsidRPr="00D42865">
              <w:rPr>
                <w:sz w:val="22"/>
                <w:szCs w:val="22"/>
              </w:rPr>
              <w:t>D</w:t>
            </w:r>
            <w:r w:rsidRPr="00620B5E">
              <w:rPr>
                <w:sz w:val="22"/>
                <w:szCs w:val="22"/>
              </w:rPr>
              <w:t>eretter er vanlig dose 40 mg annenhver uke.</w:t>
            </w:r>
          </w:p>
        </w:tc>
        <w:tc>
          <w:tcPr>
            <w:tcW w:w="3094" w:type="dxa"/>
          </w:tcPr>
          <w:p w14:paraId="0011577D" w14:textId="77777777" w:rsidR="00B33BEC" w:rsidRPr="00CF58F0" w:rsidRDefault="00E453CD" w:rsidP="00972FC0">
            <w:pPr>
              <w:keepNext/>
              <w:numPr>
                <w:ilvl w:val="12"/>
                <w:numId w:val="0"/>
              </w:numPr>
              <w:ind w:right="-2"/>
              <w:rPr>
                <w:sz w:val="22"/>
                <w:szCs w:val="22"/>
              </w:rPr>
            </w:pPr>
            <w:r w:rsidRPr="00620B5E">
              <w:rPr>
                <w:sz w:val="22"/>
                <w:szCs w:val="22"/>
              </w:rPr>
              <w:t>Legen din kan øke dosering</w:t>
            </w:r>
            <w:r w:rsidR="0032142D" w:rsidRPr="00642C33">
              <w:rPr>
                <w:sz w:val="22"/>
                <w:szCs w:val="22"/>
              </w:rPr>
              <w:t>en</w:t>
            </w:r>
            <w:r w:rsidRPr="00B170C2">
              <w:rPr>
                <w:sz w:val="22"/>
                <w:szCs w:val="22"/>
              </w:rPr>
              <w:t xml:space="preserve"> til 40 mg hver uke</w:t>
            </w:r>
            <w:r w:rsidR="0032142D" w:rsidRPr="00CF58F0">
              <w:rPr>
                <w:sz w:val="22"/>
                <w:szCs w:val="22"/>
              </w:rPr>
              <w:t xml:space="preserve"> eller 80 mg annenhver uke</w:t>
            </w:r>
            <w:r w:rsidRPr="00CF58F0">
              <w:rPr>
                <w:sz w:val="22"/>
                <w:szCs w:val="22"/>
              </w:rPr>
              <w:t>.</w:t>
            </w:r>
          </w:p>
        </w:tc>
      </w:tr>
      <w:tr w:rsidR="004644D4" w14:paraId="3CC81E2E" w14:textId="77777777" w:rsidTr="00972FC0">
        <w:tc>
          <w:tcPr>
            <w:tcW w:w="3093" w:type="dxa"/>
          </w:tcPr>
          <w:p w14:paraId="650DCC65" w14:textId="77777777" w:rsidR="00CF58F0" w:rsidRPr="00CF58F0" w:rsidRDefault="00E453CD" w:rsidP="00CF58F0">
            <w:pPr>
              <w:keepNext/>
              <w:numPr>
                <w:ilvl w:val="12"/>
                <w:numId w:val="0"/>
              </w:numPr>
              <w:ind w:right="-2"/>
              <w:rPr>
                <w:sz w:val="22"/>
                <w:szCs w:val="22"/>
              </w:rPr>
            </w:pPr>
            <w:r w:rsidRPr="00E04B2A">
              <w:rPr>
                <w:sz w:val="22"/>
              </w:rPr>
              <w:t xml:space="preserve">Barn og ungdom fra 6 år som veier </w:t>
            </w:r>
            <w:r w:rsidR="00641EA5">
              <w:rPr>
                <w:sz w:val="22"/>
              </w:rPr>
              <w:t xml:space="preserve">under </w:t>
            </w:r>
            <w:r w:rsidRPr="00E04B2A">
              <w:rPr>
                <w:sz w:val="22"/>
              </w:rPr>
              <w:t>40 kg</w:t>
            </w:r>
          </w:p>
        </w:tc>
        <w:tc>
          <w:tcPr>
            <w:tcW w:w="3094" w:type="dxa"/>
          </w:tcPr>
          <w:p w14:paraId="5D671C46" w14:textId="77777777" w:rsidR="00CF58F0" w:rsidRPr="00E04B2A" w:rsidRDefault="00E453CD" w:rsidP="00CF58F0">
            <w:pPr>
              <w:numPr>
                <w:ilvl w:val="12"/>
                <w:numId w:val="0"/>
              </w:numPr>
              <w:rPr>
                <w:sz w:val="22"/>
              </w:rPr>
            </w:pPr>
            <w:r w:rsidRPr="00E04B2A">
              <w:rPr>
                <w:sz w:val="22"/>
              </w:rPr>
              <w:t xml:space="preserve">Første dose på 80 mg (to 40 mg injeksjoner på </w:t>
            </w:r>
            <w:r w:rsidR="00644664">
              <w:rPr>
                <w:sz w:val="22"/>
              </w:rPr>
              <w:t>é</w:t>
            </w:r>
            <w:r w:rsidRPr="00E04B2A">
              <w:rPr>
                <w:sz w:val="22"/>
              </w:rPr>
              <w:t>n dag), etterfulgt av 40 mg (én 40 mg injeksjon) to uker senere.</w:t>
            </w:r>
          </w:p>
          <w:p w14:paraId="57B4A49C" w14:textId="77777777" w:rsidR="00CF58F0" w:rsidRPr="00E04B2A" w:rsidRDefault="00CF58F0" w:rsidP="00CF58F0">
            <w:pPr>
              <w:numPr>
                <w:ilvl w:val="12"/>
                <w:numId w:val="0"/>
              </w:numPr>
              <w:rPr>
                <w:sz w:val="22"/>
              </w:rPr>
            </w:pPr>
          </w:p>
          <w:p w14:paraId="481BE630" w14:textId="77777777" w:rsidR="00CF58F0" w:rsidRPr="00CF58F0" w:rsidRDefault="00E453CD" w:rsidP="00CF58F0">
            <w:pPr>
              <w:keepNext/>
              <w:numPr>
                <w:ilvl w:val="12"/>
                <w:numId w:val="0"/>
              </w:numPr>
              <w:rPr>
                <w:sz w:val="22"/>
                <w:szCs w:val="22"/>
              </w:rPr>
            </w:pPr>
            <w:r w:rsidRPr="00E04B2A">
              <w:rPr>
                <w:sz w:val="22"/>
              </w:rPr>
              <w:t>Deretter er vanlig dose 40 mg annenhver uke.</w:t>
            </w:r>
          </w:p>
        </w:tc>
        <w:tc>
          <w:tcPr>
            <w:tcW w:w="3094" w:type="dxa"/>
          </w:tcPr>
          <w:p w14:paraId="715AA064" w14:textId="77777777" w:rsidR="00CF58F0" w:rsidRPr="00CF58F0" w:rsidRDefault="00E453CD" w:rsidP="00CF58F0">
            <w:pPr>
              <w:keepNext/>
              <w:numPr>
                <w:ilvl w:val="12"/>
                <w:numId w:val="0"/>
              </w:numPr>
              <w:ind w:right="-2"/>
              <w:rPr>
                <w:sz w:val="22"/>
                <w:szCs w:val="22"/>
              </w:rPr>
            </w:pPr>
            <w:r w:rsidRPr="00E04B2A">
              <w:rPr>
                <w:sz w:val="22"/>
              </w:rPr>
              <w:t xml:space="preserve">Du bør fortsette å ta </w:t>
            </w:r>
            <w:r>
              <w:rPr>
                <w:sz w:val="22"/>
              </w:rPr>
              <w:t xml:space="preserve">den </w:t>
            </w:r>
            <w:r w:rsidRPr="00E04B2A">
              <w:rPr>
                <w:sz w:val="22"/>
              </w:rPr>
              <w:t>vanlig</w:t>
            </w:r>
            <w:r>
              <w:rPr>
                <w:sz w:val="22"/>
              </w:rPr>
              <w:t>e</w:t>
            </w:r>
            <w:r w:rsidRPr="00E04B2A">
              <w:rPr>
                <w:sz w:val="22"/>
              </w:rPr>
              <w:t xml:space="preserve"> dose</w:t>
            </w:r>
            <w:r>
              <w:rPr>
                <w:sz w:val="22"/>
              </w:rPr>
              <w:t>n</w:t>
            </w:r>
            <w:r w:rsidRPr="00E04B2A">
              <w:rPr>
                <w:sz w:val="22"/>
              </w:rPr>
              <w:t xml:space="preserve"> </w:t>
            </w:r>
            <w:r>
              <w:rPr>
                <w:sz w:val="22"/>
              </w:rPr>
              <w:t xml:space="preserve">av </w:t>
            </w:r>
            <w:r w:rsidRPr="00E04B2A">
              <w:rPr>
                <w:sz w:val="22"/>
              </w:rPr>
              <w:t>Humira selv etter fylte 18 år.</w:t>
            </w:r>
          </w:p>
        </w:tc>
      </w:tr>
      <w:tr w:rsidR="004644D4" w14:paraId="4168D7A6" w14:textId="77777777" w:rsidTr="00972FC0">
        <w:tc>
          <w:tcPr>
            <w:tcW w:w="3093" w:type="dxa"/>
          </w:tcPr>
          <w:p w14:paraId="643A9C4E" w14:textId="77777777" w:rsidR="00CF58F0" w:rsidRPr="00E04B2A" w:rsidRDefault="00E453CD" w:rsidP="00CF58F0">
            <w:pPr>
              <w:keepNext/>
              <w:numPr>
                <w:ilvl w:val="12"/>
                <w:numId w:val="0"/>
              </w:numPr>
              <w:ind w:right="-2"/>
              <w:rPr>
                <w:sz w:val="22"/>
              </w:rPr>
            </w:pPr>
            <w:r w:rsidRPr="00E04B2A">
              <w:rPr>
                <w:sz w:val="22"/>
              </w:rPr>
              <w:t>Barn og ungdom fra 6 år som veier 40 kg</w:t>
            </w:r>
            <w:r w:rsidR="00641EA5">
              <w:rPr>
                <w:sz w:val="22"/>
              </w:rPr>
              <w:t xml:space="preserve"> eller mer</w:t>
            </w:r>
          </w:p>
        </w:tc>
        <w:tc>
          <w:tcPr>
            <w:tcW w:w="3094" w:type="dxa"/>
          </w:tcPr>
          <w:p w14:paraId="378B551F" w14:textId="77777777" w:rsidR="0015674E" w:rsidRPr="00E04B2A" w:rsidRDefault="00E453CD" w:rsidP="0015674E">
            <w:pPr>
              <w:numPr>
                <w:ilvl w:val="12"/>
                <w:numId w:val="0"/>
              </w:numPr>
              <w:rPr>
                <w:sz w:val="22"/>
              </w:rPr>
            </w:pPr>
            <w:r w:rsidRPr="00E04B2A">
              <w:rPr>
                <w:sz w:val="22"/>
              </w:rPr>
              <w:t>Første dose på 160 mg (fire 40 mg injeksjoner på én dag eller to 40 mg injeksjoner dag</w:t>
            </w:r>
            <w:r>
              <w:rPr>
                <w:sz w:val="22"/>
              </w:rPr>
              <w:t>lig</w:t>
            </w:r>
            <w:r w:rsidRPr="00E04B2A">
              <w:rPr>
                <w:sz w:val="22"/>
              </w:rPr>
              <w:t xml:space="preserve"> </w:t>
            </w:r>
            <w:r w:rsidR="00326F9C">
              <w:rPr>
                <w:sz w:val="22"/>
              </w:rPr>
              <w:t>i</w:t>
            </w:r>
            <w:r w:rsidRPr="00E04B2A">
              <w:rPr>
                <w:sz w:val="22"/>
              </w:rPr>
              <w:t xml:space="preserve"> to påfølgende dager), etterfulgt av 80 mg (to 40 mg injeksjoner på én dag) to uker senere.</w:t>
            </w:r>
          </w:p>
          <w:p w14:paraId="774D589B" w14:textId="77777777" w:rsidR="0015674E" w:rsidRPr="00E04B2A" w:rsidRDefault="0015674E" w:rsidP="0015674E">
            <w:pPr>
              <w:numPr>
                <w:ilvl w:val="12"/>
                <w:numId w:val="0"/>
              </w:numPr>
              <w:rPr>
                <w:sz w:val="22"/>
              </w:rPr>
            </w:pPr>
          </w:p>
          <w:p w14:paraId="6D4D240C" w14:textId="77777777" w:rsidR="00CF58F0" w:rsidRPr="00E04B2A" w:rsidRDefault="00E453CD" w:rsidP="0015674E">
            <w:pPr>
              <w:numPr>
                <w:ilvl w:val="12"/>
                <w:numId w:val="0"/>
              </w:numPr>
              <w:rPr>
                <w:sz w:val="22"/>
              </w:rPr>
            </w:pPr>
            <w:r w:rsidRPr="00E04B2A">
              <w:rPr>
                <w:sz w:val="22"/>
              </w:rPr>
              <w:t>Deretter er vanlig dose 80 mg annenhver uke.</w:t>
            </w:r>
          </w:p>
        </w:tc>
        <w:tc>
          <w:tcPr>
            <w:tcW w:w="3094" w:type="dxa"/>
          </w:tcPr>
          <w:p w14:paraId="436CD65F" w14:textId="77777777" w:rsidR="00CF58F0" w:rsidRPr="00E04B2A" w:rsidRDefault="00E453CD" w:rsidP="00CF58F0">
            <w:pPr>
              <w:keepNext/>
              <w:numPr>
                <w:ilvl w:val="12"/>
                <w:numId w:val="0"/>
              </w:numPr>
              <w:ind w:right="-2"/>
              <w:rPr>
                <w:sz w:val="22"/>
              </w:rPr>
            </w:pPr>
            <w:r w:rsidRPr="00E04B2A">
              <w:rPr>
                <w:sz w:val="22"/>
              </w:rPr>
              <w:t xml:space="preserve">Du bør fortsette å ta </w:t>
            </w:r>
            <w:r>
              <w:rPr>
                <w:sz w:val="22"/>
              </w:rPr>
              <w:t xml:space="preserve">den </w:t>
            </w:r>
            <w:r w:rsidRPr="00E04B2A">
              <w:rPr>
                <w:sz w:val="22"/>
              </w:rPr>
              <w:t>vanlig</w:t>
            </w:r>
            <w:r>
              <w:rPr>
                <w:sz w:val="22"/>
              </w:rPr>
              <w:t>e</w:t>
            </w:r>
            <w:r w:rsidRPr="00E04B2A">
              <w:rPr>
                <w:sz w:val="22"/>
              </w:rPr>
              <w:t xml:space="preserve"> dose</w:t>
            </w:r>
            <w:r>
              <w:rPr>
                <w:sz w:val="22"/>
              </w:rPr>
              <w:t>n</w:t>
            </w:r>
            <w:r w:rsidRPr="00E04B2A">
              <w:rPr>
                <w:sz w:val="22"/>
              </w:rPr>
              <w:t xml:space="preserve"> </w:t>
            </w:r>
            <w:r>
              <w:rPr>
                <w:sz w:val="22"/>
              </w:rPr>
              <w:t xml:space="preserve">av </w:t>
            </w:r>
            <w:r w:rsidRPr="00E04B2A">
              <w:rPr>
                <w:sz w:val="22"/>
              </w:rPr>
              <w:t>Humira selv etter fylte 18 år.</w:t>
            </w:r>
          </w:p>
        </w:tc>
      </w:tr>
    </w:tbl>
    <w:p w14:paraId="6E25CCAD" w14:textId="77777777" w:rsidR="00B33BEC" w:rsidRDefault="00B33BEC" w:rsidP="00B33BEC">
      <w:pPr>
        <w:suppressAutoHyphens/>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1"/>
        <w:gridCol w:w="3030"/>
      </w:tblGrid>
      <w:tr w:rsidR="004644D4" w14:paraId="526B7A5B" w14:textId="77777777" w:rsidTr="00972FC0">
        <w:tc>
          <w:tcPr>
            <w:tcW w:w="9287" w:type="dxa"/>
            <w:gridSpan w:val="3"/>
          </w:tcPr>
          <w:p w14:paraId="3B29ECBA" w14:textId="77777777" w:rsidR="00B33BEC" w:rsidRPr="00B3311E" w:rsidRDefault="00E453CD" w:rsidP="00972FC0">
            <w:pPr>
              <w:numPr>
                <w:ilvl w:val="12"/>
                <w:numId w:val="0"/>
              </w:numPr>
              <w:ind w:right="-2"/>
              <w:rPr>
                <w:b/>
                <w:sz w:val="22"/>
                <w:szCs w:val="22"/>
                <w:lang w:val="en-GB"/>
              </w:rPr>
            </w:pPr>
            <w:r w:rsidRPr="00B3311E">
              <w:rPr>
                <w:b/>
                <w:sz w:val="22"/>
                <w:szCs w:val="22"/>
              </w:rPr>
              <w:t>Ikke-infeksiøs uveitt</w:t>
            </w:r>
            <w:r w:rsidRPr="00B36CC1">
              <w:rPr>
                <w:b/>
                <w:sz w:val="22"/>
                <w:szCs w:val="22"/>
              </w:rPr>
              <w:t xml:space="preserve"> </w:t>
            </w:r>
          </w:p>
        </w:tc>
      </w:tr>
      <w:tr w:rsidR="004644D4" w14:paraId="1563FD2A" w14:textId="77777777" w:rsidTr="00972FC0">
        <w:tc>
          <w:tcPr>
            <w:tcW w:w="3095" w:type="dxa"/>
          </w:tcPr>
          <w:p w14:paraId="0041C649" w14:textId="77777777" w:rsidR="00B33BEC" w:rsidRPr="00B3311E" w:rsidRDefault="00E453CD" w:rsidP="00972FC0">
            <w:pPr>
              <w:numPr>
                <w:ilvl w:val="12"/>
                <w:numId w:val="0"/>
              </w:numPr>
              <w:ind w:right="-2"/>
              <w:rPr>
                <w:sz w:val="22"/>
                <w:szCs w:val="22"/>
              </w:rPr>
            </w:pPr>
            <w:r w:rsidRPr="00B36CC1">
              <w:rPr>
                <w:b/>
                <w:sz w:val="22"/>
                <w:szCs w:val="22"/>
              </w:rPr>
              <w:t>Alder eller kroppsvekt</w:t>
            </w:r>
          </w:p>
        </w:tc>
        <w:tc>
          <w:tcPr>
            <w:tcW w:w="3096" w:type="dxa"/>
          </w:tcPr>
          <w:p w14:paraId="76608E19" w14:textId="77777777" w:rsidR="00B33BEC" w:rsidRPr="00B3311E" w:rsidRDefault="00E453CD" w:rsidP="00972FC0">
            <w:pPr>
              <w:tabs>
                <w:tab w:val="left" w:pos="0"/>
              </w:tabs>
              <w:rPr>
                <w:sz w:val="22"/>
                <w:szCs w:val="22"/>
              </w:rPr>
            </w:pPr>
            <w:r w:rsidRPr="00B36CC1">
              <w:rPr>
                <w:b/>
                <w:sz w:val="22"/>
                <w:szCs w:val="22"/>
              </w:rPr>
              <w:t>Hvor mye og hvor ofte du skal ta?</w:t>
            </w:r>
          </w:p>
        </w:tc>
        <w:tc>
          <w:tcPr>
            <w:tcW w:w="3096" w:type="dxa"/>
          </w:tcPr>
          <w:p w14:paraId="71383C08" w14:textId="77777777" w:rsidR="00B33BEC" w:rsidRPr="00B36CC1" w:rsidRDefault="00E453CD" w:rsidP="00972FC0">
            <w:pPr>
              <w:numPr>
                <w:ilvl w:val="12"/>
                <w:numId w:val="0"/>
              </w:numPr>
              <w:rPr>
                <w:sz w:val="22"/>
                <w:szCs w:val="22"/>
                <w:lang w:val="en-GB"/>
              </w:rPr>
            </w:pPr>
            <w:r w:rsidRPr="00B36CC1">
              <w:rPr>
                <w:b/>
                <w:sz w:val="22"/>
                <w:szCs w:val="22"/>
              </w:rPr>
              <w:t>Merknader</w:t>
            </w:r>
          </w:p>
        </w:tc>
      </w:tr>
      <w:tr w:rsidR="004644D4" w14:paraId="3B12492B" w14:textId="77777777" w:rsidTr="00972FC0">
        <w:tc>
          <w:tcPr>
            <w:tcW w:w="3095" w:type="dxa"/>
          </w:tcPr>
          <w:p w14:paraId="37F3EA48" w14:textId="77777777" w:rsidR="00B33BEC" w:rsidRPr="00B3311E" w:rsidRDefault="00E453CD" w:rsidP="00972FC0">
            <w:pPr>
              <w:numPr>
                <w:ilvl w:val="12"/>
                <w:numId w:val="0"/>
              </w:numPr>
              <w:ind w:right="-2"/>
              <w:rPr>
                <w:sz w:val="22"/>
                <w:szCs w:val="22"/>
              </w:rPr>
            </w:pPr>
            <w:r w:rsidRPr="00B3311E">
              <w:rPr>
                <w:sz w:val="22"/>
                <w:szCs w:val="22"/>
              </w:rPr>
              <w:t>Voksne</w:t>
            </w:r>
          </w:p>
        </w:tc>
        <w:tc>
          <w:tcPr>
            <w:tcW w:w="3096" w:type="dxa"/>
          </w:tcPr>
          <w:p w14:paraId="236FA493" w14:textId="77777777" w:rsidR="00B33BEC" w:rsidRPr="00B3311E" w:rsidRDefault="00E453CD" w:rsidP="00972FC0">
            <w:pPr>
              <w:tabs>
                <w:tab w:val="left" w:pos="0"/>
              </w:tabs>
              <w:rPr>
                <w:sz w:val="22"/>
                <w:szCs w:val="22"/>
              </w:rPr>
            </w:pPr>
            <w:r w:rsidRPr="00B36CC1">
              <w:rPr>
                <w:sz w:val="22"/>
                <w:szCs w:val="22"/>
              </w:rPr>
              <w:t>Første dose på 80 mg (to 40 mg injeksjoner på én dag), etterfulgt av 40 mg annenhver uke som starter én uke etter den første dosen.</w:t>
            </w:r>
          </w:p>
        </w:tc>
        <w:tc>
          <w:tcPr>
            <w:tcW w:w="3096" w:type="dxa"/>
          </w:tcPr>
          <w:p w14:paraId="0D095BC5" w14:textId="77777777" w:rsidR="00B33BEC" w:rsidRPr="00B36CC1" w:rsidRDefault="00E453CD" w:rsidP="00972FC0">
            <w:pPr>
              <w:numPr>
                <w:ilvl w:val="12"/>
                <w:numId w:val="0"/>
              </w:numPr>
              <w:rPr>
                <w:sz w:val="22"/>
                <w:szCs w:val="22"/>
              </w:rPr>
            </w:pPr>
            <w:r w:rsidRPr="00B36CC1">
              <w:rPr>
                <w:sz w:val="22"/>
                <w:szCs w:val="22"/>
              </w:rPr>
              <w:t>Behandling med kortikosteroider eller andre legemidler som påvirker immunsystemet kan fortsette under behandling med Humira. Humira kan også gis alene.</w:t>
            </w:r>
          </w:p>
        </w:tc>
      </w:tr>
      <w:tr w:rsidR="004644D4" w14:paraId="278A2B37" w14:textId="77777777" w:rsidTr="00972FC0">
        <w:tc>
          <w:tcPr>
            <w:tcW w:w="3095" w:type="dxa"/>
          </w:tcPr>
          <w:p w14:paraId="478DBDBA" w14:textId="77777777" w:rsidR="00B33BEC" w:rsidRDefault="00E453CD" w:rsidP="00972FC0">
            <w:pPr>
              <w:keepNext/>
              <w:numPr>
                <w:ilvl w:val="12"/>
                <w:numId w:val="0"/>
              </w:numPr>
              <w:ind w:right="-2"/>
            </w:pPr>
            <w:r w:rsidRPr="00B3311E">
              <w:rPr>
                <w:sz w:val="22"/>
              </w:rPr>
              <w:t xml:space="preserve">Barn </w:t>
            </w:r>
            <w:r>
              <w:rPr>
                <w:sz w:val="22"/>
              </w:rPr>
              <w:t>og ungdom over</w:t>
            </w:r>
            <w:r w:rsidRPr="00B3311E">
              <w:rPr>
                <w:sz w:val="22"/>
              </w:rPr>
              <w:t xml:space="preserve"> 2 år som veier </w:t>
            </w:r>
            <w:r>
              <w:rPr>
                <w:sz w:val="22"/>
              </w:rPr>
              <w:t>under</w:t>
            </w:r>
            <w:r w:rsidRPr="00B3311E">
              <w:rPr>
                <w:sz w:val="22"/>
              </w:rPr>
              <w:t xml:space="preserve"> 30 kg</w:t>
            </w:r>
          </w:p>
        </w:tc>
        <w:tc>
          <w:tcPr>
            <w:tcW w:w="3096" w:type="dxa"/>
          </w:tcPr>
          <w:p w14:paraId="23B470DF" w14:textId="77777777" w:rsidR="00B33BEC" w:rsidRPr="0061743D" w:rsidRDefault="00E453CD" w:rsidP="00972FC0">
            <w:pPr>
              <w:keepNext/>
              <w:tabs>
                <w:tab w:val="left" w:pos="0"/>
              </w:tabs>
              <w:rPr>
                <w:sz w:val="22"/>
              </w:rPr>
            </w:pPr>
            <w:r w:rsidRPr="00B3311E">
              <w:rPr>
                <w:sz w:val="22"/>
                <w:szCs w:val="22"/>
              </w:rPr>
              <w:t>20 mg annenhver uke</w:t>
            </w:r>
          </w:p>
        </w:tc>
        <w:tc>
          <w:tcPr>
            <w:tcW w:w="3096" w:type="dxa"/>
          </w:tcPr>
          <w:p w14:paraId="5C5AEEDB" w14:textId="77777777" w:rsidR="00B33BEC" w:rsidRPr="00E00C61" w:rsidRDefault="00E453CD" w:rsidP="00972FC0">
            <w:pPr>
              <w:pStyle w:val="BodyText3"/>
              <w:keepNext/>
              <w:tabs>
                <w:tab w:val="clear" w:pos="-720"/>
              </w:tabs>
              <w:rPr>
                <w:szCs w:val="22"/>
              </w:rPr>
            </w:pPr>
            <w:r>
              <w:rPr>
                <w:b w:val="0"/>
                <w:szCs w:val="22"/>
                <w:lang w:val="nb-NO"/>
              </w:rPr>
              <w:t>Legen din kan forskrive en startdose på 40 mg som skal gis én uke før oppstart av den vanlige dosen på 20 mg annenhver uke. Det anbefales å bruke Humira sammen med metotreksat.</w:t>
            </w:r>
          </w:p>
        </w:tc>
      </w:tr>
      <w:tr w:rsidR="004644D4" w14:paraId="4F97D24F" w14:textId="77777777" w:rsidTr="00972FC0">
        <w:tc>
          <w:tcPr>
            <w:tcW w:w="3095" w:type="dxa"/>
          </w:tcPr>
          <w:p w14:paraId="7AA8A6C8" w14:textId="77777777" w:rsidR="00B33BEC" w:rsidRPr="00B3311E" w:rsidRDefault="00E453CD" w:rsidP="00972FC0">
            <w:pPr>
              <w:numPr>
                <w:ilvl w:val="12"/>
                <w:numId w:val="0"/>
              </w:numPr>
              <w:ind w:right="-2"/>
              <w:rPr>
                <w:sz w:val="22"/>
              </w:rPr>
            </w:pPr>
            <w:r>
              <w:rPr>
                <w:sz w:val="22"/>
              </w:rPr>
              <w:t>Barn og ungdom over 2 år som veier minst 30 kg</w:t>
            </w:r>
          </w:p>
        </w:tc>
        <w:tc>
          <w:tcPr>
            <w:tcW w:w="3096" w:type="dxa"/>
          </w:tcPr>
          <w:p w14:paraId="331343A3" w14:textId="77777777" w:rsidR="00B33BEC" w:rsidRPr="00B36CC1" w:rsidRDefault="00E453CD" w:rsidP="00972FC0">
            <w:pPr>
              <w:tabs>
                <w:tab w:val="left" w:pos="0"/>
              </w:tabs>
              <w:rPr>
                <w:sz w:val="22"/>
              </w:rPr>
            </w:pPr>
            <w:r w:rsidRPr="00B3311E">
              <w:rPr>
                <w:sz w:val="22"/>
                <w:szCs w:val="22"/>
              </w:rPr>
              <w:t>40 mg annenhver uke</w:t>
            </w:r>
          </w:p>
        </w:tc>
        <w:tc>
          <w:tcPr>
            <w:tcW w:w="3096" w:type="dxa"/>
          </w:tcPr>
          <w:p w14:paraId="05169D29" w14:textId="77777777" w:rsidR="00B33BEC" w:rsidRPr="00B36CC1" w:rsidRDefault="00E453CD" w:rsidP="00972FC0">
            <w:pPr>
              <w:numPr>
                <w:ilvl w:val="12"/>
                <w:numId w:val="0"/>
              </w:numPr>
              <w:rPr>
                <w:sz w:val="22"/>
              </w:rPr>
            </w:pPr>
            <w:r w:rsidRPr="00B3311E">
              <w:rPr>
                <w:sz w:val="22"/>
                <w:szCs w:val="22"/>
              </w:rPr>
              <w:t>Legen din</w:t>
            </w:r>
            <w:r w:rsidRPr="00B36CC1">
              <w:rPr>
                <w:sz w:val="22"/>
                <w:szCs w:val="22"/>
              </w:rPr>
              <w:t xml:space="preserve"> kan forskrive en startdose på 8</w:t>
            </w:r>
            <w:r w:rsidRPr="00B3311E">
              <w:rPr>
                <w:sz w:val="22"/>
                <w:szCs w:val="22"/>
              </w:rPr>
              <w:t xml:space="preserve">0 mg som skal gis én uke før </w:t>
            </w:r>
            <w:r>
              <w:rPr>
                <w:sz w:val="22"/>
                <w:szCs w:val="22"/>
              </w:rPr>
              <w:t xml:space="preserve">oppstart av </w:t>
            </w:r>
            <w:r w:rsidRPr="00B3311E">
              <w:rPr>
                <w:sz w:val="22"/>
                <w:szCs w:val="22"/>
              </w:rPr>
              <w:t xml:space="preserve">den vanlige dosen </w:t>
            </w:r>
            <w:r w:rsidRPr="00B36CC1">
              <w:rPr>
                <w:sz w:val="22"/>
                <w:szCs w:val="22"/>
              </w:rPr>
              <w:t>på 4</w:t>
            </w:r>
            <w:r w:rsidRPr="00B3311E">
              <w:rPr>
                <w:sz w:val="22"/>
                <w:szCs w:val="22"/>
              </w:rPr>
              <w:t>0 mg annenhver uke. Det anbefales å bruke Humira sammen med metotreksat.</w:t>
            </w:r>
          </w:p>
        </w:tc>
      </w:tr>
    </w:tbl>
    <w:p w14:paraId="0E6C052E" w14:textId="77777777" w:rsidR="00B33BEC" w:rsidRPr="00C40ABF" w:rsidRDefault="00B33BEC" w:rsidP="00B33BEC">
      <w:pPr>
        <w:pStyle w:val="BodyText3"/>
        <w:tabs>
          <w:tab w:val="clear" w:pos="-720"/>
        </w:tabs>
        <w:rPr>
          <w:b w:val="0"/>
          <w:szCs w:val="22"/>
        </w:rPr>
      </w:pPr>
    </w:p>
    <w:p w14:paraId="610F7F70" w14:textId="77777777" w:rsidR="00B33BEC" w:rsidRPr="009C5EFD" w:rsidRDefault="00E453CD" w:rsidP="001C4BD6">
      <w:pPr>
        <w:pStyle w:val="BodyText3"/>
        <w:keepNext/>
        <w:tabs>
          <w:tab w:val="left" w:pos="708"/>
        </w:tabs>
        <w:rPr>
          <w:szCs w:val="22"/>
          <w:lang w:val="nb-NO"/>
        </w:rPr>
      </w:pPr>
      <w:r w:rsidRPr="009C5EFD">
        <w:rPr>
          <w:szCs w:val="22"/>
          <w:lang w:val="nb-NO"/>
        </w:rPr>
        <w:lastRenderedPageBreak/>
        <w:t>Metode og administrasjonsmåte</w:t>
      </w:r>
    </w:p>
    <w:p w14:paraId="2A98E1B4" w14:textId="77777777" w:rsidR="00B33BEC" w:rsidRPr="009C5EFD" w:rsidRDefault="00B33BEC" w:rsidP="001C4BD6">
      <w:pPr>
        <w:pStyle w:val="BodyText3"/>
        <w:keepNext/>
        <w:tabs>
          <w:tab w:val="left" w:pos="708"/>
        </w:tabs>
        <w:rPr>
          <w:b w:val="0"/>
          <w:szCs w:val="22"/>
          <w:lang w:val="nb-NO"/>
        </w:rPr>
      </w:pPr>
    </w:p>
    <w:p w14:paraId="46176D17" w14:textId="77777777" w:rsidR="00B33BEC" w:rsidRDefault="00E453CD" w:rsidP="001C4BD6">
      <w:pPr>
        <w:pStyle w:val="BodyText3"/>
        <w:keepNext/>
        <w:tabs>
          <w:tab w:val="left" w:pos="708"/>
        </w:tabs>
        <w:rPr>
          <w:b w:val="0"/>
          <w:szCs w:val="22"/>
          <w:lang w:val="nb-NO"/>
        </w:rPr>
      </w:pPr>
      <w:r w:rsidRPr="009C5EFD">
        <w:rPr>
          <w:b w:val="0"/>
          <w:szCs w:val="22"/>
          <w:lang w:val="nb-NO"/>
        </w:rPr>
        <w:t>Humira administreres (gis) ved injeksjon under huden (ved subkutan injeksjon).</w:t>
      </w:r>
    </w:p>
    <w:p w14:paraId="0BC0D5C3" w14:textId="77777777" w:rsidR="00B33BEC" w:rsidRDefault="00B33BEC" w:rsidP="00B33BEC">
      <w:pPr>
        <w:pStyle w:val="BodyText3"/>
        <w:tabs>
          <w:tab w:val="left" w:pos="708"/>
        </w:tabs>
        <w:rPr>
          <w:b w:val="0"/>
          <w:szCs w:val="22"/>
          <w:lang w:val="nb-NO"/>
        </w:rPr>
      </w:pPr>
    </w:p>
    <w:p w14:paraId="7FD55B79" w14:textId="77777777" w:rsidR="00B33BEC" w:rsidRPr="00060AFF" w:rsidRDefault="00E453CD" w:rsidP="00B33BEC">
      <w:pPr>
        <w:keepNext/>
        <w:suppressAutoHyphens/>
        <w:rPr>
          <w:b/>
          <w:szCs w:val="22"/>
        </w:rPr>
      </w:pPr>
      <w:r w:rsidRPr="00E67A4F">
        <w:rPr>
          <w:b/>
          <w:sz w:val="22"/>
          <w:szCs w:val="22"/>
        </w:rPr>
        <w:t xml:space="preserve">Detaljerte instruksjoner om hvordan du injiserer Humira finnes i avsnitt 7 </w:t>
      </w:r>
      <w:r w:rsidR="00D57009">
        <w:rPr>
          <w:b/>
          <w:sz w:val="22"/>
          <w:szCs w:val="22"/>
        </w:rPr>
        <w:t>«</w:t>
      </w:r>
      <w:r w:rsidR="00B376DE" w:rsidRPr="00B376DE">
        <w:rPr>
          <w:b/>
          <w:sz w:val="22"/>
          <w:szCs w:val="22"/>
        </w:rPr>
        <w:t>Hvordan du injiserer Humira</w:t>
      </w:r>
      <w:r w:rsidR="00D57009">
        <w:rPr>
          <w:b/>
          <w:sz w:val="22"/>
          <w:szCs w:val="22"/>
        </w:rPr>
        <w:t>»</w:t>
      </w:r>
      <w:r>
        <w:rPr>
          <w:b/>
          <w:sz w:val="22"/>
          <w:szCs w:val="22"/>
        </w:rPr>
        <w:t>.</w:t>
      </w:r>
    </w:p>
    <w:p w14:paraId="372335A8" w14:textId="77777777" w:rsidR="00B33BEC" w:rsidRPr="009C5EFD" w:rsidRDefault="00B33BEC" w:rsidP="00B33BEC">
      <w:pPr>
        <w:pStyle w:val="BodyText3"/>
        <w:tabs>
          <w:tab w:val="left" w:pos="708"/>
        </w:tabs>
        <w:rPr>
          <w:b w:val="0"/>
          <w:szCs w:val="22"/>
          <w:lang w:val="nb-NO"/>
        </w:rPr>
      </w:pPr>
    </w:p>
    <w:p w14:paraId="5CCE3BE1" w14:textId="77777777" w:rsidR="00B33BEC" w:rsidRPr="009C5EFD" w:rsidRDefault="00E453CD" w:rsidP="00776A84">
      <w:pPr>
        <w:keepNext/>
        <w:rPr>
          <w:b/>
          <w:sz w:val="22"/>
          <w:szCs w:val="22"/>
        </w:rPr>
      </w:pPr>
      <w:r w:rsidRPr="009C5EFD">
        <w:rPr>
          <w:b/>
          <w:sz w:val="22"/>
          <w:szCs w:val="22"/>
        </w:rPr>
        <w:t>Dersom du tar for mye av Humira</w:t>
      </w:r>
    </w:p>
    <w:p w14:paraId="6EDC1C60" w14:textId="77777777" w:rsidR="00B33BEC" w:rsidRPr="009C5EFD" w:rsidRDefault="00B33BEC" w:rsidP="00776A84">
      <w:pPr>
        <w:keepNext/>
        <w:rPr>
          <w:sz w:val="22"/>
          <w:szCs w:val="22"/>
        </w:rPr>
      </w:pPr>
    </w:p>
    <w:p w14:paraId="0D396F76" w14:textId="77777777" w:rsidR="00B33BEC" w:rsidRPr="009C5EFD" w:rsidRDefault="00E453CD" w:rsidP="00B33BEC">
      <w:pPr>
        <w:rPr>
          <w:sz w:val="22"/>
          <w:szCs w:val="22"/>
        </w:rPr>
      </w:pPr>
      <w:r w:rsidRPr="009C5EFD">
        <w:rPr>
          <w:sz w:val="22"/>
          <w:szCs w:val="22"/>
        </w:rPr>
        <w:t xml:space="preserve">Dersom du ved et uhell </w:t>
      </w:r>
      <w:r>
        <w:rPr>
          <w:sz w:val="22"/>
          <w:szCs w:val="22"/>
        </w:rPr>
        <w:t>injiserer</w:t>
      </w:r>
      <w:r w:rsidRPr="009C5EFD">
        <w:rPr>
          <w:sz w:val="22"/>
          <w:szCs w:val="22"/>
        </w:rPr>
        <w:t xml:space="preserve"> Humira oftere enn legen</w:t>
      </w:r>
      <w:r>
        <w:rPr>
          <w:sz w:val="22"/>
          <w:szCs w:val="22"/>
        </w:rPr>
        <w:t xml:space="preserve"> din</w:t>
      </w:r>
      <w:r w:rsidRPr="009C5EFD">
        <w:rPr>
          <w:sz w:val="22"/>
          <w:szCs w:val="22"/>
        </w:rPr>
        <w:t xml:space="preserve"> har forskrevet, oppsøk legen </w:t>
      </w:r>
      <w:r>
        <w:rPr>
          <w:sz w:val="22"/>
          <w:szCs w:val="22"/>
        </w:rPr>
        <w:t xml:space="preserve">din </w:t>
      </w:r>
      <w:r w:rsidRPr="009C5EFD">
        <w:rPr>
          <w:sz w:val="22"/>
          <w:szCs w:val="22"/>
        </w:rPr>
        <w:t xml:space="preserve">eller farmasøyt på apotek og fortell </w:t>
      </w:r>
      <w:r>
        <w:rPr>
          <w:sz w:val="22"/>
          <w:szCs w:val="22"/>
        </w:rPr>
        <w:t>dem</w:t>
      </w:r>
      <w:r w:rsidRPr="009C5EFD">
        <w:rPr>
          <w:sz w:val="22"/>
          <w:szCs w:val="22"/>
        </w:rPr>
        <w:t xml:space="preserve"> at du har tatt for mye. Ta alltid med deg ytterpakningen </w:t>
      </w:r>
      <w:r>
        <w:rPr>
          <w:sz w:val="22"/>
          <w:szCs w:val="22"/>
        </w:rPr>
        <w:t>til</w:t>
      </w:r>
      <w:r w:rsidRPr="009C5EFD">
        <w:rPr>
          <w:sz w:val="22"/>
          <w:szCs w:val="22"/>
        </w:rPr>
        <w:t xml:space="preserve"> legemidlet, selv om den er tom.</w:t>
      </w:r>
    </w:p>
    <w:p w14:paraId="6F75BA96" w14:textId="77777777" w:rsidR="00B33BEC" w:rsidRPr="00B33BEC" w:rsidRDefault="00B33BEC" w:rsidP="00B33BEC">
      <w:pPr>
        <w:rPr>
          <w:sz w:val="22"/>
          <w:szCs w:val="22"/>
        </w:rPr>
      </w:pPr>
    </w:p>
    <w:p w14:paraId="1283F997" w14:textId="77777777" w:rsidR="00B33BEC" w:rsidRPr="009C5EFD" w:rsidRDefault="00E453CD" w:rsidP="00776A84">
      <w:pPr>
        <w:keepNext/>
        <w:rPr>
          <w:b/>
          <w:sz w:val="22"/>
          <w:szCs w:val="22"/>
        </w:rPr>
      </w:pPr>
      <w:r w:rsidRPr="009C5EFD">
        <w:rPr>
          <w:b/>
          <w:sz w:val="22"/>
          <w:szCs w:val="22"/>
        </w:rPr>
        <w:t>Dersom du har glemt å ta Humira</w:t>
      </w:r>
    </w:p>
    <w:p w14:paraId="6C0ADB50" w14:textId="77777777" w:rsidR="00B33BEC" w:rsidRPr="009C5EFD" w:rsidRDefault="00B33BEC" w:rsidP="00776A84">
      <w:pPr>
        <w:keepNext/>
        <w:rPr>
          <w:sz w:val="22"/>
          <w:szCs w:val="22"/>
        </w:rPr>
      </w:pPr>
    </w:p>
    <w:p w14:paraId="778C7482" w14:textId="77777777" w:rsidR="00B33BEC" w:rsidRPr="009C5EFD" w:rsidRDefault="00E453CD" w:rsidP="00B33BEC">
      <w:pPr>
        <w:rPr>
          <w:sz w:val="22"/>
          <w:szCs w:val="22"/>
        </w:rPr>
      </w:pPr>
      <w:r w:rsidRPr="009C5EFD">
        <w:rPr>
          <w:sz w:val="22"/>
          <w:szCs w:val="22"/>
        </w:rPr>
        <w:t>Dersom du har glemt å ta Humira, skal du sette neste dose så snart du husker det. Deretter kan du sette neste dose den dagen det opprinnelig var planlagt, som om du ikke hadde glemt en dose.</w:t>
      </w:r>
    </w:p>
    <w:p w14:paraId="625EA785" w14:textId="77777777" w:rsidR="00B33BEC" w:rsidRPr="009C5EFD" w:rsidRDefault="00B33BEC" w:rsidP="00B33BEC">
      <w:pPr>
        <w:rPr>
          <w:sz w:val="22"/>
          <w:szCs w:val="22"/>
        </w:rPr>
      </w:pPr>
    </w:p>
    <w:p w14:paraId="644D82BD" w14:textId="77777777" w:rsidR="00B33BEC" w:rsidRPr="009C5EFD" w:rsidRDefault="00E453CD" w:rsidP="00B33BEC">
      <w:pPr>
        <w:keepNext/>
        <w:rPr>
          <w:b/>
          <w:sz w:val="22"/>
          <w:szCs w:val="22"/>
        </w:rPr>
      </w:pPr>
      <w:r w:rsidRPr="009C5EFD">
        <w:rPr>
          <w:b/>
          <w:sz w:val="22"/>
          <w:szCs w:val="22"/>
        </w:rPr>
        <w:t>Dersom du avbryter behandling med Humira</w:t>
      </w:r>
    </w:p>
    <w:p w14:paraId="0C9D7C4F" w14:textId="77777777" w:rsidR="00B33BEC" w:rsidRPr="009C5EFD" w:rsidRDefault="00B33BEC" w:rsidP="00B33BEC">
      <w:pPr>
        <w:keepNext/>
        <w:suppressAutoHyphens/>
        <w:rPr>
          <w:sz w:val="22"/>
          <w:szCs w:val="22"/>
        </w:rPr>
      </w:pPr>
    </w:p>
    <w:p w14:paraId="10B6888B" w14:textId="77777777" w:rsidR="00B33BEC" w:rsidRPr="009C5EFD" w:rsidRDefault="00E453CD" w:rsidP="00776A84">
      <w:pPr>
        <w:rPr>
          <w:sz w:val="22"/>
          <w:szCs w:val="22"/>
        </w:rPr>
      </w:pPr>
      <w:r w:rsidRPr="009C5EFD">
        <w:rPr>
          <w:sz w:val="22"/>
          <w:szCs w:val="22"/>
        </w:rPr>
        <w:t xml:space="preserve">Beslutningen om å avbryte behandling med Humira bør diskuteres med </w:t>
      </w:r>
      <w:r>
        <w:rPr>
          <w:sz w:val="22"/>
          <w:szCs w:val="22"/>
        </w:rPr>
        <w:t>legen din</w:t>
      </w:r>
      <w:r w:rsidRPr="009C5EFD">
        <w:rPr>
          <w:sz w:val="22"/>
          <w:szCs w:val="22"/>
        </w:rPr>
        <w:t xml:space="preserve">. Dine symptomer kan komme tilbake </w:t>
      </w:r>
      <w:r>
        <w:rPr>
          <w:sz w:val="22"/>
          <w:szCs w:val="22"/>
        </w:rPr>
        <w:t>hvis du slutter å bruke Humira</w:t>
      </w:r>
      <w:r w:rsidRPr="009C5EFD">
        <w:rPr>
          <w:sz w:val="22"/>
          <w:szCs w:val="22"/>
        </w:rPr>
        <w:t>.</w:t>
      </w:r>
    </w:p>
    <w:p w14:paraId="45A0E58F" w14:textId="77777777" w:rsidR="00B33BEC" w:rsidRPr="009C5EFD" w:rsidRDefault="00B33BEC" w:rsidP="00776A84">
      <w:pPr>
        <w:rPr>
          <w:sz w:val="22"/>
          <w:szCs w:val="22"/>
        </w:rPr>
      </w:pPr>
    </w:p>
    <w:p w14:paraId="4893671B" w14:textId="77777777" w:rsidR="00B33BEC" w:rsidRPr="009C5EFD" w:rsidRDefault="00E453CD" w:rsidP="00B33BEC">
      <w:pPr>
        <w:rPr>
          <w:sz w:val="22"/>
          <w:szCs w:val="22"/>
        </w:rPr>
      </w:pPr>
      <w:r w:rsidRPr="009C5EFD">
        <w:rPr>
          <w:sz w:val="22"/>
          <w:szCs w:val="22"/>
        </w:rPr>
        <w:t>Spør lege eller apotek dersom du har noen spørsmål om bruken av dette legemidlet.</w:t>
      </w:r>
    </w:p>
    <w:p w14:paraId="59E74D93" w14:textId="77777777" w:rsidR="00B33BEC" w:rsidRPr="009C5EFD" w:rsidRDefault="00B33BEC" w:rsidP="00B33BEC">
      <w:pPr>
        <w:suppressAutoHyphens/>
        <w:rPr>
          <w:sz w:val="22"/>
          <w:szCs w:val="22"/>
        </w:rPr>
      </w:pPr>
    </w:p>
    <w:p w14:paraId="1997E748" w14:textId="77777777" w:rsidR="00B33BEC" w:rsidRPr="009C5EFD" w:rsidRDefault="00B33BEC" w:rsidP="00B33BEC">
      <w:pPr>
        <w:suppressAutoHyphens/>
        <w:rPr>
          <w:sz w:val="22"/>
        </w:rPr>
      </w:pPr>
    </w:p>
    <w:p w14:paraId="739077B1" w14:textId="77777777" w:rsidR="00B33BEC" w:rsidRPr="009C5EFD" w:rsidRDefault="00E453CD" w:rsidP="00B33BEC">
      <w:pPr>
        <w:keepNext/>
        <w:tabs>
          <w:tab w:val="left" w:pos="567"/>
        </w:tabs>
        <w:suppressAutoHyphens/>
        <w:rPr>
          <w:b/>
          <w:sz w:val="22"/>
          <w:szCs w:val="22"/>
        </w:rPr>
      </w:pPr>
      <w:r w:rsidRPr="009C5EFD">
        <w:rPr>
          <w:b/>
          <w:sz w:val="22"/>
          <w:szCs w:val="22"/>
        </w:rPr>
        <w:t>4.</w:t>
      </w:r>
      <w:r w:rsidRPr="009C5EFD">
        <w:rPr>
          <w:b/>
          <w:sz w:val="22"/>
          <w:szCs w:val="22"/>
        </w:rPr>
        <w:tab/>
        <w:t>Mulige bivirkninger</w:t>
      </w:r>
    </w:p>
    <w:p w14:paraId="084CA688" w14:textId="77777777" w:rsidR="00B33BEC" w:rsidRPr="009C5EFD" w:rsidRDefault="00B33BEC" w:rsidP="00B33BEC">
      <w:pPr>
        <w:keepNext/>
        <w:suppressAutoHyphens/>
        <w:rPr>
          <w:sz w:val="22"/>
          <w:szCs w:val="22"/>
        </w:rPr>
      </w:pPr>
    </w:p>
    <w:p w14:paraId="7F9D722A" w14:textId="77777777" w:rsidR="00B33BEC" w:rsidRDefault="00E453CD" w:rsidP="00776A84">
      <w:pPr>
        <w:suppressAutoHyphens/>
        <w:rPr>
          <w:sz w:val="22"/>
          <w:szCs w:val="22"/>
        </w:rPr>
      </w:pPr>
      <w:r w:rsidRPr="009C5EFD">
        <w:rPr>
          <w:sz w:val="22"/>
          <w:szCs w:val="22"/>
        </w:rPr>
        <w:t>Som alle legemidler kan dette legemidlet forårsake bivirkninger, men ikke alle får det. De fleste bivirkningene er milde til moderate. Noen kan imidlertid være alvorlige og kreve behandling. Bivirkninger kan oppstå i minst 4 måneder etter siste injeksjon med Humira.</w:t>
      </w:r>
    </w:p>
    <w:p w14:paraId="5631AF64" w14:textId="77777777" w:rsidR="00B33BEC" w:rsidRDefault="00B33BEC" w:rsidP="00776A84">
      <w:pPr>
        <w:suppressAutoHyphens/>
        <w:rPr>
          <w:sz w:val="22"/>
          <w:szCs w:val="22"/>
        </w:rPr>
      </w:pPr>
    </w:p>
    <w:p w14:paraId="4B226C2A" w14:textId="77777777" w:rsidR="00B33BEC" w:rsidRPr="009C5EFD" w:rsidRDefault="00E453CD" w:rsidP="00B33BEC">
      <w:pPr>
        <w:keepNext/>
        <w:suppressAutoHyphens/>
        <w:rPr>
          <w:sz w:val="22"/>
          <w:szCs w:val="22"/>
        </w:rPr>
      </w:pPr>
      <w:r w:rsidRPr="00887835">
        <w:rPr>
          <w:b/>
          <w:sz w:val="22"/>
          <w:szCs w:val="22"/>
        </w:rPr>
        <w:t>Gi beskjed til legen din umiddelbart dersom</w:t>
      </w:r>
      <w:r w:rsidRPr="0061743D">
        <w:rPr>
          <w:b/>
          <w:sz w:val="22"/>
        </w:rPr>
        <w:t xml:space="preserve"> du merker noe av det følgende</w:t>
      </w:r>
    </w:p>
    <w:p w14:paraId="029C6320" w14:textId="77777777" w:rsidR="00B33BEC" w:rsidRPr="009C5EFD" w:rsidRDefault="00B33BEC" w:rsidP="00776A84">
      <w:pPr>
        <w:keepNext/>
        <w:suppressAutoHyphens/>
        <w:rPr>
          <w:sz w:val="22"/>
          <w:szCs w:val="22"/>
        </w:rPr>
      </w:pPr>
    </w:p>
    <w:p w14:paraId="44936A43" w14:textId="77777777" w:rsidR="00B33BEC" w:rsidRPr="009C5EFD" w:rsidRDefault="00E453CD" w:rsidP="00B33BEC">
      <w:pPr>
        <w:numPr>
          <w:ilvl w:val="0"/>
          <w:numId w:val="7"/>
        </w:numPr>
        <w:tabs>
          <w:tab w:val="num" w:pos="567"/>
        </w:tabs>
        <w:suppressAutoHyphens/>
        <w:ind w:left="567" w:hanging="567"/>
        <w:rPr>
          <w:sz w:val="22"/>
          <w:szCs w:val="22"/>
        </w:rPr>
      </w:pPr>
      <w:r>
        <w:rPr>
          <w:sz w:val="22"/>
          <w:szCs w:val="22"/>
        </w:rPr>
        <w:t>a</w:t>
      </w:r>
      <w:r w:rsidRPr="009C5EFD">
        <w:rPr>
          <w:sz w:val="22"/>
          <w:szCs w:val="22"/>
        </w:rPr>
        <w:t>lvorlig utslett, elveblest eller andre tegn på allergisk reaksjon</w:t>
      </w:r>
    </w:p>
    <w:p w14:paraId="6660698D" w14:textId="77777777" w:rsidR="00B33BEC" w:rsidRPr="009C5EFD" w:rsidRDefault="00E453CD" w:rsidP="00B33BEC">
      <w:pPr>
        <w:numPr>
          <w:ilvl w:val="0"/>
          <w:numId w:val="7"/>
        </w:numPr>
        <w:tabs>
          <w:tab w:val="num" w:pos="567"/>
        </w:tabs>
        <w:suppressAutoHyphens/>
        <w:ind w:left="567" w:hanging="567"/>
        <w:rPr>
          <w:sz w:val="22"/>
          <w:szCs w:val="22"/>
        </w:rPr>
      </w:pPr>
      <w:r>
        <w:rPr>
          <w:sz w:val="22"/>
          <w:szCs w:val="22"/>
        </w:rPr>
        <w:t>h</w:t>
      </w:r>
      <w:r w:rsidRPr="009C5EFD">
        <w:rPr>
          <w:sz w:val="22"/>
          <w:szCs w:val="22"/>
        </w:rPr>
        <w:t>ovent ansikt, hender, føtte</w:t>
      </w:r>
      <w:r>
        <w:rPr>
          <w:sz w:val="22"/>
          <w:szCs w:val="22"/>
        </w:rPr>
        <w:t>r</w:t>
      </w:r>
    </w:p>
    <w:p w14:paraId="1BBE3592" w14:textId="77777777" w:rsidR="00B33BEC" w:rsidRPr="009C5EFD" w:rsidRDefault="00E453CD" w:rsidP="00B33BEC">
      <w:pPr>
        <w:numPr>
          <w:ilvl w:val="0"/>
          <w:numId w:val="7"/>
        </w:numPr>
        <w:tabs>
          <w:tab w:val="num" w:pos="567"/>
        </w:tabs>
        <w:suppressAutoHyphens/>
        <w:ind w:left="567" w:hanging="567"/>
        <w:rPr>
          <w:sz w:val="22"/>
          <w:szCs w:val="22"/>
        </w:rPr>
      </w:pPr>
      <w:r>
        <w:rPr>
          <w:sz w:val="22"/>
          <w:szCs w:val="22"/>
        </w:rPr>
        <w:t>p</w:t>
      </w:r>
      <w:r w:rsidRPr="009C5EFD">
        <w:rPr>
          <w:sz w:val="22"/>
          <w:szCs w:val="22"/>
        </w:rPr>
        <w:t>uste-, svelgebesvær</w:t>
      </w:r>
    </w:p>
    <w:p w14:paraId="6B19D25E" w14:textId="77777777" w:rsidR="00B33BEC" w:rsidRPr="009C5EFD" w:rsidRDefault="00E453CD" w:rsidP="00B33BEC">
      <w:pPr>
        <w:numPr>
          <w:ilvl w:val="0"/>
          <w:numId w:val="7"/>
        </w:numPr>
        <w:tabs>
          <w:tab w:val="num" w:pos="567"/>
        </w:tabs>
        <w:suppressAutoHyphens/>
        <w:ind w:left="567" w:hanging="567"/>
        <w:rPr>
          <w:sz w:val="22"/>
          <w:szCs w:val="22"/>
        </w:rPr>
      </w:pPr>
      <w:r>
        <w:rPr>
          <w:sz w:val="22"/>
          <w:szCs w:val="22"/>
        </w:rPr>
        <w:t>k</w:t>
      </w:r>
      <w:r w:rsidRPr="009C5EFD">
        <w:rPr>
          <w:sz w:val="22"/>
          <w:szCs w:val="22"/>
        </w:rPr>
        <w:t xml:space="preserve">ortpustethet i forbindelse med </w:t>
      </w:r>
      <w:r>
        <w:rPr>
          <w:sz w:val="22"/>
          <w:szCs w:val="22"/>
        </w:rPr>
        <w:t>fysisk aktivitet</w:t>
      </w:r>
      <w:r w:rsidRPr="009C5EFD">
        <w:rPr>
          <w:sz w:val="22"/>
          <w:szCs w:val="22"/>
        </w:rPr>
        <w:t xml:space="preserve"> eller når man ligger ned, eller hevelse i føttene</w:t>
      </w:r>
    </w:p>
    <w:p w14:paraId="58A8400E" w14:textId="77777777" w:rsidR="00B33BEC" w:rsidRDefault="00B33BEC" w:rsidP="00B33BEC">
      <w:pPr>
        <w:tabs>
          <w:tab w:val="num" w:pos="567"/>
        </w:tabs>
        <w:suppressAutoHyphens/>
        <w:ind w:left="567" w:hanging="567"/>
        <w:rPr>
          <w:sz w:val="22"/>
          <w:szCs w:val="22"/>
        </w:rPr>
      </w:pPr>
    </w:p>
    <w:p w14:paraId="49AE461B" w14:textId="77777777" w:rsidR="00B33BEC" w:rsidRPr="009C5EFD" w:rsidRDefault="00E453CD" w:rsidP="00776A84">
      <w:pPr>
        <w:keepNext/>
        <w:tabs>
          <w:tab w:val="num" w:pos="567"/>
        </w:tabs>
        <w:suppressAutoHyphens/>
        <w:ind w:left="567" w:hanging="567"/>
        <w:rPr>
          <w:sz w:val="22"/>
          <w:szCs w:val="22"/>
        </w:rPr>
      </w:pPr>
      <w:r w:rsidRPr="0061743D">
        <w:rPr>
          <w:b/>
          <w:sz w:val="22"/>
        </w:rPr>
        <w:t xml:space="preserve">Gi beskjed til legen </w:t>
      </w:r>
      <w:r w:rsidRPr="00887835">
        <w:rPr>
          <w:b/>
          <w:sz w:val="22"/>
          <w:szCs w:val="22"/>
        </w:rPr>
        <w:t xml:space="preserve">din </w:t>
      </w:r>
      <w:r w:rsidRPr="0061743D">
        <w:rPr>
          <w:b/>
          <w:sz w:val="22"/>
        </w:rPr>
        <w:t>så raskt som mulig dersom du merker noe av dette</w:t>
      </w:r>
    </w:p>
    <w:p w14:paraId="3DC45EAA" w14:textId="77777777" w:rsidR="00B33BEC" w:rsidRPr="009C5EFD" w:rsidRDefault="00B33BEC" w:rsidP="00776A84">
      <w:pPr>
        <w:keepNext/>
        <w:tabs>
          <w:tab w:val="num" w:pos="567"/>
        </w:tabs>
        <w:suppressAutoHyphens/>
        <w:ind w:left="567" w:hanging="567"/>
        <w:rPr>
          <w:sz w:val="22"/>
          <w:szCs w:val="22"/>
        </w:rPr>
      </w:pPr>
    </w:p>
    <w:p w14:paraId="317065F8"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t</w:t>
      </w:r>
      <w:r w:rsidRPr="009C5EFD">
        <w:rPr>
          <w:sz w:val="22"/>
          <w:szCs w:val="22"/>
        </w:rPr>
        <w:t>egn på infeksjoner, som feber, uvelhet, sår, tannproblemer, svie ved vannlating</w:t>
      </w:r>
    </w:p>
    <w:p w14:paraId="40049623"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f</w:t>
      </w:r>
      <w:r w:rsidRPr="009C5EFD">
        <w:rPr>
          <w:sz w:val="22"/>
          <w:szCs w:val="22"/>
        </w:rPr>
        <w:t>ølelse av svakhet eller tretthet</w:t>
      </w:r>
    </w:p>
    <w:p w14:paraId="0B009BA7"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h</w:t>
      </w:r>
      <w:r w:rsidRPr="009C5EFD">
        <w:rPr>
          <w:sz w:val="22"/>
          <w:szCs w:val="22"/>
        </w:rPr>
        <w:t>oste</w:t>
      </w:r>
    </w:p>
    <w:p w14:paraId="31600E77"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p</w:t>
      </w:r>
      <w:r w:rsidRPr="009C5EFD">
        <w:rPr>
          <w:sz w:val="22"/>
          <w:szCs w:val="22"/>
        </w:rPr>
        <w:t>rikking</w:t>
      </w:r>
    </w:p>
    <w:p w14:paraId="4D17B8EE"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n</w:t>
      </w:r>
      <w:r w:rsidRPr="009C5EFD">
        <w:rPr>
          <w:sz w:val="22"/>
          <w:szCs w:val="22"/>
        </w:rPr>
        <w:t>ummenhet</w:t>
      </w:r>
    </w:p>
    <w:p w14:paraId="221E6A2A"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d</w:t>
      </w:r>
      <w:r w:rsidRPr="009C5EFD">
        <w:rPr>
          <w:sz w:val="22"/>
          <w:szCs w:val="22"/>
        </w:rPr>
        <w:t>obbeltsyn</w:t>
      </w:r>
    </w:p>
    <w:p w14:paraId="03DB8FB9"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s</w:t>
      </w:r>
      <w:r w:rsidRPr="009C5EFD">
        <w:rPr>
          <w:sz w:val="22"/>
          <w:szCs w:val="22"/>
        </w:rPr>
        <w:t>vakhet i armer eller bein</w:t>
      </w:r>
    </w:p>
    <w:p w14:paraId="1925641B"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e</w:t>
      </w:r>
      <w:r w:rsidRPr="009C5EFD">
        <w:rPr>
          <w:sz w:val="22"/>
          <w:szCs w:val="22"/>
        </w:rPr>
        <w:t>n kul eller åpent sår som ikke gror</w:t>
      </w:r>
    </w:p>
    <w:p w14:paraId="4A7E269E" w14:textId="77777777" w:rsidR="00B33BEC" w:rsidRPr="009C5EFD" w:rsidRDefault="00E453CD" w:rsidP="00B33BEC">
      <w:pPr>
        <w:numPr>
          <w:ilvl w:val="0"/>
          <w:numId w:val="8"/>
        </w:numPr>
        <w:tabs>
          <w:tab w:val="num" w:pos="567"/>
        </w:tabs>
        <w:suppressAutoHyphens/>
        <w:ind w:left="567" w:hanging="567"/>
        <w:rPr>
          <w:sz w:val="22"/>
          <w:szCs w:val="22"/>
        </w:rPr>
      </w:pPr>
      <w:r>
        <w:rPr>
          <w:sz w:val="22"/>
          <w:szCs w:val="22"/>
        </w:rPr>
        <w:t>t</w:t>
      </w:r>
      <w:r w:rsidRPr="009C5EFD">
        <w:rPr>
          <w:sz w:val="22"/>
          <w:szCs w:val="22"/>
        </w:rPr>
        <w:t xml:space="preserve">egn og symptomer på blodsykdommer som </w:t>
      </w:r>
      <w:r>
        <w:rPr>
          <w:sz w:val="22"/>
          <w:szCs w:val="22"/>
        </w:rPr>
        <w:t>f.eks.</w:t>
      </w:r>
      <w:r w:rsidRPr="009C5EFD">
        <w:rPr>
          <w:sz w:val="22"/>
          <w:szCs w:val="22"/>
        </w:rPr>
        <w:t xml:space="preserve"> vedvarende feber, blåmerker, blødninger, blekhet</w:t>
      </w:r>
    </w:p>
    <w:p w14:paraId="649C47D3" w14:textId="77777777" w:rsidR="00B33BEC" w:rsidRPr="009C5EFD" w:rsidRDefault="00B33BEC" w:rsidP="00B33BEC">
      <w:pPr>
        <w:suppressAutoHyphens/>
        <w:rPr>
          <w:sz w:val="22"/>
          <w:szCs w:val="22"/>
        </w:rPr>
      </w:pPr>
    </w:p>
    <w:p w14:paraId="5A7C4DFB" w14:textId="77777777" w:rsidR="00B33BEC" w:rsidRPr="009C5EFD" w:rsidRDefault="00E453CD" w:rsidP="00B33BEC">
      <w:pPr>
        <w:suppressAutoHyphens/>
        <w:rPr>
          <w:sz w:val="22"/>
          <w:szCs w:val="22"/>
        </w:rPr>
      </w:pPr>
      <w:r w:rsidRPr="009C5EFD">
        <w:rPr>
          <w:sz w:val="22"/>
          <w:szCs w:val="22"/>
        </w:rPr>
        <w:t>Symptomene beskrevet over kan være tegn på bivirkningene nedenfor, som er sett med Humira</w:t>
      </w:r>
      <w:r>
        <w:rPr>
          <w:sz w:val="22"/>
          <w:szCs w:val="22"/>
        </w:rPr>
        <w:t>.</w:t>
      </w:r>
    </w:p>
    <w:p w14:paraId="6DC87856" w14:textId="77777777" w:rsidR="00B33BEC" w:rsidRPr="009C5EFD" w:rsidRDefault="00B33BEC" w:rsidP="00B33BEC">
      <w:pPr>
        <w:suppressAutoHyphens/>
        <w:rPr>
          <w:sz w:val="22"/>
          <w:szCs w:val="22"/>
        </w:rPr>
      </w:pPr>
    </w:p>
    <w:p w14:paraId="3EBD797F" w14:textId="77777777" w:rsidR="00B33BEC" w:rsidRDefault="00E453CD" w:rsidP="00776A84">
      <w:pPr>
        <w:keepNext/>
        <w:suppressAutoHyphens/>
        <w:rPr>
          <w:sz w:val="22"/>
          <w:szCs w:val="22"/>
        </w:rPr>
      </w:pPr>
      <w:r w:rsidRPr="00AB7697">
        <w:rPr>
          <w:b/>
          <w:sz w:val="22"/>
          <w:szCs w:val="22"/>
        </w:rPr>
        <w:lastRenderedPageBreak/>
        <w:t>Svært vanlige</w:t>
      </w:r>
      <w:r w:rsidRPr="009C5EFD">
        <w:rPr>
          <w:sz w:val="22"/>
          <w:szCs w:val="22"/>
        </w:rPr>
        <w:t xml:space="preserve"> (kan forekomme hos flere enn 1 av 10 personer)</w:t>
      </w:r>
    </w:p>
    <w:p w14:paraId="05EAD987" w14:textId="77777777" w:rsidR="00B33BEC" w:rsidRPr="009C5EFD" w:rsidRDefault="00B33BEC" w:rsidP="00776A84">
      <w:pPr>
        <w:keepNext/>
        <w:suppressAutoHyphens/>
        <w:rPr>
          <w:sz w:val="22"/>
          <w:szCs w:val="22"/>
        </w:rPr>
      </w:pPr>
    </w:p>
    <w:p w14:paraId="1DA7C219"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reaksjoner på injeksjonsstedet (inkludert smerte</w:t>
      </w:r>
      <w:r>
        <w:rPr>
          <w:sz w:val="22"/>
          <w:szCs w:val="22"/>
        </w:rPr>
        <w:t>r</w:t>
      </w:r>
      <w:r w:rsidRPr="009C5EFD">
        <w:rPr>
          <w:sz w:val="22"/>
          <w:szCs w:val="22"/>
        </w:rPr>
        <w:t>, hevelse, rødme eller kløe)</w:t>
      </w:r>
    </w:p>
    <w:p w14:paraId="47CDF972"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luftveisinfeksjon (inkludert forkjølelse, rennende nese, bihulebetennelse, lungebetennelse)</w:t>
      </w:r>
    </w:p>
    <w:p w14:paraId="43E76561"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hodepine</w:t>
      </w:r>
    </w:p>
    <w:p w14:paraId="1F290159"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smerter i buken</w:t>
      </w:r>
    </w:p>
    <w:p w14:paraId="03257546"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kvalme og oppkast</w:t>
      </w:r>
    </w:p>
    <w:p w14:paraId="4F10ABE9"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utslett</w:t>
      </w:r>
    </w:p>
    <w:p w14:paraId="4D9FED4D"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smerter i muskler og skjelett</w:t>
      </w:r>
    </w:p>
    <w:p w14:paraId="0B5F83C9" w14:textId="77777777" w:rsidR="00B33BEC" w:rsidRPr="009C5EFD" w:rsidRDefault="00B33BEC" w:rsidP="00B33BEC">
      <w:pPr>
        <w:pStyle w:val="EndnoteText"/>
        <w:widowControl/>
        <w:tabs>
          <w:tab w:val="clear" w:pos="567"/>
          <w:tab w:val="left" w:pos="708"/>
        </w:tabs>
        <w:suppressAutoHyphens/>
        <w:rPr>
          <w:szCs w:val="22"/>
          <w:lang w:val="nb-NO"/>
        </w:rPr>
      </w:pPr>
    </w:p>
    <w:p w14:paraId="6A4F5D34" w14:textId="77777777" w:rsidR="00B33BEC" w:rsidRDefault="00E453CD" w:rsidP="00776A84">
      <w:pPr>
        <w:keepNext/>
        <w:suppressAutoHyphens/>
        <w:rPr>
          <w:sz w:val="22"/>
          <w:szCs w:val="22"/>
        </w:rPr>
      </w:pPr>
      <w:r w:rsidRPr="00AB7697">
        <w:rPr>
          <w:b/>
          <w:sz w:val="22"/>
          <w:szCs w:val="22"/>
        </w:rPr>
        <w:t>Vanlige</w:t>
      </w:r>
      <w:r w:rsidRPr="009C5EFD">
        <w:rPr>
          <w:sz w:val="22"/>
          <w:szCs w:val="22"/>
        </w:rPr>
        <w:t xml:space="preserve"> (kan forekomme hos opptil 1 av 10 personer)</w:t>
      </w:r>
    </w:p>
    <w:p w14:paraId="01B79406" w14:textId="77777777" w:rsidR="00B33BEC" w:rsidRPr="009C5EFD" w:rsidRDefault="00B33BEC" w:rsidP="00776A84">
      <w:pPr>
        <w:keepNext/>
        <w:suppressAutoHyphens/>
        <w:rPr>
          <w:sz w:val="22"/>
          <w:szCs w:val="22"/>
        </w:rPr>
      </w:pPr>
    </w:p>
    <w:p w14:paraId="7AB64E84" w14:textId="77777777" w:rsidR="00B33BEC" w:rsidRDefault="00E453CD" w:rsidP="00B33BEC">
      <w:pPr>
        <w:numPr>
          <w:ilvl w:val="0"/>
          <w:numId w:val="9"/>
        </w:numPr>
        <w:tabs>
          <w:tab w:val="num" w:pos="540"/>
        </w:tabs>
        <w:suppressAutoHyphens/>
        <w:ind w:left="0" w:firstLine="0"/>
        <w:rPr>
          <w:sz w:val="22"/>
          <w:szCs w:val="22"/>
        </w:rPr>
      </w:pPr>
      <w:r>
        <w:rPr>
          <w:sz w:val="22"/>
          <w:szCs w:val="22"/>
        </w:rPr>
        <w:t>alvorlige</w:t>
      </w:r>
      <w:r w:rsidRPr="009C5EFD">
        <w:rPr>
          <w:sz w:val="22"/>
          <w:szCs w:val="22"/>
        </w:rPr>
        <w:t xml:space="preserve"> infeksjoner (inkludert blodforgiftning og influensa)</w:t>
      </w:r>
    </w:p>
    <w:p w14:paraId="3EEF21D4" w14:textId="77777777" w:rsidR="00B33BEC" w:rsidRPr="009C5EFD" w:rsidRDefault="00E453CD" w:rsidP="00B33BEC">
      <w:pPr>
        <w:numPr>
          <w:ilvl w:val="0"/>
          <w:numId w:val="9"/>
        </w:numPr>
        <w:tabs>
          <w:tab w:val="num" w:pos="540"/>
        </w:tabs>
        <w:suppressAutoHyphens/>
        <w:ind w:left="0" w:firstLine="0"/>
        <w:rPr>
          <w:sz w:val="22"/>
          <w:szCs w:val="22"/>
        </w:rPr>
      </w:pPr>
      <w:r>
        <w:rPr>
          <w:sz w:val="22"/>
          <w:szCs w:val="22"/>
        </w:rPr>
        <w:t>mageinfeksjon (inkludert gastroenteritt)</w:t>
      </w:r>
    </w:p>
    <w:p w14:paraId="76F1A6F1"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hudinfeksjon (inkludert cellulitt (betennelse med hevelse og ømhet i bindevev) og helvetesild)</w:t>
      </w:r>
    </w:p>
    <w:p w14:paraId="2F9E5F17"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øreinfeksjon</w:t>
      </w:r>
    </w:p>
    <w:p w14:paraId="69B2D2C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munninfeksjon (inkludert tanninfeksjoner og forkjølelsessår)</w:t>
      </w:r>
    </w:p>
    <w:p w14:paraId="0C4D7CA2"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infeksjoner i forplantningskanal</w:t>
      </w:r>
    </w:p>
    <w:p w14:paraId="13B2FFE3"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urinveisinfeksjon</w:t>
      </w:r>
    </w:p>
    <w:p w14:paraId="550F614F"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 xml:space="preserve">soppinfeksjon </w:t>
      </w:r>
    </w:p>
    <w:p w14:paraId="4A14F63B"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leddinfeksjoner</w:t>
      </w:r>
    </w:p>
    <w:p w14:paraId="213709CE"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godartede tumorer</w:t>
      </w:r>
    </w:p>
    <w:p w14:paraId="577FEB8B"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hudkreft</w:t>
      </w:r>
    </w:p>
    <w:p w14:paraId="617C06D1"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allergiske reaksjoner (inkludert sesongallergi)</w:t>
      </w:r>
    </w:p>
    <w:p w14:paraId="6E1E592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dehydrering</w:t>
      </w:r>
    </w:p>
    <w:p w14:paraId="1D4F86E9"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humørsvingninger (inkludert depresjon)</w:t>
      </w:r>
    </w:p>
    <w:p w14:paraId="0EF76CCB"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angst</w:t>
      </w:r>
    </w:p>
    <w:p w14:paraId="45155A8C"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søvnvansker</w:t>
      </w:r>
    </w:p>
    <w:p w14:paraId="5F3F8C8B"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sanseforstyrrelser som kribling, prikking eller nummenhet</w:t>
      </w:r>
    </w:p>
    <w:p w14:paraId="23FF889D"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migrene</w:t>
      </w:r>
    </w:p>
    <w:p w14:paraId="1D28B9E4"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 xml:space="preserve">kompresjon av nerverot (inkludert smerter i korsryggen og i </w:t>
      </w:r>
      <w:r>
        <w:rPr>
          <w:sz w:val="22"/>
          <w:szCs w:val="22"/>
        </w:rPr>
        <w:t>beina</w:t>
      </w:r>
      <w:r w:rsidRPr="009C5EFD">
        <w:rPr>
          <w:sz w:val="22"/>
          <w:szCs w:val="22"/>
        </w:rPr>
        <w:t>)</w:t>
      </w:r>
    </w:p>
    <w:p w14:paraId="3E7024E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synsforstyrrelser</w:t>
      </w:r>
    </w:p>
    <w:p w14:paraId="6F44EA9D"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 xml:space="preserve">øyeinfeksjon </w:t>
      </w:r>
    </w:p>
    <w:p w14:paraId="41E97F6C"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betennelse i øyelokk og opphovnet øye</w:t>
      </w:r>
    </w:p>
    <w:p w14:paraId="35CA2BC6" w14:textId="77777777" w:rsidR="00B33BEC" w:rsidRPr="009C5EFD" w:rsidRDefault="00E453CD" w:rsidP="00B33BEC">
      <w:pPr>
        <w:numPr>
          <w:ilvl w:val="0"/>
          <w:numId w:val="9"/>
        </w:numPr>
        <w:tabs>
          <w:tab w:val="num" w:pos="540"/>
        </w:tabs>
        <w:suppressAutoHyphens/>
        <w:ind w:left="0" w:firstLine="0"/>
        <w:rPr>
          <w:sz w:val="22"/>
          <w:szCs w:val="22"/>
        </w:rPr>
      </w:pPr>
      <w:r>
        <w:rPr>
          <w:sz w:val="22"/>
          <w:szCs w:val="22"/>
        </w:rPr>
        <w:t xml:space="preserve">følelse </w:t>
      </w:r>
      <w:r w:rsidRPr="00273C8E">
        <w:rPr>
          <w:sz w:val="22"/>
        </w:rPr>
        <w:t xml:space="preserve">av </w:t>
      </w:r>
      <w:r w:rsidRPr="009C5EFD">
        <w:rPr>
          <w:sz w:val="22"/>
          <w:szCs w:val="22"/>
        </w:rPr>
        <w:t>svimmelhet</w:t>
      </w:r>
      <w:r w:rsidRPr="00E91E4A">
        <w:rPr>
          <w:sz w:val="22"/>
        </w:rPr>
        <w:t xml:space="preserve"> eller av å spinne</w:t>
      </w:r>
    </w:p>
    <w:p w14:paraId="27FE2718"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følelse av at hjertet slår rask</w:t>
      </w:r>
      <w:r>
        <w:rPr>
          <w:sz w:val="22"/>
          <w:szCs w:val="22"/>
        </w:rPr>
        <w:t>t</w:t>
      </w:r>
    </w:p>
    <w:p w14:paraId="5C2E873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høyt blodtrykk</w:t>
      </w:r>
    </w:p>
    <w:p w14:paraId="0006AF2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rødme</w:t>
      </w:r>
    </w:p>
    <w:p w14:paraId="1B7A91BC"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 xml:space="preserve">blodansamling </w:t>
      </w:r>
      <w:r>
        <w:rPr>
          <w:sz w:val="22"/>
          <w:szCs w:val="22"/>
        </w:rPr>
        <w:t xml:space="preserve">utenfor blodårer </w:t>
      </w:r>
      <w:r w:rsidRPr="009C5EFD">
        <w:rPr>
          <w:sz w:val="22"/>
          <w:szCs w:val="22"/>
        </w:rPr>
        <w:t>(hematom)</w:t>
      </w:r>
    </w:p>
    <w:p w14:paraId="4835AAF8"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hoste</w:t>
      </w:r>
    </w:p>
    <w:p w14:paraId="4DECD31F"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astma</w:t>
      </w:r>
    </w:p>
    <w:p w14:paraId="116C1CBD"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kortpusthet</w:t>
      </w:r>
    </w:p>
    <w:p w14:paraId="7B973548"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mageblødning</w:t>
      </w:r>
    </w:p>
    <w:p w14:paraId="72E3F4F4"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dyspepsi (forstyrrelser i øvre mage-tarm-kanal, dårlig fordøyelse, oppblåsthet, halsbrann)</w:t>
      </w:r>
    </w:p>
    <w:p w14:paraId="2E3920C3"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sure oppstø</w:t>
      </w:r>
      <w:r>
        <w:rPr>
          <w:sz w:val="22"/>
          <w:szCs w:val="22"/>
        </w:rPr>
        <w:t>t</w:t>
      </w:r>
    </w:p>
    <w:p w14:paraId="60AAB6E0"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Sjøgrens syndrom (inkludert tørre øyne og munn)</w:t>
      </w:r>
    </w:p>
    <w:p w14:paraId="103687A5"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kløe</w:t>
      </w:r>
    </w:p>
    <w:p w14:paraId="16FE775F"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kløende utslett</w:t>
      </w:r>
    </w:p>
    <w:p w14:paraId="3B36345B"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blåmerke</w:t>
      </w:r>
    </w:p>
    <w:p w14:paraId="29834D6B"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hudbetennelse (som eksem)</w:t>
      </w:r>
    </w:p>
    <w:p w14:paraId="2D3DCAD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brekking av fingernegl og tånegl</w:t>
      </w:r>
    </w:p>
    <w:p w14:paraId="369BE3E3"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økt svette</w:t>
      </w:r>
    </w:p>
    <w:p w14:paraId="15825B60"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hårtap</w:t>
      </w:r>
    </w:p>
    <w:p w14:paraId="44F83888"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nytt tilfelle eller forverring av psoriasis</w:t>
      </w:r>
    </w:p>
    <w:p w14:paraId="019D9E44"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lastRenderedPageBreak/>
        <w:t>muskelkramper</w:t>
      </w:r>
    </w:p>
    <w:p w14:paraId="16CD368D"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 xml:space="preserve">blod i urin </w:t>
      </w:r>
    </w:p>
    <w:p w14:paraId="59B27A44"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nyreproblemer</w:t>
      </w:r>
    </w:p>
    <w:p w14:paraId="2F096D24"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brystsmerter</w:t>
      </w:r>
    </w:p>
    <w:p w14:paraId="17ACC590"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ødem</w:t>
      </w:r>
      <w:r>
        <w:rPr>
          <w:sz w:val="22"/>
          <w:szCs w:val="22"/>
        </w:rPr>
        <w:t xml:space="preserve"> (hevelse)</w:t>
      </w:r>
    </w:p>
    <w:p w14:paraId="5A23E3BA"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feber</w:t>
      </w:r>
    </w:p>
    <w:p w14:paraId="2DE43C2D"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reduksjon i blodplater som øker risiko for blødning eller blåmerke</w:t>
      </w:r>
    </w:p>
    <w:p w14:paraId="27E54984" w14:textId="77777777" w:rsidR="00B33BEC" w:rsidRPr="009C5EFD" w:rsidRDefault="00E453CD" w:rsidP="00B33BEC">
      <w:pPr>
        <w:numPr>
          <w:ilvl w:val="0"/>
          <w:numId w:val="9"/>
        </w:numPr>
        <w:tabs>
          <w:tab w:val="num" w:pos="540"/>
        </w:tabs>
        <w:suppressAutoHyphens/>
        <w:ind w:left="0" w:firstLine="0"/>
        <w:rPr>
          <w:sz w:val="22"/>
          <w:szCs w:val="22"/>
        </w:rPr>
      </w:pPr>
      <w:r w:rsidRPr="009C5EFD">
        <w:rPr>
          <w:sz w:val="22"/>
          <w:szCs w:val="22"/>
        </w:rPr>
        <w:t>svekket heling</w:t>
      </w:r>
    </w:p>
    <w:p w14:paraId="22420527" w14:textId="77777777" w:rsidR="00B33BEC" w:rsidRPr="009C5EFD" w:rsidRDefault="00B33BEC" w:rsidP="00B33BEC">
      <w:pPr>
        <w:suppressAutoHyphens/>
        <w:rPr>
          <w:sz w:val="22"/>
          <w:szCs w:val="22"/>
        </w:rPr>
      </w:pPr>
    </w:p>
    <w:p w14:paraId="59CC657C" w14:textId="77777777" w:rsidR="00B33BEC" w:rsidRDefault="00E453CD" w:rsidP="00776A84">
      <w:pPr>
        <w:keepNext/>
        <w:suppressAutoHyphens/>
        <w:rPr>
          <w:sz w:val="22"/>
          <w:szCs w:val="22"/>
        </w:rPr>
      </w:pPr>
      <w:r w:rsidRPr="00AB7697">
        <w:rPr>
          <w:b/>
          <w:sz w:val="22"/>
          <w:szCs w:val="22"/>
        </w:rPr>
        <w:t>Mindre vanlige</w:t>
      </w:r>
      <w:r w:rsidRPr="009C5EFD">
        <w:rPr>
          <w:sz w:val="22"/>
          <w:szCs w:val="22"/>
        </w:rPr>
        <w:t xml:space="preserve"> (kan forekomme hos opptil 1 av 100 personer)</w:t>
      </w:r>
    </w:p>
    <w:p w14:paraId="115E285B" w14:textId="77777777" w:rsidR="00B33BEC" w:rsidRPr="009C5EFD" w:rsidRDefault="00B33BEC" w:rsidP="00776A84">
      <w:pPr>
        <w:keepNext/>
        <w:suppressAutoHyphens/>
        <w:rPr>
          <w:sz w:val="22"/>
          <w:szCs w:val="22"/>
        </w:rPr>
      </w:pPr>
    </w:p>
    <w:p w14:paraId="643EEA85"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 xml:space="preserve">opportunistiske infeksjoner (inkludert tuberkulose og andre infeksjoner som oppstår </w:t>
      </w:r>
      <w:r>
        <w:rPr>
          <w:sz w:val="22"/>
          <w:szCs w:val="22"/>
        </w:rPr>
        <w:t>ved svekket immunforsvar</w:t>
      </w:r>
      <w:r w:rsidRPr="009C5EFD">
        <w:rPr>
          <w:sz w:val="22"/>
          <w:szCs w:val="22"/>
        </w:rPr>
        <w:t>)</w:t>
      </w:r>
    </w:p>
    <w:p w14:paraId="5CB7EABF"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nevrologiske sykdommer (inkludert hjernehinnebetennelse)</w:t>
      </w:r>
    </w:p>
    <w:p w14:paraId="16B599F3"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øyebetennelser</w:t>
      </w:r>
    </w:p>
    <w:p w14:paraId="4FDFBCB8"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bakterieinfeksjoner</w:t>
      </w:r>
    </w:p>
    <w:p w14:paraId="5557B695"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divertikulitt (betennelse og infeksjon i tykktarmen)</w:t>
      </w:r>
    </w:p>
    <w:p w14:paraId="210466DF"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kreft</w:t>
      </w:r>
    </w:p>
    <w:p w14:paraId="40EB2C56"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kreft som påvirker lymfesystemet</w:t>
      </w:r>
    </w:p>
    <w:p w14:paraId="1910C958"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melanom</w:t>
      </w:r>
    </w:p>
    <w:p w14:paraId="3408F03D"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forstyrrelser i immunsystemet som kan påvirke lungene, huden og lymfeknutene (vises vanligvis som sarkoidose)</w:t>
      </w:r>
    </w:p>
    <w:p w14:paraId="55F521A3"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vaskulitt (betennelse i blodårene)</w:t>
      </w:r>
    </w:p>
    <w:p w14:paraId="38183D03"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skjelving</w:t>
      </w:r>
    </w:p>
    <w:p w14:paraId="14E96AEB"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ne</w:t>
      </w:r>
      <w:r>
        <w:rPr>
          <w:sz w:val="22"/>
          <w:szCs w:val="22"/>
        </w:rPr>
        <w:t>v</w:t>
      </w:r>
      <w:r w:rsidRPr="009C5EFD">
        <w:rPr>
          <w:sz w:val="22"/>
          <w:szCs w:val="22"/>
        </w:rPr>
        <w:t>ropati</w:t>
      </w:r>
      <w:r>
        <w:rPr>
          <w:sz w:val="22"/>
          <w:szCs w:val="22"/>
        </w:rPr>
        <w:t xml:space="preserve"> (forstyrrelser av nerver)</w:t>
      </w:r>
    </w:p>
    <w:p w14:paraId="59B77024"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slag</w:t>
      </w:r>
    </w:p>
    <w:p w14:paraId="6D560CD0"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hørseltap, øresus</w:t>
      </w:r>
    </w:p>
    <w:p w14:paraId="19366B72"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følelse av at hjertet slår uregelmessig</w:t>
      </w:r>
    </w:p>
    <w:p w14:paraId="57C4ACD5"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hjerteproblemer som forårsaker andpustenhet eller hevelse i ankler</w:t>
      </w:r>
    </w:p>
    <w:p w14:paraId="2F275EF7"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hjerteinfarkt</w:t>
      </w:r>
    </w:p>
    <w:p w14:paraId="1472FFAD"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en utposning på veggen av en stor pulsåre, betennelse og blodpropp i en blodåre, blokade av et blodkar</w:t>
      </w:r>
    </w:p>
    <w:p w14:paraId="1AC75070"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lungesykdom som forårsaker andpustenhet (inkludert betennelse)</w:t>
      </w:r>
    </w:p>
    <w:p w14:paraId="6B65A231"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lungeemboli (blodpropp i en blodåre i lungene)</w:t>
      </w:r>
    </w:p>
    <w:p w14:paraId="350C12E9" w14:textId="77777777" w:rsidR="00B33BEC" w:rsidRPr="009C5EFD" w:rsidRDefault="00E453CD" w:rsidP="00B33BEC">
      <w:pPr>
        <w:numPr>
          <w:ilvl w:val="0"/>
          <w:numId w:val="16"/>
        </w:numPr>
        <w:tabs>
          <w:tab w:val="num" w:pos="540"/>
        </w:tabs>
        <w:suppressAutoHyphens/>
        <w:ind w:left="540" w:hanging="540"/>
        <w:rPr>
          <w:sz w:val="22"/>
          <w:szCs w:val="22"/>
        </w:rPr>
      </w:pPr>
      <w:r>
        <w:rPr>
          <w:sz w:val="22"/>
          <w:szCs w:val="22"/>
        </w:rPr>
        <w:t>pleura</w:t>
      </w:r>
      <w:r w:rsidRPr="009C5EFD">
        <w:rPr>
          <w:sz w:val="22"/>
          <w:szCs w:val="22"/>
        </w:rPr>
        <w:t>væske (unormal samling av væske i lungesekken)</w:t>
      </w:r>
    </w:p>
    <w:p w14:paraId="2B3E37B5"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betennelse i bukspyttkjertel som forårsaker sterke smerter i mage og rygg</w:t>
      </w:r>
    </w:p>
    <w:p w14:paraId="0CEBE40A"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svelgeproblemer</w:t>
      </w:r>
    </w:p>
    <w:p w14:paraId="5097F979"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opphovnet ansikt</w:t>
      </w:r>
    </w:p>
    <w:p w14:paraId="714A6661"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betennelse i galleb</w:t>
      </w:r>
      <w:r>
        <w:rPr>
          <w:sz w:val="22"/>
          <w:szCs w:val="22"/>
        </w:rPr>
        <w:t>l</w:t>
      </w:r>
      <w:r w:rsidRPr="009C5EFD">
        <w:rPr>
          <w:sz w:val="22"/>
          <w:szCs w:val="22"/>
        </w:rPr>
        <w:t>ære</w:t>
      </w:r>
      <w:r>
        <w:rPr>
          <w:sz w:val="22"/>
          <w:szCs w:val="22"/>
        </w:rPr>
        <w:t>n</w:t>
      </w:r>
      <w:r w:rsidRPr="009C5EFD">
        <w:rPr>
          <w:sz w:val="22"/>
          <w:szCs w:val="22"/>
        </w:rPr>
        <w:t>, gallestein</w:t>
      </w:r>
    </w:p>
    <w:p w14:paraId="4E4685C2"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fettlever</w:t>
      </w:r>
    </w:p>
    <w:p w14:paraId="02863A53"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nattesvette</w:t>
      </w:r>
    </w:p>
    <w:p w14:paraId="72782345"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arrdannelse</w:t>
      </w:r>
    </w:p>
    <w:p w14:paraId="05EDF2DA"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 xml:space="preserve">unormal muskeltap </w:t>
      </w:r>
    </w:p>
    <w:p w14:paraId="148A4514"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systemisk lupus erythematosus (inkludert betennelser i hud, hjerte, lunge, ledd og andre organer)</w:t>
      </w:r>
    </w:p>
    <w:p w14:paraId="1788C65E"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 xml:space="preserve">søvnforstyrrelser </w:t>
      </w:r>
    </w:p>
    <w:p w14:paraId="752EBD2A"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impotens</w:t>
      </w:r>
    </w:p>
    <w:p w14:paraId="1D1BFD3B" w14:textId="77777777" w:rsidR="00B33BEC" w:rsidRPr="009C5EFD" w:rsidRDefault="00E453CD" w:rsidP="00B33BEC">
      <w:pPr>
        <w:numPr>
          <w:ilvl w:val="0"/>
          <w:numId w:val="16"/>
        </w:numPr>
        <w:tabs>
          <w:tab w:val="num" w:pos="540"/>
        </w:tabs>
        <w:suppressAutoHyphens/>
        <w:ind w:left="540" w:hanging="540"/>
        <w:rPr>
          <w:sz w:val="22"/>
          <w:szCs w:val="22"/>
        </w:rPr>
      </w:pPr>
      <w:r w:rsidRPr="009C5EFD">
        <w:rPr>
          <w:sz w:val="22"/>
          <w:szCs w:val="22"/>
        </w:rPr>
        <w:t>betennelser</w:t>
      </w:r>
    </w:p>
    <w:p w14:paraId="55CE7568" w14:textId="77777777" w:rsidR="00B33BEC" w:rsidRPr="009C5EFD" w:rsidRDefault="00B33BEC" w:rsidP="00B33BEC">
      <w:pPr>
        <w:pStyle w:val="EMEAFigureTitle"/>
        <w:tabs>
          <w:tab w:val="clear" w:pos="562"/>
          <w:tab w:val="left" w:pos="708"/>
        </w:tabs>
        <w:rPr>
          <w:szCs w:val="22"/>
          <w:lang w:val="nb-NO"/>
        </w:rPr>
      </w:pPr>
    </w:p>
    <w:p w14:paraId="6C7B00BA" w14:textId="77777777" w:rsidR="00B33BEC" w:rsidRDefault="00E453CD" w:rsidP="00776A84">
      <w:pPr>
        <w:keepNext/>
        <w:rPr>
          <w:sz w:val="22"/>
          <w:szCs w:val="22"/>
        </w:rPr>
      </w:pPr>
      <w:r w:rsidRPr="00AB7697">
        <w:rPr>
          <w:b/>
          <w:sz w:val="22"/>
          <w:szCs w:val="22"/>
        </w:rPr>
        <w:t>Sjeldne</w:t>
      </w:r>
      <w:r w:rsidRPr="009C5EFD">
        <w:rPr>
          <w:sz w:val="22"/>
          <w:szCs w:val="22"/>
        </w:rPr>
        <w:t xml:space="preserve"> (kan forekomme hos opptil 1 av 1000 personer)</w:t>
      </w:r>
    </w:p>
    <w:p w14:paraId="45D7D9A1" w14:textId="77777777" w:rsidR="00B33BEC" w:rsidRPr="009C5EFD" w:rsidRDefault="00B33BEC" w:rsidP="00776A84">
      <w:pPr>
        <w:keepNext/>
        <w:rPr>
          <w:sz w:val="22"/>
          <w:szCs w:val="22"/>
        </w:rPr>
      </w:pPr>
    </w:p>
    <w:p w14:paraId="04C4CB49"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leukemi (kreft som påvirker blod og benmarg)</w:t>
      </w:r>
    </w:p>
    <w:p w14:paraId="0CB7622D"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alvorlig allergisk reaksjon med sjokk</w:t>
      </w:r>
    </w:p>
    <w:p w14:paraId="723E03BA"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multippel sklerose</w:t>
      </w:r>
    </w:p>
    <w:p w14:paraId="5021FD4A"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lastRenderedPageBreak/>
        <w:t>nerveforstyrrelser (som betennelse på øyenervene og Guillain-Barré syndrom som kan forårsake muskelsvakhet, unormale sanseinntrykk, prikking i armene og overkroppen)</w:t>
      </w:r>
    </w:p>
    <w:p w14:paraId="42FEF080"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hjertet slutter å pumpe</w:t>
      </w:r>
    </w:p>
    <w:p w14:paraId="495D3890"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lungefibrose (arrdannelse i lungene)</w:t>
      </w:r>
    </w:p>
    <w:p w14:paraId="184FD2E4"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 xml:space="preserve">hull </w:t>
      </w:r>
      <w:r>
        <w:rPr>
          <w:sz w:val="22"/>
          <w:szCs w:val="22"/>
        </w:rPr>
        <w:t>på</w:t>
      </w:r>
      <w:r w:rsidRPr="009C5EFD">
        <w:rPr>
          <w:sz w:val="22"/>
          <w:szCs w:val="22"/>
        </w:rPr>
        <w:t xml:space="preserve"> tarmen</w:t>
      </w:r>
      <w:r>
        <w:rPr>
          <w:sz w:val="22"/>
          <w:szCs w:val="22"/>
        </w:rPr>
        <w:t xml:space="preserve"> (perforasjon)</w:t>
      </w:r>
    </w:p>
    <w:p w14:paraId="495A41DB"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hepatitt</w:t>
      </w:r>
    </w:p>
    <w:p w14:paraId="269D3DE9"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reaktivering av hepatitt B</w:t>
      </w:r>
    </w:p>
    <w:p w14:paraId="795CD4D4"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autoimmun hepatitt (leverbetennelse forårsaket av kroppens eget immunforsvar)</w:t>
      </w:r>
    </w:p>
    <w:p w14:paraId="795DCA44"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betennelse i blodkarene i huden</w:t>
      </w:r>
    </w:p>
    <w:p w14:paraId="1E257948"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Stevens-Johnson syndrom (tidlige symptomer inkludert diffus følelse av ubehag og tretthett, feber, hodepine og utslett)</w:t>
      </w:r>
    </w:p>
    <w:p w14:paraId="1EAA8C43"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ansiktsødem</w:t>
      </w:r>
      <w:r>
        <w:rPr>
          <w:sz w:val="22"/>
          <w:szCs w:val="22"/>
        </w:rPr>
        <w:t xml:space="preserve"> (opphovnet </w:t>
      </w:r>
      <w:r w:rsidRPr="009C5EFD">
        <w:rPr>
          <w:sz w:val="22"/>
          <w:szCs w:val="22"/>
        </w:rPr>
        <w:t>ansikt</w:t>
      </w:r>
      <w:r>
        <w:rPr>
          <w:sz w:val="22"/>
          <w:szCs w:val="22"/>
        </w:rPr>
        <w:t>)</w:t>
      </w:r>
      <w:r w:rsidRPr="009C5EFD">
        <w:rPr>
          <w:sz w:val="22"/>
          <w:szCs w:val="22"/>
        </w:rPr>
        <w:t xml:space="preserve"> i forbindelse med allergiske reaksjoner</w:t>
      </w:r>
    </w:p>
    <w:p w14:paraId="0FD3964C" w14:textId="77777777" w:rsidR="00B33BEC" w:rsidRPr="009C5EFD" w:rsidRDefault="00E453CD" w:rsidP="00B33BEC">
      <w:pPr>
        <w:numPr>
          <w:ilvl w:val="0"/>
          <w:numId w:val="15"/>
        </w:numPr>
        <w:tabs>
          <w:tab w:val="num" w:pos="540"/>
        </w:tabs>
        <w:ind w:left="540" w:hanging="540"/>
        <w:rPr>
          <w:sz w:val="22"/>
          <w:szCs w:val="22"/>
        </w:rPr>
      </w:pPr>
      <w:r w:rsidRPr="009C5EFD">
        <w:rPr>
          <w:sz w:val="22"/>
          <w:szCs w:val="22"/>
        </w:rPr>
        <w:t>erythema multiforme (hudutslett med inflammasjon)</w:t>
      </w:r>
    </w:p>
    <w:p w14:paraId="43399EAD" w14:textId="77777777" w:rsidR="00B33BEC" w:rsidRDefault="00E453CD" w:rsidP="00B33BEC">
      <w:pPr>
        <w:numPr>
          <w:ilvl w:val="0"/>
          <w:numId w:val="15"/>
        </w:numPr>
        <w:tabs>
          <w:tab w:val="num" w:pos="540"/>
        </w:tabs>
        <w:ind w:left="540" w:hanging="540"/>
        <w:rPr>
          <w:sz w:val="22"/>
          <w:szCs w:val="22"/>
        </w:rPr>
      </w:pPr>
      <w:r w:rsidRPr="009C5EFD">
        <w:rPr>
          <w:sz w:val="22"/>
          <w:szCs w:val="22"/>
        </w:rPr>
        <w:t>lupuslignende syndrom</w:t>
      </w:r>
    </w:p>
    <w:p w14:paraId="14892E1D" w14:textId="77777777" w:rsidR="00B33BEC" w:rsidRDefault="00E453CD" w:rsidP="00B33BEC">
      <w:pPr>
        <w:numPr>
          <w:ilvl w:val="0"/>
          <w:numId w:val="15"/>
        </w:numPr>
        <w:tabs>
          <w:tab w:val="num" w:pos="540"/>
        </w:tabs>
        <w:ind w:left="540" w:hanging="540"/>
        <w:rPr>
          <w:sz w:val="22"/>
          <w:szCs w:val="22"/>
        </w:rPr>
      </w:pPr>
      <w:r>
        <w:rPr>
          <w:sz w:val="22"/>
          <w:szCs w:val="22"/>
        </w:rPr>
        <w:t>angioødem (lokalisert opphovning av huden)</w:t>
      </w:r>
    </w:p>
    <w:p w14:paraId="6DBACB26" w14:textId="77777777" w:rsidR="00A36D70" w:rsidRPr="00A36D70" w:rsidRDefault="00E453CD" w:rsidP="006936CB">
      <w:pPr>
        <w:numPr>
          <w:ilvl w:val="0"/>
          <w:numId w:val="15"/>
        </w:numPr>
        <w:tabs>
          <w:tab w:val="clear" w:pos="720"/>
          <w:tab w:val="num" w:pos="540"/>
        </w:tabs>
        <w:ind w:left="540" w:hanging="540"/>
        <w:rPr>
          <w:sz w:val="22"/>
          <w:szCs w:val="22"/>
        </w:rPr>
      </w:pPr>
      <w:r>
        <w:rPr>
          <w:sz w:val="22"/>
          <w:szCs w:val="22"/>
        </w:rPr>
        <w:t>lichenoid hudreaksjon (kløende rødlig-lilla utslett)</w:t>
      </w:r>
    </w:p>
    <w:p w14:paraId="32106EFC" w14:textId="77777777" w:rsidR="00B33BEC" w:rsidRPr="009C5EFD" w:rsidRDefault="00B33BEC" w:rsidP="00B33BEC">
      <w:pPr>
        <w:rPr>
          <w:sz w:val="22"/>
          <w:szCs w:val="22"/>
        </w:rPr>
      </w:pPr>
    </w:p>
    <w:p w14:paraId="3B7E8EE4" w14:textId="77777777" w:rsidR="00B33BEC" w:rsidRDefault="00E453CD" w:rsidP="00776A84">
      <w:pPr>
        <w:keepNext/>
        <w:rPr>
          <w:sz w:val="22"/>
          <w:szCs w:val="22"/>
        </w:rPr>
      </w:pPr>
      <w:r w:rsidRPr="00AB7697">
        <w:rPr>
          <w:b/>
          <w:sz w:val="22"/>
          <w:szCs w:val="22"/>
        </w:rPr>
        <w:t>Ikke kjent</w:t>
      </w:r>
      <w:r w:rsidRPr="009C5EFD">
        <w:rPr>
          <w:sz w:val="22"/>
          <w:szCs w:val="22"/>
        </w:rPr>
        <w:t xml:space="preserve"> (</w:t>
      </w:r>
      <w:r w:rsidR="00E63B3E">
        <w:rPr>
          <w:sz w:val="22"/>
          <w:szCs w:val="22"/>
        </w:rPr>
        <w:t xml:space="preserve">frekvens </w:t>
      </w:r>
      <w:r w:rsidRPr="009C5EFD">
        <w:rPr>
          <w:sz w:val="22"/>
          <w:szCs w:val="22"/>
        </w:rPr>
        <w:t xml:space="preserve">kan ikke </w:t>
      </w:r>
      <w:r>
        <w:rPr>
          <w:sz w:val="22"/>
          <w:szCs w:val="22"/>
        </w:rPr>
        <w:t>anslås</w:t>
      </w:r>
      <w:r w:rsidRPr="009C5EFD">
        <w:rPr>
          <w:sz w:val="22"/>
          <w:szCs w:val="22"/>
        </w:rPr>
        <w:t xml:space="preserve"> ut ifra tilgjengelig</w:t>
      </w:r>
      <w:r w:rsidR="00E63B3E">
        <w:rPr>
          <w:sz w:val="22"/>
          <w:szCs w:val="22"/>
        </w:rPr>
        <w:t>e</w:t>
      </w:r>
      <w:r w:rsidRPr="009C5EFD">
        <w:rPr>
          <w:sz w:val="22"/>
          <w:szCs w:val="22"/>
        </w:rPr>
        <w:t xml:space="preserve"> data)</w:t>
      </w:r>
    </w:p>
    <w:p w14:paraId="013C9667" w14:textId="77777777" w:rsidR="00B33BEC" w:rsidRPr="009C5EFD" w:rsidRDefault="00B33BEC" w:rsidP="00776A84">
      <w:pPr>
        <w:keepNext/>
        <w:rPr>
          <w:sz w:val="22"/>
          <w:szCs w:val="22"/>
        </w:rPr>
      </w:pPr>
    </w:p>
    <w:p w14:paraId="0C628B2B" w14:textId="77777777" w:rsidR="00B33BEC" w:rsidRPr="009C5EFD" w:rsidRDefault="00E453CD" w:rsidP="00B33BEC">
      <w:pPr>
        <w:numPr>
          <w:ilvl w:val="0"/>
          <w:numId w:val="49"/>
        </w:numPr>
        <w:tabs>
          <w:tab w:val="num" w:pos="567"/>
        </w:tabs>
        <w:ind w:left="567" w:hanging="567"/>
        <w:rPr>
          <w:sz w:val="22"/>
          <w:szCs w:val="22"/>
        </w:rPr>
      </w:pPr>
      <w:r w:rsidRPr="009C5EFD">
        <w:rPr>
          <w:sz w:val="22"/>
          <w:szCs w:val="22"/>
        </w:rPr>
        <w:t>hepatosplenisk T-cellelymfom (en sjelden form for blodkreft, som ofte er dødelig)</w:t>
      </w:r>
    </w:p>
    <w:p w14:paraId="3B81A85F" w14:textId="77777777" w:rsidR="00B33BEC" w:rsidRDefault="00E453CD" w:rsidP="00B33BEC">
      <w:pPr>
        <w:numPr>
          <w:ilvl w:val="0"/>
          <w:numId w:val="49"/>
        </w:numPr>
        <w:tabs>
          <w:tab w:val="num" w:pos="567"/>
        </w:tabs>
        <w:ind w:left="567" w:hanging="567"/>
        <w:rPr>
          <w:sz w:val="22"/>
          <w:szCs w:val="22"/>
        </w:rPr>
      </w:pPr>
      <w:r w:rsidRPr="009C5EFD">
        <w:rPr>
          <w:sz w:val="22"/>
          <w:szCs w:val="22"/>
        </w:rPr>
        <w:t>merkelcellekarsinom (en type hudkreft)</w:t>
      </w:r>
    </w:p>
    <w:p w14:paraId="782508E1" w14:textId="77777777" w:rsidR="00EA0775" w:rsidRPr="00EA0775" w:rsidRDefault="00E453CD" w:rsidP="00EA0775">
      <w:pPr>
        <w:numPr>
          <w:ilvl w:val="0"/>
          <w:numId w:val="49"/>
        </w:numPr>
        <w:tabs>
          <w:tab w:val="num" w:pos="567"/>
        </w:tabs>
        <w:ind w:left="567" w:hanging="567"/>
        <w:rPr>
          <w:sz w:val="22"/>
          <w:szCs w:val="22"/>
        </w:rPr>
      </w:pPr>
      <w:r w:rsidRPr="00EA0775">
        <w:rPr>
          <w:sz w:val="22"/>
          <w:szCs w:val="22"/>
        </w:rPr>
        <w:t>Kaposis sarkom, en sjelden krefttype relatert til infeksjon med humant herpes virus 8. Kaposis sarkom opptrer som oftest som lilla lesjoner i huden</w:t>
      </w:r>
    </w:p>
    <w:p w14:paraId="3FD2A975" w14:textId="77777777" w:rsidR="00B33BEC" w:rsidRPr="009C5EFD" w:rsidRDefault="00E453CD" w:rsidP="00B33BEC">
      <w:pPr>
        <w:numPr>
          <w:ilvl w:val="0"/>
          <w:numId w:val="49"/>
        </w:numPr>
        <w:tabs>
          <w:tab w:val="num" w:pos="567"/>
        </w:tabs>
        <w:ind w:left="567" w:hanging="567"/>
        <w:rPr>
          <w:sz w:val="22"/>
          <w:szCs w:val="22"/>
        </w:rPr>
      </w:pPr>
      <w:r w:rsidRPr="009C5EFD">
        <w:rPr>
          <w:sz w:val="22"/>
          <w:szCs w:val="22"/>
        </w:rPr>
        <w:t>leversvikt</w:t>
      </w:r>
    </w:p>
    <w:p w14:paraId="0FBBC1F4" w14:textId="77777777" w:rsidR="00B33BEC" w:rsidRPr="009C5EFD" w:rsidRDefault="00E453CD" w:rsidP="00B33BEC">
      <w:pPr>
        <w:numPr>
          <w:ilvl w:val="0"/>
          <w:numId w:val="49"/>
        </w:numPr>
        <w:tabs>
          <w:tab w:val="num" w:pos="567"/>
        </w:tabs>
        <w:ind w:left="567" w:hanging="567"/>
        <w:rPr>
          <w:sz w:val="22"/>
          <w:szCs w:val="22"/>
        </w:rPr>
      </w:pPr>
      <w:r w:rsidRPr="009C5EFD">
        <w:rPr>
          <w:sz w:val="22"/>
          <w:szCs w:val="22"/>
        </w:rPr>
        <w:t>forverring av en tilstand kalt dermatomyositt (forekommer som hudutslett ledsaget med muskelsvakhet)</w:t>
      </w:r>
    </w:p>
    <w:p w14:paraId="310C55F4" w14:textId="77777777" w:rsidR="00915892" w:rsidRPr="00E90360" w:rsidRDefault="00E453CD" w:rsidP="00915892">
      <w:pPr>
        <w:numPr>
          <w:ilvl w:val="0"/>
          <w:numId w:val="49"/>
        </w:numPr>
        <w:tabs>
          <w:tab w:val="clear" w:pos="720"/>
          <w:tab w:val="num" w:pos="567"/>
        </w:tabs>
        <w:ind w:left="567" w:hanging="567"/>
        <w:rPr>
          <w:sz w:val="22"/>
          <w:szCs w:val="22"/>
        </w:rPr>
      </w:pPr>
      <w:r>
        <w:rPr>
          <w:sz w:val="22"/>
          <w:szCs w:val="22"/>
        </w:rPr>
        <w:t>vektøkning (for de fleste pasientene var vektøkningen liten)</w:t>
      </w:r>
    </w:p>
    <w:p w14:paraId="414A40D7" w14:textId="77777777" w:rsidR="00B33BEC" w:rsidRPr="009C5EFD" w:rsidRDefault="00B33BEC" w:rsidP="00B33BEC">
      <w:pPr>
        <w:rPr>
          <w:sz w:val="22"/>
          <w:szCs w:val="22"/>
        </w:rPr>
      </w:pPr>
    </w:p>
    <w:p w14:paraId="58A651B8" w14:textId="77777777" w:rsidR="00B33BEC" w:rsidRPr="009C5EFD" w:rsidRDefault="00E453CD" w:rsidP="00B33BEC">
      <w:pPr>
        <w:rPr>
          <w:sz w:val="22"/>
          <w:szCs w:val="22"/>
        </w:rPr>
      </w:pPr>
      <w:r w:rsidRPr="009C5EFD">
        <w:rPr>
          <w:sz w:val="22"/>
          <w:szCs w:val="22"/>
        </w:rPr>
        <w:t>Noen bivirkninger som er observert med Humira har ikke symptomer og kan bare vises gjennom blodprøver. Disse er:</w:t>
      </w:r>
    </w:p>
    <w:p w14:paraId="7F99E2F8" w14:textId="77777777" w:rsidR="00B33BEC" w:rsidRPr="009C5EFD" w:rsidRDefault="00B33BEC" w:rsidP="00B33BEC">
      <w:pPr>
        <w:rPr>
          <w:sz w:val="22"/>
          <w:szCs w:val="22"/>
        </w:rPr>
      </w:pPr>
    </w:p>
    <w:p w14:paraId="4DA55036" w14:textId="77777777" w:rsidR="00B33BEC" w:rsidRDefault="00E453CD" w:rsidP="00776A84">
      <w:pPr>
        <w:keepNext/>
        <w:suppressAutoHyphens/>
        <w:rPr>
          <w:sz w:val="22"/>
          <w:szCs w:val="22"/>
        </w:rPr>
      </w:pPr>
      <w:r w:rsidRPr="00AB7697">
        <w:rPr>
          <w:b/>
          <w:sz w:val="22"/>
          <w:szCs w:val="22"/>
        </w:rPr>
        <w:t>Svært vanlige</w:t>
      </w:r>
      <w:r w:rsidRPr="009C5EFD">
        <w:rPr>
          <w:sz w:val="22"/>
          <w:szCs w:val="22"/>
        </w:rPr>
        <w:t xml:space="preserve"> (kan forekomme hos flere enn 1 av 10 personer)</w:t>
      </w:r>
    </w:p>
    <w:p w14:paraId="5A02F4DE" w14:textId="77777777" w:rsidR="00B33BEC" w:rsidRPr="009C5EFD" w:rsidRDefault="00B33BEC" w:rsidP="00776A84">
      <w:pPr>
        <w:keepNext/>
        <w:suppressAutoHyphens/>
        <w:rPr>
          <w:sz w:val="22"/>
          <w:szCs w:val="22"/>
        </w:rPr>
      </w:pPr>
    </w:p>
    <w:p w14:paraId="3E78CCE7"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lave blodverdier for hvite blodlegemer</w:t>
      </w:r>
    </w:p>
    <w:p w14:paraId="3B59951B"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lave blodverdier for røde blodlegemer</w:t>
      </w:r>
    </w:p>
    <w:p w14:paraId="76BA08D1"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forhøyede lipider i blod</w:t>
      </w:r>
    </w:p>
    <w:p w14:paraId="59F13C3A"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forhøyede leverenzymer</w:t>
      </w:r>
    </w:p>
    <w:p w14:paraId="16A0521E" w14:textId="77777777" w:rsidR="00B33BEC" w:rsidRPr="009C5EFD" w:rsidRDefault="00B33BEC" w:rsidP="00B33BEC">
      <w:pPr>
        <w:rPr>
          <w:sz w:val="22"/>
          <w:szCs w:val="22"/>
        </w:rPr>
      </w:pPr>
    </w:p>
    <w:p w14:paraId="1F7B0298" w14:textId="77777777" w:rsidR="00B33BEC" w:rsidRDefault="00E453CD" w:rsidP="00776A84">
      <w:pPr>
        <w:keepNext/>
        <w:suppressAutoHyphens/>
        <w:rPr>
          <w:sz w:val="22"/>
          <w:szCs w:val="22"/>
        </w:rPr>
      </w:pPr>
      <w:r w:rsidRPr="00AB7697">
        <w:rPr>
          <w:b/>
          <w:sz w:val="22"/>
          <w:szCs w:val="22"/>
        </w:rPr>
        <w:t>Vanlige</w:t>
      </w:r>
      <w:r w:rsidRPr="009C5EFD">
        <w:rPr>
          <w:sz w:val="22"/>
          <w:szCs w:val="22"/>
        </w:rPr>
        <w:t xml:space="preserve"> (kan forekomme hos opptil 1 av 10 personer)</w:t>
      </w:r>
    </w:p>
    <w:p w14:paraId="4D1F55D0" w14:textId="77777777" w:rsidR="00B33BEC" w:rsidRPr="009C5EFD" w:rsidRDefault="00B33BEC" w:rsidP="00776A84">
      <w:pPr>
        <w:keepNext/>
        <w:suppressAutoHyphens/>
        <w:rPr>
          <w:sz w:val="22"/>
          <w:szCs w:val="22"/>
        </w:rPr>
      </w:pPr>
    </w:p>
    <w:p w14:paraId="462BE92C"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høye blodverdier for hvite blodlegemer</w:t>
      </w:r>
    </w:p>
    <w:p w14:paraId="1D9D2A4F"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lave blodverdier for blodplater</w:t>
      </w:r>
    </w:p>
    <w:p w14:paraId="316CCCB3"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forhøyet urinsyre i blod</w:t>
      </w:r>
    </w:p>
    <w:p w14:paraId="35F5CB1D"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unormale blodverdier for natrium</w:t>
      </w:r>
    </w:p>
    <w:p w14:paraId="317DFA71"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lave blodverdier for kalsium</w:t>
      </w:r>
    </w:p>
    <w:p w14:paraId="48FD91E6"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lave blodverdier for fosfat</w:t>
      </w:r>
    </w:p>
    <w:p w14:paraId="42D2FE05"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høyt blodsukker</w:t>
      </w:r>
    </w:p>
    <w:p w14:paraId="3367DB03" w14:textId="77777777" w:rsidR="00B33BEC" w:rsidRPr="009C5EFD" w:rsidRDefault="00E453CD" w:rsidP="00B33BEC">
      <w:pPr>
        <w:numPr>
          <w:ilvl w:val="0"/>
          <w:numId w:val="15"/>
        </w:numPr>
        <w:tabs>
          <w:tab w:val="num" w:pos="540"/>
        </w:tabs>
        <w:ind w:left="0" w:firstLine="0"/>
        <w:rPr>
          <w:sz w:val="22"/>
          <w:szCs w:val="22"/>
        </w:rPr>
      </w:pPr>
      <w:r w:rsidRPr="009C5EFD">
        <w:rPr>
          <w:sz w:val="22"/>
          <w:szCs w:val="22"/>
        </w:rPr>
        <w:t>høye blodverdier for laktatdehydrogenase</w:t>
      </w:r>
    </w:p>
    <w:p w14:paraId="3249C9B9" w14:textId="77777777" w:rsidR="00B33BEC" w:rsidRDefault="00E453CD" w:rsidP="00B33BEC">
      <w:pPr>
        <w:numPr>
          <w:ilvl w:val="0"/>
          <w:numId w:val="15"/>
        </w:numPr>
        <w:tabs>
          <w:tab w:val="num" w:pos="540"/>
        </w:tabs>
        <w:ind w:left="0" w:firstLine="0"/>
        <w:rPr>
          <w:sz w:val="22"/>
          <w:szCs w:val="22"/>
        </w:rPr>
      </w:pPr>
      <w:r w:rsidRPr="009C5EFD">
        <w:rPr>
          <w:sz w:val="22"/>
          <w:szCs w:val="22"/>
        </w:rPr>
        <w:t>tilstedeværelse av autoantistoffer i blod</w:t>
      </w:r>
    </w:p>
    <w:p w14:paraId="53CC8A8F" w14:textId="77777777" w:rsidR="00B33BEC" w:rsidRPr="00E90360" w:rsidRDefault="00E453CD" w:rsidP="00B33BEC">
      <w:pPr>
        <w:numPr>
          <w:ilvl w:val="0"/>
          <w:numId w:val="15"/>
        </w:numPr>
        <w:tabs>
          <w:tab w:val="clear" w:pos="720"/>
          <w:tab w:val="num" w:pos="540"/>
        </w:tabs>
        <w:ind w:left="0" w:firstLine="0"/>
        <w:rPr>
          <w:sz w:val="22"/>
          <w:szCs w:val="22"/>
        </w:rPr>
      </w:pPr>
      <w:r>
        <w:rPr>
          <w:sz w:val="22"/>
          <w:szCs w:val="22"/>
        </w:rPr>
        <w:t>lavt kaliumnivå i blodet</w:t>
      </w:r>
    </w:p>
    <w:p w14:paraId="68EC6D4F" w14:textId="77777777" w:rsidR="00B33BEC" w:rsidRDefault="00B33BEC" w:rsidP="00B33BEC">
      <w:pPr>
        <w:rPr>
          <w:sz w:val="22"/>
          <w:szCs w:val="22"/>
        </w:rPr>
      </w:pPr>
    </w:p>
    <w:p w14:paraId="512A55FA" w14:textId="77777777" w:rsidR="00B33BEC" w:rsidRPr="00E90360" w:rsidRDefault="00E453CD" w:rsidP="00B33BEC">
      <w:pPr>
        <w:keepNext/>
        <w:rPr>
          <w:sz w:val="22"/>
          <w:szCs w:val="22"/>
        </w:rPr>
      </w:pPr>
      <w:r>
        <w:rPr>
          <w:b/>
          <w:sz w:val="22"/>
        </w:rPr>
        <w:t>Mindre vanlige</w:t>
      </w:r>
      <w:r w:rsidRPr="00E90360">
        <w:rPr>
          <w:sz w:val="22"/>
          <w:szCs w:val="22"/>
        </w:rPr>
        <w:t xml:space="preserve"> (</w:t>
      </w:r>
      <w:r>
        <w:rPr>
          <w:sz w:val="22"/>
          <w:szCs w:val="22"/>
        </w:rPr>
        <w:t>kan forekomme hos opptil 1 av 100 personer</w:t>
      </w:r>
      <w:r w:rsidRPr="00E90360">
        <w:rPr>
          <w:sz w:val="22"/>
          <w:szCs w:val="22"/>
        </w:rPr>
        <w:t>)</w:t>
      </w:r>
    </w:p>
    <w:p w14:paraId="60312F56" w14:textId="77777777" w:rsidR="00B33BEC" w:rsidRPr="00E90360" w:rsidRDefault="00B33BEC" w:rsidP="00B33BEC">
      <w:pPr>
        <w:keepNext/>
        <w:rPr>
          <w:sz w:val="22"/>
          <w:szCs w:val="22"/>
        </w:rPr>
      </w:pPr>
    </w:p>
    <w:p w14:paraId="59F1D613" w14:textId="77777777" w:rsidR="00B33BEC" w:rsidRPr="00A84CEA" w:rsidRDefault="00E453CD" w:rsidP="00776A84">
      <w:pPr>
        <w:numPr>
          <w:ilvl w:val="0"/>
          <w:numId w:val="15"/>
        </w:numPr>
        <w:tabs>
          <w:tab w:val="clear" w:pos="720"/>
          <w:tab w:val="num" w:pos="540"/>
        </w:tabs>
        <w:ind w:left="0" w:firstLine="0"/>
        <w:rPr>
          <w:sz w:val="22"/>
          <w:szCs w:val="22"/>
        </w:rPr>
      </w:pPr>
      <w:r>
        <w:rPr>
          <w:sz w:val="22"/>
          <w:szCs w:val="22"/>
        </w:rPr>
        <w:t>forhøyede bilirubinverdier (leverblodprøve)</w:t>
      </w:r>
    </w:p>
    <w:p w14:paraId="2DAE7CF5" w14:textId="77777777" w:rsidR="00B33BEC" w:rsidRPr="009C5EFD" w:rsidRDefault="00B33BEC" w:rsidP="00B33BEC">
      <w:pPr>
        <w:rPr>
          <w:sz w:val="22"/>
          <w:szCs w:val="22"/>
        </w:rPr>
      </w:pPr>
    </w:p>
    <w:p w14:paraId="19FC859E" w14:textId="77777777" w:rsidR="00B33BEC" w:rsidRDefault="00E453CD" w:rsidP="00B33BEC">
      <w:pPr>
        <w:keepNext/>
        <w:rPr>
          <w:sz w:val="22"/>
          <w:szCs w:val="22"/>
        </w:rPr>
      </w:pPr>
      <w:r w:rsidRPr="00AB7697">
        <w:rPr>
          <w:b/>
          <w:sz w:val="22"/>
          <w:szCs w:val="22"/>
        </w:rPr>
        <w:lastRenderedPageBreak/>
        <w:t>Sjeldne</w:t>
      </w:r>
      <w:r w:rsidRPr="009C5EFD">
        <w:rPr>
          <w:sz w:val="22"/>
          <w:szCs w:val="22"/>
        </w:rPr>
        <w:t xml:space="preserve"> (kan forekomme hos opptil 1 av 1000 personer)</w:t>
      </w:r>
    </w:p>
    <w:p w14:paraId="079EC43C" w14:textId="77777777" w:rsidR="00B33BEC" w:rsidRPr="009C5EFD" w:rsidRDefault="00B33BEC" w:rsidP="00B33BEC">
      <w:pPr>
        <w:keepNext/>
        <w:rPr>
          <w:sz w:val="22"/>
          <w:szCs w:val="22"/>
        </w:rPr>
      </w:pPr>
    </w:p>
    <w:p w14:paraId="70DAF05C" w14:textId="77777777" w:rsidR="00B33BEC" w:rsidRPr="009C5EFD" w:rsidRDefault="00E453CD" w:rsidP="00776A84">
      <w:pPr>
        <w:numPr>
          <w:ilvl w:val="0"/>
          <w:numId w:val="15"/>
        </w:numPr>
        <w:tabs>
          <w:tab w:val="num" w:pos="540"/>
        </w:tabs>
        <w:ind w:left="0" w:firstLine="0"/>
        <w:rPr>
          <w:sz w:val="22"/>
          <w:szCs w:val="22"/>
        </w:rPr>
      </w:pPr>
      <w:r w:rsidRPr="009C5EFD">
        <w:rPr>
          <w:sz w:val="22"/>
          <w:szCs w:val="22"/>
        </w:rPr>
        <w:t>lave blodverdier for hvite blodlegemer, røde blodlegemer og antall plater</w:t>
      </w:r>
    </w:p>
    <w:p w14:paraId="1A43ECF7" w14:textId="77777777" w:rsidR="00B33BEC" w:rsidRPr="009C5EFD" w:rsidRDefault="00B33BEC" w:rsidP="00B33BEC">
      <w:pPr>
        <w:suppressAutoHyphens/>
        <w:rPr>
          <w:sz w:val="22"/>
          <w:szCs w:val="22"/>
        </w:rPr>
      </w:pPr>
    </w:p>
    <w:p w14:paraId="3AE676CE" w14:textId="77777777" w:rsidR="00B33BEC" w:rsidRDefault="00E453CD" w:rsidP="00776A84">
      <w:pPr>
        <w:keepNext/>
        <w:rPr>
          <w:rFonts w:eastAsia="SimSun"/>
          <w:b/>
          <w:sz w:val="22"/>
        </w:rPr>
      </w:pPr>
      <w:r w:rsidRPr="001C217B">
        <w:rPr>
          <w:rFonts w:eastAsia="SimSun"/>
          <w:b/>
          <w:sz w:val="22"/>
        </w:rPr>
        <w:t>Melding av bivirkninger</w:t>
      </w:r>
    </w:p>
    <w:p w14:paraId="366883B8" w14:textId="77777777" w:rsidR="00B33BEC" w:rsidRPr="005C4BE2" w:rsidRDefault="00E453CD" w:rsidP="00D80AF5">
      <w:pPr>
        <w:rPr>
          <w:sz w:val="22"/>
          <w:szCs w:val="22"/>
        </w:rPr>
      </w:pPr>
      <w:r w:rsidRPr="005C4BE2">
        <w:rPr>
          <w:sz w:val="22"/>
          <w:szCs w:val="22"/>
        </w:rPr>
        <w:t>Kontakt lege</w:t>
      </w:r>
      <w:r>
        <w:rPr>
          <w:sz w:val="22"/>
          <w:szCs w:val="22"/>
        </w:rPr>
        <w:t>n din</w:t>
      </w:r>
      <w:r w:rsidRPr="005C4BE2">
        <w:rPr>
          <w:sz w:val="22"/>
          <w:szCs w:val="22"/>
        </w:rPr>
        <w:t xml:space="preserve"> eller apotek dersom du opplever bivirkninger</w:t>
      </w:r>
      <w:r w:rsidR="00D80AF5" w:rsidRPr="00D80AF5">
        <w:rPr>
          <w:sz w:val="22"/>
          <w:szCs w:val="22"/>
        </w:rPr>
        <w:t>. Dette</w:t>
      </w:r>
      <w:r w:rsidR="00A71697">
        <w:rPr>
          <w:sz w:val="22"/>
          <w:szCs w:val="22"/>
        </w:rPr>
        <w:t xml:space="preserve"> </w:t>
      </w:r>
      <w:r w:rsidR="00D80AF5" w:rsidRPr="00D80AF5">
        <w:rPr>
          <w:sz w:val="22"/>
          <w:szCs w:val="22"/>
        </w:rPr>
        <w:t>gjelder også</w:t>
      </w:r>
      <w:r w:rsidRPr="005C4BE2">
        <w:rPr>
          <w:sz w:val="22"/>
          <w:szCs w:val="22"/>
        </w:rPr>
        <w:t xml:space="preserve"> bivirkninger som ikke er nevnt i dette pakningsvedlegget. </w:t>
      </w:r>
      <w:r w:rsidRPr="001F5D4B">
        <w:rPr>
          <w:sz w:val="22"/>
          <w:szCs w:val="22"/>
        </w:rPr>
        <w:t xml:space="preserve">Du kan også melde fra om bivirkninger direkte via </w:t>
      </w:r>
      <w:r w:rsidRPr="00F479D0">
        <w:rPr>
          <w:noProof/>
          <w:sz w:val="22"/>
          <w:szCs w:val="22"/>
          <w:highlight w:val="lightGray"/>
        </w:rPr>
        <w:t>det nasjonale meldesystemet som beskrevet i</w:t>
      </w:r>
      <w:r w:rsidRPr="00F479D0">
        <w:rPr>
          <w:sz w:val="22"/>
          <w:szCs w:val="22"/>
          <w:highlight w:val="lightGray"/>
        </w:rPr>
        <w:t xml:space="preserve"> </w:t>
      </w:r>
      <w:hyperlink r:id="rId68" w:history="1">
        <w:r w:rsidR="00B33BEC" w:rsidRPr="00F479D0">
          <w:rPr>
            <w:rStyle w:val="Hyperlink"/>
            <w:sz w:val="22"/>
            <w:szCs w:val="22"/>
            <w:highlight w:val="lightGray"/>
          </w:rPr>
          <w:t>Appendix V</w:t>
        </w:r>
      </w:hyperlink>
      <w:r w:rsidRPr="00F479D0">
        <w:rPr>
          <w:sz w:val="22"/>
          <w:szCs w:val="22"/>
          <w:highlight w:val="lightGray"/>
        </w:rPr>
        <w:t>.</w:t>
      </w:r>
      <w:r w:rsidRPr="001F5D4B">
        <w:rPr>
          <w:sz w:val="22"/>
          <w:szCs w:val="22"/>
        </w:rPr>
        <w:t xml:space="preserve"> Ved å melde fra om bivirkninger bidrar du med informasjon om sikkerheten ved bruk av dette legemidlet.</w:t>
      </w:r>
      <w:r w:rsidRPr="005C4BE2">
        <w:rPr>
          <w:sz w:val="22"/>
          <w:szCs w:val="22"/>
        </w:rPr>
        <w:t xml:space="preserve"> </w:t>
      </w:r>
    </w:p>
    <w:p w14:paraId="6291FD3D" w14:textId="77777777" w:rsidR="00B33BEC" w:rsidRPr="002D0790" w:rsidRDefault="00B33BEC" w:rsidP="00B33BEC">
      <w:pPr>
        <w:rPr>
          <w:sz w:val="22"/>
          <w:szCs w:val="22"/>
        </w:rPr>
      </w:pPr>
    </w:p>
    <w:p w14:paraId="15ACED5F" w14:textId="77777777" w:rsidR="00B33BEC" w:rsidRPr="00C07C98" w:rsidRDefault="00B33BEC" w:rsidP="00B33BEC">
      <w:pPr>
        <w:rPr>
          <w:sz w:val="22"/>
          <w:szCs w:val="22"/>
        </w:rPr>
      </w:pPr>
    </w:p>
    <w:p w14:paraId="261B11AE" w14:textId="77777777" w:rsidR="00B33BEC" w:rsidRPr="009C5EFD" w:rsidRDefault="00E453CD" w:rsidP="00776A84">
      <w:pPr>
        <w:keepNext/>
        <w:suppressAutoHyphens/>
        <w:ind w:left="567" w:hanging="567"/>
        <w:rPr>
          <w:sz w:val="22"/>
          <w:szCs w:val="22"/>
        </w:rPr>
      </w:pPr>
      <w:r w:rsidRPr="00E14E58">
        <w:rPr>
          <w:b/>
          <w:sz w:val="22"/>
          <w:szCs w:val="22"/>
        </w:rPr>
        <w:t>5.</w:t>
      </w:r>
      <w:r w:rsidRPr="00E14E58">
        <w:rPr>
          <w:b/>
          <w:sz w:val="22"/>
          <w:szCs w:val="22"/>
        </w:rPr>
        <w:tab/>
        <w:t>Hvordan du oppbevarer Humira</w:t>
      </w:r>
    </w:p>
    <w:p w14:paraId="77821494" w14:textId="77777777" w:rsidR="00B33BEC" w:rsidRPr="009C5EFD" w:rsidRDefault="00B33BEC" w:rsidP="00776A84">
      <w:pPr>
        <w:keepNext/>
        <w:rPr>
          <w:sz w:val="22"/>
          <w:szCs w:val="22"/>
        </w:rPr>
      </w:pPr>
    </w:p>
    <w:p w14:paraId="545C5FD6" w14:textId="77777777" w:rsidR="00B33BEC" w:rsidRPr="009C5EFD" w:rsidRDefault="00E453CD" w:rsidP="00B33BEC">
      <w:pPr>
        <w:suppressAutoHyphens/>
        <w:rPr>
          <w:sz w:val="22"/>
          <w:szCs w:val="22"/>
        </w:rPr>
      </w:pPr>
      <w:r w:rsidRPr="009C5EFD">
        <w:rPr>
          <w:sz w:val="22"/>
          <w:szCs w:val="22"/>
        </w:rPr>
        <w:t>Oppbevar dette legemidlet utilgjengelig for barn.</w:t>
      </w:r>
    </w:p>
    <w:p w14:paraId="76D56822" w14:textId="77777777" w:rsidR="00B33BEC" w:rsidRPr="009C5EFD" w:rsidRDefault="00B33BEC" w:rsidP="00B33BEC">
      <w:pPr>
        <w:suppressAutoHyphens/>
        <w:rPr>
          <w:sz w:val="22"/>
          <w:szCs w:val="22"/>
        </w:rPr>
      </w:pPr>
    </w:p>
    <w:p w14:paraId="7408E6EB" w14:textId="77777777" w:rsidR="00B33BEC" w:rsidRPr="009C5EFD" w:rsidRDefault="00E453CD" w:rsidP="00B33BEC">
      <w:pPr>
        <w:suppressAutoHyphens/>
        <w:rPr>
          <w:sz w:val="22"/>
          <w:szCs w:val="22"/>
        </w:rPr>
      </w:pPr>
      <w:r w:rsidRPr="009C5EFD">
        <w:rPr>
          <w:sz w:val="22"/>
          <w:szCs w:val="22"/>
        </w:rPr>
        <w:t>Bruk ikke dette legemidlet etter utløpsdatoen som er angitt på etiketten/blisteret/esken</w:t>
      </w:r>
      <w:r>
        <w:rPr>
          <w:sz w:val="22"/>
          <w:szCs w:val="22"/>
        </w:rPr>
        <w:t xml:space="preserve"> etter EXP</w:t>
      </w:r>
      <w:r w:rsidRPr="009C5EFD">
        <w:rPr>
          <w:sz w:val="22"/>
          <w:szCs w:val="22"/>
        </w:rPr>
        <w:t xml:space="preserve">. </w:t>
      </w:r>
    </w:p>
    <w:p w14:paraId="148FCE45" w14:textId="77777777" w:rsidR="00B33BEC" w:rsidRPr="009C5EFD" w:rsidRDefault="00B33BEC" w:rsidP="00B33BEC">
      <w:pPr>
        <w:suppressAutoHyphens/>
        <w:rPr>
          <w:sz w:val="22"/>
          <w:szCs w:val="22"/>
        </w:rPr>
      </w:pPr>
    </w:p>
    <w:p w14:paraId="6BE8DB25" w14:textId="77777777" w:rsidR="00E3195D" w:rsidRDefault="00E453CD" w:rsidP="00B33BEC">
      <w:pPr>
        <w:suppressAutoHyphens/>
        <w:rPr>
          <w:sz w:val="22"/>
          <w:szCs w:val="22"/>
        </w:rPr>
      </w:pPr>
      <w:r w:rsidRPr="009C5EFD">
        <w:rPr>
          <w:sz w:val="22"/>
          <w:szCs w:val="22"/>
        </w:rPr>
        <w:t>Oppbevares i kjøleskap (2</w:t>
      </w:r>
      <w:r>
        <w:rPr>
          <w:sz w:val="22"/>
          <w:szCs w:val="22"/>
        </w:rPr>
        <w:t> </w:t>
      </w:r>
      <w:r w:rsidRPr="009C5EFD">
        <w:rPr>
          <w:sz w:val="22"/>
          <w:szCs w:val="22"/>
        </w:rPr>
        <w:t>°C – 8</w:t>
      </w:r>
      <w:r>
        <w:rPr>
          <w:sz w:val="22"/>
          <w:szCs w:val="22"/>
        </w:rPr>
        <w:t> </w:t>
      </w:r>
      <w:r w:rsidRPr="009C5EFD">
        <w:rPr>
          <w:sz w:val="22"/>
          <w:szCs w:val="22"/>
        </w:rPr>
        <w:t xml:space="preserve">°C). Skal ikke fryses. </w:t>
      </w:r>
    </w:p>
    <w:p w14:paraId="5F2C0F7A" w14:textId="77777777" w:rsidR="00E3195D" w:rsidRDefault="00E3195D" w:rsidP="00B33BEC">
      <w:pPr>
        <w:suppressAutoHyphens/>
        <w:rPr>
          <w:sz w:val="22"/>
          <w:szCs w:val="22"/>
        </w:rPr>
      </w:pPr>
    </w:p>
    <w:p w14:paraId="385AB109" w14:textId="77777777" w:rsidR="00B33BEC" w:rsidRPr="009C5EFD" w:rsidRDefault="00E453CD" w:rsidP="00B33BEC">
      <w:pPr>
        <w:suppressAutoHyphens/>
        <w:rPr>
          <w:sz w:val="22"/>
          <w:szCs w:val="22"/>
        </w:rPr>
      </w:pPr>
      <w:r w:rsidRPr="009C5EFD">
        <w:rPr>
          <w:sz w:val="22"/>
          <w:szCs w:val="22"/>
        </w:rPr>
        <w:t>Den ferdigfylte sprøyten oppbevares i ytterpakningen for å beskytte mot lys.</w:t>
      </w:r>
    </w:p>
    <w:p w14:paraId="0A466776" w14:textId="77777777" w:rsidR="00B33BEC" w:rsidRPr="009C5EFD" w:rsidRDefault="00B33BEC" w:rsidP="00B33BEC">
      <w:pPr>
        <w:suppressAutoHyphens/>
        <w:rPr>
          <w:sz w:val="22"/>
          <w:szCs w:val="22"/>
        </w:rPr>
      </w:pPr>
    </w:p>
    <w:p w14:paraId="49FBCE64" w14:textId="77777777" w:rsidR="00B33BEC" w:rsidRPr="009C5EFD" w:rsidRDefault="00E453CD" w:rsidP="00B33BEC">
      <w:pPr>
        <w:suppressAutoHyphens/>
        <w:rPr>
          <w:sz w:val="22"/>
          <w:szCs w:val="22"/>
        </w:rPr>
      </w:pPr>
      <w:r w:rsidRPr="009C5EFD">
        <w:rPr>
          <w:sz w:val="22"/>
          <w:szCs w:val="22"/>
        </w:rPr>
        <w:t>Alternativ oppbevaring:</w:t>
      </w:r>
    </w:p>
    <w:p w14:paraId="5C29B8D4" w14:textId="77777777" w:rsidR="00B33BEC" w:rsidRPr="009C5EFD" w:rsidRDefault="00B33BEC" w:rsidP="00B33BEC">
      <w:pPr>
        <w:suppressAutoHyphens/>
        <w:rPr>
          <w:sz w:val="22"/>
          <w:szCs w:val="22"/>
        </w:rPr>
      </w:pPr>
    </w:p>
    <w:p w14:paraId="47A48970" w14:textId="77777777" w:rsidR="00B33BEC" w:rsidRPr="009C5EFD" w:rsidRDefault="00E453CD" w:rsidP="00B33BEC">
      <w:pPr>
        <w:suppressAutoHyphens/>
        <w:rPr>
          <w:sz w:val="22"/>
          <w:szCs w:val="22"/>
        </w:rPr>
      </w:pPr>
      <w:r w:rsidRPr="009C5EFD">
        <w:rPr>
          <w:sz w:val="22"/>
          <w:szCs w:val="22"/>
        </w:rPr>
        <w:t>Ved behov (for eksempel når du er på reise) kan en enkelt Humira ferdigfylt sprøyte oppbevares ved romtemperatur (opptil 25</w:t>
      </w:r>
      <w:r>
        <w:rPr>
          <w:sz w:val="22"/>
          <w:szCs w:val="22"/>
        </w:rPr>
        <w:t> </w:t>
      </w:r>
      <w:r w:rsidRPr="009C5EFD">
        <w:rPr>
          <w:sz w:val="22"/>
          <w:szCs w:val="22"/>
        </w:rPr>
        <w:t xml:space="preserve">°C) for en periode på maksimum 14 dager – sørg for å beskytte den mot lys. I det øyeblikk den tas fra kjøleskap for oppbevaring i romtemperatur </w:t>
      </w:r>
      <w:r w:rsidRPr="009C5EFD">
        <w:rPr>
          <w:b/>
          <w:sz w:val="22"/>
          <w:szCs w:val="22"/>
        </w:rPr>
        <w:t>må sprøyten brukes innen 14 dager eller kastes</w:t>
      </w:r>
      <w:r w:rsidRPr="009C5EFD">
        <w:rPr>
          <w:sz w:val="22"/>
          <w:szCs w:val="22"/>
        </w:rPr>
        <w:t>, selv om den blir lagt tilbake i kjøleskapet.</w:t>
      </w:r>
    </w:p>
    <w:p w14:paraId="0E396129" w14:textId="77777777" w:rsidR="00B33BEC" w:rsidRPr="009C5EFD" w:rsidRDefault="00B33BEC" w:rsidP="00B33BEC">
      <w:pPr>
        <w:suppressAutoHyphens/>
        <w:rPr>
          <w:sz w:val="22"/>
          <w:szCs w:val="22"/>
        </w:rPr>
      </w:pPr>
    </w:p>
    <w:p w14:paraId="4A5122B5" w14:textId="77777777" w:rsidR="00B33BEC" w:rsidRPr="009C5EFD" w:rsidRDefault="00E453CD" w:rsidP="00B33BEC">
      <w:pPr>
        <w:suppressAutoHyphens/>
        <w:rPr>
          <w:sz w:val="22"/>
          <w:szCs w:val="22"/>
        </w:rPr>
      </w:pPr>
      <w:r w:rsidRPr="009C5EFD">
        <w:rPr>
          <w:sz w:val="22"/>
          <w:szCs w:val="22"/>
        </w:rPr>
        <w:t>Du bør notere datoen når sprøyten først tas ut fra kjøleskapet, og datoen for når den burde bli kastet.</w:t>
      </w:r>
    </w:p>
    <w:p w14:paraId="25AD582A" w14:textId="77777777" w:rsidR="00B33BEC" w:rsidRPr="009C5EFD" w:rsidRDefault="00B33BEC" w:rsidP="00B33BEC">
      <w:pPr>
        <w:suppressAutoHyphens/>
        <w:rPr>
          <w:sz w:val="22"/>
          <w:szCs w:val="22"/>
        </w:rPr>
      </w:pPr>
    </w:p>
    <w:p w14:paraId="061C1801" w14:textId="77777777" w:rsidR="00B33BEC" w:rsidRPr="009C5EFD" w:rsidRDefault="00E453CD" w:rsidP="00B33BEC">
      <w:pPr>
        <w:suppressAutoHyphens/>
        <w:rPr>
          <w:sz w:val="22"/>
          <w:szCs w:val="22"/>
        </w:rPr>
      </w:pPr>
      <w:r w:rsidRPr="009C5EFD">
        <w:rPr>
          <w:sz w:val="22"/>
          <w:szCs w:val="22"/>
        </w:rPr>
        <w:t>Legemidler skal ikke kastes i avløpsvann eller sammen med husholdningsavfall. Spør legen din eller på apoteket hvordan legemidler som du ikke lenger bruker skal kastes. Disse tiltakene bidrar til å beskytte miljøet.</w:t>
      </w:r>
    </w:p>
    <w:p w14:paraId="7ED1A28B" w14:textId="77777777" w:rsidR="00B33BEC" w:rsidRPr="009C5EFD" w:rsidRDefault="00B33BEC" w:rsidP="00B33BEC">
      <w:pPr>
        <w:suppressAutoHyphens/>
        <w:rPr>
          <w:sz w:val="22"/>
          <w:szCs w:val="22"/>
        </w:rPr>
      </w:pPr>
    </w:p>
    <w:p w14:paraId="4B55B9F0" w14:textId="77777777" w:rsidR="00B33BEC" w:rsidRPr="009C5EFD" w:rsidRDefault="00B33BEC" w:rsidP="00B33BEC">
      <w:pPr>
        <w:suppressAutoHyphens/>
        <w:rPr>
          <w:sz w:val="22"/>
          <w:szCs w:val="22"/>
        </w:rPr>
      </w:pPr>
    </w:p>
    <w:p w14:paraId="32CB0760" w14:textId="77777777" w:rsidR="00B33BEC" w:rsidRPr="009C5EFD" w:rsidRDefault="00E453CD" w:rsidP="00776A84">
      <w:pPr>
        <w:keepNext/>
        <w:suppressAutoHyphens/>
        <w:ind w:left="540" w:hanging="540"/>
        <w:rPr>
          <w:sz w:val="22"/>
          <w:szCs w:val="22"/>
        </w:rPr>
      </w:pPr>
      <w:r w:rsidRPr="009C5EFD">
        <w:rPr>
          <w:b/>
          <w:sz w:val="22"/>
          <w:szCs w:val="22"/>
        </w:rPr>
        <w:t>6.</w:t>
      </w:r>
      <w:r w:rsidRPr="009C5EFD">
        <w:rPr>
          <w:b/>
          <w:sz w:val="22"/>
          <w:szCs w:val="22"/>
        </w:rPr>
        <w:tab/>
        <w:t>Innholdet i pakningen og ytterligere informasjon</w:t>
      </w:r>
    </w:p>
    <w:p w14:paraId="31E6C9E3" w14:textId="77777777" w:rsidR="00B33BEC" w:rsidRPr="009C5EFD" w:rsidRDefault="00B33BEC" w:rsidP="00776A84">
      <w:pPr>
        <w:keepNext/>
        <w:tabs>
          <w:tab w:val="left" w:pos="567"/>
        </w:tabs>
        <w:suppressAutoHyphens/>
        <w:rPr>
          <w:sz w:val="22"/>
          <w:szCs w:val="22"/>
        </w:rPr>
      </w:pPr>
    </w:p>
    <w:p w14:paraId="7DDBE566" w14:textId="77777777" w:rsidR="00B33BEC" w:rsidRPr="009C5EFD" w:rsidRDefault="00E453CD" w:rsidP="00776A84">
      <w:pPr>
        <w:pStyle w:val="Heading3"/>
        <w:rPr>
          <w:szCs w:val="22"/>
          <w:lang w:val="nb-NO"/>
        </w:rPr>
      </w:pPr>
      <w:r w:rsidRPr="009C5EFD">
        <w:rPr>
          <w:szCs w:val="22"/>
          <w:lang w:val="nb-NO"/>
        </w:rPr>
        <w:t>Sammensetning av Humira</w:t>
      </w:r>
    </w:p>
    <w:p w14:paraId="77FC7562" w14:textId="77777777" w:rsidR="00B33BEC" w:rsidRPr="009C5EFD" w:rsidRDefault="00B33BEC" w:rsidP="00776A84">
      <w:pPr>
        <w:keepNext/>
        <w:rPr>
          <w:sz w:val="22"/>
          <w:szCs w:val="22"/>
        </w:rPr>
      </w:pPr>
    </w:p>
    <w:p w14:paraId="2B303035" w14:textId="77777777" w:rsidR="00B33BEC" w:rsidRPr="009C5EFD" w:rsidRDefault="00E453CD" w:rsidP="00B33BEC">
      <w:pPr>
        <w:suppressAutoHyphens/>
        <w:rPr>
          <w:sz w:val="22"/>
          <w:szCs w:val="22"/>
        </w:rPr>
      </w:pPr>
      <w:r w:rsidRPr="009C5EFD">
        <w:rPr>
          <w:sz w:val="22"/>
          <w:szCs w:val="22"/>
        </w:rPr>
        <w:t>Virkestoffet er adalimumab.</w:t>
      </w:r>
    </w:p>
    <w:p w14:paraId="72B6219D" w14:textId="77777777" w:rsidR="00B33BEC" w:rsidRPr="009C5EFD" w:rsidRDefault="00E453CD" w:rsidP="00B33BEC">
      <w:pPr>
        <w:pStyle w:val="BodyTextIndent2"/>
        <w:ind w:left="0" w:firstLine="0"/>
        <w:rPr>
          <w:szCs w:val="22"/>
        </w:rPr>
      </w:pPr>
      <w:r w:rsidRPr="009C5EFD">
        <w:rPr>
          <w:szCs w:val="22"/>
        </w:rPr>
        <w:t>Hjelpestoffer er mannitol, polysorbat 80 og vann til injeksjonsvæsker.</w:t>
      </w:r>
    </w:p>
    <w:p w14:paraId="5034855C" w14:textId="77777777" w:rsidR="00B33BEC" w:rsidRPr="009C5EFD" w:rsidRDefault="00B33BEC" w:rsidP="00B33BEC">
      <w:pPr>
        <w:pStyle w:val="EndnoteText"/>
        <w:widowControl/>
        <w:tabs>
          <w:tab w:val="clear" w:pos="567"/>
          <w:tab w:val="left" w:pos="708"/>
        </w:tabs>
        <w:suppressAutoHyphens/>
        <w:rPr>
          <w:szCs w:val="22"/>
          <w:lang w:val="nb-NO"/>
        </w:rPr>
      </w:pPr>
    </w:p>
    <w:p w14:paraId="09ED080C" w14:textId="77777777" w:rsidR="00B33BEC" w:rsidRPr="009C5EFD" w:rsidRDefault="00E453CD" w:rsidP="00B33BEC">
      <w:pPr>
        <w:pStyle w:val="Heading3"/>
        <w:suppressAutoHyphens/>
        <w:rPr>
          <w:szCs w:val="22"/>
          <w:lang w:val="nb-NO"/>
        </w:rPr>
      </w:pPr>
      <w:r w:rsidRPr="009C5EFD">
        <w:rPr>
          <w:szCs w:val="22"/>
          <w:lang w:val="nb-NO"/>
        </w:rPr>
        <w:t>Hvordan Humira ferdigfylt sprøyte ser ut og innholdet i pakningen</w:t>
      </w:r>
    </w:p>
    <w:p w14:paraId="655A5DDE" w14:textId="77777777" w:rsidR="00B33BEC" w:rsidRPr="009C5EFD" w:rsidRDefault="00B33BEC" w:rsidP="00B33BEC">
      <w:pPr>
        <w:pStyle w:val="EndnoteText"/>
        <w:keepNext/>
        <w:widowControl/>
        <w:tabs>
          <w:tab w:val="clear" w:pos="567"/>
          <w:tab w:val="left" w:pos="708"/>
        </w:tabs>
        <w:suppressAutoHyphens/>
        <w:rPr>
          <w:szCs w:val="22"/>
          <w:lang w:val="nb-NO"/>
        </w:rPr>
      </w:pPr>
    </w:p>
    <w:p w14:paraId="56CFFF9D" w14:textId="77777777" w:rsidR="00B33BEC" w:rsidRPr="009C5EFD" w:rsidRDefault="00E453CD" w:rsidP="00776A84">
      <w:pPr>
        <w:pStyle w:val="EndnoteText"/>
        <w:widowControl/>
        <w:tabs>
          <w:tab w:val="clear" w:pos="567"/>
          <w:tab w:val="left" w:pos="708"/>
        </w:tabs>
        <w:suppressAutoHyphens/>
        <w:rPr>
          <w:b/>
          <w:bCs/>
          <w:szCs w:val="22"/>
          <w:lang w:val="nb-NO"/>
        </w:rPr>
      </w:pPr>
      <w:r w:rsidRPr="009C5EFD">
        <w:rPr>
          <w:szCs w:val="22"/>
          <w:lang w:val="nb-NO"/>
        </w:rPr>
        <w:t xml:space="preserve">Humira 40 mg injeksjonsvæske, oppløsning i ferdigfylt sprøyte er tilgjengelig som steril oppløsning av 40 mg adalimumab oppløst i 0,4 ml </w:t>
      </w:r>
      <w:r>
        <w:rPr>
          <w:szCs w:val="22"/>
          <w:lang w:val="nb-NO"/>
        </w:rPr>
        <w:t>opp</w:t>
      </w:r>
      <w:r w:rsidRPr="009C5EFD">
        <w:rPr>
          <w:szCs w:val="22"/>
          <w:lang w:val="nb-NO"/>
        </w:rPr>
        <w:t>løsning.</w:t>
      </w:r>
    </w:p>
    <w:p w14:paraId="048E0E71" w14:textId="77777777" w:rsidR="00B33BEC" w:rsidRPr="00C40ABF" w:rsidRDefault="00B33BEC" w:rsidP="00B33BEC">
      <w:pPr>
        <w:suppressAutoHyphens/>
        <w:rPr>
          <w:bCs/>
          <w:sz w:val="22"/>
          <w:szCs w:val="22"/>
        </w:rPr>
      </w:pPr>
    </w:p>
    <w:p w14:paraId="58CCC7D0" w14:textId="77777777" w:rsidR="00B33BEC" w:rsidRPr="009C5EFD" w:rsidRDefault="00E453CD" w:rsidP="00B33BEC">
      <w:pPr>
        <w:pStyle w:val="EndnoteText"/>
        <w:widowControl/>
        <w:tabs>
          <w:tab w:val="clear" w:pos="567"/>
          <w:tab w:val="left" w:pos="708"/>
        </w:tabs>
        <w:suppressAutoHyphens/>
        <w:rPr>
          <w:szCs w:val="22"/>
          <w:lang w:val="nb-NO"/>
        </w:rPr>
      </w:pPr>
      <w:r w:rsidRPr="009C5EFD">
        <w:rPr>
          <w:szCs w:val="22"/>
          <w:lang w:val="nb-NO"/>
        </w:rPr>
        <w:t>Humira ferdigfylt sprøyte er en glassprøyte som inneholder oppløsning av adalimumab. Hver pakke inneholder 1, 2, 4, eller 6 ferdigfylte sprøyter for pasientbruk sammen med henholdsvis 1, 2, 4, eller 6 injeksjonstørk.</w:t>
      </w:r>
    </w:p>
    <w:p w14:paraId="431A4A55" w14:textId="77777777" w:rsidR="00B33BEC" w:rsidRPr="009C5EFD" w:rsidRDefault="00B33BEC" w:rsidP="00B33BEC">
      <w:pPr>
        <w:pStyle w:val="EndnoteText"/>
        <w:widowControl/>
        <w:tabs>
          <w:tab w:val="clear" w:pos="567"/>
          <w:tab w:val="left" w:pos="708"/>
        </w:tabs>
        <w:suppressAutoHyphens/>
        <w:rPr>
          <w:szCs w:val="22"/>
          <w:lang w:val="nb-NO"/>
        </w:rPr>
      </w:pPr>
    </w:p>
    <w:p w14:paraId="62A27B90" w14:textId="77777777" w:rsidR="00B33BEC" w:rsidRPr="009C5EFD" w:rsidRDefault="00E453CD" w:rsidP="00B33BEC">
      <w:pPr>
        <w:pStyle w:val="EndnoteText"/>
        <w:widowControl/>
        <w:tabs>
          <w:tab w:val="clear" w:pos="567"/>
          <w:tab w:val="left" w:pos="708"/>
        </w:tabs>
        <w:suppressAutoHyphens/>
        <w:rPr>
          <w:szCs w:val="22"/>
          <w:lang w:val="nb-NO"/>
        </w:rPr>
      </w:pPr>
      <w:r w:rsidRPr="009C5EFD">
        <w:rPr>
          <w:szCs w:val="22"/>
          <w:lang w:val="nb-NO"/>
        </w:rPr>
        <w:t xml:space="preserve">Ikke alle pakningsstørrelser vil nødvendigvis bli markedsført. </w:t>
      </w:r>
    </w:p>
    <w:p w14:paraId="0E6B379B" w14:textId="77777777" w:rsidR="00B33BEC" w:rsidRPr="009C5EFD" w:rsidRDefault="00B33BEC" w:rsidP="00B33BEC">
      <w:pPr>
        <w:pStyle w:val="EndnoteText"/>
        <w:widowControl/>
        <w:tabs>
          <w:tab w:val="clear" w:pos="567"/>
          <w:tab w:val="left" w:pos="708"/>
        </w:tabs>
        <w:suppressAutoHyphens/>
        <w:rPr>
          <w:szCs w:val="22"/>
          <w:lang w:val="nb-NO"/>
        </w:rPr>
      </w:pPr>
    </w:p>
    <w:p w14:paraId="4240E530" w14:textId="77777777" w:rsidR="00B33BEC" w:rsidRPr="009C5EFD" w:rsidRDefault="00E453CD" w:rsidP="00B33BEC">
      <w:pPr>
        <w:numPr>
          <w:ilvl w:val="12"/>
          <w:numId w:val="0"/>
        </w:numPr>
        <w:ind w:right="-2"/>
        <w:rPr>
          <w:sz w:val="22"/>
          <w:szCs w:val="22"/>
        </w:rPr>
      </w:pPr>
      <w:r w:rsidRPr="009C5EFD">
        <w:rPr>
          <w:sz w:val="22"/>
          <w:szCs w:val="22"/>
        </w:rPr>
        <w:t xml:space="preserve">Humira </w:t>
      </w:r>
      <w:r>
        <w:rPr>
          <w:sz w:val="22"/>
          <w:szCs w:val="22"/>
        </w:rPr>
        <w:t xml:space="preserve">kan være </w:t>
      </w:r>
      <w:r w:rsidRPr="009C5EFD">
        <w:rPr>
          <w:sz w:val="22"/>
          <w:szCs w:val="22"/>
        </w:rPr>
        <w:t>tilgjengelig som hetteglass, ferdigfylt sprøyte og</w:t>
      </w:r>
      <w:r>
        <w:rPr>
          <w:sz w:val="22"/>
          <w:szCs w:val="22"/>
        </w:rPr>
        <w:t>/eller</w:t>
      </w:r>
      <w:r w:rsidRPr="009C5EFD">
        <w:rPr>
          <w:sz w:val="22"/>
          <w:szCs w:val="22"/>
        </w:rPr>
        <w:t xml:space="preserve"> ferdigfylt penn.</w:t>
      </w:r>
    </w:p>
    <w:p w14:paraId="4EA53EE6" w14:textId="77777777" w:rsidR="00B33BEC" w:rsidRPr="009C5EFD" w:rsidRDefault="00B33BEC" w:rsidP="00B33BEC">
      <w:pPr>
        <w:pStyle w:val="EndnoteText"/>
        <w:widowControl/>
        <w:tabs>
          <w:tab w:val="clear" w:pos="567"/>
          <w:tab w:val="left" w:pos="708"/>
        </w:tabs>
        <w:suppressAutoHyphens/>
        <w:rPr>
          <w:szCs w:val="22"/>
          <w:lang w:val="nb-NO"/>
        </w:rPr>
      </w:pPr>
    </w:p>
    <w:p w14:paraId="346ADCF0" w14:textId="77777777" w:rsidR="00B33BEC" w:rsidRPr="009C5EFD" w:rsidRDefault="00E453CD" w:rsidP="00776A84">
      <w:pPr>
        <w:pStyle w:val="BodyText3"/>
        <w:keepNext/>
        <w:tabs>
          <w:tab w:val="left" w:pos="708"/>
        </w:tabs>
        <w:suppressAutoHyphens w:val="0"/>
        <w:rPr>
          <w:szCs w:val="22"/>
          <w:lang w:val="nb-NO"/>
        </w:rPr>
      </w:pPr>
      <w:r w:rsidRPr="009C5EFD">
        <w:rPr>
          <w:szCs w:val="22"/>
          <w:lang w:val="nb-NO"/>
        </w:rPr>
        <w:lastRenderedPageBreak/>
        <w:t>Innehaver av markedsføringstillatelsen</w:t>
      </w:r>
    </w:p>
    <w:p w14:paraId="02AAC5CC" w14:textId="77777777" w:rsidR="00B33BEC" w:rsidRPr="009C5EFD" w:rsidRDefault="00B33BEC" w:rsidP="00776A84">
      <w:pPr>
        <w:keepNext/>
        <w:rPr>
          <w:sz w:val="22"/>
          <w:szCs w:val="22"/>
        </w:rPr>
      </w:pPr>
    </w:p>
    <w:p w14:paraId="6C72D815" w14:textId="77777777" w:rsidR="00B33BEC" w:rsidRPr="00EF12DF" w:rsidRDefault="00E453CD" w:rsidP="00B33BEC">
      <w:pPr>
        <w:rPr>
          <w:sz w:val="22"/>
          <w:szCs w:val="22"/>
        </w:rPr>
      </w:pPr>
      <w:r w:rsidRPr="00EF12DF">
        <w:rPr>
          <w:sz w:val="22"/>
          <w:szCs w:val="22"/>
        </w:rPr>
        <w:t>AbbVie Deutschland GmbH &amp; Co. KG</w:t>
      </w:r>
    </w:p>
    <w:p w14:paraId="0CD88795" w14:textId="77777777" w:rsidR="00B33BEC" w:rsidRPr="00EF12DF" w:rsidRDefault="00E453CD" w:rsidP="00B33BEC">
      <w:pPr>
        <w:rPr>
          <w:sz w:val="22"/>
          <w:szCs w:val="22"/>
        </w:rPr>
      </w:pPr>
      <w:r w:rsidRPr="00EF12DF">
        <w:rPr>
          <w:sz w:val="22"/>
          <w:szCs w:val="22"/>
        </w:rPr>
        <w:t>Knollstrasse</w:t>
      </w:r>
    </w:p>
    <w:p w14:paraId="69D62389" w14:textId="77777777" w:rsidR="00B33BEC" w:rsidRPr="00EF12DF" w:rsidRDefault="00E453CD" w:rsidP="00B33BEC">
      <w:pPr>
        <w:rPr>
          <w:sz w:val="22"/>
          <w:szCs w:val="22"/>
        </w:rPr>
      </w:pPr>
      <w:r w:rsidRPr="00EF12DF">
        <w:rPr>
          <w:sz w:val="22"/>
          <w:szCs w:val="22"/>
        </w:rPr>
        <w:t>67061 Ludwigshafen</w:t>
      </w:r>
    </w:p>
    <w:p w14:paraId="571E38C0" w14:textId="77777777" w:rsidR="00B33BEC" w:rsidRPr="009C5EFD" w:rsidRDefault="00E453CD" w:rsidP="00B33BEC">
      <w:pPr>
        <w:rPr>
          <w:sz w:val="22"/>
          <w:szCs w:val="22"/>
        </w:rPr>
      </w:pPr>
      <w:r>
        <w:rPr>
          <w:sz w:val="22"/>
          <w:szCs w:val="22"/>
        </w:rPr>
        <w:t>Tyskland</w:t>
      </w:r>
    </w:p>
    <w:p w14:paraId="3D7412DD" w14:textId="77777777" w:rsidR="00B33BEC" w:rsidRPr="00DA6326" w:rsidRDefault="00B33BEC" w:rsidP="00B33BEC">
      <w:pPr>
        <w:suppressAutoHyphens/>
        <w:rPr>
          <w:sz w:val="22"/>
          <w:szCs w:val="22"/>
          <w:lang w:val="nn-NO"/>
        </w:rPr>
      </w:pPr>
    </w:p>
    <w:p w14:paraId="29047E74" w14:textId="77777777" w:rsidR="00B33BEC" w:rsidRPr="00DA6326" w:rsidRDefault="00E453CD" w:rsidP="00776A84">
      <w:pPr>
        <w:keepNext/>
        <w:suppressAutoHyphens/>
        <w:rPr>
          <w:b/>
          <w:sz w:val="22"/>
          <w:szCs w:val="22"/>
          <w:lang w:val="nn-NO"/>
        </w:rPr>
      </w:pPr>
      <w:r w:rsidRPr="00DA6326">
        <w:rPr>
          <w:b/>
          <w:sz w:val="22"/>
          <w:szCs w:val="22"/>
          <w:lang w:val="nn-NO"/>
        </w:rPr>
        <w:t>Tilvirker</w:t>
      </w:r>
    </w:p>
    <w:p w14:paraId="2C73FDA3" w14:textId="77777777" w:rsidR="00B33BEC" w:rsidRPr="00DA6326" w:rsidRDefault="00B33BEC" w:rsidP="00776A84">
      <w:pPr>
        <w:keepNext/>
        <w:rPr>
          <w:sz w:val="22"/>
          <w:szCs w:val="22"/>
          <w:lang w:val="nn-NO"/>
        </w:rPr>
      </w:pPr>
    </w:p>
    <w:p w14:paraId="78D6135A" w14:textId="77777777" w:rsidR="00B33BEC" w:rsidRPr="00AF70AD" w:rsidRDefault="00E453CD" w:rsidP="00B33BEC">
      <w:pPr>
        <w:rPr>
          <w:sz w:val="22"/>
        </w:rPr>
      </w:pPr>
      <w:r w:rsidRPr="00AF70AD">
        <w:rPr>
          <w:sz w:val="22"/>
        </w:rPr>
        <w:t>AbbVie Biotechnology GmbH</w:t>
      </w:r>
    </w:p>
    <w:p w14:paraId="47B16C4A" w14:textId="77777777" w:rsidR="00B33BEC" w:rsidRPr="009C5EFD" w:rsidRDefault="00E453CD" w:rsidP="00B33BEC">
      <w:pPr>
        <w:numPr>
          <w:ilvl w:val="12"/>
          <w:numId w:val="0"/>
        </w:numPr>
        <w:tabs>
          <w:tab w:val="left" w:pos="720"/>
        </w:tabs>
        <w:rPr>
          <w:sz w:val="22"/>
          <w:szCs w:val="22"/>
        </w:rPr>
      </w:pPr>
      <w:r w:rsidRPr="009C5EFD">
        <w:rPr>
          <w:sz w:val="22"/>
          <w:szCs w:val="22"/>
        </w:rPr>
        <w:t>Knollstrasse</w:t>
      </w:r>
    </w:p>
    <w:p w14:paraId="7C9431D0" w14:textId="77777777" w:rsidR="00B33BEC" w:rsidRPr="009C5EFD" w:rsidRDefault="00E453CD" w:rsidP="00B33BEC">
      <w:pPr>
        <w:numPr>
          <w:ilvl w:val="12"/>
          <w:numId w:val="0"/>
        </w:numPr>
        <w:tabs>
          <w:tab w:val="left" w:pos="720"/>
        </w:tabs>
        <w:rPr>
          <w:sz w:val="22"/>
          <w:szCs w:val="22"/>
        </w:rPr>
      </w:pPr>
      <w:r w:rsidRPr="009C5EFD">
        <w:rPr>
          <w:sz w:val="22"/>
          <w:szCs w:val="22"/>
        </w:rPr>
        <w:t>67061 Ludwigshafen</w:t>
      </w:r>
    </w:p>
    <w:p w14:paraId="5C47FE15" w14:textId="77777777" w:rsidR="00B33BEC" w:rsidRPr="009C5EFD" w:rsidRDefault="00E453CD" w:rsidP="00B33BEC">
      <w:pPr>
        <w:rPr>
          <w:sz w:val="22"/>
          <w:szCs w:val="22"/>
        </w:rPr>
      </w:pPr>
      <w:r w:rsidRPr="009C5EFD">
        <w:rPr>
          <w:sz w:val="22"/>
          <w:szCs w:val="22"/>
        </w:rPr>
        <w:t>Tyskland</w:t>
      </w:r>
    </w:p>
    <w:p w14:paraId="50EB5FD8" w14:textId="77777777" w:rsidR="00B33BEC" w:rsidRPr="009C5EFD" w:rsidRDefault="00B33BEC" w:rsidP="00B33BEC">
      <w:pPr>
        <w:rPr>
          <w:sz w:val="22"/>
          <w:szCs w:val="22"/>
        </w:rPr>
      </w:pPr>
    </w:p>
    <w:p w14:paraId="70C8B0BD" w14:textId="77777777" w:rsidR="00B33BEC" w:rsidRPr="009C5EFD" w:rsidRDefault="00E453CD" w:rsidP="00B33BEC">
      <w:pPr>
        <w:rPr>
          <w:sz w:val="22"/>
          <w:szCs w:val="22"/>
        </w:rPr>
      </w:pPr>
      <w:r w:rsidRPr="00C0112C">
        <w:rPr>
          <w:sz w:val="22"/>
          <w:szCs w:val="22"/>
        </w:rPr>
        <w:t>Ta kontakt med den lokale representanten for innehaveren av markedsføringstillatelsen f</w:t>
      </w:r>
      <w:r w:rsidRPr="009C5EFD">
        <w:rPr>
          <w:sz w:val="22"/>
          <w:szCs w:val="22"/>
        </w:rPr>
        <w:t>or ytterligere informasjon om dette legemidlet</w:t>
      </w:r>
      <w:r>
        <w:rPr>
          <w:sz w:val="22"/>
          <w:szCs w:val="22"/>
        </w:rPr>
        <w:t>:</w:t>
      </w:r>
    </w:p>
    <w:p w14:paraId="5E31499B" w14:textId="77777777" w:rsidR="00B33BEC" w:rsidRPr="009C5EFD" w:rsidRDefault="00B33BEC" w:rsidP="00B33BEC"/>
    <w:tbl>
      <w:tblPr>
        <w:tblW w:w="9356" w:type="dxa"/>
        <w:tblInd w:w="-34" w:type="dxa"/>
        <w:tblLayout w:type="fixed"/>
        <w:tblLook w:val="0000" w:firstRow="0" w:lastRow="0" w:firstColumn="0" w:lastColumn="0" w:noHBand="0" w:noVBand="0"/>
      </w:tblPr>
      <w:tblGrid>
        <w:gridCol w:w="34"/>
        <w:gridCol w:w="4610"/>
        <w:gridCol w:w="34"/>
        <w:gridCol w:w="4678"/>
      </w:tblGrid>
      <w:tr w:rsidR="004644D4" w14:paraId="18FDC025" w14:textId="77777777" w:rsidTr="001F79B0">
        <w:tc>
          <w:tcPr>
            <w:tcW w:w="4644" w:type="dxa"/>
            <w:gridSpan w:val="2"/>
          </w:tcPr>
          <w:p w14:paraId="23E19E65" w14:textId="77777777" w:rsidR="00930E09" w:rsidRPr="00BD646C" w:rsidRDefault="00E453CD" w:rsidP="001F79B0">
            <w:pPr>
              <w:rPr>
                <w:b/>
                <w:bCs/>
                <w:sz w:val="22"/>
                <w:szCs w:val="22"/>
                <w:lang w:val="fr-BE"/>
              </w:rPr>
            </w:pPr>
            <w:r w:rsidRPr="00BD646C">
              <w:rPr>
                <w:b/>
                <w:bCs/>
                <w:sz w:val="22"/>
                <w:szCs w:val="22"/>
                <w:lang w:val="fr-BE"/>
              </w:rPr>
              <w:t>België/Belgique/Belgien</w:t>
            </w:r>
          </w:p>
          <w:p w14:paraId="21864F6D" w14:textId="77777777" w:rsidR="00930E09" w:rsidRPr="00BD646C" w:rsidRDefault="00E453CD" w:rsidP="001F79B0">
            <w:pPr>
              <w:rPr>
                <w:bCs/>
                <w:sz w:val="22"/>
                <w:szCs w:val="22"/>
                <w:lang w:val="fr-FR"/>
              </w:rPr>
            </w:pPr>
            <w:r w:rsidRPr="00BD646C">
              <w:rPr>
                <w:bCs/>
                <w:sz w:val="22"/>
                <w:szCs w:val="22"/>
                <w:lang w:val="fr-FR"/>
              </w:rPr>
              <w:t>AbbVie SA</w:t>
            </w:r>
          </w:p>
          <w:p w14:paraId="38A1CE0F" w14:textId="77777777" w:rsidR="00930E09" w:rsidRPr="00BD646C" w:rsidRDefault="00E453CD"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326AD78A" w14:textId="77777777" w:rsidR="00930E09" w:rsidRPr="00BD646C" w:rsidRDefault="00930E09" w:rsidP="001F79B0">
            <w:pPr>
              <w:rPr>
                <w:bCs/>
                <w:sz w:val="22"/>
                <w:szCs w:val="22"/>
                <w:lang w:val="fr-FR"/>
              </w:rPr>
            </w:pPr>
          </w:p>
        </w:tc>
        <w:tc>
          <w:tcPr>
            <w:tcW w:w="4678" w:type="dxa"/>
            <w:gridSpan w:val="2"/>
          </w:tcPr>
          <w:p w14:paraId="47DB848D" w14:textId="77777777" w:rsidR="00930E09" w:rsidRPr="00BD646C" w:rsidRDefault="00E453CD" w:rsidP="001F79B0">
            <w:pPr>
              <w:rPr>
                <w:b/>
                <w:bCs/>
                <w:sz w:val="22"/>
                <w:szCs w:val="22"/>
                <w:lang w:val="lt-LT"/>
              </w:rPr>
            </w:pPr>
            <w:r w:rsidRPr="00BD646C">
              <w:rPr>
                <w:b/>
                <w:bCs/>
                <w:sz w:val="22"/>
                <w:szCs w:val="22"/>
                <w:lang w:val="lt-LT"/>
              </w:rPr>
              <w:t>Lietuva</w:t>
            </w:r>
          </w:p>
          <w:p w14:paraId="4B78F0A3" w14:textId="77777777" w:rsidR="00930E09" w:rsidRPr="00BD646C" w:rsidRDefault="00E453CD" w:rsidP="001F79B0">
            <w:pPr>
              <w:rPr>
                <w:bCs/>
                <w:sz w:val="22"/>
                <w:szCs w:val="22"/>
                <w:lang w:val="lv-LV"/>
              </w:rPr>
            </w:pPr>
            <w:r w:rsidRPr="00BD646C">
              <w:rPr>
                <w:bCs/>
                <w:sz w:val="22"/>
                <w:szCs w:val="22"/>
                <w:lang w:val="lv-LV"/>
              </w:rPr>
              <w:t xml:space="preserve">AbbVie UAB </w:t>
            </w:r>
          </w:p>
          <w:p w14:paraId="79B467C4" w14:textId="77777777" w:rsidR="00930E09" w:rsidRPr="00BD646C" w:rsidRDefault="00E453CD" w:rsidP="001F79B0">
            <w:pPr>
              <w:rPr>
                <w:bCs/>
                <w:sz w:val="22"/>
                <w:szCs w:val="22"/>
                <w:lang w:val="lv-LV"/>
              </w:rPr>
            </w:pPr>
            <w:r w:rsidRPr="00BD646C">
              <w:rPr>
                <w:bCs/>
                <w:sz w:val="22"/>
                <w:szCs w:val="22"/>
                <w:lang w:val="lv-LV"/>
              </w:rPr>
              <w:t>Tel: +370 5 205 3023</w:t>
            </w:r>
          </w:p>
        </w:tc>
      </w:tr>
      <w:tr w:rsidR="004644D4" w14:paraId="3AC947EC" w14:textId="77777777" w:rsidTr="001F79B0">
        <w:tc>
          <w:tcPr>
            <w:tcW w:w="4644" w:type="dxa"/>
            <w:gridSpan w:val="2"/>
          </w:tcPr>
          <w:p w14:paraId="59C0FB52" w14:textId="77777777" w:rsidR="00930E09" w:rsidRPr="00BD646C" w:rsidRDefault="00E453CD" w:rsidP="001F79B0">
            <w:pPr>
              <w:rPr>
                <w:b/>
                <w:bCs/>
                <w:sz w:val="22"/>
                <w:szCs w:val="22"/>
                <w:lang w:val="bg-BG"/>
              </w:rPr>
            </w:pPr>
            <w:r w:rsidRPr="00BD646C">
              <w:rPr>
                <w:b/>
                <w:bCs/>
                <w:sz w:val="22"/>
                <w:szCs w:val="22"/>
                <w:lang w:val="bg-BG"/>
              </w:rPr>
              <w:t>България</w:t>
            </w:r>
          </w:p>
          <w:p w14:paraId="5B765540" w14:textId="77777777" w:rsidR="00930E09" w:rsidRPr="00BD646C" w:rsidRDefault="00E453CD" w:rsidP="001F79B0">
            <w:pPr>
              <w:rPr>
                <w:sz w:val="22"/>
                <w:szCs w:val="22"/>
                <w:lang w:val="da-DK"/>
              </w:rPr>
            </w:pPr>
            <w:r w:rsidRPr="00BD646C">
              <w:rPr>
                <w:sz w:val="22"/>
                <w:szCs w:val="22"/>
                <w:lang w:val="sk-SK"/>
              </w:rPr>
              <w:t>АбВи ЕООД</w:t>
            </w:r>
          </w:p>
          <w:p w14:paraId="65B157A2" w14:textId="77777777" w:rsidR="00930E09" w:rsidRPr="00BD646C" w:rsidRDefault="00E453CD"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5F7BC475" w14:textId="77777777" w:rsidR="00930E09" w:rsidRPr="00BD646C" w:rsidRDefault="00E453CD" w:rsidP="001F79B0">
            <w:pPr>
              <w:rPr>
                <w:b/>
                <w:bCs/>
                <w:sz w:val="22"/>
                <w:szCs w:val="22"/>
                <w:lang w:val="de-DE"/>
              </w:rPr>
            </w:pPr>
            <w:r w:rsidRPr="00BD646C">
              <w:rPr>
                <w:b/>
                <w:bCs/>
                <w:sz w:val="22"/>
                <w:szCs w:val="22"/>
                <w:lang w:val="de-DE"/>
              </w:rPr>
              <w:t>Luxembourg/Luxemburg</w:t>
            </w:r>
          </w:p>
          <w:p w14:paraId="2A2C97D8" w14:textId="77777777" w:rsidR="00930E09" w:rsidRPr="00BD646C" w:rsidRDefault="00E453CD" w:rsidP="001F79B0">
            <w:pPr>
              <w:rPr>
                <w:bCs/>
                <w:sz w:val="22"/>
                <w:szCs w:val="22"/>
                <w:lang w:val="de-DE"/>
              </w:rPr>
            </w:pPr>
            <w:r w:rsidRPr="00BD646C">
              <w:rPr>
                <w:bCs/>
                <w:sz w:val="22"/>
                <w:szCs w:val="22"/>
                <w:lang w:val="de-DE"/>
              </w:rPr>
              <w:t>AbbVie SA</w:t>
            </w:r>
          </w:p>
          <w:p w14:paraId="0BC9FD0F" w14:textId="77777777" w:rsidR="00930E09" w:rsidRPr="00BD646C" w:rsidRDefault="00E453CD" w:rsidP="001F79B0">
            <w:pPr>
              <w:rPr>
                <w:bCs/>
                <w:sz w:val="22"/>
                <w:szCs w:val="22"/>
                <w:lang w:val="de-DE"/>
              </w:rPr>
            </w:pPr>
            <w:r w:rsidRPr="00BD646C">
              <w:rPr>
                <w:bCs/>
                <w:sz w:val="22"/>
                <w:szCs w:val="22"/>
                <w:lang w:val="de-DE"/>
              </w:rPr>
              <w:t>Belgique/Belgien</w:t>
            </w:r>
          </w:p>
          <w:p w14:paraId="5EFDD5C7" w14:textId="77777777" w:rsidR="00930E09" w:rsidRPr="00BD646C" w:rsidRDefault="00E453CD" w:rsidP="001F79B0">
            <w:pPr>
              <w:rPr>
                <w:bCs/>
                <w:sz w:val="22"/>
                <w:szCs w:val="22"/>
                <w:lang w:val="fr-FR"/>
              </w:rPr>
            </w:pPr>
            <w:r w:rsidRPr="00BD646C">
              <w:rPr>
                <w:bCs/>
                <w:sz w:val="22"/>
                <w:szCs w:val="22"/>
                <w:lang w:val="fr-FR"/>
              </w:rPr>
              <w:t>Tél/Tel: +32 10 477811</w:t>
            </w:r>
          </w:p>
          <w:p w14:paraId="4AFF2F60" w14:textId="77777777" w:rsidR="00930E09" w:rsidRPr="00BD646C" w:rsidRDefault="00930E09" w:rsidP="001F79B0">
            <w:pPr>
              <w:rPr>
                <w:bCs/>
                <w:sz w:val="22"/>
                <w:szCs w:val="22"/>
                <w:lang w:val="fr-FR"/>
              </w:rPr>
            </w:pPr>
          </w:p>
        </w:tc>
      </w:tr>
      <w:tr w:rsidR="004644D4" w14:paraId="3BC9F38A" w14:textId="77777777" w:rsidTr="001F79B0">
        <w:tc>
          <w:tcPr>
            <w:tcW w:w="4644" w:type="dxa"/>
            <w:gridSpan w:val="2"/>
          </w:tcPr>
          <w:p w14:paraId="56D8FE9A" w14:textId="77777777" w:rsidR="00930E09" w:rsidRPr="00BD646C" w:rsidRDefault="00E453CD" w:rsidP="001F79B0">
            <w:pPr>
              <w:rPr>
                <w:b/>
                <w:bCs/>
                <w:sz w:val="22"/>
                <w:szCs w:val="22"/>
                <w:lang w:val="sk-SK"/>
              </w:rPr>
            </w:pPr>
            <w:r w:rsidRPr="00BD646C">
              <w:rPr>
                <w:b/>
                <w:bCs/>
                <w:sz w:val="22"/>
                <w:szCs w:val="22"/>
                <w:lang w:val="sk-SK"/>
              </w:rPr>
              <w:t>Česká republika</w:t>
            </w:r>
          </w:p>
          <w:p w14:paraId="5DAC39ED" w14:textId="77777777" w:rsidR="00930E09" w:rsidRPr="00BD646C" w:rsidRDefault="00E453CD" w:rsidP="001F79B0">
            <w:pPr>
              <w:rPr>
                <w:bCs/>
                <w:sz w:val="22"/>
                <w:szCs w:val="22"/>
                <w:lang w:val="sk-SK"/>
              </w:rPr>
            </w:pPr>
            <w:r w:rsidRPr="00BD646C">
              <w:rPr>
                <w:bCs/>
                <w:sz w:val="22"/>
                <w:szCs w:val="22"/>
                <w:lang w:val="sk-SK"/>
              </w:rPr>
              <w:t xml:space="preserve">AbbVie s.r.o. </w:t>
            </w:r>
          </w:p>
          <w:p w14:paraId="33372D16" w14:textId="77777777" w:rsidR="00930E09" w:rsidRPr="00BD646C" w:rsidRDefault="00E453CD" w:rsidP="001F79B0">
            <w:pPr>
              <w:rPr>
                <w:bCs/>
                <w:sz w:val="22"/>
                <w:szCs w:val="22"/>
                <w:lang w:val="sk-SK"/>
              </w:rPr>
            </w:pPr>
            <w:r w:rsidRPr="00BD646C">
              <w:rPr>
                <w:bCs/>
                <w:sz w:val="22"/>
                <w:szCs w:val="22"/>
                <w:lang w:val="sk-SK"/>
              </w:rPr>
              <w:t>Tel: +420 233 098 111</w:t>
            </w:r>
          </w:p>
        </w:tc>
        <w:tc>
          <w:tcPr>
            <w:tcW w:w="4678" w:type="dxa"/>
            <w:gridSpan w:val="2"/>
          </w:tcPr>
          <w:p w14:paraId="66C985B9" w14:textId="77777777" w:rsidR="00930E09" w:rsidRPr="00BD646C" w:rsidRDefault="00E453CD" w:rsidP="001F79B0">
            <w:pPr>
              <w:rPr>
                <w:b/>
                <w:bCs/>
                <w:sz w:val="22"/>
                <w:szCs w:val="22"/>
                <w:lang w:val="hu-HU"/>
              </w:rPr>
            </w:pPr>
            <w:r w:rsidRPr="00BD646C">
              <w:rPr>
                <w:b/>
                <w:bCs/>
                <w:sz w:val="22"/>
                <w:szCs w:val="22"/>
                <w:lang w:val="hu-HU"/>
              </w:rPr>
              <w:t>Magyarország</w:t>
            </w:r>
          </w:p>
          <w:p w14:paraId="5C1BF727" w14:textId="77777777" w:rsidR="00930E09" w:rsidRPr="00BD646C" w:rsidRDefault="00E453CD" w:rsidP="001F79B0">
            <w:pPr>
              <w:rPr>
                <w:bCs/>
                <w:sz w:val="22"/>
                <w:szCs w:val="22"/>
                <w:lang w:val="hu-HU"/>
              </w:rPr>
            </w:pPr>
            <w:r w:rsidRPr="00BD646C">
              <w:rPr>
                <w:bCs/>
                <w:sz w:val="22"/>
                <w:szCs w:val="22"/>
                <w:lang w:val="hu-HU"/>
              </w:rPr>
              <w:t>AbbVie Kft.</w:t>
            </w:r>
          </w:p>
          <w:p w14:paraId="37E5710E" w14:textId="77777777" w:rsidR="00930E09" w:rsidRPr="00BD646C" w:rsidRDefault="00E453CD" w:rsidP="001F79B0">
            <w:pPr>
              <w:rPr>
                <w:bCs/>
                <w:sz w:val="22"/>
                <w:szCs w:val="22"/>
                <w:lang w:val="hu-HU"/>
              </w:rPr>
            </w:pPr>
            <w:r w:rsidRPr="00BD646C">
              <w:rPr>
                <w:bCs/>
                <w:sz w:val="22"/>
                <w:szCs w:val="22"/>
                <w:lang w:val="hu-HU"/>
              </w:rPr>
              <w:t>Tel.:+36 1 455 8600</w:t>
            </w:r>
          </w:p>
          <w:p w14:paraId="782EF069" w14:textId="77777777" w:rsidR="00930E09" w:rsidRPr="00BD646C" w:rsidRDefault="00930E09" w:rsidP="001F79B0">
            <w:pPr>
              <w:rPr>
                <w:bCs/>
                <w:sz w:val="22"/>
                <w:szCs w:val="22"/>
                <w:lang w:val="hu-HU"/>
              </w:rPr>
            </w:pPr>
          </w:p>
        </w:tc>
      </w:tr>
      <w:tr w:rsidR="004644D4" w14:paraId="475019A7" w14:textId="77777777" w:rsidTr="001F79B0">
        <w:trPr>
          <w:trHeight w:val="737"/>
        </w:trPr>
        <w:tc>
          <w:tcPr>
            <w:tcW w:w="4644" w:type="dxa"/>
            <w:gridSpan w:val="2"/>
          </w:tcPr>
          <w:p w14:paraId="4D90D7AA" w14:textId="77777777" w:rsidR="00930E09" w:rsidRPr="00BD646C" w:rsidRDefault="00E453CD" w:rsidP="001F79B0">
            <w:pPr>
              <w:rPr>
                <w:b/>
                <w:bCs/>
                <w:sz w:val="22"/>
                <w:szCs w:val="22"/>
                <w:lang w:val="en-US"/>
              </w:rPr>
            </w:pPr>
            <w:r w:rsidRPr="00BD646C">
              <w:rPr>
                <w:b/>
                <w:bCs/>
                <w:sz w:val="22"/>
                <w:szCs w:val="22"/>
                <w:lang w:val="en-US"/>
              </w:rPr>
              <w:t>Danmark</w:t>
            </w:r>
          </w:p>
          <w:p w14:paraId="48AE6920" w14:textId="77777777" w:rsidR="00930E09" w:rsidRPr="00BD646C" w:rsidRDefault="00E453CD" w:rsidP="001F79B0">
            <w:pPr>
              <w:rPr>
                <w:bCs/>
                <w:sz w:val="22"/>
                <w:szCs w:val="22"/>
                <w:lang w:val="en-US"/>
              </w:rPr>
            </w:pPr>
            <w:r w:rsidRPr="00BD646C">
              <w:rPr>
                <w:bCs/>
                <w:sz w:val="22"/>
                <w:szCs w:val="22"/>
                <w:lang w:val="en-US"/>
              </w:rPr>
              <w:t>AbbVie A/S</w:t>
            </w:r>
          </w:p>
          <w:p w14:paraId="6603DEB1" w14:textId="07BECABF" w:rsidR="00930E09" w:rsidRPr="00BD646C" w:rsidRDefault="00E453CD" w:rsidP="001F79B0">
            <w:pPr>
              <w:rPr>
                <w:bCs/>
                <w:sz w:val="22"/>
                <w:szCs w:val="22"/>
                <w:lang w:val="sk-SK"/>
              </w:rPr>
            </w:pPr>
            <w:r w:rsidRPr="00BD646C">
              <w:rPr>
                <w:bCs/>
                <w:sz w:val="22"/>
                <w:szCs w:val="22"/>
                <w:lang w:val="en-US"/>
              </w:rPr>
              <w:t>Tlf</w:t>
            </w:r>
            <w:ins w:id="17649" w:author="AbbVie02no" w:date="2025-05-15T14:24:00Z">
              <w:r w:rsidR="00600FCB">
                <w:rPr>
                  <w:bCs/>
                  <w:sz w:val="22"/>
                  <w:szCs w:val="22"/>
                  <w:lang w:val="en-US"/>
                </w:rPr>
                <w:t>.</w:t>
              </w:r>
            </w:ins>
            <w:r w:rsidRPr="00BD646C">
              <w:rPr>
                <w:bCs/>
                <w:sz w:val="22"/>
                <w:szCs w:val="22"/>
                <w:lang w:val="en-US"/>
              </w:rPr>
              <w:t>: +45 72 30-20-28</w:t>
            </w:r>
          </w:p>
        </w:tc>
        <w:tc>
          <w:tcPr>
            <w:tcW w:w="4678" w:type="dxa"/>
            <w:gridSpan w:val="2"/>
          </w:tcPr>
          <w:p w14:paraId="3D8325FC" w14:textId="77777777" w:rsidR="00930E09" w:rsidRPr="00BD646C" w:rsidRDefault="00E453CD" w:rsidP="001F79B0">
            <w:pPr>
              <w:rPr>
                <w:b/>
                <w:bCs/>
                <w:sz w:val="22"/>
                <w:szCs w:val="22"/>
                <w:lang w:val="mt-MT"/>
              </w:rPr>
            </w:pPr>
            <w:r w:rsidRPr="00BD646C">
              <w:rPr>
                <w:b/>
                <w:bCs/>
                <w:sz w:val="22"/>
                <w:szCs w:val="22"/>
                <w:lang w:val="mt-MT"/>
              </w:rPr>
              <w:t>Malta</w:t>
            </w:r>
          </w:p>
          <w:p w14:paraId="6B550DC9" w14:textId="77777777" w:rsidR="00930E09" w:rsidRPr="00BD646C" w:rsidRDefault="00E453CD" w:rsidP="001F79B0">
            <w:pPr>
              <w:rPr>
                <w:bCs/>
                <w:sz w:val="22"/>
                <w:szCs w:val="22"/>
                <w:lang w:val="sk-SK"/>
              </w:rPr>
            </w:pPr>
            <w:r w:rsidRPr="00BD646C">
              <w:rPr>
                <w:bCs/>
                <w:sz w:val="22"/>
                <w:szCs w:val="22"/>
                <w:lang w:val="sk-SK"/>
              </w:rPr>
              <w:t xml:space="preserve">V.J.Salomone Pharma Limited </w:t>
            </w:r>
          </w:p>
          <w:p w14:paraId="38FEBEAC" w14:textId="22B6B730" w:rsidR="00930E09" w:rsidRPr="00BD646C" w:rsidRDefault="00E453CD" w:rsidP="001F79B0">
            <w:pPr>
              <w:rPr>
                <w:bCs/>
                <w:sz w:val="22"/>
                <w:szCs w:val="22"/>
                <w:lang w:val="sk-SK"/>
              </w:rPr>
            </w:pPr>
            <w:r w:rsidRPr="00BD646C">
              <w:rPr>
                <w:bCs/>
                <w:sz w:val="22"/>
                <w:szCs w:val="22"/>
                <w:lang w:val="sk-SK"/>
              </w:rPr>
              <w:t xml:space="preserve">Tel: </w:t>
            </w:r>
            <w:r w:rsidR="00A22181" w:rsidRPr="00A22181">
              <w:rPr>
                <w:bCs/>
                <w:sz w:val="22"/>
                <w:szCs w:val="22"/>
                <w:lang w:val="en-GB"/>
              </w:rPr>
              <w:t>+356 21220174</w:t>
            </w:r>
          </w:p>
          <w:p w14:paraId="1FE5A0A2" w14:textId="77777777" w:rsidR="00930E09" w:rsidRPr="00BD646C" w:rsidRDefault="00930E09" w:rsidP="001F79B0">
            <w:pPr>
              <w:rPr>
                <w:bCs/>
                <w:sz w:val="22"/>
                <w:szCs w:val="22"/>
                <w:lang w:val="sk-SK"/>
              </w:rPr>
            </w:pPr>
          </w:p>
        </w:tc>
      </w:tr>
      <w:tr w:rsidR="004644D4" w14:paraId="61BEF66A" w14:textId="77777777" w:rsidTr="001F79B0">
        <w:tc>
          <w:tcPr>
            <w:tcW w:w="4644" w:type="dxa"/>
            <w:gridSpan w:val="2"/>
          </w:tcPr>
          <w:p w14:paraId="66F4FB59" w14:textId="77777777" w:rsidR="00930E09" w:rsidRPr="00BD646C" w:rsidRDefault="00E453CD" w:rsidP="001F79B0">
            <w:pPr>
              <w:rPr>
                <w:b/>
                <w:bCs/>
                <w:sz w:val="22"/>
                <w:szCs w:val="22"/>
                <w:lang w:val="de-DE"/>
              </w:rPr>
            </w:pPr>
            <w:r w:rsidRPr="00BD646C">
              <w:rPr>
                <w:b/>
                <w:bCs/>
                <w:sz w:val="22"/>
                <w:szCs w:val="22"/>
                <w:lang w:val="de-DE"/>
              </w:rPr>
              <w:t>Deutschland</w:t>
            </w:r>
          </w:p>
          <w:p w14:paraId="5F5B83CF" w14:textId="77777777" w:rsidR="00930E09" w:rsidRPr="00BD646C" w:rsidRDefault="00E453CD"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54DC8D6A" w14:textId="77777777" w:rsidR="00930E09" w:rsidRPr="00BD646C" w:rsidRDefault="00E453CD" w:rsidP="001F79B0">
            <w:pPr>
              <w:rPr>
                <w:sz w:val="22"/>
                <w:szCs w:val="22"/>
                <w:lang w:val="de-DE"/>
              </w:rPr>
            </w:pPr>
            <w:r w:rsidRPr="00BD646C">
              <w:rPr>
                <w:sz w:val="22"/>
                <w:szCs w:val="22"/>
                <w:lang w:val="de-DE"/>
              </w:rPr>
              <w:t>Tel: 00800 222843 33 (gebührenfrei)</w:t>
            </w:r>
          </w:p>
          <w:p w14:paraId="2C2A06F5" w14:textId="77777777" w:rsidR="00930E09" w:rsidRPr="00BD646C" w:rsidRDefault="00E453CD" w:rsidP="001F79B0">
            <w:pPr>
              <w:rPr>
                <w:sz w:val="22"/>
                <w:szCs w:val="22"/>
                <w:lang w:val="de-DE"/>
              </w:rPr>
            </w:pPr>
            <w:r w:rsidRPr="00BD646C">
              <w:rPr>
                <w:sz w:val="22"/>
                <w:szCs w:val="22"/>
                <w:lang w:val="de-DE"/>
              </w:rPr>
              <w:t>Tel: +49 (0) 611 / 1720-0</w:t>
            </w:r>
          </w:p>
          <w:p w14:paraId="6359AA9C" w14:textId="77777777" w:rsidR="00930E09" w:rsidRPr="00BD646C" w:rsidRDefault="00930E09" w:rsidP="001F79B0">
            <w:pPr>
              <w:rPr>
                <w:sz w:val="22"/>
                <w:szCs w:val="22"/>
                <w:lang w:val="de-DE"/>
              </w:rPr>
            </w:pPr>
          </w:p>
        </w:tc>
        <w:tc>
          <w:tcPr>
            <w:tcW w:w="4678" w:type="dxa"/>
            <w:gridSpan w:val="2"/>
          </w:tcPr>
          <w:p w14:paraId="01F31910" w14:textId="77777777" w:rsidR="00930E09" w:rsidRPr="00BD646C" w:rsidRDefault="00E453CD" w:rsidP="001F79B0">
            <w:pPr>
              <w:rPr>
                <w:b/>
                <w:bCs/>
                <w:sz w:val="22"/>
                <w:szCs w:val="22"/>
                <w:lang w:val="nl-NL"/>
              </w:rPr>
            </w:pPr>
            <w:r w:rsidRPr="00BD646C">
              <w:rPr>
                <w:b/>
                <w:bCs/>
                <w:sz w:val="22"/>
                <w:szCs w:val="22"/>
                <w:lang w:val="nl-NL"/>
              </w:rPr>
              <w:t>Nederland</w:t>
            </w:r>
          </w:p>
          <w:p w14:paraId="66152DFD" w14:textId="77777777" w:rsidR="00930E09" w:rsidRPr="00BD646C" w:rsidRDefault="00E453CD" w:rsidP="001F79B0">
            <w:pPr>
              <w:rPr>
                <w:bCs/>
                <w:sz w:val="22"/>
                <w:szCs w:val="22"/>
                <w:lang w:val="de-DE"/>
              </w:rPr>
            </w:pPr>
            <w:r w:rsidRPr="00BD646C">
              <w:rPr>
                <w:bCs/>
                <w:sz w:val="22"/>
                <w:szCs w:val="22"/>
                <w:lang w:val="de-DE"/>
              </w:rPr>
              <w:t>AbbVie B.V.</w:t>
            </w:r>
          </w:p>
          <w:p w14:paraId="55921F13" w14:textId="77777777" w:rsidR="00930E09" w:rsidRPr="00BD646C" w:rsidRDefault="00E453CD" w:rsidP="001F79B0">
            <w:pPr>
              <w:rPr>
                <w:bCs/>
                <w:sz w:val="22"/>
                <w:szCs w:val="22"/>
                <w:lang w:val="de-DE"/>
              </w:rPr>
            </w:pPr>
            <w:r w:rsidRPr="00BD646C">
              <w:rPr>
                <w:bCs/>
                <w:sz w:val="22"/>
                <w:szCs w:val="22"/>
                <w:lang w:val="de-DE"/>
              </w:rPr>
              <w:t>Tel: +31 (0)88 322 2843</w:t>
            </w:r>
          </w:p>
        </w:tc>
      </w:tr>
      <w:tr w:rsidR="004644D4" w14:paraId="1F0A7D4A" w14:textId="77777777" w:rsidTr="001F79B0">
        <w:tc>
          <w:tcPr>
            <w:tcW w:w="4644" w:type="dxa"/>
            <w:gridSpan w:val="2"/>
          </w:tcPr>
          <w:p w14:paraId="76002A87" w14:textId="77777777" w:rsidR="00930E09" w:rsidRPr="00BD646C" w:rsidRDefault="00E453CD" w:rsidP="001F79B0">
            <w:pPr>
              <w:rPr>
                <w:b/>
                <w:bCs/>
                <w:sz w:val="22"/>
                <w:szCs w:val="22"/>
                <w:lang w:val="et-EE"/>
              </w:rPr>
            </w:pPr>
            <w:r w:rsidRPr="00BD646C">
              <w:rPr>
                <w:b/>
                <w:bCs/>
                <w:sz w:val="22"/>
                <w:szCs w:val="22"/>
                <w:lang w:val="et-EE"/>
              </w:rPr>
              <w:t>Eesti</w:t>
            </w:r>
          </w:p>
          <w:p w14:paraId="7F6C7E11" w14:textId="77777777" w:rsidR="00930E09" w:rsidRPr="00BD646C" w:rsidRDefault="00E453CD"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002D4A4A" w14:textId="77777777" w:rsidR="00930E09" w:rsidRPr="00BD646C" w:rsidRDefault="00E453CD" w:rsidP="001F79B0">
            <w:pPr>
              <w:rPr>
                <w:bCs/>
                <w:sz w:val="22"/>
                <w:szCs w:val="22"/>
                <w:lang w:val="lv-LV"/>
              </w:rPr>
            </w:pPr>
            <w:r w:rsidRPr="00BD646C">
              <w:rPr>
                <w:bCs/>
                <w:sz w:val="22"/>
                <w:szCs w:val="22"/>
                <w:lang w:val="et-EE"/>
              </w:rPr>
              <w:t>Tel: +372 623 1011</w:t>
            </w:r>
          </w:p>
        </w:tc>
        <w:tc>
          <w:tcPr>
            <w:tcW w:w="4678" w:type="dxa"/>
            <w:gridSpan w:val="2"/>
          </w:tcPr>
          <w:p w14:paraId="6487B2F3" w14:textId="77777777" w:rsidR="00930E09" w:rsidRPr="00BD646C" w:rsidRDefault="00E453CD" w:rsidP="001F79B0">
            <w:pPr>
              <w:rPr>
                <w:b/>
                <w:bCs/>
                <w:sz w:val="22"/>
                <w:szCs w:val="22"/>
              </w:rPr>
            </w:pPr>
            <w:r w:rsidRPr="00BD646C">
              <w:rPr>
                <w:b/>
                <w:bCs/>
                <w:sz w:val="22"/>
                <w:szCs w:val="22"/>
              </w:rPr>
              <w:t>Norge</w:t>
            </w:r>
          </w:p>
          <w:p w14:paraId="44E90BB7" w14:textId="77777777" w:rsidR="00930E09" w:rsidRPr="00BD646C" w:rsidRDefault="00E453CD" w:rsidP="001F79B0">
            <w:pPr>
              <w:rPr>
                <w:bCs/>
                <w:sz w:val="22"/>
                <w:szCs w:val="22"/>
                <w:lang w:val="sk-SK"/>
              </w:rPr>
            </w:pPr>
            <w:r w:rsidRPr="00BD646C">
              <w:rPr>
                <w:bCs/>
                <w:sz w:val="22"/>
                <w:szCs w:val="22"/>
                <w:lang w:val="sk-SK"/>
              </w:rPr>
              <w:t>AbbVie AS</w:t>
            </w:r>
          </w:p>
          <w:p w14:paraId="3B7341E0" w14:textId="77777777" w:rsidR="00930E09" w:rsidRPr="00BD646C" w:rsidRDefault="00E453CD" w:rsidP="001F79B0">
            <w:pPr>
              <w:rPr>
                <w:bCs/>
                <w:sz w:val="22"/>
                <w:szCs w:val="22"/>
                <w:lang w:val="sk-SK"/>
              </w:rPr>
            </w:pPr>
            <w:r w:rsidRPr="00BD646C">
              <w:rPr>
                <w:bCs/>
                <w:sz w:val="22"/>
                <w:szCs w:val="22"/>
                <w:lang w:val="sk-SK"/>
              </w:rPr>
              <w:t>Tlf: +47 67 81 80 00</w:t>
            </w:r>
          </w:p>
          <w:p w14:paraId="4FB2F269" w14:textId="77777777" w:rsidR="00930E09" w:rsidRPr="00BD646C" w:rsidRDefault="00930E09" w:rsidP="001F79B0">
            <w:pPr>
              <w:rPr>
                <w:bCs/>
                <w:sz w:val="22"/>
                <w:szCs w:val="22"/>
                <w:lang w:val="sk-SK"/>
              </w:rPr>
            </w:pPr>
          </w:p>
        </w:tc>
      </w:tr>
      <w:tr w:rsidR="004644D4" w14:paraId="2D93D418" w14:textId="77777777" w:rsidTr="001F79B0">
        <w:trPr>
          <w:trHeight w:val="794"/>
        </w:trPr>
        <w:tc>
          <w:tcPr>
            <w:tcW w:w="4644" w:type="dxa"/>
            <w:gridSpan w:val="2"/>
          </w:tcPr>
          <w:p w14:paraId="70753CDF" w14:textId="77777777" w:rsidR="00930E09" w:rsidRPr="00BD646C" w:rsidRDefault="00E453CD" w:rsidP="001F79B0">
            <w:pPr>
              <w:rPr>
                <w:b/>
                <w:bCs/>
                <w:sz w:val="22"/>
                <w:szCs w:val="22"/>
                <w:lang w:val="el-GR"/>
              </w:rPr>
            </w:pPr>
            <w:r w:rsidRPr="00BD646C">
              <w:rPr>
                <w:b/>
                <w:bCs/>
                <w:sz w:val="22"/>
                <w:szCs w:val="22"/>
                <w:lang w:val="el-GR"/>
              </w:rPr>
              <w:t>Ελλάδα</w:t>
            </w:r>
          </w:p>
          <w:p w14:paraId="5CAD31AB" w14:textId="77777777" w:rsidR="00930E09" w:rsidRPr="00BD646C" w:rsidRDefault="00E453CD"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7B57544B" w14:textId="77777777" w:rsidR="00930E09" w:rsidRPr="00BD646C" w:rsidRDefault="00E453CD"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6049C604" w14:textId="77777777" w:rsidR="00930E09" w:rsidRPr="00BD646C" w:rsidRDefault="00E453CD" w:rsidP="001F79B0">
            <w:pPr>
              <w:rPr>
                <w:b/>
                <w:bCs/>
                <w:sz w:val="22"/>
                <w:szCs w:val="22"/>
                <w:lang w:val="de-DE"/>
              </w:rPr>
            </w:pPr>
            <w:r w:rsidRPr="00BD646C">
              <w:rPr>
                <w:b/>
                <w:bCs/>
                <w:sz w:val="22"/>
                <w:szCs w:val="22"/>
                <w:lang w:val="de-DE"/>
              </w:rPr>
              <w:t>Österreich</w:t>
            </w:r>
          </w:p>
          <w:p w14:paraId="093E8290" w14:textId="77777777" w:rsidR="00930E09" w:rsidRPr="00BD646C" w:rsidRDefault="00E453CD" w:rsidP="001F79B0">
            <w:pPr>
              <w:rPr>
                <w:bCs/>
                <w:sz w:val="22"/>
                <w:szCs w:val="22"/>
                <w:lang w:val="de-DE"/>
              </w:rPr>
            </w:pPr>
            <w:r w:rsidRPr="00BD646C">
              <w:rPr>
                <w:bCs/>
                <w:sz w:val="22"/>
                <w:szCs w:val="22"/>
                <w:lang w:val="de-DE"/>
              </w:rPr>
              <w:t xml:space="preserve">AbbVie GmbH </w:t>
            </w:r>
          </w:p>
          <w:p w14:paraId="3E23927F" w14:textId="77777777" w:rsidR="00930E09" w:rsidRPr="00BD646C" w:rsidRDefault="00E453CD" w:rsidP="001F79B0">
            <w:pPr>
              <w:rPr>
                <w:bCs/>
                <w:sz w:val="22"/>
                <w:szCs w:val="22"/>
                <w:lang w:val="de-DE"/>
              </w:rPr>
            </w:pPr>
            <w:r w:rsidRPr="00BD646C">
              <w:rPr>
                <w:bCs/>
                <w:sz w:val="22"/>
                <w:szCs w:val="22"/>
                <w:lang w:val="de-DE"/>
              </w:rPr>
              <w:t>Tel: +43 1 20589-0</w:t>
            </w:r>
          </w:p>
          <w:p w14:paraId="75B7F736" w14:textId="77777777" w:rsidR="00930E09" w:rsidRPr="00BD646C" w:rsidRDefault="00930E09" w:rsidP="001F79B0">
            <w:pPr>
              <w:rPr>
                <w:bCs/>
                <w:sz w:val="22"/>
                <w:szCs w:val="22"/>
                <w:lang w:val="de-DE"/>
              </w:rPr>
            </w:pPr>
          </w:p>
        </w:tc>
      </w:tr>
      <w:tr w:rsidR="004644D4" w14:paraId="2FB1A46E" w14:textId="77777777" w:rsidTr="001F79B0">
        <w:trPr>
          <w:gridBefore w:val="1"/>
          <w:wBefore w:w="34" w:type="dxa"/>
        </w:trPr>
        <w:tc>
          <w:tcPr>
            <w:tcW w:w="4644" w:type="dxa"/>
            <w:gridSpan w:val="2"/>
          </w:tcPr>
          <w:p w14:paraId="1B3C71C4" w14:textId="77777777" w:rsidR="00930E09" w:rsidRPr="00BD646C" w:rsidRDefault="00E453CD" w:rsidP="001F79B0">
            <w:pPr>
              <w:rPr>
                <w:b/>
                <w:bCs/>
                <w:sz w:val="22"/>
                <w:szCs w:val="22"/>
                <w:lang w:val="es-ES"/>
              </w:rPr>
            </w:pPr>
            <w:r w:rsidRPr="00BD646C">
              <w:rPr>
                <w:b/>
                <w:bCs/>
                <w:sz w:val="22"/>
                <w:szCs w:val="22"/>
                <w:lang w:val="es-ES"/>
              </w:rPr>
              <w:t>España</w:t>
            </w:r>
          </w:p>
          <w:p w14:paraId="78E525E5" w14:textId="77777777" w:rsidR="00930E09" w:rsidRPr="00BD646C" w:rsidRDefault="00E453CD"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09EBBD27" w14:textId="77777777" w:rsidR="00930E09" w:rsidRPr="00BD646C" w:rsidRDefault="00E453CD" w:rsidP="001F79B0">
            <w:pPr>
              <w:rPr>
                <w:bCs/>
                <w:sz w:val="22"/>
                <w:szCs w:val="22"/>
                <w:lang w:val="pl-PL"/>
              </w:rPr>
            </w:pPr>
            <w:r w:rsidRPr="00BD646C">
              <w:rPr>
                <w:bCs/>
                <w:sz w:val="22"/>
                <w:szCs w:val="22"/>
                <w:lang w:val="pt-PT"/>
              </w:rPr>
              <w:t>Tel: +34 91 384 09 10</w:t>
            </w:r>
          </w:p>
        </w:tc>
        <w:tc>
          <w:tcPr>
            <w:tcW w:w="4678" w:type="dxa"/>
          </w:tcPr>
          <w:p w14:paraId="33C4377E" w14:textId="77777777" w:rsidR="00930E09" w:rsidRPr="00BD646C" w:rsidRDefault="00E453CD" w:rsidP="001F79B0">
            <w:pPr>
              <w:rPr>
                <w:b/>
                <w:bCs/>
                <w:iCs/>
                <w:sz w:val="22"/>
                <w:szCs w:val="22"/>
                <w:lang w:val="pl-PL"/>
              </w:rPr>
            </w:pPr>
            <w:r w:rsidRPr="00BD646C">
              <w:rPr>
                <w:b/>
                <w:bCs/>
                <w:iCs/>
                <w:sz w:val="22"/>
                <w:szCs w:val="22"/>
                <w:lang w:val="pl-PL"/>
              </w:rPr>
              <w:t>Polska</w:t>
            </w:r>
          </w:p>
          <w:p w14:paraId="0991AAB4" w14:textId="77777777" w:rsidR="00930E09" w:rsidRPr="00BD646C" w:rsidRDefault="00E453CD" w:rsidP="001F79B0">
            <w:pPr>
              <w:rPr>
                <w:bCs/>
                <w:sz w:val="22"/>
                <w:szCs w:val="22"/>
                <w:lang w:val="pl-PL"/>
              </w:rPr>
            </w:pPr>
            <w:r w:rsidRPr="00BD646C">
              <w:rPr>
                <w:bCs/>
                <w:sz w:val="22"/>
                <w:szCs w:val="22"/>
                <w:lang w:val="pl-PL"/>
              </w:rPr>
              <w:t>AbbVie Sp. z o.o.</w:t>
            </w:r>
          </w:p>
          <w:p w14:paraId="344E6B45" w14:textId="77777777" w:rsidR="00930E09" w:rsidRPr="00BD646C" w:rsidRDefault="00E453CD"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3F761287" w14:textId="77777777" w:rsidR="00930E09" w:rsidRPr="00BD646C" w:rsidRDefault="00930E09" w:rsidP="001F79B0">
            <w:pPr>
              <w:rPr>
                <w:bCs/>
                <w:sz w:val="22"/>
                <w:szCs w:val="22"/>
                <w:lang w:val="pl-PL"/>
              </w:rPr>
            </w:pPr>
          </w:p>
        </w:tc>
      </w:tr>
      <w:tr w:rsidR="004644D4" w14:paraId="703ACD98" w14:textId="77777777" w:rsidTr="001F79B0">
        <w:trPr>
          <w:trHeight w:val="734"/>
        </w:trPr>
        <w:tc>
          <w:tcPr>
            <w:tcW w:w="4678" w:type="dxa"/>
            <w:gridSpan w:val="3"/>
          </w:tcPr>
          <w:p w14:paraId="4CFDCC34" w14:textId="77777777" w:rsidR="00930E09" w:rsidRPr="00BD646C" w:rsidRDefault="00E453CD" w:rsidP="001F79B0">
            <w:pPr>
              <w:rPr>
                <w:b/>
                <w:bCs/>
                <w:sz w:val="22"/>
                <w:szCs w:val="22"/>
                <w:lang w:val="fr-FR"/>
              </w:rPr>
            </w:pPr>
            <w:r w:rsidRPr="00BD646C">
              <w:rPr>
                <w:b/>
                <w:bCs/>
                <w:sz w:val="22"/>
                <w:szCs w:val="22"/>
                <w:lang w:val="fr-FR"/>
              </w:rPr>
              <w:t>France</w:t>
            </w:r>
          </w:p>
          <w:p w14:paraId="3F8FC23B" w14:textId="77777777" w:rsidR="00930E09" w:rsidRPr="00BD646C" w:rsidRDefault="00E453CD" w:rsidP="001F79B0">
            <w:pPr>
              <w:rPr>
                <w:bCs/>
                <w:sz w:val="22"/>
                <w:szCs w:val="22"/>
                <w:lang w:val="fr-FR"/>
              </w:rPr>
            </w:pPr>
            <w:r w:rsidRPr="00BD646C">
              <w:rPr>
                <w:bCs/>
                <w:sz w:val="22"/>
                <w:szCs w:val="22"/>
                <w:lang w:val="fr-FR"/>
              </w:rPr>
              <w:t>AbbVie</w:t>
            </w:r>
          </w:p>
          <w:p w14:paraId="091B1506" w14:textId="77777777" w:rsidR="00930E09" w:rsidRPr="00BD646C" w:rsidRDefault="00E453CD" w:rsidP="001F79B0">
            <w:pPr>
              <w:rPr>
                <w:bCs/>
                <w:sz w:val="22"/>
                <w:szCs w:val="22"/>
                <w:lang w:val="fr-FR"/>
              </w:rPr>
            </w:pPr>
            <w:r w:rsidRPr="00BD646C">
              <w:rPr>
                <w:bCs/>
                <w:sz w:val="22"/>
                <w:szCs w:val="22"/>
                <w:lang w:val="fr-FR"/>
              </w:rPr>
              <w:t>Tél: +33 (0) 1 45 60 13 00</w:t>
            </w:r>
          </w:p>
        </w:tc>
        <w:tc>
          <w:tcPr>
            <w:tcW w:w="4678" w:type="dxa"/>
          </w:tcPr>
          <w:p w14:paraId="6F023482" w14:textId="77777777" w:rsidR="00930E09" w:rsidRPr="00BD646C" w:rsidRDefault="00E453CD" w:rsidP="001F79B0">
            <w:pPr>
              <w:rPr>
                <w:b/>
                <w:bCs/>
                <w:sz w:val="22"/>
                <w:szCs w:val="22"/>
                <w:lang w:val="pt-PT"/>
              </w:rPr>
            </w:pPr>
            <w:r w:rsidRPr="00BD646C">
              <w:rPr>
                <w:b/>
                <w:bCs/>
                <w:sz w:val="22"/>
                <w:szCs w:val="22"/>
                <w:lang w:val="pt-PT"/>
              </w:rPr>
              <w:t>Portugal</w:t>
            </w:r>
          </w:p>
          <w:p w14:paraId="42A55B4F" w14:textId="77777777" w:rsidR="00930E09" w:rsidRPr="00BD646C" w:rsidRDefault="00E453CD" w:rsidP="001F79B0">
            <w:pPr>
              <w:rPr>
                <w:bCs/>
                <w:sz w:val="22"/>
                <w:szCs w:val="22"/>
                <w:lang w:val="fr-FR"/>
              </w:rPr>
            </w:pPr>
            <w:r w:rsidRPr="00BD646C">
              <w:rPr>
                <w:bCs/>
                <w:sz w:val="22"/>
                <w:szCs w:val="22"/>
                <w:lang w:val="fr-FR"/>
              </w:rPr>
              <w:t xml:space="preserve">AbbVie, Lda. </w:t>
            </w:r>
          </w:p>
          <w:p w14:paraId="5CACB7BF" w14:textId="77777777" w:rsidR="00930E09" w:rsidRPr="00BD646C" w:rsidRDefault="00E453CD" w:rsidP="001F79B0">
            <w:pPr>
              <w:rPr>
                <w:sz w:val="22"/>
                <w:szCs w:val="22"/>
                <w:lang w:val="fr-FR"/>
              </w:rPr>
            </w:pPr>
            <w:r w:rsidRPr="00BD646C">
              <w:rPr>
                <w:sz w:val="22"/>
                <w:szCs w:val="22"/>
                <w:lang w:val="fr-FR"/>
              </w:rPr>
              <w:t>Tel: +351 (0)21 1908400</w:t>
            </w:r>
          </w:p>
          <w:p w14:paraId="6911F041" w14:textId="77777777" w:rsidR="00930E09" w:rsidRPr="00BD646C" w:rsidRDefault="00930E09" w:rsidP="001F79B0">
            <w:pPr>
              <w:rPr>
                <w:sz w:val="22"/>
                <w:szCs w:val="22"/>
                <w:lang w:val="fr-FR"/>
              </w:rPr>
            </w:pPr>
          </w:p>
        </w:tc>
      </w:tr>
      <w:tr w:rsidR="004644D4" w14:paraId="4C61AFCD" w14:textId="77777777" w:rsidTr="001F79B0">
        <w:trPr>
          <w:gridBefore w:val="1"/>
          <w:wBefore w:w="34" w:type="dxa"/>
        </w:trPr>
        <w:tc>
          <w:tcPr>
            <w:tcW w:w="4644" w:type="dxa"/>
            <w:gridSpan w:val="2"/>
          </w:tcPr>
          <w:p w14:paraId="1AEE3436" w14:textId="77777777" w:rsidR="00930E09" w:rsidRPr="003979AA" w:rsidRDefault="00E453CD" w:rsidP="00930E09">
            <w:pPr>
              <w:keepNext/>
              <w:rPr>
                <w:sz w:val="22"/>
                <w:szCs w:val="22"/>
              </w:rPr>
            </w:pPr>
            <w:r w:rsidRPr="003979AA">
              <w:rPr>
                <w:b/>
                <w:bCs/>
                <w:sz w:val="22"/>
                <w:szCs w:val="22"/>
              </w:rPr>
              <w:lastRenderedPageBreak/>
              <w:t xml:space="preserve">Hrvatska </w:t>
            </w:r>
          </w:p>
          <w:p w14:paraId="3F55B5FD" w14:textId="77777777" w:rsidR="00930E09" w:rsidRPr="00BD646C" w:rsidRDefault="00E453CD" w:rsidP="00930E09">
            <w:pPr>
              <w:keepNext/>
              <w:rPr>
                <w:sz w:val="22"/>
                <w:szCs w:val="22"/>
                <w:lang w:val="hr-HR"/>
              </w:rPr>
            </w:pPr>
            <w:r w:rsidRPr="00BD646C">
              <w:rPr>
                <w:sz w:val="22"/>
                <w:szCs w:val="22"/>
                <w:lang w:val="hr-HR"/>
              </w:rPr>
              <w:t>AbbVie d.o.o.</w:t>
            </w:r>
          </w:p>
          <w:p w14:paraId="5633717E" w14:textId="77777777" w:rsidR="00930E09" w:rsidRPr="00BD646C" w:rsidRDefault="00E453CD" w:rsidP="00930E09">
            <w:pPr>
              <w:keepNext/>
              <w:rPr>
                <w:bCs/>
                <w:sz w:val="22"/>
                <w:szCs w:val="22"/>
                <w:lang w:val="it-IT"/>
              </w:rPr>
            </w:pPr>
            <w:r w:rsidRPr="00BD646C">
              <w:rPr>
                <w:sz w:val="22"/>
                <w:szCs w:val="22"/>
                <w:lang w:val="hr-HR"/>
              </w:rPr>
              <w:t xml:space="preserve">Tel + 385 (0)1 </w:t>
            </w:r>
            <w:r w:rsidRPr="00BD646C">
              <w:rPr>
                <w:sz w:val="22"/>
                <w:szCs w:val="22"/>
                <w:lang w:val="en-US"/>
              </w:rPr>
              <w:t>5625 501</w:t>
            </w:r>
          </w:p>
        </w:tc>
        <w:tc>
          <w:tcPr>
            <w:tcW w:w="4678" w:type="dxa"/>
          </w:tcPr>
          <w:p w14:paraId="0E95CCA9" w14:textId="77777777" w:rsidR="00930E09" w:rsidRPr="00BD646C" w:rsidRDefault="00E453CD" w:rsidP="00930E09">
            <w:pPr>
              <w:keepNext/>
              <w:rPr>
                <w:b/>
                <w:bCs/>
                <w:sz w:val="22"/>
                <w:szCs w:val="22"/>
                <w:lang w:val="it-IT"/>
              </w:rPr>
            </w:pPr>
            <w:r w:rsidRPr="00BD646C">
              <w:rPr>
                <w:b/>
                <w:bCs/>
                <w:sz w:val="22"/>
                <w:szCs w:val="22"/>
                <w:lang w:val="it-IT"/>
              </w:rPr>
              <w:t>România</w:t>
            </w:r>
          </w:p>
          <w:p w14:paraId="23D939BA" w14:textId="77777777" w:rsidR="00930E09" w:rsidRPr="00BD646C" w:rsidRDefault="00E453CD" w:rsidP="00930E09">
            <w:pPr>
              <w:keepNext/>
              <w:rPr>
                <w:sz w:val="22"/>
                <w:szCs w:val="22"/>
                <w:lang w:val="it-IT"/>
              </w:rPr>
            </w:pPr>
            <w:r w:rsidRPr="00BD646C">
              <w:rPr>
                <w:sz w:val="22"/>
                <w:szCs w:val="22"/>
                <w:lang w:val="it-IT"/>
              </w:rPr>
              <w:t>AbbVie S.R.L.</w:t>
            </w:r>
          </w:p>
          <w:p w14:paraId="5F884F3D" w14:textId="77777777" w:rsidR="00930E09" w:rsidRPr="00BD646C" w:rsidRDefault="00E453CD" w:rsidP="00930E09">
            <w:pPr>
              <w:keepNext/>
              <w:rPr>
                <w:sz w:val="22"/>
                <w:szCs w:val="22"/>
                <w:lang w:val="pl-PL"/>
              </w:rPr>
            </w:pPr>
            <w:r w:rsidRPr="00BD646C">
              <w:rPr>
                <w:sz w:val="22"/>
                <w:szCs w:val="22"/>
                <w:lang w:val="pl-PL"/>
              </w:rPr>
              <w:t>Tel: +40 21 529 30 35</w:t>
            </w:r>
          </w:p>
          <w:p w14:paraId="0B54B99F" w14:textId="77777777" w:rsidR="00930E09" w:rsidRPr="00BD646C" w:rsidRDefault="00930E09" w:rsidP="00930E09">
            <w:pPr>
              <w:keepNext/>
              <w:rPr>
                <w:sz w:val="22"/>
                <w:szCs w:val="22"/>
                <w:lang w:val="pl-PL"/>
              </w:rPr>
            </w:pPr>
          </w:p>
        </w:tc>
      </w:tr>
      <w:tr w:rsidR="004644D4" w14:paraId="764D9C58" w14:textId="77777777" w:rsidTr="001F79B0">
        <w:trPr>
          <w:gridBefore w:val="1"/>
          <w:wBefore w:w="34" w:type="dxa"/>
        </w:trPr>
        <w:tc>
          <w:tcPr>
            <w:tcW w:w="4644" w:type="dxa"/>
            <w:gridSpan w:val="2"/>
          </w:tcPr>
          <w:p w14:paraId="5AA2174C" w14:textId="77777777" w:rsidR="00930E09" w:rsidRPr="00BD646C" w:rsidRDefault="00E453CD" w:rsidP="001F79B0">
            <w:pPr>
              <w:rPr>
                <w:b/>
                <w:bCs/>
                <w:sz w:val="22"/>
                <w:szCs w:val="22"/>
                <w:lang w:val="sk-SK"/>
              </w:rPr>
            </w:pPr>
            <w:r w:rsidRPr="00BD646C">
              <w:rPr>
                <w:b/>
                <w:bCs/>
                <w:sz w:val="22"/>
                <w:szCs w:val="22"/>
                <w:lang w:val="sk-SK"/>
              </w:rPr>
              <w:t>Ireland</w:t>
            </w:r>
          </w:p>
          <w:p w14:paraId="1764B7EC" w14:textId="77777777" w:rsidR="00930E09" w:rsidRPr="00BD646C" w:rsidRDefault="00E453CD" w:rsidP="001F79B0">
            <w:pPr>
              <w:rPr>
                <w:bCs/>
                <w:sz w:val="22"/>
                <w:szCs w:val="22"/>
                <w:lang w:val="sk-SK"/>
              </w:rPr>
            </w:pPr>
            <w:r w:rsidRPr="00BD646C">
              <w:rPr>
                <w:bCs/>
                <w:sz w:val="22"/>
                <w:szCs w:val="22"/>
                <w:lang w:val="sk-SK"/>
              </w:rPr>
              <w:t xml:space="preserve">AbbVie Limited </w:t>
            </w:r>
          </w:p>
          <w:p w14:paraId="0DF08F23" w14:textId="77777777" w:rsidR="00930E09" w:rsidRPr="00BD646C" w:rsidRDefault="00E453CD" w:rsidP="001F79B0">
            <w:pPr>
              <w:rPr>
                <w:bCs/>
                <w:sz w:val="22"/>
                <w:szCs w:val="22"/>
                <w:lang w:val="sk-SK"/>
              </w:rPr>
            </w:pPr>
            <w:r w:rsidRPr="00BD646C">
              <w:rPr>
                <w:bCs/>
                <w:sz w:val="22"/>
                <w:szCs w:val="22"/>
                <w:lang w:val="pt-PT"/>
              </w:rPr>
              <w:t>Tel: +353 (0)1 42879</w:t>
            </w:r>
            <w:r w:rsidR="00167578">
              <w:rPr>
                <w:bCs/>
                <w:sz w:val="22"/>
                <w:szCs w:val="22"/>
                <w:lang w:val="pt-PT"/>
              </w:rPr>
              <w:t>0</w:t>
            </w:r>
            <w:r w:rsidRPr="00BD646C">
              <w:rPr>
                <w:bCs/>
                <w:sz w:val="22"/>
                <w:szCs w:val="22"/>
                <w:lang w:val="pt-PT"/>
              </w:rPr>
              <w:t>0</w:t>
            </w:r>
          </w:p>
        </w:tc>
        <w:tc>
          <w:tcPr>
            <w:tcW w:w="4678" w:type="dxa"/>
          </w:tcPr>
          <w:p w14:paraId="60AFE03E" w14:textId="77777777" w:rsidR="00930E09" w:rsidRPr="00BD646C" w:rsidRDefault="00E453CD" w:rsidP="001F79B0">
            <w:pPr>
              <w:rPr>
                <w:b/>
                <w:bCs/>
                <w:sz w:val="22"/>
                <w:szCs w:val="22"/>
                <w:lang w:val="sl-SI"/>
              </w:rPr>
            </w:pPr>
            <w:r w:rsidRPr="00BD646C">
              <w:rPr>
                <w:b/>
                <w:bCs/>
                <w:sz w:val="22"/>
                <w:szCs w:val="22"/>
                <w:lang w:val="sl-SI"/>
              </w:rPr>
              <w:t>Slovenija</w:t>
            </w:r>
          </w:p>
          <w:p w14:paraId="563AA302" w14:textId="77777777" w:rsidR="00930E09" w:rsidRPr="00BD646C" w:rsidRDefault="00E453CD"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228C6091" w14:textId="77777777" w:rsidR="00930E09" w:rsidRPr="00BD646C" w:rsidRDefault="00E453CD" w:rsidP="001F79B0">
            <w:pPr>
              <w:rPr>
                <w:bCs/>
                <w:sz w:val="22"/>
                <w:szCs w:val="22"/>
                <w:lang w:val="sl-SI"/>
              </w:rPr>
            </w:pPr>
            <w:r w:rsidRPr="00BD646C">
              <w:rPr>
                <w:bCs/>
                <w:sz w:val="22"/>
                <w:szCs w:val="22"/>
                <w:lang w:val="sl-SI"/>
              </w:rPr>
              <w:t>Tel: +386 (1)32 08 060</w:t>
            </w:r>
          </w:p>
          <w:p w14:paraId="7E61502C" w14:textId="77777777" w:rsidR="00930E09" w:rsidRPr="00BD646C" w:rsidRDefault="00930E09" w:rsidP="001F79B0">
            <w:pPr>
              <w:rPr>
                <w:bCs/>
                <w:sz w:val="22"/>
                <w:szCs w:val="22"/>
                <w:lang w:val="sl-SI"/>
              </w:rPr>
            </w:pPr>
          </w:p>
        </w:tc>
      </w:tr>
      <w:tr w:rsidR="004644D4" w14:paraId="3CD5776A" w14:textId="77777777" w:rsidTr="001F79B0">
        <w:trPr>
          <w:gridBefore w:val="1"/>
          <w:wBefore w:w="34" w:type="dxa"/>
        </w:trPr>
        <w:tc>
          <w:tcPr>
            <w:tcW w:w="4644" w:type="dxa"/>
            <w:gridSpan w:val="2"/>
          </w:tcPr>
          <w:p w14:paraId="1A73DF9F" w14:textId="77777777" w:rsidR="00930E09" w:rsidRPr="00BD646C" w:rsidRDefault="00E453CD" w:rsidP="001F79B0">
            <w:pPr>
              <w:rPr>
                <w:b/>
                <w:bCs/>
                <w:sz w:val="22"/>
                <w:szCs w:val="22"/>
                <w:lang w:val="is-IS"/>
              </w:rPr>
            </w:pPr>
            <w:r w:rsidRPr="00BD646C">
              <w:rPr>
                <w:b/>
                <w:bCs/>
                <w:sz w:val="22"/>
                <w:szCs w:val="22"/>
                <w:lang w:val="is-IS"/>
              </w:rPr>
              <w:t>Ísland</w:t>
            </w:r>
          </w:p>
          <w:p w14:paraId="6A568FC8" w14:textId="77777777" w:rsidR="00930E09" w:rsidRPr="00BD646C" w:rsidRDefault="00E453CD" w:rsidP="001F79B0">
            <w:pPr>
              <w:rPr>
                <w:bCs/>
                <w:sz w:val="22"/>
                <w:szCs w:val="22"/>
                <w:lang w:val="sk-SK"/>
              </w:rPr>
            </w:pPr>
            <w:r w:rsidRPr="00BD646C">
              <w:rPr>
                <w:bCs/>
                <w:sz w:val="22"/>
                <w:szCs w:val="22"/>
                <w:lang w:val="sk-SK"/>
              </w:rPr>
              <w:t>Vistor</w:t>
            </w:r>
            <w:del w:id="17650" w:author="AbbVie02no" w:date="2025-05-15T14:26:00Z">
              <w:r w:rsidRPr="00BD646C">
                <w:rPr>
                  <w:bCs/>
                  <w:sz w:val="22"/>
                  <w:szCs w:val="22"/>
                  <w:lang w:val="sk-SK"/>
                </w:rPr>
                <w:delText xml:space="preserve"> hf.</w:delText>
              </w:r>
            </w:del>
          </w:p>
          <w:p w14:paraId="15D6CE44" w14:textId="77777777" w:rsidR="00930E09" w:rsidRPr="00BD646C" w:rsidRDefault="00E453CD" w:rsidP="001F79B0">
            <w:pPr>
              <w:rPr>
                <w:bCs/>
                <w:sz w:val="22"/>
                <w:szCs w:val="22"/>
                <w:lang w:val="sk-SK"/>
              </w:rPr>
            </w:pPr>
            <w:r w:rsidRPr="00BD646C">
              <w:rPr>
                <w:bCs/>
                <w:sz w:val="22"/>
                <w:szCs w:val="22"/>
                <w:lang w:val="sk-SK"/>
              </w:rPr>
              <w:t>Tel: +354 535 7000</w:t>
            </w:r>
          </w:p>
        </w:tc>
        <w:tc>
          <w:tcPr>
            <w:tcW w:w="4678" w:type="dxa"/>
          </w:tcPr>
          <w:p w14:paraId="6CB3BBAD" w14:textId="77777777" w:rsidR="00930E09" w:rsidRPr="00BD646C" w:rsidRDefault="00E453CD" w:rsidP="001F79B0">
            <w:pPr>
              <w:rPr>
                <w:b/>
                <w:bCs/>
                <w:sz w:val="22"/>
                <w:szCs w:val="22"/>
                <w:lang w:val="sk-SK"/>
              </w:rPr>
            </w:pPr>
            <w:r w:rsidRPr="00BD646C">
              <w:rPr>
                <w:b/>
                <w:bCs/>
                <w:sz w:val="22"/>
                <w:szCs w:val="22"/>
                <w:lang w:val="sk-SK"/>
              </w:rPr>
              <w:t>Slovenská republika</w:t>
            </w:r>
          </w:p>
          <w:p w14:paraId="4633C5CC" w14:textId="77777777" w:rsidR="00930E09" w:rsidRPr="00BD646C" w:rsidRDefault="00E453CD" w:rsidP="001F79B0">
            <w:pPr>
              <w:rPr>
                <w:bCs/>
                <w:sz w:val="22"/>
                <w:szCs w:val="22"/>
                <w:lang w:val="sk-SK"/>
              </w:rPr>
            </w:pPr>
            <w:r w:rsidRPr="00BD646C">
              <w:rPr>
                <w:bCs/>
                <w:sz w:val="22"/>
                <w:szCs w:val="22"/>
                <w:lang w:val="sk-SK"/>
              </w:rPr>
              <w:t>AbbVie s.r.o.</w:t>
            </w:r>
          </w:p>
          <w:p w14:paraId="4B37F6F4" w14:textId="77777777" w:rsidR="00930E09" w:rsidRPr="00BD646C" w:rsidRDefault="00E453CD" w:rsidP="001F79B0">
            <w:pPr>
              <w:rPr>
                <w:bCs/>
                <w:sz w:val="22"/>
                <w:szCs w:val="22"/>
                <w:lang w:val="sk-SK"/>
              </w:rPr>
            </w:pPr>
            <w:r w:rsidRPr="00BD646C">
              <w:rPr>
                <w:bCs/>
                <w:sz w:val="22"/>
                <w:szCs w:val="22"/>
                <w:lang w:val="sk-SK"/>
              </w:rPr>
              <w:t>Tel: +421 2 5050 0777</w:t>
            </w:r>
          </w:p>
          <w:p w14:paraId="3D09D24C" w14:textId="77777777" w:rsidR="00930E09" w:rsidRPr="00BD646C" w:rsidRDefault="00930E09" w:rsidP="001F79B0">
            <w:pPr>
              <w:rPr>
                <w:bCs/>
                <w:sz w:val="22"/>
                <w:szCs w:val="22"/>
                <w:lang w:val="sk-SK"/>
              </w:rPr>
            </w:pPr>
          </w:p>
        </w:tc>
      </w:tr>
      <w:tr w:rsidR="004644D4" w:rsidRPr="009671D6" w14:paraId="00F0E304" w14:textId="77777777" w:rsidTr="001F79B0">
        <w:trPr>
          <w:gridBefore w:val="1"/>
          <w:wBefore w:w="34" w:type="dxa"/>
        </w:trPr>
        <w:tc>
          <w:tcPr>
            <w:tcW w:w="4644" w:type="dxa"/>
            <w:gridSpan w:val="2"/>
          </w:tcPr>
          <w:p w14:paraId="6452F41F" w14:textId="77777777" w:rsidR="00930E09" w:rsidRPr="00BD646C" w:rsidRDefault="00E453CD" w:rsidP="001F79B0">
            <w:pPr>
              <w:rPr>
                <w:b/>
                <w:bCs/>
                <w:sz w:val="22"/>
                <w:szCs w:val="22"/>
                <w:lang w:val="it-IT"/>
              </w:rPr>
            </w:pPr>
            <w:r w:rsidRPr="00BD646C">
              <w:rPr>
                <w:b/>
                <w:bCs/>
                <w:sz w:val="22"/>
                <w:szCs w:val="22"/>
                <w:lang w:val="it-IT"/>
              </w:rPr>
              <w:t>Italia</w:t>
            </w:r>
          </w:p>
          <w:p w14:paraId="5D6C4890" w14:textId="77777777" w:rsidR="00930E09" w:rsidRPr="00BD646C" w:rsidRDefault="00E453CD" w:rsidP="001F79B0">
            <w:pPr>
              <w:rPr>
                <w:bCs/>
                <w:sz w:val="22"/>
                <w:szCs w:val="22"/>
                <w:lang w:val="pt-PT"/>
              </w:rPr>
            </w:pPr>
            <w:r w:rsidRPr="00BD646C">
              <w:rPr>
                <w:bCs/>
                <w:sz w:val="22"/>
                <w:szCs w:val="22"/>
                <w:lang w:val="pt-PT"/>
              </w:rPr>
              <w:t xml:space="preserve">AbbVie S.r.l. </w:t>
            </w:r>
          </w:p>
          <w:p w14:paraId="1E28AD75" w14:textId="77777777" w:rsidR="00930E09" w:rsidRPr="00BD646C" w:rsidRDefault="00E453CD" w:rsidP="001F79B0">
            <w:pPr>
              <w:rPr>
                <w:bCs/>
                <w:sz w:val="22"/>
                <w:szCs w:val="22"/>
                <w:lang w:val="fi-FI"/>
              </w:rPr>
            </w:pPr>
            <w:r w:rsidRPr="00BD646C">
              <w:rPr>
                <w:bCs/>
                <w:sz w:val="22"/>
                <w:szCs w:val="22"/>
                <w:lang w:val="fr-FR"/>
              </w:rPr>
              <w:t>Tel: +39 06 928921</w:t>
            </w:r>
          </w:p>
        </w:tc>
        <w:tc>
          <w:tcPr>
            <w:tcW w:w="4678" w:type="dxa"/>
          </w:tcPr>
          <w:p w14:paraId="19931F9F" w14:textId="77777777" w:rsidR="00930E09" w:rsidRPr="00BD646C" w:rsidRDefault="00E453CD" w:rsidP="001F79B0">
            <w:pPr>
              <w:rPr>
                <w:b/>
                <w:bCs/>
                <w:sz w:val="22"/>
                <w:szCs w:val="22"/>
                <w:lang w:val="fi-FI"/>
              </w:rPr>
            </w:pPr>
            <w:r w:rsidRPr="00BD646C">
              <w:rPr>
                <w:b/>
                <w:bCs/>
                <w:sz w:val="22"/>
                <w:szCs w:val="22"/>
                <w:lang w:val="fi-FI"/>
              </w:rPr>
              <w:t>Suomi/Finland</w:t>
            </w:r>
          </w:p>
          <w:p w14:paraId="3C30E07E" w14:textId="77777777" w:rsidR="00930E09" w:rsidRPr="00BD646C" w:rsidRDefault="00E453CD" w:rsidP="001F79B0">
            <w:pPr>
              <w:rPr>
                <w:bCs/>
                <w:sz w:val="22"/>
                <w:szCs w:val="22"/>
                <w:lang w:val="de-CH"/>
              </w:rPr>
            </w:pPr>
            <w:r w:rsidRPr="00BD646C">
              <w:rPr>
                <w:bCs/>
                <w:sz w:val="22"/>
                <w:szCs w:val="22"/>
                <w:lang w:val="sk-SK"/>
              </w:rPr>
              <w:t>AbbVie Oy</w:t>
            </w:r>
          </w:p>
          <w:p w14:paraId="3A21116C" w14:textId="77777777" w:rsidR="00930E09" w:rsidRPr="00BD646C" w:rsidRDefault="00E453CD" w:rsidP="001F79B0">
            <w:pPr>
              <w:rPr>
                <w:bCs/>
                <w:sz w:val="22"/>
                <w:szCs w:val="22"/>
                <w:lang w:val="sk-SK"/>
              </w:rPr>
            </w:pPr>
            <w:r w:rsidRPr="00BD646C">
              <w:rPr>
                <w:bCs/>
                <w:sz w:val="22"/>
                <w:szCs w:val="22"/>
                <w:lang w:val="sk-SK"/>
              </w:rPr>
              <w:t>Puh/Tel: +358 (0)10 2411 200</w:t>
            </w:r>
          </w:p>
          <w:p w14:paraId="21A6394C" w14:textId="77777777" w:rsidR="00930E09" w:rsidRPr="00BD646C" w:rsidRDefault="00930E09" w:rsidP="001F79B0">
            <w:pPr>
              <w:rPr>
                <w:sz w:val="22"/>
                <w:szCs w:val="22"/>
                <w:lang w:val="sk-SK"/>
              </w:rPr>
            </w:pPr>
          </w:p>
        </w:tc>
      </w:tr>
      <w:tr w:rsidR="004644D4" w14:paraId="3E3362B8" w14:textId="77777777" w:rsidTr="001F79B0">
        <w:trPr>
          <w:gridBefore w:val="1"/>
          <w:wBefore w:w="34" w:type="dxa"/>
          <w:cantSplit/>
          <w:trHeight w:val="887"/>
        </w:trPr>
        <w:tc>
          <w:tcPr>
            <w:tcW w:w="4644" w:type="dxa"/>
            <w:gridSpan w:val="2"/>
          </w:tcPr>
          <w:p w14:paraId="3441D217" w14:textId="77777777" w:rsidR="00930E09" w:rsidRPr="00BD646C" w:rsidRDefault="00E453CD" w:rsidP="001F79B0">
            <w:pPr>
              <w:rPr>
                <w:b/>
                <w:bCs/>
                <w:sz w:val="22"/>
                <w:szCs w:val="22"/>
                <w:lang w:val="el-GR"/>
              </w:rPr>
            </w:pPr>
            <w:r w:rsidRPr="00BD646C">
              <w:rPr>
                <w:b/>
                <w:bCs/>
                <w:sz w:val="22"/>
                <w:szCs w:val="22"/>
                <w:lang w:val="el-GR"/>
              </w:rPr>
              <w:t>Κύπρος</w:t>
            </w:r>
          </w:p>
          <w:p w14:paraId="5C259AB1" w14:textId="77777777" w:rsidR="00930E09" w:rsidRPr="00BD646C" w:rsidRDefault="00E453CD"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29AC5194" w14:textId="77777777" w:rsidR="00930E09" w:rsidRPr="00BD646C" w:rsidRDefault="00E453CD" w:rsidP="001F79B0">
            <w:pPr>
              <w:rPr>
                <w:bCs/>
                <w:sz w:val="22"/>
                <w:szCs w:val="22"/>
                <w:lang w:val="lv-LV"/>
              </w:rPr>
            </w:pPr>
            <w:r w:rsidRPr="00BD646C">
              <w:rPr>
                <w:bCs/>
                <w:sz w:val="22"/>
                <w:szCs w:val="22"/>
                <w:lang w:val="el-GR"/>
              </w:rPr>
              <w:t>Τηλ.: +357 22 34 74 40</w:t>
            </w:r>
          </w:p>
        </w:tc>
        <w:tc>
          <w:tcPr>
            <w:tcW w:w="4678" w:type="dxa"/>
          </w:tcPr>
          <w:p w14:paraId="52C271AE" w14:textId="77777777" w:rsidR="00930E09" w:rsidRPr="00BD646C" w:rsidRDefault="00E453CD" w:rsidP="001F79B0">
            <w:pPr>
              <w:rPr>
                <w:b/>
                <w:bCs/>
                <w:sz w:val="22"/>
                <w:szCs w:val="22"/>
                <w:lang w:val="sk-SK"/>
              </w:rPr>
            </w:pPr>
            <w:r w:rsidRPr="00BD646C">
              <w:rPr>
                <w:b/>
                <w:bCs/>
                <w:sz w:val="22"/>
                <w:szCs w:val="22"/>
                <w:lang w:val="sk-SK"/>
              </w:rPr>
              <w:t>Sverige</w:t>
            </w:r>
          </w:p>
          <w:p w14:paraId="08901507" w14:textId="77777777" w:rsidR="00930E09" w:rsidRPr="00BD646C" w:rsidRDefault="00E453CD" w:rsidP="001F79B0">
            <w:pPr>
              <w:rPr>
                <w:bCs/>
                <w:sz w:val="22"/>
                <w:szCs w:val="22"/>
                <w:lang w:val="pt-PT"/>
              </w:rPr>
            </w:pPr>
            <w:r w:rsidRPr="00BD646C">
              <w:rPr>
                <w:bCs/>
                <w:sz w:val="22"/>
                <w:szCs w:val="22"/>
                <w:lang w:val="pt-PT"/>
              </w:rPr>
              <w:t>AbbVie AB</w:t>
            </w:r>
          </w:p>
          <w:p w14:paraId="1A8367D7" w14:textId="77777777" w:rsidR="00930E09" w:rsidRPr="00BD646C" w:rsidRDefault="00E453CD" w:rsidP="001F79B0">
            <w:pPr>
              <w:rPr>
                <w:bCs/>
                <w:sz w:val="22"/>
                <w:szCs w:val="22"/>
                <w:lang w:val="sk-SK"/>
              </w:rPr>
            </w:pPr>
            <w:r w:rsidRPr="00BD646C">
              <w:rPr>
                <w:bCs/>
                <w:sz w:val="22"/>
                <w:szCs w:val="22"/>
                <w:lang w:val="da-DK"/>
              </w:rPr>
              <w:t>Tel: +46 (0)8 684 44 600</w:t>
            </w:r>
          </w:p>
        </w:tc>
      </w:tr>
      <w:tr w:rsidR="004644D4" w14:paraId="7349B02B" w14:textId="77777777" w:rsidTr="001F79B0">
        <w:trPr>
          <w:gridBefore w:val="1"/>
          <w:wBefore w:w="34" w:type="dxa"/>
          <w:cantSplit/>
          <w:trHeight w:val="761"/>
        </w:trPr>
        <w:tc>
          <w:tcPr>
            <w:tcW w:w="4644" w:type="dxa"/>
            <w:gridSpan w:val="2"/>
          </w:tcPr>
          <w:p w14:paraId="545F0ED9" w14:textId="77777777" w:rsidR="00930E09" w:rsidRPr="00BD646C" w:rsidRDefault="00E453CD" w:rsidP="001F79B0">
            <w:pPr>
              <w:rPr>
                <w:b/>
                <w:bCs/>
                <w:sz w:val="22"/>
                <w:szCs w:val="22"/>
                <w:lang w:val="lv-LV"/>
              </w:rPr>
            </w:pPr>
            <w:r w:rsidRPr="00BD646C">
              <w:rPr>
                <w:b/>
                <w:bCs/>
                <w:sz w:val="22"/>
                <w:szCs w:val="22"/>
                <w:lang w:val="lv-LV"/>
              </w:rPr>
              <w:t>Latvija</w:t>
            </w:r>
          </w:p>
          <w:p w14:paraId="5DC98B26" w14:textId="77777777" w:rsidR="00930E09" w:rsidRPr="00BD646C" w:rsidRDefault="00E453CD" w:rsidP="001F79B0">
            <w:pPr>
              <w:rPr>
                <w:bCs/>
                <w:sz w:val="22"/>
                <w:szCs w:val="22"/>
                <w:lang w:val="lv-LV"/>
              </w:rPr>
            </w:pPr>
            <w:r w:rsidRPr="00BD646C">
              <w:rPr>
                <w:bCs/>
                <w:sz w:val="22"/>
                <w:szCs w:val="22"/>
                <w:lang w:val="lv-LV"/>
              </w:rPr>
              <w:t xml:space="preserve">AbbVie SIA </w:t>
            </w:r>
          </w:p>
          <w:p w14:paraId="17EC155C" w14:textId="77777777" w:rsidR="00930E09" w:rsidRPr="00BD646C" w:rsidRDefault="00E453CD" w:rsidP="001F79B0">
            <w:pPr>
              <w:rPr>
                <w:bCs/>
                <w:sz w:val="22"/>
                <w:szCs w:val="22"/>
                <w:lang w:val="lv-LV"/>
              </w:rPr>
            </w:pPr>
            <w:r w:rsidRPr="00BD646C">
              <w:rPr>
                <w:bCs/>
                <w:sz w:val="22"/>
                <w:szCs w:val="22"/>
                <w:lang w:val="lv-LV"/>
              </w:rPr>
              <w:t>Tel: +371 67605000</w:t>
            </w:r>
          </w:p>
        </w:tc>
        <w:tc>
          <w:tcPr>
            <w:tcW w:w="4678" w:type="dxa"/>
          </w:tcPr>
          <w:p w14:paraId="0FBA25D2" w14:textId="1F3E6DBC" w:rsidR="00930E09" w:rsidRPr="00BD646C" w:rsidRDefault="00930E09" w:rsidP="001F79B0">
            <w:pPr>
              <w:rPr>
                <w:b/>
                <w:bCs/>
                <w:sz w:val="22"/>
                <w:szCs w:val="22"/>
                <w:lang w:val="sk-SK"/>
              </w:rPr>
            </w:pPr>
          </w:p>
        </w:tc>
      </w:tr>
    </w:tbl>
    <w:p w14:paraId="6CF85B61" w14:textId="77777777" w:rsidR="00B33BEC" w:rsidRPr="00B33BEC" w:rsidRDefault="00B33BEC" w:rsidP="00B33BEC">
      <w:pPr>
        <w:rPr>
          <w:sz w:val="22"/>
          <w:szCs w:val="22"/>
          <w:lang w:val="en-US"/>
        </w:rPr>
      </w:pPr>
    </w:p>
    <w:p w14:paraId="0ED67886" w14:textId="77777777" w:rsidR="00B33BEC" w:rsidRPr="00E90360" w:rsidRDefault="00E453CD" w:rsidP="00032240">
      <w:pPr>
        <w:keepNext/>
        <w:rPr>
          <w:b/>
          <w:sz w:val="22"/>
          <w:szCs w:val="22"/>
        </w:rPr>
      </w:pPr>
      <w:r w:rsidRPr="00E90360">
        <w:rPr>
          <w:b/>
          <w:sz w:val="22"/>
          <w:szCs w:val="22"/>
        </w:rPr>
        <w:t>Dette pakningsvedlegget ble sist oppdatert</w:t>
      </w:r>
    </w:p>
    <w:p w14:paraId="54DA6FE4" w14:textId="77777777" w:rsidR="00B33BEC" w:rsidRPr="00B33BEC" w:rsidRDefault="00B33BEC" w:rsidP="00B33BEC">
      <w:pPr>
        <w:rPr>
          <w:sz w:val="22"/>
          <w:szCs w:val="22"/>
        </w:rPr>
      </w:pPr>
    </w:p>
    <w:p w14:paraId="5B03550B" w14:textId="226DF26E" w:rsidR="00B33BEC" w:rsidRPr="00E90360" w:rsidRDefault="00E453CD" w:rsidP="00B33BEC">
      <w:pPr>
        <w:rPr>
          <w:b/>
          <w:sz w:val="22"/>
          <w:szCs w:val="22"/>
        </w:rPr>
      </w:pPr>
      <w:r w:rsidRPr="00582FC8">
        <w:rPr>
          <w:sz w:val="22"/>
        </w:rPr>
        <w:t>Detaljert informasjon om dette legemidlet er tilgjengelig på nettstedet til Det europeiske le</w:t>
      </w:r>
      <w:r w:rsidRPr="00E55E7C">
        <w:rPr>
          <w:sz w:val="22"/>
        </w:rPr>
        <w:t>gemiddelkontoret (</w:t>
      </w:r>
      <w:r w:rsidR="001D434C">
        <w:rPr>
          <w:sz w:val="22"/>
        </w:rPr>
        <w:t>t</w:t>
      </w:r>
      <w:r w:rsidRPr="00E55E7C">
        <w:rPr>
          <w:sz w:val="22"/>
        </w:rPr>
        <w:t>he European Medicines Agency)</w:t>
      </w:r>
      <w:r w:rsidRPr="00F93B6E">
        <w:rPr>
          <w:sz w:val="22"/>
        </w:rPr>
        <w:t>:</w:t>
      </w:r>
      <w:r w:rsidRPr="006E5628">
        <w:rPr>
          <w:sz w:val="22"/>
        </w:rPr>
        <w:t xml:space="preserve"> </w:t>
      </w:r>
      <w:ins w:id="17651" w:author="AbbVie02no" w:date="2025-05-15T14:26:00Z">
        <w:r w:rsidR="00600FCB">
          <w:rPr>
            <w:sz w:val="22"/>
          </w:rPr>
          <w:fldChar w:fldCharType="begin"/>
        </w:r>
        <w:r w:rsidR="00600FCB">
          <w:rPr>
            <w:sz w:val="22"/>
          </w:rPr>
          <w:instrText>HYPERLINK "</w:instrText>
        </w:r>
      </w:ins>
      <w:r w:rsidR="00600FCB" w:rsidRPr="00600FCB">
        <w:rPr>
          <w:rStyle w:val="Hyperlink"/>
          <w:sz w:val="22"/>
        </w:rPr>
        <w:instrText>http</w:instrText>
      </w:r>
      <w:ins w:id="17652" w:author="AbbVie02no" w:date="2025-05-15T14:26:00Z">
        <w:r w:rsidR="00600FCB" w:rsidRPr="00600FCB">
          <w:rPr>
            <w:rStyle w:val="Hyperlink"/>
            <w:sz w:val="22"/>
          </w:rPr>
          <w:instrText>s</w:instrText>
        </w:r>
      </w:ins>
      <w:r w:rsidR="00600FCB" w:rsidRPr="00600FCB">
        <w:rPr>
          <w:rStyle w:val="Hyperlink"/>
          <w:sz w:val="22"/>
        </w:rPr>
        <w:instrText>://www.ema.europa.eu</w:instrText>
      </w:r>
      <w:ins w:id="17653" w:author="AbbVie02no" w:date="2025-05-15T14:26:00Z">
        <w:r w:rsidR="00600FCB">
          <w:rPr>
            <w:sz w:val="22"/>
          </w:rPr>
          <w:instrText>"</w:instrText>
        </w:r>
        <w:r w:rsidR="00600FCB">
          <w:rPr>
            <w:sz w:val="22"/>
          </w:rPr>
        </w:r>
        <w:r w:rsidR="00600FCB">
          <w:rPr>
            <w:sz w:val="22"/>
          </w:rPr>
          <w:fldChar w:fldCharType="separate"/>
        </w:r>
      </w:ins>
      <w:r w:rsidR="00600FCB" w:rsidRPr="00600FCB">
        <w:rPr>
          <w:rStyle w:val="Hyperlink"/>
          <w:sz w:val="22"/>
        </w:rPr>
        <w:t>http</w:t>
      </w:r>
      <w:ins w:id="17654" w:author="AbbVie02no" w:date="2025-05-15T14:26:00Z">
        <w:r w:rsidR="00600FCB" w:rsidRPr="00600FCB">
          <w:rPr>
            <w:rStyle w:val="Hyperlink"/>
            <w:sz w:val="22"/>
          </w:rPr>
          <w:t>s</w:t>
        </w:r>
      </w:ins>
      <w:r w:rsidR="00600FCB" w:rsidRPr="00600FCB">
        <w:rPr>
          <w:rStyle w:val="Hyperlink"/>
          <w:sz w:val="22"/>
        </w:rPr>
        <w:t>://www.ema.europa.eu</w:t>
      </w:r>
      <w:ins w:id="17655" w:author="AbbVie02no" w:date="2025-05-15T14:26:00Z">
        <w:r w:rsidR="00600FCB">
          <w:rPr>
            <w:sz w:val="22"/>
          </w:rPr>
          <w:fldChar w:fldCharType="end"/>
        </w:r>
      </w:ins>
      <w:r w:rsidRPr="00E90360">
        <w:rPr>
          <w:sz w:val="22"/>
        </w:rPr>
        <w:t>.</w:t>
      </w:r>
    </w:p>
    <w:p w14:paraId="29E27152" w14:textId="77777777" w:rsidR="00B33BEC" w:rsidRPr="00B33BEC" w:rsidRDefault="00B33BEC" w:rsidP="00B33BEC">
      <w:pPr>
        <w:rPr>
          <w:sz w:val="22"/>
          <w:szCs w:val="22"/>
        </w:rPr>
      </w:pPr>
    </w:p>
    <w:p w14:paraId="6F2226F6" w14:textId="77777777" w:rsidR="00B33BEC" w:rsidRPr="00095354" w:rsidRDefault="00E453CD" w:rsidP="00B33BEC">
      <w:pPr>
        <w:rPr>
          <w:b/>
          <w:sz w:val="22"/>
          <w:szCs w:val="22"/>
        </w:rPr>
      </w:pPr>
      <w:r w:rsidRPr="006E5628">
        <w:rPr>
          <w:b/>
          <w:sz w:val="22"/>
          <w:szCs w:val="22"/>
        </w:rPr>
        <w:t xml:space="preserve">For å lytte til eller be om en kopi av dette pakningsvedlegget </w:t>
      </w:r>
      <w:r w:rsidR="00B0241B" w:rsidRPr="00776A84">
        <w:rPr>
          <w:b/>
          <w:sz w:val="22"/>
          <w:highlight w:val="lightGray"/>
        </w:rPr>
        <w:t>i &lt;blindeskrift&gt;, &lt;større skrift&gt; eller &lt;lydfil&gt;</w:t>
      </w:r>
      <w:r w:rsidRPr="00671839">
        <w:rPr>
          <w:b/>
          <w:sz w:val="22"/>
          <w:szCs w:val="22"/>
        </w:rPr>
        <w:t xml:space="preserve"> kan du kontakte den lokale representant for innehaveren av markedsføringstillatelsen.</w:t>
      </w:r>
    </w:p>
    <w:p w14:paraId="0C3D92D9" w14:textId="77777777" w:rsidR="00B33BEC" w:rsidRPr="00B33BEC" w:rsidRDefault="00B33BEC" w:rsidP="00B33BEC">
      <w:pPr>
        <w:rPr>
          <w:sz w:val="22"/>
          <w:szCs w:val="22"/>
        </w:rPr>
      </w:pPr>
    </w:p>
    <w:p w14:paraId="31373C77" w14:textId="77777777" w:rsidR="00B33BEC" w:rsidRPr="00B33BEC" w:rsidRDefault="00B33BEC" w:rsidP="00B33BEC">
      <w:pPr>
        <w:rPr>
          <w:sz w:val="22"/>
          <w:szCs w:val="22"/>
        </w:rPr>
      </w:pPr>
    </w:p>
    <w:p w14:paraId="2F176C76" w14:textId="77777777" w:rsidR="00B33BEC" w:rsidRDefault="00E453CD" w:rsidP="00602A37">
      <w:pPr>
        <w:keepNext/>
        <w:ind w:left="562" w:hanging="562"/>
        <w:rPr>
          <w:sz w:val="22"/>
          <w:szCs w:val="22"/>
          <w:lang w:val="en-GB"/>
        </w:rPr>
      </w:pPr>
      <w:r w:rsidRPr="00887835">
        <w:rPr>
          <w:b/>
          <w:sz w:val="22"/>
          <w:szCs w:val="22"/>
          <w:lang w:val="en-GB"/>
        </w:rPr>
        <w:t>7.</w:t>
      </w:r>
      <w:r w:rsidRPr="00887835">
        <w:rPr>
          <w:b/>
          <w:sz w:val="22"/>
          <w:szCs w:val="22"/>
          <w:lang w:val="en-GB"/>
        </w:rPr>
        <w:tab/>
      </w:r>
      <w:r w:rsidR="00713E33" w:rsidRPr="00713E33">
        <w:rPr>
          <w:b/>
          <w:sz w:val="22"/>
          <w:szCs w:val="22"/>
          <w:lang w:val="en-GB"/>
        </w:rPr>
        <w:t>Hvordan du injiserer Humira</w:t>
      </w:r>
    </w:p>
    <w:p w14:paraId="30A8AC6E" w14:textId="77777777" w:rsidR="00B33BEC" w:rsidRPr="009C5EFD" w:rsidRDefault="00B33BEC" w:rsidP="00B33BEC">
      <w:pPr>
        <w:keepNext/>
        <w:rPr>
          <w:sz w:val="22"/>
          <w:szCs w:val="22"/>
        </w:rPr>
      </w:pPr>
    </w:p>
    <w:p w14:paraId="51EBCF54" w14:textId="77777777" w:rsidR="00B33BEC" w:rsidRDefault="00E453CD" w:rsidP="00776A84">
      <w:pPr>
        <w:pStyle w:val="ListParagraph"/>
        <w:numPr>
          <w:ilvl w:val="0"/>
          <w:numId w:val="15"/>
        </w:numPr>
        <w:ind w:left="714" w:hanging="357"/>
        <w:rPr>
          <w:sz w:val="22"/>
          <w:szCs w:val="22"/>
        </w:rPr>
      </w:pPr>
      <w:r w:rsidRPr="009C5EFD">
        <w:rPr>
          <w:sz w:val="22"/>
          <w:szCs w:val="22"/>
        </w:rPr>
        <w:t xml:space="preserve">Følgende instruksjoner forklarer hvordan du skal sette Humira </w:t>
      </w:r>
      <w:r>
        <w:rPr>
          <w:sz w:val="22"/>
          <w:szCs w:val="22"/>
        </w:rPr>
        <w:t xml:space="preserve">subkutant (under huden) </w:t>
      </w:r>
      <w:r w:rsidRPr="009C5EFD">
        <w:rPr>
          <w:sz w:val="22"/>
          <w:szCs w:val="22"/>
        </w:rPr>
        <w:t xml:space="preserve">på deg selv ved bruk av den ferdigfylte </w:t>
      </w:r>
      <w:r>
        <w:rPr>
          <w:sz w:val="22"/>
          <w:szCs w:val="22"/>
        </w:rPr>
        <w:t>sprøyten</w:t>
      </w:r>
      <w:r w:rsidRPr="009C5EFD">
        <w:rPr>
          <w:sz w:val="22"/>
          <w:szCs w:val="22"/>
        </w:rPr>
        <w:t xml:space="preserve">. </w:t>
      </w:r>
      <w:r w:rsidRPr="00887835">
        <w:rPr>
          <w:sz w:val="22"/>
          <w:szCs w:val="22"/>
        </w:rPr>
        <w:t xml:space="preserve">Les </w:t>
      </w:r>
      <w:r>
        <w:rPr>
          <w:sz w:val="22"/>
          <w:szCs w:val="22"/>
        </w:rPr>
        <w:t xml:space="preserve">først </w:t>
      </w:r>
      <w:r w:rsidRPr="00887835">
        <w:rPr>
          <w:sz w:val="22"/>
          <w:szCs w:val="22"/>
        </w:rPr>
        <w:t>instruksjonene nøye og følg dem</w:t>
      </w:r>
      <w:r>
        <w:rPr>
          <w:sz w:val="22"/>
          <w:szCs w:val="22"/>
        </w:rPr>
        <w:t xml:space="preserve"> deretter</w:t>
      </w:r>
      <w:r w:rsidRPr="00887835">
        <w:rPr>
          <w:sz w:val="22"/>
          <w:szCs w:val="22"/>
        </w:rPr>
        <w:t xml:space="preserve"> steg for steg.</w:t>
      </w:r>
    </w:p>
    <w:p w14:paraId="5E7D9B69" w14:textId="77777777" w:rsidR="00B33BEC" w:rsidRDefault="00B33BEC" w:rsidP="00B33BEC">
      <w:pPr>
        <w:pStyle w:val="ListParagraph"/>
        <w:keepNext/>
        <w:rPr>
          <w:sz w:val="22"/>
          <w:szCs w:val="22"/>
        </w:rPr>
      </w:pPr>
    </w:p>
    <w:p w14:paraId="13BFF971" w14:textId="77777777" w:rsidR="00B33BEC" w:rsidRPr="00887835" w:rsidRDefault="00E453CD" w:rsidP="00B33BEC">
      <w:pPr>
        <w:pStyle w:val="ListParagraph"/>
        <w:numPr>
          <w:ilvl w:val="0"/>
          <w:numId w:val="15"/>
        </w:numPr>
        <w:rPr>
          <w:sz w:val="22"/>
          <w:szCs w:val="22"/>
        </w:rPr>
      </w:pPr>
      <w:r w:rsidRPr="00887835">
        <w:rPr>
          <w:sz w:val="22"/>
          <w:szCs w:val="22"/>
        </w:rPr>
        <w:t>Legen</w:t>
      </w:r>
      <w:r w:rsidRPr="00475A28">
        <w:rPr>
          <w:sz w:val="22"/>
          <w:szCs w:val="22"/>
        </w:rPr>
        <w:t xml:space="preserve"> din, sykepleier</w:t>
      </w:r>
      <w:r w:rsidRPr="00887835">
        <w:rPr>
          <w:sz w:val="22"/>
          <w:szCs w:val="22"/>
        </w:rPr>
        <w:t xml:space="preserve"> eller </w:t>
      </w:r>
      <w:r w:rsidRPr="00475A28">
        <w:rPr>
          <w:sz w:val="22"/>
          <w:szCs w:val="22"/>
        </w:rPr>
        <w:t>farmasøyt</w:t>
      </w:r>
      <w:r w:rsidRPr="00887835">
        <w:rPr>
          <w:sz w:val="22"/>
          <w:szCs w:val="22"/>
        </w:rPr>
        <w:t xml:space="preserve"> </w:t>
      </w:r>
      <w:r>
        <w:rPr>
          <w:sz w:val="22"/>
          <w:szCs w:val="22"/>
        </w:rPr>
        <w:t xml:space="preserve">på apotek </w:t>
      </w:r>
      <w:r w:rsidRPr="00887835">
        <w:rPr>
          <w:sz w:val="22"/>
          <w:szCs w:val="22"/>
        </w:rPr>
        <w:t xml:space="preserve">vil forklare deg hvordan du skal </w:t>
      </w:r>
      <w:r>
        <w:rPr>
          <w:sz w:val="22"/>
          <w:szCs w:val="22"/>
        </w:rPr>
        <w:t>injisere</w:t>
      </w:r>
      <w:r w:rsidRPr="00887835">
        <w:rPr>
          <w:sz w:val="22"/>
          <w:szCs w:val="22"/>
        </w:rPr>
        <w:t xml:space="preserve"> på deg selv.</w:t>
      </w:r>
    </w:p>
    <w:p w14:paraId="46D125EA" w14:textId="77777777" w:rsidR="00B33BEC" w:rsidRPr="0061743D" w:rsidRDefault="00B33BEC" w:rsidP="00B33BEC">
      <w:pPr>
        <w:rPr>
          <w:sz w:val="22"/>
        </w:rPr>
      </w:pPr>
    </w:p>
    <w:p w14:paraId="60A84EE2" w14:textId="77777777" w:rsidR="00B33BEC" w:rsidRDefault="00E453CD" w:rsidP="00B33BEC">
      <w:pPr>
        <w:pStyle w:val="ListParagraph"/>
        <w:numPr>
          <w:ilvl w:val="0"/>
          <w:numId w:val="15"/>
        </w:numPr>
        <w:rPr>
          <w:sz w:val="22"/>
          <w:szCs w:val="22"/>
        </w:rPr>
      </w:pPr>
      <w:r w:rsidRPr="00CB538B">
        <w:rPr>
          <w:sz w:val="22"/>
        </w:rPr>
        <w:t xml:space="preserve">Ikke </w:t>
      </w:r>
      <w:r w:rsidRPr="00887835">
        <w:rPr>
          <w:sz w:val="22"/>
          <w:szCs w:val="22"/>
        </w:rPr>
        <w:t xml:space="preserve">forsøk å </w:t>
      </w:r>
      <w:r>
        <w:rPr>
          <w:sz w:val="22"/>
          <w:szCs w:val="22"/>
        </w:rPr>
        <w:t>injisere</w:t>
      </w:r>
      <w:r w:rsidRPr="00887835">
        <w:rPr>
          <w:sz w:val="22"/>
          <w:szCs w:val="22"/>
        </w:rPr>
        <w:t xml:space="preserve"> på deg selv før du er sikker på at du forstår hvordan </w:t>
      </w:r>
      <w:r>
        <w:rPr>
          <w:sz w:val="22"/>
          <w:szCs w:val="22"/>
        </w:rPr>
        <w:t>du</w:t>
      </w:r>
      <w:r w:rsidRPr="00887835">
        <w:rPr>
          <w:sz w:val="22"/>
          <w:szCs w:val="22"/>
        </w:rPr>
        <w:t xml:space="preserve"> skal </w:t>
      </w:r>
      <w:r>
        <w:rPr>
          <w:sz w:val="22"/>
          <w:szCs w:val="22"/>
        </w:rPr>
        <w:t>forberede</w:t>
      </w:r>
      <w:r w:rsidRPr="00475A28">
        <w:rPr>
          <w:sz w:val="22"/>
          <w:szCs w:val="22"/>
        </w:rPr>
        <w:t xml:space="preserve"> og sette</w:t>
      </w:r>
      <w:r>
        <w:rPr>
          <w:sz w:val="22"/>
          <w:szCs w:val="22"/>
        </w:rPr>
        <w:t xml:space="preserve"> injeksjonen</w:t>
      </w:r>
      <w:r w:rsidRPr="00887835">
        <w:rPr>
          <w:sz w:val="22"/>
          <w:szCs w:val="22"/>
        </w:rPr>
        <w:t>.</w:t>
      </w:r>
    </w:p>
    <w:p w14:paraId="33E71BE1" w14:textId="77777777" w:rsidR="00B33BEC" w:rsidRDefault="00B33BEC" w:rsidP="00B33BEC">
      <w:pPr>
        <w:pStyle w:val="ListParagraph"/>
        <w:rPr>
          <w:sz w:val="22"/>
          <w:szCs w:val="22"/>
        </w:rPr>
      </w:pPr>
    </w:p>
    <w:p w14:paraId="4425502B" w14:textId="77777777" w:rsidR="00B33BEC" w:rsidRDefault="00E453CD" w:rsidP="00B33BEC">
      <w:pPr>
        <w:pStyle w:val="ListParagraph"/>
        <w:numPr>
          <w:ilvl w:val="0"/>
          <w:numId w:val="15"/>
        </w:numPr>
        <w:rPr>
          <w:sz w:val="22"/>
          <w:szCs w:val="22"/>
        </w:rPr>
      </w:pPr>
      <w:r w:rsidRPr="00887835">
        <w:rPr>
          <w:sz w:val="22"/>
          <w:szCs w:val="22"/>
        </w:rPr>
        <w:t xml:space="preserve">Etter nødvendig opplæring kan du sette injeksjonen selv, eller en annen person, </w:t>
      </w:r>
      <w:r>
        <w:rPr>
          <w:sz w:val="22"/>
          <w:szCs w:val="22"/>
        </w:rPr>
        <w:t>f.eks.</w:t>
      </w:r>
      <w:r w:rsidRPr="00475A28">
        <w:rPr>
          <w:sz w:val="22"/>
          <w:szCs w:val="22"/>
        </w:rPr>
        <w:t xml:space="preserve"> et familiemedlem eller en venn</w:t>
      </w:r>
      <w:r w:rsidRPr="00887835">
        <w:rPr>
          <w:sz w:val="22"/>
          <w:szCs w:val="22"/>
        </w:rPr>
        <w:t xml:space="preserve"> kan sette den.</w:t>
      </w:r>
    </w:p>
    <w:p w14:paraId="66815BC2" w14:textId="77777777" w:rsidR="00B33BEC" w:rsidRPr="0061743D" w:rsidRDefault="00B33BEC" w:rsidP="00B33BEC">
      <w:pPr>
        <w:pStyle w:val="ListParagraph"/>
        <w:rPr>
          <w:sz w:val="22"/>
        </w:rPr>
      </w:pPr>
    </w:p>
    <w:p w14:paraId="0BAA0F06" w14:textId="77777777" w:rsidR="00B33BEC" w:rsidRDefault="00E453CD" w:rsidP="00B33BEC">
      <w:pPr>
        <w:pStyle w:val="ListParagraph"/>
        <w:numPr>
          <w:ilvl w:val="0"/>
          <w:numId w:val="15"/>
        </w:numPr>
        <w:rPr>
          <w:sz w:val="22"/>
          <w:szCs w:val="22"/>
        </w:rPr>
      </w:pPr>
      <w:r w:rsidRPr="009C5EFD">
        <w:rPr>
          <w:sz w:val="22"/>
          <w:szCs w:val="22"/>
        </w:rPr>
        <w:t xml:space="preserve">Bruk </w:t>
      </w:r>
      <w:r>
        <w:rPr>
          <w:sz w:val="22"/>
          <w:szCs w:val="22"/>
        </w:rPr>
        <w:t>kun hver ferdigfylt sprøyte til én injeksjon.</w:t>
      </w:r>
    </w:p>
    <w:p w14:paraId="160F2216" w14:textId="77777777" w:rsidR="00B33BEC" w:rsidRPr="00887835" w:rsidRDefault="00B33BEC" w:rsidP="00B33BEC">
      <w:pPr>
        <w:pStyle w:val="ListParagraph"/>
        <w:rPr>
          <w:sz w:val="22"/>
          <w:szCs w:val="22"/>
        </w:rPr>
      </w:pPr>
    </w:p>
    <w:p w14:paraId="5D9B75B7" w14:textId="77777777" w:rsidR="00B33BEC" w:rsidRPr="003461C8" w:rsidRDefault="00E453CD" w:rsidP="00B33BEC">
      <w:pPr>
        <w:pStyle w:val="EMEANormal"/>
        <w:keepNext/>
        <w:rPr>
          <w:lang w:val="nb-NO"/>
        </w:rPr>
      </w:pPr>
      <w:r w:rsidRPr="00887835">
        <w:rPr>
          <w:b/>
          <w:lang w:val="nb-NO"/>
        </w:rPr>
        <w:lastRenderedPageBreak/>
        <w:t xml:space="preserve">Humira ferdigfylt </w:t>
      </w:r>
      <w:r>
        <w:rPr>
          <w:b/>
          <w:lang w:val="nb-NO"/>
        </w:rPr>
        <w:t>sprøyte</w:t>
      </w:r>
    </w:p>
    <w:p w14:paraId="2FFFD183" w14:textId="77777777" w:rsidR="00B33BEC" w:rsidRPr="003461C8" w:rsidRDefault="00B33BEC" w:rsidP="00B33BEC">
      <w:pPr>
        <w:pStyle w:val="EMEANormal"/>
        <w:keepNext/>
        <w:rPr>
          <w:lang w:val="nb-NO"/>
        </w:rPr>
      </w:pPr>
    </w:p>
    <w:p w14:paraId="041554E0" w14:textId="77777777" w:rsidR="00B33BEC" w:rsidRPr="003461C8" w:rsidRDefault="00E453CD" w:rsidP="00B33BEC">
      <w:pPr>
        <w:keepNext/>
        <w:tabs>
          <w:tab w:val="left" w:pos="562"/>
        </w:tabs>
        <w:suppressAutoHyphens/>
        <w:rPr>
          <w:sz w:val="22"/>
        </w:rPr>
      </w:pPr>
      <w:r w:rsidRPr="00A15CB1">
        <w:rPr>
          <w:b/>
          <w:sz w:val="22"/>
        </w:rPr>
        <w:tab/>
      </w:r>
      <w:r w:rsidRPr="00A15CB1">
        <w:rPr>
          <w:b/>
          <w:sz w:val="22"/>
        </w:rPr>
        <w:tab/>
      </w:r>
      <w:r w:rsidR="00C962FE">
        <w:rPr>
          <w:b/>
          <w:sz w:val="22"/>
        </w:rPr>
        <w:tab/>
      </w:r>
      <w:r w:rsidR="00F439C1" w:rsidRPr="00A15CB1">
        <w:rPr>
          <w:b/>
          <w:sz w:val="22"/>
        </w:rPr>
        <w:t>Sprøytestempel</w:t>
      </w:r>
      <w:r w:rsidR="00C962FE">
        <w:rPr>
          <w:b/>
          <w:sz w:val="22"/>
        </w:rPr>
        <w:tab/>
        <w:t xml:space="preserve">       </w:t>
      </w:r>
      <w:r w:rsidR="00F439C1" w:rsidRPr="00A15CB1">
        <w:rPr>
          <w:b/>
          <w:sz w:val="22"/>
        </w:rPr>
        <w:t>Fingergrep</w:t>
      </w:r>
      <w:r w:rsidRPr="00A15CB1">
        <w:rPr>
          <w:b/>
          <w:sz w:val="22"/>
        </w:rPr>
        <w:tab/>
        <w:t xml:space="preserve"> </w:t>
      </w:r>
      <w:r w:rsidR="00C962FE">
        <w:rPr>
          <w:b/>
          <w:sz w:val="22"/>
        </w:rPr>
        <w:t xml:space="preserve">      </w:t>
      </w:r>
      <w:r w:rsidRPr="00A15CB1">
        <w:rPr>
          <w:b/>
          <w:sz w:val="22"/>
        </w:rPr>
        <w:tab/>
      </w:r>
      <w:r w:rsidR="00F439C1" w:rsidRPr="00A15CB1">
        <w:rPr>
          <w:b/>
          <w:sz w:val="22"/>
        </w:rPr>
        <w:t>Kanyle</w:t>
      </w:r>
      <w:r w:rsidR="0003247B">
        <w:rPr>
          <w:b/>
          <w:sz w:val="22"/>
        </w:rPr>
        <w:t>hette</w:t>
      </w:r>
      <w:r w:rsidR="00F439C1">
        <w:rPr>
          <w:b/>
          <w:sz w:val="22"/>
        </w:rPr>
        <w:t xml:space="preserve"> </w:t>
      </w:r>
      <w:r w:rsidRPr="00A15CB1">
        <w:rPr>
          <w:b/>
          <w:sz w:val="22"/>
        </w:rPr>
        <w:t xml:space="preserve">     </w:t>
      </w:r>
    </w:p>
    <w:p w14:paraId="4165D763" w14:textId="77777777" w:rsidR="00B33BEC" w:rsidRPr="00AF70AD" w:rsidRDefault="00E453CD" w:rsidP="00B33BEC">
      <w:pPr>
        <w:keepNext/>
        <w:tabs>
          <w:tab w:val="left" w:pos="562"/>
        </w:tabs>
        <w:suppressAutoHyphens/>
        <w:jc w:val="center"/>
        <w:rPr>
          <w:sz w:val="22"/>
        </w:rPr>
      </w:pPr>
      <w:r>
        <w:rPr>
          <w:noProof/>
          <w:lang w:val="en-GB" w:eastAsia="en-GB"/>
        </w:rPr>
        <w:drawing>
          <wp:inline distT="0" distB="0" distL="0" distR="0" wp14:anchorId="62BD176B" wp14:editId="0B383C4A">
            <wp:extent cx="3364992" cy="1478124"/>
            <wp:effectExtent l="0" t="0" r="698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Humira_Exploded_Syringe_Only_new grey.jpg"/>
                    <pic:cNvPicPr/>
                  </pic:nvPicPr>
                  <pic:blipFill>
                    <a:blip r:embed="rId28">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7B04CBC6" w14:textId="77777777" w:rsidR="00B33BEC" w:rsidRPr="00126088" w:rsidRDefault="00B33BEC" w:rsidP="00B33BEC">
      <w:pPr>
        <w:rPr>
          <w:sz w:val="22"/>
        </w:rPr>
      </w:pPr>
    </w:p>
    <w:p w14:paraId="020A70D5" w14:textId="77777777" w:rsidR="00B33BEC" w:rsidRDefault="00E453CD" w:rsidP="00B33BEC">
      <w:pPr>
        <w:pStyle w:val="EMEAHeadingLeaflet"/>
        <w:keepNext/>
        <w:spacing w:beforeLines="0" w:before="0" w:afterLines="0" w:after="0"/>
        <w:rPr>
          <w:rFonts w:ascii="Times New Roman" w:hAnsi="Times New Roman"/>
          <w:lang w:val="nb-NO"/>
        </w:rPr>
      </w:pPr>
      <w:r w:rsidRPr="004B74D3">
        <w:rPr>
          <w:rFonts w:ascii="Times New Roman" w:hAnsi="Times New Roman"/>
          <w:lang w:val="nb-NO"/>
        </w:rPr>
        <w:t xml:space="preserve">Ikke </w:t>
      </w:r>
      <w:r w:rsidRPr="00887835">
        <w:rPr>
          <w:rFonts w:ascii="Times New Roman" w:hAnsi="Times New Roman"/>
          <w:lang w:val="nb-NO"/>
        </w:rPr>
        <w:t xml:space="preserve">bruk den ferdigfylte </w:t>
      </w:r>
      <w:r>
        <w:rPr>
          <w:rFonts w:ascii="Times New Roman" w:hAnsi="Times New Roman"/>
          <w:lang w:val="nb-NO"/>
        </w:rPr>
        <w:t>sprøyten</w:t>
      </w:r>
      <w:r w:rsidRPr="00887835">
        <w:rPr>
          <w:rFonts w:ascii="Times New Roman" w:hAnsi="Times New Roman"/>
          <w:lang w:val="nb-NO"/>
        </w:rPr>
        <w:t xml:space="preserve"> og ring legen din eller </w:t>
      </w:r>
      <w:r>
        <w:rPr>
          <w:rFonts w:ascii="Times New Roman" w:hAnsi="Times New Roman"/>
          <w:lang w:val="nb-NO"/>
        </w:rPr>
        <w:t>apotek</w:t>
      </w:r>
      <w:r w:rsidRPr="00887835">
        <w:rPr>
          <w:rFonts w:ascii="Times New Roman" w:hAnsi="Times New Roman"/>
          <w:lang w:val="nb-NO"/>
        </w:rPr>
        <w:t xml:space="preserve"> dersom</w:t>
      </w:r>
    </w:p>
    <w:p w14:paraId="65973F45" w14:textId="77777777" w:rsidR="00B33BEC" w:rsidRPr="00D00F56" w:rsidRDefault="00B33BEC" w:rsidP="00B33BEC">
      <w:pPr>
        <w:pStyle w:val="EMEANormal"/>
        <w:rPr>
          <w:lang w:val="nb-NO"/>
        </w:rPr>
      </w:pPr>
    </w:p>
    <w:p w14:paraId="76631421" w14:textId="77777777" w:rsidR="00B33BEC" w:rsidRPr="00887835" w:rsidRDefault="00E453CD" w:rsidP="00B33BEC">
      <w:pPr>
        <w:pStyle w:val="EMEAHeadingLeaflet"/>
        <w:keepNext/>
        <w:numPr>
          <w:ilvl w:val="0"/>
          <w:numId w:val="123"/>
        </w:numPr>
        <w:tabs>
          <w:tab w:val="clear" w:pos="562"/>
          <w:tab w:val="left" w:pos="720"/>
        </w:tabs>
        <w:spacing w:beforeLines="0" w:before="0" w:afterLines="0" w:after="0"/>
        <w:rPr>
          <w:rFonts w:ascii="Times New Roman" w:hAnsi="Times New Roman"/>
          <w:b w:val="0"/>
          <w:lang w:val="nb-NO"/>
        </w:rPr>
      </w:pPr>
      <w:r w:rsidRPr="00475A28">
        <w:rPr>
          <w:rFonts w:ascii="Times New Roman" w:hAnsi="Times New Roman"/>
          <w:b w:val="0"/>
          <w:lang w:val="nb-NO"/>
        </w:rPr>
        <w:t xml:space="preserve">oppløsningen er </w:t>
      </w:r>
      <w:r w:rsidRPr="00887835">
        <w:rPr>
          <w:rFonts w:ascii="Times New Roman" w:hAnsi="Times New Roman"/>
          <w:b w:val="0"/>
          <w:lang w:val="nb-NO"/>
        </w:rPr>
        <w:t>uklar, misfarget eller har flak eller parti</w:t>
      </w:r>
      <w:r>
        <w:rPr>
          <w:rFonts w:ascii="Times New Roman" w:hAnsi="Times New Roman"/>
          <w:b w:val="0"/>
          <w:lang w:val="nb-NO"/>
        </w:rPr>
        <w:t>k</w:t>
      </w:r>
      <w:r w:rsidRPr="00887835">
        <w:rPr>
          <w:rFonts w:ascii="Times New Roman" w:hAnsi="Times New Roman"/>
          <w:b w:val="0"/>
          <w:lang w:val="nb-NO"/>
        </w:rPr>
        <w:t>le</w:t>
      </w:r>
      <w:r>
        <w:rPr>
          <w:rFonts w:ascii="Times New Roman" w:hAnsi="Times New Roman"/>
          <w:b w:val="0"/>
          <w:lang w:val="nb-NO"/>
        </w:rPr>
        <w:t>r</w:t>
      </w:r>
      <w:r w:rsidRPr="00887835">
        <w:rPr>
          <w:rFonts w:ascii="Times New Roman" w:hAnsi="Times New Roman"/>
          <w:b w:val="0"/>
          <w:lang w:val="nb-NO"/>
        </w:rPr>
        <w:t xml:space="preserve"> i </w:t>
      </w:r>
      <w:r>
        <w:rPr>
          <w:rFonts w:ascii="Times New Roman" w:hAnsi="Times New Roman"/>
          <w:b w:val="0"/>
          <w:lang w:val="nb-NO"/>
        </w:rPr>
        <w:t>seg</w:t>
      </w:r>
    </w:p>
    <w:p w14:paraId="52083391" w14:textId="77777777" w:rsidR="00B33BEC" w:rsidRPr="009B0508" w:rsidRDefault="00E453CD" w:rsidP="00B33BEC">
      <w:pPr>
        <w:pStyle w:val="EMEAHeadingLeaflet"/>
        <w:keepNext/>
        <w:numPr>
          <w:ilvl w:val="0"/>
          <w:numId w:val="123"/>
        </w:numPr>
        <w:tabs>
          <w:tab w:val="clear" w:pos="562"/>
          <w:tab w:val="left" w:pos="720"/>
        </w:tabs>
        <w:spacing w:beforeLines="0" w:before="0" w:afterLines="0" w:after="0"/>
        <w:rPr>
          <w:rFonts w:ascii="Times New Roman" w:hAnsi="Times New Roman"/>
          <w:b w:val="0"/>
          <w:lang w:val="en-GB"/>
        </w:rPr>
      </w:pPr>
      <w:r>
        <w:rPr>
          <w:rFonts w:ascii="Times New Roman" w:hAnsi="Times New Roman"/>
          <w:b w:val="0"/>
          <w:lang w:val="en-GB"/>
        </w:rPr>
        <w:t xml:space="preserve">utløpsdato (EXP) </w:t>
      </w:r>
      <w:r w:rsidRPr="009B0508">
        <w:rPr>
          <w:rFonts w:ascii="Times New Roman" w:hAnsi="Times New Roman"/>
          <w:b w:val="0"/>
          <w:lang w:val="en-GB"/>
        </w:rPr>
        <w:t>ha</w:t>
      </w:r>
      <w:r>
        <w:rPr>
          <w:rFonts w:ascii="Times New Roman" w:hAnsi="Times New Roman"/>
          <w:b w:val="0"/>
          <w:lang w:val="en-GB"/>
        </w:rPr>
        <w:t>r passert</w:t>
      </w:r>
    </w:p>
    <w:p w14:paraId="1FAF2C00" w14:textId="77777777" w:rsidR="00B33BEC" w:rsidRDefault="00E453CD" w:rsidP="00B33BEC">
      <w:pPr>
        <w:pStyle w:val="EMEAHeadingLeaflet"/>
        <w:keepNext/>
        <w:numPr>
          <w:ilvl w:val="0"/>
          <w:numId w:val="123"/>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b w:val="0"/>
          <w:lang w:val="nb-NO"/>
        </w:rPr>
        <w:t>oppløsningen har vært fro</w:t>
      </w:r>
      <w:r>
        <w:rPr>
          <w:rFonts w:ascii="Times New Roman" w:hAnsi="Times New Roman"/>
          <w:b w:val="0"/>
          <w:lang w:val="nb-NO"/>
        </w:rPr>
        <w:t>sset</w:t>
      </w:r>
      <w:r w:rsidRPr="00887835">
        <w:rPr>
          <w:rFonts w:ascii="Times New Roman" w:hAnsi="Times New Roman"/>
          <w:b w:val="0"/>
          <w:lang w:val="nb-NO"/>
        </w:rPr>
        <w:t xml:space="preserve"> eller har vært oppbevart i direkte sollys</w:t>
      </w:r>
    </w:p>
    <w:p w14:paraId="1E37CC2D" w14:textId="77777777" w:rsidR="00B33BEC" w:rsidRDefault="00E453CD" w:rsidP="00B33BEC">
      <w:pPr>
        <w:pStyle w:val="EMEAHeadingLeaflet"/>
        <w:keepNext/>
        <w:numPr>
          <w:ilvl w:val="0"/>
          <w:numId w:val="123"/>
        </w:numPr>
        <w:tabs>
          <w:tab w:val="clear" w:pos="562"/>
          <w:tab w:val="left" w:pos="720"/>
        </w:tabs>
        <w:spacing w:beforeLines="0" w:before="0" w:afterLines="0" w:after="0"/>
        <w:rPr>
          <w:rFonts w:ascii="Times New Roman" w:hAnsi="Times New Roman"/>
          <w:b w:val="0"/>
          <w:lang w:val="nb-NO"/>
        </w:rPr>
      </w:pPr>
      <w:r>
        <w:rPr>
          <w:rFonts w:ascii="Times New Roman" w:hAnsi="Times New Roman"/>
          <w:b w:val="0"/>
          <w:lang w:val="nb-NO"/>
        </w:rPr>
        <w:t>den ferdigfylte sprøyten har falt på</w:t>
      </w:r>
      <w:r w:rsidRPr="00887835">
        <w:rPr>
          <w:rFonts w:ascii="Times New Roman" w:hAnsi="Times New Roman"/>
          <w:b w:val="0"/>
          <w:lang w:val="nb-NO"/>
        </w:rPr>
        <w:t xml:space="preserve"> gulvet eller </w:t>
      </w:r>
      <w:r>
        <w:rPr>
          <w:rFonts w:ascii="Times New Roman" w:hAnsi="Times New Roman"/>
          <w:b w:val="0"/>
          <w:lang w:val="nb-NO"/>
        </w:rPr>
        <w:t xml:space="preserve">har </w:t>
      </w:r>
      <w:r w:rsidRPr="00887835">
        <w:rPr>
          <w:rFonts w:ascii="Times New Roman" w:hAnsi="Times New Roman"/>
          <w:b w:val="0"/>
          <w:lang w:val="nb-NO"/>
        </w:rPr>
        <w:t>knust</w:t>
      </w:r>
    </w:p>
    <w:p w14:paraId="5DA09B75" w14:textId="77777777" w:rsidR="00B33BEC" w:rsidRDefault="00B33BEC" w:rsidP="00B33BEC">
      <w:pPr>
        <w:pStyle w:val="EMEANormal"/>
        <w:rPr>
          <w:szCs w:val="22"/>
          <w:lang w:val="nb-NO"/>
        </w:rPr>
      </w:pPr>
    </w:p>
    <w:p w14:paraId="7578D1C9" w14:textId="77777777" w:rsidR="00B33BEC" w:rsidRPr="003461C8" w:rsidRDefault="00E453CD" w:rsidP="00B33BEC">
      <w:pPr>
        <w:pStyle w:val="EMEANormal"/>
        <w:rPr>
          <w:lang w:val="nb-NO"/>
        </w:rPr>
      </w:pPr>
      <w:r w:rsidRPr="004B74D3">
        <w:rPr>
          <w:b/>
          <w:lang w:val="nb-NO"/>
        </w:rPr>
        <w:t>Ikke</w:t>
      </w:r>
      <w:r w:rsidRPr="00887835">
        <w:rPr>
          <w:b/>
          <w:lang w:val="nb-NO"/>
        </w:rPr>
        <w:t xml:space="preserve"> fjern </w:t>
      </w:r>
      <w:r w:rsidR="0003247B">
        <w:rPr>
          <w:b/>
          <w:lang w:val="nb-NO"/>
        </w:rPr>
        <w:t>kanylehetten</w:t>
      </w:r>
      <w:r w:rsidR="0003247B" w:rsidRPr="00887835">
        <w:rPr>
          <w:b/>
          <w:lang w:val="nb-NO"/>
        </w:rPr>
        <w:t xml:space="preserve"> </w:t>
      </w:r>
      <w:r w:rsidRPr="00887835">
        <w:rPr>
          <w:b/>
          <w:lang w:val="nb-NO"/>
        </w:rPr>
        <w:t>f</w:t>
      </w:r>
      <w:r w:rsidRPr="00887835">
        <w:rPr>
          <w:rFonts w:hint="eastAsia"/>
          <w:b/>
          <w:lang w:val="nb-NO"/>
        </w:rPr>
        <w:t>ø</w:t>
      </w:r>
      <w:r w:rsidRPr="00887835">
        <w:rPr>
          <w:b/>
          <w:lang w:val="nb-NO"/>
        </w:rPr>
        <w:t>r rett f</w:t>
      </w:r>
      <w:r w:rsidRPr="00887835">
        <w:rPr>
          <w:rFonts w:hint="eastAsia"/>
          <w:b/>
          <w:lang w:val="nb-NO"/>
        </w:rPr>
        <w:t>ø</w:t>
      </w:r>
      <w:r w:rsidRPr="00887835">
        <w:rPr>
          <w:b/>
          <w:lang w:val="nb-NO"/>
        </w:rPr>
        <w:t xml:space="preserve">r du skal sette en injeksjon. </w:t>
      </w:r>
      <w:r w:rsidRPr="0061743D">
        <w:rPr>
          <w:b/>
          <w:lang w:val="nb-NO"/>
        </w:rPr>
        <w:t>Oppbevares utilgjengelig for barn.</w:t>
      </w:r>
    </w:p>
    <w:p w14:paraId="3714F6A5" w14:textId="77777777" w:rsidR="00B33BEC" w:rsidRPr="0061743D" w:rsidRDefault="00B33BEC" w:rsidP="00B33BEC">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4644D4" w14:paraId="35F10163" w14:textId="77777777" w:rsidTr="00972FC0">
        <w:tc>
          <w:tcPr>
            <w:tcW w:w="9287" w:type="dxa"/>
            <w:gridSpan w:val="2"/>
            <w:tcBorders>
              <w:bottom w:val="single" w:sz="4" w:space="0" w:color="auto"/>
            </w:tcBorders>
          </w:tcPr>
          <w:p w14:paraId="3A46DDB3" w14:textId="77777777" w:rsidR="00B33BEC" w:rsidRPr="003461C8" w:rsidRDefault="00E453CD" w:rsidP="00972FC0">
            <w:pPr>
              <w:pStyle w:val="EMEAHeadingLeaflet"/>
              <w:spacing w:beforeLines="0" w:before="0" w:afterLines="0" w:after="0"/>
              <w:rPr>
                <w:rFonts w:ascii="Times New Roman" w:hAnsi="Times New Roman"/>
                <w:b w:val="0"/>
                <w:lang w:val="nb-NO"/>
              </w:rPr>
            </w:pPr>
            <w:r w:rsidRPr="00887835">
              <w:rPr>
                <w:rFonts w:ascii="Times New Roman" w:hAnsi="Times New Roman"/>
                <w:lang w:val="nb-NO"/>
              </w:rPr>
              <w:t>STEG 1</w:t>
            </w:r>
          </w:p>
          <w:p w14:paraId="4BB3F9FD" w14:textId="77777777" w:rsidR="00B33BEC" w:rsidRPr="003461C8" w:rsidRDefault="00B33BEC" w:rsidP="00972FC0">
            <w:pPr>
              <w:pStyle w:val="EMEANormal"/>
              <w:rPr>
                <w:lang w:val="nb-NO"/>
              </w:rPr>
            </w:pPr>
          </w:p>
          <w:p w14:paraId="528A3035" w14:textId="77777777" w:rsidR="00B33BEC" w:rsidRPr="00887835" w:rsidRDefault="00E453CD" w:rsidP="00972FC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Ta Humira ut av kjøleskapet.</w:t>
            </w:r>
          </w:p>
          <w:p w14:paraId="1A683E2B" w14:textId="77777777" w:rsidR="00B33BEC" w:rsidRPr="00887835" w:rsidRDefault="00B33BEC" w:rsidP="00972FC0">
            <w:pPr>
              <w:pStyle w:val="EMEANormal"/>
              <w:rPr>
                <w:lang w:val="nb-NO"/>
              </w:rPr>
            </w:pPr>
          </w:p>
          <w:p w14:paraId="2C25B417" w14:textId="77777777" w:rsidR="00B33BEC" w:rsidRPr="00887835" w:rsidRDefault="00E453CD" w:rsidP="00972FC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La Humira ligge ved romtemperatur </w:t>
            </w:r>
            <w:r>
              <w:rPr>
                <w:rFonts w:ascii="Times New Roman" w:hAnsi="Times New Roman"/>
                <w:b w:val="0"/>
                <w:lang w:val="nb-NO"/>
              </w:rPr>
              <w:t>i</w:t>
            </w:r>
            <w:r w:rsidRPr="00887835">
              <w:rPr>
                <w:rFonts w:ascii="Times New Roman" w:hAnsi="Times New Roman"/>
                <w:b w:val="0"/>
                <w:lang w:val="nb-NO"/>
              </w:rPr>
              <w:t xml:space="preserve"> </w:t>
            </w:r>
            <w:r>
              <w:rPr>
                <w:rFonts w:ascii="Times New Roman" w:hAnsi="Times New Roman"/>
                <w:lang w:val="nb-NO"/>
              </w:rPr>
              <w:t>15 til 30 minutter</w:t>
            </w:r>
            <w:r w:rsidRPr="00887835">
              <w:rPr>
                <w:rFonts w:ascii="Times New Roman" w:hAnsi="Times New Roman"/>
                <w:lang w:val="nb-NO"/>
              </w:rPr>
              <w:t xml:space="preserve"> </w:t>
            </w:r>
            <w:r>
              <w:rPr>
                <w:rFonts w:ascii="Times New Roman" w:hAnsi="Times New Roman"/>
                <w:b w:val="0"/>
                <w:lang w:val="nb-NO"/>
              </w:rPr>
              <w:t>før du setter injeksjonen</w:t>
            </w:r>
            <w:r w:rsidRPr="00887835">
              <w:rPr>
                <w:rFonts w:ascii="Times New Roman" w:hAnsi="Times New Roman"/>
                <w:b w:val="0"/>
                <w:lang w:val="nb-NO"/>
              </w:rPr>
              <w:t>.</w:t>
            </w:r>
          </w:p>
          <w:p w14:paraId="3D7AA03C" w14:textId="77777777" w:rsidR="00B33BEC" w:rsidRPr="00887835" w:rsidRDefault="00B33BEC" w:rsidP="00972FC0">
            <w:pPr>
              <w:pStyle w:val="EMEANormal"/>
              <w:rPr>
                <w:lang w:val="nb-NO"/>
              </w:rPr>
            </w:pPr>
          </w:p>
          <w:p w14:paraId="2461FB62" w14:textId="77777777" w:rsidR="00B33BEC" w:rsidRPr="00887835" w:rsidRDefault="00E453CD" w:rsidP="00972FC0">
            <w:pPr>
              <w:pStyle w:val="EMEAHeadingLeaflet"/>
              <w:numPr>
                <w:ilvl w:val="0"/>
                <w:numId w:val="114"/>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 xml:space="preserve">Ikke </w:t>
            </w:r>
            <w:r w:rsidRPr="00887835">
              <w:rPr>
                <w:rFonts w:ascii="Times New Roman" w:hAnsi="Times New Roman"/>
                <w:b w:val="0"/>
                <w:lang w:val="nb-NO"/>
              </w:rPr>
              <w:t xml:space="preserve">fjern </w:t>
            </w:r>
            <w:r w:rsidR="0003247B" w:rsidRPr="00103D14">
              <w:rPr>
                <w:rFonts w:ascii="Times New Roman" w:hAnsi="Times New Roman"/>
                <w:b w:val="0"/>
                <w:lang w:val="nb-NO"/>
              </w:rPr>
              <w:t>kanyle</w:t>
            </w:r>
            <w:r w:rsidR="0003247B">
              <w:rPr>
                <w:rFonts w:ascii="Times New Roman" w:hAnsi="Times New Roman"/>
                <w:b w:val="0"/>
                <w:lang w:val="nb-NO"/>
              </w:rPr>
              <w:t>hetten</w:t>
            </w:r>
            <w:r w:rsidR="0003247B" w:rsidRPr="00887835">
              <w:rPr>
                <w:rFonts w:ascii="Times New Roman" w:hAnsi="Times New Roman"/>
                <w:b w:val="0"/>
                <w:lang w:val="nb-NO"/>
              </w:rPr>
              <w:t xml:space="preserve"> </w:t>
            </w:r>
            <w:r w:rsidRPr="00887835">
              <w:rPr>
                <w:rFonts w:ascii="Times New Roman" w:hAnsi="Times New Roman"/>
                <w:b w:val="0"/>
                <w:lang w:val="nb-NO"/>
              </w:rPr>
              <w:t xml:space="preserve">mens du tillater Humira </w:t>
            </w:r>
            <w:r>
              <w:rPr>
                <w:rFonts w:ascii="Times New Roman" w:hAnsi="Times New Roman"/>
                <w:b w:val="0"/>
                <w:lang w:val="nb-NO"/>
              </w:rPr>
              <w:t xml:space="preserve">å oppnå </w:t>
            </w:r>
            <w:r w:rsidRPr="00887835">
              <w:rPr>
                <w:rFonts w:ascii="Times New Roman" w:hAnsi="Times New Roman"/>
                <w:b w:val="0"/>
                <w:lang w:val="nb-NO"/>
              </w:rPr>
              <w:t>romtemperatur</w:t>
            </w:r>
          </w:p>
          <w:p w14:paraId="5DF5B36B" w14:textId="77777777" w:rsidR="00B33BEC" w:rsidRPr="00887835" w:rsidRDefault="00E453CD" w:rsidP="00972FC0">
            <w:pPr>
              <w:pStyle w:val="EMEANormal"/>
              <w:numPr>
                <w:ilvl w:val="0"/>
                <w:numId w:val="114"/>
              </w:numPr>
              <w:tabs>
                <w:tab w:val="clear" w:pos="562"/>
                <w:tab w:val="left" w:pos="720"/>
              </w:tabs>
              <w:rPr>
                <w:lang w:val="nb-NO"/>
              </w:rPr>
            </w:pPr>
            <w:r w:rsidRPr="00887835">
              <w:rPr>
                <w:b/>
                <w:lang w:val="nb-NO"/>
              </w:rPr>
              <w:t xml:space="preserve">Ikke </w:t>
            </w:r>
            <w:r w:rsidRPr="00887835">
              <w:rPr>
                <w:lang w:val="nb-NO"/>
              </w:rPr>
              <w:t xml:space="preserve">varm opp Humira på noen annen måte. </w:t>
            </w:r>
            <w:r>
              <w:rPr>
                <w:lang w:val="nb-NO"/>
              </w:rPr>
              <w:t>F.eks.</w:t>
            </w:r>
            <w:r w:rsidRPr="00887835">
              <w:rPr>
                <w:lang w:val="nb-NO"/>
              </w:rPr>
              <w:t xml:space="preserve"> </w:t>
            </w:r>
            <w:r w:rsidRPr="00887835">
              <w:rPr>
                <w:b/>
                <w:lang w:val="nb-NO"/>
              </w:rPr>
              <w:t>ikke</w:t>
            </w:r>
            <w:r w:rsidRPr="00887835">
              <w:rPr>
                <w:lang w:val="nb-NO"/>
              </w:rPr>
              <w:t xml:space="preserve"> varm den opp i en mikrobølgeovn </w:t>
            </w:r>
            <w:r>
              <w:rPr>
                <w:lang w:val="nb-NO"/>
              </w:rPr>
              <w:t>eller i varmt vann</w:t>
            </w:r>
          </w:p>
        </w:tc>
      </w:tr>
      <w:tr w:rsidR="004644D4" w14:paraId="0C135C73" w14:textId="77777777" w:rsidTr="00972FC0">
        <w:tc>
          <w:tcPr>
            <w:tcW w:w="3708" w:type="dxa"/>
            <w:tcBorders>
              <w:right w:val="nil"/>
            </w:tcBorders>
          </w:tcPr>
          <w:p w14:paraId="79CF13EB" w14:textId="77777777" w:rsidR="00B33BEC" w:rsidRPr="003461C8" w:rsidRDefault="00E453CD" w:rsidP="001C4BD6">
            <w:pPr>
              <w:pStyle w:val="EMEANormal"/>
              <w:rPr>
                <w:noProof/>
              </w:rPr>
            </w:pPr>
            <w:r w:rsidRPr="00452439">
              <w:rPr>
                <w:lang w:val="nb-NO"/>
              </w:rPr>
              <w:br w:type="page"/>
            </w:r>
            <w:r>
              <w:rPr>
                <w:b/>
                <w:noProof/>
              </w:rPr>
              <w:t>STEG</w:t>
            </w:r>
            <w:r w:rsidR="003461C8">
              <w:rPr>
                <w:b/>
                <w:noProof/>
              </w:rPr>
              <w:t xml:space="preserve"> 2</w:t>
            </w:r>
          </w:p>
          <w:p w14:paraId="183C2039" w14:textId="77777777" w:rsidR="00B33BEC" w:rsidRPr="003461C8" w:rsidRDefault="00B33BEC" w:rsidP="001C4BD6">
            <w:pPr>
              <w:pStyle w:val="EMEANormal"/>
              <w:rPr>
                <w:noProof/>
              </w:rPr>
            </w:pPr>
          </w:p>
          <w:p w14:paraId="55ACFC4E" w14:textId="77777777" w:rsidR="00B33BEC" w:rsidRPr="00EA39A4" w:rsidRDefault="00E453CD" w:rsidP="001C4BD6">
            <w:pPr>
              <w:pStyle w:val="EMEANormal"/>
              <w:rPr>
                <w:b/>
                <w:noProof/>
              </w:rPr>
            </w:pPr>
            <w:r>
              <w:rPr>
                <w:noProof/>
              </w:rPr>
              <w:t xml:space="preserve">               </w:t>
            </w:r>
            <w:r>
              <w:rPr>
                <w:b/>
                <w:noProof/>
              </w:rPr>
              <w:t>Sprøyte</w:t>
            </w:r>
          </w:p>
          <w:p w14:paraId="68580EC1" w14:textId="77777777" w:rsidR="00B33BEC" w:rsidRDefault="00B33BEC" w:rsidP="001C4BD6">
            <w:pPr>
              <w:pStyle w:val="EMEANormal"/>
              <w:rPr>
                <w:noProof/>
              </w:rPr>
            </w:pPr>
          </w:p>
          <w:p w14:paraId="153AFAD3" w14:textId="77777777" w:rsidR="00DA46F2" w:rsidRDefault="00E453CD" w:rsidP="001C4BD6">
            <w:pPr>
              <w:pStyle w:val="EMEANormal"/>
              <w:rPr>
                <w:noProof/>
              </w:rPr>
            </w:pPr>
            <w:r>
              <w:rPr>
                <w:noProof/>
                <w:lang w:val="en-GB" w:eastAsia="en-GB"/>
              </w:rPr>
              <w:drawing>
                <wp:inline distT="0" distB="0" distL="0" distR="0" wp14:anchorId="076DA340" wp14:editId="141C82DA">
                  <wp:extent cx="2139696" cy="1980383"/>
                  <wp:effectExtent l="0" t="0" r="0" b="127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TEP_2_SYRINGE_IFU_SETUP_new grey.jpg"/>
                          <pic:cNvPicPr/>
                        </pic:nvPicPr>
                        <pic:blipFill>
                          <a:blip r:embed="rId29">
                            <a:extLst>
                              <a:ext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p>
          <w:p w14:paraId="12B53C09" w14:textId="77777777" w:rsidR="00B33BEC" w:rsidRPr="00EA39A4" w:rsidRDefault="00E453CD" w:rsidP="001C4BD6">
            <w:pPr>
              <w:pStyle w:val="EMEANormal"/>
              <w:rPr>
                <w:b/>
                <w:lang w:val="en-GB"/>
              </w:rPr>
            </w:pPr>
            <w:r w:rsidRPr="00EA39A4">
              <w:rPr>
                <w:b/>
                <w:noProof/>
              </w:rPr>
              <w:t xml:space="preserve">                </w:t>
            </w:r>
            <w:r>
              <w:rPr>
                <w:b/>
                <w:noProof/>
              </w:rPr>
              <w:t>Injeksjonstørk</w:t>
            </w:r>
          </w:p>
        </w:tc>
        <w:tc>
          <w:tcPr>
            <w:tcW w:w="5579" w:type="dxa"/>
            <w:tcBorders>
              <w:left w:val="nil"/>
            </w:tcBorders>
          </w:tcPr>
          <w:p w14:paraId="4DCCCE68" w14:textId="77777777" w:rsidR="00B33BEC" w:rsidRPr="00887835" w:rsidRDefault="00E453CD" w:rsidP="001C4BD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Sjekk utløpsdatoen (EXP). </w:t>
            </w:r>
            <w:r w:rsidRPr="00887835">
              <w:rPr>
                <w:rFonts w:ascii="Times New Roman" w:hAnsi="Times New Roman"/>
                <w:lang w:val="nb-NO"/>
              </w:rPr>
              <w:t>Ikke</w:t>
            </w:r>
            <w:r w:rsidRPr="00887835">
              <w:rPr>
                <w:rFonts w:ascii="Times New Roman" w:hAnsi="Times New Roman"/>
                <w:b w:val="0"/>
                <w:lang w:val="nb-NO"/>
              </w:rPr>
              <w:t xml:space="preserve"> bruk den ferdigfylte </w:t>
            </w:r>
            <w:r>
              <w:rPr>
                <w:rFonts w:ascii="Times New Roman" w:hAnsi="Times New Roman"/>
                <w:b w:val="0"/>
                <w:lang w:val="nb-NO"/>
              </w:rPr>
              <w:t>sprøyten</w:t>
            </w:r>
            <w:r w:rsidRPr="00887835">
              <w:rPr>
                <w:rFonts w:ascii="Times New Roman" w:hAnsi="Times New Roman"/>
                <w:b w:val="0"/>
                <w:lang w:val="nb-NO"/>
              </w:rPr>
              <w:t xml:space="preserve"> dersom utløpsdatoen (EXP) </w:t>
            </w:r>
            <w:r>
              <w:rPr>
                <w:rFonts w:ascii="Times New Roman" w:hAnsi="Times New Roman"/>
                <w:b w:val="0"/>
                <w:lang w:val="nb-NO"/>
              </w:rPr>
              <w:t>har</w:t>
            </w:r>
            <w:r w:rsidRPr="00887835">
              <w:rPr>
                <w:rFonts w:ascii="Times New Roman" w:hAnsi="Times New Roman"/>
                <w:b w:val="0"/>
                <w:lang w:val="nb-NO"/>
              </w:rPr>
              <w:t xml:space="preserve"> passe</w:t>
            </w:r>
            <w:r>
              <w:rPr>
                <w:rFonts w:ascii="Times New Roman" w:hAnsi="Times New Roman"/>
                <w:b w:val="0"/>
                <w:lang w:val="nb-NO"/>
              </w:rPr>
              <w:t>rt</w:t>
            </w:r>
            <w:r w:rsidRPr="00887835">
              <w:rPr>
                <w:rFonts w:ascii="Times New Roman" w:hAnsi="Times New Roman"/>
                <w:b w:val="0"/>
                <w:lang w:val="nb-NO"/>
              </w:rPr>
              <w:t>.</w:t>
            </w:r>
          </w:p>
          <w:p w14:paraId="45173AE8" w14:textId="77777777" w:rsidR="00B33BEC" w:rsidRPr="00887835" w:rsidRDefault="00B33BEC" w:rsidP="001C4BD6">
            <w:pPr>
              <w:pStyle w:val="EMEANormal"/>
              <w:rPr>
                <w:lang w:val="nb-NO"/>
              </w:rPr>
            </w:pPr>
          </w:p>
          <w:p w14:paraId="273BA8EE" w14:textId="77777777" w:rsidR="00B33BEC" w:rsidRPr="00887835" w:rsidRDefault="00E453CD" w:rsidP="001C4BD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Legg følgende </w:t>
            </w:r>
            <w:r>
              <w:rPr>
                <w:rFonts w:ascii="Times New Roman" w:hAnsi="Times New Roman"/>
                <w:b w:val="0"/>
                <w:lang w:val="nb-NO"/>
              </w:rPr>
              <w:t xml:space="preserve">deler </w:t>
            </w:r>
            <w:r w:rsidRPr="00887835">
              <w:rPr>
                <w:rFonts w:ascii="Times New Roman" w:hAnsi="Times New Roman"/>
                <w:b w:val="0"/>
                <w:lang w:val="nb-NO"/>
              </w:rPr>
              <w:t xml:space="preserve">på en ren, flat </w:t>
            </w:r>
            <w:r>
              <w:rPr>
                <w:rFonts w:ascii="Times New Roman" w:hAnsi="Times New Roman"/>
                <w:b w:val="0"/>
                <w:lang w:val="nb-NO"/>
              </w:rPr>
              <w:t>overflate</w:t>
            </w:r>
          </w:p>
          <w:p w14:paraId="36CC735A" w14:textId="77777777" w:rsidR="00B33BEC" w:rsidRPr="00887835" w:rsidRDefault="00B33BEC" w:rsidP="001C4BD6">
            <w:pPr>
              <w:pStyle w:val="EMEANormal"/>
              <w:rPr>
                <w:lang w:val="nb-NO"/>
              </w:rPr>
            </w:pPr>
          </w:p>
          <w:p w14:paraId="5C7202B5" w14:textId="77777777" w:rsidR="00B33BEC" w:rsidRPr="00A15CB1" w:rsidRDefault="00E453CD" w:rsidP="001C4BD6">
            <w:pPr>
              <w:pStyle w:val="EMEAHeadingLeaflet"/>
              <w:numPr>
                <w:ilvl w:val="0"/>
                <w:numId w:val="115"/>
              </w:numPr>
              <w:tabs>
                <w:tab w:val="clear" w:pos="562"/>
                <w:tab w:val="left" w:pos="757"/>
              </w:tabs>
              <w:spacing w:beforeLines="0" w:before="0" w:afterLines="0" w:after="0"/>
              <w:ind w:left="757"/>
              <w:rPr>
                <w:rFonts w:ascii="Times New Roman" w:hAnsi="Times New Roman"/>
                <w:b w:val="0"/>
                <w:lang w:val="nb-NO"/>
              </w:rPr>
            </w:pPr>
            <w:r w:rsidRPr="00A15CB1">
              <w:rPr>
                <w:rFonts w:ascii="Times New Roman" w:hAnsi="Times New Roman"/>
                <w:b w:val="0"/>
                <w:lang w:val="nb-NO"/>
              </w:rPr>
              <w:t xml:space="preserve">1 ferdigfylt sprøyte for engangsbruk og </w:t>
            </w:r>
          </w:p>
          <w:p w14:paraId="1CDED0BE" w14:textId="77777777" w:rsidR="00B33BEC" w:rsidRPr="005D17EB" w:rsidRDefault="00E453CD" w:rsidP="001C4BD6">
            <w:pPr>
              <w:pStyle w:val="EMEAHeadingLeaflet"/>
              <w:numPr>
                <w:ilvl w:val="0"/>
                <w:numId w:val="115"/>
              </w:numPr>
              <w:tabs>
                <w:tab w:val="clear" w:pos="562"/>
                <w:tab w:val="left" w:pos="757"/>
              </w:tabs>
              <w:spacing w:beforeLines="0" w:before="0" w:afterLines="0" w:after="0"/>
              <w:ind w:left="757"/>
              <w:rPr>
                <w:rFonts w:ascii="Times New Roman" w:hAnsi="Times New Roman"/>
                <w:b w:val="0"/>
                <w:lang w:val="en-GB"/>
              </w:rPr>
            </w:pPr>
            <w:r w:rsidRPr="005D17EB">
              <w:rPr>
                <w:rFonts w:ascii="Times New Roman" w:hAnsi="Times New Roman"/>
                <w:b w:val="0"/>
                <w:lang w:val="en-GB"/>
              </w:rPr>
              <w:t xml:space="preserve">1 </w:t>
            </w:r>
            <w:r>
              <w:rPr>
                <w:rFonts w:ascii="Times New Roman" w:hAnsi="Times New Roman"/>
                <w:b w:val="0"/>
                <w:lang w:val="en-GB"/>
              </w:rPr>
              <w:t>injeksjonstørk</w:t>
            </w:r>
          </w:p>
          <w:p w14:paraId="2AFACD96" w14:textId="77777777" w:rsidR="00B33BEC" w:rsidRDefault="00B33BEC" w:rsidP="001C4BD6">
            <w:pPr>
              <w:pStyle w:val="EMEANormal"/>
              <w:rPr>
                <w:lang w:val="en-GB"/>
              </w:rPr>
            </w:pPr>
          </w:p>
          <w:p w14:paraId="72ADAEAF" w14:textId="77777777" w:rsidR="00B33BEC" w:rsidRPr="00887835" w:rsidRDefault="00E453CD" w:rsidP="001C4BD6">
            <w:pPr>
              <w:pStyle w:val="EMEANormal"/>
              <w:rPr>
                <w:lang w:val="nb-NO"/>
              </w:rPr>
            </w:pPr>
            <w:r w:rsidRPr="00887835">
              <w:rPr>
                <w:lang w:val="nb-NO"/>
              </w:rPr>
              <w:t>Vask og tørk hendene dine.</w:t>
            </w:r>
          </w:p>
        </w:tc>
      </w:tr>
      <w:tr w:rsidR="004644D4" w14:paraId="1763AA7C" w14:textId="77777777" w:rsidTr="00972FC0">
        <w:tc>
          <w:tcPr>
            <w:tcW w:w="3708" w:type="dxa"/>
            <w:tcBorders>
              <w:right w:val="nil"/>
            </w:tcBorders>
          </w:tcPr>
          <w:p w14:paraId="5DCE5868" w14:textId="77777777" w:rsidR="00B33BEC" w:rsidRPr="003461C8" w:rsidRDefault="00E453CD" w:rsidP="00972FC0">
            <w:pPr>
              <w:pStyle w:val="EMEANormal"/>
              <w:keepNext/>
              <w:rPr>
                <w:noProof/>
              </w:rPr>
            </w:pPr>
            <w:r>
              <w:rPr>
                <w:b/>
                <w:noProof/>
              </w:rPr>
              <w:lastRenderedPageBreak/>
              <w:t>STEG 3</w:t>
            </w:r>
          </w:p>
          <w:p w14:paraId="50226333" w14:textId="77777777" w:rsidR="00B33BEC" w:rsidRPr="003461C8" w:rsidRDefault="00B33BEC" w:rsidP="00972FC0">
            <w:pPr>
              <w:pStyle w:val="EMEANormal"/>
              <w:keepNext/>
              <w:rPr>
                <w:noProof/>
              </w:rPr>
            </w:pPr>
          </w:p>
          <w:p w14:paraId="52447810" w14:textId="77777777" w:rsidR="00B33BEC" w:rsidRPr="00EA39A4" w:rsidRDefault="00E453CD" w:rsidP="00972FC0">
            <w:pPr>
              <w:pStyle w:val="EMEANormal"/>
              <w:keepNext/>
              <w:rPr>
                <w:b/>
                <w:noProof/>
              </w:rPr>
            </w:pPr>
            <w:r>
              <w:rPr>
                <w:b/>
                <w:noProof/>
              </w:rPr>
              <w:t>Injeksjonsområder</w:t>
            </w:r>
          </w:p>
          <w:p w14:paraId="27BEE42B" w14:textId="77777777" w:rsidR="00B33BEC" w:rsidRDefault="00E453CD" w:rsidP="00972FC0">
            <w:pPr>
              <w:pStyle w:val="EMEANormal"/>
              <w:keepNext/>
              <w:rPr>
                <w:noProof/>
              </w:rPr>
            </w:pPr>
            <w:r>
              <w:rPr>
                <w:noProof/>
                <w:lang w:val="en-GB" w:eastAsia="en-GB"/>
              </w:rPr>
              <w:drawing>
                <wp:inline distT="0" distB="0" distL="0" distR="0" wp14:anchorId="24D4AC4E" wp14:editId="0DE2EE47">
                  <wp:extent cx="2276475" cy="2381250"/>
                  <wp:effectExtent l="0" t="0" r="9525" b="0"/>
                  <wp:docPr id="123" name="Picture 12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9" descr="STEP3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6143FDBE" w14:textId="77777777" w:rsidR="00B33BEC" w:rsidRPr="00EA39A4" w:rsidRDefault="00E453CD" w:rsidP="00972FC0">
            <w:pPr>
              <w:pStyle w:val="EMEANormal"/>
              <w:keepNext/>
              <w:rPr>
                <w:b/>
                <w:lang w:val="en-GB"/>
              </w:rPr>
            </w:pPr>
            <w:r>
              <w:rPr>
                <w:noProof/>
              </w:rPr>
              <w:t xml:space="preserve">     </w:t>
            </w:r>
            <w:r w:rsidRPr="00EA39A4">
              <w:rPr>
                <w:b/>
                <w:noProof/>
              </w:rPr>
              <w:t>I</w:t>
            </w:r>
            <w:r>
              <w:rPr>
                <w:b/>
                <w:noProof/>
              </w:rPr>
              <w:t>njeksjonsområder</w:t>
            </w:r>
          </w:p>
        </w:tc>
        <w:tc>
          <w:tcPr>
            <w:tcW w:w="5579" w:type="dxa"/>
            <w:tcBorders>
              <w:left w:val="nil"/>
            </w:tcBorders>
          </w:tcPr>
          <w:p w14:paraId="086A3DBD" w14:textId="77777777" w:rsidR="00B33BEC" w:rsidRDefault="00E453CD" w:rsidP="00972FC0">
            <w:pPr>
              <w:pStyle w:val="EMEAHeadingLeaflet"/>
              <w:keepNext/>
              <w:spacing w:beforeLines="0" w:before="0" w:afterLines="0" w:after="0"/>
              <w:rPr>
                <w:rFonts w:ascii="Times New Roman" w:hAnsi="Times New Roman"/>
                <w:b w:val="0"/>
                <w:lang w:val="en-GB"/>
              </w:rPr>
            </w:pPr>
            <w:r>
              <w:rPr>
                <w:rFonts w:ascii="Times New Roman" w:hAnsi="Times New Roman"/>
                <w:b w:val="0"/>
                <w:lang w:val="en-GB"/>
              </w:rPr>
              <w:t>Velg et injeksjonssted:</w:t>
            </w:r>
          </w:p>
          <w:p w14:paraId="6ECF3BB9" w14:textId="77777777" w:rsidR="00B33BEC" w:rsidRPr="00E027BB" w:rsidRDefault="00B33BEC" w:rsidP="00972FC0">
            <w:pPr>
              <w:pStyle w:val="EMEANormal"/>
              <w:keepNext/>
              <w:rPr>
                <w:lang w:val="en-GB"/>
              </w:rPr>
            </w:pPr>
          </w:p>
          <w:p w14:paraId="1F330DAA" w14:textId="77777777" w:rsidR="00B33BEC" w:rsidRPr="00887835" w:rsidRDefault="00E453CD" w:rsidP="00972FC0">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På framsiden av lårene dine eller</w:t>
            </w:r>
          </w:p>
          <w:p w14:paraId="049FE424" w14:textId="77777777" w:rsidR="00B33BEC" w:rsidRPr="00887835" w:rsidRDefault="00E453CD" w:rsidP="00972FC0">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Magen din, minst 5 cm fra navlen din</w:t>
            </w:r>
          </w:p>
          <w:p w14:paraId="04FFE118" w14:textId="77777777" w:rsidR="00B33BEC" w:rsidRPr="00887835" w:rsidRDefault="00E453CD" w:rsidP="00972FC0">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Minst 3 cm fra ditt forrige injeksjonssted</w:t>
            </w:r>
          </w:p>
          <w:p w14:paraId="676B090B" w14:textId="77777777" w:rsidR="00B33BEC" w:rsidRPr="00887835" w:rsidRDefault="00B33BEC" w:rsidP="00972FC0">
            <w:pPr>
              <w:pStyle w:val="EMEANormal"/>
              <w:keepNext/>
              <w:rPr>
                <w:lang w:val="nb-NO"/>
              </w:rPr>
            </w:pPr>
          </w:p>
          <w:p w14:paraId="1046D519" w14:textId="77777777" w:rsidR="00B33BEC" w:rsidRPr="00887835" w:rsidRDefault="00E453CD" w:rsidP="00972FC0">
            <w:pPr>
              <w:pStyle w:val="EMEAHeadingLeaflet"/>
              <w:keepNext/>
              <w:spacing w:beforeLines="0" w:before="0" w:afterLines="0" w:after="0"/>
              <w:rPr>
                <w:rFonts w:ascii="Times New Roman" w:hAnsi="Times New Roman"/>
                <w:b w:val="0"/>
                <w:lang w:val="nb-NO"/>
              </w:rPr>
            </w:pPr>
            <w:r w:rsidRPr="00A726B6">
              <w:rPr>
                <w:rFonts w:ascii="Times New Roman" w:hAnsi="Times New Roman"/>
                <w:b w:val="0"/>
                <w:lang w:val="nb-NO"/>
              </w:rPr>
              <w:t>Bruk det vedlagte injeksjonstørket og tørk injeksjonsstedet med ringbevegelser</w:t>
            </w:r>
            <w:r w:rsidRPr="00887835">
              <w:rPr>
                <w:rFonts w:ascii="Times New Roman" w:hAnsi="Times New Roman"/>
                <w:b w:val="0"/>
                <w:lang w:val="nb-NO"/>
              </w:rPr>
              <w:t>.</w:t>
            </w:r>
          </w:p>
          <w:p w14:paraId="0869DB5B" w14:textId="77777777" w:rsidR="00B33BEC" w:rsidRPr="00887835" w:rsidRDefault="00B33BEC" w:rsidP="00972FC0">
            <w:pPr>
              <w:pStyle w:val="EMEANormal"/>
              <w:keepNext/>
              <w:rPr>
                <w:lang w:val="nb-NO"/>
              </w:rPr>
            </w:pPr>
          </w:p>
          <w:p w14:paraId="6010D92B" w14:textId="77777777" w:rsidR="00B33BEC" w:rsidRPr="00887835" w:rsidRDefault="00E453CD" w:rsidP="00972FC0">
            <w:pPr>
              <w:pStyle w:val="EMEAHeadingLeaflet"/>
              <w:keepNext/>
              <w:numPr>
                <w:ilvl w:val="0"/>
                <w:numId w:val="117"/>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sett en injeksjon gjennom klær</w:t>
            </w:r>
          </w:p>
          <w:p w14:paraId="01683FC9" w14:textId="77777777" w:rsidR="00B33BEC" w:rsidRPr="00887835" w:rsidRDefault="00E453CD" w:rsidP="00972FC0">
            <w:pPr>
              <w:pStyle w:val="EMEANormal"/>
              <w:keepNext/>
              <w:numPr>
                <w:ilvl w:val="0"/>
                <w:numId w:val="117"/>
              </w:numPr>
              <w:tabs>
                <w:tab w:val="clear" w:pos="562"/>
                <w:tab w:val="left" w:pos="757"/>
              </w:tabs>
              <w:ind w:left="757"/>
              <w:rPr>
                <w:lang w:val="nb-NO"/>
              </w:rPr>
            </w:pPr>
            <w:r w:rsidRPr="00887835">
              <w:rPr>
                <w:b/>
                <w:lang w:val="nb-NO"/>
              </w:rPr>
              <w:t xml:space="preserve">Ikke </w:t>
            </w:r>
            <w:r w:rsidRPr="00887835">
              <w:rPr>
                <w:lang w:val="nb-NO"/>
              </w:rPr>
              <w:t xml:space="preserve">sett en injeksjon i hud som </w:t>
            </w:r>
            <w:r>
              <w:rPr>
                <w:lang w:val="nb-NO"/>
              </w:rPr>
              <w:t>e</w:t>
            </w:r>
            <w:r w:rsidRPr="00887835">
              <w:rPr>
                <w:lang w:val="nb-NO"/>
              </w:rPr>
              <w:t>r</w:t>
            </w:r>
            <w:r>
              <w:rPr>
                <w:lang w:val="nb-NO"/>
              </w:rPr>
              <w:t xml:space="preserve"> sår,</w:t>
            </w:r>
            <w:r w:rsidRPr="00887835">
              <w:rPr>
                <w:lang w:val="nb-NO"/>
              </w:rPr>
              <w:t xml:space="preserve"> </w:t>
            </w:r>
            <w:r>
              <w:rPr>
                <w:lang w:val="nb-NO"/>
              </w:rPr>
              <w:t>rødlig, hard, har blåmerker, arr, strekkmerker eller områder med plakkpsoriasis</w:t>
            </w:r>
          </w:p>
        </w:tc>
      </w:tr>
      <w:tr w:rsidR="004644D4" w14:paraId="4A7388A0" w14:textId="77777777" w:rsidTr="00972FC0">
        <w:tc>
          <w:tcPr>
            <w:tcW w:w="3708" w:type="dxa"/>
            <w:tcBorders>
              <w:right w:val="nil"/>
            </w:tcBorders>
          </w:tcPr>
          <w:p w14:paraId="65900DD2" w14:textId="77777777" w:rsidR="00B33BEC" w:rsidRPr="003461C8" w:rsidRDefault="00E453CD" w:rsidP="00972FC0">
            <w:pPr>
              <w:pStyle w:val="EMEANormal"/>
              <w:rPr>
                <w:noProof/>
              </w:rPr>
            </w:pPr>
            <w:r>
              <w:rPr>
                <w:b/>
                <w:noProof/>
              </w:rPr>
              <w:t>STEG</w:t>
            </w:r>
            <w:r w:rsidRPr="00C2309F">
              <w:rPr>
                <w:b/>
                <w:noProof/>
              </w:rPr>
              <w:t xml:space="preserve"> 4</w:t>
            </w:r>
          </w:p>
          <w:p w14:paraId="626F0E29" w14:textId="77777777" w:rsidR="00B33BEC" w:rsidRPr="003461C8" w:rsidRDefault="00B33BEC" w:rsidP="00972FC0">
            <w:pPr>
              <w:pStyle w:val="EMEANormal"/>
              <w:rPr>
                <w:lang w:val="en-GB"/>
              </w:rPr>
            </w:pPr>
          </w:p>
          <w:p w14:paraId="597F2D62" w14:textId="77777777" w:rsidR="00DA46F2" w:rsidRPr="005D17EB" w:rsidRDefault="00E453CD" w:rsidP="00972FC0">
            <w:pPr>
              <w:pStyle w:val="EMEANormal"/>
              <w:rPr>
                <w:lang w:val="en-GB"/>
              </w:rPr>
            </w:pPr>
            <w:r>
              <w:rPr>
                <w:b/>
                <w:noProof/>
                <w:lang w:val="en-GB" w:eastAsia="en-GB"/>
              </w:rPr>
              <w:drawing>
                <wp:inline distT="0" distB="0" distL="0" distR="0" wp14:anchorId="55DBC746" wp14:editId="6B78AC15">
                  <wp:extent cx="2011855" cy="1563624"/>
                  <wp:effectExtent l="0" t="0" r="762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TEP_4_SYRINGE_IFU_UNCAP_new grey.jpg"/>
                          <pic:cNvPicPr/>
                        </pic:nvPicPr>
                        <pic:blipFill>
                          <a:blip r:embed="rId31">
                            <a:extLst>
                              <a:ext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tc>
        <w:tc>
          <w:tcPr>
            <w:tcW w:w="5579" w:type="dxa"/>
            <w:tcBorders>
              <w:left w:val="nil"/>
            </w:tcBorders>
          </w:tcPr>
          <w:p w14:paraId="7EFCF76B" w14:textId="77777777" w:rsidR="00B33BEC" w:rsidRDefault="00E453CD" w:rsidP="00972FC0">
            <w:pPr>
              <w:pStyle w:val="EMEAHeadingLeaflet"/>
              <w:keepNext/>
              <w:spacing w:beforeLines="0" w:before="0" w:afterLines="0" w:after="0"/>
              <w:rPr>
                <w:lang w:val="nb-NO"/>
              </w:rPr>
            </w:pPr>
            <w:r w:rsidRPr="00887835">
              <w:rPr>
                <w:rFonts w:ascii="Times New Roman" w:hAnsi="Times New Roman"/>
                <w:b w:val="0"/>
                <w:lang w:val="nb-NO"/>
              </w:rPr>
              <w:t xml:space="preserve">Hold den ferdigfylte </w:t>
            </w:r>
            <w:r>
              <w:rPr>
                <w:rFonts w:ascii="Times New Roman" w:hAnsi="Times New Roman"/>
                <w:b w:val="0"/>
                <w:lang w:val="nb-NO"/>
              </w:rPr>
              <w:t>sprøyten i en hånd.</w:t>
            </w:r>
          </w:p>
          <w:p w14:paraId="49ACB683" w14:textId="77777777" w:rsidR="00B33BEC" w:rsidRPr="00103D14" w:rsidRDefault="00B33BEC" w:rsidP="00972FC0">
            <w:pPr>
              <w:pStyle w:val="EMEANormal"/>
              <w:rPr>
                <w:lang w:val="nb-NO"/>
              </w:rPr>
            </w:pPr>
          </w:p>
          <w:p w14:paraId="01E29623" w14:textId="77777777" w:rsidR="00B33BEC" w:rsidRPr="00A15CB1" w:rsidRDefault="00E453CD" w:rsidP="00972FC0">
            <w:pPr>
              <w:pStyle w:val="EMEAHeadingLeaflet"/>
              <w:keepNext/>
              <w:spacing w:beforeLines="0" w:before="0" w:afterLines="0" w:after="0"/>
              <w:rPr>
                <w:rFonts w:ascii="Times New Roman" w:hAnsi="Times New Roman"/>
                <w:b w:val="0"/>
                <w:lang w:val="nb-NO"/>
              </w:rPr>
            </w:pPr>
            <w:r w:rsidRPr="00A15CB1">
              <w:rPr>
                <w:rFonts w:ascii="Times New Roman" w:hAnsi="Times New Roman"/>
                <w:b w:val="0"/>
                <w:lang w:val="nb-NO"/>
              </w:rPr>
              <w:t>Sjekk oppløsningen i den ferdigfylte sprøyten.</w:t>
            </w:r>
          </w:p>
          <w:p w14:paraId="6CA66852" w14:textId="77777777" w:rsidR="00B33BEC" w:rsidRPr="00A15CB1" w:rsidRDefault="00B33BEC" w:rsidP="00972FC0">
            <w:pPr>
              <w:pStyle w:val="EMEANormal"/>
              <w:rPr>
                <w:lang w:val="nb-NO"/>
              </w:rPr>
            </w:pPr>
          </w:p>
          <w:p w14:paraId="46FD070E" w14:textId="77777777" w:rsidR="00B33BEC" w:rsidRPr="00887835" w:rsidRDefault="00E453CD" w:rsidP="00972FC0">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Pass på at oppløsningen er klar og fargeløs</w:t>
            </w:r>
          </w:p>
          <w:p w14:paraId="740478D4" w14:textId="77777777" w:rsidR="00B33BEC" w:rsidRPr="00887835" w:rsidRDefault="00E453CD" w:rsidP="00972FC0">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bruk den ferdigfylte </w:t>
            </w:r>
            <w:r>
              <w:rPr>
                <w:rFonts w:ascii="Times New Roman" w:hAnsi="Times New Roman"/>
                <w:b w:val="0"/>
                <w:lang w:val="nb-NO"/>
              </w:rPr>
              <w:t>sprøyten</w:t>
            </w:r>
            <w:r w:rsidRPr="00887835">
              <w:rPr>
                <w:rFonts w:ascii="Times New Roman" w:hAnsi="Times New Roman"/>
                <w:b w:val="0"/>
                <w:lang w:val="nb-NO"/>
              </w:rPr>
              <w:t xml:space="preserve"> dersom oppløsningen er uklar eller har partikler i seg</w:t>
            </w:r>
          </w:p>
          <w:p w14:paraId="6A9C4790" w14:textId="77777777" w:rsidR="00B33BEC" w:rsidRDefault="00E453CD" w:rsidP="00972FC0">
            <w:pPr>
              <w:pStyle w:val="EMEANormal"/>
              <w:numPr>
                <w:ilvl w:val="0"/>
                <w:numId w:val="118"/>
              </w:numPr>
              <w:tabs>
                <w:tab w:val="clear" w:pos="562"/>
                <w:tab w:val="left" w:pos="757"/>
              </w:tabs>
              <w:ind w:left="757"/>
              <w:rPr>
                <w:lang w:val="nb-NO"/>
              </w:rPr>
            </w:pPr>
            <w:r w:rsidRPr="00887835">
              <w:rPr>
                <w:b/>
                <w:lang w:val="nb-NO"/>
              </w:rPr>
              <w:t xml:space="preserve">Ikke </w:t>
            </w:r>
            <w:r w:rsidRPr="00887835">
              <w:rPr>
                <w:lang w:val="nb-NO"/>
              </w:rPr>
              <w:t xml:space="preserve">bruk den ferdigfylte </w:t>
            </w:r>
            <w:r>
              <w:rPr>
                <w:lang w:val="nb-NO"/>
              </w:rPr>
              <w:t>sprøyten</w:t>
            </w:r>
            <w:r w:rsidRPr="00887835">
              <w:rPr>
                <w:lang w:val="nb-NO"/>
              </w:rPr>
              <w:t xml:space="preserve"> dersom </w:t>
            </w:r>
            <w:r>
              <w:rPr>
                <w:lang w:val="nb-NO"/>
              </w:rPr>
              <w:t>den har falt i gulvet eller har knust</w:t>
            </w:r>
          </w:p>
          <w:p w14:paraId="0872448B" w14:textId="77777777" w:rsidR="00B33BEC" w:rsidRDefault="00B33BEC" w:rsidP="00972FC0">
            <w:pPr>
              <w:pStyle w:val="EMEANormal"/>
              <w:tabs>
                <w:tab w:val="clear" w:pos="562"/>
                <w:tab w:val="left" w:pos="757"/>
              </w:tabs>
              <w:ind w:left="757"/>
              <w:rPr>
                <w:lang w:val="nb-NO"/>
              </w:rPr>
            </w:pPr>
          </w:p>
          <w:p w14:paraId="22BC4B2F" w14:textId="77777777" w:rsidR="00B33BEC" w:rsidRDefault="00E453CD" w:rsidP="00972FC0">
            <w:pPr>
              <w:pStyle w:val="EMEANormal"/>
              <w:tabs>
                <w:tab w:val="clear" w:pos="562"/>
                <w:tab w:val="left" w:pos="757"/>
              </w:tabs>
              <w:rPr>
                <w:lang w:val="nb-NO"/>
              </w:rPr>
            </w:pPr>
            <w:r>
              <w:rPr>
                <w:lang w:val="nb-NO"/>
              </w:rPr>
              <w:t xml:space="preserve">Dra forsiktig </w:t>
            </w:r>
            <w:r w:rsidR="0003247B">
              <w:rPr>
                <w:lang w:val="nb-NO"/>
              </w:rPr>
              <w:t xml:space="preserve">kanylehetten </w:t>
            </w:r>
            <w:r w:rsidRPr="0093796D">
              <w:rPr>
                <w:lang w:val="nb-NO"/>
              </w:rPr>
              <w:t>rett av</w:t>
            </w:r>
            <w:r>
              <w:rPr>
                <w:lang w:val="nb-NO"/>
              </w:rPr>
              <w:t xml:space="preserve"> med den andre hånden</w:t>
            </w:r>
            <w:r w:rsidRPr="0093796D">
              <w:rPr>
                <w:lang w:val="nb-NO"/>
              </w:rPr>
              <w:t xml:space="preserve">. Kast </w:t>
            </w:r>
            <w:r w:rsidR="0003247B">
              <w:rPr>
                <w:lang w:val="nb-NO"/>
              </w:rPr>
              <w:t>kanylehetten</w:t>
            </w:r>
            <w:r w:rsidRPr="0093796D">
              <w:rPr>
                <w:lang w:val="nb-NO"/>
              </w:rPr>
              <w:t xml:space="preserve">. Ikke sett </w:t>
            </w:r>
            <w:r w:rsidR="0003247B">
              <w:rPr>
                <w:lang w:val="nb-NO"/>
              </w:rPr>
              <w:t>kanylehetten</w:t>
            </w:r>
            <w:r w:rsidR="0003247B" w:rsidRPr="0093796D">
              <w:rPr>
                <w:lang w:val="nb-NO"/>
              </w:rPr>
              <w:t xml:space="preserve"> </w:t>
            </w:r>
            <w:r w:rsidRPr="0093796D">
              <w:rPr>
                <w:lang w:val="nb-NO"/>
              </w:rPr>
              <w:t>tilbake på plass igjen.</w:t>
            </w:r>
          </w:p>
          <w:p w14:paraId="2C9D16E1" w14:textId="77777777" w:rsidR="00B33BEC" w:rsidRDefault="00B33BEC" w:rsidP="00972FC0">
            <w:pPr>
              <w:pStyle w:val="EMEANormal"/>
              <w:tabs>
                <w:tab w:val="clear" w:pos="562"/>
                <w:tab w:val="left" w:pos="757"/>
              </w:tabs>
              <w:rPr>
                <w:lang w:val="nb-NO"/>
              </w:rPr>
            </w:pPr>
          </w:p>
          <w:p w14:paraId="2183702F" w14:textId="77777777" w:rsidR="00B33BEC" w:rsidRPr="003461C8" w:rsidRDefault="00E453CD" w:rsidP="003461C8">
            <w:pPr>
              <w:pStyle w:val="EMEANormal"/>
              <w:numPr>
                <w:ilvl w:val="0"/>
                <w:numId w:val="118"/>
              </w:numPr>
              <w:tabs>
                <w:tab w:val="clear" w:pos="562"/>
                <w:tab w:val="left" w:pos="757"/>
              </w:tabs>
              <w:ind w:left="757"/>
              <w:rPr>
                <w:lang w:val="nb-NO"/>
              </w:rPr>
            </w:pPr>
            <w:r w:rsidRPr="00A15CB1">
              <w:rPr>
                <w:b/>
                <w:lang w:val="nb-NO"/>
              </w:rPr>
              <w:t>Ikke</w:t>
            </w:r>
            <w:r>
              <w:rPr>
                <w:lang w:val="nb-NO"/>
              </w:rPr>
              <w:t xml:space="preserve"> ta på kanylen med fingrene dine eller la kanylen komme borti noe </w:t>
            </w:r>
          </w:p>
        </w:tc>
      </w:tr>
      <w:tr w:rsidR="004644D4" w14:paraId="63E7A221" w14:textId="77777777" w:rsidTr="00972FC0">
        <w:tc>
          <w:tcPr>
            <w:tcW w:w="3708" w:type="dxa"/>
            <w:tcBorders>
              <w:right w:val="nil"/>
            </w:tcBorders>
          </w:tcPr>
          <w:p w14:paraId="4D4D3BE3" w14:textId="77777777" w:rsidR="00B33BEC" w:rsidRDefault="00E453CD" w:rsidP="001C4BD6">
            <w:pPr>
              <w:pStyle w:val="EMEANormal"/>
              <w:rPr>
                <w:noProof/>
              </w:rPr>
            </w:pPr>
            <w:r w:rsidRPr="00452439">
              <w:rPr>
                <w:lang w:val="nb-NO"/>
              </w:rPr>
              <w:br w:type="page"/>
            </w:r>
            <w:r>
              <w:rPr>
                <w:b/>
                <w:noProof/>
              </w:rPr>
              <w:t>STEG 5</w:t>
            </w:r>
          </w:p>
          <w:p w14:paraId="26FF6489" w14:textId="77777777" w:rsidR="00B33BEC" w:rsidRDefault="00E453CD" w:rsidP="001C4BD6">
            <w:pPr>
              <w:pStyle w:val="EMEANormal"/>
              <w:rPr>
                <w:noProof/>
              </w:rPr>
            </w:pPr>
            <w:r>
              <w:rPr>
                <w:noProof/>
                <w:lang w:val="en-GB" w:eastAsia="en-GB"/>
              </w:rPr>
              <w:drawing>
                <wp:inline distT="0" distB="0" distL="0" distR="0" wp14:anchorId="0F6E91CD" wp14:editId="1FDC15CE">
                  <wp:extent cx="1992630" cy="1972310"/>
                  <wp:effectExtent l="0" t="0" r="7620" b="8890"/>
                  <wp:docPr id="125" name="Picture 125"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27" descr="STEP_5_SYRINGE_IFU_FILLING_grey"/>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992630" cy="1972310"/>
                          </a:xfrm>
                          <a:prstGeom prst="rect">
                            <a:avLst/>
                          </a:prstGeom>
                          <a:noFill/>
                          <a:ln>
                            <a:noFill/>
                          </a:ln>
                        </pic:spPr>
                      </pic:pic>
                    </a:graphicData>
                  </a:graphic>
                </wp:inline>
              </w:drawing>
            </w:r>
          </w:p>
          <w:p w14:paraId="2EC092EB" w14:textId="77777777" w:rsidR="00B33BEC" w:rsidRPr="00EA39A4" w:rsidRDefault="00B33BEC" w:rsidP="001C4BD6">
            <w:pPr>
              <w:pStyle w:val="EMEANormal"/>
              <w:rPr>
                <w:b/>
                <w:lang w:val="en-GB"/>
              </w:rPr>
            </w:pPr>
          </w:p>
        </w:tc>
        <w:tc>
          <w:tcPr>
            <w:tcW w:w="5579" w:type="dxa"/>
            <w:tcBorders>
              <w:left w:val="nil"/>
            </w:tcBorders>
          </w:tcPr>
          <w:p w14:paraId="2CD10F39" w14:textId="77777777" w:rsidR="00B33BEC" w:rsidRPr="003354A8" w:rsidRDefault="00E453CD" w:rsidP="001C4BD6">
            <w:pPr>
              <w:pStyle w:val="EMEAHeadingLeaflet"/>
              <w:spacing w:beforeLines="0" w:before="0" w:afterLines="0" w:after="0"/>
              <w:rPr>
                <w:rFonts w:ascii="Times New Roman" w:hAnsi="Times New Roman"/>
                <w:b w:val="0"/>
                <w:lang w:val="nb-NO"/>
              </w:rPr>
            </w:pPr>
            <w:r w:rsidRPr="003354A8">
              <w:rPr>
                <w:rFonts w:ascii="Times New Roman" w:hAnsi="Times New Roman"/>
                <w:b w:val="0"/>
                <w:lang w:val="nb-NO"/>
              </w:rPr>
              <w:t xml:space="preserve">Hold den ferdigfylte </w:t>
            </w:r>
            <w:r>
              <w:rPr>
                <w:rFonts w:ascii="Times New Roman" w:hAnsi="Times New Roman"/>
                <w:b w:val="0"/>
                <w:lang w:val="nb-NO"/>
              </w:rPr>
              <w:t>sprøyten</w:t>
            </w:r>
            <w:r w:rsidRPr="00A15CB1">
              <w:rPr>
                <w:rFonts w:ascii="Times New Roman" w:hAnsi="Times New Roman"/>
                <w:b w:val="0"/>
                <w:lang w:val="nb-NO"/>
              </w:rPr>
              <w:t xml:space="preserve"> med </w:t>
            </w:r>
            <w:r>
              <w:rPr>
                <w:rFonts w:ascii="Times New Roman" w:hAnsi="Times New Roman"/>
                <w:b w:val="0"/>
                <w:lang w:val="nb-NO"/>
              </w:rPr>
              <w:t>kanylen</w:t>
            </w:r>
            <w:r w:rsidRPr="00A15CB1">
              <w:rPr>
                <w:rFonts w:ascii="Times New Roman" w:hAnsi="Times New Roman"/>
                <w:b w:val="0"/>
                <w:lang w:val="nb-NO"/>
              </w:rPr>
              <w:t xml:space="preserve"> pekende oppover.</w:t>
            </w:r>
          </w:p>
          <w:p w14:paraId="6B41CCFB" w14:textId="77777777" w:rsidR="00B33BEC" w:rsidRPr="003354A8" w:rsidRDefault="00B33BEC" w:rsidP="001C4BD6">
            <w:pPr>
              <w:pStyle w:val="EMEANormal"/>
              <w:rPr>
                <w:lang w:val="nb-NO"/>
              </w:rPr>
            </w:pPr>
          </w:p>
          <w:p w14:paraId="566199C4" w14:textId="77777777" w:rsidR="00B33BEC" w:rsidRDefault="00E453CD" w:rsidP="001C4BD6">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Pr>
                <w:rFonts w:ascii="Times New Roman" w:hAnsi="Times New Roman"/>
                <w:b w:val="0"/>
                <w:lang w:val="nb-NO"/>
              </w:rPr>
              <w:t>Hold den ferdigfylte sprøyten i øyehøyde med den ene hånden slik at du kan se luftrommet i den ferdigfylte sprøyten</w:t>
            </w:r>
          </w:p>
          <w:p w14:paraId="7954D349" w14:textId="77777777" w:rsidR="00B33BEC" w:rsidRDefault="00B33BEC" w:rsidP="001C4BD6">
            <w:pPr>
              <w:pStyle w:val="EMEANormal"/>
              <w:rPr>
                <w:lang w:val="nb-NO"/>
              </w:rPr>
            </w:pPr>
          </w:p>
          <w:p w14:paraId="463A849D" w14:textId="77777777" w:rsidR="00B33BEC" w:rsidRPr="00887835" w:rsidRDefault="00E453CD" w:rsidP="001C4BD6">
            <w:pPr>
              <w:pStyle w:val="EMEAHeadingLeaflet"/>
              <w:spacing w:beforeLines="0" w:before="0" w:afterLines="0" w:after="0"/>
              <w:rPr>
                <w:rFonts w:ascii="Times New Roman" w:hAnsi="Times New Roman"/>
                <w:b w:val="0"/>
                <w:lang w:val="nb-NO"/>
              </w:rPr>
            </w:pPr>
            <w:r>
              <w:rPr>
                <w:rFonts w:ascii="Times New Roman" w:hAnsi="Times New Roman"/>
                <w:b w:val="0"/>
                <w:lang w:val="nb-NO"/>
              </w:rPr>
              <w:t>Press sakte sprøytestemplet inn for å dytte luften ut gjennom kanylen.</w:t>
            </w:r>
          </w:p>
          <w:p w14:paraId="4DFE66DB" w14:textId="77777777" w:rsidR="00B33BEC" w:rsidRPr="00933B69" w:rsidRDefault="00B33BEC" w:rsidP="001C4BD6">
            <w:pPr>
              <w:pStyle w:val="EMEANormal"/>
              <w:rPr>
                <w:lang w:val="nb-NO"/>
              </w:rPr>
            </w:pPr>
          </w:p>
          <w:p w14:paraId="33BCC802" w14:textId="77777777" w:rsidR="00B33BEC" w:rsidRPr="00887835" w:rsidRDefault="00E453CD" w:rsidP="001C4BD6">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Det er normalt å se </w:t>
            </w:r>
            <w:r>
              <w:rPr>
                <w:rFonts w:ascii="Times New Roman" w:hAnsi="Times New Roman"/>
                <w:b w:val="0"/>
                <w:lang w:val="nb-NO"/>
              </w:rPr>
              <w:t>en</w:t>
            </w:r>
            <w:r w:rsidRPr="00887835">
              <w:rPr>
                <w:rFonts w:ascii="Times New Roman" w:hAnsi="Times New Roman"/>
                <w:b w:val="0"/>
                <w:lang w:val="nb-NO"/>
              </w:rPr>
              <w:t xml:space="preserve"> dråpe av oppløsningen </w:t>
            </w:r>
            <w:r>
              <w:rPr>
                <w:rFonts w:ascii="Times New Roman" w:hAnsi="Times New Roman"/>
                <w:b w:val="0"/>
                <w:lang w:val="nb-NO"/>
              </w:rPr>
              <w:t>på enden av kanylen</w:t>
            </w:r>
          </w:p>
          <w:p w14:paraId="6C51D681" w14:textId="77777777" w:rsidR="00B33BEC" w:rsidRPr="00887835" w:rsidRDefault="00B33BEC" w:rsidP="001C4BD6">
            <w:pPr>
              <w:pStyle w:val="EMEANormal"/>
              <w:rPr>
                <w:lang w:val="nb-NO"/>
              </w:rPr>
            </w:pPr>
          </w:p>
          <w:p w14:paraId="1A9F14A4" w14:textId="77777777" w:rsidR="00B33BEC" w:rsidRPr="00887835" w:rsidRDefault="00B33BEC" w:rsidP="001C4BD6">
            <w:pPr>
              <w:pStyle w:val="EMEANormal"/>
              <w:rPr>
                <w:lang w:val="nb-NO"/>
              </w:rPr>
            </w:pPr>
          </w:p>
        </w:tc>
      </w:tr>
      <w:tr w:rsidR="004644D4" w14:paraId="799F81F5" w14:textId="77777777" w:rsidTr="00972FC0">
        <w:tc>
          <w:tcPr>
            <w:tcW w:w="3708" w:type="dxa"/>
            <w:tcBorders>
              <w:right w:val="nil"/>
            </w:tcBorders>
          </w:tcPr>
          <w:p w14:paraId="4843C1ED" w14:textId="77777777" w:rsidR="00B33BEC" w:rsidRPr="003461C8" w:rsidRDefault="00E453CD" w:rsidP="00972FC0">
            <w:pPr>
              <w:pStyle w:val="EMEANormal"/>
              <w:keepNext/>
              <w:rPr>
                <w:noProof/>
              </w:rPr>
            </w:pPr>
            <w:r>
              <w:rPr>
                <w:b/>
                <w:noProof/>
              </w:rPr>
              <w:lastRenderedPageBreak/>
              <w:t>STEG</w:t>
            </w:r>
            <w:r w:rsidRPr="00C2309F">
              <w:rPr>
                <w:b/>
                <w:noProof/>
              </w:rPr>
              <w:t xml:space="preserve"> 6</w:t>
            </w:r>
          </w:p>
          <w:p w14:paraId="6A737730" w14:textId="77777777" w:rsidR="00B33BEC" w:rsidRPr="005D17EB" w:rsidRDefault="00E453CD" w:rsidP="00972FC0">
            <w:pPr>
              <w:pStyle w:val="EMEANormal"/>
              <w:keepNext/>
              <w:rPr>
                <w:lang w:val="en-GB"/>
              </w:rPr>
            </w:pPr>
            <w:r>
              <w:rPr>
                <w:noProof/>
                <w:lang w:val="en-GB" w:eastAsia="en-GB"/>
              </w:rPr>
              <w:drawing>
                <wp:inline distT="0" distB="0" distL="0" distR="0" wp14:anchorId="593D3961" wp14:editId="1CCF2B43">
                  <wp:extent cx="2245360" cy="2142490"/>
                  <wp:effectExtent l="0" t="0" r="2540" b="0"/>
                  <wp:docPr id="126" name="Picture 126"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28" descr="STEP_6_SYRINGE_IFU_PRE-INJECTION_grey"/>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inline>
              </w:drawing>
            </w:r>
          </w:p>
        </w:tc>
        <w:tc>
          <w:tcPr>
            <w:tcW w:w="5579" w:type="dxa"/>
            <w:tcBorders>
              <w:left w:val="nil"/>
            </w:tcBorders>
          </w:tcPr>
          <w:p w14:paraId="6AB06153" w14:textId="77777777" w:rsidR="00B33BEC" w:rsidRDefault="00E453CD" w:rsidP="00972FC0">
            <w:pPr>
              <w:pStyle w:val="EMEAHeadingLeaflet"/>
              <w:keepNext/>
              <w:spacing w:beforeLines="0" w:before="0" w:afterLines="0" w:after="0"/>
              <w:rPr>
                <w:rFonts w:ascii="Times New Roman" w:hAnsi="Times New Roman"/>
                <w:b w:val="0"/>
                <w:lang w:val="nb-NO"/>
              </w:rPr>
            </w:pPr>
            <w:r>
              <w:rPr>
                <w:rFonts w:ascii="Times New Roman" w:hAnsi="Times New Roman"/>
                <w:b w:val="0"/>
                <w:lang w:val="nb-NO"/>
              </w:rPr>
              <w:t>Hold den ferdigfylte sprøyten i den ene hånden mellom tommel og pekefinger, som du holder en blyant.</w:t>
            </w:r>
          </w:p>
          <w:p w14:paraId="0B9294C8" w14:textId="77777777" w:rsidR="00B33BEC" w:rsidRDefault="00B33BEC" w:rsidP="00972FC0">
            <w:pPr>
              <w:pStyle w:val="EMEAHeadingLeaflet"/>
              <w:keepNext/>
              <w:spacing w:beforeLines="0" w:before="0" w:afterLines="0" w:after="0"/>
              <w:rPr>
                <w:rFonts w:ascii="Times New Roman" w:hAnsi="Times New Roman"/>
                <w:b w:val="0"/>
                <w:lang w:val="nb-NO"/>
              </w:rPr>
            </w:pPr>
          </w:p>
          <w:p w14:paraId="11627827" w14:textId="77777777" w:rsidR="00B33BEC" w:rsidRPr="0075260B" w:rsidRDefault="00E453CD" w:rsidP="00972FC0">
            <w:pPr>
              <w:pStyle w:val="EMEAHeadingLeaflet"/>
              <w:keepNext/>
              <w:spacing w:beforeLines="0" w:before="0" w:afterLines="0" w:after="0"/>
              <w:rPr>
                <w:rFonts w:ascii="Times New Roman" w:hAnsi="Times New Roman"/>
                <w:b w:val="0"/>
                <w:lang w:val="nb-NO"/>
              </w:rPr>
            </w:pPr>
            <w:r w:rsidRPr="0075260B">
              <w:rPr>
                <w:rFonts w:ascii="Times New Roman" w:hAnsi="Times New Roman"/>
                <w:b w:val="0"/>
                <w:lang w:val="nb-NO"/>
              </w:rPr>
              <w:t xml:space="preserve">Klem huden på injeksjonsstedet ditt </w:t>
            </w:r>
            <w:r>
              <w:rPr>
                <w:rFonts w:ascii="Times New Roman" w:hAnsi="Times New Roman"/>
                <w:b w:val="0"/>
                <w:lang w:val="nb-NO"/>
              </w:rPr>
              <w:t xml:space="preserve">med den andre hånden </w:t>
            </w:r>
            <w:r w:rsidRPr="0075260B">
              <w:rPr>
                <w:rFonts w:ascii="Times New Roman" w:hAnsi="Times New Roman"/>
                <w:b w:val="0"/>
                <w:lang w:val="nb-NO"/>
              </w:rPr>
              <w:t>for å fremheve området og hold godt fast i den.</w:t>
            </w:r>
          </w:p>
          <w:p w14:paraId="09A82C30" w14:textId="77777777" w:rsidR="00B33BEC" w:rsidRPr="0075260B" w:rsidRDefault="00B33BEC" w:rsidP="00972FC0">
            <w:pPr>
              <w:pStyle w:val="EMEANormal"/>
              <w:keepNext/>
              <w:rPr>
                <w:lang w:val="nb-NO"/>
              </w:rPr>
            </w:pPr>
          </w:p>
          <w:p w14:paraId="13B3F3E0" w14:textId="77777777" w:rsidR="00B33BEC" w:rsidRPr="00887835" w:rsidRDefault="00B33BEC" w:rsidP="00972FC0">
            <w:pPr>
              <w:pStyle w:val="EMEANormal"/>
              <w:keepNext/>
              <w:rPr>
                <w:lang w:val="nb-NO"/>
              </w:rPr>
            </w:pPr>
          </w:p>
        </w:tc>
      </w:tr>
      <w:tr w:rsidR="004644D4" w14:paraId="559328F5" w14:textId="77777777" w:rsidTr="00D221F9">
        <w:trPr>
          <w:trHeight w:val="4755"/>
        </w:trPr>
        <w:tc>
          <w:tcPr>
            <w:tcW w:w="3708" w:type="dxa"/>
            <w:tcBorders>
              <w:right w:val="nil"/>
            </w:tcBorders>
          </w:tcPr>
          <w:p w14:paraId="77498CEF" w14:textId="77777777" w:rsidR="00B33BEC" w:rsidRPr="003461C8" w:rsidRDefault="00E453CD" w:rsidP="00972FC0">
            <w:pPr>
              <w:pStyle w:val="EMEANormal"/>
              <w:jc w:val="both"/>
              <w:rPr>
                <w:noProof/>
              </w:rPr>
            </w:pPr>
            <w:r>
              <w:rPr>
                <w:b/>
                <w:noProof/>
              </w:rPr>
              <w:t>STEG 7</w:t>
            </w:r>
          </w:p>
          <w:p w14:paraId="5BB0B39E" w14:textId="77777777" w:rsidR="00B33BEC" w:rsidRPr="003461C8" w:rsidRDefault="00B33BEC" w:rsidP="00972FC0">
            <w:pPr>
              <w:pStyle w:val="EMEANormal"/>
              <w:jc w:val="both"/>
              <w:rPr>
                <w:noProof/>
              </w:rPr>
            </w:pPr>
          </w:p>
          <w:p w14:paraId="24E7ABE9" w14:textId="77777777" w:rsidR="00B33BEC" w:rsidRPr="008B4D33" w:rsidRDefault="00E453CD" w:rsidP="00972FC0">
            <w:pPr>
              <w:pStyle w:val="EMEANormal"/>
              <w:rPr>
                <w:noProof/>
              </w:rPr>
            </w:pPr>
            <w:r>
              <w:rPr>
                <w:noProof/>
                <w:lang w:val="en-GB" w:eastAsia="en-GB"/>
              </w:rPr>
              <w:drawing>
                <wp:inline distT="0" distB="0" distL="0" distR="0" wp14:anchorId="52BB67D4" wp14:editId="7A8B1C95">
                  <wp:extent cx="2183765" cy="2675255"/>
                  <wp:effectExtent l="0" t="0" r="6985" b="0"/>
                  <wp:docPr id="127" name="Picture 127"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29" descr="STEP_7_SYRINGE_IFU_ABDOMEN-THIGH_grey"/>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183765" cy="2675255"/>
                          </a:xfrm>
                          <a:prstGeom prst="rect">
                            <a:avLst/>
                          </a:prstGeom>
                          <a:noFill/>
                          <a:ln>
                            <a:noFill/>
                          </a:ln>
                        </pic:spPr>
                      </pic:pic>
                    </a:graphicData>
                  </a:graphic>
                </wp:inline>
              </w:drawing>
            </w:r>
          </w:p>
        </w:tc>
        <w:tc>
          <w:tcPr>
            <w:tcW w:w="5579" w:type="dxa"/>
            <w:tcBorders>
              <w:left w:val="nil"/>
            </w:tcBorders>
          </w:tcPr>
          <w:p w14:paraId="66BAD89E" w14:textId="77777777" w:rsidR="00B33BEC" w:rsidRPr="00204EE6" w:rsidRDefault="00E453CD" w:rsidP="00972FC0">
            <w:pPr>
              <w:pStyle w:val="EMEANormal"/>
              <w:rPr>
                <w:lang w:val="nb-NO"/>
              </w:rPr>
            </w:pPr>
            <w:r>
              <w:rPr>
                <w:lang w:val="nb-NO"/>
              </w:rPr>
              <w:t>Sett kanylen</w:t>
            </w:r>
            <w:r w:rsidRPr="00A15CB1">
              <w:rPr>
                <w:lang w:val="nb-NO"/>
              </w:rPr>
              <w:t xml:space="preserve"> helt </w:t>
            </w:r>
            <w:r>
              <w:rPr>
                <w:lang w:val="nb-NO"/>
              </w:rPr>
              <w:t>inn i</w:t>
            </w:r>
            <w:r w:rsidRPr="00A15CB1">
              <w:rPr>
                <w:lang w:val="nb-NO"/>
              </w:rPr>
              <w:t xml:space="preserve"> huden </w:t>
            </w:r>
            <w:r>
              <w:rPr>
                <w:lang w:val="nb-NO"/>
              </w:rPr>
              <w:t xml:space="preserve">i en 45-graders vinkel </w:t>
            </w:r>
            <w:r w:rsidRPr="00A15CB1">
              <w:rPr>
                <w:lang w:val="nb-NO"/>
              </w:rPr>
              <w:t xml:space="preserve">med en rask, kortvarig bevegelse. </w:t>
            </w:r>
          </w:p>
          <w:p w14:paraId="29151079" w14:textId="77777777" w:rsidR="00B33BEC" w:rsidRPr="00887835" w:rsidRDefault="00B33BEC" w:rsidP="00972FC0">
            <w:pPr>
              <w:pStyle w:val="EMEANormal"/>
              <w:rPr>
                <w:lang w:val="nb-NO"/>
              </w:rPr>
            </w:pPr>
          </w:p>
          <w:p w14:paraId="2825BB17" w14:textId="77777777" w:rsidR="00B33BEC" w:rsidRPr="00887835" w:rsidRDefault="00E453CD" w:rsidP="00972FC0">
            <w:pPr>
              <w:pStyle w:val="EMEAHeadingLeaflet"/>
              <w:keepNext/>
              <w:numPr>
                <w:ilvl w:val="0"/>
                <w:numId w:val="120"/>
              </w:numPr>
              <w:tabs>
                <w:tab w:val="clear" w:pos="562"/>
                <w:tab w:val="left" w:pos="757"/>
              </w:tabs>
              <w:spacing w:beforeLines="0" w:before="0" w:afterLines="0" w:after="0"/>
              <w:ind w:left="757"/>
              <w:rPr>
                <w:rFonts w:ascii="Times New Roman" w:hAnsi="Times New Roman"/>
                <w:b w:val="0"/>
                <w:lang w:val="nb-NO"/>
              </w:rPr>
            </w:pPr>
            <w:r>
              <w:rPr>
                <w:rFonts w:ascii="Times New Roman" w:hAnsi="Times New Roman"/>
                <w:b w:val="0"/>
                <w:lang w:val="nb-NO"/>
              </w:rPr>
              <w:t xml:space="preserve">Når kanylen er inne slipper du taket i huden som du holder </w:t>
            </w:r>
          </w:p>
          <w:p w14:paraId="4A871F9F" w14:textId="77777777" w:rsidR="00B33BEC" w:rsidRDefault="00B33BEC" w:rsidP="00972FC0">
            <w:pPr>
              <w:pStyle w:val="EMEANormal"/>
              <w:rPr>
                <w:lang w:val="nb-NO"/>
              </w:rPr>
            </w:pPr>
          </w:p>
          <w:p w14:paraId="3CD4EE6E" w14:textId="77777777" w:rsidR="00B33BEC" w:rsidRPr="00887835" w:rsidRDefault="00E453CD" w:rsidP="00972FC0">
            <w:pPr>
              <w:pStyle w:val="EMEANormal"/>
              <w:rPr>
                <w:lang w:val="nb-NO"/>
              </w:rPr>
            </w:pPr>
            <w:r>
              <w:rPr>
                <w:lang w:val="nb-NO"/>
              </w:rPr>
              <w:t xml:space="preserve">Press sakte sprøytestemplet helt inn til hele oppløsningen er injisert og den ferdigfylte sprøyten er tom. </w:t>
            </w:r>
          </w:p>
          <w:p w14:paraId="4FCBB95E" w14:textId="77777777" w:rsidR="00B33BEC" w:rsidRPr="00887835" w:rsidRDefault="00B33BEC" w:rsidP="00972FC0">
            <w:pPr>
              <w:pStyle w:val="EMEANormal"/>
              <w:rPr>
                <w:lang w:val="nb-NO"/>
              </w:rPr>
            </w:pPr>
          </w:p>
        </w:tc>
      </w:tr>
      <w:tr w:rsidR="004644D4" w14:paraId="56FA18AD" w14:textId="77777777" w:rsidTr="00972FC0">
        <w:tc>
          <w:tcPr>
            <w:tcW w:w="3708" w:type="dxa"/>
            <w:tcBorders>
              <w:right w:val="nil"/>
            </w:tcBorders>
          </w:tcPr>
          <w:p w14:paraId="099728BB" w14:textId="77777777" w:rsidR="00B33BEC" w:rsidRPr="003461C8" w:rsidRDefault="00E453CD" w:rsidP="001C4BD6">
            <w:pPr>
              <w:pStyle w:val="EMEANormal"/>
              <w:rPr>
                <w:noProof/>
              </w:rPr>
            </w:pPr>
            <w:r w:rsidRPr="00452439">
              <w:rPr>
                <w:lang w:val="nb-NO"/>
              </w:rPr>
              <w:br w:type="page"/>
            </w:r>
            <w:r>
              <w:rPr>
                <w:b/>
                <w:noProof/>
              </w:rPr>
              <w:t>STEG 8</w:t>
            </w:r>
          </w:p>
          <w:p w14:paraId="07024CBA" w14:textId="77777777" w:rsidR="00DA46F2" w:rsidRDefault="00DA46F2" w:rsidP="001C4BD6">
            <w:pPr>
              <w:pStyle w:val="EMEANormal"/>
              <w:rPr>
                <w:noProof/>
              </w:rPr>
            </w:pPr>
          </w:p>
          <w:p w14:paraId="7E463749" w14:textId="77777777" w:rsidR="00DA46F2" w:rsidRDefault="00E453CD" w:rsidP="001C4BD6">
            <w:pPr>
              <w:pStyle w:val="EMEANormal"/>
              <w:rPr>
                <w:noProof/>
              </w:rPr>
            </w:pPr>
            <w:r>
              <w:rPr>
                <w:b/>
                <w:noProof/>
                <w:lang w:val="en-GB" w:eastAsia="en-GB"/>
              </w:rPr>
              <w:drawing>
                <wp:inline distT="0" distB="0" distL="0" distR="0" wp14:anchorId="45D487E6" wp14:editId="056E617E">
                  <wp:extent cx="1985089" cy="2093976"/>
                  <wp:effectExtent l="0" t="0" r="0"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TEP_8_SYRINGE_IFU_WITHDRAW_grey.REV 06Sep1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5089" cy="2093976"/>
                          </a:xfrm>
                          <a:prstGeom prst="rect">
                            <a:avLst/>
                          </a:prstGeom>
                        </pic:spPr>
                      </pic:pic>
                    </a:graphicData>
                  </a:graphic>
                </wp:inline>
              </w:drawing>
            </w:r>
          </w:p>
          <w:p w14:paraId="66C3E2CE" w14:textId="77777777" w:rsidR="00B33BEC" w:rsidRPr="00D221F9" w:rsidRDefault="00E453CD" w:rsidP="001C4BD6">
            <w:pPr>
              <w:pStyle w:val="EMEANormal"/>
              <w:rPr>
                <w:b/>
                <w:lang w:val="en-GB"/>
              </w:rPr>
            </w:pPr>
            <w:r>
              <w:rPr>
                <w:noProof/>
              </w:rPr>
              <w:t xml:space="preserve">             </w:t>
            </w:r>
            <w:r w:rsidRPr="00D221F9">
              <w:rPr>
                <w:b/>
                <w:noProof/>
              </w:rPr>
              <w:t xml:space="preserve"> Bomullsdott</w:t>
            </w:r>
          </w:p>
        </w:tc>
        <w:tc>
          <w:tcPr>
            <w:tcW w:w="5579" w:type="dxa"/>
            <w:tcBorders>
              <w:left w:val="nil"/>
            </w:tcBorders>
          </w:tcPr>
          <w:p w14:paraId="03E0D946" w14:textId="77777777" w:rsidR="00B33BEC" w:rsidRPr="00C40ABF" w:rsidRDefault="00E453CD" w:rsidP="001C4BD6">
            <w:pPr>
              <w:pStyle w:val="EMEAHeadingLeaflet"/>
              <w:spacing w:beforeLines="0" w:before="0" w:afterLines="0" w:after="0"/>
              <w:rPr>
                <w:b w:val="0"/>
                <w:lang w:val="nb-NO"/>
              </w:rPr>
            </w:pPr>
            <w:r>
              <w:rPr>
                <w:rFonts w:ascii="Times New Roman" w:hAnsi="Times New Roman"/>
                <w:b w:val="0"/>
                <w:lang w:val="nb-NO"/>
              </w:rPr>
              <w:t>N</w:t>
            </w:r>
            <w:r w:rsidRPr="00887835">
              <w:rPr>
                <w:rFonts w:ascii="Times New Roman" w:hAnsi="Times New Roman"/>
                <w:b w:val="0"/>
                <w:lang w:val="nb-NO"/>
              </w:rPr>
              <w:t>år injeksjonen er ferdig</w:t>
            </w:r>
            <w:r>
              <w:rPr>
                <w:rFonts w:ascii="Times New Roman" w:hAnsi="Times New Roman"/>
                <w:b w:val="0"/>
                <w:lang w:val="nb-NO"/>
              </w:rPr>
              <w:t xml:space="preserve"> drar du</w:t>
            </w:r>
            <w:r w:rsidRPr="00887835">
              <w:rPr>
                <w:rFonts w:ascii="Times New Roman" w:hAnsi="Times New Roman"/>
                <w:b w:val="0"/>
                <w:lang w:val="nb-NO"/>
              </w:rPr>
              <w:t xml:space="preserve"> </w:t>
            </w:r>
            <w:r>
              <w:rPr>
                <w:rFonts w:ascii="Times New Roman" w:hAnsi="Times New Roman"/>
                <w:b w:val="0"/>
                <w:lang w:val="nb-NO"/>
              </w:rPr>
              <w:t xml:space="preserve">kanylen </w:t>
            </w:r>
            <w:r w:rsidRPr="00887835">
              <w:rPr>
                <w:rFonts w:ascii="Times New Roman" w:hAnsi="Times New Roman"/>
                <w:b w:val="0"/>
                <w:lang w:val="nb-NO"/>
              </w:rPr>
              <w:t xml:space="preserve">sakte </w:t>
            </w:r>
            <w:r>
              <w:rPr>
                <w:rFonts w:ascii="Times New Roman" w:hAnsi="Times New Roman"/>
                <w:b w:val="0"/>
                <w:lang w:val="nb-NO"/>
              </w:rPr>
              <w:t>ut av huden samtidig som du holder den ferdigfylte sprøyten i samme vinkel</w:t>
            </w:r>
            <w:r w:rsidRPr="00887835">
              <w:rPr>
                <w:rFonts w:ascii="Times New Roman" w:hAnsi="Times New Roman"/>
                <w:b w:val="0"/>
                <w:lang w:val="nb-NO"/>
              </w:rPr>
              <w:t>.</w:t>
            </w:r>
          </w:p>
          <w:p w14:paraId="63FBFD23" w14:textId="77777777" w:rsidR="00B33BEC" w:rsidRPr="00887835" w:rsidRDefault="00B33BEC" w:rsidP="001C4BD6">
            <w:pPr>
              <w:pStyle w:val="EMEANormal"/>
              <w:rPr>
                <w:lang w:val="nb-NO"/>
              </w:rPr>
            </w:pPr>
          </w:p>
          <w:p w14:paraId="552B1615" w14:textId="77777777" w:rsidR="00B33BEC" w:rsidRPr="00887835" w:rsidRDefault="00E453CD" w:rsidP="001C4BD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Etter endt injeksjon, plasser en bomullsdott eller gasbind på huden over injeksjonsstedet.</w:t>
            </w:r>
          </w:p>
          <w:p w14:paraId="70FB12D2" w14:textId="77777777" w:rsidR="00B33BEC" w:rsidRPr="00887835" w:rsidRDefault="00B33BEC" w:rsidP="001C4BD6">
            <w:pPr>
              <w:pStyle w:val="EMEANormal"/>
              <w:rPr>
                <w:lang w:val="nb-NO"/>
              </w:rPr>
            </w:pPr>
          </w:p>
          <w:p w14:paraId="6B0DF168" w14:textId="77777777" w:rsidR="00B33BEC" w:rsidRPr="005D17EB" w:rsidRDefault="00E453CD" w:rsidP="001C4BD6">
            <w:pPr>
              <w:pStyle w:val="EMEAHeadingLeaflet"/>
              <w:numPr>
                <w:ilvl w:val="0"/>
                <w:numId w:val="121"/>
              </w:numPr>
              <w:tabs>
                <w:tab w:val="clear" w:pos="562"/>
                <w:tab w:val="left" w:pos="757"/>
              </w:tabs>
              <w:spacing w:beforeLines="0" w:before="0" w:afterLines="0" w:after="0"/>
              <w:ind w:left="757"/>
              <w:rPr>
                <w:rFonts w:ascii="Times New Roman" w:hAnsi="Times New Roman"/>
                <w:b w:val="0"/>
                <w:lang w:val="en-GB"/>
              </w:rPr>
            </w:pPr>
            <w:r>
              <w:rPr>
                <w:rFonts w:ascii="Times New Roman" w:hAnsi="Times New Roman"/>
                <w:lang w:val="en-GB"/>
              </w:rPr>
              <w:t>Ikke</w:t>
            </w:r>
            <w:r w:rsidRPr="005D17EB">
              <w:rPr>
                <w:rFonts w:ascii="Times New Roman" w:hAnsi="Times New Roman"/>
                <w:b w:val="0"/>
                <w:lang w:val="en-GB"/>
              </w:rPr>
              <w:t xml:space="preserve"> </w:t>
            </w:r>
            <w:r>
              <w:rPr>
                <w:rFonts w:ascii="Times New Roman" w:hAnsi="Times New Roman"/>
                <w:b w:val="0"/>
                <w:lang w:val="en-GB"/>
              </w:rPr>
              <w:t>gni</w:t>
            </w:r>
          </w:p>
          <w:p w14:paraId="10F30B02" w14:textId="77777777" w:rsidR="00B33BEC" w:rsidRPr="00887835" w:rsidRDefault="00E453CD" w:rsidP="001C4BD6">
            <w:pPr>
              <w:pStyle w:val="EMEANormal"/>
              <w:numPr>
                <w:ilvl w:val="0"/>
                <w:numId w:val="121"/>
              </w:numPr>
              <w:tabs>
                <w:tab w:val="clear" w:pos="562"/>
                <w:tab w:val="left" w:pos="757"/>
              </w:tabs>
              <w:ind w:left="757"/>
              <w:rPr>
                <w:lang w:val="nb-NO"/>
              </w:rPr>
            </w:pPr>
            <w:r w:rsidRPr="00887835">
              <w:rPr>
                <w:lang w:val="nb-NO"/>
              </w:rPr>
              <w:t>Litt blødning ved injeksjonsstedet er normalt</w:t>
            </w:r>
          </w:p>
        </w:tc>
      </w:tr>
      <w:tr w:rsidR="004644D4" w14:paraId="207A51BB" w14:textId="77777777" w:rsidTr="00972FC0">
        <w:tc>
          <w:tcPr>
            <w:tcW w:w="9287" w:type="dxa"/>
            <w:gridSpan w:val="2"/>
          </w:tcPr>
          <w:p w14:paraId="53919397" w14:textId="77777777" w:rsidR="00B33BEC" w:rsidRPr="003461C8" w:rsidRDefault="00E453CD" w:rsidP="00972FC0">
            <w:pPr>
              <w:keepNext/>
              <w:rPr>
                <w:sz w:val="22"/>
                <w:szCs w:val="22"/>
              </w:rPr>
            </w:pPr>
            <w:r w:rsidRPr="003461C8">
              <w:rPr>
                <w:b/>
                <w:sz w:val="22"/>
                <w:szCs w:val="22"/>
              </w:rPr>
              <w:lastRenderedPageBreak/>
              <w:t>STEG 9</w:t>
            </w:r>
          </w:p>
          <w:p w14:paraId="12D7F388" w14:textId="77777777" w:rsidR="00B33BEC" w:rsidRPr="003461C8" w:rsidRDefault="00B33BEC" w:rsidP="00972FC0">
            <w:pPr>
              <w:keepNext/>
              <w:rPr>
                <w:sz w:val="22"/>
                <w:szCs w:val="22"/>
              </w:rPr>
            </w:pPr>
          </w:p>
          <w:p w14:paraId="01A65C8F" w14:textId="77777777" w:rsidR="00B33BEC" w:rsidRPr="00887835" w:rsidRDefault="00E453CD" w:rsidP="00972FC0">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 xml:space="preserve">Kast den brukte ferdigfylte </w:t>
            </w:r>
            <w:r>
              <w:rPr>
                <w:rFonts w:ascii="Times New Roman" w:hAnsi="Times New Roman"/>
                <w:b w:val="0"/>
                <w:lang w:val="nb-NO"/>
              </w:rPr>
              <w:t>sprøyten</w:t>
            </w:r>
            <w:r w:rsidRPr="00887835">
              <w:rPr>
                <w:rFonts w:ascii="Times New Roman" w:hAnsi="Times New Roman"/>
                <w:b w:val="0"/>
                <w:lang w:val="nb-NO"/>
              </w:rPr>
              <w:t xml:space="preserve"> i en spesiell avfallsbeholder slik du har fått beskjed om fra legen</w:t>
            </w:r>
            <w:r w:rsidRPr="00545DB7">
              <w:rPr>
                <w:rFonts w:ascii="Times New Roman" w:hAnsi="Times New Roman"/>
                <w:b w:val="0"/>
                <w:lang w:val="nb-NO"/>
              </w:rPr>
              <w:t xml:space="preserve"> din, sykepleier eller </w:t>
            </w:r>
            <w:r>
              <w:rPr>
                <w:rFonts w:ascii="Times New Roman" w:hAnsi="Times New Roman"/>
                <w:b w:val="0"/>
                <w:lang w:val="nb-NO"/>
              </w:rPr>
              <w:t>apotek</w:t>
            </w:r>
            <w:r w:rsidRPr="00887835">
              <w:rPr>
                <w:rFonts w:ascii="Times New Roman" w:hAnsi="Times New Roman"/>
                <w:b w:val="0"/>
                <w:lang w:val="nb-NO"/>
              </w:rPr>
              <w:t>.</w:t>
            </w:r>
            <w:r>
              <w:rPr>
                <w:rFonts w:ascii="Times New Roman" w:hAnsi="Times New Roman"/>
                <w:b w:val="0"/>
                <w:lang w:val="nb-NO"/>
              </w:rPr>
              <w:t xml:space="preserve"> </w:t>
            </w:r>
            <w:r w:rsidRPr="00AB221D">
              <w:rPr>
                <w:rFonts w:ascii="Times New Roman" w:hAnsi="Times New Roman"/>
                <w:b w:val="0"/>
                <w:lang w:val="nb-NO"/>
              </w:rPr>
              <w:t xml:space="preserve">Sett </w:t>
            </w:r>
            <w:r w:rsidRPr="00A15CB1">
              <w:rPr>
                <w:rFonts w:ascii="Times New Roman" w:hAnsi="Times New Roman"/>
                <w:lang w:val="nb-NO"/>
              </w:rPr>
              <w:t>aldri</w:t>
            </w:r>
            <w:r w:rsidRPr="00AB221D">
              <w:rPr>
                <w:rFonts w:ascii="Times New Roman" w:hAnsi="Times New Roman"/>
                <w:b w:val="0"/>
                <w:lang w:val="nb-NO"/>
              </w:rPr>
              <w:t xml:space="preserve"> </w:t>
            </w:r>
            <w:r w:rsidR="0003247B">
              <w:rPr>
                <w:rFonts w:ascii="Times New Roman" w:hAnsi="Times New Roman"/>
                <w:b w:val="0"/>
                <w:lang w:val="nb-NO"/>
              </w:rPr>
              <w:t>kanylehetten</w:t>
            </w:r>
            <w:r w:rsidR="0003247B" w:rsidRPr="00AB221D">
              <w:rPr>
                <w:rFonts w:ascii="Times New Roman" w:hAnsi="Times New Roman"/>
                <w:b w:val="0"/>
                <w:lang w:val="nb-NO"/>
              </w:rPr>
              <w:t xml:space="preserve"> </w:t>
            </w:r>
            <w:r w:rsidRPr="00AB221D">
              <w:rPr>
                <w:rFonts w:ascii="Times New Roman" w:hAnsi="Times New Roman"/>
                <w:b w:val="0"/>
                <w:lang w:val="nb-NO"/>
              </w:rPr>
              <w:t xml:space="preserve">tilbake på </w:t>
            </w:r>
            <w:r>
              <w:rPr>
                <w:rFonts w:ascii="Times New Roman" w:hAnsi="Times New Roman"/>
                <w:b w:val="0"/>
                <w:lang w:val="nb-NO"/>
              </w:rPr>
              <w:t>en kanyle</w:t>
            </w:r>
            <w:r w:rsidRPr="00AB221D">
              <w:rPr>
                <w:rFonts w:ascii="Times New Roman" w:hAnsi="Times New Roman"/>
                <w:b w:val="0"/>
                <w:lang w:val="nb-NO"/>
              </w:rPr>
              <w:t>.</w:t>
            </w:r>
            <w:r>
              <w:rPr>
                <w:rFonts w:ascii="Times New Roman" w:hAnsi="Times New Roman"/>
                <w:b w:val="0"/>
                <w:lang w:val="nb-NO"/>
              </w:rPr>
              <w:t xml:space="preserve"> </w:t>
            </w:r>
          </w:p>
          <w:p w14:paraId="66399D9C" w14:textId="77777777" w:rsidR="00B33BEC" w:rsidRPr="00887835" w:rsidRDefault="00B33BEC" w:rsidP="00972FC0">
            <w:pPr>
              <w:pStyle w:val="EMEANormal"/>
              <w:keepNext/>
              <w:rPr>
                <w:lang w:val="nb-NO"/>
              </w:rPr>
            </w:pPr>
          </w:p>
          <w:p w14:paraId="4B604456" w14:textId="77777777" w:rsidR="00B33BEC" w:rsidRPr="00887835" w:rsidRDefault="00E453CD" w:rsidP="00972FC0">
            <w:pPr>
              <w:pStyle w:val="EMEAHeadingLeaflet"/>
              <w:keepNext/>
              <w:numPr>
                <w:ilvl w:val="0"/>
                <w:numId w:val="122"/>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resirkuler eller kast den ferdigfylte </w:t>
            </w:r>
            <w:r>
              <w:rPr>
                <w:rFonts w:ascii="Times New Roman" w:hAnsi="Times New Roman"/>
                <w:b w:val="0"/>
                <w:lang w:val="nb-NO"/>
              </w:rPr>
              <w:t>sprøyten</w:t>
            </w:r>
            <w:r w:rsidRPr="00887835">
              <w:rPr>
                <w:rFonts w:ascii="Times New Roman" w:hAnsi="Times New Roman"/>
                <w:b w:val="0"/>
                <w:lang w:val="nb-NO"/>
              </w:rPr>
              <w:t xml:space="preserve"> i vanlig husholdningsavfal</w:t>
            </w:r>
            <w:r>
              <w:rPr>
                <w:rFonts w:ascii="Times New Roman" w:hAnsi="Times New Roman"/>
                <w:b w:val="0"/>
                <w:lang w:val="nb-NO"/>
              </w:rPr>
              <w:t>l</w:t>
            </w:r>
          </w:p>
          <w:p w14:paraId="472A744E" w14:textId="77777777" w:rsidR="00B33BEC" w:rsidRPr="00887835" w:rsidRDefault="00E453CD" w:rsidP="00972FC0">
            <w:pPr>
              <w:pStyle w:val="EMEANormal"/>
              <w:keepNext/>
              <w:numPr>
                <w:ilvl w:val="0"/>
                <w:numId w:val="122"/>
              </w:numPr>
              <w:tabs>
                <w:tab w:val="clear" w:pos="562"/>
                <w:tab w:val="left" w:pos="720"/>
              </w:tabs>
              <w:rPr>
                <w:lang w:val="nb-NO"/>
              </w:rPr>
            </w:pPr>
            <w:r w:rsidRPr="00887835">
              <w:rPr>
                <w:lang w:val="nb-NO"/>
              </w:rPr>
              <w:t>Oppbevar</w:t>
            </w:r>
            <w:r w:rsidRPr="00887835">
              <w:rPr>
                <w:b/>
                <w:lang w:val="nb-NO"/>
              </w:rPr>
              <w:t xml:space="preserve"> alltid </w:t>
            </w:r>
            <w:r>
              <w:rPr>
                <w:lang w:val="nb-NO"/>
              </w:rPr>
              <w:t xml:space="preserve">den </w:t>
            </w:r>
            <w:r w:rsidRPr="00887835">
              <w:rPr>
                <w:lang w:val="nb-NO"/>
              </w:rPr>
              <w:t>ferdigfylt</w:t>
            </w:r>
            <w:r>
              <w:rPr>
                <w:lang w:val="nb-NO"/>
              </w:rPr>
              <w:t>e</w:t>
            </w:r>
            <w:r w:rsidRPr="00887835">
              <w:rPr>
                <w:lang w:val="nb-NO"/>
              </w:rPr>
              <w:t xml:space="preserve"> </w:t>
            </w:r>
            <w:r>
              <w:rPr>
                <w:lang w:val="nb-NO"/>
              </w:rPr>
              <w:t>sprøyten</w:t>
            </w:r>
            <w:r w:rsidRPr="00887835">
              <w:rPr>
                <w:lang w:val="nb-NO"/>
              </w:rPr>
              <w:t xml:space="preserve"> og den spesielle avfallsbeholderen utilgjengelig for barn</w:t>
            </w:r>
          </w:p>
          <w:p w14:paraId="42BC9EBD" w14:textId="77777777" w:rsidR="00B33BEC" w:rsidRDefault="00B33BEC" w:rsidP="00972FC0">
            <w:pPr>
              <w:pStyle w:val="EMEANormal"/>
              <w:keepNext/>
              <w:rPr>
                <w:szCs w:val="22"/>
                <w:lang w:val="nb-NO"/>
              </w:rPr>
            </w:pPr>
          </w:p>
          <w:p w14:paraId="5922A0A9" w14:textId="77777777" w:rsidR="00B33BEC" w:rsidRPr="00887835" w:rsidRDefault="00E453CD" w:rsidP="00972FC0">
            <w:pPr>
              <w:pStyle w:val="EMEANormal"/>
              <w:keepNext/>
              <w:rPr>
                <w:lang w:val="nb-NO"/>
              </w:rPr>
            </w:pPr>
            <w:r>
              <w:rPr>
                <w:szCs w:val="22"/>
                <w:lang w:val="nb-NO"/>
              </w:rPr>
              <w:t>Kanylehetten</w:t>
            </w:r>
            <w:r w:rsidRPr="00887835">
              <w:rPr>
                <w:szCs w:val="22"/>
                <w:lang w:val="nb-NO"/>
              </w:rPr>
              <w:t>, injeksjonstørk, bomullsdott eller gasbind, blister og kartong kan kastes i husholdningsavfallet ditt.</w:t>
            </w:r>
          </w:p>
        </w:tc>
      </w:tr>
    </w:tbl>
    <w:p w14:paraId="0F9E40B6" w14:textId="77777777" w:rsidR="00E504F4" w:rsidRDefault="00E504F4" w:rsidP="00B33BEC">
      <w:pPr>
        <w:rPr>
          <w:b/>
          <w:sz w:val="22"/>
          <w:szCs w:val="22"/>
        </w:rPr>
      </w:pPr>
    </w:p>
    <w:p w14:paraId="45254E6C" w14:textId="77777777" w:rsidR="00E504F4" w:rsidRDefault="00E453CD">
      <w:pPr>
        <w:rPr>
          <w:b/>
          <w:sz w:val="22"/>
          <w:szCs w:val="22"/>
        </w:rPr>
      </w:pPr>
      <w:r>
        <w:rPr>
          <w:b/>
          <w:sz w:val="22"/>
          <w:szCs w:val="22"/>
        </w:rPr>
        <w:br w:type="page"/>
      </w:r>
    </w:p>
    <w:p w14:paraId="433E69F0" w14:textId="77777777" w:rsidR="00D20B49" w:rsidRPr="00392F01" w:rsidRDefault="00E453CD" w:rsidP="00D20B49">
      <w:pPr>
        <w:ind w:left="54"/>
        <w:jc w:val="center"/>
        <w:rPr>
          <w:b/>
          <w:sz w:val="22"/>
          <w:szCs w:val="22"/>
        </w:rPr>
      </w:pPr>
      <w:r w:rsidRPr="00392F01">
        <w:rPr>
          <w:b/>
          <w:sz w:val="22"/>
          <w:szCs w:val="22"/>
        </w:rPr>
        <w:lastRenderedPageBreak/>
        <w:t>Pakningsvedlegg: Informasjon til pasienten</w:t>
      </w:r>
    </w:p>
    <w:p w14:paraId="4C72FAD2" w14:textId="77777777" w:rsidR="00D20B49" w:rsidRPr="00392F01" w:rsidRDefault="00D20B49" w:rsidP="00D20B49">
      <w:pPr>
        <w:jc w:val="center"/>
        <w:rPr>
          <w:b/>
          <w:sz w:val="22"/>
          <w:szCs w:val="22"/>
        </w:rPr>
      </w:pPr>
    </w:p>
    <w:p w14:paraId="720D33EF" w14:textId="77777777" w:rsidR="00D20B49" w:rsidRPr="00392F01" w:rsidRDefault="00E453CD" w:rsidP="00D20B49">
      <w:pPr>
        <w:jc w:val="center"/>
        <w:rPr>
          <w:sz w:val="22"/>
          <w:szCs w:val="22"/>
        </w:rPr>
      </w:pPr>
      <w:r w:rsidRPr="00392F01">
        <w:rPr>
          <w:b/>
          <w:sz w:val="22"/>
          <w:szCs w:val="22"/>
        </w:rPr>
        <w:t>Humira 40 mg injeksjonsvæske, oppløsning i ferdigfylt penn</w:t>
      </w:r>
    </w:p>
    <w:p w14:paraId="7F8E5C5E" w14:textId="77777777" w:rsidR="00D20B49" w:rsidRPr="00392F01" w:rsidRDefault="00E453CD" w:rsidP="00D20B49">
      <w:pPr>
        <w:ind w:left="54"/>
        <w:jc w:val="center"/>
        <w:rPr>
          <w:sz w:val="22"/>
          <w:szCs w:val="22"/>
        </w:rPr>
      </w:pPr>
      <w:r w:rsidRPr="00392F01">
        <w:rPr>
          <w:sz w:val="22"/>
          <w:szCs w:val="22"/>
        </w:rPr>
        <w:t>adalimumab</w:t>
      </w:r>
    </w:p>
    <w:p w14:paraId="137A8ECB" w14:textId="77777777" w:rsidR="00D20B49" w:rsidRPr="00392F01" w:rsidRDefault="00D20B49" w:rsidP="00D20B49">
      <w:pPr>
        <w:ind w:left="54"/>
        <w:jc w:val="center"/>
        <w:rPr>
          <w:sz w:val="22"/>
          <w:szCs w:val="22"/>
        </w:rPr>
      </w:pPr>
    </w:p>
    <w:p w14:paraId="5FC4B2F9" w14:textId="77777777" w:rsidR="00D20B49" w:rsidRPr="009C5EFD" w:rsidRDefault="00E453CD" w:rsidP="00602A37">
      <w:pPr>
        <w:rPr>
          <w:sz w:val="22"/>
          <w:szCs w:val="22"/>
        </w:rPr>
      </w:pPr>
      <w:r w:rsidRPr="00392F01">
        <w:rPr>
          <w:b/>
          <w:sz w:val="22"/>
          <w:szCs w:val="22"/>
        </w:rPr>
        <w:t xml:space="preserve">Les nøye gjennom dette pakningsvedlegget før du begynner å bruke dette legemidlet. </w:t>
      </w:r>
      <w:r w:rsidRPr="009C5EFD">
        <w:rPr>
          <w:b/>
          <w:sz w:val="22"/>
          <w:szCs w:val="22"/>
        </w:rPr>
        <w:t>Det inneholder informasjon som er viktig for deg.</w:t>
      </w:r>
    </w:p>
    <w:p w14:paraId="1812E143" w14:textId="77777777" w:rsidR="00D20B49" w:rsidRPr="009C5EFD" w:rsidRDefault="00E453CD" w:rsidP="00D20B49">
      <w:pPr>
        <w:numPr>
          <w:ilvl w:val="0"/>
          <w:numId w:val="1"/>
        </w:numPr>
        <w:ind w:left="567" w:right="-2" w:hanging="567"/>
        <w:rPr>
          <w:sz w:val="22"/>
          <w:szCs w:val="22"/>
        </w:rPr>
      </w:pPr>
      <w:r w:rsidRPr="009C5EFD">
        <w:rPr>
          <w:sz w:val="22"/>
          <w:szCs w:val="22"/>
        </w:rPr>
        <w:t>Ta vare på dette pakningsvedlegget. Du kan få behov for å lese det igjen.</w:t>
      </w:r>
    </w:p>
    <w:p w14:paraId="275882E9" w14:textId="77777777" w:rsidR="00D20B49" w:rsidRPr="009C5EFD" w:rsidRDefault="00E453CD" w:rsidP="00D20B49">
      <w:pPr>
        <w:numPr>
          <w:ilvl w:val="0"/>
          <w:numId w:val="1"/>
        </w:numPr>
        <w:ind w:left="567" w:right="-2" w:hanging="567"/>
        <w:rPr>
          <w:sz w:val="22"/>
          <w:szCs w:val="22"/>
        </w:rPr>
      </w:pPr>
      <w:r w:rsidRPr="009C5EFD">
        <w:rPr>
          <w:sz w:val="22"/>
          <w:szCs w:val="22"/>
        </w:rPr>
        <w:t xml:space="preserve">Legen </w:t>
      </w:r>
      <w:r w:rsidR="00947B0D">
        <w:rPr>
          <w:sz w:val="22"/>
          <w:szCs w:val="22"/>
        </w:rPr>
        <w:t>din</w:t>
      </w:r>
      <w:r w:rsidRPr="009C5EFD">
        <w:rPr>
          <w:sz w:val="22"/>
          <w:szCs w:val="22"/>
        </w:rPr>
        <w:t xml:space="preserve"> vil også gi deg et </w:t>
      </w:r>
      <w:r w:rsidRPr="0061743D">
        <w:rPr>
          <w:b/>
          <w:sz w:val="22"/>
        </w:rPr>
        <w:t>pasientkort</w:t>
      </w:r>
      <w:r w:rsidRPr="009C5EFD">
        <w:rPr>
          <w:sz w:val="22"/>
          <w:szCs w:val="22"/>
        </w:rPr>
        <w:t xml:space="preserve"> som inneholder viktige sikkerhetsopplysninger som du må være oppmerksom på før du </w:t>
      </w:r>
      <w:r w:rsidR="00CF4375">
        <w:rPr>
          <w:sz w:val="22"/>
          <w:szCs w:val="22"/>
        </w:rPr>
        <w:t>begynner å bruke</w:t>
      </w:r>
      <w:r w:rsidRPr="009C5EFD">
        <w:rPr>
          <w:sz w:val="22"/>
          <w:szCs w:val="22"/>
        </w:rPr>
        <w:t xml:space="preserve"> Humira og under behandling med Humira. Ha dette </w:t>
      </w:r>
      <w:r w:rsidRPr="0061743D">
        <w:rPr>
          <w:b/>
          <w:sz w:val="22"/>
        </w:rPr>
        <w:t>pasientkortet</w:t>
      </w:r>
      <w:r w:rsidRPr="009C5EFD">
        <w:rPr>
          <w:sz w:val="22"/>
          <w:szCs w:val="22"/>
        </w:rPr>
        <w:t xml:space="preserve"> på deg.</w:t>
      </w:r>
    </w:p>
    <w:p w14:paraId="09A2E7A2" w14:textId="77777777" w:rsidR="003529B9" w:rsidRPr="003529B9" w:rsidRDefault="00E453CD" w:rsidP="00776A84">
      <w:pPr>
        <w:numPr>
          <w:ilvl w:val="0"/>
          <w:numId w:val="1"/>
        </w:numPr>
        <w:ind w:left="567" w:hanging="567"/>
        <w:rPr>
          <w:sz w:val="22"/>
          <w:szCs w:val="22"/>
        </w:rPr>
      </w:pPr>
      <w:r w:rsidRPr="003529B9">
        <w:rPr>
          <w:sz w:val="22"/>
          <w:szCs w:val="22"/>
        </w:rPr>
        <w:t>Spør lege eller apotek hvis du har flere spørsmål eller trenger</w:t>
      </w:r>
      <w:r>
        <w:rPr>
          <w:sz w:val="22"/>
          <w:szCs w:val="22"/>
        </w:rPr>
        <w:t xml:space="preserve"> </w:t>
      </w:r>
      <w:r w:rsidRPr="003529B9">
        <w:rPr>
          <w:sz w:val="22"/>
          <w:szCs w:val="22"/>
        </w:rPr>
        <w:t xml:space="preserve">mer informasjon. </w:t>
      </w:r>
    </w:p>
    <w:p w14:paraId="499CF42A" w14:textId="77777777" w:rsidR="00D20B49" w:rsidRPr="009C5EFD" w:rsidRDefault="00E453CD" w:rsidP="00D20B49">
      <w:pPr>
        <w:numPr>
          <w:ilvl w:val="0"/>
          <w:numId w:val="1"/>
        </w:numPr>
        <w:ind w:left="567" w:right="-2" w:hanging="567"/>
        <w:rPr>
          <w:b/>
          <w:sz w:val="22"/>
          <w:szCs w:val="22"/>
        </w:rPr>
      </w:pPr>
      <w:r w:rsidRPr="009C5EFD">
        <w:rPr>
          <w:sz w:val="22"/>
          <w:szCs w:val="22"/>
        </w:rPr>
        <w:t>Dette legemidlet er skrevet ut kun til deg. Ikke gi det videre til andre. Det kan skade dem, selv om de har symptomer på sykdom som ligner dine.</w:t>
      </w:r>
    </w:p>
    <w:p w14:paraId="254FBF95" w14:textId="77777777" w:rsidR="00D20B49" w:rsidRPr="009C5EFD" w:rsidRDefault="00E453CD" w:rsidP="00D20B49">
      <w:pPr>
        <w:numPr>
          <w:ilvl w:val="0"/>
          <w:numId w:val="1"/>
        </w:numPr>
        <w:ind w:left="567" w:right="-2" w:hanging="567"/>
        <w:rPr>
          <w:b/>
          <w:sz w:val="22"/>
          <w:szCs w:val="22"/>
        </w:rPr>
      </w:pPr>
      <w:r w:rsidRPr="009C5EFD">
        <w:rPr>
          <w:sz w:val="22"/>
          <w:szCs w:val="22"/>
        </w:rPr>
        <w:t>Kontakt lege</w:t>
      </w:r>
      <w:r w:rsidR="00947B0D">
        <w:rPr>
          <w:sz w:val="22"/>
          <w:szCs w:val="22"/>
        </w:rPr>
        <w:t>n din</w:t>
      </w:r>
      <w:r w:rsidRPr="009C5EFD">
        <w:rPr>
          <w:sz w:val="22"/>
          <w:szCs w:val="22"/>
        </w:rPr>
        <w:t xml:space="preserve"> eller apotek dersom du opplever bivirkninger, inkludert mulige bivirkninger som ikke er nevnt i dette pakningsvedlegget. Se avsnitt 4.</w:t>
      </w:r>
    </w:p>
    <w:p w14:paraId="7F75862D" w14:textId="77777777" w:rsidR="00D20B49" w:rsidRPr="009C5EFD" w:rsidRDefault="00D20B49" w:rsidP="00AF70AD">
      <w:pPr>
        <w:ind w:right="-2"/>
        <w:rPr>
          <w:sz w:val="22"/>
          <w:szCs w:val="22"/>
        </w:rPr>
      </w:pPr>
    </w:p>
    <w:p w14:paraId="5AA95E63" w14:textId="77777777" w:rsidR="00D20B49" w:rsidRPr="009C5EFD" w:rsidRDefault="00E453CD" w:rsidP="00776A84">
      <w:pPr>
        <w:keepNext/>
        <w:rPr>
          <w:sz w:val="22"/>
          <w:szCs w:val="22"/>
        </w:rPr>
      </w:pPr>
      <w:r w:rsidRPr="009C5EFD">
        <w:rPr>
          <w:b/>
          <w:sz w:val="22"/>
          <w:szCs w:val="22"/>
        </w:rPr>
        <w:t>I dette pakningsvedlegget finner du informasjon om</w:t>
      </w:r>
    </w:p>
    <w:p w14:paraId="2E96E77D" w14:textId="77777777" w:rsidR="00D20B49" w:rsidRPr="009C5EFD" w:rsidRDefault="00E453CD" w:rsidP="00D20B49">
      <w:pPr>
        <w:ind w:left="567" w:right="-29" w:hanging="567"/>
        <w:rPr>
          <w:sz w:val="22"/>
          <w:szCs w:val="22"/>
        </w:rPr>
      </w:pPr>
      <w:r w:rsidRPr="009C5EFD">
        <w:rPr>
          <w:sz w:val="22"/>
          <w:szCs w:val="22"/>
        </w:rPr>
        <w:t>1.</w:t>
      </w:r>
      <w:r w:rsidRPr="009C5EFD">
        <w:rPr>
          <w:sz w:val="22"/>
          <w:szCs w:val="22"/>
        </w:rPr>
        <w:tab/>
        <w:t>Hva Humira er og hva det brukes mot</w:t>
      </w:r>
    </w:p>
    <w:p w14:paraId="6E3B72FC" w14:textId="77777777" w:rsidR="00D20B49" w:rsidRPr="009C5EFD" w:rsidRDefault="00E453CD" w:rsidP="00D20B49">
      <w:pPr>
        <w:ind w:left="567" w:right="-29" w:hanging="567"/>
        <w:rPr>
          <w:sz w:val="22"/>
          <w:szCs w:val="22"/>
        </w:rPr>
      </w:pPr>
      <w:r w:rsidRPr="009C5EFD">
        <w:rPr>
          <w:sz w:val="22"/>
          <w:szCs w:val="22"/>
        </w:rPr>
        <w:t>2.</w:t>
      </w:r>
      <w:r w:rsidRPr="009C5EFD">
        <w:rPr>
          <w:sz w:val="22"/>
          <w:szCs w:val="22"/>
        </w:rPr>
        <w:tab/>
        <w:t>Hva du må vite før du bruker Humira</w:t>
      </w:r>
    </w:p>
    <w:p w14:paraId="79B71FCF" w14:textId="77777777" w:rsidR="00D20B49" w:rsidRPr="009C5EFD" w:rsidRDefault="00E453CD" w:rsidP="00D20B49">
      <w:pPr>
        <w:ind w:left="567" w:right="-29" w:hanging="567"/>
        <w:rPr>
          <w:sz w:val="22"/>
          <w:szCs w:val="22"/>
        </w:rPr>
      </w:pPr>
      <w:r w:rsidRPr="009C5EFD">
        <w:rPr>
          <w:sz w:val="22"/>
          <w:szCs w:val="22"/>
        </w:rPr>
        <w:t>3.</w:t>
      </w:r>
      <w:r w:rsidRPr="009C5EFD">
        <w:rPr>
          <w:sz w:val="22"/>
          <w:szCs w:val="22"/>
        </w:rPr>
        <w:tab/>
        <w:t>Hvordan du bruker Humira</w:t>
      </w:r>
    </w:p>
    <w:p w14:paraId="014C488E" w14:textId="77777777" w:rsidR="00D20B49" w:rsidRPr="009C5EFD" w:rsidRDefault="00E453CD" w:rsidP="00D20B49">
      <w:pPr>
        <w:ind w:left="567" w:right="-29" w:hanging="567"/>
        <w:rPr>
          <w:sz w:val="22"/>
          <w:szCs w:val="22"/>
        </w:rPr>
      </w:pPr>
      <w:r w:rsidRPr="009C5EFD">
        <w:rPr>
          <w:sz w:val="22"/>
          <w:szCs w:val="22"/>
        </w:rPr>
        <w:t>4.</w:t>
      </w:r>
      <w:r w:rsidRPr="009C5EFD">
        <w:rPr>
          <w:sz w:val="22"/>
          <w:szCs w:val="22"/>
        </w:rPr>
        <w:tab/>
        <w:t>Mulige bivirkninger</w:t>
      </w:r>
    </w:p>
    <w:p w14:paraId="668828E7" w14:textId="77777777" w:rsidR="00D20B49" w:rsidRPr="009C5EFD" w:rsidRDefault="00E453CD" w:rsidP="00D20B49">
      <w:pPr>
        <w:ind w:left="567" w:right="-29" w:hanging="567"/>
        <w:rPr>
          <w:sz w:val="22"/>
          <w:szCs w:val="22"/>
        </w:rPr>
      </w:pPr>
      <w:r w:rsidRPr="009C5EFD">
        <w:rPr>
          <w:sz w:val="22"/>
          <w:szCs w:val="22"/>
        </w:rPr>
        <w:t>5.</w:t>
      </w:r>
      <w:r w:rsidRPr="009C5EFD">
        <w:rPr>
          <w:sz w:val="22"/>
          <w:szCs w:val="22"/>
        </w:rPr>
        <w:tab/>
        <w:t>Hvordan du oppbevarer Humira</w:t>
      </w:r>
    </w:p>
    <w:p w14:paraId="10962467" w14:textId="77777777" w:rsidR="00D20B49" w:rsidRPr="009C5EFD" w:rsidRDefault="00E453CD" w:rsidP="00D20B49">
      <w:pPr>
        <w:ind w:left="567" w:right="-29" w:hanging="567"/>
        <w:rPr>
          <w:sz w:val="22"/>
          <w:szCs w:val="22"/>
        </w:rPr>
      </w:pPr>
      <w:r w:rsidRPr="009C5EFD">
        <w:rPr>
          <w:sz w:val="22"/>
          <w:szCs w:val="22"/>
        </w:rPr>
        <w:t>6.</w:t>
      </w:r>
      <w:r w:rsidRPr="009C5EFD">
        <w:rPr>
          <w:sz w:val="22"/>
          <w:szCs w:val="22"/>
        </w:rPr>
        <w:tab/>
        <w:t>Innholdet i pakningen og ytterligere informasjon</w:t>
      </w:r>
    </w:p>
    <w:p w14:paraId="6AFF335F" w14:textId="77777777" w:rsidR="00CF4375" w:rsidRPr="009C5EFD" w:rsidRDefault="00E453CD" w:rsidP="00D20B49">
      <w:pPr>
        <w:ind w:left="567" w:right="-29" w:hanging="567"/>
        <w:rPr>
          <w:sz w:val="22"/>
          <w:szCs w:val="22"/>
        </w:rPr>
      </w:pPr>
      <w:r>
        <w:rPr>
          <w:sz w:val="22"/>
          <w:szCs w:val="22"/>
        </w:rPr>
        <w:t>7.</w:t>
      </w:r>
      <w:r>
        <w:rPr>
          <w:sz w:val="22"/>
          <w:szCs w:val="22"/>
        </w:rPr>
        <w:tab/>
      </w:r>
      <w:r w:rsidR="00906D19">
        <w:rPr>
          <w:sz w:val="22"/>
          <w:szCs w:val="22"/>
        </w:rPr>
        <w:t>Hvordan du injiserer Humira</w:t>
      </w:r>
    </w:p>
    <w:p w14:paraId="5B62A6F1" w14:textId="77777777" w:rsidR="00D20B49" w:rsidRPr="009C5EFD" w:rsidRDefault="00D20B49" w:rsidP="00D20B49">
      <w:pPr>
        <w:ind w:right="-29"/>
        <w:rPr>
          <w:sz w:val="22"/>
          <w:szCs w:val="22"/>
        </w:rPr>
      </w:pPr>
    </w:p>
    <w:p w14:paraId="72AB46E3" w14:textId="77777777" w:rsidR="00D20B49" w:rsidRPr="009C5EFD" w:rsidRDefault="00D20B49" w:rsidP="00D20B49">
      <w:pPr>
        <w:suppressAutoHyphens/>
        <w:rPr>
          <w:sz w:val="22"/>
          <w:szCs w:val="22"/>
        </w:rPr>
      </w:pPr>
    </w:p>
    <w:p w14:paraId="2FCB5C6A" w14:textId="77777777" w:rsidR="00D20B49" w:rsidRPr="009C5EFD" w:rsidRDefault="00E453CD" w:rsidP="00776A84">
      <w:pPr>
        <w:keepNext/>
        <w:suppressAutoHyphens/>
        <w:ind w:left="567" w:hanging="567"/>
        <w:rPr>
          <w:sz w:val="22"/>
          <w:szCs w:val="22"/>
        </w:rPr>
      </w:pPr>
      <w:r w:rsidRPr="009C5EFD">
        <w:rPr>
          <w:b/>
          <w:sz w:val="22"/>
          <w:szCs w:val="22"/>
        </w:rPr>
        <w:t>1.</w:t>
      </w:r>
      <w:r w:rsidRPr="009C5EFD">
        <w:rPr>
          <w:b/>
          <w:sz w:val="22"/>
          <w:szCs w:val="22"/>
        </w:rPr>
        <w:tab/>
        <w:t>Hva Humira er og hva det brukes mot</w:t>
      </w:r>
    </w:p>
    <w:p w14:paraId="27A5225B" w14:textId="77777777" w:rsidR="00D20B49" w:rsidRPr="009C5EFD" w:rsidRDefault="00D20B49" w:rsidP="00776A84">
      <w:pPr>
        <w:keepNext/>
        <w:suppressAutoHyphens/>
        <w:ind w:left="567" w:hanging="567"/>
        <w:rPr>
          <w:sz w:val="22"/>
          <w:szCs w:val="22"/>
        </w:rPr>
      </w:pPr>
    </w:p>
    <w:p w14:paraId="0523BA5B" w14:textId="77777777" w:rsidR="00D20B49" w:rsidRPr="009C5EFD" w:rsidRDefault="00E453CD" w:rsidP="00D20B49">
      <w:pPr>
        <w:suppressAutoHyphens/>
        <w:rPr>
          <w:sz w:val="22"/>
          <w:szCs w:val="22"/>
        </w:rPr>
      </w:pPr>
      <w:r w:rsidRPr="009C5EFD">
        <w:rPr>
          <w:sz w:val="22"/>
          <w:szCs w:val="22"/>
        </w:rPr>
        <w:t>Humira inneholder virkestoffet adalimumab.</w:t>
      </w:r>
    </w:p>
    <w:p w14:paraId="46B0D880" w14:textId="77777777" w:rsidR="00D20B49" w:rsidRPr="009C5EFD" w:rsidRDefault="00D20B49" w:rsidP="00D20B49">
      <w:pPr>
        <w:suppressAutoHyphens/>
        <w:rPr>
          <w:sz w:val="22"/>
          <w:szCs w:val="22"/>
        </w:rPr>
      </w:pPr>
    </w:p>
    <w:p w14:paraId="096E7D1F" w14:textId="77777777" w:rsidR="0099750B" w:rsidRDefault="00E453CD" w:rsidP="00D20B49">
      <w:pPr>
        <w:suppressAutoHyphens/>
        <w:rPr>
          <w:sz w:val="22"/>
          <w:szCs w:val="22"/>
        </w:rPr>
      </w:pPr>
      <w:r w:rsidRPr="009C5EFD">
        <w:rPr>
          <w:sz w:val="22"/>
          <w:szCs w:val="22"/>
        </w:rPr>
        <w:t xml:space="preserve">Humira brukes </w:t>
      </w:r>
      <w:r w:rsidR="00F15F2A">
        <w:rPr>
          <w:sz w:val="22"/>
          <w:szCs w:val="22"/>
        </w:rPr>
        <w:t>til</w:t>
      </w:r>
      <w:r w:rsidR="00F15F2A" w:rsidRPr="009C5EFD">
        <w:rPr>
          <w:sz w:val="22"/>
          <w:szCs w:val="22"/>
        </w:rPr>
        <w:t xml:space="preserve"> </w:t>
      </w:r>
      <w:r>
        <w:rPr>
          <w:sz w:val="22"/>
          <w:szCs w:val="22"/>
        </w:rPr>
        <w:t>å behandle</w:t>
      </w:r>
    </w:p>
    <w:p w14:paraId="6EC2C0D6" w14:textId="77777777" w:rsidR="0099750B" w:rsidRPr="0099750B" w:rsidRDefault="00E453CD" w:rsidP="0099750B">
      <w:pPr>
        <w:numPr>
          <w:ilvl w:val="0"/>
          <w:numId w:val="108"/>
        </w:numPr>
        <w:tabs>
          <w:tab w:val="left" w:pos="562"/>
          <w:tab w:val="left" w:pos="720"/>
        </w:tabs>
        <w:suppressAutoHyphens/>
        <w:rPr>
          <w:sz w:val="22"/>
          <w:lang w:val="en-GB"/>
        </w:rPr>
      </w:pPr>
      <w:r>
        <w:rPr>
          <w:sz w:val="22"/>
          <w:lang w:val="en-GB"/>
        </w:rPr>
        <w:t>R</w:t>
      </w:r>
      <w:r w:rsidRPr="009C5EFD">
        <w:rPr>
          <w:sz w:val="22"/>
          <w:szCs w:val="22"/>
        </w:rPr>
        <w:t>evmatoid artritt</w:t>
      </w:r>
    </w:p>
    <w:p w14:paraId="406CC2E2" w14:textId="77777777" w:rsidR="0099750B" w:rsidRPr="0099750B" w:rsidRDefault="00E453CD" w:rsidP="0099750B">
      <w:pPr>
        <w:numPr>
          <w:ilvl w:val="0"/>
          <w:numId w:val="108"/>
        </w:numPr>
        <w:tabs>
          <w:tab w:val="left" w:pos="562"/>
          <w:tab w:val="left" w:pos="720"/>
        </w:tabs>
        <w:suppressAutoHyphens/>
        <w:rPr>
          <w:sz w:val="22"/>
          <w:lang w:val="en-GB"/>
        </w:rPr>
      </w:pPr>
      <w:r w:rsidRPr="0099750B">
        <w:rPr>
          <w:sz w:val="22"/>
          <w:lang w:val="en-GB"/>
        </w:rPr>
        <w:t>P</w:t>
      </w:r>
      <w:r w:rsidRPr="00887835">
        <w:rPr>
          <w:sz w:val="22"/>
          <w:szCs w:val="22"/>
          <w:lang w:val="en-US"/>
        </w:rPr>
        <w:t>olyartikulær juvenil idiopatisk artritt</w:t>
      </w:r>
    </w:p>
    <w:p w14:paraId="277D3CBB" w14:textId="77777777" w:rsidR="0099750B" w:rsidRPr="00887835" w:rsidRDefault="00E453CD" w:rsidP="0099750B">
      <w:pPr>
        <w:numPr>
          <w:ilvl w:val="0"/>
          <w:numId w:val="108"/>
        </w:numPr>
        <w:tabs>
          <w:tab w:val="left" w:pos="562"/>
          <w:tab w:val="left" w:pos="720"/>
        </w:tabs>
        <w:suppressAutoHyphens/>
        <w:rPr>
          <w:sz w:val="22"/>
        </w:rPr>
      </w:pPr>
      <w:r>
        <w:rPr>
          <w:sz w:val="22"/>
        </w:rPr>
        <w:t>E</w:t>
      </w:r>
      <w:r w:rsidRPr="009C5EFD">
        <w:rPr>
          <w:sz w:val="22"/>
          <w:szCs w:val="22"/>
        </w:rPr>
        <w:t>ntesittrelatert artritt</w:t>
      </w:r>
    </w:p>
    <w:p w14:paraId="0A8FA99A" w14:textId="77777777" w:rsidR="0099750B" w:rsidRPr="00887835" w:rsidRDefault="00E453CD" w:rsidP="0099750B">
      <w:pPr>
        <w:numPr>
          <w:ilvl w:val="0"/>
          <w:numId w:val="108"/>
        </w:numPr>
        <w:tabs>
          <w:tab w:val="left" w:pos="562"/>
          <w:tab w:val="left" w:pos="720"/>
        </w:tabs>
        <w:suppressAutoHyphens/>
        <w:rPr>
          <w:sz w:val="22"/>
        </w:rPr>
      </w:pPr>
      <w:r w:rsidRPr="009C5EFD">
        <w:rPr>
          <w:sz w:val="22"/>
          <w:szCs w:val="22"/>
        </w:rPr>
        <w:t>Bekhterevs sykdom (ankyloseren</w:t>
      </w:r>
      <w:r>
        <w:rPr>
          <w:sz w:val="22"/>
          <w:szCs w:val="22"/>
        </w:rPr>
        <w:t>de spondylitt)</w:t>
      </w:r>
    </w:p>
    <w:p w14:paraId="446A405A" w14:textId="77777777" w:rsidR="0099750B" w:rsidRPr="00887835" w:rsidRDefault="00E453CD" w:rsidP="0099750B">
      <w:pPr>
        <w:numPr>
          <w:ilvl w:val="0"/>
          <w:numId w:val="108"/>
        </w:numPr>
        <w:tabs>
          <w:tab w:val="left" w:pos="562"/>
          <w:tab w:val="left" w:pos="720"/>
        </w:tabs>
        <w:suppressAutoHyphens/>
        <w:rPr>
          <w:sz w:val="22"/>
        </w:rPr>
      </w:pPr>
      <w:r w:rsidRPr="0099750B">
        <w:rPr>
          <w:sz w:val="22"/>
        </w:rPr>
        <w:t>A</w:t>
      </w:r>
      <w:r w:rsidRPr="009C5EFD">
        <w:rPr>
          <w:sz w:val="22"/>
          <w:szCs w:val="22"/>
        </w:rPr>
        <w:t>ksial spondylartritt uten radiografisk bekreftelse på ankyloserende spondylitt</w:t>
      </w:r>
    </w:p>
    <w:p w14:paraId="3B339A82" w14:textId="77777777" w:rsidR="0099750B" w:rsidRPr="0099750B" w:rsidRDefault="00E453CD" w:rsidP="0099750B">
      <w:pPr>
        <w:numPr>
          <w:ilvl w:val="0"/>
          <w:numId w:val="108"/>
        </w:numPr>
        <w:tabs>
          <w:tab w:val="left" w:pos="562"/>
          <w:tab w:val="left" w:pos="720"/>
        </w:tabs>
        <w:suppressAutoHyphens/>
        <w:rPr>
          <w:sz w:val="22"/>
          <w:lang w:val="en-GB"/>
        </w:rPr>
      </w:pPr>
      <w:r>
        <w:rPr>
          <w:sz w:val="22"/>
          <w:lang w:val="en-GB"/>
        </w:rPr>
        <w:t>P</w:t>
      </w:r>
      <w:r w:rsidRPr="009C5EFD">
        <w:rPr>
          <w:sz w:val="22"/>
          <w:szCs w:val="22"/>
        </w:rPr>
        <w:t>soriasisartritt</w:t>
      </w:r>
    </w:p>
    <w:p w14:paraId="45BB3096" w14:textId="77777777" w:rsidR="0099750B" w:rsidRPr="0099750B" w:rsidRDefault="00E453CD" w:rsidP="0099750B">
      <w:pPr>
        <w:numPr>
          <w:ilvl w:val="0"/>
          <w:numId w:val="108"/>
        </w:numPr>
        <w:tabs>
          <w:tab w:val="left" w:pos="562"/>
          <w:tab w:val="left" w:pos="720"/>
        </w:tabs>
        <w:suppressAutoHyphens/>
        <w:rPr>
          <w:sz w:val="22"/>
          <w:lang w:val="en-GB"/>
        </w:rPr>
      </w:pPr>
      <w:r>
        <w:rPr>
          <w:sz w:val="22"/>
          <w:lang w:val="en-GB"/>
        </w:rPr>
        <w:t>P</w:t>
      </w:r>
      <w:r w:rsidR="00B57619">
        <w:rPr>
          <w:sz w:val="22"/>
          <w:lang w:val="en-GB"/>
        </w:rPr>
        <w:t>lakkp</w:t>
      </w:r>
      <w:r w:rsidRPr="0099750B">
        <w:rPr>
          <w:sz w:val="22"/>
          <w:lang w:val="en-GB"/>
        </w:rPr>
        <w:t>soriasis</w:t>
      </w:r>
    </w:p>
    <w:p w14:paraId="3943CFA5" w14:textId="77777777" w:rsidR="0099750B" w:rsidRPr="0099750B" w:rsidRDefault="00E453CD" w:rsidP="0099750B">
      <w:pPr>
        <w:numPr>
          <w:ilvl w:val="0"/>
          <w:numId w:val="108"/>
        </w:numPr>
        <w:tabs>
          <w:tab w:val="left" w:pos="562"/>
          <w:tab w:val="left" w:pos="720"/>
        </w:tabs>
        <w:suppressAutoHyphens/>
        <w:rPr>
          <w:sz w:val="22"/>
          <w:lang w:val="en-GB"/>
        </w:rPr>
      </w:pPr>
      <w:r>
        <w:rPr>
          <w:sz w:val="22"/>
          <w:lang w:val="en-GB"/>
        </w:rPr>
        <w:t>H</w:t>
      </w:r>
      <w:r w:rsidRPr="009C5EFD">
        <w:rPr>
          <w:sz w:val="22"/>
          <w:szCs w:val="22"/>
        </w:rPr>
        <w:t>idrosadenitt</w:t>
      </w:r>
    </w:p>
    <w:p w14:paraId="7981CF05" w14:textId="77777777" w:rsidR="0099750B" w:rsidRDefault="00E453CD" w:rsidP="0099750B">
      <w:pPr>
        <w:numPr>
          <w:ilvl w:val="0"/>
          <w:numId w:val="108"/>
        </w:numPr>
        <w:tabs>
          <w:tab w:val="left" w:pos="562"/>
          <w:tab w:val="left" w:pos="720"/>
        </w:tabs>
        <w:suppressAutoHyphens/>
        <w:rPr>
          <w:sz w:val="22"/>
          <w:lang w:val="en-GB"/>
        </w:rPr>
      </w:pPr>
      <w:r w:rsidRPr="0099750B">
        <w:rPr>
          <w:sz w:val="22"/>
          <w:lang w:val="en-GB"/>
        </w:rPr>
        <w:t xml:space="preserve">Crohns </w:t>
      </w:r>
      <w:r w:rsidRPr="009C5EFD">
        <w:rPr>
          <w:sz w:val="22"/>
          <w:szCs w:val="22"/>
        </w:rPr>
        <w:t>sykdom</w:t>
      </w:r>
    </w:p>
    <w:p w14:paraId="03EFEA1B" w14:textId="77777777" w:rsidR="0099750B" w:rsidRPr="0061743D" w:rsidRDefault="00E453CD" w:rsidP="0099750B">
      <w:pPr>
        <w:numPr>
          <w:ilvl w:val="0"/>
          <w:numId w:val="108"/>
        </w:numPr>
        <w:tabs>
          <w:tab w:val="left" w:pos="562"/>
          <w:tab w:val="left" w:pos="720"/>
        </w:tabs>
        <w:suppressAutoHyphens/>
        <w:rPr>
          <w:sz w:val="22"/>
          <w:lang w:val="en-GB"/>
        </w:rPr>
      </w:pPr>
      <w:r>
        <w:rPr>
          <w:sz w:val="22"/>
          <w:szCs w:val="22"/>
        </w:rPr>
        <w:t>U</w:t>
      </w:r>
      <w:r w:rsidRPr="009C5EFD">
        <w:rPr>
          <w:sz w:val="22"/>
          <w:szCs w:val="22"/>
        </w:rPr>
        <w:t>lcerøs kolitt</w:t>
      </w:r>
    </w:p>
    <w:p w14:paraId="25F4C7E1" w14:textId="77777777" w:rsidR="00704987" w:rsidRPr="0061743D" w:rsidRDefault="00E453CD" w:rsidP="00704987">
      <w:pPr>
        <w:numPr>
          <w:ilvl w:val="0"/>
          <w:numId w:val="108"/>
        </w:numPr>
        <w:tabs>
          <w:tab w:val="left" w:pos="562"/>
          <w:tab w:val="left" w:pos="720"/>
        </w:tabs>
        <w:suppressAutoHyphens/>
        <w:rPr>
          <w:sz w:val="22"/>
        </w:rPr>
      </w:pPr>
      <w:r>
        <w:rPr>
          <w:sz w:val="22"/>
        </w:rPr>
        <w:t>I</w:t>
      </w:r>
      <w:r w:rsidRPr="0061743D">
        <w:rPr>
          <w:sz w:val="22"/>
        </w:rPr>
        <w:t>kke-infeksiøs uveitt</w:t>
      </w:r>
    </w:p>
    <w:p w14:paraId="3AA4D3D0" w14:textId="77777777" w:rsidR="00845B5C" w:rsidRPr="009C5EFD" w:rsidRDefault="00845B5C" w:rsidP="00D20B49">
      <w:pPr>
        <w:suppressAutoHyphens/>
        <w:rPr>
          <w:sz w:val="22"/>
          <w:szCs w:val="22"/>
        </w:rPr>
      </w:pPr>
    </w:p>
    <w:p w14:paraId="605E9A91" w14:textId="77777777" w:rsidR="00925B5E" w:rsidRDefault="00E453CD" w:rsidP="00925B5E">
      <w:pPr>
        <w:rPr>
          <w:sz w:val="22"/>
          <w:szCs w:val="22"/>
        </w:rPr>
      </w:pPr>
      <w:r>
        <w:rPr>
          <w:sz w:val="22"/>
          <w:szCs w:val="22"/>
        </w:rPr>
        <w:t>Virkestoffet i Humira, adalimumab, er et humant monoklonalt antistoff. Monoklonale antistoffer er proteiner som fester seg til et spesifikt mål.</w:t>
      </w:r>
    </w:p>
    <w:p w14:paraId="285C9BDF" w14:textId="77777777" w:rsidR="00925B5E" w:rsidRDefault="00925B5E" w:rsidP="00925B5E">
      <w:pPr>
        <w:rPr>
          <w:sz w:val="22"/>
          <w:szCs w:val="22"/>
        </w:rPr>
      </w:pPr>
    </w:p>
    <w:p w14:paraId="03D482C5" w14:textId="77777777" w:rsidR="00845B5C" w:rsidRPr="00513F22" w:rsidRDefault="00E453CD" w:rsidP="00887835">
      <w:pPr>
        <w:rPr>
          <w:sz w:val="22"/>
          <w:szCs w:val="22"/>
        </w:rPr>
      </w:pPr>
      <w:r>
        <w:rPr>
          <w:sz w:val="22"/>
          <w:szCs w:val="22"/>
        </w:rPr>
        <w:t>Målet til adalimumab er et protein som kalles tumornekrosefaktor (TNFα), som er involvert i immunforsvaret. Ved betennelsessykdommene ovenfor foreligger det i økte nivåer. Ved å feste seg til TNFα, senker Humira betennelsesprosessen ved disse tilstandene.</w:t>
      </w:r>
    </w:p>
    <w:p w14:paraId="0AA9815B" w14:textId="77777777" w:rsidR="00845B5C" w:rsidRPr="00887835" w:rsidRDefault="00845B5C" w:rsidP="00887835"/>
    <w:p w14:paraId="23D445F8" w14:textId="77777777" w:rsidR="00D20B49" w:rsidRPr="0061743D" w:rsidRDefault="00E453CD" w:rsidP="00AF70AD">
      <w:pPr>
        <w:pStyle w:val="Heading2"/>
        <w:suppressAutoHyphens/>
        <w:ind w:left="0"/>
        <w:rPr>
          <w:b/>
          <w:u w:val="none"/>
        </w:rPr>
      </w:pPr>
      <w:r w:rsidRPr="0061743D">
        <w:rPr>
          <w:b/>
          <w:u w:val="none"/>
        </w:rPr>
        <w:t>Revmatoid artritt</w:t>
      </w:r>
    </w:p>
    <w:p w14:paraId="218D00A1" w14:textId="77777777" w:rsidR="00D20B49" w:rsidRPr="009C5EFD" w:rsidRDefault="00D20B49" w:rsidP="00AF70AD">
      <w:pPr>
        <w:pStyle w:val="EndnoteText"/>
        <w:keepNext/>
        <w:widowControl/>
        <w:tabs>
          <w:tab w:val="clear" w:pos="567"/>
        </w:tabs>
        <w:suppressAutoHyphens/>
        <w:rPr>
          <w:szCs w:val="22"/>
          <w:lang w:val="nb-NO"/>
        </w:rPr>
      </w:pPr>
    </w:p>
    <w:p w14:paraId="395DE98B" w14:textId="77777777" w:rsidR="00D20B49" w:rsidRPr="009C5EFD" w:rsidRDefault="00E453CD" w:rsidP="00D20B49">
      <w:pPr>
        <w:pStyle w:val="EndnoteText"/>
        <w:widowControl/>
        <w:tabs>
          <w:tab w:val="clear" w:pos="567"/>
        </w:tabs>
        <w:suppressAutoHyphens/>
        <w:rPr>
          <w:szCs w:val="22"/>
          <w:lang w:val="nb-NO"/>
        </w:rPr>
      </w:pPr>
      <w:r w:rsidRPr="009C5EFD">
        <w:rPr>
          <w:szCs w:val="22"/>
          <w:lang w:val="nb-NO"/>
        </w:rPr>
        <w:t>Revmatoid artritt er en betennelsessykdom i leddene.</w:t>
      </w:r>
    </w:p>
    <w:p w14:paraId="62D55728" w14:textId="77777777" w:rsidR="00D20B49" w:rsidRPr="009C5EFD" w:rsidRDefault="00D20B49" w:rsidP="00D20B49">
      <w:pPr>
        <w:suppressAutoHyphens/>
        <w:rPr>
          <w:sz w:val="22"/>
          <w:szCs w:val="22"/>
        </w:rPr>
      </w:pPr>
    </w:p>
    <w:p w14:paraId="2D7D7552" w14:textId="77777777" w:rsidR="00D20B49" w:rsidRPr="009C5EFD" w:rsidRDefault="00E453CD" w:rsidP="00D20B49">
      <w:pPr>
        <w:suppressAutoHyphens/>
        <w:rPr>
          <w:sz w:val="22"/>
          <w:szCs w:val="22"/>
        </w:rPr>
      </w:pPr>
      <w:r w:rsidRPr="009C5EFD">
        <w:rPr>
          <w:sz w:val="22"/>
          <w:szCs w:val="22"/>
        </w:rPr>
        <w:lastRenderedPageBreak/>
        <w:t xml:space="preserve">Humira brukes </w:t>
      </w:r>
      <w:r w:rsidR="00F15F2A">
        <w:rPr>
          <w:sz w:val="22"/>
          <w:szCs w:val="22"/>
        </w:rPr>
        <w:t>til</w:t>
      </w:r>
      <w:r w:rsidR="00F15F2A" w:rsidRPr="009C5EFD">
        <w:rPr>
          <w:sz w:val="22"/>
          <w:szCs w:val="22"/>
        </w:rPr>
        <w:t xml:space="preserve"> </w:t>
      </w:r>
      <w:r w:rsidRPr="009C5EFD">
        <w:rPr>
          <w:sz w:val="22"/>
          <w:szCs w:val="22"/>
        </w:rPr>
        <w:t xml:space="preserve">å behandle </w:t>
      </w:r>
      <w:r w:rsidR="00215B66">
        <w:rPr>
          <w:sz w:val="22"/>
          <w:szCs w:val="22"/>
        </w:rPr>
        <w:t xml:space="preserve">moderat til alvorlig </w:t>
      </w:r>
      <w:r w:rsidRPr="009C5EFD">
        <w:rPr>
          <w:sz w:val="22"/>
          <w:szCs w:val="22"/>
        </w:rPr>
        <w:t xml:space="preserve">revmatoid artritt hos voksne. </w:t>
      </w:r>
      <w:r w:rsidR="00215B66">
        <w:rPr>
          <w:sz w:val="22"/>
          <w:szCs w:val="22"/>
        </w:rPr>
        <w:t>Det</w:t>
      </w:r>
      <w:r w:rsidRPr="009C5EFD">
        <w:rPr>
          <w:sz w:val="22"/>
          <w:szCs w:val="22"/>
        </w:rPr>
        <w:t xml:space="preserve"> kan hende du først får andre sykdomsmodifiserende </w:t>
      </w:r>
      <w:r w:rsidR="002E73E5">
        <w:rPr>
          <w:sz w:val="22"/>
          <w:szCs w:val="22"/>
        </w:rPr>
        <w:t>legemidler</w:t>
      </w:r>
      <w:r w:rsidRPr="009C5EFD">
        <w:rPr>
          <w:sz w:val="22"/>
          <w:szCs w:val="22"/>
        </w:rPr>
        <w:t xml:space="preserve">, som metotreksat. Dersom du ikke reagerer godt nok på disse </w:t>
      </w:r>
      <w:r w:rsidR="002E73E5">
        <w:rPr>
          <w:sz w:val="22"/>
          <w:szCs w:val="22"/>
        </w:rPr>
        <w:t>legemidlene</w:t>
      </w:r>
      <w:r w:rsidRPr="009C5EFD">
        <w:rPr>
          <w:sz w:val="22"/>
          <w:szCs w:val="22"/>
        </w:rPr>
        <w:t xml:space="preserve">, vil du få Humira. </w:t>
      </w:r>
    </w:p>
    <w:p w14:paraId="410A91D2" w14:textId="77777777" w:rsidR="00D20B49" w:rsidRPr="009C5EFD" w:rsidRDefault="00D20B49" w:rsidP="00D20B49">
      <w:pPr>
        <w:suppressAutoHyphens/>
        <w:rPr>
          <w:sz w:val="22"/>
          <w:szCs w:val="22"/>
        </w:rPr>
      </w:pPr>
    </w:p>
    <w:p w14:paraId="4D89069F" w14:textId="77777777" w:rsidR="00D20B49" w:rsidRPr="009C5EFD" w:rsidRDefault="00E453CD" w:rsidP="00D20B49">
      <w:pPr>
        <w:suppressAutoHyphens/>
        <w:rPr>
          <w:sz w:val="22"/>
          <w:szCs w:val="22"/>
        </w:rPr>
      </w:pPr>
      <w:r w:rsidRPr="009C5EFD">
        <w:rPr>
          <w:sz w:val="22"/>
          <w:szCs w:val="22"/>
        </w:rPr>
        <w:t xml:space="preserve">Humira kan også brukes </w:t>
      </w:r>
      <w:r w:rsidR="00F15F2A">
        <w:rPr>
          <w:sz w:val="22"/>
          <w:szCs w:val="22"/>
        </w:rPr>
        <w:t>til</w:t>
      </w:r>
      <w:r w:rsidR="00F15F2A" w:rsidRPr="009C5EFD">
        <w:rPr>
          <w:sz w:val="22"/>
          <w:szCs w:val="22"/>
        </w:rPr>
        <w:t xml:space="preserve"> </w:t>
      </w:r>
      <w:r w:rsidRPr="009C5EFD">
        <w:rPr>
          <w:sz w:val="22"/>
          <w:szCs w:val="22"/>
        </w:rPr>
        <w:t>å behandle alvorlig, aktiv og progredierende revmatoid artritt uten tidligere behandling med metotreksat.</w:t>
      </w:r>
    </w:p>
    <w:p w14:paraId="1CCFD9BB" w14:textId="77777777" w:rsidR="00D20B49" w:rsidRPr="009C5EFD" w:rsidRDefault="00D20B49" w:rsidP="00D20B49">
      <w:pPr>
        <w:suppressAutoHyphens/>
        <w:rPr>
          <w:sz w:val="22"/>
          <w:szCs w:val="22"/>
        </w:rPr>
      </w:pPr>
    </w:p>
    <w:p w14:paraId="6CE097D9" w14:textId="77777777" w:rsidR="00D20B49" w:rsidRPr="009C5EFD" w:rsidRDefault="00E453CD" w:rsidP="00D20B49">
      <w:pPr>
        <w:suppressAutoHyphens/>
        <w:rPr>
          <w:sz w:val="22"/>
          <w:szCs w:val="22"/>
        </w:rPr>
      </w:pPr>
      <w:r w:rsidRPr="009C5EFD">
        <w:rPr>
          <w:sz w:val="22"/>
          <w:szCs w:val="22"/>
        </w:rPr>
        <w:t xml:space="preserve">Humira </w:t>
      </w:r>
      <w:r w:rsidR="001D3ABA">
        <w:rPr>
          <w:sz w:val="22"/>
          <w:szCs w:val="22"/>
        </w:rPr>
        <w:t>kan</w:t>
      </w:r>
      <w:r w:rsidRPr="009C5EFD">
        <w:rPr>
          <w:sz w:val="22"/>
          <w:szCs w:val="22"/>
        </w:rPr>
        <w:t xml:space="preserve"> bremse skadevirkninge</w:t>
      </w:r>
      <w:r w:rsidR="00A175FA">
        <w:rPr>
          <w:sz w:val="22"/>
          <w:szCs w:val="22"/>
        </w:rPr>
        <w:t>ne</w:t>
      </w:r>
      <w:r w:rsidRPr="009C5EFD">
        <w:rPr>
          <w:sz w:val="22"/>
          <w:szCs w:val="22"/>
        </w:rPr>
        <w:t xml:space="preserve"> i leddene </w:t>
      </w:r>
      <w:r w:rsidR="001D3ABA">
        <w:rPr>
          <w:sz w:val="22"/>
          <w:szCs w:val="22"/>
        </w:rPr>
        <w:t>for</w:t>
      </w:r>
      <w:r w:rsidR="00A175FA">
        <w:rPr>
          <w:sz w:val="22"/>
          <w:szCs w:val="22"/>
        </w:rPr>
        <w:t>årsaket av betennelsessykdommen</w:t>
      </w:r>
      <w:r w:rsidR="001D3ABA">
        <w:rPr>
          <w:sz w:val="22"/>
          <w:szCs w:val="22"/>
        </w:rPr>
        <w:t xml:space="preserve"> </w:t>
      </w:r>
      <w:r w:rsidRPr="009C5EFD">
        <w:rPr>
          <w:sz w:val="22"/>
          <w:szCs w:val="22"/>
        </w:rPr>
        <w:t xml:space="preserve">og kan hjelpe </w:t>
      </w:r>
      <w:r w:rsidR="00A175FA">
        <w:rPr>
          <w:sz w:val="22"/>
          <w:szCs w:val="22"/>
        </w:rPr>
        <w:t>leddene</w:t>
      </w:r>
      <w:r w:rsidR="00FA34F4">
        <w:rPr>
          <w:sz w:val="22"/>
          <w:szCs w:val="22"/>
        </w:rPr>
        <w:t xml:space="preserve"> med</w:t>
      </w:r>
      <w:r w:rsidR="00A175FA" w:rsidRPr="009C5EFD">
        <w:rPr>
          <w:sz w:val="22"/>
          <w:szCs w:val="22"/>
        </w:rPr>
        <w:t xml:space="preserve"> </w:t>
      </w:r>
      <w:r w:rsidRPr="009C5EFD">
        <w:rPr>
          <w:sz w:val="22"/>
          <w:szCs w:val="22"/>
        </w:rPr>
        <w:t xml:space="preserve">å </w:t>
      </w:r>
      <w:r w:rsidR="00A175FA">
        <w:rPr>
          <w:sz w:val="22"/>
          <w:szCs w:val="22"/>
        </w:rPr>
        <w:t>bevege seg mer fritt</w:t>
      </w:r>
      <w:r w:rsidRPr="009C5EFD">
        <w:rPr>
          <w:sz w:val="22"/>
          <w:szCs w:val="22"/>
        </w:rPr>
        <w:t xml:space="preserve">. </w:t>
      </w:r>
    </w:p>
    <w:p w14:paraId="7F2E5385" w14:textId="77777777" w:rsidR="00D20B49" w:rsidRPr="009C5EFD" w:rsidRDefault="00D20B49" w:rsidP="00D20B49">
      <w:pPr>
        <w:suppressAutoHyphens/>
        <w:rPr>
          <w:sz w:val="22"/>
          <w:szCs w:val="22"/>
        </w:rPr>
      </w:pPr>
    </w:p>
    <w:p w14:paraId="2F47008A" w14:textId="77777777" w:rsidR="00D20B49" w:rsidRPr="009C5EFD" w:rsidRDefault="00E453CD" w:rsidP="00D20B49">
      <w:pPr>
        <w:rPr>
          <w:sz w:val="22"/>
          <w:szCs w:val="22"/>
        </w:rPr>
      </w:pPr>
      <w:r>
        <w:rPr>
          <w:sz w:val="22"/>
          <w:szCs w:val="22"/>
        </w:rPr>
        <w:t>L</w:t>
      </w:r>
      <w:r w:rsidRPr="009C5EFD">
        <w:rPr>
          <w:sz w:val="22"/>
          <w:szCs w:val="22"/>
        </w:rPr>
        <w:t>ege</w:t>
      </w:r>
      <w:r>
        <w:rPr>
          <w:sz w:val="22"/>
          <w:szCs w:val="22"/>
        </w:rPr>
        <w:t>n din</w:t>
      </w:r>
      <w:r w:rsidRPr="009C5EFD">
        <w:rPr>
          <w:sz w:val="22"/>
          <w:szCs w:val="22"/>
        </w:rPr>
        <w:t xml:space="preserve"> </w:t>
      </w:r>
      <w:r>
        <w:rPr>
          <w:sz w:val="22"/>
          <w:szCs w:val="22"/>
        </w:rPr>
        <w:t>vil bestemme om</w:t>
      </w:r>
      <w:r w:rsidRPr="009C5EFD">
        <w:rPr>
          <w:sz w:val="22"/>
          <w:szCs w:val="22"/>
        </w:rPr>
        <w:t xml:space="preserve"> Humira </w:t>
      </w:r>
      <w:r>
        <w:rPr>
          <w:sz w:val="22"/>
          <w:szCs w:val="22"/>
        </w:rPr>
        <w:t xml:space="preserve">skal tas </w:t>
      </w:r>
      <w:r w:rsidRPr="009C5EFD">
        <w:rPr>
          <w:sz w:val="22"/>
          <w:szCs w:val="22"/>
        </w:rPr>
        <w:t xml:space="preserve">sammen med metotreksat </w:t>
      </w:r>
      <w:r>
        <w:rPr>
          <w:sz w:val="22"/>
          <w:szCs w:val="22"/>
        </w:rPr>
        <w:t>eller</w:t>
      </w:r>
      <w:r w:rsidRPr="009C5EFD">
        <w:rPr>
          <w:sz w:val="22"/>
          <w:szCs w:val="22"/>
        </w:rPr>
        <w:t xml:space="preserve"> gis alene.</w:t>
      </w:r>
    </w:p>
    <w:p w14:paraId="51EC8546" w14:textId="77777777" w:rsidR="00D20B49" w:rsidRPr="009C5EFD" w:rsidRDefault="00D20B49" w:rsidP="00D20B49">
      <w:pPr>
        <w:rPr>
          <w:sz w:val="22"/>
          <w:szCs w:val="22"/>
        </w:rPr>
      </w:pPr>
    </w:p>
    <w:p w14:paraId="79C1B1C8" w14:textId="77777777" w:rsidR="00D20B49" w:rsidRPr="0061743D" w:rsidRDefault="00E453CD" w:rsidP="00776A84">
      <w:pPr>
        <w:keepNext/>
        <w:suppressAutoHyphens/>
        <w:rPr>
          <w:b/>
          <w:sz w:val="22"/>
        </w:rPr>
      </w:pPr>
      <w:r w:rsidRPr="0061743D">
        <w:rPr>
          <w:b/>
          <w:sz w:val="22"/>
        </w:rPr>
        <w:t>Polyartikulær juvenil idiopatisk artritt</w:t>
      </w:r>
    </w:p>
    <w:p w14:paraId="16CE4051" w14:textId="77777777" w:rsidR="00D20B49" w:rsidRPr="009C5EFD" w:rsidRDefault="00D20B49" w:rsidP="00776A84">
      <w:pPr>
        <w:keepNext/>
        <w:suppressAutoHyphens/>
        <w:rPr>
          <w:sz w:val="22"/>
          <w:szCs w:val="22"/>
        </w:rPr>
      </w:pPr>
    </w:p>
    <w:p w14:paraId="0186243E" w14:textId="77777777" w:rsidR="00D20B49" w:rsidRPr="009C5EFD" w:rsidRDefault="00E453CD" w:rsidP="00D20B49">
      <w:pPr>
        <w:suppressAutoHyphens/>
        <w:rPr>
          <w:sz w:val="22"/>
          <w:szCs w:val="22"/>
        </w:rPr>
      </w:pPr>
      <w:r w:rsidRPr="009C5EFD">
        <w:rPr>
          <w:sz w:val="22"/>
          <w:szCs w:val="22"/>
        </w:rPr>
        <w:t xml:space="preserve">Polyartikulær juvenil idiopatisk artritt er </w:t>
      </w:r>
      <w:r w:rsidR="00A175FA">
        <w:rPr>
          <w:sz w:val="22"/>
          <w:szCs w:val="22"/>
        </w:rPr>
        <w:t xml:space="preserve">en </w:t>
      </w:r>
      <w:r w:rsidRPr="009C5EFD">
        <w:rPr>
          <w:sz w:val="22"/>
          <w:szCs w:val="22"/>
        </w:rPr>
        <w:t>betennelsessykdom</w:t>
      </w:r>
      <w:r w:rsidR="00A175FA">
        <w:rPr>
          <w:sz w:val="22"/>
          <w:szCs w:val="22"/>
        </w:rPr>
        <w:t xml:space="preserve"> i leddene</w:t>
      </w:r>
      <w:r w:rsidRPr="009C5EFD">
        <w:rPr>
          <w:sz w:val="22"/>
          <w:szCs w:val="22"/>
        </w:rPr>
        <w:t>.</w:t>
      </w:r>
    </w:p>
    <w:p w14:paraId="12291693" w14:textId="77777777" w:rsidR="00D20B49" w:rsidRPr="009C5EFD" w:rsidRDefault="00D20B49" w:rsidP="00D20B49">
      <w:pPr>
        <w:rPr>
          <w:sz w:val="22"/>
          <w:szCs w:val="22"/>
        </w:rPr>
      </w:pPr>
    </w:p>
    <w:p w14:paraId="4D53B3C9" w14:textId="77777777" w:rsidR="00D20B49" w:rsidRPr="009C5EFD" w:rsidRDefault="00E453CD" w:rsidP="00D20B49">
      <w:pPr>
        <w:rPr>
          <w:sz w:val="22"/>
          <w:szCs w:val="22"/>
        </w:rPr>
      </w:pPr>
      <w:r w:rsidRPr="009C5EFD">
        <w:rPr>
          <w:sz w:val="22"/>
          <w:szCs w:val="22"/>
        </w:rPr>
        <w:t xml:space="preserve">Humira brukes </w:t>
      </w:r>
      <w:r w:rsidR="00F15F2A">
        <w:rPr>
          <w:sz w:val="22"/>
          <w:szCs w:val="22"/>
        </w:rPr>
        <w:t>til</w:t>
      </w:r>
      <w:r w:rsidR="00F15F2A" w:rsidRPr="009C5EFD">
        <w:rPr>
          <w:sz w:val="22"/>
          <w:szCs w:val="22"/>
        </w:rPr>
        <w:t xml:space="preserve"> </w:t>
      </w:r>
      <w:r w:rsidRPr="009C5EFD">
        <w:rPr>
          <w:sz w:val="22"/>
          <w:szCs w:val="22"/>
        </w:rPr>
        <w:t xml:space="preserve">å behandle polyartikulær juvenil idiopatisk artritt hos </w:t>
      </w:r>
      <w:r w:rsidR="00DE0F5A">
        <w:rPr>
          <w:sz w:val="22"/>
          <w:szCs w:val="22"/>
        </w:rPr>
        <w:t xml:space="preserve">pasienter </w:t>
      </w:r>
      <w:r w:rsidR="00F15F2A">
        <w:rPr>
          <w:sz w:val="22"/>
          <w:szCs w:val="22"/>
        </w:rPr>
        <w:t>over</w:t>
      </w:r>
      <w:r w:rsidRPr="009C5EFD">
        <w:rPr>
          <w:sz w:val="22"/>
          <w:szCs w:val="22"/>
        </w:rPr>
        <w:t xml:space="preserve"> 2 år</w:t>
      </w:r>
      <w:r w:rsidR="00DE0F5A">
        <w:rPr>
          <w:sz w:val="22"/>
          <w:szCs w:val="22"/>
        </w:rPr>
        <w:t>.</w:t>
      </w:r>
      <w:r w:rsidRPr="009C5EFD">
        <w:rPr>
          <w:sz w:val="22"/>
          <w:szCs w:val="22"/>
        </w:rPr>
        <w:t xml:space="preserve"> Det kan hende du først får andre sykdomsmodifiserende </w:t>
      </w:r>
      <w:r w:rsidR="002E73E5">
        <w:rPr>
          <w:sz w:val="22"/>
          <w:szCs w:val="22"/>
        </w:rPr>
        <w:t>legemidler</w:t>
      </w:r>
      <w:r w:rsidRPr="009C5EFD">
        <w:rPr>
          <w:sz w:val="22"/>
          <w:szCs w:val="22"/>
        </w:rPr>
        <w:t xml:space="preserve">, som metotreksat. Dersom du ikke reagerer godt nok på disse </w:t>
      </w:r>
      <w:r w:rsidR="002E73E5">
        <w:rPr>
          <w:sz w:val="22"/>
          <w:szCs w:val="22"/>
        </w:rPr>
        <w:t>legemidlene</w:t>
      </w:r>
      <w:r w:rsidRPr="009C5EFD">
        <w:rPr>
          <w:sz w:val="22"/>
          <w:szCs w:val="22"/>
        </w:rPr>
        <w:t>, vil du få Humira.</w:t>
      </w:r>
    </w:p>
    <w:p w14:paraId="1F24F5B5" w14:textId="77777777" w:rsidR="00845B5C" w:rsidRDefault="00845B5C" w:rsidP="00D20B49">
      <w:pPr>
        <w:rPr>
          <w:sz w:val="22"/>
          <w:szCs w:val="22"/>
        </w:rPr>
      </w:pPr>
    </w:p>
    <w:p w14:paraId="67F2EE14" w14:textId="77777777" w:rsidR="00845B5C" w:rsidRDefault="00E453CD" w:rsidP="00D20B49">
      <w:pPr>
        <w:rPr>
          <w:sz w:val="22"/>
          <w:szCs w:val="22"/>
        </w:rPr>
      </w:pPr>
      <w:r>
        <w:rPr>
          <w:sz w:val="22"/>
          <w:szCs w:val="22"/>
        </w:rPr>
        <w:t>L</w:t>
      </w:r>
      <w:r w:rsidRPr="009C5EFD">
        <w:rPr>
          <w:sz w:val="22"/>
          <w:szCs w:val="22"/>
        </w:rPr>
        <w:t>ege</w:t>
      </w:r>
      <w:r>
        <w:rPr>
          <w:sz w:val="22"/>
          <w:szCs w:val="22"/>
        </w:rPr>
        <w:t>n din</w:t>
      </w:r>
      <w:r w:rsidRPr="009C5EFD">
        <w:rPr>
          <w:sz w:val="22"/>
          <w:szCs w:val="22"/>
        </w:rPr>
        <w:t xml:space="preserve"> </w:t>
      </w:r>
      <w:r>
        <w:rPr>
          <w:sz w:val="22"/>
          <w:szCs w:val="22"/>
        </w:rPr>
        <w:t>vil bestemme om Humira skal tas sammen med</w:t>
      </w:r>
      <w:r w:rsidRPr="009C5EFD">
        <w:rPr>
          <w:sz w:val="22"/>
          <w:szCs w:val="22"/>
        </w:rPr>
        <w:t xml:space="preserve"> metotreksat </w:t>
      </w:r>
      <w:r>
        <w:rPr>
          <w:sz w:val="22"/>
          <w:szCs w:val="22"/>
        </w:rPr>
        <w:t>eller</w:t>
      </w:r>
      <w:r w:rsidRPr="009C5EFD">
        <w:rPr>
          <w:sz w:val="22"/>
          <w:szCs w:val="22"/>
        </w:rPr>
        <w:t xml:space="preserve"> gis alene.</w:t>
      </w:r>
    </w:p>
    <w:p w14:paraId="6DA4607C" w14:textId="77777777" w:rsidR="00A175FA" w:rsidRDefault="00A175FA" w:rsidP="00D20B49">
      <w:pPr>
        <w:rPr>
          <w:sz w:val="22"/>
          <w:szCs w:val="22"/>
        </w:rPr>
      </w:pPr>
    </w:p>
    <w:p w14:paraId="5616727A" w14:textId="77777777" w:rsidR="00A175FA" w:rsidRPr="00887835" w:rsidRDefault="00E453CD" w:rsidP="00776A84">
      <w:pPr>
        <w:keepNext/>
        <w:rPr>
          <w:b/>
          <w:sz w:val="22"/>
          <w:szCs w:val="22"/>
        </w:rPr>
      </w:pPr>
      <w:r w:rsidRPr="00887835">
        <w:rPr>
          <w:b/>
          <w:sz w:val="22"/>
          <w:szCs w:val="22"/>
        </w:rPr>
        <w:t>Entesittrelatert artritt</w:t>
      </w:r>
    </w:p>
    <w:p w14:paraId="36328EDC" w14:textId="77777777" w:rsidR="00D20B49" w:rsidRPr="009C5EFD" w:rsidRDefault="00D20B49" w:rsidP="00776A84">
      <w:pPr>
        <w:keepNext/>
        <w:rPr>
          <w:sz w:val="22"/>
          <w:szCs w:val="22"/>
          <w:u w:val="single"/>
        </w:rPr>
      </w:pPr>
    </w:p>
    <w:p w14:paraId="4C9F4DE9" w14:textId="77777777" w:rsidR="00DE0F5A" w:rsidRPr="00887835" w:rsidRDefault="00E453CD" w:rsidP="00D20B49">
      <w:pPr>
        <w:rPr>
          <w:sz w:val="22"/>
          <w:szCs w:val="22"/>
        </w:rPr>
      </w:pPr>
      <w:r w:rsidRPr="00887835">
        <w:rPr>
          <w:sz w:val="22"/>
          <w:szCs w:val="22"/>
        </w:rPr>
        <w:t>Entesittrelatert artritt er en betennelsessykdom i leddene og de steder hvor sener er festet til benet.</w:t>
      </w:r>
    </w:p>
    <w:p w14:paraId="167CC222" w14:textId="77777777" w:rsidR="00E607B3" w:rsidRPr="00887835" w:rsidRDefault="00E607B3" w:rsidP="00D20B49">
      <w:pPr>
        <w:rPr>
          <w:sz w:val="22"/>
          <w:szCs w:val="22"/>
        </w:rPr>
      </w:pPr>
    </w:p>
    <w:p w14:paraId="4B3047B3" w14:textId="77777777" w:rsidR="00DE0F5A" w:rsidRDefault="00E453CD" w:rsidP="00D20B49">
      <w:pPr>
        <w:rPr>
          <w:sz w:val="22"/>
          <w:szCs w:val="22"/>
          <w:u w:val="single"/>
        </w:rPr>
      </w:pPr>
      <w:r w:rsidRPr="00887835">
        <w:rPr>
          <w:sz w:val="22"/>
          <w:szCs w:val="22"/>
        </w:rPr>
        <w:t xml:space="preserve">Humira brukes </w:t>
      </w:r>
      <w:r w:rsidR="00F15F2A">
        <w:rPr>
          <w:sz w:val="22"/>
          <w:szCs w:val="22"/>
        </w:rPr>
        <w:t>til</w:t>
      </w:r>
      <w:r w:rsidR="00F15F2A" w:rsidRPr="00887835">
        <w:rPr>
          <w:sz w:val="22"/>
          <w:szCs w:val="22"/>
        </w:rPr>
        <w:t xml:space="preserve"> </w:t>
      </w:r>
      <w:r w:rsidRPr="00887835">
        <w:rPr>
          <w:sz w:val="22"/>
          <w:szCs w:val="22"/>
        </w:rPr>
        <w:t xml:space="preserve">å behandle entesittrelatert artritt hos pasienter </w:t>
      </w:r>
      <w:r w:rsidR="00F15F2A">
        <w:rPr>
          <w:sz w:val="22"/>
          <w:szCs w:val="22"/>
        </w:rPr>
        <w:t>over</w:t>
      </w:r>
      <w:r w:rsidRPr="00887835">
        <w:rPr>
          <w:sz w:val="22"/>
          <w:szCs w:val="22"/>
        </w:rPr>
        <w:t xml:space="preserve"> 6 år. </w:t>
      </w:r>
      <w:r w:rsidRPr="009C5EFD">
        <w:rPr>
          <w:sz w:val="22"/>
          <w:szCs w:val="22"/>
        </w:rPr>
        <w:t xml:space="preserve">Det kan hende du først får andre sykdomsmodifiserende </w:t>
      </w:r>
      <w:r w:rsidR="002E73E5">
        <w:rPr>
          <w:sz w:val="22"/>
          <w:szCs w:val="22"/>
        </w:rPr>
        <w:t>legemidler</w:t>
      </w:r>
      <w:r w:rsidRPr="009C5EFD">
        <w:rPr>
          <w:sz w:val="22"/>
          <w:szCs w:val="22"/>
        </w:rPr>
        <w:t xml:space="preserve">, som metotreksat. Dersom du ikke reagerer godt nok på disse </w:t>
      </w:r>
      <w:r w:rsidR="002E73E5">
        <w:rPr>
          <w:sz w:val="22"/>
          <w:szCs w:val="22"/>
        </w:rPr>
        <w:t>legemidlene</w:t>
      </w:r>
      <w:r w:rsidRPr="009C5EFD">
        <w:rPr>
          <w:sz w:val="22"/>
          <w:szCs w:val="22"/>
        </w:rPr>
        <w:t>, vil du få Humira</w:t>
      </w:r>
      <w:r>
        <w:rPr>
          <w:sz w:val="22"/>
          <w:szCs w:val="22"/>
        </w:rPr>
        <w:t>.</w:t>
      </w:r>
    </w:p>
    <w:p w14:paraId="163B8475" w14:textId="77777777" w:rsidR="00DE0F5A" w:rsidRPr="009C5EFD" w:rsidRDefault="00DE0F5A" w:rsidP="00D20B49">
      <w:pPr>
        <w:rPr>
          <w:sz w:val="22"/>
          <w:szCs w:val="22"/>
          <w:u w:val="single"/>
        </w:rPr>
      </w:pPr>
    </w:p>
    <w:p w14:paraId="04553B99" w14:textId="77777777" w:rsidR="00D20B49" w:rsidRPr="0061743D" w:rsidRDefault="00E453CD" w:rsidP="00776A84">
      <w:pPr>
        <w:keepNext/>
        <w:suppressAutoHyphens/>
        <w:rPr>
          <w:b/>
          <w:sz w:val="22"/>
        </w:rPr>
      </w:pPr>
      <w:r w:rsidRPr="0061743D">
        <w:rPr>
          <w:b/>
          <w:sz w:val="22"/>
        </w:rPr>
        <w:t>Bekhterevs sykdom (ankyloserende spondylitt) og aksial spondylartritt uten radiografisk bekreftelse på ankyloserende spondylitt</w:t>
      </w:r>
    </w:p>
    <w:p w14:paraId="54DC0DCF" w14:textId="77777777" w:rsidR="00D20B49" w:rsidRPr="009C5EFD" w:rsidRDefault="00D20B49" w:rsidP="00776A84">
      <w:pPr>
        <w:keepNext/>
        <w:suppressAutoHyphens/>
        <w:rPr>
          <w:sz w:val="22"/>
          <w:szCs w:val="22"/>
        </w:rPr>
      </w:pPr>
    </w:p>
    <w:p w14:paraId="190AA501" w14:textId="77777777" w:rsidR="00D20B49" w:rsidRPr="009C5EFD" w:rsidRDefault="00E453CD" w:rsidP="00D20B49">
      <w:pPr>
        <w:suppressAutoHyphens/>
        <w:rPr>
          <w:sz w:val="22"/>
          <w:szCs w:val="22"/>
        </w:rPr>
      </w:pPr>
      <w:r w:rsidRPr="009C5EFD">
        <w:rPr>
          <w:sz w:val="22"/>
          <w:szCs w:val="22"/>
        </w:rPr>
        <w:t>Bekhterevs sykdom (ankyloserende spondylitt) og aksial spondylartritt uten radiografisk bekreftelse på ankyloserende spondylitt er betennelsessykdommer i ryggsøylen.</w:t>
      </w:r>
    </w:p>
    <w:p w14:paraId="4868D2EE" w14:textId="77777777" w:rsidR="00D20B49" w:rsidRPr="009C5EFD" w:rsidRDefault="00D20B49" w:rsidP="00D20B49">
      <w:pPr>
        <w:rPr>
          <w:sz w:val="22"/>
          <w:szCs w:val="22"/>
        </w:rPr>
      </w:pPr>
    </w:p>
    <w:p w14:paraId="7870DDCF" w14:textId="77777777" w:rsidR="00D20B49" w:rsidRPr="009C5EFD" w:rsidRDefault="00E453CD" w:rsidP="00D20B49">
      <w:pPr>
        <w:rPr>
          <w:sz w:val="22"/>
          <w:szCs w:val="22"/>
        </w:rPr>
      </w:pPr>
      <w:r w:rsidRPr="009C5EFD">
        <w:rPr>
          <w:sz w:val="22"/>
          <w:szCs w:val="22"/>
        </w:rPr>
        <w:t xml:space="preserve">Humira brukes </w:t>
      </w:r>
      <w:r w:rsidR="00F15F2A">
        <w:rPr>
          <w:sz w:val="22"/>
          <w:szCs w:val="22"/>
        </w:rPr>
        <w:t>til</w:t>
      </w:r>
      <w:r w:rsidR="00F15F2A" w:rsidRPr="009C5EFD">
        <w:rPr>
          <w:sz w:val="22"/>
          <w:szCs w:val="22"/>
        </w:rPr>
        <w:t xml:space="preserve"> </w:t>
      </w:r>
      <w:r w:rsidRPr="009C5EFD">
        <w:rPr>
          <w:sz w:val="22"/>
          <w:szCs w:val="22"/>
        </w:rPr>
        <w:t xml:space="preserve">å behandle </w:t>
      </w:r>
      <w:r w:rsidR="00E607B3">
        <w:rPr>
          <w:sz w:val="22"/>
          <w:szCs w:val="22"/>
        </w:rPr>
        <w:t xml:space="preserve">alvorlig </w:t>
      </w:r>
      <w:r w:rsidRPr="001C217B">
        <w:rPr>
          <w:sz w:val="22"/>
          <w:szCs w:val="22"/>
        </w:rPr>
        <w:t>Bekhterevs sykdom (ankyloserende spondylitt) og aksial spondylartritt uten radiografisk bekreftelse på ankyloserende spondylitt hos voksne</w:t>
      </w:r>
      <w:r w:rsidRPr="004B617D">
        <w:rPr>
          <w:sz w:val="22"/>
          <w:szCs w:val="22"/>
        </w:rPr>
        <w:t>.</w:t>
      </w:r>
      <w:r w:rsidRPr="009C5EFD">
        <w:rPr>
          <w:sz w:val="22"/>
          <w:szCs w:val="22"/>
        </w:rPr>
        <w:t xml:space="preserve"> </w:t>
      </w:r>
      <w:r w:rsidR="00E607B3">
        <w:rPr>
          <w:sz w:val="22"/>
          <w:szCs w:val="22"/>
        </w:rPr>
        <w:t>Det kan hende</w:t>
      </w:r>
      <w:r w:rsidRPr="009C5EFD">
        <w:rPr>
          <w:sz w:val="22"/>
          <w:szCs w:val="22"/>
        </w:rPr>
        <w:t xml:space="preserve"> du først få</w:t>
      </w:r>
      <w:r w:rsidR="00E607B3">
        <w:rPr>
          <w:sz w:val="22"/>
          <w:szCs w:val="22"/>
        </w:rPr>
        <w:t>r</w:t>
      </w:r>
      <w:r w:rsidRPr="009C5EFD">
        <w:rPr>
          <w:sz w:val="22"/>
          <w:szCs w:val="22"/>
        </w:rPr>
        <w:t xml:space="preserve"> andre legemidler. Dersom du ikke reagerer godt nok på disse legemidlene, vil du få Humira.</w:t>
      </w:r>
    </w:p>
    <w:p w14:paraId="1CFA36E0" w14:textId="77777777" w:rsidR="00D20B49" w:rsidRPr="009C5EFD" w:rsidRDefault="00D20B49" w:rsidP="00D20B49">
      <w:pPr>
        <w:rPr>
          <w:sz w:val="22"/>
          <w:szCs w:val="22"/>
        </w:rPr>
      </w:pPr>
    </w:p>
    <w:p w14:paraId="4617FFC6" w14:textId="77777777" w:rsidR="00D20B49" w:rsidRPr="0061743D" w:rsidRDefault="00E453CD" w:rsidP="00776A84">
      <w:pPr>
        <w:pStyle w:val="Heading8"/>
        <w:rPr>
          <w:b/>
          <w:u w:val="none"/>
        </w:rPr>
      </w:pPr>
      <w:r w:rsidRPr="0061743D">
        <w:rPr>
          <w:b/>
          <w:u w:val="none"/>
        </w:rPr>
        <w:t>Psoriasisartritt</w:t>
      </w:r>
    </w:p>
    <w:p w14:paraId="21BC24F3" w14:textId="77777777" w:rsidR="00D20B49" w:rsidRPr="009C5EFD" w:rsidRDefault="00D20B49" w:rsidP="00776A84">
      <w:pPr>
        <w:keepNext/>
        <w:rPr>
          <w:sz w:val="22"/>
          <w:szCs w:val="22"/>
        </w:rPr>
      </w:pPr>
    </w:p>
    <w:p w14:paraId="49E245D5" w14:textId="77777777" w:rsidR="00D20B49" w:rsidRPr="009C5EFD" w:rsidRDefault="00E453CD" w:rsidP="00D20B49">
      <w:pPr>
        <w:rPr>
          <w:sz w:val="22"/>
          <w:szCs w:val="22"/>
        </w:rPr>
      </w:pPr>
      <w:r w:rsidRPr="009C5EFD">
        <w:rPr>
          <w:sz w:val="22"/>
          <w:szCs w:val="22"/>
        </w:rPr>
        <w:t xml:space="preserve">Psoriasisartritt er en betennelsessykdom i leddene </w:t>
      </w:r>
      <w:r w:rsidR="00E607B3">
        <w:rPr>
          <w:sz w:val="22"/>
          <w:szCs w:val="22"/>
        </w:rPr>
        <w:t xml:space="preserve">vanligvis </w:t>
      </w:r>
      <w:r w:rsidRPr="009C5EFD">
        <w:rPr>
          <w:sz w:val="22"/>
          <w:szCs w:val="22"/>
        </w:rPr>
        <w:t>assosiert med psoriasis.</w:t>
      </w:r>
    </w:p>
    <w:p w14:paraId="089DE821" w14:textId="77777777" w:rsidR="00D20B49" w:rsidRPr="009C5EFD" w:rsidRDefault="00D20B49" w:rsidP="00D20B49">
      <w:pPr>
        <w:rPr>
          <w:sz w:val="22"/>
          <w:szCs w:val="22"/>
        </w:rPr>
      </w:pPr>
    </w:p>
    <w:p w14:paraId="2CDEF51C" w14:textId="77777777" w:rsidR="00D20B49" w:rsidRPr="009C5EFD" w:rsidRDefault="00E453CD" w:rsidP="00D20B49">
      <w:pPr>
        <w:rPr>
          <w:sz w:val="22"/>
          <w:szCs w:val="22"/>
        </w:rPr>
      </w:pPr>
      <w:r w:rsidRPr="009C5EFD">
        <w:rPr>
          <w:sz w:val="22"/>
          <w:szCs w:val="22"/>
        </w:rPr>
        <w:t xml:space="preserve">Humira brukes </w:t>
      </w:r>
      <w:r w:rsidR="005A7FF2">
        <w:rPr>
          <w:sz w:val="22"/>
          <w:szCs w:val="22"/>
        </w:rPr>
        <w:t>til</w:t>
      </w:r>
      <w:r w:rsidR="005A7FF2" w:rsidRPr="009C5EFD">
        <w:rPr>
          <w:sz w:val="22"/>
          <w:szCs w:val="22"/>
        </w:rPr>
        <w:t xml:space="preserve"> </w:t>
      </w:r>
      <w:r w:rsidRPr="009C5EFD">
        <w:rPr>
          <w:sz w:val="22"/>
          <w:szCs w:val="22"/>
        </w:rPr>
        <w:t xml:space="preserve">å behandle psoriasisartritt hos voksne. Humira </w:t>
      </w:r>
      <w:r w:rsidR="00E607B3">
        <w:rPr>
          <w:sz w:val="22"/>
          <w:szCs w:val="22"/>
        </w:rPr>
        <w:t>kan</w:t>
      </w:r>
      <w:r w:rsidRPr="009C5EFD">
        <w:rPr>
          <w:sz w:val="22"/>
          <w:szCs w:val="22"/>
        </w:rPr>
        <w:t xml:space="preserve"> </w:t>
      </w:r>
      <w:r w:rsidR="00B57619" w:rsidRPr="009C5EFD">
        <w:rPr>
          <w:sz w:val="22"/>
          <w:szCs w:val="22"/>
        </w:rPr>
        <w:t>bremse skadevirkninge</w:t>
      </w:r>
      <w:r w:rsidR="00B57619">
        <w:rPr>
          <w:sz w:val="22"/>
          <w:szCs w:val="22"/>
        </w:rPr>
        <w:t>ne</w:t>
      </w:r>
      <w:r w:rsidRPr="009C5EFD">
        <w:rPr>
          <w:sz w:val="22"/>
          <w:szCs w:val="22"/>
        </w:rPr>
        <w:t xml:space="preserve"> i leddene forårsaket av sykdommen og </w:t>
      </w:r>
      <w:r w:rsidR="00B57619" w:rsidRPr="009C5EFD">
        <w:rPr>
          <w:sz w:val="22"/>
          <w:szCs w:val="22"/>
        </w:rPr>
        <w:t xml:space="preserve">kan hjelpe </w:t>
      </w:r>
      <w:r w:rsidR="00B57619">
        <w:rPr>
          <w:sz w:val="22"/>
          <w:szCs w:val="22"/>
        </w:rPr>
        <w:t>leddene</w:t>
      </w:r>
      <w:r w:rsidR="00E91E4A">
        <w:rPr>
          <w:sz w:val="22"/>
          <w:szCs w:val="22"/>
        </w:rPr>
        <w:t xml:space="preserve"> med</w:t>
      </w:r>
      <w:r w:rsidR="00B57619" w:rsidRPr="009C5EFD">
        <w:rPr>
          <w:sz w:val="22"/>
          <w:szCs w:val="22"/>
        </w:rPr>
        <w:t xml:space="preserve"> å </w:t>
      </w:r>
      <w:r w:rsidR="00B57619">
        <w:rPr>
          <w:sz w:val="22"/>
          <w:szCs w:val="22"/>
        </w:rPr>
        <w:t>bevege seg mer fritt</w:t>
      </w:r>
      <w:r w:rsidRPr="009C5EFD">
        <w:rPr>
          <w:sz w:val="22"/>
          <w:szCs w:val="22"/>
        </w:rPr>
        <w:t>.</w:t>
      </w:r>
      <w:r w:rsidR="00B57619">
        <w:rPr>
          <w:sz w:val="22"/>
          <w:szCs w:val="22"/>
        </w:rPr>
        <w:t xml:space="preserve"> Det kan hende </w:t>
      </w:r>
      <w:r w:rsidR="00B57619" w:rsidRPr="009C5EFD">
        <w:rPr>
          <w:sz w:val="22"/>
          <w:szCs w:val="22"/>
        </w:rPr>
        <w:t>du først få</w:t>
      </w:r>
      <w:r w:rsidR="00B57619">
        <w:rPr>
          <w:sz w:val="22"/>
          <w:szCs w:val="22"/>
        </w:rPr>
        <w:t>r</w:t>
      </w:r>
      <w:r w:rsidR="00B57619" w:rsidRPr="009C5EFD">
        <w:rPr>
          <w:sz w:val="22"/>
          <w:szCs w:val="22"/>
        </w:rPr>
        <w:t xml:space="preserve"> andre </w:t>
      </w:r>
      <w:r w:rsidR="002E73E5">
        <w:rPr>
          <w:sz w:val="22"/>
          <w:szCs w:val="22"/>
        </w:rPr>
        <w:t>legemidler</w:t>
      </w:r>
      <w:r w:rsidR="00B57619">
        <w:rPr>
          <w:sz w:val="22"/>
          <w:szCs w:val="22"/>
        </w:rPr>
        <w:t xml:space="preserve">. </w:t>
      </w:r>
      <w:r w:rsidR="00B57619" w:rsidRPr="009C5EFD">
        <w:rPr>
          <w:sz w:val="22"/>
          <w:szCs w:val="22"/>
        </w:rPr>
        <w:t xml:space="preserve">Dersom du ikke reagerer godt nok på disse </w:t>
      </w:r>
      <w:r w:rsidR="002E73E5">
        <w:rPr>
          <w:sz w:val="22"/>
          <w:szCs w:val="22"/>
        </w:rPr>
        <w:t>legemidlene</w:t>
      </w:r>
      <w:r w:rsidR="00B57619" w:rsidRPr="009C5EFD">
        <w:rPr>
          <w:sz w:val="22"/>
          <w:szCs w:val="22"/>
        </w:rPr>
        <w:t>, vil du få Humira</w:t>
      </w:r>
      <w:r w:rsidR="00B57619">
        <w:rPr>
          <w:sz w:val="22"/>
          <w:szCs w:val="22"/>
        </w:rPr>
        <w:t xml:space="preserve">. </w:t>
      </w:r>
    </w:p>
    <w:p w14:paraId="006DF2B7" w14:textId="77777777" w:rsidR="00D20B49" w:rsidRPr="009C5EFD" w:rsidRDefault="00D20B49" w:rsidP="00D20B49">
      <w:pPr>
        <w:rPr>
          <w:sz w:val="22"/>
          <w:szCs w:val="22"/>
        </w:rPr>
      </w:pPr>
    </w:p>
    <w:p w14:paraId="15050B28" w14:textId="77777777" w:rsidR="00D20B49" w:rsidRPr="009C5EFD" w:rsidRDefault="00E453CD" w:rsidP="00776A84">
      <w:pPr>
        <w:pStyle w:val="Heading8"/>
        <w:rPr>
          <w:szCs w:val="22"/>
        </w:rPr>
      </w:pPr>
      <w:r w:rsidRPr="0061743D">
        <w:rPr>
          <w:b/>
          <w:u w:val="none"/>
        </w:rPr>
        <w:t>Plakkpsoriasis</w:t>
      </w:r>
    </w:p>
    <w:p w14:paraId="7D89CB9B" w14:textId="77777777" w:rsidR="00D20B49" w:rsidRPr="009C5EFD" w:rsidRDefault="00D20B49" w:rsidP="00776A84">
      <w:pPr>
        <w:keepNext/>
        <w:rPr>
          <w:b/>
          <w:sz w:val="22"/>
          <w:szCs w:val="22"/>
        </w:rPr>
      </w:pPr>
    </w:p>
    <w:p w14:paraId="2A54E8FE" w14:textId="77777777" w:rsidR="00D20B49" w:rsidRPr="009C5EFD" w:rsidRDefault="00E453CD" w:rsidP="00D20B49">
      <w:pPr>
        <w:suppressAutoHyphens/>
        <w:rPr>
          <w:sz w:val="22"/>
          <w:szCs w:val="22"/>
        </w:rPr>
      </w:pPr>
      <w:r w:rsidRPr="009C5EFD">
        <w:rPr>
          <w:sz w:val="22"/>
          <w:szCs w:val="22"/>
        </w:rPr>
        <w:t>Plakkpsoriasis er en hudsykdom som forårsaker røde, flassende, tørre flekker på huden dekket med sølvfarget, skjellaktig hud.</w:t>
      </w:r>
      <w:r w:rsidR="0012694E">
        <w:rPr>
          <w:sz w:val="22"/>
          <w:szCs w:val="22"/>
        </w:rPr>
        <w:t xml:space="preserve"> Plakkpsoriasis kan også påvirke neglene, føre til smuldring, fortykkelse og løsning fra neglesengen som kan være smertefullt.</w:t>
      </w:r>
      <w:r w:rsidRPr="009C5EFD">
        <w:rPr>
          <w:sz w:val="22"/>
          <w:szCs w:val="22"/>
        </w:rPr>
        <w:t xml:space="preserve"> </w:t>
      </w:r>
    </w:p>
    <w:p w14:paraId="167B14E5" w14:textId="77777777" w:rsidR="00D20B49" w:rsidRPr="009C5EFD" w:rsidRDefault="00D20B49" w:rsidP="00D20B49">
      <w:pPr>
        <w:rPr>
          <w:b/>
          <w:sz w:val="22"/>
          <w:szCs w:val="22"/>
        </w:rPr>
      </w:pPr>
    </w:p>
    <w:p w14:paraId="0ADD46A6" w14:textId="77777777" w:rsidR="00B57619" w:rsidRDefault="00E453CD" w:rsidP="003764A0">
      <w:pPr>
        <w:keepNext/>
        <w:rPr>
          <w:sz w:val="22"/>
          <w:szCs w:val="22"/>
        </w:rPr>
      </w:pPr>
      <w:r w:rsidRPr="001C217B">
        <w:rPr>
          <w:sz w:val="22"/>
          <w:szCs w:val="22"/>
        </w:rPr>
        <w:lastRenderedPageBreak/>
        <w:t xml:space="preserve">Humira brukes </w:t>
      </w:r>
      <w:r w:rsidR="005A7FF2">
        <w:rPr>
          <w:sz w:val="22"/>
          <w:szCs w:val="22"/>
        </w:rPr>
        <w:t>til</w:t>
      </w:r>
      <w:r w:rsidR="005A7FF2" w:rsidRPr="001C217B">
        <w:rPr>
          <w:sz w:val="22"/>
          <w:szCs w:val="22"/>
        </w:rPr>
        <w:t xml:space="preserve"> </w:t>
      </w:r>
      <w:r w:rsidR="007D72E5">
        <w:rPr>
          <w:sz w:val="22"/>
          <w:szCs w:val="22"/>
        </w:rPr>
        <w:t xml:space="preserve">å </w:t>
      </w:r>
      <w:r w:rsidRPr="001C217B">
        <w:rPr>
          <w:sz w:val="22"/>
          <w:szCs w:val="22"/>
        </w:rPr>
        <w:t>behandl</w:t>
      </w:r>
      <w:r w:rsidR="007D72E5">
        <w:rPr>
          <w:sz w:val="22"/>
          <w:szCs w:val="22"/>
        </w:rPr>
        <w:t>e</w:t>
      </w:r>
    </w:p>
    <w:p w14:paraId="65EBFD48" w14:textId="77777777" w:rsidR="00B57619" w:rsidRPr="00887835" w:rsidRDefault="00E453CD" w:rsidP="003764A0">
      <w:pPr>
        <w:pStyle w:val="EMEANormal"/>
        <w:keepNext/>
        <w:numPr>
          <w:ilvl w:val="0"/>
          <w:numId w:val="109"/>
        </w:numPr>
        <w:tabs>
          <w:tab w:val="clear" w:pos="562"/>
          <w:tab w:val="left" w:pos="720"/>
        </w:tabs>
        <w:rPr>
          <w:szCs w:val="21"/>
          <w:lang w:val="nb-NO"/>
        </w:rPr>
      </w:pPr>
      <w:r w:rsidRPr="0061743D">
        <w:rPr>
          <w:lang w:val="nb-NO"/>
        </w:rPr>
        <w:t xml:space="preserve">moderat til alvorlig </w:t>
      </w:r>
      <w:r w:rsidRPr="00887835">
        <w:rPr>
          <w:szCs w:val="22"/>
          <w:lang w:val="nb-NO"/>
        </w:rPr>
        <w:t xml:space="preserve">kronisk </w:t>
      </w:r>
      <w:r w:rsidRPr="0061743D">
        <w:rPr>
          <w:lang w:val="nb-NO"/>
        </w:rPr>
        <w:t>plakkpsoriasis hos voksne</w:t>
      </w:r>
      <w:r w:rsidRPr="00887835">
        <w:rPr>
          <w:szCs w:val="21"/>
          <w:lang w:val="nb-NO"/>
        </w:rPr>
        <w:t xml:space="preserve"> og</w:t>
      </w:r>
    </w:p>
    <w:p w14:paraId="2960AF17" w14:textId="77777777" w:rsidR="00D20B49" w:rsidRPr="0061743D" w:rsidRDefault="00E453CD" w:rsidP="0061743D">
      <w:pPr>
        <w:pStyle w:val="EMEANormal"/>
        <w:numPr>
          <w:ilvl w:val="0"/>
          <w:numId w:val="109"/>
        </w:numPr>
        <w:tabs>
          <w:tab w:val="clear" w:pos="562"/>
          <w:tab w:val="left" w:pos="720"/>
        </w:tabs>
        <w:rPr>
          <w:lang w:val="nb-NO"/>
        </w:rPr>
      </w:pPr>
      <w:r w:rsidRPr="0061743D">
        <w:rPr>
          <w:lang w:val="nb-NO"/>
        </w:rPr>
        <w:t>alvorlig</w:t>
      </w:r>
      <w:r w:rsidR="00B57619">
        <w:rPr>
          <w:szCs w:val="21"/>
          <w:lang w:val="nb-NO"/>
        </w:rPr>
        <w:t xml:space="preserve"> kronisk</w:t>
      </w:r>
      <w:r w:rsidRPr="0061743D">
        <w:rPr>
          <w:lang w:val="nb-NO"/>
        </w:rPr>
        <w:t xml:space="preserve"> plakkpsoriasis hos barn og ungdom </w:t>
      </w:r>
      <w:r w:rsidR="004924BF">
        <w:rPr>
          <w:lang w:val="nb-NO"/>
        </w:rPr>
        <w:t>fra</w:t>
      </w:r>
      <w:r w:rsidRPr="0061743D">
        <w:rPr>
          <w:lang w:val="nb-NO"/>
        </w:rPr>
        <w:t xml:space="preserve"> 4 til 17 år, hvor topikal </w:t>
      </w:r>
      <w:r w:rsidR="005A7FF2">
        <w:rPr>
          <w:lang w:val="nb-NO"/>
        </w:rPr>
        <w:t xml:space="preserve">(lokal) </w:t>
      </w:r>
      <w:r w:rsidRPr="0061743D">
        <w:rPr>
          <w:lang w:val="nb-NO"/>
        </w:rPr>
        <w:t>behandling og lysbehandling ikke har virket godt nok eller ikke er egnet.</w:t>
      </w:r>
    </w:p>
    <w:p w14:paraId="7D29C976" w14:textId="77777777" w:rsidR="00D20B49" w:rsidRPr="009C5EFD" w:rsidRDefault="00D20B49" w:rsidP="0061743D">
      <w:pPr>
        <w:rPr>
          <w:sz w:val="22"/>
          <w:szCs w:val="22"/>
        </w:rPr>
      </w:pPr>
    </w:p>
    <w:p w14:paraId="4722B857" w14:textId="77777777" w:rsidR="00D20B49" w:rsidRPr="0061743D" w:rsidRDefault="00E453CD" w:rsidP="00D00F56">
      <w:pPr>
        <w:keepNext/>
        <w:autoSpaceDE w:val="0"/>
        <w:autoSpaceDN w:val="0"/>
        <w:adjustRightInd w:val="0"/>
        <w:rPr>
          <w:rFonts w:eastAsia="TimesNewRoman"/>
          <w:b/>
          <w:sz w:val="22"/>
        </w:rPr>
      </w:pPr>
      <w:r w:rsidRPr="009E4D7A">
        <w:rPr>
          <w:rFonts w:eastAsia="TimesNewRoman"/>
          <w:b/>
          <w:sz w:val="22"/>
        </w:rPr>
        <w:t>Hidrosadenitt</w:t>
      </w:r>
    </w:p>
    <w:p w14:paraId="1A06C0D8" w14:textId="77777777" w:rsidR="00D20B49" w:rsidRPr="009C5EFD" w:rsidRDefault="00D20B49" w:rsidP="00D00F56">
      <w:pPr>
        <w:keepNext/>
        <w:autoSpaceDE w:val="0"/>
        <w:autoSpaceDN w:val="0"/>
        <w:adjustRightInd w:val="0"/>
        <w:rPr>
          <w:rFonts w:eastAsia="TimesNewRoman"/>
          <w:sz w:val="22"/>
          <w:szCs w:val="22"/>
          <w:u w:val="single"/>
        </w:rPr>
      </w:pPr>
    </w:p>
    <w:p w14:paraId="1020CCC7" w14:textId="77777777" w:rsidR="00D20B49" w:rsidRPr="009C5EFD" w:rsidRDefault="00E453CD" w:rsidP="00776A84">
      <w:pPr>
        <w:autoSpaceDE w:val="0"/>
        <w:autoSpaceDN w:val="0"/>
        <w:adjustRightInd w:val="0"/>
        <w:rPr>
          <w:rFonts w:eastAsia="TimesNewRoman"/>
          <w:sz w:val="22"/>
          <w:szCs w:val="22"/>
        </w:rPr>
      </w:pPr>
      <w:r w:rsidRPr="009C5EFD">
        <w:rPr>
          <w:rFonts w:eastAsia="TimesNewRoman"/>
          <w:sz w:val="22"/>
          <w:szCs w:val="22"/>
        </w:rPr>
        <w:t xml:space="preserve">Hidrosadenitt (også kalt svettekjertelbetennelse) er en kronisk og ofte smertefull </w:t>
      </w:r>
      <w:r>
        <w:rPr>
          <w:rFonts w:eastAsia="TimesNewRoman"/>
          <w:sz w:val="22"/>
          <w:szCs w:val="22"/>
        </w:rPr>
        <w:t xml:space="preserve">betennelsessykdom i </w:t>
      </w:r>
      <w:r w:rsidRPr="009C5EFD">
        <w:rPr>
          <w:rFonts w:eastAsia="TimesNewRoman"/>
          <w:sz w:val="22"/>
          <w:szCs w:val="22"/>
        </w:rPr>
        <w:t>hud</w:t>
      </w:r>
      <w:r>
        <w:rPr>
          <w:rFonts w:eastAsia="TimesNewRoman"/>
          <w:sz w:val="22"/>
          <w:szCs w:val="22"/>
        </w:rPr>
        <w:t>en</w:t>
      </w:r>
      <w:r w:rsidRPr="009C5EFD">
        <w:rPr>
          <w:rFonts w:eastAsia="TimesNewRoman"/>
          <w:sz w:val="22"/>
          <w:szCs w:val="22"/>
        </w:rPr>
        <w:t xml:space="preserve">. Symptomer kan være ømme knuter (klumper) og byller (abcesser) som kan lekke puss. </w:t>
      </w:r>
      <w:r w:rsidR="00C211E7">
        <w:rPr>
          <w:rFonts w:eastAsia="TimesNewRoman"/>
          <w:sz w:val="22"/>
          <w:szCs w:val="22"/>
        </w:rPr>
        <w:t>Som oftest</w:t>
      </w:r>
      <w:r w:rsidR="00C211E7" w:rsidRPr="009C5EFD">
        <w:rPr>
          <w:rFonts w:eastAsia="TimesNewRoman"/>
          <w:sz w:val="22"/>
          <w:szCs w:val="22"/>
        </w:rPr>
        <w:t xml:space="preserve"> </w:t>
      </w:r>
      <w:r w:rsidRPr="009C5EFD">
        <w:rPr>
          <w:rFonts w:eastAsia="TimesNewRoman"/>
          <w:sz w:val="22"/>
          <w:szCs w:val="22"/>
        </w:rPr>
        <w:t>påvirke</w:t>
      </w:r>
      <w:r w:rsidR="00C211E7">
        <w:rPr>
          <w:rFonts w:eastAsia="TimesNewRoman"/>
          <w:sz w:val="22"/>
          <w:szCs w:val="22"/>
        </w:rPr>
        <w:t>s</w:t>
      </w:r>
      <w:r w:rsidRPr="009C5EFD">
        <w:rPr>
          <w:rFonts w:eastAsia="TimesNewRoman"/>
          <w:sz w:val="22"/>
          <w:szCs w:val="22"/>
        </w:rPr>
        <w:t xml:space="preserve"> spesifikke områder av huden, som f.eks</w:t>
      </w:r>
      <w:r w:rsidR="00146674">
        <w:rPr>
          <w:rFonts w:eastAsia="TimesNewRoman"/>
          <w:sz w:val="22"/>
          <w:szCs w:val="22"/>
        </w:rPr>
        <w:t>.</w:t>
      </w:r>
      <w:r w:rsidRPr="009C5EFD">
        <w:rPr>
          <w:rFonts w:eastAsia="TimesNewRoman"/>
          <w:sz w:val="22"/>
          <w:szCs w:val="22"/>
        </w:rPr>
        <w:t xml:space="preserve"> under brystene, i armhulene, innsiden av lårene, lysken og rumpe. Arrdannelse kan også forekomme i berørte områder.</w:t>
      </w:r>
    </w:p>
    <w:p w14:paraId="555CAB82" w14:textId="77777777" w:rsidR="00D20B49" w:rsidRPr="009C5EFD" w:rsidRDefault="00D20B49" w:rsidP="00D20B49">
      <w:pPr>
        <w:autoSpaceDE w:val="0"/>
        <w:autoSpaceDN w:val="0"/>
        <w:adjustRightInd w:val="0"/>
        <w:rPr>
          <w:rFonts w:eastAsia="TimesNewRoman"/>
          <w:sz w:val="22"/>
          <w:szCs w:val="22"/>
        </w:rPr>
      </w:pPr>
    </w:p>
    <w:p w14:paraId="5F2C836D" w14:textId="77777777" w:rsidR="00235CE7" w:rsidRDefault="00E453CD" w:rsidP="00D20B49">
      <w:pPr>
        <w:autoSpaceDE w:val="0"/>
        <w:autoSpaceDN w:val="0"/>
        <w:adjustRightInd w:val="0"/>
        <w:rPr>
          <w:rFonts w:eastAsia="TimesNewRoman"/>
          <w:sz w:val="22"/>
          <w:szCs w:val="22"/>
        </w:rPr>
      </w:pPr>
      <w:r w:rsidRPr="009C5EFD">
        <w:rPr>
          <w:rFonts w:eastAsia="TimesNewRoman"/>
          <w:sz w:val="22"/>
          <w:szCs w:val="22"/>
        </w:rPr>
        <w:t xml:space="preserve">Humira brukes </w:t>
      </w:r>
      <w:r w:rsidR="00F464CF">
        <w:rPr>
          <w:rFonts w:eastAsia="TimesNewRoman"/>
          <w:sz w:val="22"/>
          <w:szCs w:val="22"/>
        </w:rPr>
        <w:t>til</w:t>
      </w:r>
      <w:r w:rsidR="00F464CF" w:rsidRPr="009C5EFD">
        <w:rPr>
          <w:rFonts w:eastAsia="TimesNewRoman"/>
          <w:sz w:val="22"/>
          <w:szCs w:val="22"/>
        </w:rPr>
        <w:t xml:space="preserve"> </w:t>
      </w:r>
      <w:r w:rsidRPr="009C5EFD">
        <w:rPr>
          <w:rFonts w:eastAsia="TimesNewRoman"/>
          <w:sz w:val="22"/>
          <w:szCs w:val="22"/>
        </w:rPr>
        <w:t>å behandle</w:t>
      </w:r>
    </w:p>
    <w:p w14:paraId="49BAC756" w14:textId="77777777" w:rsidR="00235CE7" w:rsidRPr="00887835" w:rsidRDefault="00E453CD" w:rsidP="00235CE7">
      <w:pPr>
        <w:pStyle w:val="EMEANormal"/>
        <w:numPr>
          <w:ilvl w:val="0"/>
          <w:numId w:val="109"/>
        </w:numPr>
        <w:tabs>
          <w:tab w:val="clear" w:pos="562"/>
          <w:tab w:val="left" w:pos="720"/>
        </w:tabs>
        <w:rPr>
          <w:szCs w:val="21"/>
          <w:lang w:val="nb-NO"/>
        </w:rPr>
      </w:pPr>
      <w:r w:rsidRPr="00DA6326">
        <w:rPr>
          <w:rFonts w:eastAsia="TimesNewRoman"/>
          <w:szCs w:val="22"/>
          <w:lang w:val="nb-NO"/>
        </w:rPr>
        <w:t>moderat til alvorlig hidrosadenitt hos voksne og</w:t>
      </w:r>
    </w:p>
    <w:p w14:paraId="1D7E06CF" w14:textId="77777777" w:rsidR="00235CE7" w:rsidRPr="0061743D" w:rsidRDefault="00E453CD" w:rsidP="00235CE7">
      <w:pPr>
        <w:pStyle w:val="EMEANormal"/>
        <w:numPr>
          <w:ilvl w:val="0"/>
          <w:numId w:val="109"/>
        </w:numPr>
        <w:tabs>
          <w:tab w:val="clear" w:pos="562"/>
          <w:tab w:val="left" w:pos="720"/>
        </w:tabs>
        <w:rPr>
          <w:lang w:val="nb-NO"/>
        </w:rPr>
      </w:pPr>
      <w:r>
        <w:rPr>
          <w:lang w:val="nb-NO"/>
        </w:rPr>
        <w:t xml:space="preserve">moderat til </w:t>
      </w:r>
      <w:r w:rsidRPr="0061743D">
        <w:rPr>
          <w:lang w:val="nb-NO"/>
        </w:rPr>
        <w:t>alvorlig</w:t>
      </w:r>
      <w:r>
        <w:rPr>
          <w:szCs w:val="21"/>
          <w:lang w:val="nb-NO"/>
        </w:rPr>
        <w:t xml:space="preserve"> </w:t>
      </w:r>
      <w:r w:rsidRPr="00297B8C">
        <w:rPr>
          <w:rFonts w:eastAsia="TimesNewRoman"/>
          <w:szCs w:val="22"/>
          <w:lang w:val="nb-NO"/>
        </w:rPr>
        <w:t>hidrosadenitt</w:t>
      </w:r>
      <w:r w:rsidRPr="0061743D">
        <w:rPr>
          <w:lang w:val="nb-NO"/>
        </w:rPr>
        <w:t xml:space="preserve"> hos ungdom </w:t>
      </w:r>
      <w:r>
        <w:rPr>
          <w:lang w:val="nb-NO"/>
        </w:rPr>
        <w:t xml:space="preserve">fra </w:t>
      </w:r>
      <w:r w:rsidRPr="0061743D">
        <w:rPr>
          <w:lang w:val="nb-NO"/>
        </w:rPr>
        <w:t>1</w:t>
      </w:r>
      <w:r>
        <w:rPr>
          <w:lang w:val="nb-NO"/>
        </w:rPr>
        <w:t>2</w:t>
      </w:r>
      <w:r w:rsidRPr="0061743D">
        <w:rPr>
          <w:lang w:val="nb-NO"/>
        </w:rPr>
        <w:t xml:space="preserve"> </w:t>
      </w:r>
      <w:r w:rsidR="005211B7">
        <w:rPr>
          <w:lang w:val="nb-NO"/>
        </w:rPr>
        <w:t xml:space="preserve">til 17 </w:t>
      </w:r>
      <w:r w:rsidRPr="0061743D">
        <w:rPr>
          <w:lang w:val="nb-NO"/>
        </w:rPr>
        <w:t>år.</w:t>
      </w:r>
    </w:p>
    <w:p w14:paraId="06D80181" w14:textId="77777777" w:rsidR="00235CE7" w:rsidRDefault="00235CE7" w:rsidP="00D20B49">
      <w:pPr>
        <w:autoSpaceDE w:val="0"/>
        <w:autoSpaceDN w:val="0"/>
        <w:adjustRightInd w:val="0"/>
        <w:rPr>
          <w:rFonts w:eastAsia="TimesNewRoman"/>
          <w:sz w:val="22"/>
          <w:szCs w:val="22"/>
        </w:rPr>
      </w:pPr>
    </w:p>
    <w:p w14:paraId="27BE5E39" w14:textId="77777777" w:rsidR="00D20B49" w:rsidRPr="009C5EFD" w:rsidRDefault="00E453CD" w:rsidP="00D20B49">
      <w:pPr>
        <w:autoSpaceDE w:val="0"/>
        <w:autoSpaceDN w:val="0"/>
        <w:adjustRightInd w:val="0"/>
        <w:rPr>
          <w:rFonts w:eastAsia="TimesNewRoman"/>
          <w:sz w:val="22"/>
          <w:szCs w:val="22"/>
        </w:rPr>
      </w:pPr>
      <w:r w:rsidRPr="009C5EFD">
        <w:rPr>
          <w:rFonts w:eastAsia="TimesNewRoman"/>
          <w:sz w:val="22"/>
          <w:szCs w:val="22"/>
        </w:rPr>
        <w:t>Humira kan redusere antall knuter og byller</w:t>
      </w:r>
      <w:r w:rsidR="007D72E5">
        <w:rPr>
          <w:rFonts w:eastAsia="TimesNewRoman"/>
          <w:sz w:val="22"/>
          <w:szCs w:val="22"/>
        </w:rPr>
        <w:t xml:space="preserve"> forårsaket av sykdommen</w:t>
      </w:r>
      <w:r w:rsidRPr="009C5EFD">
        <w:rPr>
          <w:rFonts w:eastAsia="TimesNewRoman"/>
          <w:sz w:val="22"/>
          <w:szCs w:val="22"/>
        </w:rPr>
        <w:t>, og smerten som ofte er forbundet med sykdommen.</w:t>
      </w:r>
      <w:r w:rsidR="007D72E5">
        <w:rPr>
          <w:rFonts w:eastAsia="TimesNewRoman"/>
          <w:sz w:val="22"/>
          <w:szCs w:val="22"/>
        </w:rPr>
        <w:t xml:space="preserve"> </w:t>
      </w:r>
      <w:r w:rsidR="007D72E5">
        <w:rPr>
          <w:sz w:val="22"/>
          <w:szCs w:val="22"/>
        </w:rPr>
        <w:t xml:space="preserve">Det kan hende </w:t>
      </w:r>
      <w:r w:rsidR="007D72E5" w:rsidRPr="009C5EFD">
        <w:rPr>
          <w:sz w:val="22"/>
          <w:szCs w:val="22"/>
        </w:rPr>
        <w:t>du først få</w:t>
      </w:r>
      <w:r w:rsidR="007D72E5">
        <w:rPr>
          <w:sz w:val="22"/>
          <w:szCs w:val="22"/>
        </w:rPr>
        <w:t>r</w:t>
      </w:r>
      <w:r w:rsidR="007D72E5" w:rsidRPr="009C5EFD">
        <w:rPr>
          <w:sz w:val="22"/>
          <w:szCs w:val="22"/>
        </w:rPr>
        <w:t xml:space="preserve"> andre </w:t>
      </w:r>
      <w:r w:rsidR="002E73E5">
        <w:rPr>
          <w:sz w:val="22"/>
          <w:szCs w:val="22"/>
        </w:rPr>
        <w:t>legemidler</w:t>
      </w:r>
      <w:r w:rsidR="007D72E5">
        <w:rPr>
          <w:sz w:val="22"/>
          <w:szCs w:val="22"/>
        </w:rPr>
        <w:t xml:space="preserve">. </w:t>
      </w:r>
      <w:r w:rsidR="007D72E5" w:rsidRPr="009C5EFD">
        <w:rPr>
          <w:sz w:val="22"/>
          <w:szCs w:val="22"/>
        </w:rPr>
        <w:t xml:space="preserve">Dersom du ikke reagerer godt nok på disse </w:t>
      </w:r>
      <w:r w:rsidR="002E73E5">
        <w:rPr>
          <w:sz w:val="22"/>
          <w:szCs w:val="22"/>
        </w:rPr>
        <w:t>legemidlene</w:t>
      </w:r>
      <w:r w:rsidR="007D72E5" w:rsidRPr="009C5EFD">
        <w:rPr>
          <w:sz w:val="22"/>
          <w:szCs w:val="22"/>
        </w:rPr>
        <w:t>, vil du få Humira</w:t>
      </w:r>
      <w:r w:rsidR="007D72E5">
        <w:rPr>
          <w:sz w:val="22"/>
          <w:szCs w:val="22"/>
        </w:rPr>
        <w:t>.</w:t>
      </w:r>
    </w:p>
    <w:p w14:paraId="4D317890" w14:textId="77777777" w:rsidR="00D20B49" w:rsidRPr="009C5EFD" w:rsidRDefault="00D20B49" w:rsidP="00D20B49">
      <w:pPr>
        <w:rPr>
          <w:sz w:val="22"/>
          <w:szCs w:val="22"/>
        </w:rPr>
      </w:pPr>
    </w:p>
    <w:p w14:paraId="7DEB0D91" w14:textId="77777777" w:rsidR="00D20B49" w:rsidRPr="009C5EFD" w:rsidRDefault="00E453CD" w:rsidP="00D20B49">
      <w:pPr>
        <w:keepNext/>
        <w:rPr>
          <w:sz w:val="22"/>
          <w:szCs w:val="22"/>
        </w:rPr>
      </w:pPr>
      <w:r w:rsidRPr="0061743D">
        <w:rPr>
          <w:b/>
          <w:sz w:val="22"/>
        </w:rPr>
        <w:t>Crohns sykdom</w:t>
      </w:r>
    </w:p>
    <w:p w14:paraId="3D746B09" w14:textId="77777777" w:rsidR="00D20B49" w:rsidRPr="009C5EFD" w:rsidRDefault="00D20B49" w:rsidP="00D20B49">
      <w:pPr>
        <w:keepNext/>
        <w:rPr>
          <w:sz w:val="22"/>
          <w:szCs w:val="22"/>
        </w:rPr>
      </w:pPr>
    </w:p>
    <w:p w14:paraId="363B1FBF" w14:textId="77777777" w:rsidR="00D20B49" w:rsidRPr="009C5EFD" w:rsidRDefault="00E453CD" w:rsidP="00776A84">
      <w:pPr>
        <w:rPr>
          <w:sz w:val="22"/>
          <w:szCs w:val="22"/>
        </w:rPr>
      </w:pPr>
      <w:r w:rsidRPr="009C5EFD">
        <w:rPr>
          <w:sz w:val="22"/>
          <w:szCs w:val="22"/>
        </w:rPr>
        <w:t>Crohns sykdom er en betennelsessykdom i fordøyelseskanalen.</w:t>
      </w:r>
    </w:p>
    <w:p w14:paraId="153DB64F" w14:textId="77777777" w:rsidR="00D20B49" w:rsidRPr="009C5EFD" w:rsidRDefault="00D20B49" w:rsidP="00D20B49">
      <w:pPr>
        <w:rPr>
          <w:szCs w:val="22"/>
        </w:rPr>
      </w:pPr>
    </w:p>
    <w:p w14:paraId="7B87B8F5" w14:textId="77777777" w:rsidR="007D72E5" w:rsidRDefault="00E453CD" w:rsidP="00776A84">
      <w:pPr>
        <w:keepNext/>
        <w:rPr>
          <w:sz w:val="22"/>
          <w:szCs w:val="22"/>
        </w:rPr>
      </w:pPr>
      <w:r w:rsidRPr="001F5D4B">
        <w:rPr>
          <w:sz w:val="22"/>
          <w:szCs w:val="22"/>
        </w:rPr>
        <w:t xml:space="preserve">Humira brukes </w:t>
      </w:r>
      <w:r w:rsidR="00F464CF">
        <w:rPr>
          <w:sz w:val="22"/>
          <w:szCs w:val="22"/>
        </w:rPr>
        <w:t>til</w:t>
      </w:r>
      <w:r w:rsidR="00F464CF" w:rsidRPr="001F5D4B">
        <w:rPr>
          <w:sz w:val="22"/>
          <w:szCs w:val="22"/>
        </w:rPr>
        <w:t xml:space="preserve"> </w:t>
      </w:r>
      <w:r w:rsidRPr="001F5D4B">
        <w:rPr>
          <w:sz w:val="22"/>
          <w:szCs w:val="22"/>
        </w:rPr>
        <w:t>å behandle</w:t>
      </w:r>
    </w:p>
    <w:p w14:paraId="20CF7B0E" w14:textId="77777777" w:rsidR="007D72E5" w:rsidRPr="00887835" w:rsidRDefault="00E453CD" w:rsidP="007D72E5">
      <w:pPr>
        <w:pStyle w:val="EMEANormal"/>
        <w:numPr>
          <w:ilvl w:val="0"/>
          <w:numId w:val="110"/>
        </w:numPr>
        <w:tabs>
          <w:tab w:val="clear" w:pos="562"/>
          <w:tab w:val="left" w:pos="720"/>
        </w:tabs>
        <w:ind w:left="720"/>
        <w:rPr>
          <w:lang w:val="nb-NO"/>
        </w:rPr>
      </w:pPr>
      <w:r w:rsidRPr="00887835">
        <w:rPr>
          <w:szCs w:val="21"/>
          <w:lang w:val="nb-NO"/>
        </w:rPr>
        <w:t>moderat til alvorlig</w:t>
      </w:r>
      <w:r w:rsidR="00D20B49" w:rsidRPr="0061743D">
        <w:rPr>
          <w:lang w:val="nb-NO"/>
        </w:rPr>
        <w:t xml:space="preserve"> Crohns sykdom hos voksne og</w:t>
      </w:r>
    </w:p>
    <w:p w14:paraId="52B078DD" w14:textId="77777777" w:rsidR="007D72E5" w:rsidRPr="00887835" w:rsidRDefault="00E453CD" w:rsidP="00887835">
      <w:pPr>
        <w:pStyle w:val="EMEANormal"/>
        <w:numPr>
          <w:ilvl w:val="0"/>
          <w:numId w:val="110"/>
        </w:numPr>
        <w:tabs>
          <w:tab w:val="clear" w:pos="562"/>
          <w:tab w:val="left" w:pos="720"/>
        </w:tabs>
        <w:ind w:left="720"/>
        <w:rPr>
          <w:szCs w:val="22"/>
          <w:lang w:val="nb-NO"/>
        </w:rPr>
      </w:pPr>
      <w:r>
        <w:rPr>
          <w:szCs w:val="22"/>
          <w:lang w:val="nb-NO"/>
        </w:rPr>
        <w:t xml:space="preserve">moderat til alvorlig </w:t>
      </w:r>
      <w:r w:rsidRPr="00887835">
        <w:rPr>
          <w:szCs w:val="21"/>
          <w:lang w:val="nb-NO"/>
        </w:rPr>
        <w:t>Crohns sykdom hos</w:t>
      </w:r>
      <w:r w:rsidR="00D20B49" w:rsidRPr="0061743D">
        <w:rPr>
          <w:lang w:val="nb-NO"/>
        </w:rPr>
        <w:t xml:space="preserve"> barn </w:t>
      </w:r>
      <w:r w:rsidRPr="00887835">
        <w:rPr>
          <w:szCs w:val="21"/>
          <w:lang w:val="nb-NO"/>
        </w:rPr>
        <w:t xml:space="preserve">og ungdom </w:t>
      </w:r>
      <w:r w:rsidR="00B405CA">
        <w:rPr>
          <w:szCs w:val="22"/>
          <w:lang w:val="nb-NO"/>
        </w:rPr>
        <w:t>fra</w:t>
      </w:r>
      <w:r w:rsidR="00D20B49" w:rsidRPr="0061743D">
        <w:rPr>
          <w:lang w:val="nb-NO"/>
        </w:rPr>
        <w:t xml:space="preserve"> 6 </w:t>
      </w:r>
      <w:r w:rsidR="000F7B96">
        <w:rPr>
          <w:lang w:val="nb-NO"/>
        </w:rPr>
        <w:t>til 17 </w:t>
      </w:r>
      <w:r w:rsidR="00D20B49" w:rsidRPr="0061743D">
        <w:rPr>
          <w:lang w:val="nb-NO"/>
        </w:rPr>
        <w:t>år</w:t>
      </w:r>
    </w:p>
    <w:p w14:paraId="571999A4" w14:textId="77777777" w:rsidR="007D72E5" w:rsidRPr="003D42FF" w:rsidRDefault="007D72E5" w:rsidP="00D20B49">
      <w:pPr>
        <w:rPr>
          <w:sz w:val="22"/>
          <w:szCs w:val="22"/>
        </w:rPr>
      </w:pPr>
    </w:p>
    <w:p w14:paraId="0C27FCE0" w14:textId="77777777" w:rsidR="00D20B49" w:rsidRPr="009C5EFD" w:rsidRDefault="00E453CD" w:rsidP="00D20B49">
      <w:pPr>
        <w:rPr>
          <w:sz w:val="22"/>
          <w:szCs w:val="22"/>
        </w:rPr>
      </w:pPr>
      <w:r>
        <w:rPr>
          <w:sz w:val="22"/>
          <w:szCs w:val="22"/>
        </w:rPr>
        <w:t>Det kan hende</w:t>
      </w:r>
      <w:r w:rsidRPr="009C5EFD">
        <w:rPr>
          <w:sz w:val="22"/>
          <w:szCs w:val="22"/>
        </w:rPr>
        <w:t xml:space="preserve"> du først få</w:t>
      </w:r>
      <w:r>
        <w:rPr>
          <w:sz w:val="22"/>
          <w:szCs w:val="22"/>
        </w:rPr>
        <w:t>r</w:t>
      </w:r>
      <w:r w:rsidRPr="009C5EFD">
        <w:rPr>
          <w:sz w:val="22"/>
          <w:szCs w:val="22"/>
        </w:rPr>
        <w:t xml:space="preserve"> andre legemidler. Dersom du ikke reagerer godt nok på disse legemidlene, vil du få Humira.</w:t>
      </w:r>
    </w:p>
    <w:p w14:paraId="751CDE1C" w14:textId="77777777" w:rsidR="00D20B49" w:rsidRPr="009C5EFD" w:rsidRDefault="00D20B49" w:rsidP="00D20B49">
      <w:pPr>
        <w:rPr>
          <w:sz w:val="22"/>
          <w:szCs w:val="22"/>
        </w:rPr>
      </w:pPr>
    </w:p>
    <w:p w14:paraId="6F81D5F9" w14:textId="77777777" w:rsidR="00D20B49" w:rsidRPr="0061743D" w:rsidRDefault="00E453CD" w:rsidP="00776A84">
      <w:pPr>
        <w:pStyle w:val="EMEANormal"/>
        <w:keepNext/>
        <w:rPr>
          <w:b/>
          <w:lang w:val="nb-NO"/>
        </w:rPr>
      </w:pPr>
      <w:r w:rsidRPr="0061743D">
        <w:rPr>
          <w:b/>
          <w:lang w:val="nb-NO"/>
        </w:rPr>
        <w:t>Ulcerøs kolitt</w:t>
      </w:r>
    </w:p>
    <w:p w14:paraId="62FAB0C2" w14:textId="77777777" w:rsidR="00D20B49" w:rsidRPr="009C5EFD" w:rsidRDefault="00D20B49" w:rsidP="00776A84">
      <w:pPr>
        <w:pStyle w:val="EMEANormal"/>
        <w:keepNext/>
        <w:rPr>
          <w:szCs w:val="22"/>
          <w:lang w:val="nb-NO"/>
        </w:rPr>
      </w:pPr>
    </w:p>
    <w:p w14:paraId="465BF3B1" w14:textId="77777777" w:rsidR="00D20B49" w:rsidRPr="009C5EFD" w:rsidRDefault="00E453CD" w:rsidP="00D20B49">
      <w:pPr>
        <w:pStyle w:val="EMEANormal"/>
        <w:rPr>
          <w:szCs w:val="22"/>
          <w:u w:val="single"/>
          <w:lang w:val="nb-NO"/>
        </w:rPr>
      </w:pPr>
      <w:r w:rsidRPr="009C5EFD">
        <w:rPr>
          <w:szCs w:val="22"/>
          <w:lang w:val="nb-NO"/>
        </w:rPr>
        <w:t xml:space="preserve">Ulcerøs kolitt er en betennelsessykdom i </w:t>
      </w:r>
      <w:r w:rsidR="009559C7">
        <w:rPr>
          <w:szCs w:val="22"/>
          <w:lang w:val="nb-NO"/>
        </w:rPr>
        <w:t>tykk</w:t>
      </w:r>
      <w:r w:rsidRPr="009C5EFD">
        <w:rPr>
          <w:szCs w:val="22"/>
          <w:lang w:val="nb-NO"/>
        </w:rPr>
        <w:t>tarmen.</w:t>
      </w:r>
    </w:p>
    <w:p w14:paraId="50A0B8BF" w14:textId="77777777" w:rsidR="00D20B49" w:rsidRPr="009C5EFD" w:rsidRDefault="00D20B49" w:rsidP="00D20B49">
      <w:pPr>
        <w:pStyle w:val="EMEANormal"/>
        <w:rPr>
          <w:szCs w:val="22"/>
          <w:lang w:val="nb-NO"/>
        </w:rPr>
      </w:pPr>
    </w:p>
    <w:p w14:paraId="40DC635C" w14:textId="77777777" w:rsidR="00CF58F0" w:rsidRDefault="00E453CD" w:rsidP="00CF58F0">
      <w:pPr>
        <w:pStyle w:val="EMEANormal"/>
        <w:rPr>
          <w:szCs w:val="22"/>
          <w:lang w:val="nb-NO"/>
        </w:rPr>
      </w:pPr>
      <w:r w:rsidRPr="009C5EFD">
        <w:rPr>
          <w:szCs w:val="22"/>
          <w:lang w:val="nb-NO"/>
        </w:rPr>
        <w:t xml:space="preserve">Humira brukes </w:t>
      </w:r>
      <w:r>
        <w:rPr>
          <w:szCs w:val="22"/>
          <w:lang w:val="nb-NO"/>
        </w:rPr>
        <w:t>til</w:t>
      </w:r>
      <w:r w:rsidRPr="009C5EFD">
        <w:rPr>
          <w:szCs w:val="22"/>
          <w:lang w:val="nb-NO"/>
        </w:rPr>
        <w:t xml:space="preserve"> å behandle</w:t>
      </w:r>
    </w:p>
    <w:p w14:paraId="61DC9072" w14:textId="77777777" w:rsidR="00CF58F0" w:rsidRPr="0015674E" w:rsidRDefault="00E453CD" w:rsidP="00E04B2A">
      <w:pPr>
        <w:pStyle w:val="ListParagraph"/>
        <w:numPr>
          <w:ilvl w:val="0"/>
          <w:numId w:val="15"/>
        </w:numPr>
        <w:tabs>
          <w:tab w:val="left" w:pos="562"/>
        </w:tabs>
        <w:suppressAutoHyphens/>
        <w:rPr>
          <w:sz w:val="22"/>
          <w:szCs w:val="22"/>
        </w:rPr>
      </w:pPr>
      <w:r>
        <w:rPr>
          <w:szCs w:val="22"/>
        </w:rPr>
        <w:tab/>
      </w:r>
      <w:r w:rsidRPr="0015674E">
        <w:rPr>
          <w:sz w:val="22"/>
          <w:szCs w:val="22"/>
        </w:rPr>
        <w:t xml:space="preserve">moderat til </w:t>
      </w:r>
      <w:r w:rsidRPr="00E361F7">
        <w:rPr>
          <w:sz w:val="22"/>
          <w:szCs w:val="22"/>
        </w:rPr>
        <w:t>alvorlig</w:t>
      </w:r>
      <w:r w:rsidRPr="0015674E">
        <w:rPr>
          <w:sz w:val="22"/>
          <w:szCs w:val="22"/>
        </w:rPr>
        <w:t xml:space="preserve"> ulcerøs kolitt hos voksne </w:t>
      </w:r>
      <w:r w:rsidR="00E361F7" w:rsidRPr="0015674E">
        <w:rPr>
          <w:sz w:val="22"/>
          <w:szCs w:val="22"/>
        </w:rPr>
        <w:t>og</w:t>
      </w:r>
    </w:p>
    <w:p w14:paraId="659E3EF4" w14:textId="77777777" w:rsidR="00CF58F0" w:rsidRPr="002C3646" w:rsidRDefault="00E453CD" w:rsidP="00E04B2A">
      <w:pPr>
        <w:pStyle w:val="ListParagraph"/>
        <w:numPr>
          <w:ilvl w:val="0"/>
          <w:numId w:val="15"/>
        </w:numPr>
        <w:tabs>
          <w:tab w:val="left" w:pos="562"/>
        </w:tabs>
        <w:suppressAutoHyphens/>
        <w:rPr>
          <w:szCs w:val="22"/>
        </w:rPr>
      </w:pPr>
      <w:r>
        <w:rPr>
          <w:sz w:val="22"/>
        </w:rPr>
        <w:tab/>
      </w:r>
      <w:r w:rsidRPr="00E04B2A">
        <w:rPr>
          <w:sz w:val="22"/>
        </w:rPr>
        <w:t xml:space="preserve">moderat til alvorlig ulcerøs kolitt hos barn og ungdom </w:t>
      </w:r>
      <w:r>
        <w:rPr>
          <w:sz w:val="22"/>
        </w:rPr>
        <w:t>fra</w:t>
      </w:r>
      <w:r w:rsidRPr="00E04B2A">
        <w:rPr>
          <w:sz w:val="22"/>
        </w:rPr>
        <w:t xml:space="preserve"> 6 til 17 år</w:t>
      </w:r>
    </w:p>
    <w:p w14:paraId="02E1F2CE" w14:textId="77777777" w:rsidR="00CF58F0" w:rsidRDefault="00CF58F0" w:rsidP="00CF58F0">
      <w:pPr>
        <w:pStyle w:val="EMEANormal"/>
        <w:rPr>
          <w:szCs w:val="22"/>
          <w:lang w:val="nb-NO"/>
        </w:rPr>
      </w:pPr>
    </w:p>
    <w:p w14:paraId="312C8C59" w14:textId="77777777" w:rsidR="00CF58F0" w:rsidRDefault="00E453CD" w:rsidP="00CF58F0">
      <w:pPr>
        <w:pStyle w:val="EMEANormal"/>
        <w:rPr>
          <w:szCs w:val="22"/>
          <w:lang w:val="nb-NO"/>
        </w:rPr>
      </w:pPr>
      <w:r w:rsidRPr="00887835">
        <w:rPr>
          <w:szCs w:val="22"/>
          <w:lang w:val="nb-NO"/>
        </w:rPr>
        <w:t>Det kan hende</w:t>
      </w:r>
      <w:r w:rsidRPr="009C5EFD">
        <w:rPr>
          <w:szCs w:val="22"/>
          <w:lang w:val="nb-NO"/>
        </w:rPr>
        <w:t xml:space="preserve"> du først </w:t>
      </w:r>
      <w:r w:rsidRPr="00887835">
        <w:rPr>
          <w:szCs w:val="22"/>
          <w:lang w:val="nb-NO"/>
        </w:rPr>
        <w:t>får</w:t>
      </w:r>
      <w:r w:rsidRPr="009C5EFD">
        <w:rPr>
          <w:szCs w:val="22"/>
          <w:lang w:val="nb-NO"/>
        </w:rPr>
        <w:t xml:space="preserve"> andre legemidler. Dersom du ikke reagerer godt nok på disse legemidlene, vil du få Humira.</w:t>
      </w:r>
    </w:p>
    <w:p w14:paraId="1510FF10" w14:textId="77777777" w:rsidR="000D1D89" w:rsidRPr="0061743D" w:rsidRDefault="000D1D89" w:rsidP="00D20B49">
      <w:pPr>
        <w:pStyle w:val="EMEANormal"/>
        <w:rPr>
          <w:b/>
          <w:lang w:val="nb-NO"/>
        </w:rPr>
      </w:pPr>
    </w:p>
    <w:p w14:paraId="4815D34B" w14:textId="77777777" w:rsidR="000D1D89" w:rsidRPr="0061743D" w:rsidRDefault="00E453CD" w:rsidP="00776A84">
      <w:pPr>
        <w:pStyle w:val="EMEANormal"/>
        <w:keepNext/>
        <w:rPr>
          <w:b/>
          <w:lang w:val="nb-NO"/>
        </w:rPr>
      </w:pPr>
      <w:r w:rsidRPr="0061743D">
        <w:rPr>
          <w:b/>
          <w:lang w:val="nb-NO"/>
        </w:rPr>
        <w:t>Ikke-infeksiøs uveitt</w:t>
      </w:r>
    </w:p>
    <w:p w14:paraId="0857ACDB" w14:textId="77777777" w:rsidR="000D1D89" w:rsidRDefault="000D1D89" w:rsidP="00776A84">
      <w:pPr>
        <w:pStyle w:val="EMEANormal"/>
        <w:keepNext/>
        <w:rPr>
          <w:szCs w:val="22"/>
          <w:u w:val="single"/>
          <w:lang w:val="nb-NO"/>
        </w:rPr>
      </w:pPr>
    </w:p>
    <w:p w14:paraId="268F0169" w14:textId="77777777" w:rsidR="000D1D89" w:rsidRDefault="00E453CD" w:rsidP="000D1D89">
      <w:pPr>
        <w:pStyle w:val="EMEANormal"/>
        <w:rPr>
          <w:szCs w:val="22"/>
          <w:lang w:val="nb-NO"/>
        </w:rPr>
      </w:pPr>
      <w:r w:rsidRPr="00521E94">
        <w:rPr>
          <w:szCs w:val="22"/>
          <w:lang w:val="nb-NO"/>
        </w:rPr>
        <w:t xml:space="preserve">Ikke-infeksiøs uveitt </w:t>
      </w:r>
      <w:r>
        <w:rPr>
          <w:szCs w:val="22"/>
          <w:lang w:val="nb-NO"/>
        </w:rPr>
        <w:t xml:space="preserve">er en betennelsessykdom </w:t>
      </w:r>
      <w:r w:rsidRPr="00521E94">
        <w:rPr>
          <w:szCs w:val="22"/>
          <w:lang w:val="nb-NO"/>
        </w:rPr>
        <w:t xml:space="preserve">som påvirker </w:t>
      </w:r>
      <w:r>
        <w:rPr>
          <w:szCs w:val="22"/>
          <w:lang w:val="nb-NO"/>
        </w:rPr>
        <w:t>visse deler av øyet.</w:t>
      </w:r>
    </w:p>
    <w:p w14:paraId="5735E74B" w14:textId="77777777" w:rsidR="000D1D89" w:rsidRDefault="000D1D89" w:rsidP="000D1D89">
      <w:pPr>
        <w:pStyle w:val="EMEANormal"/>
        <w:rPr>
          <w:szCs w:val="22"/>
          <w:lang w:val="nb-NO"/>
        </w:rPr>
      </w:pPr>
    </w:p>
    <w:p w14:paraId="49F71365" w14:textId="77777777" w:rsidR="000F7B96" w:rsidRDefault="00E453CD" w:rsidP="00776A84">
      <w:pPr>
        <w:pStyle w:val="EMEANormal"/>
        <w:keepNext/>
        <w:rPr>
          <w:szCs w:val="22"/>
          <w:lang w:val="nb-NO"/>
        </w:rPr>
      </w:pPr>
      <w:r>
        <w:rPr>
          <w:szCs w:val="22"/>
          <w:lang w:val="nb-NO"/>
        </w:rPr>
        <w:t xml:space="preserve">Humira brukes </w:t>
      </w:r>
      <w:r w:rsidR="00F464CF">
        <w:rPr>
          <w:szCs w:val="22"/>
          <w:lang w:val="nb-NO"/>
        </w:rPr>
        <w:t xml:space="preserve">til </w:t>
      </w:r>
      <w:r>
        <w:rPr>
          <w:szCs w:val="22"/>
          <w:lang w:val="nb-NO"/>
        </w:rPr>
        <w:t xml:space="preserve">å behandle </w:t>
      </w:r>
    </w:p>
    <w:p w14:paraId="26AFD9CB" w14:textId="77777777" w:rsidR="000F7B96" w:rsidRPr="009A2F72" w:rsidRDefault="00E453CD" w:rsidP="00AF70AD">
      <w:pPr>
        <w:pStyle w:val="EMEANormal"/>
        <w:numPr>
          <w:ilvl w:val="0"/>
          <w:numId w:val="110"/>
        </w:numPr>
        <w:tabs>
          <w:tab w:val="clear" w:pos="562"/>
          <w:tab w:val="left" w:pos="720"/>
        </w:tabs>
        <w:ind w:left="720"/>
        <w:rPr>
          <w:szCs w:val="21"/>
          <w:lang w:val="nb-NO"/>
        </w:rPr>
      </w:pPr>
      <w:r w:rsidRPr="00D34056">
        <w:rPr>
          <w:szCs w:val="21"/>
          <w:lang w:val="nb-NO"/>
        </w:rPr>
        <w:t xml:space="preserve">voksne med ikke-infeksiøs uveitt med betennelse som påvirker </w:t>
      </w:r>
      <w:r w:rsidR="009028B4" w:rsidRPr="004F1D48">
        <w:rPr>
          <w:szCs w:val="21"/>
          <w:lang w:val="nb-NO"/>
        </w:rPr>
        <w:t>bakre del av øyet</w:t>
      </w:r>
    </w:p>
    <w:p w14:paraId="4342FAE4" w14:textId="77777777" w:rsidR="000F7B96" w:rsidRDefault="00E453CD" w:rsidP="00AF70AD">
      <w:pPr>
        <w:pStyle w:val="EMEANormal"/>
        <w:numPr>
          <w:ilvl w:val="0"/>
          <w:numId w:val="110"/>
        </w:numPr>
        <w:tabs>
          <w:tab w:val="clear" w:pos="562"/>
          <w:tab w:val="left" w:pos="720"/>
        </w:tabs>
        <w:ind w:left="720"/>
        <w:rPr>
          <w:szCs w:val="22"/>
          <w:lang w:val="nb-NO"/>
        </w:rPr>
      </w:pPr>
      <w:r w:rsidRPr="00EB7302">
        <w:rPr>
          <w:szCs w:val="21"/>
          <w:lang w:val="nb-NO"/>
        </w:rPr>
        <w:t xml:space="preserve">barn </w:t>
      </w:r>
      <w:r w:rsidR="00F464CF" w:rsidRPr="00EB7302">
        <w:rPr>
          <w:szCs w:val="21"/>
          <w:lang w:val="nb-NO"/>
        </w:rPr>
        <w:t xml:space="preserve">over </w:t>
      </w:r>
      <w:r w:rsidRPr="00EB7302">
        <w:rPr>
          <w:szCs w:val="21"/>
          <w:lang w:val="nb-NO"/>
        </w:rPr>
        <w:t>2 år med kronis</w:t>
      </w:r>
      <w:r w:rsidR="008B761C" w:rsidRPr="00EB7302">
        <w:rPr>
          <w:szCs w:val="21"/>
          <w:lang w:val="nb-NO"/>
        </w:rPr>
        <w:t>k ikke-infek</w:t>
      </w:r>
      <w:r w:rsidR="00CC60E9" w:rsidRPr="00EB7302">
        <w:rPr>
          <w:szCs w:val="21"/>
          <w:lang w:val="nb-NO"/>
        </w:rPr>
        <w:t>s</w:t>
      </w:r>
      <w:r w:rsidR="008B761C" w:rsidRPr="00EB7302">
        <w:rPr>
          <w:szCs w:val="21"/>
          <w:lang w:val="nb-NO"/>
        </w:rPr>
        <w:t>iøs uveitt med bet</w:t>
      </w:r>
      <w:r w:rsidRPr="00EB7302">
        <w:rPr>
          <w:szCs w:val="21"/>
          <w:lang w:val="nb-NO"/>
        </w:rPr>
        <w:t>ennelse som påvirker fremre del av øyet (regnbuehinnebetennelse)</w:t>
      </w:r>
    </w:p>
    <w:p w14:paraId="7B9FD4DE" w14:textId="77777777" w:rsidR="000F7B96" w:rsidRDefault="000F7B96" w:rsidP="000D1D89">
      <w:pPr>
        <w:pStyle w:val="EMEANormal"/>
        <w:rPr>
          <w:szCs w:val="22"/>
          <w:lang w:val="nb-NO"/>
        </w:rPr>
      </w:pPr>
    </w:p>
    <w:p w14:paraId="3DB632E6" w14:textId="77777777" w:rsidR="005211B7" w:rsidRDefault="00E453CD" w:rsidP="000D1D89">
      <w:pPr>
        <w:pStyle w:val="EMEANormal"/>
        <w:rPr>
          <w:szCs w:val="22"/>
          <w:lang w:val="nb-NO"/>
        </w:rPr>
      </w:pPr>
      <w:r>
        <w:rPr>
          <w:szCs w:val="22"/>
          <w:lang w:val="nb-NO"/>
        </w:rPr>
        <w:t xml:space="preserve">Denne betennelsen </w:t>
      </w:r>
      <w:r w:rsidR="000F7B96">
        <w:rPr>
          <w:szCs w:val="22"/>
          <w:lang w:val="nb-NO"/>
        </w:rPr>
        <w:t xml:space="preserve">kan </w:t>
      </w:r>
      <w:r>
        <w:rPr>
          <w:szCs w:val="22"/>
          <w:lang w:val="nb-NO"/>
        </w:rPr>
        <w:t xml:space="preserve">føre til nedsatt syn og/eller tilstedeværelse av </w:t>
      </w:r>
      <w:r w:rsidR="000F7B96">
        <w:rPr>
          <w:szCs w:val="22"/>
          <w:lang w:val="nb-NO"/>
        </w:rPr>
        <w:t>flytende legemer</w:t>
      </w:r>
      <w:r>
        <w:rPr>
          <w:szCs w:val="22"/>
          <w:lang w:val="nb-NO"/>
        </w:rPr>
        <w:t xml:space="preserve"> i øyet (svarte prikker eller ujevne linjer som beveger seg </w:t>
      </w:r>
      <w:r w:rsidR="000F7B96">
        <w:rPr>
          <w:szCs w:val="22"/>
          <w:lang w:val="nb-NO"/>
        </w:rPr>
        <w:t>over</w:t>
      </w:r>
      <w:r>
        <w:rPr>
          <w:szCs w:val="22"/>
          <w:lang w:val="nb-NO"/>
        </w:rPr>
        <w:t xml:space="preserve"> synsfeltet). Humira virker ved å redusere denne betennelsen.</w:t>
      </w:r>
      <w:r w:rsidR="00B36CC1">
        <w:rPr>
          <w:szCs w:val="22"/>
          <w:lang w:val="nb-NO"/>
        </w:rPr>
        <w:t xml:space="preserve"> </w:t>
      </w:r>
    </w:p>
    <w:p w14:paraId="11CB6AEA" w14:textId="77777777" w:rsidR="005211B7" w:rsidRDefault="005211B7" w:rsidP="000D1D89">
      <w:pPr>
        <w:pStyle w:val="EMEANormal"/>
        <w:rPr>
          <w:szCs w:val="22"/>
          <w:lang w:val="nb-NO"/>
        </w:rPr>
      </w:pPr>
    </w:p>
    <w:p w14:paraId="43D13FD1" w14:textId="77777777" w:rsidR="00B36CC1" w:rsidRPr="009C5EFD" w:rsidRDefault="00E453CD" w:rsidP="000D1D89">
      <w:pPr>
        <w:pStyle w:val="EMEANormal"/>
        <w:rPr>
          <w:szCs w:val="22"/>
          <w:lang w:val="nb-NO"/>
        </w:rPr>
      </w:pPr>
      <w:r w:rsidRPr="00A15CB1">
        <w:rPr>
          <w:szCs w:val="22"/>
          <w:lang w:val="nb-NO"/>
        </w:rPr>
        <w:lastRenderedPageBreak/>
        <w:t xml:space="preserve">Det kan </w:t>
      </w:r>
      <w:r w:rsidR="008B761C">
        <w:rPr>
          <w:szCs w:val="22"/>
          <w:lang w:val="nb-NO"/>
        </w:rPr>
        <w:t>hende du</w:t>
      </w:r>
      <w:r w:rsidRPr="00A15CB1">
        <w:rPr>
          <w:szCs w:val="22"/>
          <w:lang w:val="nb-NO"/>
        </w:rPr>
        <w:t xml:space="preserve"> først får andre legemidler. Dersom du ikke reagerer godt nok på disse legemidlene, vil du få Humira.</w:t>
      </w:r>
    </w:p>
    <w:p w14:paraId="4D8A003A" w14:textId="77777777" w:rsidR="00D20B49" w:rsidRPr="009C5EFD" w:rsidRDefault="00D20B49" w:rsidP="00D20B49">
      <w:pPr>
        <w:rPr>
          <w:sz w:val="22"/>
          <w:szCs w:val="22"/>
        </w:rPr>
      </w:pPr>
    </w:p>
    <w:p w14:paraId="42379FF7" w14:textId="77777777" w:rsidR="00D20B49" w:rsidRPr="009C5EFD" w:rsidRDefault="00D20B49" w:rsidP="00B3311E">
      <w:pPr>
        <w:suppressAutoHyphens/>
        <w:rPr>
          <w:sz w:val="22"/>
          <w:szCs w:val="22"/>
        </w:rPr>
      </w:pPr>
    </w:p>
    <w:p w14:paraId="6B0099F9" w14:textId="77777777" w:rsidR="00D20B49" w:rsidRPr="009C5EFD" w:rsidRDefault="00E453CD" w:rsidP="00602A37">
      <w:pPr>
        <w:keepNext/>
        <w:suppressAutoHyphens/>
        <w:ind w:left="562" w:hanging="562"/>
        <w:rPr>
          <w:sz w:val="22"/>
          <w:szCs w:val="22"/>
        </w:rPr>
      </w:pPr>
      <w:r w:rsidRPr="009C5EFD">
        <w:rPr>
          <w:b/>
          <w:sz w:val="22"/>
          <w:szCs w:val="22"/>
        </w:rPr>
        <w:t>2.</w:t>
      </w:r>
      <w:r w:rsidRPr="009C5EFD">
        <w:rPr>
          <w:b/>
          <w:sz w:val="22"/>
          <w:szCs w:val="22"/>
        </w:rPr>
        <w:tab/>
        <w:t>Hva du må vite før du bruker Humira</w:t>
      </w:r>
    </w:p>
    <w:p w14:paraId="111FDE18" w14:textId="77777777" w:rsidR="00D20B49" w:rsidRPr="009C5EFD" w:rsidRDefault="00D20B49" w:rsidP="00802544">
      <w:pPr>
        <w:keepNext/>
        <w:ind w:left="621" w:hanging="621"/>
        <w:rPr>
          <w:sz w:val="22"/>
          <w:szCs w:val="22"/>
        </w:rPr>
      </w:pPr>
    </w:p>
    <w:p w14:paraId="0E980348" w14:textId="77777777" w:rsidR="00D20B49" w:rsidRPr="009C5EFD" w:rsidRDefault="00E453CD" w:rsidP="00802544">
      <w:pPr>
        <w:keepNext/>
        <w:suppressAutoHyphens/>
        <w:ind w:left="480" w:hanging="480"/>
        <w:rPr>
          <w:b/>
          <w:sz w:val="22"/>
          <w:szCs w:val="22"/>
        </w:rPr>
      </w:pPr>
      <w:r w:rsidRPr="009C5EFD">
        <w:rPr>
          <w:b/>
          <w:sz w:val="22"/>
          <w:szCs w:val="22"/>
        </w:rPr>
        <w:t>Bruk ikke Humira</w:t>
      </w:r>
      <w:r w:rsidR="009559C7">
        <w:rPr>
          <w:b/>
          <w:sz w:val="22"/>
          <w:szCs w:val="22"/>
        </w:rPr>
        <w:t>:</w:t>
      </w:r>
    </w:p>
    <w:p w14:paraId="78C29C59" w14:textId="77777777" w:rsidR="00D20B49" w:rsidRPr="009C5EFD" w:rsidRDefault="00D20B49" w:rsidP="00802544">
      <w:pPr>
        <w:keepNext/>
        <w:suppressAutoHyphens/>
        <w:ind w:left="480" w:hanging="426"/>
        <w:rPr>
          <w:sz w:val="22"/>
          <w:szCs w:val="22"/>
        </w:rPr>
      </w:pPr>
    </w:p>
    <w:p w14:paraId="5CF4EF34" w14:textId="77777777" w:rsidR="00D20B49" w:rsidRPr="009C5EFD" w:rsidRDefault="00E453CD" w:rsidP="00776A84">
      <w:pPr>
        <w:numPr>
          <w:ilvl w:val="0"/>
          <w:numId w:val="3"/>
        </w:numPr>
        <w:rPr>
          <w:sz w:val="22"/>
          <w:szCs w:val="22"/>
        </w:rPr>
      </w:pPr>
      <w:r>
        <w:rPr>
          <w:sz w:val="22"/>
          <w:szCs w:val="22"/>
        </w:rPr>
        <w:t>D</w:t>
      </w:r>
      <w:r w:rsidR="00345205">
        <w:rPr>
          <w:sz w:val="22"/>
          <w:szCs w:val="22"/>
        </w:rPr>
        <w:t>ersom</w:t>
      </w:r>
      <w:r w:rsidRPr="009C5EFD">
        <w:rPr>
          <w:sz w:val="22"/>
          <w:szCs w:val="22"/>
        </w:rPr>
        <w:t xml:space="preserve"> du er allergisk overfor adalimumab eller noen av de andre innholdsstoffene i dette legemidlet (listet opp i </w:t>
      </w:r>
      <w:r w:rsidR="00900493">
        <w:rPr>
          <w:sz w:val="22"/>
          <w:szCs w:val="22"/>
        </w:rPr>
        <w:t xml:space="preserve">avsnitt </w:t>
      </w:r>
      <w:r w:rsidRPr="009C5EFD">
        <w:rPr>
          <w:sz w:val="22"/>
          <w:szCs w:val="22"/>
        </w:rPr>
        <w:t>6).</w:t>
      </w:r>
    </w:p>
    <w:p w14:paraId="3B8974E2" w14:textId="77777777" w:rsidR="009B6AB2" w:rsidRPr="009C5EFD" w:rsidRDefault="009B6AB2" w:rsidP="00776A84">
      <w:pPr>
        <w:ind w:left="567"/>
        <w:rPr>
          <w:sz w:val="22"/>
          <w:szCs w:val="22"/>
        </w:rPr>
      </w:pPr>
    </w:p>
    <w:p w14:paraId="2355D786" w14:textId="77777777" w:rsidR="00D20B49" w:rsidRPr="009C5EFD" w:rsidRDefault="00E453CD" w:rsidP="00776A84">
      <w:pPr>
        <w:numPr>
          <w:ilvl w:val="0"/>
          <w:numId w:val="3"/>
        </w:numPr>
        <w:rPr>
          <w:sz w:val="22"/>
          <w:szCs w:val="22"/>
        </w:rPr>
      </w:pPr>
      <w:r>
        <w:rPr>
          <w:sz w:val="22"/>
          <w:szCs w:val="22"/>
        </w:rPr>
        <w:t>D</w:t>
      </w:r>
      <w:r w:rsidRPr="009C5EFD">
        <w:rPr>
          <w:sz w:val="22"/>
          <w:szCs w:val="22"/>
        </w:rPr>
        <w:t xml:space="preserve">ersom du har aktiv tuberkulose </w:t>
      </w:r>
      <w:r w:rsidR="009B6AB2">
        <w:rPr>
          <w:sz w:val="22"/>
          <w:szCs w:val="22"/>
        </w:rPr>
        <w:t xml:space="preserve">eller andre alvorlige </w:t>
      </w:r>
      <w:r w:rsidRPr="009C5EFD">
        <w:rPr>
          <w:sz w:val="22"/>
          <w:szCs w:val="22"/>
        </w:rPr>
        <w:t>infeksjon</w:t>
      </w:r>
      <w:r w:rsidR="009B6AB2">
        <w:rPr>
          <w:sz w:val="22"/>
          <w:szCs w:val="22"/>
        </w:rPr>
        <w:t>er</w:t>
      </w:r>
      <w:r w:rsidRPr="009C5EFD">
        <w:rPr>
          <w:sz w:val="22"/>
          <w:szCs w:val="22"/>
        </w:rPr>
        <w:t xml:space="preserve"> (se </w:t>
      </w:r>
      <w:r w:rsidR="00D57009">
        <w:rPr>
          <w:sz w:val="22"/>
          <w:szCs w:val="22"/>
        </w:rPr>
        <w:t>«</w:t>
      </w:r>
      <w:r w:rsidRPr="009C5EFD">
        <w:rPr>
          <w:sz w:val="22"/>
          <w:szCs w:val="22"/>
        </w:rPr>
        <w:t>Advarsler og forsiktighetsregler</w:t>
      </w:r>
      <w:r w:rsidR="00D57009">
        <w:rPr>
          <w:sz w:val="22"/>
          <w:szCs w:val="22"/>
        </w:rPr>
        <w:t>»</w:t>
      </w:r>
      <w:r w:rsidRPr="009C5EFD">
        <w:rPr>
          <w:sz w:val="22"/>
          <w:szCs w:val="22"/>
        </w:rPr>
        <w:t xml:space="preserve">). Det er viktig at du informerer legen </w:t>
      </w:r>
      <w:r w:rsidR="00947B0D">
        <w:rPr>
          <w:sz w:val="22"/>
          <w:szCs w:val="22"/>
        </w:rPr>
        <w:t xml:space="preserve">din </w:t>
      </w:r>
      <w:r w:rsidRPr="009C5EFD">
        <w:rPr>
          <w:sz w:val="22"/>
          <w:szCs w:val="22"/>
        </w:rPr>
        <w:t xml:space="preserve">om du har symptomer på infeksjon, som </w:t>
      </w:r>
      <w:r w:rsidR="001A1AC5">
        <w:rPr>
          <w:sz w:val="22"/>
          <w:szCs w:val="22"/>
        </w:rPr>
        <w:t>f.eks.</w:t>
      </w:r>
      <w:r w:rsidRPr="009C5EFD">
        <w:rPr>
          <w:sz w:val="22"/>
          <w:szCs w:val="22"/>
        </w:rPr>
        <w:t xml:space="preserve"> feber, sår, tretthet, problemer med tennene.</w:t>
      </w:r>
    </w:p>
    <w:p w14:paraId="2F39E5DB" w14:textId="77777777" w:rsidR="009B6AB2" w:rsidRPr="009C5EFD" w:rsidRDefault="009B6AB2" w:rsidP="00776A84">
      <w:pPr>
        <w:ind w:left="567"/>
        <w:rPr>
          <w:sz w:val="22"/>
          <w:szCs w:val="22"/>
        </w:rPr>
      </w:pPr>
    </w:p>
    <w:p w14:paraId="5B33C28C" w14:textId="77777777" w:rsidR="00D20B49" w:rsidRPr="009C5EFD" w:rsidRDefault="00E453CD" w:rsidP="00776A84">
      <w:pPr>
        <w:numPr>
          <w:ilvl w:val="0"/>
          <w:numId w:val="3"/>
        </w:numPr>
        <w:rPr>
          <w:sz w:val="22"/>
          <w:szCs w:val="22"/>
        </w:rPr>
      </w:pPr>
      <w:r>
        <w:rPr>
          <w:sz w:val="22"/>
          <w:szCs w:val="22"/>
        </w:rPr>
        <w:t>D</w:t>
      </w:r>
      <w:r w:rsidR="00345205">
        <w:rPr>
          <w:sz w:val="22"/>
          <w:szCs w:val="22"/>
        </w:rPr>
        <w:t>ersom</w:t>
      </w:r>
      <w:r w:rsidRPr="009C5EFD">
        <w:rPr>
          <w:sz w:val="22"/>
          <w:szCs w:val="22"/>
        </w:rPr>
        <w:t xml:space="preserve"> du har moderat til alvorlig hjertesvikt. Det er viktig at du forteller legen </w:t>
      </w:r>
      <w:r w:rsidR="00947B0D">
        <w:rPr>
          <w:sz w:val="22"/>
          <w:szCs w:val="22"/>
        </w:rPr>
        <w:t xml:space="preserve">din </w:t>
      </w:r>
      <w:r w:rsidRPr="009C5EFD">
        <w:rPr>
          <w:sz w:val="22"/>
          <w:szCs w:val="22"/>
        </w:rPr>
        <w:t xml:space="preserve">hvis du har eller har hatt en alvorlig hjertesykdom (se </w:t>
      </w:r>
      <w:r w:rsidR="00D57009">
        <w:rPr>
          <w:sz w:val="22"/>
          <w:szCs w:val="22"/>
        </w:rPr>
        <w:t>«</w:t>
      </w:r>
      <w:r w:rsidRPr="009C5EFD">
        <w:rPr>
          <w:sz w:val="22"/>
          <w:szCs w:val="22"/>
        </w:rPr>
        <w:t>Advarsler og forsiktighetsregler</w:t>
      </w:r>
      <w:r w:rsidR="00D57009">
        <w:rPr>
          <w:sz w:val="22"/>
          <w:szCs w:val="22"/>
        </w:rPr>
        <w:t>»</w:t>
      </w:r>
      <w:r w:rsidRPr="009C5EFD">
        <w:rPr>
          <w:sz w:val="22"/>
          <w:szCs w:val="22"/>
        </w:rPr>
        <w:t>).</w:t>
      </w:r>
    </w:p>
    <w:p w14:paraId="6BBB5357" w14:textId="77777777" w:rsidR="00D20B49" w:rsidRPr="009C5EFD" w:rsidRDefault="00D20B49" w:rsidP="00D20B49">
      <w:pPr>
        <w:tabs>
          <w:tab w:val="num" w:pos="567"/>
        </w:tabs>
        <w:suppressAutoHyphens/>
        <w:ind w:left="567" w:hanging="567"/>
        <w:rPr>
          <w:sz w:val="22"/>
          <w:szCs w:val="22"/>
        </w:rPr>
      </w:pPr>
    </w:p>
    <w:p w14:paraId="0C7932AF" w14:textId="77777777" w:rsidR="00D20B49" w:rsidRPr="009C5EFD" w:rsidRDefault="00E453CD" w:rsidP="00776A84">
      <w:pPr>
        <w:keepNext/>
        <w:tabs>
          <w:tab w:val="num" w:pos="567"/>
        </w:tabs>
        <w:suppressAutoHyphens/>
        <w:ind w:left="567" w:hanging="567"/>
        <w:rPr>
          <w:b/>
          <w:sz w:val="22"/>
          <w:szCs w:val="22"/>
        </w:rPr>
      </w:pPr>
      <w:r w:rsidRPr="009C5EFD">
        <w:rPr>
          <w:b/>
          <w:sz w:val="22"/>
          <w:szCs w:val="22"/>
        </w:rPr>
        <w:t>Advarsler og forsiktighetsregler</w:t>
      </w:r>
    </w:p>
    <w:p w14:paraId="209A23A4" w14:textId="77777777" w:rsidR="00D20B49" w:rsidRPr="009C5EFD" w:rsidRDefault="00D20B49" w:rsidP="00776A84">
      <w:pPr>
        <w:keepNext/>
        <w:tabs>
          <w:tab w:val="num" w:pos="567"/>
        </w:tabs>
        <w:suppressAutoHyphens/>
        <w:ind w:left="567" w:hanging="567"/>
        <w:rPr>
          <w:sz w:val="22"/>
          <w:szCs w:val="22"/>
        </w:rPr>
      </w:pPr>
    </w:p>
    <w:p w14:paraId="545609AB" w14:textId="77777777" w:rsidR="00D20B49" w:rsidRPr="009C5EFD" w:rsidRDefault="00E453CD" w:rsidP="00D20B49">
      <w:pPr>
        <w:pStyle w:val="BodyTextIndent3"/>
        <w:rPr>
          <w:szCs w:val="22"/>
        </w:rPr>
      </w:pPr>
      <w:r w:rsidRPr="009C5EFD">
        <w:rPr>
          <w:szCs w:val="22"/>
        </w:rPr>
        <w:t>Snakk med legen din eller apotek før Humira brukes.</w:t>
      </w:r>
    </w:p>
    <w:p w14:paraId="03BDBCB7" w14:textId="77777777" w:rsidR="009B6AB2" w:rsidRDefault="009B6AB2" w:rsidP="00D20B49">
      <w:pPr>
        <w:pStyle w:val="BodyTextIndent3"/>
        <w:rPr>
          <w:szCs w:val="22"/>
        </w:rPr>
      </w:pPr>
    </w:p>
    <w:p w14:paraId="20FD78EC" w14:textId="77777777" w:rsidR="009B6AB2" w:rsidRDefault="00E453CD" w:rsidP="00776A84">
      <w:pPr>
        <w:pStyle w:val="BodyTextIndent3"/>
        <w:keepNext/>
        <w:rPr>
          <w:szCs w:val="22"/>
        </w:rPr>
      </w:pPr>
      <w:r>
        <w:rPr>
          <w:szCs w:val="22"/>
          <w:u w:val="single"/>
        </w:rPr>
        <w:t>Allergiske reaksjoner</w:t>
      </w:r>
    </w:p>
    <w:p w14:paraId="3714B14E" w14:textId="77777777" w:rsidR="009B6AB2" w:rsidRPr="009B6AB2" w:rsidRDefault="009B6AB2" w:rsidP="00776A84">
      <w:pPr>
        <w:pStyle w:val="BodyTextIndent3"/>
        <w:keepNext/>
        <w:rPr>
          <w:szCs w:val="22"/>
        </w:rPr>
      </w:pPr>
    </w:p>
    <w:p w14:paraId="2FE2C053" w14:textId="77777777" w:rsidR="00D20B49" w:rsidRPr="009C5EFD" w:rsidRDefault="00E453CD" w:rsidP="0061743D">
      <w:pPr>
        <w:pStyle w:val="BodyTextIndent3"/>
        <w:numPr>
          <w:ilvl w:val="0"/>
          <w:numId w:val="3"/>
        </w:numPr>
        <w:rPr>
          <w:szCs w:val="22"/>
        </w:rPr>
      </w:pPr>
      <w:r w:rsidRPr="009C5EFD">
        <w:rPr>
          <w:szCs w:val="22"/>
        </w:rPr>
        <w:t xml:space="preserve">Dersom du får allergiske reaksjoner med symptomer som tetthet eller piping i brystet, svimmelhet, hevelse eller utslett, må du ikke </w:t>
      </w:r>
      <w:r w:rsidRPr="009C5EFD">
        <w:rPr>
          <w:color w:val="000000"/>
          <w:szCs w:val="22"/>
        </w:rPr>
        <w:t xml:space="preserve">fortsette å </w:t>
      </w:r>
      <w:r w:rsidR="00F464CF">
        <w:rPr>
          <w:szCs w:val="22"/>
        </w:rPr>
        <w:t>injisere</w:t>
      </w:r>
      <w:r w:rsidR="00F464CF" w:rsidRPr="009C5EFD">
        <w:rPr>
          <w:szCs w:val="22"/>
        </w:rPr>
        <w:t xml:space="preserve"> </w:t>
      </w:r>
      <w:r w:rsidRPr="009C5EFD">
        <w:rPr>
          <w:szCs w:val="22"/>
        </w:rPr>
        <w:t xml:space="preserve">Humira, men kontakte legen </w:t>
      </w:r>
      <w:r w:rsidR="00947B0D">
        <w:rPr>
          <w:szCs w:val="22"/>
        </w:rPr>
        <w:t>din</w:t>
      </w:r>
      <w:r w:rsidRPr="009C5EFD">
        <w:rPr>
          <w:szCs w:val="22"/>
        </w:rPr>
        <w:t xml:space="preserve"> umiddelbart</w:t>
      </w:r>
      <w:r w:rsidR="00A1429F">
        <w:rPr>
          <w:szCs w:val="22"/>
        </w:rPr>
        <w:t xml:space="preserve"> siden disse reaksjone</w:t>
      </w:r>
      <w:r w:rsidR="00D93F46">
        <w:rPr>
          <w:szCs w:val="22"/>
        </w:rPr>
        <w:t>ne</w:t>
      </w:r>
      <w:r w:rsidR="00A1429F">
        <w:rPr>
          <w:szCs w:val="22"/>
        </w:rPr>
        <w:t xml:space="preserve"> i sjeldne tilfeller kan være livstruende</w:t>
      </w:r>
      <w:r w:rsidRPr="009C5EFD">
        <w:rPr>
          <w:szCs w:val="22"/>
        </w:rPr>
        <w:t>.</w:t>
      </w:r>
    </w:p>
    <w:p w14:paraId="28F8F277" w14:textId="77777777" w:rsidR="009B6AB2" w:rsidRDefault="009B6AB2" w:rsidP="00887835">
      <w:pPr>
        <w:pStyle w:val="BodyTextIndent3"/>
        <w:ind w:firstLine="0"/>
        <w:rPr>
          <w:szCs w:val="22"/>
        </w:rPr>
      </w:pPr>
    </w:p>
    <w:p w14:paraId="717A8F8D" w14:textId="77777777" w:rsidR="009B6AB2" w:rsidRDefault="00E453CD" w:rsidP="00776A84">
      <w:pPr>
        <w:pStyle w:val="BodyTextIndent3"/>
        <w:keepNext/>
        <w:rPr>
          <w:szCs w:val="22"/>
        </w:rPr>
      </w:pPr>
      <w:r>
        <w:rPr>
          <w:szCs w:val="22"/>
          <w:u w:val="single"/>
        </w:rPr>
        <w:t>Infeksjoner</w:t>
      </w:r>
    </w:p>
    <w:p w14:paraId="05E209A4" w14:textId="77777777" w:rsidR="009B6AB2" w:rsidRPr="009B6AB2" w:rsidRDefault="009B6AB2" w:rsidP="00776A84">
      <w:pPr>
        <w:pStyle w:val="BodyTextIndent3"/>
        <w:keepNext/>
        <w:rPr>
          <w:szCs w:val="22"/>
        </w:rPr>
      </w:pPr>
    </w:p>
    <w:p w14:paraId="4B987DF8" w14:textId="77777777" w:rsidR="00D20B49" w:rsidRPr="009C5EFD" w:rsidRDefault="00E453CD" w:rsidP="0061743D">
      <w:pPr>
        <w:pStyle w:val="BodyTextIndent3"/>
        <w:numPr>
          <w:ilvl w:val="0"/>
          <w:numId w:val="3"/>
        </w:numPr>
        <w:rPr>
          <w:szCs w:val="22"/>
        </w:rPr>
      </w:pPr>
      <w:r w:rsidRPr="009C5EFD">
        <w:rPr>
          <w:szCs w:val="22"/>
        </w:rPr>
        <w:t xml:space="preserve">Dersom du har en infeksjon, </w:t>
      </w:r>
      <w:r w:rsidR="009B6AB2">
        <w:rPr>
          <w:szCs w:val="22"/>
        </w:rPr>
        <w:t>inkludert</w:t>
      </w:r>
      <w:r w:rsidRPr="009C5EFD">
        <w:rPr>
          <w:szCs w:val="22"/>
        </w:rPr>
        <w:t xml:space="preserve"> langtids</w:t>
      </w:r>
      <w:r w:rsidR="00234324">
        <w:rPr>
          <w:szCs w:val="22"/>
        </w:rPr>
        <w:t>infeksjon</w:t>
      </w:r>
      <w:r w:rsidRPr="009C5EFD">
        <w:rPr>
          <w:szCs w:val="22"/>
        </w:rPr>
        <w:t xml:space="preserve"> eller </w:t>
      </w:r>
      <w:r w:rsidR="00234324">
        <w:rPr>
          <w:szCs w:val="22"/>
        </w:rPr>
        <w:t>en</w:t>
      </w:r>
      <w:r w:rsidRPr="009C5EFD">
        <w:rPr>
          <w:szCs w:val="22"/>
        </w:rPr>
        <w:t xml:space="preserve"> infeksjon </w:t>
      </w:r>
      <w:r w:rsidR="00234324">
        <w:rPr>
          <w:szCs w:val="22"/>
        </w:rPr>
        <w:t xml:space="preserve">i én del av kroppen </w:t>
      </w:r>
      <w:r w:rsidRPr="009C5EFD">
        <w:rPr>
          <w:szCs w:val="22"/>
        </w:rPr>
        <w:t>(</w:t>
      </w:r>
      <w:r w:rsidR="001A1AC5">
        <w:rPr>
          <w:szCs w:val="22"/>
        </w:rPr>
        <w:t>f.eks.</w:t>
      </w:r>
      <w:r w:rsidRPr="009C5EFD">
        <w:rPr>
          <w:szCs w:val="22"/>
        </w:rPr>
        <w:t xml:space="preserve"> leggsår) må du snakke med legen </w:t>
      </w:r>
      <w:r w:rsidR="00947B0D">
        <w:rPr>
          <w:szCs w:val="22"/>
        </w:rPr>
        <w:t xml:space="preserve">din </w:t>
      </w:r>
      <w:r w:rsidRPr="009C5EFD">
        <w:rPr>
          <w:szCs w:val="22"/>
        </w:rPr>
        <w:t xml:space="preserve">før du begynner å bruke Humira. </w:t>
      </w:r>
      <w:r w:rsidR="00F464CF">
        <w:rPr>
          <w:szCs w:val="22"/>
        </w:rPr>
        <w:t>K</w:t>
      </w:r>
      <w:r w:rsidRPr="009C5EFD">
        <w:rPr>
          <w:szCs w:val="22"/>
        </w:rPr>
        <w:t>ontakt legen</w:t>
      </w:r>
      <w:r w:rsidR="00947B0D">
        <w:rPr>
          <w:szCs w:val="22"/>
        </w:rPr>
        <w:t xml:space="preserve"> din</w:t>
      </w:r>
      <w:r w:rsidRPr="009C5EFD">
        <w:rPr>
          <w:szCs w:val="22"/>
        </w:rPr>
        <w:t xml:space="preserve"> hvis du er usikker.</w:t>
      </w:r>
    </w:p>
    <w:p w14:paraId="34255F12" w14:textId="77777777" w:rsidR="00023121" w:rsidRPr="009C5EFD" w:rsidRDefault="00023121" w:rsidP="00887835">
      <w:pPr>
        <w:pStyle w:val="BodyTextIndent3"/>
        <w:ind w:firstLine="0"/>
        <w:rPr>
          <w:szCs w:val="22"/>
        </w:rPr>
      </w:pPr>
    </w:p>
    <w:p w14:paraId="18BD166D" w14:textId="77777777" w:rsidR="00023121" w:rsidRDefault="00E453CD" w:rsidP="00887835">
      <w:pPr>
        <w:numPr>
          <w:ilvl w:val="0"/>
          <w:numId w:val="3"/>
        </w:numPr>
        <w:suppressAutoHyphens/>
        <w:rPr>
          <w:sz w:val="22"/>
          <w:szCs w:val="22"/>
        </w:rPr>
      </w:pPr>
      <w:r w:rsidRPr="009C5EFD">
        <w:rPr>
          <w:sz w:val="22"/>
          <w:szCs w:val="22"/>
        </w:rPr>
        <w:t xml:space="preserve">Du kan lettere få infeksjoner mens du behandles med Humira. Denne risikoen kan være større hvis </w:t>
      </w:r>
      <w:r>
        <w:rPr>
          <w:sz w:val="22"/>
          <w:szCs w:val="22"/>
        </w:rPr>
        <w:t xml:space="preserve">du har problemer med </w:t>
      </w:r>
      <w:r w:rsidRPr="009C5EFD">
        <w:rPr>
          <w:sz w:val="22"/>
          <w:szCs w:val="22"/>
        </w:rPr>
        <w:t>din lungefunksjon. Disse infeksjonene kan være alvorlige og inkluderer</w:t>
      </w:r>
      <w:r>
        <w:rPr>
          <w:sz w:val="22"/>
          <w:szCs w:val="22"/>
        </w:rPr>
        <w:t>:</w:t>
      </w:r>
    </w:p>
    <w:p w14:paraId="291201C1" w14:textId="77777777" w:rsidR="00023121" w:rsidRPr="00B20185" w:rsidRDefault="00E453CD" w:rsidP="00FC3B44">
      <w:pPr>
        <w:pStyle w:val="EMEABullet2"/>
        <w:numPr>
          <w:ilvl w:val="1"/>
          <w:numId w:val="111"/>
        </w:numPr>
        <w:tabs>
          <w:tab w:val="clear" w:pos="567"/>
        </w:tabs>
        <w:rPr>
          <w:lang w:val="en-GB"/>
        </w:rPr>
      </w:pPr>
      <w:r w:rsidRPr="0061743D">
        <w:rPr>
          <w:lang w:val="en-GB"/>
        </w:rPr>
        <w:t>tuberkulose</w:t>
      </w:r>
    </w:p>
    <w:p w14:paraId="32DA1EC2" w14:textId="77777777" w:rsidR="00023121" w:rsidRPr="00887835" w:rsidRDefault="00E453CD" w:rsidP="00023121">
      <w:pPr>
        <w:pStyle w:val="EMEABullet2"/>
        <w:numPr>
          <w:ilvl w:val="1"/>
          <w:numId w:val="111"/>
        </w:numPr>
        <w:tabs>
          <w:tab w:val="clear" w:pos="567"/>
        </w:tabs>
        <w:rPr>
          <w:lang w:val="nb-NO"/>
        </w:rPr>
      </w:pPr>
      <w:r w:rsidRPr="0061743D">
        <w:rPr>
          <w:lang w:val="nb-NO"/>
        </w:rPr>
        <w:t xml:space="preserve">infeksjoner forårsaket av virus, sopp, parasitter eller </w:t>
      </w:r>
      <w:r w:rsidR="006B3727" w:rsidRPr="00887835">
        <w:rPr>
          <w:szCs w:val="22"/>
          <w:lang w:val="nb-NO"/>
        </w:rPr>
        <w:t>bakterie</w:t>
      </w:r>
      <w:r w:rsidR="002C6C2A">
        <w:rPr>
          <w:szCs w:val="22"/>
          <w:lang w:val="nb-NO"/>
        </w:rPr>
        <w:t>r</w:t>
      </w:r>
    </w:p>
    <w:p w14:paraId="74DAC38D" w14:textId="77777777" w:rsidR="00023121" w:rsidRPr="00887835" w:rsidRDefault="00E453CD" w:rsidP="00887835">
      <w:pPr>
        <w:pStyle w:val="EMEANormal"/>
        <w:numPr>
          <w:ilvl w:val="1"/>
          <w:numId w:val="111"/>
        </w:numPr>
        <w:rPr>
          <w:lang w:val="nb-NO"/>
        </w:rPr>
      </w:pPr>
      <w:r>
        <w:rPr>
          <w:lang w:val="nb-NO"/>
        </w:rPr>
        <w:t>alvorlige infeksjoner i blodet (</w:t>
      </w:r>
      <w:r w:rsidR="00D20B49" w:rsidRPr="0061743D">
        <w:rPr>
          <w:lang w:val="nb-NO"/>
        </w:rPr>
        <w:t>blodforgiftning</w:t>
      </w:r>
      <w:r>
        <w:rPr>
          <w:lang w:val="nb-NO"/>
        </w:rPr>
        <w:t>)</w:t>
      </w:r>
    </w:p>
    <w:p w14:paraId="078CF894" w14:textId="77777777" w:rsidR="00023121" w:rsidRPr="00E54D13" w:rsidRDefault="00023121" w:rsidP="00887835">
      <w:pPr>
        <w:suppressAutoHyphens/>
        <w:ind w:left="567"/>
        <w:rPr>
          <w:sz w:val="22"/>
          <w:szCs w:val="22"/>
        </w:rPr>
      </w:pPr>
    </w:p>
    <w:p w14:paraId="4628FF16" w14:textId="77777777" w:rsidR="00D20B49" w:rsidRPr="009C5EFD" w:rsidRDefault="00E453CD" w:rsidP="00172EEB">
      <w:pPr>
        <w:suppressAutoHyphens/>
        <w:ind w:left="720"/>
        <w:rPr>
          <w:sz w:val="22"/>
          <w:szCs w:val="22"/>
        </w:rPr>
      </w:pPr>
      <w:r>
        <w:rPr>
          <w:sz w:val="22"/>
          <w:szCs w:val="22"/>
        </w:rPr>
        <w:t>I</w:t>
      </w:r>
      <w:r w:rsidRPr="009C5EFD">
        <w:rPr>
          <w:sz w:val="22"/>
          <w:szCs w:val="22"/>
        </w:rPr>
        <w:t xml:space="preserve"> sjeldne tilfeller kan </w:t>
      </w:r>
      <w:r>
        <w:rPr>
          <w:sz w:val="22"/>
          <w:szCs w:val="22"/>
        </w:rPr>
        <w:t>disse infeksjon</w:t>
      </w:r>
      <w:r w:rsidR="002C6C2A">
        <w:rPr>
          <w:sz w:val="22"/>
          <w:szCs w:val="22"/>
        </w:rPr>
        <w:t>ene</w:t>
      </w:r>
      <w:r>
        <w:rPr>
          <w:sz w:val="22"/>
          <w:szCs w:val="22"/>
        </w:rPr>
        <w:t xml:space="preserve"> </w:t>
      </w:r>
      <w:r w:rsidRPr="009C5EFD">
        <w:rPr>
          <w:sz w:val="22"/>
          <w:szCs w:val="22"/>
        </w:rPr>
        <w:t xml:space="preserve">være livstruende. Det er viktig å fortelle legen </w:t>
      </w:r>
      <w:r w:rsidR="00947B0D">
        <w:rPr>
          <w:sz w:val="22"/>
          <w:szCs w:val="22"/>
        </w:rPr>
        <w:t xml:space="preserve">din </w:t>
      </w:r>
      <w:r w:rsidRPr="009C5EFD">
        <w:rPr>
          <w:sz w:val="22"/>
          <w:szCs w:val="22"/>
        </w:rPr>
        <w:t xml:space="preserve">om eventuelle symptomer som feber, sår, tretthet eller problemer med tennene. Legen </w:t>
      </w:r>
      <w:r w:rsidR="00947B0D">
        <w:rPr>
          <w:sz w:val="22"/>
          <w:szCs w:val="22"/>
        </w:rPr>
        <w:t>din</w:t>
      </w:r>
      <w:r w:rsidRPr="009C5EFD">
        <w:rPr>
          <w:sz w:val="22"/>
          <w:szCs w:val="22"/>
        </w:rPr>
        <w:t xml:space="preserve"> kan anbefale å avbryte behandlingen med Humira </w:t>
      </w:r>
      <w:r>
        <w:rPr>
          <w:sz w:val="22"/>
          <w:szCs w:val="22"/>
        </w:rPr>
        <w:t>en stund</w:t>
      </w:r>
      <w:r w:rsidRPr="009C5EFD">
        <w:rPr>
          <w:sz w:val="22"/>
          <w:szCs w:val="22"/>
        </w:rPr>
        <w:t>.</w:t>
      </w:r>
    </w:p>
    <w:p w14:paraId="2DCEC71C" w14:textId="77777777" w:rsidR="00E54D13" w:rsidRDefault="00E54D13" w:rsidP="00AF70AD">
      <w:pPr>
        <w:suppressAutoHyphens/>
        <w:rPr>
          <w:sz w:val="22"/>
          <w:szCs w:val="22"/>
        </w:rPr>
      </w:pPr>
    </w:p>
    <w:p w14:paraId="70B94806" w14:textId="77777777" w:rsidR="00E54D13" w:rsidRDefault="00E453CD" w:rsidP="00887835">
      <w:pPr>
        <w:numPr>
          <w:ilvl w:val="0"/>
          <w:numId w:val="3"/>
        </w:numPr>
        <w:suppressAutoHyphens/>
        <w:rPr>
          <w:sz w:val="22"/>
          <w:szCs w:val="22"/>
        </w:rPr>
      </w:pPr>
      <w:r w:rsidRPr="009C5EFD">
        <w:rPr>
          <w:sz w:val="22"/>
          <w:szCs w:val="22"/>
        </w:rPr>
        <w:t>Gi besk</w:t>
      </w:r>
      <w:r>
        <w:rPr>
          <w:sz w:val="22"/>
          <w:szCs w:val="22"/>
        </w:rPr>
        <w:t xml:space="preserve">jed til legen </w:t>
      </w:r>
      <w:r w:rsidR="00947B0D">
        <w:rPr>
          <w:sz w:val="22"/>
          <w:szCs w:val="22"/>
        </w:rPr>
        <w:t xml:space="preserve">din </w:t>
      </w:r>
      <w:r>
        <w:rPr>
          <w:sz w:val="22"/>
          <w:szCs w:val="22"/>
        </w:rPr>
        <w:t>om du bor</w:t>
      </w:r>
      <w:r w:rsidRPr="009C5EFD">
        <w:rPr>
          <w:sz w:val="22"/>
          <w:szCs w:val="22"/>
        </w:rPr>
        <w:t xml:space="preserve"> eller reiser i områder hvor soppinfeksjoner </w:t>
      </w:r>
      <w:r>
        <w:rPr>
          <w:sz w:val="22"/>
          <w:szCs w:val="22"/>
        </w:rPr>
        <w:t>(</w:t>
      </w:r>
      <w:r w:rsidR="001A1AC5">
        <w:rPr>
          <w:sz w:val="22"/>
          <w:szCs w:val="22"/>
        </w:rPr>
        <w:t>f.eks.</w:t>
      </w:r>
      <w:r>
        <w:rPr>
          <w:sz w:val="22"/>
          <w:szCs w:val="22"/>
        </w:rPr>
        <w:t xml:space="preserve"> </w:t>
      </w:r>
      <w:r w:rsidRPr="009C5EFD">
        <w:rPr>
          <w:sz w:val="22"/>
          <w:szCs w:val="22"/>
        </w:rPr>
        <w:t>histoplasmose, koksidioidomykose eller blastomykose</w:t>
      </w:r>
      <w:r>
        <w:rPr>
          <w:sz w:val="22"/>
          <w:szCs w:val="22"/>
        </w:rPr>
        <w:t>)</w:t>
      </w:r>
      <w:r w:rsidRPr="009C5EFD">
        <w:rPr>
          <w:sz w:val="22"/>
          <w:szCs w:val="22"/>
        </w:rPr>
        <w:t xml:space="preserve"> er </w:t>
      </w:r>
      <w:r>
        <w:rPr>
          <w:sz w:val="22"/>
          <w:szCs w:val="22"/>
        </w:rPr>
        <w:t>veldig vanlig</w:t>
      </w:r>
      <w:r w:rsidRPr="009C5EFD">
        <w:rPr>
          <w:sz w:val="22"/>
          <w:szCs w:val="22"/>
        </w:rPr>
        <w:t>.</w:t>
      </w:r>
    </w:p>
    <w:p w14:paraId="0F0CF9A1" w14:textId="77777777" w:rsidR="00E54D13" w:rsidRPr="009C5EFD" w:rsidRDefault="00E453CD" w:rsidP="00887835">
      <w:pPr>
        <w:suppressAutoHyphens/>
        <w:rPr>
          <w:sz w:val="22"/>
          <w:szCs w:val="22"/>
        </w:rPr>
      </w:pPr>
      <w:r w:rsidRPr="009C5EFD">
        <w:rPr>
          <w:sz w:val="22"/>
          <w:szCs w:val="22"/>
        </w:rPr>
        <w:t xml:space="preserve"> </w:t>
      </w:r>
    </w:p>
    <w:p w14:paraId="7FD15B3E" w14:textId="77777777" w:rsidR="00E54D13" w:rsidRDefault="00E453CD" w:rsidP="00887835">
      <w:pPr>
        <w:numPr>
          <w:ilvl w:val="0"/>
          <w:numId w:val="3"/>
        </w:numPr>
        <w:suppressAutoHyphens/>
        <w:rPr>
          <w:sz w:val="22"/>
          <w:szCs w:val="22"/>
        </w:rPr>
      </w:pPr>
      <w:r w:rsidRPr="009C5EFD">
        <w:rPr>
          <w:sz w:val="22"/>
          <w:szCs w:val="22"/>
        </w:rPr>
        <w:t xml:space="preserve">Gi beskjed til legen </w:t>
      </w:r>
      <w:r w:rsidR="00947B0D">
        <w:rPr>
          <w:sz w:val="22"/>
          <w:szCs w:val="22"/>
        </w:rPr>
        <w:t xml:space="preserve">din </w:t>
      </w:r>
      <w:r w:rsidRPr="009C5EFD">
        <w:rPr>
          <w:sz w:val="22"/>
          <w:szCs w:val="22"/>
        </w:rPr>
        <w:t>om du har hatt gjentatte infeksjoner eller andre lidelser som øker faren for infeksjoner.</w:t>
      </w:r>
    </w:p>
    <w:p w14:paraId="1DA65DD9" w14:textId="77777777" w:rsidR="00E54D13" w:rsidRDefault="00E54D13" w:rsidP="00887835">
      <w:pPr>
        <w:pStyle w:val="ListParagraph"/>
        <w:rPr>
          <w:sz w:val="22"/>
          <w:szCs w:val="22"/>
        </w:rPr>
      </w:pPr>
    </w:p>
    <w:p w14:paraId="126B1F48" w14:textId="77777777" w:rsidR="00E54D13" w:rsidRPr="00887835" w:rsidRDefault="00E453CD" w:rsidP="00887835">
      <w:pPr>
        <w:numPr>
          <w:ilvl w:val="0"/>
          <w:numId w:val="3"/>
        </w:numPr>
        <w:suppressAutoHyphens/>
        <w:rPr>
          <w:sz w:val="22"/>
          <w:szCs w:val="22"/>
        </w:rPr>
      </w:pPr>
      <w:r w:rsidRPr="0061743D">
        <w:rPr>
          <w:sz w:val="22"/>
        </w:rPr>
        <w:t xml:space="preserve">Hvis du er over 65 år kan du være mer mottagelig for infeksjoner mens du blir behandlet med Humira. Du og legen din bør være særlig oppmerksomme på tegn på infeksjoner mens du blir behandlet med Humira. Det er viktig at du forteller legen din dersom du får symptomer på infeksjoner, </w:t>
      </w:r>
      <w:r w:rsidR="001A1AC5">
        <w:rPr>
          <w:sz w:val="22"/>
          <w:szCs w:val="22"/>
        </w:rPr>
        <w:t>f.eks.</w:t>
      </w:r>
      <w:r w:rsidRPr="00887835">
        <w:rPr>
          <w:sz w:val="22"/>
          <w:szCs w:val="22"/>
        </w:rPr>
        <w:t xml:space="preserve"> feber, sår, trøtthet eller tannproblemer.</w:t>
      </w:r>
    </w:p>
    <w:p w14:paraId="329BD1A4" w14:textId="77777777" w:rsidR="00E54D13" w:rsidRPr="00E54D13" w:rsidRDefault="00E54D13" w:rsidP="00AF70AD">
      <w:pPr>
        <w:pStyle w:val="ListParagraph"/>
        <w:ind w:left="0"/>
        <w:rPr>
          <w:sz w:val="22"/>
          <w:szCs w:val="22"/>
        </w:rPr>
      </w:pPr>
    </w:p>
    <w:p w14:paraId="1EC65B2B" w14:textId="77777777" w:rsidR="00E54D13" w:rsidRDefault="00E453CD" w:rsidP="00802544">
      <w:pPr>
        <w:keepNext/>
        <w:suppressAutoHyphens/>
        <w:rPr>
          <w:sz w:val="22"/>
          <w:szCs w:val="22"/>
          <w:u w:val="single"/>
        </w:rPr>
      </w:pPr>
      <w:r>
        <w:rPr>
          <w:sz w:val="22"/>
          <w:szCs w:val="22"/>
          <w:u w:val="single"/>
        </w:rPr>
        <w:lastRenderedPageBreak/>
        <w:t>Tuberkulose</w:t>
      </w:r>
    </w:p>
    <w:p w14:paraId="3AA44B40" w14:textId="77777777" w:rsidR="00E54D13" w:rsidRPr="00887835" w:rsidRDefault="00E54D13" w:rsidP="00802544">
      <w:pPr>
        <w:keepNext/>
        <w:suppressAutoHyphens/>
        <w:rPr>
          <w:sz w:val="22"/>
          <w:szCs w:val="22"/>
          <w:u w:val="single"/>
        </w:rPr>
      </w:pPr>
    </w:p>
    <w:p w14:paraId="4BE7ACCB" w14:textId="77777777" w:rsidR="006920C1" w:rsidRDefault="00E453CD" w:rsidP="00776A84">
      <w:pPr>
        <w:numPr>
          <w:ilvl w:val="0"/>
          <w:numId w:val="3"/>
        </w:numPr>
        <w:suppressAutoHyphens/>
        <w:ind w:left="714" w:hanging="357"/>
        <w:rPr>
          <w:sz w:val="22"/>
          <w:szCs w:val="22"/>
        </w:rPr>
      </w:pPr>
      <w:r>
        <w:rPr>
          <w:sz w:val="22"/>
          <w:szCs w:val="22"/>
        </w:rPr>
        <w:t xml:space="preserve">Det er veldig viktig at du forteller legen </w:t>
      </w:r>
      <w:r w:rsidR="00947B0D">
        <w:rPr>
          <w:sz w:val="22"/>
          <w:szCs w:val="22"/>
        </w:rPr>
        <w:t xml:space="preserve">din </w:t>
      </w:r>
      <w:r w:rsidRPr="009C5EFD">
        <w:rPr>
          <w:sz w:val="22"/>
          <w:szCs w:val="22"/>
        </w:rPr>
        <w:t>om du noensinne har hatt tuberkulose, eller om du har vært i nær kontakt med noen som har hatt tuberkulose.</w:t>
      </w:r>
      <w:r>
        <w:rPr>
          <w:sz w:val="22"/>
          <w:szCs w:val="22"/>
        </w:rPr>
        <w:t xml:space="preserve"> Bruk ikke Humira hvis du har tuberkulose.</w:t>
      </w:r>
    </w:p>
    <w:p w14:paraId="11DCB9B9" w14:textId="77777777" w:rsidR="00FC3B44" w:rsidRDefault="00FC3B44" w:rsidP="00AF70AD">
      <w:pPr>
        <w:suppressAutoHyphens/>
        <w:rPr>
          <w:sz w:val="22"/>
          <w:szCs w:val="22"/>
        </w:rPr>
      </w:pPr>
    </w:p>
    <w:p w14:paraId="5BCD96BE" w14:textId="77777777" w:rsidR="006920C1" w:rsidRDefault="00E453CD" w:rsidP="00887835">
      <w:pPr>
        <w:numPr>
          <w:ilvl w:val="0"/>
          <w:numId w:val="3"/>
        </w:numPr>
        <w:tabs>
          <w:tab w:val="clear" w:pos="720"/>
          <w:tab w:val="num" w:pos="567"/>
          <w:tab w:val="num" w:pos="1440"/>
        </w:tabs>
        <w:suppressAutoHyphens/>
        <w:ind w:left="1440"/>
        <w:rPr>
          <w:sz w:val="22"/>
          <w:szCs w:val="22"/>
        </w:rPr>
      </w:pPr>
      <w:r w:rsidRPr="009C5EFD">
        <w:rPr>
          <w:sz w:val="22"/>
          <w:szCs w:val="22"/>
        </w:rPr>
        <w:t xml:space="preserve">Ettersom det har vært påvist tilfeller av tuberkulose hos pasienter under behandling med Humira, kommer legen </w:t>
      </w:r>
      <w:r w:rsidR="00947B0D">
        <w:rPr>
          <w:sz w:val="22"/>
          <w:szCs w:val="22"/>
        </w:rPr>
        <w:t xml:space="preserve">din </w:t>
      </w:r>
      <w:r w:rsidRPr="009C5EFD">
        <w:rPr>
          <w:sz w:val="22"/>
          <w:szCs w:val="22"/>
        </w:rPr>
        <w:t xml:space="preserve">til å undersøke om du har tegn eller symptomer på tuberkulose før Humira-behandling startes opp. Dette omfatter en grundig medisinsk </w:t>
      </w:r>
      <w:r w:rsidR="00BF02E7">
        <w:rPr>
          <w:sz w:val="22"/>
          <w:szCs w:val="22"/>
        </w:rPr>
        <w:t>vurdering</w:t>
      </w:r>
      <w:r w:rsidRPr="009C5EFD">
        <w:rPr>
          <w:sz w:val="22"/>
          <w:szCs w:val="22"/>
        </w:rPr>
        <w:t xml:space="preserve"> som vil inkludere din sykdomshistorie og passende screeningtester (f.eks. røntgenbilde av brystkasse og en tuberkulinprøve). Disse testene og resultatene bør registreres i </w:t>
      </w:r>
      <w:r w:rsidRPr="0061743D">
        <w:rPr>
          <w:b/>
          <w:sz w:val="22"/>
        </w:rPr>
        <w:t>pasientkortet</w:t>
      </w:r>
      <w:r w:rsidRPr="009C5EFD">
        <w:rPr>
          <w:sz w:val="22"/>
          <w:szCs w:val="22"/>
        </w:rPr>
        <w:t xml:space="preserve"> ditt.</w:t>
      </w:r>
    </w:p>
    <w:p w14:paraId="791CDB20" w14:textId="77777777" w:rsidR="00FC3B44" w:rsidRDefault="00E453CD" w:rsidP="00887835">
      <w:pPr>
        <w:numPr>
          <w:ilvl w:val="0"/>
          <w:numId w:val="3"/>
        </w:numPr>
        <w:tabs>
          <w:tab w:val="clear" w:pos="720"/>
          <w:tab w:val="num" w:pos="567"/>
          <w:tab w:val="num" w:pos="1440"/>
        </w:tabs>
        <w:suppressAutoHyphens/>
        <w:ind w:left="1440"/>
        <w:rPr>
          <w:sz w:val="22"/>
          <w:szCs w:val="22"/>
        </w:rPr>
      </w:pPr>
      <w:r w:rsidRPr="009C5EFD">
        <w:rPr>
          <w:sz w:val="22"/>
          <w:szCs w:val="22"/>
        </w:rPr>
        <w:t>Tuberkulose kan utvikles under behandling selv</w:t>
      </w:r>
      <w:r w:rsidR="0004489F">
        <w:rPr>
          <w:sz w:val="22"/>
          <w:szCs w:val="22"/>
        </w:rPr>
        <w:t xml:space="preserve"> </w:t>
      </w:r>
      <w:r w:rsidRPr="009C5EFD">
        <w:rPr>
          <w:sz w:val="22"/>
          <w:szCs w:val="22"/>
        </w:rPr>
        <w:t>om du har mottatt forebyggende behandling mot tuberkulose.</w:t>
      </w:r>
    </w:p>
    <w:p w14:paraId="630F4E3D" w14:textId="77777777" w:rsidR="00D20B49" w:rsidRPr="009C5EFD" w:rsidRDefault="00E453CD" w:rsidP="0061743D">
      <w:pPr>
        <w:numPr>
          <w:ilvl w:val="0"/>
          <w:numId w:val="3"/>
        </w:numPr>
        <w:tabs>
          <w:tab w:val="clear" w:pos="720"/>
          <w:tab w:val="num" w:pos="567"/>
          <w:tab w:val="num" w:pos="1440"/>
        </w:tabs>
        <w:suppressAutoHyphens/>
        <w:ind w:left="1440"/>
        <w:rPr>
          <w:sz w:val="22"/>
          <w:szCs w:val="22"/>
        </w:rPr>
      </w:pPr>
      <w:r w:rsidRPr="009C5EFD">
        <w:rPr>
          <w:sz w:val="22"/>
          <w:szCs w:val="22"/>
        </w:rPr>
        <w:t>Dersom symptomer på tuberkulose (</w:t>
      </w:r>
      <w:r w:rsidR="00FC3B44">
        <w:rPr>
          <w:sz w:val="22"/>
          <w:szCs w:val="22"/>
        </w:rPr>
        <w:t xml:space="preserve">f.eks. </w:t>
      </w:r>
      <w:r w:rsidRPr="009C5EFD">
        <w:rPr>
          <w:sz w:val="22"/>
          <w:szCs w:val="22"/>
        </w:rPr>
        <w:t xml:space="preserve">vedvarende hoste, vekttap, </w:t>
      </w:r>
      <w:r w:rsidR="00FC3B44">
        <w:rPr>
          <w:sz w:val="22"/>
          <w:szCs w:val="22"/>
        </w:rPr>
        <w:t>energitap</w:t>
      </w:r>
      <w:r w:rsidRPr="009C5EFD">
        <w:rPr>
          <w:sz w:val="22"/>
          <w:szCs w:val="22"/>
        </w:rPr>
        <w:t xml:space="preserve">, lett feber) eller andre infeksjoner dukker opp under eller etter behandlingen må du fortelle legen </w:t>
      </w:r>
      <w:r w:rsidR="00947B0D">
        <w:rPr>
          <w:sz w:val="22"/>
          <w:szCs w:val="22"/>
        </w:rPr>
        <w:t xml:space="preserve">din </w:t>
      </w:r>
      <w:r w:rsidRPr="009C5EFD">
        <w:rPr>
          <w:sz w:val="22"/>
          <w:szCs w:val="22"/>
        </w:rPr>
        <w:t>om det straks.</w:t>
      </w:r>
    </w:p>
    <w:p w14:paraId="5D395E7D" w14:textId="77777777" w:rsidR="006920C1" w:rsidRDefault="006920C1" w:rsidP="00AF70AD">
      <w:pPr>
        <w:suppressAutoHyphens/>
        <w:rPr>
          <w:sz w:val="22"/>
          <w:szCs w:val="22"/>
        </w:rPr>
      </w:pPr>
    </w:p>
    <w:p w14:paraId="7CEAC390" w14:textId="77777777" w:rsidR="00845B5C" w:rsidRDefault="00E453CD" w:rsidP="00D00F56">
      <w:pPr>
        <w:keepNext/>
        <w:suppressAutoHyphens/>
        <w:rPr>
          <w:sz w:val="22"/>
          <w:szCs w:val="22"/>
        </w:rPr>
      </w:pPr>
      <w:r>
        <w:rPr>
          <w:sz w:val="22"/>
          <w:szCs w:val="22"/>
          <w:u w:val="single"/>
        </w:rPr>
        <w:t>Hepatitt B</w:t>
      </w:r>
    </w:p>
    <w:p w14:paraId="555D6991" w14:textId="77777777" w:rsidR="00845B5C" w:rsidRPr="00845B5C" w:rsidRDefault="00845B5C" w:rsidP="00D00F56">
      <w:pPr>
        <w:keepNext/>
        <w:suppressAutoHyphens/>
        <w:rPr>
          <w:sz w:val="22"/>
          <w:szCs w:val="22"/>
        </w:rPr>
      </w:pPr>
    </w:p>
    <w:p w14:paraId="7BA7BC0F" w14:textId="77777777" w:rsidR="00845B5C" w:rsidRDefault="00E453CD" w:rsidP="00776A84">
      <w:pPr>
        <w:numPr>
          <w:ilvl w:val="0"/>
          <w:numId w:val="3"/>
        </w:numPr>
        <w:suppressAutoHyphens/>
        <w:ind w:left="714" w:hanging="357"/>
      </w:pPr>
      <w:r w:rsidRPr="0061743D">
        <w:rPr>
          <w:sz w:val="22"/>
        </w:rPr>
        <w:t>Gi beskjed til legen din dersom du er bærer av hepatitt B-virus (HBV), dersom du har aktiv HBV-infeksjon, eller hvis du tror du kan være utsatt for å få HBV.</w:t>
      </w:r>
    </w:p>
    <w:p w14:paraId="6CE68A3A" w14:textId="77777777" w:rsidR="00FC3B44" w:rsidRDefault="00FC3B44">
      <w:pPr>
        <w:pStyle w:val="EMEABullet2"/>
        <w:numPr>
          <w:ilvl w:val="0"/>
          <w:numId w:val="0"/>
        </w:numPr>
        <w:rPr>
          <w:lang w:val="nb-NO"/>
        </w:rPr>
      </w:pPr>
    </w:p>
    <w:p w14:paraId="6351B9CC" w14:textId="77777777" w:rsidR="00197087" w:rsidRDefault="00E453CD" w:rsidP="00887835">
      <w:pPr>
        <w:pStyle w:val="EMEABullet2"/>
        <w:tabs>
          <w:tab w:val="left" w:pos="1440"/>
        </w:tabs>
        <w:ind w:left="1440" w:hanging="360"/>
        <w:rPr>
          <w:lang w:val="nb-NO"/>
        </w:rPr>
      </w:pPr>
      <w:r>
        <w:rPr>
          <w:lang w:val="nb-NO"/>
        </w:rPr>
        <w:t>L</w:t>
      </w:r>
      <w:r w:rsidRPr="009C5EFD">
        <w:rPr>
          <w:lang w:val="nb-NO"/>
        </w:rPr>
        <w:t>ege</w:t>
      </w:r>
      <w:r>
        <w:rPr>
          <w:lang w:val="nb-NO"/>
        </w:rPr>
        <w:t>n din</w:t>
      </w:r>
      <w:r w:rsidRPr="009C5EFD">
        <w:rPr>
          <w:lang w:val="nb-NO"/>
        </w:rPr>
        <w:t xml:space="preserve"> b</w:t>
      </w:r>
      <w:r w:rsidR="00400B22">
        <w:rPr>
          <w:lang w:val="nb-NO"/>
        </w:rPr>
        <w:t>ør</w:t>
      </w:r>
      <w:r w:rsidRPr="009C5EFD">
        <w:rPr>
          <w:lang w:val="nb-NO"/>
        </w:rPr>
        <w:t xml:space="preserve"> teste deg for HBV. </w:t>
      </w:r>
      <w:r w:rsidR="00FC3B44">
        <w:rPr>
          <w:lang w:val="nb-NO"/>
        </w:rPr>
        <w:t>Hos</w:t>
      </w:r>
      <w:r w:rsidRPr="009C5EFD">
        <w:rPr>
          <w:lang w:val="nb-NO"/>
        </w:rPr>
        <w:t xml:space="preserve"> </w:t>
      </w:r>
      <w:r w:rsidRPr="009C5EFD">
        <w:rPr>
          <w:szCs w:val="22"/>
          <w:lang w:val="nb-NO"/>
        </w:rPr>
        <w:t>personer</w:t>
      </w:r>
      <w:r w:rsidRPr="009C5EFD">
        <w:rPr>
          <w:lang w:val="nb-NO"/>
        </w:rPr>
        <w:t xml:space="preserve"> som er bærere av </w:t>
      </w:r>
      <w:r w:rsidR="00FC3B44">
        <w:rPr>
          <w:lang w:val="nb-NO"/>
        </w:rPr>
        <w:t xml:space="preserve">HBV kan </w:t>
      </w:r>
      <w:r w:rsidRPr="009C5EFD">
        <w:rPr>
          <w:lang w:val="nb-NO"/>
        </w:rPr>
        <w:t xml:space="preserve">Humira </w:t>
      </w:r>
      <w:r>
        <w:rPr>
          <w:lang w:val="nb-NO"/>
        </w:rPr>
        <w:t>forårsake at</w:t>
      </w:r>
      <w:r w:rsidRPr="009C5EFD">
        <w:rPr>
          <w:lang w:val="nb-NO"/>
        </w:rPr>
        <w:t xml:space="preserve"> viruset</w:t>
      </w:r>
      <w:r>
        <w:rPr>
          <w:lang w:val="nb-NO"/>
        </w:rPr>
        <w:t xml:space="preserve"> blir aktivt igjen</w:t>
      </w:r>
      <w:r w:rsidRPr="009C5EFD">
        <w:rPr>
          <w:lang w:val="nb-NO"/>
        </w:rPr>
        <w:t xml:space="preserve">. </w:t>
      </w:r>
    </w:p>
    <w:p w14:paraId="5151A226" w14:textId="77777777" w:rsidR="00D20B49" w:rsidRPr="009C5EFD" w:rsidRDefault="00E453CD" w:rsidP="0061743D">
      <w:pPr>
        <w:pStyle w:val="EMEABullet2"/>
        <w:tabs>
          <w:tab w:val="left" w:pos="1440"/>
        </w:tabs>
        <w:ind w:left="1440" w:hanging="360"/>
        <w:rPr>
          <w:lang w:val="nb-NO"/>
        </w:rPr>
      </w:pPr>
      <w:r w:rsidRPr="009C5EFD">
        <w:rPr>
          <w:lang w:val="nb-NO"/>
        </w:rPr>
        <w:t>I noen sjeldne tilfeller, særlig hvis du tar andre legemidler som demper immunsystemet, kan reaktivering av HBV være livstruende.</w:t>
      </w:r>
    </w:p>
    <w:p w14:paraId="43C659E1" w14:textId="77777777" w:rsidR="00EC1DB1" w:rsidRDefault="00EC1DB1" w:rsidP="00887835">
      <w:pPr>
        <w:pStyle w:val="EMEABullet2"/>
        <w:numPr>
          <w:ilvl w:val="0"/>
          <w:numId w:val="0"/>
        </w:numPr>
        <w:rPr>
          <w:szCs w:val="22"/>
          <w:u w:val="single"/>
          <w:lang w:val="nb-NO"/>
        </w:rPr>
      </w:pPr>
    </w:p>
    <w:p w14:paraId="2B72F0EB" w14:textId="77777777" w:rsidR="00197087" w:rsidRDefault="00E453CD" w:rsidP="00776A84">
      <w:pPr>
        <w:pStyle w:val="EMEABullet2"/>
        <w:keepNext/>
        <w:numPr>
          <w:ilvl w:val="0"/>
          <w:numId w:val="0"/>
        </w:numPr>
        <w:rPr>
          <w:szCs w:val="22"/>
          <w:lang w:val="nb-NO"/>
        </w:rPr>
      </w:pPr>
      <w:r>
        <w:rPr>
          <w:szCs w:val="22"/>
          <w:u w:val="single"/>
          <w:lang w:val="nb-NO"/>
        </w:rPr>
        <w:t>Operasjon</w:t>
      </w:r>
      <w:r w:rsidR="00925B5E">
        <w:rPr>
          <w:szCs w:val="22"/>
          <w:u w:val="single"/>
          <w:lang w:val="nb-NO"/>
        </w:rPr>
        <w:t xml:space="preserve"> og inngrep i tennene</w:t>
      </w:r>
    </w:p>
    <w:p w14:paraId="73913B96" w14:textId="77777777" w:rsidR="00D20B49" w:rsidRPr="009C5EFD" w:rsidRDefault="00D20B49" w:rsidP="00776A84">
      <w:pPr>
        <w:pStyle w:val="EMEABullet2"/>
        <w:keepNext/>
        <w:numPr>
          <w:ilvl w:val="0"/>
          <w:numId w:val="0"/>
        </w:numPr>
        <w:rPr>
          <w:szCs w:val="22"/>
          <w:lang w:val="nb-NO"/>
        </w:rPr>
      </w:pPr>
    </w:p>
    <w:p w14:paraId="25A7EFFE" w14:textId="77777777" w:rsidR="00D20B49" w:rsidRPr="009C5EFD" w:rsidRDefault="00E453CD" w:rsidP="0061743D">
      <w:pPr>
        <w:numPr>
          <w:ilvl w:val="0"/>
          <w:numId w:val="3"/>
        </w:numPr>
        <w:suppressAutoHyphens/>
        <w:rPr>
          <w:sz w:val="22"/>
          <w:szCs w:val="22"/>
        </w:rPr>
      </w:pPr>
      <w:r>
        <w:rPr>
          <w:sz w:val="22"/>
          <w:szCs w:val="22"/>
        </w:rPr>
        <w:t>Dersom</w:t>
      </w:r>
      <w:r w:rsidRPr="009C5EFD">
        <w:rPr>
          <w:sz w:val="22"/>
          <w:szCs w:val="22"/>
        </w:rPr>
        <w:t xml:space="preserve"> du skal opereres eller ha inngrep i tennene skal du si fra til legen din at du bruker Humira. Legen </w:t>
      </w:r>
      <w:r>
        <w:rPr>
          <w:sz w:val="22"/>
          <w:szCs w:val="22"/>
        </w:rPr>
        <w:t>din</w:t>
      </w:r>
      <w:r w:rsidRPr="009C5EFD">
        <w:rPr>
          <w:sz w:val="22"/>
          <w:szCs w:val="22"/>
        </w:rPr>
        <w:t xml:space="preserve"> kan anbefale å avbryte behandlingen </w:t>
      </w:r>
      <w:r w:rsidR="00400B22">
        <w:rPr>
          <w:sz w:val="22"/>
          <w:szCs w:val="22"/>
        </w:rPr>
        <w:t>med Humira</w:t>
      </w:r>
      <w:r w:rsidRPr="009C5EFD">
        <w:rPr>
          <w:sz w:val="22"/>
          <w:szCs w:val="22"/>
        </w:rPr>
        <w:t xml:space="preserve"> midlertidig.</w:t>
      </w:r>
    </w:p>
    <w:p w14:paraId="36AE988C" w14:textId="77777777" w:rsidR="00197087" w:rsidRDefault="00197087" w:rsidP="00887835">
      <w:pPr>
        <w:suppressAutoHyphens/>
        <w:ind w:left="567"/>
        <w:rPr>
          <w:sz w:val="22"/>
          <w:szCs w:val="22"/>
        </w:rPr>
      </w:pPr>
    </w:p>
    <w:p w14:paraId="631F1251" w14:textId="77777777" w:rsidR="00197087" w:rsidRDefault="00E453CD" w:rsidP="00776A84">
      <w:pPr>
        <w:keepNext/>
        <w:suppressAutoHyphens/>
        <w:rPr>
          <w:sz w:val="22"/>
          <w:szCs w:val="22"/>
        </w:rPr>
      </w:pPr>
      <w:r>
        <w:rPr>
          <w:sz w:val="22"/>
          <w:szCs w:val="22"/>
          <w:u w:val="single"/>
        </w:rPr>
        <w:t>D</w:t>
      </w:r>
      <w:r w:rsidRPr="00197087">
        <w:rPr>
          <w:sz w:val="22"/>
          <w:szCs w:val="22"/>
          <w:u w:val="single"/>
        </w:rPr>
        <w:t>emyeliniserende sykdom</w:t>
      </w:r>
    </w:p>
    <w:p w14:paraId="3A0E9700" w14:textId="77777777" w:rsidR="00197087" w:rsidRPr="00197087" w:rsidRDefault="00197087" w:rsidP="00776A84">
      <w:pPr>
        <w:keepNext/>
        <w:suppressAutoHyphens/>
        <w:rPr>
          <w:sz w:val="22"/>
          <w:szCs w:val="22"/>
        </w:rPr>
      </w:pPr>
    </w:p>
    <w:p w14:paraId="5CC3B237" w14:textId="77777777" w:rsidR="00C25673" w:rsidRDefault="00E453CD" w:rsidP="00C25673">
      <w:pPr>
        <w:numPr>
          <w:ilvl w:val="0"/>
          <w:numId w:val="3"/>
        </w:numPr>
        <w:suppressAutoHyphens/>
        <w:rPr>
          <w:sz w:val="22"/>
          <w:szCs w:val="22"/>
        </w:rPr>
      </w:pPr>
      <w:r w:rsidRPr="00C25673">
        <w:rPr>
          <w:sz w:val="22"/>
          <w:szCs w:val="22"/>
        </w:rPr>
        <w:t xml:space="preserve">Dersom du har eller utvikler en demyeliniserende sykdom </w:t>
      </w:r>
      <w:r w:rsidR="00925B5E">
        <w:rPr>
          <w:sz w:val="22"/>
          <w:szCs w:val="22"/>
        </w:rPr>
        <w:t xml:space="preserve">(en sykdom som påvirker det isolerende laget rundt nervene, </w:t>
      </w:r>
      <w:r w:rsidRPr="00C25673">
        <w:rPr>
          <w:sz w:val="22"/>
          <w:szCs w:val="22"/>
        </w:rPr>
        <w:t>som multippel sklerose</w:t>
      </w:r>
      <w:r w:rsidR="00925B5E">
        <w:rPr>
          <w:sz w:val="22"/>
          <w:szCs w:val="22"/>
        </w:rPr>
        <w:t>)</w:t>
      </w:r>
      <w:r w:rsidRPr="00C25673">
        <w:rPr>
          <w:sz w:val="22"/>
          <w:szCs w:val="22"/>
        </w:rPr>
        <w:t>, vil legen avgjøre om du kan bruke Humira. Gi beskjed til legen umiddelbart dersom du opplever symptomer som synsforstyrrelser, svakhet i armer eller ben eller nummenhet eller prikking i noen del av kroppen</w:t>
      </w:r>
      <w:r w:rsidR="0012694E">
        <w:rPr>
          <w:sz w:val="22"/>
          <w:szCs w:val="22"/>
        </w:rPr>
        <w:t>.</w:t>
      </w:r>
    </w:p>
    <w:p w14:paraId="5A98D24D" w14:textId="77777777" w:rsidR="00197087" w:rsidRDefault="00197087" w:rsidP="0061743D">
      <w:pPr>
        <w:suppressAutoHyphens/>
        <w:ind w:left="720"/>
        <w:rPr>
          <w:sz w:val="22"/>
          <w:szCs w:val="22"/>
        </w:rPr>
      </w:pPr>
    </w:p>
    <w:p w14:paraId="33C8CA83" w14:textId="77777777" w:rsidR="00197087" w:rsidRDefault="00E453CD" w:rsidP="00776A84">
      <w:pPr>
        <w:keepNext/>
        <w:suppressAutoHyphens/>
        <w:rPr>
          <w:sz w:val="22"/>
          <w:szCs w:val="22"/>
        </w:rPr>
      </w:pPr>
      <w:r>
        <w:rPr>
          <w:sz w:val="22"/>
          <w:szCs w:val="22"/>
          <w:u w:val="single"/>
        </w:rPr>
        <w:t>Vaksin</w:t>
      </w:r>
      <w:r w:rsidR="00EC1DB1">
        <w:rPr>
          <w:sz w:val="22"/>
          <w:szCs w:val="22"/>
          <w:u w:val="single"/>
        </w:rPr>
        <w:t>asjoner</w:t>
      </w:r>
    </w:p>
    <w:p w14:paraId="390DC4B4" w14:textId="77777777" w:rsidR="00197087" w:rsidRPr="00197087" w:rsidRDefault="00197087" w:rsidP="00776A84">
      <w:pPr>
        <w:keepNext/>
        <w:suppressAutoHyphens/>
        <w:rPr>
          <w:sz w:val="22"/>
          <w:szCs w:val="22"/>
        </w:rPr>
      </w:pPr>
    </w:p>
    <w:p w14:paraId="6040014F" w14:textId="77777777" w:rsidR="00197087" w:rsidRDefault="00E453CD" w:rsidP="00887835">
      <w:pPr>
        <w:numPr>
          <w:ilvl w:val="0"/>
          <w:numId w:val="3"/>
        </w:numPr>
        <w:suppressAutoHyphens/>
        <w:rPr>
          <w:sz w:val="22"/>
          <w:szCs w:val="22"/>
        </w:rPr>
      </w:pPr>
      <w:r w:rsidRPr="009C5EFD">
        <w:rPr>
          <w:sz w:val="22"/>
        </w:rPr>
        <w:t>Enkelte</w:t>
      </w:r>
      <w:r w:rsidRPr="009C5EFD">
        <w:rPr>
          <w:sz w:val="22"/>
          <w:szCs w:val="22"/>
        </w:rPr>
        <w:t xml:space="preserve"> vaksiner </w:t>
      </w:r>
      <w:r w:rsidRPr="009C5EFD">
        <w:rPr>
          <w:sz w:val="22"/>
        </w:rPr>
        <w:t xml:space="preserve">kan forårsake infeksjoner og bør </w:t>
      </w:r>
      <w:r w:rsidRPr="009C5EFD">
        <w:rPr>
          <w:sz w:val="22"/>
          <w:szCs w:val="22"/>
        </w:rPr>
        <w:t xml:space="preserve">ikke </w:t>
      </w:r>
      <w:r w:rsidRPr="009C5EFD">
        <w:rPr>
          <w:sz w:val="22"/>
        </w:rPr>
        <w:t xml:space="preserve">tas </w:t>
      </w:r>
      <w:r w:rsidRPr="009C5EFD">
        <w:rPr>
          <w:sz w:val="22"/>
          <w:szCs w:val="22"/>
        </w:rPr>
        <w:t xml:space="preserve">under behandling med Humira. </w:t>
      </w:r>
    </w:p>
    <w:p w14:paraId="127F1E53" w14:textId="77777777" w:rsidR="00D45B38" w:rsidRDefault="00D45B38" w:rsidP="00887835">
      <w:pPr>
        <w:suppressAutoHyphens/>
        <w:ind w:left="720"/>
        <w:rPr>
          <w:sz w:val="22"/>
          <w:szCs w:val="22"/>
        </w:rPr>
      </w:pPr>
    </w:p>
    <w:p w14:paraId="31BB1BD6" w14:textId="77777777" w:rsidR="00197087" w:rsidRDefault="00E453CD" w:rsidP="00887835">
      <w:pPr>
        <w:numPr>
          <w:ilvl w:val="0"/>
          <w:numId w:val="3"/>
        </w:numPr>
        <w:tabs>
          <w:tab w:val="clear" w:pos="720"/>
          <w:tab w:val="num" w:pos="567"/>
          <w:tab w:val="num" w:pos="1440"/>
        </w:tabs>
        <w:suppressAutoHyphens/>
        <w:ind w:left="1440"/>
        <w:rPr>
          <w:sz w:val="22"/>
          <w:szCs w:val="22"/>
        </w:rPr>
      </w:pPr>
      <w:r w:rsidRPr="009C5EFD">
        <w:rPr>
          <w:color w:val="000000"/>
          <w:sz w:val="22"/>
          <w:szCs w:val="22"/>
        </w:rPr>
        <w:t xml:space="preserve">Spør </w:t>
      </w:r>
      <w:r w:rsidRPr="009C5EFD">
        <w:rPr>
          <w:sz w:val="22"/>
          <w:szCs w:val="22"/>
        </w:rPr>
        <w:t xml:space="preserve">legen din før du </w:t>
      </w:r>
      <w:r w:rsidR="00F464CF">
        <w:rPr>
          <w:sz w:val="22"/>
          <w:szCs w:val="22"/>
        </w:rPr>
        <w:t>får</w:t>
      </w:r>
      <w:r w:rsidR="00F464CF" w:rsidRPr="009C5EFD">
        <w:rPr>
          <w:sz w:val="22"/>
          <w:szCs w:val="22"/>
        </w:rPr>
        <w:t xml:space="preserve"> </w:t>
      </w:r>
      <w:r w:rsidRPr="009C5EFD">
        <w:rPr>
          <w:sz w:val="22"/>
          <w:szCs w:val="22"/>
        </w:rPr>
        <w:t>vaksiner.</w:t>
      </w:r>
    </w:p>
    <w:p w14:paraId="7227B7BB" w14:textId="77777777" w:rsidR="00197087" w:rsidRPr="00197087" w:rsidRDefault="00E453CD" w:rsidP="00887835">
      <w:pPr>
        <w:numPr>
          <w:ilvl w:val="0"/>
          <w:numId w:val="3"/>
        </w:numPr>
        <w:tabs>
          <w:tab w:val="clear" w:pos="720"/>
          <w:tab w:val="num" w:pos="567"/>
          <w:tab w:val="num" w:pos="1440"/>
        </w:tabs>
        <w:suppressAutoHyphens/>
        <w:ind w:left="1440"/>
        <w:rPr>
          <w:sz w:val="22"/>
          <w:szCs w:val="22"/>
        </w:rPr>
      </w:pPr>
      <w:r w:rsidRPr="009C5EFD">
        <w:rPr>
          <w:sz w:val="22"/>
          <w:szCs w:val="22"/>
        </w:rPr>
        <w:t xml:space="preserve">Det anbefales at barn, hvis mulig, vaksineres </w:t>
      </w:r>
      <w:r w:rsidR="00B64F75">
        <w:rPr>
          <w:sz w:val="22"/>
          <w:szCs w:val="22"/>
        </w:rPr>
        <w:t>som planlagt i henhold til alderen</w:t>
      </w:r>
      <w:r w:rsidRPr="009C5EFD">
        <w:rPr>
          <w:sz w:val="22"/>
          <w:szCs w:val="22"/>
        </w:rPr>
        <w:t xml:space="preserve"> før behandling med Humira startes.</w:t>
      </w:r>
    </w:p>
    <w:p w14:paraId="78C07CB6" w14:textId="77777777" w:rsidR="00D20B49" w:rsidRPr="009C5EFD" w:rsidRDefault="00E453CD" w:rsidP="0061743D">
      <w:pPr>
        <w:numPr>
          <w:ilvl w:val="0"/>
          <w:numId w:val="3"/>
        </w:numPr>
        <w:tabs>
          <w:tab w:val="clear" w:pos="720"/>
          <w:tab w:val="num" w:pos="567"/>
          <w:tab w:val="num" w:pos="1440"/>
        </w:tabs>
        <w:suppressAutoHyphens/>
        <w:ind w:left="1440"/>
        <w:rPr>
          <w:sz w:val="22"/>
          <w:szCs w:val="22"/>
        </w:rPr>
      </w:pPr>
      <w:r>
        <w:rPr>
          <w:sz w:val="22"/>
        </w:rPr>
        <w:t>Dersom</w:t>
      </w:r>
      <w:r w:rsidRPr="009C5EFD">
        <w:rPr>
          <w:sz w:val="22"/>
        </w:rPr>
        <w:t xml:space="preserve"> du ble behandlet med Humira under graviditet, kan spedbarnet ditt ha større risiko for å få en slik infeksjon inntil omtrent fem måneder etter siste dose </w:t>
      </w:r>
      <w:r w:rsidR="00541503">
        <w:rPr>
          <w:sz w:val="22"/>
        </w:rPr>
        <w:t xml:space="preserve">Humira </w:t>
      </w:r>
      <w:r w:rsidRPr="009C5EFD">
        <w:rPr>
          <w:sz w:val="22"/>
        </w:rPr>
        <w:t>som du mottok under graviditeten. Det er viktig at du forteller ditt spedbarns leger og annet helsepersonell at du brukte Humira under graviditeten, slik at de kan vurdere når barnet ditt burde vaksineres.</w:t>
      </w:r>
    </w:p>
    <w:p w14:paraId="0B7D5505" w14:textId="77777777" w:rsidR="00541503" w:rsidRDefault="00541503" w:rsidP="00887835">
      <w:pPr>
        <w:tabs>
          <w:tab w:val="num" w:pos="1440"/>
        </w:tabs>
        <w:suppressAutoHyphens/>
        <w:ind w:left="1440"/>
        <w:rPr>
          <w:sz w:val="22"/>
        </w:rPr>
      </w:pPr>
    </w:p>
    <w:p w14:paraId="623360E1" w14:textId="77777777" w:rsidR="00541503" w:rsidRDefault="00E453CD" w:rsidP="00802544">
      <w:pPr>
        <w:keepNext/>
        <w:tabs>
          <w:tab w:val="num" w:pos="1440"/>
        </w:tabs>
        <w:suppressAutoHyphens/>
        <w:rPr>
          <w:sz w:val="22"/>
        </w:rPr>
      </w:pPr>
      <w:r>
        <w:rPr>
          <w:sz w:val="22"/>
          <w:u w:val="single"/>
        </w:rPr>
        <w:lastRenderedPageBreak/>
        <w:t>Hjerte</w:t>
      </w:r>
      <w:r w:rsidR="00B64F75">
        <w:rPr>
          <w:sz w:val="22"/>
          <w:u w:val="single"/>
        </w:rPr>
        <w:t>svikt</w:t>
      </w:r>
    </w:p>
    <w:p w14:paraId="68187D30" w14:textId="77777777" w:rsidR="00541503" w:rsidRPr="00541503" w:rsidRDefault="00541503" w:rsidP="00802544">
      <w:pPr>
        <w:keepNext/>
        <w:tabs>
          <w:tab w:val="num" w:pos="1440"/>
        </w:tabs>
        <w:suppressAutoHyphens/>
        <w:rPr>
          <w:sz w:val="22"/>
          <w:szCs w:val="22"/>
        </w:rPr>
      </w:pPr>
    </w:p>
    <w:p w14:paraId="0E879865" w14:textId="77777777" w:rsidR="00541503" w:rsidRDefault="00E453CD" w:rsidP="00776A84">
      <w:pPr>
        <w:numPr>
          <w:ilvl w:val="0"/>
          <w:numId w:val="3"/>
        </w:numPr>
        <w:suppressAutoHyphens/>
        <w:ind w:left="714" w:hanging="357"/>
        <w:rPr>
          <w:sz w:val="22"/>
          <w:szCs w:val="22"/>
        </w:rPr>
      </w:pPr>
      <w:r>
        <w:rPr>
          <w:sz w:val="22"/>
          <w:szCs w:val="22"/>
        </w:rPr>
        <w:t xml:space="preserve">Dersom </w:t>
      </w:r>
      <w:r w:rsidR="00227FD1">
        <w:rPr>
          <w:sz w:val="22"/>
          <w:szCs w:val="22"/>
        </w:rPr>
        <w:t>du</w:t>
      </w:r>
      <w:r>
        <w:rPr>
          <w:sz w:val="22"/>
          <w:szCs w:val="22"/>
        </w:rPr>
        <w:t xml:space="preserve"> har lett hjertesvikt og blir behandlet med Humira, må status for </w:t>
      </w:r>
      <w:r w:rsidR="00227FD1">
        <w:rPr>
          <w:sz w:val="22"/>
          <w:szCs w:val="22"/>
        </w:rPr>
        <w:t>din</w:t>
      </w:r>
      <w:r>
        <w:rPr>
          <w:sz w:val="22"/>
          <w:szCs w:val="22"/>
        </w:rPr>
        <w:t xml:space="preserve"> hjertesvikt overvåkes nøye av legen. </w:t>
      </w:r>
      <w:r w:rsidR="00D20B49" w:rsidRPr="009C5EFD">
        <w:rPr>
          <w:sz w:val="22"/>
          <w:szCs w:val="22"/>
        </w:rPr>
        <w:t xml:space="preserve">Det er viktig </w:t>
      </w:r>
      <w:r>
        <w:rPr>
          <w:sz w:val="22"/>
          <w:szCs w:val="22"/>
        </w:rPr>
        <w:t>å</w:t>
      </w:r>
      <w:r w:rsidR="00D20B49" w:rsidRPr="009C5EFD">
        <w:rPr>
          <w:sz w:val="22"/>
          <w:szCs w:val="22"/>
        </w:rPr>
        <w:t xml:space="preserve"> </w:t>
      </w:r>
      <w:r>
        <w:rPr>
          <w:sz w:val="22"/>
          <w:szCs w:val="22"/>
        </w:rPr>
        <w:t>fortelle</w:t>
      </w:r>
      <w:r w:rsidR="00D20B49" w:rsidRPr="009C5EFD">
        <w:rPr>
          <w:sz w:val="22"/>
          <w:szCs w:val="22"/>
        </w:rPr>
        <w:t xml:space="preserve"> legen </w:t>
      </w:r>
      <w:r>
        <w:rPr>
          <w:sz w:val="22"/>
          <w:szCs w:val="22"/>
        </w:rPr>
        <w:t xml:space="preserve">din </w:t>
      </w:r>
      <w:r w:rsidR="00D20B49" w:rsidRPr="009C5EFD">
        <w:rPr>
          <w:sz w:val="22"/>
          <w:szCs w:val="22"/>
        </w:rPr>
        <w:t xml:space="preserve">om </w:t>
      </w:r>
      <w:r w:rsidR="00227FD1">
        <w:rPr>
          <w:sz w:val="22"/>
          <w:szCs w:val="22"/>
        </w:rPr>
        <w:t>du</w:t>
      </w:r>
      <w:r w:rsidR="00D20B49" w:rsidRPr="009C5EFD">
        <w:rPr>
          <w:sz w:val="22"/>
          <w:szCs w:val="22"/>
        </w:rPr>
        <w:t xml:space="preserve"> har</w:t>
      </w:r>
      <w:r>
        <w:rPr>
          <w:sz w:val="22"/>
          <w:szCs w:val="22"/>
        </w:rPr>
        <w:t xml:space="preserve"> hatt</w:t>
      </w:r>
      <w:r w:rsidR="00D20B49" w:rsidRPr="009C5EFD">
        <w:rPr>
          <w:sz w:val="22"/>
          <w:szCs w:val="22"/>
        </w:rPr>
        <w:t xml:space="preserve"> eller har</w:t>
      </w:r>
      <w:r>
        <w:rPr>
          <w:sz w:val="22"/>
          <w:szCs w:val="22"/>
        </w:rPr>
        <w:t xml:space="preserve"> en</w:t>
      </w:r>
      <w:r w:rsidR="00D20B49" w:rsidRPr="009C5EFD">
        <w:rPr>
          <w:sz w:val="22"/>
          <w:szCs w:val="22"/>
        </w:rPr>
        <w:t xml:space="preserve"> alvorlig </w:t>
      </w:r>
      <w:r>
        <w:rPr>
          <w:sz w:val="22"/>
          <w:szCs w:val="22"/>
        </w:rPr>
        <w:t>hjertetilstand. Dersom</w:t>
      </w:r>
      <w:r w:rsidRPr="009C5EFD">
        <w:rPr>
          <w:sz w:val="22"/>
          <w:szCs w:val="22"/>
        </w:rPr>
        <w:t xml:space="preserve"> </w:t>
      </w:r>
      <w:r w:rsidR="00227FD1">
        <w:rPr>
          <w:sz w:val="22"/>
          <w:szCs w:val="22"/>
        </w:rPr>
        <w:t>du</w:t>
      </w:r>
      <w:r w:rsidRPr="009C5EFD">
        <w:rPr>
          <w:sz w:val="22"/>
          <w:szCs w:val="22"/>
        </w:rPr>
        <w:t xml:space="preserve"> utvikler nye eller forverrede symptomer på hjertesvikt (</w:t>
      </w:r>
      <w:r>
        <w:rPr>
          <w:sz w:val="22"/>
          <w:szCs w:val="22"/>
        </w:rPr>
        <w:t>f.eks.</w:t>
      </w:r>
      <w:r w:rsidRPr="009C5EFD">
        <w:rPr>
          <w:sz w:val="22"/>
          <w:szCs w:val="22"/>
        </w:rPr>
        <w:t xml:space="preserve"> tungpustethet, hovne føtter) skal du kontakte legen </w:t>
      </w:r>
      <w:r>
        <w:rPr>
          <w:sz w:val="22"/>
          <w:szCs w:val="22"/>
        </w:rPr>
        <w:t xml:space="preserve">din </w:t>
      </w:r>
      <w:r w:rsidRPr="009C5EFD">
        <w:rPr>
          <w:sz w:val="22"/>
          <w:szCs w:val="22"/>
        </w:rPr>
        <w:t xml:space="preserve">umiddelbart. Legen </w:t>
      </w:r>
      <w:r>
        <w:rPr>
          <w:sz w:val="22"/>
          <w:szCs w:val="22"/>
        </w:rPr>
        <w:t xml:space="preserve">din </w:t>
      </w:r>
      <w:r w:rsidRPr="009C5EFD">
        <w:rPr>
          <w:sz w:val="22"/>
          <w:szCs w:val="22"/>
        </w:rPr>
        <w:t xml:space="preserve">vil avgjøre om </w:t>
      </w:r>
      <w:r w:rsidR="00227FD1">
        <w:rPr>
          <w:sz w:val="22"/>
          <w:szCs w:val="22"/>
        </w:rPr>
        <w:t>du</w:t>
      </w:r>
      <w:r w:rsidRPr="009C5EFD">
        <w:rPr>
          <w:sz w:val="22"/>
          <w:szCs w:val="22"/>
        </w:rPr>
        <w:t xml:space="preserve"> skal fortsette med Humira.</w:t>
      </w:r>
    </w:p>
    <w:p w14:paraId="02EE1B22" w14:textId="77777777" w:rsidR="00B64F75" w:rsidRDefault="00B64F75" w:rsidP="00887835">
      <w:pPr>
        <w:suppressAutoHyphens/>
        <w:ind w:left="567"/>
        <w:rPr>
          <w:sz w:val="22"/>
          <w:szCs w:val="22"/>
        </w:rPr>
      </w:pPr>
    </w:p>
    <w:p w14:paraId="0393A2EC" w14:textId="77777777" w:rsidR="00B64F75" w:rsidRDefault="00E453CD" w:rsidP="00776A84">
      <w:pPr>
        <w:keepNext/>
        <w:tabs>
          <w:tab w:val="num" w:pos="1440"/>
        </w:tabs>
        <w:suppressAutoHyphens/>
        <w:rPr>
          <w:sz w:val="22"/>
          <w:szCs w:val="22"/>
          <w:u w:val="single"/>
        </w:rPr>
      </w:pPr>
      <w:r w:rsidRPr="008A5FB6">
        <w:rPr>
          <w:sz w:val="22"/>
          <w:szCs w:val="22"/>
          <w:u w:val="single"/>
        </w:rPr>
        <w:t>Feber, blåmerker, blødning eller blekhet</w:t>
      </w:r>
    </w:p>
    <w:p w14:paraId="51DDFAB9" w14:textId="77777777" w:rsidR="00541503" w:rsidRPr="009C5EFD" w:rsidRDefault="00541503" w:rsidP="00776A84">
      <w:pPr>
        <w:keepNext/>
        <w:tabs>
          <w:tab w:val="num" w:pos="1440"/>
        </w:tabs>
        <w:suppressAutoHyphens/>
        <w:rPr>
          <w:sz w:val="22"/>
          <w:szCs w:val="22"/>
        </w:rPr>
      </w:pPr>
    </w:p>
    <w:p w14:paraId="4BE86483" w14:textId="77777777" w:rsidR="00D20B49" w:rsidRPr="009C5EFD" w:rsidRDefault="00E453CD" w:rsidP="0061743D">
      <w:pPr>
        <w:numPr>
          <w:ilvl w:val="0"/>
          <w:numId w:val="3"/>
        </w:numPr>
        <w:suppressAutoHyphens/>
        <w:rPr>
          <w:sz w:val="22"/>
          <w:szCs w:val="22"/>
        </w:rPr>
      </w:pPr>
      <w:r w:rsidRPr="009C5EFD">
        <w:rPr>
          <w:sz w:val="22"/>
          <w:szCs w:val="22"/>
        </w:rPr>
        <w:t>Hos noen pasienter kan kroppen få problemer med å produsere nok av de blodlegemene som forhindre</w:t>
      </w:r>
      <w:r w:rsidR="00B64F75">
        <w:rPr>
          <w:sz w:val="22"/>
          <w:szCs w:val="22"/>
        </w:rPr>
        <w:t>r</w:t>
      </w:r>
      <w:r w:rsidRPr="009C5EFD">
        <w:rPr>
          <w:sz w:val="22"/>
          <w:szCs w:val="22"/>
        </w:rPr>
        <w:t xml:space="preserve"> infeksjoner eller stoppe</w:t>
      </w:r>
      <w:r w:rsidR="00187573">
        <w:rPr>
          <w:sz w:val="22"/>
          <w:szCs w:val="22"/>
        </w:rPr>
        <w:t>r</w:t>
      </w:r>
      <w:r w:rsidRPr="009C5EFD">
        <w:rPr>
          <w:sz w:val="22"/>
          <w:szCs w:val="22"/>
        </w:rPr>
        <w:t xml:space="preserve"> blødninger. Legen din kan bestemme at behandlingen må avbrytes.</w:t>
      </w:r>
      <w:r w:rsidR="00B64F75">
        <w:rPr>
          <w:sz w:val="22"/>
          <w:szCs w:val="22"/>
        </w:rPr>
        <w:t xml:space="preserve"> </w:t>
      </w:r>
      <w:r w:rsidR="00B64F75" w:rsidRPr="009C5EFD">
        <w:rPr>
          <w:sz w:val="22"/>
          <w:szCs w:val="22"/>
        </w:rPr>
        <w:t xml:space="preserve">Kontakt lege snarest hvis du får feber som ikke forsvinner, får blåmerker eller blør svært lett eller ser svært blek ut. </w:t>
      </w:r>
    </w:p>
    <w:p w14:paraId="2D64D3ED" w14:textId="77777777" w:rsidR="00F034FF" w:rsidRDefault="00F034FF" w:rsidP="00887835">
      <w:pPr>
        <w:suppressAutoHyphens/>
        <w:ind w:left="567"/>
        <w:rPr>
          <w:sz w:val="22"/>
          <w:szCs w:val="22"/>
        </w:rPr>
      </w:pPr>
    </w:p>
    <w:p w14:paraId="1022F8E0" w14:textId="77777777" w:rsidR="00F034FF" w:rsidRDefault="00E453CD" w:rsidP="00DF48AA">
      <w:pPr>
        <w:keepNext/>
        <w:suppressAutoHyphens/>
        <w:rPr>
          <w:sz w:val="22"/>
          <w:szCs w:val="22"/>
        </w:rPr>
      </w:pPr>
      <w:r>
        <w:rPr>
          <w:sz w:val="22"/>
          <w:szCs w:val="22"/>
          <w:u w:val="single"/>
        </w:rPr>
        <w:t>Kreft</w:t>
      </w:r>
    </w:p>
    <w:p w14:paraId="28B271AF" w14:textId="77777777" w:rsidR="00F034FF" w:rsidRPr="00F034FF" w:rsidRDefault="00F034FF" w:rsidP="00DF48AA">
      <w:pPr>
        <w:keepNext/>
        <w:suppressAutoHyphens/>
        <w:rPr>
          <w:sz w:val="22"/>
          <w:szCs w:val="22"/>
        </w:rPr>
      </w:pPr>
    </w:p>
    <w:p w14:paraId="60C004EA" w14:textId="77777777" w:rsidR="00F034FF" w:rsidRDefault="00E453CD" w:rsidP="00776A84">
      <w:pPr>
        <w:numPr>
          <w:ilvl w:val="0"/>
          <w:numId w:val="3"/>
        </w:numPr>
        <w:suppressAutoHyphens/>
        <w:ind w:left="714" w:hanging="357"/>
        <w:rPr>
          <w:sz w:val="22"/>
          <w:szCs w:val="22"/>
        </w:rPr>
      </w:pPr>
      <w:r w:rsidRPr="009C5EFD">
        <w:rPr>
          <w:sz w:val="22"/>
          <w:szCs w:val="22"/>
        </w:rPr>
        <w:t xml:space="preserve">Det har vært svært sjeldne tilfeller av visse typer kreft hos barn og </w:t>
      </w:r>
      <w:r w:rsidR="00057E92">
        <w:rPr>
          <w:sz w:val="22"/>
          <w:szCs w:val="22"/>
        </w:rPr>
        <w:t>voksne</w:t>
      </w:r>
      <w:r w:rsidRPr="009C5EFD">
        <w:rPr>
          <w:sz w:val="22"/>
          <w:szCs w:val="22"/>
        </w:rPr>
        <w:t xml:space="preserve"> som får Humira eller andre TNF-blokkere.</w:t>
      </w:r>
    </w:p>
    <w:p w14:paraId="418963A4" w14:textId="77777777" w:rsidR="00F034FF" w:rsidRDefault="00F034FF" w:rsidP="00776A84">
      <w:pPr>
        <w:suppressAutoHyphens/>
        <w:rPr>
          <w:sz w:val="22"/>
          <w:szCs w:val="22"/>
        </w:rPr>
      </w:pPr>
    </w:p>
    <w:p w14:paraId="4EC0743A" w14:textId="77777777" w:rsidR="00F034FF" w:rsidRDefault="00E453CD" w:rsidP="00887835">
      <w:pPr>
        <w:numPr>
          <w:ilvl w:val="0"/>
          <w:numId w:val="3"/>
        </w:numPr>
        <w:tabs>
          <w:tab w:val="num" w:pos="567"/>
          <w:tab w:val="num" w:pos="1440"/>
        </w:tabs>
        <w:suppressAutoHyphens/>
        <w:ind w:left="1440"/>
        <w:rPr>
          <w:sz w:val="22"/>
          <w:szCs w:val="22"/>
        </w:rPr>
      </w:pPr>
      <w:r w:rsidRPr="009C5EFD">
        <w:rPr>
          <w:sz w:val="22"/>
          <w:szCs w:val="22"/>
        </w:rPr>
        <w:t>Personer med mer alvorlig revmatoid artritt som har hatt sykdommen i lang tid kan ha høyere risiko enn gjennomsnittet for å få lymfom (kreft som angriper lymfesystemet) og leukemi (kreft som angriper blod og benmarg).</w:t>
      </w:r>
    </w:p>
    <w:p w14:paraId="4837B341" w14:textId="77777777" w:rsidR="00F034FF" w:rsidRDefault="00E453CD" w:rsidP="00887835">
      <w:pPr>
        <w:numPr>
          <w:ilvl w:val="0"/>
          <w:numId w:val="3"/>
        </w:numPr>
        <w:tabs>
          <w:tab w:val="num" w:pos="567"/>
          <w:tab w:val="num" w:pos="1440"/>
        </w:tabs>
        <w:suppressAutoHyphens/>
        <w:ind w:left="1440"/>
        <w:rPr>
          <w:sz w:val="22"/>
          <w:szCs w:val="22"/>
        </w:rPr>
      </w:pPr>
      <w:r>
        <w:rPr>
          <w:sz w:val="22"/>
          <w:szCs w:val="22"/>
        </w:rPr>
        <w:t>Dersom</w:t>
      </w:r>
      <w:r w:rsidR="00D20B49" w:rsidRPr="009C5EFD">
        <w:rPr>
          <w:sz w:val="22"/>
          <w:szCs w:val="22"/>
        </w:rPr>
        <w:t xml:space="preserve"> du tar Humira, kan risikoen for å få lymfom, leukemi og andre typer kreft øke. I sjeldne tilfeller har man </w:t>
      </w:r>
      <w:r>
        <w:rPr>
          <w:sz w:val="22"/>
          <w:szCs w:val="22"/>
        </w:rPr>
        <w:t>sett</w:t>
      </w:r>
      <w:r w:rsidR="00D20B49" w:rsidRPr="009C5EFD">
        <w:rPr>
          <w:sz w:val="22"/>
          <w:szCs w:val="22"/>
        </w:rPr>
        <w:t xml:space="preserve"> en </w:t>
      </w:r>
      <w:r>
        <w:rPr>
          <w:sz w:val="22"/>
          <w:szCs w:val="22"/>
        </w:rPr>
        <w:t>sjelden</w:t>
      </w:r>
      <w:r w:rsidR="00D20B49" w:rsidRPr="009C5EFD">
        <w:rPr>
          <w:sz w:val="22"/>
          <w:szCs w:val="22"/>
        </w:rPr>
        <w:t xml:space="preserve"> og alvorlig type lymfom hos pasienter som bruker Humira. Noen av disse pasientene ble også behandlet med azatioprin eller 6-merkaptopurin.</w:t>
      </w:r>
    </w:p>
    <w:p w14:paraId="1BE4AAD1" w14:textId="77777777" w:rsidR="000F7B96" w:rsidRDefault="00E453CD" w:rsidP="00887835">
      <w:pPr>
        <w:numPr>
          <w:ilvl w:val="0"/>
          <w:numId w:val="3"/>
        </w:numPr>
        <w:tabs>
          <w:tab w:val="num" w:pos="567"/>
          <w:tab w:val="num" w:pos="1440"/>
        </w:tabs>
        <w:suppressAutoHyphens/>
        <w:ind w:left="1440"/>
        <w:rPr>
          <w:sz w:val="22"/>
          <w:szCs w:val="22"/>
        </w:rPr>
      </w:pPr>
      <w:r w:rsidRPr="009C5EFD">
        <w:rPr>
          <w:sz w:val="22"/>
          <w:szCs w:val="22"/>
        </w:rPr>
        <w:t>Fortell legen din dersom du tar azatioprin eller 6-merkaptopurin sammen med Humira.</w:t>
      </w:r>
    </w:p>
    <w:p w14:paraId="2E79E47A" w14:textId="77777777" w:rsidR="00F034FF" w:rsidRDefault="00E453CD" w:rsidP="00887835">
      <w:pPr>
        <w:numPr>
          <w:ilvl w:val="0"/>
          <w:numId w:val="3"/>
        </w:numPr>
        <w:tabs>
          <w:tab w:val="num" w:pos="567"/>
          <w:tab w:val="num" w:pos="1440"/>
        </w:tabs>
        <w:suppressAutoHyphens/>
        <w:ind w:left="1440"/>
        <w:rPr>
          <w:sz w:val="22"/>
          <w:szCs w:val="22"/>
        </w:rPr>
      </w:pPr>
      <w:r>
        <w:rPr>
          <w:sz w:val="22"/>
          <w:szCs w:val="22"/>
        </w:rPr>
        <w:t>T</w:t>
      </w:r>
      <w:r w:rsidR="00D20B49" w:rsidRPr="009C5EFD">
        <w:rPr>
          <w:sz w:val="22"/>
          <w:szCs w:val="22"/>
        </w:rPr>
        <w:t xml:space="preserve">ilfeller av ikke-melanom hudkreft </w:t>
      </w:r>
      <w:r w:rsidR="006949D7">
        <w:rPr>
          <w:sz w:val="22"/>
          <w:szCs w:val="22"/>
        </w:rPr>
        <w:t xml:space="preserve">har blitt </w:t>
      </w:r>
      <w:r w:rsidR="00D20B49" w:rsidRPr="009C5EFD">
        <w:rPr>
          <w:sz w:val="22"/>
          <w:szCs w:val="22"/>
        </w:rPr>
        <w:t>sett hos pasienter som får Humira.</w:t>
      </w:r>
    </w:p>
    <w:p w14:paraId="153ED9EA" w14:textId="77777777" w:rsidR="00D20B49" w:rsidRPr="009C5EFD" w:rsidRDefault="00E453CD" w:rsidP="0061743D">
      <w:pPr>
        <w:numPr>
          <w:ilvl w:val="0"/>
          <w:numId w:val="3"/>
        </w:numPr>
        <w:tabs>
          <w:tab w:val="num" w:pos="567"/>
          <w:tab w:val="num" w:pos="1440"/>
        </w:tabs>
        <w:suppressAutoHyphens/>
        <w:ind w:left="1440"/>
        <w:rPr>
          <w:sz w:val="22"/>
          <w:szCs w:val="22"/>
        </w:rPr>
      </w:pPr>
      <w:r w:rsidRPr="009C5EFD">
        <w:rPr>
          <w:sz w:val="22"/>
          <w:szCs w:val="22"/>
        </w:rPr>
        <w:t>Fortell legen din hvis nye hudlesjoner</w:t>
      </w:r>
      <w:r w:rsidR="00F464CF">
        <w:rPr>
          <w:sz w:val="22"/>
          <w:szCs w:val="22"/>
        </w:rPr>
        <w:t xml:space="preserve"> (unormale forandringer på huden)</w:t>
      </w:r>
      <w:r w:rsidRPr="009C5EFD">
        <w:rPr>
          <w:sz w:val="22"/>
          <w:szCs w:val="22"/>
        </w:rPr>
        <w:t xml:space="preserve"> viser seg under eller etter behandling eller hvis eksisterende hudlesjoner forandrer seg.</w:t>
      </w:r>
    </w:p>
    <w:p w14:paraId="273AA553" w14:textId="77777777" w:rsidR="00F034FF" w:rsidRPr="009C5EFD" w:rsidRDefault="00F034FF" w:rsidP="00887835">
      <w:pPr>
        <w:tabs>
          <w:tab w:val="num" w:pos="1440"/>
        </w:tabs>
        <w:suppressAutoHyphens/>
        <w:rPr>
          <w:sz w:val="22"/>
          <w:szCs w:val="22"/>
        </w:rPr>
      </w:pPr>
    </w:p>
    <w:p w14:paraId="0FE5274A" w14:textId="77777777" w:rsidR="00D20B49" w:rsidRPr="009C5EFD" w:rsidRDefault="00E453CD" w:rsidP="0061743D">
      <w:pPr>
        <w:numPr>
          <w:ilvl w:val="0"/>
          <w:numId w:val="3"/>
        </w:numPr>
        <w:suppressAutoHyphens/>
        <w:rPr>
          <w:sz w:val="22"/>
          <w:szCs w:val="22"/>
        </w:rPr>
      </w:pPr>
      <w:r w:rsidRPr="009C5EFD">
        <w:rPr>
          <w:sz w:val="22"/>
          <w:szCs w:val="22"/>
        </w:rPr>
        <w:t xml:space="preserve">Andre krefttyper enn lymfomer er sett hos pasienter som hadde en bestemt type lungesykdom kalt kronisk obstruktiv lungesykdom (KOLS) og som fikk behandling med andre TNF-blokkere. Dersom du har KOLS, eller er storrøyker, skal du snakke med </w:t>
      </w:r>
      <w:r>
        <w:rPr>
          <w:sz w:val="22"/>
          <w:szCs w:val="22"/>
        </w:rPr>
        <w:t>legen din</w:t>
      </w:r>
      <w:r w:rsidRPr="009C5EFD">
        <w:rPr>
          <w:sz w:val="22"/>
          <w:szCs w:val="22"/>
        </w:rPr>
        <w:t xml:space="preserve"> om behandling med en TNF-blokker passer for deg. </w:t>
      </w:r>
    </w:p>
    <w:p w14:paraId="6520F5F5" w14:textId="77777777" w:rsidR="00D20B49" w:rsidRDefault="00D20B49" w:rsidP="00D20B49">
      <w:pPr>
        <w:pStyle w:val="Heading3"/>
        <w:keepNext w:val="0"/>
        <w:suppressAutoHyphens/>
        <w:rPr>
          <w:b w:val="0"/>
          <w:szCs w:val="22"/>
          <w:lang w:val="nb-NO"/>
        </w:rPr>
      </w:pPr>
    </w:p>
    <w:p w14:paraId="3C889B0F" w14:textId="77777777" w:rsidR="00B64F75" w:rsidRPr="00E90360" w:rsidRDefault="00E453CD" w:rsidP="00776A84">
      <w:pPr>
        <w:keepNext/>
        <w:suppressAutoHyphens/>
        <w:rPr>
          <w:sz w:val="22"/>
          <w:szCs w:val="22"/>
        </w:rPr>
      </w:pPr>
      <w:r>
        <w:rPr>
          <w:sz w:val="22"/>
          <w:szCs w:val="22"/>
          <w:u w:val="single"/>
        </w:rPr>
        <w:t>Autoimmune sykdommer</w:t>
      </w:r>
    </w:p>
    <w:p w14:paraId="5FB16D3B" w14:textId="77777777" w:rsidR="00B64F75" w:rsidRPr="00E90360" w:rsidRDefault="00B64F75" w:rsidP="00776A84">
      <w:pPr>
        <w:keepNext/>
        <w:suppressAutoHyphens/>
        <w:rPr>
          <w:sz w:val="22"/>
          <w:szCs w:val="22"/>
        </w:rPr>
      </w:pPr>
    </w:p>
    <w:p w14:paraId="34B86805" w14:textId="77777777" w:rsidR="00B64F75" w:rsidRPr="00BE07CA" w:rsidRDefault="00E453CD" w:rsidP="00AB7697">
      <w:pPr>
        <w:numPr>
          <w:ilvl w:val="0"/>
          <w:numId w:val="3"/>
        </w:numPr>
        <w:suppressAutoHyphens/>
        <w:outlineLvl w:val="2"/>
        <w:rPr>
          <w:szCs w:val="22"/>
        </w:rPr>
      </w:pPr>
      <w:r w:rsidRPr="00DC73BE">
        <w:rPr>
          <w:sz w:val="22"/>
        </w:rPr>
        <w:t>I sjeldne tilfeller kan behandling med Humira føre til et syndrom som ligner på lupus. Kontakt lege dersom symptomer som vedvarende uforklarlig utslett, feber, leddsmerter eller tretthet oppstår</w:t>
      </w:r>
      <w:r w:rsidRPr="00DC73BE">
        <w:rPr>
          <w:sz w:val="22"/>
          <w:szCs w:val="22"/>
        </w:rPr>
        <w:t>.</w:t>
      </w:r>
    </w:p>
    <w:p w14:paraId="217B5DC3" w14:textId="77777777" w:rsidR="00B64F75" w:rsidRPr="00B64F75" w:rsidRDefault="00B64F75" w:rsidP="00AB7697"/>
    <w:p w14:paraId="14C8C26E" w14:textId="77777777" w:rsidR="00D20B49" w:rsidRPr="009C5EFD" w:rsidRDefault="00E453CD" w:rsidP="00776A84">
      <w:pPr>
        <w:keepNext/>
        <w:suppressAutoHyphens/>
        <w:rPr>
          <w:sz w:val="22"/>
          <w:szCs w:val="22"/>
        </w:rPr>
      </w:pPr>
      <w:r w:rsidRPr="009C5EFD">
        <w:rPr>
          <w:b/>
          <w:sz w:val="22"/>
          <w:szCs w:val="22"/>
        </w:rPr>
        <w:t>Barn og ungdom</w:t>
      </w:r>
    </w:p>
    <w:p w14:paraId="74D7BF76" w14:textId="77777777" w:rsidR="00D20B49" w:rsidRPr="009C5EFD" w:rsidRDefault="00D20B49" w:rsidP="00776A84">
      <w:pPr>
        <w:keepNext/>
        <w:suppressAutoHyphens/>
        <w:rPr>
          <w:sz w:val="22"/>
          <w:szCs w:val="22"/>
        </w:rPr>
      </w:pPr>
    </w:p>
    <w:p w14:paraId="13D91957" w14:textId="77777777" w:rsidR="00D20B49" w:rsidRPr="009C5EFD" w:rsidRDefault="00E453CD" w:rsidP="0061743D">
      <w:pPr>
        <w:numPr>
          <w:ilvl w:val="0"/>
          <w:numId w:val="3"/>
        </w:numPr>
        <w:suppressAutoHyphens/>
        <w:rPr>
          <w:sz w:val="22"/>
          <w:szCs w:val="22"/>
        </w:rPr>
      </w:pPr>
      <w:r w:rsidRPr="009C5EFD">
        <w:rPr>
          <w:sz w:val="22"/>
          <w:szCs w:val="22"/>
        </w:rPr>
        <w:t>Vaksinasjoner: hvis mulig, b</w:t>
      </w:r>
      <w:r w:rsidR="00BC42DB">
        <w:rPr>
          <w:sz w:val="22"/>
          <w:szCs w:val="22"/>
        </w:rPr>
        <w:t>ør</w:t>
      </w:r>
      <w:r w:rsidRPr="009C5EFD">
        <w:rPr>
          <w:sz w:val="22"/>
          <w:szCs w:val="22"/>
        </w:rPr>
        <w:t xml:space="preserve"> barn</w:t>
      </w:r>
      <w:r w:rsidR="00730260">
        <w:rPr>
          <w:sz w:val="22"/>
          <w:szCs w:val="22"/>
        </w:rPr>
        <w:t>et ditt</w:t>
      </w:r>
      <w:r w:rsidRPr="009C5EFD">
        <w:rPr>
          <w:sz w:val="22"/>
          <w:szCs w:val="22"/>
        </w:rPr>
        <w:t xml:space="preserve"> være oppdatert i henhold til alle vaksinasjoner før Humira brukes.</w:t>
      </w:r>
    </w:p>
    <w:p w14:paraId="0AADE1AB" w14:textId="77777777" w:rsidR="00D20B49" w:rsidRPr="009C5EFD" w:rsidRDefault="00D20B49" w:rsidP="00D20B49">
      <w:pPr>
        <w:pStyle w:val="Heading3"/>
        <w:keepNext w:val="0"/>
        <w:suppressAutoHyphens/>
        <w:rPr>
          <w:szCs w:val="22"/>
          <w:lang w:val="nb-NO"/>
        </w:rPr>
      </w:pPr>
    </w:p>
    <w:p w14:paraId="4BB72667" w14:textId="77777777" w:rsidR="00D20B49" w:rsidRPr="009C5EFD" w:rsidRDefault="00E453CD" w:rsidP="00776A84">
      <w:pPr>
        <w:pStyle w:val="Heading3"/>
        <w:suppressAutoHyphens/>
        <w:rPr>
          <w:szCs w:val="22"/>
          <w:lang w:val="nb-NO"/>
        </w:rPr>
      </w:pPr>
      <w:r w:rsidRPr="009C5EFD">
        <w:rPr>
          <w:szCs w:val="22"/>
          <w:lang w:val="nb-NO"/>
        </w:rPr>
        <w:t>Andre legemidler og Humira</w:t>
      </w:r>
    </w:p>
    <w:p w14:paraId="4C49099F" w14:textId="77777777" w:rsidR="00D20B49" w:rsidRPr="009C5EFD" w:rsidRDefault="00D20B49" w:rsidP="00776A84">
      <w:pPr>
        <w:keepNext/>
        <w:suppressAutoHyphens/>
        <w:rPr>
          <w:b/>
          <w:sz w:val="22"/>
          <w:szCs w:val="22"/>
        </w:rPr>
      </w:pPr>
    </w:p>
    <w:p w14:paraId="2902E830" w14:textId="77777777" w:rsidR="00D20B49" w:rsidRPr="001F5D4B" w:rsidRDefault="00E453CD" w:rsidP="00D20B49">
      <w:pPr>
        <w:suppressAutoHyphens/>
        <w:rPr>
          <w:sz w:val="22"/>
          <w:szCs w:val="22"/>
        </w:rPr>
      </w:pPr>
      <w:r>
        <w:rPr>
          <w:sz w:val="22"/>
          <w:szCs w:val="22"/>
        </w:rPr>
        <w:t>Snakk med</w:t>
      </w:r>
      <w:r w:rsidRPr="001F5D4B">
        <w:rPr>
          <w:sz w:val="22"/>
          <w:szCs w:val="22"/>
        </w:rPr>
        <w:t xml:space="preserve"> legen din eller apotek dersom du bruker, nylig har brukt eller planlegger å bruke andre legemidler.</w:t>
      </w:r>
    </w:p>
    <w:p w14:paraId="6F924197" w14:textId="77777777" w:rsidR="00F034FF" w:rsidRDefault="00F034FF" w:rsidP="00D20B49">
      <w:pPr>
        <w:suppressAutoHyphens/>
        <w:rPr>
          <w:sz w:val="22"/>
          <w:szCs w:val="22"/>
        </w:rPr>
      </w:pPr>
    </w:p>
    <w:p w14:paraId="58EB3AFC" w14:textId="77777777" w:rsidR="00F034FF" w:rsidRDefault="00E453CD" w:rsidP="003764A0">
      <w:pPr>
        <w:keepNext/>
        <w:suppressAutoHyphens/>
        <w:rPr>
          <w:sz w:val="22"/>
          <w:szCs w:val="22"/>
        </w:rPr>
      </w:pPr>
      <w:r>
        <w:rPr>
          <w:sz w:val="22"/>
          <w:szCs w:val="22"/>
        </w:rPr>
        <w:lastRenderedPageBreak/>
        <w:t xml:space="preserve">Du må ikke ta Humira sammen med legemidler som inneholder </w:t>
      </w:r>
      <w:r w:rsidR="005211B7">
        <w:rPr>
          <w:sz w:val="22"/>
          <w:szCs w:val="22"/>
        </w:rPr>
        <w:t xml:space="preserve">de følgende </w:t>
      </w:r>
      <w:r>
        <w:rPr>
          <w:sz w:val="22"/>
          <w:szCs w:val="22"/>
        </w:rPr>
        <w:t>virkestoffene</w:t>
      </w:r>
      <w:r w:rsidR="005211B7">
        <w:rPr>
          <w:sz w:val="22"/>
          <w:szCs w:val="22"/>
        </w:rPr>
        <w:t xml:space="preserve"> på grunn av økt risiko for alvorlig infeksjon</w:t>
      </w:r>
      <w:r>
        <w:rPr>
          <w:sz w:val="22"/>
          <w:szCs w:val="22"/>
        </w:rPr>
        <w:t>:</w:t>
      </w:r>
    </w:p>
    <w:p w14:paraId="5342BC93" w14:textId="77777777" w:rsidR="000B0776" w:rsidRDefault="00E453CD" w:rsidP="00887835">
      <w:pPr>
        <w:pStyle w:val="ListParagraph"/>
        <w:numPr>
          <w:ilvl w:val="0"/>
          <w:numId w:val="112"/>
        </w:numPr>
        <w:tabs>
          <w:tab w:val="left" w:pos="720"/>
        </w:tabs>
        <w:suppressAutoHyphens/>
        <w:rPr>
          <w:sz w:val="22"/>
          <w:szCs w:val="22"/>
        </w:rPr>
      </w:pPr>
      <w:r>
        <w:rPr>
          <w:sz w:val="22"/>
          <w:szCs w:val="22"/>
        </w:rPr>
        <w:t>anakinra</w:t>
      </w:r>
    </w:p>
    <w:p w14:paraId="424923E0" w14:textId="77777777" w:rsidR="000B0776" w:rsidRPr="00887835" w:rsidRDefault="00E453CD" w:rsidP="00887835">
      <w:pPr>
        <w:pStyle w:val="ListParagraph"/>
        <w:numPr>
          <w:ilvl w:val="0"/>
          <w:numId w:val="112"/>
        </w:numPr>
        <w:tabs>
          <w:tab w:val="left" w:pos="720"/>
        </w:tabs>
        <w:suppressAutoHyphens/>
        <w:rPr>
          <w:sz w:val="22"/>
          <w:szCs w:val="22"/>
        </w:rPr>
      </w:pPr>
      <w:r>
        <w:rPr>
          <w:sz w:val="22"/>
          <w:szCs w:val="22"/>
        </w:rPr>
        <w:t>abatacept.</w:t>
      </w:r>
    </w:p>
    <w:p w14:paraId="0AF2255D" w14:textId="77777777" w:rsidR="00D20B49" w:rsidRPr="009C5EFD" w:rsidRDefault="00D20B49" w:rsidP="00D20B49">
      <w:pPr>
        <w:suppressAutoHyphens/>
        <w:rPr>
          <w:szCs w:val="22"/>
        </w:rPr>
      </w:pPr>
    </w:p>
    <w:p w14:paraId="06902439" w14:textId="77777777" w:rsidR="000B0776" w:rsidRDefault="00E453CD" w:rsidP="00776A84">
      <w:pPr>
        <w:keepNext/>
        <w:suppressAutoHyphens/>
        <w:rPr>
          <w:sz w:val="22"/>
          <w:szCs w:val="22"/>
        </w:rPr>
      </w:pPr>
      <w:r w:rsidRPr="009C5EFD">
        <w:rPr>
          <w:sz w:val="22"/>
          <w:szCs w:val="22"/>
        </w:rPr>
        <w:t>Humira kan tas sammen med</w:t>
      </w:r>
      <w:r>
        <w:rPr>
          <w:sz w:val="22"/>
          <w:szCs w:val="22"/>
        </w:rPr>
        <w:t>:</w:t>
      </w:r>
    </w:p>
    <w:p w14:paraId="62CA6477" w14:textId="77777777" w:rsidR="000B0776" w:rsidRDefault="00E453CD" w:rsidP="00887835">
      <w:pPr>
        <w:pStyle w:val="ListParagraph"/>
        <w:numPr>
          <w:ilvl w:val="0"/>
          <w:numId w:val="113"/>
        </w:numPr>
        <w:suppressAutoHyphens/>
        <w:rPr>
          <w:sz w:val="22"/>
          <w:szCs w:val="22"/>
        </w:rPr>
      </w:pPr>
      <w:r w:rsidRPr="009C5EFD">
        <w:rPr>
          <w:sz w:val="22"/>
          <w:szCs w:val="22"/>
        </w:rPr>
        <w:t>metotreksat</w:t>
      </w:r>
    </w:p>
    <w:p w14:paraId="097D0732" w14:textId="77777777" w:rsidR="000B0776" w:rsidRDefault="00E453CD" w:rsidP="00887835">
      <w:pPr>
        <w:pStyle w:val="ListParagraph"/>
        <w:numPr>
          <w:ilvl w:val="0"/>
          <w:numId w:val="113"/>
        </w:numPr>
        <w:suppressAutoHyphens/>
        <w:rPr>
          <w:sz w:val="22"/>
          <w:szCs w:val="22"/>
        </w:rPr>
      </w:pPr>
      <w:r w:rsidRPr="009C5EFD">
        <w:rPr>
          <w:sz w:val="22"/>
          <w:szCs w:val="22"/>
        </w:rPr>
        <w:t>visse sykdomsmodifiserende antirevmatiske midler (</w:t>
      </w:r>
      <w:r>
        <w:rPr>
          <w:sz w:val="22"/>
          <w:szCs w:val="22"/>
        </w:rPr>
        <w:t xml:space="preserve">f.eks. </w:t>
      </w:r>
      <w:r w:rsidRPr="009C5EFD">
        <w:rPr>
          <w:sz w:val="22"/>
          <w:szCs w:val="22"/>
        </w:rPr>
        <w:t xml:space="preserve">sulfasalasin, hydroksyklorokin, leflunomid </w:t>
      </w:r>
      <w:r w:rsidR="00EC1DB1">
        <w:rPr>
          <w:sz w:val="22"/>
          <w:szCs w:val="22"/>
        </w:rPr>
        <w:t>og</w:t>
      </w:r>
      <w:r w:rsidRPr="009C5EFD">
        <w:rPr>
          <w:sz w:val="22"/>
          <w:szCs w:val="22"/>
        </w:rPr>
        <w:t xml:space="preserve"> gullpreparater til injeksjon</w:t>
      </w:r>
      <w:r w:rsidRPr="00887835">
        <w:rPr>
          <w:sz w:val="22"/>
          <w:szCs w:val="22"/>
        </w:rPr>
        <w:t>)</w:t>
      </w:r>
    </w:p>
    <w:p w14:paraId="1C89B41A" w14:textId="77777777" w:rsidR="00D20B49" w:rsidRPr="009C5EFD" w:rsidRDefault="00E453CD" w:rsidP="0061743D">
      <w:pPr>
        <w:pStyle w:val="ListParagraph"/>
        <w:numPr>
          <w:ilvl w:val="0"/>
          <w:numId w:val="113"/>
        </w:numPr>
        <w:suppressAutoHyphens/>
        <w:rPr>
          <w:sz w:val="22"/>
          <w:szCs w:val="22"/>
        </w:rPr>
      </w:pPr>
      <w:r w:rsidRPr="009C5EFD">
        <w:rPr>
          <w:sz w:val="22"/>
          <w:szCs w:val="22"/>
        </w:rPr>
        <w:t>steroider eller smertestillende midler, deriblant ikke-steroide antiinflammatoriske midler (NSAIDs).</w:t>
      </w:r>
    </w:p>
    <w:p w14:paraId="69CEFFFE" w14:textId="77777777" w:rsidR="00D20B49" w:rsidRPr="009C5EFD" w:rsidRDefault="00D20B49" w:rsidP="00D20B49">
      <w:pPr>
        <w:suppressAutoHyphens/>
        <w:rPr>
          <w:sz w:val="22"/>
          <w:szCs w:val="22"/>
        </w:rPr>
      </w:pPr>
    </w:p>
    <w:p w14:paraId="453F961B" w14:textId="77777777" w:rsidR="00D20B49" w:rsidRPr="009C5EFD" w:rsidRDefault="00E453CD" w:rsidP="00D20B49">
      <w:pPr>
        <w:suppressAutoHyphens/>
        <w:rPr>
          <w:sz w:val="22"/>
          <w:szCs w:val="22"/>
        </w:rPr>
      </w:pPr>
      <w:r w:rsidRPr="009C5EFD">
        <w:rPr>
          <w:sz w:val="22"/>
          <w:szCs w:val="22"/>
        </w:rPr>
        <w:t>Hvis du har spørsmål, kontakt legen din.</w:t>
      </w:r>
    </w:p>
    <w:p w14:paraId="336E53B0" w14:textId="77777777" w:rsidR="00D20B49" w:rsidRPr="009C5EFD" w:rsidRDefault="00D20B49" w:rsidP="00D20B49">
      <w:pPr>
        <w:suppressAutoHyphens/>
        <w:rPr>
          <w:sz w:val="22"/>
          <w:szCs w:val="22"/>
        </w:rPr>
      </w:pPr>
    </w:p>
    <w:p w14:paraId="2A8D6486" w14:textId="77777777" w:rsidR="00D20B49" w:rsidRPr="009C5EFD" w:rsidRDefault="00E453CD" w:rsidP="00D35625">
      <w:pPr>
        <w:keepNext/>
        <w:rPr>
          <w:b/>
          <w:sz w:val="22"/>
          <w:szCs w:val="22"/>
        </w:rPr>
      </w:pPr>
      <w:r w:rsidRPr="009C5EFD">
        <w:rPr>
          <w:b/>
          <w:sz w:val="22"/>
          <w:szCs w:val="22"/>
        </w:rPr>
        <w:t>Graviditet og amming</w:t>
      </w:r>
    </w:p>
    <w:p w14:paraId="0D563D80" w14:textId="77777777" w:rsidR="00D20B49" w:rsidRPr="009C5EFD" w:rsidRDefault="00D20B49" w:rsidP="00D35625">
      <w:pPr>
        <w:keepNext/>
        <w:rPr>
          <w:sz w:val="22"/>
          <w:szCs w:val="22"/>
        </w:rPr>
      </w:pPr>
    </w:p>
    <w:p w14:paraId="408222A7" w14:textId="77777777" w:rsidR="00D20B49" w:rsidRPr="00D35625" w:rsidRDefault="00E453CD" w:rsidP="00D35625">
      <w:pPr>
        <w:pStyle w:val="ListParagraph"/>
        <w:numPr>
          <w:ilvl w:val="0"/>
          <w:numId w:val="154"/>
        </w:numPr>
        <w:suppressAutoHyphens/>
        <w:rPr>
          <w:sz w:val="22"/>
          <w:szCs w:val="22"/>
        </w:rPr>
      </w:pPr>
      <w:r w:rsidRPr="00D35625">
        <w:rPr>
          <w:sz w:val="22"/>
          <w:szCs w:val="22"/>
        </w:rPr>
        <w:t xml:space="preserve">Du </w:t>
      </w:r>
      <w:r w:rsidR="00AA09C3" w:rsidRPr="00D35625">
        <w:rPr>
          <w:sz w:val="22"/>
          <w:szCs w:val="22"/>
        </w:rPr>
        <w:t xml:space="preserve">bør vurdere å </w:t>
      </w:r>
      <w:r w:rsidRPr="00D35625">
        <w:rPr>
          <w:sz w:val="22"/>
          <w:szCs w:val="22"/>
        </w:rPr>
        <w:t xml:space="preserve">bruke </w:t>
      </w:r>
      <w:r w:rsidR="00F464CF" w:rsidRPr="00D35625">
        <w:rPr>
          <w:sz w:val="22"/>
          <w:szCs w:val="22"/>
        </w:rPr>
        <w:t>sikker</w:t>
      </w:r>
      <w:r w:rsidRPr="00D35625">
        <w:rPr>
          <w:sz w:val="22"/>
          <w:szCs w:val="22"/>
        </w:rPr>
        <w:t xml:space="preserve"> prevensjon </w:t>
      </w:r>
      <w:r w:rsidR="00AA09C3" w:rsidRPr="00D35625">
        <w:rPr>
          <w:sz w:val="22"/>
          <w:szCs w:val="22"/>
        </w:rPr>
        <w:t xml:space="preserve">for å forhindre graviditet og fortsette bruken </w:t>
      </w:r>
      <w:r w:rsidRPr="00D35625">
        <w:rPr>
          <w:sz w:val="22"/>
          <w:szCs w:val="22"/>
        </w:rPr>
        <w:t>i minst 5</w:t>
      </w:r>
      <w:r w:rsidR="007D515C">
        <w:rPr>
          <w:sz w:val="22"/>
          <w:szCs w:val="22"/>
        </w:rPr>
        <w:t> </w:t>
      </w:r>
      <w:r w:rsidRPr="00D35625">
        <w:rPr>
          <w:sz w:val="22"/>
          <w:szCs w:val="22"/>
        </w:rPr>
        <w:t>måneder etter siste behandling med Humira.</w:t>
      </w:r>
    </w:p>
    <w:p w14:paraId="5B7841A0" w14:textId="77777777" w:rsidR="00E70B94" w:rsidRDefault="00E453CD" w:rsidP="00E70B94">
      <w:pPr>
        <w:pStyle w:val="ListParagraph"/>
        <w:numPr>
          <w:ilvl w:val="0"/>
          <w:numId w:val="147"/>
        </w:numPr>
        <w:suppressAutoHyphens/>
        <w:rPr>
          <w:sz w:val="22"/>
          <w:szCs w:val="22"/>
        </w:rPr>
      </w:pPr>
      <w:r>
        <w:rPr>
          <w:sz w:val="22"/>
          <w:szCs w:val="22"/>
        </w:rPr>
        <w:t>Snakk med</w:t>
      </w:r>
      <w:r w:rsidR="00AE0F3C">
        <w:rPr>
          <w:sz w:val="22"/>
          <w:szCs w:val="22"/>
        </w:rPr>
        <w:t xml:space="preserve"> </w:t>
      </w:r>
      <w:r w:rsidRPr="00922A98">
        <w:rPr>
          <w:sz w:val="22"/>
          <w:szCs w:val="22"/>
        </w:rPr>
        <w:t>lege</w:t>
      </w:r>
      <w:r w:rsidR="007A31C0">
        <w:rPr>
          <w:sz w:val="22"/>
          <w:szCs w:val="22"/>
        </w:rPr>
        <w:t xml:space="preserve"> </w:t>
      </w:r>
      <w:r w:rsidR="00E06B46">
        <w:rPr>
          <w:sz w:val="22"/>
          <w:szCs w:val="22"/>
        </w:rPr>
        <w:t>før</w:t>
      </w:r>
      <w:r w:rsidR="00CC0989">
        <w:rPr>
          <w:sz w:val="22"/>
          <w:szCs w:val="22"/>
        </w:rPr>
        <w:t xml:space="preserve"> du</w:t>
      </w:r>
      <w:r w:rsidRPr="00922A98">
        <w:rPr>
          <w:sz w:val="22"/>
          <w:szCs w:val="22"/>
        </w:rPr>
        <w:t xml:space="preserve"> tar det</w:t>
      </w:r>
      <w:r>
        <w:rPr>
          <w:sz w:val="22"/>
          <w:szCs w:val="22"/>
        </w:rPr>
        <w:t xml:space="preserve">te legemidlet dersom </w:t>
      </w:r>
      <w:r w:rsidR="00CC0989">
        <w:rPr>
          <w:sz w:val="22"/>
          <w:szCs w:val="22"/>
        </w:rPr>
        <w:t>du</w:t>
      </w:r>
      <w:r>
        <w:rPr>
          <w:sz w:val="22"/>
          <w:szCs w:val="22"/>
        </w:rPr>
        <w:t xml:space="preserve"> er gravid, tror at </w:t>
      </w:r>
      <w:r w:rsidR="00CC0989">
        <w:rPr>
          <w:sz w:val="22"/>
          <w:szCs w:val="22"/>
        </w:rPr>
        <w:t>du</w:t>
      </w:r>
      <w:r w:rsidRPr="00922A98">
        <w:rPr>
          <w:sz w:val="22"/>
          <w:szCs w:val="22"/>
        </w:rPr>
        <w:t xml:space="preserve"> kan være gravid</w:t>
      </w:r>
      <w:r>
        <w:rPr>
          <w:sz w:val="22"/>
          <w:szCs w:val="22"/>
        </w:rPr>
        <w:t xml:space="preserve"> eller planlegger å bli gravid.</w:t>
      </w:r>
    </w:p>
    <w:p w14:paraId="2F7A729D" w14:textId="77777777" w:rsidR="00E70B94" w:rsidRDefault="00E453CD" w:rsidP="00E70B94">
      <w:pPr>
        <w:pStyle w:val="ListParagraph"/>
        <w:numPr>
          <w:ilvl w:val="0"/>
          <w:numId w:val="147"/>
        </w:numPr>
        <w:suppressAutoHyphens/>
        <w:rPr>
          <w:sz w:val="22"/>
          <w:szCs w:val="22"/>
        </w:rPr>
      </w:pPr>
      <w:r>
        <w:rPr>
          <w:sz w:val="22"/>
          <w:szCs w:val="22"/>
        </w:rPr>
        <w:t>Humira bør kun brukes under graviditet dersom det er nødvendig.</w:t>
      </w:r>
    </w:p>
    <w:p w14:paraId="078BC290" w14:textId="77777777" w:rsidR="00E70B94" w:rsidRDefault="00E453CD" w:rsidP="00E70B94">
      <w:pPr>
        <w:pStyle w:val="ListParagraph"/>
        <w:numPr>
          <w:ilvl w:val="0"/>
          <w:numId w:val="147"/>
        </w:numPr>
        <w:suppressAutoHyphens/>
        <w:rPr>
          <w:sz w:val="22"/>
          <w:szCs w:val="22"/>
        </w:rPr>
      </w:pPr>
      <w:r>
        <w:rPr>
          <w:sz w:val="22"/>
          <w:szCs w:val="22"/>
        </w:rPr>
        <w:t xml:space="preserve">I henhold til en studie på gravide var det ingen større risiko for </w:t>
      </w:r>
      <w:r w:rsidR="00CF2078">
        <w:rPr>
          <w:sz w:val="22"/>
          <w:szCs w:val="22"/>
        </w:rPr>
        <w:t>fosterskader</w:t>
      </w:r>
      <w:r>
        <w:rPr>
          <w:sz w:val="22"/>
          <w:szCs w:val="22"/>
        </w:rPr>
        <w:t xml:space="preserve"> når moren hadde fått Humira under graviditet sammenlignet med mødre med den samme sykdommen som ikke hadde fått Humira.</w:t>
      </w:r>
    </w:p>
    <w:p w14:paraId="17B3B368" w14:textId="77777777" w:rsidR="007D515C" w:rsidRDefault="00E453CD" w:rsidP="00D35625">
      <w:pPr>
        <w:pStyle w:val="ListParagraph"/>
        <w:numPr>
          <w:ilvl w:val="0"/>
          <w:numId w:val="147"/>
        </w:numPr>
        <w:suppressAutoHyphens/>
        <w:rPr>
          <w:sz w:val="22"/>
          <w:szCs w:val="22"/>
        </w:rPr>
      </w:pPr>
      <w:r>
        <w:rPr>
          <w:sz w:val="22"/>
          <w:szCs w:val="22"/>
        </w:rPr>
        <w:t>Humira kan brukes under amming.</w:t>
      </w:r>
    </w:p>
    <w:p w14:paraId="63F64CE2" w14:textId="77777777" w:rsidR="0058493C" w:rsidRDefault="00E453CD" w:rsidP="00D35625">
      <w:pPr>
        <w:pStyle w:val="ListParagraph"/>
        <w:numPr>
          <w:ilvl w:val="0"/>
          <w:numId w:val="155"/>
        </w:numPr>
        <w:suppressAutoHyphens/>
        <w:rPr>
          <w:sz w:val="22"/>
          <w:szCs w:val="22"/>
        </w:rPr>
      </w:pPr>
      <w:r w:rsidRPr="00D35625">
        <w:rPr>
          <w:sz w:val="22"/>
          <w:szCs w:val="22"/>
        </w:rPr>
        <w:t>Dersom du bruk</w:t>
      </w:r>
      <w:r w:rsidR="00BC42DB" w:rsidRPr="00D35625">
        <w:rPr>
          <w:sz w:val="22"/>
          <w:szCs w:val="22"/>
        </w:rPr>
        <w:t>er</w:t>
      </w:r>
      <w:r w:rsidRPr="00D35625">
        <w:rPr>
          <w:sz w:val="22"/>
          <w:szCs w:val="22"/>
        </w:rPr>
        <w:t xml:space="preserve"> Humira under graviditet, kan spedbarnet ditt ha høyere risiko for å få en infeksjon.</w:t>
      </w:r>
    </w:p>
    <w:p w14:paraId="7AF06B77" w14:textId="77777777" w:rsidR="003D42FF" w:rsidRPr="00D35625" w:rsidRDefault="00E453CD" w:rsidP="00D35625">
      <w:pPr>
        <w:pStyle w:val="ListParagraph"/>
        <w:numPr>
          <w:ilvl w:val="0"/>
          <w:numId w:val="155"/>
        </w:numPr>
        <w:suppressAutoHyphens/>
        <w:rPr>
          <w:sz w:val="22"/>
          <w:szCs w:val="22"/>
        </w:rPr>
      </w:pPr>
      <w:r w:rsidRPr="00D35625">
        <w:rPr>
          <w:sz w:val="22"/>
          <w:szCs w:val="22"/>
        </w:rPr>
        <w:t xml:space="preserve">Det er viktig at du forteller </w:t>
      </w:r>
      <w:r w:rsidR="00166342" w:rsidRPr="00166342">
        <w:rPr>
          <w:sz w:val="22"/>
          <w:szCs w:val="22"/>
        </w:rPr>
        <w:t>legen til spedbarnet ditt</w:t>
      </w:r>
      <w:r w:rsidRPr="00D35625">
        <w:rPr>
          <w:sz w:val="22"/>
          <w:szCs w:val="22"/>
        </w:rPr>
        <w:t xml:space="preserve"> og annet helsepersonell </w:t>
      </w:r>
      <w:r w:rsidR="00C213C4">
        <w:rPr>
          <w:sz w:val="22"/>
          <w:szCs w:val="22"/>
        </w:rPr>
        <w:t>om</w:t>
      </w:r>
      <w:r w:rsidRPr="00D35625">
        <w:rPr>
          <w:sz w:val="22"/>
          <w:szCs w:val="22"/>
        </w:rPr>
        <w:t xml:space="preserve"> </w:t>
      </w:r>
      <w:r w:rsidR="00B904B8">
        <w:rPr>
          <w:sz w:val="22"/>
          <w:szCs w:val="22"/>
        </w:rPr>
        <w:t xml:space="preserve">din </w:t>
      </w:r>
      <w:r w:rsidRPr="00D35625">
        <w:rPr>
          <w:sz w:val="22"/>
          <w:szCs w:val="22"/>
        </w:rPr>
        <w:t>bruk</w:t>
      </w:r>
      <w:r w:rsidR="00C213C4">
        <w:rPr>
          <w:sz w:val="22"/>
          <w:szCs w:val="22"/>
        </w:rPr>
        <w:t xml:space="preserve"> av</w:t>
      </w:r>
      <w:r w:rsidRPr="00D35625">
        <w:rPr>
          <w:sz w:val="22"/>
          <w:szCs w:val="22"/>
        </w:rPr>
        <w:t xml:space="preserve"> Humira under graviditeten før </w:t>
      </w:r>
      <w:r w:rsidR="00900FF9">
        <w:rPr>
          <w:sz w:val="22"/>
          <w:szCs w:val="22"/>
        </w:rPr>
        <w:t>sped</w:t>
      </w:r>
      <w:r w:rsidRPr="00D35625">
        <w:rPr>
          <w:sz w:val="22"/>
          <w:szCs w:val="22"/>
        </w:rPr>
        <w:t>barnet vaksineres. For mer informasjon</w:t>
      </w:r>
      <w:r w:rsidR="007D515C">
        <w:rPr>
          <w:sz w:val="22"/>
          <w:szCs w:val="22"/>
        </w:rPr>
        <w:t xml:space="preserve"> om vaksiner</w:t>
      </w:r>
      <w:r w:rsidRPr="00D35625">
        <w:rPr>
          <w:sz w:val="22"/>
          <w:szCs w:val="22"/>
        </w:rPr>
        <w:t>, se avsnitt</w:t>
      </w:r>
      <w:r w:rsidR="007D515C">
        <w:rPr>
          <w:sz w:val="22"/>
          <w:szCs w:val="22"/>
        </w:rPr>
        <w:t>et «Advarsler og forsiktighetsregler»</w:t>
      </w:r>
      <w:r w:rsidRPr="009C5EFD">
        <w:t>.</w:t>
      </w:r>
    </w:p>
    <w:p w14:paraId="7457AD9D" w14:textId="77777777" w:rsidR="00D20B49" w:rsidRPr="009C5EFD" w:rsidRDefault="00D20B49" w:rsidP="00D20B49">
      <w:pPr>
        <w:rPr>
          <w:sz w:val="22"/>
          <w:szCs w:val="22"/>
        </w:rPr>
      </w:pPr>
    </w:p>
    <w:p w14:paraId="62AC43C3" w14:textId="77777777" w:rsidR="00D20B49" w:rsidRPr="009C5EFD" w:rsidRDefault="00E453CD" w:rsidP="00776A84">
      <w:pPr>
        <w:keepNext/>
        <w:suppressAutoHyphens/>
        <w:rPr>
          <w:b/>
          <w:sz w:val="22"/>
          <w:szCs w:val="22"/>
        </w:rPr>
      </w:pPr>
      <w:r w:rsidRPr="009C5EFD">
        <w:rPr>
          <w:b/>
          <w:sz w:val="22"/>
          <w:szCs w:val="22"/>
        </w:rPr>
        <w:t>Kjøring og bruk av maskiner</w:t>
      </w:r>
    </w:p>
    <w:p w14:paraId="05B0870E" w14:textId="77777777" w:rsidR="00D20B49" w:rsidRPr="00D35625" w:rsidRDefault="00D20B49" w:rsidP="00776A84">
      <w:pPr>
        <w:keepNext/>
        <w:suppressAutoHyphens/>
        <w:rPr>
          <w:sz w:val="22"/>
          <w:szCs w:val="22"/>
        </w:rPr>
      </w:pPr>
    </w:p>
    <w:p w14:paraId="6039D72F" w14:textId="77777777" w:rsidR="00D20B49" w:rsidRPr="009C5EFD" w:rsidRDefault="00E453CD" w:rsidP="00D20B49">
      <w:pPr>
        <w:rPr>
          <w:sz w:val="22"/>
          <w:szCs w:val="22"/>
        </w:rPr>
      </w:pPr>
      <w:r w:rsidRPr="009C5EFD">
        <w:rPr>
          <w:sz w:val="22"/>
          <w:szCs w:val="22"/>
        </w:rPr>
        <w:t>Humira kan ha en liten påvirkning på evnen til å kjøre bil, sykkel eller bruke maskiner. Svimmelhet og synsforstyrrelse kan oppstå etter injeksjon av Humira.</w:t>
      </w:r>
    </w:p>
    <w:p w14:paraId="260121A2" w14:textId="77777777" w:rsidR="00D20B49" w:rsidRPr="009C5EFD" w:rsidRDefault="00D20B49" w:rsidP="00D20B49">
      <w:pPr>
        <w:pStyle w:val="EndnoteText"/>
        <w:widowControl/>
        <w:tabs>
          <w:tab w:val="clear" w:pos="567"/>
        </w:tabs>
        <w:suppressAutoHyphens/>
        <w:rPr>
          <w:szCs w:val="22"/>
          <w:lang w:val="nb-NO"/>
        </w:rPr>
      </w:pPr>
    </w:p>
    <w:p w14:paraId="14740B7C" w14:textId="6D30DEE6" w:rsidR="00D20B49" w:rsidRDefault="00E453CD" w:rsidP="00D20B49">
      <w:pPr>
        <w:suppressAutoHyphens/>
        <w:rPr>
          <w:ins w:id="17656" w:author="AbbVie02no" w:date="2025-05-15T14:27:00Z"/>
          <w:b/>
          <w:bCs/>
          <w:sz w:val="22"/>
          <w:szCs w:val="22"/>
        </w:rPr>
      </w:pPr>
      <w:ins w:id="17657" w:author="AbbVie02no" w:date="2025-05-15T14:27:00Z">
        <w:r>
          <w:rPr>
            <w:b/>
            <w:bCs/>
            <w:sz w:val="22"/>
            <w:szCs w:val="22"/>
          </w:rPr>
          <w:t>Humira inneholder polysorbat</w:t>
        </w:r>
      </w:ins>
    </w:p>
    <w:p w14:paraId="04DCED33" w14:textId="77777777" w:rsidR="00600FCB" w:rsidRDefault="00600FCB" w:rsidP="00D20B49">
      <w:pPr>
        <w:suppressAutoHyphens/>
        <w:rPr>
          <w:ins w:id="17658" w:author="AbbVie02no" w:date="2025-05-15T14:28:00Z"/>
          <w:sz w:val="22"/>
          <w:szCs w:val="22"/>
        </w:rPr>
      </w:pPr>
    </w:p>
    <w:p w14:paraId="7DF64AE8" w14:textId="6EE0C0F1" w:rsidR="00600FCB" w:rsidRDefault="00E453CD" w:rsidP="00D20B49">
      <w:pPr>
        <w:suppressAutoHyphens/>
        <w:rPr>
          <w:ins w:id="17659" w:author="AbbVie02no" w:date="2025-05-15T14:29:00Z"/>
          <w:sz w:val="22"/>
          <w:szCs w:val="22"/>
        </w:rPr>
      </w:pPr>
      <w:ins w:id="17660" w:author="AbbVie02no" w:date="2025-05-15T14:28:00Z">
        <w:r>
          <w:rPr>
            <w:sz w:val="22"/>
            <w:szCs w:val="22"/>
          </w:rPr>
          <w:t>Dette legemidlet inneholder 0,4 mg polysorbat 80 i hver 40 mg dose. Polysorbater ka</w:t>
        </w:r>
      </w:ins>
      <w:ins w:id="17661" w:author="AbbVie02no" w:date="2025-05-15T14:29:00Z">
        <w:r>
          <w:rPr>
            <w:sz w:val="22"/>
            <w:szCs w:val="22"/>
          </w:rPr>
          <w:t>n forårsake allergiske reaksjoner. Fortell legen din dersom du har noen kjente allergier.</w:t>
        </w:r>
      </w:ins>
    </w:p>
    <w:p w14:paraId="73579421" w14:textId="77777777" w:rsidR="00600FCB" w:rsidRPr="00600FCB" w:rsidRDefault="00600FCB" w:rsidP="00D20B49">
      <w:pPr>
        <w:suppressAutoHyphens/>
        <w:rPr>
          <w:ins w:id="17662" w:author="AbbVie02no" w:date="2025-05-15T14:27:00Z"/>
          <w:sz w:val="22"/>
          <w:szCs w:val="22"/>
        </w:rPr>
      </w:pPr>
    </w:p>
    <w:p w14:paraId="7A4B33EA" w14:textId="77777777" w:rsidR="00600FCB" w:rsidRPr="009C5EFD" w:rsidRDefault="00600FCB" w:rsidP="00D20B49">
      <w:pPr>
        <w:suppressAutoHyphens/>
        <w:rPr>
          <w:sz w:val="22"/>
          <w:szCs w:val="22"/>
        </w:rPr>
      </w:pPr>
    </w:p>
    <w:p w14:paraId="42E96066" w14:textId="77777777" w:rsidR="00D20B49" w:rsidRPr="009C5EFD" w:rsidRDefault="00E453CD" w:rsidP="00776A84">
      <w:pPr>
        <w:keepNext/>
        <w:tabs>
          <w:tab w:val="left" w:pos="567"/>
        </w:tabs>
        <w:suppressAutoHyphens/>
        <w:rPr>
          <w:sz w:val="22"/>
          <w:szCs w:val="22"/>
        </w:rPr>
      </w:pPr>
      <w:r w:rsidRPr="009C5EFD">
        <w:rPr>
          <w:b/>
          <w:sz w:val="22"/>
          <w:szCs w:val="22"/>
        </w:rPr>
        <w:t>3.</w:t>
      </w:r>
      <w:r w:rsidRPr="009C5EFD">
        <w:rPr>
          <w:b/>
          <w:sz w:val="22"/>
          <w:szCs w:val="22"/>
        </w:rPr>
        <w:tab/>
        <w:t>Hvordan du bruker Humira</w:t>
      </w:r>
    </w:p>
    <w:p w14:paraId="0E24066B" w14:textId="77777777" w:rsidR="00D20B49" w:rsidRPr="009C5EFD" w:rsidRDefault="00D20B49" w:rsidP="00776A84">
      <w:pPr>
        <w:keepNext/>
        <w:rPr>
          <w:sz w:val="22"/>
          <w:szCs w:val="22"/>
        </w:rPr>
      </w:pPr>
    </w:p>
    <w:p w14:paraId="1716F6CA" w14:textId="77777777" w:rsidR="00D20B49" w:rsidRPr="009C5EFD" w:rsidRDefault="00E453CD" w:rsidP="00D20B49">
      <w:pPr>
        <w:suppressAutoHyphens/>
        <w:rPr>
          <w:sz w:val="22"/>
          <w:szCs w:val="22"/>
        </w:rPr>
      </w:pPr>
      <w:r w:rsidRPr="009C5EFD">
        <w:rPr>
          <w:sz w:val="22"/>
          <w:szCs w:val="22"/>
        </w:rPr>
        <w:t>Bruk alltid dette legemidlet nøyaktig slik legen eller apotek har fortalt deg. Kontakt lege</w:t>
      </w:r>
      <w:r w:rsidR="00E23921">
        <w:rPr>
          <w:sz w:val="22"/>
          <w:szCs w:val="22"/>
        </w:rPr>
        <w:t>n din</w:t>
      </w:r>
      <w:r w:rsidRPr="009C5EFD">
        <w:rPr>
          <w:sz w:val="22"/>
          <w:szCs w:val="22"/>
        </w:rPr>
        <w:t xml:space="preserve"> eller apotek hvis du er usikker.</w:t>
      </w:r>
    </w:p>
    <w:p w14:paraId="67065489" w14:textId="77777777" w:rsidR="003D42FF" w:rsidRDefault="003D42FF" w:rsidP="00D20B49">
      <w:pPr>
        <w:suppressAutoHyphens/>
        <w:rPr>
          <w:sz w:val="22"/>
          <w:szCs w:val="22"/>
        </w:rPr>
      </w:pPr>
    </w:p>
    <w:p w14:paraId="78E5EB9A" w14:textId="77777777" w:rsidR="003D42FF" w:rsidRPr="009C5EFD" w:rsidRDefault="00E453CD" w:rsidP="00D20B49">
      <w:pPr>
        <w:suppressAutoHyphens/>
        <w:rPr>
          <w:sz w:val="22"/>
          <w:szCs w:val="22"/>
        </w:rPr>
      </w:pPr>
      <w:r>
        <w:rPr>
          <w:sz w:val="22"/>
          <w:szCs w:val="22"/>
        </w:rPr>
        <w:t>Anbefalt</w:t>
      </w:r>
      <w:r w:rsidR="007830E7">
        <w:rPr>
          <w:sz w:val="22"/>
          <w:szCs w:val="22"/>
        </w:rPr>
        <w:t>e doser med</w:t>
      </w:r>
      <w:r>
        <w:rPr>
          <w:sz w:val="22"/>
          <w:szCs w:val="22"/>
        </w:rPr>
        <w:t xml:space="preserve"> Humira for hver</w:t>
      </w:r>
      <w:r w:rsidR="0027240B">
        <w:rPr>
          <w:sz w:val="22"/>
          <w:szCs w:val="22"/>
        </w:rPr>
        <w:t>t</w:t>
      </w:r>
      <w:r>
        <w:rPr>
          <w:sz w:val="22"/>
          <w:szCs w:val="22"/>
        </w:rPr>
        <w:t xml:space="preserve"> godkjent bruksområde er vist i tabellen under.</w:t>
      </w:r>
      <w:r w:rsidR="00847A9A">
        <w:rPr>
          <w:sz w:val="22"/>
          <w:szCs w:val="22"/>
        </w:rPr>
        <w:t xml:space="preserve"> Legen din kan forskrive en annen styrke av Humira dersom du trenger en annen dose.</w:t>
      </w:r>
    </w:p>
    <w:p w14:paraId="278C5900" w14:textId="77777777" w:rsidR="00D20B49" w:rsidRPr="009C5EFD" w:rsidRDefault="00D20B49" w:rsidP="00D20B49">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3"/>
        <w:gridCol w:w="3024"/>
      </w:tblGrid>
      <w:tr w:rsidR="004644D4" w14:paraId="657F679C" w14:textId="77777777" w:rsidTr="003D42FF">
        <w:tc>
          <w:tcPr>
            <w:tcW w:w="9287" w:type="dxa"/>
            <w:gridSpan w:val="3"/>
          </w:tcPr>
          <w:p w14:paraId="4E3F17C3" w14:textId="77777777" w:rsidR="003D42FF" w:rsidRPr="00887835" w:rsidRDefault="00E453CD" w:rsidP="00802544">
            <w:pPr>
              <w:keepNext/>
              <w:numPr>
                <w:ilvl w:val="12"/>
                <w:numId w:val="0"/>
              </w:numPr>
              <w:suppressAutoHyphens/>
              <w:ind w:right="-2"/>
              <w:rPr>
                <w:b/>
                <w:sz w:val="22"/>
                <w:szCs w:val="22"/>
              </w:rPr>
            </w:pPr>
            <w:r w:rsidRPr="007830E7">
              <w:rPr>
                <w:b/>
                <w:sz w:val="22"/>
                <w:szCs w:val="22"/>
              </w:rPr>
              <w:lastRenderedPageBreak/>
              <w:t>R</w:t>
            </w:r>
            <w:r w:rsidRPr="00887835">
              <w:rPr>
                <w:b/>
                <w:sz w:val="22"/>
                <w:szCs w:val="22"/>
              </w:rPr>
              <w:t>evmatoid artritt, psoriasisartritt, Bekhterevs sykdom eller aksial spondylartritt uten radiografisk bekreftelse på ankyloserende spondylitt</w:t>
            </w:r>
          </w:p>
        </w:tc>
      </w:tr>
      <w:tr w:rsidR="004644D4" w14:paraId="0659B6F1" w14:textId="77777777" w:rsidTr="003D42FF">
        <w:tc>
          <w:tcPr>
            <w:tcW w:w="3095" w:type="dxa"/>
          </w:tcPr>
          <w:p w14:paraId="63B6A85B" w14:textId="77777777" w:rsidR="003D42FF" w:rsidRPr="007830E7" w:rsidRDefault="00E453CD" w:rsidP="00802544">
            <w:pPr>
              <w:keepNext/>
              <w:numPr>
                <w:ilvl w:val="12"/>
                <w:numId w:val="0"/>
              </w:numPr>
              <w:suppressAutoHyphens/>
              <w:ind w:right="-2"/>
              <w:rPr>
                <w:sz w:val="22"/>
                <w:szCs w:val="22"/>
                <w:lang w:val="en-GB"/>
              </w:rPr>
            </w:pPr>
            <w:r w:rsidRPr="007830E7">
              <w:rPr>
                <w:b/>
                <w:sz w:val="22"/>
                <w:szCs w:val="22"/>
                <w:lang w:val="en-US"/>
              </w:rPr>
              <w:t>Alder eller kroppsvekt</w:t>
            </w:r>
          </w:p>
        </w:tc>
        <w:tc>
          <w:tcPr>
            <w:tcW w:w="3096" w:type="dxa"/>
          </w:tcPr>
          <w:p w14:paraId="71659F58" w14:textId="77777777" w:rsidR="003D42FF" w:rsidRPr="00887835" w:rsidRDefault="00E453CD" w:rsidP="00802544">
            <w:pPr>
              <w:keepNext/>
              <w:numPr>
                <w:ilvl w:val="12"/>
                <w:numId w:val="0"/>
              </w:numPr>
              <w:suppressAutoHyphens/>
              <w:ind w:right="-2"/>
              <w:rPr>
                <w:sz w:val="22"/>
                <w:szCs w:val="22"/>
              </w:rPr>
            </w:pPr>
            <w:r w:rsidRPr="00887835">
              <w:rPr>
                <w:b/>
                <w:sz w:val="22"/>
                <w:szCs w:val="22"/>
              </w:rPr>
              <w:t xml:space="preserve">Hvor mye og hvor ofte </w:t>
            </w:r>
            <w:r w:rsidRPr="007830E7">
              <w:rPr>
                <w:b/>
                <w:sz w:val="22"/>
                <w:szCs w:val="22"/>
              </w:rPr>
              <w:t xml:space="preserve">du </w:t>
            </w:r>
            <w:r w:rsidR="003D2742" w:rsidRPr="000B0B5B">
              <w:rPr>
                <w:b/>
                <w:sz w:val="22"/>
                <w:szCs w:val="22"/>
              </w:rPr>
              <w:t>skal ta</w:t>
            </w:r>
            <w:r w:rsidRPr="00887835">
              <w:rPr>
                <w:b/>
                <w:sz w:val="22"/>
                <w:szCs w:val="22"/>
              </w:rPr>
              <w:t>?</w:t>
            </w:r>
          </w:p>
        </w:tc>
        <w:tc>
          <w:tcPr>
            <w:tcW w:w="3096" w:type="dxa"/>
          </w:tcPr>
          <w:p w14:paraId="629EEF93" w14:textId="77777777" w:rsidR="003D42FF" w:rsidRPr="007830E7" w:rsidRDefault="00E453CD" w:rsidP="00802544">
            <w:pPr>
              <w:keepNext/>
              <w:numPr>
                <w:ilvl w:val="12"/>
                <w:numId w:val="0"/>
              </w:numPr>
              <w:suppressAutoHyphens/>
              <w:ind w:right="-2"/>
              <w:rPr>
                <w:sz w:val="22"/>
                <w:szCs w:val="22"/>
                <w:lang w:val="en-GB"/>
              </w:rPr>
            </w:pPr>
            <w:r w:rsidRPr="007830E7">
              <w:rPr>
                <w:b/>
                <w:sz w:val="22"/>
                <w:szCs w:val="22"/>
                <w:lang w:val="en-US"/>
              </w:rPr>
              <w:t>Merknader</w:t>
            </w:r>
          </w:p>
        </w:tc>
      </w:tr>
      <w:tr w:rsidR="004644D4" w14:paraId="082BE7BC" w14:textId="77777777" w:rsidTr="003D42FF">
        <w:tc>
          <w:tcPr>
            <w:tcW w:w="3095" w:type="dxa"/>
          </w:tcPr>
          <w:p w14:paraId="3ACBFB8A" w14:textId="77777777" w:rsidR="003D42FF" w:rsidRPr="00F341B0" w:rsidRDefault="00E453CD" w:rsidP="00802544">
            <w:pPr>
              <w:keepNext/>
              <w:numPr>
                <w:ilvl w:val="12"/>
                <w:numId w:val="0"/>
              </w:numPr>
              <w:suppressAutoHyphens/>
              <w:ind w:right="-2"/>
              <w:rPr>
                <w:sz w:val="22"/>
                <w:szCs w:val="22"/>
                <w:lang w:val="en-GB"/>
              </w:rPr>
            </w:pPr>
            <w:r w:rsidRPr="001A1AC5">
              <w:rPr>
                <w:sz w:val="22"/>
                <w:szCs w:val="22"/>
                <w:lang w:val="en-US"/>
              </w:rPr>
              <w:t>Voksne</w:t>
            </w:r>
          </w:p>
        </w:tc>
        <w:tc>
          <w:tcPr>
            <w:tcW w:w="3096" w:type="dxa"/>
          </w:tcPr>
          <w:p w14:paraId="3E7DBB9E" w14:textId="77777777" w:rsidR="003D42FF" w:rsidRPr="007830E7" w:rsidRDefault="00E453CD" w:rsidP="00802544">
            <w:pPr>
              <w:keepNext/>
              <w:numPr>
                <w:ilvl w:val="12"/>
                <w:numId w:val="0"/>
              </w:numPr>
              <w:suppressAutoHyphens/>
              <w:ind w:right="-2"/>
              <w:rPr>
                <w:sz w:val="22"/>
                <w:szCs w:val="22"/>
                <w:lang w:val="en-GB"/>
              </w:rPr>
            </w:pPr>
            <w:r w:rsidRPr="002E73E5">
              <w:rPr>
                <w:sz w:val="22"/>
                <w:szCs w:val="22"/>
                <w:lang w:val="en-US"/>
              </w:rPr>
              <w:t xml:space="preserve">40 mg </w:t>
            </w:r>
            <w:r w:rsidRPr="007830E7">
              <w:rPr>
                <w:sz w:val="22"/>
                <w:szCs w:val="22"/>
              </w:rPr>
              <w:t>annenhver uke</w:t>
            </w:r>
          </w:p>
        </w:tc>
        <w:tc>
          <w:tcPr>
            <w:tcW w:w="3096" w:type="dxa"/>
          </w:tcPr>
          <w:p w14:paraId="7893781C" w14:textId="77777777" w:rsidR="003D42FF" w:rsidRDefault="00E453CD" w:rsidP="00802544">
            <w:pPr>
              <w:keepNext/>
              <w:tabs>
                <w:tab w:val="left" w:pos="562"/>
              </w:tabs>
              <w:suppressAutoHyphens/>
              <w:rPr>
                <w:sz w:val="22"/>
                <w:szCs w:val="22"/>
              </w:rPr>
            </w:pPr>
            <w:r w:rsidRPr="00887835">
              <w:rPr>
                <w:sz w:val="22"/>
                <w:szCs w:val="22"/>
              </w:rPr>
              <w:t>Ved revmatoid artritt fortsetter behandlingen med metotreksat mens du bruker</w:t>
            </w:r>
            <w:r w:rsidRPr="007830E7">
              <w:rPr>
                <w:sz w:val="22"/>
                <w:szCs w:val="22"/>
              </w:rPr>
              <w:t xml:space="preserve"> Humira. Hvis legen din bestemmer</w:t>
            </w:r>
            <w:r w:rsidRPr="00887835">
              <w:rPr>
                <w:sz w:val="22"/>
                <w:szCs w:val="22"/>
              </w:rPr>
              <w:t xml:space="preserve"> at metotreksat ikke er egnet, kan Humira gis alene.</w:t>
            </w:r>
          </w:p>
          <w:p w14:paraId="4C73B099" w14:textId="77777777" w:rsidR="00D00F56" w:rsidRPr="00887835" w:rsidRDefault="00D00F56" w:rsidP="00802544">
            <w:pPr>
              <w:keepNext/>
              <w:tabs>
                <w:tab w:val="left" w:pos="562"/>
              </w:tabs>
              <w:suppressAutoHyphens/>
              <w:rPr>
                <w:sz w:val="22"/>
                <w:szCs w:val="22"/>
              </w:rPr>
            </w:pPr>
          </w:p>
          <w:p w14:paraId="0D4AC31D" w14:textId="77777777" w:rsidR="003D42FF" w:rsidRPr="00887835" w:rsidRDefault="00E453CD" w:rsidP="00802544">
            <w:pPr>
              <w:keepNext/>
              <w:numPr>
                <w:ilvl w:val="12"/>
                <w:numId w:val="0"/>
              </w:numPr>
              <w:suppressAutoHyphens/>
              <w:ind w:right="-2"/>
              <w:rPr>
                <w:sz w:val="22"/>
                <w:szCs w:val="22"/>
              </w:rPr>
            </w:pPr>
            <w:r w:rsidRPr="00887835">
              <w:rPr>
                <w:sz w:val="22"/>
                <w:szCs w:val="22"/>
              </w:rPr>
              <w:t xml:space="preserve">Hvis du har revmatoid artritt og ikke får behandling med metotreksat mens du behandles med Humira, kan legen din bestemme å gi deg 40 mg </w:t>
            </w:r>
            <w:r w:rsidR="005E0636">
              <w:rPr>
                <w:sz w:val="22"/>
                <w:szCs w:val="22"/>
              </w:rPr>
              <w:t>Humira</w:t>
            </w:r>
            <w:r w:rsidRPr="00887835">
              <w:rPr>
                <w:sz w:val="22"/>
                <w:szCs w:val="22"/>
              </w:rPr>
              <w:t xml:space="preserve"> hver uke</w:t>
            </w:r>
            <w:r w:rsidR="0032142D">
              <w:rPr>
                <w:sz w:val="22"/>
                <w:szCs w:val="22"/>
              </w:rPr>
              <w:t xml:space="preserve"> eller 80</w:t>
            </w:r>
            <w:r w:rsidR="008A3FFA">
              <w:rPr>
                <w:sz w:val="22"/>
                <w:szCs w:val="22"/>
              </w:rPr>
              <w:t> </w:t>
            </w:r>
            <w:r w:rsidR="0032142D">
              <w:rPr>
                <w:sz w:val="22"/>
                <w:szCs w:val="22"/>
              </w:rPr>
              <w:t>mg annenhver uke</w:t>
            </w:r>
            <w:r w:rsidRPr="00887835">
              <w:rPr>
                <w:sz w:val="22"/>
                <w:szCs w:val="22"/>
              </w:rPr>
              <w:t xml:space="preserve">. </w:t>
            </w:r>
          </w:p>
        </w:tc>
      </w:tr>
    </w:tbl>
    <w:p w14:paraId="1765D39E" w14:textId="77777777" w:rsidR="00D20B49" w:rsidRPr="009C5EFD" w:rsidRDefault="00D20B49" w:rsidP="00D20B49">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4"/>
        <w:gridCol w:w="3021"/>
      </w:tblGrid>
      <w:tr w:rsidR="004644D4" w14:paraId="57A3BF6F" w14:textId="77777777" w:rsidTr="001850A1">
        <w:tc>
          <w:tcPr>
            <w:tcW w:w="9287" w:type="dxa"/>
            <w:gridSpan w:val="3"/>
          </w:tcPr>
          <w:p w14:paraId="38741058" w14:textId="77777777" w:rsidR="007830E7" w:rsidRPr="00887835" w:rsidRDefault="00E453CD" w:rsidP="001850A1">
            <w:pPr>
              <w:numPr>
                <w:ilvl w:val="12"/>
                <w:numId w:val="0"/>
              </w:numPr>
              <w:ind w:right="-2"/>
              <w:rPr>
                <w:sz w:val="22"/>
                <w:szCs w:val="22"/>
                <w:lang w:val="en-GB"/>
              </w:rPr>
            </w:pPr>
            <w:r w:rsidRPr="00887835">
              <w:rPr>
                <w:b/>
                <w:sz w:val="22"/>
                <w:szCs w:val="22"/>
                <w:lang w:val="en-GB"/>
              </w:rPr>
              <w:t>Polyartikulær juvenil idiopatisk artritt</w:t>
            </w:r>
          </w:p>
        </w:tc>
      </w:tr>
      <w:tr w:rsidR="004644D4" w14:paraId="05F347D0" w14:textId="77777777" w:rsidTr="001850A1">
        <w:tc>
          <w:tcPr>
            <w:tcW w:w="3095" w:type="dxa"/>
          </w:tcPr>
          <w:p w14:paraId="3FF3D965" w14:textId="77777777" w:rsidR="007830E7" w:rsidRPr="00887835" w:rsidRDefault="00E453CD" w:rsidP="001850A1">
            <w:pPr>
              <w:numPr>
                <w:ilvl w:val="12"/>
                <w:numId w:val="0"/>
              </w:numPr>
              <w:ind w:right="-2"/>
              <w:rPr>
                <w:sz w:val="22"/>
                <w:szCs w:val="22"/>
                <w:lang w:val="en-GB"/>
              </w:rPr>
            </w:pPr>
            <w:r w:rsidRPr="007830E7">
              <w:rPr>
                <w:b/>
                <w:sz w:val="22"/>
                <w:szCs w:val="22"/>
                <w:lang w:val="en-US"/>
              </w:rPr>
              <w:t>Alder eller kroppsvekt</w:t>
            </w:r>
          </w:p>
        </w:tc>
        <w:tc>
          <w:tcPr>
            <w:tcW w:w="3096" w:type="dxa"/>
          </w:tcPr>
          <w:p w14:paraId="08E7C9E4" w14:textId="77777777" w:rsidR="007830E7" w:rsidRPr="00887835" w:rsidRDefault="00E453CD" w:rsidP="001850A1">
            <w:pPr>
              <w:numPr>
                <w:ilvl w:val="12"/>
                <w:numId w:val="0"/>
              </w:numPr>
              <w:ind w:right="-2"/>
              <w:rPr>
                <w:sz w:val="22"/>
                <w:szCs w:val="22"/>
              </w:rPr>
            </w:pPr>
            <w:r w:rsidRPr="007830E7">
              <w:rPr>
                <w:b/>
                <w:sz w:val="22"/>
                <w:szCs w:val="22"/>
              </w:rPr>
              <w:t xml:space="preserve">Hvor mye og hvor ofte du </w:t>
            </w:r>
            <w:r w:rsidR="003D2742">
              <w:rPr>
                <w:b/>
                <w:sz w:val="22"/>
                <w:szCs w:val="22"/>
              </w:rPr>
              <w:t>skal ta</w:t>
            </w:r>
            <w:r w:rsidRPr="007830E7">
              <w:rPr>
                <w:b/>
                <w:sz w:val="22"/>
                <w:szCs w:val="22"/>
              </w:rPr>
              <w:t>?</w:t>
            </w:r>
          </w:p>
        </w:tc>
        <w:tc>
          <w:tcPr>
            <w:tcW w:w="3096" w:type="dxa"/>
          </w:tcPr>
          <w:p w14:paraId="3F38ED45" w14:textId="77777777" w:rsidR="007830E7" w:rsidRPr="00887835" w:rsidRDefault="00E453CD" w:rsidP="001850A1">
            <w:pPr>
              <w:numPr>
                <w:ilvl w:val="12"/>
                <w:numId w:val="0"/>
              </w:numPr>
              <w:ind w:right="-2"/>
              <w:rPr>
                <w:sz w:val="22"/>
                <w:szCs w:val="22"/>
                <w:lang w:val="en-GB"/>
              </w:rPr>
            </w:pPr>
            <w:r w:rsidRPr="007830E7">
              <w:rPr>
                <w:b/>
                <w:sz w:val="22"/>
                <w:szCs w:val="22"/>
                <w:lang w:val="en-US"/>
              </w:rPr>
              <w:t>Merknader</w:t>
            </w:r>
          </w:p>
        </w:tc>
      </w:tr>
      <w:tr w:rsidR="004644D4" w14:paraId="16186EC6" w14:textId="77777777" w:rsidTr="001850A1">
        <w:tc>
          <w:tcPr>
            <w:tcW w:w="3095" w:type="dxa"/>
          </w:tcPr>
          <w:p w14:paraId="61169E93" w14:textId="77777777" w:rsidR="007830E7" w:rsidRPr="00887835" w:rsidRDefault="00E453CD" w:rsidP="00890C29">
            <w:pPr>
              <w:numPr>
                <w:ilvl w:val="12"/>
                <w:numId w:val="0"/>
              </w:numPr>
              <w:ind w:right="-2"/>
              <w:rPr>
                <w:sz w:val="22"/>
                <w:szCs w:val="22"/>
              </w:rPr>
            </w:pPr>
            <w:r>
              <w:rPr>
                <w:sz w:val="22"/>
                <w:szCs w:val="22"/>
              </w:rPr>
              <w:t>Barn, u</w:t>
            </w:r>
            <w:r w:rsidRPr="00887835">
              <w:rPr>
                <w:sz w:val="22"/>
                <w:szCs w:val="22"/>
              </w:rPr>
              <w:t xml:space="preserve">ngdom og voksne </w:t>
            </w:r>
            <w:r w:rsidR="00890C29">
              <w:rPr>
                <w:sz w:val="22"/>
                <w:szCs w:val="22"/>
              </w:rPr>
              <w:t>over</w:t>
            </w:r>
            <w:r w:rsidRPr="00887835">
              <w:rPr>
                <w:sz w:val="22"/>
                <w:szCs w:val="22"/>
              </w:rPr>
              <w:t xml:space="preserve"> </w:t>
            </w:r>
            <w:r>
              <w:rPr>
                <w:sz w:val="22"/>
                <w:szCs w:val="22"/>
              </w:rPr>
              <w:t>2</w:t>
            </w:r>
            <w:r w:rsidRPr="00887835">
              <w:rPr>
                <w:sz w:val="22"/>
                <w:szCs w:val="22"/>
              </w:rPr>
              <w:t xml:space="preserve"> år</w:t>
            </w:r>
            <w:r>
              <w:rPr>
                <w:sz w:val="22"/>
                <w:szCs w:val="22"/>
              </w:rPr>
              <w:t xml:space="preserve"> som veier 30 kg eller mer</w:t>
            </w:r>
          </w:p>
        </w:tc>
        <w:tc>
          <w:tcPr>
            <w:tcW w:w="3096" w:type="dxa"/>
          </w:tcPr>
          <w:p w14:paraId="3BCE4718" w14:textId="77777777" w:rsidR="007830E7" w:rsidRPr="00887835" w:rsidRDefault="00E453CD" w:rsidP="001850A1">
            <w:pPr>
              <w:numPr>
                <w:ilvl w:val="12"/>
                <w:numId w:val="0"/>
              </w:numPr>
              <w:ind w:right="-2"/>
              <w:rPr>
                <w:sz w:val="22"/>
                <w:szCs w:val="22"/>
                <w:lang w:val="en-GB"/>
              </w:rPr>
            </w:pPr>
            <w:r w:rsidRPr="004C7F6D">
              <w:rPr>
                <w:sz w:val="22"/>
                <w:szCs w:val="22"/>
                <w:lang w:val="en-US"/>
              </w:rPr>
              <w:t xml:space="preserve">40 mg </w:t>
            </w:r>
            <w:r w:rsidRPr="004C7F6D">
              <w:rPr>
                <w:sz w:val="22"/>
                <w:szCs w:val="22"/>
              </w:rPr>
              <w:t>annenhver uke</w:t>
            </w:r>
          </w:p>
        </w:tc>
        <w:tc>
          <w:tcPr>
            <w:tcW w:w="3096" w:type="dxa"/>
          </w:tcPr>
          <w:p w14:paraId="738A2773" w14:textId="77777777" w:rsidR="007830E7" w:rsidRPr="00887835" w:rsidRDefault="00E453CD" w:rsidP="001850A1">
            <w:pPr>
              <w:numPr>
                <w:ilvl w:val="12"/>
                <w:numId w:val="0"/>
              </w:numPr>
              <w:ind w:right="-2"/>
              <w:rPr>
                <w:sz w:val="22"/>
                <w:szCs w:val="22"/>
                <w:lang w:val="en-GB"/>
              </w:rPr>
            </w:pPr>
            <w:r>
              <w:rPr>
                <w:sz w:val="22"/>
                <w:szCs w:val="22"/>
                <w:lang w:val="en-GB"/>
              </w:rPr>
              <w:t>Ikke aktuelt</w:t>
            </w:r>
          </w:p>
        </w:tc>
      </w:tr>
      <w:tr w:rsidR="004644D4" w14:paraId="15332D32" w14:textId="77777777" w:rsidTr="001850A1">
        <w:tc>
          <w:tcPr>
            <w:tcW w:w="3095" w:type="dxa"/>
          </w:tcPr>
          <w:p w14:paraId="425E6F7B" w14:textId="77777777" w:rsidR="007830E7" w:rsidRPr="00887835" w:rsidRDefault="00E453CD" w:rsidP="00890C29">
            <w:pPr>
              <w:numPr>
                <w:ilvl w:val="12"/>
                <w:numId w:val="0"/>
              </w:numPr>
              <w:ind w:right="-2"/>
              <w:rPr>
                <w:sz w:val="22"/>
                <w:szCs w:val="22"/>
              </w:rPr>
            </w:pPr>
            <w:r w:rsidRPr="00887835">
              <w:rPr>
                <w:sz w:val="22"/>
                <w:szCs w:val="22"/>
              </w:rPr>
              <w:t xml:space="preserve">Barn </w:t>
            </w:r>
            <w:r w:rsidR="005211B7">
              <w:rPr>
                <w:sz w:val="22"/>
                <w:szCs w:val="22"/>
              </w:rPr>
              <w:t xml:space="preserve">og ungdom </w:t>
            </w:r>
            <w:r w:rsidR="00890C29">
              <w:rPr>
                <w:sz w:val="22"/>
                <w:szCs w:val="22"/>
              </w:rPr>
              <w:t>over</w:t>
            </w:r>
            <w:r w:rsidRPr="00887835">
              <w:rPr>
                <w:sz w:val="22"/>
                <w:szCs w:val="22"/>
              </w:rPr>
              <w:t xml:space="preserve"> </w:t>
            </w:r>
            <w:r w:rsidRPr="009C5EFD">
              <w:rPr>
                <w:sz w:val="22"/>
                <w:szCs w:val="22"/>
              </w:rPr>
              <w:t>2 år</w:t>
            </w:r>
            <w:r w:rsidR="005211B7">
              <w:rPr>
                <w:sz w:val="22"/>
                <w:szCs w:val="22"/>
              </w:rPr>
              <w:t xml:space="preserve"> som veier 10 kg til </w:t>
            </w:r>
            <w:r w:rsidR="00684DB9">
              <w:rPr>
                <w:sz w:val="22"/>
                <w:szCs w:val="22"/>
              </w:rPr>
              <w:t>under</w:t>
            </w:r>
            <w:r w:rsidR="005211B7">
              <w:rPr>
                <w:sz w:val="22"/>
                <w:szCs w:val="22"/>
              </w:rPr>
              <w:t xml:space="preserve"> 30 kg</w:t>
            </w:r>
          </w:p>
        </w:tc>
        <w:tc>
          <w:tcPr>
            <w:tcW w:w="3096" w:type="dxa"/>
          </w:tcPr>
          <w:p w14:paraId="3BE79B73" w14:textId="77777777" w:rsidR="007830E7" w:rsidRPr="00887835" w:rsidRDefault="00E453CD" w:rsidP="007830E7">
            <w:pPr>
              <w:numPr>
                <w:ilvl w:val="12"/>
                <w:numId w:val="0"/>
              </w:numPr>
              <w:ind w:right="-2"/>
              <w:rPr>
                <w:sz w:val="22"/>
                <w:szCs w:val="22"/>
              </w:rPr>
            </w:pPr>
            <w:r w:rsidRPr="00525676">
              <w:rPr>
                <w:sz w:val="22"/>
                <w:lang w:val="en-US"/>
              </w:rPr>
              <w:t xml:space="preserve">20 mg </w:t>
            </w:r>
            <w:r w:rsidRPr="004C7F6D">
              <w:rPr>
                <w:sz w:val="22"/>
                <w:szCs w:val="22"/>
              </w:rPr>
              <w:t>annenhver uke</w:t>
            </w:r>
          </w:p>
        </w:tc>
        <w:tc>
          <w:tcPr>
            <w:tcW w:w="3096" w:type="dxa"/>
          </w:tcPr>
          <w:p w14:paraId="3F43557B" w14:textId="77777777" w:rsidR="007830E7" w:rsidRPr="00887835" w:rsidRDefault="00E453CD" w:rsidP="001850A1">
            <w:pPr>
              <w:numPr>
                <w:ilvl w:val="12"/>
                <w:numId w:val="0"/>
              </w:numPr>
              <w:ind w:right="-2"/>
              <w:rPr>
                <w:sz w:val="22"/>
                <w:szCs w:val="22"/>
              </w:rPr>
            </w:pPr>
            <w:r>
              <w:rPr>
                <w:sz w:val="22"/>
                <w:szCs w:val="22"/>
                <w:lang w:val="en-GB"/>
              </w:rPr>
              <w:t>Ikke aktuelt</w:t>
            </w:r>
          </w:p>
        </w:tc>
      </w:tr>
    </w:tbl>
    <w:p w14:paraId="6759A503" w14:textId="77777777" w:rsidR="00D20B49" w:rsidRPr="009C5EFD" w:rsidRDefault="00D20B49" w:rsidP="00D20B49">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5"/>
        <w:gridCol w:w="3021"/>
      </w:tblGrid>
      <w:tr w:rsidR="004644D4" w14:paraId="5BAB1527" w14:textId="77777777" w:rsidTr="007830E7">
        <w:tc>
          <w:tcPr>
            <w:tcW w:w="9281" w:type="dxa"/>
            <w:gridSpan w:val="3"/>
          </w:tcPr>
          <w:p w14:paraId="751C59B9" w14:textId="77777777" w:rsidR="007830E7" w:rsidRPr="00887835" w:rsidRDefault="00E453CD" w:rsidP="001850A1">
            <w:pPr>
              <w:numPr>
                <w:ilvl w:val="12"/>
                <w:numId w:val="0"/>
              </w:numPr>
              <w:ind w:right="-2"/>
              <w:rPr>
                <w:b/>
                <w:sz w:val="22"/>
                <w:szCs w:val="22"/>
                <w:lang w:val="en-GB"/>
              </w:rPr>
            </w:pPr>
            <w:r>
              <w:rPr>
                <w:b/>
                <w:sz w:val="22"/>
                <w:szCs w:val="22"/>
                <w:lang w:val="en-GB"/>
              </w:rPr>
              <w:t>E</w:t>
            </w:r>
            <w:r w:rsidRPr="007830E7">
              <w:rPr>
                <w:b/>
                <w:sz w:val="22"/>
                <w:szCs w:val="22"/>
                <w:lang w:val="en-GB"/>
              </w:rPr>
              <w:t>ntesittrelatert artritt</w:t>
            </w:r>
          </w:p>
        </w:tc>
      </w:tr>
      <w:tr w:rsidR="004644D4" w14:paraId="7B3F58D4" w14:textId="77777777" w:rsidTr="007830E7">
        <w:tc>
          <w:tcPr>
            <w:tcW w:w="3093" w:type="dxa"/>
          </w:tcPr>
          <w:p w14:paraId="4D575840" w14:textId="77777777" w:rsidR="007830E7" w:rsidRPr="00887835" w:rsidRDefault="00E453CD" w:rsidP="001850A1">
            <w:pPr>
              <w:numPr>
                <w:ilvl w:val="12"/>
                <w:numId w:val="0"/>
              </w:numPr>
              <w:ind w:right="-2"/>
              <w:rPr>
                <w:sz w:val="22"/>
                <w:szCs w:val="22"/>
                <w:lang w:val="en-GB"/>
              </w:rPr>
            </w:pPr>
            <w:r w:rsidRPr="007830E7">
              <w:rPr>
                <w:b/>
                <w:sz w:val="22"/>
                <w:szCs w:val="22"/>
                <w:lang w:val="en-US"/>
              </w:rPr>
              <w:t>Alder eller kroppsvekt</w:t>
            </w:r>
          </w:p>
        </w:tc>
        <w:tc>
          <w:tcPr>
            <w:tcW w:w="3094" w:type="dxa"/>
          </w:tcPr>
          <w:p w14:paraId="2AE17C59" w14:textId="77777777" w:rsidR="007830E7" w:rsidRPr="00887835" w:rsidRDefault="00E453CD" w:rsidP="001850A1">
            <w:pPr>
              <w:numPr>
                <w:ilvl w:val="12"/>
                <w:numId w:val="0"/>
              </w:numPr>
              <w:ind w:right="-2"/>
              <w:rPr>
                <w:sz w:val="22"/>
                <w:szCs w:val="22"/>
              </w:rPr>
            </w:pPr>
            <w:r w:rsidRPr="007830E7">
              <w:rPr>
                <w:b/>
                <w:sz w:val="22"/>
                <w:szCs w:val="22"/>
              </w:rPr>
              <w:t xml:space="preserve">Hvor mye og hvor ofte du </w:t>
            </w:r>
            <w:r w:rsidR="003D2742">
              <w:rPr>
                <w:b/>
                <w:sz w:val="22"/>
                <w:szCs w:val="22"/>
              </w:rPr>
              <w:t>skal ta</w:t>
            </w:r>
            <w:r w:rsidRPr="007830E7">
              <w:rPr>
                <w:b/>
                <w:sz w:val="22"/>
                <w:szCs w:val="22"/>
              </w:rPr>
              <w:t>?</w:t>
            </w:r>
          </w:p>
        </w:tc>
        <w:tc>
          <w:tcPr>
            <w:tcW w:w="3094" w:type="dxa"/>
          </w:tcPr>
          <w:p w14:paraId="276C27CB" w14:textId="77777777" w:rsidR="007830E7" w:rsidRPr="00887835" w:rsidRDefault="00E453CD" w:rsidP="001850A1">
            <w:pPr>
              <w:numPr>
                <w:ilvl w:val="12"/>
                <w:numId w:val="0"/>
              </w:numPr>
              <w:ind w:right="-2"/>
              <w:rPr>
                <w:sz w:val="22"/>
                <w:szCs w:val="22"/>
                <w:lang w:val="en-GB"/>
              </w:rPr>
            </w:pPr>
            <w:r w:rsidRPr="007830E7">
              <w:rPr>
                <w:b/>
                <w:sz w:val="22"/>
                <w:szCs w:val="22"/>
                <w:lang w:val="en-US"/>
              </w:rPr>
              <w:t>Merknader</w:t>
            </w:r>
          </w:p>
        </w:tc>
      </w:tr>
      <w:tr w:rsidR="004644D4" w14:paraId="6C474D13" w14:textId="77777777" w:rsidTr="007830E7">
        <w:tc>
          <w:tcPr>
            <w:tcW w:w="3093" w:type="dxa"/>
          </w:tcPr>
          <w:p w14:paraId="483FC529" w14:textId="77777777" w:rsidR="007830E7" w:rsidRPr="00887835" w:rsidRDefault="00E453CD" w:rsidP="00890C29">
            <w:pPr>
              <w:numPr>
                <w:ilvl w:val="12"/>
                <w:numId w:val="0"/>
              </w:numPr>
              <w:ind w:right="-2"/>
              <w:rPr>
                <w:sz w:val="22"/>
                <w:szCs w:val="22"/>
              </w:rPr>
            </w:pPr>
            <w:r w:rsidRPr="00887835">
              <w:rPr>
                <w:sz w:val="22"/>
                <w:szCs w:val="22"/>
              </w:rPr>
              <w:t xml:space="preserve">Barn, ungdom og voksne </w:t>
            </w:r>
            <w:r w:rsidR="00890C29">
              <w:rPr>
                <w:sz w:val="22"/>
                <w:szCs w:val="22"/>
              </w:rPr>
              <w:t>over</w:t>
            </w:r>
            <w:r w:rsidRPr="00887835">
              <w:rPr>
                <w:sz w:val="22"/>
                <w:szCs w:val="22"/>
              </w:rPr>
              <w:t xml:space="preserve"> 6 </w:t>
            </w:r>
            <w:r>
              <w:rPr>
                <w:sz w:val="22"/>
                <w:szCs w:val="22"/>
              </w:rPr>
              <w:t>år</w:t>
            </w:r>
            <w:r w:rsidR="00033CCB">
              <w:rPr>
                <w:sz w:val="22"/>
                <w:szCs w:val="22"/>
              </w:rPr>
              <w:t xml:space="preserve"> som veier 30 kg eller mer</w:t>
            </w:r>
          </w:p>
        </w:tc>
        <w:tc>
          <w:tcPr>
            <w:tcW w:w="3094" w:type="dxa"/>
          </w:tcPr>
          <w:p w14:paraId="517B9162" w14:textId="77777777" w:rsidR="007830E7" w:rsidRPr="00887835" w:rsidRDefault="00E453CD" w:rsidP="001850A1">
            <w:pPr>
              <w:numPr>
                <w:ilvl w:val="12"/>
                <w:numId w:val="0"/>
              </w:numPr>
              <w:ind w:right="-2"/>
              <w:rPr>
                <w:sz w:val="22"/>
                <w:szCs w:val="22"/>
              </w:rPr>
            </w:pPr>
            <w:r w:rsidRPr="00525676">
              <w:rPr>
                <w:sz w:val="22"/>
                <w:lang w:val="en-US"/>
              </w:rPr>
              <w:t xml:space="preserve">40 mg </w:t>
            </w:r>
            <w:r w:rsidRPr="004C7F6D">
              <w:rPr>
                <w:sz w:val="22"/>
                <w:szCs w:val="22"/>
              </w:rPr>
              <w:t>annenhver uke</w:t>
            </w:r>
          </w:p>
        </w:tc>
        <w:tc>
          <w:tcPr>
            <w:tcW w:w="3094" w:type="dxa"/>
          </w:tcPr>
          <w:p w14:paraId="0C852E21" w14:textId="77777777" w:rsidR="007830E7" w:rsidRPr="00887835" w:rsidRDefault="00E453CD" w:rsidP="001850A1">
            <w:pPr>
              <w:numPr>
                <w:ilvl w:val="12"/>
                <w:numId w:val="0"/>
              </w:numPr>
              <w:ind w:right="-2"/>
              <w:rPr>
                <w:sz w:val="22"/>
                <w:szCs w:val="22"/>
              </w:rPr>
            </w:pPr>
            <w:r>
              <w:rPr>
                <w:sz w:val="22"/>
                <w:szCs w:val="22"/>
                <w:lang w:val="en-GB"/>
              </w:rPr>
              <w:t>Ikke aktuelt</w:t>
            </w:r>
          </w:p>
        </w:tc>
      </w:tr>
      <w:tr w:rsidR="004644D4" w14:paraId="72AE28C8" w14:textId="77777777" w:rsidTr="007830E7">
        <w:tc>
          <w:tcPr>
            <w:tcW w:w="3093" w:type="dxa"/>
          </w:tcPr>
          <w:p w14:paraId="0664CEBD" w14:textId="77777777" w:rsidR="00033CCB" w:rsidRPr="00887835" w:rsidRDefault="00E453CD" w:rsidP="00890C29">
            <w:pPr>
              <w:numPr>
                <w:ilvl w:val="12"/>
                <w:numId w:val="0"/>
              </w:numPr>
              <w:ind w:right="-2"/>
              <w:rPr>
                <w:sz w:val="22"/>
                <w:szCs w:val="22"/>
              </w:rPr>
            </w:pPr>
            <w:r w:rsidRPr="00D22D58">
              <w:rPr>
                <w:sz w:val="22"/>
              </w:rPr>
              <w:t xml:space="preserve">Barn og ungdom </w:t>
            </w:r>
            <w:r w:rsidR="00890C29">
              <w:rPr>
                <w:sz w:val="22"/>
              </w:rPr>
              <w:t>over</w:t>
            </w:r>
            <w:r w:rsidRPr="00D22D58">
              <w:rPr>
                <w:sz w:val="22"/>
              </w:rPr>
              <w:t xml:space="preserve"> </w:t>
            </w:r>
            <w:r>
              <w:rPr>
                <w:sz w:val="22"/>
              </w:rPr>
              <w:t>6</w:t>
            </w:r>
            <w:r w:rsidRPr="00D22D58">
              <w:rPr>
                <w:sz w:val="22"/>
              </w:rPr>
              <w:t xml:space="preserve"> år som veier </w:t>
            </w:r>
            <w:r>
              <w:rPr>
                <w:sz w:val="22"/>
              </w:rPr>
              <w:t>15</w:t>
            </w:r>
            <w:r w:rsidRPr="00D22D58">
              <w:rPr>
                <w:sz w:val="22"/>
              </w:rPr>
              <w:t xml:space="preserve"> kg </w:t>
            </w:r>
            <w:r>
              <w:rPr>
                <w:sz w:val="22"/>
              </w:rPr>
              <w:t xml:space="preserve">til </w:t>
            </w:r>
            <w:r w:rsidR="00684DB9">
              <w:rPr>
                <w:sz w:val="22"/>
              </w:rPr>
              <w:t>under</w:t>
            </w:r>
            <w:r w:rsidRPr="00D22D58">
              <w:rPr>
                <w:sz w:val="22"/>
              </w:rPr>
              <w:t xml:space="preserve"> 30 kg</w:t>
            </w:r>
          </w:p>
        </w:tc>
        <w:tc>
          <w:tcPr>
            <w:tcW w:w="3094" w:type="dxa"/>
          </w:tcPr>
          <w:p w14:paraId="645BCD73" w14:textId="77777777" w:rsidR="00033CCB" w:rsidRPr="00525676" w:rsidRDefault="00E453CD" w:rsidP="001850A1">
            <w:pPr>
              <w:numPr>
                <w:ilvl w:val="12"/>
                <w:numId w:val="0"/>
              </w:numPr>
              <w:ind w:right="-2"/>
              <w:rPr>
                <w:sz w:val="22"/>
                <w:lang w:val="en-US"/>
              </w:rPr>
            </w:pPr>
            <w:r w:rsidRPr="00525676">
              <w:rPr>
                <w:sz w:val="22"/>
                <w:lang w:val="en-US"/>
              </w:rPr>
              <w:t xml:space="preserve">20 mg </w:t>
            </w:r>
            <w:r w:rsidRPr="004C7F6D">
              <w:rPr>
                <w:sz w:val="22"/>
                <w:szCs w:val="22"/>
              </w:rPr>
              <w:t>annenhver uke</w:t>
            </w:r>
          </w:p>
        </w:tc>
        <w:tc>
          <w:tcPr>
            <w:tcW w:w="3094" w:type="dxa"/>
          </w:tcPr>
          <w:p w14:paraId="30E595BC" w14:textId="77777777" w:rsidR="00033CCB" w:rsidRPr="00887835" w:rsidRDefault="00E453CD" w:rsidP="001850A1">
            <w:pPr>
              <w:numPr>
                <w:ilvl w:val="12"/>
                <w:numId w:val="0"/>
              </w:numPr>
              <w:ind w:right="-2"/>
              <w:rPr>
                <w:sz w:val="22"/>
                <w:szCs w:val="22"/>
              </w:rPr>
            </w:pPr>
            <w:r>
              <w:rPr>
                <w:sz w:val="22"/>
                <w:szCs w:val="22"/>
                <w:lang w:val="en-GB"/>
              </w:rPr>
              <w:t>Ikke aktuelt</w:t>
            </w:r>
          </w:p>
        </w:tc>
      </w:tr>
    </w:tbl>
    <w:p w14:paraId="1E5F788B" w14:textId="77777777" w:rsidR="00D20B49" w:rsidRPr="009C5EFD" w:rsidRDefault="00D20B49" w:rsidP="00D20B49">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5"/>
        <w:gridCol w:w="3023"/>
      </w:tblGrid>
      <w:tr w:rsidR="004644D4" w14:paraId="508F3BBE" w14:textId="77777777" w:rsidTr="002D5213">
        <w:tc>
          <w:tcPr>
            <w:tcW w:w="9281" w:type="dxa"/>
            <w:gridSpan w:val="3"/>
          </w:tcPr>
          <w:p w14:paraId="4FA037F3" w14:textId="77777777" w:rsidR="002D5213" w:rsidRPr="00887835" w:rsidRDefault="00E453CD" w:rsidP="00D00F56">
            <w:pPr>
              <w:keepNext/>
              <w:numPr>
                <w:ilvl w:val="12"/>
                <w:numId w:val="0"/>
              </w:numPr>
              <w:ind w:right="-2"/>
              <w:rPr>
                <w:sz w:val="22"/>
                <w:szCs w:val="22"/>
                <w:lang w:val="en-GB"/>
              </w:rPr>
            </w:pPr>
            <w:r w:rsidRPr="002D5213">
              <w:rPr>
                <w:b/>
                <w:sz w:val="22"/>
                <w:szCs w:val="22"/>
                <w:lang w:val="en-GB"/>
              </w:rPr>
              <w:t>Pl</w:t>
            </w:r>
            <w:r>
              <w:rPr>
                <w:b/>
                <w:sz w:val="22"/>
                <w:szCs w:val="22"/>
                <w:lang w:val="en-GB"/>
              </w:rPr>
              <w:t>akk</w:t>
            </w:r>
            <w:r w:rsidRPr="00887835">
              <w:rPr>
                <w:b/>
                <w:sz w:val="22"/>
                <w:szCs w:val="22"/>
                <w:lang w:val="en-GB"/>
              </w:rPr>
              <w:t>psoriasis</w:t>
            </w:r>
          </w:p>
        </w:tc>
      </w:tr>
      <w:tr w:rsidR="004644D4" w14:paraId="20260C96" w14:textId="77777777" w:rsidTr="002D5213">
        <w:tc>
          <w:tcPr>
            <w:tcW w:w="3093" w:type="dxa"/>
          </w:tcPr>
          <w:p w14:paraId="21F3D964" w14:textId="77777777" w:rsidR="002D5213" w:rsidRPr="00887835" w:rsidRDefault="00E453CD" w:rsidP="00D00F56">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22E7A45A" w14:textId="77777777" w:rsidR="002D5213" w:rsidRPr="00887835" w:rsidRDefault="00E453CD" w:rsidP="00D00F56">
            <w:pPr>
              <w:keepNext/>
              <w:numPr>
                <w:ilvl w:val="12"/>
                <w:numId w:val="0"/>
              </w:numPr>
              <w:ind w:right="-2"/>
              <w:rPr>
                <w:sz w:val="22"/>
                <w:szCs w:val="22"/>
              </w:rPr>
            </w:pPr>
            <w:r w:rsidRPr="007830E7">
              <w:rPr>
                <w:b/>
                <w:sz w:val="22"/>
                <w:szCs w:val="22"/>
              </w:rPr>
              <w:t xml:space="preserve">Hvor mye og hvor ofte du </w:t>
            </w:r>
            <w:r w:rsidR="003D2742">
              <w:rPr>
                <w:b/>
                <w:sz w:val="22"/>
                <w:szCs w:val="22"/>
              </w:rPr>
              <w:t>skal ta</w:t>
            </w:r>
            <w:r w:rsidRPr="007830E7">
              <w:rPr>
                <w:b/>
                <w:sz w:val="22"/>
                <w:szCs w:val="22"/>
              </w:rPr>
              <w:t>?</w:t>
            </w:r>
          </w:p>
        </w:tc>
        <w:tc>
          <w:tcPr>
            <w:tcW w:w="3094" w:type="dxa"/>
          </w:tcPr>
          <w:p w14:paraId="2B98CE10" w14:textId="77777777" w:rsidR="002D5213" w:rsidRPr="00887835" w:rsidRDefault="00E453CD" w:rsidP="00D00F56">
            <w:pPr>
              <w:keepNext/>
              <w:numPr>
                <w:ilvl w:val="12"/>
                <w:numId w:val="0"/>
              </w:numPr>
              <w:ind w:right="-2"/>
              <w:rPr>
                <w:sz w:val="22"/>
                <w:szCs w:val="22"/>
                <w:lang w:val="en-GB"/>
              </w:rPr>
            </w:pPr>
            <w:r w:rsidRPr="007830E7">
              <w:rPr>
                <w:b/>
                <w:sz w:val="22"/>
                <w:szCs w:val="22"/>
                <w:lang w:val="en-US"/>
              </w:rPr>
              <w:t>Merknader</w:t>
            </w:r>
          </w:p>
        </w:tc>
      </w:tr>
      <w:tr w:rsidR="004644D4" w14:paraId="7EB3E4CC" w14:textId="77777777" w:rsidTr="002D5213">
        <w:tc>
          <w:tcPr>
            <w:tcW w:w="3093" w:type="dxa"/>
          </w:tcPr>
          <w:p w14:paraId="6EBDA8FC" w14:textId="77777777" w:rsidR="002D5213" w:rsidRPr="00887835" w:rsidRDefault="00E453CD" w:rsidP="00D00F56">
            <w:pPr>
              <w:keepNext/>
              <w:numPr>
                <w:ilvl w:val="12"/>
                <w:numId w:val="0"/>
              </w:numPr>
              <w:ind w:right="-2"/>
              <w:rPr>
                <w:sz w:val="22"/>
                <w:szCs w:val="22"/>
              </w:rPr>
            </w:pPr>
            <w:r>
              <w:rPr>
                <w:sz w:val="22"/>
                <w:szCs w:val="22"/>
              </w:rPr>
              <w:t>Voksne</w:t>
            </w:r>
          </w:p>
          <w:p w14:paraId="7D08CB39" w14:textId="77777777" w:rsidR="002D5213" w:rsidRPr="00887835" w:rsidRDefault="002D5213" w:rsidP="00D00F56">
            <w:pPr>
              <w:keepNext/>
              <w:numPr>
                <w:ilvl w:val="12"/>
                <w:numId w:val="0"/>
              </w:numPr>
              <w:ind w:right="-2"/>
              <w:rPr>
                <w:sz w:val="22"/>
                <w:szCs w:val="22"/>
                <w:lang w:val="en-GB"/>
              </w:rPr>
            </w:pPr>
          </w:p>
        </w:tc>
        <w:tc>
          <w:tcPr>
            <w:tcW w:w="3094" w:type="dxa"/>
          </w:tcPr>
          <w:p w14:paraId="55693753" w14:textId="77777777" w:rsidR="002D5213" w:rsidRPr="00887835" w:rsidRDefault="00E453CD" w:rsidP="00D00F56">
            <w:pPr>
              <w:keepNext/>
              <w:numPr>
                <w:ilvl w:val="12"/>
                <w:numId w:val="0"/>
              </w:numPr>
              <w:ind w:right="-2"/>
              <w:rPr>
                <w:sz w:val="22"/>
                <w:szCs w:val="22"/>
              </w:rPr>
            </w:pPr>
            <w:r w:rsidRPr="00887835">
              <w:rPr>
                <w:sz w:val="22"/>
                <w:szCs w:val="22"/>
              </w:rPr>
              <w:t xml:space="preserve">Første dose på 80 mg (to 40 mg injeksjoner </w:t>
            </w:r>
            <w:r w:rsidR="00062568" w:rsidRPr="00887835">
              <w:rPr>
                <w:sz w:val="22"/>
                <w:szCs w:val="22"/>
              </w:rPr>
              <w:t>på én dag</w:t>
            </w:r>
            <w:r w:rsidRPr="00887835">
              <w:rPr>
                <w:sz w:val="22"/>
                <w:szCs w:val="22"/>
              </w:rPr>
              <w:t xml:space="preserve">), </w:t>
            </w:r>
            <w:r w:rsidR="00062568" w:rsidRPr="00887835">
              <w:rPr>
                <w:sz w:val="22"/>
                <w:szCs w:val="22"/>
              </w:rPr>
              <w:t>etterfulgt av</w:t>
            </w:r>
            <w:r w:rsidRPr="00887835">
              <w:rPr>
                <w:sz w:val="22"/>
                <w:szCs w:val="22"/>
              </w:rPr>
              <w:t xml:space="preserve"> 40 mg </w:t>
            </w:r>
            <w:r w:rsidR="00062568" w:rsidRPr="00887835">
              <w:rPr>
                <w:sz w:val="22"/>
                <w:szCs w:val="22"/>
              </w:rPr>
              <w:t>annenhver uke</w:t>
            </w:r>
            <w:r w:rsidRPr="00887835">
              <w:rPr>
                <w:sz w:val="22"/>
                <w:szCs w:val="22"/>
              </w:rPr>
              <w:t xml:space="preserve"> </w:t>
            </w:r>
            <w:r w:rsidR="00062568" w:rsidRPr="00062568">
              <w:rPr>
                <w:sz w:val="22"/>
                <w:szCs w:val="22"/>
              </w:rPr>
              <w:t>som starter en uke etter den første dosen</w:t>
            </w:r>
            <w:r w:rsidRPr="00887835">
              <w:rPr>
                <w:sz w:val="22"/>
                <w:szCs w:val="22"/>
              </w:rPr>
              <w:t>.</w:t>
            </w:r>
          </w:p>
        </w:tc>
        <w:tc>
          <w:tcPr>
            <w:tcW w:w="3094" w:type="dxa"/>
          </w:tcPr>
          <w:p w14:paraId="407C6177" w14:textId="77777777" w:rsidR="002D5213" w:rsidRPr="00887835" w:rsidRDefault="00E453CD">
            <w:pPr>
              <w:keepNext/>
              <w:spacing w:before="100" w:beforeAutospacing="1" w:after="100" w:afterAutospacing="1"/>
              <w:rPr>
                <w:sz w:val="22"/>
                <w:szCs w:val="22"/>
              </w:rPr>
            </w:pPr>
            <w:r>
              <w:rPr>
                <w:sz w:val="22"/>
                <w:szCs w:val="22"/>
              </w:rPr>
              <w:t>Dersom du har en utilstrekkelig respons kan l</w:t>
            </w:r>
            <w:r w:rsidRPr="00887835">
              <w:rPr>
                <w:sz w:val="22"/>
                <w:szCs w:val="22"/>
              </w:rPr>
              <w:t>egen din øke dosering</w:t>
            </w:r>
            <w:r w:rsidR="008A3FFA">
              <w:rPr>
                <w:sz w:val="22"/>
                <w:szCs w:val="22"/>
              </w:rPr>
              <w:t>en</w:t>
            </w:r>
            <w:r w:rsidR="00E81926">
              <w:rPr>
                <w:sz w:val="22"/>
                <w:szCs w:val="22"/>
              </w:rPr>
              <w:t xml:space="preserve"> </w:t>
            </w:r>
            <w:r w:rsidRPr="00887835">
              <w:rPr>
                <w:sz w:val="22"/>
                <w:szCs w:val="22"/>
              </w:rPr>
              <w:t>til 40</w:t>
            </w:r>
            <w:r w:rsidR="008A3FFA">
              <w:rPr>
                <w:sz w:val="22"/>
                <w:szCs w:val="22"/>
              </w:rPr>
              <w:t> </w:t>
            </w:r>
            <w:r w:rsidRPr="00887835">
              <w:rPr>
                <w:sz w:val="22"/>
                <w:szCs w:val="22"/>
              </w:rPr>
              <w:t xml:space="preserve">mg </w:t>
            </w:r>
            <w:r>
              <w:rPr>
                <w:sz w:val="22"/>
                <w:szCs w:val="22"/>
              </w:rPr>
              <w:t>hver uke</w:t>
            </w:r>
            <w:r w:rsidR="0032142D">
              <w:rPr>
                <w:sz w:val="22"/>
                <w:szCs w:val="22"/>
              </w:rPr>
              <w:t xml:space="preserve"> eller 80</w:t>
            </w:r>
            <w:r w:rsidR="008A3FFA">
              <w:rPr>
                <w:sz w:val="22"/>
                <w:szCs w:val="22"/>
              </w:rPr>
              <w:t> </w:t>
            </w:r>
            <w:r w:rsidR="0032142D">
              <w:rPr>
                <w:sz w:val="22"/>
                <w:szCs w:val="22"/>
              </w:rPr>
              <w:t>mg annenhver uke</w:t>
            </w:r>
            <w:r w:rsidRPr="00887835">
              <w:rPr>
                <w:sz w:val="22"/>
                <w:szCs w:val="22"/>
              </w:rPr>
              <w:t>.</w:t>
            </w:r>
          </w:p>
        </w:tc>
      </w:tr>
      <w:tr w:rsidR="004644D4" w14:paraId="1C51BE64" w14:textId="77777777" w:rsidTr="002D5213">
        <w:tc>
          <w:tcPr>
            <w:tcW w:w="3093" w:type="dxa"/>
          </w:tcPr>
          <w:p w14:paraId="565D6CC1" w14:textId="77777777" w:rsidR="00033CCB" w:rsidRPr="00887835" w:rsidRDefault="00E453CD" w:rsidP="00033CCB">
            <w:pPr>
              <w:numPr>
                <w:ilvl w:val="12"/>
                <w:numId w:val="0"/>
              </w:numPr>
              <w:ind w:right="-2"/>
              <w:rPr>
                <w:sz w:val="22"/>
                <w:szCs w:val="22"/>
              </w:rPr>
            </w:pPr>
            <w:r w:rsidRPr="00D22D58">
              <w:rPr>
                <w:sz w:val="22"/>
              </w:rPr>
              <w:t>Barn</w:t>
            </w:r>
            <w:r>
              <w:rPr>
                <w:sz w:val="22"/>
              </w:rPr>
              <w:t xml:space="preserve"> og </w:t>
            </w:r>
            <w:r w:rsidRPr="00D22D58">
              <w:rPr>
                <w:sz w:val="22"/>
              </w:rPr>
              <w:t xml:space="preserve">ungdom fra </w:t>
            </w:r>
            <w:r>
              <w:rPr>
                <w:sz w:val="22"/>
              </w:rPr>
              <w:t>4 til 17</w:t>
            </w:r>
            <w:r w:rsidRPr="00D22D58">
              <w:rPr>
                <w:sz w:val="22"/>
              </w:rPr>
              <w:t xml:space="preserve"> år som veier 30 kg </w:t>
            </w:r>
            <w:r>
              <w:rPr>
                <w:sz w:val="22"/>
              </w:rPr>
              <w:t>eller mer</w:t>
            </w:r>
            <w:r>
              <w:rPr>
                <w:sz w:val="22"/>
                <w:szCs w:val="22"/>
              </w:rPr>
              <w:t xml:space="preserve"> </w:t>
            </w:r>
          </w:p>
        </w:tc>
        <w:tc>
          <w:tcPr>
            <w:tcW w:w="3094" w:type="dxa"/>
          </w:tcPr>
          <w:p w14:paraId="592211B0" w14:textId="77777777" w:rsidR="00033CCB" w:rsidRDefault="00E453CD" w:rsidP="00392F46">
            <w:pPr>
              <w:keepNext/>
              <w:numPr>
                <w:ilvl w:val="12"/>
                <w:numId w:val="0"/>
              </w:numPr>
              <w:ind w:right="-2"/>
              <w:rPr>
                <w:sz w:val="22"/>
                <w:szCs w:val="22"/>
              </w:rPr>
            </w:pPr>
            <w:r w:rsidRPr="00887835">
              <w:rPr>
                <w:sz w:val="22"/>
                <w:szCs w:val="22"/>
              </w:rPr>
              <w:t xml:space="preserve">Første dose på </w:t>
            </w:r>
            <w:r>
              <w:rPr>
                <w:sz w:val="22"/>
                <w:szCs w:val="22"/>
              </w:rPr>
              <w:t>40</w:t>
            </w:r>
            <w:r w:rsidRPr="00887835">
              <w:rPr>
                <w:sz w:val="22"/>
                <w:szCs w:val="22"/>
              </w:rPr>
              <w:t xml:space="preserve"> mg, etterfulgt av 40</w:t>
            </w:r>
            <w:r>
              <w:rPr>
                <w:sz w:val="22"/>
                <w:szCs w:val="22"/>
              </w:rPr>
              <w:t xml:space="preserve"> mg en uke senere.</w:t>
            </w:r>
          </w:p>
          <w:p w14:paraId="0B0D6428" w14:textId="77777777" w:rsidR="00033CCB" w:rsidRDefault="00033CCB" w:rsidP="00392F46">
            <w:pPr>
              <w:keepNext/>
              <w:numPr>
                <w:ilvl w:val="12"/>
                <w:numId w:val="0"/>
              </w:numPr>
              <w:ind w:right="-2"/>
              <w:rPr>
                <w:sz w:val="22"/>
                <w:szCs w:val="22"/>
              </w:rPr>
            </w:pPr>
          </w:p>
          <w:p w14:paraId="1BC8167E" w14:textId="77777777" w:rsidR="00033CCB" w:rsidRPr="00887835" w:rsidRDefault="00E453CD" w:rsidP="002D5213">
            <w:pPr>
              <w:numPr>
                <w:ilvl w:val="12"/>
                <w:numId w:val="0"/>
              </w:numPr>
              <w:ind w:right="-2"/>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p>
        </w:tc>
        <w:tc>
          <w:tcPr>
            <w:tcW w:w="3094" w:type="dxa"/>
          </w:tcPr>
          <w:p w14:paraId="6613AFF2" w14:textId="77777777" w:rsidR="00033CCB" w:rsidRPr="00887835" w:rsidRDefault="00E453CD" w:rsidP="001850A1">
            <w:pPr>
              <w:numPr>
                <w:ilvl w:val="12"/>
                <w:numId w:val="0"/>
              </w:numPr>
              <w:ind w:right="-2"/>
              <w:rPr>
                <w:sz w:val="22"/>
                <w:szCs w:val="22"/>
              </w:rPr>
            </w:pPr>
            <w:r>
              <w:rPr>
                <w:sz w:val="22"/>
                <w:szCs w:val="22"/>
                <w:lang w:val="en-GB"/>
              </w:rPr>
              <w:t>Ikke aktuelt</w:t>
            </w:r>
          </w:p>
        </w:tc>
      </w:tr>
      <w:tr w:rsidR="004644D4" w14:paraId="4CFC8AFC" w14:textId="77777777" w:rsidTr="002D5213">
        <w:tc>
          <w:tcPr>
            <w:tcW w:w="3093" w:type="dxa"/>
          </w:tcPr>
          <w:p w14:paraId="0701D640" w14:textId="77777777" w:rsidR="00033CCB" w:rsidRPr="00887835" w:rsidRDefault="00E453CD" w:rsidP="00684DB9">
            <w:pPr>
              <w:numPr>
                <w:ilvl w:val="12"/>
                <w:numId w:val="0"/>
              </w:numPr>
              <w:ind w:right="-2"/>
              <w:rPr>
                <w:sz w:val="22"/>
                <w:szCs w:val="22"/>
              </w:rPr>
            </w:pPr>
            <w:r w:rsidRPr="00D22D58">
              <w:rPr>
                <w:sz w:val="22"/>
              </w:rPr>
              <w:t xml:space="preserve">Barn og ungdom fra </w:t>
            </w:r>
            <w:r>
              <w:rPr>
                <w:sz w:val="22"/>
              </w:rPr>
              <w:t>4 til 17</w:t>
            </w:r>
            <w:r w:rsidRPr="00D22D58">
              <w:rPr>
                <w:sz w:val="22"/>
              </w:rPr>
              <w:t xml:space="preserve"> år som veier </w:t>
            </w:r>
            <w:r>
              <w:rPr>
                <w:sz w:val="22"/>
              </w:rPr>
              <w:t>15</w:t>
            </w:r>
            <w:r w:rsidRPr="00D22D58">
              <w:rPr>
                <w:sz w:val="22"/>
              </w:rPr>
              <w:t xml:space="preserve"> kg </w:t>
            </w:r>
            <w:r>
              <w:rPr>
                <w:sz w:val="22"/>
              </w:rPr>
              <w:t xml:space="preserve">til </w:t>
            </w:r>
            <w:r w:rsidR="00684DB9">
              <w:rPr>
                <w:sz w:val="22"/>
              </w:rPr>
              <w:t>under</w:t>
            </w:r>
            <w:r w:rsidRPr="00D22D58">
              <w:rPr>
                <w:sz w:val="22"/>
              </w:rPr>
              <w:t xml:space="preserve"> 30 kg</w:t>
            </w:r>
          </w:p>
        </w:tc>
        <w:tc>
          <w:tcPr>
            <w:tcW w:w="3094" w:type="dxa"/>
          </w:tcPr>
          <w:p w14:paraId="6C851982" w14:textId="77777777" w:rsidR="00033CCB" w:rsidRDefault="00E453CD" w:rsidP="00392F46">
            <w:pPr>
              <w:keepNext/>
              <w:numPr>
                <w:ilvl w:val="12"/>
                <w:numId w:val="0"/>
              </w:numPr>
              <w:ind w:right="-2"/>
              <w:rPr>
                <w:sz w:val="22"/>
                <w:szCs w:val="22"/>
              </w:rPr>
            </w:pPr>
            <w:r w:rsidRPr="00887835">
              <w:rPr>
                <w:sz w:val="22"/>
                <w:szCs w:val="22"/>
              </w:rPr>
              <w:t xml:space="preserve">Første dose på </w:t>
            </w:r>
            <w:r>
              <w:rPr>
                <w:sz w:val="22"/>
                <w:szCs w:val="22"/>
              </w:rPr>
              <w:t>20</w:t>
            </w:r>
            <w:r w:rsidRPr="00887835">
              <w:rPr>
                <w:sz w:val="22"/>
                <w:szCs w:val="22"/>
              </w:rPr>
              <w:t xml:space="preserve"> mg, etterfulgt av </w:t>
            </w:r>
            <w:r>
              <w:rPr>
                <w:sz w:val="22"/>
                <w:szCs w:val="22"/>
              </w:rPr>
              <w:t>2</w:t>
            </w:r>
            <w:r w:rsidRPr="00887835">
              <w:rPr>
                <w:sz w:val="22"/>
                <w:szCs w:val="22"/>
              </w:rPr>
              <w:t>0</w:t>
            </w:r>
            <w:r>
              <w:rPr>
                <w:sz w:val="22"/>
                <w:szCs w:val="22"/>
              </w:rPr>
              <w:t xml:space="preserve"> mg en uke senere.</w:t>
            </w:r>
          </w:p>
          <w:p w14:paraId="49307C46" w14:textId="77777777" w:rsidR="00033CCB" w:rsidRDefault="00033CCB" w:rsidP="00392F46">
            <w:pPr>
              <w:keepNext/>
              <w:numPr>
                <w:ilvl w:val="12"/>
                <w:numId w:val="0"/>
              </w:numPr>
              <w:ind w:right="-2"/>
              <w:rPr>
                <w:sz w:val="22"/>
                <w:szCs w:val="22"/>
              </w:rPr>
            </w:pPr>
          </w:p>
          <w:p w14:paraId="641C6092" w14:textId="77777777" w:rsidR="00033CCB" w:rsidRPr="00887835" w:rsidRDefault="00E453CD" w:rsidP="002D5213">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2</w:t>
            </w:r>
            <w:r w:rsidRPr="004C7F6D">
              <w:rPr>
                <w:sz w:val="22"/>
                <w:szCs w:val="22"/>
              </w:rPr>
              <w:t>0 mg annenhver uke.</w:t>
            </w:r>
          </w:p>
        </w:tc>
        <w:tc>
          <w:tcPr>
            <w:tcW w:w="3094" w:type="dxa"/>
          </w:tcPr>
          <w:p w14:paraId="2FB1A465" w14:textId="77777777" w:rsidR="00033CCB" w:rsidRPr="00887835" w:rsidRDefault="00E453CD" w:rsidP="001850A1">
            <w:pPr>
              <w:numPr>
                <w:ilvl w:val="12"/>
                <w:numId w:val="0"/>
              </w:numPr>
              <w:ind w:right="-2"/>
              <w:rPr>
                <w:sz w:val="22"/>
                <w:szCs w:val="22"/>
              </w:rPr>
            </w:pPr>
            <w:r>
              <w:rPr>
                <w:sz w:val="22"/>
                <w:szCs w:val="22"/>
                <w:lang w:val="en-GB"/>
              </w:rPr>
              <w:t>Ikke aktuelt</w:t>
            </w:r>
          </w:p>
        </w:tc>
      </w:tr>
    </w:tbl>
    <w:p w14:paraId="0F6CCCA7" w14:textId="77777777" w:rsidR="00D20B49" w:rsidRPr="009C5EFD" w:rsidRDefault="00D20B49" w:rsidP="00802544">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5"/>
        <w:gridCol w:w="3023"/>
      </w:tblGrid>
      <w:tr w:rsidR="004644D4" w14:paraId="340F1F41" w14:textId="77777777" w:rsidTr="00062568">
        <w:tc>
          <w:tcPr>
            <w:tcW w:w="9281" w:type="dxa"/>
            <w:gridSpan w:val="3"/>
          </w:tcPr>
          <w:p w14:paraId="5BF3D3BF" w14:textId="77777777" w:rsidR="00062568" w:rsidRPr="00887835" w:rsidRDefault="00E453CD" w:rsidP="00802544">
            <w:pPr>
              <w:keepNext/>
              <w:numPr>
                <w:ilvl w:val="12"/>
                <w:numId w:val="0"/>
              </w:numPr>
              <w:ind w:right="-2"/>
              <w:rPr>
                <w:b/>
                <w:sz w:val="22"/>
                <w:szCs w:val="22"/>
                <w:lang w:val="en-GB"/>
              </w:rPr>
            </w:pPr>
            <w:r>
              <w:rPr>
                <w:b/>
                <w:sz w:val="22"/>
                <w:szCs w:val="22"/>
              </w:rPr>
              <w:lastRenderedPageBreak/>
              <w:t>H</w:t>
            </w:r>
            <w:r w:rsidRPr="00062568">
              <w:rPr>
                <w:b/>
                <w:sz w:val="22"/>
                <w:szCs w:val="22"/>
              </w:rPr>
              <w:t>idrosadenitt</w:t>
            </w:r>
          </w:p>
        </w:tc>
      </w:tr>
      <w:tr w:rsidR="004644D4" w14:paraId="74BA0453" w14:textId="77777777" w:rsidTr="00062568">
        <w:tc>
          <w:tcPr>
            <w:tcW w:w="3093" w:type="dxa"/>
          </w:tcPr>
          <w:p w14:paraId="432EC46C" w14:textId="77777777" w:rsidR="00062568" w:rsidRPr="00887835" w:rsidRDefault="00E453CD" w:rsidP="00802544">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74324BD5" w14:textId="77777777" w:rsidR="00062568" w:rsidRPr="00887835" w:rsidRDefault="00E453CD" w:rsidP="00802544">
            <w:pPr>
              <w:keepNext/>
              <w:numPr>
                <w:ilvl w:val="12"/>
                <w:numId w:val="0"/>
              </w:numPr>
              <w:ind w:right="-2"/>
              <w:rPr>
                <w:sz w:val="22"/>
                <w:szCs w:val="22"/>
              </w:rPr>
            </w:pPr>
            <w:r w:rsidRPr="007830E7">
              <w:rPr>
                <w:b/>
                <w:sz w:val="22"/>
                <w:szCs w:val="22"/>
              </w:rPr>
              <w:t xml:space="preserve">Hvor mye og hvor ofte du </w:t>
            </w:r>
            <w:r w:rsidR="003D2742">
              <w:rPr>
                <w:b/>
                <w:sz w:val="22"/>
                <w:szCs w:val="22"/>
              </w:rPr>
              <w:t>skal ta</w:t>
            </w:r>
            <w:r w:rsidRPr="007830E7">
              <w:rPr>
                <w:b/>
                <w:sz w:val="22"/>
                <w:szCs w:val="22"/>
              </w:rPr>
              <w:t>?</w:t>
            </w:r>
          </w:p>
        </w:tc>
        <w:tc>
          <w:tcPr>
            <w:tcW w:w="3094" w:type="dxa"/>
          </w:tcPr>
          <w:p w14:paraId="48941A19" w14:textId="77777777" w:rsidR="00062568" w:rsidRPr="00887835" w:rsidRDefault="00E453CD" w:rsidP="00802544">
            <w:pPr>
              <w:keepNext/>
              <w:numPr>
                <w:ilvl w:val="12"/>
                <w:numId w:val="0"/>
              </w:numPr>
              <w:ind w:right="-2"/>
              <w:rPr>
                <w:sz w:val="22"/>
                <w:szCs w:val="22"/>
                <w:lang w:val="en-GB"/>
              </w:rPr>
            </w:pPr>
            <w:r w:rsidRPr="007830E7">
              <w:rPr>
                <w:b/>
                <w:sz w:val="22"/>
                <w:szCs w:val="22"/>
                <w:lang w:val="en-US"/>
              </w:rPr>
              <w:t>Merknader</w:t>
            </w:r>
          </w:p>
        </w:tc>
      </w:tr>
      <w:tr w:rsidR="004644D4" w14:paraId="09770222" w14:textId="77777777" w:rsidTr="00062568">
        <w:tc>
          <w:tcPr>
            <w:tcW w:w="3093" w:type="dxa"/>
          </w:tcPr>
          <w:p w14:paraId="1F44DCCA" w14:textId="77777777" w:rsidR="00062568" w:rsidRPr="00887835" w:rsidRDefault="00E453CD" w:rsidP="00802544">
            <w:pPr>
              <w:keepNext/>
              <w:numPr>
                <w:ilvl w:val="12"/>
                <w:numId w:val="0"/>
              </w:numPr>
              <w:ind w:right="-2"/>
              <w:rPr>
                <w:sz w:val="22"/>
                <w:szCs w:val="22"/>
                <w:lang w:val="en-GB"/>
              </w:rPr>
            </w:pPr>
            <w:r>
              <w:rPr>
                <w:sz w:val="22"/>
                <w:szCs w:val="22"/>
                <w:lang w:val="en-GB"/>
              </w:rPr>
              <w:t>Voksne</w:t>
            </w:r>
          </w:p>
        </w:tc>
        <w:tc>
          <w:tcPr>
            <w:tcW w:w="3094" w:type="dxa"/>
          </w:tcPr>
          <w:p w14:paraId="2FD6F5F2" w14:textId="77777777" w:rsidR="00062568" w:rsidRPr="00887835" w:rsidRDefault="00E453CD" w:rsidP="008A3FFA">
            <w:pPr>
              <w:keepNext/>
              <w:numPr>
                <w:ilvl w:val="12"/>
                <w:numId w:val="0"/>
              </w:numPr>
              <w:ind w:right="-2"/>
              <w:rPr>
                <w:sz w:val="22"/>
                <w:szCs w:val="22"/>
              </w:rPr>
            </w:pPr>
            <w:r w:rsidRPr="00887835">
              <w:rPr>
                <w:sz w:val="22"/>
                <w:szCs w:val="22"/>
              </w:rPr>
              <w:t>Første dose på 160 mg (fire 40</w:t>
            </w:r>
            <w:r w:rsidR="008A3FFA">
              <w:rPr>
                <w:sz w:val="22"/>
                <w:szCs w:val="22"/>
              </w:rPr>
              <w:t> </w:t>
            </w:r>
            <w:r w:rsidRPr="00887835">
              <w:rPr>
                <w:sz w:val="22"/>
                <w:szCs w:val="22"/>
              </w:rPr>
              <w:t xml:space="preserve">mg </w:t>
            </w:r>
            <w:r w:rsidRPr="00062568">
              <w:rPr>
                <w:sz w:val="22"/>
                <w:szCs w:val="22"/>
              </w:rPr>
              <w:t>injeksjoner på én dag</w:t>
            </w:r>
            <w:r w:rsidRPr="00887835">
              <w:rPr>
                <w:sz w:val="22"/>
                <w:szCs w:val="22"/>
              </w:rPr>
              <w:t xml:space="preserve"> eller to 40</w:t>
            </w:r>
            <w:r w:rsidR="008A3FFA">
              <w:rPr>
                <w:sz w:val="22"/>
                <w:szCs w:val="22"/>
              </w:rPr>
              <w:t> </w:t>
            </w:r>
            <w:r w:rsidRPr="00887835">
              <w:rPr>
                <w:sz w:val="22"/>
                <w:szCs w:val="22"/>
              </w:rPr>
              <w:t xml:space="preserve">mg injeksjoner daglig </w:t>
            </w:r>
            <w:r w:rsidR="00953ADC">
              <w:rPr>
                <w:sz w:val="22"/>
                <w:szCs w:val="22"/>
              </w:rPr>
              <w:t>i</w:t>
            </w:r>
            <w:r w:rsidRPr="00887835">
              <w:rPr>
                <w:sz w:val="22"/>
                <w:szCs w:val="22"/>
              </w:rPr>
              <w:t xml:space="preserve"> to påfølgende dager), </w:t>
            </w:r>
            <w:r>
              <w:rPr>
                <w:sz w:val="22"/>
                <w:szCs w:val="22"/>
              </w:rPr>
              <w:t>etterfulgt av en</w:t>
            </w:r>
            <w:r w:rsidRPr="00887835">
              <w:rPr>
                <w:sz w:val="22"/>
                <w:szCs w:val="22"/>
              </w:rPr>
              <w:t xml:space="preserve"> 80 mg dose (</w:t>
            </w:r>
            <w:r w:rsidRPr="004C7F6D">
              <w:rPr>
                <w:sz w:val="22"/>
                <w:szCs w:val="22"/>
              </w:rPr>
              <w:t>to 40</w:t>
            </w:r>
            <w:r w:rsidR="008A3FFA">
              <w:rPr>
                <w:sz w:val="22"/>
                <w:szCs w:val="22"/>
              </w:rPr>
              <w:t> </w:t>
            </w:r>
            <w:r w:rsidRPr="004C7F6D">
              <w:rPr>
                <w:sz w:val="22"/>
                <w:szCs w:val="22"/>
              </w:rPr>
              <w:t>mg injeksjoner på én dag</w:t>
            </w:r>
            <w:r w:rsidRPr="00887835">
              <w:rPr>
                <w:sz w:val="22"/>
                <w:szCs w:val="22"/>
              </w:rPr>
              <w:t xml:space="preserve">) </w:t>
            </w:r>
            <w:r>
              <w:rPr>
                <w:sz w:val="22"/>
                <w:szCs w:val="22"/>
              </w:rPr>
              <w:t>to uker senere</w:t>
            </w:r>
            <w:r w:rsidRPr="00887835">
              <w:rPr>
                <w:sz w:val="22"/>
                <w:szCs w:val="22"/>
              </w:rPr>
              <w:t xml:space="preserve">. </w:t>
            </w:r>
            <w:r w:rsidR="00861F89" w:rsidRPr="00887835">
              <w:rPr>
                <w:sz w:val="22"/>
                <w:szCs w:val="22"/>
              </w:rPr>
              <w:t>Etter</w:t>
            </w:r>
            <w:r w:rsidR="00861F89" w:rsidRPr="00861F89">
              <w:rPr>
                <w:sz w:val="22"/>
                <w:szCs w:val="22"/>
              </w:rPr>
              <w:t xml:space="preserve"> ytterligere to uker, fortsette</w:t>
            </w:r>
            <w:r w:rsidR="00861F89">
              <w:rPr>
                <w:sz w:val="22"/>
                <w:szCs w:val="22"/>
              </w:rPr>
              <w:t>r du</w:t>
            </w:r>
            <w:r w:rsidR="00861F89" w:rsidRPr="00887835">
              <w:rPr>
                <w:sz w:val="22"/>
                <w:szCs w:val="22"/>
              </w:rPr>
              <w:t xml:space="preserve"> med en dose på 40</w:t>
            </w:r>
            <w:r w:rsidR="008A3FFA">
              <w:rPr>
                <w:sz w:val="22"/>
                <w:szCs w:val="22"/>
              </w:rPr>
              <w:t> </w:t>
            </w:r>
            <w:r w:rsidR="00861F89" w:rsidRPr="00887835">
              <w:rPr>
                <w:sz w:val="22"/>
                <w:szCs w:val="22"/>
              </w:rPr>
              <w:t>mg hver uke</w:t>
            </w:r>
            <w:r w:rsidR="0032142D">
              <w:rPr>
                <w:sz w:val="22"/>
                <w:szCs w:val="22"/>
              </w:rPr>
              <w:t xml:space="preserve"> eller 80</w:t>
            </w:r>
            <w:r w:rsidR="008A3FFA">
              <w:rPr>
                <w:sz w:val="22"/>
                <w:szCs w:val="22"/>
              </w:rPr>
              <w:t> </w:t>
            </w:r>
            <w:r w:rsidR="0032142D">
              <w:rPr>
                <w:sz w:val="22"/>
                <w:szCs w:val="22"/>
              </w:rPr>
              <w:t>mg annenhver uke, som forskrevet av legen din</w:t>
            </w:r>
            <w:r w:rsidR="00861F89" w:rsidRPr="00887835">
              <w:rPr>
                <w:sz w:val="22"/>
                <w:szCs w:val="22"/>
              </w:rPr>
              <w:t>.</w:t>
            </w:r>
            <w:r w:rsidRPr="00887835">
              <w:rPr>
                <w:sz w:val="22"/>
                <w:szCs w:val="22"/>
              </w:rPr>
              <w:t xml:space="preserve"> </w:t>
            </w:r>
          </w:p>
        </w:tc>
        <w:tc>
          <w:tcPr>
            <w:tcW w:w="3094" w:type="dxa"/>
          </w:tcPr>
          <w:p w14:paraId="64A6001B" w14:textId="77777777" w:rsidR="00062568" w:rsidRPr="00887835" w:rsidRDefault="00E453CD" w:rsidP="00802544">
            <w:pPr>
              <w:pStyle w:val="gtcbodytext"/>
              <w:keepNext/>
              <w:spacing w:before="100" w:beforeAutospacing="1" w:after="100" w:afterAutospacing="1" w:line="240" w:lineRule="auto"/>
              <w:rPr>
                <w:sz w:val="22"/>
                <w:szCs w:val="22"/>
                <w:lang w:val="nb-NO"/>
              </w:rPr>
            </w:pPr>
            <w:r w:rsidRPr="00887835">
              <w:rPr>
                <w:sz w:val="22"/>
                <w:szCs w:val="22"/>
                <w:lang w:val="nb-NO"/>
              </w:rPr>
              <w:t>Det anbefales at du bruker en antiseptisk vask daglig på de berørte områdene.</w:t>
            </w:r>
          </w:p>
          <w:p w14:paraId="4F5EF8AE" w14:textId="77777777" w:rsidR="00062568" w:rsidRPr="00887835" w:rsidRDefault="00062568" w:rsidP="00802544">
            <w:pPr>
              <w:keepNext/>
              <w:numPr>
                <w:ilvl w:val="12"/>
                <w:numId w:val="0"/>
              </w:numPr>
              <w:ind w:right="-2"/>
              <w:rPr>
                <w:sz w:val="22"/>
                <w:szCs w:val="22"/>
              </w:rPr>
            </w:pPr>
          </w:p>
        </w:tc>
      </w:tr>
      <w:tr w:rsidR="004644D4" w14:paraId="075F427A" w14:textId="77777777" w:rsidTr="00062568">
        <w:tc>
          <w:tcPr>
            <w:tcW w:w="3093" w:type="dxa"/>
          </w:tcPr>
          <w:p w14:paraId="35997A70" w14:textId="77777777" w:rsidR="00F635CA" w:rsidRPr="00DA6326" w:rsidRDefault="00E453CD" w:rsidP="00033CCB">
            <w:pPr>
              <w:numPr>
                <w:ilvl w:val="12"/>
                <w:numId w:val="0"/>
              </w:numPr>
              <w:ind w:right="-2"/>
              <w:rPr>
                <w:sz w:val="22"/>
                <w:szCs w:val="22"/>
              </w:rPr>
            </w:pPr>
            <w:r w:rsidRPr="00F635CA">
              <w:rPr>
                <w:sz w:val="22"/>
                <w:szCs w:val="22"/>
              </w:rPr>
              <w:t xml:space="preserve">Ungdom fra 12 </w:t>
            </w:r>
            <w:r w:rsidR="00033CCB">
              <w:rPr>
                <w:sz w:val="22"/>
                <w:szCs w:val="22"/>
              </w:rPr>
              <w:t xml:space="preserve">til 17 </w:t>
            </w:r>
            <w:r w:rsidRPr="00F635CA">
              <w:rPr>
                <w:sz w:val="22"/>
                <w:szCs w:val="22"/>
              </w:rPr>
              <w:t xml:space="preserve">år </w:t>
            </w:r>
            <w:r w:rsidR="00033CCB">
              <w:rPr>
                <w:sz w:val="22"/>
                <w:szCs w:val="22"/>
              </w:rPr>
              <w:t xml:space="preserve">som veier </w:t>
            </w:r>
            <w:r w:rsidRPr="00F635CA">
              <w:rPr>
                <w:sz w:val="22"/>
                <w:szCs w:val="22"/>
              </w:rPr>
              <w:t>30 kg</w:t>
            </w:r>
            <w:r w:rsidR="00033CCB">
              <w:rPr>
                <w:sz w:val="22"/>
                <w:szCs w:val="22"/>
              </w:rPr>
              <w:t xml:space="preserve"> eller mer</w:t>
            </w:r>
          </w:p>
        </w:tc>
        <w:tc>
          <w:tcPr>
            <w:tcW w:w="3094" w:type="dxa"/>
          </w:tcPr>
          <w:p w14:paraId="5BFAFB58" w14:textId="77777777" w:rsidR="00F635CA" w:rsidRPr="00F635CA" w:rsidRDefault="00E453CD" w:rsidP="00F635CA">
            <w:pPr>
              <w:numPr>
                <w:ilvl w:val="12"/>
                <w:numId w:val="0"/>
              </w:numPr>
              <w:ind w:right="-2"/>
              <w:rPr>
                <w:sz w:val="22"/>
                <w:szCs w:val="22"/>
              </w:rPr>
            </w:pPr>
            <w:r>
              <w:rPr>
                <w:sz w:val="22"/>
                <w:szCs w:val="22"/>
              </w:rPr>
              <w:t>Første</w:t>
            </w:r>
            <w:r w:rsidRPr="00F635CA">
              <w:rPr>
                <w:sz w:val="22"/>
                <w:szCs w:val="22"/>
              </w:rPr>
              <w:t xml:space="preserve"> dose på 80 mg (</w:t>
            </w:r>
            <w:r>
              <w:rPr>
                <w:sz w:val="22"/>
                <w:szCs w:val="22"/>
              </w:rPr>
              <w:t>to</w:t>
            </w:r>
            <w:r w:rsidRPr="00F635CA">
              <w:rPr>
                <w:sz w:val="22"/>
                <w:szCs w:val="22"/>
              </w:rPr>
              <w:t xml:space="preserve"> 40 mg injeksjoner på </w:t>
            </w:r>
            <w:r>
              <w:rPr>
                <w:sz w:val="22"/>
                <w:szCs w:val="22"/>
              </w:rPr>
              <w:t>én</w:t>
            </w:r>
            <w:r w:rsidRPr="00F635CA">
              <w:rPr>
                <w:sz w:val="22"/>
                <w:szCs w:val="22"/>
              </w:rPr>
              <w:t xml:space="preserve"> dag), etterfulgt av 40 mg annenhver uke fra en uke senere. </w:t>
            </w:r>
          </w:p>
          <w:p w14:paraId="468944F2" w14:textId="77777777" w:rsidR="00F635CA" w:rsidRPr="00F635CA" w:rsidRDefault="00F635CA" w:rsidP="00F635CA">
            <w:pPr>
              <w:numPr>
                <w:ilvl w:val="12"/>
                <w:numId w:val="0"/>
              </w:numPr>
              <w:ind w:right="-2"/>
              <w:rPr>
                <w:sz w:val="22"/>
                <w:szCs w:val="22"/>
              </w:rPr>
            </w:pPr>
          </w:p>
          <w:p w14:paraId="1B26D9EC" w14:textId="77777777" w:rsidR="00F635CA" w:rsidRPr="00887835" w:rsidRDefault="00F635CA" w:rsidP="00F635CA">
            <w:pPr>
              <w:numPr>
                <w:ilvl w:val="12"/>
                <w:numId w:val="0"/>
              </w:numPr>
              <w:ind w:right="-2"/>
              <w:rPr>
                <w:sz w:val="22"/>
                <w:szCs w:val="22"/>
              </w:rPr>
            </w:pPr>
          </w:p>
        </w:tc>
        <w:tc>
          <w:tcPr>
            <w:tcW w:w="3094" w:type="dxa"/>
          </w:tcPr>
          <w:p w14:paraId="3C82FCB0" w14:textId="77777777" w:rsidR="0032142D" w:rsidRDefault="00E453CD">
            <w:pPr>
              <w:pStyle w:val="gtcbodytext"/>
              <w:spacing w:before="100" w:beforeAutospacing="1" w:after="100" w:afterAutospacing="1" w:line="240" w:lineRule="auto"/>
              <w:rPr>
                <w:sz w:val="22"/>
                <w:szCs w:val="22"/>
                <w:lang w:val="nb-NO"/>
              </w:rPr>
            </w:pPr>
            <w:r w:rsidRPr="00DA6326">
              <w:rPr>
                <w:sz w:val="22"/>
                <w:szCs w:val="22"/>
                <w:lang w:val="nb-NO"/>
              </w:rPr>
              <w:t>Legen din kan øke dosering</w:t>
            </w:r>
            <w:r>
              <w:rPr>
                <w:sz w:val="22"/>
                <w:szCs w:val="22"/>
                <w:lang w:val="nb-NO"/>
              </w:rPr>
              <w:t>en</w:t>
            </w:r>
            <w:r w:rsidRPr="00DA6326">
              <w:rPr>
                <w:sz w:val="22"/>
                <w:szCs w:val="22"/>
                <w:lang w:val="nb-NO"/>
              </w:rPr>
              <w:t xml:space="preserve"> til 40</w:t>
            </w:r>
            <w:r w:rsidR="008A3FFA">
              <w:rPr>
                <w:sz w:val="22"/>
                <w:szCs w:val="22"/>
                <w:lang w:val="nb-NO"/>
              </w:rPr>
              <w:t> </w:t>
            </w:r>
            <w:r w:rsidRPr="00DA6326">
              <w:rPr>
                <w:sz w:val="22"/>
                <w:szCs w:val="22"/>
                <w:lang w:val="nb-NO"/>
              </w:rPr>
              <w:t xml:space="preserve">mg hver uke </w:t>
            </w:r>
            <w:r>
              <w:rPr>
                <w:sz w:val="22"/>
                <w:szCs w:val="22"/>
                <w:lang w:val="nb-NO"/>
              </w:rPr>
              <w:t>eller 80</w:t>
            </w:r>
            <w:r w:rsidR="008A3FFA">
              <w:rPr>
                <w:sz w:val="22"/>
                <w:szCs w:val="22"/>
                <w:lang w:val="nb-NO"/>
              </w:rPr>
              <w:t> </w:t>
            </w:r>
            <w:r>
              <w:rPr>
                <w:sz w:val="22"/>
                <w:szCs w:val="22"/>
                <w:lang w:val="nb-NO"/>
              </w:rPr>
              <w:t xml:space="preserve">mg annenhver uke </w:t>
            </w:r>
            <w:r w:rsidRPr="00DA6326">
              <w:rPr>
                <w:sz w:val="22"/>
                <w:szCs w:val="22"/>
                <w:lang w:val="nb-NO"/>
              </w:rPr>
              <w:t>dersom du har utilstrekkelig respons</w:t>
            </w:r>
            <w:r>
              <w:rPr>
                <w:sz w:val="22"/>
                <w:szCs w:val="22"/>
                <w:lang w:val="nb-NO"/>
              </w:rPr>
              <w:t xml:space="preserve"> på 40</w:t>
            </w:r>
            <w:r w:rsidR="008A3FFA">
              <w:rPr>
                <w:sz w:val="22"/>
                <w:szCs w:val="22"/>
                <w:lang w:val="nb-NO"/>
              </w:rPr>
              <w:t> </w:t>
            </w:r>
            <w:r>
              <w:rPr>
                <w:sz w:val="22"/>
                <w:szCs w:val="22"/>
                <w:lang w:val="nb-NO"/>
              </w:rPr>
              <w:t xml:space="preserve">mg Humira </w:t>
            </w:r>
            <w:r w:rsidR="008A3FFA">
              <w:rPr>
                <w:sz w:val="22"/>
                <w:szCs w:val="22"/>
                <w:lang w:val="nb-NO"/>
              </w:rPr>
              <w:t>annen</w:t>
            </w:r>
            <w:r>
              <w:rPr>
                <w:sz w:val="22"/>
                <w:szCs w:val="22"/>
                <w:lang w:val="nb-NO"/>
              </w:rPr>
              <w:t>hver uke</w:t>
            </w:r>
            <w:r w:rsidRPr="00DA6326">
              <w:rPr>
                <w:sz w:val="22"/>
                <w:szCs w:val="22"/>
                <w:lang w:val="nb-NO"/>
              </w:rPr>
              <w:t>.</w:t>
            </w:r>
          </w:p>
          <w:p w14:paraId="0824D07F" w14:textId="77777777" w:rsidR="00F635CA" w:rsidRPr="00887835" w:rsidRDefault="00E453CD">
            <w:pPr>
              <w:pStyle w:val="gtcbodytext"/>
              <w:spacing w:before="100" w:beforeAutospacing="1" w:after="100" w:afterAutospacing="1" w:line="240" w:lineRule="auto"/>
              <w:rPr>
                <w:sz w:val="22"/>
                <w:szCs w:val="22"/>
                <w:lang w:val="nb-NO"/>
              </w:rPr>
            </w:pPr>
            <w:r w:rsidRPr="00DA6326">
              <w:rPr>
                <w:sz w:val="22"/>
                <w:szCs w:val="22"/>
                <w:lang w:val="nb-NO"/>
              </w:rPr>
              <w:t>Det anbefales at du bruker en antiseptisk vask daglig på de berørte områdene.</w:t>
            </w:r>
          </w:p>
        </w:tc>
      </w:tr>
    </w:tbl>
    <w:p w14:paraId="6C85E77B" w14:textId="77777777" w:rsidR="00D20B49" w:rsidRPr="00193D76" w:rsidRDefault="00D20B49" w:rsidP="0061743D">
      <w:pPr>
        <w:autoSpaceDE w:val="0"/>
        <w:autoSpaceDN w:val="0"/>
        <w:adjustRightInd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4"/>
        <w:gridCol w:w="3043"/>
      </w:tblGrid>
      <w:tr w:rsidR="004644D4" w14:paraId="0A252502" w14:textId="77777777" w:rsidTr="00861F89">
        <w:tc>
          <w:tcPr>
            <w:tcW w:w="9281" w:type="dxa"/>
            <w:gridSpan w:val="3"/>
          </w:tcPr>
          <w:p w14:paraId="680E5D7B" w14:textId="77777777" w:rsidR="00861F89" w:rsidRPr="00887835" w:rsidRDefault="00E453CD" w:rsidP="001850A1">
            <w:pPr>
              <w:numPr>
                <w:ilvl w:val="12"/>
                <w:numId w:val="0"/>
              </w:numPr>
              <w:ind w:right="-2"/>
              <w:rPr>
                <w:sz w:val="22"/>
                <w:szCs w:val="22"/>
                <w:lang w:val="en-GB"/>
              </w:rPr>
            </w:pPr>
            <w:r w:rsidRPr="00861F89">
              <w:rPr>
                <w:b/>
                <w:sz w:val="22"/>
                <w:szCs w:val="22"/>
                <w:lang w:val="en-GB"/>
              </w:rPr>
              <w:t>Crohn</w:t>
            </w:r>
            <w:r w:rsidRPr="00887835">
              <w:rPr>
                <w:b/>
                <w:sz w:val="22"/>
                <w:szCs w:val="22"/>
                <w:lang w:val="en-GB"/>
              </w:rPr>
              <w:t xml:space="preserve">s </w:t>
            </w:r>
            <w:r>
              <w:rPr>
                <w:b/>
                <w:sz w:val="22"/>
                <w:szCs w:val="22"/>
                <w:lang w:val="en-GB"/>
              </w:rPr>
              <w:t>sykdom</w:t>
            </w:r>
          </w:p>
        </w:tc>
      </w:tr>
      <w:tr w:rsidR="004644D4" w14:paraId="11BF430A" w14:textId="77777777" w:rsidTr="00861F89">
        <w:tc>
          <w:tcPr>
            <w:tcW w:w="3093" w:type="dxa"/>
          </w:tcPr>
          <w:p w14:paraId="4E0971BA" w14:textId="77777777" w:rsidR="00861F89" w:rsidRPr="00887835" w:rsidRDefault="00E453CD" w:rsidP="001850A1">
            <w:pPr>
              <w:numPr>
                <w:ilvl w:val="12"/>
                <w:numId w:val="0"/>
              </w:numPr>
              <w:ind w:right="-2"/>
              <w:rPr>
                <w:sz w:val="22"/>
                <w:szCs w:val="22"/>
                <w:lang w:val="en-GB"/>
              </w:rPr>
            </w:pPr>
            <w:r w:rsidRPr="007830E7">
              <w:rPr>
                <w:b/>
                <w:sz w:val="22"/>
                <w:szCs w:val="22"/>
                <w:lang w:val="en-US"/>
              </w:rPr>
              <w:t>Alder eller kroppsvekt</w:t>
            </w:r>
          </w:p>
        </w:tc>
        <w:tc>
          <w:tcPr>
            <w:tcW w:w="3094" w:type="dxa"/>
          </w:tcPr>
          <w:p w14:paraId="5B5CC8A8" w14:textId="77777777" w:rsidR="00861F89" w:rsidRPr="00887835" w:rsidRDefault="00E453CD" w:rsidP="001850A1">
            <w:pPr>
              <w:numPr>
                <w:ilvl w:val="12"/>
                <w:numId w:val="0"/>
              </w:numPr>
              <w:ind w:right="-2"/>
              <w:rPr>
                <w:sz w:val="22"/>
                <w:szCs w:val="22"/>
              </w:rPr>
            </w:pPr>
            <w:r w:rsidRPr="007830E7">
              <w:rPr>
                <w:b/>
                <w:sz w:val="22"/>
                <w:szCs w:val="22"/>
              </w:rPr>
              <w:t xml:space="preserve">Hvor mye og hvor ofte du </w:t>
            </w:r>
            <w:r w:rsidR="003D2742">
              <w:rPr>
                <w:b/>
                <w:sz w:val="22"/>
                <w:szCs w:val="22"/>
              </w:rPr>
              <w:t>skal ta</w:t>
            </w:r>
            <w:r w:rsidRPr="007830E7">
              <w:rPr>
                <w:b/>
                <w:sz w:val="22"/>
                <w:szCs w:val="22"/>
              </w:rPr>
              <w:t>?</w:t>
            </w:r>
          </w:p>
        </w:tc>
        <w:tc>
          <w:tcPr>
            <w:tcW w:w="3094" w:type="dxa"/>
          </w:tcPr>
          <w:p w14:paraId="118AB7F1" w14:textId="77777777" w:rsidR="00861F89" w:rsidRPr="00887835" w:rsidRDefault="00E453CD" w:rsidP="001850A1">
            <w:pPr>
              <w:numPr>
                <w:ilvl w:val="12"/>
                <w:numId w:val="0"/>
              </w:numPr>
              <w:ind w:right="-2"/>
              <w:rPr>
                <w:sz w:val="22"/>
                <w:szCs w:val="22"/>
                <w:lang w:val="en-GB"/>
              </w:rPr>
            </w:pPr>
            <w:r w:rsidRPr="007830E7">
              <w:rPr>
                <w:b/>
                <w:sz w:val="22"/>
                <w:szCs w:val="22"/>
                <w:lang w:val="en-US"/>
              </w:rPr>
              <w:t>Merknader</w:t>
            </w:r>
          </w:p>
        </w:tc>
      </w:tr>
      <w:tr w:rsidR="004644D4" w14:paraId="72448332" w14:textId="77777777" w:rsidTr="00861F89">
        <w:tc>
          <w:tcPr>
            <w:tcW w:w="3093" w:type="dxa"/>
          </w:tcPr>
          <w:p w14:paraId="717B89BB" w14:textId="77777777" w:rsidR="00861F89" w:rsidRPr="00887835" w:rsidRDefault="00E453CD" w:rsidP="00890C29">
            <w:pPr>
              <w:numPr>
                <w:ilvl w:val="12"/>
                <w:numId w:val="0"/>
              </w:numPr>
              <w:ind w:right="-2"/>
              <w:rPr>
                <w:sz w:val="22"/>
                <w:szCs w:val="22"/>
              </w:rPr>
            </w:pPr>
            <w:r w:rsidRPr="00887835">
              <w:rPr>
                <w:sz w:val="22"/>
                <w:szCs w:val="22"/>
              </w:rPr>
              <w:t>Barn</w:t>
            </w:r>
            <w:r w:rsidR="00033CCB">
              <w:rPr>
                <w:sz w:val="22"/>
                <w:szCs w:val="22"/>
              </w:rPr>
              <w:t>,</w:t>
            </w:r>
            <w:r w:rsidRPr="00887835">
              <w:rPr>
                <w:sz w:val="22"/>
                <w:szCs w:val="22"/>
              </w:rPr>
              <w:t xml:space="preserve"> ungdom </w:t>
            </w:r>
            <w:r w:rsidR="00033CCB">
              <w:rPr>
                <w:sz w:val="22"/>
                <w:szCs w:val="22"/>
              </w:rPr>
              <w:t xml:space="preserve">og voksne </w:t>
            </w:r>
            <w:r w:rsidR="00890C29">
              <w:rPr>
                <w:sz w:val="22"/>
                <w:szCs w:val="22"/>
              </w:rPr>
              <w:t>over</w:t>
            </w:r>
            <w:r w:rsidRPr="00887835">
              <w:rPr>
                <w:sz w:val="22"/>
                <w:szCs w:val="22"/>
              </w:rPr>
              <w:t xml:space="preserve"> 6 år som veier 40 kg eller mer</w:t>
            </w:r>
          </w:p>
        </w:tc>
        <w:tc>
          <w:tcPr>
            <w:tcW w:w="3094" w:type="dxa"/>
          </w:tcPr>
          <w:p w14:paraId="2B5FC67E" w14:textId="77777777" w:rsidR="00861F89" w:rsidRDefault="00E453CD" w:rsidP="00D00F56">
            <w:pPr>
              <w:rPr>
                <w:sz w:val="22"/>
                <w:szCs w:val="22"/>
              </w:rPr>
            </w:pPr>
            <w:r w:rsidRPr="004C7F6D">
              <w:rPr>
                <w:sz w:val="22"/>
                <w:szCs w:val="22"/>
              </w:rPr>
              <w:t xml:space="preserve">Første dose på 80 mg (to 40 mg injeksjoner på én dag), etterfulgt </w:t>
            </w:r>
            <w:r>
              <w:rPr>
                <w:sz w:val="22"/>
                <w:szCs w:val="22"/>
              </w:rPr>
              <w:t>av</w:t>
            </w:r>
            <w:r w:rsidRPr="00887835">
              <w:rPr>
                <w:sz w:val="22"/>
                <w:szCs w:val="22"/>
              </w:rPr>
              <w:t xml:space="preserve"> 40 mg to </w:t>
            </w:r>
            <w:r>
              <w:rPr>
                <w:sz w:val="22"/>
                <w:szCs w:val="22"/>
              </w:rPr>
              <w:t>uker senere</w:t>
            </w:r>
            <w:r w:rsidRPr="00887835">
              <w:rPr>
                <w:sz w:val="22"/>
                <w:szCs w:val="22"/>
              </w:rPr>
              <w:t>.</w:t>
            </w:r>
          </w:p>
          <w:p w14:paraId="144E977C" w14:textId="77777777" w:rsidR="00D00F56" w:rsidRPr="00887835" w:rsidRDefault="00D00F56" w:rsidP="00D00F56">
            <w:pPr>
              <w:rPr>
                <w:sz w:val="22"/>
                <w:szCs w:val="22"/>
              </w:rPr>
            </w:pPr>
          </w:p>
          <w:p w14:paraId="26161D01" w14:textId="77777777" w:rsidR="00861F89" w:rsidRDefault="00E453CD" w:rsidP="00D00F56">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 xml:space="preserve">dose på 160 mg (fire 40 mg </w:t>
            </w:r>
            <w:r w:rsidRPr="00062568">
              <w:rPr>
                <w:sz w:val="22"/>
                <w:szCs w:val="22"/>
              </w:rPr>
              <w:t>injeksjoner på én dag</w:t>
            </w:r>
            <w:r w:rsidRPr="004C7F6D">
              <w:rPr>
                <w:sz w:val="22"/>
                <w:szCs w:val="22"/>
              </w:rPr>
              <w:t xml:space="preserve"> eller to 40 mg injeksjoner daglig </w:t>
            </w:r>
            <w:r w:rsidR="00953ADC">
              <w:rPr>
                <w:sz w:val="22"/>
                <w:szCs w:val="22"/>
              </w:rPr>
              <w:t>i</w:t>
            </w:r>
            <w:r w:rsidRPr="004C7F6D">
              <w:rPr>
                <w:sz w:val="22"/>
                <w:szCs w:val="22"/>
              </w:rPr>
              <w:t xml:space="preserve"> to påfølgende dager), etterfulgt av 80 mg (to 40 mg injeksjoner på én dag)</w:t>
            </w:r>
            <w:r>
              <w:rPr>
                <w:sz w:val="22"/>
                <w:szCs w:val="22"/>
              </w:rPr>
              <w:t xml:space="preserve"> </w:t>
            </w:r>
            <w:r w:rsidRPr="004C7F6D">
              <w:rPr>
                <w:sz w:val="22"/>
                <w:szCs w:val="22"/>
              </w:rPr>
              <w:t>to uker senere</w:t>
            </w:r>
            <w:r>
              <w:rPr>
                <w:sz w:val="22"/>
                <w:szCs w:val="22"/>
              </w:rPr>
              <w:t>.</w:t>
            </w:r>
          </w:p>
          <w:p w14:paraId="3963889B" w14:textId="77777777" w:rsidR="00D00F56" w:rsidRPr="00887835" w:rsidRDefault="00D00F56" w:rsidP="00D00F56">
            <w:pPr>
              <w:rPr>
                <w:sz w:val="22"/>
                <w:szCs w:val="22"/>
              </w:rPr>
            </w:pPr>
          </w:p>
          <w:p w14:paraId="3A7C6299" w14:textId="77777777" w:rsidR="00861F89" w:rsidRPr="00887835" w:rsidRDefault="00E453CD" w:rsidP="001850A1">
            <w:pPr>
              <w:numPr>
                <w:ilvl w:val="12"/>
                <w:numId w:val="0"/>
              </w:numPr>
              <w:ind w:right="-2"/>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p>
        </w:tc>
        <w:tc>
          <w:tcPr>
            <w:tcW w:w="3094" w:type="dxa"/>
          </w:tcPr>
          <w:p w14:paraId="50DF5B93" w14:textId="77777777" w:rsidR="00861F89" w:rsidRPr="00887835" w:rsidRDefault="00E453CD" w:rsidP="001850A1">
            <w:pPr>
              <w:spacing w:before="100" w:beforeAutospacing="1" w:after="100" w:afterAutospacing="1"/>
              <w:rPr>
                <w:sz w:val="22"/>
                <w:szCs w:val="22"/>
              </w:rPr>
            </w:pPr>
            <w:r w:rsidRPr="00887835">
              <w:rPr>
                <w:sz w:val="22"/>
                <w:szCs w:val="22"/>
              </w:rPr>
              <w:t>Legen din kan øke dosering</w:t>
            </w:r>
            <w:r w:rsidR="0032142D">
              <w:rPr>
                <w:sz w:val="22"/>
                <w:szCs w:val="22"/>
              </w:rPr>
              <w:t>en</w:t>
            </w:r>
            <w:r w:rsidRPr="00887835">
              <w:rPr>
                <w:sz w:val="22"/>
                <w:szCs w:val="22"/>
              </w:rPr>
              <w:t xml:space="preserve"> til 40</w:t>
            </w:r>
            <w:r w:rsidR="008A3FFA">
              <w:rPr>
                <w:sz w:val="22"/>
                <w:szCs w:val="22"/>
              </w:rPr>
              <w:t> </w:t>
            </w:r>
            <w:r w:rsidRPr="00887835">
              <w:rPr>
                <w:sz w:val="22"/>
                <w:szCs w:val="22"/>
              </w:rPr>
              <w:t>mg hver uke</w:t>
            </w:r>
            <w:r w:rsidR="0032142D">
              <w:rPr>
                <w:sz w:val="22"/>
                <w:szCs w:val="22"/>
              </w:rPr>
              <w:t xml:space="preserve"> eller 80</w:t>
            </w:r>
            <w:r w:rsidR="008A3FFA">
              <w:rPr>
                <w:sz w:val="22"/>
                <w:szCs w:val="22"/>
              </w:rPr>
              <w:t> </w:t>
            </w:r>
            <w:r w:rsidR="0032142D">
              <w:rPr>
                <w:sz w:val="22"/>
                <w:szCs w:val="22"/>
              </w:rPr>
              <w:t>mg annenhver uke</w:t>
            </w:r>
            <w:r w:rsidRPr="00887835">
              <w:rPr>
                <w:sz w:val="22"/>
                <w:szCs w:val="22"/>
              </w:rPr>
              <w:t>.</w:t>
            </w:r>
          </w:p>
          <w:p w14:paraId="23C907FF" w14:textId="77777777" w:rsidR="00861F89" w:rsidRPr="00887835" w:rsidRDefault="00861F89" w:rsidP="001850A1">
            <w:pPr>
              <w:spacing w:before="100" w:beforeAutospacing="1" w:after="100" w:afterAutospacing="1"/>
              <w:rPr>
                <w:sz w:val="22"/>
                <w:szCs w:val="22"/>
              </w:rPr>
            </w:pPr>
          </w:p>
        </w:tc>
      </w:tr>
      <w:tr w:rsidR="004644D4" w14:paraId="5D9D3F0F" w14:textId="77777777" w:rsidTr="00861F89">
        <w:tc>
          <w:tcPr>
            <w:tcW w:w="3093" w:type="dxa"/>
          </w:tcPr>
          <w:p w14:paraId="496A12E5" w14:textId="77777777" w:rsidR="00861F89" w:rsidRPr="00887835" w:rsidRDefault="00E453CD" w:rsidP="00684DB9">
            <w:pPr>
              <w:numPr>
                <w:ilvl w:val="12"/>
                <w:numId w:val="0"/>
              </w:numPr>
              <w:ind w:right="-2"/>
              <w:rPr>
                <w:sz w:val="22"/>
                <w:szCs w:val="22"/>
              </w:rPr>
            </w:pPr>
            <w:r w:rsidRPr="004C7F6D">
              <w:rPr>
                <w:sz w:val="22"/>
                <w:szCs w:val="22"/>
              </w:rPr>
              <w:t xml:space="preserve">Barn og ungdom fra 6 </w:t>
            </w:r>
            <w:r w:rsidR="00033CCB">
              <w:rPr>
                <w:sz w:val="22"/>
                <w:szCs w:val="22"/>
              </w:rPr>
              <w:t xml:space="preserve">til 17 </w:t>
            </w:r>
            <w:r w:rsidRPr="004C7F6D">
              <w:rPr>
                <w:sz w:val="22"/>
                <w:szCs w:val="22"/>
              </w:rPr>
              <w:t xml:space="preserve">år som veier </w:t>
            </w:r>
            <w:r w:rsidR="00684DB9">
              <w:rPr>
                <w:sz w:val="22"/>
                <w:szCs w:val="22"/>
              </w:rPr>
              <w:t>under</w:t>
            </w:r>
            <w:r>
              <w:rPr>
                <w:sz w:val="22"/>
                <w:szCs w:val="22"/>
              </w:rPr>
              <w:t xml:space="preserve"> </w:t>
            </w:r>
            <w:r w:rsidRPr="004C7F6D">
              <w:rPr>
                <w:sz w:val="22"/>
                <w:szCs w:val="22"/>
              </w:rPr>
              <w:t>40 kg</w:t>
            </w:r>
          </w:p>
        </w:tc>
        <w:tc>
          <w:tcPr>
            <w:tcW w:w="3094" w:type="dxa"/>
          </w:tcPr>
          <w:p w14:paraId="0563AD3E" w14:textId="77777777" w:rsidR="00861F89" w:rsidRDefault="00E453CD" w:rsidP="00D00F56">
            <w:pPr>
              <w:rPr>
                <w:sz w:val="22"/>
                <w:szCs w:val="22"/>
              </w:rPr>
            </w:pPr>
            <w:r w:rsidRPr="00887835">
              <w:rPr>
                <w:sz w:val="22"/>
                <w:szCs w:val="22"/>
              </w:rPr>
              <w:t xml:space="preserve">Første dose på 40 mg, etterfulgt av 20 mg to </w:t>
            </w:r>
            <w:r>
              <w:rPr>
                <w:sz w:val="22"/>
                <w:szCs w:val="22"/>
              </w:rPr>
              <w:t>uker senere</w:t>
            </w:r>
            <w:r w:rsidRPr="00887835">
              <w:rPr>
                <w:sz w:val="22"/>
                <w:szCs w:val="22"/>
              </w:rPr>
              <w:t xml:space="preserve">. </w:t>
            </w:r>
          </w:p>
          <w:p w14:paraId="5BF9D307" w14:textId="77777777" w:rsidR="00D00F56" w:rsidRPr="00887835" w:rsidRDefault="00D00F56" w:rsidP="00D00F56">
            <w:pPr>
              <w:rPr>
                <w:sz w:val="22"/>
                <w:szCs w:val="22"/>
              </w:rPr>
            </w:pPr>
          </w:p>
          <w:p w14:paraId="1A219387" w14:textId="77777777" w:rsidR="00861F89" w:rsidRDefault="00E453CD" w:rsidP="00D00F56">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dose på</w:t>
            </w:r>
            <w:r w:rsidRPr="00887835">
              <w:rPr>
                <w:sz w:val="22"/>
                <w:szCs w:val="22"/>
              </w:rPr>
              <w:t xml:space="preserve"> 80 mg (</w:t>
            </w:r>
            <w:r w:rsidRPr="004C7F6D">
              <w:rPr>
                <w:sz w:val="22"/>
                <w:szCs w:val="22"/>
              </w:rPr>
              <w:t>to 40 mg injeksjoner på én dag</w:t>
            </w:r>
            <w:r w:rsidRPr="00887835">
              <w:rPr>
                <w:sz w:val="22"/>
                <w:szCs w:val="22"/>
              </w:rPr>
              <w:t xml:space="preserve">), </w:t>
            </w:r>
            <w:r>
              <w:rPr>
                <w:sz w:val="22"/>
                <w:szCs w:val="22"/>
              </w:rPr>
              <w:t>etterfulgt av</w:t>
            </w:r>
            <w:r w:rsidRPr="00887835">
              <w:rPr>
                <w:sz w:val="22"/>
                <w:szCs w:val="22"/>
              </w:rPr>
              <w:t xml:space="preserve"> 40 mg to </w:t>
            </w:r>
            <w:r>
              <w:rPr>
                <w:sz w:val="22"/>
                <w:szCs w:val="22"/>
              </w:rPr>
              <w:t>uker senere</w:t>
            </w:r>
            <w:r w:rsidRPr="00887835">
              <w:rPr>
                <w:sz w:val="22"/>
                <w:szCs w:val="22"/>
              </w:rPr>
              <w:t>.</w:t>
            </w:r>
          </w:p>
          <w:p w14:paraId="15256FAC" w14:textId="77777777" w:rsidR="00D00F56" w:rsidRPr="00887835" w:rsidRDefault="00D00F56" w:rsidP="00D00F56">
            <w:pPr>
              <w:rPr>
                <w:sz w:val="22"/>
                <w:szCs w:val="22"/>
              </w:rPr>
            </w:pPr>
          </w:p>
          <w:p w14:paraId="5839D3DA" w14:textId="77777777" w:rsidR="00861F89" w:rsidRPr="00887835" w:rsidRDefault="00E453CD" w:rsidP="001850A1">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20</w:t>
            </w:r>
            <w:r w:rsidRPr="004C7F6D">
              <w:rPr>
                <w:sz w:val="22"/>
                <w:szCs w:val="22"/>
              </w:rPr>
              <w:t xml:space="preserve"> mg annenhver uke.</w:t>
            </w:r>
          </w:p>
        </w:tc>
        <w:tc>
          <w:tcPr>
            <w:tcW w:w="3094" w:type="dxa"/>
          </w:tcPr>
          <w:p w14:paraId="3D813F24" w14:textId="77777777" w:rsidR="00861F89" w:rsidRPr="00887835" w:rsidRDefault="00E453CD" w:rsidP="001850A1">
            <w:pPr>
              <w:spacing w:before="100" w:beforeAutospacing="1" w:after="100" w:afterAutospacing="1"/>
              <w:rPr>
                <w:sz w:val="22"/>
                <w:szCs w:val="22"/>
              </w:rPr>
            </w:pPr>
            <w:r w:rsidRPr="009C5EFD">
              <w:rPr>
                <w:sz w:val="22"/>
                <w:szCs w:val="22"/>
              </w:rPr>
              <w:t xml:space="preserve">Legen din kan øke doseringsfrekvensen til </w:t>
            </w:r>
            <w:r>
              <w:rPr>
                <w:sz w:val="22"/>
                <w:szCs w:val="22"/>
              </w:rPr>
              <w:t>2</w:t>
            </w:r>
            <w:r w:rsidRPr="009C5EFD">
              <w:rPr>
                <w:sz w:val="22"/>
                <w:szCs w:val="22"/>
              </w:rPr>
              <w:t>0 mg hver uke</w:t>
            </w:r>
            <w:r w:rsidRPr="00887835">
              <w:rPr>
                <w:sz w:val="22"/>
                <w:szCs w:val="22"/>
              </w:rPr>
              <w:t>.</w:t>
            </w:r>
          </w:p>
          <w:p w14:paraId="226025F7" w14:textId="77777777" w:rsidR="00861F89" w:rsidRPr="00887835" w:rsidRDefault="00861F89" w:rsidP="001850A1">
            <w:pPr>
              <w:numPr>
                <w:ilvl w:val="12"/>
                <w:numId w:val="0"/>
              </w:numPr>
              <w:spacing w:before="100" w:beforeAutospacing="1" w:after="100" w:afterAutospacing="1"/>
              <w:ind w:right="-2"/>
              <w:rPr>
                <w:sz w:val="22"/>
                <w:szCs w:val="22"/>
              </w:rPr>
            </w:pPr>
          </w:p>
        </w:tc>
      </w:tr>
    </w:tbl>
    <w:p w14:paraId="7489037A" w14:textId="77777777" w:rsidR="00861F89" w:rsidRPr="00861F89" w:rsidRDefault="00861F89" w:rsidP="00D20B49">
      <w:pPr>
        <w:suppressAutoHyphen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6"/>
        <w:gridCol w:w="3020"/>
      </w:tblGrid>
      <w:tr w:rsidR="004644D4" w14:paraId="7F42FAA0" w14:textId="77777777" w:rsidTr="003D2742">
        <w:tc>
          <w:tcPr>
            <w:tcW w:w="9281" w:type="dxa"/>
            <w:gridSpan w:val="3"/>
          </w:tcPr>
          <w:p w14:paraId="47576824" w14:textId="77777777" w:rsidR="003D2742" w:rsidRPr="00887835" w:rsidRDefault="00E453CD" w:rsidP="00802544">
            <w:pPr>
              <w:keepNext/>
              <w:numPr>
                <w:ilvl w:val="12"/>
                <w:numId w:val="0"/>
              </w:numPr>
              <w:ind w:right="-2"/>
              <w:rPr>
                <w:b/>
                <w:sz w:val="22"/>
                <w:szCs w:val="22"/>
                <w:lang w:val="en-GB"/>
              </w:rPr>
            </w:pPr>
            <w:r>
              <w:rPr>
                <w:b/>
                <w:sz w:val="22"/>
                <w:szCs w:val="22"/>
              </w:rPr>
              <w:t>U</w:t>
            </w:r>
            <w:r w:rsidRPr="003D2742">
              <w:rPr>
                <w:b/>
                <w:sz w:val="22"/>
                <w:szCs w:val="22"/>
              </w:rPr>
              <w:t>lcerøs kolitt</w:t>
            </w:r>
          </w:p>
        </w:tc>
      </w:tr>
      <w:tr w:rsidR="004644D4" w14:paraId="76385CD1" w14:textId="77777777" w:rsidTr="003D2742">
        <w:tc>
          <w:tcPr>
            <w:tcW w:w="3093" w:type="dxa"/>
          </w:tcPr>
          <w:p w14:paraId="4795CC41" w14:textId="77777777" w:rsidR="003D2742" w:rsidRPr="00887835" w:rsidRDefault="00E453CD" w:rsidP="00802544">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58C9A477" w14:textId="77777777" w:rsidR="003D2742" w:rsidRPr="00887835" w:rsidRDefault="00E453CD" w:rsidP="00802544">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4AB754AD" w14:textId="77777777" w:rsidR="003D2742" w:rsidRPr="00887835" w:rsidRDefault="00E453CD" w:rsidP="00802544">
            <w:pPr>
              <w:keepNext/>
              <w:numPr>
                <w:ilvl w:val="12"/>
                <w:numId w:val="0"/>
              </w:numPr>
              <w:ind w:right="-2"/>
              <w:rPr>
                <w:sz w:val="22"/>
                <w:szCs w:val="22"/>
                <w:lang w:val="en-GB"/>
              </w:rPr>
            </w:pPr>
            <w:r w:rsidRPr="007830E7">
              <w:rPr>
                <w:b/>
                <w:sz w:val="22"/>
                <w:szCs w:val="22"/>
                <w:lang w:val="en-US"/>
              </w:rPr>
              <w:t>Merknader</w:t>
            </w:r>
          </w:p>
        </w:tc>
      </w:tr>
      <w:tr w:rsidR="004644D4" w14:paraId="5E5B4903" w14:textId="77777777" w:rsidTr="003D2742">
        <w:tc>
          <w:tcPr>
            <w:tcW w:w="3093" w:type="dxa"/>
          </w:tcPr>
          <w:p w14:paraId="6B4DB44F" w14:textId="77777777" w:rsidR="003D2742" w:rsidRPr="00887835" w:rsidRDefault="00E453CD" w:rsidP="00802544">
            <w:pPr>
              <w:keepNext/>
              <w:numPr>
                <w:ilvl w:val="12"/>
                <w:numId w:val="0"/>
              </w:numPr>
              <w:ind w:right="-2"/>
              <w:rPr>
                <w:sz w:val="22"/>
                <w:szCs w:val="22"/>
                <w:lang w:val="en-GB"/>
              </w:rPr>
            </w:pPr>
            <w:r>
              <w:rPr>
                <w:sz w:val="22"/>
                <w:szCs w:val="22"/>
              </w:rPr>
              <w:t>Voksne</w:t>
            </w:r>
          </w:p>
        </w:tc>
        <w:tc>
          <w:tcPr>
            <w:tcW w:w="3094" w:type="dxa"/>
          </w:tcPr>
          <w:p w14:paraId="1F0B3A9B" w14:textId="77777777" w:rsidR="003D2742" w:rsidRDefault="00E453CD" w:rsidP="00802544">
            <w:pPr>
              <w:keepNext/>
              <w:numPr>
                <w:ilvl w:val="12"/>
                <w:numId w:val="0"/>
              </w:numPr>
              <w:rPr>
                <w:sz w:val="22"/>
                <w:szCs w:val="22"/>
              </w:rPr>
            </w:pPr>
            <w:r w:rsidRPr="00887835">
              <w:rPr>
                <w:sz w:val="22"/>
                <w:szCs w:val="22"/>
              </w:rPr>
              <w:t xml:space="preserve">Første dose på 160 mg (fire 40 mg injeksjoner på én dag eller to 40 mg injeksjoner daglig </w:t>
            </w:r>
            <w:r w:rsidR="00953ADC">
              <w:rPr>
                <w:sz w:val="22"/>
                <w:szCs w:val="22"/>
              </w:rPr>
              <w:t>i</w:t>
            </w:r>
            <w:r w:rsidRPr="00887835">
              <w:rPr>
                <w:sz w:val="22"/>
                <w:szCs w:val="22"/>
              </w:rPr>
              <w:t xml:space="preserve"> to påfølgende dager), etterfulgt av 80 mg (to 40 mg injeksjoner på én dag) to uker senere.</w:t>
            </w:r>
          </w:p>
          <w:p w14:paraId="0CD4022F" w14:textId="77777777" w:rsidR="00D00F56" w:rsidRPr="00887835" w:rsidRDefault="00D00F56" w:rsidP="00802544">
            <w:pPr>
              <w:keepNext/>
              <w:numPr>
                <w:ilvl w:val="12"/>
                <w:numId w:val="0"/>
              </w:numPr>
              <w:rPr>
                <w:sz w:val="22"/>
                <w:szCs w:val="22"/>
              </w:rPr>
            </w:pPr>
          </w:p>
          <w:p w14:paraId="3C648F8E" w14:textId="77777777" w:rsidR="003D2742" w:rsidRPr="00887835" w:rsidRDefault="00E453CD" w:rsidP="00802544">
            <w:pPr>
              <w:keepNext/>
              <w:numPr>
                <w:ilvl w:val="12"/>
                <w:numId w:val="0"/>
              </w:numPr>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r w:rsidR="00EC2F79">
              <w:rPr>
                <w:sz w:val="22"/>
                <w:szCs w:val="22"/>
              </w:rPr>
              <w:t>.</w:t>
            </w:r>
          </w:p>
        </w:tc>
        <w:tc>
          <w:tcPr>
            <w:tcW w:w="3094" w:type="dxa"/>
          </w:tcPr>
          <w:p w14:paraId="78E40330" w14:textId="77777777" w:rsidR="003D2742" w:rsidRPr="00887835" w:rsidRDefault="00E453CD">
            <w:pPr>
              <w:keepNext/>
              <w:numPr>
                <w:ilvl w:val="12"/>
                <w:numId w:val="0"/>
              </w:numPr>
              <w:ind w:right="-2"/>
              <w:rPr>
                <w:sz w:val="22"/>
                <w:szCs w:val="22"/>
              </w:rPr>
            </w:pPr>
            <w:r w:rsidRPr="004C7F6D">
              <w:rPr>
                <w:sz w:val="22"/>
                <w:szCs w:val="22"/>
              </w:rPr>
              <w:t>Legen din kan øke dosering</w:t>
            </w:r>
            <w:r w:rsidR="0032142D">
              <w:rPr>
                <w:sz w:val="22"/>
                <w:szCs w:val="22"/>
              </w:rPr>
              <w:t>en</w:t>
            </w:r>
            <w:r w:rsidRPr="004C7F6D">
              <w:rPr>
                <w:sz w:val="22"/>
                <w:szCs w:val="22"/>
              </w:rPr>
              <w:t xml:space="preserve"> til 40</w:t>
            </w:r>
            <w:r w:rsidR="008A3FFA">
              <w:rPr>
                <w:sz w:val="22"/>
                <w:szCs w:val="22"/>
              </w:rPr>
              <w:t> </w:t>
            </w:r>
            <w:r w:rsidRPr="004C7F6D">
              <w:rPr>
                <w:sz w:val="22"/>
                <w:szCs w:val="22"/>
              </w:rPr>
              <w:t>mg hver uke</w:t>
            </w:r>
            <w:r w:rsidR="0032142D">
              <w:rPr>
                <w:sz w:val="22"/>
                <w:szCs w:val="22"/>
              </w:rPr>
              <w:t xml:space="preserve"> eller 80</w:t>
            </w:r>
            <w:r w:rsidR="008A3FFA">
              <w:rPr>
                <w:sz w:val="22"/>
                <w:szCs w:val="22"/>
              </w:rPr>
              <w:t> </w:t>
            </w:r>
            <w:r w:rsidR="0032142D">
              <w:rPr>
                <w:sz w:val="22"/>
                <w:szCs w:val="22"/>
              </w:rPr>
              <w:t>mg annenhver uke</w:t>
            </w:r>
            <w:r w:rsidRPr="00887835">
              <w:rPr>
                <w:sz w:val="22"/>
                <w:szCs w:val="22"/>
              </w:rPr>
              <w:t>.</w:t>
            </w:r>
          </w:p>
        </w:tc>
      </w:tr>
      <w:tr w:rsidR="004644D4" w14:paraId="68F6C170" w14:textId="77777777" w:rsidTr="003D2742">
        <w:tc>
          <w:tcPr>
            <w:tcW w:w="3093" w:type="dxa"/>
          </w:tcPr>
          <w:p w14:paraId="6F0CEC9A" w14:textId="77777777" w:rsidR="00CF58F0" w:rsidRPr="00CF58F0" w:rsidRDefault="00E453CD" w:rsidP="00CF58F0">
            <w:pPr>
              <w:keepNext/>
              <w:numPr>
                <w:ilvl w:val="12"/>
                <w:numId w:val="0"/>
              </w:numPr>
              <w:ind w:right="-2"/>
              <w:rPr>
                <w:sz w:val="22"/>
                <w:szCs w:val="22"/>
              </w:rPr>
            </w:pPr>
            <w:r w:rsidRPr="00E04B2A">
              <w:rPr>
                <w:sz w:val="22"/>
              </w:rPr>
              <w:t xml:space="preserve">Barn og ungdom fra 6 år som veier </w:t>
            </w:r>
            <w:r w:rsidR="002E0B5C">
              <w:rPr>
                <w:sz w:val="22"/>
              </w:rPr>
              <w:t>under</w:t>
            </w:r>
            <w:r w:rsidRPr="00E04B2A">
              <w:rPr>
                <w:sz w:val="22"/>
              </w:rPr>
              <w:t xml:space="preserve"> 40 kg</w:t>
            </w:r>
          </w:p>
        </w:tc>
        <w:tc>
          <w:tcPr>
            <w:tcW w:w="3094" w:type="dxa"/>
          </w:tcPr>
          <w:p w14:paraId="5DDDBB17" w14:textId="77777777" w:rsidR="00CF58F0" w:rsidRPr="00E04B2A" w:rsidRDefault="00E453CD" w:rsidP="00CF58F0">
            <w:pPr>
              <w:numPr>
                <w:ilvl w:val="12"/>
                <w:numId w:val="0"/>
              </w:numPr>
              <w:rPr>
                <w:sz w:val="22"/>
              </w:rPr>
            </w:pPr>
            <w:r w:rsidRPr="00E04B2A">
              <w:rPr>
                <w:sz w:val="22"/>
              </w:rPr>
              <w:t>Første dose på 80 mg (to 40 mg injeksjoner på én dag), etterfulgt av 40 mg (én 40 mg injeksjon) to uker senere.</w:t>
            </w:r>
          </w:p>
          <w:p w14:paraId="1E5F57F8" w14:textId="77777777" w:rsidR="00CF58F0" w:rsidRPr="00E04B2A" w:rsidRDefault="00CF58F0" w:rsidP="00CF58F0">
            <w:pPr>
              <w:numPr>
                <w:ilvl w:val="12"/>
                <w:numId w:val="0"/>
              </w:numPr>
              <w:rPr>
                <w:sz w:val="22"/>
              </w:rPr>
            </w:pPr>
          </w:p>
          <w:p w14:paraId="4ABE8D2D" w14:textId="77777777" w:rsidR="00CF58F0" w:rsidRPr="00CF58F0" w:rsidRDefault="00E453CD" w:rsidP="00CF58F0">
            <w:pPr>
              <w:keepNext/>
              <w:numPr>
                <w:ilvl w:val="12"/>
                <w:numId w:val="0"/>
              </w:numPr>
              <w:rPr>
                <w:sz w:val="22"/>
                <w:szCs w:val="22"/>
              </w:rPr>
            </w:pPr>
            <w:r w:rsidRPr="00E04B2A">
              <w:rPr>
                <w:sz w:val="22"/>
              </w:rPr>
              <w:t>Deretter er vanlig dose 40 mg annenhver uke.</w:t>
            </w:r>
          </w:p>
        </w:tc>
        <w:tc>
          <w:tcPr>
            <w:tcW w:w="3094" w:type="dxa"/>
          </w:tcPr>
          <w:p w14:paraId="0B3AC726" w14:textId="77777777" w:rsidR="00CF58F0" w:rsidRPr="00CF58F0" w:rsidRDefault="00E453CD" w:rsidP="00CF58F0">
            <w:pPr>
              <w:keepNext/>
              <w:numPr>
                <w:ilvl w:val="12"/>
                <w:numId w:val="0"/>
              </w:numPr>
              <w:ind w:right="-2"/>
              <w:rPr>
                <w:sz w:val="22"/>
                <w:szCs w:val="22"/>
              </w:rPr>
            </w:pPr>
            <w:r w:rsidRPr="00E04B2A">
              <w:rPr>
                <w:sz w:val="22"/>
              </w:rPr>
              <w:t xml:space="preserve">Du bør fortsette å ta </w:t>
            </w:r>
            <w:r w:rsidR="002E0B5C">
              <w:rPr>
                <w:sz w:val="22"/>
              </w:rPr>
              <w:t>den vanlige dosen av</w:t>
            </w:r>
            <w:r w:rsidR="002E0B5C" w:rsidRPr="00E04B2A">
              <w:rPr>
                <w:sz w:val="22"/>
              </w:rPr>
              <w:t xml:space="preserve"> </w:t>
            </w:r>
            <w:r w:rsidRPr="00E04B2A">
              <w:rPr>
                <w:sz w:val="22"/>
              </w:rPr>
              <w:t>Humira selv etter fylte 18 år.</w:t>
            </w:r>
          </w:p>
        </w:tc>
      </w:tr>
      <w:tr w:rsidR="004644D4" w14:paraId="58630C89" w14:textId="77777777" w:rsidTr="003D2742">
        <w:tc>
          <w:tcPr>
            <w:tcW w:w="3093" w:type="dxa"/>
          </w:tcPr>
          <w:p w14:paraId="5D67CE36" w14:textId="77777777" w:rsidR="00CF58F0" w:rsidRPr="00E04B2A" w:rsidRDefault="00E453CD" w:rsidP="00CF58F0">
            <w:pPr>
              <w:keepNext/>
              <w:numPr>
                <w:ilvl w:val="12"/>
                <w:numId w:val="0"/>
              </w:numPr>
              <w:ind w:right="-2"/>
              <w:rPr>
                <w:sz w:val="22"/>
              </w:rPr>
            </w:pPr>
            <w:r w:rsidRPr="00E04B2A">
              <w:rPr>
                <w:sz w:val="22"/>
              </w:rPr>
              <w:t>Barn og ungdom fra 6 år som veier 40 kg</w:t>
            </w:r>
            <w:r w:rsidR="002E0B5C">
              <w:rPr>
                <w:sz w:val="22"/>
              </w:rPr>
              <w:t xml:space="preserve"> eller mer</w:t>
            </w:r>
          </w:p>
        </w:tc>
        <w:tc>
          <w:tcPr>
            <w:tcW w:w="3094" w:type="dxa"/>
          </w:tcPr>
          <w:p w14:paraId="725ED65D" w14:textId="77777777" w:rsidR="00CF58F0" w:rsidRPr="00E04B2A" w:rsidRDefault="00E453CD" w:rsidP="00CF58F0">
            <w:pPr>
              <w:numPr>
                <w:ilvl w:val="12"/>
                <w:numId w:val="0"/>
              </w:numPr>
              <w:rPr>
                <w:sz w:val="22"/>
              </w:rPr>
            </w:pPr>
            <w:r w:rsidRPr="00E04B2A">
              <w:rPr>
                <w:sz w:val="22"/>
              </w:rPr>
              <w:t>Første dose på 160 mg (fire 40 mg injeksjoner på én dag eller to 40 mg injeksjoner dag</w:t>
            </w:r>
            <w:r w:rsidR="002E0B5C">
              <w:rPr>
                <w:sz w:val="22"/>
              </w:rPr>
              <w:t>lig</w:t>
            </w:r>
            <w:r w:rsidRPr="00E04B2A">
              <w:rPr>
                <w:sz w:val="22"/>
              </w:rPr>
              <w:t xml:space="preserve"> </w:t>
            </w:r>
            <w:r w:rsidR="00953ADC">
              <w:rPr>
                <w:sz w:val="22"/>
              </w:rPr>
              <w:t>i</w:t>
            </w:r>
            <w:r w:rsidRPr="00E04B2A">
              <w:rPr>
                <w:sz w:val="22"/>
              </w:rPr>
              <w:t xml:space="preserve"> to påfølgende dager), etterfulgt av 80 mg (to 40 mg injeksjoner på én dag) to uker senere.</w:t>
            </w:r>
          </w:p>
          <w:p w14:paraId="3B52AB71" w14:textId="77777777" w:rsidR="00CF58F0" w:rsidRPr="00E04B2A" w:rsidRDefault="00CF58F0" w:rsidP="00CF58F0">
            <w:pPr>
              <w:numPr>
                <w:ilvl w:val="12"/>
                <w:numId w:val="0"/>
              </w:numPr>
              <w:rPr>
                <w:sz w:val="22"/>
              </w:rPr>
            </w:pPr>
          </w:p>
          <w:p w14:paraId="6D87D90D" w14:textId="77777777" w:rsidR="00CF58F0" w:rsidRPr="00E04B2A" w:rsidRDefault="00E453CD" w:rsidP="00CF58F0">
            <w:pPr>
              <w:numPr>
                <w:ilvl w:val="12"/>
                <w:numId w:val="0"/>
              </w:numPr>
              <w:rPr>
                <w:sz w:val="22"/>
              </w:rPr>
            </w:pPr>
            <w:r w:rsidRPr="00E04B2A">
              <w:rPr>
                <w:sz w:val="22"/>
              </w:rPr>
              <w:t>Deretter er vanlig dose 80 mg annenhver uke.</w:t>
            </w:r>
          </w:p>
        </w:tc>
        <w:tc>
          <w:tcPr>
            <w:tcW w:w="3094" w:type="dxa"/>
          </w:tcPr>
          <w:p w14:paraId="0F9EC11C" w14:textId="77777777" w:rsidR="00CF58F0" w:rsidRPr="00E04B2A" w:rsidRDefault="00E453CD" w:rsidP="00CF58F0">
            <w:pPr>
              <w:keepNext/>
              <w:numPr>
                <w:ilvl w:val="12"/>
                <w:numId w:val="0"/>
              </w:numPr>
              <w:ind w:right="-2"/>
              <w:rPr>
                <w:sz w:val="22"/>
              </w:rPr>
            </w:pPr>
            <w:r w:rsidRPr="00E04B2A">
              <w:rPr>
                <w:sz w:val="22"/>
              </w:rPr>
              <w:t xml:space="preserve">Du bør fortsette å ta </w:t>
            </w:r>
            <w:r w:rsidR="002E0B5C">
              <w:rPr>
                <w:sz w:val="22"/>
              </w:rPr>
              <w:t>den vanlige dosen av</w:t>
            </w:r>
            <w:r w:rsidR="002E0B5C" w:rsidRPr="00E04B2A">
              <w:rPr>
                <w:sz w:val="22"/>
              </w:rPr>
              <w:t xml:space="preserve"> </w:t>
            </w:r>
            <w:r w:rsidRPr="00E04B2A">
              <w:rPr>
                <w:sz w:val="22"/>
              </w:rPr>
              <w:t>Humira selv etter fylte 18 år.</w:t>
            </w:r>
          </w:p>
        </w:tc>
      </w:tr>
    </w:tbl>
    <w:p w14:paraId="6AE4DAE7" w14:textId="77777777" w:rsidR="00C25673" w:rsidRDefault="00C25673" w:rsidP="00D20B49">
      <w:pPr>
        <w:suppressAutoHyphens/>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1"/>
        <w:gridCol w:w="3030"/>
      </w:tblGrid>
      <w:tr w:rsidR="004644D4" w14:paraId="145953AF" w14:textId="77777777" w:rsidTr="00A77705">
        <w:tc>
          <w:tcPr>
            <w:tcW w:w="9287" w:type="dxa"/>
            <w:gridSpan w:val="3"/>
          </w:tcPr>
          <w:p w14:paraId="68AEC8C6" w14:textId="77777777" w:rsidR="00C25673" w:rsidRPr="00B3311E" w:rsidRDefault="00E453CD" w:rsidP="00A77705">
            <w:pPr>
              <w:numPr>
                <w:ilvl w:val="12"/>
                <w:numId w:val="0"/>
              </w:numPr>
              <w:ind w:right="-2"/>
              <w:rPr>
                <w:b/>
                <w:sz w:val="22"/>
                <w:szCs w:val="22"/>
                <w:lang w:val="en-GB"/>
              </w:rPr>
            </w:pPr>
            <w:r w:rsidRPr="00B3311E">
              <w:rPr>
                <w:b/>
                <w:sz w:val="22"/>
                <w:szCs w:val="22"/>
              </w:rPr>
              <w:t>Ikke-infeksiøs uveitt</w:t>
            </w:r>
            <w:r w:rsidRPr="00B36CC1">
              <w:rPr>
                <w:b/>
                <w:sz w:val="22"/>
                <w:szCs w:val="22"/>
              </w:rPr>
              <w:t xml:space="preserve"> </w:t>
            </w:r>
          </w:p>
        </w:tc>
      </w:tr>
      <w:tr w:rsidR="004644D4" w14:paraId="4B96A03E" w14:textId="77777777" w:rsidTr="00A77705">
        <w:tc>
          <w:tcPr>
            <w:tcW w:w="3095" w:type="dxa"/>
          </w:tcPr>
          <w:p w14:paraId="41EC2ECD" w14:textId="77777777" w:rsidR="00C25673" w:rsidRPr="00B3311E" w:rsidRDefault="00E453CD" w:rsidP="00A77705">
            <w:pPr>
              <w:numPr>
                <w:ilvl w:val="12"/>
                <w:numId w:val="0"/>
              </w:numPr>
              <w:ind w:right="-2"/>
              <w:rPr>
                <w:sz w:val="22"/>
                <w:szCs w:val="22"/>
              </w:rPr>
            </w:pPr>
            <w:r w:rsidRPr="00B36CC1">
              <w:rPr>
                <w:b/>
                <w:sz w:val="22"/>
                <w:szCs w:val="22"/>
              </w:rPr>
              <w:t>Alder eller kroppsvekt</w:t>
            </w:r>
          </w:p>
        </w:tc>
        <w:tc>
          <w:tcPr>
            <w:tcW w:w="3096" w:type="dxa"/>
          </w:tcPr>
          <w:p w14:paraId="1CCC3A3A" w14:textId="77777777" w:rsidR="00C25673" w:rsidRPr="00B3311E" w:rsidRDefault="00E453CD" w:rsidP="00605D30">
            <w:pPr>
              <w:tabs>
                <w:tab w:val="left" w:pos="0"/>
              </w:tabs>
              <w:rPr>
                <w:sz w:val="22"/>
                <w:szCs w:val="22"/>
              </w:rPr>
            </w:pPr>
            <w:r w:rsidRPr="00B36CC1">
              <w:rPr>
                <w:b/>
                <w:sz w:val="22"/>
                <w:szCs w:val="22"/>
              </w:rPr>
              <w:t xml:space="preserve">Hvor mye og hvor ofte du </w:t>
            </w:r>
            <w:r w:rsidR="00605D30" w:rsidRPr="00B36CC1">
              <w:rPr>
                <w:b/>
                <w:sz w:val="22"/>
                <w:szCs w:val="22"/>
              </w:rPr>
              <w:t xml:space="preserve">skal </w:t>
            </w:r>
            <w:r w:rsidRPr="00B36CC1">
              <w:rPr>
                <w:b/>
                <w:sz w:val="22"/>
                <w:szCs w:val="22"/>
              </w:rPr>
              <w:t>ta?</w:t>
            </w:r>
          </w:p>
        </w:tc>
        <w:tc>
          <w:tcPr>
            <w:tcW w:w="3096" w:type="dxa"/>
          </w:tcPr>
          <w:p w14:paraId="61E28F0C" w14:textId="77777777" w:rsidR="00C25673" w:rsidRPr="00B36CC1" w:rsidRDefault="00E453CD" w:rsidP="00A77705">
            <w:pPr>
              <w:numPr>
                <w:ilvl w:val="12"/>
                <w:numId w:val="0"/>
              </w:numPr>
              <w:rPr>
                <w:sz w:val="22"/>
                <w:szCs w:val="22"/>
                <w:lang w:val="en-GB"/>
              </w:rPr>
            </w:pPr>
            <w:r w:rsidRPr="00B36CC1">
              <w:rPr>
                <w:b/>
                <w:sz w:val="22"/>
                <w:szCs w:val="22"/>
              </w:rPr>
              <w:t>Merknader</w:t>
            </w:r>
          </w:p>
        </w:tc>
      </w:tr>
      <w:tr w:rsidR="004644D4" w14:paraId="64DCDAE4" w14:textId="77777777" w:rsidTr="00A77705">
        <w:tc>
          <w:tcPr>
            <w:tcW w:w="3095" w:type="dxa"/>
          </w:tcPr>
          <w:p w14:paraId="6C8E3F0A" w14:textId="77777777" w:rsidR="00C25673" w:rsidRPr="00B3311E" w:rsidRDefault="00E453CD" w:rsidP="00A77705">
            <w:pPr>
              <w:numPr>
                <w:ilvl w:val="12"/>
                <w:numId w:val="0"/>
              </w:numPr>
              <w:ind w:right="-2"/>
              <w:rPr>
                <w:sz w:val="22"/>
                <w:szCs w:val="22"/>
              </w:rPr>
            </w:pPr>
            <w:r w:rsidRPr="00B3311E">
              <w:rPr>
                <w:sz w:val="22"/>
                <w:szCs w:val="22"/>
              </w:rPr>
              <w:t>Voksne</w:t>
            </w:r>
          </w:p>
        </w:tc>
        <w:tc>
          <w:tcPr>
            <w:tcW w:w="3096" w:type="dxa"/>
          </w:tcPr>
          <w:p w14:paraId="28155EA4" w14:textId="77777777" w:rsidR="00C25673" w:rsidRPr="00B3311E" w:rsidRDefault="00E453CD" w:rsidP="0024771F">
            <w:pPr>
              <w:tabs>
                <w:tab w:val="left" w:pos="0"/>
              </w:tabs>
              <w:rPr>
                <w:sz w:val="22"/>
                <w:szCs w:val="22"/>
              </w:rPr>
            </w:pPr>
            <w:r w:rsidRPr="00B36CC1">
              <w:rPr>
                <w:sz w:val="22"/>
                <w:szCs w:val="22"/>
              </w:rPr>
              <w:t>Første dose på 80 mg</w:t>
            </w:r>
            <w:r w:rsidR="0024771F" w:rsidRPr="00B36CC1">
              <w:rPr>
                <w:sz w:val="22"/>
                <w:szCs w:val="22"/>
              </w:rPr>
              <w:t xml:space="preserve"> (to</w:t>
            </w:r>
            <w:r w:rsidRPr="00B36CC1">
              <w:rPr>
                <w:sz w:val="22"/>
                <w:szCs w:val="22"/>
              </w:rPr>
              <w:t xml:space="preserve"> 40 mg </w:t>
            </w:r>
            <w:r w:rsidR="0024771F" w:rsidRPr="00B36CC1">
              <w:rPr>
                <w:sz w:val="22"/>
                <w:szCs w:val="22"/>
              </w:rPr>
              <w:t>injeksjoner på én dag</w:t>
            </w:r>
            <w:r w:rsidRPr="00B36CC1">
              <w:rPr>
                <w:sz w:val="22"/>
                <w:szCs w:val="22"/>
              </w:rPr>
              <w:t xml:space="preserve">), </w:t>
            </w:r>
            <w:r w:rsidR="0024771F" w:rsidRPr="00B36CC1">
              <w:rPr>
                <w:sz w:val="22"/>
                <w:szCs w:val="22"/>
              </w:rPr>
              <w:t>etterfulgt av</w:t>
            </w:r>
            <w:r w:rsidRPr="00B36CC1">
              <w:rPr>
                <w:sz w:val="22"/>
                <w:szCs w:val="22"/>
              </w:rPr>
              <w:t xml:space="preserve"> 40 mg </w:t>
            </w:r>
            <w:r w:rsidR="0024771F" w:rsidRPr="00B36CC1">
              <w:rPr>
                <w:sz w:val="22"/>
                <w:szCs w:val="22"/>
              </w:rPr>
              <w:t>annenhver uke som starter én uke etter den første dosen</w:t>
            </w:r>
            <w:r w:rsidR="005D67D6" w:rsidRPr="00B36CC1">
              <w:rPr>
                <w:sz w:val="22"/>
                <w:szCs w:val="22"/>
              </w:rPr>
              <w:t>.</w:t>
            </w:r>
          </w:p>
        </w:tc>
        <w:tc>
          <w:tcPr>
            <w:tcW w:w="3096" w:type="dxa"/>
          </w:tcPr>
          <w:p w14:paraId="56DC84BB" w14:textId="77777777" w:rsidR="00C25673" w:rsidRPr="00B36CC1" w:rsidRDefault="00E453CD">
            <w:pPr>
              <w:numPr>
                <w:ilvl w:val="12"/>
                <w:numId w:val="0"/>
              </w:numPr>
              <w:rPr>
                <w:sz w:val="22"/>
                <w:szCs w:val="22"/>
              </w:rPr>
            </w:pPr>
            <w:r w:rsidRPr="00B36CC1">
              <w:rPr>
                <w:sz w:val="22"/>
                <w:szCs w:val="22"/>
              </w:rPr>
              <w:t xml:space="preserve">Behandling med kortikosteroider eller andre </w:t>
            </w:r>
            <w:r w:rsidR="00514E5E" w:rsidRPr="00B36CC1">
              <w:rPr>
                <w:sz w:val="22"/>
                <w:szCs w:val="22"/>
              </w:rPr>
              <w:t xml:space="preserve">legemidler </w:t>
            </w:r>
            <w:r w:rsidRPr="00B36CC1">
              <w:rPr>
                <w:sz w:val="22"/>
                <w:szCs w:val="22"/>
              </w:rPr>
              <w:t>som påvirker immunsys</w:t>
            </w:r>
            <w:r w:rsidR="00A77705" w:rsidRPr="00B36CC1">
              <w:rPr>
                <w:sz w:val="22"/>
                <w:szCs w:val="22"/>
              </w:rPr>
              <w:t>t</w:t>
            </w:r>
            <w:r w:rsidRPr="00B36CC1">
              <w:rPr>
                <w:sz w:val="22"/>
                <w:szCs w:val="22"/>
              </w:rPr>
              <w:t xml:space="preserve">emet </w:t>
            </w:r>
            <w:r w:rsidR="005707A5" w:rsidRPr="00B36CC1">
              <w:rPr>
                <w:sz w:val="22"/>
                <w:szCs w:val="22"/>
              </w:rPr>
              <w:t xml:space="preserve">kan </w:t>
            </w:r>
            <w:r w:rsidRPr="00B36CC1">
              <w:rPr>
                <w:sz w:val="22"/>
                <w:szCs w:val="22"/>
              </w:rPr>
              <w:t>fortsette under behandling med Humira. Humira kan også gis alene.</w:t>
            </w:r>
          </w:p>
        </w:tc>
      </w:tr>
      <w:tr w:rsidR="004644D4" w14:paraId="3341C967" w14:textId="77777777" w:rsidTr="00A77705">
        <w:tc>
          <w:tcPr>
            <w:tcW w:w="3095" w:type="dxa"/>
          </w:tcPr>
          <w:p w14:paraId="07C63852" w14:textId="77777777" w:rsidR="000F7B96" w:rsidRDefault="00E453CD" w:rsidP="00890C29">
            <w:pPr>
              <w:keepNext/>
              <w:numPr>
                <w:ilvl w:val="12"/>
                <w:numId w:val="0"/>
              </w:numPr>
              <w:ind w:right="-2"/>
            </w:pPr>
            <w:r w:rsidRPr="00B3311E">
              <w:rPr>
                <w:sz w:val="22"/>
              </w:rPr>
              <w:t xml:space="preserve">Barn </w:t>
            </w:r>
            <w:r w:rsidR="00033CCB">
              <w:rPr>
                <w:sz w:val="22"/>
              </w:rPr>
              <w:t xml:space="preserve">og ungdom </w:t>
            </w:r>
            <w:r w:rsidR="00890C29">
              <w:rPr>
                <w:sz w:val="22"/>
              </w:rPr>
              <w:t>over</w:t>
            </w:r>
            <w:r w:rsidRPr="00B3311E">
              <w:rPr>
                <w:sz w:val="22"/>
              </w:rPr>
              <w:t xml:space="preserve"> 2 år som veier </w:t>
            </w:r>
            <w:r w:rsidR="00B36CC1">
              <w:rPr>
                <w:sz w:val="22"/>
              </w:rPr>
              <w:t>under</w:t>
            </w:r>
            <w:r w:rsidRPr="00B3311E">
              <w:rPr>
                <w:sz w:val="22"/>
              </w:rPr>
              <w:t xml:space="preserve"> 30 kg</w:t>
            </w:r>
          </w:p>
        </w:tc>
        <w:tc>
          <w:tcPr>
            <w:tcW w:w="3096" w:type="dxa"/>
          </w:tcPr>
          <w:p w14:paraId="5A6B4CF2" w14:textId="77777777" w:rsidR="000F7B96" w:rsidRPr="0061743D" w:rsidRDefault="00E453CD" w:rsidP="008111AA">
            <w:pPr>
              <w:keepNext/>
              <w:tabs>
                <w:tab w:val="left" w:pos="0"/>
              </w:tabs>
              <w:rPr>
                <w:sz w:val="22"/>
              </w:rPr>
            </w:pPr>
            <w:r w:rsidRPr="00B3311E">
              <w:rPr>
                <w:sz w:val="22"/>
                <w:szCs w:val="22"/>
              </w:rPr>
              <w:t>20 mg annenhver uke</w:t>
            </w:r>
          </w:p>
        </w:tc>
        <w:tc>
          <w:tcPr>
            <w:tcW w:w="3096" w:type="dxa"/>
          </w:tcPr>
          <w:p w14:paraId="6173D1BA" w14:textId="77777777" w:rsidR="000F7B96" w:rsidRPr="00E00C61" w:rsidRDefault="00E453CD" w:rsidP="00F464CF">
            <w:pPr>
              <w:pStyle w:val="BodyText3"/>
              <w:keepNext/>
              <w:tabs>
                <w:tab w:val="clear" w:pos="-720"/>
              </w:tabs>
              <w:rPr>
                <w:szCs w:val="22"/>
              </w:rPr>
            </w:pPr>
            <w:r>
              <w:rPr>
                <w:b w:val="0"/>
                <w:szCs w:val="22"/>
                <w:lang w:val="nb-NO"/>
              </w:rPr>
              <w:t xml:space="preserve">Legen din kan forskrive en startdose på 40 mg som skal gis én uke før </w:t>
            </w:r>
            <w:r w:rsidR="00F464CF">
              <w:rPr>
                <w:b w:val="0"/>
                <w:szCs w:val="22"/>
                <w:lang w:val="nb-NO"/>
              </w:rPr>
              <w:t xml:space="preserve">oppstart av </w:t>
            </w:r>
            <w:r>
              <w:rPr>
                <w:b w:val="0"/>
                <w:szCs w:val="22"/>
                <w:lang w:val="nb-NO"/>
              </w:rPr>
              <w:t>den vanlige dosen på 20 mg annenhver uke. Det anbefales å bruke Humira sammen med metotreksat.</w:t>
            </w:r>
          </w:p>
        </w:tc>
      </w:tr>
      <w:tr w:rsidR="004644D4" w14:paraId="53EA4AD1" w14:textId="77777777" w:rsidTr="00A77705">
        <w:tc>
          <w:tcPr>
            <w:tcW w:w="3095" w:type="dxa"/>
          </w:tcPr>
          <w:p w14:paraId="7DD83F6B" w14:textId="77777777" w:rsidR="000F7B96" w:rsidRPr="00B3311E" w:rsidRDefault="00E453CD" w:rsidP="00890C29">
            <w:pPr>
              <w:numPr>
                <w:ilvl w:val="12"/>
                <w:numId w:val="0"/>
              </w:numPr>
              <w:ind w:right="-2"/>
              <w:rPr>
                <w:sz w:val="22"/>
              </w:rPr>
            </w:pPr>
            <w:r>
              <w:rPr>
                <w:sz w:val="22"/>
              </w:rPr>
              <w:t xml:space="preserve">Barn </w:t>
            </w:r>
            <w:r w:rsidR="00033CCB">
              <w:rPr>
                <w:sz w:val="22"/>
              </w:rPr>
              <w:t xml:space="preserve">og ungdom </w:t>
            </w:r>
            <w:r w:rsidR="00890C29">
              <w:rPr>
                <w:sz w:val="22"/>
              </w:rPr>
              <w:t>over</w:t>
            </w:r>
            <w:r>
              <w:rPr>
                <w:sz w:val="22"/>
              </w:rPr>
              <w:t xml:space="preserve"> 2 år som veier minst 30 kg</w:t>
            </w:r>
          </w:p>
        </w:tc>
        <w:tc>
          <w:tcPr>
            <w:tcW w:w="3096" w:type="dxa"/>
          </w:tcPr>
          <w:p w14:paraId="6C05E541" w14:textId="77777777" w:rsidR="000F7B96" w:rsidRPr="00B36CC1" w:rsidRDefault="00E453CD" w:rsidP="0024771F">
            <w:pPr>
              <w:tabs>
                <w:tab w:val="left" w:pos="0"/>
              </w:tabs>
              <w:rPr>
                <w:sz w:val="22"/>
              </w:rPr>
            </w:pPr>
            <w:r w:rsidRPr="00B3311E">
              <w:rPr>
                <w:sz w:val="22"/>
                <w:szCs w:val="22"/>
              </w:rPr>
              <w:t>40 mg annenhver uke</w:t>
            </w:r>
          </w:p>
        </w:tc>
        <w:tc>
          <w:tcPr>
            <w:tcW w:w="3096" w:type="dxa"/>
          </w:tcPr>
          <w:p w14:paraId="3938D258" w14:textId="77777777" w:rsidR="000F7B96" w:rsidRPr="00B36CC1" w:rsidRDefault="00E453CD" w:rsidP="00F464CF">
            <w:pPr>
              <w:numPr>
                <w:ilvl w:val="12"/>
                <w:numId w:val="0"/>
              </w:numPr>
              <w:rPr>
                <w:sz w:val="22"/>
              </w:rPr>
            </w:pPr>
            <w:r w:rsidRPr="00B3311E">
              <w:rPr>
                <w:sz w:val="22"/>
                <w:szCs w:val="22"/>
              </w:rPr>
              <w:t>Legen din</w:t>
            </w:r>
            <w:r w:rsidR="00B36CC1" w:rsidRPr="00B36CC1">
              <w:rPr>
                <w:sz w:val="22"/>
                <w:szCs w:val="22"/>
              </w:rPr>
              <w:t xml:space="preserve"> kan forskrive en startdose på 8</w:t>
            </w:r>
            <w:r w:rsidRPr="00B3311E">
              <w:rPr>
                <w:sz w:val="22"/>
                <w:szCs w:val="22"/>
              </w:rPr>
              <w:t xml:space="preserve">0 mg som skal gis én uke før </w:t>
            </w:r>
            <w:r w:rsidR="00F464CF">
              <w:rPr>
                <w:sz w:val="22"/>
                <w:szCs w:val="22"/>
              </w:rPr>
              <w:t xml:space="preserve">oppstart av </w:t>
            </w:r>
            <w:r w:rsidRPr="00B3311E">
              <w:rPr>
                <w:sz w:val="22"/>
                <w:szCs w:val="22"/>
              </w:rPr>
              <w:t xml:space="preserve">den vanlige dosen </w:t>
            </w:r>
            <w:r w:rsidR="00B36CC1" w:rsidRPr="00B36CC1">
              <w:rPr>
                <w:sz w:val="22"/>
                <w:szCs w:val="22"/>
              </w:rPr>
              <w:t>på 4</w:t>
            </w:r>
            <w:r w:rsidRPr="00B3311E">
              <w:rPr>
                <w:sz w:val="22"/>
                <w:szCs w:val="22"/>
              </w:rPr>
              <w:t>0 mg annenhver uke. Det anbefales å bruke Humira sammen med metotreksat.</w:t>
            </w:r>
          </w:p>
        </w:tc>
      </w:tr>
    </w:tbl>
    <w:p w14:paraId="5E450D63" w14:textId="77777777" w:rsidR="00D20B49" w:rsidRPr="00CB538B" w:rsidRDefault="00D20B49" w:rsidP="00D20B49">
      <w:pPr>
        <w:suppressAutoHyphens/>
        <w:rPr>
          <w:sz w:val="22"/>
          <w:szCs w:val="22"/>
        </w:rPr>
      </w:pPr>
    </w:p>
    <w:p w14:paraId="1A1F8A86" w14:textId="77777777" w:rsidR="00D20B49" w:rsidRPr="009C5EFD" w:rsidRDefault="00E453CD" w:rsidP="003764A0">
      <w:pPr>
        <w:keepNext/>
        <w:suppressAutoHyphens/>
        <w:rPr>
          <w:b/>
          <w:sz w:val="22"/>
          <w:szCs w:val="22"/>
        </w:rPr>
      </w:pPr>
      <w:r w:rsidRPr="009C5EFD">
        <w:rPr>
          <w:b/>
          <w:sz w:val="22"/>
          <w:szCs w:val="22"/>
        </w:rPr>
        <w:lastRenderedPageBreak/>
        <w:t>Metode og administrasjonsmåte</w:t>
      </w:r>
    </w:p>
    <w:p w14:paraId="4711FE50" w14:textId="77777777" w:rsidR="00D20B49" w:rsidRPr="009C5EFD" w:rsidRDefault="00D20B49" w:rsidP="003764A0">
      <w:pPr>
        <w:keepNext/>
        <w:suppressAutoHyphens/>
        <w:rPr>
          <w:sz w:val="22"/>
          <w:szCs w:val="22"/>
        </w:rPr>
      </w:pPr>
    </w:p>
    <w:p w14:paraId="18560F6B" w14:textId="77777777" w:rsidR="00D20B49" w:rsidRPr="009C5EFD" w:rsidRDefault="00E453CD" w:rsidP="003764A0">
      <w:pPr>
        <w:keepNext/>
        <w:suppressAutoHyphens/>
        <w:rPr>
          <w:sz w:val="22"/>
          <w:szCs w:val="22"/>
        </w:rPr>
      </w:pPr>
      <w:r w:rsidRPr="009C5EFD">
        <w:rPr>
          <w:sz w:val="22"/>
          <w:szCs w:val="22"/>
        </w:rPr>
        <w:t>Humira administreres (gis) ved injeksjon under huden (ved subkutan injeksjon).</w:t>
      </w:r>
    </w:p>
    <w:p w14:paraId="389A32DF" w14:textId="77777777" w:rsidR="00D20B49" w:rsidRPr="00C11730" w:rsidRDefault="00D20B49" w:rsidP="002427E4">
      <w:pPr>
        <w:suppressAutoHyphens/>
      </w:pPr>
    </w:p>
    <w:p w14:paraId="0E9E54EE" w14:textId="77777777" w:rsidR="000B0B5B" w:rsidRPr="00887835" w:rsidRDefault="00E453CD" w:rsidP="00776A84">
      <w:pPr>
        <w:suppressAutoHyphens/>
        <w:rPr>
          <w:b/>
          <w:sz w:val="22"/>
          <w:szCs w:val="22"/>
        </w:rPr>
      </w:pPr>
      <w:r w:rsidRPr="00887835">
        <w:rPr>
          <w:b/>
          <w:sz w:val="22"/>
          <w:szCs w:val="22"/>
        </w:rPr>
        <w:t xml:space="preserve">Detaljerte instruksjoner om hvordan du injiserer Humira </w:t>
      </w:r>
      <w:r w:rsidR="00F464CF">
        <w:rPr>
          <w:b/>
          <w:sz w:val="22"/>
          <w:szCs w:val="22"/>
        </w:rPr>
        <w:t>finnes</w:t>
      </w:r>
      <w:r w:rsidRPr="00887835">
        <w:rPr>
          <w:b/>
          <w:sz w:val="22"/>
          <w:szCs w:val="22"/>
        </w:rPr>
        <w:t xml:space="preserve"> i avsnitt 7 </w:t>
      </w:r>
      <w:r w:rsidR="00D57009">
        <w:rPr>
          <w:b/>
          <w:sz w:val="22"/>
          <w:szCs w:val="22"/>
        </w:rPr>
        <w:t>«</w:t>
      </w:r>
      <w:r w:rsidR="00B376DE" w:rsidRPr="00B376DE">
        <w:rPr>
          <w:b/>
          <w:sz w:val="22"/>
          <w:szCs w:val="22"/>
        </w:rPr>
        <w:t>Hvordan du injiserer Humira</w:t>
      </w:r>
      <w:r w:rsidR="00D57009">
        <w:rPr>
          <w:b/>
          <w:sz w:val="22"/>
          <w:szCs w:val="22"/>
        </w:rPr>
        <w:t>»</w:t>
      </w:r>
      <w:r w:rsidRPr="00887835">
        <w:rPr>
          <w:b/>
          <w:sz w:val="22"/>
          <w:szCs w:val="22"/>
        </w:rPr>
        <w:t xml:space="preserve">. </w:t>
      </w:r>
    </w:p>
    <w:p w14:paraId="6B2CDF9D" w14:textId="77777777" w:rsidR="00D20B49" w:rsidRPr="009C5EFD" w:rsidRDefault="00D20B49" w:rsidP="00776A84">
      <w:pPr>
        <w:suppressAutoHyphens/>
        <w:rPr>
          <w:sz w:val="22"/>
          <w:szCs w:val="22"/>
        </w:rPr>
      </w:pPr>
    </w:p>
    <w:p w14:paraId="338B69DF" w14:textId="77777777" w:rsidR="00D20B49" w:rsidRPr="009C5EFD" w:rsidRDefault="00E453CD" w:rsidP="00DF48AA">
      <w:pPr>
        <w:keepNext/>
        <w:rPr>
          <w:b/>
          <w:sz w:val="22"/>
          <w:szCs w:val="22"/>
        </w:rPr>
      </w:pPr>
      <w:r w:rsidRPr="009C5EFD">
        <w:rPr>
          <w:b/>
          <w:sz w:val="22"/>
          <w:szCs w:val="22"/>
        </w:rPr>
        <w:t>Dersom du tar for mye av Humira</w:t>
      </w:r>
    </w:p>
    <w:p w14:paraId="06694FC8" w14:textId="77777777" w:rsidR="00D20B49" w:rsidRPr="009C5EFD" w:rsidRDefault="00D20B49" w:rsidP="00DF48AA">
      <w:pPr>
        <w:keepNext/>
        <w:rPr>
          <w:sz w:val="22"/>
          <w:szCs w:val="22"/>
        </w:rPr>
      </w:pPr>
    </w:p>
    <w:p w14:paraId="11264EE0" w14:textId="77777777" w:rsidR="00D20B49" w:rsidRPr="009C5EFD" w:rsidRDefault="00E453CD" w:rsidP="00776A84">
      <w:pPr>
        <w:rPr>
          <w:sz w:val="22"/>
          <w:szCs w:val="22"/>
        </w:rPr>
      </w:pPr>
      <w:r w:rsidRPr="009C5EFD">
        <w:rPr>
          <w:sz w:val="22"/>
          <w:szCs w:val="22"/>
        </w:rPr>
        <w:t xml:space="preserve">Dersom du ved et uhell </w:t>
      </w:r>
      <w:r w:rsidR="00370C4D">
        <w:rPr>
          <w:sz w:val="22"/>
          <w:szCs w:val="22"/>
        </w:rPr>
        <w:t>injiserer</w:t>
      </w:r>
      <w:r w:rsidRPr="009C5EFD">
        <w:rPr>
          <w:sz w:val="22"/>
          <w:szCs w:val="22"/>
        </w:rPr>
        <w:t xml:space="preserve"> Humira oftere enn legen </w:t>
      </w:r>
      <w:r w:rsidR="00E23921">
        <w:rPr>
          <w:sz w:val="22"/>
          <w:szCs w:val="22"/>
        </w:rPr>
        <w:t xml:space="preserve">din </w:t>
      </w:r>
      <w:r w:rsidRPr="009C5EFD">
        <w:rPr>
          <w:sz w:val="22"/>
          <w:szCs w:val="22"/>
        </w:rPr>
        <w:t xml:space="preserve">har forskrevet, oppsøk legen </w:t>
      </w:r>
      <w:r w:rsidR="000E1259">
        <w:rPr>
          <w:sz w:val="22"/>
          <w:szCs w:val="22"/>
        </w:rPr>
        <w:t xml:space="preserve">din </w:t>
      </w:r>
      <w:r w:rsidRPr="009C5EFD">
        <w:rPr>
          <w:sz w:val="22"/>
          <w:szCs w:val="22"/>
        </w:rPr>
        <w:t xml:space="preserve">eller farmasøyt på apotek og fortell </w:t>
      </w:r>
      <w:r w:rsidR="000B0B5B">
        <w:rPr>
          <w:sz w:val="22"/>
          <w:szCs w:val="22"/>
        </w:rPr>
        <w:t>dem</w:t>
      </w:r>
      <w:r w:rsidRPr="009C5EFD">
        <w:rPr>
          <w:sz w:val="22"/>
          <w:szCs w:val="22"/>
        </w:rPr>
        <w:t xml:space="preserve"> at du har tatt for mye. Ta alltid med deg ytterpakningen til legemidlet, selv om den er tom.</w:t>
      </w:r>
    </w:p>
    <w:p w14:paraId="05ACA917" w14:textId="77777777" w:rsidR="00D20B49" w:rsidRPr="009C5EFD" w:rsidRDefault="00D20B49" w:rsidP="00D20B49">
      <w:pPr>
        <w:rPr>
          <w:b/>
          <w:sz w:val="22"/>
          <w:szCs w:val="22"/>
        </w:rPr>
      </w:pPr>
    </w:p>
    <w:p w14:paraId="4BDF964B" w14:textId="77777777" w:rsidR="00D20B49" w:rsidRPr="009C5EFD" w:rsidRDefault="00E453CD" w:rsidP="00D00F56">
      <w:pPr>
        <w:keepNext/>
        <w:rPr>
          <w:b/>
          <w:sz w:val="22"/>
          <w:szCs w:val="22"/>
        </w:rPr>
      </w:pPr>
      <w:r w:rsidRPr="009C5EFD">
        <w:rPr>
          <w:b/>
          <w:sz w:val="22"/>
          <w:szCs w:val="22"/>
        </w:rPr>
        <w:t>Dersom du har glemt å ta Humira</w:t>
      </w:r>
    </w:p>
    <w:p w14:paraId="5B95AB43" w14:textId="77777777" w:rsidR="00D20B49" w:rsidRPr="009C5EFD" w:rsidRDefault="00D20B49" w:rsidP="00D00F56">
      <w:pPr>
        <w:keepNext/>
        <w:rPr>
          <w:sz w:val="22"/>
          <w:szCs w:val="22"/>
        </w:rPr>
      </w:pPr>
    </w:p>
    <w:p w14:paraId="17D81863" w14:textId="77777777" w:rsidR="00D20B49" w:rsidRPr="009C5EFD" w:rsidRDefault="00E453CD" w:rsidP="00776A84">
      <w:pPr>
        <w:rPr>
          <w:sz w:val="22"/>
          <w:szCs w:val="22"/>
        </w:rPr>
      </w:pPr>
      <w:r w:rsidRPr="009C5EFD">
        <w:rPr>
          <w:sz w:val="22"/>
          <w:szCs w:val="22"/>
        </w:rPr>
        <w:t xml:space="preserve">Dersom du har glemt å ta Humira, skal du sette neste dose så snart du </w:t>
      </w:r>
      <w:r w:rsidRPr="009C5EFD">
        <w:rPr>
          <w:color w:val="000000"/>
          <w:sz w:val="22"/>
          <w:szCs w:val="22"/>
        </w:rPr>
        <w:t xml:space="preserve">husker </w:t>
      </w:r>
      <w:r w:rsidRPr="009C5EFD">
        <w:rPr>
          <w:sz w:val="22"/>
          <w:szCs w:val="22"/>
        </w:rPr>
        <w:t xml:space="preserve">det. </w:t>
      </w:r>
      <w:r w:rsidRPr="009C5EFD">
        <w:rPr>
          <w:color w:val="000000"/>
          <w:sz w:val="22"/>
          <w:szCs w:val="22"/>
        </w:rPr>
        <w:t>Deretter</w:t>
      </w:r>
      <w:r w:rsidRPr="009C5EFD">
        <w:rPr>
          <w:sz w:val="22"/>
          <w:szCs w:val="22"/>
        </w:rPr>
        <w:t xml:space="preserve"> kan du sette neste dose den dagen det opprinnelig var planlagt, som om du ikke hadde glemt en dose.</w:t>
      </w:r>
    </w:p>
    <w:p w14:paraId="582C48C8" w14:textId="77777777" w:rsidR="00D20B49" w:rsidRPr="009C5EFD" w:rsidRDefault="00D20B49" w:rsidP="00D20B49">
      <w:pPr>
        <w:rPr>
          <w:sz w:val="22"/>
          <w:szCs w:val="22"/>
        </w:rPr>
      </w:pPr>
    </w:p>
    <w:p w14:paraId="35F1110D" w14:textId="77777777" w:rsidR="00D20B49" w:rsidRPr="009C5EFD" w:rsidRDefault="00E453CD" w:rsidP="00802544">
      <w:pPr>
        <w:keepNext/>
        <w:rPr>
          <w:b/>
          <w:sz w:val="22"/>
          <w:szCs w:val="22"/>
        </w:rPr>
      </w:pPr>
      <w:r w:rsidRPr="009C5EFD">
        <w:rPr>
          <w:b/>
          <w:sz w:val="22"/>
          <w:szCs w:val="22"/>
        </w:rPr>
        <w:t>Dersom du avbryter behandling med Humira</w:t>
      </w:r>
    </w:p>
    <w:p w14:paraId="7C27E4E1" w14:textId="77777777" w:rsidR="00D20B49" w:rsidRPr="009C5EFD" w:rsidRDefault="00D20B49" w:rsidP="00802544">
      <w:pPr>
        <w:keepNext/>
        <w:suppressAutoHyphens/>
        <w:rPr>
          <w:sz w:val="22"/>
          <w:szCs w:val="22"/>
        </w:rPr>
      </w:pPr>
    </w:p>
    <w:p w14:paraId="21847EAE" w14:textId="77777777" w:rsidR="00D20B49" w:rsidRPr="009C5EFD" w:rsidRDefault="00E453CD" w:rsidP="00776A84">
      <w:pPr>
        <w:rPr>
          <w:sz w:val="22"/>
          <w:szCs w:val="22"/>
        </w:rPr>
      </w:pPr>
      <w:r w:rsidRPr="009C5EFD">
        <w:rPr>
          <w:sz w:val="22"/>
          <w:szCs w:val="22"/>
        </w:rPr>
        <w:t xml:space="preserve">Beslutningen om å avbryte behandling med Humira bør diskuteres med </w:t>
      </w:r>
      <w:r>
        <w:rPr>
          <w:sz w:val="22"/>
          <w:szCs w:val="22"/>
        </w:rPr>
        <w:t>legen din</w:t>
      </w:r>
      <w:r w:rsidRPr="009C5EFD">
        <w:rPr>
          <w:sz w:val="22"/>
          <w:szCs w:val="22"/>
        </w:rPr>
        <w:t xml:space="preserve">. Dine symptomer kan komme tilbake </w:t>
      </w:r>
      <w:r w:rsidR="000E1259">
        <w:rPr>
          <w:sz w:val="22"/>
          <w:szCs w:val="22"/>
        </w:rPr>
        <w:t>hvis du slutter å bruke Humira</w:t>
      </w:r>
      <w:r w:rsidRPr="009C5EFD">
        <w:rPr>
          <w:sz w:val="22"/>
          <w:szCs w:val="22"/>
        </w:rPr>
        <w:t>.</w:t>
      </w:r>
    </w:p>
    <w:p w14:paraId="72FCA543" w14:textId="77777777" w:rsidR="00D20B49" w:rsidRPr="009C5EFD" w:rsidRDefault="00D20B49" w:rsidP="00D20B49">
      <w:pPr>
        <w:rPr>
          <w:sz w:val="22"/>
          <w:szCs w:val="22"/>
        </w:rPr>
      </w:pPr>
    </w:p>
    <w:p w14:paraId="615CE330" w14:textId="77777777" w:rsidR="00D20B49" w:rsidRPr="009C5EFD" w:rsidRDefault="00E453CD" w:rsidP="00D20B49">
      <w:pPr>
        <w:rPr>
          <w:sz w:val="22"/>
          <w:szCs w:val="22"/>
        </w:rPr>
      </w:pPr>
      <w:r w:rsidRPr="009C5EFD">
        <w:rPr>
          <w:sz w:val="22"/>
          <w:szCs w:val="22"/>
        </w:rPr>
        <w:t>Spør lege eller apotek dersom du har noen spørsmål om bruken av dette legemidlet.</w:t>
      </w:r>
    </w:p>
    <w:p w14:paraId="43849F59" w14:textId="77777777" w:rsidR="00D20B49" w:rsidRPr="009C5EFD" w:rsidRDefault="00D20B49" w:rsidP="00D20B49">
      <w:pPr>
        <w:suppressAutoHyphens/>
        <w:rPr>
          <w:sz w:val="22"/>
          <w:szCs w:val="22"/>
        </w:rPr>
      </w:pPr>
    </w:p>
    <w:p w14:paraId="51E1FD49" w14:textId="77777777" w:rsidR="00D20B49" w:rsidRPr="009C5EFD" w:rsidRDefault="00D20B49" w:rsidP="00D20B49">
      <w:pPr>
        <w:suppressAutoHyphens/>
        <w:rPr>
          <w:sz w:val="22"/>
          <w:szCs w:val="22"/>
        </w:rPr>
      </w:pPr>
    </w:p>
    <w:p w14:paraId="65BEBF32" w14:textId="77777777" w:rsidR="00D20B49" w:rsidRPr="009C5EFD" w:rsidRDefault="00E453CD" w:rsidP="00D20B49">
      <w:pPr>
        <w:keepNext/>
        <w:tabs>
          <w:tab w:val="left" w:pos="567"/>
        </w:tabs>
        <w:suppressAutoHyphens/>
        <w:rPr>
          <w:b/>
          <w:sz w:val="22"/>
          <w:szCs w:val="22"/>
        </w:rPr>
      </w:pPr>
      <w:r w:rsidRPr="009C5EFD">
        <w:rPr>
          <w:b/>
          <w:sz w:val="22"/>
          <w:szCs w:val="22"/>
        </w:rPr>
        <w:t>4.</w:t>
      </w:r>
      <w:r w:rsidRPr="009C5EFD">
        <w:rPr>
          <w:b/>
          <w:sz w:val="22"/>
          <w:szCs w:val="22"/>
        </w:rPr>
        <w:tab/>
        <w:t>Mulige bivirkninger</w:t>
      </w:r>
    </w:p>
    <w:p w14:paraId="61B9CDA9" w14:textId="77777777" w:rsidR="00D20B49" w:rsidRPr="009C5EFD" w:rsidRDefault="00D20B49" w:rsidP="00D20B49">
      <w:pPr>
        <w:keepNext/>
        <w:suppressAutoHyphens/>
        <w:rPr>
          <w:sz w:val="22"/>
          <w:szCs w:val="22"/>
        </w:rPr>
      </w:pPr>
    </w:p>
    <w:p w14:paraId="3013A6D6" w14:textId="77777777" w:rsidR="00D20B49" w:rsidRPr="009C5EFD" w:rsidRDefault="00E453CD" w:rsidP="00776A84">
      <w:pPr>
        <w:suppressAutoHyphens/>
        <w:rPr>
          <w:sz w:val="22"/>
          <w:szCs w:val="22"/>
        </w:rPr>
      </w:pPr>
      <w:r w:rsidRPr="009C5EFD">
        <w:rPr>
          <w:sz w:val="22"/>
          <w:szCs w:val="22"/>
        </w:rPr>
        <w:t>Som alle legemidler kan dette legemidlet forårsake bivirkninger, men ikke alle får det. De fleste bivirkningene er milde til moderate. Noen kan imidlertid være alvorlige og kreve behandling. Bivirkninger kan oppstå i minst 4 måneder etter siste injeksjon med Humira.</w:t>
      </w:r>
    </w:p>
    <w:p w14:paraId="7CF41C6E" w14:textId="77777777" w:rsidR="00D20B49" w:rsidRPr="009C5EFD" w:rsidRDefault="00D20B49" w:rsidP="00D20B49">
      <w:pPr>
        <w:suppressAutoHyphens/>
        <w:rPr>
          <w:sz w:val="22"/>
          <w:szCs w:val="22"/>
        </w:rPr>
      </w:pPr>
    </w:p>
    <w:p w14:paraId="3BF3AD1C" w14:textId="77777777" w:rsidR="00D20B49" w:rsidRPr="009C5EFD" w:rsidRDefault="00E453CD" w:rsidP="00776A84">
      <w:pPr>
        <w:keepNext/>
        <w:suppressAutoHyphens/>
        <w:rPr>
          <w:sz w:val="22"/>
          <w:szCs w:val="22"/>
        </w:rPr>
      </w:pPr>
      <w:r w:rsidRPr="00887835">
        <w:rPr>
          <w:b/>
          <w:sz w:val="22"/>
          <w:szCs w:val="22"/>
        </w:rPr>
        <w:t>Gi beskjed til legen din umiddelbart dersom</w:t>
      </w:r>
      <w:r w:rsidRPr="0061743D">
        <w:rPr>
          <w:b/>
          <w:sz w:val="22"/>
        </w:rPr>
        <w:t xml:space="preserve"> du merker noe av det følgende</w:t>
      </w:r>
    </w:p>
    <w:p w14:paraId="0E44DC79" w14:textId="77777777" w:rsidR="000E1259" w:rsidRPr="009C5EFD" w:rsidRDefault="000E1259" w:rsidP="00776A84">
      <w:pPr>
        <w:keepNext/>
        <w:suppressAutoHyphens/>
        <w:rPr>
          <w:sz w:val="22"/>
          <w:szCs w:val="22"/>
        </w:rPr>
      </w:pPr>
    </w:p>
    <w:p w14:paraId="02CAC482" w14:textId="77777777" w:rsidR="00D20B49" w:rsidRPr="009C5EFD" w:rsidRDefault="00E453CD" w:rsidP="00D20B49">
      <w:pPr>
        <w:numPr>
          <w:ilvl w:val="0"/>
          <w:numId w:val="7"/>
        </w:numPr>
        <w:tabs>
          <w:tab w:val="clear" w:pos="720"/>
          <w:tab w:val="num" w:pos="567"/>
        </w:tabs>
        <w:suppressAutoHyphens/>
        <w:ind w:left="567" w:hanging="567"/>
        <w:rPr>
          <w:sz w:val="22"/>
          <w:szCs w:val="22"/>
        </w:rPr>
      </w:pPr>
      <w:r>
        <w:rPr>
          <w:sz w:val="22"/>
          <w:szCs w:val="22"/>
        </w:rPr>
        <w:t>a</w:t>
      </w:r>
      <w:r w:rsidRPr="009C5EFD">
        <w:rPr>
          <w:sz w:val="22"/>
          <w:szCs w:val="22"/>
        </w:rPr>
        <w:t>lvorlig utslett, elveblest eller andre tegn på allergisk reaksjon</w:t>
      </w:r>
    </w:p>
    <w:p w14:paraId="37E16BB2" w14:textId="77777777" w:rsidR="00D20B49" w:rsidRPr="009C5EFD" w:rsidRDefault="00E453CD" w:rsidP="00D20B49">
      <w:pPr>
        <w:numPr>
          <w:ilvl w:val="0"/>
          <w:numId w:val="7"/>
        </w:numPr>
        <w:tabs>
          <w:tab w:val="clear" w:pos="720"/>
          <w:tab w:val="num" w:pos="567"/>
        </w:tabs>
        <w:suppressAutoHyphens/>
        <w:ind w:left="567" w:hanging="567"/>
        <w:rPr>
          <w:sz w:val="22"/>
          <w:szCs w:val="22"/>
        </w:rPr>
      </w:pPr>
      <w:r>
        <w:rPr>
          <w:sz w:val="22"/>
          <w:szCs w:val="22"/>
        </w:rPr>
        <w:t>h</w:t>
      </w:r>
      <w:r w:rsidRPr="009C5EFD">
        <w:rPr>
          <w:sz w:val="22"/>
          <w:szCs w:val="22"/>
        </w:rPr>
        <w:t>ovent ansikt, hender, føtter</w:t>
      </w:r>
    </w:p>
    <w:p w14:paraId="5DED558B" w14:textId="77777777" w:rsidR="00D20B49" w:rsidRPr="009C5EFD" w:rsidRDefault="00E453CD" w:rsidP="00D20B49">
      <w:pPr>
        <w:numPr>
          <w:ilvl w:val="0"/>
          <w:numId w:val="7"/>
        </w:numPr>
        <w:tabs>
          <w:tab w:val="clear" w:pos="720"/>
          <w:tab w:val="num" w:pos="567"/>
        </w:tabs>
        <w:suppressAutoHyphens/>
        <w:ind w:left="567" w:hanging="567"/>
        <w:rPr>
          <w:sz w:val="22"/>
          <w:szCs w:val="22"/>
        </w:rPr>
      </w:pPr>
      <w:r>
        <w:rPr>
          <w:sz w:val="22"/>
          <w:szCs w:val="22"/>
        </w:rPr>
        <w:t>p</w:t>
      </w:r>
      <w:r w:rsidRPr="009C5EFD">
        <w:rPr>
          <w:sz w:val="22"/>
          <w:szCs w:val="22"/>
        </w:rPr>
        <w:t>uste-, svelgebesvær</w:t>
      </w:r>
    </w:p>
    <w:p w14:paraId="74F7AA15" w14:textId="77777777" w:rsidR="00D20B49" w:rsidRPr="009C5EFD" w:rsidRDefault="00E453CD" w:rsidP="00D20B49">
      <w:pPr>
        <w:numPr>
          <w:ilvl w:val="0"/>
          <w:numId w:val="7"/>
        </w:numPr>
        <w:tabs>
          <w:tab w:val="clear" w:pos="720"/>
          <w:tab w:val="num" w:pos="567"/>
        </w:tabs>
        <w:suppressAutoHyphens/>
        <w:ind w:left="567" w:hanging="567"/>
        <w:rPr>
          <w:sz w:val="22"/>
          <w:szCs w:val="22"/>
        </w:rPr>
      </w:pPr>
      <w:r>
        <w:rPr>
          <w:sz w:val="22"/>
          <w:szCs w:val="22"/>
        </w:rPr>
        <w:t>k</w:t>
      </w:r>
      <w:r w:rsidRPr="009C5EFD">
        <w:rPr>
          <w:sz w:val="22"/>
          <w:szCs w:val="22"/>
        </w:rPr>
        <w:t xml:space="preserve">ortpustethet i forbindelse med </w:t>
      </w:r>
      <w:r w:rsidR="000E1259">
        <w:rPr>
          <w:sz w:val="22"/>
          <w:szCs w:val="22"/>
        </w:rPr>
        <w:t>fysisk aktivitet</w:t>
      </w:r>
      <w:r w:rsidRPr="009C5EFD">
        <w:rPr>
          <w:sz w:val="22"/>
          <w:szCs w:val="22"/>
        </w:rPr>
        <w:t xml:space="preserve"> eller når man ligger ned, eller hevelse i føttene</w:t>
      </w:r>
    </w:p>
    <w:p w14:paraId="5C44D9BE" w14:textId="77777777" w:rsidR="00D20B49" w:rsidRPr="009C5EFD" w:rsidRDefault="00D20B49" w:rsidP="00D20B49">
      <w:pPr>
        <w:tabs>
          <w:tab w:val="num" w:pos="567"/>
        </w:tabs>
        <w:suppressAutoHyphens/>
        <w:ind w:left="567" w:hanging="567"/>
        <w:rPr>
          <w:sz w:val="22"/>
          <w:szCs w:val="22"/>
        </w:rPr>
      </w:pPr>
    </w:p>
    <w:p w14:paraId="58624070" w14:textId="77777777" w:rsidR="00D20B49" w:rsidRPr="009C5EFD" w:rsidRDefault="00E453CD" w:rsidP="00776A84">
      <w:pPr>
        <w:keepNext/>
        <w:tabs>
          <w:tab w:val="num" w:pos="567"/>
        </w:tabs>
        <w:suppressAutoHyphens/>
        <w:ind w:left="567" w:hanging="567"/>
        <w:rPr>
          <w:sz w:val="22"/>
          <w:szCs w:val="22"/>
        </w:rPr>
      </w:pPr>
      <w:r w:rsidRPr="0061743D">
        <w:rPr>
          <w:b/>
          <w:sz w:val="22"/>
        </w:rPr>
        <w:t xml:space="preserve">Gi beskjed til legen </w:t>
      </w:r>
      <w:r w:rsidR="000E1259" w:rsidRPr="00887835">
        <w:rPr>
          <w:b/>
          <w:sz w:val="22"/>
          <w:szCs w:val="22"/>
        </w:rPr>
        <w:t xml:space="preserve">din </w:t>
      </w:r>
      <w:r w:rsidRPr="0061743D">
        <w:rPr>
          <w:b/>
          <w:sz w:val="22"/>
        </w:rPr>
        <w:t>så raskt som mulig dersom du merker noe av dette</w:t>
      </w:r>
    </w:p>
    <w:p w14:paraId="4C4EF08A" w14:textId="77777777" w:rsidR="000E1259" w:rsidRPr="009C5EFD" w:rsidRDefault="000E1259" w:rsidP="00776A84">
      <w:pPr>
        <w:keepNext/>
        <w:tabs>
          <w:tab w:val="num" w:pos="567"/>
        </w:tabs>
        <w:suppressAutoHyphens/>
        <w:ind w:left="567" w:hanging="567"/>
        <w:rPr>
          <w:sz w:val="22"/>
          <w:szCs w:val="22"/>
        </w:rPr>
      </w:pPr>
    </w:p>
    <w:p w14:paraId="0B6EAE89"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t</w:t>
      </w:r>
      <w:r w:rsidRPr="009C5EFD">
        <w:rPr>
          <w:sz w:val="22"/>
          <w:szCs w:val="22"/>
        </w:rPr>
        <w:t>egn på infeksjoner, som feber, uvelhet, sår, tannproblemer, svie ved vannlating</w:t>
      </w:r>
    </w:p>
    <w:p w14:paraId="302A6D6D"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f</w:t>
      </w:r>
      <w:r w:rsidRPr="009C5EFD">
        <w:rPr>
          <w:sz w:val="22"/>
          <w:szCs w:val="22"/>
        </w:rPr>
        <w:t>ølelse av svakhet eller tretthet</w:t>
      </w:r>
    </w:p>
    <w:p w14:paraId="66B4B627"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h</w:t>
      </w:r>
      <w:r w:rsidRPr="009C5EFD">
        <w:rPr>
          <w:sz w:val="22"/>
          <w:szCs w:val="22"/>
        </w:rPr>
        <w:t>oste</w:t>
      </w:r>
    </w:p>
    <w:p w14:paraId="3DBCE1EA"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p</w:t>
      </w:r>
      <w:r w:rsidRPr="009C5EFD">
        <w:rPr>
          <w:sz w:val="22"/>
          <w:szCs w:val="22"/>
        </w:rPr>
        <w:t>rikking</w:t>
      </w:r>
    </w:p>
    <w:p w14:paraId="1233AF7E"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n</w:t>
      </w:r>
      <w:r w:rsidRPr="009C5EFD">
        <w:rPr>
          <w:sz w:val="22"/>
          <w:szCs w:val="22"/>
        </w:rPr>
        <w:t>ummenhet</w:t>
      </w:r>
    </w:p>
    <w:p w14:paraId="63E03450"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d</w:t>
      </w:r>
      <w:r w:rsidRPr="009C5EFD">
        <w:rPr>
          <w:sz w:val="22"/>
          <w:szCs w:val="22"/>
        </w:rPr>
        <w:t>obbeltsyn</w:t>
      </w:r>
    </w:p>
    <w:p w14:paraId="2B43BC1A"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s</w:t>
      </w:r>
      <w:r w:rsidRPr="009C5EFD">
        <w:rPr>
          <w:sz w:val="22"/>
          <w:szCs w:val="22"/>
        </w:rPr>
        <w:t>vakhet i armer eller bein</w:t>
      </w:r>
    </w:p>
    <w:p w14:paraId="6093FF85"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e</w:t>
      </w:r>
      <w:r w:rsidRPr="009C5EFD">
        <w:rPr>
          <w:sz w:val="22"/>
          <w:szCs w:val="22"/>
        </w:rPr>
        <w:t>n kul eller åpent sår som ikke gror</w:t>
      </w:r>
    </w:p>
    <w:p w14:paraId="28BE757F" w14:textId="77777777" w:rsidR="00D20B49" w:rsidRPr="009C5EFD" w:rsidRDefault="00E453CD" w:rsidP="00D20B49">
      <w:pPr>
        <w:numPr>
          <w:ilvl w:val="0"/>
          <w:numId w:val="8"/>
        </w:numPr>
        <w:tabs>
          <w:tab w:val="clear" w:pos="720"/>
          <w:tab w:val="num" w:pos="567"/>
        </w:tabs>
        <w:suppressAutoHyphens/>
        <w:ind w:left="567" w:hanging="567"/>
        <w:rPr>
          <w:sz w:val="22"/>
          <w:szCs w:val="22"/>
        </w:rPr>
      </w:pPr>
      <w:r>
        <w:rPr>
          <w:sz w:val="22"/>
          <w:szCs w:val="22"/>
        </w:rPr>
        <w:t>t</w:t>
      </w:r>
      <w:r w:rsidRPr="009C5EFD">
        <w:rPr>
          <w:sz w:val="22"/>
          <w:szCs w:val="22"/>
        </w:rPr>
        <w:t xml:space="preserve">egn og symptomer på blodsykdommer som </w:t>
      </w:r>
      <w:r w:rsidR="001A1AC5">
        <w:rPr>
          <w:sz w:val="22"/>
          <w:szCs w:val="22"/>
        </w:rPr>
        <w:t>f.eks.</w:t>
      </w:r>
      <w:r w:rsidRPr="009C5EFD">
        <w:rPr>
          <w:sz w:val="22"/>
          <w:szCs w:val="22"/>
        </w:rPr>
        <w:t xml:space="preserve"> vedvarende feber, blåmerker, blødninger, blekhet</w:t>
      </w:r>
    </w:p>
    <w:p w14:paraId="2DAE5D5C" w14:textId="77777777" w:rsidR="00D20B49" w:rsidRPr="009C5EFD" w:rsidRDefault="00D20B49" w:rsidP="00D20B49">
      <w:pPr>
        <w:suppressAutoHyphens/>
        <w:rPr>
          <w:sz w:val="22"/>
          <w:szCs w:val="22"/>
        </w:rPr>
      </w:pPr>
    </w:p>
    <w:p w14:paraId="15404C32" w14:textId="77777777" w:rsidR="00D20B49" w:rsidRPr="009C5EFD" w:rsidRDefault="00E453CD" w:rsidP="00D20B49">
      <w:pPr>
        <w:suppressAutoHyphens/>
        <w:rPr>
          <w:sz w:val="22"/>
          <w:szCs w:val="22"/>
        </w:rPr>
      </w:pPr>
      <w:r w:rsidRPr="009C5EFD">
        <w:rPr>
          <w:sz w:val="22"/>
          <w:szCs w:val="22"/>
        </w:rPr>
        <w:t>Symptomene beskrevet over kan være tegn på bivirkningene nedenfor, som er sett med Humira</w:t>
      </w:r>
      <w:r w:rsidR="00B36CC1">
        <w:rPr>
          <w:sz w:val="22"/>
          <w:szCs w:val="22"/>
        </w:rPr>
        <w:t>.</w:t>
      </w:r>
    </w:p>
    <w:p w14:paraId="5EB7CF5D" w14:textId="77777777" w:rsidR="00D20B49" w:rsidRPr="009C5EFD" w:rsidRDefault="00D20B49" w:rsidP="00D20B49">
      <w:pPr>
        <w:suppressAutoHyphens/>
        <w:rPr>
          <w:sz w:val="22"/>
          <w:szCs w:val="22"/>
        </w:rPr>
      </w:pPr>
    </w:p>
    <w:p w14:paraId="4C9AFB46" w14:textId="77777777" w:rsidR="000E1259" w:rsidRDefault="00E453CD" w:rsidP="00776A84">
      <w:pPr>
        <w:keepNext/>
        <w:suppressAutoHyphens/>
        <w:rPr>
          <w:sz w:val="22"/>
          <w:szCs w:val="22"/>
        </w:rPr>
      </w:pPr>
      <w:r w:rsidRPr="0061743D">
        <w:rPr>
          <w:b/>
          <w:sz w:val="22"/>
        </w:rPr>
        <w:lastRenderedPageBreak/>
        <w:t>Svært vanlige</w:t>
      </w:r>
      <w:r w:rsidRPr="009C5EFD">
        <w:rPr>
          <w:sz w:val="22"/>
          <w:szCs w:val="22"/>
        </w:rPr>
        <w:t xml:space="preserve"> (kan forekomme hos flere enn 1 av 10 personer)</w:t>
      </w:r>
    </w:p>
    <w:p w14:paraId="70A69A1F" w14:textId="77777777" w:rsidR="00D20B49" w:rsidRPr="009C5EFD" w:rsidRDefault="00D20B49" w:rsidP="00776A84">
      <w:pPr>
        <w:keepNext/>
        <w:suppressAutoHyphens/>
        <w:rPr>
          <w:sz w:val="22"/>
          <w:szCs w:val="22"/>
        </w:rPr>
      </w:pPr>
    </w:p>
    <w:p w14:paraId="42739478"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reaksjoner på injeksjonsstedet (inkludert smerte</w:t>
      </w:r>
      <w:r>
        <w:rPr>
          <w:sz w:val="22"/>
          <w:szCs w:val="22"/>
        </w:rPr>
        <w:t>r</w:t>
      </w:r>
      <w:r w:rsidRPr="009C5EFD">
        <w:rPr>
          <w:sz w:val="22"/>
          <w:szCs w:val="22"/>
        </w:rPr>
        <w:t>, hevelse, rødme eller kløe)</w:t>
      </w:r>
    </w:p>
    <w:p w14:paraId="67138726"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luftveisinfeksjon (inkludert forkjølelse, rennende nese, bihulebetennelse, lungebetennelse)</w:t>
      </w:r>
    </w:p>
    <w:p w14:paraId="7334A88C"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hodepine</w:t>
      </w:r>
    </w:p>
    <w:p w14:paraId="46330AB4"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smerter i buken</w:t>
      </w:r>
    </w:p>
    <w:p w14:paraId="2F2E815F"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kvalme og oppkast</w:t>
      </w:r>
    </w:p>
    <w:p w14:paraId="2625D528"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utslett</w:t>
      </w:r>
    </w:p>
    <w:p w14:paraId="146F297D"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smerter i muskler og skjelett</w:t>
      </w:r>
    </w:p>
    <w:p w14:paraId="07975E9B" w14:textId="77777777" w:rsidR="00D20B49" w:rsidRPr="009C5EFD" w:rsidRDefault="00D20B49" w:rsidP="00D20B49">
      <w:pPr>
        <w:pStyle w:val="EndnoteText"/>
        <w:widowControl/>
        <w:tabs>
          <w:tab w:val="clear" w:pos="567"/>
        </w:tabs>
        <w:suppressAutoHyphens/>
        <w:rPr>
          <w:szCs w:val="22"/>
          <w:lang w:val="nb-NO"/>
        </w:rPr>
      </w:pPr>
    </w:p>
    <w:p w14:paraId="55150AA4" w14:textId="77777777" w:rsidR="000E1259" w:rsidRDefault="00E453CD" w:rsidP="00776A84">
      <w:pPr>
        <w:keepNext/>
        <w:suppressAutoHyphens/>
        <w:rPr>
          <w:sz w:val="22"/>
          <w:szCs w:val="22"/>
        </w:rPr>
      </w:pPr>
      <w:r w:rsidRPr="0061743D">
        <w:rPr>
          <w:b/>
          <w:sz w:val="22"/>
        </w:rPr>
        <w:t>Vanlige</w:t>
      </w:r>
      <w:r w:rsidRPr="009C5EFD">
        <w:rPr>
          <w:sz w:val="22"/>
          <w:szCs w:val="22"/>
        </w:rPr>
        <w:t xml:space="preserve"> (kan forekomme hos opptil 1 av 10 personer)</w:t>
      </w:r>
    </w:p>
    <w:p w14:paraId="23462779" w14:textId="77777777" w:rsidR="00D20B49" w:rsidRPr="009C5EFD" w:rsidRDefault="00D20B49" w:rsidP="00776A84">
      <w:pPr>
        <w:keepNext/>
        <w:suppressAutoHyphens/>
        <w:rPr>
          <w:sz w:val="22"/>
          <w:szCs w:val="22"/>
        </w:rPr>
      </w:pPr>
    </w:p>
    <w:p w14:paraId="55650407" w14:textId="77777777" w:rsidR="00D20B49" w:rsidRPr="00B64F75" w:rsidRDefault="00E453CD" w:rsidP="0061743D">
      <w:pPr>
        <w:numPr>
          <w:ilvl w:val="0"/>
          <w:numId w:val="9"/>
        </w:numPr>
        <w:tabs>
          <w:tab w:val="clear" w:pos="720"/>
          <w:tab w:val="num" w:pos="540"/>
        </w:tabs>
        <w:suppressAutoHyphens/>
        <w:ind w:left="540" w:hanging="540"/>
        <w:rPr>
          <w:sz w:val="22"/>
          <w:szCs w:val="22"/>
        </w:rPr>
      </w:pPr>
      <w:r>
        <w:rPr>
          <w:sz w:val="22"/>
          <w:szCs w:val="22"/>
        </w:rPr>
        <w:t>alvorlige</w:t>
      </w:r>
      <w:r w:rsidR="00B64F75" w:rsidRPr="009C5EFD">
        <w:rPr>
          <w:sz w:val="22"/>
          <w:szCs w:val="22"/>
        </w:rPr>
        <w:t xml:space="preserve"> </w:t>
      </w:r>
      <w:r w:rsidRPr="009C5EFD">
        <w:rPr>
          <w:sz w:val="22"/>
          <w:szCs w:val="22"/>
        </w:rPr>
        <w:t>infeksjoner (inkludert blodforgiftning og influensa</w:t>
      </w:r>
      <w:r w:rsidRPr="00051CE1">
        <w:rPr>
          <w:sz w:val="22"/>
        </w:rPr>
        <w:t>)</w:t>
      </w:r>
    </w:p>
    <w:p w14:paraId="1F586DCA" w14:textId="77777777" w:rsidR="00B64F75" w:rsidRPr="009C5EFD" w:rsidRDefault="00E453CD" w:rsidP="0061743D">
      <w:pPr>
        <w:numPr>
          <w:ilvl w:val="0"/>
          <w:numId w:val="9"/>
        </w:numPr>
        <w:tabs>
          <w:tab w:val="clear" w:pos="720"/>
          <w:tab w:val="num" w:pos="540"/>
        </w:tabs>
        <w:suppressAutoHyphens/>
        <w:ind w:left="540" w:hanging="540"/>
        <w:rPr>
          <w:sz w:val="22"/>
          <w:szCs w:val="22"/>
        </w:rPr>
      </w:pPr>
      <w:r>
        <w:rPr>
          <w:sz w:val="22"/>
        </w:rPr>
        <w:t>mageinfeksjon (inkludert gastroenteritt)</w:t>
      </w:r>
    </w:p>
    <w:p w14:paraId="1E78B1C8"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9C5EFD">
        <w:rPr>
          <w:sz w:val="22"/>
          <w:szCs w:val="22"/>
        </w:rPr>
        <w:t>hudinfeksjon (inkludert cellulitt (betennelse med hevelse og ømhet i bindevev) og helvetesild</w:t>
      </w:r>
      <w:r w:rsidRPr="00051CE1">
        <w:rPr>
          <w:sz w:val="22"/>
        </w:rPr>
        <w:t>)</w:t>
      </w:r>
    </w:p>
    <w:p w14:paraId="1748FF81"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øreinfeksjon</w:t>
      </w:r>
    </w:p>
    <w:p w14:paraId="667EB407"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9C5EFD">
        <w:rPr>
          <w:sz w:val="22"/>
          <w:szCs w:val="22"/>
        </w:rPr>
        <w:t>munninfeksjon (inkludert tanninfeksjoner og forkjølelsessår</w:t>
      </w:r>
      <w:r w:rsidRPr="00051CE1">
        <w:rPr>
          <w:sz w:val="22"/>
        </w:rPr>
        <w:t>)</w:t>
      </w:r>
    </w:p>
    <w:p w14:paraId="25CD6B47"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infeksjoner i forplantningskanal</w:t>
      </w:r>
    </w:p>
    <w:p w14:paraId="54994A80"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urinveisinfeksjon</w:t>
      </w:r>
    </w:p>
    <w:p w14:paraId="17CBE3D3"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 xml:space="preserve">soppinfeksjon </w:t>
      </w:r>
    </w:p>
    <w:p w14:paraId="03EFC888"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leddinfeksjoner</w:t>
      </w:r>
    </w:p>
    <w:p w14:paraId="20ECC9B2"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godartede tumorer</w:t>
      </w:r>
    </w:p>
    <w:p w14:paraId="370285A9"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hudkreft</w:t>
      </w:r>
    </w:p>
    <w:p w14:paraId="76CE6F9F"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allergiske reaksjoner (inkludert sesongallergi</w:t>
      </w:r>
      <w:r w:rsidRPr="00887835">
        <w:rPr>
          <w:sz w:val="22"/>
          <w:lang w:val="en-GB"/>
        </w:rPr>
        <w:t>)</w:t>
      </w:r>
    </w:p>
    <w:p w14:paraId="689D0EAF"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dehydrering</w:t>
      </w:r>
    </w:p>
    <w:p w14:paraId="6C494D60" w14:textId="77777777" w:rsidR="00D20B49" w:rsidRPr="0061743D" w:rsidRDefault="00E453CD" w:rsidP="0061743D">
      <w:pPr>
        <w:numPr>
          <w:ilvl w:val="0"/>
          <w:numId w:val="9"/>
        </w:numPr>
        <w:tabs>
          <w:tab w:val="clear" w:pos="720"/>
          <w:tab w:val="num" w:pos="540"/>
        </w:tabs>
        <w:suppressAutoHyphens/>
        <w:ind w:left="547" w:hanging="547"/>
        <w:rPr>
          <w:sz w:val="22"/>
          <w:lang w:val="en-GB"/>
        </w:rPr>
      </w:pPr>
      <w:r w:rsidRPr="0061743D">
        <w:rPr>
          <w:sz w:val="22"/>
          <w:lang w:val="en-GB"/>
        </w:rPr>
        <w:t>humørsvingninger (inkludert depresjon</w:t>
      </w:r>
      <w:r w:rsidRPr="00887835">
        <w:rPr>
          <w:sz w:val="22"/>
          <w:lang w:val="en-GB"/>
        </w:rPr>
        <w:t>)</w:t>
      </w:r>
    </w:p>
    <w:p w14:paraId="532A5B1A"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angst</w:t>
      </w:r>
    </w:p>
    <w:p w14:paraId="1AF5DEC5"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søvnvansker</w:t>
      </w:r>
    </w:p>
    <w:p w14:paraId="656FFBBD"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9C5EFD">
        <w:rPr>
          <w:sz w:val="22"/>
          <w:szCs w:val="22"/>
        </w:rPr>
        <w:t>sanseforstyrrelser som kribling, prikking eller nummenhet</w:t>
      </w:r>
    </w:p>
    <w:p w14:paraId="14196924"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migrene</w:t>
      </w:r>
    </w:p>
    <w:p w14:paraId="2DE337A3"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9C5EFD">
        <w:rPr>
          <w:sz w:val="22"/>
          <w:szCs w:val="22"/>
        </w:rPr>
        <w:t xml:space="preserve">kompresjon av nerverot (inkludert smerter i korsryggen og i </w:t>
      </w:r>
      <w:r w:rsidR="00954434">
        <w:rPr>
          <w:sz w:val="22"/>
          <w:szCs w:val="22"/>
        </w:rPr>
        <w:t>beina</w:t>
      </w:r>
      <w:r w:rsidRPr="00051CE1">
        <w:rPr>
          <w:sz w:val="22"/>
        </w:rPr>
        <w:t>)</w:t>
      </w:r>
    </w:p>
    <w:p w14:paraId="00DA2C7B"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synsforstyrrelser</w:t>
      </w:r>
    </w:p>
    <w:p w14:paraId="4CE90A01"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øyeinfeksjon</w:t>
      </w:r>
    </w:p>
    <w:p w14:paraId="23319F5C"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9C5EFD">
        <w:rPr>
          <w:sz w:val="22"/>
          <w:szCs w:val="22"/>
        </w:rPr>
        <w:t>betennelse i øyelokk og opphovnet øye</w:t>
      </w:r>
    </w:p>
    <w:p w14:paraId="41BB46F1"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273C8E">
        <w:rPr>
          <w:sz w:val="22"/>
        </w:rPr>
        <w:t xml:space="preserve">følelse av </w:t>
      </w:r>
      <w:r w:rsidRPr="009C5EFD">
        <w:rPr>
          <w:sz w:val="22"/>
          <w:szCs w:val="22"/>
        </w:rPr>
        <w:t>svimmelhet</w:t>
      </w:r>
      <w:r w:rsidRPr="00E91E4A">
        <w:rPr>
          <w:sz w:val="22"/>
        </w:rPr>
        <w:t xml:space="preserve"> eller av å spinne</w:t>
      </w:r>
    </w:p>
    <w:p w14:paraId="489D6012" w14:textId="77777777" w:rsidR="00D20B49" w:rsidRPr="009C5EFD" w:rsidRDefault="00E453CD" w:rsidP="0061743D">
      <w:pPr>
        <w:numPr>
          <w:ilvl w:val="0"/>
          <w:numId w:val="9"/>
        </w:numPr>
        <w:tabs>
          <w:tab w:val="clear" w:pos="720"/>
          <w:tab w:val="num" w:pos="540"/>
        </w:tabs>
        <w:suppressAutoHyphens/>
        <w:ind w:left="540" w:hanging="540"/>
        <w:rPr>
          <w:sz w:val="22"/>
          <w:szCs w:val="22"/>
        </w:rPr>
      </w:pPr>
      <w:r w:rsidRPr="009C5EFD">
        <w:rPr>
          <w:sz w:val="22"/>
          <w:szCs w:val="22"/>
        </w:rPr>
        <w:t>følelse av at hjertet slår rask</w:t>
      </w:r>
      <w:r>
        <w:rPr>
          <w:sz w:val="22"/>
          <w:szCs w:val="22"/>
        </w:rPr>
        <w:t>t</w:t>
      </w:r>
    </w:p>
    <w:p w14:paraId="587B682E"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høyt blodtrykk</w:t>
      </w:r>
    </w:p>
    <w:p w14:paraId="11589E28" w14:textId="77777777" w:rsidR="00D20B49" w:rsidRPr="0061743D" w:rsidRDefault="00E453CD" w:rsidP="0061743D">
      <w:pPr>
        <w:numPr>
          <w:ilvl w:val="0"/>
          <w:numId w:val="9"/>
        </w:numPr>
        <w:tabs>
          <w:tab w:val="clear" w:pos="720"/>
          <w:tab w:val="num" w:pos="540"/>
        </w:tabs>
        <w:suppressAutoHyphens/>
        <w:ind w:left="540" w:hanging="540"/>
        <w:rPr>
          <w:sz w:val="22"/>
          <w:lang w:val="en-GB"/>
        </w:rPr>
      </w:pPr>
      <w:r w:rsidRPr="0061743D">
        <w:rPr>
          <w:sz w:val="22"/>
          <w:lang w:val="en-GB"/>
        </w:rPr>
        <w:t>rødme</w:t>
      </w:r>
    </w:p>
    <w:p w14:paraId="0FB81829"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 xml:space="preserve">blodansamling </w:t>
      </w:r>
      <w:r w:rsidR="002435F0">
        <w:rPr>
          <w:sz w:val="22"/>
          <w:szCs w:val="22"/>
        </w:rPr>
        <w:t xml:space="preserve">utenfor blodårer </w:t>
      </w:r>
      <w:r w:rsidRPr="009C5EFD">
        <w:rPr>
          <w:sz w:val="22"/>
          <w:szCs w:val="22"/>
        </w:rPr>
        <w:t>(hematom)</w:t>
      </w:r>
    </w:p>
    <w:p w14:paraId="24839624"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hoste</w:t>
      </w:r>
    </w:p>
    <w:p w14:paraId="6723B439"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astma</w:t>
      </w:r>
    </w:p>
    <w:p w14:paraId="5FC5E40B"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kortpusthet</w:t>
      </w:r>
    </w:p>
    <w:p w14:paraId="45CA6512"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mageblødning</w:t>
      </w:r>
    </w:p>
    <w:p w14:paraId="00942CAC"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dyspepsi (forstyrrelser i øvre mage-tarm-kanal, dårlig fordøyelse, oppblåsthet, halsbrann)</w:t>
      </w:r>
    </w:p>
    <w:p w14:paraId="4F8280C0"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sure oppstøt</w:t>
      </w:r>
    </w:p>
    <w:p w14:paraId="5C921D6A"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Sjøgrens syndrom (inkludert tørre øyne og munn)</w:t>
      </w:r>
    </w:p>
    <w:p w14:paraId="6C7F64BD"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kløe</w:t>
      </w:r>
    </w:p>
    <w:p w14:paraId="6E48A2D0"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kløende utslett</w:t>
      </w:r>
    </w:p>
    <w:p w14:paraId="739B0503"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blåmerke</w:t>
      </w:r>
    </w:p>
    <w:p w14:paraId="1D1C433F"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hudbetennelse (som eksem)</w:t>
      </w:r>
    </w:p>
    <w:p w14:paraId="604C84CD"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brekking av fingernegl og tånegl</w:t>
      </w:r>
    </w:p>
    <w:p w14:paraId="728FA029"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økt svette</w:t>
      </w:r>
    </w:p>
    <w:p w14:paraId="0B00301F"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hårtap</w:t>
      </w:r>
    </w:p>
    <w:p w14:paraId="2142C60B"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nytt tilfelle eller forverring av psoriasis</w:t>
      </w:r>
    </w:p>
    <w:p w14:paraId="19B450FE"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lastRenderedPageBreak/>
        <w:t>muskelkramper</w:t>
      </w:r>
    </w:p>
    <w:p w14:paraId="3593CE35"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blod i urin</w:t>
      </w:r>
    </w:p>
    <w:p w14:paraId="025A87FF"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nyreproblemer</w:t>
      </w:r>
    </w:p>
    <w:p w14:paraId="661FF2B6"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brystsmerter</w:t>
      </w:r>
    </w:p>
    <w:p w14:paraId="72AF2F58"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ødem</w:t>
      </w:r>
      <w:r w:rsidR="001B43D8">
        <w:rPr>
          <w:sz w:val="22"/>
          <w:szCs w:val="22"/>
        </w:rPr>
        <w:t xml:space="preserve"> (hevelse)</w:t>
      </w:r>
    </w:p>
    <w:p w14:paraId="45B84425"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feber</w:t>
      </w:r>
    </w:p>
    <w:p w14:paraId="491B1EFA"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reduksjon i blodplater som øker risiko for blødning eller blåmerke</w:t>
      </w:r>
    </w:p>
    <w:p w14:paraId="30802700" w14:textId="77777777" w:rsidR="00D20B49" w:rsidRPr="009C5EFD" w:rsidRDefault="00E453CD" w:rsidP="00D20B49">
      <w:pPr>
        <w:numPr>
          <w:ilvl w:val="0"/>
          <w:numId w:val="9"/>
        </w:numPr>
        <w:tabs>
          <w:tab w:val="clear" w:pos="720"/>
          <w:tab w:val="num" w:pos="540"/>
        </w:tabs>
        <w:suppressAutoHyphens/>
        <w:ind w:left="0" w:firstLine="0"/>
        <w:rPr>
          <w:sz w:val="22"/>
          <w:szCs w:val="22"/>
        </w:rPr>
      </w:pPr>
      <w:r w:rsidRPr="009C5EFD">
        <w:rPr>
          <w:sz w:val="22"/>
          <w:szCs w:val="22"/>
        </w:rPr>
        <w:t>svekket heling</w:t>
      </w:r>
    </w:p>
    <w:p w14:paraId="3F64FE19" w14:textId="77777777" w:rsidR="00D20B49" w:rsidRPr="009C5EFD" w:rsidRDefault="00D20B49" w:rsidP="00D20B49">
      <w:pPr>
        <w:suppressAutoHyphens/>
        <w:rPr>
          <w:sz w:val="22"/>
          <w:szCs w:val="22"/>
        </w:rPr>
      </w:pPr>
    </w:p>
    <w:p w14:paraId="2074C96B" w14:textId="77777777" w:rsidR="004B427C" w:rsidRDefault="00E453CD" w:rsidP="00776A84">
      <w:pPr>
        <w:keepNext/>
        <w:suppressAutoHyphens/>
        <w:rPr>
          <w:sz w:val="22"/>
          <w:szCs w:val="22"/>
        </w:rPr>
      </w:pPr>
      <w:r w:rsidRPr="0061743D">
        <w:rPr>
          <w:b/>
          <w:sz w:val="22"/>
        </w:rPr>
        <w:t>Mindre vanlige</w:t>
      </w:r>
      <w:r w:rsidRPr="009C5EFD">
        <w:rPr>
          <w:sz w:val="22"/>
          <w:szCs w:val="22"/>
        </w:rPr>
        <w:t xml:space="preserve"> (kan forekomme hos opptil 1 av 100 personer)</w:t>
      </w:r>
    </w:p>
    <w:p w14:paraId="3B5FDA86" w14:textId="77777777" w:rsidR="00D20B49" w:rsidRPr="009C5EFD" w:rsidRDefault="00D20B49" w:rsidP="00776A84">
      <w:pPr>
        <w:keepNext/>
        <w:suppressAutoHyphens/>
        <w:rPr>
          <w:sz w:val="22"/>
          <w:szCs w:val="22"/>
        </w:rPr>
      </w:pPr>
    </w:p>
    <w:p w14:paraId="674F198C"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 xml:space="preserve">opportunistiske infeksjoner (inkludert tuberkulose og andre infeksjoner som oppstår </w:t>
      </w:r>
      <w:r w:rsidR="00F464CF">
        <w:rPr>
          <w:sz w:val="22"/>
          <w:szCs w:val="22"/>
        </w:rPr>
        <w:t>ved svekket immunforsvar</w:t>
      </w:r>
      <w:r w:rsidRPr="009C5EFD">
        <w:rPr>
          <w:sz w:val="22"/>
          <w:szCs w:val="22"/>
        </w:rPr>
        <w:t>)</w:t>
      </w:r>
    </w:p>
    <w:p w14:paraId="60940C04"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nevrologiske sykdommer (inkludert hjernehinnebetennelse)</w:t>
      </w:r>
    </w:p>
    <w:p w14:paraId="2A9DCE78"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øyebetennelser</w:t>
      </w:r>
    </w:p>
    <w:p w14:paraId="0306A358"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bakterieinfeksjoner</w:t>
      </w:r>
    </w:p>
    <w:p w14:paraId="30B520F7"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divertikulitt (betennelse og infeksjon i tykktarmen)</w:t>
      </w:r>
    </w:p>
    <w:p w14:paraId="2FBE6DD7"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kreft</w:t>
      </w:r>
    </w:p>
    <w:p w14:paraId="37888DE0"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kreft som påvirker lymfesysteme</w:t>
      </w:r>
      <w:r w:rsidR="006E3B12">
        <w:rPr>
          <w:sz w:val="22"/>
          <w:szCs w:val="22"/>
        </w:rPr>
        <w:t>t</w:t>
      </w:r>
    </w:p>
    <w:p w14:paraId="0CB789C5"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melanom</w:t>
      </w:r>
    </w:p>
    <w:p w14:paraId="782CF14D"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forstyrrelser i immunsystemet som kan påvirke lungene, huden og lymfeknutene (vises vanligvis som sarkoidose)</w:t>
      </w:r>
    </w:p>
    <w:p w14:paraId="6F3213A7"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vaskulitt (betennelse i blodårene)</w:t>
      </w:r>
    </w:p>
    <w:p w14:paraId="6F28D118"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skjelving</w:t>
      </w:r>
    </w:p>
    <w:p w14:paraId="0BEA876C"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ne</w:t>
      </w:r>
      <w:r w:rsidR="00F562BD">
        <w:rPr>
          <w:sz w:val="22"/>
          <w:szCs w:val="22"/>
        </w:rPr>
        <w:t>v</w:t>
      </w:r>
      <w:r w:rsidRPr="009C5EFD">
        <w:rPr>
          <w:sz w:val="22"/>
          <w:szCs w:val="22"/>
        </w:rPr>
        <w:t>ropati</w:t>
      </w:r>
      <w:r w:rsidR="00966A38">
        <w:rPr>
          <w:sz w:val="22"/>
          <w:szCs w:val="22"/>
        </w:rPr>
        <w:t xml:space="preserve"> (forstyrrelser av nerver)</w:t>
      </w:r>
    </w:p>
    <w:p w14:paraId="3F59FDE5"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slag</w:t>
      </w:r>
    </w:p>
    <w:p w14:paraId="7A6E14DA"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hørseltap, øresus</w:t>
      </w:r>
    </w:p>
    <w:p w14:paraId="6C22E727"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følelse av at hjertet slår uregelmessig</w:t>
      </w:r>
    </w:p>
    <w:p w14:paraId="120ABC08"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hjerteproblemer som forårsaker andpustenhet eller hevelse i ankler</w:t>
      </w:r>
    </w:p>
    <w:p w14:paraId="40DC31EF"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hjerteinfarkt</w:t>
      </w:r>
    </w:p>
    <w:p w14:paraId="5A746C0C"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en utposning på veggen av en stor pulsåre, betennelse og blodpropp i en blodåre, blokade av et blodkar</w:t>
      </w:r>
    </w:p>
    <w:p w14:paraId="3F61FA7A"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lungesykdom som forårsaker andpustenhet (inkludert betennelse)</w:t>
      </w:r>
    </w:p>
    <w:p w14:paraId="2CD2E64D"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lungeemboli (blodpropp i en blodåre i lungene)</w:t>
      </w:r>
    </w:p>
    <w:p w14:paraId="31D9D27E"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Pr>
          <w:sz w:val="22"/>
          <w:szCs w:val="22"/>
        </w:rPr>
        <w:t>pleura</w:t>
      </w:r>
      <w:r w:rsidRPr="009C5EFD">
        <w:rPr>
          <w:sz w:val="22"/>
          <w:szCs w:val="22"/>
        </w:rPr>
        <w:t>væske (unormal samling av væske i lungesekken)</w:t>
      </w:r>
    </w:p>
    <w:p w14:paraId="0C6D004C"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betennelse i bukspyttkjertel som forårsaker sterke smerter i mage og rygg</w:t>
      </w:r>
    </w:p>
    <w:p w14:paraId="4CB112E4"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svelgeproblemer</w:t>
      </w:r>
    </w:p>
    <w:p w14:paraId="402E7FE8"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opphovnet ansikt</w:t>
      </w:r>
    </w:p>
    <w:p w14:paraId="52EDC145"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betennelse i galleb</w:t>
      </w:r>
      <w:r w:rsidR="00F464CF">
        <w:rPr>
          <w:sz w:val="22"/>
          <w:szCs w:val="22"/>
        </w:rPr>
        <w:t>l</w:t>
      </w:r>
      <w:r w:rsidRPr="009C5EFD">
        <w:rPr>
          <w:sz w:val="22"/>
          <w:szCs w:val="22"/>
        </w:rPr>
        <w:t>ære</w:t>
      </w:r>
      <w:r w:rsidR="00F464CF">
        <w:rPr>
          <w:sz w:val="22"/>
          <w:szCs w:val="22"/>
        </w:rPr>
        <w:t>n</w:t>
      </w:r>
      <w:r w:rsidRPr="009C5EFD">
        <w:rPr>
          <w:sz w:val="22"/>
          <w:szCs w:val="22"/>
        </w:rPr>
        <w:t>, gallestein</w:t>
      </w:r>
    </w:p>
    <w:p w14:paraId="061C53AE"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fettlever</w:t>
      </w:r>
    </w:p>
    <w:p w14:paraId="07C2E500"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nattesvette</w:t>
      </w:r>
    </w:p>
    <w:p w14:paraId="5AD7D99C"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arrdannelse</w:t>
      </w:r>
    </w:p>
    <w:p w14:paraId="25C420BF"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unormal muskeltap</w:t>
      </w:r>
    </w:p>
    <w:p w14:paraId="70290884"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systemisk lupus erythematosus (inkludert betennelser i hud, hjerte, lunge, ledd og andre organer)</w:t>
      </w:r>
    </w:p>
    <w:p w14:paraId="71389494"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søvnforstyrrelser</w:t>
      </w:r>
    </w:p>
    <w:p w14:paraId="22A8EFDF"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impotens</w:t>
      </w:r>
    </w:p>
    <w:p w14:paraId="46070C76" w14:textId="77777777" w:rsidR="00D20B49" w:rsidRPr="009C5EFD" w:rsidRDefault="00E453CD" w:rsidP="00EE4677">
      <w:pPr>
        <w:numPr>
          <w:ilvl w:val="0"/>
          <w:numId w:val="16"/>
        </w:numPr>
        <w:tabs>
          <w:tab w:val="clear" w:pos="720"/>
          <w:tab w:val="num" w:pos="540"/>
        </w:tabs>
        <w:suppressAutoHyphens/>
        <w:ind w:left="540" w:hanging="540"/>
        <w:rPr>
          <w:sz w:val="22"/>
          <w:szCs w:val="22"/>
        </w:rPr>
      </w:pPr>
      <w:r w:rsidRPr="009C5EFD">
        <w:rPr>
          <w:sz w:val="22"/>
          <w:szCs w:val="22"/>
        </w:rPr>
        <w:t>betennelser</w:t>
      </w:r>
    </w:p>
    <w:p w14:paraId="1775EB87" w14:textId="77777777" w:rsidR="00D20B49" w:rsidRPr="009C5EFD" w:rsidRDefault="00D20B49" w:rsidP="00D20B49">
      <w:pPr>
        <w:pStyle w:val="EMEAFigureTitle"/>
        <w:tabs>
          <w:tab w:val="clear" w:pos="562"/>
        </w:tabs>
        <w:rPr>
          <w:szCs w:val="22"/>
          <w:lang w:val="nb-NO"/>
        </w:rPr>
      </w:pPr>
    </w:p>
    <w:p w14:paraId="21D959A9" w14:textId="77777777" w:rsidR="00D20B49" w:rsidRPr="009C5EFD" w:rsidRDefault="00E453CD" w:rsidP="003764A0">
      <w:pPr>
        <w:keepNext/>
        <w:rPr>
          <w:sz w:val="22"/>
          <w:szCs w:val="22"/>
        </w:rPr>
      </w:pPr>
      <w:r w:rsidRPr="0061743D">
        <w:rPr>
          <w:b/>
          <w:sz w:val="22"/>
        </w:rPr>
        <w:lastRenderedPageBreak/>
        <w:t>Sjeldne</w:t>
      </w:r>
      <w:r w:rsidRPr="009C5EFD">
        <w:rPr>
          <w:sz w:val="22"/>
          <w:szCs w:val="22"/>
        </w:rPr>
        <w:t xml:space="preserve"> (kan forekomme hos opptil 1 av 1000 personer)</w:t>
      </w:r>
    </w:p>
    <w:p w14:paraId="2A51640A" w14:textId="77777777" w:rsidR="001850A1" w:rsidRPr="009C5EFD" w:rsidRDefault="001850A1" w:rsidP="003764A0">
      <w:pPr>
        <w:keepNext/>
        <w:rPr>
          <w:sz w:val="22"/>
          <w:szCs w:val="22"/>
        </w:rPr>
      </w:pPr>
    </w:p>
    <w:p w14:paraId="0F779D97" w14:textId="77777777" w:rsidR="00D20B49" w:rsidRPr="009C5EFD" w:rsidRDefault="00E453CD" w:rsidP="003764A0">
      <w:pPr>
        <w:keepNext/>
        <w:numPr>
          <w:ilvl w:val="0"/>
          <w:numId w:val="15"/>
        </w:numPr>
        <w:tabs>
          <w:tab w:val="clear" w:pos="720"/>
          <w:tab w:val="num" w:pos="540"/>
        </w:tabs>
        <w:ind w:left="0" w:firstLine="0"/>
        <w:rPr>
          <w:sz w:val="22"/>
          <w:szCs w:val="22"/>
        </w:rPr>
      </w:pPr>
      <w:r w:rsidRPr="009C5EFD">
        <w:rPr>
          <w:sz w:val="22"/>
          <w:szCs w:val="22"/>
        </w:rPr>
        <w:t>leukemi (kreft som påvirker blod og benmarg)</w:t>
      </w:r>
    </w:p>
    <w:p w14:paraId="7AE5680B" w14:textId="77777777" w:rsidR="00D20B49" w:rsidRPr="009C5EFD" w:rsidRDefault="00E453CD" w:rsidP="003764A0">
      <w:pPr>
        <w:keepNext/>
        <w:numPr>
          <w:ilvl w:val="0"/>
          <w:numId w:val="15"/>
        </w:numPr>
        <w:tabs>
          <w:tab w:val="clear" w:pos="720"/>
          <w:tab w:val="num" w:pos="540"/>
        </w:tabs>
        <w:ind w:left="540" w:hanging="540"/>
        <w:rPr>
          <w:sz w:val="22"/>
          <w:szCs w:val="22"/>
        </w:rPr>
      </w:pPr>
      <w:r w:rsidRPr="009C5EFD">
        <w:rPr>
          <w:sz w:val="22"/>
          <w:szCs w:val="22"/>
        </w:rPr>
        <w:t>alvorlig allergisk reaksjon med sjokk</w:t>
      </w:r>
    </w:p>
    <w:p w14:paraId="4DD5650E" w14:textId="77777777" w:rsidR="00D20B49" w:rsidRPr="009C5EFD" w:rsidRDefault="00E453CD" w:rsidP="003764A0">
      <w:pPr>
        <w:keepNext/>
        <w:numPr>
          <w:ilvl w:val="0"/>
          <w:numId w:val="15"/>
        </w:numPr>
        <w:tabs>
          <w:tab w:val="clear" w:pos="720"/>
          <w:tab w:val="num" w:pos="540"/>
        </w:tabs>
        <w:ind w:left="0" w:firstLine="0"/>
        <w:rPr>
          <w:sz w:val="22"/>
          <w:szCs w:val="22"/>
        </w:rPr>
      </w:pPr>
      <w:r w:rsidRPr="009C5EFD">
        <w:rPr>
          <w:sz w:val="22"/>
          <w:szCs w:val="22"/>
        </w:rPr>
        <w:t>multippel sklerose</w:t>
      </w:r>
    </w:p>
    <w:p w14:paraId="0E92BC0E"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nerveforstyrrelser (som betennelse på øyenervene og Guillain-Barré syndrom som kan forårsake muskelsvakhet, unormale sanseinntrykk, prikking i armene og overkroppen)</w:t>
      </w:r>
    </w:p>
    <w:p w14:paraId="2E452321"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hjertet slutter å pumpe</w:t>
      </w:r>
    </w:p>
    <w:p w14:paraId="2D616BC0"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lungefibrose (arrdannelse i lungene)</w:t>
      </w:r>
    </w:p>
    <w:p w14:paraId="0D6F7886"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 xml:space="preserve">hull </w:t>
      </w:r>
      <w:r w:rsidR="00F464CF">
        <w:rPr>
          <w:sz w:val="22"/>
          <w:szCs w:val="22"/>
        </w:rPr>
        <w:t>på</w:t>
      </w:r>
      <w:r w:rsidRPr="009C5EFD">
        <w:rPr>
          <w:sz w:val="22"/>
          <w:szCs w:val="22"/>
        </w:rPr>
        <w:t xml:space="preserve"> tarmen</w:t>
      </w:r>
      <w:r w:rsidR="00F464CF">
        <w:rPr>
          <w:sz w:val="22"/>
          <w:szCs w:val="22"/>
        </w:rPr>
        <w:t xml:space="preserve"> (perforasjon)</w:t>
      </w:r>
    </w:p>
    <w:p w14:paraId="086F6302"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hepatitt</w:t>
      </w:r>
    </w:p>
    <w:p w14:paraId="3435EB4A"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reaktivering av hepatitt B</w:t>
      </w:r>
    </w:p>
    <w:p w14:paraId="13904C21"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autoimmun hepatitt (leverbetennelse forårsaket av kroppens eget immunforsvar)</w:t>
      </w:r>
    </w:p>
    <w:p w14:paraId="21C54417"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betennelse i blodkarene i huden</w:t>
      </w:r>
    </w:p>
    <w:p w14:paraId="27D1DF61"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Stevens-Johnson syndrom (tidlige symptomer inkludert diffus følelse av ubehag og tretthett, feber, hodepine og utslett)</w:t>
      </w:r>
    </w:p>
    <w:p w14:paraId="3973487B"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ansiktsødem</w:t>
      </w:r>
      <w:r w:rsidRPr="001850A1">
        <w:rPr>
          <w:sz w:val="22"/>
          <w:szCs w:val="22"/>
        </w:rPr>
        <w:t xml:space="preserve"> </w:t>
      </w:r>
      <w:r>
        <w:rPr>
          <w:sz w:val="22"/>
          <w:szCs w:val="22"/>
        </w:rPr>
        <w:t>(</w:t>
      </w:r>
      <w:r w:rsidR="001850A1" w:rsidRPr="001850A1">
        <w:rPr>
          <w:sz w:val="22"/>
          <w:szCs w:val="22"/>
        </w:rPr>
        <w:t>opphovnet ansikt</w:t>
      </w:r>
      <w:r>
        <w:rPr>
          <w:sz w:val="22"/>
          <w:szCs w:val="22"/>
        </w:rPr>
        <w:t>)</w:t>
      </w:r>
      <w:r w:rsidRPr="009C5EFD">
        <w:rPr>
          <w:sz w:val="22"/>
          <w:szCs w:val="22"/>
        </w:rPr>
        <w:t xml:space="preserve"> i forbindelse med allergiske reaksjoner</w:t>
      </w:r>
    </w:p>
    <w:p w14:paraId="16B07206" w14:textId="77777777" w:rsidR="00D20B49" w:rsidRPr="009C5EFD" w:rsidRDefault="00E453CD" w:rsidP="00EE4677">
      <w:pPr>
        <w:numPr>
          <w:ilvl w:val="0"/>
          <w:numId w:val="15"/>
        </w:numPr>
        <w:tabs>
          <w:tab w:val="clear" w:pos="720"/>
          <w:tab w:val="num" w:pos="540"/>
        </w:tabs>
        <w:ind w:left="540" w:hanging="540"/>
        <w:rPr>
          <w:sz w:val="22"/>
          <w:szCs w:val="22"/>
        </w:rPr>
      </w:pPr>
      <w:r w:rsidRPr="009C5EFD">
        <w:rPr>
          <w:sz w:val="22"/>
          <w:szCs w:val="22"/>
        </w:rPr>
        <w:t>erythema multiforme (hudutslett med inflammasjon)</w:t>
      </w:r>
    </w:p>
    <w:p w14:paraId="0A1313C5" w14:textId="77777777" w:rsidR="00D20B49" w:rsidRDefault="00E453CD" w:rsidP="00EE4677">
      <w:pPr>
        <w:numPr>
          <w:ilvl w:val="0"/>
          <w:numId w:val="15"/>
        </w:numPr>
        <w:tabs>
          <w:tab w:val="clear" w:pos="720"/>
          <w:tab w:val="num" w:pos="540"/>
        </w:tabs>
        <w:ind w:left="540" w:hanging="540"/>
        <w:rPr>
          <w:sz w:val="22"/>
          <w:szCs w:val="22"/>
        </w:rPr>
      </w:pPr>
      <w:r w:rsidRPr="009C5EFD">
        <w:rPr>
          <w:sz w:val="22"/>
          <w:szCs w:val="22"/>
        </w:rPr>
        <w:t>lupuslignende syndrom</w:t>
      </w:r>
    </w:p>
    <w:p w14:paraId="18EA19E7" w14:textId="77777777" w:rsidR="00B64F75" w:rsidRDefault="00E453CD" w:rsidP="00EE4677">
      <w:pPr>
        <w:numPr>
          <w:ilvl w:val="0"/>
          <w:numId w:val="15"/>
        </w:numPr>
        <w:tabs>
          <w:tab w:val="clear" w:pos="720"/>
          <w:tab w:val="num" w:pos="540"/>
        </w:tabs>
        <w:ind w:left="540" w:hanging="540"/>
        <w:rPr>
          <w:sz w:val="22"/>
          <w:szCs w:val="22"/>
        </w:rPr>
      </w:pPr>
      <w:r>
        <w:rPr>
          <w:sz w:val="22"/>
          <w:szCs w:val="22"/>
        </w:rPr>
        <w:t>angioødem (lokalisert opphovning av huden)</w:t>
      </w:r>
    </w:p>
    <w:p w14:paraId="67F06245" w14:textId="77777777" w:rsidR="00A36D70" w:rsidRPr="00A36D70" w:rsidRDefault="00E453CD" w:rsidP="00A36D70">
      <w:pPr>
        <w:numPr>
          <w:ilvl w:val="0"/>
          <w:numId w:val="15"/>
        </w:numPr>
        <w:tabs>
          <w:tab w:val="clear" w:pos="720"/>
          <w:tab w:val="num" w:pos="540"/>
        </w:tabs>
        <w:ind w:left="540" w:hanging="540"/>
        <w:rPr>
          <w:sz w:val="22"/>
          <w:szCs w:val="22"/>
        </w:rPr>
      </w:pPr>
      <w:r>
        <w:rPr>
          <w:sz w:val="22"/>
          <w:szCs w:val="22"/>
        </w:rPr>
        <w:t>lichenoid hudreaksjon (kløende rødlig-lilla utslett)</w:t>
      </w:r>
    </w:p>
    <w:p w14:paraId="0BF6E97B" w14:textId="77777777" w:rsidR="00D20B49" w:rsidRPr="009C5EFD" w:rsidRDefault="00D20B49" w:rsidP="00D20B49">
      <w:pPr>
        <w:rPr>
          <w:sz w:val="22"/>
          <w:szCs w:val="22"/>
        </w:rPr>
      </w:pPr>
    </w:p>
    <w:p w14:paraId="1A67C331" w14:textId="77777777" w:rsidR="001850A1" w:rsidRDefault="00E453CD" w:rsidP="00D00F56">
      <w:pPr>
        <w:keepNext/>
        <w:rPr>
          <w:sz w:val="22"/>
          <w:szCs w:val="22"/>
        </w:rPr>
      </w:pPr>
      <w:r w:rsidRPr="0061743D">
        <w:rPr>
          <w:b/>
          <w:sz w:val="22"/>
        </w:rPr>
        <w:t>Ikke kjent</w:t>
      </w:r>
      <w:r w:rsidRPr="009C5EFD">
        <w:rPr>
          <w:sz w:val="22"/>
          <w:szCs w:val="22"/>
        </w:rPr>
        <w:t xml:space="preserve"> (</w:t>
      </w:r>
      <w:r w:rsidR="00E63B3E">
        <w:rPr>
          <w:sz w:val="22"/>
          <w:szCs w:val="22"/>
        </w:rPr>
        <w:t xml:space="preserve">frekvens </w:t>
      </w:r>
      <w:r w:rsidRPr="009C5EFD">
        <w:rPr>
          <w:sz w:val="22"/>
          <w:szCs w:val="22"/>
        </w:rPr>
        <w:t xml:space="preserve">kan ikke </w:t>
      </w:r>
      <w:r w:rsidR="00F464CF">
        <w:rPr>
          <w:sz w:val="22"/>
          <w:szCs w:val="22"/>
        </w:rPr>
        <w:t>anslås</w:t>
      </w:r>
      <w:r w:rsidRPr="009C5EFD">
        <w:rPr>
          <w:sz w:val="22"/>
          <w:szCs w:val="22"/>
        </w:rPr>
        <w:t xml:space="preserve"> ut ifra tilgjengelig</w:t>
      </w:r>
      <w:r w:rsidR="00E63B3E">
        <w:rPr>
          <w:sz w:val="22"/>
          <w:szCs w:val="22"/>
        </w:rPr>
        <w:t>e</w:t>
      </w:r>
      <w:r w:rsidRPr="009C5EFD">
        <w:rPr>
          <w:sz w:val="22"/>
          <w:szCs w:val="22"/>
        </w:rPr>
        <w:t xml:space="preserve"> data)</w:t>
      </w:r>
    </w:p>
    <w:p w14:paraId="19B7E86C" w14:textId="77777777" w:rsidR="00D20B49" w:rsidRPr="009C5EFD" w:rsidRDefault="00D20B49" w:rsidP="00D00F56">
      <w:pPr>
        <w:keepNext/>
        <w:rPr>
          <w:sz w:val="22"/>
          <w:szCs w:val="22"/>
        </w:rPr>
      </w:pPr>
    </w:p>
    <w:p w14:paraId="3F5C44DC" w14:textId="77777777" w:rsidR="00D20B49" w:rsidRPr="009C5EFD" w:rsidRDefault="00E453CD" w:rsidP="00776A84">
      <w:pPr>
        <w:numPr>
          <w:ilvl w:val="0"/>
          <w:numId w:val="49"/>
        </w:numPr>
        <w:tabs>
          <w:tab w:val="clear" w:pos="720"/>
          <w:tab w:val="num" w:pos="567"/>
        </w:tabs>
        <w:ind w:left="567" w:hanging="567"/>
        <w:rPr>
          <w:sz w:val="22"/>
          <w:szCs w:val="22"/>
        </w:rPr>
      </w:pPr>
      <w:r w:rsidRPr="009C5EFD">
        <w:rPr>
          <w:sz w:val="22"/>
          <w:szCs w:val="22"/>
        </w:rPr>
        <w:t>hepatosplenisk T-cellelymfom (en sjelden form for blodkreft, som ofte er dødelig)</w:t>
      </w:r>
    </w:p>
    <w:p w14:paraId="51CA8CA7" w14:textId="77777777" w:rsidR="00D20B49" w:rsidRDefault="00E453CD" w:rsidP="00776A84">
      <w:pPr>
        <w:numPr>
          <w:ilvl w:val="0"/>
          <w:numId w:val="49"/>
        </w:numPr>
        <w:tabs>
          <w:tab w:val="clear" w:pos="720"/>
          <w:tab w:val="num" w:pos="567"/>
        </w:tabs>
        <w:ind w:left="567" w:hanging="567"/>
        <w:rPr>
          <w:sz w:val="22"/>
          <w:szCs w:val="22"/>
        </w:rPr>
      </w:pPr>
      <w:r w:rsidRPr="009C5EFD">
        <w:rPr>
          <w:sz w:val="22"/>
          <w:szCs w:val="22"/>
        </w:rPr>
        <w:t>merkelcellekarsinom (en type hudkreft)</w:t>
      </w:r>
    </w:p>
    <w:p w14:paraId="6282CF9D" w14:textId="77777777" w:rsidR="00EA0775" w:rsidRPr="00EA0775" w:rsidRDefault="00E453CD" w:rsidP="00EA0775">
      <w:pPr>
        <w:numPr>
          <w:ilvl w:val="0"/>
          <w:numId w:val="49"/>
        </w:numPr>
        <w:tabs>
          <w:tab w:val="clear" w:pos="720"/>
          <w:tab w:val="num" w:pos="567"/>
        </w:tabs>
        <w:ind w:left="567" w:hanging="567"/>
        <w:rPr>
          <w:sz w:val="22"/>
          <w:szCs w:val="22"/>
        </w:rPr>
      </w:pPr>
      <w:r w:rsidRPr="00EA0775">
        <w:rPr>
          <w:sz w:val="22"/>
          <w:szCs w:val="22"/>
        </w:rPr>
        <w:t>Kaposis sarkom, en sjelden krefttype relatert til infeksjon med humant herpes virus 8. Kaposis sarkom opptrer som oftest som lilla lesjoner i huden</w:t>
      </w:r>
    </w:p>
    <w:p w14:paraId="4F6397EB" w14:textId="77777777" w:rsidR="00D20B49" w:rsidRPr="009C5EFD" w:rsidRDefault="00E453CD" w:rsidP="00776A84">
      <w:pPr>
        <w:numPr>
          <w:ilvl w:val="0"/>
          <w:numId w:val="49"/>
        </w:numPr>
        <w:tabs>
          <w:tab w:val="clear" w:pos="720"/>
          <w:tab w:val="num" w:pos="567"/>
        </w:tabs>
        <w:ind w:left="567" w:hanging="567"/>
        <w:rPr>
          <w:sz w:val="22"/>
          <w:szCs w:val="22"/>
        </w:rPr>
      </w:pPr>
      <w:r w:rsidRPr="009C5EFD">
        <w:rPr>
          <w:sz w:val="22"/>
          <w:szCs w:val="22"/>
        </w:rPr>
        <w:t>leversvikt</w:t>
      </w:r>
    </w:p>
    <w:p w14:paraId="3AC80310" w14:textId="77777777" w:rsidR="00D20B49" w:rsidRPr="009C5EFD" w:rsidRDefault="00E453CD" w:rsidP="00776A84">
      <w:pPr>
        <w:numPr>
          <w:ilvl w:val="0"/>
          <w:numId w:val="49"/>
        </w:numPr>
        <w:tabs>
          <w:tab w:val="clear" w:pos="720"/>
          <w:tab w:val="num" w:pos="567"/>
        </w:tabs>
        <w:ind w:left="567" w:hanging="567"/>
        <w:rPr>
          <w:sz w:val="22"/>
          <w:szCs w:val="22"/>
        </w:rPr>
      </w:pPr>
      <w:r w:rsidRPr="009C5EFD">
        <w:rPr>
          <w:sz w:val="22"/>
          <w:szCs w:val="22"/>
        </w:rPr>
        <w:t>forverring av en tilstand kalt dermatomyositt (forekommer som hudutslett ledsaget med muskelsvakhet)</w:t>
      </w:r>
    </w:p>
    <w:p w14:paraId="262A5DD9" w14:textId="77777777" w:rsidR="00915892" w:rsidRPr="00E90360" w:rsidRDefault="00E453CD" w:rsidP="00915892">
      <w:pPr>
        <w:numPr>
          <w:ilvl w:val="0"/>
          <w:numId w:val="49"/>
        </w:numPr>
        <w:tabs>
          <w:tab w:val="clear" w:pos="720"/>
          <w:tab w:val="num" w:pos="567"/>
        </w:tabs>
        <w:ind w:left="567" w:hanging="567"/>
        <w:rPr>
          <w:sz w:val="22"/>
          <w:szCs w:val="22"/>
        </w:rPr>
      </w:pPr>
      <w:r>
        <w:rPr>
          <w:sz w:val="22"/>
          <w:szCs w:val="22"/>
        </w:rPr>
        <w:t>vektøkning (for de fleste pasientene var vektøkningen liten)</w:t>
      </w:r>
    </w:p>
    <w:p w14:paraId="425F09ED" w14:textId="77777777" w:rsidR="00D20B49" w:rsidRPr="009C5EFD" w:rsidRDefault="00D20B49" w:rsidP="00776A84">
      <w:pPr>
        <w:rPr>
          <w:sz w:val="22"/>
          <w:szCs w:val="22"/>
        </w:rPr>
      </w:pPr>
    </w:p>
    <w:p w14:paraId="530C967F" w14:textId="77777777" w:rsidR="00D20B49" w:rsidRPr="009C5EFD" w:rsidRDefault="00E453CD" w:rsidP="00D20B49">
      <w:pPr>
        <w:rPr>
          <w:sz w:val="22"/>
          <w:szCs w:val="22"/>
        </w:rPr>
      </w:pPr>
      <w:r w:rsidRPr="009C5EFD">
        <w:rPr>
          <w:sz w:val="22"/>
          <w:szCs w:val="22"/>
        </w:rPr>
        <w:t>Noen bivirkninger som er observert med Humira har ikke symptomer og kan bare vises gjennom blodprøver. Disse er:</w:t>
      </w:r>
    </w:p>
    <w:p w14:paraId="24F67854" w14:textId="77777777" w:rsidR="00D20B49" w:rsidRPr="009C5EFD" w:rsidRDefault="00D20B49" w:rsidP="00D20B49">
      <w:pPr>
        <w:rPr>
          <w:sz w:val="22"/>
          <w:szCs w:val="22"/>
        </w:rPr>
      </w:pPr>
    </w:p>
    <w:p w14:paraId="1E730177" w14:textId="77777777" w:rsidR="001850A1" w:rsidRDefault="00E453CD" w:rsidP="00776A84">
      <w:pPr>
        <w:keepNext/>
        <w:suppressAutoHyphens/>
        <w:rPr>
          <w:sz w:val="22"/>
          <w:szCs w:val="22"/>
        </w:rPr>
      </w:pPr>
      <w:r w:rsidRPr="0061743D">
        <w:rPr>
          <w:b/>
          <w:sz w:val="22"/>
        </w:rPr>
        <w:t>Svært vanlige</w:t>
      </w:r>
      <w:r w:rsidRPr="009C5EFD">
        <w:rPr>
          <w:sz w:val="22"/>
          <w:szCs w:val="22"/>
        </w:rPr>
        <w:t xml:space="preserve"> (kan forekomme hos flere enn 1 av 10 personer)</w:t>
      </w:r>
    </w:p>
    <w:p w14:paraId="3D0BE8A1" w14:textId="77777777" w:rsidR="00D20B49" w:rsidRPr="009C5EFD" w:rsidRDefault="00D20B49" w:rsidP="00776A84">
      <w:pPr>
        <w:keepNext/>
        <w:suppressAutoHyphens/>
        <w:rPr>
          <w:sz w:val="22"/>
          <w:szCs w:val="22"/>
        </w:rPr>
      </w:pPr>
    </w:p>
    <w:p w14:paraId="0CE83D63"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lave blodverdier for hvite blodlegemer</w:t>
      </w:r>
    </w:p>
    <w:p w14:paraId="4487AAB9"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lave blodverdier for røde blodlegemer</w:t>
      </w:r>
    </w:p>
    <w:p w14:paraId="23AD580C"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forhøyede lipider i blod</w:t>
      </w:r>
    </w:p>
    <w:p w14:paraId="4C1779DC"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forhøyede leverenzymer</w:t>
      </w:r>
    </w:p>
    <w:p w14:paraId="3BAABAEC" w14:textId="77777777" w:rsidR="00D20B49" w:rsidRPr="009C5EFD" w:rsidRDefault="00D20B49" w:rsidP="00D20B49">
      <w:pPr>
        <w:rPr>
          <w:sz w:val="22"/>
          <w:szCs w:val="22"/>
        </w:rPr>
      </w:pPr>
    </w:p>
    <w:p w14:paraId="1FD1CCF3" w14:textId="77777777" w:rsidR="001850A1" w:rsidRDefault="00E453CD" w:rsidP="00776A84">
      <w:pPr>
        <w:keepNext/>
        <w:suppressAutoHyphens/>
        <w:rPr>
          <w:sz w:val="22"/>
          <w:szCs w:val="22"/>
        </w:rPr>
      </w:pPr>
      <w:r w:rsidRPr="0061743D">
        <w:rPr>
          <w:b/>
          <w:sz w:val="22"/>
        </w:rPr>
        <w:t>Vanlige</w:t>
      </w:r>
      <w:r w:rsidRPr="009C5EFD">
        <w:rPr>
          <w:sz w:val="22"/>
          <w:szCs w:val="22"/>
        </w:rPr>
        <w:t xml:space="preserve"> (kan forekomme hos opptil 1 av 10 personer)</w:t>
      </w:r>
    </w:p>
    <w:p w14:paraId="4EB03841" w14:textId="77777777" w:rsidR="00D20B49" w:rsidRPr="009C5EFD" w:rsidRDefault="00D20B49" w:rsidP="00776A84">
      <w:pPr>
        <w:keepNext/>
        <w:suppressAutoHyphens/>
        <w:rPr>
          <w:sz w:val="22"/>
          <w:szCs w:val="22"/>
        </w:rPr>
      </w:pPr>
    </w:p>
    <w:p w14:paraId="596AF55F"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høye blodverdier for hvite blodlegemer</w:t>
      </w:r>
    </w:p>
    <w:p w14:paraId="77541C98"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lave blodverdier for blodplater</w:t>
      </w:r>
    </w:p>
    <w:p w14:paraId="70D9E050"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forhøyet urinsyre i blod</w:t>
      </w:r>
    </w:p>
    <w:p w14:paraId="717F48E2"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unormale blodverdier for natrium</w:t>
      </w:r>
    </w:p>
    <w:p w14:paraId="3B1BEEA1"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lave blodverdier for kalsium</w:t>
      </w:r>
    </w:p>
    <w:p w14:paraId="399E58F3"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lave blodverdier for fosfat</w:t>
      </w:r>
    </w:p>
    <w:p w14:paraId="0AC7408A"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høyt blodsukker</w:t>
      </w:r>
    </w:p>
    <w:p w14:paraId="1903B4F1"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høye blodverdier for laktatdehydrogenase</w:t>
      </w:r>
    </w:p>
    <w:p w14:paraId="3E414DFA" w14:textId="77777777" w:rsidR="00D20B49" w:rsidRDefault="00E453CD" w:rsidP="00EE4677">
      <w:pPr>
        <w:numPr>
          <w:ilvl w:val="0"/>
          <w:numId w:val="15"/>
        </w:numPr>
        <w:tabs>
          <w:tab w:val="clear" w:pos="720"/>
          <w:tab w:val="num" w:pos="540"/>
        </w:tabs>
        <w:ind w:left="0" w:firstLine="0"/>
        <w:rPr>
          <w:sz w:val="22"/>
          <w:szCs w:val="22"/>
        </w:rPr>
      </w:pPr>
      <w:r w:rsidRPr="009C5EFD">
        <w:rPr>
          <w:sz w:val="22"/>
          <w:szCs w:val="22"/>
        </w:rPr>
        <w:t>tilstedeværelse av autoantistoffer i blod</w:t>
      </w:r>
    </w:p>
    <w:p w14:paraId="6A595426" w14:textId="77777777" w:rsidR="00B64F75" w:rsidRPr="00E90360" w:rsidRDefault="00E453CD" w:rsidP="00B64F75">
      <w:pPr>
        <w:numPr>
          <w:ilvl w:val="0"/>
          <w:numId w:val="15"/>
        </w:numPr>
        <w:tabs>
          <w:tab w:val="clear" w:pos="720"/>
          <w:tab w:val="num" w:pos="540"/>
        </w:tabs>
        <w:ind w:left="0" w:firstLine="0"/>
        <w:rPr>
          <w:sz w:val="22"/>
          <w:szCs w:val="22"/>
        </w:rPr>
      </w:pPr>
      <w:r>
        <w:rPr>
          <w:sz w:val="22"/>
          <w:szCs w:val="22"/>
        </w:rPr>
        <w:t>lavt kaliumnivå i blodet</w:t>
      </w:r>
    </w:p>
    <w:p w14:paraId="7FFE17F5" w14:textId="77777777" w:rsidR="00B64F75" w:rsidRDefault="00B64F75" w:rsidP="00B64F75">
      <w:pPr>
        <w:rPr>
          <w:sz w:val="22"/>
          <w:szCs w:val="22"/>
        </w:rPr>
      </w:pPr>
    </w:p>
    <w:p w14:paraId="51EA1042" w14:textId="77777777" w:rsidR="00B64F75" w:rsidRPr="00E90360" w:rsidRDefault="00E453CD" w:rsidP="00B64F75">
      <w:pPr>
        <w:keepNext/>
        <w:rPr>
          <w:sz w:val="22"/>
          <w:szCs w:val="22"/>
        </w:rPr>
      </w:pPr>
      <w:r>
        <w:rPr>
          <w:b/>
          <w:sz w:val="22"/>
        </w:rPr>
        <w:t>Mindre vanlige</w:t>
      </w:r>
      <w:r w:rsidRPr="00E90360">
        <w:rPr>
          <w:sz w:val="22"/>
          <w:szCs w:val="22"/>
        </w:rPr>
        <w:t xml:space="preserve"> (</w:t>
      </w:r>
      <w:r>
        <w:rPr>
          <w:sz w:val="22"/>
          <w:szCs w:val="22"/>
        </w:rPr>
        <w:t>kan forekomme hos opptil 1 av 100 personer</w:t>
      </w:r>
      <w:r w:rsidRPr="00E90360">
        <w:rPr>
          <w:sz w:val="22"/>
          <w:szCs w:val="22"/>
        </w:rPr>
        <w:t>)</w:t>
      </w:r>
    </w:p>
    <w:p w14:paraId="1B7E905E" w14:textId="77777777" w:rsidR="00B64F75" w:rsidRPr="00E90360" w:rsidRDefault="00B64F75" w:rsidP="00B64F75">
      <w:pPr>
        <w:keepNext/>
        <w:rPr>
          <w:sz w:val="22"/>
          <w:szCs w:val="22"/>
        </w:rPr>
      </w:pPr>
    </w:p>
    <w:p w14:paraId="61751833" w14:textId="77777777" w:rsidR="00B64F75" w:rsidRPr="00B64F75" w:rsidRDefault="00E453CD" w:rsidP="00776A84">
      <w:pPr>
        <w:numPr>
          <w:ilvl w:val="0"/>
          <w:numId w:val="15"/>
        </w:numPr>
        <w:tabs>
          <w:tab w:val="clear" w:pos="720"/>
          <w:tab w:val="num" w:pos="540"/>
        </w:tabs>
        <w:ind w:left="0" w:firstLine="0"/>
        <w:rPr>
          <w:sz w:val="22"/>
          <w:szCs w:val="22"/>
        </w:rPr>
      </w:pPr>
      <w:r>
        <w:rPr>
          <w:sz w:val="22"/>
          <w:szCs w:val="22"/>
        </w:rPr>
        <w:t>forhøyede bilirubinverdier (leverblodprøve)</w:t>
      </w:r>
    </w:p>
    <w:p w14:paraId="642E4341" w14:textId="77777777" w:rsidR="00D20B49" w:rsidRPr="009C5EFD" w:rsidRDefault="00D20B49" w:rsidP="00D20B49">
      <w:pPr>
        <w:rPr>
          <w:sz w:val="22"/>
          <w:szCs w:val="22"/>
        </w:rPr>
      </w:pPr>
    </w:p>
    <w:p w14:paraId="5DD6EF93" w14:textId="77777777" w:rsidR="00D20B49" w:rsidRPr="009C5EFD" w:rsidRDefault="00E453CD" w:rsidP="00776A84">
      <w:pPr>
        <w:keepNext/>
        <w:rPr>
          <w:sz w:val="22"/>
          <w:szCs w:val="22"/>
        </w:rPr>
      </w:pPr>
      <w:r w:rsidRPr="0061743D">
        <w:rPr>
          <w:b/>
          <w:sz w:val="22"/>
        </w:rPr>
        <w:t>Sjeldne</w:t>
      </w:r>
      <w:r w:rsidRPr="009C5EFD">
        <w:rPr>
          <w:sz w:val="22"/>
          <w:szCs w:val="22"/>
        </w:rPr>
        <w:t xml:space="preserve"> (kan forekomme hos opptil 1 av 1000 personer)</w:t>
      </w:r>
    </w:p>
    <w:p w14:paraId="19B1C7E0" w14:textId="77777777" w:rsidR="001850A1" w:rsidRPr="009C5EFD" w:rsidRDefault="001850A1" w:rsidP="00776A84">
      <w:pPr>
        <w:keepNext/>
        <w:rPr>
          <w:sz w:val="22"/>
          <w:szCs w:val="22"/>
        </w:rPr>
      </w:pPr>
    </w:p>
    <w:p w14:paraId="544D9E50" w14:textId="77777777" w:rsidR="00D20B49" w:rsidRPr="009C5EFD" w:rsidRDefault="00E453CD" w:rsidP="00EE4677">
      <w:pPr>
        <w:numPr>
          <w:ilvl w:val="0"/>
          <w:numId w:val="15"/>
        </w:numPr>
        <w:tabs>
          <w:tab w:val="clear" w:pos="720"/>
          <w:tab w:val="num" w:pos="540"/>
        </w:tabs>
        <w:ind w:left="0" w:firstLine="0"/>
        <w:rPr>
          <w:sz w:val="22"/>
          <w:szCs w:val="22"/>
        </w:rPr>
      </w:pPr>
      <w:r w:rsidRPr="009C5EFD">
        <w:rPr>
          <w:sz w:val="22"/>
          <w:szCs w:val="22"/>
        </w:rPr>
        <w:t>lave blodverdier for hvite blodlegemer, røde blodlegemer og antall plater</w:t>
      </w:r>
    </w:p>
    <w:p w14:paraId="40BF36E8" w14:textId="77777777" w:rsidR="00D20B49" w:rsidRPr="009C5EFD" w:rsidRDefault="00D20B49" w:rsidP="00D20B49">
      <w:pPr>
        <w:rPr>
          <w:sz w:val="22"/>
          <w:szCs w:val="22"/>
        </w:rPr>
      </w:pPr>
    </w:p>
    <w:p w14:paraId="02AA45F1" w14:textId="77777777" w:rsidR="00D20B49" w:rsidRPr="000E7054" w:rsidRDefault="00E453CD" w:rsidP="00776A84">
      <w:pPr>
        <w:keepNext/>
        <w:rPr>
          <w:b/>
          <w:sz w:val="22"/>
          <w:szCs w:val="22"/>
        </w:rPr>
      </w:pPr>
      <w:r w:rsidRPr="000E7054">
        <w:rPr>
          <w:rFonts w:eastAsia="SimSun"/>
          <w:b/>
          <w:noProof/>
          <w:sz w:val="22"/>
          <w:szCs w:val="22"/>
        </w:rPr>
        <w:t>Melding av bivirkninger</w:t>
      </w:r>
    </w:p>
    <w:p w14:paraId="5949D1FE" w14:textId="77777777" w:rsidR="00D20B49" w:rsidRPr="005C4BE2" w:rsidRDefault="00E453CD" w:rsidP="00AE0F3C">
      <w:pPr>
        <w:rPr>
          <w:sz w:val="22"/>
          <w:szCs w:val="22"/>
        </w:rPr>
      </w:pPr>
      <w:r w:rsidRPr="005C4BE2">
        <w:rPr>
          <w:sz w:val="22"/>
          <w:szCs w:val="22"/>
        </w:rPr>
        <w:t>Kontakt lege</w:t>
      </w:r>
      <w:r w:rsidR="00E23921">
        <w:rPr>
          <w:sz w:val="22"/>
          <w:szCs w:val="22"/>
        </w:rPr>
        <w:t>n din</w:t>
      </w:r>
      <w:r w:rsidRPr="005C4BE2">
        <w:rPr>
          <w:sz w:val="22"/>
          <w:szCs w:val="22"/>
        </w:rPr>
        <w:t xml:space="preserve"> eller apotek dersom du opplever bivirkninger</w:t>
      </w:r>
      <w:r w:rsidR="00AE0F3C" w:rsidRPr="00AE0F3C">
        <w:rPr>
          <w:sz w:val="22"/>
          <w:szCs w:val="22"/>
        </w:rPr>
        <w:t>. Dette</w:t>
      </w:r>
      <w:r w:rsidR="00030298">
        <w:rPr>
          <w:sz w:val="22"/>
          <w:szCs w:val="22"/>
        </w:rPr>
        <w:t xml:space="preserve"> </w:t>
      </w:r>
      <w:r w:rsidR="00AE0F3C" w:rsidRPr="00AE0F3C">
        <w:rPr>
          <w:sz w:val="22"/>
          <w:szCs w:val="22"/>
        </w:rPr>
        <w:t>gjelder også</w:t>
      </w:r>
      <w:r w:rsidRPr="005C4BE2">
        <w:rPr>
          <w:sz w:val="22"/>
          <w:szCs w:val="22"/>
        </w:rPr>
        <w:t xml:space="preserve"> bivirkninger som ikke er nevnt i pakningsvedlegget.</w:t>
      </w:r>
      <w:r w:rsidR="00A36D70">
        <w:rPr>
          <w:sz w:val="22"/>
          <w:szCs w:val="22"/>
        </w:rPr>
        <w:t xml:space="preserve"> </w:t>
      </w:r>
      <w:r w:rsidRPr="001F5D4B">
        <w:rPr>
          <w:sz w:val="22"/>
          <w:szCs w:val="22"/>
        </w:rPr>
        <w:t xml:space="preserve">Du kan også melde fra om bivirkninger direkte via </w:t>
      </w:r>
      <w:r w:rsidRPr="0085613F">
        <w:rPr>
          <w:noProof/>
          <w:sz w:val="22"/>
          <w:szCs w:val="22"/>
          <w:highlight w:val="lightGray"/>
        </w:rPr>
        <w:t>det nasjonale meldesystemet som beskrevet i</w:t>
      </w:r>
      <w:r w:rsidRPr="0085613F">
        <w:rPr>
          <w:sz w:val="22"/>
          <w:szCs w:val="22"/>
          <w:highlight w:val="lightGray"/>
        </w:rPr>
        <w:t xml:space="preserve"> </w:t>
      </w:r>
      <w:hyperlink r:id="rId69" w:history="1">
        <w:r w:rsidR="00D20B49" w:rsidRPr="0085613F">
          <w:rPr>
            <w:color w:val="0000FF"/>
            <w:sz w:val="22"/>
            <w:szCs w:val="22"/>
            <w:highlight w:val="lightGray"/>
            <w:u w:val="single"/>
          </w:rPr>
          <w:t>Appendix V</w:t>
        </w:r>
      </w:hyperlink>
      <w:r w:rsidRPr="0085613F">
        <w:rPr>
          <w:sz w:val="22"/>
          <w:szCs w:val="22"/>
          <w:highlight w:val="lightGray"/>
        </w:rPr>
        <w:t>.</w:t>
      </w:r>
      <w:r w:rsidRPr="001F5D4B">
        <w:rPr>
          <w:sz w:val="22"/>
          <w:szCs w:val="22"/>
        </w:rPr>
        <w:t xml:space="preserve"> Ved å melde fra om bivirkninger bidrar du med informasjon om sikkerheten ved bruk av dette legemidlet.</w:t>
      </w:r>
    </w:p>
    <w:p w14:paraId="0009D3E6" w14:textId="77777777" w:rsidR="00D20B49" w:rsidRPr="00E14E58" w:rsidRDefault="00D20B49" w:rsidP="00D20B49">
      <w:pPr>
        <w:rPr>
          <w:sz w:val="22"/>
          <w:szCs w:val="22"/>
        </w:rPr>
      </w:pPr>
    </w:p>
    <w:p w14:paraId="1412C1C6" w14:textId="77777777" w:rsidR="00D20B49" w:rsidRPr="009C5EFD" w:rsidRDefault="00D20B49" w:rsidP="00D20B49">
      <w:pPr>
        <w:rPr>
          <w:sz w:val="22"/>
          <w:szCs w:val="22"/>
        </w:rPr>
      </w:pPr>
    </w:p>
    <w:p w14:paraId="2EA08AA5" w14:textId="77777777" w:rsidR="00D20B49" w:rsidRPr="009C5EFD" w:rsidRDefault="00E453CD" w:rsidP="00AF70AD">
      <w:pPr>
        <w:keepNext/>
        <w:suppressAutoHyphens/>
        <w:ind w:left="567" w:hanging="567"/>
        <w:rPr>
          <w:sz w:val="22"/>
          <w:szCs w:val="22"/>
        </w:rPr>
      </w:pPr>
      <w:r w:rsidRPr="009C5EFD">
        <w:rPr>
          <w:b/>
          <w:sz w:val="22"/>
          <w:szCs w:val="22"/>
        </w:rPr>
        <w:t>5.</w:t>
      </w:r>
      <w:r w:rsidRPr="009C5EFD">
        <w:rPr>
          <w:b/>
          <w:sz w:val="22"/>
          <w:szCs w:val="22"/>
        </w:rPr>
        <w:tab/>
        <w:t>Hvordan du oppbevarer Humira</w:t>
      </w:r>
    </w:p>
    <w:p w14:paraId="5FF3A889" w14:textId="77777777" w:rsidR="00D20B49" w:rsidRPr="009C5EFD" w:rsidRDefault="00D20B49" w:rsidP="00AF70AD">
      <w:pPr>
        <w:keepNext/>
        <w:rPr>
          <w:sz w:val="22"/>
          <w:szCs w:val="22"/>
        </w:rPr>
      </w:pPr>
    </w:p>
    <w:p w14:paraId="21957A2B" w14:textId="77777777" w:rsidR="00D20B49" w:rsidRPr="009C5EFD" w:rsidRDefault="00E453CD" w:rsidP="00D20B49">
      <w:pPr>
        <w:suppressAutoHyphens/>
        <w:rPr>
          <w:sz w:val="22"/>
          <w:szCs w:val="22"/>
        </w:rPr>
      </w:pPr>
      <w:r w:rsidRPr="009C5EFD">
        <w:rPr>
          <w:sz w:val="22"/>
          <w:szCs w:val="22"/>
        </w:rPr>
        <w:t>Oppbevar dette legemidlet utilgjengelig for barn.</w:t>
      </w:r>
    </w:p>
    <w:p w14:paraId="7E7C9AC2" w14:textId="77777777" w:rsidR="00D20B49" w:rsidRPr="009C5EFD" w:rsidRDefault="00D20B49" w:rsidP="00D20B49">
      <w:pPr>
        <w:suppressAutoHyphens/>
        <w:rPr>
          <w:sz w:val="22"/>
          <w:szCs w:val="22"/>
        </w:rPr>
      </w:pPr>
    </w:p>
    <w:p w14:paraId="0D4A0E33" w14:textId="77777777" w:rsidR="00D20B49" w:rsidRPr="009C5EFD" w:rsidRDefault="00E453CD" w:rsidP="00D20B49">
      <w:pPr>
        <w:suppressAutoHyphens/>
        <w:rPr>
          <w:sz w:val="22"/>
          <w:szCs w:val="22"/>
        </w:rPr>
      </w:pPr>
      <w:r w:rsidRPr="009C5EFD">
        <w:rPr>
          <w:sz w:val="22"/>
          <w:szCs w:val="22"/>
        </w:rPr>
        <w:t>Bruk ikke dette legemidlet etter utløpsdatoen som er angitt på etiketten/blisteret/esken</w:t>
      </w:r>
      <w:r w:rsidR="00A77705">
        <w:rPr>
          <w:sz w:val="22"/>
          <w:szCs w:val="22"/>
        </w:rPr>
        <w:t xml:space="preserve"> etter EXP</w:t>
      </w:r>
      <w:r w:rsidRPr="009C5EFD">
        <w:rPr>
          <w:sz w:val="22"/>
          <w:szCs w:val="22"/>
        </w:rPr>
        <w:t xml:space="preserve">. </w:t>
      </w:r>
    </w:p>
    <w:p w14:paraId="6D0F689B" w14:textId="77777777" w:rsidR="00D20B49" w:rsidRPr="009C5EFD" w:rsidRDefault="00D20B49" w:rsidP="00D20B49">
      <w:pPr>
        <w:suppressAutoHyphens/>
        <w:rPr>
          <w:sz w:val="22"/>
          <w:szCs w:val="22"/>
        </w:rPr>
      </w:pPr>
    </w:p>
    <w:p w14:paraId="032CF75A" w14:textId="77777777" w:rsidR="00E3195D" w:rsidRDefault="00E453CD" w:rsidP="00D20B49">
      <w:pPr>
        <w:suppressAutoHyphens/>
        <w:rPr>
          <w:sz w:val="22"/>
          <w:szCs w:val="22"/>
        </w:rPr>
      </w:pPr>
      <w:r w:rsidRPr="009C5EFD">
        <w:rPr>
          <w:sz w:val="22"/>
          <w:szCs w:val="22"/>
        </w:rPr>
        <w:t>Oppbevares i kjøleskap (2</w:t>
      </w:r>
      <w:r w:rsidR="00F464CF">
        <w:rPr>
          <w:sz w:val="22"/>
          <w:szCs w:val="22"/>
        </w:rPr>
        <w:t> </w:t>
      </w:r>
      <w:r w:rsidRPr="009C5EFD">
        <w:rPr>
          <w:sz w:val="22"/>
          <w:szCs w:val="22"/>
        </w:rPr>
        <w:t>°C – 8</w:t>
      </w:r>
      <w:r w:rsidR="00F464CF">
        <w:rPr>
          <w:sz w:val="22"/>
          <w:szCs w:val="22"/>
        </w:rPr>
        <w:t> </w:t>
      </w:r>
      <w:r w:rsidRPr="009C5EFD">
        <w:rPr>
          <w:sz w:val="22"/>
          <w:szCs w:val="22"/>
        </w:rPr>
        <w:t xml:space="preserve">°C). Skal ikke fryses. </w:t>
      </w:r>
    </w:p>
    <w:p w14:paraId="6F19E0AE" w14:textId="77777777" w:rsidR="00E3195D" w:rsidRDefault="00E3195D" w:rsidP="00D20B49">
      <w:pPr>
        <w:suppressAutoHyphens/>
        <w:rPr>
          <w:sz w:val="22"/>
          <w:szCs w:val="22"/>
        </w:rPr>
      </w:pPr>
    </w:p>
    <w:p w14:paraId="4ECD5AC3" w14:textId="77777777" w:rsidR="00D20B49" w:rsidRPr="009C5EFD" w:rsidRDefault="00E453CD" w:rsidP="00D20B49">
      <w:pPr>
        <w:suppressAutoHyphens/>
        <w:rPr>
          <w:sz w:val="22"/>
          <w:szCs w:val="22"/>
        </w:rPr>
      </w:pPr>
      <w:r w:rsidRPr="009C5EFD">
        <w:rPr>
          <w:sz w:val="22"/>
          <w:szCs w:val="22"/>
        </w:rPr>
        <w:t>Den ferdigfylte pennen oppbevares i ytterpakningen for å beskytte mot lys.</w:t>
      </w:r>
    </w:p>
    <w:p w14:paraId="371FDCCF" w14:textId="77777777" w:rsidR="00D20B49" w:rsidRPr="009C5EFD" w:rsidRDefault="00D20B49" w:rsidP="00D20B49">
      <w:pPr>
        <w:suppressAutoHyphens/>
        <w:rPr>
          <w:sz w:val="22"/>
          <w:szCs w:val="22"/>
        </w:rPr>
      </w:pPr>
    </w:p>
    <w:p w14:paraId="5C66AF3D" w14:textId="77777777" w:rsidR="00D20B49" w:rsidRPr="009C5EFD" w:rsidRDefault="00E453CD" w:rsidP="00B07EA9">
      <w:pPr>
        <w:keepNext/>
        <w:suppressAutoHyphens/>
        <w:rPr>
          <w:sz w:val="22"/>
          <w:szCs w:val="22"/>
        </w:rPr>
      </w:pPr>
      <w:r w:rsidRPr="009C5EFD">
        <w:rPr>
          <w:sz w:val="22"/>
          <w:szCs w:val="22"/>
        </w:rPr>
        <w:t>Alternativ oppbevaring:</w:t>
      </w:r>
    </w:p>
    <w:p w14:paraId="6A5DA048" w14:textId="77777777" w:rsidR="00D20B49" w:rsidRPr="009C5EFD" w:rsidRDefault="00D20B49" w:rsidP="00B07EA9">
      <w:pPr>
        <w:keepNext/>
        <w:suppressAutoHyphens/>
        <w:rPr>
          <w:sz w:val="22"/>
          <w:szCs w:val="22"/>
        </w:rPr>
      </w:pPr>
    </w:p>
    <w:p w14:paraId="24DAE44B" w14:textId="77777777" w:rsidR="00D20B49" w:rsidRPr="009C5EFD" w:rsidRDefault="00E453CD" w:rsidP="00D20B49">
      <w:pPr>
        <w:suppressAutoHyphens/>
        <w:rPr>
          <w:sz w:val="22"/>
          <w:szCs w:val="22"/>
        </w:rPr>
      </w:pPr>
      <w:r w:rsidRPr="009C5EFD">
        <w:rPr>
          <w:sz w:val="22"/>
          <w:szCs w:val="22"/>
        </w:rPr>
        <w:t>Ved behov (</w:t>
      </w:r>
      <w:r w:rsidR="001A1AC5">
        <w:rPr>
          <w:sz w:val="22"/>
          <w:szCs w:val="22"/>
        </w:rPr>
        <w:t>f.eks.</w:t>
      </w:r>
      <w:r w:rsidRPr="009C5EFD">
        <w:rPr>
          <w:sz w:val="22"/>
          <w:szCs w:val="22"/>
        </w:rPr>
        <w:t xml:space="preserve"> når du er på reise) kan en enkelt Humira ferdigfylt penn oppbevares ved romtemperatur (opptil 25</w:t>
      </w:r>
      <w:r w:rsidR="00F464CF">
        <w:rPr>
          <w:sz w:val="22"/>
          <w:szCs w:val="22"/>
        </w:rPr>
        <w:t> </w:t>
      </w:r>
      <w:r w:rsidRPr="009C5EFD">
        <w:rPr>
          <w:sz w:val="22"/>
          <w:szCs w:val="22"/>
        </w:rPr>
        <w:t xml:space="preserve">°C) for en periode på maksimum 14 dager – sørg for å beskytte den mot lys. I det øyeblikk den tas fra kjøleskap for oppbevaring i romtemperatur </w:t>
      </w:r>
      <w:r w:rsidRPr="009C5EFD">
        <w:rPr>
          <w:b/>
          <w:sz w:val="22"/>
          <w:szCs w:val="22"/>
        </w:rPr>
        <w:t>må pennen brukes innen 14 dager eller kastes</w:t>
      </w:r>
      <w:r w:rsidRPr="009C5EFD">
        <w:rPr>
          <w:sz w:val="22"/>
          <w:szCs w:val="22"/>
        </w:rPr>
        <w:t>, selv om den blir lagt tilbake i kjøleskapet.</w:t>
      </w:r>
    </w:p>
    <w:p w14:paraId="7C74C791" w14:textId="77777777" w:rsidR="00D20B49" w:rsidRPr="009C5EFD" w:rsidRDefault="00D20B49" w:rsidP="00D20B49">
      <w:pPr>
        <w:suppressAutoHyphens/>
        <w:rPr>
          <w:sz w:val="22"/>
          <w:szCs w:val="22"/>
        </w:rPr>
      </w:pPr>
    </w:p>
    <w:p w14:paraId="2718F9F7" w14:textId="77777777" w:rsidR="00D20B49" w:rsidRPr="009C5EFD" w:rsidRDefault="00E453CD" w:rsidP="00D20B49">
      <w:pPr>
        <w:suppressAutoHyphens/>
        <w:rPr>
          <w:sz w:val="22"/>
          <w:szCs w:val="22"/>
        </w:rPr>
      </w:pPr>
      <w:r w:rsidRPr="009C5EFD">
        <w:rPr>
          <w:sz w:val="22"/>
          <w:szCs w:val="22"/>
        </w:rPr>
        <w:t>Du bør notere datoen når pennen først tas ut fra kjøleskapet, og datoen for når den burde bli kastet.</w:t>
      </w:r>
    </w:p>
    <w:p w14:paraId="043A4EFA" w14:textId="77777777" w:rsidR="00D20B49" w:rsidRPr="009C5EFD" w:rsidRDefault="00D20B49" w:rsidP="00D20B49">
      <w:pPr>
        <w:suppressAutoHyphens/>
        <w:rPr>
          <w:sz w:val="22"/>
          <w:szCs w:val="22"/>
        </w:rPr>
      </w:pPr>
    </w:p>
    <w:p w14:paraId="4BF482EB" w14:textId="77777777" w:rsidR="00D20B49" w:rsidRPr="009C5EFD" w:rsidRDefault="00E453CD" w:rsidP="00D20B49">
      <w:pPr>
        <w:suppressAutoHyphens/>
        <w:rPr>
          <w:sz w:val="22"/>
          <w:szCs w:val="22"/>
        </w:rPr>
      </w:pPr>
      <w:r w:rsidRPr="009C5EFD">
        <w:rPr>
          <w:sz w:val="22"/>
          <w:szCs w:val="22"/>
        </w:rPr>
        <w:t>Legemidler skal ikke kastes i avløpsvann eller sammen med husholdningsavfall. Spør legen din eller på apoteket hvordan legemidler som du ikke lenger bruker skal kastes. Disse tiltakene bidrar til å beskytte miljøet.</w:t>
      </w:r>
    </w:p>
    <w:p w14:paraId="7E4F50C0" w14:textId="77777777" w:rsidR="00D20B49" w:rsidRPr="009C5EFD" w:rsidRDefault="00D20B49" w:rsidP="00D20B49">
      <w:pPr>
        <w:suppressAutoHyphens/>
        <w:rPr>
          <w:b/>
          <w:sz w:val="22"/>
          <w:szCs w:val="22"/>
        </w:rPr>
      </w:pPr>
    </w:p>
    <w:p w14:paraId="43D9DEB8" w14:textId="77777777" w:rsidR="00D20B49" w:rsidRPr="009C5EFD" w:rsidRDefault="00D20B49" w:rsidP="00D20B49">
      <w:pPr>
        <w:suppressAutoHyphens/>
        <w:rPr>
          <w:b/>
          <w:sz w:val="22"/>
          <w:szCs w:val="22"/>
        </w:rPr>
      </w:pPr>
    </w:p>
    <w:p w14:paraId="1842142F" w14:textId="77777777" w:rsidR="00D20B49" w:rsidRPr="009C5EFD" w:rsidRDefault="00E453CD" w:rsidP="00AF70AD">
      <w:pPr>
        <w:keepNext/>
        <w:suppressAutoHyphens/>
        <w:ind w:left="540" w:hanging="540"/>
        <w:rPr>
          <w:sz w:val="22"/>
          <w:szCs w:val="22"/>
        </w:rPr>
      </w:pPr>
      <w:r w:rsidRPr="009C5EFD">
        <w:rPr>
          <w:b/>
          <w:sz w:val="22"/>
          <w:szCs w:val="22"/>
        </w:rPr>
        <w:t>6.</w:t>
      </w:r>
      <w:r w:rsidRPr="009C5EFD">
        <w:rPr>
          <w:b/>
          <w:sz w:val="22"/>
          <w:szCs w:val="22"/>
        </w:rPr>
        <w:tab/>
        <w:t>Innholdet i pakningen og ytterligere informasjon</w:t>
      </w:r>
    </w:p>
    <w:p w14:paraId="3A0D12A9" w14:textId="77777777" w:rsidR="00D20B49" w:rsidRPr="009C5EFD" w:rsidRDefault="00D20B49" w:rsidP="00AF70AD">
      <w:pPr>
        <w:keepNext/>
        <w:tabs>
          <w:tab w:val="left" w:pos="567"/>
        </w:tabs>
        <w:suppressAutoHyphens/>
        <w:rPr>
          <w:sz w:val="22"/>
          <w:szCs w:val="22"/>
        </w:rPr>
      </w:pPr>
    </w:p>
    <w:p w14:paraId="2291B117" w14:textId="77777777" w:rsidR="00D20B49" w:rsidRPr="009C5EFD" w:rsidRDefault="00E453CD" w:rsidP="00776A84">
      <w:pPr>
        <w:pStyle w:val="Heading3"/>
        <w:rPr>
          <w:szCs w:val="22"/>
          <w:lang w:val="nb-NO"/>
        </w:rPr>
      </w:pPr>
      <w:r w:rsidRPr="009C5EFD">
        <w:rPr>
          <w:szCs w:val="22"/>
          <w:lang w:val="nb-NO"/>
        </w:rPr>
        <w:t>Sammensetning av Humira</w:t>
      </w:r>
    </w:p>
    <w:p w14:paraId="4A439513" w14:textId="77777777" w:rsidR="00D20B49" w:rsidRPr="009C5EFD" w:rsidRDefault="00D20B49" w:rsidP="00776A84">
      <w:pPr>
        <w:keepNext/>
        <w:rPr>
          <w:b/>
          <w:sz w:val="22"/>
          <w:szCs w:val="22"/>
        </w:rPr>
      </w:pPr>
    </w:p>
    <w:p w14:paraId="1DBACBF4" w14:textId="77777777" w:rsidR="00D20B49" w:rsidRPr="009C5EFD" w:rsidRDefault="00E453CD" w:rsidP="00D20B49">
      <w:pPr>
        <w:suppressAutoHyphens/>
        <w:rPr>
          <w:sz w:val="22"/>
          <w:szCs w:val="22"/>
        </w:rPr>
      </w:pPr>
      <w:r w:rsidRPr="009C5EFD">
        <w:rPr>
          <w:sz w:val="22"/>
          <w:szCs w:val="22"/>
        </w:rPr>
        <w:t>Virkestoffet er adalimumab.</w:t>
      </w:r>
    </w:p>
    <w:p w14:paraId="222EFF26" w14:textId="77777777" w:rsidR="00D20B49" w:rsidRDefault="00E453CD" w:rsidP="00D20B49">
      <w:pPr>
        <w:pStyle w:val="BodyTextIndent2"/>
        <w:ind w:left="0" w:firstLine="0"/>
        <w:rPr>
          <w:szCs w:val="22"/>
        </w:rPr>
      </w:pPr>
      <w:r w:rsidRPr="009C5EFD">
        <w:rPr>
          <w:szCs w:val="22"/>
        </w:rPr>
        <w:t xml:space="preserve">Hjelpestoffer er mannitol, </w:t>
      </w:r>
      <w:r w:rsidR="00442AFA">
        <w:rPr>
          <w:szCs w:val="22"/>
        </w:rPr>
        <w:t xml:space="preserve">polysorbat 80 </w:t>
      </w:r>
      <w:r w:rsidRPr="009C5EFD">
        <w:rPr>
          <w:szCs w:val="22"/>
        </w:rPr>
        <w:t>og vann til injeksjonsvæsker.</w:t>
      </w:r>
    </w:p>
    <w:p w14:paraId="7FFF0E6C" w14:textId="77777777" w:rsidR="00D20B49" w:rsidRPr="009C5EFD" w:rsidRDefault="00D20B49" w:rsidP="00D20B49">
      <w:pPr>
        <w:pStyle w:val="EndnoteText"/>
        <w:widowControl/>
        <w:tabs>
          <w:tab w:val="clear" w:pos="567"/>
        </w:tabs>
        <w:suppressAutoHyphens/>
        <w:rPr>
          <w:szCs w:val="22"/>
          <w:lang w:val="nb-NO"/>
        </w:rPr>
      </w:pPr>
    </w:p>
    <w:p w14:paraId="76D93938" w14:textId="77777777" w:rsidR="00D20B49" w:rsidRPr="009C5EFD" w:rsidRDefault="00E453CD" w:rsidP="00D20B49">
      <w:pPr>
        <w:pStyle w:val="Heading3"/>
        <w:suppressAutoHyphens/>
        <w:rPr>
          <w:szCs w:val="22"/>
          <w:lang w:val="nb-NO"/>
        </w:rPr>
      </w:pPr>
      <w:r w:rsidRPr="009C5EFD">
        <w:rPr>
          <w:szCs w:val="22"/>
          <w:lang w:val="nb-NO"/>
        </w:rPr>
        <w:t>Hvordan Humira ferdigfylt penn ser ut og innholdet i pakningen</w:t>
      </w:r>
    </w:p>
    <w:p w14:paraId="06752071" w14:textId="77777777" w:rsidR="00D20B49" w:rsidRPr="009C5EFD" w:rsidRDefault="00D20B49" w:rsidP="00776A84">
      <w:pPr>
        <w:keepNext/>
      </w:pPr>
    </w:p>
    <w:p w14:paraId="566A55B5" w14:textId="77777777" w:rsidR="00D20B49" w:rsidRDefault="00E453CD" w:rsidP="00D20B49">
      <w:pPr>
        <w:pStyle w:val="EndnoteText"/>
        <w:widowControl/>
        <w:tabs>
          <w:tab w:val="clear" w:pos="567"/>
        </w:tabs>
        <w:suppressAutoHyphens/>
        <w:rPr>
          <w:szCs w:val="22"/>
          <w:lang w:val="nb-NO"/>
        </w:rPr>
      </w:pPr>
      <w:r w:rsidRPr="009C5EFD">
        <w:rPr>
          <w:szCs w:val="22"/>
          <w:lang w:val="nb-NO"/>
        </w:rPr>
        <w:t>Humira 40 mg injeksjonsvæske, oppløsning i ferdigfylt penn er tilgjengelig som steril oppløsning a</w:t>
      </w:r>
      <w:r w:rsidR="00442AFA">
        <w:rPr>
          <w:szCs w:val="22"/>
          <w:lang w:val="nb-NO"/>
        </w:rPr>
        <w:t>v 40 mg adalimumab oppløst i 0,4</w:t>
      </w:r>
      <w:r w:rsidRPr="009C5EFD">
        <w:rPr>
          <w:szCs w:val="22"/>
          <w:lang w:val="nb-NO"/>
        </w:rPr>
        <w:t xml:space="preserve"> ml </w:t>
      </w:r>
      <w:r w:rsidR="00F464CF">
        <w:rPr>
          <w:szCs w:val="22"/>
          <w:lang w:val="nb-NO"/>
        </w:rPr>
        <w:t>opp</w:t>
      </w:r>
      <w:r w:rsidRPr="009C5EFD">
        <w:rPr>
          <w:szCs w:val="22"/>
          <w:lang w:val="nb-NO"/>
        </w:rPr>
        <w:t>løsning.</w:t>
      </w:r>
    </w:p>
    <w:p w14:paraId="4866E59B" w14:textId="77777777" w:rsidR="00442AFA" w:rsidRPr="009C5EFD" w:rsidRDefault="00442AFA" w:rsidP="00D20B49">
      <w:pPr>
        <w:pStyle w:val="EndnoteText"/>
        <w:widowControl/>
        <w:tabs>
          <w:tab w:val="clear" w:pos="567"/>
        </w:tabs>
        <w:suppressAutoHyphens/>
        <w:rPr>
          <w:b/>
          <w:szCs w:val="22"/>
          <w:lang w:val="nb-NO"/>
        </w:rPr>
      </w:pPr>
    </w:p>
    <w:p w14:paraId="2E8357E2" w14:textId="77777777" w:rsidR="00D20B49" w:rsidRPr="009C5EFD" w:rsidRDefault="00E453CD" w:rsidP="00D20B49">
      <w:pPr>
        <w:pStyle w:val="EndnoteText"/>
        <w:widowControl/>
        <w:tabs>
          <w:tab w:val="clear" w:pos="567"/>
        </w:tabs>
        <w:suppressAutoHyphens/>
        <w:rPr>
          <w:szCs w:val="22"/>
          <w:lang w:val="nb-NO"/>
        </w:rPr>
      </w:pPr>
      <w:r w:rsidRPr="009C5EFD">
        <w:rPr>
          <w:szCs w:val="22"/>
          <w:lang w:val="nb-NO"/>
        </w:rPr>
        <w:t xml:space="preserve">Humira ferdigfylt penn er ett grått- og plommefarget plastrør som inneholder glassprøyte med Humira. Det finnes to hetter på pennen – den ene er grå og merket med </w:t>
      </w:r>
      <w:r w:rsidR="00D57009">
        <w:rPr>
          <w:szCs w:val="22"/>
          <w:lang w:val="nb-NO"/>
        </w:rPr>
        <w:t>«</w:t>
      </w:r>
      <w:r w:rsidRPr="009C5EFD">
        <w:rPr>
          <w:szCs w:val="22"/>
          <w:lang w:val="nb-NO"/>
        </w:rPr>
        <w:t>1</w:t>
      </w:r>
      <w:r w:rsidR="00D57009">
        <w:rPr>
          <w:szCs w:val="22"/>
          <w:lang w:val="nb-NO"/>
        </w:rPr>
        <w:t>»</w:t>
      </w:r>
      <w:r w:rsidRPr="009C5EFD">
        <w:rPr>
          <w:szCs w:val="22"/>
          <w:lang w:val="nb-NO"/>
        </w:rPr>
        <w:t xml:space="preserve"> og den andre er plommefarget og merket med </w:t>
      </w:r>
      <w:r w:rsidR="00D57009">
        <w:rPr>
          <w:szCs w:val="22"/>
          <w:lang w:val="nb-NO"/>
        </w:rPr>
        <w:t>«</w:t>
      </w:r>
      <w:r w:rsidRPr="009C5EFD">
        <w:rPr>
          <w:szCs w:val="22"/>
          <w:lang w:val="nb-NO"/>
        </w:rPr>
        <w:t>2</w:t>
      </w:r>
      <w:r w:rsidR="00D57009">
        <w:rPr>
          <w:szCs w:val="22"/>
          <w:lang w:val="nb-NO"/>
        </w:rPr>
        <w:t>»</w:t>
      </w:r>
      <w:r w:rsidRPr="009C5EFD">
        <w:rPr>
          <w:szCs w:val="22"/>
          <w:lang w:val="nb-NO"/>
        </w:rPr>
        <w:t xml:space="preserve">. Pennen har et vindu på hver sin side. Gjennom disse vinduene kan du se Humiraoppløsningen i sprøyten. </w:t>
      </w:r>
    </w:p>
    <w:p w14:paraId="7FCF3424" w14:textId="77777777" w:rsidR="00D20B49" w:rsidRPr="009C5EFD" w:rsidRDefault="00D20B49" w:rsidP="00D20B49">
      <w:pPr>
        <w:pStyle w:val="EndnoteText"/>
        <w:widowControl/>
        <w:tabs>
          <w:tab w:val="clear" w:pos="567"/>
        </w:tabs>
        <w:suppressAutoHyphens/>
        <w:rPr>
          <w:szCs w:val="22"/>
          <w:lang w:val="nb-NO"/>
        </w:rPr>
      </w:pPr>
    </w:p>
    <w:p w14:paraId="4B104E60" w14:textId="77777777" w:rsidR="00D20B49" w:rsidRPr="009C5EFD" w:rsidRDefault="00E453CD" w:rsidP="00D20B49">
      <w:pPr>
        <w:pStyle w:val="EndnoteText"/>
        <w:widowControl/>
        <w:tabs>
          <w:tab w:val="clear" w:pos="567"/>
        </w:tabs>
        <w:suppressAutoHyphens/>
        <w:rPr>
          <w:szCs w:val="22"/>
          <w:lang w:val="nb-NO"/>
        </w:rPr>
      </w:pPr>
      <w:r w:rsidRPr="009C5EFD">
        <w:rPr>
          <w:szCs w:val="22"/>
          <w:lang w:val="nb-NO"/>
        </w:rPr>
        <w:lastRenderedPageBreak/>
        <w:t xml:space="preserve">Humira ferdigfylt penn er tilgjengelig i pakker med 1, 2, 4, eller 6 ferdigfylte penner. </w:t>
      </w:r>
      <w:r>
        <w:rPr>
          <w:szCs w:val="22"/>
          <w:lang w:val="nb-NO"/>
        </w:rPr>
        <w:t>Pakningen med 1 ferdigfylt penn kommer med 2 injeksjonsstørk (en ekstra). For pakning</w:t>
      </w:r>
      <w:r w:rsidR="00390963">
        <w:rPr>
          <w:szCs w:val="22"/>
          <w:lang w:val="nb-NO"/>
        </w:rPr>
        <w:t>er</w:t>
      </w:r>
      <w:r>
        <w:rPr>
          <w:szCs w:val="22"/>
          <w:lang w:val="nb-NO"/>
        </w:rPr>
        <w:t xml:space="preserve"> med 2, 4 og 6 ferdigfylte penner følger det med hver ferdigfylt</w:t>
      </w:r>
      <w:r w:rsidR="00390963">
        <w:rPr>
          <w:szCs w:val="22"/>
          <w:lang w:val="nb-NO"/>
        </w:rPr>
        <w:t>e</w:t>
      </w:r>
      <w:r>
        <w:rPr>
          <w:szCs w:val="22"/>
          <w:lang w:val="nb-NO"/>
        </w:rPr>
        <w:t xml:space="preserve"> penn 1 injeksjonsstørk. </w:t>
      </w:r>
      <w:r w:rsidRPr="009C5EFD">
        <w:rPr>
          <w:szCs w:val="22"/>
          <w:lang w:val="nb-NO"/>
        </w:rPr>
        <w:t xml:space="preserve">Ikke alle pakningsstørrelser vil nødvendigvis bli markedsført. </w:t>
      </w:r>
    </w:p>
    <w:p w14:paraId="4B9B981C" w14:textId="77777777" w:rsidR="00D20B49" w:rsidRPr="009C5EFD" w:rsidRDefault="00D20B49" w:rsidP="00D20B49">
      <w:pPr>
        <w:pStyle w:val="EndnoteText"/>
        <w:widowControl/>
        <w:tabs>
          <w:tab w:val="clear" w:pos="567"/>
        </w:tabs>
        <w:suppressAutoHyphens/>
        <w:rPr>
          <w:szCs w:val="22"/>
          <w:lang w:val="nb-NO"/>
        </w:rPr>
      </w:pPr>
    </w:p>
    <w:p w14:paraId="2B273ED8" w14:textId="77777777" w:rsidR="00D20B49" w:rsidRPr="009C5EFD" w:rsidRDefault="00E453CD" w:rsidP="00D20B49">
      <w:pPr>
        <w:pStyle w:val="EndnoteText"/>
        <w:widowControl/>
        <w:tabs>
          <w:tab w:val="clear" w:pos="567"/>
        </w:tabs>
        <w:suppressAutoHyphens/>
        <w:rPr>
          <w:szCs w:val="22"/>
          <w:lang w:val="nb-NO"/>
        </w:rPr>
      </w:pPr>
      <w:r w:rsidRPr="009C5EFD">
        <w:rPr>
          <w:szCs w:val="22"/>
          <w:lang w:val="nb-NO"/>
        </w:rPr>
        <w:t xml:space="preserve">Humira </w:t>
      </w:r>
      <w:r w:rsidR="00033CCB">
        <w:rPr>
          <w:szCs w:val="22"/>
          <w:lang w:val="nb-NO"/>
        </w:rPr>
        <w:t>kan være</w:t>
      </w:r>
      <w:r w:rsidRPr="009C5EFD">
        <w:rPr>
          <w:szCs w:val="22"/>
          <w:lang w:val="nb-NO"/>
        </w:rPr>
        <w:t xml:space="preserve"> tilgjengelig som hetteglass, ferdigfylt sprøyte</w:t>
      </w:r>
      <w:r w:rsidRPr="009C5EFD">
        <w:rPr>
          <w:lang w:val="nb-NO"/>
        </w:rPr>
        <w:t xml:space="preserve"> og</w:t>
      </w:r>
      <w:r w:rsidR="00033CCB">
        <w:rPr>
          <w:lang w:val="nb-NO"/>
        </w:rPr>
        <w:t>/eller</w:t>
      </w:r>
      <w:r w:rsidRPr="009C5EFD">
        <w:rPr>
          <w:szCs w:val="22"/>
          <w:lang w:val="nb-NO"/>
        </w:rPr>
        <w:t xml:space="preserve"> ferdigfylt penn.</w:t>
      </w:r>
    </w:p>
    <w:p w14:paraId="1BA2A1B0" w14:textId="77777777" w:rsidR="00D20B49" w:rsidRPr="00D968A3" w:rsidRDefault="00D20B49" w:rsidP="00D20B49">
      <w:pPr>
        <w:pStyle w:val="BodyText3"/>
        <w:tabs>
          <w:tab w:val="clear" w:pos="-720"/>
        </w:tabs>
        <w:suppressAutoHyphens w:val="0"/>
        <w:rPr>
          <w:b w:val="0"/>
          <w:szCs w:val="22"/>
          <w:lang w:val="nb-NO"/>
        </w:rPr>
      </w:pPr>
    </w:p>
    <w:p w14:paraId="49219FC6" w14:textId="77777777" w:rsidR="00D20B49" w:rsidRPr="009C5EFD" w:rsidRDefault="00E453CD" w:rsidP="00776A84">
      <w:pPr>
        <w:pStyle w:val="BodyText3"/>
        <w:keepNext/>
        <w:tabs>
          <w:tab w:val="clear" w:pos="-720"/>
        </w:tabs>
        <w:suppressAutoHyphens w:val="0"/>
        <w:rPr>
          <w:szCs w:val="22"/>
          <w:lang w:val="nb-NO"/>
        </w:rPr>
      </w:pPr>
      <w:r w:rsidRPr="009C5EFD">
        <w:rPr>
          <w:szCs w:val="22"/>
          <w:lang w:val="nb-NO"/>
        </w:rPr>
        <w:t>Innehaver av markedsføringstillatelsen</w:t>
      </w:r>
    </w:p>
    <w:p w14:paraId="29FB49AB" w14:textId="77777777" w:rsidR="00D20B49" w:rsidRPr="009C5EFD" w:rsidRDefault="00D20B49" w:rsidP="00776A84">
      <w:pPr>
        <w:keepNext/>
        <w:rPr>
          <w:sz w:val="22"/>
          <w:szCs w:val="22"/>
        </w:rPr>
      </w:pPr>
    </w:p>
    <w:p w14:paraId="2845FDB0" w14:textId="77777777" w:rsidR="00DD76CF" w:rsidRPr="00EF12DF" w:rsidRDefault="00E453CD" w:rsidP="00DD76CF">
      <w:pPr>
        <w:rPr>
          <w:sz w:val="22"/>
          <w:szCs w:val="22"/>
        </w:rPr>
      </w:pPr>
      <w:r w:rsidRPr="00EF12DF">
        <w:rPr>
          <w:sz w:val="22"/>
          <w:szCs w:val="22"/>
        </w:rPr>
        <w:t>AbbVie Deutschland GmbH &amp; Co. KG</w:t>
      </w:r>
    </w:p>
    <w:p w14:paraId="2022173D" w14:textId="77777777" w:rsidR="00DD76CF" w:rsidRPr="00EF12DF" w:rsidRDefault="00E453CD" w:rsidP="00DD76CF">
      <w:pPr>
        <w:rPr>
          <w:sz w:val="22"/>
          <w:szCs w:val="22"/>
        </w:rPr>
      </w:pPr>
      <w:r w:rsidRPr="00EF12DF">
        <w:rPr>
          <w:sz w:val="22"/>
          <w:szCs w:val="22"/>
        </w:rPr>
        <w:t>Knollstrasse</w:t>
      </w:r>
    </w:p>
    <w:p w14:paraId="56E251E1" w14:textId="77777777" w:rsidR="00DD76CF" w:rsidRPr="00EF12DF" w:rsidRDefault="00E453CD" w:rsidP="00DD76CF">
      <w:pPr>
        <w:rPr>
          <w:sz w:val="22"/>
          <w:szCs w:val="22"/>
        </w:rPr>
      </w:pPr>
      <w:r w:rsidRPr="00EF12DF">
        <w:rPr>
          <w:sz w:val="22"/>
          <w:szCs w:val="22"/>
        </w:rPr>
        <w:t>67061 Ludwigshafen</w:t>
      </w:r>
    </w:p>
    <w:p w14:paraId="436C12F5" w14:textId="77777777" w:rsidR="00DD76CF" w:rsidRPr="009C5EFD" w:rsidRDefault="00E453CD" w:rsidP="00DD76CF">
      <w:pPr>
        <w:rPr>
          <w:sz w:val="22"/>
          <w:szCs w:val="22"/>
        </w:rPr>
      </w:pPr>
      <w:r>
        <w:rPr>
          <w:sz w:val="22"/>
          <w:szCs w:val="22"/>
        </w:rPr>
        <w:t>Tyskland</w:t>
      </w:r>
    </w:p>
    <w:p w14:paraId="24202243" w14:textId="77777777" w:rsidR="00D20B49" w:rsidRPr="00DA6326" w:rsidRDefault="00D20B49" w:rsidP="00D20B49">
      <w:pPr>
        <w:tabs>
          <w:tab w:val="left" w:pos="1216"/>
        </w:tabs>
        <w:suppressAutoHyphens/>
        <w:rPr>
          <w:sz w:val="22"/>
          <w:lang w:val="nn-NO"/>
        </w:rPr>
      </w:pPr>
    </w:p>
    <w:p w14:paraId="7FCF3555" w14:textId="77777777" w:rsidR="00D20B49" w:rsidRPr="00DA6326" w:rsidRDefault="00E453CD" w:rsidP="00DF48AA">
      <w:pPr>
        <w:keepNext/>
        <w:suppressAutoHyphens/>
        <w:rPr>
          <w:b/>
          <w:sz w:val="22"/>
          <w:lang w:val="nn-NO"/>
        </w:rPr>
      </w:pPr>
      <w:r w:rsidRPr="00DA6326">
        <w:rPr>
          <w:b/>
          <w:sz w:val="22"/>
          <w:lang w:val="nn-NO"/>
        </w:rPr>
        <w:t>Tilvirker</w:t>
      </w:r>
    </w:p>
    <w:p w14:paraId="4B3E0BA5" w14:textId="77777777" w:rsidR="00D20B49" w:rsidRPr="00DA6326" w:rsidRDefault="00D20B49" w:rsidP="00DF48AA">
      <w:pPr>
        <w:keepNext/>
        <w:rPr>
          <w:sz w:val="22"/>
          <w:lang w:val="nn-NO"/>
        </w:rPr>
      </w:pPr>
    </w:p>
    <w:p w14:paraId="265185E5" w14:textId="77777777" w:rsidR="00340CF9" w:rsidRPr="00C95D55" w:rsidRDefault="00E453CD" w:rsidP="00DF48AA">
      <w:pPr>
        <w:keepNext/>
        <w:rPr>
          <w:sz w:val="22"/>
        </w:rPr>
      </w:pPr>
      <w:r w:rsidRPr="00C95D55">
        <w:rPr>
          <w:sz w:val="22"/>
        </w:rPr>
        <w:t>AbbVie Biotechnology GmbH</w:t>
      </w:r>
    </w:p>
    <w:p w14:paraId="208A6A93" w14:textId="77777777" w:rsidR="00D20B49" w:rsidRPr="00C95D55" w:rsidRDefault="00E453CD" w:rsidP="00DF48AA">
      <w:pPr>
        <w:keepNext/>
        <w:numPr>
          <w:ilvl w:val="12"/>
          <w:numId w:val="0"/>
        </w:numPr>
        <w:tabs>
          <w:tab w:val="left" w:pos="720"/>
        </w:tabs>
        <w:rPr>
          <w:sz w:val="22"/>
          <w:szCs w:val="22"/>
        </w:rPr>
      </w:pPr>
      <w:r w:rsidRPr="00C95D55">
        <w:rPr>
          <w:sz w:val="22"/>
          <w:szCs w:val="22"/>
        </w:rPr>
        <w:t>Knollstrasse</w:t>
      </w:r>
    </w:p>
    <w:p w14:paraId="79274EB5" w14:textId="77777777" w:rsidR="00D20B49" w:rsidRPr="00C95D55" w:rsidRDefault="00E453CD" w:rsidP="00757A9B">
      <w:pPr>
        <w:numPr>
          <w:ilvl w:val="12"/>
          <w:numId w:val="0"/>
        </w:numPr>
        <w:tabs>
          <w:tab w:val="left" w:pos="720"/>
        </w:tabs>
        <w:rPr>
          <w:sz w:val="22"/>
          <w:szCs w:val="22"/>
        </w:rPr>
      </w:pPr>
      <w:r w:rsidRPr="00C95D55">
        <w:rPr>
          <w:sz w:val="22"/>
          <w:szCs w:val="22"/>
        </w:rPr>
        <w:t>67061 Ludwigshafen</w:t>
      </w:r>
    </w:p>
    <w:p w14:paraId="740376A1" w14:textId="77777777" w:rsidR="00340CF9" w:rsidRPr="001F5D4B" w:rsidRDefault="00E453CD" w:rsidP="00757A9B">
      <w:pPr>
        <w:rPr>
          <w:sz w:val="22"/>
          <w:szCs w:val="22"/>
        </w:rPr>
      </w:pPr>
      <w:r w:rsidRPr="001F5D4B">
        <w:rPr>
          <w:sz w:val="22"/>
          <w:szCs w:val="22"/>
        </w:rPr>
        <w:t>Tyskland</w:t>
      </w:r>
    </w:p>
    <w:p w14:paraId="43EAE883" w14:textId="77777777" w:rsidR="00340CF9" w:rsidRPr="004B617D" w:rsidRDefault="00340CF9" w:rsidP="001C217B">
      <w:pPr>
        <w:pStyle w:val="EndnoteText"/>
        <w:widowControl/>
        <w:tabs>
          <w:tab w:val="clear" w:pos="567"/>
        </w:tabs>
      </w:pPr>
    </w:p>
    <w:p w14:paraId="25E6C454" w14:textId="77777777" w:rsidR="00D20B49" w:rsidRPr="009C5EFD" w:rsidRDefault="00E453CD" w:rsidP="00D20B49">
      <w:pPr>
        <w:rPr>
          <w:sz w:val="22"/>
          <w:szCs w:val="22"/>
        </w:rPr>
      </w:pPr>
      <w:r w:rsidRPr="00AE0F3C">
        <w:rPr>
          <w:sz w:val="22"/>
          <w:szCs w:val="22"/>
        </w:rPr>
        <w:t>Ta kontakt med den lokale representanten for innehaveren av markedsføringstillatelsen f</w:t>
      </w:r>
      <w:r w:rsidRPr="009C5EFD">
        <w:rPr>
          <w:sz w:val="22"/>
          <w:szCs w:val="22"/>
        </w:rPr>
        <w:t>or ytterligere informasjon om dette legemidlet</w:t>
      </w:r>
      <w:r w:rsidR="001850A1">
        <w:rPr>
          <w:sz w:val="22"/>
          <w:szCs w:val="22"/>
        </w:rPr>
        <w:t>:</w:t>
      </w:r>
    </w:p>
    <w:p w14:paraId="2106A315" w14:textId="77777777" w:rsidR="00D20B49" w:rsidRPr="009C5EFD" w:rsidRDefault="00D20B49" w:rsidP="00D20B49"/>
    <w:tbl>
      <w:tblPr>
        <w:tblW w:w="9356" w:type="dxa"/>
        <w:tblInd w:w="-34" w:type="dxa"/>
        <w:tblLayout w:type="fixed"/>
        <w:tblLook w:val="0000" w:firstRow="0" w:lastRow="0" w:firstColumn="0" w:lastColumn="0" w:noHBand="0" w:noVBand="0"/>
      </w:tblPr>
      <w:tblGrid>
        <w:gridCol w:w="34"/>
        <w:gridCol w:w="4610"/>
        <w:gridCol w:w="34"/>
        <w:gridCol w:w="4678"/>
      </w:tblGrid>
      <w:tr w:rsidR="004644D4" w14:paraId="585CA717" w14:textId="77777777" w:rsidTr="001F79B0">
        <w:tc>
          <w:tcPr>
            <w:tcW w:w="4644" w:type="dxa"/>
            <w:gridSpan w:val="2"/>
          </w:tcPr>
          <w:p w14:paraId="16AB2AEF" w14:textId="77777777" w:rsidR="00930E09" w:rsidRPr="00BD646C" w:rsidRDefault="00E453CD" w:rsidP="001F79B0">
            <w:pPr>
              <w:rPr>
                <w:b/>
                <w:bCs/>
                <w:sz w:val="22"/>
                <w:szCs w:val="22"/>
                <w:lang w:val="fr-BE"/>
              </w:rPr>
            </w:pPr>
            <w:r w:rsidRPr="00BD646C">
              <w:rPr>
                <w:b/>
                <w:bCs/>
                <w:sz w:val="22"/>
                <w:szCs w:val="22"/>
                <w:lang w:val="fr-BE"/>
              </w:rPr>
              <w:t>België/Belgique/Belgien</w:t>
            </w:r>
          </w:p>
          <w:p w14:paraId="3F9ABF2F" w14:textId="77777777" w:rsidR="00930E09" w:rsidRPr="00BD646C" w:rsidRDefault="00E453CD" w:rsidP="001F79B0">
            <w:pPr>
              <w:rPr>
                <w:bCs/>
                <w:sz w:val="22"/>
                <w:szCs w:val="22"/>
                <w:lang w:val="fr-FR"/>
              </w:rPr>
            </w:pPr>
            <w:r w:rsidRPr="00BD646C">
              <w:rPr>
                <w:bCs/>
                <w:sz w:val="22"/>
                <w:szCs w:val="22"/>
                <w:lang w:val="fr-FR"/>
              </w:rPr>
              <w:t>AbbVie SA</w:t>
            </w:r>
          </w:p>
          <w:p w14:paraId="2EA535EF" w14:textId="77777777" w:rsidR="00930E09" w:rsidRPr="00BD646C" w:rsidRDefault="00E453CD"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1312CCB9" w14:textId="77777777" w:rsidR="00930E09" w:rsidRPr="00BD646C" w:rsidRDefault="00930E09" w:rsidP="001F79B0">
            <w:pPr>
              <w:rPr>
                <w:bCs/>
                <w:sz w:val="22"/>
                <w:szCs w:val="22"/>
                <w:lang w:val="fr-FR"/>
              </w:rPr>
            </w:pPr>
          </w:p>
        </w:tc>
        <w:tc>
          <w:tcPr>
            <w:tcW w:w="4678" w:type="dxa"/>
            <w:gridSpan w:val="2"/>
          </w:tcPr>
          <w:p w14:paraId="53447FD7" w14:textId="77777777" w:rsidR="00930E09" w:rsidRPr="00BD646C" w:rsidRDefault="00E453CD" w:rsidP="001F79B0">
            <w:pPr>
              <w:rPr>
                <w:b/>
                <w:bCs/>
                <w:sz w:val="22"/>
                <w:szCs w:val="22"/>
                <w:lang w:val="lt-LT"/>
              </w:rPr>
            </w:pPr>
            <w:r w:rsidRPr="00BD646C">
              <w:rPr>
                <w:b/>
                <w:bCs/>
                <w:sz w:val="22"/>
                <w:szCs w:val="22"/>
                <w:lang w:val="lt-LT"/>
              </w:rPr>
              <w:t>Lietuva</w:t>
            </w:r>
          </w:p>
          <w:p w14:paraId="05E94283" w14:textId="77777777" w:rsidR="00930E09" w:rsidRPr="00BD646C" w:rsidRDefault="00E453CD" w:rsidP="001F79B0">
            <w:pPr>
              <w:rPr>
                <w:bCs/>
                <w:sz w:val="22"/>
                <w:szCs w:val="22"/>
                <w:lang w:val="lv-LV"/>
              </w:rPr>
            </w:pPr>
            <w:r w:rsidRPr="00BD646C">
              <w:rPr>
                <w:bCs/>
                <w:sz w:val="22"/>
                <w:szCs w:val="22"/>
                <w:lang w:val="lv-LV"/>
              </w:rPr>
              <w:t xml:space="preserve">AbbVie UAB </w:t>
            </w:r>
          </w:p>
          <w:p w14:paraId="60A9422D" w14:textId="77777777" w:rsidR="00930E09" w:rsidRPr="00BD646C" w:rsidRDefault="00E453CD" w:rsidP="001F79B0">
            <w:pPr>
              <w:rPr>
                <w:bCs/>
                <w:sz w:val="22"/>
                <w:szCs w:val="22"/>
                <w:lang w:val="lv-LV"/>
              </w:rPr>
            </w:pPr>
            <w:r w:rsidRPr="00BD646C">
              <w:rPr>
                <w:bCs/>
                <w:sz w:val="22"/>
                <w:szCs w:val="22"/>
                <w:lang w:val="lv-LV"/>
              </w:rPr>
              <w:t>Tel: +370 5 205 3023</w:t>
            </w:r>
          </w:p>
        </w:tc>
      </w:tr>
      <w:tr w:rsidR="004644D4" w14:paraId="7ABA0EC0" w14:textId="77777777" w:rsidTr="001F79B0">
        <w:tc>
          <w:tcPr>
            <w:tcW w:w="4644" w:type="dxa"/>
            <w:gridSpan w:val="2"/>
          </w:tcPr>
          <w:p w14:paraId="75830906" w14:textId="77777777" w:rsidR="00930E09" w:rsidRPr="00BD646C" w:rsidRDefault="00E453CD" w:rsidP="001F79B0">
            <w:pPr>
              <w:rPr>
                <w:b/>
                <w:bCs/>
                <w:sz w:val="22"/>
                <w:szCs w:val="22"/>
                <w:lang w:val="bg-BG"/>
              </w:rPr>
            </w:pPr>
            <w:r w:rsidRPr="00BD646C">
              <w:rPr>
                <w:b/>
                <w:bCs/>
                <w:sz w:val="22"/>
                <w:szCs w:val="22"/>
                <w:lang w:val="bg-BG"/>
              </w:rPr>
              <w:t>България</w:t>
            </w:r>
          </w:p>
          <w:p w14:paraId="3EFE2C0F" w14:textId="77777777" w:rsidR="00930E09" w:rsidRPr="00BD646C" w:rsidRDefault="00E453CD" w:rsidP="001F79B0">
            <w:pPr>
              <w:rPr>
                <w:sz w:val="22"/>
                <w:szCs w:val="22"/>
                <w:lang w:val="da-DK"/>
              </w:rPr>
            </w:pPr>
            <w:r w:rsidRPr="00BD646C">
              <w:rPr>
                <w:sz w:val="22"/>
                <w:szCs w:val="22"/>
                <w:lang w:val="sk-SK"/>
              </w:rPr>
              <w:t>АбВи ЕООД</w:t>
            </w:r>
          </w:p>
          <w:p w14:paraId="37ECFF1C" w14:textId="77777777" w:rsidR="00930E09" w:rsidRPr="00BD646C" w:rsidRDefault="00E453CD"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1A03AFD6" w14:textId="77777777" w:rsidR="00930E09" w:rsidRPr="00BD646C" w:rsidRDefault="00E453CD" w:rsidP="001F79B0">
            <w:pPr>
              <w:rPr>
                <w:b/>
                <w:bCs/>
                <w:sz w:val="22"/>
                <w:szCs w:val="22"/>
                <w:lang w:val="de-DE"/>
              </w:rPr>
            </w:pPr>
            <w:r w:rsidRPr="00BD646C">
              <w:rPr>
                <w:b/>
                <w:bCs/>
                <w:sz w:val="22"/>
                <w:szCs w:val="22"/>
                <w:lang w:val="de-DE"/>
              </w:rPr>
              <w:t>Luxembourg/Luxemburg</w:t>
            </w:r>
          </w:p>
          <w:p w14:paraId="1A7D7657" w14:textId="77777777" w:rsidR="00930E09" w:rsidRPr="00BD646C" w:rsidRDefault="00E453CD" w:rsidP="001F79B0">
            <w:pPr>
              <w:rPr>
                <w:bCs/>
                <w:sz w:val="22"/>
                <w:szCs w:val="22"/>
                <w:lang w:val="de-DE"/>
              </w:rPr>
            </w:pPr>
            <w:r w:rsidRPr="00BD646C">
              <w:rPr>
                <w:bCs/>
                <w:sz w:val="22"/>
                <w:szCs w:val="22"/>
                <w:lang w:val="de-DE"/>
              </w:rPr>
              <w:t>AbbVie SA</w:t>
            </w:r>
          </w:p>
          <w:p w14:paraId="5A31BA06" w14:textId="77777777" w:rsidR="00930E09" w:rsidRPr="00BD646C" w:rsidRDefault="00E453CD" w:rsidP="001F79B0">
            <w:pPr>
              <w:rPr>
                <w:bCs/>
                <w:sz w:val="22"/>
                <w:szCs w:val="22"/>
                <w:lang w:val="de-DE"/>
              </w:rPr>
            </w:pPr>
            <w:r w:rsidRPr="00BD646C">
              <w:rPr>
                <w:bCs/>
                <w:sz w:val="22"/>
                <w:szCs w:val="22"/>
                <w:lang w:val="de-DE"/>
              </w:rPr>
              <w:t>Belgique/Belgien</w:t>
            </w:r>
          </w:p>
          <w:p w14:paraId="40BA70E4" w14:textId="77777777" w:rsidR="00930E09" w:rsidRPr="00BD646C" w:rsidRDefault="00E453CD" w:rsidP="001F79B0">
            <w:pPr>
              <w:rPr>
                <w:bCs/>
                <w:sz w:val="22"/>
                <w:szCs w:val="22"/>
                <w:lang w:val="fr-FR"/>
              </w:rPr>
            </w:pPr>
            <w:r w:rsidRPr="00BD646C">
              <w:rPr>
                <w:bCs/>
                <w:sz w:val="22"/>
                <w:szCs w:val="22"/>
                <w:lang w:val="fr-FR"/>
              </w:rPr>
              <w:t>Tél/Tel: +32 10 477811</w:t>
            </w:r>
          </w:p>
          <w:p w14:paraId="4B89A635" w14:textId="77777777" w:rsidR="00930E09" w:rsidRPr="00BD646C" w:rsidRDefault="00930E09" w:rsidP="001F79B0">
            <w:pPr>
              <w:rPr>
                <w:bCs/>
                <w:sz w:val="22"/>
                <w:szCs w:val="22"/>
                <w:lang w:val="fr-FR"/>
              </w:rPr>
            </w:pPr>
          </w:p>
        </w:tc>
      </w:tr>
      <w:tr w:rsidR="004644D4" w14:paraId="2184EC6B" w14:textId="77777777" w:rsidTr="001F79B0">
        <w:tc>
          <w:tcPr>
            <w:tcW w:w="4644" w:type="dxa"/>
            <w:gridSpan w:val="2"/>
          </w:tcPr>
          <w:p w14:paraId="4ED4D13D" w14:textId="77777777" w:rsidR="00930E09" w:rsidRPr="00BD646C" w:rsidRDefault="00E453CD" w:rsidP="001F79B0">
            <w:pPr>
              <w:rPr>
                <w:b/>
                <w:bCs/>
                <w:sz w:val="22"/>
                <w:szCs w:val="22"/>
                <w:lang w:val="sk-SK"/>
              </w:rPr>
            </w:pPr>
            <w:r w:rsidRPr="00BD646C">
              <w:rPr>
                <w:b/>
                <w:bCs/>
                <w:sz w:val="22"/>
                <w:szCs w:val="22"/>
                <w:lang w:val="sk-SK"/>
              </w:rPr>
              <w:t>Česká republika</w:t>
            </w:r>
          </w:p>
          <w:p w14:paraId="556BE3CE" w14:textId="77777777" w:rsidR="00930E09" w:rsidRPr="00BD646C" w:rsidRDefault="00E453CD" w:rsidP="001F79B0">
            <w:pPr>
              <w:rPr>
                <w:bCs/>
                <w:sz w:val="22"/>
                <w:szCs w:val="22"/>
                <w:lang w:val="sk-SK"/>
              </w:rPr>
            </w:pPr>
            <w:r w:rsidRPr="00BD646C">
              <w:rPr>
                <w:bCs/>
                <w:sz w:val="22"/>
                <w:szCs w:val="22"/>
                <w:lang w:val="sk-SK"/>
              </w:rPr>
              <w:t xml:space="preserve">AbbVie s.r.o. </w:t>
            </w:r>
          </w:p>
          <w:p w14:paraId="270F3D17" w14:textId="77777777" w:rsidR="00930E09" w:rsidRPr="00BD646C" w:rsidRDefault="00E453CD" w:rsidP="001F79B0">
            <w:pPr>
              <w:rPr>
                <w:bCs/>
                <w:sz w:val="22"/>
                <w:szCs w:val="22"/>
                <w:lang w:val="sk-SK"/>
              </w:rPr>
            </w:pPr>
            <w:r w:rsidRPr="00BD646C">
              <w:rPr>
                <w:bCs/>
                <w:sz w:val="22"/>
                <w:szCs w:val="22"/>
                <w:lang w:val="sk-SK"/>
              </w:rPr>
              <w:t>Tel: +420 233 098 111</w:t>
            </w:r>
          </w:p>
        </w:tc>
        <w:tc>
          <w:tcPr>
            <w:tcW w:w="4678" w:type="dxa"/>
            <w:gridSpan w:val="2"/>
          </w:tcPr>
          <w:p w14:paraId="0EA75A60" w14:textId="77777777" w:rsidR="00930E09" w:rsidRPr="00BD646C" w:rsidRDefault="00E453CD" w:rsidP="001F79B0">
            <w:pPr>
              <w:rPr>
                <w:b/>
                <w:bCs/>
                <w:sz w:val="22"/>
                <w:szCs w:val="22"/>
                <w:lang w:val="hu-HU"/>
              </w:rPr>
            </w:pPr>
            <w:r w:rsidRPr="00BD646C">
              <w:rPr>
                <w:b/>
                <w:bCs/>
                <w:sz w:val="22"/>
                <w:szCs w:val="22"/>
                <w:lang w:val="hu-HU"/>
              </w:rPr>
              <w:t>Magyarország</w:t>
            </w:r>
          </w:p>
          <w:p w14:paraId="4542BF22" w14:textId="77777777" w:rsidR="00930E09" w:rsidRPr="00BD646C" w:rsidRDefault="00E453CD" w:rsidP="001F79B0">
            <w:pPr>
              <w:rPr>
                <w:bCs/>
                <w:sz w:val="22"/>
                <w:szCs w:val="22"/>
                <w:lang w:val="hu-HU"/>
              </w:rPr>
            </w:pPr>
            <w:r w:rsidRPr="00BD646C">
              <w:rPr>
                <w:bCs/>
                <w:sz w:val="22"/>
                <w:szCs w:val="22"/>
                <w:lang w:val="hu-HU"/>
              </w:rPr>
              <w:t>AbbVie Kft.</w:t>
            </w:r>
          </w:p>
          <w:p w14:paraId="2CAB6647" w14:textId="77777777" w:rsidR="00930E09" w:rsidRPr="00BD646C" w:rsidRDefault="00E453CD" w:rsidP="001F79B0">
            <w:pPr>
              <w:rPr>
                <w:bCs/>
                <w:sz w:val="22"/>
                <w:szCs w:val="22"/>
                <w:lang w:val="hu-HU"/>
              </w:rPr>
            </w:pPr>
            <w:r w:rsidRPr="00BD646C">
              <w:rPr>
                <w:bCs/>
                <w:sz w:val="22"/>
                <w:szCs w:val="22"/>
                <w:lang w:val="hu-HU"/>
              </w:rPr>
              <w:t>Tel.:+36 1 455 8600</w:t>
            </w:r>
          </w:p>
          <w:p w14:paraId="467F6CFC" w14:textId="77777777" w:rsidR="00930E09" w:rsidRPr="00BD646C" w:rsidRDefault="00930E09" w:rsidP="001F79B0">
            <w:pPr>
              <w:rPr>
                <w:bCs/>
                <w:sz w:val="22"/>
                <w:szCs w:val="22"/>
                <w:lang w:val="hu-HU"/>
              </w:rPr>
            </w:pPr>
          </w:p>
        </w:tc>
      </w:tr>
      <w:tr w:rsidR="004644D4" w14:paraId="569A0455" w14:textId="77777777" w:rsidTr="001F79B0">
        <w:trPr>
          <w:trHeight w:val="737"/>
        </w:trPr>
        <w:tc>
          <w:tcPr>
            <w:tcW w:w="4644" w:type="dxa"/>
            <w:gridSpan w:val="2"/>
          </w:tcPr>
          <w:p w14:paraId="036E9BCB" w14:textId="77777777" w:rsidR="00930E09" w:rsidRPr="00BD646C" w:rsidRDefault="00E453CD" w:rsidP="001F79B0">
            <w:pPr>
              <w:rPr>
                <w:b/>
                <w:bCs/>
                <w:sz w:val="22"/>
                <w:szCs w:val="22"/>
                <w:lang w:val="en-US"/>
              </w:rPr>
            </w:pPr>
            <w:r w:rsidRPr="00BD646C">
              <w:rPr>
                <w:b/>
                <w:bCs/>
                <w:sz w:val="22"/>
                <w:szCs w:val="22"/>
                <w:lang w:val="en-US"/>
              </w:rPr>
              <w:t>Danmark</w:t>
            </w:r>
          </w:p>
          <w:p w14:paraId="455B62D5" w14:textId="77777777" w:rsidR="00930E09" w:rsidRPr="00BD646C" w:rsidRDefault="00E453CD" w:rsidP="001F79B0">
            <w:pPr>
              <w:rPr>
                <w:bCs/>
                <w:sz w:val="22"/>
                <w:szCs w:val="22"/>
                <w:lang w:val="en-US"/>
              </w:rPr>
            </w:pPr>
            <w:r w:rsidRPr="00BD646C">
              <w:rPr>
                <w:bCs/>
                <w:sz w:val="22"/>
                <w:szCs w:val="22"/>
                <w:lang w:val="en-US"/>
              </w:rPr>
              <w:t>AbbVie A/S</w:t>
            </w:r>
          </w:p>
          <w:p w14:paraId="5DEB6609" w14:textId="0DFF6DB5" w:rsidR="00930E09" w:rsidRPr="00BD646C" w:rsidRDefault="00E453CD" w:rsidP="001F79B0">
            <w:pPr>
              <w:rPr>
                <w:bCs/>
                <w:sz w:val="22"/>
                <w:szCs w:val="22"/>
                <w:lang w:val="sk-SK"/>
              </w:rPr>
            </w:pPr>
            <w:r w:rsidRPr="00BD646C">
              <w:rPr>
                <w:bCs/>
                <w:sz w:val="22"/>
                <w:szCs w:val="22"/>
                <w:lang w:val="en-US"/>
              </w:rPr>
              <w:t>Tlf</w:t>
            </w:r>
            <w:ins w:id="17663" w:author="AbbVie02no" w:date="2025-05-15T14:30:00Z">
              <w:r w:rsidR="00600FCB">
                <w:rPr>
                  <w:bCs/>
                  <w:sz w:val="22"/>
                  <w:szCs w:val="22"/>
                  <w:lang w:val="en-US"/>
                </w:rPr>
                <w:t>.</w:t>
              </w:r>
            </w:ins>
            <w:r w:rsidRPr="00BD646C">
              <w:rPr>
                <w:bCs/>
                <w:sz w:val="22"/>
                <w:szCs w:val="22"/>
                <w:lang w:val="en-US"/>
              </w:rPr>
              <w:t>: +45 72 30-20-28</w:t>
            </w:r>
          </w:p>
        </w:tc>
        <w:tc>
          <w:tcPr>
            <w:tcW w:w="4678" w:type="dxa"/>
            <w:gridSpan w:val="2"/>
          </w:tcPr>
          <w:p w14:paraId="2AB64D40" w14:textId="77777777" w:rsidR="00930E09" w:rsidRPr="00BD646C" w:rsidRDefault="00E453CD" w:rsidP="001F79B0">
            <w:pPr>
              <w:rPr>
                <w:b/>
                <w:bCs/>
                <w:sz w:val="22"/>
                <w:szCs w:val="22"/>
                <w:lang w:val="mt-MT"/>
              </w:rPr>
            </w:pPr>
            <w:r w:rsidRPr="00BD646C">
              <w:rPr>
                <w:b/>
                <w:bCs/>
                <w:sz w:val="22"/>
                <w:szCs w:val="22"/>
                <w:lang w:val="mt-MT"/>
              </w:rPr>
              <w:t>Malta</w:t>
            </w:r>
          </w:p>
          <w:p w14:paraId="2EBE4BE5" w14:textId="77777777" w:rsidR="00930E09" w:rsidRPr="00BD646C" w:rsidRDefault="00E453CD" w:rsidP="001F79B0">
            <w:pPr>
              <w:rPr>
                <w:bCs/>
                <w:sz w:val="22"/>
                <w:szCs w:val="22"/>
                <w:lang w:val="sk-SK"/>
              </w:rPr>
            </w:pPr>
            <w:r w:rsidRPr="00BD646C">
              <w:rPr>
                <w:bCs/>
                <w:sz w:val="22"/>
                <w:szCs w:val="22"/>
                <w:lang w:val="sk-SK"/>
              </w:rPr>
              <w:t xml:space="preserve">V.J.Salomone Pharma Limited </w:t>
            </w:r>
          </w:p>
          <w:p w14:paraId="55725A25" w14:textId="39048CC7" w:rsidR="00930E09" w:rsidRPr="00BD646C" w:rsidRDefault="00E453CD" w:rsidP="001F79B0">
            <w:pPr>
              <w:rPr>
                <w:bCs/>
                <w:sz w:val="22"/>
                <w:szCs w:val="22"/>
                <w:lang w:val="sk-SK"/>
              </w:rPr>
            </w:pPr>
            <w:r w:rsidRPr="00BD646C">
              <w:rPr>
                <w:bCs/>
                <w:sz w:val="22"/>
                <w:szCs w:val="22"/>
                <w:lang w:val="sk-SK"/>
              </w:rPr>
              <w:t xml:space="preserve">Tel: </w:t>
            </w:r>
            <w:r w:rsidR="00A22181" w:rsidRPr="00A22181">
              <w:rPr>
                <w:bCs/>
                <w:sz w:val="22"/>
                <w:szCs w:val="22"/>
                <w:lang w:val="en-GB"/>
              </w:rPr>
              <w:t>+356 21220174</w:t>
            </w:r>
          </w:p>
          <w:p w14:paraId="1EF921FF" w14:textId="77777777" w:rsidR="00930E09" w:rsidRPr="00BD646C" w:rsidRDefault="00930E09" w:rsidP="001F79B0">
            <w:pPr>
              <w:rPr>
                <w:bCs/>
                <w:sz w:val="22"/>
                <w:szCs w:val="22"/>
                <w:lang w:val="sk-SK"/>
              </w:rPr>
            </w:pPr>
          </w:p>
        </w:tc>
      </w:tr>
      <w:tr w:rsidR="004644D4" w14:paraId="3441E6BE" w14:textId="77777777" w:rsidTr="001F79B0">
        <w:tc>
          <w:tcPr>
            <w:tcW w:w="4644" w:type="dxa"/>
            <w:gridSpan w:val="2"/>
          </w:tcPr>
          <w:p w14:paraId="6DA522C4" w14:textId="77777777" w:rsidR="00930E09" w:rsidRPr="00BD646C" w:rsidRDefault="00E453CD" w:rsidP="001F79B0">
            <w:pPr>
              <w:rPr>
                <w:b/>
                <w:bCs/>
                <w:sz w:val="22"/>
                <w:szCs w:val="22"/>
                <w:lang w:val="de-DE"/>
              </w:rPr>
            </w:pPr>
            <w:r w:rsidRPr="00BD646C">
              <w:rPr>
                <w:b/>
                <w:bCs/>
                <w:sz w:val="22"/>
                <w:szCs w:val="22"/>
                <w:lang w:val="de-DE"/>
              </w:rPr>
              <w:t>Deutschland</w:t>
            </w:r>
          </w:p>
          <w:p w14:paraId="7333BD00" w14:textId="77777777" w:rsidR="00930E09" w:rsidRPr="00BD646C" w:rsidRDefault="00E453CD"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22E69653" w14:textId="77777777" w:rsidR="00930E09" w:rsidRPr="00BD646C" w:rsidRDefault="00E453CD" w:rsidP="001F79B0">
            <w:pPr>
              <w:rPr>
                <w:sz w:val="22"/>
                <w:szCs w:val="22"/>
                <w:lang w:val="de-DE"/>
              </w:rPr>
            </w:pPr>
            <w:r w:rsidRPr="00BD646C">
              <w:rPr>
                <w:sz w:val="22"/>
                <w:szCs w:val="22"/>
                <w:lang w:val="de-DE"/>
              </w:rPr>
              <w:t>Tel: 00800 222843 33 (gebührenfrei)</w:t>
            </w:r>
          </w:p>
          <w:p w14:paraId="0321A23B" w14:textId="77777777" w:rsidR="00930E09" w:rsidRPr="00BD646C" w:rsidRDefault="00E453CD" w:rsidP="001F79B0">
            <w:pPr>
              <w:rPr>
                <w:sz w:val="22"/>
                <w:szCs w:val="22"/>
                <w:lang w:val="de-DE"/>
              </w:rPr>
            </w:pPr>
            <w:r w:rsidRPr="00BD646C">
              <w:rPr>
                <w:sz w:val="22"/>
                <w:szCs w:val="22"/>
                <w:lang w:val="de-DE"/>
              </w:rPr>
              <w:t>Tel: +49 (0) 611 / 1720-0</w:t>
            </w:r>
          </w:p>
          <w:p w14:paraId="3C596E20" w14:textId="77777777" w:rsidR="00930E09" w:rsidRPr="00BD646C" w:rsidRDefault="00930E09" w:rsidP="001F79B0">
            <w:pPr>
              <w:rPr>
                <w:sz w:val="22"/>
                <w:szCs w:val="22"/>
                <w:lang w:val="de-DE"/>
              </w:rPr>
            </w:pPr>
          </w:p>
        </w:tc>
        <w:tc>
          <w:tcPr>
            <w:tcW w:w="4678" w:type="dxa"/>
            <w:gridSpan w:val="2"/>
          </w:tcPr>
          <w:p w14:paraId="4DE2A069" w14:textId="77777777" w:rsidR="00930E09" w:rsidRPr="00BD646C" w:rsidRDefault="00E453CD" w:rsidP="001F79B0">
            <w:pPr>
              <w:rPr>
                <w:b/>
                <w:bCs/>
                <w:sz w:val="22"/>
                <w:szCs w:val="22"/>
                <w:lang w:val="nl-NL"/>
              </w:rPr>
            </w:pPr>
            <w:r w:rsidRPr="00BD646C">
              <w:rPr>
                <w:b/>
                <w:bCs/>
                <w:sz w:val="22"/>
                <w:szCs w:val="22"/>
                <w:lang w:val="nl-NL"/>
              </w:rPr>
              <w:t>Nederland</w:t>
            </w:r>
          </w:p>
          <w:p w14:paraId="0A30C460" w14:textId="77777777" w:rsidR="00930E09" w:rsidRPr="00BD646C" w:rsidRDefault="00E453CD" w:rsidP="001F79B0">
            <w:pPr>
              <w:rPr>
                <w:bCs/>
                <w:sz w:val="22"/>
                <w:szCs w:val="22"/>
                <w:lang w:val="de-DE"/>
              </w:rPr>
            </w:pPr>
            <w:r w:rsidRPr="00BD646C">
              <w:rPr>
                <w:bCs/>
                <w:sz w:val="22"/>
                <w:szCs w:val="22"/>
                <w:lang w:val="de-DE"/>
              </w:rPr>
              <w:t>AbbVie B.V.</w:t>
            </w:r>
          </w:p>
          <w:p w14:paraId="0BEA3D64" w14:textId="77777777" w:rsidR="00930E09" w:rsidRPr="00BD646C" w:rsidRDefault="00E453CD" w:rsidP="001F79B0">
            <w:pPr>
              <w:rPr>
                <w:bCs/>
                <w:sz w:val="22"/>
                <w:szCs w:val="22"/>
                <w:lang w:val="de-DE"/>
              </w:rPr>
            </w:pPr>
            <w:r w:rsidRPr="00BD646C">
              <w:rPr>
                <w:bCs/>
                <w:sz w:val="22"/>
                <w:szCs w:val="22"/>
                <w:lang w:val="de-DE"/>
              </w:rPr>
              <w:t>Tel: +31 (0)88 322 2843</w:t>
            </w:r>
          </w:p>
        </w:tc>
      </w:tr>
      <w:tr w:rsidR="004644D4" w14:paraId="5F7EE486" w14:textId="77777777" w:rsidTr="001F79B0">
        <w:tc>
          <w:tcPr>
            <w:tcW w:w="4644" w:type="dxa"/>
            <w:gridSpan w:val="2"/>
          </w:tcPr>
          <w:p w14:paraId="5F3DD074" w14:textId="77777777" w:rsidR="00930E09" w:rsidRPr="00BD646C" w:rsidRDefault="00E453CD" w:rsidP="001F79B0">
            <w:pPr>
              <w:rPr>
                <w:b/>
                <w:bCs/>
                <w:sz w:val="22"/>
                <w:szCs w:val="22"/>
                <w:lang w:val="et-EE"/>
              </w:rPr>
            </w:pPr>
            <w:r w:rsidRPr="00BD646C">
              <w:rPr>
                <w:b/>
                <w:bCs/>
                <w:sz w:val="22"/>
                <w:szCs w:val="22"/>
                <w:lang w:val="et-EE"/>
              </w:rPr>
              <w:t>Eesti</w:t>
            </w:r>
          </w:p>
          <w:p w14:paraId="6172CC47" w14:textId="77777777" w:rsidR="00930E09" w:rsidRPr="00BD646C" w:rsidRDefault="00E453CD"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0C13AD57" w14:textId="77777777" w:rsidR="00930E09" w:rsidRPr="00BD646C" w:rsidRDefault="00E453CD" w:rsidP="001F79B0">
            <w:pPr>
              <w:rPr>
                <w:bCs/>
                <w:sz w:val="22"/>
                <w:szCs w:val="22"/>
                <w:lang w:val="lv-LV"/>
              </w:rPr>
            </w:pPr>
            <w:r w:rsidRPr="00BD646C">
              <w:rPr>
                <w:bCs/>
                <w:sz w:val="22"/>
                <w:szCs w:val="22"/>
                <w:lang w:val="et-EE"/>
              </w:rPr>
              <w:t>Tel: +372 623 1011</w:t>
            </w:r>
          </w:p>
        </w:tc>
        <w:tc>
          <w:tcPr>
            <w:tcW w:w="4678" w:type="dxa"/>
            <w:gridSpan w:val="2"/>
          </w:tcPr>
          <w:p w14:paraId="69EDAB82" w14:textId="77777777" w:rsidR="00930E09" w:rsidRPr="00BD646C" w:rsidRDefault="00E453CD" w:rsidP="001F79B0">
            <w:pPr>
              <w:rPr>
                <w:b/>
                <w:bCs/>
                <w:sz w:val="22"/>
                <w:szCs w:val="22"/>
              </w:rPr>
            </w:pPr>
            <w:r w:rsidRPr="00BD646C">
              <w:rPr>
                <w:b/>
                <w:bCs/>
                <w:sz w:val="22"/>
                <w:szCs w:val="22"/>
              </w:rPr>
              <w:t>Norge</w:t>
            </w:r>
          </w:p>
          <w:p w14:paraId="5DD99050" w14:textId="77777777" w:rsidR="00930E09" w:rsidRPr="00BD646C" w:rsidRDefault="00E453CD" w:rsidP="001F79B0">
            <w:pPr>
              <w:rPr>
                <w:bCs/>
                <w:sz w:val="22"/>
                <w:szCs w:val="22"/>
                <w:lang w:val="sk-SK"/>
              </w:rPr>
            </w:pPr>
            <w:r w:rsidRPr="00BD646C">
              <w:rPr>
                <w:bCs/>
                <w:sz w:val="22"/>
                <w:szCs w:val="22"/>
                <w:lang w:val="sk-SK"/>
              </w:rPr>
              <w:t>AbbVie AS</w:t>
            </w:r>
          </w:p>
          <w:p w14:paraId="7E823117" w14:textId="77777777" w:rsidR="00930E09" w:rsidRPr="00BD646C" w:rsidRDefault="00E453CD" w:rsidP="001F79B0">
            <w:pPr>
              <w:rPr>
                <w:bCs/>
                <w:sz w:val="22"/>
                <w:szCs w:val="22"/>
                <w:lang w:val="sk-SK"/>
              </w:rPr>
            </w:pPr>
            <w:r w:rsidRPr="00BD646C">
              <w:rPr>
                <w:bCs/>
                <w:sz w:val="22"/>
                <w:szCs w:val="22"/>
                <w:lang w:val="sk-SK"/>
              </w:rPr>
              <w:t>Tlf: +47 67 81 80 00</w:t>
            </w:r>
          </w:p>
          <w:p w14:paraId="63A22C00" w14:textId="77777777" w:rsidR="00930E09" w:rsidRPr="00BD646C" w:rsidRDefault="00930E09" w:rsidP="001F79B0">
            <w:pPr>
              <w:rPr>
                <w:bCs/>
                <w:sz w:val="22"/>
                <w:szCs w:val="22"/>
                <w:lang w:val="sk-SK"/>
              </w:rPr>
            </w:pPr>
          </w:p>
        </w:tc>
      </w:tr>
      <w:tr w:rsidR="004644D4" w14:paraId="0AD3653B" w14:textId="77777777" w:rsidTr="001F79B0">
        <w:trPr>
          <w:trHeight w:val="794"/>
        </w:trPr>
        <w:tc>
          <w:tcPr>
            <w:tcW w:w="4644" w:type="dxa"/>
            <w:gridSpan w:val="2"/>
          </w:tcPr>
          <w:p w14:paraId="2211D16E" w14:textId="77777777" w:rsidR="00930E09" w:rsidRPr="00BD646C" w:rsidRDefault="00E453CD" w:rsidP="001F79B0">
            <w:pPr>
              <w:rPr>
                <w:b/>
                <w:bCs/>
                <w:sz w:val="22"/>
                <w:szCs w:val="22"/>
                <w:lang w:val="el-GR"/>
              </w:rPr>
            </w:pPr>
            <w:r w:rsidRPr="00BD646C">
              <w:rPr>
                <w:b/>
                <w:bCs/>
                <w:sz w:val="22"/>
                <w:szCs w:val="22"/>
                <w:lang w:val="el-GR"/>
              </w:rPr>
              <w:t>Ελλάδα</w:t>
            </w:r>
          </w:p>
          <w:p w14:paraId="209C4041" w14:textId="77777777" w:rsidR="00930E09" w:rsidRPr="00BD646C" w:rsidRDefault="00E453CD"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2559C88B" w14:textId="77777777" w:rsidR="00930E09" w:rsidRPr="00BD646C" w:rsidRDefault="00E453CD"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006F488D" w14:textId="77777777" w:rsidR="00930E09" w:rsidRPr="00BD646C" w:rsidRDefault="00E453CD" w:rsidP="001F79B0">
            <w:pPr>
              <w:rPr>
                <w:b/>
                <w:bCs/>
                <w:sz w:val="22"/>
                <w:szCs w:val="22"/>
                <w:lang w:val="de-DE"/>
              </w:rPr>
            </w:pPr>
            <w:r w:rsidRPr="00BD646C">
              <w:rPr>
                <w:b/>
                <w:bCs/>
                <w:sz w:val="22"/>
                <w:szCs w:val="22"/>
                <w:lang w:val="de-DE"/>
              </w:rPr>
              <w:t>Österreich</w:t>
            </w:r>
          </w:p>
          <w:p w14:paraId="483F0AB6" w14:textId="77777777" w:rsidR="00930E09" w:rsidRPr="00BD646C" w:rsidRDefault="00E453CD" w:rsidP="001F79B0">
            <w:pPr>
              <w:rPr>
                <w:bCs/>
                <w:sz w:val="22"/>
                <w:szCs w:val="22"/>
                <w:lang w:val="de-DE"/>
              </w:rPr>
            </w:pPr>
            <w:r w:rsidRPr="00BD646C">
              <w:rPr>
                <w:bCs/>
                <w:sz w:val="22"/>
                <w:szCs w:val="22"/>
                <w:lang w:val="de-DE"/>
              </w:rPr>
              <w:t xml:space="preserve">AbbVie GmbH </w:t>
            </w:r>
          </w:p>
          <w:p w14:paraId="358AB884" w14:textId="77777777" w:rsidR="00930E09" w:rsidRPr="00BD646C" w:rsidRDefault="00E453CD" w:rsidP="001F79B0">
            <w:pPr>
              <w:rPr>
                <w:bCs/>
                <w:sz w:val="22"/>
                <w:szCs w:val="22"/>
                <w:lang w:val="de-DE"/>
              </w:rPr>
            </w:pPr>
            <w:r w:rsidRPr="00BD646C">
              <w:rPr>
                <w:bCs/>
                <w:sz w:val="22"/>
                <w:szCs w:val="22"/>
                <w:lang w:val="de-DE"/>
              </w:rPr>
              <w:t>Tel: +43 1 20589-0</w:t>
            </w:r>
          </w:p>
          <w:p w14:paraId="25D58170" w14:textId="77777777" w:rsidR="00930E09" w:rsidRPr="00BD646C" w:rsidRDefault="00930E09" w:rsidP="001F79B0">
            <w:pPr>
              <w:rPr>
                <w:bCs/>
                <w:sz w:val="22"/>
                <w:szCs w:val="22"/>
                <w:lang w:val="de-DE"/>
              </w:rPr>
            </w:pPr>
          </w:p>
        </w:tc>
      </w:tr>
      <w:tr w:rsidR="004644D4" w14:paraId="0904531B" w14:textId="77777777" w:rsidTr="001F79B0">
        <w:trPr>
          <w:gridBefore w:val="1"/>
          <w:wBefore w:w="34" w:type="dxa"/>
        </w:trPr>
        <w:tc>
          <w:tcPr>
            <w:tcW w:w="4644" w:type="dxa"/>
            <w:gridSpan w:val="2"/>
          </w:tcPr>
          <w:p w14:paraId="6ADF3D1B" w14:textId="77777777" w:rsidR="00930E09" w:rsidRPr="00BD646C" w:rsidRDefault="00E453CD" w:rsidP="001F79B0">
            <w:pPr>
              <w:rPr>
                <w:b/>
                <w:bCs/>
                <w:sz w:val="22"/>
                <w:szCs w:val="22"/>
                <w:lang w:val="es-ES"/>
              </w:rPr>
            </w:pPr>
            <w:r w:rsidRPr="00BD646C">
              <w:rPr>
                <w:b/>
                <w:bCs/>
                <w:sz w:val="22"/>
                <w:szCs w:val="22"/>
                <w:lang w:val="es-ES"/>
              </w:rPr>
              <w:t>España</w:t>
            </w:r>
          </w:p>
          <w:p w14:paraId="11382940" w14:textId="77777777" w:rsidR="00930E09" w:rsidRPr="00BD646C" w:rsidRDefault="00E453CD"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32933A38" w14:textId="77777777" w:rsidR="00930E09" w:rsidRPr="00BD646C" w:rsidRDefault="00E453CD" w:rsidP="001F79B0">
            <w:pPr>
              <w:rPr>
                <w:bCs/>
                <w:sz w:val="22"/>
                <w:szCs w:val="22"/>
                <w:lang w:val="pl-PL"/>
              </w:rPr>
            </w:pPr>
            <w:r w:rsidRPr="00BD646C">
              <w:rPr>
                <w:bCs/>
                <w:sz w:val="22"/>
                <w:szCs w:val="22"/>
                <w:lang w:val="pt-PT"/>
              </w:rPr>
              <w:t>Tel: +34 91 384 09 10</w:t>
            </w:r>
          </w:p>
        </w:tc>
        <w:tc>
          <w:tcPr>
            <w:tcW w:w="4678" w:type="dxa"/>
          </w:tcPr>
          <w:p w14:paraId="552D3223" w14:textId="77777777" w:rsidR="00930E09" w:rsidRPr="00BD646C" w:rsidRDefault="00E453CD" w:rsidP="001F79B0">
            <w:pPr>
              <w:rPr>
                <w:b/>
                <w:bCs/>
                <w:iCs/>
                <w:sz w:val="22"/>
                <w:szCs w:val="22"/>
                <w:lang w:val="pl-PL"/>
              </w:rPr>
            </w:pPr>
            <w:r w:rsidRPr="00BD646C">
              <w:rPr>
                <w:b/>
                <w:bCs/>
                <w:iCs/>
                <w:sz w:val="22"/>
                <w:szCs w:val="22"/>
                <w:lang w:val="pl-PL"/>
              </w:rPr>
              <w:t>Polska</w:t>
            </w:r>
          </w:p>
          <w:p w14:paraId="41E9409B" w14:textId="77777777" w:rsidR="00930E09" w:rsidRPr="00BD646C" w:rsidRDefault="00E453CD" w:rsidP="001F79B0">
            <w:pPr>
              <w:rPr>
                <w:bCs/>
                <w:sz w:val="22"/>
                <w:szCs w:val="22"/>
                <w:lang w:val="pl-PL"/>
              </w:rPr>
            </w:pPr>
            <w:r w:rsidRPr="00BD646C">
              <w:rPr>
                <w:bCs/>
                <w:sz w:val="22"/>
                <w:szCs w:val="22"/>
                <w:lang w:val="pl-PL"/>
              </w:rPr>
              <w:t>AbbVie Sp. z o.o.</w:t>
            </w:r>
          </w:p>
          <w:p w14:paraId="2C60569F" w14:textId="77777777" w:rsidR="00930E09" w:rsidRPr="00BD646C" w:rsidRDefault="00E453CD"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06E7E336" w14:textId="77777777" w:rsidR="00930E09" w:rsidRPr="00BD646C" w:rsidRDefault="00930E09" w:rsidP="001F79B0">
            <w:pPr>
              <w:rPr>
                <w:bCs/>
                <w:sz w:val="22"/>
                <w:szCs w:val="22"/>
                <w:lang w:val="pl-PL"/>
              </w:rPr>
            </w:pPr>
          </w:p>
        </w:tc>
      </w:tr>
      <w:tr w:rsidR="004644D4" w14:paraId="2E3459A0" w14:textId="77777777" w:rsidTr="001F79B0">
        <w:trPr>
          <w:trHeight w:val="734"/>
        </w:trPr>
        <w:tc>
          <w:tcPr>
            <w:tcW w:w="4678" w:type="dxa"/>
            <w:gridSpan w:val="3"/>
          </w:tcPr>
          <w:p w14:paraId="05F4E70A" w14:textId="77777777" w:rsidR="00930E09" w:rsidRPr="00BD646C" w:rsidRDefault="00E453CD" w:rsidP="001F79B0">
            <w:pPr>
              <w:rPr>
                <w:b/>
                <w:bCs/>
                <w:sz w:val="22"/>
                <w:szCs w:val="22"/>
                <w:lang w:val="fr-FR"/>
              </w:rPr>
            </w:pPr>
            <w:r w:rsidRPr="00BD646C">
              <w:rPr>
                <w:b/>
                <w:bCs/>
                <w:sz w:val="22"/>
                <w:szCs w:val="22"/>
                <w:lang w:val="fr-FR"/>
              </w:rPr>
              <w:lastRenderedPageBreak/>
              <w:t>France</w:t>
            </w:r>
          </w:p>
          <w:p w14:paraId="1F500EE7" w14:textId="77777777" w:rsidR="00930E09" w:rsidRPr="00BD646C" w:rsidRDefault="00E453CD" w:rsidP="001F79B0">
            <w:pPr>
              <w:rPr>
                <w:bCs/>
                <w:sz w:val="22"/>
                <w:szCs w:val="22"/>
                <w:lang w:val="fr-FR"/>
              </w:rPr>
            </w:pPr>
            <w:r w:rsidRPr="00BD646C">
              <w:rPr>
                <w:bCs/>
                <w:sz w:val="22"/>
                <w:szCs w:val="22"/>
                <w:lang w:val="fr-FR"/>
              </w:rPr>
              <w:t>AbbVie</w:t>
            </w:r>
          </w:p>
          <w:p w14:paraId="5D586418" w14:textId="77777777" w:rsidR="00930E09" w:rsidRPr="00BD646C" w:rsidRDefault="00E453CD" w:rsidP="001F79B0">
            <w:pPr>
              <w:rPr>
                <w:bCs/>
                <w:sz w:val="22"/>
                <w:szCs w:val="22"/>
                <w:lang w:val="fr-FR"/>
              </w:rPr>
            </w:pPr>
            <w:r w:rsidRPr="00BD646C">
              <w:rPr>
                <w:bCs/>
                <w:sz w:val="22"/>
                <w:szCs w:val="22"/>
                <w:lang w:val="fr-FR"/>
              </w:rPr>
              <w:t>Tél: +33 (0) 1 45 60 13 00</w:t>
            </w:r>
          </w:p>
        </w:tc>
        <w:tc>
          <w:tcPr>
            <w:tcW w:w="4678" w:type="dxa"/>
          </w:tcPr>
          <w:p w14:paraId="2304E50E" w14:textId="77777777" w:rsidR="00930E09" w:rsidRPr="00BD646C" w:rsidRDefault="00E453CD" w:rsidP="001F79B0">
            <w:pPr>
              <w:rPr>
                <w:b/>
                <w:bCs/>
                <w:sz w:val="22"/>
                <w:szCs w:val="22"/>
                <w:lang w:val="pt-PT"/>
              </w:rPr>
            </w:pPr>
            <w:r w:rsidRPr="00BD646C">
              <w:rPr>
                <w:b/>
                <w:bCs/>
                <w:sz w:val="22"/>
                <w:szCs w:val="22"/>
                <w:lang w:val="pt-PT"/>
              </w:rPr>
              <w:t>Portugal</w:t>
            </w:r>
          </w:p>
          <w:p w14:paraId="0DD418FD" w14:textId="77777777" w:rsidR="00930E09" w:rsidRPr="00BD646C" w:rsidRDefault="00E453CD" w:rsidP="001F79B0">
            <w:pPr>
              <w:rPr>
                <w:bCs/>
                <w:sz w:val="22"/>
                <w:szCs w:val="22"/>
                <w:lang w:val="fr-FR"/>
              </w:rPr>
            </w:pPr>
            <w:r w:rsidRPr="00BD646C">
              <w:rPr>
                <w:bCs/>
                <w:sz w:val="22"/>
                <w:szCs w:val="22"/>
                <w:lang w:val="fr-FR"/>
              </w:rPr>
              <w:t xml:space="preserve">AbbVie, Lda. </w:t>
            </w:r>
          </w:p>
          <w:p w14:paraId="1CCF5FA7" w14:textId="77777777" w:rsidR="00930E09" w:rsidRPr="00BD646C" w:rsidRDefault="00E453CD" w:rsidP="001F79B0">
            <w:pPr>
              <w:rPr>
                <w:sz w:val="22"/>
                <w:szCs w:val="22"/>
                <w:lang w:val="fr-FR"/>
              </w:rPr>
            </w:pPr>
            <w:r w:rsidRPr="00BD646C">
              <w:rPr>
                <w:sz w:val="22"/>
                <w:szCs w:val="22"/>
                <w:lang w:val="fr-FR"/>
              </w:rPr>
              <w:t>Tel: +351 (0)21 1908400</w:t>
            </w:r>
          </w:p>
          <w:p w14:paraId="5A9556EB" w14:textId="77777777" w:rsidR="00930E09" w:rsidRPr="00BD646C" w:rsidRDefault="00930E09" w:rsidP="001F79B0">
            <w:pPr>
              <w:rPr>
                <w:sz w:val="22"/>
                <w:szCs w:val="22"/>
                <w:lang w:val="fr-FR"/>
              </w:rPr>
            </w:pPr>
          </w:p>
        </w:tc>
      </w:tr>
      <w:tr w:rsidR="004644D4" w14:paraId="6DFCEB48" w14:textId="77777777" w:rsidTr="001F79B0">
        <w:trPr>
          <w:gridBefore w:val="1"/>
          <w:wBefore w:w="34" w:type="dxa"/>
        </w:trPr>
        <w:tc>
          <w:tcPr>
            <w:tcW w:w="4644" w:type="dxa"/>
            <w:gridSpan w:val="2"/>
          </w:tcPr>
          <w:p w14:paraId="295F2A50" w14:textId="77777777" w:rsidR="00930E09" w:rsidRPr="003979AA" w:rsidRDefault="00E453CD" w:rsidP="001F79B0">
            <w:pPr>
              <w:rPr>
                <w:sz w:val="22"/>
                <w:szCs w:val="22"/>
              </w:rPr>
            </w:pPr>
            <w:r w:rsidRPr="003979AA">
              <w:rPr>
                <w:b/>
                <w:bCs/>
                <w:sz w:val="22"/>
                <w:szCs w:val="22"/>
              </w:rPr>
              <w:t xml:space="preserve">Hrvatska </w:t>
            </w:r>
          </w:p>
          <w:p w14:paraId="42E71B13" w14:textId="77777777" w:rsidR="00930E09" w:rsidRPr="00BD646C" w:rsidRDefault="00E453CD" w:rsidP="001F79B0">
            <w:pPr>
              <w:rPr>
                <w:sz w:val="22"/>
                <w:szCs w:val="22"/>
                <w:lang w:val="hr-HR"/>
              </w:rPr>
            </w:pPr>
            <w:r w:rsidRPr="00BD646C">
              <w:rPr>
                <w:sz w:val="22"/>
                <w:szCs w:val="22"/>
                <w:lang w:val="hr-HR"/>
              </w:rPr>
              <w:t>AbbVie d.o.o.</w:t>
            </w:r>
          </w:p>
          <w:p w14:paraId="370683D7" w14:textId="77777777" w:rsidR="00930E09" w:rsidRPr="00BD646C" w:rsidRDefault="00E453CD" w:rsidP="001F79B0">
            <w:pPr>
              <w:rPr>
                <w:bCs/>
                <w:sz w:val="22"/>
                <w:szCs w:val="22"/>
                <w:lang w:val="it-IT"/>
              </w:rPr>
            </w:pPr>
            <w:r w:rsidRPr="00BD646C">
              <w:rPr>
                <w:sz w:val="22"/>
                <w:szCs w:val="22"/>
                <w:lang w:val="hr-HR"/>
              </w:rPr>
              <w:t xml:space="preserve">Tel + 385 (0)1 </w:t>
            </w:r>
            <w:r w:rsidRPr="00BD646C">
              <w:rPr>
                <w:sz w:val="22"/>
                <w:szCs w:val="22"/>
                <w:lang w:val="en-US"/>
              </w:rPr>
              <w:t>5625 501</w:t>
            </w:r>
          </w:p>
        </w:tc>
        <w:tc>
          <w:tcPr>
            <w:tcW w:w="4678" w:type="dxa"/>
          </w:tcPr>
          <w:p w14:paraId="0FFCA414" w14:textId="77777777" w:rsidR="00930E09" w:rsidRPr="00BD646C" w:rsidRDefault="00E453CD" w:rsidP="001F79B0">
            <w:pPr>
              <w:rPr>
                <w:b/>
                <w:bCs/>
                <w:sz w:val="22"/>
                <w:szCs w:val="22"/>
                <w:lang w:val="it-IT"/>
              </w:rPr>
            </w:pPr>
            <w:r w:rsidRPr="00BD646C">
              <w:rPr>
                <w:b/>
                <w:bCs/>
                <w:sz w:val="22"/>
                <w:szCs w:val="22"/>
                <w:lang w:val="it-IT"/>
              </w:rPr>
              <w:t>România</w:t>
            </w:r>
          </w:p>
          <w:p w14:paraId="6A2F45FD" w14:textId="77777777" w:rsidR="00930E09" w:rsidRPr="00BD646C" w:rsidRDefault="00E453CD" w:rsidP="001F79B0">
            <w:pPr>
              <w:rPr>
                <w:sz w:val="22"/>
                <w:szCs w:val="22"/>
                <w:lang w:val="it-IT"/>
              </w:rPr>
            </w:pPr>
            <w:r w:rsidRPr="00BD646C">
              <w:rPr>
                <w:sz w:val="22"/>
                <w:szCs w:val="22"/>
                <w:lang w:val="it-IT"/>
              </w:rPr>
              <w:t>AbbVie S.R.L.</w:t>
            </w:r>
          </w:p>
          <w:p w14:paraId="329CF9FD" w14:textId="77777777" w:rsidR="00930E09" w:rsidRPr="00BD646C" w:rsidRDefault="00E453CD" w:rsidP="001F79B0">
            <w:pPr>
              <w:rPr>
                <w:sz w:val="22"/>
                <w:szCs w:val="22"/>
                <w:lang w:val="pl-PL"/>
              </w:rPr>
            </w:pPr>
            <w:r w:rsidRPr="00BD646C">
              <w:rPr>
                <w:sz w:val="22"/>
                <w:szCs w:val="22"/>
                <w:lang w:val="pl-PL"/>
              </w:rPr>
              <w:t>Tel: +40 21 529 30 35</w:t>
            </w:r>
          </w:p>
          <w:p w14:paraId="4B2F3B26" w14:textId="77777777" w:rsidR="00930E09" w:rsidRPr="00BD646C" w:rsidRDefault="00930E09" w:rsidP="001F79B0">
            <w:pPr>
              <w:rPr>
                <w:sz w:val="22"/>
                <w:szCs w:val="22"/>
                <w:lang w:val="pl-PL"/>
              </w:rPr>
            </w:pPr>
          </w:p>
        </w:tc>
      </w:tr>
      <w:tr w:rsidR="004644D4" w14:paraId="013A2D94" w14:textId="77777777" w:rsidTr="001F79B0">
        <w:trPr>
          <w:gridBefore w:val="1"/>
          <w:wBefore w:w="34" w:type="dxa"/>
        </w:trPr>
        <w:tc>
          <w:tcPr>
            <w:tcW w:w="4644" w:type="dxa"/>
            <w:gridSpan w:val="2"/>
          </w:tcPr>
          <w:p w14:paraId="1ADB1821" w14:textId="77777777" w:rsidR="00930E09" w:rsidRPr="00BD646C" w:rsidRDefault="00E453CD" w:rsidP="001F79B0">
            <w:pPr>
              <w:rPr>
                <w:b/>
                <w:bCs/>
                <w:sz w:val="22"/>
                <w:szCs w:val="22"/>
                <w:lang w:val="sk-SK"/>
              </w:rPr>
            </w:pPr>
            <w:r w:rsidRPr="00BD646C">
              <w:rPr>
                <w:b/>
                <w:bCs/>
                <w:sz w:val="22"/>
                <w:szCs w:val="22"/>
                <w:lang w:val="sk-SK"/>
              </w:rPr>
              <w:t>Ireland</w:t>
            </w:r>
          </w:p>
          <w:p w14:paraId="62395DE9" w14:textId="77777777" w:rsidR="00930E09" w:rsidRPr="00BD646C" w:rsidRDefault="00E453CD" w:rsidP="001F79B0">
            <w:pPr>
              <w:rPr>
                <w:bCs/>
                <w:sz w:val="22"/>
                <w:szCs w:val="22"/>
                <w:lang w:val="sk-SK"/>
              </w:rPr>
            </w:pPr>
            <w:r w:rsidRPr="00BD646C">
              <w:rPr>
                <w:bCs/>
                <w:sz w:val="22"/>
                <w:szCs w:val="22"/>
                <w:lang w:val="sk-SK"/>
              </w:rPr>
              <w:t xml:space="preserve">AbbVie Limited </w:t>
            </w:r>
          </w:p>
          <w:p w14:paraId="4DD4AF20" w14:textId="77777777" w:rsidR="00930E09" w:rsidRPr="00BD646C" w:rsidRDefault="00E453CD" w:rsidP="001F79B0">
            <w:pPr>
              <w:rPr>
                <w:bCs/>
                <w:sz w:val="22"/>
                <w:szCs w:val="22"/>
                <w:lang w:val="sk-SK"/>
              </w:rPr>
            </w:pPr>
            <w:r w:rsidRPr="00BD646C">
              <w:rPr>
                <w:bCs/>
                <w:sz w:val="22"/>
                <w:szCs w:val="22"/>
                <w:lang w:val="pt-PT"/>
              </w:rPr>
              <w:t>Tel: +353 (0)1 42879</w:t>
            </w:r>
            <w:r w:rsidR="00167578">
              <w:rPr>
                <w:bCs/>
                <w:sz w:val="22"/>
                <w:szCs w:val="22"/>
                <w:lang w:val="pt-PT"/>
              </w:rPr>
              <w:t>0</w:t>
            </w:r>
            <w:r w:rsidRPr="00BD646C">
              <w:rPr>
                <w:bCs/>
                <w:sz w:val="22"/>
                <w:szCs w:val="22"/>
                <w:lang w:val="pt-PT"/>
              </w:rPr>
              <w:t>0</w:t>
            </w:r>
          </w:p>
        </w:tc>
        <w:tc>
          <w:tcPr>
            <w:tcW w:w="4678" w:type="dxa"/>
          </w:tcPr>
          <w:p w14:paraId="734F45A6" w14:textId="77777777" w:rsidR="00930E09" w:rsidRPr="00BD646C" w:rsidRDefault="00E453CD" w:rsidP="001F79B0">
            <w:pPr>
              <w:rPr>
                <w:b/>
                <w:bCs/>
                <w:sz w:val="22"/>
                <w:szCs w:val="22"/>
                <w:lang w:val="sl-SI"/>
              </w:rPr>
            </w:pPr>
            <w:r w:rsidRPr="00BD646C">
              <w:rPr>
                <w:b/>
                <w:bCs/>
                <w:sz w:val="22"/>
                <w:szCs w:val="22"/>
                <w:lang w:val="sl-SI"/>
              </w:rPr>
              <w:t>Slovenija</w:t>
            </w:r>
          </w:p>
          <w:p w14:paraId="432FE824" w14:textId="77777777" w:rsidR="00930E09" w:rsidRPr="00BD646C" w:rsidRDefault="00E453CD"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1FE98A37" w14:textId="77777777" w:rsidR="00930E09" w:rsidRPr="00BD646C" w:rsidRDefault="00E453CD" w:rsidP="001F79B0">
            <w:pPr>
              <w:rPr>
                <w:bCs/>
                <w:sz w:val="22"/>
                <w:szCs w:val="22"/>
                <w:lang w:val="sl-SI"/>
              </w:rPr>
            </w:pPr>
            <w:r w:rsidRPr="00BD646C">
              <w:rPr>
                <w:bCs/>
                <w:sz w:val="22"/>
                <w:szCs w:val="22"/>
                <w:lang w:val="sl-SI"/>
              </w:rPr>
              <w:t>Tel: +386 (1)32 08 060</w:t>
            </w:r>
          </w:p>
          <w:p w14:paraId="5D68315A" w14:textId="77777777" w:rsidR="00930E09" w:rsidRPr="00BD646C" w:rsidRDefault="00930E09" w:rsidP="001F79B0">
            <w:pPr>
              <w:rPr>
                <w:bCs/>
                <w:sz w:val="22"/>
                <w:szCs w:val="22"/>
                <w:lang w:val="sl-SI"/>
              </w:rPr>
            </w:pPr>
          </w:p>
        </w:tc>
      </w:tr>
      <w:tr w:rsidR="004644D4" w14:paraId="1ECF44BC" w14:textId="77777777" w:rsidTr="001F79B0">
        <w:trPr>
          <w:gridBefore w:val="1"/>
          <w:wBefore w:w="34" w:type="dxa"/>
        </w:trPr>
        <w:tc>
          <w:tcPr>
            <w:tcW w:w="4644" w:type="dxa"/>
            <w:gridSpan w:val="2"/>
          </w:tcPr>
          <w:p w14:paraId="2FF33F1D" w14:textId="77777777" w:rsidR="00930E09" w:rsidRPr="00BD646C" w:rsidRDefault="00E453CD" w:rsidP="001F79B0">
            <w:pPr>
              <w:rPr>
                <w:b/>
                <w:bCs/>
                <w:sz w:val="22"/>
                <w:szCs w:val="22"/>
                <w:lang w:val="is-IS"/>
              </w:rPr>
            </w:pPr>
            <w:r w:rsidRPr="00BD646C">
              <w:rPr>
                <w:b/>
                <w:bCs/>
                <w:sz w:val="22"/>
                <w:szCs w:val="22"/>
                <w:lang w:val="is-IS"/>
              </w:rPr>
              <w:t>Ísland</w:t>
            </w:r>
          </w:p>
          <w:p w14:paraId="21C905CB" w14:textId="77777777" w:rsidR="00930E09" w:rsidRPr="00BD646C" w:rsidRDefault="00E453CD" w:rsidP="001F79B0">
            <w:pPr>
              <w:rPr>
                <w:bCs/>
                <w:sz w:val="22"/>
                <w:szCs w:val="22"/>
                <w:lang w:val="sk-SK"/>
              </w:rPr>
            </w:pPr>
            <w:r w:rsidRPr="00BD646C">
              <w:rPr>
                <w:bCs/>
                <w:sz w:val="22"/>
                <w:szCs w:val="22"/>
                <w:lang w:val="sk-SK"/>
              </w:rPr>
              <w:t>Vistor</w:t>
            </w:r>
            <w:del w:id="17664" w:author="AbbVie02no" w:date="2025-05-15T14:30:00Z">
              <w:r w:rsidRPr="00BD646C">
                <w:rPr>
                  <w:bCs/>
                  <w:sz w:val="22"/>
                  <w:szCs w:val="22"/>
                  <w:lang w:val="sk-SK"/>
                </w:rPr>
                <w:delText xml:space="preserve"> hf.</w:delText>
              </w:r>
            </w:del>
          </w:p>
          <w:p w14:paraId="37EFFBF3" w14:textId="77777777" w:rsidR="00930E09" w:rsidRPr="00BD646C" w:rsidRDefault="00E453CD" w:rsidP="001F79B0">
            <w:pPr>
              <w:rPr>
                <w:bCs/>
                <w:sz w:val="22"/>
                <w:szCs w:val="22"/>
                <w:lang w:val="sk-SK"/>
              </w:rPr>
            </w:pPr>
            <w:r w:rsidRPr="00BD646C">
              <w:rPr>
                <w:bCs/>
                <w:sz w:val="22"/>
                <w:szCs w:val="22"/>
                <w:lang w:val="sk-SK"/>
              </w:rPr>
              <w:t>Tel: +354 535 7000</w:t>
            </w:r>
          </w:p>
        </w:tc>
        <w:tc>
          <w:tcPr>
            <w:tcW w:w="4678" w:type="dxa"/>
          </w:tcPr>
          <w:p w14:paraId="0CA16825" w14:textId="77777777" w:rsidR="00930E09" w:rsidRPr="00BD646C" w:rsidRDefault="00E453CD" w:rsidP="001F79B0">
            <w:pPr>
              <w:rPr>
                <w:b/>
                <w:bCs/>
                <w:sz w:val="22"/>
                <w:szCs w:val="22"/>
                <w:lang w:val="sk-SK"/>
              </w:rPr>
            </w:pPr>
            <w:r w:rsidRPr="00BD646C">
              <w:rPr>
                <w:b/>
                <w:bCs/>
                <w:sz w:val="22"/>
                <w:szCs w:val="22"/>
                <w:lang w:val="sk-SK"/>
              </w:rPr>
              <w:t>Slovenská republika</w:t>
            </w:r>
          </w:p>
          <w:p w14:paraId="2724FA8E" w14:textId="77777777" w:rsidR="00930E09" w:rsidRPr="00BD646C" w:rsidRDefault="00E453CD" w:rsidP="001F79B0">
            <w:pPr>
              <w:rPr>
                <w:bCs/>
                <w:sz w:val="22"/>
                <w:szCs w:val="22"/>
                <w:lang w:val="sk-SK"/>
              </w:rPr>
            </w:pPr>
            <w:r w:rsidRPr="00BD646C">
              <w:rPr>
                <w:bCs/>
                <w:sz w:val="22"/>
                <w:szCs w:val="22"/>
                <w:lang w:val="sk-SK"/>
              </w:rPr>
              <w:t>AbbVie s.r.o.</w:t>
            </w:r>
          </w:p>
          <w:p w14:paraId="50ACEC62" w14:textId="77777777" w:rsidR="00930E09" w:rsidRPr="00BD646C" w:rsidRDefault="00E453CD" w:rsidP="001F79B0">
            <w:pPr>
              <w:rPr>
                <w:bCs/>
                <w:sz w:val="22"/>
                <w:szCs w:val="22"/>
                <w:lang w:val="sk-SK"/>
              </w:rPr>
            </w:pPr>
            <w:r w:rsidRPr="00BD646C">
              <w:rPr>
                <w:bCs/>
                <w:sz w:val="22"/>
                <w:szCs w:val="22"/>
                <w:lang w:val="sk-SK"/>
              </w:rPr>
              <w:t>Tel: +421 2 5050 0777</w:t>
            </w:r>
          </w:p>
          <w:p w14:paraId="14F53A6E" w14:textId="77777777" w:rsidR="00930E09" w:rsidRPr="00BD646C" w:rsidRDefault="00930E09" w:rsidP="001F79B0">
            <w:pPr>
              <w:rPr>
                <w:bCs/>
                <w:sz w:val="22"/>
                <w:szCs w:val="22"/>
                <w:lang w:val="sk-SK"/>
              </w:rPr>
            </w:pPr>
          </w:p>
        </w:tc>
      </w:tr>
      <w:tr w:rsidR="004644D4" w:rsidRPr="009671D6" w14:paraId="67C751F8" w14:textId="77777777" w:rsidTr="001F79B0">
        <w:trPr>
          <w:gridBefore w:val="1"/>
          <w:wBefore w:w="34" w:type="dxa"/>
        </w:trPr>
        <w:tc>
          <w:tcPr>
            <w:tcW w:w="4644" w:type="dxa"/>
            <w:gridSpan w:val="2"/>
          </w:tcPr>
          <w:p w14:paraId="108CB1AC" w14:textId="77777777" w:rsidR="00930E09" w:rsidRPr="00BD646C" w:rsidRDefault="00E453CD" w:rsidP="001F79B0">
            <w:pPr>
              <w:rPr>
                <w:b/>
                <w:bCs/>
                <w:sz w:val="22"/>
                <w:szCs w:val="22"/>
                <w:lang w:val="it-IT"/>
              </w:rPr>
            </w:pPr>
            <w:r w:rsidRPr="00BD646C">
              <w:rPr>
                <w:b/>
                <w:bCs/>
                <w:sz w:val="22"/>
                <w:szCs w:val="22"/>
                <w:lang w:val="it-IT"/>
              </w:rPr>
              <w:t>Italia</w:t>
            </w:r>
          </w:p>
          <w:p w14:paraId="0088D101" w14:textId="77777777" w:rsidR="00930E09" w:rsidRPr="00BD646C" w:rsidRDefault="00E453CD" w:rsidP="001F79B0">
            <w:pPr>
              <w:rPr>
                <w:bCs/>
                <w:sz w:val="22"/>
                <w:szCs w:val="22"/>
                <w:lang w:val="pt-PT"/>
              </w:rPr>
            </w:pPr>
            <w:r w:rsidRPr="00BD646C">
              <w:rPr>
                <w:bCs/>
                <w:sz w:val="22"/>
                <w:szCs w:val="22"/>
                <w:lang w:val="pt-PT"/>
              </w:rPr>
              <w:t xml:space="preserve">AbbVie S.r.l. </w:t>
            </w:r>
          </w:p>
          <w:p w14:paraId="1BC6CBB6" w14:textId="77777777" w:rsidR="00930E09" w:rsidRPr="00BD646C" w:rsidRDefault="00E453CD" w:rsidP="001F79B0">
            <w:pPr>
              <w:rPr>
                <w:bCs/>
                <w:sz w:val="22"/>
                <w:szCs w:val="22"/>
                <w:lang w:val="fi-FI"/>
              </w:rPr>
            </w:pPr>
            <w:r w:rsidRPr="00BD646C">
              <w:rPr>
                <w:bCs/>
                <w:sz w:val="22"/>
                <w:szCs w:val="22"/>
                <w:lang w:val="fr-FR"/>
              </w:rPr>
              <w:t>Tel: +39 06 928921</w:t>
            </w:r>
          </w:p>
        </w:tc>
        <w:tc>
          <w:tcPr>
            <w:tcW w:w="4678" w:type="dxa"/>
          </w:tcPr>
          <w:p w14:paraId="3481CF60" w14:textId="77777777" w:rsidR="00930E09" w:rsidRPr="00BD646C" w:rsidRDefault="00E453CD" w:rsidP="001F79B0">
            <w:pPr>
              <w:rPr>
                <w:b/>
                <w:bCs/>
                <w:sz w:val="22"/>
                <w:szCs w:val="22"/>
                <w:lang w:val="fi-FI"/>
              </w:rPr>
            </w:pPr>
            <w:r w:rsidRPr="00BD646C">
              <w:rPr>
                <w:b/>
                <w:bCs/>
                <w:sz w:val="22"/>
                <w:szCs w:val="22"/>
                <w:lang w:val="fi-FI"/>
              </w:rPr>
              <w:t>Suomi/Finland</w:t>
            </w:r>
          </w:p>
          <w:p w14:paraId="72FD5513" w14:textId="77777777" w:rsidR="00930E09" w:rsidRPr="00BD646C" w:rsidRDefault="00E453CD" w:rsidP="001F79B0">
            <w:pPr>
              <w:rPr>
                <w:bCs/>
                <w:sz w:val="22"/>
                <w:szCs w:val="22"/>
                <w:lang w:val="de-CH"/>
              </w:rPr>
            </w:pPr>
            <w:r w:rsidRPr="00BD646C">
              <w:rPr>
                <w:bCs/>
                <w:sz w:val="22"/>
                <w:szCs w:val="22"/>
                <w:lang w:val="sk-SK"/>
              </w:rPr>
              <w:t>AbbVie Oy</w:t>
            </w:r>
          </w:p>
          <w:p w14:paraId="7BB5AF20" w14:textId="77777777" w:rsidR="00930E09" w:rsidRPr="00BD646C" w:rsidRDefault="00E453CD" w:rsidP="001F79B0">
            <w:pPr>
              <w:rPr>
                <w:bCs/>
                <w:sz w:val="22"/>
                <w:szCs w:val="22"/>
                <w:lang w:val="sk-SK"/>
              </w:rPr>
            </w:pPr>
            <w:r w:rsidRPr="00BD646C">
              <w:rPr>
                <w:bCs/>
                <w:sz w:val="22"/>
                <w:szCs w:val="22"/>
                <w:lang w:val="sk-SK"/>
              </w:rPr>
              <w:t>Puh/Tel: +358 (0)10 2411 200</w:t>
            </w:r>
          </w:p>
          <w:p w14:paraId="040C528B" w14:textId="77777777" w:rsidR="00930E09" w:rsidRPr="00BD646C" w:rsidRDefault="00930E09" w:rsidP="001F79B0">
            <w:pPr>
              <w:rPr>
                <w:sz w:val="22"/>
                <w:szCs w:val="22"/>
                <w:lang w:val="sk-SK"/>
              </w:rPr>
            </w:pPr>
          </w:p>
        </w:tc>
      </w:tr>
      <w:tr w:rsidR="004644D4" w14:paraId="3D15BDD5" w14:textId="77777777" w:rsidTr="001F79B0">
        <w:trPr>
          <w:gridBefore w:val="1"/>
          <w:wBefore w:w="34" w:type="dxa"/>
          <w:cantSplit/>
          <w:trHeight w:val="887"/>
        </w:trPr>
        <w:tc>
          <w:tcPr>
            <w:tcW w:w="4644" w:type="dxa"/>
            <w:gridSpan w:val="2"/>
          </w:tcPr>
          <w:p w14:paraId="64A08F21" w14:textId="77777777" w:rsidR="00930E09" w:rsidRPr="00BD646C" w:rsidRDefault="00E453CD" w:rsidP="001F79B0">
            <w:pPr>
              <w:rPr>
                <w:b/>
                <w:bCs/>
                <w:sz w:val="22"/>
                <w:szCs w:val="22"/>
                <w:lang w:val="el-GR"/>
              </w:rPr>
            </w:pPr>
            <w:r w:rsidRPr="00BD646C">
              <w:rPr>
                <w:b/>
                <w:bCs/>
                <w:sz w:val="22"/>
                <w:szCs w:val="22"/>
                <w:lang w:val="el-GR"/>
              </w:rPr>
              <w:t>Κύπρος</w:t>
            </w:r>
          </w:p>
          <w:p w14:paraId="7E9FBE60" w14:textId="77777777" w:rsidR="00930E09" w:rsidRPr="00BD646C" w:rsidRDefault="00E453CD"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51575D76" w14:textId="77777777" w:rsidR="00930E09" w:rsidRPr="00BD646C" w:rsidRDefault="00E453CD" w:rsidP="001F79B0">
            <w:pPr>
              <w:rPr>
                <w:bCs/>
                <w:sz w:val="22"/>
                <w:szCs w:val="22"/>
                <w:lang w:val="lv-LV"/>
              </w:rPr>
            </w:pPr>
            <w:r w:rsidRPr="00BD646C">
              <w:rPr>
                <w:bCs/>
                <w:sz w:val="22"/>
                <w:szCs w:val="22"/>
                <w:lang w:val="el-GR"/>
              </w:rPr>
              <w:t>Τηλ.: +357 22 34 74 40</w:t>
            </w:r>
          </w:p>
        </w:tc>
        <w:tc>
          <w:tcPr>
            <w:tcW w:w="4678" w:type="dxa"/>
          </w:tcPr>
          <w:p w14:paraId="1FA969FC" w14:textId="77777777" w:rsidR="00930E09" w:rsidRPr="00BD646C" w:rsidRDefault="00E453CD" w:rsidP="001F79B0">
            <w:pPr>
              <w:rPr>
                <w:b/>
                <w:bCs/>
                <w:sz w:val="22"/>
                <w:szCs w:val="22"/>
                <w:lang w:val="sk-SK"/>
              </w:rPr>
            </w:pPr>
            <w:r w:rsidRPr="00BD646C">
              <w:rPr>
                <w:b/>
                <w:bCs/>
                <w:sz w:val="22"/>
                <w:szCs w:val="22"/>
                <w:lang w:val="sk-SK"/>
              </w:rPr>
              <w:t>Sverige</w:t>
            </w:r>
          </w:p>
          <w:p w14:paraId="4153B486" w14:textId="77777777" w:rsidR="00930E09" w:rsidRPr="00BD646C" w:rsidRDefault="00E453CD" w:rsidP="001F79B0">
            <w:pPr>
              <w:rPr>
                <w:bCs/>
                <w:sz w:val="22"/>
                <w:szCs w:val="22"/>
                <w:lang w:val="pt-PT"/>
              </w:rPr>
            </w:pPr>
            <w:r w:rsidRPr="00BD646C">
              <w:rPr>
                <w:bCs/>
                <w:sz w:val="22"/>
                <w:szCs w:val="22"/>
                <w:lang w:val="pt-PT"/>
              </w:rPr>
              <w:t>AbbVie AB</w:t>
            </w:r>
          </w:p>
          <w:p w14:paraId="43415990" w14:textId="77777777" w:rsidR="00930E09" w:rsidRPr="00BD646C" w:rsidRDefault="00E453CD" w:rsidP="001F79B0">
            <w:pPr>
              <w:rPr>
                <w:bCs/>
                <w:sz w:val="22"/>
                <w:szCs w:val="22"/>
                <w:lang w:val="sk-SK"/>
              </w:rPr>
            </w:pPr>
            <w:r w:rsidRPr="00BD646C">
              <w:rPr>
                <w:bCs/>
                <w:sz w:val="22"/>
                <w:szCs w:val="22"/>
                <w:lang w:val="da-DK"/>
              </w:rPr>
              <w:t>Tel: +46 (0)8 684 44 600</w:t>
            </w:r>
          </w:p>
        </w:tc>
      </w:tr>
      <w:tr w:rsidR="004644D4" w14:paraId="15194311" w14:textId="77777777" w:rsidTr="001F79B0">
        <w:trPr>
          <w:gridBefore w:val="1"/>
          <w:wBefore w:w="34" w:type="dxa"/>
          <w:cantSplit/>
          <w:trHeight w:val="761"/>
        </w:trPr>
        <w:tc>
          <w:tcPr>
            <w:tcW w:w="4644" w:type="dxa"/>
            <w:gridSpan w:val="2"/>
          </w:tcPr>
          <w:p w14:paraId="06206A07" w14:textId="77777777" w:rsidR="00930E09" w:rsidRPr="00BD646C" w:rsidRDefault="00E453CD" w:rsidP="001F79B0">
            <w:pPr>
              <w:rPr>
                <w:b/>
                <w:bCs/>
                <w:sz w:val="22"/>
                <w:szCs w:val="22"/>
                <w:lang w:val="lv-LV"/>
              </w:rPr>
            </w:pPr>
            <w:r w:rsidRPr="00BD646C">
              <w:rPr>
                <w:b/>
                <w:bCs/>
                <w:sz w:val="22"/>
                <w:szCs w:val="22"/>
                <w:lang w:val="lv-LV"/>
              </w:rPr>
              <w:t>Latvija</w:t>
            </w:r>
          </w:p>
          <w:p w14:paraId="24903343" w14:textId="77777777" w:rsidR="00930E09" w:rsidRPr="00BD646C" w:rsidRDefault="00E453CD" w:rsidP="001F79B0">
            <w:pPr>
              <w:rPr>
                <w:bCs/>
                <w:sz w:val="22"/>
                <w:szCs w:val="22"/>
                <w:lang w:val="lv-LV"/>
              </w:rPr>
            </w:pPr>
            <w:r w:rsidRPr="00BD646C">
              <w:rPr>
                <w:bCs/>
                <w:sz w:val="22"/>
                <w:szCs w:val="22"/>
                <w:lang w:val="lv-LV"/>
              </w:rPr>
              <w:t xml:space="preserve">AbbVie SIA </w:t>
            </w:r>
          </w:p>
          <w:p w14:paraId="4B0B44F7" w14:textId="77777777" w:rsidR="00930E09" w:rsidRPr="00BD646C" w:rsidRDefault="00E453CD" w:rsidP="001F79B0">
            <w:pPr>
              <w:rPr>
                <w:bCs/>
                <w:sz w:val="22"/>
                <w:szCs w:val="22"/>
                <w:lang w:val="lv-LV"/>
              </w:rPr>
            </w:pPr>
            <w:r w:rsidRPr="00BD646C">
              <w:rPr>
                <w:bCs/>
                <w:sz w:val="22"/>
                <w:szCs w:val="22"/>
                <w:lang w:val="lv-LV"/>
              </w:rPr>
              <w:t>Tel: +371 67605000</w:t>
            </w:r>
          </w:p>
        </w:tc>
        <w:tc>
          <w:tcPr>
            <w:tcW w:w="4678" w:type="dxa"/>
          </w:tcPr>
          <w:p w14:paraId="26047C17" w14:textId="4E6CF454" w:rsidR="00930E09" w:rsidRPr="00BD646C" w:rsidRDefault="00930E09" w:rsidP="001F79B0">
            <w:pPr>
              <w:rPr>
                <w:b/>
                <w:bCs/>
                <w:sz w:val="22"/>
                <w:szCs w:val="22"/>
                <w:lang w:val="sk-SK"/>
              </w:rPr>
            </w:pPr>
          </w:p>
        </w:tc>
      </w:tr>
    </w:tbl>
    <w:p w14:paraId="052EAC4F" w14:textId="77777777" w:rsidR="00D20B49" w:rsidRPr="009C5EFD" w:rsidRDefault="00D20B49" w:rsidP="00D20B49">
      <w:pPr>
        <w:rPr>
          <w:lang w:val="en-US"/>
        </w:rPr>
      </w:pPr>
    </w:p>
    <w:p w14:paraId="6A9510F6" w14:textId="77777777" w:rsidR="00D20B49" w:rsidRPr="00392F01" w:rsidRDefault="00E453CD" w:rsidP="00D20B49">
      <w:pPr>
        <w:rPr>
          <w:b/>
          <w:sz w:val="22"/>
          <w:szCs w:val="22"/>
        </w:rPr>
      </w:pPr>
      <w:r w:rsidRPr="00392F01">
        <w:rPr>
          <w:b/>
          <w:sz w:val="22"/>
          <w:szCs w:val="22"/>
        </w:rPr>
        <w:t>Dette pakningsvedlegget ble sist oppdatert</w:t>
      </w:r>
    </w:p>
    <w:p w14:paraId="73B8AB65" w14:textId="77777777" w:rsidR="00D20B49" w:rsidRPr="00392F01" w:rsidRDefault="00D20B49" w:rsidP="00D20B49">
      <w:pPr>
        <w:rPr>
          <w:b/>
          <w:sz w:val="22"/>
          <w:szCs w:val="22"/>
        </w:rPr>
      </w:pPr>
    </w:p>
    <w:p w14:paraId="0E942F77" w14:textId="0DB4A9EB" w:rsidR="00283253" w:rsidRPr="00392F01" w:rsidRDefault="00E453CD" w:rsidP="00E14E58">
      <w:pPr>
        <w:rPr>
          <w:sz w:val="22"/>
        </w:rPr>
      </w:pPr>
      <w:r w:rsidRPr="00392F01">
        <w:rPr>
          <w:sz w:val="22"/>
        </w:rPr>
        <w:t>Detaljert informasjon om dette legemidlet er tilgjengelig på nettstedet til Det europeiske legemiddelkontoret (</w:t>
      </w:r>
      <w:r w:rsidR="001D434C">
        <w:rPr>
          <w:sz w:val="22"/>
        </w:rPr>
        <w:t>t</w:t>
      </w:r>
      <w:r w:rsidRPr="00392F01">
        <w:rPr>
          <w:sz w:val="22"/>
        </w:rPr>
        <w:t>he European Medicines Agency)</w:t>
      </w:r>
      <w:r w:rsidR="004667E2" w:rsidRPr="00392F01">
        <w:rPr>
          <w:sz w:val="22"/>
        </w:rPr>
        <w:t>:</w:t>
      </w:r>
      <w:r w:rsidRPr="00392F01">
        <w:rPr>
          <w:sz w:val="22"/>
        </w:rPr>
        <w:t xml:space="preserve"> </w:t>
      </w:r>
      <w:ins w:id="17665" w:author="AbbVie02no" w:date="2025-05-15T14:30:00Z">
        <w:r w:rsidR="00600FCB">
          <w:rPr>
            <w:sz w:val="22"/>
          </w:rPr>
          <w:fldChar w:fldCharType="begin"/>
        </w:r>
        <w:r w:rsidR="00600FCB">
          <w:rPr>
            <w:sz w:val="22"/>
          </w:rPr>
          <w:instrText>HYPERLINK "</w:instrText>
        </w:r>
      </w:ins>
      <w:r w:rsidR="00600FCB" w:rsidRPr="00600FCB">
        <w:rPr>
          <w:rStyle w:val="Hyperlink"/>
          <w:sz w:val="22"/>
        </w:rPr>
        <w:instrText>http</w:instrText>
      </w:r>
      <w:ins w:id="17666" w:author="AbbVie02no" w:date="2025-05-15T14:30:00Z">
        <w:r w:rsidR="00600FCB" w:rsidRPr="00600FCB">
          <w:rPr>
            <w:rStyle w:val="Hyperlink"/>
            <w:sz w:val="22"/>
          </w:rPr>
          <w:instrText>s</w:instrText>
        </w:r>
      </w:ins>
      <w:r w:rsidR="00600FCB" w:rsidRPr="00600FCB">
        <w:rPr>
          <w:rStyle w:val="Hyperlink"/>
          <w:sz w:val="22"/>
        </w:rPr>
        <w:instrText>://www.ema.europa.eu</w:instrText>
      </w:r>
      <w:ins w:id="17667" w:author="AbbVie02no" w:date="2025-05-15T14:30:00Z">
        <w:r w:rsidR="00600FCB">
          <w:rPr>
            <w:sz w:val="22"/>
          </w:rPr>
          <w:instrText>"</w:instrText>
        </w:r>
        <w:r w:rsidR="00600FCB">
          <w:rPr>
            <w:sz w:val="22"/>
          </w:rPr>
        </w:r>
        <w:r w:rsidR="00600FCB">
          <w:rPr>
            <w:sz w:val="22"/>
          </w:rPr>
          <w:fldChar w:fldCharType="separate"/>
        </w:r>
      </w:ins>
      <w:r w:rsidR="00600FCB" w:rsidRPr="00600FCB">
        <w:rPr>
          <w:rStyle w:val="Hyperlink"/>
          <w:sz w:val="22"/>
        </w:rPr>
        <w:t>http</w:t>
      </w:r>
      <w:ins w:id="17668" w:author="AbbVie02no" w:date="2025-05-15T14:30:00Z">
        <w:r w:rsidR="00600FCB" w:rsidRPr="00600FCB">
          <w:rPr>
            <w:rStyle w:val="Hyperlink"/>
            <w:sz w:val="22"/>
          </w:rPr>
          <w:t>s</w:t>
        </w:r>
      </w:ins>
      <w:r w:rsidR="00600FCB" w:rsidRPr="00600FCB">
        <w:rPr>
          <w:rStyle w:val="Hyperlink"/>
          <w:sz w:val="22"/>
        </w:rPr>
        <w:t>://www.ema.europa.eu</w:t>
      </w:r>
      <w:ins w:id="17669" w:author="AbbVie02no" w:date="2025-05-15T14:30:00Z">
        <w:r w:rsidR="00600FCB">
          <w:rPr>
            <w:sz w:val="22"/>
          </w:rPr>
          <w:fldChar w:fldCharType="end"/>
        </w:r>
      </w:ins>
      <w:r w:rsidRPr="00392F01">
        <w:rPr>
          <w:sz w:val="22"/>
        </w:rPr>
        <w:t>.</w:t>
      </w:r>
    </w:p>
    <w:p w14:paraId="65ED9FC0" w14:textId="77777777" w:rsidR="001850A1" w:rsidRPr="00392F01" w:rsidRDefault="001850A1" w:rsidP="00E14E58">
      <w:pPr>
        <w:rPr>
          <w:sz w:val="22"/>
        </w:rPr>
      </w:pPr>
    </w:p>
    <w:p w14:paraId="68167971" w14:textId="77777777" w:rsidR="003143D3" w:rsidRPr="006936CB" w:rsidRDefault="00E453CD" w:rsidP="003143D3">
      <w:pPr>
        <w:rPr>
          <w:b/>
          <w:sz w:val="22"/>
        </w:rPr>
      </w:pPr>
      <w:r w:rsidRPr="006936CB">
        <w:rPr>
          <w:b/>
          <w:sz w:val="22"/>
        </w:rPr>
        <w:t xml:space="preserve">For å lytte til eller be om en kopi av dette pakningsvedlegget </w:t>
      </w:r>
      <w:r w:rsidR="00B0241B" w:rsidRPr="00776A84">
        <w:rPr>
          <w:b/>
          <w:sz w:val="22"/>
          <w:highlight w:val="lightGray"/>
        </w:rPr>
        <w:t>i &lt;blindeskrift&gt;, &lt;større skrift&gt; eller &lt;lydfil&gt;</w:t>
      </w:r>
      <w:r w:rsidRPr="006936CB">
        <w:rPr>
          <w:b/>
          <w:sz w:val="22"/>
        </w:rPr>
        <w:t xml:space="preserve"> kan du kontakte den lokale representant for innehaveren av markedsføringstillatelsen.</w:t>
      </w:r>
    </w:p>
    <w:p w14:paraId="413DC515" w14:textId="77777777" w:rsidR="003143D3" w:rsidRPr="00392F01" w:rsidRDefault="003143D3" w:rsidP="00E14E58">
      <w:pPr>
        <w:rPr>
          <w:sz w:val="22"/>
        </w:rPr>
      </w:pPr>
    </w:p>
    <w:p w14:paraId="79BE9915" w14:textId="77777777" w:rsidR="001850A1" w:rsidRPr="00392F01" w:rsidRDefault="001850A1" w:rsidP="00E14E58">
      <w:pPr>
        <w:rPr>
          <w:sz w:val="22"/>
        </w:rPr>
      </w:pPr>
    </w:p>
    <w:p w14:paraId="2003AE65" w14:textId="77777777" w:rsidR="001850A1" w:rsidRDefault="00E453CD" w:rsidP="00602A37">
      <w:pPr>
        <w:keepNext/>
        <w:ind w:left="562" w:hanging="562"/>
        <w:rPr>
          <w:sz w:val="22"/>
          <w:szCs w:val="22"/>
          <w:lang w:val="en-GB"/>
        </w:rPr>
      </w:pPr>
      <w:r w:rsidRPr="00887835">
        <w:rPr>
          <w:b/>
          <w:sz w:val="22"/>
          <w:szCs w:val="22"/>
          <w:lang w:val="en-GB"/>
        </w:rPr>
        <w:t>7.</w:t>
      </w:r>
      <w:r w:rsidRPr="00887835">
        <w:rPr>
          <w:b/>
          <w:sz w:val="22"/>
          <w:szCs w:val="22"/>
          <w:lang w:val="en-GB"/>
        </w:rPr>
        <w:tab/>
      </w:r>
      <w:r w:rsidR="00713E33" w:rsidRPr="00713E33">
        <w:rPr>
          <w:b/>
          <w:sz w:val="22"/>
          <w:szCs w:val="22"/>
          <w:lang w:val="en-GB"/>
        </w:rPr>
        <w:t>Hvordan du injiserer Humira</w:t>
      </w:r>
    </w:p>
    <w:p w14:paraId="48462498" w14:textId="77777777" w:rsidR="00D20B49" w:rsidRPr="009C5EFD" w:rsidRDefault="00D20B49" w:rsidP="00D00F56">
      <w:pPr>
        <w:keepNext/>
        <w:rPr>
          <w:sz w:val="22"/>
          <w:szCs w:val="22"/>
        </w:rPr>
      </w:pPr>
    </w:p>
    <w:p w14:paraId="45F6B522" w14:textId="77777777" w:rsidR="00DC02A6" w:rsidRDefault="00E453CD" w:rsidP="00776A84">
      <w:pPr>
        <w:pStyle w:val="ListParagraph"/>
        <w:numPr>
          <w:ilvl w:val="0"/>
          <w:numId w:val="15"/>
        </w:numPr>
        <w:rPr>
          <w:sz w:val="22"/>
          <w:szCs w:val="22"/>
        </w:rPr>
      </w:pPr>
      <w:r w:rsidRPr="009C5EFD">
        <w:rPr>
          <w:sz w:val="22"/>
          <w:szCs w:val="22"/>
        </w:rPr>
        <w:t xml:space="preserve">Følgende instruksjoner forklarer hvordan du skal sette </w:t>
      </w:r>
      <w:r w:rsidR="00D33F44">
        <w:rPr>
          <w:sz w:val="22"/>
          <w:szCs w:val="22"/>
        </w:rPr>
        <w:t>en subkutan</w:t>
      </w:r>
      <w:r w:rsidR="00890C29">
        <w:rPr>
          <w:sz w:val="22"/>
          <w:szCs w:val="22"/>
        </w:rPr>
        <w:t xml:space="preserve"> (under huden)</w:t>
      </w:r>
      <w:r w:rsidR="00D33F44">
        <w:rPr>
          <w:sz w:val="22"/>
          <w:szCs w:val="22"/>
        </w:rPr>
        <w:t xml:space="preserve"> injeksjon av </w:t>
      </w:r>
      <w:r w:rsidRPr="009C5EFD">
        <w:rPr>
          <w:sz w:val="22"/>
          <w:szCs w:val="22"/>
        </w:rPr>
        <w:t xml:space="preserve">Humira på deg selv ved bruk av den ferdigfylte pennen. </w:t>
      </w:r>
      <w:r w:rsidR="001850A1" w:rsidRPr="00887835">
        <w:rPr>
          <w:sz w:val="22"/>
          <w:szCs w:val="22"/>
        </w:rPr>
        <w:t xml:space="preserve">Les </w:t>
      </w:r>
      <w:r>
        <w:rPr>
          <w:sz w:val="22"/>
          <w:szCs w:val="22"/>
        </w:rPr>
        <w:t xml:space="preserve">først </w:t>
      </w:r>
      <w:r w:rsidR="001850A1" w:rsidRPr="00887835">
        <w:rPr>
          <w:sz w:val="22"/>
          <w:szCs w:val="22"/>
        </w:rPr>
        <w:t>instruksjonene nøye og følg dem</w:t>
      </w:r>
      <w:r w:rsidR="003510DE">
        <w:rPr>
          <w:sz w:val="22"/>
          <w:szCs w:val="22"/>
        </w:rPr>
        <w:t xml:space="preserve"> deretter</w:t>
      </w:r>
      <w:r w:rsidR="001850A1" w:rsidRPr="00887835">
        <w:rPr>
          <w:sz w:val="22"/>
          <w:szCs w:val="22"/>
        </w:rPr>
        <w:t xml:space="preserve"> steg for steg.</w:t>
      </w:r>
    </w:p>
    <w:p w14:paraId="248FB1FE" w14:textId="77777777" w:rsidR="00DC02A6" w:rsidRDefault="00DC02A6" w:rsidP="00776A84">
      <w:pPr>
        <w:pStyle w:val="ListParagraph"/>
        <w:rPr>
          <w:sz w:val="22"/>
          <w:szCs w:val="22"/>
        </w:rPr>
      </w:pPr>
    </w:p>
    <w:p w14:paraId="37AC328B" w14:textId="77777777" w:rsidR="00DC02A6" w:rsidRPr="00887835" w:rsidRDefault="00E453CD">
      <w:pPr>
        <w:pStyle w:val="ListParagraph"/>
        <w:numPr>
          <w:ilvl w:val="0"/>
          <w:numId w:val="15"/>
        </w:numPr>
        <w:rPr>
          <w:sz w:val="22"/>
          <w:szCs w:val="22"/>
        </w:rPr>
      </w:pPr>
      <w:r w:rsidRPr="00887835">
        <w:rPr>
          <w:sz w:val="22"/>
          <w:szCs w:val="22"/>
        </w:rPr>
        <w:t>Legen</w:t>
      </w:r>
      <w:r w:rsidRPr="00475A28">
        <w:rPr>
          <w:sz w:val="22"/>
          <w:szCs w:val="22"/>
        </w:rPr>
        <w:t xml:space="preserve"> din, sykepleier</w:t>
      </w:r>
      <w:r w:rsidRPr="00887835">
        <w:rPr>
          <w:sz w:val="22"/>
          <w:szCs w:val="22"/>
        </w:rPr>
        <w:t xml:space="preserve"> eller </w:t>
      </w:r>
      <w:r w:rsidRPr="00475A28">
        <w:rPr>
          <w:sz w:val="22"/>
          <w:szCs w:val="22"/>
        </w:rPr>
        <w:t>farmasøyt</w:t>
      </w:r>
      <w:r w:rsidRPr="00887835">
        <w:rPr>
          <w:sz w:val="22"/>
          <w:szCs w:val="22"/>
        </w:rPr>
        <w:t xml:space="preserve"> </w:t>
      </w:r>
      <w:r w:rsidR="00E23921">
        <w:rPr>
          <w:sz w:val="22"/>
          <w:szCs w:val="22"/>
        </w:rPr>
        <w:t xml:space="preserve">på apotek </w:t>
      </w:r>
      <w:r w:rsidRPr="00887835">
        <w:rPr>
          <w:sz w:val="22"/>
          <w:szCs w:val="22"/>
        </w:rPr>
        <w:t xml:space="preserve">vil forklare deg hvordan du skal </w:t>
      </w:r>
      <w:r>
        <w:rPr>
          <w:sz w:val="22"/>
          <w:szCs w:val="22"/>
        </w:rPr>
        <w:t>injisere</w:t>
      </w:r>
      <w:r w:rsidRPr="00887835">
        <w:rPr>
          <w:sz w:val="22"/>
          <w:szCs w:val="22"/>
        </w:rPr>
        <w:t xml:space="preserve"> på deg selv.</w:t>
      </w:r>
    </w:p>
    <w:p w14:paraId="641BCD18" w14:textId="77777777" w:rsidR="00E2461F" w:rsidRPr="0061743D" w:rsidRDefault="00E2461F" w:rsidP="0061743D">
      <w:pPr>
        <w:rPr>
          <w:sz w:val="22"/>
        </w:rPr>
      </w:pPr>
    </w:p>
    <w:p w14:paraId="19980051" w14:textId="77777777" w:rsidR="00DC02A6" w:rsidRDefault="00E453CD" w:rsidP="00887835">
      <w:pPr>
        <w:pStyle w:val="ListParagraph"/>
        <w:numPr>
          <w:ilvl w:val="0"/>
          <w:numId w:val="15"/>
        </w:numPr>
        <w:rPr>
          <w:sz w:val="22"/>
          <w:szCs w:val="22"/>
        </w:rPr>
      </w:pPr>
      <w:r w:rsidRPr="00CB538B">
        <w:rPr>
          <w:sz w:val="22"/>
        </w:rPr>
        <w:t xml:space="preserve">Ikke </w:t>
      </w:r>
      <w:r w:rsidR="001850A1" w:rsidRPr="00887835">
        <w:rPr>
          <w:sz w:val="22"/>
          <w:szCs w:val="22"/>
        </w:rPr>
        <w:t xml:space="preserve">forsøk å </w:t>
      </w:r>
      <w:r>
        <w:rPr>
          <w:sz w:val="22"/>
          <w:szCs w:val="22"/>
        </w:rPr>
        <w:t>injisere</w:t>
      </w:r>
      <w:r w:rsidR="001850A1" w:rsidRPr="00887835">
        <w:rPr>
          <w:sz w:val="22"/>
          <w:szCs w:val="22"/>
        </w:rPr>
        <w:t xml:space="preserve"> på deg selv før du er sikker på at du forstår hvordan </w:t>
      </w:r>
      <w:r>
        <w:rPr>
          <w:sz w:val="22"/>
          <w:szCs w:val="22"/>
        </w:rPr>
        <w:t>du</w:t>
      </w:r>
      <w:r w:rsidR="001850A1" w:rsidRPr="00887835">
        <w:rPr>
          <w:sz w:val="22"/>
          <w:szCs w:val="22"/>
        </w:rPr>
        <w:t xml:space="preserve"> skal </w:t>
      </w:r>
      <w:r>
        <w:rPr>
          <w:sz w:val="22"/>
          <w:szCs w:val="22"/>
        </w:rPr>
        <w:t>forberede</w:t>
      </w:r>
      <w:r w:rsidRPr="00475A28">
        <w:rPr>
          <w:sz w:val="22"/>
          <w:szCs w:val="22"/>
        </w:rPr>
        <w:t xml:space="preserve"> og sette</w:t>
      </w:r>
      <w:r>
        <w:rPr>
          <w:sz w:val="22"/>
          <w:szCs w:val="22"/>
        </w:rPr>
        <w:t xml:space="preserve"> injeksjonen</w:t>
      </w:r>
      <w:r w:rsidR="001850A1" w:rsidRPr="00887835">
        <w:rPr>
          <w:sz w:val="22"/>
          <w:szCs w:val="22"/>
        </w:rPr>
        <w:t>.</w:t>
      </w:r>
    </w:p>
    <w:p w14:paraId="7750DACB" w14:textId="77777777" w:rsidR="00DC02A6" w:rsidRDefault="00DC02A6" w:rsidP="00887835">
      <w:pPr>
        <w:pStyle w:val="ListParagraph"/>
        <w:rPr>
          <w:sz w:val="22"/>
          <w:szCs w:val="22"/>
        </w:rPr>
      </w:pPr>
    </w:p>
    <w:p w14:paraId="73E6A6DD" w14:textId="77777777" w:rsidR="001850A1" w:rsidRDefault="00E453CD" w:rsidP="00887835">
      <w:pPr>
        <w:pStyle w:val="ListParagraph"/>
        <w:numPr>
          <w:ilvl w:val="0"/>
          <w:numId w:val="15"/>
        </w:numPr>
        <w:rPr>
          <w:sz w:val="22"/>
          <w:szCs w:val="22"/>
        </w:rPr>
      </w:pPr>
      <w:r w:rsidRPr="00887835">
        <w:rPr>
          <w:sz w:val="22"/>
          <w:szCs w:val="22"/>
        </w:rPr>
        <w:t xml:space="preserve">Etter nødvendig opplæring kan du sette injeksjonen selv, eller en annen person, </w:t>
      </w:r>
      <w:r w:rsidR="001A1AC5">
        <w:rPr>
          <w:sz w:val="22"/>
          <w:szCs w:val="22"/>
        </w:rPr>
        <w:t>f.eks.</w:t>
      </w:r>
      <w:r w:rsidR="00DC02A6" w:rsidRPr="00475A28">
        <w:rPr>
          <w:sz w:val="22"/>
          <w:szCs w:val="22"/>
        </w:rPr>
        <w:t xml:space="preserve"> et familiemedlem eller en venn</w:t>
      </w:r>
      <w:r w:rsidRPr="00887835">
        <w:rPr>
          <w:sz w:val="22"/>
          <w:szCs w:val="22"/>
        </w:rPr>
        <w:t xml:space="preserve"> kan sette den.</w:t>
      </w:r>
    </w:p>
    <w:p w14:paraId="729C55B5" w14:textId="77777777" w:rsidR="00D20B49" w:rsidRPr="0061743D" w:rsidRDefault="00D20B49" w:rsidP="0061743D">
      <w:pPr>
        <w:pStyle w:val="ListParagraph"/>
        <w:rPr>
          <w:sz w:val="22"/>
        </w:rPr>
      </w:pPr>
    </w:p>
    <w:p w14:paraId="7290F078" w14:textId="77777777" w:rsidR="00DC02A6" w:rsidRDefault="00E453CD" w:rsidP="00887835">
      <w:pPr>
        <w:pStyle w:val="ListParagraph"/>
        <w:numPr>
          <w:ilvl w:val="0"/>
          <w:numId w:val="15"/>
        </w:numPr>
        <w:rPr>
          <w:sz w:val="22"/>
          <w:szCs w:val="22"/>
        </w:rPr>
      </w:pPr>
      <w:r w:rsidRPr="009C5EFD">
        <w:rPr>
          <w:sz w:val="22"/>
          <w:szCs w:val="22"/>
        </w:rPr>
        <w:t xml:space="preserve">Bruk </w:t>
      </w:r>
      <w:r>
        <w:rPr>
          <w:sz w:val="22"/>
          <w:szCs w:val="22"/>
        </w:rPr>
        <w:t xml:space="preserve">kun hver ferdigfylt penn </w:t>
      </w:r>
      <w:r w:rsidR="003510DE">
        <w:rPr>
          <w:sz w:val="22"/>
          <w:szCs w:val="22"/>
        </w:rPr>
        <w:t xml:space="preserve">til </w:t>
      </w:r>
      <w:r>
        <w:rPr>
          <w:sz w:val="22"/>
          <w:szCs w:val="22"/>
        </w:rPr>
        <w:t>én injeksjon.</w:t>
      </w:r>
    </w:p>
    <w:p w14:paraId="3D662534" w14:textId="77777777" w:rsidR="00DC02A6" w:rsidRPr="00887835" w:rsidRDefault="00DC02A6" w:rsidP="00887835">
      <w:pPr>
        <w:pStyle w:val="ListParagraph"/>
        <w:rPr>
          <w:sz w:val="22"/>
          <w:szCs w:val="22"/>
        </w:rPr>
      </w:pPr>
    </w:p>
    <w:p w14:paraId="12AE0E3D" w14:textId="77777777" w:rsidR="00DC02A6" w:rsidRPr="00887835" w:rsidRDefault="00E453CD" w:rsidP="00DC02A6">
      <w:pPr>
        <w:pStyle w:val="EMEANormal"/>
        <w:keepNext/>
        <w:rPr>
          <w:b/>
          <w:lang w:val="nb-NO"/>
        </w:rPr>
      </w:pPr>
      <w:r w:rsidRPr="00887835">
        <w:rPr>
          <w:b/>
          <w:lang w:val="nb-NO"/>
        </w:rPr>
        <w:lastRenderedPageBreak/>
        <w:t>Humira ferdigfylt penn</w:t>
      </w:r>
    </w:p>
    <w:p w14:paraId="3A65058A" w14:textId="77777777" w:rsidR="00DC02A6" w:rsidRPr="00887835" w:rsidRDefault="00DC02A6" w:rsidP="00DC02A6">
      <w:pPr>
        <w:pStyle w:val="EMEANormal"/>
        <w:keepNext/>
        <w:rPr>
          <w:lang w:val="nb-NO"/>
        </w:rPr>
      </w:pPr>
    </w:p>
    <w:p w14:paraId="50924EA2" w14:textId="77777777" w:rsidR="00DC02A6" w:rsidRDefault="00E453CD" w:rsidP="00475A28">
      <w:pPr>
        <w:rPr>
          <w:b/>
        </w:rPr>
      </w:pPr>
      <w:r w:rsidRPr="00887835">
        <w:rPr>
          <w:b/>
        </w:rPr>
        <w:t xml:space="preserve">   </w:t>
      </w:r>
      <w:r w:rsidR="00E152DF" w:rsidRPr="00887835">
        <w:rPr>
          <w:b/>
        </w:rPr>
        <w:t>Grå</w:t>
      </w:r>
      <w:r w:rsidRPr="00887835">
        <w:rPr>
          <w:b/>
        </w:rPr>
        <w:t xml:space="preserve"> </w:t>
      </w:r>
      <w:r w:rsidR="00E152DF" w:rsidRPr="00887835">
        <w:rPr>
          <w:b/>
        </w:rPr>
        <w:t>hette</w:t>
      </w:r>
      <w:r w:rsidRPr="00887835">
        <w:rPr>
          <w:b/>
        </w:rPr>
        <w:t xml:space="preserve"> 1     </w:t>
      </w:r>
      <w:r w:rsidR="00E152DF" w:rsidRPr="00887835">
        <w:rPr>
          <w:b/>
        </w:rPr>
        <w:t>Hv</w:t>
      </w:r>
      <w:r w:rsidRPr="00887835">
        <w:rPr>
          <w:b/>
        </w:rPr>
        <w:t xml:space="preserve">it </w:t>
      </w:r>
      <w:r w:rsidR="008138BF">
        <w:rPr>
          <w:b/>
        </w:rPr>
        <w:t>kanyle</w:t>
      </w:r>
      <w:r w:rsidR="008B4DFA">
        <w:rPr>
          <w:b/>
        </w:rPr>
        <w:t>beskyttelse</w:t>
      </w:r>
      <w:r w:rsidRPr="00887835">
        <w:rPr>
          <w:b/>
        </w:rPr>
        <w:t xml:space="preserve">      </w:t>
      </w:r>
      <w:r w:rsidR="00E152DF" w:rsidRPr="00887835">
        <w:rPr>
          <w:b/>
        </w:rPr>
        <w:t>Hvit</w:t>
      </w:r>
      <w:r w:rsidRPr="00887835">
        <w:rPr>
          <w:b/>
        </w:rPr>
        <w:t xml:space="preserve"> </w:t>
      </w:r>
      <w:r w:rsidR="00E152DF" w:rsidRPr="00887835">
        <w:rPr>
          <w:b/>
        </w:rPr>
        <w:t>pil</w:t>
      </w:r>
      <w:r w:rsidRPr="00887835">
        <w:rPr>
          <w:b/>
        </w:rPr>
        <w:t xml:space="preserve">                       </w:t>
      </w:r>
      <w:r w:rsidR="008B4DFA">
        <w:rPr>
          <w:b/>
        </w:rPr>
        <w:tab/>
      </w:r>
      <w:r w:rsidR="00E152DF" w:rsidRPr="00887835">
        <w:rPr>
          <w:b/>
        </w:rPr>
        <w:t>Plommefarget</w:t>
      </w:r>
      <w:r w:rsidRPr="00887835">
        <w:rPr>
          <w:b/>
        </w:rPr>
        <w:t xml:space="preserve"> </w:t>
      </w:r>
      <w:r w:rsidR="00E152DF">
        <w:rPr>
          <w:b/>
        </w:rPr>
        <w:t>hette</w:t>
      </w:r>
      <w:r w:rsidRPr="00887835">
        <w:rPr>
          <w:b/>
        </w:rPr>
        <w:t xml:space="preserve"> 2</w:t>
      </w:r>
    </w:p>
    <w:p w14:paraId="17DF6BFB" w14:textId="77777777" w:rsidR="00E152DF" w:rsidRDefault="00E453CD" w:rsidP="00475A28">
      <w:pPr>
        <w:rPr>
          <w:sz w:val="22"/>
          <w:szCs w:val="22"/>
        </w:rPr>
      </w:pPr>
      <w:r>
        <w:rPr>
          <w:noProof/>
          <w:lang w:val="en-GB" w:eastAsia="en-GB"/>
        </w:rPr>
        <w:drawing>
          <wp:inline distT="0" distB="0" distL="0" distR="0" wp14:anchorId="769ED791" wp14:editId="46C0C9BD">
            <wp:extent cx="5756275" cy="1406468"/>
            <wp:effectExtent l="0" t="0" r="0" b="3810"/>
            <wp:docPr id="62" name="Picture 62"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HUMIRAPEN_gre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756275" cy="1406468"/>
                    </a:xfrm>
                    <a:prstGeom prst="rect">
                      <a:avLst/>
                    </a:prstGeom>
                    <a:noFill/>
                    <a:ln>
                      <a:noFill/>
                    </a:ln>
                  </pic:spPr>
                </pic:pic>
              </a:graphicData>
            </a:graphic>
          </wp:inline>
        </w:drawing>
      </w:r>
    </w:p>
    <w:p w14:paraId="713E2877" w14:textId="77777777" w:rsidR="00E152DF" w:rsidRPr="00887835" w:rsidRDefault="00E453CD" w:rsidP="00E152DF">
      <w:pPr>
        <w:pStyle w:val="EMEANormal"/>
        <w:rPr>
          <w:b/>
          <w:lang w:val="nb-NO"/>
        </w:rPr>
      </w:pPr>
      <w:r w:rsidRPr="00887835">
        <w:rPr>
          <w:b/>
          <w:lang w:val="nb-NO"/>
        </w:rPr>
        <w:t xml:space="preserve">                              </w:t>
      </w:r>
      <w:r w:rsidR="008138BF">
        <w:rPr>
          <w:b/>
          <w:lang w:val="nb-NO"/>
        </w:rPr>
        <w:t>Kanyle</w:t>
      </w:r>
      <w:r w:rsidRPr="00887835">
        <w:rPr>
          <w:b/>
          <w:lang w:val="nb-NO"/>
        </w:rPr>
        <w:t xml:space="preserve">           In</w:t>
      </w:r>
      <w:r w:rsidR="008B4DFA" w:rsidRPr="00887835">
        <w:rPr>
          <w:b/>
          <w:lang w:val="nb-NO"/>
        </w:rPr>
        <w:t>speksjonsvindu</w:t>
      </w:r>
      <w:r w:rsidRPr="00887835">
        <w:rPr>
          <w:b/>
          <w:lang w:val="nb-NO"/>
        </w:rPr>
        <w:t xml:space="preserve">                    Pl</w:t>
      </w:r>
      <w:r w:rsidR="008B4DFA" w:rsidRPr="00887835">
        <w:rPr>
          <w:b/>
          <w:lang w:val="nb-NO"/>
        </w:rPr>
        <w:t>ommefarget aktiveringsknapp</w:t>
      </w:r>
    </w:p>
    <w:p w14:paraId="78A3447B" w14:textId="77777777" w:rsidR="00E2461F" w:rsidRPr="00126088" w:rsidRDefault="00E2461F" w:rsidP="004B74D3">
      <w:pPr>
        <w:rPr>
          <w:sz w:val="22"/>
        </w:rPr>
      </w:pPr>
    </w:p>
    <w:p w14:paraId="2A870837" w14:textId="77777777" w:rsidR="00475A28" w:rsidRDefault="00E453CD" w:rsidP="00D00F56">
      <w:pPr>
        <w:pStyle w:val="EMEAHeadingLeaflet"/>
        <w:keepNext/>
        <w:spacing w:beforeLines="0" w:before="0" w:afterLines="0" w:after="0"/>
        <w:rPr>
          <w:rFonts w:ascii="Times New Roman" w:hAnsi="Times New Roman"/>
          <w:lang w:val="nb-NO"/>
        </w:rPr>
      </w:pPr>
      <w:r w:rsidRPr="004B74D3">
        <w:rPr>
          <w:rFonts w:ascii="Times New Roman" w:hAnsi="Times New Roman"/>
          <w:lang w:val="nb-NO"/>
        </w:rPr>
        <w:t xml:space="preserve">Ikke </w:t>
      </w:r>
      <w:r w:rsidRPr="00887835">
        <w:rPr>
          <w:rFonts w:ascii="Times New Roman" w:hAnsi="Times New Roman"/>
          <w:lang w:val="nb-NO"/>
        </w:rPr>
        <w:t xml:space="preserve">bruk den ferdigfylte pennen og ring legen din eller </w:t>
      </w:r>
      <w:r w:rsidR="00E23921">
        <w:rPr>
          <w:rFonts w:ascii="Times New Roman" w:hAnsi="Times New Roman"/>
          <w:lang w:val="nb-NO"/>
        </w:rPr>
        <w:t>apotek</w:t>
      </w:r>
      <w:r w:rsidRPr="00887835">
        <w:rPr>
          <w:rFonts w:ascii="Times New Roman" w:hAnsi="Times New Roman"/>
          <w:lang w:val="nb-NO"/>
        </w:rPr>
        <w:t xml:space="preserve"> dersom</w:t>
      </w:r>
    </w:p>
    <w:p w14:paraId="1952DE41" w14:textId="77777777" w:rsidR="00D00F56" w:rsidRPr="00D00F56" w:rsidRDefault="00D00F56" w:rsidP="00776A84">
      <w:pPr>
        <w:pStyle w:val="EMEANormal"/>
        <w:keepNext/>
        <w:rPr>
          <w:lang w:val="nb-NO"/>
        </w:rPr>
      </w:pPr>
    </w:p>
    <w:p w14:paraId="1B2526E7" w14:textId="77777777" w:rsidR="00475A28" w:rsidRPr="00887835" w:rsidRDefault="00E453CD" w:rsidP="00475A28">
      <w:pPr>
        <w:pStyle w:val="EMEAHeadingLeaflet"/>
        <w:keepNext/>
        <w:numPr>
          <w:ilvl w:val="0"/>
          <w:numId w:val="123"/>
        </w:numPr>
        <w:tabs>
          <w:tab w:val="clear" w:pos="562"/>
          <w:tab w:val="left" w:pos="720"/>
        </w:tabs>
        <w:spacing w:beforeLines="0" w:before="0" w:afterLines="0" w:after="0"/>
        <w:rPr>
          <w:rFonts w:ascii="Times New Roman" w:hAnsi="Times New Roman"/>
          <w:b w:val="0"/>
          <w:lang w:val="nb-NO"/>
        </w:rPr>
      </w:pPr>
      <w:r w:rsidRPr="00475A28">
        <w:rPr>
          <w:rFonts w:ascii="Times New Roman" w:hAnsi="Times New Roman"/>
          <w:b w:val="0"/>
          <w:lang w:val="nb-NO"/>
        </w:rPr>
        <w:t xml:space="preserve">oppløsningen er </w:t>
      </w:r>
      <w:r w:rsidRPr="00887835">
        <w:rPr>
          <w:rFonts w:ascii="Times New Roman" w:hAnsi="Times New Roman"/>
          <w:b w:val="0"/>
          <w:lang w:val="nb-NO"/>
        </w:rPr>
        <w:t>uklar, misfarget eller har flak eller parti</w:t>
      </w:r>
      <w:r>
        <w:rPr>
          <w:rFonts w:ascii="Times New Roman" w:hAnsi="Times New Roman"/>
          <w:b w:val="0"/>
          <w:lang w:val="nb-NO"/>
        </w:rPr>
        <w:t>k</w:t>
      </w:r>
      <w:r w:rsidRPr="00887835">
        <w:rPr>
          <w:rFonts w:ascii="Times New Roman" w:hAnsi="Times New Roman"/>
          <w:b w:val="0"/>
          <w:lang w:val="nb-NO"/>
        </w:rPr>
        <w:t>le</w:t>
      </w:r>
      <w:r>
        <w:rPr>
          <w:rFonts w:ascii="Times New Roman" w:hAnsi="Times New Roman"/>
          <w:b w:val="0"/>
          <w:lang w:val="nb-NO"/>
        </w:rPr>
        <w:t>r</w:t>
      </w:r>
      <w:r w:rsidRPr="00887835">
        <w:rPr>
          <w:rFonts w:ascii="Times New Roman" w:hAnsi="Times New Roman"/>
          <w:b w:val="0"/>
          <w:lang w:val="nb-NO"/>
        </w:rPr>
        <w:t xml:space="preserve"> i </w:t>
      </w:r>
      <w:r>
        <w:rPr>
          <w:rFonts w:ascii="Times New Roman" w:hAnsi="Times New Roman"/>
          <w:b w:val="0"/>
          <w:lang w:val="nb-NO"/>
        </w:rPr>
        <w:t>seg</w:t>
      </w:r>
    </w:p>
    <w:p w14:paraId="7B5223BC" w14:textId="77777777" w:rsidR="00475A28" w:rsidRPr="009B050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en-GB"/>
        </w:rPr>
      </w:pPr>
      <w:r>
        <w:rPr>
          <w:rFonts w:ascii="Times New Roman" w:hAnsi="Times New Roman"/>
          <w:b w:val="0"/>
          <w:lang w:val="en-GB"/>
        </w:rPr>
        <w:t xml:space="preserve">utløpsdato (EXP) </w:t>
      </w:r>
      <w:r w:rsidRPr="009B0508">
        <w:rPr>
          <w:rFonts w:ascii="Times New Roman" w:hAnsi="Times New Roman"/>
          <w:b w:val="0"/>
          <w:lang w:val="en-GB"/>
        </w:rPr>
        <w:t>ha</w:t>
      </w:r>
      <w:r>
        <w:rPr>
          <w:rFonts w:ascii="Times New Roman" w:hAnsi="Times New Roman"/>
          <w:b w:val="0"/>
          <w:lang w:val="en-GB"/>
        </w:rPr>
        <w:t>r passert</w:t>
      </w:r>
    </w:p>
    <w:p w14:paraId="1931EFDD" w14:textId="77777777" w:rsidR="00475A2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sidRPr="00887835">
        <w:rPr>
          <w:rFonts w:ascii="Times New Roman" w:hAnsi="Times New Roman"/>
          <w:b w:val="0"/>
          <w:lang w:val="nb-NO"/>
        </w:rPr>
        <w:t>oppløsningen har vært fro</w:t>
      </w:r>
      <w:r>
        <w:rPr>
          <w:rFonts w:ascii="Times New Roman" w:hAnsi="Times New Roman"/>
          <w:b w:val="0"/>
          <w:lang w:val="nb-NO"/>
        </w:rPr>
        <w:t>sset</w:t>
      </w:r>
      <w:r w:rsidRPr="00887835">
        <w:rPr>
          <w:rFonts w:ascii="Times New Roman" w:hAnsi="Times New Roman"/>
          <w:b w:val="0"/>
          <w:lang w:val="nb-NO"/>
        </w:rPr>
        <w:t xml:space="preserve"> eller har vært oppbevart i direkte sollys</w:t>
      </w:r>
    </w:p>
    <w:p w14:paraId="2BCBC1D6" w14:textId="77777777" w:rsidR="00475A2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Pr>
          <w:rFonts w:ascii="Times New Roman" w:hAnsi="Times New Roman"/>
          <w:b w:val="0"/>
          <w:lang w:val="nb-NO"/>
        </w:rPr>
        <w:t>den ferdigfylte pennen har falt på</w:t>
      </w:r>
      <w:r w:rsidRPr="00887835">
        <w:rPr>
          <w:rFonts w:ascii="Times New Roman" w:hAnsi="Times New Roman"/>
          <w:b w:val="0"/>
          <w:lang w:val="nb-NO"/>
        </w:rPr>
        <w:t xml:space="preserve"> gulvet eller </w:t>
      </w:r>
      <w:r>
        <w:rPr>
          <w:rFonts w:ascii="Times New Roman" w:hAnsi="Times New Roman"/>
          <w:b w:val="0"/>
          <w:lang w:val="nb-NO"/>
        </w:rPr>
        <w:t xml:space="preserve">har </w:t>
      </w:r>
      <w:r w:rsidRPr="00887835">
        <w:rPr>
          <w:rFonts w:ascii="Times New Roman" w:hAnsi="Times New Roman"/>
          <w:b w:val="0"/>
          <w:lang w:val="nb-NO"/>
        </w:rPr>
        <w:t>knust</w:t>
      </w:r>
    </w:p>
    <w:p w14:paraId="42D7EC55" w14:textId="77777777" w:rsidR="00521E94" w:rsidRDefault="00521E94" w:rsidP="009C5EFD">
      <w:pPr>
        <w:pStyle w:val="EMEANormal"/>
        <w:rPr>
          <w:szCs w:val="22"/>
          <w:lang w:val="nb-NO"/>
        </w:rPr>
      </w:pPr>
    </w:p>
    <w:p w14:paraId="70925E8E" w14:textId="77777777" w:rsidR="00475A28" w:rsidRPr="0061743D" w:rsidRDefault="00E453CD" w:rsidP="00887835">
      <w:pPr>
        <w:pStyle w:val="EMEANormal"/>
        <w:rPr>
          <w:b/>
          <w:lang w:val="nb-NO"/>
        </w:rPr>
      </w:pPr>
      <w:r w:rsidRPr="004B74D3">
        <w:rPr>
          <w:b/>
          <w:lang w:val="nb-NO"/>
        </w:rPr>
        <w:t>Ikke</w:t>
      </w:r>
      <w:r w:rsidRPr="00887835">
        <w:rPr>
          <w:b/>
          <w:lang w:val="nb-NO"/>
        </w:rPr>
        <w:t xml:space="preserve"> fjern hettene f</w:t>
      </w:r>
      <w:r w:rsidRPr="00887835">
        <w:rPr>
          <w:rFonts w:hint="eastAsia"/>
          <w:b/>
          <w:lang w:val="nb-NO"/>
        </w:rPr>
        <w:t>ø</w:t>
      </w:r>
      <w:r w:rsidRPr="00887835">
        <w:rPr>
          <w:b/>
          <w:lang w:val="nb-NO"/>
        </w:rPr>
        <w:t>r rett f</w:t>
      </w:r>
      <w:r w:rsidRPr="00887835">
        <w:rPr>
          <w:rFonts w:hint="eastAsia"/>
          <w:b/>
          <w:lang w:val="nb-NO"/>
        </w:rPr>
        <w:t>ø</w:t>
      </w:r>
      <w:r w:rsidRPr="00887835">
        <w:rPr>
          <w:b/>
          <w:lang w:val="nb-NO"/>
        </w:rPr>
        <w:t xml:space="preserve">r du skal </w:t>
      </w:r>
      <w:r w:rsidR="0049782F" w:rsidRPr="00887835">
        <w:rPr>
          <w:b/>
          <w:lang w:val="nb-NO"/>
        </w:rPr>
        <w:t>sette en injeksjon</w:t>
      </w:r>
      <w:r w:rsidRPr="00887835">
        <w:rPr>
          <w:b/>
          <w:lang w:val="nb-NO"/>
        </w:rPr>
        <w:t xml:space="preserve">. </w:t>
      </w:r>
      <w:r w:rsidR="0049782F" w:rsidRPr="0061743D">
        <w:rPr>
          <w:b/>
          <w:lang w:val="nb-NO"/>
        </w:rPr>
        <w:t>Oppbevar</w:t>
      </w:r>
      <w:r w:rsidR="00B36CC1">
        <w:rPr>
          <w:b/>
          <w:lang w:val="nb-NO"/>
        </w:rPr>
        <w:t xml:space="preserve"> Humira</w:t>
      </w:r>
      <w:r w:rsidR="0049782F" w:rsidRPr="0061743D">
        <w:rPr>
          <w:b/>
          <w:lang w:val="nb-NO"/>
        </w:rPr>
        <w:t xml:space="preserve"> utilgjengelig for barn</w:t>
      </w:r>
      <w:r w:rsidRPr="0061743D">
        <w:rPr>
          <w:b/>
          <w:lang w:val="nb-NO"/>
        </w:rPr>
        <w:t>.</w:t>
      </w:r>
    </w:p>
    <w:p w14:paraId="3A425A15" w14:textId="77777777" w:rsidR="00E152DF" w:rsidRPr="0061743D" w:rsidRDefault="00E152DF">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4644D4" w14:paraId="441CCF47" w14:textId="77777777" w:rsidTr="0061743D">
        <w:tc>
          <w:tcPr>
            <w:tcW w:w="9287" w:type="dxa"/>
            <w:gridSpan w:val="2"/>
            <w:tcBorders>
              <w:bottom w:val="single" w:sz="4" w:space="0" w:color="auto"/>
            </w:tcBorders>
          </w:tcPr>
          <w:p w14:paraId="1E86B212" w14:textId="77777777" w:rsidR="00E152DF" w:rsidRPr="00887835" w:rsidRDefault="00E453CD" w:rsidP="00D00F56">
            <w:pPr>
              <w:pStyle w:val="EMEAHeadingLeaflet"/>
              <w:spacing w:beforeLines="0" w:before="0" w:afterLines="0" w:after="0"/>
              <w:rPr>
                <w:rFonts w:ascii="Times New Roman" w:hAnsi="Times New Roman"/>
                <w:lang w:val="nb-NO"/>
              </w:rPr>
            </w:pPr>
            <w:r w:rsidRPr="00887835">
              <w:rPr>
                <w:rFonts w:ascii="Times New Roman" w:hAnsi="Times New Roman"/>
                <w:lang w:val="nb-NO"/>
              </w:rPr>
              <w:t>STEG 1</w:t>
            </w:r>
          </w:p>
          <w:p w14:paraId="306A193B" w14:textId="77777777" w:rsidR="00E152DF" w:rsidRPr="00887835" w:rsidRDefault="00E152DF" w:rsidP="00D00F56">
            <w:pPr>
              <w:pStyle w:val="EMEANormal"/>
              <w:rPr>
                <w:lang w:val="nb-NO"/>
              </w:rPr>
            </w:pPr>
          </w:p>
          <w:p w14:paraId="7156CB37" w14:textId="77777777" w:rsidR="00E152DF" w:rsidRPr="00887835" w:rsidRDefault="00E453CD" w:rsidP="00D00F5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Ta Humira ut av kjøleskapet.</w:t>
            </w:r>
          </w:p>
          <w:p w14:paraId="29BEF491" w14:textId="77777777" w:rsidR="00E152DF" w:rsidRPr="00887835" w:rsidRDefault="00E152DF" w:rsidP="00D00F56">
            <w:pPr>
              <w:pStyle w:val="EMEANormal"/>
              <w:rPr>
                <w:lang w:val="nb-NO"/>
              </w:rPr>
            </w:pPr>
          </w:p>
          <w:p w14:paraId="1DB9349F" w14:textId="77777777" w:rsidR="00E152DF" w:rsidRPr="00887835" w:rsidRDefault="00E453CD" w:rsidP="00D00F5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La Humira ligge ved romtemperatur </w:t>
            </w:r>
            <w:r>
              <w:rPr>
                <w:rFonts w:ascii="Times New Roman" w:hAnsi="Times New Roman"/>
                <w:b w:val="0"/>
                <w:lang w:val="nb-NO"/>
              </w:rPr>
              <w:t>i</w:t>
            </w:r>
            <w:r w:rsidRPr="00887835">
              <w:rPr>
                <w:rFonts w:ascii="Times New Roman" w:hAnsi="Times New Roman"/>
                <w:b w:val="0"/>
                <w:lang w:val="nb-NO"/>
              </w:rPr>
              <w:t xml:space="preserve"> </w:t>
            </w:r>
            <w:r>
              <w:rPr>
                <w:rFonts w:ascii="Times New Roman" w:hAnsi="Times New Roman"/>
                <w:lang w:val="nb-NO"/>
              </w:rPr>
              <w:t>15 til 30 minutter</w:t>
            </w:r>
            <w:r w:rsidRPr="00887835">
              <w:rPr>
                <w:rFonts w:ascii="Times New Roman" w:hAnsi="Times New Roman"/>
                <w:lang w:val="nb-NO"/>
              </w:rPr>
              <w:t xml:space="preserve"> </w:t>
            </w:r>
            <w:r>
              <w:rPr>
                <w:rFonts w:ascii="Times New Roman" w:hAnsi="Times New Roman"/>
                <w:b w:val="0"/>
                <w:lang w:val="nb-NO"/>
              </w:rPr>
              <w:t>før du setter injeksjonen</w:t>
            </w:r>
            <w:r w:rsidRPr="00887835">
              <w:rPr>
                <w:rFonts w:ascii="Times New Roman" w:hAnsi="Times New Roman"/>
                <w:b w:val="0"/>
                <w:lang w:val="nb-NO"/>
              </w:rPr>
              <w:t>.</w:t>
            </w:r>
          </w:p>
          <w:p w14:paraId="65247859" w14:textId="77777777" w:rsidR="00E152DF" w:rsidRPr="00887835" w:rsidRDefault="00E152DF" w:rsidP="00D00F56">
            <w:pPr>
              <w:pStyle w:val="EMEANormal"/>
              <w:rPr>
                <w:lang w:val="nb-NO"/>
              </w:rPr>
            </w:pPr>
          </w:p>
          <w:p w14:paraId="4329DE33" w14:textId="77777777" w:rsidR="00E152DF" w:rsidRPr="00887835" w:rsidRDefault="00E453CD" w:rsidP="00D00F56">
            <w:pPr>
              <w:pStyle w:val="EMEAHeadingLeaflet"/>
              <w:numPr>
                <w:ilvl w:val="0"/>
                <w:numId w:val="114"/>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 xml:space="preserve">Ikke </w:t>
            </w:r>
            <w:r w:rsidRPr="00887835">
              <w:rPr>
                <w:rFonts w:ascii="Times New Roman" w:hAnsi="Times New Roman"/>
                <w:b w:val="0"/>
                <w:lang w:val="nb-NO"/>
              </w:rPr>
              <w:t xml:space="preserve">fjern den grå eller plommefargede hetten mens du tillater Humira </w:t>
            </w:r>
            <w:r>
              <w:rPr>
                <w:rFonts w:ascii="Times New Roman" w:hAnsi="Times New Roman"/>
                <w:b w:val="0"/>
                <w:lang w:val="nb-NO"/>
              </w:rPr>
              <w:t xml:space="preserve">å oppnå </w:t>
            </w:r>
            <w:r w:rsidRPr="00887835">
              <w:rPr>
                <w:rFonts w:ascii="Times New Roman" w:hAnsi="Times New Roman"/>
                <w:b w:val="0"/>
                <w:lang w:val="nb-NO"/>
              </w:rPr>
              <w:t>romtemperatur</w:t>
            </w:r>
          </w:p>
          <w:p w14:paraId="383E2BA3" w14:textId="77777777" w:rsidR="00E152DF" w:rsidRPr="00887835" w:rsidRDefault="00E453CD" w:rsidP="00D00F56">
            <w:pPr>
              <w:pStyle w:val="EMEANormal"/>
              <w:numPr>
                <w:ilvl w:val="0"/>
                <w:numId w:val="114"/>
              </w:numPr>
              <w:tabs>
                <w:tab w:val="clear" w:pos="562"/>
                <w:tab w:val="left" w:pos="720"/>
              </w:tabs>
              <w:rPr>
                <w:lang w:val="nb-NO"/>
              </w:rPr>
            </w:pPr>
            <w:r w:rsidRPr="00887835">
              <w:rPr>
                <w:b/>
                <w:lang w:val="nb-NO"/>
              </w:rPr>
              <w:t xml:space="preserve">Ikke </w:t>
            </w:r>
            <w:r w:rsidRPr="00887835">
              <w:rPr>
                <w:lang w:val="nb-NO"/>
              </w:rPr>
              <w:t xml:space="preserve">varm opp Humira på noen annen måte. </w:t>
            </w:r>
            <w:r w:rsidR="001A1AC5">
              <w:rPr>
                <w:lang w:val="nb-NO"/>
              </w:rPr>
              <w:t>F.eks.</w:t>
            </w:r>
            <w:r w:rsidRPr="00887835">
              <w:rPr>
                <w:lang w:val="nb-NO"/>
              </w:rPr>
              <w:t xml:space="preserve"> </w:t>
            </w:r>
            <w:r w:rsidRPr="00887835">
              <w:rPr>
                <w:b/>
                <w:lang w:val="nb-NO"/>
              </w:rPr>
              <w:t>ikke</w:t>
            </w:r>
            <w:r w:rsidRPr="00887835">
              <w:rPr>
                <w:lang w:val="nb-NO"/>
              </w:rPr>
              <w:t xml:space="preserve"> varm den opp i en mikrobølgeovn </w:t>
            </w:r>
            <w:r w:rsidR="00CF76C7">
              <w:rPr>
                <w:lang w:val="nb-NO"/>
              </w:rPr>
              <w:t>eller i varmt vann</w:t>
            </w:r>
          </w:p>
        </w:tc>
      </w:tr>
      <w:tr w:rsidR="004644D4" w14:paraId="628D5C30" w14:textId="77777777" w:rsidTr="0061743D">
        <w:tc>
          <w:tcPr>
            <w:tcW w:w="3708" w:type="dxa"/>
            <w:tcBorders>
              <w:right w:val="nil"/>
            </w:tcBorders>
          </w:tcPr>
          <w:p w14:paraId="2048A013" w14:textId="77777777" w:rsidR="00E152DF" w:rsidRDefault="00E453CD" w:rsidP="003764A0">
            <w:pPr>
              <w:pStyle w:val="EMEANormal"/>
              <w:rPr>
                <w:b/>
                <w:noProof/>
              </w:rPr>
            </w:pPr>
            <w:r w:rsidRPr="00452439">
              <w:rPr>
                <w:lang w:val="nb-NO"/>
              </w:rPr>
              <w:br w:type="page"/>
            </w:r>
            <w:r w:rsidR="00CF76C7">
              <w:rPr>
                <w:b/>
                <w:noProof/>
              </w:rPr>
              <w:t>STEG</w:t>
            </w:r>
            <w:r w:rsidRPr="004F7834">
              <w:rPr>
                <w:b/>
                <w:noProof/>
              </w:rPr>
              <w:t xml:space="preserve"> 2 </w:t>
            </w:r>
          </w:p>
          <w:p w14:paraId="1D31C51B" w14:textId="77777777" w:rsidR="00E152DF" w:rsidRPr="004F7834" w:rsidRDefault="00E152DF" w:rsidP="003764A0">
            <w:pPr>
              <w:pStyle w:val="EMEANormal"/>
              <w:rPr>
                <w:b/>
                <w:noProof/>
              </w:rPr>
            </w:pPr>
          </w:p>
          <w:p w14:paraId="19636C3C" w14:textId="77777777" w:rsidR="00E152DF" w:rsidRPr="00EA39A4" w:rsidRDefault="00E453CD" w:rsidP="003764A0">
            <w:pPr>
              <w:pStyle w:val="EMEANormal"/>
              <w:rPr>
                <w:b/>
                <w:noProof/>
              </w:rPr>
            </w:pPr>
            <w:r>
              <w:rPr>
                <w:noProof/>
              </w:rPr>
              <w:t xml:space="preserve">               </w:t>
            </w:r>
            <w:r w:rsidRPr="00EA39A4">
              <w:rPr>
                <w:b/>
                <w:noProof/>
              </w:rPr>
              <w:t>Pen</w:t>
            </w:r>
            <w:r w:rsidR="00CF76C7">
              <w:rPr>
                <w:b/>
                <w:noProof/>
              </w:rPr>
              <w:t>n</w:t>
            </w:r>
          </w:p>
          <w:p w14:paraId="163C01F5" w14:textId="77777777" w:rsidR="00E152DF" w:rsidRDefault="00E453CD" w:rsidP="003764A0">
            <w:pPr>
              <w:pStyle w:val="EMEANormal"/>
              <w:rPr>
                <w:noProof/>
              </w:rPr>
            </w:pPr>
            <w:r>
              <w:rPr>
                <w:noProof/>
                <w:lang w:val="en-GB" w:eastAsia="en-GB"/>
              </w:rPr>
              <w:drawing>
                <wp:inline distT="0" distB="0" distL="0" distR="0" wp14:anchorId="6D083F6F" wp14:editId="7076751D">
                  <wp:extent cx="2162175" cy="2286000"/>
                  <wp:effectExtent l="0" t="0" r="9525" b="0"/>
                  <wp:docPr id="63" name="Picture 63"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0" descr="STEP2_gre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14:paraId="1723C469" w14:textId="77777777" w:rsidR="00E152DF" w:rsidRPr="00EA39A4" w:rsidRDefault="00E453CD" w:rsidP="003764A0">
            <w:pPr>
              <w:pStyle w:val="EMEANormal"/>
              <w:rPr>
                <w:b/>
                <w:lang w:val="en-GB"/>
              </w:rPr>
            </w:pPr>
            <w:r w:rsidRPr="00EA39A4">
              <w:rPr>
                <w:b/>
                <w:noProof/>
              </w:rPr>
              <w:t xml:space="preserve">                </w:t>
            </w:r>
            <w:r w:rsidR="00CF76C7">
              <w:rPr>
                <w:b/>
                <w:noProof/>
              </w:rPr>
              <w:t>Injeksjonstørk</w:t>
            </w:r>
          </w:p>
        </w:tc>
        <w:tc>
          <w:tcPr>
            <w:tcW w:w="5579" w:type="dxa"/>
            <w:tcBorders>
              <w:left w:val="nil"/>
            </w:tcBorders>
          </w:tcPr>
          <w:p w14:paraId="5232B0A8" w14:textId="77777777" w:rsidR="00E152DF" w:rsidRPr="00887835" w:rsidRDefault="00E152DF" w:rsidP="003764A0">
            <w:pPr>
              <w:pStyle w:val="EMEAHeadingLeaflet"/>
              <w:spacing w:beforeLines="0" w:before="0" w:afterLines="0" w:after="0"/>
              <w:rPr>
                <w:rFonts w:ascii="Times New Roman" w:hAnsi="Times New Roman"/>
                <w:b w:val="0"/>
                <w:lang w:val="nb-NO"/>
              </w:rPr>
            </w:pPr>
          </w:p>
          <w:p w14:paraId="7DB005ED" w14:textId="77777777" w:rsidR="00E152DF" w:rsidRPr="00887835" w:rsidRDefault="00E453CD" w:rsidP="003764A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Sjekk utløpsdatoen (EXP). </w:t>
            </w:r>
            <w:r w:rsidRPr="00887835">
              <w:rPr>
                <w:rFonts w:ascii="Times New Roman" w:hAnsi="Times New Roman"/>
                <w:lang w:val="nb-NO"/>
              </w:rPr>
              <w:t>Ikke</w:t>
            </w:r>
            <w:r w:rsidRPr="00887835">
              <w:rPr>
                <w:rFonts w:ascii="Times New Roman" w:hAnsi="Times New Roman"/>
                <w:b w:val="0"/>
                <w:lang w:val="nb-NO"/>
              </w:rPr>
              <w:t xml:space="preserve"> bruk den ferdigfylte pennen dersom utløpsdatoen (EXP) </w:t>
            </w:r>
            <w:r>
              <w:rPr>
                <w:rFonts w:ascii="Times New Roman" w:hAnsi="Times New Roman"/>
                <w:b w:val="0"/>
                <w:lang w:val="nb-NO"/>
              </w:rPr>
              <w:t>har</w:t>
            </w:r>
            <w:r w:rsidRPr="00887835">
              <w:rPr>
                <w:rFonts w:ascii="Times New Roman" w:hAnsi="Times New Roman"/>
                <w:b w:val="0"/>
                <w:lang w:val="nb-NO"/>
              </w:rPr>
              <w:t xml:space="preserve"> passe</w:t>
            </w:r>
            <w:r>
              <w:rPr>
                <w:rFonts w:ascii="Times New Roman" w:hAnsi="Times New Roman"/>
                <w:b w:val="0"/>
                <w:lang w:val="nb-NO"/>
              </w:rPr>
              <w:t>rt</w:t>
            </w:r>
            <w:r w:rsidRPr="00887835">
              <w:rPr>
                <w:rFonts w:ascii="Times New Roman" w:hAnsi="Times New Roman"/>
                <w:b w:val="0"/>
                <w:lang w:val="nb-NO"/>
              </w:rPr>
              <w:t>.</w:t>
            </w:r>
          </w:p>
          <w:p w14:paraId="64E060B0" w14:textId="77777777" w:rsidR="00E152DF" w:rsidRPr="00887835" w:rsidRDefault="00E152DF" w:rsidP="003764A0">
            <w:pPr>
              <w:pStyle w:val="EMEANormal"/>
              <w:rPr>
                <w:lang w:val="nb-NO"/>
              </w:rPr>
            </w:pPr>
          </w:p>
          <w:p w14:paraId="0EEA2911" w14:textId="77777777" w:rsidR="00E152DF" w:rsidRPr="00887835" w:rsidRDefault="00E453CD" w:rsidP="003764A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Legg følgende </w:t>
            </w:r>
            <w:r>
              <w:rPr>
                <w:rFonts w:ascii="Times New Roman" w:hAnsi="Times New Roman"/>
                <w:b w:val="0"/>
                <w:lang w:val="nb-NO"/>
              </w:rPr>
              <w:t xml:space="preserve">deler </w:t>
            </w:r>
            <w:r w:rsidRPr="00887835">
              <w:rPr>
                <w:rFonts w:ascii="Times New Roman" w:hAnsi="Times New Roman"/>
                <w:b w:val="0"/>
                <w:lang w:val="nb-NO"/>
              </w:rPr>
              <w:t xml:space="preserve">på en ren, flat </w:t>
            </w:r>
            <w:r>
              <w:rPr>
                <w:rFonts w:ascii="Times New Roman" w:hAnsi="Times New Roman"/>
                <w:b w:val="0"/>
                <w:lang w:val="nb-NO"/>
              </w:rPr>
              <w:t>overflate</w:t>
            </w:r>
          </w:p>
          <w:p w14:paraId="48361E95" w14:textId="77777777" w:rsidR="00E152DF" w:rsidRPr="00887835" w:rsidRDefault="00E152DF" w:rsidP="003764A0">
            <w:pPr>
              <w:pStyle w:val="EMEANormal"/>
              <w:rPr>
                <w:lang w:val="nb-NO"/>
              </w:rPr>
            </w:pPr>
          </w:p>
          <w:p w14:paraId="5F4016D0" w14:textId="77777777" w:rsidR="00E152DF" w:rsidRPr="005D17EB" w:rsidRDefault="00E453CD" w:rsidP="003764A0">
            <w:pPr>
              <w:pStyle w:val="EMEAHeadingLeaflet"/>
              <w:numPr>
                <w:ilvl w:val="0"/>
                <w:numId w:val="115"/>
              </w:numPr>
              <w:tabs>
                <w:tab w:val="clear" w:pos="562"/>
                <w:tab w:val="left" w:pos="757"/>
              </w:tabs>
              <w:spacing w:beforeLines="0" w:before="0" w:afterLines="0" w:after="0"/>
              <w:ind w:left="757"/>
              <w:rPr>
                <w:rFonts w:ascii="Times New Roman" w:hAnsi="Times New Roman"/>
                <w:b w:val="0"/>
                <w:lang w:val="en-GB"/>
              </w:rPr>
            </w:pPr>
            <w:r w:rsidRPr="005D17EB">
              <w:rPr>
                <w:rFonts w:ascii="Times New Roman" w:hAnsi="Times New Roman"/>
                <w:b w:val="0"/>
                <w:lang w:val="en-GB"/>
              </w:rPr>
              <w:t xml:space="preserve">1 </w:t>
            </w:r>
            <w:r w:rsidR="00CF76C7">
              <w:rPr>
                <w:rFonts w:ascii="Times New Roman" w:hAnsi="Times New Roman"/>
                <w:b w:val="0"/>
                <w:lang w:val="en-GB"/>
              </w:rPr>
              <w:t>ferdigfylt penn for engangsbruk</w:t>
            </w:r>
            <w:r w:rsidRPr="005D17EB">
              <w:rPr>
                <w:rFonts w:ascii="Times New Roman" w:hAnsi="Times New Roman"/>
                <w:b w:val="0"/>
                <w:lang w:val="en-GB"/>
              </w:rPr>
              <w:t xml:space="preserve"> </w:t>
            </w:r>
            <w:r w:rsidR="00CF76C7">
              <w:rPr>
                <w:rFonts w:ascii="Times New Roman" w:hAnsi="Times New Roman"/>
                <w:b w:val="0"/>
                <w:lang w:val="en-GB"/>
              </w:rPr>
              <w:t>og</w:t>
            </w:r>
            <w:r w:rsidRPr="005D17EB">
              <w:rPr>
                <w:rFonts w:ascii="Times New Roman" w:hAnsi="Times New Roman"/>
                <w:b w:val="0"/>
                <w:lang w:val="en-GB"/>
              </w:rPr>
              <w:t xml:space="preserve"> </w:t>
            </w:r>
          </w:p>
          <w:p w14:paraId="38B81DDA" w14:textId="77777777" w:rsidR="00E152DF" w:rsidRPr="005D17EB" w:rsidRDefault="00E453CD" w:rsidP="003764A0">
            <w:pPr>
              <w:pStyle w:val="EMEAHeadingLeaflet"/>
              <w:numPr>
                <w:ilvl w:val="0"/>
                <w:numId w:val="115"/>
              </w:numPr>
              <w:tabs>
                <w:tab w:val="clear" w:pos="562"/>
                <w:tab w:val="left" w:pos="757"/>
              </w:tabs>
              <w:spacing w:beforeLines="0" w:before="0" w:afterLines="0" w:after="0"/>
              <w:ind w:left="757"/>
              <w:rPr>
                <w:rFonts w:ascii="Times New Roman" w:hAnsi="Times New Roman"/>
                <w:b w:val="0"/>
                <w:lang w:val="en-GB"/>
              </w:rPr>
            </w:pPr>
            <w:r w:rsidRPr="005D17EB">
              <w:rPr>
                <w:rFonts w:ascii="Times New Roman" w:hAnsi="Times New Roman"/>
                <w:b w:val="0"/>
                <w:lang w:val="en-GB"/>
              </w:rPr>
              <w:t xml:space="preserve">1 </w:t>
            </w:r>
            <w:r w:rsidR="00CF76C7">
              <w:rPr>
                <w:rFonts w:ascii="Times New Roman" w:hAnsi="Times New Roman"/>
                <w:b w:val="0"/>
                <w:lang w:val="en-GB"/>
              </w:rPr>
              <w:t>injeksjonstørk</w:t>
            </w:r>
          </w:p>
          <w:p w14:paraId="0A5E0A71" w14:textId="77777777" w:rsidR="00E152DF" w:rsidRDefault="00E152DF" w:rsidP="003764A0">
            <w:pPr>
              <w:pStyle w:val="EMEANormal"/>
              <w:rPr>
                <w:lang w:val="en-GB"/>
              </w:rPr>
            </w:pPr>
          </w:p>
          <w:p w14:paraId="54C34726" w14:textId="77777777" w:rsidR="00E152DF" w:rsidRPr="00887835" w:rsidRDefault="00E453CD" w:rsidP="003764A0">
            <w:pPr>
              <w:pStyle w:val="EMEANormal"/>
              <w:rPr>
                <w:lang w:val="nb-NO"/>
              </w:rPr>
            </w:pPr>
            <w:r w:rsidRPr="00887835">
              <w:rPr>
                <w:lang w:val="nb-NO"/>
              </w:rPr>
              <w:t>Vask og tørk hendene dine.</w:t>
            </w:r>
          </w:p>
        </w:tc>
      </w:tr>
      <w:tr w:rsidR="004644D4" w14:paraId="177349B1" w14:textId="77777777" w:rsidTr="0061743D">
        <w:tc>
          <w:tcPr>
            <w:tcW w:w="3708" w:type="dxa"/>
            <w:tcBorders>
              <w:right w:val="nil"/>
            </w:tcBorders>
          </w:tcPr>
          <w:p w14:paraId="6416800B" w14:textId="77777777" w:rsidR="00E152DF" w:rsidRDefault="00E453CD" w:rsidP="003764A0">
            <w:pPr>
              <w:pStyle w:val="EMEANormal"/>
              <w:rPr>
                <w:b/>
                <w:noProof/>
              </w:rPr>
            </w:pPr>
            <w:r>
              <w:rPr>
                <w:b/>
                <w:noProof/>
              </w:rPr>
              <w:t>STEG 3</w:t>
            </w:r>
          </w:p>
          <w:p w14:paraId="4E3B0155" w14:textId="77777777" w:rsidR="00E152DF" w:rsidRDefault="00E152DF" w:rsidP="003764A0">
            <w:pPr>
              <w:pStyle w:val="EMEANormal"/>
              <w:rPr>
                <w:b/>
                <w:noProof/>
              </w:rPr>
            </w:pPr>
          </w:p>
          <w:p w14:paraId="48AF03D4" w14:textId="77777777" w:rsidR="00E152DF" w:rsidRPr="00EA39A4" w:rsidRDefault="00E453CD" w:rsidP="003764A0">
            <w:pPr>
              <w:pStyle w:val="EMEANormal"/>
              <w:rPr>
                <w:b/>
                <w:noProof/>
              </w:rPr>
            </w:pPr>
            <w:r>
              <w:rPr>
                <w:b/>
                <w:noProof/>
              </w:rPr>
              <w:t>Injeksjonsområder</w:t>
            </w:r>
          </w:p>
          <w:p w14:paraId="7D32AFB5" w14:textId="77777777" w:rsidR="00E152DF" w:rsidRDefault="00E453CD" w:rsidP="003764A0">
            <w:pPr>
              <w:pStyle w:val="EMEANormal"/>
              <w:rPr>
                <w:noProof/>
              </w:rPr>
            </w:pPr>
            <w:r>
              <w:rPr>
                <w:noProof/>
                <w:lang w:val="en-GB" w:eastAsia="en-GB"/>
              </w:rPr>
              <w:lastRenderedPageBreak/>
              <w:drawing>
                <wp:inline distT="0" distB="0" distL="0" distR="0" wp14:anchorId="0B77DA0A" wp14:editId="0FF478E5">
                  <wp:extent cx="2276475" cy="2381250"/>
                  <wp:effectExtent l="0" t="0" r="9525" b="0"/>
                  <wp:docPr id="64" name="Picture 64"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9" descr="STEP3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1C8BAED6" w14:textId="77777777" w:rsidR="00E152DF" w:rsidRPr="00EA39A4" w:rsidRDefault="00E453CD" w:rsidP="003764A0">
            <w:pPr>
              <w:pStyle w:val="EMEANormal"/>
              <w:rPr>
                <w:b/>
                <w:lang w:val="en-GB"/>
              </w:rPr>
            </w:pPr>
            <w:r>
              <w:rPr>
                <w:noProof/>
              </w:rPr>
              <w:t xml:space="preserve">     </w:t>
            </w:r>
            <w:r w:rsidRPr="00EA39A4">
              <w:rPr>
                <w:b/>
                <w:noProof/>
              </w:rPr>
              <w:t>I</w:t>
            </w:r>
            <w:r w:rsidR="00CF76C7">
              <w:rPr>
                <w:b/>
                <w:noProof/>
              </w:rPr>
              <w:t>njeksjonsområder</w:t>
            </w:r>
          </w:p>
        </w:tc>
        <w:tc>
          <w:tcPr>
            <w:tcW w:w="5579" w:type="dxa"/>
            <w:tcBorders>
              <w:left w:val="nil"/>
            </w:tcBorders>
          </w:tcPr>
          <w:p w14:paraId="35BF19CA" w14:textId="77777777" w:rsidR="00E152DF" w:rsidRDefault="00E152DF" w:rsidP="003764A0">
            <w:pPr>
              <w:pStyle w:val="EMEAHeadingLeaflet"/>
              <w:spacing w:beforeLines="0" w:before="0" w:afterLines="0" w:after="0"/>
              <w:rPr>
                <w:rFonts w:ascii="Times New Roman" w:hAnsi="Times New Roman"/>
                <w:b w:val="0"/>
                <w:lang w:val="en-GB"/>
              </w:rPr>
            </w:pPr>
          </w:p>
          <w:p w14:paraId="7F4D303F" w14:textId="77777777" w:rsidR="00E152DF" w:rsidRDefault="00E453CD" w:rsidP="003764A0">
            <w:pPr>
              <w:pStyle w:val="EMEAHeadingLeaflet"/>
              <w:spacing w:beforeLines="0" w:before="0" w:afterLines="0" w:after="0"/>
              <w:rPr>
                <w:rFonts w:ascii="Times New Roman" w:hAnsi="Times New Roman"/>
                <w:b w:val="0"/>
                <w:lang w:val="en-GB"/>
              </w:rPr>
            </w:pPr>
            <w:r>
              <w:rPr>
                <w:rFonts w:ascii="Times New Roman" w:hAnsi="Times New Roman"/>
                <w:b w:val="0"/>
                <w:lang w:val="en-GB"/>
              </w:rPr>
              <w:t>Velg et injeksjonssted:</w:t>
            </w:r>
          </w:p>
          <w:p w14:paraId="4F40E73C" w14:textId="77777777" w:rsidR="00E152DF" w:rsidRPr="00E027BB" w:rsidRDefault="00E152DF" w:rsidP="003764A0">
            <w:pPr>
              <w:pStyle w:val="EMEANormal"/>
              <w:rPr>
                <w:lang w:val="en-GB"/>
              </w:rPr>
            </w:pPr>
          </w:p>
          <w:p w14:paraId="07F3B680" w14:textId="77777777" w:rsidR="00E152DF" w:rsidRPr="00887835" w:rsidRDefault="00E453CD" w:rsidP="003764A0">
            <w:pPr>
              <w:pStyle w:val="EMEAHeadingLeafle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På framsiden av lårene dine eller</w:t>
            </w:r>
          </w:p>
          <w:p w14:paraId="2BAD0DD7" w14:textId="77777777" w:rsidR="00E152DF" w:rsidRPr="00887835" w:rsidRDefault="00E453CD" w:rsidP="003764A0">
            <w:pPr>
              <w:pStyle w:val="EMEAHeadingLeafle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Magen din, minst 5 cm fra navlen din</w:t>
            </w:r>
          </w:p>
          <w:p w14:paraId="28F8B392" w14:textId="77777777" w:rsidR="00E152DF" w:rsidRPr="00887835" w:rsidRDefault="00E453CD" w:rsidP="003764A0">
            <w:pPr>
              <w:pStyle w:val="EMEAHeadingLeafle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lastRenderedPageBreak/>
              <w:t>Minst 3 cm fra ditt forrige injeksjonssted</w:t>
            </w:r>
          </w:p>
          <w:p w14:paraId="680D9FEF" w14:textId="77777777" w:rsidR="00E152DF" w:rsidRPr="00887835" w:rsidRDefault="00E152DF" w:rsidP="003764A0">
            <w:pPr>
              <w:pStyle w:val="EMEANormal"/>
              <w:rPr>
                <w:lang w:val="nb-NO"/>
              </w:rPr>
            </w:pPr>
          </w:p>
          <w:p w14:paraId="6DBD80FE" w14:textId="77777777" w:rsidR="00E152DF" w:rsidRPr="00887835" w:rsidRDefault="00E453CD" w:rsidP="003764A0">
            <w:pPr>
              <w:pStyle w:val="EMEAHeadingLeaflet"/>
              <w:spacing w:beforeLines="0" w:before="0" w:afterLines="0" w:after="0"/>
              <w:rPr>
                <w:rFonts w:ascii="Times New Roman" w:hAnsi="Times New Roman"/>
                <w:b w:val="0"/>
                <w:lang w:val="nb-NO"/>
              </w:rPr>
            </w:pPr>
            <w:r w:rsidRPr="00A726B6">
              <w:rPr>
                <w:rFonts w:ascii="Times New Roman" w:hAnsi="Times New Roman"/>
                <w:b w:val="0"/>
                <w:lang w:val="nb-NO"/>
              </w:rPr>
              <w:t>Bruk det vedlagte injeksjonstørket og tørk injeksjonsstedet med ringbevegelser</w:t>
            </w:r>
            <w:r w:rsidRPr="00887835">
              <w:rPr>
                <w:rFonts w:ascii="Times New Roman" w:hAnsi="Times New Roman"/>
                <w:b w:val="0"/>
                <w:lang w:val="nb-NO"/>
              </w:rPr>
              <w:t>.</w:t>
            </w:r>
          </w:p>
          <w:p w14:paraId="1A0A8311" w14:textId="77777777" w:rsidR="00E152DF" w:rsidRPr="00887835" w:rsidRDefault="00E152DF" w:rsidP="003764A0">
            <w:pPr>
              <w:pStyle w:val="EMEANormal"/>
              <w:rPr>
                <w:lang w:val="nb-NO"/>
              </w:rPr>
            </w:pPr>
          </w:p>
          <w:p w14:paraId="2052E125" w14:textId="77777777" w:rsidR="00E152DF" w:rsidRPr="00887835" w:rsidRDefault="00E453CD" w:rsidP="003764A0">
            <w:pPr>
              <w:pStyle w:val="EMEAHeadingLeaflet"/>
              <w:numPr>
                <w:ilvl w:val="0"/>
                <w:numId w:val="117"/>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sett en injeksjon gjennom klær</w:t>
            </w:r>
          </w:p>
          <w:p w14:paraId="2694043C" w14:textId="77777777" w:rsidR="00E152DF" w:rsidRPr="00887835" w:rsidRDefault="00E453CD" w:rsidP="003764A0">
            <w:pPr>
              <w:pStyle w:val="EMEANormal"/>
              <w:numPr>
                <w:ilvl w:val="0"/>
                <w:numId w:val="117"/>
              </w:numPr>
              <w:tabs>
                <w:tab w:val="clear" w:pos="562"/>
                <w:tab w:val="left" w:pos="757"/>
              </w:tabs>
              <w:ind w:left="757"/>
              <w:rPr>
                <w:lang w:val="nb-NO"/>
              </w:rPr>
            </w:pPr>
            <w:r w:rsidRPr="00887835">
              <w:rPr>
                <w:b/>
                <w:lang w:val="nb-NO"/>
              </w:rPr>
              <w:t xml:space="preserve">Ikke </w:t>
            </w:r>
            <w:r w:rsidRPr="00887835">
              <w:rPr>
                <w:lang w:val="nb-NO"/>
              </w:rPr>
              <w:t xml:space="preserve">sett en injeksjon i hud som </w:t>
            </w:r>
            <w:r>
              <w:rPr>
                <w:lang w:val="nb-NO"/>
              </w:rPr>
              <w:t>e</w:t>
            </w:r>
            <w:r w:rsidRPr="00887835">
              <w:rPr>
                <w:lang w:val="nb-NO"/>
              </w:rPr>
              <w:t>r</w:t>
            </w:r>
            <w:r w:rsidR="003510DE">
              <w:rPr>
                <w:lang w:val="nb-NO"/>
              </w:rPr>
              <w:t xml:space="preserve"> sår,</w:t>
            </w:r>
            <w:r w:rsidRPr="00887835">
              <w:rPr>
                <w:lang w:val="nb-NO"/>
              </w:rPr>
              <w:t xml:space="preserve"> </w:t>
            </w:r>
            <w:r>
              <w:rPr>
                <w:lang w:val="nb-NO"/>
              </w:rPr>
              <w:t>rødlig,</w:t>
            </w:r>
            <w:r w:rsidR="003510DE">
              <w:rPr>
                <w:lang w:val="nb-NO"/>
              </w:rPr>
              <w:t xml:space="preserve"> hard,</w:t>
            </w:r>
            <w:r>
              <w:rPr>
                <w:lang w:val="nb-NO"/>
              </w:rPr>
              <w:t xml:space="preserve"> har blåmerker, arr, strekkmerker eller områder med plakkpsoriasis</w:t>
            </w:r>
          </w:p>
        </w:tc>
      </w:tr>
      <w:tr w:rsidR="004644D4" w14:paraId="4E900E24" w14:textId="77777777" w:rsidTr="0061743D">
        <w:tc>
          <w:tcPr>
            <w:tcW w:w="3708" w:type="dxa"/>
            <w:tcBorders>
              <w:right w:val="nil"/>
            </w:tcBorders>
          </w:tcPr>
          <w:p w14:paraId="3CDEC140" w14:textId="77777777" w:rsidR="00E152DF" w:rsidRDefault="00E453CD" w:rsidP="00FF5521">
            <w:pPr>
              <w:pStyle w:val="EMEANormal"/>
              <w:rPr>
                <w:b/>
                <w:noProof/>
              </w:rPr>
            </w:pPr>
            <w:r>
              <w:rPr>
                <w:b/>
                <w:noProof/>
              </w:rPr>
              <w:lastRenderedPageBreak/>
              <w:t>STEG</w:t>
            </w:r>
            <w:r w:rsidRPr="00C2309F">
              <w:rPr>
                <w:b/>
                <w:noProof/>
              </w:rPr>
              <w:t xml:space="preserve"> 4</w:t>
            </w:r>
          </w:p>
          <w:p w14:paraId="48A885B2" w14:textId="77777777" w:rsidR="00E152DF" w:rsidRPr="00C2309F" w:rsidRDefault="00E152DF" w:rsidP="00FF5521">
            <w:pPr>
              <w:pStyle w:val="EMEANormal"/>
              <w:rPr>
                <w:b/>
                <w:noProof/>
              </w:rPr>
            </w:pPr>
          </w:p>
          <w:p w14:paraId="041DE884" w14:textId="77777777" w:rsidR="00E152DF" w:rsidRPr="005D17EB" w:rsidRDefault="00E453CD" w:rsidP="00FF5521">
            <w:pPr>
              <w:pStyle w:val="EMEANormal"/>
              <w:rPr>
                <w:lang w:val="en-GB"/>
              </w:rPr>
            </w:pPr>
            <w:r>
              <w:rPr>
                <w:noProof/>
                <w:lang w:val="en-GB" w:eastAsia="en-GB"/>
              </w:rPr>
              <w:drawing>
                <wp:inline distT="0" distB="0" distL="0" distR="0" wp14:anchorId="30CE92B4" wp14:editId="7FDECEFD">
                  <wp:extent cx="2209800" cy="2047875"/>
                  <wp:effectExtent l="0" t="0" r="0" b="9525"/>
                  <wp:docPr id="94" name="Picture 94"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6" descr="STEP4_gre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579" w:type="dxa"/>
            <w:tcBorders>
              <w:left w:val="nil"/>
            </w:tcBorders>
          </w:tcPr>
          <w:p w14:paraId="0A6DC42F" w14:textId="77777777" w:rsidR="00E152DF" w:rsidRDefault="00E152DF" w:rsidP="00D00F56">
            <w:pPr>
              <w:pStyle w:val="EMEAHeadingLeaflet"/>
              <w:keepNext/>
              <w:spacing w:beforeLines="0" w:before="0" w:afterLines="0" w:after="0"/>
              <w:rPr>
                <w:rFonts w:ascii="Times New Roman" w:hAnsi="Times New Roman"/>
                <w:b w:val="0"/>
                <w:lang w:val="en-GB"/>
              </w:rPr>
            </w:pPr>
          </w:p>
          <w:p w14:paraId="300BE357" w14:textId="77777777" w:rsidR="00E152DF" w:rsidRPr="00887835" w:rsidRDefault="00E453CD" w:rsidP="00D00F56">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 xml:space="preserve">Hold </w:t>
            </w:r>
            <w:r w:rsidR="00C76476" w:rsidRPr="00887835">
              <w:rPr>
                <w:rFonts w:ascii="Times New Roman" w:hAnsi="Times New Roman"/>
                <w:b w:val="0"/>
                <w:lang w:val="nb-NO"/>
              </w:rPr>
              <w:t xml:space="preserve">den ferdigfylte </w:t>
            </w:r>
            <w:r w:rsidRPr="00887835">
              <w:rPr>
                <w:rFonts w:ascii="Times New Roman" w:hAnsi="Times New Roman"/>
                <w:b w:val="0"/>
                <w:lang w:val="nb-NO"/>
              </w:rPr>
              <w:t>pen</w:t>
            </w:r>
            <w:r w:rsidR="00C76476" w:rsidRPr="00887835">
              <w:rPr>
                <w:rFonts w:ascii="Times New Roman" w:hAnsi="Times New Roman"/>
                <w:b w:val="0"/>
                <w:lang w:val="nb-NO"/>
              </w:rPr>
              <w:t xml:space="preserve">nen </w:t>
            </w:r>
            <w:r w:rsidR="00143A92" w:rsidRPr="00887835">
              <w:rPr>
                <w:rFonts w:ascii="Times New Roman" w:hAnsi="Times New Roman"/>
                <w:b w:val="0"/>
                <w:lang w:val="nb-NO"/>
              </w:rPr>
              <w:t>med</w:t>
            </w:r>
            <w:r w:rsidR="00A749A7">
              <w:rPr>
                <w:rFonts w:ascii="Times New Roman" w:hAnsi="Times New Roman"/>
                <w:b w:val="0"/>
                <w:lang w:val="nb-NO"/>
              </w:rPr>
              <w:t xml:space="preserve"> den</w:t>
            </w:r>
            <w:r w:rsidR="00143A92" w:rsidRPr="00887835">
              <w:rPr>
                <w:rFonts w:ascii="Times New Roman" w:hAnsi="Times New Roman"/>
                <w:b w:val="0"/>
                <w:lang w:val="nb-NO"/>
              </w:rPr>
              <w:t xml:space="preserve"> grå hette</w:t>
            </w:r>
            <w:r w:rsidR="00A749A7">
              <w:rPr>
                <w:rFonts w:ascii="Times New Roman" w:hAnsi="Times New Roman"/>
                <w:b w:val="0"/>
                <w:lang w:val="nb-NO"/>
              </w:rPr>
              <w:t>n</w:t>
            </w:r>
            <w:r w:rsidR="00143A92" w:rsidRPr="00887835">
              <w:rPr>
                <w:rFonts w:ascii="Times New Roman" w:hAnsi="Times New Roman"/>
                <w:b w:val="0"/>
                <w:lang w:val="nb-NO"/>
              </w:rPr>
              <w:t xml:space="preserve"> </w:t>
            </w:r>
            <w:r w:rsidRPr="00887835">
              <w:rPr>
                <w:rFonts w:ascii="Times New Roman" w:hAnsi="Times New Roman"/>
                <w:b w:val="0"/>
                <w:lang w:val="nb-NO"/>
              </w:rPr>
              <w:t xml:space="preserve">1 </w:t>
            </w:r>
            <w:r w:rsidR="002A2D40">
              <w:rPr>
                <w:rFonts w:ascii="Times New Roman" w:hAnsi="Times New Roman"/>
                <w:b w:val="0"/>
                <w:lang w:val="nb-NO"/>
              </w:rPr>
              <w:t>pekende oppover</w:t>
            </w:r>
            <w:r w:rsidRPr="00887835">
              <w:rPr>
                <w:rFonts w:ascii="Times New Roman" w:hAnsi="Times New Roman"/>
                <w:b w:val="0"/>
                <w:lang w:val="nb-NO"/>
              </w:rPr>
              <w:t xml:space="preserve">. </w:t>
            </w:r>
          </w:p>
          <w:p w14:paraId="531D5726" w14:textId="77777777" w:rsidR="00E152DF" w:rsidRPr="00887835" w:rsidRDefault="00E152DF" w:rsidP="00D00F56">
            <w:pPr>
              <w:pStyle w:val="EMEANormal"/>
              <w:rPr>
                <w:lang w:val="nb-NO"/>
              </w:rPr>
            </w:pPr>
          </w:p>
          <w:p w14:paraId="27A51EC7" w14:textId="77777777" w:rsidR="00E152DF" w:rsidRDefault="00E453CD" w:rsidP="00D00F56">
            <w:pPr>
              <w:pStyle w:val="EMEAHeadingLeaflet"/>
              <w:keepNext/>
              <w:spacing w:beforeLines="0" w:before="0" w:afterLines="0" w:after="0"/>
              <w:rPr>
                <w:rFonts w:ascii="Times New Roman" w:hAnsi="Times New Roman"/>
                <w:b w:val="0"/>
                <w:lang w:val="en-GB"/>
              </w:rPr>
            </w:pPr>
            <w:r>
              <w:rPr>
                <w:rFonts w:ascii="Times New Roman" w:hAnsi="Times New Roman"/>
                <w:b w:val="0"/>
                <w:lang w:val="en-GB"/>
              </w:rPr>
              <w:t>Sjekk inspeksjonsvinduet</w:t>
            </w:r>
            <w:r w:rsidRPr="005D17EB">
              <w:rPr>
                <w:rFonts w:ascii="Times New Roman" w:hAnsi="Times New Roman"/>
                <w:b w:val="0"/>
                <w:lang w:val="en-GB"/>
              </w:rPr>
              <w:t>.</w:t>
            </w:r>
          </w:p>
          <w:p w14:paraId="049A8732" w14:textId="77777777" w:rsidR="00E152DF" w:rsidRPr="00E027BB" w:rsidRDefault="00E152DF" w:rsidP="00D00F56">
            <w:pPr>
              <w:pStyle w:val="EMEANormal"/>
              <w:rPr>
                <w:lang w:val="en-GB"/>
              </w:rPr>
            </w:pPr>
          </w:p>
          <w:p w14:paraId="374146E8" w14:textId="77777777" w:rsidR="00E152DF" w:rsidRPr="00887835" w:rsidRDefault="00E453CD" w:rsidP="00D00F56">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Det er normalt å se 1 eller flere b</w:t>
            </w:r>
            <w:r>
              <w:rPr>
                <w:rFonts w:ascii="Times New Roman" w:hAnsi="Times New Roman"/>
                <w:b w:val="0"/>
                <w:lang w:val="nb-NO"/>
              </w:rPr>
              <w:t>obler</w:t>
            </w:r>
            <w:r w:rsidRPr="00887835">
              <w:rPr>
                <w:rFonts w:ascii="Times New Roman" w:hAnsi="Times New Roman"/>
                <w:b w:val="0"/>
                <w:lang w:val="nb-NO"/>
              </w:rPr>
              <w:t xml:space="preserve"> i </w:t>
            </w:r>
            <w:r>
              <w:rPr>
                <w:rFonts w:ascii="Times New Roman" w:hAnsi="Times New Roman"/>
                <w:b w:val="0"/>
                <w:lang w:val="nb-NO"/>
              </w:rPr>
              <w:t>vinduet</w:t>
            </w:r>
          </w:p>
          <w:p w14:paraId="5E49FF88" w14:textId="77777777" w:rsidR="00E152DF" w:rsidRPr="00887835" w:rsidRDefault="00E453CD" w:rsidP="00D00F56">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Pass på at oppløsningen er klar og fargeløs</w:t>
            </w:r>
          </w:p>
          <w:p w14:paraId="57DCE8A9" w14:textId="77777777" w:rsidR="00E152DF" w:rsidRPr="00887835" w:rsidRDefault="00E453CD" w:rsidP="00D00F56">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bruk den ferdigfylte pennen dersom oppløsningen er uklar eller har partikler i seg</w:t>
            </w:r>
          </w:p>
          <w:p w14:paraId="50D67695" w14:textId="77777777" w:rsidR="00E152DF" w:rsidRPr="00887835" w:rsidRDefault="00E453CD" w:rsidP="00D00F56">
            <w:pPr>
              <w:pStyle w:val="EMEANormal"/>
              <w:numPr>
                <w:ilvl w:val="0"/>
                <w:numId w:val="118"/>
              </w:numPr>
              <w:tabs>
                <w:tab w:val="clear" w:pos="562"/>
                <w:tab w:val="left" w:pos="757"/>
              </w:tabs>
              <w:ind w:left="757"/>
              <w:rPr>
                <w:lang w:val="nb-NO"/>
              </w:rPr>
            </w:pPr>
            <w:r w:rsidRPr="00887835">
              <w:rPr>
                <w:b/>
                <w:lang w:val="nb-NO"/>
              </w:rPr>
              <w:t xml:space="preserve">Ikke </w:t>
            </w:r>
            <w:r w:rsidRPr="00887835">
              <w:rPr>
                <w:lang w:val="nb-NO"/>
              </w:rPr>
              <w:t xml:space="preserve">bruk den ferdigfylte pennen dersom </w:t>
            </w:r>
            <w:r>
              <w:rPr>
                <w:lang w:val="nb-NO"/>
              </w:rPr>
              <w:t>den har falt i gulvet eller har knust</w:t>
            </w:r>
          </w:p>
        </w:tc>
      </w:tr>
      <w:tr w:rsidR="004644D4" w14:paraId="456DA13C" w14:textId="77777777" w:rsidTr="0061743D">
        <w:tc>
          <w:tcPr>
            <w:tcW w:w="3708" w:type="dxa"/>
            <w:tcBorders>
              <w:right w:val="nil"/>
            </w:tcBorders>
          </w:tcPr>
          <w:p w14:paraId="077B5705" w14:textId="77777777" w:rsidR="00E152DF" w:rsidRDefault="00E453CD" w:rsidP="003764A0">
            <w:pPr>
              <w:pStyle w:val="EMEANormal"/>
              <w:rPr>
                <w:noProof/>
              </w:rPr>
            </w:pPr>
            <w:r w:rsidRPr="00452439">
              <w:rPr>
                <w:lang w:val="nb-NO"/>
              </w:rPr>
              <w:br w:type="page"/>
            </w:r>
            <w:r w:rsidR="00CF76C7">
              <w:rPr>
                <w:b/>
                <w:noProof/>
              </w:rPr>
              <w:t>STEG</w:t>
            </w:r>
            <w:r>
              <w:rPr>
                <w:b/>
                <w:noProof/>
              </w:rPr>
              <w:t xml:space="preserve"> 5</w:t>
            </w:r>
            <w:r>
              <w:rPr>
                <w:noProof/>
              </w:rPr>
              <w:t xml:space="preserve"> </w:t>
            </w:r>
          </w:p>
          <w:p w14:paraId="21C6096D" w14:textId="77777777" w:rsidR="00E152DF" w:rsidRDefault="00E152DF" w:rsidP="003764A0">
            <w:pPr>
              <w:pStyle w:val="EMEANormal"/>
              <w:rPr>
                <w:noProof/>
              </w:rPr>
            </w:pPr>
          </w:p>
          <w:p w14:paraId="45644D53" w14:textId="77777777" w:rsidR="00E152DF" w:rsidRPr="00EA39A4" w:rsidRDefault="00E453CD" w:rsidP="003764A0">
            <w:pPr>
              <w:pStyle w:val="EMEANormal"/>
              <w:spacing w:after="100" w:afterAutospacing="1"/>
              <w:rPr>
                <w:b/>
                <w:noProof/>
              </w:rPr>
            </w:pPr>
            <w:r>
              <w:rPr>
                <w:noProof/>
              </w:rPr>
              <w:t xml:space="preserve"> </w:t>
            </w:r>
            <w:r w:rsidR="002A2D40">
              <w:rPr>
                <w:b/>
                <w:noProof/>
              </w:rPr>
              <w:t>Hette</w:t>
            </w:r>
            <w:r w:rsidRPr="00EA39A4">
              <w:rPr>
                <w:b/>
                <w:noProof/>
              </w:rPr>
              <w:t xml:space="preserve"> 1</w:t>
            </w:r>
          </w:p>
          <w:p w14:paraId="33F741DE" w14:textId="77777777" w:rsidR="00E152DF" w:rsidRDefault="00E453CD" w:rsidP="003764A0">
            <w:pPr>
              <w:pStyle w:val="EMEANormal"/>
              <w:rPr>
                <w:noProof/>
              </w:rPr>
            </w:pPr>
            <w:r>
              <w:rPr>
                <w:noProof/>
                <w:lang w:val="en-GB" w:eastAsia="en-GB"/>
              </w:rPr>
              <w:drawing>
                <wp:inline distT="0" distB="0" distL="0" distR="0" wp14:anchorId="21B7CAAE" wp14:editId="22E737F9">
                  <wp:extent cx="2028825" cy="1847850"/>
                  <wp:effectExtent l="0" t="0" r="9525" b="0"/>
                  <wp:docPr id="95" name="Picture 95"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7" descr="EU_IFU_STEP5_grey"/>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14:paraId="2FA6BDE3" w14:textId="77777777" w:rsidR="00E152DF" w:rsidRPr="00EA39A4" w:rsidRDefault="00E453CD" w:rsidP="003764A0">
            <w:pPr>
              <w:pStyle w:val="EMEANormal"/>
              <w:rPr>
                <w:b/>
                <w:lang w:val="en-GB"/>
              </w:rPr>
            </w:pPr>
            <w:r w:rsidRPr="00EA39A4">
              <w:rPr>
                <w:b/>
                <w:noProof/>
              </w:rPr>
              <w:t xml:space="preserve">                                            </w:t>
            </w:r>
            <w:r w:rsidR="002A2D40">
              <w:rPr>
                <w:b/>
                <w:noProof/>
              </w:rPr>
              <w:t>Hette</w:t>
            </w:r>
            <w:r w:rsidRPr="00EA39A4">
              <w:rPr>
                <w:b/>
                <w:noProof/>
              </w:rPr>
              <w:t xml:space="preserve"> 2</w:t>
            </w:r>
          </w:p>
        </w:tc>
        <w:tc>
          <w:tcPr>
            <w:tcW w:w="5579" w:type="dxa"/>
            <w:tcBorders>
              <w:left w:val="nil"/>
            </w:tcBorders>
          </w:tcPr>
          <w:p w14:paraId="2ACF77F2" w14:textId="77777777" w:rsidR="00E152DF" w:rsidRPr="00887835" w:rsidRDefault="00E152DF" w:rsidP="003764A0">
            <w:pPr>
              <w:pStyle w:val="EMEAHeadingLeaflet"/>
              <w:spacing w:beforeLines="0" w:before="0" w:afterLines="0" w:after="0"/>
              <w:rPr>
                <w:rFonts w:ascii="Times New Roman" w:hAnsi="Times New Roman"/>
                <w:b w:val="0"/>
                <w:lang w:val="nb-NO"/>
              </w:rPr>
            </w:pPr>
          </w:p>
          <w:p w14:paraId="74394784" w14:textId="77777777" w:rsidR="00E152DF" w:rsidRPr="00887835" w:rsidRDefault="00E453CD" w:rsidP="003764A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Dra</w:t>
            </w:r>
            <w:r w:rsidR="00245F87">
              <w:rPr>
                <w:rFonts w:ascii="Times New Roman" w:hAnsi="Times New Roman"/>
                <w:b w:val="0"/>
                <w:lang w:val="nb-NO"/>
              </w:rPr>
              <w:t xml:space="preserve"> den</w:t>
            </w:r>
            <w:r w:rsidRPr="00887835">
              <w:rPr>
                <w:rFonts w:ascii="Times New Roman" w:hAnsi="Times New Roman"/>
                <w:b w:val="0"/>
                <w:lang w:val="nb-NO"/>
              </w:rPr>
              <w:t xml:space="preserve"> grå hette</w:t>
            </w:r>
            <w:r w:rsidR="00245F87">
              <w:rPr>
                <w:rFonts w:ascii="Times New Roman" w:hAnsi="Times New Roman"/>
                <w:b w:val="0"/>
                <w:lang w:val="nb-NO"/>
              </w:rPr>
              <w:t>n</w:t>
            </w:r>
            <w:r w:rsidRPr="00887835">
              <w:rPr>
                <w:rFonts w:ascii="Times New Roman" w:hAnsi="Times New Roman"/>
                <w:b w:val="0"/>
                <w:lang w:val="nb-NO"/>
              </w:rPr>
              <w:t xml:space="preserve"> 1 rett av. Kast hetten. Ikke sett hetten tilbake på plass igjen.</w:t>
            </w:r>
          </w:p>
          <w:p w14:paraId="54799387" w14:textId="77777777" w:rsidR="00E152DF" w:rsidRPr="00887835" w:rsidRDefault="00E152DF" w:rsidP="003764A0">
            <w:pPr>
              <w:pStyle w:val="EMEANormal"/>
              <w:rPr>
                <w:lang w:val="nb-NO"/>
              </w:rPr>
            </w:pPr>
          </w:p>
          <w:p w14:paraId="571D968E" w14:textId="77777777" w:rsidR="00E152DF" w:rsidRPr="00887835" w:rsidRDefault="00E453CD" w:rsidP="003764A0">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Sjekk at </w:t>
            </w:r>
            <w:r w:rsidR="008138BF">
              <w:rPr>
                <w:rFonts w:ascii="Times New Roman" w:hAnsi="Times New Roman"/>
                <w:b w:val="0"/>
                <w:lang w:val="nb-NO"/>
              </w:rPr>
              <w:t>kanyl</w:t>
            </w:r>
            <w:r w:rsidR="003166B5">
              <w:rPr>
                <w:rFonts w:ascii="Times New Roman" w:hAnsi="Times New Roman"/>
                <w:b w:val="0"/>
                <w:lang w:val="nb-NO"/>
              </w:rPr>
              <w:t>ens</w:t>
            </w:r>
            <w:r w:rsidRPr="00887835">
              <w:rPr>
                <w:rFonts w:ascii="Times New Roman" w:hAnsi="Times New Roman"/>
                <w:b w:val="0"/>
                <w:lang w:val="nb-NO"/>
              </w:rPr>
              <w:t xml:space="preserve"> lille svarte beskyttelse</w:t>
            </w:r>
            <w:r w:rsidR="003166B5">
              <w:rPr>
                <w:rFonts w:ascii="Times New Roman" w:hAnsi="Times New Roman"/>
                <w:b w:val="0"/>
                <w:lang w:val="nb-NO"/>
              </w:rPr>
              <w:t xml:space="preserve">shylse </w:t>
            </w:r>
            <w:r w:rsidRPr="00887835">
              <w:rPr>
                <w:rFonts w:ascii="Times New Roman" w:hAnsi="Times New Roman"/>
                <w:b w:val="0"/>
                <w:lang w:val="nb-NO"/>
              </w:rPr>
              <w:t>har blitt fjernet sammen med hetten</w:t>
            </w:r>
          </w:p>
          <w:p w14:paraId="2525B0BC" w14:textId="77777777" w:rsidR="00E152DF" w:rsidRPr="00887835" w:rsidRDefault="00E453CD" w:rsidP="003764A0">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Det er normalt å se noen få dråper av oppløsningen komme ut av </w:t>
            </w:r>
            <w:r w:rsidR="008138BF">
              <w:rPr>
                <w:rFonts w:ascii="Times New Roman" w:hAnsi="Times New Roman"/>
                <w:b w:val="0"/>
                <w:lang w:val="nb-NO"/>
              </w:rPr>
              <w:t>kanyl</w:t>
            </w:r>
            <w:r w:rsidRPr="00887835">
              <w:rPr>
                <w:rFonts w:ascii="Times New Roman" w:hAnsi="Times New Roman"/>
                <w:b w:val="0"/>
                <w:lang w:val="nb-NO"/>
              </w:rPr>
              <w:t>en</w:t>
            </w:r>
          </w:p>
          <w:p w14:paraId="31F9EC65" w14:textId="77777777" w:rsidR="00E152DF" w:rsidRPr="00887835" w:rsidRDefault="00E152DF" w:rsidP="003764A0">
            <w:pPr>
              <w:pStyle w:val="EMEANormal"/>
              <w:rPr>
                <w:lang w:val="nb-NO"/>
              </w:rPr>
            </w:pPr>
          </w:p>
          <w:p w14:paraId="5BEEBF33" w14:textId="77777777" w:rsidR="00E152DF" w:rsidRPr="00887835" w:rsidRDefault="00E453CD" w:rsidP="003764A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Dra</w:t>
            </w:r>
            <w:r w:rsidR="00245F87">
              <w:rPr>
                <w:rFonts w:ascii="Times New Roman" w:hAnsi="Times New Roman"/>
                <w:b w:val="0"/>
                <w:lang w:val="nb-NO"/>
              </w:rPr>
              <w:t xml:space="preserve"> den</w:t>
            </w:r>
            <w:r w:rsidRPr="00887835">
              <w:rPr>
                <w:rFonts w:ascii="Times New Roman" w:hAnsi="Times New Roman"/>
                <w:b w:val="0"/>
                <w:lang w:val="nb-NO"/>
              </w:rPr>
              <w:t xml:space="preserve"> plommefarge</w:t>
            </w:r>
            <w:r w:rsidR="00245F87">
              <w:rPr>
                <w:rFonts w:ascii="Times New Roman" w:hAnsi="Times New Roman"/>
                <w:b w:val="0"/>
                <w:lang w:val="nb-NO"/>
              </w:rPr>
              <w:t xml:space="preserve">de </w:t>
            </w:r>
            <w:r w:rsidRPr="00887835">
              <w:rPr>
                <w:rFonts w:ascii="Times New Roman" w:hAnsi="Times New Roman"/>
                <w:b w:val="0"/>
                <w:lang w:val="nb-NO"/>
              </w:rPr>
              <w:t>hette</w:t>
            </w:r>
            <w:r w:rsidR="00245F87">
              <w:rPr>
                <w:rFonts w:ascii="Times New Roman" w:hAnsi="Times New Roman"/>
                <w:b w:val="0"/>
                <w:lang w:val="nb-NO"/>
              </w:rPr>
              <w:t>n</w:t>
            </w:r>
            <w:r w:rsidRPr="00887835">
              <w:rPr>
                <w:rFonts w:ascii="Times New Roman" w:hAnsi="Times New Roman"/>
                <w:b w:val="0"/>
                <w:lang w:val="nb-NO"/>
              </w:rPr>
              <w:t xml:space="preserve"> 2 rett av. </w:t>
            </w:r>
            <w:r w:rsidRPr="00356150">
              <w:rPr>
                <w:rFonts w:ascii="Times New Roman" w:hAnsi="Times New Roman"/>
                <w:b w:val="0"/>
                <w:lang w:val="nb-NO"/>
              </w:rPr>
              <w:t>Kast hetten. Ikke sett hetten tilbake på plass igjen.</w:t>
            </w:r>
          </w:p>
          <w:p w14:paraId="7129DF91" w14:textId="77777777" w:rsidR="00E152DF" w:rsidRPr="00887835" w:rsidRDefault="00E152DF" w:rsidP="003764A0">
            <w:pPr>
              <w:pStyle w:val="EMEANormal"/>
              <w:rPr>
                <w:lang w:val="nb-NO"/>
              </w:rPr>
            </w:pPr>
          </w:p>
          <w:p w14:paraId="6E72A7EC" w14:textId="77777777" w:rsidR="00E152DF" w:rsidRPr="00887835" w:rsidRDefault="00E453CD" w:rsidP="003764A0">
            <w:pPr>
              <w:pStyle w:val="EMEANormal"/>
              <w:rPr>
                <w:lang w:val="nb-NO"/>
              </w:rPr>
            </w:pPr>
            <w:r w:rsidRPr="00887835">
              <w:rPr>
                <w:lang w:val="nb-NO"/>
              </w:rPr>
              <w:t>Den ferdigfylte pennen er nå klar til bruk.</w:t>
            </w:r>
          </w:p>
          <w:p w14:paraId="3FA0F874" w14:textId="77777777" w:rsidR="00E152DF" w:rsidRPr="00887835" w:rsidRDefault="00E152DF" w:rsidP="003764A0">
            <w:pPr>
              <w:pStyle w:val="EMEANormal"/>
              <w:rPr>
                <w:lang w:val="nb-NO"/>
              </w:rPr>
            </w:pPr>
          </w:p>
          <w:p w14:paraId="1D684D63" w14:textId="77777777" w:rsidR="00E152DF" w:rsidRPr="00887835" w:rsidRDefault="00E453CD" w:rsidP="003764A0">
            <w:pPr>
              <w:pStyle w:val="EMEANormal"/>
              <w:rPr>
                <w:lang w:val="nb-NO"/>
              </w:rPr>
            </w:pPr>
            <w:r w:rsidRPr="00887835">
              <w:rPr>
                <w:lang w:val="nb-NO"/>
              </w:rPr>
              <w:t>Snu den ferdigfylte pennen slik at den hvite pilen peker mot injeksjonsstedet.</w:t>
            </w:r>
          </w:p>
        </w:tc>
      </w:tr>
      <w:tr w:rsidR="004644D4" w14:paraId="5AC4D068" w14:textId="77777777" w:rsidTr="0061743D">
        <w:tc>
          <w:tcPr>
            <w:tcW w:w="3708" w:type="dxa"/>
            <w:tcBorders>
              <w:right w:val="nil"/>
            </w:tcBorders>
          </w:tcPr>
          <w:p w14:paraId="19CF6593" w14:textId="77777777" w:rsidR="00E152DF" w:rsidRPr="00C2309F" w:rsidRDefault="00E453CD" w:rsidP="003764A0">
            <w:pPr>
              <w:pStyle w:val="EMEANormal"/>
              <w:rPr>
                <w:b/>
                <w:noProof/>
              </w:rPr>
            </w:pPr>
            <w:r>
              <w:rPr>
                <w:b/>
                <w:noProof/>
              </w:rPr>
              <w:t>STEG</w:t>
            </w:r>
            <w:r w:rsidRPr="00C2309F">
              <w:rPr>
                <w:b/>
                <w:noProof/>
              </w:rPr>
              <w:t xml:space="preserve"> 6</w:t>
            </w:r>
          </w:p>
          <w:p w14:paraId="447865A9" w14:textId="77777777" w:rsidR="00E152DF" w:rsidRPr="005D17EB" w:rsidRDefault="00E453CD" w:rsidP="003764A0">
            <w:pPr>
              <w:pStyle w:val="EMEANormal"/>
              <w:rPr>
                <w:lang w:val="en-GB"/>
              </w:rPr>
            </w:pPr>
            <w:r>
              <w:rPr>
                <w:noProof/>
                <w:lang w:val="en-GB" w:eastAsia="en-GB"/>
              </w:rPr>
              <w:lastRenderedPageBreak/>
              <w:drawing>
                <wp:inline distT="0" distB="0" distL="0" distR="0" wp14:anchorId="1B5B1F3B" wp14:editId="11C9D0C2">
                  <wp:extent cx="2257425" cy="2143125"/>
                  <wp:effectExtent l="0" t="0" r="9525" b="9525"/>
                  <wp:docPr id="96" name="Picture 96"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8" descr="STEP6_grey"/>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579" w:type="dxa"/>
            <w:tcBorders>
              <w:left w:val="nil"/>
            </w:tcBorders>
          </w:tcPr>
          <w:p w14:paraId="59E0D325" w14:textId="77777777" w:rsidR="00E152DF" w:rsidRDefault="00E152DF" w:rsidP="003764A0">
            <w:pPr>
              <w:pStyle w:val="EMEAHeadingLeaflet"/>
              <w:spacing w:beforeLines="0" w:before="0" w:afterLines="0" w:after="0"/>
              <w:rPr>
                <w:rFonts w:ascii="Times New Roman" w:hAnsi="Times New Roman"/>
                <w:b w:val="0"/>
                <w:lang w:val="en-GB"/>
              </w:rPr>
            </w:pPr>
          </w:p>
          <w:p w14:paraId="2111089C" w14:textId="77777777" w:rsidR="00E152DF" w:rsidRPr="000C7E55" w:rsidRDefault="00E453CD" w:rsidP="003764A0">
            <w:pPr>
              <w:pStyle w:val="EMEAHeadingLeaflet"/>
              <w:spacing w:beforeLines="0" w:before="0" w:afterLines="0" w:after="0"/>
              <w:rPr>
                <w:rFonts w:ascii="Times New Roman" w:hAnsi="Times New Roman"/>
                <w:b w:val="0"/>
                <w:lang w:val="nb-NO"/>
              </w:rPr>
            </w:pPr>
            <w:r w:rsidRPr="000C7E55">
              <w:rPr>
                <w:rFonts w:ascii="Times New Roman" w:hAnsi="Times New Roman"/>
                <w:b w:val="0"/>
                <w:lang w:val="nb-NO"/>
              </w:rPr>
              <w:t xml:space="preserve">Klem huden på injeksjonsstedet </w:t>
            </w:r>
            <w:r w:rsidR="00B36CC1">
              <w:rPr>
                <w:rFonts w:ascii="Times New Roman" w:hAnsi="Times New Roman"/>
                <w:b w:val="0"/>
                <w:lang w:val="nb-NO"/>
              </w:rPr>
              <w:t>med den andre hånden din</w:t>
            </w:r>
            <w:r w:rsidRPr="000C7E55">
              <w:rPr>
                <w:rFonts w:ascii="Times New Roman" w:hAnsi="Times New Roman"/>
                <w:b w:val="0"/>
                <w:lang w:val="nb-NO"/>
              </w:rPr>
              <w:t xml:space="preserve"> for å fremheve området og hold godt fast i den</w:t>
            </w:r>
            <w:r w:rsidR="00DA5B3A">
              <w:rPr>
                <w:rFonts w:ascii="Times New Roman" w:hAnsi="Times New Roman"/>
                <w:b w:val="0"/>
                <w:lang w:val="nb-NO"/>
              </w:rPr>
              <w:t xml:space="preserve"> helt til injeksjonen er </w:t>
            </w:r>
            <w:r w:rsidR="00BF11DC">
              <w:rPr>
                <w:rFonts w:ascii="Times New Roman" w:hAnsi="Times New Roman"/>
                <w:b w:val="0"/>
                <w:lang w:val="nb-NO"/>
              </w:rPr>
              <w:t>ferdig</w:t>
            </w:r>
            <w:r w:rsidRPr="000C7E55">
              <w:rPr>
                <w:rFonts w:ascii="Times New Roman" w:hAnsi="Times New Roman"/>
                <w:b w:val="0"/>
                <w:lang w:val="nb-NO"/>
              </w:rPr>
              <w:t>.</w:t>
            </w:r>
          </w:p>
          <w:p w14:paraId="25841E2B" w14:textId="77777777" w:rsidR="00E152DF" w:rsidRPr="000C7E55" w:rsidRDefault="00E152DF" w:rsidP="003764A0">
            <w:pPr>
              <w:pStyle w:val="EMEANormal"/>
              <w:rPr>
                <w:lang w:val="nb-NO"/>
              </w:rPr>
            </w:pPr>
          </w:p>
          <w:p w14:paraId="588614C3" w14:textId="77777777" w:rsidR="00E152DF" w:rsidRPr="000C7E55" w:rsidRDefault="00E453CD" w:rsidP="003764A0">
            <w:pPr>
              <w:pStyle w:val="EMEAHeadingLeaflet"/>
              <w:spacing w:beforeLines="0" w:before="0" w:afterLines="0" w:after="0"/>
              <w:rPr>
                <w:rFonts w:ascii="Times New Roman" w:hAnsi="Times New Roman"/>
                <w:b w:val="0"/>
                <w:lang w:val="nb-NO"/>
              </w:rPr>
            </w:pPr>
            <w:r w:rsidRPr="000C7E55">
              <w:rPr>
                <w:rFonts w:ascii="Times New Roman" w:hAnsi="Times New Roman"/>
                <w:b w:val="0"/>
                <w:lang w:val="nb-NO"/>
              </w:rPr>
              <w:t>Pek den hvite pilen mot injeksjonsstedet (lår eller mage).</w:t>
            </w:r>
          </w:p>
          <w:p w14:paraId="2AD75F13" w14:textId="77777777" w:rsidR="00E152DF" w:rsidRPr="000C7E55" w:rsidRDefault="00E152DF" w:rsidP="003764A0">
            <w:pPr>
              <w:pStyle w:val="EMEANormal"/>
              <w:rPr>
                <w:lang w:val="nb-NO"/>
              </w:rPr>
            </w:pPr>
          </w:p>
          <w:p w14:paraId="23671466" w14:textId="77777777" w:rsidR="00E152DF" w:rsidRPr="00887835" w:rsidRDefault="00E453CD" w:rsidP="003764A0">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Pl</w:t>
            </w:r>
            <w:r w:rsidR="006E7ABD">
              <w:rPr>
                <w:rFonts w:ascii="Times New Roman" w:hAnsi="Times New Roman"/>
                <w:b w:val="0"/>
                <w:lang w:val="nb-NO"/>
              </w:rPr>
              <w:t xml:space="preserve">asser den hvite </w:t>
            </w:r>
            <w:r w:rsidR="008138BF">
              <w:rPr>
                <w:rFonts w:ascii="Times New Roman" w:hAnsi="Times New Roman"/>
                <w:b w:val="0"/>
                <w:lang w:val="nb-NO"/>
              </w:rPr>
              <w:t>kanyle</w:t>
            </w:r>
            <w:r w:rsidR="006E7ABD">
              <w:rPr>
                <w:rFonts w:ascii="Times New Roman" w:hAnsi="Times New Roman"/>
                <w:b w:val="0"/>
                <w:lang w:val="nb-NO"/>
              </w:rPr>
              <w:t>beskyttelsen</w:t>
            </w:r>
            <w:r w:rsidRPr="00887835">
              <w:rPr>
                <w:rFonts w:ascii="Times New Roman" w:hAnsi="Times New Roman"/>
                <w:b w:val="0"/>
                <w:lang w:val="nb-NO"/>
              </w:rPr>
              <w:t xml:space="preserve"> </w:t>
            </w:r>
            <w:r>
              <w:rPr>
                <w:rFonts w:ascii="Times New Roman" w:hAnsi="Times New Roman"/>
                <w:b w:val="0"/>
                <w:lang w:val="nb-NO"/>
              </w:rPr>
              <w:t xml:space="preserve">med </w:t>
            </w:r>
            <w:r w:rsidRPr="00887835">
              <w:rPr>
                <w:rFonts w:ascii="Times New Roman" w:hAnsi="Times New Roman"/>
                <w:b w:val="0"/>
                <w:lang w:val="nb-NO"/>
              </w:rPr>
              <w:t xml:space="preserve">rett </w:t>
            </w:r>
            <w:r>
              <w:rPr>
                <w:rFonts w:ascii="Times New Roman" w:hAnsi="Times New Roman"/>
                <w:b w:val="0"/>
                <w:lang w:val="nb-NO"/>
              </w:rPr>
              <w:t xml:space="preserve">vinkel </w:t>
            </w:r>
            <w:r>
              <w:rPr>
                <w:rFonts w:ascii="Times New Roman" w:hAnsi="Times New Roman"/>
                <w:lang w:val="nb-NO"/>
              </w:rPr>
              <w:t>(90</w:t>
            </w:r>
            <w:r w:rsidRPr="00887835">
              <w:rPr>
                <w:rFonts w:ascii="Times New Roman" w:hAnsi="Times New Roman"/>
                <w:lang w:val="nb-NO"/>
              </w:rPr>
              <w:t xml:space="preserve"> grader)</w:t>
            </w:r>
            <w:r w:rsidRPr="00887835">
              <w:rPr>
                <w:rFonts w:ascii="Times New Roman" w:hAnsi="Times New Roman"/>
                <w:b w:val="0"/>
                <w:lang w:val="nb-NO"/>
              </w:rPr>
              <w:t xml:space="preserve"> </w:t>
            </w:r>
            <w:r w:rsidRPr="00DD35C8">
              <w:rPr>
                <w:rFonts w:ascii="Times New Roman" w:hAnsi="Times New Roman"/>
                <w:b w:val="0"/>
                <w:lang w:val="nb-NO"/>
              </w:rPr>
              <w:t>mot</w:t>
            </w:r>
            <w:r w:rsidRPr="003166B5">
              <w:rPr>
                <w:rFonts w:ascii="Times New Roman" w:hAnsi="Times New Roman"/>
                <w:b w:val="0"/>
                <w:lang w:val="nb-NO"/>
              </w:rPr>
              <w:t xml:space="preserve"> </w:t>
            </w:r>
            <w:r>
              <w:rPr>
                <w:rFonts w:ascii="Times New Roman" w:hAnsi="Times New Roman"/>
                <w:b w:val="0"/>
                <w:lang w:val="nb-NO"/>
              </w:rPr>
              <w:t>injeksjonsstedet</w:t>
            </w:r>
            <w:r w:rsidRPr="00887835">
              <w:rPr>
                <w:rFonts w:ascii="Times New Roman" w:hAnsi="Times New Roman"/>
                <w:b w:val="0"/>
                <w:lang w:val="nb-NO"/>
              </w:rPr>
              <w:t>.</w:t>
            </w:r>
          </w:p>
          <w:p w14:paraId="4486653F" w14:textId="77777777" w:rsidR="00E152DF" w:rsidRPr="00887835" w:rsidRDefault="00E152DF" w:rsidP="003764A0">
            <w:pPr>
              <w:pStyle w:val="EMEANormal"/>
              <w:rPr>
                <w:lang w:val="nb-NO"/>
              </w:rPr>
            </w:pPr>
          </w:p>
          <w:p w14:paraId="72E6F3B5" w14:textId="77777777" w:rsidR="00E152DF" w:rsidRDefault="00E453CD" w:rsidP="003764A0">
            <w:pPr>
              <w:pStyle w:val="EMEANormal"/>
              <w:rPr>
                <w:lang w:val="nb-NO"/>
              </w:rPr>
            </w:pPr>
            <w:r w:rsidRPr="00887835">
              <w:rPr>
                <w:lang w:val="nb-NO"/>
              </w:rPr>
              <w:lastRenderedPageBreak/>
              <w:t>Hold</w:t>
            </w:r>
            <w:r w:rsidRPr="00887835">
              <w:rPr>
                <w:b/>
                <w:lang w:val="nb-NO"/>
              </w:rPr>
              <w:t xml:space="preserve"> </w:t>
            </w:r>
            <w:r w:rsidR="003166B5" w:rsidRPr="00887835">
              <w:rPr>
                <w:lang w:val="nb-NO"/>
              </w:rPr>
              <w:t>den ferdigfylte pennen slik at du kan se inspeksjonsvinduet</w:t>
            </w:r>
            <w:r w:rsidRPr="00887835">
              <w:rPr>
                <w:lang w:val="nb-NO"/>
              </w:rPr>
              <w:t>.</w:t>
            </w:r>
          </w:p>
          <w:p w14:paraId="21204E15" w14:textId="77777777" w:rsidR="00BF11DC" w:rsidRDefault="00BF11DC" w:rsidP="003764A0">
            <w:pPr>
              <w:pStyle w:val="EMEANormal"/>
              <w:rPr>
                <w:lang w:val="nb-NO"/>
              </w:rPr>
            </w:pPr>
          </w:p>
          <w:p w14:paraId="6F6041AF" w14:textId="77777777" w:rsidR="00BF11DC" w:rsidRPr="00887835" w:rsidRDefault="00E453CD" w:rsidP="003764A0">
            <w:pPr>
              <w:pStyle w:val="EMEANormal"/>
              <w:rPr>
                <w:lang w:val="nb-NO"/>
              </w:rPr>
            </w:pPr>
            <w:r w:rsidRPr="00776A84">
              <w:rPr>
                <w:b/>
                <w:lang w:val="nb-NO"/>
              </w:rPr>
              <w:t>Ikke</w:t>
            </w:r>
            <w:r>
              <w:rPr>
                <w:lang w:val="nb-NO"/>
              </w:rPr>
              <w:t xml:space="preserve"> press den plommefargede aktiveringsknappen før du er klar til å sette injeksjonen.</w:t>
            </w:r>
          </w:p>
        </w:tc>
      </w:tr>
      <w:tr w:rsidR="004644D4" w14:paraId="5F20BCF3" w14:textId="77777777" w:rsidTr="0061743D">
        <w:tc>
          <w:tcPr>
            <w:tcW w:w="3708" w:type="dxa"/>
            <w:tcBorders>
              <w:right w:val="nil"/>
            </w:tcBorders>
          </w:tcPr>
          <w:p w14:paraId="4B7C0D1B" w14:textId="77777777" w:rsidR="00E152DF" w:rsidRDefault="00E453CD" w:rsidP="003764A0">
            <w:pPr>
              <w:pStyle w:val="EMEANormal"/>
              <w:keepNext/>
              <w:jc w:val="both"/>
              <w:rPr>
                <w:b/>
                <w:noProof/>
              </w:rPr>
            </w:pPr>
            <w:r>
              <w:rPr>
                <w:b/>
                <w:noProof/>
              </w:rPr>
              <w:lastRenderedPageBreak/>
              <w:t>STEG 7</w:t>
            </w:r>
          </w:p>
          <w:p w14:paraId="710FB127" w14:textId="77777777" w:rsidR="00E152DF" w:rsidRDefault="00E152DF" w:rsidP="003764A0">
            <w:pPr>
              <w:pStyle w:val="EMEANormal"/>
              <w:keepNext/>
              <w:jc w:val="both"/>
              <w:rPr>
                <w:b/>
                <w:noProof/>
              </w:rPr>
            </w:pPr>
          </w:p>
          <w:p w14:paraId="020C180A" w14:textId="77777777" w:rsidR="00E152DF" w:rsidRPr="00EA39A4" w:rsidRDefault="00E453CD" w:rsidP="003764A0">
            <w:pPr>
              <w:pStyle w:val="EMEANormal"/>
              <w:keepNext/>
              <w:rPr>
                <w:b/>
                <w:noProof/>
              </w:rPr>
            </w:pPr>
            <w:r>
              <w:rPr>
                <w:b/>
                <w:noProof/>
              </w:rPr>
              <w:t xml:space="preserve">                      </w:t>
            </w:r>
            <w:r w:rsidRPr="00EA39A4">
              <w:rPr>
                <w:b/>
                <w:noProof/>
              </w:rPr>
              <w:t xml:space="preserve">   </w:t>
            </w:r>
            <w:r>
              <w:rPr>
                <w:b/>
                <w:noProof/>
              </w:rPr>
              <w:t xml:space="preserve">    </w:t>
            </w:r>
            <w:r w:rsidR="003166B5">
              <w:rPr>
                <w:b/>
                <w:noProof/>
              </w:rPr>
              <w:t>10 sekunder</w:t>
            </w:r>
            <w:r w:rsidRPr="00EA39A4">
              <w:rPr>
                <w:b/>
                <w:noProof/>
              </w:rPr>
              <w:t xml:space="preserve">                         </w:t>
            </w:r>
            <w:r>
              <w:rPr>
                <w:b/>
                <w:noProof/>
              </w:rPr>
              <w:t xml:space="preserve">    </w:t>
            </w:r>
          </w:p>
          <w:p w14:paraId="2502D648" w14:textId="77777777" w:rsidR="00E152DF" w:rsidRPr="008B4D33" w:rsidRDefault="00E453CD" w:rsidP="003764A0">
            <w:pPr>
              <w:pStyle w:val="EMEANormal"/>
              <w:keepNext/>
              <w:rPr>
                <w:noProof/>
              </w:rPr>
            </w:pPr>
            <w:r>
              <w:rPr>
                <w:noProof/>
                <w:lang w:val="en-GB" w:eastAsia="en-GB"/>
              </w:rPr>
              <w:drawing>
                <wp:inline distT="0" distB="0" distL="0" distR="0" wp14:anchorId="065A7068" wp14:editId="5696F5A9">
                  <wp:extent cx="2219325" cy="2781300"/>
                  <wp:effectExtent l="0" t="0" r="9525" b="0"/>
                  <wp:docPr id="97" name="Picture 97"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4" descr="STEP7a_grey"/>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219325" cy="2781300"/>
                          </a:xfrm>
                          <a:prstGeom prst="rect">
                            <a:avLst/>
                          </a:prstGeom>
                          <a:noFill/>
                          <a:ln>
                            <a:noFill/>
                          </a:ln>
                        </pic:spPr>
                      </pic:pic>
                    </a:graphicData>
                  </a:graphic>
                </wp:inline>
              </w:drawing>
            </w:r>
          </w:p>
        </w:tc>
        <w:tc>
          <w:tcPr>
            <w:tcW w:w="5579" w:type="dxa"/>
            <w:tcBorders>
              <w:left w:val="nil"/>
            </w:tcBorders>
          </w:tcPr>
          <w:p w14:paraId="78E346CC" w14:textId="77777777" w:rsidR="00E152DF" w:rsidRDefault="00E152DF" w:rsidP="003764A0">
            <w:pPr>
              <w:pStyle w:val="EMEAHeadingLeaflet"/>
              <w:keepNext/>
              <w:spacing w:beforeLines="0" w:before="0" w:afterLines="0" w:after="0"/>
              <w:rPr>
                <w:rFonts w:ascii="Times New Roman" w:hAnsi="Times New Roman"/>
                <w:lang w:val="en-GB"/>
              </w:rPr>
            </w:pPr>
          </w:p>
          <w:p w14:paraId="421FEB42" w14:textId="77777777" w:rsidR="00BF11DC"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lang w:val="nb-NO"/>
              </w:rPr>
              <w:t>P</w:t>
            </w:r>
            <w:r w:rsidR="00534833" w:rsidRPr="00887835">
              <w:rPr>
                <w:rFonts w:ascii="Times New Roman" w:hAnsi="Times New Roman"/>
                <w:lang w:val="nb-NO"/>
              </w:rPr>
              <w:t>ress</w:t>
            </w:r>
            <w:r w:rsidRPr="00887835">
              <w:rPr>
                <w:rFonts w:ascii="Times New Roman" w:hAnsi="Times New Roman"/>
                <w:lang w:val="nb-NO"/>
              </w:rPr>
              <w:t xml:space="preserve"> </w:t>
            </w:r>
            <w:r>
              <w:rPr>
                <w:rFonts w:ascii="Times New Roman" w:hAnsi="Times New Roman"/>
                <w:lang w:val="nb-NO"/>
              </w:rPr>
              <w:t xml:space="preserve">bestemt </w:t>
            </w:r>
            <w:r w:rsidR="00534833" w:rsidRPr="00776A84">
              <w:rPr>
                <w:rFonts w:ascii="Times New Roman" w:hAnsi="Times New Roman"/>
                <w:lang w:val="nb-NO"/>
              </w:rPr>
              <w:t xml:space="preserve">den ferdigfylte pennen </w:t>
            </w:r>
            <w:r w:rsidRPr="00776A84">
              <w:rPr>
                <w:rFonts w:ascii="Times New Roman" w:hAnsi="Times New Roman"/>
                <w:lang w:val="nb-NO"/>
              </w:rPr>
              <w:t>inn</w:t>
            </w:r>
            <w:r>
              <w:rPr>
                <w:rFonts w:ascii="Times New Roman" w:hAnsi="Times New Roman"/>
                <w:b w:val="0"/>
                <w:lang w:val="nb-NO"/>
              </w:rPr>
              <w:t xml:space="preserve"> </w:t>
            </w:r>
            <w:r w:rsidR="00534833" w:rsidRPr="00887835">
              <w:rPr>
                <w:rFonts w:ascii="Times New Roman" w:hAnsi="Times New Roman"/>
                <w:b w:val="0"/>
                <w:lang w:val="nb-NO"/>
              </w:rPr>
              <w:t>mot injeksjo</w:t>
            </w:r>
            <w:r w:rsidR="00534833">
              <w:rPr>
                <w:rFonts w:ascii="Times New Roman" w:hAnsi="Times New Roman"/>
                <w:b w:val="0"/>
                <w:lang w:val="nb-NO"/>
              </w:rPr>
              <w:t>n</w:t>
            </w:r>
            <w:r w:rsidR="00534833" w:rsidRPr="00887835">
              <w:rPr>
                <w:rFonts w:ascii="Times New Roman" w:hAnsi="Times New Roman"/>
                <w:b w:val="0"/>
                <w:lang w:val="nb-NO"/>
              </w:rPr>
              <w:t>sstedet</w:t>
            </w:r>
            <w:r>
              <w:rPr>
                <w:rFonts w:ascii="Times New Roman" w:hAnsi="Times New Roman"/>
                <w:b w:val="0"/>
                <w:lang w:val="nb-NO"/>
              </w:rPr>
              <w:t xml:space="preserve"> før du starter injeksjonen</w:t>
            </w:r>
            <w:r w:rsidRPr="00887835">
              <w:rPr>
                <w:rFonts w:ascii="Times New Roman" w:hAnsi="Times New Roman"/>
                <w:b w:val="0"/>
                <w:lang w:val="nb-NO"/>
              </w:rPr>
              <w:t>.</w:t>
            </w:r>
            <w:r>
              <w:rPr>
                <w:rFonts w:ascii="Times New Roman" w:hAnsi="Times New Roman"/>
                <w:b w:val="0"/>
                <w:lang w:val="nb-NO"/>
              </w:rPr>
              <w:t xml:space="preserve"> </w:t>
            </w:r>
          </w:p>
          <w:p w14:paraId="5D911339" w14:textId="77777777" w:rsidR="00E152DF" w:rsidRPr="00887835" w:rsidRDefault="00E453CD" w:rsidP="003764A0">
            <w:pPr>
              <w:pStyle w:val="EMEAHeadingLeaflet"/>
              <w:keepNext/>
              <w:spacing w:beforeLines="0" w:before="0" w:afterLines="0" w:after="0"/>
              <w:rPr>
                <w:rFonts w:ascii="Times New Roman" w:hAnsi="Times New Roman"/>
                <w:b w:val="0"/>
                <w:lang w:val="nb-NO"/>
              </w:rPr>
            </w:pPr>
            <w:r w:rsidRPr="00776A84">
              <w:rPr>
                <w:rFonts w:ascii="Times New Roman" w:hAnsi="Times New Roman"/>
                <w:lang w:val="nb-NO"/>
              </w:rPr>
              <w:t>Fortsett å presse</w:t>
            </w:r>
            <w:r>
              <w:rPr>
                <w:rFonts w:ascii="Times New Roman" w:hAnsi="Times New Roman"/>
                <w:b w:val="0"/>
                <w:lang w:val="nb-NO"/>
              </w:rPr>
              <w:t xml:space="preserve"> inn for å hindre at den ferdigfylte pennen beveger seg bort fra huden når injeksjonen settes.</w:t>
            </w:r>
          </w:p>
          <w:p w14:paraId="219B6027" w14:textId="77777777" w:rsidR="00E152DF" w:rsidRPr="00887835" w:rsidRDefault="00E152DF" w:rsidP="003764A0">
            <w:pPr>
              <w:pStyle w:val="EMEANormal"/>
              <w:keepNext/>
              <w:rPr>
                <w:lang w:val="nb-NO"/>
              </w:rPr>
            </w:pPr>
          </w:p>
          <w:p w14:paraId="60C487F7" w14:textId="77777777" w:rsidR="00E152DF" w:rsidRPr="00887835"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lang w:val="nb-NO"/>
              </w:rPr>
              <w:t>Press</w:t>
            </w:r>
            <w:r w:rsidRPr="00887835">
              <w:rPr>
                <w:rFonts w:ascii="Times New Roman" w:hAnsi="Times New Roman"/>
                <w:b w:val="0"/>
                <w:lang w:val="nb-NO"/>
              </w:rPr>
              <w:t xml:space="preserve"> </w:t>
            </w:r>
            <w:r w:rsidR="000642AD" w:rsidRPr="00887835">
              <w:rPr>
                <w:rFonts w:ascii="Times New Roman" w:hAnsi="Times New Roman"/>
                <w:b w:val="0"/>
                <w:lang w:val="nb-NO"/>
              </w:rPr>
              <w:t xml:space="preserve">den plommefargede aktiveringsknappen og tell sakte i </w:t>
            </w:r>
            <w:r w:rsidRPr="00887835">
              <w:rPr>
                <w:rFonts w:ascii="Times New Roman" w:hAnsi="Times New Roman"/>
                <w:lang w:val="nb-NO"/>
              </w:rPr>
              <w:t xml:space="preserve">10 </w:t>
            </w:r>
            <w:r w:rsidRPr="00887835">
              <w:rPr>
                <w:rFonts w:ascii="Times New Roman" w:hAnsi="Times New Roman"/>
                <w:b w:val="0"/>
                <w:lang w:val="nb-NO"/>
              </w:rPr>
              <w:t>se</w:t>
            </w:r>
            <w:r w:rsidR="000642AD" w:rsidRPr="00887835">
              <w:rPr>
                <w:rFonts w:ascii="Times New Roman" w:hAnsi="Times New Roman"/>
                <w:b w:val="0"/>
                <w:lang w:val="nb-NO"/>
              </w:rPr>
              <w:t>kunder</w:t>
            </w:r>
            <w:r w:rsidRPr="00887835">
              <w:rPr>
                <w:rFonts w:ascii="Times New Roman" w:hAnsi="Times New Roman"/>
                <w:b w:val="0"/>
                <w:lang w:val="nb-NO"/>
              </w:rPr>
              <w:t>.</w:t>
            </w:r>
          </w:p>
          <w:p w14:paraId="6EA0F9BA" w14:textId="77777777" w:rsidR="00E152DF" w:rsidRPr="00887835" w:rsidRDefault="00E152DF" w:rsidP="003764A0">
            <w:pPr>
              <w:pStyle w:val="EMEANormal"/>
              <w:keepNext/>
              <w:rPr>
                <w:lang w:val="nb-NO"/>
              </w:rPr>
            </w:pPr>
          </w:p>
          <w:p w14:paraId="30993D19" w14:textId="77777777" w:rsidR="00E152DF" w:rsidRPr="00887835" w:rsidRDefault="00E453CD" w:rsidP="003764A0">
            <w:pPr>
              <w:pStyle w:val="EMEAHeadingLeaflet"/>
              <w:keepNext/>
              <w:numPr>
                <w:ilvl w:val="0"/>
                <w:numId w:val="120"/>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 xml:space="preserve">Et høyt </w:t>
            </w:r>
            <w:r w:rsidR="00D57009">
              <w:rPr>
                <w:rFonts w:ascii="Times New Roman" w:hAnsi="Times New Roman"/>
                <w:lang w:val="nb-NO"/>
              </w:rPr>
              <w:t>«</w:t>
            </w:r>
            <w:r w:rsidRPr="00887835">
              <w:rPr>
                <w:rFonts w:ascii="Times New Roman" w:hAnsi="Times New Roman"/>
                <w:lang w:val="nb-NO"/>
              </w:rPr>
              <w:t>klikk</w:t>
            </w:r>
            <w:r w:rsidR="00D57009">
              <w:rPr>
                <w:rFonts w:ascii="Times New Roman" w:hAnsi="Times New Roman"/>
                <w:lang w:val="nb-NO"/>
              </w:rPr>
              <w:t>»</w:t>
            </w:r>
            <w:r w:rsidRPr="00887835">
              <w:rPr>
                <w:rFonts w:ascii="Times New Roman" w:hAnsi="Times New Roman"/>
                <w:b w:val="0"/>
                <w:lang w:val="nb-NO"/>
              </w:rPr>
              <w:t xml:space="preserve"> vil signalisere at injeksjonen har startet</w:t>
            </w:r>
          </w:p>
          <w:p w14:paraId="01C9AA8C" w14:textId="77777777" w:rsidR="00E152DF" w:rsidRPr="00887835" w:rsidRDefault="00E453CD" w:rsidP="003764A0">
            <w:pPr>
              <w:pStyle w:val="EMEAHeadingLeaflet"/>
              <w:keepNext/>
              <w:numPr>
                <w:ilvl w:val="0"/>
                <w:numId w:val="120"/>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 xml:space="preserve">Fortsett å presse </w:t>
            </w:r>
            <w:r w:rsidRPr="00887835">
              <w:rPr>
                <w:rFonts w:ascii="Times New Roman" w:hAnsi="Times New Roman"/>
                <w:b w:val="0"/>
                <w:lang w:val="nb-NO"/>
              </w:rPr>
              <w:t xml:space="preserve">den ferdigfylte pennen </w:t>
            </w:r>
            <w:r w:rsidR="00BF11DC" w:rsidRPr="00776A84">
              <w:rPr>
                <w:rFonts w:ascii="Times New Roman" w:hAnsi="Times New Roman"/>
                <w:lang w:val="nb-NO"/>
              </w:rPr>
              <w:t>bestemt</w:t>
            </w:r>
            <w:r w:rsidR="00BF11DC">
              <w:rPr>
                <w:rFonts w:ascii="Times New Roman" w:hAnsi="Times New Roman"/>
                <w:b w:val="0"/>
                <w:lang w:val="nb-NO"/>
              </w:rPr>
              <w:t xml:space="preserve"> inn </w:t>
            </w:r>
            <w:r w:rsidRPr="00887835">
              <w:rPr>
                <w:rFonts w:ascii="Times New Roman" w:hAnsi="Times New Roman"/>
                <w:b w:val="0"/>
                <w:lang w:val="nb-NO"/>
              </w:rPr>
              <w:t xml:space="preserve">mot injeksjonsstedet </w:t>
            </w:r>
            <w:r w:rsidR="00BF11DC">
              <w:rPr>
                <w:rFonts w:ascii="Times New Roman" w:hAnsi="Times New Roman"/>
                <w:b w:val="0"/>
                <w:lang w:val="nb-NO"/>
              </w:rPr>
              <w:t>helt til injeksjonen er ferdig.</w:t>
            </w:r>
          </w:p>
          <w:p w14:paraId="30A074C2" w14:textId="77777777" w:rsidR="00E152DF" w:rsidRPr="00887835" w:rsidRDefault="00E152DF" w:rsidP="003764A0">
            <w:pPr>
              <w:pStyle w:val="EMEANormal"/>
              <w:keepNext/>
              <w:rPr>
                <w:lang w:val="nb-NO"/>
              </w:rPr>
            </w:pPr>
          </w:p>
          <w:p w14:paraId="16ABFD4A" w14:textId="77777777" w:rsidR="00E152DF" w:rsidRPr="00887835" w:rsidRDefault="00E453CD" w:rsidP="003764A0">
            <w:pPr>
              <w:pStyle w:val="EMEANormal"/>
              <w:keepNext/>
              <w:rPr>
                <w:lang w:val="nb-NO"/>
              </w:rPr>
            </w:pPr>
            <w:r w:rsidRPr="00887835">
              <w:rPr>
                <w:lang w:val="nb-NO"/>
              </w:rPr>
              <w:t>Injeksjonen er ferdig når den gule indikatoren har sluttet å bevege seg.</w:t>
            </w:r>
          </w:p>
        </w:tc>
      </w:tr>
      <w:tr w:rsidR="004644D4" w14:paraId="67F8F120" w14:textId="77777777" w:rsidTr="0061743D">
        <w:tc>
          <w:tcPr>
            <w:tcW w:w="3708" w:type="dxa"/>
            <w:tcBorders>
              <w:right w:val="nil"/>
            </w:tcBorders>
          </w:tcPr>
          <w:p w14:paraId="05FD918B" w14:textId="77777777" w:rsidR="00E152DF" w:rsidRDefault="00E453CD" w:rsidP="00D00F56">
            <w:pPr>
              <w:pStyle w:val="EMEANormal"/>
              <w:keepNext/>
              <w:rPr>
                <w:b/>
                <w:noProof/>
              </w:rPr>
            </w:pPr>
            <w:r w:rsidRPr="00452439">
              <w:rPr>
                <w:lang w:val="nb-NO"/>
              </w:rPr>
              <w:br w:type="page"/>
            </w:r>
            <w:r>
              <w:rPr>
                <w:b/>
                <w:noProof/>
              </w:rPr>
              <w:t>STE</w:t>
            </w:r>
            <w:r w:rsidR="00CF76C7">
              <w:rPr>
                <w:b/>
                <w:noProof/>
              </w:rPr>
              <w:t>G</w:t>
            </w:r>
            <w:r>
              <w:rPr>
                <w:b/>
                <w:noProof/>
              </w:rPr>
              <w:t xml:space="preserve"> 8</w:t>
            </w:r>
          </w:p>
          <w:p w14:paraId="6BC53E1C" w14:textId="77777777" w:rsidR="00E152DF" w:rsidRPr="0076511B" w:rsidRDefault="00E152DF" w:rsidP="00D00F56">
            <w:pPr>
              <w:pStyle w:val="EMEANormal"/>
              <w:keepNext/>
              <w:rPr>
                <w:b/>
                <w:noProof/>
              </w:rPr>
            </w:pPr>
          </w:p>
          <w:p w14:paraId="08ECB65B" w14:textId="77777777" w:rsidR="00E152DF" w:rsidRPr="005D17EB" w:rsidRDefault="00E453CD" w:rsidP="00D00F56">
            <w:pPr>
              <w:pStyle w:val="EMEANormal"/>
              <w:keepNext/>
              <w:rPr>
                <w:lang w:val="en-GB"/>
              </w:rPr>
            </w:pPr>
            <w:r>
              <w:rPr>
                <w:noProof/>
                <w:lang w:val="en-GB" w:eastAsia="en-GB"/>
              </w:rPr>
              <w:drawing>
                <wp:inline distT="0" distB="0" distL="0" distR="0" wp14:anchorId="785B30DA" wp14:editId="5D6E20F1">
                  <wp:extent cx="2028825" cy="1809750"/>
                  <wp:effectExtent l="0" t="0" r="9525" b="0"/>
                  <wp:docPr id="98" name="Picture 98"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5" descr="STEP8_grey"/>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r>
              <w:rPr>
                <w:noProof/>
              </w:rPr>
              <w:t xml:space="preserve"> </w:t>
            </w:r>
          </w:p>
        </w:tc>
        <w:tc>
          <w:tcPr>
            <w:tcW w:w="5579" w:type="dxa"/>
            <w:tcBorders>
              <w:left w:val="nil"/>
            </w:tcBorders>
          </w:tcPr>
          <w:p w14:paraId="7C1C7009" w14:textId="77777777" w:rsidR="00E152DF" w:rsidRPr="00887835" w:rsidRDefault="00E152DF" w:rsidP="00D00F56">
            <w:pPr>
              <w:pStyle w:val="EMEAHeadingLeaflet"/>
              <w:keepNext/>
              <w:spacing w:beforeLines="0" w:before="0" w:afterLines="0" w:after="0"/>
              <w:rPr>
                <w:rFonts w:ascii="Times New Roman" w:hAnsi="Times New Roman"/>
                <w:b w:val="0"/>
                <w:lang w:val="nb-NO"/>
              </w:rPr>
            </w:pPr>
          </w:p>
          <w:p w14:paraId="6A030533" w14:textId="77777777" w:rsidR="00E152DF" w:rsidRPr="00887835" w:rsidRDefault="00E453CD" w:rsidP="00D00F56">
            <w:pPr>
              <w:pStyle w:val="EMEAHeadingLeaflet"/>
              <w:keepNext/>
              <w:spacing w:beforeLines="0" w:before="0" w:afterLines="0" w:after="0"/>
              <w:rPr>
                <w:rFonts w:ascii="Times New Roman" w:hAnsi="Times New Roman"/>
                <w:b w:val="0"/>
                <w:lang w:val="nb-NO"/>
              </w:rPr>
            </w:pPr>
            <w:r>
              <w:rPr>
                <w:rFonts w:ascii="Times New Roman" w:hAnsi="Times New Roman"/>
                <w:b w:val="0"/>
                <w:lang w:val="nb-NO"/>
              </w:rPr>
              <w:t>Flytt</w:t>
            </w:r>
            <w:r w:rsidR="00FB63C8" w:rsidRPr="00887835">
              <w:rPr>
                <w:rFonts w:ascii="Times New Roman" w:hAnsi="Times New Roman"/>
                <w:b w:val="0"/>
                <w:lang w:val="nb-NO"/>
              </w:rPr>
              <w:t xml:space="preserve"> den ferdigfylte pennen sakte </w:t>
            </w:r>
            <w:r w:rsidR="00FB63C8">
              <w:rPr>
                <w:rFonts w:ascii="Times New Roman" w:hAnsi="Times New Roman"/>
                <w:b w:val="0"/>
                <w:lang w:val="nb-NO"/>
              </w:rPr>
              <w:t>vekk fra huden n</w:t>
            </w:r>
            <w:r w:rsidR="00FB63C8" w:rsidRPr="00887835">
              <w:rPr>
                <w:rFonts w:ascii="Times New Roman" w:hAnsi="Times New Roman"/>
                <w:b w:val="0"/>
                <w:lang w:val="nb-NO"/>
              </w:rPr>
              <w:t>år injeksjonen er ferdig</w:t>
            </w:r>
            <w:r w:rsidRPr="00887835">
              <w:rPr>
                <w:rFonts w:ascii="Times New Roman" w:hAnsi="Times New Roman"/>
                <w:b w:val="0"/>
                <w:lang w:val="nb-NO"/>
              </w:rPr>
              <w:t xml:space="preserve">. </w:t>
            </w:r>
            <w:r w:rsidR="00FB63C8" w:rsidRPr="00887835">
              <w:rPr>
                <w:rFonts w:ascii="Times New Roman" w:hAnsi="Times New Roman"/>
                <w:b w:val="0"/>
                <w:lang w:val="nb-NO"/>
              </w:rPr>
              <w:t xml:space="preserve">Den hvite </w:t>
            </w:r>
            <w:r w:rsidR="008138BF">
              <w:rPr>
                <w:rFonts w:ascii="Times New Roman" w:hAnsi="Times New Roman"/>
                <w:b w:val="0"/>
                <w:lang w:val="nb-NO"/>
              </w:rPr>
              <w:t>kanyle</w:t>
            </w:r>
            <w:r w:rsidR="00FB63C8" w:rsidRPr="00887835">
              <w:rPr>
                <w:rFonts w:ascii="Times New Roman" w:hAnsi="Times New Roman"/>
                <w:b w:val="0"/>
                <w:lang w:val="nb-NO"/>
              </w:rPr>
              <w:t xml:space="preserve">beskyttelsen vil dekke </w:t>
            </w:r>
            <w:r w:rsidR="00FB63C8">
              <w:rPr>
                <w:rFonts w:ascii="Times New Roman" w:hAnsi="Times New Roman"/>
                <w:b w:val="0"/>
                <w:lang w:val="nb-NO"/>
              </w:rPr>
              <w:t xml:space="preserve">over </w:t>
            </w:r>
            <w:r w:rsidR="008138BF">
              <w:rPr>
                <w:rFonts w:ascii="Times New Roman" w:hAnsi="Times New Roman"/>
                <w:b w:val="0"/>
                <w:lang w:val="nb-NO"/>
              </w:rPr>
              <w:t>kanyle</w:t>
            </w:r>
            <w:r w:rsidR="00FB63C8">
              <w:rPr>
                <w:rFonts w:ascii="Times New Roman" w:hAnsi="Times New Roman"/>
                <w:b w:val="0"/>
                <w:lang w:val="nb-NO"/>
              </w:rPr>
              <w:t>spissen</w:t>
            </w:r>
            <w:r w:rsidRPr="00887835">
              <w:rPr>
                <w:rFonts w:ascii="Times New Roman" w:hAnsi="Times New Roman"/>
                <w:b w:val="0"/>
                <w:lang w:val="nb-NO"/>
              </w:rPr>
              <w:t>.</w:t>
            </w:r>
          </w:p>
          <w:p w14:paraId="10EB6027" w14:textId="77777777" w:rsidR="00BC2240" w:rsidRPr="00BC2240" w:rsidRDefault="00E453CD" w:rsidP="00BC2240">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Det er normalt å se </w:t>
            </w:r>
            <w:r>
              <w:rPr>
                <w:rFonts w:ascii="Times New Roman" w:hAnsi="Times New Roman"/>
                <w:b w:val="0"/>
                <w:lang w:val="nb-NO"/>
              </w:rPr>
              <w:t xml:space="preserve">litt </w:t>
            </w:r>
            <w:r w:rsidRPr="00887835">
              <w:rPr>
                <w:rFonts w:ascii="Times New Roman" w:hAnsi="Times New Roman"/>
                <w:b w:val="0"/>
                <w:lang w:val="nb-NO"/>
              </w:rPr>
              <w:t xml:space="preserve">av </w:t>
            </w:r>
            <w:r w:rsidRPr="00BC2240">
              <w:rPr>
                <w:rFonts w:ascii="Times New Roman" w:hAnsi="Times New Roman"/>
                <w:b w:val="0"/>
                <w:lang w:val="nb-NO"/>
              </w:rPr>
              <w:t>oppløsninge</w:t>
            </w:r>
            <w:r>
              <w:rPr>
                <w:rFonts w:ascii="Times New Roman" w:hAnsi="Times New Roman"/>
                <w:b w:val="0"/>
                <w:lang w:val="nb-NO"/>
              </w:rPr>
              <w:t>n på injeksjonsstedet</w:t>
            </w:r>
          </w:p>
          <w:p w14:paraId="30D47DDA" w14:textId="77777777" w:rsidR="00E152DF" w:rsidRPr="00887835" w:rsidRDefault="00E152DF" w:rsidP="00D00F56">
            <w:pPr>
              <w:pStyle w:val="EMEANormal"/>
              <w:keepNext/>
              <w:rPr>
                <w:lang w:val="nb-NO"/>
              </w:rPr>
            </w:pPr>
          </w:p>
          <w:p w14:paraId="62ECEB2F" w14:textId="77777777" w:rsidR="00E152DF" w:rsidRPr="00887835" w:rsidRDefault="00E453CD" w:rsidP="00D00F56">
            <w:pPr>
              <w:pStyle w:val="EMEANormal"/>
              <w:keepNext/>
              <w:rPr>
                <w:lang w:val="nb-NO"/>
              </w:rPr>
            </w:pPr>
            <w:r w:rsidRPr="00887835">
              <w:rPr>
                <w:lang w:val="nb-NO"/>
              </w:rPr>
              <w:t xml:space="preserve">Dersom det er mer enn noen få dråper med oppløsning på injeksjonsstedet, </w:t>
            </w:r>
            <w:r>
              <w:rPr>
                <w:lang w:val="nb-NO"/>
              </w:rPr>
              <w:t>kontakt legen din</w:t>
            </w:r>
            <w:r w:rsidRPr="00887835">
              <w:rPr>
                <w:lang w:val="nb-NO"/>
              </w:rPr>
              <w:t xml:space="preserve">, </w:t>
            </w:r>
            <w:r>
              <w:rPr>
                <w:lang w:val="nb-NO"/>
              </w:rPr>
              <w:t xml:space="preserve">sykepleier eller </w:t>
            </w:r>
            <w:r w:rsidR="00E23921">
              <w:rPr>
                <w:lang w:val="nb-NO"/>
              </w:rPr>
              <w:t>apotek</w:t>
            </w:r>
            <w:r w:rsidRPr="00887835">
              <w:rPr>
                <w:lang w:val="nb-NO"/>
              </w:rPr>
              <w:t>.</w:t>
            </w:r>
          </w:p>
          <w:p w14:paraId="360765DB" w14:textId="77777777" w:rsidR="00E152DF" w:rsidRPr="00887835" w:rsidRDefault="00E453CD" w:rsidP="00D00F56">
            <w:pPr>
              <w:pStyle w:val="EMEANormal"/>
              <w:keepNext/>
              <w:rPr>
                <w:lang w:val="nb-NO"/>
              </w:rPr>
            </w:pPr>
            <w:r w:rsidRPr="001A1AC5">
              <w:rPr>
                <w:lang w:val="nb-NO"/>
              </w:rPr>
              <w:t xml:space="preserve"> </w:t>
            </w:r>
          </w:p>
          <w:p w14:paraId="54DB5F18" w14:textId="77777777" w:rsidR="00E152DF" w:rsidRPr="00887835" w:rsidRDefault="00E453CD" w:rsidP="00D00F56">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Etter endt injeksjon, plasser en bomullsdott eller gasbind på huden over injeksjonsstedet.</w:t>
            </w:r>
          </w:p>
          <w:p w14:paraId="7EDC0211" w14:textId="77777777" w:rsidR="00E152DF" w:rsidRPr="00887835" w:rsidRDefault="00E152DF" w:rsidP="00D00F56">
            <w:pPr>
              <w:pStyle w:val="EMEANormal"/>
              <w:keepNext/>
              <w:rPr>
                <w:lang w:val="nb-NO"/>
              </w:rPr>
            </w:pPr>
          </w:p>
          <w:p w14:paraId="59484B06" w14:textId="77777777" w:rsidR="00E152DF" w:rsidRPr="005D17EB" w:rsidRDefault="00E453CD" w:rsidP="00D00F56">
            <w:pPr>
              <w:pStyle w:val="EMEAHeadingLeaflet"/>
              <w:keepNext/>
              <w:numPr>
                <w:ilvl w:val="0"/>
                <w:numId w:val="121"/>
              </w:numPr>
              <w:tabs>
                <w:tab w:val="clear" w:pos="562"/>
                <w:tab w:val="left" w:pos="757"/>
              </w:tabs>
              <w:spacing w:beforeLines="0" w:before="0" w:afterLines="0" w:after="0"/>
              <w:ind w:left="757"/>
              <w:rPr>
                <w:rFonts w:ascii="Times New Roman" w:hAnsi="Times New Roman"/>
                <w:b w:val="0"/>
                <w:lang w:val="en-GB"/>
              </w:rPr>
            </w:pPr>
            <w:r>
              <w:rPr>
                <w:rFonts w:ascii="Times New Roman" w:hAnsi="Times New Roman"/>
                <w:lang w:val="en-GB"/>
              </w:rPr>
              <w:t>Ikke</w:t>
            </w:r>
            <w:r w:rsidRPr="005D17EB">
              <w:rPr>
                <w:rFonts w:ascii="Times New Roman" w:hAnsi="Times New Roman"/>
                <w:b w:val="0"/>
                <w:lang w:val="en-GB"/>
              </w:rPr>
              <w:t xml:space="preserve"> </w:t>
            </w:r>
            <w:r>
              <w:rPr>
                <w:rFonts w:ascii="Times New Roman" w:hAnsi="Times New Roman"/>
                <w:b w:val="0"/>
                <w:lang w:val="en-GB"/>
              </w:rPr>
              <w:t>gni</w:t>
            </w:r>
          </w:p>
          <w:p w14:paraId="457300F8" w14:textId="77777777" w:rsidR="00E152DF" w:rsidRPr="00887835" w:rsidRDefault="00E453CD" w:rsidP="00D00F56">
            <w:pPr>
              <w:pStyle w:val="EMEANormal"/>
              <w:keepNext/>
              <w:numPr>
                <w:ilvl w:val="0"/>
                <w:numId w:val="121"/>
              </w:numPr>
              <w:tabs>
                <w:tab w:val="clear" w:pos="562"/>
                <w:tab w:val="left" w:pos="757"/>
              </w:tabs>
              <w:ind w:left="757"/>
              <w:rPr>
                <w:lang w:val="nb-NO"/>
              </w:rPr>
            </w:pPr>
            <w:r w:rsidRPr="00887835">
              <w:rPr>
                <w:lang w:val="nb-NO"/>
              </w:rPr>
              <w:t>Litt blødning ved injeksjonsstedet er normalt</w:t>
            </w:r>
          </w:p>
        </w:tc>
      </w:tr>
      <w:tr w:rsidR="004644D4" w14:paraId="7A118CEA" w14:textId="77777777" w:rsidTr="0061743D">
        <w:tc>
          <w:tcPr>
            <w:tcW w:w="9287" w:type="dxa"/>
            <w:gridSpan w:val="2"/>
          </w:tcPr>
          <w:p w14:paraId="544739F5" w14:textId="77777777" w:rsidR="00E152DF" w:rsidRPr="00FF5521" w:rsidRDefault="00E453CD" w:rsidP="00D00F56">
            <w:pPr>
              <w:rPr>
                <w:b/>
              </w:rPr>
            </w:pPr>
            <w:r w:rsidRPr="00887835">
              <w:rPr>
                <w:b/>
              </w:rPr>
              <w:t>STEG</w:t>
            </w:r>
            <w:r w:rsidRPr="00FF5521">
              <w:rPr>
                <w:b/>
              </w:rPr>
              <w:t xml:space="preserve"> 9</w:t>
            </w:r>
          </w:p>
          <w:p w14:paraId="4B8743F8" w14:textId="77777777" w:rsidR="00E152DF" w:rsidRPr="00FF5521" w:rsidRDefault="00E152DF" w:rsidP="00D00F56">
            <w:pPr>
              <w:rPr>
                <w:b/>
              </w:rPr>
            </w:pPr>
          </w:p>
          <w:p w14:paraId="1F476460" w14:textId="77777777" w:rsidR="00E152DF" w:rsidRPr="00887835" w:rsidRDefault="00E453CD" w:rsidP="00D00F56">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Kast den brukte ferdigfylte pennen i en spesiell avfallsbeholder slik du har fått beskjed om fra legen</w:t>
            </w:r>
            <w:r w:rsidR="00545DB7" w:rsidRPr="00545DB7">
              <w:rPr>
                <w:rFonts w:ascii="Times New Roman" w:hAnsi="Times New Roman"/>
                <w:b w:val="0"/>
                <w:lang w:val="nb-NO"/>
              </w:rPr>
              <w:t xml:space="preserve"> din, sykepleier eller </w:t>
            </w:r>
            <w:r w:rsidR="00545DB7">
              <w:rPr>
                <w:rFonts w:ascii="Times New Roman" w:hAnsi="Times New Roman"/>
                <w:b w:val="0"/>
                <w:lang w:val="nb-NO"/>
              </w:rPr>
              <w:t>apotek</w:t>
            </w:r>
            <w:r w:rsidRPr="00887835">
              <w:rPr>
                <w:rFonts w:ascii="Times New Roman" w:hAnsi="Times New Roman"/>
                <w:b w:val="0"/>
                <w:lang w:val="nb-NO"/>
              </w:rPr>
              <w:t>.</w:t>
            </w:r>
          </w:p>
          <w:p w14:paraId="10E28434" w14:textId="77777777" w:rsidR="00E152DF" w:rsidRPr="00887835" w:rsidRDefault="00E152DF" w:rsidP="00D00F56">
            <w:pPr>
              <w:pStyle w:val="EMEANormal"/>
              <w:rPr>
                <w:lang w:val="nb-NO"/>
              </w:rPr>
            </w:pPr>
          </w:p>
          <w:p w14:paraId="5CF683C0" w14:textId="77777777" w:rsidR="00E152DF" w:rsidRPr="00887835" w:rsidRDefault="00E453CD" w:rsidP="00D00F56">
            <w:pPr>
              <w:pStyle w:val="EMEAHeadingLeaflet"/>
              <w:keepNext/>
              <w:numPr>
                <w:ilvl w:val="0"/>
                <w:numId w:val="122"/>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resirkuler eller kast den ferdigfylte pennen i vanlig husholdningsavfal</w:t>
            </w:r>
            <w:r>
              <w:rPr>
                <w:rFonts w:ascii="Times New Roman" w:hAnsi="Times New Roman"/>
                <w:b w:val="0"/>
                <w:lang w:val="nb-NO"/>
              </w:rPr>
              <w:t>l</w:t>
            </w:r>
          </w:p>
          <w:p w14:paraId="782933D0" w14:textId="77777777" w:rsidR="00E152DF" w:rsidRPr="00887835" w:rsidRDefault="00E453CD" w:rsidP="00D00F56">
            <w:pPr>
              <w:pStyle w:val="EMEANormal"/>
              <w:numPr>
                <w:ilvl w:val="0"/>
                <w:numId w:val="122"/>
              </w:numPr>
              <w:tabs>
                <w:tab w:val="clear" w:pos="562"/>
                <w:tab w:val="left" w:pos="720"/>
              </w:tabs>
              <w:rPr>
                <w:lang w:val="nb-NO"/>
              </w:rPr>
            </w:pPr>
            <w:r w:rsidRPr="00887835">
              <w:rPr>
                <w:lang w:val="nb-NO"/>
              </w:rPr>
              <w:t>Oppbevar</w:t>
            </w:r>
            <w:r w:rsidRPr="00887835">
              <w:rPr>
                <w:b/>
                <w:lang w:val="nb-NO"/>
              </w:rPr>
              <w:t xml:space="preserve"> alltid </w:t>
            </w:r>
            <w:r w:rsidR="0065055A">
              <w:rPr>
                <w:lang w:val="nb-NO"/>
              </w:rPr>
              <w:t xml:space="preserve">den </w:t>
            </w:r>
            <w:r w:rsidRPr="00887835">
              <w:rPr>
                <w:lang w:val="nb-NO"/>
              </w:rPr>
              <w:t>ferdigfylt</w:t>
            </w:r>
            <w:r w:rsidR="002F1449">
              <w:rPr>
                <w:lang w:val="nb-NO"/>
              </w:rPr>
              <w:t>e</w:t>
            </w:r>
            <w:r w:rsidRPr="00887835">
              <w:rPr>
                <w:lang w:val="nb-NO"/>
              </w:rPr>
              <w:t xml:space="preserve"> penn</w:t>
            </w:r>
            <w:r w:rsidR="0065055A">
              <w:rPr>
                <w:lang w:val="nb-NO"/>
              </w:rPr>
              <w:t>en</w:t>
            </w:r>
            <w:r w:rsidRPr="00887835">
              <w:rPr>
                <w:lang w:val="nb-NO"/>
              </w:rPr>
              <w:t xml:space="preserve"> og den spesielle avfallsbeholderen utilgjengelig for barn</w:t>
            </w:r>
          </w:p>
          <w:p w14:paraId="5FB5B550" w14:textId="77777777" w:rsidR="0065055A" w:rsidRDefault="0065055A" w:rsidP="00D00F56">
            <w:pPr>
              <w:pStyle w:val="EMEANormal"/>
              <w:rPr>
                <w:szCs w:val="22"/>
                <w:lang w:val="nb-NO"/>
              </w:rPr>
            </w:pPr>
          </w:p>
          <w:p w14:paraId="58F9968D" w14:textId="77777777" w:rsidR="00E152DF" w:rsidRPr="00887835" w:rsidRDefault="00E453CD" w:rsidP="00D00F56">
            <w:pPr>
              <w:pStyle w:val="EMEANormal"/>
              <w:rPr>
                <w:lang w:val="nb-NO"/>
              </w:rPr>
            </w:pPr>
            <w:r w:rsidRPr="00887835">
              <w:rPr>
                <w:szCs w:val="22"/>
                <w:lang w:val="nb-NO"/>
              </w:rPr>
              <w:t>Hettene, injeksjonstørk, bomullsdott eller gasbind, blister og kartong kan kastes i husholdningsavfallet ditt.</w:t>
            </w:r>
          </w:p>
        </w:tc>
      </w:tr>
    </w:tbl>
    <w:p w14:paraId="0E57EA37" w14:textId="77777777" w:rsidR="009E676E" w:rsidRDefault="009E676E" w:rsidP="00E14E58">
      <w:pPr>
        <w:rPr>
          <w:sz w:val="22"/>
          <w:szCs w:val="22"/>
        </w:rPr>
      </w:pPr>
    </w:p>
    <w:p w14:paraId="5DC10789" w14:textId="77777777" w:rsidR="009E676E" w:rsidRDefault="00E453CD">
      <w:pPr>
        <w:rPr>
          <w:sz w:val="22"/>
          <w:szCs w:val="22"/>
        </w:rPr>
      </w:pPr>
      <w:r>
        <w:rPr>
          <w:sz w:val="22"/>
          <w:szCs w:val="22"/>
        </w:rPr>
        <w:br w:type="page"/>
      </w:r>
    </w:p>
    <w:p w14:paraId="514AFE84" w14:textId="77777777" w:rsidR="009E676E" w:rsidRPr="0075260B" w:rsidRDefault="00E453CD" w:rsidP="009E676E">
      <w:pPr>
        <w:ind w:left="54"/>
        <w:jc w:val="center"/>
        <w:rPr>
          <w:b/>
          <w:sz w:val="22"/>
          <w:szCs w:val="22"/>
        </w:rPr>
      </w:pPr>
      <w:r w:rsidRPr="0075260B">
        <w:rPr>
          <w:b/>
          <w:sz w:val="22"/>
          <w:szCs w:val="22"/>
        </w:rPr>
        <w:lastRenderedPageBreak/>
        <w:t>Pakningsvedlegg: Informasjon til pasienten</w:t>
      </w:r>
    </w:p>
    <w:p w14:paraId="4512EF6F" w14:textId="77777777" w:rsidR="009E676E" w:rsidRPr="0075260B" w:rsidRDefault="009E676E" w:rsidP="009E676E">
      <w:pPr>
        <w:jc w:val="center"/>
        <w:rPr>
          <w:b/>
          <w:sz w:val="22"/>
          <w:szCs w:val="22"/>
        </w:rPr>
      </w:pPr>
    </w:p>
    <w:p w14:paraId="02785B3B" w14:textId="77777777" w:rsidR="009E676E" w:rsidRPr="0075260B" w:rsidRDefault="00E453CD" w:rsidP="009E676E">
      <w:pPr>
        <w:jc w:val="center"/>
        <w:rPr>
          <w:sz w:val="22"/>
          <w:szCs w:val="22"/>
        </w:rPr>
      </w:pPr>
      <w:r w:rsidRPr="0075260B">
        <w:rPr>
          <w:b/>
          <w:sz w:val="22"/>
          <w:szCs w:val="22"/>
        </w:rPr>
        <w:t xml:space="preserve">Humira </w:t>
      </w:r>
      <w:r w:rsidR="00E836EE">
        <w:rPr>
          <w:b/>
          <w:sz w:val="22"/>
          <w:szCs w:val="22"/>
        </w:rPr>
        <w:t>8</w:t>
      </w:r>
      <w:r w:rsidRPr="0075260B">
        <w:rPr>
          <w:b/>
          <w:sz w:val="22"/>
          <w:szCs w:val="22"/>
        </w:rPr>
        <w:t xml:space="preserve">0 mg injeksjonsvæske, oppløsning i ferdigfylt </w:t>
      </w:r>
      <w:r w:rsidR="00E836EE">
        <w:rPr>
          <w:b/>
          <w:sz w:val="22"/>
          <w:szCs w:val="22"/>
        </w:rPr>
        <w:t>sprøyte</w:t>
      </w:r>
    </w:p>
    <w:p w14:paraId="5E509B1B" w14:textId="77777777" w:rsidR="009E676E" w:rsidRPr="0075260B" w:rsidRDefault="00E453CD" w:rsidP="009E676E">
      <w:pPr>
        <w:ind w:left="54"/>
        <w:jc w:val="center"/>
        <w:rPr>
          <w:sz w:val="22"/>
          <w:szCs w:val="22"/>
        </w:rPr>
      </w:pPr>
      <w:r w:rsidRPr="0075260B">
        <w:rPr>
          <w:sz w:val="22"/>
          <w:szCs w:val="22"/>
        </w:rPr>
        <w:t>adalimumab</w:t>
      </w:r>
    </w:p>
    <w:p w14:paraId="555B4F40" w14:textId="77777777" w:rsidR="009E676E" w:rsidRPr="0075260B" w:rsidRDefault="009E676E" w:rsidP="009E676E">
      <w:pPr>
        <w:ind w:left="54"/>
        <w:jc w:val="center"/>
        <w:rPr>
          <w:sz w:val="22"/>
          <w:szCs w:val="22"/>
        </w:rPr>
      </w:pPr>
    </w:p>
    <w:p w14:paraId="2AFC1F12" w14:textId="77777777" w:rsidR="009E676E" w:rsidRPr="009C5EFD" w:rsidRDefault="00E453CD" w:rsidP="00602A37">
      <w:pPr>
        <w:rPr>
          <w:sz w:val="22"/>
          <w:szCs w:val="22"/>
        </w:rPr>
      </w:pPr>
      <w:r w:rsidRPr="0075260B">
        <w:rPr>
          <w:b/>
          <w:sz w:val="22"/>
          <w:szCs w:val="22"/>
        </w:rPr>
        <w:t xml:space="preserve">Les nøye gjennom dette pakningsvedlegget før du begynner å bruke dette legemidlet. </w:t>
      </w:r>
      <w:r w:rsidRPr="009C5EFD">
        <w:rPr>
          <w:b/>
          <w:sz w:val="22"/>
          <w:szCs w:val="22"/>
        </w:rPr>
        <w:t>Det inneholder informasjon som er viktig for deg.</w:t>
      </w:r>
    </w:p>
    <w:p w14:paraId="2540C0B2" w14:textId="77777777" w:rsidR="009E676E" w:rsidRPr="009C5EFD" w:rsidRDefault="00E453CD" w:rsidP="009E676E">
      <w:pPr>
        <w:numPr>
          <w:ilvl w:val="0"/>
          <w:numId w:val="1"/>
        </w:numPr>
        <w:ind w:left="567" w:right="-2" w:hanging="567"/>
        <w:rPr>
          <w:sz w:val="22"/>
          <w:szCs w:val="22"/>
        </w:rPr>
      </w:pPr>
      <w:r w:rsidRPr="009C5EFD">
        <w:rPr>
          <w:sz w:val="22"/>
          <w:szCs w:val="22"/>
        </w:rPr>
        <w:t>Ta vare på dette pakningsvedlegget. Du kan få behov for å lese det igjen.</w:t>
      </w:r>
    </w:p>
    <w:p w14:paraId="402D2742" w14:textId="77777777" w:rsidR="009E676E" w:rsidRPr="009C5EFD" w:rsidRDefault="00E453CD" w:rsidP="009E676E">
      <w:pPr>
        <w:numPr>
          <w:ilvl w:val="0"/>
          <w:numId w:val="1"/>
        </w:numPr>
        <w:ind w:left="567" w:right="-2" w:hanging="567"/>
        <w:rPr>
          <w:sz w:val="22"/>
          <w:szCs w:val="22"/>
        </w:rPr>
      </w:pPr>
      <w:r w:rsidRPr="009C5EFD">
        <w:rPr>
          <w:sz w:val="22"/>
          <w:szCs w:val="22"/>
        </w:rPr>
        <w:t xml:space="preserve">Legen </w:t>
      </w:r>
      <w:r>
        <w:rPr>
          <w:sz w:val="22"/>
          <w:szCs w:val="22"/>
        </w:rPr>
        <w:t>din</w:t>
      </w:r>
      <w:r w:rsidRPr="009C5EFD">
        <w:rPr>
          <w:sz w:val="22"/>
          <w:szCs w:val="22"/>
        </w:rPr>
        <w:t xml:space="preserve"> vil også gi deg et </w:t>
      </w:r>
      <w:r w:rsidRPr="0061743D">
        <w:rPr>
          <w:b/>
          <w:sz w:val="22"/>
        </w:rPr>
        <w:t>pasientkort</w:t>
      </w:r>
      <w:r w:rsidRPr="009C5EFD">
        <w:rPr>
          <w:sz w:val="22"/>
          <w:szCs w:val="22"/>
        </w:rPr>
        <w:t xml:space="preserve"> som inneholder viktige sikkerhetsopplysninger som du må være oppmerksom på før du </w:t>
      </w:r>
      <w:r>
        <w:rPr>
          <w:sz w:val="22"/>
          <w:szCs w:val="22"/>
        </w:rPr>
        <w:t>begynner å bruke</w:t>
      </w:r>
      <w:r w:rsidRPr="009C5EFD">
        <w:rPr>
          <w:sz w:val="22"/>
          <w:szCs w:val="22"/>
        </w:rPr>
        <w:t xml:space="preserve"> Humira og under behandling med Humira. Ha dette </w:t>
      </w:r>
      <w:r w:rsidRPr="0061743D">
        <w:rPr>
          <w:b/>
          <w:sz w:val="22"/>
        </w:rPr>
        <w:t>pasientkortet</w:t>
      </w:r>
      <w:r w:rsidRPr="009C5EFD">
        <w:rPr>
          <w:sz w:val="22"/>
          <w:szCs w:val="22"/>
        </w:rPr>
        <w:t xml:space="preserve"> på deg.</w:t>
      </w:r>
    </w:p>
    <w:p w14:paraId="1F47EA77" w14:textId="77777777" w:rsidR="009E676E" w:rsidRPr="00AE0F3C" w:rsidRDefault="00E453CD" w:rsidP="00776A84">
      <w:pPr>
        <w:numPr>
          <w:ilvl w:val="0"/>
          <w:numId w:val="1"/>
        </w:numPr>
        <w:ind w:left="567" w:hanging="567"/>
        <w:rPr>
          <w:sz w:val="22"/>
          <w:szCs w:val="22"/>
        </w:rPr>
      </w:pPr>
      <w:r w:rsidRPr="00AE0F3C">
        <w:rPr>
          <w:sz w:val="22"/>
          <w:szCs w:val="22"/>
        </w:rPr>
        <w:t>Spør lege</w:t>
      </w:r>
      <w:r>
        <w:rPr>
          <w:sz w:val="22"/>
          <w:szCs w:val="22"/>
        </w:rPr>
        <w:t xml:space="preserve"> </w:t>
      </w:r>
      <w:r w:rsidRPr="00AE0F3C">
        <w:rPr>
          <w:sz w:val="22"/>
          <w:szCs w:val="22"/>
        </w:rPr>
        <w:t>eller</w:t>
      </w:r>
      <w:r>
        <w:rPr>
          <w:sz w:val="22"/>
          <w:szCs w:val="22"/>
        </w:rPr>
        <w:t xml:space="preserve"> </w:t>
      </w:r>
      <w:r w:rsidRPr="00AE0F3C">
        <w:rPr>
          <w:sz w:val="22"/>
          <w:szCs w:val="22"/>
        </w:rPr>
        <w:t>apotek hvis du har flere spørsmål eller trenger</w:t>
      </w:r>
      <w:r>
        <w:rPr>
          <w:sz w:val="22"/>
          <w:szCs w:val="22"/>
        </w:rPr>
        <w:t xml:space="preserve"> </w:t>
      </w:r>
      <w:r w:rsidRPr="00AE0F3C">
        <w:rPr>
          <w:sz w:val="22"/>
          <w:szCs w:val="22"/>
        </w:rPr>
        <w:t>mer informasjon.</w:t>
      </w:r>
    </w:p>
    <w:p w14:paraId="24FAA8C1" w14:textId="77777777" w:rsidR="009E676E" w:rsidRPr="009C5EFD" w:rsidRDefault="00E453CD" w:rsidP="009E676E">
      <w:pPr>
        <w:numPr>
          <w:ilvl w:val="0"/>
          <w:numId w:val="1"/>
        </w:numPr>
        <w:ind w:left="567" w:right="-2" w:hanging="567"/>
        <w:rPr>
          <w:b/>
          <w:sz w:val="22"/>
          <w:szCs w:val="22"/>
        </w:rPr>
      </w:pPr>
      <w:r w:rsidRPr="009C5EFD">
        <w:rPr>
          <w:sz w:val="22"/>
          <w:szCs w:val="22"/>
        </w:rPr>
        <w:t>Dette legemidlet er skrevet ut kun til deg. Ikke gi det videre til andre. Det kan skade dem, selv om de har symptomer på sykdom som ligner dine.</w:t>
      </w:r>
    </w:p>
    <w:p w14:paraId="3F28BF91" w14:textId="77777777" w:rsidR="009E676E" w:rsidRPr="009C5EFD" w:rsidRDefault="00E453CD" w:rsidP="009E676E">
      <w:pPr>
        <w:numPr>
          <w:ilvl w:val="0"/>
          <w:numId w:val="1"/>
        </w:numPr>
        <w:ind w:left="567" w:right="-2" w:hanging="567"/>
        <w:rPr>
          <w:b/>
          <w:sz w:val="22"/>
          <w:szCs w:val="22"/>
        </w:rPr>
      </w:pPr>
      <w:r w:rsidRPr="009C5EFD">
        <w:rPr>
          <w:sz w:val="22"/>
          <w:szCs w:val="22"/>
        </w:rPr>
        <w:t>Kontakt lege</w:t>
      </w:r>
      <w:r>
        <w:rPr>
          <w:sz w:val="22"/>
          <w:szCs w:val="22"/>
        </w:rPr>
        <w:t>n din</w:t>
      </w:r>
      <w:r w:rsidRPr="009C5EFD">
        <w:rPr>
          <w:sz w:val="22"/>
          <w:szCs w:val="22"/>
        </w:rPr>
        <w:t xml:space="preserve"> eller apotek dersom du opplever bivirkninger, inkludert mulige bivirkninger som ikke er nevnt i dette pakningsvedlegget. Se avsnitt 4.</w:t>
      </w:r>
    </w:p>
    <w:p w14:paraId="1949F425" w14:textId="77777777" w:rsidR="009E676E" w:rsidRPr="009C5EFD" w:rsidRDefault="009E676E" w:rsidP="00AF70AD">
      <w:pPr>
        <w:ind w:right="-2"/>
        <w:rPr>
          <w:sz w:val="22"/>
          <w:szCs w:val="22"/>
        </w:rPr>
      </w:pPr>
    </w:p>
    <w:p w14:paraId="4527FA72" w14:textId="77777777" w:rsidR="009E676E" w:rsidRPr="009C5EFD" w:rsidRDefault="00E453CD" w:rsidP="00776A84">
      <w:pPr>
        <w:keepNext/>
        <w:rPr>
          <w:sz w:val="22"/>
          <w:szCs w:val="22"/>
        </w:rPr>
      </w:pPr>
      <w:r w:rsidRPr="009C5EFD">
        <w:rPr>
          <w:b/>
          <w:sz w:val="22"/>
          <w:szCs w:val="22"/>
        </w:rPr>
        <w:t>I dette pakningsvedlegget finner du informasjon om</w:t>
      </w:r>
    </w:p>
    <w:p w14:paraId="29BFBA70" w14:textId="77777777" w:rsidR="009E676E" w:rsidRPr="009C5EFD" w:rsidRDefault="00E453CD" w:rsidP="009E676E">
      <w:pPr>
        <w:ind w:left="567" w:right="-29" w:hanging="567"/>
        <w:rPr>
          <w:sz w:val="22"/>
          <w:szCs w:val="22"/>
        </w:rPr>
      </w:pPr>
      <w:r w:rsidRPr="009C5EFD">
        <w:rPr>
          <w:sz w:val="22"/>
          <w:szCs w:val="22"/>
        </w:rPr>
        <w:t>1.</w:t>
      </w:r>
      <w:r w:rsidRPr="009C5EFD">
        <w:rPr>
          <w:sz w:val="22"/>
          <w:szCs w:val="22"/>
        </w:rPr>
        <w:tab/>
        <w:t>Hva Humira er og hva det brukes mot</w:t>
      </w:r>
    </w:p>
    <w:p w14:paraId="3B60180E" w14:textId="77777777" w:rsidR="009E676E" w:rsidRPr="009C5EFD" w:rsidRDefault="00E453CD" w:rsidP="009E676E">
      <w:pPr>
        <w:ind w:left="567" w:right="-29" w:hanging="567"/>
        <w:rPr>
          <w:sz w:val="22"/>
          <w:szCs w:val="22"/>
        </w:rPr>
      </w:pPr>
      <w:r w:rsidRPr="009C5EFD">
        <w:rPr>
          <w:sz w:val="22"/>
          <w:szCs w:val="22"/>
        </w:rPr>
        <w:t>2.</w:t>
      </w:r>
      <w:r w:rsidRPr="009C5EFD">
        <w:rPr>
          <w:sz w:val="22"/>
          <w:szCs w:val="22"/>
        </w:rPr>
        <w:tab/>
        <w:t>Hva du må vite før du bruker Humira</w:t>
      </w:r>
    </w:p>
    <w:p w14:paraId="7087A1DB" w14:textId="77777777" w:rsidR="009E676E" w:rsidRPr="009C5EFD" w:rsidRDefault="00E453CD" w:rsidP="009E676E">
      <w:pPr>
        <w:ind w:left="567" w:right="-29" w:hanging="567"/>
        <w:rPr>
          <w:sz w:val="22"/>
          <w:szCs w:val="22"/>
        </w:rPr>
      </w:pPr>
      <w:r w:rsidRPr="009C5EFD">
        <w:rPr>
          <w:sz w:val="22"/>
          <w:szCs w:val="22"/>
        </w:rPr>
        <w:t>3.</w:t>
      </w:r>
      <w:r w:rsidRPr="009C5EFD">
        <w:rPr>
          <w:sz w:val="22"/>
          <w:szCs w:val="22"/>
        </w:rPr>
        <w:tab/>
        <w:t>Hvordan du bruker Humira</w:t>
      </w:r>
    </w:p>
    <w:p w14:paraId="1E59476C" w14:textId="77777777" w:rsidR="009E676E" w:rsidRPr="009C5EFD" w:rsidRDefault="00E453CD" w:rsidP="009E676E">
      <w:pPr>
        <w:ind w:left="567" w:right="-29" w:hanging="567"/>
        <w:rPr>
          <w:sz w:val="22"/>
          <w:szCs w:val="22"/>
        </w:rPr>
      </w:pPr>
      <w:r w:rsidRPr="009C5EFD">
        <w:rPr>
          <w:sz w:val="22"/>
          <w:szCs w:val="22"/>
        </w:rPr>
        <w:t>4.</w:t>
      </w:r>
      <w:r w:rsidRPr="009C5EFD">
        <w:rPr>
          <w:sz w:val="22"/>
          <w:szCs w:val="22"/>
        </w:rPr>
        <w:tab/>
        <w:t>Mulige bivirkninger</w:t>
      </w:r>
    </w:p>
    <w:p w14:paraId="6215AD42" w14:textId="77777777" w:rsidR="009E676E" w:rsidRPr="009C5EFD" w:rsidRDefault="00E453CD" w:rsidP="009E676E">
      <w:pPr>
        <w:ind w:left="567" w:right="-29" w:hanging="567"/>
        <w:rPr>
          <w:sz w:val="22"/>
          <w:szCs w:val="22"/>
        </w:rPr>
      </w:pPr>
      <w:r w:rsidRPr="009C5EFD">
        <w:rPr>
          <w:sz w:val="22"/>
          <w:szCs w:val="22"/>
        </w:rPr>
        <w:t>5.</w:t>
      </w:r>
      <w:r w:rsidRPr="009C5EFD">
        <w:rPr>
          <w:sz w:val="22"/>
          <w:szCs w:val="22"/>
        </w:rPr>
        <w:tab/>
        <w:t>Hvordan du oppbevarer Humira</w:t>
      </w:r>
    </w:p>
    <w:p w14:paraId="74A4B190" w14:textId="77777777" w:rsidR="009E676E" w:rsidRPr="009C5EFD" w:rsidRDefault="00E453CD" w:rsidP="009E676E">
      <w:pPr>
        <w:ind w:left="567" w:right="-29" w:hanging="567"/>
        <w:rPr>
          <w:sz w:val="22"/>
          <w:szCs w:val="22"/>
        </w:rPr>
      </w:pPr>
      <w:r w:rsidRPr="009C5EFD">
        <w:rPr>
          <w:sz w:val="22"/>
          <w:szCs w:val="22"/>
        </w:rPr>
        <w:t>6.</w:t>
      </w:r>
      <w:r w:rsidRPr="009C5EFD">
        <w:rPr>
          <w:sz w:val="22"/>
          <w:szCs w:val="22"/>
        </w:rPr>
        <w:tab/>
        <w:t>Innholdet i pakningen og ytterligere informasjon</w:t>
      </w:r>
    </w:p>
    <w:p w14:paraId="6D3CD36D" w14:textId="77777777" w:rsidR="009E676E" w:rsidRPr="009C5EFD" w:rsidRDefault="00E453CD" w:rsidP="009E676E">
      <w:pPr>
        <w:ind w:left="567" w:right="-29" w:hanging="567"/>
        <w:rPr>
          <w:sz w:val="22"/>
          <w:szCs w:val="22"/>
        </w:rPr>
      </w:pPr>
      <w:r>
        <w:rPr>
          <w:sz w:val="22"/>
          <w:szCs w:val="22"/>
        </w:rPr>
        <w:t>7.</w:t>
      </w:r>
      <w:r>
        <w:rPr>
          <w:sz w:val="22"/>
          <w:szCs w:val="22"/>
        </w:rPr>
        <w:tab/>
      </w:r>
      <w:r w:rsidR="00906D19">
        <w:rPr>
          <w:sz w:val="22"/>
          <w:szCs w:val="22"/>
        </w:rPr>
        <w:t>Hvordan du injiserer Humira</w:t>
      </w:r>
    </w:p>
    <w:p w14:paraId="5187EF03" w14:textId="77777777" w:rsidR="009E676E" w:rsidRPr="009C5EFD" w:rsidRDefault="009E676E" w:rsidP="009E676E">
      <w:pPr>
        <w:ind w:right="-29"/>
        <w:rPr>
          <w:sz w:val="22"/>
          <w:szCs w:val="22"/>
        </w:rPr>
      </w:pPr>
    </w:p>
    <w:p w14:paraId="66E92E03" w14:textId="77777777" w:rsidR="009E676E" w:rsidRPr="009C5EFD" w:rsidRDefault="009E676E" w:rsidP="009E676E">
      <w:pPr>
        <w:suppressAutoHyphens/>
        <w:rPr>
          <w:sz w:val="22"/>
          <w:szCs w:val="22"/>
        </w:rPr>
      </w:pPr>
    </w:p>
    <w:p w14:paraId="1A9726D2" w14:textId="77777777" w:rsidR="009E676E" w:rsidRPr="009C5EFD" w:rsidRDefault="00E453CD" w:rsidP="00776A84">
      <w:pPr>
        <w:keepNext/>
        <w:suppressAutoHyphens/>
        <w:ind w:left="567" w:hanging="567"/>
        <w:rPr>
          <w:sz w:val="22"/>
          <w:szCs w:val="22"/>
        </w:rPr>
      </w:pPr>
      <w:r w:rsidRPr="009C5EFD">
        <w:rPr>
          <w:b/>
          <w:sz w:val="22"/>
          <w:szCs w:val="22"/>
        </w:rPr>
        <w:t>1.</w:t>
      </w:r>
      <w:r w:rsidRPr="009C5EFD">
        <w:rPr>
          <w:b/>
          <w:sz w:val="22"/>
          <w:szCs w:val="22"/>
        </w:rPr>
        <w:tab/>
        <w:t>Hva Humira er og hva det brukes mot</w:t>
      </w:r>
    </w:p>
    <w:p w14:paraId="33B91830" w14:textId="77777777" w:rsidR="009E676E" w:rsidRPr="009C5EFD" w:rsidRDefault="009E676E" w:rsidP="00776A84">
      <w:pPr>
        <w:keepNext/>
        <w:suppressAutoHyphens/>
        <w:ind w:left="567" w:hanging="567"/>
        <w:rPr>
          <w:sz w:val="22"/>
          <w:szCs w:val="22"/>
        </w:rPr>
      </w:pPr>
    </w:p>
    <w:p w14:paraId="5EE1B15E" w14:textId="77777777" w:rsidR="009E676E" w:rsidRPr="009C5EFD" w:rsidRDefault="00E453CD" w:rsidP="009E676E">
      <w:pPr>
        <w:suppressAutoHyphens/>
        <w:rPr>
          <w:sz w:val="22"/>
          <w:szCs w:val="22"/>
        </w:rPr>
      </w:pPr>
      <w:r w:rsidRPr="009C5EFD">
        <w:rPr>
          <w:sz w:val="22"/>
          <w:szCs w:val="22"/>
        </w:rPr>
        <w:t>Humira inneholder virkestoffet adalimumab</w:t>
      </w:r>
      <w:r w:rsidR="00461FC9">
        <w:rPr>
          <w:sz w:val="22"/>
          <w:szCs w:val="22"/>
        </w:rPr>
        <w:t>.</w:t>
      </w:r>
    </w:p>
    <w:p w14:paraId="135E4B60" w14:textId="77777777" w:rsidR="009E676E" w:rsidRPr="009C5EFD" w:rsidRDefault="009E676E" w:rsidP="009E676E">
      <w:pPr>
        <w:suppressAutoHyphens/>
        <w:rPr>
          <w:sz w:val="22"/>
          <w:szCs w:val="22"/>
        </w:rPr>
      </w:pPr>
    </w:p>
    <w:p w14:paraId="237E6EC1" w14:textId="77777777" w:rsidR="004079DF" w:rsidRDefault="00E453CD" w:rsidP="00AF70AD">
      <w:pPr>
        <w:tabs>
          <w:tab w:val="left" w:pos="562"/>
          <w:tab w:val="left" w:pos="720"/>
        </w:tabs>
        <w:suppressAutoHyphens/>
        <w:rPr>
          <w:sz w:val="22"/>
        </w:rPr>
      </w:pPr>
      <w:r w:rsidRPr="009C5EFD">
        <w:rPr>
          <w:sz w:val="22"/>
          <w:szCs w:val="22"/>
        </w:rPr>
        <w:t xml:space="preserve">Humira brukes </w:t>
      </w:r>
      <w:r w:rsidR="00F464CF">
        <w:rPr>
          <w:sz w:val="22"/>
          <w:szCs w:val="22"/>
        </w:rPr>
        <w:t>til</w:t>
      </w:r>
      <w:r w:rsidR="00F464CF" w:rsidRPr="009C5EFD">
        <w:rPr>
          <w:sz w:val="22"/>
          <w:szCs w:val="22"/>
        </w:rPr>
        <w:t xml:space="preserve"> </w:t>
      </w:r>
      <w:r>
        <w:rPr>
          <w:sz w:val="22"/>
          <w:szCs w:val="22"/>
        </w:rPr>
        <w:t>å behandle</w:t>
      </w:r>
    </w:p>
    <w:p w14:paraId="446BA387" w14:textId="77777777" w:rsidR="004079DF" w:rsidRPr="00B20858" w:rsidRDefault="00E453CD" w:rsidP="004079DF">
      <w:pPr>
        <w:numPr>
          <w:ilvl w:val="0"/>
          <w:numId w:val="108"/>
        </w:numPr>
        <w:tabs>
          <w:tab w:val="left" w:pos="720"/>
        </w:tabs>
        <w:suppressAutoHyphens/>
        <w:rPr>
          <w:lang w:val="en-GB"/>
        </w:rPr>
      </w:pPr>
      <w:r w:rsidRPr="001F2947">
        <w:rPr>
          <w:sz w:val="22"/>
          <w:lang w:val="en-GB"/>
        </w:rPr>
        <w:t>R</w:t>
      </w:r>
      <w:r w:rsidRPr="001F2947">
        <w:rPr>
          <w:sz w:val="22"/>
          <w:szCs w:val="22"/>
        </w:rPr>
        <w:t>evmatoid artritt</w:t>
      </w:r>
    </w:p>
    <w:p w14:paraId="706D3B78" w14:textId="77777777" w:rsidR="004079DF" w:rsidRPr="00BC0E7E" w:rsidRDefault="00E453CD" w:rsidP="004079DF">
      <w:pPr>
        <w:numPr>
          <w:ilvl w:val="0"/>
          <w:numId w:val="108"/>
        </w:numPr>
        <w:tabs>
          <w:tab w:val="left" w:pos="720"/>
        </w:tabs>
        <w:suppressAutoHyphens/>
        <w:rPr>
          <w:lang w:val="en-GB"/>
        </w:rPr>
      </w:pPr>
      <w:r>
        <w:rPr>
          <w:sz w:val="22"/>
          <w:lang w:val="en-GB"/>
        </w:rPr>
        <w:t>Plakkp</w:t>
      </w:r>
      <w:r w:rsidRPr="0099750B">
        <w:rPr>
          <w:sz w:val="22"/>
          <w:lang w:val="en-GB"/>
        </w:rPr>
        <w:t>soriasis</w:t>
      </w:r>
    </w:p>
    <w:p w14:paraId="298F6B19" w14:textId="77777777" w:rsidR="004079DF" w:rsidRPr="00BC0E7E" w:rsidRDefault="00E453CD" w:rsidP="004079DF">
      <w:pPr>
        <w:numPr>
          <w:ilvl w:val="0"/>
          <w:numId w:val="108"/>
        </w:numPr>
        <w:tabs>
          <w:tab w:val="left" w:pos="720"/>
        </w:tabs>
        <w:suppressAutoHyphens/>
        <w:rPr>
          <w:lang w:val="en-GB"/>
        </w:rPr>
      </w:pPr>
      <w:r>
        <w:rPr>
          <w:sz w:val="22"/>
          <w:lang w:val="en-GB"/>
        </w:rPr>
        <w:t>H</w:t>
      </w:r>
      <w:r w:rsidRPr="009C5EFD">
        <w:rPr>
          <w:sz w:val="22"/>
          <w:szCs w:val="22"/>
        </w:rPr>
        <w:t>idrosadenitt</w:t>
      </w:r>
    </w:p>
    <w:p w14:paraId="7E0C6556" w14:textId="77777777" w:rsidR="004079DF" w:rsidRPr="00BC0E7E" w:rsidRDefault="00E453CD" w:rsidP="004079DF">
      <w:pPr>
        <w:numPr>
          <w:ilvl w:val="0"/>
          <w:numId w:val="108"/>
        </w:numPr>
        <w:tabs>
          <w:tab w:val="left" w:pos="720"/>
        </w:tabs>
        <w:suppressAutoHyphens/>
        <w:rPr>
          <w:lang w:val="en-GB"/>
        </w:rPr>
      </w:pPr>
      <w:r w:rsidRPr="0099750B">
        <w:rPr>
          <w:sz w:val="22"/>
          <w:lang w:val="en-GB"/>
        </w:rPr>
        <w:t xml:space="preserve">Crohns </w:t>
      </w:r>
      <w:r w:rsidRPr="009C5EFD">
        <w:rPr>
          <w:sz w:val="22"/>
          <w:szCs w:val="22"/>
        </w:rPr>
        <w:t>sykdom</w:t>
      </w:r>
    </w:p>
    <w:p w14:paraId="3C988A7B" w14:textId="77777777" w:rsidR="004079DF" w:rsidRPr="00BC0E7E" w:rsidRDefault="00E453CD" w:rsidP="004079DF">
      <w:pPr>
        <w:numPr>
          <w:ilvl w:val="0"/>
          <w:numId w:val="108"/>
        </w:numPr>
        <w:tabs>
          <w:tab w:val="left" w:pos="720"/>
        </w:tabs>
        <w:suppressAutoHyphens/>
        <w:rPr>
          <w:lang w:val="en-GB"/>
        </w:rPr>
      </w:pPr>
      <w:r>
        <w:rPr>
          <w:sz w:val="22"/>
          <w:szCs w:val="22"/>
        </w:rPr>
        <w:t>U</w:t>
      </w:r>
      <w:r w:rsidRPr="009C5EFD">
        <w:rPr>
          <w:sz w:val="22"/>
          <w:szCs w:val="22"/>
        </w:rPr>
        <w:t>lcerøs kolitt</w:t>
      </w:r>
    </w:p>
    <w:p w14:paraId="43055C70" w14:textId="77777777" w:rsidR="004079DF" w:rsidRPr="00BC0E7E" w:rsidRDefault="00E453CD" w:rsidP="004079DF">
      <w:pPr>
        <w:numPr>
          <w:ilvl w:val="0"/>
          <w:numId w:val="108"/>
        </w:numPr>
        <w:tabs>
          <w:tab w:val="left" w:pos="720"/>
        </w:tabs>
        <w:suppressAutoHyphens/>
        <w:rPr>
          <w:iCs/>
          <w:lang w:val="en-GB"/>
        </w:rPr>
      </w:pPr>
      <w:r>
        <w:rPr>
          <w:sz w:val="22"/>
        </w:rPr>
        <w:t>I</w:t>
      </w:r>
      <w:r w:rsidRPr="0061743D">
        <w:rPr>
          <w:sz w:val="22"/>
        </w:rPr>
        <w:t>kke-infeksiøs uveitt</w:t>
      </w:r>
    </w:p>
    <w:p w14:paraId="3FB800AA" w14:textId="77777777" w:rsidR="009E676E" w:rsidRPr="009C5EFD" w:rsidRDefault="009E676E" w:rsidP="009E676E">
      <w:pPr>
        <w:suppressAutoHyphens/>
        <w:rPr>
          <w:sz w:val="22"/>
          <w:szCs w:val="22"/>
        </w:rPr>
      </w:pPr>
    </w:p>
    <w:p w14:paraId="10FE5AA5" w14:textId="77777777" w:rsidR="00187573" w:rsidRDefault="00E453CD" w:rsidP="00187573">
      <w:pPr>
        <w:rPr>
          <w:sz w:val="22"/>
          <w:szCs w:val="22"/>
        </w:rPr>
      </w:pPr>
      <w:r>
        <w:rPr>
          <w:sz w:val="22"/>
          <w:szCs w:val="22"/>
        </w:rPr>
        <w:t>Virkestoffet i Humira, adalimumab, er et humant monoklonalt antistoff. Monoklonale antistoffer er proteiner som fester seg til et spesifikt mål.</w:t>
      </w:r>
    </w:p>
    <w:p w14:paraId="08E81A1A" w14:textId="77777777" w:rsidR="00187573" w:rsidRDefault="00187573" w:rsidP="00187573">
      <w:pPr>
        <w:rPr>
          <w:sz w:val="22"/>
          <w:szCs w:val="22"/>
        </w:rPr>
      </w:pPr>
    </w:p>
    <w:p w14:paraId="4B3E06BA" w14:textId="77777777" w:rsidR="009E676E" w:rsidRDefault="00E453CD" w:rsidP="009E676E">
      <w:pPr>
        <w:rPr>
          <w:sz w:val="22"/>
          <w:szCs w:val="22"/>
        </w:rPr>
      </w:pPr>
      <w:r>
        <w:rPr>
          <w:sz w:val="22"/>
          <w:szCs w:val="22"/>
        </w:rPr>
        <w:t>Målet til adalimumab er et protein som kalles tumornekrosefaktor (TNFα), som er involvert i immunforsvaret. Ved betennelsessykdommene ovenfor foreligger det i økte nivåer. Ved å feste seg til TNFα, senker Humira betennelsesprosessen ved disse tilstandene.</w:t>
      </w:r>
    </w:p>
    <w:p w14:paraId="2594D8A7" w14:textId="77777777" w:rsidR="004079DF" w:rsidRDefault="004079DF" w:rsidP="009E676E">
      <w:pPr>
        <w:rPr>
          <w:sz w:val="22"/>
          <w:szCs w:val="22"/>
        </w:rPr>
      </w:pPr>
    </w:p>
    <w:p w14:paraId="5A48324B" w14:textId="77777777" w:rsidR="004079DF" w:rsidRPr="0061743D" w:rsidRDefault="00E453CD" w:rsidP="00776A84">
      <w:pPr>
        <w:pStyle w:val="Heading2"/>
        <w:suppressAutoHyphens/>
        <w:ind w:left="0"/>
        <w:rPr>
          <w:b/>
          <w:u w:val="none"/>
        </w:rPr>
      </w:pPr>
      <w:r w:rsidRPr="0061743D">
        <w:rPr>
          <w:b/>
          <w:u w:val="none"/>
        </w:rPr>
        <w:t>Revmatoid artritt</w:t>
      </w:r>
    </w:p>
    <w:p w14:paraId="1EBE46DB" w14:textId="77777777" w:rsidR="004079DF" w:rsidRPr="009C5EFD" w:rsidRDefault="004079DF" w:rsidP="00776A84">
      <w:pPr>
        <w:pStyle w:val="EndnoteText"/>
        <w:keepNext/>
        <w:widowControl/>
        <w:tabs>
          <w:tab w:val="clear" w:pos="567"/>
        </w:tabs>
        <w:suppressAutoHyphens/>
        <w:rPr>
          <w:szCs w:val="22"/>
          <w:lang w:val="nb-NO"/>
        </w:rPr>
      </w:pPr>
    </w:p>
    <w:p w14:paraId="04B110B6" w14:textId="77777777" w:rsidR="004079DF" w:rsidRPr="009C5EFD" w:rsidRDefault="00E453CD" w:rsidP="004079DF">
      <w:pPr>
        <w:pStyle w:val="EndnoteText"/>
        <w:widowControl/>
        <w:tabs>
          <w:tab w:val="clear" w:pos="567"/>
        </w:tabs>
        <w:suppressAutoHyphens/>
        <w:rPr>
          <w:szCs w:val="22"/>
          <w:lang w:val="nb-NO"/>
        </w:rPr>
      </w:pPr>
      <w:r w:rsidRPr="009C5EFD">
        <w:rPr>
          <w:szCs w:val="22"/>
          <w:lang w:val="nb-NO"/>
        </w:rPr>
        <w:t>Revmatoid artritt er en betennelsessykdom i leddene.</w:t>
      </w:r>
    </w:p>
    <w:p w14:paraId="17DABEBB" w14:textId="77777777" w:rsidR="004079DF" w:rsidRPr="009C5EFD" w:rsidRDefault="004079DF" w:rsidP="004079DF">
      <w:pPr>
        <w:suppressAutoHyphens/>
        <w:rPr>
          <w:sz w:val="22"/>
          <w:szCs w:val="22"/>
        </w:rPr>
      </w:pPr>
    </w:p>
    <w:p w14:paraId="3DD3D0A5" w14:textId="77777777" w:rsidR="004079DF" w:rsidRPr="009C5EFD" w:rsidRDefault="00E453CD" w:rsidP="004079DF">
      <w:pPr>
        <w:suppressAutoHyphens/>
        <w:rPr>
          <w:sz w:val="22"/>
          <w:szCs w:val="22"/>
        </w:rPr>
      </w:pPr>
      <w:r w:rsidRPr="009C5EFD">
        <w:rPr>
          <w:sz w:val="22"/>
          <w:szCs w:val="22"/>
        </w:rPr>
        <w:t xml:space="preserve">Humira brukes </w:t>
      </w:r>
      <w:r>
        <w:rPr>
          <w:sz w:val="22"/>
          <w:szCs w:val="22"/>
        </w:rPr>
        <w:t>til</w:t>
      </w:r>
      <w:r w:rsidRPr="009C5EFD">
        <w:rPr>
          <w:sz w:val="22"/>
          <w:szCs w:val="22"/>
        </w:rPr>
        <w:t xml:space="preserve"> å behandle </w:t>
      </w:r>
      <w:r>
        <w:rPr>
          <w:sz w:val="22"/>
          <w:szCs w:val="22"/>
        </w:rPr>
        <w:t xml:space="preserve">moderat til alvorlig </w:t>
      </w:r>
      <w:r w:rsidRPr="009C5EFD">
        <w:rPr>
          <w:sz w:val="22"/>
          <w:szCs w:val="22"/>
        </w:rPr>
        <w:t xml:space="preserve">revmatoid artritt hos voksne. </w:t>
      </w:r>
      <w:r>
        <w:rPr>
          <w:sz w:val="22"/>
          <w:szCs w:val="22"/>
        </w:rPr>
        <w:t>Det</w:t>
      </w:r>
      <w:r w:rsidRPr="009C5EFD">
        <w:rPr>
          <w:sz w:val="22"/>
          <w:szCs w:val="22"/>
        </w:rPr>
        <w:t xml:space="preserve"> kan hende du først får andre sykdomsmodifiserende </w:t>
      </w:r>
      <w:r>
        <w:rPr>
          <w:sz w:val="22"/>
          <w:szCs w:val="22"/>
        </w:rPr>
        <w:t>legemidler</w:t>
      </w:r>
      <w:r w:rsidRPr="009C5EFD">
        <w:rPr>
          <w:sz w:val="22"/>
          <w:szCs w:val="22"/>
        </w:rPr>
        <w:t xml:space="preserve">, som metotreksat. Dersom du ikke reagerer godt nok på disse </w:t>
      </w:r>
      <w:r>
        <w:rPr>
          <w:sz w:val="22"/>
          <w:szCs w:val="22"/>
        </w:rPr>
        <w:t>legemidlene</w:t>
      </w:r>
      <w:r w:rsidRPr="009C5EFD">
        <w:rPr>
          <w:sz w:val="22"/>
          <w:szCs w:val="22"/>
        </w:rPr>
        <w:t xml:space="preserve">, vil du få Humira. </w:t>
      </w:r>
    </w:p>
    <w:p w14:paraId="01F81313" w14:textId="77777777" w:rsidR="004079DF" w:rsidRPr="009C5EFD" w:rsidRDefault="004079DF" w:rsidP="004079DF">
      <w:pPr>
        <w:suppressAutoHyphens/>
        <w:rPr>
          <w:sz w:val="22"/>
          <w:szCs w:val="22"/>
        </w:rPr>
      </w:pPr>
    </w:p>
    <w:p w14:paraId="25007E2B" w14:textId="77777777" w:rsidR="004079DF" w:rsidRPr="009C5EFD" w:rsidRDefault="00E453CD" w:rsidP="004079DF">
      <w:pPr>
        <w:suppressAutoHyphens/>
        <w:rPr>
          <w:sz w:val="22"/>
          <w:szCs w:val="22"/>
        </w:rPr>
      </w:pPr>
      <w:r w:rsidRPr="009C5EFD">
        <w:rPr>
          <w:sz w:val="22"/>
          <w:szCs w:val="22"/>
        </w:rPr>
        <w:t xml:space="preserve">Humira kan også brukes </w:t>
      </w:r>
      <w:r>
        <w:rPr>
          <w:sz w:val="22"/>
          <w:szCs w:val="22"/>
        </w:rPr>
        <w:t>til</w:t>
      </w:r>
      <w:r w:rsidRPr="009C5EFD">
        <w:rPr>
          <w:sz w:val="22"/>
          <w:szCs w:val="22"/>
        </w:rPr>
        <w:t xml:space="preserve"> å behandle alvorlig, aktiv og progredierende revmatoid artritt uten tidligere behandling med metotreksat.</w:t>
      </w:r>
    </w:p>
    <w:p w14:paraId="1EF50F4B" w14:textId="77777777" w:rsidR="004079DF" w:rsidRPr="009C5EFD" w:rsidRDefault="004079DF" w:rsidP="004079DF">
      <w:pPr>
        <w:suppressAutoHyphens/>
        <w:rPr>
          <w:sz w:val="22"/>
          <w:szCs w:val="22"/>
        </w:rPr>
      </w:pPr>
    </w:p>
    <w:p w14:paraId="3A58684B" w14:textId="77777777" w:rsidR="004079DF" w:rsidRPr="009C5EFD" w:rsidRDefault="00E453CD" w:rsidP="004079DF">
      <w:pPr>
        <w:suppressAutoHyphens/>
        <w:rPr>
          <w:sz w:val="22"/>
          <w:szCs w:val="22"/>
        </w:rPr>
      </w:pPr>
      <w:r w:rsidRPr="009C5EFD">
        <w:rPr>
          <w:sz w:val="22"/>
          <w:szCs w:val="22"/>
        </w:rPr>
        <w:lastRenderedPageBreak/>
        <w:t xml:space="preserve">Humira </w:t>
      </w:r>
      <w:r>
        <w:rPr>
          <w:sz w:val="22"/>
          <w:szCs w:val="22"/>
        </w:rPr>
        <w:t>kan</w:t>
      </w:r>
      <w:r w:rsidRPr="009C5EFD">
        <w:rPr>
          <w:sz w:val="22"/>
          <w:szCs w:val="22"/>
        </w:rPr>
        <w:t xml:space="preserve"> bremse skadevirkninge</w:t>
      </w:r>
      <w:r>
        <w:rPr>
          <w:sz w:val="22"/>
          <w:szCs w:val="22"/>
        </w:rPr>
        <w:t>ne</w:t>
      </w:r>
      <w:r w:rsidRPr="009C5EFD">
        <w:rPr>
          <w:sz w:val="22"/>
          <w:szCs w:val="22"/>
        </w:rPr>
        <w:t xml:space="preserve"> i leddene </w:t>
      </w:r>
      <w:r>
        <w:rPr>
          <w:sz w:val="22"/>
          <w:szCs w:val="22"/>
        </w:rPr>
        <w:t xml:space="preserve">forårsaket av betennelsessykdommen </w:t>
      </w:r>
      <w:r w:rsidRPr="009C5EFD">
        <w:rPr>
          <w:sz w:val="22"/>
          <w:szCs w:val="22"/>
        </w:rPr>
        <w:t xml:space="preserve">og kan hjelpe </w:t>
      </w:r>
      <w:r>
        <w:rPr>
          <w:sz w:val="22"/>
          <w:szCs w:val="22"/>
        </w:rPr>
        <w:t>leddene med</w:t>
      </w:r>
      <w:r w:rsidRPr="009C5EFD">
        <w:rPr>
          <w:sz w:val="22"/>
          <w:szCs w:val="22"/>
        </w:rPr>
        <w:t xml:space="preserve"> å </w:t>
      </w:r>
      <w:r>
        <w:rPr>
          <w:sz w:val="22"/>
          <w:szCs w:val="22"/>
        </w:rPr>
        <w:t>bevege seg mer fritt</w:t>
      </w:r>
      <w:r w:rsidRPr="009C5EFD">
        <w:rPr>
          <w:sz w:val="22"/>
          <w:szCs w:val="22"/>
        </w:rPr>
        <w:t xml:space="preserve">. </w:t>
      </w:r>
    </w:p>
    <w:p w14:paraId="6CA5D9FD" w14:textId="77777777" w:rsidR="004079DF" w:rsidRPr="009C5EFD" w:rsidRDefault="004079DF" w:rsidP="004079DF">
      <w:pPr>
        <w:suppressAutoHyphens/>
        <w:rPr>
          <w:sz w:val="22"/>
          <w:szCs w:val="22"/>
        </w:rPr>
      </w:pPr>
    </w:p>
    <w:p w14:paraId="31A8A976" w14:textId="77777777" w:rsidR="004079DF" w:rsidRPr="00513F22" w:rsidRDefault="00E453CD" w:rsidP="004079DF">
      <w:pPr>
        <w:rPr>
          <w:sz w:val="22"/>
          <w:szCs w:val="22"/>
        </w:rPr>
      </w:pPr>
      <w:r>
        <w:rPr>
          <w:sz w:val="22"/>
          <w:szCs w:val="22"/>
        </w:rPr>
        <w:t>L</w:t>
      </w:r>
      <w:r w:rsidRPr="009C5EFD">
        <w:rPr>
          <w:sz w:val="22"/>
          <w:szCs w:val="22"/>
        </w:rPr>
        <w:t>ege</w:t>
      </w:r>
      <w:r>
        <w:rPr>
          <w:sz w:val="22"/>
          <w:szCs w:val="22"/>
        </w:rPr>
        <w:t>n din</w:t>
      </w:r>
      <w:r w:rsidRPr="009C5EFD">
        <w:rPr>
          <w:sz w:val="22"/>
          <w:szCs w:val="22"/>
        </w:rPr>
        <w:t xml:space="preserve"> </w:t>
      </w:r>
      <w:r>
        <w:rPr>
          <w:sz w:val="22"/>
          <w:szCs w:val="22"/>
        </w:rPr>
        <w:t>vil bestemme om</w:t>
      </w:r>
      <w:r w:rsidRPr="009C5EFD">
        <w:rPr>
          <w:sz w:val="22"/>
          <w:szCs w:val="22"/>
        </w:rPr>
        <w:t xml:space="preserve"> Humira </w:t>
      </w:r>
      <w:r>
        <w:rPr>
          <w:sz w:val="22"/>
          <w:szCs w:val="22"/>
        </w:rPr>
        <w:t xml:space="preserve">skal tas </w:t>
      </w:r>
      <w:r w:rsidRPr="009C5EFD">
        <w:rPr>
          <w:sz w:val="22"/>
          <w:szCs w:val="22"/>
        </w:rPr>
        <w:t xml:space="preserve">sammen med metotreksat </w:t>
      </w:r>
      <w:r>
        <w:rPr>
          <w:sz w:val="22"/>
          <w:szCs w:val="22"/>
        </w:rPr>
        <w:t>eller</w:t>
      </w:r>
      <w:r w:rsidRPr="009C5EFD">
        <w:rPr>
          <w:sz w:val="22"/>
          <w:szCs w:val="22"/>
        </w:rPr>
        <w:t xml:space="preserve"> gis alene.</w:t>
      </w:r>
    </w:p>
    <w:p w14:paraId="2E79D2BC" w14:textId="77777777" w:rsidR="009E676E" w:rsidRPr="00887835" w:rsidRDefault="009E676E" w:rsidP="009E676E"/>
    <w:p w14:paraId="129638FC" w14:textId="77777777" w:rsidR="009E676E" w:rsidRPr="009C5EFD" w:rsidRDefault="00E453CD" w:rsidP="00776A84">
      <w:pPr>
        <w:pStyle w:val="Heading8"/>
        <w:rPr>
          <w:szCs w:val="22"/>
        </w:rPr>
      </w:pPr>
      <w:r w:rsidRPr="0061743D">
        <w:rPr>
          <w:b/>
          <w:u w:val="none"/>
        </w:rPr>
        <w:t>Plakkpsoriasis</w:t>
      </w:r>
    </w:p>
    <w:p w14:paraId="2814E85A" w14:textId="77777777" w:rsidR="009E676E" w:rsidRPr="006947EE" w:rsidRDefault="009E676E" w:rsidP="00776A84">
      <w:pPr>
        <w:keepNext/>
        <w:rPr>
          <w:sz w:val="22"/>
          <w:szCs w:val="22"/>
        </w:rPr>
      </w:pPr>
    </w:p>
    <w:p w14:paraId="45227F24" w14:textId="77777777" w:rsidR="00513F22" w:rsidRDefault="00E453CD" w:rsidP="00A15CB1">
      <w:pPr>
        <w:suppressAutoHyphens/>
        <w:rPr>
          <w:sz w:val="22"/>
          <w:szCs w:val="22"/>
        </w:rPr>
      </w:pPr>
      <w:r w:rsidRPr="009C5EFD">
        <w:rPr>
          <w:sz w:val="22"/>
          <w:szCs w:val="22"/>
        </w:rPr>
        <w:t>Plakkpsoriasis er en hudsykdom som forårsaker røde, flassende, tørre flekker på huden dekket med sølvfarget, skjellaktig hud.</w:t>
      </w:r>
      <w:r w:rsidR="00581F14">
        <w:rPr>
          <w:sz w:val="22"/>
          <w:szCs w:val="22"/>
        </w:rPr>
        <w:t xml:space="preserve"> Plakkpsoriasis kan også påvirke neglene, føre til smuldring, fortykkelse og løsning fra neglesengen som kan være smertefullt.</w:t>
      </w:r>
      <w:r w:rsidRPr="009C5EFD">
        <w:rPr>
          <w:sz w:val="22"/>
          <w:szCs w:val="22"/>
        </w:rPr>
        <w:t xml:space="preserve"> </w:t>
      </w:r>
    </w:p>
    <w:p w14:paraId="577455A1" w14:textId="77777777" w:rsidR="00513F22" w:rsidRDefault="00513F22" w:rsidP="00A15CB1">
      <w:pPr>
        <w:suppressAutoHyphens/>
        <w:rPr>
          <w:sz w:val="22"/>
          <w:szCs w:val="22"/>
        </w:rPr>
      </w:pPr>
    </w:p>
    <w:p w14:paraId="2505DB41" w14:textId="77777777" w:rsidR="009E676E" w:rsidRPr="00B646AE" w:rsidRDefault="00E453CD" w:rsidP="00A15CB1">
      <w:pPr>
        <w:suppressAutoHyphens/>
        <w:rPr>
          <w:szCs w:val="22"/>
        </w:rPr>
      </w:pPr>
      <w:r w:rsidRPr="001C217B">
        <w:rPr>
          <w:sz w:val="22"/>
          <w:szCs w:val="22"/>
        </w:rPr>
        <w:t xml:space="preserve">Humira brukes </w:t>
      </w:r>
      <w:r w:rsidR="00F464CF">
        <w:rPr>
          <w:sz w:val="22"/>
          <w:szCs w:val="22"/>
        </w:rPr>
        <w:t>til</w:t>
      </w:r>
      <w:r w:rsidR="00F464CF" w:rsidRPr="001C217B">
        <w:rPr>
          <w:sz w:val="22"/>
          <w:szCs w:val="22"/>
        </w:rPr>
        <w:t xml:space="preserve"> </w:t>
      </w:r>
      <w:r>
        <w:rPr>
          <w:sz w:val="22"/>
          <w:szCs w:val="22"/>
        </w:rPr>
        <w:t xml:space="preserve">å </w:t>
      </w:r>
      <w:r w:rsidRPr="001C217B">
        <w:rPr>
          <w:sz w:val="22"/>
          <w:szCs w:val="22"/>
        </w:rPr>
        <w:t>behandl</w:t>
      </w:r>
      <w:r>
        <w:rPr>
          <w:sz w:val="22"/>
          <w:szCs w:val="22"/>
        </w:rPr>
        <w:t>e</w:t>
      </w:r>
      <w:r w:rsidR="004E065A">
        <w:rPr>
          <w:sz w:val="22"/>
          <w:szCs w:val="22"/>
        </w:rPr>
        <w:t xml:space="preserve"> </w:t>
      </w:r>
      <w:r w:rsidRPr="00A15CB1">
        <w:rPr>
          <w:sz w:val="22"/>
          <w:szCs w:val="22"/>
        </w:rPr>
        <w:t>moderat til alvorlig kronisk plakkpsoriasis hos voksne</w:t>
      </w:r>
      <w:r w:rsidR="004E065A">
        <w:t>.</w:t>
      </w:r>
    </w:p>
    <w:p w14:paraId="6CB91750" w14:textId="77777777" w:rsidR="009E676E" w:rsidRPr="009C5EFD" w:rsidRDefault="009E676E" w:rsidP="009E676E">
      <w:pPr>
        <w:rPr>
          <w:sz w:val="22"/>
          <w:szCs w:val="22"/>
        </w:rPr>
      </w:pPr>
    </w:p>
    <w:p w14:paraId="13C05BF0" w14:textId="77777777" w:rsidR="009E676E" w:rsidRPr="006947EE" w:rsidRDefault="00E453CD" w:rsidP="009E676E">
      <w:pPr>
        <w:keepNext/>
        <w:autoSpaceDE w:val="0"/>
        <w:autoSpaceDN w:val="0"/>
        <w:adjustRightInd w:val="0"/>
        <w:rPr>
          <w:rFonts w:eastAsia="TimesNewRoman"/>
          <w:sz w:val="22"/>
        </w:rPr>
      </w:pPr>
      <w:r w:rsidRPr="009E4D7A">
        <w:rPr>
          <w:rFonts w:eastAsia="TimesNewRoman"/>
          <w:b/>
          <w:sz w:val="22"/>
        </w:rPr>
        <w:t>Hidrosadenitt</w:t>
      </w:r>
    </w:p>
    <w:p w14:paraId="5593D409" w14:textId="77777777" w:rsidR="009E676E" w:rsidRPr="009C5EFD" w:rsidRDefault="009E676E" w:rsidP="009E676E">
      <w:pPr>
        <w:keepNext/>
        <w:autoSpaceDE w:val="0"/>
        <w:autoSpaceDN w:val="0"/>
        <w:adjustRightInd w:val="0"/>
        <w:rPr>
          <w:rFonts w:eastAsia="TimesNewRoman"/>
          <w:sz w:val="22"/>
          <w:szCs w:val="22"/>
          <w:u w:val="single"/>
        </w:rPr>
      </w:pPr>
    </w:p>
    <w:p w14:paraId="233A52E9" w14:textId="77777777" w:rsidR="009E676E" w:rsidRPr="009C5EFD" w:rsidRDefault="00E453CD" w:rsidP="00776A84">
      <w:pPr>
        <w:autoSpaceDE w:val="0"/>
        <w:autoSpaceDN w:val="0"/>
        <w:adjustRightInd w:val="0"/>
        <w:rPr>
          <w:rFonts w:eastAsia="TimesNewRoman"/>
          <w:sz w:val="22"/>
          <w:szCs w:val="22"/>
        </w:rPr>
      </w:pPr>
      <w:r w:rsidRPr="009C5EFD">
        <w:rPr>
          <w:rFonts w:eastAsia="TimesNewRoman"/>
          <w:sz w:val="22"/>
          <w:szCs w:val="22"/>
        </w:rPr>
        <w:t xml:space="preserve">Hidrosadenitt (også kalt svettekjertelbetennelse) er en kronisk og ofte smertefull </w:t>
      </w:r>
      <w:r>
        <w:rPr>
          <w:rFonts w:eastAsia="TimesNewRoman"/>
          <w:sz w:val="22"/>
          <w:szCs w:val="22"/>
        </w:rPr>
        <w:t xml:space="preserve">betennelsessykdom i </w:t>
      </w:r>
      <w:r w:rsidRPr="009C5EFD">
        <w:rPr>
          <w:rFonts w:eastAsia="TimesNewRoman"/>
          <w:sz w:val="22"/>
          <w:szCs w:val="22"/>
        </w:rPr>
        <w:t>hud</w:t>
      </w:r>
      <w:r>
        <w:rPr>
          <w:rFonts w:eastAsia="TimesNewRoman"/>
          <w:sz w:val="22"/>
          <w:szCs w:val="22"/>
        </w:rPr>
        <w:t>en</w:t>
      </w:r>
      <w:r w:rsidRPr="009C5EFD">
        <w:rPr>
          <w:rFonts w:eastAsia="TimesNewRoman"/>
          <w:sz w:val="22"/>
          <w:szCs w:val="22"/>
        </w:rPr>
        <w:t xml:space="preserve">. Symptomer kan være ømme knuter (klumper) og byller (abcesser) som kan lekke puss. </w:t>
      </w:r>
      <w:r w:rsidR="00954434">
        <w:rPr>
          <w:rFonts w:eastAsia="TimesNewRoman"/>
          <w:sz w:val="22"/>
          <w:szCs w:val="22"/>
        </w:rPr>
        <w:t>Som oftest</w:t>
      </w:r>
      <w:r w:rsidRPr="009C5EFD">
        <w:rPr>
          <w:rFonts w:eastAsia="TimesNewRoman"/>
          <w:sz w:val="22"/>
          <w:szCs w:val="22"/>
        </w:rPr>
        <w:t xml:space="preserve"> påvirke</w:t>
      </w:r>
      <w:r w:rsidR="00954434">
        <w:rPr>
          <w:rFonts w:eastAsia="TimesNewRoman"/>
          <w:sz w:val="22"/>
          <w:szCs w:val="22"/>
        </w:rPr>
        <w:t>s</w:t>
      </w:r>
      <w:r w:rsidRPr="009C5EFD">
        <w:rPr>
          <w:rFonts w:eastAsia="TimesNewRoman"/>
          <w:sz w:val="22"/>
          <w:szCs w:val="22"/>
        </w:rPr>
        <w:t xml:space="preserve"> spesifikke områder av huden, som f.eks</w:t>
      </w:r>
      <w:r>
        <w:rPr>
          <w:rFonts w:eastAsia="TimesNewRoman"/>
          <w:sz w:val="22"/>
          <w:szCs w:val="22"/>
        </w:rPr>
        <w:t>.</w:t>
      </w:r>
      <w:r w:rsidRPr="009C5EFD">
        <w:rPr>
          <w:rFonts w:eastAsia="TimesNewRoman"/>
          <w:sz w:val="22"/>
          <w:szCs w:val="22"/>
        </w:rPr>
        <w:t xml:space="preserve"> under brystene, i armhulene, innsiden av lårene, lysken og rumpe. Arrdannelse kan også forekomme i berørte områder.</w:t>
      </w:r>
    </w:p>
    <w:p w14:paraId="0F8B6EDE" w14:textId="77777777" w:rsidR="009E676E" w:rsidRPr="009C5EFD" w:rsidRDefault="009E676E" w:rsidP="009E676E">
      <w:pPr>
        <w:autoSpaceDE w:val="0"/>
        <w:autoSpaceDN w:val="0"/>
        <w:adjustRightInd w:val="0"/>
        <w:rPr>
          <w:rFonts w:eastAsia="TimesNewRoman"/>
          <w:sz w:val="22"/>
          <w:szCs w:val="22"/>
        </w:rPr>
      </w:pPr>
    </w:p>
    <w:p w14:paraId="7328F34B" w14:textId="77777777" w:rsidR="009E676E" w:rsidRDefault="00E453CD" w:rsidP="00776A84">
      <w:pPr>
        <w:keepNext/>
        <w:autoSpaceDE w:val="0"/>
        <w:autoSpaceDN w:val="0"/>
        <w:adjustRightInd w:val="0"/>
        <w:rPr>
          <w:rFonts w:eastAsia="TimesNewRoman"/>
          <w:sz w:val="22"/>
          <w:szCs w:val="22"/>
        </w:rPr>
      </w:pPr>
      <w:r w:rsidRPr="009C5EFD">
        <w:rPr>
          <w:rFonts w:eastAsia="TimesNewRoman"/>
          <w:sz w:val="22"/>
          <w:szCs w:val="22"/>
        </w:rPr>
        <w:t xml:space="preserve">Humira brukes </w:t>
      </w:r>
      <w:r w:rsidR="00F464CF">
        <w:rPr>
          <w:rFonts w:eastAsia="TimesNewRoman"/>
          <w:sz w:val="22"/>
          <w:szCs w:val="22"/>
        </w:rPr>
        <w:t>til</w:t>
      </w:r>
      <w:r w:rsidR="00F464CF" w:rsidRPr="009C5EFD">
        <w:rPr>
          <w:rFonts w:eastAsia="TimesNewRoman"/>
          <w:sz w:val="22"/>
          <w:szCs w:val="22"/>
        </w:rPr>
        <w:t xml:space="preserve"> </w:t>
      </w:r>
      <w:r w:rsidRPr="009C5EFD">
        <w:rPr>
          <w:rFonts w:eastAsia="TimesNewRoman"/>
          <w:sz w:val="22"/>
          <w:szCs w:val="22"/>
        </w:rPr>
        <w:t>å behandle</w:t>
      </w:r>
    </w:p>
    <w:p w14:paraId="050A6A61" w14:textId="77777777" w:rsidR="009E676E" w:rsidRPr="00887835" w:rsidRDefault="00E453CD" w:rsidP="009E676E">
      <w:pPr>
        <w:pStyle w:val="EMEANormal"/>
        <w:numPr>
          <w:ilvl w:val="0"/>
          <w:numId w:val="109"/>
        </w:numPr>
        <w:tabs>
          <w:tab w:val="clear" w:pos="562"/>
          <w:tab w:val="left" w:pos="720"/>
        </w:tabs>
        <w:rPr>
          <w:szCs w:val="21"/>
          <w:lang w:val="nb-NO"/>
        </w:rPr>
      </w:pPr>
      <w:r w:rsidRPr="00DA6326">
        <w:rPr>
          <w:rFonts w:eastAsia="TimesNewRoman"/>
          <w:szCs w:val="22"/>
          <w:lang w:val="nb-NO"/>
        </w:rPr>
        <w:t>moderat til alvorlig hidrosadenitt hos voksne og</w:t>
      </w:r>
    </w:p>
    <w:p w14:paraId="7B9FAE87" w14:textId="77777777" w:rsidR="009E676E" w:rsidRPr="0061743D" w:rsidRDefault="00E453CD" w:rsidP="009E676E">
      <w:pPr>
        <w:pStyle w:val="EMEANormal"/>
        <w:numPr>
          <w:ilvl w:val="0"/>
          <w:numId w:val="109"/>
        </w:numPr>
        <w:tabs>
          <w:tab w:val="clear" w:pos="562"/>
          <w:tab w:val="left" w:pos="720"/>
        </w:tabs>
        <w:rPr>
          <w:lang w:val="nb-NO"/>
        </w:rPr>
      </w:pPr>
      <w:r>
        <w:rPr>
          <w:lang w:val="nb-NO"/>
        </w:rPr>
        <w:t xml:space="preserve">moderat til </w:t>
      </w:r>
      <w:r w:rsidRPr="0061743D">
        <w:rPr>
          <w:lang w:val="nb-NO"/>
        </w:rPr>
        <w:t>alvorlig</w:t>
      </w:r>
      <w:r>
        <w:rPr>
          <w:szCs w:val="21"/>
          <w:lang w:val="nb-NO"/>
        </w:rPr>
        <w:t xml:space="preserve"> </w:t>
      </w:r>
      <w:r w:rsidRPr="00297B8C">
        <w:rPr>
          <w:rFonts w:eastAsia="TimesNewRoman"/>
          <w:szCs w:val="22"/>
          <w:lang w:val="nb-NO"/>
        </w:rPr>
        <w:t>hidrosadenitt</w:t>
      </w:r>
      <w:r w:rsidRPr="0061743D">
        <w:rPr>
          <w:lang w:val="nb-NO"/>
        </w:rPr>
        <w:t xml:space="preserve"> hos ungdom </w:t>
      </w:r>
      <w:r>
        <w:rPr>
          <w:lang w:val="nb-NO"/>
        </w:rPr>
        <w:t xml:space="preserve">fra </w:t>
      </w:r>
      <w:r w:rsidRPr="0061743D">
        <w:rPr>
          <w:lang w:val="nb-NO"/>
        </w:rPr>
        <w:t>1</w:t>
      </w:r>
      <w:r>
        <w:rPr>
          <w:lang w:val="nb-NO"/>
        </w:rPr>
        <w:t>2</w:t>
      </w:r>
      <w:r w:rsidRPr="0061743D">
        <w:rPr>
          <w:lang w:val="nb-NO"/>
        </w:rPr>
        <w:t xml:space="preserve"> </w:t>
      </w:r>
      <w:r w:rsidR="00D33F44">
        <w:rPr>
          <w:lang w:val="nb-NO"/>
        </w:rPr>
        <w:t xml:space="preserve">til 17 </w:t>
      </w:r>
      <w:r w:rsidRPr="0061743D">
        <w:rPr>
          <w:lang w:val="nb-NO"/>
        </w:rPr>
        <w:t>år.</w:t>
      </w:r>
    </w:p>
    <w:p w14:paraId="37F76016" w14:textId="77777777" w:rsidR="009E676E" w:rsidRDefault="009E676E" w:rsidP="009E676E">
      <w:pPr>
        <w:autoSpaceDE w:val="0"/>
        <w:autoSpaceDN w:val="0"/>
        <w:adjustRightInd w:val="0"/>
        <w:rPr>
          <w:rFonts w:eastAsia="TimesNewRoman"/>
          <w:sz w:val="22"/>
          <w:szCs w:val="22"/>
        </w:rPr>
      </w:pPr>
    </w:p>
    <w:p w14:paraId="282E0D53" w14:textId="77777777" w:rsidR="009E676E" w:rsidRPr="009C5EFD" w:rsidRDefault="00E453CD" w:rsidP="009E676E">
      <w:pPr>
        <w:autoSpaceDE w:val="0"/>
        <w:autoSpaceDN w:val="0"/>
        <w:adjustRightInd w:val="0"/>
        <w:rPr>
          <w:rFonts w:eastAsia="TimesNewRoman"/>
          <w:sz w:val="22"/>
          <w:szCs w:val="22"/>
        </w:rPr>
      </w:pPr>
      <w:r w:rsidRPr="009C5EFD">
        <w:rPr>
          <w:rFonts w:eastAsia="TimesNewRoman"/>
          <w:sz w:val="22"/>
          <w:szCs w:val="22"/>
        </w:rPr>
        <w:t>Humira kan redusere antall knuter og byller</w:t>
      </w:r>
      <w:r>
        <w:rPr>
          <w:rFonts w:eastAsia="TimesNewRoman"/>
          <w:sz w:val="22"/>
          <w:szCs w:val="22"/>
        </w:rPr>
        <w:t xml:space="preserve"> forårsaket av sykdommen</w:t>
      </w:r>
      <w:r w:rsidRPr="009C5EFD">
        <w:rPr>
          <w:rFonts w:eastAsia="TimesNewRoman"/>
          <w:sz w:val="22"/>
          <w:szCs w:val="22"/>
        </w:rPr>
        <w:t>, og smerten som ofte er forbundet med sykdommen.</w:t>
      </w:r>
      <w:r>
        <w:rPr>
          <w:rFonts w:eastAsia="TimesNewRoman"/>
          <w:sz w:val="22"/>
          <w:szCs w:val="22"/>
        </w:rPr>
        <w:t xml:space="preserve"> </w:t>
      </w:r>
      <w:r>
        <w:rPr>
          <w:sz w:val="22"/>
          <w:szCs w:val="22"/>
        </w:rPr>
        <w:t xml:space="preserve">Det kan hende </w:t>
      </w:r>
      <w:r w:rsidRPr="009C5EFD">
        <w:rPr>
          <w:sz w:val="22"/>
          <w:szCs w:val="22"/>
        </w:rPr>
        <w:t>du først få</w:t>
      </w:r>
      <w:r>
        <w:rPr>
          <w:sz w:val="22"/>
          <w:szCs w:val="22"/>
        </w:rPr>
        <w:t>r</w:t>
      </w:r>
      <w:r w:rsidRPr="009C5EFD">
        <w:rPr>
          <w:sz w:val="22"/>
          <w:szCs w:val="22"/>
        </w:rPr>
        <w:t xml:space="preserve"> andre </w:t>
      </w:r>
      <w:r>
        <w:rPr>
          <w:sz w:val="22"/>
          <w:szCs w:val="22"/>
        </w:rPr>
        <w:t xml:space="preserve">legemidler. </w:t>
      </w:r>
      <w:r w:rsidRPr="009C5EFD">
        <w:rPr>
          <w:sz w:val="22"/>
          <w:szCs w:val="22"/>
        </w:rPr>
        <w:t xml:space="preserve">Dersom du ikke reagerer godt nok på disse </w:t>
      </w:r>
      <w:r>
        <w:rPr>
          <w:sz w:val="22"/>
          <w:szCs w:val="22"/>
        </w:rPr>
        <w:t>legemidlene</w:t>
      </w:r>
      <w:r w:rsidRPr="009C5EFD">
        <w:rPr>
          <w:sz w:val="22"/>
          <w:szCs w:val="22"/>
        </w:rPr>
        <w:t>, vil du få Humira</w:t>
      </w:r>
      <w:r>
        <w:rPr>
          <w:sz w:val="22"/>
          <w:szCs w:val="22"/>
        </w:rPr>
        <w:t>.</w:t>
      </w:r>
    </w:p>
    <w:p w14:paraId="09C2011F" w14:textId="77777777" w:rsidR="009E676E" w:rsidRPr="009C5EFD" w:rsidRDefault="009E676E" w:rsidP="009E676E">
      <w:pPr>
        <w:rPr>
          <w:sz w:val="22"/>
          <w:szCs w:val="22"/>
        </w:rPr>
      </w:pPr>
    </w:p>
    <w:p w14:paraId="72B1BF2D" w14:textId="77777777" w:rsidR="009E676E" w:rsidRPr="009C5EFD" w:rsidRDefault="00E453CD" w:rsidP="009E676E">
      <w:pPr>
        <w:keepNext/>
        <w:rPr>
          <w:sz w:val="22"/>
          <w:szCs w:val="22"/>
        </w:rPr>
      </w:pPr>
      <w:r w:rsidRPr="0061743D">
        <w:rPr>
          <w:b/>
          <w:sz w:val="22"/>
        </w:rPr>
        <w:t>Crohns sykdom</w:t>
      </w:r>
    </w:p>
    <w:p w14:paraId="2800150A" w14:textId="77777777" w:rsidR="009E676E" w:rsidRPr="009C5EFD" w:rsidRDefault="009E676E" w:rsidP="009E676E">
      <w:pPr>
        <w:keepNext/>
        <w:rPr>
          <w:sz w:val="22"/>
          <w:szCs w:val="22"/>
        </w:rPr>
      </w:pPr>
    </w:p>
    <w:p w14:paraId="2633E57E" w14:textId="77777777" w:rsidR="009E676E" w:rsidRPr="009C5EFD" w:rsidRDefault="00E453CD" w:rsidP="00776A84">
      <w:pPr>
        <w:rPr>
          <w:sz w:val="22"/>
          <w:szCs w:val="22"/>
        </w:rPr>
      </w:pPr>
      <w:r w:rsidRPr="009C5EFD">
        <w:rPr>
          <w:sz w:val="22"/>
          <w:szCs w:val="22"/>
        </w:rPr>
        <w:t>Crohns sykdom er en betennelsessykdom i fordøyelseskanalen.</w:t>
      </w:r>
    </w:p>
    <w:p w14:paraId="2FF7E9D7" w14:textId="77777777" w:rsidR="009E676E" w:rsidRPr="009C5EFD" w:rsidRDefault="009E676E" w:rsidP="00EB049D">
      <w:pPr>
        <w:rPr>
          <w:szCs w:val="22"/>
        </w:rPr>
      </w:pPr>
    </w:p>
    <w:p w14:paraId="54D2B97E" w14:textId="77777777" w:rsidR="009E676E" w:rsidRDefault="00E453CD" w:rsidP="00776A84">
      <w:pPr>
        <w:keepNext/>
        <w:rPr>
          <w:sz w:val="22"/>
          <w:szCs w:val="22"/>
        </w:rPr>
      </w:pPr>
      <w:r w:rsidRPr="001F5D4B">
        <w:rPr>
          <w:sz w:val="22"/>
          <w:szCs w:val="22"/>
        </w:rPr>
        <w:t xml:space="preserve">Humira brukes </w:t>
      </w:r>
      <w:r w:rsidR="00F464CF">
        <w:rPr>
          <w:sz w:val="22"/>
          <w:szCs w:val="22"/>
        </w:rPr>
        <w:t>til</w:t>
      </w:r>
      <w:r w:rsidR="00F464CF" w:rsidRPr="001F5D4B">
        <w:rPr>
          <w:sz w:val="22"/>
          <w:szCs w:val="22"/>
        </w:rPr>
        <w:t xml:space="preserve"> </w:t>
      </w:r>
      <w:r w:rsidRPr="001F5D4B">
        <w:rPr>
          <w:sz w:val="22"/>
          <w:szCs w:val="22"/>
        </w:rPr>
        <w:t>å behandle</w:t>
      </w:r>
    </w:p>
    <w:p w14:paraId="3322EF31" w14:textId="77777777" w:rsidR="009E676E" w:rsidRPr="00887835" w:rsidRDefault="00E453CD" w:rsidP="009E676E">
      <w:pPr>
        <w:pStyle w:val="EMEANormal"/>
        <w:numPr>
          <w:ilvl w:val="0"/>
          <w:numId w:val="110"/>
        </w:numPr>
        <w:tabs>
          <w:tab w:val="clear" w:pos="562"/>
          <w:tab w:val="left" w:pos="720"/>
        </w:tabs>
        <w:ind w:left="720"/>
        <w:rPr>
          <w:lang w:val="nb-NO"/>
        </w:rPr>
      </w:pPr>
      <w:r>
        <w:rPr>
          <w:lang w:val="nb-NO"/>
        </w:rPr>
        <w:t xml:space="preserve">moderat til alvorlig </w:t>
      </w:r>
      <w:r w:rsidRPr="0061743D">
        <w:rPr>
          <w:lang w:val="nb-NO"/>
        </w:rPr>
        <w:t>Crohns sykdom hos voksne og</w:t>
      </w:r>
    </w:p>
    <w:p w14:paraId="5E3EEB2A" w14:textId="77777777" w:rsidR="009E676E" w:rsidRPr="00887835" w:rsidRDefault="00E453CD" w:rsidP="009E676E">
      <w:pPr>
        <w:pStyle w:val="EMEANormal"/>
        <w:numPr>
          <w:ilvl w:val="0"/>
          <w:numId w:val="110"/>
        </w:numPr>
        <w:tabs>
          <w:tab w:val="clear" w:pos="562"/>
          <w:tab w:val="left" w:pos="720"/>
        </w:tabs>
        <w:ind w:left="720"/>
        <w:rPr>
          <w:szCs w:val="22"/>
          <w:lang w:val="nb-NO"/>
        </w:rPr>
      </w:pPr>
      <w:r>
        <w:rPr>
          <w:szCs w:val="21"/>
          <w:lang w:val="nb-NO"/>
        </w:rPr>
        <w:t xml:space="preserve">moderat til alvorlig </w:t>
      </w:r>
      <w:r w:rsidRPr="00887835">
        <w:rPr>
          <w:szCs w:val="21"/>
          <w:lang w:val="nb-NO"/>
        </w:rPr>
        <w:t>Crohns sykdom hos</w:t>
      </w:r>
      <w:r w:rsidRPr="0061743D">
        <w:rPr>
          <w:lang w:val="nb-NO"/>
        </w:rPr>
        <w:t xml:space="preserve"> barn </w:t>
      </w:r>
      <w:r w:rsidRPr="00887835">
        <w:rPr>
          <w:szCs w:val="21"/>
          <w:lang w:val="nb-NO"/>
        </w:rPr>
        <w:t xml:space="preserve">og ungdom </w:t>
      </w:r>
      <w:r>
        <w:rPr>
          <w:szCs w:val="22"/>
          <w:lang w:val="nb-NO"/>
        </w:rPr>
        <w:t>fra</w:t>
      </w:r>
      <w:r w:rsidRPr="0061743D">
        <w:rPr>
          <w:lang w:val="nb-NO"/>
        </w:rPr>
        <w:t xml:space="preserve"> 6 </w:t>
      </w:r>
      <w:r w:rsidR="00133D8A">
        <w:rPr>
          <w:lang w:val="nb-NO"/>
        </w:rPr>
        <w:t xml:space="preserve">til 17 </w:t>
      </w:r>
      <w:r w:rsidRPr="0061743D">
        <w:rPr>
          <w:lang w:val="nb-NO"/>
        </w:rPr>
        <w:t>år</w:t>
      </w:r>
      <w:r w:rsidR="00133D8A">
        <w:rPr>
          <w:lang w:val="nb-NO"/>
        </w:rPr>
        <w:t>.</w:t>
      </w:r>
    </w:p>
    <w:p w14:paraId="2ED08539" w14:textId="77777777" w:rsidR="009E676E" w:rsidRPr="003D42FF" w:rsidRDefault="009E676E" w:rsidP="009E676E">
      <w:pPr>
        <w:rPr>
          <w:sz w:val="22"/>
          <w:szCs w:val="22"/>
        </w:rPr>
      </w:pPr>
    </w:p>
    <w:p w14:paraId="1093A2D1" w14:textId="77777777" w:rsidR="009E676E" w:rsidRPr="009C5EFD" w:rsidRDefault="00E453CD" w:rsidP="009E676E">
      <w:pPr>
        <w:rPr>
          <w:sz w:val="22"/>
          <w:szCs w:val="22"/>
        </w:rPr>
      </w:pPr>
      <w:r>
        <w:rPr>
          <w:sz w:val="22"/>
          <w:szCs w:val="22"/>
        </w:rPr>
        <w:t>Det kan hende</w:t>
      </w:r>
      <w:r w:rsidRPr="009C5EFD">
        <w:rPr>
          <w:sz w:val="22"/>
          <w:szCs w:val="22"/>
        </w:rPr>
        <w:t xml:space="preserve"> du først få</w:t>
      </w:r>
      <w:r>
        <w:rPr>
          <w:sz w:val="22"/>
          <w:szCs w:val="22"/>
        </w:rPr>
        <w:t>r</w:t>
      </w:r>
      <w:r w:rsidRPr="009C5EFD">
        <w:rPr>
          <w:sz w:val="22"/>
          <w:szCs w:val="22"/>
        </w:rPr>
        <w:t xml:space="preserve"> andre legemidler. Dersom du ikke reagerer godt nok på disse lege</w:t>
      </w:r>
      <w:r w:rsidR="00133D8A">
        <w:rPr>
          <w:sz w:val="22"/>
          <w:szCs w:val="22"/>
        </w:rPr>
        <w:t>midlene, vil du få Humira</w:t>
      </w:r>
      <w:r w:rsidRPr="009C5EFD">
        <w:rPr>
          <w:sz w:val="22"/>
          <w:szCs w:val="22"/>
        </w:rPr>
        <w:t>.</w:t>
      </w:r>
    </w:p>
    <w:p w14:paraId="0AD9EDDE" w14:textId="77777777" w:rsidR="009E676E" w:rsidRPr="009C5EFD" w:rsidRDefault="009E676E" w:rsidP="00EB049D">
      <w:pPr>
        <w:rPr>
          <w:sz w:val="22"/>
          <w:szCs w:val="22"/>
        </w:rPr>
      </w:pPr>
    </w:p>
    <w:p w14:paraId="65870B21" w14:textId="77777777" w:rsidR="009E676E" w:rsidRPr="006947EE" w:rsidRDefault="00E453CD" w:rsidP="00776A84">
      <w:pPr>
        <w:pStyle w:val="EMEANormal"/>
        <w:keepNext/>
        <w:rPr>
          <w:lang w:val="nb-NO"/>
        </w:rPr>
      </w:pPr>
      <w:r w:rsidRPr="0061743D">
        <w:rPr>
          <w:b/>
          <w:lang w:val="nb-NO"/>
        </w:rPr>
        <w:t>Ulcerøs kolitt</w:t>
      </w:r>
    </w:p>
    <w:p w14:paraId="08C2D4A6" w14:textId="77777777" w:rsidR="009E676E" w:rsidRPr="009C5EFD" w:rsidRDefault="009E676E" w:rsidP="00776A84">
      <w:pPr>
        <w:pStyle w:val="EMEANormal"/>
        <w:keepNext/>
        <w:rPr>
          <w:szCs w:val="22"/>
          <w:lang w:val="nb-NO"/>
        </w:rPr>
      </w:pPr>
    </w:p>
    <w:p w14:paraId="356487BF" w14:textId="77777777" w:rsidR="009E676E" w:rsidRPr="009C5EFD" w:rsidRDefault="00E453CD" w:rsidP="009E676E">
      <w:pPr>
        <w:pStyle w:val="EMEANormal"/>
        <w:rPr>
          <w:szCs w:val="22"/>
          <w:u w:val="single"/>
          <w:lang w:val="nb-NO"/>
        </w:rPr>
      </w:pPr>
      <w:r w:rsidRPr="009C5EFD">
        <w:rPr>
          <w:szCs w:val="22"/>
          <w:lang w:val="nb-NO"/>
        </w:rPr>
        <w:t xml:space="preserve">Ulcerøs kolitt er en betennelsessykdom i </w:t>
      </w:r>
      <w:r>
        <w:rPr>
          <w:szCs w:val="22"/>
          <w:lang w:val="nb-NO"/>
        </w:rPr>
        <w:t>tykk</w:t>
      </w:r>
      <w:r w:rsidRPr="009C5EFD">
        <w:rPr>
          <w:szCs w:val="22"/>
          <w:lang w:val="nb-NO"/>
        </w:rPr>
        <w:t>tarmen.</w:t>
      </w:r>
    </w:p>
    <w:p w14:paraId="6CB88100" w14:textId="77777777" w:rsidR="009E676E" w:rsidRPr="009C5EFD" w:rsidRDefault="009E676E" w:rsidP="009E676E">
      <w:pPr>
        <w:pStyle w:val="EMEANormal"/>
        <w:rPr>
          <w:szCs w:val="22"/>
          <w:lang w:val="nb-NO"/>
        </w:rPr>
      </w:pPr>
    </w:p>
    <w:p w14:paraId="7D39DC4D" w14:textId="77777777" w:rsidR="00CF58F0" w:rsidRDefault="00E453CD" w:rsidP="00CF58F0">
      <w:pPr>
        <w:pStyle w:val="EMEANormal"/>
        <w:rPr>
          <w:szCs w:val="22"/>
          <w:lang w:val="nb-NO"/>
        </w:rPr>
      </w:pPr>
      <w:r w:rsidRPr="009C5EFD">
        <w:rPr>
          <w:szCs w:val="22"/>
          <w:lang w:val="nb-NO"/>
        </w:rPr>
        <w:t xml:space="preserve">Humira brukes </w:t>
      </w:r>
      <w:r>
        <w:rPr>
          <w:szCs w:val="22"/>
          <w:lang w:val="nb-NO"/>
        </w:rPr>
        <w:t>til</w:t>
      </w:r>
      <w:r w:rsidRPr="009C5EFD">
        <w:rPr>
          <w:szCs w:val="22"/>
          <w:lang w:val="nb-NO"/>
        </w:rPr>
        <w:t xml:space="preserve"> å behandle</w:t>
      </w:r>
    </w:p>
    <w:p w14:paraId="2FC56731" w14:textId="77777777" w:rsidR="00CF58F0" w:rsidRPr="0015674E" w:rsidRDefault="00E453CD" w:rsidP="00E04B2A">
      <w:pPr>
        <w:pStyle w:val="ListParagraph"/>
        <w:numPr>
          <w:ilvl w:val="0"/>
          <w:numId w:val="15"/>
        </w:numPr>
        <w:tabs>
          <w:tab w:val="left" w:pos="562"/>
        </w:tabs>
        <w:suppressAutoHyphens/>
        <w:rPr>
          <w:sz w:val="22"/>
          <w:szCs w:val="22"/>
        </w:rPr>
      </w:pPr>
      <w:r>
        <w:rPr>
          <w:szCs w:val="22"/>
        </w:rPr>
        <w:tab/>
      </w:r>
      <w:r w:rsidRPr="0015674E">
        <w:rPr>
          <w:sz w:val="22"/>
          <w:szCs w:val="22"/>
        </w:rPr>
        <w:t xml:space="preserve">moderat til </w:t>
      </w:r>
      <w:r w:rsidRPr="00E361F7">
        <w:rPr>
          <w:sz w:val="22"/>
          <w:szCs w:val="22"/>
        </w:rPr>
        <w:t>alvorlig</w:t>
      </w:r>
      <w:r w:rsidRPr="0015674E">
        <w:rPr>
          <w:sz w:val="22"/>
          <w:szCs w:val="22"/>
        </w:rPr>
        <w:t xml:space="preserve"> ulcerøs kolitt hos voksne</w:t>
      </w:r>
      <w:r w:rsidR="00E361F7" w:rsidRPr="0015674E">
        <w:rPr>
          <w:sz w:val="22"/>
          <w:szCs w:val="22"/>
        </w:rPr>
        <w:t xml:space="preserve"> og</w:t>
      </w:r>
    </w:p>
    <w:p w14:paraId="431487F6" w14:textId="77777777" w:rsidR="00CF58F0" w:rsidRPr="002C3646" w:rsidRDefault="00E453CD" w:rsidP="00E04B2A">
      <w:pPr>
        <w:pStyle w:val="ListParagraph"/>
        <w:numPr>
          <w:ilvl w:val="0"/>
          <w:numId w:val="15"/>
        </w:numPr>
        <w:tabs>
          <w:tab w:val="left" w:pos="562"/>
        </w:tabs>
        <w:suppressAutoHyphens/>
        <w:rPr>
          <w:szCs w:val="22"/>
        </w:rPr>
      </w:pPr>
      <w:r>
        <w:rPr>
          <w:sz w:val="22"/>
        </w:rPr>
        <w:tab/>
      </w:r>
      <w:r w:rsidRPr="00E04B2A">
        <w:rPr>
          <w:sz w:val="22"/>
        </w:rPr>
        <w:t xml:space="preserve">moderat til alvorlig ulcerøs kolitt hos barn og ungdom </w:t>
      </w:r>
      <w:r>
        <w:rPr>
          <w:sz w:val="22"/>
        </w:rPr>
        <w:t>fra</w:t>
      </w:r>
      <w:r w:rsidRPr="00E04B2A">
        <w:rPr>
          <w:sz w:val="22"/>
        </w:rPr>
        <w:t xml:space="preserve"> 6 til 17 år</w:t>
      </w:r>
    </w:p>
    <w:p w14:paraId="05B0B4F3" w14:textId="77777777" w:rsidR="00CF58F0" w:rsidRDefault="00CF58F0" w:rsidP="00CF58F0">
      <w:pPr>
        <w:pStyle w:val="EMEANormal"/>
        <w:rPr>
          <w:szCs w:val="22"/>
          <w:lang w:val="nb-NO"/>
        </w:rPr>
      </w:pPr>
    </w:p>
    <w:p w14:paraId="671A73D0" w14:textId="77777777" w:rsidR="00CF58F0" w:rsidRDefault="00E453CD" w:rsidP="00CF58F0">
      <w:pPr>
        <w:pStyle w:val="EMEANormal"/>
        <w:rPr>
          <w:szCs w:val="22"/>
          <w:lang w:val="nb-NO"/>
        </w:rPr>
      </w:pPr>
      <w:r w:rsidRPr="00887835">
        <w:rPr>
          <w:szCs w:val="22"/>
          <w:lang w:val="nb-NO"/>
        </w:rPr>
        <w:t>Det kan hende</w:t>
      </w:r>
      <w:r w:rsidRPr="009C5EFD">
        <w:rPr>
          <w:szCs w:val="22"/>
          <w:lang w:val="nb-NO"/>
        </w:rPr>
        <w:t xml:space="preserve"> du først </w:t>
      </w:r>
      <w:r w:rsidRPr="00887835">
        <w:rPr>
          <w:szCs w:val="22"/>
          <w:lang w:val="nb-NO"/>
        </w:rPr>
        <w:t>får</w:t>
      </w:r>
      <w:r w:rsidRPr="009C5EFD">
        <w:rPr>
          <w:szCs w:val="22"/>
          <w:lang w:val="nb-NO"/>
        </w:rPr>
        <w:t xml:space="preserve"> andre legemidler. Dersom du ikke reagerer godt nok på disse legemidlene, vil du få Humira.</w:t>
      </w:r>
    </w:p>
    <w:p w14:paraId="7CD9F2D6" w14:textId="77777777" w:rsidR="009E676E" w:rsidRPr="006947EE" w:rsidRDefault="009E676E" w:rsidP="009E676E">
      <w:pPr>
        <w:pStyle w:val="EMEANormal"/>
        <w:rPr>
          <w:lang w:val="nb-NO"/>
        </w:rPr>
      </w:pPr>
    </w:p>
    <w:p w14:paraId="5045FABF" w14:textId="77777777" w:rsidR="009E676E" w:rsidRPr="006947EE" w:rsidRDefault="00E453CD" w:rsidP="00776A84">
      <w:pPr>
        <w:pStyle w:val="EMEANormal"/>
        <w:keepNext/>
        <w:rPr>
          <w:lang w:val="nb-NO"/>
        </w:rPr>
      </w:pPr>
      <w:r w:rsidRPr="0061743D">
        <w:rPr>
          <w:b/>
          <w:lang w:val="nb-NO"/>
        </w:rPr>
        <w:t>Ikke-infeksiøs uveitt</w:t>
      </w:r>
    </w:p>
    <w:p w14:paraId="27B146BB" w14:textId="77777777" w:rsidR="009E676E" w:rsidRDefault="009E676E" w:rsidP="00776A84">
      <w:pPr>
        <w:pStyle w:val="EMEANormal"/>
        <w:keepNext/>
        <w:rPr>
          <w:szCs w:val="22"/>
          <w:u w:val="single"/>
          <w:lang w:val="nb-NO"/>
        </w:rPr>
      </w:pPr>
    </w:p>
    <w:p w14:paraId="56F34980" w14:textId="77777777" w:rsidR="009E676E" w:rsidRDefault="00E453CD" w:rsidP="009E676E">
      <w:pPr>
        <w:pStyle w:val="EMEANormal"/>
        <w:rPr>
          <w:szCs w:val="22"/>
          <w:lang w:val="nb-NO"/>
        </w:rPr>
      </w:pPr>
      <w:r w:rsidRPr="00521E94">
        <w:rPr>
          <w:szCs w:val="22"/>
          <w:lang w:val="nb-NO"/>
        </w:rPr>
        <w:t xml:space="preserve">Ikke-infeksiøs uveitt </w:t>
      </w:r>
      <w:r>
        <w:rPr>
          <w:szCs w:val="22"/>
          <w:lang w:val="nb-NO"/>
        </w:rPr>
        <w:t xml:space="preserve">er en betennelsessykdom </w:t>
      </w:r>
      <w:r w:rsidRPr="00521E94">
        <w:rPr>
          <w:szCs w:val="22"/>
          <w:lang w:val="nb-NO"/>
        </w:rPr>
        <w:t xml:space="preserve">som påvirker </w:t>
      </w:r>
      <w:r>
        <w:rPr>
          <w:szCs w:val="22"/>
          <w:lang w:val="nb-NO"/>
        </w:rPr>
        <w:t>visse deler av øyet.</w:t>
      </w:r>
    </w:p>
    <w:p w14:paraId="4E579DF9" w14:textId="77777777" w:rsidR="009E676E" w:rsidRDefault="009E676E" w:rsidP="009E676E">
      <w:pPr>
        <w:pStyle w:val="EMEANormal"/>
        <w:rPr>
          <w:szCs w:val="22"/>
          <w:lang w:val="nb-NO"/>
        </w:rPr>
      </w:pPr>
    </w:p>
    <w:p w14:paraId="12543792" w14:textId="77777777" w:rsidR="00B36CC1" w:rsidRDefault="00E453CD" w:rsidP="003764A0">
      <w:pPr>
        <w:pStyle w:val="EMEANormal"/>
        <w:keepNext/>
        <w:rPr>
          <w:szCs w:val="22"/>
          <w:lang w:val="nb-NO"/>
        </w:rPr>
      </w:pPr>
      <w:r>
        <w:rPr>
          <w:szCs w:val="22"/>
          <w:lang w:val="nb-NO"/>
        </w:rPr>
        <w:lastRenderedPageBreak/>
        <w:t xml:space="preserve">Humira brukes </w:t>
      </w:r>
      <w:r w:rsidR="00F464CF">
        <w:rPr>
          <w:szCs w:val="22"/>
          <w:lang w:val="nb-NO"/>
        </w:rPr>
        <w:t xml:space="preserve">til </w:t>
      </w:r>
      <w:r>
        <w:rPr>
          <w:szCs w:val="22"/>
          <w:lang w:val="nb-NO"/>
        </w:rPr>
        <w:t xml:space="preserve">å behandle </w:t>
      </w:r>
    </w:p>
    <w:p w14:paraId="43E494E9" w14:textId="77777777" w:rsidR="00B36CC1" w:rsidRPr="00EB7302" w:rsidRDefault="00E453CD" w:rsidP="003764A0">
      <w:pPr>
        <w:pStyle w:val="EMEANormal"/>
        <w:keepNext/>
        <w:numPr>
          <w:ilvl w:val="0"/>
          <w:numId w:val="110"/>
        </w:numPr>
        <w:tabs>
          <w:tab w:val="clear" w:pos="562"/>
          <w:tab w:val="left" w:pos="720"/>
        </w:tabs>
        <w:ind w:left="720"/>
        <w:rPr>
          <w:lang w:val="nb-NO"/>
        </w:rPr>
      </w:pPr>
      <w:r w:rsidRPr="00D34056">
        <w:rPr>
          <w:lang w:val="nb-NO"/>
        </w:rPr>
        <w:t>voksne med ikke-</w:t>
      </w:r>
      <w:r w:rsidRPr="004F1D48">
        <w:rPr>
          <w:lang w:val="nb-NO"/>
        </w:rPr>
        <w:t xml:space="preserve">infeksiøs uveitt med betennelse som påvirker bakre del av </w:t>
      </w:r>
      <w:r w:rsidRPr="009A2F72">
        <w:rPr>
          <w:lang w:val="nb-NO"/>
        </w:rPr>
        <w:t>øyet</w:t>
      </w:r>
    </w:p>
    <w:p w14:paraId="33318351" w14:textId="77777777" w:rsidR="00B36CC1" w:rsidRPr="00EB7302" w:rsidRDefault="00E453CD" w:rsidP="00AF70AD">
      <w:pPr>
        <w:pStyle w:val="EMEANormal"/>
        <w:numPr>
          <w:ilvl w:val="0"/>
          <w:numId w:val="110"/>
        </w:numPr>
        <w:tabs>
          <w:tab w:val="clear" w:pos="562"/>
          <w:tab w:val="left" w:pos="720"/>
        </w:tabs>
        <w:ind w:left="720"/>
        <w:rPr>
          <w:szCs w:val="21"/>
          <w:lang w:val="nb-NO"/>
        </w:rPr>
      </w:pPr>
      <w:r w:rsidRPr="00EB7302">
        <w:rPr>
          <w:lang w:val="nb-NO"/>
        </w:rPr>
        <w:t xml:space="preserve">barn </w:t>
      </w:r>
      <w:r w:rsidR="00F464CF" w:rsidRPr="00EB7302">
        <w:rPr>
          <w:lang w:val="nb-NO"/>
        </w:rPr>
        <w:t xml:space="preserve">over </w:t>
      </w:r>
      <w:r w:rsidRPr="00EB7302">
        <w:rPr>
          <w:lang w:val="nb-NO"/>
        </w:rPr>
        <w:t>2 år med kronisk ikke-infek</w:t>
      </w:r>
      <w:r w:rsidR="00A31EFD" w:rsidRPr="00EB7302">
        <w:rPr>
          <w:lang w:val="nb-NO"/>
        </w:rPr>
        <w:t>s</w:t>
      </w:r>
      <w:r w:rsidRPr="00EB7302">
        <w:rPr>
          <w:lang w:val="nb-NO"/>
        </w:rPr>
        <w:t>iøs uveitt med betennelse som påvirker fremre del av øyet (regnbuehinnebetennelse)</w:t>
      </w:r>
    </w:p>
    <w:p w14:paraId="0D8777A5" w14:textId="77777777" w:rsidR="00B36CC1" w:rsidRDefault="00B36CC1" w:rsidP="009E676E">
      <w:pPr>
        <w:pStyle w:val="EMEANormal"/>
        <w:rPr>
          <w:szCs w:val="22"/>
          <w:lang w:val="nb-NO"/>
        </w:rPr>
      </w:pPr>
    </w:p>
    <w:p w14:paraId="2105B7C8" w14:textId="77777777" w:rsidR="009E676E" w:rsidRPr="004E065A" w:rsidRDefault="00E453CD" w:rsidP="009E676E">
      <w:pPr>
        <w:pStyle w:val="EMEANormal"/>
        <w:rPr>
          <w:szCs w:val="22"/>
          <w:lang w:val="nb-NO"/>
        </w:rPr>
      </w:pPr>
      <w:r>
        <w:rPr>
          <w:szCs w:val="22"/>
          <w:lang w:val="nb-NO"/>
        </w:rPr>
        <w:t xml:space="preserve">Denne betennelsen </w:t>
      </w:r>
      <w:r w:rsidR="00B36CC1">
        <w:rPr>
          <w:szCs w:val="22"/>
          <w:lang w:val="nb-NO"/>
        </w:rPr>
        <w:t xml:space="preserve">kan </w:t>
      </w:r>
      <w:r>
        <w:rPr>
          <w:szCs w:val="22"/>
          <w:lang w:val="nb-NO"/>
        </w:rPr>
        <w:t xml:space="preserve">føre til nedsatt syn og/eller tilstedeværelse av </w:t>
      </w:r>
      <w:r w:rsidR="00B36CC1">
        <w:rPr>
          <w:szCs w:val="22"/>
          <w:lang w:val="nb-NO"/>
        </w:rPr>
        <w:t>flytende legemer</w:t>
      </w:r>
      <w:r>
        <w:rPr>
          <w:szCs w:val="22"/>
          <w:lang w:val="nb-NO"/>
        </w:rPr>
        <w:t xml:space="preserve"> i øyet (svarte prikker eller ujevne linjer som beveger seg </w:t>
      </w:r>
      <w:r w:rsidR="00B36CC1">
        <w:rPr>
          <w:szCs w:val="22"/>
          <w:lang w:val="nb-NO"/>
        </w:rPr>
        <w:t>over</w:t>
      </w:r>
      <w:r>
        <w:rPr>
          <w:szCs w:val="22"/>
          <w:lang w:val="nb-NO"/>
        </w:rPr>
        <w:t xml:space="preserve"> synsfeltet). Humira virker ved å redusere denne betennelsen.</w:t>
      </w:r>
      <w:r w:rsidR="004E065A">
        <w:rPr>
          <w:szCs w:val="22"/>
          <w:lang w:val="nb-NO"/>
        </w:rPr>
        <w:t xml:space="preserve"> </w:t>
      </w:r>
      <w:r w:rsidR="004E065A" w:rsidRPr="00A15CB1">
        <w:rPr>
          <w:szCs w:val="22"/>
          <w:lang w:val="nb-NO"/>
        </w:rPr>
        <w:t>Det kan hende du først får andre legemidler. Dersom du ikke reagerer godt nok på disse legemidlene, vil du få Humira.</w:t>
      </w:r>
    </w:p>
    <w:p w14:paraId="73682807" w14:textId="77777777" w:rsidR="009E676E" w:rsidRPr="009C5EFD" w:rsidRDefault="009E676E" w:rsidP="009E676E">
      <w:pPr>
        <w:rPr>
          <w:sz w:val="22"/>
          <w:szCs w:val="22"/>
        </w:rPr>
      </w:pPr>
    </w:p>
    <w:p w14:paraId="7DD49378" w14:textId="77777777" w:rsidR="009E676E" w:rsidRPr="009C5EFD" w:rsidRDefault="009E676E" w:rsidP="00B3311E">
      <w:pPr>
        <w:suppressAutoHyphens/>
        <w:rPr>
          <w:sz w:val="22"/>
          <w:szCs w:val="22"/>
        </w:rPr>
      </w:pPr>
    </w:p>
    <w:p w14:paraId="5F2A5768" w14:textId="77777777" w:rsidR="009E676E" w:rsidRPr="009C5EFD" w:rsidRDefault="00E453CD" w:rsidP="00776A84">
      <w:pPr>
        <w:keepNext/>
        <w:suppressAutoHyphens/>
        <w:ind w:left="621" w:hanging="621"/>
        <w:rPr>
          <w:sz w:val="22"/>
          <w:szCs w:val="22"/>
        </w:rPr>
      </w:pPr>
      <w:r w:rsidRPr="009C5EFD">
        <w:rPr>
          <w:b/>
          <w:sz w:val="22"/>
          <w:szCs w:val="22"/>
        </w:rPr>
        <w:t>2.</w:t>
      </w:r>
      <w:r w:rsidRPr="009C5EFD">
        <w:rPr>
          <w:b/>
          <w:sz w:val="22"/>
          <w:szCs w:val="22"/>
        </w:rPr>
        <w:tab/>
        <w:t>Hva du må vite før du bruker Humira</w:t>
      </w:r>
    </w:p>
    <w:p w14:paraId="76681183" w14:textId="77777777" w:rsidR="009E676E" w:rsidRPr="009C5EFD" w:rsidRDefault="009E676E" w:rsidP="00776A84">
      <w:pPr>
        <w:keepNext/>
        <w:ind w:left="621" w:hanging="621"/>
        <w:rPr>
          <w:sz w:val="22"/>
          <w:szCs w:val="22"/>
        </w:rPr>
      </w:pPr>
    </w:p>
    <w:p w14:paraId="1174BB8A" w14:textId="77777777" w:rsidR="009E676E" w:rsidRPr="006947EE" w:rsidRDefault="00E453CD" w:rsidP="00776A84">
      <w:pPr>
        <w:keepNext/>
        <w:suppressAutoHyphens/>
        <w:ind w:left="480" w:hanging="480"/>
        <w:rPr>
          <w:sz w:val="22"/>
          <w:szCs w:val="22"/>
        </w:rPr>
      </w:pPr>
      <w:r w:rsidRPr="009C5EFD">
        <w:rPr>
          <w:b/>
          <w:sz w:val="22"/>
          <w:szCs w:val="22"/>
        </w:rPr>
        <w:t>Bruk ikke Humira</w:t>
      </w:r>
      <w:r>
        <w:rPr>
          <w:b/>
          <w:sz w:val="22"/>
          <w:szCs w:val="22"/>
        </w:rPr>
        <w:t>:</w:t>
      </w:r>
    </w:p>
    <w:p w14:paraId="464B54CE" w14:textId="77777777" w:rsidR="009E676E" w:rsidRPr="009C5EFD" w:rsidRDefault="009E676E" w:rsidP="00776A84">
      <w:pPr>
        <w:keepNext/>
        <w:suppressAutoHyphens/>
        <w:ind w:left="480" w:hanging="426"/>
        <w:rPr>
          <w:sz w:val="22"/>
          <w:szCs w:val="22"/>
        </w:rPr>
      </w:pPr>
    </w:p>
    <w:p w14:paraId="53013B1A" w14:textId="77777777" w:rsidR="009E676E" w:rsidRPr="009C5EFD" w:rsidRDefault="00E453CD" w:rsidP="009E676E">
      <w:pPr>
        <w:numPr>
          <w:ilvl w:val="0"/>
          <w:numId w:val="3"/>
        </w:numPr>
        <w:rPr>
          <w:sz w:val="22"/>
          <w:szCs w:val="22"/>
        </w:rPr>
      </w:pPr>
      <w:r>
        <w:rPr>
          <w:sz w:val="22"/>
          <w:szCs w:val="22"/>
        </w:rPr>
        <w:t>Dersom</w:t>
      </w:r>
      <w:r w:rsidRPr="009C5EFD">
        <w:rPr>
          <w:sz w:val="22"/>
          <w:szCs w:val="22"/>
        </w:rPr>
        <w:t xml:space="preserve"> du er allergisk overfor adalimumab eller noen av de andre innholdsstoffene i dette legemidlet (listet opp i </w:t>
      </w:r>
      <w:r>
        <w:rPr>
          <w:sz w:val="22"/>
          <w:szCs w:val="22"/>
        </w:rPr>
        <w:t xml:space="preserve">avsnitt </w:t>
      </w:r>
      <w:r w:rsidRPr="009C5EFD">
        <w:rPr>
          <w:sz w:val="22"/>
          <w:szCs w:val="22"/>
        </w:rPr>
        <w:t>6).</w:t>
      </w:r>
    </w:p>
    <w:p w14:paraId="71452D3C" w14:textId="77777777" w:rsidR="009E676E" w:rsidRPr="009C5EFD" w:rsidRDefault="009E676E" w:rsidP="009E676E">
      <w:pPr>
        <w:ind w:left="567"/>
        <w:rPr>
          <w:sz w:val="22"/>
          <w:szCs w:val="22"/>
        </w:rPr>
      </w:pPr>
    </w:p>
    <w:p w14:paraId="05E53A01" w14:textId="77777777" w:rsidR="009E676E" w:rsidRPr="009C5EFD" w:rsidRDefault="00E453CD" w:rsidP="009E676E">
      <w:pPr>
        <w:numPr>
          <w:ilvl w:val="0"/>
          <w:numId w:val="3"/>
        </w:numPr>
        <w:rPr>
          <w:sz w:val="22"/>
          <w:szCs w:val="22"/>
        </w:rPr>
      </w:pPr>
      <w:r>
        <w:rPr>
          <w:sz w:val="22"/>
          <w:szCs w:val="22"/>
        </w:rPr>
        <w:t>D</w:t>
      </w:r>
      <w:r w:rsidRPr="009C5EFD">
        <w:rPr>
          <w:sz w:val="22"/>
          <w:szCs w:val="22"/>
        </w:rPr>
        <w:t xml:space="preserve">ersom du har aktiv tuberkulose </w:t>
      </w:r>
      <w:r>
        <w:rPr>
          <w:sz w:val="22"/>
          <w:szCs w:val="22"/>
        </w:rPr>
        <w:t xml:space="preserve">eller andre alvorlige </w:t>
      </w:r>
      <w:r w:rsidRPr="009C5EFD">
        <w:rPr>
          <w:sz w:val="22"/>
          <w:szCs w:val="22"/>
        </w:rPr>
        <w:t>infeksjon</w:t>
      </w:r>
      <w:r>
        <w:rPr>
          <w:sz w:val="22"/>
          <w:szCs w:val="22"/>
        </w:rPr>
        <w:t>er</w:t>
      </w:r>
      <w:r w:rsidRPr="009C5EFD">
        <w:rPr>
          <w:sz w:val="22"/>
          <w:szCs w:val="22"/>
        </w:rPr>
        <w:t xml:space="preserve"> (se </w:t>
      </w:r>
      <w:r w:rsidR="00D57009">
        <w:rPr>
          <w:sz w:val="22"/>
          <w:szCs w:val="22"/>
        </w:rPr>
        <w:t>«</w:t>
      </w:r>
      <w:r w:rsidRPr="009C5EFD">
        <w:rPr>
          <w:sz w:val="22"/>
          <w:szCs w:val="22"/>
        </w:rPr>
        <w:t>Advarsler og forsiktighetsregler</w:t>
      </w:r>
      <w:r w:rsidR="00D57009">
        <w:rPr>
          <w:sz w:val="22"/>
          <w:szCs w:val="22"/>
        </w:rPr>
        <w:t>»</w:t>
      </w:r>
      <w:r w:rsidRPr="009C5EFD">
        <w:rPr>
          <w:sz w:val="22"/>
          <w:szCs w:val="22"/>
        </w:rPr>
        <w:t xml:space="preserve">). Det er viktig at du informerer legen </w:t>
      </w:r>
      <w:r>
        <w:rPr>
          <w:sz w:val="22"/>
          <w:szCs w:val="22"/>
        </w:rPr>
        <w:t xml:space="preserve">din </w:t>
      </w:r>
      <w:r w:rsidRPr="009C5EFD">
        <w:rPr>
          <w:sz w:val="22"/>
          <w:szCs w:val="22"/>
        </w:rPr>
        <w:t xml:space="preserve">om du har symptomer på infeksjon, som </w:t>
      </w:r>
      <w:r>
        <w:rPr>
          <w:sz w:val="22"/>
          <w:szCs w:val="22"/>
        </w:rPr>
        <w:t>f.eks.</w:t>
      </w:r>
      <w:r w:rsidRPr="009C5EFD">
        <w:rPr>
          <w:sz w:val="22"/>
          <w:szCs w:val="22"/>
        </w:rPr>
        <w:t xml:space="preserve"> feber, sår, tretthet, problemer med tennene.</w:t>
      </w:r>
    </w:p>
    <w:p w14:paraId="45EEFEB9" w14:textId="77777777" w:rsidR="009E676E" w:rsidRPr="009C5EFD" w:rsidRDefault="009E676E" w:rsidP="009E676E">
      <w:pPr>
        <w:ind w:left="567"/>
        <w:rPr>
          <w:sz w:val="22"/>
          <w:szCs w:val="22"/>
        </w:rPr>
      </w:pPr>
    </w:p>
    <w:p w14:paraId="7CAEC82F" w14:textId="77777777" w:rsidR="009E676E" w:rsidRPr="009C5EFD" w:rsidRDefault="00E453CD" w:rsidP="00AF70AD">
      <w:pPr>
        <w:numPr>
          <w:ilvl w:val="0"/>
          <w:numId w:val="3"/>
        </w:numPr>
        <w:tabs>
          <w:tab w:val="left" w:pos="720"/>
        </w:tabs>
        <w:suppressAutoHyphens/>
        <w:rPr>
          <w:sz w:val="22"/>
          <w:szCs w:val="22"/>
        </w:rPr>
      </w:pPr>
      <w:r>
        <w:rPr>
          <w:sz w:val="22"/>
          <w:szCs w:val="22"/>
        </w:rPr>
        <w:t>Dersom</w:t>
      </w:r>
      <w:r w:rsidRPr="009C5EFD">
        <w:rPr>
          <w:sz w:val="22"/>
          <w:szCs w:val="22"/>
        </w:rPr>
        <w:t xml:space="preserve"> du har moderat til alvorlig hjertesvikt. Det er viktig at du forteller legen </w:t>
      </w:r>
      <w:r>
        <w:rPr>
          <w:sz w:val="22"/>
          <w:szCs w:val="22"/>
        </w:rPr>
        <w:t xml:space="preserve">din </w:t>
      </w:r>
      <w:r w:rsidRPr="009C5EFD">
        <w:rPr>
          <w:sz w:val="22"/>
          <w:szCs w:val="22"/>
        </w:rPr>
        <w:t xml:space="preserve">hvis du har eller har hatt en alvorlig hjertesykdom (se </w:t>
      </w:r>
      <w:r w:rsidR="00D57009">
        <w:rPr>
          <w:sz w:val="22"/>
          <w:szCs w:val="22"/>
        </w:rPr>
        <w:t>«</w:t>
      </w:r>
      <w:r w:rsidRPr="009C5EFD">
        <w:rPr>
          <w:sz w:val="22"/>
          <w:szCs w:val="22"/>
        </w:rPr>
        <w:t>Advarsler og forsiktighetsregler</w:t>
      </w:r>
      <w:r w:rsidR="00D57009">
        <w:rPr>
          <w:sz w:val="22"/>
          <w:szCs w:val="22"/>
        </w:rPr>
        <w:t>»</w:t>
      </w:r>
      <w:r w:rsidRPr="009C5EFD">
        <w:rPr>
          <w:sz w:val="22"/>
          <w:szCs w:val="22"/>
        </w:rPr>
        <w:t>).</w:t>
      </w:r>
    </w:p>
    <w:p w14:paraId="5842B021" w14:textId="77777777" w:rsidR="009E676E" w:rsidRPr="009C5EFD" w:rsidRDefault="009E676E" w:rsidP="009E676E">
      <w:pPr>
        <w:tabs>
          <w:tab w:val="num" w:pos="567"/>
        </w:tabs>
        <w:suppressAutoHyphens/>
        <w:ind w:left="567" w:hanging="567"/>
        <w:rPr>
          <w:sz w:val="22"/>
          <w:szCs w:val="22"/>
        </w:rPr>
      </w:pPr>
    </w:p>
    <w:p w14:paraId="116BC1F9" w14:textId="77777777" w:rsidR="009E676E" w:rsidRPr="006947EE" w:rsidRDefault="00E453CD" w:rsidP="00776A84">
      <w:pPr>
        <w:keepNext/>
        <w:tabs>
          <w:tab w:val="num" w:pos="567"/>
        </w:tabs>
        <w:suppressAutoHyphens/>
        <w:ind w:left="567" w:hanging="567"/>
        <w:rPr>
          <w:sz w:val="22"/>
          <w:szCs w:val="22"/>
        </w:rPr>
      </w:pPr>
      <w:r w:rsidRPr="009C5EFD">
        <w:rPr>
          <w:b/>
          <w:sz w:val="22"/>
          <w:szCs w:val="22"/>
        </w:rPr>
        <w:t>Advarsler og forsiktighetsregler</w:t>
      </w:r>
    </w:p>
    <w:p w14:paraId="6DFD3B15" w14:textId="77777777" w:rsidR="009E676E" w:rsidRPr="009C5EFD" w:rsidRDefault="009E676E" w:rsidP="00776A84">
      <w:pPr>
        <w:keepNext/>
        <w:tabs>
          <w:tab w:val="num" w:pos="567"/>
        </w:tabs>
        <w:suppressAutoHyphens/>
        <w:ind w:left="567" w:hanging="567"/>
        <w:rPr>
          <w:sz w:val="22"/>
          <w:szCs w:val="22"/>
        </w:rPr>
      </w:pPr>
    </w:p>
    <w:p w14:paraId="26D0755D" w14:textId="77777777" w:rsidR="009E676E" w:rsidRPr="009C5EFD" w:rsidRDefault="00E453CD" w:rsidP="009E676E">
      <w:pPr>
        <w:pStyle w:val="BodyTextIndent3"/>
        <w:rPr>
          <w:szCs w:val="22"/>
        </w:rPr>
      </w:pPr>
      <w:r w:rsidRPr="009C5EFD">
        <w:rPr>
          <w:szCs w:val="22"/>
        </w:rPr>
        <w:t>Snakk med legen din eller apotek før Humira brukes.</w:t>
      </w:r>
    </w:p>
    <w:p w14:paraId="26333772" w14:textId="77777777" w:rsidR="009E676E" w:rsidRDefault="009E676E" w:rsidP="009E676E">
      <w:pPr>
        <w:pStyle w:val="BodyTextIndent3"/>
        <w:rPr>
          <w:szCs w:val="22"/>
        </w:rPr>
      </w:pPr>
    </w:p>
    <w:p w14:paraId="15E2CEE8" w14:textId="77777777" w:rsidR="009E676E" w:rsidRDefault="00E453CD" w:rsidP="00DF48AA">
      <w:pPr>
        <w:pStyle w:val="BodyTextIndent3"/>
        <w:keepNext/>
        <w:rPr>
          <w:szCs w:val="22"/>
        </w:rPr>
      </w:pPr>
      <w:r>
        <w:rPr>
          <w:szCs w:val="22"/>
          <w:u w:val="single"/>
        </w:rPr>
        <w:t>Allergiske reaksjoner</w:t>
      </w:r>
    </w:p>
    <w:p w14:paraId="3928607D" w14:textId="77777777" w:rsidR="009E676E" w:rsidRPr="009B6AB2" w:rsidRDefault="009E676E" w:rsidP="00DF48AA">
      <w:pPr>
        <w:pStyle w:val="BodyTextIndent3"/>
        <w:keepNext/>
        <w:rPr>
          <w:szCs w:val="22"/>
        </w:rPr>
      </w:pPr>
    </w:p>
    <w:p w14:paraId="5D0A7CD1" w14:textId="77777777" w:rsidR="009E676E" w:rsidRPr="009C5EFD" w:rsidRDefault="00E453CD" w:rsidP="00776A84">
      <w:pPr>
        <w:pStyle w:val="BodyTextIndent3"/>
        <w:numPr>
          <w:ilvl w:val="0"/>
          <w:numId w:val="3"/>
        </w:numPr>
        <w:ind w:left="714" w:hanging="357"/>
        <w:rPr>
          <w:szCs w:val="22"/>
        </w:rPr>
      </w:pPr>
      <w:r w:rsidRPr="009C5EFD">
        <w:rPr>
          <w:szCs w:val="22"/>
        </w:rPr>
        <w:t xml:space="preserve">Dersom du får allergiske reaksjoner med symptomer som tetthet eller piping i brystet, svimmelhet, hevelse eller utslett, må du ikke </w:t>
      </w:r>
      <w:r w:rsidRPr="009C5EFD">
        <w:rPr>
          <w:color w:val="000000"/>
          <w:szCs w:val="22"/>
        </w:rPr>
        <w:t xml:space="preserve">fortsette å </w:t>
      </w:r>
      <w:r w:rsidR="00F464CF">
        <w:rPr>
          <w:szCs w:val="22"/>
        </w:rPr>
        <w:t>injisere</w:t>
      </w:r>
      <w:r w:rsidR="00F464CF" w:rsidRPr="009C5EFD">
        <w:rPr>
          <w:szCs w:val="22"/>
        </w:rPr>
        <w:t xml:space="preserve"> </w:t>
      </w:r>
      <w:r w:rsidRPr="009C5EFD">
        <w:rPr>
          <w:szCs w:val="22"/>
        </w:rPr>
        <w:t xml:space="preserve">Humira, men kontakte legen </w:t>
      </w:r>
      <w:r>
        <w:rPr>
          <w:szCs w:val="22"/>
        </w:rPr>
        <w:t>din</w:t>
      </w:r>
      <w:r w:rsidRPr="009C5EFD">
        <w:rPr>
          <w:szCs w:val="22"/>
        </w:rPr>
        <w:t xml:space="preserve"> umiddelbart</w:t>
      </w:r>
      <w:r w:rsidR="00A1429F">
        <w:rPr>
          <w:szCs w:val="22"/>
        </w:rPr>
        <w:t xml:space="preserve"> siden disse reaksjone</w:t>
      </w:r>
      <w:r w:rsidR="00D93F46">
        <w:rPr>
          <w:szCs w:val="22"/>
        </w:rPr>
        <w:t>ne</w:t>
      </w:r>
      <w:r w:rsidR="00A1429F">
        <w:rPr>
          <w:szCs w:val="22"/>
        </w:rPr>
        <w:t xml:space="preserve"> i sjeldne tilfeller kan være livstruende</w:t>
      </w:r>
      <w:r w:rsidRPr="009C5EFD">
        <w:rPr>
          <w:szCs w:val="22"/>
        </w:rPr>
        <w:t>.</w:t>
      </w:r>
    </w:p>
    <w:p w14:paraId="76633CDB" w14:textId="77777777" w:rsidR="009E676E" w:rsidRDefault="009E676E" w:rsidP="009E676E">
      <w:pPr>
        <w:pStyle w:val="BodyTextIndent3"/>
        <w:ind w:firstLine="0"/>
        <w:rPr>
          <w:szCs w:val="22"/>
        </w:rPr>
      </w:pPr>
    </w:p>
    <w:p w14:paraId="5822A314" w14:textId="77777777" w:rsidR="009E676E" w:rsidRDefault="00E453CD" w:rsidP="00776A84">
      <w:pPr>
        <w:pStyle w:val="BodyTextIndent3"/>
        <w:keepNext/>
        <w:rPr>
          <w:szCs w:val="22"/>
        </w:rPr>
      </w:pPr>
      <w:r>
        <w:rPr>
          <w:szCs w:val="22"/>
          <w:u w:val="single"/>
        </w:rPr>
        <w:t>Infeksjoner</w:t>
      </w:r>
    </w:p>
    <w:p w14:paraId="43D72A7B" w14:textId="77777777" w:rsidR="009E676E" w:rsidRPr="009B6AB2" w:rsidRDefault="009E676E" w:rsidP="00776A84">
      <w:pPr>
        <w:pStyle w:val="BodyTextIndent3"/>
        <w:keepNext/>
        <w:rPr>
          <w:szCs w:val="22"/>
        </w:rPr>
      </w:pPr>
    </w:p>
    <w:p w14:paraId="30857FF6" w14:textId="77777777" w:rsidR="009E676E" w:rsidRPr="009C5EFD" w:rsidRDefault="00E453CD" w:rsidP="009E676E">
      <w:pPr>
        <w:pStyle w:val="BodyTextIndent3"/>
        <w:numPr>
          <w:ilvl w:val="0"/>
          <w:numId w:val="3"/>
        </w:numPr>
        <w:rPr>
          <w:szCs w:val="22"/>
        </w:rPr>
      </w:pPr>
      <w:r w:rsidRPr="009C5EFD">
        <w:rPr>
          <w:szCs w:val="22"/>
        </w:rPr>
        <w:t xml:space="preserve">Dersom du har en infeksjon, </w:t>
      </w:r>
      <w:r>
        <w:rPr>
          <w:szCs w:val="22"/>
        </w:rPr>
        <w:t>inkludert</w:t>
      </w:r>
      <w:r w:rsidRPr="009C5EFD">
        <w:rPr>
          <w:szCs w:val="22"/>
        </w:rPr>
        <w:t xml:space="preserve"> langtids</w:t>
      </w:r>
      <w:r>
        <w:rPr>
          <w:szCs w:val="22"/>
        </w:rPr>
        <w:t>infeksjon</w:t>
      </w:r>
      <w:r w:rsidRPr="009C5EFD">
        <w:rPr>
          <w:szCs w:val="22"/>
        </w:rPr>
        <w:t xml:space="preserve"> eller </w:t>
      </w:r>
      <w:r>
        <w:rPr>
          <w:szCs w:val="22"/>
        </w:rPr>
        <w:t>en</w:t>
      </w:r>
      <w:r w:rsidRPr="009C5EFD">
        <w:rPr>
          <w:szCs w:val="22"/>
        </w:rPr>
        <w:t xml:space="preserve"> infeksjon </w:t>
      </w:r>
      <w:r>
        <w:rPr>
          <w:szCs w:val="22"/>
        </w:rPr>
        <w:t xml:space="preserve">i én del av kroppen </w:t>
      </w:r>
      <w:r w:rsidRPr="009C5EFD">
        <w:rPr>
          <w:szCs w:val="22"/>
        </w:rPr>
        <w:t>(</w:t>
      </w:r>
      <w:r>
        <w:rPr>
          <w:szCs w:val="22"/>
        </w:rPr>
        <w:t>f.eks.</w:t>
      </w:r>
      <w:r w:rsidRPr="009C5EFD">
        <w:rPr>
          <w:szCs w:val="22"/>
        </w:rPr>
        <w:t xml:space="preserve"> leggsår) må du snakke med legen </w:t>
      </w:r>
      <w:r>
        <w:rPr>
          <w:szCs w:val="22"/>
        </w:rPr>
        <w:t xml:space="preserve">din </w:t>
      </w:r>
      <w:r w:rsidRPr="009C5EFD">
        <w:rPr>
          <w:szCs w:val="22"/>
        </w:rPr>
        <w:t xml:space="preserve">før du begynner å bruke Humira. </w:t>
      </w:r>
      <w:r w:rsidR="00F464CF">
        <w:rPr>
          <w:szCs w:val="22"/>
        </w:rPr>
        <w:t>K</w:t>
      </w:r>
      <w:r w:rsidRPr="009C5EFD">
        <w:rPr>
          <w:szCs w:val="22"/>
        </w:rPr>
        <w:t>ontakt legen</w:t>
      </w:r>
      <w:r>
        <w:rPr>
          <w:szCs w:val="22"/>
        </w:rPr>
        <w:t xml:space="preserve"> din</w:t>
      </w:r>
      <w:r w:rsidRPr="009C5EFD">
        <w:rPr>
          <w:szCs w:val="22"/>
        </w:rPr>
        <w:t xml:space="preserve"> hvis du er usikker.</w:t>
      </w:r>
    </w:p>
    <w:p w14:paraId="0C8ABA97" w14:textId="77777777" w:rsidR="009E676E" w:rsidRPr="009C5EFD" w:rsidRDefault="009E676E" w:rsidP="00776A84">
      <w:pPr>
        <w:pStyle w:val="BodyTextIndent3"/>
        <w:ind w:left="0" w:firstLine="0"/>
        <w:rPr>
          <w:szCs w:val="22"/>
        </w:rPr>
      </w:pPr>
    </w:p>
    <w:p w14:paraId="4124EB80" w14:textId="77777777" w:rsidR="009E676E" w:rsidRDefault="00E453CD" w:rsidP="009E676E">
      <w:pPr>
        <w:numPr>
          <w:ilvl w:val="0"/>
          <w:numId w:val="3"/>
        </w:numPr>
        <w:suppressAutoHyphens/>
        <w:rPr>
          <w:sz w:val="22"/>
          <w:szCs w:val="22"/>
        </w:rPr>
      </w:pPr>
      <w:r w:rsidRPr="009C5EFD">
        <w:rPr>
          <w:sz w:val="22"/>
          <w:szCs w:val="22"/>
        </w:rPr>
        <w:t xml:space="preserve">Du kan lettere få infeksjoner mens du behandles med Humira. Denne risikoen kan være større hvis </w:t>
      </w:r>
      <w:r>
        <w:rPr>
          <w:sz w:val="22"/>
          <w:szCs w:val="22"/>
        </w:rPr>
        <w:t xml:space="preserve">du har problemer med </w:t>
      </w:r>
      <w:r w:rsidRPr="009C5EFD">
        <w:rPr>
          <w:sz w:val="22"/>
          <w:szCs w:val="22"/>
        </w:rPr>
        <w:t>din lungefunksjon. Disse infeksjonene kan være alvorlige og inkluderer</w:t>
      </w:r>
      <w:r>
        <w:rPr>
          <w:sz w:val="22"/>
          <w:szCs w:val="22"/>
        </w:rPr>
        <w:t>:</w:t>
      </w:r>
    </w:p>
    <w:p w14:paraId="406B73A1" w14:textId="77777777" w:rsidR="009E676E" w:rsidRDefault="009E676E" w:rsidP="00776A84">
      <w:pPr>
        <w:keepNext/>
        <w:suppressAutoHyphens/>
        <w:rPr>
          <w:sz w:val="22"/>
          <w:szCs w:val="22"/>
        </w:rPr>
      </w:pPr>
    </w:p>
    <w:p w14:paraId="753FB111" w14:textId="77777777" w:rsidR="009E676E" w:rsidRPr="00B20185" w:rsidRDefault="00E453CD" w:rsidP="009E676E">
      <w:pPr>
        <w:pStyle w:val="EMEABullet2"/>
        <w:numPr>
          <w:ilvl w:val="1"/>
          <w:numId w:val="111"/>
        </w:numPr>
        <w:tabs>
          <w:tab w:val="clear" w:pos="567"/>
        </w:tabs>
        <w:rPr>
          <w:lang w:val="en-GB"/>
        </w:rPr>
      </w:pPr>
      <w:r w:rsidRPr="0061743D">
        <w:rPr>
          <w:lang w:val="en-GB"/>
        </w:rPr>
        <w:t>tuberkulose</w:t>
      </w:r>
    </w:p>
    <w:p w14:paraId="2778C141" w14:textId="77777777" w:rsidR="009E676E" w:rsidRPr="00887835" w:rsidRDefault="00E453CD" w:rsidP="009E676E">
      <w:pPr>
        <w:pStyle w:val="EMEABullet2"/>
        <w:numPr>
          <w:ilvl w:val="1"/>
          <w:numId w:val="111"/>
        </w:numPr>
        <w:tabs>
          <w:tab w:val="clear" w:pos="567"/>
        </w:tabs>
        <w:rPr>
          <w:lang w:val="nb-NO"/>
        </w:rPr>
      </w:pPr>
      <w:r w:rsidRPr="0061743D">
        <w:rPr>
          <w:lang w:val="nb-NO"/>
        </w:rPr>
        <w:t xml:space="preserve">infeksjoner forårsaket av virus, sopp, parasitter eller </w:t>
      </w:r>
      <w:r w:rsidRPr="00887835">
        <w:rPr>
          <w:szCs w:val="22"/>
          <w:lang w:val="nb-NO"/>
        </w:rPr>
        <w:t>bakterie</w:t>
      </w:r>
      <w:r>
        <w:rPr>
          <w:szCs w:val="22"/>
          <w:lang w:val="nb-NO"/>
        </w:rPr>
        <w:t>r</w:t>
      </w:r>
    </w:p>
    <w:p w14:paraId="5E9A99A0" w14:textId="77777777" w:rsidR="009E676E" w:rsidRPr="00887835" w:rsidRDefault="00E453CD" w:rsidP="009E676E">
      <w:pPr>
        <w:pStyle w:val="EMEANormal"/>
        <w:numPr>
          <w:ilvl w:val="1"/>
          <w:numId w:val="111"/>
        </w:numPr>
        <w:rPr>
          <w:lang w:val="nb-NO"/>
        </w:rPr>
      </w:pPr>
      <w:r>
        <w:rPr>
          <w:lang w:val="nb-NO"/>
        </w:rPr>
        <w:t>alvorlige infeksjoner i blodet (</w:t>
      </w:r>
      <w:r w:rsidRPr="0061743D">
        <w:rPr>
          <w:lang w:val="nb-NO"/>
        </w:rPr>
        <w:t>blodforgiftning</w:t>
      </w:r>
      <w:r>
        <w:rPr>
          <w:lang w:val="nb-NO"/>
        </w:rPr>
        <w:t>)</w:t>
      </w:r>
    </w:p>
    <w:p w14:paraId="6C04861C" w14:textId="77777777" w:rsidR="009E676E" w:rsidRPr="00E54D13" w:rsidRDefault="009E676E" w:rsidP="00776A84">
      <w:pPr>
        <w:suppressAutoHyphens/>
        <w:rPr>
          <w:sz w:val="22"/>
          <w:szCs w:val="22"/>
        </w:rPr>
      </w:pPr>
    </w:p>
    <w:p w14:paraId="0499CB19" w14:textId="77777777" w:rsidR="009E676E" w:rsidRPr="009C5EFD" w:rsidRDefault="00E453CD" w:rsidP="00172EEB">
      <w:pPr>
        <w:suppressAutoHyphens/>
        <w:ind w:left="720"/>
        <w:rPr>
          <w:sz w:val="22"/>
          <w:szCs w:val="22"/>
        </w:rPr>
      </w:pPr>
      <w:r>
        <w:rPr>
          <w:sz w:val="22"/>
          <w:szCs w:val="22"/>
        </w:rPr>
        <w:t>I</w:t>
      </w:r>
      <w:r w:rsidRPr="009C5EFD">
        <w:rPr>
          <w:sz w:val="22"/>
          <w:szCs w:val="22"/>
        </w:rPr>
        <w:t xml:space="preserve"> sjeldne tilfeller kan </w:t>
      </w:r>
      <w:r>
        <w:rPr>
          <w:sz w:val="22"/>
          <w:szCs w:val="22"/>
        </w:rPr>
        <w:t xml:space="preserve">disse infeksjonene </w:t>
      </w:r>
      <w:r w:rsidRPr="009C5EFD">
        <w:rPr>
          <w:sz w:val="22"/>
          <w:szCs w:val="22"/>
        </w:rPr>
        <w:t xml:space="preserve">være livstruende. Det er viktig å fortelle legen </w:t>
      </w:r>
      <w:r>
        <w:rPr>
          <w:sz w:val="22"/>
          <w:szCs w:val="22"/>
        </w:rPr>
        <w:t xml:space="preserve">din </w:t>
      </w:r>
      <w:r w:rsidRPr="009C5EFD">
        <w:rPr>
          <w:sz w:val="22"/>
          <w:szCs w:val="22"/>
        </w:rPr>
        <w:t xml:space="preserve">om eventuelle symptomer som feber, sår, tretthet eller problemer med tennene. Legen </w:t>
      </w:r>
      <w:r>
        <w:rPr>
          <w:sz w:val="22"/>
          <w:szCs w:val="22"/>
        </w:rPr>
        <w:t>din</w:t>
      </w:r>
      <w:r w:rsidRPr="009C5EFD">
        <w:rPr>
          <w:sz w:val="22"/>
          <w:szCs w:val="22"/>
        </w:rPr>
        <w:t xml:space="preserve"> kan anbefale å avbryte behandlingen med Humira </w:t>
      </w:r>
      <w:r>
        <w:rPr>
          <w:sz w:val="22"/>
          <w:szCs w:val="22"/>
        </w:rPr>
        <w:t>en stund</w:t>
      </w:r>
      <w:r w:rsidRPr="009C5EFD">
        <w:rPr>
          <w:sz w:val="22"/>
          <w:szCs w:val="22"/>
        </w:rPr>
        <w:t>.</w:t>
      </w:r>
    </w:p>
    <w:p w14:paraId="1B11395A" w14:textId="77777777" w:rsidR="009E676E" w:rsidRDefault="009E676E" w:rsidP="00776A84">
      <w:pPr>
        <w:suppressAutoHyphens/>
        <w:rPr>
          <w:sz w:val="22"/>
          <w:szCs w:val="22"/>
        </w:rPr>
      </w:pPr>
    </w:p>
    <w:p w14:paraId="7ED1FF2B" w14:textId="77777777" w:rsidR="009E676E" w:rsidRDefault="00E453CD" w:rsidP="009E676E">
      <w:pPr>
        <w:numPr>
          <w:ilvl w:val="0"/>
          <w:numId w:val="3"/>
        </w:numPr>
        <w:suppressAutoHyphens/>
        <w:rPr>
          <w:sz w:val="22"/>
          <w:szCs w:val="22"/>
        </w:rPr>
      </w:pPr>
      <w:r w:rsidRPr="009C5EFD">
        <w:rPr>
          <w:sz w:val="22"/>
          <w:szCs w:val="22"/>
        </w:rPr>
        <w:t>Gi besk</w:t>
      </w:r>
      <w:r>
        <w:rPr>
          <w:sz w:val="22"/>
          <w:szCs w:val="22"/>
        </w:rPr>
        <w:t>jed til legen din om du bor</w:t>
      </w:r>
      <w:r w:rsidRPr="009C5EFD">
        <w:rPr>
          <w:sz w:val="22"/>
          <w:szCs w:val="22"/>
        </w:rPr>
        <w:t xml:space="preserve"> eller reiser i områder hvor soppinfeksjoner </w:t>
      </w:r>
      <w:r>
        <w:rPr>
          <w:sz w:val="22"/>
          <w:szCs w:val="22"/>
        </w:rPr>
        <w:t xml:space="preserve">(f.eks. </w:t>
      </w:r>
      <w:r w:rsidRPr="009C5EFD">
        <w:rPr>
          <w:sz w:val="22"/>
          <w:szCs w:val="22"/>
        </w:rPr>
        <w:t>histoplasmose, koksidioidomykose eller blastomykose</w:t>
      </w:r>
      <w:r>
        <w:rPr>
          <w:sz w:val="22"/>
          <w:szCs w:val="22"/>
        </w:rPr>
        <w:t>)</w:t>
      </w:r>
      <w:r w:rsidRPr="009C5EFD">
        <w:rPr>
          <w:sz w:val="22"/>
          <w:szCs w:val="22"/>
        </w:rPr>
        <w:t xml:space="preserve"> er </w:t>
      </w:r>
      <w:r>
        <w:rPr>
          <w:sz w:val="22"/>
          <w:szCs w:val="22"/>
        </w:rPr>
        <w:t>veldig vanlig</w:t>
      </w:r>
      <w:r w:rsidRPr="009C5EFD">
        <w:rPr>
          <w:sz w:val="22"/>
          <w:szCs w:val="22"/>
        </w:rPr>
        <w:t>.</w:t>
      </w:r>
    </w:p>
    <w:p w14:paraId="59370DC7" w14:textId="77777777" w:rsidR="009E676E" w:rsidRPr="009C5EFD" w:rsidRDefault="009E676E" w:rsidP="009E676E">
      <w:pPr>
        <w:suppressAutoHyphens/>
        <w:rPr>
          <w:sz w:val="22"/>
          <w:szCs w:val="22"/>
        </w:rPr>
      </w:pPr>
    </w:p>
    <w:p w14:paraId="3018808F" w14:textId="77777777" w:rsidR="009E676E" w:rsidRDefault="00E453CD" w:rsidP="009E676E">
      <w:pPr>
        <w:numPr>
          <w:ilvl w:val="0"/>
          <w:numId w:val="3"/>
        </w:numPr>
        <w:suppressAutoHyphens/>
        <w:rPr>
          <w:sz w:val="22"/>
          <w:szCs w:val="22"/>
        </w:rPr>
      </w:pPr>
      <w:r w:rsidRPr="009C5EFD">
        <w:rPr>
          <w:sz w:val="22"/>
          <w:szCs w:val="22"/>
        </w:rPr>
        <w:lastRenderedPageBreak/>
        <w:t xml:space="preserve">Gi beskjed til legen </w:t>
      </w:r>
      <w:r>
        <w:rPr>
          <w:sz w:val="22"/>
          <w:szCs w:val="22"/>
        </w:rPr>
        <w:t xml:space="preserve">din </w:t>
      </w:r>
      <w:r w:rsidRPr="009C5EFD">
        <w:rPr>
          <w:sz w:val="22"/>
          <w:szCs w:val="22"/>
        </w:rPr>
        <w:t>om du har hatt gjentatte infeksjoner eller andre lidelser som øker faren for infeksjoner.</w:t>
      </w:r>
    </w:p>
    <w:p w14:paraId="3708ABB1" w14:textId="77777777" w:rsidR="009E676E" w:rsidRDefault="009E676E" w:rsidP="00776A84">
      <w:pPr>
        <w:pStyle w:val="ListParagraph"/>
        <w:ind w:left="0"/>
        <w:rPr>
          <w:sz w:val="22"/>
          <w:szCs w:val="22"/>
        </w:rPr>
      </w:pPr>
    </w:p>
    <w:p w14:paraId="62AF728D" w14:textId="77777777" w:rsidR="009E676E" w:rsidRPr="00887835" w:rsidRDefault="00E453CD" w:rsidP="009E676E">
      <w:pPr>
        <w:numPr>
          <w:ilvl w:val="0"/>
          <w:numId w:val="3"/>
        </w:numPr>
        <w:suppressAutoHyphens/>
        <w:rPr>
          <w:sz w:val="22"/>
          <w:szCs w:val="22"/>
        </w:rPr>
      </w:pPr>
      <w:r w:rsidRPr="0061743D">
        <w:rPr>
          <w:sz w:val="22"/>
        </w:rPr>
        <w:t xml:space="preserve">Hvis du er over 65 år kan du være mer mottagelig for infeksjoner mens du blir behandlet med Humira. Du og legen din bør være særlig oppmerksomme på tegn på infeksjoner mens du blir behandlet med Humira. Det er viktig at du forteller legen din dersom du får symptomer på infeksjoner, </w:t>
      </w:r>
      <w:r>
        <w:rPr>
          <w:sz w:val="22"/>
          <w:szCs w:val="22"/>
        </w:rPr>
        <w:t>f.eks.</w:t>
      </w:r>
      <w:r w:rsidRPr="00887835">
        <w:rPr>
          <w:sz w:val="22"/>
          <w:szCs w:val="22"/>
        </w:rPr>
        <w:t xml:space="preserve"> feber, sår, trøtthet eller tannproblemer.</w:t>
      </w:r>
    </w:p>
    <w:p w14:paraId="7FCA6F79" w14:textId="77777777" w:rsidR="009E676E" w:rsidRPr="00E54D13" w:rsidRDefault="009E676E" w:rsidP="009E676E">
      <w:pPr>
        <w:pStyle w:val="ListParagraph"/>
        <w:rPr>
          <w:sz w:val="22"/>
          <w:szCs w:val="22"/>
        </w:rPr>
      </w:pPr>
    </w:p>
    <w:p w14:paraId="14237683" w14:textId="77777777" w:rsidR="009E676E" w:rsidRDefault="00E453CD" w:rsidP="00776A84">
      <w:pPr>
        <w:keepNext/>
        <w:suppressAutoHyphens/>
        <w:rPr>
          <w:sz w:val="22"/>
          <w:szCs w:val="22"/>
          <w:u w:val="single"/>
        </w:rPr>
      </w:pPr>
      <w:r>
        <w:rPr>
          <w:sz w:val="22"/>
          <w:szCs w:val="22"/>
          <w:u w:val="single"/>
        </w:rPr>
        <w:t>Tuberkulose</w:t>
      </w:r>
    </w:p>
    <w:p w14:paraId="2F863551" w14:textId="77777777" w:rsidR="009E676E" w:rsidRPr="00887835" w:rsidRDefault="009E676E" w:rsidP="00776A84">
      <w:pPr>
        <w:keepNext/>
        <w:suppressAutoHyphens/>
        <w:rPr>
          <w:sz w:val="22"/>
          <w:szCs w:val="22"/>
          <w:u w:val="single"/>
        </w:rPr>
      </w:pPr>
    </w:p>
    <w:p w14:paraId="4AB820F8" w14:textId="77777777" w:rsidR="009E676E" w:rsidRDefault="00E453CD" w:rsidP="009E676E">
      <w:pPr>
        <w:numPr>
          <w:ilvl w:val="0"/>
          <w:numId w:val="3"/>
        </w:numPr>
        <w:suppressAutoHyphens/>
        <w:rPr>
          <w:sz w:val="22"/>
          <w:szCs w:val="22"/>
        </w:rPr>
      </w:pPr>
      <w:r>
        <w:rPr>
          <w:sz w:val="22"/>
          <w:szCs w:val="22"/>
        </w:rPr>
        <w:t xml:space="preserve">Det er veldig viktig at du forteller legen din </w:t>
      </w:r>
      <w:r w:rsidRPr="009C5EFD">
        <w:rPr>
          <w:sz w:val="22"/>
          <w:szCs w:val="22"/>
        </w:rPr>
        <w:t>om du noensinne har hatt tuberkulose, eller om du har vært i nær kontakt med noen som har hatt tuberkulose.</w:t>
      </w:r>
      <w:r>
        <w:rPr>
          <w:sz w:val="22"/>
          <w:szCs w:val="22"/>
        </w:rPr>
        <w:t xml:space="preserve"> Bruk ikke Humira hvis du har tuberkulose.</w:t>
      </w:r>
    </w:p>
    <w:p w14:paraId="14D59AF2" w14:textId="77777777" w:rsidR="009E676E" w:rsidRDefault="009E676E" w:rsidP="009E676E">
      <w:pPr>
        <w:suppressAutoHyphens/>
        <w:ind w:left="567"/>
        <w:rPr>
          <w:sz w:val="22"/>
          <w:szCs w:val="22"/>
        </w:rPr>
      </w:pPr>
    </w:p>
    <w:p w14:paraId="61A5E903" w14:textId="77777777" w:rsidR="009E676E" w:rsidRDefault="00E453CD" w:rsidP="009E676E">
      <w:pPr>
        <w:numPr>
          <w:ilvl w:val="0"/>
          <w:numId w:val="3"/>
        </w:numPr>
        <w:tabs>
          <w:tab w:val="clear" w:pos="720"/>
          <w:tab w:val="num" w:pos="567"/>
          <w:tab w:val="num" w:pos="1440"/>
        </w:tabs>
        <w:suppressAutoHyphens/>
        <w:ind w:left="1440"/>
        <w:rPr>
          <w:sz w:val="22"/>
          <w:szCs w:val="22"/>
        </w:rPr>
      </w:pPr>
      <w:r w:rsidRPr="009C5EFD">
        <w:rPr>
          <w:sz w:val="22"/>
          <w:szCs w:val="22"/>
        </w:rPr>
        <w:t xml:space="preserve">Ettersom det har vært påvist tilfeller av tuberkulose hos pasienter under behandling med Humira, kommer legen </w:t>
      </w:r>
      <w:r>
        <w:rPr>
          <w:sz w:val="22"/>
          <w:szCs w:val="22"/>
        </w:rPr>
        <w:t xml:space="preserve">din </w:t>
      </w:r>
      <w:r w:rsidRPr="009C5EFD">
        <w:rPr>
          <w:sz w:val="22"/>
          <w:szCs w:val="22"/>
        </w:rPr>
        <w:t xml:space="preserve">til å undersøke om du har tegn eller symptomer på tuberkulose før Humira-behandling startes opp. Dette omfatter en grundig medisinsk </w:t>
      </w:r>
      <w:r w:rsidR="00BF02E7">
        <w:rPr>
          <w:sz w:val="22"/>
          <w:szCs w:val="22"/>
        </w:rPr>
        <w:t>vurdering</w:t>
      </w:r>
      <w:r w:rsidRPr="009C5EFD">
        <w:rPr>
          <w:sz w:val="22"/>
          <w:szCs w:val="22"/>
        </w:rPr>
        <w:t xml:space="preserve"> som vil inkludere din sykdomshistorie og passende screeningtester (f.eks. røntgenbilde av brystkasse og en tuberkulinprøve). Disse testene og resultatene bør registreres i </w:t>
      </w:r>
      <w:r w:rsidRPr="0061743D">
        <w:rPr>
          <w:b/>
          <w:sz w:val="22"/>
        </w:rPr>
        <w:t>pasientkortet</w:t>
      </w:r>
      <w:r w:rsidRPr="009C5EFD">
        <w:rPr>
          <w:sz w:val="22"/>
          <w:szCs w:val="22"/>
        </w:rPr>
        <w:t xml:space="preserve"> ditt.</w:t>
      </w:r>
    </w:p>
    <w:p w14:paraId="34E913A6" w14:textId="77777777" w:rsidR="009E676E" w:rsidRDefault="00E453CD" w:rsidP="009E676E">
      <w:pPr>
        <w:numPr>
          <w:ilvl w:val="0"/>
          <w:numId w:val="3"/>
        </w:numPr>
        <w:tabs>
          <w:tab w:val="clear" w:pos="720"/>
          <w:tab w:val="num" w:pos="567"/>
          <w:tab w:val="num" w:pos="1440"/>
        </w:tabs>
        <w:suppressAutoHyphens/>
        <w:ind w:left="1440"/>
        <w:rPr>
          <w:sz w:val="22"/>
          <w:szCs w:val="22"/>
        </w:rPr>
      </w:pPr>
      <w:r w:rsidRPr="009C5EFD">
        <w:rPr>
          <w:sz w:val="22"/>
          <w:szCs w:val="22"/>
        </w:rPr>
        <w:t>Tuberkulose kan utvikles under behandling selv</w:t>
      </w:r>
      <w:r w:rsidR="0004489F">
        <w:rPr>
          <w:sz w:val="22"/>
          <w:szCs w:val="22"/>
        </w:rPr>
        <w:t xml:space="preserve"> </w:t>
      </w:r>
      <w:r w:rsidRPr="009C5EFD">
        <w:rPr>
          <w:sz w:val="22"/>
          <w:szCs w:val="22"/>
        </w:rPr>
        <w:t>om du har mottatt forebyggende behandling mot tuberkulose.</w:t>
      </w:r>
    </w:p>
    <w:p w14:paraId="6CA38EEF" w14:textId="77777777" w:rsidR="009E676E" w:rsidRPr="009C5EFD" w:rsidRDefault="00E453CD" w:rsidP="009E676E">
      <w:pPr>
        <w:numPr>
          <w:ilvl w:val="0"/>
          <w:numId w:val="3"/>
        </w:numPr>
        <w:tabs>
          <w:tab w:val="clear" w:pos="720"/>
          <w:tab w:val="num" w:pos="567"/>
          <w:tab w:val="num" w:pos="1440"/>
        </w:tabs>
        <w:suppressAutoHyphens/>
        <w:ind w:left="1440"/>
        <w:rPr>
          <w:sz w:val="22"/>
          <w:szCs w:val="22"/>
        </w:rPr>
      </w:pPr>
      <w:r w:rsidRPr="009C5EFD">
        <w:rPr>
          <w:sz w:val="22"/>
          <w:szCs w:val="22"/>
        </w:rPr>
        <w:t>Dersom symptomer på tuberkulose (</w:t>
      </w:r>
      <w:r>
        <w:rPr>
          <w:sz w:val="22"/>
          <w:szCs w:val="22"/>
        </w:rPr>
        <w:t xml:space="preserve">f.eks. </w:t>
      </w:r>
      <w:r w:rsidRPr="009C5EFD">
        <w:rPr>
          <w:sz w:val="22"/>
          <w:szCs w:val="22"/>
        </w:rPr>
        <w:t xml:space="preserve">vedvarende hoste, vekttap, </w:t>
      </w:r>
      <w:r>
        <w:rPr>
          <w:sz w:val="22"/>
          <w:szCs w:val="22"/>
        </w:rPr>
        <w:t>energitap</w:t>
      </w:r>
      <w:r w:rsidRPr="009C5EFD">
        <w:rPr>
          <w:sz w:val="22"/>
          <w:szCs w:val="22"/>
        </w:rPr>
        <w:t xml:space="preserve">, lett feber) eller andre infeksjoner dukker opp under eller etter behandlingen må du fortelle legen </w:t>
      </w:r>
      <w:r>
        <w:rPr>
          <w:sz w:val="22"/>
          <w:szCs w:val="22"/>
        </w:rPr>
        <w:t xml:space="preserve">din </w:t>
      </w:r>
      <w:r w:rsidRPr="009C5EFD">
        <w:rPr>
          <w:sz w:val="22"/>
          <w:szCs w:val="22"/>
        </w:rPr>
        <w:t>om det straks.</w:t>
      </w:r>
    </w:p>
    <w:p w14:paraId="59AF598A" w14:textId="77777777" w:rsidR="009E676E" w:rsidRDefault="009E676E" w:rsidP="009E676E">
      <w:pPr>
        <w:suppressAutoHyphens/>
        <w:ind w:left="567"/>
        <w:rPr>
          <w:sz w:val="22"/>
          <w:szCs w:val="22"/>
        </w:rPr>
      </w:pPr>
    </w:p>
    <w:p w14:paraId="370AE092" w14:textId="77777777" w:rsidR="009E676E" w:rsidRDefault="00E453CD" w:rsidP="009E676E">
      <w:pPr>
        <w:keepNext/>
        <w:suppressAutoHyphens/>
        <w:rPr>
          <w:sz w:val="22"/>
          <w:szCs w:val="22"/>
        </w:rPr>
      </w:pPr>
      <w:r>
        <w:rPr>
          <w:sz w:val="22"/>
          <w:szCs w:val="22"/>
          <w:u w:val="single"/>
        </w:rPr>
        <w:t>Hepatitt B</w:t>
      </w:r>
    </w:p>
    <w:p w14:paraId="375607EC" w14:textId="77777777" w:rsidR="009E676E" w:rsidRPr="00845B5C" w:rsidRDefault="009E676E" w:rsidP="009E676E">
      <w:pPr>
        <w:keepNext/>
        <w:suppressAutoHyphens/>
        <w:rPr>
          <w:sz w:val="22"/>
          <w:szCs w:val="22"/>
        </w:rPr>
      </w:pPr>
    </w:p>
    <w:p w14:paraId="7A7ABC20" w14:textId="77777777" w:rsidR="009E676E" w:rsidRDefault="00E453CD" w:rsidP="00776A84">
      <w:pPr>
        <w:numPr>
          <w:ilvl w:val="0"/>
          <w:numId w:val="3"/>
        </w:numPr>
        <w:suppressAutoHyphens/>
        <w:ind w:left="714" w:hanging="357"/>
      </w:pPr>
      <w:r w:rsidRPr="0061743D">
        <w:rPr>
          <w:sz w:val="22"/>
        </w:rPr>
        <w:t>Gi beskjed til legen din dersom du er bærer av hepatitt B-virus (HBV), dersom du har aktiv HBV-infeksjon, eller hvis du tror du kan være utsatt for å få HBV.</w:t>
      </w:r>
    </w:p>
    <w:p w14:paraId="51901E32" w14:textId="77777777" w:rsidR="009E676E" w:rsidRDefault="00E453CD" w:rsidP="009E676E">
      <w:pPr>
        <w:pStyle w:val="EMEABullet2"/>
        <w:numPr>
          <w:ilvl w:val="0"/>
          <w:numId w:val="0"/>
        </w:numPr>
        <w:ind w:left="567"/>
        <w:rPr>
          <w:lang w:val="nb-NO"/>
        </w:rPr>
      </w:pPr>
      <w:r w:rsidRPr="009C5EFD">
        <w:rPr>
          <w:lang w:val="nb-NO"/>
        </w:rPr>
        <w:t xml:space="preserve"> </w:t>
      </w:r>
    </w:p>
    <w:p w14:paraId="20E346B2" w14:textId="77777777" w:rsidR="009E676E" w:rsidRDefault="00E453CD" w:rsidP="009E676E">
      <w:pPr>
        <w:pStyle w:val="EMEABullet2"/>
        <w:tabs>
          <w:tab w:val="left" w:pos="1440"/>
        </w:tabs>
        <w:ind w:left="1440" w:hanging="360"/>
        <w:rPr>
          <w:lang w:val="nb-NO"/>
        </w:rPr>
      </w:pPr>
      <w:r>
        <w:rPr>
          <w:lang w:val="nb-NO"/>
        </w:rPr>
        <w:t>L</w:t>
      </w:r>
      <w:r w:rsidRPr="009C5EFD">
        <w:rPr>
          <w:lang w:val="nb-NO"/>
        </w:rPr>
        <w:t>ege</w:t>
      </w:r>
      <w:r>
        <w:rPr>
          <w:lang w:val="nb-NO"/>
        </w:rPr>
        <w:t>n din</w:t>
      </w:r>
      <w:r w:rsidRPr="009C5EFD">
        <w:rPr>
          <w:lang w:val="nb-NO"/>
        </w:rPr>
        <w:t xml:space="preserve"> b</w:t>
      </w:r>
      <w:r>
        <w:rPr>
          <w:lang w:val="nb-NO"/>
        </w:rPr>
        <w:t>ør</w:t>
      </w:r>
      <w:r w:rsidRPr="009C5EFD">
        <w:rPr>
          <w:lang w:val="nb-NO"/>
        </w:rPr>
        <w:t xml:space="preserve"> teste deg for HBV. </w:t>
      </w:r>
      <w:r>
        <w:rPr>
          <w:lang w:val="nb-NO"/>
        </w:rPr>
        <w:t>Hos</w:t>
      </w:r>
      <w:r w:rsidRPr="009C5EFD">
        <w:rPr>
          <w:lang w:val="nb-NO"/>
        </w:rPr>
        <w:t xml:space="preserve"> </w:t>
      </w:r>
      <w:r w:rsidRPr="009C5EFD">
        <w:rPr>
          <w:szCs w:val="22"/>
          <w:lang w:val="nb-NO"/>
        </w:rPr>
        <w:t>personer</w:t>
      </w:r>
      <w:r w:rsidRPr="009C5EFD">
        <w:rPr>
          <w:lang w:val="nb-NO"/>
        </w:rPr>
        <w:t xml:space="preserve"> som er bærere av </w:t>
      </w:r>
      <w:r>
        <w:rPr>
          <w:lang w:val="nb-NO"/>
        </w:rPr>
        <w:t xml:space="preserve">HBV kan </w:t>
      </w:r>
      <w:r w:rsidRPr="009C5EFD">
        <w:rPr>
          <w:lang w:val="nb-NO"/>
        </w:rPr>
        <w:t xml:space="preserve">Humira </w:t>
      </w:r>
      <w:r>
        <w:rPr>
          <w:lang w:val="nb-NO"/>
        </w:rPr>
        <w:t>forårsake at</w:t>
      </w:r>
      <w:r w:rsidRPr="009C5EFD">
        <w:rPr>
          <w:lang w:val="nb-NO"/>
        </w:rPr>
        <w:t xml:space="preserve"> viruset</w:t>
      </w:r>
      <w:r>
        <w:rPr>
          <w:lang w:val="nb-NO"/>
        </w:rPr>
        <w:t xml:space="preserve"> blir aktivt igjen</w:t>
      </w:r>
      <w:r w:rsidRPr="009C5EFD">
        <w:rPr>
          <w:lang w:val="nb-NO"/>
        </w:rPr>
        <w:t xml:space="preserve">. </w:t>
      </w:r>
    </w:p>
    <w:p w14:paraId="4A1BEF08" w14:textId="77777777" w:rsidR="009E676E" w:rsidRPr="009C5EFD" w:rsidRDefault="00E453CD" w:rsidP="009E676E">
      <w:pPr>
        <w:pStyle w:val="EMEABullet2"/>
        <w:tabs>
          <w:tab w:val="left" w:pos="1440"/>
        </w:tabs>
        <w:ind w:left="1440" w:hanging="360"/>
        <w:rPr>
          <w:lang w:val="nb-NO"/>
        </w:rPr>
      </w:pPr>
      <w:r w:rsidRPr="009C5EFD">
        <w:rPr>
          <w:lang w:val="nb-NO"/>
        </w:rPr>
        <w:t>I noen sjeldne tilfeller, særlig hvis du tar andre legemidler som demper immunsystemet, kan reaktivering av HBV være livstruende.</w:t>
      </w:r>
    </w:p>
    <w:p w14:paraId="2CADF3FA" w14:textId="77777777" w:rsidR="009E676E" w:rsidRDefault="009E676E" w:rsidP="009E676E">
      <w:pPr>
        <w:pStyle w:val="EMEABullet2"/>
        <w:numPr>
          <w:ilvl w:val="0"/>
          <w:numId w:val="0"/>
        </w:numPr>
        <w:rPr>
          <w:szCs w:val="22"/>
          <w:u w:val="single"/>
          <w:lang w:val="nb-NO"/>
        </w:rPr>
      </w:pPr>
    </w:p>
    <w:p w14:paraId="28759124" w14:textId="77777777" w:rsidR="009E676E" w:rsidRDefault="00E453CD" w:rsidP="00776A84">
      <w:pPr>
        <w:pStyle w:val="EMEABullet2"/>
        <w:keepNext/>
        <w:numPr>
          <w:ilvl w:val="0"/>
          <w:numId w:val="0"/>
        </w:numPr>
        <w:rPr>
          <w:szCs w:val="22"/>
          <w:lang w:val="nb-NO"/>
        </w:rPr>
      </w:pPr>
      <w:r>
        <w:rPr>
          <w:szCs w:val="22"/>
          <w:u w:val="single"/>
          <w:lang w:val="nb-NO"/>
        </w:rPr>
        <w:t>Operasjon</w:t>
      </w:r>
      <w:r w:rsidR="00187573">
        <w:rPr>
          <w:szCs w:val="22"/>
          <w:u w:val="single"/>
          <w:lang w:val="nb-NO"/>
        </w:rPr>
        <w:t xml:space="preserve"> eller inngrep i tennene</w:t>
      </w:r>
    </w:p>
    <w:p w14:paraId="414DEB51" w14:textId="77777777" w:rsidR="009E676E" w:rsidRPr="009C5EFD" w:rsidRDefault="00E453CD" w:rsidP="00776A84">
      <w:pPr>
        <w:pStyle w:val="EMEABullet2"/>
        <w:keepNext/>
        <w:numPr>
          <w:ilvl w:val="0"/>
          <w:numId w:val="0"/>
        </w:numPr>
        <w:rPr>
          <w:szCs w:val="22"/>
          <w:lang w:val="nb-NO"/>
        </w:rPr>
      </w:pPr>
      <w:r w:rsidRPr="009C5EFD">
        <w:rPr>
          <w:szCs w:val="22"/>
          <w:lang w:val="nb-NO"/>
        </w:rPr>
        <w:t xml:space="preserve">  </w:t>
      </w:r>
    </w:p>
    <w:p w14:paraId="65496913" w14:textId="77777777" w:rsidR="009E676E" w:rsidRPr="009C5EFD" w:rsidRDefault="00E453CD" w:rsidP="009E676E">
      <w:pPr>
        <w:numPr>
          <w:ilvl w:val="0"/>
          <w:numId w:val="3"/>
        </w:numPr>
        <w:suppressAutoHyphens/>
        <w:rPr>
          <w:sz w:val="22"/>
          <w:szCs w:val="22"/>
        </w:rPr>
      </w:pPr>
      <w:r>
        <w:rPr>
          <w:sz w:val="22"/>
          <w:szCs w:val="22"/>
        </w:rPr>
        <w:t>Dersom</w:t>
      </w:r>
      <w:r w:rsidRPr="009C5EFD">
        <w:rPr>
          <w:sz w:val="22"/>
          <w:szCs w:val="22"/>
        </w:rPr>
        <w:t xml:space="preserve"> du skal opereres eller ha inngrep i tennene skal du si fra til legen din at du bruker Humira. Legen </w:t>
      </w:r>
      <w:r>
        <w:rPr>
          <w:sz w:val="22"/>
          <w:szCs w:val="22"/>
        </w:rPr>
        <w:t>din</w:t>
      </w:r>
      <w:r w:rsidRPr="009C5EFD">
        <w:rPr>
          <w:sz w:val="22"/>
          <w:szCs w:val="22"/>
        </w:rPr>
        <w:t xml:space="preserve"> kan anbefale å avbryte behandlingen </w:t>
      </w:r>
      <w:r>
        <w:rPr>
          <w:sz w:val="22"/>
          <w:szCs w:val="22"/>
        </w:rPr>
        <w:t>med Humira</w:t>
      </w:r>
      <w:r w:rsidRPr="009C5EFD">
        <w:rPr>
          <w:sz w:val="22"/>
          <w:szCs w:val="22"/>
        </w:rPr>
        <w:t xml:space="preserve"> midlertidig.</w:t>
      </w:r>
    </w:p>
    <w:p w14:paraId="4C50F843" w14:textId="77777777" w:rsidR="009E676E" w:rsidRDefault="009E676E" w:rsidP="009E676E">
      <w:pPr>
        <w:suppressAutoHyphens/>
        <w:ind w:left="567"/>
        <w:rPr>
          <w:sz w:val="22"/>
          <w:szCs w:val="22"/>
        </w:rPr>
      </w:pPr>
    </w:p>
    <w:p w14:paraId="5950ED91" w14:textId="77777777" w:rsidR="009E676E" w:rsidRDefault="00E453CD" w:rsidP="00776A84">
      <w:pPr>
        <w:keepNext/>
        <w:suppressAutoHyphens/>
        <w:rPr>
          <w:sz w:val="22"/>
          <w:szCs w:val="22"/>
        </w:rPr>
      </w:pPr>
      <w:r>
        <w:rPr>
          <w:sz w:val="22"/>
          <w:szCs w:val="22"/>
          <w:u w:val="single"/>
        </w:rPr>
        <w:t>D</w:t>
      </w:r>
      <w:r w:rsidRPr="00197087">
        <w:rPr>
          <w:sz w:val="22"/>
          <w:szCs w:val="22"/>
          <w:u w:val="single"/>
        </w:rPr>
        <w:t>emyeliniserende sykdom</w:t>
      </w:r>
    </w:p>
    <w:p w14:paraId="10B6BB9B" w14:textId="77777777" w:rsidR="009E676E" w:rsidRPr="00197087" w:rsidRDefault="009E676E" w:rsidP="00776A84">
      <w:pPr>
        <w:keepNext/>
        <w:suppressAutoHyphens/>
        <w:rPr>
          <w:sz w:val="22"/>
          <w:szCs w:val="22"/>
        </w:rPr>
      </w:pPr>
    </w:p>
    <w:p w14:paraId="4D47DA50" w14:textId="77777777" w:rsidR="009E676E" w:rsidRDefault="00E453CD" w:rsidP="009E676E">
      <w:pPr>
        <w:numPr>
          <w:ilvl w:val="0"/>
          <w:numId w:val="3"/>
        </w:numPr>
        <w:suppressAutoHyphens/>
        <w:rPr>
          <w:sz w:val="22"/>
          <w:szCs w:val="22"/>
        </w:rPr>
      </w:pPr>
      <w:r w:rsidRPr="00C25673">
        <w:rPr>
          <w:sz w:val="22"/>
          <w:szCs w:val="22"/>
        </w:rPr>
        <w:t xml:space="preserve">Dersom du har eller utvikler en demyeliniserende sykdom </w:t>
      </w:r>
      <w:r w:rsidR="00187573">
        <w:rPr>
          <w:sz w:val="22"/>
          <w:szCs w:val="22"/>
        </w:rPr>
        <w:t xml:space="preserve">(en sykdom som påvirker det isolerende laget rundt nervene, </w:t>
      </w:r>
      <w:r w:rsidRPr="00C25673">
        <w:rPr>
          <w:sz w:val="22"/>
          <w:szCs w:val="22"/>
        </w:rPr>
        <w:t>som multippel sklerose</w:t>
      </w:r>
      <w:r w:rsidR="00187573">
        <w:rPr>
          <w:sz w:val="22"/>
          <w:szCs w:val="22"/>
        </w:rPr>
        <w:t>)</w:t>
      </w:r>
      <w:r w:rsidRPr="00C25673">
        <w:rPr>
          <w:sz w:val="22"/>
          <w:szCs w:val="22"/>
        </w:rPr>
        <w:t>, vil legen avgjøre om du kan bruke Humira. Gi beskjed til legen umiddelbart dersom du opplever symptomer som synsforstyrrelser, svakhet i armer eller ben eller nummenhet eller prikking i noen del av kroppen</w:t>
      </w:r>
      <w:r w:rsidR="005C1783">
        <w:rPr>
          <w:sz w:val="22"/>
          <w:szCs w:val="22"/>
        </w:rPr>
        <w:t>.</w:t>
      </w:r>
    </w:p>
    <w:p w14:paraId="588F00F5" w14:textId="77777777" w:rsidR="009E676E" w:rsidRDefault="009E676E" w:rsidP="009E676E">
      <w:pPr>
        <w:suppressAutoHyphens/>
        <w:ind w:left="720"/>
        <w:rPr>
          <w:sz w:val="22"/>
          <w:szCs w:val="22"/>
        </w:rPr>
      </w:pPr>
    </w:p>
    <w:p w14:paraId="0124A54D" w14:textId="77777777" w:rsidR="009E676E" w:rsidRDefault="00E453CD" w:rsidP="00776A84">
      <w:pPr>
        <w:keepNext/>
        <w:suppressAutoHyphens/>
        <w:rPr>
          <w:sz w:val="22"/>
          <w:szCs w:val="22"/>
        </w:rPr>
      </w:pPr>
      <w:r>
        <w:rPr>
          <w:sz w:val="22"/>
          <w:szCs w:val="22"/>
          <w:u w:val="single"/>
        </w:rPr>
        <w:t>Vaksinasjoner</w:t>
      </w:r>
    </w:p>
    <w:p w14:paraId="75E63CD5" w14:textId="77777777" w:rsidR="009E676E" w:rsidRPr="00197087" w:rsidRDefault="009E676E" w:rsidP="00776A84">
      <w:pPr>
        <w:keepNext/>
        <w:suppressAutoHyphens/>
        <w:rPr>
          <w:sz w:val="22"/>
          <w:szCs w:val="22"/>
        </w:rPr>
      </w:pPr>
    </w:p>
    <w:p w14:paraId="1CB8AA9F" w14:textId="77777777" w:rsidR="009E676E" w:rsidRDefault="00E453CD" w:rsidP="009E676E">
      <w:pPr>
        <w:numPr>
          <w:ilvl w:val="0"/>
          <w:numId w:val="3"/>
        </w:numPr>
        <w:suppressAutoHyphens/>
        <w:rPr>
          <w:sz w:val="22"/>
          <w:szCs w:val="22"/>
        </w:rPr>
      </w:pPr>
      <w:r w:rsidRPr="009C5EFD">
        <w:rPr>
          <w:sz w:val="22"/>
        </w:rPr>
        <w:t>Enkelte</w:t>
      </w:r>
      <w:r w:rsidRPr="009C5EFD">
        <w:rPr>
          <w:sz w:val="22"/>
          <w:szCs w:val="22"/>
        </w:rPr>
        <w:t xml:space="preserve"> vaksiner </w:t>
      </w:r>
      <w:r w:rsidRPr="009C5EFD">
        <w:rPr>
          <w:sz w:val="22"/>
        </w:rPr>
        <w:t xml:space="preserve">kan forårsake infeksjoner og bør </w:t>
      </w:r>
      <w:r w:rsidRPr="009C5EFD">
        <w:rPr>
          <w:sz w:val="22"/>
          <w:szCs w:val="22"/>
        </w:rPr>
        <w:t xml:space="preserve">ikke </w:t>
      </w:r>
      <w:r w:rsidRPr="009C5EFD">
        <w:rPr>
          <w:sz w:val="22"/>
        </w:rPr>
        <w:t xml:space="preserve">tas </w:t>
      </w:r>
      <w:r w:rsidRPr="009C5EFD">
        <w:rPr>
          <w:sz w:val="22"/>
          <w:szCs w:val="22"/>
        </w:rPr>
        <w:t xml:space="preserve">under behandling med Humira. </w:t>
      </w:r>
    </w:p>
    <w:p w14:paraId="737662B6" w14:textId="77777777" w:rsidR="009E676E" w:rsidRDefault="009E676E" w:rsidP="009E676E">
      <w:pPr>
        <w:suppressAutoHyphens/>
        <w:ind w:left="720"/>
        <w:rPr>
          <w:sz w:val="22"/>
          <w:szCs w:val="22"/>
        </w:rPr>
      </w:pPr>
    </w:p>
    <w:p w14:paraId="1FB5CEDD" w14:textId="77777777" w:rsidR="009E676E" w:rsidRDefault="00E453CD" w:rsidP="009E676E">
      <w:pPr>
        <w:numPr>
          <w:ilvl w:val="0"/>
          <w:numId w:val="3"/>
        </w:numPr>
        <w:tabs>
          <w:tab w:val="clear" w:pos="720"/>
          <w:tab w:val="num" w:pos="567"/>
          <w:tab w:val="num" w:pos="1440"/>
        </w:tabs>
        <w:suppressAutoHyphens/>
        <w:ind w:left="1440"/>
        <w:rPr>
          <w:sz w:val="22"/>
          <w:szCs w:val="22"/>
        </w:rPr>
      </w:pPr>
      <w:r w:rsidRPr="009C5EFD">
        <w:rPr>
          <w:color w:val="000000"/>
          <w:sz w:val="22"/>
          <w:szCs w:val="22"/>
        </w:rPr>
        <w:t xml:space="preserve">Spør </w:t>
      </w:r>
      <w:r w:rsidRPr="009C5EFD">
        <w:rPr>
          <w:sz w:val="22"/>
          <w:szCs w:val="22"/>
        </w:rPr>
        <w:t xml:space="preserve">legen din før du </w:t>
      </w:r>
      <w:r w:rsidR="008167D9">
        <w:rPr>
          <w:sz w:val="22"/>
          <w:szCs w:val="22"/>
        </w:rPr>
        <w:t>får</w:t>
      </w:r>
      <w:r w:rsidR="008167D9" w:rsidRPr="009C5EFD">
        <w:rPr>
          <w:sz w:val="22"/>
          <w:szCs w:val="22"/>
        </w:rPr>
        <w:t xml:space="preserve"> </w:t>
      </w:r>
      <w:r w:rsidRPr="009C5EFD">
        <w:rPr>
          <w:sz w:val="22"/>
          <w:szCs w:val="22"/>
        </w:rPr>
        <w:t>vaksiner.</w:t>
      </w:r>
    </w:p>
    <w:p w14:paraId="1CCDB9BF" w14:textId="77777777" w:rsidR="009E676E" w:rsidRPr="00197087" w:rsidRDefault="00E453CD" w:rsidP="009E676E">
      <w:pPr>
        <w:numPr>
          <w:ilvl w:val="0"/>
          <w:numId w:val="3"/>
        </w:numPr>
        <w:tabs>
          <w:tab w:val="clear" w:pos="720"/>
          <w:tab w:val="num" w:pos="567"/>
          <w:tab w:val="num" w:pos="1440"/>
        </w:tabs>
        <w:suppressAutoHyphens/>
        <w:ind w:left="1440"/>
        <w:rPr>
          <w:sz w:val="22"/>
          <w:szCs w:val="22"/>
        </w:rPr>
      </w:pPr>
      <w:r w:rsidRPr="009C5EFD">
        <w:rPr>
          <w:sz w:val="22"/>
          <w:szCs w:val="22"/>
        </w:rPr>
        <w:t xml:space="preserve">Det anbefales at barn, hvis mulig, vaksineres </w:t>
      </w:r>
      <w:r w:rsidR="00187573">
        <w:rPr>
          <w:sz w:val="22"/>
          <w:szCs w:val="22"/>
        </w:rPr>
        <w:t>som planlagt i henhold til alderen</w:t>
      </w:r>
      <w:r w:rsidRPr="009C5EFD">
        <w:rPr>
          <w:sz w:val="22"/>
          <w:szCs w:val="22"/>
        </w:rPr>
        <w:t xml:space="preserve"> før behandling med Humira startes.</w:t>
      </w:r>
    </w:p>
    <w:p w14:paraId="1B5B967A" w14:textId="77777777" w:rsidR="009E676E" w:rsidRPr="009C5EFD" w:rsidRDefault="00E453CD" w:rsidP="009E676E">
      <w:pPr>
        <w:numPr>
          <w:ilvl w:val="0"/>
          <w:numId w:val="3"/>
        </w:numPr>
        <w:tabs>
          <w:tab w:val="clear" w:pos="720"/>
          <w:tab w:val="num" w:pos="567"/>
          <w:tab w:val="num" w:pos="1440"/>
        </w:tabs>
        <w:suppressAutoHyphens/>
        <w:ind w:left="1440"/>
        <w:rPr>
          <w:sz w:val="22"/>
          <w:szCs w:val="22"/>
        </w:rPr>
      </w:pPr>
      <w:r>
        <w:rPr>
          <w:sz w:val="22"/>
        </w:rPr>
        <w:lastRenderedPageBreak/>
        <w:t>Dersom</w:t>
      </w:r>
      <w:r w:rsidRPr="009C5EFD">
        <w:rPr>
          <w:sz w:val="22"/>
        </w:rPr>
        <w:t xml:space="preserve"> du ble behandlet med Humira under graviditet, kan spedbarnet ditt ha større risiko for å få en slik infeksjon inntil omtrent fem måneder etter siste dose </w:t>
      </w:r>
      <w:r>
        <w:rPr>
          <w:sz w:val="22"/>
        </w:rPr>
        <w:t xml:space="preserve">Humira </w:t>
      </w:r>
      <w:r w:rsidRPr="009C5EFD">
        <w:rPr>
          <w:sz w:val="22"/>
        </w:rPr>
        <w:t>som du mottok under graviditeten. Det er viktig at du forteller ditt spedbarns leger og annet helsepersonell at du brukte Humira under graviditeten, slik at de kan vurdere når barnet ditt burde vaksineres.</w:t>
      </w:r>
    </w:p>
    <w:p w14:paraId="23A881BE" w14:textId="77777777" w:rsidR="009E676E" w:rsidRDefault="009E676E" w:rsidP="009E676E">
      <w:pPr>
        <w:tabs>
          <w:tab w:val="num" w:pos="1440"/>
        </w:tabs>
        <w:suppressAutoHyphens/>
        <w:ind w:left="1440"/>
        <w:rPr>
          <w:sz w:val="22"/>
        </w:rPr>
      </w:pPr>
    </w:p>
    <w:p w14:paraId="12860B13" w14:textId="77777777" w:rsidR="009E676E" w:rsidRDefault="00E453CD" w:rsidP="00776A84">
      <w:pPr>
        <w:keepNext/>
        <w:tabs>
          <w:tab w:val="num" w:pos="1440"/>
        </w:tabs>
        <w:suppressAutoHyphens/>
        <w:rPr>
          <w:sz w:val="22"/>
        </w:rPr>
      </w:pPr>
      <w:r>
        <w:rPr>
          <w:sz w:val="22"/>
          <w:u w:val="single"/>
        </w:rPr>
        <w:t>Hjerte</w:t>
      </w:r>
      <w:r w:rsidR="00187573">
        <w:rPr>
          <w:sz w:val="22"/>
          <w:u w:val="single"/>
        </w:rPr>
        <w:t>svikt</w:t>
      </w:r>
    </w:p>
    <w:p w14:paraId="3B63A275" w14:textId="77777777" w:rsidR="009E676E" w:rsidRPr="00541503" w:rsidRDefault="009E676E" w:rsidP="00776A84">
      <w:pPr>
        <w:keepNext/>
        <w:tabs>
          <w:tab w:val="num" w:pos="1440"/>
        </w:tabs>
        <w:suppressAutoHyphens/>
        <w:rPr>
          <w:sz w:val="22"/>
          <w:szCs w:val="22"/>
        </w:rPr>
      </w:pPr>
    </w:p>
    <w:p w14:paraId="785C3213" w14:textId="77777777" w:rsidR="009E676E" w:rsidRDefault="00E453CD" w:rsidP="009E676E">
      <w:pPr>
        <w:numPr>
          <w:ilvl w:val="0"/>
          <w:numId w:val="3"/>
        </w:numPr>
        <w:suppressAutoHyphens/>
        <w:rPr>
          <w:sz w:val="22"/>
          <w:szCs w:val="22"/>
        </w:rPr>
      </w:pPr>
      <w:r>
        <w:rPr>
          <w:sz w:val="22"/>
          <w:szCs w:val="22"/>
        </w:rPr>
        <w:t xml:space="preserve">Dersom </w:t>
      </w:r>
      <w:r w:rsidR="00227FD1">
        <w:rPr>
          <w:sz w:val="22"/>
          <w:szCs w:val="22"/>
        </w:rPr>
        <w:t>du</w:t>
      </w:r>
      <w:r>
        <w:rPr>
          <w:sz w:val="22"/>
          <w:szCs w:val="22"/>
        </w:rPr>
        <w:t xml:space="preserve"> har lett hjertesvikt og blir behandlet med Humira, må status for </w:t>
      </w:r>
      <w:r w:rsidR="00227FD1">
        <w:rPr>
          <w:sz w:val="22"/>
          <w:szCs w:val="22"/>
        </w:rPr>
        <w:t>din</w:t>
      </w:r>
      <w:r>
        <w:rPr>
          <w:sz w:val="22"/>
          <w:szCs w:val="22"/>
        </w:rPr>
        <w:t xml:space="preserve"> hjertesvikt overvåkes nøye av legen. </w:t>
      </w:r>
      <w:r w:rsidRPr="009C5EFD">
        <w:rPr>
          <w:sz w:val="22"/>
          <w:szCs w:val="22"/>
        </w:rPr>
        <w:t xml:space="preserve">Det er viktig </w:t>
      </w:r>
      <w:r>
        <w:rPr>
          <w:sz w:val="22"/>
          <w:szCs w:val="22"/>
        </w:rPr>
        <w:t>å</w:t>
      </w:r>
      <w:r w:rsidRPr="009C5EFD">
        <w:rPr>
          <w:sz w:val="22"/>
          <w:szCs w:val="22"/>
        </w:rPr>
        <w:t xml:space="preserve"> </w:t>
      </w:r>
      <w:r>
        <w:rPr>
          <w:sz w:val="22"/>
          <w:szCs w:val="22"/>
        </w:rPr>
        <w:t>fortelle</w:t>
      </w:r>
      <w:r w:rsidRPr="009C5EFD">
        <w:rPr>
          <w:sz w:val="22"/>
          <w:szCs w:val="22"/>
        </w:rPr>
        <w:t xml:space="preserve"> legen </w:t>
      </w:r>
      <w:r>
        <w:rPr>
          <w:sz w:val="22"/>
          <w:szCs w:val="22"/>
        </w:rPr>
        <w:t xml:space="preserve">din </w:t>
      </w:r>
      <w:r w:rsidRPr="009C5EFD">
        <w:rPr>
          <w:sz w:val="22"/>
          <w:szCs w:val="22"/>
        </w:rPr>
        <w:t xml:space="preserve">om </w:t>
      </w:r>
      <w:r w:rsidR="00227FD1">
        <w:rPr>
          <w:sz w:val="22"/>
          <w:szCs w:val="22"/>
        </w:rPr>
        <w:t>du</w:t>
      </w:r>
      <w:r w:rsidRPr="009C5EFD">
        <w:rPr>
          <w:sz w:val="22"/>
          <w:szCs w:val="22"/>
        </w:rPr>
        <w:t xml:space="preserve"> har</w:t>
      </w:r>
      <w:r>
        <w:rPr>
          <w:sz w:val="22"/>
          <w:szCs w:val="22"/>
        </w:rPr>
        <w:t xml:space="preserve"> hatt</w:t>
      </w:r>
      <w:r w:rsidRPr="009C5EFD">
        <w:rPr>
          <w:sz w:val="22"/>
          <w:szCs w:val="22"/>
        </w:rPr>
        <w:t xml:space="preserve"> eller har</w:t>
      </w:r>
      <w:r>
        <w:rPr>
          <w:sz w:val="22"/>
          <w:szCs w:val="22"/>
        </w:rPr>
        <w:t xml:space="preserve"> en</w:t>
      </w:r>
      <w:r w:rsidRPr="009C5EFD">
        <w:rPr>
          <w:sz w:val="22"/>
          <w:szCs w:val="22"/>
        </w:rPr>
        <w:t xml:space="preserve"> alvorlig </w:t>
      </w:r>
      <w:r>
        <w:rPr>
          <w:sz w:val="22"/>
          <w:szCs w:val="22"/>
        </w:rPr>
        <w:t xml:space="preserve">hjertetilstand. </w:t>
      </w:r>
      <w:r w:rsidRPr="00463444">
        <w:rPr>
          <w:sz w:val="22"/>
          <w:szCs w:val="22"/>
        </w:rPr>
        <w:t xml:space="preserve">Dersom </w:t>
      </w:r>
      <w:r w:rsidR="00227FD1">
        <w:rPr>
          <w:sz w:val="22"/>
          <w:szCs w:val="22"/>
        </w:rPr>
        <w:t>du</w:t>
      </w:r>
      <w:r w:rsidRPr="00B42DC6">
        <w:rPr>
          <w:sz w:val="22"/>
          <w:szCs w:val="22"/>
        </w:rPr>
        <w:t xml:space="preserve"> utvikler nye eller forverrede symptomer på hjertesvikt (f.eks. tungpustethet</w:t>
      </w:r>
      <w:r w:rsidRPr="00DC73BE">
        <w:rPr>
          <w:sz w:val="22"/>
          <w:szCs w:val="22"/>
        </w:rPr>
        <w:t xml:space="preserve">, hovne føtter) skal du kontakte legen din umiddelbart. Legen din vil avgjøre om </w:t>
      </w:r>
      <w:r w:rsidR="00227FD1">
        <w:rPr>
          <w:sz w:val="22"/>
          <w:szCs w:val="22"/>
        </w:rPr>
        <w:t>du</w:t>
      </w:r>
      <w:r w:rsidRPr="00DC73BE">
        <w:rPr>
          <w:sz w:val="22"/>
          <w:szCs w:val="22"/>
        </w:rPr>
        <w:t xml:space="preserve"> skal fortsette med Humira.</w:t>
      </w:r>
    </w:p>
    <w:p w14:paraId="03F9FF5D" w14:textId="77777777" w:rsidR="00187573" w:rsidRPr="009C5EFD" w:rsidRDefault="00187573" w:rsidP="00776A84">
      <w:pPr>
        <w:tabs>
          <w:tab w:val="num" w:pos="1440"/>
        </w:tabs>
        <w:suppressAutoHyphens/>
        <w:rPr>
          <w:sz w:val="22"/>
          <w:szCs w:val="22"/>
        </w:rPr>
      </w:pPr>
    </w:p>
    <w:p w14:paraId="28C63B06" w14:textId="77777777" w:rsidR="00187573" w:rsidRDefault="00E453CD" w:rsidP="00776A84">
      <w:pPr>
        <w:keepNext/>
        <w:tabs>
          <w:tab w:val="num" w:pos="1440"/>
        </w:tabs>
        <w:suppressAutoHyphens/>
        <w:rPr>
          <w:sz w:val="22"/>
          <w:szCs w:val="22"/>
          <w:u w:val="single"/>
        </w:rPr>
      </w:pPr>
      <w:r w:rsidRPr="008A5FB6">
        <w:rPr>
          <w:sz w:val="22"/>
          <w:szCs w:val="22"/>
          <w:u w:val="single"/>
        </w:rPr>
        <w:t>Feber, blåmerker, blødning eller blekhet</w:t>
      </w:r>
    </w:p>
    <w:p w14:paraId="57D31D69" w14:textId="77777777" w:rsidR="00187573" w:rsidRPr="009C5EFD" w:rsidRDefault="00187573" w:rsidP="00776A84">
      <w:pPr>
        <w:keepNext/>
        <w:tabs>
          <w:tab w:val="num" w:pos="1440"/>
        </w:tabs>
        <w:suppressAutoHyphens/>
        <w:rPr>
          <w:sz w:val="22"/>
          <w:szCs w:val="22"/>
        </w:rPr>
      </w:pPr>
    </w:p>
    <w:p w14:paraId="591C22E1" w14:textId="77777777" w:rsidR="009E676E" w:rsidRPr="009C5EFD" w:rsidRDefault="00E453CD" w:rsidP="009E676E">
      <w:pPr>
        <w:numPr>
          <w:ilvl w:val="0"/>
          <w:numId w:val="3"/>
        </w:numPr>
        <w:suppressAutoHyphens/>
        <w:rPr>
          <w:sz w:val="22"/>
          <w:szCs w:val="22"/>
        </w:rPr>
      </w:pPr>
      <w:r w:rsidRPr="009C5EFD">
        <w:rPr>
          <w:sz w:val="22"/>
          <w:szCs w:val="22"/>
        </w:rPr>
        <w:t>Hos noen pasienter kan kroppen få problemer med å produsere nok av de blodlegemene som forhindre</w:t>
      </w:r>
      <w:r>
        <w:rPr>
          <w:sz w:val="22"/>
          <w:szCs w:val="22"/>
        </w:rPr>
        <w:t>r</w:t>
      </w:r>
      <w:r w:rsidRPr="009C5EFD">
        <w:rPr>
          <w:sz w:val="22"/>
          <w:szCs w:val="22"/>
        </w:rPr>
        <w:t xml:space="preserve"> infeksjoner eller stoppe</w:t>
      </w:r>
      <w:r>
        <w:rPr>
          <w:sz w:val="22"/>
          <w:szCs w:val="22"/>
        </w:rPr>
        <w:t>r</w:t>
      </w:r>
      <w:r w:rsidRPr="009C5EFD">
        <w:rPr>
          <w:sz w:val="22"/>
          <w:szCs w:val="22"/>
        </w:rPr>
        <w:t xml:space="preserve"> blødninger. Legen din kan bestemme at behandlingen må avbrytes.</w:t>
      </w:r>
      <w:r>
        <w:rPr>
          <w:sz w:val="22"/>
          <w:szCs w:val="22"/>
        </w:rPr>
        <w:t xml:space="preserve"> </w:t>
      </w:r>
      <w:r w:rsidRPr="009C5EFD">
        <w:rPr>
          <w:sz w:val="22"/>
          <w:szCs w:val="22"/>
        </w:rPr>
        <w:t xml:space="preserve">Kontakt lege snarest hvis du får feber som ikke forsvinner, får blåmerker eller blør svært lett eller ser svært blek ut. </w:t>
      </w:r>
    </w:p>
    <w:p w14:paraId="2772F47F" w14:textId="77777777" w:rsidR="009E676E" w:rsidRDefault="009E676E" w:rsidP="009E676E">
      <w:pPr>
        <w:suppressAutoHyphens/>
        <w:ind w:left="567"/>
        <w:rPr>
          <w:sz w:val="22"/>
          <w:szCs w:val="22"/>
        </w:rPr>
      </w:pPr>
    </w:p>
    <w:p w14:paraId="001A6F0D" w14:textId="77777777" w:rsidR="009E676E" w:rsidRDefault="00E453CD" w:rsidP="00802544">
      <w:pPr>
        <w:keepNext/>
        <w:suppressAutoHyphens/>
        <w:rPr>
          <w:sz w:val="22"/>
          <w:szCs w:val="22"/>
        </w:rPr>
      </w:pPr>
      <w:r>
        <w:rPr>
          <w:sz w:val="22"/>
          <w:szCs w:val="22"/>
          <w:u w:val="single"/>
        </w:rPr>
        <w:t>Kreft</w:t>
      </w:r>
    </w:p>
    <w:p w14:paraId="11230112" w14:textId="77777777" w:rsidR="009E676E" w:rsidRPr="00F034FF" w:rsidRDefault="009E676E" w:rsidP="00802544">
      <w:pPr>
        <w:keepNext/>
        <w:suppressAutoHyphens/>
        <w:rPr>
          <w:sz w:val="22"/>
          <w:szCs w:val="22"/>
        </w:rPr>
      </w:pPr>
    </w:p>
    <w:p w14:paraId="06ECBDA0" w14:textId="77777777" w:rsidR="009E676E" w:rsidRDefault="00E453CD" w:rsidP="00776A84">
      <w:pPr>
        <w:numPr>
          <w:ilvl w:val="0"/>
          <w:numId w:val="3"/>
        </w:numPr>
        <w:suppressAutoHyphens/>
        <w:ind w:left="714" w:hanging="357"/>
        <w:rPr>
          <w:sz w:val="22"/>
          <w:szCs w:val="22"/>
        </w:rPr>
      </w:pPr>
      <w:r w:rsidRPr="009C5EFD">
        <w:rPr>
          <w:sz w:val="22"/>
          <w:szCs w:val="22"/>
        </w:rPr>
        <w:t xml:space="preserve">Det har vært svært sjeldne tilfeller av visse typer kreft hos barn og </w:t>
      </w:r>
      <w:r>
        <w:rPr>
          <w:sz w:val="22"/>
          <w:szCs w:val="22"/>
        </w:rPr>
        <w:t>voksne</w:t>
      </w:r>
      <w:r w:rsidRPr="009C5EFD">
        <w:rPr>
          <w:sz w:val="22"/>
          <w:szCs w:val="22"/>
        </w:rPr>
        <w:t xml:space="preserve"> som får Humira eller andre TNF-blokkere.</w:t>
      </w:r>
    </w:p>
    <w:p w14:paraId="433359CE" w14:textId="77777777" w:rsidR="009E676E" w:rsidRDefault="00E453CD" w:rsidP="00776A84">
      <w:pPr>
        <w:suppressAutoHyphens/>
        <w:rPr>
          <w:sz w:val="22"/>
          <w:szCs w:val="22"/>
        </w:rPr>
      </w:pPr>
      <w:r w:rsidRPr="009C5EFD">
        <w:rPr>
          <w:sz w:val="22"/>
          <w:szCs w:val="22"/>
        </w:rPr>
        <w:t xml:space="preserve"> </w:t>
      </w:r>
    </w:p>
    <w:p w14:paraId="24090617" w14:textId="77777777" w:rsidR="009E676E" w:rsidRDefault="00E453CD" w:rsidP="009E676E">
      <w:pPr>
        <w:numPr>
          <w:ilvl w:val="0"/>
          <w:numId w:val="3"/>
        </w:numPr>
        <w:tabs>
          <w:tab w:val="num" w:pos="567"/>
          <w:tab w:val="num" w:pos="1440"/>
        </w:tabs>
        <w:suppressAutoHyphens/>
        <w:ind w:left="1440"/>
        <w:rPr>
          <w:sz w:val="22"/>
          <w:szCs w:val="22"/>
        </w:rPr>
      </w:pPr>
      <w:r w:rsidRPr="009C5EFD">
        <w:rPr>
          <w:sz w:val="22"/>
          <w:szCs w:val="22"/>
        </w:rPr>
        <w:t>Personer med mer alvorlig revmatoid artritt som har hatt sykdommen i lang tid kan ha høyere risiko enn gjennomsnittet for å få lymfom (kreft som angriper lymfesystemet) og leukemi (kreft som angriper blod og benmarg).</w:t>
      </w:r>
    </w:p>
    <w:p w14:paraId="093B6CA3" w14:textId="77777777" w:rsidR="009E676E" w:rsidRDefault="00E453CD" w:rsidP="009E676E">
      <w:pPr>
        <w:numPr>
          <w:ilvl w:val="0"/>
          <w:numId w:val="3"/>
        </w:numPr>
        <w:tabs>
          <w:tab w:val="num" w:pos="567"/>
          <w:tab w:val="num" w:pos="1440"/>
        </w:tabs>
        <w:suppressAutoHyphens/>
        <w:ind w:left="1440"/>
        <w:rPr>
          <w:sz w:val="22"/>
          <w:szCs w:val="22"/>
        </w:rPr>
      </w:pPr>
      <w:r>
        <w:rPr>
          <w:sz w:val="22"/>
          <w:szCs w:val="22"/>
        </w:rPr>
        <w:t>Dersom</w:t>
      </w:r>
      <w:r w:rsidRPr="009C5EFD">
        <w:rPr>
          <w:sz w:val="22"/>
          <w:szCs w:val="22"/>
        </w:rPr>
        <w:t xml:space="preserve"> du tar Humira, kan risikoen for å få lymfom, leukemi og andre typer kreft øke. I sjeldne tilfeller har man </w:t>
      </w:r>
      <w:r>
        <w:rPr>
          <w:sz w:val="22"/>
          <w:szCs w:val="22"/>
        </w:rPr>
        <w:t>sett</w:t>
      </w:r>
      <w:r w:rsidRPr="009C5EFD">
        <w:rPr>
          <w:sz w:val="22"/>
          <w:szCs w:val="22"/>
        </w:rPr>
        <w:t xml:space="preserve"> en </w:t>
      </w:r>
      <w:r>
        <w:rPr>
          <w:sz w:val="22"/>
          <w:szCs w:val="22"/>
        </w:rPr>
        <w:t>sjelden</w:t>
      </w:r>
      <w:r w:rsidRPr="009C5EFD">
        <w:rPr>
          <w:sz w:val="22"/>
          <w:szCs w:val="22"/>
        </w:rPr>
        <w:t xml:space="preserve"> og alvorlig type lymfom hos pasienter som bruker Humira. Noen av disse pasientene ble også behandlet med azatioprin eller 6-merkaptopurin.</w:t>
      </w:r>
    </w:p>
    <w:p w14:paraId="47C3593E" w14:textId="77777777" w:rsidR="00133D8A" w:rsidRDefault="00E453CD" w:rsidP="009E676E">
      <w:pPr>
        <w:numPr>
          <w:ilvl w:val="0"/>
          <w:numId w:val="3"/>
        </w:numPr>
        <w:tabs>
          <w:tab w:val="num" w:pos="567"/>
          <w:tab w:val="num" w:pos="1440"/>
        </w:tabs>
        <w:suppressAutoHyphens/>
        <w:ind w:left="1440"/>
        <w:rPr>
          <w:sz w:val="22"/>
          <w:szCs w:val="22"/>
        </w:rPr>
      </w:pPr>
      <w:r w:rsidRPr="009C5EFD">
        <w:rPr>
          <w:sz w:val="22"/>
          <w:szCs w:val="22"/>
        </w:rPr>
        <w:t>Fortell legen din dersom du tar azatioprin eller 6-m</w:t>
      </w:r>
      <w:r>
        <w:rPr>
          <w:sz w:val="22"/>
          <w:szCs w:val="22"/>
        </w:rPr>
        <w:t>erkaptopurin sammen med Humira.</w:t>
      </w:r>
    </w:p>
    <w:p w14:paraId="2C4389EC" w14:textId="77777777" w:rsidR="009E676E" w:rsidRDefault="00E453CD" w:rsidP="009E676E">
      <w:pPr>
        <w:numPr>
          <w:ilvl w:val="0"/>
          <w:numId w:val="3"/>
        </w:numPr>
        <w:tabs>
          <w:tab w:val="num" w:pos="567"/>
          <w:tab w:val="num" w:pos="1440"/>
        </w:tabs>
        <w:suppressAutoHyphens/>
        <w:ind w:left="1440"/>
        <w:rPr>
          <w:sz w:val="22"/>
          <w:szCs w:val="22"/>
        </w:rPr>
      </w:pPr>
      <w:r>
        <w:rPr>
          <w:sz w:val="22"/>
          <w:szCs w:val="22"/>
        </w:rPr>
        <w:t>T</w:t>
      </w:r>
      <w:r w:rsidRPr="009C5EFD">
        <w:rPr>
          <w:sz w:val="22"/>
          <w:szCs w:val="22"/>
        </w:rPr>
        <w:t>ilfeller av ikke-melanom hudkreft</w:t>
      </w:r>
      <w:r w:rsidR="00954434">
        <w:rPr>
          <w:sz w:val="22"/>
          <w:szCs w:val="22"/>
        </w:rPr>
        <w:t xml:space="preserve"> </w:t>
      </w:r>
      <w:r>
        <w:rPr>
          <w:sz w:val="22"/>
          <w:szCs w:val="22"/>
        </w:rPr>
        <w:t xml:space="preserve">har </w:t>
      </w:r>
      <w:r w:rsidR="00954434">
        <w:rPr>
          <w:sz w:val="22"/>
          <w:szCs w:val="22"/>
        </w:rPr>
        <w:t xml:space="preserve">blitt </w:t>
      </w:r>
      <w:r w:rsidRPr="009C5EFD">
        <w:rPr>
          <w:sz w:val="22"/>
          <w:szCs w:val="22"/>
        </w:rPr>
        <w:t>sett hos pasienter som får Humira.</w:t>
      </w:r>
    </w:p>
    <w:p w14:paraId="360EF9E0" w14:textId="77777777" w:rsidR="009E676E" w:rsidRPr="009C5EFD" w:rsidRDefault="00E453CD" w:rsidP="009E676E">
      <w:pPr>
        <w:numPr>
          <w:ilvl w:val="0"/>
          <w:numId w:val="3"/>
        </w:numPr>
        <w:tabs>
          <w:tab w:val="num" w:pos="567"/>
          <w:tab w:val="num" w:pos="1440"/>
        </w:tabs>
        <w:suppressAutoHyphens/>
        <w:ind w:left="1440"/>
        <w:rPr>
          <w:sz w:val="22"/>
          <w:szCs w:val="22"/>
        </w:rPr>
      </w:pPr>
      <w:r w:rsidRPr="009C5EFD">
        <w:rPr>
          <w:sz w:val="22"/>
          <w:szCs w:val="22"/>
        </w:rPr>
        <w:t xml:space="preserve">Fortell legen din hvis nye hudlesjoner </w:t>
      </w:r>
      <w:r w:rsidR="008167D9">
        <w:rPr>
          <w:sz w:val="22"/>
          <w:szCs w:val="22"/>
        </w:rPr>
        <w:t xml:space="preserve">(unormale forandringer på huden) </w:t>
      </w:r>
      <w:r w:rsidRPr="009C5EFD">
        <w:rPr>
          <w:sz w:val="22"/>
          <w:szCs w:val="22"/>
        </w:rPr>
        <w:t>viser seg under eller etter behandling eller hvis eksisterende hudlesjoner forandrer seg.</w:t>
      </w:r>
    </w:p>
    <w:p w14:paraId="7794E9BA" w14:textId="77777777" w:rsidR="009E676E" w:rsidRPr="009C5EFD" w:rsidRDefault="009E676E" w:rsidP="009E676E">
      <w:pPr>
        <w:tabs>
          <w:tab w:val="num" w:pos="1440"/>
        </w:tabs>
        <w:suppressAutoHyphens/>
        <w:rPr>
          <w:sz w:val="22"/>
          <w:szCs w:val="22"/>
        </w:rPr>
      </w:pPr>
    </w:p>
    <w:p w14:paraId="26D77F3B" w14:textId="77777777" w:rsidR="009E676E" w:rsidRPr="009C5EFD" w:rsidRDefault="00E453CD" w:rsidP="009E676E">
      <w:pPr>
        <w:numPr>
          <w:ilvl w:val="0"/>
          <w:numId w:val="3"/>
        </w:numPr>
        <w:suppressAutoHyphens/>
        <w:rPr>
          <w:sz w:val="22"/>
          <w:szCs w:val="22"/>
        </w:rPr>
      </w:pPr>
      <w:r w:rsidRPr="009C5EFD">
        <w:rPr>
          <w:sz w:val="22"/>
          <w:szCs w:val="22"/>
        </w:rPr>
        <w:t xml:space="preserve">Andre krefttyper enn lymfomer er sett hos pasienter som hadde en bestemt type lungesykdom kalt kronisk obstruktiv lungesykdom (KOLS) og som fikk behandling med andre TNF-blokkere. Dersom du har KOLS, eller er storrøyker, skal du snakke med </w:t>
      </w:r>
      <w:r>
        <w:rPr>
          <w:sz w:val="22"/>
          <w:szCs w:val="22"/>
        </w:rPr>
        <w:t>legen din</w:t>
      </w:r>
      <w:r w:rsidRPr="009C5EFD">
        <w:rPr>
          <w:sz w:val="22"/>
          <w:szCs w:val="22"/>
        </w:rPr>
        <w:t xml:space="preserve"> om behandling med en TNF-blokker passer for deg. </w:t>
      </w:r>
    </w:p>
    <w:p w14:paraId="3438BB3F" w14:textId="77777777" w:rsidR="009E676E" w:rsidRDefault="009E676E" w:rsidP="009E676E">
      <w:pPr>
        <w:pStyle w:val="Heading3"/>
        <w:keepNext w:val="0"/>
        <w:suppressAutoHyphens/>
        <w:rPr>
          <w:b w:val="0"/>
          <w:szCs w:val="22"/>
          <w:lang w:val="nb-NO"/>
        </w:rPr>
      </w:pPr>
    </w:p>
    <w:p w14:paraId="7F743E4B" w14:textId="77777777" w:rsidR="00187573" w:rsidRPr="00E90360" w:rsidRDefault="00E453CD" w:rsidP="00776A84">
      <w:pPr>
        <w:keepNext/>
        <w:suppressAutoHyphens/>
        <w:rPr>
          <w:sz w:val="22"/>
          <w:szCs w:val="22"/>
        </w:rPr>
      </w:pPr>
      <w:r>
        <w:rPr>
          <w:sz w:val="22"/>
          <w:szCs w:val="22"/>
          <w:u w:val="single"/>
        </w:rPr>
        <w:t>Autoimmune sykdommer</w:t>
      </w:r>
    </w:p>
    <w:p w14:paraId="2986BE5B" w14:textId="77777777" w:rsidR="00187573" w:rsidRPr="00E90360" w:rsidRDefault="00187573" w:rsidP="00776A84">
      <w:pPr>
        <w:keepNext/>
        <w:suppressAutoHyphens/>
        <w:rPr>
          <w:sz w:val="22"/>
          <w:szCs w:val="22"/>
        </w:rPr>
      </w:pPr>
    </w:p>
    <w:p w14:paraId="31416D52" w14:textId="77777777" w:rsidR="00187573" w:rsidRPr="00BE07CA" w:rsidRDefault="00E453CD" w:rsidP="00AB7697">
      <w:pPr>
        <w:numPr>
          <w:ilvl w:val="0"/>
          <w:numId w:val="3"/>
        </w:numPr>
        <w:suppressAutoHyphens/>
        <w:outlineLvl w:val="2"/>
        <w:rPr>
          <w:szCs w:val="22"/>
        </w:rPr>
      </w:pPr>
      <w:r w:rsidRPr="00DC73BE">
        <w:rPr>
          <w:sz w:val="22"/>
        </w:rPr>
        <w:t>I sjeldne tilfeller kan behandling med Humira føre til et syndrom som ligner på lupus. Kontakt lege dersom symptomer som vedvarende uforklarlig utslett, feber, leddsmerter eller tretthet oppstår</w:t>
      </w:r>
      <w:r w:rsidRPr="00DC73BE">
        <w:rPr>
          <w:sz w:val="22"/>
          <w:szCs w:val="22"/>
        </w:rPr>
        <w:t>.</w:t>
      </w:r>
    </w:p>
    <w:p w14:paraId="360BA879" w14:textId="77777777" w:rsidR="00187573" w:rsidRPr="00187573" w:rsidRDefault="00187573" w:rsidP="00AB7697"/>
    <w:p w14:paraId="784B00F2" w14:textId="77777777" w:rsidR="009E676E" w:rsidRPr="009C5EFD" w:rsidRDefault="00E453CD" w:rsidP="00776A84">
      <w:pPr>
        <w:keepNext/>
        <w:suppressAutoHyphens/>
        <w:rPr>
          <w:sz w:val="22"/>
          <w:szCs w:val="22"/>
        </w:rPr>
      </w:pPr>
      <w:r w:rsidRPr="009C5EFD">
        <w:rPr>
          <w:b/>
          <w:sz w:val="22"/>
          <w:szCs w:val="22"/>
        </w:rPr>
        <w:t>Barn og ungdom</w:t>
      </w:r>
    </w:p>
    <w:p w14:paraId="70703FB1" w14:textId="77777777" w:rsidR="009E676E" w:rsidRPr="009C5EFD" w:rsidRDefault="009E676E" w:rsidP="00776A84">
      <w:pPr>
        <w:keepNext/>
        <w:suppressAutoHyphens/>
        <w:rPr>
          <w:sz w:val="22"/>
          <w:szCs w:val="22"/>
        </w:rPr>
      </w:pPr>
    </w:p>
    <w:p w14:paraId="1D486C34" w14:textId="77777777" w:rsidR="009E676E" w:rsidRPr="009C5EFD" w:rsidRDefault="00E453CD" w:rsidP="009E676E">
      <w:pPr>
        <w:numPr>
          <w:ilvl w:val="0"/>
          <w:numId w:val="3"/>
        </w:numPr>
        <w:suppressAutoHyphens/>
        <w:rPr>
          <w:sz w:val="22"/>
          <w:szCs w:val="22"/>
        </w:rPr>
      </w:pPr>
      <w:r w:rsidRPr="009C5EFD">
        <w:rPr>
          <w:sz w:val="22"/>
          <w:szCs w:val="22"/>
        </w:rPr>
        <w:t>Vaksinasjoner: hvis mulig, b</w:t>
      </w:r>
      <w:r>
        <w:rPr>
          <w:sz w:val="22"/>
          <w:szCs w:val="22"/>
        </w:rPr>
        <w:t>ør</w:t>
      </w:r>
      <w:r w:rsidRPr="009C5EFD">
        <w:rPr>
          <w:sz w:val="22"/>
          <w:szCs w:val="22"/>
        </w:rPr>
        <w:t xml:space="preserve"> barn</w:t>
      </w:r>
      <w:r>
        <w:rPr>
          <w:sz w:val="22"/>
          <w:szCs w:val="22"/>
        </w:rPr>
        <w:t>et ditt</w:t>
      </w:r>
      <w:r w:rsidRPr="009C5EFD">
        <w:rPr>
          <w:sz w:val="22"/>
          <w:szCs w:val="22"/>
        </w:rPr>
        <w:t xml:space="preserve"> være oppdatert i henhold til alle vaksinasjoner før Humira brukes.</w:t>
      </w:r>
    </w:p>
    <w:p w14:paraId="7E6BC6F3" w14:textId="77777777" w:rsidR="009E676E" w:rsidRPr="009C5EFD" w:rsidRDefault="009E676E" w:rsidP="009E676E">
      <w:pPr>
        <w:pStyle w:val="Heading3"/>
        <w:keepNext w:val="0"/>
        <w:suppressAutoHyphens/>
        <w:rPr>
          <w:szCs w:val="22"/>
          <w:lang w:val="nb-NO"/>
        </w:rPr>
      </w:pPr>
    </w:p>
    <w:p w14:paraId="07BC6419" w14:textId="77777777" w:rsidR="009E676E" w:rsidRPr="006947EE" w:rsidRDefault="00E453CD" w:rsidP="00AF70AD">
      <w:pPr>
        <w:pStyle w:val="Heading3"/>
        <w:suppressAutoHyphens/>
        <w:rPr>
          <w:b w:val="0"/>
          <w:szCs w:val="22"/>
          <w:lang w:val="nb-NO"/>
        </w:rPr>
      </w:pPr>
      <w:r w:rsidRPr="009C5EFD">
        <w:rPr>
          <w:szCs w:val="22"/>
          <w:lang w:val="nb-NO"/>
        </w:rPr>
        <w:lastRenderedPageBreak/>
        <w:t>Andre legemidler og Humira</w:t>
      </w:r>
    </w:p>
    <w:p w14:paraId="6158C475" w14:textId="77777777" w:rsidR="009E676E" w:rsidRPr="006947EE" w:rsidRDefault="009E676E" w:rsidP="00AF70AD">
      <w:pPr>
        <w:keepNext/>
        <w:suppressAutoHyphens/>
        <w:rPr>
          <w:sz w:val="22"/>
          <w:szCs w:val="22"/>
        </w:rPr>
      </w:pPr>
    </w:p>
    <w:p w14:paraId="2575B13E" w14:textId="77777777" w:rsidR="009E676E" w:rsidRPr="001F5D4B" w:rsidRDefault="00E453CD" w:rsidP="009E676E">
      <w:pPr>
        <w:suppressAutoHyphens/>
        <w:rPr>
          <w:sz w:val="22"/>
          <w:szCs w:val="22"/>
        </w:rPr>
      </w:pPr>
      <w:r>
        <w:rPr>
          <w:sz w:val="22"/>
          <w:szCs w:val="22"/>
        </w:rPr>
        <w:t>Snakk med</w:t>
      </w:r>
      <w:r w:rsidRPr="001F5D4B">
        <w:rPr>
          <w:sz w:val="22"/>
          <w:szCs w:val="22"/>
        </w:rPr>
        <w:t xml:space="preserve"> legen din eller apotek dersom du bruker, nylig har brukt eller planlegger å bruke andre legemidler.</w:t>
      </w:r>
    </w:p>
    <w:p w14:paraId="2F1D7137" w14:textId="77777777" w:rsidR="009E676E" w:rsidRDefault="009E676E" w:rsidP="009E676E">
      <w:pPr>
        <w:suppressAutoHyphens/>
        <w:rPr>
          <w:sz w:val="22"/>
          <w:szCs w:val="22"/>
        </w:rPr>
      </w:pPr>
    </w:p>
    <w:p w14:paraId="178D0EB8" w14:textId="77777777" w:rsidR="009E676E" w:rsidRDefault="00E453CD" w:rsidP="00776A84">
      <w:pPr>
        <w:keepNext/>
        <w:suppressAutoHyphens/>
        <w:rPr>
          <w:sz w:val="22"/>
          <w:szCs w:val="22"/>
        </w:rPr>
      </w:pPr>
      <w:r>
        <w:rPr>
          <w:sz w:val="22"/>
          <w:szCs w:val="22"/>
        </w:rPr>
        <w:t xml:space="preserve">Du må ikke ta Humira sammen med legemidler som inneholder </w:t>
      </w:r>
      <w:r w:rsidR="00D33F44">
        <w:rPr>
          <w:sz w:val="22"/>
          <w:szCs w:val="22"/>
        </w:rPr>
        <w:t xml:space="preserve">de følgende </w:t>
      </w:r>
      <w:r>
        <w:rPr>
          <w:sz w:val="22"/>
          <w:szCs w:val="22"/>
        </w:rPr>
        <w:t>virkestoffene</w:t>
      </w:r>
      <w:r w:rsidR="00D33F44">
        <w:rPr>
          <w:sz w:val="22"/>
          <w:szCs w:val="22"/>
        </w:rPr>
        <w:t xml:space="preserve"> </w:t>
      </w:r>
      <w:r w:rsidR="00D33F44" w:rsidRPr="00D33F44">
        <w:rPr>
          <w:sz w:val="22"/>
          <w:szCs w:val="22"/>
        </w:rPr>
        <w:t>på grunn av økt risiko for alvorlig infeksjon</w:t>
      </w:r>
      <w:r>
        <w:rPr>
          <w:sz w:val="22"/>
          <w:szCs w:val="22"/>
        </w:rPr>
        <w:t>:</w:t>
      </w:r>
    </w:p>
    <w:p w14:paraId="197A641D" w14:textId="77777777" w:rsidR="009E676E" w:rsidRDefault="00E453CD" w:rsidP="009E676E">
      <w:pPr>
        <w:pStyle w:val="ListParagraph"/>
        <w:numPr>
          <w:ilvl w:val="0"/>
          <w:numId w:val="112"/>
        </w:numPr>
        <w:tabs>
          <w:tab w:val="left" w:pos="720"/>
        </w:tabs>
        <w:suppressAutoHyphens/>
        <w:rPr>
          <w:sz w:val="22"/>
          <w:szCs w:val="22"/>
        </w:rPr>
      </w:pPr>
      <w:r>
        <w:rPr>
          <w:sz w:val="22"/>
          <w:szCs w:val="22"/>
        </w:rPr>
        <w:t>anakinra</w:t>
      </w:r>
    </w:p>
    <w:p w14:paraId="075F7A04" w14:textId="77777777" w:rsidR="009E676E" w:rsidRPr="00887835" w:rsidRDefault="00E453CD" w:rsidP="009E676E">
      <w:pPr>
        <w:pStyle w:val="ListParagraph"/>
        <w:numPr>
          <w:ilvl w:val="0"/>
          <w:numId w:val="112"/>
        </w:numPr>
        <w:tabs>
          <w:tab w:val="left" w:pos="720"/>
        </w:tabs>
        <w:suppressAutoHyphens/>
        <w:rPr>
          <w:sz w:val="22"/>
          <w:szCs w:val="22"/>
        </w:rPr>
      </w:pPr>
      <w:r>
        <w:rPr>
          <w:sz w:val="22"/>
          <w:szCs w:val="22"/>
        </w:rPr>
        <w:t>abatacept.</w:t>
      </w:r>
    </w:p>
    <w:p w14:paraId="74D897E2" w14:textId="77777777" w:rsidR="009E676E" w:rsidRPr="009C5EFD" w:rsidRDefault="009E676E" w:rsidP="009E676E">
      <w:pPr>
        <w:suppressAutoHyphens/>
        <w:rPr>
          <w:szCs w:val="22"/>
        </w:rPr>
      </w:pPr>
    </w:p>
    <w:p w14:paraId="3447AE4A" w14:textId="77777777" w:rsidR="009E676E" w:rsidRDefault="00E453CD" w:rsidP="00776A84">
      <w:pPr>
        <w:keepNext/>
        <w:suppressAutoHyphens/>
        <w:rPr>
          <w:sz w:val="22"/>
          <w:szCs w:val="22"/>
        </w:rPr>
      </w:pPr>
      <w:r w:rsidRPr="009C5EFD">
        <w:rPr>
          <w:sz w:val="22"/>
          <w:szCs w:val="22"/>
        </w:rPr>
        <w:t>Humira kan tas sammen med</w:t>
      </w:r>
      <w:r>
        <w:rPr>
          <w:sz w:val="22"/>
          <w:szCs w:val="22"/>
        </w:rPr>
        <w:t>:</w:t>
      </w:r>
    </w:p>
    <w:p w14:paraId="3CF62A05" w14:textId="77777777" w:rsidR="009E676E" w:rsidRDefault="00E453CD" w:rsidP="009E676E">
      <w:pPr>
        <w:pStyle w:val="ListParagraph"/>
        <w:numPr>
          <w:ilvl w:val="0"/>
          <w:numId w:val="113"/>
        </w:numPr>
        <w:suppressAutoHyphens/>
        <w:rPr>
          <w:sz w:val="22"/>
          <w:szCs w:val="22"/>
        </w:rPr>
      </w:pPr>
      <w:r w:rsidRPr="009C5EFD">
        <w:rPr>
          <w:sz w:val="22"/>
          <w:szCs w:val="22"/>
        </w:rPr>
        <w:t>metotreksat</w:t>
      </w:r>
    </w:p>
    <w:p w14:paraId="4AB6D330" w14:textId="77777777" w:rsidR="009E676E" w:rsidRDefault="00E453CD" w:rsidP="009E676E">
      <w:pPr>
        <w:pStyle w:val="ListParagraph"/>
        <w:numPr>
          <w:ilvl w:val="0"/>
          <w:numId w:val="113"/>
        </w:numPr>
        <w:suppressAutoHyphens/>
        <w:rPr>
          <w:sz w:val="22"/>
          <w:szCs w:val="22"/>
        </w:rPr>
      </w:pPr>
      <w:r w:rsidRPr="009C5EFD">
        <w:rPr>
          <w:sz w:val="22"/>
          <w:szCs w:val="22"/>
        </w:rPr>
        <w:t>visse sykdomsmodifiserende antirevmatiske midler (</w:t>
      </w:r>
      <w:r>
        <w:rPr>
          <w:sz w:val="22"/>
          <w:szCs w:val="22"/>
        </w:rPr>
        <w:t xml:space="preserve">f.eks. </w:t>
      </w:r>
      <w:r w:rsidRPr="009C5EFD">
        <w:rPr>
          <w:sz w:val="22"/>
          <w:szCs w:val="22"/>
        </w:rPr>
        <w:t xml:space="preserve">sulfasalasin, hydroksyklorokin, leflunomid </w:t>
      </w:r>
      <w:r>
        <w:rPr>
          <w:sz w:val="22"/>
          <w:szCs w:val="22"/>
        </w:rPr>
        <w:t>og</w:t>
      </w:r>
      <w:r w:rsidRPr="009C5EFD">
        <w:rPr>
          <w:sz w:val="22"/>
          <w:szCs w:val="22"/>
        </w:rPr>
        <w:t xml:space="preserve"> gullpreparater til injeksjon</w:t>
      </w:r>
      <w:r w:rsidRPr="00887835">
        <w:rPr>
          <w:sz w:val="22"/>
          <w:szCs w:val="22"/>
        </w:rPr>
        <w:t>)</w:t>
      </w:r>
    </w:p>
    <w:p w14:paraId="62D0BC51" w14:textId="77777777" w:rsidR="009E676E" w:rsidRPr="009C5EFD" w:rsidRDefault="00E453CD" w:rsidP="009E676E">
      <w:pPr>
        <w:pStyle w:val="ListParagraph"/>
        <w:numPr>
          <w:ilvl w:val="0"/>
          <w:numId w:val="113"/>
        </w:numPr>
        <w:suppressAutoHyphens/>
        <w:rPr>
          <w:sz w:val="22"/>
          <w:szCs w:val="22"/>
        </w:rPr>
      </w:pPr>
      <w:r w:rsidRPr="009C5EFD">
        <w:rPr>
          <w:sz w:val="22"/>
          <w:szCs w:val="22"/>
        </w:rPr>
        <w:t>steroider eller smertestillende midler, deriblant ikke-steroide antiinflammatoriske midler (NSAIDs).</w:t>
      </w:r>
    </w:p>
    <w:p w14:paraId="7CD54E22" w14:textId="77777777" w:rsidR="009E676E" w:rsidRPr="009C5EFD" w:rsidRDefault="009E676E" w:rsidP="009E676E">
      <w:pPr>
        <w:suppressAutoHyphens/>
        <w:rPr>
          <w:sz w:val="22"/>
          <w:szCs w:val="22"/>
        </w:rPr>
      </w:pPr>
    </w:p>
    <w:p w14:paraId="1E235EF9" w14:textId="77777777" w:rsidR="009E676E" w:rsidRPr="009C5EFD" w:rsidRDefault="00E453CD" w:rsidP="009E676E">
      <w:pPr>
        <w:suppressAutoHyphens/>
        <w:rPr>
          <w:sz w:val="22"/>
          <w:szCs w:val="22"/>
        </w:rPr>
      </w:pPr>
      <w:r w:rsidRPr="009C5EFD">
        <w:rPr>
          <w:sz w:val="22"/>
          <w:szCs w:val="22"/>
        </w:rPr>
        <w:t>Hvis du har spørsmål, kontakt legen din.</w:t>
      </w:r>
    </w:p>
    <w:p w14:paraId="4DFF2A3B" w14:textId="77777777" w:rsidR="009E676E" w:rsidRPr="009C5EFD" w:rsidRDefault="009E676E" w:rsidP="009E676E">
      <w:pPr>
        <w:suppressAutoHyphens/>
        <w:rPr>
          <w:sz w:val="22"/>
          <w:szCs w:val="22"/>
        </w:rPr>
      </w:pPr>
    </w:p>
    <w:p w14:paraId="510406FA" w14:textId="77777777" w:rsidR="009E676E" w:rsidRPr="006947EE" w:rsidRDefault="00E453CD" w:rsidP="00802544">
      <w:pPr>
        <w:keepNext/>
        <w:rPr>
          <w:sz w:val="22"/>
          <w:szCs w:val="22"/>
        </w:rPr>
      </w:pPr>
      <w:r w:rsidRPr="009C5EFD">
        <w:rPr>
          <w:b/>
          <w:sz w:val="22"/>
          <w:szCs w:val="22"/>
        </w:rPr>
        <w:t>Graviditet og amming</w:t>
      </w:r>
    </w:p>
    <w:p w14:paraId="228C9417" w14:textId="77777777" w:rsidR="009E676E" w:rsidRPr="009C5EFD" w:rsidRDefault="009E676E" w:rsidP="00802544">
      <w:pPr>
        <w:keepNext/>
        <w:rPr>
          <w:sz w:val="22"/>
          <w:szCs w:val="22"/>
        </w:rPr>
      </w:pPr>
    </w:p>
    <w:p w14:paraId="061A0615" w14:textId="77777777" w:rsidR="009E676E" w:rsidRPr="00D35625" w:rsidRDefault="00E453CD" w:rsidP="00776A84">
      <w:pPr>
        <w:pStyle w:val="ListParagraph"/>
        <w:numPr>
          <w:ilvl w:val="0"/>
          <w:numId w:val="156"/>
        </w:numPr>
        <w:suppressAutoHyphens/>
        <w:ind w:left="714" w:hanging="357"/>
        <w:rPr>
          <w:sz w:val="22"/>
          <w:szCs w:val="22"/>
        </w:rPr>
      </w:pPr>
      <w:r w:rsidRPr="00D35625">
        <w:rPr>
          <w:sz w:val="22"/>
          <w:szCs w:val="22"/>
        </w:rPr>
        <w:t xml:space="preserve">Du </w:t>
      </w:r>
      <w:r w:rsidR="00AA09C3" w:rsidRPr="00D35625">
        <w:rPr>
          <w:sz w:val="22"/>
          <w:szCs w:val="22"/>
        </w:rPr>
        <w:t xml:space="preserve">bør vurdere å </w:t>
      </w:r>
      <w:r w:rsidRPr="00D35625">
        <w:rPr>
          <w:sz w:val="22"/>
          <w:szCs w:val="22"/>
        </w:rPr>
        <w:t xml:space="preserve">bruke </w:t>
      </w:r>
      <w:r w:rsidR="008167D9" w:rsidRPr="00D35625">
        <w:rPr>
          <w:sz w:val="22"/>
          <w:szCs w:val="22"/>
        </w:rPr>
        <w:t>sikker</w:t>
      </w:r>
      <w:r w:rsidRPr="00D35625">
        <w:rPr>
          <w:sz w:val="22"/>
          <w:szCs w:val="22"/>
        </w:rPr>
        <w:t xml:space="preserve"> prevensjon </w:t>
      </w:r>
      <w:r w:rsidR="00AA09C3" w:rsidRPr="00D35625">
        <w:rPr>
          <w:sz w:val="22"/>
          <w:szCs w:val="22"/>
        </w:rPr>
        <w:t xml:space="preserve">for å forhindre graviditet og fortsette bruken </w:t>
      </w:r>
      <w:r w:rsidRPr="00D35625">
        <w:rPr>
          <w:sz w:val="22"/>
          <w:szCs w:val="22"/>
        </w:rPr>
        <w:t>i minst 5</w:t>
      </w:r>
      <w:r w:rsidR="00D2560D">
        <w:rPr>
          <w:sz w:val="22"/>
          <w:szCs w:val="22"/>
        </w:rPr>
        <w:t> </w:t>
      </w:r>
      <w:r w:rsidRPr="00D35625">
        <w:rPr>
          <w:sz w:val="22"/>
          <w:szCs w:val="22"/>
        </w:rPr>
        <w:t>måneder etter siste behandling med Humira.</w:t>
      </w:r>
    </w:p>
    <w:p w14:paraId="2F68114C" w14:textId="77777777" w:rsidR="00E70B94" w:rsidRDefault="00E453CD" w:rsidP="00E70B94">
      <w:pPr>
        <w:pStyle w:val="ListParagraph"/>
        <w:numPr>
          <w:ilvl w:val="0"/>
          <w:numId w:val="147"/>
        </w:numPr>
        <w:suppressAutoHyphens/>
        <w:rPr>
          <w:sz w:val="22"/>
          <w:szCs w:val="22"/>
        </w:rPr>
      </w:pPr>
      <w:r>
        <w:rPr>
          <w:sz w:val="22"/>
          <w:szCs w:val="22"/>
        </w:rPr>
        <w:t>Snakk med</w:t>
      </w:r>
      <w:r w:rsidR="004D2F53">
        <w:rPr>
          <w:sz w:val="22"/>
          <w:szCs w:val="22"/>
        </w:rPr>
        <w:t xml:space="preserve"> </w:t>
      </w:r>
      <w:r w:rsidRPr="00922A98">
        <w:rPr>
          <w:sz w:val="22"/>
          <w:szCs w:val="22"/>
        </w:rPr>
        <w:t>lege</w:t>
      </w:r>
      <w:r w:rsidR="007A31C0">
        <w:rPr>
          <w:sz w:val="22"/>
          <w:szCs w:val="22"/>
        </w:rPr>
        <w:t xml:space="preserve"> </w:t>
      </w:r>
      <w:r w:rsidR="00D2560D">
        <w:rPr>
          <w:sz w:val="22"/>
          <w:szCs w:val="22"/>
        </w:rPr>
        <w:t>før du</w:t>
      </w:r>
      <w:r w:rsidRPr="00922A98">
        <w:rPr>
          <w:sz w:val="22"/>
          <w:szCs w:val="22"/>
        </w:rPr>
        <w:t xml:space="preserve"> tar det</w:t>
      </w:r>
      <w:r>
        <w:rPr>
          <w:sz w:val="22"/>
          <w:szCs w:val="22"/>
        </w:rPr>
        <w:t xml:space="preserve">te legemidlet dersom </w:t>
      </w:r>
      <w:r w:rsidR="00D2560D">
        <w:rPr>
          <w:sz w:val="22"/>
          <w:szCs w:val="22"/>
        </w:rPr>
        <w:t>du</w:t>
      </w:r>
      <w:r>
        <w:rPr>
          <w:sz w:val="22"/>
          <w:szCs w:val="22"/>
        </w:rPr>
        <w:t xml:space="preserve"> er gravid, tror </w:t>
      </w:r>
      <w:r w:rsidR="00D2560D">
        <w:rPr>
          <w:sz w:val="22"/>
          <w:szCs w:val="22"/>
        </w:rPr>
        <w:t>du</w:t>
      </w:r>
      <w:r w:rsidRPr="00922A98">
        <w:rPr>
          <w:sz w:val="22"/>
          <w:szCs w:val="22"/>
        </w:rPr>
        <w:t xml:space="preserve"> kan være gravid</w:t>
      </w:r>
      <w:r>
        <w:rPr>
          <w:sz w:val="22"/>
          <w:szCs w:val="22"/>
        </w:rPr>
        <w:t xml:space="preserve"> eller planlegger å bli gravid.</w:t>
      </w:r>
    </w:p>
    <w:p w14:paraId="466C56E4" w14:textId="77777777" w:rsidR="00E70B94" w:rsidRDefault="00E453CD" w:rsidP="00E70B94">
      <w:pPr>
        <w:pStyle w:val="ListParagraph"/>
        <w:numPr>
          <w:ilvl w:val="0"/>
          <w:numId w:val="147"/>
        </w:numPr>
        <w:suppressAutoHyphens/>
        <w:rPr>
          <w:sz w:val="22"/>
          <w:szCs w:val="22"/>
        </w:rPr>
      </w:pPr>
      <w:r>
        <w:rPr>
          <w:sz w:val="22"/>
          <w:szCs w:val="22"/>
        </w:rPr>
        <w:t>Humira bør kun brukes under graviditet dersom det er nødvendig.</w:t>
      </w:r>
    </w:p>
    <w:p w14:paraId="454E5134" w14:textId="77777777" w:rsidR="00E70B94" w:rsidRDefault="00E453CD" w:rsidP="00E70B94">
      <w:pPr>
        <w:pStyle w:val="ListParagraph"/>
        <w:numPr>
          <w:ilvl w:val="0"/>
          <w:numId w:val="147"/>
        </w:numPr>
        <w:suppressAutoHyphens/>
        <w:rPr>
          <w:sz w:val="22"/>
          <w:szCs w:val="22"/>
        </w:rPr>
      </w:pPr>
      <w:r>
        <w:rPr>
          <w:sz w:val="22"/>
          <w:szCs w:val="22"/>
        </w:rPr>
        <w:t xml:space="preserve">I henhold til en studie på gravide var det ingen større risiko for </w:t>
      </w:r>
      <w:r w:rsidR="00CF2078">
        <w:rPr>
          <w:sz w:val="22"/>
          <w:szCs w:val="22"/>
        </w:rPr>
        <w:t>fosterskader</w:t>
      </w:r>
      <w:r>
        <w:rPr>
          <w:sz w:val="22"/>
          <w:szCs w:val="22"/>
        </w:rPr>
        <w:t xml:space="preserve"> når moren hadde fått Humira under graviditet sammenlignet med mødre med den samme sykdommen som ikke hadde fått Humira.</w:t>
      </w:r>
    </w:p>
    <w:p w14:paraId="688E12B4" w14:textId="77777777" w:rsidR="00E70B94" w:rsidRDefault="00E453CD" w:rsidP="00E70B94">
      <w:pPr>
        <w:pStyle w:val="ListParagraph"/>
        <w:numPr>
          <w:ilvl w:val="0"/>
          <w:numId w:val="147"/>
        </w:numPr>
        <w:suppressAutoHyphens/>
        <w:rPr>
          <w:sz w:val="22"/>
          <w:szCs w:val="22"/>
        </w:rPr>
      </w:pPr>
      <w:r>
        <w:rPr>
          <w:sz w:val="22"/>
          <w:szCs w:val="22"/>
        </w:rPr>
        <w:t>Humira kan brukes under amming.</w:t>
      </w:r>
    </w:p>
    <w:p w14:paraId="2D7062ED" w14:textId="77777777" w:rsidR="00375534" w:rsidRDefault="00E453CD" w:rsidP="00D35625">
      <w:pPr>
        <w:pStyle w:val="ListParagraph"/>
        <w:numPr>
          <w:ilvl w:val="0"/>
          <w:numId w:val="147"/>
        </w:numPr>
        <w:suppressAutoHyphens/>
        <w:rPr>
          <w:sz w:val="22"/>
          <w:szCs w:val="22"/>
        </w:rPr>
      </w:pPr>
      <w:r w:rsidRPr="00D35625">
        <w:rPr>
          <w:sz w:val="22"/>
          <w:szCs w:val="22"/>
        </w:rPr>
        <w:t xml:space="preserve">Dersom du bruker Humira under graviditet, kan spedbarnet ditt ha høyere risiko for å få en infeksjon. </w:t>
      </w:r>
    </w:p>
    <w:p w14:paraId="4B8FE847" w14:textId="77777777" w:rsidR="009E676E" w:rsidRPr="00D35625" w:rsidRDefault="00E453CD" w:rsidP="00D35625">
      <w:pPr>
        <w:pStyle w:val="ListParagraph"/>
        <w:numPr>
          <w:ilvl w:val="0"/>
          <w:numId w:val="147"/>
        </w:numPr>
        <w:suppressAutoHyphens/>
        <w:rPr>
          <w:sz w:val="22"/>
          <w:szCs w:val="22"/>
        </w:rPr>
      </w:pPr>
      <w:r w:rsidRPr="00D35625">
        <w:rPr>
          <w:sz w:val="22"/>
          <w:szCs w:val="22"/>
        </w:rPr>
        <w:t xml:space="preserve">Det er viktig at du forteller </w:t>
      </w:r>
      <w:r w:rsidR="00035491" w:rsidRPr="00035491">
        <w:rPr>
          <w:sz w:val="22"/>
          <w:szCs w:val="22"/>
        </w:rPr>
        <w:t>legen til spedbarnet ditt</w:t>
      </w:r>
      <w:r w:rsidRPr="00D35625">
        <w:rPr>
          <w:sz w:val="22"/>
          <w:szCs w:val="22"/>
        </w:rPr>
        <w:t xml:space="preserve"> og annet helsepersonell </w:t>
      </w:r>
      <w:r w:rsidR="00C213C4">
        <w:rPr>
          <w:sz w:val="22"/>
          <w:szCs w:val="22"/>
        </w:rPr>
        <w:t>om</w:t>
      </w:r>
      <w:r w:rsidRPr="00D35625">
        <w:rPr>
          <w:sz w:val="22"/>
          <w:szCs w:val="22"/>
        </w:rPr>
        <w:t xml:space="preserve"> </w:t>
      </w:r>
      <w:r w:rsidR="00B904B8">
        <w:rPr>
          <w:sz w:val="22"/>
          <w:szCs w:val="22"/>
        </w:rPr>
        <w:t xml:space="preserve">din </w:t>
      </w:r>
      <w:r w:rsidRPr="00D35625">
        <w:rPr>
          <w:sz w:val="22"/>
          <w:szCs w:val="22"/>
        </w:rPr>
        <w:t>bruk</w:t>
      </w:r>
      <w:r w:rsidR="00C213C4">
        <w:rPr>
          <w:sz w:val="22"/>
          <w:szCs w:val="22"/>
        </w:rPr>
        <w:t xml:space="preserve"> av</w:t>
      </w:r>
      <w:r w:rsidRPr="00D35625">
        <w:rPr>
          <w:sz w:val="22"/>
          <w:szCs w:val="22"/>
        </w:rPr>
        <w:t xml:space="preserve"> Humira under graviditeten før </w:t>
      </w:r>
      <w:r w:rsidR="00900FF9">
        <w:rPr>
          <w:sz w:val="22"/>
          <w:szCs w:val="22"/>
        </w:rPr>
        <w:t>sped</w:t>
      </w:r>
      <w:r w:rsidRPr="00D35625">
        <w:rPr>
          <w:sz w:val="22"/>
          <w:szCs w:val="22"/>
        </w:rPr>
        <w:t xml:space="preserve">barnet vaksineres. </w:t>
      </w:r>
      <w:r w:rsidR="00942BD6" w:rsidRPr="004849ED">
        <w:rPr>
          <w:sz w:val="22"/>
          <w:szCs w:val="22"/>
        </w:rPr>
        <w:t>For mer informasjon</w:t>
      </w:r>
      <w:r w:rsidR="00942BD6">
        <w:rPr>
          <w:sz w:val="22"/>
          <w:szCs w:val="22"/>
        </w:rPr>
        <w:t xml:space="preserve"> om vaksiner</w:t>
      </w:r>
      <w:r w:rsidR="00942BD6" w:rsidRPr="004849ED">
        <w:rPr>
          <w:sz w:val="22"/>
          <w:szCs w:val="22"/>
        </w:rPr>
        <w:t>, se avsnitt</w:t>
      </w:r>
      <w:r w:rsidR="00942BD6">
        <w:rPr>
          <w:sz w:val="22"/>
          <w:szCs w:val="22"/>
        </w:rPr>
        <w:t>et «Advarsler og forsiktighetsregler».</w:t>
      </w:r>
    </w:p>
    <w:p w14:paraId="6ACEBEE3" w14:textId="77777777" w:rsidR="009E676E" w:rsidRPr="009C5EFD" w:rsidRDefault="009E676E" w:rsidP="009E676E">
      <w:pPr>
        <w:rPr>
          <w:sz w:val="22"/>
          <w:szCs w:val="22"/>
        </w:rPr>
      </w:pPr>
    </w:p>
    <w:p w14:paraId="187DF52A" w14:textId="77777777" w:rsidR="009E676E" w:rsidRPr="006947EE" w:rsidRDefault="00E453CD" w:rsidP="00776A84">
      <w:pPr>
        <w:keepNext/>
        <w:suppressAutoHyphens/>
        <w:rPr>
          <w:sz w:val="22"/>
          <w:szCs w:val="22"/>
        </w:rPr>
      </w:pPr>
      <w:r w:rsidRPr="009C5EFD">
        <w:rPr>
          <w:b/>
          <w:sz w:val="22"/>
          <w:szCs w:val="22"/>
        </w:rPr>
        <w:t>Kjøring og bruk av maskiner</w:t>
      </w:r>
    </w:p>
    <w:p w14:paraId="333318E9" w14:textId="77777777" w:rsidR="009E676E" w:rsidRPr="006947EE" w:rsidRDefault="009E676E" w:rsidP="00776A84">
      <w:pPr>
        <w:keepNext/>
        <w:suppressAutoHyphens/>
        <w:rPr>
          <w:sz w:val="22"/>
          <w:szCs w:val="22"/>
        </w:rPr>
      </w:pPr>
    </w:p>
    <w:p w14:paraId="4A4F7584" w14:textId="77777777" w:rsidR="009E676E" w:rsidRDefault="00E453CD" w:rsidP="009E676E">
      <w:pPr>
        <w:rPr>
          <w:ins w:id="17670" w:author="AbbVie02no" w:date="2025-05-15T14:30:00Z"/>
          <w:sz w:val="22"/>
          <w:szCs w:val="22"/>
        </w:rPr>
      </w:pPr>
      <w:r w:rsidRPr="009C5EFD">
        <w:rPr>
          <w:sz w:val="22"/>
          <w:szCs w:val="22"/>
        </w:rPr>
        <w:t>Humira kan ha en liten påvirkning på evnen til å kjøre bil, sykkel eller bruke maskiner. Svimmelhet og synsforstyrrelse kan oppstå etter injeksjon av Humira.</w:t>
      </w:r>
    </w:p>
    <w:p w14:paraId="36634F7C" w14:textId="77777777" w:rsidR="00600FCB" w:rsidRDefault="00600FCB" w:rsidP="009E676E">
      <w:pPr>
        <w:rPr>
          <w:ins w:id="17671" w:author="AbbVie02no" w:date="2025-05-15T14:30:00Z"/>
          <w:sz w:val="22"/>
          <w:szCs w:val="22"/>
        </w:rPr>
      </w:pPr>
    </w:p>
    <w:p w14:paraId="28306D30" w14:textId="73B4512E" w:rsidR="00600FCB" w:rsidRDefault="00E453CD" w:rsidP="009E676E">
      <w:pPr>
        <w:rPr>
          <w:ins w:id="17672" w:author="AbbVie02no" w:date="2025-05-15T14:31:00Z"/>
          <w:b/>
          <w:bCs/>
          <w:sz w:val="22"/>
          <w:szCs w:val="22"/>
        </w:rPr>
      </w:pPr>
      <w:ins w:id="17673" w:author="AbbVie02no" w:date="2025-05-15T14:31:00Z">
        <w:r>
          <w:rPr>
            <w:b/>
            <w:bCs/>
            <w:sz w:val="22"/>
            <w:szCs w:val="22"/>
          </w:rPr>
          <w:t>Humira inneholder polysorbat</w:t>
        </w:r>
      </w:ins>
    </w:p>
    <w:p w14:paraId="52880821" w14:textId="77777777" w:rsidR="00600FCB" w:rsidRDefault="00600FCB" w:rsidP="009E676E">
      <w:pPr>
        <w:rPr>
          <w:ins w:id="17674" w:author="AbbVie02no" w:date="2025-05-15T14:31:00Z"/>
          <w:b/>
          <w:bCs/>
          <w:sz w:val="22"/>
          <w:szCs w:val="22"/>
        </w:rPr>
      </w:pPr>
    </w:p>
    <w:p w14:paraId="02D0D691" w14:textId="178EE61E" w:rsidR="00600FCB" w:rsidRPr="00600FCB" w:rsidRDefault="00E453CD" w:rsidP="009E676E">
      <w:pPr>
        <w:rPr>
          <w:sz w:val="22"/>
          <w:szCs w:val="22"/>
        </w:rPr>
      </w:pPr>
      <w:ins w:id="17675" w:author="AbbVie02no" w:date="2025-05-15T14:31:00Z">
        <w:r>
          <w:rPr>
            <w:sz w:val="22"/>
            <w:szCs w:val="22"/>
          </w:rPr>
          <w:t>Dette legemidlet inneholder 0,8 mg polysorbat 80 i hver 80 mg dose. Polysorbater kan forårsake allergiske reaksjoner. Fortell legen din</w:t>
        </w:r>
      </w:ins>
      <w:ins w:id="17676" w:author="AbbVie02no" w:date="2025-05-15T14:32:00Z">
        <w:r>
          <w:rPr>
            <w:sz w:val="22"/>
            <w:szCs w:val="22"/>
          </w:rPr>
          <w:t xml:space="preserve"> dersom du har noen kjente allergier.</w:t>
        </w:r>
      </w:ins>
    </w:p>
    <w:p w14:paraId="655C1EBE" w14:textId="77777777" w:rsidR="009E676E" w:rsidRPr="009C5EFD" w:rsidRDefault="009E676E" w:rsidP="009E676E">
      <w:pPr>
        <w:pStyle w:val="EndnoteText"/>
        <w:widowControl/>
        <w:tabs>
          <w:tab w:val="clear" w:pos="567"/>
        </w:tabs>
        <w:suppressAutoHyphens/>
        <w:rPr>
          <w:szCs w:val="22"/>
          <w:lang w:val="nb-NO"/>
        </w:rPr>
      </w:pPr>
    </w:p>
    <w:p w14:paraId="1A145E67" w14:textId="77777777" w:rsidR="009E676E" w:rsidRPr="009C5EFD" w:rsidRDefault="009E676E" w:rsidP="009E676E">
      <w:pPr>
        <w:suppressAutoHyphens/>
        <w:rPr>
          <w:sz w:val="22"/>
          <w:szCs w:val="22"/>
        </w:rPr>
      </w:pPr>
    </w:p>
    <w:p w14:paraId="1A76672B" w14:textId="77777777" w:rsidR="009E676E" w:rsidRPr="009C5EFD" w:rsidRDefault="00E453CD" w:rsidP="00776A84">
      <w:pPr>
        <w:keepNext/>
        <w:tabs>
          <w:tab w:val="left" w:pos="567"/>
        </w:tabs>
        <w:suppressAutoHyphens/>
        <w:rPr>
          <w:sz w:val="22"/>
          <w:szCs w:val="22"/>
        </w:rPr>
      </w:pPr>
      <w:r w:rsidRPr="009C5EFD">
        <w:rPr>
          <w:b/>
          <w:sz w:val="22"/>
          <w:szCs w:val="22"/>
        </w:rPr>
        <w:t>3.</w:t>
      </w:r>
      <w:r w:rsidRPr="009C5EFD">
        <w:rPr>
          <w:b/>
          <w:sz w:val="22"/>
          <w:szCs w:val="22"/>
        </w:rPr>
        <w:tab/>
        <w:t>Hvordan du bruker Humira</w:t>
      </w:r>
    </w:p>
    <w:p w14:paraId="4B60969D" w14:textId="77777777" w:rsidR="009E676E" w:rsidRPr="009C5EFD" w:rsidRDefault="009E676E" w:rsidP="00776A84">
      <w:pPr>
        <w:keepNext/>
        <w:rPr>
          <w:sz w:val="22"/>
          <w:szCs w:val="22"/>
        </w:rPr>
      </w:pPr>
    </w:p>
    <w:p w14:paraId="537EF580" w14:textId="77777777" w:rsidR="009E676E" w:rsidRPr="009C5EFD" w:rsidRDefault="00E453CD" w:rsidP="009E676E">
      <w:pPr>
        <w:suppressAutoHyphens/>
        <w:rPr>
          <w:sz w:val="22"/>
          <w:szCs w:val="22"/>
        </w:rPr>
      </w:pPr>
      <w:r w:rsidRPr="009C5EFD">
        <w:rPr>
          <w:sz w:val="22"/>
          <w:szCs w:val="22"/>
        </w:rPr>
        <w:t>Bruk alltid dette legemidlet nøyaktig slik legen eller apotek har fortalt deg. Kontakt lege</w:t>
      </w:r>
      <w:r>
        <w:rPr>
          <w:sz w:val="22"/>
          <w:szCs w:val="22"/>
        </w:rPr>
        <w:t>n din</w:t>
      </w:r>
      <w:r w:rsidRPr="009C5EFD">
        <w:rPr>
          <w:sz w:val="22"/>
          <w:szCs w:val="22"/>
        </w:rPr>
        <w:t xml:space="preserve"> eller apotek hvis du er usikker.</w:t>
      </w:r>
    </w:p>
    <w:p w14:paraId="489D21FD" w14:textId="77777777" w:rsidR="009E676E" w:rsidRDefault="009E676E" w:rsidP="009E676E">
      <w:pPr>
        <w:suppressAutoHyphens/>
        <w:rPr>
          <w:sz w:val="22"/>
          <w:szCs w:val="22"/>
        </w:rPr>
      </w:pPr>
    </w:p>
    <w:p w14:paraId="4F2DD5BA" w14:textId="77777777" w:rsidR="009E676E" w:rsidRPr="009C5EFD" w:rsidRDefault="00E453CD" w:rsidP="009E676E">
      <w:pPr>
        <w:suppressAutoHyphens/>
        <w:rPr>
          <w:sz w:val="22"/>
          <w:szCs w:val="22"/>
        </w:rPr>
      </w:pPr>
      <w:r>
        <w:rPr>
          <w:sz w:val="22"/>
          <w:szCs w:val="22"/>
        </w:rPr>
        <w:t>Anbefalte doser med Humira for hvert godkjent bruksområde er vist i tabellen under.</w:t>
      </w:r>
      <w:r w:rsidR="00CA4730">
        <w:rPr>
          <w:sz w:val="22"/>
          <w:szCs w:val="22"/>
        </w:rPr>
        <w:t xml:space="preserve"> Legen din kan forskrive en annen styrke av Humira dersom du trenger en annen dose.</w:t>
      </w:r>
    </w:p>
    <w:p w14:paraId="2C6D3336" w14:textId="77777777" w:rsidR="009E676E" w:rsidRDefault="009E676E" w:rsidP="009E676E">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3"/>
        <w:gridCol w:w="3024"/>
      </w:tblGrid>
      <w:tr w:rsidR="004644D4" w14:paraId="1A5FB821" w14:textId="77777777" w:rsidTr="00D34056">
        <w:tc>
          <w:tcPr>
            <w:tcW w:w="9287" w:type="dxa"/>
            <w:gridSpan w:val="3"/>
          </w:tcPr>
          <w:p w14:paraId="74527502" w14:textId="77777777" w:rsidR="004079DF" w:rsidRPr="00887835" w:rsidRDefault="00E453CD">
            <w:pPr>
              <w:keepNext/>
              <w:numPr>
                <w:ilvl w:val="12"/>
                <w:numId w:val="0"/>
              </w:numPr>
              <w:suppressAutoHyphens/>
              <w:ind w:right="-2"/>
              <w:rPr>
                <w:b/>
                <w:sz w:val="22"/>
                <w:szCs w:val="22"/>
              </w:rPr>
            </w:pPr>
            <w:r w:rsidRPr="007830E7">
              <w:rPr>
                <w:b/>
                <w:sz w:val="22"/>
                <w:szCs w:val="22"/>
              </w:rPr>
              <w:lastRenderedPageBreak/>
              <w:t>R</w:t>
            </w:r>
            <w:r w:rsidRPr="00887835">
              <w:rPr>
                <w:b/>
                <w:sz w:val="22"/>
                <w:szCs w:val="22"/>
              </w:rPr>
              <w:t>evmatoid artritt</w:t>
            </w:r>
          </w:p>
        </w:tc>
      </w:tr>
      <w:tr w:rsidR="004644D4" w14:paraId="30515FA0" w14:textId="77777777" w:rsidTr="00D34056">
        <w:tc>
          <w:tcPr>
            <w:tcW w:w="3095" w:type="dxa"/>
          </w:tcPr>
          <w:p w14:paraId="65277AC4" w14:textId="77777777" w:rsidR="004079DF" w:rsidRPr="007830E7" w:rsidRDefault="00E453CD" w:rsidP="00D34056">
            <w:pPr>
              <w:keepNext/>
              <w:numPr>
                <w:ilvl w:val="12"/>
                <w:numId w:val="0"/>
              </w:numPr>
              <w:suppressAutoHyphens/>
              <w:ind w:right="-2"/>
              <w:rPr>
                <w:sz w:val="22"/>
                <w:szCs w:val="22"/>
                <w:lang w:val="en-GB"/>
              </w:rPr>
            </w:pPr>
            <w:r w:rsidRPr="007830E7">
              <w:rPr>
                <w:b/>
                <w:sz w:val="22"/>
                <w:szCs w:val="22"/>
                <w:lang w:val="en-US"/>
              </w:rPr>
              <w:t>Alder eller kroppsvekt</w:t>
            </w:r>
          </w:p>
        </w:tc>
        <w:tc>
          <w:tcPr>
            <w:tcW w:w="3096" w:type="dxa"/>
          </w:tcPr>
          <w:p w14:paraId="369D948F" w14:textId="77777777" w:rsidR="004079DF" w:rsidRPr="00887835" w:rsidRDefault="00E453CD" w:rsidP="00D34056">
            <w:pPr>
              <w:keepNext/>
              <w:numPr>
                <w:ilvl w:val="12"/>
                <w:numId w:val="0"/>
              </w:numPr>
              <w:suppressAutoHyphens/>
              <w:ind w:right="-2"/>
              <w:rPr>
                <w:sz w:val="22"/>
                <w:szCs w:val="22"/>
              </w:rPr>
            </w:pPr>
            <w:r w:rsidRPr="00887835">
              <w:rPr>
                <w:b/>
                <w:sz w:val="22"/>
                <w:szCs w:val="22"/>
              </w:rPr>
              <w:t xml:space="preserve">Hvor mye og hvor ofte </w:t>
            </w:r>
            <w:r w:rsidRPr="007830E7">
              <w:rPr>
                <w:b/>
                <w:sz w:val="22"/>
                <w:szCs w:val="22"/>
              </w:rPr>
              <w:t xml:space="preserve">du </w:t>
            </w:r>
            <w:r w:rsidRPr="000B0B5B">
              <w:rPr>
                <w:b/>
                <w:sz w:val="22"/>
                <w:szCs w:val="22"/>
              </w:rPr>
              <w:t>skal ta</w:t>
            </w:r>
            <w:r w:rsidRPr="00887835">
              <w:rPr>
                <w:b/>
                <w:sz w:val="22"/>
                <w:szCs w:val="22"/>
              </w:rPr>
              <w:t>?</w:t>
            </w:r>
          </w:p>
        </w:tc>
        <w:tc>
          <w:tcPr>
            <w:tcW w:w="3096" w:type="dxa"/>
          </w:tcPr>
          <w:p w14:paraId="5659063E" w14:textId="77777777" w:rsidR="004079DF" w:rsidRPr="007830E7" w:rsidRDefault="00E453CD" w:rsidP="00D34056">
            <w:pPr>
              <w:keepNext/>
              <w:numPr>
                <w:ilvl w:val="12"/>
                <w:numId w:val="0"/>
              </w:numPr>
              <w:suppressAutoHyphens/>
              <w:ind w:right="-2"/>
              <w:rPr>
                <w:sz w:val="22"/>
                <w:szCs w:val="22"/>
                <w:lang w:val="en-GB"/>
              </w:rPr>
            </w:pPr>
            <w:r w:rsidRPr="007830E7">
              <w:rPr>
                <w:b/>
                <w:sz w:val="22"/>
                <w:szCs w:val="22"/>
                <w:lang w:val="en-US"/>
              </w:rPr>
              <w:t>Merknader</w:t>
            </w:r>
          </w:p>
        </w:tc>
      </w:tr>
      <w:tr w:rsidR="004644D4" w14:paraId="76597EAA" w14:textId="77777777" w:rsidTr="00D34056">
        <w:tc>
          <w:tcPr>
            <w:tcW w:w="3095" w:type="dxa"/>
          </w:tcPr>
          <w:p w14:paraId="3CCE5491" w14:textId="77777777" w:rsidR="004079DF" w:rsidRPr="00F341B0" w:rsidRDefault="00E453CD" w:rsidP="00D34056">
            <w:pPr>
              <w:keepNext/>
              <w:numPr>
                <w:ilvl w:val="12"/>
                <w:numId w:val="0"/>
              </w:numPr>
              <w:suppressAutoHyphens/>
              <w:ind w:right="-2"/>
              <w:rPr>
                <w:sz w:val="22"/>
                <w:szCs w:val="22"/>
                <w:lang w:val="en-GB"/>
              </w:rPr>
            </w:pPr>
            <w:r w:rsidRPr="001A1AC5">
              <w:rPr>
                <w:sz w:val="22"/>
                <w:szCs w:val="22"/>
                <w:lang w:val="en-US"/>
              </w:rPr>
              <w:t>Voksne</w:t>
            </w:r>
          </w:p>
        </w:tc>
        <w:tc>
          <w:tcPr>
            <w:tcW w:w="3096" w:type="dxa"/>
          </w:tcPr>
          <w:p w14:paraId="528F178A" w14:textId="77777777" w:rsidR="004079DF" w:rsidRPr="007830E7" w:rsidRDefault="00E453CD" w:rsidP="00D34056">
            <w:pPr>
              <w:keepNext/>
              <w:numPr>
                <w:ilvl w:val="12"/>
                <w:numId w:val="0"/>
              </w:numPr>
              <w:suppressAutoHyphens/>
              <w:ind w:right="-2"/>
              <w:rPr>
                <w:sz w:val="22"/>
                <w:szCs w:val="22"/>
                <w:lang w:val="en-GB"/>
              </w:rPr>
            </w:pPr>
            <w:r w:rsidRPr="002E73E5">
              <w:rPr>
                <w:sz w:val="22"/>
                <w:szCs w:val="22"/>
                <w:lang w:val="en-US"/>
              </w:rPr>
              <w:t>40</w:t>
            </w:r>
            <w:r w:rsidR="007C0306">
              <w:rPr>
                <w:sz w:val="22"/>
                <w:szCs w:val="22"/>
                <w:lang w:val="en-US"/>
              </w:rPr>
              <w:t> </w:t>
            </w:r>
            <w:r w:rsidRPr="002E73E5">
              <w:rPr>
                <w:sz w:val="22"/>
                <w:szCs w:val="22"/>
                <w:lang w:val="en-US"/>
              </w:rPr>
              <w:t xml:space="preserve">mg </w:t>
            </w:r>
            <w:r w:rsidRPr="007830E7">
              <w:rPr>
                <w:sz w:val="22"/>
                <w:szCs w:val="22"/>
              </w:rPr>
              <w:t>annenhver uke</w:t>
            </w:r>
          </w:p>
        </w:tc>
        <w:tc>
          <w:tcPr>
            <w:tcW w:w="3096" w:type="dxa"/>
          </w:tcPr>
          <w:p w14:paraId="5686F34E" w14:textId="77777777" w:rsidR="004079DF" w:rsidRDefault="00E453CD" w:rsidP="00D34056">
            <w:pPr>
              <w:keepNext/>
              <w:tabs>
                <w:tab w:val="left" w:pos="562"/>
              </w:tabs>
              <w:suppressAutoHyphens/>
              <w:rPr>
                <w:sz w:val="22"/>
                <w:szCs w:val="22"/>
              </w:rPr>
            </w:pPr>
            <w:r w:rsidRPr="00887835">
              <w:rPr>
                <w:sz w:val="22"/>
                <w:szCs w:val="22"/>
              </w:rPr>
              <w:t>Ved revmatoid artritt fortsetter behandlingen med metotreksat mens du bruker</w:t>
            </w:r>
            <w:r w:rsidRPr="007830E7">
              <w:rPr>
                <w:sz w:val="22"/>
                <w:szCs w:val="22"/>
              </w:rPr>
              <w:t xml:space="preserve"> Humira. Hvis legen din bestemmer</w:t>
            </w:r>
            <w:r w:rsidRPr="00887835">
              <w:rPr>
                <w:sz w:val="22"/>
                <w:szCs w:val="22"/>
              </w:rPr>
              <w:t xml:space="preserve"> at metotreksat ikke er egnet, kan Humira gis alene.</w:t>
            </w:r>
          </w:p>
          <w:p w14:paraId="1230DFF0" w14:textId="77777777" w:rsidR="004079DF" w:rsidRPr="00887835" w:rsidRDefault="004079DF" w:rsidP="00D34056">
            <w:pPr>
              <w:keepNext/>
              <w:tabs>
                <w:tab w:val="left" w:pos="562"/>
              </w:tabs>
              <w:suppressAutoHyphens/>
              <w:rPr>
                <w:sz w:val="22"/>
                <w:szCs w:val="22"/>
              </w:rPr>
            </w:pPr>
          </w:p>
          <w:p w14:paraId="780BC38A" w14:textId="77777777" w:rsidR="004079DF" w:rsidRPr="00887835" w:rsidRDefault="00E453CD" w:rsidP="00D34056">
            <w:pPr>
              <w:keepNext/>
              <w:numPr>
                <w:ilvl w:val="12"/>
                <w:numId w:val="0"/>
              </w:numPr>
              <w:suppressAutoHyphens/>
              <w:ind w:right="-2"/>
              <w:rPr>
                <w:sz w:val="22"/>
                <w:szCs w:val="22"/>
              </w:rPr>
            </w:pPr>
            <w:r w:rsidRPr="00887835">
              <w:rPr>
                <w:sz w:val="22"/>
                <w:szCs w:val="22"/>
              </w:rPr>
              <w:t>Hvis du har revmatoid artritt og ikke får behandling med metotreksat mens du behandles med Humira, kan legen din bestemme å gi deg 40</w:t>
            </w:r>
            <w:r w:rsidR="007C0306">
              <w:rPr>
                <w:sz w:val="22"/>
                <w:szCs w:val="22"/>
              </w:rPr>
              <w:t> </w:t>
            </w:r>
            <w:r w:rsidRPr="00887835">
              <w:rPr>
                <w:sz w:val="22"/>
                <w:szCs w:val="22"/>
              </w:rPr>
              <w:t xml:space="preserve">mg </w:t>
            </w:r>
            <w:r>
              <w:rPr>
                <w:sz w:val="22"/>
                <w:szCs w:val="22"/>
              </w:rPr>
              <w:t>Humira</w:t>
            </w:r>
            <w:r w:rsidRPr="00887835">
              <w:rPr>
                <w:sz w:val="22"/>
                <w:szCs w:val="22"/>
              </w:rPr>
              <w:t xml:space="preserve"> hver uke</w:t>
            </w:r>
            <w:r>
              <w:rPr>
                <w:sz w:val="22"/>
                <w:szCs w:val="22"/>
              </w:rPr>
              <w:t xml:space="preserve"> eller 80</w:t>
            </w:r>
            <w:r w:rsidR="007C0306">
              <w:rPr>
                <w:sz w:val="22"/>
                <w:szCs w:val="22"/>
              </w:rPr>
              <w:t> </w:t>
            </w:r>
            <w:r>
              <w:rPr>
                <w:sz w:val="22"/>
                <w:szCs w:val="22"/>
              </w:rPr>
              <w:t>mg annenhver uke</w:t>
            </w:r>
            <w:r w:rsidRPr="00887835">
              <w:rPr>
                <w:sz w:val="22"/>
                <w:szCs w:val="22"/>
              </w:rPr>
              <w:t xml:space="preserve">. </w:t>
            </w:r>
          </w:p>
        </w:tc>
      </w:tr>
    </w:tbl>
    <w:p w14:paraId="625D3192" w14:textId="77777777" w:rsidR="004079DF" w:rsidRPr="009C5EFD" w:rsidRDefault="004079DF" w:rsidP="009E676E">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4"/>
        <w:gridCol w:w="3023"/>
      </w:tblGrid>
      <w:tr w:rsidR="004644D4" w14:paraId="3B01D7E3" w14:textId="77777777" w:rsidTr="00FD5FF1">
        <w:tc>
          <w:tcPr>
            <w:tcW w:w="9281" w:type="dxa"/>
            <w:gridSpan w:val="3"/>
          </w:tcPr>
          <w:p w14:paraId="2C43AAF2" w14:textId="77777777" w:rsidR="009E676E" w:rsidRPr="00887835" w:rsidRDefault="00E453CD" w:rsidP="00FD5FF1">
            <w:pPr>
              <w:keepNext/>
              <w:numPr>
                <w:ilvl w:val="12"/>
                <w:numId w:val="0"/>
              </w:numPr>
              <w:ind w:right="-2"/>
              <w:rPr>
                <w:sz w:val="22"/>
                <w:szCs w:val="22"/>
                <w:lang w:val="en-GB"/>
              </w:rPr>
            </w:pPr>
            <w:r w:rsidRPr="002D5213">
              <w:rPr>
                <w:b/>
                <w:sz w:val="22"/>
                <w:szCs w:val="22"/>
                <w:lang w:val="en-GB"/>
              </w:rPr>
              <w:t>Pl</w:t>
            </w:r>
            <w:r>
              <w:rPr>
                <w:b/>
                <w:sz w:val="22"/>
                <w:szCs w:val="22"/>
                <w:lang w:val="en-GB"/>
              </w:rPr>
              <w:t>akk</w:t>
            </w:r>
            <w:r w:rsidRPr="00887835">
              <w:rPr>
                <w:b/>
                <w:sz w:val="22"/>
                <w:szCs w:val="22"/>
                <w:lang w:val="en-GB"/>
              </w:rPr>
              <w:t>psoriasis</w:t>
            </w:r>
          </w:p>
        </w:tc>
      </w:tr>
      <w:tr w:rsidR="004644D4" w14:paraId="468A4C85" w14:textId="77777777" w:rsidTr="00FD5FF1">
        <w:tc>
          <w:tcPr>
            <w:tcW w:w="3093" w:type="dxa"/>
          </w:tcPr>
          <w:p w14:paraId="50C3EE5D" w14:textId="77777777" w:rsidR="009E676E" w:rsidRPr="00887835" w:rsidRDefault="00E453CD" w:rsidP="00FD5FF1">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079C49E5" w14:textId="77777777" w:rsidR="009E676E" w:rsidRPr="00887835" w:rsidRDefault="00E453CD" w:rsidP="00FD5FF1">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11CB7D15" w14:textId="77777777" w:rsidR="009E676E" w:rsidRPr="00887835" w:rsidRDefault="00E453CD" w:rsidP="00FD5FF1">
            <w:pPr>
              <w:keepNext/>
              <w:numPr>
                <w:ilvl w:val="12"/>
                <w:numId w:val="0"/>
              </w:numPr>
              <w:ind w:right="-2"/>
              <w:rPr>
                <w:sz w:val="22"/>
                <w:szCs w:val="22"/>
                <w:lang w:val="en-GB"/>
              </w:rPr>
            </w:pPr>
            <w:r w:rsidRPr="007830E7">
              <w:rPr>
                <w:b/>
                <w:sz w:val="22"/>
                <w:szCs w:val="22"/>
                <w:lang w:val="en-US"/>
              </w:rPr>
              <w:t>Merknader</w:t>
            </w:r>
          </w:p>
        </w:tc>
      </w:tr>
      <w:tr w:rsidR="004644D4" w14:paraId="4CC74FFF" w14:textId="77777777" w:rsidTr="00FD5FF1">
        <w:tc>
          <w:tcPr>
            <w:tcW w:w="3093" w:type="dxa"/>
          </w:tcPr>
          <w:p w14:paraId="42A66581" w14:textId="77777777" w:rsidR="009E676E" w:rsidRPr="00887835" w:rsidRDefault="00E453CD" w:rsidP="00FD5FF1">
            <w:pPr>
              <w:keepNext/>
              <w:numPr>
                <w:ilvl w:val="12"/>
                <w:numId w:val="0"/>
              </w:numPr>
              <w:ind w:right="-2"/>
              <w:rPr>
                <w:sz w:val="22"/>
                <w:szCs w:val="22"/>
              </w:rPr>
            </w:pPr>
            <w:r>
              <w:rPr>
                <w:sz w:val="22"/>
                <w:szCs w:val="22"/>
              </w:rPr>
              <w:t>Voksne</w:t>
            </w:r>
          </w:p>
          <w:p w14:paraId="0490E1E1" w14:textId="77777777" w:rsidR="009E676E" w:rsidRPr="00887835" w:rsidRDefault="009E676E" w:rsidP="00FD5FF1">
            <w:pPr>
              <w:keepNext/>
              <w:numPr>
                <w:ilvl w:val="12"/>
                <w:numId w:val="0"/>
              </w:numPr>
              <w:ind w:right="-2"/>
              <w:rPr>
                <w:sz w:val="22"/>
                <w:szCs w:val="22"/>
                <w:lang w:val="en-GB"/>
              </w:rPr>
            </w:pPr>
          </w:p>
        </w:tc>
        <w:tc>
          <w:tcPr>
            <w:tcW w:w="3094" w:type="dxa"/>
          </w:tcPr>
          <w:p w14:paraId="45362A50" w14:textId="77777777" w:rsidR="009E676E" w:rsidRPr="00887835" w:rsidRDefault="00E453CD" w:rsidP="00E14ED0">
            <w:pPr>
              <w:keepNext/>
              <w:numPr>
                <w:ilvl w:val="12"/>
                <w:numId w:val="0"/>
              </w:numPr>
              <w:ind w:right="-2"/>
              <w:rPr>
                <w:sz w:val="22"/>
                <w:szCs w:val="22"/>
              </w:rPr>
            </w:pPr>
            <w:r w:rsidRPr="00887835">
              <w:rPr>
                <w:sz w:val="22"/>
                <w:szCs w:val="22"/>
              </w:rPr>
              <w:t>Første dose på 80 mg (</w:t>
            </w:r>
            <w:r w:rsidR="00E14ED0">
              <w:rPr>
                <w:sz w:val="22"/>
                <w:szCs w:val="22"/>
              </w:rPr>
              <w:t>en</w:t>
            </w:r>
            <w:r w:rsidRPr="00887835">
              <w:rPr>
                <w:sz w:val="22"/>
                <w:szCs w:val="22"/>
              </w:rPr>
              <w:t xml:space="preserve"> </w:t>
            </w:r>
            <w:r w:rsidR="00E14ED0">
              <w:rPr>
                <w:sz w:val="22"/>
                <w:szCs w:val="22"/>
              </w:rPr>
              <w:t>8</w:t>
            </w:r>
            <w:r w:rsidRPr="00887835">
              <w:rPr>
                <w:sz w:val="22"/>
                <w:szCs w:val="22"/>
              </w:rPr>
              <w:t xml:space="preserve">0 mg injeksjon), etterfulgt av 40 mg annenhver uke </w:t>
            </w:r>
            <w:r w:rsidRPr="00062568">
              <w:rPr>
                <w:sz w:val="22"/>
                <w:szCs w:val="22"/>
              </w:rPr>
              <w:t>som starter en uke etter den første dosen</w:t>
            </w:r>
            <w:r w:rsidRPr="00887835">
              <w:rPr>
                <w:sz w:val="22"/>
                <w:szCs w:val="22"/>
              </w:rPr>
              <w:t>.</w:t>
            </w:r>
          </w:p>
        </w:tc>
        <w:tc>
          <w:tcPr>
            <w:tcW w:w="3094" w:type="dxa"/>
          </w:tcPr>
          <w:p w14:paraId="4A021408" w14:textId="77777777" w:rsidR="009E676E" w:rsidRPr="00887835" w:rsidRDefault="00E453CD" w:rsidP="00FD5FF1">
            <w:pPr>
              <w:keepNext/>
              <w:spacing w:before="100" w:beforeAutospacing="1" w:after="100" w:afterAutospacing="1"/>
              <w:rPr>
                <w:sz w:val="22"/>
                <w:szCs w:val="22"/>
              </w:rPr>
            </w:pPr>
            <w:r>
              <w:rPr>
                <w:sz w:val="22"/>
                <w:szCs w:val="22"/>
              </w:rPr>
              <w:t>Dersom du har en utilstrekkelig respons kan l</w:t>
            </w:r>
            <w:r w:rsidRPr="00887835">
              <w:rPr>
                <w:sz w:val="22"/>
                <w:szCs w:val="22"/>
              </w:rPr>
              <w:t>egen din øke dosering</w:t>
            </w:r>
            <w:r w:rsidR="004079DF">
              <w:rPr>
                <w:sz w:val="22"/>
                <w:szCs w:val="22"/>
              </w:rPr>
              <w:t>en</w:t>
            </w:r>
            <w:r w:rsidRPr="00887835">
              <w:rPr>
                <w:sz w:val="22"/>
                <w:szCs w:val="22"/>
              </w:rPr>
              <w:t xml:space="preserve"> til 40</w:t>
            </w:r>
            <w:r w:rsidR="007C0306">
              <w:rPr>
                <w:sz w:val="22"/>
                <w:szCs w:val="22"/>
              </w:rPr>
              <w:t> </w:t>
            </w:r>
            <w:r w:rsidRPr="00887835">
              <w:rPr>
                <w:sz w:val="22"/>
                <w:szCs w:val="22"/>
              </w:rPr>
              <w:t xml:space="preserve">mg </w:t>
            </w:r>
            <w:r>
              <w:rPr>
                <w:sz w:val="22"/>
                <w:szCs w:val="22"/>
              </w:rPr>
              <w:t>hver uke</w:t>
            </w:r>
            <w:r w:rsidR="004079DF">
              <w:rPr>
                <w:sz w:val="22"/>
                <w:szCs w:val="22"/>
              </w:rPr>
              <w:t xml:space="preserve"> eller 80</w:t>
            </w:r>
            <w:r w:rsidR="007C0306">
              <w:rPr>
                <w:sz w:val="22"/>
                <w:szCs w:val="22"/>
              </w:rPr>
              <w:t> </w:t>
            </w:r>
            <w:r w:rsidR="004079DF">
              <w:rPr>
                <w:sz w:val="22"/>
                <w:szCs w:val="22"/>
              </w:rPr>
              <w:t>mg annenhver uke</w:t>
            </w:r>
            <w:r w:rsidRPr="00887835">
              <w:rPr>
                <w:sz w:val="22"/>
                <w:szCs w:val="22"/>
              </w:rPr>
              <w:t>.</w:t>
            </w:r>
          </w:p>
        </w:tc>
      </w:tr>
    </w:tbl>
    <w:p w14:paraId="1554C25B" w14:textId="77777777" w:rsidR="009E676E" w:rsidRPr="009C5EFD" w:rsidRDefault="009E676E" w:rsidP="009E676E">
      <w:pPr>
        <w:keepNext/>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5"/>
        <w:gridCol w:w="3023"/>
      </w:tblGrid>
      <w:tr w:rsidR="004644D4" w14:paraId="6D98E54D" w14:textId="77777777" w:rsidTr="00FD5FF1">
        <w:tc>
          <w:tcPr>
            <w:tcW w:w="9281" w:type="dxa"/>
            <w:gridSpan w:val="3"/>
          </w:tcPr>
          <w:p w14:paraId="6FB0D2EE" w14:textId="77777777" w:rsidR="009E676E" w:rsidRPr="00887835" w:rsidRDefault="00E453CD" w:rsidP="00FD5FF1">
            <w:pPr>
              <w:numPr>
                <w:ilvl w:val="12"/>
                <w:numId w:val="0"/>
              </w:numPr>
              <w:ind w:right="-2"/>
              <w:rPr>
                <w:b/>
                <w:sz w:val="22"/>
                <w:szCs w:val="22"/>
                <w:lang w:val="en-GB"/>
              </w:rPr>
            </w:pPr>
            <w:r>
              <w:rPr>
                <w:b/>
                <w:sz w:val="22"/>
                <w:szCs w:val="22"/>
              </w:rPr>
              <w:t>H</w:t>
            </w:r>
            <w:r w:rsidRPr="00062568">
              <w:rPr>
                <w:b/>
                <w:sz w:val="22"/>
                <w:szCs w:val="22"/>
              </w:rPr>
              <w:t>idrosadenitt</w:t>
            </w:r>
          </w:p>
        </w:tc>
      </w:tr>
      <w:tr w:rsidR="004644D4" w14:paraId="24F70724" w14:textId="77777777" w:rsidTr="00FD5FF1">
        <w:tc>
          <w:tcPr>
            <w:tcW w:w="3093" w:type="dxa"/>
          </w:tcPr>
          <w:p w14:paraId="1DA1AA18" w14:textId="77777777" w:rsidR="009E676E" w:rsidRPr="00887835" w:rsidRDefault="00E453CD" w:rsidP="00FD5FF1">
            <w:pPr>
              <w:numPr>
                <w:ilvl w:val="12"/>
                <w:numId w:val="0"/>
              </w:numPr>
              <w:ind w:right="-2"/>
              <w:rPr>
                <w:sz w:val="22"/>
                <w:szCs w:val="22"/>
                <w:lang w:val="en-GB"/>
              </w:rPr>
            </w:pPr>
            <w:r w:rsidRPr="007830E7">
              <w:rPr>
                <w:b/>
                <w:sz w:val="22"/>
                <w:szCs w:val="22"/>
                <w:lang w:val="en-US"/>
              </w:rPr>
              <w:t>Alder eller kroppsvekt</w:t>
            </w:r>
          </w:p>
        </w:tc>
        <w:tc>
          <w:tcPr>
            <w:tcW w:w="3094" w:type="dxa"/>
          </w:tcPr>
          <w:p w14:paraId="5E071C94" w14:textId="77777777" w:rsidR="009E676E" w:rsidRPr="00887835" w:rsidRDefault="00E453CD" w:rsidP="00FD5FF1">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51E04D01" w14:textId="77777777" w:rsidR="009E676E" w:rsidRPr="00887835" w:rsidRDefault="00E453CD" w:rsidP="00FD5FF1">
            <w:pPr>
              <w:numPr>
                <w:ilvl w:val="12"/>
                <w:numId w:val="0"/>
              </w:numPr>
              <w:ind w:right="-2"/>
              <w:rPr>
                <w:sz w:val="22"/>
                <w:szCs w:val="22"/>
                <w:lang w:val="en-GB"/>
              </w:rPr>
            </w:pPr>
            <w:r w:rsidRPr="007830E7">
              <w:rPr>
                <w:b/>
                <w:sz w:val="22"/>
                <w:szCs w:val="22"/>
                <w:lang w:val="en-US"/>
              </w:rPr>
              <w:t>Merknader</w:t>
            </w:r>
          </w:p>
        </w:tc>
      </w:tr>
      <w:tr w:rsidR="004644D4" w14:paraId="24A776BF" w14:textId="77777777" w:rsidTr="00FD5FF1">
        <w:tc>
          <w:tcPr>
            <w:tcW w:w="3093" w:type="dxa"/>
          </w:tcPr>
          <w:p w14:paraId="33D9B982" w14:textId="77777777" w:rsidR="009E676E" w:rsidRPr="00887835" w:rsidRDefault="00E453CD" w:rsidP="00FD5FF1">
            <w:pPr>
              <w:numPr>
                <w:ilvl w:val="12"/>
                <w:numId w:val="0"/>
              </w:numPr>
              <w:ind w:right="-2"/>
              <w:rPr>
                <w:sz w:val="22"/>
                <w:szCs w:val="22"/>
                <w:lang w:val="en-GB"/>
              </w:rPr>
            </w:pPr>
            <w:r>
              <w:rPr>
                <w:sz w:val="22"/>
                <w:szCs w:val="22"/>
                <w:lang w:val="en-GB"/>
              </w:rPr>
              <w:t>Voksne</w:t>
            </w:r>
          </w:p>
        </w:tc>
        <w:tc>
          <w:tcPr>
            <w:tcW w:w="3094" w:type="dxa"/>
          </w:tcPr>
          <w:p w14:paraId="42AE8A5E" w14:textId="77777777" w:rsidR="009E676E" w:rsidRPr="00887835" w:rsidRDefault="00E453CD">
            <w:pPr>
              <w:numPr>
                <w:ilvl w:val="12"/>
                <w:numId w:val="0"/>
              </w:numPr>
              <w:ind w:right="-2"/>
              <w:rPr>
                <w:sz w:val="22"/>
                <w:szCs w:val="22"/>
              </w:rPr>
            </w:pPr>
            <w:r w:rsidRPr="00887835">
              <w:rPr>
                <w:sz w:val="22"/>
                <w:szCs w:val="22"/>
              </w:rPr>
              <w:t>Første dose på 160 mg (</w:t>
            </w:r>
            <w:r w:rsidR="00134A77">
              <w:rPr>
                <w:sz w:val="22"/>
                <w:szCs w:val="22"/>
              </w:rPr>
              <w:t>to</w:t>
            </w:r>
            <w:r w:rsidRPr="00887835">
              <w:rPr>
                <w:sz w:val="22"/>
                <w:szCs w:val="22"/>
              </w:rPr>
              <w:t xml:space="preserve"> </w:t>
            </w:r>
            <w:r w:rsidR="00134A77">
              <w:rPr>
                <w:sz w:val="22"/>
                <w:szCs w:val="22"/>
              </w:rPr>
              <w:t>8</w:t>
            </w:r>
            <w:r w:rsidRPr="00887835">
              <w:rPr>
                <w:sz w:val="22"/>
                <w:szCs w:val="22"/>
              </w:rPr>
              <w:t>0</w:t>
            </w:r>
            <w:r w:rsidR="007C0306">
              <w:rPr>
                <w:sz w:val="22"/>
                <w:szCs w:val="22"/>
              </w:rPr>
              <w:t> </w:t>
            </w:r>
            <w:r w:rsidRPr="00887835">
              <w:rPr>
                <w:sz w:val="22"/>
                <w:szCs w:val="22"/>
              </w:rPr>
              <w:t xml:space="preserve">mg </w:t>
            </w:r>
            <w:r w:rsidRPr="00062568">
              <w:rPr>
                <w:sz w:val="22"/>
                <w:szCs w:val="22"/>
              </w:rPr>
              <w:t>injeksjoner på én dag</w:t>
            </w:r>
            <w:r w:rsidRPr="00887835">
              <w:rPr>
                <w:sz w:val="22"/>
                <w:szCs w:val="22"/>
              </w:rPr>
              <w:t xml:space="preserve"> eller </w:t>
            </w:r>
            <w:r w:rsidR="00134A77">
              <w:rPr>
                <w:sz w:val="22"/>
                <w:szCs w:val="22"/>
              </w:rPr>
              <w:t>en</w:t>
            </w:r>
            <w:r w:rsidRPr="00887835">
              <w:rPr>
                <w:sz w:val="22"/>
                <w:szCs w:val="22"/>
              </w:rPr>
              <w:t xml:space="preserve"> </w:t>
            </w:r>
            <w:r w:rsidR="00134A77">
              <w:rPr>
                <w:sz w:val="22"/>
                <w:szCs w:val="22"/>
              </w:rPr>
              <w:t>8</w:t>
            </w:r>
            <w:r w:rsidRPr="00887835">
              <w:rPr>
                <w:sz w:val="22"/>
                <w:szCs w:val="22"/>
              </w:rPr>
              <w:t>0</w:t>
            </w:r>
            <w:r w:rsidR="007C0306">
              <w:rPr>
                <w:sz w:val="22"/>
                <w:szCs w:val="22"/>
              </w:rPr>
              <w:t> </w:t>
            </w:r>
            <w:r w:rsidRPr="00887835">
              <w:rPr>
                <w:sz w:val="22"/>
                <w:szCs w:val="22"/>
              </w:rPr>
              <w:t xml:space="preserve">mg injeksjon daglig </w:t>
            </w:r>
            <w:r w:rsidR="00953ADC">
              <w:rPr>
                <w:sz w:val="22"/>
                <w:szCs w:val="22"/>
              </w:rPr>
              <w:t>i</w:t>
            </w:r>
            <w:r w:rsidRPr="00887835">
              <w:rPr>
                <w:sz w:val="22"/>
                <w:szCs w:val="22"/>
              </w:rPr>
              <w:t xml:space="preserve"> to påfølgende dager), </w:t>
            </w:r>
            <w:r>
              <w:rPr>
                <w:sz w:val="22"/>
                <w:szCs w:val="22"/>
              </w:rPr>
              <w:t>etterfulgt av en</w:t>
            </w:r>
            <w:r w:rsidRPr="00887835">
              <w:rPr>
                <w:sz w:val="22"/>
                <w:szCs w:val="22"/>
              </w:rPr>
              <w:t xml:space="preserve"> 80 mg dose (</w:t>
            </w:r>
            <w:r w:rsidR="00134A77">
              <w:rPr>
                <w:sz w:val="22"/>
                <w:szCs w:val="22"/>
              </w:rPr>
              <w:t>en</w:t>
            </w:r>
            <w:r w:rsidRPr="004C7F6D">
              <w:rPr>
                <w:sz w:val="22"/>
                <w:szCs w:val="22"/>
              </w:rPr>
              <w:t xml:space="preserve"> </w:t>
            </w:r>
            <w:r w:rsidR="00134A77">
              <w:rPr>
                <w:sz w:val="22"/>
                <w:szCs w:val="22"/>
              </w:rPr>
              <w:t>80</w:t>
            </w:r>
            <w:r w:rsidR="007C0306">
              <w:rPr>
                <w:sz w:val="22"/>
                <w:szCs w:val="22"/>
              </w:rPr>
              <w:t> </w:t>
            </w:r>
            <w:r w:rsidR="00134A77">
              <w:rPr>
                <w:sz w:val="22"/>
                <w:szCs w:val="22"/>
              </w:rPr>
              <w:t>mg injeksjon</w:t>
            </w:r>
            <w:r w:rsidRPr="00887835">
              <w:rPr>
                <w:sz w:val="22"/>
                <w:szCs w:val="22"/>
              </w:rPr>
              <w:t xml:space="preserve">) </w:t>
            </w:r>
            <w:r>
              <w:rPr>
                <w:sz w:val="22"/>
                <w:szCs w:val="22"/>
              </w:rPr>
              <w:t>to uker senere</w:t>
            </w:r>
            <w:r w:rsidRPr="00887835">
              <w:rPr>
                <w:sz w:val="22"/>
                <w:szCs w:val="22"/>
              </w:rPr>
              <w:t>. Etter</w:t>
            </w:r>
            <w:r w:rsidRPr="00861F89">
              <w:rPr>
                <w:sz w:val="22"/>
                <w:szCs w:val="22"/>
              </w:rPr>
              <w:t xml:space="preserve"> ytterligere to uker, fortsette</w:t>
            </w:r>
            <w:r>
              <w:rPr>
                <w:sz w:val="22"/>
                <w:szCs w:val="22"/>
              </w:rPr>
              <w:t>r du</w:t>
            </w:r>
            <w:r w:rsidRPr="00887835">
              <w:rPr>
                <w:sz w:val="22"/>
                <w:szCs w:val="22"/>
              </w:rPr>
              <w:t xml:space="preserve"> med en dose på 40</w:t>
            </w:r>
            <w:r w:rsidR="007C0306">
              <w:rPr>
                <w:sz w:val="22"/>
                <w:szCs w:val="22"/>
              </w:rPr>
              <w:t> </w:t>
            </w:r>
            <w:r w:rsidRPr="00887835">
              <w:rPr>
                <w:sz w:val="22"/>
                <w:szCs w:val="22"/>
              </w:rPr>
              <w:t>mg hver uke</w:t>
            </w:r>
            <w:r w:rsidR="004079DF">
              <w:rPr>
                <w:sz w:val="22"/>
                <w:szCs w:val="22"/>
              </w:rPr>
              <w:t xml:space="preserve"> eller 80</w:t>
            </w:r>
            <w:r w:rsidR="007C0306">
              <w:rPr>
                <w:sz w:val="22"/>
                <w:szCs w:val="22"/>
              </w:rPr>
              <w:t> </w:t>
            </w:r>
            <w:r w:rsidR="004079DF">
              <w:rPr>
                <w:sz w:val="22"/>
                <w:szCs w:val="22"/>
              </w:rPr>
              <w:t>mg annenhver uke, som forskrevet av legen din</w:t>
            </w:r>
            <w:r w:rsidRPr="00887835">
              <w:rPr>
                <w:sz w:val="22"/>
                <w:szCs w:val="22"/>
              </w:rPr>
              <w:t xml:space="preserve">. </w:t>
            </w:r>
          </w:p>
        </w:tc>
        <w:tc>
          <w:tcPr>
            <w:tcW w:w="3094" w:type="dxa"/>
          </w:tcPr>
          <w:p w14:paraId="3CFEFF55" w14:textId="77777777" w:rsidR="009E676E" w:rsidRPr="00887835" w:rsidRDefault="00E453CD" w:rsidP="00FD5FF1">
            <w:pPr>
              <w:pStyle w:val="gtcbodytext"/>
              <w:spacing w:before="100" w:beforeAutospacing="1" w:after="100" w:afterAutospacing="1" w:line="240" w:lineRule="auto"/>
              <w:rPr>
                <w:sz w:val="22"/>
                <w:szCs w:val="22"/>
                <w:lang w:val="nb-NO"/>
              </w:rPr>
            </w:pPr>
            <w:r w:rsidRPr="00887835">
              <w:rPr>
                <w:sz w:val="22"/>
                <w:szCs w:val="22"/>
                <w:lang w:val="nb-NO"/>
              </w:rPr>
              <w:t>Det anbefales at du bruker en antiseptisk vask daglig på de berørte områdene.</w:t>
            </w:r>
          </w:p>
          <w:p w14:paraId="1D9628C9" w14:textId="77777777" w:rsidR="009E676E" w:rsidRPr="00887835" w:rsidRDefault="009E676E" w:rsidP="00FD5FF1">
            <w:pPr>
              <w:numPr>
                <w:ilvl w:val="12"/>
                <w:numId w:val="0"/>
              </w:numPr>
              <w:ind w:right="-2"/>
              <w:rPr>
                <w:sz w:val="22"/>
                <w:szCs w:val="22"/>
              </w:rPr>
            </w:pPr>
          </w:p>
        </w:tc>
      </w:tr>
      <w:tr w:rsidR="004644D4" w14:paraId="212D72D6" w14:textId="77777777" w:rsidTr="00FD5FF1">
        <w:tc>
          <w:tcPr>
            <w:tcW w:w="3093" w:type="dxa"/>
          </w:tcPr>
          <w:p w14:paraId="47833B0D" w14:textId="77777777" w:rsidR="009E676E" w:rsidRPr="00DA6326" w:rsidRDefault="00E453CD" w:rsidP="00802544">
            <w:pPr>
              <w:keepNext/>
              <w:numPr>
                <w:ilvl w:val="12"/>
                <w:numId w:val="0"/>
              </w:numPr>
              <w:ind w:right="-2"/>
              <w:rPr>
                <w:sz w:val="22"/>
                <w:szCs w:val="22"/>
              </w:rPr>
            </w:pPr>
            <w:r w:rsidRPr="00F635CA">
              <w:rPr>
                <w:sz w:val="22"/>
                <w:szCs w:val="22"/>
              </w:rPr>
              <w:t xml:space="preserve">Ungdom fra 12 </w:t>
            </w:r>
            <w:r w:rsidR="00D33F44">
              <w:rPr>
                <w:sz w:val="22"/>
                <w:szCs w:val="22"/>
              </w:rPr>
              <w:t xml:space="preserve">til 17 </w:t>
            </w:r>
            <w:r w:rsidRPr="00F635CA">
              <w:rPr>
                <w:sz w:val="22"/>
                <w:szCs w:val="22"/>
              </w:rPr>
              <w:t>år</w:t>
            </w:r>
            <w:r w:rsidR="00D33F44">
              <w:rPr>
                <w:sz w:val="22"/>
                <w:szCs w:val="22"/>
              </w:rPr>
              <w:t xml:space="preserve"> som veier </w:t>
            </w:r>
            <w:r w:rsidRPr="00F635CA">
              <w:rPr>
                <w:sz w:val="22"/>
                <w:szCs w:val="22"/>
              </w:rPr>
              <w:t>30 kg</w:t>
            </w:r>
            <w:r w:rsidR="00D33F44">
              <w:rPr>
                <w:sz w:val="22"/>
                <w:szCs w:val="22"/>
              </w:rPr>
              <w:t xml:space="preserve"> eller mer</w:t>
            </w:r>
          </w:p>
        </w:tc>
        <w:tc>
          <w:tcPr>
            <w:tcW w:w="3094" w:type="dxa"/>
          </w:tcPr>
          <w:p w14:paraId="107D4E5F" w14:textId="77777777" w:rsidR="009E676E" w:rsidRPr="00F635CA" w:rsidRDefault="00E453CD" w:rsidP="00802544">
            <w:pPr>
              <w:keepNext/>
              <w:numPr>
                <w:ilvl w:val="12"/>
                <w:numId w:val="0"/>
              </w:numPr>
              <w:ind w:right="-2"/>
              <w:rPr>
                <w:sz w:val="22"/>
                <w:szCs w:val="22"/>
              </w:rPr>
            </w:pPr>
            <w:r>
              <w:rPr>
                <w:sz w:val="22"/>
                <w:szCs w:val="22"/>
              </w:rPr>
              <w:t>Første</w:t>
            </w:r>
            <w:r w:rsidRPr="00F635CA">
              <w:rPr>
                <w:sz w:val="22"/>
                <w:szCs w:val="22"/>
              </w:rPr>
              <w:t xml:space="preserve"> dose på 80 mg (</w:t>
            </w:r>
            <w:r w:rsidR="00134A77">
              <w:rPr>
                <w:sz w:val="22"/>
                <w:szCs w:val="22"/>
              </w:rPr>
              <w:t>en</w:t>
            </w:r>
            <w:r w:rsidRPr="00F635CA">
              <w:rPr>
                <w:sz w:val="22"/>
                <w:szCs w:val="22"/>
              </w:rPr>
              <w:t xml:space="preserve"> </w:t>
            </w:r>
            <w:r w:rsidR="00134A77">
              <w:rPr>
                <w:sz w:val="22"/>
                <w:szCs w:val="22"/>
              </w:rPr>
              <w:t>80 mg injeksjon</w:t>
            </w:r>
            <w:r w:rsidRPr="00F635CA">
              <w:rPr>
                <w:sz w:val="22"/>
                <w:szCs w:val="22"/>
              </w:rPr>
              <w:t xml:space="preserve">), etterfulgt av 40 mg annenhver uke fra en uke senere. </w:t>
            </w:r>
          </w:p>
          <w:p w14:paraId="32345486" w14:textId="77777777" w:rsidR="009E676E" w:rsidRPr="00F635CA" w:rsidRDefault="009E676E" w:rsidP="00802544">
            <w:pPr>
              <w:keepNext/>
              <w:numPr>
                <w:ilvl w:val="12"/>
                <w:numId w:val="0"/>
              </w:numPr>
              <w:ind w:right="-2"/>
              <w:rPr>
                <w:sz w:val="22"/>
                <w:szCs w:val="22"/>
              </w:rPr>
            </w:pPr>
          </w:p>
          <w:p w14:paraId="1C9B737F" w14:textId="77777777" w:rsidR="009E676E" w:rsidRPr="00887835" w:rsidRDefault="009E676E" w:rsidP="00802544">
            <w:pPr>
              <w:keepNext/>
              <w:numPr>
                <w:ilvl w:val="12"/>
                <w:numId w:val="0"/>
              </w:numPr>
              <w:ind w:right="-2"/>
              <w:rPr>
                <w:sz w:val="22"/>
                <w:szCs w:val="22"/>
              </w:rPr>
            </w:pPr>
          </w:p>
        </w:tc>
        <w:tc>
          <w:tcPr>
            <w:tcW w:w="3094" w:type="dxa"/>
          </w:tcPr>
          <w:p w14:paraId="12AA884F" w14:textId="77777777" w:rsidR="00134A77" w:rsidRDefault="00E453CD" w:rsidP="00802544">
            <w:pPr>
              <w:pStyle w:val="gtcbodytext"/>
              <w:keepNext/>
              <w:spacing w:before="100" w:beforeAutospacing="1" w:after="100" w:afterAutospacing="1" w:line="240" w:lineRule="auto"/>
              <w:rPr>
                <w:sz w:val="22"/>
                <w:szCs w:val="22"/>
                <w:lang w:val="nb-NO"/>
              </w:rPr>
            </w:pPr>
            <w:r w:rsidRPr="00DA6326">
              <w:rPr>
                <w:sz w:val="22"/>
                <w:szCs w:val="22"/>
                <w:lang w:val="nb-NO"/>
              </w:rPr>
              <w:t>Legen din kan øke dosering</w:t>
            </w:r>
            <w:r w:rsidR="004079DF">
              <w:rPr>
                <w:sz w:val="22"/>
                <w:szCs w:val="22"/>
                <w:lang w:val="nb-NO"/>
              </w:rPr>
              <w:t>en</w:t>
            </w:r>
            <w:r w:rsidRPr="00DA6326">
              <w:rPr>
                <w:sz w:val="22"/>
                <w:szCs w:val="22"/>
                <w:lang w:val="nb-NO"/>
              </w:rPr>
              <w:t xml:space="preserve"> til 40</w:t>
            </w:r>
            <w:r w:rsidR="007C0306">
              <w:rPr>
                <w:sz w:val="22"/>
                <w:szCs w:val="22"/>
                <w:lang w:val="nb-NO"/>
              </w:rPr>
              <w:t> </w:t>
            </w:r>
            <w:r w:rsidRPr="00DA6326">
              <w:rPr>
                <w:sz w:val="22"/>
                <w:szCs w:val="22"/>
                <w:lang w:val="nb-NO"/>
              </w:rPr>
              <w:t xml:space="preserve">mg hver uke </w:t>
            </w:r>
            <w:r w:rsidR="004079DF">
              <w:rPr>
                <w:sz w:val="22"/>
                <w:szCs w:val="22"/>
                <w:lang w:val="nb-NO"/>
              </w:rPr>
              <w:t>eller 80</w:t>
            </w:r>
            <w:r w:rsidR="007C0306">
              <w:rPr>
                <w:sz w:val="22"/>
                <w:szCs w:val="22"/>
                <w:lang w:val="nb-NO"/>
              </w:rPr>
              <w:t> </w:t>
            </w:r>
            <w:r w:rsidR="004079DF">
              <w:rPr>
                <w:sz w:val="22"/>
                <w:szCs w:val="22"/>
                <w:lang w:val="nb-NO"/>
              </w:rPr>
              <w:t xml:space="preserve">mg annenhver uke </w:t>
            </w:r>
            <w:r w:rsidRPr="00DA6326">
              <w:rPr>
                <w:sz w:val="22"/>
                <w:szCs w:val="22"/>
                <w:lang w:val="nb-NO"/>
              </w:rPr>
              <w:t>dersom du har utilstrekkelig respons</w:t>
            </w:r>
            <w:r w:rsidR="004079DF">
              <w:rPr>
                <w:sz w:val="22"/>
                <w:szCs w:val="22"/>
                <w:lang w:val="nb-NO"/>
              </w:rPr>
              <w:t xml:space="preserve"> på 40</w:t>
            </w:r>
            <w:r w:rsidR="007C0306">
              <w:rPr>
                <w:sz w:val="22"/>
                <w:szCs w:val="22"/>
                <w:lang w:val="nb-NO"/>
              </w:rPr>
              <w:t> </w:t>
            </w:r>
            <w:r w:rsidR="004079DF">
              <w:rPr>
                <w:sz w:val="22"/>
                <w:szCs w:val="22"/>
                <w:lang w:val="nb-NO"/>
              </w:rPr>
              <w:t>mg Humira annenhver uke</w:t>
            </w:r>
            <w:r w:rsidRPr="00DA6326">
              <w:rPr>
                <w:sz w:val="22"/>
                <w:szCs w:val="22"/>
                <w:lang w:val="nb-NO"/>
              </w:rPr>
              <w:t>.</w:t>
            </w:r>
          </w:p>
          <w:p w14:paraId="333C08E1" w14:textId="77777777" w:rsidR="009E676E" w:rsidRPr="00887835" w:rsidRDefault="00E453CD" w:rsidP="00802544">
            <w:pPr>
              <w:pStyle w:val="gtcbodytext"/>
              <w:keepNext/>
              <w:spacing w:before="100" w:beforeAutospacing="1" w:after="100" w:afterAutospacing="1" w:line="240" w:lineRule="auto"/>
              <w:rPr>
                <w:sz w:val="22"/>
                <w:szCs w:val="22"/>
                <w:lang w:val="nb-NO"/>
              </w:rPr>
            </w:pPr>
            <w:r w:rsidRPr="00DA6326">
              <w:rPr>
                <w:sz w:val="22"/>
                <w:szCs w:val="22"/>
                <w:lang w:val="nb-NO"/>
              </w:rPr>
              <w:t>Det anbefales at du bruker en antiseptisk vask daglig på de berørte områdene.</w:t>
            </w:r>
          </w:p>
        </w:tc>
      </w:tr>
    </w:tbl>
    <w:p w14:paraId="679B4013" w14:textId="77777777" w:rsidR="009E676E" w:rsidRPr="006947EE" w:rsidRDefault="009E676E" w:rsidP="009E676E">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4"/>
        <w:gridCol w:w="3043"/>
      </w:tblGrid>
      <w:tr w:rsidR="004644D4" w14:paraId="7F34093D" w14:textId="77777777" w:rsidTr="00FD5FF1">
        <w:tc>
          <w:tcPr>
            <w:tcW w:w="9281" w:type="dxa"/>
            <w:gridSpan w:val="3"/>
          </w:tcPr>
          <w:p w14:paraId="49F60BEB" w14:textId="77777777" w:rsidR="009E676E" w:rsidRPr="00887835" w:rsidRDefault="00E453CD" w:rsidP="006947EE">
            <w:pPr>
              <w:keepNext/>
              <w:numPr>
                <w:ilvl w:val="12"/>
                <w:numId w:val="0"/>
              </w:numPr>
              <w:ind w:right="-2"/>
              <w:rPr>
                <w:sz w:val="22"/>
                <w:szCs w:val="22"/>
                <w:lang w:val="en-GB"/>
              </w:rPr>
            </w:pPr>
            <w:r w:rsidRPr="00861F89">
              <w:rPr>
                <w:b/>
                <w:sz w:val="22"/>
                <w:szCs w:val="22"/>
                <w:lang w:val="en-GB"/>
              </w:rPr>
              <w:lastRenderedPageBreak/>
              <w:t>Crohn</w:t>
            </w:r>
            <w:r w:rsidRPr="00887835">
              <w:rPr>
                <w:b/>
                <w:sz w:val="22"/>
                <w:szCs w:val="22"/>
                <w:lang w:val="en-GB"/>
              </w:rPr>
              <w:t xml:space="preserve">s </w:t>
            </w:r>
            <w:r>
              <w:rPr>
                <w:b/>
                <w:sz w:val="22"/>
                <w:szCs w:val="22"/>
                <w:lang w:val="en-GB"/>
              </w:rPr>
              <w:t>sykdom</w:t>
            </w:r>
          </w:p>
        </w:tc>
      </w:tr>
      <w:tr w:rsidR="004644D4" w14:paraId="23F3715C" w14:textId="77777777" w:rsidTr="00FD5FF1">
        <w:tc>
          <w:tcPr>
            <w:tcW w:w="3093" w:type="dxa"/>
          </w:tcPr>
          <w:p w14:paraId="0A536552" w14:textId="77777777" w:rsidR="009E676E" w:rsidRPr="00887835" w:rsidRDefault="00E453CD" w:rsidP="006947EE">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3C62AD84" w14:textId="77777777" w:rsidR="009E676E" w:rsidRPr="00887835" w:rsidRDefault="00E453CD" w:rsidP="006947EE">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30A779AB" w14:textId="77777777" w:rsidR="009E676E" w:rsidRPr="00887835" w:rsidRDefault="00E453CD" w:rsidP="006947EE">
            <w:pPr>
              <w:keepNext/>
              <w:numPr>
                <w:ilvl w:val="12"/>
                <w:numId w:val="0"/>
              </w:numPr>
              <w:ind w:right="-2"/>
              <w:rPr>
                <w:sz w:val="22"/>
                <w:szCs w:val="22"/>
                <w:lang w:val="en-GB"/>
              </w:rPr>
            </w:pPr>
            <w:r w:rsidRPr="007830E7">
              <w:rPr>
                <w:b/>
                <w:sz w:val="22"/>
                <w:szCs w:val="22"/>
                <w:lang w:val="en-US"/>
              </w:rPr>
              <w:t>Merknader</w:t>
            </w:r>
          </w:p>
        </w:tc>
      </w:tr>
      <w:tr w:rsidR="004644D4" w14:paraId="04692203" w14:textId="77777777" w:rsidTr="00FD5FF1">
        <w:tc>
          <w:tcPr>
            <w:tcW w:w="3093" w:type="dxa"/>
          </w:tcPr>
          <w:p w14:paraId="4D50A0E6" w14:textId="77777777" w:rsidR="009E676E" w:rsidRPr="00887835" w:rsidRDefault="00E453CD" w:rsidP="006947EE">
            <w:pPr>
              <w:keepNext/>
              <w:numPr>
                <w:ilvl w:val="12"/>
                <w:numId w:val="0"/>
              </w:numPr>
              <w:ind w:right="-2"/>
              <w:rPr>
                <w:sz w:val="22"/>
                <w:szCs w:val="22"/>
              </w:rPr>
            </w:pPr>
            <w:r w:rsidRPr="00887835">
              <w:rPr>
                <w:sz w:val="22"/>
                <w:szCs w:val="22"/>
              </w:rPr>
              <w:t>Barn</w:t>
            </w:r>
            <w:r w:rsidR="00D33F44">
              <w:rPr>
                <w:sz w:val="22"/>
                <w:szCs w:val="22"/>
              </w:rPr>
              <w:t>,</w:t>
            </w:r>
            <w:r w:rsidRPr="00887835">
              <w:rPr>
                <w:sz w:val="22"/>
                <w:szCs w:val="22"/>
              </w:rPr>
              <w:t xml:space="preserve"> ungdom </w:t>
            </w:r>
            <w:r w:rsidR="00D33F44">
              <w:rPr>
                <w:sz w:val="22"/>
                <w:szCs w:val="22"/>
              </w:rPr>
              <w:t xml:space="preserve">og voksne </w:t>
            </w:r>
            <w:r w:rsidR="008167D9">
              <w:rPr>
                <w:sz w:val="22"/>
                <w:szCs w:val="22"/>
              </w:rPr>
              <w:t>over</w:t>
            </w:r>
            <w:r w:rsidRPr="00887835">
              <w:rPr>
                <w:sz w:val="22"/>
                <w:szCs w:val="22"/>
              </w:rPr>
              <w:t xml:space="preserve"> 6 år som veier 40 kg eller mer</w:t>
            </w:r>
          </w:p>
        </w:tc>
        <w:tc>
          <w:tcPr>
            <w:tcW w:w="3094" w:type="dxa"/>
          </w:tcPr>
          <w:p w14:paraId="29398686" w14:textId="77777777" w:rsidR="009E676E" w:rsidRDefault="00E453CD" w:rsidP="006947EE">
            <w:pPr>
              <w:keepNext/>
              <w:rPr>
                <w:sz w:val="22"/>
                <w:szCs w:val="22"/>
              </w:rPr>
            </w:pPr>
            <w:r w:rsidRPr="004C7F6D">
              <w:rPr>
                <w:sz w:val="22"/>
                <w:szCs w:val="22"/>
              </w:rPr>
              <w:t>Første dose på 80 mg (</w:t>
            </w:r>
            <w:r w:rsidR="000F1B2A">
              <w:rPr>
                <w:sz w:val="22"/>
                <w:szCs w:val="22"/>
              </w:rPr>
              <w:t>en</w:t>
            </w:r>
            <w:r w:rsidR="000F1B2A" w:rsidRPr="00F635CA">
              <w:rPr>
                <w:sz w:val="22"/>
                <w:szCs w:val="22"/>
              </w:rPr>
              <w:t xml:space="preserve"> </w:t>
            </w:r>
            <w:r w:rsidR="000F1B2A">
              <w:rPr>
                <w:sz w:val="22"/>
                <w:szCs w:val="22"/>
              </w:rPr>
              <w:t>80 mg injeksjon</w:t>
            </w:r>
            <w:r w:rsidRPr="004C7F6D">
              <w:rPr>
                <w:sz w:val="22"/>
                <w:szCs w:val="22"/>
              </w:rPr>
              <w:t xml:space="preserve">), etterfulgt </w:t>
            </w:r>
            <w:r>
              <w:rPr>
                <w:sz w:val="22"/>
                <w:szCs w:val="22"/>
              </w:rPr>
              <w:t>av</w:t>
            </w:r>
            <w:r w:rsidRPr="00887835">
              <w:rPr>
                <w:sz w:val="22"/>
                <w:szCs w:val="22"/>
              </w:rPr>
              <w:t xml:space="preserve"> 40 mg to </w:t>
            </w:r>
            <w:r>
              <w:rPr>
                <w:sz w:val="22"/>
                <w:szCs w:val="22"/>
              </w:rPr>
              <w:t>uker senere</w:t>
            </w:r>
            <w:r w:rsidRPr="00887835">
              <w:rPr>
                <w:sz w:val="22"/>
                <w:szCs w:val="22"/>
              </w:rPr>
              <w:t>.</w:t>
            </w:r>
          </w:p>
          <w:p w14:paraId="1EEA9CE5" w14:textId="77777777" w:rsidR="009E676E" w:rsidRPr="00887835" w:rsidRDefault="009E676E" w:rsidP="006947EE">
            <w:pPr>
              <w:keepNext/>
              <w:rPr>
                <w:sz w:val="22"/>
                <w:szCs w:val="22"/>
              </w:rPr>
            </w:pPr>
          </w:p>
          <w:p w14:paraId="2991CB58" w14:textId="77777777" w:rsidR="009E676E" w:rsidRDefault="00E453CD" w:rsidP="006947EE">
            <w:pPr>
              <w:keepNext/>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dose på 160 mg (</w:t>
            </w:r>
            <w:r w:rsidR="000F1B2A">
              <w:rPr>
                <w:sz w:val="22"/>
                <w:szCs w:val="22"/>
              </w:rPr>
              <w:t>to</w:t>
            </w:r>
            <w:r w:rsidR="000F1B2A" w:rsidRPr="00887835">
              <w:rPr>
                <w:sz w:val="22"/>
                <w:szCs w:val="22"/>
              </w:rPr>
              <w:t xml:space="preserve"> </w:t>
            </w:r>
            <w:r w:rsidR="000F1B2A">
              <w:rPr>
                <w:sz w:val="22"/>
                <w:szCs w:val="22"/>
              </w:rPr>
              <w:t>8</w:t>
            </w:r>
            <w:r w:rsidR="000F1B2A" w:rsidRPr="00887835">
              <w:rPr>
                <w:sz w:val="22"/>
                <w:szCs w:val="22"/>
              </w:rPr>
              <w:t xml:space="preserve">0 mg </w:t>
            </w:r>
            <w:r w:rsidR="000F1B2A" w:rsidRPr="00062568">
              <w:rPr>
                <w:sz w:val="22"/>
                <w:szCs w:val="22"/>
              </w:rPr>
              <w:t>injeksjoner på én dag</w:t>
            </w:r>
            <w:r w:rsidR="000F1B2A" w:rsidRPr="00887835">
              <w:rPr>
                <w:sz w:val="22"/>
                <w:szCs w:val="22"/>
              </w:rPr>
              <w:t xml:space="preserve"> eller </w:t>
            </w:r>
            <w:r w:rsidR="000F1B2A">
              <w:rPr>
                <w:sz w:val="22"/>
                <w:szCs w:val="22"/>
              </w:rPr>
              <w:t>en</w:t>
            </w:r>
            <w:r w:rsidR="000F1B2A" w:rsidRPr="00887835">
              <w:rPr>
                <w:sz w:val="22"/>
                <w:szCs w:val="22"/>
              </w:rPr>
              <w:t xml:space="preserve"> </w:t>
            </w:r>
            <w:r w:rsidR="000F1B2A">
              <w:rPr>
                <w:sz w:val="22"/>
                <w:szCs w:val="22"/>
              </w:rPr>
              <w:t>8</w:t>
            </w:r>
            <w:r w:rsidR="000F1B2A" w:rsidRPr="00887835">
              <w:rPr>
                <w:sz w:val="22"/>
                <w:szCs w:val="22"/>
              </w:rPr>
              <w:t xml:space="preserve">0 mg injeksjon daglig </w:t>
            </w:r>
            <w:r w:rsidR="00953ADC">
              <w:rPr>
                <w:sz w:val="22"/>
                <w:szCs w:val="22"/>
              </w:rPr>
              <w:t>i</w:t>
            </w:r>
            <w:r w:rsidR="000F1B2A" w:rsidRPr="00887835">
              <w:rPr>
                <w:sz w:val="22"/>
                <w:szCs w:val="22"/>
              </w:rPr>
              <w:t xml:space="preserve"> to påfølgende dager</w:t>
            </w:r>
            <w:r w:rsidRPr="004C7F6D">
              <w:rPr>
                <w:sz w:val="22"/>
                <w:szCs w:val="22"/>
              </w:rPr>
              <w:t>), etterfulgt av 80 mg (</w:t>
            </w:r>
            <w:r w:rsidR="000F1B2A">
              <w:rPr>
                <w:sz w:val="22"/>
                <w:szCs w:val="22"/>
              </w:rPr>
              <w:t>en</w:t>
            </w:r>
            <w:r w:rsidR="000F1B2A" w:rsidRPr="00F635CA">
              <w:rPr>
                <w:sz w:val="22"/>
                <w:szCs w:val="22"/>
              </w:rPr>
              <w:t xml:space="preserve"> </w:t>
            </w:r>
            <w:r w:rsidR="000F1B2A">
              <w:rPr>
                <w:sz w:val="22"/>
                <w:szCs w:val="22"/>
              </w:rPr>
              <w:t>80 mg injeksjon</w:t>
            </w:r>
            <w:r w:rsidRPr="004C7F6D">
              <w:rPr>
                <w:sz w:val="22"/>
                <w:szCs w:val="22"/>
              </w:rPr>
              <w:t>)</w:t>
            </w:r>
            <w:r>
              <w:rPr>
                <w:sz w:val="22"/>
                <w:szCs w:val="22"/>
              </w:rPr>
              <w:t xml:space="preserve"> </w:t>
            </w:r>
            <w:r w:rsidRPr="004C7F6D">
              <w:rPr>
                <w:sz w:val="22"/>
                <w:szCs w:val="22"/>
              </w:rPr>
              <w:t>to uker senere</w:t>
            </w:r>
            <w:r>
              <w:rPr>
                <w:sz w:val="22"/>
                <w:szCs w:val="22"/>
              </w:rPr>
              <w:t>.</w:t>
            </w:r>
          </w:p>
          <w:p w14:paraId="5932B3C0" w14:textId="77777777" w:rsidR="009E676E" w:rsidRPr="00887835" w:rsidRDefault="009E676E" w:rsidP="006947EE">
            <w:pPr>
              <w:keepNext/>
              <w:rPr>
                <w:sz w:val="22"/>
                <w:szCs w:val="22"/>
              </w:rPr>
            </w:pPr>
          </w:p>
          <w:p w14:paraId="0926C337" w14:textId="77777777" w:rsidR="009E676E" w:rsidRPr="00887835" w:rsidRDefault="00E453CD" w:rsidP="006947EE">
            <w:pPr>
              <w:keepNext/>
              <w:numPr>
                <w:ilvl w:val="12"/>
                <w:numId w:val="0"/>
              </w:numPr>
              <w:ind w:right="-2"/>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p>
        </w:tc>
        <w:tc>
          <w:tcPr>
            <w:tcW w:w="3094" w:type="dxa"/>
          </w:tcPr>
          <w:p w14:paraId="2F1BCF20" w14:textId="77777777" w:rsidR="009E676E" w:rsidRPr="00887835" w:rsidRDefault="00E453CD" w:rsidP="006947EE">
            <w:pPr>
              <w:keepNext/>
              <w:spacing w:before="100" w:beforeAutospacing="1" w:after="100" w:afterAutospacing="1"/>
              <w:rPr>
                <w:sz w:val="22"/>
                <w:szCs w:val="22"/>
              </w:rPr>
            </w:pPr>
            <w:r w:rsidRPr="00887835">
              <w:rPr>
                <w:sz w:val="22"/>
                <w:szCs w:val="22"/>
              </w:rPr>
              <w:t>Legen din kan øke dosering</w:t>
            </w:r>
            <w:r w:rsidR="004079DF">
              <w:rPr>
                <w:sz w:val="22"/>
                <w:szCs w:val="22"/>
              </w:rPr>
              <w:t>en</w:t>
            </w:r>
            <w:r w:rsidRPr="00887835">
              <w:rPr>
                <w:sz w:val="22"/>
                <w:szCs w:val="22"/>
              </w:rPr>
              <w:t xml:space="preserve"> til 40</w:t>
            </w:r>
            <w:r w:rsidR="007C0306">
              <w:rPr>
                <w:sz w:val="22"/>
                <w:szCs w:val="22"/>
              </w:rPr>
              <w:t> </w:t>
            </w:r>
            <w:r w:rsidRPr="00887835">
              <w:rPr>
                <w:sz w:val="22"/>
                <w:szCs w:val="22"/>
              </w:rPr>
              <w:t>mg hver uke</w:t>
            </w:r>
            <w:r w:rsidR="004079DF">
              <w:rPr>
                <w:sz w:val="22"/>
                <w:szCs w:val="22"/>
              </w:rPr>
              <w:t xml:space="preserve"> eller 80</w:t>
            </w:r>
            <w:r w:rsidR="007C0306">
              <w:rPr>
                <w:sz w:val="22"/>
                <w:szCs w:val="22"/>
              </w:rPr>
              <w:t> </w:t>
            </w:r>
            <w:r w:rsidR="004079DF">
              <w:rPr>
                <w:sz w:val="22"/>
                <w:szCs w:val="22"/>
              </w:rPr>
              <w:t>mg annenhver uke</w:t>
            </w:r>
            <w:r w:rsidRPr="00887835">
              <w:rPr>
                <w:sz w:val="22"/>
                <w:szCs w:val="22"/>
              </w:rPr>
              <w:t>.</w:t>
            </w:r>
          </w:p>
          <w:p w14:paraId="58E5D6AA" w14:textId="77777777" w:rsidR="009E676E" w:rsidRPr="00887835" w:rsidRDefault="009E676E" w:rsidP="006947EE">
            <w:pPr>
              <w:keepNext/>
              <w:spacing w:before="100" w:beforeAutospacing="1" w:after="100" w:afterAutospacing="1"/>
              <w:rPr>
                <w:sz w:val="22"/>
                <w:szCs w:val="22"/>
              </w:rPr>
            </w:pPr>
          </w:p>
        </w:tc>
      </w:tr>
      <w:tr w:rsidR="004644D4" w14:paraId="5EBD03B3" w14:textId="77777777" w:rsidTr="00FD5FF1">
        <w:tc>
          <w:tcPr>
            <w:tcW w:w="3093" w:type="dxa"/>
          </w:tcPr>
          <w:p w14:paraId="504A6FEE" w14:textId="77777777" w:rsidR="009E676E" w:rsidRPr="00887835" w:rsidRDefault="00E453CD" w:rsidP="00684DB9">
            <w:pPr>
              <w:numPr>
                <w:ilvl w:val="12"/>
                <w:numId w:val="0"/>
              </w:numPr>
              <w:ind w:right="-2"/>
              <w:rPr>
                <w:sz w:val="22"/>
                <w:szCs w:val="22"/>
              </w:rPr>
            </w:pPr>
            <w:r w:rsidRPr="004C7F6D">
              <w:rPr>
                <w:sz w:val="22"/>
                <w:szCs w:val="22"/>
              </w:rPr>
              <w:t xml:space="preserve">Barn og ungdom fra 6 </w:t>
            </w:r>
            <w:r w:rsidR="00D33F44">
              <w:rPr>
                <w:sz w:val="22"/>
                <w:szCs w:val="22"/>
              </w:rPr>
              <w:t xml:space="preserve">til 17 </w:t>
            </w:r>
            <w:r w:rsidRPr="004C7F6D">
              <w:rPr>
                <w:sz w:val="22"/>
                <w:szCs w:val="22"/>
              </w:rPr>
              <w:t xml:space="preserve">år som veier </w:t>
            </w:r>
            <w:r w:rsidR="00684DB9">
              <w:rPr>
                <w:sz w:val="22"/>
                <w:szCs w:val="22"/>
              </w:rPr>
              <w:t>under</w:t>
            </w:r>
            <w:r>
              <w:rPr>
                <w:sz w:val="22"/>
                <w:szCs w:val="22"/>
              </w:rPr>
              <w:t xml:space="preserve"> </w:t>
            </w:r>
            <w:r w:rsidRPr="004C7F6D">
              <w:rPr>
                <w:sz w:val="22"/>
                <w:szCs w:val="22"/>
              </w:rPr>
              <w:t>40 kg</w:t>
            </w:r>
          </w:p>
        </w:tc>
        <w:tc>
          <w:tcPr>
            <w:tcW w:w="3094" w:type="dxa"/>
          </w:tcPr>
          <w:p w14:paraId="52B4E90F" w14:textId="77777777" w:rsidR="009E676E" w:rsidRDefault="00E453CD" w:rsidP="00FD5FF1">
            <w:pPr>
              <w:rPr>
                <w:sz w:val="22"/>
                <w:szCs w:val="22"/>
              </w:rPr>
            </w:pPr>
            <w:r w:rsidRPr="00887835">
              <w:rPr>
                <w:sz w:val="22"/>
                <w:szCs w:val="22"/>
              </w:rPr>
              <w:t xml:space="preserve">Første dose på 40 mg, etterfulgt av 20 mg to </w:t>
            </w:r>
            <w:r>
              <w:rPr>
                <w:sz w:val="22"/>
                <w:szCs w:val="22"/>
              </w:rPr>
              <w:t>uker senere</w:t>
            </w:r>
            <w:r w:rsidRPr="00887835">
              <w:rPr>
                <w:sz w:val="22"/>
                <w:szCs w:val="22"/>
              </w:rPr>
              <w:t xml:space="preserve">. </w:t>
            </w:r>
          </w:p>
          <w:p w14:paraId="015DB800" w14:textId="77777777" w:rsidR="009E676E" w:rsidRPr="00887835" w:rsidRDefault="009E676E" w:rsidP="00FD5FF1">
            <w:pPr>
              <w:rPr>
                <w:sz w:val="22"/>
                <w:szCs w:val="22"/>
              </w:rPr>
            </w:pPr>
          </w:p>
          <w:p w14:paraId="0368796C" w14:textId="77777777" w:rsidR="009E676E" w:rsidRDefault="00E453CD" w:rsidP="00FD5FF1">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dose på</w:t>
            </w:r>
            <w:r w:rsidRPr="00887835">
              <w:rPr>
                <w:sz w:val="22"/>
                <w:szCs w:val="22"/>
              </w:rPr>
              <w:t xml:space="preserve"> 80 mg (</w:t>
            </w:r>
            <w:r w:rsidR="000F1B2A">
              <w:rPr>
                <w:sz w:val="22"/>
                <w:szCs w:val="22"/>
              </w:rPr>
              <w:t>en</w:t>
            </w:r>
            <w:r w:rsidR="000F1B2A" w:rsidRPr="00F635CA">
              <w:rPr>
                <w:sz w:val="22"/>
                <w:szCs w:val="22"/>
              </w:rPr>
              <w:t xml:space="preserve"> </w:t>
            </w:r>
            <w:r w:rsidR="000F1B2A">
              <w:rPr>
                <w:sz w:val="22"/>
                <w:szCs w:val="22"/>
              </w:rPr>
              <w:t>80 mg injeksjon</w:t>
            </w:r>
            <w:r w:rsidRPr="00887835">
              <w:rPr>
                <w:sz w:val="22"/>
                <w:szCs w:val="22"/>
              </w:rPr>
              <w:t xml:space="preserve">), </w:t>
            </w:r>
            <w:r>
              <w:rPr>
                <w:sz w:val="22"/>
                <w:szCs w:val="22"/>
              </w:rPr>
              <w:t>etterfulgt av</w:t>
            </w:r>
            <w:r w:rsidRPr="00887835">
              <w:rPr>
                <w:sz w:val="22"/>
                <w:szCs w:val="22"/>
              </w:rPr>
              <w:t xml:space="preserve"> 40 mg to </w:t>
            </w:r>
            <w:r>
              <w:rPr>
                <w:sz w:val="22"/>
                <w:szCs w:val="22"/>
              </w:rPr>
              <w:t>uker senere</w:t>
            </w:r>
            <w:r w:rsidRPr="00887835">
              <w:rPr>
                <w:sz w:val="22"/>
                <w:szCs w:val="22"/>
              </w:rPr>
              <w:t>.</w:t>
            </w:r>
          </w:p>
          <w:p w14:paraId="5A06D829" w14:textId="77777777" w:rsidR="009E676E" w:rsidRPr="00887835" w:rsidRDefault="009E676E" w:rsidP="00FD5FF1">
            <w:pPr>
              <w:rPr>
                <w:sz w:val="22"/>
                <w:szCs w:val="22"/>
              </w:rPr>
            </w:pPr>
          </w:p>
          <w:p w14:paraId="539F7D82" w14:textId="77777777" w:rsidR="009E676E" w:rsidRPr="00887835" w:rsidRDefault="00E453CD" w:rsidP="00FD5FF1">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20</w:t>
            </w:r>
            <w:r w:rsidRPr="004C7F6D">
              <w:rPr>
                <w:sz w:val="22"/>
                <w:szCs w:val="22"/>
              </w:rPr>
              <w:t xml:space="preserve"> mg annenhver uke.</w:t>
            </w:r>
          </w:p>
        </w:tc>
        <w:tc>
          <w:tcPr>
            <w:tcW w:w="3094" w:type="dxa"/>
          </w:tcPr>
          <w:p w14:paraId="289ED24C" w14:textId="77777777" w:rsidR="009E676E" w:rsidRPr="00887835" w:rsidRDefault="00E453CD" w:rsidP="00FD5FF1">
            <w:pPr>
              <w:spacing w:before="100" w:beforeAutospacing="1" w:after="100" w:afterAutospacing="1"/>
              <w:rPr>
                <w:sz w:val="22"/>
                <w:szCs w:val="22"/>
              </w:rPr>
            </w:pPr>
            <w:r w:rsidRPr="009C5EFD">
              <w:rPr>
                <w:sz w:val="22"/>
                <w:szCs w:val="22"/>
              </w:rPr>
              <w:t xml:space="preserve">Legen din kan øke doseringsfrekvensen til </w:t>
            </w:r>
            <w:r>
              <w:rPr>
                <w:sz w:val="22"/>
                <w:szCs w:val="22"/>
              </w:rPr>
              <w:t>2</w:t>
            </w:r>
            <w:r w:rsidRPr="009C5EFD">
              <w:rPr>
                <w:sz w:val="22"/>
                <w:szCs w:val="22"/>
              </w:rPr>
              <w:t>0 mg hver uke</w:t>
            </w:r>
            <w:r w:rsidRPr="00887835">
              <w:rPr>
                <w:sz w:val="22"/>
                <w:szCs w:val="22"/>
              </w:rPr>
              <w:t>.</w:t>
            </w:r>
          </w:p>
          <w:p w14:paraId="6FF680ED" w14:textId="77777777" w:rsidR="009E676E" w:rsidRPr="00887835" w:rsidRDefault="009E676E" w:rsidP="00FD5FF1">
            <w:pPr>
              <w:numPr>
                <w:ilvl w:val="12"/>
                <w:numId w:val="0"/>
              </w:numPr>
              <w:spacing w:before="100" w:beforeAutospacing="1" w:after="100" w:afterAutospacing="1"/>
              <w:ind w:right="-2"/>
              <w:rPr>
                <w:sz w:val="22"/>
                <w:szCs w:val="22"/>
              </w:rPr>
            </w:pPr>
          </w:p>
        </w:tc>
      </w:tr>
    </w:tbl>
    <w:p w14:paraId="1443D0C2" w14:textId="77777777" w:rsidR="009E676E" w:rsidRPr="00861F89" w:rsidRDefault="009E676E" w:rsidP="009E676E">
      <w:pPr>
        <w:suppressAutoHyphen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6"/>
        <w:gridCol w:w="3020"/>
      </w:tblGrid>
      <w:tr w:rsidR="004644D4" w14:paraId="5695615F" w14:textId="77777777" w:rsidTr="00FD5FF1">
        <w:tc>
          <w:tcPr>
            <w:tcW w:w="9281" w:type="dxa"/>
            <w:gridSpan w:val="3"/>
          </w:tcPr>
          <w:p w14:paraId="08AC5714" w14:textId="77777777" w:rsidR="009E676E" w:rsidRPr="00887835" w:rsidRDefault="00E453CD" w:rsidP="00FD5FF1">
            <w:pPr>
              <w:numPr>
                <w:ilvl w:val="12"/>
                <w:numId w:val="0"/>
              </w:numPr>
              <w:ind w:right="-2"/>
              <w:rPr>
                <w:b/>
                <w:sz w:val="22"/>
                <w:szCs w:val="22"/>
                <w:lang w:val="en-GB"/>
              </w:rPr>
            </w:pPr>
            <w:r>
              <w:rPr>
                <w:b/>
                <w:sz w:val="22"/>
                <w:szCs w:val="22"/>
              </w:rPr>
              <w:t>U</w:t>
            </w:r>
            <w:r w:rsidRPr="003D2742">
              <w:rPr>
                <w:b/>
                <w:sz w:val="22"/>
                <w:szCs w:val="22"/>
              </w:rPr>
              <w:t>lcerøs kolitt</w:t>
            </w:r>
          </w:p>
        </w:tc>
      </w:tr>
      <w:tr w:rsidR="004644D4" w14:paraId="11DCA37F" w14:textId="77777777" w:rsidTr="00FD5FF1">
        <w:tc>
          <w:tcPr>
            <w:tcW w:w="3093" w:type="dxa"/>
          </w:tcPr>
          <w:p w14:paraId="3BC561D0" w14:textId="77777777" w:rsidR="009E676E" w:rsidRPr="00887835" w:rsidRDefault="00E453CD" w:rsidP="00FD5FF1">
            <w:pPr>
              <w:numPr>
                <w:ilvl w:val="12"/>
                <w:numId w:val="0"/>
              </w:numPr>
              <w:ind w:right="-2"/>
              <w:rPr>
                <w:sz w:val="22"/>
                <w:szCs w:val="22"/>
                <w:lang w:val="en-GB"/>
              </w:rPr>
            </w:pPr>
            <w:r w:rsidRPr="007830E7">
              <w:rPr>
                <w:b/>
                <w:sz w:val="22"/>
                <w:szCs w:val="22"/>
                <w:lang w:val="en-US"/>
              </w:rPr>
              <w:t>Alder eller kroppsvekt</w:t>
            </w:r>
          </w:p>
        </w:tc>
        <w:tc>
          <w:tcPr>
            <w:tcW w:w="3094" w:type="dxa"/>
          </w:tcPr>
          <w:p w14:paraId="1E463C69" w14:textId="77777777" w:rsidR="009E676E" w:rsidRPr="00887835" w:rsidRDefault="00E453CD" w:rsidP="00FD5FF1">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07884571" w14:textId="77777777" w:rsidR="009E676E" w:rsidRPr="00887835" w:rsidRDefault="00E453CD" w:rsidP="00FD5FF1">
            <w:pPr>
              <w:numPr>
                <w:ilvl w:val="12"/>
                <w:numId w:val="0"/>
              </w:numPr>
              <w:ind w:right="-2"/>
              <w:rPr>
                <w:sz w:val="22"/>
                <w:szCs w:val="22"/>
                <w:lang w:val="en-GB"/>
              </w:rPr>
            </w:pPr>
            <w:r w:rsidRPr="007830E7">
              <w:rPr>
                <w:b/>
                <w:sz w:val="22"/>
                <w:szCs w:val="22"/>
                <w:lang w:val="en-US"/>
              </w:rPr>
              <w:t>Merknader</w:t>
            </w:r>
          </w:p>
        </w:tc>
      </w:tr>
      <w:tr w:rsidR="004644D4" w14:paraId="32089F60" w14:textId="77777777" w:rsidTr="00FD5FF1">
        <w:tc>
          <w:tcPr>
            <w:tcW w:w="3093" w:type="dxa"/>
          </w:tcPr>
          <w:p w14:paraId="5878EF64" w14:textId="77777777" w:rsidR="009E676E" w:rsidRPr="00887835" w:rsidRDefault="00E453CD" w:rsidP="00FD5FF1">
            <w:pPr>
              <w:numPr>
                <w:ilvl w:val="12"/>
                <w:numId w:val="0"/>
              </w:numPr>
              <w:ind w:right="-2"/>
              <w:rPr>
                <w:sz w:val="22"/>
                <w:szCs w:val="22"/>
                <w:lang w:val="en-GB"/>
              </w:rPr>
            </w:pPr>
            <w:r>
              <w:rPr>
                <w:sz w:val="22"/>
                <w:szCs w:val="22"/>
              </w:rPr>
              <w:t>Voksne</w:t>
            </w:r>
          </w:p>
        </w:tc>
        <w:tc>
          <w:tcPr>
            <w:tcW w:w="3094" w:type="dxa"/>
          </w:tcPr>
          <w:p w14:paraId="3284A845" w14:textId="77777777" w:rsidR="009E676E" w:rsidRDefault="00E453CD" w:rsidP="00FD5FF1">
            <w:pPr>
              <w:numPr>
                <w:ilvl w:val="12"/>
                <w:numId w:val="0"/>
              </w:numPr>
              <w:rPr>
                <w:sz w:val="22"/>
                <w:szCs w:val="22"/>
              </w:rPr>
            </w:pPr>
            <w:r w:rsidRPr="00887835">
              <w:rPr>
                <w:sz w:val="22"/>
                <w:szCs w:val="22"/>
              </w:rPr>
              <w:t>Første dose på 160 mg (</w:t>
            </w:r>
            <w:r w:rsidR="00A51B53">
              <w:rPr>
                <w:sz w:val="22"/>
                <w:szCs w:val="22"/>
              </w:rPr>
              <w:t>to</w:t>
            </w:r>
            <w:r w:rsidR="00A51B53" w:rsidRPr="00887835">
              <w:rPr>
                <w:sz w:val="22"/>
                <w:szCs w:val="22"/>
              </w:rPr>
              <w:t xml:space="preserve"> </w:t>
            </w:r>
            <w:r w:rsidR="00A51B53">
              <w:rPr>
                <w:sz w:val="22"/>
                <w:szCs w:val="22"/>
              </w:rPr>
              <w:t>8</w:t>
            </w:r>
            <w:r w:rsidR="00A51B53" w:rsidRPr="00887835">
              <w:rPr>
                <w:sz w:val="22"/>
                <w:szCs w:val="22"/>
              </w:rPr>
              <w:t xml:space="preserve">0 mg </w:t>
            </w:r>
            <w:r w:rsidR="00A51B53" w:rsidRPr="00062568">
              <w:rPr>
                <w:sz w:val="22"/>
                <w:szCs w:val="22"/>
              </w:rPr>
              <w:t>injeksjoner på én dag</w:t>
            </w:r>
            <w:r w:rsidR="00A51B53" w:rsidRPr="00887835">
              <w:rPr>
                <w:sz w:val="22"/>
                <w:szCs w:val="22"/>
              </w:rPr>
              <w:t xml:space="preserve"> eller </w:t>
            </w:r>
            <w:r w:rsidR="00A51B53">
              <w:rPr>
                <w:sz w:val="22"/>
                <w:szCs w:val="22"/>
              </w:rPr>
              <w:t>en</w:t>
            </w:r>
            <w:r w:rsidR="00A51B53" w:rsidRPr="00887835">
              <w:rPr>
                <w:sz w:val="22"/>
                <w:szCs w:val="22"/>
              </w:rPr>
              <w:t xml:space="preserve"> </w:t>
            </w:r>
            <w:r w:rsidR="00A51B53">
              <w:rPr>
                <w:sz w:val="22"/>
                <w:szCs w:val="22"/>
              </w:rPr>
              <w:t>8</w:t>
            </w:r>
            <w:r w:rsidR="00A51B53" w:rsidRPr="00887835">
              <w:rPr>
                <w:sz w:val="22"/>
                <w:szCs w:val="22"/>
              </w:rPr>
              <w:t xml:space="preserve">0 mg injeksjon daglig </w:t>
            </w:r>
            <w:r w:rsidR="00953ADC">
              <w:rPr>
                <w:sz w:val="22"/>
                <w:szCs w:val="22"/>
              </w:rPr>
              <w:t>i</w:t>
            </w:r>
            <w:r w:rsidR="00A51B53" w:rsidRPr="00887835">
              <w:rPr>
                <w:sz w:val="22"/>
                <w:szCs w:val="22"/>
              </w:rPr>
              <w:t xml:space="preserve"> to påfølgende dager</w:t>
            </w:r>
            <w:r w:rsidRPr="00887835">
              <w:rPr>
                <w:sz w:val="22"/>
                <w:szCs w:val="22"/>
              </w:rPr>
              <w:t>), etterfulgt av 80 mg (</w:t>
            </w:r>
            <w:r w:rsidR="00484456">
              <w:rPr>
                <w:sz w:val="22"/>
                <w:szCs w:val="22"/>
              </w:rPr>
              <w:t>é</w:t>
            </w:r>
            <w:r w:rsidR="000F1B2A">
              <w:rPr>
                <w:sz w:val="22"/>
                <w:szCs w:val="22"/>
              </w:rPr>
              <w:t>n</w:t>
            </w:r>
            <w:r w:rsidR="000F1B2A" w:rsidRPr="00F635CA">
              <w:rPr>
                <w:sz w:val="22"/>
                <w:szCs w:val="22"/>
              </w:rPr>
              <w:t xml:space="preserve"> </w:t>
            </w:r>
            <w:r w:rsidR="000F1B2A">
              <w:rPr>
                <w:sz w:val="22"/>
                <w:szCs w:val="22"/>
              </w:rPr>
              <w:t>80 mg injeksjon</w:t>
            </w:r>
            <w:r w:rsidRPr="00887835">
              <w:rPr>
                <w:sz w:val="22"/>
                <w:szCs w:val="22"/>
              </w:rPr>
              <w:t>) to uker senere.</w:t>
            </w:r>
          </w:p>
          <w:p w14:paraId="263829D9" w14:textId="77777777" w:rsidR="009E676E" w:rsidRPr="00887835" w:rsidRDefault="009E676E" w:rsidP="00FD5FF1">
            <w:pPr>
              <w:numPr>
                <w:ilvl w:val="12"/>
                <w:numId w:val="0"/>
              </w:numPr>
              <w:rPr>
                <w:sz w:val="22"/>
                <w:szCs w:val="22"/>
              </w:rPr>
            </w:pPr>
          </w:p>
          <w:p w14:paraId="53AA27F2" w14:textId="77777777" w:rsidR="009E676E" w:rsidRPr="00887835" w:rsidRDefault="00E453CD" w:rsidP="00FD5FF1">
            <w:pPr>
              <w:numPr>
                <w:ilvl w:val="12"/>
                <w:numId w:val="0"/>
              </w:numPr>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 mg annenhver uke</w:t>
            </w:r>
            <w:r>
              <w:rPr>
                <w:sz w:val="22"/>
                <w:szCs w:val="22"/>
              </w:rPr>
              <w:t>.</w:t>
            </w:r>
          </w:p>
        </w:tc>
        <w:tc>
          <w:tcPr>
            <w:tcW w:w="3094" w:type="dxa"/>
          </w:tcPr>
          <w:p w14:paraId="41CB5F02" w14:textId="77777777" w:rsidR="009E676E" w:rsidRPr="00887835" w:rsidRDefault="00E453CD" w:rsidP="00FD5FF1">
            <w:pPr>
              <w:numPr>
                <w:ilvl w:val="12"/>
                <w:numId w:val="0"/>
              </w:numPr>
              <w:ind w:right="-2"/>
              <w:rPr>
                <w:sz w:val="22"/>
                <w:szCs w:val="22"/>
              </w:rPr>
            </w:pPr>
            <w:r w:rsidRPr="004C7F6D">
              <w:rPr>
                <w:sz w:val="22"/>
                <w:szCs w:val="22"/>
              </w:rPr>
              <w:t>Legen din kan øke dosering</w:t>
            </w:r>
            <w:r w:rsidR="00707BE4">
              <w:rPr>
                <w:sz w:val="22"/>
                <w:szCs w:val="22"/>
              </w:rPr>
              <w:t>en</w:t>
            </w:r>
            <w:r w:rsidRPr="004C7F6D">
              <w:rPr>
                <w:sz w:val="22"/>
                <w:szCs w:val="22"/>
              </w:rPr>
              <w:t xml:space="preserve"> til 40</w:t>
            </w:r>
            <w:r w:rsidR="007C0306">
              <w:rPr>
                <w:sz w:val="22"/>
                <w:szCs w:val="22"/>
              </w:rPr>
              <w:t> </w:t>
            </w:r>
            <w:r w:rsidRPr="004C7F6D">
              <w:rPr>
                <w:sz w:val="22"/>
                <w:szCs w:val="22"/>
              </w:rPr>
              <w:t>mg hver uke</w:t>
            </w:r>
            <w:r w:rsidR="00707BE4">
              <w:rPr>
                <w:sz w:val="22"/>
                <w:szCs w:val="22"/>
              </w:rPr>
              <w:t xml:space="preserve"> eller 80</w:t>
            </w:r>
            <w:r w:rsidR="007C0306">
              <w:rPr>
                <w:sz w:val="22"/>
                <w:szCs w:val="22"/>
              </w:rPr>
              <w:t> </w:t>
            </w:r>
            <w:r w:rsidR="00707BE4">
              <w:rPr>
                <w:sz w:val="22"/>
                <w:szCs w:val="22"/>
              </w:rPr>
              <w:t>mg annenhver uke</w:t>
            </w:r>
            <w:r w:rsidRPr="00887835">
              <w:rPr>
                <w:sz w:val="22"/>
                <w:szCs w:val="22"/>
              </w:rPr>
              <w:t>.</w:t>
            </w:r>
          </w:p>
        </w:tc>
      </w:tr>
      <w:tr w:rsidR="004644D4" w14:paraId="59C05267" w14:textId="77777777" w:rsidTr="00FD5FF1">
        <w:tc>
          <w:tcPr>
            <w:tcW w:w="3093" w:type="dxa"/>
          </w:tcPr>
          <w:p w14:paraId="0FD702F0" w14:textId="77777777" w:rsidR="00823E47" w:rsidRPr="007312D9" w:rsidRDefault="00E453CD" w:rsidP="00823E47">
            <w:pPr>
              <w:numPr>
                <w:ilvl w:val="12"/>
                <w:numId w:val="0"/>
              </w:numPr>
              <w:ind w:right="-2"/>
              <w:rPr>
                <w:sz w:val="22"/>
                <w:szCs w:val="22"/>
              </w:rPr>
            </w:pPr>
            <w:r w:rsidRPr="00E04B2A">
              <w:rPr>
                <w:sz w:val="22"/>
              </w:rPr>
              <w:t xml:space="preserve">Barn og ungdom fra 6 år som veier </w:t>
            </w:r>
            <w:r w:rsidR="002E0B5C">
              <w:rPr>
                <w:sz w:val="22"/>
              </w:rPr>
              <w:t>under</w:t>
            </w:r>
            <w:r w:rsidRPr="00E04B2A">
              <w:rPr>
                <w:sz w:val="22"/>
              </w:rPr>
              <w:t xml:space="preserve"> 40 kg</w:t>
            </w:r>
          </w:p>
        </w:tc>
        <w:tc>
          <w:tcPr>
            <w:tcW w:w="3094" w:type="dxa"/>
          </w:tcPr>
          <w:p w14:paraId="46987B97" w14:textId="77777777" w:rsidR="00823E47" w:rsidRPr="00E04B2A" w:rsidRDefault="00E453CD" w:rsidP="00823E47">
            <w:pPr>
              <w:numPr>
                <w:ilvl w:val="12"/>
                <w:numId w:val="0"/>
              </w:numPr>
              <w:rPr>
                <w:sz w:val="22"/>
              </w:rPr>
            </w:pPr>
            <w:r w:rsidRPr="00E04B2A">
              <w:rPr>
                <w:sz w:val="22"/>
              </w:rPr>
              <w:t>Første dose på 80 mg (én 80 mg injeksjon), etterfulgt av 40 mg (én 40 mg injeksjon) to uker senere.</w:t>
            </w:r>
          </w:p>
          <w:p w14:paraId="62CA37DB" w14:textId="77777777" w:rsidR="00823E47" w:rsidRPr="00E04B2A" w:rsidRDefault="00823E47" w:rsidP="00823E47">
            <w:pPr>
              <w:numPr>
                <w:ilvl w:val="12"/>
                <w:numId w:val="0"/>
              </w:numPr>
              <w:rPr>
                <w:sz w:val="22"/>
              </w:rPr>
            </w:pPr>
          </w:p>
          <w:p w14:paraId="02CDAAE6" w14:textId="77777777" w:rsidR="00823E47" w:rsidRPr="007312D9" w:rsidRDefault="00E453CD" w:rsidP="00823E47">
            <w:pPr>
              <w:numPr>
                <w:ilvl w:val="12"/>
                <w:numId w:val="0"/>
              </w:numPr>
              <w:rPr>
                <w:sz w:val="22"/>
                <w:szCs w:val="22"/>
              </w:rPr>
            </w:pPr>
            <w:r w:rsidRPr="00E04B2A">
              <w:rPr>
                <w:sz w:val="22"/>
              </w:rPr>
              <w:t>Deretter er vanlig dose 40 mg annenhver uke.</w:t>
            </w:r>
          </w:p>
        </w:tc>
        <w:tc>
          <w:tcPr>
            <w:tcW w:w="3094" w:type="dxa"/>
          </w:tcPr>
          <w:p w14:paraId="2721E0F8" w14:textId="77777777" w:rsidR="00823E47" w:rsidRPr="007312D9" w:rsidRDefault="00E453CD" w:rsidP="00823E47">
            <w:pPr>
              <w:numPr>
                <w:ilvl w:val="12"/>
                <w:numId w:val="0"/>
              </w:numPr>
              <w:ind w:right="-2"/>
              <w:rPr>
                <w:sz w:val="22"/>
                <w:szCs w:val="22"/>
              </w:rPr>
            </w:pPr>
            <w:r w:rsidRPr="00E04B2A">
              <w:rPr>
                <w:sz w:val="22"/>
              </w:rPr>
              <w:t xml:space="preserve">Du bør fortsette å ta </w:t>
            </w:r>
            <w:r w:rsidR="002E0B5C">
              <w:rPr>
                <w:sz w:val="22"/>
              </w:rPr>
              <w:t>den vanlige dosen av</w:t>
            </w:r>
            <w:r w:rsidR="002E0B5C" w:rsidRPr="00E04B2A">
              <w:rPr>
                <w:sz w:val="22"/>
              </w:rPr>
              <w:t xml:space="preserve"> </w:t>
            </w:r>
            <w:r w:rsidRPr="00E04B2A">
              <w:rPr>
                <w:sz w:val="22"/>
              </w:rPr>
              <w:t>Humira selv etter fylte 18 år.</w:t>
            </w:r>
          </w:p>
        </w:tc>
      </w:tr>
      <w:tr w:rsidR="004644D4" w14:paraId="71A492B8" w14:textId="77777777" w:rsidTr="00FD5FF1">
        <w:tc>
          <w:tcPr>
            <w:tcW w:w="3093" w:type="dxa"/>
          </w:tcPr>
          <w:p w14:paraId="42260EC3" w14:textId="77777777" w:rsidR="00823E47" w:rsidRPr="00E04B2A" w:rsidRDefault="00E453CD" w:rsidP="00823E47">
            <w:pPr>
              <w:numPr>
                <w:ilvl w:val="12"/>
                <w:numId w:val="0"/>
              </w:numPr>
              <w:ind w:right="-2"/>
              <w:rPr>
                <w:sz w:val="22"/>
              </w:rPr>
            </w:pPr>
            <w:r w:rsidRPr="00E04B2A">
              <w:rPr>
                <w:sz w:val="22"/>
              </w:rPr>
              <w:t>Barn og ungdom fra 6 år som veier 40 kg</w:t>
            </w:r>
            <w:r w:rsidR="002E0B5C">
              <w:rPr>
                <w:sz w:val="22"/>
              </w:rPr>
              <w:t xml:space="preserve"> eller mer</w:t>
            </w:r>
          </w:p>
        </w:tc>
        <w:tc>
          <w:tcPr>
            <w:tcW w:w="3094" w:type="dxa"/>
          </w:tcPr>
          <w:p w14:paraId="49112468" w14:textId="77777777" w:rsidR="00823E47" w:rsidRPr="00E04B2A" w:rsidRDefault="00E453CD" w:rsidP="00823E47">
            <w:pPr>
              <w:numPr>
                <w:ilvl w:val="12"/>
                <w:numId w:val="0"/>
              </w:numPr>
              <w:rPr>
                <w:sz w:val="22"/>
              </w:rPr>
            </w:pPr>
            <w:r w:rsidRPr="00E04B2A">
              <w:rPr>
                <w:sz w:val="22"/>
              </w:rPr>
              <w:t>Første dose på 160 mg (to 80 mg injeksjoner på én dag eller én 80 mg injeksjon dag</w:t>
            </w:r>
            <w:r w:rsidR="003B1FE5">
              <w:rPr>
                <w:sz w:val="22"/>
              </w:rPr>
              <w:t>lig</w:t>
            </w:r>
            <w:r w:rsidRPr="00E04B2A">
              <w:rPr>
                <w:sz w:val="22"/>
              </w:rPr>
              <w:t xml:space="preserve"> </w:t>
            </w:r>
            <w:r w:rsidR="00953ADC">
              <w:rPr>
                <w:sz w:val="22"/>
              </w:rPr>
              <w:t>i</w:t>
            </w:r>
            <w:r w:rsidRPr="00E04B2A">
              <w:rPr>
                <w:sz w:val="22"/>
              </w:rPr>
              <w:t xml:space="preserve"> to påfølgende dager), etterfulgt av 80 mg (én 80 mg injeksjon) to uker senere.</w:t>
            </w:r>
          </w:p>
          <w:p w14:paraId="31AE9441" w14:textId="77777777" w:rsidR="00823E47" w:rsidRPr="00E04B2A" w:rsidRDefault="00823E47" w:rsidP="00823E47">
            <w:pPr>
              <w:numPr>
                <w:ilvl w:val="12"/>
                <w:numId w:val="0"/>
              </w:numPr>
              <w:rPr>
                <w:sz w:val="22"/>
              </w:rPr>
            </w:pPr>
          </w:p>
          <w:p w14:paraId="117A5FBA" w14:textId="77777777" w:rsidR="00823E47" w:rsidRPr="00E04B2A" w:rsidRDefault="00E453CD" w:rsidP="00823E47">
            <w:pPr>
              <w:numPr>
                <w:ilvl w:val="12"/>
                <w:numId w:val="0"/>
              </w:numPr>
              <w:rPr>
                <w:sz w:val="22"/>
              </w:rPr>
            </w:pPr>
            <w:r w:rsidRPr="00E04B2A">
              <w:rPr>
                <w:sz w:val="22"/>
              </w:rPr>
              <w:t>Deretter er vanlig dose 80 mg annenhver uke.</w:t>
            </w:r>
          </w:p>
        </w:tc>
        <w:tc>
          <w:tcPr>
            <w:tcW w:w="3094" w:type="dxa"/>
          </w:tcPr>
          <w:p w14:paraId="1EB71B71" w14:textId="77777777" w:rsidR="00823E47" w:rsidRPr="00E04B2A" w:rsidRDefault="00E453CD" w:rsidP="00823E47">
            <w:pPr>
              <w:numPr>
                <w:ilvl w:val="12"/>
                <w:numId w:val="0"/>
              </w:numPr>
              <w:ind w:right="-2"/>
              <w:rPr>
                <w:sz w:val="22"/>
              </w:rPr>
            </w:pPr>
            <w:r w:rsidRPr="00E04B2A">
              <w:rPr>
                <w:sz w:val="22"/>
              </w:rPr>
              <w:lastRenderedPageBreak/>
              <w:t xml:space="preserve">Du bør fortsette å ta </w:t>
            </w:r>
            <w:r w:rsidR="002E0B5C">
              <w:rPr>
                <w:sz w:val="22"/>
              </w:rPr>
              <w:t>den vanlige dosen av</w:t>
            </w:r>
            <w:r w:rsidR="002E0B5C" w:rsidRPr="00E04B2A">
              <w:rPr>
                <w:sz w:val="22"/>
              </w:rPr>
              <w:t xml:space="preserve"> </w:t>
            </w:r>
            <w:r w:rsidRPr="00E04B2A">
              <w:rPr>
                <w:sz w:val="22"/>
              </w:rPr>
              <w:t>Humira selv etter fylte 18 år.</w:t>
            </w:r>
          </w:p>
        </w:tc>
      </w:tr>
    </w:tbl>
    <w:p w14:paraId="519D806C" w14:textId="77777777" w:rsidR="009E676E" w:rsidRDefault="009E676E" w:rsidP="009E676E">
      <w:pPr>
        <w:suppressAutoHyphens/>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0"/>
        <w:gridCol w:w="3031"/>
      </w:tblGrid>
      <w:tr w:rsidR="004644D4" w14:paraId="226B94EF" w14:textId="77777777" w:rsidTr="00B36CC1">
        <w:tc>
          <w:tcPr>
            <w:tcW w:w="9055" w:type="dxa"/>
            <w:gridSpan w:val="3"/>
          </w:tcPr>
          <w:p w14:paraId="22549883" w14:textId="77777777" w:rsidR="009E676E" w:rsidRPr="00CB6504" w:rsidRDefault="00E453CD" w:rsidP="006947EE">
            <w:pPr>
              <w:numPr>
                <w:ilvl w:val="12"/>
                <w:numId w:val="0"/>
              </w:numPr>
              <w:ind w:right="-2"/>
              <w:rPr>
                <w:b/>
                <w:lang w:val="en-GB"/>
              </w:rPr>
            </w:pPr>
            <w:r w:rsidRPr="00CB6504">
              <w:rPr>
                <w:b/>
                <w:szCs w:val="22"/>
              </w:rPr>
              <w:t>Ikke-infeksiøs uveitt</w:t>
            </w:r>
            <w:r w:rsidRPr="00CB6504">
              <w:rPr>
                <w:b/>
                <w:sz w:val="22"/>
                <w:szCs w:val="22"/>
              </w:rPr>
              <w:t xml:space="preserve"> </w:t>
            </w:r>
          </w:p>
        </w:tc>
      </w:tr>
      <w:tr w:rsidR="004644D4" w14:paraId="7A7CA651" w14:textId="77777777" w:rsidTr="00B36CC1">
        <w:tc>
          <w:tcPr>
            <w:tcW w:w="3014" w:type="dxa"/>
          </w:tcPr>
          <w:p w14:paraId="143D6945" w14:textId="77777777" w:rsidR="009E676E" w:rsidRDefault="00E453CD" w:rsidP="006947EE">
            <w:pPr>
              <w:numPr>
                <w:ilvl w:val="12"/>
                <w:numId w:val="0"/>
              </w:numPr>
              <w:ind w:right="-2"/>
            </w:pPr>
            <w:r w:rsidRPr="0061743D">
              <w:rPr>
                <w:b/>
                <w:sz w:val="22"/>
              </w:rPr>
              <w:t>Alder eller kroppsvekt</w:t>
            </w:r>
          </w:p>
        </w:tc>
        <w:tc>
          <w:tcPr>
            <w:tcW w:w="3010" w:type="dxa"/>
          </w:tcPr>
          <w:p w14:paraId="12FC4ABF" w14:textId="77777777" w:rsidR="009E676E" w:rsidRPr="00C25673" w:rsidRDefault="00E453CD" w:rsidP="006947EE">
            <w:pPr>
              <w:tabs>
                <w:tab w:val="left" w:pos="0"/>
              </w:tabs>
            </w:pPr>
            <w:r w:rsidRPr="0061743D">
              <w:rPr>
                <w:b/>
                <w:sz w:val="22"/>
              </w:rPr>
              <w:t xml:space="preserve">Hvor mye og hvor ofte du </w:t>
            </w:r>
            <w:r w:rsidR="000F1B2A" w:rsidRPr="0061743D">
              <w:rPr>
                <w:b/>
                <w:sz w:val="22"/>
              </w:rPr>
              <w:t xml:space="preserve">skal </w:t>
            </w:r>
            <w:r w:rsidRPr="0061743D">
              <w:rPr>
                <w:b/>
                <w:sz w:val="22"/>
              </w:rPr>
              <w:t>ta?</w:t>
            </w:r>
          </w:p>
        </w:tc>
        <w:tc>
          <w:tcPr>
            <w:tcW w:w="3031" w:type="dxa"/>
          </w:tcPr>
          <w:p w14:paraId="73CC2A38" w14:textId="77777777" w:rsidR="009E676E" w:rsidRPr="0061743D" w:rsidRDefault="00E453CD" w:rsidP="006947EE">
            <w:pPr>
              <w:numPr>
                <w:ilvl w:val="12"/>
                <w:numId w:val="0"/>
              </w:numPr>
              <w:rPr>
                <w:sz w:val="22"/>
                <w:lang w:val="en-GB"/>
              </w:rPr>
            </w:pPr>
            <w:r w:rsidRPr="0061743D">
              <w:rPr>
                <w:b/>
                <w:sz w:val="22"/>
              </w:rPr>
              <w:t>Merknader</w:t>
            </w:r>
          </w:p>
        </w:tc>
      </w:tr>
      <w:tr w:rsidR="004644D4" w14:paraId="58FE7EC7" w14:textId="77777777" w:rsidTr="00B36CC1">
        <w:tc>
          <w:tcPr>
            <w:tcW w:w="3014" w:type="dxa"/>
          </w:tcPr>
          <w:p w14:paraId="1B057AEC" w14:textId="77777777" w:rsidR="009E676E" w:rsidRDefault="00E453CD" w:rsidP="006947EE">
            <w:pPr>
              <w:numPr>
                <w:ilvl w:val="12"/>
                <w:numId w:val="0"/>
              </w:numPr>
              <w:ind w:right="-2"/>
            </w:pPr>
            <w:r>
              <w:t>Voksne</w:t>
            </w:r>
          </w:p>
        </w:tc>
        <w:tc>
          <w:tcPr>
            <w:tcW w:w="3010" w:type="dxa"/>
          </w:tcPr>
          <w:p w14:paraId="3C496F33" w14:textId="77777777" w:rsidR="009E676E" w:rsidRPr="0024771F" w:rsidRDefault="00E453CD" w:rsidP="006947EE">
            <w:pPr>
              <w:tabs>
                <w:tab w:val="left" w:pos="0"/>
              </w:tabs>
            </w:pPr>
            <w:r w:rsidRPr="0061743D">
              <w:rPr>
                <w:sz w:val="22"/>
              </w:rPr>
              <w:t>Første dose på 80 mg (</w:t>
            </w:r>
            <w:r w:rsidR="00484456">
              <w:rPr>
                <w:sz w:val="22"/>
                <w:szCs w:val="22"/>
              </w:rPr>
              <w:t>é</w:t>
            </w:r>
            <w:r w:rsidR="000F1B2A">
              <w:rPr>
                <w:sz w:val="22"/>
                <w:szCs w:val="22"/>
              </w:rPr>
              <w:t>n</w:t>
            </w:r>
            <w:r w:rsidR="000F1B2A" w:rsidRPr="00F635CA">
              <w:rPr>
                <w:sz w:val="22"/>
                <w:szCs w:val="22"/>
              </w:rPr>
              <w:t xml:space="preserve"> </w:t>
            </w:r>
            <w:r w:rsidR="000F1B2A">
              <w:rPr>
                <w:sz w:val="22"/>
                <w:szCs w:val="22"/>
              </w:rPr>
              <w:t>80 mg injeksjon</w:t>
            </w:r>
            <w:r w:rsidRPr="0061743D">
              <w:rPr>
                <w:sz w:val="22"/>
              </w:rPr>
              <w:t>), etterfulgt av 40 mg annenhver uke som starter én uke etter den første dosen.</w:t>
            </w:r>
          </w:p>
        </w:tc>
        <w:tc>
          <w:tcPr>
            <w:tcW w:w="3031" w:type="dxa"/>
          </w:tcPr>
          <w:p w14:paraId="683BCB98" w14:textId="77777777" w:rsidR="009E676E" w:rsidRPr="0061743D" w:rsidRDefault="00E453CD" w:rsidP="006947EE">
            <w:pPr>
              <w:numPr>
                <w:ilvl w:val="12"/>
                <w:numId w:val="0"/>
              </w:numPr>
              <w:rPr>
                <w:sz w:val="22"/>
              </w:rPr>
            </w:pPr>
            <w:r>
              <w:rPr>
                <w:sz w:val="22"/>
              </w:rPr>
              <w:t>Behandling med k</w:t>
            </w:r>
            <w:r w:rsidRPr="0061743D">
              <w:rPr>
                <w:sz w:val="22"/>
              </w:rPr>
              <w:t xml:space="preserve">ortikosteroider eller andre </w:t>
            </w:r>
            <w:r>
              <w:rPr>
                <w:sz w:val="22"/>
              </w:rPr>
              <w:t>legemidler</w:t>
            </w:r>
            <w:r w:rsidRPr="0061743D">
              <w:rPr>
                <w:sz w:val="22"/>
              </w:rPr>
              <w:t xml:space="preserve"> som</w:t>
            </w:r>
            <w:r w:rsidRPr="00C746BC">
              <w:rPr>
                <w:sz w:val="22"/>
              </w:rPr>
              <w:t xml:space="preserve"> påvirker immunsys</w:t>
            </w:r>
            <w:r>
              <w:rPr>
                <w:sz w:val="22"/>
              </w:rPr>
              <w:t>t</w:t>
            </w:r>
            <w:r w:rsidRPr="00C746BC">
              <w:rPr>
                <w:sz w:val="22"/>
              </w:rPr>
              <w:t>emet</w:t>
            </w:r>
            <w:r w:rsidRPr="0061743D">
              <w:rPr>
                <w:sz w:val="22"/>
              </w:rPr>
              <w:t xml:space="preserve"> </w:t>
            </w:r>
            <w:r>
              <w:rPr>
                <w:sz w:val="22"/>
              </w:rPr>
              <w:t>kan</w:t>
            </w:r>
            <w:r w:rsidRPr="0061743D">
              <w:rPr>
                <w:sz w:val="22"/>
              </w:rPr>
              <w:t xml:space="preserve"> fortsette under behandling med Humira.</w:t>
            </w:r>
            <w:r>
              <w:rPr>
                <w:sz w:val="22"/>
              </w:rPr>
              <w:t xml:space="preserve"> Humira kan også gis alene.</w:t>
            </w:r>
          </w:p>
        </w:tc>
      </w:tr>
      <w:tr w:rsidR="004644D4" w14:paraId="2F9FB13C" w14:textId="77777777" w:rsidTr="00B36CC1">
        <w:tc>
          <w:tcPr>
            <w:tcW w:w="3014" w:type="dxa"/>
          </w:tcPr>
          <w:p w14:paraId="36527C19" w14:textId="77777777" w:rsidR="00B36CC1" w:rsidRDefault="00E453CD" w:rsidP="006947EE">
            <w:pPr>
              <w:keepNext/>
              <w:numPr>
                <w:ilvl w:val="12"/>
                <w:numId w:val="0"/>
              </w:numPr>
              <w:ind w:right="-2"/>
            </w:pPr>
            <w:r w:rsidRPr="00BF7743">
              <w:rPr>
                <w:sz w:val="22"/>
              </w:rPr>
              <w:t xml:space="preserve">Barn </w:t>
            </w:r>
            <w:r w:rsidR="00D33F44">
              <w:rPr>
                <w:sz w:val="22"/>
              </w:rPr>
              <w:t xml:space="preserve">og ungdom </w:t>
            </w:r>
            <w:r w:rsidR="008167D9">
              <w:rPr>
                <w:sz w:val="22"/>
              </w:rPr>
              <w:t>over</w:t>
            </w:r>
            <w:r w:rsidRPr="00BF7743">
              <w:rPr>
                <w:sz w:val="22"/>
              </w:rPr>
              <w:t xml:space="preserve"> 2 år som veier </w:t>
            </w:r>
            <w:r>
              <w:rPr>
                <w:sz w:val="22"/>
              </w:rPr>
              <w:t>under</w:t>
            </w:r>
            <w:r w:rsidRPr="00BF7743">
              <w:rPr>
                <w:sz w:val="22"/>
              </w:rPr>
              <w:t xml:space="preserve"> 30 kg</w:t>
            </w:r>
          </w:p>
        </w:tc>
        <w:tc>
          <w:tcPr>
            <w:tcW w:w="3010" w:type="dxa"/>
          </w:tcPr>
          <w:p w14:paraId="156FA2D3" w14:textId="77777777" w:rsidR="00B36CC1" w:rsidRPr="0061743D" w:rsidRDefault="00E453CD" w:rsidP="006947EE">
            <w:pPr>
              <w:keepNext/>
              <w:tabs>
                <w:tab w:val="left" w:pos="0"/>
              </w:tabs>
              <w:rPr>
                <w:sz w:val="22"/>
              </w:rPr>
            </w:pPr>
            <w:r w:rsidRPr="00BF7743">
              <w:rPr>
                <w:sz w:val="22"/>
                <w:szCs w:val="22"/>
              </w:rPr>
              <w:t>20 mg annenhver uke</w:t>
            </w:r>
          </w:p>
        </w:tc>
        <w:tc>
          <w:tcPr>
            <w:tcW w:w="3031" w:type="dxa"/>
          </w:tcPr>
          <w:p w14:paraId="76C64706" w14:textId="77777777" w:rsidR="00B36CC1" w:rsidRPr="00EB049D" w:rsidRDefault="00E453CD" w:rsidP="006947EE">
            <w:pPr>
              <w:keepNext/>
              <w:numPr>
                <w:ilvl w:val="12"/>
                <w:numId w:val="0"/>
              </w:numPr>
              <w:rPr>
                <w:sz w:val="22"/>
              </w:rPr>
            </w:pPr>
            <w:r w:rsidRPr="00B3311E">
              <w:rPr>
                <w:sz w:val="22"/>
                <w:szCs w:val="22"/>
              </w:rPr>
              <w:t xml:space="preserve">Legen din kan forskrive en startdose på 40 mg som skal gis én uke før </w:t>
            </w:r>
            <w:r w:rsidR="008167D9">
              <w:rPr>
                <w:sz w:val="22"/>
                <w:szCs w:val="22"/>
              </w:rPr>
              <w:t xml:space="preserve">oppstart av </w:t>
            </w:r>
            <w:r w:rsidRPr="00B3311E">
              <w:rPr>
                <w:sz w:val="22"/>
                <w:szCs w:val="22"/>
              </w:rPr>
              <w:t>den vanlige dosen på 20 mg annenhver uke. Det anbefales å bruke Humira sammen med metotreksat.</w:t>
            </w:r>
          </w:p>
        </w:tc>
      </w:tr>
      <w:tr w:rsidR="004644D4" w14:paraId="455D2F2C" w14:textId="77777777" w:rsidTr="00B36CC1">
        <w:tc>
          <w:tcPr>
            <w:tcW w:w="3014" w:type="dxa"/>
          </w:tcPr>
          <w:p w14:paraId="1C5F0E9C" w14:textId="77777777" w:rsidR="00B36CC1" w:rsidRPr="00BF7743" w:rsidRDefault="00E453CD" w:rsidP="008167D9">
            <w:pPr>
              <w:numPr>
                <w:ilvl w:val="12"/>
                <w:numId w:val="0"/>
              </w:numPr>
              <w:ind w:right="-2"/>
              <w:rPr>
                <w:sz w:val="22"/>
              </w:rPr>
            </w:pPr>
            <w:r>
              <w:rPr>
                <w:sz w:val="22"/>
              </w:rPr>
              <w:t xml:space="preserve">Barn </w:t>
            </w:r>
            <w:r w:rsidR="00D33F44">
              <w:rPr>
                <w:sz w:val="22"/>
              </w:rPr>
              <w:t xml:space="preserve">og ungdom </w:t>
            </w:r>
            <w:r w:rsidR="008167D9">
              <w:rPr>
                <w:sz w:val="22"/>
              </w:rPr>
              <w:t>over</w:t>
            </w:r>
            <w:r>
              <w:rPr>
                <w:sz w:val="22"/>
              </w:rPr>
              <w:t xml:space="preserve"> 2 år som veier 30 kg</w:t>
            </w:r>
            <w:r w:rsidR="00D33F44">
              <w:rPr>
                <w:sz w:val="22"/>
              </w:rPr>
              <w:t xml:space="preserve"> eller mer</w:t>
            </w:r>
          </w:p>
        </w:tc>
        <w:tc>
          <w:tcPr>
            <w:tcW w:w="3010" w:type="dxa"/>
          </w:tcPr>
          <w:p w14:paraId="05C038EA" w14:textId="77777777" w:rsidR="00B36CC1" w:rsidRPr="00BF7743" w:rsidRDefault="00E453CD" w:rsidP="00B36CC1">
            <w:pPr>
              <w:tabs>
                <w:tab w:val="left" w:pos="0"/>
              </w:tabs>
              <w:rPr>
                <w:sz w:val="22"/>
                <w:szCs w:val="22"/>
              </w:rPr>
            </w:pPr>
            <w:r w:rsidRPr="00BF7743">
              <w:rPr>
                <w:sz w:val="22"/>
                <w:szCs w:val="22"/>
              </w:rPr>
              <w:t>40 mg annenhver uke</w:t>
            </w:r>
          </w:p>
        </w:tc>
        <w:tc>
          <w:tcPr>
            <w:tcW w:w="3031" w:type="dxa"/>
          </w:tcPr>
          <w:p w14:paraId="3A540C00" w14:textId="77777777" w:rsidR="00B36CC1" w:rsidRDefault="00E453CD" w:rsidP="008167D9">
            <w:pPr>
              <w:numPr>
                <w:ilvl w:val="12"/>
                <w:numId w:val="0"/>
              </w:numPr>
              <w:rPr>
                <w:b/>
                <w:szCs w:val="22"/>
              </w:rPr>
            </w:pPr>
            <w:r w:rsidRPr="00BF7743">
              <w:rPr>
                <w:sz w:val="22"/>
                <w:szCs w:val="22"/>
              </w:rPr>
              <w:t>Legen din</w:t>
            </w:r>
            <w:r w:rsidRPr="00B36CC1">
              <w:rPr>
                <w:sz w:val="22"/>
                <w:szCs w:val="22"/>
              </w:rPr>
              <w:t xml:space="preserve"> kan forskrive en startdose på 8</w:t>
            </w:r>
            <w:r w:rsidRPr="00BF7743">
              <w:rPr>
                <w:sz w:val="22"/>
                <w:szCs w:val="22"/>
              </w:rPr>
              <w:t xml:space="preserve">0 mg som skal gis én uke før </w:t>
            </w:r>
            <w:r w:rsidR="008167D9">
              <w:rPr>
                <w:sz w:val="22"/>
                <w:szCs w:val="22"/>
              </w:rPr>
              <w:t xml:space="preserve">oppstart av </w:t>
            </w:r>
            <w:r w:rsidRPr="00BF7743">
              <w:rPr>
                <w:sz w:val="22"/>
                <w:szCs w:val="22"/>
              </w:rPr>
              <w:t xml:space="preserve">den vanlige dosen </w:t>
            </w:r>
            <w:r w:rsidRPr="00B36CC1">
              <w:rPr>
                <w:sz w:val="22"/>
                <w:szCs w:val="22"/>
              </w:rPr>
              <w:t>på 4</w:t>
            </w:r>
            <w:r w:rsidRPr="00BF7743">
              <w:rPr>
                <w:sz w:val="22"/>
                <w:szCs w:val="22"/>
              </w:rPr>
              <w:t>0 mg annenhver uke. Det anbefales å bruke Humira sammen med metotreksat.</w:t>
            </w:r>
          </w:p>
        </w:tc>
      </w:tr>
    </w:tbl>
    <w:p w14:paraId="22E7764A" w14:textId="77777777" w:rsidR="009E676E" w:rsidRPr="00CB538B" w:rsidRDefault="009E676E" w:rsidP="009E676E">
      <w:pPr>
        <w:suppressAutoHyphens/>
        <w:rPr>
          <w:sz w:val="22"/>
          <w:szCs w:val="22"/>
        </w:rPr>
      </w:pPr>
    </w:p>
    <w:p w14:paraId="24B1BD6A" w14:textId="77777777" w:rsidR="009E676E" w:rsidRPr="009C5EFD" w:rsidRDefault="00E453CD" w:rsidP="00776A84">
      <w:pPr>
        <w:keepNext/>
        <w:suppressAutoHyphens/>
        <w:rPr>
          <w:b/>
          <w:sz w:val="22"/>
          <w:szCs w:val="22"/>
        </w:rPr>
      </w:pPr>
      <w:r w:rsidRPr="009C5EFD">
        <w:rPr>
          <w:b/>
          <w:sz w:val="22"/>
          <w:szCs w:val="22"/>
        </w:rPr>
        <w:t>Metode og administrasjonsmåte</w:t>
      </w:r>
    </w:p>
    <w:p w14:paraId="51BC5EC1" w14:textId="77777777" w:rsidR="009E676E" w:rsidRPr="009C5EFD" w:rsidRDefault="009E676E" w:rsidP="00776A84">
      <w:pPr>
        <w:keepNext/>
        <w:suppressAutoHyphens/>
        <w:rPr>
          <w:sz w:val="22"/>
          <w:szCs w:val="22"/>
        </w:rPr>
      </w:pPr>
    </w:p>
    <w:p w14:paraId="428BE462" w14:textId="77777777" w:rsidR="009E676E" w:rsidRPr="009C5EFD" w:rsidRDefault="00E453CD" w:rsidP="009E676E">
      <w:pPr>
        <w:suppressAutoHyphens/>
        <w:rPr>
          <w:sz w:val="22"/>
          <w:szCs w:val="22"/>
        </w:rPr>
      </w:pPr>
      <w:r w:rsidRPr="009C5EFD">
        <w:rPr>
          <w:sz w:val="22"/>
          <w:szCs w:val="22"/>
        </w:rPr>
        <w:t>Humira administreres (gis) ved injeksjon under huden (ved subkutan injeksjon).</w:t>
      </w:r>
    </w:p>
    <w:p w14:paraId="0BC56E61" w14:textId="77777777" w:rsidR="009E676E" w:rsidRPr="00C11730" w:rsidRDefault="009E676E" w:rsidP="009E676E">
      <w:pPr>
        <w:suppressAutoHyphens/>
      </w:pPr>
    </w:p>
    <w:p w14:paraId="30282C7F" w14:textId="77777777" w:rsidR="009E676E" w:rsidRPr="00887835" w:rsidRDefault="00E453CD" w:rsidP="009E676E">
      <w:pPr>
        <w:suppressAutoHyphens/>
        <w:rPr>
          <w:b/>
          <w:sz w:val="22"/>
          <w:szCs w:val="22"/>
        </w:rPr>
      </w:pPr>
      <w:r w:rsidRPr="00887835">
        <w:rPr>
          <w:b/>
          <w:sz w:val="22"/>
          <w:szCs w:val="22"/>
        </w:rPr>
        <w:t xml:space="preserve">Detaljerte instruksjoner om hvordan du injiserer Humira </w:t>
      </w:r>
      <w:r w:rsidR="008167D9">
        <w:rPr>
          <w:b/>
          <w:sz w:val="22"/>
          <w:szCs w:val="22"/>
        </w:rPr>
        <w:t>finnes</w:t>
      </w:r>
      <w:r w:rsidRPr="00887835">
        <w:rPr>
          <w:b/>
          <w:sz w:val="22"/>
          <w:szCs w:val="22"/>
        </w:rPr>
        <w:t xml:space="preserve"> i avsnitt 7 </w:t>
      </w:r>
      <w:r w:rsidR="00D57009">
        <w:rPr>
          <w:b/>
          <w:sz w:val="22"/>
          <w:szCs w:val="22"/>
        </w:rPr>
        <w:t>«</w:t>
      </w:r>
      <w:r w:rsidR="00B376DE" w:rsidRPr="00B376DE">
        <w:rPr>
          <w:b/>
          <w:sz w:val="22"/>
          <w:szCs w:val="22"/>
        </w:rPr>
        <w:t>Hvordan du injiserer Humira</w:t>
      </w:r>
      <w:r w:rsidR="00D57009">
        <w:rPr>
          <w:b/>
          <w:sz w:val="22"/>
          <w:szCs w:val="22"/>
        </w:rPr>
        <w:t>»</w:t>
      </w:r>
      <w:r w:rsidRPr="00887835">
        <w:rPr>
          <w:b/>
          <w:sz w:val="22"/>
          <w:szCs w:val="22"/>
        </w:rPr>
        <w:t xml:space="preserve">. </w:t>
      </w:r>
    </w:p>
    <w:p w14:paraId="103FD2E4" w14:textId="77777777" w:rsidR="009E676E" w:rsidRPr="009C5EFD" w:rsidRDefault="009E676E" w:rsidP="009E676E">
      <w:pPr>
        <w:suppressAutoHyphens/>
        <w:rPr>
          <w:sz w:val="22"/>
          <w:szCs w:val="22"/>
        </w:rPr>
      </w:pPr>
    </w:p>
    <w:p w14:paraId="7B8A24A1" w14:textId="77777777" w:rsidR="009E676E" w:rsidRPr="009C5EFD" w:rsidRDefault="00E453CD" w:rsidP="00776A84">
      <w:pPr>
        <w:keepNext/>
        <w:rPr>
          <w:b/>
          <w:sz w:val="22"/>
          <w:szCs w:val="22"/>
        </w:rPr>
      </w:pPr>
      <w:r w:rsidRPr="009C5EFD">
        <w:rPr>
          <w:b/>
          <w:sz w:val="22"/>
          <w:szCs w:val="22"/>
        </w:rPr>
        <w:t>Dersom du tar for mye av Humira</w:t>
      </w:r>
    </w:p>
    <w:p w14:paraId="7DAC3057" w14:textId="77777777" w:rsidR="009E676E" w:rsidRPr="009C5EFD" w:rsidRDefault="009E676E" w:rsidP="00776A84">
      <w:pPr>
        <w:keepNext/>
        <w:rPr>
          <w:sz w:val="22"/>
          <w:szCs w:val="22"/>
        </w:rPr>
      </w:pPr>
    </w:p>
    <w:p w14:paraId="51C7838C" w14:textId="77777777" w:rsidR="009E676E" w:rsidRPr="009C5EFD" w:rsidRDefault="00E453CD" w:rsidP="009E676E">
      <w:pPr>
        <w:rPr>
          <w:sz w:val="22"/>
          <w:szCs w:val="22"/>
        </w:rPr>
      </w:pPr>
      <w:r w:rsidRPr="009C5EFD">
        <w:rPr>
          <w:sz w:val="22"/>
          <w:szCs w:val="22"/>
        </w:rPr>
        <w:t xml:space="preserve">Dersom du ved et uhell </w:t>
      </w:r>
      <w:r w:rsidR="00370C4D">
        <w:rPr>
          <w:sz w:val="22"/>
          <w:szCs w:val="22"/>
        </w:rPr>
        <w:t>injiserer</w:t>
      </w:r>
      <w:r w:rsidRPr="009C5EFD">
        <w:rPr>
          <w:sz w:val="22"/>
          <w:szCs w:val="22"/>
        </w:rPr>
        <w:t xml:space="preserve"> Humira oftere enn legen </w:t>
      </w:r>
      <w:r>
        <w:rPr>
          <w:sz w:val="22"/>
          <w:szCs w:val="22"/>
        </w:rPr>
        <w:t xml:space="preserve">din </w:t>
      </w:r>
      <w:r w:rsidRPr="009C5EFD">
        <w:rPr>
          <w:sz w:val="22"/>
          <w:szCs w:val="22"/>
        </w:rPr>
        <w:t xml:space="preserve">har forskrevet, oppsøk legen </w:t>
      </w:r>
      <w:r>
        <w:rPr>
          <w:sz w:val="22"/>
          <w:szCs w:val="22"/>
        </w:rPr>
        <w:t xml:space="preserve">din </w:t>
      </w:r>
      <w:r w:rsidRPr="009C5EFD">
        <w:rPr>
          <w:sz w:val="22"/>
          <w:szCs w:val="22"/>
        </w:rPr>
        <w:t xml:space="preserve">eller farmasøyt på apotek og fortell </w:t>
      </w:r>
      <w:r>
        <w:rPr>
          <w:sz w:val="22"/>
          <w:szCs w:val="22"/>
        </w:rPr>
        <w:t>dem</w:t>
      </w:r>
      <w:r w:rsidRPr="009C5EFD">
        <w:rPr>
          <w:sz w:val="22"/>
          <w:szCs w:val="22"/>
        </w:rPr>
        <w:t xml:space="preserve"> at du har tatt for mye. Ta alltid med deg ytterpakningen til legemidlet, selv om den er tom.</w:t>
      </w:r>
    </w:p>
    <w:p w14:paraId="6E0E7B22" w14:textId="77777777" w:rsidR="009E676E" w:rsidRPr="009C5EFD" w:rsidRDefault="009E676E" w:rsidP="009E676E">
      <w:pPr>
        <w:rPr>
          <w:b/>
          <w:sz w:val="22"/>
          <w:szCs w:val="22"/>
        </w:rPr>
      </w:pPr>
    </w:p>
    <w:p w14:paraId="3C96A90F" w14:textId="77777777" w:rsidR="009E676E" w:rsidRPr="009C5EFD" w:rsidRDefault="00E453CD" w:rsidP="009E676E">
      <w:pPr>
        <w:keepNext/>
        <w:rPr>
          <w:b/>
          <w:sz w:val="22"/>
          <w:szCs w:val="22"/>
        </w:rPr>
      </w:pPr>
      <w:r w:rsidRPr="009C5EFD">
        <w:rPr>
          <w:b/>
          <w:sz w:val="22"/>
          <w:szCs w:val="22"/>
        </w:rPr>
        <w:t>Dersom du har glemt å ta Humira</w:t>
      </w:r>
    </w:p>
    <w:p w14:paraId="7AE078E4" w14:textId="77777777" w:rsidR="009E676E" w:rsidRPr="009C5EFD" w:rsidRDefault="009E676E" w:rsidP="009E676E">
      <w:pPr>
        <w:keepNext/>
        <w:rPr>
          <w:sz w:val="22"/>
          <w:szCs w:val="22"/>
        </w:rPr>
      </w:pPr>
    </w:p>
    <w:p w14:paraId="108AB7DF" w14:textId="77777777" w:rsidR="009E676E" w:rsidRPr="009C5EFD" w:rsidRDefault="00E453CD" w:rsidP="00776A84">
      <w:pPr>
        <w:rPr>
          <w:sz w:val="22"/>
          <w:szCs w:val="22"/>
        </w:rPr>
      </w:pPr>
      <w:r w:rsidRPr="009C5EFD">
        <w:rPr>
          <w:sz w:val="22"/>
          <w:szCs w:val="22"/>
        </w:rPr>
        <w:t xml:space="preserve">Dersom du har glemt å ta Humira, skal du sette neste dose så snart du </w:t>
      </w:r>
      <w:r w:rsidRPr="009C5EFD">
        <w:rPr>
          <w:color w:val="000000"/>
          <w:sz w:val="22"/>
          <w:szCs w:val="22"/>
        </w:rPr>
        <w:t xml:space="preserve">husker </w:t>
      </w:r>
      <w:r w:rsidRPr="009C5EFD">
        <w:rPr>
          <w:sz w:val="22"/>
          <w:szCs w:val="22"/>
        </w:rPr>
        <w:t xml:space="preserve">det. </w:t>
      </w:r>
      <w:r w:rsidRPr="009C5EFD">
        <w:rPr>
          <w:color w:val="000000"/>
          <w:sz w:val="22"/>
          <w:szCs w:val="22"/>
        </w:rPr>
        <w:t>Deretter</w:t>
      </w:r>
      <w:r w:rsidRPr="009C5EFD">
        <w:rPr>
          <w:sz w:val="22"/>
          <w:szCs w:val="22"/>
        </w:rPr>
        <w:t xml:space="preserve"> kan du sette neste dose den dagen det opprinnelig var planlagt, som om du ikke hadde glemt en dose.</w:t>
      </w:r>
    </w:p>
    <w:p w14:paraId="34BC8F00" w14:textId="77777777" w:rsidR="009E676E" w:rsidRPr="009C5EFD" w:rsidRDefault="009E676E" w:rsidP="009E676E">
      <w:pPr>
        <w:rPr>
          <w:sz w:val="22"/>
          <w:szCs w:val="22"/>
        </w:rPr>
      </w:pPr>
    </w:p>
    <w:p w14:paraId="40C6B430" w14:textId="77777777" w:rsidR="009E676E" w:rsidRPr="009C5EFD" w:rsidRDefault="00E453CD" w:rsidP="00776A84">
      <w:pPr>
        <w:keepNext/>
        <w:rPr>
          <w:b/>
          <w:sz w:val="22"/>
          <w:szCs w:val="22"/>
        </w:rPr>
      </w:pPr>
      <w:r w:rsidRPr="009C5EFD">
        <w:rPr>
          <w:b/>
          <w:sz w:val="22"/>
          <w:szCs w:val="22"/>
        </w:rPr>
        <w:t>Dersom du avbryter behandling med Humira</w:t>
      </w:r>
    </w:p>
    <w:p w14:paraId="21FB7054" w14:textId="77777777" w:rsidR="009E676E" w:rsidRPr="009C5EFD" w:rsidRDefault="009E676E" w:rsidP="00776A84">
      <w:pPr>
        <w:keepNext/>
        <w:suppressAutoHyphens/>
        <w:rPr>
          <w:sz w:val="22"/>
          <w:szCs w:val="22"/>
        </w:rPr>
      </w:pPr>
    </w:p>
    <w:p w14:paraId="461106A7" w14:textId="77777777" w:rsidR="009E676E" w:rsidRPr="009C5EFD" w:rsidRDefault="00E453CD" w:rsidP="009E676E">
      <w:pPr>
        <w:rPr>
          <w:sz w:val="22"/>
          <w:szCs w:val="22"/>
        </w:rPr>
      </w:pPr>
      <w:r w:rsidRPr="009C5EFD">
        <w:rPr>
          <w:sz w:val="22"/>
          <w:szCs w:val="22"/>
        </w:rPr>
        <w:t xml:space="preserve">Beslutningen om å avbryte behandling med Humira bør diskuteres med </w:t>
      </w:r>
      <w:r>
        <w:rPr>
          <w:sz w:val="22"/>
          <w:szCs w:val="22"/>
        </w:rPr>
        <w:t>legen din</w:t>
      </w:r>
      <w:r w:rsidRPr="009C5EFD">
        <w:rPr>
          <w:sz w:val="22"/>
          <w:szCs w:val="22"/>
        </w:rPr>
        <w:t xml:space="preserve">. Dine symptomer kan komme tilbake </w:t>
      </w:r>
      <w:r>
        <w:rPr>
          <w:sz w:val="22"/>
          <w:szCs w:val="22"/>
        </w:rPr>
        <w:t>hvis du slutter å bruke Humira</w:t>
      </w:r>
      <w:r w:rsidRPr="009C5EFD">
        <w:rPr>
          <w:sz w:val="22"/>
          <w:szCs w:val="22"/>
        </w:rPr>
        <w:t>.</w:t>
      </w:r>
    </w:p>
    <w:p w14:paraId="16392118" w14:textId="77777777" w:rsidR="009E676E" w:rsidRPr="009C5EFD" w:rsidRDefault="009E676E" w:rsidP="009E676E">
      <w:pPr>
        <w:rPr>
          <w:sz w:val="22"/>
          <w:szCs w:val="22"/>
        </w:rPr>
      </w:pPr>
    </w:p>
    <w:p w14:paraId="28B742D4" w14:textId="77777777" w:rsidR="009E676E" w:rsidRPr="009C5EFD" w:rsidRDefault="00E453CD" w:rsidP="009E676E">
      <w:pPr>
        <w:rPr>
          <w:sz w:val="22"/>
          <w:szCs w:val="22"/>
        </w:rPr>
      </w:pPr>
      <w:r w:rsidRPr="009C5EFD">
        <w:rPr>
          <w:sz w:val="22"/>
          <w:szCs w:val="22"/>
        </w:rPr>
        <w:t>Spør lege eller apotek dersom du har noen spørsmål om bruken av dette legemidlet.</w:t>
      </w:r>
    </w:p>
    <w:p w14:paraId="198B7FD5" w14:textId="77777777" w:rsidR="009E676E" w:rsidRPr="009C5EFD" w:rsidRDefault="009E676E" w:rsidP="009E676E">
      <w:pPr>
        <w:suppressAutoHyphens/>
        <w:rPr>
          <w:sz w:val="22"/>
          <w:szCs w:val="22"/>
        </w:rPr>
      </w:pPr>
    </w:p>
    <w:p w14:paraId="17B3C66E" w14:textId="77777777" w:rsidR="009E676E" w:rsidRPr="009C5EFD" w:rsidRDefault="009E676E" w:rsidP="009E676E">
      <w:pPr>
        <w:suppressAutoHyphens/>
        <w:rPr>
          <w:sz w:val="22"/>
          <w:szCs w:val="22"/>
        </w:rPr>
      </w:pPr>
    </w:p>
    <w:p w14:paraId="66D01857" w14:textId="77777777" w:rsidR="009E676E" w:rsidRPr="009C5EFD" w:rsidRDefault="00E453CD" w:rsidP="009E676E">
      <w:pPr>
        <w:keepNext/>
        <w:tabs>
          <w:tab w:val="left" w:pos="567"/>
        </w:tabs>
        <w:suppressAutoHyphens/>
        <w:rPr>
          <w:b/>
          <w:sz w:val="22"/>
          <w:szCs w:val="22"/>
        </w:rPr>
      </w:pPr>
      <w:r w:rsidRPr="009C5EFD">
        <w:rPr>
          <w:b/>
          <w:sz w:val="22"/>
          <w:szCs w:val="22"/>
        </w:rPr>
        <w:lastRenderedPageBreak/>
        <w:t>4.</w:t>
      </w:r>
      <w:r w:rsidRPr="009C5EFD">
        <w:rPr>
          <w:b/>
          <w:sz w:val="22"/>
          <w:szCs w:val="22"/>
        </w:rPr>
        <w:tab/>
        <w:t>Mulige bivirkninger</w:t>
      </w:r>
    </w:p>
    <w:p w14:paraId="5842AC27" w14:textId="77777777" w:rsidR="009E676E" w:rsidRPr="009C5EFD" w:rsidRDefault="009E676E" w:rsidP="009E676E">
      <w:pPr>
        <w:keepNext/>
        <w:suppressAutoHyphens/>
        <w:rPr>
          <w:sz w:val="22"/>
          <w:szCs w:val="22"/>
        </w:rPr>
      </w:pPr>
    </w:p>
    <w:p w14:paraId="10D33940" w14:textId="77777777" w:rsidR="009E676E" w:rsidRPr="009C5EFD" w:rsidRDefault="00E453CD" w:rsidP="00776A84">
      <w:pPr>
        <w:suppressAutoHyphens/>
        <w:rPr>
          <w:sz w:val="22"/>
          <w:szCs w:val="22"/>
        </w:rPr>
      </w:pPr>
      <w:r w:rsidRPr="009C5EFD">
        <w:rPr>
          <w:sz w:val="22"/>
          <w:szCs w:val="22"/>
        </w:rPr>
        <w:t>Som alle legemidler kan dette legemidlet forårsake bivirkninger, men ikke alle får det. De fleste bivirkningene er milde til moderate. Noen kan imidlertid være alvorlige og kreve behandling. Bivirkninger kan oppstå i minst 4 måneder etter siste injeksjon med Humira.</w:t>
      </w:r>
    </w:p>
    <w:p w14:paraId="12480101" w14:textId="77777777" w:rsidR="009E676E" w:rsidRPr="009C5EFD" w:rsidRDefault="009E676E" w:rsidP="009E676E">
      <w:pPr>
        <w:suppressAutoHyphens/>
        <w:rPr>
          <w:sz w:val="22"/>
          <w:szCs w:val="22"/>
        </w:rPr>
      </w:pPr>
    </w:p>
    <w:p w14:paraId="6F5B320B" w14:textId="77777777" w:rsidR="009E676E" w:rsidRPr="009C5EFD" w:rsidRDefault="00E453CD" w:rsidP="00802544">
      <w:pPr>
        <w:keepNext/>
        <w:suppressAutoHyphens/>
        <w:rPr>
          <w:sz w:val="22"/>
          <w:szCs w:val="22"/>
        </w:rPr>
      </w:pPr>
      <w:r w:rsidRPr="00887835">
        <w:rPr>
          <w:b/>
          <w:sz w:val="22"/>
          <w:szCs w:val="22"/>
        </w:rPr>
        <w:t>Gi beskjed til legen din umiddelbart dersom</w:t>
      </w:r>
      <w:r w:rsidRPr="0061743D">
        <w:rPr>
          <w:b/>
          <w:sz w:val="22"/>
        </w:rPr>
        <w:t xml:space="preserve"> du merker noe av det følgende</w:t>
      </w:r>
    </w:p>
    <w:p w14:paraId="189BB00F" w14:textId="77777777" w:rsidR="009E676E" w:rsidRPr="009C5EFD" w:rsidRDefault="009E676E" w:rsidP="00802544">
      <w:pPr>
        <w:keepNext/>
        <w:suppressAutoHyphens/>
        <w:rPr>
          <w:sz w:val="22"/>
          <w:szCs w:val="22"/>
        </w:rPr>
      </w:pPr>
    </w:p>
    <w:p w14:paraId="27BDDDD5" w14:textId="77777777" w:rsidR="009E676E"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a</w:t>
      </w:r>
      <w:r w:rsidRPr="009C5EFD">
        <w:rPr>
          <w:sz w:val="22"/>
          <w:szCs w:val="22"/>
        </w:rPr>
        <w:t>lvorlig utslett, elveblest eller andre tegn på allergisk reaksjon</w:t>
      </w:r>
    </w:p>
    <w:p w14:paraId="39F3F890" w14:textId="77777777" w:rsidR="009E676E"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h</w:t>
      </w:r>
      <w:r w:rsidRPr="009C5EFD">
        <w:rPr>
          <w:sz w:val="22"/>
          <w:szCs w:val="22"/>
        </w:rPr>
        <w:t>ovent ansikt, hender, føtter</w:t>
      </w:r>
    </w:p>
    <w:p w14:paraId="5F939164" w14:textId="77777777" w:rsidR="009E676E"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p</w:t>
      </w:r>
      <w:r w:rsidRPr="009C5EFD">
        <w:rPr>
          <w:sz w:val="22"/>
          <w:szCs w:val="22"/>
        </w:rPr>
        <w:t>uste-, svelgebesvær</w:t>
      </w:r>
    </w:p>
    <w:p w14:paraId="3B3D8471" w14:textId="77777777" w:rsidR="009E676E"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k</w:t>
      </w:r>
      <w:r w:rsidRPr="009C5EFD">
        <w:rPr>
          <w:sz w:val="22"/>
          <w:szCs w:val="22"/>
        </w:rPr>
        <w:t xml:space="preserve">ortpustethet i forbindelse med </w:t>
      </w:r>
      <w:r>
        <w:rPr>
          <w:sz w:val="22"/>
          <w:szCs w:val="22"/>
        </w:rPr>
        <w:t>fysisk aktivitet</w:t>
      </w:r>
      <w:r w:rsidRPr="009C5EFD">
        <w:rPr>
          <w:sz w:val="22"/>
          <w:szCs w:val="22"/>
        </w:rPr>
        <w:t xml:space="preserve"> eller når man ligger ned, eller hevelse i føttene</w:t>
      </w:r>
    </w:p>
    <w:p w14:paraId="420EB818" w14:textId="77777777" w:rsidR="009E676E" w:rsidRPr="009C5EFD" w:rsidRDefault="009E676E" w:rsidP="009E676E">
      <w:pPr>
        <w:tabs>
          <w:tab w:val="num" w:pos="567"/>
        </w:tabs>
        <w:suppressAutoHyphens/>
        <w:ind w:left="567" w:hanging="567"/>
        <w:rPr>
          <w:sz w:val="22"/>
          <w:szCs w:val="22"/>
        </w:rPr>
      </w:pPr>
    </w:p>
    <w:p w14:paraId="49B950C7" w14:textId="77777777" w:rsidR="009E676E" w:rsidRPr="009C5EFD" w:rsidRDefault="00E453CD" w:rsidP="00776A84">
      <w:pPr>
        <w:keepNext/>
        <w:tabs>
          <w:tab w:val="num" w:pos="567"/>
        </w:tabs>
        <w:suppressAutoHyphens/>
        <w:ind w:left="567" w:hanging="567"/>
        <w:rPr>
          <w:sz w:val="22"/>
          <w:szCs w:val="22"/>
        </w:rPr>
      </w:pPr>
      <w:r w:rsidRPr="0061743D">
        <w:rPr>
          <w:b/>
          <w:sz w:val="22"/>
        </w:rPr>
        <w:t xml:space="preserve">Gi beskjed til legen </w:t>
      </w:r>
      <w:r w:rsidRPr="00887835">
        <w:rPr>
          <w:b/>
          <w:sz w:val="22"/>
          <w:szCs w:val="22"/>
        </w:rPr>
        <w:t xml:space="preserve">din </w:t>
      </w:r>
      <w:r w:rsidRPr="0061743D">
        <w:rPr>
          <w:b/>
          <w:sz w:val="22"/>
        </w:rPr>
        <w:t>så raskt som mulig dersom du merker noe av dette</w:t>
      </w:r>
    </w:p>
    <w:p w14:paraId="655CB6E3" w14:textId="77777777" w:rsidR="009E676E" w:rsidRPr="009C5EFD" w:rsidRDefault="009E676E" w:rsidP="00776A84">
      <w:pPr>
        <w:keepNext/>
        <w:tabs>
          <w:tab w:val="num" w:pos="567"/>
        </w:tabs>
        <w:suppressAutoHyphens/>
        <w:ind w:left="567" w:hanging="567"/>
        <w:rPr>
          <w:sz w:val="22"/>
          <w:szCs w:val="22"/>
        </w:rPr>
      </w:pPr>
    </w:p>
    <w:p w14:paraId="30E0FF14"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t</w:t>
      </w:r>
      <w:r w:rsidRPr="009C5EFD">
        <w:rPr>
          <w:sz w:val="22"/>
          <w:szCs w:val="22"/>
        </w:rPr>
        <w:t>egn på infeksjoner, som feber, uvelhet, sår, tannproblemer, svie ved vannlating</w:t>
      </w:r>
    </w:p>
    <w:p w14:paraId="42A66939"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f</w:t>
      </w:r>
      <w:r w:rsidRPr="009C5EFD">
        <w:rPr>
          <w:sz w:val="22"/>
          <w:szCs w:val="22"/>
        </w:rPr>
        <w:t>ølelse av svakhet eller tretthet</w:t>
      </w:r>
    </w:p>
    <w:p w14:paraId="051F8A13"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h</w:t>
      </w:r>
      <w:r w:rsidRPr="009C5EFD">
        <w:rPr>
          <w:sz w:val="22"/>
          <w:szCs w:val="22"/>
        </w:rPr>
        <w:t>oste</w:t>
      </w:r>
    </w:p>
    <w:p w14:paraId="2600B0A1"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p</w:t>
      </w:r>
      <w:r w:rsidRPr="009C5EFD">
        <w:rPr>
          <w:sz w:val="22"/>
          <w:szCs w:val="22"/>
        </w:rPr>
        <w:t>rikking</w:t>
      </w:r>
    </w:p>
    <w:p w14:paraId="0384CD09"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n</w:t>
      </w:r>
      <w:r w:rsidRPr="009C5EFD">
        <w:rPr>
          <w:sz w:val="22"/>
          <w:szCs w:val="22"/>
        </w:rPr>
        <w:t>ummenhet</w:t>
      </w:r>
    </w:p>
    <w:p w14:paraId="18BA7CC2"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d</w:t>
      </w:r>
      <w:r w:rsidRPr="009C5EFD">
        <w:rPr>
          <w:sz w:val="22"/>
          <w:szCs w:val="22"/>
        </w:rPr>
        <w:t>obbeltsyn</w:t>
      </w:r>
    </w:p>
    <w:p w14:paraId="4550D194"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s</w:t>
      </w:r>
      <w:r w:rsidRPr="009C5EFD">
        <w:rPr>
          <w:sz w:val="22"/>
          <w:szCs w:val="22"/>
        </w:rPr>
        <w:t>vakhet i armer eller bein</w:t>
      </w:r>
    </w:p>
    <w:p w14:paraId="4884EFF5"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e</w:t>
      </w:r>
      <w:r w:rsidRPr="009C5EFD">
        <w:rPr>
          <w:sz w:val="22"/>
          <w:szCs w:val="22"/>
        </w:rPr>
        <w:t>n kul eller åpent sår som ikke gror</w:t>
      </w:r>
    </w:p>
    <w:p w14:paraId="2EF67800" w14:textId="77777777" w:rsidR="009E676E" w:rsidRPr="009C5EFD" w:rsidRDefault="00E453CD" w:rsidP="009E676E">
      <w:pPr>
        <w:numPr>
          <w:ilvl w:val="0"/>
          <w:numId w:val="8"/>
        </w:numPr>
        <w:tabs>
          <w:tab w:val="clear" w:pos="720"/>
          <w:tab w:val="num" w:pos="567"/>
        </w:tabs>
        <w:suppressAutoHyphens/>
        <w:ind w:left="567" w:hanging="567"/>
        <w:rPr>
          <w:sz w:val="22"/>
          <w:szCs w:val="22"/>
        </w:rPr>
      </w:pPr>
      <w:r>
        <w:rPr>
          <w:sz w:val="22"/>
          <w:szCs w:val="22"/>
        </w:rPr>
        <w:t>t</w:t>
      </w:r>
      <w:r w:rsidRPr="009C5EFD">
        <w:rPr>
          <w:sz w:val="22"/>
          <w:szCs w:val="22"/>
        </w:rPr>
        <w:t xml:space="preserve">egn og symptomer på blodsykdommer som </w:t>
      </w:r>
      <w:r>
        <w:rPr>
          <w:sz w:val="22"/>
          <w:szCs w:val="22"/>
        </w:rPr>
        <w:t>f.eks.</w:t>
      </w:r>
      <w:r w:rsidRPr="009C5EFD">
        <w:rPr>
          <w:sz w:val="22"/>
          <w:szCs w:val="22"/>
        </w:rPr>
        <w:t xml:space="preserve"> vedvarende feber, blåmerker, blødninger, blekhet</w:t>
      </w:r>
    </w:p>
    <w:p w14:paraId="4066645A" w14:textId="77777777" w:rsidR="009E676E" w:rsidRPr="009C5EFD" w:rsidRDefault="009E676E" w:rsidP="009E676E">
      <w:pPr>
        <w:suppressAutoHyphens/>
        <w:rPr>
          <w:sz w:val="22"/>
          <w:szCs w:val="22"/>
        </w:rPr>
      </w:pPr>
    </w:p>
    <w:p w14:paraId="3324AE0F" w14:textId="77777777" w:rsidR="009E676E" w:rsidRPr="009C5EFD" w:rsidRDefault="00E453CD" w:rsidP="009E676E">
      <w:pPr>
        <w:suppressAutoHyphens/>
        <w:rPr>
          <w:sz w:val="22"/>
          <w:szCs w:val="22"/>
        </w:rPr>
      </w:pPr>
      <w:r w:rsidRPr="009C5EFD">
        <w:rPr>
          <w:sz w:val="22"/>
          <w:szCs w:val="22"/>
        </w:rPr>
        <w:t>Symptomene beskrevet over kan være tegn på bivirkningene nedenfor, som er sett med Humira</w:t>
      </w:r>
      <w:r w:rsidR="008B3EC8">
        <w:rPr>
          <w:sz w:val="22"/>
          <w:szCs w:val="22"/>
        </w:rPr>
        <w:t>.</w:t>
      </w:r>
    </w:p>
    <w:p w14:paraId="2136355E" w14:textId="77777777" w:rsidR="009E676E" w:rsidRPr="009C5EFD" w:rsidRDefault="009E676E" w:rsidP="009E676E">
      <w:pPr>
        <w:suppressAutoHyphens/>
        <w:rPr>
          <w:sz w:val="22"/>
          <w:szCs w:val="22"/>
        </w:rPr>
      </w:pPr>
    </w:p>
    <w:p w14:paraId="37AA084D" w14:textId="77777777" w:rsidR="009E676E" w:rsidRDefault="00E453CD" w:rsidP="00776A84">
      <w:pPr>
        <w:keepNext/>
        <w:suppressAutoHyphens/>
        <w:rPr>
          <w:sz w:val="22"/>
          <w:szCs w:val="22"/>
        </w:rPr>
      </w:pPr>
      <w:r w:rsidRPr="0061743D">
        <w:rPr>
          <w:b/>
          <w:sz w:val="22"/>
        </w:rPr>
        <w:t>Svært vanlige</w:t>
      </w:r>
      <w:r w:rsidRPr="009C5EFD">
        <w:rPr>
          <w:sz w:val="22"/>
          <w:szCs w:val="22"/>
        </w:rPr>
        <w:t xml:space="preserve"> (kan forekomme hos flere enn 1 av 10 personer)</w:t>
      </w:r>
    </w:p>
    <w:p w14:paraId="110D51CF" w14:textId="77777777" w:rsidR="009E676E" w:rsidRPr="009C5EFD" w:rsidRDefault="009E676E" w:rsidP="00776A84">
      <w:pPr>
        <w:keepNext/>
        <w:suppressAutoHyphens/>
        <w:rPr>
          <w:sz w:val="22"/>
          <w:szCs w:val="22"/>
        </w:rPr>
      </w:pPr>
    </w:p>
    <w:p w14:paraId="470831E3"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reaksjoner på injeksjonsstedet (inkludert smerte</w:t>
      </w:r>
      <w:r>
        <w:rPr>
          <w:sz w:val="22"/>
          <w:szCs w:val="22"/>
        </w:rPr>
        <w:t>r</w:t>
      </w:r>
      <w:r w:rsidRPr="009C5EFD">
        <w:rPr>
          <w:sz w:val="22"/>
          <w:szCs w:val="22"/>
        </w:rPr>
        <w:t>, hevelse, rødme eller kløe)</w:t>
      </w:r>
    </w:p>
    <w:p w14:paraId="206EBA71"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luftveisinfeksjon (inkludert forkjølelse, rennende nese, bihulebetennelse, lungebetennelse)</w:t>
      </w:r>
    </w:p>
    <w:p w14:paraId="52F346E2"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hodepine</w:t>
      </w:r>
    </w:p>
    <w:p w14:paraId="59F33107"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smerter i buken</w:t>
      </w:r>
    </w:p>
    <w:p w14:paraId="61ACCD15"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kvalme og oppkast</w:t>
      </w:r>
    </w:p>
    <w:p w14:paraId="3D447BEA"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utslett</w:t>
      </w:r>
    </w:p>
    <w:p w14:paraId="07529F52"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smerter i muskler og skjelett</w:t>
      </w:r>
    </w:p>
    <w:p w14:paraId="07B6C211" w14:textId="77777777" w:rsidR="009E676E" w:rsidRPr="009C5EFD" w:rsidRDefault="009E676E" w:rsidP="009E676E">
      <w:pPr>
        <w:pStyle w:val="EndnoteText"/>
        <w:widowControl/>
        <w:tabs>
          <w:tab w:val="clear" w:pos="567"/>
        </w:tabs>
        <w:suppressAutoHyphens/>
        <w:rPr>
          <w:szCs w:val="22"/>
          <w:lang w:val="nb-NO"/>
        </w:rPr>
      </w:pPr>
    </w:p>
    <w:p w14:paraId="093FBF46" w14:textId="77777777" w:rsidR="009E676E" w:rsidRDefault="00E453CD" w:rsidP="00776A84">
      <w:pPr>
        <w:keepNext/>
        <w:suppressAutoHyphens/>
        <w:rPr>
          <w:sz w:val="22"/>
          <w:szCs w:val="22"/>
        </w:rPr>
      </w:pPr>
      <w:r w:rsidRPr="0061743D">
        <w:rPr>
          <w:b/>
          <w:sz w:val="22"/>
        </w:rPr>
        <w:t>Vanlige</w:t>
      </w:r>
      <w:r w:rsidRPr="009C5EFD">
        <w:rPr>
          <w:sz w:val="22"/>
          <w:szCs w:val="22"/>
        </w:rPr>
        <w:t xml:space="preserve"> (kan forekomme hos opptil 1 av 10 personer)</w:t>
      </w:r>
    </w:p>
    <w:p w14:paraId="6D99A3A3" w14:textId="77777777" w:rsidR="009E676E" w:rsidRPr="009C5EFD" w:rsidRDefault="009E676E" w:rsidP="00776A84">
      <w:pPr>
        <w:keepNext/>
        <w:suppressAutoHyphens/>
        <w:rPr>
          <w:sz w:val="22"/>
          <w:szCs w:val="22"/>
        </w:rPr>
      </w:pPr>
    </w:p>
    <w:p w14:paraId="3A27A1CC" w14:textId="77777777" w:rsidR="009E676E" w:rsidRPr="00187573" w:rsidRDefault="00E453CD" w:rsidP="009E676E">
      <w:pPr>
        <w:numPr>
          <w:ilvl w:val="0"/>
          <w:numId w:val="9"/>
        </w:numPr>
        <w:tabs>
          <w:tab w:val="clear" w:pos="720"/>
          <w:tab w:val="num" w:pos="540"/>
        </w:tabs>
        <w:suppressAutoHyphens/>
        <w:ind w:left="540" w:hanging="540"/>
        <w:rPr>
          <w:sz w:val="22"/>
          <w:szCs w:val="22"/>
        </w:rPr>
      </w:pPr>
      <w:r>
        <w:rPr>
          <w:sz w:val="22"/>
          <w:szCs w:val="22"/>
        </w:rPr>
        <w:t>alvorlige</w:t>
      </w:r>
      <w:r w:rsidRPr="009C5EFD">
        <w:rPr>
          <w:sz w:val="22"/>
          <w:szCs w:val="22"/>
        </w:rPr>
        <w:t xml:space="preserve"> infeksjoner (inkludert blodforgiftning og influensa</w:t>
      </w:r>
      <w:r w:rsidRPr="00051CE1">
        <w:rPr>
          <w:sz w:val="22"/>
        </w:rPr>
        <w:t>)</w:t>
      </w:r>
    </w:p>
    <w:p w14:paraId="1D76D312" w14:textId="77777777" w:rsidR="00187573" w:rsidRPr="009C5EFD" w:rsidRDefault="00E453CD" w:rsidP="009E676E">
      <w:pPr>
        <w:numPr>
          <w:ilvl w:val="0"/>
          <w:numId w:val="9"/>
        </w:numPr>
        <w:tabs>
          <w:tab w:val="clear" w:pos="720"/>
          <w:tab w:val="num" w:pos="540"/>
        </w:tabs>
        <w:suppressAutoHyphens/>
        <w:ind w:left="540" w:hanging="540"/>
        <w:rPr>
          <w:sz w:val="22"/>
          <w:szCs w:val="22"/>
        </w:rPr>
      </w:pPr>
      <w:r>
        <w:rPr>
          <w:sz w:val="22"/>
        </w:rPr>
        <w:t>mageinfeksjon (inkludert gastroenteritt)</w:t>
      </w:r>
    </w:p>
    <w:p w14:paraId="728C29B6"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9C5EFD">
        <w:rPr>
          <w:sz w:val="22"/>
          <w:szCs w:val="22"/>
        </w:rPr>
        <w:t>hudinfeksjon (inkludert cellulitt (betennelse med hevelse og ømhet i bindevev) og helvetesild</w:t>
      </w:r>
      <w:r w:rsidRPr="00051CE1">
        <w:rPr>
          <w:sz w:val="22"/>
        </w:rPr>
        <w:t>)</w:t>
      </w:r>
    </w:p>
    <w:p w14:paraId="06291299"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øreinfeksjon</w:t>
      </w:r>
    </w:p>
    <w:p w14:paraId="70BB2536"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9C5EFD">
        <w:rPr>
          <w:sz w:val="22"/>
          <w:szCs w:val="22"/>
        </w:rPr>
        <w:t>munninfeksjon (inkludert tanninfeksjoner og forkjølelsessår</w:t>
      </w:r>
      <w:r w:rsidRPr="00051CE1">
        <w:rPr>
          <w:sz w:val="22"/>
        </w:rPr>
        <w:t>)</w:t>
      </w:r>
    </w:p>
    <w:p w14:paraId="568F7A35"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infeksjoner i forplantningskanal</w:t>
      </w:r>
    </w:p>
    <w:p w14:paraId="59502B2E"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urinveisinfeksjon</w:t>
      </w:r>
    </w:p>
    <w:p w14:paraId="73955B13"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 xml:space="preserve">soppinfeksjon </w:t>
      </w:r>
    </w:p>
    <w:p w14:paraId="43D3E02A"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leddinfeksjoner</w:t>
      </w:r>
    </w:p>
    <w:p w14:paraId="324B7344"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godartede tumorer</w:t>
      </w:r>
    </w:p>
    <w:p w14:paraId="1391C089"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hudkreft</w:t>
      </w:r>
    </w:p>
    <w:p w14:paraId="59941086"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allergiske reaksjoner (inkludert sesongallergi</w:t>
      </w:r>
      <w:r w:rsidRPr="00887835">
        <w:rPr>
          <w:sz w:val="22"/>
          <w:lang w:val="en-GB"/>
        </w:rPr>
        <w:t>)</w:t>
      </w:r>
    </w:p>
    <w:p w14:paraId="204ACCD5"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dehydrering</w:t>
      </w:r>
    </w:p>
    <w:p w14:paraId="70A0CD49" w14:textId="77777777" w:rsidR="009E676E" w:rsidRPr="0061743D" w:rsidRDefault="00E453CD" w:rsidP="009E676E">
      <w:pPr>
        <w:numPr>
          <w:ilvl w:val="0"/>
          <w:numId w:val="9"/>
        </w:numPr>
        <w:tabs>
          <w:tab w:val="clear" w:pos="720"/>
          <w:tab w:val="num" w:pos="540"/>
        </w:tabs>
        <w:suppressAutoHyphens/>
        <w:ind w:left="547" w:hanging="547"/>
        <w:rPr>
          <w:sz w:val="22"/>
          <w:lang w:val="en-GB"/>
        </w:rPr>
      </w:pPr>
      <w:r w:rsidRPr="0061743D">
        <w:rPr>
          <w:sz w:val="22"/>
          <w:lang w:val="en-GB"/>
        </w:rPr>
        <w:t>humørsvingninger (inkludert depresjon</w:t>
      </w:r>
      <w:r w:rsidRPr="00887835">
        <w:rPr>
          <w:sz w:val="22"/>
          <w:lang w:val="en-GB"/>
        </w:rPr>
        <w:t>)</w:t>
      </w:r>
    </w:p>
    <w:p w14:paraId="63F0556A"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angst</w:t>
      </w:r>
    </w:p>
    <w:p w14:paraId="1609B2EE"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lastRenderedPageBreak/>
        <w:t>søvnvansker</w:t>
      </w:r>
    </w:p>
    <w:p w14:paraId="0D220BC3"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9C5EFD">
        <w:rPr>
          <w:sz w:val="22"/>
          <w:szCs w:val="22"/>
        </w:rPr>
        <w:t>sanseforstyrrelser som kribling, prikking eller nummenhet</w:t>
      </w:r>
    </w:p>
    <w:p w14:paraId="6E29ED43"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migrene</w:t>
      </w:r>
    </w:p>
    <w:p w14:paraId="598010BC"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9C5EFD">
        <w:rPr>
          <w:sz w:val="22"/>
          <w:szCs w:val="22"/>
        </w:rPr>
        <w:t xml:space="preserve">kompresjon av nerverot (inkludert smerter i korsryggen og i </w:t>
      </w:r>
      <w:r w:rsidR="00954434">
        <w:rPr>
          <w:sz w:val="22"/>
          <w:szCs w:val="22"/>
        </w:rPr>
        <w:t>beina</w:t>
      </w:r>
      <w:r w:rsidRPr="00051CE1">
        <w:rPr>
          <w:sz w:val="22"/>
        </w:rPr>
        <w:t>)</w:t>
      </w:r>
    </w:p>
    <w:p w14:paraId="210EDDA2"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synsforstyrrelser</w:t>
      </w:r>
    </w:p>
    <w:p w14:paraId="52594174"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øyeinfeksjon</w:t>
      </w:r>
    </w:p>
    <w:p w14:paraId="4530E26C"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9C5EFD">
        <w:rPr>
          <w:sz w:val="22"/>
          <w:szCs w:val="22"/>
        </w:rPr>
        <w:t>betennelse i øyelokk og opphovnet øye</w:t>
      </w:r>
    </w:p>
    <w:p w14:paraId="7F6B168F"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273C8E">
        <w:rPr>
          <w:sz w:val="22"/>
        </w:rPr>
        <w:t xml:space="preserve">følelse av </w:t>
      </w:r>
      <w:r w:rsidRPr="009C5EFD">
        <w:rPr>
          <w:sz w:val="22"/>
          <w:szCs w:val="22"/>
        </w:rPr>
        <w:t>svimmelhet</w:t>
      </w:r>
      <w:r w:rsidRPr="00E91E4A">
        <w:rPr>
          <w:sz w:val="22"/>
        </w:rPr>
        <w:t xml:space="preserve"> eller av å spinne</w:t>
      </w:r>
    </w:p>
    <w:p w14:paraId="4A4D572C" w14:textId="77777777" w:rsidR="009E676E" w:rsidRPr="009C5EFD" w:rsidRDefault="00E453CD" w:rsidP="009E676E">
      <w:pPr>
        <w:numPr>
          <w:ilvl w:val="0"/>
          <w:numId w:val="9"/>
        </w:numPr>
        <w:tabs>
          <w:tab w:val="clear" w:pos="720"/>
          <w:tab w:val="num" w:pos="540"/>
        </w:tabs>
        <w:suppressAutoHyphens/>
        <w:ind w:left="540" w:hanging="540"/>
        <w:rPr>
          <w:sz w:val="22"/>
          <w:szCs w:val="22"/>
        </w:rPr>
      </w:pPr>
      <w:r w:rsidRPr="009C5EFD">
        <w:rPr>
          <w:sz w:val="22"/>
          <w:szCs w:val="22"/>
        </w:rPr>
        <w:t>følelse av at hjertet slår rask</w:t>
      </w:r>
      <w:r>
        <w:rPr>
          <w:sz w:val="22"/>
          <w:szCs w:val="22"/>
        </w:rPr>
        <w:t>t</w:t>
      </w:r>
    </w:p>
    <w:p w14:paraId="14160A21"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høyt blodtrykk</w:t>
      </w:r>
    </w:p>
    <w:p w14:paraId="2C8F50FB" w14:textId="77777777" w:rsidR="009E676E" w:rsidRPr="0061743D" w:rsidRDefault="00E453CD" w:rsidP="009E676E">
      <w:pPr>
        <w:numPr>
          <w:ilvl w:val="0"/>
          <w:numId w:val="9"/>
        </w:numPr>
        <w:tabs>
          <w:tab w:val="clear" w:pos="720"/>
          <w:tab w:val="num" w:pos="540"/>
        </w:tabs>
        <w:suppressAutoHyphens/>
        <w:ind w:left="540" w:hanging="540"/>
        <w:rPr>
          <w:sz w:val="22"/>
          <w:lang w:val="en-GB"/>
        </w:rPr>
      </w:pPr>
      <w:r w:rsidRPr="0061743D">
        <w:rPr>
          <w:sz w:val="22"/>
          <w:lang w:val="en-GB"/>
        </w:rPr>
        <w:t>rødme</w:t>
      </w:r>
    </w:p>
    <w:p w14:paraId="1122817B"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 xml:space="preserve">blodansamling </w:t>
      </w:r>
      <w:r>
        <w:rPr>
          <w:sz w:val="22"/>
          <w:szCs w:val="22"/>
        </w:rPr>
        <w:t xml:space="preserve">utenfor blodårer </w:t>
      </w:r>
      <w:r w:rsidRPr="009C5EFD">
        <w:rPr>
          <w:sz w:val="22"/>
          <w:szCs w:val="22"/>
        </w:rPr>
        <w:t>(hematom)</w:t>
      </w:r>
    </w:p>
    <w:p w14:paraId="73CE0C6B"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hoste</w:t>
      </w:r>
    </w:p>
    <w:p w14:paraId="42BF62AD"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astma</w:t>
      </w:r>
    </w:p>
    <w:p w14:paraId="43395FCA"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kortpusthet</w:t>
      </w:r>
    </w:p>
    <w:p w14:paraId="0B1C932A"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mageblødning</w:t>
      </w:r>
    </w:p>
    <w:p w14:paraId="6246705F"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dyspepsi (forstyrrelser i øvre mage-tarm-kanal, dårlig fordøyelse, oppblåsthet, halsbrann)</w:t>
      </w:r>
    </w:p>
    <w:p w14:paraId="4351DC9B"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sure oppstøt</w:t>
      </w:r>
    </w:p>
    <w:p w14:paraId="3688F5F5"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Sjøgrens syndrom (inkludert tørre øyne og munn)</w:t>
      </w:r>
    </w:p>
    <w:p w14:paraId="3F509511"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kløe</w:t>
      </w:r>
    </w:p>
    <w:p w14:paraId="11737795"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kløende utslett</w:t>
      </w:r>
    </w:p>
    <w:p w14:paraId="15BF50C5"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blåmerke</w:t>
      </w:r>
    </w:p>
    <w:p w14:paraId="678A4D89"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hudbetennelse (som eksem)</w:t>
      </w:r>
    </w:p>
    <w:p w14:paraId="3FCD74E9"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brekking av fingernegl og tånegl</w:t>
      </w:r>
    </w:p>
    <w:p w14:paraId="480AD6F3"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økt svette</w:t>
      </w:r>
    </w:p>
    <w:p w14:paraId="62E50CFB"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hårtap</w:t>
      </w:r>
    </w:p>
    <w:p w14:paraId="082FD7D2"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nytt tilfelle eller forverring av psoriasis</w:t>
      </w:r>
    </w:p>
    <w:p w14:paraId="2E775693"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muskelkramper</w:t>
      </w:r>
    </w:p>
    <w:p w14:paraId="33412397"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blod i urin</w:t>
      </w:r>
    </w:p>
    <w:p w14:paraId="64FF17B1"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nyreproblemer</w:t>
      </w:r>
    </w:p>
    <w:p w14:paraId="293CD837"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brystsmerter</w:t>
      </w:r>
    </w:p>
    <w:p w14:paraId="1E3F7393"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ødem</w:t>
      </w:r>
      <w:r>
        <w:rPr>
          <w:sz w:val="22"/>
          <w:szCs w:val="22"/>
        </w:rPr>
        <w:t xml:space="preserve"> (hevelse)</w:t>
      </w:r>
    </w:p>
    <w:p w14:paraId="03418DB9"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feber</w:t>
      </w:r>
    </w:p>
    <w:p w14:paraId="04E691FB"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reduksjon i blodplater som øker risiko for blødning eller blåmerke</w:t>
      </w:r>
    </w:p>
    <w:p w14:paraId="1C7AFE43" w14:textId="77777777" w:rsidR="009E676E" w:rsidRPr="009C5EFD" w:rsidRDefault="00E453CD" w:rsidP="009E676E">
      <w:pPr>
        <w:numPr>
          <w:ilvl w:val="0"/>
          <w:numId w:val="9"/>
        </w:numPr>
        <w:tabs>
          <w:tab w:val="clear" w:pos="720"/>
          <w:tab w:val="num" w:pos="540"/>
        </w:tabs>
        <w:suppressAutoHyphens/>
        <w:ind w:left="0" w:firstLine="0"/>
        <w:rPr>
          <w:sz w:val="22"/>
          <w:szCs w:val="22"/>
        </w:rPr>
      </w:pPr>
      <w:r w:rsidRPr="009C5EFD">
        <w:rPr>
          <w:sz w:val="22"/>
          <w:szCs w:val="22"/>
        </w:rPr>
        <w:t>svekket heling</w:t>
      </w:r>
    </w:p>
    <w:p w14:paraId="35792407" w14:textId="77777777" w:rsidR="009E676E" w:rsidRPr="009C5EFD" w:rsidRDefault="009E676E" w:rsidP="009E676E">
      <w:pPr>
        <w:suppressAutoHyphens/>
        <w:rPr>
          <w:sz w:val="22"/>
          <w:szCs w:val="22"/>
        </w:rPr>
      </w:pPr>
    </w:p>
    <w:p w14:paraId="0367E704" w14:textId="77777777" w:rsidR="009E676E" w:rsidRDefault="00E453CD" w:rsidP="00776A84">
      <w:pPr>
        <w:keepNext/>
        <w:suppressAutoHyphens/>
        <w:rPr>
          <w:sz w:val="22"/>
          <w:szCs w:val="22"/>
        </w:rPr>
      </w:pPr>
      <w:r w:rsidRPr="0061743D">
        <w:rPr>
          <w:b/>
          <w:sz w:val="22"/>
        </w:rPr>
        <w:t>Mindre vanlige</w:t>
      </w:r>
      <w:r w:rsidRPr="009C5EFD">
        <w:rPr>
          <w:sz w:val="22"/>
          <w:szCs w:val="22"/>
        </w:rPr>
        <w:t xml:space="preserve"> (kan forekomme hos opptil 1 av 100 personer)</w:t>
      </w:r>
    </w:p>
    <w:p w14:paraId="441644BE" w14:textId="77777777" w:rsidR="009E676E" w:rsidRPr="009C5EFD" w:rsidRDefault="009E676E" w:rsidP="00776A84">
      <w:pPr>
        <w:keepNext/>
        <w:suppressAutoHyphens/>
        <w:rPr>
          <w:sz w:val="22"/>
          <w:szCs w:val="22"/>
        </w:rPr>
      </w:pPr>
    </w:p>
    <w:p w14:paraId="25580105"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 xml:space="preserve">opportunistiske infeksjoner (inkludert tuberkulose og andre infeksjoner som oppstår </w:t>
      </w:r>
      <w:r w:rsidR="008167D9">
        <w:rPr>
          <w:sz w:val="22"/>
          <w:szCs w:val="22"/>
        </w:rPr>
        <w:t>ved svekket immunforsvar</w:t>
      </w:r>
      <w:r w:rsidRPr="009C5EFD">
        <w:rPr>
          <w:sz w:val="22"/>
          <w:szCs w:val="22"/>
        </w:rPr>
        <w:t>)</w:t>
      </w:r>
    </w:p>
    <w:p w14:paraId="3C2BE80C"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nevrologiske sykdommer (inkludert hjernehinnebetennelse)</w:t>
      </w:r>
    </w:p>
    <w:p w14:paraId="7B71D5EB"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øyebetennelser</w:t>
      </w:r>
    </w:p>
    <w:p w14:paraId="59289619"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bakterieinfeksjoner</w:t>
      </w:r>
    </w:p>
    <w:p w14:paraId="0513357F"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divertikulitt (betennelse og infeksjon i tykktarmen)</w:t>
      </w:r>
    </w:p>
    <w:p w14:paraId="4CF7F8A4"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kreft</w:t>
      </w:r>
    </w:p>
    <w:p w14:paraId="600A8B8F"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kreft som påvirker lymfesysteme</w:t>
      </w:r>
      <w:r w:rsidR="006E3B12">
        <w:rPr>
          <w:sz w:val="22"/>
          <w:szCs w:val="22"/>
        </w:rPr>
        <w:t>t</w:t>
      </w:r>
    </w:p>
    <w:p w14:paraId="0F98E0F1"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melanom</w:t>
      </w:r>
    </w:p>
    <w:p w14:paraId="76FA37EB"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forstyrrelser i immunsystemet som kan påvirke lungene, huden og lymfeknutene (vises vanligvis som sarkoidose)</w:t>
      </w:r>
    </w:p>
    <w:p w14:paraId="78401F50"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vaskulitt (betennelse i blodårene)</w:t>
      </w:r>
    </w:p>
    <w:p w14:paraId="4EFE4476"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skjelving</w:t>
      </w:r>
    </w:p>
    <w:p w14:paraId="0B953B36"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ne</w:t>
      </w:r>
      <w:r w:rsidR="00F562BD">
        <w:rPr>
          <w:sz w:val="22"/>
          <w:szCs w:val="22"/>
        </w:rPr>
        <w:t>v</w:t>
      </w:r>
      <w:r w:rsidRPr="009C5EFD">
        <w:rPr>
          <w:sz w:val="22"/>
          <w:szCs w:val="22"/>
        </w:rPr>
        <w:t>ropati</w:t>
      </w:r>
      <w:r>
        <w:rPr>
          <w:sz w:val="22"/>
          <w:szCs w:val="22"/>
        </w:rPr>
        <w:t xml:space="preserve"> (forstyrrelser av nerver)</w:t>
      </w:r>
    </w:p>
    <w:p w14:paraId="770D4002"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slag</w:t>
      </w:r>
    </w:p>
    <w:p w14:paraId="525D922C"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hørseltap, øresus</w:t>
      </w:r>
    </w:p>
    <w:p w14:paraId="6ABD8F27"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lastRenderedPageBreak/>
        <w:t>følelse av at hjertet slår uregelmessig</w:t>
      </w:r>
    </w:p>
    <w:p w14:paraId="0529BDF6"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hjerteproblemer som forårsaker andpustenhet eller hevelse i ankler</w:t>
      </w:r>
    </w:p>
    <w:p w14:paraId="2D694456"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hjerteinfarkt</w:t>
      </w:r>
    </w:p>
    <w:p w14:paraId="3A6F5309"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en utposning på veggen av en stor pulsåre, betennelse og blodpropp i en blodåre, blokade av et blodkar</w:t>
      </w:r>
    </w:p>
    <w:p w14:paraId="5BD15829"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lungesykdom som forårsaker andpustenhet (inkludert betennelse)</w:t>
      </w:r>
    </w:p>
    <w:p w14:paraId="092FF936"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lungeemboli (blodpropp i en blodåre i lungene)</w:t>
      </w:r>
    </w:p>
    <w:p w14:paraId="107837B4"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Pr>
          <w:sz w:val="22"/>
          <w:szCs w:val="22"/>
        </w:rPr>
        <w:t>pleura</w:t>
      </w:r>
      <w:r w:rsidRPr="009C5EFD">
        <w:rPr>
          <w:sz w:val="22"/>
          <w:szCs w:val="22"/>
        </w:rPr>
        <w:t>væske (unormal samling av væske i lungesekken)</w:t>
      </w:r>
    </w:p>
    <w:p w14:paraId="6EFDB8DF"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betennelse i bukspyttkjertel som forårsaker sterke smerter i mage og rygg</w:t>
      </w:r>
    </w:p>
    <w:p w14:paraId="16AA43F7"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svelgeproblemer</w:t>
      </w:r>
    </w:p>
    <w:p w14:paraId="1CFE2570"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opphovnet ansikt</w:t>
      </w:r>
    </w:p>
    <w:p w14:paraId="5CEEF0D5"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betennelse i galleb</w:t>
      </w:r>
      <w:r w:rsidR="008167D9">
        <w:rPr>
          <w:sz w:val="22"/>
          <w:szCs w:val="22"/>
        </w:rPr>
        <w:t>l</w:t>
      </w:r>
      <w:r w:rsidRPr="009C5EFD">
        <w:rPr>
          <w:sz w:val="22"/>
          <w:szCs w:val="22"/>
        </w:rPr>
        <w:t>ære</w:t>
      </w:r>
      <w:r w:rsidR="008167D9">
        <w:rPr>
          <w:sz w:val="22"/>
          <w:szCs w:val="22"/>
        </w:rPr>
        <w:t>n</w:t>
      </w:r>
      <w:r w:rsidRPr="009C5EFD">
        <w:rPr>
          <w:sz w:val="22"/>
          <w:szCs w:val="22"/>
        </w:rPr>
        <w:t>, gallestein</w:t>
      </w:r>
    </w:p>
    <w:p w14:paraId="559A0F97"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fettlever</w:t>
      </w:r>
    </w:p>
    <w:p w14:paraId="1255097F"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nattesvette</w:t>
      </w:r>
    </w:p>
    <w:p w14:paraId="635A075B"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arrdannelse</w:t>
      </w:r>
    </w:p>
    <w:p w14:paraId="0FD90D12"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unormal muskeltap</w:t>
      </w:r>
    </w:p>
    <w:p w14:paraId="14D72B4E"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systemisk lupus erythematosus (inkludert betennelser i hud, hjerte, lunge, ledd og andre organer)</w:t>
      </w:r>
    </w:p>
    <w:p w14:paraId="1DA518EB"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søvnforstyrrelser</w:t>
      </w:r>
    </w:p>
    <w:p w14:paraId="61B9B115"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impotens</w:t>
      </w:r>
    </w:p>
    <w:p w14:paraId="2BCB57EF" w14:textId="77777777" w:rsidR="009E676E" w:rsidRPr="009C5EFD" w:rsidRDefault="00E453CD" w:rsidP="009E676E">
      <w:pPr>
        <w:numPr>
          <w:ilvl w:val="0"/>
          <w:numId w:val="16"/>
        </w:numPr>
        <w:tabs>
          <w:tab w:val="clear" w:pos="720"/>
          <w:tab w:val="num" w:pos="540"/>
        </w:tabs>
        <w:suppressAutoHyphens/>
        <w:ind w:left="540" w:hanging="540"/>
        <w:rPr>
          <w:sz w:val="22"/>
          <w:szCs w:val="22"/>
        </w:rPr>
      </w:pPr>
      <w:r w:rsidRPr="009C5EFD">
        <w:rPr>
          <w:sz w:val="22"/>
          <w:szCs w:val="22"/>
        </w:rPr>
        <w:t>betennelser</w:t>
      </w:r>
    </w:p>
    <w:p w14:paraId="32F9357B" w14:textId="77777777" w:rsidR="009E676E" w:rsidRPr="009C5EFD" w:rsidRDefault="009E676E" w:rsidP="009E676E">
      <w:pPr>
        <w:pStyle w:val="EMEAFigureTitle"/>
        <w:tabs>
          <w:tab w:val="clear" w:pos="562"/>
        </w:tabs>
        <w:rPr>
          <w:szCs w:val="22"/>
          <w:lang w:val="nb-NO"/>
        </w:rPr>
      </w:pPr>
    </w:p>
    <w:p w14:paraId="1D85785E" w14:textId="77777777" w:rsidR="009E676E" w:rsidRPr="009C5EFD" w:rsidRDefault="00E453CD" w:rsidP="00776A84">
      <w:pPr>
        <w:keepNext/>
        <w:rPr>
          <w:sz w:val="22"/>
          <w:szCs w:val="22"/>
        </w:rPr>
      </w:pPr>
      <w:r w:rsidRPr="0061743D">
        <w:rPr>
          <w:b/>
          <w:sz w:val="22"/>
        </w:rPr>
        <w:t>Sjeldne</w:t>
      </w:r>
      <w:r w:rsidRPr="009C5EFD">
        <w:rPr>
          <w:sz w:val="22"/>
          <w:szCs w:val="22"/>
        </w:rPr>
        <w:t xml:space="preserve"> (kan forekomme hos opptil 1 av 1000 personer)</w:t>
      </w:r>
    </w:p>
    <w:p w14:paraId="246768F8" w14:textId="77777777" w:rsidR="009E676E" w:rsidRPr="009C5EFD" w:rsidRDefault="009E676E" w:rsidP="00776A84">
      <w:pPr>
        <w:keepNext/>
        <w:rPr>
          <w:sz w:val="22"/>
          <w:szCs w:val="22"/>
        </w:rPr>
      </w:pPr>
    </w:p>
    <w:p w14:paraId="2E32BC20"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leukemi (kreft som påvirker blod og benmarg)</w:t>
      </w:r>
    </w:p>
    <w:p w14:paraId="6B67DCC8"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alvorlig allergisk reaksjon med sjokk</w:t>
      </w:r>
    </w:p>
    <w:p w14:paraId="0A8DD79A"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multippel sklerose</w:t>
      </w:r>
    </w:p>
    <w:p w14:paraId="7E94D4A1"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nerveforstyrrelser (som betennelse på øyenervene og Guillain-Barré syndrom som kan forårsake muskelsvakhet, unormale sanseinntrykk, prikking i armene og overkroppen)</w:t>
      </w:r>
    </w:p>
    <w:p w14:paraId="2EAE32B4"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hjertet slutter å pumpe</w:t>
      </w:r>
    </w:p>
    <w:p w14:paraId="6BDBF3F0"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lungefibrose (arrdannelse i lungene)</w:t>
      </w:r>
    </w:p>
    <w:p w14:paraId="702A2224"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 xml:space="preserve">hull </w:t>
      </w:r>
      <w:r w:rsidR="008167D9">
        <w:rPr>
          <w:sz w:val="22"/>
          <w:szCs w:val="22"/>
        </w:rPr>
        <w:t>på</w:t>
      </w:r>
      <w:r w:rsidRPr="009C5EFD">
        <w:rPr>
          <w:sz w:val="22"/>
          <w:szCs w:val="22"/>
        </w:rPr>
        <w:t xml:space="preserve"> tarmen</w:t>
      </w:r>
      <w:r w:rsidR="008167D9">
        <w:rPr>
          <w:sz w:val="22"/>
          <w:szCs w:val="22"/>
        </w:rPr>
        <w:t xml:space="preserve"> (perforasjon)</w:t>
      </w:r>
    </w:p>
    <w:p w14:paraId="1B6CA4E9"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hepatitt</w:t>
      </w:r>
    </w:p>
    <w:p w14:paraId="31FF2C6D"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reaktivering av hepatitt B</w:t>
      </w:r>
    </w:p>
    <w:p w14:paraId="25582AC4"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autoimmun hepatitt (leverbetennelse forårsaket av kroppens eget immunforsvar)</w:t>
      </w:r>
    </w:p>
    <w:p w14:paraId="426D5A86"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betennelse i blodkarene i huden</w:t>
      </w:r>
    </w:p>
    <w:p w14:paraId="78369ECB"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Stevens-Johnson syndrom (tidlige symptomer inkludert diffus følelse av ubehag og tretthett, feber, hodepine og utslett)</w:t>
      </w:r>
    </w:p>
    <w:p w14:paraId="6276C2F6"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ansiktsødem</w:t>
      </w:r>
      <w:r w:rsidRPr="001850A1">
        <w:rPr>
          <w:sz w:val="22"/>
          <w:szCs w:val="22"/>
        </w:rPr>
        <w:t xml:space="preserve"> </w:t>
      </w:r>
      <w:r>
        <w:rPr>
          <w:sz w:val="22"/>
          <w:szCs w:val="22"/>
        </w:rPr>
        <w:t>(</w:t>
      </w:r>
      <w:r w:rsidRPr="001850A1">
        <w:rPr>
          <w:sz w:val="22"/>
          <w:szCs w:val="22"/>
        </w:rPr>
        <w:t>opphovnet ansikt</w:t>
      </w:r>
      <w:r>
        <w:rPr>
          <w:sz w:val="22"/>
          <w:szCs w:val="22"/>
        </w:rPr>
        <w:t>)</w:t>
      </w:r>
      <w:r w:rsidRPr="009C5EFD">
        <w:rPr>
          <w:sz w:val="22"/>
          <w:szCs w:val="22"/>
        </w:rPr>
        <w:t xml:space="preserve"> i forbindelse med allergiske reaksjoner</w:t>
      </w:r>
    </w:p>
    <w:p w14:paraId="012242E5" w14:textId="77777777" w:rsidR="009E676E" w:rsidRPr="009C5EFD" w:rsidRDefault="00E453CD" w:rsidP="009E676E">
      <w:pPr>
        <w:numPr>
          <w:ilvl w:val="0"/>
          <w:numId w:val="15"/>
        </w:numPr>
        <w:tabs>
          <w:tab w:val="clear" w:pos="720"/>
          <w:tab w:val="num" w:pos="540"/>
        </w:tabs>
        <w:ind w:left="540" w:hanging="540"/>
        <w:rPr>
          <w:sz w:val="22"/>
          <w:szCs w:val="22"/>
        </w:rPr>
      </w:pPr>
      <w:r w:rsidRPr="009C5EFD">
        <w:rPr>
          <w:sz w:val="22"/>
          <w:szCs w:val="22"/>
        </w:rPr>
        <w:t>erythema multiforme (hudutslett med inflammasjon)</w:t>
      </w:r>
    </w:p>
    <w:p w14:paraId="1A6CF168" w14:textId="77777777" w:rsidR="009E676E" w:rsidRDefault="00E453CD" w:rsidP="009E676E">
      <w:pPr>
        <w:numPr>
          <w:ilvl w:val="0"/>
          <w:numId w:val="15"/>
        </w:numPr>
        <w:tabs>
          <w:tab w:val="clear" w:pos="720"/>
          <w:tab w:val="num" w:pos="540"/>
        </w:tabs>
        <w:ind w:left="540" w:hanging="540"/>
        <w:rPr>
          <w:sz w:val="22"/>
          <w:szCs w:val="22"/>
        </w:rPr>
      </w:pPr>
      <w:r w:rsidRPr="009C5EFD">
        <w:rPr>
          <w:sz w:val="22"/>
          <w:szCs w:val="22"/>
        </w:rPr>
        <w:t>lupuslignende syndrom</w:t>
      </w:r>
    </w:p>
    <w:p w14:paraId="6075EEAF" w14:textId="77777777" w:rsidR="00187573" w:rsidRDefault="00E453CD" w:rsidP="009E676E">
      <w:pPr>
        <w:numPr>
          <w:ilvl w:val="0"/>
          <w:numId w:val="15"/>
        </w:numPr>
        <w:tabs>
          <w:tab w:val="clear" w:pos="720"/>
          <w:tab w:val="num" w:pos="540"/>
        </w:tabs>
        <w:ind w:left="540" w:hanging="540"/>
        <w:rPr>
          <w:sz w:val="22"/>
          <w:szCs w:val="22"/>
        </w:rPr>
      </w:pPr>
      <w:r>
        <w:rPr>
          <w:sz w:val="22"/>
          <w:szCs w:val="22"/>
        </w:rPr>
        <w:t>angioødem (lokalisert opphovning av huden)</w:t>
      </w:r>
    </w:p>
    <w:p w14:paraId="275294FE" w14:textId="77777777" w:rsidR="00A36D70" w:rsidRPr="00A36D70" w:rsidRDefault="00E453CD" w:rsidP="00A36D70">
      <w:pPr>
        <w:numPr>
          <w:ilvl w:val="0"/>
          <w:numId w:val="15"/>
        </w:numPr>
        <w:tabs>
          <w:tab w:val="clear" w:pos="720"/>
          <w:tab w:val="num" w:pos="540"/>
        </w:tabs>
        <w:ind w:left="540" w:hanging="540"/>
        <w:rPr>
          <w:sz w:val="22"/>
          <w:szCs w:val="22"/>
        </w:rPr>
      </w:pPr>
      <w:r>
        <w:rPr>
          <w:sz w:val="22"/>
          <w:szCs w:val="22"/>
        </w:rPr>
        <w:t>lichenoid hudreaksjon (kløende rødlig-lilla utslett)</w:t>
      </w:r>
    </w:p>
    <w:p w14:paraId="262A952A" w14:textId="77777777" w:rsidR="009E676E" w:rsidRPr="009C5EFD" w:rsidRDefault="009E676E" w:rsidP="009E676E">
      <w:pPr>
        <w:rPr>
          <w:sz w:val="22"/>
          <w:szCs w:val="22"/>
        </w:rPr>
      </w:pPr>
    </w:p>
    <w:p w14:paraId="4AA92B46" w14:textId="77777777" w:rsidR="009E676E" w:rsidRDefault="00E453CD" w:rsidP="009E676E">
      <w:pPr>
        <w:keepNext/>
        <w:rPr>
          <w:sz w:val="22"/>
          <w:szCs w:val="22"/>
        </w:rPr>
      </w:pPr>
      <w:r w:rsidRPr="0061743D">
        <w:rPr>
          <w:b/>
          <w:sz w:val="22"/>
        </w:rPr>
        <w:t>Ikke kjent</w:t>
      </w:r>
      <w:r w:rsidRPr="009C5EFD">
        <w:rPr>
          <w:sz w:val="22"/>
          <w:szCs w:val="22"/>
        </w:rPr>
        <w:t xml:space="preserve"> (</w:t>
      </w:r>
      <w:r w:rsidR="00E63B3E">
        <w:rPr>
          <w:sz w:val="22"/>
          <w:szCs w:val="22"/>
        </w:rPr>
        <w:t xml:space="preserve">frekvens </w:t>
      </w:r>
      <w:r w:rsidRPr="009C5EFD">
        <w:rPr>
          <w:sz w:val="22"/>
          <w:szCs w:val="22"/>
        </w:rPr>
        <w:t xml:space="preserve">kan ikke </w:t>
      </w:r>
      <w:r w:rsidR="008167D9">
        <w:rPr>
          <w:sz w:val="22"/>
          <w:szCs w:val="22"/>
        </w:rPr>
        <w:t>anslås</w:t>
      </w:r>
      <w:r w:rsidRPr="009C5EFD">
        <w:rPr>
          <w:sz w:val="22"/>
          <w:szCs w:val="22"/>
        </w:rPr>
        <w:t xml:space="preserve"> ut ifra tilgjengelig</w:t>
      </w:r>
      <w:r w:rsidR="00E63B3E">
        <w:rPr>
          <w:sz w:val="22"/>
          <w:szCs w:val="22"/>
        </w:rPr>
        <w:t>e</w:t>
      </w:r>
      <w:r w:rsidRPr="009C5EFD">
        <w:rPr>
          <w:sz w:val="22"/>
          <w:szCs w:val="22"/>
        </w:rPr>
        <w:t xml:space="preserve"> data)</w:t>
      </w:r>
    </w:p>
    <w:p w14:paraId="56EDED0D" w14:textId="77777777" w:rsidR="009E676E" w:rsidRPr="009C5EFD" w:rsidRDefault="009E676E" w:rsidP="009E676E">
      <w:pPr>
        <w:keepNext/>
        <w:rPr>
          <w:sz w:val="22"/>
          <w:szCs w:val="22"/>
        </w:rPr>
      </w:pPr>
    </w:p>
    <w:p w14:paraId="00ABF6A6" w14:textId="77777777" w:rsidR="009E676E" w:rsidRPr="009C5EFD" w:rsidRDefault="00E453CD" w:rsidP="00776A84">
      <w:pPr>
        <w:numPr>
          <w:ilvl w:val="0"/>
          <w:numId w:val="49"/>
        </w:numPr>
        <w:tabs>
          <w:tab w:val="clear" w:pos="720"/>
          <w:tab w:val="num" w:pos="567"/>
        </w:tabs>
        <w:ind w:left="567" w:hanging="567"/>
        <w:rPr>
          <w:sz w:val="22"/>
          <w:szCs w:val="22"/>
        </w:rPr>
      </w:pPr>
      <w:r w:rsidRPr="009C5EFD">
        <w:rPr>
          <w:sz w:val="22"/>
          <w:szCs w:val="22"/>
        </w:rPr>
        <w:t>hepatosplenisk T-cellelymfom (en sjelden form for blodkreft, som ofte er dødelig)</w:t>
      </w:r>
    </w:p>
    <w:p w14:paraId="6021F97F" w14:textId="77777777" w:rsidR="009E676E" w:rsidRDefault="00E453CD" w:rsidP="00776A84">
      <w:pPr>
        <w:numPr>
          <w:ilvl w:val="0"/>
          <w:numId w:val="49"/>
        </w:numPr>
        <w:tabs>
          <w:tab w:val="clear" w:pos="720"/>
          <w:tab w:val="num" w:pos="567"/>
        </w:tabs>
        <w:ind w:left="567" w:hanging="567"/>
        <w:rPr>
          <w:sz w:val="22"/>
          <w:szCs w:val="22"/>
        </w:rPr>
      </w:pPr>
      <w:r w:rsidRPr="009C5EFD">
        <w:rPr>
          <w:sz w:val="22"/>
          <w:szCs w:val="22"/>
        </w:rPr>
        <w:t>merkelcellekarsinom (en type hudkreft)</w:t>
      </w:r>
    </w:p>
    <w:p w14:paraId="126D6A03" w14:textId="77777777" w:rsidR="00EA0775" w:rsidRPr="00EA0775" w:rsidRDefault="00E453CD" w:rsidP="00EA0775">
      <w:pPr>
        <w:numPr>
          <w:ilvl w:val="0"/>
          <w:numId w:val="49"/>
        </w:numPr>
        <w:tabs>
          <w:tab w:val="clear" w:pos="720"/>
          <w:tab w:val="num" w:pos="567"/>
        </w:tabs>
        <w:ind w:left="567" w:hanging="567"/>
        <w:rPr>
          <w:sz w:val="22"/>
          <w:szCs w:val="22"/>
        </w:rPr>
      </w:pPr>
      <w:r w:rsidRPr="00EA0775">
        <w:rPr>
          <w:sz w:val="22"/>
          <w:szCs w:val="22"/>
        </w:rPr>
        <w:t>Kaposis sarkom, en sjelden krefttype relatert til infeksjon med humant herpes virus 8. Kaposis sarkom opptrer som oftest som lilla lesjoner i huden</w:t>
      </w:r>
    </w:p>
    <w:p w14:paraId="0A88B11C" w14:textId="77777777" w:rsidR="009E676E" w:rsidRPr="009C5EFD" w:rsidRDefault="00E453CD" w:rsidP="00776A84">
      <w:pPr>
        <w:numPr>
          <w:ilvl w:val="0"/>
          <w:numId w:val="49"/>
        </w:numPr>
        <w:tabs>
          <w:tab w:val="clear" w:pos="720"/>
          <w:tab w:val="num" w:pos="567"/>
        </w:tabs>
        <w:ind w:left="567" w:hanging="567"/>
        <w:rPr>
          <w:sz w:val="22"/>
          <w:szCs w:val="22"/>
        </w:rPr>
      </w:pPr>
      <w:r w:rsidRPr="009C5EFD">
        <w:rPr>
          <w:sz w:val="22"/>
          <w:szCs w:val="22"/>
        </w:rPr>
        <w:t>leversvikt</w:t>
      </w:r>
    </w:p>
    <w:p w14:paraId="38FF459B" w14:textId="77777777" w:rsidR="009E676E" w:rsidRPr="009C5EFD" w:rsidRDefault="00E453CD" w:rsidP="00776A84">
      <w:pPr>
        <w:numPr>
          <w:ilvl w:val="0"/>
          <w:numId w:val="49"/>
        </w:numPr>
        <w:tabs>
          <w:tab w:val="clear" w:pos="720"/>
          <w:tab w:val="num" w:pos="567"/>
        </w:tabs>
        <w:ind w:left="567" w:hanging="567"/>
        <w:rPr>
          <w:sz w:val="22"/>
          <w:szCs w:val="22"/>
        </w:rPr>
      </w:pPr>
      <w:r w:rsidRPr="009C5EFD">
        <w:rPr>
          <w:sz w:val="22"/>
          <w:szCs w:val="22"/>
        </w:rPr>
        <w:t>forverring av en tilstand kalt dermatomyositt (forekommer som hudutslett ledsaget med muskelsvakhet)</w:t>
      </w:r>
    </w:p>
    <w:p w14:paraId="341E1B42" w14:textId="77777777" w:rsidR="00915892" w:rsidRPr="00E90360" w:rsidRDefault="00E453CD" w:rsidP="00915892">
      <w:pPr>
        <w:numPr>
          <w:ilvl w:val="0"/>
          <w:numId w:val="49"/>
        </w:numPr>
        <w:tabs>
          <w:tab w:val="clear" w:pos="720"/>
          <w:tab w:val="num" w:pos="567"/>
        </w:tabs>
        <w:ind w:left="567" w:hanging="567"/>
        <w:rPr>
          <w:sz w:val="22"/>
          <w:szCs w:val="22"/>
        </w:rPr>
      </w:pPr>
      <w:r>
        <w:rPr>
          <w:sz w:val="22"/>
          <w:szCs w:val="22"/>
        </w:rPr>
        <w:t>vektøkning (for de fleste pasientene var vektøkningen liten)</w:t>
      </w:r>
    </w:p>
    <w:p w14:paraId="0208858D" w14:textId="77777777" w:rsidR="009E676E" w:rsidRPr="009C5EFD" w:rsidRDefault="009E676E" w:rsidP="00776A84">
      <w:pPr>
        <w:rPr>
          <w:sz w:val="22"/>
          <w:szCs w:val="22"/>
        </w:rPr>
      </w:pPr>
    </w:p>
    <w:p w14:paraId="1BF82C25" w14:textId="77777777" w:rsidR="009E676E" w:rsidRPr="009C5EFD" w:rsidRDefault="00E453CD" w:rsidP="009E676E">
      <w:pPr>
        <w:rPr>
          <w:sz w:val="22"/>
          <w:szCs w:val="22"/>
        </w:rPr>
      </w:pPr>
      <w:r w:rsidRPr="009C5EFD">
        <w:rPr>
          <w:sz w:val="22"/>
          <w:szCs w:val="22"/>
        </w:rPr>
        <w:lastRenderedPageBreak/>
        <w:t>Noen bivirkninger som er observert med Humira har ikke symptomer og kan bare vises gjennom blodprøver. Disse er:</w:t>
      </w:r>
    </w:p>
    <w:p w14:paraId="1AC24A95" w14:textId="77777777" w:rsidR="009E676E" w:rsidRPr="009C5EFD" w:rsidRDefault="009E676E" w:rsidP="009E676E">
      <w:pPr>
        <w:rPr>
          <w:sz w:val="22"/>
          <w:szCs w:val="22"/>
        </w:rPr>
      </w:pPr>
    </w:p>
    <w:p w14:paraId="2AB3F705" w14:textId="77777777" w:rsidR="009E676E" w:rsidRDefault="00E453CD" w:rsidP="00776A84">
      <w:pPr>
        <w:keepNext/>
        <w:suppressAutoHyphens/>
        <w:rPr>
          <w:sz w:val="22"/>
          <w:szCs w:val="22"/>
        </w:rPr>
      </w:pPr>
      <w:r w:rsidRPr="0061743D">
        <w:rPr>
          <w:b/>
          <w:sz w:val="22"/>
        </w:rPr>
        <w:t>Svært vanlige</w:t>
      </w:r>
      <w:r w:rsidRPr="009C5EFD">
        <w:rPr>
          <w:sz w:val="22"/>
          <w:szCs w:val="22"/>
        </w:rPr>
        <w:t xml:space="preserve"> (kan forekomme hos flere enn 1 av 10 personer)</w:t>
      </w:r>
    </w:p>
    <w:p w14:paraId="551839D5" w14:textId="77777777" w:rsidR="009E676E" w:rsidRPr="009C5EFD" w:rsidRDefault="009E676E" w:rsidP="00776A84">
      <w:pPr>
        <w:keepNext/>
        <w:suppressAutoHyphens/>
        <w:rPr>
          <w:sz w:val="22"/>
          <w:szCs w:val="22"/>
        </w:rPr>
      </w:pPr>
    </w:p>
    <w:p w14:paraId="1D6F7101"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lave blodverdier for hvite blodlegemer</w:t>
      </w:r>
    </w:p>
    <w:p w14:paraId="574EF7EC"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lave blodverdier for røde blodlegemer</w:t>
      </w:r>
    </w:p>
    <w:p w14:paraId="0B89FA4B"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forhøyede lipider i blod</w:t>
      </w:r>
    </w:p>
    <w:p w14:paraId="4753D5C1"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forhøyede leverenzymer</w:t>
      </w:r>
    </w:p>
    <w:p w14:paraId="763C2407" w14:textId="77777777" w:rsidR="009E676E" w:rsidRPr="009C5EFD" w:rsidRDefault="009E676E" w:rsidP="009E676E">
      <w:pPr>
        <w:rPr>
          <w:sz w:val="22"/>
          <w:szCs w:val="22"/>
        </w:rPr>
      </w:pPr>
    </w:p>
    <w:p w14:paraId="7C3F155A" w14:textId="77777777" w:rsidR="009E676E" w:rsidRDefault="00E453CD" w:rsidP="00776A84">
      <w:pPr>
        <w:keepNext/>
        <w:suppressAutoHyphens/>
        <w:rPr>
          <w:sz w:val="22"/>
          <w:szCs w:val="22"/>
        </w:rPr>
      </w:pPr>
      <w:r w:rsidRPr="0061743D">
        <w:rPr>
          <w:b/>
          <w:sz w:val="22"/>
        </w:rPr>
        <w:t>Vanlige</w:t>
      </w:r>
      <w:r w:rsidRPr="009C5EFD">
        <w:rPr>
          <w:sz w:val="22"/>
          <w:szCs w:val="22"/>
        </w:rPr>
        <w:t xml:space="preserve"> (kan forekomme hos opptil 1 av 10 personer)</w:t>
      </w:r>
    </w:p>
    <w:p w14:paraId="1B2324CB" w14:textId="77777777" w:rsidR="009E676E" w:rsidRPr="009C5EFD" w:rsidRDefault="009E676E" w:rsidP="00776A84">
      <w:pPr>
        <w:keepNext/>
        <w:suppressAutoHyphens/>
        <w:rPr>
          <w:sz w:val="22"/>
          <w:szCs w:val="22"/>
        </w:rPr>
      </w:pPr>
    </w:p>
    <w:p w14:paraId="2E474668"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høye blodverdier for hvite blodlegemer</w:t>
      </w:r>
    </w:p>
    <w:p w14:paraId="7F64C245"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lave blodverdier for blodplater</w:t>
      </w:r>
    </w:p>
    <w:p w14:paraId="577DBDA3"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forhøyet urinsyre i blod</w:t>
      </w:r>
    </w:p>
    <w:p w14:paraId="0DE0F7B3"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unormale blodverdier for natrium</w:t>
      </w:r>
    </w:p>
    <w:p w14:paraId="0A8B4D92"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lave blodverdier for kalsium</w:t>
      </w:r>
    </w:p>
    <w:p w14:paraId="1D2B8EB7"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lave blodverdier for fosfat</w:t>
      </w:r>
    </w:p>
    <w:p w14:paraId="2B0ED08F"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høyt blodsukker</w:t>
      </w:r>
    </w:p>
    <w:p w14:paraId="7263BBC3" w14:textId="77777777" w:rsidR="009E676E" w:rsidRPr="009C5EFD" w:rsidRDefault="00E453CD" w:rsidP="00DD7B07">
      <w:pPr>
        <w:numPr>
          <w:ilvl w:val="0"/>
          <w:numId w:val="15"/>
        </w:numPr>
        <w:tabs>
          <w:tab w:val="clear" w:pos="720"/>
          <w:tab w:val="num" w:pos="540"/>
        </w:tabs>
        <w:ind w:left="0" w:firstLine="0"/>
        <w:rPr>
          <w:sz w:val="22"/>
          <w:szCs w:val="22"/>
        </w:rPr>
      </w:pPr>
      <w:r w:rsidRPr="009C5EFD">
        <w:rPr>
          <w:sz w:val="22"/>
          <w:szCs w:val="22"/>
        </w:rPr>
        <w:t>høye blodverdier for laktatdehydrogenase</w:t>
      </w:r>
    </w:p>
    <w:p w14:paraId="7727226B" w14:textId="77777777" w:rsidR="009E676E" w:rsidRDefault="00E453CD" w:rsidP="00DD7B07">
      <w:pPr>
        <w:numPr>
          <w:ilvl w:val="0"/>
          <w:numId w:val="15"/>
        </w:numPr>
        <w:tabs>
          <w:tab w:val="clear" w:pos="720"/>
          <w:tab w:val="num" w:pos="540"/>
        </w:tabs>
        <w:ind w:left="0" w:firstLine="0"/>
        <w:rPr>
          <w:sz w:val="22"/>
          <w:szCs w:val="22"/>
        </w:rPr>
      </w:pPr>
      <w:r w:rsidRPr="009C5EFD">
        <w:rPr>
          <w:sz w:val="22"/>
          <w:szCs w:val="22"/>
        </w:rPr>
        <w:t>tilstedeværelse av autoantistoffer i blod</w:t>
      </w:r>
    </w:p>
    <w:p w14:paraId="3360695E" w14:textId="77777777" w:rsidR="00624D89" w:rsidRPr="00E90360" w:rsidRDefault="00E453CD" w:rsidP="00DD7B07">
      <w:pPr>
        <w:numPr>
          <w:ilvl w:val="0"/>
          <w:numId w:val="15"/>
        </w:numPr>
        <w:tabs>
          <w:tab w:val="clear" w:pos="720"/>
          <w:tab w:val="num" w:pos="540"/>
        </w:tabs>
        <w:ind w:left="0" w:firstLine="0"/>
        <w:rPr>
          <w:sz w:val="22"/>
          <w:szCs w:val="22"/>
        </w:rPr>
      </w:pPr>
      <w:r>
        <w:rPr>
          <w:sz w:val="22"/>
          <w:szCs w:val="22"/>
        </w:rPr>
        <w:t>lavt kaliumnivå i blodet</w:t>
      </w:r>
    </w:p>
    <w:p w14:paraId="14B716CA" w14:textId="77777777" w:rsidR="00624D89" w:rsidRDefault="00624D89" w:rsidP="00624D89">
      <w:pPr>
        <w:rPr>
          <w:sz w:val="22"/>
          <w:szCs w:val="22"/>
        </w:rPr>
      </w:pPr>
    </w:p>
    <w:p w14:paraId="4EF1FC7A" w14:textId="77777777" w:rsidR="00624D89" w:rsidRPr="00E90360" w:rsidRDefault="00E453CD" w:rsidP="00624D89">
      <w:pPr>
        <w:keepNext/>
        <w:rPr>
          <w:sz w:val="22"/>
          <w:szCs w:val="22"/>
        </w:rPr>
      </w:pPr>
      <w:r>
        <w:rPr>
          <w:b/>
          <w:sz w:val="22"/>
        </w:rPr>
        <w:t>Mindre vanlige</w:t>
      </w:r>
      <w:r w:rsidRPr="00E90360">
        <w:rPr>
          <w:sz w:val="22"/>
          <w:szCs w:val="22"/>
        </w:rPr>
        <w:t xml:space="preserve"> (</w:t>
      </w:r>
      <w:r>
        <w:rPr>
          <w:sz w:val="22"/>
          <w:szCs w:val="22"/>
        </w:rPr>
        <w:t>kan forekomme hos opptil 1 av 100 personer</w:t>
      </w:r>
      <w:r w:rsidRPr="00E90360">
        <w:rPr>
          <w:sz w:val="22"/>
          <w:szCs w:val="22"/>
        </w:rPr>
        <w:t>)</w:t>
      </w:r>
    </w:p>
    <w:p w14:paraId="346FBDE5" w14:textId="77777777" w:rsidR="00624D89" w:rsidRPr="00E90360" w:rsidRDefault="00624D89" w:rsidP="00624D89">
      <w:pPr>
        <w:keepNext/>
        <w:rPr>
          <w:sz w:val="22"/>
          <w:szCs w:val="22"/>
        </w:rPr>
      </w:pPr>
    </w:p>
    <w:p w14:paraId="3DD4D169" w14:textId="77777777" w:rsidR="00624D89" w:rsidRPr="00624D89" w:rsidRDefault="00E453CD" w:rsidP="00776A84">
      <w:pPr>
        <w:numPr>
          <w:ilvl w:val="0"/>
          <w:numId w:val="15"/>
        </w:numPr>
        <w:tabs>
          <w:tab w:val="clear" w:pos="720"/>
          <w:tab w:val="num" w:pos="540"/>
        </w:tabs>
        <w:ind w:left="0" w:firstLine="0"/>
        <w:rPr>
          <w:sz w:val="22"/>
          <w:szCs w:val="22"/>
        </w:rPr>
      </w:pPr>
      <w:r>
        <w:rPr>
          <w:sz w:val="22"/>
          <w:szCs w:val="22"/>
        </w:rPr>
        <w:t>forhøyede bilirubinverdier (leverblodprøve)</w:t>
      </w:r>
    </w:p>
    <w:p w14:paraId="28726D1B" w14:textId="77777777" w:rsidR="009E676E" w:rsidRPr="009C5EFD" w:rsidRDefault="009E676E" w:rsidP="009E676E">
      <w:pPr>
        <w:rPr>
          <w:sz w:val="22"/>
          <w:szCs w:val="22"/>
        </w:rPr>
      </w:pPr>
    </w:p>
    <w:p w14:paraId="48D074FB" w14:textId="77777777" w:rsidR="009E676E" w:rsidRPr="009C5EFD" w:rsidRDefault="00E453CD" w:rsidP="00AF70AD">
      <w:pPr>
        <w:keepNext/>
        <w:rPr>
          <w:sz w:val="22"/>
          <w:szCs w:val="22"/>
        </w:rPr>
      </w:pPr>
      <w:r w:rsidRPr="0061743D">
        <w:rPr>
          <w:b/>
          <w:sz w:val="22"/>
        </w:rPr>
        <w:t>Sjeldne</w:t>
      </w:r>
      <w:r w:rsidRPr="009C5EFD">
        <w:rPr>
          <w:sz w:val="22"/>
          <w:szCs w:val="22"/>
        </w:rPr>
        <w:t xml:space="preserve"> (kan forekomme hos opptil 1 av 1000 personer)</w:t>
      </w:r>
    </w:p>
    <w:p w14:paraId="0024A8AA" w14:textId="77777777" w:rsidR="009E676E" w:rsidRPr="009C5EFD" w:rsidRDefault="009E676E" w:rsidP="00AF70AD">
      <w:pPr>
        <w:keepNext/>
        <w:rPr>
          <w:sz w:val="22"/>
          <w:szCs w:val="22"/>
        </w:rPr>
      </w:pPr>
    </w:p>
    <w:p w14:paraId="19672F51" w14:textId="77777777" w:rsidR="009E676E" w:rsidRPr="009C5EFD" w:rsidRDefault="00E453CD" w:rsidP="009E676E">
      <w:pPr>
        <w:numPr>
          <w:ilvl w:val="0"/>
          <w:numId w:val="15"/>
        </w:numPr>
        <w:tabs>
          <w:tab w:val="clear" w:pos="720"/>
          <w:tab w:val="num" w:pos="540"/>
        </w:tabs>
        <w:ind w:left="0" w:firstLine="0"/>
        <w:rPr>
          <w:sz w:val="22"/>
          <w:szCs w:val="22"/>
        </w:rPr>
      </w:pPr>
      <w:r w:rsidRPr="009C5EFD">
        <w:rPr>
          <w:sz w:val="22"/>
          <w:szCs w:val="22"/>
        </w:rPr>
        <w:t>lave blodverdier for hvite blodlegemer, røde blodlegemer og antall plater</w:t>
      </w:r>
    </w:p>
    <w:p w14:paraId="268EFAB0" w14:textId="77777777" w:rsidR="009E676E" w:rsidRPr="009C5EFD" w:rsidRDefault="009E676E" w:rsidP="009E676E">
      <w:pPr>
        <w:rPr>
          <w:sz w:val="22"/>
          <w:szCs w:val="22"/>
        </w:rPr>
      </w:pPr>
    </w:p>
    <w:p w14:paraId="563405FD" w14:textId="77777777" w:rsidR="009E676E" w:rsidRPr="000E7054" w:rsidRDefault="00E453CD" w:rsidP="00776A84">
      <w:pPr>
        <w:keepNext/>
        <w:rPr>
          <w:b/>
          <w:sz w:val="22"/>
          <w:szCs w:val="22"/>
        </w:rPr>
      </w:pPr>
      <w:r w:rsidRPr="000E7054">
        <w:rPr>
          <w:rFonts w:eastAsia="SimSun"/>
          <w:b/>
          <w:noProof/>
          <w:sz w:val="22"/>
          <w:szCs w:val="22"/>
        </w:rPr>
        <w:t>Melding av bivirkninger</w:t>
      </w:r>
    </w:p>
    <w:p w14:paraId="24D694FA" w14:textId="77777777" w:rsidR="009E676E" w:rsidRPr="005C4BE2" w:rsidRDefault="00E453CD" w:rsidP="004D2F53">
      <w:pPr>
        <w:rPr>
          <w:sz w:val="22"/>
          <w:szCs w:val="22"/>
        </w:rPr>
      </w:pPr>
      <w:r w:rsidRPr="005C4BE2">
        <w:rPr>
          <w:sz w:val="22"/>
          <w:szCs w:val="22"/>
        </w:rPr>
        <w:t>Kontakt lege</w:t>
      </w:r>
      <w:r>
        <w:rPr>
          <w:sz w:val="22"/>
          <w:szCs w:val="22"/>
        </w:rPr>
        <w:t>n din</w:t>
      </w:r>
      <w:r w:rsidRPr="005C4BE2">
        <w:rPr>
          <w:sz w:val="22"/>
          <w:szCs w:val="22"/>
        </w:rPr>
        <w:t xml:space="preserve"> eller apotek dersom du opplever bivirkninger</w:t>
      </w:r>
      <w:r w:rsidR="004D2F53" w:rsidRPr="004D2F53">
        <w:rPr>
          <w:sz w:val="22"/>
          <w:szCs w:val="22"/>
        </w:rPr>
        <w:t>. Dette</w:t>
      </w:r>
      <w:r w:rsidR="004D2F53">
        <w:rPr>
          <w:sz w:val="22"/>
          <w:szCs w:val="22"/>
        </w:rPr>
        <w:t xml:space="preserve"> </w:t>
      </w:r>
      <w:r w:rsidR="004D2F53" w:rsidRPr="004D2F53">
        <w:rPr>
          <w:sz w:val="22"/>
          <w:szCs w:val="22"/>
        </w:rPr>
        <w:t>gjelder også</w:t>
      </w:r>
      <w:r w:rsidRPr="005C4BE2">
        <w:rPr>
          <w:sz w:val="22"/>
          <w:szCs w:val="22"/>
        </w:rPr>
        <w:t xml:space="preserve"> bivirkninger som ikke er nevnt i pakningsvedlegget.</w:t>
      </w:r>
      <w:r w:rsidR="00A36D70">
        <w:rPr>
          <w:sz w:val="22"/>
          <w:szCs w:val="22"/>
        </w:rPr>
        <w:t xml:space="preserve"> </w:t>
      </w:r>
      <w:r w:rsidRPr="001F5D4B">
        <w:rPr>
          <w:sz w:val="22"/>
          <w:szCs w:val="22"/>
        </w:rPr>
        <w:t xml:space="preserve">Du kan også melde fra om bivirkninger direkte via </w:t>
      </w:r>
      <w:r w:rsidRPr="0085613F">
        <w:rPr>
          <w:noProof/>
          <w:sz w:val="22"/>
          <w:szCs w:val="22"/>
          <w:highlight w:val="lightGray"/>
        </w:rPr>
        <w:t>det nasjonale meldesystemet som beskrevet i</w:t>
      </w:r>
      <w:r w:rsidRPr="0085613F">
        <w:rPr>
          <w:sz w:val="22"/>
          <w:szCs w:val="22"/>
          <w:highlight w:val="lightGray"/>
        </w:rPr>
        <w:t xml:space="preserve"> </w:t>
      </w:r>
      <w:hyperlink r:id="rId77" w:history="1">
        <w:r w:rsidR="009E676E" w:rsidRPr="0085613F">
          <w:rPr>
            <w:color w:val="0000FF"/>
            <w:sz w:val="22"/>
            <w:szCs w:val="22"/>
            <w:highlight w:val="lightGray"/>
            <w:u w:val="single"/>
          </w:rPr>
          <w:t>Appendix V</w:t>
        </w:r>
      </w:hyperlink>
      <w:r w:rsidRPr="0085613F">
        <w:rPr>
          <w:sz w:val="22"/>
          <w:szCs w:val="22"/>
          <w:highlight w:val="lightGray"/>
        </w:rPr>
        <w:t>.</w:t>
      </w:r>
      <w:r w:rsidRPr="001F5D4B">
        <w:rPr>
          <w:sz w:val="22"/>
          <w:szCs w:val="22"/>
        </w:rPr>
        <w:t xml:space="preserve"> Ved å melde fra om bivirkninger bidrar du med informasjon om sikkerheten ved bruk av dette legemidlet.</w:t>
      </w:r>
    </w:p>
    <w:p w14:paraId="571DFB08" w14:textId="77777777" w:rsidR="009E676E" w:rsidRPr="00E14E58" w:rsidRDefault="009E676E" w:rsidP="009E676E">
      <w:pPr>
        <w:rPr>
          <w:sz w:val="22"/>
          <w:szCs w:val="22"/>
        </w:rPr>
      </w:pPr>
    </w:p>
    <w:p w14:paraId="3434554C" w14:textId="77777777" w:rsidR="009E676E" w:rsidRPr="009C5EFD" w:rsidRDefault="009E676E" w:rsidP="009E676E">
      <w:pPr>
        <w:rPr>
          <w:sz w:val="22"/>
          <w:szCs w:val="22"/>
        </w:rPr>
      </w:pPr>
    </w:p>
    <w:p w14:paraId="56B913F5" w14:textId="77777777" w:rsidR="009E676E" w:rsidRPr="009C5EFD" w:rsidRDefault="00E453CD" w:rsidP="00776A84">
      <w:pPr>
        <w:keepNext/>
        <w:suppressAutoHyphens/>
        <w:ind w:left="567" w:hanging="567"/>
        <w:rPr>
          <w:sz w:val="22"/>
          <w:szCs w:val="22"/>
        </w:rPr>
      </w:pPr>
      <w:r w:rsidRPr="009C5EFD">
        <w:rPr>
          <w:b/>
          <w:sz w:val="22"/>
          <w:szCs w:val="22"/>
        </w:rPr>
        <w:t>5.</w:t>
      </w:r>
      <w:r w:rsidRPr="009C5EFD">
        <w:rPr>
          <w:b/>
          <w:sz w:val="22"/>
          <w:szCs w:val="22"/>
        </w:rPr>
        <w:tab/>
        <w:t>Hvordan du oppbevarer Humira</w:t>
      </w:r>
    </w:p>
    <w:p w14:paraId="153F858F" w14:textId="77777777" w:rsidR="009E676E" w:rsidRPr="009C5EFD" w:rsidRDefault="009E676E" w:rsidP="00776A84">
      <w:pPr>
        <w:keepNext/>
        <w:rPr>
          <w:sz w:val="22"/>
          <w:szCs w:val="22"/>
        </w:rPr>
      </w:pPr>
    </w:p>
    <w:p w14:paraId="40F37379" w14:textId="77777777" w:rsidR="009E676E" w:rsidRPr="009C5EFD" w:rsidRDefault="00E453CD" w:rsidP="009E676E">
      <w:pPr>
        <w:suppressAutoHyphens/>
        <w:rPr>
          <w:sz w:val="22"/>
          <w:szCs w:val="22"/>
        </w:rPr>
      </w:pPr>
      <w:r w:rsidRPr="009C5EFD">
        <w:rPr>
          <w:sz w:val="22"/>
          <w:szCs w:val="22"/>
        </w:rPr>
        <w:t>Oppbevar dette legemidlet utilgjengelig for barn.</w:t>
      </w:r>
    </w:p>
    <w:p w14:paraId="56A1CF75" w14:textId="77777777" w:rsidR="009E676E" w:rsidRPr="009C5EFD" w:rsidRDefault="009E676E" w:rsidP="009E676E">
      <w:pPr>
        <w:suppressAutoHyphens/>
        <w:rPr>
          <w:sz w:val="22"/>
          <w:szCs w:val="22"/>
        </w:rPr>
      </w:pPr>
    </w:p>
    <w:p w14:paraId="18A0A7EE" w14:textId="77777777" w:rsidR="009E676E" w:rsidRPr="009C5EFD" w:rsidRDefault="00E453CD" w:rsidP="009E676E">
      <w:pPr>
        <w:suppressAutoHyphens/>
        <w:rPr>
          <w:sz w:val="22"/>
          <w:szCs w:val="22"/>
        </w:rPr>
      </w:pPr>
      <w:r w:rsidRPr="009C5EFD">
        <w:rPr>
          <w:sz w:val="22"/>
          <w:szCs w:val="22"/>
        </w:rPr>
        <w:t>Bruk ikke dette legemidlet etter utløpsdatoen som er angitt på etiketten/blisteret/esken</w:t>
      </w:r>
      <w:r>
        <w:rPr>
          <w:sz w:val="22"/>
          <w:szCs w:val="22"/>
        </w:rPr>
        <w:t xml:space="preserve"> etter EXP</w:t>
      </w:r>
      <w:r w:rsidRPr="009C5EFD">
        <w:rPr>
          <w:sz w:val="22"/>
          <w:szCs w:val="22"/>
        </w:rPr>
        <w:t xml:space="preserve">. </w:t>
      </w:r>
    </w:p>
    <w:p w14:paraId="66570291" w14:textId="77777777" w:rsidR="009E676E" w:rsidRPr="009C5EFD" w:rsidRDefault="009E676E" w:rsidP="009E676E">
      <w:pPr>
        <w:suppressAutoHyphens/>
        <w:rPr>
          <w:sz w:val="22"/>
          <w:szCs w:val="22"/>
        </w:rPr>
      </w:pPr>
    </w:p>
    <w:p w14:paraId="330A5BDA" w14:textId="77777777" w:rsidR="008B3EC8" w:rsidRDefault="00E453CD" w:rsidP="009E676E">
      <w:pPr>
        <w:suppressAutoHyphens/>
        <w:rPr>
          <w:sz w:val="22"/>
          <w:szCs w:val="22"/>
        </w:rPr>
      </w:pPr>
      <w:r w:rsidRPr="009C5EFD">
        <w:rPr>
          <w:sz w:val="22"/>
          <w:szCs w:val="22"/>
        </w:rPr>
        <w:t>Oppbevares i kjøleskap</w:t>
      </w:r>
      <w:r>
        <w:rPr>
          <w:sz w:val="22"/>
          <w:szCs w:val="22"/>
        </w:rPr>
        <w:t xml:space="preserve"> (2</w:t>
      </w:r>
      <w:r w:rsidR="008167D9">
        <w:rPr>
          <w:sz w:val="22"/>
          <w:szCs w:val="22"/>
        </w:rPr>
        <w:t> </w:t>
      </w:r>
      <w:r>
        <w:rPr>
          <w:sz w:val="22"/>
          <w:szCs w:val="22"/>
        </w:rPr>
        <w:t>°C – 8</w:t>
      </w:r>
      <w:r w:rsidR="008167D9">
        <w:rPr>
          <w:sz w:val="22"/>
          <w:szCs w:val="22"/>
        </w:rPr>
        <w:t> </w:t>
      </w:r>
      <w:r>
        <w:rPr>
          <w:sz w:val="22"/>
          <w:szCs w:val="22"/>
        </w:rPr>
        <w:t>°C). Skal ikke fryses.</w:t>
      </w:r>
    </w:p>
    <w:p w14:paraId="2F72989B" w14:textId="77777777" w:rsidR="008B3EC8" w:rsidRDefault="008B3EC8" w:rsidP="009E676E">
      <w:pPr>
        <w:suppressAutoHyphens/>
        <w:rPr>
          <w:sz w:val="22"/>
          <w:szCs w:val="22"/>
        </w:rPr>
      </w:pPr>
    </w:p>
    <w:p w14:paraId="5A55470D" w14:textId="77777777" w:rsidR="009E676E" w:rsidRPr="009C5EFD" w:rsidRDefault="00E453CD" w:rsidP="009E676E">
      <w:pPr>
        <w:suppressAutoHyphens/>
        <w:rPr>
          <w:sz w:val="22"/>
          <w:szCs w:val="22"/>
        </w:rPr>
      </w:pPr>
      <w:r w:rsidRPr="009C5EFD">
        <w:rPr>
          <w:sz w:val="22"/>
          <w:szCs w:val="22"/>
        </w:rPr>
        <w:t xml:space="preserve">Den ferdigfylte </w:t>
      </w:r>
      <w:r w:rsidR="008B3EC8">
        <w:rPr>
          <w:sz w:val="22"/>
          <w:szCs w:val="22"/>
        </w:rPr>
        <w:t>sprøyten</w:t>
      </w:r>
      <w:r w:rsidRPr="009C5EFD">
        <w:rPr>
          <w:sz w:val="22"/>
          <w:szCs w:val="22"/>
        </w:rPr>
        <w:t xml:space="preserve"> oppbevares i ytterpakningen for å beskytte mot lys.</w:t>
      </w:r>
    </w:p>
    <w:p w14:paraId="1493A846" w14:textId="77777777" w:rsidR="009E676E" w:rsidRPr="009C5EFD" w:rsidRDefault="009E676E" w:rsidP="009E676E">
      <w:pPr>
        <w:suppressAutoHyphens/>
        <w:rPr>
          <w:sz w:val="22"/>
          <w:szCs w:val="22"/>
        </w:rPr>
      </w:pPr>
    </w:p>
    <w:p w14:paraId="7FAB4424" w14:textId="77777777" w:rsidR="009E676E" w:rsidRPr="009C5EFD" w:rsidRDefault="00E453CD" w:rsidP="00776A84">
      <w:pPr>
        <w:keepNext/>
        <w:suppressAutoHyphens/>
        <w:rPr>
          <w:sz w:val="22"/>
          <w:szCs w:val="22"/>
        </w:rPr>
      </w:pPr>
      <w:r w:rsidRPr="009C5EFD">
        <w:rPr>
          <w:sz w:val="22"/>
          <w:szCs w:val="22"/>
        </w:rPr>
        <w:t>Alternativ oppbevaring:</w:t>
      </w:r>
    </w:p>
    <w:p w14:paraId="68621A8D" w14:textId="77777777" w:rsidR="009E676E" w:rsidRPr="009C5EFD" w:rsidRDefault="009E676E" w:rsidP="00776A84">
      <w:pPr>
        <w:keepNext/>
        <w:suppressAutoHyphens/>
        <w:rPr>
          <w:sz w:val="22"/>
          <w:szCs w:val="22"/>
        </w:rPr>
      </w:pPr>
    </w:p>
    <w:p w14:paraId="16A18EA2" w14:textId="77777777" w:rsidR="009E676E" w:rsidRPr="009C5EFD" w:rsidRDefault="00E453CD" w:rsidP="009E676E">
      <w:pPr>
        <w:suppressAutoHyphens/>
        <w:rPr>
          <w:sz w:val="22"/>
          <w:szCs w:val="22"/>
        </w:rPr>
      </w:pPr>
      <w:r w:rsidRPr="009C5EFD">
        <w:rPr>
          <w:sz w:val="22"/>
          <w:szCs w:val="22"/>
        </w:rPr>
        <w:t>Ved behov (</w:t>
      </w:r>
      <w:r>
        <w:rPr>
          <w:sz w:val="22"/>
          <w:szCs w:val="22"/>
        </w:rPr>
        <w:t>f.eks.</w:t>
      </w:r>
      <w:r w:rsidRPr="009C5EFD">
        <w:rPr>
          <w:sz w:val="22"/>
          <w:szCs w:val="22"/>
        </w:rPr>
        <w:t xml:space="preserve"> når du er på reise) kan en enkelt Humira ferdigfylt </w:t>
      </w:r>
      <w:r w:rsidR="008B3EC8">
        <w:rPr>
          <w:sz w:val="22"/>
          <w:szCs w:val="22"/>
        </w:rPr>
        <w:t>sprøyte</w:t>
      </w:r>
      <w:r w:rsidRPr="009C5EFD">
        <w:rPr>
          <w:sz w:val="22"/>
          <w:szCs w:val="22"/>
        </w:rPr>
        <w:t xml:space="preserve"> oppbevares ved romtemperatur (opptil 25</w:t>
      </w:r>
      <w:r w:rsidR="008167D9">
        <w:rPr>
          <w:sz w:val="22"/>
          <w:szCs w:val="22"/>
        </w:rPr>
        <w:t> </w:t>
      </w:r>
      <w:r w:rsidRPr="009C5EFD">
        <w:rPr>
          <w:sz w:val="22"/>
          <w:szCs w:val="22"/>
        </w:rPr>
        <w:t xml:space="preserve">°C) for en periode på maksimum 14 dager – sørg for å beskytte den mot lys. I det øyeblikk den tas fra kjøleskap for oppbevaring i romtemperatur </w:t>
      </w:r>
      <w:r w:rsidRPr="009C5EFD">
        <w:rPr>
          <w:b/>
          <w:sz w:val="22"/>
          <w:szCs w:val="22"/>
        </w:rPr>
        <w:t xml:space="preserve">må </w:t>
      </w:r>
      <w:r w:rsidR="008B3EC8" w:rsidRPr="008B3EC8">
        <w:rPr>
          <w:b/>
          <w:sz w:val="22"/>
          <w:szCs w:val="22"/>
        </w:rPr>
        <w:t>sprøyten</w:t>
      </w:r>
      <w:r w:rsidRPr="009C5EFD">
        <w:rPr>
          <w:b/>
          <w:sz w:val="22"/>
          <w:szCs w:val="22"/>
        </w:rPr>
        <w:t xml:space="preserve"> brukes innen 14 dager eller kastes</w:t>
      </w:r>
      <w:r w:rsidRPr="009C5EFD">
        <w:rPr>
          <w:sz w:val="22"/>
          <w:szCs w:val="22"/>
        </w:rPr>
        <w:t>, selv om den blir lagt tilbake i kjøleskapet.</w:t>
      </w:r>
    </w:p>
    <w:p w14:paraId="4EE9968C" w14:textId="77777777" w:rsidR="009E676E" w:rsidRPr="009C5EFD" w:rsidRDefault="009E676E" w:rsidP="009E676E">
      <w:pPr>
        <w:suppressAutoHyphens/>
        <w:rPr>
          <w:sz w:val="22"/>
          <w:szCs w:val="22"/>
        </w:rPr>
      </w:pPr>
    </w:p>
    <w:p w14:paraId="72414D73" w14:textId="77777777" w:rsidR="009E676E" w:rsidRPr="009C5EFD" w:rsidRDefault="00E453CD" w:rsidP="009E676E">
      <w:pPr>
        <w:suppressAutoHyphens/>
        <w:rPr>
          <w:sz w:val="22"/>
          <w:szCs w:val="22"/>
        </w:rPr>
      </w:pPr>
      <w:r w:rsidRPr="009C5EFD">
        <w:rPr>
          <w:sz w:val="22"/>
          <w:szCs w:val="22"/>
        </w:rPr>
        <w:t xml:space="preserve">Du bør notere datoen når </w:t>
      </w:r>
      <w:r w:rsidR="008B3EC8">
        <w:rPr>
          <w:sz w:val="22"/>
          <w:szCs w:val="22"/>
        </w:rPr>
        <w:t>sprøyten</w:t>
      </w:r>
      <w:r w:rsidRPr="009C5EFD">
        <w:rPr>
          <w:sz w:val="22"/>
          <w:szCs w:val="22"/>
        </w:rPr>
        <w:t xml:space="preserve"> først tas ut fra kjøleskapet, og datoen for når den burde bli kastet.</w:t>
      </w:r>
    </w:p>
    <w:p w14:paraId="4E4537C0" w14:textId="77777777" w:rsidR="009E676E" w:rsidRPr="009C5EFD" w:rsidRDefault="009E676E" w:rsidP="009E676E">
      <w:pPr>
        <w:suppressAutoHyphens/>
        <w:rPr>
          <w:sz w:val="22"/>
          <w:szCs w:val="22"/>
        </w:rPr>
      </w:pPr>
    </w:p>
    <w:p w14:paraId="5078AE12" w14:textId="77777777" w:rsidR="009E676E" w:rsidRPr="009C5EFD" w:rsidRDefault="00E453CD" w:rsidP="009E676E">
      <w:pPr>
        <w:suppressAutoHyphens/>
        <w:rPr>
          <w:sz w:val="22"/>
          <w:szCs w:val="22"/>
        </w:rPr>
      </w:pPr>
      <w:r w:rsidRPr="009C5EFD">
        <w:rPr>
          <w:sz w:val="22"/>
          <w:szCs w:val="22"/>
        </w:rPr>
        <w:t>Legemidler skal ikke kastes i avløpsvann eller sammen med husholdningsavfall. Spør legen din eller på apoteket hvordan legemidler som du ikke lenger bruker skal kastes. Disse tiltakene bidrar til å beskytte miljøet.</w:t>
      </w:r>
    </w:p>
    <w:p w14:paraId="40BAC2E7" w14:textId="77777777" w:rsidR="009E676E" w:rsidRPr="009C5EFD" w:rsidRDefault="009E676E" w:rsidP="009E676E">
      <w:pPr>
        <w:suppressAutoHyphens/>
        <w:rPr>
          <w:b/>
          <w:sz w:val="22"/>
          <w:szCs w:val="22"/>
        </w:rPr>
      </w:pPr>
    </w:p>
    <w:p w14:paraId="57D3F401" w14:textId="77777777" w:rsidR="009E676E" w:rsidRPr="009C5EFD" w:rsidRDefault="009E676E" w:rsidP="009E676E">
      <w:pPr>
        <w:suppressAutoHyphens/>
        <w:rPr>
          <w:b/>
          <w:sz w:val="22"/>
          <w:szCs w:val="22"/>
        </w:rPr>
      </w:pPr>
    </w:p>
    <w:p w14:paraId="7944AD44" w14:textId="77777777" w:rsidR="009E676E" w:rsidRPr="009C5EFD" w:rsidRDefault="00E453CD" w:rsidP="00051DA6">
      <w:pPr>
        <w:keepNext/>
        <w:suppressAutoHyphens/>
        <w:ind w:left="540" w:hanging="540"/>
        <w:rPr>
          <w:sz w:val="22"/>
          <w:szCs w:val="22"/>
        </w:rPr>
      </w:pPr>
      <w:r w:rsidRPr="009C5EFD">
        <w:rPr>
          <w:b/>
          <w:sz w:val="22"/>
          <w:szCs w:val="22"/>
        </w:rPr>
        <w:t>6.</w:t>
      </w:r>
      <w:r w:rsidRPr="009C5EFD">
        <w:rPr>
          <w:b/>
          <w:sz w:val="22"/>
          <w:szCs w:val="22"/>
        </w:rPr>
        <w:tab/>
        <w:t>Innholdet i pakningen og ytterligere informasjon</w:t>
      </w:r>
    </w:p>
    <w:p w14:paraId="5AB800EA" w14:textId="77777777" w:rsidR="009E676E" w:rsidRPr="009C5EFD" w:rsidRDefault="009E676E" w:rsidP="00051DA6">
      <w:pPr>
        <w:keepNext/>
        <w:tabs>
          <w:tab w:val="left" w:pos="567"/>
        </w:tabs>
        <w:suppressAutoHyphens/>
        <w:rPr>
          <w:sz w:val="22"/>
          <w:szCs w:val="22"/>
        </w:rPr>
      </w:pPr>
    </w:p>
    <w:p w14:paraId="6007EA8C" w14:textId="77777777" w:rsidR="009E676E" w:rsidRPr="009C5EFD" w:rsidRDefault="00E453CD" w:rsidP="00051DA6">
      <w:pPr>
        <w:pStyle w:val="Heading3"/>
        <w:rPr>
          <w:szCs w:val="22"/>
          <w:lang w:val="nb-NO"/>
        </w:rPr>
      </w:pPr>
      <w:r w:rsidRPr="009C5EFD">
        <w:rPr>
          <w:szCs w:val="22"/>
          <w:lang w:val="nb-NO"/>
        </w:rPr>
        <w:t>Sammensetning av Humira</w:t>
      </w:r>
    </w:p>
    <w:p w14:paraId="2ABDD906" w14:textId="77777777" w:rsidR="009E676E" w:rsidRPr="009C5EFD" w:rsidRDefault="009E676E" w:rsidP="00776A84">
      <w:pPr>
        <w:keepNext/>
        <w:rPr>
          <w:b/>
          <w:sz w:val="22"/>
          <w:szCs w:val="22"/>
        </w:rPr>
      </w:pPr>
    </w:p>
    <w:p w14:paraId="503B7EB0" w14:textId="77777777" w:rsidR="009E676E" w:rsidRPr="009C5EFD" w:rsidRDefault="00E453CD" w:rsidP="009E676E">
      <w:pPr>
        <w:suppressAutoHyphens/>
        <w:rPr>
          <w:sz w:val="22"/>
          <w:szCs w:val="22"/>
        </w:rPr>
      </w:pPr>
      <w:r w:rsidRPr="009C5EFD">
        <w:rPr>
          <w:sz w:val="22"/>
          <w:szCs w:val="22"/>
        </w:rPr>
        <w:t>Virkestoffet er adalimumab.</w:t>
      </w:r>
    </w:p>
    <w:p w14:paraId="15781908" w14:textId="77777777" w:rsidR="009E676E" w:rsidRDefault="00E453CD" w:rsidP="009E676E">
      <w:pPr>
        <w:pStyle w:val="BodyTextIndent2"/>
        <w:ind w:left="0" w:firstLine="0"/>
        <w:rPr>
          <w:szCs w:val="22"/>
        </w:rPr>
      </w:pPr>
      <w:r w:rsidRPr="009C5EFD">
        <w:rPr>
          <w:szCs w:val="22"/>
        </w:rPr>
        <w:t xml:space="preserve">Hjelpestoffer er mannitol, </w:t>
      </w:r>
      <w:r>
        <w:rPr>
          <w:szCs w:val="22"/>
        </w:rPr>
        <w:t xml:space="preserve">polysorbat 80 </w:t>
      </w:r>
      <w:r w:rsidRPr="009C5EFD">
        <w:rPr>
          <w:szCs w:val="22"/>
        </w:rPr>
        <w:t>og vann til injeksjonsvæsker.</w:t>
      </w:r>
    </w:p>
    <w:p w14:paraId="3B64FB62" w14:textId="77777777" w:rsidR="009E676E" w:rsidRPr="009C5EFD" w:rsidRDefault="009E676E" w:rsidP="009E676E">
      <w:pPr>
        <w:pStyle w:val="EndnoteText"/>
        <w:widowControl/>
        <w:tabs>
          <w:tab w:val="clear" w:pos="567"/>
        </w:tabs>
        <w:suppressAutoHyphens/>
        <w:rPr>
          <w:szCs w:val="22"/>
          <w:lang w:val="nb-NO"/>
        </w:rPr>
      </w:pPr>
    </w:p>
    <w:p w14:paraId="2C0CB046" w14:textId="77777777" w:rsidR="009E676E" w:rsidRPr="009C5EFD" w:rsidRDefault="00E453CD" w:rsidP="009E676E">
      <w:pPr>
        <w:pStyle w:val="Heading3"/>
        <w:suppressAutoHyphens/>
        <w:rPr>
          <w:szCs w:val="22"/>
          <w:lang w:val="nb-NO"/>
        </w:rPr>
      </w:pPr>
      <w:r w:rsidRPr="009C5EFD">
        <w:rPr>
          <w:szCs w:val="22"/>
          <w:lang w:val="nb-NO"/>
        </w:rPr>
        <w:t xml:space="preserve">Hvordan Humira ferdigfylt </w:t>
      </w:r>
      <w:r w:rsidR="008B3EC8">
        <w:rPr>
          <w:szCs w:val="22"/>
          <w:lang w:val="nb-NO"/>
        </w:rPr>
        <w:t>sprøyte</w:t>
      </w:r>
      <w:r w:rsidRPr="009C5EFD">
        <w:rPr>
          <w:szCs w:val="22"/>
          <w:lang w:val="nb-NO"/>
        </w:rPr>
        <w:t xml:space="preserve"> ser ut og innholdet i pakningen</w:t>
      </w:r>
    </w:p>
    <w:p w14:paraId="7DD346D1" w14:textId="77777777" w:rsidR="009E676E" w:rsidRPr="009C5EFD" w:rsidRDefault="009E676E" w:rsidP="00776A84">
      <w:pPr>
        <w:keepNext/>
      </w:pPr>
    </w:p>
    <w:p w14:paraId="2D50B484" w14:textId="77777777" w:rsidR="009E676E" w:rsidRDefault="00E453CD" w:rsidP="009E676E">
      <w:pPr>
        <w:pStyle w:val="EndnoteText"/>
        <w:widowControl/>
        <w:tabs>
          <w:tab w:val="clear" w:pos="567"/>
        </w:tabs>
        <w:suppressAutoHyphens/>
        <w:rPr>
          <w:szCs w:val="22"/>
          <w:lang w:val="nb-NO"/>
        </w:rPr>
      </w:pPr>
      <w:r w:rsidRPr="009C5EFD">
        <w:rPr>
          <w:szCs w:val="22"/>
          <w:lang w:val="nb-NO"/>
        </w:rPr>
        <w:t xml:space="preserve">Humira </w:t>
      </w:r>
      <w:r w:rsidR="008B3EC8">
        <w:rPr>
          <w:szCs w:val="22"/>
          <w:lang w:val="nb-NO"/>
        </w:rPr>
        <w:t>8</w:t>
      </w:r>
      <w:r w:rsidRPr="009C5EFD">
        <w:rPr>
          <w:szCs w:val="22"/>
          <w:lang w:val="nb-NO"/>
        </w:rPr>
        <w:t xml:space="preserve">0 mg injeksjonsvæske, oppløsning i ferdigfylt </w:t>
      </w:r>
      <w:r w:rsidR="008B3EC8">
        <w:rPr>
          <w:szCs w:val="22"/>
        </w:rPr>
        <w:t>sprøyte</w:t>
      </w:r>
      <w:r w:rsidRPr="009C5EFD">
        <w:rPr>
          <w:szCs w:val="22"/>
          <w:lang w:val="nb-NO"/>
        </w:rPr>
        <w:t xml:space="preserve"> er tilgjengelig som steril oppløsning a</w:t>
      </w:r>
      <w:r>
        <w:rPr>
          <w:szCs w:val="22"/>
          <w:lang w:val="nb-NO"/>
        </w:rPr>
        <w:t xml:space="preserve">v </w:t>
      </w:r>
      <w:r w:rsidR="008B3EC8">
        <w:rPr>
          <w:szCs w:val="22"/>
          <w:lang w:val="nb-NO"/>
        </w:rPr>
        <w:t>8</w:t>
      </w:r>
      <w:r>
        <w:rPr>
          <w:szCs w:val="22"/>
          <w:lang w:val="nb-NO"/>
        </w:rPr>
        <w:t>0 mg adalimumab oppløst i 0,</w:t>
      </w:r>
      <w:r w:rsidR="008B3EC8">
        <w:rPr>
          <w:szCs w:val="22"/>
          <w:lang w:val="nb-NO"/>
        </w:rPr>
        <w:t>8</w:t>
      </w:r>
      <w:r w:rsidRPr="009C5EFD">
        <w:rPr>
          <w:szCs w:val="22"/>
          <w:lang w:val="nb-NO"/>
        </w:rPr>
        <w:t xml:space="preserve"> ml </w:t>
      </w:r>
      <w:r w:rsidR="008167D9">
        <w:rPr>
          <w:szCs w:val="22"/>
          <w:lang w:val="nb-NO"/>
        </w:rPr>
        <w:t>opp</w:t>
      </w:r>
      <w:r w:rsidRPr="009C5EFD">
        <w:rPr>
          <w:szCs w:val="22"/>
          <w:lang w:val="nb-NO"/>
        </w:rPr>
        <w:t>løsning.</w:t>
      </w:r>
    </w:p>
    <w:p w14:paraId="0C29F7B6" w14:textId="77777777" w:rsidR="009E676E" w:rsidRPr="00D968A3" w:rsidRDefault="009E676E" w:rsidP="009E676E">
      <w:pPr>
        <w:pStyle w:val="EndnoteText"/>
        <w:widowControl/>
        <w:tabs>
          <w:tab w:val="clear" w:pos="567"/>
        </w:tabs>
        <w:suppressAutoHyphens/>
        <w:rPr>
          <w:szCs w:val="22"/>
          <w:lang w:val="nb-NO"/>
        </w:rPr>
      </w:pPr>
    </w:p>
    <w:p w14:paraId="4110A6BB" w14:textId="77777777" w:rsidR="009E676E" w:rsidRPr="009C5EFD" w:rsidRDefault="00E453CD" w:rsidP="009E676E">
      <w:pPr>
        <w:pStyle w:val="EndnoteText"/>
        <w:widowControl/>
        <w:tabs>
          <w:tab w:val="clear" w:pos="567"/>
        </w:tabs>
        <w:suppressAutoHyphens/>
        <w:rPr>
          <w:szCs w:val="22"/>
          <w:lang w:val="nb-NO"/>
        </w:rPr>
      </w:pPr>
      <w:r w:rsidRPr="009C5EFD">
        <w:rPr>
          <w:szCs w:val="22"/>
          <w:lang w:val="nb-NO"/>
        </w:rPr>
        <w:t xml:space="preserve">Humira ferdigfylt </w:t>
      </w:r>
      <w:r w:rsidR="008B3EC8">
        <w:rPr>
          <w:szCs w:val="22"/>
        </w:rPr>
        <w:t>sprøyte</w:t>
      </w:r>
      <w:r w:rsidRPr="009C5EFD">
        <w:rPr>
          <w:szCs w:val="22"/>
          <w:lang w:val="nb-NO"/>
        </w:rPr>
        <w:t xml:space="preserve"> er </w:t>
      </w:r>
      <w:r w:rsidR="008B3EC8">
        <w:rPr>
          <w:szCs w:val="22"/>
          <w:lang w:val="nb-NO"/>
        </w:rPr>
        <w:t>en</w:t>
      </w:r>
      <w:r w:rsidRPr="009C5EFD">
        <w:rPr>
          <w:szCs w:val="22"/>
          <w:lang w:val="nb-NO"/>
        </w:rPr>
        <w:t xml:space="preserve"> glassprøyte </w:t>
      </w:r>
      <w:r w:rsidR="008B3EC8">
        <w:rPr>
          <w:szCs w:val="22"/>
          <w:lang w:val="nb-NO"/>
        </w:rPr>
        <w:t xml:space="preserve">som inneholder </w:t>
      </w:r>
      <w:r w:rsidR="00EE1DF2">
        <w:rPr>
          <w:szCs w:val="22"/>
          <w:lang w:val="nb-NO"/>
        </w:rPr>
        <w:t>adalimumab</w:t>
      </w:r>
      <w:r w:rsidRPr="009C5EFD">
        <w:rPr>
          <w:szCs w:val="22"/>
          <w:lang w:val="nb-NO"/>
        </w:rPr>
        <w:t xml:space="preserve">oppløsning. </w:t>
      </w:r>
    </w:p>
    <w:p w14:paraId="36D934D1" w14:textId="77777777" w:rsidR="009E676E" w:rsidRPr="009C5EFD" w:rsidRDefault="009E676E" w:rsidP="009E676E">
      <w:pPr>
        <w:pStyle w:val="EndnoteText"/>
        <w:widowControl/>
        <w:tabs>
          <w:tab w:val="clear" w:pos="567"/>
        </w:tabs>
        <w:suppressAutoHyphens/>
        <w:rPr>
          <w:szCs w:val="22"/>
          <w:lang w:val="nb-NO"/>
        </w:rPr>
      </w:pPr>
    </w:p>
    <w:p w14:paraId="45CC0A72" w14:textId="77777777" w:rsidR="009E676E" w:rsidRPr="009C5EFD" w:rsidRDefault="00E453CD" w:rsidP="009E676E">
      <w:pPr>
        <w:pStyle w:val="EndnoteText"/>
        <w:widowControl/>
        <w:tabs>
          <w:tab w:val="clear" w:pos="567"/>
        </w:tabs>
        <w:suppressAutoHyphens/>
        <w:rPr>
          <w:szCs w:val="22"/>
          <w:lang w:val="nb-NO"/>
        </w:rPr>
      </w:pPr>
      <w:r w:rsidRPr="009C5EFD">
        <w:rPr>
          <w:szCs w:val="22"/>
          <w:lang w:val="nb-NO"/>
        </w:rPr>
        <w:t xml:space="preserve">Humira ferdigfylt </w:t>
      </w:r>
      <w:r w:rsidR="00EE1DF2">
        <w:rPr>
          <w:szCs w:val="22"/>
        </w:rPr>
        <w:t>sprøyte</w:t>
      </w:r>
      <w:r w:rsidRPr="009C5EFD">
        <w:rPr>
          <w:szCs w:val="22"/>
          <w:lang w:val="nb-NO"/>
        </w:rPr>
        <w:t xml:space="preserve"> </w:t>
      </w:r>
      <w:r w:rsidR="00EE1DF2">
        <w:rPr>
          <w:szCs w:val="22"/>
          <w:lang w:val="nb-NO"/>
        </w:rPr>
        <w:t>er tilgjengelig i pakning</w:t>
      </w:r>
      <w:r w:rsidRPr="009C5EFD">
        <w:rPr>
          <w:szCs w:val="22"/>
          <w:lang w:val="nb-NO"/>
        </w:rPr>
        <w:t xml:space="preserve"> med 1 ferdigfylt</w:t>
      </w:r>
      <w:r w:rsidR="00EE1DF2">
        <w:rPr>
          <w:szCs w:val="22"/>
          <w:lang w:val="nb-NO"/>
        </w:rPr>
        <w:t xml:space="preserve"> </w:t>
      </w:r>
      <w:r w:rsidR="00EE1DF2">
        <w:rPr>
          <w:szCs w:val="22"/>
        </w:rPr>
        <w:t xml:space="preserve">sprøyte og </w:t>
      </w:r>
      <w:r>
        <w:rPr>
          <w:szCs w:val="22"/>
          <w:lang w:val="nb-NO"/>
        </w:rPr>
        <w:t>1 injeksjonsstørk.</w:t>
      </w:r>
      <w:r w:rsidRPr="009C5EFD">
        <w:rPr>
          <w:szCs w:val="22"/>
          <w:lang w:val="nb-NO"/>
        </w:rPr>
        <w:t xml:space="preserve"> </w:t>
      </w:r>
    </w:p>
    <w:p w14:paraId="3FB98D0F" w14:textId="77777777" w:rsidR="009E676E" w:rsidRPr="009C5EFD" w:rsidRDefault="009E676E" w:rsidP="009E676E">
      <w:pPr>
        <w:pStyle w:val="EndnoteText"/>
        <w:widowControl/>
        <w:tabs>
          <w:tab w:val="clear" w:pos="567"/>
        </w:tabs>
        <w:suppressAutoHyphens/>
        <w:rPr>
          <w:szCs w:val="22"/>
          <w:lang w:val="nb-NO"/>
        </w:rPr>
      </w:pPr>
    </w:p>
    <w:p w14:paraId="4C654387" w14:textId="77777777" w:rsidR="009E676E" w:rsidRPr="009C5EFD" w:rsidRDefault="00E453CD" w:rsidP="009E676E">
      <w:pPr>
        <w:pStyle w:val="EndnoteText"/>
        <w:widowControl/>
        <w:tabs>
          <w:tab w:val="clear" w:pos="567"/>
        </w:tabs>
        <w:suppressAutoHyphens/>
        <w:rPr>
          <w:szCs w:val="22"/>
          <w:lang w:val="nb-NO"/>
        </w:rPr>
      </w:pPr>
      <w:r w:rsidRPr="009C5EFD">
        <w:rPr>
          <w:szCs w:val="22"/>
          <w:lang w:val="nb-NO"/>
        </w:rPr>
        <w:t xml:space="preserve">Humira </w:t>
      </w:r>
      <w:r w:rsidR="00D33F44">
        <w:rPr>
          <w:szCs w:val="22"/>
          <w:lang w:val="nb-NO"/>
        </w:rPr>
        <w:t>kan være</w:t>
      </w:r>
      <w:r w:rsidR="00D33F44" w:rsidRPr="009C5EFD">
        <w:rPr>
          <w:szCs w:val="22"/>
          <w:lang w:val="nb-NO"/>
        </w:rPr>
        <w:t xml:space="preserve"> </w:t>
      </w:r>
      <w:r w:rsidRPr="009C5EFD">
        <w:rPr>
          <w:szCs w:val="22"/>
          <w:lang w:val="nb-NO"/>
        </w:rPr>
        <w:t>tilgjengelig som hetteglass, ferdigfylt sprøyte</w:t>
      </w:r>
      <w:r w:rsidRPr="009C5EFD">
        <w:rPr>
          <w:lang w:val="nb-NO"/>
        </w:rPr>
        <w:t xml:space="preserve"> og</w:t>
      </w:r>
      <w:r w:rsidR="00D33F44">
        <w:rPr>
          <w:lang w:val="nb-NO"/>
        </w:rPr>
        <w:t>/eller</w:t>
      </w:r>
      <w:r w:rsidRPr="009C5EFD">
        <w:rPr>
          <w:szCs w:val="22"/>
          <w:lang w:val="nb-NO"/>
        </w:rPr>
        <w:t xml:space="preserve"> ferdigfylt penn.</w:t>
      </w:r>
    </w:p>
    <w:p w14:paraId="63DC6C08" w14:textId="77777777" w:rsidR="009E676E" w:rsidRPr="00D968A3" w:rsidRDefault="009E676E" w:rsidP="009E676E">
      <w:pPr>
        <w:pStyle w:val="BodyText3"/>
        <w:tabs>
          <w:tab w:val="clear" w:pos="-720"/>
        </w:tabs>
        <w:suppressAutoHyphens w:val="0"/>
        <w:rPr>
          <w:b w:val="0"/>
          <w:szCs w:val="22"/>
          <w:lang w:val="nb-NO"/>
        </w:rPr>
      </w:pPr>
    </w:p>
    <w:p w14:paraId="1A294E84" w14:textId="77777777" w:rsidR="009E676E" w:rsidRPr="009C5EFD" w:rsidRDefault="00E453CD" w:rsidP="00AF70AD">
      <w:pPr>
        <w:pStyle w:val="BodyText3"/>
        <w:keepNext/>
        <w:tabs>
          <w:tab w:val="clear" w:pos="-720"/>
        </w:tabs>
        <w:suppressAutoHyphens w:val="0"/>
        <w:rPr>
          <w:szCs w:val="22"/>
          <w:lang w:val="nb-NO"/>
        </w:rPr>
      </w:pPr>
      <w:r w:rsidRPr="009C5EFD">
        <w:rPr>
          <w:szCs w:val="22"/>
          <w:lang w:val="nb-NO"/>
        </w:rPr>
        <w:t>Innehaver av markedsføringstillatelsen</w:t>
      </w:r>
    </w:p>
    <w:p w14:paraId="3DB5EF1A" w14:textId="77777777" w:rsidR="009E676E" w:rsidRPr="009C5EFD" w:rsidRDefault="009E676E" w:rsidP="00AF70AD">
      <w:pPr>
        <w:keepNext/>
        <w:rPr>
          <w:sz w:val="22"/>
          <w:szCs w:val="22"/>
        </w:rPr>
      </w:pPr>
    </w:p>
    <w:p w14:paraId="07A2876C" w14:textId="77777777" w:rsidR="00DD76CF" w:rsidRPr="00EF12DF" w:rsidRDefault="00E453CD" w:rsidP="00DD76CF">
      <w:pPr>
        <w:rPr>
          <w:sz w:val="22"/>
          <w:szCs w:val="22"/>
        </w:rPr>
      </w:pPr>
      <w:r w:rsidRPr="00EF12DF">
        <w:rPr>
          <w:sz w:val="22"/>
          <w:szCs w:val="22"/>
        </w:rPr>
        <w:t>AbbVie Deutschland GmbH &amp; Co. KG</w:t>
      </w:r>
    </w:p>
    <w:p w14:paraId="0131FEF3" w14:textId="77777777" w:rsidR="00DD76CF" w:rsidRPr="00EF12DF" w:rsidRDefault="00E453CD" w:rsidP="00DD76CF">
      <w:pPr>
        <w:rPr>
          <w:sz w:val="22"/>
          <w:szCs w:val="22"/>
        </w:rPr>
      </w:pPr>
      <w:r w:rsidRPr="00EF12DF">
        <w:rPr>
          <w:sz w:val="22"/>
          <w:szCs w:val="22"/>
        </w:rPr>
        <w:t>Knollstrasse</w:t>
      </w:r>
    </w:p>
    <w:p w14:paraId="760E530B" w14:textId="77777777" w:rsidR="00DD76CF" w:rsidRPr="00EF12DF" w:rsidRDefault="00E453CD" w:rsidP="00DD76CF">
      <w:pPr>
        <w:rPr>
          <w:sz w:val="22"/>
          <w:szCs w:val="22"/>
        </w:rPr>
      </w:pPr>
      <w:r w:rsidRPr="00EF12DF">
        <w:rPr>
          <w:sz w:val="22"/>
          <w:szCs w:val="22"/>
        </w:rPr>
        <w:t>67061 Ludwigshafen</w:t>
      </w:r>
    </w:p>
    <w:p w14:paraId="1E94B1A1" w14:textId="77777777" w:rsidR="00DD76CF" w:rsidRPr="009C5EFD" w:rsidRDefault="00E453CD" w:rsidP="00DD76CF">
      <w:pPr>
        <w:rPr>
          <w:sz w:val="22"/>
          <w:szCs w:val="22"/>
        </w:rPr>
      </w:pPr>
      <w:r>
        <w:rPr>
          <w:sz w:val="22"/>
          <w:szCs w:val="22"/>
        </w:rPr>
        <w:t>Tyskland</w:t>
      </w:r>
    </w:p>
    <w:p w14:paraId="496F2A68" w14:textId="77777777" w:rsidR="009E676E" w:rsidRPr="00DA6326" w:rsidRDefault="009E676E" w:rsidP="009E676E">
      <w:pPr>
        <w:tabs>
          <w:tab w:val="left" w:pos="1216"/>
        </w:tabs>
        <w:suppressAutoHyphens/>
        <w:rPr>
          <w:sz w:val="22"/>
          <w:lang w:val="nn-NO"/>
        </w:rPr>
      </w:pPr>
    </w:p>
    <w:p w14:paraId="48BAA51B" w14:textId="77777777" w:rsidR="009E676E" w:rsidRPr="00DA6326" w:rsidRDefault="00E453CD" w:rsidP="00CC0A26">
      <w:pPr>
        <w:keepNext/>
        <w:suppressAutoHyphens/>
        <w:rPr>
          <w:b/>
          <w:sz w:val="22"/>
          <w:lang w:val="nn-NO"/>
        </w:rPr>
      </w:pPr>
      <w:r w:rsidRPr="00DA6326">
        <w:rPr>
          <w:b/>
          <w:sz w:val="22"/>
          <w:lang w:val="nn-NO"/>
        </w:rPr>
        <w:t>Tilvirker</w:t>
      </w:r>
    </w:p>
    <w:p w14:paraId="3B5CE808" w14:textId="77777777" w:rsidR="009E676E" w:rsidRPr="00DA6326" w:rsidRDefault="009E676E" w:rsidP="00CC0A26">
      <w:pPr>
        <w:keepNext/>
        <w:rPr>
          <w:sz w:val="22"/>
          <w:lang w:val="nn-NO"/>
        </w:rPr>
      </w:pPr>
    </w:p>
    <w:p w14:paraId="763E51F8" w14:textId="77777777" w:rsidR="009E676E" w:rsidRPr="00C95D55" w:rsidRDefault="00E453CD" w:rsidP="00CC0A26">
      <w:pPr>
        <w:keepNext/>
        <w:rPr>
          <w:sz w:val="22"/>
        </w:rPr>
      </w:pPr>
      <w:r w:rsidRPr="00C95D55">
        <w:rPr>
          <w:sz w:val="22"/>
        </w:rPr>
        <w:t>AbbVie Biotechnology GmbH</w:t>
      </w:r>
    </w:p>
    <w:p w14:paraId="4FDB99D8" w14:textId="77777777" w:rsidR="009E676E" w:rsidRPr="00C95D55" w:rsidRDefault="00E453CD" w:rsidP="009E676E">
      <w:pPr>
        <w:numPr>
          <w:ilvl w:val="12"/>
          <w:numId w:val="0"/>
        </w:numPr>
        <w:tabs>
          <w:tab w:val="left" w:pos="720"/>
        </w:tabs>
        <w:rPr>
          <w:sz w:val="22"/>
          <w:szCs w:val="22"/>
        </w:rPr>
      </w:pPr>
      <w:r w:rsidRPr="00C95D55">
        <w:rPr>
          <w:sz w:val="22"/>
          <w:szCs w:val="22"/>
        </w:rPr>
        <w:t>Knollstrasse</w:t>
      </w:r>
    </w:p>
    <w:p w14:paraId="36A9CBF6" w14:textId="77777777" w:rsidR="009E676E" w:rsidRPr="00C95D55" w:rsidRDefault="00E453CD" w:rsidP="009E676E">
      <w:pPr>
        <w:numPr>
          <w:ilvl w:val="12"/>
          <w:numId w:val="0"/>
        </w:numPr>
        <w:tabs>
          <w:tab w:val="left" w:pos="720"/>
        </w:tabs>
        <w:rPr>
          <w:sz w:val="22"/>
          <w:szCs w:val="22"/>
        </w:rPr>
      </w:pPr>
      <w:r w:rsidRPr="00C95D55">
        <w:rPr>
          <w:sz w:val="22"/>
          <w:szCs w:val="22"/>
        </w:rPr>
        <w:t>67061 Ludwigshafen</w:t>
      </w:r>
    </w:p>
    <w:p w14:paraId="2B0263B3" w14:textId="77777777" w:rsidR="009E676E" w:rsidRPr="001F5D4B" w:rsidRDefault="00E453CD" w:rsidP="009E676E">
      <w:pPr>
        <w:rPr>
          <w:sz w:val="22"/>
          <w:szCs w:val="22"/>
        </w:rPr>
      </w:pPr>
      <w:r w:rsidRPr="001F5D4B">
        <w:rPr>
          <w:sz w:val="22"/>
          <w:szCs w:val="22"/>
        </w:rPr>
        <w:t>Tyskland</w:t>
      </w:r>
    </w:p>
    <w:p w14:paraId="15B7A0DF" w14:textId="77777777" w:rsidR="009E676E" w:rsidRPr="004B617D" w:rsidRDefault="009E676E" w:rsidP="009E676E">
      <w:pPr>
        <w:pStyle w:val="EndnoteText"/>
        <w:widowControl/>
        <w:tabs>
          <w:tab w:val="clear" w:pos="567"/>
        </w:tabs>
      </w:pPr>
    </w:p>
    <w:p w14:paraId="40A3527E" w14:textId="77777777" w:rsidR="009E676E" w:rsidRPr="009C5EFD" w:rsidRDefault="00E453CD" w:rsidP="009E676E">
      <w:pPr>
        <w:rPr>
          <w:sz w:val="22"/>
          <w:szCs w:val="22"/>
        </w:rPr>
      </w:pPr>
      <w:r w:rsidRPr="004D2F53">
        <w:rPr>
          <w:sz w:val="22"/>
          <w:szCs w:val="22"/>
        </w:rPr>
        <w:t>Ta kontakt med den lokale representanten for innehaveren av markedsføringstillatelsen f</w:t>
      </w:r>
      <w:r w:rsidRPr="009C5EFD">
        <w:rPr>
          <w:sz w:val="22"/>
          <w:szCs w:val="22"/>
        </w:rPr>
        <w:t>or ytterligere informasjon om dette legemidlet</w:t>
      </w:r>
      <w:r>
        <w:rPr>
          <w:sz w:val="22"/>
          <w:szCs w:val="22"/>
        </w:rPr>
        <w:t>:</w:t>
      </w:r>
    </w:p>
    <w:p w14:paraId="54A0908D" w14:textId="77777777" w:rsidR="009E676E" w:rsidRPr="009C5EFD" w:rsidRDefault="009E676E" w:rsidP="009E676E"/>
    <w:tbl>
      <w:tblPr>
        <w:tblW w:w="9356" w:type="dxa"/>
        <w:tblInd w:w="-34" w:type="dxa"/>
        <w:tblLayout w:type="fixed"/>
        <w:tblLook w:val="0000" w:firstRow="0" w:lastRow="0" w:firstColumn="0" w:lastColumn="0" w:noHBand="0" w:noVBand="0"/>
      </w:tblPr>
      <w:tblGrid>
        <w:gridCol w:w="34"/>
        <w:gridCol w:w="4610"/>
        <w:gridCol w:w="34"/>
        <w:gridCol w:w="4678"/>
      </w:tblGrid>
      <w:tr w:rsidR="004644D4" w14:paraId="008D0163" w14:textId="77777777" w:rsidTr="001F79B0">
        <w:tc>
          <w:tcPr>
            <w:tcW w:w="4644" w:type="dxa"/>
            <w:gridSpan w:val="2"/>
          </w:tcPr>
          <w:p w14:paraId="2ED656D4" w14:textId="77777777" w:rsidR="00930E09" w:rsidRPr="00BD646C" w:rsidRDefault="00E453CD" w:rsidP="001F79B0">
            <w:pPr>
              <w:rPr>
                <w:b/>
                <w:bCs/>
                <w:sz w:val="22"/>
                <w:szCs w:val="22"/>
                <w:lang w:val="fr-BE"/>
              </w:rPr>
            </w:pPr>
            <w:r w:rsidRPr="00BD646C">
              <w:rPr>
                <w:b/>
                <w:bCs/>
                <w:sz w:val="22"/>
                <w:szCs w:val="22"/>
                <w:lang w:val="fr-BE"/>
              </w:rPr>
              <w:t>België/Belgique/Belgien</w:t>
            </w:r>
          </w:p>
          <w:p w14:paraId="6FCDC22D" w14:textId="77777777" w:rsidR="00930E09" w:rsidRPr="00BD646C" w:rsidRDefault="00E453CD" w:rsidP="001F79B0">
            <w:pPr>
              <w:rPr>
                <w:bCs/>
                <w:sz w:val="22"/>
                <w:szCs w:val="22"/>
                <w:lang w:val="fr-FR"/>
              </w:rPr>
            </w:pPr>
            <w:r w:rsidRPr="00BD646C">
              <w:rPr>
                <w:bCs/>
                <w:sz w:val="22"/>
                <w:szCs w:val="22"/>
                <w:lang w:val="fr-FR"/>
              </w:rPr>
              <w:t>AbbVie SA</w:t>
            </w:r>
          </w:p>
          <w:p w14:paraId="439F3D45" w14:textId="77777777" w:rsidR="00930E09" w:rsidRPr="00BD646C" w:rsidRDefault="00E453CD"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4EFE62E5" w14:textId="77777777" w:rsidR="00930E09" w:rsidRPr="00BD646C" w:rsidRDefault="00930E09" w:rsidP="001F79B0">
            <w:pPr>
              <w:rPr>
                <w:bCs/>
                <w:sz w:val="22"/>
                <w:szCs w:val="22"/>
                <w:lang w:val="fr-FR"/>
              </w:rPr>
            </w:pPr>
          </w:p>
        </w:tc>
        <w:tc>
          <w:tcPr>
            <w:tcW w:w="4678" w:type="dxa"/>
            <w:gridSpan w:val="2"/>
          </w:tcPr>
          <w:p w14:paraId="1024DB70" w14:textId="77777777" w:rsidR="00930E09" w:rsidRPr="00BD646C" w:rsidRDefault="00E453CD" w:rsidP="001F79B0">
            <w:pPr>
              <w:rPr>
                <w:b/>
                <w:bCs/>
                <w:sz w:val="22"/>
                <w:szCs w:val="22"/>
                <w:lang w:val="lt-LT"/>
              </w:rPr>
            </w:pPr>
            <w:r w:rsidRPr="00BD646C">
              <w:rPr>
                <w:b/>
                <w:bCs/>
                <w:sz w:val="22"/>
                <w:szCs w:val="22"/>
                <w:lang w:val="lt-LT"/>
              </w:rPr>
              <w:t>Lietuva</w:t>
            </w:r>
          </w:p>
          <w:p w14:paraId="71030EE8" w14:textId="77777777" w:rsidR="00930E09" w:rsidRPr="00BD646C" w:rsidRDefault="00E453CD" w:rsidP="001F79B0">
            <w:pPr>
              <w:rPr>
                <w:bCs/>
                <w:sz w:val="22"/>
                <w:szCs w:val="22"/>
                <w:lang w:val="lv-LV"/>
              </w:rPr>
            </w:pPr>
            <w:r w:rsidRPr="00BD646C">
              <w:rPr>
                <w:bCs/>
                <w:sz w:val="22"/>
                <w:szCs w:val="22"/>
                <w:lang w:val="lv-LV"/>
              </w:rPr>
              <w:t xml:space="preserve">AbbVie UAB </w:t>
            </w:r>
          </w:p>
          <w:p w14:paraId="1D5FD577" w14:textId="77777777" w:rsidR="00930E09" w:rsidRPr="00BD646C" w:rsidRDefault="00E453CD" w:rsidP="001F79B0">
            <w:pPr>
              <w:rPr>
                <w:bCs/>
                <w:sz w:val="22"/>
                <w:szCs w:val="22"/>
                <w:lang w:val="lv-LV"/>
              </w:rPr>
            </w:pPr>
            <w:r w:rsidRPr="00BD646C">
              <w:rPr>
                <w:bCs/>
                <w:sz w:val="22"/>
                <w:szCs w:val="22"/>
                <w:lang w:val="lv-LV"/>
              </w:rPr>
              <w:t>Tel: +370 5 205 3023</w:t>
            </w:r>
          </w:p>
        </w:tc>
      </w:tr>
      <w:tr w:rsidR="004644D4" w14:paraId="0180E204" w14:textId="77777777" w:rsidTr="001F79B0">
        <w:tc>
          <w:tcPr>
            <w:tcW w:w="4644" w:type="dxa"/>
            <w:gridSpan w:val="2"/>
          </w:tcPr>
          <w:p w14:paraId="3C7AED8F" w14:textId="77777777" w:rsidR="00930E09" w:rsidRPr="00BD646C" w:rsidRDefault="00E453CD" w:rsidP="001F79B0">
            <w:pPr>
              <w:rPr>
                <w:b/>
                <w:bCs/>
                <w:sz w:val="22"/>
                <w:szCs w:val="22"/>
                <w:lang w:val="bg-BG"/>
              </w:rPr>
            </w:pPr>
            <w:r w:rsidRPr="00BD646C">
              <w:rPr>
                <w:b/>
                <w:bCs/>
                <w:sz w:val="22"/>
                <w:szCs w:val="22"/>
                <w:lang w:val="bg-BG"/>
              </w:rPr>
              <w:t>България</w:t>
            </w:r>
          </w:p>
          <w:p w14:paraId="52F86270" w14:textId="77777777" w:rsidR="00930E09" w:rsidRPr="00BD646C" w:rsidRDefault="00E453CD" w:rsidP="001F79B0">
            <w:pPr>
              <w:rPr>
                <w:sz w:val="22"/>
                <w:szCs w:val="22"/>
                <w:lang w:val="da-DK"/>
              </w:rPr>
            </w:pPr>
            <w:r w:rsidRPr="00BD646C">
              <w:rPr>
                <w:sz w:val="22"/>
                <w:szCs w:val="22"/>
                <w:lang w:val="sk-SK"/>
              </w:rPr>
              <w:t>АбВи ЕООД</w:t>
            </w:r>
          </w:p>
          <w:p w14:paraId="1DE53FAD" w14:textId="77777777" w:rsidR="00930E09" w:rsidRPr="00BD646C" w:rsidRDefault="00E453CD"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7EC89348" w14:textId="77777777" w:rsidR="00930E09" w:rsidRPr="00BD646C" w:rsidRDefault="00E453CD" w:rsidP="001F79B0">
            <w:pPr>
              <w:rPr>
                <w:b/>
                <w:bCs/>
                <w:sz w:val="22"/>
                <w:szCs w:val="22"/>
                <w:lang w:val="de-DE"/>
              </w:rPr>
            </w:pPr>
            <w:r w:rsidRPr="00BD646C">
              <w:rPr>
                <w:b/>
                <w:bCs/>
                <w:sz w:val="22"/>
                <w:szCs w:val="22"/>
                <w:lang w:val="de-DE"/>
              </w:rPr>
              <w:t>Luxembourg/Luxemburg</w:t>
            </w:r>
          </w:p>
          <w:p w14:paraId="6FC71D46" w14:textId="77777777" w:rsidR="00930E09" w:rsidRPr="00BD646C" w:rsidRDefault="00E453CD" w:rsidP="001F79B0">
            <w:pPr>
              <w:rPr>
                <w:bCs/>
                <w:sz w:val="22"/>
                <w:szCs w:val="22"/>
                <w:lang w:val="de-DE"/>
              </w:rPr>
            </w:pPr>
            <w:r w:rsidRPr="00BD646C">
              <w:rPr>
                <w:bCs/>
                <w:sz w:val="22"/>
                <w:szCs w:val="22"/>
                <w:lang w:val="de-DE"/>
              </w:rPr>
              <w:t>AbbVie SA</w:t>
            </w:r>
          </w:p>
          <w:p w14:paraId="44BB0AD4" w14:textId="77777777" w:rsidR="00930E09" w:rsidRPr="00BD646C" w:rsidRDefault="00E453CD" w:rsidP="001F79B0">
            <w:pPr>
              <w:rPr>
                <w:bCs/>
                <w:sz w:val="22"/>
                <w:szCs w:val="22"/>
                <w:lang w:val="de-DE"/>
              </w:rPr>
            </w:pPr>
            <w:r w:rsidRPr="00BD646C">
              <w:rPr>
                <w:bCs/>
                <w:sz w:val="22"/>
                <w:szCs w:val="22"/>
                <w:lang w:val="de-DE"/>
              </w:rPr>
              <w:t>Belgique/Belgien</w:t>
            </w:r>
          </w:p>
          <w:p w14:paraId="569B3F5B" w14:textId="77777777" w:rsidR="00930E09" w:rsidRPr="00BD646C" w:rsidRDefault="00E453CD" w:rsidP="001F79B0">
            <w:pPr>
              <w:rPr>
                <w:bCs/>
                <w:sz w:val="22"/>
                <w:szCs w:val="22"/>
                <w:lang w:val="fr-FR"/>
              </w:rPr>
            </w:pPr>
            <w:r w:rsidRPr="00BD646C">
              <w:rPr>
                <w:bCs/>
                <w:sz w:val="22"/>
                <w:szCs w:val="22"/>
                <w:lang w:val="fr-FR"/>
              </w:rPr>
              <w:t>Tél/Tel: +32 10 477811</w:t>
            </w:r>
          </w:p>
          <w:p w14:paraId="1CDA65D2" w14:textId="77777777" w:rsidR="00930E09" w:rsidRPr="00BD646C" w:rsidRDefault="00930E09" w:rsidP="001F79B0">
            <w:pPr>
              <w:rPr>
                <w:bCs/>
                <w:sz w:val="22"/>
                <w:szCs w:val="22"/>
                <w:lang w:val="fr-FR"/>
              </w:rPr>
            </w:pPr>
          </w:p>
        </w:tc>
      </w:tr>
      <w:tr w:rsidR="004644D4" w14:paraId="0503CE3A" w14:textId="77777777" w:rsidTr="001F79B0">
        <w:tc>
          <w:tcPr>
            <w:tcW w:w="4644" w:type="dxa"/>
            <w:gridSpan w:val="2"/>
          </w:tcPr>
          <w:p w14:paraId="486B53D2" w14:textId="77777777" w:rsidR="00930E09" w:rsidRPr="00BD646C" w:rsidRDefault="00E453CD" w:rsidP="001F79B0">
            <w:pPr>
              <w:rPr>
                <w:b/>
                <w:bCs/>
                <w:sz w:val="22"/>
                <w:szCs w:val="22"/>
                <w:lang w:val="sk-SK"/>
              </w:rPr>
            </w:pPr>
            <w:r w:rsidRPr="00BD646C">
              <w:rPr>
                <w:b/>
                <w:bCs/>
                <w:sz w:val="22"/>
                <w:szCs w:val="22"/>
                <w:lang w:val="sk-SK"/>
              </w:rPr>
              <w:t>Česká republika</w:t>
            </w:r>
          </w:p>
          <w:p w14:paraId="587B8B1C" w14:textId="77777777" w:rsidR="00930E09" w:rsidRPr="00BD646C" w:rsidRDefault="00E453CD" w:rsidP="001F79B0">
            <w:pPr>
              <w:rPr>
                <w:bCs/>
                <w:sz w:val="22"/>
                <w:szCs w:val="22"/>
                <w:lang w:val="sk-SK"/>
              </w:rPr>
            </w:pPr>
            <w:r w:rsidRPr="00BD646C">
              <w:rPr>
                <w:bCs/>
                <w:sz w:val="22"/>
                <w:szCs w:val="22"/>
                <w:lang w:val="sk-SK"/>
              </w:rPr>
              <w:t xml:space="preserve">AbbVie s.r.o. </w:t>
            </w:r>
          </w:p>
          <w:p w14:paraId="1694A517" w14:textId="77777777" w:rsidR="00930E09" w:rsidRPr="00BD646C" w:rsidRDefault="00E453CD" w:rsidP="001F79B0">
            <w:pPr>
              <w:rPr>
                <w:bCs/>
                <w:sz w:val="22"/>
                <w:szCs w:val="22"/>
                <w:lang w:val="sk-SK"/>
              </w:rPr>
            </w:pPr>
            <w:r w:rsidRPr="00BD646C">
              <w:rPr>
                <w:bCs/>
                <w:sz w:val="22"/>
                <w:szCs w:val="22"/>
                <w:lang w:val="sk-SK"/>
              </w:rPr>
              <w:t>Tel: +420 233 098 111</w:t>
            </w:r>
          </w:p>
        </w:tc>
        <w:tc>
          <w:tcPr>
            <w:tcW w:w="4678" w:type="dxa"/>
            <w:gridSpan w:val="2"/>
          </w:tcPr>
          <w:p w14:paraId="5F8E16C1" w14:textId="77777777" w:rsidR="00930E09" w:rsidRPr="00BD646C" w:rsidRDefault="00E453CD" w:rsidP="001F79B0">
            <w:pPr>
              <w:rPr>
                <w:b/>
                <w:bCs/>
                <w:sz w:val="22"/>
                <w:szCs w:val="22"/>
                <w:lang w:val="hu-HU"/>
              </w:rPr>
            </w:pPr>
            <w:r w:rsidRPr="00BD646C">
              <w:rPr>
                <w:b/>
                <w:bCs/>
                <w:sz w:val="22"/>
                <w:szCs w:val="22"/>
                <w:lang w:val="hu-HU"/>
              </w:rPr>
              <w:t>Magyarország</w:t>
            </w:r>
          </w:p>
          <w:p w14:paraId="690BDB2E" w14:textId="77777777" w:rsidR="00930E09" w:rsidRPr="00BD646C" w:rsidRDefault="00E453CD" w:rsidP="001F79B0">
            <w:pPr>
              <w:rPr>
                <w:bCs/>
                <w:sz w:val="22"/>
                <w:szCs w:val="22"/>
                <w:lang w:val="hu-HU"/>
              </w:rPr>
            </w:pPr>
            <w:r w:rsidRPr="00BD646C">
              <w:rPr>
                <w:bCs/>
                <w:sz w:val="22"/>
                <w:szCs w:val="22"/>
                <w:lang w:val="hu-HU"/>
              </w:rPr>
              <w:t>AbbVie Kft.</w:t>
            </w:r>
          </w:p>
          <w:p w14:paraId="06E4513A" w14:textId="77777777" w:rsidR="00930E09" w:rsidRPr="00BD646C" w:rsidRDefault="00E453CD" w:rsidP="001F79B0">
            <w:pPr>
              <w:rPr>
                <w:bCs/>
                <w:sz w:val="22"/>
                <w:szCs w:val="22"/>
                <w:lang w:val="hu-HU"/>
              </w:rPr>
            </w:pPr>
            <w:r w:rsidRPr="00BD646C">
              <w:rPr>
                <w:bCs/>
                <w:sz w:val="22"/>
                <w:szCs w:val="22"/>
                <w:lang w:val="hu-HU"/>
              </w:rPr>
              <w:t>Tel.:+36 1 455 8600</w:t>
            </w:r>
          </w:p>
          <w:p w14:paraId="000CC590" w14:textId="77777777" w:rsidR="00930E09" w:rsidRPr="00BD646C" w:rsidRDefault="00930E09" w:rsidP="001F79B0">
            <w:pPr>
              <w:rPr>
                <w:bCs/>
                <w:sz w:val="22"/>
                <w:szCs w:val="22"/>
                <w:lang w:val="hu-HU"/>
              </w:rPr>
            </w:pPr>
          </w:p>
        </w:tc>
      </w:tr>
      <w:tr w:rsidR="004644D4" w14:paraId="53427860" w14:textId="77777777" w:rsidTr="001F79B0">
        <w:trPr>
          <w:trHeight w:val="737"/>
        </w:trPr>
        <w:tc>
          <w:tcPr>
            <w:tcW w:w="4644" w:type="dxa"/>
            <w:gridSpan w:val="2"/>
          </w:tcPr>
          <w:p w14:paraId="7E0B414A" w14:textId="77777777" w:rsidR="00930E09" w:rsidRPr="00BD646C" w:rsidRDefault="00E453CD" w:rsidP="001F79B0">
            <w:pPr>
              <w:rPr>
                <w:b/>
                <w:bCs/>
                <w:sz w:val="22"/>
                <w:szCs w:val="22"/>
                <w:lang w:val="en-US"/>
              </w:rPr>
            </w:pPr>
            <w:r w:rsidRPr="00BD646C">
              <w:rPr>
                <w:b/>
                <w:bCs/>
                <w:sz w:val="22"/>
                <w:szCs w:val="22"/>
                <w:lang w:val="en-US"/>
              </w:rPr>
              <w:t>Danmark</w:t>
            </w:r>
          </w:p>
          <w:p w14:paraId="10D4A08D" w14:textId="77777777" w:rsidR="00930E09" w:rsidRPr="00BD646C" w:rsidRDefault="00E453CD" w:rsidP="001F79B0">
            <w:pPr>
              <w:rPr>
                <w:bCs/>
                <w:sz w:val="22"/>
                <w:szCs w:val="22"/>
                <w:lang w:val="en-US"/>
              </w:rPr>
            </w:pPr>
            <w:r w:rsidRPr="00BD646C">
              <w:rPr>
                <w:bCs/>
                <w:sz w:val="22"/>
                <w:szCs w:val="22"/>
                <w:lang w:val="en-US"/>
              </w:rPr>
              <w:t>AbbVie A/S</w:t>
            </w:r>
          </w:p>
          <w:p w14:paraId="481FFB71" w14:textId="074E7966" w:rsidR="00930E09" w:rsidRPr="00BD646C" w:rsidRDefault="00E453CD" w:rsidP="001F79B0">
            <w:pPr>
              <w:rPr>
                <w:bCs/>
                <w:sz w:val="22"/>
                <w:szCs w:val="22"/>
                <w:lang w:val="sk-SK"/>
              </w:rPr>
            </w:pPr>
            <w:r w:rsidRPr="00BD646C">
              <w:rPr>
                <w:bCs/>
                <w:sz w:val="22"/>
                <w:szCs w:val="22"/>
                <w:lang w:val="en-US"/>
              </w:rPr>
              <w:t>Tlf</w:t>
            </w:r>
            <w:ins w:id="17677" w:author="AbbVie02no" w:date="2025-05-15T14:32:00Z">
              <w:r w:rsidR="00600FCB">
                <w:rPr>
                  <w:bCs/>
                  <w:sz w:val="22"/>
                  <w:szCs w:val="22"/>
                  <w:lang w:val="en-US"/>
                </w:rPr>
                <w:t>.</w:t>
              </w:r>
            </w:ins>
            <w:r w:rsidRPr="00BD646C">
              <w:rPr>
                <w:bCs/>
                <w:sz w:val="22"/>
                <w:szCs w:val="22"/>
                <w:lang w:val="en-US"/>
              </w:rPr>
              <w:t>: +45 72 30-20-28</w:t>
            </w:r>
          </w:p>
        </w:tc>
        <w:tc>
          <w:tcPr>
            <w:tcW w:w="4678" w:type="dxa"/>
            <w:gridSpan w:val="2"/>
          </w:tcPr>
          <w:p w14:paraId="0DFDFD10" w14:textId="77777777" w:rsidR="00930E09" w:rsidRPr="00BD646C" w:rsidRDefault="00E453CD" w:rsidP="001F79B0">
            <w:pPr>
              <w:rPr>
                <w:b/>
                <w:bCs/>
                <w:sz w:val="22"/>
                <w:szCs w:val="22"/>
                <w:lang w:val="mt-MT"/>
              </w:rPr>
            </w:pPr>
            <w:r w:rsidRPr="00BD646C">
              <w:rPr>
                <w:b/>
                <w:bCs/>
                <w:sz w:val="22"/>
                <w:szCs w:val="22"/>
                <w:lang w:val="mt-MT"/>
              </w:rPr>
              <w:t>Malta</w:t>
            </w:r>
          </w:p>
          <w:p w14:paraId="63E20E93" w14:textId="77777777" w:rsidR="00930E09" w:rsidRPr="00BD646C" w:rsidRDefault="00E453CD" w:rsidP="001F79B0">
            <w:pPr>
              <w:rPr>
                <w:bCs/>
                <w:sz w:val="22"/>
                <w:szCs w:val="22"/>
                <w:lang w:val="sk-SK"/>
              </w:rPr>
            </w:pPr>
            <w:r w:rsidRPr="00BD646C">
              <w:rPr>
                <w:bCs/>
                <w:sz w:val="22"/>
                <w:szCs w:val="22"/>
                <w:lang w:val="sk-SK"/>
              </w:rPr>
              <w:t xml:space="preserve">V.J.Salomone Pharma Limited </w:t>
            </w:r>
          </w:p>
          <w:p w14:paraId="72560D58" w14:textId="44E61CE6" w:rsidR="00930E09" w:rsidRPr="00BD646C" w:rsidRDefault="00E453CD" w:rsidP="001F79B0">
            <w:pPr>
              <w:rPr>
                <w:bCs/>
                <w:sz w:val="22"/>
                <w:szCs w:val="22"/>
                <w:lang w:val="sk-SK"/>
              </w:rPr>
            </w:pPr>
            <w:r w:rsidRPr="00BD646C">
              <w:rPr>
                <w:bCs/>
                <w:sz w:val="22"/>
                <w:szCs w:val="22"/>
                <w:lang w:val="sk-SK"/>
              </w:rPr>
              <w:t xml:space="preserve">Tel: </w:t>
            </w:r>
            <w:r w:rsidR="00A22181" w:rsidRPr="00A22181">
              <w:rPr>
                <w:bCs/>
                <w:sz w:val="22"/>
                <w:szCs w:val="22"/>
                <w:lang w:val="en-GB"/>
              </w:rPr>
              <w:t>+356 21220174</w:t>
            </w:r>
          </w:p>
          <w:p w14:paraId="6A4AD10B" w14:textId="77777777" w:rsidR="00930E09" w:rsidRPr="00BD646C" w:rsidRDefault="00930E09" w:rsidP="001F79B0">
            <w:pPr>
              <w:rPr>
                <w:bCs/>
                <w:sz w:val="22"/>
                <w:szCs w:val="22"/>
                <w:lang w:val="sk-SK"/>
              </w:rPr>
            </w:pPr>
          </w:p>
        </w:tc>
      </w:tr>
      <w:tr w:rsidR="004644D4" w14:paraId="5CE41031" w14:textId="77777777" w:rsidTr="001F79B0">
        <w:tc>
          <w:tcPr>
            <w:tcW w:w="4644" w:type="dxa"/>
            <w:gridSpan w:val="2"/>
          </w:tcPr>
          <w:p w14:paraId="3810CB80" w14:textId="77777777" w:rsidR="00930E09" w:rsidRPr="00BD646C" w:rsidRDefault="00E453CD" w:rsidP="001F79B0">
            <w:pPr>
              <w:rPr>
                <w:b/>
                <w:bCs/>
                <w:sz w:val="22"/>
                <w:szCs w:val="22"/>
                <w:lang w:val="de-DE"/>
              </w:rPr>
            </w:pPr>
            <w:r w:rsidRPr="00BD646C">
              <w:rPr>
                <w:b/>
                <w:bCs/>
                <w:sz w:val="22"/>
                <w:szCs w:val="22"/>
                <w:lang w:val="de-DE"/>
              </w:rPr>
              <w:lastRenderedPageBreak/>
              <w:t>Deutschland</w:t>
            </w:r>
          </w:p>
          <w:p w14:paraId="775BB20E" w14:textId="77777777" w:rsidR="00930E09" w:rsidRPr="00BD646C" w:rsidRDefault="00E453CD"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13CACB02" w14:textId="77777777" w:rsidR="00930E09" w:rsidRPr="00BD646C" w:rsidRDefault="00E453CD" w:rsidP="001F79B0">
            <w:pPr>
              <w:rPr>
                <w:sz w:val="22"/>
                <w:szCs w:val="22"/>
                <w:lang w:val="de-DE"/>
              </w:rPr>
            </w:pPr>
            <w:r w:rsidRPr="00BD646C">
              <w:rPr>
                <w:sz w:val="22"/>
                <w:szCs w:val="22"/>
                <w:lang w:val="de-DE"/>
              </w:rPr>
              <w:t>Tel: 00800 222843 33 (gebührenfrei)</w:t>
            </w:r>
          </w:p>
          <w:p w14:paraId="65DAD262" w14:textId="77777777" w:rsidR="00930E09" w:rsidRPr="00BD646C" w:rsidRDefault="00E453CD" w:rsidP="001F79B0">
            <w:pPr>
              <w:rPr>
                <w:sz w:val="22"/>
                <w:szCs w:val="22"/>
                <w:lang w:val="de-DE"/>
              </w:rPr>
            </w:pPr>
            <w:r w:rsidRPr="00BD646C">
              <w:rPr>
                <w:sz w:val="22"/>
                <w:szCs w:val="22"/>
                <w:lang w:val="de-DE"/>
              </w:rPr>
              <w:t>Tel: +49 (0) 611 / 1720-0</w:t>
            </w:r>
          </w:p>
          <w:p w14:paraId="16C5DE75" w14:textId="77777777" w:rsidR="00930E09" w:rsidRPr="00BD646C" w:rsidRDefault="00930E09" w:rsidP="001F79B0">
            <w:pPr>
              <w:rPr>
                <w:sz w:val="22"/>
                <w:szCs w:val="22"/>
                <w:lang w:val="de-DE"/>
              </w:rPr>
            </w:pPr>
          </w:p>
        </w:tc>
        <w:tc>
          <w:tcPr>
            <w:tcW w:w="4678" w:type="dxa"/>
            <w:gridSpan w:val="2"/>
          </w:tcPr>
          <w:p w14:paraId="3FF3F4B6" w14:textId="77777777" w:rsidR="00930E09" w:rsidRPr="00BD646C" w:rsidRDefault="00E453CD" w:rsidP="001F79B0">
            <w:pPr>
              <w:rPr>
                <w:b/>
                <w:bCs/>
                <w:sz w:val="22"/>
                <w:szCs w:val="22"/>
                <w:lang w:val="nl-NL"/>
              </w:rPr>
            </w:pPr>
            <w:r w:rsidRPr="00BD646C">
              <w:rPr>
                <w:b/>
                <w:bCs/>
                <w:sz w:val="22"/>
                <w:szCs w:val="22"/>
                <w:lang w:val="nl-NL"/>
              </w:rPr>
              <w:t>Nederland</w:t>
            </w:r>
          </w:p>
          <w:p w14:paraId="0CFFCB87" w14:textId="77777777" w:rsidR="00930E09" w:rsidRPr="00BD646C" w:rsidRDefault="00E453CD" w:rsidP="001F79B0">
            <w:pPr>
              <w:rPr>
                <w:bCs/>
                <w:sz w:val="22"/>
                <w:szCs w:val="22"/>
                <w:lang w:val="de-DE"/>
              </w:rPr>
            </w:pPr>
            <w:r w:rsidRPr="00BD646C">
              <w:rPr>
                <w:bCs/>
                <w:sz w:val="22"/>
                <w:szCs w:val="22"/>
                <w:lang w:val="de-DE"/>
              </w:rPr>
              <w:t>AbbVie B.V.</w:t>
            </w:r>
          </w:p>
          <w:p w14:paraId="4C2FB29D" w14:textId="77777777" w:rsidR="00930E09" w:rsidRPr="00BD646C" w:rsidRDefault="00E453CD" w:rsidP="001F79B0">
            <w:pPr>
              <w:rPr>
                <w:bCs/>
                <w:sz w:val="22"/>
                <w:szCs w:val="22"/>
                <w:lang w:val="de-DE"/>
              </w:rPr>
            </w:pPr>
            <w:r w:rsidRPr="00BD646C">
              <w:rPr>
                <w:bCs/>
                <w:sz w:val="22"/>
                <w:szCs w:val="22"/>
                <w:lang w:val="de-DE"/>
              </w:rPr>
              <w:t>Tel: +31 (0)88 322 2843</w:t>
            </w:r>
          </w:p>
        </w:tc>
      </w:tr>
      <w:tr w:rsidR="004644D4" w14:paraId="6C4656F1" w14:textId="77777777" w:rsidTr="001F79B0">
        <w:tc>
          <w:tcPr>
            <w:tcW w:w="4644" w:type="dxa"/>
            <w:gridSpan w:val="2"/>
          </w:tcPr>
          <w:p w14:paraId="344E1BDE" w14:textId="77777777" w:rsidR="00930E09" w:rsidRPr="00BD646C" w:rsidRDefault="00E453CD" w:rsidP="001F79B0">
            <w:pPr>
              <w:rPr>
                <w:b/>
                <w:bCs/>
                <w:sz w:val="22"/>
                <w:szCs w:val="22"/>
                <w:lang w:val="et-EE"/>
              </w:rPr>
            </w:pPr>
            <w:r w:rsidRPr="00BD646C">
              <w:rPr>
                <w:b/>
                <w:bCs/>
                <w:sz w:val="22"/>
                <w:szCs w:val="22"/>
                <w:lang w:val="et-EE"/>
              </w:rPr>
              <w:t>Eesti</w:t>
            </w:r>
          </w:p>
          <w:p w14:paraId="338FD4FD" w14:textId="77777777" w:rsidR="00930E09" w:rsidRPr="00BD646C" w:rsidRDefault="00E453CD"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2FEAB05F" w14:textId="77777777" w:rsidR="00930E09" w:rsidRPr="00BD646C" w:rsidRDefault="00E453CD" w:rsidP="001F79B0">
            <w:pPr>
              <w:rPr>
                <w:bCs/>
                <w:sz w:val="22"/>
                <w:szCs w:val="22"/>
                <w:lang w:val="lv-LV"/>
              </w:rPr>
            </w:pPr>
            <w:r w:rsidRPr="00BD646C">
              <w:rPr>
                <w:bCs/>
                <w:sz w:val="22"/>
                <w:szCs w:val="22"/>
                <w:lang w:val="et-EE"/>
              </w:rPr>
              <w:t>Tel: +372 623 1011</w:t>
            </w:r>
          </w:p>
        </w:tc>
        <w:tc>
          <w:tcPr>
            <w:tcW w:w="4678" w:type="dxa"/>
            <w:gridSpan w:val="2"/>
          </w:tcPr>
          <w:p w14:paraId="597D0AC5" w14:textId="77777777" w:rsidR="00930E09" w:rsidRPr="00BD646C" w:rsidRDefault="00E453CD" w:rsidP="001F79B0">
            <w:pPr>
              <w:rPr>
                <w:b/>
                <w:bCs/>
                <w:sz w:val="22"/>
                <w:szCs w:val="22"/>
              </w:rPr>
            </w:pPr>
            <w:r w:rsidRPr="00BD646C">
              <w:rPr>
                <w:b/>
                <w:bCs/>
                <w:sz w:val="22"/>
                <w:szCs w:val="22"/>
              </w:rPr>
              <w:t>Norge</w:t>
            </w:r>
          </w:p>
          <w:p w14:paraId="2D1314BD" w14:textId="77777777" w:rsidR="00930E09" w:rsidRPr="00BD646C" w:rsidRDefault="00E453CD" w:rsidP="001F79B0">
            <w:pPr>
              <w:rPr>
                <w:bCs/>
                <w:sz w:val="22"/>
                <w:szCs w:val="22"/>
                <w:lang w:val="sk-SK"/>
              </w:rPr>
            </w:pPr>
            <w:r w:rsidRPr="00BD646C">
              <w:rPr>
                <w:bCs/>
                <w:sz w:val="22"/>
                <w:szCs w:val="22"/>
                <w:lang w:val="sk-SK"/>
              </w:rPr>
              <w:t>AbbVie AS</w:t>
            </w:r>
          </w:p>
          <w:p w14:paraId="500F6316" w14:textId="77777777" w:rsidR="00930E09" w:rsidRPr="00BD646C" w:rsidRDefault="00E453CD" w:rsidP="001F79B0">
            <w:pPr>
              <w:rPr>
                <w:bCs/>
                <w:sz w:val="22"/>
                <w:szCs w:val="22"/>
                <w:lang w:val="sk-SK"/>
              </w:rPr>
            </w:pPr>
            <w:r w:rsidRPr="00BD646C">
              <w:rPr>
                <w:bCs/>
                <w:sz w:val="22"/>
                <w:szCs w:val="22"/>
                <w:lang w:val="sk-SK"/>
              </w:rPr>
              <w:t>Tlf: +47 67 81 80 00</w:t>
            </w:r>
          </w:p>
          <w:p w14:paraId="79592751" w14:textId="77777777" w:rsidR="00930E09" w:rsidRPr="00BD646C" w:rsidRDefault="00930E09" w:rsidP="001F79B0">
            <w:pPr>
              <w:rPr>
                <w:bCs/>
                <w:sz w:val="22"/>
                <w:szCs w:val="22"/>
                <w:lang w:val="sk-SK"/>
              </w:rPr>
            </w:pPr>
          </w:p>
        </w:tc>
      </w:tr>
      <w:tr w:rsidR="004644D4" w14:paraId="4F0ECD63" w14:textId="77777777" w:rsidTr="001F79B0">
        <w:trPr>
          <w:trHeight w:val="794"/>
        </w:trPr>
        <w:tc>
          <w:tcPr>
            <w:tcW w:w="4644" w:type="dxa"/>
            <w:gridSpan w:val="2"/>
          </w:tcPr>
          <w:p w14:paraId="618259F4" w14:textId="77777777" w:rsidR="00930E09" w:rsidRPr="00BD646C" w:rsidRDefault="00E453CD" w:rsidP="001F79B0">
            <w:pPr>
              <w:rPr>
                <w:b/>
                <w:bCs/>
                <w:sz w:val="22"/>
                <w:szCs w:val="22"/>
                <w:lang w:val="el-GR"/>
              </w:rPr>
            </w:pPr>
            <w:r w:rsidRPr="00BD646C">
              <w:rPr>
                <w:b/>
                <w:bCs/>
                <w:sz w:val="22"/>
                <w:szCs w:val="22"/>
                <w:lang w:val="el-GR"/>
              </w:rPr>
              <w:t>Ελλάδα</w:t>
            </w:r>
          </w:p>
          <w:p w14:paraId="60C1CFF6" w14:textId="77777777" w:rsidR="00930E09" w:rsidRPr="00BD646C" w:rsidRDefault="00E453CD"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065406E8" w14:textId="77777777" w:rsidR="00930E09" w:rsidRPr="00BD646C" w:rsidRDefault="00E453CD"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6099B364" w14:textId="77777777" w:rsidR="00930E09" w:rsidRPr="00BD646C" w:rsidRDefault="00E453CD" w:rsidP="001F79B0">
            <w:pPr>
              <w:rPr>
                <w:b/>
                <w:bCs/>
                <w:sz w:val="22"/>
                <w:szCs w:val="22"/>
                <w:lang w:val="de-DE"/>
              </w:rPr>
            </w:pPr>
            <w:r w:rsidRPr="00BD646C">
              <w:rPr>
                <w:b/>
                <w:bCs/>
                <w:sz w:val="22"/>
                <w:szCs w:val="22"/>
                <w:lang w:val="de-DE"/>
              </w:rPr>
              <w:t>Österreich</w:t>
            </w:r>
          </w:p>
          <w:p w14:paraId="0383FD9D" w14:textId="77777777" w:rsidR="00930E09" w:rsidRPr="00BD646C" w:rsidRDefault="00E453CD" w:rsidP="001F79B0">
            <w:pPr>
              <w:rPr>
                <w:bCs/>
                <w:sz w:val="22"/>
                <w:szCs w:val="22"/>
                <w:lang w:val="de-DE"/>
              </w:rPr>
            </w:pPr>
            <w:r w:rsidRPr="00BD646C">
              <w:rPr>
                <w:bCs/>
                <w:sz w:val="22"/>
                <w:szCs w:val="22"/>
                <w:lang w:val="de-DE"/>
              </w:rPr>
              <w:t xml:space="preserve">AbbVie GmbH </w:t>
            </w:r>
          </w:p>
          <w:p w14:paraId="79A5344B" w14:textId="77777777" w:rsidR="00930E09" w:rsidRPr="00BD646C" w:rsidRDefault="00E453CD" w:rsidP="001F79B0">
            <w:pPr>
              <w:rPr>
                <w:bCs/>
                <w:sz w:val="22"/>
                <w:szCs w:val="22"/>
                <w:lang w:val="de-DE"/>
              </w:rPr>
            </w:pPr>
            <w:r w:rsidRPr="00BD646C">
              <w:rPr>
                <w:bCs/>
                <w:sz w:val="22"/>
                <w:szCs w:val="22"/>
                <w:lang w:val="de-DE"/>
              </w:rPr>
              <w:t>Tel: +43 1 20589-0</w:t>
            </w:r>
          </w:p>
          <w:p w14:paraId="51D40D4B" w14:textId="77777777" w:rsidR="00930E09" w:rsidRPr="00BD646C" w:rsidRDefault="00930E09" w:rsidP="001F79B0">
            <w:pPr>
              <w:rPr>
                <w:bCs/>
                <w:sz w:val="22"/>
                <w:szCs w:val="22"/>
                <w:lang w:val="de-DE"/>
              </w:rPr>
            </w:pPr>
          </w:p>
        </w:tc>
      </w:tr>
      <w:tr w:rsidR="004644D4" w14:paraId="3A83E18A" w14:textId="77777777" w:rsidTr="001F79B0">
        <w:trPr>
          <w:gridBefore w:val="1"/>
          <w:wBefore w:w="34" w:type="dxa"/>
        </w:trPr>
        <w:tc>
          <w:tcPr>
            <w:tcW w:w="4644" w:type="dxa"/>
            <w:gridSpan w:val="2"/>
          </w:tcPr>
          <w:p w14:paraId="05EA3253" w14:textId="77777777" w:rsidR="00930E09" w:rsidRPr="00BD646C" w:rsidRDefault="00E453CD" w:rsidP="001F79B0">
            <w:pPr>
              <w:rPr>
                <w:b/>
                <w:bCs/>
                <w:sz w:val="22"/>
                <w:szCs w:val="22"/>
                <w:lang w:val="es-ES"/>
              </w:rPr>
            </w:pPr>
            <w:r w:rsidRPr="00BD646C">
              <w:rPr>
                <w:b/>
                <w:bCs/>
                <w:sz w:val="22"/>
                <w:szCs w:val="22"/>
                <w:lang w:val="es-ES"/>
              </w:rPr>
              <w:t>España</w:t>
            </w:r>
          </w:p>
          <w:p w14:paraId="04994816" w14:textId="77777777" w:rsidR="00930E09" w:rsidRPr="00BD646C" w:rsidRDefault="00E453CD"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076F34BC" w14:textId="77777777" w:rsidR="00930E09" w:rsidRPr="00BD646C" w:rsidRDefault="00E453CD" w:rsidP="001F79B0">
            <w:pPr>
              <w:rPr>
                <w:bCs/>
                <w:sz w:val="22"/>
                <w:szCs w:val="22"/>
                <w:lang w:val="pl-PL"/>
              </w:rPr>
            </w:pPr>
            <w:r w:rsidRPr="00BD646C">
              <w:rPr>
                <w:bCs/>
                <w:sz w:val="22"/>
                <w:szCs w:val="22"/>
                <w:lang w:val="pt-PT"/>
              </w:rPr>
              <w:t>Tel: +34 91 384 09 10</w:t>
            </w:r>
          </w:p>
        </w:tc>
        <w:tc>
          <w:tcPr>
            <w:tcW w:w="4678" w:type="dxa"/>
          </w:tcPr>
          <w:p w14:paraId="5046C160" w14:textId="77777777" w:rsidR="00930E09" w:rsidRPr="00BD646C" w:rsidRDefault="00E453CD" w:rsidP="001F79B0">
            <w:pPr>
              <w:rPr>
                <w:b/>
                <w:bCs/>
                <w:iCs/>
                <w:sz w:val="22"/>
                <w:szCs w:val="22"/>
                <w:lang w:val="pl-PL"/>
              </w:rPr>
            </w:pPr>
            <w:r w:rsidRPr="00BD646C">
              <w:rPr>
                <w:b/>
                <w:bCs/>
                <w:iCs/>
                <w:sz w:val="22"/>
                <w:szCs w:val="22"/>
                <w:lang w:val="pl-PL"/>
              </w:rPr>
              <w:t>Polska</w:t>
            </w:r>
          </w:p>
          <w:p w14:paraId="457558BD" w14:textId="77777777" w:rsidR="00930E09" w:rsidRPr="00BD646C" w:rsidRDefault="00E453CD" w:rsidP="001F79B0">
            <w:pPr>
              <w:rPr>
                <w:bCs/>
                <w:sz w:val="22"/>
                <w:szCs w:val="22"/>
                <w:lang w:val="pl-PL"/>
              </w:rPr>
            </w:pPr>
            <w:r w:rsidRPr="00BD646C">
              <w:rPr>
                <w:bCs/>
                <w:sz w:val="22"/>
                <w:szCs w:val="22"/>
                <w:lang w:val="pl-PL"/>
              </w:rPr>
              <w:t>AbbVie Sp. z o.o.</w:t>
            </w:r>
          </w:p>
          <w:p w14:paraId="41DA34D5" w14:textId="77777777" w:rsidR="00930E09" w:rsidRPr="00BD646C" w:rsidRDefault="00E453CD"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6B29B7FA" w14:textId="77777777" w:rsidR="00930E09" w:rsidRPr="00BD646C" w:rsidRDefault="00930E09" w:rsidP="001F79B0">
            <w:pPr>
              <w:rPr>
                <w:bCs/>
                <w:sz w:val="22"/>
                <w:szCs w:val="22"/>
                <w:lang w:val="pl-PL"/>
              </w:rPr>
            </w:pPr>
          </w:p>
        </w:tc>
      </w:tr>
      <w:tr w:rsidR="004644D4" w14:paraId="5FF061D1" w14:textId="77777777" w:rsidTr="001F79B0">
        <w:trPr>
          <w:trHeight w:val="734"/>
        </w:trPr>
        <w:tc>
          <w:tcPr>
            <w:tcW w:w="4678" w:type="dxa"/>
            <w:gridSpan w:val="3"/>
          </w:tcPr>
          <w:p w14:paraId="70703E60" w14:textId="77777777" w:rsidR="00930E09" w:rsidRPr="00BD646C" w:rsidRDefault="00E453CD" w:rsidP="001F79B0">
            <w:pPr>
              <w:rPr>
                <w:b/>
                <w:bCs/>
                <w:sz w:val="22"/>
                <w:szCs w:val="22"/>
                <w:lang w:val="fr-FR"/>
              </w:rPr>
            </w:pPr>
            <w:r w:rsidRPr="00BD646C">
              <w:rPr>
                <w:b/>
                <w:bCs/>
                <w:sz w:val="22"/>
                <w:szCs w:val="22"/>
                <w:lang w:val="fr-FR"/>
              </w:rPr>
              <w:t>France</w:t>
            </w:r>
          </w:p>
          <w:p w14:paraId="1D15E183" w14:textId="77777777" w:rsidR="00930E09" w:rsidRPr="00BD646C" w:rsidRDefault="00E453CD" w:rsidP="001F79B0">
            <w:pPr>
              <w:rPr>
                <w:bCs/>
                <w:sz w:val="22"/>
                <w:szCs w:val="22"/>
                <w:lang w:val="fr-FR"/>
              </w:rPr>
            </w:pPr>
            <w:r w:rsidRPr="00BD646C">
              <w:rPr>
                <w:bCs/>
                <w:sz w:val="22"/>
                <w:szCs w:val="22"/>
                <w:lang w:val="fr-FR"/>
              </w:rPr>
              <w:t>AbbVie</w:t>
            </w:r>
          </w:p>
          <w:p w14:paraId="6B792326" w14:textId="77777777" w:rsidR="00930E09" w:rsidRPr="00BD646C" w:rsidRDefault="00E453CD" w:rsidP="001F79B0">
            <w:pPr>
              <w:rPr>
                <w:bCs/>
                <w:sz w:val="22"/>
                <w:szCs w:val="22"/>
                <w:lang w:val="fr-FR"/>
              </w:rPr>
            </w:pPr>
            <w:r w:rsidRPr="00BD646C">
              <w:rPr>
                <w:bCs/>
                <w:sz w:val="22"/>
                <w:szCs w:val="22"/>
                <w:lang w:val="fr-FR"/>
              </w:rPr>
              <w:t>Tél: +33 (0) 1 45 60 13 00</w:t>
            </w:r>
          </w:p>
        </w:tc>
        <w:tc>
          <w:tcPr>
            <w:tcW w:w="4678" w:type="dxa"/>
          </w:tcPr>
          <w:p w14:paraId="21464A5D" w14:textId="77777777" w:rsidR="00930E09" w:rsidRPr="00BD646C" w:rsidRDefault="00E453CD" w:rsidP="001F79B0">
            <w:pPr>
              <w:rPr>
                <w:b/>
                <w:bCs/>
                <w:sz w:val="22"/>
                <w:szCs w:val="22"/>
                <w:lang w:val="pt-PT"/>
              </w:rPr>
            </w:pPr>
            <w:r w:rsidRPr="00BD646C">
              <w:rPr>
                <w:b/>
                <w:bCs/>
                <w:sz w:val="22"/>
                <w:szCs w:val="22"/>
                <w:lang w:val="pt-PT"/>
              </w:rPr>
              <w:t>Portugal</w:t>
            </w:r>
          </w:p>
          <w:p w14:paraId="209F9872" w14:textId="77777777" w:rsidR="00930E09" w:rsidRPr="00BD646C" w:rsidRDefault="00E453CD" w:rsidP="001F79B0">
            <w:pPr>
              <w:rPr>
                <w:bCs/>
                <w:sz w:val="22"/>
                <w:szCs w:val="22"/>
                <w:lang w:val="fr-FR"/>
              </w:rPr>
            </w:pPr>
            <w:r w:rsidRPr="00BD646C">
              <w:rPr>
                <w:bCs/>
                <w:sz w:val="22"/>
                <w:szCs w:val="22"/>
                <w:lang w:val="fr-FR"/>
              </w:rPr>
              <w:t xml:space="preserve">AbbVie, Lda. </w:t>
            </w:r>
          </w:p>
          <w:p w14:paraId="25A80BE8" w14:textId="77777777" w:rsidR="00930E09" w:rsidRPr="00BD646C" w:rsidRDefault="00E453CD" w:rsidP="001F79B0">
            <w:pPr>
              <w:rPr>
                <w:sz w:val="22"/>
                <w:szCs w:val="22"/>
                <w:lang w:val="fr-FR"/>
              </w:rPr>
            </w:pPr>
            <w:r w:rsidRPr="00BD646C">
              <w:rPr>
                <w:sz w:val="22"/>
                <w:szCs w:val="22"/>
                <w:lang w:val="fr-FR"/>
              </w:rPr>
              <w:t>Tel: +351 (0)21 1908400</w:t>
            </w:r>
          </w:p>
          <w:p w14:paraId="3ADD897D" w14:textId="77777777" w:rsidR="00930E09" w:rsidRPr="00BD646C" w:rsidRDefault="00930E09" w:rsidP="001F79B0">
            <w:pPr>
              <w:rPr>
                <w:sz w:val="22"/>
                <w:szCs w:val="22"/>
                <w:lang w:val="fr-FR"/>
              </w:rPr>
            </w:pPr>
          </w:p>
        </w:tc>
      </w:tr>
      <w:tr w:rsidR="004644D4" w14:paraId="4D403041" w14:textId="77777777" w:rsidTr="001F79B0">
        <w:trPr>
          <w:gridBefore w:val="1"/>
          <w:wBefore w:w="34" w:type="dxa"/>
        </w:trPr>
        <w:tc>
          <w:tcPr>
            <w:tcW w:w="4644" w:type="dxa"/>
            <w:gridSpan w:val="2"/>
          </w:tcPr>
          <w:p w14:paraId="23E56DDD" w14:textId="77777777" w:rsidR="00930E09" w:rsidRPr="003979AA" w:rsidRDefault="00E453CD" w:rsidP="001F79B0">
            <w:pPr>
              <w:rPr>
                <w:sz w:val="22"/>
                <w:szCs w:val="22"/>
              </w:rPr>
            </w:pPr>
            <w:r w:rsidRPr="003979AA">
              <w:rPr>
                <w:b/>
                <w:bCs/>
                <w:sz w:val="22"/>
                <w:szCs w:val="22"/>
              </w:rPr>
              <w:t xml:space="preserve">Hrvatska </w:t>
            </w:r>
          </w:p>
          <w:p w14:paraId="33B47015" w14:textId="77777777" w:rsidR="00930E09" w:rsidRPr="00BD646C" w:rsidRDefault="00E453CD" w:rsidP="001F79B0">
            <w:pPr>
              <w:rPr>
                <w:sz w:val="22"/>
                <w:szCs w:val="22"/>
                <w:lang w:val="hr-HR"/>
              </w:rPr>
            </w:pPr>
            <w:r w:rsidRPr="00BD646C">
              <w:rPr>
                <w:sz w:val="22"/>
                <w:szCs w:val="22"/>
                <w:lang w:val="hr-HR"/>
              </w:rPr>
              <w:t>AbbVie d.o.o.</w:t>
            </w:r>
          </w:p>
          <w:p w14:paraId="2C3CA355" w14:textId="77777777" w:rsidR="00930E09" w:rsidRPr="00BD646C" w:rsidRDefault="00E453CD" w:rsidP="001F79B0">
            <w:pPr>
              <w:rPr>
                <w:bCs/>
                <w:sz w:val="22"/>
                <w:szCs w:val="22"/>
                <w:lang w:val="it-IT"/>
              </w:rPr>
            </w:pPr>
            <w:r w:rsidRPr="00BD646C">
              <w:rPr>
                <w:sz w:val="22"/>
                <w:szCs w:val="22"/>
                <w:lang w:val="hr-HR"/>
              </w:rPr>
              <w:t xml:space="preserve">Tel + 385 (0)1 </w:t>
            </w:r>
            <w:r w:rsidRPr="00BD646C">
              <w:rPr>
                <w:sz w:val="22"/>
                <w:szCs w:val="22"/>
                <w:lang w:val="en-US"/>
              </w:rPr>
              <w:t>5625 501</w:t>
            </w:r>
          </w:p>
        </w:tc>
        <w:tc>
          <w:tcPr>
            <w:tcW w:w="4678" w:type="dxa"/>
          </w:tcPr>
          <w:p w14:paraId="2D52B538" w14:textId="77777777" w:rsidR="00930E09" w:rsidRPr="00BD646C" w:rsidRDefault="00E453CD" w:rsidP="001F79B0">
            <w:pPr>
              <w:rPr>
                <w:b/>
                <w:bCs/>
                <w:sz w:val="22"/>
                <w:szCs w:val="22"/>
                <w:lang w:val="it-IT"/>
              </w:rPr>
            </w:pPr>
            <w:r w:rsidRPr="00BD646C">
              <w:rPr>
                <w:b/>
                <w:bCs/>
                <w:sz w:val="22"/>
                <w:szCs w:val="22"/>
                <w:lang w:val="it-IT"/>
              </w:rPr>
              <w:t>România</w:t>
            </w:r>
          </w:p>
          <w:p w14:paraId="58FEE7CE" w14:textId="77777777" w:rsidR="00930E09" w:rsidRPr="00BD646C" w:rsidRDefault="00E453CD" w:rsidP="001F79B0">
            <w:pPr>
              <w:rPr>
                <w:sz w:val="22"/>
                <w:szCs w:val="22"/>
                <w:lang w:val="it-IT"/>
              </w:rPr>
            </w:pPr>
            <w:r w:rsidRPr="00BD646C">
              <w:rPr>
                <w:sz w:val="22"/>
                <w:szCs w:val="22"/>
                <w:lang w:val="it-IT"/>
              </w:rPr>
              <w:t>AbbVie S.R.L.</w:t>
            </w:r>
          </w:p>
          <w:p w14:paraId="460FA818" w14:textId="77777777" w:rsidR="00930E09" w:rsidRPr="00BD646C" w:rsidRDefault="00E453CD" w:rsidP="001F79B0">
            <w:pPr>
              <w:rPr>
                <w:sz w:val="22"/>
                <w:szCs w:val="22"/>
                <w:lang w:val="pl-PL"/>
              </w:rPr>
            </w:pPr>
            <w:r w:rsidRPr="00BD646C">
              <w:rPr>
                <w:sz w:val="22"/>
                <w:szCs w:val="22"/>
                <w:lang w:val="pl-PL"/>
              </w:rPr>
              <w:t>Tel: +40 21 529 30 35</w:t>
            </w:r>
          </w:p>
          <w:p w14:paraId="61B08DE3" w14:textId="77777777" w:rsidR="00930E09" w:rsidRPr="00BD646C" w:rsidRDefault="00930E09" w:rsidP="001F79B0">
            <w:pPr>
              <w:rPr>
                <w:sz w:val="22"/>
                <w:szCs w:val="22"/>
                <w:lang w:val="pl-PL"/>
              </w:rPr>
            </w:pPr>
          </w:p>
        </w:tc>
      </w:tr>
      <w:tr w:rsidR="004644D4" w14:paraId="423E910C" w14:textId="77777777" w:rsidTr="001F79B0">
        <w:trPr>
          <w:gridBefore w:val="1"/>
          <w:wBefore w:w="34" w:type="dxa"/>
        </w:trPr>
        <w:tc>
          <w:tcPr>
            <w:tcW w:w="4644" w:type="dxa"/>
            <w:gridSpan w:val="2"/>
          </w:tcPr>
          <w:p w14:paraId="328811F2" w14:textId="77777777" w:rsidR="00930E09" w:rsidRPr="00BD646C" w:rsidRDefault="00E453CD" w:rsidP="001F79B0">
            <w:pPr>
              <w:rPr>
                <w:b/>
                <w:bCs/>
                <w:sz w:val="22"/>
                <w:szCs w:val="22"/>
                <w:lang w:val="sk-SK"/>
              </w:rPr>
            </w:pPr>
            <w:r w:rsidRPr="00BD646C">
              <w:rPr>
                <w:b/>
                <w:bCs/>
                <w:sz w:val="22"/>
                <w:szCs w:val="22"/>
                <w:lang w:val="sk-SK"/>
              </w:rPr>
              <w:t>Ireland</w:t>
            </w:r>
          </w:p>
          <w:p w14:paraId="29252CB5" w14:textId="77777777" w:rsidR="00930E09" w:rsidRPr="00BD646C" w:rsidRDefault="00E453CD" w:rsidP="001F79B0">
            <w:pPr>
              <w:rPr>
                <w:bCs/>
                <w:sz w:val="22"/>
                <w:szCs w:val="22"/>
                <w:lang w:val="sk-SK"/>
              </w:rPr>
            </w:pPr>
            <w:r w:rsidRPr="00BD646C">
              <w:rPr>
                <w:bCs/>
                <w:sz w:val="22"/>
                <w:szCs w:val="22"/>
                <w:lang w:val="sk-SK"/>
              </w:rPr>
              <w:t xml:space="preserve">AbbVie Limited </w:t>
            </w:r>
          </w:p>
          <w:p w14:paraId="1230F3A6" w14:textId="77777777" w:rsidR="00930E09" w:rsidRPr="00BD646C" w:rsidRDefault="00E453CD" w:rsidP="001F79B0">
            <w:pPr>
              <w:rPr>
                <w:bCs/>
                <w:sz w:val="22"/>
                <w:szCs w:val="22"/>
                <w:lang w:val="sk-SK"/>
              </w:rPr>
            </w:pPr>
            <w:r w:rsidRPr="00BD646C">
              <w:rPr>
                <w:bCs/>
                <w:sz w:val="22"/>
                <w:szCs w:val="22"/>
                <w:lang w:val="pt-PT"/>
              </w:rPr>
              <w:t>Tel: +353 (0)1 42879</w:t>
            </w:r>
            <w:r w:rsidR="00167578">
              <w:rPr>
                <w:bCs/>
                <w:sz w:val="22"/>
                <w:szCs w:val="22"/>
                <w:lang w:val="pt-PT"/>
              </w:rPr>
              <w:t>0</w:t>
            </w:r>
            <w:r w:rsidRPr="00BD646C">
              <w:rPr>
                <w:bCs/>
                <w:sz w:val="22"/>
                <w:szCs w:val="22"/>
                <w:lang w:val="pt-PT"/>
              </w:rPr>
              <w:t>0</w:t>
            </w:r>
          </w:p>
        </w:tc>
        <w:tc>
          <w:tcPr>
            <w:tcW w:w="4678" w:type="dxa"/>
          </w:tcPr>
          <w:p w14:paraId="7AFFDD40" w14:textId="77777777" w:rsidR="00930E09" w:rsidRPr="00BD646C" w:rsidRDefault="00E453CD" w:rsidP="001F79B0">
            <w:pPr>
              <w:rPr>
                <w:b/>
                <w:bCs/>
                <w:sz w:val="22"/>
                <w:szCs w:val="22"/>
                <w:lang w:val="sl-SI"/>
              </w:rPr>
            </w:pPr>
            <w:r w:rsidRPr="00BD646C">
              <w:rPr>
                <w:b/>
                <w:bCs/>
                <w:sz w:val="22"/>
                <w:szCs w:val="22"/>
                <w:lang w:val="sl-SI"/>
              </w:rPr>
              <w:t>Slovenija</w:t>
            </w:r>
          </w:p>
          <w:p w14:paraId="44D7D80F" w14:textId="77777777" w:rsidR="00930E09" w:rsidRPr="00BD646C" w:rsidRDefault="00E453CD"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2788A260" w14:textId="77777777" w:rsidR="00930E09" w:rsidRPr="00BD646C" w:rsidRDefault="00E453CD" w:rsidP="001F79B0">
            <w:pPr>
              <w:rPr>
                <w:bCs/>
                <w:sz w:val="22"/>
                <w:szCs w:val="22"/>
                <w:lang w:val="sl-SI"/>
              </w:rPr>
            </w:pPr>
            <w:r w:rsidRPr="00BD646C">
              <w:rPr>
                <w:bCs/>
                <w:sz w:val="22"/>
                <w:szCs w:val="22"/>
                <w:lang w:val="sl-SI"/>
              </w:rPr>
              <w:t>Tel: +386 (1)32 08 060</w:t>
            </w:r>
          </w:p>
          <w:p w14:paraId="3FC9F812" w14:textId="77777777" w:rsidR="00930E09" w:rsidRPr="00BD646C" w:rsidRDefault="00930E09" w:rsidP="001F79B0">
            <w:pPr>
              <w:rPr>
                <w:bCs/>
                <w:sz w:val="22"/>
                <w:szCs w:val="22"/>
                <w:lang w:val="sl-SI"/>
              </w:rPr>
            </w:pPr>
          </w:p>
        </w:tc>
      </w:tr>
      <w:tr w:rsidR="004644D4" w14:paraId="18427FDE" w14:textId="77777777" w:rsidTr="001F79B0">
        <w:trPr>
          <w:gridBefore w:val="1"/>
          <w:wBefore w:w="34" w:type="dxa"/>
        </w:trPr>
        <w:tc>
          <w:tcPr>
            <w:tcW w:w="4644" w:type="dxa"/>
            <w:gridSpan w:val="2"/>
          </w:tcPr>
          <w:p w14:paraId="754F5046" w14:textId="77777777" w:rsidR="00930E09" w:rsidRPr="00BD646C" w:rsidRDefault="00E453CD" w:rsidP="001F79B0">
            <w:pPr>
              <w:rPr>
                <w:b/>
                <w:bCs/>
                <w:sz w:val="22"/>
                <w:szCs w:val="22"/>
                <w:lang w:val="is-IS"/>
              </w:rPr>
            </w:pPr>
            <w:r w:rsidRPr="00BD646C">
              <w:rPr>
                <w:b/>
                <w:bCs/>
                <w:sz w:val="22"/>
                <w:szCs w:val="22"/>
                <w:lang w:val="is-IS"/>
              </w:rPr>
              <w:t>Ísland</w:t>
            </w:r>
          </w:p>
          <w:p w14:paraId="7EC7823D" w14:textId="77777777" w:rsidR="00930E09" w:rsidRPr="00BD646C" w:rsidRDefault="00E453CD" w:rsidP="001F79B0">
            <w:pPr>
              <w:rPr>
                <w:bCs/>
                <w:sz w:val="22"/>
                <w:szCs w:val="22"/>
                <w:lang w:val="sk-SK"/>
              </w:rPr>
            </w:pPr>
            <w:r w:rsidRPr="00BD646C">
              <w:rPr>
                <w:bCs/>
                <w:sz w:val="22"/>
                <w:szCs w:val="22"/>
                <w:lang w:val="sk-SK"/>
              </w:rPr>
              <w:t>Vistor</w:t>
            </w:r>
            <w:del w:id="17678" w:author="AbbVie02no" w:date="2025-05-15T14:32:00Z">
              <w:r w:rsidRPr="00BD646C">
                <w:rPr>
                  <w:bCs/>
                  <w:sz w:val="22"/>
                  <w:szCs w:val="22"/>
                  <w:lang w:val="sk-SK"/>
                </w:rPr>
                <w:delText xml:space="preserve"> hf.</w:delText>
              </w:r>
            </w:del>
          </w:p>
          <w:p w14:paraId="46DC6541" w14:textId="77777777" w:rsidR="00930E09" w:rsidRPr="00BD646C" w:rsidRDefault="00E453CD" w:rsidP="001F79B0">
            <w:pPr>
              <w:rPr>
                <w:bCs/>
                <w:sz w:val="22"/>
                <w:szCs w:val="22"/>
                <w:lang w:val="sk-SK"/>
              </w:rPr>
            </w:pPr>
            <w:r w:rsidRPr="00BD646C">
              <w:rPr>
                <w:bCs/>
                <w:sz w:val="22"/>
                <w:szCs w:val="22"/>
                <w:lang w:val="sk-SK"/>
              </w:rPr>
              <w:t>Tel: +354 535 7000</w:t>
            </w:r>
          </w:p>
        </w:tc>
        <w:tc>
          <w:tcPr>
            <w:tcW w:w="4678" w:type="dxa"/>
          </w:tcPr>
          <w:p w14:paraId="10255BA3" w14:textId="77777777" w:rsidR="00930E09" w:rsidRPr="00BD646C" w:rsidRDefault="00E453CD" w:rsidP="001F79B0">
            <w:pPr>
              <w:rPr>
                <w:b/>
                <w:bCs/>
                <w:sz w:val="22"/>
                <w:szCs w:val="22"/>
                <w:lang w:val="sk-SK"/>
              </w:rPr>
            </w:pPr>
            <w:r w:rsidRPr="00BD646C">
              <w:rPr>
                <w:b/>
                <w:bCs/>
                <w:sz w:val="22"/>
                <w:szCs w:val="22"/>
                <w:lang w:val="sk-SK"/>
              </w:rPr>
              <w:t>Slovenská republika</w:t>
            </w:r>
          </w:p>
          <w:p w14:paraId="04393AB6" w14:textId="77777777" w:rsidR="00930E09" w:rsidRPr="00BD646C" w:rsidRDefault="00E453CD" w:rsidP="001F79B0">
            <w:pPr>
              <w:rPr>
                <w:bCs/>
                <w:sz w:val="22"/>
                <w:szCs w:val="22"/>
                <w:lang w:val="sk-SK"/>
              </w:rPr>
            </w:pPr>
            <w:r w:rsidRPr="00BD646C">
              <w:rPr>
                <w:bCs/>
                <w:sz w:val="22"/>
                <w:szCs w:val="22"/>
                <w:lang w:val="sk-SK"/>
              </w:rPr>
              <w:t>AbbVie s.r.o.</w:t>
            </w:r>
          </w:p>
          <w:p w14:paraId="228DF7F7" w14:textId="77777777" w:rsidR="00930E09" w:rsidRPr="00BD646C" w:rsidRDefault="00E453CD" w:rsidP="001F79B0">
            <w:pPr>
              <w:rPr>
                <w:bCs/>
                <w:sz w:val="22"/>
                <w:szCs w:val="22"/>
                <w:lang w:val="sk-SK"/>
              </w:rPr>
            </w:pPr>
            <w:r w:rsidRPr="00BD646C">
              <w:rPr>
                <w:bCs/>
                <w:sz w:val="22"/>
                <w:szCs w:val="22"/>
                <w:lang w:val="sk-SK"/>
              </w:rPr>
              <w:t>Tel: +421 2 5050 0777</w:t>
            </w:r>
          </w:p>
          <w:p w14:paraId="3B6E79C6" w14:textId="77777777" w:rsidR="00930E09" w:rsidRPr="00BD646C" w:rsidRDefault="00930E09" w:rsidP="001F79B0">
            <w:pPr>
              <w:rPr>
                <w:bCs/>
                <w:sz w:val="22"/>
                <w:szCs w:val="22"/>
                <w:lang w:val="sk-SK"/>
              </w:rPr>
            </w:pPr>
          </w:p>
        </w:tc>
      </w:tr>
      <w:tr w:rsidR="004644D4" w:rsidRPr="009671D6" w14:paraId="499A3C92" w14:textId="77777777" w:rsidTr="001F79B0">
        <w:trPr>
          <w:gridBefore w:val="1"/>
          <w:wBefore w:w="34" w:type="dxa"/>
        </w:trPr>
        <w:tc>
          <w:tcPr>
            <w:tcW w:w="4644" w:type="dxa"/>
            <w:gridSpan w:val="2"/>
          </w:tcPr>
          <w:p w14:paraId="4A302072" w14:textId="77777777" w:rsidR="00930E09" w:rsidRPr="00BD646C" w:rsidRDefault="00E453CD" w:rsidP="001F79B0">
            <w:pPr>
              <w:rPr>
                <w:b/>
                <w:bCs/>
                <w:sz w:val="22"/>
                <w:szCs w:val="22"/>
                <w:lang w:val="it-IT"/>
              </w:rPr>
            </w:pPr>
            <w:r w:rsidRPr="00BD646C">
              <w:rPr>
                <w:b/>
                <w:bCs/>
                <w:sz w:val="22"/>
                <w:szCs w:val="22"/>
                <w:lang w:val="it-IT"/>
              </w:rPr>
              <w:t>Italia</w:t>
            </w:r>
          </w:p>
          <w:p w14:paraId="3359831E" w14:textId="77777777" w:rsidR="00930E09" w:rsidRPr="00BD646C" w:rsidRDefault="00E453CD" w:rsidP="001F79B0">
            <w:pPr>
              <w:rPr>
                <w:bCs/>
                <w:sz w:val="22"/>
                <w:szCs w:val="22"/>
                <w:lang w:val="pt-PT"/>
              </w:rPr>
            </w:pPr>
            <w:r w:rsidRPr="00BD646C">
              <w:rPr>
                <w:bCs/>
                <w:sz w:val="22"/>
                <w:szCs w:val="22"/>
                <w:lang w:val="pt-PT"/>
              </w:rPr>
              <w:t xml:space="preserve">AbbVie S.r.l. </w:t>
            </w:r>
          </w:p>
          <w:p w14:paraId="0C07D73D" w14:textId="77777777" w:rsidR="00930E09" w:rsidRPr="00BD646C" w:rsidRDefault="00E453CD" w:rsidP="001F79B0">
            <w:pPr>
              <w:rPr>
                <w:bCs/>
                <w:sz w:val="22"/>
                <w:szCs w:val="22"/>
                <w:lang w:val="fi-FI"/>
              </w:rPr>
            </w:pPr>
            <w:r w:rsidRPr="00BD646C">
              <w:rPr>
                <w:bCs/>
                <w:sz w:val="22"/>
                <w:szCs w:val="22"/>
                <w:lang w:val="fr-FR"/>
              </w:rPr>
              <w:t>Tel: +39 06 928921</w:t>
            </w:r>
          </w:p>
        </w:tc>
        <w:tc>
          <w:tcPr>
            <w:tcW w:w="4678" w:type="dxa"/>
          </w:tcPr>
          <w:p w14:paraId="23D901A0" w14:textId="77777777" w:rsidR="00930E09" w:rsidRPr="00BD646C" w:rsidRDefault="00E453CD" w:rsidP="001F79B0">
            <w:pPr>
              <w:rPr>
                <w:b/>
                <w:bCs/>
                <w:sz w:val="22"/>
                <w:szCs w:val="22"/>
                <w:lang w:val="fi-FI"/>
              </w:rPr>
            </w:pPr>
            <w:r w:rsidRPr="00BD646C">
              <w:rPr>
                <w:b/>
                <w:bCs/>
                <w:sz w:val="22"/>
                <w:szCs w:val="22"/>
                <w:lang w:val="fi-FI"/>
              </w:rPr>
              <w:t>Suomi/Finland</w:t>
            </w:r>
          </w:p>
          <w:p w14:paraId="57200F05" w14:textId="77777777" w:rsidR="00930E09" w:rsidRPr="00BD646C" w:rsidRDefault="00E453CD" w:rsidP="001F79B0">
            <w:pPr>
              <w:rPr>
                <w:bCs/>
                <w:sz w:val="22"/>
                <w:szCs w:val="22"/>
                <w:lang w:val="de-CH"/>
              </w:rPr>
            </w:pPr>
            <w:r w:rsidRPr="00BD646C">
              <w:rPr>
                <w:bCs/>
                <w:sz w:val="22"/>
                <w:szCs w:val="22"/>
                <w:lang w:val="sk-SK"/>
              </w:rPr>
              <w:t>AbbVie Oy</w:t>
            </w:r>
          </w:p>
          <w:p w14:paraId="03ED1FFE" w14:textId="77777777" w:rsidR="00930E09" w:rsidRPr="00BD646C" w:rsidRDefault="00E453CD" w:rsidP="001F79B0">
            <w:pPr>
              <w:rPr>
                <w:bCs/>
                <w:sz w:val="22"/>
                <w:szCs w:val="22"/>
                <w:lang w:val="sk-SK"/>
              </w:rPr>
            </w:pPr>
            <w:r w:rsidRPr="00BD646C">
              <w:rPr>
                <w:bCs/>
                <w:sz w:val="22"/>
                <w:szCs w:val="22"/>
                <w:lang w:val="sk-SK"/>
              </w:rPr>
              <w:t>Puh/Tel: +358 (0)10 2411 200</w:t>
            </w:r>
          </w:p>
          <w:p w14:paraId="3AF0F956" w14:textId="77777777" w:rsidR="00930E09" w:rsidRPr="00BD646C" w:rsidRDefault="00930E09" w:rsidP="001F79B0">
            <w:pPr>
              <w:rPr>
                <w:sz w:val="22"/>
                <w:szCs w:val="22"/>
                <w:lang w:val="sk-SK"/>
              </w:rPr>
            </w:pPr>
          </w:p>
        </w:tc>
      </w:tr>
      <w:tr w:rsidR="004644D4" w14:paraId="6D1D555C" w14:textId="77777777" w:rsidTr="001F79B0">
        <w:trPr>
          <w:gridBefore w:val="1"/>
          <w:wBefore w:w="34" w:type="dxa"/>
          <w:cantSplit/>
          <w:trHeight w:val="887"/>
        </w:trPr>
        <w:tc>
          <w:tcPr>
            <w:tcW w:w="4644" w:type="dxa"/>
            <w:gridSpan w:val="2"/>
          </w:tcPr>
          <w:p w14:paraId="3D128F32" w14:textId="77777777" w:rsidR="00930E09" w:rsidRPr="00BD646C" w:rsidRDefault="00E453CD" w:rsidP="001F79B0">
            <w:pPr>
              <w:rPr>
                <w:b/>
                <w:bCs/>
                <w:sz w:val="22"/>
                <w:szCs w:val="22"/>
                <w:lang w:val="el-GR"/>
              </w:rPr>
            </w:pPr>
            <w:r w:rsidRPr="00BD646C">
              <w:rPr>
                <w:b/>
                <w:bCs/>
                <w:sz w:val="22"/>
                <w:szCs w:val="22"/>
                <w:lang w:val="el-GR"/>
              </w:rPr>
              <w:t>Κύπρος</w:t>
            </w:r>
          </w:p>
          <w:p w14:paraId="0C0C490F" w14:textId="77777777" w:rsidR="00930E09" w:rsidRPr="00BD646C" w:rsidRDefault="00E453CD"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4E5B7A66" w14:textId="77777777" w:rsidR="00930E09" w:rsidRPr="00BD646C" w:rsidRDefault="00E453CD" w:rsidP="001F79B0">
            <w:pPr>
              <w:rPr>
                <w:bCs/>
                <w:sz w:val="22"/>
                <w:szCs w:val="22"/>
                <w:lang w:val="lv-LV"/>
              </w:rPr>
            </w:pPr>
            <w:r w:rsidRPr="00BD646C">
              <w:rPr>
                <w:bCs/>
                <w:sz w:val="22"/>
                <w:szCs w:val="22"/>
                <w:lang w:val="el-GR"/>
              </w:rPr>
              <w:t>Τηλ.: +357 22 34 74 40</w:t>
            </w:r>
          </w:p>
        </w:tc>
        <w:tc>
          <w:tcPr>
            <w:tcW w:w="4678" w:type="dxa"/>
          </w:tcPr>
          <w:p w14:paraId="26736C81" w14:textId="77777777" w:rsidR="00930E09" w:rsidRPr="00BD646C" w:rsidRDefault="00E453CD" w:rsidP="001F79B0">
            <w:pPr>
              <w:rPr>
                <w:b/>
                <w:bCs/>
                <w:sz w:val="22"/>
                <w:szCs w:val="22"/>
                <w:lang w:val="sk-SK"/>
              </w:rPr>
            </w:pPr>
            <w:r w:rsidRPr="00BD646C">
              <w:rPr>
                <w:b/>
                <w:bCs/>
                <w:sz w:val="22"/>
                <w:szCs w:val="22"/>
                <w:lang w:val="sk-SK"/>
              </w:rPr>
              <w:t>Sverige</w:t>
            </w:r>
          </w:p>
          <w:p w14:paraId="35165559" w14:textId="77777777" w:rsidR="00930E09" w:rsidRPr="00BD646C" w:rsidRDefault="00E453CD" w:rsidP="001F79B0">
            <w:pPr>
              <w:rPr>
                <w:bCs/>
                <w:sz w:val="22"/>
                <w:szCs w:val="22"/>
                <w:lang w:val="pt-PT"/>
              </w:rPr>
            </w:pPr>
            <w:r w:rsidRPr="00BD646C">
              <w:rPr>
                <w:bCs/>
                <w:sz w:val="22"/>
                <w:szCs w:val="22"/>
                <w:lang w:val="pt-PT"/>
              </w:rPr>
              <w:t>AbbVie AB</w:t>
            </w:r>
          </w:p>
          <w:p w14:paraId="34D511EC" w14:textId="77777777" w:rsidR="00930E09" w:rsidRPr="00BD646C" w:rsidRDefault="00E453CD" w:rsidP="001F79B0">
            <w:pPr>
              <w:rPr>
                <w:bCs/>
                <w:sz w:val="22"/>
                <w:szCs w:val="22"/>
                <w:lang w:val="sk-SK"/>
              </w:rPr>
            </w:pPr>
            <w:r w:rsidRPr="00BD646C">
              <w:rPr>
                <w:bCs/>
                <w:sz w:val="22"/>
                <w:szCs w:val="22"/>
                <w:lang w:val="da-DK"/>
              </w:rPr>
              <w:t>Tel: +46 (0)8 684 44 600</w:t>
            </w:r>
          </w:p>
        </w:tc>
      </w:tr>
      <w:tr w:rsidR="004644D4" w14:paraId="76DAEDFA" w14:textId="77777777" w:rsidTr="001F79B0">
        <w:trPr>
          <w:gridBefore w:val="1"/>
          <w:wBefore w:w="34" w:type="dxa"/>
          <w:cantSplit/>
          <w:trHeight w:val="761"/>
        </w:trPr>
        <w:tc>
          <w:tcPr>
            <w:tcW w:w="4644" w:type="dxa"/>
            <w:gridSpan w:val="2"/>
          </w:tcPr>
          <w:p w14:paraId="1960A754" w14:textId="77777777" w:rsidR="00930E09" w:rsidRPr="00BD646C" w:rsidRDefault="00E453CD" w:rsidP="001F79B0">
            <w:pPr>
              <w:rPr>
                <w:b/>
                <w:bCs/>
                <w:sz w:val="22"/>
                <w:szCs w:val="22"/>
                <w:lang w:val="lv-LV"/>
              </w:rPr>
            </w:pPr>
            <w:r w:rsidRPr="00BD646C">
              <w:rPr>
                <w:b/>
                <w:bCs/>
                <w:sz w:val="22"/>
                <w:szCs w:val="22"/>
                <w:lang w:val="lv-LV"/>
              </w:rPr>
              <w:t>Latvija</w:t>
            </w:r>
          </w:p>
          <w:p w14:paraId="2C001390" w14:textId="77777777" w:rsidR="00930E09" w:rsidRPr="00BD646C" w:rsidRDefault="00E453CD" w:rsidP="001F79B0">
            <w:pPr>
              <w:rPr>
                <w:bCs/>
                <w:sz w:val="22"/>
                <w:szCs w:val="22"/>
                <w:lang w:val="lv-LV"/>
              </w:rPr>
            </w:pPr>
            <w:r w:rsidRPr="00BD646C">
              <w:rPr>
                <w:bCs/>
                <w:sz w:val="22"/>
                <w:szCs w:val="22"/>
                <w:lang w:val="lv-LV"/>
              </w:rPr>
              <w:t xml:space="preserve">AbbVie SIA </w:t>
            </w:r>
          </w:p>
          <w:p w14:paraId="19FB512F" w14:textId="77777777" w:rsidR="00930E09" w:rsidRPr="00BD646C" w:rsidRDefault="00E453CD" w:rsidP="001F79B0">
            <w:pPr>
              <w:rPr>
                <w:bCs/>
                <w:sz w:val="22"/>
                <w:szCs w:val="22"/>
                <w:lang w:val="lv-LV"/>
              </w:rPr>
            </w:pPr>
            <w:r w:rsidRPr="00BD646C">
              <w:rPr>
                <w:bCs/>
                <w:sz w:val="22"/>
                <w:szCs w:val="22"/>
                <w:lang w:val="lv-LV"/>
              </w:rPr>
              <w:t>Tel: +371 67605000</w:t>
            </w:r>
          </w:p>
        </w:tc>
        <w:tc>
          <w:tcPr>
            <w:tcW w:w="4678" w:type="dxa"/>
          </w:tcPr>
          <w:p w14:paraId="06F4C29E" w14:textId="3D5C669D" w:rsidR="00930E09" w:rsidRPr="00BD646C" w:rsidRDefault="00930E09" w:rsidP="001F79B0">
            <w:pPr>
              <w:rPr>
                <w:b/>
                <w:bCs/>
                <w:sz w:val="22"/>
                <w:szCs w:val="22"/>
                <w:lang w:val="sk-SK"/>
              </w:rPr>
            </w:pPr>
          </w:p>
        </w:tc>
      </w:tr>
    </w:tbl>
    <w:p w14:paraId="47E89412" w14:textId="77777777" w:rsidR="009E676E" w:rsidRPr="009C5EFD" w:rsidRDefault="009E676E" w:rsidP="009E676E">
      <w:pPr>
        <w:rPr>
          <w:lang w:val="en-US"/>
        </w:rPr>
      </w:pPr>
    </w:p>
    <w:p w14:paraId="408540F1" w14:textId="77777777" w:rsidR="009E676E" w:rsidRPr="00392F01" w:rsidRDefault="00E453CD" w:rsidP="009E676E">
      <w:pPr>
        <w:rPr>
          <w:b/>
          <w:sz w:val="22"/>
          <w:szCs w:val="22"/>
        </w:rPr>
      </w:pPr>
      <w:r w:rsidRPr="00392F01">
        <w:rPr>
          <w:b/>
          <w:sz w:val="22"/>
          <w:szCs w:val="22"/>
        </w:rPr>
        <w:t>Dette pakningsvedlegget ble sist oppdatert</w:t>
      </w:r>
    </w:p>
    <w:p w14:paraId="5319458D" w14:textId="77777777" w:rsidR="009E676E" w:rsidRPr="00392F01" w:rsidRDefault="009E676E" w:rsidP="009E676E">
      <w:pPr>
        <w:rPr>
          <w:b/>
          <w:sz w:val="22"/>
          <w:szCs w:val="22"/>
        </w:rPr>
      </w:pPr>
    </w:p>
    <w:p w14:paraId="0B8E1090" w14:textId="2BAE7587" w:rsidR="009E676E" w:rsidRPr="00392F01" w:rsidRDefault="00E453CD" w:rsidP="009E676E">
      <w:pPr>
        <w:rPr>
          <w:sz w:val="22"/>
        </w:rPr>
      </w:pPr>
      <w:r w:rsidRPr="00392F01">
        <w:rPr>
          <w:sz w:val="22"/>
        </w:rPr>
        <w:t>Detaljert informasjon om dette legemidlet er tilgjengelig på nettstedet til Det europeiske legemiddelkontoret (</w:t>
      </w:r>
      <w:r w:rsidR="001D434C">
        <w:rPr>
          <w:sz w:val="22"/>
        </w:rPr>
        <w:t>t</w:t>
      </w:r>
      <w:r w:rsidRPr="00392F01">
        <w:rPr>
          <w:sz w:val="22"/>
        </w:rPr>
        <w:t xml:space="preserve">he European Medicines Agency): </w:t>
      </w:r>
      <w:ins w:id="17679" w:author="AbbVie02no" w:date="2025-05-15T14:32:00Z">
        <w:r w:rsidR="00600FCB">
          <w:rPr>
            <w:sz w:val="22"/>
          </w:rPr>
          <w:fldChar w:fldCharType="begin"/>
        </w:r>
        <w:r w:rsidR="00600FCB">
          <w:rPr>
            <w:sz w:val="22"/>
          </w:rPr>
          <w:instrText>HYPERLINK "</w:instrText>
        </w:r>
      </w:ins>
      <w:r w:rsidR="00600FCB" w:rsidRPr="00600FCB">
        <w:rPr>
          <w:rStyle w:val="Hyperlink"/>
          <w:sz w:val="22"/>
        </w:rPr>
        <w:instrText>http</w:instrText>
      </w:r>
      <w:ins w:id="17680" w:author="AbbVie02no" w:date="2025-05-15T14:32:00Z">
        <w:r w:rsidR="00600FCB" w:rsidRPr="00600FCB">
          <w:rPr>
            <w:rStyle w:val="Hyperlink"/>
            <w:sz w:val="22"/>
          </w:rPr>
          <w:instrText>s</w:instrText>
        </w:r>
      </w:ins>
      <w:r w:rsidR="00600FCB" w:rsidRPr="00600FCB">
        <w:rPr>
          <w:rStyle w:val="Hyperlink"/>
          <w:sz w:val="22"/>
        </w:rPr>
        <w:instrText>://www.ema.europa.eu</w:instrText>
      </w:r>
      <w:ins w:id="17681" w:author="AbbVie02no" w:date="2025-05-15T14:32:00Z">
        <w:r w:rsidR="00600FCB">
          <w:rPr>
            <w:sz w:val="22"/>
          </w:rPr>
          <w:instrText>"</w:instrText>
        </w:r>
        <w:r w:rsidR="00600FCB">
          <w:rPr>
            <w:sz w:val="22"/>
          </w:rPr>
        </w:r>
        <w:r w:rsidR="00600FCB">
          <w:rPr>
            <w:sz w:val="22"/>
          </w:rPr>
          <w:fldChar w:fldCharType="separate"/>
        </w:r>
      </w:ins>
      <w:r w:rsidR="00600FCB" w:rsidRPr="00600FCB">
        <w:rPr>
          <w:rStyle w:val="Hyperlink"/>
          <w:sz w:val="22"/>
        </w:rPr>
        <w:t>http</w:t>
      </w:r>
      <w:ins w:id="17682" w:author="AbbVie02no" w:date="2025-05-15T14:32:00Z">
        <w:r w:rsidR="00600FCB" w:rsidRPr="00600FCB">
          <w:rPr>
            <w:rStyle w:val="Hyperlink"/>
            <w:sz w:val="22"/>
          </w:rPr>
          <w:t>s</w:t>
        </w:r>
      </w:ins>
      <w:r w:rsidR="00600FCB" w:rsidRPr="00600FCB">
        <w:rPr>
          <w:rStyle w:val="Hyperlink"/>
          <w:sz w:val="22"/>
        </w:rPr>
        <w:t>://www.ema.europa.eu</w:t>
      </w:r>
      <w:ins w:id="17683" w:author="AbbVie02no" w:date="2025-05-15T14:32:00Z">
        <w:r w:rsidR="00600FCB">
          <w:rPr>
            <w:sz w:val="22"/>
          </w:rPr>
          <w:fldChar w:fldCharType="end"/>
        </w:r>
      </w:ins>
      <w:r w:rsidRPr="00392F01">
        <w:rPr>
          <w:sz w:val="22"/>
        </w:rPr>
        <w:t>.</w:t>
      </w:r>
    </w:p>
    <w:p w14:paraId="641E0BB9" w14:textId="77777777" w:rsidR="00B646AE" w:rsidRPr="00392F01" w:rsidRDefault="00B646AE" w:rsidP="009E676E">
      <w:pPr>
        <w:rPr>
          <w:sz w:val="22"/>
        </w:rPr>
      </w:pPr>
    </w:p>
    <w:p w14:paraId="6FB4A6E0" w14:textId="77777777" w:rsidR="00B646AE" w:rsidRPr="006936CB" w:rsidRDefault="00E453CD" w:rsidP="009E676E">
      <w:pPr>
        <w:rPr>
          <w:b/>
          <w:sz w:val="22"/>
        </w:rPr>
      </w:pPr>
      <w:r w:rsidRPr="006936CB">
        <w:rPr>
          <w:b/>
          <w:sz w:val="22"/>
        </w:rPr>
        <w:t xml:space="preserve">For å lytte til eller be om en kopi av dette pakningsvedlegget </w:t>
      </w:r>
      <w:r w:rsidR="00B0241B" w:rsidRPr="00776A84">
        <w:rPr>
          <w:b/>
          <w:sz w:val="22"/>
          <w:highlight w:val="lightGray"/>
        </w:rPr>
        <w:t>i &lt;blindeskrift&gt;, &lt;større skrift&gt; eller &lt;lydfil&gt;</w:t>
      </w:r>
      <w:r w:rsidRPr="006936CB">
        <w:rPr>
          <w:b/>
          <w:sz w:val="22"/>
        </w:rPr>
        <w:t xml:space="preserve"> kan du kontakte den lokale representant for innehaveren av markedsføringstillatelsen.</w:t>
      </w:r>
    </w:p>
    <w:p w14:paraId="0072C415" w14:textId="77777777" w:rsidR="009E676E" w:rsidRPr="00392F01" w:rsidRDefault="009E676E" w:rsidP="009E676E">
      <w:pPr>
        <w:rPr>
          <w:sz w:val="22"/>
        </w:rPr>
      </w:pPr>
    </w:p>
    <w:p w14:paraId="4DD911E6" w14:textId="77777777" w:rsidR="009E676E" w:rsidRPr="00392F01" w:rsidRDefault="009E676E" w:rsidP="009E676E">
      <w:pPr>
        <w:rPr>
          <w:sz w:val="22"/>
        </w:rPr>
      </w:pPr>
    </w:p>
    <w:p w14:paraId="1B908E35" w14:textId="77777777" w:rsidR="009E676E" w:rsidRDefault="00E453CD" w:rsidP="00602A37">
      <w:pPr>
        <w:keepNext/>
        <w:ind w:left="562" w:hanging="562"/>
        <w:rPr>
          <w:sz w:val="22"/>
          <w:szCs w:val="22"/>
          <w:lang w:val="en-GB"/>
        </w:rPr>
      </w:pPr>
      <w:r w:rsidRPr="00887835">
        <w:rPr>
          <w:b/>
          <w:sz w:val="22"/>
          <w:szCs w:val="22"/>
          <w:lang w:val="en-GB"/>
        </w:rPr>
        <w:lastRenderedPageBreak/>
        <w:t>7.</w:t>
      </w:r>
      <w:r w:rsidRPr="00887835">
        <w:rPr>
          <w:b/>
          <w:sz w:val="22"/>
          <w:szCs w:val="22"/>
          <w:lang w:val="en-GB"/>
        </w:rPr>
        <w:tab/>
      </w:r>
      <w:r w:rsidR="00713E33" w:rsidRPr="00713E33">
        <w:rPr>
          <w:b/>
          <w:sz w:val="22"/>
          <w:szCs w:val="22"/>
          <w:lang w:val="en-GB"/>
        </w:rPr>
        <w:t>Hvordan du injiserer Humira</w:t>
      </w:r>
    </w:p>
    <w:p w14:paraId="13AC4A8B" w14:textId="77777777" w:rsidR="009E676E" w:rsidRPr="009C5EFD" w:rsidRDefault="009E676E" w:rsidP="009E676E">
      <w:pPr>
        <w:keepNext/>
        <w:rPr>
          <w:sz w:val="22"/>
          <w:szCs w:val="22"/>
        </w:rPr>
      </w:pPr>
    </w:p>
    <w:p w14:paraId="53B46E51" w14:textId="77777777" w:rsidR="009E676E" w:rsidRDefault="00E453CD" w:rsidP="00776A84">
      <w:pPr>
        <w:pStyle w:val="ListParagraph"/>
        <w:numPr>
          <w:ilvl w:val="0"/>
          <w:numId w:val="15"/>
        </w:numPr>
        <w:rPr>
          <w:sz w:val="22"/>
          <w:szCs w:val="22"/>
        </w:rPr>
      </w:pPr>
      <w:r w:rsidRPr="009C5EFD">
        <w:rPr>
          <w:sz w:val="22"/>
          <w:szCs w:val="22"/>
        </w:rPr>
        <w:t xml:space="preserve">Følgende instruksjoner forklarer hvordan du skal sette Humira </w:t>
      </w:r>
      <w:r w:rsidR="00CF71EC">
        <w:rPr>
          <w:sz w:val="22"/>
          <w:szCs w:val="22"/>
        </w:rPr>
        <w:t>subkutant</w:t>
      </w:r>
      <w:r w:rsidR="00082248">
        <w:rPr>
          <w:sz w:val="22"/>
          <w:szCs w:val="22"/>
        </w:rPr>
        <w:t xml:space="preserve"> (under huden)</w:t>
      </w:r>
      <w:r w:rsidR="00CF71EC">
        <w:rPr>
          <w:sz w:val="22"/>
          <w:szCs w:val="22"/>
        </w:rPr>
        <w:t xml:space="preserve"> </w:t>
      </w:r>
      <w:r w:rsidRPr="009C5EFD">
        <w:rPr>
          <w:sz w:val="22"/>
          <w:szCs w:val="22"/>
        </w:rPr>
        <w:t xml:space="preserve">på deg selv ved bruk av den ferdigfylte </w:t>
      </w:r>
      <w:r w:rsidR="00CF71EC">
        <w:rPr>
          <w:sz w:val="22"/>
          <w:szCs w:val="22"/>
        </w:rPr>
        <w:t>sprøyten</w:t>
      </w:r>
      <w:r w:rsidRPr="009C5EFD">
        <w:rPr>
          <w:sz w:val="22"/>
          <w:szCs w:val="22"/>
        </w:rPr>
        <w:t xml:space="preserve">. </w:t>
      </w:r>
      <w:r w:rsidRPr="00887835">
        <w:rPr>
          <w:sz w:val="22"/>
          <w:szCs w:val="22"/>
        </w:rPr>
        <w:t xml:space="preserve">Les </w:t>
      </w:r>
      <w:r>
        <w:rPr>
          <w:sz w:val="22"/>
          <w:szCs w:val="22"/>
        </w:rPr>
        <w:t xml:space="preserve">først </w:t>
      </w:r>
      <w:r w:rsidRPr="00887835">
        <w:rPr>
          <w:sz w:val="22"/>
          <w:szCs w:val="22"/>
        </w:rPr>
        <w:t>instruksjonene nøye og følg dem</w:t>
      </w:r>
      <w:r>
        <w:rPr>
          <w:sz w:val="22"/>
          <w:szCs w:val="22"/>
        </w:rPr>
        <w:t xml:space="preserve"> deretter</w:t>
      </w:r>
      <w:r w:rsidRPr="00887835">
        <w:rPr>
          <w:sz w:val="22"/>
          <w:szCs w:val="22"/>
        </w:rPr>
        <w:t xml:space="preserve"> steg for steg.</w:t>
      </w:r>
    </w:p>
    <w:p w14:paraId="4BF8FFA1" w14:textId="77777777" w:rsidR="009E676E" w:rsidRDefault="009E676E" w:rsidP="00776A84">
      <w:pPr>
        <w:pStyle w:val="ListParagraph"/>
        <w:ind w:left="0"/>
        <w:rPr>
          <w:sz w:val="22"/>
          <w:szCs w:val="22"/>
        </w:rPr>
      </w:pPr>
    </w:p>
    <w:p w14:paraId="2A73940A" w14:textId="77777777" w:rsidR="009E676E" w:rsidRPr="00887835" w:rsidRDefault="00E453CD" w:rsidP="009E676E">
      <w:pPr>
        <w:pStyle w:val="ListParagraph"/>
        <w:numPr>
          <w:ilvl w:val="0"/>
          <w:numId w:val="15"/>
        </w:numPr>
        <w:rPr>
          <w:sz w:val="22"/>
          <w:szCs w:val="22"/>
        </w:rPr>
      </w:pPr>
      <w:r w:rsidRPr="00887835">
        <w:rPr>
          <w:sz w:val="22"/>
          <w:szCs w:val="22"/>
        </w:rPr>
        <w:t>Legen</w:t>
      </w:r>
      <w:r w:rsidRPr="00475A28">
        <w:rPr>
          <w:sz w:val="22"/>
          <w:szCs w:val="22"/>
        </w:rPr>
        <w:t xml:space="preserve"> din, sykepleier</w:t>
      </w:r>
      <w:r w:rsidRPr="00887835">
        <w:rPr>
          <w:sz w:val="22"/>
          <w:szCs w:val="22"/>
        </w:rPr>
        <w:t xml:space="preserve"> eller </w:t>
      </w:r>
      <w:r w:rsidRPr="00475A28">
        <w:rPr>
          <w:sz w:val="22"/>
          <w:szCs w:val="22"/>
        </w:rPr>
        <w:t>farmasøyt</w:t>
      </w:r>
      <w:r w:rsidRPr="00887835">
        <w:rPr>
          <w:sz w:val="22"/>
          <w:szCs w:val="22"/>
        </w:rPr>
        <w:t xml:space="preserve"> </w:t>
      </w:r>
      <w:r>
        <w:rPr>
          <w:sz w:val="22"/>
          <w:szCs w:val="22"/>
        </w:rPr>
        <w:t xml:space="preserve">på apotek </w:t>
      </w:r>
      <w:r w:rsidRPr="00887835">
        <w:rPr>
          <w:sz w:val="22"/>
          <w:szCs w:val="22"/>
        </w:rPr>
        <w:t xml:space="preserve">vil forklare deg hvordan du skal </w:t>
      </w:r>
      <w:r>
        <w:rPr>
          <w:sz w:val="22"/>
          <w:szCs w:val="22"/>
        </w:rPr>
        <w:t>injisere</w:t>
      </w:r>
      <w:r w:rsidRPr="00887835">
        <w:rPr>
          <w:sz w:val="22"/>
          <w:szCs w:val="22"/>
        </w:rPr>
        <w:t xml:space="preserve"> på deg selv.</w:t>
      </w:r>
    </w:p>
    <w:p w14:paraId="2F03013A" w14:textId="77777777" w:rsidR="009E676E" w:rsidRPr="0061743D" w:rsidRDefault="009E676E" w:rsidP="009E676E">
      <w:pPr>
        <w:rPr>
          <w:sz w:val="22"/>
        </w:rPr>
      </w:pPr>
    </w:p>
    <w:p w14:paraId="2152CD63" w14:textId="77777777" w:rsidR="009E676E" w:rsidRDefault="00E453CD" w:rsidP="009E676E">
      <w:pPr>
        <w:pStyle w:val="ListParagraph"/>
        <w:numPr>
          <w:ilvl w:val="0"/>
          <w:numId w:val="15"/>
        </w:numPr>
        <w:rPr>
          <w:sz w:val="22"/>
          <w:szCs w:val="22"/>
        </w:rPr>
      </w:pPr>
      <w:r w:rsidRPr="00CB538B">
        <w:rPr>
          <w:sz w:val="22"/>
        </w:rPr>
        <w:t xml:space="preserve">Ikke </w:t>
      </w:r>
      <w:r w:rsidRPr="00887835">
        <w:rPr>
          <w:sz w:val="22"/>
          <w:szCs w:val="22"/>
        </w:rPr>
        <w:t xml:space="preserve">forsøk å </w:t>
      </w:r>
      <w:r>
        <w:rPr>
          <w:sz w:val="22"/>
          <w:szCs w:val="22"/>
        </w:rPr>
        <w:t>injisere</w:t>
      </w:r>
      <w:r w:rsidRPr="00887835">
        <w:rPr>
          <w:sz w:val="22"/>
          <w:szCs w:val="22"/>
        </w:rPr>
        <w:t xml:space="preserve"> på deg selv før du er sikker på at du forstår hvordan </w:t>
      </w:r>
      <w:r>
        <w:rPr>
          <w:sz w:val="22"/>
          <w:szCs w:val="22"/>
        </w:rPr>
        <w:t>du</w:t>
      </w:r>
      <w:r w:rsidRPr="00887835">
        <w:rPr>
          <w:sz w:val="22"/>
          <w:szCs w:val="22"/>
        </w:rPr>
        <w:t xml:space="preserve"> skal </w:t>
      </w:r>
      <w:r>
        <w:rPr>
          <w:sz w:val="22"/>
          <w:szCs w:val="22"/>
        </w:rPr>
        <w:t>forberede</w:t>
      </w:r>
      <w:r w:rsidRPr="00475A28">
        <w:rPr>
          <w:sz w:val="22"/>
          <w:szCs w:val="22"/>
        </w:rPr>
        <w:t xml:space="preserve"> og sette</w:t>
      </w:r>
      <w:r>
        <w:rPr>
          <w:sz w:val="22"/>
          <w:szCs w:val="22"/>
        </w:rPr>
        <w:t xml:space="preserve"> injeksjonen</w:t>
      </w:r>
      <w:r w:rsidRPr="00887835">
        <w:rPr>
          <w:sz w:val="22"/>
          <w:szCs w:val="22"/>
        </w:rPr>
        <w:t>.</w:t>
      </w:r>
    </w:p>
    <w:p w14:paraId="009E151A" w14:textId="77777777" w:rsidR="009E676E" w:rsidRDefault="009E676E" w:rsidP="009E676E">
      <w:pPr>
        <w:pStyle w:val="ListParagraph"/>
        <w:rPr>
          <w:sz w:val="22"/>
          <w:szCs w:val="22"/>
        </w:rPr>
      </w:pPr>
    </w:p>
    <w:p w14:paraId="4B9C3A85" w14:textId="77777777" w:rsidR="009E676E" w:rsidRDefault="00E453CD" w:rsidP="009E676E">
      <w:pPr>
        <w:pStyle w:val="ListParagraph"/>
        <w:numPr>
          <w:ilvl w:val="0"/>
          <w:numId w:val="15"/>
        </w:numPr>
        <w:rPr>
          <w:sz w:val="22"/>
          <w:szCs w:val="22"/>
        </w:rPr>
      </w:pPr>
      <w:r w:rsidRPr="00887835">
        <w:rPr>
          <w:sz w:val="22"/>
          <w:szCs w:val="22"/>
        </w:rPr>
        <w:t xml:space="preserve">Etter nødvendig opplæring kan du sette injeksjonen selv, eller en annen person, </w:t>
      </w:r>
      <w:r>
        <w:rPr>
          <w:sz w:val="22"/>
          <w:szCs w:val="22"/>
        </w:rPr>
        <w:t>f.eks.</w:t>
      </w:r>
      <w:r w:rsidRPr="00475A28">
        <w:rPr>
          <w:sz w:val="22"/>
          <w:szCs w:val="22"/>
        </w:rPr>
        <w:t xml:space="preserve"> et familiemedlem eller en venn</w:t>
      </w:r>
      <w:r w:rsidRPr="00887835">
        <w:rPr>
          <w:sz w:val="22"/>
          <w:szCs w:val="22"/>
        </w:rPr>
        <w:t xml:space="preserve"> kan sette den.</w:t>
      </w:r>
    </w:p>
    <w:p w14:paraId="437DE35F" w14:textId="77777777" w:rsidR="009E676E" w:rsidRPr="0061743D" w:rsidRDefault="009E676E" w:rsidP="009E676E">
      <w:pPr>
        <w:pStyle w:val="ListParagraph"/>
        <w:rPr>
          <w:sz w:val="22"/>
        </w:rPr>
      </w:pPr>
    </w:p>
    <w:p w14:paraId="4F889DC2" w14:textId="77777777" w:rsidR="009E676E" w:rsidRDefault="00E453CD" w:rsidP="009E676E">
      <w:pPr>
        <w:pStyle w:val="ListParagraph"/>
        <w:numPr>
          <w:ilvl w:val="0"/>
          <w:numId w:val="15"/>
        </w:numPr>
        <w:rPr>
          <w:sz w:val="22"/>
          <w:szCs w:val="22"/>
        </w:rPr>
      </w:pPr>
      <w:r w:rsidRPr="009C5EFD">
        <w:rPr>
          <w:sz w:val="22"/>
          <w:szCs w:val="22"/>
        </w:rPr>
        <w:t xml:space="preserve">Bruk </w:t>
      </w:r>
      <w:r>
        <w:rPr>
          <w:sz w:val="22"/>
          <w:szCs w:val="22"/>
        </w:rPr>
        <w:t xml:space="preserve">kun hver ferdigfylt </w:t>
      </w:r>
      <w:r w:rsidR="00CF71EC">
        <w:rPr>
          <w:sz w:val="22"/>
          <w:szCs w:val="22"/>
        </w:rPr>
        <w:t>sprøyte</w:t>
      </w:r>
      <w:r>
        <w:rPr>
          <w:sz w:val="22"/>
          <w:szCs w:val="22"/>
        </w:rPr>
        <w:t xml:space="preserve"> til én injeksjon.</w:t>
      </w:r>
    </w:p>
    <w:p w14:paraId="47190B0B" w14:textId="77777777" w:rsidR="009E676E" w:rsidRPr="00887835" w:rsidRDefault="009E676E" w:rsidP="009E676E">
      <w:pPr>
        <w:pStyle w:val="ListParagraph"/>
        <w:rPr>
          <w:sz w:val="22"/>
          <w:szCs w:val="22"/>
        </w:rPr>
      </w:pPr>
    </w:p>
    <w:p w14:paraId="26C99098" w14:textId="77777777" w:rsidR="009E676E" w:rsidRPr="001F48C5" w:rsidRDefault="00E453CD" w:rsidP="009E676E">
      <w:pPr>
        <w:pStyle w:val="EMEANormal"/>
        <w:keepNext/>
        <w:rPr>
          <w:lang w:val="nb-NO"/>
        </w:rPr>
      </w:pPr>
      <w:r w:rsidRPr="00887835">
        <w:rPr>
          <w:b/>
          <w:lang w:val="nb-NO"/>
        </w:rPr>
        <w:t xml:space="preserve">Humira ferdigfylt </w:t>
      </w:r>
      <w:r w:rsidR="00CF71EC">
        <w:rPr>
          <w:b/>
          <w:lang w:val="nb-NO"/>
        </w:rPr>
        <w:t>sprøyte</w:t>
      </w:r>
    </w:p>
    <w:p w14:paraId="1DBCEAC4" w14:textId="77777777" w:rsidR="009E676E" w:rsidRPr="001F48C5" w:rsidRDefault="009E676E" w:rsidP="009E676E">
      <w:pPr>
        <w:pStyle w:val="EMEANormal"/>
        <w:keepNext/>
        <w:rPr>
          <w:lang w:val="nb-NO"/>
        </w:rPr>
      </w:pPr>
    </w:p>
    <w:p w14:paraId="738728FB" w14:textId="77777777" w:rsidR="00021A92" w:rsidRPr="001F48C5" w:rsidRDefault="00E453CD" w:rsidP="00021A92">
      <w:pPr>
        <w:keepNext/>
        <w:tabs>
          <w:tab w:val="left" w:pos="562"/>
        </w:tabs>
        <w:suppressAutoHyphens/>
        <w:rPr>
          <w:sz w:val="22"/>
        </w:rPr>
      </w:pPr>
      <w:r w:rsidRPr="00A15CB1">
        <w:rPr>
          <w:b/>
          <w:sz w:val="22"/>
        </w:rPr>
        <w:tab/>
      </w:r>
      <w:r w:rsidRPr="00A15CB1">
        <w:rPr>
          <w:b/>
          <w:sz w:val="22"/>
        </w:rPr>
        <w:tab/>
      </w:r>
      <w:r w:rsidR="00DA46F2">
        <w:rPr>
          <w:b/>
          <w:sz w:val="22"/>
        </w:rPr>
        <w:tab/>
      </w:r>
      <w:r w:rsidR="00F439C1" w:rsidRPr="00A15CB1">
        <w:rPr>
          <w:b/>
          <w:sz w:val="22"/>
        </w:rPr>
        <w:t>Sprøytestempel</w:t>
      </w:r>
      <w:r w:rsidRPr="00A15CB1">
        <w:rPr>
          <w:b/>
          <w:sz w:val="22"/>
        </w:rPr>
        <w:tab/>
      </w:r>
      <w:r w:rsidR="0059709B">
        <w:rPr>
          <w:b/>
          <w:sz w:val="22"/>
        </w:rPr>
        <w:t xml:space="preserve">      </w:t>
      </w:r>
      <w:r w:rsidR="00F439C1" w:rsidRPr="00A15CB1">
        <w:rPr>
          <w:b/>
          <w:sz w:val="22"/>
        </w:rPr>
        <w:t>Fingergrep</w:t>
      </w:r>
      <w:r w:rsidR="00DA46F2">
        <w:rPr>
          <w:b/>
          <w:sz w:val="22"/>
        </w:rPr>
        <w:tab/>
        <w:t xml:space="preserve">   </w:t>
      </w:r>
      <w:r w:rsidR="0059709B">
        <w:rPr>
          <w:b/>
          <w:sz w:val="22"/>
        </w:rPr>
        <w:t xml:space="preserve">   </w:t>
      </w:r>
      <w:r w:rsidR="00DA46F2">
        <w:rPr>
          <w:b/>
          <w:sz w:val="22"/>
        </w:rPr>
        <w:t xml:space="preserve">       </w:t>
      </w:r>
      <w:r w:rsidRPr="00A15CB1">
        <w:rPr>
          <w:b/>
          <w:sz w:val="22"/>
        </w:rPr>
        <w:t xml:space="preserve"> </w:t>
      </w:r>
      <w:r w:rsidR="00F439C1" w:rsidRPr="00A15CB1">
        <w:rPr>
          <w:b/>
          <w:sz w:val="22"/>
        </w:rPr>
        <w:t>Kanyle</w:t>
      </w:r>
      <w:r w:rsidR="001F0200">
        <w:rPr>
          <w:b/>
          <w:sz w:val="22"/>
        </w:rPr>
        <w:t>hette</w:t>
      </w:r>
    </w:p>
    <w:p w14:paraId="233C25D6" w14:textId="77777777" w:rsidR="00DA46F2" w:rsidRPr="00AF70AD" w:rsidRDefault="00E453CD" w:rsidP="00021A92">
      <w:pPr>
        <w:keepNext/>
        <w:tabs>
          <w:tab w:val="left" w:pos="562"/>
        </w:tabs>
        <w:suppressAutoHyphens/>
        <w:jc w:val="center"/>
        <w:rPr>
          <w:sz w:val="22"/>
        </w:rPr>
      </w:pPr>
      <w:r>
        <w:rPr>
          <w:noProof/>
          <w:lang w:val="en-GB" w:eastAsia="en-GB"/>
        </w:rPr>
        <w:drawing>
          <wp:inline distT="0" distB="0" distL="0" distR="0" wp14:anchorId="64F2A03B" wp14:editId="4AF9D9BD">
            <wp:extent cx="3364992" cy="1478124"/>
            <wp:effectExtent l="0" t="0" r="6985" b="825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Humira_Exploded_Syringe_Only_new grey.jpg"/>
                    <pic:cNvPicPr/>
                  </pic:nvPicPr>
                  <pic:blipFill>
                    <a:blip r:embed="rId28">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558457EF" w14:textId="77777777" w:rsidR="009E676E" w:rsidRPr="00126088" w:rsidRDefault="009E676E" w:rsidP="009E676E">
      <w:pPr>
        <w:rPr>
          <w:sz w:val="22"/>
        </w:rPr>
      </w:pPr>
    </w:p>
    <w:p w14:paraId="512E59D1" w14:textId="77777777" w:rsidR="009E676E" w:rsidRPr="001F48C5" w:rsidRDefault="00E453CD" w:rsidP="009E676E">
      <w:pPr>
        <w:pStyle w:val="EMEAHeadingLeaflet"/>
        <w:keepNext/>
        <w:spacing w:beforeLines="0" w:before="0" w:afterLines="0" w:after="0"/>
        <w:rPr>
          <w:rFonts w:ascii="Times New Roman" w:hAnsi="Times New Roman"/>
          <w:b w:val="0"/>
          <w:lang w:val="nb-NO"/>
        </w:rPr>
      </w:pPr>
      <w:r w:rsidRPr="004B74D3">
        <w:rPr>
          <w:rFonts w:ascii="Times New Roman" w:hAnsi="Times New Roman"/>
          <w:lang w:val="nb-NO"/>
        </w:rPr>
        <w:t xml:space="preserve">Ikke </w:t>
      </w:r>
      <w:r w:rsidRPr="00887835">
        <w:rPr>
          <w:rFonts w:ascii="Times New Roman" w:hAnsi="Times New Roman"/>
          <w:lang w:val="nb-NO"/>
        </w:rPr>
        <w:t xml:space="preserve">bruk den ferdigfylte </w:t>
      </w:r>
      <w:r w:rsidR="00021A92">
        <w:rPr>
          <w:rFonts w:ascii="Times New Roman" w:hAnsi="Times New Roman"/>
          <w:lang w:val="nb-NO"/>
        </w:rPr>
        <w:t>sprøyten</w:t>
      </w:r>
      <w:r w:rsidRPr="00887835">
        <w:rPr>
          <w:rFonts w:ascii="Times New Roman" w:hAnsi="Times New Roman"/>
          <w:lang w:val="nb-NO"/>
        </w:rPr>
        <w:t xml:space="preserve"> og ring legen din eller </w:t>
      </w:r>
      <w:r>
        <w:rPr>
          <w:rFonts w:ascii="Times New Roman" w:hAnsi="Times New Roman"/>
          <w:lang w:val="nb-NO"/>
        </w:rPr>
        <w:t>apotek</w:t>
      </w:r>
      <w:r w:rsidRPr="00887835">
        <w:rPr>
          <w:rFonts w:ascii="Times New Roman" w:hAnsi="Times New Roman"/>
          <w:lang w:val="nb-NO"/>
        </w:rPr>
        <w:t xml:space="preserve"> dersom</w:t>
      </w:r>
    </w:p>
    <w:p w14:paraId="7A3899A3" w14:textId="77777777" w:rsidR="009E676E" w:rsidRPr="001F48C5" w:rsidRDefault="009E676E" w:rsidP="00B07EA9">
      <w:pPr>
        <w:pStyle w:val="EMEANormal"/>
        <w:keepNext/>
        <w:rPr>
          <w:lang w:val="nb-NO"/>
        </w:rPr>
      </w:pPr>
    </w:p>
    <w:p w14:paraId="686B05F0" w14:textId="77777777" w:rsidR="009E676E" w:rsidRPr="00887835"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sidRPr="00475A28">
        <w:rPr>
          <w:rFonts w:ascii="Times New Roman" w:hAnsi="Times New Roman"/>
          <w:b w:val="0"/>
          <w:lang w:val="nb-NO"/>
        </w:rPr>
        <w:t xml:space="preserve">oppløsningen er </w:t>
      </w:r>
      <w:r w:rsidRPr="00887835">
        <w:rPr>
          <w:rFonts w:ascii="Times New Roman" w:hAnsi="Times New Roman"/>
          <w:b w:val="0"/>
          <w:lang w:val="nb-NO"/>
        </w:rPr>
        <w:t>uklar, misfarget eller har flak eller parti</w:t>
      </w:r>
      <w:r>
        <w:rPr>
          <w:rFonts w:ascii="Times New Roman" w:hAnsi="Times New Roman"/>
          <w:b w:val="0"/>
          <w:lang w:val="nb-NO"/>
        </w:rPr>
        <w:t>k</w:t>
      </w:r>
      <w:r w:rsidRPr="00887835">
        <w:rPr>
          <w:rFonts w:ascii="Times New Roman" w:hAnsi="Times New Roman"/>
          <w:b w:val="0"/>
          <w:lang w:val="nb-NO"/>
        </w:rPr>
        <w:t>le</w:t>
      </w:r>
      <w:r>
        <w:rPr>
          <w:rFonts w:ascii="Times New Roman" w:hAnsi="Times New Roman"/>
          <w:b w:val="0"/>
          <w:lang w:val="nb-NO"/>
        </w:rPr>
        <w:t>r</w:t>
      </w:r>
      <w:r w:rsidRPr="00887835">
        <w:rPr>
          <w:rFonts w:ascii="Times New Roman" w:hAnsi="Times New Roman"/>
          <w:b w:val="0"/>
          <w:lang w:val="nb-NO"/>
        </w:rPr>
        <w:t xml:space="preserve"> i </w:t>
      </w:r>
      <w:r>
        <w:rPr>
          <w:rFonts w:ascii="Times New Roman" w:hAnsi="Times New Roman"/>
          <w:b w:val="0"/>
          <w:lang w:val="nb-NO"/>
        </w:rPr>
        <w:t>seg</w:t>
      </w:r>
    </w:p>
    <w:p w14:paraId="6CCFAE9D" w14:textId="77777777" w:rsidR="009E676E" w:rsidRPr="009B050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en-GB"/>
        </w:rPr>
      </w:pPr>
      <w:r>
        <w:rPr>
          <w:rFonts w:ascii="Times New Roman" w:hAnsi="Times New Roman"/>
          <w:b w:val="0"/>
          <w:lang w:val="en-GB"/>
        </w:rPr>
        <w:t xml:space="preserve">utløpsdato (EXP) </w:t>
      </w:r>
      <w:r w:rsidRPr="009B0508">
        <w:rPr>
          <w:rFonts w:ascii="Times New Roman" w:hAnsi="Times New Roman"/>
          <w:b w:val="0"/>
          <w:lang w:val="en-GB"/>
        </w:rPr>
        <w:t>ha</w:t>
      </w:r>
      <w:r>
        <w:rPr>
          <w:rFonts w:ascii="Times New Roman" w:hAnsi="Times New Roman"/>
          <w:b w:val="0"/>
          <w:lang w:val="en-GB"/>
        </w:rPr>
        <w:t>r passert</w:t>
      </w:r>
    </w:p>
    <w:p w14:paraId="766AA27C" w14:textId="77777777" w:rsidR="009E676E"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sidRPr="00887835">
        <w:rPr>
          <w:rFonts w:ascii="Times New Roman" w:hAnsi="Times New Roman"/>
          <w:b w:val="0"/>
          <w:lang w:val="nb-NO"/>
        </w:rPr>
        <w:t>oppløsningen har vært fro</w:t>
      </w:r>
      <w:r>
        <w:rPr>
          <w:rFonts w:ascii="Times New Roman" w:hAnsi="Times New Roman"/>
          <w:b w:val="0"/>
          <w:lang w:val="nb-NO"/>
        </w:rPr>
        <w:t>sset</w:t>
      </w:r>
      <w:r w:rsidRPr="00887835">
        <w:rPr>
          <w:rFonts w:ascii="Times New Roman" w:hAnsi="Times New Roman"/>
          <w:b w:val="0"/>
          <w:lang w:val="nb-NO"/>
        </w:rPr>
        <w:t xml:space="preserve"> eller har vært oppbevart i direkte sollys</w:t>
      </w:r>
    </w:p>
    <w:p w14:paraId="73E86D26" w14:textId="77777777" w:rsidR="009E676E"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Pr>
          <w:rFonts w:ascii="Times New Roman" w:hAnsi="Times New Roman"/>
          <w:b w:val="0"/>
          <w:lang w:val="nb-NO"/>
        </w:rPr>
        <w:t xml:space="preserve">den ferdigfylte </w:t>
      </w:r>
      <w:r w:rsidR="00021A92">
        <w:rPr>
          <w:rFonts w:ascii="Times New Roman" w:hAnsi="Times New Roman"/>
          <w:b w:val="0"/>
          <w:lang w:val="nb-NO"/>
        </w:rPr>
        <w:t>sprøyten</w:t>
      </w:r>
      <w:r>
        <w:rPr>
          <w:rFonts w:ascii="Times New Roman" w:hAnsi="Times New Roman"/>
          <w:b w:val="0"/>
          <w:lang w:val="nb-NO"/>
        </w:rPr>
        <w:t xml:space="preserve"> har falt på</w:t>
      </w:r>
      <w:r w:rsidRPr="00887835">
        <w:rPr>
          <w:rFonts w:ascii="Times New Roman" w:hAnsi="Times New Roman"/>
          <w:b w:val="0"/>
          <w:lang w:val="nb-NO"/>
        </w:rPr>
        <w:t xml:space="preserve"> gulvet eller </w:t>
      </w:r>
      <w:r>
        <w:rPr>
          <w:rFonts w:ascii="Times New Roman" w:hAnsi="Times New Roman"/>
          <w:b w:val="0"/>
          <w:lang w:val="nb-NO"/>
        </w:rPr>
        <w:t xml:space="preserve">har </w:t>
      </w:r>
      <w:r w:rsidRPr="00887835">
        <w:rPr>
          <w:rFonts w:ascii="Times New Roman" w:hAnsi="Times New Roman"/>
          <w:b w:val="0"/>
          <w:lang w:val="nb-NO"/>
        </w:rPr>
        <w:t>knust</w:t>
      </w:r>
    </w:p>
    <w:p w14:paraId="36B03F9E" w14:textId="77777777" w:rsidR="009E676E" w:rsidRDefault="009E676E" w:rsidP="009E676E">
      <w:pPr>
        <w:pStyle w:val="EMEANormal"/>
        <w:rPr>
          <w:szCs w:val="22"/>
          <w:lang w:val="nb-NO"/>
        </w:rPr>
      </w:pPr>
    </w:p>
    <w:p w14:paraId="22857122" w14:textId="77777777" w:rsidR="009E676E" w:rsidRPr="001F48C5" w:rsidRDefault="00E453CD" w:rsidP="009E676E">
      <w:pPr>
        <w:pStyle w:val="EMEANormal"/>
        <w:rPr>
          <w:lang w:val="nb-NO"/>
        </w:rPr>
      </w:pPr>
      <w:r w:rsidRPr="004B74D3">
        <w:rPr>
          <w:b/>
          <w:lang w:val="nb-NO"/>
        </w:rPr>
        <w:t>Ikke</w:t>
      </w:r>
      <w:r w:rsidRPr="00887835">
        <w:rPr>
          <w:b/>
          <w:lang w:val="nb-NO"/>
        </w:rPr>
        <w:t xml:space="preserve"> fjern </w:t>
      </w:r>
      <w:r w:rsidR="00103D14">
        <w:rPr>
          <w:b/>
          <w:lang w:val="nb-NO"/>
        </w:rPr>
        <w:t>kanyle</w:t>
      </w:r>
      <w:r w:rsidR="001F0200">
        <w:rPr>
          <w:b/>
          <w:lang w:val="nb-NO"/>
        </w:rPr>
        <w:t>hetten</w:t>
      </w:r>
      <w:r w:rsidRPr="00887835">
        <w:rPr>
          <w:b/>
          <w:lang w:val="nb-NO"/>
        </w:rPr>
        <w:t xml:space="preserve"> f</w:t>
      </w:r>
      <w:r w:rsidRPr="00887835">
        <w:rPr>
          <w:rFonts w:hint="eastAsia"/>
          <w:b/>
          <w:lang w:val="nb-NO"/>
        </w:rPr>
        <w:t>ø</w:t>
      </w:r>
      <w:r w:rsidRPr="00887835">
        <w:rPr>
          <w:b/>
          <w:lang w:val="nb-NO"/>
        </w:rPr>
        <w:t>r rett f</w:t>
      </w:r>
      <w:r w:rsidRPr="00887835">
        <w:rPr>
          <w:rFonts w:hint="eastAsia"/>
          <w:b/>
          <w:lang w:val="nb-NO"/>
        </w:rPr>
        <w:t>ø</w:t>
      </w:r>
      <w:r w:rsidRPr="00887835">
        <w:rPr>
          <w:b/>
          <w:lang w:val="nb-NO"/>
        </w:rPr>
        <w:t xml:space="preserve">r du skal sette en injeksjon. </w:t>
      </w:r>
      <w:r w:rsidRPr="0061743D">
        <w:rPr>
          <w:b/>
          <w:lang w:val="nb-NO"/>
        </w:rPr>
        <w:t>Oppbevares utilgjengelig for barn.</w:t>
      </w:r>
    </w:p>
    <w:p w14:paraId="7451EBEE" w14:textId="77777777" w:rsidR="009E676E" w:rsidRPr="001F48C5" w:rsidRDefault="009E676E" w:rsidP="009E676E">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4644D4" w14:paraId="3222FFF5" w14:textId="77777777" w:rsidTr="00FD5FF1">
        <w:tc>
          <w:tcPr>
            <w:tcW w:w="9287" w:type="dxa"/>
            <w:gridSpan w:val="2"/>
            <w:tcBorders>
              <w:bottom w:val="single" w:sz="4" w:space="0" w:color="auto"/>
            </w:tcBorders>
          </w:tcPr>
          <w:p w14:paraId="05D50DB7" w14:textId="77777777" w:rsidR="009E676E" w:rsidRPr="001F48C5" w:rsidRDefault="00E453CD" w:rsidP="00051DA6">
            <w:pPr>
              <w:pStyle w:val="EMEAHeadingLeaflet"/>
              <w:spacing w:beforeLines="0" w:before="0" w:afterLines="0" w:after="0"/>
              <w:rPr>
                <w:rFonts w:ascii="Times New Roman" w:hAnsi="Times New Roman"/>
                <w:b w:val="0"/>
                <w:lang w:val="nb-NO"/>
              </w:rPr>
            </w:pPr>
            <w:r w:rsidRPr="00887835">
              <w:rPr>
                <w:rFonts w:ascii="Times New Roman" w:hAnsi="Times New Roman"/>
                <w:lang w:val="nb-NO"/>
              </w:rPr>
              <w:t>STEG 1</w:t>
            </w:r>
          </w:p>
          <w:p w14:paraId="597BC985" w14:textId="77777777" w:rsidR="009E676E" w:rsidRPr="00887835" w:rsidRDefault="009E676E" w:rsidP="00051DA6">
            <w:pPr>
              <w:pStyle w:val="EMEANormal"/>
              <w:rPr>
                <w:lang w:val="nb-NO"/>
              </w:rPr>
            </w:pPr>
          </w:p>
          <w:p w14:paraId="7CEEDB50" w14:textId="77777777" w:rsidR="009E676E" w:rsidRPr="00887835" w:rsidRDefault="00E453CD" w:rsidP="00051DA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Ta Humira ut av kjøleskapet.</w:t>
            </w:r>
          </w:p>
          <w:p w14:paraId="726090C2" w14:textId="77777777" w:rsidR="009E676E" w:rsidRPr="00887835" w:rsidRDefault="009E676E" w:rsidP="00051DA6">
            <w:pPr>
              <w:pStyle w:val="EMEANormal"/>
              <w:rPr>
                <w:lang w:val="nb-NO"/>
              </w:rPr>
            </w:pPr>
          </w:p>
          <w:p w14:paraId="7D9E56B0" w14:textId="77777777" w:rsidR="009E676E" w:rsidRPr="00887835" w:rsidRDefault="00E453CD" w:rsidP="00051DA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La Humira ligge ved romtemperatur </w:t>
            </w:r>
            <w:r>
              <w:rPr>
                <w:rFonts w:ascii="Times New Roman" w:hAnsi="Times New Roman"/>
                <w:b w:val="0"/>
                <w:lang w:val="nb-NO"/>
              </w:rPr>
              <w:t>i</w:t>
            </w:r>
            <w:r w:rsidRPr="00887835">
              <w:rPr>
                <w:rFonts w:ascii="Times New Roman" w:hAnsi="Times New Roman"/>
                <w:b w:val="0"/>
                <w:lang w:val="nb-NO"/>
              </w:rPr>
              <w:t xml:space="preserve"> </w:t>
            </w:r>
            <w:r>
              <w:rPr>
                <w:rFonts w:ascii="Times New Roman" w:hAnsi="Times New Roman"/>
                <w:lang w:val="nb-NO"/>
              </w:rPr>
              <w:t>15 til 30 minutter</w:t>
            </w:r>
            <w:r w:rsidRPr="00887835">
              <w:rPr>
                <w:rFonts w:ascii="Times New Roman" w:hAnsi="Times New Roman"/>
                <w:lang w:val="nb-NO"/>
              </w:rPr>
              <w:t xml:space="preserve"> </w:t>
            </w:r>
            <w:r>
              <w:rPr>
                <w:rFonts w:ascii="Times New Roman" w:hAnsi="Times New Roman"/>
                <w:b w:val="0"/>
                <w:lang w:val="nb-NO"/>
              </w:rPr>
              <w:t>før du setter injeksjonen</w:t>
            </w:r>
            <w:r w:rsidRPr="00887835">
              <w:rPr>
                <w:rFonts w:ascii="Times New Roman" w:hAnsi="Times New Roman"/>
                <w:b w:val="0"/>
                <w:lang w:val="nb-NO"/>
              </w:rPr>
              <w:t>.</w:t>
            </w:r>
          </w:p>
          <w:p w14:paraId="3E7093A6" w14:textId="77777777" w:rsidR="009E676E" w:rsidRPr="00887835" w:rsidRDefault="009E676E" w:rsidP="00051DA6">
            <w:pPr>
              <w:pStyle w:val="EMEANormal"/>
              <w:rPr>
                <w:lang w:val="nb-NO"/>
              </w:rPr>
            </w:pPr>
          </w:p>
          <w:p w14:paraId="7FDD2EED" w14:textId="77777777" w:rsidR="009E676E" w:rsidRPr="00887835" w:rsidRDefault="00E453CD" w:rsidP="00051DA6">
            <w:pPr>
              <w:pStyle w:val="EMEAHeadingLeaflet"/>
              <w:numPr>
                <w:ilvl w:val="0"/>
                <w:numId w:val="114"/>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 xml:space="preserve">Ikke </w:t>
            </w:r>
            <w:r w:rsidRPr="00887835">
              <w:rPr>
                <w:rFonts w:ascii="Times New Roman" w:hAnsi="Times New Roman"/>
                <w:b w:val="0"/>
                <w:lang w:val="nb-NO"/>
              </w:rPr>
              <w:t xml:space="preserve">fjern </w:t>
            </w:r>
            <w:r w:rsidR="00103D14" w:rsidRPr="00103D14">
              <w:rPr>
                <w:rFonts w:ascii="Times New Roman" w:hAnsi="Times New Roman"/>
                <w:b w:val="0"/>
                <w:lang w:val="nb-NO"/>
              </w:rPr>
              <w:t>kanyle</w:t>
            </w:r>
            <w:r w:rsidR="001F0200">
              <w:rPr>
                <w:rFonts w:ascii="Times New Roman" w:hAnsi="Times New Roman"/>
                <w:b w:val="0"/>
                <w:lang w:val="nb-NO"/>
              </w:rPr>
              <w:t>hetten</w:t>
            </w:r>
            <w:r w:rsidRPr="00887835">
              <w:rPr>
                <w:rFonts w:ascii="Times New Roman" w:hAnsi="Times New Roman"/>
                <w:b w:val="0"/>
                <w:lang w:val="nb-NO"/>
              </w:rPr>
              <w:t xml:space="preserve"> mens du tillater Humira </w:t>
            </w:r>
            <w:r>
              <w:rPr>
                <w:rFonts w:ascii="Times New Roman" w:hAnsi="Times New Roman"/>
                <w:b w:val="0"/>
                <w:lang w:val="nb-NO"/>
              </w:rPr>
              <w:t xml:space="preserve">å oppnå </w:t>
            </w:r>
            <w:r w:rsidRPr="00887835">
              <w:rPr>
                <w:rFonts w:ascii="Times New Roman" w:hAnsi="Times New Roman"/>
                <w:b w:val="0"/>
                <w:lang w:val="nb-NO"/>
              </w:rPr>
              <w:t>romtemperatur</w:t>
            </w:r>
          </w:p>
          <w:p w14:paraId="635E4251" w14:textId="77777777" w:rsidR="009E676E" w:rsidRPr="00887835" w:rsidRDefault="00E453CD" w:rsidP="00051DA6">
            <w:pPr>
              <w:pStyle w:val="EMEANormal"/>
              <w:numPr>
                <w:ilvl w:val="0"/>
                <w:numId w:val="114"/>
              </w:numPr>
              <w:tabs>
                <w:tab w:val="clear" w:pos="562"/>
                <w:tab w:val="left" w:pos="720"/>
              </w:tabs>
              <w:rPr>
                <w:lang w:val="nb-NO"/>
              </w:rPr>
            </w:pPr>
            <w:r w:rsidRPr="00887835">
              <w:rPr>
                <w:b/>
                <w:lang w:val="nb-NO"/>
              </w:rPr>
              <w:t xml:space="preserve">Ikke </w:t>
            </w:r>
            <w:r w:rsidRPr="00887835">
              <w:rPr>
                <w:lang w:val="nb-NO"/>
              </w:rPr>
              <w:t xml:space="preserve">varm opp Humira på noen annen måte. </w:t>
            </w:r>
            <w:r>
              <w:rPr>
                <w:lang w:val="nb-NO"/>
              </w:rPr>
              <w:t>F.eks.</w:t>
            </w:r>
            <w:r w:rsidRPr="00887835">
              <w:rPr>
                <w:lang w:val="nb-NO"/>
              </w:rPr>
              <w:t xml:space="preserve"> </w:t>
            </w:r>
            <w:r w:rsidRPr="00887835">
              <w:rPr>
                <w:b/>
                <w:lang w:val="nb-NO"/>
              </w:rPr>
              <w:t>ikke</w:t>
            </w:r>
            <w:r w:rsidRPr="00887835">
              <w:rPr>
                <w:lang w:val="nb-NO"/>
              </w:rPr>
              <w:t xml:space="preserve"> varm den opp i en mikrobølgeovn </w:t>
            </w:r>
            <w:r>
              <w:rPr>
                <w:lang w:val="nb-NO"/>
              </w:rPr>
              <w:t>eller i varmt vann</w:t>
            </w:r>
          </w:p>
        </w:tc>
      </w:tr>
      <w:tr w:rsidR="004644D4" w14:paraId="274C9964" w14:textId="77777777" w:rsidTr="00FD5FF1">
        <w:tc>
          <w:tcPr>
            <w:tcW w:w="3708" w:type="dxa"/>
            <w:tcBorders>
              <w:right w:val="nil"/>
            </w:tcBorders>
          </w:tcPr>
          <w:p w14:paraId="03C22E61" w14:textId="77777777" w:rsidR="009E676E" w:rsidRPr="001F48C5" w:rsidRDefault="00E453CD" w:rsidP="00051DA6">
            <w:pPr>
              <w:pStyle w:val="EMEANormal"/>
              <w:rPr>
                <w:noProof/>
              </w:rPr>
            </w:pPr>
            <w:r w:rsidRPr="00452439">
              <w:rPr>
                <w:lang w:val="nb-NO"/>
              </w:rPr>
              <w:br w:type="page"/>
            </w:r>
            <w:r>
              <w:rPr>
                <w:b/>
                <w:noProof/>
              </w:rPr>
              <w:t>STEG</w:t>
            </w:r>
            <w:r w:rsidR="001F48C5">
              <w:rPr>
                <w:b/>
                <w:noProof/>
              </w:rPr>
              <w:t xml:space="preserve"> 2</w:t>
            </w:r>
          </w:p>
          <w:p w14:paraId="4B79E095" w14:textId="77777777" w:rsidR="009E676E" w:rsidRPr="001F48C5" w:rsidRDefault="009E676E" w:rsidP="00051DA6">
            <w:pPr>
              <w:pStyle w:val="EMEANormal"/>
              <w:rPr>
                <w:noProof/>
              </w:rPr>
            </w:pPr>
          </w:p>
          <w:p w14:paraId="1DA98774" w14:textId="77777777" w:rsidR="009E676E" w:rsidRPr="00EA39A4" w:rsidRDefault="00E453CD" w:rsidP="00051DA6">
            <w:pPr>
              <w:pStyle w:val="EMEANormal"/>
              <w:rPr>
                <w:b/>
                <w:noProof/>
              </w:rPr>
            </w:pPr>
            <w:r>
              <w:rPr>
                <w:noProof/>
              </w:rPr>
              <w:t xml:space="preserve">               </w:t>
            </w:r>
            <w:r w:rsidR="00103D14">
              <w:rPr>
                <w:b/>
                <w:noProof/>
              </w:rPr>
              <w:t>Sprøyte</w:t>
            </w:r>
          </w:p>
          <w:p w14:paraId="0BBE2005" w14:textId="77777777" w:rsidR="009E676E" w:rsidRDefault="009E676E" w:rsidP="00051DA6">
            <w:pPr>
              <w:pStyle w:val="EMEANormal"/>
              <w:rPr>
                <w:noProof/>
              </w:rPr>
            </w:pPr>
          </w:p>
          <w:p w14:paraId="17DF201C" w14:textId="77777777" w:rsidR="009E2F39" w:rsidRDefault="00E453CD" w:rsidP="00051DA6">
            <w:pPr>
              <w:pStyle w:val="EMEANormal"/>
              <w:rPr>
                <w:noProof/>
              </w:rPr>
            </w:pPr>
            <w:r>
              <w:rPr>
                <w:noProof/>
                <w:lang w:val="en-GB" w:eastAsia="en-GB"/>
              </w:rPr>
              <w:lastRenderedPageBreak/>
              <w:drawing>
                <wp:inline distT="0" distB="0" distL="0" distR="0" wp14:anchorId="6E230D7C" wp14:editId="51C9487B">
                  <wp:extent cx="2217420" cy="2052320"/>
                  <wp:effectExtent l="0" t="0" r="0" b="508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TEP_2_SYRINGE_IFU_SETUP_new grey.jpg"/>
                          <pic:cNvPicPr/>
                        </pic:nvPicPr>
                        <pic:blipFill>
                          <a:blip r:embed="rId29">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65DF7FCD" w14:textId="77777777" w:rsidR="009E676E" w:rsidRPr="00EA39A4" w:rsidRDefault="00E453CD" w:rsidP="00051DA6">
            <w:pPr>
              <w:pStyle w:val="EMEANormal"/>
              <w:rPr>
                <w:b/>
                <w:lang w:val="en-GB"/>
              </w:rPr>
            </w:pPr>
            <w:r w:rsidRPr="00EA39A4">
              <w:rPr>
                <w:b/>
                <w:noProof/>
              </w:rPr>
              <w:t xml:space="preserve">                </w:t>
            </w:r>
            <w:r>
              <w:rPr>
                <w:b/>
                <w:noProof/>
              </w:rPr>
              <w:t>Injeksjonstørk</w:t>
            </w:r>
          </w:p>
        </w:tc>
        <w:tc>
          <w:tcPr>
            <w:tcW w:w="5579" w:type="dxa"/>
            <w:tcBorders>
              <w:left w:val="nil"/>
            </w:tcBorders>
          </w:tcPr>
          <w:p w14:paraId="4A36CD10" w14:textId="77777777" w:rsidR="009E676E" w:rsidRPr="00887835" w:rsidRDefault="00E453CD" w:rsidP="00051DA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lastRenderedPageBreak/>
              <w:t xml:space="preserve">Sjekk utløpsdatoen (EXP). </w:t>
            </w:r>
            <w:r w:rsidRPr="00887835">
              <w:rPr>
                <w:rFonts w:ascii="Times New Roman" w:hAnsi="Times New Roman"/>
                <w:lang w:val="nb-NO"/>
              </w:rPr>
              <w:t>Ikke</w:t>
            </w:r>
            <w:r w:rsidRPr="00887835">
              <w:rPr>
                <w:rFonts w:ascii="Times New Roman" w:hAnsi="Times New Roman"/>
                <w:b w:val="0"/>
                <w:lang w:val="nb-NO"/>
              </w:rPr>
              <w:t xml:space="preserve"> bruk den ferdigfylte </w:t>
            </w:r>
            <w:r w:rsidR="00103D14">
              <w:rPr>
                <w:rFonts w:ascii="Times New Roman" w:hAnsi="Times New Roman"/>
                <w:b w:val="0"/>
                <w:lang w:val="nb-NO"/>
              </w:rPr>
              <w:t>sprøyten</w:t>
            </w:r>
            <w:r w:rsidRPr="00887835">
              <w:rPr>
                <w:rFonts w:ascii="Times New Roman" w:hAnsi="Times New Roman"/>
                <w:b w:val="0"/>
                <w:lang w:val="nb-NO"/>
              </w:rPr>
              <w:t xml:space="preserve"> dersom utløpsdatoen (EXP) </w:t>
            </w:r>
            <w:r>
              <w:rPr>
                <w:rFonts w:ascii="Times New Roman" w:hAnsi="Times New Roman"/>
                <w:b w:val="0"/>
                <w:lang w:val="nb-NO"/>
              </w:rPr>
              <w:t>har</w:t>
            </w:r>
            <w:r w:rsidRPr="00887835">
              <w:rPr>
                <w:rFonts w:ascii="Times New Roman" w:hAnsi="Times New Roman"/>
                <w:b w:val="0"/>
                <w:lang w:val="nb-NO"/>
              </w:rPr>
              <w:t xml:space="preserve"> passe</w:t>
            </w:r>
            <w:r>
              <w:rPr>
                <w:rFonts w:ascii="Times New Roman" w:hAnsi="Times New Roman"/>
                <w:b w:val="0"/>
                <w:lang w:val="nb-NO"/>
              </w:rPr>
              <w:t>rt</w:t>
            </w:r>
            <w:r w:rsidRPr="00887835">
              <w:rPr>
                <w:rFonts w:ascii="Times New Roman" w:hAnsi="Times New Roman"/>
                <w:b w:val="0"/>
                <w:lang w:val="nb-NO"/>
              </w:rPr>
              <w:t>.</w:t>
            </w:r>
          </w:p>
          <w:p w14:paraId="3365C6BD" w14:textId="77777777" w:rsidR="009E676E" w:rsidRPr="00887835" w:rsidRDefault="009E676E" w:rsidP="00051DA6">
            <w:pPr>
              <w:pStyle w:val="EMEANormal"/>
              <w:rPr>
                <w:lang w:val="nb-NO"/>
              </w:rPr>
            </w:pPr>
          </w:p>
          <w:p w14:paraId="62861806" w14:textId="77777777" w:rsidR="009E676E" w:rsidRPr="00887835" w:rsidRDefault="00E453CD" w:rsidP="00051DA6">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Legg følgende </w:t>
            </w:r>
            <w:r>
              <w:rPr>
                <w:rFonts w:ascii="Times New Roman" w:hAnsi="Times New Roman"/>
                <w:b w:val="0"/>
                <w:lang w:val="nb-NO"/>
              </w:rPr>
              <w:t xml:space="preserve">deler </w:t>
            </w:r>
            <w:r w:rsidRPr="00887835">
              <w:rPr>
                <w:rFonts w:ascii="Times New Roman" w:hAnsi="Times New Roman"/>
                <w:b w:val="0"/>
                <w:lang w:val="nb-NO"/>
              </w:rPr>
              <w:t xml:space="preserve">på en ren, flat </w:t>
            </w:r>
            <w:r>
              <w:rPr>
                <w:rFonts w:ascii="Times New Roman" w:hAnsi="Times New Roman"/>
                <w:b w:val="0"/>
                <w:lang w:val="nb-NO"/>
              </w:rPr>
              <w:t>overflate</w:t>
            </w:r>
          </w:p>
          <w:p w14:paraId="4D549670" w14:textId="77777777" w:rsidR="009E676E" w:rsidRPr="00887835" w:rsidRDefault="009E676E" w:rsidP="00051DA6">
            <w:pPr>
              <w:pStyle w:val="EMEANormal"/>
              <w:rPr>
                <w:lang w:val="nb-NO"/>
              </w:rPr>
            </w:pPr>
          </w:p>
          <w:p w14:paraId="411C34FB" w14:textId="77777777" w:rsidR="009E676E" w:rsidRPr="00A15CB1" w:rsidRDefault="00E453CD" w:rsidP="00051DA6">
            <w:pPr>
              <w:pStyle w:val="EMEAHeadingLeaflet"/>
              <w:numPr>
                <w:ilvl w:val="0"/>
                <w:numId w:val="115"/>
              </w:numPr>
              <w:tabs>
                <w:tab w:val="clear" w:pos="562"/>
                <w:tab w:val="left" w:pos="757"/>
              </w:tabs>
              <w:spacing w:beforeLines="0" w:before="0" w:afterLines="0" w:after="0"/>
              <w:ind w:left="757"/>
              <w:rPr>
                <w:rFonts w:ascii="Times New Roman" w:hAnsi="Times New Roman"/>
                <w:b w:val="0"/>
                <w:lang w:val="nb-NO"/>
              </w:rPr>
            </w:pPr>
            <w:r w:rsidRPr="00A15CB1">
              <w:rPr>
                <w:rFonts w:ascii="Times New Roman" w:hAnsi="Times New Roman"/>
                <w:b w:val="0"/>
                <w:lang w:val="nb-NO"/>
              </w:rPr>
              <w:t xml:space="preserve">1 ferdigfylt </w:t>
            </w:r>
            <w:r w:rsidR="00103D14" w:rsidRPr="00A15CB1">
              <w:rPr>
                <w:rFonts w:ascii="Times New Roman" w:hAnsi="Times New Roman"/>
                <w:b w:val="0"/>
                <w:lang w:val="nb-NO"/>
              </w:rPr>
              <w:t>sprøyte</w:t>
            </w:r>
            <w:r w:rsidRPr="00A15CB1">
              <w:rPr>
                <w:rFonts w:ascii="Times New Roman" w:hAnsi="Times New Roman"/>
                <w:b w:val="0"/>
                <w:lang w:val="nb-NO"/>
              </w:rPr>
              <w:t xml:space="preserve"> for engangsbruk og </w:t>
            </w:r>
          </w:p>
          <w:p w14:paraId="72296968" w14:textId="77777777" w:rsidR="009E676E" w:rsidRPr="005D17EB" w:rsidRDefault="00E453CD" w:rsidP="00051DA6">
            <w:pPr>
              <w:pStyle w:val="EMEAHeadingLeaflet"/>
              <w:numPr>
                <w:ilvl w:val="0"/>
                <w:numId w:val="115"/>
              </w:numPr>
              <w:tabs>
                <w:tab w:val="clear" w:pos="562"/>
                <w:tab w:val="left" w:pos="757"/>
              </w:tabs>
              <w:spacing w:beforeLines="0" w:before="0" w:afterLines="0" w:after="0"/>
              <w:ind w:left="757"/>
              <w:rPr>
                <w:rFonts w:ascii="Times New Roman" w:hAnsi="Times New Roman"/>
                <w:b w:val="0"/>
                <w:lang w:val="en-GB"/>
              </w:rPr>
            </w:pPr>
            <w:r w:rsidRPr="005D17EB">
              <w:rPr>
                <w:rFonts w:ascii="Times New Roman" w:hAnsi="Times New Roman"/>
                <w:b w:val="0"/>
                <w:lang w:val="en-GB"/>
              </w:rPr>
              <w:t xml:space="preserve">1 </w:t>
            </w:r>
            <w:r>
              <w:rPr>
                <w:rFonts w:ascii="Times New Roman" w:hAnsi="Times New Roman"/>
                <w:b w:val="0"/>
                <w:lang w:val="en-GB"/>
              </w:rPr>
              <w:t>injeksjonstørk</w:t>
            </w:r>
          </w:p>
          <w:p w14:paraId="39BDAE06" w14:textId="77777777" w:rsidR="009E676E" w:rsidRDefault="009E676E" w:rsidP="00051DA6">
            <w:pPr>
              <w:pStyle w:val="EMEANormal"/>
              <w:rPr>
                <w:lang w:val="en-GB"/>
              </w:rPr>
            </w:pPr>
          </w:p>
          <w:p w14:paraId="3CC9DDBE" w14:textId="77777777" w:rsidR="009E676E" w:rsidRPr="00887835" w:rsidRDefault="00E453CD" w:rsidP="00051DA6">
            <w:pPr>
              <w:pStyle w:val="EMEANormal"/>
              <w:rPr>
                <w:lang w:val="nb-NO"/>
              </w:rPr>
            </w:pPr>
            <w:r w:rsidRPr="00887835">
              <w:rPr>
                <w:lang w:val="nb-NO"/>
              </w:rPr>
              <w:lastRenderedPageBreak/>
              <w:t>Vask og tørk hendene dine.</w:t>
            </w:r>
          </w:p>
        </w:tc>
      </w:tr>
      <w:tr w:rsidR="004644D4" w14:paraId="05F3D137" w14:textId="77777777" w:rsidTr="00FD5FF1">
        <w:tc>
          <w:tcPr>
            <w:tcW w:w="3708" w:type="dxa"/>
            <w:tcBorders>
              <w:right w:val="nil"/>
            </w:tcBorders>
          </w:tcPr>
          <w:p w14:paraId="40A5633A" w14:textId="77777777" w:rsidR="009E676E" w:rsidRPr="001F48C5" w:rsidRDefault="00E453CD" w:rsidP="00FD5FF1">
            <w:pPr>
              <w:pStyle w:val="EMEANormal"/>
              <w:keepNext/>
              <w:rPr>
                <w:noProof/>
              </w:rPr>
            </w:pPr>
            <w:r>
              <w:rPr>
                <w:b/>
                <w:noProof/>
              </w:rPr>
              <w:lastRenderedPageBreak/>
              <w:t>STEG 3</w:t>
            </w:r>
          </w:p>
          <w:p w14:paraId="23DC7001" w14:textId="77777777" w:rsidR="009E676E" w:rsidRPr="001F48C5" w:rsidRDefault="009E676E" w:rsidP="00FD5FF1">
            <w:pPr>
              <w:pStyle w:val="EMEANormal"/>
              <w:keepNext/>
              <w:rPr>
                <w:noProof/>
              </w:rPr>
            </w:pPr>
          </w:p>
          <w:p w14:paraId="5AC19839" w14:textId="77777777" w:rsidR="009E676E" w:rsidRPr="00EA39A4" w:rsidRDefault="00E453CD" w:rsidP="00FD5FF1">
            <w:pPr>
              <w:pStyle w:val="EMEANormal"/>
              <w:keepNext/>
              <w:rPr>
                <w:b/>
                <w:noProof/>
              </w:rPr>
            </w:pPr>
            <w:r>
              <w:rPr>
                <w:b/>
                <w:noProof/>
              </w:rPr>
              <w:t>Injeksjonsområder</w:t>
            </w:r>
          </w:p>
          <w:p w14:paraId="4FF9B5F2" w14:textId="77777777" w:rsidR="009E676E" w:rsidRDefault="00E453CD" w:rsidP="00FD5FF1">
            <w:pPr>
              <w:pStyle w:val="EMEANormal"/>
              <w:keepNext/>
              <w:rPr>
                <w:noProof/>
              </w:rPr>
            </w:pPr>
            <w:r>
              <w:rPr>
                <w:noProof/>
                <w:lang w:val="en-GB" w:eastAsia="en-GB"/>
              </w:rPr>
              <w:drawing>
                <wp:inline distT="0" distB="0" distL="0" distR="0" wp14:anchorId="31EE6908" wp14:editId="22402349">
                  <wp:extent cx="2276475" cy="2381250"/>
                  <wp:effectExtent l="0" t="0" r="9525" b="0"/>
                  <wp:docPr id="93" name="Picture 93"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 descr="STEP3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39C5ECB1" w14:textId="77777777" w:rsidR="009E676E" w:rsidRPr="00EA39A4" w:rsidRDefault="00E453CD" w:rsidP="00FD5FF1">
            <w:pPr>
              <w:pStyle w:val="EMEANormal"/>
              <w:keepNext/>
              <w:rPr>
                <w:b/>
                <w:lang w:val="en-GB"/>
              </w:rPr>
            </w:pPr>
            <w:r>
              <w:rPr>
                <w:noProof/>
              </w:rPr>
              <w:t xml:space="preserve">     </w:t>
            </w:r>
            <w:r w:rsidRPr="00EA39A4">
              <w:rPr>
                <w:b/>
                <w:noProof/>
              </w:rPr>
              <w:t>I</w:t>
            </w:r>
            <w:r>
              <w:rPr>
                <w:b/>
                <w:noProof/>
              </w:rPr>
              <w:t>njeksjonsområder</w:t>
            </w:r>
          </w:p>
        </w:tc>
        <w:tc>
          <w:tcPr>
            <w:tcW w:w="5579" w:type="dxa"/>
            <w:tcBorders>
              <w:left w:val="nil"/>
            </w:tcBorders>
          </w:tcPr>
          <w:p w14:paraId="79160BBA" w14:textId="77777777" w:rsidR="009E676E" w:rsidRDefault="00E453CD" w:rsidP="00FD5FF1">
            <w:pPr>
              <w:pStyle w:val="EMEAHeadingLeaflet"/>
              <w:keepNext/>
              <w:spacing w:beforeLines="0" w:before="0" w:afterLines="0" w:after="0"/>
              <w:rPr>
                <w:rFonts w:ascii="Times New Roman" w:hAnsi="Times New Roman"/>
                <w:b w:val="0"/>
                <w:lang w:val="en-GB"/>
              </w:rPr>
            </w:pPr>
            <w:r>
              <w:rPr>
                <w:rFonts w:ascii="Times New Roman" w:hAnsi="Times New Roman"/>
                <w:b w:val="0"/>
                <w:lang w:val="en-GB"/>
              </w:rPr>
              <w:t>Velg et injeksjonssted:</w:t>
            </w:r>
          </w:p>
          <w:p w14:paraId="5DCCDF12" w14:textId="77777777" w:rsidR="009E676E" w:rsidRPr="00E027BB" w:rsidRDefault="009E676E" w:rsidP="00FD5FF1">
            <w:pPr>
              <w:pStyle w:val="EMEANormal"/>
              <w:keepNext/>
              <w:rPr>
                <w:lang w:val="en-GB"/>
              </w:rPr>
            </w:pPr>
          </w:p>
          <w:p w14:paraId="1796A329" w14:textId="77777777" w:rsidR="009E676E" w:rsidRPr="00887835" w:rsidRDefault="00E453CD" w:rsidP="00FD5FF1">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På framsiden av lårene dine eller</w:t>
            </w:r>
          </w:p>
          <w:p w14:paraId="08FE2BC6" w14:textId="77777777" w:rsidR="009E676E" w:rsidRPr="00887835" w:rsidRDefault="00E453CD" w:rsidP="00FD5FF1">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Magen din, minst 5 cm fra navlen din</w:t>
            </w:r>
          </w:p>
          <w:p w14:paraId="19E1F02C" w14:textId="77777777" w:rsidR="009E676E" w:rsidRPr="00887835" w:rsidRDefault="00E453CD" w:rsidP="00FD5FF1">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Minst 3 cm fra ditt forrige injeksjonssted</w:t>
            </w:r>
          </w:p>
          <w:p w14:paraId="0BC78607" w14:textId="77777777" w:rsidR="009E676E" w:rsidRPr="00887835" w:rsidRDefault="009E676E" w:rsidP="00FD5FF1">
            <w:pPr>
              <w:pStyle w:val="EMEANormal"/>
              <w:keepNext/>
              <w:rPr>
                <w:lang w:val="nb-NO"/>
              </w:rPr>
            </w:pPr>
          </w:p>
          <w:p w14:paraId="006D7D4F" w14:textId="77777777" w:rsidR="009E676E" w:rsidRPr="00887835" w:rsidRDefault="00E453CD" w:rsidP="00FD5FF1">
            <w:pPr>
              <w:pStyle w:val="EMEAHeadingLeaflet"/>
              <w:keepNext/>
              <w:spacing w:beforeLines="0" w:before="0" w:afterLines="0" w:after="0"/>
              <w:rPr>
                <w:rFonts w:ascii="Times New Roman" w:hAnsi="Times New Roman"/>
                <w:b w:val="0"/>
                <w:lang w:val="nb-NO"/>
              </w:rPr>
            </w:pPr>
            <w:r w:rsidRPr="00A726B6">
              <w:rPr>
                <w:rFonts w:ascii="Times New Roman" w:hAnsi="Times New Roman"/>
                <w:b w:val="0"/>
                <w:lang w:val="nb-NO"/>
              </w:rPr>
              <w:t>Bruk det vedlagte injeksjonstørket og tørk injeksjonsstedet med ringbevegelser</w:t>
            </w:r>
            <w:r w:rsidRPr="00887835">
              <w:rPr>
                <w:rFonts w:ascii="Times New Roman" w:hAnsi="Times New Roman"/>
                <w:b w:val="0"/>
                <w:lang w:val="nb-NO"/>
              </w:rPr>
              <w:t>.</w:t>
            </w:r>
          </w:p>
          <w:p w14:paraId="036CED1C" w14:textId="77777777" w:rsidR="009E676E" w:rsidRPr="00887835" w:rsidRDefault="009E676E" w:rsidP="00FD5FF1">
            <w:pPr>
              <w:pStyle w:val="EMEANormal"/>
              <w:keepNext/>
              <w:rPr>
                <w:lang w:val="nb-NO"/>
              </w:rPr>
            </w:pPr>
          </w:p>
          <w:p w14:paraId="04D10180" w14:textId="77777777" w:rsidR="009E676E" w:rsidRPr="00887835" w:rsidRDefault="00E453CD" w:rsidP="00FD5FF1">
            <w:pPr>
              <w:pStyle w:val="EMEAHeadingLeaflet"/>
              <w:keepNext/>
              <w:numPr>
                <w:ilvl w:val="0"/>
                <w:numId w:val="117"/>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sett en injeksjon gjennom klær</w:t>
            </w:r>
          </w:p>
          <w:p w14:paraId="61333E8F" w14:textId="77777777" w:rsidR="009E676E" w:rsidRPr="00887835" w:rsidRDefault="00E453CD" w:rsidP="00AB7697">
            <w:pPr>
              <w:pStyle w:val="EMEANormal"/>
              <w:keepNext/>
              <w:numPr>
                <w:ilvl w:val="0"/>
                <w:numId w:val="117"/>
              </w:numPr>
              <w:tabs>
                <w:tab w:val="clear" w:pos="562"/>
                <w:tab w:val="left" w:pos="757"/>
              </w:tabs>
              <w:ind w:left="757"/>
              <w:rPr>
                <w:lang w:val="nb-NO"/>
              </w:rPr>
            </w:pPr>
            <w:r w:rsidRPr="00887835">
              <w:rPr>
                <w:b/>
                <w:lang w:val="nb-NO"/>
              </w:rPr>
              <w:t xml:space="preserve">Ikke </w:t>
            </w:r>
            <w:r w:rsidRPr="00887835">
              <w:rPr>
                <w:lang w:val="nb-NO"/>
              </w:rPr>
              <w:t xml:space="preserve">sett en injeksjon i hud som </w:t>
            </w:r>
            <w:r>
              <w:rPr>
                <w:lang w:val="nb-NO"/>
              </w:rPr>
              <w:t>e</w:t>
            </w:r>
            <w:r w:rsidRPr="00887835">
              <w:rPr>
                <w:lang w:val="nb-NO"/>
              </w:rPr>
              <w:t>r</w:t>
            </w:r>
            <w:r>
              <w:rPr>
                <w:lang w:val="nb-NO"/>
              </w:rPr>
              <w:t xml:space="preserve"> sår,</w:t>
            </w:r>
            <w:r w:rsidRPr="00887835">
              <w:rPr>
                <w:lang w:val="nb-NO"/>
              </w:rPr>
              <w:t xml:space="preserve"> </w:t>
            </w:r>
            <w:r>
              <w:rPr>
                <w:lang w:val="nb-NO"/>
              </w:rPr>
              <w:t>rødlig, hard, har blåmerker, arr, strekkmerker eller områder med plakkpsoriasis</w:t>
            </w:r>
          </w:p>
        </w:tc>
      </w:tr>
      <w:tr w:rsidR="004644D4" w14:paraId="7EBA52D9" w14:textId="77777777" w:rsidTr="00FD5FF1">
        <w:tc>
          <w:tcPr>
            <w:tcW w:w="3708" w:type="dxa"/>
            <w:tcBorders>
              <w:right w:val="nil"/>
            </w:tcBorders>
          </w:tcPr>
          <w:p w14:paraId="75ADE426" w14:textId="77777777" w:rsidR="009E676E" w:rsidRPr="001F48C5" w:rsidRDefault="00E453CD" w:rsidP="00D221F9">
            <w:pPr>
              <w:pStyle w:val="EMEANormal"/>
              <w:keepNext/>
              <w:rPr>
                <w:noProof/>
              </w:rPr>
            </w:pPr>
            <w:r>
              <w:rPr>
                <w:b/>
                <w:noProof/>
              </w:rPr>
              <w:t>STEG</w:t>
            </w:r>
            <w:r w:rsidRPr="00C2309F">
              <w:rPr>
                <w:b/>
                <w:noProof/>
              </w:rPr>
              <w:t xml:space="preserve"> 4</w:t>
            </w:r>
          </w:p>
          <w:p w14:paraId="2B167659" w14:textId="77777777" w:rsidR="009E676E" w:rsidRDefault="009E676E" w:rsidP="00FD5FF1">
            <w:pPr>
              <w:pStyle w:val="EMEANormal"/>
              <w:rPr>
                <w:lang w:val="en-GB"/>
              </w:rPr>
            </w:pPr>
          </w:p>
          <w:p w14:paraId="17C70795" w14:textId="77777777" w:rsidR="009E2F39" w:rsidRPr="005D17EB" w:rsidRDefault="00E453CD" w:rsidP="00FD5FF1">
            <w:pPr>
              <w:pStyle w:val="EMEANormal"/>
              <w:rPr>
                <w:lang w:val="en-GB"/>
              </w:rPr>
            </w:pPr>
            <w:r>
              <w:rPr>
                <w:b/>
                <w:noProof/>
                <w:lang w:val="en-GB" w:eastAsia="en-GB"/>
              </w:rPr>
              <w:drawing>
                <wp:inline distT="0" distB="0" distL="0" distR="0" wp14:anchorId="11967706" wp14:editId="5460C9F1">
                  <wp:extent cx="2011680" cy="1563624"/>
                  <wp:effectExtent l="0" t="0" r="762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TEP_4_SYRINGE_IFU_UNCAP_new grey.jpg"/>
                          <pic:cNvPicPr/>
                        </pic:nvPicPr>
                        <pic:blipFill>
                          <a:blip r:embed="rId31">
                            <a:extLst>
                              <a:ext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tc>
        <w:tc>
          <w:tcPr>
            <w:tcW w:w="5579" w:type="dxa"/>
            <w:tcBorders>
              <w:left w:val="nil"/>
            </w:tcBorders>
          </w:tcPr>
          <w:p w14:paraId="497A8B09" w14:textId="77777777" w:rsidR="009E676E" w:rsidRDefault="00E453CD" w:rsidP="00A15CB1">
            <w:pPr>
              <w:pStyle w:val="EMEAHeadingLeaflet"/>
              <w:keepNext/>
              <w:spacing w:beforeLines="0" w:before="0" w:afterLines="0" w:after="0"/>
              <w:rPr>
                <w:lang w:val="nb-NO"/>
              </w:rPr>
            </w:pPr>
            <w:r w:rsidRPr="00887835">
              <w:rPr>
                <w:rFonts w:ascii="Times New Roman" w:hAnsi="Times New Roman"/>
                <w:b w:val="0"/>
                <w:lang w:val="nb-NO"/>
              </w:rPr>
              <w:t xml:space="preserve">Hold den ferdigfylte </w:t>
            </w:r>
            <w:r w:rsidR="00103D14">
              <w:rPr>
                <w:rFonts w:ascii="Times New Roman" w:hAnsi="Times New Roman"/>
                <w:b w:val="0"/>
                <w:lang w:val="nb-NO"/>
              </w:rPr>
              <w:t>sprøyten i en hånd.</w:t>
            </w:r>
          </w:p>
          <w:p w14:paraId="7D34C30A" w14:textId="77777777" w:rsidR="00103D14" w:rsidRPr="00103D14" w:rsidRDefault="00103D14" w:rsidP="00103D14">
            <w:pPr>
              <w:pStyle w:val="EMEANormal"/>
              <w:rPr>
                <w:lang w:val="nb-NO"/>
              </w:rPr>
            </w:pPr>
          </w:p>
          <w:p w14:paraId="6C2B509D" w14:textId="77777777" w:rsidR="009E676E" w:rsidRPr="00A15CB1" w:rsidRDefault="00E453CD" w:rsidP="00FD5FF1">
            <w:pPr>
              <w:pStyle w:val="EMEAHeadingLeaflet"/>
              <w:keepNext/>
              <w:spacing w:beforeLines="0" w:before="0" w:afterLines="0" w:after="0"/>
              <w:rPr>
                <w:rFonts w:ascii="Times New Roman" w:hAnsi="Times New Roman"/>
                <w:b w:val="0"/>
                <w:lang w:val="nb-NO"/>
              </w:rPr>
            </w:pPr>
            <w:r w:rsidRPr="00A15CB1">
              <w:rPr>
                <w:rFonts w:ascii="Times New Roman" w:hAnsi="Times New Roman"/>
                <w:b w:val="0"/>
                <w:lang w:val="nb-NO"/>
              </w:rPr>
              <w:t xml:space="preserve">Sjekk </w:t>
            </w:r>
            <w:r w:rsidR="00103D14" w:rsidRPr="00A15CB1">
              <w:rPr>
                <w:rFonts w:ascii="Times New Roman" w:hAnsi="Times New Roman"/>
                <w:b w:val="0"/>
                <w:lang w:val="nb-NO"/>
              </w:rPr>
              <w:t>oppløsningen i den ferdigfylte sprøyten</w:t>
            </w:r>
            <w:r w:rsidRPr="00A15CB1">
              <w:rPr>
                <w:rFonts w:ascii="Times New Roman" w:hAnsi="Times New Roman"/>
                <w:b w:val="0"/>
                <w:lang w:val="nb-NO"/>
              </w:rPr>
              <w:t>.</w:t>
            </w:r>
          </w:p>
          <w:p w14:paraId="54C08C26" w14:textId="77777777" w:rsidR="009E676E" w:rsidRPr="00A15CB1" w:rsidRDefault="009E676E" w:rsidP="00FD5FF1">
            <w:pPr>
              <w:pStyle w:val="EMEANormal"/>
              <w:rPr>
                <w:lang w:val="nb-NO"/>
              </w:rPr>
            </w:pPr>
          </w:p>
          <w:p w14:paraId="79CD640B" w14:textId="77777777" w:rsidR="009E676E" w:rsidRPr="00887835" w:rsidRDefault="00E453CD" w:rsidP="00FD5FF1">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Pass på at oppløsningen er klar og fargeløs</w:t>
            </w:r>
          </w:p>
          <w:p w14:paraId="5783FCD2" w14:textId="77777777" w:rsidR="009E676E" w:rsidRPr="00887835" w:rsidRDefault="00E453CD" w:rsidP="00FD5FF1">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bruk den ferdigfylte </w:t>
            </w:r>
            <w:r w:rsidR="00103D14">
              <w:rPr>
                <w:rFonts w:ascii="Times New Roman" w:hAnsi="Times New Roman"/>
                <w:b w:val="0"/>
                <w:lang w:val="nb-NO"/>
              </w:rPr>
              <w:t>sprøyten</w:t>
            </w:r>
            <w:r w:rsidRPr="00887835">
              <w:rPr>
                <w:rFonts w:ascii="Times New Roman" w:hAnsi="Times New Roman"/>
                <w:b w:val="0"/>
                <w:lang w:val="nb-NO"/>
              </w:rPr>
              <w:t xml:space="preserve"> dersom oppløsningen er uklar eller har partikler i seg</w:t>
            </w:r>
          </w:p>
          <w:p w14:paraId="7D86E3D2" w14:textId="77777777" w:rsidR="009E676E" w:rsidRDefault="00E453CD" w:rsidP="00103D14">
            <w:pPr>
              <w:pStyle w:val="EMEANormal"/>
              <w:numPr>
                <w:ilvl w:val="0"/>
                <w:numId w:val="118"/>
              </w:numPr>
              <w:tabs>
                <w:tab w:val="clear" w:pos="562"/>
                <w:tab w:val="left" w:pos="757"/>
              </w:tabs>
              <w:ind w:left="757"/>
              <w:rPr>
                <w:lang w:val="nb-NO"/>
              </w:rPr>
            </w:pPr>
            <w:r w:rsidRPr="00887835">
              <w:rPr>
                <w:b/>
                <w:lang w:val="nb-NO"/>
              </w:rPr>
              <w:t xml:space="preserve">Ikke </w:t>
            </w:r>
            <w:r w:rsidRPr="00887835">
              <w:rPr>
                <w:lang w:val="nb-NO"/>
              </w:rPr>
              <w:t xml:space="preserve">bruk den ferdigfylte </w:t>
            </w:r>
            <w:r w:rsidR="00103D14">
              <w:rPr>
                <w:lang w:val="nb-NO"/>
              </w:rPr>
              <w:t>sprøyten</w:t>
            </w:r>
            <w:r w:rsidRPr="00887835">
              <w:rPr>
                <w:lang w:val="nb-NO"/>
              </w:rPr>
              <w:t xml:space="preserve"> dersom </w:t>
            </w:r>
            <w:r>
              <w:rPr>
                <w:lang w:val="nb-NO"/>
              </w:rPr>
              <w:t>den har falt i gulvet eller har knust</w:t>
            </w:r>
          </w:p>
          <w:p w14:paraId="3ADEDFD5" w14:textId="77777777" w:rsidR="00933B69" w:rsidRDefault="00933B69" w:rsidP="00A15CB1">
            <w:pPr>
              <w:pStyle w:val="EMEANormal"/>
              <w:tabs>
                <w:tab w:val="clear" w:pos="562"/>
                <w:tab w:val="left" w:pos="757"/>
              </w:tabs>
              <w:ind w:left="757"/>
              <w:rPr>
                <w:lang w:val="nb-NO"/>
              </w:rPr>
            </w:pPr>
          </w:p>
          <w:p w14:paraId="133DC1A1" w14:textId="77777777" w:rsidR="00933B69" w:rsidRDefault="00E453CD" w:rsidP="00A15CB1">
            <w:pPr>
              <w:pStyle w:val="EMEANormal"/>
              <w:tabs>
                <w:tab w:val="clear" w:pos="562"/>
                <w:tab w:val="left" w:pos="757"/>
              </w:tabs>
              <w:rPr>
                <w:lang w:val="nb-NO"/>
              </w:rPr>
            </w:pPr>
            <w:r>
              <w:rPr>
                <w:lang w:val="nb-NO"/>
              </w:rPr>
              <w:t>Dra forsiktig kanyle</w:t>
            </w:r>
            <w:r w:rsidR="001F0200">
              <w:rPr>
                <w:lang w:val="nb-NO"/>
              </w:rPr>
              <w:t>hetten</w:t>
            </w:r>
            <w:r>
              <w:rPr>
                <w:lang w:val="nb-NO"/>
              </w:rPr>
              <w:t xml:space="preserve"> </w:t>
            </w:r>
            <w:r w:rsidRPr="0093796D">
              <w:rPr>
                <w:lang w:val="nb-NO"/>
              </w:rPr>
              <w:t>rett av</w:t>
            </w:r>
            <w:r>
              <w:rPr>
                <w:lang w:val="nb-NO"/>
              </w:rPr>
              <w:t xml:space="preserve"> med den andre hånden</w:t>
            </w:r>
            <w:r w:rsidRPr="0093796D">
              <w:rPr>
                <w:lang w:val="nb-NO"/>
              </w:rPr>
              <w:t xml:space="preserve">. Kast </w:t>
            </w:r>
            <w:r>
              <w:rPr>
                <w:lang w:val="nb-NO"/>
              </w:rPr>
              <w:t>kanyle</w:t>
            </w:r>
            <w:r w:rsidR="001F0200">
              <w:rPr>
                <w:lang w:val="nb-NO"/>
              </w:rPr>
              <w:t>hetten</w:t>
            </w:r>
            <w:r w:rsidRPr="0093796D">
              <w:rPr>
                <w:lang w:val="nb-NO"/>
              </w:rPr>
              <w:t xml:space="preserve">. Ikke sett </w:t>
            </w:r>
            <w:r w:rsidR="001F0200">
              <w:rPr>
                <w:lang w:val="nb-NO"/>
              </w:rPr>
              <w:t>kanylehetten</w:t>
            </w:r>
            <w:r w:rsidR="001F0200" w:rsidRPr="0093796D">
              <w:rPr>
                <w:lang w:val="nb-NO"/>
              </w:rPr>
              <w:t xml:space="preserve"> </w:t>
            </w:r>
            <w:r w:rsidRPr="0093796D">
              <w:rPr>
                <w:lang w:val="nb-NO"/>
              </w:rPr>
              <w:t>tilbake på plass igjen.</w:t>
            </w:r>
          </w:p>
          <w:p w14:paraId="4339E965" w14:textId="77777777" w:rsidR="00933B69" w:rsidRDefault="00933B69" w:rsidP="00A15CB1">
            <w:pPr>
              <w:pStyle w:val="EMEANormal"/>
              <w:tabs>
                <w:tab w:val="clear" w:pos="562"/>
                <w:tab w:val="left" w:pos="757"/>
              </w:tabs>
              <w:rPr>
                <w:lang w:val="nb-NO"/>
              </w:rPr>
            </w:pPr>
          </w:p>
          <w:p w14:paraId="1FBBB277" w14:textId="77777777" w:rsidR="00E656A8" w:rsidRPr="003C3639" w:rsidRDefault="00E453CD" w:rsidP="00A15CB1">
            <w:pPr>
              <w:pStyle w:val="EMEANormal"/>
              <w:numPr>
                <w:ilvl w:val="0"/>
                <w:numId w:val="118"/>
              </w:numPr>
              <w:tabs>
                <w:tab w:val="clear" w:pos="562"/>
                <w:tab w:val="left" w:pos="757"/>
              </w:tabs>
              <w:ind w:left="757"/>
              <w:rPr>
                <w:lang w:val="nb-NO"/>
              </w:rPr>
            </w:pPr>
            <w:r w:rsidRPr="00A15CB1">
              <w:rPr>
                <w:b/>
                <w:lang w:val="nb-NO"/>
              </w:rPr>
              <w:t>Ikke</w:t>
            </w:r>
            <w:r>
              <w:rPr>
                <w:lang w:val="nb-NO"/>
              </w:rPr>
              <w:t xml:space="preserve"> ta på kanylen med fingrene dine eller la kanylen komme borti noe </w:t>
            </w:r>
          </w:p>
        </w:tc>
      </w:tr>
      <w:tr w:rsidR="004644D4" w14:paraId="6FD77C4C" w14:textId="77777777" w:rsidTr="00FD5FF1">
        <w:tc>
          <w:tcPr>
            <w:tcW w:w="3708" w:type="dxa"/>
            <w:tcBorders>
              <w:right w:val="nil"/>
            </w:tcBorders>
          </w:tcPr>
          <w:p w14:paraId="4D0943F2" w14:textId="77777777" w:rsidR="009E676E" w:rsidRDefault="00E453CD" w:rsidP="00051DA6">
            <w:pPr>
              <w:pStyle w:val="EMEANormal"/>
              <w:rPr>
                <w:noProof/>
              </w:rPr>
            </w:pPr>
            <w:r w:rsidRPr="00452439">
              <w:rPr>
                <w:lang w:val="nb-NO"/>
              </w:rPr>
              <w:br w:type="page"/>
            </w:r>
            <w:r>
              <w:rPr>
                <w:b/>
                <w:noProof/>
              </w:rPr>
              <w:t>STEG 5</w:t>
            </w:r>
          </w:p>
          <w:p w14:paraId="77807127" w14:textId="77777777" w:rsidR="009E676E" w:rsidRDefault="00E453CD" w:rsidP="00051DA6">
            <w:pPr>
              <w:pStyle w:val="EMEANormal"/>
              <w:rPr>
                <w:noProof/>
              </w:rPr>
            </w:pPr>
            <w:r>
              <w:rPr>
                <w:noProof/>
                <w:lang w:val="en-GB" w:eastAsia="en-GB"/>
              </w:rPr>
              <w:lastRenderedPageBreak/>
              <w:drawing>
                <wp:inline distT="0" distB="0" distL="0" distR="0" wp14:anchorId="202FF533" wp14:editId="6ADE666A">
                  <wp:extent cx="1992630" cy="1972310"/>
                  <wp:effectExtent l="0" t="0" r="7620" b="8890"/>
                  <wp:docPr id="105" name="Picture 105"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27" descr="STEP_5_SYRINGE_IFU_FILLING_grey"/>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992630" cy="1972310"/>
                          </a:xfrm>
                          <a:prstGeom prst="rect">
                            <a:avLst/>
                          </a:prstGeom>
                          <a:noFill/>
                          <a:ln>
                            <a:noFill/>
                          </a:ln>
                        </pic:spPr>
                      </pic:pic>
                    </a:graphicData>
                  </a:graphic>
                </wp:inline>
              </w:drawing>
            </w:r>
          </w:p>
          <w:p w14:paraId="1581E7FF" w14:textId="77777777" w:rsidR="009E676E" w:rsidRPr="00EA39A4" w:rsidRDefault="009E676E" w:rsidP="00051DA6">
            <w:pPr>
              <w:pStyle w:val="EMEANormal"/>
              <w:rPr>
                <w:b/>
                <w:lang w:val="en-GB"/>
              </w:rPr>
            </w:pPr>
          </w:p>
        </w:tc>
        <w:tc>
          <w:tcPr>
            <w:tcW w:w="5579" w:type="dxa"/>
            <w:tcBorders>
              <w:left w:val="nil"/>
            </w:tcBorders>
          </w:tcPr>
          <w:p w14:paraId="33ADDACF" w14:textId="77777777" w:rsidR="009E676E" w:rsidRPr="003354A8" w:rsidRDefault="00E453CD" w:rsidP="00051DA6">
            <w:pPr>
              <w:pStyle w:val="EMEAHeadingLeaflet"/>
              <w:spacing w:beforeLines="0" w:before="0" w:afterLines="0" w:after="0"/>
              <w:rPr>
                <w:rFonts w:ascii="Times New Roman" w:hAnsi="Times New Roman"/>
                <w:b w:val="0"/>
                <w:lang w:val="nb-NO"/>
              </w:rPr>
            </w:pPr>
            <w:r w:rsidRPr="003354A8">
              <w:rPr>
                <w:rFonts w:ascii="Times New Roman" w:hAnsi="Times New Roman"/>
                <w:b w:val="0"/>
                <w:lang w:val="nb-NO"/>
              </w:rPr>
              <w:lastRenderedPageBreak/>
              <w:t xml:space="preserve">Hold den ferdigfylte </w:t>
            </w:r>
            <w:r>
              <w:rPr>
                <w:rFonts w:ascii="Times New Roman" w:hAnsi="Times New Roman"/>
                <w:b w:val="0"/>
                <w:lang w:val="nb-NO"/>
              </w:rPr>
              <w:t>sprøyten</w:t>
            </w:r>
            <w:r w:rsidRPr="00A15CB1">
              <w:rPr>
                <w:rFonts w:ascii="Times New Roman" w:hAnsi="Times New Roman"/>
                <w:b w:val="0"/>
                <w:lang w:val="nb-NO"/>
              </w:rPr>
              <w:t xml:space="preserve"> med </w:t>
            </w:r>
            <w:r>
              <w:rPr>
                <w:rFonts w:ascii="Times New Roman" w:hAnsi="Times New Roman"/>
                <w:b w:val="0"/>
                <w:lang w:val="nb-NO"/>
              </w:rPr>
              <w:t>kanylen</w:t>
            </w:r>
            <w:r w:rsidRPr="00A15CB1">
              <w:rPr>
                <w:rFonts w:ascii="Times New Roman" w:hAnsi="Times New Roman"/>
                <w:b w:val="0"/>
                <w:lang w:val="nb-NO"/>
              </w:rPr>
              <w:t xml:space="preserve"> pekende oppover.</w:t>
            </w:r>
          </w:p>
          <w:p w14:paraId="2FB00161" w14:textId="77777777" w:rsidR="009E676E" w:rsidRPr="003354A8" w:rsidRDefault="009E676E" w:rsidP="00051DA6">
            <w:pPr>
              <w:pStyle w:val="EMEANormal"/>
              <w:rPr>
                <w:lang w:val="nb-NO"/>
              </w:rPr>
            </w:pPr>
          </w:p>
          <w:p w14:paraId="0E31B956" w14:textId="77777777" w:rsidR="009E676E" w:rsidRDefault="00E453CD" w:rsidP="00051DA6">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Pr>
                <w:rFonts w:ascii="Times New Roman" w:hAnsi="Times New Roman"/>
                <w:b w:val="0"/>
                <w:lang w:val="nb-NO"/>
              </w:rPr>
              <w:t>Hold den ferdigfylte sprøyten i øyehøyde med den ene hånden slik at du kan se luftrommet i den ferdigfylte sprøyten</w:t>
            </w:r>
          </w:p>
          <w:p w14:paraId="249FDC94" w14:textId="77777777" w:rsidR="00933B69" w:rsidRDefault="00933B69" w:rsidP="00051DA6">
            <w:pPr>
              <w:pStyle w:val="EMEANormal"/>
              <w:rPr>
                <w:lang w:val="nb-NO"/>
              </w:rPr>
            </w:pPr>
          </w:p>
          <w:p w14:paraId="23DDE66B" w14:textId="77777777" w:rsidR="00933B69" w:rsidRPr="00887835" w:rsidRDefault="00E453CD" w:rsidP="00051DA6">
            <w:pPr>
              <w:pStyle w:val="EMEAHeadingLeaflet"/>
              <w:spacing w:beforeLines="0" w:before="0" w:afterLines="0" w:after="0"/>
              <w:rPr>
                <w:rFonts w:ascii="Times New Roman" w:hAnsi="Times New Roman"/>
                <w:b w:val="0"/>
                <w:lang w:val="nb-NO"/>
              </w:rPr>
            </w:pPr>
            <w:r>
              <w:rPr>
                <w:rFonts w:ascii="Times New Roman" w:hAnsi="Times New Roman"/>
                <w:b w:val="0"/>
                <w:lang w:val="nb-NO"/>
              </w:rPr>
              <w:lastRenderedPageBreak/>
              <w:t>Press sakte sprøytestemplet inn for å dytte luften ut gjennom kanylen.</w:t>
            </w:r>
          </w:p>
          <w:p w14:paraId="12DD69BF" w14:textId="77777777" w:rsidR="00933B69" w:rsidRPr="00933B69" w:rsidRDefault="00933B69" w:rsidP="00051DA6">
            <w:pPr>
              <w:pStyle w:val="EMEANormal"/>
              <w:rPr>
                <w:lang w:val="nb-NO"/>
              </w:rPr>
            </w:pPr>
          </w:p>
          <w:p w14:paraId="532E73D1" w14:textId="77777777" w:rsidR="009E676E" w:rsidRPr="00887835" w:rsidRDefault="00E453CD" w:rsidP="00051DA6">
            <w:pPr>
              <w:pStyle w:val="EMEAHeadingLeafle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Det er normalt å se </w:t>
            </w:r>
            <w:r w:rsidR="00933B69">
              <w:rPr>
                <w:rFonts w:ascii="Times New Roman" w:hAnsi="Times New Roman"/>
                <w:b w:val="0"/>
                <w:lang w:val="nb-NO"/>
              </w:rPr>
              <w:t>en</w:t>
            </w:r>
            <w:r w:rsidRPr="00887835">
              <w:rPr>
                <w:rFonts w:ascii="Times New Roman" w:hAnsi="Times New Roman"/>
                <w:b w:val="0"/>
                <w:lang w:val="nb-NO"/>
              </w:rPr>
              <w:t xml:space="preserve"> dråpe av oppløsningen </w:t>
            </w:r>
            <w:r w:rsidR="00933B69">
              <w:rPr>
                <w:rFonts w:ascii="Times New Roman" w:hAnsi="Times New Roman"/>
                <w:b w:val="0"/>
                <w:lang w:val="nb-NO"/>
              </w:rPr>
              <w:t>på enden av kanylen</w:t>
            </w:r>
          </w:p>
          <w:p w14:paraId="381DF1F1" w14:textId="77777777" w:rsidR="009E676E" w:rsidRPr="00887835" w:rsidRDefault="009E676E" w:rsidP="00051DA6">
            <w:pPr>
              <w:pStyle w:val="EMEANormal"/>
              <w:rPr>
                <w:lang w:val="nb-NO"/>
              </w:rPr>
            </w:pPr>
          </w:p>
        </w:tc>
      </w:tr>
      <w:tr w:rsidR="004644D4" w14:paraId="7B47A431" w14:textId="77777777" w:rsidTr="00FD5FF1">
        <w:tc>
          <w:tcPr>
            <w:tcW w:w="3708" w:type="dxa"/>
            <w:tcBorders>
              <w:right w:val="nil"/>
            </w:tcBorders>
          </w:tcPr>
          <w:p w14:paraId="38C84FF8" w14:textId="77777777" w:rsidR="009E676E" w:rsidRPr="001F48C5" w:rsidRDefault="00E453CD" w:rsidP="00FD5FF1">
            <w:pPr>
              <w:pStyle w:val="EMEANormal"/>
              <w:keepNext/>
              <w:rPr>
                <w:noProof/>
              </w:rPr>
            </w:pPr>
            <w:r>
              <w:rPr>
                <w:b/>
                <w:noProof/>
              </w:rPr>
              <w:lastRenderedPageBreak/>
              <w:t>STEG</w:t>
            </w:r>
            <w:r w:rsidRPr="00C2309F">
              <w:rPr>
                <w:b/>
                <w:noProof/>
              </w:rPr>
              <w:t xml:space="preserve"> 6</w:t>
            </w:r>
          </w:p>
          <w:p w14:paraId="77B0A758" w14:textId="77777777" w:rsidR="009E676E" w:rsidRPr="005D17EB" w:rsidRDefault="00E453CD" w:rsidP="00FD5FF1">
            <w:pPr>
              <w:pStyle w:val="EMEANormal"/>
              <w:keepNext/>
              <w:rPr>
                <w:lang w:val="en-GB"/>
              </w:rPr>
            </w:pPr>
            <w:r>
              <w:rPr>
                <w:noProof/>
                <w:lang w:val="en-GB" w:eastAsia="en-GB"/>
              </w:rPr>
              <w:drawing>
                <wp:inline distT="0" distB="0" distL="0" distR="0" wp14:anchorId="710BD5E2" wp14:editId="6E193629">
                  <wp:extent cx="2245360" cy="2142490"/>
                  <wp:effectExtent l="0" t="0" r="2540" b="0"/>
                  <wp:docPr id="106" name="Picture 106"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8" descr="STEP_6_SYRINGE_IFU_PRE-INJECTION_grey"/>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inline>
              </w:drawing>
            </w:r>
          </w:p>
        </w:tc>
        <w:tc>
          <w:tcPr>
            <w:tcW w:w="5579" w:type="dxa"/>
            <w:tcBorders>
              <w:left w:val="nil"/>
            </w:tcBorders>
          </w:tcPr>
          <w:p w14:paraId="4F10DB65" w14:textId="77777777" w:rsidR="000E1A07" w:rsidRDefault="00E453CD" w:rsidP="00FD5FF1">
            <w:pPr>
              <w:pStyle w:val="EMEAHeadingLeaflet"/>
              <w:keepNext/>
              <w:spacing w:beforeLines="0" w:before="0" w:afterLines="0" w:after="0"/>
              <w:rPr>
                <w:rFonts w:ascii="Times New Roman" w:hAnsi="Times New Roman"/>
                <w:b w:val="0"/>
                <w:lang w:val="nb-NO"/>
              </w:rPr>
            </w:pPr>
            <w:r>
              <w:rPr>
                <w:rFonts w:ascii="Times New Roman" w:hAnsi="Times New Roman"/>
                <w:b w:val="0"/>
                <w:lang w:val="nb-NO"/>
              </w:rPr>
              <w:t>Hold den ferdigfylte sprøyten i den ene hånden mellom tommel og pekefinger, som du holder en blyant.</w:t>
            </w:r>
          </w:p>
          <w:p w14:paraId="54BD986B" w14:textId="77777777" w:rsidR="000E1A07" w:rsidRDefault="000E1A07" w:rsidP="00FD5FF1">
            <w:pPr>
              <w:pStyle w:val="EMEAHeadingLeaflet"/>
              <w:keepNext/>
              <w:spacing w:beforeLines="0" w:before="0" w:afterLines="0" w:after="0"/>
              <w:rPr>
                <w:rFonts w:ascii="Times New Roman" w:hAnsi="Times New Roman"/>
                <w:b w:val="0"/>
                <w:lang w:val="nb-NO"/>
              </w:rPr>
            </w:pPr>
          </w:p>
          <w:p w14:paraId="088D1BD6" w14:textId="77777777" w:rsidR="009E676E" w:rsidRPr="0075260B" w:rsidRDefault="00E453CD" w:rsidP="00FD5FF1">
            <w:pPr>
              <w:pStyle w:val="EMEAHeadingLeaflet"/>
              <w:keepNext/>
              <w:spacing w:beforeLines="0" w:before="0" w:afterLines="0" w:after="0"/>
              <w:rPr>
                <w:rFonts w:ascii="Times New Roman" w:hAnsi="Times New Roman"/>
                <w:b w:val="0"/>
                <w:lang w:val="nb-NO"/>
              </w:rPr>
            </w:pPr>
            <w:r w:rsidRPr="0075260B">
              <w:rPr>
                <w:rFonts w:ascii="Times New Roman" w:hAnsi="Times New Roman"/>
                <w:b w:val="0"/>
                <w:lang w:val="nb-NO"/>
              </w:rPr>
              <w:t xml:space="preserve">Klem huden på injeksjonsstedet ditt </w:t>
            </w:r>
            <w:r w:rsidR="000E1A07">
              <w:rPr>
                <w:rFonts w:ascii="Times New Roman" w:hAnsi="Times New Roman"/>
                <w:b w:val="0"/>
                <w:lang w:val="nb-NO"/>
              </w:rPr>
              <w:t xml:space="preserve">med den andre hånden </w:t>
            </w:r>
            <w:r w:rsidRPr="0075260B">
              <w:rPr>
                <w:rFonts w:ascii="Times New Roman" w:hAnsi="Times New Roman"/>
                <w:b w:val="0"/>
                <w:lang w:val="nb-NO"/>
              </w:rPr>
              <w:t>for å fremheve området og hold godt fast i den.</w:t>
            </w:r>
          </w:p>
          <w:p w14:paraId="2871A7DA" w14:textId="77777777" w:rsidR="009E676E" w:rsidRPr="0075260B" w:rsidRDefault="009E676E" w:rsidP="00FD5FF1">
            <w:pPr>
              <w:pStyle w:val="EMEANormal"/>
              <w:keepNext/>
              <w:rPr>
                <w:lang w:val="nb-NO"/>
              </w:rPr>
            </w:pPr>
          </w:p>
          <w:p w14:paraId="2B411822" w14:textId="77777777" w:rsidR="009E676E" w:rsidRPr="00887835" w:rsidRDefault="009E676E" w:rsidP="00FD5FF1">
            <w:pPr>
              <w:pStyle w:val="EMEANormal"/>
              <w:keepNext/>
              <w:rPr>
                <w:lang w:val="nb-NO"/>
              </w:rPr>
            </w:pPr>
          </w:p>
        </w:tc>
      </w:tr>
      <w:tr w:rsidR="004644D4" w14:paraId="4E6F4B9D" w14:textId="77777777" w:rsidTr="00D221F9">
        <w:trPr>
          <w:trHeight w:val="4860"/>
        </w:trPr>
        <w:tc>
          <w:tcPr>
            <w:tcW w:w="3708" w:type="dxa"/>
            <w:tcBorders>
              <w:right w:val="nil"/>
            </w:tcBorders>
          </w:tcPr>
          <w:p w14:paraId="0672F5D3" w14:textId="77777777" w:rsidR="009E676E" w:rsidRPr="001F48C5" w:rsidRDefault="00E453CD" w:rsidP="00FD5FF1">
            <w:pPr>
              <w:pStyle w:val="EMEANormal"/>
              <w:jc w:val="both"/>
              <w:rPr>
                <w:noProof/>
              </w:rPr>
            </w:pPr>
            <w:r>
              <w:rPr>
                <w:b/>
                <w:noProof/>
              </w:rPr>
              <w:t>STEG 7</w:t>
            </w:r>
          </w:p>
          <w:p w14:paraId="034D433F" w14:textId="77777777" w:rsidR="009E676E" w:rsidRPr="001F48C5" w:rsidRDefault="009E676E" w:rsidP="00FD5FF1">
            <w:pPr>
              <w:pStyle w:val="EMEANormal"/>
              <w:jc w:val="both"/>
              <w:rPr>
                <w:noProof/>
              </w:rPr>
            </w:pPr>
          </w:p>
          <w:p w14:paraId="46198614" w14:textId="77777777" w:rsidR="009E676E" w:rsidRPr="008B4D33" w:rsidRDefault="00E453CD" w:rsidP="00FD5FF1">
            <w:pPr>
              <w:pStyle w:val="EMEANormal"/>
              <w:rPr>
                <w:noProof/>
              </w:rPr>
            </w:pPr>
            <w:r>
              <w:rPr>
                <w:noProof/>
                <w:lang w:val="en-GB" w:eastAsia="en-GB"/>
              </w:rPr>
              <w:drawing>
                <wp:inline distT="0" distB="0" distL="0" distR="0" wp14:anchorId="583FB4DC" wp14:editId="1F0A4067">
                  <wp:extent cx="2183765" cy="2675255"/>
                  <wp:effectExtent l="0" t="0" r="6985" b="0"/>
                  <wp:docPr id="107" name="Picture 107"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29" descr="STEP_7_SYRINGE_IFU_ABDOMEN-THIGH_grey"/>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183765" cy="2675255"/>
                          </a:xfrm>
                          <a:prstGeom prst="rect">
                            <a:avLst/>
                          </a:prstGeom>
                          <a:noFill/>
                          <a:ln>
                            <a:noFill/>
                          </a:ln>
                        </pic:spPr>
                      </pic:pic>
                    </a:graphicData>
                  </a:graphic>
                </wp:inline>
              </w:drawing>
            </w:r>
          </w:p>
        </w:tc>
        <w:tc>
          <w:tcPr>
            <w:tcW w:w="5579" w:type="dxa"/>
            <w:tcBorders>
              <w:left w:val="nil"/>
            </w:tcBorders>
          </w:tcPr>
          <w:p w14:paraId="5C397DF7" w14:textId="77777777" w:rsidR="009E676E" w:rsidRPr="00204EE6" w:rsidRDefault="00E453CD" w:rsidP="00FD5FF1">
            <w:pPr>
              <w:pStyle w:val="EMEANormal"/>
              <w:rPr>
                <w:lang w:val="nb-NO"/>
              </w:rPr>
            </w:pPr>
            <w:r>
              <w:rPr>
                <w:lang w:val="nb-NO"/>
              </w:rPr>
              <w:t>Sett kanylen</w:t>
            </w:r>
            <w:r w:rsidRPr="00A15CB1">
              <w:rPr>
                <w:lang w:val="nb-NO"/>
              </w:rPr>
              <w:t xml:space="preserve"> helt </w:t>
            </w:r>
            <w:r>
              <w:rPr>
                <w:lang w:val="nb-NO"/>
              </w:rPr>
              <w:t>inn i</w:t>
            </w:r>
            <w:r w:rsidRPr="00A15CB1">
              <w:rPr>
                <w:lang w:val="nb-NO"/>
              </w:rPr>
              <w:t xml:space="preserve"> huden </w:t>
            </w:r>
            <w:r>
              <w:rPr>
                <w:lang w:val="nb-NO"/>
              </w:rPr>
              <w:t xml:space="preserve">i en 45-graders vinkel </w:t>
            </w:r>
            <w:r w:rsidRPr="00A15CB1">
              <w:rPr>
                <w:lang w:val="nb-NO"/>
              </w:rPr>
              <w:t xml:space="preserve">med en rask, kortvarig bevegelse. </w:t>
            </w:r>
          </w:p>
          <w:p w14:paraId="24A24F43" w14:textId="77777777" w:rsidR="009E676E" w:rsidRPr="00887835" w:rsidRDefault="009E676E" w:rsidP="00FD5FF1">
            <w:pPr>
              <w:pStyle w:val="EMEANormal"/>
              <w:rPr>
                <w:lang w:val="nb-NO"/>
              </w:rPr>
            </w:pPr>
          </w:p>
          <w:p w14:paraId="01C791B7" w14:textId="77777777" w:rsidR="009E676E" w:rsidRPr="00887835" w:rsidRDefault="00E453CD" w:rsidP="00FD5FF1">
            <w:pPr>
              <w:pStyle w:val="EMEAHeadingLeaflet"/>
              <w:keepNext/>
              <w:numPr>
                <w:ilvl w:val="0"/>
                <w:numId w:val="120"/>
              </w:numPr>
              <w:tabs>
                <w:tab w:val="clear" w:pos="562"/>
                <w:tab w:val="left" w:pos="757"/>
              </w:tabs>
              <w:spacing w:beforeLines="0" w:before="0" w:afterLines="0" w:after="0"/>
              <w:ind w:left="757"/>
              <w:rPr>
                <w:rFonts w:ascii="Times New Roman" w:hAnsi="Times New Roman"/>
                <w:b w:val="0"/>
                <w:lang w:val="nb-NO"/>
              </w:rPr>
            </w:pPr>
            <w:r>
              <w:rPr>
                <w:rFonts w:ascii="Times New Roman" w:hAnsi="Times New Roman"/>
                <w:b w:val="0"/>
                <w:lang w:val="nb-NO"/>
              </w:rPr>
              <w:t>Når kanylen er inne slipper du take</w:t>
            </w:r>
            <w:r w:rsidR="00933B69">
              <w:rPr>
                <w:rFonts w:ascii="Times New Roman" w:hAnsi="Times New Roman"/>
                <w:b w:val="0"/>
                <w:lang w:val="nb-NO"/>
              </w:rPr>
              <w:t>t i huden som du holder</w:t>
            </w:r>
            <w:r>
              <w:rPr>
                <w:rFonts w:ascii="Times New Roman" w:hAnsi="Times New Roman"/>
                <w:b w:val="0"/>
                <w:lang w:val="nb-NO"/>
              </w:rPr>
              <w:t xml:space="preserve"> </w:t>
            </w:r>
          </w:p>
          <w:p w14:paraId="602DBAD2" w14:textId="77777777" w:rsidR="009E676E" w:rsidRDefault="009E676E" w:rsidP="00FD5FF1">
            <w:pPr>
              <w:pStyle w:val="EMEANormal"/>
              <w:rPr>
                <w:lang w:val="nb-NO"/>
              </w:rPr>
            </w:pPr>
          </w:p>
          <w:p w14:paraId="556503F9" w14:textId="77777777" w:rsidR="000E1A07" w:rsidRPr="00887835" w:rsidRDefault="00E453CD" w:rsidP="00FD5FF1">
            <w:pPr>
              <w:pStyle w:val="EMEANormal"/>
              <w:rPr>
                <w:lang w:val="nb-NO"/>
              </w:rPr>
            </w:pPr>
            <w:r>
              <w:rPr>
                <w:lang w:val="nb-NO"/>
              </w:rPr>
              <w:t xml:space="preserve">Press </w:t>
            </w:r>
            <w:r w:rsidR="00933B69">
              <w:rPr>
                <w:lang w:val="nb-NO"/>
              </w:rPr>
              <w:t>sakte</w:t>
            </w:r>
            <w:r>
              <w:rPr>
                <w:lang w:val="nb-NO"/>
              </w:rPr>
              <w:t xml:space="preserve"> sprøytestemplet helt inn til hele oppløsningen er injisert og den ferdigfylte sprøyten er tom. </w:t>
            </w:r>
          </w:p>
          <w:p w14:paraId="1F5657B4" w14:textId="77777777" w:rsidR="009E676E" w:rsidRPr="00887835" w:rsidRDefault="009E676E" w:rsidP="00FD5FF1">
            <w:pPr>
              <w:pStyle w:val="EMEANormal"/>
              <w:rPr>
                <w:lang w:val="nb-NO"/>
              </w:rPr>
            </w:pPr>
          </w:p>
        </w:tc>
      </w:tr>
      <w:tr w:rsidR="004644D4" w14:paraId="330A3260" w14:textId="77777777" w:rsidTr="00FD5FF1">
        <w:tc>
          <w:tcPr>
            <w:tcW w:w="3708" w:type="dxa"/>
            <w:tcBorders>
              <w:right w:val="nil"/>
            </w:tcBorders>
          </w:tcPr>
          <w:p w14:paraId="1EB49ADB" w14:textId="77777777" w:rsidR="009E676E" w:rsidRPr="001F48C5" w:rsidRDefault="00E453CD" w:rsidP="001F48C5">
            <w:pPr>
              <w:pStyle w:val="EMEANormal"/>
              <w:rPr>
                <w:noProof/>
              </w:rPr>
            </w:pPr>
            <w:r w:rsidRPr="00452439">
              <w:rPr>
                <w:lang w:val="nb-NO"/>
              </w:rPr>
              <w:br w:type="page"/>
            </w:r>
            <w:r>
              <w:rPr>
                <w:b/>
                <w:noProof/>
              </w:rPr>
              <w:t>STEG 8</w:t>
            </w:r>
          </w:p>
          <w:p w14:paraId="11A58EB7" w14:textId="77777777" w:rsidR="009E2F39" w:rsidRPr="001F48C5" w:rsidRDefault="009E2F39" w:rsidP="001F48C5">
            <w:pPr>
              <w:pStyle w:val="EMEANormal"/>
              <w:rPr>
                <w:noProof/>
              </w:rPr>
            </w:pPr>
          </w:p>
          <w:p w14:paraId="1760BD14" w14:textId="77777777" w:rsidR="009E2F39" w:rsidRDefault="00E453CD" w:rsidP="001F48C5">
            <w:pPr>
              <w:pStyle w:val="EMEANormal"/>
              <w:rPr>
                <w:noProof/>
              </w:rPr>
            </w:pPr>
            <w:r>
              <w:rPr>
                <w:b/>
                <w:noProof/>
                <w:lang w:val="en-GB" w:eastAsia="en-GB"/>
              </w:rPr>
              <w:lastRenderedPageBreak/>
              <w:drawing>
                <wp:inline distT="0" distB="0" distL="0" distR="0" wp14:anchorId="67557925" wp14:editId="55157674">
                  <wp:extent cx="1984248" cy="2093089"/>
                  <wp:effectExtent l="0" t="0" r="0" b="254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TEP_8_SYRINGE_IFU_WITHDRAW_grey.REV 06Sep1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4248" cy="2093089"/>
                          </a:xfrm>
                          <a:prstGeom prst="rect">
                            <a:avLst/>
                          </a:prstGeom>
                        </pic:spPr>
                      </pic:pic>
                    </a:graphicData>
                  </a:graphic>
                </wp:inline>
              </w:drawing>
            </w:r>
          </w:p>
          <w:p w14:paraId="75425D63" w14:textId="77777777" w:rsidR="009E676E" w:rsidRPr="00D221F9" w:rsidRDefault="00E453CD" w:rsidP="001F48C5">
            <w:pPr>
              <w:pStyle w:val="EMEANormal"/>
              <w:rPr>
                <w:b/>
                <w:lang w:val="en-GB"/>
              </w:rPr>
            </w:pPr>
            <w:r>
              <w:rPr>
                <w:noProof/>
              </w:rPr>
              <w:t xml:space="preserve">             </w:t>
            </w:r>
            <w:r w:rsidRPr="00D221F9">
              <w:rPr>
                <w:b/>
                <w:noProof/>
              </w:rPr>
              <w:t xml:space="preserve"> Bomullsdott </w:t>
            </w:r>
          </w:p>
        </w:tc>
        <w:tc>
          <w:tcPr>
            <w:tcW w:w="5579" w:type="dxa"/>
            <w:tcBorders>
              <w:left w:val="nil"/>
            </w:tcBorders>
          </w:tcPr>
          <w:p w14:paraId="0E0596DA" w14:textId="77777777" w:rsidR="009E676E" w:rsidRPr="00887835" w:rsidRDefault="00E453CD" w:rsidP="001F48C5">
            <w:pPr>
              <w:pStyle w:val="EMEAHeadingLeaflet"/>
              <w:spacing w:beforeLines="0" w:before="0" w:afterLines="0" w:after="0"/>
              <w:rPr>
                <w:lang w:val="nb-NO"/>
              </w:rPr>
            </w:pPr>
            <w:r>
              <w:rPr>
                <w:rFonts w:ascii="Times New Roman" w:hAnsi="Times New Roman"/>
                <w:b w:val="0"/>
                <w:lang w:val="nb-NO"/>
              </w:rPr>
              <w:lastRenderedPageBreak/>
              <w:t>N</w:t>
            </w:r>
            <w:r w:rsidRPr="00887835">
              <w:rPr>
                <w:rFonts w:ascii="Times New Roman" w:hAnsi="Times New Roman"/>
                <w:b w:val="0"/>
                <w:lang w:val="nb-NO"/>
              </w:rPr>
              <w:t>år injeksjonen er ferdig</w:t>
            </w:r>
            <w:r>
              <w:rPr>
                <w:rFonts w:ascii="Times New Roman" w:hAnsi="Times New Roman"/>
                <w:b w:val="0"/>
                <w:lang w:val="nb-NO"/>
              </w:rPr>
              <w:t xml:space="preserve"> drar du</w:t>
            </w:r>
            <w:r w:rsidRPr="00887835">
              <w:rPr>
                <w:rFonts w:ascii="Times New Roman" w:hAnsi="Times New Roman"/>
                <w:b w:val="0"/>
                <w:lang w:val="nb-NO"/>
              </w:rPr>
              <w:t xml:space="preserve"> </w:t>
            </w:r>
            <w:r>
              <w:rPr>
                <w:rFonts w:ascii="Times New Roman" w:hAnsi="Times New Roman"/>
                <w:b w:val="0"/>
                <w:lang w:val="nb-NO"/>
              </w:rPr>
              <w:t xml:space="preserve">kanylen </w:t>
            </w:r>
            <w:r w:rsidRPr="00887835">
              <w:rPr>
                <w:rFonts w:ascii="Times New Roman" w:hAnsi="Times New Roman"/>
                <w:b w:val="0"/>
                <w:lang w:val="nb-NO"/>
              </w:rPr>
              <w:t xml:space="preserve">sakte </w:t>
            </w:r>
            <w:r>
              <w:rPr>
                <w:rFonts w:ascii="Times New Roman" w:hAnsi="Times New Roman"/>
                <w:b w:val="0"/>
                <w:lang w:val="nb-NO"/>
              </w:rPr>
              <w:t>ut av huden samtidig som du holder den ferdigfylte sprøyten i samme vinkel</w:t>
            </w:r>
            <w:r w:rsidRPr="00887835">
              <w:rPr>
                <w:rFonts w:ascii="Times New Roman" w:hAnsi="Times New Roman"/>
                <w:b w:val="0"/>
                <w:lang w:val="nb-NO"/>
              </w:rPr>
              <w:t>.</w:t>
            </w:r>
          </w:p>
          <w:p w14:paraId="0778F4A7" w14:textId="77777777" w:rsidR="009E676E" w:rsidRPr="00887835" w:rsidRDefault="00E453CD" w:rsidP="001F48C5">
            <w:pPr>
              <w:pStyle w:val="EMEANormal"/>
              <w:rPr>
                <w:lang w:val="nb-NO"/>
              </w:rPr>
            </w:pPr>
            <w:r w:rsidRPr="001A1AC5">
              <w:rPr>
                <w:lang w:val="nb-NO"/>
              </w:rPr>
              <w:t xml:space="preserve"> </w:t>
            </w:r>
          </w:p>
          <w:p w14:paraId="464E5AC6" w14:textId="77777777" w:rsidR="009E676E" w:rsidRPr="00887835" w:rsidRDefault="00E453CD" w:rsidP="001F48C5">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Etter endt injeksjon, plasser en bomullsdott eller gasbind på huden over injeksjonsstedet.</w:t>
            </w:r>
          </w:p>
          <w:p w14:paraId="46FD28EF" w14:textId="77777777" w:rsidR="009E676E" w:rsidRPr="00887835" w:rsidRDefault="009E676E" w:rsidP="001F48C5">
            <w:pPr>
              <w:pStyle w:val="EMEANormal"/>
              <w:rPr>
                <w:lang w:val="nb-NO"/>
              </w:rPr>
            </w:pPr>
          </w:p>
          <w:p w14:paraId="79182BD7" w14:textId="77777777" w:rsidR="009E676E" w:rsidRPr="005D17EB" w:rsidRDefault="00E453CD" w:rsidP="001F48C5">
            <w:pPr>
              <w:pStyle w:val="EMEAHeadingLeaflet"/>
              <w:numPr>
                <w:ilvl w:val="0"/>
                <w:numId w:val="121"/>
              </w:numPr>
              <w:tabs>
                <w:tab w:val="clear" w:pos="562"/>
                <w:tab w:val="left" w:pos="757"/>
              </w:tabs>
              <w:spacing w:beforeLines="0" w:before="0" w:afterLines="0" w:after="0"/>
              <w:ind w:left="757"/>
              <w:rPr>
                <w:rFonts w:ascii="Times New Roman" w:hAnsi="Times New Roman"/>
                <w:b w:val="0"/>
                <w:lang w:val="en-GB"/>
              </w:rPr>
            </w:pPr>
            <w:r>
              <w:rPr>
                <w:rFonts w:ascii="Times New Roman" w:hAnsi="Times New Roman"/>
                <w:lang w:val="en-GB"/>
              </w:rPr>
              <w:t>Ikke</w:t>
            </w:r>
            <w:r w:rsidRPr="005D17EB">
              <w:rPr>
                <w:rFonts w:ascii="Times New Roman" w:hAnsi="Times New Roman"/>
                <w:b w:val="0"/>
                <w:lang w:val="en-GB"/>
              </w:rPr>
              <w:t xml:space="preserve"> </w:t>
            </w:r>
            <w:r>
              <w:rPr>
                <w:rFonts w:ascii="Times New Roman" w:hAnsi="Times New Roman"/>
                <w:b w:val="0"/>
                <w:lang w:val="en-GB"/>
              </w:rPr>
              <w:t>gni</w:t>
            </w:r>
          </w:p>
          <w:p w14:paraId="2F56E133" w14:textId="77777777" w:rsidR="009E676E" w:rsidRPr="00887835" w:rsidRDefault="00E453CD" w:rsidP="001F48C5">
            <w:pPr>
              <w:pStyle w:val="EMEANormal"/>
              <w:numPr>
                <w:ilvl w:val="0"/>
                <w:numId w:val="121"/>
              </w:numPr>
              <w:tabs>
                <w:tab w:val="clear" w:pos="562"/>
                <w:tab w:val="left" w:pos="757"/>
              </w:tabs>
              <w:ind w:left="757"/>
              <w:rPr>
                <w:lang w:val="nb-NO"/>
              </w:rPr>
            </w:pPr>
            <w:r w:rsidRPr="00887835">
              <w:rPr>
                <w:lang w:val="nb-NO"/>
              </w:rPr>
              <w:t>Litt blødning ved injeksjonsstedet er normalt</w:t>
            </w:r>
          </w:p>
        </w:tc>
      </w:tr>
      <w:tr w:rsidR="004644D4" w14:paraId="5FDF4886" w14:textId="77777777" w:rsidTr="00FD5FF1">
        <w:tc>
          <w:tcPr>
            <w:tcW w:w="9287" w:type="dxa"/>
            <w:gridSpan w:val="2"/>
          </w:tcPr>
          <w:p w14:paraId="293B6657" w14:textId="77777777" w:rsidR="009E676E" w:rsidRPr="001F48C5" w:rsidRDefault="00E453CD" w:rsidP="00051DA6">
            <w:pPr>
              <w:keepNext/>
              <w:rPr>
                <w:sz w:val="22"/>
                <w:szCs w:val="22"/>
              </w:rPr>
            </w:pPr>
            <w:r w:rsidRPr="001F48C5">
              <w:rPr>
                <w:b/>
                <w:sz w:val="22"/>
                <w:szCs w:val="22"/>
              </w:rPr>
              <w:t>STEG 9</w:t>
            </w:r>
          </w:p>
          <w:p w14:paraId="66D1ECCC" w14:textId="77777777" w:rsidR="009E676E" w:rsidRPr="001F48C5" w:rsidRDefault="009E676E" w:rsidP="00051DA6">
            <w:pPr>
              <w:keepNext/>
              <w:rPr>
                <w:sz w:val="22"/>
                <w:szCs w:val="22"/>
              </w:rPr>
            </w:pPr>
          </w:p>
          <w:p w14:paraId="1E763C1B" w14:textId="77777777" w:rsidR="009E676E" w:rsidRPr="00887835" w:rsidRDefault="00E453CD" w:rsidP="00051DA6">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 xml:space="preserve">Kast den brukte ferdigfylte </w:t>
            </w:r>
            <w:r w:rsidR="00E656A8">
              <w:rPr>
                <w:rFonts w:ascii="Times New Roman" w:hAnsi="Times New Roman"/>
                <w:b w:val="0"/>
                <w:lang w:val="nb-NO"/>
              </w:rPr>
              <w:t>sprøyten</w:t>
            </w:r>
            <w:r w:rsidRPr="00887835">
              <w:rPr>
                <w:rFonts w:ascii="Times New Roman" w:hAnsi="Times New Roman"/>
                <w:b w:val="0"/>
                <w:lang w:val="nb-NO"/>
              </w:rPr>
              <w:t xml:space="preserve"> i en spesiell avfallsbeholder slik du har fått beskjed om fra legen</w:t>
            </w:r>
            <w:r w:rsidRPr="00545DB7">
              <w:rPr>
                <w:rFonts w:ascii="Times New Roman" w:hAnsi="Times New Roman"/>
                <w:b w:val="0"/>
                <w:lang w:val="nb-NO"/>
              </w:rPr>
              <w:t xml:space="preserve"> din, sykepleier eller </w:t>
            </w:r>
            <w:r>
              <w:rPr>
                <w:rFonts w:ascii="Times New Roman" w:hAnsi="Times New Roman"/>
                <w:b w:val="0"/>
                <w:lang w:val="nb-NO"/>
              </w:rPr>
              <w:t>apotek</w:t>
            </w:r>
            <w:r w:rsidRPr="00887835">
              <w:rPr>
                <w:rFonts w:ascii="Times New Roman" w:hAnsi="Times New Roman"/>
                <w:b w:val="0"/>
                <w:lang w:val="nb-NO"/>
              </w:rPr>
              <w:t>.</w:t>
            </w:r>
            <w:r w:rsidR="00AB221D">
              <w:rPr>
                <w:rFonts w:ascii="Times New Roman" w:hAnsi="Times New Roman"/>
                <w:b w:val="0"/>
                <w:lang w:val="nb-NO"/>
              </w:rPr>
              <w:t xml:space="preserve"> </w:t>
            </w:r>
            <w:r w:rsidR="00AB221D" w:rsidRPr="00AB221D">
              <w:rPr>
                <w:rFonts w:ascii="Times New Roman" w:hAnsi="Times New Roman"/>
                <w:b w:val="0"/>
                <w:lang w:val="nb-NO"/>
              </w:rPr>
              <w:t xml:space="preserve">Sett </w:t>
            </w:r>
            <w:r w:rsidR="00AB221D" w:rsidRPr="00A15CB1">
              <w:rPr>
                <w:rFonts w:ascii="Times New Roman" w:hAnsi="Times New Roman"/>
                <w:lang w:val="nb-NO"/>
              </w:rPr>
              <w:t>aldri</w:t>
            </w:r>
            <w:r w:rsidR="00AB221D" w:rsidRPr="00AB221D">
              <w:rPr>
                <w:rFonts w:ascii="Times New Roman" w:hAnsi="Times New Roman"/>
                <w:b w:val="0"/>
                <w:lang w:val="nb-NO"/>
              </w:rPr>
              <w:t xml:space="preserve"> </w:t>
            </w:r>
            <w:r w:rsidR="001F0200">
              <w:rPr>
                <w:rFonts w:ascii="Times New Roman" w:hAnsi="Times New Roman"/>
                <w:b w:val="0"/>
                <w:lang w:val="nb-NO"/>
              </w:rPr>
              <w:t>kanylehetten</w:t>
            </w:r>
            <w:r w:rsidR="001F0200" w:rsidRPr="00AB221D">
              <w:rPr>
                <w:rFonts w:ascii="Times New Roman" w:hAnsi="Times New Roman"/>
                <w:b w:val="0"/>
                <w:lang w:val="nb-NO"/>
              </w:rPr>
              <w:t xml:space="preserve"> </w:t>
            </w:r>
            <w:r w:rsidR="00AB221D" w:rsidRPr="00AB221D">
              <w:rPr>
                <w:rFonts w:ascii="Times New Roman" w:hAnsi="Times New Roman"/>
                <w:b w:val="0"/>
                <w:lang w:val="nb-NO"/>
              </w:rPr>
              <w:t xml:space="preserve">tilbake på </w:t>
            </w:r>
            <w:r w:rsidR="00AB221D">
              <w:rPr>
                <w:rFonts w:ascii="Times New Roman" w:hAnsi="Times New Roman"/>
                <w:b w:val="0"/>
                <w:lang w:val="nb-NO"/>
              </w:rPr>
              <w:t>en kanyle</w:t>
            </w:r>
            <w:r w:rsidR="00AB221D" w:rsidRPr="00AB221D">
              <w:rPr>
                <w:rFonts w:ascii="Times New Roman" w:hAnsi="Times New Roman"/>
                <w:b w:val="0"/>
                <w:lang w:val="nb-NO"/>
              </w:rPr>
              <w:t>.</w:t>
            </w:r>
            <w:r w:rsidR="00E656A8">
              <w:rPr>
                <w:rFonts w:ascii="Times New Roman" w:hAnsi="Times New Roman"/>
                <w:b w:val="0"/>
                <w:lang w:val="nb-NO"/>
              </w:rPr>
              <w:t xml:space="preserve"> </w:t>
            </w:r>
          </w:p>
          <w:p w14:paraId="38ECA429" w14:textId="77777777" w:rsidR="009E676E" w:rsidRPr="00887835" w:rsidRDefault="009E676E" w:rsidP="00051DA6">
            <w:pPr>
              <w:pStyle w:val="EMEANormal"/>
              <w:keepNext/>
              <w:rPr>
                <w:lang w:val="nb-NO"/>
              </w:rPr>
            </w:pPr>
          </w:p>
          <w:p w14:paraId="69629641" w14:textId="77777777" w:rsidR="009E676E" w:rsidRPr="00887835" w:rsidRDefault="00E453CD" w:rsidP="00051DA6">
            <w:pPr>
              <w:pStyle w:val="EMEAHeadingLeaflet"/>
              <w:keepNext/>
              <w:numPr>
                <w:ilvl w:val="0"/>
                <w:numId w:val="122"/>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resirkuler eller kast den ferdigfylte </w:t>
            </w:r>
            <w:r w:rsidR="00E656A8">
              <w:rPr>
                <w:rFonts w:ascii="Times New Roman" w:hAnsi="Times New Roman"/>
                <w:b w:val="0"/>
                <w:lang w:val="nb-NO"/>
              </w:rPr>
              <w:t>sprøyten</w:t>
            </w:r>
            <w:r w:rsidRPr="00887835">
              <w:rPr>
                <w:rFonts w:ascii="Times New Roman" w:hAnsi="Times New Roman"/>
                <w:b w:val="0"/>
                <w:lang w:val="nb-NO"/>
              </w:rPr>
              <w:t xml:space="preserve"> i vanlig husholdningsavfal</w:t>
            </w:r>
            <w:r>
              <w:rPr>
                <w:rFonts w:ascii="Times New Roman" w:hAnsi="Times New Roman"/>
                <w:b w:val="0"/>
                <w:lang w:val="nb-NO"/>
              </w:rPr>
              <w:t>l</w:t>
            </w:r>
          </w:p>
          <w:p w14:paraId="062B21E5" w14:textId="77777777" w:rsidR="009E676E" w:rsidRPr="00887835" w:rsidRDefault="00E453CD" w:rsidP="00051DA6">
            <w:pPr>
              <w:pStyle w:val="EMEANormal"/>
              <w:keepNext/>
              <w:numPr>
                <w:ilvl w:val="0"/>
                <w:numId w:val="122"/>
              </w:numPr>
              <w:tabs>
                <w:tab w:val="clear" w:pos="562"/>
                <w:tab w:val="left" w:pos="720"/>
              </w:tabs>
              <w:rPr>
                <w:lang w:val="nb-NO"/>
              </w:rPr>
            </w:pPr>
            <w:r w:rsidRPr="00887835">
              <w:rPr>
                <w:lang w:val="nb-NO"/>
              </w:rPr>
              <w:t>Oppbevar</w:t>
            </w:r>
            <w:r w:rsidRPr="00887835">
              <w:rPr>
                <w:b/>
                <w:lang w:val="nb-NO"/>
              </w:rPr>
              <w:t xml:space="preserve"> alltid </w:t>
            </w:r>
            <w:r>
              <w:rPr>
                <w:lang w:val="nb-NO"/>
              </w:rPr>
              <w:t xml:space="preserve">den </w:t>
            </w:r>
            <w:r w:rsidRPr="00887835">
              <w:rPr>
                <w:lang w:val="nb-NO"/>
              </w:rPr>
              <w:t>ferdigfylt</w:t>
            </w:r>
            <w:r w:rsidR="00537970">
              <w:rPr>
                <w:lang w:val="nb-NO"/>
              </w:rPr>
              <w:t>e</w:t>
            </w:r>
            <w:r w:rsidRPr="00887835">
              <w:rPr>
                <w:lang w:val="nb-NO"/>
              </w:rPr>
              <w:t xml:space="preserve"> </w:t>
            </w:r>
            <w:r w:rsidR="00AB221D">
              <w:rPr>
                <w:lang w:val="nb-NO"/>
              </w:rPr>
              <w:t>sprøyten</w:t>
            </w:r>
            <w:r w:rsidRPr="00887835">
              <w:rPr>
                <w:lang w:val="nb-NO"/>
              </w:rPr>
              <w:t xml:space="preserve"> og den spesielle avfallsbeholderen utilgjengelig for barn</w:t>
            </w:r>
          </w:p>
          <w:p w14:paraId="3FBFFF58" w14:textId="77777777" w:rsidR="009E676E" w:rsidRDefault="009E676E" w:rsidP="00051DA6">
            <w:pPr>
              <w:pStyle w:val="EMEANormal"/>
              <w:keepNext/>
              <w:rPr>
                <w:szCs w:val="22"/>
                <w:lang w:val="nb-NO"/>
              </w:rPr>
            </w:pPr>
          </w:p>
          <w:p w14:paraId="43B3B2CD" w14:textId="77777777" w:rsidR="009E676E" w:rsidRPr="00887835" w:rsidRDefault="00E453CD" w:rsidP="00051DA6">
            <w:pPr>
              <w:pStyle w:val="EMEANormal"/>
              <w:keepNext/>
              <w:rPr>
                <w:lang w:val="nb-NO"/>
              </w:rPr>
            </w:pPr>
            <w:r>
              <w:rPr>
                <w:szCs w:val="22"/>
                <w:lang w:val="nb-NO"/>
              </w:rPr>
              <w:t>Kanylehetten</w:t>
            </w:r>
            <w:r w:rsidRPr="00887835">
              <w:rPr>
                <w:szCs w:val="22"/>
                <w:lang w:val="nb-NO"/>
              </w:rPr>
              <w:t>, injeksjonstørk, bomullsdott eller gasbind, blister og kartong kan kastes i husholdningsavfallet ditt.</w:t>
            </w:r>
          </w:p>
        </w:tc>
      </w:tr>
    </w:tbl>
    <w:p w14:paraId="13EE25A8" w14:textId="77777777" w:rsidR="009E676E" w:rsidRPr="009C5EFD" w:rsidRDefault="009E676E" w:rsidP="009E676E">
      <w:pPr>
        <w:rPr>
          <w:sz w:val="22"/>
          <w:szCs w:val="22"/>
        </w:rPr>
      </w:pPr>
    </w:p>
    <w:p w14:paraId="322763DE" w14:textId="77777777" w:rsidR="00CF7F58" w:rsidRPr="0075260B" w:rsidRDefault="00E453CD" w:rsidP="009B1622">
      <w:pPr>
        <w:jc w:val="center"/>
        <w:rPr>
          <w:b/>
          <w:sz w:val="22"/>
          <w:szCs w:val="22"/>
        </w:rPr>
      </w:pPr>
      <w:r>
        <w:rPr>
          <w:sz w:val="22"/>
          <w:szCs w:val="22"/>
        </w:rPr>
        <w:br w:type="page"/>
      </w:r>
      <w:r w:rsidRPr="0075260B">
        <w:rPr>
          <w:b/>
          <w:sz w:val="22"/>
          <w:szCs w:val="22"/>
        </w:rPr>
        <w:lastRenderedPageBreak/>
        <w:t>Pakningsvedlegg: Informasjon til pasienten</w:t>
      </w:r>
    </w:p>
    <w:p w14:paraId="2C2EFA37" w14:textId="77777777" w:rsidR="00CF7F58" w:rsidRPr="0075260B" w:rsidRDefault="00CF7F58" w:rsidP="00CF7F58">
      <w:pPr>
        <w:jc w:val="center"/>
        <w:rPr>
          <w:b/>
          <w:sz w:val="22"/>
          <w:szCs w:val="22"/>
        </w:rPr>
      </w:pPr>
    </w:p>
    <w:p w14:paraId="2141DD29" w14:textId="77777777" w:rsidR="00CF7F58" w:rsidRPr="0075260B" w:rsidRDefault="00E453CD" w:rsidP="00CF7F58">
      <w:pPr>
        <w:jc w:val="center"/>
        <w:rPr>
          <w:sz w:val="22"/>
          <w:szCs w:val="22"/>
        </w:rPr>
      </w:pPr>
      <w:r w:rsidRPr="0075260B">
        <w:rPr>
          <w:b/>
          <w:sz w:val="22"/>
          <w:szCs w:val="22"/>
        </w:rPr>
        <w:t xml:space="preserve">Humira </w:t>
      </w:r>
      <w:r>
        <w:rPr>
          <w:b/>
          <w:sz w:val="22"/>
          <w:szCs w:val="22"/>
        </w:rPr>
        <w:t>8</w:t>
      </w:r>
      <w:r w:rsidRPr="0075260B">
        <w:rPr>
          <w:b/>
          <w:sz w:val="22"/>
          <w:szCs w:val="22"/>
        </w:rPr>
        <w:t xml:space="preserve">0 mg injeksjonsvæske, oppløsning i ferdigfylt </w:t>
      </w:r>
      <w:r>
        <w:rPr>
          <w:b/>
          <w:sz w:val="22"/>
          <w:szCs w:val="22"/>
        </w:rPr>
        <w:t>penn</w:t>
      </w:r>
    </w:p>
    <w:p w14:paraId="76CE24D0" w14:textId="77777777" w:rsidR="00CF7F58" w:rsidRPr="0075260B" w:rsidRDefault="00E453CD" w:rsidP="00CF7F58">
      <w:pPr>
        <w:ind w:left="54"/>
        <w:jc w:val="center"/>
        <w:rPr>
          <w:sz w:val="22"/>
          <w:szCs w:val="22"/>
        </w:rPr>
      </w:pPr>
      <w:r w:rsidRPr="0075260B">
        <w:rPr>
          <w:sz w:val="22"/>
          <w:szCs w:val="22"/>
        </w:rPr>
        <w:t>adalimumab</w:t>
      </w:r>
    </w:p>
    <w:p w14:paraId="5D67453C" w14:textId="77777777" w:rsidR="00CF7F58" w:rsidRPr="0075260B" w:rsidRDefault="00CF7F58" w:rsidP="00CF7F58">
      <w:pPr>
        <w:ind w:left="54"/>
        <w:jc w:val="center"/>
        <w:rPr>
          <w:sz w:val="22"/>
          <w:szCs w:val="22"/>
        </w:rPr>
      </w:pPr>
    </w:p>
    <w:p w14:paraId="5DD7EA6F" w14:textId="77777777" w:rsidR="00CF7F58" w:rsidRPr="009C5EFD" w:rsidRDefault="00E453CD" w:rsidP="00A31787">
      <w:pPr>
        <w:rPr>
          <w:sz w:val="22"/>
          <w:szCs w:val="22"/>
        </w:rPr>
      </w:pPr>
      <w:r w:rsidRPr="0075260B">
        <w:rPr>
          <w:b/>
          <w:sz w:val="22"/>
          <w:szCs w:val="22"/>
        </w:rPr>
        <w:t xml:space="preserve">Les nøye gjennom dette pakningsvedlegget før du begynner å bruke dette legemidlet. </w:t>
      </w:r>
      <w:r w:rsidRPr="009C5EFD">
        <w:rPr>
          <w:b/>
          <w:sz w:val="22"/>
          <w:szCs w:val="22"/>
        </w:rPr>
        <w:t>Det inneholder informasjon som er viktig for deg.</w:t>
      </w:r>
    </w:p>
    <w:p w14:paraId="3F4983C9" w14:textId="77777777" w:rsidR="00CF7F58" w:rsidRPr="009C5EFD" w:rsidRDefault="00E453CD" w:rsidP="00CF7F58">
      <w:pPr>
        <w:numPr>
          <w:ilvl w:val="0"/>
          <w:numId w:val="1"/>
        </w:numPr>
        <w:ind w:left="567" w:right="-2" w:hanging="567"/>
        <w:rPr>
          <w:sz w:val="22"/>
          <w:szCs w:val="22"/>
        </w:rPr>
      </w:pPr>
      <w:r w:rsidRPr="009C5EFD">
        <w:rPr>
          <w:sz w:val="22"/>
          <w:szCs w:val="22"/>
        </w:rPr>
        <w:t>Ta vare på dette pakningsvedlegget. Du kan få behov for å lese det igjen.</w:t>
      </w:r>
    </w:p>
    <w:p w14:paraId="0251793C" w14:textId="77777777" w:rsidR="00CF7F58" w:rsidRPr="009C5EFD" w:rsidRDefault="00E453CD" w:rsidP="00CF7F58">
      <w:pPr>
        <w:numPr>
          <w:ilvl w:val="0"/>
          <w:numId w:val="1"/>
        </w:numPr>
        <w:ind w:left="567" w:right="-2" w:hanging="567"/>
        <w:rPr>
          <w:sz w:val="22"/>
          <w:szCs w:val="22"/>
        </w:rPr>
      </w:pPr>
      <w:r w:rsidRPr="009C5EFD">
        <w:rPr>
          <w:sz w:val="22"/>
          <w:szCs w:val="22"/>
        </w:rPr>
        <w:t xml:space="preserve">Legen </w:t>
      </w:r>
      <w:r>
        <w:rPr>
          <w:sz w:val="22"/>
          <w:szCs w:val="22"/>
        </w:rPr>
        <w:t>din</w:t>
      </w:r>
      <w:r w:rsidRPr="009C5EFD">
        <w:rPr>
          <w:sz w:val="22"/>
          <w:szCs w:val="22"/>
        </w:rPr>
        <w:t xml:space="preserve"> vil også gi deg et </w:t>
      </w:r>
      <w:r w:rsidRPr="0061743D">
        <w:rPr>
          <w:b/>
          <w:sz w:val="22"/>
        </w:rPr>
        <w:t>pasientkort</w:t>
      </w:r>
      <w:r w:rsidRPr="009C5EFD">
        <w:rPr>
          <w:sz w:val="22"/>
          <w:szCs w:val="22"/>
        </w:rPr>
        <w:t xml:space="preserve"> som inneholder viktige sikkerhetsopplysninger som du må være oppmerksom på før du </w:t>
      </w:r>
      <w:r>
        <w:rPr>
          <w:sz w:val="22"/>
          <w:szCs w:val="22"/>
        </w:rPr>
        <w:t>begynner å bruke</w:t>
      </w:r>
      <w:r w:rsidRPr="009C5EFD">
        <w:rPr>
          <w:sz w:val="22"/>
          <w:szCs w:val="22"/>
        </w:rPr>
        <w:t xml:space="preserve"> Humira og under behandling med Humira. Ha dette </w:t>
      </w:r>
      <w:r w:rsidRPr="0061743D">
        <w:rPr>
          <w:b/>
          <w:sz w:val="22"/>
        </w:rPr>
        <w:t>pasientkortet</w:t>
      </w:r>
      <w:r w:rsidRPr="009C5EFD">
        <w:rPr>
          <w:sz w:val="22"/>
          <w:szCs w:val="22"/>
        </w:rPr>
        <w:t xml:space="preserve"> på deg.</w:t>
      </w:r>
    </w:p>
    <w:p w14:paraId="0AA4A3A7" w14:textId="77777777" w:rsidR="00CB7912" w:rsidRPr="00CB7912" w:rsidRDefault="00E453CD" w:rsidP="00776A84">
      <w:pPr>
        <w:numPr>
          <w:ilvl w:val="0"/>
          <w:numId w:val="1"/>
        </w:numPr>
        <w:ind w:left="567" w:hanging="567"/>
        <w:rPr>
          <w:sz w:val="22"/>
          <w:szCs w:val="22"/>
        </w:rPr>
      </w:pPr>
      <w:r w:rsidRPr="00CB7912">
        <w:rPr>
          <w:sz w:val="22"/>
          <w:szCs w:val="22"/>
        </w:rPr>
        <w:t>Spør lege eller apotek hvis du har flere spørsmål eller trenger</w:t>
      </w:r>
      <w:r>
        <w:rPr>
          <w:sz w:val="22"/>
          <w:szCs w:val="22"/>
        </w:rPr>
        <w:t xml:space="preserve"> </w:t>
      </w:r>
      <w:r w:rsidRPr="00CB7912">
        <w:rPr>
          <w:sz w:val="22"/>
          <w:szCs w:val="22"/>
        </w:rPr>
        <w:t xml:space="preserve">mer informasjon. </w:t>
      </w:r>
    </w:p>
    <w:p w14:paraId="692701A1" w14:textId="77777777" w:rsidR="00CF7F58" w:rsidRPr="009C5EFD" w:rsidRDefault="00E453CD" w:rsidP="00CF7F58">
      <w:pPr>
        <w:numPr>
          <w:ilvl w:val="0"/>
          <w:numId w:val="1"/>
        </w:numPr>
        <w:ind w:left="567" w:right="-2" w:hanging="567"/>
        <w:rPr>
          <w:b/>
          <w:sz w:val="22"/>
          <w:szCs w:val="22"/>
        </w:rPr>
      </w:pPr>
      <w:r w:rsidRPr="009C5EFD">
        <w:rPr>
          <w:sz w:val="22"/>
          <w:szCs w:val="22"/>
        </w:rPr>
        <w:t>Dette legemidlet er skrevet ut kun til deg. Ikke gi det videre til andre. Det kan skade dem, selv om de har symptomer på sykdom som ligner dine.</w:t>
      </w:r>
    </w:p>
    <w:p w14:paraId="187664A8" w14:textId="77777777" w:rsidR="00CF7F58" w:rsidRPr="009C5EFD" w:rsidRDefault="00E453CD" w:rsidP="00CF7F58">
      <w:pPr>
        <w:numPr>
          <w:ilvl w:val="0"/>
          <w:numId w:val="1"/>
        </w:numPr>
        <w:ind w:left="567" w:right="-2" w:hanging="567"/>
        <w:rPr>
          <w:b/>
          <w:sz w:val="22"/>
          <w:szCs w:val="22"/>
        </w:rPr>
      </w:pPr>
      <w:r w:rsidRPr="009C5EFD">
        <w:rPr>
          <w:sz w:val="22"/>
          <w:szCs w:val="22"/>
        </w:rPr>
        <w:t>Kontakt lege</w:t>
      </w:r>
      <w:r>
        <w:rPr>
          <w:sz w:val="22"/>
          <w:szCs w:val="22"/>
        </w:rPr>
        <w:t>n din</w:t>
      </w:r>
      <w:r w:rsidRPr="009C5EFD">
        <w:rPr>
          <w:sz w:val="22"/>
          <w:szCs w:val="22"/>
        </w:rPr>
        <w:t xml:space="preserve"> eller apotek dersom du opplever bivirkninger, inkludert mulige bivirkninger som ikke er nevnt i dette pakningsvedlegget. Se avsnitt 4.</w:t>
      </w:r>
    </w:p>
    <w:p w14:paraId="11005029" w14:textId="77777777" w:rsidR="00CF7F58" w:rsidRPr="009C5EFD" w:rsidRDefault="00CF7F58" w:rsidP="00AF70AD">
      <w:pPr>
        <w:rPr>
          <w:sz w:val="22"/>
          <w:szCs w:val="22"/>
        </w:rPr>
      </w:pPr>
    </w:p>
    <w:p w14:paraId="540FE12D" w14:textId="77777777" w:rsidR="00CF7F58" w:rsidRPr="009C5EFD" w:rsidRDefault="00E453CD" w:rsidP="00776A84">
      <w:pPr>
        <w:keepNext/>
        <w:rPr>
          <w:sz w:val="22"/>
          <w:szCs w:val="22"/>
        </w:rPr>
      </w:pPr>
      <w:r w:rsidRPr="009C5EFD">
        <w:rPr>
          <w:b/>
          <w:sz w:val="22"/>
          <w:szCs w:val="22"/>
        </w:rPr>
        <w:t>I dette pakningsvedlegget finner du informasjon om</w:t>
      </w:r>
    </w:p>
    <w:p w14:paraId="003E629A" w14:textId="77777777" w:rsidR="00CF7F58" w:rsidRPr="009C5EFD" w:rsidRDefault="00E453CD" w:rsidP="00CF7F58">
      <w:pPr>
        <w:ind w:left="567" w:right="-29" w:hanging="567"/>
        <w:rPr>
          <w:sz w:val="22"/>
          <w:szCs w:val="22"/>
        </w:rPr>
      </w:pPr>
      <w:r w:rsidRPr="009C5EFD">
        <w:rPr>
          <w:sz w:val="22"/>
          <w:szCs w:val="22"/>
        </w:rPr>
        <w:t>1.</w:t>
      </w:r>
      <w:r w:rsidRPr="009C5EFD">
        <w:rPr>
          <w:sz w:val="22"/>
          <w:szCs w:val="22"/>
        </w:rPr>
        <w:tab/>
        <w:t>Hva Humira er og hva det brukes mot</w:t>
      </w:r>
    </w:p>
    <w:p w14:paraId="74596CF5" w14:textId="77777777" w:rsidR="00CF7F58" w:rsidRPr="009C5EFD" w:rsidRDefault="00E453CD" w:rsidP="00CF7F58">
      <w:pPr>
        <w:ind w:left="567" w:right="-29" w:hanging="567"/>
        <w:rPr>
          <w:sz w:val="22"/>
          <w:szCs w:val="22"/>
        </w:rPr>
      </w:pPr>
      <w:r w:rsidRPr="009C5EFD">
        <w:rPr>
          <w:sz w:val="22"/>
          <w:szCs w:val="22"/>
        </w:rPr>
        <w:t>2.</w:t>
      </w:r>
      <w:r w:rsidRPr="009C5EFD">
        <w:rPr>
          <w:sz w:val="22"/>
          <w:szCs w:val="22"/>
        </w:rPr>
        <w:tab/>
        <w:t>Hva du må vite før du bruker Humira</w:t>
      </w:r>
    </w:p>
    <w:p w14:paraId="25B5E9FE" w14:textId="77777777" w:rsidR="00CF7F58" w:rsidRPr="009C5EFD" w:rsidRDefault="00E453CD" w:rsidP="00CF7F58">
      <w:pPr>
        <w:ind w:left="567" w:right="-29" w:hanging="567"/>
        <w:rPr>
          <w:sz w:val="22"/>
          <w:szCs w:val="22"/>
        </w:rPr>
      </w:pPr>
      <w:r w:rsidRPr="009C5EFD">
        <w:rPr>
          <w:sz w:val="22"/>
          <w:szCs w:val="22"/>
        </w:rPr>
        <w:t>3.</w:t>
      </w:r>
      <w:r w:rsidRPr="009C5EFD">
        <w:rPr>
          <w:sz w:val="22"/>
          <w:szCs w:val="22"/>
        </w:rPr>
        <w:tab/>
        <w:t>Hvordan du bruker Humira</w:t>
      </w:r>
    </w:p>
    <w:p w14:paraId="4EDE8838" w14:textId="77777777" w:rsidR="00CF7F58" w:rsidRPr="009C5EFD" w:rsidRDefault="00E453CD" w:rsidP="00CF7F58">
      <w:pPr>
        <w:ind w:left="567" w:right="-29" w:hanging="567"/>
        <w:rPr>
          <w:sz w:val="22"/>
          <w:szCs w:val="22"/>
        </w:rPr>
      </w:pPr>
      <w:r w:rsidRPr="009C5EFD">
        <w:rPr>
          <w:sz w:val="22"/>
          <w:szCs w:val="22"/>
        </w:rPr>
        <w:t>4.</w:t>
      </w:r>
      <w:r w:rsidRPr="009C5EFD">
        <w:rPr>
          <w:sz w:val="22"/>
          <w:szCs w:val="22"/>
        </w:rPr>
        <w:tab/>
        <w:t>Mulige bivirkninger</w:t>
      </w:r>
    </w:p>
    <w:p w14:paraId="4A1CA91B" w14:textId="77777777" w:rsidR="00CF7F58" w:rsidRPr="009C5EFD" w:rsidRDefault="00E453CD" w:rsidP="00CF7F58">
      <w:pPr>
        <w:ind w:left="567" w:right="-29" w:hanging="567"/>
        <w:rPr>
          <w:sz w:val="22"/>
          <w:szCs w:val="22"/>
        </w:rPr>
      </w:pPr>
      <w:r w:rsidRPr="009C5EFD">
        <w:rPr>
          <w:sz w:val="22"/>
          <w:szCs w:val="22"/>
        </w:rPr>
        <w:t>5.</w:t>
      </w:r>
      <w:r w:rsidRPr="009C5EFD">
        <w:rPr>
          <w:sz w:val="22"/>
          <w:szCs w:val="22"/>
        </w:rPr>
        <w:tab/>
        <w:t>Hvordan du oppbevarer Humira</w:t>
      </w:r>
    </w:p>
    <w:p w14:paraId="489045B4" w14:textId="77777777" w:rsidR="00CF7F58" w:rsidRPr="009C5EFD" w:rsidRDefault="00E453CD" w:rsidP="00CF7F58">
      <w:pPr>
        <w:ind w:left="567" w:right="-29" w:hanging="567"/>
        <w:rPr>
          <w:sz w:val="22"/>
          <w:szCs w:val="22"/>
        </w:rPr>
      </w:pPr>
      <w:r w:rsidRPr="009C5EFD">
        <w:rPr>
          <w:sz w:val="22"/>
          <w:szCs w:val="22"/>
        </w:rPr>
        <w:t>6.</w:t>
      </w:r>
      <w:r w:rsidRPr="009C5EFD">
        <w:rPr>
          <w:sz w:val="22"/>
          <w:szCs w:val="22"/>
        </w:rPr>
        <w:tab/>
        <w:t>Innholdet i pakningen og ytterligere informasjon</w:t>
      </w:r>
    </w:p>
    <w:p w14:paraId="61CEDC83" w14:textId="77777777" w:rsidR="00CF7F58" w:rsidRPr="009C5EFD" w:rsidRDefault="00E453CD" w:rsidP="00CF7F58">
      <w:pPr>
        <w:ind w:left="567" w:right="-29" w:hanging="567"/>
        <w:rPr>
          <w:sz w:val="22"/>
          <w:szCs w:val="22"/>
        </w:rPr>
      </w:pPr>
      <w:r>
        <w:rPr>
          <w:sz w:val="22"/>
          <w:szCs w:val="22"/>
        </w:rPr>
        <w:t>7.</w:t>
      </w:r>
      <w:r>
        <w:rPr>
          <w:sz w:val="22"/>
          <w:szCs w:val="22"/>
        </w:rPr>
        <w:tab/>
      </w:r>
      <w:r w:rsidR="00906D19">
        <w:rPr>
          <w:sz w:val="22"/>
          <w:szCs w:val="22"/>
        </w:rPr>
        <w:t>Hvordan du injiserer Humira</w:t>
      </w:r>
    </w:p>
    <w:p w14:paraId="57EE6A6D" w14:textId="77777777" w:rsidR="00CF7F58" w:rsidRPr="009C5EFD" w:rsidRDefault="00CF7F58" w:rsidP="00CF7F58">
      <w:pPr>
        <w:ind w:right="-29"/>
        <w:rPr>
          <w:sz w:val="22"/>
          <w:szCs w:val="22"/>
        </w:rPr>
      </w:pPr>
    </w:p>
    <w:p w14:paraId="7075B375" w14:textId="77777777" w:rsidR="00CF7F58" w:rsidRPr="009C5EFD" w:rsidRDefault="00CF7F58" w:rsidP="00CF7F58">
      <w:pPr>
        <w:suppressAutoHyphens/>
        <w:rPr>
          <w:sz w:val="22"/>
          <w:szCs w:val="22"/>
        </w:rPr>
      </w:pPr>
    </w:p>
    <w:p w14:paraId="6E7283DD" w14:textId="77777777" w:rsidR="00CF7F58" w:rsidRPr="009C5EFD" w:rsidRDefault="00E453CD" w:rsidP="00776A84">
      <w:pPr>
        <w:keepNext/>
        <w:suppressAutoHyphens/>
        <w:ind w:left="567" w:hanging="567"/>
        <w:rPr>
          <w:sz w:val="22"/>
          <w:szCs w:val="22"/>
        </w:rPr>
      </w:pPr>
      <w:r w:rsidRPr="009C5EFD">
        <w:rPr>
          <w:b/>
          <w:sz w:val="22"/>
          <w:szCs w:val="22"/>
        </w:rPr>
        <w:t>1.</w:t>
      </w:r>
      <w:r w:rsidRPr="009C5EFD">
        <w:rPr>
          <w:b/>
          <w:sz w:val="22"/>
          <w:szCs w:val="22"/>
        </w:rPr>
        <w:tab/>
        <w:t>Hva Humira er og hva det brukes mot</w:t>
      </w:r>
    </w:p>
    <w:p w14:paraId="3A39B8EF" w14:textId="77777777" w:rsidR="00CF7F58" w:rsidRPr="009C5EFD" w:rsidRDefault="00CF7F58" w:rsidP="00776A84">
      <w:pPr>
        <w:keepNext/>
        <w:suppressAutoHyphens/>
        <w:ind w:left="567" w:hanging="567"/>
        <w:rPr>
          <w:sz w:val="22"/>
          <w:szCs w:val="22"/>
        </w:rPr>
      </w:pPr>
    </w:p>
    <w:p w14:paraId="53788835" w14:textId="77777777" w:rsidR="00CF7F58" w:rsidRPr="009C5EFD" w:rsidRDefault="00E453CD" w:rsidP="00CF7F58">
      <w:pPr>
        <w:suppressAutoHyphens/>
        <w:rPr>
          <w:sz w:val="22"/>
          <w:szCs w:val="22"/>
        </w:rPr>
      </w:pPr>
      <w:r w:rsidRPr="009C5EFD">
        <w:rPr>
          <w:sz w:val="22"/>
          <w:szCs w:val="22"/>
        </w:rPr>
        <w:t>Humira inneholder virkestoffet adalimumab.</w:t>
      </w:r>
    </w:p>
    <w:p w14:paraId="520E3BDC" w14:textId="77777777" w:rsidR="00CF7F58" w:rsidRPr="009C5EFD" w:rsidRDefault="00CF7F58" w:rsidP="00CF7F58">
      <w:pPr>
        <w:suppressAutoHyphens/>
        <w:rPr>
          <w:sz w:val="22"/>
          <w:szCs w:val="22"/>
        </w:rPr>
      </w:pPr>
    </w:p>
    <w:p w14:paraId="071B4243" w14:textId="77777777" w:rsidR="00CF7F58" w:rsidRDefault="00E453CD" w:rsidP="00CF7F58">
      <w:pPr>
        <w:suppressAutoHyphens/>
        <w:rPr>
          <w:sz w:val="22"/>
          <w:szCs w:val="22"/>
        </w:rPr>
      </w:pPr>
      <w:r w:rsidRPr="009C5EFD">
        <w:rPr>
          <w:sz w:val="22"/>
          <w:szCs w:val="22"/>
        </w:rPr>
        <w:t xml:space="preserve">Humira brukes </w:t>
      </w:r>
      <w:r w:rsidR="008167D9">
        <w:rPr>
          <w:sz w:val="22"/>
          <w:szCs w:val="22"/>
        </w:rPr>
        <w:t>til</w:t>
      </w:r>
      <w:r w:rsidR="008167D9" w:rsidRPr="009C5EFD">
        <w:rPr>
          <w:sz w:val="22"/>
          <w:szCs w:val="22"/>
        </w:rPr>
        <w:t xml:space="preserve"> </w:t>
      </w:r>
      <w:r>
        <w:rPr>
          <w:sz w:val="22"/>
          <w:szCs w:val="22"/>
        </w:rPr>
        <w:t>å behandle</w:t>
      </w:r>
    </w:p>
    <w:p w14:paraId="3BC9C7ED" w14:textId="77777777" w:rsidR="0032142D" w:rsidRPr="00AF70AD" w:rsidRDefault="00E453CD" w:rsidP="00AF70AD">
      <w:pPr>
        <w:numPr>
          <w:ilvl w:val="0"/>
          <w:numId w:val="108"/>
        </w:numPr>
        <w:tabs>
          <w:tab w:val="left" w:pos="720"/>
        </w:tabs>
        <w:suppressAutoHyphens/>
        <w:ind w:left="714" w:hanging="357"/>
        <w:rPr>
          <w:sz w:val="22"/>
          <w:lang w:val="en-GB"/>
        </w:rPr>
      </w:pPr>
      <w:r w:rsidRPr="00707BE4">
        <w:rPr>
          <w:sz w:val="22"/>
          <w:lang w:val="en-GB"/>
        </w:rPr>
        <w:t>R</w:t>
      </w:r>
      <w:r w:rsidRPr="00AF70AD">
        <w:rPr>
          <w:sz w:val="22"/>
          <w:lang w:val="en-GB"/>
        </w:rPr>
        <w:t>evmatoid artritt</w:t>
      </w:r>
    </w:p>
    <w:p w14:paraId="4707A2CB" w14:textId="77777777" w:rsidR="00CF7F58" w:rsidRPr="0099750B" w:rsidRDefault="00E453CD" w:rsidP="00A31787">
      <w:pPr>
        <w:numPr>
          <w:ilvl w:val="0"/>
          <w:numId w:val="108"/>
        </w:numPr>
        <w:tabs>
          <w:tab w:val="left" w:pos="720"/>
        </w:tabs>
        <w:suppressAutoHyphens/>
        <w:ind w:left="714" w:hanging="357"/>
        <w:rPr>
          <w:sz w:val="22"/>
          <w:lang w:val="en-GB"/>
        </w:rPr>
      </w:pPr>
      <w:r>
        <w:rPr>
          <w:sz w:val="22"/>
          <w:lang w:val="en-GB"/>
        </w:rPr>
        <w:t>Plakkp</w:t>
      </w:r>
      <w:r w:rsidRPr="0099750B">
        <w:rPr>
          <w:sz w:val="22"/>
          <w:lang w:val="en-GB"/>
        </w:rPr>
        <w:t>soriasis</w:t>
      </w:r>
    </w:p>
    <w:p w14:paraId="0AFD1B78" w14:textId="77777777" w:rsidR="00CF7F58" w:rsidRPr="0099750B" w:rsidRDefault="00E453CD" w:rsidP="00A31787">
      <w:pPr>
        <w:numPr>
          <w:ilvl w:val="0"/>
          <w:numId w:val="108"/>
        </w:numPr>
        <w:tabs>
          <w:tab w:val="left" w:pos="720"/>
        </w:tabs>
        <w:suppressAutoHyphens/>
        <w:ind w:left="714" w:hanging="357"/>
        <w:rPr>
          <w:sz w:val="22"/>
          <w:lang w:val="en-GB"/>
        </w:rPr>
      </w:pPr>
      <w:r>
        <w:rPr>
          <w:sz w:val="22"/>
          <w:lang w:val="en-GB"/>
        </w:rPr>
        <w:t>H</w:t>
      </w:r>
      <w:r w:rsidRPr="009C5EFD">
        <w:rPr>
          <w:sz w:val="22"/>
          <w:szCs w:val="22"/>
        </w:rPr>
        <w:t>idrosadenitt</w:t>
      </w:r>
    </w:p>
    <w:p w14:paraId="2B137647" w14:textId="77777777" w:rsidR="00CF7F58" w:rsidRDefault="00E453CD" w:rsidP="00A31787">
      <w:pPr>
        <w:numPr>
          <w:ilvl w:val="0"/>
          <w:numId w:val="108"/>
        </w:numPr>
        <w:tabs>
          <w:tab w:val="left" w:pos="720"/>
        </w:tabs>
        <w:suppressAutoHyphens/>
        <w:ind w:left="714" w:hanging="357"/>
        <w:rPr>
          <w:sz w:val="22"/>
          <w:lang w:val="en-GB"/>
        </w:rPr>
      </w:pPr>
      <w:r w:rsidRPr="0099750B">
        <w:rPr>
          <w:sz w:val="22"/>
          <w:lang w:val="en-GB"/>
        </w:rPr>
        <w:t xml:space="preserve">Crohns </w:t>
      </w:r>
      <w:r w:rsidRPr="009C5EFD">
        <w:rPr>
          <w:sz w:val="22"/>
          <w:szCs w:val="22"/>
        </w:rPr>
        <w:t>sykdom</w:t>
      </w:r>
    </w:p>
    <w:p w14:paraId="24AD57AA" w14:textId="77777777" w:rsidR="00CF7F58" w:rsidRPr="0061743D" w:rsidRDefault="00E453CD" w:rsidP="00A31787">
      <w:pPr>
        <w:numPr>
          <w:ilvl w:val="0"/>
          <w:numId w:val="108"/>
        </w:numPr>
        <w:tabs>
          <w:tab w:val="left" w:pos="720"/>
        </w:tabs>
        <w:suppressAutoHyphens/>
        <w:ind w:left="714" w:hanging="357"/>
        <w:rPr>
          <w:sz w:val="22"/>
          <w:lang w:val="en-GB"/>
        </w:rPr>
      </w:pPr>
      <w:r>
        <w:rPr>
          <w:sz w:val="22"/>
          <w:szCs w:val="22"/>
        </w:rPr>
        <w:t>U</w:t>
      </w:r>
      <w:r w:rsidRPr="009C5EFD">
        <w:rPr>
          <w:sz w:val="22"/>
          <w:szCs w:val="22"/>
        </w:rPr>
        <w:t>lcerøs kolitt</w:t>
      </w:r>
    </w:p>
    <w:p w14:paraId="2908CE61" w14:textId="77777777" w:rsidR="00CF7F58" w:rsidRPr="0061743D" w:rsidRDefault="00E453CD" w:rsidP="00A31787">
      <w:pPr>
        <w:numPr>
          <w:ilvl w:val="0"/>
          <w:numId w:val="108"/>
        </w:numPr>
        <w:tabs>
          <w:tab w:val="left" w:pos="720"/>
        </w:tabs>
        <w:suppressAutoHyphens/>
        <w:ind w:left="714" w:hanging="357"/>
        <w:rPr>
          <w:sz w:val="22"/>
        </w:rPr>
      </w:pPr>
      <w:r>
        <w:rPr>
          <w:sz w:val="22"/>
        </w:rPr>
        <w:t>I</w:t>
      </w:r>
      <w:r w:rsidRPr="0061743D">
        <w:rPr>
          <w:sz w:val="22"/>
        </w:rPr>
        <w:t>kke-infeksiøs uveitt</w:t>
      </w:r>
    </w:p>
    <w:p w14:paraId="51E22CDD" w14:textId="77777777" w:rsidR="00CF7F58" w:rsidRPr="009C5EFD" w:rsidRDefault="00CF7F58" w:rsidP="00CF7F58">
      <w:pPr>
        <w:suppressAutoHyphens/>
        <w:rPr>
          <w:sz w:val="22"/>
          <w:szCs w:val="22"/>
        </w:rPr>
      </w:pPr>
    </w:p>
    <w:p w14:paraId="6CDFFB04" w14:textId="77777777" w:rsidR="00BD2249" w:rsidRDefault="00E453CD" w:rsidP="00BD2249">
      <w:pPr>
        <w:rPr>
          <w:sz w:val="22"/>
          <w:szCs w:val="22"/>
        </w:rPr>
      </w:pPr>
      <w:r>
        <w:rPr>
          <w:sz w:val="22"/>
          <w:szCs w:val="22"/>
        </w:rPr>
        <w:t>Virkestoffet i Humira, adalimumab, er et humant monoklonalt antistoff. Monoklonale antistoffer er proteiner som fester seg til et spesifikt mål.</w:t>
      </w:r>
    </w:p>
    <w:p w14:paraId="67ADB566" w14:textId="77777777" w:rsidR="00BD2249" w:rsidRDefault="00BD2249" w:rsidP="00BD2249">
      <w:pPr>
        <w:rPr>
          <w:sz w:val="22"/>
          <w:szCs w:val="22"/>
        </w:rPr>
      </w:pPr>
    </w:p>
    <w:p w14:paraId="0E14E818" w14:textId="77777777" w:rsidR="00CF7F58" w:rsidRDefault="00E453CD" w:rsidP="00BD2249">
      <w:pPr>
        <w:rPr>
          <w:sz w:val="22"/>
          <w:szCs w:val="22"/>
        </w:rPr>
      </w:pPr>
      <w:r>
        <w:rPr>
          <w:sz w:val="22"/>
          <w:szCs w:val="22"/>
        </w:rPr>
        <w:t>Målet til adalimumab er et protein som kalles tumornekrosefaktor (TNFα), som er involvert i immunforsvaret. Ved betennelsessykdommene ovenfor foreligger det i økte nivåer. Ved å feste seg til TNFα, senker Humira betennelsesprosessen ved disse tilstandene.</w:t>
      </w:r>
    </w:p>
    <w:p w14:paraId="5318929F" w14:textId="77777777" w:rsidR="004079DF" w:rsidRDefault="004079DF" w:rsidP="00BD2249">
      <w:pPr>
        <w:rPr>
          <w:sz w:val="22"/>
          <w:szCs w:val="22"/>
        </w:rPr>
      </w:pPr>
    </w:p>
    <w:p w14:paraId="70BDB68D" w14:textId="77777777" w:rsidR="004079DF" w:rsidRPr="0061743D" w:rsidRDefault="00E453CD" w:rsidP="00776A84">
      <w:pPr>
        <w:pStyle w:val="Heading2"/>
        <w:suppressAutoHyphens/>
        <w:ind w:left="0"/>
        <w:rPr>
          <w:b/>
          <w:u w:val="none"/>
        </w:rPr>
      </w:pPr>
      <w:r w:rsidRPr="0061743D">
        <w:rPr>
          <w:b/>
          <w:u w:val="none"/>
        </w:rPr>
        <w:t>Revmatoid artritt</w:t>
      </w:r>
    </w:p>
    <w:p w14:paraId="3911226E" w14:textId="77777777" w:rsidR="004079DF" w:rsidRPr="009C5EFD" w:rsidRDefault="004079DF" w:rsidP="00776A84">
      <w:pPr>
        <w:pStyle w:val="EndnoteText"/>
        <w:keepNext/>
        <w:widowControl/>
        <w:tabs>
          <w:tab w:val="clear" w:pos="567"/>
        </w:tabs>
        <w:suppressAutoHyphens/>
        <w:rPr>
          <w:szCs w:val="22"/>
          <w:lang w:val="nb-NO"/>
        </w:rPr>
      </w:pPr>
    </w:p>
    <w:p w14:paraId="61629C51" w14:textId="77777777" w:rsidR="004079DF" w:rsidRPr="009C5EFD" w:rsidRDefault="00E453CD" w:rsidP="004079DF">
      <w:pPr>
        <w:pStyle w:val="EndnoteText"/>
        <w:widowControl/>
        <w:tabs>
          <w:tab w:val="clear" w:pos="567"/>
        </w:tabs>
        <w:suppressAutoHyphens/>
        <w:rPr>
          <w:szCs w:val="22"/>
          <w:lang w:val="nb-NO"/>
        </w:rPr>
      </w:pPr>
      <w:r w:rsidRPr="009C5EFD">
        <w:rPr>
          <w:szCs w:val="22"/>
          <w:lang w:val="nb-NO"/>
        </w:rPr>
        <w:t>Revmatoid artritt er en betennelsessykdom i leddene.</w:t>
      </w:r>
    </w:p>
    <w:p w14:paraId="1F13BEC6" w14:textId="77777777" w:rsidR="004079DF" w:rsidRPr="009C5EFD" w:rsidRDefault="004079DF" w:rsidP="004079DF">
      <w:pPr>
        <w:suppressAutoHyphens/>
        <w:rPr>
          <w:sz w:val="22"/>
          <w:szCs w:val="22"/>
        </w:rPr>
      </w:pPr>
    </w:p>
    <w:p w14:paraId="538A6242" w14:textId="77777777" w:rsidR="004079DF" w:rsidRPr="009C5EFD" w:rsidRDefault="00E453CD" w:rsidP="004079DF">
      <w:pPr>
        <w:suppressAutoHyphens/>
        <w:rPr>
          <w:sz w:val="22"/>
          <w:szCs w:val="22"/>
        </w:rPr>
      </w:pPr>
      <w:r w:rsidRPr="009C5EFD">
        <w:rPr>
          <w:sz w:val="22"/>
          <w:szCs w:val="22"/>
        </w:rPr>
        <w:t xml:space="preserve">Humira brukes </w:t>
      </w:r>
      <w:r>
        <w:rPr>
          <w:sz w:val="22"/>
          <w:szCs w:val="22"/>
        </w:rPr>
        <w:t>til</w:t>
      </w:r>
      <w:r w:rsidRPr="009C5EFD">
        <w:rPr>
          <w:sz w:val="22"/>
          <w:szCs w:val="22"/>
        </w:rPr>
        <w:t xml:space="preserve"> å behandle </w:t>
      </w:r>
      <w:r>
        <w:rPr>
          <w:sz w:val="22"/>
          <w:szCs w:val="22"/>
        </w:rPr>
        <w:t xml:space="preserve">moderat til alvorlig </w:t>
      </w:r>
      <w:r w:rsidRPr="009C5EFD">
        <w:rPr>
          <w:sz w:val="22"/>
          <w:szCs w:val="22"/>
        </w:rPr>
        <w:t xml:space="preserve">revmatoid artritt hos voksne. </w:t>
      </w:r>
      <w:r>
        <w:rPr>
          <w:sz w:val="22"/>
          <w:szCs w:val="22"/>
        </w:rPr>
        <w:t>Det</w:t>
      </w:r>
      <w:r w:rsidRPr="009C5EFD">
        <w:rPr>
          <w:sz w:val="22"/>
          <w:szCs w:val="22"/>
        </w:rPr>
        <w:t xml:space="preserve"> kan hende du først får andre sykdomsmodifiserende </w:t>
      </w:r>
      <w:r>
        <w:rPr>
          <w:sz w:val="22"/>
          <w:szCs w:val="22"/>
        </w:rPr>
        <w:t>legemidler</w:t>
      </w:r>
      <w:r w:rsidRPr="009C5EFD">
        <w:rPr>
          <w:sz w:val="22"/>
          <w:szCs w:val="22"/>
        </w:rPr>
        <w:t xml:space="preserve">, som metotreksat. Dersom du ikke reagerer godt nok på disse </w:t>
      </w:r>
      <w:r>
        <w:rPr>
          <w:sz w:val="22"/>
          <w:szCs w:val="22"/>
        </w:rPr>
        <w:t>legemidlene</w:t>
      </w:r>
      <w:r w:rsidRPr="009C5EFD">
        <w:rPr>
          <w:sz w:val="22"/>
          <w:szCs w:val="22"/>
        </w:rPr>
        <w:t>, vil du få</w:t>
      </w:r>
      <w:r w:rsidR="006947EE">
        <w:rPr>
          <w:sz w:val="22"/>
          <w:szCs w:val="22"/>
        </w:rPr>
        <w:t xml:space="preserve"> Humira.</w:t>
      </w:r>
    </w:p>
    <w:p w14:paraId="7EE85DE2" w14:textId="77777777" w:rsidR="004079DF" w:rsidRPr="009C5EFD" w:rsidRDefault="004079DF" w:rsidP="004079DF">
      <w:pPr>
        <w:suppressAutoHyphens/>
        <w:rPr>
          <w:sz w:val="22"/>
          <w:szCs w:val="22"/>
        </w:rPr>
      </w:pPr>
    </w:p>
    <w:p w14:paraId="33669420" w14:textId="77777777" w:rsidR="004079DF" w:rsidRPr="009C5EFD" w:rsidRDefault="00E453CD" w:rsidP="004079DF">
      <w:pPr>
        <w:suppressAutoHyphens/>
        <w:rPr>
          <w:sz w:val="22"/>
          <w:szCs w:val="22"/>
        </w:rPr>
      </w:pPr>
      <w:r w:rsidRPr="009C5EFD">
        <w:rPr>
          <w:sz w:val="22"/>
          <w:szCs w:val="22"/>
        </w:rPr>
        <w:t xml:space="preserve">Humira kan også brukes </w:t>
      </w:r>
      <w:r>
        <w:rPr>
          <w:sz w:val="22"/>
          <w:szCs w:val="22"/>
        </w:rPr>
        <w:t>til</w:t>
      </w:r>
      <w:r w:rsidRPr="009C5EFD">
        <w:rPr>
          <w:sz w:val="22"/>
          <w:szCs w:val="22"/>
        </w:rPr>
        <w:t xml:space="preserve"> å behandle alvorlig, aktiv og progredierende revmatoid artritt uten tidligere behandling med metotreksat.</w:t>
      </w:r>
    </w:p>
    <w:p w14:paraId="014D4E32" w14:textId="77777777" w:rsidR="004079DF" w:rsidRPr="009C5EFD" w:rsidRDefault="004079DF" w:rsidP="004079DF">
      <w:pPr>
        <w:suppressAutoHyphens/>
        <w:rPr>
          <w:sz w:val="22"/>
          <w:szCs w:val="22"/>
        </w:rPr>
      </w:pPr>
    </w:p>
    <w:p w14:paraId="0DBD7AFB" w14:textId="77777777" w:rsidR="004079DF" w:rsidRPr="009C5EFD" w:rsidRDefault="00E453CD" w:rsidP="004079DF">
      <w:pPr>
        <w:suppressAutoHyphens/>
        <w:rPr>
          <w:sz w:val="22"/>
          <w:szCs w:val="22"/>
        </w:rPr>
      </w:pPr>
      <w:r w:rsidRPr="009C5EFD">
        <w:rPr>
          <w:sz w:val="22"/>
          <w:szCs w:val="22"/>
        </w:rPr>
        <w:lastRenderedPageBreak/>
        <w:t xml:space="preserve">Humira </w:t>
      </w:r>
      <w:r>
        <w:rPr>
          <w:sz w:val="22"/>
          <w:szCs w:val="22"/>
        </w:rPr>
        <w:t>kan</w:t>
      </w:r>
      <w:r w:rsidRPr="009C5EFD">
        <w:rPr>
          <w:sz w:val="22"/>
          <w:szCs w:val="22"/>
        </w:rPr>
        <w:t xml:space="preserve"> bremse skadevirkninge</w:t>
      </w:r>
      <w:r>
        <w:rPr>
          <w:sz w:val="22"/>
          <w:szCs w:val="22"/>
        </w:rPr>
        <w:t>ne</w:t>
      </w:r>
      <w:r w:rsidRPr="009C5EFD">
        <w:rPr>
          <w:sz w:val="22"/>
          <w:szCs w:val="22"/>
        </w:rPr>
        <w:t xml:space="preserve"> i leddene </w:t>
      </w:r>
      <w:r>
        <w:rPr>
          <w:sz w:val="22"/>
          <w:szCs w:val="22"/>
        </w:rPr>
        <w:t xml:space="preserve">forårsaket av betennelsessykdommen </w:t>
      </w:r>
      <w:r w:rsidRPr="009C5EFD">
        <w:rPr>
          <w:sz w:val="22"/>
          <w:szCs w:val="22"/>
        </w:rPr>
        <w:t xml:space="preserve">og kan hjelpe </w:t>
      </w:r>
      <w:r>
        <w:rPr>
          <w:sz w:val="22"/>
          <w:szCs w:val="22"/>
        </w:rPr>
        <w:t>leddene med</w:t>
      </w:r>
      <w:r w:rsidRPr="009C5EFD">
        <w:rPr>
          <w:sz w:val="22"/>
          <w:szCs w:val="22"/>
        </w:rPr>
        <w:t xml:space="preserve"> å </w:t>
      </w:r>
      <w:r>
        <w:rPr>
          <w:sz w:val="22"/>
          <w:szCs w:val="22"/>
        </w:rPr>
        <w:t>bevege seg mer fritt</w:t>
      </w:r>
      <w:r w:rsidRPr="009C5EFD">
        <w:rPr>
          <w:sz w:val="22"/>
          <w:szCs w:val="22"/>
        </w:rPr>
        <w:t xml:space="preserve">. </w:t>
      </w:r>
    </w:p>
    <w:p w14:paraId="3923A61C" w14:textId="77777777" w:rsidR="004079DF" w:rsidRPr="009C5EFD" w:rsidRDefault="004079DF" w:rsidP="004079DF">
      <w:pPr>
        <w:suppressAutoHyphens/>
        <w:rPr>
          <w:sz w:val="22"/>
          <w:szCs w:val="22"/>
        </w:rPr>
      </w:pPr>
    </w:p>
    <w:p w14:paraId="27A8449F" w14:textId="77777777" w:rsidR="004079DF" w:rsidRPr="00CF7F58" w:rsidRDefault="00E453CD" w:rsidP="004079DF">
      <w:pPr>
        <w:rPr>
          <w:sz w:val="22"/>
          <w:szCs w:val="22"/>
        </w:rPr>
      </w:pPr>
      <w:r>
        <w:rPr>
          <w:sz w:val="22"/>
          <w:szCs w:val="22"/>
        </w:rPr>
        <w:t>L</w:t>
      </w:r>
      <w:r w:rsidRPr="009C5EFD">
        <w:rPr>
          <w:sz w:val="22"/>
          <w:szCs w:val="22"/>
        </w:rPr>
        <w:t>ege</w:t>
      </w:r>
      <w:r>
        <w:rPr>
          <w:sz w:val="22"/>
          <w:szCs w:val="22"/>
        </w:rPr>
        <w:t>n din</w:t>
      </w:r>
      <w:r w:rsidRPr="009C5EFD">
        <w:rPr>
          <w:sz w:val="22"/>
          <w:szCs w:val="22"/>
        </w:rPr>
        <w:t xml:space="preserve"> </w:t>
      </w:r>
      <w:r>
        <w:rPr>
          <w:sz w:val="22"/>
          <w:szCs w:val="22"/>
        </w:rPr>
        <w:t>vil bestemme om</w:t>
      </w:r>
      <w:r w:rsidRPr="009C5EFD">
        <w:rPr>
          <w:sz w:val="22"/>
          <w:szCs w:val="22"/>
        </w:rPr>
        <w:t xml:space="preserve"> Humira </w:t>
      </w:r>
      <w:r>
        <w:rPr>
          <w:sz w:val="22"/>
          <w:szCs w:val="22"/>
        </w:rPr>
        <w:t xml:space="preserve">skal tas </w:t>
      </w:r>
      <w:r w:rsidRPr="009C5EFD">
        <w:rPr>
          <w:sz w:val="22"/>
          <w:szCs w:val="22"/>
        </w:rPr>
        <w:t xml:space="preserve">sammen med metotreksat </w:t>
      </w:r>
      <w:r>
        <w:rPr>
          <w:sz w:val="22"/>
          <w:szCs w:val="22"/>
        </w:rPr>
        <w:t>eller</w:t>
      </w:r>
      <w:r w:rsidRPr="009C5EFD">
        <w:rPr>
          <w:sz w:val="22"/>
          <w:szCs w:val="22"/>
        </w:rPr>
        <w:t xml:space="preserve"> gis alene.</w:t>
      </w:r>
    </w:p>
    <w:p w14:paraId="7D5D4BA5" w14:textId="77777777" w:rsidR="00CF7F58" w:rsidRPr="00887835" w:rsidRDefault="00CF7F58" w:rsidP="00CF7F58"/>
    <w:p w14:paraId="7F2BE882" w14:textId="77777777" w:rsidR="00CF7F58" w:rsidRPr="009C5EFD" w:rsidRDefault="00E453CD" w:rsidP="00776A84">
      <w:pPr>
        <w:pStyle w:val="Heading8"/>
        <w:rPr>
          <w:szCs w:val="22"/>
        </w:rPr>
      </w:pPr>
      <w:r w:rsidRPr="0061743D">
        <w:rPr>
          <w:b/>
          <w:u w:val="none"/>
        </w:rPr>
        <w:t>Plakkpsoriasis</w:t>
      </w:r>
    </w:p>
    <w:p w14:paraId="5283AEE6" w14:textId="77777777" w:rsidR="00CF7F58" w:rsidRPr="006947EE" w:rsidRDefault="00CF7F58" w:rsidP="00776A84">
      <w:pPr>
        <w:keepNext/>
        <w:rPr>
          <w:sz w:val="22"/>
          <w:szCs w:val="22"/>
        </w:rPr>
      </w:pPr>
    </w:p>
    <w:p w14:paraId="20D98825" w14:textId="77777777" w:rsidR="00CF7F58" w:rsidRDefault="00E453CD" w:rsidP="00CF7F58">
      <w:pPr>
        <w:suppressAutoHyphens/>
        <w:rPr>
          <w:sz w:val="22"/>
          <w:szCs w:val="22"/>
        </w:rPr>
      </w:pPr>
      <w:r w:rsidRPr="009C5EFD">
        <w:rPr>
          <w:sz w:val="22"/>
          <w:szCs w:val="22"/>
        </w:rPr>
        <w:t>Plakkpsoriasis er en hudsykdom som forårsaker røde, flassende, tørre flekker på huden dekket med sølvfarget, skjellaktig hud.</w:t>
      </w:r>
      <w:r>
        <w:rPr>
          <w:sz w:val="22"/>
          <w:szCs w:val="22"/>
        </w:rPr>
        <w:t xml:space="preserve"> Plakkpsoriasis kan også påvirke neglene, føre til smuldring, fortykkelse og løsning fra neglesengen som kan være smertefullt.</w:t>
      </w:r>
    </w:p>
    <w:p w14:paraId="5448BE12" w14:textId="77777777" w:rsidR="00CF7F58" w:rsidRDefault="00CF7F58" w:rsidP="00CF7F58">
      <w:pPr>
        <w:suppressAutoHyphens/>
        <w:rPr>
          <w:sz w:val="22"/>
          <w:szCs w:val="22"/>
        </w:rPr>
      </w:pPr>
    </w:p>
    <w:p w14:paraId="05B08F16" w14:textId="77777777" w:rsidR="00CF7F58" w:rsidRPr="00CF7F58" w:rsidRDefault="00E453CD" w:rsidP="00AB7697">
      <w:pPr>
        <w:suppressAutoHyphens/>
        <w:rPr>
          <w:szCs w:val="22"/>
        </w:rPr>
      </w:pPr>
      <w:r w:rsidRPr="001C217B">
        <w:rPr>
          <w:sz w:val="22"/>
          <w:szCs w:val="22"/>
        </w:rPr>
        <w:t xml:space="preserve">Humira brukes </w:t>
      </w:r>
      <w:r w:rsidR="001C0D36">
        <w:rPr>
          <w:sz w:val="22"/>
          <w:szCs w:val="22"/>
        </w:rPr>
        <w:t>til</w:t>
      </w:r>
      <w:r w:rsidRPr="001C217B">
        <w:rPr>
          <w:sz w:val="22"/>
          <w:szCs w:val="22"/>
        </w:rPr>
        <w:t xml:space="preserve"> </w:t>
      </w:r>
      <w:r>
        <w:rPr>
          <w:sz w:val="22"/>
          <w:szCs w:val="22"/>
        </w:rPr>
        <w:t xml:space="preserve">å </w:t>
      </w:r>
      <w:r w:rsidRPr="001C217B">
        <w:rPr>
          <w:sz w:val="22"/>
          <w:szCs w:val="22"/>
        </w:rPr>
        <w:t>behandl</w:t>
      </w:r>
      <w:r>
        <w:rPr>
          <w:sz w:val="22"/>
          <w:szCs w:val="22"/>
        </w:rPr>
        <w:t>e</w:t>
      </w:r>
      <w:r w:rsidR="00185CBA">
        <w:rPr>
          <w:sz w:val="22"/>
          <w:szCs w:val="22"/>
        </w:rPr>
        <w:t xml:space="preserve"> </w:t>
      </w:r>
      <w:r w:rsidRPr="00A31787">
        <w:rPr>
          <w:sz w:val="22"/>
          <w:szCs w:val="22"/>
        </w:rPr>
        <w:t>moderat til alvorlig kronisk plakkpsoriasis hos voksne</w:t>
      </w:r>
      <w:r w:rsidR="00185CBA">
        <w:rPr>
          <w:sz w:val="22"/>
          <w:szCs w:val="22"/>
        </w:rPr>
        <w:t>.</w:t>
      </w:r>
    </w:p>
    <w:p w14:paraId="616DEA99" w14:textId="77777777" w:rsidR="00CF7F58" w:rsidRPr="009C5EFD" w:rsidRDefault="00CF7F58" w:rsidP="00CF7F58">
      <w:pPr>
        <w:rPr>
          <w:sz w:val="22"/>
          <w:szCs w:val="22"/>
        </w:rPr>
      </w:pPr>
    </w:p>
    <w:p w14:paraId="50CDE4D8" w14:textId="77777777" w:rsidR="00CF7F58" w:rsidRPr="0061743D" w:rsidRDefault="00E453CD" w:rsidP="00CF7F58">
      <w:pPr>
        <w:keepNext/>
        <w:autoSpaceDE w:val="0"/>
        <w:autoSpaceDN w:val="0"/>
        <w:adjustRightInd w:val="0"/>
        <w:rPr>
          <w:rFonts w:eastAsia="TimesNewRoman"/>
          <w:b/>
          <w:sz w:val="22"/>
        </w:rPr>
      </w:pPr>
      <w:r w:rsidRPr="009E4D7A">
        <w:rPr>
          <w:rFonts w:eastAsia="TimesNewRoman"/>
          <w:b/>
          <w:sz w:val="22"/>
        </w:rPr>
        <w:t>Hidrosadenitt</w:t>
      </w:r>
    </w:p>
    <w:p w14:paraId="05D11694" w14:textId="77777777" w:rsidR="00CF7F58" w:rsidRPr="009C5EFD" w:rsidRDefault="00CF7F58" w:rsidP="00CF7F58">
      <w:pPr>
        <w:keepNext/>
        <w:autoSpaceDE w:val="0"/>
        <w:autoSpaceDN w:val="0"/>
        <w:adjustRightInd w:val="0"/>
        <w:rPr>
          <w:rFonts w:eastAsia="TimesNewRoman"/>
          <w:sz w:val="22"/>
          <w:szCs w:val="22"/>
          <w:u w:val="single"/>
        </w:rPr>
      </w:pPr>
    </w:p>
    <w:p w14:paraId="415BD2A7" w14:textId="77777777" w:rsidR="00CF7F58" w:rsidRPr="009C5EFD" w:rsidRDefault="00E453CD" w:rsidP="00776A84">
      <w:pPr>
        <w:autoSpaceDE w:val="0"/>
        <w:autoSpaceDN w:val="0"/>
        <w:adjustRightInd w:val="0"/>
        <w:rPr>
          <w:rFonts w:eastAsia="TimesNewRoman"/>
          <w:sz w:val="22"/>
          <w:szCs w:val="22"/>
        </w:rPr>
      </w:pPr>
      <w:r w:rsidRPr="009C5EFD">
        <w:rPr>
          <w:rFonts w:eastAsia="TimesNewRoman"/>
          <w:sz w:val="22"/>
          <w:szCs w:val="22"/>
        </w:rPr>
        <w:t xml:space="preserve">Hidrosadenitt (også kalt svettekjertelbetennelse) er en kronisk og ofte smertefull </w:t>
      </w:r>
      <w:r>
        <w:rPr>
          <w:rFonts w:eastAsia="TimesNewRoman"/>
          <w:sz w:val="22"/>
          <w:szCs w:val="22"/>
        </w:rPr>
        <w:t xml:space="preserve">betennelsessykdom i </w:t>
      </w:r>
      <w:r w:rsidRPr="009C5EFD">
        <w:rPr>
          <w:rFonts w:eastAsia="TimesNewRoman"/>
          <w:sz w:val="22"/>
          <w:szCs w:val="22"/>
        </w:rPr>
        <w:t>hud</w:t>
      </w:r>
      <w:r>
        <w:rPr>
          <w:rFonts w:eastAsia="TimesNewRoman"/>
          <w:sz w:val="22"/>
          <w:szCs w:val="22"/>
        </w:rPr>
        <w:t>en</w:t>
      </w:r>
      <w:r w:rsidRPr="009C5EFD">
        <w:rPr>
          <w:rFonts w:eastAsia="TimesNewRoman"/>
          <w:sz w:val="22"/>
          <w:szCs w:val="22"/>
        </w:rPr>
        <w:t xml:space="preserve">. Symptomer kan være ømme knuter (klumper) og byller (abcesser) som kan lekke puss. </w:t>
      </w:r>
      <w:r>
        <w:rPr>
          <w:rFonts w:eastAsia="TimesNewRoman"/>
          <w:sz w:val="22"/>
          <w:szCs w:val="22"/>
        </w:rPr>
        <w:t>Som oftest</w:t>
      </w:r>
      <w:r w:rsidRPr="009C5EFD">
        <w:rPr>
          <w:rFonts w:eastAsia="TimesNewRoman"/>
          <w:sz w:val="22"/>
          <w:szCs w:val="22"/>
        </w:rPr>
        <w:t xml:space="preserve"> påvirke</w:t>
      </w:r>
      <w:r>
        <w:rPr>
          <w:rFonts w:eastAsia="TimesNewRoman"/>
          <w:sz w:val="22"/>
          <w:szCs w:val="22"/>
        </w:rPr>
        <w:t>s</w:t>
      </w:r>
      <w:r w:rsidRPr="009C5EFD">
        <w:rPr>
          <w:rFonts w:eastAsia="TimesNewRoman"/>
          <w:sz w:val="22"/>
          <w:szCs w:val="22"/>
        </w:rPr>
        <w:t xml:space="preserve"> spesifikke områder av huden, som f.eks</w:t>
      </w:r>
      <w:r>
        <w:rPr>
          <w:rFonts w:eastAsia="TimesNewRoman"/>
          <w:sz w:val="22"/>
          <w:szCs w:val="22"/>
        </w:rPr>
        <w:t>.</w:t>
      </w:r>
      <w:r w:rsidRPr="009C5EFD">
        <w:rPr>
          <w:rFonts w:eastAsia="TimesNewRoman"/>
          <w:sz w:val="22"/>
          <w:szCs w:val="22"/>
        </w:rPr>
        <w:t xml:space="preserve"> under brystene, i armhulene, innsiden av lårene, lysken og rumpe. Arrdannelse kan også forekomme i berørte områder.</w:t>
      </w:r>
    </w:p>
    <w:p w14:paraId="7AAD34EB" w14:textId="77777777" w:rsidR="00CF7F58" w:rsidRPr="009C5EFD" w:rsidRDefault="00CF7F58" w:rsidP="00CF7F58">
      <w:pPr>
        <w:autoSpaceDE w:val="0"/>
        <w:autoSpaceDN w:val="0"/>
        <w:adjustRightInd w:val="0"/>
        <w:rPr>
          <w:rFonts w:eastAsia="TimesNewRoman"/>
          <w:sz w:val="22"/>
          <w:szCs w:val="22"/>
        </w:rPr>
      </w:pPr>
    </w:p>
    <w:p w14:paraId="61D41CEC" w14:textId="77777777" w:rsidR="00CF7F58" w:rsidRDefault="00E453CD" w:rsidP="00CF7F58">
      <w:pPr>
        <w:autoSpaceDE w:val="0"/>
        <w:autoSpaceDN w:val="0"/>
        <w:adjustRightInd w:val="0"/>
        <w:rPr>
          <w:rFonts w:eastAsia="TimesNewRoman"/>
          <w:sz w:val="22"/>
          <w:szCs w:val="22"/>
        </w:rPr>
      </w:pPr>
      <w:r w:rsidRPr="009C5EFD">
        <w:rPr>
          <w:rFonts w:eastAsia="TimesNewRoman"/>
          <w:sz w:val="22"/>
          <w:szCs w:val="22"/>
        </w:rPr>
        <w:t xml:space="preserve">Humira brukes </w:t>
      </w:r>
      <w:r w:rsidR="001C0D36">
        <w:rPr>
          <w:rFonts w:eastAsia="TimesNewRoman"/>
          <w:sz w:val="22"/>
          <w:szCs w:val="22"/>
        </w:rPr>
        <w:t>til</w:t>
      </w:r>
      <w:r w:rsidRPr="009C5EFD">
        <w:rPr>
          <w:rFonts w:eastAsia="TimesNewRoman"/>
          <w:sz w:val="22"/>
          <w:szCs w:val="22"/>
        </w:rPr>
        <w:t xml:space="preserve"> å behandle</w:t>
      </w:r>
    </w:p>
    <w:p w14:paraId="216665D3" w14:textId="77777777" w:rsidR="00CF7F58" w:rsidRPr="00887835" w:rsidRDefault="00E453CD" w:rsidP="00CF7F58">
      <w:pPr>
        <w:pStyle w:val="EMEANormal"/>
        <w:numPr>
          <w:ilvl w:val="0"/>
          <w:numId w:val="109"/>
        </w:numPr>
        <w:tabs>
          <w:tab w:val="clear" w:pos="562"/>
          <w:tab w:val="left" w:pos="720"/>
        </w:tabs>
        <w:rPr>
          <w:szCs w:val="21"/>
          <w:lang w:val="nb-NO"/>
        </w:rPr>
      </w:pPr>
      <w:r w:rsidRPr="00DA6326">
        <w:rPr>
          <w:rFonts w:eastAsia="TimesNewRoman"/>
          <w:szCs w:val="22"/>
          <w:lang w:val="nb-NO"/>
        </w:rPr>
        <w:t>moderat til alvorlig hidrosadenitt hos voksne og</w:t>
      </w:r>
    </w:p>
    <w:p w14:paraId="705D0C31" w14:textId="77777777" w:rsidR="00CF7F58" w:rsidRPr="0061743D" w:rsidRDefault="00E453CD" w:rsidP="00CF7F58">
      <w:pPr>
        <w:pStyle w:val="EMEANormal"/>
        <w:numPr>
          <w:ilvl w:val="0"/>
          <w:numId w:val="109"/>
        </w:numPr>
        <w:tabs>
          <w:tab w:val="clear" w:pos="562"/>
          <w:tab w:val="left" w:pos="720"/>
        </w:tabs>
        <w:rPr>
          <w:lang w:val="nb-NO"/>
        </w:rPr>
      </w:pPr>
      <w:r>
        <w:rPr>
          <w:lang w:val="nb-NO"/>
        </w:rPr>
        <w:t xml:space="preserve">moderat til </w:t>
      </w:r>
      <w:r w:rsidRPr="0061743D">
        <w:rPr>
          <w:lang w:val="nb-NO"/>
        </w:rPr>
        <w:t>alvorlig</w:t>
      </w:r>
      <w:r>
        <w:rPr>
          <w:szCs w:val="21"/>
          <w:lang w:val="nb-NO"/>
        </w:rPr>
        <w:t xml:space="preserve"> </w:t>
      </w:r>
      <w:r w:rsidRPr="00297B8C">
        <w:rPr>
          <w:rFonts w:eastAsia="TimesNewRoman"/>
          <w:szCs w:val="22"/>
          <w:lang w:val="nb-NO"/>
        </w:rPr>
        <w:t>hidrosadenitt</w:t>
      </w:r>
      <w:r w:rsidRPr="0061743D">
        <w:rPr>
          <w:lang w:val="nb-NO"/>
        </w:rPr>
        <w:t xml:space="preserve"> hos ungdom </w:t>
      </w:r>
      <w:r>
        <w:rPr>
          <w:lang w:val="nb-NO"/>
        </w:rPr>
        <w:t xml:space="preserve">fra </w:t>
      </w:r>
      <w:r w:rsidRPr="0061743D">
        <w:rPr>
          <w:lang w:val="nb-NO"/>
        </w:rPr>
        <w:t>1</w:t>
      </w:r>
      <w:r>
        <w:rPr>
          <w:lang w:val="nb-NO"/>
        </w:rPr>
        <w:t>2 til 17 </w:t>
      </w:r>
      <w:r w:rsidRPr="0061743D">
        <w:rPr>
          <w:lang w:val="nb-NO"/>
        </w:rPr>
        <w:t>år.</w:t>
      </w:r>
    </w:p>
    <w:p w14:paraId="3CA9AB03" w14:textId="77777777" w:rsidR="00CF7F58" w:rsidRDefault="00CF7F58" w:rsidP="00CF7F58">
      <w:pPr>
        <w:autoSpaceDE w:val="0"/>
        <w:autoSpaceDN w:val="0"/>
        <w:adjustRightInd w:val="0"/>
        <w:rPr>
          <w:rFonts w:eastAsia="TimesNewRoman"/>
          <w:sz w:val="22"/>
          <w:szCs w:val="22"/>
        </w:rPr>
      </w:pPr>
    </w:p>
    <w:p w14:paraId="54126BA1" w14:textId="77777777" w:rsidR="00CF7F58" w:rsidRPr="009C5EFD" w:rsidRDefault="00E453CD" w:rsidP="00CF7F58">
      <w:pPr>
        <w:autoSpaceDE w:val="0"/>
        <w:autoSpaceDN w:val="0"/>
        <w:adjustRightInd w:val="0"/>
        <w:rPr>
          <w:rFonts w:eastAsia="TimesNewRoman"/>
          <w:sz w:val="22"/>
          <w:szCs w:val="22"/>
        </w:rPr>
      </w:pPr>
      <w:r w:rsidRPr="009C5EFD">
        <w:rPr>
          <w:rFonts w:eastAsia="TimesNewRoman"/>
          <w:sz w:val="22"/>
          <w:szCs w:val="22"/>
        </w:rPr>
        <w:t>Humira kan redusere antall knuter og byller</w:t>
      </w:r>
      <w:r>
        <w:rPr>
          <w:rFonts w:eastAsia="TimesNewRoman"/>
          <w:sz w:val="22"/>
          <w:szCs w:val="22"/>
        </w:rPr>
        <w:t xml:space="preserve"> forårsaket av sykdommen</w:t>
      </w:r>
      <w:r w:rsidRPr="009C5EFD">
        <w:rPr>
          <w:rFonts w:eastAsia="TimesNewRoman"/>
          <w:sz w:val="22"/>
          <w:szCs w:val="22"/>
        </w:rPr>
        <w:t>, og smerten som ofte er forbundet med sykdommen.</w:t>
      </w:r>
      <w:r>
        <w:rPr>
          <w:rFonts w:eastAsia="TimesNewRoman"/>
          <w:sz w:val="22"/>
          <w:szCs w:val="22"/>
        </w:rPr>
        <w:t xml:space="preserve"> </w:t>
      </w:r>
      <w:r>
        <w:rPr>
          <w:sz w:val="22"/>
          <w:szCs w:val="22"/>
        </w:rPr>
        <w:t xml:space="preserve">Det kan hende </w:t>
      </w:r>
      <w:r w:rsidRPr="009C5EFD">
        <w:rPr>
          <w:sz w:val="22"/>
          <w:szCs w:val="22"/>
        </w:rPr>
        <w:t>du først få</w:t>
      </w:r>
      <w:r>
        <w:rPr>
          <w:sz w:val="22"/>
          <w:szCs w:val="22"/>
        </w:rPr>
        <w:t>r</w:t>
      </w:r>
      <w:r w:rsidRPr="009C5EFD">
        <w:rPr>
          <w:sz w:val="22"/>
          <w:szCs w:val="22"/>
        </w:rPr>
        <w:t xml:space="preserve"> andre </w:t>
      </w:r>
      <w:r>
        <w:rPr>
          <w:sz w:val="22"/>
          <w:szCs w:val="22"/>
        </w:rPr>
        <w:t xml:space="preserve">legemidler. </w:t>
      </w:r>
      <w:r w:rsidRPr="009C5EFD">
        <w:rPr>
          <w:sz w:val="22"/>
          <w:szCs w:val="22"/>
        </w:rPr>
        <w:t xml:space="preserve">Dersom du ikke reagerer godt nok på disse </w:t>
      </w:r>
      <w:r>
        <w:rPr>
          <w:sz w:val="22"/>
          <w:szCs w:val="22"/>
        </w:rPr>
        <w:t>legemidlene</w:t>
      </w:r>
      <w:r w:rsidRPr="009C5EFD">
        <w:rPr>
          <w:sz w:val="22"/>
          <w:szCs w:val="22"/>
        </w:rPr>
        <w:t>, vil du få Humira</w:t>
      </w:r>
      <w:r>
        <w:rPr>
          <w:sz w:val="22"/>
          <w:szCs w:val="22"/>
        </w:rPr>
        <w:t>.</w:t>
      </w:r>
    </w:p>
    <w:p w14:paraId="61B7DBA6" w14:textId="77777777" w:rsidR="00CF7F58" w:rsidRPr="009C5EFD" w:rsidRDefault="00CF7F58" w:rsidP="00CF7F58">
      <w:pPr>
        <w:rPr>
          <w:sz w:val="22"/>
          <w:szCs w:val="22"/>
        </w:rPr>
      </w:pPr>
    </w:p>
    <w:p w14:paraId="6572592D" w14:textId="77777777" w:rsidR="00CF7F58" w:rsidRPr="009C5EFD" w:rsidRDefault="00E453CD" w:rsidP="00CF7F58">
      <w:pPr>
        <w:keepNext/>
        <w:rPr>
          <w:sz w:val="22"/>
          <w:szCs w:val="22"/>
        </w:rPr>
      </w:pPr>
      <w:r w:rsidRPr="0061743D">
        <w:rPr>
          <w:b/>
          <w:sz w:val="22"/>
        </w:rPr>
        <w:t>Crohns sykdom</w:t>
      </w:r>
    </w:p>
    <w:p w14:paraId="6ED4066F" w14:textId="77777777" w:rsidR="00CF7F58" w:rsidRPr="009C5EFD" w:rsidRDefault="00CF7F58" w:rsidP="00CF7F58">
      <w:pPr>
        <w:keepNext/>
        <w:rPr>
          <w:sz w:val="22"/>
          <w:szCs w:val="22"/>
        </w:rPr>
      </w:pPr>
    </w:p>
    <w:p w14:paraId="5707D087" w14:textId="77777777" w:rsidR="00CF7F58" w:rsidRPr="009C5EFD" w:rsidRDefault="00E453CD" w:rsidP="00776A84">
      <w:pPr>
        <w:rPr>
          <w:sz w:val="22"/>
          <w:szCs w:val="22"/>
        </w:rPr>
      </w:pPr>
      <w:r w:rsidRPr="009C5EFD">
        <w:rPr>
          <w:sz w:val="22"/>
          <w:szCs w:val="22"/>
        </w:rPr>
        <w:t>Crohns sykdom er en betennelsessykdom i fordøyelseskanalen.</w:t>
      </w:r>
    </w:p>
    <w:p w14:paraId="61D79CCA" w14:textId="77777777" w:rsidR="00CF7F58" w:rsidRPr="009C5EFD" w:rsidRDefault="00CF7F58" w:rsidP="00CF7F58">
      <w:pPr>
        <w:rPr>
          <w:szCs w:val="22"/>
        </w:rPr>
      </w:pPr>
    </w:p>
    <w:p w14:paraId="27A6D1BE" w14:textId="77777777" w:rsidR="00CF7F58" w:rsidRDefault="00E453CD" w:rsidP="00CF7F58">
      <w:pPr>
        <w:rPr>
          <w:sz w:val="22"/>
          <w:szCs w:val="22"/>
        </w:rPr>
      </w:pPr>
      <w:r w:rsidRPr="001F5D4B">
        <w:rPr>
          <w:sz w:val="22"/>
          <w:szCs w:val="22"/>
        </w:rPr>
        <w:t xml:space="preserve">Humira brukes </w:t>
      </w:r>
      <w:r w:rsidR="001C0D36">
        <w:rPr>
          <w:sz w:val="22"/>
          <w:szCs w:val="22"/>
        </w:rPr>
        <w:t>til</w:t>
      </w:r>
      <w:r w:rsidRPr="001F5D4B">
        <w:rPr>
          <w:sz w:val="22"/>
          <w:szCs w:val="22"/>
        </w:rPr>
        <w:t xml:space="preserve"> å behandle</w:t>
      </w:r>
    </w:p>
    <w:p w14:paraId="45C93021" w14:textId="77777777" w:rsidR="00CF7F58" w:rsidRPr="00887835" w:rsidRDefault="00E453CD" w:rsidP="00CF7F58">
      <w:pPr>
        <w:pStyle w:val="EMEANormal"/>
        <w:numPr>
          <w:ilvl w:val="0"/>
          <w:numId w:val="110"/>
        </w:numPr>
        <w:tabs>
          <w:tab w:val="clear" w:pos="562"/>
          <w:tab w:val="left" w:pos="720"/>
        </w:tabs>
        <w:ind w:left="720"/>
        <w:rPr>
          <w:lang w:val="nb-NO"/>
        </w:rPr>
      </w:pPr>
      <w:r>
        <w:rPr>
          <w:lang w:val="nb-NO"/>
        </w:rPr>
        <w:t xml:space="preserve">moderat til alvorlig </w:t>
      </w:r>
      <w:r w:rsidRPr="0061743D">
        <w:rPr>
          <w:lang w:val="nb-NO"/>
        </w:rPr>
        <w:t>Crohns sykdom hos voksne og</w:t>
      </w:r>
    </w:p>
    <w:p w14:paraId="52482E1D" w14:textId="77777777" w:rsidR="00CF7F58" w:rsidRPr="00887835" w:rsidRDefault="00E453CD" w:rsidP="00CF7F58">
      <w:pPr>
        <w:pStyle w:val="EMEANormal"/>
        <w:numPr>
          <w:ilvl w:val="0"/>
          <w:numId w:val="110"/>
        </w:numPr>
        <w:tabs>
          <w:tab w:val="clear" w:pos="562"/>
          <w:tab w:val="left" w:pos="720"/>
        </w:tabs>
        <w:ind w:left="720"/>
        <w:rPr>
          <w:szCs w:val="22"/>
          <w:lang w:val="nb-NO"/>
        </w:rPr>
      </w:pPr>
      <w:r>
        <w:rPr>
          <w:szCs w:val="21"/>
          <w:lang w:val="nb-NO"/>
        </w:rPr>
        <w:t xml:space="preserve">moderat til alvorlig </w:t>
      </w:r>
      <w:r w:rsidRPr="00887835">
        <w:rPr>
          <w:szCs w:val="21"/>
          <w:lang w:val="nb-NO"/>
        </w:rPr>
        <w:t>Crohns sykdom hos</w:t>
      </w:r>
      <w:r w:rsidRPr="0061743D">
        <w:rPr>
          <w:lang w:val="nb-NO"/>
        </w:rPr>
        <w:t xml:space="preserve"> barn </w:t>
      </w:r>
      <w:r w:rsidRPr="00887835">
        <w:rPr>
          <w:szCs w:val="21"/>
          <w:lang w:val="nb-NO"/>
        </w:rPr>
        <w:t xml:space="preserve">og ungdom </w:t>
      </w:r>
      <w:r>
        <w:rPr>
          <w:szCs w:val="22"/>
          <w:lang w:val="nb-NO"/>
        </w:rPr>
        <w:t>fra</w:t>
      </w:r>
      <w:r w:rsidRPr="0061743D">
        <w:rPr>
          <w:lang w:val="nb-NO"/>
        </w:rPr>
        <w:t xml:space="preserve"> 6 </w:t>
      </w:r>
      <w:r>
        <w:rPr>
          <w:lang w:val="nb-NO"/>
        </w:rPr>
        <w:t xml:space="preserve">til 17 </w:t>
      </w:r>
      <w:r w:rsidRPr="0061743D">
        <w:rPr>
          <w:lang w:val="nb-NO"/>
        </w:rPr>
        <w:t>år</w:t>
      </w:r>
      <w:r>
        <w:rPr>
          <w:lang w:val="nb-NO"/>
        </w:rPr>
        <w:t>.</w:t>
      </w:r>
    </w:p>
    <w:p w14:paraId="361DFD5B" w14:textId="77777777" w:rsidR="00CF7F58" w:rsidRPr="003D42FF" w:rsidRDefault="00CF7F58" w:rsidP="00CF7F58">
      <w:pPr>
        <w:rPr>
          <w:sz w:val="22"/>
          <w:szCs w:val="22"/>
        </w:rPr>
      </w:pPr>
    </w:p>
    <w:p w14:paraId="378D5856" w14:textId="77777777" w:rsidR="00CF7F58" w:rsidRPr="009C5EFD" w:rsidRDefault="00E453CD" w:rsidP="00CF7F58">
      <w:pPr>
        <w:rPr>
          <w:sz w:val="22"/>
          <w:szCs w:val="22"/>
        </w:rPr>
      </w:pPr>
      <w:r>
        <w:rPr>
          <w:sz w:val="22"/>
          <w:szCs w:val="22"/>
        </w:rPr>
        <w:t>Det kan hende</w:t>
      </w:r>
      <w:r w:rsidRPr="009C5EFD">
        <w:rPr>
          <w:sz w:val="22"/>
          <w:szCs w:val="22"/>
        </w:rPr>
        <w:t xml:space="preserve"> du først få</w:t>
      </w:r>
      <w:r>
        <w:rPr>
          <w:sz w:val="22"/>
          <w:szCs w:val="22"/>
        </w:rPr>
        <w:t>r</w:t>
      </w:r>
      <w:r w:rsidRPr="009C5EFD">
        <w:rPr>
          <w:sz w:val="22"/>
          <w:szCs w:val="22"/>
        </w:rPr>
        <w:t xml:space="preserve"> andre legemidler. Dersom du ikke reagerer godt nok på disse lege</w:t>
      </w:r>
      <w:r>
        <w:rPr>
          <w:sz w:val="22"/>
          <w:szCs w:val="22"/>
        </w:rPr>
        <w:t>midlene, vil du få Humira</w:t>
      </w:r>
      <w:r w:rsidRPr="009C5EFD">
        <w:rPr>
          <w:sz w:val="22"/>
          <w:szCs w:val="22"/>
        </w:rPr>
        <w:t>.</w:t>
      </w:r>
    </w:p>
    <w:p w14:paraId="4482B1A2" w14:textId="77777777" w:rsidR="00CF7F58" w:rsidRPr="009C5EFD" w:rsidRDefault="00CF7F58" w:rsidP="00CF7F58">
      <w:pPr>
        <w:rPr>
          <w:sz w:val="22"/>
          <w:szCs w:val="22"/>
        </w:rPr>
      </w:pPr>
    </w:p>
    <w:p w14:paraId="64E57E3F" w14:textId="77777777" w:rsidR="00CF7F58" w:rsidRPr="006947EE" w:rsidRDefault="00E453CD" w:rsidP="00776A84">
      <w:pPr>
        <w:pStyle w:val="EMEANormal"/>
        <w:keepNext/>
        <w:rPr>
          <w:lang w:val="nb-NO"/>
        </w:rPr>
      </w:pPr>
      <w:r w:rsidRPr="0061743D">
        <w:rPr>
          <w:b/>
          <w:lang w:val="nb-NO"/>
        </w:rPr>
        <w:t>Ulcerøs kolitt</w:t>
      </w:r>
    </w:p>
    <w:p w14:paraId="53293464" w14:textId="77777777" w:rsidR="00CF7F58" w:rsidRPr="009C5EFD" w:rsidRDefault="00CF7F58" w:rsidP="00776A84">
      <w:pPr>
        <w:pStyle w:val="EMEANormal"/>
        <w:keepNext/>
        <w:rPr>
          <w:szCs w:val="22"/>
          <w:lang w:val="nb-NO"/>
        </w:rPr>
      </w:pPr>
    </w:p>
    <w:p w14:paraId="6ECBC3AE" w14:textId="77777777" w:rsidR="00CF7F58" w:rsidRPr="009C5EFD" w:rsidRDefault="00E453CD" w:rsidP="00CF7F58">
      <w:pPr>
        <w:pStyle w:val="EMEANormal"/>
        <w:rPr>
          <w:szCs w:val="22"/>
          <w:u w:val="single"/>
          <w:lang w:val="nb-NO"/>
        </w:rPr>
      </w:pPr>
      <w:r w:rsidRPr="009C5EFD">
        <w:rPr>
          <w:szCs w:val="22"/>
          <w:lang w:val="nb-NO"/>
        </w:rPr>
        <w:t xml:space="preserve">Ulcerøs kolitt er en betennelsessykdom i </w:t>
      </w:r>
      <w:r>
        <w:rPr>
          <w:szCs w:val="22"/>
          <w:lang w:val="nb-NO"/>
        </w:rPr>
        <w:t>tykk</w:t>
      </w:r>
      <w:r w:rsidRPr="009C5EFD">
        <w:rPr>
          <w:szCs w:val="22"/>
          <w:lang w:val="nb-NO"/>
        </w:rPr>
        <w:t>tarmen.</w:t>
      </w:r>
    </w:p>
    <w:p w14:paraId="1A1EE4DF" w14:textId="77777777" w:rsidR="00CF7F58" w:rsidRPr="009C5EFD" w:rsidRDefault="00CF7F58" w:rsidP="00CF7F58">
      <w:pPr>
        <w:pStyle w:val="EMEANormal"/>
        <w:rPr>
          <w:szCs w:val="22"/>
          <w:lang w:val="nb-NO"/>
        </w:rPr>
      </w:pPr>
    </w:p>
    <w:p w14:paraId="2E3EFFD3" w14:textId="77777777" w:rsidR="007312D9" w:rsidRDefault="00E453CD" w:rsidP="007312D9">
      <w:pPr>
        <w:pStyle w:val="EMEANormal"/>
        <w:rPr>
          <w:szCs w:val="22"/>
          <w:lang w:val="nb-NO"/>
        </w:rPr>
      </w:pPr>
      <w:r w:rsidRPr="009C5EFD">
        <w:rPr>
          <w:szCs w:val="22"/>
          <w:lang w:val="nb-NO"/>
        </w:rPr>
        <w:t xml:space="preserve">Humira brukes </w:t>
      </w:r>
      <w:r>
        <w:rPr>
          <w:szCs w:val="22"/>
          <w:lang w:val="nb-NO"/>
        </w:rPr>
        <w:t>til</w:t>
      </w:r>
      <w:r w:rsidRPr="009C5EFD">
        <w:rPr>
          <w:szCs w:val="22"/>
          <w:lang w:val="nb-NO"/>
        </w:rPr>
        <w:t xml:space="preserve"> å behandle</w:t>
      </w:r>
    </w:p>
    <w:p w14:paraId="41E92010" w14:textId="77777777" w:rsidR="007312D9" w:rsidRPr="0015674E" w:rsidRDefault="00E453CD" w:rsidP="007312D9">
      <w:pPr>
        <w:pStyle w:val="ListParagraph"/>
        <w:numPr>
          <w:ilvl w:val="0"/>
          <w:numId w:val="15"/>
        </w:numPr>
        <w:tabs>
          <w:tab w:val="left" w:pos="562"/>
        </w:tabs>
        <w:suppressAutoHyphens/>
        <w:rPr>
          <w:sz w:val="22"/>
          <w:szCs w:val="22"/>
        </w:rPr>
      </w:pPr>
      <w:r w:rsidRPr="0015674E">
        <w:rPr>
          <w:sz w:val="22"/>
          <w:szCs w:val="22"/>
        </w:rPr>
        <w:tab/>
        <w:t xml:space="preserve">moderat til </w:t>
      </w:r>
      <w:r w:rsidRPr="00AB161E">
        <w:rPr>
          <w:sz w:val="22"/>
          <w:szCs w:val="22"/>
        </w:rPr>
        <w:t>alvorlig</w:t>
      </w:r>
      <w:r w:rsidRPr="0015674E">
        <w:rPr>
          <w:sz w:val="22"/>
          <w:szCs w:val="22"/>
        </w:rPr>
        <w:t xml:space="preserve"> ulcerøs kolitt hos voksne </w:t>
      </w:r>
      <w:r w:rsidR="00AB161E" w:rsidRPr="0015674E">
        <w:rPr>
          <w:sz w:val="22"/>
          <w:szCs w:val="22"/>
        </w:rPr>
        <w:t>og</w:t>
      </w:r>
    </w:p>
    <w:p w14:paraId="277FDA8F" w14:textId="77777777" w:rsidR="007312D9" w:rsidRPr="00485860" w:rsidRDefault="00E453CD" w:rsidP="007312D9">
      <w:pPr>
        <w:pStyle w:val="ListParagraph"/>
        <w:numPr>
          <w:ilvl w:val="0"/>
          <w:numId w:val="15"/>
        </w:numPr>
        <w:tabs>
          <w:tab w:val="left" w:pos="562"/>
        </w:tabs>
        <w:suppressAutoHyphens/>
        <w:rPr>
          <w:sz w:val="22"/>
          <w:szCs w:val="22"/>
        </w:rPr>
      </w:pPr>
      <w:r>
        <w:rPr>
          <w:sz w:val="22"/>
        </w:rPr>
        <w:tab/>
      </w:r>
      <w:r w:rsidRPr="00485860">
        <w:rPr>
          <w:sz w:val="22"/>
        </w:rPr>
        <w:t xml:space="preserve">moderat til alvorlig ulcerøs kolitt hos barn og ungdom </w:t>
      </w:r>
      <w:r>
        <w:rPr>
          <w:sz w:val="22"/>
        </w:rPr>
        <w:t>fra</w:t>
      </w:r>
      <w:r w:rsidRPr="00485860">
        <w:rPr>
          <w:sz w:val="22"/>
        </w:rPr>
        <w:t xml:space="preserve"> 6 til 17 år</w:t>
      </w:r>
    </w:p>
    <w:p w14:paraId="6EF06422" w14:textId="77777777" w:rsidR="007312D9" w:rsidRDefault="007312D9" w:rsidP="00CF7F58">
      <w:pPr>
        <w:pStyle w:val="EMEANormal"/>
        <w:rPr>
          <w:szCs w:val="22"/>
          <w:lang w:val="nb-NO"/>
        </w:rPr>
      </w:pPr>
    </w:p>
    <w:p w14:paraId="173E516F" w14:textId="77777777" w:rsidR="00CF7F58" w:rsidRDefault="00E453CD" w:rsidP="00CF7F58">
      <w:pPr>
        <w:pStyle w:val="EMEANormal"/>
        <w:rPr>
          <w:szCs w:val="22"/>
          <w:lang w:val="nb-NO"/>
        </w:rPr>
      </w:pPr>
      <w:r w:rsidRPr="00887835">
        <w:rPr>
          <w:szCs w:val="22"/>
          <w:lang w:val="nb-NO"/>
        </w:rPr>
        <w:t>Det kan hende</w:t>
      </w:r>
      <w:r w:rsidRPr="009C5EFD">
        <w:rPr>
          <w:szCs w:val="22"/>
          <w:lang w:val="nb-NO"/>
        </w:rPr>
        <w:t xml:space="preserve"> du først </w:t>
      </w:r>
      <w:r w:rsidRPr="00887835">
        <w:rPr>
          <w:szCs w:val="22"/>
          <w:lang w:val="nb-NO"/>
        </w:rPr>
        <w:t>får</w:t>
      </w:r>
      <w:r w:rsidRPr="009C5EFD">
        <w:rPr>
          <w:szCs w:val="22"/>
          <w:lang w:val="nb-NO"/>
        </w:rPr>
        <w:t xml:space="preserve"> andre legemidler. Dersom du ikke reagerer godt nok på disse legemidlene, vil du få Humira.</w:t>
      </w:r>
    </w:p>
    <w:p w14:paraId="4CC6C426" w14:textId="77777777" w:rsidR="00CF7F58" w:rsidRPr="0061743D" w:rsidRDefault="00CF7F58" w:rsidP="00CF7F58">
      <w:pPr>
        <w:pStyle w:val="EMEANormal"/>
        <w:rPr>
          <w:b/>
          <w:lang w:val="nb-NO"/>
        </w:rPr>
      </w:pPr>
    </w:p>
    <w:p w14:paraId="005FC1D2" w14:textId="77777777" w:rsidR="00CF7F58" w:rsidRPr="006947EE" w:rsidRDefault="00E453CD" w:rsidP="00776A84">
      <w:pPr>
        <w:pStyle w:val="EMEANormal"/>
        <w:keepNext/>
        <w:rPr>
          <w:lang w:val="nb-NO"/>
        </w:rPr>
      </w:pPr>
      <w:r w:rsidRPr="0061743D">
        <w:rPr>
          <w:b/>
          <w:lang w:val="nb-NO"/>
        </w:rPr>
        <w:t>Ikke-infeksiøs uveitt</w:t>
      </w:r>
    </w:p>
    <w:p w14:paraId="749B4ADC" w14:textId="77777777" w:rsidR="00CF7F58" w:rsidRDefault="00CF7F58" w:rsidP="00776A84">
      <w:pPr>
        <w:pStyle w:val="EMEANormal"/>
        <w:keepNext/>
        <w:rPr>
          <w:szCs w:val="22"/>
          <w:u w:val="single"/>
          <w:lang w:val="nb-NO"/>
        </w:rPr>
      </w:pPr>
    </w:p>
    <w:p w14:paraId="0493D542" w14:textId="77777777" w:rsidR="00CF7F58" w:rsidRDefault="00E453CD" w:rsidP="00CF7F58">
      <w:pPr>
        <w:pStyle w:val="EMEANormal"/>
        <w:rPr>
          <w:szCs w:val="22"/>
          <w:lang w:val="nb-NO"/>
        </w:rPr>
      </w:pPr>
      <w:r w:rsidRPr="00521E94">
        <w:rPr>
          <w:szCs w:val="22"/>
          <w:lang w:val="nb-NO"/>
        </w:rPr>
        <w:t xml:space="preserve">Ikke-infeksiøs uveitt </w:t>
      </w:r>
      <w:r>
        <w:rPr>
          <w:szCs w:val="22"/>
          <w:lang w:val="nb-NO"/>
        </w:rPr>
        <w:t xml:space="preserve">er en betennelsessykdom </w:t>
      </w:r>
      <w:r w:rsidRPr="00521E94">
        <w:rPr>
          <w:szCs w:val="22"/>
          <w:lang w:val="nb-NO"/>
        </w:rPr>
        <w:t xml:space="preserve">som påvirker </w:t>
      </w:r>
      <w:r>
        <w:rPr>
          <w:szCs w:val="22"/>
          <w:lang w:val="nb-NO"/>
        </w:rPr>
        <w:t>visse deler av øyet.</w:t>
      </w:r>
    </w:p>
    <w:p w14:paraId="36690617" w14:textId="77777777" w:rsidR="00CF7F58" w:rsidRDefault="00CF7F58" w:rsidP="00CF7F58">
      <w:pPr>
        <w:pStyle w:val="EMEANormal"/>
        <w:rPr>
          <w:szCs w:val="22"/>
          <w:lang w:val="nb-NO"/>
        </w:rPr>
      </w:pPr>
    </w:p>
    <w:p w14:paraId="761B7446" w14:textId="77777777" w:rsidR="00B36CC1" w:rsidRDefault="00E453CD" w:rsidP="003764A0">
      <w:pPr>
        <w:pStyle w:val="EMEANormal"/>
        <w:keepNext/>
        <w:rPr>
          <w:szCs w:val="22"/>
          <w:lang w:val="nb-NO"/>
        </w:rPr>
      </w:pPr>
      <w:r>
        <w:rPr>
          <w:szCs w:val="22"/>
          <w:lang w:val="nb-NO"/>
        </w:rPr>
        <w:lastRenderedPageBreak/>
        <w:t xml:space="preserve">Humira brukes </w:t>
      </w:r>
      <w:r w:rsidR="00C80830">
        <w:rPr>
          <w:szCs w:val="22"/>
          <w:lang w:val="nb-NO"/>
        </w:rPr>
        <w:t>til</w:t>
      </w:r>
      <w:r>
        <w:rPr>
          <w:szCs w:val="22"/>
          <w:lang w:val="nb-NO"/>
        </w:rPr>
        <w:t xml:space="preserve"> å behandle</w:t>
      </w:r>
    </w:p>
    <w:p w14:paraId="16488C0E" w14:textId="77777777" w:rsidR="00B36CC1" w:rsidRDefault="00E453CD" w:rsidP="003764A0">
      <w:pPr>
        <w:pStyle w:val="EMEANormal"/>
        <w:keepNext/>
        <w:numPr>
          <w:ilvl w:val="0"/>
          <w:numId w:val="132"/>
        </w:numPr>
        <w:rPr>
          <w:szCs w:val="22"/>
          <w:lang w:val="nb-NO"/>
        </w:rPr>
      </w:pPr>
      <w:r>
        <w:rPr>
          <w:szCs w:val="22"/>
          <w:lang w:val="nb-NO"/>
        </w:rPr>
        <w:t xml:space="preserve">voksne med ikke-infeksiøs uveitt med betennelse som påvirker </w:t>
      </w:r>
      <w:r w:rsidRPr="009028B4">
        <w:rPr>
          <w:szCs w:val="22"/>
          <w:lang w:val="nb-NO"/>
        </w:rPr>
        <w:t>bakre del av øyet</w:t>
      </w:r>
    </w:p>
    <w:p w14:paraId="7831BAD7" w14:textId="77777777" w:rsidR="00B36CC1" w:rsidRDefault="00E453CD" w:rsidP="00B36CC1">
      <w:pPr>
        <w:pStyle w:val="EMEANormal"/>
        <w:numPr>
          <w:ilvl w:val="0"/>
          <w:numId w:val="129"/>
        </w:numPr>
        <w:rPr>
          <w:szCs w:val="22"/>
          <w:lang w:val="nb-NO"/>
        </w:rPr>
      </w:pPr>
      <w:r>
        <w:rPr>
          <w:szCs w:val="22"/>
          <w:lang w:val="nb-NO"/>
        </w:rPr>
        <w:t xml:space="preserve">barn </w:t>
      </w:r>
      <w:r w:rsidR="008167D9">
        <w:rPr>
          <w:szCs w:val="22"/>
          <w:lang w:val="nb-NO"/>
        </w:rPr>
        <w:t xml:space="preserve">over </w:t>
      </w:r>
      <w:r>
        <w:rPr>
          <w:szCs w:val="22"/>
          <w:lang w:val="nb-NO"/>
        </w:rPr>
        <w:t>2 år med kronisk ikke-infek</w:t>
      </w:r>
      <w:r w:rsidR="00F54C47">
        <w:rPr>
          <w:szCs w:val="22"/>
          <w:lang w:val="nb-NO"/>
        </w:rPr>
        <w:t>s</w:t>
      </w:r>
      <w:r>
        <w:rPr>
          <w:szCs w:val="22"/>
          <w:lang w:val="nb-NO"/>
        </w:rPr>
        <w:t>iøs uveitt med betennelse som påvirker fremre del av øyet (regnbuehinnebetennelse)</w:t>
      </w:r>
    </w:p>
    <w:p w14:paraId="26D9CE6E" w14:textId="77777777" w:rsidR="00B36CC1" w:rsidRDefault="00B36CC1" w:rsidP="00CF7F58">
      <w:pPr>
        <w:pStyle w:val="EMEANormal"/>
        <w:rPr>
          <w:szCs w:val="22"/>
          <w:lang w:val="nb-NO"/>
        </w:rPr>
      </w:pPr>
    </w:p>
    <w:p w14:paraId="0CD12369" w14:textId="77777777" w:rsidR="00CF7F58" w:rsidRPr="004E065A" w:rsidRDefault="00E453CD" w:rsidP="00CF7F58">
      <w:pPr>
        <w:pStyle w:val="EMEANormal"/>
        <w:rPr>
          <w:szCs w:val="22"/>
          <w:lang w:val="nb-NO"/>
        </w:rPr>
      </w:pPr>
      <w:r>
        <w:rPr>
          <w:szCs w:val="22"/>
          <w:lang w:val="nb-NO"/>
        </w:rPr>
        <w:t xml:space="preserve">Denne betennelsen </w:t>
      </w:r>
      <w:r w:rsidR="00B36CC1">
        <w:rPr>
          <w:szCs w:val="22"/>
          <w:lang w:val="nb-NO"/>
        </w:rPr>
        <w:t xml:space="preserve">kan </w:t>
      </w:r>
      <w:r>
        <w:rPr>
          <w:szCs w:val="22"/>
          <w:lang w:val="nb-NO"/>
        </w:rPr>
        <w:t xml:space="preserve">føre til nedsatt syn og/eller tilstedeværelse av </w:t>
      </w:r>
      <w:r w:rsidR="00B36CC1">
        <w:rPr>
          <w:szCs w:val="22"/>
          <w:lang w:val="nb-NO"/>
        </w:rPr>
        <w:t>flytende legemer</w:t>
      </w:r>
      <w:r>
        <w:rPr>
          <w:szCs w:val="22"/>
          <w:lang w:val="nb-NO"/>
        </w:rPr>
        <w:t xml:space="preserve"> i øyet (svarte prikker eller ujevne linjer som beveger seg </w:t>
      </w:r>
      <w:r w:rsidR="00B36CC1">
        <w:rPr>
          <w:szCs w:val="22"/>
          <w:lang w:val="nb-NO"/>
        </w:rPr>
        <w:t>over</w:t>
      </w:r>
      <w:r>
        <w:rPr>
          <w:szCs w:val="22"/>
          <w:lang w:val="nb-NO"/>
        </w:rPr>
        <w:t xml:space="preserve"> synsfeltet). Humira virker ved å redusere denne betennelsen. </w:t>
      </w:r>
      <w:r w:rsidRPr="00A15CB1">
        <w:rPr>
          <w:szCs w:val="22"/>
          <w:lang w:val="nb-NO"/>
        </w:rPr>
        <w:t>Det kan hende du først får andre legemidler. Dersom du ikke reagerer godt nok på disse legemidlene, vil du få Humira.</w:t>
      </w:r>
    </w:p>
    <w:p w14:paraId="4E4837A1" w14:textId="77777777" w:rsidR="00CF7F58" w:rsidRPr="009C5EFD" w:rsidRDefault="00CF7F58" w:rsidP="00CF7F58">
      <w:pPr>
        <w:rPr>
          <w:sz w:val="22"/>
          <w:szCs w:val="22"/>
        </w:rPr>
      </w:pPr>
    </w:p>
    <w:p w14:paraId="438AF614" w14:textId="77777777" w:rsidR="00CF7F58" w:rsidRPr="009C5EFD" w:rsidRDefault="00CF7F58" w:rsidP="00A31787">
      <w:pPr>
        <w:suppressAutoHyphens/>
        <w:rPr>
          <w:sz w:val="22"/>
          <w:szCs w:val="22"/>
        </w:rPr>
      </w:pPr>
    </w:p>
    <w:p w14:paraId="450F27E5" w14:textId="77777777" w:rsidR="00CF7F58" w:rsidRPr="009C5EFD" w:rsidRDefault="00E453CD" w:rsidP="00776A84">
      <w:pPr>
        <w:keepNext/>
        <w:suppressAutoHyphens/>
        <w:ind w:left="621" w:hanging="621"/>
        <w:rPr>
          <w:sz w:val="22"/>
          <w:szCs w:val="22"/>
        </w:rPr>
      </w:pPr>
      <w:r w:rsidRPr="009C5EFD">
        <w:rPr>
          <w:b/>
          <w:sz w:val="22"/>
          <w:szCs w:val="22"/>
        </w:rPr>
        <w:t>2.</w:t>
      </w:r>
      <w:r w:rsidRPr="009C5EFD">
        <w:rPr>
          <w:b/>
          <w:sz w:val="22"/>
          <w:szCs w:val="22"/>
        </w:rPr>
        <w:tab/>
        <w:t>Hva du må vite før du bruker Humira</w:t>
      </w:r>
    </w:p>
    <w:p w14:paraId="717A52BB" w14:textId="77777777" w:rsidR="00CF7F58" w:rsidRPr="009C5EFD" w:rsidRDefault="00CF7F58" w:rsidP="00776A84">
      <w:pPr>
        <w:keepNext/>
        <w:ind w:left="621" w:hanging="621"/>
        <w:rPr>
          <w:sz w:val="22"/>
          <w:szCs w:val="22"/>
        </w:rPr>
      </w:pPr>
    </w:p>
    <w:p w14:paraId="7CC4C844" w14:textId="77777777" w:rsidR="00CF7F58" w:rsidRPr="006947EE" w:rsidRDefault="00E453CD" w:rsidP="00776A84">
      <w:pPr>
        <w:keepNext/>
        <w:suppressAutoHyphens/>
        <w:ind w:left="480" w:hanging="480"/>
        <w:rPr>
          <w:sz w:val="22"/>
          <w:szCs w:val="22"/>
        </w:rPr>
      </w:pPr>
      <w:r w:rsidRPr="009C5EFD">
        <w:rPr>
          <w:b/>
          <w:sz w:val="22"/>
          <w:szCs w:val="22"/>
        </w:rPr>
        <w:t>Bruk ikke Humira</w:t>
      </w:r>
      <w:r>
        <w:rPr>
          <w:b/>
          <w:sz w:val="22"/>
          <w:szCs w:val="22"/>
        </w:rPr>
        <w:t>:</w:t>
      </w:r>
    </w:p>
    <w:p w14:paraId="2443CE1E" w14:textId="77777777" w:rsidR="00CF7F58" w:rsidRPr="009C5EFD" w:rsidRDefault="00CF7F58" w:rsidP="00776A84">
      <w:pPr>
        <w:keepNext/>
        <w:suppressAutoHyphens/>
        <w:ind w:left="480" w:hanging="426"/>
        <w:rPr>
          <w:sz w:val="22"/>
          <w:szCs w:val="22"/>
        </w:rPr>
      </w:pPr>
    </w:p>
    <w:p w14:paraId="584720A6" w14:textId="77777777" w:rsidR="00CF7F58" w:rsidRPr="009C5EFD" w:rsidRDefault="00E453CD" w:rsidP="00CF7F58">
      <w:pPr>
        <w:numPr>
          <w:ilvl w:val="0"/>
          <w:numId w:val="3"/>
        </w:numPr>
        <w:rPr>
          <w:sz w:val="22"/>
          <w:szCs w:val="22"/>
        </w:rPr>
      </w:pPr>
      <w:r>
        <w:rPr>
          <w:sz w:val="22"/>
          <w:szCs w:val="22"/>
        </w:rPr>
        <w:t>Dersom</w:t>
      </w:r>
      <w:r w:rsidRPr="009C5EFD">
        <w:rPr>
          <w:sz w:val="22"/>
          <w:szCs w:val="22"/>
        </w:rPr>
        <w:t xml:space="preserve"> du er allergisk overfor adalimumab eller noen av de andre innholdsstoffene i dette legemidlet (listet opp i </w:t>
      </w:r>
      <w:r>
        <w:rPr>
          <w:sz w:val="22"/>
          <w:szCs w:val="22"/>
        </w:rPr>
        <w:t xml:space="preserve">avsnitt </w:t>
      </w:r>
      <w:r w:rsidRPr="009C5EFD">
        <w:rPr>
          <w:sz w:val="22"/>
          <w:szCs w:val="22"/>
        </w:rPr>
        <w:t>6).</w:t>
      </w:r>
    </w:p>
    <w:p w14:paraId="3BBC72A5" w14:textId="77777777" w:rsidR="00CF7F58" w:rsidRPr="009C5EFD" w:rsidRDefault="00CF7F58" w:rsidP="00CF7F58">
      <w:pPr>
        <w:ind w:left="567"/>
        <w:rPr>
          <w:sz w:val="22"/>
          <w:szCs w:val="22"/>
        </w:rPr>
      </w:pPr>
    </w:p>
    <w:p w14:paraId="478704D3" w14:textId="77777777" w:rsidR="00CF7F58" w:rsidRPr="009C5EFD" w:rsidRDefault="00E453CD" w:rsidP="00CF7F58">
      <w:pPr>
        <w:numPr>
          <w:ilvl w:val="0"/>
          <w:numId w:val="3"/>
        </w:numPr>
        <w:rPr>
          <w:sz w:val="22"/>
          <w:szCs w:val="22"/>
        </w:rPr>
      </w:pPr>
      <w:r>
        <w:rPr>
          <w:sz w:val="22"/>
          <w:szCs w:val="22"/>
        </w:rPr>
        <w:t>D</w:t>
      </w:r>
      <w:r w:rsidRPr="009C5EFD">
        <w:rPr>
          <w:sz w:val="22"/>
          <w:szCs w:val="22"/>
        </w:rPr>
        <w:t xml:space="preserve">ersom du har aktiv tuberkulose </w:t>
      </w:r>
      <w:r>
        <w:rPr>
          <w:sz w:val="22"/>
          <w:szCs w:val="22"/>
        </w:rPr>
        <w:t xml:space="preserve">eller andre alvorlige </w:t>
      </w:r>
      <w:r w:rsidRPr="009C5EFD">
        <w:rPr>
          <w:sz w:val="22"/>
          <w:szCs w:val="22"/>
        </w:rPr>
        <w:t>infeksjon</w:t>
      </w:r>
      <w:r>
        <w:rPr>
          <w:sz w:val="22"/>
          <w:szCs w:val="22"/>
        </w:rPr>
        <w:t>er</w:t>
      </w:r>
      <w:r w:rsidRPr="009C5EFD">
        <w:rPr>
          <w:sz w:val="22"/>
          <w:szCs w:val="22"/>
        </w:rPr>
        <w:t xml:space="preserve"> (se </w:t>
      </w:r>
      <w:r w:rsidR="00D57009">
        <w:rPr>
          <w:sz w:val="22"/>
          <w:szCs w:val="22"/>
        </w:rPr>
        <w:t>«</w:t>
      </w:r>
      <w:r w:rsidRPr="009C5EFD">
        <w:rPr>
          <w:sz w:val="22"/>
          <w:szCs w:val="22"/>
        </w:rPr>
        <w:t>Advarsler og forsiktighetsregler</w:t>
      </w:r>
      <w:r w:rsidR="00D57009">
        <w:rPr>
          <w:sz w:val="22"/>
          <w:szCs w:val="22"/>
        </w:rPr>
        <w:t>»</w:t>
      </w:r>
      <w:r w:rsidRPr="009C5EFD">
        <w:rPr>
          <w:sz w:val="22"/>
          <w:szCs w:val="22"/>
        </w:rPr>
        <w:t xml:space="preserve">). Det er viktig at du informerer legen </w:t>
      </w:r>
      <w:r>
        <w:rPr>
          <w:sz w:val="22"/>
          <w:szCs w:val="22"/>
        </w:rPr>
        <w:t xml:space="preserve">din </w:t>
      </w:r>
      <w:r w:rsidRPr="009C5EFD">
        <w:rPr>
          <w:sz w:val="22"/>
          <w:szCs w:val="22"/>
        </w:rPr>
        <w:t xml:space="preserve">om du har symptomer på infeksjon, som </w:t>
      </w:r>
      <w:r>
        <w:rPr>
          <w:sz w:val="22"/>
          <w:szCs w:val="22"/>
        </w:rPr>
        <w:t>f.eks.</w:t>
      </w:r>
      <w:r w:rsidRPr="009C5EFD">
        <w:rPr>
          <w:sz w:val="22"/>
          <w:szCs w:val="22"/>
        </w:rPr>
        <w:t xml:space="preserve"> feber, sår, tretthet, problemer med tennene.</w:t>
      </w:r>
    </w:p>
    <w:p w14:paraId="21D0E72C" w14:textId="77777777" w:rsidR="00CF7F58" w:rsidRPr="009C5EFD" w:rsidRDefault="00CF7F58" w:rsidP="00CF7F58">
      <w:pPr>
        <w:ind w:left="567"/>
        <w:rPr>
          <w:sz w:val="22"/>
          <w:szCs w:val="22"/>
        </w:rPr>
      </w:pPr>
    </w:p>
    <w:p w14:paraId="664158A0" w14:textId="77777777" w:rsidR="00CF7F58" w:rsidRPr="009C5EFD" w:rsidRDefault="00E453CD" w:rsidP="00CF7F58">
      <w:pPr>
        <w:numPr>
          <w:ilvl w:val="0"/>
          <w:numId w:val="3"/>
        </w:numPr>
        <w:rPr>
          <w:sz w:val="22"/>
          <w:szCs w:val="22"/>
        </w:rPr>
      </w:pPr>
      <w:r>
        <w:rPr>
          <w:sz w:val="22"/>
          <w:szCs w:val="22"/>
        </w:rPr>
        <w:t>Dersom</w:t>
      </w:r>
      <w:r w:rsidRPr="009C5EFD">
        <w:rPr>
          <w:sz w:val="22"/>
          <w:szCs w:val="22"/>
        </w:rPr>
        <w:t xml:space="preserve"> du har moderat til alvorlig hjertesvikt. Det er viktig at du forteller legen </w:t>
      </w:r>
      <w:r>
        <w:rPr>
          <w:sz w:val="22"/>
          <w:szCs w:val="22"/>
        </w:rPr>
        <w:t xml:space="preserve">din </w:t>
      </w:r>
      <w:r w:rsidRPr="009C5EFD">
        <w:rPr>
          <w:sz w:val="22"/>
          <w:szCs w:val="22"/>
        </w:rPr>
        <w:t xml:space="preserve">hvis du har eller har hatt en alvorlig hjertesykdom (se </w:t>
      </w:r>
      <w:r w:rsidR="00D57009">
        <w:rPr>
          <w:sz w:val="22"/>
          <w:szCs w:val="22"/>
        </w:rPr>
        <w:t>«</w:t>
      </w:r>
      <w:r w:rsidRPr="009C5EFD">
        <w:rPr>
          <w:sz w:val="22"/>
          <w:szCs w:val="22"/>
        </w:rPr>
        <w:t>Advarsler og forsiktighetsregler</w:t>
      </w:r>
      <w:r w:rsidR="00D57009">
        <w:rPr>
          <w:sz w:val="22"/>
          <w:szCs w:val="22"/>
        </w:rPr>
        <w:t>»</w:t>
      </w:r>
      <w:r w:rsidRPr="009C5EFD">
        <w:rPr>
          <w:sz w:val="22"/>
          <w:szCs w:val="22"/>
        </w:rPr>
        <w:t>).</w:t>
      </w:r>
    </w:p>
    <w:p w14:paraId="73F1E390" w14:textId="77777777" w:rsidR="00CF7F58" w:rsidRPr="009C5EFD" w:rsidRDefault="00CF7F58" w:rsidP="00CF7F58">
      <w:pPr>
        <w:tabs>
          <w:tab w:val="num" w:pos="567"/>
        </w:tabs>
        <w:suppressAutoHyphens/>
        <w:ind w:left="567" w:hanging="567"/>
        <w:rPr>
          <w:sz w:val="22"/>
          <w:szCs w:val="22"/>
        </w:rPr>
      </w:pPr>
    </w:p>
    <w:p w14:paraId="21B40BAB" w14:textId="77777777" w:rsidR="00CF7F58" w:rsidRPr="006947EE" w:rsidRDefault="00E453CD" w:rsidP="00776A84">
      <w:pPr>
        <w:keepNext/>
        <w:tabs>
          <w:tab w:val="num" w:pos="567"/>
        </w:tabs>
        <w:suppressAutoHyphens/>
        <w:ind w:left="567" w:hanging="567"/>
        <w:rPr>
          <w:sz w:val="22"/>
          <w:szCs w:val="22"/>
        </w:rPr>
      </w:pPr>
      <w:r w:rsidRPr="009C5EFD">
        <w:rPr>
          <w:b/>
          <w:sz w:val="22"/>
          <w:szCs w:val="22"/>
        </w:rPr>
        <w:t>Advarsler og forsiktighetsregler</w:t>
      </w:r>
    </w:p>
    <w:p w14:paraId="13305872" w14:textId="77777777" w:rsidR="00CF7F58" w:rsidRPr="009C5EFD" w:rsidRDefault="00CF7F58" w:rsidP="00776A84">
      <w:pPr>
        <w:keepNext/>
        <w:tabs>
          <w:tab w:val="num" w:pos="567"/>
        </w:tabs>
        <w:suppressAutoHyphens/>
        <w:ind w:left="567" w:hanging="567"/>
        <w:rPr>
          <w:sz w:val="22"/>
          <w:szCs w:val="22"/>
        </w:rPr>
      </w:pPr>
    </w:p>
    <w:p w14:paraId="40BDBF2B" w14:textId="77777777" w:rsidR="00CF7F58" w:rsidRPr="009C5EFD" w:rsidRDefault="00E453CD" w:rsidP="00CF7F58">
      <w:pPr>
        <w:pStyle w:val="BodyTextIndent3"/>
        <w:rPr>
          <w:szCs w:val="22"/>
        </w:rPr>
      </w:pPr>
      <w:r w:rsidRPr="009C5EFD">
        <w:rPr>
          <w:szCs w:val="22"/>
        </w:rPr>
        <w:t>Snakk med legen din eller apotek før Humira brukes.</w:t>
      </w:r>
    </w:p>
    <w:p w14:paraId="4A5B9F79" w14:textId="77777777" w:rsidR="00CF7F58" w:rsidRDefault="00CF7F58" w:rsidP="00CF7F58">
      <w:pPr>
        <w:pStyle w:val="BodyTextIndent3"/>
        <w:rPr>
          <w:szCs w:val="22"/>
        </w:rPr>
      </w:pPr>
    </w:p>
    <w:p w14:paraId="3801D068" w14:textId="77777777" w:rsidR="00CF7F58" w:rsidRDefault="00E453CD" w:rsidP="00CF7F58">
      <w:pPr>
        <w:pStyle w:val="BodyTextIndent3"/>
        <w:keepNext/>
        <w:rPr>
          <w:szCs w:val="22"/>
        </w:rPr>
      </w:pPr>
      <w:r>
        <w:rPr>
          <w:szCs w:val="22"/>
          <w:u w:val="single"/>
        </w:rPr>
        <w:t>Allergiske reaksjoner</w:t>
      </w:r>
    </w:p>
    <w:p w14:paraId="38A4EB64" w14:textId="77777777" w:rsidR="00CF7F58" w:rsidRPr="009B6AB2" w:rsidRDefault="00CF7F58" w:rsidP="00CF7F58">
      <w:pPr>
        <w:pStyle w:val="BodyTextIndent3"/>
        <w:keepNext/>
        <w:rPr>
          <w:szCs w:val="22"/>
        </w:rPr>
      </w:pPr>
    </w:p>
    <w:p w14:paraId="29E72B5A" w14:textId="77777777" w:rsidR="00CF7F58" w:rsidRPr="009C5EFD" w:rsidRDefault="00E453CD" w:rsidP="00776A84">
      <w:pPr>
        <w:pStyle w:val="BodyTextIndent3"/>
        <w:numPr>
          <w:ilvl w:val="0"/>
          <w:numId w:val="3"/>
        </w:numPr>
        <w:ind w:left="714" w:hanging="357"/>
        <w:rPr>
          <w:szCs w:val="22"/>
        </w:rPr>
      </w:pPr>
      <w:r w:rsidRPr="009C5EFD">
        <w:rPr>
          <w:szCs w:val="22"/>
        </w:rPr>
        <w:t xml:space="preserve">Dersom du får allergiske reaksjoner med symptomer som tetthet eller piping i brystet, svimmelhet, hevelse eller utslett, må du ikke </w:t>
      </w:r>
      <w:r w:rsidRPr="009C5EFD">
        <w:rPr>
          <w:color w:val="000000"/>
          <w:szCs w:val="22"/>
        </w:rPr>
        <w:t xml:space="preserve">fortsette å </w:t>
      </w:r>
      <w:r w:rsidR="008167D9">
        <w:rPr>
          <w:szCs w:val="22"/>
        </w:rPr>
        <w:t>injisere</w:t>
      </w:r>
      <w:r w:rsidR="008167D9" w:rsidRPr="009C5EFD">
        <w:rPr>
          <w:szCs w:val="22"/>
        </w:rPr>
        <w:t xml:space="preserve"> </w:t>
      </w:r>
      <w:r w:rsidRPr="009C5EFD">
        <w:rPr>
          <w:szCs w:val="22"/>
        </w:rPr>
        <w:t xml:space="preserve">Humira, men kontakte legen </w:t>
      </w:r>
      <w:r>
        <w:rPr>
          <w:szCs w:val="22"/>
        </w:rPr>
        <w:t>din</w:t>
      </w:r>
      <w:r w:rsidRPr="009C5EFD">
        <w:rPr>
          <w:szCs w:val="22"/>
        </w:rPr>
        <w:t xml:space="preserve"> umiddelbart</w:t>
      </w:r>
      <w:r w:rsidR="00A1429F">
        <w:rPr>
          <w:szCs w:val="22"/>
        </w:rPr>
        <w:t xml:space="preserve"> siden disse reaksjone</w:t>
      </w:r>
      <w:r w:rsidR="00D93F46">
        <w:rPr>
          <w:szCs w:val="22"/>
        </w:rPr>
        <w:t>ne</w:t>
      </w:r>
      <w:r w:rsidR="00A1429F">
        <w:rPr>
          <w:szCs w:val="22"/>
        </w:rPr>
        <w:t xml:space="preserve"> i sjeldne tilfeller kan være livstruende</w:t>
      </w:r>
      <w:r w:rsidRPr="009C5EFD">
        <w:rPr>
          <w:szCs w:val="22"/>
        </w:rPr>
        <w:t>.</w:t>
      </w:r>
    </w:p>
    <w:p w14:paraId="2476F53D" w14:textId="77777777" w:rsidR="00CF7F58" w:rsidRDefault="00CF7F58" w:rsidP="00A31787">
      <w:pPr>
        <w:pStyle w:val="BodyTextIndent3"/>
        <w:ind w:left="0" w:firstLine="0"/>
        <w:rPr>
          <w:szCs w:val="22"/>
        </w:rPr>
      </w:pPr>
    </w:p>
    <w:p w14:paraId="02AADAF6" w14:textId="77777777" w:rsidR="00CF7F58" w:rsidRDefault="00E453CD" w:rsidP="00776A84">
      <w:pPr>
        <w:pStyle w:val="BodyTextIndent3"/>
        <w:keepNext/>
        <w:rPr>
          <w:szCs w:val="22"/>
        </w:rPr>
      </w:pPr>
      <w:r>
        <w:rPr>
          <w:szCs w:val="22"/>
          <w:u w:val="single"/>
        </w:rPr>
        <w:t>Infeksjoner</w:t>
      </w:r>
    </w:p>
    <w:p w14:paraId="6F9ED2E0" w14:textId="77777777" w:rsidR="00CF7F58" w:rsidRPr="009B6AB2" w:rsidRDefault="00CF7F58" w:rsidP="00776A84">
      <w:pPr>
        <w:pStyle w:val="BodyTextIndent3"/>
        <w:keepNext/>
        <w:rPr>
          <w:szCs w:val="22"/>
        </w:rPr>
      </w:pPr>
    </w:p>
    <w:p w14:paraId="3B0CCE78" w14:textId="77777777" w:rsidR="00CF7F58" w:rsidRPr="009C5EFD" w:rsidRDefault="00E453CD" w:rsidP="00CF7F58">
      <w:pPr>
        <w:pStyle w:val="BodyTextIndent3"/>
        <w:numPr>
          <w:ilvl w:val="0"/>
          <w:numId w:val="3"/>
        </w:numPr>
        <w:rPr>
          <w:szCs w:val="22"/>
        </w:rPr>
      </w:pPr>
      <w:r w:rsidRPr="009C5EFD">
        <w:rPr>
          <w:szCs w:val="22"/>
        </w:rPr>
        <w:t xml:space="preserve">Dersom du har en infeksjon, </w:t>
      </w:r>
      <w:r>
        <w:rPr>
          <w:szCs w:val="22"/>
        </w:rPr>
        <w:t>inkludert</w:t>
      </w:r>
      <w:r w:rsidRPr="009C5EFD">
        <w:rPr>
          <w:szCs w:val="22"/>
        </w:rPr>
        <w:t xml:space="preserve"> langtids</w:t>
      </w:r>
      <w:r>
        <w:rPr>
          <w:szCs w:val="22"/>
        </w:rPr>
        <w:t>infeksjon</w:t>
      </w:r>
      <w:r w:rsidRPr="009C5EFD">
        <w:rPr>
          <w:szCs w:val="22"/>
        </w:rPr>
        <w:t xml:space="preserve"> eller </w:t>
      </w:r>
      <w:r>
        <w:rPr>
          <w:szCs w:val="22"/>
        </w:rPr>
        <w:t>en</w:t>
      </w:r>
      <w:r w:rsidRPr="009C5EFD">
        <w:rPr>
          <w:szCs w:val="22"/>
        </w:rPr>
        <w:t xml:space="preserve"> infeksjon </w:t>
      </w:r>
      <w:r>
        <w:rPr>
          <w:szCs w:val="22"/>
        </w:rPr>
        <w:t xml:space="preserve">i én del av kroppen </w:t>
      </w:r>
      <w:r w:rsidRPr="009C5EFD">
        <w:rPr>
          <w:szCs w:val="22"/>
        </w:rPr>
        <w:t>(</w:t>
      </w:r>
      <w:r>
        <w:rPr>
          <w:szCs w:val="22"/>
        </w:rPr>
        <w:t>f.eks.</w:t>
      </w:r>
      <w:r w:rsidRPr="009C5EFD">
        <w:rPr>
          <w:szCs w:val="22"/>
        </w:rPr>
        <w:t xml:space="preserve"> leggsår) må du snakke med legen </w:t>
      </w:r>
      <w:r>
        <w:rPr>
          <w:szCs w:val="22"/>
        </w:rPr>
        <w:t xml:space="preserve">din </w:t>
      </w:r>
      <w:r w:rsidRPr="009C5EFD">
        <w:rPr>
          <w:szCs w:val="22"/>
        </w:rPr>
        <w:t xml:space="preserve">før du begynner å bruke Humira. </w:t>
      </w:r>
      <w:r w:rsidR="008167D9">
        <w:rPr>
          <w:szCs w:val="22"/>
        </w:rPr>
        <w:t>K</w:t>
      </w:r>
      <w:r w:rsidRPr="009C5EFD">
        <w:rPr>
          <w:szCs w:val="22"/>
        </w:rPr>
        <w:t>ontakt legen</w:t>
      </w:r>
      <w:r>
        <w:rPr>
          <w:szCs w:val="22"/>
        </w:rPr>
        <w:t xml:space="preserve"> din</w:t>
      </w:r>
      <w:r w:rsidRPr="009C5EFD">
        <w:rPr>
          <w:szCs w:val="22"/>
        </w:rPr>
        <w:t xml:space="preserve"> hvis du er usikker.</w:t>
      </w:r>
    </w:p>
    <w:p w14:paraId="75599C25" w14:textId="77777777" w:rsidR="00CF7F58" w:rsidRPr="009C5EFD" w:rsidRDefault="00CF7F58" w:rsidP="00A31787">
      <w:pPr>
        <w:pStyle w:val="BodyTextIndent3"/>
        <w:ind w:left="0" w:firstLine="0"/>
        <w:rPr>
          <w:szCs w:val="22"/>
        </w:rPr>
      </w:pPr>
    </w:p>
    <w:p w14:paraId="09C82D62" w14:textId="77777777" w:rsidR="00CF7F58" w:rsidRDefault="00E453CD" w:rsidP="00776A84">
      <w:pPr>
        <w:keepNext/>
        <w:numPr>
          <w:ilvl w:val="0"/>
          <w:numId w:val="3"/>
        </w:numPr>
        <w:suppressAutoHyphens/>
        <w:ind w:left="714" w:hanging="357"/>
        <w:rPr>
          <w:sz w:val="22"/>
          <w:szCs w:val="22"/>
        </w:rPr>
      </w:pPr>
      <w:r w:rsidRPr="009C5EFD">
        <w:rPr>
          <w:sz w:val="22"/>
          <w:szCs w:val="22"/>
        </w:rPr>
        <w:t xml:space="preserve">Du kan lettere få infeksjoner mens du behandles med Humira. Denne risikoen kan være større hvis </w:t>
      </w:r>
      <w:r>
        <w:rPr>
          <w:sz w:val="22"/>
          <w:szCs w:val="22"/>
        </w:rPr>
        <w:t xml:space="preserve">du har problemer med </w:t>
      </w:r>
      <w:r w:rsidRPr="009C5EFD">
        <w:rPr>
          <w:sz w:val="22"/>
          <w:szCs w:val="22"/>
        </w:rPr>
        <w:t>din lungefunksjon. Disse infeksjonene kan være alvorlige og inkluderer</w:t>
      </w:r>
      <w:r>
        <w:rPr>
          <w:sz w:val="22"/>
          <w:szCs w:val="22"/>
        </w:rPr>
        <w:t>:</w:t>
      </w:r>
    </w:p>
    <w:p w14:paraId="5F81B87B" w14:textId="77777777" w:rsidR="00CF7F58" w:rsidRDefault="00CF7F58" w:rsidP="00A31787">
      <w:pPr>
        <w:suppressAutoHyphens/>
        <w:rPr>
          <w:sz w:val="22"/>
          <w:szCs w:val="22"/>
        </w:rPr>
      </w:pPr>
    </w:p>
    <w:p w14:paraId="0E8F2326" w14:textId="77777777" w:rsidR="00CF7F58" w:rsidRPr="00B20185" w:rsidRDefault="00E453CD" w:rsidP="00CF7F58">
      <w:pPr>
        <w:pStyle w:val="EMEABullet2"/>
        <w:numPr>
          <w:ilvl w:val="1"/>
          <w:numId w:val="111"/>
        </w:numPr>
        <w:tabs>
          <w:tab w:val="clear" w:pos="567"/>
        </w:tabs>
        <w:rPr>
          <w:lang w:val="en-GB"/>
        </w:rPr>
      </w:pPr>
      <w:r w:rsidRPr="0061743D">
        <w:rPr>
          <w:lang w:val="en-GB"/>
        </w:rPr>
        <w:t>tuberkulose</w:t>
      </w:r>
    </w:p>
    <w:p w14:paraId="244421D4" w14:textId="77777777" w:rsidR="00CF7F58" w:rsidRPr="00887835" w:rsidRDefault="00E453CD" w:rsidP="00CF7F58">
      <w:pPr>
        <w:pStyle w:val="EMEABullet2"/>
        <w:numPr>
          <w:ilvl w:val="1"/>
          <w:numId w:val="111"/>
        </w:numPr>
        <w:tabs>
          <w:tab w:val="clear" w:pos="567"/>
        </w:tabs>
        <w:rPr>
          <w:lang w:val="nb-NO"/>
        </w:rPr>
      </w:pPr>
      <w:r w:rsidRPr="0061743D">
        <w:rPr>
          <w:lang w:val="nb-NO"/>
        </w:rPr>
        <w:t xml:space="preserve">infeksjoner forårsaket av virus, sopp, parasitter eller </w:t>
      </w:r>
      <w:r w:rsidRPr="00887835">
        <w:rPr>
          <w:szCs w:val="22"/>
          <w:lang w:val="nb-NO"/>
        </w:rPr>
        <w:t>bakterie</w:t>
      </w:r>
      <w:r>
        <w:rPr>
          <w:szCs w:val="22"/>
          <w:lang w:val="nb-NO"/>
        </w:rPr>
        <w:t>r</w:t>
      </w:r>
    </w:p>
    <w:p w14:paraId="64D27E42" w14:textId="77777777" w:rsidR="00CF7F58" w:rsidRPr="00887835" w:rsidRDefault="00E453CD" w:rsidP="00CF7F58">
      <w:pPr>
        <w:pStyle w:val="EMEANormal"/>
        <w:numPr>
          <w:ilvl w:val="1"/>
          <w:numId w:val="111"/>
        </w:numPr>
        <w:rPr>
          <w:lang w:val="nb-NO"/>
        </w:rPr>
      </w:pPr>
      <w:r>
        <w:rPr>
          <w:lang w:val="nb-NO"/>
        </w:rPr>
        <w:t>alvorlige infeksjoner i blodet (</w:t>
      </w:r>
      <w:r w:rsidRPr="0061743D">
        <w:rPr>
          <w:lang w:val="nb-NO"/>
        </w:rPr>
        <w:t>blodforgiftning</w:t>
      </w:r>
      <w:r>
        <w:rPr>
          <w:lang w:val="nb-NO"/>
        </w:rPr>
        <w:t>)</w:t>
      </w:r>
    </w:p>
    <w:p w14:paraId="7A428550" w14:textId="77777777" w:rsidR="00CF7F58" w:rsidRPr="00E54D13" w:rsidRDefault="00CF7F58" w:rsidP="00A31787">
      <w:pPr>
        <w:suppressAutoHyphens/>
        <w:rPr>
          <w:sz w:val="22"/>
          <w:szCs w:val="22"/>
        </w:rPr>
      </w:pPr>
    </w:p>
    <w:p w14:paraId="65013802" w14:textId="77777777" w:rsidR="00CF7F58" w:rsidRPr="009C5EFD" w:rsidRDefault="00E453CD" w:rsidP="00172EEB">
      <w:pPr>
        <w:suppressAutoHyphens/>
        <w:ind w:left="720"/>
        <w:rPr>
          <w:sz w:val="22"/>
          <w:szCs w:val="22"/>
        </w:rPr>
      </w:pPr>
      <w:r>
        <w:rPr>
          <w:sz w:val="22"/>
          <w:szCs w:val="22"/>
        </w:rPr>
        <w:t>I</w:t>
      </w:r>
      <w:r w:rsidRPr="009C5EFD">
        <w:rPr>
          <w:sz w:val="22"/>
          <w:szCs w:val="22"/>
        </w:rPr>
        <w:t xml:space="preserve"> sjeldne tilfeller kan </w:t>
      </w:r>
      <w:r>
        <w:rPr>
          <w:sz w:val="22"/>
          <w:szCs w:val="22"/>
        </w:rPr>
        <w:t xml:space="preserve">disse infeksjonene </w:t>
      </w:r>
      <w:r w:rsidRPr="009C5EFD">
        <w:rPr>
          <w:sz w:val="22"/>
          <w:szCs w:val="22"/>
        </w:rPr>
        <w:t xml:space="preserve">være livstruende. Det er viktig å fortelle legen </w:t>
      </w:r>
      <w:r>
        <w:rPr>
          <w:sz w:val="22"/>
          <w:szCs w:val="22"/>
        </w:rPr>
        <w:t xml:space="preserve">din </w:t>
      </w:r>
      <w:r w:rsidRPr="009C5EFD">
        <w:rPr>
          <w:sz w:val="22"/>
          <w:szCs w:val="22"/>
        </w:rPr>
        <w:t xml:space="preserve">om eventuelle symptomer som feber, sår, tretthet eller problemer med tennene. Legen </w:t>
      </w:r>
      <w:r>
        <w:rPr>
          <w:sz w:val="22"/>
          <w:szCs w:val="22"/>
        </w:rPr>
        <w:t>din</w:t>
      </w:r>
      <w:r w:rsidRPr="009C5EFD">
        <w:rPr>
          <w:sz w:val="22"/>
          <w:szCs w:val="22"/>
        </w:rPr>
        <w:t xml:space="preserve"> kan anbefale å avbryte behandlingen med Humira </w:t>
      </w:r>
      <w:r>
        <w:rPr>
          <w:sz w:val="22"/>
          <w:szCs w:val="22"/>
        </w:rPr>
        <w:t>en stund</w:t>
      </w:r>
      <w:r w:rsidRPr="009C5EFD">
        <w:rPr>
          <w:sz w:val="22"/>
          <w:szCs w:val="22"/>
        </w:rPr>
        <w:t>.</w:t>
      </w:r>
    </w:p>
    <w:p w14:paraId="7ACE9EEE" w14:textId="77777777" w:rsidR="00CF7F58" w:rsidRDefault="00CF7F58" w:rsidP="00A31787">
      <w:pPr>
        <w:suppressAutoHyphens/>
        <w:rPr>
          <w:sz w:val="22"/>
          <w:szCs w:val="22"/>
        </w:rPr>
      </w:pPr>
    </w:p>
    <w:p w14:paraId="63B41A7A" w14:textId="77777777" w:rsidR="00CF7F58" w:rsidRDefault="00E453CD" w:rsidP="00CF7F58">
      <w:pPr>
        <w:numPr>
          <w:ilvl w:val="0"/>
          <w:numId w:val="3"/>
        </w:numPr>
        <w:suppressAutoHyphens/>
        <w:rPr>
          <w:sz w:val="22"/>
          <w:szCs w:val="22"/>
        </w:rPr>
      </w:pPr>
      <w:r w:rsidRPr="009C5EFD">
        <w:rPr>
          <w:sz w:val="22"/>
          <w:szCs w:val="22"/>
        </w:rPr>
        <w:t>Gi besk</w:t>
      </w:r>
      <w:r>
        <w:rPr>
          <w:sz w:val="22"/>
          <w:szCs w:val="22"/>
        </w:rPr>
        <w:t>jed til legen din om du bor</w:t>
      </w:r>
      <w:r w:rsidRPr="009C5EFD">
        <w:rPr>
          <w:sz w:val="22"/>
          <w:szCs w:val="22"/>
        </w:rPr>
        <w:t xml:space="preserve"> eller reiser i områder hvor soppinfeksjoner </w:t>
      </w:r>
      <w:r>
        <w:rPr>
          <w:sz w:val="22"/>
          <w:szCs w:val="22"/>
        </w:rPr>
        <w:t xml:space="preserve">(f.eks. </w:t>
      </w:r>
      <w:r w:rsidRPr="009C5EFD">
        <w:rPr>
          <w:sz w:val="22"/>
          <w:szCs w:val="22"/>
        </w:rPr>
        <w:t>histoplasmose, koksidioidomykose eller blastomykose</w:t>
      </w:r>
      <w:r>
        <w:rPr>
          <w:sz w:val="22"/>
          <w:szCs w:val="22"/>
        </w:rPr>
        <w:t>)</w:t>
      </w:r>
      <w:r w:rsidRPr="009C5EFD">
        <w:rPr>
          <w:sz w:val="22"/>
          <w:szCs w:val="22"/>
        </w:rPr>
        <w:t xml:space="preserve"> er </w:t>
      </w:r>
      <w:r>
        <w:rPr>
          <w:sz w:val="22"/>
          <w:szCs w:val="22"/>
        </w:rPr>
        <w:t>veldig vanlig</w:t>
      </w:r>
      <w:r w:rsidRPr="009C5EFD">
        <w:rPr>
          <w:sz w:val="22"/>
          <w:szCs w:val="22"/>
        </w:rPr>
        <w:t>.</w:t>
      </w:r>
    </w:p>
    <w:p w14:paraId="0F68AAA4" w14:textId="77777777" w:rsidR="00CF7F58" w:rsidRPr="009C5EFD" w:rsidRDefault="00CF7F58" w:rsidP="00CF7F58">
      <w:pPr>
        <w:suppressAutoHyphens/>
        <w:rPr>
          <w:sz w:val="22"/>
          <w:szCs w:val="22"/>
        </w:rPr>
      </w:pPr>
    </w:p>
    <w:p w14:paraId="3D6713C5" w14:textId="77777777" w:rsidR="00CF7F58" w:rsidRDefault="00E453CD" w:rsidP="00CF7F58">
      <w:pPr>
        <w:numPr>
          <w:ilvl w:val="0"/>
          <w:numId w:val="3"/>
        </w:numPr>
        <w:suppressAutoHyphens/>
        <w:rPr>
          <w:sz w:val="22"/>
          <w:szCs w:val="22"/>
        </w:rPr>
      </w:pPr>
      <w:r w:rsidRPr="009C5EFD">
        <w:rPr>
          <w:sz w:val="22"/>
          <w:szCs w:val="22"/>
        </w:rPr>
        <w:lastRenderedPageBreak/>
        <w:t xml:space="preserve">Gi beskjed til legen </w:t>
      </w:r>
      <w:r>
        <w:rPr>
          <w:sz w:val="22"/>
          <w:szCs w:val="22"/>
        </w:rPr>
        <w:t xml:space="preserve">din </w:t>
      </w:r>
      <w:r w:rsidRPr="009C5EFD">
        <w:rPr>
          <w:sz w:val="22"/>
          <w:szCs w:val="22"/>
        </w:rPr>
        <w:t>om du har hatt gjentatte infeksjoner eller andre lidelser som øker faren for infeksjoner.</w:t>
      </w:r>
    </w:p>
    <w:p w14:paraId="366E3D44" w14:textId="77777777" w:rsidR="00CF7F58" w:rsidRDefault="00CF7F58" w:rsidP="00A31787">
      <w:pPr>
        <w:pStyle w:val="ListParagraph"/>
        <w:ind w:left="0"/>
        <w:rPr>
          <w:sz w:val="22"/>
          <w:szCs w:val="22"/>
        </w:rPr>
      </w:pPr>
    </w:p>
    <w:p w14:paraId="3E31253B" w14:textId="77777777" w:rsidR="00CF7F58" w:rsidRPr="00887835" w:rsidRDefault="00E453CD" w:rsidP="00CF7F58">
      <w:pPr>
        <w:numPr>
          <w:ilvl w:val="0"/>
          <w:numId w:val="3"/>
        </w:numPr>
        <w:suppressAutoHyphens/>
        <w:rPr>
          <w:sz w:val="22"/>
          <w:szCs w:val="22"/>
        </w:rPr>
      </w:pPr>
      <w:r w:rsidRPr="0061743D">
        <w:rPr>
          <w:sz w:val="22"/>
        </w:rPr>
        <w:t>Hvis du er over 65</w:t>
      </w:r>
      <w:r>
        <w:rPr>
          <w:sz w:val="22"/>
        </w:rPr>
        <w:t> </w:t>
      </w:r>
      <w:r w:rsidRPr="0061743D">
        <w:rPr>
          <w:sz w:val="22"/>
        </w:rPr>
        <w:t xml:space="preserve">år kan du være mer mottagelig for infeksjoner mens du blir behandlet med Humira. Du og legen din bør være særlig oppmerksomme på tegn på infeksjoner mens du blir behandlet med Humira. Det er viktig at du forteller legen din dersom du får symptomer på infeksjoner, </w:t>
      </w:r>
      <w:r>
        <w:rPr>
          <w:sz w:val="22"/>
          <w:szCs w:val="22"/>
        </w:rPr>
        <w:t>f.eks.</w:t>
      </w:r>
      <w:r w:rsidRPr="00887835">
        <w:rPr>
          <w:sz w:val="22"/>
          <w:szCs w:val="22"/>
        </w:rPr>
        <w:t xml:space="preserve"> feber, sår, trøtthet eller tannproblemer.</w:t>
      </w:r>
    </w:p>
    <w:p w14:paraId="7E6E25DE" w14:textId="77777777" w:rsidR="00CF7F58" w:rsidRPr="00E54D13" w:rsidRDefault="00CF7F58" w:rsidP="00CF7F58">
      <w:pPr>
        <w:pStyle w:val="ListParagraph"/>
        <w:rPr>
          <w:sz w:val="22"/>
          <w:szCs w:val="22"/>
        </w:rPr>
      </w:pPr>
    </w:p>
    <w:p w14:paraId="62AFA2E4" w14:textId="77777777" w:rsidR="00CF7F58" w:rsidRDefault="00E453CD" w:rsidP="00776A84">
      <w:pPr>
        <w:keepNext/>
        <w:suppressAutoHyphens/>
        <w:rPr>
          <w:sz w:val="22"/>
          <w:szCs w:val="22"/>
          <w:u w:val="single"/>
        </w:rPr>
      </w:pPr>
      <w:r>
        <w:rPr>
          <w:sz w:val="22"/>
          <w:szCs w:val="22"/>
          <w:u w:val="single"/>
        </w:rPr>
        <w:t>Tuberkulose</w:t>
      </w:r>
    </w:p>
    <w:p w14:paraId="0708FEBE" w14:textId="77777777" w:rsidR="00CF7F58" w:rsidRPr="00887835" w:rsidRDefault="00CF7F58" w:rsidP="00776A84">
      <w:pPr>
        <w:keepNext/>
        <w:suppressAutoHyphens/>
        <w:rPr>
          <w:sz w:val="22"/>
          <w:szCs w:val="22"/>
          <w:u w:val="single"/>
        </w:rPr>
      </w:pPr>
    </w:p>
    <w:p w14:paraId="7F216070" w14:textId="77777777" w:rsidR="00CF7F58" w:rsidRDefault="00E453CD" w:rsidP="00CF7F58">
      <w:pPr>
        <w:numPr>
          <w:ilvl w:val="0"/>
          <w:numId w:val="3"/>
        </w:numPr>
        <w:suppressAutoHyphens/>
        <w:rPr>
          <w:sz w:val="22"/>
          <w:szCs w:val="22"/>
        </w:rPr>
      </w:pPr>
      <w:r>
        <w:rPr>
          <w:sz w:val="22"/>
          <w:szCs w:val="22"/>
        </w:rPr>
        <w:t xml:space="preserve">Det er veldig viktig at du forteller legen din </w:t>
      </w:r>
      <w:r w:rsidRPr="009C5EFD">
        <w:rPr>
          <w:sz w:val="22"/>
          <w:szCs w:val="22"/>
        </w:rPr>
        <w:t>om du noensinne har hatt tuberkulose, eller om du har vært i nær kontakt med noen som har hatt tuberkulose.</w:t>
      </w:r>
      <w:r>
        <w:rPr>
          <w:sz w:val="22"/>
          <w:szCs w:val="22"/>
        </w:rPr>
        <w:t xml:space="preserve"> Bruk ikke Humira hvis du har tuberkulose.</w:t>
      </w:r>
    </w:p>
    <w:p w14:paraId="3E7DA957" w14:textId="77777777" w:rsidR="00CF7F58" w:rsidRDefault="00CF7F58" w:rsidP="00A31787">
      <w:pPr>
        <w:suppressAutoHyphens/>
        <w:rPr>
          <w:sz w:val="22"/>
          <w:szCs w:val="22"/>
        </w:rPr>
      </w:pPr>
    </w:p>
    <w:p w14:paraId="75D643CC" w14:textId="77777777" w:rsidR="00CF7F58" w:rsidRDefault="00E453CD" w:rsidP="00CF7F58">
      <w:pPr>
        <w:numPr>
          <w:ilvl w:val="0"/>
          <w:numId w:val="3"/>
        </w:numPr>
        <w:tabs>
          <w:tab w:val="clear" w:pos="720"/>
          <w:tab w:val="num" w:pos="567"/>
          <w:tab w:val="num" w:pos="1440"/>
        </w:tabs>
        <w:suppressAutoHyphens/>
        <w:ind w:left="1440"/>
        <w:rPr>
          <w:sz w:val="22"/>
          <w:szCs w:val="22"/>
        </w:rPr>
      </w:pPr>
      <w:r w:rsidRPr="009C5EFD">
        <w:rPr>
          <w:sz w:val="22"/>
          <w:szCs w:val="22"/>
        </w:rPr>
        <w:t xml:space="preserve">Ettersom det har vært påvist tilfeller av tuberkulose hos pasienter under behandling med Humira, kommer legen </w:t>
      </w:r>
      <w:r>
        <w:rPr>
          <w:sz w:val="22"/>
          <w:szCs w:val="22"/>
        </w:rPr>
        <w:t xml:space="preserve">din </w:t>
      </w:r>
      <w:r w:rsidRPr="009C5EFD">
        <w:rPr>
          <w:sz w:val="22"/>
          <w:szCs w:val="22"/>
        </w:rPr>
        <w:t xml:space="preserve">til å undersøke om du har tegn eller symptomer på tuberkulose før Humira-behandling startes opp. Dette omfatter en grundig medisinsk </w:t>
      </w:r>
      <w:r w:rsidR="00BF02E7">
        <w:rPr>
          <w:sz w:val="22"/>
          <w:szCs w:val="22"/>
        </w:rPr>
        <w:t>vurdering</w:t>
      </w:r>
      <w:r w:rsidRPr="009C5EFD">
        <w:rPr>
          <w:sz w:val="22"/>
          <w:szCs w:val="22"/>
        </w:rPr>
        <w:t xml:space="preserve"> som vil inkludere din sykdomshistorie og passende screeningtester (f.eks. røntgenbilde av brystkasse og en tuberkulinprøve). Disse testene og resultatene bør registreres i </w:t>
      </w:r>
      <w:r w:rsidRPr="0061743D">
        <w:rPr>
          <w:b/>
          <w:sz w:val="22"/>
        </w:rPr>
        <w:t>pasientkortet</w:t>
      </w:r>
      <w:r w:rsidRPr="009C5EFD">
        <w:rPr>
          <w:sz w:val="22"/>
          <w:szCs w:val="22"/>
        </w:rPr>
        <w:t xml:space="preserve"> ditt.</w:t>
      </w:r>
    </w:p>
    <w:p w14:paraId="37F3D71B" w14:textId="77777777" w:rsidR="00CF7F58" w:rsidRDefault="00E453CD" w:rsidP="00CF7F58">
      <w:pPr>
        <w:numPr>
          <w:ilvl w:val="0"/>
          <w:numId w:val="3"/>
        </w:numPr>
        <w:tabs>
          <w:tab w:val="clear" w:pos="720"/>
          <w:tab w:val="num" w:pos="567"/>
          <w:tab w:val="num" w:pos="1440"/>
        </w:tabs>
        <w:suppressAutoHyphens/>
        <w:ind w:left="1440"/>
        <w:rPr>
          <w:sz w:val="22"/>
          <w:szCs w:val="22"/>
        </w:rPr>
      </w:pPr>
      <w:r w:rsidRPr="009C5EFD">
        <w:rPr>
          <w:sz w:val="22"/>
          <w:szCs w:val="22"/>
        </w:rPr>
        <w:t>Tuberkulose kan utvikles under behandling selv</w:t>
      </w:r>
      <w:r w:rsidR="0004489F">
        <w:rPr>
          <w:sz w:val="22"/>
          <w:szCs w:val="22"/>
        </w:rPr>
        <w:t xml:space="preserve"> </w:t>
      </w:r>
      <w:r w:rsidRPr="009C5EFD">
        <w:rPr>
          <w:sz w:val="22"/>
          <w:szCs w:val="22"/>
        </w:rPr>
        <w:t>om du har mottatt forebyggende behandling mot tuberkulose.</w:t>
      </w:r>
    </w:p>
    <w:p w14:paraId="208FF32A" w14:textId="77777777" w:rsidR="00CF7F58" w:rsidRPr="009C5EFD" w:rsidRDefault="00E453CD" w:rsidP="00CF7F58">
      <w:pPr>
        <w:numPr>
          <w:ilvl w:val="0"/>
          <w:numId w:val="3"/>
        </w:numPr>
        <w:tabs>
          <w:tab w:val="clear" w:pos="720"/>
          <w:tab w:val="num" w:pos="567"/>
          <w:tab w:val="num" w:pos="1440"/>
        </w:tabs>
        <w:suppressAutoHyphens/>
        <w:ind w:left="1440"/>
        <w:rPr>
          <w:sz w:val="22"/>
          <w:szCs w:val="22"/>
        </w:rPr>
      </w:pPr>
      <w:r w:rsidRPr="009C5EFD">
        <w:rPr>
          <w:sz w:val="22"/>
          <w:szCs w:val="22"/>
        </w:rPr>
        <w:t>Dersom symptomer på tuberkulose (</w:t>
      </w:r>
      <w:r>
        <w:rPr>
          <w:sz w:val="22"/>
          <w:szCs w:val="22"/>
        </w:rPr>
        <w:t xml:space="preserve">f.eks. </w:t>
      </w:r>
      <w:r w:rsidRPr="009C5EFD">
        <w:rPr>
          <w:sz w:val="22"/>
          <w:szCs w:val="22"/>
        </w:rPr>
        <w:t xml:space="preserve">vedvarende hoste, vekttap, </w:t>
      </w:r>
      <w:r>
        <w:rPr>
          <w:sz w:val="22"/>
          <w:szCs w:val="22"/>
        </w:rPr>
        <w:t>energitap</w:t>
      </w:r>
      <w:r w:rsidRPr="009C5EFD">
        <w:rPr>
          <w:sz w:val="22"/>
          <w:szCs w:val="22"/>
        </w:rPr>
        <w:t xml:space="preserve">, lett feber) eller andre infeksjoner dukker opp under eller etter behandlingen må du fortelle legen </w:t>
      </w:r>
      <w:r>
        <w:rPr>
          <w:sz w:val="22"/>
          <w:szCs w:val="22"/>
        </w:rPr>
        <w:t xml:space="preserve">din </w:t>
      </w:r>
      <w:r w:rsidRPr="009C5EFD">
        <w:rPr>
          <w:sz w:val="22"/>
          <w:szCs w:val="22"/>
        </w:rPr>
        <w:t>om det straks.</w:t>
      </w:r>
    </w:p>
    <w:p w14:paraId="4D704941" w14:textId="77777777" w:rsidR="00CF7F58" w:rsidRDefault="00CF7F58" w:rsidP="00A31787">
      <w:pPr>
        <w:suppressAutoHyphens/>
        <w:rPr>
          <w:sz w:val="22"/>
          <w:szCs w:val="22"/>
        </w:rPr>
      </w:pPr>
    </w:p>
    <w:p w14:paraId="67B728E3" w14:textId="77777777" w:rsidR="00CF7F58" w:rsidRDefault="00E453CD" w:rsidP="00CF7F58">
      <w:pPr>
        <w:keepNext/>
        <w:suppressAutoHyphens/>
        <w:rPr>
          <w:sz w:val="22"/>
          <w:szCs w:val="22"/>
        </w:rPr>
      </w:pPr>
      <w:r>
        <w:rPr>
          <w:sz w:val="22"/>
          <w:szCs w:val="22"/>
          <w:u w:val="single"/>
        </w:rPr>
        <w:t>Hepatitt B</w:t>
      </w:r>
    </w:p>
    <w:p w14:paraId="78A88A57" w14:textId="77777777" w:rsidR="00CF7F58" w:rsidRPr="00845B5C" w:rsidRDefault="00CF7F58" w:rsidP="00CF7F58">
      <w:pPr>
        <w:keepNext/>
        <w:suppressAutoHyphens/>
        <w:rPr>
          <w:sz w:val="22"/>
          <w:szCs w:val="22"/>
        </w:rPr>
      </w:pPr>
    </w:p>
    <w:p w14:paraId="74D031CD" w14:textId="77777777" w:rsidR="00CF7F58" w:rsidRDefault="00E453CD" w:rsidP="00776A84">
      <w:pPr>
        <w:numPr>
          <w:ilvl w:val="0"/>
          <w:numId w:val="3"/>
        </w:numPr>
        <w:suppressAutoHyphens/>
        <w:ind w:left="714" w:hanging="357"/>
      </w:pPr>
      <w:r w:rsidRPr="0061743D">
        <w:rPr>
          <w:sz w:val="22"/>
        </w:rPr>
        <w:t>Gi beskjed til legen din dersom du er bærer av hepatitt B-virus (HBV), dersom du har aktiv HBV-infeksjon, eller hvis du tror du kan være utsatt for å få HBV.</w:t>
      </w:r>
    </w:p>
    <w:p w14:paraId="72136B99" w14:textId="77777777" w:rsidR="00CF7F58" w:rsidRDefault="00E453CD" w:rsidP="00CF7F58">
      <w:pPr>
        <w:pStyle w:val="EMEABullet2"/>
        <w:tabs>
          <w:tab w:val="left" w:pos="1440"/>
        </w:tabs>
        <w:ind w:left="1440" w:hanging="360"/>
        <w:rPr>
          <w:lang w:val="nb-NO"/>
        </w:rPr>
      </w:pPr>
      <w:r>
        <w:rPr>
          <w:lang w:val="nb-NO"/>
        </w:rPr>
        <w:t>L</w:t>
      </w:r>
      <w:r w:rsidRPr="009C5EFD">
        <w:rPr>
          <w:lang w:val="nb-NO"/>
        </w:rPr>
        <w:t>ege</w:t>
      </w:r>
      <w:r>
        <w:rPr>
          <w:lang w:val="nb-NO"/>
        </w:rPr>
        <w:t>n din</w:t>
      </w:r>
      <w:r w:rsidRPr="009C5EFD">
        <w:rPr>
          <w:lang w:val="nb-NO"/>
        </w:rPr>
        <w:t xml:space="preserve"> b</w:t>
      </w:r>
      <w:r>
        <w:rPr>
          <w:lang w:val="nb-NO"/>
        </w:rPr>
        <w:t>ør</w:t>
      </w:r>
      <w:r w:rsidRPr="009C5EFD">
        <w:rPr>
          <w:lang w:val="nb-NO"/>
        </w:rPr>
        <w:t xml:space="preserve"> teste deg for HBV. </w:t>
      </w:r>
      <w:r>
        <w:rPr>
          <w:lang w:val="nb-NO"/>
        </w:rPr>
        <w:t>Hos</w:t>
      </w:r>
      <w:r w:rsidRPr="009C5EFD">
        <w:rPr>
          <w:lang w:val="nb-NO"/>
        </w:rPr>
        <w:t xml:space="preserve"> </w:t>
      </w:r>
      <w:r w:rsidRPr="009C5EFD">
        <w:rPr>
          <w:szCs w:val="22"/>
          <w:lang w:val="nb-NO"/>
        </w:rPr>
        <w:t>personer</w:t>
      </w:r>
      <w:r w:rsidRPr="009C5EFD">
        <w:rPr>
          <w:lang w:val="nb-NO"/>
        </w:rPr>
        <w:t xml:space="preserve"> som er bærere av </w:t>
      </w:r>
      <w:r>
        <w:rPr>
          <w:lang w:val="nb-NO"/>
        </w:rPr>
        <w:t xml:space="preserve">HBV kan </w:t>
      </w:r>
      <w:r w:rsidRPr="009C5EFD">
        <w:rPr>
          <w:lang w:val="nb-NO"/>
        </w:rPr>
        <w:t xml:space="preserve">Humira </w:t>
      </w:r>
      <w:r>
        <w:rPr>
          <w:lang w:val="nb-NO"/>
        </w:rPr>
        <w:t>forårsake at</w:t>
      </w:r>
      <w:r w:rsidRPr="009C5EFD">
        <w:rPr>
          <w:lang w:val="nb-NO"/>
        </w:rPr>
        <w:t xml:space="preserve"> viruset</w:t>
      </w:r>
      <w:r>
        <w:rPr>
          <w:lang w:val="nb-NO"/>
        </w:rPr>
        <w:t xml:space="preserve"> blir aktivt igjen</w:t>
      </w:r>
      <w:r w:rsidRPr="009C5EFD">
        <w:rPr>
          <w:lang w:val="nb-NO"/>
        </w:rPr>
        <w:t xml:space="preserve">. </w:t>
      </w:r>
    </w:p>
    <w:p w14:paraId="6E13BC99" w14:textId="77777777" w:rsidR="00CF7F58" w:rsidRPr="009C5EFD" w:rsidRDefault="00E453CD" w:rsidP="00CF7F58">
      <w:pPr>
        <w:pStyle w:val="EMEABullet2"/>
        <w:tabs>
          <w:tab w:val="left" w:pos="1440"/>
        </w:tabs>
        <w:ind w:left="1440" w:hanging="360"/>
        <w:rPr>
          <w:lang w:val="nb-NO"/>
        </w:rPr>
      </w:pPr>
      <w:r w:rsidRPr="009C5EFD">
        <w:rPr>
          <w:lang w:val="nb-NO"/>
        </w:rPr>
        <w:t>I noen sjeldne tilfeller, særlig hvis du tar andre legemidler som demper immunsystemet, kan reaktivering av HBV være livstruende.</w:t>
      </w:r>
    </w:p>
    <w:p w14:paraId="063728B4" w14:textId="77777777" w:rsidR="00CF7F58" w:rsidRDefault="00CF7F58" w:rsidP="00CF7F58">
      <w:pPr>
        <w:pStyle w:val="EMEABullet2"/>
        <w:numPr>
          <w:ilvl w:val="0"/>
          <w:numId w:val="0"/>
        </w:numPr>
        <w:rPr>
          <w:szCs w:val="22"/>
          <w:u w:val="single"/>
          <w:lang w:val="nb-NO"/>
        </w:rPr>
      </w:pPr>
    </w:p>
    <w:p w14:paraId="0D214342" w14:textId="77777777" w:rsidR="00CF7F58" w:rsidRDefault="00E453CD" w:rsidP="00776A84">
      <w:pPr>
        <w:pStyle w:val="EMEABullet2"/>
        <w:keepNext/>
        <w:numPr>
          <w:ilvl w:val="0"/>
          <w:numId w:val="0"/>
        </w:numPr>
        <w:rPr>
          <w:szCs w:val="22"/>
          <w:lang w:val="nb-NO"/>
        </w:rPr>
      </w:pPr>
      <w:r>
        <w:rPr>
          <w:szCs w:val="22"/>
          <w:u w:val="single"/>
          <w:lang w:val="nb-NO"/>
        </w:rPr>
        <w:t>Operasjon</w:t>
      </w:r>
      <w:r w:rsidR="00BD2249">
        <w:rPr>
          <w:szCs w:val="22"/>
          <w:u w:val="single"/>
          <w:lang w:val="nb-NO"/>
        </w:rPr>
        <w:t xml:space="preserve"> eller inngrep i tennene</w:t>
      </w:r>
    </w:p>
    <w:p w14:paraId="501DE17D" w14:textId="77777777" w:rsidR="00CF7F58" w:rsidRPr="009C5EFD" w:rsidRDefault="00CF7F58" w:rsidP="00776A84">
      <w:pPr>
        <w:pStyle w:val="EMEABullet2"/>
        <w:keepNext/>
        <w:numPr>
          <w:ilvl w:val="0"/>
          <w:numId w:val="0"/>
        </w:numPr>
        <w:rPr>
          <w:szCs w:val="22"/>
          <w:lang w:val="nb-NO"/>
        </w:rPr>
      </w:pPr>
    </w:p>
    <w:p w14:paraId="25606030" w14:textId="77777777" w:rsidR="00CF7F58" w:rsidRPr="009C5EFD" w:rsidRDefault="00E453CD" w:rsidP="00CF7F58">
      <w:pPr>
        <w:numPr>
          <w:ilvl w:val="0"/>
          <w:numId w:val="3"/>
        </w:numPr>
        <w:suppressAutoHyphens/>
        <w:rPr>
          <w:sz w:val="22"/>
          <w:szCs w:val="22"/>
        </w:rPr>
      </w:pPr>
      <w:r>
        <w:rPr>
          <w:sz w:val="22"/>
          <w:szCs w:val="22"/>
        </w:rPr>
        <w:t>Dersom</w:t>
      </w:r>
      <w:r w:rsidRPr="009C5EFD">
        <w:rPr>
          <w:sz w:val="22"/>
          <w:szCs w:val="22"/>
        </w:rPr>
        <w:t xml:space="preserve"> du skal opereres eller ha inngrep i tennene skal du si fra til legen din at du bruker Humira. Legen </w:t>
      </w:r>
      <w:r>
        <w:rPr>
          <w:sz w:val="22"/>
          <w:szCs w:val="22"/>
        </w:rPr>
        <w:t>din</w:t>
      </w:r>
      <w:r w:rsidRPr="009C5EFD">
        <w:rPr>
          <w:sz w:val="22"/>
          <w:szCs w:val="22"/>
        </w:rPr>
        <w:t xml:space="preserve"> kan anbefale å avbryte behandlingen </w:t>
      </w:r>
      <w:r>
        <w:rPr>
          <w:sz w:val="22"/>
          <w:szCs w:val="22"/>
        </w:rPr>
        <w:t>med Humira</w:t>
      </w:r>
      <w:r w:rsidRPr="009C5EFD">
        <w:rPr>
          <w:sz w:val="22"/>
          <w:szCs w:val="22"/>
        </w:rPr>
        <w:t xml:space="preserve"> midlertidig.</w:t>
      </w:r>
    </w:p>
    <w:p w14:paraId="7D56DADD" w14:textId="77777777" w:rsidR="00CF7F58" w:rsidRDefault="00CF7F58" w:rsidP="00CF7F58">
      <w:pPr>
        <w:suppressAutoHyphens/>
        <w:ind w:left="567"/>
        <w:rPr>
          <w:sz w:val="22"/>
          <w:szCs w:val="22"/>
        </w:rPr>
      </w:pPr>
    </w:p>
    <w:p w14:paraId="081750CA" w14:textId="77777777" w:rsidR="00CF7F58" w:rsidRDefault="00E453CD" w:rsidP="00776A84">
      <w:pPr>
        <w:keepNext/>
        <w:suppressAutoHyphens/>
        <w:rPr>
          <w:sz w:val="22"/>
          <w:szCs w:val="22"/>
        </w:rPr>
      </w:pPr>
      <w:r>
        <w:rPr>
          <w:sz w:val="22"/>
          <w:szCs w:val="22"/>
          <w:u w:val="single"/>
        </w:rPr>
        <w:t>D</w:t>
      </w:r>
      <w:r w:rsidRPr="00197087">
        <w:rPr>
          <w:sz w:val="22"/>
          <w:szCs w:val="22"/>
          <w:u w:val="single"/>
        </w:rPr>
        <w:t>emyeliniserende sykdom</w:t>
      </w:r>
    </w:p>
    <w:p w14:paraId="01831CA5" w14:textId="77777777" w:rsidR="00CF7F58" w:rsidRPr="00197087" w:rsidRDefault="00CF7F58" w:rsidP="00776A84">
      <w:pPr>
        <w:keepNext/>
        <w:suppressAutoHyphens/>
        <w:rPr>
          <w:sz w:val="22"/>
          <w:szCs w:val="22"/>
        </w:rPr>
      </w:pPr>
    </w:p>
    <w:p w14:paraId="1DEE8F74" w14:textId="77777777" w:rsidR="00CF7F58" w:rsidRDefault="00E453CD" w:rsidP="00CF7F58">
      <w:pPr>
        <w:numPr>
          <w:ilvl w:val="0"/>
          <w:numId w:val="3"/>
        </w:numPr>
        <w:suppressAutoHyphens/>
        <w:rPr>
          <w:sz w:val="22"/>
          <w:szCs w:val="22"/>
        </w:rPr>
      </w:pPr>
      <w:r w:rsidRPr="00C25673">
        <w:rPr>
          <w:sz w:val="22"/>
          <w:szCs w:val="22"/>
        </w:rPr>
        <w:t xml:space="preserve">Dersom du har eller utvikler en demyeliniserende sykdom </w:t>
      </w:r>
      <w:r w:rsidR="00BD2249">
        <w:rPr>
          <w:sz w:val="22"/>
          <w:szCs w:val="22"/>
        </w:rPr>
        <w:t xml:space="preserve">(en sykdom som påvirker det isolerende laget rundt nervene, </w:t>
      </w:r>
      <w:r w:rsidRPr="00C25673">
        <w:rPr>
          <w:sz w:val="22"/>
          <w:szCs w:val="22"/>
        </w:rPr>
        <w:t>som multippel sklerose</w:t>
      </w:r>
      <w:r w:rsidR="00BD2249">
        <w:rPr>
          <w:sz w:val="22"/>
          <w:szCs w:val="22"/>
        </w:rPr>
        <w:t>)</w:t>
      </w:r>
      <w:r w:rsidRPr="00C25673">
        <w:rPr>
          <w:sz w:val="22"/>
          <w:szCs w:val="22"/>
        </w:rPr>
        <w:t>, vil legen avgjøre om du kan bruke Humira. Gi beskjed til legen umiddelbart dersom du opplever symptomer som synsforstyrrelser, svakhet i armer eller ben eller nummenhet eller prikking i noen del av kroppen</w:t>
      </w:r>
      <w:r>
        <w:rPr>
          <w:sz w:val="22"/>
          <w:szCs w:val="22"/>
        </w:rPr>
        <w:t>.</w:t>
      </w:r>
    </w:p>
    <w:p w14:paraId="640220BE" w14:textId="77777777" w:rsidR="00CF7F58" w:rsidRDefault="00CF7F58" w:rsidP="00CF7F58">
      <w:pPr>
        <w:suppressAutoHyphens/>
        <w:ind w:left="720"/>
        <w:rPr>
          <w:sz w:val="22"/>
          <w:szCs w:val="22"/>
        </w:rPr>
      </w:pPr>
    </w:p>
    <w:p w14:paraId="40AF08EE" w14:textId="77777777" w:rsidR="00CF7F58" w:rsidRDefault="00E453CD" w:rsidP="00776A84">
      <w:pPr>
        <w:keepNext/>
        <w:suppressAutoHyphens/>
        <w:rPr>
          <w:sz w:val="22"/>
          <w:szCs w:val="22"/>
        </w:rPr>
      </w:pPr>
      <w:r>
        <w:rPr>
          <w:sz w:val="22"/>
          <w:szCs w:val="22"/>
          <w:u w:val="single"/>
        </w:rPr>
        <w:t>Vaksinasjoner</w:t>
      </w:r>
    </w:p>
    <w:p w14:paraId="15F663D6" w14:textId="77777777" w:rsidR="00CF7F58" w:rsidRPr="00197087" w:rsidRDefault="00CF7F58" w:rsidP="00776A84">
      <w:pPr>
        <w:keepNext/>
        <w:suppressAutoHyphens/>
        <w:rPr>
          <w:sz w:val="22"/>
          <w:szCs w:val="22"/>
        </w:rPr>
      </w:pPr>
    </w:p>
    <w:p w14:paraId="2860C643" w14:textId="77777777" w:rsidR="00CF7F58" w:rsidRDefault="00E453CD" w:rsidP="00CF7F58">
      <w:pPr>
        <w:numPr>
          <w:ilvl w:val="0"/>
          <w:numId w:val="3"/>
        </w:numPr>
        <w:suppressAutoHyphens/>
        <w:rPr>
          <w:sz w:val="22"/>
          <w:szCs w:val="22"/>
        </w:rPr>
      </w:pPr>
      <w:r w:rsidRPr="009C5EFD">
        <w:rPr>
          <w:sz w:val="22"/>
        </w:rPr>
        <w:t>Enkelte</w:t>
      </w:r>
      <w:r w:rsidRPr="009C5EFD">
        <w:rPr>
          <w:sz w:val="22"/>
          <w:szCs w:val="22"/>
        </w:rPr>
        <w:t xml:space="preserve"> vaksiner </w:t>
      </w:r>
      <w:r w:rsidRPr="009C5EFD">
        <w:rPr>
          <w:sz w:val="22"/>
        </w:rPr>
        <w:t xml:space="preserve">kan forårsake infeksjoner og bør </w:t>
      </w:r>
      <w:r w:rsidRPr="009C5EFD">
        <w:rPr>
          <w:sz w:val="22"/>
          <w:szCs w:val="22"/>
        </w:rPr>
        <w:t xml:space="preserve">ikke </w:t>
      </w:r>
      <w:r w:rsidRPr="009C5EFD">
        <w:rPr>
          <w:sz w:val="22"/>
        </w:rPr>
        <w:t xml:space="preserve">tas </w:t>
      </w:r>
      <w:r w:rsidRPr="009C5EFD">
        <w:rPr>
          <w:sz w:val="22"/>
          <w:szCs w:val="22"/>
        </w:rPr>
        <w:t xml:space="preserve">under behandling med Humira. </w:t>
      </w:r>
    </w:p>
    <w:p w14:paraId="23A2B0B0" w14:textId="77777777" w:rsidR="00CF7F58" w:rsidRDefault="00CF7F58" w:rsidP="00CF7F58">
      <w:pPr>
        <w:suppressAutoHyphens/>
        <w:ind w:left="720"/>
        <w:rPr>
          <w:sz w:val="22"/>
          <w:szCs w:val="22"/>
        </w:rPr>
      </w:pPr>
    </w:p>
    <w:p w14:paraId="33611A31" w14:textId="77777777" w:rsidR="00CF7F58" w:rsidRDefault="00E453CD" w:rsidP="00CF7F58">
      <w:pPr>
        <w:numPr>
          <w:ilvl w:val="0"/>
          <w:numId w:val="3"/>
        </w:numPr>
        <w:tabs>
          <w:tab w:val="clear" w:pos="720"/>
          <w:tab w:val="num" w:pos="567"/>
          <w:tab w:val="num" w:pos="1440"/>
        </w:tabs>
        <w:suppressAutoHyphens/>
        <w:ind w:left="1440"/>
        <w:rPr>
          <w:sz w:val="22"/>
          <w:szCs w:val="22"/>
        </w:rPr>
      </w:pPr>
      <w:r w:rsidRPr="009C5EFD">
        <w:rPr>
          <w:color w:val="000000"/>
          <w:sz w:val="22"/>
          <w:szCs w:val="22"/>
        </w:rPr>
        <w:t xml:space="preserve">Spør </w:t>
      </w:r>
      <w:r w:rsidRPr="009C5EFD">
        <w:rPr>
          <w:sz w:val="22"/>
          <w:szCs w:val="22"/>
        </w:rPr>
        <w:t xml:space="preserve">legen din før du </w:t>
      </w:r>
      <w:r w:rsidR="008167D9">
        <w:rPr>
          <w:sz w:val="22"/>
          <w:szCs w:val="22"/>
        </w:rPr>
        <w:t>får</w:t>
      </w:r>
      <w:r w:rsidR="008167D9" w:rsidRPr="009C5EFD">
        <w:rPr>
          <w:sz w:val="22"/>
          <w:szCs w:val="22"/>
        </w:rPr>
        <w:t xml:space="preserve"> </w:t>
      </w:r>
      <w:r w:rsidRPr="009C5EFD">
        <w:rPr>
          <w:sz w:val="22"/>
          <w:szCs w:val="22"/>
        </w:rPr>
        <w:t>vaksiner.</w:t>
      </w:r>
    </w:p>
    <w:p w14:paraId="2F36A3DE" w14:textId="77777777" w:rsidR="00CF7F58" w:rsidRPr="00197087" w:rsidRDefault="00E453CD" w:rsidP="00CF7F58">
      <w:pPr>
        <w:numPr>
          <w:ilvl w:val="0"/>
          <w:numId w:val="3"/>
        </w:numPr>
        <w:tabs>
          <w:tab w:val="clear" w:pos="720"/>
          <w:tab w:val="num" w:pos="567"/>
          <w:tab w:val="num" w:pos="1440"/>
        </w:tabs>
        <w:suppressAutoHyphens/>
        <w:ind w:left="1440"/>
        <w:rPr>
          <w:sz w:val="22"/>
          <w:szCs w:val="22"/>
        </w:rPr>
      </w:pPr>
      <w:r w:rsidRPr="009C5EFD">
        <w:rPr>
          <w:sz w:val="22"/>
          <w:szCs w:val="22"/>
        </w:rPr>
        <w:t xml:space="preserve">Det anbefales at barn, hvis mulig, vaksineres </w:t>
      </w:r>
      <w:r w:rsidR="00BD2249">
        <w:rPr>
          <w:sz w:val="22"/>
          <w:szCs w:val="22"/>
        </w:rPr>
        <w:t>som planlagt i henhold til alderen</w:t>
      </w:r>
      <w:r w:rsidRPr="009C5EFD">
        <w:rPr>
          <w:sz w:val="22"/>
          <w:szCs w:val="22"/>
        </w:rPr>
        <w:t xml:space="preserve"> før behandling med Humira startes.</w:t>
      </w:r>
    </w:p>
    <w:p w14:paraId="5E393BDC" w14:textId="77777777" w:rsidR="00CF7F58" w:rsidRPr="009C5EFD" w:rsidRDefault="00E453CD" w:rsidP="00CF7F58">
      <w:pPr>
        <w:numPr>
          <w:ilvl w:val="0"/>
          <w:numId w:val="3"/>
        </w:numPr>
        <w:tabs>
          <w:tab w:val="clear" w:pos="720"/>
          <w:tab w:val="num" w:pos="567"/>
          <w:tab w:val="num" w:pos="1440"/>
        </w:tabs>
        <w:suppressAutoHyphens/>
        <w:ind w:left="1440"/>
        <w:rPr>
          <w:sz w:val="22"/>
          <w:szCs w:val="22"/>
        </w:rPr>
      </w:pPr>
      <w:r>
        <w:rPr>
          <w:sz w:val="22"/>
        </w:rPr>
        <w:lastRenderedPageBreak/>
        <w:t>Dersom</w:t>
      </w:r>
      <w:r w:rsidRPr="009C5EFD">
        <w:rPr>
          <w:sz w:val="22"/>
        </w:rPr>
        <w:t xml:space="preserve"> du ble behandlet med Humira under graviditet, kan spedbarnet ditt ha større risiko for å få en slik infeksjon inntil omtrent fem måneder etter siste dose </w:t>
      </w:r>
      <w:r>
        <w:rPr>
          <w:sz w:val="22"/>
        </w:rPr>
        <w:t xml:space="preserve">Humira </w:t>
      </w:r>
      <w:r w:rsidRPr="009C5EFD">
        <w:rPr>
          <w:sz w:val="22"/>
        </w:rPr>
        <w:t>som du mottok under graviditeten. Det er viktig at du forteller ditt spedbarns leger og annet helsepersonell at du brukte Humira under graviditeten, slik at de kan vurdere når barnet ditt burde vaksineres.</w:t>
      </w:r>
    </w:p>
    <w:p w14:paraId="54BA5A4F" w14:textId="77777777" w:rsidR="00CF7F58" w:rsidRDefault="00CF7F58" w:rsidP="00A31787">
      <w:pPr>
        <w:tabs>
          <w:tab w:val="num" w:pos="1440"/>
        </w:tabs>
        <w:suppressAutoHyphens/>
        <w:rPr>
          <w:sz w:val="22"/>
        </w:rPr>
      </w:pPr>
    </w:p>
    <w:p w14:paraId="0C277E6A" w14:textId="77777777" w:rsidR="00CF7F58" w:rsidRDefault="00E453CD" w:rsidP="00AF70AD">
      <w:pPr>
        <w:keepNext/>
        <w:tabs>
          <w:tab w:val="num" w:pos="1440"/>
        </w:tabs>
        <w:suppressAutoHyphens/>
        <w:rPr>
          <w:sz w:val="22"/>
        </w:rPr>
      </w:pPr>
      <w:r>
        <w:rPr>
          <w:sz w:val="22"/>
          <w:u w:val="single"/>
        </w:rPr>
        <w:t>Hjerte</w:t>
      </w:r>
      <w:r w:rsidR="00BD2249">
        <w:rPr>
          <w:sz w:val="22"/>
          <w:u w:val="single"/>
        </w:rPr>
        <w:t>svikt</w:t>
      </w:r>
    </w:p>
    <w:p w14:paraId="622969B2" w14:textId="77777777" w:rsidR="00CF7F58" w:rsidRPr="00541503" w:rsidRDefault="00CF7F58" w:rsidP="00AF70AD">
      <w:pPr>
        <w:keepNext/>
        <w:tabs>
          <w:tab w:val="num" w:pos="1440"/>
        </w:tabs>
        <w:suppressAutoHyphens/>
        <w:rPr>
          <w:sz w:val="22"/>
          <w:szCs w:val="22"/>
        </w:rPr>
      </w:pPr>
    </w:p>
    <w:p w14:paraId="69C8AC8D" w14:textId="77777777" w:rsidR="00CF7F58" w:rsidRDefault="00E453CD" w:rsidP="00CF7F58">
      <w:pPr>
        <w:numPr>
          <w:ilvl w:val="0"/>
          <w:numId w:val="3"/>
        </w:numPr>
        <w:suppressAutoHyphens/>
        <w:rPr>
          <w:sz w:val="22"/>
          <w:szCs w:val="22"/>
        </w:rPr>
      </w:pPr>
      <w:r>
        <w:rPr>
          <w:sz w:val="22"/>
          <w:szCs w:val="22"/>
        </w:rPr>
        <w:t xml:space="preserve">Dersom </w:t>
      </w:r>
      <w:r w:rsidR="00227FD1">
        <w:rPr>
          <w:sz w:val="22"/>
          <w:szCs w:val="22"/>
        </w:rPr>
        <w:t>du</w:t>
      </w:r>
      <w:r>
        <w:rPr>
          <w:sz w:val="22"/>
          <w:szCs w:val="22"/>
        </w:rPr>
        <w:t xml:space="preserve"> har lett hjertesvikt og blir behandlet med Humira, må status for </w:t>
      </w:r>
      <w:r w:rsidR="00227FD1">
        <w:rPr>
          <w:sz w:val="22"/>
          <w:szCs w:val="22"/>
        </w:rPr>
        <w:t>din</w:t>
      </w:r>
      <w:r>
        <w:rPr>
          <w:sz w:val="22"/>
          <w:szCs w:val="22"/>
        </w:rPr>
        <w:t xml:space="preserve"> hjertesvikt overvåkes nøye av legen. </w:t>
      </w:r>
      <w:r w:rsidRPr="009C5EFD">
        <w:rPr>
          <w:sz w:val="22"/>
          <w:szCs w:val="22"/>
        </w:rPr>
        <w:t xml:space="preserve">Det er viktig </w:t>
      </w:r>
      <w:r>
        <w:rPr>
          <w:sz w:val="22"/>
          <w:szCs w:val="22"/>
        </w:rPr>
        <w:t>å</w:t>
      </w:r>
      <w:r w:rsidRPr="009C5EFD">
        <w:rPr>
          <w:sz w:val="22"/>
          <w:szCs w:val="22"/>
        </w:rPr>
        <w:t xml:space="preserve"> </w:t>
      </w:r>
      <w:r>
        <w:rPr>
          <w:sz w:val="22"/>
          <w:szCs w:val="22"/>
        </w:rPr>
        <w:t>fortelle</w:t>
      </w:r>
      <w:r w:rsidRPr="009C5EFD">
        <w:rPr>
          <w:sz w:val="22"/>
          <w:szCs w:val="22"/>
        </w:rPr>
        <w:t xml:space="preserve"> legen </w:t>
      </w:r>
      <w:r>
        <w:rPr>
          <w:sz w:val="22"/>
          <w:szCs w:val="22"/>
        </w:rPr>
        <w:t xml:space="preserve">din </w:t>
      </w:r>
      <w:r w:rsidRPr="009C5EFD">
        <w:rPr>
          <w:sz w:val="22"/>
          <w:szCs w:val="22"/>
        </w:rPr>
        <w:t xml:space="preserve">om </w:t>
      </w:r>
      <w:r w:rsidR="00227FD1">
        <w:rPr>
          <w:sz w:val="22"/>
          <w:szCs w:val="22"/>
        </w:rPr>
        <w:t>du</w:t>
      </w:r>
      <w:r w:rsidRPr="009C5EFD">
        <w:rPr>
          <w:sz w:val="22"/>
          <w:szCs w:val="22"/>
        </w:rPr>
        <w:t xml:space="preserve"> har</w:t>
      </w:r>
      <w:r>
        <w:rPr>
          <w:sz w:val="22"/>
          <w:szCs w:val="22"/>
        </w:rPr>
        <w:t xml:space="preserve"> hatt</w:t>
      </w:r>
      <w:r w:rsidRPr="009C5EFD">
        <w:rPr>
          <w:sz w:val="22"/>
          <w:szCs w:val="22"/>
        </w:rPr>
        <w:t xml:space="preserve"> eller har</w:t>
      </w:r>
      <w:r>
        <w:rPr>
          <w:sz w:val="22"/>
          <w:szCs w:val="22"/>
        </w:rPr>
        <w:t xml:space="preserve"> en</w:t>
      </w:r>
      <w:r w:rsidRPr="009C5EFD">
        <w:rPr>
          <w:sz w:val="22"/>
          <w:szCs w:val="22"/>
        </w:rPr>
        <w:t xml:space="preserve"> alvorlig </w:t>
      </w:r>
      <w:r>
        <w:rPr>
          <w:sz w:val="22"/>
          <w:szCs w:val="22"/>
        </w:rPr>
        <w:t xml:space="preserve">hjertetilstand. </w:t>
      </w:r>
      <w:r w:rsidRPr="00463444">
        <w:rPr>
          <w:sz w:val="22"/>
          <w:szCs w:val="22"/>
        </w:rPr>
        <w:t xml:space="preserve">Dersom </w:t>
      </w:r>
      <w:r w:rsidR="00227FD1">
        <w:rPr>
          <w:sz w:val="22"/>
          <w:szCs w:val="22"/>
        </w:rPr>
        <w:t>du</w:t>
      </w:r>
      <w:r w:rsidRPr="00B42DC6">
        <w:rPr>
          <w:sz w:val="22"/>
          <w:szCs w:val="22"/>
        </w:rPr>
        <w:t xml:space="preserve"> utvikler nye eller forverrede symptomer på hjertesvikt (f.eks. tungpustethet</w:t>
      </w:r>
      <w:r w:rsidRPr="00DC73BE">
        <w:rPr>
          <w:sz w:val="22"/>
          <w:szCs w:val="22"/>
        </w:rPr>
        <w:t xml:space="preserve">, hovne føtter) skal du kontakte legen din umiddelbart. Legen din vil avgjøre om </w:t>
      </w:r>
      <w:r w:rsidR="00227FD1">
        <w:rPr>
          <w:sz w:val="22"/>
          <w:szCs w:val="22"/>
        </w:rPr>
        <w:t>du</w:t>
      </w:r>
      <w:r w:rsidRPr="00DC73BE">
        <w:rPr>
          <w:sz w:val="22"/>
          <w:szCs w:val="22"/>
        </w:rPr>
        <w:t xml:space="preserve"> skal fortsette med Humira</w:t>
      </w:r>
      <w:r>
        <w:rPr>
          <w:sz w:val="22"/>
          <w:szCs w:val="22"/>
        </w:rPr>
        <w:t>.</w:t>
      </w:r>
    </w:p>
    <w:p w14:paraId="529083B9" w14:textId="77777777" w:rsidR="00CF7F58" w:rsidRDefault="00CF7F58" w:rsidP="00A31787">
      <w:pPr>
        <w:tabs>
          <w:tab w:val="num" w:pos="1440"/>
        </w:tabs>
        <w:suppressAutoHyphens/>
        <w:rPr>
          <w:sz w:val="22"/>
          <w:szCs w:val="22"/>
        </w:rPr>
      </w:pPr>
    </w:p>
    <w:p w14:paraId="0D1A3CA2" w14:textId="77777777" w:rsidR="00BD2249" w:rsidRDefault="00E453CD" w:rsidP="00776A84">
      <w:pPr>
        <w:keepNext/>
        <w:tabs>
          <w:tab w:val="num" w:pos="1440"/>
        </w:tabs>
        <w:suppressAutoHyphens/>
        <w:rPr>
          <w:sz w:val="22"/>
          <w:szCs w:val="22"/>
          <w:u w:val="single"/>
        </w:rPr>
      </w:pPr>
      <w:r w:rsidRPr="008A5FB6">
        <w:rPr>
          <w:sz w:val="22"/>
          <w:szCs w:val="22"/>
          <w:u w:val="single"/>
        </w:rPr>
        <w:t>Feber, blåmerker, blødning eller blekhet</w:t>
      </w:r>
    </w:p>
    <w:p w14:paraId="4294BFF5" w14:textId="77777777" w:rsidR="00BD2249" w:rsidRPr="009C5EFD" w:rsidRDefault="00BD2249" w:rsidP="00776A84">
      <w:pPr>
        <w:keepNext/>
        <w:tabs>
          <w:tab w:val="num" w:pos="1440"/>
        </w:tabs>
        <w:suppressAutoHyphens/>
        <w:rPr>
          <w:sz w:val="22"/>
          <w:szCs w:val="22"/>
        </w:rPr>
      </w:pPr>
    </w:p>
    <w:p w14:paraId="5F95012E" w14:textId="77777777" w:rsidR="00CF7F58" w:rsidRPr="009C5EFD" w:rsidRDefault="00E453CD" w:rsidP="00CF7F58">
      <w:pPr>
        <w:numPr>
          <w:ilvl w:val="0"/>
          <w:numId w:val="3"/>
        </w:numPr>
        <w:suppressAutoHyphens/>
        <w:rPr>
          <w:sz w:val="22"/>
          <w:szCs w:val="22"/>
        </w:rPr>
      </w:pPr>
      <w:r w:rsidRPr="009C5EFD">
        <w:rPr>
          <w:sz w:val="22"/>
          <w:szCs w:val="22"/>
        </w:rPr>
        <w:t>Hos noen pasienter kan kroppen få problemer med å produsere nok av de blodlegemene som forhindre</w:t>
      </w:r>
      <w:r w:rsidR="00BD2249">
        <w:rPr>
          <w:sz w:val="22"/>
          <w:szCs w:val="22"/>
        </w:rPr>
        <w:t>r</w:t>
      </w:r>
      <w:r w:rsidRPr="009C5EFD">
        <w:rPr>
          <w:sz w:val="22"/>
          <w:szCs w:val="22"/>
        </w:rPr>
        <w:t xml:space="preserve"> infeksjoner eller stoppe</w:t>
      </w:r>
      <w:r w:rsidR="00BD2249">
        <w:rPr>
          <w:sz w:val="22"/>
          <w:szCs w:val="22"/>
        </w:rPr>
        <w:t>r</w:t>
      </w:r>
      <w:r w:rsidRPr="009C5EFD">
        <w:rPr>
          <w:sz w:val="22"/>
          <w:szCs w:val="22"/>
        </w:rPr>
        <w:t xml:space="preserve"> blødninger. Legen din kan bestemme at behandlingen må avbrytes.</w:t>
      </w:r>
      <w:r w:rsidR="00BD2249">
        <w:rPr>
          <w:sz w:val="22"/>
          <w:szCs w:val="22"/>
        </w:rPr>
        <w:t xml:space="preserve"> </w:t>
      </w:r>
      <w:r w:rsidR="00BD2249" w:rsidRPr="009C5EFD">
        <w:rPr>
          <w:sz w:val="22"/>
          <w:szCs w:val="22"/>
        </w:rPr>
        <w:t>Kontakt lege snarest hvis du får feber som ikke forsvinner, får blåmerker eller blør svært lett eller ser svært blek ut.</w:t>
      </w:r>
    </w:p>
    <w:p w14:paraId="725B201E" w14:textId="77777777" w:rsidR="00CF7F58" w:rsidRDefault="00CF7F58" w:rsidP="00A31787">
      <w:pPr>
        <w:suppressAutoHyphens/>
        <w:rPr>
          <w:sz w:val="22"/>
          <w:szCs w:val="22"/>
        </w:rPr>
      </w:pPr>
    </w:p>
    <w:p w14:paraId="2CEC1A02" w14:textId="77777777" w:rsidR="00CF7F58" w:rsidRDefault="00E453CD" w:rsidP="00051DA6">
      <w:pPr>
        <w:keepNext/>
        <w:suppressAutoHyphens/>
        <w:rPr>
          <w:sz w:val="22"/>
          <w:szCs w:val="22"/>
        </w:rPr>
      </w:pPr>
      <w:r>
        <w:rPr>
          <w:sz w:val="22"/>
          <w:szCs w:val="22"/>
          <w:u w:val="single"/>
        </w:rPr>
        <w:t>Kreft</w:t>
      </w:r>
    </w:p>
    <w:p w14:paraId="78AE82FC" w14:textId="77777777" w:rsidR="00CF7F58" w:rsidRPr="00F034FF" w:rsidRDefault="00CF7F58" w:rsidP="00051DA6">
      <w:pPr>
        <w:keepNext/>
        <w:suppressAutoHyphens/>
        <w:rPr>
          <w:sz w:val="22"/>
          <w:szCs w:val="22"/>
        </w:rPr>
      </w:pPr>
    </w:p>
    <w:p w14:paraId="59E3E998" w14:textId="77777777" w:rsidR="00CF7F58" w:rsidRDefault="00E453CD">
      <w:pPr>
        <w:keepNext/>
        <w:numPr>
          <w:ilvl w:val="0"/>
          <w:numId w:val="3"/>
        </w:numPr>
        <w:suppressAutoHyphens/>
        <w:rPr>
          <w:sz w:val="22"/>
          <w:szCs w:val="22"/>
        </w:rPr>
      </w:pPr>
      <w:r w:rsidRPr="009C5EFD">
        <w:rPr>
          <w:sz w:val="22"/>
          <w:szCs w:val="22"/>
        </w:rPr>
        <w:t xml:space="preserve">Det har vært svært sjeldne tilfeller av visse typer kreft hos barn og </w:t>
      </w:r>
      <w:r>
        <w:rPr>
          <w:sz w:val="22"/>
          <w:szCs w:val="22"/>
        </w:rPr>
        <w:t>voksne</w:t>
      </w:r>
      <w:r w:rsidRPr="009C5EFD">
        <w:rPr>
          <w:sz w:val="22"/>
          <w:szCs w:val="22"/>
        </w:rPr>
        <w:t xml:space="preserve"> som får Humira eller andre TNF-blokkere.</w:t>
      </w:r>
    </w:p>
    <w:p w14:paraId="1785435D" w14:textId="77777777" w:rsidR="00CF7F58" w:rsidRDefault="00CF7F58" w:rsidP="00776A84">
      <w:pPr>
        <w:suppressAutoHyphens/>
        <w:rPr>
          <w:sz w:val="22"/>
          <w:szCs w:val="22"/>
        </w:rPr>
      </w:pPr>
    </w:p>
    <w:p w14:paraId="6E7603C6" w14:textId="77777777" w:rsidR="00CF7F58" w:rsidRDefault="00E453CD" w:rsidP="00CF7F58">
      <w:pPr>
        <w:numPr>
          <w:ilvl w:val="0"/>
          <w:numId w:val="3"/>
        </w:numPr>
        <w:tabs>
          <w:tab w:val="num" w:pos="567"/>
          <w:tab w:val="num" w:pos="1440"/>
        </w:tabs>
        <w:suppressAutoHyphens/>
        <w:ind w:left="1440"/>
        <w:rPr>
          <w:sz w:val="22"/>
          <w:szCs w:val="22"/>
        </w:rPr>
      </w:pPr>
      <w:r w:rsidRPr="009C5EFD">
        <w:rPr>
          <w:sz w:val="22"/>
          <w:szCs w:val="22"/>
        </w:rPr>
        <w:t>Personer med mer alvorlig revmatoid artritt som har hatt sykdommen i lang tid kan ha høyere risiko enn gjennomsnittet for å få lymfom (kreft som angriper lymfesystemet) og leukemi (kreft som angriper blod og benmarg).</w:t>
      </w:r>
    </w:p>
    <w:p w14:paraId="407BBD96" w14:textId="77777777" w:rsidR="00CF7F58" w:rsidRDefault="00E453CD" w:rsidP="00CF7F58">
      <w:pPr>
        <w:numPr>
          <w:ilvl w:val="0"/>
          <w:numId w:val="3"/>
        </w:numPr>
        <w:tabs>
          <w:tab w:val="num" w:pos="567"/>
          <w:tab w:val="num" w:pos="1440"/>
        </w:tabs>
        <w:suppressAutoHyphens/>
        <w:ind w:left="1440"/>
        <w:rPr>
          <w:sz w:val="22"/>
          <w:szCs w:val="22"/>
        </w:rPr>
      </w:pPr>
      <w:r>
        <w:rPr>
          <w:sz w:val="22"/>
          <w:szCs w:val="22"/>
        </w:rPr>
        <w:t>Dersom</w:t>
      </w:r>
      <w:r w:rsidRPr="009C5EFD">
        <w:rPr>
          <w:sz w:val="22"/>
          <w:szCs w:val="22"/>
        </w:rPr>
        <w:t xml:space="preserve"> du tar Humira, kan risikoen for å få lymfom, leukemi og andre typer kreft øke. I sjeldne tilfeller har man </w:t>
      </w:r>
      <w:r>
        <w:rPr>
          <w:sz w:val="22"/>
          <w:szCs w:val="22"/>
        </w:rPr>
        <w:t>sett</w:t>
      </w:r>
      <w:r w:rsidRPr="009C5EFD">
        <w:rPr>
          <w:sz w:val="22"/>
          <w:szCs w:val="22"/>
        </w:rPr>
        <w:t xml:space="preserve"> en </w:t>
      </w:r>
      <w:r>
        <w:rPr>
          <w:sz w:val="22"/>
          <w:szCs w:val="22"/>
        </w:rPr>
        <w:t>sjelden</w:t>
      </w:r>
      <w:r w:rsidRPr="009C5EFD">
        <w:rPr>
          <w:sz w:val="22"/>
          <w:szCs w:val="22"/>
        </w:rPr>
        <w:t xml:space="preserve"> og alvorlig type lymfom hos pasienter som bruker Humira. Noen av disse pasientene ble også behandlet med azatioprin eller 6-merkaptopurin.</w:t>
      </w:r>
    </w:p>
    <w:p w14:paraId="66250AAB" w14:textId="77777777" w:rsidR="00CF7F58" w:rsidRDefault="00E453CD" w:rsidP="00CF7F58">
      <w:pPr>
        <w:numPr>
          <w:ilvl w:val="0"/>
          <w:numId w:val="3"/>
        </w:numPr>
        <w:tabs>
          <w:tab w:val="num" w:pos="567"/>
          <w:tab w:val="num" w:pos="1440"/>
        </w:tabs>
        <w:suppressAutoHyphens/>
        <w:ind w:left="1440"/>
        <w:rPr>
          <w:sz w:val="22"/>
          <w:szCs w:val="22"/>
        </w:rPr>
      </w:pPr>
      <w:r w:rsidRPr="009C5EFD">
        <w:rPr>
          <w:sz w:val="22"/>
          <w:szCs w:val="22"/>
        </w:rPr>
        <w:t>Fortell legen din dersom du tar azatioprin eller 6-m</w:t>
      </w:r>
      <w:r>
        <w:rPr>
          <w:sz w:val="22"/>
          <w:szCs w:val="22"/>
        </w:rPr>
        <w:t>erkaptopurin sammen med Humira.</w:t>
      </w:r>
    </w:p>
    <w:p w14:paraId="36172088" w14:textId="77777777" w:rsidR="00CF7F58" w:rsidRDefault="00E453CD" w:rsidP="00CF7F58">
      <w:pPr>
        <w:numPr>
          <w:ilvl w:val="0"/>
          <w:numId w:val="3"/>
        </w:numPr>
        <w:tabs>
          <w:tab w:val="num" w:pos="567"/>
          <w:tab w:val="num" w:pos="1440"/>
        </w:tabs>
        <w:suppressAutoHyphens/>
        <w:ind w:left="1440"/>
        <w:rPr>
          <w:sz w:val="22"/>
          <w:szCs w:val="22"/>
        </w:rPr>
      </w:pPr>
      <w:r>
        <w:rPr>
          <w:sz w:val="22"/>
          <w:szCs w:val="22"/>
        </w:rPr>
        <w:t>T</w:t>
      </w:r>
      <w:r w:rsidRPr="009C5EFD">
        <w:rPr>
          <w:sz w:val="22"/>
          <w:szCs w:val="22"/>
        </w:rPr>
        <w:t>ilfeller av ikke-melanom hudkreft</w:t>
      </w:r>
      <w:r>
        <w:rPr>
          <w:sz w:val="22"/>
          <w:szCs w:val="22"/>
        </w:rPr>
        <w:t xml:space="preserve"> har</w:t>
      </w:r>
      <w:r w:rsidRPr="009C5EFD">
        <w:rPr>
          <w:sz w:val="22"/>
          <w:szCs w:val="22"/>
        </w:rPr>
        <w:t xml:space="preserve"> </w:t>
      </w:r>
      <w:r>
        <w:rPr>
          <w:sz w:val="22"/>
          <w:szCs w:val="22"/>
        </w:rPr>
        <w:t xml:space="preserve">blitt </w:t>
      </w:r>
      <w:r w:rsidRPr="009C5EFD">
        <w:rPr>
          <w:sz w:val="22"/>
          <w:szCs w:val="22"/>
        </w:rPr>
        <w:t>sett hos pasienter som får Humira.</w:t>
      </w:r>
    </w:p>
    <w:p w14:paraId="3047D627" w14:textId="77777777" w:rsidR="00CF7F58" w:rsidRPr="009C5EFD" w:rsidRDefault="00E453CD" w:rsidP="00CF7F58">
      <w:pPr>
        <w:numPr>
          <w:ilvl w:val="0"/>
          <w:numId w:val="3"/>
        </w:numPr>
        <w:tabs>
          <w:tab w:val="num" w:pos="567"/>
          <w:tab w:val="num" w:pos="1440"/>
        </w:tabs>
        <w:suppressAutoHyphens/>
        <w:ind w:left="1440"/>
        <w:rPr>
          <w:sz w:val="22"/>
          <w:szCs w:val="22"/>
        </w:rPr>
      </w:pPr>
      <w:r w:rsidRPr="009C5EFD">
        <w:rPr>
          <w:sz w:val="22"/>
          <w:szCs w:val="22"/>
        </w:rPr>
        <w:t xml:space="preserve">Fortell legen din hvis nye hudlesjoner </w:t>
      </w:r>
      <w:r w:rsidR="00EA154D">
        <w:rPr>
          <w:sz w:val="22"/>
          <w:szCs w:val="22"/>
        </w:rPr>
        <w:t xml:space="preserve">(unormale forandringer på huden) </w:t>
      </w:r>
      <w:r w:rsidRPr="009C5EFD">
        <w:rPr>
          <w:sz w:val="22"/>
          <w:szCs w:val="22"/>
        </w:rPr>
        <w:t>viser seg under eller etter behandling eller hvis eksisterende hudlesjoner forandrer seg.</w:t>
      </w:r>
    </w:p>
    <w:p w14:paraId="4EEF5A5A" w14:textId="77777777" w:rsidR="00CF7F58" w:rsidRPr="009C5EFD" w:rsidRDefault="00CF7F58" w:rsidP="00CF7F58">
      <w:pPr>
        <w:tabs>
          <w:tab w:val="num" w:pos="1440"/>
        </w:tabs>
        <w:suppressAutoHyphens/>
        <w:rPr>
          <w:sz w:val="22"/>
          <w:szCs w:val="22"/>
        </w:rPr>
      </w:pPr>
    </w:p>
    <w:p w14:paraId="4F6A13C6" w14:textId="77777777" w:rsidR="00CF7F58" w:rsidRPr="009C5EFD" w:rsidRDefault="00E453CD" w:rsidP="00CF7F58">
      <w:pPr>
        <w:numPr>
          <w:ilvl w:val="0"/>
          <w:numId w:val="3"/>
        </w:numPr>
        <w:suppressAutoHyphens/>
        <w:rPr>
          <w:sz w:val="22"/>
          <w:szCs w:val="22"/>
        </w:rPr>
      </w:pPr>
      <w:r w:rsidRPr="009C5EFD">
        <w:rPr>
          <w:sz w:val="22"/>
          <w:szCs w:val="22"/>
        </w:rPr>
        <w:t xml:space="preserve">Andre krefttyper enn lymfomer er sett hos pasienter som hadde en bestemt type lungesykdom kalt kronisk obstruktiv lungesykdom (KOLS) og som fikk behandling med andre TNF-blokkere. Dersom du har KOLS, eller er storrøyker, skal du snakke med </w:t>
      </w:r>
      <w:r>
        <w:rPr>
          <w:sz w:val="22"/>
          <w:szCs w:val="22"/>
        </w:rPr>
        <w:t>legen din</w:t>
      </w:r>
      <w:r w:rsidRPr="009C5EFD">
        <w:rPr>
          <w:sz w:val="22"/>
          <w:szCs w:val="22"/>
        </w:rPr>
        <w:t xml:space="preserve"> om behandling med en TNF-blokker passer for deg. </w:t>
      </w:r>
    </w:p>
    <w:p w14:paraId="33856E0B" w14:textId="77777777" w:rsidR="00CF7F58" w:rsidRDefault="00CF7F58" w:rsidP="00CF7F58">
      <w:pPr>
        <w:pStyle w:val="Heading3"/>
        <w:keepNext w:val="0"/>
        <w:suppressAutoHyphens/>
        <w:rPr>
          <w:b w:val="0"/>
          <w:szCs w:val="22"/>
          <w:lang w:val="nb-NO"/>
        </w:rPr>
      </w:pPr>
    </w:p>
    <w:p w14:paraId="20DB710B" w14:textId="77777777" w:rsidR="00BD2249" w:rsidRPr="00E90360" w:rsidRDefault="00E453CD" w:rsidP="00776A84">
      <w:pPr>
        <w:keepNext/>
        <w:suppressAutoHyphens/>
        <w:rPr>
          <w:sz w:val="22"/>
          <w:szCs w:val="22"/>
        </w:rPr>
      </w:pPr>
      <w:r>
        <w:rPr>
          <w:sz w:val="22"/>
          <w:szCs w:val="22"/>
          <w:u w:val="single"/>
        </w:rPr>
        <w:t>Autoimmune sykdommer</w:t>
      </w:r>
    </w:p>
    <w:p w14:paraId="1D8C6CB1" w14:textId="77777777" w:rsidR="00BD2249" w:rsidRPr="00E90360" w:rsidRDefault="00BD2249" w:rsidP="00776A84">
      <w:pPr>
        <w:keepNext/>
        <w:suppressAutoHyphens/>
        <w:rPr>
          <w:sz w:val="22"/>
          <w:szCs w:val="22"/>
        </w:rPr>
      </w:pPr>
    </w:p>
    <w:p w14:paraId="2F3296E5" w14:textId="77777777" w:rsidR="00BD2249" w:rsidRDefault="00E453CD" w:rsidP="00AB7697">
      <w:r w:rsidRPr="00DC73BE">
        <w:rPr>
          <w:sz w:val="22"/>
        </w:rPr>
        <w:t>I sjeldne tilfeller kan behandling med Humira føre til et syndrom som ligner på lupus. Kontakt lege dersom symptomer som vedvarende uforklarlig utslett, feber, leddsmerter eller tretthet oppstår</w:t>
      </w:r>
      <w:r>
        <w:rPr>
          <w:sz w:val="22"/>
        </w:rPr>
        <w:t>.</w:t>
      </w:r>
    </w:p>
    <w:p w14:paraId="42D3ABCE" w14:textId="77777777" w:rsidR="00BD2249" w:rsidRPr="00BD2249" w:rsidRDefault="00BD2249" w:rsidP="00AB7697"/>
    <w:p w14:paraId="4D72C4CB" w14:textId="77777777" w:rsidR="00CF7F58" w:rsidRPr="009C5EFD" w:rsidRDefault="00E453CD" w:rsidP="00776A84">
      <w:pPr>
        <w:keepNext/>
        <w:suppressAutoHyphens/>
        <w:rPr>
          <w:sz w:val="22"/>
          <w:szCs w:val="22"/>
        </w:rPr>
      </w:pPr>
      <w:r w:rsidRPr="009C5EFD">
        <w:rPr>
          <w:b/>
          <w:sz w:val="22"/>
          <w:szCs w:val="22"/>
        </w:rPr>
        <w:t>Barn og ungdom</w:t>
      </w:r>
    </w:p>
    <w:p w14:paraId="46F47A1C" w14:textId="77777777" w:rsidR="00CF7F58" w:rsidRPr="009C5EFD" w:rsidRDefault="00CF7F58" w:rsidP="00776A84">
      <w:pPr>
        <w:keepNext/>
        <w:suppressAutoHyphens/>
        <w:rPr>
          <w:sz w:val="22"/>
          <w:szCs w:val="22"/>
        </w:rPr>
      </w:pPr>
    </w:p>
    <w:p w14:paraId="2BFD6043" w14:textId="77777777" w:rsidR="00CF7F58" w:rsidRPr="009C5EFD" w:rsidRDefault="00E453CD" w:rsidP="00CF7F58">
      <w:pPr>
        <w:numPr>
          <w:ilvl w:val="0"/>
          <w:numId w:val="3"/>
        </w:numPr>
        <w:suppressAutoHyphens/>
        <w:rPr>
          <w:sz w:val="22"/>
          <w:szCs w:val="22"/>
        </w:rPr>
      </w:pPr>
      <w:r w:rsidRPr="009C5EFD">
        <w:rPr>
          <w:sz w:val="22"/>
          <w:szCs w:val="22"/>
        </w:rPr>
        <w:t>Vaksinasjoner: hvis mulig, b</w:t>
      </w:r>
      <w:r>
        <w:rPr>
          <w:sz w:val="22"/>
          <w:szCs w:val="22"/>
        </w:rPr>
        <w:t>ør</w:t>
      </w:r>
      <w:r w:rsidRPr="009C5EFD">
        <w:rPr>
          <w:sz w:val="22"/>
          <w:szCs w:val="22"/>
        </w:rPr>
        <w:t xml:space="preserve"> barn</w:t>
      </w:r>
      <w:r>
        <w:rPr>
          <w:sz w:val="22"/>
          <w:szCs w:val="22"/>
        </w:rPr>
        <w:t>et ditt</w:t>
      </w:r>
      <w:r w:rsidRPr="009C5EFD">
        <w:rPr>
          <w:sz w:val="22"/>
          <w:szCs w:val="22"/>
        </w:rPr>
        <w:t xml:space="preserve"> være oppdatert i henhold til alle vaksinasjoner før Humira brukes.</w:t>
      </w:r>
    </w:p>
    <w:p w14:paraId="3262A6E2" w14:textId="77777777" w:rsidR="00CF7F58" w:rsidRPr="00A31787" w:rsidRDefault="00CF7F58" w:rsidP="00CF7F58">
      <w:pPr>
        <w:pStyle w:val="Heading3"/>
        <w:keepNext w:val="0"/>
        <w:suppressAutoHyphens/>
        <w:rPr>
          <w:b w:val="0"/>
          <w:szCs w:val="22"/>
          <w:lang w:val="nb-NO"/>
        </w:rPr>
      </w:pPr>
    </w:p>
    <w:p w14:paraId="0DA8FCF4" w14:textId="77777777" w:rsidR="00CF7F58" w:rsidRPr="006947EE" w:rsidRDefault="00E453CD" w:rsidP="00776A84">
      <w:pPr>
        <w:pStyle w:val="Heading3"/>
        <w:suppressAutoHyphens/>
        <w:rPr>
          <w:b w:val="0"/>
          <w:szCs w:val="22"/>
          <w:lang w:val="nb-NO"/>
        </w:rPr>
      </w:pPr>
      <w:r w:rsidRPr="009C5EFD">
        <w:rPr>
          <w:szCs w:val="22"/>
          <w:lang w:val="nb-NO"/>
        </w:rPr>
        <w:lastRenderedPageBreak/>
        <w:t>Andre legemidler og Humira</w:t>
      </w:r>
    </w:p>
    <w:p w14:paraId="26FCCFBE" w14:textId="77777777" w:rsidR="00CF7F58" w:rsidRPr="00A31787" w:rsidRDefault="00CF7F58" w:rsidP="00776A84">
      <w:pPr>
        <w:keepNext/>
        <w:suppressAutoHyphens/>
        <w:rPr>
          <w:sz w:val="22"/>
          <w:szCs w:val="22"/>
        </w:rPr>
      </w:pPr>
    </w:p>
    <w:p w14:paraId="4BBA8137" w14:textId="77777777" w:rsidR="00CF7F58" w:rsidRPr="001F5D4B" w:rsidRDefault="00E453CD" w:rsidP="00CF7F58">
      <w:pPr>
        <w:suppressAutoHyphens/>
        <w:rPr>
          <w:sz w:val="22"/>
          <w:szCs w:val="22"/>
        </w:rPr>
      </w:pPr>
      <w:r>
        <w:rPr>
          <w:sz w:val="22"/>
          <w:szCs w:val="22"/>
        </w:rPr>
        <w:t>Snakk med</w:t>
      </w:r>
      <w:r w:rsidRPr="001F5D4B">
        <w:rPr>
          <w:sz w:val="22"/>
          <w:szCs w:val="22"/>
        </w:rPr>
        <w:t xml:space="preserve"> legen din eller apotek dersom du bruker, nylig har brukt eller planlegger å bruke andre legemidler.</w:t>
      </w:r>
    </w:p>
    <w:p w14:paraId="4CFC08FA" w14:textId="77777777" w:rsidR="00CF7F58" w:rsidRDefault="00CF7F58" w:rsidP="00CF7F58">
      <w:pPr>
        <w:suppressAutoHyphens/>
        <w:rPr>
          <w:sz w:val="22"/>
          <w:szCs w:val="22"/>
        </w:rPr>
      </w:pPr>
    </w:p>
    <w:p w14:paraId="7BF12B2B" w14:textId="77777777" w:rsidR="00CF7F58" w:rsidRDefault="00E453CD" w:rsidP="00776A84">
      <w:pPr>
        <w:keepNext/>
        <w:suppressAutoHyphens/>
        <w:rPr>
          <w:sz w:val="22"/>
          <w:szCs w:val="22"/>
        </w:rPr>
      </w:pPr>
      <w:r>
        <w:rPr>
          <w:sz w:val="22"/>
          <w:szCs w:val="22"/>
        </w:rPr>
        <w:t xml:space="preserve">Du må ikke ta Humira sammen med legemidler som inneholder </w:t>
      </w:r>
      <w:r w:rsidR="00185CBA">
        <w:rPr>
          <w:sz w:val="22"/>
          <w:szCs w:val="22"/>
        </w:rPr>
        <w:t xml:space="preserve">de følgende </w:t>
      </w:r>
      <w:r>
        <w:rPr>
          <w:sz w:val="22"/>
          <w:szCs w:val="22"/>
        </w:rPr>
        <w:t>virkestoffene</w:t>
      </w:r>
      <w:r w:rsidR="00185CBA">
        <w:rPr>
          <w:sz w:val="22"/>
          <w:szCs w:val="22"/>
        </w:rPr>
        <w:t xml:space="preserve"> </w:t>
      </w:r>
      <w:r w:rsidR="00185CBA" w:rsidRPr="00185CBA">
        <w:rPr>
          <w:sz w:val="22"/>
          <w:szCs w:val="22"/>
        </w:rPr>
        <w:t>på grunn av økt risiko for alvorlig infeksjon</w:t>
      </w:r>
      <w:r>
        <w:rPr>
          <w:sz w:val="22"/>
          <w:szCs w:val="22"/>
        </w:rPr>
        <w:t>:</w:t>
      </w:r>
    </w:p>
    <w:p w14:paraId="6E121458" w14:textId="77777777" w:rsidR="00CF7F58" w:rsidRDefault="00E453CD" w:rsidP="00CF7F58">
      <w:pPr>
        <w:pStyle w:val="ListParagraph"/>
        <w:numPr>
          <w:ilvl w:val="0"/>
          <w:numId w:val="112"/>
        </w:numPr>
        <w:tabs>
          <w:tab w:val="left" w:pos="720"/>
        </w:tabs>
        <w:suppressAutoHyphens/>
        <w:rPr>
          <w:sz w:val="22"/>
          <w:szCs w:val="22"/>
        </w:rPr>
      </w:pPr>
      <w:r>
        <w:rPr>
          <w:sz w:val="22"/>
          <w:szCs w:val="22"/>
        </w:rPr>
        <w:t>anakinra</w:t>
      </w:r>
    </w:p>
    <w:p w14:paraId="46A35A65" w14:textId="77777777" w:rsidR="00CF7F58" w:rsidRPr="00887835" w:rsidRDefault="00E453CD" w:rsidP="00CF7F58">
      <w:pPr>
        <w:pStyle w:val="ListParagraph"/>
        <w:numPr>
          <w:ilvl w:val="0"/>
          <w:numId w:val="112"/>
        </w:numPr>
        <w:tabs>
          <w:tab w:val="left" w:pos="720"/>
        </w:tabs>
        <w:suppressAutoHyphens/>
        <w:rPr>
          <w:sz w:val="22"/>
          <w:szCs w:val="22"/>
        </w:rPr>
      </w:pPr>
      <w:r>
        <w:rPr>
          <w:sz w:val="22"/>
          <w:szCs w:val="22"/>
        </w:rPr>
        <w:t>abatacept.</w:t>
      </w:r>
    </w:p>
    <w:p w14:paraId="03CFBA39" w14:textId="77777777" w:rsidR="00CF7F58" w:rsidRPr="009C5EFD" w:rsidRDefault="00CF7F58" w:rsidP="00CF7F58">
      <w:pPr>
        <w:suppressAutoHyphens/>
        <w:rPr>
          <w:szCs w:val="22"/>
        </w:rPr>
      </w:pPr>
    </w:p>
    <w:p w14:paraId="5327D4E7" w14:textId="77777777" w:rsidR="00CF7F58" w:rsidRDefault="00E453CD" w:rsidP="00776A84">
      <w:pPr>
        <w:keepNext/>
        <w:suppressAutoHyphens/>
        <w:rPr>
          <w:sz w:val="22"/>
          <w:szCs w:val="22"/>
        </w:rPr>
      </w:pPr>
      <w:r w:rsidRPr="009C5EFD">
        <w:rPr>
          <w:sz w:val="22"/>
          <w:szCs w:val="22"/>
        </w:rPr>
        <w:t>Humira kan tas sammen med</w:t>
      </w:r>
      <w:r>
        <w:rPr>
          <w:sz w:val="22"/>
          <w:szCs w:val="22"/>
        </w:rPr>
        <w:t>:</w:t>
      </w:r>
    </w:p>
    <w:p w14:paraId="3A1F8499" w14:textId="77777777" w:rsidR="00CF7F58" w:rsidRDefault="00E453CD" w:rsidP="00CF7F58">
      <w:pPr>
        <w:pStyle w:val="ListParagraph"/>
        <w:numPr>
          <w:ilvl w:val="0"/>
          <w:numId w:val="113"/>
        </w:numPr>
        <w:suppressAutoHyphens/>
        <w:rPr>
          <w:sz w:val="22"/>
          <w:szCs w:val="22"/>
        </w:rPr>
      </w:pPr>
      <w:r w:rsidRPr="009C5EFD">
        <w:rPr>
          <w:sz w:val="22"/>
          <w:szCs w:val="22"/>
        </w:rPr>
        <w:t>metotreksat</w:t>
      </w:r>
    </w:p>
    <w:p w14:paraId="662EC3E3" w14:textId="77777777" w:rsidR="00CF7F58" w:rsidRDefault="00E453CD" w:rsidP="00CF7F58">
      <w:pPr>
        <w:pStyle w:val="ListParagraph"/>
        <w:numPr>
          <w:ilvl w:val="0"/>
          <w:numId w:val="113"/>
        </w:numPr>
        <w:suppressAutoHyphens/>
        <w:rPr>
          <w:sz w:val="22"/>
          <w:szCs w:val="22"/>
        </w:rPr>
      </w:pPr>
      <w:r w:rsidRPr="009C5EFD">
        <w:rPr>
          <w:sz w:val="22"/>
          <w:szCs w:val="22"/>
        </w:rPr>
        <w:t>visse sykdomsmodifiserende antirevmatiske midler (</w:t>
      </w:r>
      <w:r>
        <w:rPr>
          <w:sz w:val="22"/>
          <w:szCs w:val="22"/>
        </w:rPr>
        <w:t xml:space="preserve">f.eks. </w:t>
      </w:r>
      <w:r w:rsidRPr="009C5EFD">
        <w:rPr>
          <w:sz w:val="22"/>
          <w:szCs w:val="22"/>
        </w:rPr>
        <w:t xml:space="preserve">sulfasalasin, hydroksyklorokin, leflunomid </w:t>
      </w:r>
      <w:r>
        <w:rPr>
          <w:sz w:val="22"/>
          <w:szCs w:val="22"/>
        </w:rPr>
        <w:t>og</w:t>
      </w:r>
      <w:r w:rsidRPr="009C5EFD">
        <w:rPr>
          <w:sz w:val="22"/>
          <w:szCs w:val="22"/>
        </w:rPr>
        <w:t xml:space="preserve"> gullpreparater til injeksjon</w:t>
      </w:r>
      <w:r w:rsidRPr="00887835">
        <w:rPr>
          <w:sz w:val="22"/>
          <w:szCs w:val="22"/>
        </w:rPr>
        <w:t>)</w:t>
      </w:r>
    </w:p>
    <w:p w14:paraId="2B1DC14B" w14:textId="77777777" w:rsidR="00CF7F58" w:rsidRPr="009C5EFD" w:rsidRDefault="00E453CD" w:rsidP="00CF7F58">
      <w:pPr>
        <w:pStyle w:val="ListParagraph"/>
        <w:numPr>
          <w:ilvl w:val="0"/>
          <w:numId w:val="113"/>
        </w:numPr>
        <w:suppressAutoHyphens/>
        <w:rPr>
          <w:sz w:val="22"/>
          <w:szCs w:val="22"/>
        </w:rPr>
      </w:pPr>
      <w:r w:rsidRPr="009C5EFD">
        <w:rPr>
          <w:sz w:val="22"/>
          <w:szCs w:val="22"/>
        </w:rPr>
        <w:t>steroider eller smertestillende midler, deriblant ikke-steroide antiinflammatoriske midler (NSAIDs).</w:t>
      </w:r>
    </w:p>
    <w:p w14:paraId="2F8D2E51" w14:textId="77777777" w:rsidR="00CF7F58" w:rsidRPr="009C5EFD" w:rsidRDefault="00CF7F58" w:rsidP="00CF7F58">
      <w:pPr>
        <w:suppressAutoHyphens/>
        <w:rPr>
          <w:sz w:val="22"/>
          <w:szCs w:val="22"/>
        </w:rPr>
      </w:pPr>
    </w:p>
    <w:p w14:paraId="5636AB9F" w14:textId="77777777" w:rsidR="00CF7F58" w:rsidRPr="009C5EFD" w:rsidRDefault="00E453CD" w:rsidP="00CF7F58">
      <w:pPr>
        <w:suppressAutoHyphens/>
        <w:rPr>
          <w:sz w:val="22"/>
          <w:szCs w:val="22"/>
        </w:rPr>
      </w:pPr>
      <w:r w:rsidRPr="009C5EFD">
        <w:rPr>
          <w:sz w:val="22"/>
          <w:szCs w:val="22"/>
        </w:rPr>
        <w:t>Hvis du har spørsmål, kontakt legen din.</w:t>
      </w:r>
    </w:p>
    <w:p w14:paraId="0A62D692" w14:textId="77777777" w:rsidR="00CF7F58" w:rsidRPr="009C5EFD" w:rsidRDefault="00CF7F58" w:rsidP="00CF7F58">
      <w:pPr>
        <w:suppressAutoHyphens/>
        <w:rPr>
          <w:sz w:val="22"/>
          <w:szCs w:val="22"/>
        </w:rPr>
      </w:pPr>
    </w:p>
    <w:p w14:paraId="0CCE506C" w14:textId="77777777" w:rsidR="00CF7F58" w:rsidRPr="006947EE" w:rsidRDefault="00E453CD" w:rsidP="00051DA6">
      <w:pPr>
        <w:keepNext/>
        <w:rPr>
          <w:sz w:val="22"/>
          <w:szCs w:val="22"/>
        </w:rPr>
      </w:pPr>
      <w:r w:rsidRPr="009C5EFD">
        <w:rPr>
          <w:b/>
          <w:sz w:val="22"/>
          <w:szCs w:val="22"/>
        </w:rPr>
        <w:t>Graviditet og amming</w:t>
      </w:r>
    </w:p>
    <w:p w14:paraId="61EFE73F" w14:textId="77777777" w:rsidR="00CF7F58" w:rsidRPr="009C5EFD" w:rsidRDefault="00CF7F58" w:rsidP="00051DA6">
      <w:pPr>
        <w:keepNext/>
        <w:rPr>
          <w:sz w:val="22"/>
          <w:szCs w:val="22"/>
        </w:rPr>
      </w:pPr>
    </w:p>
    <w:p w14:paraId="4B873593" w14:textId="77777777" w:rsidR="00CF7F58" w:rsidRPr="00D35625" w:rsidRDefault="00E453CD" w:rsidP="00776A84">
      <w:pPr>
        <w:pStyle w:val="ListParagraph"/>
        <w:numPr>
          <w:ilvl w:val="0"/>
          <w:numId w:val="158"/>
        </w:numPr>
        <w:suppressAutoHyphens/>
        <w:ind w:left="714" w:hanging="357"/>
        <w:rPr>
          <w:sz w:val="22"/>
          <w:szCs w:val="22"/>
        </w:rPr>
      </w:pPr>
      <w:r w:rsidRPr="00D35625">
        <w:rPr>
          <w:sz w:val="22"/>
          <w:szCs w:val="22"/>
        </w:rPr>
        <w:t xml:space="preserve">Du </w:t>
      </w:r>
      <w:r w:rsidR="00AA09C3" w:rsidRPr="00D35625">
        <w:rPr>
          <w:sz w:val="22"/>
          <w:szCs w:val="22"/>
        </w:rPr>
        <w:t xml:space="preserve">bør vurdere å </w:t>
      </w:r>
      <w:r w:rsidRPr="00D35625">
        <w:rPr>
          <w:sz w:val="22"/>
          <w:szCs w:val="22"/>
        </w:rPr>
        <w:t xml:space="preserve">bruke </w:t>
      </w:r>
      <w:r w:rsidR="008167D9" w:rsidRPr="00D35625">
        <w:rPr>
          <w:sz w:val="22"/>
          <w:szCs w:val="22"/>
        </w:rPr>
        <w:t>sikker</w:t>
      </w:r>
      <w:r w:rsidRPr="00D35625">
        <w:rPr>
          <w:sz w:val="22"/>
          <w:szCs w:val="22"/>
        </w:rPr>
        <w:t xml:space="preserve"> prevensjon </w:t>
      </w:r>
      <w:r w:rsidR="00AA09C3" w:rsidRPr="00D35625">
        <w:rPr>
          <w:sz w:val="22"/>
          <w:szCs w:val="22"/>
        </w:rPr>
        <w:t xml:space="preserve">for å forhindre graviditet og fortsette bruken </w:t>
      </w:r>
      <w:r w:rsidRPr="00D35625">
        <w:rPr>
          <w:sz w:val="22"/>
          <w:szCs w:val="22"/>
        </w:rPr>
        <w:t>i minst 5</w:t>
      </w:r>
      <w:r w:rsidR="001F7BFA">
        <w:rPr>
          <w:sz w:val="22"/>
          <w:szCs w:val="22"/>
        </w:rPr>
        <w:t> </w:t>
      </w:r>
      <w:r w:rsidRPr="00D35625">
        <w:rPr>
          <w:sz w:val="22"/>
          <w:szCs w:val="22"/>
        </w:rPr>
        <w:t>måneder etter siste behandling med Humira.</w:t>
      </w:r>
    </w:p>
    <w:p w14:paraId="1D1F3281" w14:textId="77777777" w:rsidR="00E70B94" w:rsidRDefault="00E453CD" w:rsidP="00E70B94">
      <w:pPr>
        <w:pStyle w:val="ListParagraph"/>
        <w:numPr>
          <w:ilvl w:val="0"/>
          <w:numId w:val="147"/>
        </w:numPr>
        <w:suppressAutoHyphens/>
        <w:rPr>
          <w:sz w:val="22"/>
          <w:szCs w:val="22"/>
        </w:rPr>
      </w:pPr>
      <w:r>
        <w:rPr>
          <w:sz w:val="22"/>
          <w:szCs w:val="22"/>
        </w:rPr>
        <w:t>Snakk med</w:t>
      </w:r>
      <w:r w:rsidR="00AC4AEE">
        <w:rPr>
          <w:sz w:val="22"/>
          <w:szCs w:val="22"/>
        </w:rPr>
        <w:t xml:space="preserve"> </w:t>
      </w:r>
      <w:r w:rsidRPr="00922A98">
        <w:rPr>
          <w:sz w:val="22"/>
          <w:szCs w:val="22"/>
        </w:rPr>
        <w:t>lege</w:t>
      </w:r>
      <w:r w:rsidR="00A71697">
        <w:rPr>
          <w:sz w:val="22"/>
          <w:szCs w:val="22"/>
        </w:rPr>
        <w:t xml:space="preserve"> </w:t>
      </w:r>
      <w:r w:rsidR="001F7BFA">
        <w:rPr>
          <w:sz w:val="22"/>
          <w:szCs w:val="22"/>
        </w:rPr>
        <w:t>før du</w:t>
      </w:r>
      <w:r w:rsidRPr="00922A98">
        <w:rPr>
          <w:sz w:val="22"/>
          <w:szCs w:val="22"/>
        </w:rPr>
        <w:t xml:space="preserve"> tar det</w:t>
      </w:r>
      <w:r>
        <w:rPr>
          <w:sz w:val="22"/>
          <w:szCs w:val="22"/>
        </w:rPr>
        <w:t xml:space="preserve">te legemidlet dersom </w:t>
      </w:r>
      <w:r w:rsidR="001F7BFA">
        <w:rPr>
          <w:sz w:val="22"/>
          <w:szCs w:val="22"/>
        </w:rPr>
        <w:t>du</w:t>
      </w:r>
      <w:r>
        <w:rPr>
          <w:sz w:val="22"/>
          <w:szCs w:val="22"/>
        </w:rPr>
        <w:t xml:space="preserve"> er gravid, tror </w:t>
      </w:r>
      <w:r w:rsidR="001F7BFA">
        <w:rPr>
          <w:sz w:val="22"/>
          <w:szCs w:val="22"/>
        </w:rPr>
        <w:t>du</w:t>
      </w:r>
      <w:r w:rsidRPr="00922A98">
        <w:rPr>
          <w:sz w:val="22"/>
          <w:szCs w:val="22"/>
        </w:rPr>
        <w:t xml:space="preserve"> kan være gravid</w:t>
      </w:r>
      <w:r>
        <w:rPr>
          <w:sz w:val="22"/>
          <w:szCs w:val="22"/>
        </w:rPr>
        <w:t xml:space="preserve"> eller planlegger å bli gravid.</w:t>
      </w:r>
    </w:p>
    <w:p w14:paraId="50E13A21" w14:textId="77777777" w:rsidR="00E70B94" w:rsidRDefault="00E453CD" w:rsidP="00E70B94">
      <w:pPr>
        <w:pStyle w:val="ListParagraph"/>
        <w:numPr>
          <w:ilvl w:val="0"/>
          <w:numId w:val="147"/>
        </w:numPr>
        <w:suppressAutoHyphens/>
        <w:rPr>
          <w:sz w:val="22"/>
          <w:szCs w:val="22"/>
        </w:rPr>
      </w:pPr>
      <w:r>
        <w:rPr>
          <w:sz w:val="22"/>
          <w:szCs w:val="22"/>
        </w:rPr>
        <w:t>Humira bør kun brukes under graviditet dersom det er nødvendig.</w:t>
      </w:r>
    </w:p>
    <w:p w14:paraId="6B7FF7D3" w14:textId="77777777" w:rsidR="00E70B94" w:rsidRDefault="00E453CD" w:rsidP="00E70B94">
      <w:pPr>
        <w:pStyle w:val="ListParagraph"/>
        <w:numPr>
          <w:ilvl w:val="0"/>
          <w:numId w:val="147"/>
        </w:numPr>
        <w:suppressAutoHyphens/>
        <w:rPr>
          <w:sz w:val="22"/>
          <w:szCs w:val="22"/>
        </w:rPr>
      </w:pPr>
      <w:r>
        <w:rPr>
          <w:sz w:val="22"/>
          <w:szCs w:val="22"/>
        </w:rPr>
        <w:t xml:space="preserve">I henhold til en studie på gravide var det ingen større risiko for </w:t>
      </w:r>
      <w:r w:rsidR="00CF2078">
        <w:rPr>
          <w:sz w:val="22"/>
          <w:szCs w:val="22"/>
        </w:rPr>
        <w:t>fosterskader</w:t>
      </w:r>
      <w:r>
        <w:rPr>
          <w:sz w:val="22"/>
          <w:szCs w:val="22"/>
        </w:rPr>
        <w:t xml:space="preserve"> når moren hadde fått Humira under graviditet sammenlignet med mødre med den samme sykdommen som ikke hadde fått Humira.</w:t>
      </w:r>
    </w:p>
    <w:p w14:paraId="275352D0" w14:textId="77777777" w:rsidR="00E70B94" w:rsidRDefault="00E453CD" w:rsidP="00E70B94">
      <w:pPr>
        <w:pStyle w:val="ListParagraph"/>
        <w:numPr>
          <w:ilvl w:val="0"/>
          <w:numId w:val="147"/>
        </w:numPr>
        <w:suppressAutoHyphens/>
        <w:rPr>
          <w:sz w:val="22"/>
          <w:szCs w:val="22"/>
        </w:rPr>
      </w:pPr>
      <w:r>
        <w:rPr>
          <w:sz w:val="22"/>
          <w:szCs w:val="22"/>
        </w:rPr>
        <w:t>Humira kan brukes under amming.</w:t>
      </w:r>
    </w:p>
    <w:p w14:paraId="429CC476" w14:textId="77777777" w:rsidR="00375534" w:rsidRDefault="00E453CD" w:rsidP="00D35625">
      <w:pPr>
        <w:pStyle w:val="ListParagraph"/>
        <w:numPr>
          <w:ilvl w:val="0"/>
          <w:numId w:val="147"/>
        </w:numPr>
        <w:suppressAutoHyphens/>
        <w:rPr>
          <w:sz w:val="22"/>
          <w:szCs w:val="22"/>
        </w:rPr>
      </w:pPr>
      <w:r w:rsidRPr="00D35625">
        <w:rPr>
          <w:sz w:val="22"/>
          <w:szCs w:val="22"/>
        </w:rPr>
        <w:t xml:space="preserve">Dersom du bruker Humira under graviditet, kan spedbarnet ditt ha høyere risiko for å få en infeksjon. </w:t>
      </w:r>
    </w:p>
    <w:p w14:paraId="1329C6F9" w14:textId="77777777" w:rsidR="00CF7F58" w:rsidRPr="00D35625" w:rsidRDefault="00E453CD" w:rsidP="00D35625">
      <w:pPr>
        <w:pStyle w:val="ListParagraph"/>
        <w:numPr>
          <w:ilvl w:val="0"/>
          <w:numId w:val="147"/>
        </w:numPr>
        <w:suppressAutoHyphens/>
        <w:rPr>
          <w:sz w:val="22"/>
          <w:szCs w:val="22"/>
        </w:rPr>
      </w:pPr>
      <w:r w:rsidRPr="00D35625">
        <w:rPr>
          <w:sz w:val="22"/>
          <w:szCs w:val="22"/>
        </w:rPr>
        <w:t xml:space="preserve">Det er viktig at du forteller </w:t>
      </w:r>
      <w:r w:rsidR="00035491" w:rsidRPr="00035491">
        <w:rPr>
          <w:sz w:val="22"/>
          <w:szCs w:val="22"/>
        </w:rPr>
        <w:t>legen til spedbarnet ditt</w:t>
      </w:r>
      <w:r w:rsidRPr="00D35625">
        <w:rPr>
          <w:sz w:val="22"/>
          <w:szCs w:val="22"/>
        </w:rPr>
        <w:t xml:space="preserve"> og annet helsepersonell </w:t>
      </w:r>
      <w:r w:rsidR="00900FF9">
        <w:rPr>
          <w:sz w:val="22"/>
          <w:szCs w:val="22"/>
        </w:rPr>
        <w:t>om</w:t>
      </w:r>
      <w:r w:rsidRPr="00D35625">
        <w:rPr>
          <w:sz w:val="22"/>
          <w:szCs w:val="22"/>
        </w:rPr>
        <w:t xml:space="preserve"> </w:t>
      </w:r>
      <w:r w:rsidR="00B904B8">
        <w:rPr>
          <w:sz w:val="22"/>
          <w:szCs w:val="22"/>
        </w:rPr>
        <w:t xml:space="preserve">din </w:t>
      </w:r>
      <w:r w:rsidRPr="00D35625">
        <w:rPr>
          <w:sz w:val="22"/>
          <w:szCs w:val="22"/>
        </w:rPr>
        <w:t>bruk</w:t>
      </w:r>
      <w:r w:rsidR="00900FF9">
        <w:rPr>
          <w:sz w:val="22"/>
          <w:szCs w:val="22"/>
        </w:rPr>
        <w:t xml:space="preserve"> av</w:t>
      </w:r>
      <w:r w:rsidRPr="00D35625">
        <w:rPr>
          <w:sz w:val="22"/>
          <w:szCs w:val="22"/>
        </w:rPr>
        <w:t xml:space="preserve"> Humira under graviditeten før </w:t>
      </w:r>
      <w:r w:rsidR="00900FF9">
        <w:rPr>
          <w:sz w:val="22"/>
          <w:szCs w:val="22"/>
        </w:rPr>
        <w:t>sped</w:t>
      </w:r>
      <w:r w:rsidRPr="00D35625">
        <w:rPr>
          <w:sz w:val="22"/>
          <w:szCs w:val="22"/>
        </w:rPr>
        <w:t xml:space="preserve">barnet vaksineres. </w:t>
      </w:r>
      <w:r w:rsidR="001F7BFA" w:rsidRPr="004849ED">
        <w:rPr>
          <w:sz w:val="22"/>
          <w:szCs w:val="22"/>
        </w:rPr>
        <w:t>For mer informasjon</w:t>
      </w:r>
      <w:r w:rsidR="001F7BFA">
        <w:rPr>
          <w:sz w:val="22"/>
          <w:szCs w:val="22"/>
        </w:rPr>
        <w:t xml:space="preserve"> om vaksiner</w:t>
      </w:r>
      <w:r w:rsidR="001F7BFA" w:rsidRPr="004849ED">
        <w:rPr>
          <w:sz w:val="22"/>
          <w:szCs w:val="22"/>
        </w:rPr>
        <w:t>, se avsnitt</w:t>
      </w:r>
      <w:r w:rsidR="001F7BFA">
        <w:rPr>
          <w:sz w:val="22"/>
          <w:szCs w:val="22"/>
        </w:rPr>
        <w:t>et «Advarsler og forsiktighetsregler».</w:t>
      </w:r>
    </w:p>
    <w:p w14:paraId="44C30BB5" w14:textId="77777777" w:rsidR="00CF7F58" w:rsidRPr="009C5EFD" w:rsidRDefault="00CF7F58" w:rsidP="00CF7F58">
      <w:pPr>
        <w:rPr>
          <w:sz w:val="22"/>
          <w:szCs w:val="22"/>
        </w:rPr>
      </w:pPr>
    </w:p>
    <w:p w14:paraId="09A50303" w14:textId="77777777" w:rsidR="00CF7F58" w:rsidRPr="006947EE" w:rsidRDefault="00E453CD" w:rsidP="00776A84">
      <w:pPr>
        <w:keepNext/>
        <w:suppressAutoHyphens/>
        <w:rPr>
          <w:sz w:val="22"/>
          <w:szCs w:val="22"/>
        </w:rPr>
      </w:pPr>
      <w:r w:rsidRPr="009C5EFD">
        <w:rPr>
          <w:b/>
          <w:sz w:val="22"/>
          <w:szCs w:val="22"/>
        </w:rPr>
        <w:t>Kjøring og bruk av maskiner</w:t>
      </w:r>
    </w:p>
    <w:p w14:paraId="1A713EEB" w14:textId="77777777" w:rsidR="00CF7F58" w:rsidRPr="009C5EFD" w:rsidRDefault="00CF7F58" w:rsidP="00776A84">
      <w:pPr>
        <w:keepNext/>
        <w:suppressAutoHyphens/>
        <w:rPr>
          <w:b/>
          <w:sz w:val="22"/>
          <w:szCs w:val="22"/>
        </w:rPr>
      </w:pPr>
    </w:p>
    <w:p w14:paraId="05877306" w14:textId="77777777" w:rsidR="00CF7F58" w:rsidRDefault="00E453CD" w:rsidP="00CF7F58">
      <w:pPr>
        <w:rPr>
          <w:ins w:id="17684" w:author="AbbVie02no" w:date="2025-05-15T14:33:00Z"/>
          <w:sz w:val="22"/>
          <w:szCs w:val="22"/>
        </w:rPr>
      </w:pPr>
      <w:r w:rsidRPr="009C5EFD">
        <w:rPr>
          <w:sz w:val="22"/>
          <w:szCs w:val="22"/>
        </w:rPr>
        <w:t>Humira kan ha en liten påvirkning på evnen til å kjøre bil, sykkel eller bruke maskiner. Svimmelhet og synsforstyrrelse kan oppstå etter injeksjon av Humira.</w:t>
      </w:r>
    </w:p>
    <w:p w14:paraId="3307CDBC" w14:textId="77777777" w:rsidR="00600FCB" w:rsidRDefault="00600FCB" w:rsidP="00CF7F58">
      <w:pPr>
        <w:rPr>
          <w:ins w:id="17685" w:author="AbbVie02no" w:date="2025-05-15T14:33:00Z"/>
          <w:sz w:val="22"/>
          <w:szCs w:val="22"/>
        </w:rPr>
      </w:pPr>
    </w:p>
    <w:p w14:paraId="6C357B7B" w14:textId="439E2B40" w:rsidR="00600FCB" w:rsidRDefault="00E453CD" w:rsidP="00CF7F58">
      <w:pPr>
        <w:rPr>
          <w:ins w:id="17686" w:author="AbbVie02no" w:date="2025-05-15T14:33:00Z"/>
          <w:b/>
          <w:bCs/>
          <w:sz w:val="22"/>
          <w:szCs w:val="22"/>
        </w:rPr>
      </w:pPr>
      <w:ins w:id="17687" w:author="AbbVie02no" w:date="2025-05-15T14:33:00Z">
        <w:r>
          <w:rPr>
            <w:b/>
            <w:bCs/>
            <w:sz w:val="22"/>
            <w:szCs w:val="22"/>
          </w:rPr>
          <w:t>Humira inneholder polysorbat</w:t>
        </w:r>
      </w:ins>
    </w:p>
    <w:p w14:paraId="33CBD9DC" w14:textId="77777777" w:rsidR="00600FCB" w:rsidRDefault="00600FCB" w:rsidP="00CF7F58">
      <w:pPr>
        <w:rPr>
          <w:ins w:id="17688" w:author="AbbVie02no" w:date="2025-05-15T14:33:00Z"/>
          <w:b/>
          <w:bCs/>
          <w:sz w:val="22"/>
          <w:szCs w:val="22"/>
        </w:rPr>
      </w:pPr>
    </w:p>
    <w:p w14:paraId="50A4DFF3" w14:textId="0119493B" w:rsidR="00600FCB" w:rsidRPr="00600FCB" w:rsidRDefault="00E453CD" w:rsidP="00CF7F58">
      <w:pPr>
        <w:rPr>
          <w:sz w:val="22"/>
          <w:szCs w:val="22"/>
        </w:rPr>
      </w:pPr>
      <w:ins w:id="17689" w:author="AbbVie02no" w:date="2025-05-15T14:33:00Z">
        <w:r>
          <w:rPr>
            <w:sz w:val="22"/>
            <w:szCs w:val="22"/>
          </w:rPr>
          <w:t xml:space="preserve">Dette legemidlet inneholder 0,8 mg polysorbat 80 i hver </w:t>
        </w:r>
      </w:ins>
      <w:ins w:id="17690" w:author="AbbVie02no" w:date="2025-05-15T14:34:00Z">
        <w:r>
          <w:rPr>
            <w:sz w:val="22"/>
            <w:szCs w:val="22"/>
          </w:rPr>
          <w:t>80 mg dose. Polysorbater kan forårsake allergiske reaksjoner. Fortell legen din dersom du har noen kjente allergier.</w:t>
        </w:r>
      </w:ins>
    </w:p>
    <w:p w14:paraId="385462C1" w14:textId="77777777" w:rsidR="00CF7F58" w:rsidRPr="009C5EFD" w:rsidRDefault="00CF7F58" w:rsidP="00CF7F58">
      <w:pPr>
        <w:pStyle w:val="EndnoteText"/>
        <w:widowControl/>
        <w:tabs>
          <w:tab w:val="clear" w:pos="567"/>
        </w:tabs>
        <w:suppressAutoHyphens/>
        <w:rPr>
          <w:szCs w:val="22"/>
          <w:lang w:val="nb-NO"/>
        </w:rPr>
      </w:pPr>
    </w:p>
    <w:p w14:paraId="185D5B16" w14:textId="77777777" w:rsidR="00CF7F58" w:rsidRPr="009C5EFD" w:rsidRDefault="00CF7F58" w:rsidP="00CF7F58">
      <w:pPr>
        <w:suppressAutoHyphens/>
        <w:rPr>
          <w:sz w:val="22"/>
          <w:szCs w:val="22"/>
        </w:rPr>
      </w:pPr>
    </w:p>
    <w:p w14:paraId="507C0DB8" w14:textId="77777777" w:rsidR="00CF7F58" w:rsidRPr="009C5EFD" w:rsidRDefault="00E453CD" w:rsidP="00776A84">
      <w:pPr>
        <w:keepNext/>
        <w:tabs>
          <w:tab w:val="left" w:pos="567"/>
        </w:tabs>
        <w:suppressAutoHyphens/>
        <w:rPr>
          <w:sz w:val="22"/>
          <w:szCs w:val="22"/>
        </w:rPr>
      </w:pPr>
      <w:r w:rsidRPr="009C5EFD">
        <w:rPr>
          <w:b/>
          <w:sz w:val="22"/>
          <w:szCs w:val="22"/>
        </w:rPr>
        <w:t>3.</w:t>
      </w:r>
      <w:r w:rsidRPr="009C5EFD">
        <w:rPr>
          <w:b/>
          <w:sz w:val="22"/>
          <w:szCs w:val="22"/>
        </w:rPr>
        <w:tab/>
        <w:t>Hvordan du bruker Humira</w:t>
      </w:r>
    </w:p>
    <w:p w14:paraId="4227248F" w14:textId="77777777" w:rsidR="00CF7F58" w:rsidRPr="009C5EFD" w:rsidRDefault="00CF7F58" w:rsidP="00776A84">
      <w:pPr>
        <w:keepNext/>
        <w:rPr>
          <w:sz w:val="22"/>
          <w:szCs w:val="22"/>
        </w:rPr>
      </w:pPr>
    </w:p>
    <w:p w14:paraId="72B25E2F" w14:textId="77777777" w:rsidR="00CF7F58" w:rsidRPr="009C5EFD" w:rsidRDefault="00E453CD" w:rsidP="00CF7F58">
      <w:pPr>
        <w:suppressAutoHyphens/>
        <w:rPr>
          <w:sz w:val="22"/>
          <w:szCs w:val="22"/>
        </w:rPr>
      </w:pPr>
      <w:r w:rsidRPr="009C5EFD">
        <w:rPr>
          <w:sz w:val="22"/>
          <w:szCs w:val="22"/>
        </w:rPr>
        <w:t>Bruk alltid dette legemidlet nøyaktig slik legen eller apotek har fortalt deg. Kontakt lege</w:t>
      </w:r>
      <w:r>
        <w:rPr>
          <w:sz w:val="22"/>
          <w:szCs w:val="22"/>
        </w:rPr>
        <w:t>n din</w:t>
      </w:r>
      <w:r w:rsidRPr="009C5EFD">
        <w:rPr>
          <w:sz w:val="22"/>
          <w:szCs w:val="22"/>
        </w:rPr>
        <w:t xml:space="preserve"> eller apotek hvis du er usikker.</w:t>
      </w:r>
    </w:p>
    <w:p w14:paraId="3FD421EB" w14:textId="77777777" w:rsidR="00CF7F58" w:rsidRDefault="00CF7F58" w:rsidP="00CF7F58">
      <w:pPr>
        <w:suppressAutoHyphens/>
        <w:rPr>
          <w:sz w:val="22"/>
          <w:szCs w:val="22"/>
        </w:rPr>
      </w:pPr>
    </w:p>
    <w:p w14:paraId="4825FD20" w14:textId="77777777" w:rsidR="00CF7F58" w:rsidRDefault="00E453CD" w:rsidP="00CF7F58">
      <w:pPr>
        <w:suppressAutoHyphens/>
        <w:rPr>
          <w:sz w:val="22"/>
          <w:szCs w:val="22"/>
        </w:rPr>
      </w:pPr>
      <w:r>
        <w:rPr>
          <w:sz w:val="22"/>
          <w:szCs w:val="22"/>
        </w:rPr>
        <w:t>Anbefalte doser med Humira for hvert godkjent bruksområde er vist i tabellen under. Legen din kan forskrive en annen styrke av Humira dersom du trenger en annen dose.</w:t>
      </w:r>
    </w:p>
    <w:p w14:paraId="746C9CC6" w14:textId="77777777" w:rsidR="004079DF" w:rsidRDefault="004079DF" w:rsidP="00CF7F58">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3"/>
        <w:gridCol w:w="3024"/>
      </w:tblGrid>
      <w:tr w:rsidR="004644D4" w14:paraId="48904480" w14:textId="77777777" w:rsidTr="00D34056">
        <w:tc>
          <w:tcPr>
            <w:tcW w:w="9287" w:type="dxa"/>
            <w:gridSpan w:val="3"/>
          </w:tcPr>
          <w:p w14:paraId="05C74434" w14:textId="77777777" w:rsidR="004079DF" w:rsidRPr="00887835" w:rsidRDefault="00E453CD">
            <w:pPr>
              <w:keepNext/>
              <w:numPr>
                <w:ilvl w:val="12"/>
                <w:numId w:val="0"/>
              </w:numPr>
              <w:suppressAutoHyphens/>
              <w:ind w:right="-2"/>
              <w:rPr>
                <w:b/>
                <w:sz w:val="22"/>
                <w:szCs w:val="22"/>
              </w:rPr>
            </w:pPr>
            <w:r w:rsidRPr="007830E7">
              <w:rPr>
                <w:b/>
                <w:sz w:val="22"/>
                <w:szCs w:val="22"/>
              </w:rPr>
              <w:lastRenderedPageBreak/>
              <w:t>R</w:t>
            </w:r>
            <w:r w:rsidRPr="00887835">
              <w:rPr>
                <w:b/>
                <w:sz w:val="22"/>
                <w:szCs w:val="22"/>
              </w:rPr>
              <w:t>evmatoid artritt</w:t>
            </w:r>
          </w:p>
        </w:tc>
      </w:tr>
      <w:tr w:rsidR="004644D4" w14:paraId="711CD6E2" w14:textId="77777777" w:rsidTr="00D34056">
        <w:tc>
          <w:tcPr>
            <w:tcW w:w="3095" w:type="dxa"/>
          </w:tcPr>
          <w:p w14:paraId="61A0B286" w14:textId="77777777" w:rsidR="004079DF" w:rsidRPr="007830E7" w:rsidRDefault="00E453CD" w:rsidP="00D34056">
            <w:pPr>
              <w:keepNext/>
              <w:numPr>
                <w:ilvl w:val="12"/>
                <w:numId w:val="0"/>
              </w:numPr>
              <w:suppressAutoHyphens/>
              <w:ind w:right="-2"/>
              <w:rPr>
                <w:sz w:val="22"/>
                <w:szCs w:val="22"/>
                <w:lang w:val="en-GB"/>
              </w:rPr>
            </w:pPr>
            <w:r w:rsidRPr="007830E7">
              <w:rPr>
                <w:b/>
                <w:sz w:val="22"/>
                <w:szCs w:val="22"/>
                <w:lang w:val="en-US"/>
              </w:rPr>
              <w:t>Alder eller kroppsvekt</w:t>
            </w:r>
          </w:p>
        </w:tc>
        <w:tc>
          <w:tcPr>
            <w:tcW w:w="3096" w:type="dxa"/>
          </w:tcPr>
          <w:p w14:paraId="6CED9837" w14:textId="77777777" w:rsidR="004079DF" w:rsidRPr="00887835" w:rsidRDefault="00E453CD" w:rsidP="00D34056">
            <w:pPr>
              <w:keepNext/>
              <w:numPr>
                <w:ilvl w:val="12"/>
                <w:numId w:val="0"/>
              </w:numPr>
              <w:suppressAutoHyphens/>
              <w:ind w:right="-2"/>
              <w:rPr>
                <w:sz w:val="22"/>
                <w:szCs w:val="22"/>
              </w:rPr>
            </w:pPr>
            <w:r w:rsidRPr="00887835">
              <w:rPr>
                <w:b/>
                <w:sz w:val="22"/>
                <w:szCs w:val="22"/>
              </w:rPr>
              <w:t xml:space="preserve">Hvor mye og hvor ofte </w:t>
            </w:r>
            <w:r w:rsidRPr="007830E7">
              <w:rPr>
                <w:b/>
                <w:sz w:val="22"/>
                <w:szCs w:val="22"/>
              </w:rPr>
              <w:t xml:space="preserve">du </w:t>
            </w:r>
            <w:r w:rsidRPr="000B0B5B">
              <w:rPr>
                <w:b/>
                <w:sz w:val="22"/>
                <w:szCs w:val="22"/>
              </w:rPr>
              <w:t>skal ta</w:t>
            </w:r>
            <w:r w:rsidRPr="00887835">
              <w:rPr>
                <w:b/>
                <w:sz w:val="22"/>
                <w:szCs w:val="22"/>
              </w:rPr>
              <w:t>?</w:t>
            </w:r>
          </w:p>
        </w:tc>
        <w:tc>
          <w:tcPr>
            <w:tcW w:w="3096" w:type="dxa"/>
          </w:tcPr>
          <w:p w14:paraId="71F57881" w14:textId="77777777" w:rsidR="004079DF" w:rsidRPr="007830E7" w:rsidRDefault="00E453CD" w:rsidP="00D34056">
            <w:pPr>
              <w:keepNext/>
              <w:numPr>
                <w:ilvl w:val="12"/>
                <w:numId w:val="0"/>
              </w:numPr>
              <w:suppressAutoHyphens/>
              <w:ind w:right="-2"/>
              <w:rPr>
                <w:sz w:val="22"/>
                <w:szCs w:val="22"/>
                <w:lang w:val="en-GB"/>
              </w:rPr>
            </w:pPr>
            <w:r w:rsidRPr="007830E7">
              <w:rPr>
                <w:b/>
                <w:sz w:val="22"/>
                <w:szCs w:val="22"/>
                <w:lang w:val="en-US"/>
              </w:rPr>
              <w:t>Merknader</w:t>
            </w:r>
          </w:p>
        </w:tc>
      </w:tr>
      <w:tr w:rsidR="004644D4" w14:paraId="7073FB67" w14:textId="77777777" w:rsidTr="00D34056">
        <w:tc>
          <w:tcPr>
            <w:tcW w:w="3095" w:type="dxa"/>
          </w:tcPr>
          <w:p w14:paraId="7A6C9D33" w14:textId="77777777" w:rsidR="004079DF" w:rsidRPr="00F341B0" w:rsidRDefault="00E453CD" w:rsidP="00D34056">
            <w:pPr>
              <w:keepNext/>
              <w:numPr>
                <w:ilvl w:val="12"/>
                <w:numId w:val="0"/>
              </w:numPr>
              <w:suppressAutoHyphens/>
              <w:ind w:right="-2"/>
              <w:rPr>
                <w:sz w:val="22"/>
                <w:szCs w:val="22"/>
                <w:lang w:val="en-GB"/>
              </w:rPr>
            </w:pPr>
            <w:r w:rsidRPr="001A1AC5">
              <w:rPr>
                <w:sz w:val="22"/>
                <w:szCs w:val="22"/>
                <w:lang w:val="en-US"/>
              </w:rPr>
              <w:t>Voksne</w:t>
            </w:r>
          </w:p>
        </w:tc>
        <w:tc>
          <w:tcPr>
            <w:tcW w:w="3096" w:type="dxa"/>
          </w:tcPr>
          <w:p w14:paraId="33D7AC88" w14:textId="77777777" w:rsidR="004079DF" w:rsidRPr="007830E7" w:rsidRDefault="00E453CD">
            <w:pPr>
              <w:keepNext/>
              <w:numPr>
                <w:ilvl w:val="12"/>
                <w:numId w:val="0"/>
              </w:numPr>
              <w:suppressAutoHyphens/>
              <w:ind w:right="-2"/>
              <w:rPr>
                <w:sz w:val="22"/>
                <w:szCs w:val="22"/>
                <w:lang w:val="en-GB"/>
              </w:rPr>
            </w:pPr>
            <w:r w:rsidRPr="002E73E5">
              <w:rPr>
                <w:sz w:val="22"/>
                <w:szCs w:val="22"/>
                <w:lang w:val="en-US"/>
              </w:rPr>
              <w:t>40</w:t>
            </w:r>
            <w:r w:rsidR="007C0306">
              <w:rPr>
                <w:sz w:val="22"/>
                <w:szCs w:val="22"/>
                <w:lang w:val="en-US"/>
              </w:rPr>
              <w:t> </w:t>
            </w:r>
            <w:r w:rsidRPr="002E73E5">
              <w:rPr>
                <w:sz w:val="22"/>
                <w:szCs w:val="22"/>
                <w:lang w:val="en-US"/>
              </w:rPr>
              <w:t xml:space="preserve">mg </w:t>
            </w:r>
            <w:r w:rsidRPr="007830E7">
              <w:rPr>
                <w:sz w:val="22"/>
                <w:szCs w:val="22"/>
              </w:rPr>
              <w:t>annenhver uke</w:t>
            </w:r>
          </w:p>
        </w:tc>
        <w:tc>
          <w:tcPr>
            <w:tcW w:w="3096" w:type="dxa"/>
          </w:tcPr>
          <w:p w14:paraId="7402B2BF" w14:textId="77777777" w:rsidR="004079DF" w:rsidRDefault="00E453CD" w:rsidP="00D34056">
            <w:pPr>
              <w:keepNext/>
              <w:tabs>
                <w:tab w:val="left" w:pos="562"/>
              </w:tabs>
              <w:suppressAutoHyphens/>
              <w:rPr>
                <w:sz w:val="22"/>
                <w:szCs w:val="22"/>
              </w:rPr>
            </w:pPr>
            <w:r w:rsidRPr="00887835">
              <w:rPr>
                <w:sz w:val="22"/>
                <w:szCs w:val="22"/>
              </w:rPr>
              <w:t>Ved revmatoid artritt fortsetter behandlingen med metotreksat mens du bruker</w:t>
            </w:r>
            <w:r w:rsidRPr="007830E7">
              <w:rPr>
                <w:sz w:val="22"/>
                <w:szCs w:val="22"/>
              </w:rPr>
              <w:t xml:space="preserve"> Humira. Hvis legen din bestemmer</w:t>
            </w:r>
            <w:r w:rsidRPr="00887835">
              <w:rPr>
                <w:sz w:val="22"/>
                <w:szCs w:val="22"/>
              </w:rPr>
              <w:t xml:space="preserve"> at metotreksat ikke er egnet, kan Humira gis alene.</w:t>
            </w:r>
          </w:p>
          <w:p w14:paraId="26904552" w14:textId="77777777" w:rsidR="004079DF" w:rsidRPr="00887835" w:rsidRDefault="004079DF" w:rsidP="00D34056">
            <w:pPr>
              <w:keepNext/>
              <w:tabs>
                <w:tab w:val="left" w:pos="562"/>
              </w:tabs>
              <w:suppressAutoHyphens/>
              <w:rPr>
                <w:sz w:val="22"/>
                <w:szCs w:val="22"/>
              </w:rPr>
            </w:pPr>
          </w:p>
          <w:p w14:paraId="07C01F0D" w14:textId="77777777" w:rsidR="004079DF" w:rsidRPr="00887835" w:rsidRDefault="00E453CD">
            <w:pPr>
              <w:keepNext/>
              <w:numPr>
                <w:ilvl w:val="12"/>
                <w:numId w:val="0"/>
              </w:numPr>
              <w:suppressAutoHyphens/>
              <w:ind w:right="-2"/>
              <w:rPr>
                <w:sz w:val="22"/>
                <w:szCs w:val="22"/>
              </w:rPr>
            </w:pPr>
            <w:r w:rsidRPr="00887835">
              <w:rPr>
                <w:sz w:val="22"/>
                <w:szCs w:val="22"/>
              </w:rPr>
              <w:t>Hvis du har revmatoid artritt og ikke får behandling med metotreksat mens du behandles med Humira, kan legen din bestemme å gi deg 40</w:t>
            </w:r>
            <w:r w:rsidR="007C0306">
              <w:rPr>
                <w:sz w:val="22"/>
                <w:szCs w:val="22"/>
              </w:rPr>
              <w:t> </w:t>
            </w:r>
            <w:r w:rsidRPr="00887835">
              <w:rPr>
                <w:sz w:val="22"/>
                <w:szCs w:val="22"/>
              </w:rPr>
              <w:t xml:space="preserve">mg </w:t>
            </w:r>
            <w:r>
              <w:rPr>
                <w:sz w:val="22"/>
                <w:szCs w:val="22"/>
              </w:rPr>
              <w:t>Humira</w:t>
            </w:r>
            <w:r w:rsidRPr="00887835">
              <w:rPr>
                <w:sz w:val="22"/>
                <w:szCs w:val="22"/>
              </w:rPr>
              <w:t xml:space="preserve"> hver uke</w:t>
            </w:r>
            <w:r>
              <w:rPr>
                <w:sz w:val="22"/>
                <w:szCs w:val="22"/>
              </w:rPr>
              <w:t xml:space="preserve"> eller 80</w:t>
            </w:r>
            <w:r w:rsidR="007C0306">
              <w:rPr>
                <w:sz w:val="22"/>
                <w:szCs w:val="22"/>
              </w:rPr>
              <w:t> </w:t>
            </w:r>
            <w:r>
              <w:rPr>
                <w:sz w:val="22"/>
                <w:szCs w:val="22"/>
              </w:rPr>
              <w:t>mg annenhver uke</w:t>
            </w:r>
            <w:r w:rsidRPr="00887835">
              <w:rPr>
                <w:sz w:val="22"/>
                <w:szCs w:val="22"/>
              </w:rPr>
              <w:t xml:space="preserve">. </w:t>
            </w:r>
          </w:p>
        </w:tc>
      </w:tr>
    </w:tbl>
    <w:p w14:paraId="2C809BC6" w14:textId="77777777" w:rsidR="00CF7F58" w:rsidRPr="009C5EFD" w:rsidRDefault="00CF7F58" w:rsidP="00CF7F58">
      <w:pPr>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4"/>
        <w:gridCol w:w="3023"/>
      </w:tblGrid>
      <w:tr w:rsidR="004644D4" w14:paraId="511CA2BD" w14:textId="77777777" w:rsidTr="003719E4">
        <w:tc>
          <w:tcPr>
            <w:tcW w:w="9281" w:type="dxa"/>
            <w:gridSpan w:val="3"/>
          </w:tcPr>
          <w:p w14:paraId="5CE4D06C" w14:textId="77777777" w:rsidR="00CF7F58" w:rsidRPr="00887835" w:rsidRDefault="00E453CD" w:rsidP="003719E4">
            <w:pPr>
              <w:keepNext/>
              <w:numPr>
                <w:ilvl w:val="12"/>
                <w:numId w:val="0"/>
              </w:numPr>
              <w:ind w:right="-2"/>
              <w:rPr>
                <w:sz w:val="22"/>
                <w:szCs w:val="22"/>
                <w:lang w:val="en-GB"/>
              </w:rPr>
            </w:pPr>
            <w:r w:rsidRPr="002D5213">
              <w:rPr>
                <w:b/>
                <w:sz w:val="22"/>
                <w:szCs w:val="22"/>
                <w:lang w:val="en-GB"/>
              </w:rPr>
              <w:t>Pl</w:t>
            </w:r>
            <w:r>
              <w:rPr>
                <w:b/>
                <w:sz w:val="22"/>
                <w:szCs w:val="22"/>
                <w:lang w:val="en-GB"/>
              </w:rPr>
              <w:t>akk</w:t>
            </w:r>
            <w:r w:rsidRPr="00887835">
              <w:rPr>
                <w:b/>
                <w:sz w:val="22"/>
                <w:szCs w:val="22"/>
                <w:lang w:val="en-GB"/>
              </w:rPr>
              <w:t>psoriasis</w:t>
            </w:r>
          </w:p>
        </w:tc>
      </w:tr>
      <w:tr w:rsidR="004644D4" w14:paraId="253072D0" w14:textId="77777777" w:rsidTr="003719E4">
        <w:tc>
          <w:tcPr>
            <w:tcW w:w="3093" w:type="dxa"/>
          </w:tcPr>
          <w:p w14:paraId="529C0EE4" w14:textId="77777777" w:rsidR="00CF7F58" w:rsidRPr="00887835" w:rsidRDefault="00E453CD" w:rsidP="003719E4">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47F41FB0" w14:textId="77777777" w:rsidR="00CF7F58" w:rsidRPr="00887835" w:rsidRDefault="00E453CD" w:rsidP="003719E4">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7B707B20" w14:textId="77777777" w:rsidR="00CF7F58" w:rsidRPr="00887835" w:rsidRDefault="00E453CD" w:rsidP="003719E4">
            <w:pPr>
              <w:keepNext/>
              <w:numPr>
                <w:ilvl w:val="12"/>
                <w:numId w:val="0"/>
              </w:numPr>
              <w:ind w:right="-2"/>
              <w:rPr>
                <w:sz w:val="22"/>
                <w:szCs w:val="22"/>
                <w:lang w:val="en-GB"/>
              </w:rPr>
            </w:pPr>
            <w:r w:rsidRPr="007830E7">
              <w:rPr>
                <w:b/>
                <w:sz w:val="22"/>
                <w:szCs w:val="22"/>
                <w:lang w:val="en-US"/>
              </w:rPr>
              <w:t>Merknader</w:t>
            </w:r>
          </w:p>
        </w:tc>
      </w:tr>
      <w:tr w:rsidR="004644D4" w14:paraId="72CB6447" w14:textId="77777777" w:rsidTr="003719E4">
        <w:tc>
          <w:tcPr>
            <w:tcW w:w="3093" w:type="dxa"/>
          </w:tcPr>
          <w:p w14:paraId="4EB15686" w14:textId="77777777" w:rsidR="00CF7F58" w:rsidRPr="00887835" w:rsidRDefault="00E453CD" w:rsidP="003719E4">
            <w:pPr>
              <w:keepNext/>
              <w:numPr>
                <w:ilvl w:val="12"/>
                <w:numId w:val="0"/>
              </w:numPr>
              <w:ind w:right="-2"/>
              <w:rPr>
                <w:sz w:val="22"/>
                <w:szCs w:val="22"/>
              </w:rPr>
            </w:pPr>
            <w:r>
              <w:rPr>
                <w:sz w:val="22"/>
                <w:szCs w:val="22"/>
              </w:rPr>
              <w:t>Voksne</w:t>
            </w:r>
          </w:p>
          <w:p w14:paraId="04513F08" w14:textId="77777777" w:rsidR="00CF7F58" w:rsidRPr="00887835" w:rsidRDefault="00CF7F58" w:rsidP="003719E4">
            <w:pPr>
              <w:keepNext/>
              <w:numPr>
                <w:ilvl w:val="12"/>
                <w:numId w:val="0"/>
              </w:numPr>
              <w:ind w:right="-2"/>
              <w:rPr>
                <w:sz w:val="22"/>
                <w:szCs w:val="22"/>
                <w:lang w:val="en-GB"/>
              </w:rPr>
            </w:pPr>
          </w:p>
        </w:tc>
        <w:tc>
          <w:tcPr>
            <w:tcW w:w="3094" w:type="dxa"/>
          </w:tcPr>
          <w:p w14:paraId="3BEBBC0C" w14:textId="77777777" w:rsidR="00CF7F58" w:rsidRPr="00887835" w:rsidRDefault="00E453CD" w:rsidP="00C80830">
            <w:pPr>
              <w:keepNext/>
              <w:numPr>
                <w:ilvl w:val="12"/>
                <w:numId w:val="0"/>
              </w:numPr>
              <w:ind w:right="-2"/>
              <w:rPr>
                <w:sz w:val="22"/>
                <w:szCs w:val="22"/>
              </w:rPr>
            </w:pPr>
            <w:r>
              <w:rPr>
                <w:sz w:val="22"/>
                <w:szCs w:val="22"/>
              </w:rPr>
              <w:t>Første dose på 80 </w:t>
            </w:r>
            <w:r w:rsidRPr="00887835">
              <w:rPr>
                <w:sz w:val="22"/>
                <w:szCs w:val="22"/>
              </w:rPr>
              <w:t>mg (</w:t>
            </w:r>
            <w:r w:rsidR="00C80830">
              <w:rPr>
                <w:sz w:val="22"/>
                <w:szCs w:val="22"/>
              </w:rPr>
              <w:t>é</w:t>
            </w:r>
            <w:r>
              <w:rPr>
                <w:sz w:val="22"/>
                <w:szCs w:val="22"/>
              </w:rPr>
              <w:t>n</w:t>
            </w:r>
            <w:r w:rsidRPr="00887835">
              <w:rPr>
                <w:sz w:val="22"/>
                <w:szCs w:val="22"/>
              </w:rPr>
              <w:t xml:space="preserve"> </w:t>
            </w:r>
            <w:r>
              <w:rPr>
                <w:sz w:val="22"/>
                <w:szCs w:val="22"/>
              </w:rPr>
              <w:t>8</w:t>
            </w:r>
            <w:r w:rsidRPr="00887835">
              <w:rPr>
                <w:sz w:val="22"/>
                <w:szCs w:val="22"/>
              </w:rPr>
              <w:t>0</w:t>
            </w:r>
            <w:r>
              <w:rPr>
                <w:sz w:val="22"/>
                <w:szCs w:val="22"/>
              </w:rPr>
              <w:t> </w:t>
            </w:r>
            <w:r w:rsidRPr="00887835">
              <w:rPr>
                <w:sz w:val="22"/>
                <w:szCs w:val="22"/>
              </w:rPr>
              <w:t>mg injeksjon), etterf</w:t>
            </w:r>
            <w:r>
              <w:rPr>
                <w:sz w:val="22"/>
                <w:szCs w:val="22"/>
              </w:rPr>
              <w:t>ulgt av 40 </w:t>
            </w:r>
            <w:r w:rsidRPr="00887835">
              <w:rPr>
                <w:sz w:val="22"/>
                <w:szCs w:val="22"/>
              </w:rPr>
              <w:t xml:space="preserve">mg annenhver uke </w:t>
            </w:r>
            <w:r w:rsidRPr="00062568">
              <w:rPr>
                <w:sz w:val="22"/>
                <w:szCs w:val="22"/>
              </w:rPr>
              <w:t>som starter en uke etter den første dosen</w:t>
            </w:r>
            <w:r w:rsidRPr="00887835">
              <w:rPr>
                <w:sz w:val="22"/>
                <w:szCs w:val="22"/>
              </w:rPr>
              <w:t>.</w:t>
            </w:r>
          </w:p>
        </w:tc>
        <w:tc>
          <w:tcPr>
            <w:tcW w:w="3094" w:type="dxa"/>
          </w:tcPr>
          <w:p w14:paraId="5D99DD4B" w14:textId="77777777" w:rsidR="00CF7F58" w:rsidRPr="00887835" w:rsidRDefault="00E453CD">
            <w:pPr>
              <w:keepNext/>
              <w:spacing w:before="100" w:beforeAutospacing="1" w:after="100" w:afterAutospacing="1"/>
              <w:rPr>
                <w:sz w:val="22"/>
                <w:szCs w:val="22"/>
              </w:rPr>
            </w:pPr>
            <w:r>
              <w:rPr>
                <w:sz w:val="22"/>
                <w:szCs w:val="22"/>
              </w:rPr>
              <w:t>Dersom du har en utilstrekkelig respons kan l</w:t>
            </w:r>
            <w:r w:rsidRPr="00887835">
              <w:rPr>
                <w:sz w:val="22"/>
                <w:szCs w:val="22"/>
              </w:rPr>
              <w:t>egen din</w:t>
            </w:r>
            <w:r>
              <w:rPr>
                <w:sz w:val="22"/>
                <w:szCs w:val="22"/>
              </w:rPr>
              <w:t xml:space="preserve"> øke dosering</w:t>
            </w:r>
            <w:r w:rsidR="00707BE4">
              <w:rPr>
                <w:sz w:val="22"/>
                <w:szCs w:val="22"/>
              </w:rPr>
              <w:t>en</w:t>
            </w:r>
            <w:r>
              <w:rPr>
                <w:sz w:val="22"/>
                <w:szCs w:val="22"/>
              </w:rPr>
              <w:t xml:space="preserve"> til 40 </w:t>
            </w:r>
            <w:r w:rsidRPr="00887835">
              <w:rPr>
                <w:sz w:val="22"/>
                <w:szCs w:val="22"/>
              </w:rPr>
              <w:t xml:space="preserve">mg </w:t>
            </w:r>
            <w:r>
              <w:rPr>
                <w:sz w:val="22"/>
                <w:szCs w:val="22"/>
              </w:rPr>
              <w:t>hver uke</w:t>
            </w:r>
            <w:r w:rsidR="00707BE4">
              <w:rPr>
                <w:sz w:val="22"/>
                <w:szCs w:val="22"/>
              </w:rPr>
              <w:t xml:space="preserve"> eller 80</w:t>
            </w:r>
            <w:r w:rsidR="007C0306">
              <w:rPr>
                <w:sz w:val="22"/>
                <w:szCs w:val="22"/>
              </w:rPr>
              <w:t> </w:t>
            </w:r>
            <w:r w:rsidR="00707BE4">
              <w:rPr>
                <w:sz w:val="22"/>
                <w:szCs w:val="22"/>
              </w:rPr>
              <w:t>mg annenhver uke</w:t>
            </w:r>
            <w:r w:rsidRPr="00887835">
              <w:rPr>
                <w:sz w:val="22"/>
                <w:szCs w:val="22"/>
              </w:rPr>
              <w:t>.</w:t>
            </w:r>
          </w:p>
        </w:tc>
      </w:tr>
    </w:tbl>
    <w:p w14:paraId="7FD2F66B" w14:textId="77777777" w:rsidR="00CF7F58" w:rsidRPr="009C5EFD" w:rsidRDefault="00CF7F58" w:rsidP="00CF7F58">
      <w:pPr>
        <w:keepNext/>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15"/>
        <w:gridCol w:w="3023"/>
      </w:tblGrid>
      <w:tr w:rsidR="004644D4" w14:paraId="6A109733" w14:textId="77777777" w:rsidTr="003719E4">
        <w:tc>
          <w:tcPr>
            <w:tcW w:w="9281" w:type="dxa"/>
            <w:gridSpan w:val="3"/>
          </w:tcPr>
          <w:p w14:paraId="5B44662C" w14:textId="77777777" w:rsidR="00CF7F58" w:rsidRPr="00887835" w:rsidRDefault="00E453CD" w:rsidP="003719E4">
            <w:pPr>
              <w:numPr>
                <w:ilvl w:val="12"/>
                <w:numId w:val="0"/>
              </w:numPr>
              <w:ind w:right="-2"/>
              <w:rPr>
                <w:b/>
                <w:sz w:val="22"/>
                <w:szCs w:val="22"/>
                <w:lang w:val="en-GB"/>
              </w:rPr>
            </w:pPr>
            <w:r>
              <w:rPr>
                <w:b/>
                <w:sz w:val="22"/>
                <w:szCs w:val="22"/>
              </w:rPr>
              <w:t>H</w:t>
            </w:r>
            <w:r w:rsidRPr="00062568">
              <w:rPr>
                <w:b/>
                <w:sz w:val="22"/>
                <w:szCs w:val="22"/>
              </w:rPr>
              <w:t>idrosadenitt</w:t>
            </w:r>
          </w:p>
        </w:tc>
      </w:tr>
      <w:tr w:rsidR="004644D4" w14:paraId="1B210A17" w14:textId="77777777" w:rsidTr="003719E4">
        <w:tc>
          <w:tcPr>
            <w:tcW w:w="3093" w:type="dxa"/>
          </w:tcPr>
          <w:p w14:paraId="19856AFA" w14:textId="77777777" w:rsidR="00CF7F58" w:rsidRPr="00887835" w:rsidRDefault="00E453CD" w:rsidP="003719E4">
            <w:pPr>
              <w:numPr>
                <w:ilvl w:val="12"/>
                <w:numId w:val="0"/>
              </w:numPr>
              <w:ind w:right="-2"/>
              <w:rPr>
                <w:sz w:val="22"/>
                <w:szCs w:val="22"/>
                <w:lang w:val="en-GB"/>
              </w:rPr>
            </w:pPr>
            <w:r w:rsidRPr="007830E7">
              <w:rPr>
                <w:b/>
                <w:sz w:val="22"/>
                <w:szCs w:val="22"/>
                <w:lang w:val="en-US"/>
              </w:rPr>
              <w:t>Alder eller kroppsvekt</w:t>
            </w:r>
          </w:p>
        </w:tc>
        <w:tc>
          <w:tcPr>
            <w:tcW w:w="3094" w:type="dxa"/>
          </w:tcPr>
          <w:p w14:paraId="2E65BE6E" w14:textId="77777777" w:rsidR="00CF7F58" w:rsidRPr="00887835" w:rsidRDefault="00E453CD" w:rsidP="003719E4">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104751FD" w14:textId="77777777" w:rsidR="00CF7F58" w:rsidRPr="00887835" w:rsidRDefault="00E453CD" w:rsidP="003719E4">
            <w:pPr>
              <w:numPr>
                <w:ilvl w:val="12"/>
                <w:numId w:val="0"/>
              </w:numPr>
              <w:ind w:right="-2"/>
              <w:rPr>
                <w:sz w:val="22"/>
                <w:szCs w:val="22"/>
                <w:lang w:val="en-GB"/>
              </w:rPr>
            </w:pPr>
            <w:r w:rsidRPr="007830E7">
              <w:rPr>
                <w:b/>
                <w:sz w:val="22"/>
                <w:szCs w:val="22"/>
                <w:lang w:val="en-US"/>
              </w:rPr>
              <w:t>Merknader</w:t>
            </w:r>
          </w:p>
        </w:tc>
      </w:tr>
      <w:tr w:rsidR="004644D4" w14:paraId="4F443B08" w14:textId="77777777" w:rsidTr="003719E4">
        <w:tc>
          <w:tcPr>
            <w:tcW w:w="3093" w:type="dxa"/>
          </w:tcPr>
          <w:p w14:paraId="5D8CCA27" w14:textId="77777777" w:rsidR="00CF7F58" w:rsidRPr="00887835" w:rsidRDefault="00E453CD" w:rsidP="003719E4">
            <w:pPr>
              <w:numPr>
                <w:ilvl w:val="12"/>
                <w:numId w:val="0"/>
              </w:numPr>
              <w:ind w:right="-2"/>
              <w:rPr>
                <w:sz w:val="22"/>
                <w:szCs w:val="22"/>
                <w:lang w:val="en-GB"/>
              </w:rPr>
            </w:pPr>
            <w:r>
              <w:rPr>
                <w:sz w:val="22"/>
                <w:szCs w:val="22"/>
                <w:lang w:val="en-GB"/>
              </w:rPr>
              <w:t>Voksne</w:t>
            </w:r>
          </w:p>
        </w:tc>
        <w:tc>
          <w:tcPr>
            <w:tcW w:w="3094" w:type="dxa"/>
          </w:tcPr>
          <w:p w14:paraId="7D34240A" w14:textId="77777777" w:rsidR="00CF7F58" w:rsidRPr="00887835" w:rsidRDefault="00E453CD">
            <w:pPr>
              <w:numPr>
                <w:ilvl w:val="12"/>
                <w:numId w:val="0"/>
              </w:numPr>
              <w:ind w:right="-2"/>
              <w:rPr>
                <w:sz w:val="22"/>
                <w:szCs w:val="22"/>
              </w:rPr>
            </w:pPr>
            <w:r w:rsidRPr="00887835">
              <w:rPr>
                <w:sz w:val="22"/>
                <w:szCs w:val="22"/>
              </w:rPr>
              <w:t>Første dose på 160 mg (</w:t>
            </w:r>
            <w:r>
              <w:rPr>
                <w:sz w:val="22"/>
                <w:szCs w:val="22"/>
              </w:rPr>
              <w:t>to</w:t>
            </w:r>
            <w:r w:rsidRPr="00887835">
              <w:rPr>
                <w:sz w:val="22"/>
                <w:szCs w:val="22"/>
              </w:rPr>
              <w:t xml:space="preserve"> </w:t>
            </w:r>
            <w:r>
              <w:rPr>
                <w:sz w:val="22"/>
                <w:szCs w:val="22"/>
              </w:rPr>
              <w:t>8</w:t>
            </w:r>
            <w:r w:rsidRPr="00887835">
              <w:rPr>
                <w:sz w:val="22"/>
                <w:szCs w:val="22"/>
              </w:rPr>
              <w:t>0</w:t>
            </w:r>
            <w:r>
              <w:rPr>
                <w:sz w:val="22"/>
                <w:szCs w:val="22"/>
              </w:rPr>
              <w:t> </w:t>
            </w:r>
            <w:r w:rsidRPr="00887835">
              <w:rPr>
                <w:sz w:val="22"/>
                <w:szCs w:val="22"/>
              </w:rPr>
              <w:t xml:space="preserve">mg </w:t>
            </w:r>
            <w:r w:rsidRPr="00062568">
              <w:rPr>
                <w:sz w:val="22"/>
                <w:szCs w:val="22"/>
              </w:rPr>
              <w:t>injeksjoner på én dag</w:t>
            </w:r>
            <w:r w:rsidRPr="00887835">
              <w:rPr>
                <w:sz w:val="22"/>
                <w:szCs w:val="22"/>
              </w:rPr>
              <w:t xml:space="preserve"> eller </w:t>
            </w:r>
            <w:r w:rsidR="00C80830" w:rsidRPr="00062568">
              <w:rPr>
                <w:sz w:val="22"/>
                <w:szCs w:val="22"/>
              </w:rPr>
              <w:t>én</w:t>
            </w:r>
            <w:r w:rsidRPr="00887835">
              <w:rPr>
                <w:sz w:val="22"/>
                <w:szCs w:val="22"/>
              </w:rPr>
              <w:t xml:space="preserve"> </w:t>
            </w:r>
            <w:r>
              <w:rPr>
                <w:sz w:val="22"/>
                <w:szCs w:val="22"/>
              </w:rPr>
              <w:t>80 </w:t>
            </w:r>
            <w:r w:rsidRPr="00887835">
              <w:rPr>
                <w:sz w:val="22"/>
                <w:szCs w:val="22"/>
              </w:rPr>
              <w:t xml:space="preserve">mg injeksjon daglig </w:t>
            </w:r>
            <w:r w:rsidR="00953ADC">
              <w:rPr>
                <w:sz w:val="22"/>
                <w:szCs w:val="22"/>
              </w:rPr>
              <w:t xml:space="preserve">i </w:t>
            </w:r>
            <w:r w:rsidRPr="00887835">
              <w:rPr>
                <w:sz w:val="22"/>
                <w:szCs w:val="22"/>
              </w:rPr>
              <w:t xml:space="preserve">to påfølgende dager), </w:t>
            </w:r>
            <w:r>
              <w:rPr>
                <w:sz w:val="22"/>
                <w:szCs w:val="22"/>
              </w:rPr>
              <w:t xml:space="preserve">etterfulgt av </w:t>
            </w:r>
            <w:r w:rsidR="00C80830" w:rsidRPr="00062568">
              <w:rPr>
                <w:sz w:val="22"/>
                <w:szCs w:val="22"/>
              </w:rPr>
              <w:t>én</w:t>
            </w:r>
            <w:r w:rsidRPr="00887835">
              <w:rPr>
                <w:sz w:val="22"/>
                <w:szCs w:val="22"/>
              </w:rPr>
              <w:t xml:space="preserve"> 80 mg dose (</w:t>
            </w:r>
            <w:r w:rsidR="00C80830" w:rsidRPr="00062568">
              <w:rPr>
                <w:sz w:val="22"/>
                <w:szCs w:val="22"/>
              </w:rPr>
              <w:t>én</w:t>
            </w:r>
            <w:r w:rsidRPr="004C7F6D">
              <w:rPr>
                <w:sz w:val="22"/>
                <w:szCs w:val="22"/>
              </w:rPr>
              <w:t xml:space="preserve"> </w:t>
            </w:r>
            <w:r>
              <w:rPr>
                <w:sz w:val="22"/>
                <w:szCs w:val="22"/>
              </w:rPr>
              <w:t>80 mg injeksjon</w:t>
            </w:r>
            <w:r w:rsidRPr="00887835">
              <w:rPr>
                <w:sz w:val="22"/>
                <w:szCs w:val="22"/>
              </w:rPr>
              <w:t xml:space="preserve">) </w:t>
            </w:r>
            <w:r>
              <w:rPr>
                <w:sz w:val="22"/>
                <w:szCs w:val="22"/>
              </w:rPr>
              <w:t>to uker senere</w:t>
            </w:r>
            <w:r w:rsidRPr="00887835">
              <w:rPr>
                <w:sz w:val="22"/>
                <w:szCs w:val="22"/>
              </w:rPr>
              <w:t>. Etter</w:t>
            </w:r>
            <w:r w:rsidRPr="00861F89">
              <w:rPr>
                <w:sz w:val="22"/>
                <w:szCs w:val="22"/>
              </w:rPr>
              <w:t xml:space="preserve"> ytterligere to uker, fortsette</w:t>
            </w:r>
            <w:r>
              <w:rPr>
                <w:sz w:val="22"/>
                <w:szCs w:val="22"/>
              </w:rPr>
              <w:t>r du</w:t>
            </w:r>
            <w:r w:rsidRPr="00887835">
              <w:rPr>
                <w:sz w:val="22"/>
                <w:szCs w:val="22"/>
              </w:rPr>
              <w:t xml:space="preserve"> med </w:t>
            </w:r>
            <w:r w:rsidR="00C80830" w:rsidRPr="00062568">
              <w:rPr>
                <w:sz w:val="22"/>
                <w:szCs w:val="22"/>
              </w:rPr>
              <w:t>én</w:t>
            </w:r>
            <w:r w:rsidRPr="00887835">
              <w:rPr>
                <w:sz w:val="22"/>
                <w:szCs w:val="22"/>
              </w:rPr>
              <w:t xml:space="preserve"> dose på 40</w:t>
            </w:r>
            <w:r>
              <w:rPr>
                <w:sz w:val="22"/>
                <w:szCs w:val="22"/>
              </w:rPr>
              <w:t> </w:t>
            </w:r>
            <w:r w:rsidRPr="00887835">
              <w:rPr>
                <w:sz w:val="22"/>
                <w:szCs w:val="22"/>
              </w:rPr>
              <w:t>mg hver uke</w:t>
            </w:r>
            <w:r w:rsidR="00707BE4">
              <w:rPr>
                <w:sz w:val="22"/>
                <w:szCs w:val="22"/>
              </w:rPr>
              <w:t xml:space="preserve"> eller 80</w:t>
            </w:r>
            <w:r w:rsidR="007C0306">
              <w:rPr>
                <w:sz w:val="22"/>
                <w:szCs w:val="22"/>
              </w:rPr>
              <w:t> </w:t>
            </w:r>
            <w:r w:rsidR="00707BE4">
              <w:rPr>
                <w:sz w:val="22"/>
                <w:szCs w:val="22"/>
              </w:rPr>
              <w:t>mg annenhver uke, som forskrevet av legen din</w:t>
            </w:r>
            <w:r w:rsidRPr="00887835">
              <w:rPr>
                <w:sz w:val="22"/>
                <w:szCs w:val="22"/>
              </w:rPr>
              <w:t xml:space="preserve">. </w:t>
            </w:r>
          </w:p>
        </w:tc>
        <w:tc>
          <w:tcPr>
            <w:tcW w:w="3094" w:type="dxa"/>
          </w:tcPr>
          <w:p w14:paraId="545786B9" w14:textId="77777777" w:rsidR="00CF7F58" w:rsidRPr="00887835" w:rsidRDefault="00E453CD" w:rsidP="003719E4">
            <w:pPr>
              <w:pStyle w:val="gtcbodytext"/>
              <w:spacing w:before="100" w:beforeAutospacing="1" w:after="100" w:afterAutospacing="1" w:line="240" w:lineRule="auto"/>
              <w:rPr>
                <w:sz w:val="22"/>
                <w:szCs w:val="22"/>
                <w:lang w:val="nb-NO"/>
              </w:rPr>
            </w:pPr>
            <w:r w:rsidRPr="00887835">
              <w:rPr>
                <w:sz w:val="22"/>
                <w:szCs w:val="22"/>
                <w:lang w:val="nb-NO"/>
              </w:rPr>
              <w:t>Det anbefales at du bruker en antiseptisk vask daglig på de berørte områdene.</w:t>
            </w:r>
          </w:p>
          <w:p w14:paraId="3CD8410C" w14:textId="77777777" w:rsidR="00CF7F58" w:rsidRPr="00887835" w:rsidRDefault="00CF7F58" w:rsidP="003719E4">
            <w:pPr>
              <w:numPr>
                <w:ilvl w:val="12"/>
                <w:numId w:val="0"/>
              </w:numPr>
              <w:ind w:right="-2"/>
              <w:rPr>
                <w:sz w:val="22"/>
                <w:szCs w:val="22"/>
              </w:rPr>
            </w:pPr>
          </w:p>
        </w:tc>
      </w:tr>
      <w:tr w:rsidR="004644D4" w14:paraId="3A19CCF9" w14:textId="77777777" w:rsidTr="003719E4">
        <w:tc>
          <w:tcPr>
            <w:tcW w:w="3093" w:type="dxa"/>
          </w:tcPr>
          <w:p w14:paraId="07997B4D" w14:textId="77777777" w:rsidR="00CF7F58" w:rsidRPr="00DA6326" w:rsidRDefault="00E453CD" w:rsidP="00051DA6">
            <w:pPr>
              <w:keepNext/>
              <w:numPr>
                <w:ilvl w:val="12"/>
                <w:numId w:val="0"/>
              </w:numPr>
              <w:ind w:right="-2"/>
              <w:rPr>
                <w:sz w:val="22"/>
                <w:szCs w:val="22"/>
              </w:rPr>
            </w:pPr>
            <w:r w:rsidRPr="00F635CA">
              <w:rPr>
                <w:sz w:val="22"/>
                <w:szCs w:val="22"/>
              </w:rPr>
              <w:t xml:space="preserve">Ungdom fra 12 </w:t>
            </w:r>
            <w:r>
              <w:rPr>
                <w:sz w:val="22"/>
                <w:szCs w:val="22"/>
              </w:rPr>
              <w:t>til 17 </w:t>
            </w:r>
            <w:r w:rsidRPr="00F635CA">
              <w:rPr>
                <w:sz w:val="22"/>
                <w:szCs w:val="22"/>
              </w:rPr>
              <w:t xml:space="preserve">år </w:t>
            </w:r>
            <w:r w:rsidR="00657C69">
              <w:rPr>
                <w:sz w:val="22"/>
                <w:szCs w:val="22"/>
              </w:rPr>
              <w:t>som veier</w:t>
            </w:r>
            <w:r w:rsidRPr="00F635CA">
              <w:rPr>
                <w:sz w:val="22"/>
                <w:szCs w:val="22"/>
              </w:rPr>
              <w:t xml:space="preserve"> </w:t>
            </w:r>
            <w:r>
              <w:rPr>
                <w:sz w:val="22"/>
                <w:szCs w:val="22"/>
              </w:rPr>
              <w:t>30 </w:t>
            </w:r>
            <w:r w:rsidRPr="00F635CA">
              <w:rPr>
                <w:sz w:val="22"/>
                <w:szCs w:val="22"/>
              </w:rPr>
              <w:t>kg</w:t>
            </w:r>
            <w:r>
              <w:rPr>
                <w:sz w:val="22"/>
                <w:szCs w:val="22"/>
              </w:rPr>
              <w:t xml:space="preserve"> eller mer</w:t>
            </w:r>
          </w:p>
        </w:tc>
        <w:tc>
          <w:tcPr>
            <w:tcW w:w="3094" w:type="dxa"/>
          </w:tcPr>
          <w:p w14:paraId="261BE0D6" w14:textId="77777777" w:rsidR="00CF7F58" w:rsidRPr="00F635CA" w:rsidRDefault="00E453CD" w:rsidP="00051DA6">
            <w:pPr>
              <w:keepNext/>
              <w:numPr>
                <w:ilvl w:val="12"/>
                <w:numId w:val="0"/>
              </w:numPr>
              <w:ind w:right="-2"/>
              <w:rPr>
                <w:sz w:val="22"/>
                <w:szCs w:val="22"/>
              </w:rPr>
            </w:pPr>
            <w:r>
              <w:rPr>
                <w:sz w:val="22"/>
                <w:szCs w:val="22"/>
              </w:rPr>
              <w:t>Første dose på 80 </w:t>
            </w:r>
            <w:r w:rsidRPr="00F635CA">
              <w:rPr>
                <w:sz w:val="22"/>
                <w:szCs w:val="22"/>
              </w:rPr>
              <w:t>mg (</w:t>
            </w:r>
            <w:r w:rsidR="00BC07A2">
              <w:rPr>
                <w:sz w:val="22"/>
                <w:szCs w:val="22"/>
              </w:rPr>
              <w:t>é</w:t>
            </w:r>
            <w:r>
              <w:rPr>
                <w:sz w:val="22"/>
                <w:szCs w:val="22"/>
              </w:rPr>
              <w:t>n</w:t>
            </w:r>
            <w:r w:rsidRPr="00F635CA">
              <w:rPr>
                <w:sz w:val="22"/>
                <w:szCs w:val="22"/>
              </w:rPr>
              <w:t xml:space="preserve"> </w:t>
            </w:r>
            <w:r>
              <w:rPr>
                <w:sz w:val="22"/>
                <w:szCs w:val="22"/>
              </w:rPr>
              <w:t>80 mg injeksjon), etterfulgt av 40 </w:t>
            </w:r>
            <w:r w:rsidRPr="00F635CA">
              <w:rPr>
                <w:sz w:val="22"/>
                <w:szCs w:val="22"/>
              </w:rPr>
              <w:t xml:space="preserve">mg annenhver uke fra en uke senere. </w:t>
            </w:r>
          </w:p>
          <w:p w14:paraId="168D3D7F" w14:textId="77777777" w:rsidR="00CF7F58" w:rsidRPr="00F635CA" w:rsidRDefault="00CF7F58" w:rsidP="00051DA6">
            <w:pPr>
              <w:keepNext/>
              <w:numPr>
                <w:ilvl w:val="12"/>
                <w:numId w:val="0"/>
              </w:numPr>
              <w:ind w:right="-2"/>
              <w:rPr>
                <w:sz w:val="22"/>
                <w:szCs w:val="22"/>
              </w:rPr>
            </w:pPr>
          </w:p>
          <w:p w14:paraId="437CFD1D" w14:textId="77777777" w:rsidR="00CF7F58" w:rsidRPr="00887835" w:rsidRDefault="00CF7F58" w:rsidP="00051DA6">
            <w:pPr>
              <w:keepNext/>
              <w:numPr>
                <w:ilvl w:val="12"/>
                <w:numId w:val="0"/>
              </w:numPr>
              <w:ind w:right="-2"/>
              <w:rPr>
                <w:sz w:val="22"/>
                <w:szCs w:val="22"/>
              </w:rPr>
            </w:pPr>
          </w:p>
        </w:tc>
        <w:tc>
          <w:tcPr>
            <w:tcW w:w="3094" w:type="dxa"/>
          </w:tcPr>
          <w:p w14:paraId="2D07226B" w14:textId="77777777" w:rsidR="00CF7F58" w:rsidRDefault="00E453CD" w:rsidP="00051DA6">
            <w:pPr>
              <w:pStyle w:val="gtcbodytext"/>
              <w:keepNext/>
              <w:spacing w:before="100" w:beforeAutospacing="1" w:after="100" w:afterAutospacing="1" w:line="240" w:lineRule="auto"/>
              <w:contextualSpacing/>
              <w:rPr>
                <w:sz w:val="22"/>
                <w:szCs w:val="22"/>
                <w:lang w:val="nb-NO"/>
              </w:rPr>
            </w:pPr>
            <w:r w:rsidRPr="00DA6326">
              <w:rPr>
                <w:sz w:val="22"/>
                <w:szCs w:val="22"/>
                <w:lang w:val="nb-NO"/>
              </w:rPr>
              <w:t>Legen din kan øke dosering</w:t>
            </w:r>
            <w:r w:rsidR="00707BE4">
              <w:rPr>
                <w:sz w:val="22"/>
                <w:szCs w:val="22"/>
                <w:lang w:val="nb-NO"/>
              </w:rPr>
              <w:t>en</w:t>
            </w:r>
            <w:r w:rsidRPr="00DA6326">
              <w:rPr>
                <w:sz w:val="22"/>
                <w:szCs w:val="22"/>
                <w:lang w:val="nb-NO"/>
              </w:rPr>
              <w:t xml:space="preserve"> til 40</w:t>
            </w:r>
            <w:r>
              <w:rPr>
                <w:sz w:val="22"/>
                <w:szCs w:val="22"/>
                <w:lang w:val="nb-NO"/>
              </w:rPr>
              <w:t> </w:t>
            </w:r>
            <w:r w:rsidRPr="00DA6326">
              <w:rPr>
                <w:sz w:val="22"/>
                <w:szCs w:val="22"/>
                <w:lang w:val="nb-NO"/>
              </w:rPr>
              <w:t xml:space="preserve">mg hver uke </w:t>
            </w:r>
            <w:r w:rsidR="00707BE4">
              <w:rPr>
                <w:sz w:val="22"/>
                <w:szCs w:val="22"/>
                <w:lang w:val="nb-NO"/>
              </w:rPr>
              <w:t>eller 80</w:t>
            </w:r>
            <w:r w:rsidR="007C0306">
              <w:rPr>
                <w:sz w:val="22"/>
                <w:szCs w:val="22"/>
                <w:lang w:val="nb-NO"/>
              </w:rPr>
              <w:t> </w:t>
            </w:r>
            <w:r w:rsidR="00707BE4">
              <w:rPr>
                <w:sz w:val="22"/>
                <w:szCs w:val="22"/>
                <w:lang w:val="nb-NO"/>
              </w:rPr>
              <w:t xml:space="preserve">mg annenhver uke </w:t>
            </w:r>
            <w:r w:rsidRPr="00DA6326">
              <w:rPr>
                <w:sz w:val="22"/>
                <w:szCs w:val="22"/>
                <w:lang w:val="nb-NO"/>
              </w:rPr>
              <w:t>dersom du har utilstrekkelig respons</w:t>
            </w:r>
            <w:r w:rsidR="00707BE4">
              <w:rPr>
                <w:sz w:val="22"/>
                <w:szCs w:val="22"/>
                <w:lang w:val="nb-NO"/>
              </w:rPr>
              <w:t xml:space="preserve"> på 40</w:t>
            </w:r>
            <w:r w:rsidR="007C0306">
              <w:rPr>
                <w:sz w:val="22"/>
                <w:szCs w:val="22"/>
                <w:lang w:val="nb-NO"/>
              </w:rPr>
              <w:t> </w:t>
            </w:r>
            <w:r w:rsidR="00707BE4">
              <w:rPr>
                <w:sz w:val="22"/>
                <w:szCs w:val="22"/>
                <w:lang w:val="nb-NO"/>
              </w:rPr>
              <w:t>mg Humira annenhver uke</w:t>
            </w:r>
            <w:r w:rsidRPr="00DA6326">
              <w:rPr>
                <w:sz w:val="22"/>
                <w:szCs w:val="22"/>
                <w:lang w:val="nb-NO"/>
              </w:rPr>
              <w:t>.</w:t>
            </w:r>
          </w:p>
          <w:p w14:paraId="05C03765" w14:textId="77777777" w:rsidR="00CF7F58" w:rsidRPr="00887835" w:rsidRDefault="00E453CD" w:rsidP="00051DA6">
            <w:pPr>
              <w:pStyle w:val="gtcbodytext"/>
              <w:keepNext/>
              <w:spacing w:before="100" w:beforeAutospacing="1" w:after="100" w:afterAutospacing="1" w:line="240" w:lineRule="auto"/>
              <w:rPr>
                <w:sz w:val="22"/>
                <w:szCs w:val="22"/>
                <w:lang w:val="nb-NO"/>
              </w:rPr>
            </w:pPr>
            <w:r w:rsidRPr="00DA6326">
              <w:rPr>
                <w:sz w:val="22"/>
                <w:szCs w:val="22"/>
                <w:lang w:val="nb-NO"/>
              </w:rPr>
              <w:t>Det anbefales at du bruker en antiseptisk vask daglig på de berørte områdene.</w:t>
            </w:r>
          </w:p>
        </w:tc>
      </w:tr>
    </w:tbl>
    <w:p w14:paraId="0AD9378A" w14:textId="77777777" w:rsidR="00CF7F58" w:rsidRPr="00193D76" w:rsidRDefault="00CF7F58" w:rsidP="00CF7F58">
      <w:pPr>
        <w:autoSpaceDE w:val="0"/>
        <w:autoSpaceDN w:val="0"/>
        <w:adjustRightInd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3004"/>
        <w:gridCol w:w="3043"/>
      </w:tblGrid>
      <w:tr w:rsidR="004644D4" w14:paraId="55D75E16" w14:textId="77777777" w:rsidTr="003719E4">
        <w:tc>
          <w:tcPr>
            <w:tcW w:w="9281" w:type="dxa"/>
            <w:gridSpan w:val="3"/>
          </w:tcPr>
          <w:p w14:paraId="4A345CC2" w14:textId="77777777" w:rsidR="00CF7F58" w:rsidRPr="00887835" w:rsidRDefault="00E453CD" w:rsidP="004659B9">
            <w:pPr>
              <w:keepNext/>
              <w:numPr>
                <w:ilvl w:val="12"/>
                <w:numId w:val="0"/>
              </w:numPr>
              <w:ind w:right="-2"/>
              <w:rPr>
                <w:sz w:val="22"/>
                <w:szCs w:val="22"/>
                <w:lang w:val="en-GB"/>
              </w:rPr>
            </w:pPr>
            <w:r w:rsidRPr="00861F89">
              <w:rPr>
                <w:b/>
                <w:sz w:val="22"/>
                <w:szCs w:val="22"/>
                <w:lang w:val="en-GB"/>
              </w:rPr>
              <w:lastRenderedPageBreak/>
              <w:t>Crohn</w:t>
            </w:r>
            <w:r w:rsidRPr="00887835">
              <w:rPr>
                <w:b/>
                <w:sz w:val="22"/>
                <w:szCs w:val="22"/>
                <w:lang w:val="en-GB"/>
              </w:rPr>
              <w:t xml:space="preserve">s </w:t>
            </w:r>
            <w:r>
              <w:rPr>
                <w:b/>
                <w:sz w:val="22"/>
                <w:szCs w:val="22"/>
                <w:lang w:val="en-GB"/>
              </w:rPr>
              <w:t>sykdom</w:t>
            </w:r>
          </w:p>
        </w:tc>
      </w:tr>
      <w:tr w:rsidR="004644D4" w14:paraId="22ACC73E" w14:textId="77777777" w:rsidTr="003719E4">
        <w:tc>
          <w:tcPr>
            <w:tcW w:w="3093" w:type="dxa"/>
          </w:tcPr>
          <w:p w14:paraId="42414324" w14:textId="77777777" w:rsidR="00CF7F58" w:rsidRPr="00887835" w:rsidRDefault="00E453CD" w:rsidP="004659B9">
            <w:pPr>
              <w:keepNext/>
              <w:numPr>
                <w:ilvl w:val="12"/>
                <w:numId w:val="0"/>
              </w:numPr>
              <w:ind w:right="-2"/>
              <w:rPr>
                <w:sz w:val="22"/>
                <w:szCs w:val="22"/>
                <w:lang w:val="en-GB"/>
              </w:rPr>
            </w:pPr>
            <w:r w:rsidRPr="007830E7">
              <w:rPr>
                <w:b/>
                <w:sz w:val="22"/>
                <w:szCs w:val="22"/>
                <w:lang w:val="en-US"/>
              </w:rPr>
              <w:t>Alder eller kroppsvekt</w:t>
            </w:r>
          </w:p>
        </w:tc>
        <w:tc>
          <w:tcPr>
            <w:tcW w:w="3094" w:type="dxa"/>
          </w:tcPr>
          <w:p w14:paraId="5CB98B0D" w14:textId="77777777" w:rsidR="00CF7F58" w:rsidRPr="00887835" w:rsidRDefault="00E453CD" w:rsidP="004659B9">
            <w:pPr>
              <w:keepNext/>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55185CCB" w14:textId="77777777" w:rsidR="00CF7F58" w:rsidRPr="00887835" w:rsidRDefault="00E453CD" w:rsidP="004659B9">
            <w:pPr>
              <w:keepNext/>
              <w:numPr>
                <w:ilvl w:val="12"/>
                <w:numId w:val="0"/>
              </w:numPr>
              <w:ind w:right="-2"/>
              <w:rPr>
                <w:sz w:val="22"/>
                <w:szCs w:val="22"/>
                <w:lang w:val="en-GB"/>
              </w:rPr>
            </w:pPr>
            <w:r w:rsidRPr="007830E7">
              <w:rPr>
                <w:b/>
                <w:sz w:val="22"/>
                <w:szCs w:val="22"/>
                <w:lang w:val="en-US"/>
              </w:rPr>
              <w:t>Merknader</w:t>
            </w:r>
          </w:p>
        </w:tc>
      </w:tr>
      <w:tr w:rsidR="004644D4" w14:paraId="215C3338" w14:textId="77777777" w:rsidTr="003719E4">
        <w:tc>
          <w:tcPr>
            <w:tcW w:w="3093" w:type="dxa"/>
          </w:tcPr>
          <w:p w14:paraId="596453CA" w14:textId="77777777" w:rsidR="00CF7F58" w:rsidRPr="00887835" w:rsidRDefault="00E453CD" w:rsidP="008167D9">
            <w:pPr>
              <w:numPr>
                <w:ilvl w:val="12"/>
                <w:numId w:val="0"/>
              </w:numPr>
              <w:ind w:right="-2"/>
              <w:rPr>
                <w:sz w:val="22"/>
                <w:szCs w:val="22"/>
              </w:rPr>
            </w:pPr>
            <w:r w:rsidRPr="00887835">
              <w:rPr>
                <w:sz w:val="22"/>
                <w:szCs w:val="22"/>
              </w:rPr>
              <w:t>Barn</w:t>
            </w:r>
            <w:r w:rsidR="00185CBA">
              <w:rPr>
                <w:sz w:val="22"/>
                <w:szCs w:val="22"/>
              </w:rPr>
              <w:t>,</w:t>
            </w:r>
            <w:r w:rsidRPr="00887835">
              <w:rPr>
                <w:sz w:val="22"/>
                <w:szCs w:val="22"/>
              </w:rPr>
              <w:t xml:space="preserve"> ungdom </w:t>
            </w:r>
            <w:r w:rsidR="00185CBA">
              <w:rPr>
                <w:sz w:val="22"/>
                <w:szCs w:val="22"/>
              </w:rPr>
              <w:t xml:space="preserve">og voksne </w:t>
            </w:r>
            <w:r w:rsidR="008167D9">
              <w:rPr>
                <w:sz w:val="22"/>
                <w:szCs w:val="22"/>
              </w:rPr>
              <w:t>over</w:t>
            </w:r>
            <w:r w:rsidR="008167D9" w:rsidRPr="00887835">
              <w:rPr>
                <w:sz w:val="22"/>
                <w:szCs w:val="22"/>
              </w:rPr>
              <w:t xml:space="preserve"> </w:t>
            </w:r>
            <w:r w:rsidRPr="00887835">
              <w:rPr>
                <w:sz w:val="22"/>
                <w:szCs w:val="22"/>
              </w:rPr>
              <w:t>6 år som veier 40 kg eller mer</w:t>
            </w:r>
          </w:p>
        </w:tc>
        <w:tc>
          <w:tcPr>
            <w:tcW w:w="3094" w:type="dxa"/>
          </w:tcPr>
          <w:p w14:paraId="78EF440C" w14:textId="77777777" w:rsidR="00CF7F58" w:rsidRDefault="00E453CD" w:rsidP="003719E4">
            <w:pPr>
              <w:rPr>
                <w:sz w:val="22"/>
                <w:szCs w:val="22"/>
              </w:rPr>
            </w:pPr>
            <w:r>
              <w:rPr>
                <w:sz w:val="22"/>
                <w:szCs w:val="22"/>
              </w:rPr>
              <w:t>Første dose på 80 </w:t>
            </w:r>
            <w:r w:rsidRPr="004C7F6D">
              <w:rPr>
                <w:sz w:val="22"/>
                <w:szCs w:val="22"/>
              </w:rPr>
              <w:t>mg (</w:t>
            </w:r>
            <w:r w:rsidR="00BC07A2">
              <w:rPr>
                <w:sz w:val="22"/>
                <w:szCs w:val="22"/>
              </w:rPr>
              <w:t>é</w:t>
            </w:r>
            <w:r>
              <w:rPr>
                <w:sz w:val="22"/>
                <w:szCs w:val="22"/>
              </w:rPr>
              <w:t>n</w:t>
            </w:r>
            <w:r w:rsidRPr="00F635CA">
              <w:rPr>
                <w:sz w:val="22"/>
                <w:szCs w:val="22"/>
              </w:rPr>
              <w:t xml:space="preserve"> </w:t>
            </w:r>
            <w:r>
              <w:rPr>
                <w:sz w:val="22"/>
                <w:szCs w:val="22"/>
              </w:rPr>
              <w:t>80 mg injeksjon</w:t>
            </w:r>
            <w:r w:rsidRPr="004C7F6D">
              <w:rPr>
                <w:sz w:val="22"/>
                <w:szCs w:val="22"/>
              </w:rPr>
              <w:t xml:space="preserve">), etterfulgt </w:t>
            </w:r>
            <w:r>
              <w:rPr>
                <w:sz w:val="22"/>
                <w:szCs w:val="22"/>
              </w:rPr>
              <w:t>av 40 </w:t>
            </w:r>
            <w:r w:rsidRPr="00887835">
              <w:rPr>
                <w:sz w:val="22"/>
                <w:szCs w:val="22"/>
              </w:rPr>
              <w:t xml:space="preserve">mg to </w:t>
            </w:r>
            <w:r>
              <w:rPr>
                <w:sz w:val="22"/>
                <w:szCs w:val="22"/>
              </w:rPr>
              <w:t>uker senere</w:t>
            </w:r>
            <w:r w:rsidRPr="00887835">
              <w:rPr>
                <w:sz w:val="22"/>
                <w:szCs w:val="22"/>
              </w:rPr>
              <w:t>.</w:t>
            </w:r>
          </w:p>
          <w:p w14:paraId="0E126E22" w14:textId="77777777" w:rsidR="00CF7F58" w:rsidRPr="00887835" w:rsidRDefault="00CF7F58" w:rsidP="003719E4">
            <w:pPr>
              <w:rPr>
                <w:sz w:val="22"/>
                <w:szCs w:val="22"/>
              </w:rPr>
            </w:pPr>
          </w:p>
          <w:p w14:paraId="7417C5DF" w14:textId="77777777" w:rsidR="00CF7F58" w:rsidRDefault="00E453CD" w:rsidP="003719E4">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dose på 160</w:t>
            </w:r>
            <w:r>
              <w:rPr>
                <w:sz w:val="22"/>
                <w:szCs w:val="22"/>
              </w:rPr>
              <w:t> </w:t>
            </w:r>
            <w:r w:rsidRPr="004C7F6D">
              <w:rPr>
                <w:sz w:val="22"/>
                <w:szCs w:val="22"/>
              </w:rPr>
              <w:t>mg (</w:t>
            </w:r>
            <w:r>
              <w:rPr>
                <w:sz w:val="22"/>
                <w:szCs w:val="22"/>
              </w:rPr>
              <w:t>to</w:t>
            </w:r>
            <w:r w:rsidRPr="00887835">
              <w:rPr>
                <w:sz w:val="22"/>
                <w:szCs w:val="22"/>
              </w:rPr>
              <w:t xml:space="preserve"> </w:t>
            </w:r>
            <w:r>
              <w:rPr>
                <w:sz w:val="22"/>
                <w:szCs w:val="22"/>
              </w:rPr>
              <w:t>8</w:t>
            </w:r>
            <w:r w:rsidRPr="00887835">
              <w:rPr>
                <w:sz w:val="22"/>
                <w:szCs w:val="22"/>
              </w:rPr>
              <w:t>0</w:t>
            </w:r>
            <w:r>
              <w:rPr>
                <w:sz w:val="22"/>
                <w:szCs w:val="22"/>
              </w:rPr>
              <w:t> </w:t>
            </w:r>
            <w:r w:rsidRPr="00887835">
              <w:rPr>
                <w:sz w:val="22"/>
                <w:szCs w:val="22"/>
              </w:rPr>
              <w:t xml:space="preserve">mg </w:t>
            </w:r>
            <w:r w:rsidRPr="00062568">
              <w:rPr>
                <w:sz w:val="22"/>
                <w:szCs w:val="22"/>
              </w:rPr>
              <w:t>injeksjoner på én dag</w:t>
            </w:r>
            <w:r w:rsidRPr="00887835">
              <w:rPr>
                <w:sz w:val="22"/>
                <w:szCs w:val="22"/>
              </w:rPr>
              <w:t xml:space="preserve"> eller </w:t>
            </w:r>
            <w:r w:rsidR="00BC07A2">
              <w:rPr>
                <w:sz w:val="22"/>
                <w:szCs w:val="22"/>
              </w:rPr>
              <w:t>é</w:t>
            </w:r>
            <w:r>
              <w:rPr>
                <w:sz w:val="22"/>
                <w:szCs w:val="22"/>
              </w:rPr>
              <w:t>n</w:t>
            </w:r>
            <w:r w:rsidRPr="00887835">
              <w:rPr>
                <w:sz w:val="22"/>
                <w:szCs w:val="22"/>
              </w:rPr>
              <w:t xml:space="preserve"> </w:t>
            </w:r>
            <w:r>
              <w:rPr>
                <w:sz w:val="22"/>
                <w:szCs w:val="22"/>
              </w:rPr>
              <w:t>8</w:t>
            </w:r>
            <w:r w:rsidRPr="00887835">
              <w:rPr>
                <w:sz w:val="22"/>
                <w:szCs w:val="22"/>
              </w:rPr>
              <w:t>0</w:t>
            </w:r>
            <w:r>
              <w:rPr>
                <w:sz w:val="22"/>
                <w:szCs w:val="22"/>
              </w:rPr>
              <w:t> </w:t>
            </w:r>
            <w:r w:rsidRPr="00887835">
              <w:rPr>
                <w:sz w:val="22"/>
                <w:szCs w:val="22"/>
              </w:rPr>
              <w:t xml:space="preserve">mg injeksjon daglig </w:t>
            </w:r>
            <w:r w:rsidR="00953ADC">
              <w:rPr>
                <w:sz w:val="22"/>
                <w:szCs w:val="22"/>
              </w:rPr>
              <w:t>i</w:t>
            </w:r>
            <w:r w:rsidRPr="00887835">
              <w:rPr>
                <w:sz w:val="22"/>
                <w:szCs w:val="22"/>
              </w:rPr>
              <w:t xml:space="preserve"> to påfølgende dager</w:t>
            </w:r>
            <w:r w:rsidRPr="004C7F6D">
              <w:rPr>
                <w:sz w:val="22"/>
                <w:szCs w:val="22"/>
              </w:rPr>
              <w:t>), etterfulgt av 80</w:t>
            </w:r>
            <w:r>
              <w:rPr>
                <w:sz w:val="22"/>
                <w:szCs w:val="22"/>
              </w:rPr>
              <w:t> </w:t>
            </w:r>
            <w:r w:rsidRPr="004C7F6D">
              <w:rPr>
                <w:sz w:val="22"/>
                <w:szCs w:val="22"/>
              </w:rPr>
              <w:t>mg (</w:t>
            </w:r>
            <w:r w:rsidR="00BC07A2">
              <w:rPr>
                <w:sz w:val="22"/>
                <w:szCs w:val="22"/>
              </w:rPr>
              <w:t>é</w:t>
            </w:r>
            <w:r>
              <w:rPr>
                <w:sz w:val="22"/>
                <w:szCs w:val="22"/>
              </w:rPr>
              <w:t>n</w:t>
            </w:r>
            <w:r w:rsidRPr="00F635CA">
              <w:rPr>
                <w:sz w:val="22"/>
                <w:szCs w:val="22"/>
              </w:rPr>
              <w:t xml:space="preserve"> </w:t>
            </w:r>
            <w:r>
              <w:rPr>
                <w:sz w:val="22"/>
                <w:szCs w:val="22"/>
              </w:rPr>
              <w:t>80 mg injeksjon</w:t>
            </w:r>
            <w:r w:rsidRPr="004C7F6D">
              <w:rPr>
                <w:sz w:val="22"/>
                <w:szCs w:val="22"/>
              </w:rPr>
              <w:t>)</w:t>
            </w:r>
            <w:r>
              <w:rPr>
                <w:sz w:val="22"/>
                <w:szCs w:val="22"/>
              </w:rPr>
              <w:t xml:space="preserve"> </w:t>
            </w:r>
            <w:r w:rsidRPr="004C7F6D">
              <w:rPr>
                <w:sz w:val="22"/>
                <w:szCs w:val="22"/>
              </w:rPr>
              <w:t>to uker senere</w:t>
            </w:r>
            <w:r>
              <w:rPr>
                <w:sz w:val="22"/>
                <w:szCs w:val="22"/>
              </w:rPr>
              <w:t>.</w:t>
            </w:r>
          </w:p>
          <w:p w14:paraId="4F0EECB4" w14:textId="77777777" w:rsidR="00CF7F58" w:rsidRPr="00887835" w:rsidRDefault="00CF7F58" w:rsidP="003719E4">
            <w:pPr>
              <w:rPr>
                <w:sz w:val="22"/>
                <w:szCs w:val="22"/>
              </w:rPr>
            </w:pPr>
          </w:p>
          <w:p w14:paraId="0A9B966D" w14:textId="77777777" w:rsidR="00CF7F58" w:rsidRPr="00887835" w:rsidRDefault="00E453CD" w:rsidP="003719E4">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40 </w:t>
            </w:r>
            <w:r w:rsidRPr="004C7F6D">
              <w:rPr>
                <w:sz w:val="22"/>
                <w:szCs w:val="22"/>
              </w:rPr>
              <w:t>mg annenhver uke.</w:t>
            </w:r>
          </w:p>
        </w:tc>
        <w:tc>
          <w:tcPr>
            <w:tcW w:w="3094" w:type="dxa"/>
          </w:tcPr>
          <w:p w14:paraId="0DE68FB2" w14:textId="77777777" w:rsidR="00CF7F58" w:rsidRPr="00887835" w:rsidRDefault="00E453CD" w:rsidP="003719E4">
            <w:pPr>
              <w:spacing w:before="100" w:beforeAutospacing="1" w:after="100" w:afterAutospacing="1"/>
              <w:rPr>
                <w:sz w:val="22"/>
                <w:szCs w:val="22"/>
              </w:rPr>
            </w:pPr>
            <w:r w:rsidRPr="00887835">
              <w:rPr>
                <w:sz w:val="22"/>
                <w:szCs w:val="22"/>
              </w:rPr>
              <w:t>Legen din kan</w:t>
            </w:r>
            <w:r>
              <w:rPr>
                <w:sz w:val="22"/>
                <w:szCs w:val="22"/>
              </w:rPr>
              <w:t xml:space="preserve"> øke dosering</w:t>
            </w:r>
            <w:r w:rsidR="00707BE4">
              <w:rPr>
                <w:sz w:val="22"/>
                <w:szCs w:val="22"/>
              </w:rPr>
              <w:t>en</w:t>
            </w:r>
            <w:r>
              <w:rPr>
                <w:sz w:val="22"/>
                <w:szCs w:val="22"/>
              </w:rPr>
              <w:t xml:space="preserve"> til 40 </w:t>
            </w:r>
            <w:r w:rsidRPr="00887835">
              <w:rPr>
                <w:sz w:val="22"/>
                <w:szCs w:val="22"/>
              </w:rPr>
              <w:t>mg hver uke</w:t>
            </w:r>
            <w:r w:rsidR="00707BE4">
              <w:rPr>
                <w:sz w:val="22"/>
                <w:szCs w:val="22"/>
              </w:rPr>
              <w:t xml:space="preserve"> eller 80</w:t>
            </w:r>
            <w:r w:rsidR="00447942">
              <w:rPr>
                <w:sz w:val="22"/>
                <w:szCs w:val="22"/>
              </w:rPr>
              <w:t> </w:t>
            </w:r>
            <w:r w:rsidR="00707BE4">
              <w:rPr>
                <w:sz w:val="22"/>
                <w:szCs w:val="22"/>
              </w:rPr>
              <w:t>mg annenhver uke</w:t>
            </w:r>
            <w:r w:rsidRPr="00887835">
              <w:rPr>
                <w:sz w:val="22"/>
                <w:szCs w:val="22"/>
              </w:rPr>
              <w:t>.</w:t>
            </w:r>
          </w:p>
          <w:p w14:paraId="612346B3" w14:textId="77777777" w:rsidR="00CF7F58" w:rsidRPr="00887835" w:rsidRDefault="00CF7F58" w:rsidP="003719E4">
            <w:pPr>
              <w:spacing w:before="100" w:beforeAutospacing="1" w:after="100" w:afterAutospacing="1"/>
              <w:rPr>
                <w:sz w:val="22"/>
                <w:szCs w:val="22"/>
              </w:rPr>
            </w:pPr>
          </w:p>
        </w:tc>
      </w:tr>
      <w:tr w:rsidR="004644D4" w14:paraId="5BB293AD" w14:textId="77777777" w:rsidTr="003719E4">
        <w:tc>
          <w:tcPr>
            <w:tcW w:w="3093" w:type="dxa"/>
          </w:tcPr>
          <w:p w14:paraId="6925BE4A" w14:textId="77777777" w:rsidR="00CF7F58" w:rsidRPr="00887835" w:rsidRDefault="00E453CD" w:rsidP="00185CBA">
            <w:pPr>
              <w:numPr>
                <w:ilvl w:val="12"/>
                <w:numId w:val="0"/>
              </w:numPr>
              <w:ind w:right="-2"/>
              <w:rPr>
                <w:sz w:val="22"/>
                <w:szCs w:val="22"/>
              </w:rPr>
            </w:pPr>
            <w:r w:rsidRPr="004C7F6D">
              <w:rPr>
                <w:sz w:val="22"/>
                <w:szCs w:val="22"/>
              </w:rPr>
              <w:t>Barn og ungdom fra 6</w:t>
            </w:r>
            <w:r>
              <w:rPr>
                <w:sz w:val="22"/>
                <w:szCs w:val="22"/>
              </w:rPr>
              <w:t xml:space="preserve"> til 17 </w:t>
            </w:r>
            <w:r w:rsidRPr="004C7F6D">
              <w:rPr>
                <w:sz w:val="22"/>
                <w:szCs w:val="22"/>
              </w:rPr>
              <w:t xml:space="preserve">år som veier </w:t>
            </w:r>
            <w:r w:rsidR="00185CBA">
              <w:rPr>
                <w:sz w:val="22"/>
                <w:szCs w:val="22"/>
              </w:rPr>
              <w:t>under</w:t>
            </w:r>
            <w:r>
              <w:rPr>
                <w:sz w:val="22"/>
                <w:szCs w:val="22"/>
              </w:rPr>
              <w:t xml:space="preserve"> </w:t>
            </w:r>
            <w:r w:rsidRPr="004C7F6D">
              <w:rPr>
                <w:sz w:val="22"/>
                <w:szCs w:val="22"/>
              </w:rPr>
              <w:t>40 kg</w:t>
            </w:r>
          </w:p>
        </w:tc>
        <w:tc>
          <w:tcPr>
            <w:tcW w:w="3094" w:type="dxa"/>
          </w:tcPr>
          <w:p w14:paraId="6801F9A4" w14:textId="77777777" w:rsidR="00CF7F58" w:rsidRDefault="00E453CD" w:rsidP="003719E4">
            <w:pPr>
              <w:rPr>
                <w:sz w:val="22"/>
                <w:szCs w:val="22"/>
              </w:rPr>
            </w:pPr>
            <w:r w:rsidRPr="00887835">
              <w:rPr>
                <w:sz w:val="22"/>
                <w:szCs w:val="22"/>
              </w:rPr>
              <w:t>F</w:t>
            </w:r>
            <w:r>
              <w:rPr>
                <w:sz w:val="22"/>
                <w:szCs w:val="22"/>
              </w:rPr>
              <w:t>ørste dose på 40 mg, etterfulgt av 20 </w:t>
            </w:r>
            <w:r w:rsidRPr="00887835">
              <w:rPr>
                <w:sz w:val="22"/>
                <w:szCs w:val="22"/>
              </w:rPr>
              <w:t xml:space="preserve">mg to </w:t>
            </w:r>
            <w:r>
              <w:rPr>
                <w:sz w:val="22"/>
                <w:szCs w:val="22"/>
              </w:rPr>
              <w:t>uker senere</w:t>
            </w:r>
            <w:r w:rsidRPr="00887835">
              <w:rPr>
                <w:sz w:val="22"/>
                <w:szCs w:val="22"/>
              </w:rPr>
              <w:t xml:space="preserve">. </w:t>
            </w:r>
          </w:p>
          <w:p w14:paraId="2ED303D6" w14:textId="77777777" w:rsidR="00CF7F58" w:rsidRPr="00887835" w:rsidRDefault="00CF7F58" w:rsidP="003719E4">
            <w:pPr>
              <w:rPr>
                <w:sz w:val="22"/>
                <w:szCs w:val="22"/>
              </w:rPr>
            </w:pPr>
          </w:p>
          <w:p w14:paraId="7046FADC" w14:textId="77777777" w:rsidR="00CF7F58" w:rsidRDefault="00E453CD" w:rsidP="003719E4">
            <w:pPr>
              <w:rPr>
                <w:sz w:val="22"/>
                <w:szCs w:val="22"/>
              </w:rPr>
            </w:pPr>
            <w:r>
              <w:rPr>
                <w:sz w:val="22"/>
                <w:szCs w:val="22"/>
              </w:rPr>
              <w:t>Dersom</w:t>
            </w:r>
            <w:r w:rsidRPr="004C7F6D">
              <w:rPr>
                <w:sz w:val="22"/>
                <w:szCs w:val="22"/>
              </w:rPr>
              <w:t xml:space="preserve"> det er behov for en raskere respons, kan legen din forskrive en </w:t>
            </w:r>
            <w:r>
              <w:rPr>
                <w:sz w:val="22"/>
                <w:szCs w:val="22"/>
              </w:rPr>
              <w:t xml:space="preserve">første </w:t>
            </w:r>
            <w:r w:rsidRPr="004C7F6D">
              <w:rPr>
                <w:sz w:val="22"/>
                <w:szCs w:val="22"/>
              </w:rPr>
              <w:t>dose på</w:t>
            </w:r>
            <w:r>
              <w:rPr>
                <w:sz w:val="22"/>
                <w:szCs w:val="22"/>
              </w:rPr>
              <w:t xml:space="preserve"> 80 </w:t>
            </w:r>
            <w:r w:rsidRPr="00887835">
              <w:rPr>
                <w:sz w:val="22"/>
                <w:szCs w:val="22"/>
              </w:rPr>
              <w:t>mg (</w:t>
            </w:r>
            <w:r w:rsidR="00BC07A2">
              <w:rPr>
                <w:sz w:val="22"/>
                <w:szCs w:val="22"/>
              </w:rPr>
              <w:t>é</w:t>
            </w:r>
            <w:r>
              <w:rPr>
                <w:sz w:val="22"/>
                <w:szCs w:val="22"/>
              </w:rPr>
              <w:t>n</w:t>
            </w:r>
            <w:r w:rsidRPr="00F635CA">
              <w:rPr>
                <w:sz w:val="22"/>
                <w:szCs w:val="22"/>
              </w:rPr>
              <w:t xml:space="preserve"> </w:t>
            </w:r>
            <w:r>
              <w:rPr>
                <w:sz w:val="22"/>
                <w:szCs w:val="22"/>
              </w:rPr>
              <w:t>80 mg injeksjon</w:t>
            </w:r>
            <w:r w:rsidRPr="00887835">
              <w:rPr>
                <w:sz w:val="22"/>
                <w:szCs w:val="22"/>
              </w:rPr>
              <w:t xml:space="preserve">), </w:t>
            </w:r>
            <w:r>
              <w:rPr>
                <w:sz w:val="22"/>
                <w:szCs w:val="22"/>
              </w:rPr>
              <w:t>etterfulgt av</w:t>
            </w:r>
            <w:r w:rsidRPr="00887835">
              <w:rPr>
                <w:sz w:val="22"/>
                <w:szCs w:val="22"/>
              </w:rPr>
              <w:t xml:space="preserve"> 40</w:t>
            </w:r>
            <w:r>
              <w:rPr>
                <w:sz w:val="22"/>
                <w:szCs w:val="22"/>
              </w:rPr>
              <w:t> </w:t>
            </w:r>
            <w:r w:rsidRPr="00887835">
              <w:rPr>
                <w:sz w:val="22"/>
                <w:szCs w:val="22"/>
              </w:rPr>
              <w:t xml:space="preserve">mg to </w:t>
            </w:r>
            <w:r>
              <w:rPr>
                <w:sz w:val="22"/>
                <w:szCs w:val="22"/>
              </w:rPr>
              <w:t>uker senere</w:t>
            </w:r>
            <w:r w:rsidRPr="00887835">
              <w:rPr>
                <w:sz w:val="22"/>
                <w:szCs w:val="22"/>
              </w:rPr>
              <w:t>.</w:t>
            </w:r>
          </w:p>
          <w:p w14:paraId="6E12CD1E" w14:textId="77777777" w:rsidR="00CF7F58" w:rsidRPr="00887835" w:rsidRDefault="00CF7F58" w:rsidP="003719E4">
            <w:pPr>
              <w:rPr>
                <w:sz w:val="22"/>
                <w:szCs w:val="22"/>
              </w:rPr>
            </w:pPr>
          </w:p>
          <w:p w14:paraId="6253FA32" w14:textId="77777777" w:rsidR="00CF7F58" w:rsidRPr="00887835" w:rsidRDefault="00E453CD">
            <w:pPr>
              <w:numPr>
                <w:ilvl w:val="12"/>
                <w:numId w:val="0"/>
              </w:numPr>
              <w:ind w:right="-2"/>
              <w:rPr>
                <w:sz w:val="22"/>
                <w:szCs w:val="22"/>
              </w:rPr>
            </w:pPr>
            <w:r>
              <w:rPr>
                <w:sz w:val="22"/>
                <w:szCs w:val="22"/>
              </w:rPr>
              <w:t>D</w:t>
            </w:r>
            <w:r w:rsidRPr="004C7F6D">
              <w:rPr>
                <w:sz w:val="22"/>
                <w:szCs w:val="22"/>
              </w:rPr>
              <w:t xml:space="preserve">eretter </w:t>
            </w:r>
            <w:r>
              <w:rPr>
                <w:sz w:val="22"/>
                <w:szCs w:val="22"/>
              </w:rPr>
              <w:t>er vanlig dose 20 </w:t>
            </w:r>
            <w:r w:rsidRPr="004C7F6D">
              <w:rPr>
                <w:sz w:val="22"/>
                <w:szCs w:val="22"/>
              </w:rPr>
              <w:t>mg annenhver uke.</w:t>
            </w:r>
          </w:p>
        </w:tc>
        <w:tc>
          <w:tcPr>
            <w:tcW w:w="3094" w:type="dxa"/>
          </w:tcPr>
          <w:p w14:paraId="4AB24B92" w14:textId="77777777" w:rsidR="00CF7F58" w:rsidRPr="00887835" w:rsidRDefault="00E453CD" w:rsidP="003719E4">
            <w:pPr>
              <w:spacing w:before="100" w:beforeAutospacing="1" w:after="100" w:afterAutospacing="1"/>
              <w:rPr>
                <w:sz w:val="22"/>
                <w:szCs w:val="22"/>
              </w:rPr>
            </w:pPr>
            <w:r w:rsidRPr="009C5EFD">
              <w:rPr>
                <w:sz w:val="22"/>
                <w:szCs w:val="22"/>
              </w:rPr>
              <w:t xml:space="preserve">Legen din kan øke doseringsfrekvensen til </w:t>
            </w:r>
            <w:r>
              <w:rPr>
                <w:sz w:val="22"/>
                <w:szCs w:val="22"/>
              </w:rPr>
              <w:t>2</w:t>
            </w:r>
            <w:r w:rsidRPr="009C5EFD">
              <w:rPr>
                <w:sz w:val="22"/>
                <w:szCs w:val="22"/>
              </w:rPr>
              <w:t>0</w:t>
            </w:r>
            <w:r>
              <w:rPr>
                <w:sz w:val="22"/>
                <w:szCs w:val="22"/>
              </w:rPr>
              <w:t> </w:t>
            </w:r>
            <w:r w:rsidRPr="009C5EFD">
              <w:rPr>
                <w:sz w:val="22"/>
                <w:szCs w:val="22"/>
              </w:rPr>
              <w:t>mg hver uke</w:t>
            </w:r>
            <w:r w:rsidRPr="00887835">
              <w:rPr>
                <w:sz w:val="22"/>
                <w:szCs w:val="22"/>
              </w:rPr>
              <w:t>.</w:t>
            </w:r>
          </w:p>
          <w:p w14:paraId="350A0019" w14:textId="77777777" w:rsidR="00CF7F58" w:rsidRPr="00887835" w:rsidRDefault="00CF7F58" w:rsidP="003719E4">
            <w:pPr>
              <w:numPr>
                <w:ilvl w:val="12"/>
                <w:numId w:val="0"/>
              </w:numPr>
              <w:spacing w:before="100" w:beforeAutospacing="1" w:after="100" w:afterAutospacing="1"/>
              <w:ind w:right="-2"/>
              <w:rPr>
                <w:sz w:val="22"/>
                <w:szCs w:val="22"/>
              </w:rPr>
            </w:pPr>
          </w:p>
        </w:tc>
      </w:tr>
    </w:tbl>
    <w:p w14:paraId="6CD83075" w14:textId="77777777" w:rsidR="00CF7F58" w:rsidRPr="00861F89" w:rsidRDefault="00CF7F58" w:rsidP="00CF7F58">
      <w:pPr>
        <w:suppressAutoHyphen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6"/>
        <w:gridCol w:w="3020"/>
      </w:tblGrid>
      <w:tr w:rsidR="004644D4" w14:paraId="5BC8AA17" w14:textId="77777777" w:rsidTr="003719E4">
        <w:tc>
          <w:tcPr>
            <w:tcW w:w="9281" w:type="dxa"/>
            <w:gridSpan w:val="3"/>
          </w:tcPr>
          <w:p w14:paraId="3CC7E5D3" w14:textId="77777777" w:rsidR="00CF7F58" w:rsidRPr="00887835" w:rsidRDefault="00E453CD" w:rsidP="003764A0">
            <w:pPr>
              <w:numPr>
                <w:ilvl w:val="12"/>
                <w:numId w:val="0"/>
              </w:numPr>
              <w:ind w:right="-2"/>
              <w:rPr>
                <w:b/>
                <w:sz w:val="22"/>
                <w:szCs w:val="22"/>
                <w:lang w:val="en-GB"/>
              </w:rPr>
            </w:pPr>
            <w:r>
              <w:rPr>
                <w:b/>
                <w:sz w:val="22"/>
                <w:szCs w:val="22"/>
              </w:rPr>
              <w:t>U</w:t>
            </w:r>
            <w:r w:rsidRPr="003D2742">
              <w:rPr>
                <w:b/>
                <w:sz w:val="22"/>
                <w:szCs w:val="22"/>
              </w:rPr>
              <w:t>lcerøs kolitt</w:t>
            </w:r>
          </w:p>
        </w:tc>
      </w:tr>
      <w:tr w:rsidR="004644D4" w14:paraId="3F1F1B84" w14:textId="77777777" w:rsidTr="003719E4">
        <w:tc>
          <w:tcPr>
            <w:tcW w:w="3093" w:type="dxa"/>
          </w:tcPr>
          <w:p w14:paraId="3C321769" w14:textId="77777777" w:rsidR="00CF7F58" w:rsidRPr="00887835" w:rsidRDefault="00E453CD" w:rsidP="003764A0">
            <w:pPr>
              <w:numPr>
                <w:ilvl w:val="12"/>
                <w:numId w:val="0"/>
              </w:numPr>
              <w:ind w:right="-2"/>
              <w:rPr>
                <w:sz w:val="22"/>
                <w:szCs w:val="22"/>
                <w:lang w:val="en-GB"/>
              </w:rPr>
            </w:pPr>
            <w:r w:rsidRPr="007830E7">
              <w:rPr>
                <w:b/>
                <w:sz w:val="22"/>
                <w:szCs w:val="22"/>
                <w:lang w:val="en-US"/>
              </w:rPr>
              <w:t>Alder eller kroppsvekt</w:t>
            </w:r>
          </w:p>
        </w:tc>
        <w:tc>
          <w:tcPr>
            <w:tcW w:w="3094" w:type="dxa"/>
          </w:tcPr>
          <w:p w14:paraId="68B8F5ED" w14:textId="77777777" w:rsidR="00CF7F58" w:rsidRPr="00887835" w:rsidRDefault="00E453CD" w:rsidP="003764A0">
            <w:pPr>
              <w:numPr>
                <w:ilvl w:val="12"/>
                <w:numId w:val="0"/>
              </w:numPr>
              <w:ind w:right="-2"/>
              <w:rPr>
                <w:sz w:val="22"/>
                <w:szCs w:val="22"/>
              </w:rPr>
            </w:pPr>
            <w:r w:rsidRPr="007830E7">
              <w:rPr>
                <w:b/>
                <w:sz w:val="22"/>
                <w:szCs w:val="22"/>
              </w:rPr>
              <w:t xml:space="preserve">Hvor mye og hvor ofte du </w:t>
            </w:r>
            <w:r>
              <w:rPr>
                <w:b/>
                <w:sz w:val="22"/>
                <w:szCs w:val="22"/>
              </w:rPr>
              <w:t>skal ta</w:t>
            </w:r>
            <w:r w:rsidRPr="007830E7">
              <w:rPr>
                <w:b/>
                <w:sz w:val="22"/>
                <w:szCs w:val="22"/>
              </w:rPr>
              <w:t>?</w:t>
            </w:r>
          </w:p>
        </w:tc>
        <w:tc>
          <w:tcPr>
            <w:tcW w:w="3094" w:type="dxa"/>
          </w:tcPr>
          <w:p w14:paraId="1ABF7CB0" w14:textId="77777777" w:rsidR="00CF7F58" w:rsidRPr="00887835" w:rsidRDefault="00E453CD" w:rsidP="003764A0">
            <w:pPr>
              <w:numPr>
                <w:ilvl w:val="12"/>
                <w:numId w:val="0"/>
              </w:numPr>
              <w:ind w:right="-2"/>
              <w:rPr>
                <w:sz w:val="22"/>
                <w:szCs w:val="22"/>
                <w:lang w:val="en-GB"/>
              </w:rPr>
            </w:pPr>
            <w:r w:rsidRPr="007830E7">
              <w:rPr>
                <w:b/>
                <w:sz w:val="22"/>
                <w:szCs w:val="22"/>
                <w:lang w:val="en-US"/>
              </w:rPr>
              <w:t>Merknader</w:t>
            </w:r>
          </w:p>
        </w:tc>
      </w:tr>
      <w:tr w:rsidR="004644D4" w14:paraId="693E3190" w14:textId="77777777" w:rsidTr="003719E4">
        <w:tc>
          <w:tcPr>
            <w:tcW w:w="3093" w:type="dxa"/>
          </w:tcPr>
          <w:p w14:paraId="276F7DE8" w14:textId="77777777" w:rsidR="00CF7F58" w:rsidRPr="00887835" w:rsidRDefault="00E453CD" w:rsidP="003764A0">
            <w:pPr>
              <w:numPr>
                <w:ilvl w:val="12"/>
                <w:numId w:val="0"/>
              </w:numPr>
              <w:ind w:right="-2"/>
              <w:rPr>
                <w:sz w:val="22"/>
                <w:szCs w:val="22"/>
                <w:lang w:val="en-GB"/>
              </w:rPr>
            </w:pPr>
            <w:r>
              <w:rPr>
                <w:sz w:val="22"/>
                <w:szCs w:val="22"/>
              </w:rPr>
              <w:t>Voksne</w:t>
            </w:r>
          </w:p>
        </w:tc>
        <w:tc>
          <w:tcPr>
            <w:tcW w:w="3094" w:type="dxa"/>
          </w:tcPr>
          <w:p w14:paraId="7B3DF6C8" w14:textId="77777777" w:rsidR="00CF7F58" w:rsidRDefault="00E453CD" w:rsidP="003764A0">
            <w:pPr>
              <w:numPr>
                <w:ilvl w:val="12"/>
                <w:numId w:val="0"/>
              </w:numPr>
              <w:rPr>
                <w:sz w:val="22"/>
                <w:szCs w:val="22"/>
              </w:rPr>
            </w:pPr>
            <w:r>
              <w:rPr>
                <w:sz w:val="22"/>
                <w:szCs w:val="22"/>
              </w:rPr>
              <w:t>Første dose på 160 </w:t>
            </w:r>
            <w:r w:rsidRPr="00887835">
              <w:rPr>
                <w:sz w:val="22"/>
                <w:szCs w:val="22"/>
              </w:rPr>
              <w:t>mg (</w:t>
            </w:r>
            <w:r>
              <w:rPr>
                <w:sz w:val="22"/>
                <w:szCs w:val="22"/>
              </w:rPr>
              <w:t>to</w:t>
            </w:r>
            <w:r w:rsidRPr="00887835">
              <w:rPr>
                <w:sz w:val="22"/>
                <w:szCs w:val="22"/>
              </w:rPr>
              <w:t xml:space="preserve"> </w:t>
            </w:r>
            <w:r>
              <w:rPr>
                <w:sz w:val="22"/>
                <w:szCs w:val="22"/>
              </w:rPr>
              <w:t>8</w:t>
            </w:r>
            <w:r w:rsidRPr="00887835">
              <w:rPr>
                <w:sz w:val="22"/>
                <w:szCs w:val="22"/>
              </w:rPr>
              <w:t>0</w:t>
            </w:r>
            <w:r>
              <w:rPr>
                <w:sz w:val="22"/>
                <w:szCs w:val="22"/>
              </w:rPr>
              <w:t> </w:t>
            </w:r>
            <w:r w:rsidRPr="00887835">
              <w:rPr>
                <w:sz w:val="22"/>
                <w:szCs w:val="22"/>
              </w:rPr>
              <w:t xml:space="preserve">mg </w:t>
            </w:r>
            <w:r w:rsidRPr="00062568">
              <w:rPr>
                <w:sz w:val="22"/>
                <w:szCs w:val="22"/>
              </w:rPr>
              <w:t>injeksjoner på én dag</w:t>
            </w:r>
            <w:r w:rsidRPr="00887835">
              <w:rPr>
                <w:sz w:val="22"/>
                <w:szCs w:val="22"/>
              </w:rPr>
              <w:t xml:space="preserve"> eller </w:t>
            </w:r>
            <w:r w:rsidR="00BC07A2">
              <w:rPr>
                <w:sz w:val="22"/>
                <w:szCs w:val="22"/>
              </w:rPr>
              <w:t>é</w:t>
            </w:r>
            <w:r>
              <w:rPr>
                <w:sz w:val="22"/>
                <w:szCs w:val="22"/>
              </w:rPr>
              <w:t>n</w:t>
            </w:r>
            <w:r w:rsidRPr="00887835">
              <w:rPr>
                <w:sz w:val="22"/>
                <w:szCs w:val="22"/>
              </w:rPr>
              <w:t xml:space="preserve"> </w:t>
            </w:r>
            <w:r>
              <w:rPr>
                <w:sz w:val="22"/>
                <w:szCs w:val="22"/>
              </w:rPr>
              <w:t>8</w:t>
            </w:r>
            <w:r w:rsidRPr="00887835">
              <w:rPr>
                <w:sz w:val="22"/>
                <w:szCs w:val="22"/>
              </w:rPr>
              <w:t>0</w:t>
            </w:r>
            <w:r>
              <w:rPr>
                <w:sz w:val="22"/>
                <w:szCs w:val="22"/>
              </w:rPr>
              <w:t> </w:t>
            </w:r>
            <w:r w:rsidRPr="00887835">
              <w:rPr>
                <w:sz w:val="22"/>
                <w:szCs w:val="22"/>
              </w:rPr>
              <w:t xml:space="preserve">mg injeksjon daglig </w:t>
            </w:r>
            <w:r w:rsidR="00953ADC">
              <w:rPr>
                <w:sz w:val="22"/>
                <w:szCs w:val="22"/>
              </w:rPr>
              <w:t>i</w:t>
            </w:r>
            <w:r w:rsidRPr="00887835">
              <w:rPr>
                <w:sz w:val="22"/>
                <w:szCs w:val="22"/>
              </w:rPr>
              <w:t xml:space="preserve"> to påfølgende dager), etterfulgt av 80</w:t>
            </w:r>
            <w:r>
              <w:rPr>
                <w:sz w:val="22"/>
                <w:szCs w:val="22"/>
              </w:rPr>
              <w:t> </w:t>
            </w:r>
            <w:r w:rsidRPr="00887835">
              <w:rPr>
                <w:sz w:val="22"/>
                <w:szCs w:val="22"/>
              </w:rPr>
              <w:t>mg (</w:t>
            </w:r>
            <w:r w:rsidR="00BC07A2">
              <w:rPr>
                <w:sz w:val="22"/>
                <w:szCs w:val="22"/>
              </w:rPr>
              <w:t>é</w:t>
            </w:r>
            <w:r>
              <w:rPr>
                <w:sz w:val="22"/>
                <w:szCs w:val="22"/>
              </w:rPr>
              <w:t>n</w:t>
            </w:r>
            <w:r w:rsidRPr="00F635CA">
              <w:rPr>
                <w:sz w:val="22"/>
                <w:szCs w:val="22"/>
              </w:rPr>
              <w:t xml:space="preserve"> </w:t>
            </w:r>
            <w:r>
              <w:rPr>
                <w:sz w:val="22"/>
                <w:szCs w:val="22"/>
              </w:rPr>
              <w:t>80 mg injeksjon</w:t>
            </w:r>
            <w:r w:rsidRPr="00887835">
              <w:rPr>
                <w:sz w:val="22"/>
                <w:szCs w:val="22"/>
              </w:rPr>
              <w:t>) to uker senere.</w:t>
            </w:r>
          </w:p>
          <w:p w14:paraId="13315E21" w14:textId="77777777" w:rsidR="00CF7F58" w:rsidRPr="00887835" w:rsidRDefault="00CF7F58" w:rsidP="003764A0">
            <w:pPr>
              <w:numPr>
                <w:ilvl w:val="12"/>
                <w:numId w:val="0"/>
              </w:numPr>
              <w:rPr>
                <w:sz w:val="22"/>
                <w:szCs w:val="22"/>
              </w:rPr>
            </w:pPr>
          </w:p>
          <w:p w14:paraId="67F4DB0C" w14:textId="77777777" w:rsidR="00CF7F58" w:rsidRPr="00887835" w:rsidRDefault="00E453CD" w:rsidP="003764A0">
            <w:pPr>
              <w:numPr>
                <w:ilvl w:val="12"/>
                <w:numId w:val="0"/>
              </w:numPr>
              <w:rPr>
                <w:sz w:val="22"/>
                <w:szCs w:val="22"/>
              </w:rPr>
            </w:pPr>
            <w:r>
              <w:rPr>
                <w:sz w:val="22"/>
                <w:szCs w:val="22"/>
              </w:rPr>
              <w:t>D</w:t>
            </w:r>
            <w:r w:rsidRPr="004C7F6D">
              <w:rPr>
                <w:sz w:val="22"/>
                <w:szCs w:val="22"/>
              </w:rPr>
              <w:t xml:space="preserve">eretter </w:t>
            </w:r>
            <w:r>
              <w:rPr>
                <w:sz w:val="22"/>
                <w:szCs w:val="22"/>
              </w:rPr>
              <w:t xml:space="preserve">er vanlig dose </w:t>
            </w:r>
            <w:r w:rsidRPr="004C7F6D">
              <w:rPr>
                <w:sz w:val="22"/>
                <w:szCs w:val="22"/>
              </w:rPr>
              <w:t>40</w:t>
            </w:r>
            <w:r>
              <w:rPr>
                <w:sz w:val="22"/>
                <w:szCs w:val="22"/>
              </w:rPr>
              <w:t> </w:t>
            </w:r>
            <w:r w:rsidRPr="004C7F6D">
              <w:rPr>
                <w:sz w:val="22"/>
                <w:szCs w:val="22"/>
              </w:rPr>
              <w:t>mg annenhver uke</w:t>
            </w:r>
            <w:r>
              <w:rPr>
                <w:sz w:val="22"/>
                <w:szCs w:val="22"/>
              </w:rPr>
              <w:t>.</w:t>
            </w:r>
          </w:p>
        </w:tc>
        <w:tc>
          <w:tcPr>
            <w:tcW w:w="3094" w:type="dxa"/>
          </w:tcPr>
          <w:p w14:paraId="37844B01" w14:textId="77777777" w:rsidR="00CF7F58" w:rsidRPr="00887835" w:rsidRDefault="00E453CD" w:rsidP="003764A0">
            <w:pPr>
              <w:numPr>
                <w:ilvl w:val="12"/>
                <w:numId w:val="0"/>
              </w:numPr>
              <w:ind w:right="-2"/>
              <w:rPr>
                <w:sz w:val="22"/>
                <w:szCs w:val="22"/>
              </w:rPr>
            </w:pPr>
            <w:r w:rsidRPr="004C7F6D">
              <w:rPr>
                <w:sz w:val="22"/>
                <w:szCs w:val="22"/>
              </w:rPr>
              <w:t>Legen din kan øke dosering</w:t>
            </w:r>
            <w:r w:rsidR="00707BE4">
              <w:rPr>
                <w:sz w:val="22"/>
                <w:szCs w:val="22"/>
              </w:rPr>
              <w:t>en</w:t>
            </w:r>
            <w:r w:rsidRPr="004C7F6D">
              <w:rPr>
                <w:sz w:val="22"/>
                <w:szCs w:val="22"/>
              </w:rPr>
              <w:t xml:space="preserve"> til 40</w:t>
            </w:r>
            <w:r>
              <w:rPr>
                <w:sz w:val="22"/>
                <w:szCs w:val="22"/>
              </w:rPr>
              <w:t> </w:t>
            </w:r>
            <w:r w:rsidRPr="004C7F6D">
              <w:rPr>
                <w:sz w:val="22"/>
                <w:szCs w:val="22"/>
              </w:rPr>
              <w:t>mg hver uke</w:t>
            </w:r>
            <w:r w:rsidR="00707BE4">
              <w:rPr>
                <w:sz w:val="22"/>
                <w:szCs w:val="22"/>
              </w:rPr>
              <w:t xml:space="preserve"> eller 80</w:t>
            </w:r>
            <w:r w:rsidR="00447942">
              <w:rPr>
                <w:sz w:val="22"/>
                <w:szCs w:val="22"/>
              </w:rPr>
              <w:t> </w:t>
            </w:r>
            <w:r w:rsidR="00707BE4">
              <w:rPr>
                <w:sz w:val="22"/>
                <w:szCs w:val="22"/>
              </w:rPr>
              <w:t>mg annenhver uke</w:t>
            </w:r>
            <w:r w:rsidRPr="00887835">
              <w:rPr>
                <w:sz w:val="22"/>
                <w:szCs w:val="22"/>
              </w:rPr>
              <w:t>.</w:t>
            </w:r>
          </w:p>
        </w:tc>
      </w:tr>
      <w:tr w:rsidR="004644D4" w14:paraId="4B84D836" w14:textId="77777777" w:rsidTr="003719E4">
        <w:tc>
          <w:tcPr>
            <w:tcW w:w="3093" w:type="dxa"/>
          </w:tcPr>
          <w:p w14:paraId="1200571A" w14:textId="77777777" w:rsidR="007312D9" w:rsidRPr="007312D9" w:rsidRDefault="00E453CD" w:rsidP="003764A0">
            <w:pPr>
              <w:numPr>
                <w:ilvl w:val="12"/>
                <w:numId w:val="0"/>
              </w:numPr>
              <w:ind w:right="-2"/>
              <w:rPr>
                <w:sz w:val="22"/>
                <w:szCs w:val="22"/>
              </w:rPr>
            </w:pPr>
            <w:r w:rsidRPr="00E04B2A">
              <w:rPr>
                <w:sz w:val="22"/>
              </w:rPr>
              <w:t xml:space="preserve">Barn og ungdom fra 6 år som veier </w:t>
            </w:r>
            <w:r w:rsidR="002E0B5C">
              <w:rPr>
                <w:sz w:val="22"/>
              </w:rPr>
              <w:t>under</w:t>
            </w:r>
            <w:r w:rsidRPr="00E04B2A">
              <w:rPr>
                <w:sz w:val="22"/>
              </w:rPr>
              <w:t xml:space="preserve"> 40 kg</w:t>
            </w:r>
          </w:p>
        </w:tc>
        <w:tc>
          <w:tcPr>
            <w:tcW w:w="3094" w:type="dxa"/>
          </w:tcPr>
          <w:p w14:paraId="321A489A" w14:textId="77777777" w:rsidR="007312D9" w:rsidRPr="00E04B2A" w:rsidRDefault="00E453CD" w:rsidP="003764A0">
            <w:pPr>
              <w:numPr>
                <w:ilvl w:val="12"/>
                <w:numId w:val="0"/>
              </w:numPr>
              <w:rPr>
                <w:sz w:val="22"/>
              </w:rPr>
            </w:pPr>
            <w:r w:rsidRPr="00E04B2A">
              <w:rPr>
                <w:sz w:val="22"/>
              </w:rPr>
              <w:t>Første dose på 80 mg (én 80 mg injeksjon), etterfulgt av 40 mg (én 40 mg injeksjon) to uker senere.</w:t>
            </w:r>
          </w:p>
          <w:p w14:paraId="356012B7" w14:textId="77777777" w:rsidR="007312D9" w:rsidRPr="00E04B2A" w:rsidRDefault="007312D9" w:rsidP="003764A0">
            <w:pPr>
              <w:numPr>
                <w:ilvl w:val="12"/>
                <w:numId w:val="0"/>
              </w:numPr>
              <w:rPr>
                <w:sz w:val="22"/>
              </w:rPr>
            </w:pPr>
          </w:p>
          <w:p w14:paraId="41BAB6FE" w14:textId="77777777" w:rsidR="007312D9" w:rsidRPr="007312D9" w:rsidRDefault="00E453CD" w:rsidP="003764A0">
            <w:pPr>
              <w:numPr>
                <w:ilvl w:val="12"/>
                <w:numId w:val="0"/>
              </w:numPr>
              <w:rPr>
                <w:sz w:val="22"/>
                <w:szCs w:val="22"/>
              </w:rPr>
            </w:pPr>
            <w:r w:rsidRPr="00E04B2A">
              <w:rPr>
                <w:sz w:val="22"/>
              </w:rPr>
              <w:t>Deretter er vanlig dose 40 mg annenhver uke.</w:t>
            </w:r>
          </w:p>
        </w:tc>
        <w:tc>
          <w:tcPr>
            <w:tcW w:w="3094" w:type="dxa"/>
          </w:tcPr>
          <w:p w14:paraId="330B172D" w14:textId="77777777" w:rsidR="007312D9" w:rsidRPr="007312D9" w:rsidRDefault="00E453CD" w:rsidP="003764A0">
            <w:pPr>
              <w:numPr>
                <w:ilvl w:val="12"/>
                <w:numId w:val="0"/>
              </w:numPr>
              <w:ind w:right="-2"/>
              <w:rPr>
                <w:sz w:val="22"/>
                <w:szCs w:val="22"/>
              </w:rPr>
            </w:pPr>
            <w:r w:rsidRPr="00E04B2A">
              <w:rPr>
                <w:sz w:val="22"/>
              </w:rPr>
              <w:t xml:space="preserve">Du bør fortsette å ta </w:t>
            </w:r>
            <w:r w:rsidR="002E0B5C">
              <w:rPr>
                <w:sz w:val="22"/>
              </w:rPr>
              <w:t>den vanlige dosen av</w:t>
            </w:r>
            <w:r w:rsidR="002E0B5C" w:rsidRPr="00E04B2A">
              <w:rPr>
                <w:sz w:val="22"/>
              </w:rPr>
              <w:t xml:space="preserve"> </w:t>
            </w:r>
            <w:r w:rsidRPr="00E04B2A">
              <w:rPr>
                <w:sz w:val="22"/>
              </w:rPr>
              <w:t>Humira selv etter fylte 18 år.</w:t>
            </w:r>
          </w:p>
        </w:tc>
      </w:tr>
      <w:tr w:rsidR="004644D4" w14:paraId="1427907B" w14:textId="77777777" w:rsidTr="003719E4">
        <w:tc>
          <w:tcPr>
            <w:tcW w:w="3093" w:type="dxa"/>
          </w:tcPr>
          <w:p w14:paraId="426778AB" w14:textId="77777777" w:rsidR="007312D9" w:rsidRPr="00E04B2A" w:rsidRDefault="00E453CD" w:rsidP="003764A0">
            <w:pPr>
              <w:numPr>
                <w:ilvl w:val="12"/>
                <w:numId w:val="0"/>
              </w:numPr>
              <w:ind w:right="-2"/>
              <w:rPr>
                <w:sz w:val="22"/>
              </w:rPr>
            </w:pPr>
            <w:r w:rsidRPr="00E04B2A">
              <w:rPr>
                <w:sz w:val="22"/>
              </w:rPr>
              <w:t>Barn og ungdom fra 6 år som veier 40 kg</w:t>
            </w:r>
            <w:r w:rsidR="002E0B5C">
              <w:rPr>
                <w:sz w:val="22"/>
              </w:rPr>
              <w:t xml:space="preserve"> eller mer</w:t>
            </w:r>
          </w:p>
        </w:tc>
        <w:tc>
          <w:tcPr>
            <w:tcW w:w="3094" w:type="dxa"/>
          </w:tcPr>
          <w:p w14:paraId="168D04ED" w14:textId="77777777" w:rsidR="007312D9" w:rsidRPr="00E04B2A" w:rsidRDefault="00E453CD" w:rsidP="003764A0">
            <w:pPr>
              <w:numPr>
                <w:ilvl w:val="12"/>
                <w:numId w:val="0"/>
              </w:numPr>
              <w:rPr>
                <w:sz w:val="22"/>
              </w:rPr>
            </w:pPr>
            <w:r w:rsidRPr="00E04B2A">
              <w:rPr>
                <w:sz w:val="22"/>
              </w:rPr>
              <w:t>Første dose på 160 mg (to 80 mg injeksjoner på én dag eller én 80 mg injeksjon dag</w:t>
            </w:r>
            <w:r w:rsidR="003C3FC1">
              <w:rPr>
                <w:sz w:val="22"/>
              </w:rPr>
              <w:t>lig</w:t>
            </w:r>
            <w:r w:rsidRPr="00E04B2A">
              <w:rPr>
                <w:sz w:val="22"/>
              </w:rPr>
              <w:t xml:space="preserve"> </w:t>
            </w:r>
            <w:r w:rsidR="00953ADC">
              <w:rPr>
                <w:sz w:val="22"/>
              </w:rPr>
              <w:t>i</w:t>
            </w:r>
            <w:r w:rsidRPr="00E04B2A">
              <w:rPr>
                <w:sz w:val="22"/>
              </w:rPr>
              <w:t xml:space="preserve"> to påfølgende dager), etterfulgt av </w:t>
            </w:r>
            <w:r w:rsidRPr="00E04B2A">
              <w:rPr>
                <w:sz w:val="22"/>
              </w:rPr>
              <w:lastRenderedPageBreak/>
              <w:t>80 mg (én 80 mg injeksjon) to uker senere.</w:t>
            </w:r>
          </w:p>
          <w:p w14:paraId="3B02B28B" w14:textId="77777777" w:rsidR="007312D9" w:rsidRPr="00E04B2A" w:rsidRDefault="007312D9" w:rsidP="003764A0">
            <w:pPr>
              <w:numPr>
                <w:ilvl w:val="12"/>
                <w:numId w:val="0"/>
              </w:numPr>
              <w:rPr>
                <w:sz w:val="22"/>
              </w:rPr>
            </w:pPr>
          </w:p>
          <w:p w14:paraId="71884C0B" w14:textId="77777777" w:rsidR="007312D9" w:rsidRPr="00E04B2A" w:rsidRDefault="00E453CD" w:rsidP="003764A0">
            <w:pPr>
              <w:numPr>
                <w:ilvl w:val="12"/>
                <w:numId w:val="0"/>
              </w:numPr>
              <w:rPr>
                <w:sz w:val="22"/>
              </w:rPr>
            </w:pPr>
            <w:r w:rsidRPr="00E04B2A">
              <w:rPr>
                <w:sz w:val="22"/>
              </w:rPr>
              <w:t>Deretter er vanlig dose 80 mg annenhver uke.</w:t>
            </w:r>
          </w:p>
        </w:tc>
        <w:tc>
          <w:tcPr>
            <w:tcW w:w="3094" w:type="dxa"/>
          </w:tcPr>
          <w:p w14:paraId="14DA4220" w14:textId="77777777" w:rsidR="007312D9" w:rsidRPr="00E04B2A" w:rsidRDefault="00E453CD" w:rsidP="003764A0">
            <w:pPr>
              <w:numPr>
                <w:ilvl w:val="12"/>
                <w:numId w:val="0"/>
              </w:numPr>
              <w:ind w:right="-2"/>
              <w:rPr>
                <w:sz w:val="22"/>
              </w:rPr>
            </w:pPr>
            <w:r w:rsidRPr="00E04B2A">
              <w:rPr>
                <w:sz w:val="22"/>
              </w:rPr>
              <w:lastRenderedPageBreak/>
              <w:t xml:space="preserve">Du bør fortsette å ta </w:t>
            </w:r>
            <w:r w:rsidR="002E0B5C">
              <w:rPr>
                <w:sz w:val="22"/>
              </w:rPr>
              <w:t>den vanlige dosen av</w:t>
            </w:r>
            <w:r w:rsidR="002E0B5C" w:rsidRPr="00E04B2A">
              <w:rPr>
                <w:sz w:val="22"/>
              </w:rPr>
              <w:t xml:space="preserve"> </w:t>
            </w:r>
            <w:r w:rsidRPr="00E04B2A">
              <w:rPr>
                <w:sz w:val="22"/>
              </w:rPr>
              <w:t>Humira selv etter fylte 18 år.</w:t>
            </w:r>
          </w:p>
        </w:tc>
      </w:tr>
    </w:tbl>
    <w:p w14:paraId="4CDE83C4" w14:textId="77777777" w:rsidR="00CF7F58" w:rsidRDefault="00CF7F58" w:rsidP="00CF7F58">
      <w:pPr>
        <w:suppressAutoHyphens/>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10"/>
        <w:gridCol w:w="3031"/>
      </w:tblGrid>
      <w:tr w:rsidR="004644D4" w14:paraId="1EFEA860" w14:textId="77777777" w:rsidTr="00B36CC1">
        <w:tc>
          <w:tcPr>
            <w:tcW w:w="9055" w:type="dxa"/>
            <w:gridSpan w:val="3"/>
          </w:tcPr>
          <w:p w14:paraId="0F71E22E" w14:textId="77777777" w:rsidR="00CF7F58" w:rsidRPr="00CB6504" w:rsidRDefault="00E453CD" w:rsidP="00051DA6">
            <w:pPr>
              <w:keepNext/>
              <w:numPr>
                <w:ilvl w:val="12"/>
                <w:numId w:val="0"/>
              </w:numPr>
              <w:ind w:right="-2"/>
              <w:rPr>
                <w:b/>
                <w:lang w:val="en-GB"/>
              </w:rPr>
            </w:pPr>
            <w:r w:rsidRPr="00CB6504">
              <w:rPr>
                <w:b/>
                <w:szCs w:val="22"/>
              </w:rPr>
              <w:t>Ikke-infeksiøs uveitt</w:t>
            </w:r>
            <w:r w:rsidRPr="00CB6504">
              <w:rPr>
                <w:b/>
                <w:sz w:val="22"/>
                <w:szCs w:val="22"/>
              </w:rPr>
              <w:t xml:space="preserve"> </w:t>
            </w:r>
          </w:p>
        </w:tc>
      </w:tr>
      <w:tr w:rsidR="004644D4" w14:paraId="61A6E28C" w14:textId="77777777" w:rsidTr="00B36CC1">
        <w:tc>
          <w:tcPr>
            <w:tcW w:w="3014" w:type="dxa"/>
          </w:tcPr>
          <w:p w14:paraId="2A8E1E0D" w14:textId="77777777" w:rsidR="00CF7F58" w:rsidRDefault="00E453CD" w:rsidP="00051DA6">
            <w:pPr>
              <w:keepNext/>
              <w:numPr>
                <w:ilvl w:val="12"/>
                <w:numId w:val="0"/>
              </w:numPr>
              <w:ind w:right="-2"/>
            </w:pPr>
            <w:r w:rsidRPr="0061743D">
              <w:rPr>
                <w:b/>
                <w:sz w:val="22"/>
              </w:rPr>
              <w:t>Alder eller kroppsvekt</w:t>
            </w:r>
          </w:p>
        </w:tc>
        <w:tc>
          <w:tcPr>
            <w:tcW w:w="3010" w:type="dxa"/>
          </w:tcPr>
          <w:p w14:paraId="2923B4E3" w14:textId="77777777" w:rsidR="00CF7F58" w:rsidRPr="00C25673" w:rsidRDefault="00E453CD" w:rsidP="00051DA6">
            <w:pPr>
              <w:keepNext/>
              <w:tabs>
                <w:tab w:val="left" w:pos="0"/>
              </w:tabs>
            </w:pPr>
            <w:r w:rsidRPr="0061743D">
              <w:rPr>
                <w:b/>
                <w:sz w:val="22"/>
              </w:rPr>
              <w:t>Hvor mye og hvor ofte du skal ta?</w:t>
            </w:r>
          </w:p>
        </w:tc>
        <w:tc>
          <w:tcPr>
            <w:tcW w:w="3031" w:type="dxa"/>
          </w:tcPr>
          <w:p w14:paraId="59DF2BF9" w14:textId="77777777" w:rsidR="00CF7F58" w:rsidRPr="0061743D" w:rsidRDefault="00E453CD" w:rsidP="00051DA6">
            <w:pPr>
              <w:keepNext/>
              <w:numPr>
                <w:ilvl w:val="12"/>
                <w:numId w:val="0"/>
              </w:numPr>
              <w:rPr>
                <w:sz w:val="22"/>
                <w:lang w:val="en-GB"/>
              </w:rPr>
            </w:pPr>
            <w:r w:rsidRPr="0061743D">
              <w:rPr>
                <w:b/>
                <w:sz w:val="22"/>
              </w:rPr>
              <w:t>Merknader</w:t>
            </w:r>
          </w:p>
        </w:tc>
      </w:tr>
      <w:tr w:rsidR="004644D4" w14:paraId="1DB7BD2C" w14:textId="77777777" w:rsidTr="00B36CC1">
        <w:tc>
          <w:tcPr>
            <w:tcW w:w="3014" w:type="dxa"/>
          </w:tcPr>
          <w:p w14:paraId="5A4DEEB2" w14:textId="77777777" w:rsidR="00CF7F58" w:rsidRDefault="00E453CD" w:rsidP="00051DA6">
            <w:pPr>
              <w:keepNext/>
              <w:numPr>
                <w:ilvl w:val="12"/>
                <w:numId w:val="0"/>
              </w:numPr>
              <w:ind w:right="-2"/>
            </w:pPr>
            <w:r>
              <w:t>Voksne</w:t>
            </w:r>
          </w:p>
        </w:tc>
        <w:tc>
          <w:tcPr>
            <w:tcW w:w="3010" w:type="dxa"/>
          </w:tcPr>
          <w:p w14:paraId="7ACB1AB2" w14:textId="77777777" w:rsidR="00CF7F58" w:rsidRPr="0024771F" w:rsidRDefault="00E453CD" w:rsidP="00051DA6">
            <w:pPr>
              <w:keepNext/>
              <w:tabs>
                <w:tab w:val="left" w:pos="0"/>
              </w:tabs>
            </w:pPr>
            <w:r>
              <w:rPr>
                <w:sz w:val="22"/>
              </w:rPr>
              <w:t>Første dose på 80 </w:t>
            </w:r>
            <w:r w:rsidRPr="0061743D">
              <w:rPr>
                <w:sz w:val="22"/>
              </w:rPr>
              <w:t>mg (</w:t>
            </w:r>
            <w:r w:rsidR="00BC07A2">
              <w:rPr>
                <w:sz w:val="22"/>
                <w:szCs w:val="22"/>
              </w:rPr>
              <w:t>é</w:t>
            </w:r>
            <w:r>
              <w:rPr>
                <w:sz w:val="22"/>
                <w:szCs w:val="22"/>
              </w:rPr>
              <w:t>n</w:t>
            </w:r>
            <w:r w:rsidRPr="00F635CA">
              <w:rPr>
                <w:sz w:val="22"/>
                <w:szCs w:val="22"/>
              </w:rPr>
              <w:t xml:space="preserve"> </w:t>
            </w:r>
            <w:r>
              <w:rPr>
                <w:sz w:val="22"/>
                <w:szCs w:val="22"/>
              </w:rPr>
              <w:t>80 mg injeksjon</w:t>
            </w:r>
            <w:r>
              <w:rPr>
                <w:sz w:val="22"/>
              </w:rPr>
              <w:t>), etterfulgt av 40 </w:t>
            </w:r>
            <w:r w:rsidRPr="0061743D">
              <w:rPr>
                <w:sz w:val="22"/>
              </w:rPr>
              <w:t>mg annenhver uke som starter én uke etter den første dosen.</w:t>
            </w:r>
          </w:p>
        </w:tc>
        <w:tc>
          <w:tcPr>
            <w:tcW w:w="3031" w:type="dxa"/>
          </w:tcPr>
          <w:p w14:paraId="5CCC1E6A" w14:textId="77777777" w:rsidR="00CF7F58" w:rsidRPr="0061743D" w:rsidRDefault="00E453CD" w:rsidP="00051DA6">
            <w:pPr>
              <w:keepNext/>
              <w:numPr>
                <w:ilvl w:val="12"/>
                <w:numId w:val="0"/>
              </w:numPr>
              <w:rPr>
                <w:sz w:val="22"/>
              </w:rPr>
            </w:pPr>
            <w:r>
              <w:rPr>
                <w:sz w:val="22"/>
              </w:rPr>
              <w:t>Behandling med k</w:t>
            </w:r>
            <w:r w:rsidRPr="0061743D">
              <w:rPr>
                <w:sz w:val="22"/>
              </w:rPr>
              <w:t xml:space="preserve">ortikosteroider eller andre </w:t>
            </w:r>
            <w:r>
              <w:rPr>
                <w:sz w:val="22"/>
              </w:rPr>
              <w:t>legemidler</w:t>
            </w:r>
            <w:r w:rsidRPr="0061743D">
              <w:rPr>
                <w:sz w:val="22"/>
              </w:rPr>
              <w:t xml:space="preserve"> som</w:t>
            </w:r>
            <w:r w:rsidRPr="00C746BC">
              <w:rPr>
                <w:sz w:val="22"/>
              </w:rPr>
              <w:t xml:space="preserve"> påvirker immunsys</w:t>
            </w:r>
            <w:r>
              <w:rPr>
                <w:sz w:val="22"/>
              </w:rPr>
              <w:t>t</w:t>
            </w:r>
            <w:r w:rsidRPr="00C746BC">
              <w:rPr>
                <w:sz w:val="22"/>
              </w:rPr>
              <w:t>emet</w:t>
            </w:r>
            <w:r w:rsidRPr="0061743D">
              <w:rPr>
                <w:sz w:val="22"/>
              </w:rPr>
              <w:t xml:space="preserve"> </w:t>
            </w:r>
            <w:r>
              <w:rPr>
                <w:sz w:val="22"/>
              </w:rPr>
              <w:t>kan</w:t>
            </w:r>
            <w:r w:rsidRPr="0061743D">
              <w:rPr>
                <w:sz w:val="22"/>
              </w:rPr>
              <w:t xml:space="preserve"> fortsette under behandling med Humira.</w:t>
            </w:r>
            <w:r>
              <w:rPr>
                <w:sz w:val="22"/>
              </w:rPr>
              <w:t xml:space="preserve"> Humira kan også gis alene.</w:t>
            </w:r>
          </w:p>
        </w:tc>
      </w:tr>
      <w:tr w:rsidR="004644D4" w14:paraId="5A1ED675" w14:textId="77777777" w:rsidTr="00B36CC1">
        <w:tc>
          <w:tcPr>
            <w:tcW w:w="3014" w:type="dxa"/>
          </w:tcPr>
          <w:p w14:paraId="2CE113B5" w14:textId="77777777" w:rsidR="00B36CC1" w:rsidRDefault="00E453CD" w:rsidP="008167D9">
            <w:pPr>
              <w:numPr>
                <w:ilvl w:val="12"/>
                <w:numId w:val="0"/>
              </w:numPr>
              <w:ind w:right="-2"/>
            </w:pPr>
            <w:r w:rsidRPr="00BF7743">
              <w:rPr>
                <w:sz w:val="22"/>
              </w:rPr>
              <w:t xml:space="preserve">Barn </w:t>
            </w:r>
            <w:r w:rsidR="00185CBA">
              <w:rPr>
                <w:sz w:val="22"/>
              </w:rPr>
              <w:t xml:space="preserve">og ungdom </w:t>
            </w:r>
            <w:r w:rsidR="008167D9">
              <w:rPr>
                <w:sz w:val="22"/>
              </w:rPr>
              <w:t>over</w:t>
            </w:r>
            <w:r w:rsidR="008167D9" w:rsidRPr="00BF7743">
              <w:rPr>
                <w:sz w:val="22"/>
              </w:rPr>
              <w:t xml:space="preserve"> </w:t>
            </w:r>
            <w:r w:rsidRPr="00BF7743">
              <w:rPr>
                <w:sz w:val="22"/>
              </w:rPr>
              <w:t xml:space="preserve">2 år som veier </w:t>
            </w:r>
            <w:r w:rsidR="00185CBA">
              <w:rPr>
                <w:sz w:val="22"/>
              </w:rPr>
              <w:t>under</w:t>
            </w:r>
            <w:r w:rsidRPr="00BF7743">
              <w:rPr>
                <w:sz w:val="22"/>
              </w:rPr>
              <w:t xml:space="preserve"> 30 kg</w:t>
            </w:r>
          </w:p>
        </w:tc>
        <w:tc>
          <w:tcPr>
            <w:tcW w:w="3010" w:type="dxa"/>
          </w:tcPr>
          <w:p w14:paraId="51BDCE9C" w14:textId="77777777" w:rsidR="00B36CC1" w:rsidRDefault="00E453CD" w:rsidP="00B36CC1">
            <w:pPr>
              <w:tabs>
                <w:tab w:val="left" w:pos="0"/>
              </w:tabs>
              <w:rPr>
                <w:sz w:val="22"/>
              </w:rPr>
            </w:pPr>
            <w:r w:rsidRPr="00BF7743">
              <w:rPr>
                <w:sz w:val="22"/>
                <w:szCs w:val="22"/>
              </w:rPr>
              <w:t>20 mg annenhver uke</w:t>
            </w:r>
          </w:p>
        </w:tc>
        <w:tc>
          <w:tcPr>
            <w:tcW w:w="3031" w:type="dxa"/>
          </w:tcPr>
          <w:p w14:paraId="79AC17ED" w14:textId="77777777" w:rsidR="00B36CC1" w:rsidRPr="00EB049D" w:rsidRDefault="00E453CD" w:rsidP="008167D9">
            <w:pPr>
              <w:numPr>
                <w:ilvl w:val="12"/>
                <w:numId w:val="0"/>
              </w:numPr>
              <w:rPr>
                <w:sz w:val="22"/>
              </w:rPr>
            </w:pPr>
            <w:r w:rsidRPr="00B3311E">
              <w:rPr>
                <w:sz w:val="22"/>
                <w:szCs w:val="22"/>
              </w:rPr>
              <w:t xml:space="preserve">Legen din kan forskrive en startdose på 40 mg som skal gis én uke før </w:t>
            </w:r>
            <w:r w:rsidR="008167D9">
              <w:rPr>
                <w:sz w:val="22"/>
                <w:szCs w:val="22"/>
              </w:rPr>
              <w:t xml:space="preserve">oppstart av </w:t>
            </w:r>
            <w:r w:rsidRPr="00B3311E">
              <w:rPr>
                <w:sz w:val="22"/>
                <w:szCs w:val="22"/>
              </w:rPr>
              <w:t>den vanlige dosen på 20 mg annenhver uke. Det anbefales å bruke Humira sammen med metotreksat.</w:t>
            </w:r>
          </w:p>
        </w:tc>
      </w:tr>
      <w:tr w:rsidR="004644D4" w14:paraId="5CA9A239" w14:textId="77777777" w:rsidTr="00B36CC1">
        <w:tc>
          <w:tcPr>
            <w:tcW w:w="3014" w:type="dxa"/>
          </w:tcPr>
          <w:p w14:paraId="6C162DFA" w14:textId="77777777" w:rsidR="00B36CC1" w:rsidRPr="00BF7743" w:rsidRDefault="00E453CD" w:rsidP="006947EE">
            <w:pPr>
              <w:keepNext/>
              <w:numPr>
                <w:ilvl w:val="12"/>
                <w:numId w:val="0"/>
              </w:numPr>
              <w:ind w:right="-2"/>
              <w:rPr>
                <w:sz w:val="22"/>
              </w:rPr>
            </w:pPr>
            <w:r>
              <w:rPr>
                <w:sz w:val="22"/>
              </w:rPr>
              <w:t xml:space="preserve">Barn </w:t>
            </w:r>
            <w:r w:rsidR="00185CBA">
              <w:rPr>
                <w:sz w:val="22"/>
              </w:rPr>
              <w:t xml:space="preserve">og ungdom </w:t>
            </w:r>
            <w:r w:rsidR="008167D9">
              <w:rPr>
                <w:sz w:val="22"/>
              </w:rPr>
              <w:t xml:space="preserve">over </w:t>
            </w:r>
            <w:r>
              <w:rPr>
                <w:sz w:val="22"/>
              </w:rPr>
              <w:t>2 år som veier 30 kg</w:t>
            </w:r>
            <w:r w:rsidR="00185CBA">
              <w:rPr>
                <w:sz w:val="22"/>
              </w:rPr>
              <w:t xml:space="preserve"> eller mer</w:t>
            </w:r>
          </w:p>
        </w:tc>
        <w:tc>
          <w:tcPr>
            <w:tcW w:w="3010" w:type="dxa"/>
          </w:tcPr>
          <w:p w14:paraId="29EECA1B" w14:textId="77777777" w:rsidR="00B36CC1" w:rsidRPr="00BF7743" w:rsidRDefault="00E453CD" w:rsidP="006947EE">
            <w:pPr>
              <w:keepNext/>
              <w:tabs>
                <w:tab w:val="left" w:pos="0"/>
              </w:tabs>
              <w:rPr>
                <w:sz w:val="22"/>
                <w:szCs w:val="22"/>
              </w:rPr>
            </w:pPr>
            <w:r w:rsidRPr="00BF7743">
              <w:rPr>
                <w:sz w:val="22"/>
                <w:szCs w:val="22"/>
              </w:rPr>
              <w:t>40 mg annenhver uke</w:t>
            </w:r>
          </w:p>
        </w:tc>
        <w:tc>
          <w:tcPr>
            <w:tcW w:w="3031" w:type="dxa"/>
          </w:tcPr>
          <w:p w14:paraId="48CC3211" w14:textId="77777777" w:rsidR="00B36CC1" w:rsidRDefault="00E453CD" w:rsidP="006947EE">
            <w:pPr>
              <w:keepNext/>
              <w:numPr>
                <w:ilvl w:val="12"/>
                <w:numId w:val="0"/>
              </w:numPr>
              <w:rPr>
                <w:b/>
                <w:szCs w:val="22"/>
              </w:rPr>
            </w:pPr>
            <w:r w:rsidRPr="00BF7743">
              <w:rPr>
                <w:sz w:val="22"/>
                <w:szCs w:val="22"/>
              </w:rPr>
              <w:t>Legen din</w:t>
            </w:r>
            <w:r w:rsidRPr="00B36CC1">
              <w:rPr>
                <w:sz w:val="22"/>
                <w:szCs w:val="22"/>
              </w:rPr>
              <w:t xml:space="preserve"> kan forskrive en startdose på 8</w:t>
            </w:r>
            <w:r w:rsidRPr="00BF7743">
              <w:rPr>
                <w:sz w:val="22"/>
                <w:szCs w:val="22"/>
              </w:rPr>
              <w:t xml:space="preserve">0 mg som skal gis én uke før </w:t>
            </w:r>
            <w:r w:rsidR="008167D9">
              <w:rPr>
                <w:sz w:val="22"/>
                <w:szCs w:val="22"/>
              </w:rPr>
              <w:t xml:space="preserve">oppstart av </w:t>
            </w:r>
            <w:r w:rsidRPr="00BF7743">
              <w:rPr>
                <w:sz w:val="22"/>
                <w:szCs w:val="22"/>
              </w:rPr>
              <w:t xml:space="preserve">den vanlige dosen </w:t>
            </w:r>
            <w:r w:rsidRPr="00B36CC1">
              <w:rPr>
                <w:sz w:val="22"/>
                <w:szCs w:val="22"/>
              </w:rPr>
              <w:t>på 4</w:t>
            </w:r>
            <w:r w:rsidRPr="00BF7743">
              <w:rPr>
                <w:sz w:val="22"/>
                <w:szCs w:val="22"/>
              </w:rPr>
              <w:t>0 mg annenhver uke. Det anbefales å bruke Humira sammen med metotreksat.</w:t>
            </w:r>
          </w:p>
        </w:tc>
      </w:tr>
    </w:tbl>
    <w:p w14:paraId="72C13BB2" w14:textId="77777777" w:rsidR="00CF7F58" w:rsidRPr="00CB538B" w:rsidRDefault="00CF7F58" w:rsidP="00CF7F58">
      <w:pPr>
        <w:suppressAutoHyphens/>
        <w:rPr>
          <w:sz w:val="22"/>
          <w:szCs w:val="22"/>
        </w:rPr>
      </w:pPr>
    </w:p>
    <w:p w14:paraId="7A1C1771" w14:textId="77777777" w:rsidR="00CF7F58" w:rsidRPr="009C5EFD" w:rsidRDefault="00E453CD" w:rsidP="00776A84">
      <w:pPr>
        <w:keepNext/>
        <w:suppressAutoHyphens/>
        <w:rPr>
          <w:b/>
          <w:sz w:val="22"/>
          <w:szCs w:val="22"/>
        </w:rPr>
      </w:pPr>
      <w:r w:rsidRPr="009C5EFD">
        <w:rPr>
          <w:b/>
          <w:sz w:val="22"/>
          <w:szCs w:val="22"/>
        </w:rPr>
        <w:t>Metode og administrasjonsmåte</w:t>
      </w:r>
    </w:p>
    <w:p w14:paraId="22BC4CF4" w14:textId="77777777" w:rsidR="00CF7F58" w:rsidRPr="009C5EFD" w:rsidRDefault="00CF7F58" w:rsidP="00776A84">
      <w:pPr>
        <w:keepNext/>
        <w:suppressAutoHyphens/>
        <w:rPr>
          <w:sz w:val="22"/>
          <w:szCs w:val="22"/>
        </w:rPr>
      </w:pPr>
    </w:p>
    <w:p w14:paraId="2CE0ECB5" w14:textId="77777777" w:rsidR="00CF7F58" w:rsidRPr="009C5EFD" w:rsidRDefault="00E453CD" w:rsidP="00CF7F58">
      <w:pPr>
        <w:suppressAutoHyphens/>
        <w:rPr>
          <w:sz w:val="22"/>
          <w:szCs w:val="22"/>
        </w:rPr>
      </w:pPr>
      <w:r w:rsidRPr="009C5EFD">
        <w:rPr>
          <w:sz w:val="22"/>
          <w:szCs w:val="22"/>
        </w:rPr>
        <w:t>Humira administreres (gis) ved injeksjon under huden (ved subkutan injeksjon).</w:t>
      </w:r>
    </w:p>
    <w:p w14:paraId="4BE59AD8" w14:textId="77777777" w:rsidR="00CF7F58" w:rsidRPr="00C11730" w:rsidRDefault="00CF7F58" w:rsidP="00CF7F58">
      <w:pPr>
        <w:suppressAutoHyphens/>
      </w:pPr>
    </w:p>
    <w:p w14:paraId="4272280F" w14:textId="77777777" w:rsidR="00CF7F58" w:rsidRPr="00887835" w:rsidRDefault="00E453CD" w:rsidP="00CF7F58">
      <w:pPr>
        <w:suppressAutoHyphens/>
        <w:rPr>
          <w:b/>
          <w:sz w:val="22"/>
          <w:szCs w:val="22"/>
        </w:rPr>
      </w:pPr>
      <w:r w:rsidRPr="00887835">
        <w:rPr>
          <w:b/>
          <w:sz w:val="22"/>
          <w:szCs w:val="22"/>
        </w:rPr>
        <w:t xml:space="preserve">Detaljerte instruksjoner om hvordan du injiserer Humira </w:t>
      </w:r>
      <w:r w:rsidR="008167D9">
        <w:rPr>
          <w:b/>
          <w:sz w:val="22"/>
          <w:szCs w:val="22"/>
        </w:rPr>
        <w:t>finnes</w:t>
      </w:r>
      <w:r w:rsidRPr="00887835">
        <w:rPr>
          <w:b/>
          <w:sz w:val="22"/>
          <w:szCs w:val="22"/>
        </w:rPr>
        <w:t xml:space="preserve"> i avsnitt 7 </w:t>
      </w:r>
      <w:r w:rsidR="00D57009">
        <w:rPr>
          <w:b/>
          <w:sz w:val="22"/>
          <w:szCs w:val="22"/>
        </w:rPr>
        <w:t>«</w:t>
      </w:r>
      <w:r w:rsidR="00B376DE" w:rsidRPr="00B376DE">
        <w:rPr>
          <w:b/>
          <w:sz w:val="22"/>
          <w:szCs w:val="22"/>
        </w:rPr>
        <w:t>Hvordan du injiserer Humira</w:t>
      </w:r>
      <w:r w:rsidR="00D57009">
        <w:rPr>
          <w:b/>
          <w:sz w:val="22"/>
          <w:szCs w:val="22"/>
        </w:rPr>
        <w:t>»</w:t>
      </w:r>
      <w:r w:rsidRPr="00887835">
        <w:rPr>
          <w:b/>
          <w:sz w:val="22"/>
          <w:szCs w:val="22"/>
        </w:rPr>
        <w:t xml:space="preserve">. </w:t>
      </w:r>
    </w:p>
    <w:p w14:paraId="3077AE41" w14:textId="77777777" w:rsidR="00CF7F58" w:rsidRPr="009C5EFD" w:rsidRDefault="00CF7F58" w:rsidP="00CF7F58">
      <w:pPr>
        <w:suppressAutoHyphens/>
        <w:rPr>
          <w:sz w:val="22"/>
          <w:szCs w:val="22"/>
        </w:rPr>
      </w:pPr>
    </w:p>
    <w:p w14:paraId="7A64AF2E" w14:textId="77777777" w:rsidR="00CF7F58" w:rsidRPr="009C5EFD" w:rsidRDefault="00E453CD" w:rsidP="00776A84">
      <w:pPr>
        <w:keepNext/>
        <w:rPr>
          <w:b/>
          <w:sz w:val="22"/>
          <w:szCs w:val="22"/>
        </w:rPr>
      </w:pPr>
      <w:r w:rsidRPr="009C5EFD">
        <w:rPr>
          <w:b/>
          <w:sz w:val="22"/>
          <w:szCs w:val="22"/>
        </w:rPr>
        <w:t>Dersom du tar for mye av Humira</w:t>
      </w:r>
    </w:p>
    <w:p w14:paraId="03A16110" w14:textId="77777777" w:rsidR="00CF7F58" w:rsidRPr="009C5EFD" w:rsidRDefault="00CF7F58" w:rsidP="00776A84">
      <w:pPr>
        <w:keepNext/>
        <w:rPr>
          <w:sz w:val="22"/>
          <w:szCs w:val="22"/>
        </w:rPr>
      </w:pPr>
    </w:p>
    <w:p w14:paraId="61156546" w14:textId="77777777" w:rsidR="00CF7F58" w:rsidRPr="009C5EFD" w:rsidRDefault="00E453CD" w:rsidP="00CF7F58">
      <w:pPr>
        <w:rPr>
          <w:sz w:val="22"/>
          <w:szCs w:val="22"/>
        </w:rPr>
      </w:pPr>
      <w:r w:rsidRPr="009C5EFD">
        <w:rPr>
          <w:sz w:val="22"/>
          <w:szCs w:val="22"/>
        </w:rPr>
        <w:t xml:space="preserve">Dersom du ved et uhell </w:t>
      </w:r>
      <w:r w:rsidR="00370C4D">
        <w:rPr>
          <w:sz w:val="22"/>
          <w:szCs w:val="22"/>
        </w:rPr>
        <w:t>injiserer</w:t>
      </w:r>
      <w:r w:rsidRPr="009C5EFD">
        <w:rPr>
          <w:sz w:val="22"/>
          <w:szCs w:val="22"/>
        </w:rPr>
        <w:t xml:space="preserve"> Humira oftere enn legen </w:t>
      </w:r>
      <w:r>
        <w:rPr>
          <w:sz w:val="22"/>
          <w:szCs w:val="22"/>
        </w:rPr>
        <w:t xml:space="preserve">din </w:t>
      </w:r>
      <w:r w:rsidRPr="009C5EFD">
        <w:rPr>
          <w:sz w:val="22"/>
          <w:szCs w:val="22"/>
        </w:rPr>
        <w:t xml:space="preserve">har forskrevet, oppsøk legen </w:t>
      </w:r>
      <w:r>
        <w:rPr>
          <w:sz w:val="22"/>
          <w:szCs w:val="22"/>
        </w:rPr>
        <w:t xml:space="preserve">din </w:t>
      </w:r>
      <w:r w:rsidRPr="009C5EFD">
        <w:rPr>
          <w:sz w:val="22"/>
          <w:szCs w:val="22"/>
        </w:rPr>
        <w:t xml:space="preserve">eller farmasøyt på apotek og fortell </w:t>
      </w:r>
      <w:r>
        <w:rPr>
          <w:sz w:val="22"/>
          <w:szCs w:val="22"/>
        </w:rPr>
        <w:t>dem</w:t>
      </w:r>
      <w:r w:rsidRPr="009C5EFD">
        <w:rPr>
          <w:sz w:val="22"/>
          <w:szCs w:val="22"/>
        </w:rPr>
        <w:t xml:space="preserve"> at du har tatt for mye. Ta alltid med deg ytterpakningen til legemidlet, selv om den er tom.</w:t>
      </w:r>
    </w:p>
    <w:p w14:paraId="0CDB0CB1" w14:textId="77777777" w:rsidR="00CF7F58" w:rsidRPr="009C5EFD" w:rsidRDefault="00CF7F58" w:rsidP="00CF7F58">
      <w:pPr>
        <w:rPr>
          <w:b/>
          <w:sz w:val="22"/>
          <w:szCs w:val="22"/>
        </w:rPr>
      </w:pPr>
    </w:p>
    <w:p w14:paraId="4A82A91C" w14:textId="77777777" w:rsidR="00CF7F58" w:rsidRPr="009C5EFD" w:rsidRDefault="00E453CD" w:rsidP="00CF7F58">
      <w:pPr>
        <w:keepNext/>
        <w:rPr>
          <w:b/>
          <w:sz w:val="22"/>
          <w:szCs w:val="22"/>
        </w:rPr>
      </w:pPr>
      <w:r w:rsidRPr="009C5EFD">
        <w:rPr>
          <w:b/>
          <w:sz w:val="22"/>
          <w:szCs w:val="22"/>
        </w:rPr>
        <w:t>Dersom du har glemt å ta Humira</w:t>
      </w:r>
    </w:p>
    <w:p w14:paraId="119E639A" w14:textId="77777777" w:rsidR="00CF7F58" w:rsidRPr="009C5EFD" w:rsidRDefault="00CF7F58" w:rsidP="00CF7F58">
      <w:pPr>
        <w:keepNext/>
        <w:rPr>
          <w:sz w:val="22"/>
          <w:szCs w:val="22"/>
        </w:rPr>
      </w:pPr>
    </w:p>
    <w:p w14:paraId="045FC8EA" w14:textId="77777777" w:rsidR="00CF7F58" w:rsidRPr="009C5EFD" w:rsidRDefault="00E453CD" w:rsidP="00776A84">
      <w:pPr>
        <w:rPr>
          <w:sz w:val="22"/>
          <w:szCs w:val="22"/>
        </w:rPr>
      </w:pPr>
      <w:r w:rsidRPr="009C5EFD">
        <w:rPr>
          <w:sz w:val="22"/>
          <w:szCs w:val="22"/>
        </w:rPr>
        <w:t xml:space="preserve">Dersom du har glemt å ta Humira, skal du sette neste dose så snart du </w:t>
      </w:r>
      <w:r w:rsidRPr="009C5EFD">
        <w:rPr>
          <w:color w:val="000000"/>
          <w:sz w:val="22"/>
          <w:szCs w:val="22"/>
        </w:rPr>
        <w:t xml:space="preserve">husker </w:t>
      </w:r>
      <w:r w:rsidRPr="009C5EFD">
        <w:rPr>
          <w:sz w:val="22"/>
          <w:szCs w:val="22"/>
        </w:rPr>
        <w:t xml:space="preserve">det. </w:t>
      </w:r>
      <w:r w:rsidRPr="009C5EFD">
        <w:rPr>
          <w:color w:val="000000"/>
          <w:sz w:val="22"/>
          <w:szCs w:val="22"/>
        </w:rPr>
        <w:t>Deretter</w:t>
      </w:r>
      <w:r w:rsidRPr="009C5EFD">
        <w:rPr>
          <w:sz w:val="22"/>
          <w:szCs w:val="22"/>
        </w:rPr>
        <w:t xml:space="preserve"> kan du sette neste dose den dagen det opprinnelig var planlagt, som om du ikke hadde glemt en dose.</w:t>
      </w:r>
    </w:p>
    <w:p w14:paraId="69AB74CC" w14:textId="77777777" w:rsidR="00CF7F58" w:rsidRPr="009C5EFD" w:rsidRDefault="00CF7F58" w:rsidP="00CF7F58">
      <w:pPr>
        <w:rPr>
          <w:sz w:val="22"/>
          <w:szCs w:val="22"/>
        </w:rPr>
      </w:pPr>
    </w:p>
    <w:p w14:paraId="71ACB45C" w14:textId="77777777" w:rsidR="00CF7F58" w:rsidRPr="009C5EFD" w:rsidRDefault="00E453CD" w:rsidP="004659B9">
      <w:pPr>
        <w:keepNext/>
        <w:rPr>
          <w:b/>
          <w:sz w:val="22"/>
          <w:szCs w:val="22"/>
        </w:rPr>
      </w:pPr>
      <w:r w:rsidRPr="009C5EFD">
        <w:rPr>
          <w:b/>
          <w:sz w:val="22"/>
          <w:szCs w:val="22"/>
        </w:rPr>
        <w:t>Dersom du avbryter behandling med Humira</w:t>
      </w:r>
    </w:p>
    <w:p w14:paraId="0990301A" w14:textId="77777777" w:rsidR="00CF7F58" w:rsidRPr="009C5EFD" w:rsidRDefault="00CF7F58" w:rsidP="004659B9">
      <w:pPr>
        <w:keepNext/>
        <w:suppressAutoHyphens/>
        <w:rPr>
          <w:sz w:val="22"/>
          <w:szCs w:val="22"/>
        </w:rPr>
      </w:pPr>
    </w:p>
    <w:p w14:paraId="7B920087" w14:textId="77777777" w:rsidR="00CF7F58" w:rsidRPr="009C5EFD" w:rsidRDefault="00E453CD" w:rsidP="00776A84">
      <w:pPr>
        <w:rPr>
          <w:sz w:val="22"/>
          <w:szCs w:val="22"/>
        </w:rPr>
      </w:pPr>
      <w:r w:rsidRPr="009C5EFD">
        <w:rPr>
          <w:sz w:val="22"/>
          <w:szCs w:val="22"/>
        </w:rPr>
        <w:t xml:space="preserve">Beslutningen om å avbryte behandling med Humira bør diskuteres med </w:t>
      </w:r>
      <w:r>
        <w:rPr>
          <w:sz w:val="22"/>
          <w:szCs w:val="22"/>
        </w:rPr>
        <w:t>legen din</w:t>
      </w:r>
      <w:r w:rsidRPr="009C5EFD">
        <w:rPr>
          <w:sz w:val="22"/>
          <w:szCs w:val="22"/>
        </w:rPr>
        <w:t xml:space="preserve">. Dine symptomer kan komme tilbake </w:t>
      </w:r>
      <w:r>
        <w:rPr>
          <w:sz w:val="22"/>
          <w:szCs w:val="22"/>
        </w:rPr>
        <w:t>hvis du slutter å bruke Humira</w:t>
      </w:r>
      <w:r w:rsidRPr="009C5EFD">
        <w:rPr>
          <w:sz w:val="22"/>
          <w:szCs w:val="22"/>
        </w:rPr>
        <w:t>.</w:t>
      </w:r>
    </w:p>
    <w:p w14:paraId="2B2B25E4" w14:textId="77777777" w:rsidR="00CF7F58" w:rsidRPr="009C5EFD" w:rsidRDefault="00CF7F58" w:rsidP="00CF7F58">
      <w:pPr>
        <w:rPr>
          <w:sz w:val="22"/>
          <w:szCs w:val="22"/>
        </w:rPr>
      </w:pPr>
    </w:p>
    <w:p w14:paraId="31597691" w14:textId="77777777" w:rsidR="00CF7F58" w:rsidRPr="009C5EFD" w:rsidRDefault="00E453CD" w:rsidP="00CF7F58">
      <w:pPr>
        <w:rPr>
          <w:sz w:val="22"/>
          <w:szCs w:val="22"/>
        </w:rPr>
      </w:pPr>
      <w:r w:rsidRPr="009C5EFD">
        <w:rPr>
          <w:sz w:val="22"/>
          <w:szCs w:val="22"/>
        </w:rPr>
        <w:t>Spør lege eller apotek dersom du har noen spørsmål om bruken av dette legemidlet.</w:t>
      </w:r>
    </w:p>
    <w:p w14:paraId="5026713E" w14:textId="77777777" w:rsidR="00CF7F58" w:rsidRPr="009C5EFD" w:rsidRDefault="00CF7F58" w:rsidP="00CF7F58">
      <w:pPr>
        <w:suppressAutoHyphens/>
        <w:rPr>
          <w:sz w:val="22"/>
          <w:szCs w:val="22"/>
        </w:rPr>
      </w:pPr>
    </w:p>
    <w:p w14:paraId="6DD325D2" w14:textId="77777777" w:rsidR="00CF7F58" w:rsidRPr="009C5EFD" w:rsidRDefault="00CF7F58" w:rsidP="00CF7F58">
      <w:pPr>
        <w:suppressAutoHyphens/>
        <w:rPr>
          <w:sz w:val="22"/>
          <w:szCs w:val="22"/>
        </w:rPr>
      </w:pPr>
    </w:p>
    <w:p w14:paraId="585EE25F" w14:textId="77777777" w:rsidR="00CF7F58" w:rsidRPr="009C5EFD" w:rsidRDefault="00E453CD" w:rsidP="00CF7F58">
      <w:pPr>
        <w:keepNext/>
        <w:tabs>
          <w:tab w:val="left" w:pos="567"/>
        </w:tabs>
        <w:suppressAutoHyphens/>
        <w:rPr>
          <w:b/>
          <w:sz w:val="22"/>
          <w:szCs w:val="22"/>
        </w:rPr>
      </w:pPr>
      <w:r w:rsidRPr="009C5EFD">
        <w:rPr>
          <w:b/>
          <w:sz w:val="22"/>
          <w:szCs w:val="22"/>
        </w:rPr>
        <w:lastRenderedPageBreak/>
        <w:t>4.</w:t>
      </w:r>
      <w:r w:rsidRPr="009C5EFD">
        <w:rPr>
          <w:b/>
          <w:sz w:val="22"/>
          <w:szCs w:val="22"/>
        </w:rPr>
        <w:tab/>
        <w:t>Mulige bivirkninger</w:t>
      </w:r>
    </w:p>
    <w:p w14:paraId="4B1F44BB" w14:textId="77777777" w:rsidR="00CF7F58" w:rsidRPr="009C5EFD" w:rsidRDefault="00CF7F58" w:rsidP="00CF7F58">
      <w:pPr>
        <w:keepNext/>
        <w:suppressAutoHyphens/>
        <w:rPr>
          <w:sz w:val="22"/>
          <w:szCs w:val="22"/>
        </w:rPr>
      </w:pPr>
    </w:p>
    <w:p w14:paraId="099C9B32" w14:textId="77777777" w:rsidR="00CF7F58" w:rsidRPr="009C5EFD" w:rsidRDefault="00E453CD" w:rsidP="00776A84">
      <w:pPr>
        <w:suppressAutoHyphens/>
        <w:rPr>
          <w:sz w:val="22"/>
          <w:szCs w:val="22"/>
        </w:rPr>
      </w:pPr>
      <w:r w:rsidRPr="009C5EFD">
        <w:rPr>
          <w:sz w:val="22"/>
          <w:szCs w:val="22"/>
        </w:rPr>
        <w:t>Som alle legemidler kan dette legemidlet forårsake bivirkninger, men ikke alle får det. De fleste bivirkningene er milde til moderate. Noen kan imidlertid være alvorlige og kreve behandling. Bivirkninger kan oppstå i minst 4 måneder etter siste injeksjon med Humira.</w:t>
      </w:r>
    </w:p>
    <w:p w14:paraId="57FA77CC" w14:textId="77777777" w:rsidR="00CF7F58" w:rsidRPr="009C5EFD" w:rsidRDefault="00CF7F58" w:rsidP="00CF7F58">
      <w:pPr>
        <w:suppressAutoHyphens/>
        <w:rPr>
          <w:sz w:val="22"/>
          <w:szCs w:val="22"/>
        </w:rPr>
      </w:pPr>
    </w:p>
    <w:p w14:paraId="3ED2B483" w14:textId="77777777" w:rsidR="00CF7F58" w:rsidRPr="009C5EFD" w:rsidRDefault="00E453CD" w:rsidP="00051DA6">
      <w:pPr>
        <w:keepNext/>
        <w:suppressAutoHyphens/>
        <w:rPr>
          <w:sz w:val="22"/>
          <w:szCs w:val="22"/>
        </w:rPr>
      </w:pPr>
      <w:r w:rsidRPr="00887835">
        <w:rPr>
          <w:b/>
          <w:sz w:val="22"/>
          <w:szCs w:val="22"/>
        </w:rPr>
        <w:t>Gi beskjed til legen din umiddelbart dersom</w:t>
      </w:r>
      <w:r w:rsidRPr="0061743D">
        <w:rPr>
          <w:b/>
          <w:sz w:val="22"/>
        </w:rPr>
        <w:t xml:space="preserve"> du merker noe av det følgende</w:t>
      </w:r>
    </w:p>
    <w:p w14:paraId="3463D28B" w14:textId="77777777" w:rsidR="00CF7F58" w:rsidRPr="009C5EFD" w:rsidRDefault="00CF7F58" w:rsidP="00051DA6">
      <w:pPr>
        <w:keepNext/>
        <w:suppressAutoHyphens/>
        <w:rPr>
          <w:sz w:val="22"/>
          <w:szCs w:val="22"/>
        </w:rPr>
      </w:pPr>
    </w:p>
    <w:p w14:paraId="7490E6E0" w14:textId="77777777" w:rsidR="00CF7F58" w:rsidRPr="009C5EFD" w:rsidRDefault="00E453CD" w:rsidP="00776A84">
      <w:pPr>
        <w:numPr>
          <w:ilvl w:val="0"/>
          <w:numId w:val="7"/>
        </w:numPr>
        <w:tabs>
          <w:tab w:val="clear" w:pos="720"/>
          <w:tab w:val="num" w:pos="567"/>
        </w:tabs>
        <w:suppressAutoHyphens/>
        <w:ind w:left="544" w:hanging="544"/>
        <w:rPr>
          <w:sz w:val="22"/>
          <w:szCs w:val="22"/>
        </w:rPr>
      </w:pPr>
      <w:r>
        <w:rPr>
          <w:sz w:val="22"/>
          <w:szCs w:val="22"/>
        </w:rPr>
        <w:t>a</w:t>
      </w:r>
      <w:r w:rsidRPr="009C5EFD">
        <w:rPr>
          <w:sz w:val="22"/>
          <w:szCs w:val="22"/>
        </w:rPr>
        <w:t>lvorlig utslett, elveblest eller andre tegn på allergisk reaksjon</w:t>
      </w:r>
    </w:p>
    <w:p w14:paraId="75F60B0B" w14:textId="77777777" w:rsidR="00CF7F58"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h</w:t>
      </w:r>
      <w:r w:rsidRPr="009C5EFD">
        <w:rPr>
          <w:sz w:val="22"/>
          <w:szCs w:val="22"/>
        </w:rPr>
        <w:t>ovent ansikt, hender, føtter</w:t>
      </w:r>
    </w:p>
    <w:p w14:paraId="7B12A5F2" w14:textId="77777777" w:rsidR="00CF7F58"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p</w:t>
      </w:r>
      <w:r w:rsidRPr="009C5EFD">
        <w:rPr>
          <w:sz w:val="22"/>
          <w:szCs w:val="22"/>
        </w:rPr>
        <w:t>uste-, svelgebesvær</w:t>
      </w:r>
    </w:p>
    <w:p w14:paraId="157525FC" w14:textId="77777777" w:rsidR="00CF7F58" w:rsidRPr="009C5EFD" w:rsidRDefault="00E453CD" w:rsidP="00776A84">
      <w:pPr>
        <w:numPr>
          <w:ilvl w:val="0"/>
          <w:numId w:val="7"/>
        </w:numPr>
        <w:tabs>
          <w:tab w:val="clear" w:pos="720"/>
          <w:tab w:val="num" w:pos="567"/>
        </w:tabs>
        <w:suppressAutoHyphens/>
        <w:ind w:left="567" w:hanging="567"/>
        <w:rPr>
          <w:sz w:val="22"/>
          <w:szCs w:val="22"/>
        </w:rPr>
      </w:pPr>
      <w:r>
        <w:rPr>
          <w:sz w:val="22"/>
          <w:szCs w:val="22"/>
        </w:rPr>
        <w:t>k</w:t>
      </w:r>
      <w:r w:rsidRPr="009C5EFD">
        <w:rPr>
          <w:sz w:val="22"/>
          <w:szCs w:val="22"/>
        </w:rPr>
        <w:t xml:space="preserve">ortpustethet i forbindelse med </w:t>
      </w:r>
      <w:r>
        <w:rPr>
          <w:sz w:val="22"/>
          <w:szCs w:val="22"/>
        </w:rPr>
        <w:t>fysisk aktivitet</w:t>
      </w:r>
      <w:r w:rsidRPr="009C5EFD">
        <w:rPr>
          <w:sz w:val="22"/>
          <w:szCs w:val="22"/>
        </w:rPr>
        <w:t xml:space="preserve"> eller når man ligger ned, eller hevelse i føttene</w:t>
      </w:r>
    </w:p>
    <w:p w14:paraId="4A3EEBC5" w14:textId="77777777" w:rsidR="00CF7F58" w:rsidRPr="009C5EFD" w:rsidRDefault="00CF7F58" w:rsidP="00CF7F58">
      <w:pPr>
        <w:tabs>
          <w:tab w:val="num" w:pos="567"/>
        </w:tabs>
        <w:suppressAutoHyphens/>
        <w:ind w:left="567" w:hanging="567"/>
        <w:rPr>
          <w:sz w:val="22"/>
          <w:szCs w:val="22"/>
        </w:rPr>
      </w:pPr>
    </w:p>
    <w:p w14:paraId="6AE7B962" w14:textId="77777777" w:rsidR="00CF7F58" w:rsidRPr="009C5EFD" w:rsidRDefault="00E453CD" w:rsidP="00776A84">
      <w:pPr>
        <w:keepNext/>
        <w:tabs>
          <w:tab w:val="num" w:pos="567"/>
        </w:tabs>
        <w:suppressAutoHyphens/>
        <w:ind w:left="567" w:hanging="567"/>
        <w:rPr>
          <w:sz w:val="22"/>
          <w:szCs w:val="22"/>
        </w:rPr>
      </w:pPr>
      <w:r w:rsidRPr="0061743D">
        <w:rPr>
          <w:b/>
          <w:sz w:val="22"/>
        </w:rPr>
        <w:t xml:space="preserve">Gi beskjed til legen </w:t>
      </w:r>
      <w:r w:rsidRPr="00887835">
        <w:rPr>
          <w:b/>
          <w:sz w:val="22"/>
          <w:szCs w:val="22"/>
        </w:rPr>
        <w:t xml:space="preserve">din </w:t>
      </w:r>
      <w:r w:rsidRPr="0061743D">
        <w:rPr>
          <w:b/>
          <w:sz w:val="22"/>
        </w:rPr>
        <w:t>så raskt som mulig dersom du merker noe av dette</w:t>
      </w:r>
    </w:p>
    <w:p w14:paraId="56BFD61E" w14:textId="77777777" w:rsidR="00CF7F58" w:rsidRPr="009C5EFD" w:rsidRDefault="00CF7F58" w:rsidP="00776A84">
      <w:pPr>
        <w:keepNext/>
        <w:tabs>
          <w:tab w:val="num" w:pos="567"/>
        </w:tabs>
        <w:suppressAutoHyphens/>
        <w:ind w:left="567" w:hanging="567"/>
        <w:rPr>
          <w:sz w:val="22"/>
          <w:szCs w:val="22"/>
        </w:rPr>
      </w:pPr>
    </w:p>
    <w:p w14:paraId="18861DEF"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t</w:t>
      </w:r>
      <w:r w:rsidRPr="009C5EFD">
        <w:rPr>
          <w:sz w:val="22"/>
          <w:szCs w:val="22"/>
        </w:rPr>
        <w:t>egn på infeksjoner, som feber, uvelhet, sår, tannproblemer, svie ved vannlating</w:t>
      </w:r>
    </w:p>
    <w:p w14:paraId="6C3715EA"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f</w:t>
      </w:r>
      <w:r w:rsidRPr="009C5EFD">
        <w:rPr>
          <w:sz w:val="22"/>
          <w:szCs w:val="22"/>
        </w:rPr>
        <w:t>ølelse av svakhet eller tretthet</w:t>
      </w:r>
    </w:p>
    <w:p w14:paraId="1850A5C6"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h</w:t>
      </w:r>
      <w:r w:rsidRPr="009C5EFD">
        <w:rPr>
          <w:sz w:val="22"/>
          <w:szCs w:val="22"/>
        </w:rPr>
        <w:t>oste</w:t>
      </w:r>
    </w:p>
    <w:p w14:paraId="68F468D4"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p</w:t>
      </w:r>
      <w:r w:rsidRPr="009C5EFD">
        <w:rPr>
          <w:sz w:val="22"/>
          <w:szCs w:val="22"/>
        </w:rPr>
        <w:t>rikking</w:t>
      </w:r>
    </w:p>
    <w:p w14:paraId="03668D4C"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n</w:t>
      </w:r>
      <w:r w:rsidRPr="009C5EFD">
        <w:rPr>
          <w:sz w:val="22"/>
          <w:szCs w:val="22"/>
        </w:rPr>
        <w:t>ummenhet</w:t>
      </w:r>
    </w:p>
    <w:p w14:paraId="10474EE4"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d</w:t>
      </w:r>
      <w:r w:rsidRPr="009C5EFD">
        <w:rPr>
          <w:sz w:val="22"/>
          <w:szCs w:val="22"/>
        </w:rPr>
        <w:t>obbeltsyn</w:t>
      </w:r>
    </w:p>
    <w:p w14:paraId="1AAA2FBC"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s</w:t>
      </w:r>
      <w:r w:rsidRPr="009C5EFD">
        <w:rPr>
          <w:sz w:val="22"/>
          <w:szCs w:val="22"/>
        </w:rPr>
        <w:t>vakhet i armer eller bein</w:t>
      </w:r>
    </w:p>
    <w:p w14:paraId="0DF60DE6"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e</w:t>
      </w:r>
      <w:r w:rsidRPr="009C5EFD">
        <w:rPr>
          <w:sz w:val="22"/>
          <w:szCs w:val="22"/>
        </w:rPr>
        <w:t>n kul eller åpent sår som ikke gror</w:t>
      </w:r>
    </w:p>
    <w:p w14:paraId="337FF8C9" w14:textId="77777777" w:rsidR="00CF7F58" w:rsidRPr="009C5EFD" w:rsidRDefault="00E453CD" w:rsidP="00CF7F58">
      <w:pPr>
        <w:numPr>
          <w:ilvl w:val="0"/>
          <w:numId w:val="8"/>
        </w:numPr>
        <w:tabs>
          <w:tab w:val="clear" w:pos="720"/>
          <w:tab w:val="num" w:pos="567"/>
        </w:tabs>
        <w:suppressAutoHyphens/>
        <w:ind w:left="567" w:hanging="567"/>
        <w:rPr>
          <w:sz w:val="22"/>
          <w:szCs w:val="22"/>
        </w:rPr>
      </w:pPr>
      <w:r>
        <w:rPr>
          <w:sz w:val="22"/>
          <w:szCs w:val="22"/>
        </w:rPr>
        <w:t>t</w:t>
      </w:r>
      <w:r w:rsidRPr="009C5EFD">
        <w:rPr>
          <w:sz w:val="22"/>
          <w:szCs w:val="22"/>
        </w:rPr>
        <w:t xml:space="preserve">egn og symptomer på blodsykdommer som </w:t>
      </w:r>
      <w:r>
        <w:rPr>
          <w:sz w:val="22"/>
          <w:szCs w:val="22"/>
        </w:rPr>
        <w:t>f.eks.</w:t>
      </w:r>
      <w:r w:rsidRPr="009C5EFD">
        <w:rPr>
          <w:sz w:val="22"/>
          <w:szCs w:val="22"/>
        </w:rPr>
        <w:t xml:space="preserve"> vedvarende feber, blåmerker, blødninger, blekhet</w:t>
      </w:r>
    </w:p>
    <w:p w14:paraId="4F7814C1" w14:textId="77777777" w:rsidR="00CF7F58" w:rsidRPr="009C5EFD" w:rsidRDefault="00CF7F58" w:rsidP="00CF7F58">
      <w:pPr>
        <w:suppressAutoHyphens/>
        <w:rPr>
          <w:sz w:val="22"/>
          <w:szCs w:val="22"/>
        </w:rPr>
      </w:pPr>
    </w:p>
    <w:p w14:paraId="4CC112DE" w14:textId="77777777" w:rsidR="00CF7F58" w:rsidRPr="009C5EFD" w:rsidRDefault="00E453CD" w:rsidP="00CF7F58">
      <w:pPr>
        <w:suppressAutoHyphens/>
        <w:rPr>
          <w:sz w:val="22"/>
          <w:szCs w:val="22"/>
        </w:rPr>
      </w:pPr>
      <w:r w:rsidRPr="009C5EFD">
        <w:rPr>
          <w:sz w:val="22"/>
          <w:szCs w:val="22"/>
        </w:rPr>
        <w:t>Symptomene beskrevet over kan være tegn på bivirkningene nedenfor, som er sett med Humira</w:t>
      </w:r>
      <w:r>
        <w:rPr>
          <w:sz w:val="22"/>
          <w:szCs w:val="22"/>
        </w:rPr>
        <w:t>.</w:t>
      </w:r>
    </w:p>
    <w:p w14:paraId="25FDB7ED" w14:textId="77777777" w:rsidR="00CF7F58" w:rsidRPr="009C5EFD" w:rsidRDefault="00CF7F58" w:rsidP="00CF7F58">
      <w:pPr>
        <w:suppressAutoHyphens/>
        <w:rPr>
          <w:sz w:val="22"/>
          <w:szCs w:val="22"/>
        </w:rPr>
      </w:pPr>
    </w:p>
    <w:p w14:paraId="1185BA72" w14:textId="77777777" w:rsidR="00CF7F58" w:rsidRDefault="00E453CD" w:rsidP="00776A84">
      <w:pPr>
        <w:keepNext/>
        <w:suppressAutoHyphens/>
        <w:rPr>
          <w:sz w:val="22"/>
          <w:szCs w:val="22"/>
        </w:rPr>
      </w:pPr>
      <w:r w:rsidRPr="0061743D">
        <w:rPr>
          <w:b/>
          <w:sz w:val="22"/>
        </w:rPr>
        <w:t>Svært vanlige</w:t>
      </w:r>
      <w:r w:rsidRPr="009C5EFD">
        <w:rPr>
          <w:sz w:val="22"/>
          <w:szCs w:val="22"/>
        </w:rPr>
        <w:t xml:space="preserve"> (kan forekomme hos flere enn 1 av 10 personer)</w:t>
      </w:r>
    </w:p>
    <w:p w14:paraId="524E557F" w14:textId="77777777" w:rsidR="00CF7F58" w:rsidRPr="009C5EFD" w:rsidRDefault="00CF7F58" w:rsidP="00776A84">
      <w:pPr>
        <w:keepNext/>
        <w:suppressAutoHyphens/>
        <w:rPr>
          <w:sz w:val="22"/>
          <w:szCs w:val="22"/>
        </w:rPr>
      </w:pPr>
    </w:p>
    <w:p w14:paraId="2232B7D0"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reaksjoner på injeksjonsstedet (inkludert smerte</w:t>
      </w:r>
      <w:r>
        <w:rPr>
          <w:sz w:val="22"/>
          <w:szCs w:val="22"/>
        </w:rPr>
        <w:t>r</w:t>
      </w:r>
      <w:r w:rsidRPr="009C5EFD">
        <w:rPr>
          <w:sz w:val="22"/>
          <w:szCs w:val="22"/>
        </w:rPr>
        <w:t>, hevelse, rødme eller kløe)</w:t>
      </w:r>
    </w:p>
    <w:p w14:paraId="0EC275C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luftveisinfeksjon (inkludert forkjølelse, rennende nese, bihulebetennelse, lungebetennelse)</w:t>
      </w:r>
    </w:p>
    <w:p w14:paraId="552C937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hodepine</w:t>
      </w:r>
    </w:p>
    <w:p w14:paraId="2A21AC46"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smerter i buken</w:t>
      </w:r>
    </w:p>
    <w:p w14:paraId="68DAB8D1"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kvalme og oppkast</w:t>
      </w:r>
    </w:p>
    <w:p w14:paraId="29F11D6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utslett</w:t>
      </w:r>
    </w:p>
    <w:p w14:paraId="22015BA6"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smerter i muskler og skjelett</w:t>
      </w:r>
    </w:p>
    <w:p w14:paraId="2925AC5F" w14:textId="77777777" w:rsidR="00CF7F58" w:rsidRPr="009C5EFD" w:rsidRDefault="00CF7F58" w:rsidP="00CF7F58">
      <w:pPr>
        <w:pStyle w:val="EndnoteText"/>
        <w:widowControl/>
        <w:tabs>
          <w:tab w:val="clear" w:pos="567"/>
        </w:tabs>
        <w:suppressAutoHyphens/>
        <w:rPr>
          <w:szCs w:val="22"/>
          <w:lang w:val="nb-NO"/>
        </w:rPr>
      </w:pPr>
    </w:p>
    <w:p w14:paraId="255293C7" w14:textId="77777777" w:rsidR="00CF7F58" w:rsidRDefault="00E453CD" w:rsidP="00776A84">
      <w:pPr>
        <w:keepNext/>
        <w:suppressAutoHyphens/>
        <w:rPr>
          <w:sz w:val="22"/>
          <w:szCs w:val="22"/>
        </w:rPr>
      </w:pPr>
      <w:r w:rsidRPr="0061743D">
        <w:rPr>
          <w:b/>
          <w:sz w:val="22"/>
        </w:rPr>
        <w:t>Vanlige</w:t>
      </w:r>
      <w:r w:rsidRPr="009C5EFD">
        <w:rPr>
          <w:sz w:val="22"/>
          <w:szCs w:val="22"/>
        </w:rPr>
        <w:t xml:space="preserve"> (kan forekomme hos opptil 1 av 10 personer)</w:t>
      </w:r>
    </w:p>
    <w:p w14:paraId="6BFBF5E8" w14:textId="77777777" w:rsidR="00CF7F58" w:rsidRPr="009C5EFD" w:rsidRDefault="00CF7F58" w:rsidP="00776A84">
      <w:pPr>
        <w:keepNext/>
        <w:suppressAutoHyphens/>
        <w:rPr>
          <w:sz w:val="22"/>
          <w:szCs w:val="22"/>
        </w:rPr>
      </w:pPr>
    </w:p>
    <w:p w14:paraId="3C15C376" w14:textId="77777777" w:rsidR="00CF7F58" w:rsidRPr="00BD2249" w:rsidRDefault="00E453CD" w:rsidP="00CF7F58">
      <w:pPr>
        <w:numPr>
          <w:ilvl w:val="0"/>
          <w:numId w:val="9"/>
        </w:numPr>
        <w:tabs>
          <w:tab w:val="clear" w:pos="720"/>
          <w:tab w:val="num" w:pos="540"/>
        </w:tabs>
        <w:suppressAutoHyphens/>
        <w:ind w:left="540" w:hanging="540"/>
        <w:rPr>
          <w:sz w:val="22"/>
          <w:szCs w:val="22"/>
        </w:rPr>
      </w:pPr>
      <w:r>
        <w:rPr>
          <w:sz w:val="22"/>
          <w:szCs w:val="22"/>
        </w:rPr>
        <w:t>alvorlige</w:t>
      </w:r>
      <w:r w:rsidR="00BD2249" w:rsidRPr="009C5EFD">
        <w:rPr>
          <w:sz w:val="22"/>
          <w:szCs w:val="22"/>
        </w:rPr>
        <w:t xml:space="preserve"> </w:t>
      </w:r>
      <w:r w:rsidRPr="009C5EFD">
        <w:rPr>
          <w:sz w:val="22"/>
          <w:szCs w:val="22"/>
        </w:rPr>
        <w:t>infeksjoner (inkludert blodforgiftning og influensa</w:t>
      </w:r>
      <w:r w:rsidRPr="00051CE1">
        <w:rPr>
          <w:sz w:val="22"/>
        </w:rPr>
        <w:t>)</w:t>
      </w:r>
    </w:p>
    <w:p w14:paraId="29F85B36" w14:textId="77777777" w:rsidR="00BD2249" w:rsidRPr="009C5EFD" w:rsidRDefault="00E453CD" w:rsidP="00CF7F58">
      <w:pPr>
        <w:numPr>
          <w:ilvl w:val="0"/>
          <w:numId w:val="9"/>
        </w:numPr>
        <w:tabs>
          <w:tab w:val="clear" w:pos="720"/>
          <w:tab w:val="num" w:pos="540"/>
        </w:tabs>
        <w:suppressAutoHyphens/>
        <w:ind w:left="540" w:hanging="540"/>
        <w:rPr>
          <w:sz w:val="22"/>
          <w:szCs w:val="22"/>
        </w:rPr>
      </w:pPr>
      <w:r>
        <w:rPr>
          <w:sz w:val="22"/>
        </w:rPr>
        <w:t>mageinfeksjon (inkludert gastroenteritt)</w:t>
      </w:r>
    </w:p>
    <w:p w14:paraId="37CFFC30"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9C5EFD">
        <w:rPr>
          <w:sz w:val="22"/>
          <w:szCs w:val="22"/>
        </w:rPr>
        <w:t>hudinfeksjon (inkludert cellulitt (betennelse med hevelse og ømhet i bindevev) og helvetesild</w:t>
      </w:r>
      <w:r w:rsidRPr="00051CE1">
        <w:rPr>
          <w:sz w:val="22"/>
        </w:rPr>
        <w:t>)</w:t>
      </w:r>
    </w:p>
    <w:p w14:paraId="410A818C"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øreinfeksjon</w:t>
      </w:r>
    </w:p>
    <w:p w14:paraId="4B18B5F8"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9C5EFD">
        <w:rPr>
          <w:sz w:val="22"/>
          <w:szCs w:val="22"/>
        </w:rPr>
        <w:t>munninfeksjon (inkludert tanninfeksjoner og forkjølelsessår</w:t>
      </w:r>
      <w:r w:rsidRPr="00051CE1">
        <w:rPr>
          <w:sz w:val="22"/>
        </w:rPr>
        <w:t>)</w:t>
      </w:r>
    </w:p>
    <w:p w14:paraId="0E09CA55"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infeksjoner i forplantningskanal</w:t>
      </w:r>
    </w:p>
    <w:p w14:paraId="28A3CD30"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urinveisinfeksjon</w:t>
      </w:r>
    </w:p>
    <w:p w14:paraId="2F0367A8"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 xml:space="preserve">soppinfeksjon </w:t>
      </w:r>
    </w:p>
    <w:p w14:paraId="30AC5ADE"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leddinfeksjoner</w:t>
      </w:r>
    </w:p>
    <w:p w14:paraId="5F26D163"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godartede tumorer</w:t>
      </w:r>
    </w:p>
    <w:p w14:paraId="6F3B9B87"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hudkreft</w:t>
      </w:r>
    </w:p>
    <w:p w14:paraId="5CCA7EB4"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allergiske reaksjoner (inkludert sesongallergi</w:t>
      </w:r>
      <w:r w:rsidRPr="00887835">
        <w:rPr>
          <w:sz w:val="22"/>
          <w:lang w:val="en-GB"/>
        </w:rPr>
        <w:t>)</w:t>
      </w:r>
    </w:p>
    <w:p w14:paraId="5F6BB88C"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dehydrering</w:t>
      </w:r>
    </w:p>
    <w:p w14:paraId="4293C80C" w14:textId="77777777" w:rsidR="00CF7F58" w:rsidRPr="0061743D" w:rsidRDefault="00E453CD" w:rsidP="00CF7F58">
      <w:pPr>
        <w:numPr>
          <w:ilvl w:val="0"/>
          <w:numId w:val="9"/>
        </w:numPr>
        <w:tabs>
          <w:tab w:val="clear" w:pos="720"/>
          <w:tab w:val="num" w:pos="540"/>
        </w:tabs>
        <w:suppressAutoHyphens/>
        <w:ind w:left="547" w:hanging="547"/>
        <w:rPr>
          <w:sz w:val="22"/>
          <w:lang w:val="en-GB"/>
        </w:rPr>
      </w:pPr>
      <w:r w:rsidRPr="0061743D">
        <w:rPr>
          <w:sz w:val="22"/>
          <w:lang w:val="en-GB"/>
        </w:rPr>
        <w:t>humørsvingninger (inkludert depresjon</w:t>
      </w:r>
      <w:r w:rsidRPr="00887835">
        <w:rPr>
          <w:sz w:val="22"/>
          <w:lang w:val="en-GB"/>
        </w:rPr>
        <w:t>)</w:t>
      </w:r>
    </w:p>
    <w:p w14:paraId="3A6E517F"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angst</w:t>
      </w:r>
    </w:p>
    <w:p w14:paraId="35394683"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lastRenderedPageBreak/>
        <w:t>søvnvansker</w:t>
      </w:r>
    </w:p>
    <w:p w14:paraId="7152CD1A"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9C5EFD">
        <w:rPr>
          <w:sz w:val="22"/>
          <w:szCs w:val="22"/>
        </w:rPr>
        <w:t>sanseforstyrrelser som kribling, prikking eller nummenhet</w:t>
      </w:r>
    </w:p>
    <w:p w14:paraId="10936385"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migrene</w:t>
      </w:r>
    </w:p>
    <w:p w14:paraId="015DAF93"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9C5EFD">
        <w:rPr>
          <w:sz w:val="22"/>
          <w:szCs w:val="22"/>
        </w:rPr>
        <w:t xml:space="preserve">kompresjon av nerverot (inkludert smerter i korsryggen og i </w:t>
      </w:r>
      <w:r>
        <w:rPr>
          <w:sz w:val="22"/>
          <w:szCs w:val="22"/>
        </w:rPr>
        <w:t>beina</w:t>
      </w:r>
      <w:r w:rsidRPr="00051CE1">
        <w:rPr>
          <w:sz w:val="22"/>
        </w:rPr>
        <w:t>)</w:t>
      </w:r>
    </w:p>
    <w:p w14:paraId="02254E1B"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synsforstyrrelser</w:t>
      </w:r>
    </w:p>
    <w:p w14:paraId="6C322205"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øyeinfeksjon</w:t>
      </w:r>
    </w:p>
    <w:p w14:paraId="5A5018B4"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9C5EFD">
        <w:rPr>
          <w:sz w:val="22"/>
          <w:szCs w:val="22"/>
        </w:rPr>
        <w:t>betennelse i øyelokk og opphovnet øye</w:t>
      </w:r>
    </w:p>
    <w:p w14:paraId="4DD09EDC"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273C8E">
        <w:rPr>
          <w:sz w:val="22"/>
        </w:rPr>
        <w:t xml:space="preserve">følelse av </w:t>
      </w:r>
      <w:r w:rsidRPr="009C5EFD">
        <w:rPr>
          <w:sz w:val="22"/>
          <w:szCs w:val="22"/>
        </w:rPr>
        <w:t>svimmelhet</w:t>
      </w:r>
      <w:r w:rsidRPr="00E91E4A">
        <w:rPr>
          <w:sz w:val="22"/>
        </w:rPr>
        <w:t xml:space="preserve"> eller av å spinne</w:t>
      </w:r>
    </w:p>
    <w:p w14:paraId="576B4639" w14:textId="77777777" w:rsidR="00CF7F58" w:rsidRPr="009C5EFD" w:rsidRDefault="00E453CD" w:rsidP="00CF7F58">
      <w:pPr>
        <w:numPr>
          <w:ilvl w:val="0"/>
          <w:numId w:val="9"/>
        </w:numPr>
        <w:tabs>
          <w:tab w:val="clear" w:pos="720"/>
          <w:tab w:val="num" w:pos="540"/>
        </w:tabs>
        <w:suppressAutoHyphens/>
        <w:ind w:left="540" w:hanging="540"/>
        <w:rPr>
          <w:sz w:val="22"/>
          <w:szCs w:val="22"/>
        </w:rPr>
      </w:pPr>
      <w:r w:rsidRPr="009C5EFD">
        <w:rPr>
          <w:sz w:val="22"/>
          <w:szCs w:val="22"/>
        </w:rPr>
        <w:t>følelse av at hjertet slår rask</w:t>
      </w:r>
      <w:r>
        <w:rPr>
          <w:sz w:val="22"/>
          <w:szCs w:val="22"/>
        </w:rPr>
        <w:t>t</w:t>
      </w:r>
    </w:p>
    <w:p w14:paraId="4971CC8D"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høyt blodtrykk</w:t>
      </w:r>
    </w:p>
    <w:p w14:paraId="2DC120E1" w14:textId="77777777" w:rsidR="00CF7F58" w:rsidRPr="0061743D" w:rsidRDefault="00E453CD" w:rsidP="00CF7F58">
      <w:pPr>
        <w:numPr>
          <w:ilvl w:val="0"/>
          <w:numId w:val="9"/>
        </w:numPr>
        <w:tabs>
          <w:tab w:val="clear" w:pos="720"/>
          <w:tab w:val="num" w:pos="540"/>
        </w:tabs>
        <w:suppressAutoHyphens/>
        <w:ind w:left="540" w:hanging="540"/>
        <w:rPr>
          <w:sz w:val="22"/>
          <w:lang w:val="en-GB"/>
        </w:rPr>
      </w:pPr>
      <w:r w:rsidRPr="0061743D">
        <w:rPr>
          <w:sz w:val="22"/>
          <w:lang w:val="en-GB"/>
        </w:rPr>
        <w:t>rødme</w:t>
      </w:r>
    </w:p>
    <w:p w14:paraId="6517218A"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 xml:space="preserve">blodansamling </w:t>
      </w:r>
      <w:r>
        <w:rPr>
          <w:sz w:val="22"/>
          <w:szCs w:val="22"/>
        </w:rPr>
        <w:t xml:space="preserve">utenfor blodårer </w:t>
      </w:r>
      <w:r w:rsidRPr="009C5EFD">
        <w:rPr>
          <w:sz w:val="22"/>
          <w:szCs w:val="22"/>
        </w:rPr>
        <w:t>(hematom)</w:t>
      </w:r>
    </w:p>
    <w:p w14:paraId="436EA81D"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hoste</w:t>
      </w:r>
    </w:p>
    <w:p w14:paraId="0734397B"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astma</w:t>
      </w:r>
    </w:p>
    <w:p w14:paraId="798DC818"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kortpusthet</w:t>
      </w:r>
    </w:p>
    <w:p w14:paraId="4F424B8F"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mageblødning</w:t>
      </w:r>
    </w:p>
    <w:p w14:paraId="3D599D1E"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dyspepsi (forstyrrelser i øvre mage-tarm-kanal, dårlig fordøyelse, oppblåsthet, halsbrann)</w:t>
      </w:r>
    </w:p>
    <w:p w14:paraId="31ED5E8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sure oppstøt</w:t>
      </w:r>
    </w:p>
    <w:p w14:paraId="7A4FC6E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Sjøgrens syndrom (inkludert tørre øyne og munn)</w:t>
      </w:r>
    </w:p>
    <w:p w14:paraId="618E09F8"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kløe</w:t>
      </w:r>
    </w:p>
    <w:p w14:paraId="212153BA"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kløende utslett</w:t>
      </w:r>
    </w:p>
    <w:p w14:paraId="1695B7E0"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blåmerke</w:t>
      </w:r>
    </w:p>
    <w:p w14:paraId="08BBD3C9"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hudbetennelse (som eksem)</w:t>
      </w:r>
    </w:p>
    <w:p w14:paraId="28B87D78"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brekking av fingernegl og tånegl</w:t>
      </w:r>
    </w:p>
    <w:p w14:paraId="48B227F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økt svette</w:t>
      </w:r>
    </w:p>
    <w:p w14:paraId="75B3A0CA"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hårtap</w:t>
      </w:r>
    </w:p>
    <w:p w14:paraId="072C6DD5"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nytt tilfelle eller forverring av psoriasis</w:t>
      </w:r>
    </w:p>
    <w:p w14:paraId="4E7E2F03"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muskelkramper</w:t>
      </w:r>
    </w:p>
    <w:p w14:paraId="59DE6D7D"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blod i urin</w:t>
      </w:r>
    </w:p>
    <w:p w14:paraId="451B47BA"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nyreproblemer</w:t>
      </w:r>
    </w:p>
    <w:p w14:paraId="429B72F4"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brystsmerter</w:t>
      </w:r>
    </w:p>
    <w:p w14:paraId="6095BFF3"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ødem</w:t>
      </w:r>
      <w:r>
        <w:rPr>
          <w:sz w:val="22"/>
          <w:szCs w:val="22"/>
        </w:rPr>
        <w:t xml:space="preserve"> (hevelse)</w:t>
      </w:r>
    </w:p>
    <w:p w14:paraId="6BF1A7CA"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feber</w:t>
      </w:r>
    </w:p>
    <w:p w14:paraId="30BEDA68"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reduksjon i blodplater som øker risiko for blødning eller blåmerke</w:t>
      </w:r>
    </w:p>
    <w:p w14:paraId="24CDA285" w14:textId="77777777" w:rsidR="00CF7F58" w:rsidRPr="009C5EFD" w:rsidRDefault="00E453CD" w:rsidP="00CF7F58">
      <w:pPr>
        <w:numPr>
          <w:ilvl w:val="0"/>
          <w:numId w:val="9"/>
        </w:numPr>
        <w:tabs>
          <w:tab w:val="clear" w:pos="720"/>
          <w:tab w:val="num" w:pos="540"/>
        </w:tabs>
        <w:suppressAutoHyphens/>
        <w:ind w:left="0" w:firstLine="0"/>
        <w:rPr>
          <w:sz w:val="22"/>
          <w:szCs w:val="22"/>
        </w:rPr>
      </w:pPr>
      <w:r w:rsidRPr="009C5EFD">
        <w:rPr>
          <w:sz w:val="22"/>
          <w:szCs w:val="22"/>
        </w:rPr>
        <w:t>svekket heling</w:t>
      </w:r>
    </w:p>
    <w:p w14:paraId="7FE0A0E1" w14:textId="77777777" w:rsidR="00CF7F58" w:rsidRPr="009C5EFD" w:rsidRDefault="00CF7F58" w:rsidP="00CF7F58">
      <w:pPr>
        <w:suppressAutoHyphens/>
        <w:rPr>
          <w:sz w:val="22"/>
          <w:szCs w:val="22"/>
        </w:rPr>
      </w:pPr>
    </w:p>
    <w:p w14:paraId="6788CC66" w14:textId="77777777" w:rsidR="00CF7F58" w:rsidRDefault="00E453CD" w:rsidP="00776A84">
      <w:pPr>
        <w:keepNext/>
        <w:suppressAutoHyphens/>
        <w:rPr>
          <w:sz w:val="22"/>
          <w:szCs w:val="22"/>
        </w:rPr>
      </w:pPr>
      <w:r w:rsidRPr="0061743D">
        <w:rPr>
          <w:b/>
          <w:sz w:val="22"/>
        </w:rPr>
        <w:t>Mindre vanlige</w:t>
      </w:r>
      <w:r w:rsidRPr="009C5EFD">
        <w:rPr>
          <w:sz w:val="22"/>
          <w:szCs w:val="22"/>
        </w:rPr>
        <w:t xml:space="preserve"> (kan forekomme hos opptil 1 av 100 personer)</w:t>
      </w:r>
    </w:p>
    <w:p w14:paraId="06165E38" w14:textId="77777777" w:rsidR="00CF7F58" w:rsidRPr="009C5EFD" w:rsidRDefault="00CF7F58" w:rsidP="00776A84">
      <w:pPr>
        <w:keepNext/>
        <w:suppressAutoHyphens/>
        <w:rPr>
          <w:sz w:val="22"/>
          <w:szCs w:val="22"/>
        </w:rPr>
      </w:pPr>
    </w:p>
    <w:p w14:paraId="232932CF"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 xml:space="preserve">opportunistiske infeksjoner (inkludert tuberkulose og andre infeksjoner som oppstår </w:t>
      </w:r>
      <w:r w:rsidR="008167D9">
        <w:rPr>
          <w:sz w:val="22"/>
          <w:szCs w:val="22"/>
        </w:rPr>
        <w:t>ved svekket immunforsvar</w:t>
      </w:r>
      <w:r w:rsidRPr="009C5EFD">
        <w:rPr>
          <w:sz w:val="22"/>
          <w:szCs w:val="22"/>
        </w:rPr>
        <w:t>)</w:t>
      </w:r>
    </w:p>
    <w:p w14:paraId="7E8EE5F8"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nevrologiske sykdommer (inkludert hjernehinnebetennelse)</w:t>
      </w:r>
    </w:p>
    <w:p w14:paraId="4B1952D4"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øyebetennelser</w:t>
      </w:r>
    </w:p>
    <w:p w14:paraId="258B730C"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bakterieinfeksjoner</w:t>
      </w:r>
    </w:p>
    <w:p w14:paraId="71C959A4"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divertikulitt (betennelse og infeksjon i tykktarmen)</w:t>
      </w:r>
    </w:p>
    <w:p w14:paraId="5480D0F4"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kreft</w:t>
      </w:r>
    </w:p>
    <w:p w14:paraId="6CDCFB87"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kreft som påvirker lymfesysteme</w:t>
      </w:r>
      <w:r w:rsidR="00134D89">
        <w:rPr>
          <w:sz w:val="22"/>
          <w:szCs w:val="22"/>
        </w:rPr>
        <w:t>t</w:t>
      </w:r>
    </w:p>
    <w:p w14:paraId="74AA508B"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melanom</w:t>
      </w:r>
    </w:p>
    <w:p w14:paraId="44E0D0EB"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forstyrrelser i immunsystemet som kan påvirke lungene, huden og lymfeknutene (vises vanligvis som sarkoidose)</w:t>
      </w:r>
    </w:p>
    <w:p w14:paraId="7FBB9AEA"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vaskulitt (betennelse i blodårene)</w:t>
      </w:r>
    </w:p>
    <w:p w14:paraId="5B32F127"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skjelving</w:t>
      </w:r>
    </w:p>
    <w:p w14:paraId="4C5A3F9B"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ne</w:t>
      </w:r>
      <w:r w:rsidR="00686D2C">
        <w:rPr>
          <w:sz w:val="22"/>
          <w:szCs w:val="22"/>
        </w:rPr>
        <w:t>v</w:t>
      </w:r>
      <w:r w:rsidRPr="009C5EFD">
        <w:rPr>
          <w:sz w:val="22"/>
          <w:szCs w:val="22"/>
        </w:rPr>
        <w:t>ropati</w:t>
      </w:r>
      <w:r>
        <w:rPr>
          <w:sz w:val="22"/>
          <w:szCs w:val="22"/>
        </w:rPr>
        <w:t xml:space="preserve"> (forstyrrelser av nerver)</w:t>
      </w:r>
    </w:p>
    <w:p w14:paraId="3D47005D"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slag</w:t>
      </w:r>
    </w:p>
    <w:p w14:paraId="67E5CE91"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hørseltap, øresus</w:t>
      </w:r>
    </w:p>
    <w:p w14:paraId="76328842"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lastRenderedPageBreak/>
        <w:t>følelse av at hjertet slår uregelmessig</w:t>
      </w:r>
    </w:p>
    <w:p w14:paraId="0BA24849"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hjerteproblemer som forårsaker andpustenhet eller hevelse i ankler</w:t>
      </w:r>
    </w:p>
    <w:p w14:paraId="6BBBD92E"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hjerteinfarkt</w:t>
      </w:r>
    </w:p>
    <w:p w14:paraId="2087B08D"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en utposning på veggen av en stor pulsåre, betennelse og blodpropp i en blodåre, blokade av et blodkar</w:t>
      </w:r>
    </w:p>
    <w:p w14:paraId="108CC800"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lungesykdom som forårsaker andpustenhet (inkludert betennelse)</w:t>
      </w:r>
    </w:p>
    <w:p w14:paraId="03E15303"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lungeemboli (blodpropp i en blodåre i lungene)</w:t>
      </w:r>
    </w:p>
    <w:p w14:paraId="763A579A"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Pr>
          <w:sz w:val="22"/>
          <w:szCs w:val="22"/>
        </w:rPr>
        <w:t>pleura</w:t>
      </w:r>
      <w:r w:rsidRPr="009C5EFD">
        <w:rPr>
          <w:sz w:val="22"/>
          <w:szCs w:val="22"/>
        </w:rPr>
        <w:t>væske (unormal samling av væske i lungesekken)</w:t>
      </w:r>
    </w:p>
    <w:p w14:paraId="373FB405"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betennelse i bukspyttkjertel som forårsaker sterke smerter i mage og rygg</w:t>
      </w:r>
    </w:p>
    <w:p w14:paraId="21E9EE13"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svelgeproblemer</w:t>
      </w:r>
    </w:p>
    <w:p w14:paraId="265F029B"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opphovnet ansikt</w:t>
      </w:r>
    </w:p>
    <w:p w14:paraId="25F3B486"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betennelse i galleb</w:t>
      </w:r>
      <w:r w:rsidR="0063083C">
        <w:rPr>
          <w:sz w:val="22"/>
          <w:szCs w:val="22"/>
        </w:rPr>
        <w:t>l</w:t>
      </w:r>
      <w:r w:rsidRPr="009C5EFD">
        <w:rPr>
          <w:sz w:val="22"/>
          <w:szCs w:val="22"/>
        </w:rPr>
        <w:t>ære</w:t>
      </w:r>
      <w:r w:rsidR="0063083C">
        <w:rPr>
          <w:sz w:val="22"/>
          <w:szCs w:val="22"/>
        </w:rPr>
        <w:t>n</w:t>
      </w:r>
      <w:r w:rsidRPr="009C5EFD">
        <w:rPr>
          <w:sz w:val="22"/>
          <w:szCs w:val="22"/>
        </w:rPr>
        <w:t>, gallestein</w:t>
      </w:r>
    </w:p>
    <w:p w14:paraId="116145B6"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fettlever</w:t>
      </w:r>
    </w:p>
    <w:p w14:paraId="5BBC001A"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nattesvette</w:t>
      </w:r>
    </w:p>
    <w:p w14:paraId="565CCCFF"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arrdannelse</w:t>
      </w:r>
    </w:p>
    <w:p w14:paraId="41312D86"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unormal muskeltap</w:t>
      </w:r>
    </w:p>
    <w:p w14:paraId="16AC542F"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systemisk lupus erythematosus (inkludert betennelser i hud, hjerte, lunge, ledd og andre organer)</w:t>
      </w:r>
    </w:p>
    <w:p w14:paraId="6C265521"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søvnforstyrrelser</w:t>
      </w:r>
    </w:p>
    <w:p w14:paraId="159CCCD3"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impotens</w:t>
      </w:r>
    </w:p>
    <w:p w14:paraId="3B6A7B9E" w14:textId="77777777" w:rsidR="00CF7F58" w:rsidRPr="009C5EFD" w:rsidRDefault="00E453CD" w:rsidP="00CF7F58">
      <w:pPr>
        <w:numPr>
          <w:ilvl w:val="0"/>
          <w:numId w:val="16"/>
        </w:numPr>
        <w:tabs>
          <w:tab w:val="clear" w:pos="720"/>
          <w:tab w:val="num" w:pos="540"/>
        </w:tabs>
        <w:suppressAutoHyphens/>
        <w:ind w:left="540" w:hanging="540"/>
        <w:rPr>
          <w:sz w:val="22"/>
          <w:szCs w:val="22"/>
        </w:rPr>
      </w:pPr>
      <w:r w:rsidRPr="009C5EFD">
        <w:rPr>
          <w:sz w:val="22"/>
          <w:szCs w:val="22"/>
        </w:rPr>
        <w:t>betennelser</w:t>
      </w:r>
    </w:p>
    <w:p w14:paraId="7F152261" w14:textId="77777777" w:rsidR="00CF7F58" w:rsidRPr="009C5EFD" w:rsidRDefault="00CF7F58" w:rsidP="00CF7F58">
      <w:pPr>
        <w:pStyle w:val="EMEAFigureTitle"/>
        <w:tabs>
          <w:tab w:val="clear" w:pos="562"/>
        </w:tabs>
        <w:rPr>
          <w:szCs w:val="22"/>
          <w:lang w:val="nb-NO"/>
        </w:rPr>
      </w:pPr>
    </w:p>
    <w:p w14:paraId="68D4D61A" w14:textId="77777777" w:rsidR="00CF7F58" w:rsidRPr="009C5EFD" w:rsidRDefault="00E453CD" w:rsidP="00776A84">
      <w:pPr>
        <w:keepNext/>
        <w:rPr>
          <w:sz w:val="22"/>
          <w:szCs w:val="22"/>
        </w:rPr>
      </w:pPr>
      <w:r w:rsidRPr="0061743D">
        <w:rPr>
          <w:b/>
          <w:sz w:val="22"/>
        </w:rPr>
        <w:t>Sjeldne</w:t>
      </w:r>
      <w:r w:rsidRPr="009C5EFD">
        <w:rPr>
          <w:sz w:val="22"/>
          <w:szCs w:val="22"/>
        </w:rPr>
        <w:t xml:space="preserve"> (kan forekomme hos opptil 1 av 1000 personer)</w:t>
      </w:r>
    </w:p>
    <w:p w14:paraId="48268ED1" w14:textId="77777777" w:rsidR="00CF7F58" w:rsidRPr="009C5EFD" w:rsidRDefault="00CF7F58" w:rsidP="00776A84">
      <w:pPr>
        <w:keepNext/>
        <w:rPr>
          <w:sz w:val="22"/>
          <w:szCs w:val="22"/>
        </w:rPr>
      </w:pPr>
    </w:p>
    <w:p w14:paraId="0A41CCEF"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leukemi (kreft som påvirker blod og benmarg)</w:t>
      </w:r>
    </w:p>
    <w:p w14:paraId="195F9A9C"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alvorlig allergisk reaksjon med sjokk</w:t>
      </w:r>
    </w:p>
    <w:p w14:paraId="03BB057A"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multippel sklerose</w:t>
      </w:r>
    </w:p>
    <w:p w14:paraId="38CDD2A4"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nerveforstyrrelser (som betennelse på øyenervene og Guillain-Barré syndrom som kan forårsake muskelsvakhet, unormale sanseinntrykk, prikking i armene og overkroppen)</w:t>
      </w:r>
    </w:p>
    <w:p w14:paraId="4B16B5B2"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hjertet slutter å pumpe</w:t>
      </w:r>
    </w:p>
    <w:p w14:paraId="41453885"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lungefibrose (arrdannelse i lungene)</w:t>
      </w:r>
    </w:p>
    <w:p w14:paraId="17960B67"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 xml:space="preserve">hull </w:t>
      </w:r>
      <w:r w:rsidR="0063083C">
        <w:rPr>
          <w:sz w:val="22"/>
          <w:szCs w:val="22"/>
        </w:rPr>
        <w:t>på</w:t>
      </w:r>
      <w:r w:rsidRPr="009C5EFD">
        <w:rPr>
          <w:sz w:val="22"/>
          <w:szCs w:val="22"/>
        </w:rPr>
        <w:t xml:space="preserve"> tarmen</w:t>
      </w:r>
      <w:r w:rsidR="0063083C">
        <w:rPr>
          <w:sz w:val="22"/>
          <w:szCs w:val="22"/>
        </w:rPr>
        <w:t xml:space="preserve"> (perforasjon)</w:t>
      </w:r>
    </w:p>
    <w:p w14:paraId="72403406"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hepatitt</w:t>
      </w:r>
    </w:p>
    <w:p w14:paraId="2418C092"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reaktivering av hepatitt B</w:t>
      </w:r>
    </w:p>
    <w:p w14:paraId="64A05437"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autoimmun hepatitt (leverbetennelse forårsaket av kroppens eget immunforsvar)</w:t>
      </w:r>
    </w:p>
    <w:p w14:paraId="75CB9E24"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betennelse i blodkarene i huden</w:t>
      </w:r>
    </w:p>
    <w:p w14:paraId="1F7EB4F4"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Stevens-Johnson syndrom (tidlige symptomer inkludert diffus følelse av ubehag og tretthet, feber, hodepine og utslett)</w:t>
      </w:r>
    </w:p>
    <w:p w14:paraId="5AF0C171"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ansiktsødem</w:t>
      </w:r>
      <w:r w:rsidRPr="001850A1">
        <w:rPr>
          <w:sz w:val="22"/>
          <w:szCs w:val="22"/>
        </w:rPr>
        <w:t xml:space="preserve"> </w:t>
      </w:r>
      <w:r>
        <w:rPr>
          <w:sz w:val="22"/>
          <w:szCs w:val="22"/>
        </w:rPr>
        <w:t>(</w:t>
      </w:r>
      <w:r w:rsidRPr="001850A1">
        <w:rPr>
          <w:sz w:val="22"/>
          <w:szCs w:val="22"/>
        </w:rPr>
        <w:t>opphovnet ansikt</w:t>
      </w:r>
      <w:r>
        <w:rPr>
          <w:sz w:val="22"/>
          <w:szCs w:val="22"/>
        </w:rPr>
        <w:t>)</w:t>
      </w:r>
      <w:r w:rsidRPr="009C5EFD">
        <w:rPr>
          <w:sz w:val="22"/>
          <w:szCs w:val="22"/>
        </w:rPr>
        <w:t xml:space="preserve"> i forbindelse med allergiske reaksjoner</w:t>
      </w:r>
    </w:p>
    <w:p w14:paraId="6139ECDB" w14:textId="77777777" w:rsidR="00CF7F58" w:rsidRPr="009C5EFD" w:rsidRDefault="00E453CD" w:rsidP="00CF7F58">
      <w:pPr>
        <w:numPr>
          <w:ilvl w:val="0"/>
          <w:numId w:val="15"/>
        </w:numPr>
        <w:tabs>
          <w:tab w:val="clear" w:pos="720"/>
          <w:tab w:val="num" w:pos="540"/>
        </w:tabs>
        <w:ind w:left="540" w:hanging="540"/>
        <w:rPr>
          <w:sz w:val="22"/>
          <w:szCs w:val="22"/>
        </w:rPr>
      </w:pPr>
      <w:r w:rsidRPr="009C5EFD">
        <w:rPr>
          <w:sz w:val="22"/>
          <w:szCs w:val="22"/>
        </w:rPr>
        <w:t>erythema multiforme (hudutslett med inflammasjon)</w:t>
      </w:r>
    </w:p>
    <w:p w14:paraId="0640817A" w14:textId="77777777" w:rsidR="00CF7F58" w:rsidRDefault="00E453CD" w:rsidP="00CF7F58">
      <w:pPr>
        <w:numPr>
          <w:ilvl w:val="0"/>
          <w:numId w:val="15"/>
        </w:numPr>
        <w:tabs>
          <w:tab w:val="clear" w:pos="720"/>
          <w:tab w:val="num" w:pos="540"/>
        </w:tabs>
        <w:ind w:left="540" w:hanging="540"/>
        <w:rPr>
          <w:sz w:val="22"/>
          <w:szCs w:val="22"/>
        </w:rPr>
      </w:pPr>
      <w:r w:rsidRPr="009C5EFD">
        <w:rPr>
          <w:sz w:val="22"/>
          <w:szCs w:val="22"/>
        </w:rPr>
        <w:t>lupuslignende syndrom</w:t>
      </w:r>
    </w:p>
    <w:p w14:paraId="73B3D8B8" w14:textId="77777777" w:rsidR="00BD2249" w:rsidRDefault="00E453CD" w:rsidP="00CF7F58">
      <w:pPr>
        <w:numPr>
          <w:ilvl w:val="0"/>
          <w:numId w:val="15"/>
        </w:numPr>
        <w:tabs>
          <w:tab w:val="clear" w:pos="720"/>
          <w:tab w:val="num" w:pos="540"/>
        </w:tabs>
        <w:ind w:left="540" w:hanging="540"/>
        <w:rPr>
          <w:sz w:val="22"/>
          <w:szCs w:val="22"/>
        </w:rPr>
      </w:pPr>
      <w:r>
        <w:rPr>
          <w:sz w:val="22"/>
          <w:szCs w:val="22"/>
        </w:rPr>
        <w:t>angioødem (lokalisert opphovning av huden)</w:t>
      </w:r>
    </w:p>
    <w:p w14:paraId="558DFBE9" w14:textId="77777777" w:rsidR="00A36D70" w:rsidRPr="00A36D70" w:rsidRDefault="00E453CD" w:rsidP="00A36D70">
      <w:pPr>
        <w:numPr>
          <w:ilvl w:val="0"/>
          <w:numId w:val="15"/>
        </w:numPr>
        <w:tabs>
          <w:tab w:val="clear" w:pos="720"/>
          <w:tab w:val="num" w:pos="540"/>
        </w:tabs>
        <w:ind w:left="540" w:hanging="540"/>
        <w:rPr>
          <w:sz w:val="22"/>
          <w:szCs w:val="22"/>
        </w:rPr>
      </w:pPr>
      <w:r>
        <w:rPr>
          <w:sz w:val="22"/>
          <w:szCs w:val="22"/>
        </w:rPr>
        <w:t>lichenoid hudreaksjon (kløende rødlig-lilla utslett)</w:t>
      </w:r>
    </w:p>
    <w:p w14:paraId="4305F73B" w14:textId="77777777" w:rsidR="00CF7F58" w:rsidRPr="009C5EFD" w:rsidRDefault="00CF7F58" w:rsidP="00CF7F58">
      <w:pPr>
        <w:rPr>
          <w:sz w:val="22"/>
          <w:szCs w:val="22"/>
        </w:rPr>
      </w:pPr>
    </w:p>
    <w:p w14:paraId="56EA6740" w14:textId="77777777" w:rsidR="00CF7F58" w:rsidRDefault="00E453CD" w:rsidP="00CF7F58">
      <w:pPr>
        <w:keepNext/>
        <w:rPr>
          <w:sz w:val="22"/>
          <w:szCs w:val="22"/>
        </w:rPr>
      </w:pPr>
      <w:r w:rsidRPr="0061743D">
        <w:rPr>
          <w:b/>
          <w:sz w:val="22"/>
        </w:rPr>
        <w:t>Ikke kjent</w:t>
      </w:r>
      <w:r w:rsidRPr="009C5EFD">
        <w:rPr>
          <w:sz w:val="22"/>
          <w:szCs w:val="22"/>
        </w:rPr>
        <w:t xml:space="preserve"> (</w:t>
      </w:r>
      <w:r w:rsidR="00E63B3E">
        <w:rPr>
          <w:sz w:val="22"/>
          <w:szCs w:val="22"/>
        </w:rPr>
        <w:t xml:space="preserve">frekvens </w:t>
      </w:r>
      <w:r w:rsidRPr="009C5EFD">
        <w:rPr>
          <w:sz w:val="22"/>
          <w:szCs w:val="22"/>
        </w:rPr>
        <w:t xml:space="preserve">kan ikke </w:t>
      </w:r>
      <w:r w:rsidR="00AA6C2E">
        <w:rPr>
          <w:sz w:val="22"/>
          <w:szCs w:val="22"/>
        </w:rPr>
        <w:t>anslås</w:t>
      </w:r>
      <w:r w:rsidRPr="009C5EFD">
        <w:rPr>
          <w:sz w:val="22"/>
          <w:szCs w:val="22"/>
        </w:rPr>
        <w:t xml:space="preserve"> ut ifra tilgjengelig</w:t>
      </w:r>
      <w:r w:rsidR="00E63B3E">
        <w:rPr>
          <w:sz w:val="22"/>
          <w:szCs w:val="22"/>
        </w:rPr>
        <w:t>e</w:t>
      </w:r>
      <w:r w:rsidRPr="009C5EFD">
        <w:rPr>
          <w:sz w:val="22"/>
          <w:szCs w:val="22"/>
        </w:rPr>
        <w:t xml:space="preserve"> data)</w:t>
      </w:r>
    </w:p>
    <w:p w14:paraId="7987F3C3" w14:textId="77777777" w:rsidR="00CF7F58" w:rsidRPr="009C5EFD" w:rsidRDefault="00CF7F58" w:rsidP="00CF7F58">
      <w:pPr>
        <w:keepNext/>
        <w:rPr>
          <w:sz w:val="22"/>
          <w:szCs w:val="22"/>
        </w:rPr>
      </w:pPr>
    </w:p>
    <w:p w14:paraId="6F9F8728" w14:textId="77777777" w:rsidR="00CF7F58" w:rsidRPr="009C5EFD" w:rsidRDefault="00E453CD" w:rsidP="00776A84">
      <w:pPr>
        <w:numPr>
          <w:ilvl w:val="0"/>
          <w:numId w:val="49"/>
        </w:numPr>
        <w:tabs>
          <w:tab w:val="clear" w:pos="720"/>
          <w:tab w:val="num" w:pos="567"/>
        </w:tabs>
        <w:ind w:left="567" w:hanging="567"/>
        <w:rPr>
          <w:sz w:val="22"/>
          <w:szCs w:val="22"/>
        </w:rPr>
      </w:pPr>
      <w:r w:rsidRPr="009C5EFD">
        <w:rPr>
          <w:sz w:val="22"/>
          <w:szCs w:val="22"/>
        </w:rPr>
        <w:t>hepatosplenisk T-cellelymfom (en sjelden form for blodkreft, som ofte er dødelig)</w:t>
      </w:r>
    </w:p>
    <w:p w14:paraId="56110B88" w14:textId="77777777" w:rsidR="00CF7F58" w:rsidRDefault="00E453CD" w:rsidP="00776A84">
      <w:pPr>
        <w:numPr>
          <w:ilvl w:val="0"/>
          <w:numId w:val="49"/>
        </w:numPr>
        <w:tabs>
          <w:tab w:val="clear" w:pos="720"/>
          <w:tab w:val="num" w:pos="567"/>
        </w:tabs>
        <w:ind w:left="567" w:hanging="567"/>
        <w:rPr>
          <w:sz w:val="22"/>
          <w:szCs w:val="22"/>
        </w:rPr>
      </w:pPr>
      <w:r w:rsidRPr="009C5EFD">
        <w:rPr>
          <w:sz w:val="22"/>
          <w:szCs w:val="22"/>
        </w:rPr>
        <w:t>merkelcellekarsinom (en type hudkreft)</w:t>
      </w:r>
    </w:p>
    <w:p w14:paraId="66F43FF0" w14:textId="77777777" w:rsidR="00EA0775" w:rsidRPr="00EA0775" w:rsidRDefault="00E453CD" w:rsidP="00EA0775">
      <w:pPr>
        <w:numPr>
          <w:ilvl w:val="0"/>
          <w:numId w:val="49"/>
        </w:numPr>
        <w:tabs>
          <w:tab w:val="clear" w:pos="720"/>
          <w:tab w:val="num" w:pos="567"/>
        </w:tabs>
        <w:ind w:left="567" w:hanging="567"/>
        <w:rPr>
          <w:sz w:val="22"/>
          <w:szCs w:val="22"/>
        </w:rPr>
      </w:pPr>
      <w:r w:rsidRPr="00EA0775">
        <w:rPr>
          <w:sz w:val="22"/>
          <w:szCs w:val="22"/>
        </w:rPr>
        <w:t>Kaposis sarkom, en sjelden krefttype relatert til infeksjon med humant herpes virus 8. Kaposis sarkom opptrer som oftest som lilla lesjoner i huden</w:t>
      </w:r>
    </w:p>
    <w:p w14:paraId="4345CABB" w14:textId="77777777" w:rsidR="00CF7F58" w:rsidRPr="009C5EFD" w:rsidRDefault="00E453CD" w:rsidP="00776A84">
      <w:pPr>
        <w:numPr>
          <w:ilvl w:val="0"/>
          <w:numId w:val="49"/>
        </w:numPr>
        <w:tabs>
          <w:tab w:val="clear" w:pos="720"/>
          <w:tab w:val="num" w:pos="567"/>
        </w:tabs>
        <w:ind w:left="567" w:hanging="567"/>
        <w:rPr>
          <w:sz w:val="22"/>
          <w:szCs w:val="22"/>
        </w:rPr>
      </w:pPr>
      <w:r w:rsidRPr="009C5EFD">
        <w:rPr>
          <w:sz w:val="22"/>
          <w:szCs w:val="22"/>
        </w:rPr>
        <w:t>leversvikt</w:t>
      </w:r>
    </w:p>
    <w:p w14:paraId="677F3B07" w14:textId="77777777" w:rsidR="00CF7F58" w:rsidRPr="009C5EFD" w:rsidRDefault="00E453CD" w:rsidP="00776A84">
      <w:pPr>
        <w:numPr>
          <w:ilvl w:val="0"/>
          <w:numId w:val="49"/>
        </w:numPr>
        <w:tabs>
          <w:tab w:val="clear" w:pos="720"/>
          <w:tab w:val="num" w:pos="567"/>
        </w:tabs>
        <w:ind w:left="567" w:hanging="567"/>
        <w:rPr>
          <w:sz w:val="22"/>
          <w:szCs w:val="22"/>
        </w:rPr>
      </w:pPr>
      <w:r w:rsidRPr="009C5EFD">
        <w:rPr>
          <w:sz w:val="22"/>
          <w:szCs w:val="22"/>
        </w:rPr>
        <w:t>forverring av en tilstand kalt dermatomyositt (forekommer som hudutslett ledsaget med muskelsvakhet)</w:t>
      </w:r>
    </w:p>
    <w:p w14:paraId="1708663E" w14:textId="77777777" w:rsidR="00915892" w:rsidRPr="00E90360" w:rsidRDefault="00E453CD" w:rsidP="00915892">
      <w:pPr>
        <w:numPr>
          <w:ilvl w:val="0"/>
          <w:numId w:val="49"/>
        </w:numPr>
        <w:tabs>
          <w:tab w:val="clear" w:pos="720"/>
          <w:tab w:val="num" w:pos="567"/>
        </w:tabs>
        <w:ind w:left="567" w:hanging="567"/>
        <w:rPr>
          <w:sz w:val="22"/>
          <w:szCs w:val="22"/>
        </w:rPr>
      </w:pPr>
      <w:r>
        <w:rPr>
          <w:sz w:val="22"/>
          <w:szCs w:val="22"/>
        </w:rPr>
        <w:t>vektøkning (for de fleste pasientene var vektøkningen liten)</w:t>
      </w:r>
    </w:p>
    <w:p w14:paraId="3847252D" w14:textId="77777777" w:rsidR="00CF7F58" w:rsidRPr="009C5EFD" w:rsidRDefault="00CF7F58" w:rsidP="00776A84">
      <w:pPr>
        <w:rPr>
          <w:sz w:val="22"/>
          <w:szCs w:val="22"/>
        </w:rPr>
      </w:pPr>
    </w:p>
    <w:p w14:paraId="1C6A0239" w14:textId="77777777" w:rsidR="00CF7F58" w:rsidRPr="009C5EFD" w:rsidRDefault="00E453CD" w:rsidP="00CF7F58">
      <w:pPr>
        <w:rPr>
          <w:sz w:val="22"/>
          <w:szCs w:val="22"/>
        </w:rPr>
      </w:pPr>
      <w:r w:rsidRPr="009C5EFD">
        <w:rPr>
          <w:sz w:val="22"/>
          <w:szCs w:val="22"/>
        </w:rPr>
        <w:lastRenderedPageBreak/>
        <w:t>Noen bivirkninger som er observert med Humira har ikke symptomer og kan bare vises gjennom blodprøver. Disse er:</w:t>
      </w:r>
    </w:p>
    <w:p w14:paraId="29E3F423" w14:textId="77777777" w:rsidR="00CF7F58" w:rsidRPr="009C5EFD" w:rsidRDefault="00CF7F58" w:rsidP="00CF7F58">
      <w:pPr>
        <w:rPr>
          <w:sz w:val="22"/>
          <w:szCs w:val="22"/>
        </w:rPr>
      </w:pPr>
    </w:p>
    <w:p w14:paraId="2919BBBB" w14:textId="77777777" w:rsidR="00CF7F58" w:rsidRDefault="00E453CD" w:rsidP="00776A84">
      <w:pPr>
        <w:keepNext/>
        <w:suppressAutoHyphens/>
        <w:rPr>
          <w:sz w:val="22"/>
          <w:szCs w:val="22"/>
        </w:rPr>
      </w:pPr>
      <w:r w:rsidRPr="0061743D">
        <w:rPr>
          <w:b/>
          <w:sz w:val="22"/>
        </w:rPr>
        <w:t>Svært vanlige</w:t>
      </w:r>
      <w:r w:rsidRPr="009C5EFD">
        <w:rPr>
          <w:sz w:val="22"/>
          <w:szCs w:val="22"/>
        </w:rPr>
        <w:t xml:space="preserve"> (kan forekomme hos flere enn 1 av 10 personer)</w:t>
      </w:r>
    </w:p>
    <w:p w14:paraId="5B43C6AE" w14:textId="77777777" w:rsidR="00CF7F58" w:rsidRPr="009C5EFD" w:rsidRDefault="00CF7F58" w:rsidP="00776A84">
      <w:pPr>
        <w:keepNext/>
        <w:suppressAutoHyphens/>
        <w:rPr>
          <w:sz w:val="22"/>
          <w:szCs w:val="22"/>
        </w:rPr>
      </w:pPr>
    </w:p>
    <w:p w14:paraId="5229E191"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lave blodverdier for hvite blodlegemer</w:t>
      </w:r>
    </w:p>
    <w:p w14:paraId="2BBF6825"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lave blodverdier for røde blodlegemer</w:t>
      </w:r>
    </w:p>
    <w:p w14:paraId="690B1F91"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forhøyede lipider i blod</w:t>
      </w:r>
    </w:p>
    <w:p w14:paraId="6AC6EC7E" w14:textId="77777777" w:rsidR="00CF7F58" w:rsidRPr="009C5EFD" w:rsidRDefault="00E453CD" w:rsidP="00CF7F58">
      <w:pPr>
        <w:numPr>
          <w:ilvl w:val="0"/>
          <w:numId w:val="15"/>
        </w:numPr>
        <w:tabs>
          <w:tab w:val="clear" w:pos="720"/>
          <w:tab w:val="num" w:pos="540"/>
        </w:tabs>
        <w:ind w:left="0" w:firstLine="0"/>
        <w:rPr>
          <w:sz w:val="22"/>
          <w:szCs w:val="22"/>
        </w:rPr>
      </w:pPr>
      <w:r w:rsidRPr="009C5EFD">
        <w:rPr>
          <w:sz w:val="22"/>
          <w:szCs w:val="22"/>
        </w:rPr>
        <w:t>forhøyede leverenzymer</w:t>
      </w:r>
    </w:p>
    <w:p w14:paraId="6C6B9069" w14:textId="77777777" w:rsidR="00CF7F58" w:rsidRPr="009C5EFD" w:rsidRDefault="00CF7F58" w:rsidP="00CF7F58">
      <w:pPr>
        <w:rPr>
          <w:sz w:val="22"/>
          <w:szCs w:val="22"/>
        </w:rPr>
      </w:pPr>
    </w:p>
    <w:p w14:paraId="7590090C" w14:textId="77777777" w:rsidR="00CF7F58" w:rsidRDefault="00E453CD" w:rsidP="00051DA6">
      <w:pPr>
        <w:keepNext/>
        <w:suppressAutoHyphens/>
        <w:rPr>
          <w:sz w:val="22"/>
          <w:szCs w:val="22"/>
        </w:rPr>
      </w:pPr>
      <w:r w:rsidRPr="0061743D">
        <w:rPr>
          <w:b/>
          <w:sz w:val="22"/>
        </w:rPr>
        <w:t>Vanlige</w:t>
      </w:r>
      <w:r w:rsidRPr="009C5EFD">
        <w:rPr>
          <w:sz w:val="22"/>
          <w:szCs w:val="22"/>
        </w:rPr>
        <w:t xml:space="preserve"> (kan forekomme hos opptil 1 av 10 personer)</w:t>
      </w:r>
    </w:p>
    <w:p w14:paraId="31B809C5" w14:textId="77777777" w:rsidR="00CF7F58" w:rsidRPr="009C5EFD" w:rsidRDefault="00CF7F58" w:rsidP="00051DA6">
      <w:pPr>
        <w:keepNext/>
        <w:suppressAutoHyphens/>
        <w:rPr>
          <w:sz w:val="22"/>
          <w:szCs w:val="22"/>
        </w:rPr>
      </w:pPr>
    </w:p>
    <w:p w14:paraId="7C5BA081"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høye blodverdier for hvite blodlegemer</w:t>
      </w:r>
    </w:p>
    <w:p w14:paraId="6229822D"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lave blodverdier for blodplater</w:t>
      </w:r>
    </w:p>
    <w:p w14:paraId="6D73E85D"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forhøyet urinsyre i blod</w:t>
      </w:r>
    </w:p>
    <w:p w14:paraId="12A626D5"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unormale blodverdier for natrium</w:t>
      </w:r>
    </w:p>
    <w:p w14:paraId="0B2C745A"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lave blodverdier for kalsium</w:t>
      </w:r>
    </w:p>
    <w:p w14:paraId="4378524C"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lave blodverdier for fosfat</w:t>
      </w:r>
    </w:p>
    <w:p w14:paraId="79FA10E3"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høyt blodsukker</w:t>
      </w:r>
    </w:p>
    <w:p w14:paraId="0966C828"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høye blodverdier for laktatdehydrogenase</w:t>
      </w:r>
    </w:p>
    <w:p w14:paraId="47196B64" w14:textId="77777777" w:rsidR="00CF7F58" w:rsidRDefault="00E453CD" w:rsidP="00776A84">
      <w:pPr>
        <w:numPr>
          <w:ilvl w:val="0"/>
          <w:numId w:val="15"/>
        </w:numPr>
        <w:tabs>
          <w:tab w:val="clear" w:pos="720"/>
          <w:tab w:val="num" w:pos="540"/>
        </w:tabs>
        <w:ind w:left="0" w:firstLine="0"/>
        <w:rPr>
          <w:sz w:val="22"/>
          <w:szCs w:val="22"/>
        </w:rPr>
      </w:pPr>
      <w:r w:rsidRPr="009C5EFD">
        <w:rPr>
          <w:sz w:val="22"/>
          <w:szCs w:val="22"/>
        </w:rPr>
        <w:t>tilstedeværelse av autoantistoffer i blod</w:t>
      </w:r>
    </w:p>
    <w:p w14:paraId="3539B265" w14:textId="77777777" w:rsidR="00C233B6" w:rsidRPr="00E90360" w:rsidRDefault="00E453CD" w:rsidP="00776A84">
      <w:pPr>
        <w:numPr>
          <w:ilvl w:val="0"/>
          <w:numId w:val="15"/>
        </w:numPr>
        <w:tabs>
          <w:tab w:val="clear" w:pos="720"/>
          <w:tab w:val="num" w:pos="540"/>
        </w:tabs>
        <w:ind w:left="0" w:firstLine="0"/>
        <w:rPr>
          <w:sz w:val="22"/>
          <w:szCs w:val="22"/>
        </w:rPr>
      </w:pPr>
      <w:r>
        <w:rPr>
          <w:sz w:val="22"/>
          <w:szCs w:val="22"/>
        </w:rPr>
        <w:t>lavt kaliumnivå i blodet</w:t>
      </w:r>
    </w:p>
    <w:p w14:paraId="017DA915" w14:textId="77777777" w:rsidR="00C233B6" w:rsidRDefault="00C233B6">
      <w:pPr>
        <w:rPr>
          <w:sz w:val="22"/>
          <w:szCs w:val="22"/>
        </w:rPr>
      </w:pPr>
    </w:p>
    <w:p w14:paraId="4CCC3CAE" w14:textId="77777777" w:rsidR="00C233B6" w:rsidRPr="00E90360" w:rsidRDefault="00E453CD" w:rsidP="00C233B6">
      <w:pPr>
        <w:keepNext/>
        <w:rPr>
          <w:sz w:val="22"/>
          <w:szCs w:val="22"/>
        </w:rPr>
      </w:pPr>
      <w:r>
        <w:rPr>
          <w:b/>
          <w:sz w:val="22"/>
        </w:rPr>
        <w:t>Mindre vanlige</w:t>
      </w:r>
      <w:r w:rsidRPr="00E90360">
        <w:rPr>
          <w:sz w:val="22"/>
          <w:szCs w:val="22"/>
        </w:rPr>
        <w:t xml:space="preserve"> (</w:t>
      </w:r>
      <w:r>
        <w:rPr>
          <w:sz w:val="22"/>
          <w:szCs w:val="22"/>
        </w:rPr>
        <w:t>kan forekomme hos opptil 1 av 100 personer</w:t>
      </w:r>
      <w:r w:rsidRPr="00E90360">
        <w:rPr>
          <w:sz w:val="22"/>
          <w:szCs w:val="22"/>
        </w:rPr>
        <w:t>)</w:t>
      </w:r>
    </w:p>
    <w:p w14:paraId="5240C5F0" w14:textId="77777777" w:rsidR="00C233B6" w:rsidRPr="00E90360" w:rsidRDefault="00C233B6" w:rsidP="00C233B6">
      <w:pPr>
        <w:keepNext/>
        <w:rPr>
          <w:sz w:val="22"/>
          <w:szCs w:val="22"/>
        </w:rPr>
      </w:pPr>
    </w:p>
    <w:p w14:paraId="19F66E9E" w14:textId="77777777" w:rsidR="00C233B6" w:rsidRPr="00C233B6" w:rsidRDefault="00E453CD" w:rsidP="00776A84">
      <w:pPr>
        <w:numPr>
          <w:ilvl w:val="0"/>
          <w:numId w:val="15"/>
        </w:numPr>
        <w:tabs>
          <w:tab w:val="clear" w:pos="720"/>
          <w:tab w:val="num" w:pos="540"/>
        </w:tabs>
        <w:ind w:left="0" w:firstLine="0"/>
        <w:rPr>
          <w:sz w:val="22"/>
          <w:szCs w:val="22"/>
        </w:rPr>
      </w:pPr>
      <w:r>
        <w:rPr>
          <w:sz w:val="22"/>
          <w:szCs w:val="22"/>
        </w:rPr>
        <w:t>forhøyede bilirubinverdier (leverblodprøve)</w:t>
      </w:r>
    </w:p>
    <w:p w14:paraId="1DFE627E" w14:textId="77777777" w:rsidR="00CF7F58" w:rsidRPr="009C5EFD" w:rsidRDefault="00CF7F58" w:rsidP="00CF7F58">
      <w:pPr>
        <w:rPr>
          <w:sz w:val="22"/>
          <w:szCs w:val="22"/>
        </w:rPr>
      </w:pPr>
    </w:p>
    <w:p w14:paraId="43152D00" w14:textId="77777777" w:rsidR="00CF7F58" w:rsidRPr="009C5EFD" w:rsidRDefault="00E453CD" w:rsidP="00A31787">
      <w:pPr>
        <w:keepNext/>
        <w:rPr>
          <w:sz w:val="22"/>
          <w:szCs w:val="22"/>
        </w:rPr>
      </w:pPr>
      <w:r w:rsidRPr="0061743D">
        <w:rPr>
          <w:b/>
          <w:sz w:val="22"/>
        </w:rPr>
        <w:t>Sjeldne</w:t>
      </w:r>
      <w:r w:rsidRPr="009C5EFD">
        <w:rPr>
          <w:sz w:val="22"/>
          <w:szCs w:val="22"/>
        </w:rPr>
        <w:t xml:space="preserve"> (kan forekomme hos opptil 1 av 1000 personer)</w:t>
      </w:r>
    </w:p>
    <w:p w14:paraId="1E6C3FCE" w14:textId="77777777" w:rsidR="00CF7F58" w:rsidRPr="009C5EFD" w:rsidRDefault="00CF7F58" w:rsidP="00A31787">
      <w:pPr>
        <w:keepNext/>
        <w:rPr>
          <w:sz w:val="22"/>
          <w:szCs w:val="22"/>
        </w:rPr>
      </w:pPr>
    </w:p>
    <w:p w14:paraId="39D87D68" w14:textId="77777777" w:rsidR="00CF7F58" w:rsidRPr="009C5EFD" w:rsidRDefault="00E453CD" w:rsidP="00776A84">
      <w:pPr>
        <w:numPr>
          <w:ilvl w:val="0"/>
          <w:numId w:val="15"/>
        </w:numPr>
        <w:tabs>
          <w:tab w:val="clear" w:pos="720"/>
          <w:tab w:val="num" w:pos="540"/>
        </w:tabs>
        <w:ind w:left="0" w:firstLine="0"/>
        <w:rPr>
          <w:sz w:val="22"/>
          <w:szCs w:val="22"/>
        </w:rPr>
      </w:pPr>
      <w:r w:rsidRPr="009C5EFD">
        <w:rPr>
          <w:sz w:val="22"/>
          <w:szCs w:val="22"/>
        </w:rPr>
        <w:t>lave blodverdier for hvite blodlegemer, røde blodlegemer og antall plater</w:t>
      </w:r>
    </w:p>
    <w:p w14:paraId="414FC1C4" w14:textId="77777777" w:rsidR="00CF7F58" w:rsidRPr="009C5EFD" w:rsidRDefault="00CF7F58" w:rsidP="00CF7F58">
      <w:pPr>
        <w:rPr>
          <w:sz w:val="22"/>
          <w:szCs w:val="22"/>
        </w:rPr>
      </w:pPr>
    </w:p>
    <w:p w14:paraId="2BC964E1" w14:textId="77777777" w:rsidR="00CF7F58" w:rsidRPr="000E7054" w:rsidRDefault="00E453CD" w:rsidP="00A31787">
      <w:pPr>
        <w:keepNext/>
        <w:rPr>
          <w:b/>
          <w:sz w:val="22"/>
          <w:szCs w:val="22"/>
        </w:rPr>
      </w:pPr>
      <w:r w:rsidRPr="000E7054">
        <w:rPr>
          <w:rFonts w:eastAsia="SimSun"/>
          <w:b/>
          <w:noProof/>
          <w:sz w:val="22"/>
          <w:szCs w:val="22"/>
        </w:rPr>
        <w:t>Melding av bivirkninger</w:t>
      </w:r>
    </w:p>
    <w:p w14:paraId="682FDC0F" w14:textId="77777777" w:rsidR="00CF7F58" w:rsidRPr="005C4BE2" w:rsidRDefault="00E453CD" w:rsidP="00AC4AEE">
      <w:pPr>
        <w:rPr>
          <w:sz w:val="22"/>
          <w:szCs w:val="22"/>
        </w:rPr>
      </w:pPr>
      <w:r w:rsidRPr="005C4BE2">
        <w:rPr>
          <w:sz w:val="22"/>
          <w:szCs w:val="22"/>
        </w:rPr>
        <w:t>Kontakt lege</w:t>
      </w:r>
      <w:r>
        <w:rPr>
          <w:sz w:val="22"/>
          <w:szCs w:val="22"/>
        </w:rPr>
        <w:t>n din</w:t>
      </w:r>
      <w:r w:rsidRPr="005C4BE2">
        <w:rPr>
          <w:sz w:val="22"/>
          <w:szCs w:val="22"/>
        </w:rPr>
        <w:t xml:space="preserve"> eller apotek dersom du opplever bivirkninger</w:t>
      </w:r>
      <w:r w:rsidR="00AC4AEE" w:rsidRPr="00AC4AEE">
        <w:rPr>
          <w:sz w:val="22"/>
          <w:szCs w:val="22"/>
        </w:rPr>
        <w:t>. Dette</w:t>
      </w:r>
      <w:r w:rsidR="00AC4AEE">
        <w:rPr>
          <w:sz w:val="22"/>
          <w:szCs w:val="22"/>
        </w:rPr>
        <w:t xml:space="preserve"> </w:t>
      </w:r>
      <w:r w:rsidR="00AC4AEE" w:rsidRPr="00AC4AEE">
        <w:rPr>
          <w:sz w:val="22"/>
          <w:szCs w:val="22"/>
        </w:rPr>
        <w:t>gjelder også</w:t>
      </w:r>
      <w:r w:rsidRPr="005C4BE2">
        <w:rPr>
          <w:sz w:val="22"/>
          <w:szCs w:val="22"/>
        </w:rPr>
        <w:t xml:space="preserve"> bivirkninger som ikke er nevnt i pakningsvedlegget.</w:t>
      </w:r>
      <w:r w:rsidR="00A36D70">
        <w:rPr>
          <w:sz w:val="22"/>
          <w:szCs w:val="22"/>
        </w:rPr>
        <w:t xml:space="preserve"> </w:t>
      </w:r>
      <w:r w:rsidRPr="001F5D4B">
        <w:rPr>
          <w:sz w:val="22"/>
          <w:szCs w:val="22"/>
        </w:rPr>
        <w:t xml:space="preserve">Du kan også melde fra om bivirkninger direkte via </w:t>
      </w:r>
      <w:r w:rsidRPr="0085613F">
        <w:rPr>
          <w:noProof/>
          <w:sz w:val="22"/>
          <w:szCs w:val="22"/>
          <w:highlight w:val="lightGray"/>
        </w:rPr>
        <w:t>det nasjonale meldesystemet som beskrevet i</w:t>
      </w:r>
      <w:r w:rsidRPr="0085613F">
        <w:rPr>
          <w:sz w:val="22"/>
          <w:szCs w:val="22"/>
          <w:highlight w:val="lightGray"/>
        </w:rPr>
        <w:t xml:space="preserve"> </w:t>
      </w:r>
      <w:hyperlink r:id="rId78" w:history="1">
        <w:r w:rsidR="00CF7F58" w:rsidRPr="0085613F">
          <w:rPr>
            <w:color w:val="0000FF"/>
            <w:sz w:val="22"/>
            <w:szCs w:val="22"/>
            <w:highlight w:val="lightGray"/>
            <w:u w:val="single"/>
          </w:rPr>
          <w:t>Appendix V</w:t>
        </w:r>
      </w:hyperlink>
      <w:r w:rsidRPr="0085613F">
        <w:rPr>
          <w:sz w:val="22"/>
          <w:szCs w:val="22"/>
          <w:highlight w:val="lightGray"/>
        </w:rPr>
        <w:t>.</w:t>
      </w:r>
      <w:r w:rsidRPr="001F5D4B">
        <w:rPr>
          <w:sz w:val="22"/>
          <w:szCs w:val="22"/>
        </w:rPr>
        <w:t xml:space="preserve"> Ved å melde fra om bivirkninger bidrar du med informasjon om sikkerheten ved bruk av dette legemidlet.</w:t>
      </w:r>
    </w:p>
    <w:p w14:paraId="0F1A20DD" w14:textId="77777777" w:rsidR="00CF7F58" w:rsidRPr="00E14E58" w:rsidRDefault="00CF7F58" w:rsidP="00CF7F58">
      <w:pPr>
        <w:rPr>
          <w:sz w:val="22"/>
          <w:szCs w:val="22"/>
        </w:rPr>
      </w:pPr>
    </w:p>
    <w:p w14:paraId="786B89F6" w14:textId="77777777" w:rsidR="00CF7F58" w:rsidRPr="009C5EFD" w:rsidRDefault="00CF7F58" w:rsidP="00CF7F58">
      <w:pPr>
        <w:rPr>
          <w:sz w:val="22"/>
          <w:szCs w:val="22"/>
        </w:rPr>
      </w:pPr>
    </w:p>
    <w:p w14:paraId="50988DBD" w14:textId="77777777" w:rsidR="00CF7F58" w:rsidRPr="009C5EFD" w:rsidRDefault="00E453CD" w:rsidP="00776A84">
      <w:pPr>
        <w:keepNext/>
        <w:suppressAutoHyphens/>
        <w:ind w:left="567" w:hanging="567"/>
        <w:rPr>
          <w:sz w:val="22"/>
          <w:szCs w:val="22"/>
        </w:rPr>
      </w:pPr>
      <w:r w:rsidRPr="009C5EFD">
        <w:rPr>
          <w:b/>
          <w:sz w:val="22"/>
          <w:szCs w:val="22"/>
        </w:rPr>
        <w:t>5.</w:t>
      </w:r>
      <w:r w:rsidRPr="009C5EFD">
        <w:rPr>
          <w:b/>
          <w:sz w:val="22"/>
          <w:szCs w:val="22"/>
        </w:rPr>
        <w:tab/>
        <w:t>Hvordan du oppbevarer Humira</w:t>
      </w:r>
    </w:p>
    <w:p w14:paraId="078270BE" w14:textId="77777777" w:rsidR="00CF7F58" w:rsidRPr="009C5EFD" w:rsidRDefault="00CF7F58" w:rsidP="00776A84">
      <w:pPr>
        <w:keepNext/>
        <w:rPr>
          <w:sz w:val="22"/>
          <w:szCs w:val="22"/>
        </w:rPr>
      </w:pPr>
    </w:p>
    <w:p w14:paraId="322BDDC6" w14:textId="77777777" w:rsidR="00CF7F58" w:rsidRPr="009C5EFD" w:rsidRDefault="00E453CD" w:rsidP="00CF7F58">
      <w:pPr>
        <w:suppressAutoHyphens/>
        <w:rPr>
          <w:sz w:val="22"/>
          <w:szCs w:val="22"/>
        </w:rPr>
      </w:pPr>
      <w:r w:rsidRPr="009C5EFD">
        <w:rPr>
          <w:sz w:val="22"/>
          <w:szCs w:val="22"/>
        </w:rPr>
        <w:t>Oppbevar dette legemidlet utilgjengelig for barn.</w:t>
      </w:r>
    </w:p>
    <w:p w14:paraId="57E7C9F9" w14:textId="77777777" w:rsidR="00CF7F58" w:rsidRPr="009C5EFD" w:rsidRDefault="00CF7F58" w:rsidP="00CF7F58">
      <w:pPr>
        <w:suppressAutoHyphens/>
        <w:rPr>
          <w:sz w:val="22"/>
          <w:szCs w:val="22"/>
        </w:rPr>
      </w:pPr>
    </w:p>
    <w:p w14:paraId="723C3583" w14:textId="77777777" w:rsidR="00CF7F58" w:rsidRPr="009C5EFD" w:rsidRDefault="00E453CD" w:rsidP="00CF7F58">
      <w:pPr>
        <w:suppressAutoHyphens/>
        <w:rPr>
          <w:sz w:val="22"/>
          <w:szCs w:val="22"/>
        </w:rPr>
      </w:pPr>
      <w:r w:rsidRPr="009C5EFD">
        <w:rPr>
          <w:sz w:val="22"/>
          <w:szCs w:val="22"/>
        </w:rPr>
        <w:t>Bruk ikke dette legemidlet etter utløpsdatoen som er angitt på etiketten/blisteret/esken</w:t>
      </w:r>
      <w:r>
        <w:rPr>
          <w:sz w:val="22"/>
          <w:szCs w:val="22"/>
        </w:rPr>
        <w:t xml:space="preserve"> etter EXP</w:t>
      </w:r>
      <w:r w:rsidRPr="009C5EFD">
        <w:rPr>
          <w:sz w:val="22"/>
          <w:szCs w:val="22"/>
        </w:rPr>
        <w:t xml:space="preserve">. </w:t>
      </w:r>
    </w:p>
    <w:p w14:paraId="0ADDDD8D" w14:textId="77777777" w:rsidR="00CF7F58" w:rsidRPr="009C5EFD" w:rsidRDefault="00CF7F58" w:rsidP="00CF7F58">
      <w:pPr>
        <w:suppressAutoHyphens/>
        <w:rPr>
          <w:sz w:val="22"/>
          <w:szCs w:val="22"/>
        </w:rPr>
      </w:pPr>
    </w:p>
    <w:p w14:paraId="7C89208B" w14:textId="77777777" w:rsidR="00CF7F58" w:rsidRDefault="00E453CD" w:rsidP="00CF7F58">
      <w:pPr>
        <w:suppressAutoHyphens/>
        <w:rPr>
          <w:sz w:val="22"/>
          <w:szCs w:val="22"/>
        </w:rPr>
      </w:pPr>
      <w:r w:rsidRPr="009C5EFD">
        <w:rPr>
          <w:sz w:val="22"/>
          <w:szCs w:val="22"/>
        </w:rPr>
        <w:t>Oppbevares i kjøleskap</w:t>
      </w:r>
      <w:r>
        <w:rPr>
          <w:sz w:val="22"/>
          <w:szCs w:val="22"/>
        </w:rPr>
        <w:t xml:space="preserve"> (2 °C – 8 °C). Skal ikke fryses.</w:t>
      </w:r>
    </w:p>
    <w:p w14:paraId="33B268C9" w14:textId="77777777" w:rsidR="00CF7F58" w:rsidRDefault="00CF7F58" w:rsidP="00CF7F58">
      <w:pPr>
        <w:suppressAutoHyphens/>
        <w:rPr>
          <w:sz w:val="22"/>
          <w:szCs w:val="22"/>
        </w:rPr>
      </w:pPr>
    </w:p>
    <w:p w14:paraId="5E6ABD43" w14:textId="77777777" w:rsidR="00CF7F58" w:rsidRPr="009C5EFD" w:rsidRDefault="00E453CD" w:rsidP="00CF7F58">
      <w:pPr>
        <w:suppressAutoHyphens/>
        <w:rPr>
          <w:sz w:val="22"/>
          <w:szCs w:val="22"/>
        </w:rPr>
      </w:pPr>
      <w:r w:rsidRPr="009C5EFD">
        <w:rPr>
          <w:sz w:val="22"/>
          <w:szCs w:val="22"/>
        </w:rPr>
        <w:t xml:space="preserve">Den ferdigfylte </w:t>
      </w:r>
      <w:r>
        <w:rPr>
          <w:sz w:val="22"/>
          <w:szCs w:val="22"/>
        </w:rPr>
        <w:t>pennen</w:t>
      </w:r>
      <w:r w:rsidRPr="009C5EFD">
        <w:rPr>
          <w:sz w:val="22"/>
          <w:szCs w:val="22"/>
        </w:rPr>
        <w:t xml:space="preserve"> oppbevares i ytterpakningen for å beskytte mot lys.</w:t>
      </w:r>
    </w:p>
    <w:p w14:paraId="3FEB8FCD" w14:textId="77777777" w:rsidR="00CF7F58" w:rsidRPr="009C5EFD" w:rsidRDefault="00CF7F58" w:rsidP="00CF7F58">
      <w:pPr>
        <w:suppressAutoHyphens/>
        <w:rPr>
          <w:sz w:val="22"/>
          <w:szCs w:val="22"/>
        </w:rPr>
      </w:pPr>
    </w:p>
    <w:p w14:paraId="4AF88ADB" w14:textId="77777777" w:rsidR="00CF7F58" w:rsidRPr="009C5EFD" w:rsidRDefault="00E453CD" w:rsidP="00776A84">
      <w:pPr>
        <w:keepNext/>
        <w:suppressAutoHyphens/>
        <w:rPr>
          <w:sz w:val="22"/>
          <w:szCs w:val="22"/>
        </w:rPr>
      </w:pPr>
      <w:r w:rsidRPr="009C5EFD">
        <w:rPr>
          <w:sz w:val="22"/>
          <w:szCs w:val="22"/>
        </w:rPr>
        <w:t>Alternativ oppbevaring:</w:t>
      </w:r>
    </w:p>
    <w:p w14:paraId="3BF3D62A" w14:textId="77777777" w:rsidR="00CF7F58" w:rsidRPr="009C5EFD" w:rsidRDefault="00CF7F58" w:rsidP="00776A84">
      <w:pPr>
        <w:keepNext/>
        <w:suppressAutoHyphens/>
        <w:rPr>
          <w:sz w:val="22"/>
          <w:szCs w:val="22"/>
        </w:rPr>
      </w:pPr>
    </w:p>
    <w:p w14:paraId="146BE499" w14:textId="77777777" w:rsidR="00CF7F58" w:rsidRPr="009C5EFD" w:rsidRDefault="00E453CD" w:rsidP="00CF7F58">
      <w:pPr>
        <w:suppressAutoHyphens/>
        <w:rPr>
          <w:sz w:val="22"/>
          <w:szCs w:val="22"/>
        </w:rPr>
      </w:pPr>
      <w:r w:rsidRPr="009C5EFD">
        <w:rPr>
          <w:sz w:val="22"/>
          <w:szCs w:val="22"/>
        </w:rPr>
        <w:t>Ved behov (</w:t>
      </w:r>
      <w:r>
        <w:rPr>
          <w:sz w:val="22"/>
          <w:szCs w:val="22"/>
        </w:rPr>
        <w:t>f.eks.</w:t>
      </w:r>
      <w:r w:rsidRPr="009C5EFD">
        <w:rPr>
          <w:sz w:val="22"/>
          <w:szCs w:val="22"/>
        </w:rPr>
        <w:t xml:space="preserve"> når du er på reise) kan en enkelt Humira ferdigfylt </w:t>
      </w:r>
      <w:r>
        <w:rPr>
          <w:sz w:val="22"/>
          <w:szCs w:val="22"/>
        </w:rPr>
        <w:t>penn</w:t>
      </w:r>
      <w:r w:rsidRPr="009C5EFD">
        <w:rPr>
          <w:sz w:val="22"/>
          <w:szCs w:val="22"/>
        </w:rPr>
        <w:t xml:space="preserve"> op</w:t>
      </w:r>
      <w:r>
        <w:rPr>
          <w:sz w:val="22"/>
          <w:szCs w:val="22"/>
        </w:rPr>
        <w:t>pbevares ved romtemperatur (opp</w:t>
      </w:r>
      <w:r w:rsidRPr="009C5EFD">
        <w:rPr>
          <w:sz w:val="22"/>
          <w:szCs w:val="22"/>
        </w:rPr>
        <w:t>til 25</w:t>
      </w:r>
      <w:r>
        <w:rPr>
          <w:sz w:val="22"/>
          <w:szCs w:val="22"/>
        </w:rPr>
        <w:t> </w:t>
      </w:r>
      <w:r w:rsidRPr="009C5EFD">
        <w:rPr>
          <w:sz w:val="22"/>
          <w:szCs w:val="22"/>
        </w:rPr>
        <w:t xml:space="preserve">°C) for en periode på maksimum 14 dager – sørg for å beskytte den mot lys. I det øyeblikk den tas fra kjøleskap for oppbevaring i romtemperatur </w:t>
      </w:r>
      <w:r w:rsidRPr="009C5EFD">
        <w:rPr>
          <w:b/>
          <w:sz w:val="22"/>
          <w:szCs w:val="22"/>
        </w:rPr>
        <w:t xml:space="preserve">må </w:t>
      </w:r>
      <w:r>
        <w:rPr>
          <w:b/>
          <w:sz w:val="22"/>
          <w:szCs w:val="22"/>
        </w:rPr>
        <w:t>pennen</w:t>
      </w:r>
      <w:r w:rsidRPr="009C5EFD">
        <w:rPr>
          <w:b/>
          <w:sz w:val="22"/>
          <w:szCs w:val="22"/>
        </w:rPr>
        <w:t xml:space="preserve"> brukes innen 14 dager eller kastes</w:t>
      </w:r>
      <w:r w:rsidRPr="009C5EFD">
        <w:rPr>
          <w:sz w:val="22"/>
          <w:szCs w:val="22"/>
        </w:rPr>
        <w:t>, selv om den blir lagt tilbake i kjøleskapet.</w:t>
      </w:r>
    </w:p>
    <w:p w14:paraId="0A2D852C" w14:textId="77777777" w:rsidR="00CF7F58" w:rsidRPr="009C5EFD" w:rsidRDefault="00CF7F58" w:rsidP="00CF7F58">
      <w:pPr>
        <w:suppressAutoHyphens/>
        <w:rPr>
          <w:sz w:val="22"/>
          <w:szCs w:val="22"/>
        </w:rPr>
      </w:pPr>
    </w:p>
    <w:p w14:paraId="0F5A9652" w14:textId="77777777" w:rsidR="00CF7F58" w:rsidRPr="009C5EFD" w:rsidRDefault="00E453CD" w:rsidP="00CF7F58">
      <w:pPr>
        <w:suppressAutoHyphens/>
        <w:rPr>
          <w:sz w:val="22"/>
          <w:szCs w:val="22"/>
        </w:rPr>
      </w:pPr>
      <w:r w:rsidRPr="009C5EFD">
        <w:rPr>
          <w:sz w:val="22"/>
          <w:szCs w:val="22"/>
        </w:rPr>
        <w:t xml:space="preserve">Du bør notere datoen når </w:t>
      </w:r>
      <w:r>
        <w:rPr>
          <w:sz w:val="22"/>
          <w:szCs w:val="22"/>
        </w:rPr>
        <w:t>pennen</w:t>
      </w:r>
      <w:r w:rsidRPr="009C5EFD">
        <w:rPr>
          <w:sz w:val="22"/>
          <w:szCs w:val="22"/>
        </w:rPr>
        <w:t xml:space="preserve"> først tas ut fra kjøleskapet, og datoen for når den burde bli kastet.</w:t>
      </w:r>
    </w:p>
    <w:p w14:paraId="21457725" w14:textId="77777777" w:rsidR="00CF7F58" w:rsidRPr="009C5EFD" w:rsidRDefault="00CF7F58" w:rsidP="00CF7F58">
      <w:pPr>
        <w:suppressAutoHyphens/>
        <w:rPr>
          <w:sz w:val="22"/>
          <w:szCs w:val="22"/>
        </w:rPr>
      </w:pPr>
    </w:p>
    <w:p w14:paraId="00F8987E" w14:textId="77777777" w:rsidR="00CF7F58" w:rsidRPr="009C5EFD" w:rsidRDefault="00E453CD" w:rsidP="00CF7F58">
      <w:pPr>
        <w:suppressAutoHyphens/>
        <w:rPr>
          <w:sz w:val="22"/>
          <w:szCs w:val="22"/>
        </w:rPr>
      </w:pPr>
      <w:r w:rsidRPr="009C5EFD">
        <w:rPr>
          <w:sz w:val="22"/>
          <w:szCs w:val="22"/>
        </w:rPr>
        <w:t>Legemidler skal ikke kastes i avløpsvann eller sammen med husholdningsavfall. Spør legen din eller på apoteket hvordan legemidler som du ikke lenger bruker skal kastes. Disse tiltakene bidrar til å beskytte miljøet.</w:t>
      </w:r>
    </w:p>
    <w:p w14:paraId="5BFEC947" w14:textId="77777777" w:rsidR="00CF7F58" w:rsidRPr="009C5EFD" w:rsidRDefault="00CF7F58" w:rsidP="00CF7F58">
      <w:pPr>
        <w:suppressAutoHyphens/>
        <w:rPr>
          <w:b/>
          <w:sz w:val="22"/>
          <w:szCs w:val="22"/>
        </w:rPr>
      </w:pPr>
    </w:p>
    <w:p w14:paraId="587C88C7" w14:textId="77777777" w:rsidR="00CF7F58" w:rsidRPr="009C5EFD" w:rsidRDefault="00CF7F58" w:rsidP="00CF7F58">
      <w:pPr>
        <w:suppressAutoHyphens/>
        <w:rPr>
          <w:b/>
          <w:sz w:val="22"/>
          <w:szCs w:val="22"/>
        </w:rPr>
      </w:pPr>
    </w:p>
    <w:p w14:paraId="3C981362" w14:textId="77777777" w:rsidR="00CF7F58" w:rsidRPr="009C5EFD" w:rsidRDefault="00E453CD" w:rsidP="00051DA6">
      <w:pPr>
        <w:keepNext/>
        <w:suppressAutoHyphens/>
        <w:ind w:left="540" w:hanging="540"/>
        <w:rPr>
          <w:sz w:val="22"/>
          <w:szCs w:val="22"/>
        </w:rPr>
      </w:pPr>
      <w:r w:rsidRPr="009C5EFD">
        <w:rPr>
          <w:b/>
          <w:sz w:val="22"/>
          <w:szCs w:val="22"/>
        </w:rPr>
        <w:t>6.</w:t>
      </w:r>
      <w:r w:rsidRPr="009C5EFD">
        <w:rPr>
          <w:b/>
          <w:sz w:val="22"/>
          <w:szCs w:val="22"/>
        </w:rPr>
        <w:tab/>
        <w:t>Innholdet i pakningen og ytterligere informasjon</w:t>
      </w:r>
    </w:p>
    <w:p w14:paraId="312C6F51" w14:textId="77777777" w:rsidR="00CF7F58" w:rsidRPr="009C5EFD" w:rsidRDefault="00CF7F58" w:rsidP="00051DA6">
      <w:pPr>
        <w:keepNext/>
        <w:tabs>
          <w:tab w:val="left" w:pos="567"/>
        </w:tabs>
        <w:suppressAutoHyphens/>
        <w:rPr>
          <w:sz w:val="22"/>
          <w:szCs w:val="22"/>
        </w:rPr>
      </w:pPr>
    </w:p>
    <w:p w14:paraId="10B752AA" w14:textId="77777777" w:rsidR="00CF7F58" w:rsidRPr="009C5EFD" w:rsidRDefault="00E453CD" w:rsidP="00051DA6">
      <w:pPr>
        <w:pStyle w:val="Heading3"/>
        <w:rPr>
          <w:szCs w:val="22"/>
          <w:lang w:val="nb-NO"/>
        </w:rPr>
      </w:pPr>
      <w:r w:rsidRPr="009C5EFD">
        <w:rPr>
          <w:szCs w:val="22"/>
          <w:lang w:val="nb-NO"/>
        </w:rPr>
        <w:t>Sammensetning av Humira</w:t>
      </w:r>
    </w:p>
    <w:p w14:paraId="63EB0E3C" w14:textId="77777777" w:rsidR="00CF7F58" w:rsidRPr="009C5EFD" w:rsidRDefault="00CF7F58" w:rsidP="00051DA6">
      <w:pPr>
        <w:keepNext/>
        <w:rPr>
          <w:b/>
          <w:sz w:val="22"/>
          <w:szCs w:val="22"/>
        </w:rPr>
      </w:pPr>
    </w:p>
    <w:p w14:paraId="4B8E02C4" w14:textId="77777777" w:rsidR="00CF7F58" w:rsidRPr="009C5EFD" w:rsidRDefault="00E453CD" w:rsidP="00776A84">
      <w:pPr>
        <w:suppressAutoHyphens/>
        <w:rPr>
          <w:sz w:val="22"/>
          <w:szCs w:val="22"/>
        </w:rPr>
      </w:pPr>
      <w:r w:rsidRPr="009C5EFD">
        <w:rPr>
          <w:sz w:val="22"/>
          <w:szCs w:val="22"/>
        </w:rPr>
        <w:t>Virkestoffet er adalimumab.</w:t>
      </w:r>
    </w:p>
    <w:p w14:paraId="220CF36B" w14:textId="77777777" w:rsidR="00CF7F58" w:rsidRDefault="00E453CD" w:rsidP="00776A84">
      <w:pPr>
        <w:pStyle w:val="BodyTextIndent2"/>
        <w:ind w:left="0" w:firstLine="0"/>
        <w:rPr>
          <w:szCs w:val="22"/>
        </w:rPr>
      </w:pPr>
      <w:r w:rsidRPr="009C5EFD">
        <w:rPr>
          <w:szCs w:val="22"/>
        </w:rPr>
        <w:t xml:space="preserve">Hjelpestoffer er mannitol, </w:t>
      </w:r>
      <w:r>
        <w:rPr>
          <w:szCs w:val="22"/>
        </w:rPr>
        <w:t xml:space="preserve">polysorbat 80 </w:t>
      </w:r>
      <w:r w:rsidRPr="009C5EFD">
        <w:rPr>
          <w:szCs w:val="22"/>
        </w:rPr>
        <w:t>og vann til injeksjonsvæsker.</w:t>
      </w:r>
    </w:p>
    <w:p w14:paraId="65E31E05" w14:textId="77777777" w:rsidR="00CF7F58" w:rsidRPr="009C5EFD" w:rsidRDefault="00CF7F58" w:rsidP="00776A84">
      <w:pPr>
        <w:pStyle w:val="EndnoteText"/>
        <w:widowControl/>
        <w:tabs>
          <w:tab w:val="clear" w:pos="567"/>
        </w:tabs>
        <w:suppressAutoHyphens/>
        <w:rPr>
          <w:szCs w:val="22"/>
          <w:lang w:val="nb-NO"/>
        </w:rPr>
      </w:pPr>
    </w:p>
    <w:p w14:paraId="550390F7" w14:textId="77777777" w:rsidR="00CF7F58" w:rsidRPr="009C5EFD" w:rsidRDefault="00E453CD" w:rsidP="00CF7F58">
      <w:pPr>
        <w:pStyle w:val="Heading3"/>
        <w:suppressAutoHyphens/>
        <w:rPr>
          <w:szCs w:val="22"/>
          <w:lang w:val="nb-NO"/>
        </w:rPr>
      </w:pPr>
      <w:r w:rsidRPr="009C5EFD">
        <w:rPr>
          <w:szCs w:val="22"/>
          <w:lang w:val="nb-NO"/>
        </w:rPr>
        <w:t xml:space="preserve">Hvordan Humira ferdigfylt </w:t>
      </w:r>
      <w:r>
        <w:rPr>
          <w:szCs w:val="22"/>
          <w:lang w:val="nb-NO"/>
        </w:rPr>
        <w:t>penn</w:t>
      </w:r>
      <w:r w:rsidRPr="009C5EFD">
        <w:rPr>
          <w:szCs w:val="22"/>
          <w:lang w:val="nb-NO"/>
        </w:rPr>
        <w:t xml:space="preserve"> ser ut og innholdet i pakningen</w:t>
      </w:r>
    </w:p>
    <w:p w14:paraId="04DD23D5" w14:textId="77777777" w:rsidR="00CF7F58" w:rsidRPr="009C5EFD" w:rsidRDefault="00CF7F58" w:rsidP="00776A84">
      <w:pPr>
        <w:keepNext/>
      </w:pPr>
    </w:p>
    <w:p w14:paraId="32B45C86" w14:textId="77777777" w:rsidR="00CF7F58" w:rsidRDefault="00E453CD" w:rsidP="00CF7F58">
      <w:pPr>
        <w:pStyle w:val="EndnoteText"/>
        <w:widowControl/>
        <w:tabs>
          <w:tab w:val="clear" w:pos="567"/>
        </w:tabs>
        <w:suppressAutoHyphens/>
        <w:rPr>
          <w:szCs w:val="22"/>
          <w:lang w:val="nb-NO"/>
        </w:rPr>
      </w:pPr>
      <w:r w:rsidRPr="009C5EFD">
        <w:rPr>
          <w:szCs w:val="22"/>
          <w:lang w:val="nb-NO"/>
        </w:rPr>
        <w:t xml:space="preserve">Humira </w:t>
      </w:r>
      <w:r>
        <w:rPr>
          <w:szCs w:val="22"/>
          <w:lang w:val="nb-NO"/>
        </w:rPr>
        <w:t>8</w:t>
      </w:r>
      <w:r w:rsidRPr="009C5EFD">
        <w:rPr>
          <w:szCs w:val="22"/>
          <w:lang w:val="nb-NO"/>
        </w:rPr>
        <w:t>0</w:t>
      </w:r>
      <w:r w:rsidR="0031302E">
        <w:rPr>
          <w:szCs w:val="22"/>
          <w:lang w:val="nb-NO"/>
        </w:rPr>
        <w:t> </w:t>
      </w:r>
      <w:r w:rsidRPr="009C5EFD">
        <w:rPr>
          <w:szCs w:val="22"/>
          <w:lang w:val="nb-NO"/>
        </w:rPr>
        <w:t xml:space="preserve">mg injeksjonsvæske, oppløsning i ferdigfylt </w:t>
      </w:r>
      <w:r>
        <w:rPr>
          <w:szCs w:val="22"/>
        </w:rPr>
        <w:t>penn</w:t>
      </w:r>
      <w:r w:rsidRPr="009C5EFD">
        <w:rPr>
          <w:szCs w:val="22"/>
          <w:lang w:val="nb-NO"/>
        </w:rPr>
        <w:t xml:space="preserve"> er tilgjengelig som steril oppløsning a</w:t>
      </w:r>
      <w:r>
        <w:rPr>
          <w:szCs w:val="22"/>
          <w:lang w:val="nb-NO"/>
        </w:rPr>
        <w:t>v 80</w:t>
      </w:r>
      <w:r w:rsidR="0031302E">
        <w:rPr>
          <w:szCs w:val="22"/>
          <w:lang w:val="nb-NO"/>
        </w:rPr>
        <w:t> </w:t>
      </w:r>
      <w:r>
        <w:rPr>
          <w:szCs w:val="22"/>
          <w:lang w:val="nb-NO"/>
        </w:rPr>
        <w:t>mg adalimumab oppløst i 0,8</w:t>
      </w:r>
      <w:r w:rsidR="0031302E">
        <w:rPr>
          <w:szCs w:val="22"/>
          <w:lang w:val="nb-NO"/>
        </w:rPr>
        <w:t> </w:t>
      </w:r>
      <w:r w:rsidRPr="009C5EFD">
        <w:rPr>
          <w:szCs w:val="22"/>
          <w:lang w:val="nb-NO"/>
        </w:rPr>
        <w:t xml:space="preserve">ml </w:t>
      </w:r>
      <w:r w:rsidR="0063083C">
        <w:rPr>
          <w:szCs w:val="22"/>
          <w:lang w:val="nb-NO"/>
        </w:rPr>
        <w:t>opp</w:t>
      </w:r>
      <w:r w:rsidRPr="009C5EFD">
        <w:rPr>
          <w:szCs w:val="22"/>
          <w:lang w:val="nb-NO"/>
        </w:rPr>
        <w:t>løsning.</w:t>
      </w:r>
    </w:p>
    <w:p w14:paraId="4C4E58B8" w14:textId="77777777" w:rsidR="00CF7F58" w:rsidRPr="009C5EFD" w:rsidRDefault="00CF7F58" w:rsidP="00CF7F58">
      <w:pPr>
        <w:pStyle w:val="EndnoteText"/>
        <w:widowControl/>
        <w:tabs>
          <w:tab w:val="clear" w:pos="567"/>
        </w:tabs>
        <w:suppressAutoHyphens/>
        <w:rPr>
          <w:b/>
          <w:szCs w:val="22"/>
          <w:lang w:val="nb-NO"/>
        </w:rPr>
      </w:pPr>
    </w:p>
    <w:p w14:paraId="74AE7517" w14:textId="77777777" w:rsidR="00CF7F58" w:rsidRPr="009C5EFD" w:rsidRDefault="00E453CD" w:rsidP="00CF7F58">
      <w:pPr>
        <w:pStyle w:val="EndnoteText"/>
        <w:widowControl/>
        <w:tabs>
          <w:tab w:val="clear" w:pos="567"/>
        </w:tabs>
        <w:suppressAutoHyphens/>
        <w:rPr>
          <w:szCs w:val="22"/>
          <w:lang w:val="nb-NO"/>
        </w:rPr>
      </w:pPr>
      <w:r w:rsidRPr="009C5EFD">
        <w:rPr>
          <w:szCs w:val="22"/>
          <w:lang w:val="nb-NO"/>
        </w:rPr>
        <w:t xml:space="preserve">Humira ferdigfylt penn er ett grått- og plommefarget plastrør som inneholder </w:t>
      </w:r>
      <w:r w:rsidR="0031302E">
        <w:rPr>
          <w:szCs w:val="22"/>
          <w:lang w:val="nb-NO"/>
        </w:rPr>
        <w:t xml:space="preserve">en </w:t>
      </w:r>
      <w:r w:rsidRPr="009C5EFD">
        <w:rPr>
          <w:szCs w:val="22"/>
          <w:lang w:val="nb-NO"/>
        </w:rPr>
        <w:t xml:space="preserve">glassprøyte med Humira. Det finnes to hetter på pennen – den ene er grå og merket med </w:t>
      </w:r>
      <w:r w:rsidR="00D57009">
        <w:rPr>
          <w:szCs w:val="22"/>
          <w:lang w:val="nb-NO"/>
        </w:rPr>
        <w:t>«</w:t>
      </w:r>
      <w:r w:rsidRPr="009C5EFD">
        <w:rPr>
          <w:szCs w:val="22"/>
          <w:lang w:val="nb-NO"/>
        </w:rPr>
        <w:t>1</w:t>
      </w:r>
      <w:r w:rsidR="00D57009">
        <w:rPr>
          <w:szCs w:val="22"/>
          <w:lang w:val="nb-NO"/>
        </w:rPr>
        <w:t>»</w:t>
      </w:r>
      <w:r w:rsidRPr="009C5EFD">
        <w:rPr>
          <w:szCs w:val="22"/>
          <w:lang w:val="nb-NO"/>
        </w:rPr>
        <w:t xml:space="preserve"> og den andre er plommefarget og merket med </w:t>
      </w:r>
      <w:r w:rsidR="00D57009">
        <w:rPr>
          <w:szCs w:val="22"/>
          <w:lang w:val="nb-NO"/>
        </w:rPr>
        <w:t>«</w:t>
      </w:r>
      <w:r w:rsidRPr="009C5EFD">
        <w:rPr>
          <w:szCs w:val="22"/>
          <w:lang w:val="nb-NO"/>
        </w:rPr>
        <w:t>2</w:t>
      </w:r>
      <w:r w:rsidR="00D57009">
        <w:rPr>
          <w:szCs w:val="22"/>
          <w:lang w:val="nb-NO"/>
        </w:rPr>
        <w:t>»</w:t>
      </w:r>
      <w:r w:rsidRPr="009C5EFD">
        <w:rPr>
          <w:szCs w:val="22"/>
          <w:lang w:val="nb-NO"/>
        </w:rPr>
        <w:t xml:space="preserve">. Pennen har et vindu på hver sin side. Gjennom disse vinduene kan du se Humiraoppløsningen i sprøyten. </w:t>
      </w:r>
    </w:p>
    <w:p w14:paraId="63CEE2EC" w14:textId="77777777" w:rsidR="00CF7F58" w:rsidRPr="009C5EFD" w:rsidRDefault="00CF7F58" w:rsidP="00CF7F58">
      <w:pPr>
        <w:pStyle w:val="EndnoteText"/>
        <w:widowControl/>
        <w:tabs>
          <w:tab w:val="clear" w:pos="567"/>
        </w:tabs>
        <w:suppressAutoHyphens/>
        <w:rPr>
          <w:szCs w:val="22"/>
          <w:lang w:val="nb-NO"/>
        </w:rPr>
      </w:pPr>
    </w:p>
    <w:p w14:paraId="12E46369" w14:textId="77777777" w:rsidR="00730B89" w:rsidRDefault="00E453CD" w:rsidP="00776A84">
      <w:pPr>
        <w:pStyle w:val="EndnoteText"/>
        <w:keepNext/>
        <w:widowControl/>
        <w:tabs>
          <w:tab w:val="clear" w:pos="567"/>
        </w:tabs>
        <w:suppressAutoHyphens/>
        <w:rPr>
          <w:szCs w:val="22"/>
          <w:lang w:val="nb-NO"/>
        </w:rPr>
      </w:pPr>
      <w:r w:rsidRPr="009C5EFD">
        <w:rPr>
          <w:szCs w:val="22"/>
          <w:lang w:val="nb-NO"/>
        </w:rPr>
        <w:t xml:space="preserve">Humira ferdigfylt </w:t>
      </w:r>
      <w:r>
        <w:rPr>
          <w:szCs w:val="22"/>
        </w:rPr>
        <w:t>penn</w:t>
      </w:r>
      <w:r w:rsidRPr="009C5EFD">
        <w:rPr>
          <w:szCs w:val="22"/>
          <w:lang w:val="nb-NO"/>
        </w:rPr>
        <w:t xml:space="preserve"> </w:t>
      </w:r>
      <w:r>
        <w:rPr>
          <w:szCs w:val="22"/>
          <w:lang w:val="nb-NO"/>
        </w:rPr>
        <w:t>er tilgjengelig i pakninger</w:t>
      </w:r>
      <w:r w:rsidRPr="009C5EFD">
        <w:rPr>
          <w:szCs w:val="22"/>
          <w:lang w:val="nb-NO"/>
        </w:rPr>
        <w:t xml:space="preserve"> med</w:t>
      </w:r>
      <w:r>
        <w:rPr>
          <w:szCs w:val="22"/>
          <w:lang w:val="nb-NO"/>
        </w:rPr>
        <w:t>:</w:t>
      </w:r>
    </w:p>
    <w:p w14:paraId="5EC6674B" w14:textId="77777777" w:rsidR="00730B89" w:rsidRPr="00CF2876" w:rsidRDefault="00E453CD" w:rsidP="00730B89">
      <w:pPr>
        <w:numPr>
          <w:ilvl w:val="0"/>
          <w:numId w:val="160"/>
        </w:numPr>
        <w:tabs>
          <w:tab w:val="left" w:pos="562"/>
          <w:tab w:val="left" w:pos="2530"/>
        </w:tabs>
        <w:suppressAutoHyphens/>
        <w:ind w:right="-2"/>
        <w:rPr>
          <w:sz w:val="22"/>
          <w:szCs w:val="22"/>
        </w:rPr>
      </w:pPr>
      <w:r>
        <w:rPr>
          <w:sz w:val="22"/>
          <w:szCs w:val="22"/>
        </w:rPr>
        <w:t>1 </w:t>
      </w:r>
      <w:r w:rsidRPr="00CF2876">
        <w:rPr>
          <w:sz w:val="22"/>
          <w:szCs w:val="22"/>
        </w:rPr>
        <w:t>ferdigfylt penn og 2</w:t>
      </w:r>
      <w:r>
        <w:rPr>
          <w:sz w:val="22"/>
          <w:szCs w:val="22"/>
        </w:rPr>
        <w:t> </w:t>
      </w:r>
      <w:r w:rsidRPr="00CF2876">
        <w:rPr>
          <w:sz w:val="22"/>
          <w:szCs w:val="22"/>
        </w:rPr>
        <w:t>injeksjonsstørk (en ekstra)</w:t>
      </w:r>
    </w:p>
    <w:p w14:paraId="7C759244" w14:textId="77777777" w:rsidR="00730B89" w:rsidRPr="00CF2876" w:rsidRDefault="00E453CD" w:rsidP="00730B89">
      <w:pPr>
        <w:numPr>
          <w:ilvl w:val="0"/>
          <w:numId w:val="160"/>
        </w:numPr>
        <w:tabs>
          <w:tab w:val="left" w:pos="562"/>
          <w:tab w:val="left" w:pos="2530"/>
        </w:tabs>
        <w:suppressAutoHyphens/>
        <w:ind w:right="-2"/>
        <w:rPr>
          <w:sz w:val="22"/>
          <w:szCs w:val="22"/>
        </w:rPr>
      </w:pPr>
      <w:r w:rsidRPr="00CF2876">
        <w:rPr>
          <w:sz w:val="22"/>
        </w:rPr>
        <w:t>3</w:t>
      </w:r>
      <w:r>
        <w:rPr>
          <w:sz w:val="22"/>
        </w:rPr>
        <w:t> </w:t>
      </w:r>
      <w:r w:rsidRPr="00B81BD8">
        <w:rPr>
          <w:sz w:val="22"/>
          <w:szCs w:val="22"/>
        </w:rPr>
        <w:t>ferdigfylt</w:t>
      </w:r>
      <w:r>
        <w:rPr>
          <w:sz w:val="22"/>
          <w:szCs w:val="22"/>
        </w:rPr>
        <w:t>e</w:t>
      </w:r>
      <w:r w:rsidRPr="00B81BD8">
        <w:rPr>
          <w:sz w:val="22"/>
          <w:szCs w:val="22"/>
        </w:rPr>
        <w:t xml:space="preserve"> penn</w:t>
      </w:r>
      <w:r>
        <w:rPr>
          <w:sz w:val="22"/>
          <w:szCs w:val="22"/>
        </w:rPr>
        <w:t>er og 4 </w:t>
      </w:r>
      <w:r w:rsidRPr="00B81BD8">
        <w:rPr>
          <w:sz w:val="22"/>
          <w:szCs w:val="22"/>
        </w:rPr>
        <w:t>injeksjonsstørk (en ekstra)</w:t>
      </w:r>
    </w:p>
    <w:p w14:paraId="45793BBB" w14:textId="77777777" w:rsidR="00730B89" w:rsidRPr="00CF2876" w:rsidRDefault="00730B89" w:rsidP="00730B89">
      <w:pPr>
        <w:suppressAutoHyphens/>
        <w:rPr>
          <w:sz w:val="22"/>
          <w:szCs w:val="22"/>
        </w:rPr>
      </w:pPr>
    </w:p>
    <w:p w14:paraId="56F546AE" w14:textId="77777777" w:rsidR="00CF7F58" w:rsidRPr="009C5EFD" w:rsidRDefault="00E453CD" w:rsidP="00730B89">
      <w:pPr>
        <w:pStyle w:val="EndnoteText"/>
        <w:widowControl/>
        <w:tabs>
          <w:tab w:val="clear" w:pos="567"/>
        </w:tabs>
        <w:suppressAutoHyphens/>
        <w:rPr>
          <w:szCs w:val="22"/>
          <w:lang w:val="nb-NO"/>
        </w:rPr>
      </w:pPr>
      <w:r w:rsidRPr="001B7615">
        <w:rPr>
          <w:szCs w:val="22"/>
          <w:lang w:val="nb-NO"/>
        </w:rPr>
        <w:t>Ikke alle pakningsstørrelser vil nødvendigvis bli markedsført.</w:t>
      </w:r>
    </w:p>
    <w:p w14:paraId="1AA56192" w14:textId="77777777" w:rsidR="00CF7F58" w:rsidRPr="009C5EFD" w:rsidRDefault="00CF7F58" w:rsidP="00CF7F58">
      <w:pPr>
        <w:pStyle w:val="EndnoteText"/>
        <w:widowControl/>
        <w:tabs>
          <w:tab w:val="clear" w:pos="567"/>
        </w:tabs>
        <w:suppressAutoHyphens/>
        <w:rPr>
          <w:szCs w:val="22"/>
          <w:lang w:val="nb-NO"/>
        </w:rPr>
      </w:pPr>
    </w:p>
    <w:p w14:paraId="559CE824" w14:textId="77777777" w:rsidR="00CF7F58" w:rsidRPr="009C5EFD" w:rsidRDefault="00E453CD" w:rsidP="00CF7F58">
      <w:pPr>
        <w:pStyle w:val="EndnoteText"/>
        <w:widowControl/>
        <w:tabs>
          <w:tab w:val="clear" w:pos="567"/>
        </w:tabs>
        <w:suppressAutoHyphens/>
        <w:rPr>
          <w:szCs w:val="22"/>
          <w:lang w:val="nb-NO"/>
        </w:rPr>
      </w:pPr>
      <w:r w:rsidRPr="009C5EFD">
        <w:rPr>
          <w:szCs w:val="22"/>
          <w:lang w:val="nb-NO"/>
        </w:rPr>
        <w:t xml:space="preserve">Humira </w:t>
      </w:r>
      <w:r>
        <w:rPr>
          <w:szCs w:val="22"/>
          <w:lang w:val="nb-NO"/>
        </w:rPr>
        <w:t>kan være</w:t>
      </w:r>
      <w:r w:rsidRPr="009C5EFD">
        <w:rPr>
          <w:szCs w:val="22"/>
          <w:lang w:val="nb-NO"/>
        </w:rPr>
        <w:t xml:space="preserve"> tilgjengelig som hetteglass, ferdigfylt sprøyte</w:t>
      </w:r>
      <w:r w:rsidRPr="009C5EFD">
        <w:rPr>
          <w:lang w:val="nb-NO"/>
        </w:rPr>
        <w:t xml:space="preserve"> og</w:t>
      </w:r>
      <w:r>
        <w:rPr>
          <w:lang w:val="nb-NO"/>
        </w:rPr>
        <w:t>/eller</w:t>
      </w:r>
      <w:r w:rsidRPr="009C5EFD">
        <w:rPr>
          <w:szCs w:val="22"/>
          <w:lang w:val="nb-NO"/>
        </w:rPr>
        <w:t xml:space="preserve"> ferdigfylt penn.</w:t>
      </w:r>
    </w:p>
    <w:p w14:paraId="7F829F91" w14:textId="77777777" w:rsidR="00CF7F58" w:rsidRPr="00D968A3" w:rsidRDefault="00CF7F58" w:rsidP="00CF7F58">
      <w:pPr>
        <w:pStyle w:val="BodyText3"/>
        <w:tabs>
          <w:tab w:val="clear" w:pos="-720"/>
        </w:tabs>
        <w:suppressAutoHyphens w:val="0"/>
        <w:rPr>
          <w:b w:val="0"/>
          <w:szCs w:val="22"/>
          <w:lang w:val="nb-NO"/>
        </w:rPr>
      </w:pPr>
    </w:p>
    <w:p w14:paraId="51306C7E" w14:textId="77777777" w:rsidR="00CF7F58" w:rsidRPr="009C5EFD" w:rsidRDefault="00E453CD" w:rsidP="00A31787">
      <w:pPr>
        <w:pStyle w:val="BodyText3"/>
        <w:keepNext/>
        <w:tabs>
          <w:tab w:val="clear" w:pos="-720"/>
        </w:tabs>
        <w:suppressAutoHyphens w:val="0"/>
        <w:rPr>
          <w:szCs w:val="22"/>
          <w:lang w:val="nb-NO"/>
        </w:rPr>
      </w:pPr>
      <w:r w:rsidRPr="009C5EFD">
        <w:rPr>
          <w:szCs w:val="22"/>
          <w:lang w:val="nb-NO"/>
        </w:rPr>
        <w:t>Innehaver av markedsføringstillatelsen</w:t>
      </w:r>
    </w:p>
    <w:p w14:paraId="49BF107D" w14:textId="77777777" w:rsidR="00CF7F58" w:rsidRPr="009C5EFD" w:rsidRDefault="00CF7F58" w:rsidP="00A31787">
      <w:pPr>
        <w:keepNext/>
        <w:rPr>
          <w:sz w:val="22"/>
          <w:szCs w:val="22"/>
        </w:rPr>
      </w:pPr>
    </w:p>
    <w:p w14:paraId="41E868C5" w14:textId="77777777" w:rsidR="00DD76CF" w:rsidRPr="00EF12DF" w:rsidRDefault="00E453CD" w:rsidP="00DD76CF">
      <w:pPr>
        <w:rPr>
          <w:sz w:val="22"/>
          <w:szCs w:val="22"/>
        </w:rPr>
      </w:pPr>
      <w:r w:rsidRPr="00EF12DF">
        <w:rPr>
          <w:sz w:val="22"/>
          <w:szCs w:val="22"/>
        </w:rPr>
        <w:t>AbbVie Deutschland GmbH &amp; Co. KG</w:t>
      </w:r>
    </w:p>
    <w:p w14:paraId="0C0833D9" w14:textId="77777777" w:rsidR="00DD76CF" w:rsidRPr="00EF12DF" w:rsidRDefault="00E453CD" w:rsidP="00DD76CF">
      <w:pPr>
        <w:rPr>
          <w:sz w:val="22"/>
          <w:szCs w:val="22"/>
        </w:rPr>
      </w:pPr>
      <w:r w:rsidRPr="00EF12DF">
        <w:rPr>
          <w:sz w:val="22"/>
          <w:szCs w:val="22"/>
        </w:rPr>
        <w:t>Knollstrasse</w:t>
      </w:r>
    </w:p>
    <w:p w14:paraId="31B9BCFC" w14:textId="77777777" w:rsidR="00DD76CF" w:rsidRPr="00EF12DF" w:rsidRDefault="00E453CD" w:rsidP="00DD76CF">
      <w:pPr>
        <w:rPr>
          <w:sz w:val="22"/>
          <w:szCs w:val="22"/>
        </w:rPr>
      </w:pPr>
      <w:r w:rsidRPr="00EF12DF">
        <w:rPr>
          <w:sz w:val="22"/>
          <w:szCs w:val="22"/>
        </w:rPr>
        <w:t>67061 Ludwigshafen</w:t>
      </w:r>
    </w:p>
    <w:p w14:paraId="3D93EF61" w14:textId="77777777" w:rsidR="00DD76CF" w:rsidRPr="009C5EFD" w:rsidRDefault="00E453CD" w:rsidP="00DD76CF">
      <w:pPr>
        <w:rPr>
          <w:sz w:val="22"/>
          <w:szCs w:val="22"/>
        </w:rPr>
      </w:pPr>
      <w:r>
        <w:rPr>
          <w:sz w:val="22"/>
          <w:szCs w:val="22"/>
        </w:rPr>
        <w:t>Tyskland</w:t>
      </w:r>
    </w:p>
    <w:p w14:paraId="6F53424A" w14:textId="77777777" w:rsidR="00CF7F58" w:rsidRPr="00DA6326" w:rsidRDefault="00CF7F58" w:rsidP="00CF7F58">
      <w:pPr>
        <w:tabs>
          <w:tab w:val="left" w:pos="1216"/>
        </w:tabs>
        <w:suppressAutoHyphens/>
        <w:rPr>
          <w:sz w:val="22"/>
          <w:lang w:val="nn-NO"/>
        </w:rPr>
      </w:pPr>
    </w:p>
    <w:p w14:paraId="6822F9DB" w14:textId="77777777" w:rsidR="00CF7F58" w:rsidRPr="00DA6326" w:rsidRDefault="00E453CD" w:rsidP="00CF7F58">
      <w:pPr>
        <w:keepNext/>
        <w:suppressAutoHyphens/>
        <w:rPr>
          <w:b/>
          <w:sz w:val="22"/>
          <w:lang w:val="nn-NO"/>
        </w:rPr>
      </w:pPr>
      <w:r w:rsidRPr="00DA6326">
        <w:rPr>
          <w:b/>
          <w:sz w:val="22"/>
          <w:lang w:val="nn-NO"/>
        </w:rPr>
        <w:t>Tilvirker</w:t>
      </w:r>
    </w:p>
    <w:p w14:paraId="20D832D5" w14:textId="77777777" w:rsidR="00CF7F58" w:rsidRPr="00DA6326" w:rsidRDefault="00CF7F58" w:rsidP="00CF7F58">
      <w:pPr>
        <w:keepNext/>
        <w:rPr>
          <w:sz w:val="22"/>
          <w:lang w:val="nn-NO"/>
        </w:rPr>
      </w:pPr>
    </w:p>
    <w:p w14:paraId="2122DAEA" w14:textId="77777777" w:rsidR="00CF7F58" w:rsidRPr="00C95D55" w:rsidRDefault="00E453CD" w:rsidP="00CF7F58">
      <w:pPr>
        <w:keepNext/>
        <w:rPr>
          <w:sz w:val="22"/>
        </w:rPr>
      </w:pPr>
      <w:r w:rsidRPr="00C95D55">
        <w:rPr>
          <w:sz w:val="22"/>
        </w:rPr>
        <w:t>AbbVie Biotechnology GmbH</w:t>
      </w:r>
    </w:p>
    <w:p w14:paraId="51350C10" w14:textId="77777777" w:rsidR="00CF7F58" w:rsidRPr="00C95D55" w:rsidRDefault="00E453CD" w:rsidP="00CF7F58">
      <w:pPr>
        <w:numPr>
          <w:ilvl w:val="12"/>
          <w:numId w:val="0"/>
        </w:numPr>
        <w:tabs>
          <w:tab w:val="left" w:pos="720"/>
        </w:tabs>
        <w:rPr>
          <w:sz w:val="22"/>
          <w:szCs w:val="22"/>
        </w:rPr>
      </w:pPr>
      <w:r w:rsidRPr="00C95D55">
        <w:rPr>
          <w:sz w:val="22"/>
          <w:szCs w:val="22"/>
        </w:rPr>
        <w:t>Knollstrasse</w:t>
      </w:r>
    </w:p>
    <w:p w14:paraId="7B1C9F78" w14:textId="77777777" w:rsidR="00CF7F58" w:rsidRPr="00C95D55" w:rsidRDefault="00E453CD" w:rsidP="00CF7F58">
      <w:pPr>
        <w:numPr>
          <w:ilvl w:val="12"/>
          <w:numId w:val="0"/>
        </w:numPr>
        <w:tabs>
          <w:tab w:val="left" w:pos="720"/>
        </w:tabs>
        <w:rPr>
          <w:sz w:val="22"/>
          <w:szCs w:val="22"/>
        </w:rPr>
      </w:pPr>
      <w:r w:rsidRPr="00C95D55">
        <w:rPr>
          <w:sz w:val="22"/>
          <w:szCs w:val="22"/>
        </w:rPr>
        <w:t>67061 Ludwigshafen</w:t>
      </w:r>
    </w:p>
    <w:p w14:paraId="141EC0BF" w14:textId="77777777" w:rsidR="00CF7F58" w:rsidRPr="001F5D4B" w:rsidRDefault="00E453CD" w:rsidP="00CF7F58">
      <w:pPr>
        <w:rPr>
          <w:sz w:val="22"/>
          <w:szCs w:val="22"/>
        </w:rPr>
      </w:pPr>
      <w:r w:rsidRPr="001F5D4B">
        <w:rPr>
          <w:sz w:val="22"/>
          <w:szCs w:val="22"/>
        </w:rPr>
        <w:t>Tyskland</w:t>
      </w:r>
    </w:p>
    <w:p w14:paraId="7AD5267E" w14:textId="77777777" w:rsidR="00CF7F58" w:rsidRPr="004B617D" w:rsidRDefault="00CF7F58" w:rsidP="00CF7F58">
      <w:pPr>
        <w:pStyle w:val="EndnoteText"/>
        <w:widowControl/>
        <w:tabs>
          <w:tab w:val="clear" w:pos="567"/>
        </w:tabs>
      </w:pPr>
    </w:p>
    <w:p w14:paraId="5E329812" w14:textId="77777777" w:rsidR="00CF7F58" w:rsidRPr="009C5EFD" w:rsidRDefault="00E453CD" w:rsidP="00CF7F58">
      <w:pPr>
        <w:rPr>
          <w:sz w:val="22"/>
          <w:szCs w:val="22"/>
        </w:rPr>
      </w:pPr>
      <w:r w:rsidRPr="00AC4AEE">
        <w:rPr>
          <w:sz w:val="22"/>
          <w:szCs w:val="22"/>
        </w:rPr>
        <w:t>Ta kontakt med den lokale representanten for innehaveren av markedsføringstillatelsen f</w:t>
      </w:r>
      <w:r w:rsidRPr="009C5EFD">
        <w:rPr>
          <w:sz w:val="22"/>
          <w:szCs w:val="22"/>
        </w:rPr>
        <w:t>or ytterligere informasjon om dette legemidlet</w:t>
      </w:r>
      <w:r>
        <w:rPr>
          <w:sz w:val="22"/>
          <w:szCs w:val="22"/>
        </w:rPr>
        <w:t>:</w:t>
      </w:r>
    </w:p>
    <w:p w14:paraId="5600E4BF" w14:textId="77777777" w:rsidR="00CF7F58" w:rsidRPr="009C5EFD" w:rsidRDefault="00CF7F58" w:rsidP="00CF7F58"/>
    <w:tbl>
      <w:tblPr>
        <w:tblW w:w="9356" w:type="dxa"/>
        <w:tblInd w:w="-34" w:type="dxa"/>
        <w:tblLayout w:type="fixed"/>
        <w:tblLook w:val="0000" w:firstRow="0" w:lastRow="0" w:firstColumn="0" w:lastColumn="0" w:noHBand="0" w:noVBand="0"/>
      </w:tblPr>
      <w:tblGrid>
        <w:gridCol w:w="34"/>
        <w:gridCol w:w="4610"/>
        <w:gridCol w:w="34"/>
        <w:gridCol w:w="4678"/>
      </w:tblGrid>
      <w:tr w:rsidR="004644D4" w14:paraId="1ABC005E" w14:textId="77777777" w:rsidTr="001F79B0">
        <w:tc>
          <w:tcPr>
            <w:tcW w:w="4644" w:type="dxa"/>
            <w:gridSpan w:val="2"/>
          </w:tcPr>
          <w:p w14:paraId="7B54570A" w14:textId="77777777" w:rsidR="00930E09" w:rsidRPr="00BD646C" w:rsidRDefault="00E453CD" w:rsidP="001F79B0">
            <w:pPr>
              <w:rPr>
                <w:b/>
                <w:bCs/>
                <w:sz w:val="22"/>
                <w:szCs w:val="22"/>
                <w:lang w:val="fr-BE"/>
              </w:rPr>
            </w:pPr>
            <w:r w:rsidRPr="00BD646C">
              <w:rPr>
                <w:b/>
                <w:bCs/>
                <w:sz w:val="22"/>
                <w:szCs w:val="22"/>
                <w:lang w:val="fr-BE"/>
              </w:rPr>
              <w:t>België/Belgique/Belgien</w:t>
            </w:r>
          </w:p>
          <w:p w14:paraId="6D9C0ACC" w14:textId="77777777" w:rsidR="00930E09" w:rsidRPr="00BD646C" w:rsidRDefault="00E453CD" w:rsidP="001F79B0">
            <w:pPr>
              <w:rPr>
                <w:bCs/>
                <w:sz w:val="22"/>
                <w:szCs w:val="22"/>
                <w:lang w:val="fr-FR"/>
              </w:rPr>
            </w:pPr>
            <w:r w:rsidRPr="00BD646C">
              <w:rPr>
                <w:bCs/>
                <w:sz w:val="22"/>
                <w:szCs w:val="22"/>
                <w:lang w:val="fr-FR"/>
              </w:rPr>
              <w:t>AbbVie SA</w:t>
            </w:r>
          </w:p>
          <w:p w14:paraId="1657312B" w14:textId="77777777" w:rsidR="00930E09" w:rsidRPr="00BD646C" w:rsidRDefault="00E453CD" w:rsidP="001F79B0">
            <w:pPr>
              <w:rPr>
                <w:sz w:val="22"/>
                <w:szCs w:val="22"/>
                <w:lang w:val="fr-FR"/>
              </w:rPr>
            </w:pPr>
            <w:r w:rsidRPr="00BD646C">
              <w:rPr>
                <w:bCs/>
                <w:sz w:val="22"/>
                <w:szCs w:val="22"/>
                <w:lang w:val="fr-FR"/>
              </w:rPr>
              <w:t xml:space="preserve">Tél/Tel: +32 10 </w:t>
            </w:r>
            <w:r w:rsidRPr="00BD646C">
              <w:rPr>
                <w:sz w:val="22"/>
                <w:szCs w:val="22"/>
                <w:lang w:val="fr-FR"/>
              </w:rPr>
              <w:t>477811</w:t>
            </w:r>
          </w:p>
          <w:p w14:paraId="2A05F83E" w14:textId="77777777" w:rsidR="00930E09" w:rsidRPr="00BD646C" w:rsidRDefault="00930E09" w:rsidP="001F79B0">
            <w:pPr>
              <w:rPr>
                <w:bCs/>
                <w:sz w:val="22"/>
                <w:szCs w:val="22"/>
                <w:lang w:val="fr-FR"/>
              </w:rPr>
            </w:pPr>
          </w:p>
        </w:tc>
        <w:tc>
          <w:tcPr>
            <w:tcW w:w="4678" w:type="dxa"/>
            <w:gridSpan w:val="2"/>
          </w:tcPr>
          <w:p w14:paraId="42113026" w14:textId="77777777" w:rsidR="00930E09" w:rsidRPr="00BD646C" w:rsidRDefault="00E453CD" w:rsidP="001F79B0">
            <w:pPr>
              <w:rPr>
                <w:b/>
                <w:bCs/>
                <w:sz w:val="22"/>
                <w:szCs w:val="22"/>
                <w:lang w:val="lt-LT"/>
              </w:rPr>
            </w:pPr>
            <w:r w:rsidRPr="00BD646C">
              <w:rPr>
                <w:b/>
                <w:bCs/>
                <w:sz w:val="22"/>
                <w:szCs w:val="22"/>
                <w:lang w:val="lt-LT"/>
              </w:rPr>
              <w:t>Lietuva</w:t>
            </w:r>
          </w:p>
          <w:p w14:paraId="2871028A" w14:textId="77777777" w:rsidR="00930E09" w:rsidRPr="00BD646C" w:rsidRDefault="00E453CD" w:rsidP="001F79B0">
            <w:pPr>
              <w:rPr>
                <w:bCs/>
                <w:sz w:val="22"/>
                <w:szCs w:val="22"/>
                <w:lang w:val="lv-LV"/>
              </w:rPr>
            </w:pPr>
            <w:r w:rsidRPr="00BD646C">
              <w:rPr>
                <w:bCs/>
                <w:sz w:val="22"/>
                <w:szCs w:val="22"/>
                <w:lang w:val="lv-LV"/>
              </w:rPr>
              <w:t xml:space="preserve">AbbVie UAB </w:t>
            </w:r>
          </w:p>
          <w:p w14:paraId="127B2EB8" w14:textId="77777777" w:rsidR="00930E09" w:rsidRPr="00BD646C" w:rsidRDefault="00E453CD" w:rsidP="001F79B0">
            <w:pPr>
              <w:rPr>
                <w:bCs/>
                <w:sz w:val="22"/>
                <w:szCs w:val="22"/>
                <w:lang w:val="lv-LV"/>
              </w:rPr>
            </w:pPr>
            <w:r w:rsidRPr="00BD646C">
              <w:rPr>
                <w:bCs/>
                <w:sz w:val="22"/>
                <w:szCs w:val="22"/>
                <w:lang w:val="lv-LV"/>
              </w:rPr>
              <w:t>Tel: +370 5 205 3023</w:t>
            </w:r>
          </w:p>
        </w:tc>
      </w:tr>
      <w:tr w:rsidR="004644D4" w14:paraId="411C5A63" w14:textId="77777777" w:rsidTr="001F79B0">
        <w:tc>
          <w:tcPr>
            <w:tcW w:w="4644" w:type="dxa"/>
            <w:gridSpan w:val="2"/>
          </w:tcPr>
          <w:p w14:paraId="3966E07A" w14:textId="77777777" w:rsidR="00930E09" w:rsidRPr="00BD646C" w:rsidRDefault="00E453CD" w:rsidP="001F79B0">
            <w:pPr>
              <w:rPr>
                <w:b/>
                <w:bCs/>
                <w:sz w:val="22"/>
                <w:szCs w:val="22"/>
                <w:lang w:val="bg-BG"/>
              </w:rPr>
            </w:pPr>
            <w:r w:rsidRPr="00BD646C">
              <w:rPr>
                <w:b/>
                <w:bCs/>
                <w:sz w:val="22"/>
                <w:szCs w:val="22"/>
                <w:lang w:val="bg-BG"/>
              </w:rPr>
              <w:t>България</w:t>
            </w:r>
          </w:p>
          <w:p w14:paraId="3ABE895A" w14:textId="77777777" w:rsidR="00930E09" w:rsidRPr="00BD646C" w:rsidRDefault="00E453CD" w:rsidP="001F79B0">
            <w:pPr>
              <w:rPr>
                <w:sz w:val="22"/>
                <w:szCs w:val="22"/>
                <w:lang w:val="da-DK"/>
              </w:rPr>
            </w:pPr>
            <w:r w:rsidRPr="00BD646C">
              <w:rPr>
                <w:sz w:val="22"/>
                <w:szCs w:val="22"/>
                <w:lang w:val="sk-SK"/>
              </w:rPr>
              <w:t>АбВи ЕООД</w:t>
            </w:r>
          </w:p>
          <w:p w14:paraId="3AA82427" w14:textId="77777777" w:rsidR="00930E09" w:rsidRPr="00BD646C" w:rsidRDefault="00E453CD" w:rsidP="001F79B0">
            <w:pPr>
              <w:rPr>
                <w:bCs/>
                <w:sz w:val="22"/>
                <w:szCs w:val="22"/>
                <w:lang w:val="da-DK"/>
              </w:rPr>
            </w:pPr>
            <w:r w:rsidRPr="00BD646C">
              <w:rPr>
                <w:sz w:val="22"/>
                <w:szCs w:val="22"/>
                <w:lang w:val="sk-SK"/>
              </w:rPr>
              <w:t>Тел</w:t>
            </w:r>
            <w:r w:rsidRPr="00BD646C">
              <w:rPr>
                <w:sz w:val="22"/>
                <w:szCs w:val="22"/>
                <w:lang w:val="it-IT"/>
              </w:rPr>
              <w:t>.:+359 2 90 30 430</w:t>
            </w:r>
          </w:p>
        </w:tc>
        <w:tc>
          <w:tcPr>
            <w:tcW w:w="4678" w:type="dxa"/>
            <w:gridSpan w:val="2"/>
          </w:tcPr>
          <w:p w14:paraId="5F7FB991" w14:textId="77777777" w:rsidR="00930E09" w:rsidRPr="00BD646C" w:rsidRDefault="00E453CD" w:rsidP="001F79B0">
            <w:pPr>
              <w:rPr>
                <w:b/>
                <w:bCs/>
                <w:sz w:val="22"/>
                <w:szCs w:val="22"/>
                <w:lang w:val="de-DE"/>
              </w:rPr>
            </w:pPr>
            <w:r w:rsidRPr="00BD646C">
              <w:rPr>
                <w:b/>
                <w:bCs/>
                <w:sz w:val="22"/>
                <w:szCs w:val="22"/>
                <w:lang w:val="de-DE"/>
              </w:rPr>
              <w:t>Luxembourg/Luxemburg</w:t>
            </w:r>
          </w:p>
          <w:p w14:paraId="41FEE1DE" w14:textId="77777777" w:rsidR="00930E09" w:rsidRPr="00BD646C" w:rsidRDefault="00E453CD" w:rsidP="001F79B0">
            <w:pPr>
              <w:rPr>
                <w:bCs/>
                <w:sz w:val="22"/>
                <w:szCs w:val="22"/>
                <w:lang w:val="de-DE"/>
              </w:rPr>
            </w:pPr>
            <w:r w:rsidRPr="00BD646C">
              <w:rPr>
                <w:bCs/>
                <w:sz w:val="22"/>
                <w:szCs w:val="22"/>
                <w:lang w:val="de-DE"/>
              </w:rPr>
              <w:t>AbbVie SA</w:t>
            </w:r>
          </w:p>
          <w:p w14:paraId="6A2BD498" w14:textId="77777777" w:rsidR="00930E09" w:rsidRPr="00BD646C" w:rsidRDefault="00E453CD" w:rsidP="001F79B0">
            <w:pPr>
              <w:rPr>
                <w:bCs/>
                <w:sz w:val="22"/>
                <w:szCs w:val="22"/>
                <w:lang w:val="de-DE"/>
              </w:rPr>
            </w:pPr>
            <w:r w:rsidRPr="00BD646C">
              <w:rPr>
                <w:bCs/>
                <w:sz w:val="22"/>
                <w:szCs w:val="22"/>
                <w:lang w:val="de-DE"/>
              </w:rPr>
              <w:t>Belgique/Belgien</w:t>
            </w:r>
          </w:p>
          <w:p w14:paraId="2E87A7FB" w14:textId="77777777" w:rsidR="00930E09" w:rsidRPr="00BD646C" w:rsidRDefault="00E453CD" w:rsidP="001F79B0">
            <w:pPr>
              <w:rPr>
                <w:bCs/>
                <w:sz w:val="22"/>
                <w:szCs w:val="22"/>
                <w:lang w:val="fr-FR"/>
              </w:rPr>
            </w:pPr>
            <w:r w:rsidRPr="00BD646C">
              <w:rPr>
                <w:bCs/>
                <w:sz w:val="22"/>
                <w:szCs w:val="22"/>
                <w:lang w:val="fr-FR"/>
              </w:rPr>
              <w:t>Tél/Tel: +32 10 477811</w:t>
            </w:r>
          </w:p>
          <w:p w14:paraId="25441D14" w14:textId="77777777" w:rsidR="00930E09" w:rsidRPr="00BD646C" w:rsidRDefault="00930E09" w:rsidP="001F79B0">
            <w:pPr>
              <w:rPr>
                <w:bCs/>
                <w:sz w:val="22"/>
                <w:szCs w:val="22"/>
                <w:lang w:val="fr-FR"/>
              </w:rPr>
            </w:pPr>
          </w:p>
        </w:tc>
      </w:tr>
      <w:tr w:rsidR="004644D4" w14:paraId="777A500A" w14:textId="77777777" w:rsidTr="001F79B0">
        <w:tc>
          <w:tcPr>
            <w:tcW w:w="4644" w:type="dxa"/>
            <w:gridSpan w:val="2"/>
          </w:tcPr>
          <w:p w14:paraId="77C464CC" w14:textId="77777777" w:rsidR="00930E09" w:rsidRPr="00BD646C" w:rsidRDefault="00E453CD" w:rsidP="001F79B0">
            <w:pPr>
              <w:rPr>
                <w:b/>
                <w:bCs/>
                <w:sz w:val="22"/>
                <w:szCs w:val="22"/>
                <w:lang w:val="sk-SK"/>
              </w:rPr>
            </w:pPr>
            <w:r w:rsidRPr="00BD646C">
              <w:rPr>
                <w:b/>
                <w:bCs/>
                <w:sz w:val="22"/>
                <w:szCs w:val="22"/>
                <w:lang w:val="sk-SK"/>
              </w:rPr>
              <w:lastRenderedPageBreak/>
              <w:t>Česká republika</w:t>
            </w:r>
          </w:p>
          <w:p w14:paraId="445BE856" w14:textId="77777777" w:rsidR="00930E09" w:rsidRPr="00BD646C" w:rsidRDefault="00E453CD" w:rsidP="001F79B0">
            <w:pPr>
              <w:rPr>
                <w:bCs/>
                <w:sz w:val="22"/>
                <w:szCs w:val="22"/>
                <w:lang w:val="sk-SK"/>
              </w:rPr>
            </w:pPr>
            <w:r w:rsidRPr="00BD646C">
              <w:rPr>
                <w:bCs/>
                <w:sz w:val="22"/>
                <w:szCs w:val="22"/>
                <w:lang w:val="sk-SK"/>
              </w:rPr>
              <w:t xml:space="preserve">AbbVie s.r.o. </w:t>
            </w:r>
          </w:p>
          <w:p w14:paraId="14ECF965" w14:textId="77777777" w:rsidR="00930E09" w:rsidRPr="00BD646C" w:rsidRDefault="00E453CD" w:rsidP="001F79B0">
            <w:pPr>
              <w:rPr>
                <w:bCs/>
                <w:sz w:val="22"/>
                <w:szCs w:val="22"/>
                <w:lang w:val="sk-SK"/>
              </w:rPr>
            </w:pPr>
            <w:r w:rsidRPr="00BD646C">
              <w:rPr>
                <w:bCs/>
                <w:sz w:val="22"/>
                <w:szCs w:val="22"/>
                <w:lang w:val="sk-SK"/>
              </w:rPr>
              <w:t>Tel: +420 233 098 111</w:t>
            </w:r>
          </w:p>
        </w:tc>
        <w:tc>
          <w:tcPr>
            <w:tcW w:w="4678" w:type="dxa"/>
            <w:gridSpan w:val="2"/>
          </w:tcPr>
          <w:p w14:paraId="62285C79" w14:textId="77777777" w:rsidR="00930E09" w:rsidRPr="00BD646C" w:rsidRDefault="00E453CD" w:rsidP="001F79B0">
            <w:pPr>
              <w:rPr>
                <w:b/>
                <w:bCs/>
                <w:sz w:val="22"/>
                <w:szCs w:val="22"/>
                <w:lang w:val="hu-HU"/>
              </w:rPr>
            </w:pPr>
            <w:r w:rsidRPr="00BD646C">
              <w:rPr>
                <w:b/>
                <w:bCs/>
                <w:sz w:val="22"/>
                <w:szCs w:val="22"/>
                <w:lang w:val="hu-HU"/>
              </w:rPr>
              <w:t>Magyarország</w:t>
            </w:r>
          </w:p>
          <w:p w14:paraId="4170846B" w14:textId="77777777" w:rsidR="00930E09" w:rsidRPr="00BD646C" w:rsidRDefault="00E453CD" w:rsidP="001F79B0">
            <w:pPr>
              <w:rPr>
                <w:bCs/>
                <w:sz w:val="22"/>
                <w:szCs w:val="22"/>
                <w:lang w:val="hu-HU"/>
              </w:rPr>
            </w:pPr>
            <w:r w:rsidRPr="00BD646C">
              <w:rPr>
                <w:bCs/>
                <w:sz w:val="22"/>
                <w:szCs w:val="22"/>
                <w:lang w:val="hu-HU"/>
              </w:rPr>
              <w:t>AbbVie Kft.</w:t>
            </w:r>
          </w:p>
          <w:p w14:paraId="1494DD62" w14:textId="77777777" w:rsidR="00930E09" w:rsidRPr="00BD646C" w:rsidRDefault="00E453CD" w:rsidP="001F79B0">
            <w:pPr>
              <w:rPr>
                <w:bCs/>
                <w:sz w:val="22"/>
                <w:szCs w:val="22"/>
                <w:lang w:val="hu-HU"/>
              </w:rPr>
            </w:pPr>
            <w:r w:rsidRPr="00BD646C">
              <w:rPr>
                <w:bCs/>
                <w:sz w:val="22"/>
                <w:szCs w:val="22"/>
                <w:lang w:val="hu-HU"/>
              </w:rPr>
              <w:t>Tel.:+36 1 455 8600</w:t>
            </w:r>
          </w:p>
          <w:p w14:paraId="2DFDAA48" w14:textId="77777777" w:rsidR="00930E09" w:rsidRPr="00BD646C" w:rsidRDefault="00930E09" w:rsidP="001F79B0">
            <w:pPr>
              <w:rPr>
                <w:bCs/>
                <w:sz w:val="22"/>
                <w:szCs w:val="22"/>
                <w:lang w:val="hu-HU"/>
              </w:rPr>
            </w:pPr>
          </w:p>
        </w:tc>
      </w:tr>
      <w:tr w:rsidR="004644D4" w14:paraId="477CCF30" w14:textId="77777777" w:rsidTr="001F79B0">
        <w:trPr>
          <w:trHeight w:val="737"/>
        </w:trPr>
        <w:tc>
          <w:tcPr>
            <w:tcW w:w="4644" w:type="dxa"/>
            <w:gridSpan w:val="2"/>
          </w:tcPr>
          <w:p w14:paraId="2A5D7F34" w14:textId="77777777" w:rsidR="00930E09" w:rsidRPr="00BD646C" w:rsidRDefault="00E453CD" w:rsidP="001F79B0">
            <w:pPr>
              <w:rPr>
                <w:b/>
                <w:bCs/>
                <w:sz w:val="22"/>
                <w:szCs w:val="22"/>
                <w:lang w:val="en-US"/>
              </w:rPr>
            </w:pPr>
            <w:r w:rsidRPr="00BD646C">
              <w:rPr>
                <w:b/>
                <w:bCs/>
                <w:sz w:val="22"/>
                <w:szCs w:val="22"/>
                <w:lang w:val="en-US"/>
              </w:rPr>
              <w:t>Danmark</w:t>
            </w:r>
          </w:p>
          <w:p w14:paraId="5FE5B333" w14:textId="77777777" w:rsidR="00930E09" w:rsidRPr="00BD646C" w:rsidRDefault="00E453CD" w:rsidP="001F79B0">
            <w:pPr>
              <w:rPr>
                <w:bCs/>
                <w:sz w:val="22"/>
                <w:szCs w:val="22"/>
                <w:lang w:val="en-US"/>
              </w:rPr>
            </w:pPr>
            <w:r w:rsidRPr="00BD646C">
              <w:rPr>
                <w:bCs/>
                <w:sz w:val="22"/>
                <w:szCs w:val="22"/>
                <w:lang w:val="en-US"/>
              </w:rPr>
              <w:t>AbbVie A/S</w:t>
            </w:r>
          </w:p>
          <w:p w14:paraId="0A18860B" w14:textId="36EEDE5E" w:rsidR="00930E09" w:rsidRPr="00BD646C" w:rsidRDefault="00E453CD" w:rsidP="001F79B0">
            <w:pPr>
              <w:rPr>
                <w:bCs/>
                <w:sz w:val="22"/>
                <w:szCs w:val="22"/>
                <w:lang w:val="sk-SK"/>
              </w:rPr>
            </w:pPr>
            <w:r w:rsidRPr="00BD646C">
              <w:rPr>
                <w:bCs/>
                <w:sz w:val="22"/>
                <w:szCs w:val="22"/>
                <w:lang w:val="en-US"/>
              </w:rPr>
              <w:t>Tlf</w:t>
            </w:r>
            <w:ins w:id="17691" w:author="AbbVie02no" w:date="2025-05-15T14:34:00Z">
              <w:r w:rsidR="00600FCB">
                <w:rPr>
                  <w:bCs/>
                  <w:sz w:val="22"/>
                  <w:szCs w:val="22"/>
                  <w:lang w:val="en-US"/>
                </w:rPr>
                <w:t>.</w:t>
              </w:r>
            </w:ins>
            <w:r w:rsidRPr="00BD646C">
              <w:rPr>
                <w:bCs/>
                <w:sz w:val="22"/>
                <w:szCs w:val="22"/>
                <w:lang w:val="en-US"/>
              </w:rPr>
              <w:t>: +45 72 30-20-28</w:t>
            </w:r>
          </w:p>
        </w:tc>
        <w:tc>
          <w:tcPr>
            <w:tcW w:w="4678" w:type="dxa"/>
            <w:gridSpan w:val="2"/>
          </w:tcPr>
          <w:p w14:paraId="69DB17A7" w14:textId="77777777" w:rsidR="00930E09" w:rsidRPr="00BD646C" w:rsidRDefault="00E453CD" w:rsidP="001F79B0">
            <w:pPr>
              <w:rPr>
                <w:b/>
                <w:bCs/>
                <w:sz w:val="22"/>
                <w:szCs w:val="22"/>
                <w:lang w:val="mt-MT"/>
              </w:rPr>
            </w:pPr>
            <w:r w:rsidRPr="00BD646C">
              <w:rPr>
                <w:b/>
                <w:bCs/>
                <w:sz w:val="22"/>
                <w:szCs w:val="22"/>
                <w:lang w:val="mt-MT"/>
              </w:rPr>
              <w:t>Malta</w:t>
            </w:r>
          </w:p>
          <w:p w14:paraId="152762B3" w14:textId="77777777" w:rsidR="00930E09" w:rsidRPr="00BD646C" w:rsidRDefault="00E453CD" w:rsidP="001F79B0">
            <w:pPr>
              <w:rPr>
                <w:bCs/>
                <w:sz w:val="22"/>
                <w:szCs w:val="22"/>
                <w:lang w:val="sk-SK"/>
              </w:rPr>
            </w:pPr>
            <w:r w:rsidRPr="00BD646C">
              <w:rPr>
                <w:bCs/>
                <w:sz w:val="22"/>
                <w:szCs w:val="22"/>
                <w:lang w:val="sk-SK"/>
              </w:rPr>
              <w:t xml:space="preserve">V.J.Salomone Pharma Limited </w:t>
            </w:r>
          </w:p>
          <w:p w14:paraId="23021843" w14:textId="1CD958FF" w:rsidR="00930E09" w:rsidRPr="00BD646C" w:rsidRDefault="00E453CD" w:rsidP="001F79B0">
            <w:pPr>
              <w:rPr>
                <w:bCs/>
                <w:sz w:val="22"/>
                <w:szCs w:val="22"/>
                <w:lang w:val="sk-SK"/>
              </w:rPr>
            </w:pPr>
            <w:r w:rsidRPr="00BD646C">
              <w:rPr>
                <w:bCs/>
                <w:sz w:val="22"/>
                <w:szCs w:val="22"/>
                <w:lang w:val="sk-SK"/>
              </w:rPr>
              <w:t xml:space="preserve">Tel: </w:t>
            </w:r>
            <w:r w:rsidR="00A22181" w:rsidRPr="00A22181">
              <w:rPr>
                <w:bCs/>
                <w:sz w:val="22"/>
                <w:szCs w:val="22"/>
                <w:lang w:val="en-GB"/>
              </w:rPr>
              <w:t>+356 21220174</w:t>
            </w:r>
          </w:p>
          <w:p w14:paraId="226994C3" w14:textId="77777777" w:rsidR="00930E09" w:rsidRPr="00BD646C" w:rsidRDefault="00930E09" w:rsidP="001F79B0">
            <w:pPr>
              <w:rPr>
                <w:bCs/>
                <w:sz w:val="22"/>
                <w:szCs w:val="22"/>
                <w:lang w:val="sk-SK"/>
              </w:rPr>
            </w:pPr>
          </w:p>
        </w:tc>
      </w:tr>
      <w:tr w:rsidR="004644D4" w14:paraId="2DA89819" w14:textId="77777777" w:rsidTr="001F79B0">
        <w:tc>
          <w:tcPr>
            <w:tcW w:w="4644" w:type="dxa"/>
            <w:gridSpan w:val="2"/>
          </w:tcPr>
          <w:p w14:paraId="1A252FD1" w14:textId="77777777" w:rsidR="00930E09" w:rsidRPr="00BD646C" w:rsidRDefault="00E453CD" w:rsidP="001F79B0">
            <w:pPr>
              <w:rPr>
                <w:b/>
                <w:bCs/>
                <w:sz w:val="22"/>
                <w:szCs w:val="22"/>
                <w:lang w:val="de-DE"/>
              </w:rPr>
            </w:pPr>
            <w:r w:rsidRPr="00BD646C">
              <w:rPr>
                <w:b/>
                <w:bCs/>
                <w:sz w:val="22"/>
                <w:szCs w:val="22"/>
                <w:lang w:val="de-DE"/>
              </w:rPr>
              <w:t>Deutschland</w:t>
            </w:r>
          </w:p>
          <w:p w14:paraId="1FA8346D" w14:textId="77777777" w:rsidR="00930E09" w:rsidRPr="00BD646C" w:rsidRDefault="00E453CD" w:rsidP="001F79B0">
            <w:pPr>
              <w:rPr>
                <w:bCs/>
                <w:sz w:val="22"/>
                <w:szCs w:val="22"/>
                <w:lang w:val="de-DE"/>
              </w:rPr>
            </w:pPr>
            <w:r w:rsidRPr="00BD646C">
              <w:rPr>
                <w:sz w:val="22"/>
                <w:szCs w:val="22"/>
                <w:lang w:val="de-DE"/>
              </w:rPr>
              <w:t xml:space="preserve">AbbVie Deutschland </w:t>
            </w:r>
            <w:r w:rsidRPr="00BD646C">
              <w:rPr>
                <w:bCs/>
                <w:sz w:val="22"/>
                <w:szCs w:val="22"/>
                <w:lang w:val="de-DE"/>
              </w:rPr>
              <w:t>GmbH &amp; Co. KG</w:t>
            </w:r>
          </w:p>
          <w:p w14:paraId="12F008BA" w14:textId="77777777" w:rsidR="00930E09" w:rsidRPr="00BD646C" w:rsidRDefault="00E453CD" w:rsidP="001F79B0">
            <w:pPr>
              <w:rPr>
                <w:sz w:val="22"/>
                <w:szCs w:val="22"/>
                <w:lang w:val="de-DE"/>
              </w:rPr>
            </w:pPr>
            <w:r w:rsidRPr="00BD646C">
              <w:rPr>
                <w:sz w:val="22"/>
                <w:szCs w:val="22"/>
                <w:lang w:val="de-DE"/>
              </w:rPr>
              <w:t>Tel: 00800 222843 33 (gebührenfrei)</w:t>
            </w:r>
          </w:p>
          <w:p w14:paraId="1D8B73DB" w14:textId="77777777" w:rsidR="00930E09" w:rsidRPr="00BD646C" w:rsidRDefault="00E453CD" w:rsidP="001F79B0">
            <w:pPr>
              <w:rPr>
                <w:sz w:val="22"/>
                <w:szCs w:val="22"/>
                <w:lang w:val="de-DE"/>
              </w:rPr>
            </w:pPr>
            <w:r w:rsidRPr="00BD646C">
              <w:rPr>
                <w:sz w:val="22"/>
                <w:szCs w:val="22"/>
                <w:lang w:val="de-DE"/>
              </w:rPr>
              <w:t>Tel: +49 (0) 611 / 1720-0</w:t>
            </w:r>
          </w:p>
          <w:p w14:paraId="09E85973" w14:textId="77777777" w:rsidR="00930E09" w:rsidRPr="00BD646C" w:rsidRDefault="00930E09" w:rsidP="001F79B0">
            <w:pPr>
              <w:rPr>
                <w:sz w:val="22"/>
                <w:szCs w:val="22"/>
                <w:lang w:val="de-DE"/>
              </w:rPr>
            </w:pPr>
          </w:p>
        </w:tc>
        <w:tc>
          <w:tcPr>
            <w:tcW w:w="4678" w:type="dxa"/>
            <w:gridSpan w:val="2"/>
          </w:tcPr>
          <w:p w14:paraId="31BC4FCB" w14:textId="77777777" w:rsidR="00930E09" w:rsidRPr="00BD646C" w:rsidRDefault="00E453CD" w:rsidP="001F79B0">
            <w:pPr>
              <w:rPr>
                <w:b/>
                <w:bCs/>
                <w:sz w:val="22"/>
                <w:szCs w:val="22"/>
                <w:lang w:val="nl-NL"/>
              </w:rPr>
            </w:pPr>
            <w:r w:rsidRPr="00BD646C">
              <w:rPr>
                <w:b/>
                <w:bCs/>
                <w:sz w:val="22"/>
                <w:szCs w:val="22"/>
                <w:lang w:val="nl-NL"/>
              </w:rPr>
              <w:t>Nederland</w:t>
            </w:r>
          </w:p>
          <w:p w14:paraId="204DEF5F" w14:textId="77777777" w:rsidR="00930E09" w:rsidRPr="00BD646C" w:rsidRDefault="00E453CD" w:rsidP="001F79B0">
            <w:pPr>
              <w:rPr>
                <w:bCs/>
                <w:sz w:val="22"/>
                <w:szCs w:val="22"/>
                <w:lang w:val="de-DE"/>
              </w:rPr>
            </w:pPr>
            <w:r w:rsidRPr="00BD646C">
              <w:rPr>
                <w:bCs/>
                <w:sz w:val="22"/>
                <w:szCs w:val="22"/>
                <w:lang w:val="de-DE"/>
              </w:rPr>
              <w:t>AbbVie B.V.</w:t>
            </w:r>
          </w:p>
          <w:p w14:paraId="68E4D412" w14:textId="77777777" w:rsidR="00930E09" w:rsidRPr="00BD646C" w:rsidRDefault="00E453CD" w:rsidP="001F79B0">
            <w:pPr>
              <w:rPr>
                <w:bCs/>
                <w:sz w:val="22"/>
                <w:szCs w:val="22"/>
                <w:lang w:val="de-DE"/>
              </w:rPr>
            </w:pPr>
            <w:r w:rsidRPr="00BD646C">
              <w:rPr>
                <w:bCs/>
                <w:sz w:val="22"/>
                <w:szCs w:val="22"/>
                <w:lang w:val="de-DE"/>
              </w:rPr>
              <w:t>Tel: +31 (0)88 322 2843</w:t>
            </w:r>
          </w:p>
        </w:tc>
      </w:tr>
      <w:tr w:rsidR="004644D4" w14:paraId="1CF8DE9B" w14:textId="77777777" w:rsidTr="001F79B0">
        <w:tc>
          <w:tcPr>
            <w:tcW w:w="4644" w:type="dxa"/>
            <w:gridSpan w:val="2"/>
          </w:tcPr>
          <w:p w14:paraId="37DFBD97" w14:textId="77777777" w:rsidR="00930E09" w:rsidRPr="00BD646C" w:rsidRDefault="00E453CD" w:rsidP="001F79B0">
            <w:pPr>
              <w:rPr>
                <w:b/>
                <w:bCs/>
                <w:sz w:val="22"/>
                <w:szCs w:val="22"/>
                <w:lang w:val="et-EE"/>
              </w:rPr>
            </w:pPr>
            <w:r w:rsidRPr="00BD646C">
              <w:rPr>
                <w:b/>
                <w:bCs/>
                <w:sz w:val="22"/>
                <w:szCs w:val="22"/>
                <w:lang w:val="et-EE"/>
              </w:rPr>
              <w:t>Eesti</w:t>
            </w:r>
          </w:p>
          <w:p w14:paraId="1D7920C6" w14:textId="77777777" w:rsidR="00930E09" w:rsidRPr="00BD646C" w:rsidRDefault="00E453CD" w:rsidP="001F79B0">
            <w:pPr>
              <w:rPr>
                <w:bCs/>
                <w:sz w:val="22"/>
                <w:szCs w:val="22"/>
                <w:lang w:val="et-EE"/>
              </w:rPr>
            </w:pPr>
            <w:r w:rsidRPr="00BD646C">
              <w:rPr>
                <w:bCs/>
                <w:sz w:val="22"/>
                <w:szCs w:val="22"/>
                <w:lang w:val="et-EE"/>
              </w:rPr>
              <w:t xml:space="preserve">AbbVie </w:t>
            </w:r>
            <w:r w:rsidRPr="00BD646C">
              <w:rPr>
                <w:bCs/>
                <w:sz w:val="22"/>
                <w:szCs w:val="22"/>
                <w:lang w:val="sk-SK"/>
              </w:rPr>
              <w:t>OÜ</w:t>
            </w:r>
            <w:r w:rsidRPr="00BD646C">
              <w:rPr>
                <w:bCs/>
                <w:sz w:val="22"/>
                <w:szCs w:val="22"/>
                <w:lang w:val="et-EE"/>
              </w:rPr>
              <w:t xml:space="preserve"> </w:t>
            </w:r>
          </w:p>
          <w:p w14:paraId="4AEB1A61" w14:textId="77777777" w:rsidR="00930E09" w:rsidRPr="00BD646C" w:rsidRDefault="00E453CD" w:rsidP="001F79B0">
            <w:pPr>
              <w:rPr>
                <w:bCs/>
                <w:sz w:val="22"/>
                <w:szCs w:val="22"/>
                <w:lang w:val="lv-LV"/>
              </w:rPr>
            </w:pPr>
            <w:r w:rsidRPr="00BD646C">
              <w:rPr>
                <w:bCs/>
                <w:sz w:val="22"/>
                <w:szCs w:val="22"/>
                <w:lang w:val="et-EE"/>
              </w:rPr>
              <w:t>Tel: +372 623 1011</w:t>
            </w:r>
          </w:p>
        </w:tc>
        <w:tc>
          <w:tcPr>
            <w:tcW w:w="4678" w:type="dxa"/>
            <w:gridSpan w:val="2"/>
          </w:tcPr>
          <w:p w14:paraId="385FDBE6" w14:textId="77777777" w:rsidR="00930E09" w:rsidRPr="00BD646C" w:rsidRDefault="00E453CD" w:rsidP="001F79B0">
            <w:pPr>
              <w:rPr>
                <w:b/>
                <w:bCs/>
                <w:sz w:val="22"/>
                <w:szCs w:val="22"/>
              </w:rPr>
            </w:pPr>
            <w:r w:rsidRPr="00BD646C">
              <w:rPr>
                <w:b/>
                <w:bCs/>
                <w:sz w:val="22"/>
                <w:szCs w:val="22"/>
              </w:rPr>
              <w:t>Norge</w:t>
            </w:r>
          </w:p>
          <w:p w14:paraId="5083C62B" w14:textId="77777777" w:rsidR="00930E09" w:rsidRPr="00BD646C" w:rsidRDefault="00E453CD" w:rsidP="001F79B0">
            <w:pPr>
              <w:rPr>
                <w:bCs/>
                <w:sz w:val="22"/>
                <w:szCs w:val="22"/>
                <w:lang w:val="sk-SK"/>
              </w:rPr>
            </w:pPr>
            <w:r w:rsidRPr="00BD646C">
              <w:rPr>
                <w:bCs/>
                <w:sz w:val="22"/>
                <w:szCs w:val="22"/>
                <w:lang w:val="sk-SK"/>
              </w:rPr>
              <w:t>AbbVie AS</w:t>
            </w:r>
          </w:p>
          <w:p w14:paraId="6A5641A0" w14:textId="77777777" w:rsidR="00930E09" w:rsidRPr="00BD646C" w:rsidRDefault="00E453CD" w:rsidP="001F79B0">
            <w:pPr>
              <w:rPr>
                <w:bCs/>
                <w:sz w:val="22"/>
                <w:szCs w:val="22"/>
                <w:lang w:val="sk-SK"/>
              </w:rPr>
            </w:pPr>
            <w:r w:rsidRPr="00BD646C">
              <w:rPr>
                <w:bCs/>
                <w:sz w:val="22"/>
                <w:szCs w:val="22"/>
                <w:lang w:val="sk-SK"/>
              </w:rPr>
              <w:t>Tlf: +47 67 81 80 00</w:t>
            </w:r>
          </w:p>
          <w:p w14:paraId="0A208772" w14:textId="77777777" w:rsidR="00930E09" w:rsidRPr="00BD646C" w:rsidRDefault="00930E09" w:rsidP="001F79B0">
            <w:pPr>
              <w:rPr>
                <w:bCs/>
                <w:sz w:val="22"/>
                <w:szCs w:val="22"/>
                <w:lang w:val="sk-SK"/>
              </w:rPr>
            </w:pPr>
          </w:p>
        </w:tc>
      </w:tr>
      <w:tr w:rsidR="004644D4" w14:paraId="0565EB7B" w14:textId="77777777" w:rsidTr="001F79B0">
        <w:trPr>
          <w:trHeight w:val="794"/>
        </w:trPr>
        <w:tc>
          <w:tcPr>
            <w:tcW w:w="4644" w:type="dxa"/>
            <w:gridSpan w:val="2"/>
          </w:tcPr>
          <w:p w14:paraId="1280B102" w14:textId="77777777" w:rsidR="00930E09" w:rsidRPr="00BD646C" w:rsidRDefault="00E453CD" w:rsidP="001F79B0">
            <w:pPr>
              <w:rPr>
                <w:b/>
                <w:bCs/>
                <w:sz w:val="22"/>
                <w:szCs w:val="22"/>
                <w:lang w:val="el-GR"/>
              </w:rPr>
            </w:pPr>
            <w:r w:rsidRPr="00BD646C">
              <w:rPr>
                <w:b/>
                <w:bCs/>
                <w:sz w:val="22"/>
                <w:szCs w:val="22"/>
                <w:lang w:val="el-GR"/>
              </w:rPr>
              <w:t>Ελλάδα</w:t>
            </w:r>
          </w:p>
          <w:p w14:paraId="6E136540" w14:textId="77777777" w:rsidR="00930E09" w:rsidRPr="00BD646C" w:rsidRDefault="00E453CD" w:rsidP="001F79B0">
            <w:pPr>
              <w:rPr>
                <w:bCs/>
                <w:sz w:val="22"/>
                <w:szCs w:val="22"/>
                <w:lang w:val="el-GR"/>
              </w:rPr>
            </w:pPr>
            <w:r w:rsidRPr="00BD646C">
              <w:rPr>
                <w:bCs/>
                <w:sz w:val="22"/>
                <w:szCs w:val="22"/>
                <w:lang w:val="et-EE"/>
              </w:rPr>
              <w:t xml:space="preserve">AbbVie </w:t>
            </w:r>
            <w:r w:rsidRPr="00BD646C">
              <w:rPr>
                <w:sz w:val="22"/>
                <w:szCs w:val="22"/>
                <w:lang w:val="el-GR"/>
              </w:rPr>
              <w:t>ΦΑΡΜΑΚΕΥΤΙΚΗ Α.Ε.</w:t>
            </w:r>
          </w:p>
          <w:p w14:paraId="79204C0C" w14:textId="77777777" w:rsidR="00930E09" w:rsidRPr="00BD646C" w:rsidRDefault="00E453CD" w:rsidP="001F79B0">
            <w:pPr>
              <w:rPr>
                <w:bCs/>
                <w:sz w:val="22"/>
                <w:szCs w:val="22"/>
                <w:lang w:val="sk-SK"/>
              </w:rPr>
            </w:pPr>
            <w:r w:rsidRPr="00BD646C">
              <w:rPr>
                <w:bCs/>
                <w:sz w:val="22"/>
                <w:szCs w:val="22"/>
                <w:lang w:val="el-GR"/>
              </w:rPr>
              <w:t xml:space="preserve">Τηλ: +30 </w:t>
            </w:r>
            <w:r w:rsidRPr="00BD646C">
              <w:rPr>
                <w:bCs/>
                <w:sz w:val="22"/>
                <w:szCs w:val="22"/>
                <w:lang w:val="sk-SK"/>
              </w:rPr>
              <w:t>214 4165 555</w:t>
            </w:r>
          </w:p>
        </w:tc>
        <w:tc>
          <w:tcPr>
            <w:tcW w:w="4678" w:type="dxa"/>
            <w:gridSpan w:val="2"/>
          </w:tcPr>
          <w:p w14:paraId="671255AD" w14:textId="77777777" w:rsidR="00930E09" w:rsidRPr="00BD646C" w:rsidRDefault="00E453CD" w:rsidP="001F79B0">
            <w:pPr>
              <w:rPr>
                <w:b/>
                <w:bCs/>
                <w:sz w:val="22"/>
                <w:szCs w:val="22"/>
                <w:lang w:val="de-DE"/>
              </w:rPr>
            </w:pPr>
            <w:r w:rsidRPr="00BD646C">
              <w:rPr>
                <w:b/>
                <w:bCs/>
                <w:sz w:val="22"/>
                <w:szCs w:val="22"/>
                <w:lang w:val="de-DE"/>
              </w:rPr>
              <w:t>Österreich</w:t>
            </w:r>
          </w:p>
          <w:p w14:paraId="456DCEA6" w14:textId="77777777" w:rsidR="00930E09" w:rsidRPr="00BD646C" w:rsidRDefault="00E453CD" w:rsidP="001F79B0">
            <w:pPr>
              <w:rPr>
                <w:bCs/>
                <w:sz w:val="22"/>
                <w:szCs w:val="22"/>
                <w:lang w:val="de-DE"/>
              </w:rPr>
            </w:pPr>
            <w:r w:rsidRPr="00BD646C">
              <w:rPr>
                <w:bCs/>
                <w:sz w:val="22"/>
                <w:szCs w:val="22"/>
                <w:lang w:val="de-DE"/>
              </w:rPr>
              <w:t xml:space="preserve">AbbVie GmbH </w:t>
            </w:r>
          </w:p>
          <w:p w14:paraId="209D995D" w14:textId="77777777" w:rsidR="00930E09" w:rsidRPr="00BD646C" w:rsidRDefault="00E453CD" w:rsidP="001F79B0">
            <w:pPr>
              <w:rPr>
                <w:bCs/>
                <w:sz w:val="22"/>
                <w:szCs w:val="22"/>
                <w:lang w:val="de-DE"/>
              </w:rPr>
            </w:pPr>
            <w:r w:rsidRPr="00BD646C">
              <w:rPr>
                <w:bCs/>
                <w:sz w:val="22"/>
                <w:szCs w:val="22"/>
                <w:lang w:val="de-DE"/>
              </w:rPr>
              <w:t>Tel: +43 1 20589-0</w:t>
            </w:r>
          </w:p>
          <w:p w14:paraId="59113D34" w14:textId="77777777" w:rsidR="00930E09" w:rsidRPr="00BD646C" w:rsidRDefault="00930E09" w:rsidP="001F79B0">
            <w:pPr>
              <w:rPr>
                <w:bCs/>
                <w:sz w:val="22"/>
                <w:szCs w:val="22"/>
                <w:lang w:val="de-DE"/>
              </w:rPr>
            </w:pPr>
          </w:p>
        </w:tc>
      </w:tr>
      <w:tr w:rsidR="004644D4" w14:paraId="2BBA4CC5" w14:textId="77777777" w:rsidTr="001F79B0">
        <w:trPr>
          <w:gridBefore w:val="1"/>
          <w:wBefore w:w="34" w:type="dxa"/>
        </w:trPr>
        <w:tc>
          <w:tcPr>
            <w:tcW w:w="4644" w:type="dxa"/>
            <w:gridSpan w:val="2"/>
          </w:tcPr>
          <w:p w14:paraId="32077D44" w14:textId="77777777" w:rsidR="00930E09" w:rsidRPr="00BD646C" w:rsidRDefault="00E453CD" w:rsidP="001F79B0">
            <w:pPr>
              <w:rPr>
                <w:b/>
                <w:bCs/>
                <w:sz w:val="22"/>
                <w:szCs w:val="22"/>
                <w:lang w:val="es-ES"/>
              </w:rPr>
            </w:pPr>
            <w:r w:rsidRPr="00BD646C">
              <w:rPr>
                <w:b/>
                <w:bCs/>
                <w:sz w:val="22"/>
                <w:szCs w:val="22"/>
                <w:lang w:val="es-ES"/>
              </w:rPr>
              <w:t>España</w:t>
            </w:r>
          </w:p>
          <w:p w14:paraId="645D5A4A" w14:textId="77777777" w:rsidR="00930E09" w:rsidRPr="00BD646C" w:rsidRDefault="00E453CD" w:rsidP="001F79B0">
            <w:pPr>
              <w:rPr>
                <w:sz w:val="22"/>
                <w:szCs w:val="22"/>
                <w:lang w:val="es-ES"/>
              </w:rPr>
            </w:pPr>
            <w:r w:rsidRPr="00BD646C">
              <w:rPr>
                <w:sz w:val="22"/>
                <w:szCs w:val="22"/>
                <w:lang w:val="es-ES"/>
              </w:rPr>
              <w:t xml:space="preserve">AbbVie </w:t>
            </w:r>
            <w:r w:rsidRPr="00BD646C">
              <w:rPr>
                <w:bCs/>
                <w:sz w:val="22"/>
                <w:szCs w:val="22"/>
                <w:lang w:val="es-ES"/>
              </w:rPr>
              <w:t>Spain</w:t>
            </w:r>
            <w:r w:rsidRPr="00BD646C">
              <w:rPr>
                <w:sz w:val="22"/>
                <w:szCs w:val="22"/>
                <w:lang w:val="es-ES"/>
              </w:rPr>
              <w:t>, S.L.U</w:t>
            </w:r>
            <w:r w:rsidRPr="00BD646C">
              <w:rPr>
                <w:bCs/>
                <w:sz w:val="22"/>
                <w:szCs w:val="22"/>
                <w:lang w:val="es-ES"/>
              </w:rPr>
              <w:t>.</w:t>
            </w:r>
          </w:p>
          <w:p w14:paraId="6C5DB8C0" w14:textId="77777777" w:rsidR="00930E09" w:rsidRPr="00BD646C" w:rsidRDefault="00E453CD" w:rsidP="001F79B0">
            <w:pPr>
              <w:rPr>
                <w:bCs/>
                <w:sz w:val="22"/>
                <w:szCs w:val="22"/>
                <w:lang w:val="pl-PL"/>
              </w:rPr>
            </w:pPr>
            <w:r w:rsidRPr="00BD646C">
              <w:rPr>
                <w:bCs/>
                <w:sz w:val="22"/>
                <w:szCs w:val="22"/>
                <w:lang w:val="pt-PT"/>
              </w:rPr>
              <w:t>Tel: +34 91 384 09 10</w:t>
            </w:r>
          </w:p>
        </w:tc>
        <w:tc>
          <w:tcPr>
            <w:tcW w:w="4678" w:type="dxa"/>
          </w:tcPr>
          <w:p w14:paraId="62857EDB" w14:textId="77777777" w:rsidR="00930E09" w:rsidRPr="00BD646C" w:rsidRDefault="00E453CD" w:rsidP="001F79B0">
            <w:pPr>
              <w:rPr>
                <w:b/>
                <w:bCs/>
                <w:iCs/>
                <w:sz w:val="22"/>
                <w:szCs w:val="22"/>
                <w:lang w:val="pl-PL"/>
              </w:rPr>
            </w:pPr>
            <w:r w:rsidRPr="00BD646C">
              <w:rPr>
                <w:b/>
                <w:bCs/>
                <w:iCs/>
                <w:sz w:val="22"/>
                <w:szCs w:val="22"/>
                <w:lang w:val="pl-PL"/>
              </w:rPr>
              <w:t>Polska</w:t>
            </w:r>
          </w:p>
          <w:p w14:paraId="366080FC" w14:textId="77777777" w:rsidR="00930E09" w:rsidRPr="00BD646C" w:rsidRDefault="00E453CD" w:rsidP="001F79B0">
            <w:pPr>
              <w:rPr>
                <w:bCs/>
                <w:sz w:val="22"/>
                <w:szCs w:val="22"/>
                <w:lang w:val="pl-PL"/>
              </w:rPr>
            </w:pPr>
            <w:r w:rsidRPr="00BD646C">
              <w:rPr>
                <w:bCs/>
                <w:sz w:val="22"/>
                <w:szCs w:val="22"/>
                <w:lang w:val="pl-PL"/>
              </w:rPr>
              <w:t>AbbVie Sp. z o.o.</w:t>
            </w:r>
          </w:p>
          <w:p w14:paraId="2F410CD4" w14:textId="77777777" w:rsidR="00930E09" w:rsidRPr="00BD646C" w:rsidRDefault="00E453CD" w:rsidP="001F79B0">
            <w:pPr>
              <w:rPr>
                <w:bCs/>
                <w:sz w:val="22"/>
                <w:szCs w:val="22"/>
                <w:lang w:val="pl-PL"/>
              </w:rPr>
            </w:pPr>
            <w:r w:rsidRPr="00BD646C">
              <w:rPr>
                <w:sz w:val="22"/>
                <w:szCs w:val="22"/>
                <w:lang w:val="es-ES"/>
              </w:rPr>
              <w:t xml:space="preserve">Tel.: +48 22 </w:t>
            </w:r>
            <w:r w:rsidRPr="00BD646C">
              <w:rPr>
                <w:bCs/>
                <w:sz w:val="22"/>
                <w:szCs w:val="22"/>
                <w:lang w:val="pl-PL"/>
              </w:rPr>
              <w:t xml:space="preserve">372 78 00 </w:t>
            </w:r>
          </w:p>
          <w:p w14:paraId="6D95ED37" w14:textId="77777777" w:rsidR="00930E09" w:rsidRPr="00BD646C" w:rsidRDefault="00930E09" w:rsidP="001F79B0">
            <w:pPr>
              <w:rPr>
                <w:bCs/>
                <w:sz w:val="22"/>
                <w:szCs w:val="22"/>
                <w:lang w:val="pl-PL"/>
              </w:rPr>
            </w:pPr>
          </w:p>
        </w:tc>
      </w:tr>
      <w:tr w:rsidR="004644D4" w14:paraId="6DB17B15" w14:textId="77777777" w:rsidTr="001F79B0">
        <w:trPr>
          <w:trHeight w:val="734"/>
        </w:trPr>
        <w:tc>
          <w:tcPr>
            <w:tcW w:w="4678" w:type="dxa"/>
            <w:gridSpan w:val="3"/>
          </w:tcPr>
          <w:p w14:paraId="251FE9B9" w14:textId="77777777" w:rsidR="00930E09" w:rsidRPr="00BD646C" w:rsidRDefault="00E453CD" w:rsidP="001F79B0">
            <w:pPr>
              <w:rPr>
                <w:b/>
                <w:bCs/>
                <w:sz w:val="22"/>
                <w:szCs w:val="22"/>
                <w:lang w:val="fr-FR"/>
              </w:rPr>
            </w:pPr>
            <w:r w:rsidRPr="00BD646C">
              <w:rPr>
                <w:b/>
                <w:bCs/>
                <w:sz w:val="22"/>
                <w:szCs w:val="22"/>
                <w:lang w:val="fr-FR"/>
              </w:rPr>
              <w:t>France</w:t>
            </w:r>
          </w:p>
          <w:p w14:paraId="545634F9" w14:textId="77777777" w:rsidR="00930E09" w:rsidRPr="00BD646C" w:rsidRDefault="00E453CD" w:rsidP="001F79B0">
            <w:pPr>
              <w:rPr>
                <w:bCs/>
                <w:sz w:val="22"/>
                <w:szCs w:val="22"/>
                <w:lang w:val="fr-FR"/>
              </w:rPr>
            </w:pPr>
            <w:r w:rsidRPr="00BD646C">
              <w:rPr>
                <w:bCs/>
                <w:sz w:val="22"/>
                <w:szCs w:val="22"/>
                <w:lang w:val="fr-FR"/>
              </w:rPr>
              <w:t>AbbVie</w:t>
            </w:r>
          </w:p>
          <w:p w14:paraId="0A3B1B56" w14:textId="77777777" w:rsidR="00930E09" w:rsidRPr="00BD646C" w:rsidRDefault="00E453CD" w:rsidP="001F79B0">
            <w:pPr>
              <w:rPr>
                <w:bCs/>
                <w:sz w:val="22"/>
                <w:szCs w:val="22"/>
                <w:lang w:val="fr-FR"/>
              </w:rPr>
            </w:pPr>
            <w:r w:rsidRPr="00BD646C">
              <w:rPr>
                <w:bCs/>
                <w:sz w:val="22"/>
                <w:szCs w:val="22"/>
                <w:lang w:val="fr-FR"/>
              </w:rPr>
              <w:t>Tél: +33 (0) 1 45 60 13 00</w:t>
            </w:r>
          </w:p>
        </w:tc>
        <w:tc>
          <w:tcPr>
            <w:tcW w:w="4678" w:type="dxa"/>
          </w:tcPr>
          <w:p w14:paraId="189474C8" w14:textId="77777777" w:rsidR="00930E09" w:rsidRPr="00BD646C" w:rsidRDefault="00E453CD" w:rsidP="001F79B0">
            <w:pPr>
              <w:rPr>
                <w:b/>
                <w:bCs/>
                <w:sz w:val="22"/>
                <w:szCs w:val="22"/>
                <w:lang w:val="pt-PT"/>
              </w:rPr>
            </w:pPr>
            <w:r w:rsidRPr="00BD646C">
              <w:rPr>
                <w:b/>
                <w:bCs/>
                <w:sz w:val="22"/>
                <w:szCs w:val="22"/>
                <w:lang w:val="pt-PT"/>
              </w:rPr>
              <w:t>Portugal</w:t>
            </w:r>
          </w:p>
          <w:p w14:paraId="1250DB86" w14:textId="77777777" w:rsidR="00930E09" w:rsidRPr="00BD646C" w:rsidRDefault="00E453CD" w:rsidP="001F79B0">
            <w:pPr>
              <w:rPr>
                <w:bCs/>
                <w:sz w:val="22"/>
                <w:szCs w:val="22"/>
                <w:lang w:val="fr-FR"/>
              </w:rPr>
            </w:pPr>
            <w:r w:rsidRPr="00BD646C">
              <w:rPr>
                <w:bCs/>
                <w:sz w:val="22"/>
                <w:szCs w:val="22"/>
                <w:lang w:val="fr-FR"/>
              </w:rPr>
              <w:t xml:space="preserve">AbbVie, Lda. </w:t>
            </w:r>
          </w:p>
          <w:p w14:paraId="4302665E" w14:textId="77777777" w:rsidR="00930E09" w:rsidRPr="00BD646C" w:rsidRDefault="00E453CD" w:rsidP="001F79B0">
            <w:pPr>
              <w:rPr>
                <w:sz w:val="22"/>
                <w:szCs w:val="22"/>
                <w:lang w:val="fr-FR"/>
              </w:rPr>
            </w:pPr>
            <w:r w:rsidRPr="00BD646C">
              <w:rPr>
                <w:sz w:val="22"/>
                <w:szCs w:val="22"/>
                <w:lang w:val="fr-FR"/>
              </w:rPr>
              <w:t>Tel: +351 (0)21 1908400</w:t>
            </w:r>
          </w:p>
          <w:p w14:paraId="4E1DF0F3" w14:textId="77777777" w:rsidR="00930E09" w:rsidRPr="00BD646C" w:rsidRDefault="00930E09" w:rsidP="001F79B0">
            <w:pPr>
              <w:rPr>
                <w:sz w:val="22"/>
                <w:szCs w:val="22"/>
                <w:lang w:val="fr-FR"/>
              </w:rPr>
            </w:pPr>
          </w:p>
        </w:tc>
      </w:tr>
      <w:tr w:rsidR="004644D4" w14:paraId="7D2CA6D8" w14:textId="77777777" w:rsidTr="001F79B0">
        <w:trPr>
          <w:gridBefore w:val="1"/>
          <w:wBefore w:w="34" w:type="dxa"/>
        </w:trPr>
        <w:tc>
          <w:tcPr>
            <w:tcW w:w="4644" w:type="dxa"/>
            <w:gridSpan w:val="2"/>
          </w:tcPr>
          <w:p w14:paraId="4CCBC88B" w14:textId="77777777" w:rsidR="00930E09" w:rsidRPr="003979AA" w:rsidRDefault="00E453CD" w:rsidP="001F79B0">
            <w:pPr>
              <w:rPr>
                <w:sz w:val="22"/>
                <w:szCs w:val="22"/>
              </w:rPr>
            </w:pPr>
            <w:r w:rsidRPr="003979AA">
              <w:rPr>
                <w:b/>
                <w:bCs/>
                <w:sz w:val="22"/>
                <w:szCs w:val="22"/>
              </w:rPr>
              <w:t xml:space="preserve">Hrvatska </w:t>
            </w:r>
          </w:p>
          <w:p w14:paraId="40D95656" w14:textId="77777777" w:rsidR="00930E09" w:rsidRPr="00BD646C" w:rsidRDefault="00E453CD" w:rsidP="001F79B0">
            <w:pPr>
              <w:rPr>
                <w:sz w:val="22"/>
                <w:szCs w:val="22"/>
                <w:lang w:val="hr-HR"/>
              </w:rPr>
            </w:pPr>
            <w:r w:rsidRPr="00BD646C">
              <w:rPr>
                <w:sz w:val="22"/>
                <w:szCs w:val="22"/>
                <w:lang w:val="hr-HR"/>
              </w:rPr>
              <w:t>AbbVie d.o.o.</w:t>
            </w:r>
          </w:p>
          <w:p w14:paraId="6CD1F2E9" w14:textId="77777777" w:rsidR="00930E09" w:rsidRPr="00BD646C" w:rsidRDefault="00E453CD" w:rsidP="001F79B0">
            <w:pPr>
              <w:rPr>
                <w:bCs/>
                <w:sz w:val="22"/>
                <w:szCs w:val="22"/>
                <w:lang w:val="it-IT"/>
              </w:rPr>
            </w:pPr>
            <w:r w:rsidRPr="00BD646C">
              <w:rPr>
                <w:sz w:val="22"/>
                <w:szCs w:val="22"/>
                <w:lang w:val="hr-HR"/>
              </w:rPr>
              <w:t xml:space="preserve">Tel + 385 (0)1 </w:t>
            </w:r>
            <w:r w:rsidRPr="00BD646C">
              <w:rPr>
                <w:sz w:val="22"/>
                <w:szCs w:val="22"/>
                <w:lang w:val="en-US"/>
              </w:rPr>
              <w:t>5625 501</w:t>
            </w:r>
          </w:p>
        </w:tc>
        <w:tc>
          <w:tcPr>
            <w:tcW w:w="4678" w:type="dxa"/>
          </w:tcPr>
          <w:p w14:paraId="4D60D466" w14:textId="77777777" w:rsidR="00930E09" w:rsidRPr="00BD646C" w:rsidRDefault="00E453CD" w:rsidP="001F79B0">
            <w:pPr>
              <w:rPr>
                <w:b/>
                <w:bCs/>
                <w:sz w:val="22"/>
                <w:szCs w:val="22"/>
                <w:lang w:val="it-IT"/>
              </w:rPr>
            </w:pPr>
            <w:r w:rsidRPr="00BD646C">
              <w:rPr>
                <w:b/>
                <w:bCs/>
                <w:sz w:val="22"/>
                <w:szCs w:val="22"/>
                <w:lang w:val="it-IT"/>
              </w:rPr>
              <w:t>România</w:t>
            </w:r>
          </w:p>
          <w:p w14:paraId="16C11B5C" w14:textId="77777777" w:rsidR="00930E09" w:rsidRPr="00BD646C" w:rsidRDefault="00E453CD" w:rsidP="001F79B0">
            <w:pPr>
              <w:rPr>
                <w:sz w:val="22"/>
                <w:szCs w:val="22"/>
                <w:lang w:val="it-IT"/>
              </w:rPr>
            </w:pPr>
            <w:r w:rsidRPr="00BD646C">
              <w:rPr>
                <w:sz w:val="22"/>
                <w:szCs w:val="22"/>
                <w:lang w:val="it-IT"/>
              </w:rPr>
              <w:t>AbbVie S.R.L.</w:t>
            </w:r>
          </w:p>
          <w:p w14:paraId="094344C8" w14:textId="77777777" w:rsidR="00930E09" w:rsidRPr="00BD646C" w:rsidRDefault="00E453CD" w:rsidP="001F79B0">
            <w:pPr>
              <w:rPr>
                <w:sz w:val="22"/>
                <w:szCs w:val="22"/>
                <w:lang w:val="pl-PL"/>
              </w:rPr>
            </w:pPr>
            <w:r w:rsidRPr="00BD646C">
              <w:rPr>
                <w:sz w:val="22"/>
                <w:szCs w:val="22"/>
                <w:lang w:val="pl-PL"/>
              </w:rPr>
              <w:t>Tel: +40 21 529 30 35</w:t>
            </w:r>
          </w:p>
          <w:p w14:paraId="74B27482" w14:textId="77777777" w:rsidR="00930E09" w:rsidRPr="00BD646C" w:rsidRDefault="00930E09" w:rsidP="001F79B0">
            <w:pPr>
              <w:rPr>
                <w:sz w:val="22"/>
                <w:szCs w:val="22"/>
                <w:lang w:val="pl-PL"/>
              </w:rPr>
            </w:pPr>
          </w:p>
        </w:tc>
      </w:tr>
      <w:tr w:rsidR="004644D4" w14:paraId="09FED098" w14:textId="77777777" w:rsidTr="001F79B0">
        <w:trPr>
          <w:gridBefore w:val="1"/>
          <w:wBefore w:w="34" w:type="dxa"/>
        </w:trPr>
        <w:tc>
          <w:tcPr>
            <w:tcW w:w="4644" w:type="dxa"/>
            <w:gridSpan w:val="2"/>
          </w:tcPr>
          <w:p w14:paraId="3509A3FB" w14:textId="77777777" w:rsidR="00930E09" w:rsidRPr="00BD646C" w:rsidRDefault="00E453CD" w:rsidP="001F79B0">
            <w:pPr>
              <w:rPr>
                <w:b/>
                <w:bCs/>
                <w:sz w:val="22"/>
                <w:szCs w:val="22"/>
                <w:lang w:val="sk-SK"/>
              </w:rPr>
            </w:pPr>
            <w:r w:rsidRPr="00BD646C">
              <w:rPr>
                <w:b/>
                <w:bCs/>
                <w:sz w:val="22"/>
                <w:szCs w:val="22"/>
                <w:lang w:val="sk-SK"/>
              </w:rPr>
              <w:t>Ireland</w:t>
            </w:r>
          </w:p>
          <w:p w14:paraId="4DE4A33B" w14:textId="77777777" w:rsidR="00930E09" w:rsidRPr="00BD646C" w:rsidRDefault="00E453CD" w:rsidP="001F79B0">
            <w:pPr>
              <w:rPr>
                <w:bCs/>
                <w:sz w:val="22"/>
                <w:szCs w:val="22"/>
                <w:lang w:val="sk-SK"/>
              </w:rPr>
            </w:pPr>
            <w:r w:rsidRPr="00BD646C">
              <w:rPr>
                <w:bCs/>
                <w:sz w:val="22"/>
                <w:szCs w:val="22"/>
                <w:lang w:val="sk-SK"/>
              </w:rPr>
              <w:t xml:space="preserve">AbbVie Limited </w:t>
            </w:r>
          </w:p>
          <w:p w14:paraId="57570079" w14:textId="77777777" w:rsidR="00930E09" w:rsidRPr="00BD646C" w:rsidRDefault="00E453CD" w:rsidP="001F79B0">
            <w:pPr>
              <w:rPr>
                <w:bCs/>
                <w:sz w:val="22"/>
                <w:szCs w:val="22"/>
                <w:lang w:val="sk-SK"/>
              </w:rPr>
            </w:pPr>
            <w:r w:rsidRPr="00BD646C">
              <w:rPr>
                <w:bCs/>
                <w:sz w:val="22"/>
                <w:szCs w:val="22"/>
                <w:lang w:val="pt-PT"/>
              </w:rPr>
              <w:t>Tel: +353 (0)1 42879</w:t>
            </w:r>
            <w:r w:rsidR="00167578">
              <w:rPr>
                <w:bCs/>
                <w:sz w:val="22"/>
                <w:szCs w:val="22"/>
                <w:lang w:val="pt-PT"/>
              </w:rPr>
              <w:t>0</w:t>
            </w:r>
            <w:r w:rsidRPr="00BD646C">
              <w:rPr>
                <w:bCs/>
                <w:sz w:val="22"/>
                <w:szCs w:val="22"/>
                <w:lang w:val="pt-PT"/>
              </w:rPr>
              <w:t>0</w:t>
            </w:r>
          </w:p>
        </w:tc>
        <w:tc>
          <w:tcPr>
            <w:tcW w:w="4678" w:type="dxa"/>
          </w:tcPr>
          <w:p w14:paraId="3FBA0D54" w14:textId="77777777" w:rsidR="00930E09" w:rsidRPr="00BD646C" w:rsidRDefault="00E453CD" w:rsidP="001F79B0">
            <w:pPr>
              <w:rPr>
                <w:b/>
                <w:bCs/>
                <w:sz w:val="22"/>
                <w:szCs w:val="22"/>
                <w:lang w:val="sl-SI"/>
              </w:rPr>
            </w:pPr>
            <w:r w:rsidRPr="00BD646C">
              <w:rPr>
                <w:b/>
                <w:bCs/>
                <w:sz w:val="22"/>
                <w:szCs w:val="22"/>
                <w:lang w:val="sl-SI"/>
              </w:rPr>
              <w:t>Slovenija</w:t>
            </w:r>
          </w:p>
          <w:p w14:paraId="5F9E3484" w14:textId="77777777" w:rsidR="00930E09" w:rsidRPr="00BD646C" w:rsidRDefault="00E453CD" w:rsidP="001F79B0">
            <w:pPr>
              <w:rPr>
                <w:bCs/>
                <w:sz w:val="22"/>
                <w:szCs w:val="22"/>
                <w:lang w:val="sl-SI"/>
              </w:rPr>
            </w:pPr>
            <w:r w:rsidRPr="00BD646C">
              <w:rPr>
                <w:bCs/>
                <w:sz w:val="22"/>
                <w:szCs w:val="22"/>
                <w:lang w:val="sl-SI"/>
              </w:rPr>
              <w:t xml:space="preserve">AbbVie </w:t>
            </w:r>
            <w:r w:rsidRPr="00BD646C">
              <w:rPr>
                <w:sz w:val="22"/>
                <w:szCs w:val="22"/>
                <w:lang w:val="sl-SI"/>
              </w:rPr>
              <w:t>Biofarmacevtska družba d.o.o.</w:t>
            </w:r>
          </w:p>
          <w:p w14:paraId="5351A676" w14:textId="77777777" w:rsidR="00930E09" w:rsidRPr="00BD646C" w:rsidRDefault="00E453CD" w:rsidP="001F79B0">
            <w:pPr>
              <w:rPr>
                <w:bCs/>
                <w:sz w:val="22"/>
                <w:szCs w:val="22"/>
                <w:lang w:val="sl-SI"/>
              </w:rPr>
            </w:pPr>
            <w:r w:rsidRPr="00BD646C">
              <w:rPr>
                <w:bCs/>
                <w:sz w:val="22"/>
                <w:szCs w:val="22"/>
                <w:lang w:val="sl-SI"/>
              </w:rPr>
              <w:t>Tel: +386 (1)32 08 060</w:t>
            </w:r>
          </w:p>
          <w:p w14:paraId="7E6BD607" w14:textId="77777777" w:rsidR="00930E09" w:rsidRPr="00BD646C" w:rsidRDefault="00930E09" w:rsidP="001F79B0">
            <w:pPr>
              <w:rPr>
                <w:bCs/>
                <w:sz w:val="22"/>
                <w:szCs w:val="22"/>
                <w:lang w:val="sl-SI"/>
              </w:rPr>
            </w:pPr>
          </w:p>
        </w:tc>
      </w:tr>
      <w:tr w:rsidR="004644D4" w14:paraId="75648996" w14:textId="77777777" w:rsidTr="001F79B0">
        <w:trPr>
          <w:gridBefore w:val="1"/>
          <w:wBefore w:w="34" w:type="dxa"/>
        </w:trPr>
        <w:tc>
          <w:tcPr>
            <w:tcW w:w="4644" w:type="dxa"/>
            <w:gridSpan w:val="2"/>
          </w:tcPr>
          <w:p w14:paraId="0F95090D" w14:textId="77777777" w:rsidR="00930E09" w:rsidRPr="00BD646C" w:rsidRDefault="00E453CD" w:rsidP="001F79B0">
            <w:pPr>
              <w:rPr>
                <w:b/>
                <w:bCs/>
                <w:sz w:val="22"/>
                <w:szCs w:val="22"/>
                <w:lang w:val="is-IS"/>
              </w:rPr>
            </w:pPr>
            <w:r w:rsidRPr="00BD646C">
              <w:rPr>
                <w:b/>
                <w:bCs/>
                <w:sz w:val="22"/>
                <w:szCs w:val="22"/>
                <w:lang w:val="is-IS"/>
              </w:rPr>
              <w:t>Ísland</w:t>
            </w:r>
          </w:p>
          <w:p w14:paraId="6388E32E" w14:textId="77777777" w:rsidR="00930E09" w:rsidRPr="00BD646C" w:rsidRDefault="00E453CD" w:rsidP="001F79B0">
            <w:pPr>
              <w:rPr>
                <w:bCs/>
                <w:sz w:val="22"/>
                <w:szCs w:val="22"/>
                <w:lang w:val="sk-SK"/>
              </w:rPr>
            </w:pPr>
            <w:r w:rsidRPr="00BD646C">
              <w:rPr>
                <w:bCs/>
                <w:sz w:val="22"/>
                <w:szCs w:val="22"/>
                <w:lang w:val="sk-SK"/>
              </w:rPr>
              <w:t>Vistor</w:t>
            </w:r>
            <w:del w:id="17692" w:author="AbbVie02no" w:date="2025-05-15T14:34:00Z">
              <w:r w:rsidRPr="00BD646C">
                <w:rPr>
                  <w:bCs/>
                  <w:sz w:val="22"/>
                  <w:szCs w:val="22"/>
                  <w:lang w:val="sk-SK"/>
                </w:rPr>
                <w:delText xml:space="preserve"> hf.</w:delText>
              </w:r>
            </w:del>
          </w:p>
          <w:p w14:paraId="1580430A" w14:textId="77777777" w:rsidR="00930E09" w:rsidRPr="00BD646C" w:rsidRDefault="00E453CD" w:rsidP="001F79B0">
            <w:pPr>
              <w:rPr>
                <w:bCs/>
                <w:sz w:val="22"/>
                <w:szCs w:val="22"/>
                <w:lang w:val="sk-SK"/>
              </w:rPr>
            </w:pPr>
            <w:r w:rsidRPr="00BD646C">
              <w:rPr>
                <w:bCs/>
                <w:sz w:val="22"/>
                <w:szCs w:val="22"/>
                <w:lang w:val="sk-SK"/>
              </w:rPr>
              <w:t>Tel: +354 535 7000</w:t>
            </w:r>
          </w:p>
        </w:tc>
        <w:tc>
          <w:tcPr>
            <w:tcW w:w="4678" w:type="dxa"/>
          </w:tcPr>
          <w:p w14:paraId="74989C9D" w14:textId="77777777" w:rsidR="00930E09" w:rsidRPr="00BD646C" w:rsidRDefault="00E453CD" w:rsidP="001F79B0">
            <w:pPr>
              <w:rPr>
                <w:b/>
                <w:bCs/>
                <w:sz w:val="22"/>
                <w:szCs w:val="22"/>
                <w:lang w:val="sk-SK"/>
              </w:rPr>
            </w:pPr>
            <w:r w:rsidRPr="00BD646C">
              <w:rPr>
                <w:b/>
                <w:bCs/>
                <w:sz w:val="22"/>
                <w:szCs w:val="22"/>
                <w:lang w:val="sk-SK"/>
              </w:rPr>
              <w:t>Slovenská republika</w:t>
            </w:r>
          </w:p>
          <w:p w14:paraId="1DBD25E7" w14:textId="77777777" w:rsidR="00930E09" w:rsidRPr="00BD646C" w:rsidRDefault="00E453CD" w:rsidP="001F79B0">
            <w:pPr>
              <w:rPr>
                <w:bCs/>
                <w:sz w:val="22"/>
                <w:szCs w:val="22"/>
                <w:lang w:val="sk-SK"/>
              </w:rPr>
            </w:pPr>
            <w:r w:rsidRPr="00BD646C">
              <w:rPr>
                <w:bCs/>
                <w:sz w:val="22"/>
                <w:szCs w:val="22"/>
                <w:lang w:val="sk-SK"/>
              </w:rPr>
              <w:t>AbbVie s.r.o.</w:t>
            </w:r>
          </w:p>
          <w:p w14:paraId="7C63D3EC" w14:textId="77777777" w:rsidR="00930E09" w:rsidRPr="00BD646C" w:rsidRDefault="00E453CD" w:rsidP="001F79B0">
            <w:pPr>
              <w:rPr>
                <w:bCs/>
                <w:sz w:val="22"/>
                <w:szCs w:val="22"/>
                <w:lang w:val="sk-SK"/>
              </w:rPr>
            </w:pPr>
            <w:r w:rsidRPr="00BD646C">
              <w:rPr>
                <w:bCs/>
                <w:sz w:val="22"/>
                <w:szCs w:val="22"/>
                <w:lang w:val="sk-SK"/>
              </w:rPr>
              <w:t>Tel: +421 2 5050 0777</w:t>
            </w:r>
          </w:p>
          <w:p w14:paraId="1CC6101A" w14:textId="77777777" w:rsidR="00930E09" w:rsidRPr="00BD646C" w:rsidRDefault="00930E09" w:rsidP="001F79B0">
            <w:pPr>
              <w:rPr>
                <w:bCs/>
                <w:sz w:val="22"/>
                <w:szCs w:val="22"/>
                <w:lang w:val="sk-SK"/>
              </w:rPr>
            </w:pPr>
          </w:p>
        </w:tc>
      </w:tr>
      <w:tr w:rsidR="004644D4" w:rsidRPr="009C2AB2" w14:paraId="7D24C128" w14:textId="77777777" w:rsidTr="001F79B0">
        <w:trPr>
          <w:gridBefore w:val="1"/>
          <w:wBefore w:w="34" w:type="dxa"/>
        </w:trPr>
        <w:tc>
          <w:tcPr>
            <w:tcW w:w="4644" w:type="dxa"/>
            <w:gridSpan w:val="2"/>
          </w:tcPr>
          <w:p w14:paraId="2CFF3F06" w14:textId="77777777" w:rsidR="00930E09" w:rsidRPr="00BD646C" w:rsidRDefault="00E453CD" w:rsidP="001F79B0">
            <w:pPr>
              <w:rPr>
                <w:b/>
                <w:bCs/>
                <w:sz w:val="22"/>
                <w:szCs w:val="22"/>
                <w:lang w:val="it-IT"/>
              </w:rPr>
            </w:pPr>
            <w:r w:rsidRPr="00BD646C">
              <w:rPr>
                <w:b/>
                <w:bCs/>
                <w:sz w:val="22"/>
                <w:szCs w:val="22"/>
                <w:lang w:val="it-IT"/>
              </w:rPr>
              <w:t>Italia</w:t>
            </w:r>
          </w:p>
          <w:p w14:paraId="572182A6" w14:textId="77777777" w:rsidR="00930E09" w:rsidRPr="00BD646C" w:rsidRDefault="00E453CD" w:rsidP="001F79B0">
            <w:pPr>
              <w:rPr>
                <w:bCs/>
                <w:sz w:val="22"/>
                <w:szCs w:val="22"/>
                <w:lang w:val="pt-PT"/>
              </w:rPr>
            </w:pPr>
            <w:r w:rsidRPr="00BD646C">
              <w:rPr>
                <w:bCs/>
                <w:sz w:val="22"/>
                <w:szCs w:val="22"/>
                <w:lang w:val="pt-PT"/>
              </w:rPr>
              <w:t xml:space="preserve">AbbVie S.r.l. </w:t>
            </w:r>
          </w:p>
          <w:p w14:paraId="3B9E005C" w14:textId="77777777" w:rsidR="00930E09" w:rsidRPr="00BD646C" w:rsidRDefault="00E453CD" w:rsidP="001F79B0">
            <w:pPr>
              <w:rPr>
                <w:bCs/>
                <w:sz w:val="22"/>
                <w:szCs w:val="22"/>
                <w:lang w:val="fi-FI"/>
              </w:rPr>
            </w:pPr>
            <w:r w:rsidRPr="00BD646C">
              <w:rPr>
                <w:bCs/>
                <w:sz w:val="22"/>
                <w:szCs w:val="22"/>
                <w:lang w:val="fr-FR"/>
              </w:rPr>
              <w:t>Tel: +39 06 928921</w:t>
            </w:r>
          </w:p>
        </w:tc>
        <w:tc>
          <w:tcPr>
            <w:tcW w:w="4678" w:type="dxa"/>
          </w:tcPr>
          <w:p w14:paraId="37808C09" w14:textId="77777777" w:rsidR="00930E09" w:rsidRPr="00BD646C" w:rsidRDefault="00E453CD" w:rsidP="001F79B0">
            <w:pPr>
              <w:rPr>
                <w:b/>
                <w:bCs/>
                <w:sz w:val="22"/>
                <w:szCs w:val="22"/>
                <w:lang w:val="fi-FI"/>
              </w:rPr>
            </w:pPr>
            <w:r w:rsidRPr="00BD646C">
              <w:rPr>
                <w:b/>
                <w:bCs/>
                <w:sz w:val="22"/>
                <w:szCs w:val="22"/>
                <w:lang w:val="fi-FI"/>
              </w:rPr>
              <w:t>Suomi/Finland</w:t>
            </w:r>
          </w:p>
          <w:p w14:paraId="5988FB1A" w14:textId="77777777" w:rsidR="00930E09" w:rsidRPr="00BD646C" w:rsidRDefault="00E453CD" w:rsidP="001F79B0">
            <w:pPr>
              <w:rPr>
                <w:bCs/>
                <w:sz w:val="22"/>
                <w:szCs w:val="22"/>
                <w:lang w:val="de-CH"/>
              </w:rPr>
            </w:pPr>
            <w:r w:rsidRPr="00BD646C">
              <w:rPr>
                <w:bCs/>
                <w:sz w:val="22"/>
                <w:szCs w:val="22"/>
                <w:lang w:val="sk-SK"/>
              </w:rPr>
              <w:t>AbbVie Oy</w:t>
            </w:r>
          </w:p>
          <w:p w14:paraId="7715F95F" w14:textId="77777777" w:rsidR="00930E09" w:rsidRPr="00BD646C" w:rsidRDefault="00E453CD" w:rsidP="001F79B0">
            <w:pPr>
              <w:rPr>
                <w:bCs/>
                <w:sz w:val="22"/>
                <w:szCs w:val="22"/>
                <w:lang w:val="sk-SK"/>
              </w:rPr>
            </w:pPr>
            <w:r w:rsidRPr="00BD646C">
              <w:rPr>
                <w:bCs/>
                <w:sz w:val="22"/>
                <w:szCs w:val="22"/>
                <w:lang w:val="sk-SK"/>
              </w:rPr>
              <w:t>Puh/Tel: +358 (0)10 2411 200</w:t>
            </w:r>
          </w:p>
          <w:p w14:paraId="210CA50E" w14:textId="77777777" w:rsidR="00930E09" w:rsidRPr="00BD646C" w:rsidRDefault="00930E09" w:rsidP="001F79B0">
            <w:pPr>
              <w:rPr>
                <w:sz w:val="22"/>
                <w:szCs w:val="22"/>
                <w:lang w:val="sk-SK"/>
              </w:rPr>
            </w:pPr>
          </w:p>
        </w:tc>
      </w:tr>
      <w:tr w:rsidR="004644D4" w14:paraId="70301C56" w14:textId="77777777" w:rsidTr="001F79B0">
        <w:trPr>
          <w:gridBefore w:val="1"/>
          <w:wBefore w:w="34" w:type="dxa"/>
          <w:cantSplit/>
          <w:trHeight w:val="887"/>
        </w:trPr>
        <w:tc>
          <w:tcPr>
            <w:tcW w:w="4644" w:type="dxa"/>
            <w:gridSpan w:val="2"/>
          </w:tcPr>
          <w:p w14:paraId="061308C8" w14:textId="77777777" w:rsidR="00930E09" w:rsidRPr="00BD646C" w:rsidRDefault="00E453CD" w:rsidP="001F79B0">
            <w:pPr>
              <w:rPr>
                <w:b/>
                <w:bCs/>
                <w:sz w:val="22"/>
                <w:szCs w:val="22"/>
                <w:lang w:val="el-GR"/>
              </w:rPr>
            </w:pPr>
            <w:r w:rsidRPr="00BD646C">
              <w:rPr>
                <w:b/>
                <w:bCs/>
                <w:sz w:val="22"/>
                <w:szCs w:val="22"/>
                <w:lang w:val="el-GR"/>
              </w:rPr>
              <w:t>Κύπρος</w:t>
            </w:r>
          </w:p>
          <w:p w14:paraId="23448DD7" w14:textId="77777777" w:rsidR="00930E09" w:rsidRPr="00BD646C" w:rsidRDefault="00E453CD" w:rsidP="001F79B0">
            <w:pPr>
              <w:rPr>
                <w:bCs/>
                <w:sz w:val="22"/>
                <w:szCs w:val="22"/>
                <w:lang w:val="el-GR"/>
              </w:rPr>
            </w:pPr>
            <w:r w:rsidRPr="00BD646C">
              <w:rPr>
                <w:bCs/>
                <w:sz w:val="22"/>
                <w:szCs w:val="22"/>
                <w:lang w:val="sk-SK"/>
              </w:rPr>
              <w:t xml:space="preserve">Lifepharma (Z.A.M.) </w:t>
            </w:r>
            <w:r w:rsidRPr="00BD646C">
              <w:rPr>
                <w:bCs/>
                <w:sz w:val="22"/>
                <w:szCs w:val="22"/>
                <w:lang w:val="it-IT"/>
              </w:rPr>
              <w:t>Ltd</w:t>
            </w:r>
          </w:p>
          <w:p w14:paraId="180238E4" w14:textId="77777777" w:rsidR="00930E09" w:rsidRPr="00BD646C" w:rsidRDefault="00E453CD" w:rsidP="001F79B0">
            <w:pPr>
              <w:rPr>
                <w:bCs/>
                <w:sz w:val="22"/>
                <w:szCs w:val="22"/>
                <w:lang w:val="lv-LV"/>
              </w:rPr>
            </w:pPr>
            <w:r w:rsidRPr="00BD646C">
              <w:rPr>
                <w:bCs/>
                <w:sz w:val="22"/>
                <w:szCs w:val="22"/>
                <w:lang w:val="el-GR"/>
              </w:rPr>
              <w:t>Τηλ.: +357 22 34 74 40</w:t>
            </w:r>
          </w:p>
        </w:tc>
        <w:tc>
          <w:tcPr>
            <w:tcW w:w="4678" w:type="dxa"/>
          </w:tcPr>
          <w:p w14:paraId="284D36C1" w14:textId="77777777" w:rsidR="00930E09" w:rsidRPr="00BD646C" w:rsidRDefault="00E453CD" w:rsidP="001F79B0">
            <w:pPr>
              <w:rPr>
                <w:b/>
                <w:bCs/>
                <w:sz w:val="22"/>
                <w:szCs w:val="22"/>
                <w:lang w:val="sk-SK"/>
              </w:rPr>
            </w:pPr>
            <w:r w:rsidRPr="00BD646C">
              <w:rPr>
                <w:b/>
                <w:bCs/>
                <w:sz w:val="22"/>
                <w:szCs w:val="22"/>
                <w:lang w:val="sk-SK"/>
              </w:rPr>
              <w:t>Sverige</w:t>
            </w:r>
          </w:p>
          <w:p w14:paraId="353A5F3C" w14:textId="77777777" w:rsidR="00930E09" w:rsidRPr="00BD646C" w:rsidRDefault="00E453CD" w:rsidP="001F79B0">
            <w:pPr>
              <w:rPr>
                <w:bCs/>
                <w:sz w:val="22"/>
                <w:szCs w:val="22"/>
                <w:lang w:val="pt-PT"/>
              </w:rPr>
            </w:pPr>
            <w:r w:rsidRPr="00BD646C">
              <w:rPr>
                <w:bCs/>
                <w:sz w:val="22"/>
                <w:szCs w:val="22"/>
                <w:lang w:val="pt-PT"/>
              </w:rPr>
              <w:t>AbbVie AB</w:t>
            </w:r>
          </w:p>
          <w:p w14:paraId="1B644176" w14:textId="77777777" w:rsidR="00930E09" w:rsidRPr="00BD646C" w:rsidRDefault="00E453CD" w:rsidP="001F79B0">
            <w:pPr>
              <w:rPr>
                <w:bCs/>
                <w:sz w:val="22"/>
                <w:szCs w:val="22"/>
                <w:lang w:val="sk-SK"/>
              </w:rPr>
            </w:pPr>
            <w:r w:rsidRPr="00BD646C">
              <w:rPr>
                <w:bCs/>
                <w:sz w:val="22"/>
                <w:szCs w:val="22"/>
                <w:lang w:val="da-DK"/>
              </w:rPr>
              <w:t>Tel: +46 (0)8 684 44 600</w:t>
            </w:r>
          </w:p>
        </w:tc>
      </w:tr>
      <w:tr w:rsidR="004644D4" w14:paraId="5B60E2CB" w14:textId="77777777" w:rsidTr="001F79B0">
        <w:trPr>
          <w:gridBefore w:val="1"/>
          <w:wBefore w:w="34" w:type="dxa"/>
          <w:cantSplit/>
          <w:trHeight w:val="761"/>
        </w:trPr>
        <w:tc>
          <w:tcPr>
            <w:tcW w:w="4644" w:type="dxa"/>
            <w:gridSpan w:val="2"/>
          </w:tcPr>
          <w:p w14:paraId="00BC1298" w14:textId="77777777" w:rsidR="00930E09" w:rsidRPr="00BD646C" w:rsidRDefault="00E453CD" w:rsidP="001F79B0">
            <w:pPr>
              <w:rPr>
                <w:b/>
                <w:bCs/>
                <w:sz w:val="22"/>
                <w:szCs w:val="22"/>
                <w:lang w:val="lv-LV"/>
              </w:rPr>
            </w:pPr>
            <w:r w:rsidRPr="00BD646C">
              <w:rPr>
                <w:b/>
                <w:bCs/>
                <w:sz w:val="22"/>
                <w:szCs w:val="22"/>
                <w:lang w:val="lv-LV"/>
              </w:rPr>
              <w:t>Latvija</w:t>
            </w:r>
          </w:p>
          <w:p w14:paraId="4A2214BB" w14:textId="77777777" w:rsidR="00930E09" w:rsidRPr="00BD646C" w:rsidRDefault="00E453CD" w:rsidP="001F79B0">
            <w:pPr>
              <w:rPr>
                <w:bCs/>
                <w:sz w:val="22"/>
                <w:szCs w:val="22"/>
                <w:lang w:val="lv-LV"/>
              </w:rPr>
            </w:pPr>
            <w:r w:rsidRPr="00BD646C">
              <w:rPr>
                <w:bCs/>
                <w:sz w:val="22"/>
                <w:szCs w:val="22"/>
                <w:lang w:val="lv-LV"/>
              </w:rPr>
              <w:t xml:space="preserve">AbbVie SIA </w:t>
            </w:r>
          </w:p>
          <w:p w14:paraId="188216AA" w14:textId="77777777" w:rsidR="00930E09" w:rsidRPr="00BD646C" w:rsidRDefault="00E453CD" w:rsidP="001F79B0">
            <w:pPr>
              <w:rPr>
                <w:bCs/>
                <w:sz w:val="22"/>
                <w:szCs w:val="22"/>
                <w:lang w:val="lv-LV"/>
              </w:rPr>
            </w:pPr>
            <w:r w:rsidRPr="00BD646C">
              <w:rPr>
                <w:bCs/>
                <w:sz w:val="22"/>
                <w:szCs w:val="22"/>
                <w:lang w:val="lv-LV"/>
              </w:rPr>
              <w:t>Tel: +371 67605000</w:t>
            </w:r>
          </w:p>
        </w:tc>
        <w:tc>
          <w:tcPr>
            <w:tcW w:w="4678" w:type="dxa"/>
          </w:tcPr>
          <w:p w14:paraId="67C71441" w14:textId="67AFC9B2" w:rsidR="00930E09" w:rsidRPr="00BD646C" w:rsidRDefault="00930E09" w:rsidP="001F79B0">
            <w:pPr>
              <w:rPr>
                <w:b/>
                <w:bCs/>
                <w:sz w:val="22"/>
                <w:szCs w:val="22"/>
                <w:lang w:val="sk-SK"/>
              </w:rPr>
            </w:pPr>
          </w:p>
        </w:tc>
      </w:tr>
    </w:tbl>
    <w:p w14:paraId="2EE97624" w14:textId="77777777" w:rsidR="00CF7F58" w:rsidRPr="009C5EFD" w:rsidRDefault="00CF7F58" w:rsidP="00CF7F58">
      <w:pPr>
        <w:rPr>
          <w:lang w:val="en-US"/>
        </w:rPr>
      </w:pPr>
    </w:p>
    <w:p w14:paraId="4D66083D" w14:textId="77777777" w:rsidR="00CF7F58" w:rsidRPr="00392F01" w:rsidRDefault="00E453CD" w:rsidP="00CF7F58">
      <w:pPr>
        <w:rPr>
          <w:b/>
          <w:sz w:val="22"/>
          <w:szCs w:val="22"/>
        </w:rPr>
      </w:pPr>
      <w:r w:rsidRPr="00392F01">
        <w:rPr>
          <w:b/>
          <w:sz w:val="22"/>
          <w:szCs w:val="22"/>
        </w:rPr>
        <w:t>Dette pakningsvedlegget ble sist oppdatert</w:t>
      </w:r>
    </w:p>
    <w:p w14:paraId="5E56D8BC" w14:textId="77777777" w:rsidR="00CF7F58" w:rsidRPr="00392F01" w:rsidRDefault="00CF7F58" w:rsidP="00CF7F58">
      <w:pPr>
        <w:rPr>
          <w:b/>
          <w:sz w:val="22"/>
          <w:szCs w:val="22"/>
        </w:rPr>
      </w:pPr>
    </w:p>
    <w:p w14:paraId="44C59690" w14:textId="24A4237A" w:rsidR="00CF7F58" w:rsidRPr="00392F01" w:rsidRDefault="00E453CD" w:rsidP="00CF7F58">
      <w:pPr>
        <w:rPr>
          <w:sz w:val="22"/>
        </w:rPr>
      </w:pPr>
      <w:r w:rsidRPr="00392F01">
        <w:rPr>
          <w:sz w:val="22"/>
        </w:rPr>
        <w:t>Detaljert informasjon om dette legemidlet er tilgjengelig på nettstedet til Det europeiske legemiddelkontoret (</w:t>
      </w:r>
      <w:r w:rsidR="00A71697">
        <w:rPr>
          <w:sz w:val="22"/>
        </w:rPr>
        <w:t>t</w:t>
      </w:r>
      <w:r w:rsidRPr="00392F01">
        <w:rPr>
          <w:sz w:val="22"/>
        </w:rPr>
        <w:t>he European Medicines Agency</w:t>
      </w:r>
      <w:r w:rsidRPr="00692DC9">
        <w:rPr>
          <w:sz w:val="22"/>
          <w:szCs w:val="22"/>
        </w:rPr>
        <w:t xml:space="preserve">): </w:t>
      </w:r>
      <w:ins w:id="17693" w:author="AbbVie05no" w:date="2025-05-19T11:12:00Z">
        <w:r w:rsidR="00692DC9">
          <w:rPr>
            <w:sz w:val="22"/>
            <w:szCs w:val="22"/>
          </w:rPr>
          <w:fldChar w:fldCharType="begin"/>
        </w:r>
        <w:r w:rsidR="00692DC9">
          <w:rPr>
            <w:sz w:val="22"/>
            <w:szCs w:val="22"/>
          </w:rPr>
          <w:instrText>HYPERLINK "</w:instrText>
        </w:r>
      </w:ins>
      <w:r w:rsidR="00692DC9" w:rsidRPr="00692DC9">
        <w:rPr>
          <w:sz w:val="22"/>
          <w:szCs w:val="22"/>
          <w:rPrChange w:id="17694" w:author="AbbVie05no" w:date="2025-05-19T11:11:00Z">
            <w:rPr>
              <w:szCs w:val="22"/>
            </w:rPr>
          </w:rPrChange>
        </w:rPr>
        <w:instrText>http</w:instrText>
      </w:r>
      <w:ins w:id="17695" w:author="AbbVie02no" w:date="2025-05-15T14:35:00Z">
        <w:r w:rsidR="00692DC9" w:rsidRPr="00692DC9">
          <w:rPr>
            <w:sz w:val="22"/>
            <w:szCs w:val="22"/>
            <w:rPrChange w:id="17696" w:author="AbbVie05no" w:date="2025-05-19T11:11:00Z">
              <w:rPr>
                <w:szCs w:val="22"/>
              </w:rPr>
            </w:rPrChange>
          </w:rPr>
          <w:instrText>s</w:instrText>
        </w:r>
      </w:ins>
      <w:r w:rsidR="00692DC9" w:rsidRPr="00692DC9">
        <w:rPr>
          <w:sz w:val="22"/>
          <w:szCs w:val="22"/>
          <w:rPrChange w:id="17697" w:author="AbbVie05no" w:date="2025-05-19T11:11:00Z">
            <w:rPr>
              <w:szCs w:val="22"/>
            </w:rPr>
          </w:rPrChange>
        </w:rPr>
        <w:instrText>://www.ema.europa.eu</w:instrText>
      </w:r>
      <w:ins w:id="17698" w:author="AbbVie05no" w:date="2025-05-19T11:12:00Z">
        <w:r w:rsidR="00692DC9">
          <w:rPr>
            <w:sz w:val="22"/>
            <w:szCs w:val="22"/>
          </w:rPr>
          <w:instrText>"</w:instrText>
        </w:r>
        <w:r w:rsidR="00692DC9">
          <w:rPr>
            <w:sz w:val="22"/>
            <w:szCs w:val="22"/>
          </w:rPr>
        </w:r>
        <w:r w:rsidR="00692DC9">
          <w:rPr>
            <w:sz w:val="22"/>
            <w:szCs w:val="22"/>
          </w:rPr>
          <w:fldChar w:fldCharType="separate"/>
        </w:r>
      </w:ins>
      <w:r w:rsidR="00692DC9" w:rsidRPr="004836A9">
        <w:rPr>
          <w:rStyle w:val="Hyperlink"/>
          <w:sz w:val="22"/>
          <w:rPrChange w:id="17699" w:author="AbbVie05no" w:date="2025-05-19T11:11:00Z">
            <w:rPr>
              <w:szCs w:val="22"/>
            </w:rPr>
          </w:rPrChange>
        </w:rPr>
        <w:t>http</w:t>
      </w:r>
      <w:ins w:id="17700" w:author="AbbVie02no" w:date="2025-05-15T14:35:00Z">
        <w:r w:rsidR="00692DC9" w:rsidRPr="004836A9">
          <w:rPr>
            <w:rStyle w:val="Hyperlink"/>
            <w:sz w:val="22"/>
            <w:rPrChange w:id="17701" w:author="AbbVie05no" w:date="2025-05-19T11:11:00Z">
              <w:rPr>
                <w:szCs w:val="22"/>
              </w:rPr>
            </w:rPrChange>
          </w:rPr>
          <w:t>s</w:t>
        </w:r>
      </w:ins>
      <w:r w:rsidR="00692DC9" w:rsidRPr="004836A9">
        <w:rPr>
          <w:rStyle w:val="Hyperlink"/>
          <w:sz w:val="22"/>
          <w:rPrChange w:id="17702" w:author="AbbVie05no" w:date="2025-05-19T11:11:00Z">
            <w:rPr>
              <w:szCs w:val="22"/>
            </w:rPr>
          </w:rPrChange>
        </w:rPr>
        <w:t>://www.ema.europa.eu</w:t>
      </w:r>
      <w:ins w:id="17703" w:author="AbbVie05no" w:date="2025-05-19T11:12:00Z">
        <w:r w:rsidR="00692DC9">
          <w:rPr>
            <w:sz w:val="22"/>
            <w:szCs w:val="22"/>
          </w:rPr>
          <w:fldChar w:fldCharType="end"/>
        </w:r>
      </w:ins>
      <w:r w:rsidRPr="00692DC9">
        <w:rPr>
          <w:sz w:val="22"/>
          <w:szCs w:val="22"/>
        </w:rPr>
        <w:t>.</w:t>
      </w:r>
    </w:p>
    <w:p w14:paraId="6B2DEC39" w14:textId="77777777" w:rsidR="00CF7F58" w:rsidRPr="00392F01" w:rsidRDefault="00CF7F58" w:rsidP="00CF7F58">
      <w:pPr>
        <w:rPr>
          <w:sz w:val="22"/>
        </w:rPr>
      </w:pPr>
    </w:p>
    <w:p w14:paraId="5BCC45B6" w14:textId="77777777" w:rsidR="00CF7F58" w:rsidRPr="006936CB" w:rsidRDefault="00E453CD" w:rsidP="00CF7F58">
      <w:pPr>
        <w:rPr>
          <w:b/>
          <w:sz w:val="22"/>
        </w:rPr>
      </w:pPr>
      <w:r w:rsidRPr="006936CB">
        <w:rPr>
          <w:b/>
          <w:sz w:val="22"/>
        </w:rPr>
        <w:t xml:space="preserve">For å lytte til eller be om en kopi av dette pakningsvedlegget </w:t>
      </w:r>
      <w:r w:rsidR="00B0241B" w:rsidRPr="00776A84">
        <w:rPr>
          <w:b/>
          <w:sz w:val="22"/>
          <w:highlight w:val="lightGray"/>
        </w:rPr>
        <w:t>i &lt;blindeskrift&gt;, &lt;større skrift&gt; eller &lt;lydfil&gt;</w:t>
      </w:r>
      <w:r w:rsidRPr="006936CB">
        <w:rPr>
          <w:b/>
          <w:sz w:val="22"/>
        </w:rPr>
        <w:t xml:space="preserve"> kan du kontakte den lokale representant for innehaveren av markedsføringstillatelsen.</w:t>
      </w:r>
    </w:p>
    <w:p w14:paraId="469B2C76" w14:textId="77777777" w:rsidR="00CF7F58" w:rsidRPr="00392F01" w:rsidRDefault="00CF7F58" w:rsidP="00CF7F58">
      <w:pPr>
        <w:rPr>
          <w:sz w:val="22"/>
        </w:rPr>
      </w:pPr>
    </w:p>
    <w:p w14:paraId="4A05806F" w14:textId="77777777" w:rsidR="00CF7F58" w:rsidRPr="00392F01" w:rsidRDefault="00CF7F58" w:rsidP="00CF7F58">
      <w:pPr>
        <w:rPr>
          <w:sz w:val="22"/>
        </w:rPr>
      </w:pPr>
    </w:p>
    <w:p w14:paraId="501D0CCC" w14:textId="77777777" w:rsidR="00CF7F58" w:rsidRDefault="00E453CD" w:rsidP="00602A37">
      <w:pPr>
        <w:keepNext/>
        <w:ind w:left="562" w:hanging="562"/>
        <w:rPr>
          <w:sz w:val="22"/>
          <w:szCs w:val="22"/>
          <w:lang w:val="en-GB"/>
        </w:rPr>
      </w:pPr>
      <w:r w:rsidRPr="00887835">
        <w:rPr>
          <w:b/>
          <w:sz w:val="22"/>
          <w:szCs w:val="22"/>
          <w:lang w:val="en-GB"/>
        </w:rPr>
        <w:t>7.</w:t>
      </w:r>
      <w:r w:rsidRPr="00887835">
        <w:rPr>
          <w:b/>
          <w:sz w:val="22"/>
          <w:szCs w:val="22"/>
          <w:lang w:val="en-GB"/>
        </w:rPr>
        <w:tab/>
      </w:r>
      <w:r w:rsidR="00713E33" w:rsidRPr="00713E33">
        <w:rPr>
          <w:b/>
          <w:sz w:val="22"/>
          <w:szCs w:val="22"/>
          <w:lang w:val="en-GB"/>
        </w:rPr>
        <w:t>Hvordan du injiserer Humira</w:t>
      </w:r>
    </w:p>
    <w:p w14:paraId="0580CC39" w14:textId="77777777" w:rsidR="00CF7F58" w:rsidRPr="009C5EFD" w:rsidRDefault="00CF7F58" w:rsidP="00CF7F58">
      <w:pPr>
        <w:keepNext/>
        <w:rPr>
          <w:sz w:val="22"/>
          <w:szCs w:val="22"/>
        </w:rPr>
      </w:pPr>
    </w:p>
    <w:p w14:paraId="39275F94" w14:textId="77777777" w:rsidR="00CF7F58" w:rsidRDefault="00E453CD" w:rsidP="00776A84">
      <w:pPr>
        <w:pStyle w:val="ListParagraph"/>
        <w:numPr>
          <w:ilvl w:val="0"/>
          <w:numId w:val="15"/>
        </w:numPr>
        <w:rPr>
          <w:sz w:val="22"/>
          <w:szCs w:val="22"/>
        </w:rPr>
      </w:pPr>
      <w:r w:rsidRPr="009C5EFD">
        <w:rPr>
          <w:sz w:val="22"/>
          <w:szCs w:val="22"/>
        </w:rPr>
        <w:t>Følgende instruksjoner forklarer hvordan du skal sette Humira på deg selv</w:t>
      </w:r>
      <w:r>
        <w:rPr>
          <w:sz w:val="22"/>
          <w:szCs w:val="22"/>
        </w:rPr>
        <w:t xml:space="preserve"> </w:t>
      </w:r>
      <w:r w:rsidR="00AA6C2E">
        <w:rPr>
          <w:sz w:val="22"/>
          <w:szCs w:val="22"/>
        </w:rPr>
        <w:t>under huden (</w:t>
      </w:r>
      <w:r>
        <w:rPr>
          <w:sz w:val="22"/>
          <w:szCs w:val="22"/>
        </w:rPr>
        <w:t>subkutant</w:t>
      </w:r>
      <w:r w:rsidR="00AA6C2E">
        <w:rPr>
          <w:sz w:val="22"/>
          <w:szCs w:val="22"/>
        </w:rPr>
        <w:t>)</w:t>
      </w:r>
      <w:r w:rsidRPr="009C5EFD">
        <w:rPr>
          <w:sz w:val="22"/>
          <w:szCs w:val="22"/>
        </w:rPr>
        <w:t xml:space="preserve"> ved bruk av den ferdigfylte pennen. </w:t>
      </w:r>
      <w:r w:rsidRPr="00887835">
        <w:rPr>
          <w:sz w:val="22"/>
          <w:szCs w:val="22"/>
        </w:rPr>
        <w:t xml:space="preserve">Les </w:t>
      </w:r>
      <w:r>
        <w:rPr>
          <w:sz w:val="22"/>
          <w:szCs w:val="22"/>
        </w:rPr>
        <w:t xml:space="preserve">først </w:t>
      </w:r>
      <w:r w:rsidRPr="00887835">
        <w:rPr>
          <w:sz w:val="22"/>
          <w:szCs w:val="22"/>
        </w:rPr>
        <w:t>instruksjonene nøye og følg dem</w:t>
      </w:r>
      <w:r>
        <w:rPr>
          <w:sz w:val="22"/>
          <w:szCs w:val="22"/>
        </w:rPr>
        <w:t xml:space="preserve"> deretter</w:t>
      </w:r>
      <w:r w:rsidRPr="00887835">
        <w:rPr>
          <w:sz w:val="22"/>
          <w:szCs w:val="22"/>
        </w:rPr>
        <w:t xml:space="preserve"> steg for steg.</w:t>
      </w:r>
    </w:p>
    <w:p w14:paraId="368A856F" w14:textId="77777777" w:rsidR="00CF7F58" w:rsidRDefault="00CF7F58" w:rsidP="00776A84">
      <w:pPr>
        <w:pStyle w:val="ListParagraph"/>
        <w:rPr>
          <w:sz w:val="22"/>
          <w:szCs w:val="22"/>
        </w:rPr>
      </w:pPr>
    </w:p>
    <w:p w14:paraId="7B2DD6E7" w14:textId="77777777" w:rsidR="00CF7F58" w:rsidRPr="00887835" w:rsidRDefault="00E453CD">
      <w:pPr>
        <w:pStyle w:val="ListParagraph"/>
        <w:numPr>
          <w:ilvl w:val="0"/>
          <w:numId w:val="15"/>
        </w:numPr>
        <w:rPr>
          <w:sz w:val="22"/>
          <w:szCs w:val="22"/>
        </w:rPr>
      </w:pPr>
      <w:r w:rsidRPr="00887835">
        <w:rPr>
          <w:sz w:val="22"/>
          <w:szCs w:val="22"/>
        </w:rPr>
        <w:t>Legen</w:t>
      </w:r>
      <w:r w:rsidRPr="00475A28">
        <w:rPr>
          <w:sz w:val="22"/>
          <w:szCs w:val="22"/>
        </w:rPr>
        <w:t xml:space="preserve"> din, sykepleier</w:t>
      </w:r>
      <w:r w:rsidRPr="00887835">
        <w:rPr>
          <w:sz w:val="22"/>
          <w:szCs w:val="22"/>
        </w:rPr>
        <w:t xml:space="preserve"> eller </w:t>
      </w:r>
      <w:r w:rsidRPr="00475A28">
        <w:rPr>
          <w:sz w:val="22"/>
          <w:szCs w:val="22"/>
        </w:rPr>
        <w:t>farmasøyt</w:t>
      </w:r>
      <w:r w:rsidRPr="00887835">
        <w:rPr>
          <w:sz w:val="22"/>
          <w:szCs w:val="22"/>
        </w:rPr>
        <w:t xml:space="preserve"> </w:t>
      </w:r>
      <w:r>
        <w:rPr>
          <w:sz w:val="22"/>
          <w:szCs w:val="22"/>
        </w:rPr>
        <w:t xml:space="preserve">på apotek </w:t>
      </w:r>
      <w:r w:rsidRPr="00887835">
        <w:rPr>
          <w:sz w:val="22"/>
          <w:szCs w:val="22"/>
        </w:rPr>
        <w:t xml:space="preserve">vil forklare deg hvordan du skal </w:t>
      </w:r>
      <w:r>
        <w:rPr>
          <w:sz w:val="22"/>
          <w:szCs w:val="22"/>
        </w:rPr>
        <w:t>injisere</w:t>
      </w:r>
      <w:r w:rsidRPr="00887835">
        <w:rPr>
          <w:sz w:val="22"/>
          <w:szCs w:val="22"/>
        </w:rPr>
        <w:t xml:space="preserve"> på deg selv.</w:t>
      </w:r>
    </w:p>
    <w:p w14:paraId="289A451E" w14:textId="77777777" w:rsidR="00CF7F58" w:rsidRPr="0061743D" w:rsidRDefault="00CF7F58" w:rsidP="00CF7F58">
      <w:pPr>
        <w:rPr>
          <w:sz w:val="22"/>
        </w:rPr>
      </w:pPr>
    </w:p>
    <w:p w14:paraId="415A6AA3" w14:textId="77777777" w:rsidR="00CF7F58" w:rsidRDefault="00E453CD" w:rsidP="00CF7F58">
      <w:pPr>
        <w:pStyle w:val="ListParagraph"/>
        <w:numPr>
          <w:ilvl w:val="0"/>
          <w:numId w:val="15"/>
        </w:numPr>
        <w:rPr>
          <w:sz w:val="22"/>
          <w:szCs w:val="22"/>
        </w:rPr>
      </w:pPr>
      <w:r w:rsidRPr="00CB538B">
        <w:rPr>
          <w:sz w:val="22"/>
        </w:rPr>
        <w:t xml:space="preserve">Ikke </w:t>
      </w:r>
      <w:r w:rsidRPr="00887835">
        <w:rPr>
          <w:sz w:val="22"/>
          <w:szCs w:val="22"/>
        </w:rPr>
        <w:t xml:space="preserve">forsøk å </w:t>
      </w:r>
      <w:r>
        <w:rPr>
          <w:sz w:val="22"/>
          <w:szCs w:val="22"/>
        </w:rPr>
        <w:t>injisere</w:t>
      </w:r>
      <w:r w:rsidRPr="00887835">
        <w:rPr>
          <w:sz w:val="22"/>
          <w:szCs w:val="22"/>
        </w:rPr>
        <w:t xml:space="preserve"> på deg selv før du er sikker på at du forstår hvordan </w:t>
      </w:r>
      <w:r>
        <w:rPr>
          <w:sz w:val="22"/>
          <w:szCs w:val="22"/>
        </w:rPr>
        <w:t>du</w:t>
      </w:r>
      <w:r w:rsidRPr="00887835">
        <w:rPr>
          <w:sz w:val="22"/>
          <w:szCs w:val="22"/>
        </w:rPr>
        <w:t xml:space="preserve"> skal </w:t>
      </w:r>
      <w:r>
        <w:rPr>
          <w:sz w:val="22"/>
          <w:szCs w:val="22"/>
        </w:rPr>
        <w:t>forberede</w:t>
      </w:r>
      <w:r w:rsidRPr="00475A28">
        <w:rPr>
          <w:sz w:val="22"/>
          <w:szCs w:val="22"/>
        </w:rPr>
        <w:t xml:space="preserve"> og sette</w:t>
      </w:r>
      <w:r>
        <w:rPr>
          <w:sz w:val="22"/>
          <w:szCs w:val="22"/>
        </w:rPr>
        <w:t xml:space="preserve"> injeksjonen</w:t>
      </w:r>
      <w:r w:rsidRPr="00887835">
        <w:rPr>
          <w:sz w:val="22"/>
          <w:szCs w:val="22"/>
        </w:rPr>
        <w:t>.</w:t>
      </w:r>
    </w:p>
    <w:p w14:paraId="44B9C7C8" w14:textId="77777777" w:rsidR="00CF7F58" w:rsidRDefault="00CF7F58" w:rsidP="00CF7F58">
      <w:pPr>
        <w:pStyle w:val="ListParagraph"/>
        <w:rPr>
          <w:sz w:val="22"/>
          <w:szCs w:val="22"/>
        </w:rPr>
      </w:pPr>
    </w:p>
    <w:p w14:paraId="263211F5" w14:textId="77777777" w:rsidR="00CF7F58" w:rsidRDefault="00E453CD" w:rsidP="00CF7F58">
      <w:pPr>
        <w:pStyle w:val="ListParagraph"/>
        <w:numPr>
          <w:ilvl w:val="0"/>
          <w:numId w:val="15"/>
        </w:numPr>
        <w:rPr>
          <w:sz w:val="22"/>
          <w:szCs w:val="22"/>
        </w:rPr>
      </w:pPr>
      <w:r w:rsidRPr="00887835">
        <w:rPr>
          <w:sz w:val="22"/>
          <w:szCs w:val="22"/>
        </w:rPr>
        <w:t xml:space="preserve">Etter nødvendig opplæring kan du sette injeksjonen selv, eller en annen person, </w:t>
      </w:r>
      <w:r>
        <w:rPr>
          <w:sz w:val="22"/>
          <w:szCs w:val="22"/>
        </w:rPr>
        <w:t>f.eks.</w:t>
      </w:r>
      <w:r w:rsidRPr="00475A28">
        <w:rPr>
          <w:sz w:val="22"/>
          <w:szCs w:val="22"/>
        </w:rPr>
        <w:t xml:space="preserve"> et familiemedlem eller en venn</w:t>
      </w:r>
      <w:r w:rsidRPr="00887835">
        <w:rPr>
          <w:sz w:val="22"/>
          <w:szCs w:val="22"/>
        </w:rPr>
        <w:t xml:space="preserve"> kan sette den.</w:t>
      </w:r>
    </w:p>
    <w:p w14:paraId="69E7B6B9" w14:textId="77777777" w:rsidR="00CF7F58" w:rsidRPr="0061743D" w:rsidRDefault="00CF7F58" w:rsidP="00CF7F58">
      <w:pPr>
        <w:pStyle w:val="ListParagraph"/>
        <w:rPr>
          <w:sz w:val="22"/>
        </w:rPr>
      </w:pPr>
    </w:p>
    <w:p w14:paraId="7959C56C" w14:textId="77777777" w:rsidR="00CF7F58" w:rsidRDefault="00E453CD" w:rsidP="00CF7F58">
      <w:pPr>
        <w:pStyle w:val="ListParagraph"/>
        <w:numPr>
          <w:ilvl w:val="0"/>
          <w:numId w:val="15"/>
        </w:numPr>
        <w:rPr>
          <w:sz w:val="22"/>
          <w:szCs w:val="22"/>
        </w:rPr>
      </w:pPr>
      <w:r w:rsidRPr="009C5EFD">
        <w:rPr>
          <w:sz w:val="22"/>
          <w:szCs w:val="22"/>
        </w:rPr>
        <w:t xml:space="preserve">Bruk </w:t>
      </w:r>
      <w:r>
        <w:rPr>
          <w:sz w:val="22"/>
          <w:szCs w:val="22"/>
        </w:rPr>
        <w:t>hver ferdigfylt penn</w:t>
      </w:r>
      <w:r w:rsidR="00AA6C2E">
        <w:rPr>
          <w:sz w:val="22"/>
          <w:szCs w:val="22"/>
        </w:rPr>
        <w:t xml:space="preserve"> kun</w:t>
      </w:r>
      <w:r>
        <w:rPr>
          <w:sz w:val="22"/>
          <w:szCs w:val="22"/>
        </w:rPr>
        <w:t xml:space="preserve"> til én injeksjon.</w:t>
      </w:r>
    </w:p>
    <w:p w14:paraId="03F7C7DC" w14:textId="77777777" w:rsidR="00CF7F58" w:rsidRPr="00887835" w:rsidRDefault="00CF7F58" w:rsidP="00CF7F58">
      <w:pPr>
        <w:pStyle w:val="ListParagraph"/>
        <w:rPr>
          <w:sz w:val="22"/>
          <w:szCs w:val="22"/>
        </w:rPr>
      </w:pPr>
    </w:p>
    <w:p w14:paraId="53BAEDB4" w14:textId="77777777" w:rsidR="00CF7F58" w:rsidRPr="00887835" w:rsidRDefault="00E453CD" w:rsidP="00CF7F58">
      <w:pPr>
        <w:pStyle w:val="EMEANormal"/>
        <w:keepNext/>
        <w:rPr>
          <w:b/>
          <w:lang w:val="nb-NO"/>
        </w:rPr>
      </w:pPr>
      <w:r w:rsidRPr="00887835">
        <w:rPr>
          <w:b/>
          <w:lang w:val="nb-NO"/>
        </w:rPr>
        <w:t>Humira ferdigfylt penn</w:t>
      </w:r>
    </w:p>
    <w:p w14:paraId="453E07BA" w14:textId="77777777" w:rsidR="00CF7F58" w:rsidRPr="00887835" w:rsidRDefault="00CF7F58" w:rsidP="00CF7F58">
      <w:pPr>
        <w:pStyle w:val="EMEANormal"/>
        <w:keepNext/>
        <w:rPr>
          <w:lang w:val="nb-NO"/>
        </w:rPr>
      </w:pPr>
    </w:p>
    <w:p w14:paraId="77BB55A4" w14:textId="77777777" w:rsidR="00CF7F58" w:rsidRDefault="00E453CD" w:rsidP="00CF7F58">
      <w:pPr>
        <w:rPr>
          <w:b/>
        </w:rPr>
      </w:pPr>
      <w:r w:rsidRPr="00887835">
        <w:rPr>
          <w:b/>
        </w:rPr>
        <w:t xml:space="preserve">   Grå hette 1     Hvit </w:t>
      </w:r>
      <w:r w:rsidR="008138BF">
        <w:rPr>
          <w:b/>
        </w:rPr>
        <w:t>kanyle</w:t>
      </w:r>
      <w:r>
        <w:rPr>
          <w:b/>
        </w:rPr>
        <w:t>beskyttelse</w:t>
      </w:r>
      <w:r w:rsidRPr="00887835">
        <w:rPr>
          <w:b/>
        </w:rPr>
        <w:t xml:space="preserve">      Hvit pil                       </w:t>
      </w:r>
      <w:r>
        <w:rPr>
          <w:b/>
        </w:rPr>
        <w:tab/>
      </w:r>
      <w:r w:rsidRPr="00887835">
        <w:rPr>
          <w:b/>
        </w:rPr>
        <w:t xml:space="preserve">Plommefarget </w:t>
      </w:r>
      <w:r>
        <w:rPr>
          <w:b/>
        </w:rPr>
        <w:t>hette</w:t>
      </w:r>
      <w:r w:rsidRPr="00887835">
        <w:rPr>
          <w:b/>
        </w:rPr>
        <w:t xml:space="preserve"> 2</w:t>
      </w:r>
    </w:p>
    <w:p w14:paraId="68D16412" w14:textId="77777777" w:rsidR="00CF7F58" w:rsidRDefault="00E453CD" w:rsidP="00CF7F58">
      <w:pPr>
        <w:rPr>
          <w:sz w:val="22"/>
          <w:szCs w:val="22"/>
        </w:rPr>
      </w:pPr>
      <w:r>
        <w:rPr>
          <w:noProof/>
          <w:lang w:val="en-GB" w:eastAsia="en-GB"/>
        </w:rPr>
        <w:drawing>
          <wp:inline distT="0" distB="0" distL="0" distR="0" wp14:anchorId="336E1D34" wp14:editId="22631E4C">
            <wp:extent cx="5756275" cy="1406468"/>
            <wp:effectExtent l="0" t="0" r="0" b="3810"/>
            <wp:docPr id="36" name="Picture 36"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descr="HUMIRAPEN_grey"/>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756275" cy="1406468"/>
                    </a:xfrm>
                    <a:prstGeom prst="rect">
                      <a:avLst/>
                    </a:prstGeom>
                    <a:noFill/>
                    <a:ln>
                      <a:noFill/>
                    </a:ln>
                  </pic:spPr>
                </pic:pic>
              </a:graphicData>
            </a:graphic>
          </wp:inline>
        </w:drawing>
      </w:r>
    </w:p>
    <w:p w14:paraId="43F8EB2B" w14:textId="77777777" w:rsidR="00CF7F58" w:rsidRPr="00887835" w:rsidRDefault="00E453CD" w:rsidP="00CF7F58">
      <w:pPr>
        <w:pStyle w:val="EMEANormal"/>
        <w:rPr>
          <w:b/>
          <w:lang w:val="nb-NO"/>
        </w:rPr>
      </w:pPr>
      <w:r w:rsidRPr="00887835">
        <w:rPr>
          <w:b/>
          <w:lang w:val="nb-NO"/>
        </w:rPr>
        <w:t xml:space="preserve">                              </w:t>
      </w:r>
      <w:r w:rsidR="008138BF">
        <w:rPr>
          <w:b/>
          <w:lang w:val="nb-NO"/>
        </w:rPr>
        <w:t>Kanyle</w:t>
      </w:r>
      <w:r w:rsidRPr="00887835">
        <w:rPr>
          <w:b/>
          <w:lang w:val="nb-NO"/>
        </w:rPr>
        <w:t xml:space="preserve">           Inspeksjonsvindu                    Plommefarget aktiveringsknapp</w:t>
      </w:r>
    </w:p>
    <w:p w14:paraId="3F62A84A" w14:textId="77777777" w:rsidR="00CF7F58" w:rsidRPr="00126088" w:rsidRDefault="00CF7F58" w:rsidP="00CF7F58">
      <w:pPr>
        <w:rPr>
          <w:sz w:val="22"/>
        </w:rPr>
      </w:pPr>
    </w:p>
    <w:p w14:paraId="46DEE64A" w14:textId="77777777" w:rsidR="00CF7F58" w:rsidRDefault="00E453CD">
      <w:pPr>
        <w:pStyle w:val="EMEAHeadingLeaflet"/>
        <w:keepNext/>
        <w:spacing w:beforeLines="0" w:before="0" w:afterLines="0" w:after="0"/>
        <w:rPr>
          <w:rFonts w:ascii="Times New Roman" w:hAnsi="Times New Roman"/>
          <w:lang w:val="nb-NO"/>
        </w:rPr>
      </w:pPr>
      <w:r w:rsidRPr="004B74D3">
        <w:rPr>
          <w:rFonts w:ascii="Times New Roman" w:hAnsi="Times New Roman"/>
          <w:lang w:val="nb-NO"/>
        </w:rPr>
        <w:t xml:space="preserve">Ikke </w:t>
      </w:r>
      <w:r w:rsidRPr="00887835">
        <w:rPr>
          <w:rFonts w:ascii="Times New Roman" w:hAnsi="Times New Roman"/>
          <w:lang w:val="nb-NO"/>
        </w:rPr>
        <w:t xml:space="preserve">bruk den ferdigfylte pennen og ring legen din eller </w:t>
      </w:r>
      <w:r>
        <w:rPr>
          <w:rFonts w:ascii="Times New Roman" w:hAnsi="Times New Roman"/>
          <w:lang w:val="nb-NO"/>
        </w:rPr>
        <w:t>apotek</w:t>
      </w:r>
      <w:r w:rsidRPr="00887835">
        <w:rPr>
          <w:rFonts w:ascii="Times New Roman" w:hAnsi="Times New Roman"/>
          <w:lang w:val="nb-NO"/>
        </w:rPr>
        <w:t xml:space="preserve"> dersom</w:t>
      </w:r>
    </w:p>
    <w:p w14:paraId="703582B1" w14:textId="77777777" w:rsidR="00CF7F58" w:rsidRPr="00D00F56" w:rsidRDefault="00CF7F58" w:rsidP="00A31787">
      <w:pPr>
        <w:pStyle w:val="EMEANormal"/>
        <w:keepNext/>
        <w:rPr>
          <w:lang w:val="nb-NO"/>
        </w:rPr>
      </w:pPr>
    </w:p>
    <w:p w14:paraId="4FE3AA06" w14:textId="77777777" w:rsidR="00CF7F58" w:rsidRPr="00887835"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sidRPr="00475A28">
        <w:rPr>
          <w:rFonts w:ascii="Times New Roman" w:hAnsi="Times New Roman"/>
          <w:b w:val="0"/>
          <w:lang w:val="nb-NO"/>
        </w:rPr>
        <w:t xml:space="preserve">oppløsningen er </w:t>
      </w:r>
      <w:r w:rsidRPr="00887835">
        <w:rPr>
          <w:rFonts w:ascii="Times New Roman" w:hAnsi="Times New Roman"/>
          <w:b w:val="0"/>
          <w:lang w:val="nb-NO"/>
        </w:rPr>
        <w:t>uklar, misfarget eller har flak eller parti</w:t>
      </w:r>
      <w:r>
        <w:rPr>
          <w:rFonts w:ascii="Times New Roman" w:hAnsi="Times New Roman"/>
          <w:b w:val="0"/>
          <w:lang w:val="nb-NO"/>
        </w:rPr>
        <w:t>k</w:t>
      </w:r>
      <w:r w:rsidRPr="00887835">
        <w:rPr>
          <w:rFonts w:ascii="Times New Roman" w:hAnsi="Times New Roman"/>
          <w:b w:val="0"/>
          <w:lang w:val="nb-NO"/>
        </w:rPr>
        <w:t>le</w:t>
      </w:r>
      <w:r>
        <w:rPr>
          <w:rFonts w:ascii="Times New Roman" w:hAnsi="Times New Roman"/>
          <w:b w:val="0"/>
          <w:lang w:val="nb-NO"/>
        </w:rPr>
        <w:t>r</w:t>
      </w:r>
      <w:r w:rsidRPr="00887835">
        <w:rPr>
          <w:rFonts w:ascii="Times New Roman" w:hAnsi="Times New Roman"/>
          <w:b w:val="0"/>
          <w:lang w:val="nb-NO"/>
        </w:rPr>
        <w:t xml:space="preserve"> i </w:t>
      </w:r>
      <w:r>
        <w:rPr>
          <w:rFonts w:ascii="Times New Roman" w:hAnsi="Times New Roman"/>
          <w:b w:val="0"/>
          <w:lang w:val="nb-NO"/>
        </w:rPr>
        <w:t>seg</w:t>
      </w:r>
    </w:p>
    <w:p w14:paraId="6BFE8D68" w14:textId="77777777" w:rsidR="00CF7F58" w:rsidRPr="009B050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en-GB"/>
        </w:rPr>
      </w:pPr>
      <w:r>
        <w:rPr>
          <w:rFonts w:ascii="Times New Roman" w:hAnsi="Times New Roman"/>
          <w:b w:val="0"/>
          <w:lang w:val="en-GB"/>
        </w:rPr>
        <w:t xml:space="preserve">utløpsdato (EXP) </w:t>
      </w:r>
      <w:r w:rsidRPr="009B0508">
        <w:rPr>
          <w:rFonts w:ascii="Times New Roman" w:hAnsi="Times New Roman"/>
          <w:b w:val="0"/>
          <w:lang w:val="en-GB"/>
        </w:rPr>
        <w:t>ha</w:t>
      </w:r>
      <w:r>
        <w:rPr>
          <w:rFonts w:ascii="Times New Roman" w:hAnsi="Times New Roman"/>
          <w:b w:val="0"/>
          <w:lang w:val="en-GB"/>
        </w:rPr>
        <w:t>r passert</w:t>
      </w:r>
    </w:p>
    <w:p w14:paraId="1F83B7D5" w14:textId="77777777" w:rsidR="00CF7F5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sidRPr="00887835">
        <w:rPr>
          <w:rFonts w:ascii="Times New Roman" w:hAnsi="Times New Roman"/>
          <w:b w:val="0"/>
          <w:lang w:val="nb-NO"/>
        </w:rPr>
        <w:t>oppløsningen har vært fro</w:t>
      </w:r>
      <w:r>
        <w:rPr>
          <w:rFonts w:ascii="Times New Roman" w:hAnsi="Times New Roman"/>
          <w:b w:val="0"/>
          <w:lang w:val="nb-NO"/>
        </w:rPr>
        <w:t>sset</w:t>
      </w:r>
      <w:r w:rsidRPr="00887835">
        <w:rPr>
          <w:rFonts w:ascii="Times New Roman" w:hAnsi="Times New Roman"/>
          <w:b w:val="0"/>
          <w:lang w:val="nb-NO"/>
        </w:rPr>
        <w:t xml:space="preserve"> eller har vært oppbevart i direkte sollys</w:t>
      </w:r>
    </w:p>
    <w:p w14:paraId="1B303355" w14:textId="77777777" w:rsidR="00CF7F58" w:rsidRDefault="00E453CD" w:rsidP="00776A84">
      <w:pPr>
        <w:pStyle w:val="EMEAHeadingLeaflet"/>
        <w:numPr>
          <w:ilvl w:val="0"/>
          <w:numId w:val="123"/>
        </w:numPr>
        <w:tabs>
          <w:tab w:val="clear" w:pos="562"/>
          <w:tab w:val="left" w:pos="720"/>
        </w:tabs>
        <w:spacing w:beforeLines="0" w:before="0" w:afterLines="0" w:after="0"/>
        <w:ind w:left="714" w:hanging="357"/>
        <w:rPr>
          <w:rFonts w:ascii="Times New Roman" w:hAnsi="Times New Roman"/>
          <w:b w:val="0"/>
          <w:lang w:val="nb-NO"/>
        </w:rPr>
      </w:pPr>
      <w:r>
        <w:rPr>
          <w:rFonts w:ascii="Times New Roman" w:hAnsi="Times New Roman"/>
          <w:b w:val="0"/>
          <w:lang w:val="nb-NO"/>
        </w:rPr>
        <w:t>den ferdigfylte pennen har falt på</w:t>
      </w:r>
      <w:r w:rsidRPr="00887835">
        <w:rPr>
          <w:rFonts w:ascii="Times New Roman" w:hAnsi="Times New Roman"/>
          <w:b w:val="0"/>
          <w:lang w:val="nb-NO"/>
        </w:rPr>
        <w:t xml:space="preserve"> gulvet eller </w:t>
      </w:r>
      <w:r>
        <w:rPr>
          <w:rFonts w:ascii="Times New Roman" w:hAnsi="Times New Roman"/>
          <w:b w:val="0"/>
          <w:lang w:val="nb-NO"/>
        </w:rPr>
        <w:t xml:space="preserve">har </w:t>
      </w:r>
      <w:r w:rsidRPr="00887835">
        <w:rPr>
          <w:rFonts w:ascii="Times New Roman" w:hAnsi="Times New Roman"/>
          <w:b w:val="0"/>
          <w:lang w:val="nb-NO"/>
        </w:rPr>
        <w:t>knust</w:t>
      </w:r>
    </w:p>
    <w:p w14:paraId="232E0C43" w14:textId="77777777" w:rsidR="00CF7F58" w:rsidRDefault="00CF7F58" w:rsidP="00CF7F58">
      <w:pPr>
        <w:pStyle w:val="EMEANormal"/>
        <w:rPr>
          <w:szCs w:val="22"/>
          <w:lang w:val="nb-NO"/>
        </w:rPr>
      </w:pPr>
    </w:p>
    <w:p w14:paraId="38992BA6" w14:textId="77777777" w:rsidR="00CF7F58" w:rsidRPr="0061743D" w:rsidRDefault="00E453CD" w:rsidP="00CF7F58">
      <w:pPr>
        <w:pStyle w:val="EMEANormal"/>
        <w:rPr>
          <w:b/>
          <w:lang w:val="nb-NO"/>
        </w:rPr>
      </w:pPr>
      <w:r w:rsidRPr="004B74D3">
        <w:rPr>
          <w:b/>
          <w:lang w:val="nb-NO"/>
        </w:rPr>
        <w:t>Ikke</w:t>
      </w:r>
      <w:r w:rsidRPr="00887835">
        <w:rPr>
          <w:b/>
          <w:lang w:val="nb-NO"/>
        </w:rPr>
        <w:t xml:space="preserve"> fjern hettene f</w:t>
      </w:r>
      <w:r w:rsidRPr="00887835">
        <w:rPr>
          <w:rFonts w:hint="eastAsia"/>
          <w:b/>
          <w:lang w:val="nb-NO"/>
        </w:rPr>
        <w:t>ø</w:t>
      </w:r>
      <w:r w:rsidRPr="00887835">
        <w:rPr>
          <w:b/>
          <w:lang w:val="nb-NO"/>
        </w:rPr>
        <w:t>r rett f</w:t>
      </w:r>
      <w:r w:rsidRPr="00887835">
        <w:rPr>
          <w:rFonts w:hint="eastAsia"/>
          <w:b/>
          <w:lang w:val="nb-NO"/>
        </w:rPr>
        <w:t>ø</w:t>
      </w:r>
      <w:r w:rsidRPr="00887835">
        <w:rPr>
          <w:b/>
          <w:lang w:val="nb-NO"/>
        </w:rPr>
        <w:t xml:space="preserve">r du skal sette en injeksjon. </w:t>
      </w:r>
      <w:r>
        <w:rPr>
          <w:b/>
          <w:lang w:val="nb-NO"/>
        </w:rPr>
        <w:t>Oppbevar Humira</w:t>
      </w:r>
      <w:r w:rsidRPr="0061743D">
        <w:rPr>
          <w:b/>
          <w:lang w:val="nb-NO"/>
        </w:rPr>
        <w:t xml:space="preserve"> utilgjengelig for barn.</w:t>
      </w:r>
    </w:p>
    <w:p w14:paraId="672C59D1" w14:textId="77777777" w:rsidR="00CF7F58" w:rsidRPr="0061743D" w:rsidRDefault="00CF7F58" w:rsidP="00CF7F58">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4644D4" w14:paraId="7051D7CD" w14:textId="77777777" w:rsidTr="003719E4">
        <w:tc>
          <w:tcPr>
            <w:tcW w:w="9287" w:type="dxa"/>
            <w:gridSpan w:val="2"/>
            <w:tcBorders>
              <w:bottom w:val="single" w:sz="4" w:space="0" w:color="auto"/>
            </w:tcBorders>
          </w:tcPr>
          <w:p w14:paraId="2B7E90F3" w14:textId="77777777" w:rsidR="00CF7F58" w:rsidRPr="00887835" w:rsidRDefault="00E453CD" w:rsidP="003719E4">
            <w:pPr>
              <w:pStyle w:val="EMEAHeadingLeaflet"/>
              <w:spacing w:beforeLines="0" w:before="0" w:afterLines="0" w:after="0"/>
              <w:rPr>
                <w:rFonts w:ascii="Times New Roman" w:hAnsi="Times New Roman"/>
                <w:lang w:val="nb-NO"/>
              </w:rPr>
            </w:pPr>
            <w:r w:rsidRPr="00887835">
              <w:rPr>
                <w:rFonts w:ascii="Times New Roman" w:hAnsi="Times New Roman"/>
                <w:lang w:val="nb-NO"/>
              </w:rPr>
              <w:t>STEG 1</w:t>
            </w:r>
          </w:p>
          <w:p w14:paraId="318B94F1" w14:textId="77777777" w:rsidR="00CF7F58" w:rsidRPr="00887835" w:rsidRDefault="00CF7F58" w:rsidP="003719E4">
            <w:pPr>
              <w:pStyle w:val="EMEANormal"/>
              <w:rPr>
                <w:lang w:val="nb-NO"/>
              </w:rPr>
            </w:pPr>
          </w:p>
          <w:p w14:paraId="52DDB326" w14:textId="77777777" w:rsidR="00CF7F58" w:rsidRPr="00887835" w:rsidRDefault="00E453CD" w:rsidP="003719E4">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Ta Humira ut av kjøleskapet.</w:t>
            </w:r>
          </w:p>
          <w:p w14:paraId="1E2E8B3A" w14:textId="77777777" w:rsidR="00CF7F58" w:rsidRPr="00887835" w:rsidRDefault="00CF7F58" w:rsidP="003719E4">
            <w:pPr>
              <w:pStyle w:val="EMEANormal"/>
              <w:rPr>
                <w:lang w:val="nb-NO"/>
              </w:rPr>
            </w:pPr>
          </w:p>
          <w:p w14:paraId="7AA0026A" w14:textId="77777777" w:rsidR="00CF7F58" w:rsidRPr="00887835" w:rsidRDefault="00E453CD" w:rsidP="003719E4">
            <w:pPr>
              <w:pStyle w:val="EMEAHeadingLeaflet"/>
              <w:spacing w:beforeLines="0" w:before="0" w:afterLines="0" w:after="0"/>
              <w:rPr>
                <w:rFonts w:ascii="Times New Roman" w:hAnsi="Times New Roman"/>
                <w:b w:val="0"/>
                <w:lang w:val="nb-NO"/>
              </w:rPr>
            </w:pPr>
            <w:r w:rsidRPr="00887835">
              <w:rPr>
                <w:rFonts w:ascii="Times New Roman" w:hAnsi="Times New Roman"/>
                <w:b w:val="0"/>
                <w:lang w:val="nb-NO"/>
              </w:rPr>
              <w:t xml:space="preserve">La Humira ligge ved romtemperatur </w:t>
            </w:r>
            <w:r>
              <w:rPr>
                <w:rFonts w:ascii="Times New Roman" w:hAnsi="Times New Roman"/>
                <w:b w:val="0"/>
                <w:lang w:val="nb-NO"/>
              </w:rPr>
              <w:t>i</w:t>
            </w:r>
            <w:r w:rsidRPr="00887835">
              <w:rPr>
                <w:rFonts w:ascii="Times New Roman" w:hAnsi="Times New Roman"/>
                <w:b w:val="0"/>
                <w:lang w:val="nb-NO"/>
              </w:rPr>
              <w:t xml:space="preserve"> </w:t>
            </w:r>
            <w:r>
              <w:rPr>
                <w:rFonts w:ascii="Times New Roman" w:hAnsi="Times New Roman"/>
                <w:lang w:val="nb-NO"/>
              </w:rPr>
              <w:t>15 til 30 minutter</w:t>
            </w:r>
            <w:r w:rsidRPr="00887835">
              <w:rPr>
                <w:rFonts w:ascii="Times New Roman" w:hAnsi="Times New Roman"/>
                <w:lang w:val="nb-NO"/>
              </w:rPr>
              <w:t xml:space="preserve"> </w:t>
            </w:r>
            <w:r>
              <w:rPr>
                <w:rFonts w:ascii="Times New Roman" w:hAnsi="Times New Roman"/>
                <w:b w:val="0"/>
                <w:lang w:val="nb-NO"/>
              </w:rPr>
              <w:t>før du setter injeksjonen</w:t>
            </w:r>
            <w:r w:rsidRPr="00887835">
              <w:rPr>
                <w:rFonts w:ascii="Times New Roman" w:hAnsi="Times New Roman"/>
                <w:b w:val="0"/>
                <w:lang w:val="nb-NO"/>
              </w:rPr>
              <w:t>.</w:t>
            </w:r>
          </w:p>
          <w:p w14:paraId="67898E3F" w14:textId="77777777" w:rsidR="00CF7F58" w:rsidRPr="00887835" w:rsidRDefault="00CF7F58" w:rsidP="003719E4">
            <w:pPr>
              <w:pStyle w:val="EMEANormal"/>
              <w:rPr>
                <w:lang w:val="nb-NO"/>
              </w:rPr>
            </w:pPr>
          </w:p>
          <w:p w14:paraId="2322FCE7" w14:textId="77777777" w:rsidR="00CF7F58" w:rsidRPr="00887835" w:rsidRDefault="00E453CD" w:rsidP="003719E4">
            <w:pPr>
              <w:pStyle w:val="EMEAHeadingLeaflet"/>
              <w:numPr>
                <w:ilvl w:val="0"/>
                <w:numId w:val="114"/>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 xml:space="preserve">Ikke </w:t>
            </w:r>
            <w:r w:rsidRPr="00887835">
              <w:rPr>
                <w:rFonts w:ascii="Times New Roman" w:hAnsi="Times New Roman"/>
                <w:b w:val="0"/>
                <w:lang w:val="nb-NO"/>
              </w:rPr>
              <w:t xml:space="preserve">fjern den grå eller plommefargede hetten mens du tillater Humira </w:t>
            </w:r>
            <w:r>
              <w:rPr>
                <w:rFonts w:ascii="Times New Roman" w:hAnsi="Times New Roman"/>
                <w:b w:val="0"/>
                <w:lang w:val="nb-NO"/>
              </w:rPr>
              <w:t xml:space="preserve">å oppnå </w:t>
            </w:r>
            <w:r w:rsidRPr="00887835">
              <w:rPr>
                <w:rFonts w:ascii="Times New Roman" w:hAnsi="Times New Roman"/>
                <w:b w:val="0"/>
                <w:lang w:val="nb-NO"/>
              </w:rPr>
              <w:t>romtemperatur</w:t>
            </w:r>
          </w:p>
          <w:p w14:paraId="104CE09E" w14:textId="77777777" w:rsidR="00CF7F58" w:rsidRPr="00887835" w:rsidRDefault="00E453CD" w:rsidP="003719E4">
            <w:pPr>
              <w:pStyle w:val="EMEANormal"/>
              <w:numPr>
                <w:ilvl w:val="0"/>
                <w:numId w:val="114"/>
              </w:numPr>
              <w:tabs>
                <w:tab w:val="clear" w:pos="562"/>
                <w:tab w:val="left" w:pos="720"/>
              </w:tabs>
              <w:rPr>
                <w:lang w:val="nb-NO"/>
              </w:rPr>
            </w:pPr>
            <w:r w:rsidRPr="00887835">
              <w:rPr>
                <w:b/>
                <w:lang w:val="nb-NO"/>
              </w:rPr>
              <w:t xml:space="preserve">Ikke </w:t>
            </w:r>
            <w:r w:rsidRPr="00887835">
              <w:rPr>
                <w:lang w:val="nb-NO"/>
              </w:rPr>
              <w:t xml:space="preserve">varm opp Humira på noen annen måte. </w:t>
            </w:r>
            <w:r>
              <w:rPr>
                <w:lang w:val="nb-NO"/>
              </w:rPr>
              <w:t>F.eks.</w:t>
            </w:r>
            <w:r w:rsidRPr="00887835">
              <w:rPr>
                <w:lang w:val="nb-NO"/>
              </w:rPr>
              <w:t xml:space="preserve"> </w:t>
            </w:r>
            <w:r w:rsidRPr="00887835">
              <w:rPr>
                <w:b/>
                <w:lang w:val="nb-NO"/>
              </w:rPr>
              <w:t>ikke</w:t>
            </w:r>
            <w:r w:rsidRPr="00887835">
              <w:rPr>
                <w:lang w:val="nb-NO"/>
              </w:rPr>
              <w:t xml:space="preserve"> varm den opp i en mikrobølgeovn </w:t>
            </w:r>
            <w:r>
              <w:rPr>
                <w:lang w:val="nb-NO"/>
              </w:rPr>
              <w:t>eller i varmt vann</w:t>
            </w:r>
          </w:p>
        </w:tc>
      </w:tr>
      <w:tr w:rsidR="004644D4" w14:paraId="7CCFEF77" w14:textId="77777777" w:rsidTr="003719E4">
        <w:tc>
          <w:tcPr>
            <w:tcW w:w="3708" w:type="dxa"/>
            <w:tcBorders>
              <w:right w:val="nil"/>
            </w:tcBorders>
          </w:tcPr>
          <w:p w14:paraId="0ED0BB7A" w14:textId="77777777" w:rsidR="00CF7F58" w:rsidRDefault="00E453CD" w:rsidP="003764A0">
            <w:pPr>
              <w:pStyle w:val="EMEANormal"/>
              <w:keepNext/>
              <w:rPr>
                <w:b/>
                <w:noProof/>
              </w:rPr>
            </w:pPr>
            <w:r w:rsidRPr="00452439">
              <w:rPr>
                <w:lang w:val="nb-NO"/>
              </w:rPr>
              <w:lastRenderedPageBreak/>
              <w:br w:type="page"/>
            </w:r>
            <w:r>
              <w:rPr>
                <w:b/>
                <w:noProof/>
              </w:rPr>
              <w:t>STEG</w:t>
            </w:r>
            <w:r w:rsidRPr="004F7834">
              <w:rPr>
                <w:b/>
                <w:noProof/>
              </w:rPr>
              <w:t xml:space="preserve"> 2 </w:t>
            </w:r>
          </w:p>
          <w:p w14:paraId="78B4EF4A" w14:textId="77777777" w:rsidR="00CF7F58" w:rsidRPr="004F7834" w:rsidRDefault="00CF7F58" w:rsidP="003764A0">
            <w:pPr>
              <w:pStyle w:val="EMEANormal"/>
              <w:keepNext/>
              <w:rPr>
                <w:b/>
                <w:noProof/>
              </w:rPr>
            </w:pPr>
          </w:p>
          <w:p w14:paraId="504CDE05" w14:textId="77777777" w:rsidR="00CF7F58" w:rsidRPr="00EA39A4" w:rsidRDefault="00E453CD" w:rsidP="003764A0">
            <w:pPr>
              <w:pStyle w:val="EMEANormal"/>
              <w:keepNext/>
              <w:rPr>
                <w:b/>
                <w:noProof/>
              </w:rPr>
            </w:pPr>
            <w:r>
              <w:rPr>
                <w:noProof/>
              </w:rPr>
              <w:t xml:space="preserve">               </w:t>
            </w:r>
            <w:r w:rsidRPr="00EA39A4">
              <w:rPr>
                <w:b/>
                <w:noProof/>
              </w:rPr>
              <w:t>Pen</w:t>
            </w:r>
            <w:r>
              <w:rPr>
                <w:b/>
                <w:noProof/>
              </w:rPr>
              <w:t>n</w:t>
            </w:r>
          </w:p>
          <w:p w14:paraId="2FEE54A3" w14:textId="77777777" w:rsidR="00CF7F58" w:rsidRDefault="00E453CD" w:rsidP="003764A0">
            <w:pPr>
              <w:pStyle w:val="EMEANormal"/>
              <w:keepNext/>
              <w:rPr>
                <w:noProof/>
              </w:rPr>
            </w:pPr>
            <w:r>
              <w:rPr>
                <w:noProof/>
                <w:lang w:val="en-GB" w:eastAsia="en-GB"/>
              </w:rPr>
              <w:drawing>
                <wp:inline distT="0" distB="0" distL="0" distR="0" wp14:anchorId="4F8E0B3F" wp14:editId="17524E39">
                  <wp:extent cx="2162175" cy="2286000"/>
                  <wp:effectExtent l="0" t="0" r="9525" b="0"/>
                  <wp:docPr id="37" name="Picture 37"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0" descr="STEP2_grey"/>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162175" cy="2286000"/>
                          </a:xfrm>
                          <a:prstGeom prst="rect">
                            <a:avLst/>
                          </a:prstGeom>
                          <a:noFill/>
                          <a:ln>
                            <a:noFill/>
                          </a:ln>
                        </pic:spPr>
                      </pic:pic>
                    </a:graphicData>
                  </a:graphic>
                </wp:inline>
              </w:drawing>
            </w:r>
          </w:p>
          <w:p w14:paraId="6531BD7D" w14:textId="77777777" w:rsidR="00CF7F58" w:rsidRPr="00EA39A4" w:rsidRDefault="00E453CD" w:rsidP="003764A0">
            <w:pPr>
              <w:pStyle w:val="EMEANormal"/>
              <w:keepNext/>
              <w:rPr>
                <w:b/>
                <w:lang w:val="en-GB"/>
              </w:rPr>
            </w:pPr>
            <w:r w:rsidRPr="00EA39A4">
              <w:rPr>
                <w:b/>
                <w:noProof/>
              </w:rPr>
              <w:t xml:space="preserve">                </w:t>
            </w:r>
            <w:r>
              <w:rPr>
                <w:b/>
                <w:noProof/>
              </w:rPr>
              <w:t>Injeksjonstørk</w:t>
            </w:r>
          </w:p>
        </w:tc>
        <w:tc>
          <w:tcPr>
            <w:tcW w:w="5579" w:type="dxa"/>
            <w:tcBorders>
              <w:left w:val="nil"/>
            </w:tcBorders>
          </w:tcPr>
          <w:p w14:paraId="403F612B" w14:textId="77777777" w:rsidR="00CF7F58" w:rsidRPr="00887835" w:rsidRDefault="00CF7F58" w:rsidP="003764A0">
            <w:pPr>
              <w:pStyle w:val="EMEAHeadingLeaflet"/>
              <w:keepNext/>
              <w:spacing w:beforeLines="0" w:before="0" w:afterLines="0" w:after="0"/>
              <w:rPr>
                <w:rFonts w:ascii="Times New Roman" w:hAnsi="Times New Roman"/>
                <w:b w:val="0"/>
                <w:lang w:val="nb-NO"/>
              </w:rPr>
            </w:pPr>
          </w:p>
          <w:p w14:paraId="5A7F72A8" w14:textId="77777777" w:rsidR="00CF7F58" w:rsidRPr="00887835"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 xml:space="preserve">Sjekk utløpsdatoen (EXP). </w:t>
            </w:r>
            <w:r w:rsidRPr="00887835">
              <w:rPr>
                <w:rFonts w:ascii="Times New Roman" w:hAnsi="Times New Roman"/>
                <w:lang w:val="nb-NO"/>
              </w:rPr>
              <w:t>Ikke</w:t>
            </w:r>
            <w:r w:rsidRPr="00887835">
              <w:rPr>
                <w:rFonts w:ascii="Times New Roman" w:hAnsi="Times New Roman"/>
                <w:b w:val="0"/>
                <w:lang w:val="nb-NO"/>
              </w:rPr>
              <w:t xml:space="preserve"> bruk den ferdigfylte pennen dersom utløpsdatoen (EXP) </w:t>
            </w:r>
            <w:r>
              <w:rPr>
                <w:rFonts w:ascii="Times New Roman" w:hAnsi="Times New Roman"/>
                <w:b w:val="0"/>
                <w:lang w:val="nb-NO"/>
              </w:rPr>
              <w:t>har</w:t>
            </w:r>
            <w:r w:rsidRPr="00887835">
              <w:rPr>
                <w:rFonts w:ascii="Times New Roman" w:hAnsi="Times New Roman"/>
                <w:b w:val="0"/>
                <w:lang w:val="nb-NO"/>
              </w:rPr>
              <w:t xml:space="preserve"> passe</w:t>
            </w:r>
            <w:r>
              <w:rPr>
                <w:rFonts w:ascii="Times New Roman" w:hAnsi="Times New Roman"/>
                <w:b w:val="0"/>
                <w:lang w:val="nb-NO"/>
              </w:rPr>
              <w:t>rt</w:t>
            </w:r>
            <w:r w:rsidRPr="00887835">
              <w:rPr>
                <w:rFonts w:ascii="Times New Roman" w:hAnsi="Times New Roman"/>
                <w:b w:val="0"/>
                <w:lang w:val="nb-NO"/>
              </w:rPr>
              <w:t>.</w:t>
            </w:r>
          </w:p>
          <w:p w14:paraId="665E6E2C" w14:textId="77777777" w:rsidR="00CF7F58" w:rsidRPr="00887835" w:rsidRDefault="00CF7F58" w:rsidP="003764A0">
            <w:pPr>
              <w:pStyle w:val="EMEANormal"/>
              <w:keepNext/>
              <w:rPr>
                <w:lang w:val="nb-NO"/>
              </w:rPr>
            </w:pPr>
          </w:p>
          <w:p w14:paraId="4FB57157" w14:textId="77777777" w:rsidR="00CF7F58" w:rsidRPr="00887835"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 xml:space="preserve">Legg følgende </w:t>
            </w:r>
            <w:r>
              <w:rPr>
                <w:rFonts w:ascii="Times New Roman" w:hAnsi="Times New Roman"/>
                <w:b w:val="0"/>
                <w:lang w:val="nb-NO"/>
              </w:rPr>
              <w:t xml:space="preserve">deler </w:t>
            </w:r>
            <w:r w:rsidRPr="00887835">
              <w:rPr>
                <w:rFonts w:ascii="Times New Roman" w:hAnsi="Times New Roman"/>
                <w:b w:val="0"/>
                <w:lang w:val="nb-NO"/>
              </w:rPr>
              <w:t xml:space="preserve">på en ren, flat </w:t>
            </w:r>
            <w:r>
              <w:rPr>
                <w:rFonts w:ascii="Times New Roman" w:hAnsi="Times New Roman"/>
                <w:b w:val="0"/>
                <w:lang w:val="nb-NO"/>
              </w:rPr>
              <w:t>overflate</w:t>
            </w:r>
          </w:p>
          <w:p w14:paraId="7EC9EAE5" w14:textId="77777777" w:rsidR="00CF7F58" w:rsidRPr="00887835" w:rsidRDefault="00CF7F58" w:rsidP="003764A0">
            <w:pPr>
              <w:pStyle w:val="EMEANormal"/>
              <w:keepNext/>
              <w:rPr>
                <w:lang w:val="nb-NO"/>
              </w:rPr>
            </w:pPr>
          </w:p>
          <w:p w14:paraId="234560A8" w14:textId="77777777" w:rsidR="00CF7F58" w:rsidRPr="005D17EB" w:rsidRDefault="00E453CD" w:rsidP="003764A0">
            <w:pPr>
              <w:pStyle w:val="EMEAHeadingLeaflet"/>
              <w:keepNext/>
              <w:numPr>
                <w:ilvl w:val="0"/>
                <w:numId w:val="115"/>
              </w:numPr>
              <w:tabs>
                <w:tab w:val="clear" w:pos="562"/>
                <w:tab w:val="left" w:pos="757"/>
              </w:tabs>
              <w:spacing w:beforeLines="0" w:before="0" w:afterLines="0" w:after="0"/>
              <w:ind w:left="757"/>
              <w:rPr>
                <w:rFonts w:ascii="Times New Roman" w:hAnsi="Times New Roman"/>
                <w:b w:val="0"/>
                <w:lang w:val="en-GB"/>
              </w:rPr>
            </w:pPr>
            <w:r w:rsidRPr="005D17EB">
              <w:rPr>
                <w:rFonts w:ascii="Times New Roman" w:hAnsi="Times New Roman"/>
                <w:b w:val="0"/>
                <w:lang w:val="en-GB"/>
              </w:rPr>
              <w:t xml:space="preserve">1 </w:t>
            </w:r>
            <w:r>
              <w:rPr>
                <w:rFonts w:ascii="Times New Roman" w:hAnsi="Times New Roman"/>
                <w:b w:val="0"/>
                <w:lang w:val="en-GB"/>
              </w:rPr>
              <w:t>ferdigfylt penn for engangsbruk</w:t>
            </w:r>
            <w:r w:rsidRPr="005D17EB">
              <w:rPr>
                <w:rFonts w:ascii="Times New Roman" w:hAnsi="Times New Roman"/>
                <w:b w:val="0"/>
                <w:lang w:val="en-GB"/>
              </w:rPr>
              <w:t xml:space="preserve"> </w:t>
            </w:r>
            <w:r>
              <w:rPr>
                <w:rFonts w:ascii="Times New Roman" w:hAnsi="Times New Roman"/>
                <w:b w:val="0"/>
                <w:lang w:val="en-GB"/>
              </w:rPr>
              <w:t>og</w:t>
            </w:r>
            <w:r w:rsidRPr="005D17EB">
              <w:rPr>
                <w:rFonts w:ascii="Times New Roman" w:hAnsi="Times New Roman"/>
                <w:b w:val="0"/>
                <w:lang w:val="en-GB"/>
              </w:rPr>
              <w:t xml:space="preserve"> </w:t>
            </w:r>
          </w:p>
          <w:p w14:paraId="3799E479" w14:textId="77777777" w:rsidR="00CF7F58" w:rsidRPr="005D17EB" w:rsidRDefault="00E453CD" w:rsidP="003764A0">
            <w:pPr>
              <w:pStyle w:val="EMEAHeadingLeaflet"/>
              <w:keepNext/>
              <w:numPr>
                <w:ilvl w:val="0"/>
                <w:numId w:val="115"/>
              </w:numPr>
              <w:tabs>
                <w:tab w:val="clear" w:pos="562"/>
                <w:tab w:val="left" w:pos="757"/>
              </w:tabs>
              <w:spacing w:beforeLines="0" w:before="0" w:afterLines="0" w:after="0"/>
              <w:ind w:left="757"/>
              <w:rPr>
                <w:rFonts w:ascii="Times New Roman" w:hAnsi="Times New Roman"/>
                <w:b w:val="0"/>
                <w:lang w:val="en-GB"/>
              </w:rPr>
            </w:pPr>
            <w:r w:rsidRPr="005D17EB">
              <w:rPr>
                <w:rFonts w:ascii="Times New Roman" w:hAnsi="Times New Roman"/>
                <w:b w:val="0"/>
                <w:lang w:val="en-GB"/>
              </w:rPr>
              <w:t xml:space="preserve">1 </w:t>
            </w:r>
            <w:r>
              <w:rPr>
                <w:rFonts w:ascii="Times New Roman" w:hAnsi="Times New Roman"/>
                <w:b w:val="0"/>
                <w:lang w:val="en-GB"/>
              </w:rPr>
              <w:t>injeksjonstørk</w:t>
            </w:r>
          </w:p>
          <w:p w14:paraId="25DECED3" w14:textId="77777777" w:rsidR="00CF7F58" w:rsidRDefault="00CF7F58" w:rsidP="003764A0">
            <w:pPr>
              <w:pStyle w:val="EMEANormal"/>
              <w:keepNext/>
              <w:rPr>
                <w:lang w:val="en-GB"/>
              </w:rPr>
            </w:pPr>
          </w:p>
          <w:p w14:paraId="6FB13876" w14:textId="77777777" w:rsidR="00CF7F58" w:rsidRPr="00887835" w:rsidRDefault="00E453CD" w:rsidP="003764A0">
            <w:pPr>
              <w:pStyle w:val="EMEANormal"/>
              <w:keepNext/>
              <w:rPr>
                <w:lang w:val="nb-NO"/>
              </w:rPr>
            </w:pPr>
            <w:r w:rsidRPr="00887835">
              <w:rPr>
                <w:lang w:val="nb-NO"/>
              </w:rPr>
              <w:t>Vask og tørk hendene dine.</w:t>
            </w:r>
          </w:p>
        </w:tc>
      </w:tr>
      <w:tr w:rsidR="004644D4" w14:paraId="3D354442" w14:textId="77777777" w:rsidTr="003719E4">
        <w:tc>
          <w:tcPr>
            <w:tcW w:w="3708" w:type="dxa"/>
            <w:tcBorders>
              <w:right w:val="nil"/>
            </w:tcBorders>
          </w:tcPr>
          <w:p w14:paraId="502297F3" w14:textId="77777777" w:rsidR="00CF7F58" w:rsidRDefault="00E453CD" w:rsidP="003719E4">
            <w:pPr>
              <w:pStyle w:val="EMEANormal"/>
              <w:keepNext/>
              <w:rPr>
                <w:b/>
                <w:noProof/>
              </w:rPr>
            </w:pPr>
            <w:r>
              <w:rPr>
                <w:b/>
                <w:noProof/>
              </w:rPr>
              <w:t>STEG 3</w:t>
            </w:r>
          </w:p>
          <w:p w14:paraId="5A2C1885" w14:textId="77777777" w:rsidR="00CF7F58" w:rsidRDefault="00CF7F58" w:rsidP="003719E4">
            <w:pPr>
              <w:pStyle w:val="EMEANormal"/>
              <w:keepNext/>
              <w:rPr>
                <w:b/>
                <w:noProof/>
              </w:rPr>
            </w:pPr>
          </w:p>
          <w:p w14:paraId="68B59EF3" w14:textId="77777777" w:rsidR="00CF7F58" w:rsidRPr="00EA39A4" w:rsidRDefault="00E453CD" w:rsidP="003719E4">
            <w:pPr>
              <w:pStyle w:val="EMEANormal"/>
              <w:keepNext/>
              <w:rPr>
                <w:b/>
                <w:noProof/>
              </w:rPr>
            </w:pPr>
            <w:r>
              <w:rPr>
                <w:b/>
                <w:noProof/>
              </w:rPr>
              <w:t>Injeksjonsområder</w:t>
            </w:r>
          </w:p>
          <w:p w14:paraId="1A9FBB0E" w14:textId="77777777" w:rsidR="00CF7F58" w:rsidRDefault="00E453CD" w:rsidP="003719E4">
            <w:pPr>
              <w:pStyle w:val="EMEANormal"/>
              <w:keepNext/>
              <w:rPr>
                <w:noProof/>
              </w:rPr>
            </w:pPr>
            <w:r>
              <w:rPr>
                <w:noProof/>
                <w:lang w:val="en-GB" w:eastAsia="en-GB"/>
              </w:rPr>
              <w:drawing>
                <wp:inline distT="0" distB="0" distL="0" distR="0" wp14:anchorId="4B8FAE7B" wp14:editId="6225935A">
                  <wp:extent cx="2276475" cy="2381250"/>
                  <wp:effectExtent l="0" t="0" r="9525" b="0"/>
                  <wp:docPr id="38" name="Picture 38"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9" descr="STEP3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276475" cy="2381250"/>
                          </a:xfrm>
                          <a:prstGeom prst="rect">
                            <a:avLst/>
                          </a:prstGeom>
                          <a:noFill/>
                          <a:ln>
                            <a:noFill/>
                          </a:ln>
                        </pic:spPr>
                      </pic:pic>
                    </a:graphicData>
                  </a:graphic>
                </wp:inline>
              </w:drawing>
            </w:r>
          </w:p>
          <w:p w14:paraId="7CD7B557" w14:textId="77777777" w:rsidR="00CF7F58" w:rsidRPr="00EA39A4" w:rsidRDefault="00E453CD" w:rsidP="003719E4">
            <w:pPr>
              <w:pStyle w:val="EMEANormal"/>
              <w:keepNext/>
              <w:rPr>
                <w:b/>
                <w:lang w:val="en-GB"/>
              </w:rPr>
            </w:pPr>
            <w:r>
              <w:rPr>
                <w:noProof/>
              </w:rPr>
              <w:t xml:space="preserve">     </w:t>
            </w:r>
            <w:r w:rsidRPr="00EA39A4">
              <w:rPr>
                <w:b/>
                <w:noProof/>
              </w:rPr>
              <w:t>I</w:t>
            </w:r>
            <w:r>
              <w:rPr>
                <w:b/>
                <w:noProof/>
              </w:rPr>
              <w:t>njeksjonsområder</w:t>
            </w:r>
          </w:p>
        </w:tc>
        <w:tc>
          <w:tcPr>
            <w:tcW w:w="5579" w:type="dxa"/>
            <w:tcBorders>
              <w:left w:val="nil"/>
            </w:tcBorders>
          </w:tcPr>
          <w:p w14:paraId="7A54BFB7" w14:textId="77777777" w:rsidR="00CF7F58" w:rsidRDefault="00CF7F58" w:rsidP="003719E4">
            <w:pPr>
              <w:pStyle w:val="EMEAHeadingLeaflet"/>
              <w:keepNext/>
              <w:spacing w:beforeLines="0" w:before="0" w:afterLines="0" w:after="0"/>
              <w:rPr>
                <w:rFonts w:ascii="Times New Roman" w:hAnsi="Times New Roman"/>
                <w:b w:val="0"/>
                <w:lang w:val="en-GB"/>
              </w:rPr>
            </w:pPr>
          </w:p>
          <w:p w14:paraId="204BCC17" w14:textId="77777777" w:rsidR="00CF7F58" w:rsidRDefault="00E453CD" w:rsidP="003719E4">
            <w:pPr>
              <w:pStyle w:val="EMEAHeadingLeaflet"/>
              <w:keepNext/>
              <w:spacing w:beforeLines="0" w:before="0" w:afterLines="0" w:after="0"/>
              <w:rPr>
                <w:rFonts w:ascii="Times New Roman" w:hAnsi="Times New Roman"/>
                <w:b w:val="0"/>
                <w:lang w:val="en-GB"/>
              </w:rPr>
            </w:pPr>
            <w:r>
              <w:rPr>
                <w:rFonts w:ascii="Times New Roman" w:hAnsi="Times New Roman"/>
                <w:b w:val="0"/>
                <w:lang w:val="en-GB"/>
              </w:rPr>
              <w:t>Velg et injeksjonssted:</w:t>
            </w:r>
          </w:p>
          <w:p w14:paraId="16E14488" w14:textId="77777777" w:rsidR="00CF7F58" w:rsidRPr="00E027BB" w:rsidRDefault="00CF7F58" w:rsidP="003719E4">
            <w:pPr>
              <w:pStyle w:val="EMEANormal"/>
              <w:keepNext/>
              <w:rPr>
                <w:lang w:val="en-GB"/>
              </w:rPr>
            </w:pPr>
          </w:p>
          <w:p w14:paraId="5B0ED565" w14:textId="77777777" w:rsidR="00CF7F58" w:rsidRPr="00887835" w:rsidRDefault="00E453CD" w:rsidP="003719E4">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På framsiden av lårene dine eller</w:t>
            </w:r>
          </w:p>
          <w:p w14:paraId="631D622D" w14:textId="77777777" w:rsidR="00CF7F58" w:rsidRPr="00887835" w:rsidRDefault="00E453CD" w:rsidP="003719E4">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Magen din, minst 5 cm fra navlen din</w:t>
            </w:r>
          </w:p>
          <w:p w14:paraId="794C340F" w14:textId="77777777" w:rsidR="00CF7F58" w:rsidRPr="00887835" w:rsidRDefault="00E453CD" w:rsidP="003719E4">
            <w:pPr>
              <w:pStyle w:val="EMEAHeadingLeaflet"/>
              <w:keepNext/>
              <w:numPr>
                <w:ilvl w:val="0"/>
                <w:numId w:val="116"/>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Minst 3 cm fra ditt forrige injeksjonssted</w:t>
            </w:r>
          </w:p>
          <w:p w14:paraId="7B7609DF" w14:textId="77777777" w:rsidR="00CF7F58" w:rsidRPr="00887835" w:rsidRDefault="00CF7F58" w:rsidP="003719E4">
            <w:pPr>
              <w:pStyle w:val="EMEANormal"/>
              <w:keepNext/>
              <w:rPr>
                <w:lang w:val="nb-NO"/>
              </w:rPr>
            </w:pPr>
          </w:p>
          <w:p w14:paraId="7A65BBE6" w14:textId="77777777" w:rsidR="00CF7F58" w:rsidRPr="00887835" w:rsidRDefault="00E453CD" w:rsidP="003719E4">
            <w:pPr>
              <w:pStyle w:val="EMEAHeadingLeaflet"/>
              <w:keepNext/>
              <w:spacing w:beforeLines="0" w:before="0" w:afterLines="0" w:after="0"/>
              <w:rPr>
                <w:rFonts w:ascii="Times New Roman" w:hAnsi="Times New Roman"/>
                <w:b w:val="0"/>
                <w:lang w:val="nb-NO"/>
              </w:rPr>
            </w:pPr>
            <w:r w:rsidRPr="00A726B6">
              <w:rPr>
                <w:rFonts w:ascii="Times New Roman" w:hAnsi="Times New Roman"/>
                <w:b w:val="0"/>
                <w:lang w:val="nb-NO"/>
              </w:rPr>
              <w:t>Bruk det vedlagte injeksjonstørket og tørk injeksjonsstedet med ringbevegelser</w:t>
            </w:r>
            <w:r w:rsidRPr="00887835">
              <w:rPr>
                <w:rFonts w:ascii="Times New Roman" w:hAnsi="Times New Roman"/>
                <w:b w:val="0"/>
                <w:lang w:val="nb-NO"/>
              </w:rPr>
              <w:t>.</w:t>
            </w:r>
          </w:p>
          <w:p w14:paraId="2BE66B8E" w14:textId="77777777" w:rsidR="00CF7F58" w:rsidRPr="00887835" w:rsidRDefault="00CF7F58" w:rsidP="003719E4">
            <w:pPr>
              <w:pStyle w:val="EMEANormal"/>
              <w:keepNext/>
              <w:rPr>
                <w:lang w:val="nb-NO"/>
              </w:rPr>
            </w:pPr>
          </w:p>
          <w:p w14:paraId="41B8E9F2" w14:textId="77777777" w:rsidR="00CF7F58" w:rsidRPr="00887835" w:rsidRDefault="00E453CD" w:rsidP="003719E4">
            <w:pPr>
              <w:pStyle w:val="EMEAHeadingLeaflet"/>
              <w:keepNext/>
              <w:numPr>
                <w:ilvl w:val="0"/>
                <w:numId w:val="117"/>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sett en injeksjon gjennom klær</w:t>
            </w:r>
          </w:p>
          <w:p w14:paraId="6DF3CE11" w14:textId="77777777" w:rsidR="00CF7F58" w:rsidRPr="00887835" w:rsidRDefault="00E453CD" w:rsidP="003719E4">
            <w:pPr>
              <w:pStyle w:val="EMEANormal"/>
              <w:keepNext/>
              <w:numPr>
                <w:ilvl w:val="0"/>
                <w:numId w:val="117"/>
              </w:numPr>
              <w:tabs>
                <w:tab w:val="clear" w:pos="562"/>
                <w:tab w:val="left" w:pos="757"/>
              </w:tabs>
              <w:ind w:left="757"/>
              <w:rPr>
                <w:lang w:val="nb-NO"/>
              </w:rPr>
            </w:pPr>
            <w:r w:rsidRPr="00887835">
              <w:rPr>
                <w:b/>
                <w:lang w:val="nb-NO"/>
              </w:rPr>
              <w:t xml:space="preserve">Ikke </w:t>
            </w:r>
            <w:r w:rsidR="00EA5F0E">
              <w:rPr>
                <w:lang w:val="nb-NO"/>
              </w:rPr>
              <w:t xml:space="preserve">sett en injeksjon i </w:t>
            </w:r>
            <w:r w:rsidRPr="00887835">
              <w:rPr>
                <w:lang w:val="nb-NO"/>
              </w:rPr>
              <w:t xml:space="preserve">hud som </w:t>
            </w:r>
            <w:r>
              <w:rPr>
                <w:lang w:val="nb-NO"/>
              </w:rPr>
              <w:t>e</w:t>
            </w:r>
            <w:r w:rsidRPr="00887835">
              <w:rPr>
                <w:lang w:val="nb-NO"/>
              </w:rPr>
              <w:t>r</w:t>
            </w:r>
            <w:r>
              <w:rPr>
                <w:lang w:val="nb-NO"/>
              </w:rPr>
              <w:t xml:space="preserve"> sår,</w:t>
            </w:r>
            <w:r w:rsidRPr="00887835">
              <w:rPr>
                <w:lang w:val="nb-NO"/>
              </w:rPr>
              <w:t xml:space="preserve"> </w:t>
            </w:r>
            <w:r>
              <w:rPr>
                <w:lang w:val="nb-NO"/>
              </w:rPr>
              <w:t>rø</w:t>
            </w:r>
            <w:r w:rsidR="00EA5F0E">
              <w:rPr>
                <w:lang w:val="nb-NO"/>
              </w:rPr>
              <w:t>dlig, hard, har blåmerker, arr,</w:t>
            </w:r>
            <w:r w:rsidR="00830D6C">
              <w:rPr>
                <w:lang w:val="nb-NO"/>
              </w:rPr>
              <w:t xml:space="preserve"> </w:t>
            </w:r>
            <w:r>
              <w:rPr>
                <w:lang w:val="nb-NO"/>
              </w:rPr>
              <w:t>strekkmerker eller områder med plakkpsoriasis</w:t>
            </w:r>
          </w:p>
        </w:tc>
      </w:tr>
      <w:tr w:rsidR="004644D4" w14:paraId="237D3168" w14:textId="77777777" w:rsidTr="003719E4">
        <w:tc>
          <w:tcPr>
            <w:tcW w:w="3708" w:type="dxa"/>
            <w:tcBorders>
              <w:right w:val="nil"/>
            </w:tcBorders>
          </w:tcPr>
          <w:p w14:paraId="3F8868F9" w14:textId="77777777" w:rsidR="00CF7F58" w:rsidRDefault="00E453CD" w:rsidP="003719E4">
            <w:pPr>
              <w:pStyle w:val="EMEANormal"/>
              <w:rPr>
                <w:b/>
                <w:noProof/>
              </w:rPr>
            </w:pPr>
            <w:r>
              <w:rPr>
                <w:b/>
                <w:noProof/>
              </w:rPr>
              <w:t>STEG</w:t>
            </w:r>
            <w:r w:rsidRPr="00C2309F">
              <w:rPr>
                <w:b/>
                <w:noProof/>
              </w:rPr>
              <w:t xml:space="preserve"> 4</w:t>
            </w:r>
          </w:p>
          <w:p w14:paraId="6F2FFFDB" w14:textId="77777777" w:rsidR="00CF7F58" w:rsidRPr="00C2309F" w:rsidRDefault="00CF7F58" w:rsidP="003719E4">
            <w:pPr>
              <w:pStyle w:val="EMEANormal"/>
              <w:rPr>
                <w:b/>
                <w:noProof/>
              </w:rPr>
            </w:pPr>
          </w:p>
          <w:p w14:paraId="1F7767E0" w14:textId="77777777" w:rsidR="00CF7F58" w:rsidRPr="005D17EB" w:rsidRDefault="00E453CD" w:rsidP="003719E4">
            <w:pPr>
              <w:pStyle w:val="EMEANormal"/>
              <w:rPr>
                <w:lang w:val="en-GB"/>
              </w:rPr>
            </w:pPr>
            <w:r>
              <w:rPr>
                <w:noProof/>
                <w:lang w:val="en-GB" w:eastAsia="en-GB"/>
              </w:rPr>
              <w:drawing>
                <wp:inline distT="0" distB="0" distL="0" distR="0" wp14:anchorId="5692C866" wp14:editId="581ECFB0">
                  <wp:extent cx="2209800" cy="2047875"/>
                  <wp:effectExtent l="0" t="0" r="0" b="9525"/>
                  <wp:docPr id="39" name="Picture 39"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6" descr="STEP4_grey"/>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2209800" cy="2047875"/>
                          </a:xfrm>
                          <a:prstGeom prst="rect">
                            <a:avLst/>
                          </a:prstGeom>
                          <a:noFill/>
                          <a:ln>
                            <a:noFill/>
                          </a:ln>
                        </pic:spPr>
                      </pic:pic>
                    </a:graphicData>
                  </a:graphic>
                </wp:inline>
              </w:drawing>
            </w:r>
          </w:p>
        </w:tc>
        <w:tc>
          <w:tcPr>
            <w:tcW w:w="5579" w:type="dxa"/>
            <w:tcBorders>
              <w:left w:val="nil"/>
            </w:tcBorders>
          </w:tcPr>
          <w:p w14:paraId="42D8C4D5" w14:textId="77777777" w:rsidR="00CF7F58" w:rsidRDefault="00CF7F58" w:rsidP="003719E4">
            <w:pPr>
              <w:pStyle w:val="EMEAHeadingLeaflet"/>
              <w:keepNext/>
              <w:spacing w:beforeLines="0" w:before="0" w:afterLines="0" w:after="0"/>
              <w:rPr>
                <w:rFonts w:ascii="Times New Roman" w:hAnsi="Times New Roman"/>
                <w:b w:val="0"/>
                <w:lang w:val="en-GB"/>
              </w:rPr>
            </w:pPr>
          </w:p>
          <w:p w14:paraId="1103EBA9" w14:textId="77777777" w:rsidR="00CF7F58" w:rsidRPr="00887835" w:rsidRDefault="00E453CD" w:rsidP="003719E4">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Hold den ferdigfylte pennen med</w:t>
            </w:r>
            <w:r>
              <w:rPr>
                <w:rFonts w:ascii="Times New Roman" w:hAnsi="Times New Roman"/>
                <w:b w:val="0"/>
                <w:lang w:val="nb-NO"/>
              </w:rPr>
              <w:t xml:space="preserve"> den</w:t>
            </w:r>
            <w:r w:rsidRPr="00887835">
              <w:rPr>
                <w:rFonts w:ascii="Times New Roman" w:hAnsi="Times New Roman"/>
                <w:b w:val="0"/>
                <w:lang w:val="nb-NO"/>
              </w:rPr>
              <w:t xml:space="preserve"> grå hette</w:t>
            </w:r>
            <w:r>
              <w:rPr>
                <w:rFonts w:ascii="Times New Roman" w:hAnsi="Times New Roman"/>
                <w:b w:val="0"/>
                <w:lang w:val="nb-NO"/>
              </w:rPr>
              <w:t>n</w:t>
            </w:r>
            <w:r w:rsidRPr="00887835">
              <w:rPr>
                <w:rFonts w:ascii="Times New Roman" w:hAnsi="Times New Roman"/>
                <w:b w:val="0"/>
                <w:lang w:val="nb-NO"/>
              </w:rPr>
              <w:t xml:space="preserve"> 1 </w:t>
            </w:r>
            <w:r>
              <w:rPr>
                <w:rFonts w:ascii="Times New Roman" w:hAnsi="Times New Roman"/>
                <w:b w:val="0"/>
                <w:lang w:val="nb-NO"/>
              </w:rPr>
              <w:t>pekende oppover</w:t>
            </w:r>
            <w:r w:rsidRPr="00887835">
              <w:rPr>
                <w:rFonts w:ascii="Times New Roman" w:hAnsi="Times New Roman"/>
                <w:b w:val="0"/>
                <w:lang w:val="nb-NO"/>
              </w:rPr>
              <w:t xml:space="preserve">. </w:t>
            </w:r>
          </w:p>
          <w:p w14:paraId="5E74626C" w14:textId="77777777" w:rsidR="00CF7F58" w:rsidRPr="00887835" w:rsidRDefault="00CF7F58" w:rsidP="003719E4">
            <w:pPr>
              <w:pStyle w:val="EMEANormal"/>
              <w:rPr>
                <w:lang w:val="nb-NO"/>
              </w:rPr>
            </w:pPr>
          </w:p>
          <w:p w14:paraId="31F0B3A2" w14:textId="77777777" w:rsidR="00CF7F58" w:rsidRDefault="00E453CD" w:rsidP="003719E4">
            <w:pPr>
              <w:pStyle w:val="EMEAHeadingLeaflet"/>
              <w:keepNext/>
              <w:spacing w:beforeLines="0" w:before="0" w:afterLines="0" w:after="0"/>
              <w:rPr>
                <w:rFonts w:ascii="Times New Roman" w:hAnsi="Times New Roman"/>
                <w:b w:val="0"/>
                <w:lang w:val="en-GB"/>
              </w:rPr>
            </w:pPr>
            <w:r>
              <w:rPr>
                <w:rFonts w:ascii="Times New Roman" w:hAnsi="Times New Roman"/>
                <w:b w:val="0"/>
                <w:lang w:val="en-GB"/>
              </w:rPr>
              <w:t>Sjekk inspeksjonsvinduet</w:t>
            </w:r>
            <w:r w:rsidRPr="005D17EB">
              <w:rPr>
                <w:rFonts w:ascii="Times New Roman" w:hAnsi="Times New Roman"/>
                <w:b w:val="0"/>
                <w:lang w:val="en-GB"/>
              </w:rPr>
              <w:t>.</w:t>
            </w:r>
          </w:p>
          <w:p w14:paraId="7A2824FD" w14:textId="77777777" w:rsidR="00CF7F58" w:rsidRPr="00E027BB" w:rsidRDefault="00CF7F58" w:rsidP="003719E4">
            <w:pPr>
              <w:pStyle w:val="EMEANormal"/>
              <w:rPr>
                <w:lang w:val="en-GB"/>
              </w:rPr>
            </w:pPr>
          </w:p>
          <w:p w14:paraId="712007A0" w14:textId="77777777" w:rsidR="00CF7F58" w:rsidRPr="00887835" w:rsidRDefault="00E453CD" w:rsidP="003719E4">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Det er normalt å se 1 eller flere b</w:t>
            </w:r>
            <w:r>
              <w:rPr>
                <w:rFonts w:ascii="Times New Roman" w:hAnsi="Times New Roman"/>
                <w:b w:val="0"/>
                <w:lang w:val="nb-NO"/>
              </w:rPr>
              <w:t>obler</w:t>
            </w:r>
            <w:r w:rsidRPr="00887835">
              <w:rPr>
                <w:rFonts w:ascii="Times New Roman" w:hAnsi="Times New Roman"/>
                <w:b w:val="0"/>
                <w:lang w:val="nb-NO"/>
              </w:rPr>
              <w:t xml:space="preserve"> i </w:t>
            </w:r>
            <w:r>
              <w:rPr>
                <w:rFonts w:ascii="Times New Roman" w:hAnsi="Times New Roman"/>
                <w:b w:val="0"/>
                <w:lang w:val="nb-NO"/>
              </w:rPr>
              <w:t>vinduet</w:t>
            </w:r>
          </w:p>
          <w:p w14:paraId="74D17FEE" w14:textId="77777777" w:rsidR="00CF7F58" w:rsidRPr="00887835" w:rsidRDefault="00E453CD" w:rsidP="003719E4">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Pass på at oppløsningen er klar og fargeløs</w:t>
            </w:r>
          </w:p>
          <w:p w14:paraId="2425C293" w14:textId="77777777" w:rsidR="00CF7F58" w:rsidRPr="00887835" w:rsidRDefault="00E453CD" w:rsidP="003719E4">
            <w:pPr>
              <w:pStyle w:val="EMEAHeadingLeaflet"/>
              <w:keepNext/>
              <w:numPr>
                <w:ilvl w:val="0"/>
                <w:numId w:val="118"/>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bruk den ferdigfylte pennen dersom oppløsningen er uklar eller har partikler i seg</w:t>
            </w:r>
          </w:p>
          <w:p w14:paraId="57A657A5" w14:textId="77777777" w:rsidR="00CF7F58" w:rsidRPr="00887835" w:rsidRDefault="00E453CD" w:rsidP="003719E4">
            <w:pPr>
              <w:pStyle w:val="EMEANormal"/>
              <w:numPr>
                <w:ilvl w:val="0"/>
                <w:numId w:val="118"/>
              </w:numPr>
              <w:tabs>
                <w:tab w:val="clear" w:pos="562"/>
                <w:tab w:val="left" w:pos="757"/>
              </w:tabs>
              <w:ind w:left="757"/>
              <w:rPr>
                <w:lang w:val="nb-NO"/>
              </w:rPr>
            </w:pPr>
            <w:r w:rsidRPr="00887835">
              <w:rPr>
                <w:b/>
                <w:lang w:val="nb-NO"/>
              </w:rPr>
              <w:t xml:space="preserve">Ikke </w:t>
            </w:r>
            <w:r w:rsidRPr="00887835">
              <w:rPr>
                <w:lang w:val="nb-NO"/>
              </w:rPr>
              <w:t xml:space="preserve">bruk den ferdigfylte pennen dersom </w:t>
            </w:r>
            <w:r>
              <w:rPr>
                <w:lang w:val="nb-NO"/>
              </w:rPr>
              <w:t>den har falt i gulvet eller har knust</w:t>
            </w:r>
          </w:p>
        </w:tc>
      </w:tr>
      <w:tr w:rsidR="004644D4" w14:paraId="75CB658D" w14:textId="77777777" w:rsidTr="003719E4">
        <w:tc>
          <w:tcPr>
            <w:tcW w:w="3708" w:type="dxa"/>
            <w:tcBorders>
              <w:right w:val="nil"/>
            </w:tcBorders>
          </w:tcPr>
          <w:p w14:paraId="14DD1BCE" w14:textId="77777777" w:rsidR="00CF7F58" w:rsidRDefault="00E453CD" w:rsidP="003764A0">
            <w:pPr>
              <w:pStyle w:val="EMEANormal"/>
              <w:keepNext/>
              <w:rPr>
                <w:noProof/>
              </w:rPr>
            </w:pPr>
            <w:r w:rsidRPr="00452439">
              <w:rPr>
                <w:lang w:val="nb-NO"/>
              </w:rPr>
              <w:lastRenderedPageBreak/>
              <w:br w:type="page"/>
            </w:r>
            <w:r>
              <w:rPr>
                <w:b/>
                <w:noProof/>
              </w:rPr>
              <w:t>STEG 5</w:t>
            </w:r>
            <w:r>
              <w:rPr>
                <w:noProof/>
              </w:rPr>
              <w:t xml:space="preserve"> </w:t>
            </w:r>
          </w:p>
          <w:p w14:paraId="01806A15" w14:textId="77777777" w:rsidR="00CF7F58" w:rsidRDefault="00CF7F58" w:rsidP="003764A0">
            <w:pPr>
              <w:pStyle w:val="EMEANormal"/>
              <w:keepNext/>
              <w:rPr>
                <w:noProof/>
              </w:rPr>
            </w:pPr>
          </w:p>
          <w:p w14:paraId="36725C9B" w14:textId="77777777" w:rsidR="00CF7F58" w:rsidRPr="00EA39A4" w:rsidRDefault="00E453CD" w:rsidP="003764A0">
            <w:pPr>
              <w:pStyle w:val="EMEANormal"/>
              <w:keepNext/>
              <w:spacing w:after="100" w:afterAutospacing="1"/>
              <w:rPr>
                <w:b/>
                <w:noProof/>
              </w:rPr>
            </w:pPr>
            <w:r>
              <w:rPr>
                <w:b/>
                <w:noProof/>
              </w:rPr>
              <w:t>Hette</w:t>
            </w:r>
            <w:r w:rsidRPr="00EA39A4">
              <w:rPr>
                <w:b/>
                <w:noProof/>
              </w:rPr>
              <w:t xml:space="preserve"> 1</w:t>
            </w:r>
          </w:p>
          <w:p w14:paraId="5C5769E5" w14:textId="77777777" w:rsidR="00CF7F58" w:rsidRDefault="00E453CD" w:rsidP="003764A0">
            <w:pPr>
              <w:pStyle w:val="EMEANormal"/>
              <w:keepNext/>
              <w:rPr>
                <w:noProof/>
              </w:rPr>
            </w:pPr>
            <w:r>
              <w:rPr>
                <w:noProof/>
                <w:lang w:val="en-GB" w:eastAsia="en-GB"/>
              </w:rPr>
              <w:drawing>
                <wp:inline distT="0" distB="0" distL="0" distR="0" wp14:anchorId="31127C96" wp14:editId="2D4264AE">
                  <wp:extent cx="2028825" cy="1847850"/>
                  <wp:effectExtent l="0" t="0" r="9525" b="0"/>
                  <wp:docPr id="40" name="Picture 40"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descr="EU_IFU_STEP5_grey"/>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028825" cy="1847850"/>
                          </a:xfrm>
                          <a:prstGeom prst="rect">
                            <a:avLst/>
                          </a:prstGeom>
                          <a:noFill/>
                          <a:ln>
                            <a:noFill/>
                          </a:ln>
                        </pic:spPr>
                      </pic:pic>
                    </a:graphicData>
                  </a:graphic>
                </wp:inline>
              </w:drawing>
            </w:r>
          </w:p>
          <w:p w14:paraId="2086555A" w14:textId="77777777" w:rsidR="00CF7F58" w:rsidRPr="00EA39A4" w:rsidRDefault="00E453CD" w:rsidP="003764A0">
            <w:pPr>
              <w:pStyle w:val="EMEANormal"/>
              <w:keepNext/>
              <w:rPr>
                <w:b/>
                <w:lang w:val="en-GB"/>
              </w:rPr>
            </w:pPr>
            <w:r w:rsidRPr="00EA39A4">
              <w:rPr>
                <w:b/>
                <w:noProof/>
              </w:rPr>
              <w:t xml:space="preserve">                                            </w:t>
            </w:r>
            <w:r>
              <w:rPr>
                <w:b/>
                <w:noProof/>
              </w:rPr>
              <w:t>Hette</w:t>
            </w:r>
            <w:r w:rsidRPr="00EA39A4">
              <w:rPr>
                <w:b/>
                <w:noProof/>
              </w:rPr>
              <w:t xml:space="preserve"> 2</w:t>
            </w:r>
          </w:p>
        </w:tc>
        <w:tc>
          <w:tcPr>
            <w:tcW w:w="5579" w:type="dxa"/>
            <w:tcBorders>
              <w:left w:val="nil"/>
            </w:tcBorders>
          </w:tcPr>
          <w:p w14:paraId="5C852B65" w14:textId="77777777" w:rsidR="00CF7F58" w:rsidRPr="00887835" w:rsidRDefault="00CF7F58" w:rsidP="003764A0">
            <w:pPr>
              <w:pStyle w:val="EMEAHeadingLeaflet"/>
              <w:keepNext/>
              <w:spacing w:beforeLines="0" w:before="0" w:afterLines="0" w:after="0"/>
              <w:rPr>
                <w:rFonts w:ascii="Times New Roman" w:hAnsi="Times New Roman"/>
                <w:b w:val="0"/>
                <w:lang w:val="nb-NO"/>
              </w:rPr>
            </w:pPr>
          </w:p>
          <w:p w14:paraId="7BDEA964" w14:textId="77777777" w:rsidR="00CF7F58" w:rsidRPr="00887835"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Dra</w:t>
            </w:r>
            <w:r>
              <w:rPr>
                <w:rFonts w:ascii="Times New Roman" w:hAnsi="Times New Roman"/>
                <w:b w:val="0"/>
                <w:lang w:val="nb-NO"/>
              </w:rPr>
              <w:t xml:space="preserve"> den</w:t>
            </w:r>
            <w:r w:rsidRPr="00887835">
              <w:rPr>
                <w:rFonts w:ascii="Times New Roman" w:hAnsi="Times New Roman"/>
                <w:b w:val="0"/>
                <w:lang w:val="nb-NO"/>
              </w:rPr>
              <w:t xml:space="preserve"> grå hette</w:t>
            </w:r>
            <w:r>
              <w:rPr>
                <w:rFonts w:ascii="Times New Roman" w:hAnsi="Times New Roman"/>
                <w:b w:val="0"/>
                <w:lang w:val="nb-NO"/>
              </w:rPr>
              <w:t>n</w:t>
            </w:r>
            <w:r w:rsidRPr="00887835">
              <w:rPr>
                <w:rFonts w:ascii="Times New Roman" w:hAnsi="Times New Roman"/>
                <w:b w:val="0"/>
                <w:lang w:val="nb-NO"/>
              </w:rPr>
              <w:t xml:space="preserve"> 1 rett av. Kast hetten. </w:t>
            </w:r>
            <w:r w:rsidRPr="00AB7697">
              <w:rPr>
                <w:rFonts w:ascii="Times New Roman" w:hAnsi="Times New Roman"/>
                <w:lang w:val="nb-NO"/>
              </w:rPr>
              <w:t>Ikke</w:t>
            </w:r>
            <w:r w:rsidRPr="00887835">
              <w:rPr>
                <w:rFonts w:ascii="Times New Roman" w:hAnsi="Times New Roman"/>
                <w:b w:val="0"/>
                <w:lang w:val="nb-NO"/>
              </w:rPr>
              <w:t xml:space="preserve"> sett hetten tilbake på plass igjen.</w:t>
            </w:r>
          </w:p>
          <w:p w14:paraId="28154A28" w14:textId="77777777" w:rsidR="00CF7F58" w:rsidRPr="00887835" w:rsidRDefault="00CF7F58" w:rsidP="003764A0">
            <w:pPr>
              <w:pStyle w:val="EMEANormal"/>
              <w:keepNext/>
              <w:rPr>
                <w:lang w:val="nb-NO"/>
              </w:rPr>
            </w:pPr>
          </w:p>
          <w:p w14:paraId="53CA9880" w14:textId="77777777" w:rsidR="00CF7F58" w:rsidRPr="00887835" w:rsidRDefault="00E453CD" w:rsidP="003764A0">
            <w:pPr>
              <w:pStyle w:val="EMEAHeadingLeaflet"/>
              <w:keepNex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Sjekk at </w:t>
            </w:r>
            <w:r w:rsidR="008138BF">
              <w:rPr>
                <w:rFonts w:ascii="Times New Roman" w:hAnsi="Times New Roman"/>
                <w:b w:val="0"/>
                <w:lang w:val="nb-NO"/>
              </w:rPr>
              <w:t>kanyl</w:t>
            </w:r>
            <w:r>
              <w:rPr>
                <w:rFonts w:ascii="Times New Roman" w:hAnsi="Times New Roman"/>
                <w:b w:val="0"/>
                <w:lang w:val="nb-NO"/>
              </w:rPr>
              <w:t>ens</w:t>
            </w:r>
            <w:r w:rsidRPr="00887835">
              <w:rPr>
                <w:rFonts w:ascii="Times New Roman" w:hAnsi="Times New Roman"/>
                <w:b w:val="0"/>
                <w:lang w:val="nb-NO"/>
              </w:rPr>
              <w:t xml:space="preserve"> lille svarte beskyttelse</w:t>
            </w:r>
            <w:r>
              <w:rPr>
                <w:rFonts w:ascii="Times New Roman" w:hAnsi="Times New Roman"/>
                <w:b w:val="0"/>
                <w:lang w:val="nb-NO"/>
              </w:rPr>
              <w:t xml:space="preserve">shylse </w:t>
            </w:r>
            <w:r w:rsidRPr="00887835">
              <w:rPr>
                <w:rFonts w:ascii="Times New Roman" w:hAnsi="Times New Roman"/>
                <w:b w:val="0"/>
                <w:lang w:val="nb-NO"/>
              </w:rPr>
              <w:t>har blitt fjernet sammen med hetten</w:t>
            </w:r>
          </w:p>
          <w:p w14:paraId="1E495AA4" w14:textId="77777777" w:rsidR="00CF7F58" w:rsidRPr="00887835" w:rsidRDefault="00E453CD" w:rsidP="003764A0">
            <w:pPr>
              <w:pStyle w:val="EMEAHeadingLeaflet"/>
              <w:keepNex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Det er normalt å se noen få dråper av oppløsningen komme ut av </w:t>
            </w:r>
            <w:r w:rsidR="008138BF">
              <w:rPr>
                <w:rFonts w:ascii="Times New Roman" w:hAnsi="Times New Roman"/>
                <w:b w:val="0"/>
                <w:lang w:val="nb-NO"/>
              </w:rPr>
              <w:t>kanyl</w:t>
            </w:r>
            <w:r w:rsidRPr="00887835">
              <w:rPr>
                <w:rFonts w:ascii="Times New Roman" w:hAnsi="Times New Roman"/>
                <w:b w:val="0"/>
                <w:lang w:val="nb-NO"/>
              </w:rPr>
              <w:t>en</w:t>
            </w:r>
          </w:p>
          <w:p w14:paraId="7F270DE1" w14:textId="77777777" w:rsidR="00CF7F58" w:rsidRPr="00887835" w:rsidRDefault="00CF7F58" w:rsidP="003764A0">
            <w:pPr>
              <w:pStyle w:val="EMEANormal"/>
              <w:keepNext/>
              <w:rPr>
                <w:lang w:val="nb-NO"/>
              </w:rPr>
            </w:pPr>
          </w:p>
          <w:p w14:paraId="184C7BCF" w14:textId="77777777" w:rsidR="00CF7F58" w:rsidRPr="00887835"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Dra</w:t>
            </w:r>
            <w:r>
              <w:rPr>
                <w:rFonts w:ascii="Times New Roman" w:hAnsi="Times New Roman"/>
                <w:b w:val="0"/>
                <w:lang w:val="nb-NO"/>
              </w:rPr>
              <w:t xml:space="preserve"> den</w:t>
            </w:r>
            <w:r w:rsidRPr="00887835">
              <w:rPr>
                <w:rFonts w:ascii="Times New Roman" w:hAnsi="Times New Roman"/>
                <w:b w:val="0"/>
                <w:lang w:val="nb-NO"/>
              </w:rPr>
              <w:t xml:space="preserve"> plommefarge</w:t>
            </w:r>
            <w:r>
              <w:rPr>
                <w:rFonts w:ascii="Times New Roman" w:hAnsi="Times New Roman"/>
                <w:b w:val="0"/>
                <w:lang w:val="nb-NO"/>
              </w:rPr>
              <w:t xml:space="preserve">de </w:t>
            </w:r>
            <w:r w:rsidRPr="00887835">
              <w:rPr>
                <w:rFonts w:ascii="Times New Roman" w:hAnsi="Times New Roman"/>
                <w:b w:val="0"/>
                <w:lang w:val="nb-NO"/>
              </w:rPr>
              <w:t>hette</w:t>
            </w:r>
            <w:r>
              <w:rPr>
                <w:rFonts w:ascii="Times New Roman" w:hAnsi="Times New Roman"/>
                <w:b w:val="0"/>
                <w:lang w:val="nb-NO"/>
              </w:rPr>
              <w:t>n</w:t>
            </w:r>
            <w:r w:rsidRPr="00887835">
              <w:rPr>
                <w:rFonts w:ascii="Times New Roman" w:hAnsi="Times New Roman"/>
                <w:b w:val="0"/>
                <w:lang w:val="nb-NO"/>
              </w:rPr>
              <w:t xml:space="preserve"> 2 rett av. </w:t>
            </w:r>
            <w:r w:rsidRPr="00356150">
              <w:rPr>
                <w:rFonts w:ascii="Times New Roman" w:hAnsi="Times New Roman"/>
                <w:b w:val="0"/>
                <w:lang w:val="nb-NO"/>
              </w:rPr>
              <w:t xml:space="preserve">Kast hetten. </w:t>
            </w:r>
            <w:r w:rsidRPr="00AB7697">
              <w:rPr>
                <w:rFonts w:ascii="Times New Roman" w:hAnsi="Times New Roman"/>
                <w:lang w:val="nb-NO"/>
              </w:rPr>
              <w:t>Ikke</w:t>
            </w:r>
            <w:r w:rsidRPr="00356150">
              <w:rPr>
                <w:rFonts w:ascii="Times New Roman" w:hAnsi="Times New Roman"/>
                <w:b w:val="0"/>
                <w:lang w:val="nb-NO"/>
              </w:rPr>
              <w:t xml:space="preserve"> sett hetten tilbake på plass igjen.</w:t>
            </w:r>
          </w:p>
          <w:p w14:paraId="49366C78" w14:textId="77777777" w:rsidR="00CF7F58" w:rsidRPr="00887835" w:rsidRDefault="00CF7F58" w:rsidP="003764A0">
            <w:pPr>
              <w:pStyle w:val="EMEANormal"/>
              <w:keepNext/>
              <w:rPr>
                <w:lang w:val="nb-NO"/>
              </w:rPr>
            </w:pPr>
          </w:p>
          <w:p w14:paraId="47EC213E" w14:textId="77777777" w:rsidR="00CF7F58" w:rsidRPr="00887835" w:rsidRDefault="00E453CD" w:rsidP="003764A0">
            <w:pPr>
              <w:pStyle w:val="EMEANormal"/>
              <w:keepNext/>
              <w:rPr>
                <w:lang w:val="nb-NO"/>
              </w:rPr>
            </w:pPr>
            <w:r w:rsidRPr="00887835">
              <w:rPr>
                <w:lang w:val="nb-NO"/>
              </w:rPr>
              <w:t>Den ferdigfylte pennen er nå klar til bruk.</w:t>
            </w:r>
          </w:p>
          <w:p w14:paraId="48C425B5" w14:textId="77777777" w:rsidR="00CF7F58" w:rsidRPr="00887835" w:rsidRDefault="00CF7F58" w:rsidP="003764A0">
            <w:pPr>
              <w:pStyle w:val="EMEANormal"/>
              <w:keepNext/>
              <w:rPr>
                <w:lang w:val="nb-NO"/>
              </w:rPr>
            </w:pPr>
          </w:p>
          <w:p w14:paraId="27E776F5" w14:textId="77777777" w:rsidR="00CF7F58" w:rsidRPr="00887835" w:rsidRDefault="00E453CD" w:rsidP="003764A0">
            <w:pPr>
              <w:pStyle w:val="EMEANormal"/>
              <w:keepNext/>
              <w:rPr>
                <w:lang w:val="nb-NO"/>
              </w:rPr>
            </w:pPr>
            <w:r w:rsidRPr="00887835">
              <w:rPr>
                <w:lang w:val="nb-NO"/>
              </w:rPr>
              <w:t>Snu den ferdigfylte pennen slik at den hvite pilen peker mot injeksjonsstedet.</w:t>
            </w:r>
          </w:p>
        </w:tc>
      </w:tr>
      <w:tr w:rsidR="004644D4" w14:paraId="7363FF74" w14:textId="77777777" w:rsidTr="003719E4">
        <w:tc>
          <w:tcPr>
            <w:tcW w:w="3708" w:type="dxa"/>
            <w:tcBorders>
              <w:right w:val="nil"/>
            </w:tcBorders>
          </w:tcPr>
          <w:p w14:paraId="1703B62E" w14:textId="77777777" w:rsidR="00CF7F58" w:rsidRPr="00C2309F" w:rsidRDefault="00E453CD" w:rsidP="003719E4">
            <w:pPr>
              <w:pStyle w:val="EMEANormal"/>
              <w:keepNext/>
              <w:rPr>
                <w:b/>
                <w:noProof/>
              </w:rPr>
            </w:pPr>
            <w:r>
              <w:rPr>
                <w:b/>
                <w:noProof/>
              </w:rPr>
              <w:t>STEG</w:t>
            </w:r>
            <w:r w:rsidRPr="00C2309F">
              <w:rPr>
                <w:b/>
                <w:noProof/>
              </w:rPr>
              <w:t xml:space="preserve"> 6</w:t>
            </w:r>
          </w:p>
          <w:p w14:paraId="0470C22E" w14:textId="77777777" w:rsidR="00CF7F58" w:rsidRPr="005D17EB" w:rsidRDefault="00E453CD" w:rsidP="003719E4">
            <w:pPr>
              <w:pStyle w:val="EMEANormal"/>
              <w:keepNext/>
              <w:rPr>
                <w:lang w:val="en-GB"/>
              </w:rPr>
            </w:pPr>
            <w:r>
              <w:rPr>
                <w:noProof/>
                <w:lang w:val="en-GB" w:eastAsia="en-GB"/>
              </w:rPr>
              <w:drawing>
                <wp:inline distT="0" distB="0" distL="0" distR="0" wp14:anchorId="671D270C" wp14:editId="646FEE45">
                  <wp:extent cx="2257425" cy="2143125"/>
                  <wp:effectExtent l="0" t="0" r="9525" b="9525"/>
                  <wp:docPr id="41" name="Picture 41"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8" descr="STEP6_grey"/>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257425" cy="2143125"/>
                          </a:xfrm>
                          <a:prstGeom prst="rect">
                            <a:avLst/>
                          </a:prstGeom>
                          <a:noFill/>
                          <a:ln>
                            <a:noFill/>
                          </a:ln>
                        </pic:spPr>
                      </pic:pic>
                    </a:graphicData>
                  </a:graphic>
                </wp:inline>
              </w:drawing>
            </w:r>
          </w:p>
        </w:tc>
        <w:tc>
          <w:tcPr>
            <w:tcW w:w="5579" w:type="dxa"/>
            <w:tcBorders>
              <w:left w:val="nil"/>
            </w:tcBorders>
          </w:tcPr>
          <w:p w14:paraId="74D60C6A" w14:textId="77777777" w:rsidR="00CF7F58" w:rsidRDefault="00CF7F58" w:rsidP="003719E4">
            <w:pPr>
              <w:pStyle w:val="EMEAHeadingLeaflet"/>
              <w:keepNext/>
              <w:spacing w:beforeLines="0" w:before="0" w:afterLines="0" w:after="0"/>
              <w:rPr>
                <w:rFonts w:ascii="Times New Roman" w:hAnsi="Times New Roman"/>
                <w:b w:val="0"/>
                <w:lang w:val="en-GB"/>
              </w:rPr>
            </w:pPr>
          </w:p>
          <w:p w14:paraId="52A73711" w14:textId="77777777" w:rsidR="00BC2240" w:rsidRPr="00BC2240" w:rsidRDefault="00E453CD" w:rsidP="00BC2240">
            <w:pPr>
              <w:pStyle w:val="EMEAHeadingLeaflet"/>
              <w:keepNext/>
              <w:spacing w:beforeLines="0" w:before="0" w:afterLines="0" w:after="0"/>
              <w:rPr>
                <w:lang w:val="nb-NO"/>
              </w:rPr>
            </w:pPr>
            <w:r w:rsidRPr="00BC2240">
              <w:rPr>
                <w:rFonts w:ascii="Times New Roman" w:hAnsi="Times New Roman"/>
                <w:b w:val="0"/>
                <w:lang w:val="nb-NO"/>
              </w:rPr>
              <w:t>Klem huden på injeksjonsstedet med den andre hånden din for å fremheve området og hold godt fast i den helt til injeksjonen er ferdig.</w:t>
            </w:r>
          </w:p>
          <w:p w14:paraId="73F86B0D" w14:textId="77777777" w:rsidR="00CF7F58" w:rsidRPr="00BC2240" w:rsidRDefault="00CF7F58" w:rsidP="003719E4">
            <w:pPr>
              <w:pStyle w:val="EMEANormal"/>
              <w:keepNext/>
              <w:rPr>
                <w:lang w:val="nb-NO"/>
              </w:rPr>
            </w:pPr>
          </w:p>
          <w:p w14:paraId="1C2FD6CC" w14:textId="77777777" w:rsidR="00CF7F58" w:rsidRPr="000C7E55" w:rsidRDefault="00E453CD" w:rsidP="003719E4">
            <w:pPr>
              <w:pStyle w:val="EMEAHeadingLeaflet"/>
              <w:keepNext/>
              <w:spacing w:beforeLines="0" w:before="0" w:afterLines="0" w:after="0"/>
              <w:rPr>
                <w:rFonts w:ascii="Times New Roman" w:hAnsi="Times New Roman"/>
                <w:b w:val="0"/>
                <w:lang w:val="nb-NO"/>
              </w:rPr>
            </w:pPr>
            <w:r w:rsidRPr="000C7E55">
              <w:rPr>
                <w:rFonts w:ascii="Times New Roman" w:hAnsi="Times New Roman"/>
                <w:b w:val="0"/>
                <w:lang w:val="nb-NO"/>
              </w:rPr>
              <w:t>Pek den hvite pilen mot injeksjonsstedet (lår eller mage).</w:t>
            </w:r>
          </w:p>
          <w:p w14:paraId="72501A5C" w14:textId="77777777" w:rsidR="00CF7F58" w:rsidRPr="000C7E55" w:rsidRDefault="00CF7F58" w:rsidP="003719E4">
            <w:pPr>
              <w:pStyle w:val="EMEANormal"/>
              <w:keepNext/>
              <w:rPr>
                <w:lang w:val="nb-NO"/>
              </w:rPr>
            </w:pPr>
          </w:p>
          <w:p w14:paraId="06103BDA" w14:textId="77777777" w:rsidR="00CF7F58" w:rsidRPr="00887835" w:rsidRDefault="00E453CD" w:rsidP="003719E4">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Pl</w:t>
            </w:r>
            <w:r>
              <w:rPr>
                <w:rFonts w:ascii="Times New Roman" w:hAnsi="Times New Roman"/>
                <w:b w:val="0"/>
                <w:lang w:val="nb-NO"/>
              </w:rPr>
              <w:t xml:space="preserve">asser den hvite </w:t>
            </w:r>
            <w:r w:rsidR="008138BF">
              <w:rPr>
                <w:rFonts w:ascii="Times New Roman" w:hAnsi="Times New Roman"/>
                <w:b w:val="0"/>
                <w:lang w:val="nb-NO"/>
              </w:rPr>
              <w:t>kanyle</w:t>
            </w:r>
            <w:r>
              <w:rPr>
                <w:rFonts w:ascii="Times New Roman" w:hAnsi="Times New Roman"/>
                <w:b w:val="0"/>
                <w:lang w:val="nb-NO"/>
              </w:rPr>
              <w:t>beskyttelsen</w:t>
            </w:r>
            <w:r w:rsidRPr="00887835">
              <w:rPr>
                <w:rFonts w:ascii="Times New Roman" w:hAnsi="Times New Roman"/>
                <w:b w:val="0"/>
                <w:lang w:val="nb-NO"/>
              </w:rPr>
              <w:t xml:space="preserve"> </w:t>
            </w:r>
            <w:r>
              <w:rPr>
                <w:rFonts w:ascii="Times New Roman" w:hAnsi="Times New Roman"/>
                <w:b w:val="0"/>
                <w:lang w:val="nb-NO"/>
              </w:rPr>
              <w:t xml:space="preserve">med </w:t>
            </w:r>
            <w:r w:rsidRPr="00887835">
              <w:rPr>
                <w:rFonts w:ascii="Times New Roman" w:hAnsi="Times New Roman"/>
                <w:b w:val="0"/>
                <w:lang w:val="nb-NO"/>
              </w:rPr>
              <w:t xml:space="preserve">rett </w:t>
            </w:r>
            <w:r>
              <w:rPr>
                <w:rFonts w:ascii="Times New Roman" w:hAnsi="Times New Roman"/>
                <w:b w:val="0"/>
                <w:lang w:val="nb-NO"/>
              </w:rPr>
              <w:t xml:space="preserve">vinkel </w:t>
            </w:r>
            <w:r>
              <w:rPr>
                <w:rFonts w:ascii="Times New Roman" w:hAnsi="Times New Roman"/>
                <w:lang w:val="nb-NO"/>
              </w:rPr>
              <w:t>(90</w:t>
            </w:r>
            <w:r w:rsidRPr="00887835">
              <w:rPr>
                <w:rFonts w:ascii="Times New Roman" w:hAnsi="Times New Roman"/>
                <w:lang w:val="nb-NO"/>
              </w:rPr>
              <w:t xml:space="preserve"> grader)</w:t>
            </w:r>
            <w:r w:rsidRPr="00887835">
              <w:rPr>
                <w:rFonts w:ascii="Times New Roman" w:hAnsi="Times New Roman"/>
                <w:b w:val="0"/>
                <w:lang w:val="nb-NO"/>
              </w:rPr>
              <w:t xml:space="preserve"> </w:t>
            </w:r>
            <w:r w:rsidRPr="00DD35C8">
              <w:rPr>
                <w:rFonts w:ascii="Times New Roman" w:hAnsi="Times New Roman"/>
                <w:b w:val="0"/>
                <w:lang w:val="nb-NO"/>
              </w:rPr>
              <w:t>mot</w:t>
            </w:r>
            <w:r w:rsidRPr="003166B5">
              <w:rPr>
                <w:rFonts w:ascii="Times New Roman" w:hAnsi="Times New Roman"/>
                <w:b w:val="0"/>
                <w:lang w:val="nb-NO"/>
              </w:rPr>
              <w:t xml:space="preserve"> </w:t>
            </w:r>
            <w:r>
              <w:rPr>
                <w:rFonts w:ascii="Times New Roman" w:hAnsi="Times New Roman"/>
                <w:b w:val="0"/>
                <w:lang w:val="nb-NO"/>
              </w:rPr>
              <w:t>injeksjonsstedet</w:t>
            </w:r>
            <w:r w:rsidRPr="00887835">
              <w:rPr>
                <w:rFonts w:ascii="Times New Roman" w:hAnsi="Times New Roman"/>
                <w:b w:val="0"/>
                <w:lang w:val="nb-NO"/>
              </w:rPr>
              <w:t>.</w:t>
            </w:r>
          </w:p>
          <w:p w14:paraId="37D4DA8F" w14:textId="77777777" w:rsidR="00CF7F58" w:rsidRPr="00887835" w:rsidRDefault="00CF7F58" w:rsidP="003719E4">
            <w:pPr>
              <w:pStyle w:val="EMEANormal"/>
              <w:keepNext/>
              <w:rPr>
                <w:lang w:val="nb-NO"/>
              </w:rPr>
            </w:pPr>
          </w:p>
          <w:p w14:paraId="7BD17AE9" w14:textId="77777777" w:rsidR="00CF7F58" w:rsidRDefault="00E453CD" w:rsidP="003719E4">
            <w:pPr>
              <w:pStyle w:val="EMEANormal"/>
              <w:keepNext/>
              <w:rPr>
                <w:lang w:val="nb-NO"/>
              </w:rPr>
            </w:pPr>
            <w:r w:rsidRPr="00887835">
              <w:rPr>
                <w:lang w:val="nb-NO"/>
              </w:rPr>
              <w:t>Hold</w:t>
            </w:r>
            <w:r w:rsidRPr="00887835">
              <w:rPr>
                <w:b/>
                <w:lang w:val="nb-NO"/>
              </w:rPr>
              <w:t xml:space="preserve"> </w:t>
            </w:r>
            <w:r w:rsidRPr="00887835">
              <w:rPr>
                <w:lang w:val="nb-NO"/>
              </w:rPr>
              <w:t>den ferdigfylte pennen slik at du kan se inspeksjonsvinduet.</w:t>
            </w:r>
          </w:p>
          <w:p w14:paraId="2E652A1E" w14:textId="77777777" w:rsidR="00A567CE" w:rsidRDefault="00A567CE" w:rsidP="003719E4">
            <w:pPr>
              <w:pStyle w:val="EMEANormal"/>
              <w:keepNext/>
              <w:rPr>
                <w:lang w:val="nb-NO"/>
              </w:rPr>
            </w:pPr>
          </w:p>
          <w:p w14:paraId="7A0D82E8" w14:textId="77777777" w:rsidR="00A567CE" w:rsidRPr="00887835" w:rsidRDefault="00E453CD" w:rsidP="003719E4">
            <w:pPr>
              <w:pStyle w:val="EMEANormal"/>
              <w:keepNext/>
              <w:rPr>
                <w:lang w:val="nb-NO"/>
              </w:rPr>
            </w:pPr>
            <w:r w:rsidRPr="00FC1C11">
              <w:rPr>
                <w:b/>
                <w:lang w:val="nb-NO"/>
              </w:rPr>
              <w:t>Ikke</w:t>
            </w:r>
            <w:r>
              <w:rPr>
                <w:lang w:val="nb-NO"/>
              </w:rPr>
              <w:t xml:space="preserve"> press den plommefargede aktiveringsknappen før du er klar til å sette injeksjonen.</w:t>
            </w:r>
          </w:p>
        </w:tc>
      </w:tr>
      <w:tr w:rsidR="004644D4" w14:paraId="69BC6309" w14:textId="77777777" w:rsidTr="003719E4">
        <w:tc>
          <w:tcPr>
            <w:tcW w:w="3708" w:type="dxa"/>
            <w:tcBorders>
              <w:right w:val="nil"/>
            </w:tcBorders>
          </w:tcPr>
          <w:p w14:paraId="5E4C0B09" w14:textId="77777777" w:rsidR="00CF7F58" w:rsidRDefault="00E453CD" w:rsidP="003719E4">
            <w:pPr>
              <w:pStyle w:val="EMEANormal"/>
              <w:jc w:val="both"/>
              <w:rPr>
                <w:b/>
                <w:noProof/>
              </w:rPr>
            </w:pPr>
            <w:r>
              <w:rPr>
                <w:b/>
                <w:noProof/>
              </w:rPr>
              <w:t>STEG 7</w:t>
            </w:r>
          </w:p>
          <w:p w14:paraId="265048E3" w14:textId="77777777" w:rsidR="00CF7F58" w:rsidRDefault="00CF7F58" w:rsidP="003719E4">
            <w:pPr>
              <w:pStyle w:val="EMEANormal"/>
              <w:jc w:val="both"/>
              <w:rPr>
                <w:b/>
                <w:noProof/>
              </w:rPr>
            </w:pPr>
          </w:p>
          <w:p w14:paraId="71090687" w14:textId="77777777" w:rsidR="00CF7F58" w:rsidRPr="00EA39A4" w:rsidRDefault="00E453CD" w:rsidP="003719E4">
            <w:pPr>
              <w:pStyle w:val="EMEANormal"/>
              <w:rPr>
                <w:b/>
                <w:noProof/>
              </w:rPr>
            </w:pPr>
            <w:r>
              <w:rPr>
                <w:b/>
                <w:noProof/>
              </w:rPr>
              <w:t xml:space="preserve">                      </w:t>
            </w:r>
            <w:r w:rsidRPr="00EA39A4">
              <w:rPr>
                <w:b/>
                <w:noProof/>
              </w:rPr>
              <w:t xml:space="preserve">   </w:t>
            </w:r>
            <w:r>
              <w:rPr>
                <w:b/>
                <w:noProof/>
              </w:rPr>
              <w:t xml:space="preserve">    15 sekunder</w:t>
            </w:r>
            <w:r w:rsidRPr="00EA39A4">
              <w:rPr>
                <w:b/>
                <w:noProof/>
              </w:rPr>
              <w:t xml:space="preserve">                         </w:t>
            </w:r>
            <w:r>
              <w:rPr>
                <w:b/>
                <w:noProof/>
              </w:rPr>
              <w:t xml:space="preserve">    </w:t>
            </w:r>
          </w:p>
          <w:p w14:paraId="024C4FA0" w14:textId="77777777" w:rsidR="00CF7F58" w:rsidRPr="008B4D33" w:rsidRDefault="00E453CD" w:rsidP="003719E4">
            <w:pPr>
              <w:pStyle w:val="EMEANormal"/>
              <w:rPr>
                <w:noProof/>
              </w:rPr>
            </w:pPr>
            <w:r>
              <w:rPr>
                <w:noProof/>
                <w:lang w:val="en-GB" w:eastAsia="en-GB"/>
              </w:rPr>
              <w:drawing>
                <wp:inline distT="0" distB="0" distL="0" distR="0" wp14:anchorId="3514B106" wp14:editId="75D7F27E">
                  <wp:extent cx="2209800" cy="2762250"/>
                  <wp:effectExtent l="0" t="0" r="0" b="0"/>
                  <wp:docPr id="89" name="Picture 89"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2" descr="STEP7a_grey"/>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2209800" cy="2762250"/>
                          </a:xfrm>
                          <a:prstGeom prst="rect">
                            <a:avLst/>
                          </a:prstGeom>
                          <a:noFill/>
                          <a:ln>
                            <a:noFill/>
                          </a:ln>
                        </pic:spPr>
                      </pic:pic>
                    </a:graphicData>
                  </a:graphic>
                </wp:inline>
              </w:drawing>
            </w:r>
          </w:p>
        </w:tc>
        <w:tc>
          <w:tcPr>
            <w:tcW w:w="5579" w:type="dxa"/>
            <w:tcBorders>
              <w:left w:val="nil"/>
            </w:tcBorders>
          </w:tcPr>
          <w:p w14:paraId="449753DD" w14:textId="77777777" w:rsidR="00CF7F58" w:rsidRDefault="00CF7F58" w:rsidP="003719E4">
            <w:pPr>
              <w:pStyle w:val="EMEAHeadingLeaflet"/>
              <w:keepNext/>
              <w:spacing w:beforeLines="0" w:before="0" w:afterLines="0" w:after="0"/>
              <w:rPr>
                <w:rFonts w:ascii="Times New Roman" w:hAnsi="Times New Roman"/>
                <w:lang w:val="en-GB"/>
              </w:rPr>
            </w:pPr>
          </w:p>
          <w:p w14:paraId="7C791B9A" w14:textId="77777777" w:rsidR="00A567CE" w:rsidRDefault="00E453CD" w:rsidP="00A567CE">
            <w:pPr>
              <w:pStyle w:val="EMEAHeadingLeaflet"/>
              <w:keepNext/>
              <w:spacing w:beforeLines="0" w:before="0" w:afterLines="0" w:after="0"/>
              <w:rPr>
                <w:rFonts w:ascii="Times New Roman" w:hAnsi="Times New Roman"/>
                <w:b w:val="0"/>
                <w:lang w:val="nb-NO"/>
              </w:rPr>
            </w:pPr>
            <w:r w:rsidRPr="00887835">
              <w:rPr>
                <w:rFonts w:ascii="Times New Roman" w:hAnsi="Times New Roman"/>
                <w:lang w:val="nb-NO"/>
              </w:rPr>
              <w:t xml:space="preserve">Press </w:t>
            </w:r>
            <w:r>
              <w:rPr>
                <w:rFonts w:ascii="Times New Roman" w:hAnsi="Times New Roman"/>
                <w:lang w:val="nb-NO"/>
              </w:rPr>
              <w:t xml:space="preserve">bestemt </w:t>
            </w:r>
            <w:r w:rsidRPr="00FC1C11">
              <w:rPr>
                <w:rFonts w:ascii="Times New Roman" w:hAnsi="Times New Roman"/>
                <w:lang w:val="nb-NO"/>
              </w:rPr>
              <w:t>den ferdigfylte pennen inn</w:t>
            </w:r>
            <w:r>
              <w:rPr>
                <w:rFonts w:ascii="Times New Roman" w:hAnsi="Times New Roman"/>
                <w:b w:val="0"/>
                <w:lang w:val="nb-NO"/>
              </w:rPr>
              <w:t xml:space="preserve"> </w:t>
            </w:r>
            <w:r w:rsidRPr="00887835">
              <w:rPr>
                <w:rFonts w:ascii="Times New Roman" w:hAnsi="Times New Roman"/>
                <w:b w:val="0"/>
                <w:lang w:val="nb-NO"/>
              </w:rPr>
              <w:t>mot injeksjo</w:t>
            </w:r>
            <w:r>
              <w:rPr>
                <w:rFonts w:ascii="Times New Roman" w:hAnsi="Times New Roman"/>
                <w:b w:val="0"/>
                <w:lang w:val="nb-NO"/>
              </w:rPr>
              <w:t>n</w:t>
            </w:r>
            <w:r w:rsidRPr="00887835">
              <w:rPr>
                <w:rFonts w:ascii="Times New Roman" w:hAnsi="Times New Roman"/>
                <w:b w:val="0"/>
                <w:lang w:val="nb-NO"/>
              </w:rPr>
              <w:t>sstedet</w:t>
            </w:r>
            <w:r>
              <w:rPr>
                <w:rFonts w:ascii="Times New Roman" w:hAnsi="Times New Roman"/>
                <w:b w:val="0"/>
                <w:lang w:val="nb-NO"/>
              </w:rPr>
              <w:t xml:space="preserve"> før du starter injeksjonen</w:t>
            </w:r>
            <w:r w:rsidRPr="00887835">
              <w:rPr>
                <w:rFonts w:ascii="Times New Roman" w:hAnsi="Times New Roman"/>
                <w:b w:val="0"/>
                <w:lang w:val="nb-NO"/>
              </w:rPr>
              <w:t>.</w:t>
            </w:r>
            <w:r>
              <w:rPr>
                <w:rFonts w:ascii="Times New Roman" w:hAnsi="Times New Roman"/>
                <w:b w:val="0"/>
                <w:lang w:val="nb-NO"/>
              </w:rPr>
              <w:t xml:space="preserve"> </w:t>
            </w:r>
          </w:p>
          <w:p w14:paraId="4D24DD61" w14:textId="77777777" w:rsidR="00CF7F58" w:rsidRPr="00887835" w:rsidRDefault="00E453CD" w:rsidP="00A567CE">
            <w:pPr>
              <w:pStyle w:val="EMEAHeadingLeaflet"/>
              <w:keepNext/>
              <w:spacing w:beforeLines="0" w:before="0" w:afterLines="0" w:after="0"/>
              <w:rPr>
                <w:rFonts w:ascii="Times New Roman" w:hAnsi="Times New Roman"/>
                <w:b w:val="0"/>
                <w:lang w:val="nb-NO"/>
              </w:rPr>
            </w:pPr>
            <w:r w:rsidRPr="00FC1C11">
              <w:rPr>
                <w:rFonts w:ascii="Times New Roman" w:hAnsi="Times New Roman"/>
                <w:lang w:val="nb-NO"/>
              </w:rPr>
              <w:t>Fortsett å presse</w:t>
            </w:r>
            <w:r>
              <w:rPr>
                <w:rFonts w:ascii="Times New Roman" w:hAnsi="Times New Roman"/>
                <w:b w:val="0"/>
                <w:lang w:val="nb-NO"/>
              </w:rPr>
              <w:t xml:space="preserve"> inn for å hindre at den ferdigfylte pennen beveger seg bort fra huden når injeksjonen settes.</w:t>
            </w:r>
          </w:p>
          <w:p w14:paraId="1A4DA496" w14:textId="77777777" w:rsidR="00CF7F58" w:rsidRPr="00887835" w:rsidRDefault="00CF7F58" w:rsidP="003719E4">
            <w:pPr>
              <w:pStyle w:val="EMEANormal"/>
              <w:rPr>
                <w:lang w:val="nb-NO"/>
              </w:rPr>
            </w:pPr>
          </w:p>
          <w:p w14:paraId="2FAFD9DF" w14:textId="77777777" w:rsidR="00CF7F58" w:rsidRPr="00887835" w:rsidRDefault="00E453CD" w:rsidP="003719E4">
            <w:pPr>
              <w:pStyle w:val="EMEAHeadingLeaflet"/>
              <w:keepNext/>
              <w:spacing w:beforeLines="0" w:before="0" w:afterLines="0" w:after="0"/>
              <w:rPr>
                <w:rFonts w:ascii="Times New Roman" w:hAnsi="Times New Roman"/>
                <w:b w:val="0"/>
                <w:lang w:val="nb-NO"/>
              </w:rPr>
            </w:pPr>
            <w:r w:rsidRPr="00887835">
              <w:rPr>
                <w:rFonts w:ascii="Times New Roman" w:hAnsi="Times New Roman"/>
                <w:lang w:val="nb-NO"/>
              </w:rPr>
              <w:t>Press</w:t>
            </w:r>
            <w:r w:rsidRPr="00887835">
              <w:rPr>
                <w:rFonts w:ascii="Times New Roman" w:hAnsi="Times New Roman"/>
                <w:b w:val="0"/>
                <w:lang w:val="nb-NO"/>
              </w:rPr>
              <w:t xml:space="preserve"> den plommefargede aktiveringsknappen og tell sakte i </w:t>
            </w:r>
            <w:r>
              <w:rPr>
                <w:rFonts w:ascii="Times New Roman" w:hAnsi="Times New Roman"/>
                <w:lang w:val="nb-NO"/>
              </w:rPr>
              <w:t>15</w:t>
            </w:r>
            <w:r w:rsidRPr="00887835">
              <w:rPr>
                <w:rFonts w:ascii="Times New Roman" w:hAnsi="Times New Roman"/>
                <w:lang w:val="nb-NO"/>
              </w:rPr>
              <w:t xml:space="preserve"> </w:t>
            </w:r>
            <w:r w:rsidRPr="00887835">
              <w:rPr>
                <w:rFonts w:ascii="Times New Roman" w:hAnsi="Times New Roman"/>
                <w:b w:val="0"/>
                <w:lang w:val="nb-NO"/>
              </w:rPr>
              <w:t>sekunder.</w:t>
            </w:r>
          </w:p>
          <w:p w14:paraId="08460F84" w14:textId="77777777" w:rsidR="00CF7F58" w:rsidRPr="00887835" w:rsidRDefault="00CF7F58" w:rsidP="003719E4">
            <w:pPr>
              <w:pStyle w:val="EMEANormal"/>
              <w:rPr>
                <w:lang w:val="nb-NO"/>
              </w:rPr>
            </w:pPr>
          </w:p>
          <w:p w14:paraId="02CDE3B8" w14:textId="77777777" w:rsidR="00CF7F58" w:rsidRPr="00887835" w:rsidRDefault="00E453CD" w:rsidP="003719E4">
            <w:pPr>
              <w:pStyle w:val="EMEAHeadingLeaflet"/>
              <w:keepNext/>
              <w:numPr>
                <w:ilvl w:val="0"/>
                <w:numId w:val="120"/>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b w:val="0"/>
                <w:lang w:val="nb-NO"/>
              </w:rPr>
              <w:t xml:space="preserve">Et høyt </w:t>
            </w:r>
            <w:r w:rsidR="00D57009">
              <w:rPr>
                <w:rFonts w:ascii="Times New Roman" w:hAnsi="Times New Roman"/>
                <w:lang w:val="nb-NO"/>
              </w:rPr>
              <w:t>«</w:t>
            </w:r>
            <w:r w:rsidRPr="00887835">
              <w:rPr>
                <w:rFonts w:ascii="Times New Roman" w:hAnsi="Times New Roman"/>
                <w:lang w:val="nb-NO"/>
              </w:rPr>
              <w:t>klikk</w:t>
            </w:r>
            <w:r w:rsidR="00D57009">
              <w:rPr>
                <w:rFonts w:ascii="Times New Roman" w:hAnsi="Times New Roman"/>
                <w:lang w:val="nb-NO"/>
              </w:rPr>
              <w:t>»</w:t>
            </w:r>
            <w:r w:rsidRPr="00887835">
              <w:rPr>
                <w:rFonts w:ascii="Times New Roman" w:hAnsi="Times New Roman"/>
                <w:b w:val="0"/>
                <w:lang w:val="nb-NO"/>
              </w:rPr>
              <w:t xml:space="preserve"> vil signalisere at injeksjonen har startet</w:t>
            </w:r>
          </w:p>
          <w:p w14:paraId="2FA5B621" w14:textId="77777777" w:rsidR="00CF7F58" w:rsidRPr="00887835" w:rsidRDefault="00E453CD" w:rsidP="003719E4">
            <w:pPr>
              <w:pStyle w:val="EMEAHeadingLeaflet"/>
              <w:keepNext/>
              <w:numPr>
                <w:ilvl w:val="0"/>
                <w:numId w:val="120"/>
              </w:numPr>
              <w:tabs>
                <w:tab w:val="clear" w:pos="562"/>
                <w:tab w:val="left" w:pos="757"/>
              </w:tabs>
              <w:spacing w:beforeLines="0" w:before="0" w:afterLines="0" w:after="0"/>
              <w:ind w:left="757"/>
              <w:rPr>
                <w:rFonts w:ascii="Times New Roman" w:hAnsi="Times New Roman"/>
                <w:b w:val="0"/>
                <w:lang w:val="nb-NO"/>
              </w:rPr>
            </w:pPr>
            <w:r w:rsidRPr="00887835">
              <w:rPr>
                <w:rFonts w:ascii="Times New Roman" w:hAnsi="Times New Roman"/>
                <w:lang w:val="nb-NO"/>
              </w:rPr>
              <w:t xml:space="preserve">Fortsett å presse </w:t>
            </w:r>
            <w:r w:rsidRPr="00887835">
              <w:rPr>
                <w:rFonts w:ascii="Times New Roman" w:hAnsi="Times New Roman"/>
                <w:b w:val="0"/>
                <w:lang w:val="nb-NO"/>
              </w:rPr>
              <w:t xml:space="preserve">den ferdigfylte pennen </w:t>
            </w:r>
            <w:r w:rsidR="00A567CE" w:rsidRPr="00FC1C11">
              <w:rPr>
                <w:rFonts w:ascii="Times New Roman" w:hAnsi="Times New Roman"/>
                <w:lang w:val="nb-NO"/>
              </w:rPr>
              <w:t>bestemt</w:t>
            </w:r>
            <w:r w:rsidR="00A567CE">
              <w:rPr>
                <w:rFonts w:ascii="Times New Roman" w:hAnsi="Times New Roman"/>
                <w:b w:val="0"/>
                <w:lang w:val="nb-NO"/>
              </w:rPr>
              <w:t xml:space="preserve"> inn </w:t>
            </w:r>
            <w:r w:rsidR="00A567CE" w:rsidRPr="00887835">
              <w:rPr>
                <w:rFonts w:ascii="Times New Roman" w:hAnsi="Times New Roman"/>
                <w:b w:val="0"/>
                <w:lang w:val="nb-NO"/>
              </w:rPr>
              <w:t xml:space="preserve">mot injeksjonsstedet </w:t>
            </w:r>
            <w:r w:rsidR="00A567CE">
              <w:rPr>
                <w:rFonts w:ascii="Times New Roman" w:hAnsi="Times New Roman"/>
                <w:b w:val="0"/>
                <w:lang w:val="nb-NO"/>
              </w:rPr>
              <w:t>helt til injeksjonen er ferdig.</w:t>
            </w:r>
            <w:r w:rsidRPr="00887835">
              <w:rPr>
                <w:rFonts w:ascii="Times New Roman" w:hAnsi="Times New Roman"/>
                <w:b w:val="0"/>
                <w:lang w:val="nb-NO"/>
              </w:rPr>
              <w:t xml:space="preserve"> </w:t>
            </w:r>
          </w:p>
          <w:p w14:paraId="0348D0E2" w14:textId="77777777" w:rsidR="00CF7F58" w:rsidRPr="00887835" w:rsidRDefault="00CF7F58" w:rsidP="003719E4">
            <w:pPr>
              <w:pStyle w:val="EMEANormal"/>
              <w:rPr>
                <w:lang w:val="nb-NO"/>
              </w:rPr>
            </w:pPr>
          </w:p>
          <w:p w14:paraId="1B821DC2" w14:textId="77777777" w:rsidR="00CF7F58" w:rsidRPr="00887835" w:rsidRDefault="00E453CD" w:rsidP="003719E4">
            <w:pPr>
              <w:pStyle w:val="EMEANormal"/>
              <w:rPr>
                <w:lang w:val="nb-NO"/>
              </w:rPr>
            </w:pPr>
            <w:r w:rsidRPr="00887835">
              <w:rPr>
                <w:lang w:val="nb-NO"/>
              </w:rPr>
              <w:t>Injeksjonen er ferdig når den gule indikatoren har sluttet å bevege seg.</w:t>
            </w:r>
          </w:p>
        </w:tc>
      </w:tr>
      <w:tr w:rsidR="004644D4" w14:paraId="38E99FDA" w14:textId="77777777" w:rsidTr="003719E4">
        <w:tc>
          <w:tcPr>
            <w:tcW w:w="3708" w:type="dxa"/>
            <w:tcBorders>
              <w:right w:val="nil"/>
            </w:tcBorders>
          </w:tcPr>
          <w:p w14:paraId="7B302CA7" w14:textId="77777777" w:rsidR="00CF7F58" w:rsidRDefault="00E453CD" w:rsidP="003764A0">
            <w:pPr>
              <w:pStyle w:val="EMEANormal"/>
              <w:keepNext/>
              <w:rPr>
                <w:b/>
                <w:noProof/>
              </w:rPr>
            </w:pPr>
            <w:r w:rsidRPr="00452439">
              <w:rPr>
                <w:lang w:val="nb-NO"/>
              </w:rPr>
              <w:lastRenderedPageBreak/>
              <w:br w:type="page"/>
            </w:r>
            <w:r>
              <w:rPr>
                <w:b/>
                <w:noProof/>
              </w:rPr>
              <w:t>STEG 8</w:t>
            </w:r>
          </w:p>
          <w:p w14:paraId="022E0173" w14:textId="77777777" w:rsidR="00CF7F58" w:rsidRPr="0076511B" w:rsidRDefault="00CF7F58" w:rsidP="003764A0">
            <w:pPr>
              <w:pStyle w:val="EMEANormal"/>
              <w:keepNext/>
              <w:rPr>
                <w:b/>
                <w:noProof/>
              </w:rPr>
            </w:pPr>
          </w:p>
          <w:p w14:paraId="39FA5924" w14:textId="77777777" w:rsidR="00CF7F58" w:rsidRPr="005D17EB" w:rsidRDefault="00E453CD" w:rsidP="003764A0">
            <w:pPr>
              <w:pStyle w:val="EMEANormal"/>
              <w:keepNext/>
              <w:rPr>
                <w:lang w:val="en-GB"/>
              </w:rPr>
            </w:pPr>
            <w:r>
              <w:rPr>
                <w:noProof/>
                <w:lang w:val="en-GB" w:eastAsia="en-GB"/>
              </w:rPr>
              <w:drawing>
                <wp:inline distT="0" distB="0" distL="0" distR="0" wp14:anchorId="787EB844" wp14:editId="30700982">
                  <wp:extent cx="2028825" cy="1809750"/>
                  <wp:effectExtent l="0" t="0" r="9525" b="0"/>
                  <wp:docPr id="48" name="Picture 48"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 descr="STEP8_grey"/>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028825" cy="1809750"/>
                          </a:xfrm>
                          <a:prstGeom prst="rect">
                            <a:avLst/>
                          </a:prstGeom>
                          <a:noFill/>
                          <a:ln>
                            <a:noFill/>
                          </a:ln>
                        </pic:spPr>
                      </pic:pic>
                    </a:graphicData>
                  </a:graphic>
                </wp:inline>
              </w:drawing>
            </w:r>
            <w:r>
              <w:rPr>
                <w:noProof/>
              </w:rPr>
              <w:t xml:space="preserve"> </w:t>
            </w:r>
          </w:p>
        </w:tc>
        <w:tc>
          <w:tcPr>
            <w:tcW w:w="5579" w:type="dxa"/>
            <w:tcBorders>
              <w:left w:val="nil"/>
            </w:tcBorders>
          </w:tcPr>
          <w:p w14:paraId="543A950B" w14:textId="77777777" w:rsidR="00CF7F58" w:rsidRPr="00887835" w:rsidRDefault="00CF7F58" w:rsidP="003764A0">
            <w:pPr>
              <w:pStyle w:val="EMEAHeadingLeaflet"/>
              <w:keepNext/>
              <w:spacing w:beforeLines="0" w:before="0" w:afterLines="0" w:after="0"/>
              <w:rPr>
                <w:rFonts w:ascii="Times New Roman" w:hAnsi="Times New Roman"/>
                <w:b w:val="0"/>
                <w:lang w:val="nb-NO"/>
              </w:rPr>
            </w:pPr>
          </w:p>
          <w:p w14:paraId="6674A51B" w14:textId="77777777" w:rsidR="00CF7F58" w:rsidRDefault="00E453CD" w:rsidP="003764A0">
            <w:pPr>
              <w:pStyle w:val="EMEAHeadingLeaflet"/>
              <w:keepNext/>
              <w:spacing w:beforeLines="0" w:before="0" w:afterLines="0" w:after="0"/>
              <w:rPr>
                <w:rFonts w:ascii="Times New Roman" w:hAnsi="Times New Roman"/>
                <w:b w:val="0"/>
                <w:lang w:val="nb-NO"/>
              </w:rPr>
            </w:pPr>
            <w:r>
              <w:rPr>
                <w:rFonts w:ascii="Times New Roman" w:hAnsi="Times New Roman"/>
                <w:b w:val="0"/>
                <w:lang w:val="nb-NO"/>
              </w:rPr>
              <w:t>Flytt</w:t>
            </w:r>
            <w:r w:rsidRPr="00887835">
              <w:rPr>
                <w:rFonts w:ascii="Times New Roman" w:hAnsi="Times New Roman"/>
                <w:b w:val="0"/>
                <w:lang w:val="nb-NO"/>
              </w:rPr>
              <w:t xml:space="preserve"> den ferdigfylte pennen sakte </w:t>
            </w:r>
            <w:r>
              <w:rPr>
                <w:rFonts w:ascii="Times New Roman" w:hAnsi="Times New Roman"/>
                <w:b w:val="0"/>
                <w:lang w:val="nb-NO"/>
              </w:rPr>
              <w:t>vekk fra huden n</w:t>
            </w:r>
            <w:r w:rsidRPr="00887835">
              <w:rPr>
                <w:rFonts w:ascii="Times New Roman" w:hAnsi="Times New Roman"/>
                <w:b w:val="0"/>
                <w:lang w:val="nb-NO"/>
              </w:rPr>
              <w:t xml:space="preserve">år injeksjonen er ferdig. Den hvite </w:t>
            </w:r>
            <w:r w:rsidR="008138BF">
              <w:rPr>
                <w:rFonts w:ascii="Times New Roman" w:hAnsi="Times New Roman"/>
                <w:b w:val="0"/>
                <w:lang w:val="nb-NO"/>
              </w:rPr>
              <w:t>kanyle</w:t>
            </w:r>
            <w:r w:rsidRPr="00887835">
              <w:rPr>
                <w:rFonts w:ascii="Times New Roman" w:hAnsi="Times New Roman"/>
                <w:b w:val="0"/>
                <w:lang w:val="nb-NO"/>
              </w:rPr>
              <w:t xml:space="preserve">beskyttelsen vil dekke </w:t>
            </w:r>
            <w:r>
              <w:rPr>
                <w:rFonts w:ascii="Times New Roman" w:hAnsi="Times New Roman"/>
                <w:b w:val="0"/>
                <w:lang w:val="nb-NO"/>
              </w:rPr>
              <w:t xml:space="preserve">over </w:t>
            </w:r>
            <w:r w:rsidR="008138BF">
              <w:rPr>
                <w:rFonts w:ascii="Times New Roman" w:hAnsi="Times New Roman"/>
                <w:b w:val="0"/>
                <w:lang w:val="nb-NO"/>
              </w:rPr>
              <w:t>kanyle</w:t>
            </w:r>
            <w:r>
              <w:rPr>
                <w:rFonts w:ascii="Times New Roman" w:hAnsi="Times New Roman"/>
                <w:b w:val="0"/>
                <w:lang w:val="nb-NO"/>
              </w:rPr>
              <w:t>spissen</w:t>
            </w:r>
            <w:r w:rsidRPr="00887835">
              <w:rPr>
                <w:rFonts w:ascii="Times New Roman" w:hAnsi="Times New Roman"/>
                <w:b w:val="0"/>
                <w:lang w:val="nb-NO"/>
              </w:rPr>
              <w:t>.</w:t>
            </w:r>
          </w:p>
          <w:p w14:paraId="23EEDC0B" w14:textId="77777777" w:rsidR="00A567CE" w:rsidRPr="00BC2240" w:rsidRDefault="00E453CD" w:rsidP="003764A0">
            <w:pPr>
              <w:pStyle w:val="EMEAHeadingLeaflet"/>
              <w:keepNext/>
              <w:numPr>
                <w:ilvl w:val="0"/>
                <w:numId w:val="119"/>
              </w:numPr>
              <w:tabs>
                <w:tab w:val="clear" w:pos="562"/>
                <w:tab w:val="left" w:pos="757"/>
              </w:tabs>
              <w:spacing w:beforeLines="0" w:before="0" w:afterLines="0" w:after="0"/>
              <w:ind w:left="763"/>
              <w:rPr>
                <w:rFonts w:ascii="Times New Roman" w:hAnsi="Times New Roman"/>
                <w:b w:val="0"/>
                <w:lang w:val="nb-NO"/>
              </w:rPr>
            </w:pPr>
            <w:r w:rsidRPr="00887835">
              <w:rPr>
                <w:rFonts w:ascii="Times New Roman" w:hAnsi="Times New Roman"/>
                <w:b w:val="0"/>
                <w:lang w:val="nb-NO"/>
              </w:rPr>
              <w:t xml:space="preserve">Det er normalt å se </w:t>
            </w:r>
            <w:r>
              <w:rPr>
                <w:rFonts w:ascii="Times New Roman" w:hAnsi="Times New Roman"/>
                <w:b w:val="0"/>
                <w:lang w:val="nb-NO"/>
              </w:rPr>
              <w:t xml:space="preserve">litt </w:t>
            </w:r>
            <w:r w:rsidRPr="00887835">
              <w:rPr>
                <w:rFonts w:ascii="Times New Roman" w:hAnsi="Times New Roman"/>
                <w:b w:val="0"/>
                <w:lang w:val="nb-NO"/>
              </w:rPr>
              <w:t xml:space="preserve">av </w:t>
            </w:r>
            <w:r w:rsidRPr="00BC2240">
              <w:rPr>
                <w:rFonts w:ascii="Times New Roman" w:hAnsi="Times New Roman"/>
                <w:b w:val="0"/>
                <w:lang w:val="nb-NO"/>
              </w:rPr>
              <w:t>oppløsninge</w:t>
            </w:r>
            <w:r>
              <w:rPr>
                <w:rFonts w:ascii="Times New Roman" w:hAnsi="Times New Roman"/>
                <w:b w:val="0"/>
                <w:lang w:val="nb-NO"/>
              </w:rPr>
              <w:t>n på injeksjonsstedet</w:t>
            </w:r>
          </w:p>
          <w:p w14:paraId="1D7C66AB" w14:textId="77777777" w:rsidR="00A567CE" w:rsidRPr="00A567CE" w:rsidRDefault="00A567CE" w:rsidP="003764A0">
            <w:pPr>
              <w:pStyle w:val="EMEANormal"/>
              <w:keepNext/>
              <w:rPr>
                <w:lang w:val="nb-NO"/>
              </w:rPr>
            </w:pPr>
          </w:p>
          <w:p w14:paraId="487B6B56" w14:textId="77777777" w:rsidR="00CF7F58" w:rsidRPr="00887835" w:rsidRDefault="00E453CD" w:rsidP="003764A0">
            <w:pPr>
              <w:pStyle w:val="EMEANormal"/>
              <w:keepNext/>
              <w:rPr>
                <w:lang w:val="nb-NO"/>
              </w:rPr>
            </w:pPr>
            <w:r w:rsidRPr="00887835">
              <w:rPr>
                <w:lang w:val="nb-NO"/>
              </w:rPr>
              <w:t xml:space="preserve">Dersom det er mer enn noen få dråper med oppløsning på injeksjonsstedet, </w:t>
            </w:r>
            <w:r>
              <w:rPr>
                <w:lang w:val="nb-NO"/>
              </w:rPr>
              <w:t>kontakt legen din</w:t>
            </w:r>
            <w:r w:rsidRPr="00887835">
              <w:rPr>
                <w:lang w:val="nb-NO"/>
              </w:rPr>
              <w:t xml:space="preserve">, </w:t>
            </w:r>
            <w:r>
              <w:rPr>
                <w:lang w:val="nb-NO"/>
              </w:rPr>
              <w:t>sykepleier eller apotek</w:t>
            </w:r>
            <w:r w:rsidRPr="00887835">
              <w:rPr>
                <w:lang w:val="nb-NO"/>
              </w:rPr>
              <w:t>.</w:t>
            </w:r>
          </w:p>
          <w:p w14:paraId="41D1AB71" w14:textId="77777777" w:rsidR="00CF7F58" w:rsidRPr="00887835" w:rsidRDefault="00E453CD" w:rsidP="003764A0">
            <w:pPr>
              <w:pStyle w:val="EMEANormal"/>
              <w:keepNext/>
              <w:rPr>
                <w:lang w:val="nb-NO"/>
              </w:rPr>
            </w:pPr>
            <w:r w:rsidRPr="001A1AC5">
              <w:rPr>
                <w:lang w:val="nb-NO"/>
              </w:rPr>
              <w:t xml:space="preserve"> </w:t>
            </w:r>
          </w:p>
          <w:p w14:paraId="23AAE8CA" w14:textId="77777777" w:rsidR="00CF7F58" w:rsidRPr="00887835" w:rsidRDefault="00E453CD" w:rsidP="003764A0">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Etter endt injeksjon, plasser en bomullsdott eller gasbind på huden over injeksjonsstedet.</w:t>
            </w:r>
          </w:p>
          <w:p w14:paraId="6EB165F2" w14:textId="77777777" w:rsidR="00CF7F58" w:rsidRPr="00887835" w:rsidRDefault="00CF7F58" w:rsidP="003764A0">
            <w:pPr>
              <w:pStyle w:val="EMEANormal"/>
              <w:keepNext/>
              <w:rPr>
                <w:lang w:val="nb-NO"/>
              </w:rPr>
            </w:pPr>
          </w:p>
          <w:p w14:paraId="26A0E994" w14:textId="77777777" w:rsidR="00CF7F58" w:rsidRPr="005D17EB" w:rsidRDefault="00E453CD" w:rsidP="003764A0">
            <w:pPr>
              <w:pStyle w:val="EMEAHeadingLeaflet"/>
              <w:keepNext/>
              <w:numPr>
                <w:ilvl w:val="0"/>
                <w:numId w:val="121"/>
              </w:numPr>
              <w:tabs>
                <w:tab w:val="clear" w:pos="562"/>
                <w:tab w:val="left" w:pos="757"/>
              </w:tabs>
              <w:spacing w:beforeLines="0" w:before="0" w:afterLines="0" w:after="0"/>
              <w:ind w:left="757"/>
              <w:rPr>
                <w:rFonts w:ascii="Times New Roman" w:hAnsi="Times New Roman"/>
                <w:b w:val="0"/>
                <w:lang w:val="en-GB"/>
              </w:rPr>
            </w:pPr>
            <w:r>
              <w:rPr>
                <w:rFonts w:ascii="Times New Roman" w:hAnsi="Times New Roman"/>
                <w:lang w:val="en-GB"/>
              </w:rPr>
              <w:t>Ikke</w:t>
            </w:r>
            <w:r w:rsidRPr="005D17EB">
              <w:rPr>
                <w:rFonts w:ascii="Times New Roman" w:hAnsi="Times New Roman"/>
                <w:b w:val="0"/>
                <w:lang w:val="en-GB"/>
              </w:rPr>
              <w:t xml:space="preserve"> </w:t>
            </w:r>
            <w:r>
              <w:rPr>
                <w:rFonts w:ascii="Times New Roman" w:hAnsi="Times New Roman"/>
                <w:b w:val="0"/>
                <w:lang w:val="en-GB"/>
              </w:rPr>
              <w:t>gni</w:t>
            </w:r>
          </w:p>
          <w:p w14:paraId="062DA591" w14:textId="77777777" w:rsidR="00CF7F58" w:rsidRDefault="00E453CD" w:rsidP="003764A0">
            <w:pPr>
              <w:pStyle w:val="EMEANormal"/>
              <w:keepNext/>
              <w:numPr>
                <w:ilvl w:val="0"/>
                <w:numId w:val="121"/>
              </w:numPr>
              <w:tabs>
                <w:tab w:val="clear" w:pos="562"/>
                <w:tab w:val="left" w:pos="757"/>
              </w:tabs>
              <w:ind w:left="757"/>
              <w:rPr>
                <w:lang w:val="nb-NO"/>
              </w:rPr>
            </w:pPr>
            <w:r w:rsidRPr="00887835">
              <w:rPr>
                <w:lang w:val="nb-NO"/>
              </w:rPr>
              <w:t>Litt blødning ved injeksjonsstedet er normalt</w:t>
            </w:r>
          </w:p>
          <w:p w14:paraId="20355424" w14:textId="77777777" w:rsidR="00122921" w:rsidRPr="00887835" w:rsidRDefault="00122921" w:rsidP="003764A0">
            <w:pPr>
              <w:pStyle w:val="EMEANormal"/>
              <w:keepNext/>
              <w:tabs>
                <w:tab w:val="clear" w:pos="562"/>
                <w:tab w:val="left" w:pos="757"/>
              </w:tabs>
              <w:ind w:left="757"/>
              <w:rPr>
                <w:lang w:val="nb-NO"/>
              </w:rPr>
            </w:pPr>
          </w:p>
        </w:tc>
      </w:tr>
      <w:tr w:rsidR="004644D4" w14:paraId="7126CEDD" w14:textId="77777777" w:rsidTr="003719E4">
        <w:tc>
          <w:tcPr>
            <w:tcW w:w="9287" w:type="dxa"/>
            <w:gridSpan w:val="2"/>
          </w:tcPr>
          <w:p w14:paraId="75A63F91" w14:textId="77777777" w:rsidR="00CF7F58" w:rsidRPr="00FF5521" w:rsidRDefault="00E453CD" w:rsidP="00051DA6">
            <w:pPr>
              <w:keepNext/>
              <w:rPr>
                <w:b/>
              </w:rPr>
            </w:pPr>
            <w:r w:rsidRPr="00887835">
              <w:rPr>
                <w:b/>
              </w:rPr>
              <w:t>STEG</w:t>
            </w:r>
            <w:r w:rsidRPr="00FF5521">
              <w:rPr>
                <w:b/>
              </w:rPr>
              <w:t xml:space="preserve"> 9</w:t>
            </w:r>
          </w:p>
          <w:p w14:paraId="05E1818F" w14:textId="77777777" w:rsidR="00CF7F58" w:rsidRPr="00FF5521" w:rsidRDefault="00CF7F58" w:rsidP="00051DA6">
            <w:pPr>
              <w:keepNext/>
              <w:rPr>
                <w:b/>
              </w:rPr>
            </w:pPr>
          </w:p>
          <w:p w14:paraId="3734035F" w14:textId="77777777" w:rsidR="00CF7F58" w:rsidRPr="00887835" w:rsidRDefault="00E453CD" w:rsidP="00051DA6">
            <w:pPr>
              <w:pStyle w:val="EMEAHeadingLeaflet"/>
              <w:keepNext/>
              <w:spacing w:beforeLines="0" w:before="0" w:afterLines="0" w:after="0"/>
              <w:rPr>
                <w:rFonts w:ascii="Times New Roman" w:hAnsi="Times New Roman"/>
                <w:b w:val="0"/>
                <w:lang w:val="nb-NO"/>
              </w:rPr>
            </w:pPr>
            <w:r w:rsidRPr="00887835">
              <w:rPr>
                <w:rFonts w:ascii="Times New Roman" w:hAnsi="Times New Roman"/>
                <w:b w:val="0"/>
                <w:lang w:val="nb-NO"/>
              </w:rPr>
              <w:t>Kast den brukte ferdigfylte pennen i en spesiell avfallsbeholder slik du har fått beskjed om fra legen</w:t>
            </w:r>
            <w:r w:rsidRPr="00545DB7">
              <w:rPr>
                <w:rFonts w:ascii="Times New Roman" w:hAnsi="Times New Roman"/>
                <w:b w:val="0"/>
                <w:lang w:val="nb-NO"/>
              </w:rPr>
              <w:t xml:space="preserve"> din, sykepleier eller </w:t>
            </w:r>
            <w:r>
              <w:rPr>
                <w:rFonts w:ascii="Times New Roman" w:hAnsi="Times New Roman"/>
                <w:b w:val="0"/>
                <w:lang w:val="nb-NO"/>
              </w:rPr>
              <w:t>apotek</w:t>
            </w:r>
            <w:r w:rsidRPr="00887835">
              <w:rPr>
                <w:rFonts w:ascii="Times New Roman" w:hAnsi="Times New Roman"/>
                <w:b w:val="0"/>
                <w:lang w:val="nb-NO"/>
              </w:rPr>
              <w:t>.</w:t>
            </w:r>
          </w:p>
          <w:p w14:paraId="617224BB" w14:textId="77777777" w:rsidR="00CF7F58" w:rsidRPr="00887835" w:rsidRDefault="00CF7F58" w:rsidP="00051DA6">
            <w:pPr>
              <w:pStyle w:val="EMEANormal"/>
              <w:keepNext/>
              <w:rPr>
                <w:lang w:val="nb-NO"/>
              </w:rPr>
            </w:pPr>
          </w:p>
          <w:p w14:paraId="72F8163D" w14:textId="77777777" w:rsidR="00CF7F58" w:rsidRPr="00887835" w:rsidRDefault="00E453CD" w:rsidP="00051DA6">
            <w:pPr>
              <w:pStyle w:val="EMEAHeadingLeaflet"/>
              <w:keepNext/>
              <w:numPr>
                <w:ilvl w:val="0"/>
                <w:numId w:val="122"/>
              </w:numPr>
              <w:tabs>
                <w:tab w:val="clear" w:pos="562"/>
                <w:tab w:val="left" w:pos="720"/>
              </w:tabs>
              <w:spacing w:beforeLines="0" w:before="0" w:afterLines="0" w:after="0"/>
              <w:rPr>
                <w:rFonts w:ascii="Times New Roman" w:hAnsi="Times New Roman"/>
                <w:b w:val="0"/>
                <w:lang w:val="nb-NO"/>
              </w:rPr>
            </w:pPr>
            <w:r w:rsidRPr="00887835">
              <w:rPr>
                <w:rFonts w:ascii="Times New Roman" w:hAnsi="Times New Roman"/>
                <w:lang w:val="nb-NO"/>
              </w:rPr>
              <w:t>Ikke</w:t>
            </w:r>
            <w:r w:rsidRPr="00887835">
              <w:rPr>
                <w:rFonts w:ascii="Times New Roman" w:hAnsi="Times New Roman"/>
                <w:b w:val="0"/>
                <w:lang w:val="nb-NO"/>
              </w:rPr>
              <w:t xml:space="preserve"> resirkuler eller kast den ferdigfylte pennen i vanlig husholdningsavfal</w:t>
            </w:r>
            <w:r>
              <w:rPr>
                <w:rFonts w:ascii="Times New Roman" w:hAnsi="Times New Roman"/>
                <w:b w:val="0"/>
                <w:lang w:val="nb-NO"/>
              </w:rPr>
              <w:t>l</w:t>
            </w:r>
          </w:p>
          <w:p w14:paraId="327A091D" w14:textId="77777777" w:rsidR="00CF7F58" w:rsidRPr="00887835" w:rsidRDefault="00E453CD" w:rsidP="00051DA6">
            <w:pPr>
              <w:pStyle w:val="EMEANormal"/>
              <w:keepNext/>
              <w:numPr>
                <w:ilvl w:val="0"/>
                <w:numId w:val="122"/>
              </w:numPr>
              <w:tabs>
                <w:tab w:val="clear" w:pos="562"/>
                <w:tab w:val="left" w:pos="720"/>
              </w:tabs>
              <w:rPr>
                <w:lang w:val="nb-NO"/>
              </w:rPr>
            </w:pPr>
            <w:r w:rsidRPr="00887835">
              <w:rPr>
                <w:lang w:val="nb-NO"/>
              </w:rPr>
              <w:t>Oppbevar</w:t>
            </w:r>
            <w:r w:rsidRPr="00887835">
              <w:rPr>
                <w:b/>
                <w:lang w:val="nb-NO"/>
              </w:rPr>
              <w:t xml:space="preserve"> alltid </w:t>
            </w:r>
            <w:r>
              <w:rPr>
                <w:lang w:val="nb-NO"/>
              </w:rPr>
              <w:t xml:space="preserve">den </w:t>
            </w:r>
            <w:r w:rsidRPr="00887835">
              <w:rPr>
                <w:lang w:val="nb-NO"/>
              </w:rPr>
              <w:t>ferdigfylt</w:t>
            </w:r>
            <w:r>
              <w:rPr>
                <w:lang w:val="nb-NO"/>
              </w:rPr>
              <w:t>e</w:t>
            </w:r>
            <w:r w:rsidRPr="00887835">
              <w:rPr>
                <w:lang w:val="nb-NO"/>
              </w:rPr>
              <w:t xml:space="preserve"> penn</w:t>
            </w:r>
            <w:r>
              <w:rPr>
                <w:lang w:val="nb-NO"/>
              </w:rPr>
              <w:t>en</w:t>
            </w:r>
            <w:r w:rsidRPr="00887835">
              <w:rPr>
                <w:lang w:val="nb-NO"/>
              </w:rPr>
              <w:t xml:space="preserve"> og den spesielle avfallsbeholderen utilgjengelig for barn</w:t>
            </w:r>
          </w:p>
          <w:p w14:paraId="0EBC6731" w14:textId="77777777" w:rsidR="00CF7F58" w:rsidRDefault="00CF7F58" w:rsidP="00051DA6">
            <w:pPr>
              <w:pStyle w:val="EMEANormal"/>
              <w:keepNext/>
              <w:rPr>
                <w:szCs w:val="22"/>
                <w:lang w:val="nb-NO"/>
              </w:rPr>
            </w:pPr>
          </w:p>
          <w:p w14:paraId="6CCF8B7B" w14:textId="77777777" w:rsidR="00CF7F58" w:rsidRPr="00887835" w:rsidRDefault="00E453CD" w:rsidP="00051DA6">
            <w:pPr>
              <w:pStyle w:val="EMEANormal"/>
              <w:keepNext/>
              <w:rPr>
                <w:lang w:val="nb-NO"/>
              </w:rPr>
            </w:pPr>
            <w:r w:rsidRPr="00887835">
              <w:rPr>
                <w:szCs w:val="22"/>
                <w:lang w:val="nb-NO"/>
              </w:rPr>
              <w:t>Hettene, injeksjonstørk, bomullsdott eller gasbind, blister og kartong kan kastes i husholdningsavfallet ditt.</w:t>
            </w:r>
          </w:p>
        </w:tc>
      </w:tr>
    </w:tbl>
    <w:p w14:paraId="78DAE4C0" w14:textId="77777777" w:rsidR="003045CB" w:rsidRDefault="003045CB" w:rsidP="003045CB">
      <w:pPr>
        <w:rPr>
          <w:sz w:val="22"/>
          <w:szCs w:val="22"/>
        </w:rPr>
      </w:pPr>
    </w:p>
    <w:p w14:paraId="00868C52" w14:textId="77777777" w:rsidR="00CD02CB" w:rsidRPr="00172EEB" w:rsidRDefault="00CD02CB" w:rsidP="00CD02CB">
      <w:pPr>
        <w:widowControl w:val="0"/>
        <w:autoSpaceDE w:val="0"/>
        <w:autoSpaceDN w:val="0"/>
        <w:adjustRightInd w:val="0"/>
        <w:ind w:right="120"/>
        <w:rPr>
          <w:color w:val="000000"/>
          <w:sz w:val="22"/>
          <w:szCs w:val="22"/>
        </w:rPr>
      </w:pPr>
    </w:p>
    <w:sectPr w:rsidR="00CD02CB" w:rsidRPr="00172EEB" w:rsidSect="00B65EEB">
      <w:footerReference w:type="default" r:id="rId80"/>
      <w:footerReference w:type="first" r:id="rId81"/>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3E7BA" w14:textId="77777777" w:rsidR="00600AB8" w:rsidRDefault="00600AB8">
      <w:r>
        <w:separator/>
      </w:r>
    </w:p>
  </w:endnote>
  <w:endnote w:type="continuationSeparator" w:id="0">
    <w:p w14:paraId="23AE18B7" w14:textId="77777777" w:rsidR="00600AB8" w:rsidRDefault="0060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3" w:usb1="08070000" w:usb2="00000010" w:usb3="00000000" w:csb0="0002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5349" w14:textId="77777777" w:rsidR="001F4B85" w:rsidRPr="004B0DD0" w:rsidRDefault="00E453CD">
    <w:pPr>
      <w:pStyle w:val="Footer"/>
      <w:tabs>
        <w:tab w:val="clear" w:pos="8930"/>
        <w:tab w:val="right" w:pos="8931"/>
      </w:tabs>
      <w:ind w:right="96"/>
      <w:jc w:val="center"/>
      <w:rPr>
        <w:rFonts w:ascii="Arial" w:hAnsi="Arial" w:cs="Arial"/>
      </w:rPr>
    </w:pPr>
    <w:r w:rsidRPr="004B0DD0">
      <w:rPr>
        <w:rFonts w:ascii="Arial" w:hAnsi="Arial" w:cs="Arial"/>
      </w:rPr>
      <w:fldChar w:fldCharType="begin"/>
    </w:r>
    <w:r w:rsidRPr="004B0DD0">
      <w:rPr>
        <w:rFonts w:ascii="Arial" w:hAnsi="Arial" w:cs="Arial"/>
      </w:rPr>
      <w:instrText xml:space="preserve"> EQ </w:instrText>
    </w:r>
    <w:r w:rsidRPr="004B0DD0">
      <w:rPr>
        <w:rFonts w:ascii="Arial" w:hAnsi="Arial" w:cs="Arial"/>
      </w:rPr>
      <w:fldChar w:fldCharType="separate"/>
    </w:r>
    <w:r w:rsidRPr="004B0DD0">
      <w:rPr>
        <w:rFonts w:ascii="Arial" w:hAnsi="Arial" w:cs="Arial"/>
      </w:rPr>
      <w:fldChar w:fldCharType="end"/>
    </w:r>
    <w:r w:rsidRPr="004B0DD0">
      <w:rPr>
        <w:rStyle w:val="PageNumber"/>
        <w:rFonts w:ascii="Arial" w:hAnsi="Arial" w:cs="Arial"/>
      </w:rPr>
      <w:fldChar w:fldCharType="begin"/>
    </w:r>
    <w:r w:rsidRPr="004B0DD0">
      <w:rPr>
        <w:rStyle w:val="PageNumber"/>
        <w:rFonts w:ascii="Arial" w:hAnsi="Arial" w:cs="Arial"/>
      </w:rPr>
      <w:instrText xml:space="preserve">PAGE  </w:instrText>
    </w:r>
    <w:r w:rsidRPr="004B0DD0">
      <w:rPr>
        <w:rStyle w:val="PageNumber"/>
        <w:rFonts w:ascii="Arial" w:hAnsi="Arial" w:cs="Arial"/>
      </w:rPr>
      <w:fldChar w:fldCharType="separate"/>
    </w:r>
    <w:r w:rsidR="005754CF">
      <w:rPr>
        <w:rStyle w:val="PageNumber"/>
        <w:rFonts w:ascii="Arial" w:hAnsi="Arial" w:cs="Arial"/>
        <w:noProof/>
      </w:rPr>
      <w:t>10</w:t>
    </w:r>
    <w:r w:rsidRPr="004B0DD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E7C7" w14:textId="77777777" w:rsidR="001F4B85" w:rsidRPr="004B0DD0" w:rsidRDefault="00E453CD">
    <w:pPr>
      <w:pStyle w:val="Footer"/>
      <w:tabs>
        <w:tab w:val="clear" w:pos="8930"/>
        <w:tab w:val="right" w:pos="8931"/>
      </w:tabs>
      <w:ind w:right="96"/>
      <w:jc w:val="center"/>
      <w:rPr>
        <w:rFonts w:ascii="Arial" w:hAnsi="Arial" w:cs="Arial"/>
      </w:rPr>
    </w:pPr>
    <w:r w:rsidRPr="004B0DD0">
      <w:rPr>
        <w:rStyle w:val="PageNumber"/>
        <w:rFonts w:ascii="Arial" w:hAnsi="Arial" w:cs="Arial"/>
      </w:rPr>
      <w:fldChar w:fldCharType="begin"/>
    </w:r>
    <w:r w:rsidRPr="004B0DD0">
      <w:rPr>
        <w:rStyle w:val="PageNumber"/>
        <w:rFonts w:ascii="Arial" w:hAnsi="Arial" w:cs="Arial"/>
      </w:rPr>
      <w:instrText xml:space="preserve">PAGE  </w:instrText>
    </w:r>
    <w:r w:rsidRPr="004B0DD0">
      <w:rPr>
        <w:rStyle w:val="PageNumber"/>
        <w:rFonts w:ascii="Arial" w:hAnsi="Arial" w:cs="Arial"/>
      </w:rPr>
      <w:fldChar w:fldCharType="separate"/>
    </w:r>
    <w:r w:rsidR="005754CF">
      <w:rPr>
        <w:rStyle w:val="PageNumber"/>
        <w:rFonts w:ascii="Arial" w:hAnsi="Arial" w:cs="Arial"/>
        <w:noProof/>
      </w:rPr>
      <w:t>1</w:t>
    </w:r>
    <w:r w:rsidRPr="004B0DD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C543" w14:textId="77777777" w:rsidR="00600AB8" w:rsidRDefault="00600AB8">
      <w:r>
        <w:separator/>
      </w:r>
    </w:p>
  </w:footnote>
  <w:footnote w:type="continuationSeparator" w:id="0">
    <w:p w14:paraId="14BAD5F7" w14:textId="77777777" w:rsidR="00600AB8" w:rsidRDefault="0060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48FE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7F896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3088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AC8C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A8D5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9C09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F218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4CA9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0A3B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AE51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62526C"/>
    <w:multiLevelType w:val="hybridMultilevel"/>
    <w:tmpl w:val="9966663E"/>
    <w:lvl w:ilvl="0" w:tplc="2DFECDC2">
      <w:start w:val="1"/>
      <w:numFmt w:val="bullet"/>
      <w:lvlText w:val=""/>
      <w:lvlJc w:val="left"/>
      <w:pPr>
        <w:tabs>
          <w:tab w:val="num" w:pos="720"/>
        </w:tabs>
        <w:ind w:left="720" w:hanging="360"/>
      </w:pPr>
      <w:rPr>
        <w:rFonts w:ascii="Symbol" w:hAnsi="Symbol" w:hint="default"/>
      </w:rPr>
    </w:lvl>
    <w:lvl w:ilvl="1" w:tplc="1E946970" w:tentative="1">
      <w:start w:val="1"/>
      <w:numFmt w:val="bullet"/>
      <w:lvlText w:val="o"/>
      <w:lvlJc w:val="left"/>
      <w:pPr>
        <w:tabs>
          <w:tab w:val="num" w:pos="1440"/>
        </w:tabs>
        <w:ind w:left="1440" w:hanging="360"/>
      </w:pPr>
      <w:rPr>
        <w:rFonts w:ascii="Courier New" w:hAnsi="Courier New" w:cs="Courier New" w:hint="default"/>
      </w:rPr>
    </w:lvl>
    <w:lvl w:ilvl="2" w:tplc="692A00E4" w:tentative="1">
      <w:start w:val="1"/>
      <w:numFmt w:val="bullet"/>
      <w:lvlText w:val=""/>
      <w:lvlJc w:val="left"/>
      <w:pPr>
        <w:tabs>
          <w:tab w:val="num" w:pos="2160"/>
        </w:tabs>
        <w:ind w:left="2160" w:hanging="360"/>
      </w:pPr>
      <w:rPr>
        <w:rFonts w:ascii="Wingdings" w:hAnsi="Wingdings" w:hint="default"/>
      </w:rPr>
    </w:lvl>
    <w:lvl w:ilvl="3" w:tplc="99888342" w:tentative="1">
      <w:start w:val="1"/>
      <w:numFmt w:val="bullet"/>
      <w:lvlText w:val=""/>
      <w:lvlJc w:val="left"/>
      <w:pPr>
        <w:tabs>
          <w:tab w:val="num" w:pos="2880"/>
        </w:tabs>
        <w:ind w:left="2880" w:hanging="360"/>
      </w:pPr>
      <w:rPr>
        <w:rFonts w:ascii="Symbol" w:hAnsi="Symbol" w:hint="default"/>
      </w:rPr>
    </w:lvl>
    <w:lvl w:ilvl="4" w:tplc="DD34C3D0" w:tentative="1">
      <w:start w:val="1"/>
      <w:numFmt w:val="bullet"/>
      <w:lvlText w:val="o"/>
      <w:lvlJc w:val="left"/>
      <w:pPr>
        <w:tabs>
          <w:tab w:val="num" w:pos="3600"/>
        </w:tabs>
        <w:ind w:left="3600" w:hanging="360"/>
      </w:pPr>
      <w:rPr>
        <w:rFonts w:ascii="Courier New" w:hAnsi="Courier New" w:cs="Courier New" w:hint="default"/>
      </w:rPr>
    </w:lvl>
    <w:lvl w:ilvl="5" w:tplc="7804C6E8" w:tentative="1">
      <w:start w:val="1"/>
      <w:numFmt w:val="bullet"/>
      <w:lvlText w:val=""/>
      <w:lvlJc w:val="left"/>
      <w:pPr>
        <w:tabs>
          <w:tab w:val="num" w:pos="4320"/>
        </w:tabs>
        <w:ind w:left="4320" w:hanging="360"/>
      </w:pPr>
      <w:rPr>
        <w:rFonts w:ascii="Wingdings" w:hAnsi="Wingdings" w:hint="default"/>
      </w:rPr>
    </w:lvl>
    <w:lvl w:ilvl="6" w:tplc="519EA4B4" w:tentative="1">
      <w:start w:val="1"/>
      <w:numFmt w:val="bullet"/>
      <w:lvlText w:val=""/>
      <w:lvlJc w:val="left"/>
      <w:pPr>
        <w:tabs>
          <w:tab w:val="num" w:pos="5040"/>
        </w:tabs>
        <w:ind w:left="5040" w:hanging="360"/>
      </w:pPr>
      <w:rPr>
        <w:rFonts w:ascii="Symbol" w:hAnsi="Symbol" w:hint="default"/>
      </w:rPr>
    </w:lvl>
    <w:lvl w:ilvl="7" w:tplc="281E85A0" w:tentative="1">
      <w:start w:val="1"/>
      <w:numFmt w:val="bullet"/>
      <w:lvlText w:val="o"/>
      <w:lvlJc w:val="left"/>
      <w:pPr>
        <w:tabs>
          <w:tab w:val="num" w:pos="5760"/>
        </w:tabs>
        <w:ind w:left="5760" w:hanging="360"/>
      </w:pPr>
      <w:rPr>
        <w:rFonts w:ascii="Courier New" w:hAnsi="Courier New" w:cs="Courier New" w:hint="default"/>
      </w:rPr>
    </w:lvl>
    <w:lvl w:ilvl="8" w:tplc="B3D0A20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A51235"/>
    <w:multiLevelType w:val="hybridMultilevel"/>
    <w:tmpl w:val="7E447AB2"/>
    <w:lvl w:ilvl="0" w:tplc="BD0AA3C4">
      <w:start w:val="1"/>
      <w:numFmt w:val="bullet"/>
      <w:lvlText w:val=""/>
      <w:lvlJc w:val="left"/>
      <w:pPr>
        <w:ind w:left="720" w:hanging="360"/>
      </w:pPr>
      <w:rPr>
        <w:rFonts w:ascii="Symbol" w:hAnsi="Symbol" w:hint="default"/>
        <w:sz w:val="22"/>
      </w:rPr>
    </w:lvl>
    <w:lvl w:ilvl="1" w:tplc="29341FCA" w:tentative="1">
      <w:start w:val="1"/>
      <w:numFmt w:val="bullet"/>
      <w:lvlText w:val="o"/>
      <w:lvlJc w:val="left"/>
      <w:pPr>
        <w:ind w:left="1440" w:hanging="360"/>
      </w:pPr>
      <w:rPr>
        <w:rFonts w:ascii="Courier New" w:hAnsi="Courier New" w:cs="Courier New" w:hint="default"/>
      </w:rPr>
    </w:lvl>
    <w:lvl w:ilvl="2" w:tplc="F8322E2C" w:tentative="1">
      <w:start w:val="1"/>
      <w:numFmt w:val="bullet"/>
      <w:lvlText w:val=""/>
      <w:lvlJc w:val="left"/>
      <w:pPr>
        <w:ind w:left="2160" w:hanging="360"/>
      </w:pPr>
      <w:rPr>
        <w:rFonts w:ascii="Wingdings" w:hAnsi="Wingdings" w:hint="default"/>
      </w:rPr>
    </w:lvl>
    <w:lvl w:ilvl="3" w:tplc="A92211F2" w:tentative="1">
      <w:start w:val="1"/>
      <w:numFmt w:val="bullet"/>
      <w:lvlText w:val=""/>
      <w:lvlJc w:val="left"/>
      <w:pPr>
        <w:ind w:left="2880" w:hanging="360"/>
      </w:pPr>
      <w:rPr>
        <w:rFonts w:ascii="Symbol" w:hAnsi="Symbol" w:hint="default"/>
      </w:rPr>
    </w:lvl>
    <w:lvl w:ilvl="4" w:tplc="BF5CC478" w:tentative="1">
      <w:start w:val="1"/>
      <w:numFmt w:val="bullet"/>
      <w:lvlText w:val="o"/>
      <w:lvlJc w:val="left"/>
      <w:pPr>
        <w:ind w:left="3600" w:hanging="360"/>
      </w:pPr>
      <w:rPr>
        <w:rFonts w:ascii="Courier New" w:hAnsi="Courier New" w:cs="Courier New" w:hint="default"/>
      </w:rPr>
    </w:lvl>
    <w:lvl w:ilvl="5" w:tplc="D58CEB96" w:tentative="1">
      <w:start w:val="1"/>
      <w:numFmt w:val="bullet"/>
      <w:lvlText w:val=""/>
      <w:lvlJc w:val="left"/>
      <w:pPr>
        <w:ind w:left="4320" w:hanging="360"/>
      </w:pPr>
      <w:rPr>
        <w:rFonts w:ascii="Wingdings" w:hAnsi="Wingdings" w:hint="default"/>
      </w:rPr>
    </w:lvl>
    <w:lvl w:ilvl="6" w:tplc="84540CE2" w:tentative="1">
      <w:start w:val="1"/>
      <w:numFmt w:val="bullet"/>
      <w:lvlText w:val=""/>
      <w:lvlJc w:val="left"/>
      <w:pPr>
        <w:ind w:left="5040" w:hanging="360"/>
      </w:pPr>
      <w:rPr>
        <w:rFonts w:ascii="Symbol" w:hAnsi="Symbol" w:hint="default"/>
      </w:rPr>
    </w:lvl>
    <w:lvl w:ilvl="7" w:tplc="9C588194" w:tentative="1">
      <w:start w:val="1"/>
      <w:numFmt w:val="bullet"/>
      <w:lvlText w:val="o"/>
      <w:lvlJc w:val="left"/>
      <w:pPr>
        <w:ind w:left="5760" w:hanging="360"/>
      </w:pPr>
      <w:rPr>
        <w:rFonts w:ascii="Courier New" w:hAnsi="Courier New" w:cs="Courier New" w:hint="default"/>
      </w:rPr>
    </w:lvl>
    <w:lvl w:ilvl="8" w:tplc="8286BEAC" w:tentative="1">
      <w:start w:val="1"/>
      <w:numFmt w:val="bullet"/>
      <w:lvlText w:val=""/>
      <w:lvlJc w:val="left"/>
      <w:pPr>
        <w:ind w:left="6480" w:hanging="360"/>
      </w:pPr>
      <w:rPr>
        <w:rFonts w:ascii="Wingdings" w:hAnsi="Wingdings" w:hint="default"/>
      </w:rPr>
    </w:lvl>
  </w:abstractNum>
  <w:abstractNum w:abstractNumId="13" w15:restartNumberingAfterBreak="0">
    <w:nsid w:val="04462C8F"/>
    <w:multiLevelType w:val="hybridMultilevel"/>
    <w:tmpl w:val="01F0B2E2"/>
    <w:lvl w:ilvl="0" w:tplc="22CA03CC">
      <w:start w:val="1"/>
      <w:numFmt w:val="bullet"/>
      <w:lvlText w:val="o"/>
      <w:lvlJc w:val="left"/>
      <w:pPr>
        <w:tabs>
          <w:tab w:val="num" w:pos="1134"/>
        </w:tabs>
        <w:ind w:left="1134" w:hanging="567"/>
      </w:pPr>
      <w:rPr>
        <w:rFonts w:hint="default"/>
      </w:rPr>
    </w:lvl>
    <w:lvl w:ilvl="1" w:tplc="EE3E5C3A">
      <w:start w:val="1"/>
      <w:numFmt w:val="bullet"/>
      <w:lvlText w:val="o"/>
      <w:lvlJc w:val="left"/>
      <w:pPr>
        <w:tabs>
          <w:tab w:val="num" w:pos="1440"/>
        </w:tabs>
        <w:ind w:left="1440" w:hanging="360"/>
      </w:pPr>
      <w:rPr>
        <w:rFonts w:ascii="Courier New" w:hAnsi="Courier New" w:hint="default"/>
      </w:rPr>
    </w:lvl>
    <w:lvl w:ilvl="2" w:tplc="973C637A">
      <w:start w:val="1"/>
      <w:numFmt w:val="bullet"/>
      <w:lvlText w:val="o"/>
      <w:lvlJc w:val="left"/>
      <w:pPr>
        <w:tabs>
          <w:tab w:val="num" w:pos="2367"/>
        </w:tabs>
        <w:ind w:left="2367" w:hanging="567"/>
      </w:pPr>
      <w:rPr>
        <w:rFonts w:hint="default"/>
      </w:rPr>
    </w:lvl>
    <w:lvl w:ilvl="3" w:tplc="A29A8B50" w:tentative="1">
      <w:start w:val="1"/>
      <w:numFmt w:val="bullet"/>
      <w:lvlText w:val=""/>
      <w:lvlJc w:val="left"/>
      <w:pPr>
        <w:tabs>
          <w:tab w:val="num" w:pos="2880"/>
        </w:tabs>
        <w:ind w:left="2880" w:hanging="360"/>
      </w:pPr>
      <w:rPr>
        <w:rFonts w:ascii="Symbol" w:hAnsi="Symbol" w:hint="default"/>
      </w:rPr>
    </w:lvl>
    <w:lvl w:ilvl="4" w:tplc="1A6A98EC" w:tentative="1">
      <w:start w:val="1"/>
      <w:numFmt w:val="bullet"/>
      <w:lvlText w:val="o"/>
      <w:lvlJc w:val="left"/>
      <w:pPr>
        <w:tabs>
          <w:tab w:val="num" w:pos="3600"/>
        </w:tabs>
        <w:ind w:left="3600" w:hanging="360"/>
      </w:pPr>
      <w:rPr>
        <w:rFonts w:ascii="Courier New" w:hAnsi="Courier New" w:hint="default"/>
      </w:rPr>
    </w:lvl>
    <w:lvl w:ilvl="5" w:tplc="0DC24CDE" w:tentative="1">
      <w:start w:val="1"/>
      <w:numFmt w:val="bullet"/>
      <w:lvlText w:val=""/>
      <w:lvlJc w:val="left"/>
      <w:pPr>
        <w:tabs>
          <w:tab w:val="num" w:pos="4320"/>
        </w:tabs>
        <w:ind w:left="4320" w:hanging="360"/>
      </w:pPr>
      <w:rPr>
        <w:rFonts w:ascii="Wingdings" w:hAnsi="Wingdings" w:hint="default"/>
      </w:rPr>
    </w:lvl>
    <w:lvl w:ilvl="6" w:tplc="6136E2A0" w:tentative="1">
      <w:start w:val="1"/>
      <w:numFmt w:val="bullet"/>
      <w:lvlText w:val=""/>
      <w:lvlJc w:val="left"/>
      <w:pPr>
        <w:tabs>
          <w:tab w:val="num" w:pos="5040"/>
        </w:tabs>
        <w:ind w:left="5040" w:hanging="360"/>
      </w:pPr>
      <w:rPr>
        <w:rFonts w:ascii="Symbol" w:hAnsi="Symbol" w:hint="default"/>
      </w:rPr>
    </w:lvl>
    <w:lvl w:ilvl="7" w:tplc="911A3B2C" w:tentative="1">
      <w:start w:val="1"/>
      <w:numFmt w:val="bullet"/>
      <w:lvlText w:val="o"/>
      <w:lvlJc w:val="left"/>
      <w:pPr>
        <w:tabs>
          <w:tab w:val="num" w:pos="5760"/>
        </w:tabs>
        <w:ind w:left="5760" w:hanging="360"/>
      </w:pPr>
      <w:rPr>
        <w:rFonts w:ascii="Courier New" w:hAnsi="Courier New" w:hint="default"/>
      </w:rPr>
    </w:lvl>
    <w:lvl w:ilvl="8" w:tplc="547CB1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0F37E7"/>
    <w:multiLevelType w:val="hybridMultilevel"/>
    <w:tmpl w:val="5038E426"/>
    <w:lvl w:ilvl="0" w:tplc="5120C200">
      <w:start w:val="1"/>
      <w:numFmt w:val="bullet"/>
      <w:lvlText w:val=""/>
      <w:lvlJc w:val="left"/>
      <w:pPr>
        <w:tabs>
          <w:tab w:val="num" w:pos="567"/>
        </w:tabs>
        <w:ind w:left="567" w:hanging="567"/>
      </w:pPr>
      <w:rPr>
        <w:rFonts w:ascii="Symbol" w:hAnsi="Symbol" w:hint="default"/>
      </w:rPr>
    </w:lvl>
    <w:lvl w:ilvl="1" w:tplc="EDCA21B8">
      <w:start w:val="1"/>
      <w:numFmt w:val="bullet"/>
      <w:lvlText w:val="o"/>
      <w:lvlJc w:val="left"/>
      <w:pPr>
        <w:tabs>
          <w:tab w:val="num" w:pos="1440"/>
        </w:tabs>
        <w:ind w:left="1440" w:hanging="360"/>
      </w:pPr>
      <w:rPr>
        <w:rFonts w:ascii="Courier New" w:hAnsi="Courier New" w:hint="default"/>
      </w:rPr>
    </w:lvl>
    <w:lvl w:ilvl="2" w:tplc="F418FB7E">
      <w:start w:val="1"/>
      <w:numFmt w:val="bullet"/>
      <w:lvlText w:val=""/>
      <w:lvlJc w:val="left"/>
      <w:pPr>
        <w:tabs>
          <w:tab w:val="num" w:pos="2160"/>
        </w:tabs>
        <w:ind w:left="2160" w:hanging="360"/>
      </w:pPr>
      <w:rPr>
        <w:rFonts w:ascii="Wingdings" w:hAnsi="Wingdings" w:hint="default"/>
      </w:rPr>
    </w:lvl>
    <w:lvl w:ilvl="3" w:tplc="AD345690" w:tentative="1">
      <w:start w:val="1"/>
      <w:numFmt w:val="bullet"/>
      <w:lvlText w:val=""/>
      <w:lvlJc w:val="left"/>
      <w:pPr>
        <w:tabs>
          <w:tab w:val="num" w:pos="2880"/>
        </w:tabs>
        <w:ind w:left="2880" w:hanging="360"/>
      </w:pPr>
      <w:rPr>
        <w:rFonts w:ascii="Symbol" w:hAnsi="Symbol" w:hint="default"/>
      </w:rPr>
    </w:lvl>
    <w:lvl w:ilvl="4" w:tplc="3FF885C4" w:tentative="1">
      <w:start w:val="1"/>
      <w:numFmt w:val="bullet"/>
      <w:lvlText w:val="o"/>
      <w:lvlJc w:val="left"/>
      <w:pPr>
        <w:tabs>
          <w:tab w:val="num" w:pos="3600"/>
        </w:tabs>
        <w:ind w:left="3600" w:hanging="360"/>
      </w:pPr>
      <w:rPr>
        <w:rFonts w:ascii="Courier New" w:hAnsi="Courier New" w:hint="default"/>
      </w:rPr>
    </w:lvl>
    <w:lvl w:ilvl="5" w:tplc="1B0E4240" w:tentative="1">
      <w:start w:val="1"/>
      <w:numFmt w:val="bullet"/>
      <w:lvlText w:val=""/>
      <w:lvlJc w:val="left"/>
      <w:pPr>
        <w:tabs>
          <w:tab w:val="num" w:pos="4320"/>
        </w:tabs>
        <w:ind w:left="4320" w:hanging="360"/>
      </w:pPr>
      <w:rPr>
        <w:rFonts w:ascii="Wingdings" w:hAnsi="Wingdings" w:hint="default"/>
      </w:rPr>
    </w:lvl>
    <w:lvl w:ilvl="6" w:tplc="015EB1F2" w:tentative="1">
      <w:start w:val="1"/>
      <w:numFmt w:val="bullet"/>
      <w:lvlText w:val=""/>
      <w:lvlJc w:val="left"/>
      <w:pPr>
        <w:tabs>
          <w:tab w:val="num" w:pos="5040"/>
        </w:tabs>
        <w:ind w:left="5040" w:hanging="360"/>
      </w:pPr>
      <w:rPr>
        <w:rFonts w:ascii="Symbol" w:hAnsi="Symbol" w:hint="default"/>
      </w:rPr>
    </w:lvl>
    <w:lvl w:ilvl="7" w:tplc="0476A1AC" w:tentative="1">
      <w:start w:val="1"/>
      <w:numFmt w:val="bullet"/>
      <w:lvlText w:val="o"/>
      <w:lvlJc w:val="left"/>
      <w:pPr>
        <w:tabs>
          <w:tab w:val="num" w:pos="5760"/>
        </w:tabs>
        <w:ind w:left="5760" w:hanging="360"/>
      </w:pPr>
      <w:rPr>
        <w:rFonts w:ascii="Courier New" w:hAnsi="Courier New" w:hint="default"/>
      </w:rPr>
    </w:lvl>
    <w:lvl w:ilvl="8" w:tplc="E85A64F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0E19AD"/>
    <w:multiLevelType w:val="hybridMultilevel"/>
    <w:tmpl w:val="62F82E72"/>
    <w:lvl w:ilvl="0" w:tplc="5B5420E2">
      <w:start w:val="1"/>
      <w:numFmt w:val="bullet"/>
      <w:lvlText w:val=""/>
      <w:lvlJc w:val="left"/>
      <w:pPr>
        <w:ind w:left="720" w:hanging="360"/>
      </w:pPr>
      <w:rPr>
        <w:rFonts w:ascii="Symbol" w:hAnsi="Symbol" w:hint="default"/>
        <w:sz w:val="22"/>
      </w:rPr>
    </w:lvl>
    <w:lvl w:ilvl="1" w:tplc="FAB48F98" w:tentative="1">
      <w:start w:val="1"/>
      <w:numFmt w:val="bullet"/>
      <w:lvlText w:val="o"/>
      <w:lvlJc w:val="left"/>
      <w:pPr>
        <w:ind w:left="1440" w:hanging="360"/>
      </w:pPr>
      <w:rPr>
        <w:rFonts w:ascii="Courier New" w:hAnsi="Courier New" w:cs="Courier New" w:hint="default"/>
      </w:rPr>
    </w:lvl>
    <w:lvl w:ilvl="2" w:tplc="49442412" w:tentative="1">
      <w:start w:val="1"/>
      <w:numFmt w:val="bullet"/>
      <w:lvlText w:val=""/>
      <w:lvlJc w:val="left"/>
      <w:pPr>
        <w:ind w:left="2160" w:hanging="360"/>
      </w:pPr>
      <w:rPr>
        <w:rFonts w:ascii="Wingdings" w:hAnsi="Wingdings" w:hint="default"/>
      </w:rPr>
    </w:lvl>
    <w:lvl w:ilvl="3" w:tplc="2DC64F4E" w:tentative="1">
      <w:start w:val="1"/>
      <w:numFmt w:val="bullet"/>
      <w:lvlText w:val=""/>
      <w:lvlJc w:val="left"/>
      <w:pPr>
        <w:ind w:left="2880" w:hanging="360"/>
      </w:pPr>
      <w:rPr>
        <w:rFonts w:ascii="Symbol" w:hAnsi="Symbol" w:hint="default"/>
      </w:rPr>
    </w:lvl>
    <w:lvl w:ilvl="4" w:tplc="DC58B3DE" w:tentative="1">
      <w:start w:val="1"/>
      <w:numFmt w:val="bullet"/>
      <w:lvlText w:val="o"/>
      <w:lvlJc w:val="left"/>
      <w:pPr>
        <w:ind w:left="3600" w:hanging="360"/>
      </w:pPr>
      <w:rPr>
        <w:rFonts w:ascii="Courier New" w:hAnsi="Courier New" w:cs="Courier New" w:hint="default"/>
      </w:rPr>
    </w:lvl>
    <w:lvl w:ilvl="5" w:tplc="E0CA4252" w:tentative="1">
      <w:start w:val="1"/>
      <w:numFmt w:val="bullet"/>
      <w:lvlText w:val=""/>
      <w:lvlJc w:val="left"/>
      <w:pPr>
        <w:ind w:left="4320" w:hanging="360"/>
      </w:pPr>
      <w:rPr>
        <w:rFonts w:ascii="Wingdings" w:hAnsi="Wingdings" w:hint="default"/>
      </w:rPr>
    </w:lvl>
    <w:lvl w:ilvl="6" w:tplc="A558A298" w:tentative="1">
      <w:start w:val="1"/>
      <w:numFmt w:val="bullet"/>
      <w:lvlText w:val=""/>
      <w:lvlJc w:val="left"/>
      <w:pPr>
        <w:ind w:left="5040" w:hanging="360"/>
      </w:pPr>
      <w:rPr>
        <w:rFonts w:ascii="Symbol" w:hAnsi="Symbol" w:hint="default"/>
      </w:rPr>
    </w:lvl>
    <w:lvl w:ilvl="7" w:tplc="44DC34A4" w:tentative="1">
      <w:start w:val="1"/>
      <w:numFmt w:val="bullet"/>
      <w:lvlText w:val="o"/>
      <w:lvlJc w:val="left"/>
      <w:pPr>
        <w:ind w:left="5760" w:hanging="360"/>
      </w:pPr>
      <w:rPr>
        <w:rFonts w:ascii="Courier New" w:hAnsi="Courier New" w:cs="Courier New" w:hint="default"/>
      </w:rPr>
    </w:lvl>
    <w:lvl w:ilvl="8" w:tplc="ECE24FFA" w:tentative="1">
      <w:start w:val="1"/>
      <w:numFmt w:val="bullet"/>
      <w:lvlText w:val=""/>
      <w:lvlJc w:val="left"/>
      <w:pPr>
        <w:ind w:left="6480" w:hanging="360"/>
      </w:pPr>
      <w:rPr>
        <w:rFonts w:ascii="Wingdings" w:hAnsi="Wingdings" w:hint="default"/>
      </w:rPr>
    </w:lvl>
  </w:abstractNum>
  <w:abstractNum w:abstractNumId="16" w15:restartNumberingAfterBreak="0">
    <w:nsid w:val="0D9373B7"/>
    <w:multiLevelType w:val="hybridMultilevel"/>
    <w:tmpl w:val="00D64E7A"/>
    <w:lvl w:ilvl="0" w:tplc="AA029BD8">
      <w:start w:val="1"/>
      <w:numFmt w:val="decimal"/>
      <w:lvlText w:val="%1."/>
      <w:lvlJc w:val="left"/>
      <w:pPr>
        <w:ind w:left="720" w:hanging="360"/>
      </w:pPr>
    </w:lvl>
    <w:lvl w:ilvl="1" w:tplc="3C1C8972" w:tentative="1">
      <w:start w:val="1"/>
      <w:numFmt w:val="lowerLetter"/>
      <w:lvlText w:val="%2."/>
      <w:lvlJc w:val="left"/>
      <w:pPr>
        <w:ind w:left="1440" w:hanging="360"/>
      </w:pPr>
    </w:lvl>
    <w:lvl w:ilvl="2" w:tplc="496E7C9C" w:tentative="1">
      <w:start w:val="1"/>
      <w:numFmt w:val="lowerRoman"/>
      <w:lvlText w:val="%3."/>
      <w:lvlJc w:val="right"/>
      <w:pPr>
        <w:ind w:left="2160" w:hanging="180"/>
      </w:pPr>
    </w:lvl>
    <w:lvl w:ilvl="3" w:tplc="D65AF85C" w:tentative="1">
      <w:start w:val="1"/>
      <w:numFmt w:val="decimal"/>
      <w:lvlText w:val="%4."/>
      <w:lvlJc w:val="left"/>
      <w:pPr>
        <w:ind w:left="2880" w:hanging="360"/>
      </w:pPr>
    </w:lvl>
    <w:lvl w:ilvl="4" w:tplc="A10246BC" w:tentative="1">
      <w:start w:val="1"/>
      <w:numFmt w:val="lowerLetter"/>
      <w:lvlText w:val="%5."/>
      <w:lvlJc w:val="left"/>
      <w:pPr>
        <w:ind w:left="3600" w:hanging="360"/>
      </w:pPr>
    </w:lvl>
    <w:lvl w:ilvl="5" w:tplc="19786070" w:tentative="1">
      <w:start w:val="1"/>
      <w:numFmt w:val="lowerRoman"/>
      <w:lvlText w:val="%6."/>
      <w:lvlJc w:val="right"/>
      <w:pPr>
        <w:ind w:left="4320" w:hanging="180"/>
      </w:pPr>
    </w:lvl>
    <w:lvl w:ilvl="6" w:tplc="25B64296" w:tentative="1">
      <w:start w:val="1"/>
      <w:numFmt w:val="decimal"/>
      <w:lvlText w:val="%7."/>
      <w:lvlJc w:val="left"/>
      <w:pPr>
        <w:ind w:left="5040" w:hanging="360"/>
      </w:pPr>
    </w:lvl>
    <w:lvl w:ilvl="7" w:tplc="F5ECDF0C" w:tentative="1">
      <w:start w:val="1"/>
      <w:numFmt w:val="lowerLetter"/>
      <w:lvlText w:val="%8."/>
      <w:lvlJc w:val="left"/>
      <w:pPr>
        <w:ind w:left="5760" w:hanging="360"/>
      </w:pPr>
    </w:lvl>
    <w:lvl w:ilvl="8" w:tplc="7A30E07E" w:tentative="1">
      <w:start w:val="1"/>
      <w:numFmt w:val="lowerRoman"/>
      <w:lvlText w:val="%9."/>
      <w:lvlJc w:val="right"/>
      <w:pPr>
        <w:ind w:left="6480" w:hanging="180"/>
      </w:pPr>
    </w:lvl>
  </w:abstractNum>
  <w:abstractNum w:abstractNumId="17" w15:restartNumberingAfterBreak="0">
    <w:nsid w:val="0E2724F4"/>
    <w:multiLevelType w:val="hybridMultilevel"/>
    <w:tmpl w:val="D07E0594"/>
    <w:lvl w:ilvl="0" w:tplc="F718E776">
      <w:start w:val="1"/>
      <w:numFmt w:val="bullet"/>
      <w:lvlText w:val=""/>
      <w:lvlJc w:val="left"/>
      <w:pPr>
        <w:ind w:left="720" w:hanging="360"/>
      </w:pPr>
      <w:rPr>
        <w:rFonts w:ascii="Symbol" w:hAnsi="Symbol" w:hint="default"/>
      </w:rPr>
    </w:lvl>
    <w:lvl w:ilvl="1" w:tplc="4AB0B724" w:tentative="1">
      <w:start w:val="1"/>
      <w:numFmt w:val="bullet"/>
      <w:lvlText w:val="o"/>
      <w:lvlJc w:val="left"/>
      <w:pPr>
        <w:ind w:left="1440" w:hanging="360"/>
      </w:pPr>
      <w:rPr>
        <w:rFonts w:ascii="Courier New" w:hAnsi="Courier New" w:cs="Courier New" w:hint="default"/>
      </w:rPr>
    </w:lvl>
    <w:lvl w:ilvl="2" w:tplc="89F4D058" w:tentative="1">
      <w:start w:val="1"/>
      <w:numFmt w:val="bullet"/>
      <w:lvlText w:val=""/>
      <w:lvlJc w:val="left"/>
      <w:pPr>
        <w:ind w:left="2160" w:hanging="360"/>
      </w:pPr>
      <w:rPr>
        <w:rFonts w:ascii="Wingdings" w:hAnsi="Wingdings" w:hint="default"/>
      </w:rPr>
    </w:lvl>
    <w:lvl w:ilvl="3" w:tplc="3CA60D64" w:tentative="1">
      <w:start w:val="1"/>
      <w:numFmt w:val="bullet"/>
      <w:lvlText w:val=""/>
      <w:lvlJc w:val="left"/>
      <w:pPr>
        <w:ind w:left="2880" w:hanging="360"/>
      </w:pPr>
      <w:rPr>
        <w:rFonts w:ascii="Symbol" w:hAnsi="Symbol" w:hint="default"/>
      </w:rPr>
    </w:lvl>
    <w:lvl w:ilvl="4" w:tplc="F5567774" w:tentative="1">
      <w:start w:val="1"/>
      <w:numFmt w:val="bullet"/>
      <w:lvlText w:val="o"/>
      <w:lvlJc w:val="left"/>
      <w:pPr>
        <w:ind w:left="3600" w:hanging="360"/>
      </w:pPr>
      <w:rPr>
        <w:rFonts w:ascii="Courier New" w:hAnsi="Courier New" w:cs="Courier New" w:hint="default"/>
      </w:rPr>
    </w:lvl>
    <w:lvl w:ilvl="5" w:tplc="1302A4A0" w:tentative="1">
      <w:start w:val="1"/>
      <w:numFmt w:val="bullet"/>
      <w:lvlText w:val=""/>
      <w:lvlJc w:val="left"/>
      <w:pPr>
        <w:ind w:left="4320" w:hanging="360"/>
      </w:pPr>
      <w:rPr>
        <w:rFonts w:ascii="Wingdings" w:hAnsi="Wingdings" w:hint="default"/>
      </w:rPr>
    </w:lvl>
    <w:lvl w:ilvl="6" w:tplc="218A1E74" w:tentative="1">
      <w:start w:val="1"/>
      <w:numFmt w:val="bullet"/>
      <w:lvlText w:val=""/>
      <w:lvlJc w:val="left"/>
      <w:pPr>
        <w:ind w:left="5040" w:hanging="360"/>
      </w:pPr>
      <w:rPr>
        <w:rFonts w:ascii="Symbol" w:hAnsi="Symbol" w:hint="default"/>
      </w:rPr>
    </w:lvl>
    <w:lvl w:ilvl="7" w:tplc="8D6617DC" w:tentative="1">
      <w:start w:val="1"/>
      <w:numFmt w:val="bullet"/>
      <w:lvlText w:val="o"/>
      <w:lvlJc w:val="left"/>
      <w:pPr>
        <w:ind w:left="5760" w:hanging="360"/>
      </w:pPr>
      <w:rPr>
        <w:rFonts w:ascii="Courier New" w:hAnsi="Courier New" w:cs="Courier New" w:hint="default"/>
      </w:rPr>
    </w:lvl>
    <w:lvl w:ilvl="8" w:tplc="D7F67CAC" w:tentative="1">
      <w:start w:val="1"/>
      <w:numFmt w:val="bullet"/>
      <w:lvlText w:val=""/>
      <w:lvlJc w:val="left"/>
      <w:pPr>
        <w:ind w:left="6480" w:hanging="360"/>
      </w:pPr>
      <w:rPr>
        <w:rFonts w:ascii="Wingdings" w:hAnsi="Wingdings" w:hint="default"/>
      </w:rPr>
    </w:lvl>
  </w:abstractNum>
  <w:abstractNum w:abstractNumId="18"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9" w15:restartNumberingAfterBreak="0">
    <w:nsid w:val="0E9175C1"/>
    <w:multiLevelType w:val="hybridMultilevel"/>
    <w:tmpl w:val="C48E00B8"/>
    <w:lvl w:ilvl="0" w:tplc="DDEE75A6">
      <w:start w:val="1"/>
      <w:numFmt w:val="bullet"/>
      <w:lvlText w:val=""/>
      <w:lvlJc w:val="left"/>
      <w:pPr>
        <w:ind w:left="720" w:hanging="360"/>
      </w:pPr>
      <w:rPr>
        <w:rFonts w:ascii="Symbol" w:hAnsi="Symbol" w:hint="default"/>
        <w:sz w:val="22"/>
      </w:rPr>
    </w:lvl>
    <w:lvl w:ilvl="1" w:tplc="F710A314" w:tentative="1">
      <w:start w:val="1"/>
      <w:numFmt w:val="bullet"/>
      <w:lvlText w:val="o"/>
      <w:lvlJc w:val="left"/>
      <w:pPr>
        <w:ind w:left="1440" w:hanging="360"/>
      </w:pPr>
      <w:rPr>
        <w:rFonts w:ascii="Courier New" w:hAnsi="Courier New" w:cs="Courier New" w:hint="default"/>
      </w:rPr>
    </w:lvl>
    <w:lvl w:ilvl="2" w:tplc="D1125B7C" w:tentative="1">
      <w:start w:val="1"/>
      <w:numFmt w:val="bullet"/>
      <w:lvlText w:val=""/>
      <w:lvlJc w:val="left"/>
      <w:pPr>
        <w:ind w:left="2160" w:hanging="360"/>
      </w:pPr>
      <w:rPr>
        <w:rFonts w:ascii="Wingdings" w:hAnsi="Wingdings" w:hint="default"/>
      </w:rPr>
    </w:lvl>
    <w:lvl w:ilvl="3" w:tplc="0238814C" w:tentative="1">
      <w:start w:val="1"/>
      <w:numFmt w:val="bullet"/>
      <w:lvlText w:val=""/>
      <w:lvlJc w:val="left"/>
      <w:pPr>
        <w:ind w:left="2880" w:hanging="360"/>
      </w:pPr>
      <w:rPr>
        <w:rFonts w:ascii="Symbol" w:hAnsi="Symbol" w:hint="default"/>
      </w:rPr>
    </w:lvl>
    <w:lvl w:ilvl="4" w:tplc="AE3EF3F4" w:tentative="1">
      <w:start w:val="1"/>
      <w:numFmt w:val="bullet"/>
      <w:lvlText w:val="o"/>
      <w:lvlJc w:val="left"/>
      <w:pPr>
        <w:ind w:left="3600" w:hanging="360"/>
      </w:pPr>
      <w:rPr>
        <w:rFonts w:ascii="Courier New" w:hAnsi="Courier New" w:cs="Courier New" w:hint="default"/>
      </w:rPr>
    </w:lvl>
    <w:lvl w:ilvl="5" w:tplc="79647DF6" w:tentative="1">
      <w:start w:val="1"/>
      <w:numFmt w:val="bullet"/>
      <w:lvlText w:val=""/>
      <w:lvlJc w:val="left"/>
      <w:pPr>
        <w:ind w:left="4320" w:hanging="360"/>
      </w:pPr>
      <w:rPr>
        <w:rFonts w:ascii="Wingdings" w:hAnsi="Wingdings" w:hint="default"/>
      </w:rPr>
    </w:lvl>
    <w:lvl w:ilvl="6" w:tplc="BA04DC9C" w:tentative="1">
      <w:start w:val="1"/>
      <w:numFmt w:val="bullet"/>
      <w:lvlText w:val=""/>
      <w:lvlJc w:val="left"/>
      <w:pPr>
        <w:ind w:left="5040" w:hanging="360"/>
      </w:pPr>
      <w:rPr>
        <w:rFonts w:ascii="Symbol" w:hAnsi="Symbol" w:hint="default"/>
      </w:rPr>
    </w:lvl>
    <w:lvl w:ilvl="7" w:tplc="FBDEF56C" w:tentative="1">
      <w:start w:val="1"/>
      <w:numFmt w:val="bullet"/>
      <w:lvlText w:val="o"/>
      <w:lvlJc w:val="left"/>
      <w:pPr>
        <w:ind w:left="5760" w:hanging="360"/>
      </w:pPr>
      <w:rPr>
        <w:rFonts w:ascii="Courier New" w:hAnsi="Courier New" w:cs="Courier New" w:hint="default"/>
      </w:rPr>
    </w:lvl>
    <w:lvl w:ilvl="8" w:tplc="F4E0D81A" w:tentative="1">
      <w:start w:val="1"/>
      <w:numFmt w:val="bullet"/>
      <w:lvlText w:val=""/>
      <w:lvlJc w:val="left"/>
      <w:pPr>
        <w:ind w:left="6480" w:hanging="360"/>
      </w:pPr>
      <w:rPr>
        <w:rFonts w:ascii="Wingdings" w:hAnsi="Wingdings" w:hint="default"/>
      </w:rPr>
    </w:lvl>
  </w:abstractNum>
  <w:abstractNum w:abstractNumId="20" w15:restartNumberingAfterBreak="0">
    <w:nsid w:val="125615C1"/>
    <w:multiLevelType w:val="hybridMultilevel"/>
    <w:tmpl w:val="A9BE5326"/>
    <w:lvl w:ilvl="0" w:tplc="A8AA199E">
      <w:start w:val="1"/>
      <w:numFmt w:val="bullet"/>
      <w:lvlText w:val="-"/>
      <w:lvlJc w:val="left"/>
      <w:pPr>
        <w:ind w:left="360" w:hanging="360"/>
      </w:pPr>
    </w:lvl>
    <w:lvl w:ilvl="1" w:tplc="0A5CD7BA" w:tentative="1">
      <w:start w:val="1"/>
      <w:numFmt w:val="bullet"/>
      <w:lvlText w:val="o"/>
      <w:lvlJc w:val="left"/>
      <w:pPr>
        <w:ind w:left="1080" w:hanging="360"/>
      </w:pPr>
      <w:rPr>
        <w:rFonts w:ascii="Courier New" w:hAnsi="Courier New" w:cs="Courier New" w:hint="default"/>
      </w:rPr>
    </w:lvl>
    <w:lvl w:ilvl="2" w:tplc="B850699A" w:tentative="1">
      <w:start w:val="1"/>
      <w:numFmt w:val="bullet"/>
      <w:lvlText w:val=""/>
      <w:lvlJc w:val="left"/>
      <w:pPr>
        <w:ind w:left="1800" w:hanging="360"/>
      </w:pPr>
      <w:rPr>
        <w:rFonts w:ascii="Wingdings" w:hAnsi="Wingdings" w:hint="default"/>
      </w:rPr>
    </w:lvl>
    <w:lvl w:ilvl="3" w:tplc="9604A624" w:tentative="1">
      <w:start w:val="1"/>
      <w:numFmt w:val="bullet"/>
      <w:lvlText w:val=""/>
      <w:lvlJc w:val="left"/>
      <w:pPr>
        <w:ind w:left="2520" w:hanging="360"/>
      </w:pPr>
      <w:rPr>
        <w:rFonts w:ascii="Symbol" w:hAnsi="Symbol" w:hint="default"/>
      </w:rPr>
    </w:lvl>
    <w:lvl w:ilvl="4" w:tplc="47920306" w:tentative="1">
      <w:start w:val="1"/>
      <w:numFmt w:val="bullet"/>
      <w:lvlText w:val="o"/>
      <w:lvlJc w:val="left"/>
      <w:pPr>
        <w:ind w:left="3240" w:hanging="360"/>
      </w:pPr>
      <w:rPr>
        <w:rFonts w:ascii="Courier New" w:hAnsi="Courier New" w:cs="Courier New" w:hint="default"/>
      </w:rPr>
    </w:lvl>
    <w:lvl w:ilvl="5" w:tplc="35068C06" w:tentative="1">
      <w:start w:val="1"/>
      <w:numFmt w:val="bullet"/>
      <w:lvlText w:val=""/>
      <w:lvlJc w:val="left"/>
      <w:pPr>
        <w:ind w:left="3960" w:hanging="360"/>
      </w:pPr>
      <w:rPr>
        <w:rFonts w:ascii="Wingdings" w:hAnsi="Wingdings" w:hint="default"/>
      </w:rPr>
    </w:lvl>
    <w:lvl w:ilvl="6" w:tplc="48042FE0" w:tentative="1">
      <w:start w:val="1"/>
      <w:numFmt w:val="bullet"/>
      <w:lvlText w:val=""/>
      <w:lvlJc w:val="left"/>
      <w:pPr>
        <w:ind w:left="4680" w:hanging="360"/>
      </w:pPr>
      <w:rPr>
        <w:rFonts w:ascii="Symbol" w:hAnsi="Symbol" w:hint="default"/>
      </w:rPr>
    </w:lvl>
    <w:lvl w:ilvl="7" w:tplc="EF924EDE" w:tentative="1">
      <w:start w:val="1"/>
      <w:numFmt w:val="bullet"/>
      <w:lvlText w:val="o"/>
      <w:lvlJc w:val="left"/>
      <w:pPr>
        <w:ind w:left="5400" w:hanging="360"/>
      </w:pPr>
      <w:rPr>
        <w:rFonts w:ascii="Courier New" w:hAnsi="Courier New" w:cs="Courier New" w:hint="default"/>
      </w:rPr>
    </w:lvl>
    <w:lvl w:ilvl="8" w:tplc="29B45FA6" w:tentative="1">
      <w:start w:val="1"/>
      <w:numFmt w:val="bullet"/>
      <w:lvlText w:val=""/>
      <w:lvlJc w:val="left"/>
      <w:pPr>
        <w:ind w:left="6120" w:hanging="360"/>
      </w:pPr>
      <w:rPr>
        <w:rFonts w:ascii="Wingdings" w:hAnsi="Wingdings" w:hint="default"/>
      </w:rPr>
    </w:lvl>
  </w:abstractNum>
  <w:abstractNum w:abstractNumId="21" w15:restartNumberingAfterBreak="0">
    <w:nsid w:val="13056DE2"/>
    <w:multiLevelType w:val="hybridMultilevel"/>
    <w:tmpl w:val="A68CC55C"/>
    <w:lvl w:ilvl="0" w:tplc="89D092D6">
      <w:start w:val="1"/>
      <w:numFmt w:val="bullet"/>
      <w:lvlText w:val=""/>
      <w:lvlJc w:val="left"/>
      <w:pPr>
        <w:tabs>
          <w:tab w:val="num" w:pos="720"/>
        </w:tabs>
        <w:ind w:left="720" w:hanging="360"/>
      </w:pPr>
      <w:rPr>
        <w:rFonts w:ascii="Symbol" w:hAnsi="Symbol" w:hint="default"/>
      </w:rPr>
    </w:lvl>
    <w:lvl w:ilvl="1" w:tplc="C5EC7132" w:tentative="1">
      <w:start w:val="1"/>
      <w:numFmt w:val="bullet"/>
      <w:lvlText w:val="o"/>
      <w:lvlJc w:val="left"/>
      <w:pPr>
        <w:tabs>
          <w:tab w:val="num" w:pos="1440"/>
        </w:tabs>
        <w:ind w:left="1440" w:hanging="360"/>
      </w:pPr>
      <w:rPr>
        <w:rFonts w:ascii="Courier New" w:hAnsi="Courier New" w:cs="Courier New" w:hint="default"/>
      </w:rPr>
    </w:lvl>
    <w:lvl w:ilvl="2" w:tplc="25823D88" w:tentative="1">
      <w:start w:val="1"/>
      <w:numFmt w:val="bullet"/>
      <w:lvlText w:val=""/>
      <w:lvlJc w:val="left"/>
      <w:pPr>
        <w:tabs>
          <w:tab w:val="num" w:pos="2160"/>
        </w:tabs>
        <w:ind w:left="2160" w:hanging="360"/>
      </w:pPr>
      <w:rPr>
        <w:rFonts w:ascii="Wingdings" w:hAnsi="Wingdings" w:hint="default"/>
      </w:rPr>
    </w:lvl>
    <w:lvl w:ilvl="3" w:tplc="FA6C8588" w:tentative="1">
      <w:start w:val="1"/>
      <w:numFmt w:val="bullet"/>
      <w:lvlText w:val=""/>
      <w:lvlJc w:val="left"/>
      <w:pPr>
        <w:tabs>
          <w:tab w:val="num" w:pos="2880"/>
        </w:tabs>
        <w:ind w:left="2880" w:hanging="360"/>
      </w:pPr>
      <w:rPr>
        <w:rFonts w:ascii="Symbol" w:hAnsi="Symbol" w:hint="default"/>
      </w:rPr>
    </w:lvl>
    <w:lvl w:ilvl="4" w:tplc="25EA0DFA" w:tentative="1">
      <w:start w:val="1"/>
      <w:numFmt w:val="bullet"/>
      <w:lvlText w:val="o"/>
      <w:lvlJc w:val="left"/>
      <w:pPr>
        <w:tabs>
          <w:tab w:val="num" w:pos="3600"/>
        </w:tabs>
        <w:ind w:left="3600" w:hanging="360"/>
      </w:pPr>
      <w:rPr>
        <w:rFonts w:ascii="Courier New" w:hAnsi="Courier New" w:cs="Courier New" w:hint="default"/>
      </w:rPr>
    </w:lvl>
    <w:lvl w:ilvl="5" w:tplc="A7BE9AC4" w:tentative="1">
      <w:start w:val="1"/>
      <w:numFmt w:val="bullet"/>
      <w:lvlText w:val=""/>
      <w:lvlJc w:val="left"/>
      <w:pPr>
        <w:tabs>
          <w:tab w:val="num" w:pos="4320"/>
        </w:tabs>
        <w:ind w:left="4320" w:hanging="360"/>
      </w:pPr>
      <w:rPr>
        <w:rFonts w:ascii="Wingdings" w:hAnsi="Wingdings" w:hint="default"/>
      </w:rPr>
    </w:lvl>
    <w:lvl w:ilvl="6" w:tplc="CC346DBE" w:tentative="1">
      <w:start w:val="1"/>
      <w:numFmt w:val="bullet"/>
      <w:lvlText w:val=""/>
      <w:lvlJc w:val="left"/>
      <w:pPr>
        <w:tabs>
          <w:tab w:val="num" w:pos="5040"/>
        </w:tabs>
        <w:ind w:left="5040" w:hanging="360"/>
      </w:pPr>
      <w:rPr>
        <w:rFonts w:ascii="Symbol" w:hAnsi="Symbol" w:hint="default"/>
      </w:rPr>
    </w:lvl>
    <w:lvl w:ilvl="7" w:tplc="A7865228" w:tentative="1">
      <w:start w:val="1"/>
      <w:numFmt w:val="bullet"/>
      <w:lvlText w:val="o"/>
      <w:lvlJc w:val="left"/>
      <w:pPr>
        <w:tabs>
          <w:tab w:val="num" w:pos="5760"/>
        </w:tabs>
        <w:ind w:left="5760" w:hanging="360"/>
      </w:pPr>
      <w:rPr>
        <w:rFonts w:ascii="Courier New" w:hAnsi="Courier New" w:cs="Courier New" w:hint="default"/>
      </w:rPr>
    </w:lvl>
    <w:lvl w:ilvl="8" w:tplc="57500D6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3C54EE"/>
    <w:multiLevelType w:val="hybridMultilevel"/>
    <w:tmpl w:val="4DCE4C8C"/>
    <w:lvl w:ilvl="0" w:tplc="75105B68">
      <w:start w:val="1"/>
      <w:numFmt w:val="bullet"/>
      <w:lvlText w:val=""/>
      <w:lvlJc w:val="left"/>
      <w:pPr>
        <w:tabs>
          <w:tab w:val="num" w:pos="567"/>
        </w:tabs>
        <w:ind w:left="567" w:hanging="567"/>
      </w:pPr>
      <w:rPr>
        <w:rFonts w:ascii="Symbol" w:hAnsi="Symbol" w:hint="default"/>
      </w:rPr>
    </w:lvl>
    <w:lvl w:ilvl="1" w:tplc="19BA3AFA" w:tentative="1">
      <w:start w:val="1"/>
      <w:numFmt w:val="bullet"/>
      <w:lvlText w:val="o"/>
      <w:lvlJc w:val="left"/>
      <w:pPr>
        <w:tabs>
          <w:tab w:val="num" w:pos="1440"/>
        </w:tabs>
        <w:ind w:left="1440" w:hanging="360"/>
      </w:pPr>
      <w:rPr>
        <w:rFonts w:ascii="Courier New" w:hAnsi="Courier New" w:hint="default"/>
      </w:rPr>
    </w:lvl>
    <w:lvl w:ilvl="2" w:tplc="1C1CB038" w:tentative="1">
      <w:start w:val="1"/>
      <w:numFmt w:val="bullet"/>
      <w:lvlText w:val=""/>
      <w:lvlJc w:val="left"/>
      <w:pPr>
        <w:tabs>
          <w:tab w:val="num" w:pos="2160"/>
        </w:tabs>
        <w:ind w:left="2160" w:hanging="360"/>
      </w:pPr>
      <w:rPr>
        <w:rFonts w:ascii="Wingdings" w:hAnsi="Wingdings" w:hint="default"/>
      </w:rPr>
    </w:lvl>
    <w:lvl w:ilvl="3" w:tplc="D25458A2" w:tentative="1">
      <w:start w:val="1"/>
      <w:numFmt w:val="bullet"/>
      <w:lvlText w:val=""/>
      <w:lvlJc w:val="left"/>
      <w:pPr>
        <w:tabs>
          <w:tab w:val="num" w:pos="2880"/>
        </w:tabs>
        <w:ind w:left="2880" w:hanging="360"/>
      </w:pPr>
      <w:rPr>
        <w:rFonts w:ascii="Symbol" w:hAnsi="Symbol" w:hint="default"/>
      </w:rPr>
    </w:lvl>
    <w:lvl w:ilvl="4" w:tplc="A48062AE" w:tentative="1">
      <w:start w:val="1"/>
      <w:numFmt w:val="bullet"/>
      <w:lvlText w:val="o"/>
      <w:lvlJc w:val="left"/>
      <w:pPr>
        <w:tabs>
          <w:tab w:val="num" w:pos="3600"/>
        </w:tabs>
        <w:ind w:left="3600" w:hanging="360"/>
      </w:pPr>
      <w:rPr>
        <w:rFonts w:ascii="Courier New" w:hAnsi="Courier New" w:hint="default"/>
      </w:rPr>
    </w:lvl>
    <w:lvl w:ilvl="5" w:tplc="2BBC34BE" w:tentative="1">
      <w:start w:val="1"/>
      <w:numFmt w:val="bullet"/>
      <w:lvlText w:val=""/>
      <w:lvlJc w:val="left"/>
      <w:pPr>
        <w:tabs>
          <w:tab w:val="num" w:pos="4320"/>
        </w:tabs>
        <w:ind w:left="4320" w:hanging="360"/>
      </w:pPr>
      <w:rPr>
        <w:rFonts w:ascii="Wingdings" w:hAnsi="Wingdings" w:hint="default"/>
      </w:rPr>
    </w:lvl>
    <w:lvl w:ilvl="6" w:tplc="AE74084E" w:tentative="1">
      <w:start w:val="1"/>
      <w:numFmt w:val="bullet"/>
      <w:lvlText w:val=""/>
      <w:lvlJc w:val="left"/>
      <w:pPr>
        <w:tabs>
          <w:tab w:val="num" w:pos="5040"/>
        </w:tabs>
        <w:ind w:left="5040" w:hanging="360"/>
      </w:pPr>
      <w:rPr>
        <w:rFonts w:ascii="Symbol" w:hAnsi="Symbol" w:hint="default"/>
      </w:rPr>
    </w:lvl>
    <w:lvl w:ilvl="7" w:tplc="ED206D36" w:tentative="1">
      <w:start w:val="1"/>
      <w:numFmt w:val="bullet"/>
      <w:lvlText w:val="o"/>
      <w:lvlJc w:val="left"/>
      <w:pPr>
        <w:tabs>
          <w:tab w:val="num" w:pos="5760"/>
        </w:tabs>
        <w:ind w:left="5760" w:hanging="360"/>
      </w:pPr>
      <w:rPr>
        <w:rFonts w:ascii="Courier New" w:hAnsi="Courier New" w:hint="default"/>
      </w:rPr>
    </w:lvl>
    <w:lvl w:ilvl="8" w:tplc="53DC83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7861B4"/>
    <w:multiLevelType w:val="hybridMultilevel"/>
    <w:tmpl w:val="407074E2"/>
    <w:lvl w:ilvl="0" w:tplc="BBDECC00">
      <w:start w:val="1"/>
      <w:numFmt w:val="bullet"/>
      <w:lvlText w:val=""/>
      <w:lvlJc w:val="left"/>
      <w:pPr>
        <w:tabs>
          <w:tab w:val="num" w:pos="567"/>
        </w:tabs>
        <w:ind w:left="567" w:hanging="567"/>
      </w:pPr>
      <w:rPr>
        <w:rFonts w:ascii="Symbol" w:hAnsi="Symbol" w:hint="default"/>
      </w:rPr>
    </w:lvl>
    <w:lvl w:ilvl="1" w:tplc="90EC2D4C" w:tentative="1">
      <w:start w:val="1"/>
      <w:numFmt w:val="bullet"/>
      <w:lvlText w:val="o"/>
      <w:lvlJc w:val="left"/>
      <w:pPr>
        <w:tabs>
          <w:tab w:val="num" w:pos="1440"/>
        </w:tabs>
        <w:ind w:left="1440" w:hanging="360"/>
      </w:pPr>
      <w:rPr>
        <w:rFonts w:ascii="Courier New" w:hAnsi="Courier New" w:cs="Courier New" w:hint="default"/>
      </w:rPr>
    </w:lvl>
    <w:lvl w:ilvl="2" w:tplc="04823C9C" w:tentative="1">
      <w:start w:val="1"/>
      <w:numFmt w:val="bullet"/>
      <w:lvlText w:val=""/>
      <w:lvlJc w:val="left"/>
      <w:pPr>
        <w:tabs>
          <w:tab w:val="num" w:pos="2160"/>
        </w:tabs>
        <w:ind w:left="2160" w:hanging="360"/>
      </w:pPr>
      <w:rPr>
        <w:rFonts w:ascii="Wingdings" w:hAnsi="Wingdings" w:hint="default"/>
      </w:rPr>
    </w:lvl>
    <w:lvl w:ilvl="3" w:tplc="B128BBD2" w:tentative="1">
      <w:start w:val="1"/>
      <w:numFmt w:val="bullet"/>
      <w:lvlText w:val=""/>
      <w:lvlJc w:val="left"/>
      <w:pPr>
        <w:tabs>
          <w:tab w:val="num" w:pos="2880"/>
        </w:tabs>
        <w:ind w:left="2880" w:hanging="360"/>
      </w:pPr>
      <w:rPr>
        <w:rFonts w:ascii="Symbol" w:hAnsi="Symbol" w:hint="default"/>
      </w:rPr>
    </w:lvl>
    <w:lvl w:ilvl="4" w:tplc="E8C69990" w:tentative="1">
      <w:start w:val="1"/>
      <w:numFmt w:val="bullet"/>
      <w:lvlText w:val="o"/>
      <w:lvlJc w:val="left"/>
      <w:pPr>
        <w:tabs>
          <w:tab w:val="num" w:pos="3600"/>
        </w:tabs>
        <w:ind w:left="3600" w:hanging="360"/>
      </w:pPr>
      <w:rPr>
        <w:rFonts w:ascii="Courier New" w:hAnsi="Courier New" w:cs="Courier New" w:hint="default"/>
      </w:rPr>
    </w:lvl>
    <w:lvl w:ilvl="5" w:tplc="C6FA0C06" w:tentative="1">
      <w:start w:val="1"/>
      <w:numFmt w:val="bullet"/>
      <w:lvlText w:val=""/>
      <w:lvlJc w:val="left"/>
      <w:pPr>
        <w:tabs>
          <w:tab w:val="num" w:pos="4320"/>
        </w:tabs>
        <w:ind w:left="4320" w:hanging="360"/>
      </w:pPr>
      <w:rPr>
        <w:rFonts w:ascii="Wingdings" w:hAnsi="Wingdings" w:hint="default"/>
      </w:rPr>
    </w:lvl>
    <w:lvl w:ilvl="6" w:tplc="8D58146E" w:tentative="1">
      <w:start w:val="1"/>
      <w:numFmt w:val="bullet"/>
      <w:lvlText w:val=""/>
      <w:lvlJc w:val="left"/>
      <w:pPr>
        <w:tabs>
          <w:tab w:val="num" w:pos="5040"/>
        </w:tabs>
        <w:ind w:left="5040" w:hanging="360"/>
      </w:pPr>
      <w:rPr>
        <w:rFonts w:ascii="Symbol" w:hAnsi="Symbol" w:hint="default"/>
      </w:rPr>
    </w:lvl>
    <w:lvl w:ilvl="7" w:tplc="17C6562E" w:tentative="1">
      <w:start w:val="1"/>
      <w:numFmt w:val="bullet"/>
      <w:lvlText w:val="o"/>
      <w:lvlJc w:val="left"/>
      <w:pPr>
        <w:tabs>
          <w:tab w:val="num" w:pos="5760"/>
        </w:tabs>
        <w:ind w:left="5760" w:hanging="360"/>
      </w:pPr>
      <w:rPr>
        <w:rFonts w:ascii="Courier New" w:hAnsi="Courier New" w:cs="Courier New" w:hint="default"/>
      </w:rPr>
    </w:lvl>
    <w:lvl w:ilvl="8" w:tplc="9C1C73C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DC2E74"/>
    <w:multiLevelType w:val="hybridMultilevel"/>
    <w:tmpl w:val="A0EACD7A"/>
    <w:lvl w:ilvl="0" w:tplc="498C167A">
      <w:start w:val="1"/>
      <w:numFmt w:val="bullet"/>
      <w:lvlText w:val=""/>
      <w:lvlJc w:val="left"/>
      <w:pPr>
        <w:ind w:left="720" w:hanging="360"/>
      </w:pPr>
      <w:rPr>
        <w:rFonts w:ascii="Symbol" w:hAnsi="Symbol" w:hint="default"/>
        <w:sz w:val="22"/>
      </w:rPr>
    </w:lvl>
    <w:lvl w:ilvl="1" w:tplc="B1CA428C" w:tentative="1">
      <w:start w:val="1"/>
      <w:numFmt w:val="bullet"/>
      <w:lvlText w:val="o"/>
      <w:lvlJc w:val="left"/>
      <w:pPr>
        <w:ind w:left="1440" w:hanging="360"/>
      </w:pPr>
      <w:rPr>
        <w:rFonts w:ascii="Courier New" w:hAnsi="Courier New" w:cs="Courier New" w:hint="default"/>
      </w:rPr>
    </w:lvl>
    <w:lvl w:ilvl="2" w:tplc="6BA06242" w:tentative="1">
      <w:start w:val="1"/>
      <w:numFmt w:val="bullet"/>
      <w:lvlText w:val=""/>
      <w:lvlJc w:val="left"/>
      <w:pPr>
        <w:ind w:left="2160" w:hanging="360"/>
      </w:pPr>
      <w:rPr>
        <w:rFonts w:ascii="Wingdings" w:hAnsi="Wingdings" w:hint="default"/>
      </w:rPr>
    </w:lvl>
    <w:lvl w:ilvl="3" w:tplc="E8603BBE" w:tentative="1">
      <w:start w:val="1"/>
      <w:numFmt w:val="bullet"/>
      <w:lvlText w:val=""/>
      <w:lvlJc w:val="left"/>
      <w:pPr>
        <w:ind w:left="2880" w:hanging="360"/>
      </w:pPr>
      <w:rPr>
        <w:rFonts w:ascii="Symbol" w:hAnsi="Symbol" w:hint="default"/>
      </w:rPr>
    </w:lvl>
    <w:lvl w:ilvl="4" w:tplc="452038D8" w:tentative="1">
      <w:start w:val="1"/>
      <w:numFmt w:val="bullet"/>
      <w:lvlText w:val="o"/>
      <w:lvlJc w:val="left"/>
      <w:pPr>
        <w:ind w:left="3600" w:hanging="360"/>
      </w:pPr>
      <w:rPr>
        <w:rFonts w:ascii="Courier New" w:hAnsi="Courier New" w:cs="Courier New" w:hint="default"/>
      </w:rPr>
    </w:lvl>
    <w:lvl w:ilvl="5" w:tplc="3FF04864" w:tentative="1">
      <w:start w:val="1"/>
      <w:numFmt w:val="bullet"/>
      <w:lvlText w:val=""/>
      <w:lvlJc w:val="left"/>
      <w:pPr>
        <w:ind w:left="4320" w:hanging="360"/>
      </w:pPr>
      <w:rPr>
        <w:rFonts w:ascii="Wingdings" w:hAnsi="Wingdings" w:hint="default"/>
      </w:rPr>
    </w:lvl>
    <w:lvl w:ilvl="6" w:tplc="81262460" w:tentative="1">
      <w:start w:val="1"/>
      <w:numFmt w:val="bullet"/>
      <w:lvlText w:val=""/>
      <w:lvlJc w:val="left"/>
      <w:pPr>
        <w:ind w:left="5040" w:hanging="360"/>
      </w:pPr>
      <w:rPr>
        <w:rFonts w:ascii="Symbol" w:hAnsi="Symbol" w:hint="default"/>
      </w:rPr>
    </w:lvl>
    <w:lvl w:ilvl="7" w:tplc="CE26FD7C" w:tentative="1">
      <w:start w:val="1"/>
      <w:numFmt w:val="bullet"/>
      <w:lvlText w:val="o"/>
      <w:lvlJc w:val="left"/>
      <w:pPr>
        <w:ind w:left="5760" w:hanging="360"/>
      </w:pPr>
      <w:rPr>
        <w:rFonts w:ascii="Courier New" w:hAnsi="Courier New" w:cs="Courier New" w:hint="default"/>
      </w:rPr>
    </w:lvl>
    <w:lvl w:ilvl="8" w:tplc="1C369FD8" w:tentative="1">
      <w:start w:val="1"/>
      <w:numFmt w:val="bullet"/>
      <w:lvlText w:val=""/>
      <w:lvlJc w:val="left"/>
      <w:pPr>
        <w:ind w:left="6480" w:hanging="360"/>
      </w:pPr>
      <w:rPr>
        <w:rFonts w:ascii="Wingdings" w:hAnsi="Wingdings" w:hint="default"/>
      </w:rPr>
    </w:lvl>
  </w:abstractNum>
  <w:abstractNum w:abstractNumId="25" w15:restartNumberingAfterBreak="0">
    <w:nsid w:val="172C1EF9"/>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26" w15:restartNumberingAfterBreak="0">
    <w:nsid w:val="17B002E3"/>
    <w:multiLevelType w:val="hybridMultilevel"/>
    <w:tmpl w:val="23084B34"/>
    <w:lvl w:ilvl="0" w:tplc="D5B072B8">
      <w:start w:val="1"/>
      <w:numFmt w:val="bullet"/>
      <w:lvlText w:val=""/>
      <w:lvlJc w:val="left"/>
      <w:pPr>
        <w:tabs>
          <w:tab w:val="num" w:pos="720"/>
        </w:tabs>
        <w:ind w:left="720" w:hanging="360"/>
      </w:pPr>
      <w:rPr>
        <w:rFonts w:ascii="Symbol" w:hAnsi="Symbol" w:hint="default"/>
      </w:rPr>
    </w:lvl>
    <w:lvl w:ilvl="1" w:tplc="84C885BE" w:tentative="1">
      <w:start w:val="1"/>
      <w:numFmt w:val="bullet"/>
      <w:lvlText w:val="o"/>
      <w:lvlJc w:val="left"/>
      <w:pPr>
        <w:tabs>
          <w:tab w:val="num" w:pos="1440"/>
        </w:tabs>
        <w:ind w:left="1440" w:hanging="360"/>
      </w:pPr>
      <w:rPr>
        <w:rFonts w:ascii="Courier New" w:hAnsi="Courier New" w:cs="Courier New" w:hint="default"/>
      </w:rPr>
    </w:lvl>
    <w:lvl w:ilvl="2" w:tplc="403228E2" w:tentative="1">
      <w:start w:val="1"/>
      <w:numFmt w:val="bullet"/>
      <w:lvlText w:val=""/>
      <w:lvlJc w:val="left"/>
      <w:pPr>
        <w:tabs>
          <w:tab w:val="num" w:pos="2160"/>
        </w:tabs>
        <w:ind w:left="2160" w:hanging="360"/>
      </w:pPr>
      <w:rPr>
        <w:rFonts w:ascii="Wingdings" w:hAnsi="Wingdings" w:hint="default"/>
      </w:rPr>
    </w:lvl>
    <w:lvl w:ilvl="3" w:tplc="C5BEC472" w:tentative="1">
      <w:start w:val="1"/>
      <w:numFmt w:val="bullet"/>
      <w:lvlText w:val=""/>
      <w:lvlJc w:val="left"/>
      <w:pPr>
        <w:tabs>
          <w:tab w:val="num" w:pos="2880"/>
        </w:tabs>
        <w:ind w:left="2880" w:hanging="360"/>
      </w:pPr>
      <w:rPr>
        <w:rFonts w:ascii="Symbol" w:hAnsi="Symbol" w:hint="default"/>
      </w:rPr>
    </w:lvl>
    <w:lvl w:ilvl="4" w:tplc="E0DE56A8" w:tentative="1">
      <w:start w:val="1"/>
      <w:numFmt w:val="bullet"/>
      <w:lvlText w:val="o"/>
      <w:lvlJc w:val="left"/>
      <w:pPr>
        <w:tabs>
          <w:tab w:val="num" w:pos="3600"/>
        </w:tabs>
        <w:ind w:left="3600" w:hanging="360"/>
      </w:pPr>
      <w:rPr>
        <w:rFonts w:ascii="Courier New" w:hAnsi="Courier New" w:cs="Courier New" w:hint="default"/>
      </w:rPr>
    </w:lvl>
    <w:lvl w:ilvl="5" w:tplc="D6AACDA2" w:tentative="1">
      <w:start w:val="1"/>
      <w:numFmt w:val="bullet"/>
      <w:lvlText w:val=""/>
      <w:lvlJc w:val="left"/>
      <w:pPr>
        <w:tabs>
          <w:tab w:val="num" w:pos="4320"/>
        </w:tabs>
        <w:ind w:left="4320" w:hanging="360"/>
      </w:pPr>
      <w:rPr>
        <w:rFonts w:ascii="Wingdings" w:hAnsi="Wingdings" w:hint="default"/>
      </w:rPr>
    </w:lvl>
    <w:lvl w:ilvl="6" w:tplc="3DF2D44A" w:tentative="1">
      <w:start w:val="1"/>
      <w:numFmt w:val="bullet"/>
      <w:lvlText w:val=""/>
      <w:lvlJc w:val="left"/>
      <w:pPr>
        <w:tabs>
          <w:tab w:val="num" w:pos="5040"/>
        </w:tabs>
        <w:ind w:left="5040" w:hanging="360"/>
      </w:pPr>
      <w:rPr>
        <w:rFonts w:ascii="Symbol" w:hAnsi="Symbol" w:hint="default"/>
      </w:rPr>
    </w:lvl>
    <w:lvl w:ilvl="7" w:tplc="9A704F60" w:tentative="1">
      <w:start w:val="1"/>
      <w:numFmt w:val="bullet"/>
      <w:lvlText w:val="o"/>
      <w:lvlJc w:val="left"/>
      <w:pPr>
        <w:tabs>
          <w:tab w:val="num" w:pos="5760"/>
        </w:tabs>
        <w:ind w:left="5760" w:hanging="360"/>
      </w:pPr>
      <w:rPr>
        <w:rFonts w:ascii="Courier New" w:hAnsi="Courier New" w:cs="Courier New" w:hint="default"/>
      </w:rPr>
    </w:lvl>
    <w:lvl w:ilvl="8" w:tplc="931896B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A930CE"/>
    <w:multiLevelType w:val="hybridMultilevel"/>
    <w:tmpl w:val="36A26B74"/>
    <w:lvl w:ilvl="0" w:tplc="6D4EBE3C">
      <w:start w:val="1"/>
      <w:numFmt w:val="bullet"/>
      <w:lvlText w:val=""/>
      <w:lvlJc w:val="left"/>
      <w:pPr>
        <w:tabs>
          <w:tab w:val="num" w:pos="720"/>
        </w:tabs>
        <w:ind w:left="720" w:hanging="360"/>
      </w:pPr>
      <w:rPr>
        <w:rFonts w:ascii="Symbol" w:hAnsi="Symbol" w:hint="default"/>
      </w:rPr>
    </w:lvl>
    <w:lvl w:ilvl="1" w:tplc="9BDA689A" w:tentative="1">
      <w:start w:val="1"/>
      <w:numFmt w:val="bullet"/>
      <w:lvlText w:val="o"/>
      <w:lvlJc w:val="left"/>
      <w:pPr>
        <w:tabs>
          <w:tab w:val="num" w:pos="1440"/>
        </w:tabs>
        <w:ind w:left="1440" w:hanging="360"/>
      </w:pPr>
      <w:rPr>
        <w:rFonts w:ascii="Courier New" w:hAnsi="Courier New" w:hint="default"/>
      </w:rPr>
    </w:lvl>
    <w:lvl w:ilvl="2" w:tplc="50B8056C" w:tentative="1">
      <w:start w:val="1"/>
      <w:numFmt w:val="bullet"/>
      <w:lvlText w:val=""/>
      <w:lvlJc w:val="left"/>
      <w:pPr>
        <w:tabs>
          <w:tab w:val="num" w:pos="2160"/>
        </w:tabs>
        <w:ind w:left="2160" w:hanging="360"/>
      </w:pPr>
      <w:rPr>
        <w:rFonts w:ascii="Wingdings" w:hAnsi="Wingdings" w:hint="default"/>
      </w:rPr>
    </w:lvl>
    <w:lvl w:ilvl="3" w:tplc="5728287C" w:tentative="1">
      <w:start w:val="1"/>
      <w:numFmt w:val="bullet"/>
      <w:lvlText w:val=""/>
      <w:lvlJc w:val="left"/>
      <w:pPr>
        <w:tabs>
          <w:tab w:val="num" w:pos="2880"/>
        </w:tabs>
        <w:ind w:left="2880" w:hanging="360"/>
      </w:pPr>
      <w:rPr>
        <w:rFonts w:ascii="Symbol" w:hAnsi="Symbol" w:hint="default"/>
      </w:rPr>
    </w:lvl>
    <w:lvl w:ilvl="4" w:tplc="6316B0AA" w:tentative="1">
      <w:start w:val="1"/>
      <w:numFmt w:val="bullet"/>
      <w:lvlText w:val="o"/>
      <w:lvlJc w:val="left"/>
      <w:pPr>
        <w:tabs>
          <w:tab w:val="num" w:pos="3600"/>
        </w:tabs>
        <w:ind w:left="3600" w:hanging="360"/>
      </w:pPr>
      <w:rPr>
        <w:rFonts w:ascii="Courier New" w:hAnsi="Courier New" w:hint="default"/>
      </w:rPr>
    </w:lvl>
    <w:lvl w:ilvl="5" w:tplc="FC7832AC" w:tentative="1">
      <w:start w:val="1"/>
      <w:numFmt w:val="bullet"/>
      <w:lvlText w:val=""/>
      <w:lvlJc w:val="left"/>
      <w:pPr>
        <w:tabs>
          <w:tab w:val="num" w:pos="4320"/>
        </w:tabs>
        <w:ind w:left="4320" w:hanging="360"/>
      </w:pPr>
      <w:rPr>
        <w:rFonts w:ascii="Wingdings" w:hAnsi="Wingdings" w:hint="default"/>
      </w:rPr>
    </w:lvl>
    <w:lvl w:ilvl="6" w:tplc="590EE938" w:tentative="1">
      <w:start w:val="1"/>
      <w:numFmt w:val="bullet"/>
      <w:lvlText w:val=""/>
      <w:lvlJc w:val="left"/>
      <w:pPr>
        <w:tabs>
          <w:tab w:val="num" w:pos="5040"/>
        </w:tabs>
        <w:ind w:left="5040" w:hanging="360"/>
      </w:pPr>
      <w:rPr>
        <w:rFonts w:ascii="Symbol" w:hAnsi="Symbol" w:hint="default"/>
      </w:rPr>
    </w:lvl>
    <w:lvl w:ilvl="7" w:tplc="A95241D4" w:tentative="1">
      <w:start w:val="1"/>
      <w:numFmt w:val="bullet"/>
      <w:lvlText w:val="o"/>
      <w:lvlJc w:val="left"/>
      <w:pPr>
        <w:tabs>
          <w:tab w:val="num" w:pos="5760"/>
        </w:tabs>
        <w:ind w:left="5760" w:hanging="360"/>
      </w:pPr>
      <w:rPr>
        <w:rFonts w:ascii="Courier New" w:hAnsi="Courier New" w:hint="default"/>
      </w:rPr>
    </w:lvl>
    <w:lvl w:ilvl="8" w:tplc="D81658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6A3985"/>
    <w:multiLevelType w:val="hybridMultilevel"/>
    <w:tmpl w:val="C24A4168"/>
    <w:lvl w:ilvl="0" w:tplc="149C048A">
      <w:start w:val="1"/>
      <w:numFmt w:val="bullet"/>
      <w:lvlText w:val=""/>
      <w:lvlJc w:val="left"/>
      <w:pPr>
        <w:ind w:left="720" w:hanging="360"/>
      </w:pPr>
      <w:rPr>
        <w:rFonts w:ascii="Symbol" w:hAnsi="Symbol" w:hint="default"/>
      </w:rPr>
    </w:lvl>
    <w:lvl w:ilvl="1" w:tplc="7750B0BA" w:tentative="1">
      <w:start w:val="1"/>
      <w:numFmt w:val="bullet"/>
      <w:lvlText w:val="o"/>
      <w:lvlJc w:val="left"/>
      <w:pPr>
        <w:ind w:left="1440" w:hanging="360"/>
      </w:pPr>
      <w:rPr>
        <w:rFonts w:ascii="Courier New" w:hAnsi="Courier New" w:cs="Courier New" w:hint="default"/>
      </w:rPr>
    </w:lvl>
    <w:lvl w:ilvl="2" w:tplc="6DB40298" w:tentative="1">
      <w:start w:val="1"/>
      <w:numFmt w:val="bullet"/>
      <w:lvlText w:val=""/>
      <w:lvlJc w:val="left"/>
      <w:pPr>
        <w:ind w:left="2160" w:hanging="360"/>
      </w:pPr>
      <w:rPr>
        <w:rFonts w:ascii="Wingdings" w:hAnsi="Wingdings" w:hint="default"/>
      </w:rPr>
    </w:lvl>
    <w:lvl w:ilvl="3" w:tplc="E398CBC0" w:tentative="1">
      <w:start w:val="1"/>
      <w:numFmt w:val="bullet"/>
      <w:lvlText w:val=""/>
      <w:lvlJc w:val="left"/>
      <w:pPr>
        <w:ind w:left="2880" w:hanging="360"/>
      </w:pPr>
      <w:rPr>
        <w:rFonts w:ascii="Symbol" w:hAnsi="Symbol" w:hint="default"/>
      </w:rPr>
    </w:lvl>
    <w:lvl w:ilvl="4" w:tplc="F8A686F8" w:tentative="1">
      <w:start w:val="1"/>
      <w:numFmt w:val="bullet"/>
      <w:lvlText w:val="o"/>
      <w:lvlJc w:val="left"/>
      <w:pPr>
        <w:ind w:left="3600" w:hanging="360"/>
      </w:pPr>
      <w:rPr>
        <w:rFonts w:ascii="Courier New" w:hAnsi="Courier New" w:cs="Courier New" w:hint="default"/>
      </w:rPr>
    </w:lvl>
    <w:lvl w:ilvl="5" w:tplc="478C3A76" w:tentative="1">
      <w:start w:val="1"/>
      <w:numFmt w:val="bullet"/>
      <w:lvlText w:val=""/>
      <w:lvlJc w:val="left"/>
      <w:pPr>
        <w:ind w:left="4320" w:hanging="360"/>
      </w:pPr>
      <w:rPr>
        <w:rFonts w:ascii="Wingdings" w:hAnsi="Wingdings" w:hint="default"/>
      </w:rPr>
    </w:lvl>
    <w:lvl w:ilvl="6" w:tplc="5120A80A" w:tentative="1">
      <w:start w:val="1"/>
      <w:numFmt w:val="bullet"/>
      <w:lvlText w:val=""/>
      <w:lvlJc w:val="left"/>
      <w:pPr>
        <w:ind w:left="5040" w:hanging="360"/>
      </w:pPr>
      <w:rPr>
        <w:rFonts w:ascii="Symbol" w:hAnsi="Symbol" w:hint="default"/>
      </w:rPr>
    </w:lvl>
    <w:lvl w:ilvl="7" w:tplc="378686B8" w:tentative="1">
      <w:start w:val="1"/>
      <w:numFmt w:val="bullet"/>
      <w:lvlText w:val="o"/>
      <w:lvlJc w:val="left"/>
      <w:pPr>
        <w:ind w:left="5760" w:hanging="360"/>
      </w:pPr>
      <w:rPr>
        <w:rFonts w:ascii="Courier New" w:hAnsi="Courier New" w:cs="Courier New" w:hint="default"/>
      </w:rPr>
    </w:lvl>
    <w:lvl w:ilvl="8" w:tplc="A5D2D5E0" w:tentative="1">
      <w:start w:val="1"/>
      <w:numFmt w:val="bullet"/>
      <w:lvlText w:val=""/>
      <w:lvlJc w:val="left"/>
      <w:pPr>
        <w:ind w:left="6480" w:hanging="360"/>
      </w:pPr>
      <w:rPr>
        <w:rFonts w:ascii="Wingdings" w:hAnsi="Wingdings" w:hint="default"/>
      </w:rPr>
    </w:lvl>
  </w:abstractNum>
  <w:abstractNum w:abstractNumId="29" w15:restartNumberingAfterBreak="0">
    <w:nsid w:val="19C71633"/>
    <w:multiLevelType w:val="hybridMultilevel"/>
    <w:tmpl w:val="C736F24C"/>
    <w:lvl w:ilvl="0" w:tplc="617E9F72">
      <w:start w:val="1"/>
      <w:numFmt w:val="bullet"/>
      <w:lvlText w:val=""/>
      <w:lvlJc w:val="left"/>
      <w:pPr>
        <w:ind w:left="720" w:hanging="360"/>
      </w:pPr>
      <w:rPr>
        <w:rFonts w:ascii="Symbol" w:hAnsi="Symbol" w:hint="default"/>
        <w:sz w:val="22"/>
      </w:rPr>
    </w:lvl>
    <w:lvl w:ilvl="1" w:tplc="80DE40F4" w:tentative="1">
      <w:start w:val="1"/>
      <w:numFmt w:val="bullet"/>
      <w:lvlText w:val="o"/>
      <w:lvlJc w:val="left"/>
      <w:pPr>
        <w:ind w:left="1440" w:hanging="360"/>
      </w:pPr>
      <w:rPr>
        <w:rFonts w:ascii="Courier New" w:hAnsi="Courier New" w:cs="Courier New" w:hint="default"/>
      </w:rPr>
    </w:lvl>
    <w:lvl w:ilvl="2" w:tplc="4170D534" w:tentative="1">
      <w:start w:val="1"/>
      <w:numFmt w:val="bullet"/>
      <w:lvlText w:val=""/>
      <w:lvlJc w:val="left"/>
      <w:pPr>
        <w:ind w:left="2160" w:hanging="360"/>
      </w:pPr>
      <w:rPr>
        <w:rFonts w:ascii="Wingdings" w:hAnsi="Wingdings" w:hint="default"/>
      </w:rPr>
    </w:lvl>
    <w:lvl w:ilvl="3" w:tplc="EB92D088" w:tentative="1">
      <w:start w:val="1"/>
      <w:numFmt w:val="bullet"/>
      <w:lvlText w:val=""/>
      <w:lvlJc w:val="left"/>
      <w:pPr>
        <w:ind w:left="2880" w:hanging="360"/>
      </w:pPr>
      <w:rPr>
        <w:rFonts w:ascii="Symbol" w:hAnsi="Symbol" w:hint="default"/>
      </w:rPr>
    </w:lvl>
    <w:lvl w:ilvl="4" w:tplc="94F87B42" w:tentative="1">
      <w:start w:val="1"/>
      <w:numFmt w:val="bullet"/>
      <w:lvlText w:val="o"/>
      <w:lvlJc w:val="left"/>
      <w:pPr>
        <w:ind w:left="3600" w:hanging="360"/>
      </w:pPr>
      <w:rPr>
        <w:rFonts w:ascii="Courier New" w:hAnsi="Courier New" w:cs="Courier New" w:hint="default"/>
      </w:rPr>
    </w:lvl>
    <w:lvl w:ilvl="5" w:tplc="14902546" w:tentative="1">
      <w:start w:val="1"/>
      <w:numFmt w:val="bullet"/>
      <w:lvlText w:val=""/>
      <w:lvlJc w:val="left"/>
      <w:pPr>
        <w:ind w:left="4320" w:hanging="360"/>
      </w:pPr>
      <w:rPr>
        <w:rFonts w:ascii="Wingdings" w:hAnsi="Wingdings" w:hint="default"/>
      </w:rPr>
    </w:lvl>
    <w:lvl w:ilvl="6" w:tplc="4D5416C4" w:tentative="1">
      <w:start w:val="1"/>
      <w:numFmt w:val="bullet"/>
      <w:lvlText w:val=""/>
      <w:lvlJc w:val="left"/>
      <w:pPr>
        <w:ind w:left="5040" w:hanging="360"/>
      </w:pPr>
      <w:rPr>
        <w:rFonts w:ascii="Symbol" w:hAnsi="Symbol" w:hint="default"/>
      </w:rPr>
    </w:lvl>
    <w:lvl w:ilvl="7" w:tplc="B134B988" w:tentative="1">
      <w:start w:val="1"/>
      <w:numFmt w:val="bullet"/>
      <w:lvlText w:val="o"/>
      <w:lvlJc w:val="left"/>
      <w:pPr>
        <w:ind w:left="5760" w:hanging="360"/>
      </w:pPr>
      <w:rPr>
        <w:rFonts w:ascii="Courier New" w:hAnsi="Courier New" w:cs="Courier New" w:hint="default"/>
      </w:rPr>
    </w:lvl>
    <w:lvl w:ilvl="8" w:tplc="30F8289A" w:tentative="1">
      <w:start w:val="1"/>
      <w:numFmt w:val="bullet"/>
      <w:lvlText w:val=""/>
      <w:lvlJc w:val="left"/>
      <w:pPr>
        <w:ind w:left="6480" w:hanging="360"/>
      </w:pPr>
      <w:rPr>
        <w:rFonts w:ascii="Wingdings" w:hAnsi="Wingdings" w:hint="default"/>
      </w:rPr>
    </w:lvl>
  </w:abstractNum>
  <w:abstractNum w:abstractNumId="30" w15:restartNumberingAfterBreak="0">
    <w:nsid w:val="1AFA0C37"/>
    <w:multiLevelType w:val="hybridMultilevel"/>
    <w:tmpl w:val="B7A6F28E"/>
    <w:lvl w:ilvl="0" w:tplc="CC4C2B58">
      <w:start w:val="1"/>
      <w:numFmt w:val="bullet"/>
      <w:lvlText w:val=""/>
      <w:lvlJc w:val="left"/>
      <w:pPr>
        <w:ind w:left="720" w:hanging="360"/>
      </w:pPr>
      <w:rPr>
        <w:rFonts w:ascii="Symbol" w:hAnsi="Symbol" w:hint="default"/>
        <w:sz w:val="22"/>
      </w:rPr>
    </w:lvl>
    <w:lvl w:ilvl="1" w:tplc="588459B8" w:tentative="1">
      <w:start w:val="1"/>
      <w:numFmt w:val="bullet"/>
      <w:lvlText w:val="o"/>
      <w:lvlJc w:val="left"/>
      <w:pPr>
        <w:ind w:left="1440" w:hanging="360"/>
      </w:pPr>
      <w:rPr>
        <w:rFonts w:ascii="Courier New" w:hAnsi="Courier New" w:cs="Courier New" w:hint="default"/>
      </w:rPr>
    </w:lvl>
    <w:lvl w:ilvl="2" w:tplc="6BCCF12E" w:tentative="1">
      <w:start w:val="1"/>
      <w:numFmt w:val="bullet"/>
      <w:lvlText w:val=""/>
      <w:lvlJc w:val="left"/>
      <w:pPr>
        <w:ind w:left="2160" w:hanging="360"/>
      </w:pPr>
      <w:rPr>
        <w:rFonts w:ascii="Wingdings" w:hAnsi="Wingdings" w:hint="default"/>
      </w:rPr>
    </w:lvl>
    <w:lvl w:ilvl="3" w:tplc="0076F9AC" w:tentative="1">
      <w:start w:val="1"/>
      <w:numFmt w:val="bullet"/>
      <w:lvlText w:val=""/>
      <w:lvlJc w:val="left"/>
      <w:pPr>
        <w:ind w:left="2880" w:hanging="360"/>
      </w:pPr>
      <w:rPr>
        <w:rFonts w:ascii="Symbol" w:hAnsi="Symbol" w:hint="default"/>
      </w:rPr>
    </w:lvl>
    <w:lvl w:ilvl="4" w:tplc="FA04209C" w:tentative="1">
      <w:start w:val="1"/>
      <w:numFmt w:val="bullet"/>
      <w:lvlText w:val="o"/>
      <w:lvlJc w:val="left"/>
      <w:pPr>
        <w:ind w:left="3600" w:hanging="360"/>
      </w:pPr>
      <w:rPr>
        <w:rFonts w:ascii="Courier New" w:hAnsi="Courier New" w:cs="Courier New" w:hint="default"/>
      </w:rPr>
    </w:lvl>
    <w:lvl w:ilvl="5" w:tplc="53E61590" w:tentative="1">
      <w:start w:val="1"/>
      <w:numFmt w:val="bullet"/>
      <w:lvlText w:val=""/>
      <w:lvlJc w:val="left"/>
      <w:pPr>
        <w:ind w:left="4320" w:hanging="360"/>
      </w:pPr>
      <w:rPr>
        <w:rFonts w:ascii="Wingdings" w:hAnsi="Wingdings" w:hint="default"/>
      </w:rPr>
    </w:lvl>
    <w:lvl w:ilvl="6" w:tplc="AFDADE18" w:tentative="1">
      <w:start w:val="1"/>
      <w:numFmt w:val="bullet"/>
      <w:lvlText w:val=""/>
      <w:lvlJc w:val="left"/>
      <w:pPr>
        <w:ind w:left="5040" w:hanging="360"/>
      </w:pPr>
      <w:rPr>
        <w:rFonts w:ascii="Symbol" w:hAnsi="Symbol" w:hint="default"/>
      </w:rPr>
    </w:lvl>
    <w:lvl w:ilvl="7" w:tplc="E8F46A8C" w:tentative="1">
      <w:start w:val="1"/>
      <w:numFmt w:val="bullet"/>
      <w:lvlText w:val="o"/>
      <w:lvlJc w:val="left"/>
      <w:pPr>
        <w:ind w:left="5760" w:hanging="360"/>
      </w:pPr>
      <w:rPr>
        <w:rFonts w:ascii="Courier New" w:hAnsi="Courier New" w:cs="Courier New" w:hint="default"/>
      </w:rPr>
    </w:lvl>
    <w:lvl w:ilvl="8" w:tplc="1CA40DD6" w:tentative="1">
      <w:start w:val="1"/>
      <w:numFmt w:val="bullet"/>
      <w:lvlText w:val=""/>
      <w:lvlJc w:val="left"/>
      <w:pPr>
        <w:ind w:left="6480" w:hanging="360"/>
      </w:pPr>
      <w:rPr>
        <w:rFonts w:ascii="Wingdings" w:hAnsi="Wingdings" w:hint="default"/>
      </w:rPr>
    </w:lvl>
  </w:abstractNum>
  <w:abstractNum w:abstractNumId="31" w15:restartNumberingAfterBreak="0">
    <w:nsid w:val="1BA701F1"/>
    <w:multiLevelType w:val="hybridMultilevel"/>
    <w:tmpl w:val="311C64A4"/>
    <w:lvl w:ilvl="0" w:tplc="23EC971E">
      <w:start w:val="1"/>
      <w:numFmt w:val="decimal"/>
      <w:lvlText w:val="%1)"/>
      <w:lvlJc w:val="left"/>
      <w:pPr>
        <w:ind w:left="720" w:hanging="360"/>
      </w:pPr>
      <w:rPr>
        <w:rFonts w:hint="default"/>
      </w:rPr>
    </w:lvl>
    <w:lvl w:ilvl="1" w:tplc="012E7D74" w:tentative="1">
      <w:start w:val="1"/>
      <w:numFmt w:val="lowerLetter"/>
      <w:lvlText w:val="%2."/>
      <w:lvlJc w:val="left"/>
      <w:pPr>
        <w:ind w:left="1440" w:hanging="360"/>
      </w:pPr>
    </w:lvl>
    <w:lvl w:ilvl="2" w:tplc="3A262342" w:tentative="1">
      <w:start w:val="1"/>
      <w:numFmt w:val="lowerRoman"/>
      <w:lvlText w:val="%3."/>
      <w:lvlJc w:val="right"/>
      <w:pPr>
        <w:ind w:left="2160" w:hanging="180"/>
      </w:pPr>
    </w:lvl>
    <w:lvl w:ilvl="3" w:tplc="23BC6ABA" w:tentative="1">
      <w:start w:val="1"/>
      <w:numFmt w:val="decimal"/>
      <w:lvlText w:val="%4."/>
      <w:lvlJc w:val="left"/>
      <w:pPr>
        <w:ind w:left="2880" w:hanging="360"/>
      </w:pPr>
    </w:lvl>
    <w:lvl w:ilvl="4" w:tplc="016012A6" w:tentative="1">
      <w:start w:val="1"/>
      <w:numFmt w:val="lowerLetter"/>
      <w:lvlText w:val="%5."/>
      <w:lvlJc w:val="left"/>
      <w:pPr>
        <w:ind w:left="3600" w:hanging="360"/>
      </w:pPr>
    </w:lvl>
    <w:lvl w:ilvl="5" w:tplc="D0700BCC" w:tentative="1">
      <w:start w:val="1"/>
      <w:numFmt w:val="lowerRoman"/>
      <w:lvlText w:val="%6."/>
      <w:lvlJc w:val="right"/>
      <w:pPr>
        <w:ind w:left="4320" w:hanging="180"/>
      </w:pPr>
    </w:lvl>
    <w:lvl w:ilvl="6" w:tplc="F182B6FE" w:tentative="1">
      <w:start w:val="1"/>
      <w:numFmt w:val="decimal"/>
      <w:lvlText w:val="%7."/>
      <w:lvlJc w:val="left"/>
      <w:pPr>
        <w:ind w:left="5040" w:hanging="360"/>
      </w:pPr>
    </w:lvl>
    <w:lvl w:ilvl="7" w:tplc="9CBE9C22" w:tentative="1">
      <w:start w:val="1"/>
      <w:numFmt w:val="lowerLetter"/>
      <w:lvlText w:val="%8."/>
      <w:lvlJc w:val="left"/>
      <w:pPr>
        <w:ind w:left="5760" w:hanging="360"/>
      </w:pPr>
    </w:lvl>
    <w:lvl w:ilvl="8" w:tplc="4E66EF6C" w:tentative="1">
      <w:start w:val="1"/>
      <w:numFmt w:val="lowerRoman"/>
      <w:lvlText w:val="%9."/>
      <w:lvlJc w:val="right"/>
      <w:pPr>
        <w:ind w:left="6480" w:hanging="180"/>
      </w:pPr>
    </w:lvl>
  </w:abstractNum>
  <w:abstractNum w:abstractNumId="32" w15:restartNumberingAfterBreak="0">
    <w:nsid w:val="1C3C5632"/>
    <w:multiLevelType w:val="hybridMultilevel"/>
    <w:tmpl w:val="2E1A1C02"/>
    <w:lvl w:ilvl="0" w:tplc="29922684">
      <w:start w:val="1"/>
      <w:numFmt w:val="bullet"/>
      <w:lvlText w:val=""/>
      <w:lvlJc w:val="left"/>
      <w:pPr>
        <w:ind w:left="720" w:hanging="360"/>
      </w:pPr>
      <w:rPr>
        <w:rFonts w:ascii="Symbol" w:hAnsi="Symbol" w:hint="default"/>
      </w:rPr>
    </w:lvl>
    <w:lvl w:ilvl="1" w:tplc="E1622F6E" w:tentative="1">
      <w:start w:val="1"/>
      <w:numFmt w:val="bullet"/>
      <w:lvlText w:val="o"/>
      <w:lvlJc w:val="left"/>
      <w:pPr>
        <w:ind w:left="1440" w:hanging="360"/>
      </w:pPr>
      <w:rPr>
        <w:rFonts w:ascii="Courier New" w:hAnsi="Courier New" w:cs="Courier New" w:hint="default"/>
      </w:rPr>
    </w:lvl>
    <w:lvl w:ilvl="2" w:tplc="F3769C68" w:tentative="1">
      <w:start w:val="1"/>
      <w:numFmt w:val="bullet"/>
      <w:lvlText w:val=""/>
      <w:lvlJc w:val="left"/>
      <w:pPr>
        <w:ind w:left="2160" w:hanging="360"/>
      </w:pPr>
      <w:rPr>
        <w:rFonts w:ascii="Wingdings" w:hAnsi="Wingdings" w:hint="default"/>
      </w:rPr>
    </w:lvl>
    <w:lvl w:ilvl="3" w:tplc="CFE405BC" w:tentative="1">
      <w:start w:val="1"/>
      <w:numFmt w:val="bullet"/>
      <w:lvlText w:val=""/>
      <w:lvlJc w:val="left"/>
      <w:pPr>
        <w:ind w:left="2880" w:hanging="360"/>
      </w:pPr>
      <w:rPr>
        <w:rFonts w:ascii="Symbol" w:hAnsi="Symbol" w:hint="default"/>
      </w:rPr>
    </w:lvl>
    <w:lvl w:ilvl="4" w:tplc="43EE7454" w:tentative="1">
      <w:start w:val="1"/>
      <w:numFmt w:val="bullet"/>
      <w:lvlText w:val="o"/>
      <w:lvlJc w:val="left"/>
      <w:pPr>
        <w:ind w:left="3600" w:hanging="360"/>
      </w:pPr>
      <w:rPr>
        <w:rFonts w:ascii="Courier New" w:hAnsi="Courier New" w:cs="Courier New" w:hint="default"/>
      </w:rPr>
    </w:lvl>
    <w:lvl w:ilvl="5" w:tplc="53901C66" w:tentative="1">
      <w:start w:val="1"/>
      <w:numFmt w:val="bullet"/>
      <w:lvlText w:val=""/>
      <w:lvlJc w:val="left"/>
      <w:pPr>
        <w:ind w:left="4320" w:hanging="360"/>
      </w:pPr>
      <w:rPr>
        <w:rFonts w:ascii="Wingdings" w:hAnsi="Wingdings" w:hint="default"/>
      </w:rPr>
    </w:lvl>
    <w:lvl w:ilvl="6" w:tplc="D4984E60" w:tentative="1">
      <w:start w:val="1"/>
      <w:numFmt w:val="bullet"/>
      <w:lvlText w:val=""/>
      <w:lvlJc w:val="left"/>
      <w:pPr>
        <w:ind w:left="5040" w:hanging="360"/>
      </w:pPr>
      <w:rPr>
        <w:rFonts w:ascii="Symbol" w:hAnsi="Symbol" w:hint="default"/>
      </w:rPr>
    </w:lvl>
    <w:lvl w:ilvl="7" w:tplc="1B1C6778" w:tentative="1">
      <w:start w:val="1"/>
      <w:numFmt w:val="bullet"/>
      <w:lvlText w:val="o"/>
      <w:lvlJc w:val="left"/>
      <w:pPr>
        <w:ind w:left="5760" w:hanging="360"/>
      </w:pPr>
      <w:rPr>
        <w:rFonts w:ascii="Courier New" w:hAnsi="Courier New" w:cs="Courier New" w:hint="default"/>
      </w:rPr>
    </w:lvl>
    <w:lvl w:ilvl="8" w:tplc="C3843AA8" w:tentative="1">
      <w:start w:val="1"/>
      <w:numFmt w:val="bullet"/>
      <w:lvlText w:val=""/>
      <w:lvlJc w:val="left"/>
      <w:pPr>
        <w:ind w:left="6480" w:hanging="360"/>
      </w:pPr>
      <w:rPr>
        <w:rFonts w:ascii="Wingdings" w:hAnsi="Wingdings" w:hint="default"/>
      </w:rPr>
    </w:lvl>
  </w:abstractNum>
  <w:abstractNum w:abstractNumId="33" w15:restartNumberingAfterBreak="0">
    <w:nsid w:val="1F2923A4"/>
    <w:multiLevelType w:val="hybridMultilevel"/>
    <w:tmpl w:val="0524A42C"/>
    <w:lvl w:ilvl="0" w:tplc="FF727E26">
      <w:start w:val="1"/>
      <w:numFmt w:val="bullet"/>
      <w:lvlText w:val=""/>
      <w:lvlJc w:val="left"/>
      <w:pPr>
        <w:ind w:left="360" w:hanging="360"/>
      </w:pPr>
      <w:rPr>
        <w:rFonts w:ascii="Symbol" w:hAnsi="Symbol" w:hint="default"/>
      </w:rPr>
    </w:lvl>
    <w:lvl w:ilvl="1" w:tplc="11E86F78" w:tentative="1">
      <w:start w:val="1"/>
      <w:numFmt w:val="bullet"/>
      <w:lvlText w:val="o"/>
      <w:lvlJc w:val="left"/>
      <w:pPr>
        <w:ind w:left="1080" w:hanging="360"/>
      </w:pPr>
      <w:rPr>
        <w:rFonts w:ascii="Courier New" w:hAnsi="Courier New" w:cs="Courier New" w:hint="default"/>
      </w:rPr>
    </w:lvl>
    <w:lvl w:ilvl="2" w:tplc="BE50BA44" w:tentative="1">
      <w:start w:val="1"/>
      <w:numFmt w:val="bullet"/>
      <w:lvlText w:val=""/>
      <w:lvlJc w:val="left"/>
      <w:pPr>
        <w:ind w:left="1800" w:hanging="360"/>
      </w:pPr>
      <w:rPr>
        <w:rFonts w:ascii="Wingdings" w:hAnsi="Wingdings" w:hint="default"/>
      </w:rPr>
    </w:lvl>
    <w:lvl w:ilvl="3" w:tplc="31D08590" w:tentative="1">
      <w:start w:val="1"/>
      <w:numFmt w:val="bullet"/>
      <w:lvlText w:val=""/>
      <w:lvlJc w:val="left"/>
      <w:pPr>
        <w:ind w:left="2520" w:hanging="360"/>
      </w:pPr>
      <w:rPr>
        <w:rFonts w:ascii="Symbol" w:hAnsi="Symbol" w:hint="default"/>
      </w:rPr>
    </w:lvl>
    <w:lvl w:ilvl="4" w:tplc="6D82A22C" w:tentative="1">
      <w:start w:val="1"/>
      <w:numFmt w:val="bullet"/>
      <w:lvlText w:val="o"/>
      <w:lvlJc w:val="left"/>
      <w:pPr>
        <w:ind w:left="3240" w:hanging="360"/>
      </w:pPr>
      <w:rPr>
        <w:rFonts w:ascii="Courier New" w:hAnsi="Courier New" w:cs="Courier New" w:hint="default"/>
      </w:rPr>
    </w:lvl>
    <w:lvl w:ilvl="5" w:tplc="24F8C798" w:tentative="1">
      <w:start w:val="1"/>
      <w:numFmt w:val="bullet"/>
      <w:lvlText w:val=""/>
      <w:lvlJc w:val="left"/>
      <w:pPr>
        <w:ind w:left="3960" w:hanging="360"/>
      </w:pPr>
      <w:rPr>
        <w:rFonts w:ascii="Wingdings" w:hAnsi="Wingdings" w:hint="default"/>
      </w:rPr>
    </w:lvl>
    <w:lvl w:ilvl="6" w:tplc="A4802B8E" w:tentative="1">
      <w:start w:val="1"/>
      <w:numFmt w:val="bullet"/>
      <w:lvlText w:val=""/>
      <w:lvlJc w:val="left"/>
      <w:pPr>
        <w:ind w:left="4680" w:hanging="360"/>
      </w:pPr>
      <w:rPr>
        <w:rFonts w:ascii="Symbol" w:hAnsi="Symbol" w:hint="default"/>
      </w:rPr>
    </w:lvl>
    <w:lvl w:ilvl="7" w:tplc="523ACB66" w:tentative="1">
      <w:start w:val="1"/>
      <w:numFmt w:val="bullet"/>
      <w:lvlText w:val="o"/>
      <w:lvlJc w:val="left"/>
      <w:pPr>
        <w:ind w:left="5400" w:hanging="360"/>
      </w:pPr>
      <w:rPr>
        <w:rFonts w:ascii="Courier New" w:hAnsi="Courier New" w:cs="Courier New" w:hint="default"/>
      </w:rPr>
    </w:lvl>
    <w:lvl w:ilvl="8" w:tplc="C6786CCE" w:tentative="1">
      <w:start w:val="1"/>
      <w:numFmt w:val="bullet"/>
      <w:lvlText w:val=""/>
      <w:lvlJc w:val="left"/>
      <w:pPr>
        <w:ind w:left="6120" w:hanging="360"/>
      </w:pPr>
      <w:rPr>
        <w:rFonts w:ascii="Wingdings" w:hAnsi="Wingdings" w:hint="default"/>
      </w:rPr>
    </w:lvl>
  </w:abstractNum>
  <w:abstractNum w:abstractNumId="34" w15:restartNumberingAfterBreak="0">
    <w:nsid w:val="20B744F6"/>
    <w:multiLevelType w:val="hybridMultilevel"/>
    <w:tmpl w:val="D35AA5D8"/>
    <w:lvl w:ilvl="0" w:tplc="C9DC8298">
      <w:start w:val="1"/>
      <w:numFmt w:val="bullet"/>
      <w:lvlText w:val=""/>
      <w:lvlJc w:val="left"/>
      <w:pPr>
        <w:tabs>
          <w:tab w:val="num" w:pos="720"/>
        </w:tabs>
        <w:ind w:left="720" w:hanging="360"/>
      </w:pPr>
      <w:rPr>
        <w:rFonts w:ascii="Symbol" w:hAnsi="Symbol" w:hint="default"/>
      </w:rPr>
    </w:lvl>
    <w:lvl w:ilvl="1" w:tplc="A4A27BB2" w:tentative="1">
      <w:start w:val="1"/>
      <w:numFmt w:val="bullet"/>
      <w:lvlText w:val="o"/>
      <w:lvlJc w:val="left"/>
      <w:pPr>
        <w:tabs>
          <w:tab w:val="num" w:pos="1440"/>
        </w:tabs>
        <w:ind w:left="1440" w:hanging="360"/>
      </w:pPr>
      <w:rPr>
        <w:rFonts w:ascii="Courier New" w:hAnsi="Courier New" w:cs="Courier New" w:hint="default"/>
      </w:rPr>
    </w:lvl>
    <w:lvl w:ilvl="2" w:tplc="EE98E66E" w:tentative="1">
      <w:start w:val="1"/>
      <w:numFmt w:val="bullet"/>
      <w:lvlText w:val=""/>
      <w:lvlJc w:val="left"/>
      <w:pPr>
        <w:tabs>
          <w:tab w:val="num" w:pos="2160"/>
        </w:tabs>
        <w:ind w:left="2160" w:hanging="360"/>
      </w:pPr>
      <w:rPr>
        <w:rFonts w:ascii="Wingdings" w:hAnsi="Wingdings" w:hint="default"/>
      </w:rPr>
    </w:lvl>
    <w:lvl w:ilvl="3" w:tplc="BC7EB082" w:tentative="1">
      <w:start w:val="1"/>
      <w:numFmt w:val="bullet"/>
      <w:lvlText w:val=""/>
      <w:lvlJc w:val="left"/>
      <w:pPr>
        <w:tabs>
          <w:tab w:val="num" w:pos="2880"/>
        </w:tabs>
        <w:ind w:left="2880" w:hanging="360"/>
      </w:pPr>
      <w:rPr>
        <w:rFonts w:ascii="Symbol" w:hAnsi="Symbol" w:hint="default"/>
      </w:rPr>
    </w:lvl>
    <w:lvl w:ilvl="4" w:tplc="11789C3A" w:tentative="1">
      <w:start w:val="1"/>
      <w:numFmt w:val="bullet"/>
      <w:lvlText w:val="o"/>
      <w:lvlJc w:val="left"/>
      <w:pPr>
        <w:tabs>
          <w:tab w:val="num" w:pos="3600"/>
        </w:tabs>
        <w:ind w:left="3600" w:hanging="360"/>
      </w:pPr>
      <w:rPr>
        <w:rFonts w:ascii="Courier New" w:hAnsi="Courier New" w:cs="Courier New" w:hint="default"/>
      </w:rPr>
    </w:lvl>
    <w:lvl w:ilvl="5" w:tplc="D980C6E0" w:tentative="1">
      <w:start w:val="1"/>
      <w:numFmt w:val="bullet"/>
      <w:lvlText w:val=""/>
      <w:lvlJc w:val="left"/>
      <w:pPr>
        <w:tabs>
          <w:tab w:val="num" w:pos="4320"/>
        </w:tabs>
        <w:ind w:left="4320" w:hanging="360"/>
      </w:pPr>
      <w:rPr>
        <w:rFonts w:ascii="Wingdings" w:hAnsi="Wingdings" w:hint="default"/>
      </w:rPr>
    </w:lvl>
    <w:lvl w:ilvl="6" w:tplc="20E08FA8" w:tentative="1">
      <w:start w:val="1"/>
      <w:numFmt w:val="bullet"/>
      <w:lvlText w:val=""/>
      <w:lvlJc w:val="left"/>
      <w:pPr>
        <w:tabs>
          <w:tab w:val="num" w:pos="5040"/>
        </w:tabs>
        <w:ind w:left="5040" w:hanging="360"/>
      </w:pPr>
      <w:rPr>
        <w:rFonts w:ascii="Symbol" w:hAnsi="Symbol" w:hint="default"/>
      </w:rPr>
    </w:lvl>
    <w:lvl w:ilvl="7" w:tplc="C5780AC2" w:tentative="1">
      <w:start w:val="1"/>
      <w:numFmt w:val="bullet"/>
      <w:lvlText w:val="o"/>
      <w:lvlJc w:val="left"/>
      <w:pPr>
        <w:tabs>
          <w:tab w:val="num" w:pos="5760"/>
        </w:tabs>
        <w:ind w:left="5760" w:hanging="360"/>
      </w:pPr>
      <w:rPr>
        <w:rFonts w:ascii="Courier New" w:hAnsi="Courier New" w:cs="Courier New" w:hint="default"/>
      </w:rPr>
    </w:lvl>
    <w:lvl w:ilvl="8" w:tplc="1744E09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28462AF"/>
    <w:multiLevelType w:val="hybridMultilevel"/>
    <w:tmpl w:val="4F6EAF5A"/>
    <w:lvl w:ilvl="0" w:tplc="0F54710E">
      <w:start w:val="1"/>
      <w:numFmt w:val="bullet"/>
      <w:lvlText w:val=""/>
      <w:lvlJc w:val="left"/>
      <w:pPr>
        <w:ind w:left="720" w:hanging="360"/>
      </w:pPr>
      <w:rPr>
        <w:rFonts w:ascii="Symbol" w:hAnsi="Symbol" w:hint="default"/>
      </w:rPr>
    </w:lvl>
    <w:lvl w:ilvl="1" w:tplc="B13242A4" w:tentative="1">
      <w:start w:val="1"/>
      <w:numFmt w:val="bullet"/>
      <w:lvlText w:val="o"/>
      <w:lvlJc w:val="left"/>
      <w:pPr>
        <w:ind w:left="1440" w:hanging="360"/>
      </w:pPr>
      <w:rPr>
        <w:rFonts w:ascii="Courier New" w:hAnsi="Courier New" w:cs="Courier New" w:hint="default"/>
      </w:rPr>
    </w:lvl>
    <w:lvl w:ilvl="2" w:tplc="E7206E1E" w:tentative="1">
      <w:start w:val="1"/>
      <w:numFmt w:val="bullet"/>
      <w:lvlText w:val=""/>
      <w:lvlJc w:val="left"/>
      <w:pPr>
        <w:ind w:left="2160" w:hanging="360"/>
      </w:pPr>
      <w:rPr>
        <w:rFonts w:ascii="Wingdings" w:hAnsi="Wingdings" w:hint="default"/>
      </w:rPr>
    </w:lvl>
    <w:lvl w:ilvl="3" w:tplc="D04EF05E" w:tentative="1">
      <w:start w:val="1"/>
      <w:numFmt w:val="bullet"/>
      <w:lvlText w:val=""/>
      <w:lvlJc w:val="left"/>
      <w:pPr>
        <w:ind w:left="2880" w:hanging="360"/>
      </w:pPr>
      <w:rPr>
        <w:rFonts w:ascii="Symbol" w:hAnsi="Symbol" w:hint="default"/>
      </w:rPr>
    </w:lvl>
    <w:lvl w:ilvl="4" w:tplc="EEBAEFAE" w:tentative="1">
      <w:start w:val="1"/>
      <w:numFmt w:val="bullet"/>
      <w:lvlText w:val="o"/>
      <w:lvlJc w:val="left"/>
      <w:pPr>
        <w:ind w:left="3600" w:hanging="360"/>
      </w:pPr>
      <w:rPr>
        <w:rFonts w:ascii="Courier New" w:hAnsi="Courier New" w:cs="Courier New" w:hint="default"/>
      </w:rPr>
    </w:lvl>
    <w:lvl w:ilvl="5" w:tplc="842E7358" w:tentative="1">
      <w:start w:val="1"/>
      <w:numFmt w:val="bullet"/>
      <w:lvlText w:val=""/>
      <w:lvlJc w:val="left"/>
      <w:pPr>
        <w:ind w:left="4320" w:hanging="360"/>
      </w:pPr>
      <w:rPr>
        <w:rFonts w:ascii="Wingdings" w:hAnsi="Wingdings" w:hint="default"/>
      </w:rPr>
    </w:lvl>
    <w:lvl w:ilvl="6" w:tplc="8C7E35BC" w:tentative="1">
      <w:start w:val="1"/>
      <w:numFmt w:val="bullet"/>
      <w:lvlText w:val=""/>
      <w:lvlJc w:val="left"/>
      <w:pPr>
        <w:ind w:left="5040" w:hanging="360"/>
      </w:pPr>
      <w:rPr>
        <w:rFonts w:ascii="Symbol" w:hAnsi="Symbol" w:hint="default"/>
      </w:rPr>
    </w:lvl>
    <w:lvl w:ilvl="7" w:tplc="EC3C430A" w:tentative="1">
      <w:start w:val="1"/>
      <w:numFmt w:val="bullet"/>
      <w:lvlText w:val="o"/>
      <w:lvlJc w:val="left"/>
      <w:pPr>
        <w:ind w:left="5760" w:hanging="360"/>
      </w:pPr>
      <w:rPr>
        <w:rFonts w:ascii="Courier New" w:hAnsi="Courier New" w:cs="Courier New" w:hint="default"/>
      </w:rPr>
    </w:lvl>
    <w:lvl w:ilvl="8" w:tplc="65F83C6E" w:tentative="1">
      <w:start w:val="1"/>
      <w:numFmt w:val="bullet"/>
      <w:lvlText w:val=""/>
      <w:lvlJc w:val="left"/>
      <w:pPr>
        <w:ind w:left="6480" w:hanging="360"/>
      </w:pPr>
      <w:rPr>
        <w:rFonts w:ascii="Wingdings" w:hAnsi="Wingdings" w:hint="default"/>
      </w:rPr>
    </w:lvl>
  </w:abstractNum>
  <w:abstractNum w:abstractNumId="36" w15:restartNumberingAfterBreak="0">
    <w:nsid w:val="22E56D15"/>
    <w:multiLevelType w:val="hybridMultilevel"/>
    <w:tmpl w:val="1E089D02"/>
    <w:lvl w:ilvl="0" w:tplc="12A237CA">
      <w:start w:val="1"/>
      <w:numFmt w:val="decimal"/>
      <w:lvlText w:val="%1."/>
      <w:lvlJc w:val="left"/>
      <w:pPr>
        <w:ind w:left="360" w:hanging="360"/>
      </w:pPr>
      <w:rPr>
        <w:rFonts w:hint="default"/>
      </w:rPr>
    </w:lvl>
    <w:lvl w:ilvl="1" w:tplc="98404AE4" w:tentative="1">
      <w:start w:val="1"/>
      <w:numFmt w:val="lowerLetter"/>
      <w:lvlText w:val="%2."/>
      <w:lvlJc w:val="left"/>
      <w:pPr>
        <w:ind w:left="1080" w:hanging="360"/>
      </w:pPr>
    </w:lvl>
    <w:lvl w:ilvl="2" w:tplc="9CD0813C" w:tentative="1">
      <w:start w:val="1"/>
      <w:numFmt w:val="lowerRoman"/>
      <w:lvlText w:val="%3."/>
      <w:lvlJc w:val="right"/>
      <w:pPr>
        <w:ind w:left="1800" w:hanging="180"/>
      </w:pPr>
    </w:lvl>
    <w:lvl w:ilvl="3" w:tplc="625CDD26" w:tentative="1">
      <w:start w:val="1"/>
      <w:numFmt w:val="decimal"/>
      <w:lvlText w:val="%4."/>
      <w:lvlJc w:val="left"/>
      <w:pPr>
        <w:ind w:left="2520" w:hanging="360"/>
      </w:pPr>
    </w:lvl>
    <w:lvl w:ilvl="4" w:tplc="A50089BC" w:tentative="1">
      <w:start w:val="1"/>
      <w:numFmt w:val="lowerLetter"/>
      <w:lvlText w:val="%5."/>
      <w:lvlJc w:val="left"/>
      <w:pPr>
        <w:ind w:left="3240" w:hanging="360"/>
      </w:pPr>
    </w:lvl>
    <w:lvl w:ilvl="5" w:tplc="85B27130" w:tentative="1">
      <w:start w:val="1"/>
      <w:numFmt w:val="lowerRoman"/>
      <w:lvlText w:val="%6."/>
      <w:lvlJc w:val="right"/>
      <w:pPr>
        <w:ind w:left="3960" w:hanging="180"/>
      </w:pPr>
    </w:lvl>
    <w:lvl w:ilvl="6" w:tplc="C85ADD60" w:tentative="1">
      <w:start w:val="1"/>
      <w:numFmt w:val="decimal"/>
      <w:lvlText w:val="%7."/>
      <w:lvlJc w:val="left"/>
      <w:pPr>
        <w:ind w:left="4680" w:hanging="360"/>
      </w:pPr>
    </w:lvl>
    <w:lvl w:ilvl="7" w:tplc="5A9EEAE6" w:tentative="1">
      <w:start w:val="1"/>
      <w:numFmt w:val="lowerLetter"/>
      <w:lvlText w:val="%8."/>
      <w:lvlJc w:val="left"/>
      <w:pPr>
        <w:ind w:left="5400" w:hanging="360"/>
      </w:pPr>
    </w:lvl>
    <w:lvl w:ilvl="8" w:tplc="FC30430C" w:tentative="1">
      <w:start w:val="1"/>
      <w:numFmt w:val="lowerRoman"/>
      <w:lvlText w:val="%9."/>
      <w:lvlJc w:val="right"/>
      <w:pPr>
        <w:ind w:left="6120" w:hanging="180"/>
      </w:pPr>
    </w:lvl>
  </w:abstractNum>
  <w:abstractNum w:abstractNumId="37" w15:restartNumberingAfterBreak="0">
    <w:nsid w:val="234832A1"/>
    <w:multiLevelType w:val="hybridMultilevel"/>
    <w:tmpl w:val="2AAA2B5A"/>
    <w:lvl w:ilvl="0" w:tplc="5B04061E">
      <w:start w:val="1"/>
      <w:numFmt w:val="bullet"/>
      <w:lvlText w:val=""/>
      <w:lvlJc w:val="left"/>
      <w:pPr>
        <w:tabs>
          <w:tab w:val="num" w:pos="1080"/>
        </w:tabs>
        <w:ind w:left="1080" w:hanging="360"/>
      </w:pPr>
      <w:rPr>
        <w:rFonts w:ascii="Symbol" w:hAnsi="Symbol" w:hint="default"/>
      </w:rPr>
    </w:lvl>
    <w:lvl w:ilvl="1" w:tplc="1556C704" w:tentative="1">
      <w:start w:val="1"/>
      <w:numFmt w:val="bullet"/>
      <w:lvlText w:val="o"/>
      <w:lvlJc w:val="left"/>
      <w:pPr>
        <w:tabs>
          <w:tab w:val="num" w:pos="1800"/>
        </w:tabs>
        <w:ind w:left="1800" w:hanging="360"/>
      </w:pPr>
      <w:rPr>
        <w:rFonts w:ascii="Courier New" w:hAnsi="Courier New" w:hint="default"/>
      </w:rPr>
    </w:lvl>
    <w:lvl w:ilvl="2" w:tplc="667E89FC">
      <w:start w:val="1"/>
      <w:numFmt w:val="bullet"/>
      <w:lvlText w:val=""/>
      <w:lvlJc w:val="left"/>
      <w:pPr>
        <w:tabs>
          <w:tab w:val="num" w:pos="2520"/>
        </w:tabs>
        <w:ind w:left="2520" w:hanging="360"/>
      </w:pPr>
      <w:rPr>
        <w:rFonts w:ascii="Wingdings" w:hAnsi="Wingdings" w:hint="default"/>
      </w:rPr>
    </w:lvl>
    <w:lvl w:ilvl="3" w:tplc="07AC9FD6" w:tentative="1">
      <w:start w:val="1"/>
      <w:numFmt w:val="bullet"/>
      <w:lvlText w:val=""/>
      <w:lvlJc w:val="left"/>
      <w:pPr>
        <w:tabs>
          <w:tab w:val="num" w:pos="3240"/>
        </w:tabs>
        <w:ind w:left="3240" w:hanging="360"/>
      </w:pPr>
      <w:rPr>
        <w:rFonts w:ascii="Symbol" w:hAnsi="Symbol" w:hint="default"/>
      </w:rPr>
    </w:lvl>
    <w:lvl w:ilvl="4" w:tplc="5C780070" w:tentative="1">
      <w:start w:val="1"/>
      <w:numFmt w:val="bullet"/>
      <w:lvlText w:val="o"/>
      <w:lvlJc w:val="left"/>
      <w:pPr>
        <w:tabs>
          <w:tab w:val="num" w:pos="3960"/>
        </w:tabs>
        <w:ind w:left="3960" w:hanging="360"/>
      </w:pPr>
      <w:rPr>
        <w:rFonts w:ascii="Courier New" w:hAnsi="Courier New" w:hint="default"/>
      </w:rPr>
    </w:lvl>
    <w:lvl w:ilvl="5" w:tplc="3D80E1C6" w:tentative="1">
      <w:start w:val="1"/>
      <w:numFmt w:val="bullet"/>
      <w:lvlText w:val=""/>
      <w:lvlJc w:val="left"/>
      <w:pPr>
        <w:tabs>
          <w:tab w:val="num" w:pos="4680"/>
        </w:tabs>
        <w:ind w:left="4680" w:hanging="360"/>
      </w:pPr>
      <w:rPr>
        <w:rFonts w:ascii="Wingdings" w:hAnsi="Wingdings" w:hint="default"/>
      </w:rPr>
    </w:lvl>
    <w:lvl w:ilvl="6" w:tplc="1466F56C" w:tentative="1">
      <w:start w:val="1"/>
      <w:numFmt w:val="bullet"/>
      <w:lvlText w:val=""/>
      <w:lvlJc w:val="left"/>
      <w:pPr>
        <w:tabs>
          <w:tab w:val="num" w:pos="5400"/>
        </w:tabs>
        <w:ind w:left="5400" w:hanging="360"/>
      </w:pPr>
      <w:rPr>
        <w:rFonts w:ascii="Symbol" w:hAnsi="Symbol" w:hint="default"/>
      </w:rPr>
    </w:lvl>
    <w:lvl w:ilvl="7" w:tplc="B1848D9E" w:tentative="1">
      <w:start w:val="1"/>
      <w:numFmt w:val="bullet"/>
      <w:lvlText w:val="o"/>
      <w:lvlJc w:val="left"/>
      <w:pPr>
        <w:tabs>
          <w:tab w:val="num" w:pos="6120"/>
        </w:tabs>
        <w:ind w:left="6120" w:hanging="360"/>
      </w:pPr>
      <w:rPr>
        <w:rFonts w:ascii="Courier New" w:hAnsi="Courier New" w:hint="default"/>
      </w:rPr>
    </w:lvl>
    <w:lvl w:ilvl="8" w:tplc="8EA84AD0"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234966CF"/>
    <w:multiLevelType w:val="multilevel"/>
    <w:tmpl w:val="6054CF80"/>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23B35398"/>
    <w:multiLevelType w:val="hybridMultilevel"/>
    <w:tmpl w:val="6A967632"/>
    <w:lvl w:ilvl="0" w:tplc="F4DEA6CC">
      <w:start w:val="1"/>
      <w:numFmt w:val="bullet"/>
      <w:lvlText w:val=""/>
      <w:lvlJc w:val="left"/>
      <w:pPr>
        <w:ind w:left="720" w:hanging="360"/>
      </w:pPr>
      <w:rPr>
        <w:rFonts w:ascii="Symbol" w:hAnsi="Symbol" w:hint="default"/>
      </w:rPr>
    </w:lvl>
    <w:lvl w:ilvl="1" w:tplc="4F9C8A2C" w:tentative="1">
      <w:start w:val="1"/>
      <w:numFmt w:val="bullet"/>
      <w:lvlText w:val="o"/>
      <w:lvlJc w:val="left"/>
      <w:pPr>
        <w:ind w:left="1440" w:hanging="360"/>
      </w:pPr>
      <w:rPr>
        <w:rFonts w:ascii="Courier New" w:hAnsi="Courier New" w:cs="Courier New" w:hint="default"/>
      </w:rPr>
    </w:lvl>
    <w:lvl w:ilvl="2" w:tplc="2BA85042" w:tentative="1">
      <w:start w:val="1"/>
      <w:numFmt w:val="bullet"/>
      <w:lvlText w:val=""/>
      <w:lvlJc w:val="left"/>
      <w:pPr>
        <w:ind w:left="2160" w:hanging="360"/>
      </w:pPr>
      <w:rPr>
        <w:rFonts w:ascii="Wingdings" w:hAnsi="Wingdings" w:hint="default"/>
      </w:rPr>
    </w:lvl>
    <w:lvl w:ilvl="3" w:tplc="48149F52" w:tentative="1">
      <w:start w:val="1"/>
      <w:numFmt w:val="bullet"/>
      <w:lvlText w:val=""/>
      <w:lvlJc w:val="left"/>
      <w:pPr>
        <w:ind w:left="2880" w:hanging="360"/>
      </w:pPr>
      <w:rPr>
        <w:rFonts w:ascii="Symbol" w:hAnsi="Symbol" w:hint="default"/>
      </w:rPr>
    </w:lvl>
    <w:lvl w:ilvl="4" w:tplc="A72A8304" w:tentative="1">
      <w:start w:val="1"/>
      <w:numFmt w:val="bullet"/>
      <w:lvlText w:val="o"/>
      <w:lvlJc w:val="left"/>
      <w:pPr>
        <w:ind w:left="3600" w:hanging="360"/>
      </w:pPr>
      <w:rPr>
        <w:rFonts w:ascii="Courier New" w:hAnsi="Courier New" w:cs="Courier New" w:hint="default"/>
      </w:rPr>
    </w:lvl>
    <w:lvl w:ilvl="5" w:tplc="C77C6806" w:tentative="1">
      <w:start w:val="1"/>
      <w:numFmt w:val="bullet"/>
      <w:lvlText w:val=""/>
      <w:lvlJc w:val="left"/>
      <w:pPr>
        <w:ind w:left="4320" w:hanging="360"/>
      </w:pPr>
      <w:rPr>
        <w:rFonts w:ascii="Wingdings" w:hAnsi="Wingdings" w:hint="default"/>
      </w:rPr>
    </w:lvl>
    <w:lvl w:ilvl="6" w:tplc="254418A2" w:tentative="1">
      <w:start w:val="1"/>
      <w:numFmt w:val="bullet"/>
      <w:lvlText w:val=""/>
      <w:lvlJc w:val="left"/>
      <w:pPr>
        <w:ind w:left="5040" w:hanging="360"/>
      </w:pPr>
      <w:rPr>
        <w:rFonts w:ascii="Symbol" w:hAnsi="Symbol" w:hint="default"/>
      </w:rPr>
    </w:lvl>
    <w:lvl w:ilvl="7" w:tplc="611866C8" w:tentative="1">
      <w:start w:val="1"/>
      <w:numFmt w:val="bullet"/>
      <w:lvlText w:val="o"/>
      <w:lvlJc w:val="left"/>
      <w:pPr>
        <w:ind w:left="5760" w:hanging="360"/>
      </w:pPr>
      <w:rPr>
        <w:rFonts w:ascii="Courier New" w:hAnsi="Courier New" w:cs="Courier New" w:hint="default"/>
      </w:rPr>
    </w:lvl>
    <w:lvl w:ilvl="8" w:tplc="71EC02E8" w:tentative="1">
      <w:start w:val="1"/>
      <w:numFmt w:val="bullet"/>
      <w:lvlText w:val=""/>
      <w:lvlJc w:val="left"/>
      <w:pPr>
        <w:ind w:left="6480" w:hanging="360"/>
      </w:pPr>
      <w:rPr>
        <w:rFonts w:ascii="Wingdings" w:hAnsi="Wingdings" w:hint="default"/>
      </w:rPr>
    </w:lvl>
  </w:abstractNum>
  <w:abstractNum w:abstractNumId="40" w15:restartNumberingAfterBreak="0">
    <w:nsid w:val="23CF6B48"/>
    <w:multiLevelType w:val="hybridMultilevel"/>
    <w:tmpl w:val="DBD043BA"/>
    <w:lvl w:ilvl="0" w:tplc="643494B0">
      <w:start w:val="1"/>
      <w:numFmt w:val="bullet"/>
      <w:lvlText w:val=""/>
      <w:lvlJc w:val="left"/>
      <w:pPr>
        <w:tabs>
          <w:tab w:val="num" w:pos="720"/>
        </w:tabs>
        <w:ind w:left="720" w:hanging="360"/>
      </w:pPr>
      <w:rPr>
        <w:rFonts w:ascii="Symbol" w:hAnsi="Symbol" w:hint="default"/>
      </w:rPr>
    </w:lvl>
    <w:lvl w:ilvl="1" w:tplc="A80C5C68" w:tentative="1">
      <w:start w:val="1"/>
      <w:numFmt w:val="bullet"/>
      <w:lvlText w:val="o"/>
      <w:lvlJc w:val="left"/>
      <w:pPr>
        <w:tabs>
          <w:tab w:val="num" w:pos="1440"/>
        </w:tabs>
        <w:ind w:left="1440" w:hanging="360"/>
      </w:pPr>
      <w:rPr>
        <w:rFonts w:ascii="Courier New" w:hAnsi="Courier New" w:cs="Courier New" w:hint="default"/>
      </w:rPr>
    </w:lvl>
    <w:lvl w:ilvl="2" w:tplc="6478B72C" w:tentative="1">
      <w:start w:val="1"/>
      <w:numFmt w:val="bullet"/>
      <w:lvlText w:val=""/>
      <w:lvlJc w:val="left"/>
      <w:pPr>
        <w:tabs>
          <w:tab w:val="num" w:pos="2160"/>
        </w:tabs>
        <w:ind w:left="2160" w:hanging="360"/>
      </w:pPr>
      <w:rPr>
        <w:rFonts w:ascii="Wingdings" w:hAnsi="Wingdings" w:hint="default"/>
      </w:rPr>
    </w:lvl>
    <w:lvl w:ilvl="3" w:tplc="8BCA517A" w:tentative="1">
      <w:start w:val="1"/>
      <w:numFmt w:val="bullet"/>
      <w:lvlText w:val=""/>
      <w:lvlJc w:val="left"/>
      <w:pPr>
        <w:tabs>
          <w:tab w:val="num" w:pos="2880"/>
        </w:tabs>
        <w:ind w:left="2880" w:hanging="360"/>
      </w:pPr>
      <w:rPr>
        <w:rFonts w:ascii="Symbol" w:hAnsi="Symbol" w:hint="default"/>
      </w:rPr>
    </w:lvl>
    <w:lvl w:ilvl="4" w:tplc="10781A5E" w:tentative="1">
      <w:start w:val="1"/>
      <w:numFmt w:val="bullet"/>
      <w:lvlText w:val="o"/>
      <w:lvlJc w:val="left"/>
      <w:pPr>
        <w:tabs>
          <w:tab w:val="num" w:pos="3600"/>
        </w:tabs>
        <w:ind w:left="3600" w:hanging="360"/>
      </w:pPr>
      <w:rPr>
        <w:rFonts w:ascii="Courier New" w:hAnsi="Courier New" w:cs="Courier New" w:hint="default"/>
      </w:rPr>
    </w:lvl>
    <w:lvl w:ilvl="5" w:tplc="E59ADD92" w:tentative="1">
      <w:start w:val="1"/>
      <w:numFmt w:val="bullet"/>
      <w:lvlText w:val=""/>
      <w:lvlJc w:val="left"/>
      <w:pPr>
        <w:tabs>
          <w:tab w:val="num" w:pos="4320"/>
        </w:tabs>
        <w:ind w:left="4320" w:hanging="360"/>
      </w:pPr>
      <w:rPr>
        <w:rFonts w:ascii="Wingdings" w:hAnsi="Wingdings" w:hint="default"/>
      </w:rPr>
    </w:lvl>
    <w:lvl w:ilvl="6" w:tplc="CE123A66" w:tentative="1">
      <w:start w:val="1"/>
      <w:numFmt w:val="bullet"/>
      <w:lvlText w:val=""/>
      <w:lvlJc w:val="left"/>
      <w:pPr>
        <w:tabs>
          <w:tab w:val="num" w:pos="5040"/>
        </w:tabs>
        <w:ind w:left="5040" w:hanging="360"/>
      </w:pPr>
      <w:rPr>
        <w:rFonts w:ascii="Symbol" w:hAnsi="Symbol" w:hint="default"/>
      </w:rPr>
    </w:lvl>
    <w:lvl w:ilvl="7" w:tplc="D248C94A" w:tentative="1">
      <w:start w:val="1"/>
      <w:numFmt w:val="bullet"/>
      <w:lvlText w:val="o"/>
      <w:lvlJc w:val="left"/>
      <w:pPr>
        <w:tabs>
          <w:tab w:val="num" w:pos="5760"/>
        </w:tabs>
        <w:ind w:left="5760" w:hanging="360"/>
      </w:pPr>
      <w:rPr>
        <w:rFonts w:ascii="Courier New" w:hAnsi="Courier New" w:cs="Courier New" w:hint="default"/>
      </w:rPr>
    </w:lvl>
    <w:lvl w:ilvl="8" w:tplc="C3C4C22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51960AB"/>
    <w:multiLevelType w:val="hybridMultilevel"/>
    <w:tmpl w:val="01F0B2E2"/>
    <w:lvl w:ilvl="0" w:tplc="8FA63566">
      <w:start w:val="1"/>
      <w:numFmt w:val="bullet"/>
      <w:lvlText w:val="o"/>
      <w:lvlJc w:val="left"/>
      <w:pPr>
        <w:tabs>
          <w:tab w:val="num" w:pos="1134"/>
        </w:tabs>
        <w:ind w:left="1134" w:hanging="567"/>
      </w:pPr>
      <w:rPr>
        <w:rFonts w:hint="default"/>
      </w:rPr>
    </w:lvl>
    <w:lvl w:ilvl="1" w:tplc="EE861654">
      <w:start w:val="1"/>
      <w:numFmt w:val="bullet"/>
      <w:lvlText w:val="o"/>
      <w:lvlJc w:val="left"/>
      <w:pPr>
        <w:tabs>
          <w:tab w:val="num" w:pos="1440"/>
        </w:tabs>
        <w:ind w:left="1440" w:hanging="360"/>
      </w:pPr>
      <w:rPr>
        <w:rFonts w:ascii="Courier New" w:hAnsi="Courier New" w:hint="default"/>
      </w:rPr>
    </w:lvl>
    <w:lvl w:ilvl="2" w:tplc="FCF4AF50">
      <w:start w:val="1"/>
      <w:numFmt w:val="bullet"/>
      <w:lvlText w:val=""/>
      <w:lvlJc w:val="left"/>
      <w:pPr>
        <w:tabs>
          <w:tab w:val="num" w:pos="2160"/>
        </w:tabs>
        <w:ind w:left="2160" w:hanging="360"/>
      </w:pPr>
      <w:rPr>
        <w:rFonts w:ascii="Wingdings" w:hAnsi="Wingdings" w:hint="default"/>
      </w:rPr>
    </w:lvl>
    <w:lvl w:ilvl="3" w:tplc="34D42680" w:tentative="1">
      <w:start w:val="1"/>
      <w:numFmt w:val="bullet"/>
      <w:lvlText w:val=""/>
      <w:lvlJc w:val="left"/>
      <w:pPr>
        <w:tabs>
          <w:tab w:val="num" w:pos="2880"/>
        </w:tabs>
        <w:ind w:left="2880" w:hanging="360"/>
      </w:pPr>
      <w:rPr>
        <w:rFonts w:ascii="Symbol" w:hAnsi="Symbol" w:hint="default"/>
      </w:rPr>
    </w:lvl>
    <w:lvl w:ilvl="4" w:tplc="4858A758" w:tentative="1">
      <w:start w:val="1"/>
      <w:numFmt w:val="bullet"/>
      <w:lvlText w:val="o"/>
      <w:lvlJc w:val="left"/>
      <w:pPr>
        <w:tabs>
          <w:tab w:val="num" w:pos="3600"/>
        </w:tabs>
        <w:ind w:left="3600" w:hanging="360"/>
      </w:pPr>
      <w:rPr>
        <w:rFonts w:ascii="Courier New" w:hAnsi="Courier New" w:hint="default"/>
      </w:rPr>
    </w:lvl>
    <w:lvl w:ilvl="5" w:tplc="78944D88" w:tentative="1">
      <w:start w:val="1"/>
      <w:numFmt w:val="bullet"/>
      <w:lvlText w:val=""/>
      <w:lvlJc w:val="left"/>
      <w:pPr>
        <w:tabs>
          <w:tab w:val="num" w:pos="4320"/>
        </w:tabs>
        <w:ind w:left="4320" w:hanging="360"/>
      </w:pPr>
      <w:rPr>
        <w:rFonts w:ascii="Wingdings" w:hAnsi="Wingdings" w:hint="default"/>
      </w:rPr>
    </w:lvl>
    <w:lvl w:ilvl="6" w:tplc="BBC27F5E" w:tentative="1">
      <w:start w:val="1"/>
      <w:numFmt w:val="bullet"/>
      <w:lvlText w:val=""/>
      <w:lvlJc w:val="left"/>
      <w:pPr>
        <w:tabs>
          <w:tab w:val="num" w:pos="5040"/>
        </w:tabs>
        <w:ind w:left="5040" w:hanging="360"/>
      </w:pPr>
      <w:rPr>
        <w:rFonts w:ascii="Symbol" w:hAnsi="Symbol" w:hint="default"/>
      </w:rPr>
    </w:lvl>
    <w:lvl w:ilvl="7" w:tplc="C688ED54" w:tentative="1">
      <w:start w:val="1"/>
      <w:numFmt w:val="bullet"/>
      <w:lvlText w:val="o"/>
      <w:lvlJc w:val="left"/>
      <w:pPr>
        <w:tabs>
          <w:tab w:val="num" w:pos="5760"/>
        </w:tabs>
        <w:ind w:left="5760" w:hanging="360"/>
      </w:pPr>
      <w:rPr>
        <w:rFonts w:ascii="Courier New" w:hAnsi="Courier New" w:hint="default"/>
      </w:rPr>
    </w:lvl>
    <w:lvl w:ilvl="8" w:tplc="55702A4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60E23D9"/>
    <w:multiLevelType w:val="hybridMultilevel"/>
    <w:tmpl w:val="F67A632C"/>
    <w:lvl w:ilvl="0" w:tplc="573877F4">
      <w:start w:val="1"/>
      <w:numFmt w:val="bullet"/>
      <w:lvlText w:val=""/>
      <w:lvlJc w:val="left"/>
      <w:pPr>
        <w:tabs>
          <w:tab w:val="num" w:pos="567"/>
        </w:tabs>
        <w:ind w:left="567" w:hanging="567"/>
      </w:pPr>
      <w:rPr>
        <w:rFonts w:ascii="Symbol" w:hAnsi="Symbol" w:hint="default"/>
      </w:rPr>
    </w:lvl>
    <w:lvl w:ilvl="1" w:tplc="531E1FD4" w:tentative="1">
      <w:start w:val="1"/>
      <w:numFmt w:val="bullet"/>
      <w:lvlText w:val="o"/>
      <w:lvlJc w:val="left"/>
      <w:pPr>
        <w:ind w:left="1440" w:hanging="360"/>
      </w:pPr>
      <w:rPr>
        <w:rFonts w:ascii="Courier New" w:hAnsi="Courier New" w:cs="Courier New" w:hint="default"/>
      </w:rPr>
    </w:lvl>
    <w:lvl w:ilvl="2" w:tplc="50E6D86C" w:tentative="1">
      <w:start w:val="1"/>
      <w:numFmt w:val="bullet"/>
      <w:lvlText w:val=""/>
      <w:lvlJc w:val="left"/>
      <w:pPr>
        <w:ind w:left="2160" w:hanging="360"/>
      </w:pPr>
      <w:rPr>
        <w:rFonts w:ascii="Wingdings" w:hAnsi="Wingdings" w:hint="default"/>
      </w:rPr>
    </w:lvl>
    <w:lvl w:ilvl="3" w:tplc="578AAD8E" w:tentative="1">
      <w:start w:val="1"/>
      <w:numFmt w:val="bullet"/>
      <w:lvlText w:val=""/>
      <w:lvlJc w:val="left"/>
      <w:pPr>
        <w:ind w:left="2880" w:hanging="360"/>
      </w:pPr>
      <w:rPr>
        <w:rFonts w:ascii="Symbol" w:hAnsi="Symbol" w:hint="default"/>
      </w:rPr>
    </w:lvl>
    <w:lvl w:ilvl="4" w:tplc="B106E832" w:tentative="1">
      <w:start w:val="1"/>
      <w:numFmt w:val="bullet"/>
      <w:lvlText w:val="o"/>
      <w:lvlJc w:val="left"/>
      <w:pPr>
        <w:ind w:left="3600" w:hanging="360"/>
      </w:pPr>
      <w:rPr>
        <w:rFonts w:ascii="Courier New" w:hAnsi="Courier New" w:cs="Courier New" w:hint="default"/>
      </w:rPr>
    </w:lvl>
    <w:lvl w:ilvl="5" w:tplc="583EC552" w:tentative="1">
      <w:start w:val="1"/>
      <w:numFmt w:val="bullet"/>
      <w:lvlText w:val=""/>
      <w:lvlJc w:val="left"/>
      <w:pPr>
        <w:ind w:left="4320" w:hanging="360"/>
      </w:pPr>
      <w:rPr>
        <w:rFonts w:ascii="Wingdings" w:hAnsi="Wingdings" w:hint="default"/>
      </w:rPr>
    </w:lvl>
    <w:lvl w:ilvl="6" w:tplc="8D240B8C" w:tentative="1">
      <w:start w:val="1"/>
      <w:numFmt w:val="bullet"/>
      <w:lvlText w:val=""/>
      <w:lvlJc w:val="left"/>
      <w:pPr>
        <w:ind w:left="5040" w:hanging="360"/>
      </w:pPr>
      <w:rPr>
        <w:rFonts w:ascii="Symbol" w:hAnsi="Symbol" w:hint="default"/>
      </w:rPr>
    </w:lvl>
    <w:lvl w:ilvl="7" w:tplc="6A7A46D2" w:tentative="1">
      <w:start w:val="1"/>
      <w:numFmt w:val="bullet"/>
      <w:lvlText w:val="o"/>
      <w:lvlJc w:val="left"/>
      <w:pPr>
        <w:ind w:left="5760" w:hanging="360"/>
      </w:pPr>
      <w:rPr>
        <w:rFonts w:ascii="Courier New" w:hAnsi="Courier New" w:cs="Courier New" w:hint="default"/>
      </w:rPr>
    </w:lvl>
    <w:lvl w:ilvl="8" w:tplc="52087CD4" w:tentative="1">
      <w:start w:val="1"/>
      <w:numFmt w:val="bullet"/>
      <w:lvlText w:val=""/>
      <w:lvlJc w:val="left"/>
      <w:pPr>
        <w:ind w:left="6480" w:hanging="360"/>
      </w:pPr>
      <w:rPr>
        <w:rFonts w:ascii="Wingdings" w:hAnsi="Wingdings" w:hint="default"/>
      </w:rPr>
    </w:lvl>
  </w:abstractNum>
  <w:abstractNum w:abstractNumId="43" w15:restartNumberingAfterBreak="0">
    <w:nsid w:val="26E56A2B"/>
    <w:multiLevelType w:val="hybridMultilevel"/>
    <w:tmpl w:val="8CC62726"/>
    <w:lvl w:ilvl="0" w:tplc="87E27396">
      <w:start w:val="1"/>
      <w:numFmt w:val="bullet"/>
      <w:lvlText w:val=""/>
      <w:lvlJc w:val="left"/>
      <w:pPr>
        <w:tabs>
          <w:tab w:val="num" w:pos="840"/>
        </w:tabs>
        <w:ind w:left="840" w:hanging="360"/>
      </w:pPr>
      <w:rPr>
        <w:rFonts w:ascii="Symbol" w:hAnsi="Symbol" w:hint="default"/>
      </w:rPr>
    </w:lvl>
    <w:lvl w:ilvl="1" w:tplc="B76AEFCC" w:tentative="1">
      <w:start w:val="1"/>
      <w:numFmt w:val="bullet"/>
      <w:lvlText w:val="o"/>
      <w:lvlJc w:val="left"/>
      <w:pPr>
        <w:tabs>
          <w:tab w:val="num" w:pos="1560"/>
        </w:tabs>
        <w:ind w:left="1560" w:hanging="360"/>
      </w:pPr>
      <w:rPr>
        <w:rFonts w:ascii="Courier New" w:hAnsi="Courier New" w:hint="default"/>
      </w:rPr>
    </w:lvl>
    <w:lvl w:ilvl="2" w:tplc="E88E2F6A" w:tentative="1">
      <w:start w:val="1"/>
      <w:numFmt w:val="bullet"/>
      <w:lvlText w:val=""/>
      <w:lvlJc w:val="left"/>
      <w:pPr>
        <w:tabs>
          <w:tab w:val="num" w:pos="2280"/>
        </w:tabs>
        <w:ind w:left="2280" w:hanging="360"/>
      </w:pPr>
      <w:rPr>
        <w:rFonts w:ascii="Wingdings" w:hAnsi="Wingdings" w:hint="default"/>
      </w:rPr>
    </w:lvl>
    <w:lvl w:ilvl="3" w:tplc="6598CE16" w:tentative="1">
      <w:start w:val="1"/>
      <w:numFmt w:val="bullet"/>
      <w:lvlText w:val=""/>
      <w:lvlJc w:val="left"/>
      <w:pPr>
        <w:tabs>
          <w:tab w:val="num" w:pos="3000"/>
        </w:tabs>
        <w:ind w:left="3000" w:hanging="360"/>
      </w:pPr>
      <w:rPr>
        <w:rFonts w:ascii="Symbol" w:hAnsi="Symbol" w:hint="default"/>
      </w:rPr>
    </w:lvl>
    <w:lvl w:ilvl="4" w:tplc="A97C7DA0" w:tentative="1">
      <w:start w:val="1"/>
      <w:numFmt w:val="bullet"/>
      <w:lvlText w:val="o"/>
      <w:lvlJc w:val="left"/>
      <w:pPr>
        <w:tabs>
          <w:tab w:val="num" w:pos="3720"/>
        </w:tabs>
        <w:ind w:left="3720" w:hanging="360"/>
      </w:pPr>
      <w:rPr>
        <w:rFonts w:ascii="Courier New" w:hAnsi="Courier New" w:hint="default"/>
      </w:rPr>
    </w:lvl>
    <w:lvl w:ilvl="5" w:tplc="CEFAFC5E" w:tentative="1">
      <w:start w:val="1"/>
      <w:numFmt w:val="bullet"/>
      <w:lvlText w:val=""/>
      <w:lvlJc w:val="left"/>
      <w:pPr>
        <w:tabs>
          <w:tab w:val="num" w:pos="4440"/>
        </w:tabs>
        <w:ind w:left="4440" w:hanging="360"/>
      </w:pPr>
      <w:rPr>
        <w:rFonts w:ascii="Wingdings" w:hAnsi="Wingdings" w:hint="default"/>
      </w:rPr>
    </w:lvl>
    <w:lvl w:ilvl="6" w:tplc="2780D168" w:tentative="1">
      <w:start w:val="1"/>
      <w:numFmt w:val="bullet"/>
      <w:lvlText w:val=""/>
      <w:lvlJc w:val="left"/>
      <w:pPr>
        <w:tabs>
          <w:tab w:val="num" w:pos="5160"/>
        </w:tabs>
        <w:ind w:left="5160" w:hanging="360"/>
      </w:pPr>
      <w:rPr>
        <w:rFonts w:ascii="Symbol" w:hAnsi="Symbol" w:hint="default"/>
      </w:rPr>
    </w:lvl>
    <w:lvl w:ilvl="7" w:tplc="233C0A7E" w:tentative="1">
      <w:start w:val="1"/>
      <w:numFmt w:val="bullet"/>
      <w:lvlText w:val="o"/>
      <w:lvlJc w:val="left"/>
      <w:pPr>
        <w:tabs>
          <w:tab w:val="num" w:pos="5880"/>
        </w:tabs>
        <w:ind w:left="5880" w:hanging="360"/>
      </w:pPr>
      <w:rPr>
        <w:rFonts w:ascii="Courier New" w:hAnsi="Courier New" w:hint="default"/>
      </w:rPr>
    </w:lvl>
    <w:lvl w:ilvl="8" w:tplc="F77603E0" w:tentative="1">
      <w:start w:val="1"/>
      <w:numFmt w:val="bullet"/>
      <w:lvlText w:val=""/>
      <w:lvlJc w:val="left"/>
      <w:pPr>
        <w:tabs>
          <w:tab w:val="num" w:pos="6600"/>
        </w:tabs>
        <w:ind w:left="6600" w:hanging="360"/>
      </w:pPr>
      <w:rPr>
        <w:rFonts w:ascii="Wingdings" w:hAnsi="Wingdings" w:hint="default"/>
      </w:rPr>
    </w:lvl>
  </w:abstractNum>
  <w:abstractNum w:abstractNumId="44" w15:restartNumberingAfterBreak="0">
    <w:nsid w:val="26ED7B2F"/>
    <w:multiLevelType w:val="hybridMultilevel"/>
    <w:tmpl w:val="0B2E4482"/>
    <w:lvl w:ilvl="0" w:tplc="266A3C36">
      <w:start w:val="1"/>
      <w:numFmt w:val="bullet"/>
      <w:lvlText w:val=""/>
      <w:lvlJc w:val="left"/>
      <w:pPr>
        <w:tabs>
          <w:tab w:val="num" w:pos="567"/>
        </w:tabs>
        <w:ind w:left="567" w:hanging="567"/>
      </w:pPr>
      <w:rPr>
        <w:rFonts w:ascii="Symbol" w:hAnsi="Symbol" w:hint="default"/>
      </w:rPr>
    </w:lvl>
    <w:lvl w:ilvl="1" w:tplc="446C3016" w:tentative="1">
      <w:start w:val="1"/>
      <w:numFmt w:val="bullet"/>
      <w:lvlText w:val="o"/>
      <w:lvlJc w:val="left"/>
      <w:pPr>
        <w:tabs>
          <w:tab w:val="num" w:pos="1440"/>
        </w:tabs>
        <w:ind w:left="1440" w:hanging="360"/>
      </w:pPr>
      <w:rPr>
        <w:rFonts w:ascii="Courier New" w:hAnsi="Courier New" w:cs="Courier New" w:hint="default"/>
      </w:rPr>
    </w:lvl>
    <w:lvl w:ilvl="2" w:tplc="09EE2D7C" w:tentative="1">
      <w:start w:val="1"/>
      <w:numFmt w:val="bullet"/>
      <w:lvlText w:val=""/>
      <w:lvlJc w:val="left"/>
      <w:pPr>
        <w:tabs>
          <w:tab w:val="num" w:pos="2160"/>
        </w:tabs>
        <w:ind w:left="2160" w:hanging="360"/>
      </w:pPr>
      <w:rPr>
        <w:rFonts w:ascii="Wingdings" w:hAnsi="Wingdings" w:hint="default"/>
      </w:rPr>
    </w:lvl>
    <w:lvl w:ilvl="3" w:tplc="57C489DC" w:tentative="1">
      <w:start w:val="1"/>
      <w:numFmt w:val="bullet"/>
      <w:lvlText w:val=""/>
      <w:lvlJc w:val="left"/>
      <w:pPr>
        <w:tabs>
          <w:tab w:val="num" w:pos="2880"/>
        </w:tabs>
        <w:ind w:left="2880" w:hanging="360"/>
      </w:pPr>
      <w:rPr>
        <w:rFonts w:ascii="Symbol" w:hAnsi="Symbol" w:hint="default"/>
      </w:rPr>
    </w:lvl>
    <w:lvl w:ilvl="4" w:tplc="3BB02CD8" w:tentative="1">
      <w:start w:val="1"/>
      <w:numFmt w:val="bullet"/>
      <w:lvlText w:val="o"/>
      <w:lvlJc w:val="left"/>
      <w:pPr>
        <w:tabs>
          <w:tab w:val="num" w:pos="3600"/>
        </w:tabs>
        <w:ind w:left="3600" w:hanging="360"/>
      </w:pPr>
      <w:rPr>
        <w:rFonts w:ascii="Courier New" w:hAnsi="Courier New" w:cs="Courier New" w:hint="default"/>
      </w:rPr>
    </w:lvl>
    <w:lvl w:ilvl="5" w:tplc="DC2054AE" w:tentative="1">
      <w:start w:val="1"/>
      <w:numFmt w:val="bullet"/>
      <w:lvlText w:val=""/>
      <w:lvlJc w:val="left"/>
      <w:pPr>
        <w:tabs>
          <w:tab w:val="num" w:pos="4320"/>
        </w:tabs>
        <w:ind w:left="4320" w:hanging="360"/>
      </w:pPr>
      <w:rPr>
        <w:rFonts w:ascii="Wingdings" w:hAnsi="Wingdings" w:hint="default"/>
      </w:rPr>
    </w:lvl>
    <w:lvl w:ilvl="6" w:tplc="02B89F62" w:tentative="1">
      <w:start w:val="1"/>
      <w:numFmt w:val="bullet"/>
      <w:lvlText w:val=""/>
      <w:lvlJc w:val="left"/>
      <w:pPr>
        <w:tabs>
          <w:tab w:val="num" w:pos="5040"/>
        </w:tabs>
        <w:ind w:left="5040" w:hanging="360"/>
      </w:pPr>
      <w:rPr>
        <w:rFonts w:ascii="Symbol" w:hAnsi="Symbol" w:hint="default"/>
      </w:rPr>
    </w:lvl>
    <w:lvl w:ilvl="7" w:tplc="FAB6D600" w:tentative="1">
      <w:start w:val="1"/>
      <w:numFmt w:val="bullet"/>
      <w:lvlText w:val="o"/>
      <w:lvlJc w:val="left"/>
      <w:pPr>
        <w:tabs>
          <w:tab w:val="num" w:pos="5760"/>
        </w:tabs>
        <w:ind w:left="5760" w:hanging="360"/>
      </w:pPr>
      <w:rPr>
        <w:rFonts w:ascii="Courier New" w:hAnsi="Courier New" w:cs="Courier New" w:hint="default"/>
      </w:rPr>
    </w:lvl>
    <w:lvl w:ilvl="8" w:tplc="6D54CC3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6F5D27"/>
    <w:multiLevelType w:val="hybridMultilevel"/>
    <w:tmpl w:val="5038E426"/>
    <w:lvl w:ilvl="0" w:tplc="2F6A79A8">
      <w:start w:val="1"/>
      <w:numFmt w:val="bullet"/>
      <w:lvlText w:val="o"/>
      <w:lvlJc w:val="left"/>
      <w:pPr>
        <w:tabs>
          <w:tab w:val="num" w:pos="1134"/>
        </w:tabs>
        <w:ind w:left="1134" w:hanging="567"/>
      </w:pPr>
      <w:rPr>
        <w:rFonts w:hint="default"/>
      </w:rPr>
    </w:lvl>
    <w:lvl w:ilvl="1" w:tplc="8880292A">
      <w:start w:val="1"/>
      <w:numFmt w:val="bullet"/>
      <w:lvlText w:val="o"/>
      <w:lvlJc w:val="left"/>
      <w:pPr>
        <w:tabs>
          <w:tab w:val="num" w:pos="1440"/>
        </w:tabs>
        <w:ind w:left="1440" w:hanging="360"/>
      </w:pPr>
      <w:rPr>
        <w:rFonts w:ascii="Courier New" w:hAnsi="Courier New" w:hint="default"/>
      </w:rPr>
    </w:lvl>
    <w:lvl w:ilvl="2" w:tplc="848C9570">
      <w:start w:val="1"/>
      <w:numFmt w:val="bullet"/>
      <w:lvlText w:val=""/>
      <w:lvlJc w:val="left"/>
      <w:pPr>
        <w:tabs>
          <w:tab w:val="num" w:pos="2160"/>
        </w:tabs>
        <w:ind w:left="2160" w:hanging="360"/>
      </w:pPr>
      <w:rPr>
        <w:rFonts w:ascii="Wingdings" w:hAnsi="Wingdings" w:hint="default"/>
      </w:rPr>
    </w:lvl>
    <w:lvl w:ilvl="3" w:tplc="73281EC2" w:tentative="1">
      <w:start w:val="1"/>
      <w:numFmt w:val="bullet"/>
      <w:lvlText w:val=""/>
      <w:lvlJc w:val="left"/>
      <w:pPr>
        <w:tabs>
          <w:tab w:val="num" w:pos="2880"/>
        </w:tabs>
        <w:ind w:left="2880" w:hanging="360"/>
      </w:pPr>
      <w:rPr>
        <w:rFonts w:ascii="Symbol" w:hAnsi="Symbol" w:hint="default"/>
      </w:rPr>
    </w:lvl>
    <w:lvl w:ilvl="4" w:tplc="6652D39C" w:tentative="1">
      <w:start w:val="1"/>
      <w:numFmt w:val="bullet"/>
      <w:lvlText w:val="o"/>
      <w:lvlJc w:val="left"/>
      <w:pPr>
        <w:tabs>
          <w:tab w:val="num" w:pos="3600"/>
        </w:tabs>
        <w:ind w:left="3600" w:hanging="360"/>
      </w:pPr>
      <w:rPr>
        <w:rFonts w:ascii="Courier New" w:hAnsi="Courier New" w:hint="default"/>
      </w:rPr>
    </w:lvl>
    <w:lvl w:ilvl="5" w:tplc="C93A3E26" w:tentative="1">
      <w:start w:val="1"/>
      <w:numFmt w:val="bullet"/>
      <w:lvlText w:val=""/>
      <w:lvlJc w:val="left"/>
      <w:pPr>
        <w:tabs>
          <w:tab w:val="num" w:pos="4320"/>
        </w:tabs>
        <w:ind w:left="4320" w:hanging="360"/>
      </w:pPr>
      <w:rPr>
        <w:rFonts w:ascii="Wingdings" w:hAnsi="Wingdings" w:hint="default"/>
      </w:rPr>
    </w:lvl>
    <w:lvl w:ilvl="6" w:tplc="8142650E" w:tentative="1">
      <w:start w:val="1"/>
      <w:numFmt w:val="bullet"/>
      <w:lvlText w:val=""/>
      <w:lvlJc w:val="left"/>
      <w:pPr>
        <w:tabs>
          <w:tab w:val="num" w:pos="5040"/>
        </w:tabs>
        <w:ind w:left="5040" w:hanging="360"/>
      </w:pPr>
      <w:rPr>
        <w:rFonts w:ascii="Symbol" w:hAnsi="Symbol" w:hint="default"/>
      </w:rPr>
    </w:lvl>
    <w:lvl w:ilvl="7" w:tplc="54745640" w:tentative="1">
      <w:start w:val="1"/>
      <w:numFmt w:val="bullet"/>
      <w:lvlText w:val="o"/>
      <w:lvlJc w:val="left"/>
      <w:pPr>
        <w:tabs>
          <w:tab w:val="num" w:pos="5760"/>
        </w:tabs>
        <w:ind w:left="5760" w:hanging="360"/>
      </w:pPr>
      <w:rPr>
        <w:rFonts w:ascii="Courier New" w:hAnsi="Courier New" w:hint="default"/>
      </w:rPr>
    </w:lvl>
    <w:lvl w:ilvl="8" w:tplc="42C6008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AD863B0"/>
    <w:multiLevelType w:val="hybridMultilevel"/>
    <w:tmpl w:val="341471AA"/>
    <w:lvl w:ilvl="0" w:tplc="388A76DC">
      <w:start w:val="1"/>
      <w:numFmt w:val="bullet"/>
      <w:lvlText w:val=""/>
      <w:lvlJc w:val="left"/>
      <w:pPr>
        <w:tabs>
          <w:tab w:val="num" w:pos="1134"/>
        </w:tabs>
        <w:ind w:left="1134" w:hanging="567"/>
      </w:pPr>
      <w:rPr>
        <w:rFonts w:ascii="Symbol" w:hAnsi="Symbol" w:hint="default"/>
      </w:rPr>
    </w:lvl>
    <w:lvl w:ilvl="1" w:tplc="4996777E">
      <w:start w:val="1"/>
      <w:numFmt w:val="bullet"/>
      <w:lvlText w:val="o"/>
      <w:lvlJc w:val="left"/>
      <w:pPr>
        <w:tabs>
          <w:tab w:val="num" w:pos="1440"/>
        </w:tabs>
        <w:ind w:left="1440" w:hanging="360"/>
      </w:pPr>
      <w:rPr>
        <w:rFonts w:ascii="Courier New" w:hAnsi="Courier New" w:hint="default"/>
      </w:rPr>
    </w:lvl>
    <w:lvl w:ilvl="2" w:tplc="BF362FB4">
      <w:start w:val="1"/>
      <w:numFmt w:val="bullet"/>
      <w:lvlText w:val="o"/>
      <w:lvlJc w:val="left"/>
      <w:pPr>
        <w:tabs>
          <w:tab w:val="num" w:pos="2367"/>
        </w:tabs>
        <w:ind w:left="2367" w:hanging="567"/>
      </w:pPr>
      <w:rPr>
        <w:rFonts w:hint="default"/>
      </w:rPr>
    </w:lvl>
    <w:lvl w:ilvl="3" w:tplc="55FE684C" w:tentative="1">
      <w:start w:val="1"/>
      <w:numFmt w:val="bullet"/>
      <w:lvlText w:val=""/>
      <w:lvlJc w:val="left"/>
      <w:pPr>
        <w:tabs>
          <w:tab w:val="num" w:pos="2880"/>
        </w:tabs>
        <w:ind w:left="2880" w:hanging="360"/>
      </w:pPr>
      <w:rPr>
        <w:rFonts w:ascii="Symbol" w:hAnsi="Symbol" w:hint="default"/>
      </w:rPr>
    </w:lvl>
    <w:lvl w:ilvl="4" w:tplc="96E09D5E" w:tentative="1">
      <w:start w:val="1"/>
      <w:numFmt w:val="bullet"/>
      <w:lvlText w:val="o"/>
      <w:lvlJc w:val="left"/>
      <w:pPr>
        <w:tabs>
          <w:tab w:val="num" w:pos="3600"/>
        </w:tabs>
        <w:ind w:left="3600" w:hanging="360"/>
      </w:pPr>
      <w:rPr>
        <w:rFonts w:ascii="Courier New" w:hAnsi="Courier New" w:hint="default"/>
      </w:rPr>
    </w:lvl>
    <w:lvl w:ilvl="5" w:tplc="D0F49A76" w:tentative="1">
      <w:start w:val="1"/>
      <w:numFmt w:val="bullet"/>
      <w:lvlText w:val=""/>
      <w:lvlJc w:val="left"/>
      <w:pPr>
        <w:tabs>
          <w:tab w:val="num" w:pos="4320"/>
        </w:tabs>
        <w:ind w:left="4320" w:hanging="360"/>
      </w:pPr>
      <w:rPr>
        <w:rFonts w:ascii="Wingdings" w:hAnsi="Wingdings" w:hint="default"/>
      </w:rPr>
    </w:lvl>
    <w:lvl w:ilvl="6" w:tplc="14B250B8" w:tentative="1">
      <w:start w:val="1"/>
      <w:numFmt w:val="bullet"/>
      <w:lvlText w:val=""/>
      <w:lvlJc w:val="left"/>
      <w:pPr>
        <w:tabs>
          <w:tab w:val="num" w:pos="5040"/>
        </w:tabs>
        <w:ind w:left="5040" w:hanging="360"/>
      </w:pPr>
      <w:rPr>
        <w:rFonts w:ascii="Symbol" w:hAnsi="Symbol" w:hint="default"/>
      </w:rPr>
    </w:lvl>
    <w:lvl w:ilvl="7" w:tplc="FBDA6EDC" w:tentative="1">
      <w:start w:val="1"/>
      <w:numFmt w:val="bullet"/>
      <w:lvlText w:val="o"/>
      <w:lvlJc w:val="left"/>
      <w:pPr>
        <w:tabs>
          <w:tab w:val="num" w:pos="5760"/>
        </w:tabs>
        <w:ind w:left="5760" w:hanging="360"/>
      </w:pPr>
      <w:rPr>
        <w:rFonts w:ascii="Courier New" w:hAnsi="Courier New" w:hint="default"/>
      </w:rPr>
    </w:lvl>
    <w:lvl w:ilvl="8" w:tplc="8CA0376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B0B76FD"/>
    <w:multiLevelType w:val="hybridMultilevel"/>
    <w:tmpl w:val="5E8CBEF0"/>
    <w:lvl w:ilvl="0" w:tplc="AC76B714">
      <w:start w:val="1"/>
      <w:numFmt w:val="decimal"/>
      <w:lvlText w:val="%1."/>
      <w:lvlJc w:val="left"/>
      <w:pPr>
        <w:ind w:left="360" w:hanging="360"/>
      </w:pPr>
      <w:rPr>
        <w:rFonts w:hint="default"/>
      </w:rPr>
    </w:lvl>
    <w:lvl w:ilvl="1" w:tplc="EDBA7690" w:tentative="1">
      <w:start w:val="1"/>
      <w:numFmt w:val="lowerLetter"/>
      <w:lvlText w:val="%2."/>
      <w:lvlJc w:val="left"/>
      <w:pPr>
        <w:ind w:left="1080" w:hanging="360"/>
      </w:pPr>
    </w:lvl>
    <w:lvl w:ilvl="2" w:tplc="E420252E">
      <w:start w:val="1"/>
      <w:numFmt w:val="lowerRoman"/>
      <w:lvlText w:val="%3."/>
      <w:lvlJc w:val="right"/>
      <w:pPr>
        <w:ind w:left="1800" w:hanging="180"/>
      </w:pPr>
    </w:lvl>
    <w:lvl w:ilvl="3" w:tplc="B57CF9BC" w:tentative="1">
      <w:start w:val="1"/>
      <w:numFmt w:val="decimal"/>
      <w:lvlText w:val="%4."/>
      <w:lvlJc w:val="left"/>
      <w:pPr>
        <w:ind w:left="2520" w:hanging="360"/>
      </w:pPr>
    </w:lvl>
    <w:lvl w:ilvl="4" w:tplc="58F061B2" w:tentative="1">
      <w:start w:val="1"/>
      <w:numFmt w:val="lowerLetter"/>
      <w:lvlText w:val="%5."/>
      <w:lvlJc w:val="left"/>
      <w:pPr>
        <w:ind w:left="3240" w:hanging="360"/>
      </w:pPr>
    </w:lvl>
    <w:lvl w:ilvl="5" w:tplc="81A407C0" w:tentative="1">
      <w:start w:val="1"/>
      <w:numFmt w:val="lowerRoman"/>
      <w:lvlText w:val="%6."/>
      <w:lvlJc w:val="right"/>
      <w:pPr>
        <w:ind w:left="3960" w:hanging="180"/>
      </w:pPr>
    </w:lvl>
    <w:lvl w:ilvl="6" w:tplc="8986612A" w:tentative="1">
      <w:start w:val="1"/>
      <w:numFmt w:val="decimal"/>
      <w:lvlText w:val="%7."/>
      <w:lvlJc w:val="left"/>
      <w:pPr>
        <w:ind w:left="4680" w:hanging="360"/>
      </w:pPr>
    </w:lvl>
    <w:lvl w:ilvl="7" w:tplc="1406993E" w:tentative="1">
      <w:start w:val="1"/>
      <w:numFmt w:val="lowerLetter"/>
      <w:lvlText w:val="%8."/>
      <w:lvlJc w:val="left"/>
      <w:pPr>
        <w:ind w:left="5400" w:hanging="360"/>
      </w:pPr>
    </w:lvl>
    <w:lvl w:ilvl="8" w:tplc="6F36E320" w:tentative="1">
      <w:start w:val="1"/>
      <w:numFmt w:val="lowerRoman"/>
      <w:lvlText w:val="%9."/>
      <w:lvlJc w:val="right"/>
      <w:pPr>
        <w:ind w:left="6120" w:hanging="180"/>
      </w:pPr>
    </w:lvl>
  </w:abstractNum>
  <w:abstractNum w:abstractNumId="48" w15:restartNumberingAfterBreak="0">
    <w:nsid w:val="2B227CBC"/>
    <w:multiLevelType w:val="hybridMultilevel"/>
    <w:tmpl w:val="FB2ED7D0"/>
    <w:lvl w:ilvl="0" w:tplc="03485580">
      <w:start w:val="1"/>
      <w:numFmt w:val="bullet"/>
      <w:lvlText w:val=""/>
      <w:lvlJc w:val="left"/>
      <w:pPr>
        <w:ind w:left="720" w:hanging="360"/>
      </w:pPr>
      <w:rPr>
        <w:rFonts w:ascii="Symbol" w:hAnsi="Symbol" w:hint="default"/>
        <w:sz w:val="22"/>
      </w:rPr>
    </w:lvl>
    <w:lvl w:ilvl="1" w:tplc="73281ECC" w:tentative="1">
      <w:start w:val="1"/>
      <w:numFmt w:val="bullet"/>
      <w:lvlText w:val="o"/>
      <w:lvlJc w:val="left"/>
      <w:pPr>
        <w:ind w:left="1440" w:hanging="360"/>
      </w:pPr>
      <w:rPr>
        <w:rFonts w:ascii="Courier New" w:hAnsi="Courier New" w:cs="Courier New" w:hint="default"/>
      </w:rPr>
    </w:lvl>
    <w:lvl w:ilvl="2" w:tplc="DB504E9A" w:tentative="1">
      <w:start w:val="1"/>
      <w:numFmt w:val="bullet"/>
      <w:lvlText w:val=""/>
      <w:lvlJc w:val="left"/>
      <w:pPr>
        <w:ind w:left="2160" w:hanging="360"/>
      </w:pPr>
      <w:rPr>
        <w:rFonts w:ascii="Wingdings" w:hAnsi="Wingdings" w:hint="default"/>
      </w:rPr>
    </w:lvl>
    <w:lvl w:ilvl="3" w:tplc="D27ED3E8" w:tentative="1">
      <w:start w:val="1"/>
      <w:numFmt w:val="bullet"/>
      <w:lvlText w:val=""/>
      <w:lvlJc w:val="left"/>
      <w:pPr>
        <w:ind w:left="2880" w:hanging="360"/>
      </w:pPr>
      <w:rPr>
        <w:rFonts w:ascii="Symbol" w:hAnsi="Symbol" w:hint="default"/>
      </w:rPr>
    </w:lvl>
    <w:lvl w:ilvl="4" w:tplc="04CC58E4" w:tentative="1">
      <w:start w:val="1"/>
      <w:numFmt w:val="bullet"/>
      <w:lvlText w:val="o"/>
      <w:lvlJc w:val="left"/>
      <w:pPr>
        <w:ind w:left="3600" w:hanging="360"/>
      </w:pPr>
      <w:rPr>
        <w:rFonts w:ascii="Courier New" w:hAnsi="Courier New" w:cs="Courier New" w:hint="default"/>
      </w:rPr>
    </w:lvl>
    <w:lvl w:ilvl="5" w:tplc="79B47A8C" w:tentative="1">
      <w:start w:val="1"/>
      <w:numFmt w:val="bullet"/>
      <w:lvlText w:val=""/>
      <w:lvlJc w:val="left"/>
      <w:pPr>
        <w:ind w:left="4320" w:hanging="360"/>
      </w:pPr>
      <w:rPr>
        <w:rFonts w:ascii="Wingdings" w:hAnsi="Wingdings" w:hint="default"/>
      </w:rPr>
    </w:lvl>
    <w:lvl w:ilvl="6" w:tplc="B9EC2BA6" w:tentative="1">
      <w:start w:val="1"/>
      <w:numFmt w:val="bullet"/>
      <w:lvlText w:val=""/>
      <w:lvlJc w:val="left"/>
      <w:pPr>
        <w:ind w:left="5040" w:hanging="360"/>
      </w:pPr>
      <w:rPr>
        <w:rFonts w:ascii="Symbol" w:hAnsi="Symbol" w:hint="default"/>
      </w:rPr>
    </w:lvl>
    <w:lvl w:ilvl="7" w:tplc="D32A7944" w:tentative="1">
      <w:start w:val="1"/>
      <w:numFmt w:val="bullet"/>
      <w:lvlText w:val="o"/>
      <w:lvlJc w:val="left"/>
      <w:pPr>
        <w:ind w:left="5760" w:hanging="360"/>
      </w:pPr>
      <w:rPr>
        <w:rFonts w:ascii="Courier New" w:hAnsi="Courier New" w:cs="Courier New" w:hint="default"/>
      </w:rPr>
    </w:lvl>
    <w:lvl w:ilvl="8" w:tplc="89F4F874" w:tentative="1">
      <w:start w:val="1"/>
      <w:numFmt w:val="bullet"/>
      <w:lvlText w:val=""/>
      <w:lvlJc w:val="left"/>
      <w:pPr>
        <w:ind w:left="6480" w:hanging="360"/>
      </w:pPr>
      <w:rPr>
        <w:rFonts w:ascii="Wingdings" w:hAnsi="Wingdings" w:hint="default"/>
      </w:rPr>
    </w:lvl>
  </w:abstractNum>
  <w:abstractNum w:abstractNumId="49" w15:restartNumberingAfterBreak="0">
    <w:nsid w:val="2D59692A"/>
    <w:multiLevelType w:val="hybridMultilevel"/>
    <w:tmpl w:val="1386627E"/>
    <w:lvl w:ilvl="0" w:tplc="5C4C6816">
      <w:start w:val="1"/>
      <w:numFmt w:val="bullet"/>
      <w:lvlText w:val=""/>
      <w:lvlJc w:val="left"/>
      <w:pPr>
        <w:tabs>
          <w:tab w:val="num" w:pos="690"/>
        </w:tabs>
        <w:ind w:left="690" w:hanging="360"/>
      </w:pPr>
      <w:rPr>
        <w:rFonts w:ascii="Symbol" w:hAnsi="Symbol" w:hint="default"/>
      </w:rPr>
    </w:lvl>
    <w:lvl w:ilvl="1" w:tplc="79F2ACA4">
      <w:start w:val="1"/>
      <w:numFmt w:val="bullet"/>
      <w:lvlText w:val=""/>
      <w:lvlJc w:val="left"/>
      <w:pPr>
        <w:tabs>
          <w:tab w:val="num" w:pos="1440"/>
        </w:tabs>
        <w:ind w:left="1440" w:hanging="360"/>
      </w:pPr>
      <w:rPr>
        <w:rFonts w:ascii="Symbol" w:hAnsi="Symbol" w:hint="default"/>
      </w:rPr>
    </w:lvl>
    <w:lvl w:ilvl="2" w:tplc="9C62CC1A" w:tentative="1">
      <w:start w:val="1"/>
      <w:numFmt w:val="bullet"/>
      <w:lvlText w:val=""/>
      <w:lvlJc w:val="left"/>
      <w:pPr>
        <w:tabs>
          <w:tab w:val="num" w:pos="2160"/>
        </w:tabs>
        <w:ind w:left="2160" w:hanging="360"/>
      </w:pPr>
      <w:rPr>
        <w:rFonts w:ascii="Wingdings" w:hAnsi="Wingdings" w:hint="default"/>
      </w:rPr>
    </w:lvl>
    <w:lvl w:ilvl="3" w:tplc="B09AB2D8" w:tentative="1">
      <w:start w:val="1"/>
      <w:numFmt w:val="bullet"/>
      <w:lvlText w:val=""/>
      <w:lvlJc w:val="left"/>
      <w:pPr>
        <w:tabs>
          <w:tab w:val="num" w:pos="2880"/>
        </w:tabs>
        <w:ind w:left="2880" w:hanging="360"/>
      </w:pPr>
      <w:rPr>
        <w:rFonts w:ascii="Symbol" w:hAnsi="Symbol" w:hint="default"/>
      </w:rPr>
    </w:lvl>
    <w:lvl w:ilvl="4" w:tplc="7608A8DC" w:tentative="1">
      <w:start w:val="1"/>
      <w:numFmt w:val="bullet"/>
      <w:lvlText w:val="o"/>
      <w:lvlJc w:val="left"/>
      <w:pPr>
        <w:tabs>
          <w:tab w:val="num" w:pos="3600"/>
        </w:tabs>
        <w:ind w:left="3600" w:hanging="360"/>
      </w:pPr>
      <w:rPr>
        <w:rFonts w:ascii="Courier New" w:hAnsi="Courier New" w:hint="default"/>
      </w:rPr>
    </w:lvl>
    <w:lvl w:ilvl="5" w:tplc="A4F01008" w:tentative="1">
      <w:start w:val="1"/>
      <w:numFmt w:val="bullet"/>
      <w:lvlText w:val=""/>
      <w:lvlJc w:val="left"/>
      <w:pPr>
        <w:tabs>
          <w:tab w:val="num" w:pos="4320"/>
        </w:tabs>
        <w:ind w:left="4320" w:hanging="360"/>
      </w:pPr>
      <w:rPr>
        <w:rFonts w:ascii="Wingdings" w:hAnsi="Wingdings" w:hint="default"/>
      </w:rPr>
    </w:lvl>
    <w:lvl w:ilvl="6" w:tplc="60343B14" w:tentative="1">
      <w:start w:val="1"/>
      <w:numFmt w:val="bullet"/>
      <w:lvlText w:val=""/>
      <w:lvlJc w:val="left"/>
      <w:pPr>
        <w:tabs>
          <w:tab w:val="num" w:pos="5040"/>
        </w:tabs>
        <w:ind w:left="5040" w:hanging="360"/>
      </w:pPr>
      <w:rPr>
        <w:rFonts w:ascii="Symbol" w:hAnsi="Symbol" w:hint="default"/>
      </w:rPr>
    </w:lvl>
    <w:lvl w:ilvl="7" w:tplc="D5ACD49E" w:tentative="1">
      <w:start w:val="1"/>
      <w:numFmt w:val="bullet"/>
      <w:lvlText w:val="o"/>
      <w:lvlJc w:val="left"/>
      <w:pPr>
        <w:tabs>
          <w:tab w:val="num" w:pos="5760"/>
        </w:tabs>
        <w:ind w:left="5760" w:hanging="360"/>
      </w:pPr>
      <w:rPr>
        <w:rFonts w:ascii="Courier New" w:hAnsi="Courier New" w:hint="default"/>
      </w:rPr>
    </w:lvl>
    <w:lvl w:ilvl="8" w:tplc="4B8457C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D717ED1"/>
    <w:multiLevelType w:val="hybridMultilevel"/>
    <w:tmpl w:val="EB968FB2"/>
    <w:lvl w:ilvl="0" w:tplc="8DC44532">
      <w:start w:val="1"/>
      <w:numFmt w:val="bullet"/>
      <w:lvlText w:val=""/>
      <w:lvlJc w:val="left"/>
      <w:pPr>
        <w:tabs>
          <w:tab w:val="num" w:pos="780"/>
        </w:tabs>
        <w:ind w:left="780" w:hanging="360"/>
      </w:pPr>
      <w:rPr>
        <w:rFonts w:ascii="Symbol" w:hAnsi="Symbol" w:hint="default"/>
      </w:rPr>
    </w:lvl>
    <w:lvl w:ilvl="1" w:tplc="E362C54E" w:tentative="1">
      <w:start w:val="1"/>
      <w:numFmt w:val="bullet"/>
      <w:lvlText w:val="o"/>
      <w:lvlJc w:val="left"/>
      <w:pPr>
        <w:tabs>
          <w:tab w:val="num" w:pos="1500"/>
        </w:tabs>
        <w:ind w:left="1500" w:hanging="360"/>
      </w:pPr>
      <w:rPr>
        <w:rFonts w:ascii="Courier New" w:hAnsi="Courier New" w:cs="Courier New" w:hint="default"/>
      </w:rPr>
    </w:lvl>
    <w:lvl w:ilvl="2" w:tplc="DAFEE38A" w:tentative="1">
      <w:start w:val="1"/>
      <w:numFmt w:val="bullet"/>
      <w:lvlText w:val=""/>
      <w:lvlJc w:val="left"/>
      <w:pPr>
        <w:tabs>
          <w:tab w:val="num" w:pos="2220"/>
        </w:tabs>
        <w:ind w:left="2220" w:hanging="360"/>
      </w:pPr>
      <w:rPr>
        <w:rFonts w:ascii="Wingdings" w:hAnsi="Wingdings" w:hint="default"/>
      </w:rPr>
    </w:lvl>
    <w:lvl w:ilvl="3" w:tplc="C2524222" w:tentative="1">
      <w:start w:val="1"/>
      <w:numFmt w:val="bullet"/>
      <w:lvlText w:val=""/>
      <w:lvlJc w:val="left"/>
      <w:pPr>
        <w:tabs>
          <w:tab w:val="num" w:pos="2940"/>
        </w:tabs>
        <w:ind w:left="2940" w:hanging="360"/>
      </w:pPr>
      <w:rPr>
        <w:rFonts w:ascii="Symbol" w:hAnsi="Symbol" w:hint="default"/>
      </w:rPr>
    </w:lvl>
    <w:lvl w:ilvl="4" w:tplc="6D420044" w:tentative="1">
      <w:start w:val="1"/>
      <w:numFmt w:val="bullet"/>
      <w:lvlText w:val="o"/>
      <w:lvlJc w:val="left"/>
      <w:pPr>
        <w:tabs>
          <w:tab w:val="num" w:pos="3660"/>
        </w:tabs>
        <w:ind w:left="3660" w:hanging="360"/>
      </w:pPr>
      <w:rPr>
        <w:rFonts w:ascii="Courier New" w:hAnsi="Courier New" w:cs="Courier New" w:hint="default"/>
      </w:rPr>
    </w:lvl>
    <w:lvl w:ilvl="5" w:tplc="A70C26F8" w:tentative="1">
      <w:start w:val="1"/>
      <w:numFmt w:val="bullet"/>
      <w:lvlText w:val=""/>
      <w:lvlJc w:val="left"/>
      <w:pPr>
        <w:tabs>
          <w:tab w:val="num" w:pos="4380"/>
        </w:tabs>
        <w:ind w:left="4380" w:hanging="360"/>
      </w:pPr>
      <w:rPr>
        <w:rFonts w:ascii="Wingdings" w:hAnsi="Wingdings" w:hint="default"/>
      </w:rPr>
    </w:lvl>
    <w:lvl w:ilvl="6" w:tplc="72DA827C" w:tentative="1">
      <w:start w:val="1"/>
      <w:numFmt w:val="bullet"/>
      <w:lvlText w:val=""/>
      <w:lvlJc w:val="left"/>
      <w:pPr>
        <w:tabs>
          <w:tab w:val="num" w:pos="5100"/>
        </w:tabs>
        <w:ind w:left="5100" w:hanging="360"/>
      </w:pPr>
      <w:rPr>
        <w:rFonts w:ascii="Symbol" w:hAnsi="Symbol" w:hint="default"/>
      </w:rPr>
    </w:lvl>
    <w:lvl w:ilvl="7" w:tplc="4DFC55DE" w:tentative="1">
      <w:start w:val="1"/>
      <w:numFmt w:val="bullet"/>
      <w:lvlText w:val="o"/>
      <w:lvlJc w:val="left"/>
      <w:pPr>
        <w:tabs>
          <w:tab w:val="num" w:pos="5820"/>
        </w:tabs>
        <w:ind w:left="5820" w:hanging="360"/>
      </w:pPr>
      <w:rPr>
        <w:rFonts w:ascii="Courier New" w:hAnsi="Courier New" w:cs="Courier New" w:hint="default"/>
      </w:rPr>
    </w:lvl>
    <w:lvl w:ilvl="8" w:tplc="BF969808" w:tentative="1">
      <w:start w:val="1"/>
      <w:numFmt w:val="bullet"/>
      <w:lvlText w:val=""/>
      <w:lvlJc w:val="left"/>
      <w:pPr>
        <w:tabs>
          <w:tab w:val="num" w:pos="6540"/>
        </w:tabs>
        <w:ind w:left="6540" w:hanging="360"/>
      </w:pPr>
      <w:rPr>
        <w:rFonts w:ascii="Wingdings" w:hAnsi="Wingdings" w:hint="default"/>
      </w:rPr>
    </w:lvl>
  </w:abstractNum>
  <w:abstractNum w:abstractNumId="51" w15:restartNumberingAfterBreak="0">
    <w:nsid w:val="33784ED0"/>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52" w15:restartNumberingAfterBreak="0">
    <w:nsid w:val="33FE55F7"/>
    <w:multiLevelType w:val="multilevel"/>
    <w:tmpl w:val="6054CF80"/>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35220635"/>
    <w:multiLevelType w:val="hybridMultilevel"/>
    <w:tmpl w:val="7B5E47E6"/>
    <w:lvl w:ilvl="0" w:tplc="C4403DD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B6D8ED58" w:tentative="1">
      <w:start w:val="1"/>
      <w:numFmt w:val="lowerLetter"/>
      <w:lvlText w:val="%2."/>
      <w:lvlJc w:val="left"/>
      <w:pPr>
        <w:ind w:left="1080" w:hanging="360"/>
      </w:pPr>
    </w:lvl>
    <w:lvl w:ilvl="2" w:tplc="F4FC1DF4" w:tentative="1">
      <w:start w:val="1"/>
      <w:numFmt w:val="lowerRoman"/>
      <w:lvlText w:val="%3."/>
      <w:lvlJc w:val="right"/>
      <w:pPr>
        <w:ind w:left="1800" w:hanging="180"/>
      </w:pPr>
    </w:lvl>
    <w:lvl w:ilvl="3" w:tplc="8B8AC2E2" w:tentative="1">
      <w:start w:val="1"/>
      <w:numFmt w:val="decimal"/>
      <w:lvlText w:val="%4."/>
      <w:lvlJc w:val="left"/>
      <w:pPr>
        <w:ind w:left="2520" w:hanging="360"/>
      </w:pPr>
    </w:lvl>
    <w:lvl w:ilvl="4" w:tplc="E9B8D316" w:tentative="1">
      <w:start w:val="1"/>
      <w:numFmt w:val="lowerLetter"/>
      <w:lvlText w:val="%5."/>
      <w:lvlJc w:val="left"/>
      <w:pPr>
        <w:ind w:left="3240" w:hanging="360"/>
      </w:pPr>
    </w:lvl>
    <w:lvl w:ilvl="5" w:tplc="8B2C76FC" w:tentative="1">
      <w:start w:val="1"/>
      <w:numFmt w:val="lowerRoman"/>
      <w:lvlText w:val="%6."/>
      <w:lvlJc w:val="right"/>
      <w:pPr>
        <w:ind w:left="3960" w:hanging="180"/>
      </w:pPr>
    </w:lvl>
    <w:lvl w:ilvl="6" w:tplc="FFECC25E" w:tentative="1">
      <w:start w:val="1"/>
      <w:numFmt w:val="decimal"/>
      <w:lvlText w:val="%7."/>
      <w:lvlJc w:val="left"/>
      <w:pPr>
        <w:ind w:left="4680" w:hanging="360"/>
      </w:pPr>
    </w:lvl>
    <w:lvl w:ilvl="7" w:tplc="4A0E6A74" w:tentative="1">
      <w:start w:val="1"/>
      <w:numFmt w:val="lowerLetter"/>
      <w:lvlText w:val="%8."/>
      <w:lvlJc w:val="left"/>
      <w:pPr>
        <w:ind w:left="5400" w:hanging="360"/>
      </w:pPr>
    </w:lvl>
    <w:lvl w:ilvl="8" w:tplc="45043EE8" w:tentative="1">
      <w:start w:val="1"/>
      <w:numFmt w:val="lowerRoman"/>
      <w:lvlText w:val="%9."/>
      <w:lvlJc w:val="right"/>
      <w:pPr>
        <w:ind w:left="6120" w:hanging="180"/>
      </w:pPr>
    </w:lvl>
  </w:abstractNum>
  <w:abstractNum w:abstractNumId="54" w15:restartNumberingAfterBreak="0">
    <w:nsid w:val="3543186D"/>
    <w:multiLevelType w:val="hybridMultilevel"/>
    <w:tmpl w:val="BC7EDE58"/>
    <w:lvl w:ilvl="0" w:tplc="F2985A0C">
      <w:start w:val="1"/>
      <w:numFmt w:val="bullet"/>
      <w:lvlText w:val=""/>
      <w:lvlJc w:val="left"/>
      <w:pPr>
        <w:tabs>
          <w:tab w:val="num" w:pos="567"/>
        </w:tabs>
        <w:ind w:left="567" w:hanging="567"/>
      </w:pPr>
      <w:rPr>
        <w:rFonts w:ascii="Symbol" w:hAnsi="Symbol" w:hint="default"/>
      </w:rPr>
    </w:lvl>
    <w:lvl w:ilvl="1" w:tplc="D756B7BA" w:tentative="1">
      <w:start w:val="1"/>
      <w:numFmt w:val="bullet"/>
      <w:lvlText w:val="o"/>
      <w:lvlJc w:val="left"/>
      <w:pPr>
        <w:ind w:left="1440" w:hanging="360"/>
      </w:pPr>
      <w:rPr>
        <w:rFonts w:ascii="Courier New" w:hAnsi="Courier New" w:cs="Courier New" w:hint="default"/>
      </w:rPr>
    </w:lvl>
    <w:lvl w:ilvl="2" w:tplc="CF20BC86" w:tentative="1">
      <w:start w:val="1"/>
      <w:numFmt w:val="bullet"/>
      <w:lvlText w:val=""/>
      <w:lvlJc w:val="left"/>
      <w:pPr>
        <w:ind w:left="2160" w:hanging="360"/>
      </w:pPr>
      <w:rPr>
        <w:rFonts w:ascii="Wingdings" w:hAnsi="Wingdings" w:hint="default"/>
      </w:rPr>
    </w:lvl>
    <w:lvl w:ilvl="3" w:tplc="06207B18" w:tentative="1">
      <w:start w:val="1"/>
      <w:numFmt w:val="bullet"/>
      <w:lvlText w:val=""/>
      <w:lvlJc w:val="left"/>
      <w:pPr>
        <w:ind w:left="2880" w:hanging="360"/>
      </w:pPr>
      <w:rPr>
        <w:rFonts w:ascii="Symbol" w:hAnsi="Symbol" w:hint="default"/>
      </w:rPr>
    </w:lvl>
    <w:lvl w:ilvl="4" w:tplc="E02CA8B6" w:tentative="1">
      <w:start w:val="1"/>
      <w:numFmt w:val="bullet"/>
      <w:lvlText w:val="o"/>
      <w:lvlJc w:val="left"/>
      <w:pPr>
        <w:ind w:left="3600" w:hanging="360"/>
      </w:pPr>
      <w:rPr>
        <w:rFonts w:ascii="Courier New" w:hAnsi="Courier New" w:cs="Courier New" w:hint="default"/>
      </w:rPr>
    </w:lvl>
    <w:lvl w:ilvl="5" w:tplc="EEC80426" w:tentative="1">
      <w:start w:val="1"/>
      <w:numFmt w:val="bullet"/>
      <w:lvlText w:val=""/>
      <w:lvlJc w:val="left"/>
      <w:pPr>
        <w:ind w:left="4320" w:hanging="360"/>
      </w:pPr>
      <w:rPr>
        <w:rFonts w:ascii="Wingdings" w:hAnsi="Wingdings" w:hint="default"/>
      </w:rPr>
    </w:lvl>
    <w:lvl w:ilvl="6" w:tplc="8D104664" w:tentative="1">
      <w:start w:val="1"/>
      <w:numFmt w:val="bullet"/>
      <w:lvlText w:val=""/>
      <w:lvlJc w:val="left"/>
      <w:pPr>
        <w:ind w:left="5040" w:hanging="360"/>
      </w:pPr>
      <w:rPr>
        <w:rFonts w:ascii="Symbol" w:hAnsi="Symbol" w:hint="default"/>
      </w:rPr>
    </w:lvl>
    <w:lvl w:ilvl="7" w:tplc="CE44C056" w:tentative="1">
      <w:start w:val="1"/>
      <w:numFmt w:val="bullet"/>
      <w:lvlText w:val="o"/>
      <w:lvlJc w:val="left"/>
      <w:pPr>
        <w:ind w:left="5760" w:hanging="360"/>
      </w:pPr>
      <w:rPr>
        <w:rFonts w:ascii="Courier New" w:hAnsi="Courier New" w:cs="Courier New" w:hint="default"/>
      </w:rPr>
    </w:lvl>
    <w:lvl w:ilvl="8" w:tplc="2ED63DB4" w:tentative="1">
      <w:start w:val="1"/>
      <w:numFmt w:val="bullet"/>
      <w:lvlText w:val=""/>
      <w:lvlJc w:val="left"/>
      <w:pPr>
        <w:ind w:left="6480" w:hanging="360"/>
      </w:pPr>
      <w:rPr>
        <w:rFonts w:ascii="Wingdings" w:hAnsi="Wingdings" w:hint="default"/>
      </w:rPr>
    </w:lvl>
  </w:abstractNum>
  <w:abstractNum w:abstractNumId="55" w15:restartNumberingAfterBreak="0">
    <w:nsid w:val="38606F88"/>
    <w:multiLevelType w:val="hybridMultilevel"/>
    <w:tmpl w:val="F6B2B2FA"/>
    <w:lvl w:ilvl="0" w:tplc="F0B01EC2">
      <w:start w:val="1"/>
      <w:numFmt w:val="lowerLetter"/>
      <w:lvlText w:val="%1"/>
      <w:lvlJc w:val="left"/>
      <w:pPr>
        <w:ind w:left="360" w:hanging="360"/>
      </w:pPr>
      <w:rPr>
        <w:rFonts w:hint="default"/>
        <w:sz w:val="16"/>
        <w:szCs w:val="16"/>
        <w:vertAlign w:val="superscript"/>
      </w:rPr>
    </w:lvl>
    <w:lvl w:ilvl="1" w:tplc="829C0612" w:tentative="1">
      <w:start w:val="1"/>
      <w:numFmt w:val="lowerLetter"/>
      <w:lvlText w:val="%2."/>
      <w:lvlJc w:val="left"/>
      <w:pPr>
        <w:ind w:left="1080" w:hanging="360"/>
      </w:pPr>
    </w:lvl>
    <w:lvl w:ilvl="2" w:tplc="1EF29E3A" w:tentative="1">
      <w:start w:val="1"/>
      <w:numFmt w:val="lowerRoman"/>
      <w:lvlText w:val="%3."/>
      <w:lvlJc w:val="right"/>
      <w:pPr>
        <w:ind w:left="1800" w:hanging="180"/>
      </w:pPr>
    </w:lvl>
    <w:lvl w:ilvl="3" w:tplc="8532629A" w:tentative="1">
      <w:start w:val="1"/>
      <w:numFmt w:val="decimal"/>
      <w:lvlText w:val="%4."/>
      <w:lvlJc w:val="left"/>
      <w:pPr>
        <w:ind w:left="2520" w:hanging="360"/>
      </w:pPr>
    </w:lvl>
    <w:lvl w:ilvl="4" w:tplc="32BCE2D2" w:tentative="1">
      <w:start w:val="1"/>
      <w:numFmt w:val="lowerLetter"/>
      <w:lvlText w:val="%5."/>
      <w:lvlJc w:val="left"/>
      <w:pPr>
        <w:ind w:left="3240" w:hanging="360"/>
      </w:pPr>
    </w:lvl>
    <w:lvl w:ilvl="5" w:tplc="53EC089C" w:tentative="1">
      <w:start w:val="1"/>
      <w:numFmt w:val="lowerRoman"/>
      <w:lvlText w:val="%6."/>
      <w:lvlJc w:val="right"/>
      <w:pPr>
        <w:ind w:left="3960" w:hanging="180"/>
      </w:pPr>
    </w:lvl>
    <w:lvl w:ilvl="6" w:tplc="B56EC770" w:tentative="1">
      <w:start w:val="1"/>
      <w:numFmt w:val="decimal"/>
      <w:lvlText w:val="%7."/>
      <w:lvlJc w:val="left"/>
      <w:pPr>
        <w:ind w:left="4680" w:hanging="360"/>
      </w:pPr>
    </w:lvl>
    <w:lvl w:ilvl="7" w:tplc="ABB6076E" w:tentative="1">
      <w:start w:val="1"/>
      <w:numFmt w:val="lowerLetter"/>
      <w:lvlText w:val="%8."/>
      <w:lvlJc w:val="left"/>
      <w:pPr>
        <w:ind w:left="5400" w:hanging="360"/>
      </w:pPr>
    </w:lvl>
    <w:lvl w:ilvl="8" w:tplc="8446E10C" w:tentative="1">
      <w:start w:val="1"/>
      <w:numFmt w:val="lowerRoman"/>
      <w:lvlText w:val="%9."/>
      <w:lvlJc w:val="right"/>
      <w:pPr>
        <w:ind w:left="6120" w:hanging="180"/>
      </w:pPr>
    </w:lvl>
  </w:abstractNum>
  <w:abstractNum w:abstractNumId="56" w15:restartNumberingAfterBreak="0">
    <w:nsid w:val="395417B6"/>
    <w:multiLevelType w:val="hybridMultilevel"/>
    <w:tmpl w:val="9E744B98"/>
    <w:lvl w:ilvl="0" w:tplc="9CF25F6A">
      <w:start w:val="1"/>
      <w:numFmt w:val="bullet"/>
      <w:lvlText w:val=""/>
      <w:lvlJc w:val="left"/>
      <w:pPr>
        <w:ind w:left="720" w:hanging="360"/>
      </w:pPr>
      <w:rPr>
        <w:rFonts w:ascii="Symbol" w:hAnsi="Symbol" w:hint="default"/>
      </w:rPr>
    </w:lvl>
    <w:lvl w:ilvl="1" w:tplc="DEB20C6A" w:tentative="1">
      <w:start w:val="1"/>
      <w:numFmt w:val="bullet"/>
      <w:lvlText w:val="o"/>
      <w:lvlJc w:val="left"/>
      <w:pPr>
        <w:ind w:left="1440" w:hanging="360"/>
      </w:pPr>
      <w:rPr>
        <w:rFonts w:ascii="Courier New" w:hAnsi="Courier New" w:cs="Courier New" w:hint="default"/>
      </w:rPr>
    </w:lvl>
    <w:lvl w:ilvl="2" w:tplc="A6D24812" w:tentative="1">
      <w:start w:val="1"/>
      <w:numFmt w:val="bullet"/>
      <w:lvlText w:val=""/>
      <w:lvlJc w:val="left"/>
      <w:pPr>
        <w:ind w:left="2160" w:hanging="360"/>
      </w:pPr>
      <w:rPr>
        <w:rFonts w:ascii="Wingdings" w:hAnsi="Wingdings" w:hint="default"/>
      </w:rPr>
    </w:lvl>
    <w:lvl w:ilvl="3" w:tplc="4574FC54" w:tentative="1">
      <w:start w:val="1"/>
      <w:numFmt w:val="bullet"/>
      <w:lvlText w:val=""/>
      <w:lvlJc w:val="left"/>
      <w:pPr>
        <w:ind w:left="2880" w:hanging="360"/>
      </w:pPr>
      <w:rPr>
        <w:rFonts w:ascii="Symbol" w:hAnsi="Symbol" w:hint="default"/>
      </w:rPr>
    </w:lvl>
    <w:lvl w:ilvl="4" w:tplc="CCDEEFEE" w:tentative="1">
      <w:start w:val="1"/>
      <w:numFmt w:val="bullet"/>
      <w:lvlText w:val="o"/>
      <w:lvlJc w:val="left"/>
      <w:pPr>
        <w:ind w:left="3600" w:hanging="360"/>
      </w:pPr>
      <w:rPr>
        <w:rFonts w:ascii="Courier New" w:hAnsi="Courier New" w:cs="Courier New" w:hint="default"/>
      </w:rPr>
    </w:lvl>
    <w:lvl w:ilvl="5" w:tplc="03DC5D92" w:tentative="1">
      <w:start w:val="1"/>
      <w:numFmt w:val="bullet"/>
      <w:lvlText w:val=""/>
      <w:lvlJc w:val="left"/>
      <w:pPr>
        <w:ind w:left="4320" w:hanging="360"/>
      </w:pPr>
      <w:rPr>
        <w:rFonts w:ascii="Wingdings" w:hAnsi="Wingdings" w:hint="default"/>
      </w:rPr>
    </w:lvl>
    <w:lvl w:ilvl="6" w:tplc="12721ADC" w:tentative="1">
      <w:start w:val="1"/>
      <w:numFmt w:val="bullet"/>
      <w:lvlText w:val=""/>
      <w:lvlJc w:val="left"/>
      <w:pPr>
        <w:ind w:left="5040" w:hanging="360"/>
      </w:pPr>
      <w:rPr>
        <w:rFonts w:ascii="Symbol" w:hAnsi="Symbol" w:hint="default"/>
      </w:rPr>
    </w:lvl>
    <w:lvl w:ilvl="7" w:tplc="CCD0F43E" w:tentative="1">
      <w:start w:val="1"/>
      <w:numFmt w:val="bullet"/>
      <w:lvlText w:val="o"/>
      <w:lvlJc w:val="left"/>
      <w:pPr>
        <w:ind w:left="5760" w:hanging="360"/>
      </w:pPr>
      <w:rPr>
        <w:rFonts w:ascii="Courier New" w:hAnsi="Courier New" w:cs="Courier New" w:hint="default"/>
      </w:rPr>
    </w:lvl>
    <w:lvl w:ilvl="8" w:tplc="AFCCA41A" w:tentative="1">
      <w:start w:val="1"/>
      <w:numFmt w:val="bullet"/>
      <w:lvlText w:val=""/>
      <w:lvlJc w:val="left"/>
      <w:pPr>
        <w:ind w:left="6480" w:hanging="360"/>
      </w:pPr>
      <w:rPr>
        <w:rFonts w:ascii="Wingdings" w:hAnsi="Wingdings" w:hint="default"/>
      </w:rPr>
    </w:lvl>
  </w:abstractNum>
  <w:abstractNum w:abstractNumId="57" w15:restartNumberingAfterBreak="0">
    <w:nsid w:val="3B403F1B"/>
    <w:multiLevelType w:val="hybridMultilevel"/>
    <w:tmpl w:val="5388004C"/>
    <w:lvl w:ilvl="0" w:tplc="9A344ECA">
      <w:start w:val="1"/>
      <w:numFmt w:val="lowerLetter"/>
      <w:lvlText w:val="%1"/>
      <w:lvlJc w:val="left"/>
      <w:pPr>
        <w:ind w:left="720" w:hanging="360"/>
      </w:pPr>
      <w:rPr>
        <w:rFonts w:hint="default"/>
        <w:sz w:val="16"/>
        <w:szCs w:val="16"/>
        <w:vertAlign w:val="superscript"/>
      </w:rPr>
    </w:lvl>
    <w:lvl w:ilvl="1" w:tplc="07802F1A" w:tentative="1">
      <w:start w:val="1"/>
      <w:numFmt w:val="lowerLetter"/>
      <w:lvlText w:val="%2."/>
      <w:lvlJc w:val="left"/>
      <w:pPr>
        <w:ind w:left="1440" w:hanging="360"/>
      </w:pPr>
    </w:lvl>
    <w:lvl w:ilvl="2" w:tplc="609E2136" w:tentative="1">
      <w:start w:val="1"/>
      <w:numFmt w:val="lowerRoman"/>
      <w:lvlText w:val="%3."/>
      <w:lvlJc w:val="right"/>
      <w:pPr>
        <w:ind w:left="2160" w:hanging="180"/>
      </w:pPr>
    </w:lvl>
    <w:lvl w:ilvl="3" w:tplc="65A03336" w:tentative="1">
      <w:start w:val="1"/>
      <w:numFmt w:val="decimal"/>
      <w:lvlText w:val="%4."/>
      <w:lvlJc w:val="left"/>
      <w:pPr>
        <w:ind w:left="2880" w:hanging="360"/>
      </w:pPr>
    </w:lvl>
    <w:lvl w:ilvl="4" w:tplc="1CE26810" w:tentative="1">
      <w:start w:val="1"/>
      <w:numFmt w:val="lowerLetter"/>
      <w:lvlText w:val="%5."/>
      <w:lvlJc w:val="left"/>
      <w:pPr>
        <w:ind w:left="3600" w:hanging="360"/>
      </w:pPr>
    </w:lvl>
    <w:lvl w:ilvl="5" w:tplc="AC98B896" w:tentative="1">
      <w:start w:val="1"/>
      <w:numFmt w:val="lowerRoman"/>
      <w:lvlText w:val="%6."/>
      <w:lvlJc w:val="right"/>
      <w:pPr>
        <w:ind w:left="4320" w:hanging="180"/>
      </w:pPr>
    </w:lvl>
    <w:lvl w:ilvl="6" w:tplc="E8E2A5FA" w:tentative="1">
      <w:start w:val="1"/>
      <w:numFmt w:val="decimal"/>
      <w:lvlText w:val="%7."/>
      <w:lvlJc w:val="left"/>
      <w:pPr>
        <w:ind w:left="5040" w:hanging="360"/>
      </w:pPr>
    </w:lvl>
    <w:lvl w:ilvl="7" w:tplc="DC228848" w:tentative="1">
      <w:start w:val="1"/>
      <w:numFmt w:val="lowerLetter"/>
      <w:lvlText w:val="%8."/>
      <w:lvlJc w:val="left"/>
      <w:pPr>
        <w:ind w:left="5760" w:hanging="360"/>
      </w:pPr>
    </w:lvl>
    <w:lvl w:ilvl="8" w:tplc="C9043056" w:tentative="1">
      <w:start w:val="1"/>
      <w:numFmt w:val="lowerRoman"/>
      <w:lvlText w:val="%9."/>
      <w:lvlJc w:val="right"/>
      <w:pPr>
        <w:ind w:left="6480" w:hanging="180"/>
      </w:pPr>
    </w:lvl>
  </w:abstractNum>
  <w:abstractNum w:abstractNumId="58" w15:restartNumberingAfterBreak="0">
    <w:nsid w:val="3BAB624D"/>
    <w:multiLevelType w:val="hybridMultilevel"/>
    <w:tmpl w:val="13947064"/>
    <w:lvl w:ilvl="0" w:tplc="72B05B9E">
      <w:start w:val="1"/>
      <w:numFmt w:val="decimal"/>
      <w:lvlText w:val="%1)"/>
      <w:lvlJc w:val="left"/>
      <w:pPr>
        <w:ind w:left="720" w:hanging="360"/>
      </w:pPr>
      <w:rPr>
        <w:rFonts w:hint="default"/>
        <w:vertAlign w:val="superscript"/>
      </w:rPr>
    </w:lvl>
    <w:lvl w:ilvl="1" w:tplc="48E0104A" w:tentative="1">
      <w:start w:val="1"/>
      <w:numFmt w:val="lowerLetter"/>
      <w:lvlText w:val="%2."/>
      <w:lvlJc w:val="left"/>
      <w:pPr>
        <w:ind w:left="1440" w:hanging="360"/>
      </w:pPr>
    </w:lvl>
    <w:lvl w:ilvl="2" w:tplc="31BC5CB6" w:tentative="1">
      <w:start w:val="1"/>
      <w:numFmt w:val="lowerRoman"/>
      <w:lvlText w:val="%3."/>
      <w:lvlJc w:val="right"/>
      <w:pPr>
        <w:ind w:left="2160" w:hanging="180"/>
      </w:pPr>
    </w:lvl>
    <w:lvl w:ilvl="3" w:tplc="3C9A2E58" w:tentative="1">
      <w:start w:val="1"/>
      <w:numFmt w:val="decimal"/>
      <w:lvlText w:val="%4."/>
      <w:lvlJc w:val="left"/>
      <w:pPr>
        <w:ind w:left="2880" w:hanging="360"/>
      </w:pPr>
    </w:lvl>
    <w:lvl w:ilvl="4" w:tplc="6FC09C54" w:tentative="1">
      <w:start w:val="1"/>
      <w:numFmt w:val="lowerLetter"/>
      <w:lvlText w:val="%5."/>
      <w:lvlJc w:val="left"/>
      <w:pPr>
        <w:ind w:left="3600" w:hanging="360"/>
      </w:pPr>
    </w:lvl>
    <w:lvl w:ilvl="5" w:tplc="C41CF032" w:tentative="1">
      <w:start w:val="1"/>
      <w:numFmt w:val="lowerRoman"/>
      <w:lvlText w:val="%6."/>
      <w:lvlJc w:val="right"/>
      <w:pPr>
        <w:ind w:left="4320" w:hanging="180"/>
      </w:pPr>
    </w:lvl>
    <w:lvl w:ilvl="6" w:tplc="52226EBA" w:tentative="1">
      <w:start w:val="1"/>
      <w:numFmt w:val="decimal"/>
      <w:lvlText w:val="%7."/>
      <w:lvlJc w:val="left"/>
      <w:pPr>
        <w:ind w:left="5040" w:hanging="360"/>
      </w:pPr>
    </w:lvl>
    <w:lvl w:ilvl="7" w:tplc="453A1700" w:tentative="1">
      <w:start w:val="1"/>
      <w:numFmt w:val="lowerLetter"/>
      <w:lvlText w:val="%8."/>
      <w:lvlJc w:val="left"/>
      <w:pPr>
        <w:ind w:left="5760" w:hanging="360"/>
      </w:pPr>
    </w:lvl>
    <w:lvl w:ilvl="8" w:tplc="AEC6719E" w:tentative="1">
      <w:start w:val="1"/>
      <w:numFmt w:val="lowerRoman"/>
      <w:lvlText w:val="%9."/>
      <w:lvlJc w:val="right"/>
      <w:pPr>
        <w:ind w:left="6480" w:hanging="180"/>
      </w:pPr>
    </w:lvl>
  </w:abstractNum>
  <w:abstractNum w:abstractNumId="59" w15:restartNumberingAfterBreak="0">
    <w:nsid w:val="3BBF4333"/>
    <w:multiLevelType w:val="hybridMultilevel"/>
    <w:tmpl w:val="9C0C1282"/>
    <w:lvl w:ilvl="0" w:tplc="228E1CBE">
      <w:start w:val="1"/>
      <w:numFmt w:val="decimal"/>
      <w:lvlText w:val="%1."/>
      <w:lvlJc w:val="left"/>
      <w:pPr>
        <w:ind w:left="720" w:hanging="360"/>
      </w:pPr>
      <w:rPr>
        <w:rFonts w:hint="default"/>
      </w:rPr>
    </w:lvl>
    <w:lvl w:ilvl="1" w:tplc="0738544E" w:tentative="1">
      <w:start w:val="1"/>
      <w:numFmt w:val="lowerLetter"/>
      <w:lvlText w:val="%2."/>
      <w:lvlJc w:val="left"/>
      <w:pPr>
        <w:ind w:left="1440" w:hanging="360"/>
      </w:pPr>
    </w:lvl>
    <w:lvl w:ilvl="2" w:tplc="8F285414">
      <w:start w:val="1"/>
      <w:numFmt w:val="lowerRoman"/>
      <w:lvlText w:val="%3."/>
      <w:lvlJc w:val="right"/>
      <w:pPr>
        <w:ind w:left="2160" w:hanging="180"/>
      </w:pPr>
    </w:lvl>
    <w:lvl w:ilvl="3" w:tplc="0F7A420C" w:tentative="1">
      <w:start w:val="1"/>
      <w:numFmt w:val="decimal"/>
      <w:lvlText w:val="%4."/>
      <w:lvlJc w:val="left"/>
      <w:pPr>
        <w:ind w:left="2880" w:hanging="360"/>
      </w:pPr>
    </w:lvl>
    <w:lvl w:ilvl="4" w:tplc="5CA469A8" w:tentative="1">
      <w:start w:val="1"/>
      <w:numFmt w:val="lowerLetter"/>
      <w:lvlText w:val="%5."/>
      <w:lvlJc w:val="left"/>
      <w:pPr>
        <w:ind w:left="3600" w:hanging="360"/>
      </w:pPr>
    </w:lvl>
    <w:lvl w:ilvl="5" w:tplc="C896C162" w:tentative="1">
      <w:start w:val="1"/>
      <w:numFmt w:val="lowerRoman"/>
      <w:lvlText w:val="%6."/>
      <w:lvlJc w:val="right"/>
      <w:pPr>
        <w:ind w:left="4320" w:hanging="180"/>
      </w:pPr>
    </w:lvl>
    <w:lvl w:ilvl="6" w:tplc="82C07F48" w:tentative="1">
      <w:start w:val="1"/>
      <w:numFmt w:val="decimal"/>
      <w:lvlText w:val="%7."/>
      <w:lvlJc w:val="left"/>
      <w:pPr>
        <w:ind w:left="5040" w:hanging="360"/>
      </w:pPr>
    </w:lvl>
    <w:lvl w:ilvl="7" w:tplc="4B5C7E40" w:tentative="1">
      <w:start w:val="1"/>
      <w:numFmt w:val="lowerLetter"/>
      <w:lvlText w:val="%8."/>
      <w:lvlJc w:val="left"/>
      <w:pPr>
        <w:ind w:left="5760" w:hanging="360"/>
      </w:pPr>
    </w:lvl>
    <w:lvl w:ilvl="8" w:tplc="E19E0C8C" w:tentative="1">
      <w:start w:val="1"/>
      <w:numFmt w:val="lowerRoman"/>
      <w:lvlText w:val="%9."/>
      <w:lvlJc w:val="right"/>
      <w:pPr>
        <w:ind w:left="6480" w:hanging="180"/>
      </w:pPr>
    </w:lvl>
  </w:abstractNum>
  <w:abstractNum w:abstractNumId="60" w15:restartNumberingAfterBreak="0">
    <w:nsid w:val="3BC354E8"/>
    <w:multiLevelType w:val="hybridMultilevel"/>
    <w:tmpl w:val="DD186ACA"/>
    <w:lvl w:ilvl="0" w:tplc="3CF4B0AE">
      <w:start w:val="1"/>
      <w:numFmt w:val="bullet"/>
      <w:lvlText w:val=""/>
      <w:lvlJc w:val="left"/>
      <w:pPr>
        <w:tabs>
          <w:tab w:val="num" w:pos="567"/>
        </w:tabs>
        <w:ind w:left="567" w:hanging="567"/>
      </w:pPr>
      <w:rPr>
        <w:rFonts w:ascii="Symbol" w:hAnsi="Symbol" w:hint="default"/>
      </w:rPr>
    </w:lvl>
    <w:lvl w:ilvl="1" w:tplc="76BA4E5A" w:tentative="1">
      <w:start w:val="1"/>
      <w:numFmt w:val="bullet"/>
      <w:lvlText w:val="o"/>
      <w:lvlJc w:val="left"/>
      <w:pPr>
        <w:ind w:left="1440" w:hanging="360"/>
      </w:pPr>
      <w:rPr>
        <w:rFonts w:ascii="Courier New" w:hAnsi="Courier New" w:cs="Courier New" w:hint="default"/>
      </w:rPr>
    </w:lvl>
    <w:lvl w:ilvl="2" w:tplc="60ECAD94" w:tentative="1">
      <w:start w:val="1"/>
      <w:numFmt w:val="bullet"/>
      <w:lvlText w:val=""/>
      <w:lvlJc w:val="left"/>
      <w:pPr>
        <w:ind w:left="2160" w:hanging="360"/>
      </w:pPr>
      <w:rPr>
        <w:rFonts w:ascii="Wingdings" w:hAnsi="Wingdings" w:hint="default"/>
      </w:rPr>
    </w:lvl>
    <w:lvl w:ilvl="3" w:tplc="AD004952" w:tentative="1">
      <w:start w:val="1"/>
      <w:numFmt w:val="bullet"/>
      <w:lvlText w:val=""/>
      <w:lvlJc w:val="left"/>
      <w:pPr>
        <w:ind w:left="2880" w:hanging="360"/>
      </w:pPr>
      <w:rPr>
        <w:rFonts w:ascii="Symbol" w:hAnsi="Symbol" w:hint="default"/>
      </w:rPr>
    </w:lvl>
    <w:lvl w:ilvl="4" w:tplc="6248CBBA" w:tentative="1">
      <w:start w:val="1"/>
      <w:numFmt w:val="bullet"/>
      <w:lvlText w:val="o"/>
      <w:lvlJc w:val="left"/>
      <w:pPr>
        <w:ind w:left="3600" w:hanging="360"/>
      </w:pPr>
      <w:rPr>
        <w:rFonts w:ascii="Courier New" w:hAnsi="Courier New" w:cs="Courier New" w:hint="default"/>
      </w:rPr>
    </w:lvl>
    <w:lvl w:ilvl="5" w:tplc="141E0710" w:tentative="1">
      <w:start w:val="1"/>
      <w:numFmt w:val="bullet"/>
      <w:lvlText w:val=""/>
      <w:lvlJc w:val="left"/>
      <w:pPr>
        <w:ind w:left="4320" w:hanging="360"/>
      </w:pPr>
      <w:rPr>
        <w:rFonts w:ascii="Wingdings" w:hAnsi="Wingdings" w:hint="default"/>
      </w:rPr>
    </w:lvl>
    <w:lvl w:ilvl="6" w:tplc="2FA06004" w:tentative="1">
      <w:start w:val="1"/>
      <w:numFmt w:val="bullet"/>
      <w:lvlText w:val=""/>
      <w:lvlJc w:val="left"/>
      <w:pPr>
        <w:ind w:left="5040" w:hanging="360"/>
      </w:pPr>
      <w:rPr>
        <w:rFonts w:ascii="Symbol" w:hAnsi="Symbol" w:hint="default"/>
      </w:rPr>
    </w:lvl>
    <w:lvl w:ilvl="7" w:tplc="F12CC230" w:tentative="1">
      <w:start w:val="1"/>
      <w:numFmt w:val="bullet"/>
      <w:lvlText w:val="o"/>
      <w:lvlJc w:val="left"/>
      <w:pPr>
        <w:ind w:left="5760" w:hanging="360"/>
      </w:pPr>
      <w:rPr>
        <w:rFonts w:ascii="Courier New" w:hAnsi="Courier New" w:cs="Courier New" w:hint="default"/>
      </w:rPr>
    </w:lvl>
    <w:lvl w:ilvl="8" w:tplc="1DACAFCA" w:tentative="1">
      <w:start w:val="1"/>
      <w:numFmt w:val="bullet"/>
      <w:lvlText w:val=""/>
      <w:lvlJc w:val="left"/>
      <w:pPr>
        <w:ind w:left="6480" w:hanging="360"/>
      </w:pPr>
      <w:rPr>
        <w:rFonts w:ascii="Wingdings" w:hAnsi="Wingdings" w:hint="default"/>
      </w:rPr>
    </w:lvl>
  </w:abstractNum>
  <w:abstractNum w:abstractNumId="61" w15:restartNumberingAfterBreak="0">
    <w:nsid w:val="3BC77894"/>
    <w:multiLevelType w:val="hybridMultilevel"/>
    <w:tmpl w:val="7AAE017E"/>
    <w:lvl w:ilvl="0" w:tplc="A7D8B46A">
      <w:start w:val="1"/>
      <w:numFmt w:val="bullet"/>
      <w:lvlText w:val=""/>
      <w:lvlJc w:val="left"/>
      <w:pPr>
        <w:ind w:left="1350" w:hanging="360"/>
      </w:pPr>
      <w:rPr>
        <w:rFonts w:ascii="Symbol" w:hAnsi="Symbol" w:hint="default"/>
      </w:rPr>
    </w:lvl>
    <w:lvl w:ilvl="1" w:tplc="FCC23D9C">
      <w:start w:val="1"/>
      <w:numFmt w:val="bullet"/>
      <w:lvlText w:val="o"/>
      <w:lvlJc w:val="left"/>
      <w:pPr>
        <w:ind w:left="2070" w:hanging="360"/>
      </w:pPr>
      <w:rPr>
        <w:rFonts w:ascii="Courier New" w:hAnsi="Courier New" w:cs="Courier New" w:hint="default"/>
      </w:rPr>
    </w:lvl>
    <w:lvl w:ilvl="2" w:tplc="E60AD158">
      <w:start w:val="1"/>
      <w:numFmt w:val="bullet"/>
      <w:lvlText w:val=""/>
      <w:lvlJc w:val="left"/>
      <w:pPr>
        <w:ind w:left="2790" w:hanging="360"/>
      </w:pPr>
      <w:rPr>
        <w:rFonts w:ascii="Wingdings" w:hAnsi="Wingdings" w:hint="default"/>
      </w:rPr>
    </w:lvl>
    <w:lvl w:ilvl="3" w:tplc="9FF2B922">
      <w:start w:val="1"/>
      <w:numFmt w:val="bullet"/>
      <w:lvlText w:val=""/>
      <w:lvlJc w:val="left"/>
      <w:pPr>
        <w:ind w:left="3510" w:hanging="360"/>
      </w:pPr>
      <w:rPr>
        <w:rFonts w:ascii="Symbol" w:hAnsi="Symbol" w:hint="default"/>
      </w:rPr>
    </w:lvl>
    <w:lvl w:ilvl="4" w:tplc="D2385D86">
      <w:start w:val="1"/>
      <w:numFmt w:val="bullet"/>
      <w:lvlText w:val="o"/>
      <w:lvlJc w:val="left"/>
      <w:pPr>
        <w:ind w:left="4230" w:hanging="360"/>
      </w:pPr>
      <w:rPr>
        <w:rFonts w:ascii="Courier New" w:hAnsi="Courier New" w:cs="Courier New" w:hint="default"/>
      </w:rPr>
    </w:lvl>
    <w:lvl w:ilvl="5" w:tplc="6C567D42">
      <w:start w:val="1"/>
      <w:numFmt w:val="bullet"/>
      <w:lvlText w:val=""/>
      <w:lvlJc w:val="left"/>
      <w:pPr>
        <w:ind w:left="4950" w:hanging="360"/>
      </w:pPr>
      <w:rPr>
        <w:rFonts w:ascii="Wingdings" w:hAnsi="Wingdings" w:hint="default"/>
      </w:rPr>
    </w:lvl>
    <w:lvl w:ilvl="6" w:tplc="D43CC224">
      <w:start w:val="1"/>
      <w:numFmt w:val="bullet"/>
      <w:lvlText w:val=""/>
      <w:lvlJc w:val="left"/>
      <w:pPr>
        <w:ind w:left="5670" w:hanging="360"/>
      </w:pPr>
      <w:rPr>
        <w:rFonts w:ascii="Symbol" w:hAnsi="Symbol" w:hint="default"/>
      </w:rPr>
    </w:lvl>
    <w:lvl w:ilvl="7" w:tplc="6A9C6B8A">
      <w:start w:val="1"/>
      <w:numFmt w:val="bullet"/>
      <w:lvlText w:val="o"/>
      <w:lvlJc w:val="left"/>
      <w:pPr>
        <w:ind w:left="6390" w:hanging="360"/>
      </w:pPr>
      <w:rPr>
        <w:rFonts w:ascii="Courier New" w:hAnsi="Courier New" w:cs="Courier New" w:hint="default"/>
      </w:rPr>
    </w:lvl>
    <w:lvl w:ilvl="8" w:tplc="0F5A3F34">
      <w:start w:val="1"/>
      <w:numFmt w:val="bullet"/>
      <w:lvlText w:val=""/>
      <w:lvlJc w:val="left"/>
      <w:pPr>
        <w:ind w:left="7110" w:hanging="360"/>
      </w:pPr>
      <w:rPr>
        <w:rFonts w:ascii="Wingdings" w:hAnsi="Wingdings" w:hint="default"/>
      </w:rPr>
    </w:lvl>
  </w:abstractNum>
  <w:abstractNum w:abstractNumId="62" w15:restartNumberingAfterBreak="0">
    <w:nsid w:val="3C542FEE"/>
    <w:multiLevelType w:val="hybridMultilevel"/>
    <w:tmpl w:val="513619DC"/>
    <w:lvl w:ilvl="0" w:tplc="B45A7018">
      <w:start w:val="1"/>
      <w:numFmt w:val="bullet"/>
      <w:lvlText w:val=""/>
      <w:lvlJc w:val="left"/>
      <w:pPr>
        <w:ind w:left="720" w:hanging="360"/>
      </w:pPr>
      <w:rPr>
        <w:rFonts w:ascii="Symbol" w:hAnsi="Symbol" w:hint="default"/>
        <w:sz w:val="22"/>
      </w:rPr>
    </w:lvl>
    <w:lvl w:ilvl="1" w:tplc="AA889346" w:tentative="1">
      <w:start w:val="1"/>
      <w:numFmt w:val="bullet"/>
      <w:lvlText w:val="o"/>
      <w:lvlJc w:val="left"/>
      <w:pPr>
        <w:ind w:left="1440" w:hanging="360"/>
      </w:pPr>
      <w:rPr>
        <w:rFonts w:ascii="Courier New" w:hAnsi="Courier New" w:cs="Courier New" w:hint="default"/>
      </w:rPr>
    </w:lvl>
    <w:lvl w:ilvl="2" w:tplc="7A00F7C8" w:tentative="1">
      <w:start w:val="1"/>
      <w:numFmt w:val="bullet"/>
      <w:lvlText w:val=""/>
      <w:lvlJc w:val="left"/>
      <w:pPr>
        <w:ind w:left="2160" w:hanging="360"/>
      </w:pPr>
      <w:rPr>
        <w:rFonts w:ascii="Wingdings" w:hAnsi="Wingdings" w:hint="default"/>
      </w:rPr>
    </w:lvl>
    <w:lvl w:ilvl="3" w:tplc="3B4ADCA2" w:tentative="1">
      <w:start w:val="1"/>
      <w:numFmt w:val="bullet"/>
      <w:lvlText w:val=""/>
      <w:lvlJc w:val="left"/>
      <w:pPr>
        <w:ind w:left="2880" w:hanging="360"/>
      </w:pPr>
      <w:rPr>
        <w:rFonts w:ascii="Symbol" w:hAnsi="Symbol" w:hint="default"/>
      </w:rPr>
    </w:lvl>
    <w:lvl w:ilvl="4" w:tplc="F072D23C" w:tentative="1">
      <w:start w:val="1"/>
      <w:numFmt w:val="bullet"/>
      <w:lvlText w:val="o"/>
      <w:lvlJc w:val="left"/>
      <w:pPr>
        <w:ind w:left="3600" w:hanging="360"/>
      </w:pPr>
      <w:rPr>
        <w:rFonts w:ascii="Courier New" w:hAnsi="Courier New" w:cs="Courier New" w:hint="default"/>
      </w:rPr>
    </w:lvl>
    <w:lvl w:ilvl="5" w:tplc="BF2A5EDE" w:tentative="1">
      <w:start w:val="1"/>
      <w:numFmt w:val="bullet"/>
      <w:lvlText w:val=""/>
      <w:lvlJc w:val="left"/>
      <w:pPr>
        <w:ind w:left="4320" w:hanging="360"/>
      </w:pPr>
      <w:rPr>
        <w:rFonts w:ascii="Wingdings" w:hAnsi="Wingdings" w:hint="default"/>
      </w:rPr>
    </w:lvl>
    <w:lvl w:ilvl="6" w:tplc="BED23904" w:tentative="1">
      <w:start w:val="1"/>
      <w:numFmt w:val="bullet"/>
      <w:lvlText w:val=""/>
      <w:lvlJc w:val="left"/>
      <w:pPr>
        <w:ind w:left="5040" w:hanging="360"/>
      </w:pPr>
      <w:rPr>
        <w:rFonts w:ascii="Symbol" w:hAnsi="Symbol" w:hint="default"/>
      </w:rPr>
    </w:lvl>
    <w:lvl w:ilvl="7" w:tplc="ACB4FEF6" w:tentative="1">
      <w:start w:val="1"/>
      <w:numFmt w:val="bullet"/>
      <w:lvlText w:val="o"/>
      <w:lvlJc w:val="left"/>
      <w:pPr>
        <w:ind w:left="5760" w:hanging="360"/>
      </w:pPr>
      <w:rPr>
        <w:rFonts w:ascii="Courier New" w:hAnsi="Courier New" w:cs="Courier New" w:hint="default"/>
      </w:rPr>
    </w:lvl>
    <w:lvl w:ilvl="8" w:tplc="E7042F22" w:tentative="1">
      <w:start w:val="1"/>
      <w:numFmt w:val="bullet"/>
      <w:lvlText w:val=""/>
      <w:lvlJc w:val="left"/>
      <w:pPr>
        <w:ind w:left="6480" w:hanging="360"/>
      </w:pPr>
      <w:rPr>
        <w:rFonts w:ascii="Wingdings" w:hAnsi="Wingdings" w:hint="default"/>
      </w:rPr>
    </w:lvl>
  </w:abstractNum>
  <w:abstractNum w:abstractNumId="63" w15:restartNumberingAfterBreak="0">
    <w:nsid w:val="3DF118A4"/>
    <w:multiLevelType w:val="hybridMultilevel"/>
    <w:tmpl w:val="12083956"/>
    <w:lvl w:ilvl="0" w:tplc="4AA2827E">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834A232A" w:tentative="1">
      <w:start w:val="1"/>
      <w:numFmt w:val="lowerLetter"/>
      <w:lvlText w:val="%2."/>
      <w:lvlJc w:val="left"/>
      <w:pPr>
        <w:ind w:left="1440" w:hanging="360"/>
      </w:pPr>
    </w:lvl>
    <w:lvl w:ilvl="2" w:tplc="4D2AABE4" w:tentative="1">
      <w:start w:val="1"/>
      <w:numFmt w:val="lowerRoman"/>
      <w:lvlText w:val="%3."/>
      <w:lvlJc w:val="right"/>
      <w:pPr>
        <w:ind w:left="2160" w:hanging="180"/>
      </w:pPr>
    </w:lvl>
    <w:lvl w:ilvl="3" w:tplc="C6BCC9F6" w:tentative="1">
      <w:start w:val="1"/>
      <w:numFmt w:val="decimal"/>
      <w:lvlText w:val="%4."/>
      <w:lvlJc w:val="left"/>
      <w:pPr>
        <w:ind w:left="2880" w:hanging="360"/>
      </w:pPr>
    </w:lvl>
    <w:lvl w:ilvl="4" w:tplc="998C2D4C" w:tentative="1">
      <w:start w:val="1"/>
      <w:numFmt w:val="lowerLetter"/>
      <w:lvlText w:val="%5."/>
      <w:lvlJc w:val="left"/>
      <w:pPr>
        <w:ind w:left="3600" w:hanging="360"/>
      </w:pPr>
    </w:lvl>
    <w:lvl w:ilvl="5" w:tplc="2416C6F6" w:tentative="1">
      <w:start w:val="1"/>
      <w:numFmt w:val="lowerRoman"/>
      <w:lvlText w:val="%6."/>
      <w:lvlJc w:val="right"/>
      <w:pPr>
        <w:ind w:left="4320" w:hanging="180"/>
      </w:pPr>
    </w:lvl>
    <w:lvl w:ilvl="6" w:tplc="5F4C6B72" w:tentative="1">
      <w:start w:val="1"/>
      <w:numFmt w:val="decimal"/>
      <w:lvlText w:val="%7."/>
      <w:lvlJc w:val="left"/>
      <w:pPr>
        <w:ind w:left="5040" w:hanging="360"/>
      </w:pPr>
    </w:lvl>
    <w:lvl w:ilvl="7" w:tplc="94FC0B48" w:tentative="1">
      <w:start w:val="1"/>
      <w:numFmt w:val="lowerLetter"/>
      <w:lvlText w:val="%8."/>
      <w:lvlJc w:val="left"/>
      <w:pPr>
        <w:ind w:left="5760" w:hanging="360"/>
      </w:pPr>
    </w:lvl>
    <w:lvl w:ilvl="8" w:tplc="25CA1EC8" w:tentative="1">
      <w:start w:val="1"/>
      <w:numFmt w:val="lowerRoman"/>
      <w:lvlText w:val="%9."/>
      <w:lvlJc w:val="right"/>
      <w:pPr>
        <w:ind w:left="6480" w:hanging="180"/>
      </w:pPr>
    </w:lvl>
  </w:abstractNum>
  <w:abstractNum w:abstractNumId="64" w15:restartNumberingAfterBreak="0">
    <w:nsid w:val="3E864EC5"/>
    <w:multiLevelType w:val="hybridMultilevel"/>
    <w:tmpl w:val="5038E426"/>
    <w:lvl w:ilvl="0" w:tplc="6D98E0E0">
      <w:start w:val="1"/>
      <w:numFmt w:val="bullet"/>
      <w:lvlText w:val=""/>
      <w:lvlJc w:val="left"/>
      <w:pPr>
        <w:tabs>
          <w:tab w:val="num" w:pos="720"/>
        </w:tabs>
        <w:ind w:left="720" w:hanging="360"/>
      </w:pPr>
      <w:rPr>
        <w:rFonts w:ascii="Symbol" w:hAnsi="Symbol" w:hint="default"/>
      </w:rPr>
    </w:lvl>
    <w:lvl w:ilvl="1" w:tplc="A178ED9E">
      <w:start w:val="1"/>
      <w:numFmt w:val="bullet"/>
      <w:lvlText w:val="o"/>
      <w:lvlJc w:val="left"/>
      <w:pPr>
        <w:tabs>
          <w:tab w:val="num" w:pos="1440"/>
        </w:tabs>
        <w:ind w:left="1440" w:hanging="360"/>
      </w:pPr>
      <w:rPr>
        <w:rFonts w:ascii="Courier New" w:hAnsi="Courier New" w:hint="default"/>
      </w:rPr>
    </w:lvl>
    <w:lvl w:ilvl="2" w:tplc="4B94C2E6">
      <w:start w:val="1"/>
      <w:numFmt w:val="bullet"/>
      <w:lvlText w:val=""/>
      <w:lvlJc w:val="left"/>
      <w:pPr>
        <w:tabs>
          <w:tab w:val="num" w:pos="2160"/>
        </w:tabs>
        <w:ind w:left="2160" w:hanging="360"/>
      </w:pPr>
      <w:rPr>
        <w:rFonts w:ascii="Wingdings" w:hAnsi="Wingdings" w:hint="default"/>
      </w:rPr>
    </w:lvl>
    <w:lvl w:ilvl="3" w:tplc="AD566752" w:tentative="1">
      <w:start w:val="1"/>
      <w:numFmt w:val="bullet"/>
      <w:lvlText w:val=""/>
      <w:lvlJc w:val="left"/>
      <w:pPr>
        <w:tabs>
          <w:tab w:val="num" w:pos="2880"/>
        </w:tabs>
        <w:ind w:left="2880" w:hanging="360"/>
      </w:pPr>
      <w:rPr>
        <w:rFonts w:ascii="Symbol" w:hAnsi="Symbol" w:hint="default"/>
      </w:rPr>
    </w:lvl>
    <w:lvl w:ilvl="4" w:tplc="18F6F1B6" w:tentative="1">
      <w:start w:val="1"/>
      <w:numFmt w:val="bullet"/>
      <w:lvlText w:val="o"/>
      <w:lvlJc w:val="left"/>
      <w:pPr>
        <w:tabs>
          <w:tab w:val="num" w:pos="3600"/>
        </w:tabs>
        <w:ind w:left="3600" w:hanging="360"/>
      </w:pPr>
      <w:rPr>
        <w:rFonts w:ascii="Courier New" w:hAnsi="Courier New" w:hint="default"/>
      </w:rPr>
    </w:lvl>
    <w:lvl w:ilvl="5" w:tplc="7728DA76" w:tentative="1">
      <w:start w:val="1"/>
      <w:numFmt w:val="bullet"/>
      <w:lvlText w:val=""/>
      <w:lvlJc w:val="left"/>
      <w:pPr>
        <w:tabs>
          <w:tab w:val="num" w:pos="4320"/>
        </w:tabs>
        <w:ind w:left="4320" w:hanging="360"/>
      </w:pPr>
      <w:rPr>
        <w:rFonts w:ascii="Wingdings" w:hAnsi="Wingdings" w:hint="default"/>
      </w:rPr>
    </w:lvl>
    <w:lvl w:ilvl="6" w:tplc="93F230EA" w:tentative="1">
      <w:start w:val="1"/>
      <w:numFmt w:val="bullet"/>
      <w:lvlText w:val=""/>
      <w:lvlJc w:val="left"/>
      <w:pPr>
        <w:tabs>
          <w:tab w:val="num" w:pos="5040"/>
        </w:tabs>
        <w:ind w:left="5040" w:hanging="360"/>
      </w:pPr>
      <w:rPr>
        <w:rFonts w:ascii="Symbol" w:hAnsi="Symbol" w:hint="default"/>
      </w:rPr>
    </w:lvl>
    <w:lvl w:ilvl="7" w:tplc="C5FCFF90" w:tentative="1">
      <w:start w:val="1"/>
      <w:numFmt w:val="bullet"/>
      <w:lvlText w:val="o"/>
      <w:lvlJc w:val="left"/>
      <w:pPr>
        <w:tabs>
          <w:tab w:val="num" w:pos="5760"/>
        </w:tabs>
        <w:ind w:left="5760" w:hanging="360"/>
      </w:pPr>
      <w:rPr>
        <w:rFonts w:ascii="Courier New" w:hAnsi="Courier New" w:hint="default"/>
      </w:rPr>
    </w:lvl>
    <w:lvl w:ilvl="8" w:tplc="D21C2B4E"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FB30087"/>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66" w15:restartNumberingAfterBreak="0">
    <w:nsid w:val="401D4DC3"/>
    <w:multiLevelType w:val="hybridMultilevel"/>
    <w:tmpl w:val="01F0B2E2"/>
    <w:lvl w:ilvl="0" w:tplc="3A38FA28">
      <w:start w:val="1"/>
      <w:numFmt w:val="bullet"/>
      <w:lvlText w:val=""/>
      <w:lvlJc w:val="left"/>
      <w:pPr>
        <w:tabs>
          <w:tab w:val="num" w:pos="567"/>
        </w:tabs>
        <w:ind w:left="567" w:hanging="567"/>
      </w:pPr>
      <w:rPr>
        <w:rFonts w:ascii="Symbol" w:hAnsi="Symbol" w:hint="default"/>
      </w:rPr>
    </w:lvl>
    <w:lvl w:ilvl="1" w:tplc="716837AA">
      <w:start w:val="1"/>
      <w:numFmt w:val="bullet"/>
      <w:lvlText w:val="o"/>
      <w:lvlJc w:val="left"/>
      <w:pPr>
        <w:tabs>
          <w:tab w:val="num" w:pos="1440"/>
        </w:tabs>
        <w:ind w:left="1440" w:hanging="360"/>
      </w:pPr>
      <w:rPr>
        <w:rFonts w:ascii="Courier New" w:hAnsi="Courier New" w:hint="default"/>
      </w:rPr>
    </w:lvl>
    <w:lvl w:ilvl="2" w:tplc="CBB68F7E">
      <w:start w:val="1"/>
      <w:numFmt w:val="bullet"/>
      <w:lvlText w:val=""/>
      <w:lvlJc w:val="left"/>
      <w:pPr>
        <w:tabs>
          <w:tab w:val="num" w:pos="2160"/>
        </w:tabs>
        <w:ind w:left="2160" w:hanging="360"/>
      </w:pPr>
      <w:rPr>
        <w:rFonts w:ascii="Wingdings" w:hAnsi="Wingdings" w:hint="default"/>
      </w:rPr>
    </w:lvl>
    <w:lvl w:ilvl="3" w:tplc="80608500" w:tentative="1">
      <w:start w:val="1"/>
      <w:numFmt w:val="bullet"/>
      <w:lvlText w:val=""/>
      <w:lvlJc w:val="left"/>
      <w:pPr>
        <w:tabs>
          <w:tab w:val="num" w:pos="2880"/>
        </w:tabs>
        <w:ind w:left="2880" w:hanging="360"/>
      </w:pPr>
      <w:rPr>
        <w:rFonts w:ascii="Symbol" w:hAnsi="Symbol" w:hint="default"/>
      </w:rPr>
    </w:lvl>
    <w:lvl w:ilvl="4" w:tplc="B43A8582" w:tentative="1">
      <w:start w:val="1"/>
      <w:numFmt w:val="bullet"/>
      <w:lvlText w:val="o"/>
      <w:lvlJc w:val="left"/>
      <w:pPr>
        <w:tabs>
          <w:tab w:val="num" w:pos="3600"/>
        </w:tabs>
        <w:ind w:left="3600" w:hanging="360"/>
      </w:pPr>
      <w:rPr>
        <w:rFonts w:ascii="Courier New" w:hAnsi="Courier New" w:hint="default"/>
      </w:rPr>
    </w:lvl>
    <w:lvl w:ilvl="5" w:tplc="54EA17AC" w:tentative="1">
      <w:start w:val="1"/>
      <w:numFmt w:val="bullet"/>
      <w:lvlText w:val=""/>
      <w:lvlJc w:val="left"/>
      <w:pPr>
        <w:tabs>
          <w:tab w:val="num" w:pos="4320"/>
        </w:tabs>
        <w:ind w:left="4320" w:hanging="360"/>
      </w:pPr>
      <w:rPr>
        <w:rFonts w:ascii="Wingdings" w:hAnsi="Wingdings" w:hint="default"/>
      </w:rPr>
    </w:lvl>
    <w:lvl w:ilvl="6" w:tplc="6C38416E" w:tentative="1">
      <w:start w:val="1"/>
      <w:numFmt w:val="bullet"/>
      <w:lvlText w:val=""/>
      <w:lvlJc w:val="left"/>
      <w:pPr>
        <w:tabs>
          <w:tab w:val="num" w:pos="5040"/>
        </w:tabs>
        <w:ind w:left="5040" w:hanging="360"/>
      </w:pPr>
      <w:rPr>
        <w:rFonts w:ascii="Symbol" w:hAnsi="Symbol" w:hint="default"/>
      </w:rPr>
    </w:lvl>
    <w:lvl w:ilvl="7" w:tplc="73B2E3FA" w:tentative="1">
      <w:start w:val="1"/>
      <w:numFmt w:val="bullet"/>
      <w:lvlText w:val="o"/>
      <w:lvlJc w:val="left"/>
      <w:pPr>
        <w:tabs>
          <w:tab w:val="num" w:pos="5760"/>
        </w:tabs>
        <w:ind w:left="5760" w:hanging="360"/>
      </w:pPr>
      <w:rPr>
        <w:rFonts w:ascii="Courier New" w:hAnsi="Courier New" w:hint="default"/>
      </w:rPr>
    </w:lvl>
    <w:lvl w:ilvl="8" w:tplc="95F0A70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0E54B09"/>
    <w:multiLevelType w:val="hybridMultilevel"/>
    <w:tmpl w:val="28E680C8"/>
    <w:lvl w:ilvl="0" w:tplc="5ACEEE78">
      <w:start w:val="1"/>
      <w:numFmt w:val="bullet"/>
      <w:pStyle w:val="EMEABullet2"/>
      <w:lvlText w:val=""/>
      <w:lvlJc w:val="left"/>
      <w:pPr>
        <w:tabs>
          <w:tab w:val="num" w:pos="720"/>
        </w:tabs>
        <w:ind w:left="720" w:hanging="360"/>
      </w:pPr>
      <w:rPr>
        <w:rFonts w:ascii="Symbol" w:hAnsi="Symbol" w:hint="default"/>
      </w:rPr>
    </w:lvl>
    <w:lvl w:ilvl="1" w:tplc="F168D8DC">
      <w:start w:val="1"/>
      <w:numFmt w:val="bullet"/>
      <w:lvlText w:val=""/>
      <w:lvlJc w:val="left"/>
      <w:pPr>
        <w:tabs>
          <w:tab w:val="num" w:pos="1440"/>
        </w:tabs>
        <w:ind w:left="1440" w:hanging="360"/>
      </w:pPr>
      <w:rPr>
        <w:rFonts w:ascii="Symbol" w:hAnsi="Symbol" w:hint="default"/>
      </w:rPr>
    </w:lvl>
    <w:lvl w:ilvl="2" w:tplc="336AE4E4" w:tentative="1">
      <w:start w:val="1"/>
      <w:numFmt w:val="bullet"/>
      <w:lvlText w:val=""/>
      <w:lvlJc w:val="left"/>
      <w:pPr>
        <w:tabs>
          <w:tab w:val="num" w:pos="2160"/>
        </w:tabs>
        <w:ind w:left="2160" w:hanging="360"/>
      </w:pPr>
      <w:rPr>
        <w:rFonts w:ascii="Wingdings" w:hAnsi="Wingdings" w:hint="default"/>
      </w:rPr>
    </w:lvl>
    <w:lvl w:ilvl="3" w:tplc="A7560A5E" w:tentative="1">
      <w:start w:val="1"/>
      <w:numFmt w:val="bullet"/>
      <w:lvlText w:val=""/>
      <w:lvlJc w:val="left"/>
      <w:pPr>
        <w:tabs>
          <w:tab w:val="num" w:pos="2880"/>
        </w:tabs>
        <w:ind w:left="2880" w:hanging="360"/>
      </w:pPr>
      <w:rPr>
        <w:rFonts w:ascii="Symbol" w:hAnsi="Symbol" w:hint="default"/>
      </w:rPr>
    </w:lvl>
    <w:lvl w:ilvl="4" w:tplc="FCA62446" w:tentative="1">
      <w:start w:val="1"/>
      <w:numFmt w:val="bullet"/>
      <w:lvlText w:val="o"/>
      <w:lvlJc w:val="left"/>
      <w:pPr>
        <w:tabs>
          <w:tab w:val="num" w:pos="3600"/>
        </w:tabs>
        <w:ind w:left="3600" w:hanging="360"/>
      </w:pPr>
      <w:rPr>
        <w:rFonts w:ascii="Courier New" w:hAnsi="Courier New" w:hint="default"/>
      </w:rPr>
    </w:lvl>
    <w:lvl w:ilvl="5" w:tplc="05722FB6" w:tentative="1">
      <w:start w:val="1"/>
      <w:numFmt w:val="bullet"/>
      <w:lvlText w:val=""/>
      <w:lvlJc w:val="left"/>
      <w:pPr>
        <w:tabs>
          <w:tab w:val="num" w:pos="4320"/>
        </w:tabs>
        <w:ind w:left="4320" w:hanging="360"/>
      </w:pPr>
      <w:rPr>
        <w:rFonts w:ascii="Wingdings" w:hAnsi="Wingdings" w:hint="default"/>
      </w:rPr>
    </w:lvl>
    <w:lvl w:ilvl="6" w:tplc="AF4A52BE" w:tentative="1">
      <w:start w:val="1"/>
      <w:numFmt w:val="bullet"/>
      <w:lvlText w:val=""/>
      <w:lvlJc w:val="left"/>
      <w:pPr>
        <w:tabs>
          <w:tab w:val="num" w:pos="5040"/>
        </w:tabs>
        <w:ind w:left="5040" w:hanging="360"/>
      </w:pPr>
      <w:rPr>
        <w:rFonts w:ascii="Symbol" w:hAnsi="Symbol" w:hint="default"/>
      </w:rPr>
    </w:lvl>
    <w:lvl w:ilvl="7" w:tplc="989AF5D8" w:tentative="1">
      <w:start w:val="1"/>
      <w:numFmt w:val="bullet"/>
      <w:lvlText w:val="o"/>
      <w:lvlJc w:val="left"/>
      <w:pPr>
        <w:tabs>
          <w:tab w:val="num" w:pos="5760"/>
        </w:tabs>
        <w:ind w:left="5760" w:hanging="360"/>
      </w:pPr>
      <w:rPr>
        <w:rFonts w:ascii="Courier New" w:hAnsi="Courier New" w:hint="default"/>
      </w:rPr>
    </w:lvl>
    <w:lvl w:ilvl="8" w:tplc="FCF6F2A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1F816B0"/>
    <w:multiLevelType w:val="hybridMultilevel"/>
    <w:tmpl w:val="326269EA"/>
    <w:lvl w:ilvl="0" w:tplc="543AB942">
      <w:start w:val="1"/>
      <w:numFmt w:val="bullet"/>
      <w:lvlText w:val=""/>
      <w:lvlJc w:val="left"/>
      <w:pPr>
        <w:ind w:left="360" w:hanging="360"/>
      </w:pPr>
      <w:rPr>
        <w:rFonts w:ascii="Symbol" w:hAnsi="Symbol" w:hint="default"/>
      </w:rPr>
    </w:lvl>
    <w:lvl w:ilvl="1" w:tplc="B56EE526" w:tentative="1">
      <w:start w:val="1"/>
      <w:numFmt w:val="bullet"/>
      <w:lvlText w:val="o"/>
      <w:lvlJc w:val="left"/>
      <w:pPr>
        <w:ind w:left="1080" w:hanging="360"/>
      </w:pPr>
      <w:rPr>
        <w:rFonts w:ascii="Courier New" w:hAnsi="Courier New" w:cs="Courier New" w:hint="default"/>
      </w:rPr>
    </w:lvl>
    <w:lvl w:ilvl="2" w:tplc="5E7884D4" w:tentative="1">
      <w:start w:val="1"/>
      <w:numFmt w:val="bullet"/>
      <w:lvlText w:val=""/>
      <w:lvlJc w:val="left"/>
      <w:pPr>
        <w:ind w:left="1800" w:hanging="360"/>
      </w:pPr>
      <w:rPr>
        <w:rFonts w:ascii="Wingdings" w:hAnsi="Wingdings" w:hint="default"/>
      </w:rPr>
    </w:lvl>
    <w:lvl w:ilvl="3" w:tplc="4BF674F0" w:tentative="1">
      <w:start w:val="1"/>
      <w:numFmt w:val="bullet"/>
      <w:lvlText w:val=""/>
      <w:lvlJc w:val="left"/>
      <w:pPr>
        <w:ind w:left="2520" w:hanging="360"/>
      </w:pPr>
      <w:rPr>
        <w:rFonts w:ascii="Symbol" w:hAnsi="Symbol" w:hint="default"/>
      </w:rPr>
    </w:lvl>
    <w:lvl w:ilvl="4" w:tplc="899A5C1E" w:tentative="1">
      <w:start w:val="1"/>
      <w:numFmt w:val="bullet"/>
      <w:lvlText w:val="o"/>
      <w:lvlJc w:val="left"/>
      <w:pPr>
        <w:ind w:left="3240" w:hanging="360"/>
      </w:pPr>
      <w:rPr>
        <w:rFonts w:ascii="Courier New" w:hAnsi="Courier New" w:cs="Courier New" w:hint="default"/>
      </w:rPr>
    </w:lvl>
    <w:lvl w:ilvl="5" w:tplc="832EFB7C" w:tentative="1">
      <w:start w:val="1"/>
      <w:numFmt w:val="bullet"/>
      <w:lvlText w:val=""/>
      <w:lvlJc w:val="left"/>
      <w:pPr>
        <w:ind w:left="3960" w:hanging="360"/>
      </w:pPr>
      <w:rPr>
        <w:rFonts w:ascii="Wingdings" w:hAnsi="Wingdings" w:hint="default"/>
      </w:rPr>
    </w:lvl>
    <w:lvl w:ilvl="6" w:tplc="6D04C03C" w:tentative="1">
      <w:start w:val="1"/>
      <w:numFmt w:val="bullet"/>
      <w:lvlText w:val=""/>
      <w:lvlJc w:val="left"/>
      <w:pPr>
        <w:ind w:left="4680" w:hanging="360"/>
      </w:pPr>
      <w:rPr>
        <w:rFonts w:ascii="Symbol" w:hAnsi="Symbol" w:hint="default"/>
      </w:rPr>
    </w:lvl>
    <w:lvl w:ilvl="7" w:tplc="50704364" w:tentative="1">
      <w:start w:val="1"/>
      <w:numFmt w:val="bullet"/>
      <w:lvlText w:val="o"/>
      <w:lvlJc w:val="left"/>
      <w:pPr>
        <w:ind w:left="5400" w:hanging="360"/>
      </w:pPr>
      <w:rPr>
        <w:rFonts w:ascii="Courier New" w:hAnsi="Courier New" w:cs="Courier New" w:hint="default"/>
      </w:rPr>
    </w:lvl>
    <w:lvl w:ilvl="8" w:tplc="BA86339E" w:tentative="1">
      <w:start w:val="1"/>
      <w:numFmt w:val="bullet"/>
      <w:lvlText w:val=""/>
      <w:lvlJc w:val="left"/>
      <w:pPr>
        <w:ind w:left="6120" w:hanging="360"/>
      </w:pPr>
      <w:rPr>
        <w:rFonts w:ascii="Wingdings" w:hAnsi="Wingdings" w:hint="default"/>
      </w:rPr>
    </w:lvl>
  </w:abstractNum>
  <w:abstractNum w:abstractNumId="69" w15:restartNumberingAfterBreak="0">
    <w:nsid w:val="42410736"/>
    <w:multiLevelType w:val="hybridMultilevel"/>
    <w:tmpl w:val="19E48ED0"/>
    <w:lvl w:ilvl="0" w:tplc="1A30EA10">
      <w:start w:val="1"/>
      <w:numFmt w:val="bullet"/>
      <w:lvlText w:val=""/>
      <w:lvlJc w:val="left"/>
      <w:pPr>
        <w:ind w:left="720" w:hanging="360"/>
      </w:pPr>
      <w:rPr>
        <w:rFonts w:ascii="Symbol" w:hAnsi="Symbol" w:hint="default"/>
        <w:sz w:val="22"/>
      </w:rPr>
    </w:lvl>
    <w:lvl w:ilvl="1" w:tplc="0C545A66" w:tentative="1">
      <w:start w:val="1"/>
      <w:numFmt w:val="bullet"/>
      <w:lvlText w:val="o"/>
      <w:lvlJc w:val="left"/>
      <w:pPr>
        <w:ind w:left="1440" w:hanging="360"/>
      </w:pPr>
      <w:rPr>
        <w:rFonts w:ascii="Courier New" w:hAnsi="Courier New" w:cs="Courier New" w:hint="default"/>
      </w:rPr>
    </w:lvl>
    <w:lvl w:ilvl="2" w:tplc="613CBCC6" w:tentative="1">
      <w:start w:val="1"/>
      <w:numFmt w:val="bullet"/>
      <w:lvlText w:val=""/>
      <w:lvlJc w:val="left"/>
      <w:pPr>
        <w:ind w:left="2160" w:hanging="360"/>
      </w:pPr>
      <w:rPr>
        <w:rFonts w:ascii="Wingdings" w:hAnsi="Wingdings" w:hint="default"/>
      </w:rPr>
    </w:lvl>
    <w:lvl w:ilvl="3" w:tplc="8E5E21DC" w:tentative="1">
      <w:start w:val="1"/>
      <w:numFmt w:val="bullet"/>
      <w:lvlText w:val=""/>
      <w:lvlJc w:val="left"/>
      <w:pPr>
        <w:ind w:left="2880" w:hanging="360"/>
      </w:pPr>
      <w:rPr>
        <w:rFonts w:ascii="Symbol" w:hAnsi="Symbol" w:hint="default"/>
      </w:rPr>
    </w:lvl>
    <w:lvl w:ilvl="4" w:tplc="690ECD72" w:tentative="1">
      <w:start w:val="1"/>
      <w:numFmt w:val="bullet"/>
      <w:lvlText w:val="o"/>
      <w:lvlJc w:val="left"/>
      <w:pPr>
        <w:ind w:left="3600" w:hanging="360"/>
      </w:pPr>
      <w:rPr>
        <w:rFonts w:ascii="Courier New" w:hAnsi="Courier New" w:cs="Courier New" w:hint="default"/>
      </w:rPr>
    </w:lvl>
    <w:lvl w:ilvl="5" w:tplc="03F898DE" w:tentative="1">
      <w:start w:val="1"/>
      <w:numFmt w:val="bullet"/>
      <w:lvlText w:val=""/>
      <w:lvlJc w:val="left"/>
      <w:pPr>
        <w:ind w:left="4320" w:hanging="360"/>
      </w:pPr>
      <w:rPr>
        <w:rFonts w:ascii="Wingdings" w:hAnsi="Wingdings" w:hint="default"/>
      </w:rPr>
    </w:lvl>
    <w:lvl w:ilvl="6" w:tplc="E82A58EC" w:tentative="1">
      <w:start w:val="1"/>
      <w:numFmt w:val="bullet"/>
      <w:lvlText w:val=""/>
      <w:lvlJc w:val="left"/>
      <w:pPr>
        <w:ind w:left="5040" w:hanging="360"/>
      </w:pPr>
      <w:rPr>
        <w:rFonts w:ascii="Symbol" w:hAnsi="Symbol" w:hint="default"/>
      </w:rPr>
    </w:lvl>
    <w:lvl w:ilvl="7" w:tplc="D61C6D64" w:tentative="1">
      <w:start w:val="1"/>
      <w:numFmt w:val="bullet"/>
      <w:lvlText w:val="o"/>
      <w:lvlJc w:val="left"/>
      <w:pPr>
        <w:ind w:left="5760" w:hanging="360"/>
      </w:pPr>
      <w:rPr>
        <w:rFonts w:ascii="Courier New" w:hAnsi="Courier New" w:cs="Courier New" w:hint="default"/>
      </w:rPr>
    </w:lvl>
    <w:lvl w:ilvl="8" w:tplc="1644A3AC" w:tentative="1">
      <w:start w:val="1"/>
      <w:numFmt w:val="bullet"/>
      <w:lvlText w:val=""/>
      <w:lvlJc w:val="left"/>
      <w:pPr>
        <w:ind w:left="6480" w:hanging="360"/>
      </w:pPr>
      <w:rPr>
        <w:rFonts w:ascii="Wingdings" w:hAnsi="Wingdings" w:hint="default"/>
      </w:rPr>
    </w:lvl>
  </w:abstractNum>
  <w:abstractNum w:abstractNumId="70" w15:restartNumberingAfterBreak="0">
    <w:nsid w:val="425D334C"/>
    <w:multiLevelType w:val="hybridMultilevel"/>
    <w:tmpl w:val="607C0812"/>
    <w:lvl w:ilvl="0" w:tplc="C0A879EC">
      <w:start w:val="1"/>
      <w:numFmt w:val="bullet"/>
      <w:lvlText w:val=""/>
      <w:lvlJc w:val="left"/>
      <w:pPr>
        <w:ind w:left="720" w:hanging="360"/>
      </w:pPr>
      <w:rPr>
        <w:rFonts w:ascii="Symbol" w:hAnsi="Symbol" w:hint="default"/>
        <w:sz w:val="22"/>
      </w:rPr>
    </w:lvl>
    <w:lvl w:ilvl="1" w:tplc="AE9C1DCA">
      <w:start w:val="1"/>
      <w:numFmt w:val="bullet"/>
      <w:lvlText w:val="o"/>
      <w:lvlJc w:val="left"/>
      <w:pPr>
        <w:ind w:left="1440" w:hanging="360"/>
      </w:pPr>
      <w:rPr>
        <w:rFonts w:ascii="Courier New" w:hAnsi="Courier New" w:cs="Courier New" w:hint="default"/>
      </w:rPr>
    </w:lvl>
    <w:lvl w:ilvl="2" w:tplc="591884B6" w:tentative="1">
      <w:start w:val="1"/>
      <w:numFmt w:val="bullet"/>
      <w:lvlText w:val=""/>
      <w:lvlJc w:val="left"/>
      <w:pPr>
        <w:ind w:left="2160" w:hanging="360"/>
      </w:pPr>
      <w:rPr>
        <w:rFonts w:ascii="Wingdings" w:hAnsi="Wingdings" w:hint="default"/>
      </w:rPr>
    </w:lvl>
    <w:lvl w:ilvl="3" w:tplc="C8BC8D04" w:tentative="1">
      <w:start w:val="1"/>
      <w:numFmt w:val="bullet"/>
      <w:lvlText w:val=""/>
      <w:lvlJc w:val="left"/>
      <w:pPr>
        <w:ind w:left="2880" w:hanging="360"/>
      </w:pPr>
      <w:rPr>
        <w:rFonts w:ascii="Symbol" w:hAnsi="Symbol" w:hint="default"/>
      </w:rPr>
    </w:lvl>
    <w:lvl w:ilvl="4" w:tplc="6096F786" w:tentative="1">
      <w:start w:val="1"/>
      <w:numFmt w:val="bullet"/>
      <w:lvlText w:val="o"/>
      <w:lvlJc w:val="left"/>
      <w:pPr>
        <w:ind w:left="3600" w:hanging="360"/>
      </w:pPr>
      <w:rPr>
        <w:rFonts w:ascii="Courier New" w:hAnsi="Courier New" w:cs="Courier New" w:hint="default"/>
      </w:rPr>
    </w:lvl>
    <w:lvl w:ilvl="5" w:tplc="7B504A28" w:tentative="1">
      <w:start w:val="1"/>
      <w:numFmt w:val="bullet"/>
      <w:lvlText w:val=""/>
      <w:lvlJc w:val="left"/>
      <w:pPr>
        <w:ind w:left="4320" w:hanging="360"/>
      </w:pPr>
      <w:rPr>
        <w:rFonts w:ascii="Wingdings" w:hAnsi="Wingdings" w:hint="default"/>
      </w:rPr>
    </w:lvl>
    <w:lvl w:ilvl="6" w:tplc="5BB00B82" w:tentative="1">
      <w:start w:val="1"/>
      <w:numFmt w:val="bullet"/>
      <w:lvlText w:val=""/>
      <w:lvlJc w:val="left"/>
      <w:pPr>
        <w:ind w:left="5040" w:hanging="360"/>
      </w:pPr>
      <w:rPr>
        <w:rFonts w:ascii="Symbol" w:hAnsi="Symbol" w:hint="default"/>
      </w:rPr>
    </w:lvl>
    <w:lvl w:ilvl="7" w:tplc="F24E54B2" w:tentative="1">
      <w:start w:val="1"/>
      <w:numFmt w:val="bullet"/>
      <w:lvlText w:val="o"/>
      <w:lvlJc w:val="left"/>
      <w:pPr>
        <w:ind w:left="5760" w:hanging="360"/>
      </w:pPr>
      <w:rPr>
        <w:rFonts w:ascii="Courier New" w:hAnsi="Courier New" w:cs="Courier New" w:hint="default"/>
      </w:rPr>
    </w:lvl>
    <w:lvl w:ilvl="8" w:tplc="B21C6252" w:tentative="1">
      <w:start w:val="1"/>
      <w:numFmt w:val="bullet"/>
      <w:lvlText w:val=""/>
      <w:lvlJc w:val="left"/>
      <w:pPr>
        <w:ind w:left="6480" w:hanging="360"/>
      </w:pPr>
      <w:rPr>
        <w:rFonts w:ascii="Wingdings" w:hAnsi="Wingdings" w:hint="default"/>
      </w:rPr>
    </w:lvl>
  </w:abstractNum>
  <w:abstractNum w:abstractNumId="71"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72" w15:restartNumberingAfterBreak="0">
    <w:nsid w:val="443A1EF6"/>
    <w:multiLevelType w:val="hybridMultilevel"/>
    <w:tmpl w:val="D85CBB76"/>
    <w:lvl w:ilvl="0" w:tplc="AC14EF66">
      <w:start w:val="1"/>
      <w:numFmt w:val="bullet"/>
      <w:lvlText w:val=""/>
      <w:lvlJc w:val="left"/>
      <w:pPr>
        <w:ind w:left="720" w:hanging="360"/>
      </w:pPr>
      <w:rPr>
        <w:rFonts w:ascii="Symbol" w:hAnsi="Symbol" w:hint="default"/>
      </w:rPr>
    </w:lvl>
    <w:lvl w:ilvl="1" w:tplc="E4AC59D4" w:tentative="1">
      <w:start w:val="1"/>
      <w:numFmt w:val="bullet"/>
      <w:lvlText w:val="o"/>
      <w:lvlJc w:val="left"/>
      <w:pPr>
        <w:ind w:left="1440" w:hanging="360"/>
      </w:pPr>
      <w:rPr>
        <w:rFonts w:ascii="Courier New" w:hAnsi="Courier New" w:cs="Courier New" w:hint="default"/>
      </w:rPr>
    </w:lvl>
    <w:lvl w:ilvl="2" w:tplc="ACE8E6D8" w:tentative="1">
      <w:start w:val="1"/>
      <w:numFmt w:val="bullet"/>
      <w:lvlText w:val=""/>
      <w:lvlJc w:val="left"/>
      <w:pPr>
        <w:ind w:left="2160" w:hanging="360"/>
      </w:pPr>
      <w:rPr>
        <w:rFonts w:ascii="Wingdings" w:hAnsi="Wingdings" w:hint="default"/>
      </w:rPr>
    </w:lvl>
    <w:lvl w:ilvl="3" w:tplc="90C6830E" w:tentative="1">
      <w:start w:val="1"/>
      <w:numFmt w:val="bullet"/>
      <w:lvlText w:val=""/>
      <w:lvlJc w:val="left"/>
      <w:pPr>
        <w:ind w:left="2880" w:hanging="360"/>
      </w:pPr>
      <w:rPr>
        <w:rFonts w:ascii="Symbol" w:hAnsi="Symbol" w:hint="default"/>
      </w:rPr>
    </w:lvl>
    <w:lvl w:ilvl="4" w:tplc="1818A8C8" w:tentative="1">
      <w:start w:val="1"/>
      <w:numFmt w:val="bullet"/>
      <w:lvlText w:val="o"/>
      <w:lvlJc w:val="left"/>
      <w:pPr>
        <w:ind w:left="3600" w:hanging="360"/>
      </w:pPr>
      <w:rPr>
        <w:rFonts w:ascii="Courier New" w:hAnsi="Courier New" w:cs="Courier New" w:hint="default"/>
      </w:rPr>
    </w:lvl>
    <w:lvl w:ilvl="5" w:tplc="8884A8F2" w:tentative="1">
      <w:start w:val="1"/>
      <w:numFmt w:val="bullet"/>
      <w:lvlText w:val=""/>
      <w:lvlJc w:val="left"/>
      <w:pPr>
        <w:ind w:left="4320" w:hanging="360"/>
      </w:pPr>
      <w:rPr>
        <w:rFonts w:ascii="Wingdings" w:hAnsi="Wingdings" w:hint="default"/>
      </w:rPr>
    </w:lvl>
    <w:lvl w:ilvl="6" w:tplc="DD76944A" w:tentative="1">
      <w:start w:val="1"/>
      <w:numFmt w:val="bullet"/>
      <w:lvlText w:val=""/>
      <w:lvlJc w:val="left"/>
      <w:pPr>
        <w:ind w:left="5040" w:hanging="360"/>
      </w:pPr>
      <w:rPr>
        <w:rFonts w:ascii="Symbol" w:hAnsi="Symbol" w:hint="default"/>
      </w:rPr>
    </w:lvl>
    <w:lvl w:ilvl="7" w:tplc="56DCC696" w:tentative="1">
      <w:start w:val="1"/>
      <w:numFmt w:val="bullet"/>
      <w:lvlText w:val="o"/>
      <w:lvlJc w:val="left"/>
      <w:pPr>
        <w:ind w:left="5760" w:hanging="360"/>
      </w:pPr>
      <w:rPr>
        <w:rFonts w:ascii="Courier New" w:hAnsi="Courier New" w:cs="Courier New" w:hint="default"/>
      </w:rPr>
    </w:lvl>
    <w:lvl w:ilvl="8" w:tplc="004A642E" w:tentative="1">
      <w:start w:val="1"/>
      <w:numFmt w:val="bullet"/>
      <w:lvlText w:val=""/>
      <w:lvlJc w:val="left"/>
      <w:pPr>
        <w:ind w:left="6480" w:hanging="360"/>
      </w:pPr>
      <w:rPr>
        <w:rFonts w:ascii="Wingdings" w:hAnsi="Wingdings" w:hint="default"/>
      </w:rPr>
    </w:lvl>
  </w:abstractNum>
  <w:abstractNum w:abstractNumId="73" w15:restartNumberingAfterBreak="0">
    <w:nsid w:val="44C5766A"/>
    <w:multiLevelType w:val="hybridMultilevel"/>
    <w:tmpl w:val="47E6D25C"/>
    <w:lvl w:ilvl="0" w:tplc="41F61006">
      <w:start w:val="1"/>
      <w:numFmt w:val="bullet"/>
      <w:lvlText w:val=""/>
      <w:lvlJc w:val="left"/>
      <w:pPr>
        <w:tabs>
          <w:tab w:val="num" w:pos="720"/>
        </w:tabs>
        <w:ind w:left="720" w:hanging="360"/>
      </w:pPr>
      <w:rPr>
        <w:rFonts w:ascii="Symbol" w:hAnsi="Symbol" w:hint="default"/>
      </w:rPr>
    </w:lvl>
    <w:lvl w:ilvl="1" w:tplc="3170117A">
      <w:start w:val="1"/>
      <w:numFmt w:val="bullet"/>
      <w:lvlText w:val="o"/>
      <w:lvlJc w:val="left"/>
      <w:pPr>
        <w:tabs>
          <w:tab w:val="num" w:pos="1440"/>
        </w:tabs>
        <w:ind w:left="1440" w:hanging="360"/>
      </w:pPr>
      <w:rPr>
        <w:rFonts w:ascii="Courier New" w:hAnsi="Courier New" w:hint="default"/>
      </w:rPr>
    </w:lvl>
    <w:lvl w:ilvl="2" w:tplc="DE040334" w:tentative="1">
      <w:start w:val="1"/>
      <w:numFmt w:val="bullet"/>
      <w:lvlText w:val=""/>
      <w:lvlJc w:val="left"/>
      <w:pPr>
        <w:tabs>
          <w:tab w:val="num" w:pos="2160"/>
        </w:tabs>
        <w:ind w:left="2160" w:hanging="360"/>
      </w:pPr>
      <w:rPr>
        <w:rFonts w:ascii="Wingdings" w:hAnsi="Wingdings" w:hint="default"/>
      </w:rPr>
    </w:lvl>
    <w:lvl w:ilvl="3" w:tplc="51F6E346" w:tentative="1">
      <w:start w:val="1"/>
      <w:numFmt w:val="bullet"/>
      <w:lvlText w:val=""/>
      <w:lvlJc w:val="left"/>
      <w:pPr>
        <w:tabs>
          <w:tab w:val="num" w:pos="2880"/>
        </w:tabs>
        <w:ind w:left="2880" w:hanging="360"/>
      </w:pPr>
      <w:rPr>
        <w:rFonts w:ascii="Symbol" w:hAnsi="Symbol" w:hint="default"/>
      </w:rPr>
    </w:lvl>
    <w:lvl w:ilvl="4" w:tplc="779E88D0" w:tentative="1">
      <w:start w:val="1"/>
      <w:numFmt w:val="bullet"/>
      <w:lvlText w:val="o"/>
      <w:lvlJc w:val="left"/>
      <w:pPr>
        <w:tabs>
          <w:tab w:val="num" w:pos="3600"/>
        </w:tabs>
        <w:ind w:left="3600" w:hanging="360"/>
      </w:pPr>
      <w:rPr>
        <w:rFonts w:ascii="Courier New" w:hAnsi="Courier New" w:hint="default"/>
      </w:rPr>
    </w:lvl>
    <w:lvl w:ilvl="5" w:tplc="342C0836" w:tentative="1">
      <w:start w:val="1"/>
      <w:numFmt w:val="bullet"/>
      <w:lvlText w:val=""/>
      <w:lvlJc w:val="left"/>
      <w:pPr>
        <w:tabs>
          <w:tab w:val="num" w:pos="4320"/>
        </w:tabs>
        <w:ind w:left="4320" w:hanging="360"/>
      </w:pPr>
      <w:rPr>
        <w:rFonts w:ascii="Wingdings" w:hAnsi="Wingdings" w:hint="default"/>
      </w:rPr>
    </w:lvl>
    <w:lvl w:ilvl="6" w:tplc="3A08D2B8" w:tentative="1">
      <w:start w:val="1"/>
      <w:numFmt w:val="bullet"/>
      <w:lvlText w:val=""/>
      <w:lvlJc w:val="left"/>
      <w:pPr>
        <w:tabs>
          <w:tab w:val="num" w:pos="5040"/>
        </w:tabs>
        <w:ind w:left="5040" w:hanging="360"/>
      </w:pPr>
      <w:rPr>
        <w:rFonts w:ascii="Symbol" w:hAnsi="Symbol" w:hint="default"/>
      </w:rPr>
    </w:lvl>
    <w:lvl w:ilvl="7" w:tplc="8730BF22" w:tentative="1">
      <w:start w:val="1"/>
      <w:numFmt w:val="bullet"/>
      <w:lvlText w:val="o"/>
      <w:lvlJc w:val="left"/>
      <w:pPr>
        <w:tabs>
          <w:tab w:val="num" w:pos="5760"/>
        </w:tabs>
        <w:ind w:left="5760" w:hanging="360"/>
      </w:pPr>
      <w:rPr>
        <w:rFonts w:ascii="Courier New" w:hAnsi="Courier New" w:hint="default"/>
      </w:rPr>
    </w:lvl>
    <w:lvl w:ilvl="8" w:tplc="0C044B94"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61A1F58"/>
    <w:multiLevelType w:val="hybridMultilevel"/>
    <w:tmpl w:val="5A9EC718"/>
    <w:lvl w:ilvl="0" w:tplc="5002C24A">
      <w:start w:val="1"/>
      <w:numFmt w:val="bullet"/>
      <w:lvlText w:val=""/>
      <w:lvlJc w:val="left"/>
      <w:pPr>
        <w:ind w:left="360" w:hanging="360"/>
      </w:pPr>
      <w:rPr>
        <w:rFonts w:ascii="Symbol" w:hAnsi="Symbol" w:hint="default"/>
      </w:rPr>
    </w:lvl>
    <w:lvl w:ilvl="1" w:tplc="1B4C88E6" w:tentative="1">
      <w:start w:val="1"/>
      <w:numFmt w:val="bullet"/>
      <w:lvlText w:val="o"/>
      <w:lvlJc w:val="left"/>
      <w:pPr>
        <w:ind w:left="1080" w:hanging="360"/>
      </w:pPr>
      <w:rPr>
        <w:rFonts w:ascii="Courier New" w:hAnsi="Courier New" w:cs="Courier New" w:hint="default"/>
      </w:rPr>
    </w:lvl>
    <w:lvl w:ilvl="2" w:tplc="7180D6F0" w:tentative="1">
      <w:start w:val="1"/>
      <w:numFmt w:val="bullet"/>
      <w:lvlText w:val=""/>
      <w:lvlJc w:val="left"/>
      <w:pPr>
        <w:ind w:left="1800" w:hanging="360"/>
      </w:pPr>
      <w:rPr>
        <w:rFonts w:ascii="Wingdings" w:hAnsi="Wingdings" w:hint="default"/>
      </w:rPr>
    </w:lvl>
    <w:lvl w:ilvl="3" w:tplc="60D65E2E" w:tentative="1">
      <w:start w:val="1"/>
      <w:numFmt w:val="bullet"/>
      <w:lvlText w:val=""/>
      <w:lvlJc w:val="left"/>
      <w:pPr>
        <w:ind w:left="2520" w:hanging="360"/>
      </w:pPr>
      <w:rPr>
        <w:rFonts w:ascii="Symbol" w:hAnsi="Symbol" w:hint="default"/>
      </w:rPr>
    </w:lvl>
    <w:lvl w:ilvl="4" w:tplc="7F5A2EAC" w:tentative="1">
      <w:start w:val="1"/>
      <w:numFmt w:val="bullet"/>
      <w:lvlText w:val="o"/>
      <w:lvlJc w:val="left"/>
      <w:pPr>
        <w:ind w:left="3240" w:hanging="360"/>
      </w:pPr>
      <w:rPr>
        <w:rFonts w:ascii="Courier New" w:hAnsi="Courier New" w:cs="Courier New" w:hint="default"/>
      </w:rPr>
    </w:lvl>
    <w:lvl w:ilvl="5" w:tplc="F75292A4" w:tentative="1">
      <w:start w:val="1"/>
      <w:numFmt w:val="bullet"/>
      <w:lvlText w:val=""/>
      <w:lvlJc w:val="left"/>
      <w:pPr>
        <w:ind w:left="3960" w:hanging="360"/>
      </w:pPr>
      <w:rPr>
        <w:rFonts w:ascii="Wingdings" w:hAnsi="Wingdings" w:hint="default"/>
      </w:rPr>
    </w:lvl>
    <w:lvl w:ilvl="6" w:tplc="1D1ABE04" w:tentative="1">
      <w:start w:val="1"/>
      <w:numFmt w:val="bullet"/>
      <w:lvlText w:val=""/>
      <w:lvlJc w:val="left"/>
      <w:pPr>
        <w:ind w:left="4680" w:hanging="360"/>
      </w:pPr>
      <w:rPr>
        <w:rFonts w:ascii="Symbol" w:hAnsi="Symbol" w:hint="default"/>
      </w:rPr>
    </w:lvl>
    <w:lvl w:ilvl="7" w:tplc="3FE0C56E" w:tentative="1">
      <w:start w:val="1"/>
      <w:numFmt w:val="bullet"/>
      <w:lvlText w:val="o"/>
      <w:lvlJc w:val="left"/>
      <w:pPr>
        <w:ind w:left="5400" w:hanging="360"/>
      </w:pPr>
      <w:rPr>
        <w:rFonts w:ascii="Courier New" w:hAnsi="Courier New" w:cs="Courier New" w:hint="default"/>
      </w:rPr>
    </w:lvl>
    <w:lvl w:ilvl="8" w:tplc="8AE27E30" w:tentative="1">
      <w:start w:val="1"/>
      <w:numFmt w:val="bullet"/>
      <w:lvlText w:val=""/>
      <w:lvlJc w:val="left"/>
      <w:pPr>
        <w:ind w:left="6120" w:hanging="360"/>
      </w:pPr>
      <w:rPr>
        <w:rFonts w:ascii="Wingdings" w:hAnsi="Wingdings" w:hint="default"/>
      </w:rPr>
    </w:lvl>
  </w:abstractNum>
  <w:abstractNum w:abstractNumId="75" w15:restartNumberingAfterBreak="0">
    <w:nsid w:val="474C688B"/>
    <w:multiLevelType w:val="hybridMultilevel"/>
    <w:tmpl w:val="7F207048"/>
    <w:lvl w:ilvl="0" w:tplc="3FF06DF8">
      <w:start w:val="1"/>
      <w:numFmt w:val="bullet"/>
      <w:lvlText w:val=""/>
      <w:lvlJc w:val="left"/>
      <w:pPr>
        <w:tabs>
          <w:tab w:val="num" w:pos="720"/>
        </w:tabs>
        <w:ind w:left="720" w:hanging="360"/>
      </w:pPr>
      <w:rPr>
        <w:rFonts w:ascii="Symbol" w:hAnsi="Symbol" w:hint="default"/>
      </w:rPr>
    </w:lvl>
    <w:lvl w:ilvl="1" w:tplc="38FCA954" w:tentative="1">
      <w:start w:val="1"/>
      <w:numFmt w:val="bullet"/>
      <w:lvlText w:val="o"/>
      <w:lvlJc w:val="left"/>
      <w:pPr>
        <w:tabs>
          <w:tab w:val="num" w:pos="1440"/>
        </w:tabs>
        <w:ind w:left="1440" w:hanging="360"/>
      </w:pPr>
      <w:rPr>
        <w:rFonts w:ascii="Courier New" w:hAnsi="Courier New" w:hint="default"/>
      </w:rPr>
    </w:lvl>
    <w:lvl w:ilvl="2" w:tplc="9C24B9F2" w:tentative="1">
      <w:start w:val="1"/>
      <w:numFmt w:val="bullet"/>
      <w:lvlText w:val=""/>
      <w:lvlJc w:val="left"/>
      <w:pPr>
        <w:tabs>
          <w:tab w:val="num" w:pos="2160"/>
        </w:tabs>
        <w:ind w:left="2160" w:hanging="360"/>
      </w:pPr>
      <w:rPr>
        <w:rFonts w:ascii="Wingdings" w:hAnsi="Wingdings" w:hint="default"/>
      </w:rPr>
    </w:lvl>
    <w:lvl w:ilvl="3" w:tplc="156E6B0E" w:tentative="1">
      <w:start w:val="1"/>
      <w:numFmt w:val="bullet"/>
      <w:lvlText w:val=""/>
      <w:lvlJc w:val="left"/>
      <w:pPr>
        <w:tabs>
          <w:tab w:val="num" w:pos="2880"/>
        </w:tabs>
        <w:ind w:left="2880" w:hanging="360"/>
      </w:pPr>
      <w:rPr>
        <w:rFonts w:ascii="Symbol" w:hAnsi="Symbol" w:hint="default"/>
      </w:rPr>
    </w:lvl>
    <w:lvl w:ilvl="4" w:tplc="7AF0CA70" w:tentative="1">
      <w:start w:val="1"/>
      <w:numFmt w:val="bullet"/>
      <w:lvlText w:val="o"/>
      <w:lvlJc w:val="left"/>
      <w:pPr>
        <w:tabs>
          <w:tab w:val="num" w:pos="3600"/>
        </w:tabs>
        <w:ind w:left="3600" w:hanging="360"/>
      </w:pPr>
      <w:rPr>
        <w:rFonts w:ascii="Courier New" w:hAnsi="Courier New" w:hint="default"/>
      </w:rPr>
    </w:lvl>
    <w:lvl w:ilvl="5" w:tplc="D36C5DAA" w:tentative="1">
      <w:start w:val="1"/>
      <w:numFmt w:val="bullet"/>
      <w:lvlText w:val=""/>
      <w:lvlJc w:val="left"/>
      <w:pPr>
        <w:tabs>
          <w:tab w:val="num" w:pos="4320"/>
        </w:tabs>
        <w:ind w:left="4320" w:hanging="360"/>
      </w:pPr>
      <w:rPr>
        <w:rFonts w:ascii="Wingdings" w:hAnsi="Wingdings" w:hint="default"/>
      </w:rPr>
    </w:lvl>
    <w:lvl w:ilvl="6" w:tplc="B2B418D0" w:tentative="1">
      <w:start w:val="1"/>
      <w:numFmt w:val="bullet"/>
      <w:lvlText w:val=""/>
      <w:lvlJc w:val="left"/>
      <w:pPr>
        <w:tabs>
          <w:tab w:val="num" w:pos="5040"/>
        </w:tabs>
        <w:ind w:left="5040" w:hanging="360"/>
      </w:pPr>
      <w:rPr>
        <w:rFonts w:ascii="Symbol" w:hAnsi="Symbol" w:hint="default"/>
      </w:rPr>
    </w:lvl>
    <w:lvl w:ilvl="7" w:tplc="26A297FA" w:tentative="1">
      <w:start w:val="1"/>
      <w:numFmt w:val="bullet"/>
      <w:lvlText w:val="o"/>
      <w:lvlJc w:val="left"/>
      <w:pPr>
        <w:tabs>
          <w:tab w:val="num" w:pos="5760"/>
        </w:tabs>
        <w:ind w:left="5760" w:hanging="360"/>
      </w:pPr>
      <w:rPr>
        <w:rFonts w:ascii="Courier New" w:hAnsi="Courier New" w:hint="default"/>
      </w:rPr>
    </w:lvl>
    <w:lvl w:ilvl="8" w:tplc="BFC2168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7CC2EAC"/>
    <w:multiLevelType w:val="hybridMultilevel"/>
    <w:tmpl w:val="6E366E20"/>
    <w:lvl w:ilvl="0" w:tplc="5130FA52">
      <w:start w:val="1"/>
      <w:numFmt w:val="bullet"/>
      <w:lvlText w:val=""/>
      <w:lvlJc w:val="left"/>
      <w:pPr>
        <w:ind w:left="720" w:hanging="360"/>
      </w:pPr>
      <w:rPr>
        <w:rFonts w:ascii="Symbol" w:hAnsi="Symbol" w:hint="default"/>
      </w:rPr>
    </w:lvl>
    <w:lvl w:ilvl="1" w:tplc="A1469CFA" w:tentative="1">
      <w:start w:val="1"/>
      <w:numFmt w:val="bullet"/>
      <w:lvlText w:val="o"/>
      <w:lvlJc w:val="left"/>
      <w:pPr>
        <w:ind w:left="1440" w:hanging="360"/>
      </w:pPr>
      <w:rPr>
        <w:rFonts w:ascii="Courier New" w:hAnsi="Courier New" w:cs="Courier New" w:hint="default"/>
      </w:rPr>
    </w:lvl>
    <w:lvl w:ilvl="2" w:tplc="C8F4E5C4" w:tentative="1">
      <w:start w:val="1"/>
      <w:numFmt w:val="bullet"/>
      <w:lvlText w:val=""/>
      <w:lvlJc w:val="left"/>
      <w:pPr>
        <w:ind w:left="2160" w:hanging="360"/>
      </w:pPr>
      <w:rPr>
        <w:rFonts w:ascii="Wingdings" w:hAnsi="Wingdings" w:hint="default"/>
      </w:rPr>
    </w:lvl>
    <w:lvl w:ilvl="3" w:tplc="4F6E9DCA" w:tentative="1">
      <w:start w:val="1"/>
      <w:numFmt w:val="bullet"/>
      <w:lvlText w:val=""/>
      <w:lvlJc w:val="left"/>
      <w:pPr>
        <w:ind w:left="2880" w:hanging="360"/>
      </w:pPr>
      <w:rPr>
        <w:rFonts w:ascii="Symbol" w:hAnsi="Symbol" w:hint="default"/>
      </w:rPr>
    </w:lvl>
    <w:lvl w:ilvl="4" w:tplc="D46A5ECC" w:tentative="1">
      <w:start w:val="1"/>
      <w:numFmt w:val="bullet"/>
      <w:lvlText w:val="o"/>
      <w:lvlJc w:val="left"/>
      <w:pPr>
        <w:ind w:left="3600" w:hanging="360"/>
      </w:pPr>
      <w:rPr>
        <w:rFonts w:ascii="Courier New" w:hAnsi="Courier New" w:cs="Courier New" w:hint="default"/>
      </w:rPr>
    </w:lvl>
    <w:lvl w:ilvl="5" w:tplc="1B8AC368" w:tentative="1">
      <w:start w:val="1"/>
      <w:numFmt w:val="bullet"/>
      <w:lvlText w:val=""/>
      <w:lvlJc w:val="left"/>
      <w:pPr>
        <w:ind w:left="4320" w:hanging="360"/>
      </w:pPr>
      <w:rPr>
        <w:rFonts w:ascii="Wingdings" w:hAnsi="Wingdings" w:hint="default"/>
      </w:rPr>
    </w:lvl>
    <w:lvl w:ilvl="6" w:tplc="E7DC78FA" w:tentative="1">
      <w:start w:val="1"/>
      <w:numFmt w:val="bullet"/>
      <w:lvlText w:val=""/>
      <w:lvlJc w:val="left"/>
      <w:pPr>
        <w:ind w:left="5040" w:hanging="360"/>
      </w:pPr>
      <w:rPr>
        <w:rFonts w:ascii="Symbol" w:hAnsi="Symbol" w:hint="default"/>
      </w:rPr>
    </w:lvl>
    <w:lvl w:ilvl="7" w:tplc="A6164362" w:tentative="1">
      <w:start w:val="1"/>
      <w:numFmt w:val="bullet"/>
      <w:lvlText w:val="o"/>
      <w:lvlJc w:val="left"/>
      <w:pPr>
        <w:ind w:left="5760" w:hanging="360"/>
      </w:pPr>
      <w:rPr>
        <w:rFonts w:ascii="Courier New" w:hAnsi="Courier New" w:cs="Courier New" w:hint="default"/>
      </w:rPr>
    </w:lvl>
    <w:lvl w:ilvl="8" w:tplc="8E7238AC" w:tentative="1">
      <w:start w:val="1"/>
      <w:numFmt w:val="bullet"/>
      <w:lvlText w:val=""/>
      <w:lvlJc w:val="left"/>
      <w:pPr>
        <w:ind w:left="6480" w:hanging="360"/>
      </w:pPr>
      <w:rPr>
        <w:rFonts w:ascii="Wingdings" w:hAnsi="Wingdings" w:hint="default"/>
      </w:rPr>
    </w:lvl>
  </w:abstractNum>
  <w:abstractNum w:abstractNumId="77" w15:restartNumberingAfterBreak="0">
    <w:nsid w:val="483156A8"/>
    <w:multiLevelType w:val="hybridMultilevel"/>
    <w:tmpl w:val="1930A146"/>
    <w:lvl w:ilvl="0" w:tplc="44E45CA6">
      <w:start w:val="1"/>
      <w:numFmt w:val="lowerLetter"/>
      <w:pStyle w:val="TableFootnoteLetter"/>
      <w:lvlText w:val="%1"/>
      <w:lvlJc w:val="left"/>
      <w:pPr>
        <w:ind w:left="360" w:hanging="360"/>
      </w:pPr>
      <w:rPr>
        <w:rFonts w:ascii="Times New Roman" w:hAnsi="Times New Roman" w:cs="Times New Roman" w:hint="default"/>
        <w:b w:val="0"/>
        <w:i w:val="0"/>
        <w:caps w:val="0"/>
        <w:sz w:val="16"/>
        <w:u w:val="none"/>
        <w:vertAlign w:val="superscript"/>
      </w:rPr>
    </w:lvl>
    <w:lvl w:ilvl="1" w:tplc="D63E7F0E" w:tentative="1">
      <w:start w:val="1"/>
      <w:numFmt w:val="lowerLetter"/>
      <w:lvlText w:val="%2."/>
      <w:lvlJc w:val="left"/>
      <w:pPr>
        <w:ind w:left="1440" w:hanging="360"/>
      </w:pPr>
    </w:lvl>
    <w:lvl w:ilvl="2" w:tplc="B5E6D2E2" w:tentative="1">
      <w:start w:val="1"/>
      <w:numFmt w:val="lowerRoman"/>
      <w:lvlText w:val="%3."/>
      <w:lvlJc w:val="right"/>
      <w:pPr>
        <w:ind w:left="2160" w:hanging="180"/>
      </w:pPr>
    </w:lvl>
    <w:lvl w:ilvl="3" w:tplc="B6F0BA5A" w:tentative="1">
      <w:start w:val="1"/>
      <w:numFmt w:val="decimal"/>
      <w:lvlText w:val="%4."/>
      <w:lvlJc w:val="left"/>
      <w:pPr>
        <w:ind w:left="2880" w:hanging="360"/>
      </w:pPr>
    </w:lvl>
    <w:lvl w:ilvl="4" w:tplc="923EFD66" w:tentative="1">
      <w:start w:val="1"/>
      <w:numFmt w:val="lowerLetter"/>
      <w:lvlText w:val="%5."/>
      <w:lvlJc w:val="left"/>
      <w:pPr>
        <w:ind w:left="3600" w:hanging="360"/>
      </w:pPr>
    </w:lvl>
    <w:lvl w:ilvl="5" w:tplc="ED9620FA" w:tentative="1">
      <w:start w:val="1"/>
      <w:numFmt w:val="lowerRoman"/>
      <w:lvlText w:val="%6."/>
      <w:lvlJc w:val="right"/>
      <w:pPr>
        <w:ind w:left="4320" w:hanging="180"/>
      </w:pPr>
    </w:lvl>
    <w:lvl w:ilvl="6" w:tplc="7CBE0A20" w:tentative="1">
      <w:start w:val="1"/>
      <w:numFmt w:val="decimal"/>
      <w:lvlText w:val="%7."/>
      <w:lvlJc w:val="left"/>
      <w:pPr>
        <w:ind w:left="5040" w:hanging="360"/>
      </w:pPr>
    </w:lvl>
    <w:lvl w:ilvl="7" w:tplc="B850457A" w:tentative="1">
      <w:start w:val="1"/>
      <w:numFmt w:val="lowerLetter"/>
      <w:lvlText w:val="%8."/>
      <w:lvlJc w:val="left"/>
      <w:pPr>
        <w:ind w:left="5760" w:hanging="360"/>
      </w:pPr>
    </w:lvl>
    <w:lvl w:ilvl="8" w:tplc="A6B274AC" w:tentative="1">
      <w:start w:val="1"/>
      <w:numFmt w:val="lowerRoman"/>
      <w:lvlText w:val="%9."/>
      <w:lvlJc w:val="right"/>
      <w:pPr>
        <w:ind w:left="6480" w:hanging="180"/>
      </w:pPr>
    </w:lvl>
  </w:abstractNum>
  <w:abstractNum w:abstractNumId="78" w15:restartNumberingAfterBreak="0">
    <w:nsid w:val="48C873C9"/>
    <w:multiLevelType w:val="hybridMultilevel"/>
    <w:tmpl w:val="5038E426"/>
    <w:lvl w:ilvl="0" w:tplc="3B1619F8">
      <w:start w:val="1"/>
      <w:numFmt w:val="bullet"/>
      <w:lvlText w:val=""/>
      <w:lvlJc w:val="left"/>
      <w:pPr>
        <w:tabs>
          <w:tab w:val="num" w:pos="567"/>
        </w:tabs>
        <w:ind w:left="567" w:hanging="567"/>
      </w:pPr>
      <w:rPr>
        <w:rFonts w:ascii="Symbol" w:hAnsi="Symbol" w:hint="default"/>
      </w:rPr>
    </w:lvl>
    <w:lvl w:ilvl="1" w:tplc="C10442D6">
      <w:start w:val="1"/>
      <w:numFmt w:val="bullet"/>
      <w:lvlText w:val="o"/>
      <w:lvlJc w:val="left"/>
      <w:pPr>
        <w:tabs>
          <w:tab w:val="num" w:pos="1440"/>
        </w:tabs>
        <w:ind w:left="1440" w:hanging="360"/>
      </w:pPr>
      <w:rPr>
        <w:rFonts w:ascii="Courier New" w:hAnsi="Courier New" w:hint="default"/>
      </w:rPr>
    </w:lvl>
    <w:lvl w:ilvl="2" w:tplc="72BC18CA">
      <w:start w:val="1"/>
      <w:numFmt w:val="bullet"/>
      <w:lvlText w:val=""/>
      <w:lvlJc w:val="left"/>
      <w:pPr>
        <w:tabs>
          <w:tab w:val="num" w:pos="2160"/>
        </w:tabs>
        <w:ind w:left="2160" w:hanging="360"/>
      </w:pPr>
      <w:rPr>
        <w:rFonts w:ascii="Wingdings" w:hAnsi="Wingdings" w:hint="default"/>
      </w:rPr>
    </w:lvl>
    <w:lvl w:ilvl="3" w:tplc="3C5C0584" w:tentative="1">
      <w:start w:val="1"/>
      <w:numFmt w:val="bullet"/>
      <w:lvlText w:val=""/>
      <w:lvlJc w:val="left"/>
      <w:pPr>
        <w:tabs>
          <w:tab w:val="num" w:pos="2880"/>
        </w:tabs>
        <w:ind w:left="2880" w:hanging="360"/>
      </w:pPr>
      <w:rPr>
        <w:rFonts w:ascii="Symbol" w:hAnsi="Symbol" w:hint="default"/>
      </w:rPr>
    </w:lvl>
    <w:lvl w:ilvl="4" w:tplc="0E8A46AE" w:tentative="1">
      <w:start w:val="1"/>
      <w:numFmt w:val="bullet"/>
      <w:lvlText w:val="o"/>
      <w:lvlJc w:val="left"/>
      <w:pPr>
        <w:tabs>
          <w:tab w:val="num" w:pos="3600"/>
        </w:tabs>
        <w:ind w:left="3600" w:hanging="360"/>
      </w:pPr>
      <w:rPr>
        <w:rFonts w:ascii="Courier New" w:hAnsi="Courier New" w:hint="default"/>
      </w:rPr>
    </w:lvl>
    <w:lvl w:ilvl="5" w:tplc="DA3A99E6" w:tentative="1">
      <w:start w:val="1"/>
      <w:numFmt w:val="bullet"/>
      <w:lvlText w:val=""/>
      <w:lvlJc w:val="left"/>
      <w:pPr>
        <w:tabs>
          <w:tab w:val="num" w:pos="4320"/>
        </w:tabs>
        <w:ind w:left="4320" w:hanging="360"/>
      </w:pPr>
      <w:rPr>
        <w:rFonts w:ascii="Wingdings" w:hAnsi="Wingdings" w:hint="default"/>
      </w:rPr>
    </w:lvl>
    <w:lvl w:ilvl="6" w:tplc="A34AB5FC" w:tentative="1">
      <w:start w:val="1"/>
      <w:numFmt w:val="bullet"/>
      <w:lvlText w:val=""/>
      <w:lvlJc w:val="left"/>
      <w:pPr>
        <w:tabs>
          <w:tab w:val="num" w:pos="5040"/>
        </w:tabs>
        <w:ind w:left="5040" w:hanging="360"/>
      </w:pPr>
      <w:rPr>
        <w:rFonts w:ascii="Symbol" w:hAnsi="Symbol" w:hint="default"/>
      </w:rPr>
    </w:lvl>
    <w:lvl w:ilvl="7" w:tplc="2634DE34" w:tentative="1">
      <w:start w:val="1"/>
      <w:numFmt w:val="bullet"/>
      <w:lvlText w:val="o"/>
      <w:lvlJc w:val="left"/>
      <w:pPr>
        <w:tabs>
          <w:tab w:val="num" w:pos="5760"/>
        </w:tabs>
        <w:ind w:left="5760" w:hanging="360"/>
      </w:pPr>
      <w:rPr>
        <w:rFonts w:ascii="Courier New" w:hAnsi="Courier New" w:hint="default"/>
      </w:rPr>
    </w:lvl>
    <w:lvl w:ilvl="8" w:tplc="F32C8904"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9A62F9C"/>
    <w:multiLevelType w:val="hybridMultilevel"/>
    <w:tmpl w:val="5038E426"/>
    <w:lvl w:ilvl="0" w:tplc="DE063C9E">
      <w:start w:val="1"/>
      <w:numFmt w:val="bullet"/>
      <w:lvlText w:val=""/>
      <w:lvlJc w:val="left"/>
      <w:pPr>
        <w:tabs>
          <w:tab w:val="num" w:pos="567"/>
        </w:tabs>
        <w:ind w:left="567" w:hanging="567"/>
      </w:pPr>
      <w:rPr>
        <w:rFonts w:ascii="Symbol" w:hAnsi="Symbol" w:hint="default"/>
      </w:rPr>
    </w:lvl>
    <w:lvl w:ilvl="1" w:tplc="EC401A06">
      <w:start w:val="1"/>
      <w:numFmt w:val="bullet"/>
      <w:lvlText w:val="o"/>
      <w:lvlJc w:val="left"/>
      <w:pPr>
        <w:tabs>
          <w:tab w:val="num" w:pos="1440"/>
        </w:tabs>
        <w:ind w:left="1440" w:hanging="360"/>
      </w:pPr>
      <w:rPr>
        <w:rFonts w:ascii="Courier New" w:hAnsi="Courier New" w:hint="default"/>
      </w:rPr>
    </w:lvl>
    <w:lvl w:ilvl="2" w:tplc="B614957C">
      <w:start w:val="1"/>
      <w:numFmt w:val="bullet"/>
      <w:lvlText w:val=""/>
      <w:lvlJc w:val="left"/>
      <w:pPr>
        <w:tabs>
          <w:tab w:val="num" w:pos="2160"/>
        </w:tabs>
        <w:ind w:left="2160" w:hanging="360"/>
      </w:pPr>
      <w:rPr>
        <w:rFonts w:ascii="Wingdings" w:hAnsi="Wingdings" w:hint="default"/>
      </w:rPr>
    </w:lvl>
    <w:lvl w:ilvl="3" w:tplc="319A4352" w:tentative="1">
      <w:start w:val="1"/>
      <w:numFmt w:val="bullet"/>
      <w:lvlText w:val=""/>
      <w:lvlJc w:val="left"/>
      <w:pPr>
        <w:tabs>
          <w:tab w:val="num" w:pos="2880"/>
        </w:tabs>
        <w:ind w:left="2880" w:hanging="360"/>
      </w:pPr>
      <w:rPr>
        <w:rFonts w:ascii="Symbol" w:hAnsi="Symbol" w:hint="default"/>
      </w:rPr>
    </w:lvl>
    <w:lvl w:ilvl="4" w:tplc="EB7C8E92" w:tentative="1">
      <w:start w:val="1"/>
      <w:numFmt w:val="bullet"/>
      <w:lvlText w:val="o"/>
      <w:lvlJc w:val="left"/>
      <w:pPr>
        <w:tabs>
          <w:tab w:val="num" w:pos="3600"/>
        </w:tabs>
        <w:ind w:left="3600" w:hanging="360"/>
      </w:pPr>
      <w:rPr>
        <w:rFonts w:ascii="Courier New" w:hAnsi="Courier New" w:hint="default"/>
      </w:rPr>
    </w:lvl>
    <w:lvl w:ilvl="5" w:tplc="03D69F9E" w:tentative="1">
      <w:start w:val="1"/>
      <w:numFmt w:val="bullet"/>
      <w:lvlText w:val=""/>
      <w:lvlJc w:val="left"/>
      <w:pPr>
        <w:tabs>
          <w:tab w:val="num" w:pos="4320"/>
        </w:tabs>
        <w:ind w:left="4320" w:hanging="360"/>
      </w:pPr>
      <w:rPr>
        <w:rFonts w:ascii="Wingdings" w:hAnsi="Wingdings" w:hint="default"/>
      </w:rPr>
    </w:lvl>
    <w:lvl w:ilvl="6" w:tplc="E2C42E44" w:tentative="1">
      <w:start w:val="1"/>
      <w:numFmt w:val="bullet"/>
      <w:lvlText w:val=""/>
      <w:lvlJc w:val="left"/>
      <w:pPr>
        <w:tabs>
          <w:tab w:val="num" w:pos="5040"/>
        </w:tabs>
        <w:ind w:left="5040" w:hanging="360"/>
      </w:pPr>
      <w:rPr>
        <w:rFonts w:ascii="Symbol" w:hAnsi="Symbol" w:hint="default"/>
      </w:rPr>
    </w:lvl>
    <w:lvl w:ilvl="7" w:tplc="316C7F00" w:tentative="1">
      <w:start w:val="1"/>
      <w:numFmt w:val="bullet"/>
      <w:lvlText w:val="o"/>
      <w:lvlJc w:val="left"/>
      <w:pPr>
        <w:tabs>
          <w:tab w:val="num" w:pos="5760"/>
        </w:tabs>
        <w:ind w:left="5760" w:hanging="360"/>
      </w:pPr>
      <w:rPr>
        <w:rFonts w:ascii="Courier New" w:hAnsi="Courier New" w:hint="default"/>
      </w:rPr>
    </w:lvl>
    <w:lvl w:ilvl="8" w:tplc="CB24A564"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9AF126E"/>
    <w:multiLevelType w:val="hybridMultilevel"/>
    <w:tmpl w:val="01F0B2E2"/>
    <w:lvl w:ilvl="0" w:tplc="10A294E2">
      <w:start w:val="1"/>
      <w:numFmt w:val="bullet"/>
      <w:lvlText w:val=""/>
      <w:lvlJc w:val="left"/>
      <w:pPr>
        <w:tabs>
          <w:tab w:val="num" w:pos="567"/>
        </w:tabs>
        <w:ind w:left="567" w:hanging="567"/>
      </w:pPr>
      <w:rPr>
        <w:rFonts w:ascii="Symbol" w:hAnsi="Symbol" w:hint="default"/>
      </w:rPr>
    </w:lvl>
    <w:lvl w:ilvl="1" w:tplc="37225BBE">
      <w:start w:val="1"/>
      <w:numFmt w:val="bullet"/>
      <w:lvlText w:val="o"/>
      <w:lvlJc w:val="left"/>
      <w:pPr>
        <w:tabs>
          <w:tab w:val="num" w:pos="1440"/>
        </w:tabs>
        <w:ind w:left="1440" w:hanging="360"/>
      </w:pPr>
      <w:rPr>
        <w:rFonts w:ascii="Courier New" w:hAnsi="Courier New" w:hint="default"/>
      </w:rPr>
    </w:lvl>
    <w:lvl w:ilvl="2" w:tplc="1E947AD0">
      <w:start w:val="1"/>
      <w:numFmt w:val="bullet"/>
      <w:lvlText w:val=""/>
      <w:lvlJc w:val="left"/>
      <w:pPr>
        <w:tabs>
          <w:tab w:val="num" w:pos="2160"/>
        </w:tabs>
        <w:ind w:left="2160" w:hanging="360"/>
      </w:pPr>
      <w:rPr>
        <w:rFonts w:ascii="Wingdings" w:hAnsi="Wingdings" w:hint="default"/>
      </w:rPr>
    </w:lvl>
    <w:lvl w:ilvl="3" w:tplc="ED160B22" w:tentative="1">
      <w:start w:val="1"/>
      <w:numFmt w:val="bullet"/>
      <w:lvlText w:val=""/>
      <w:lvlJc w:val="left"/>
      <w:pPr>
        <w:tabs>
          <w:tab w:val="num" w:pos="2880"/>
        </w:tabs>
        <w:ind w:left="2880" w:hanging="360"/>
      </w:pPr>
      <w:rPr>
        <w:rFonts w:ascii="Symbol" w:hAnsi="Symbol" w:hint="default"/>
      </w:rPr>
    </w:lvl>
    <w:lvl w:ilvl="4" w:tplc="591AC51A" w:tentative="1">
      <w:start w:val="1"/>
      <w:numFmt w:val="bullet"/>
      <w:lvlText w:val="o"/>
      <w:lvlJc w:val="left"/>
      <w:pPr>
        <w:tabs>
          <w:tab w:val="num" w:pos="3600"/>
        </w:tabs>
        <w:ind w:left="3600" w:hanging="360"/>
      </w:pPr>
      <w:rPr>
        <w:rFonts w:ascii="Courier New" w:hAnsi="Courier New" w:hint="default"/>
      </w:rPr>
    </w:lvl>
    <w:lvl w:ilvl="5" w:tplc="F962E5B4" w:tentative="1">
      <w:start w:val="1"/>
      <w:numFmt w:val="bullet"/>
      <w:lvlText w:val=""/>
      <w:lvlJc w:val="left"/>
      <w:pPr>
        <w:tabs>
          <w:tab w:val="num" w:pos="4320"/>
        </w:tabs>
        <w:ind w:left="4320" w:hanging="360"/>
      </w:pPr>
      <w:rPr>
        <w:rFonts w:ascii="Wingdings" w:hAnsi="Wingdings" w:hint="default"/>
      </w:rPr>
    </w:lvl>
    <w:lvl w:ilvl="6" w:tplc="EC425764" w:tentative="1">
      <w:start w:val="1"/>
      <w:numFmt w:val="bullet"/>
      <w:lvlText w:val=""/>
      <w:lvlJc w:val="left"/>
      <w:pPr>
        <w:tabs>
          <w:tab w:val="num" w:pos="5040"/>
        </w:tabs>
        <w:ind w:left="5040" w:hanging="360"/>
      </w:pPr>
      <w:rPr>
        <w:rFonts w:ascii="Symbol" w:hAnsi="Symbol" w:hint="default"/>
      </w:rPr>
    </w:lvl>
    <w:lvl w:ilvl="7" w:tplc="FF2256C2" w:tentative="1">
      <w:start w:val="1"/>
      <w:numFmt w:val="bullet"/>
      <w:lvlText w:val="o"/>
      <w:lvlJc w:val="left"/>
      <w:pPr>
        <w:tabs>
          <w:tab w:val="num" w:pos="5760"/>
        </w:tabs>
        <w:ind w:left="5760" w:hanging="360"/>
      </w:pPr>
      <w:rPr>
        <w:rFonts w:ascii="Courier New" w:hAnsi="Courier New" w:hint="default"/>
      </w:rPr>
    </w:lvl>
    <w:lvl w:ilvl="8" w:tplc="B0E601C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9F45F5C"/>
    <w:multiLevelType w:val="hybridMultilevel"/>
    <w:tmpl w:val="5E624B80"/>
    <w:lvl w:ilvl="0" w:tplc="97D07FD8">
      <w:start w:val="2"/>
      <w:numFmt w:val="decimal"/>
      <w:lvlText w:val="%1."/>
      <w:lvlJc w:val="left"/>
      <w:pPr>
        <w:tabs>
          <w:tab w:val="num" w:pos="720"/>
        </w:tabs>
        <w:ind w:left="720" w:hanging="360"/>
      </w:pPr>
      <w:rPr>
        <w:rFonts w:hint="default"/>
      </w:rPr>
    </w:lvl>
    <w:lvl w:ilvl="1" w:tplc="E168D2C0" w:tentative="1">
      <w:start w:val="1"/>
      <w:numFmt w:val="lowerLetter"/>
      <w:lvlText w:val="%2."/>
      <w:lvlJc w:val="left"/>
      <w:pPr>
        <w:tabs>
          <w:tab w:val="num" w:pos="1440"/>
        </w:tabs>
        <w:ind w:left="1440" w:hanging="360"/>
      </w:pPr>
    </w:lvl>
    <w:lvl w:ilvl="2" w:tplc="B8A08484" w:tentative="1">
      <w:start w:val="1"/>
      <w:numFmt w:val="lowerRoman"/>
      <w:lvlText w:val="%3."/>
      <w:lvlJc w:val="right"/>
      <w:pPr>
        <w:tabs>
          <w:tab w:val="num" w:pos="2160"/>
        </w:tabs>
        <w:ind w:left="2160" w:hanging="180"/>
      </w:pPr>
    </w:lvl>
    <w:lvl w:ilvl="3" w:tplc="4F9EF832" w:tentative="1">
      <w:start w:val="1"/>
      <w:numFmt w:val="decimal"/>
      <w:lvlText w:val="%4."/>
      <w:lvlJc w:val="left"/>
      <w:pPr>
        <w:tabs>
          <w:tab w:val="num" w:pos="2880"/>
        </w:tabs>
        <w:ind w:left="2880" w:hanging="360"/>
      </w:pPr>
    </w:lvl>
    <w:lvl w:ilvl="4" w:tplc="4A7A8CB4" w:tentative="1">
      <w:start w:val="1"/>
      <w:numFmt w:val="lowerLetter"/>
      <w:lvlText w:val="%5."/>
      <w:lvlJc w:val="left"/>
      <w:pPr>
        <w:tabs>
          <w:tab w:val="num" w:pos="3600"/>
        </w:tabs>
        <w:ind w:left="3600" w:hanging="360"/>
      </w:pPr>
    </w:lvl>
    <w:lvl w:ilvl="5" w:tplc="3E547B1A" w:tentative="1">
      <w:start w:val="1"/>
      <w:numFmt w:val="lowerRoman"/>
      <w:lvlText w:val="%6."/>
      <w:lvlJc w:val="right"/>
      <w:pPr>
        <w:tabs>
          <w:tab w:val="num" w:pos="4320"/>
        </w:tabs>
        <w:ind w:left="4320" w:hanging="180"/>
      </w:pPr>
    </w:lvl>
    <w:lvl w:ilvl="6" w:tplc="2C66CC00" w:tentative="1">
      <w:start w:val="1"/>
      <w:numFmt w:val="decimal"/>
      <w:lvlText w:val="%7."/>
      <w:lvlJc w:val="left"/>
      <w:pPr>
        <w:tabs>
          <w:tab w:val="num" w:pos="5040"/>
        </w:tabs>
        <w:ind w:left="5040" w:hanging="360"/>
      </w:pPr>
    </w:lvl>
    <w:lvl w:ilvl="7" w:tplc="A4CA4198" w:tentative="1">
      <w:start w:val="1"/>
      <w:numFmt w:val="lowerLetter"/>
      <w:lvlText w:val="%8."/>
      <w:lvlJc w:val="left"/>
      <w:pPr>
        <w:tabs>
          <w:tab w:val="num" w:pos="5760"/>
        </w:tabs>
        <w:ind w:left="5760" w:hanging="360"/>
      </w:pPr>
    </w:lvl>
    <w:lvl w:ilvl="8" w:tplc="CE3096B0" w:tentative="1">
      <w:start w:val="1"/>
      <w:numFmt w:val="lowerRoman"/>
      <w:lvlText w:val="%9."/>
      <w:lvlJc w:val="right"/>
      <w:pPr>
        <w:tabs>
          <w:tab w:val="num" w:pos="6480"/>
        </w:tabs>
        <w:ind w:left="6480" w:hanging="180"/>
      </w:pPr>
    </w:lvl>
  </w:abstractNum>
  <w:abstractNum w:abstractNumId="82" w15:restartNumberingAfterBreak="0">
    <w:nsid w:val="4B861038"/>
    <w:multiLevelType w:val="hybridMultilevel"/>
    <w:tmpl w:val="3532406A"/>
    <w:lvl w:ilvl="0" w:tplc="7C30C5EE">
      <w:start w:val="1"/>
      <w:numFmt w:val="bullet"/>
      <w:lvlText w:val=""/>
      <w:lvlJc w:val="left"/>
      <w:pPr>
        <w:ind w:left="720" w:hanging="360"/>
      </w:pPr>
      <w:rPr>
        <w:rFonts w:ascii="Symbol" w:hAnsi="Symbol" w:hint="default"/>
      </w:rPr>
    </w:lvl>
    <w:lvl w:ilvl="1" w:tplc="CA9A2022" w:tentative="1">
      <w:start w:val="1"/>
      <w:numFmt w:val="bullet"/>
      <w:lvlText w:val="o"/>
      <w:lvlJc w:val="left"/>
      <w:pPr>
        <w:ind w:left="1440" w:hanging="360"/>
      </w:pPr>
      <w:rPr>
        <w:rFonts w:ascii="Courier New" w:hAnsi="Courier New" w:cs="Courier New" w:hint="default"/>
      </w:rPr>
    </w:lvl>
    <w:lvl w:ilvl="2" w:tplc="24C04F4A" w:tentative="1">
      <w:start w:val="1"/>
      <w:numFmt w:val="bullet"/>
      <w:lvlText w:val=""/>
      <w:lvlJc w:val="left"/>
      <w:pPr>
        <w:ind w:left="2160" w:hanging="360"/>
      </w:pPr>
      <w:rPr>
        <w:rFonts w:ascii="Wingdings" w:hAnsi="Wingdings" w:hint="default"/>
      </w:rPr>
    </w:lvl>
    <w:lvl w:ilvl="3" w:tplc="57B09560" w:tentative="1">
      <w:start w:val="1"/>
      <w:numFmt w:val="bullet"/>
      <w:lvlText w:val=""/>
      <w:lvlJc w:val="left"/>
      <w:pPr>
        <w:ind w:left="2880" w:hanging="360"/>
      </w:pPr>
      <w:rPr>
        <w:rFonts w:ascii="Symbol" w:hAnsi="Symbol" w:hint="default"/>
      </w:rPr>
    </w:lvl>
    <w:lvl w:ilvl="4" w:tplc="F03AAB94" w:tentative="1">
      <w:start w:val="1"/>
      <w:numFmt w:val="bullet"/>
      <w:lvlText w:val="o"/>
      <w:lvlJc w:val="left"/>
      <w:pPr>
        <w:ind w:left="3600" w:hanging="360"/>
      </w:pPr>
      <w:rPr>
        <w:rFonts w:ascii="Courier New" w:hAnsi="Courier New" w:cs="Courier New" w:hint="default"/>
      </w:rPr>
    </w:lvl>
    <w:lvl w:ilvl="5" w:tplc="D65288FA" w:tentative="1">
      <w:start w:val="1"/>
      <w:numFmt w:val="bullet"/>
      <w:lvlText w:val=""/>
      <w:lvlJc w:val="left"/>
      <w:pPr>
        <w:ind w:left="4320" w:hanging="360"/>
      </w:pPr>
      <w:rPr>
        <w:rFonts w:ascii="Wingdings" w:hAnsi="Wingdings" w:hint="default"/>
      </w:rPr>
    </w:lvl>
    <w:lvl w:ilvl="6" w:tplc="42529A8A" w:tentative="1">
      <w:start w:val="1"/>
      <w:numFmt w:val="bullet"/>
      <w:lvlText w:val=""/>
      <w:lvlJc w:val="left"/>
      <w:pPr>
        <w:ind w:left="5040" w:hanging="360"/>
      </w:pPr>
      <w:rPr>
        <w:rFonts w:ascii="Symbol" w:hAnsi="Symbol" w:hint="default"/>
      </w:rPr>
    </w:lvl>
    <w:lvl w:ilvl="7" w:tplc="05C49EA0" w:tentative="1">
      <w:start w:val="1"/>
      <w:numFmt w:val="bullet"/>
      <w:lvlText w:val="o"/>
      <w:lvlJc w:val="left"/>
      <w:pPr>
        <w:ind w:left="5760" w:hanging="360"/>
      </w:pPr>
      <w:rPr>
        <w:rFonts w:ascii="Courier New" w:hAnsi="Courier New" w:cs="Courier New" w:hint="default"/>
      </w:rPr>
    </w:lvl>
    <w:lvl w:ilvl="8" w:tplc="C7583228" w:tentative="1">
      <w:start w:val="1"/>
      <w:numFmt w:val="bullet"/>
      <w:lvlText w:val=""/>
      <w:lvlJc w:val="left"/>
      <w:pPr>
        <w:ind w:left="6480" w:hanging="360"/>
      </w:pPr>
      <w:rPr>
        <w:rFonts w:ascii="Wingdings" w:hAnsi="Wingdings" w:hint="default"/>
      </w:rPr>
    </w:lvl>
  </w:abstractNum>
  <w:abstractNum w:abstractNumId="83" w15:restartNumberingAfterBreak="0">
    <w:nsid w:val="4BCD4093"/>
    <w:multiLevelType w:val="hybridMultilevel"/>
    <w:tmpl w:val="01F0B2E2"/>
    <w:lvl w:ilvl="0" w:tplc="8FFAEE2A">
      <w:start w:val="1"/>
      <w:numFmt w:val="bullet"/>
      <w:lvlText w:val="o"/>
      <w:lvlJc w:val="left"/>
      <w:pPr>
        <w:tabs>
          <w:tab w:val="num" w:pos="927"/>
        </w:tabs>
        <w:ind w:left="927" w:hanging="360"/>
      </w:pPr>
      <w:rPr>
        <w:rFonts w:hAnsi="Courier New" w:hint="default"/>
      </w:rPr>
    </w:lvl>
    <w:lvl w:ilvl="1" w:tplc="57E0B6C0">
      <w:start w:val="1"/>
      <w:numFmt w:val="bullet"/>
      <w:lvlText w:val="o"/>
      <w:lvlJc w:val="left"/>
      <w:pPr>
        <w:tabs>
          <w:tab w:val="num" w:pos="1647"/>
        </w:tabs>
        <w:ind w:left="1647" w:hanging="360"/>
      </w:pPr>
      <w:rPr>
        <w:rFonts w:ascii="Courier New" w:hAnsi="Courier New" w:hint="default"/>
      </w:rPr>
    </w:lvl>
    <w:lvl w:ilvl="2" w:tplc="5EA09016">
      <w:start w:val="1"/>
      <w:numFmt w:val="bullet"/>
      <w:lvlText w:val=""/>
      <w:lvlJc w:val="left"/>
      <w:pPr>
        <w:tabs>
          <w:tab w:val="num" w:pos="2367"/>
        </w:tabs>
        <w:ind w:left="2367" w:hanging="360"/>
      </w:pPr>
      <w:rPr>
        <w:rFonts w:ascii="Wingdings" w:hAnsi="Wingdings" w:hint="default"/>
      </w:rPr>
    </w:lvl>
    <w:lvl w:ilvl="3" w:tplc="1EC4C1A0" w:tentative="1">
      <w:start w:val="1"/>
      <w:numFmt w:val="bullet"/>
      <w:lvlText w:val=""/>
      <w:lvlJc w:val="left"/>
      <w:pPr>
        <w:tabs>
          <w:tab w:val="num" w:pos="3087"/>
        </w:tabs>
        <w:ind w:left="3087" w:hanging="360"/>
      </w:pPr>
      <w:rPr>
        <w:rFonts w:ascii="Symbol" w:hAnsi="Symbol" w:hint="default"/>
      </w:rPr>
    </w:lvl>
    <w:lvl w:ilvl="4" w:tplc="BF5EF152" w:tentative="1">
      <w:start w:val="1"/>
      <w:numFmt w:val="bullet"/>
      <w:lvlText w:val="o"/>
      <w:lvlJc w:val="left"/>
      <w:pPr>
        <w:tabs>
          <w:tab w:val="num" w:pos="3807"/>
        </w:tabs>
        <w:ind w:left="3807" w:hanging="360"/>
      </w:pPr>
      <w:rPr>
        <w:rFonts w:ascii="Courier New" w:hAnsi="Courier New" w:hint="default"/>
      </w:rPr>
    </w:lvl>
    <w:lvl w:ilvl="5" w:tplc="7CE49B06" w:tentative="1">
      <w:start w:val="1"/>
      <w:numFmt w:val="bullet"/>
      <w:lvlText w:val=""/>
      <w:lvlJc w:val="left"/>
      <w:pPr>
        <w:tabs>
          <w:tab w:val="num" w:pos="4527"/>
        </w:tabs>
        <w:ind w:left="4527" w:hanging="360"/>
      </w:pPr>
      <w:rPr>
        <w:rFonts w:ascii="Wingdings" w:hAnsi="Wingdings" w:hint="default"/>
      </w:rPr>
    </w:lvl>
    <w:lvl w:ilvl="6" w:tplc="E4A4118C" w:tentative="1">
      <w:start w:val="1"/>
      <w:numFmt w:val="bullet"/>
      <w:lvlText w:val=""/>
      <w:lvlJc w:val="left"/>
      <w:pPr>
        <w:tabs>
          <w:tab w:val="num" w:pos="5247"/>
        </w:tabs>
        <w:ind w:left="5247" w:hanging="360"/>
      </w:pPr>
      <w:rPr>
        <w:rFonts w:ascii="Symbol" w:hAnsi="Symbol" w:hint="default"/>
      </w:rPr>
    </w:lvl>
    <w:lvl w:ilvl="7" w:tplc="AC363288" w:tentative="1">
      <w:start w:val="1"/>
      <w:numFmt w:val="bullet"/>
      <w:lvlText w:val="o"/>
      <w:lvlJc w:val="left"/>
      <w:pPr>
        <w:tabs>
          <w:tab w:val="num" w:pos="5967"/>
        </w:tabs>
        <w:ind w:left="5967" w:hanging="360"/>
      </w:pPr>
      <w:rPr>
        <w:rFonts w:ascii="Courier New" w:hAnsi="Courier New" w:hint="default"/>
      </w:rPr>
    </w:lvl>
    <w:lvl w:ilvl="8" w:tplc="094E71FA" w:tentative="1">
      <w:start w:val="1"/>
      <w:numFmt w:val="bullet"/>
      <w:lvlText w:val=""/>
      <w:lvlJc w:val="left"/>
      <w:pPr>
        <w:tabs>
          <w:tab w:val="num" w:pos="6687"/>
        </w:tabs>
        <w:ind w:left="6687" w:hanging="360"/>
      </w:pPr>
      <w:rPr>
        <w:rFonts w:ascii="Wingdings" w:hAnsi="Wingdings" w:hint="default"/>
      </w:rPr>
    </w:lvl>
  </w:abstractNum>
  <w:abstractNum w:abstractNumId="84" w15:restartNumberingAfterBreak="0">
    <w:nsid w:val="4BE54529"/>
    <w:multiLevelType w:val="hybridMultilevel"/>
    <w:tmpl w:val="01F0B2E2"/>
    <w:lvl w:ilvl="0" w:tplc="9506ACCE">
      <w:start w:val="1"/>
      <w:numFmt w:val="bullet"/>
      <w:lvlText w:val=""/>
      <w:lvlJc w:val="left"/>
      <w:pPr>
        <w:tabs>
          <w:tab w:val="num" w:pos="567"/>
        </w:tabs>
        <w:ind w:left="567" w:hanging="567"/>
      </w:pPr>
      <w:rPr>
        <w:rFonts w:ascii="Symbol" w:hAnsi="Symbol" w:hint="default"/>
      </w:rPr>
    </w:lvl>
    <w:lvl w:ilvl="1" w:tplc="DD8CC166">
      <w:start w:val="1"/>
      <w:numFmt w:val="bullet"/>
      <w:lvlText w:val="o"/>
      <w:lvlJc w:val="left"/>
      <w:pPr>
        <w:tabs>
          <w:tab w:val="num" w:pos="1440"/>
        </w:tabs>
        <w:ind w:left="1440" w:hanging="360"/>
      </w:pPr>
      <w:rPr>
        <w:rFonts w:ascii="Courier New" w:hAnsi="Courier New" w:hint="default"/>
      </w:rPr>
    </w:lvl>
    <w:lvl w:ilvl="2" w:tplc="1A686F7C">
      <w:start w:val="1"/>
      <w:numFmt w:val="bullet"/>
      <w:lvlText w:val=""/>
      <w:lvlJc w:val="left"/>
      <w:pPr>
        <w:tabs>
          <w:tab w:val="num" w:pos="2160"/>
        </w:tabs>
        <w:ind w:left="2160" w:hanging="360"/>
      </w:pPr>
      <w:rPr>
        <w:rFonts w:ascii="Wingdings" w:hAnsi="Wingdings" w:hint="default"/>
      </w:rPr>
    </w:lvl>
    <w:lvl w:ilvl="3" w:tplc="642A1428" w:tentative="1">
      <w:start w:val="1"/>
      <w:numFmt w:val="bullet"/>
      <w:lvlText w:val=""/>
      <w:lvlJc w:val="left"/>
      <w:pPr>
        <w:tabs>
          <w:tab w:val="num" w:pos="2880"/>
        </w:tabs>
        <w:ind w:left="2880" w:hanging="360"/>
      </w:pPr>
      <w:rPr>
        <w:rFonts w:ascii="Symbol" w:hAnsi="Symbol" w:hint="default"/>
      </w:rPr>
    </w:lvl>
    <w:lvl w:ilvl="4" w:tplc="7EC83210" w:tentative="1">
      <w:start w:val="1"/>
      <w:numFmt w:val="bullet"/>
      <w:lvlText w:val="o"/>
      <w:lvlJc w:val="left"/>
      <w:pPr>
        <w:tabs>
          <w:tab w:val="num" w:pos="3600"/>
        </w:tabs>
        <w:ind w:left="3600" w:hanging="360"/>
      </w:pPr>
      <w:rPr>
        <w:rFonts w:ascii="Courier New" w:hAnsi="Courier New" w:hint="default"/>
      </w:rPr>
    </w:lvl>
    <w:lvl w:ilvl="5" w:tplc="09126E38" w:tentative="1">
      <w:start w:val="1"/>
      <w:numFmt w:val="bullet"/>
      <w:lvlText w:val=""/>
      <w:lvlJc w:val="left"/>
      <w:pPr>
        <w:tabs>
          <w:tab w:val="num" w:pos="4320"/>
        </w:tabs>
        <w:ind w:left="4320" w:hanging="360"/>
      </w:pPr>
      <w:rPr>
        <w:rFonts w:ascii="Wingdings" w:hAnsi="Wingdings" w:hint="default"/>
      </w:rPr>
    </w:lvl>
    <w:lvl w:ilvl="6" w:tplc="F0AA65CE" w:tentative="1">
      <w:start w:val="1"/>
      <w:numFmt w:val="bullet"/>
      <w:lvlText w:val=""/>
      <w:lvlJc w:val="left"/>
      <w:pPr>
        <w:tabs>
          <w:tab w:val="num" w:pos="5040"/>
        </w:tabs>
        <w:ind w:left="5040" w:hanging="360"/>
      </w:pPr>
      <w:rPr>
        <w:rFonts w:ascii="Symbol" w:hAnsi="Symbol" w:hint="default"/>
      </w:rPr>
    </w:lvl>
    <w:lvl w:ilvl="7" w:tplc="FECEBC52" w:tentative="1">
      <w:start w:val="1"/>
      <w:numFmt w:val="bullet"/>
      <w:lvlText w:val="o"/>
      <w:lvlJc w:val="left"/>
      <w:pPr>
        <w:tabs>
          <w:tab w:val="num" w:pos="5760"/>
        </w:tabs>
        <w:ind w:left="5760" w:hanging="360"/>
      </w:pPr>
      <w:rPr>
        <w:rFonts w:ascii="Courier New" w:hAnsi="Courier New" w:hint="default"/>
      </w:rPr>
    </w:lvl>
    <w:lvl w:ilvl="8" w:tplc="111CA0C0"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C7D1FA8"/>
    <w:multiLevelType w:val="hybridMultilevel"/>
    <w:tmpl w:val="CBC83360"/>
    <w:lvl w:ilvl="0" w:tplc="6A2C7E78">
      <w:start w:val="1"/>
      <w:numFmt w:val="upperLetter"/>
      <w:lvlText w:val="%1."/>
      <w:lvlJc w:val="left"/>
      <w:pPr>
        <w:tabs>
          <w:tab w:val="num" w:pos="1494"/>
        </w:tabs>
        <w:ind w:left="1494" w:hanging="360"/>
      </w:pPr>
      <w:rPr>
        <w:rFonts w:hint="default"/>
      </w:rPr>
    </w:lvl>
    <w:lvl w:ilvl="1" w:tplc="3DA699EC" w:tentative="1">
      <w:start w:val="1"/>
      <w:numFmt w:val="lowerLetter"/>
      <w:lvlText w:val="%2."/>
      <w:lvlJc w:val="left"/>
      <w:pPr>
        <w:tabs>
          <w:tab w:val="num" w:pos="2214"/>
        </w:tabs>
        <w:ind w:left="2214" w:hanging="360"/>
      </w:pPr>
    </w:lvl>
    <w:lvl w:ilvl="2" w:tplc="9D065E3C" w:tentative="1">
      <w:start w:val="1"/>
      <w:numFmt w:val="lowerRoman"/>
      <w:lvlText w:val="%3."/>
      <w:lvlJc w:val="right"/>
      <w:pPr>
        <w:tabs>
          <w:tab w:val="num" w:pos="2934"/>
        </w:tabs>
        <w:ind w:left="2934" w:hanging="180"/>
      </w:pPr>
    </w:lvl>
    <w:lvl w:ilvl="3" w:tplc="865612B4" w:tentative="1">
      <w:start w:val="1"/>
      <w:numFmt w:val="decimal"/>
      <w:lvlText w:val="%4."/>
      <w:lvlJc w:val="left"/>
      <w:pPr>
        <w:tabs>
          <w:tab w:val="num" w:pos="3654"/>
        </w:tabs>
        <w:ind w:left="3654" w:hanging="360"/>
      </w:pPr>
    </w:lvl>
    <w:lvl w:ilvl="4" w:tplc="DC7C2A34" w:tentative="1">
      <w:start w:val="1"/>
      <w:numFmt w:val="lowerLetter"/>
      <w:lvlText w:val="%5."/>
      <w:lvlJc w:val="left"/>
      <w:pPr>
        <w:tabs>
          <w:tab w:val="num" w:pos="4374"/>
        </w:tabs>
        <w:ind w:left="4374" w:hanging="360"/>
      </w:pPr>
    </w:lvl>
    <w:lvl w:ilvl="5" w:tplc="92E4DABA" w:tentative="1">
      <w:start w:val="1"/>
      <w:numFmt w:val="lowerRoman"/>
      <w:lvlText w:val="%6."/>
      <w:lvlJc w:val="right"/>
      <w:pPr>
        <w:tabs>
          <w:tab w:val="num" w:pos="5094"/>
        </w:tabs>
        <w:ind w:left="5094" w:hanging="180"/>
      </w:pPr>
    </w:lvl>
    <w:lvl w:ilvl="6" w:tplc="D51C4130" w:tentative="1">
      <w:start w:val="1"/>
      <w:numFmt w:val="decimal"/>
      <w:lvlText w:val="%7."/>
      <w:lvlJc w:val="left"/>
      <w:pPr>
        <w:tabs>
          <w:tab w:val="num" w:pos="5814"/>
        </w:tabs>
        <w:ind w:left="5814" w:hanging="360"/>
      </w:pPr>
    </w:lvl>
    <w:lvl w:ilvl="7" w:tplc="3DCC2C7C" w:tentative="1">
      <w:start w:val="1"/>
      <w:numFmt w:val="lowerLetter"/>
      <w:lvlText w:val="%8."/>
      <w:lvlJc w:val="left"/>
      <w:pPr>
        <w:tabs>
          <w:tab w:val="num" w:pos="6534"/>
        </w:tabs>
        <w:ind w:left="6534" w:hanging="360"/>
      </w:pPr>
    </w:lvl>
    <w:lvl w:ilvl="8" w:tplc="07301C68" w:tentative="1">
      <w:start w:val="1"/>
      <w:numFmt w:val="lowerRoman"/>
      <w:lvlText w:val="%9."/>
      <w:lvlJc w:val="right"/>
      <w:pPr>
        <w:tabs>
          <w:tab w:val="num" w:pos="7254"/>
        </w:tabs>
        <w:ind w:left="7254" w:hanging="180"/>
      </w:pPr>
    </w:lvl>
  </w:abstractNum>
  <w:abstractNum w:abstractNumId="86" w15:restartNumberingAfterBreak="0">
    <w:nsid w:val="4C88331A"/>
    <w:multiLevelType w:val="hybridMultilevel"/>
    <w:tmpl w:val="3734147C"/>
    <w:lvl w:ilvl="0" w:tplc="BB30D9EA">
      <w:start w:val="1"/>
      <w:numFmt w:val="bullet"/>
      <w:lvlText w:val=""/>
      <w:lvlJc w:val="left"/>
      <w:pPr>
        <w:ind w:left="720" w:hanging="360"/>
      </w:pPr>
      <w:rPr>
        <w:rFonts w:ascii="Symbol" w:hAnsi="Symbol" w:hint="default"/>
      </w:rPr>
    </w:lvl>
    <w:lvl w:ilvl="1" w:tplc="82E4F804" w:tentative="1">
      <w:start w:val="1"/>
      <w:numFmt w:val="bullet"/>
      <w:lvlText w:val="o"/>
      <w:lvlJc w:val="left"/>
      <w:pPr>
        <w:ind w:left="1440" w:hanging="360"/>
      </w:pPr>
      <w:rPr>
        <w:rFonts w:ascii="Courier New" w:hAnsi="Courier New" w:cs="Courier New" w:hint="default"/>
      </w:rPr>
    </w:lvl>
    <w:lvl w:ilvl="2" w:tplc="439285D2" w:tentative="1">
      <w:start w:val="1"/>
      <w:numFmt w:val="bullet"/>
      <w:lvlText w:val=""/>
      <w:lvlJc w:val="left"/>
      <w:pPr>
        <w:ind w:left="2160" w:hanging="360"/>
      </w:pPr>
      <w:rPr>
        <w:rFonts w:ascii="Wingdings" w:hAnsi="Wingdings" w:hint="default"/>
      </w:rPr>
    </w:lvl>
    <w:lvl w:ilvl="3" w:tplc="46F48250" w:tentative="1">
      <w:start w:val="1"/>
      <w:numFmt w:val="bullet"/>
      <w:lvlText w:val=""/>
      <w:lvlJc w:val="left"/>
      <w:pPr>
        <w:ind w:left="2880" w:hanging="360"/>
      </w:pPr>
      <w:rPr>
        <w:rFonts w:ascii="Symbol" w:hAnsi="Symbol" w:hint="default"/>
      </w:rPr>
    </w:lvl>
    <w:lvl w:ilvl="4" w:tplc="B0589E7E" w:tentative="1">
      <w:start w:val="1"/>
      <w:numFmt w:val="bullet"/>
      <w:lvlText w:val="o"/>
      <w:lvlJc w:val="left"/>
      <w:pPr>
        <w:ind w:left="3600" w:hanging="360"/>
      </w:pPr>
      <w:rPr>
        <w:rFonts w:ascii="Courier New" w:hAnsi="Courier New" w:cs="Courier New" w:hint="default"/>
      </w:rPr>
    </w:lvl>
    <w:lvl w:ilvl="5" w:tplc="CC80C326" w:tentative="1">
      <w:start w:val="1"/>
      <w:numFmt w:val="bullet"/>
      <w:lvlText w:val=""/>
      <w:lvlJc w:val="left"/>
      <w:pPr>
        <w:ind w:left="4320" w:hanging="360"/>
      </w:pPr>
      <w:rPr>
        <w:rFonts w:ascii="Wingdings" w:hAnsi="Wingdings" w:hint="default"/>
      </w:rPr>
    </w:lvl>
    <w:lvl w:ilvl="6" w:tplc="2478963E" w:tentative="1">
      <w:start w:val="1"/>
      <w:numFmt w:val="bullet"/>
      <w:lvlText w:val=""/>
      <w:lvlJc w:val="left"/>
      <w:pPr>
        <w:ind w:left="5040" w:hanging="360"/>
      </w:pPr>
      <w:rPr>
        <w:rFonts w:ascii="Symbol" w:hAnsi="Symbol" w:hint="default"/>
      </w:rPr>
    </w:lvl>
    <w:lvl w:ilvl="7" w:tplc="5D8077C6" w:tentative="1">
      <w:start w:val="1"/>
      <w:numFmt w:val="bullet"/>
      <w:lvlText w:val="o"/>
      <w:lvlJc w:val="left"/>
      <w:pPr>
        <w:ind w:left="5760" w:hanging="360"/>
      </w:pPr>
      <w:rPr>
        <w:rFonts w:ascii="Courier New" w:hAnsi="Courier New" w:cs="Courier New" w:hint="default"/>
      </w:rPr>
    </w:lvl>
    <w:lvl w:ilvl="8" w:tplc="49B07B9A" w:tentative="1">
      <w:start w:val="1"/>
      <w:numFmt w:val="bullet"/>
      <w:lvlText w:val=""/>
      <w:lvlJc w:val="left"/>
      <w:pPr>
        <w:ind w:left="6480" w:hanging="360"/>
      </w:pPr>
      <w:rPr>
        <w:rFonts w:ascii="Wingdings" w:hAnsi="Wingdings" w:hint="default"/>
      </w:rPr>
    </w:lvl>
  </w:abstractNum>
  <w:abstractNum w:abstractNumId="87" w15:restartNumberingAfterBreak="0">
    <w:nsid w:val="4DB96941"/>
    <w:multiLevelType w:val="hybridMultilevel"/>
    <w:tmpl w:val="9EDCF7F2"/>
    <w:lvl w:ilvl="0" w:tplc="E71CCE2A">
      <w:start w:val="1"/>
      <w:numFmt w:val="bullet"/>
      <w:lvlText w:val=""/>
      <w:lvlJc w:val="left"/>
      <w:pPr>
        <w:tabs>
          <w:tab w:val="num" w:pos="567"/>
        </w:tabs>
        <w:ind w:left="567" w:hanging="567"/>
      </w:pPr>
      <w:rPr>
        <w:rFonts w:ascii="Symbol" w:hAnsi="Symbol" w:hint="default"/>
      </w:rPr>
    </w:lvl>
    <w:lvl w:ilvl="1" w:tplc="B962545E">
      <w:start w:val="1"/>
      <w:numFmt w:val="bullet"/>
      <w:lvlText w:val="-"/>
      <w:lvlJc w:val="left"/>
      <w:pPr>
        <w:tabs>
          <w:tab w:val="num" w:pos="1440"/>
        </w:tabs>
        <w:ind w:left="1440" w:hanging="360"/>
      </w:pPr>
      <w:rPr>
        <w:rFonts w:ascii="Times New Roman" w:eastAsia="Times New Roman" w:hAnsi="Times New Roman" w:cs="Times New Roman" w:hint="default"/>
      </w:rPr>
    </w:lvl>
    <w:lvl w:ilvl="2" w:tplc="1D26A592" w:tentative="1">
      <w:start w:val="1"/>
      <w:numFmt w:val="bullet"/>
      <w:lvlText w:val=""/>
      <w:lvlJc w:val="left"/>
      <w:pPr>
        <w:tabs>
          <w:tab w:val="num" w:pos="2160"/>
        </w:tabs>
        <w:ind w:left="2160" w:hanging="360"/>
      </w:pPr>
      <w:rPr>
        <w:rFonts w:ascii="Wingdings" w:hAnsi="Wingdings" w:hint="default"/>
      </w:rPr>
    </w:lvl>
    <w:lvl w:ilvl="3" w:tplc="517EDD58" w:tentative="1">
      <w:start w:val="1"/>
      <w:numFmt w:val="bullet"/>
      <w:lvlText w:val=""/>
      <w:lvlJc w:val="left"/>
      <w:pPr>
        <w:tabs>
          <w:tab w:val="num" w:pos="2880"/>
        </w:tabs>
        <w:ind w:left="2880" w:hanging="360"/>
      </w:pPr>
      <w:rPr>
        <w:rFonts w:ascii="Symbol" w:hAnsi="Symbol" w:hint="default"/>
      </w:rPr>
    </w:lvl>
    <w:lvl w:ilvl="4" w:tplc="2258F796" w:tentative="1">
      <w:start w:val="1"/>
      <w:numFmt w:val="bullet"/>
      <w:lvlText w:val="o"/>
      <w:lvlJc w:val="left"/>
      <w:pPr>
        <w:tabs>
          <w:tab w:val="num" w:pos="3600"/>
        </w:tabs>
        <w:ind w:left="3600" w:hanging="360"/>
      </w:pPr>
      <w:rPr>
        <w:rFonts w:ascii="Courier New" w:hAnsi="Courier New" w:cs="Courier New" w:hint="default"/>
      </w:rPr>
    </w:lvl>
    <w:lvl w:ilvl="5" w:tplc="CF94DF0A" w:tentative="1">
      <w:start w:val="1"/>
      <w:numFmt w:val="bullet"/>
      <w:lvlText w:val=""/>
      <w:lvlJc w:val="left"/>
      <w:pPr>
        <w:tabs>
          <w:tab w:val="num" w:pos="4320"/>
        </w:tabs>
        <w:ind w:left="4320" w:hanging="360"/>
      </w:pPr>
      <w:rPr>
        <w:rFonts w:ascii="Wingdings" w:hAnsi="Wingdings" w:hint="default"/>
      </w:rPr>
    </w:lvl>
    <w:lvl w:ilvl="6" w:tplc="44E0B25E" w:tentative="1">
      <w:start w:val="1"/>
      <w:numFmt w:val="bullet"/>
      <w:lvlText w:val=""/>
      <w:lvlJc w:val="left"/>
      <w:pPr>
        <w:tabs>
          <w:tab w:val="num" w:pos="5040"/>
        </w:tabs>
        <w:ind w:left="5040" w:hanging="360"/>
      </w:pPr>
      <w:rPr>
        <w:rFonts w:ascii="Symbol" w:hAnsi="Symbol" w:hint="default"/>
      </w:rPr>
    </w:lvl>
    <w:lvl w:ilvl="7" w:tplc="4A9C9550" w:tentative="1">
      <w:start w:val="1"/>
      <w:numFmt w:val="bullet"/>
      <w:lvlText w:val="o"/>
      <w:lvlJc w:val="left"/>
      <w:pPr>
        <w:tabs>
          <w:tab w:val="num" w:pos="5760"/>
        </w:tabs>
        <w:ind w:left="5760" w:hanging="360"/>
      </w:pPr>
      <w:rPr>
        <w:rFonts w:ascii="Courier New" w:hAnsi="Courier New" w:cs="Courier New" w:hint="default"/>
      </w:rPr>
    </w:lvl>
    <w:lvl w:ilvl="8" w:tplc="9168E62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DBA27C8"/>
    <w:multiLevelType w:val="hybridMultilevel"/>
    <w:tmpl w:val="407074E2"/>
    <w:lvl w:ilvl="0" w:tplc="EF846458">
      <w:start w:val="1"/>
      <w:numFmt w:val="bullet"/>
      <w:lvlText w:val=""/>
      <w:lvlJc w:val="left"/>
      <w:pPr>
        <w:tabs>
          <w:tab w:val="num" w:pos="567"/>
        </w:tabs>
        <w:ind w:left="567" w:hanging="567"/>
      </w:pPr>
      <w:rPr>
        <w:rFonts w:ascii="Symbol" w:hAnsi="Symbol" w:hint="default"/>
      </w:rPr>
    </w:lvl>
    <w:lvl w:ilvl="1" w:tplc="E90C104E">
      <w:start w:val="1"/>
      <w:numFmt w:val="bullet"/>
      <w:lvlText w:val="o"/>
      <w:lvlJc w:val="left"/>
      <w:pPr>
        <w:tabs>
          <w:tab w:val="num" w:pos="1440"/>
        </w:tabs>
        <w:ind w:left="1440" w:hanging="360"/>
      </w:pPr>
      <w:rPr>
        <w:rFonts w:ascii="Courier New" w:hAnsi="Courier New" w:cs="Courier New" w:hint="default"/>
      </w:rPr>
    </w:lvl>
    <w:lvl w:ilvl="2" w:tplc="D0DC20BE" w:tentative="1">
      <w:start w:val="1"/>
      <w:numFmt w:val="bullet"/>
      <w:lvlText w:val=""/>
      <w:lvlJc w:val="left"/>
      <w:pPr>
        <w:tabs>
          <w:tab w:val="num" w:pos="2160"/>
        </w:tabs>
        <w:ind w:left="2160" w:hanging="360"/>
      </w:pPr>
      <w:rPr>
        <w:rFonts w:ascii="Wingdings" w:hAnsi="Wingdings" w:hint="default"/>
      </w:rPr>
    </w:lvl>
    <w:lvl w:ilvl="3" w:tplc="A1AA62E2" w:tentative="1">
      <w:start w:val="1"/>
      <w:numFmt w:val="bullet"/>
      <w:lvlText w:val=""/>
      <w:lvlJc w:val="left"/>
      <w:pPr>
        <w:tabs>
          <w:tab w:val="num" w:pos="2880"/>
        </w:tabs>
        <w:ind w:left="2880" w:hanging="360"/>
      </w:pPr>
      <w:rPr>
        <w:rFonts w:ascii="Symbol" w:hAnsi="Symbol" w:hint="default"/>
      </w:rPr>
    </w:lvl>
    <w:lvl w:ilvl="4" w:tplc="FB741360" w:tentative="1">
      <w:start w:val="1"/>
      <w:numFmt w:val="bullet"/>
      <w:lvlText w:val="o"/>
      <w:lvlJc w:val="left"/>
      <w:pPr>
        <w:tabs>
          <w:tab w:val="num" w:pos="3600"/>
        </w:tabs>
        <w:ind w:left="3600" w:hanging="360"/>
      </w:pPr>
      <w:rPr>
        <w:rFonts w:ascii="Courier New" w:hAnsi="Courier New" w:cs="Courier New" w:hint="default"/>
      </w:rPr>
    </w:lvl>
    <w:lvl w:ilvl="5" w:tplc="BA2841C8" w:tentative="1">
      <w:start w:val="1"/>
      <w:numFmt w:val="bullet"/>
      <w:lvlText w:val=""/>
      <w:lvlJc w:val="left"/>
      <w:pPr>
        <w:tabs>
          <w:tab w:val="num" w:pos="4320"/>
        </w:tabs>
        <w:ind w:left="4320" w:hanging="360"/>
      </w:pPr>
      <w:rPr>
        <w:rFonts w:ascii="Wingdings" w:hAnsi="Wingdings" w:hint="default"/>
      </w:rPr>
    </w:lvl>
    <w:lvl w:ilvl="6" w:tplc="E704419C" w:tentative="1">
      <w:start w:val="1"/>
      <w:numFmt w:val="bullet"/>
      <w:lvlText w:val=""/>
      <w:lvlJc w:val="left"/>
      <w:pPr>
        <w:tabs>
          <w:tab w:val="num" w:pos="5040"/>
        </w:tabs>
        <w:ind w:left="5040" w:hanging="360"/>
      </w:pPr>
      <w:rPr>
        <w:rFonts w:ascii="Symbol" w:hAnsi="Symbol" w:hint="default"/>
      </w:rPr>
    </w:lvl>
    <w:lvl w:ilvl="7" w:tplc="4CDC21AA" w:tentative="1">
      <w:start w:val="1"/>
      <w:numFmt w:val="bullet"/>
      <w:lvlText w:val="o"/>
      <w:lvlJc w:val="left"/>
      <w:pPr>
        <w:tabs>
          <w:tab w:val="num" w:pos="5760"/>
        </w:tabs>
        <w:ind w:left="5760" w:hanging="360"/>
      </w:pPr>
      <w:rPr>
        <w:rFonts w:ascii="Courier New" w:hAnsi="Courier New" w:cs="Courier New" w:hint="default"/>
      </w:rPr>
    </w:lvl>
    <w:lvl w:ilvl="8" w:tplc="F74A95C0"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0E353DA"/>
    <w:multiLevelType w:val="hybridMultilevel"/>
    <w:tmpl w:val="0F3857BA"/>
    <w:lvl w:ilvl="0" w:tplc="983A96B6">
      <w:start w:val="1"/>
      <w:numFmt w:val="bullet"/>
      <w:lvlText w:val=""/>
      <w:lvlJc w:val="left"/>
      <w:pPr>
        <w:ind w:left="720" w:hanging="360"/>
      </w:pPr>
      <w:rPr>
        <w:rFonts w:ascii="Symbol" w:hAnsi="Symbol" w:hint="default"/>
      </w:rPr>
    </w:lvl>
    <w:lvl w:ilvl="1" w:tplc="6D361294" w:tentative="1">
      <w:start w:val="1"/>
      <w:numFmt w:val="bullet"/>
      <w:lvlText w:val="o"/>
      <w:lvlJc w:val="left"/>
      <w:pPr>
        <w:ind w:left="1440" w:hanging="360"/>
      </w:pPr>
      <w:rPr>
        <w:rFonts w:ascii="Courier New" w:hAnsi="Courier New" w:cs="Courier New" w:hint="default"/>
      </w:rPr>
    </w:lvl>
    <w:lvl w:ilvl="2" w:tplc="06E493B2" w:tentative="1">
      <w:start w:val="1"/>
      <w:numFmt w:val="bullet"/>
      <w:lvlText w:val=""/>
      <w:lvlJc w:val="left"/>
      <w:pPr>
        <w:ind w:left="2160" w:hanging="360"/>
      </w:pPr>
      <w:rPr>
        <w:rFonts w:ascii="Wingdings" w:hAnsi="Wingdings" w:hint="default"/>
      </w:rPr>
    </w:lvl>
    <w:lvl w:ilvl="3" w:tplc="BE2E9E62" w:tentative="1">
      <w:start w:val="1"/>
      <w:numFmt w:val="bullet"/>
      <w:lvlText w:val=""/>
      <w:lvlJc w:val="left"/>
      <w:pPr>
        <w:ind w:left="2880" w:hanging="360"/>
      </w:pPr>
      <w:rPr>
        <w:rFonts w:ascii="Symbol" w:hAnsi="Symbol" w:hint="default"/>
      </w:rPr>
    </w:lvl>
    <w:lvl w:ilvl="4" w:tplc="8D6E5B2E" w:tentative="1">
      <w:start w:val="1"/>
      <w:numFmt w:val="bullet"/>
      <w:lvlText w:val="o"/>
      <w:lvlJc w:val="left"/>
      <w:pPr>
        <w:ind w:left="3600" w:hanging="360"/>
      </w:pPr>
      <w:rPr>
        <w:rFonts w:ascii="Courier New" w:hAnsi="Courier New" w:cs="Courier New" w:hint="default"/>
      </w:rPr>
    </w:lvl>
    <w:lvl w:ilvl="5" w:tplc="83583D82" w:tentative="1">
      <w:start w:val="1"/>
      <w:numFmt w:val="bullet"/>
      <w:lvlText w:val=""/>
      <w:lvlJc w:val="left"/>
      <w:pPr>
        <w:ind w:left="4320" w:hanging="360"/>
      </w:pPr>
      <w:rPr>
        <w:rFonts w:ascii="Wingdings" w:hAnsi="Wingdings" w:hint="default"/>
      </w:rPr>
    </w:lvl>
    <w:lvl w:ilvl="6" w:tplc="1DFCC26E" w:tentative="1">
      <w:start w:val="1"/>
      <w:numFmt w:val="bullet"/>
      <w:lvlText w:val=""/>
      <w:lvlJc w:val="left"/>
      <w:pPr>
        <w:ind w:left="5040" w:hanging="360"/>
      </w:pPr>
      <w:rPr>
        <w:rFonts w:ascii="Symbol" w:hAnsi="Symbol" w:hint="default"/>
      </w:rPr>
    </w:lvl>
    <w:lvl w:ilvl="7" w:tplc="9A0AD6C4" w:tentative="1">
      <w:start w:val="1"/>
      <w:numFmt w:val="bullet"/>
      <w:lvlText w:val="o"/>
      <w:lvlJc w:val="left"/>
      <w:pPr>
        <w:ind w:left="5760" w:hanging="360"/>
      </w:pPr>
      <w:rPr>
        <w:rFonts w:ascii="Courier New" w:hAnsi="Courier New" w:cs="Courier New" w:hint="default"/>
      </w:rPr>
    </w:lvl>
    <w:lvl w:ilvl="8" w:tplc="94087332" w:tentative="1">
      <w:start w:val="1"/>
      <w:numFmt w:val="bullet"/>
      <w:lvlText w:val=""/>
      <w:lvlJc w:val="left"/>
      <w:pPr>
        <w:ind w:left="6480" w:hanging="360"/>
      </w:pPr>
      <w:rPr>
        <w:rFonts w:ascii="Wingdings" w:hAnsi="Wingdings" w:hint="default"/>
      </w:rPr>
    </w:lvl>
  </w:abstractNum>
  <w:abstractNum w:abstractNumId="90" w15:restartNumberingAfterBreak="0">
    <w:nsid w:val="511562D0"/>
    <w:multiLevelType w:val="hybridMultilevel"/>
    <w:tmpl w:val="5038E426"/>
    <w:lvl w:ilvl="0" w:tplc="48DED2E2">
      <w:start w:val="1"/>
      <w:numFmt w:val="bullet"/>
      <w:lvlText w:val="o"/>
      <w:lvlJc w:val="left"/>
      <w:pPr>
        <w:tabs>
          <w:tab w:val="num" w:pos="1134"/>
        </w:tabs>
        <w:ind w:left="1134" w:hanging="567"/>
      </w:pPr>
      <w:rPr>
        <w:rFonts w:hint="default"/>
      </w:rPr>
    </w:lvl>
    <w:lvl w:ilvl="1" w:tplc="AEA20EBC">
      <w:start w:val="1"/>
      <w:numFmt w:val="bullet"/>
      <w:lvlText w:val="o"/>
      <w:lvlJc w:val="left"/>
      <w:pPr>
        <w:tabs>
          <w:tab w:val="num" w:pos="1440"/>
        </w:tabs>
        <w:ind w:left="1440" w:hanging="360"/>
      </w:pPr>
      <w:rPr>
        <w:rFonts w:ascii="Courier New" w:hAnsi="Courier New" w:hint="default"/>
      </w:rPr>
    </w:lvl>
    <w:lvl w:ilvl="2" w:tplc="8F84456C">
      <w:start w:val="1"/>
      <w:numFmt w:val="bullet"/>
      <w:lvlText w:val=""/>
      <w:lvlJc w:val="left"/>
      <w:pPr>
        <w:tabs>
          <w:tab w:val="num" w:pos="2160"/>
        </w:tabs>
        <w:ind w:left="2160" w:hanging="360"/>
      </w:pPr>
      <w:rPr>
        <w:rFonts w:ascii="Wingdings" w:hAnsi="Wingdings" w:hint="default"/>
      </w:rPr>
    </w:lvl>
    <w:lvl w:ilvl="3" w:tplc="CC3CBBD6" w:tentative="1">
      <w:start w:val="1"/>
      <w:numFmt w:val="bullet"/>
      <w:lvlText w:val=""/>
      <w:lvlJc w:val="left"/>
      <w:pPr>
        <w:tabs>
          <w:tab w:val="num" w:pos="2880"/>
        </w:tabs>
        <w:ind w:left="2880" w:hanging="360"/>
      </w:pPr>
      <w:rPr>
        <w:rFonts w:ascii="Symbol" w:hAnsi="Symbol" w:hint="default"/>
      </w:rPr>
    </w:lvl>
    <w:lvl w:ilvl="4" w:tplc="96104970" w:tentative="1">
      <w:start w:val="1"/>
      <w:numFmt w:val="bullet"/>
      <w:lvlText w:val="o"/>
      <w:lvlJc w:val="left"/>
      <w:pPr>
        <w:tabs>
          <w:tab w:val="num" w:pos="3600"/>
        </w:tabs>
        <w:ind w:left="3600" w:hanging="360"/>
      </w:pPr>
      <w:rPr>
        <w:rFonts w:ascii="Courier New" w:hAnsi="Courier New" w:hint="default"/>
      </w:rPr>
    </w:lvl>
    <w:lvl w:ilvl="5" w:tplc="E2BE3BFC" w:tentative="1">
      <w:start w:val="1"/>
      <w:numFmt w:val="bullet"/>
      <w:lvlText w:val=""/>
      <w:lvlJc w:val="left"/>
      <w:pPr>
        <w:tabs>
          <w:tab w:val="num" w:pos="4320"/>
        </w:tabs>
        <w:ind w:left="4320" w:hanging="360"/>
      </w:pPr>
      <w:rPr>
        <w:rFonts w:ascii="Wingdings" w:hAnsi="Wingdings" w:hint="default"/>
      </w:rPr>
    </w:lvl>
    <w:lvl w:ilvl="6" w:tplc="C166EB70" w:tentative="1">
      <w:start w:val="1"/>
      <w:numFmt w:val="bullet"/>
      <w:lvlText w:val=""/>
      <w:lvlJc w:val="left"/>
      <w:pPr>
        <w:tabs>
          <w:tab w:val="num" w:pos="5040"/>
        </w:tabs>
        <w:ind w:left="5040" w:hanging="360"/>
      </w:pPr>
      <w:rPr>
        <w:rFonts w:ascii="Symbol" w:hAnsi="Symbol" w:hint="default"/>
      </w:rPr>
    </w:lvl>
    <w:lvl w:ilvl="7" w:tplc="AC3ADBD4" w:tentative="1">
      <w:start w:val="1"/>
      <w:numFmt w:val="bullet"/>
      <w:lvlText w:val="o"/>
      <w:lvlJc w:val="left"/>
      <w:pPr>
        <w:tabs>
          <w:tab w:val="num" w:pos="5760"/>
        </w:tabs>
        <w:ind w:left="5760" w:hanging="360"/>
      </w:pPr>
      <w:rPr>
        <w:rFonts w:ascii="Courier New" w:hAnsi="Courier New" w:hint="default"/>
      </w:rPr>
    </w:lvl>
    <w:lvl w:ilvl="8" w:tplc="E2CAE99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92" w15:restartNumberingAfterBreak="0">
    <w:nsid w:val="53134095"/>
    <w:multiLevelType w:val="hybridMultilevel"/>
    <w:tmpl w:val="9476FFE0"/>
    <w:lvl w:ilvl="0" w:tplc="8A820C8E">
      <w:start w:val="1"/>
      <w:numFmt w:val="bullet"/>
      <w:lvlText w:val=""/>
      <w:lvlJc w:val="left"/>
      <w:pPr>
        <w:tabs>
          <w:tab w:val="num" w:pos="567"/>
        </w:tabs>
        <w:ind w:left="567" w:hanging="567"/>
      </w:pPr>
      <w:rPr>
        <w:rFonts w:ascii="Symbol" w:hAnsi="Symbol" w:hint="default"/>
      </w:rPr>
    </w:lvl>
    <w:lvl w:ilvl="1" w:tplc="18E2D7BE" w:tentative="1">
      <w:start w:val="1"/>
      <w:numFmt w:val="bullet"/>
      <w:lvlText w:val="o"/>
      <w:lvlJc w:val="left"/>
      <w:pPr>
        <w:tabs>
          <w:tab w:val="num" w:pos="1440"/>
        </w:tabs>
        <w:ind w:left="1440" w:hanging="360"/>
      </w:pPr>
      <w:rPr>
        <w:rFonts w:ascii="Courier New" w:hAnsi="Courier New" w:hint="default"/>
      </w:rPr>
    </w:lvl>
    <w:lvl w:ilvl="2" w:tplc="5274A570" w:tentative="1">
      <w:start w:val="1"/>
      <w:numFmt w:val="bullet"/>
      <w:lvlText w:val=""/>
      <w:lvlJc w:val="left"/>
      <w:pPr>
        <w:tabs>
          <w:tab w:val="num" w:pos="2160"/>
        </w:tabs>
        <w:ind w:left="2160" w:hanging="360"/>
      </w:pPr>
      <w:rPr>
        <w:rFonts w:ascii="Wingdings" w:hAnsi="Wingdings" w:hint="default"/>
      </w:rPr>
    </w:lvl>
    <w:lvl w:ilvl="3" w:tplc="4E66F794" w:tentative="1">
      <w:start w:val="1"/>
      <w:numFmt w:val="bullet"/>
      <w:lvlText w:val=""/>
      <w:lvlJc w:val="left"/>
      <w:pPr>
        <w:tabs>
          <w:tab w:val="num" w:pos="2880"/>
        </w:tabs>
        <w:ind w:left="2880" w:hanging="360"/>
      </w:pPr>
      <w:rPr>
        <w:rFonts w:ascii="Symbol" w:hAnsi="Symbol" w:hint="default"/>
      </w:rPr>
    </w:lvl>
    <w:lvl w:ilvl="4" w:tplc="B1664574" w:tentative="1">
      <w:start w:val="1"/>
      <w:numFmt w:val="bullet"/>
      <w:lvlText w:val="o"/>
      <w:lvlJc w:val="left"/>
      <w:pPr>
        <w:tabs>
          <w:tab w:val="num" w:pos="3600"/>
        </w:tabs>
        <w:ind w:left="3600" w:hanging="360"/>
      </w:pPr>
      <w:rPr>
        <w:rFonts w:ascii="Courier New" w:hAnsi="Courier New" w:hint="default"/>
      </w:rPr>
    </w:lvl>
    <w:lvl w:ilvl="5" w:tplc="E222B772" w:tentative="1">
      <w:start w:val="1"/>
      <w:numFmt w:val="bullet"/>
      <w:lvlText w:val=""/>
      <w:lvlJc w:val="left"/>
      <w:pPr>
        <w:tabs>
          <w:tab w:val="num" w:pos="4320"/>
        </w:tabs>
        <w:ind w:left="4320" w:hanging="360"/>
      </w:pPr>
      <w:rPr>
        <w:rFonts w:ascii="Wingdings" w:hAnsi="Wingdings" w:hint="default"/>
      </w:rPr>
    </w:lvl>
    <w:lvl w:ilvl="6" w:tplc="27660200" w:tentative="1">
      <w:start w:val="1"/>
      <w:numFmt w:val="bullet"/>
      <w:lvlText w:val=""/>
      <w:lvlJc w:val="left"/>
      <w:pPr>
        <w:tabs>
          <w:tab w:val="num" w:pos="5040"/>
        </w:tabs>
        <w:ind w:left="5040" w:hanging="360"/>
      </w:pPr>
      <w:rPr>
        <w:rFonts w:ascii="Symbol" w:hAnsi="Symbol" w:hint="default"/>
      </w:rPr>
    </w:lvl>
    <w:lvl w:ilvl="7" w:tplc="0890CCF8" w:tentative="1">
      <w:start w:val="1"/>
      <w:numFmt w:val="bullet"/>
      <w:lvlText w:val="o"/>
      <w:lvlJc w:val="left"/>
      <w:pPr>
        <w:tabs>
          <w:tab w:val="num" w:pos="5760"/>
        </w:tabs>
        <w:ind w:left="5760" w:hanging="360"/>
      </w:pPr>
      <w:rPr>
        <w:rFonts w:ascii="Courier New" w:hAnsi="Courier New" w:hint="default"/>
      </w:rPr>
    </w:lvl>
    <w:lvl w:ilvl="8" w:tplc="E97023B0"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4E523C8"/>
    <w:multiLevelType w:val="hybridMultilevel"/>
    <w:tmpl w:val="30C66D00"/>
    <w:lvl w:ilvl="0" w:tplc="01F09D3A">
      <w:start w:val="1"/>
      <w:numFmt w:val="bullet"/>
      <w:lvlText w:val=""/>
      <w:lvlJc w:val="left"/>
      <w:pPr>
        <w:tabs>
          <w:tab w:val="num" w:pos="567"/>
        </w:tabs>
        <w:ind w:left="567" w:hanging="567"/>
      </w:pPr>
      <w:rPr>
        <w:rFonts w:ascii="Symbol" w:hAnsi="Symbol" w:hint="default"/>
      </w:rPr>
    </w:lvl>
    <w:lvl w:ilvl="1" w:tplc="558C436C" w:tentative="1">
      <w:start w:val="1"/>
      <w:numFmt w:val="bullet"/>
      <w:lvlText w:val="o"/>
      <w:lvlJc w:val="left"/>
      <w:pPr>
        <w:tabs>
          <w:tab w:val="num" w:pos="1440"/>
        </w:tabs>
        <w:ind w:left="1440" w:hanging="360"/>
      </w:pPr>
      <w:rPr>
        <w:rFonts w:ascii="Courier New" w:hAnsi="Courier New" w:cs="Courier New" w:hint="default"/>
      </w:rPr>
    </w:lvl>
    <w:lvl w:ilvl="2" w:tplc="D1CAE384" w:tentative="1">
      <w:start w:val="1"/>
      <w:numFmt w:val="bullet"/>
      <w:lvlText w:val=""/>
      <w:lvlJc w:val="left"/>
      <w:pPr>
        <w:tabs>
          <w:tab w:val="num" w:pos="2160"/>
        </w:tabs>
        <w:ind w:left="2160" w:hanging="360"/>
      </w:pPr>
      <w:rPr>
        <w:rFonts w:ascii="Wingdings" w:hAnsi="Wingdings" w:hint="default"/>
      </w:rPr>
    </w:lvl>
    <w:lvl w:ilvl="3" w:tplc="F2A2CBBA" w:tentative="1">
      <w:start w:val="1"/>
      <w:numFmt w:val="bullet"/>
      <w:lvlText w:val=""/>
      <w:lvlJc w:val="left"/>
      <w:pPr>
        <w:tabs>
          <w:tab w:val="num" w:pos="2880"/>
        </w:tabs>
        <w:ind w:left="2880" w:hanging="360"/>
      </w:pPr>
      <w:rPr>
        <w:rFonts w:ascii="Symbol" w:hAnsi="Symbol" w:hint="default"/>
      </w:rPr>
    </w:lvl>
    <w:lvl w:ilvl="4" w:tplc="13CA8EF4" w:tentative="1">
      <w:start w:val="1"/>
      <w:numFmt w:val="bullet"/>
      <w:lvlText w:val="o"/>
      <w:lvlJc w:val="left"/>
      <w:pPr>
        <w:tabs>
          <w:tab w:val="num" w:pos="3600"/>
        </w:tabs>
        <w:ind w:left="3600" w:hanging="360"/>
      </w:pPr>
      <w:rPr>
        <w:rFonts w:ascii="Courier New" w:hAnsi="Courier New" w:cs="Courier New" w:hint="default"/>
      </w:rPr>
    </w:lvl>
    <w:lvl w:ilvl="5" w:tplc="99D4DCB2" w:tentative="1">
      <w:start w:val="1"/>
      <w:numFmt w:val="bullet"/>
      <w:lvlText w:val=""/>
      <w:lvlJc w:val="left"/>
      <w:pPr>
        <w:tabs>
          <w:tab w:val="num" w:pos="4320"/>
        </w:tabs>
        <w:ind w:left="4320" w:hanging="360"/>
      </w:pPr>
      <w:rPr>
        <w:rFonts w:ascii="Wingdings" w:hAnsi="Wingdings" w:hint="default"/>
      </w:rPr>
    </w:lvl>
    <w:lvl w:ilvl="6" w:tplc="4830B9C0" w:tentative="1">
      <w:start w:val="1"/>
      <w:numFmt w:val="bullet"/>
      <w:lvlText w:val=""/>
      <w:lvlJc w:val="left"/>
      <w:pPr>
        <w:tabs>
          <w:tab w:val="num" w:pos="5040"/>
        </w:tabs>
        <w:ind w:left="5040" w:hanging="360"/>
      </w:pPr>
      <w:rPr>
        <w:rFonts w:ascii="Symbol" w:hAnsi="Symbol" w:hint="default"/>
      </w:rPr>
    </w:lvl>
    <w:lvl w:ilvl="7" w:tplc="904EA2D2" w:tentative="1">
      <w:start w:val="1"/>
      <w:numFmt w:val="bullet"/>
      <w:lvlText w:val="o"/>
      <w:lvlJc w:val="left"/>
      <w:pPr>
        <w:tabs>
          <w:tab w:val="num" w:pos="5760"/>
        </w:tabs>
        <w:ind w:left="5760" w:hanging="360"/>
      </w:pPr>
      <w:rPr>
        <w:rFonts w:ascii="Courier New" w:hAnsi="Courier New" w:cs="Courier New" w:hint="default"/>
      </w:rPr>
    </w:lvl>
    <w:lvl w:ilvl="8" w:tplc="DBEC82C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5212069"/>
    <w:multiLevelType w:val="hybridMultilevel"/>
    <w:tmpl w:val="1BAAA5F6"/>
    <w:lvl w:ilvl="0" w:tplc="9216D4D6">
      <w:start w:val="1"/>
      <w:numFmt w:val="bullet"/>
      <w:lvlText w:val=""/>
      <w:lvlJc w:val="left"/>
      <w:pPr>
        <w:ind w:left="720" w:hanging="360"/>
      </w:pPr>
      <w:rPr>
        <w:rFonts w:ascii="Symbol" w:hAnsi="Symbol" w:hint="default"/>
        <w:sz w:val="22"/>
      </w:rPr>
    </w:lvl>
    <w:lvl w:ilvl="1" w:tplc="C9963576" w:tentative="1">
      <w:start w:val="1"/>
      <w:numFmt w:val="bullet"/>
      <w:lvlText w:val="o"/>
      <w:lvlJc w:val="left"/>
      <w:pPr>
        <w:ind w:left="1440" w:hanging="360"/>
      </w:pPr>
      <w:rPr>
        <w:rFonts w:ascii="Courier New" w:hAnsi="Courier New" w:cs="Courier New" w:hint="default"/>
      </w:rPr>
    </w:lvl>
    <w:lvl w:ilvl="2" w:tplc="535EA15E" w:tentative="1">
      <w:start w:val="1"/>
      <w:numFmt w:val="bullet"/>
      <w:lvlText w:val=""/>
      <w:lvlJc w:val="left"/>
      <w:pPr>
        <w:ind w:left="2160" w:hanging="360"/>
      </w:pPr>
      <w:rPr>
        <w:rFonts w:ascii="Wingdings" w:hAnsi="Wingdings" w:hint="default"/>
      </w:rPr>
    </w:lvl>
    <w:lvl w:ilvl="3" w:tplc="2E40C992" w:tentative="1">
      <w:start w:val="1"/>
      <w:numFmt w:val="bullet"/>
      <w:lvlText w:val=""/>
      <w:lvlJc w:val="left"/>
      <w:pPr>
        <w:ind w:left="2880" w:hanging="360"/>
      </w:pPr>
      <w:rPr>
        <w:rFonts w:ascii="Symbol" w:hAnsi="Symbol" w:hint="default"/>
      </w:rPr>
    </w:lvl>
    <w:lvl w:ilvl="4" w:tplc="9816299E" w:tentative="1">
      <w:start w:val="1"/>
      <w:numFmt w:val="bullet"/>
      <w:lvlText w:val="o"/>
      <w:lvlJc w:val="left"/>
      <w:pPr>
        <w:ind w:left="3600" w:hanging="360"/>
      </w:pPr>
      <w:rPr>
        <w:rFonts w:ascii="Courier New" w:hAnsi="Courier New" w:cs="Courier New" w:hint="default"/>
      </w:rPr>
    </w:lvl>
    <w:lvl w:ilvl="5" w:tplc="D6F29E06" w:tentative="1">
      <w:start w:val="1"/>
      <w:numFmt w:val="bullet"/>
      <w:lvlText w:val=""/>
      <w:lvlJc w:val="left"/>
      <w:pPr>
        <w:ind w:left="4320" w:hanging="360"/>
      </w:pPr>
      <w:rPr>
        <w:rFonts w:ascii="Wingdings" w:hAnsi="Wingdings" w:hint="default"/>
      </w:rPr>
    </w:lvl>
    <w:lvl w:ilvl="6" w:tplc="B830AF1A" w:tentative="1">
      <w:start w:val="1"/>
      <w:numFmt w:val="bullet"/>
      <w:lvlText w:val=""/>
      <w:lvlJc w:val="left"/>
      <w:pPr>
        <w:ind w:left="5040" w:hanging="360"/>
      </w:pPr>
      <w:rPr>
        <w:rFonts w:ascii="Symbol" w:hAnsi="Symbol" w:hint="default"/>
      </w:rPr>
    </w:lvl>
    <w:lvl w:ilvl="7" w:tplc="0D54A3BA" w:tentative="1">
      <w:start w:val="1"/>
      <w:numFmt w:val="bullet"/>
      <w:lvlText w:val="o"/>
      <w:lvlJc w:val="left"/>
      <w:pPr>
        <w:ind w:left="5760" w:hanging="360"/>
      </w:pPr>
      <w:rPr>
        <w:rFonts w:ascii="Courier New" w:hAnsi="Courier New" w:cs="Courier New" w:hint="default"/>
      </w:rPr>
    </w:lvl>
    <w:lvl w:ilvl="8" w:tplc="B8DC57F6" w:tentative="1">
      <w:start w:val="1"/>
      <w:numFmt w:val="bullet"/>
      <w:lvlText w:val=""/>
      <w:lvlJc w:val="left"/>
      <w:pPr>
        <w:ind w:left="6480" w:hanging="360"/>
      </w:pPr>
      <w:rPr>
        <w:rFonts w:ascii="Wingdings" w:hAnsi="Wingdings" w:hint="default"/>
      </w:rPr>
    </w:lvl>
  </w:abstractNum>
  <w:abstractNum w:abstractNumId="95" w15:restartNumberingAfterBreak="0">
    <w:nsid w:val="55C955C0"/>
    <w:multiLevelType w:val="hybridMultilevel"/>
    <w:tmpl w:val="00BC80CC"/>
    <w:lvl w:ilvl="0" w:tplc="AF0A82BC">
      <w:start w:val="1"/>
      <w:numFmt w:val="bullet"/>
      <w:lvlText w:val=""/>
      <w:lvlJc w:val="left"/>
      <w:pPr>
        <w:tabs>
          <w:tab w:val="num" w:pos="720"/>
        </w:tabs>
        <w:ind w:left="720" w:hanging="360"/>
      </w:pPr>
      <w:rPr>
        <w:rFonts w:ascii="Symbol" w:hAnsi="Symbol" w:hint="default"/>
      </w:rPr>
    </w:lvl>
    <w:lvl w:ilvl="1" w:tplc="E536D014" w:tentative="1">
      <w:start w:val="1"/>
      <w:numFmt w:val="bullet"/>
      <w:lvlText w:val="o"/>
      <w:lvlJc w:val="left"/>
      <w:pPr>
        <w:tabs>
          <w:tab w:val="num" w:pos="1440"/>
        </w:tabs>
        <w:ind w:left="1440" w:hanging="360"/>
      </w:pPr>
      <w:rPr>
        <w:rFonts w:ascii="Courier New" w:hAnsi="Courier New" w:hint="default"/>
      </w:rPr>
    </w:lvl>
    <w:lvl w:ilvl="2" w:tplc="38EAF552" w:tentative="1">
      <w:start w:val="1"/>
      <w:numFmt w:val="bullet"/>
      <w:lvlText w:val=""/>
      <w:lvlJc w:val="left"/>
      <w:pPr>
        <w:tabs>
          <w:tab w:val="num" w:pos="2160"/>
        </w:tabs>
        <w:ind w:left="2160" w:hanging="360"/>
      </w:pPr>
      <w:rPr>
        <w:rFonts w:ascii="Wingdings" w:hAnsi="Wingdings" w:hint="default"/>
      </w:rPr>
    </w:lvl>
    <w:lvl w:ilvl="3" w:tplc="038436E4" w:tentative="1">
      <w:start w:val="1"/>
      <w:numFmt w:val="bullet"/>
      <w:lvlText w:val=""/>
      <w:lvlJc w:val="left"/>
      <w:pPr>
        <w:tabs>
          <w:tab w:val="num" w:pos="2880"/>
        </w:tabs>
        <w:ind w:left="2880" w:hanging="360"/>
      </w:pPr>
      <w:rPr>
        <w:rFonts w:ascii="Symbol" w:hAnsi="Symbol" w:hint="default"/>
      </w:rPr>
    </w:lvl>
    <w:lvl w:ilvl="4" w:tplc="223EF050" w:tentative="1">
      <w:start w:val="1"/>
      <w:numFmt w:val="bullet"/>
      <w:lvlText w:val="o"/>
      <w:lvlJc w:val="left"/>
      <w:pPr>
        <w:tabs>
          <w:tab w:val="num" w:pos="3600"/>
        </w:tabs>
        <w:ind w:left="3600" w:hanging="360"/>
      </w:pPr>
      <w:rPr>
        <w:rFonts w:ascii="Courier New" w:hAnsi="Courier New" w:hint="default"/>
      </w:rPr>
    </w:lvl>
    <w:lvl w:ilvl="5" w:tplc="B6DA71C4" w:tentative="1">
      <w:start w:val="1"/>
      <w:numFmt w:val="bullet"/>
      <w:lvlText w:val=""/>
      <w:lvlJc w:val="left"/>
      <w:pPr>
        <w:tabs>
          <w:tab w:val="num" w:pos="4320"/>
        </w:tabs>
        <w:ind w:left="4320" w:hanging="360"/>
      </w:pPr>
      <w:rPr>
        <w:rFonts w:ascii="Wingdings" w:hAnsi="Wingdings" w:hint="default"/>
      </w:rPr>
    </w:lvl>
    <w:lvl w:ilvl="6" w:tplc="0FB86B5C" w:tentative="1">
      <w:start w:val="1"/>
      <w:numFmt w:val="bullet"/>
      <w:lvlText w:val=""/>
      <w:lvlJc w:val="left"/>
      <w:pPr>
        <w:tabs>
          <w:tab w:val="num" w:pos="5040"/>
        </w:tabs>
        <w:ind w:left="5040" w:hanging="360"/>
      </w:pPr>
      <w:rPr>
        <w:rFonts w:ascii="Symbol" w:hAnsi="Symbol" w:hint="default"/>
      </w:rPr>
    </w:lvl>
    <w:lvl w:ilvl="7" w:tplc="469C3AEA" w:tentative="1">
      <w:start w:val="1"/>
      <w:numFmt w:val="bullet"/>
      <w:lvlText w:val="o"/>
      <w:lvlJc w:val="left"/>
      <w:pPr>
        <w:tabs>
          <w:tab w:val="num" w:pos="5760"/>
        </w:tabs>
        <w:ind w:left="5760" w:hanging="360"/>
      </w:pPr>
      <w:rPr>
        <w:rFonts w:ascii="Courier New" w:hAnsi="Courier New" w:hint="default"/>
      </w:rPr>
    </w:lvl>
    <w:lvl w:ilvl="8" w:tplc="AC4A09BE"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6007351"/>
    <w:multiLevelType w:val="hybridMultilevel"/>
    <w:tmpl w:val="6A9C6E94"/>
    <w:lvl w:ilvl="0" w:tplc="2912F474">
      <w:start w:val="1"/>
      <w:numFmt w:val="bullet"/>
      <w:lvlText w:val=""/>
      <w:lvlJc w:val="left"/>
      <w:pPr>
        <w:ind w:left="720" w:hanging="360"/>
      </w:pPr>
      <w:rPr>
        <w:rFonts w:ascii="Symbol" w:hAnsi="Symbol" w:hint="default"/>
        <w:sz w:val="22"/>
      </w:rPr>
    </w:lvl>
    <w:lvl w:ilvl="1" w:tplc="87322D1E" w:tentative="1">
      <w:start w:val="1"/>
      <w:numFmt w:val="bullet"/>
      <w:lvlText w:val="o"/>
      <w:lvlJc w:val="left"/>
      <w:pPr>
        <w:ind w:left="1440" w:hanging="360"/>
      </w:pPr>
      <w:rPr>
        <w:rFonts w:ascii="Courier New" w:hAnsi="Courier New" w:cs="Courier New" w:hint="default"/>
      </w:rPr>
    </w:lvl>
    <w:lvl w:ilvl="2" w:tplc="4CB8B042" w:tentative="1">
      <w:start w:val="1"/>
      <w:numFmt w:val="bullet"/>
      <w:lvlText w:val=""/>
      <w:lvlJc w:val="left"/>
      <w:pPr>
        <w:ind w:left="2160" w:hanging="360"/>
      </w:pPr>
      <w:rPr>
        <w:rFonts w:ascii="Wingdings" w:hAnsi="Wingdings" w:hint="default"/>
      </w:rPr>
    </w:lvl>
    <w:lvl w:ilvl="3" w:tplc="6A384AE0" w:tentative="1">
      <w:start w:val="1"/>
      <w:numFmt w:val="bullet"/>
      <w:lvlText w:val=""/>
      <w:lvlJc w:val="left"/>
      <w:pPr>
        <w:ind w:left="2880" w:hanging="360"/>
      </w:pPr>
      <w:rPr>
        <w:rFonts w:ascii="Symbol" w:hAnsi="Symbol" w:hint="default"/>
      </w:rPr>
    </w:lvl>
    <w:lvl w:ilvl="4" w:tplc="EA4CED5E" w:tentative="1">
      <w:start w:val="1"/>
      <w:numFmt w:val="bullet"/>
      <w:lvlText w:val="o"/>
      <w:lvlJc w:val="left"/>
      <w:pPr>
        <w:ind w:left="3600" w:hanging="360"/>
      </w:pPr>
      <w:rPr>
        <w:rFonts w:ascii="Courier New" w:hAnsi="Courier New" w:cs="Courier New" w:hint="default"/>
      </w:rPr>
    </w:lvl>
    <w:lvl w:ilvl="5" w:tplc="CA56ED58" w:tentative="1">
      <w:start w:val="1"/>
      <w:numFmt w:val="bullet"/>
      <w:lvlText w:val=""/>
      <w:lvlJc w:val="left"/>
      <w:pPr>
        <w:ind w:left="4320" w:hanging="360"/>
      </w:pPr>
      <w:rPr>
        <w:rFonts w:ascii="Wingdings" w:hAnsi="Wingdings" w:hint="default"/>
      </w:rPr>
    </w:lvl>
    <w:lvl w:ilvl="6" w:tplc="D6ECAB0A" w:tentative="1">
      <w:start w:val="1"/>
      <w:numFmt w:val="bullet"/>
      <w:lvlText w:val=""/>
      <w:lvlJc w:val="left"/>
      <w:pPr>
        <w:ind w:left="5040" w:hanging="360"/>
      </w:pPr>
      <w:rPr>
        <w:rFonts w:ascii="Symbol" w:hAnsi="Symbol" w:hint="default"/>
      </w:rPr>
    </w:lvl>
    <w:lvl w:ilvl="7" w:tplc="545E3616" w:tentative="1">
      <w:start w:val="1"/>
      <w:numFmt w:val="bullet"/>
      <w:lvlText w:val="o"/>
      <w:lvlJc w:val="left"/>
      <w:pPr>
        <w:ind w:left="5760" w:hanging="360"/>
      </w:pPr>
      <w:rPr>
        <w:rFonts w:ascii="Courier New" w:hAnsi="Courier New" w:cs="Courier New" w:hint="default"/>
      </w:rPr>
    </w:lvl>
    <w:lvl w:ilvl="8" w:tplc="323CA922" w:tentative="1">
      <w:start w:val="1"/>
      <w:numFmt w:val="bullet"/>
      <w:lvlText w:val=""/>
      <w:lvlJc w:val="left"/>
      <w:pPr>
        <w:ind w:left="6480" w:hanging="360"/>
      </w:pPr>
      <w:rPr>
        <w:rFonts w:ascii="Wingdings" w:hAnsi="Wingdings" w:hint="default"/>
      </w:rPr>
    </w:lvl>
  </w:abstractNum>
  <w:abstractNum w:abstractNumId="97" w15:restartNumberingAfterBreak="0">
    <w:nsid w:val="567B0223"/>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98" w15:restartNumberingAfterBreak="0">
    <w:nsid w:val="56E722A1"/>
    <w:multiLevelType w:val="hybridMultilevel"/>
    <w:tmpl w:val="01F0B2E2"/>
    <w:lvl w:ilvl="0" w:tplc="48F2F7D0">
      <w:start w:val="1"/>
      <w:numFmt w:val="bullet"/>
      <w:lvlText w:val=""/>
      <w:lvlJc w:val="left"/>
      <w:pPr>
        <w:tabs>
          <w:tab w:val="num" w:pos="567"/>
        </w:tabs>
        <w:ind w:left="567" w:hanging="567"/>
      </w:pPr>
      <w:rPr>
        <w:rFonts w:ascii="Symbol" w:hAnsi="Symbol" w:hint="default"/>
      </w:rPr>
    </w:lvl>
    <w:lvl w:ilvl="1" w:tplc="A4780CD4">
      <w:start w:val="1"/>
      <w:numFmt w:val="bullet"/>
      <w:lvlText w:val="o"/>
      <w:lvlJc w:val="left"/>
      <w:pPr>
        <w:tabs>
          <w:tab w:val="num" w:pos="1440"/>
        </w:tabs>
        <w:ind w:left="1440" w:hanging="360"/>
      </w:pPr>
      <w:rPr>
        <w:rFonts w:ascii="Courier New" w:hAnsi="Courier New" w:hint="default"/>
      </w:rPr>
    </w:lvl>
    <w:lvl w:ilvl="2" w:tplc="9D02CD48">
      <w:start w:val="1"/>
      <w:numFmt w:val="bullet"/>
      <w:lvlText w:val=""/>
      <w:lvlJc w:val="left"/>
      <w:pPr>
        <w:tabs>
          <w:tab w:val="num" w:pos="2160"/>
        </w:tabs>
        <w:ind w:left="2160" w:hanging="360"/>
      </w:pPr>
      <w:rPr>
        <w:rFonts w:ascii="Wingdings" w:hAnsi="Wingdings" w:hint="default"/>
      </w:rPr>
    </w:lvl>
    <w:lvl w:ilvl="3" w:tplc="C6D6941E" w:tentative="1">
      <w:start w:val="1"/>
      <w:numFmt w:val="bullet"/>
      <w:lvlText w:val=""/>
      <w:lvlJc w:val="left"/>
      <w:pPr>
        <w:tabs>
          <w:tab w:val="num" w:pos="2880"/>
        </w:tabs>
        <w:ind w:left="2880" w:hanging="360"/>
      </w:pPr>
      <w:rPr>
        <w:rFonts w:ascii="Symbol" w:hAnsi="Symbol" w:hint="default"/>
      </w:rPr>
    </w:lvl>
    <w:lvl w:ilvl="4" w:tplc="B146614C" w:tentative="1">
      <w:start w:val="1"/>
      <w:numFmt w:val="bullet"/>
      <w:lvlText w:val="o"/>
      <w:lvlJc w:val="left"/>
      <w:pPr>
        <w:tabs>
          <w:tab w:val="num" w:pos="3600"/>
        </w:tabs>
        <w:ind w:left="3600" w:hanging="360"/>
      </w:pPr>
      <w:rPr>
        <w:rFonts w:ascii="Courier New" w:hAnsi="Courier New" w:hint="default"/>
      </w:rPr>
    </w:lvl>
    <w:lvl w:ilvl="5" w:tplc="340E6010" w:tentative="1">
      <w:start w:val="1"/>
      <w:numFmt w:val="bullet"/>
      <w:lvlText w:val=""/>
      <w:lvlJc w:val="left"/>
      <w:pPr>
        <w:tabs>
          <w:tab w:val="num" w:pos="4320"/>
        </w:tabs>
        <w:ind w:left="4320" w:hanging="360"/>
      </w:pPr>
      <w:rPr>
        <w:rFonts w:ascii="Wingdings" w:hAnsi="Wingdings" w:hint="default"/>
      </w:rPr>
    </w:lvl>
    <w:lvl w:ilvl="6" w:tplc="DE96B87A" w:tentative="1">
      <w:start w:val="1"/>
      <w:numFmt w:val="bullet"/>
      <w:lvlText w:val=""/>
      <w:lvlJc w:val="left"/>
      <w:pPr>
        <w:tabs>
          <w:tab w:val="num" w:pos="5040"/>
        </w:tabs>
        <w:ind w:left="5040" w:hanging="360"/>
      </w:pPr>
      <w:rPr>
        <w:rFonts w:ascii="Symbol" w:hAnsi="Symbol" w:hint="default"/>
      </w:rPr>
    </w:lvl>
    <w:lvl w:ilvl="7" w:tplc="D9FC3AAE" w:tentative="1">
      <w:start w:val="1"/>
      <w:numFmt w:val="bullet"/>
      <w:lvlText w:val="o"/>
      <w:lvlJc w:val="left"/>
      <w:pPr>
        <w:tabs>
          <w:tab w:val="num" w:pos="5760"/>
        </w:tabs>
        <w:ind w:left="5760" w:hanging="360"/>
      </w:pPr>
      <w:rPr>
        <w:rFonts w:ascii="Courier New" w:hAnsi="Courier New" w:hint="default"/>
      </w:rPr>
    </w:lvl>
    <w:lvl w:ilvl="8" w:tplc="8ED2A580"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7924054"/>
    <w:multiLevelType w:val="hybridMultilevel"/>
    <w:tmpl w:val="2834A3F4"/>
    <w:lvl w:ilvl="0" w:tplc="C20AB332">
      <w:start w:val="1"/>
      <w:numFmt w:val="lowerLetter"/>
      <w:lvlText w:val="%1"/>
      <w:lvlJc w:val="left"/>
      <w:pPr>
        <w:ind w:left="404" w:hanging="360"/>
      </w:pPr>
      <w:rPr>
        <w:rFonts w:hint="default"/>
        <w:sz w:val="16"/>
        <w:szCs w:val="16"/>
        <w:vertAlign w:val="superscript"/>
      </w:rPr>
    </w:lvl>
    <w:lvl w:ilvl="1" w:tplc="3C34E140">
      <w:start w:val="1"/>
      <w:numFmt w:val="lowerLetter"/>
      <w:lvlText w:val="%2."/>
      <w:lvlJc w:val="left"/>
      <w:pPr>
        <w:ind w:left="1124" w:hanging="360"/>
      </w:pPr>
    </w:lvl>
    <w:lvl w:ilvl="2" w:tplc="F0686A0E" w:tentative="1">
      <w:start w:val="1"/>
      <w:numFmt w:val="lowerRoman"/>
      <w:lvlText w:val="%3."/>
      <w:lvlJc w:val="right"/>
      <w:pPr>
        <w:ind w:left="1844" w:hanging="180"/>
      </w:pPr>
    </w:lvl>
    <w:lvl w:ilvl="3" w:tplc="2DDA771A" w:tentative="1">
      <w:start w:val="1"/>
      <w:numFmt w:val="decimal"/>
      <w:lvlText w:val="%4."/>
      <w:lvlJc w:val="left"/>
      <w:pPr>
        <w:ind w:left="2564" w:hanging="360"/>
      </w:pPr>
    </w:lvl>
    <w:lvl w:ilvl="4" w:tplc="A08A496A" w:tentative="1">
      <w:start w:val="1"/>
      <w:numFmt w:val="lowerLetter"/>
      <w:lvlText w:val="%5."/>
      <w:lvlJc w:val="left"/>
      <w:pPr>
        <w:ind w:left="3284" w:hanging="360"/>
      </w:pPr>
    </w:lvl>
    <w:lvl w:ilvl="5" w:tplc="CFDA5ACE" w:tentative="1">
      <w:start w:val="1"/>
      <w:numFmt w:val="lowerRoman"/>
      <w:lvlText w:val="%6."/>
      <w:lvlJc w:val="right"/>
      <w:pPr>
        <w:ind w:left="4004" w:hanging="180"/>
      </w:pPr>
    </w:lvl>
    <w:lvl w:ilvl="6" w:tplc="E5AEFBD6" w:tentative="1">
      <w:start w:val="1"/>
      <w:numFmt w:val="decimal"/>
      <w:lvlText w:val="%7."/>
      <w:lvlJc w:val="left"/>
      <w:pPr>
        <w:ind w:left="4724" w:hanging="360"/>
      </w:pPr>
    </w:lvl>
    <w:lvl w:ilvl="7" w:tplc="092E9338" w:tentative="1">
      <w:start w:val="1"/>
      <w:numFmt w:val="lowerLetter"/>
      <w:lvlText w:val="%8."/>
      <w:lvlJc w:val="left"/>
      <w:pPr>
        <w:ind w:left="5444" w:hanging="360"/>
      </w:pPr>
    </w:lvl>
    <w:lvl w:ilvl="8" w:tplc="681EDD32" w:tentative="1">
      <w:start w:val="1"/>
      <w:numFmt w:val="lowerRoman"/>
      <w:lvlText w:val="%9."/>
      <w:lvlJc w:val="right"/>
      <w:pPr>
        <w:ind w:left="6164" w:hanging="180"/>
      </w:pPr>
    </w:lvl>
  </w:abstractNum>
  <w:abstractNum w:abstractNumId="100" w15:restartNumberingAfterBreak="0">
    <w:nsid w:val="5A1F2ED9"/>
    <w:multiLevelType w:val="hybridMultilevel"/>
    <w:tmpl w:val="A8FEB18E"/>
    <w:lvl w:ilvl="0" w:tplc="C0AE5934">
      <w:start w:val="1"/>
      <w:numFmt w:val="bullet"/>
      <w:lvlText w:val=""/>
      <w:lvlJc w:val="left"/>
      <w:pPr>
        <w:tabs>
          <w:tab w:val="num" w:pos="720"/>
        </w:tabs>
        <w:ind w:left="720" w:hanging="360"/>
      </w:pPr>
      <w:rPr>
        <w:rFonts w:ascii="Symbol" w:hAnsi="Symbol" w:hint="default"/>
      </w:rPr>
    </w:lvl>
    <w:lvl w:ilvl="1" w:tplc="9F74A2C0" w:tentative="1">
      <w:start w:val="1"/>
      <w:numFmt w:val="bullet"/>
      <w:lvlText w:val="o"/>
      <w:lvlJc w:val="left"/>
      <w:pPr>
        <w:tabs>
          <w:tab w:val="num" w:pos="1440"/>
        </w:tabs>
        <w:ind w:left="1440" w:hanging="360"/>
      </w:pPr>
      <w:rPr>
        <w:rFonts w:ascii="Courier New" w:hAnsi="Courier New" w:cs="Courier New" w:hint="default"/>
      </w:rPr>
    </w:lvl>
    <w:lvl w:ilvl="2" w:tplc="29E0CE0A" w:tentative="1">
      <w:start w:val="1"/>
      <w:numFmt w:val="bullet"/>
      <w:lvlText w:val=""/>
      <w:lvlJc w:val="left"/>
      <w:pPr>
        <w:tabs>
          <w:tab w:val="num" w:pos="2160"/>
        </w:tabs>
        <w:ind w:left="2160" w:hanging="360"/>
      </w:pPr>
      <w:rPr>
        <w:rFonts w:ascii="Wingdings" w:hAnsi="Wingdings" w:hint="default"/>
      </w:rPr>
    </w:lvl>
    <w:lvl w:ilvl="3" w:tplc="E432E7EC" w:tentative="1">
      <w:start w:val="1"/>
      <w:numFmt w:val="bullet"/>
      <w:lvlText w:val=""/>
      <w:lvlJc w:val="left"/>
      <w:pPr>
        <w:tabs>
          <w:tab w:val="num" w:pos="2880"/>
        </w:tabs>
        <w:ind w:left="2880" w:hanging="360"/>
      </w:pPr>
      <w:rPr>
        <w:rFonts w:ascii="Symbol" w:hAnsi="Symbol" w:hint="default"/>
      </w:rPr>
    </w:lvl>
    <w:lvl w:ilvl="4" w:tplc="D65C4830" w:tentative="1">
      <w:start w:val="1"/>
      <w:numFmt w:val="bullet"/>
      <w:lvlText w:val="o"/>
      <w:lvlJc w:val="left"/>
      <w:pPr>
        <w:tabs>
          <w:tab w:val="num" w:pos="3600"/>
        </w:tabs>
        <w:ind w:left="3600" w:hanging="360"/>
      </w:pPr>
      <w:rPr>
        <w:rFonts w:ascii="Courier New" w:hAnsi="Courier New" w:cs="Courier New" w:hint="default"/>
      </w:rPr>
    </w:lvl>
    <w:lvl w:ilvl="5" w:tplc="D5FA87B8" w:tentative="1">
      <w:start w:val="1"/>
      <w:numFmt w:val="bullet"/>
      <w:lvlText w:val=""/>
      <w:lvlJc w:val="left"/>
      <w:pPr>
        <w:tabs>
          <w:tab w:val="num" w:pos="4320"/>
        </w:tabs>
        <w:ind w:left="4320" w:hanging="360"/>
      </w:pPr>
      <w:rPr>
        <w:rFonts w:ascii="Wingdings" w:hAnsi="Wingdings" w:hint="default"/>
      </w:rPr>
    </w:lvl>
    <w:lvl w:ilvl="6" w:tplc="246E0BE6" w:tentative="1">
      <w:start w:val="1"/>
      <w:numFmt w:val="bullet"/>
      <w:lvlText w:val=""/>
      <w:lvlJc w:val="left"/>
      <w:pPr>
        <w:tabs>
          <w:tab w:val="num" w:pos="5040"/>
        </w:tabs>
        <w:ind w:left="5040" w:hanging="360"/>
      </w:pPr>
      <w:rPr>
        <w:rFonts w:ascii="Symbol" w:hAnsi="Symbol" w:hint="default"/>
      </w:rPr>
    </w:lvl>
    <w:lvl w:ilvl="7" w:tplc="C6961050" w:tentative="1">
      <w:start w:val="1"/>
      <w:numFmt w:val="bullet"/>
      <w:lvlText w:val="o"/>
      <w:lvlJc w:val="left"/>
      <w:pPr>
        <w:tabs>
          <w:tab w:val="num" w:pos="5760"/>
        </w:tabs>
        <w:ind w:left="5760" w:hanging="360"/>
      </w:pPr>
      <w:rPr>
        <w:rFonts w:ascii="Courier New" w:hAnsi="Courier New" w:cs="Courier New" w:hint="default"/>
      </w:rPr>
    </w:lvl>
    <w:lvl w:ilvl="8" w:tplc="3AE00B1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A704D95"/>
    <w:multiLevelType w:val="hybridMultilevel"/>
    <w:tmpl w:val="1F3474B8"/>
    <w:lvl w:ilvl="0" w:tplc="9264AD38">
      <w:start w:val="1"/>
      <w:numFmt w:val="lowerLetter"/>
      <w:lvlText w:val="%1"/>
      <w:lvlJc w:val="left"/>
      <w:pPr>
        <w:ind w:left="360" w:hanging="360"/>
      </w:pPr>
      <w:rPr>
        <w:rFonts w:hint="default"/>
        <w:sz w:val="16"/>
        <w:szCs w:val="16"/>
        <w:vertAlign w:val="superscript"/>
      </w:rPr>
    </w:lvl>
    <w:lvl w:ilvl="1" w:tplc="DC8C643C" w:tentative="1">
      <w:start w:val="1"/>
      <w:numFmt w:val="lowerLetter"/>
      <w:lvlText w:val="%2."/>
      <w:lvlJc w:val="left"/>
      <w:pPr>
        <w:ind w:left="1080" w:hanging="360"/>
      </w:pPr>
    </w:lvl>
    <w:lvl w:ilvl="2" w:tplc="E3885538" w:tentative="1">
      <w:start w:val="1"/>
      <w:numFmt w:val="lowerRoman"/>
      <w:lvlText w:val="%3."/>
      <w:lvlJc w:val="right"/>
      <w:pPr>
        <w:ind w:left="1800" w:hanging="180"/>
      </w:pPr>
    </w:lvl>
    <w:lvl w:ilvl="3" w:tplc="E0F0FE2E" w:tentative="1">
      <w:start w:val="1"/>
      <w:numFmt w:val="decimal"/>
      <w:lvlText w:val="%4."/>
      <w:lvlJc w:val="left"/>
      <w:pPr>
        <w:ind w:left="2520" w:hanging="360"/>
      </w:pPr>
    </w:lvl>
    <w:lvl w:ilvl="4" w:tplc="E0C6C68E" w:tentative="1">
      <w:start w:val="1"/>
      <w:numFmt w:val="lowerLetter"/>
      <w:lvlText w:val="%5."/>
      <w:lvlJc w:val="left"/>
      <w:pPr>
        <w:ind w:left="3240" w:hanging="360"/>
      </w:pPr>
    </w:lvl>
    <w:lvl w:ilvl="5" w:tplc="BC9681AA" w:tentative="1">
      <w:start w:val="1"/>
      <w:numFmt w:val="lowerRoman"/>
      <w:lvlText w:val="%6."/>
      <w:lvlJc w:val="right"/>
      <w:pPr>
        <w:ind w:left="3960" w:hanging="180"/>
      </w:pPr>
    </w:lvl>
    <w:lvl w:ilvl="6" w:tplc="FB28CD60" w:tentative="1">
      <w:start w:val="1"/>
      <w:numFmt w:val="decimal"/>
      <w:lvlText w:val="%7."/>
      <w:lvlJc w:val="left"/>
      <w:pPr>
        <w:ind w:left="4680" w:hanging="360"/>
      </w:pPr>
    </w:lvl>
    <w:lvl w:ilvl="7" w:tplc="55A87398" w:tentative="1">
      <w:start w:val="1"/>
      <w:numFmt w:val="lowerLetter"/>
      <w:lvlText w:val="%8."/>
      <w:lvlJc w:val="left"/>
      <w:pPr>
        <w:ind w:left="5400" w:hanging="360"/>
      </w:pPr>
    </w:lvl>
    <w:lvl w:ilvl="8" w:tplc="240AFC98" w:tentative="1">
      <w:start w:val="1"/>
      <w:numFmt w:val="lowerRoman"/>
      <w:lvlText w:val="%9."/>
      <w:lvlJc w:val="right"/>
      <w:pPr>
        <w:ind w:left="6120" w:hanging="180"/>
      </w:pPr>
    </w:lvl>
  </w:abstractNum>
  <w:abstractNum w:abstractNumId="102" w15:restartNumberingAfterBreak="0">
    <w:nsid w:val="5B702AC6"/>
    <w:multiLevelType w:val="hybridMultilevel"/>
    <w:tmpl w:val="342CF0A2"/>
    <w:lvl w:ilvl="0" w:tplc="E61668B8">
      <w:start w:val="1"/>
      <w:numFmt w:val="bullet"/>
      <w:lvlText w:val=""/>
      <w:lvlJc w:val="left"/>
      <w:pPr>
        <w:ind w:left="720" w:hanging="360"/>
      </w:pPr>
      <w:rPr>
        <w:rFonts w:ascii="Symbol" w:hAnsi="Symbol" w:hint="default"/>
      </w:rPr>
    </w:lvl>
    <w:lvl w:ilvl="1" w:tplc="C2306320" w:tentative="1">
      <w:start w:val="1"/>
      <w:numFmt w:val="bullet"/>
      <w:lvlText w:val="o"/>
      <w:lvlJc w:val="left"/>
      <w:pPr>
        <w:ind w:left="1440" w:hanging="360"/>
      </w:pPr>
      <w:rPr>
        <w:rFonts w:ascii="Courier New" w:hAnsi="Courier New" w:cs="Courier New" w:hint="default"/>
      </w:rPr>
    </w:lvl>
    <w:lvl w:ilvl="2" w:tplc="32346D02" w:tentative="1">
      <w:start w:val="1"/>
      <w:numFmt w:val="bullet"/>
      <w:lvlText w:val=""/>
      <w:lvlJc w:val="left"/>
      <w:pPr>
        <w:ind w:left="2160" w:hanging="360"/>
      </w:pPr>
      <w:rPr>
        <w:rFonts w:ascii="Wingdings" w:hAnsi="Wingdings" w:hint="default"/>
      </w:rPr>
    </w:lvl>
    <w:lvl w:ilvl="3" w:tplc="53D80D72" w:tentative="1">
      <w:start w:val="1"/>
      <w:numFmt w:val="bullet"/>
      <w:lvlText w:val=""/>
      <w:lvlJc w:val="left"/>
      <w:pPr>
        <w:ind w:left="2880" w:hanging="360"/>
      </w:pPr>
      <w:rPr>
        <w:rFonts w:ascii="Symbol" w:hAnsi="Symbol" w:hint="default"/>
      </w:rPr>
    </w:lvl>
    <w:lvl w:ilvl="4" w:tplc="4860FCD6" w:tentative="1">
      <w:start w:val="1"/>
      <w:numFmt w:val="bullet"/>
      <w:lvlText w:val="o"/>
      <w:lvlJc w:val="left"/>
      <w:pPr>
        <w:ind w:left="3600" w:hanging="360"/>
      </w:pPr>
      <w:rPr>
        <w:rFonts w:ascii="Courier New" w:hAnsi="Courier New" w:cs="Courier New" w:hint="default"/>
      </w:rPr>
    </w:lvl>
    <w:lvl w:ilvl="5" w:tplc="488688CA" w:tentative="1">
      <w:start w:val="1"/>
      <w:numFmt w:val="bullet"/>
      <w:lvlText w:val=""/>
      <w:lvlJc w:val="left"/>
      <w:pPr>
        <w:ind w:left="4320" w:hanging="360"/>
      </w:pPr>
      <w:rPr>
        <w:rFonts w:ascii="Wingdings" w:hAnsi="Wingdings" w:hint="default"/>
      </w:rPr>
    </w:lvl>
    <w:lvl w:ilvl="6" w:tplc="4D32DBC0" w:tentative="1">
      <w:start w:val="1"/>
      <w:numFmt w:val="bullet"/>
      <w:lvlText w:val=""/>
      <w:lvlJc w:val="left"/>
      <w:pPr>
        <w:ind w:left="5040" w:hanging="360"/>
      </w:pPr>
      <w:rPr>
        <w:rFonts w:ascii="Symbol" w:hAnsi="Symbol" w:hint="default"/>
      </w:rPr>
    </w:lvl>
    <w:lvl w:ilvl="7" w:tplc="EAB480D8" w:tentative="1">
      <w:start w:val="1"/>
      <w:numFmt w:val="bullet"/>
      <w:lvlText w:val="o"/>
      <w:lvlJc w:val="left"/>
      <w:pPr>
        <w:ind w:left="5760" w:hanging="360"/>
      </w:pPr>
      <w:rPr>
        <w:rFonts w:ascii="Courier New" w:hAnsi="Courier New" w:cs="Courier New" w:hint="default"/>
      </w:rPr>
    </w:lvl>
    <w:lvl w:ilvl="8" w:tplc="850CAB90" w:tentative="1">
      <w:start w:val="1"/>
      <w:numFmt w:val="bullet"/>
      <w:lvlText w:val=""/>
      <w:lvlJc w:val="left"/>
      <w:pPr>
        <w:ind w:left="6480" w:hanging="360"/>
      </w:pPr>
      <w:rPr>
        <w:rFonts w:ascii="Wingdings" w:hAnsi="Wingdings" w:hint="default"/>
      </w:rPr>
    </w:lvl>
  </w:abstractNum>
  <w:abstractNum w:abstractNumId="103" w15:restartNumberingAfterBreak="0">
    <w:nsid w:val="5C2E0DDC"/>
    <w:multiLevelType w:val="hybridMultilevel"/>
    <w:tmpl w:val="01F0B2E2"/>
    <w:lvl w:ilvl="0" w:tplc="489608E6">
      <w:start w:val="1"/>
      <w:numFmt w:val="bullet"/>
      <w:lvlText w:val=""/>
      <w:lvlJc w:val="left"/>
      <w:pPr>
        <w:tabs>
          <w:tab w:val="num" w:pos="567"/>
        </w:tabs>
        <w:ind w:left="567" w:hanging="567"/>
      </w:pPr>
      <w:rPr>
        <w:rFonts w:ascii="Symbol" w:hAnsi="Symbol" w:hint="default"/>
      </w:rPr>
    </w:lvl>
    <w:lvl w:ilvl="1" w:tplc="DF4C0FF4">
      <w:start w:val="1"/>
      <w:numFmt w:val="bullet"/>
      <w:lvlText w:val="o"/>
      <w:lvlJc w:val="left"/>
      <w:pPr>
        <w:tabs>
          <w:tab w:val="num" w:pos="1440"/>
        </w:tabs>
        <w:ind w:left="1440" w:hanging="360"/>
      </w:pPr>
      <w:rPr>
        <w:rFonts w:ascii="Courier New" w:hAnsi="Courier New" w:hint="default"/>
      </w:rPr>
    </w:lvl>
    <w:lvl w:ilvl="2" w:tplc="4FE0CD9A">
      <w:start w:val="1"/>
      <w:numFmt w:val="bullet"/>
      <w:lvlText w:val=""/>
      <w:lvlJc w:val="left"/>
      <w:pPr>
        <w:tabs>
          <w:tab w:val="num" w:pos="2160"/>
        </w:tabs>
        <w:ind w:left="2160" w:hanging="360"/>
      </w:pPr>
      <w:rPr>
        <w:rFonts w:ascii="Wingdings" w:hAnsi="Wingdings" w:hint="default"/>
      </w:rPr>
    </w:lvl>
    <w:lvl w:ilvl="3" w:tplc="0F9E9D78" w:tentative="1">
      <w:start w:val="1"/>
      <w:numFmt w:val="bullet"/>
      <w:lvlText w:val=""/>
      <w:lvlJc w:val="left"/>
      <w:pPr>
        <w:tabs>
          <w:tab w:val="num" w:pos="2880"/>
        </w:tabs>
        <w:ind w:left="2880" w:hanging="360"/>
      </w:pPr>
      <w:rPr>
        <w:rFonts w:ascii="Symbol" w:hAnsi="Symbol" w:hint="default"/>
      </w:rPr>
    </w:lvl>
    <w:lvl w:ilvl="4" w:tplc="9D5E94AA" w:tentative="1">
      <w:start w:val="1"/>
      <w:numFmt w:val="bullet"/>
      <w:lvlText w:val="o"/>
      <w:lvlJc w:val="left"/>
      <w:pPr>
        <w:tabs>
          <w:tab w:val="num" w:pos="3600"/>
        </w:tabs>
        <w:ind w:left="3600" w:hanging="360"/>
      </w:pPr>
      <w:rPr>
        <w:rFonts w:ascii="Courier New" w:hAnsi="Courier New" w:hint="default"/>
      </w:rPr>
    </w:lvl>
    <w:lvl w:ilvl="5" w:tplc="DC9AA766" w:tentative="1">
      <w:start w:val="1"/>
      <w:numFmt w:val="bullet"/>
      <w:lvlText w:val=""/>
      <w:lvlJc w:val="left"/>
      <w:pPr>
        <w:tabs>
          <w:tab w:val="num" w:pos="4320"/>
        </w:tabs>
        <w:ind w:left="4320" w:hanging="360"/>
      </w:pPr>
      <w:rPr>
        <w:rFonts w:ascii="Wingdings" w:hAnsi="Wingdings" w:hint="default"/>
      </w:rPr>
    </w:lvl>
    <w:lvl w:ilvl="6" w:tplc="6EB8E3B8" w:tentative="1">
      <w:start w:val="1"/>
      <w:numFmt w:val="bullet"/>
      <w:lvlText w:val=""/>
      <w:lvlJc w:val="left"/>
      <w:pPr>
        <w:tabs>
          <w:tab w:val="num" w:pos="5040"/>
        </w:tabs>
        <w:ind w:left="5040" w:hanging="360"/>
      </w:pPr>
      <w:rPr>
        <w:rFonts w:ascii="Symbol" w:hAnsi="Symbol" w:hint="default"/>
      </w:rPr>
    </w:lvl>
    <w:lvl w:ilvl="7" w:tplc="AF3AEB48" w:tentative="1">
      <w:start w:val="1"/>
      <w:numFmt w:val="bullet"/>
      <w:lvlText w:val="o"/>
      <w:lvlJc w:val="left"/>
      <w:pPr>
        <w:tabs>
          <w:tab w:val="num" w:pos="5760"/>
        </w:tabs>
        <w:ind w:left="5760" w:hanging="360"/>
      </w:pPr>
      <w:rPr>
        <w:rFonts w:ascii="Courier New" w:hAnsi="Courier New" w:hint="default"/>
      </w:rPr>
    </w:lvl>
    <w:lvl w:ilvl="8" w:tplc="E4D8AD6C"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C86589E"/>
    <w:multiLevelType w:val="hybridMultilevel"/>
    <w:tmpl w:val="E0049E8C"/>
    <w:lvl w:ilvl="0" w:tplc="1946F6DE">
      <w:start w:val="1"/>
      <w:numFmt w:val="decimal"/>
      <w:lvlText w:val="%1."/>
      <w:lvlJc w:val="left"/>
      <w:pPr>
        <w:tabs>
          <w:tab w:val="num" w:pos="720"/>
        </w:tabs>
        <w:ind w:left="720" w:hanging="360"/>
      </w:pPr>
      <w:rPr>
        <w:rFonts w:hint="default"/>
        <w:b/>
      </w:rPr>
    </w:lvl>
    <w:lvl w:ilvl="1" w:tplc="27E851CC" w:tentative="1">
      <w:start w:val="1"/>
      <w:numFmt w:val="lowerLetter"/>
      <w:lvlText w:val="%2."/>
      <w:lvlJc w:val="left"/>
      <w:pPr>
        <w:tabs>
          <w:tab w:val="num" w:pos="1440"/>
        </w:tabs>
        <w:ind w:left="1440" w:hanging="360"/>
      </w:pPr>
    </w:lvl>
    <w:lvl w:ilvl="2" w:tplc="61AA1950" w:tentative="1">
      <w:start w:val="1"/>
      <w:numFmt w:val="lowerRoman"/>
      <w:lvlText w:val="%3."/>
      <w:lvlJc w:val="right"/>
      <w:pPr>
        <w:tabs>
          <w:tab w:val="num" w:pos="2160"/>
        </w:tabs>
        <w:ind w:left="2160" w:hanging="180"/>
      </w:pPr>
    </w:lvl>
    <w:lvl w:ilvl="3" w:tplc="743C8E38" w:tentative="1">
      <w:start w:val="1"/>
      <w:numFmt w:val="decimal"/>
      <w:lvlText w:val="%4."/>
      <w:lvlJc w:val="left"/>
      <w:pPr>
        <w:tabs>
          <w:tab w:val="num" w:pos="2880"/>
        </w:tabs>
        <w:ind w:left="2880" w:hanging="360"/>
      </w:pPr>
    </w:lvl>
    <w:lvl w:ilvl="4" w:tplc="64523B7C" w:tentative="1">
      <w:start w:val="1"/>
      <w:numFmt w:val="lowerLetter"/>
      <w:lvlText w:val="%5."/>
      <w:lvlJc w:val="left"/>
      <w:pPr>
        <w:tabs>
          <w:tab w:val="num" w:pos="3600"/>
        </w:tabs>
        <w:ind w:left="3600" w:hanging="360"/>
      </w:pPr>
    </w:lvl>
    <w:lvl w:ilvl="5" w:tplc="8A96010A" w:tentative="1">
      <w:start w:val="1"/>
      <w:numFmt w:val="lowerRoman"/>
      <w:lvlText w:val="%6."/>
      <w:lvlJc w:val="right"/>
      <w:pPr>
        <w:tabs>
          <w:tab w:val="num" w:pos="4320"/>
        </w:tabs>
        <w:ind w:left="4320" w:hanging="180"/>
      </w:pPr>
    </w:lvl>
    <w:lvl w:ilvl="6" w:tplc="5394A6A2" w:tentative="1">
      <w:start w:val="1"/>
      <w:numFmt w:val="decimal"/>
      <w:lvlText w:val="%7."/>
      <w:lvlJc w:val="left"/>
      <w:pPr>
        <w:tabs>
          <w:tab w:val="num" w:pos="5040"/>
        </w:tabs>
        <w:ind w:left="5040" w:hanging="360"/>
      </w:pPr>
    </w:lvl>
    <w:lvl w:ilvl="7" w:tplc="1F80D336" w:tentative="1">
      <w:start w:val="1"/>
      <w:numFmt w:val="lowerLetter"/>
      <w:lvlText w:val="%8."/>
      <w:lvlJc w:val="left"/>
      <w:pPr>
        <w:tabs>
          <w:tab w:val="num" w:pos="5760"/>
        </w:tabs>
        <w:ind w:left="5760" w:hanging="360"/>
      </w:pPr>
    </w:lvl>
    <w:lvl w:ilvl="8" w:tplc="35C2D7BC" w:tentative="1">
      <w:start w:val="1"/>
      <w:numFmt w:val="lowerRoman"/>
      <w:lvlText w:val="%9."/>
      <w:lvlJc w:val="right"/>
      <w:pPr>
        <w:tabs>
          <w:tab w:val="num" w:pos="6480"/>
        </w:tabs>
        <w:ind w:left="6480" w:hanging="180"/>
      </w:pPr>
    </w:lvl>
  </w:abstractNum>
  <w:abstractNum w:abstractNumId="105"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06" w15:restartNumberingAfterBreak="0">
    <w:nsid w:val="5EA1069E"/>
    <w:multiLevelType w:val="hybridMultilevel"/>
    <w:tmpl w:val="59324C0C"/>
    <w:lvl w:ilvl="0" w:tplc="9DFC5EA6">
      <w:start w:val="1"/>
      <w:numFmt w:val="bullet"/>
      <w:lvlText w:val=""/>
      <w:lvlJc w:val="left"/>
      <w:pPr>
        <w:tabs>
          <w:tab w:val="num" w:pos="567"/>
        </w:tabs>
        <w:ind w:left="567" w:hanging="567"/>
      </w:pPr>
      <w:rPr>
        <w:rFonts w:ascii="Symbol" w:hAnsi="Symbol" w:hint="default"/>
      </w:rPr>
    </w:lvl>
    <w:lvl w:ilvl="1" w:tplc="A2EA6CC0" w:tentative="1">
      <w:start w:val="1"/>
      <w:numFmt w:val="bullet"/>
      <w:lvlText w:val="o"/>
      <w:lvlJc w:val="left"/>
      <w:pPr>
        <w:ind w:left="1500" w:hanging="360"/>
      </w:pPr>
      <w:rPr>
        <w:rFonts w:ascii="Courier New" w:hAnsi="Courier New" w:cs="Courier New" w:hint="default"/>
      </w:rPr>
    </w:lvl>
    <w:lvl w:ilvl="2" w:tplc="71845628" w:tentative="1">
      <w:start w:val="1"/>
      <w:numFmt w:val="bullet"/>
      <w:lvlText w:val=""/>
      <w:lvlJc w:val="left"/>
      <w:pPr>
        <w:ind w:left="2220" w:hanging="360"/>
      </w:pPr>
      <w:rPr>
        <w:rFonts w:ascii="Wingdings" w:hAnsi="Wingdings" w:hint="default"/>
      </w:rPr>
    </w:lvl>
    <w:lvl w:ilvl="3" w:tplc="AA66838A" w:tentative="1">
      <w:start w:val="1"/>
      <w:numFmt w:val="bullet"/>
      <w:lvlText w:val=""/>
      <w:lvlJc w:val="left"/>
      <w:pPr>
        <w:ind w:left="2940" w:hanging="360"/>
      </w:pPr>
      <w:rPr>
        <w:rFonts w:ascii="Symbol" w:hAnsi="Symbol" w:hint="default"/>
      </w:rPr>
    </w:lvl>
    <w:lvl w:ilvl="4" w:tplc="CED8C69C" w:tentative="1">
      <w:start w:val="1"/>
      <w:numFmt w:val="bullet"/>
      <w:lvlText w:val="o"/>
      <w:lvlJc w:val="left"/>
      <w:pPr>
        <w:ind w:left="3660" w:hanging="360"/>
      </w:pPr>
      <w:rPr>
        <w:rFonts w:ascii="Courier New" w:hAnsi="Courier New" w:cs="Courier New" w:hint="default"/>
      </w:rPr>
    </w:lvl>
    <w:lvl w:ilvl="5" w:tplc="C35403E2" w:tentative="1">
      <w:start w:val="1"/>
      <w:numFmt w:val="bullet"/>
      <w:lvlText w:val=""/>
      <w:lvlJc w:val="left"/>
      <w:pPr>
        <w:ind w:left="4380" w:hanging="360"/>
      </w:pPr>
      <w:rPr>
        <w:rFonts w:ascii="Wingdings" w:hAnsi="Wingdings" w:hint="default"/>
      </w:rPr>
    </w:lvl>
    <w:lvl w:ilvl="6" w:tplc="2D56A06A" w:tentative="1">
      <w:start w:val="1"/>
      <w:numFmt w:val="bullet"/>
      <w:lvlText w:val=""/>
      <w:lvlJc w:val="left"/>
      <w:pPr>
        <w:ind w:left="5100" w:hanging="360"/>
      </w:pPr>
      <w:rPr>
        <w:rFonts w:ascii="Symbol" w:hAnsi="Symbol" w:hint="default"/>
      </w:rPr>
    </w:lvl>
    <w:lvl w:ilvl="7" w:tplc="7282517A" w:tentative="1">
      <w:start w:val="1"/>
      <w:numFmt w:val="bullet"/>
      <w:lvlText w:val="o"/>
      <w:lvlJc w:val="left"/>
      <w:pPr>
        <w:ind w:left="5820" w:hanging="360"/>
      </w:pPr>
      <w:rPr>
        <w:rFonts w:ascii="Courier New" w:hAnsi="Courier New" w:cs="Courier New" w:hint="default"/>
      </w:rPr>
    </w:lvl>
    <w:lvl w:ilvl="8" w:tplc="284A0E24" w:tentative="1">
      <w:start w:val="1"/>
      <w:numFmt w:val="bullet"/>
      <w:lvlText w:val=""/>
      <w:lvlJc w:val="left"/>
      <w:pPr>
        <w:ind w:left="6540" w:hanging="360"/>
      </w:pPr>
      <w:rPr>
        <w:rFonts w:ascii="Wingdings" w:hAnsi="Wingdings" w:hint="default"/>
      </w:rPr>
    </w:lvl>
  </w:abstractNum>
  <w:abstractNum w:abstractNumId="107" w15:restartNumberingAfterBreak="0">
    <w:nsid w:val="5F3665CC"/>
    <w:multiLevelType w:val="hybridMultilevel"/>
    <w:tmpl w:val="1714E370"/>
    <w:lvl w:ilvl="0" w:tplc="B7722248">
      <w:start w:val="1"/>
      <w:numFmt w:val="bullet"/>
      <w:lvlText w:val=""/>
      <w:lvlJc w:val="left"/>
      <w:pPr>
        <w:tabs>
          <w:tab w:val="num" w:pos="720"/>
        </w:tabs>
        <w:ind w:left="720" w:hanging="360"/>
      </w:pPr>
      <w:rPr>
        <w:rFonts w:ascii="Symbol" w:hAnsi="Symbol" w:hint="default"/>
      </w:rPr>
    </w:lvl>
    <w:lvl w:ilvl="1" w:tplc="A542455A" w:tentative="1">
      <w:start w:val="1"/>
      <w:numFmt w:val="bullet"/>
      <w:lvlText w:val="o"/>
      <w:lvlJc w:val="left"/>
      <w:pPr>
        <w:tabs>
          <w:tab w:val="num" w:pos="1440"/>
        </w:tabs>
        <w:ind w:left="1440" w:hanging="360"/>
      </w:pPr>
      <w:rPr>
        <w:rFonts w:ascii="Courier New" w:hAnsi="Courier New" w:cs="Courier New" w:hint="default"/>
      </w:rPr>
    </w:lvl>
    <w:lvl w:ilvl="2" w:tplc="23746CEC" w:tentative="1">
      <w:start w:val="1"/>
      <w:numFmt w:val="bullet"/>
      <w:lvlText w:val=""/>
      <w:lvlJc w:val="left"/>
      <w:pPr>
        <w:tabs>
          <w:tab w:val="num" w:pos="2160"/>
        </w:tabs>
        <w:ind w:left="2160" w:hanging="360"/>
      </w:pPr>
      <w:rPr>
        <w:rFonts w:ascii="Wingdings" w:hAnsi="Wingdings" w:hint="default"/>
      </w:rPr>
    </w:lvl>
    <w:lvl w:ilvl="3" w:tplc="24E00344" w:tentative="1">
      <w:start w:val="1"/>
      <w:numFmt w:val="bullet"/>
      <w:lvlText w:val=""/>
      <w:lvlJc w:val="left"/>
      <w:pPr>
        <w:tabs>
          <w:tab w:val="num" w:pos="2880"/>
        </w:tabs>
        <w:ind w:left="2880" w:hanging="360"/>
      </w:pPr>
      <w:rPr>
        <w:rFonts w:ascii="Symbol" w:hAnsi="Symbol" w:hint="default"/>
      </w:rPr>
    </w:lvl>
    <w:lvl w:ilvl="4" w:tplc="91A626EC" w:tentative="1">
      <w:start w:val="1"/>
      <w:numFmt w:val="bullet"/>
      <w:lvlText w:val="o"/>
      <w:lvlJc w:val="left"/>
      <w:pPr>
        <w:tabs>
          <w:tab w:val="num" w:pos="3600"/>
        </w:tabs>
        <w:ind w:left="3600" w:hanging="360"/>
      </w:pPr>
      <w:rPr>
        <w:rFonts w:ascii="Courier New" w:hAnsi="Courier New" w:cs="Courier New" w:hint="default"/>
      </w:rPr>
    </w:lvl>
    <w:lvl w:ilvl="5" w:tplc="B5EA747E" w:tentative="1">
      <w:start w:val="1"/>
      <w:numFmt w:val="bullet"/>
      <w:lvlText w:val=""/>
      <w:lvlJc w:val="left"/>
      <w:pPr>
        <w:tabs>
          <w:tab w:val="num" w:pos="4320"/>
        </w:tabs>
        <w:ind w:left="4320" w:hanging="360"/>
      </w:pPr>
      <w:rPr>
        <w:rFonts w:ascii="Wingdings" w:hAnsi="Wingdings" w:hint="default"/>
      </w:rPr>
    </w:lvl>
    <w:lvl w:ilvl="6" w:tplc="A65C990A" w:tentative="1">
      <w:start w:val="1"/>
      <w:numFmt w:val="bullet"/>
      <w:lvlText w:val=""/>
      <w:lvlJc w:val="left"/>
      <w:pPr>
        <w:tabs>
          <w:tab w:val="num" w:pos="5040"/>
        </w:tabs>
        <w:ind w:left="5040" w:hanging="360"/>
      </w:pPr>
      <w:rPr>
        <w:rFonts w:ascii="Symbol" w:hAnsi="Symbol" w:hint="default"/>
      </w:rPr>
    </w:lvl>
    <w:lvl w:ilvl="7" w:tplc="8230F958" w:tentative="1">
      <w:start w:val="1"/>
      <w:numFmt w:val="bullet"/>
      <w:lvlText w:val="o"/>
      <w:lvlJc w:val="left"/>
      <w:pPr>
        <w:tabs>
          <w:tab w:val="num" w:pos="5760"/>
        </w:tabs>
        <w:ind w:left="5760" w:hanging="360"/>
      </w:pPr>
      <w:rPr>
        <w:rFonts w:ascii="Courier New" w:hAnsi="Courier New" w:cs="Courier New" w:hint="default"/>
      </w:rPr>
    </w:lvl>
    <w:lvl w:ilvl="8" w:tplc="464E8D24"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04A4668"/>
    <w:multiLevelType w:val="hybridMultilevel"/>
    <w:tmpl w:val="970AE1D4"/>
    <w:lvl w:ilvl="0" w:tplc="0F2EA96E">
      <w:start w:val="1"/>
      <w:numFmt w:val="bullet"/>
      <w:lvlText w:val=""/>
      <w:lvlJc w:val="left"/>
      <w:pPr>
        <w:ind w:left="720" w:hanging="360"/>
      </w:pPr>
      <w:rPr>
        <w:rFonts w:ascii="Symbol" w:hAnsi="Symbol" w:hint="default"/>
      </w:rPr>
    </w:lvl>
    <w:lvl w:ilvl="1" w:tplc="5BC897C8" w:tentative="1">
      <w:start w:val="1"/>
      <w:numFmt w:val="bullet"/>
      <w:lvlText w:val="o"/>
      <w:lvlJc w:val="left"/>
      <w:pPr>
        <w:ind w:left="1440" w:hanging="360"/>
      </w:pPr>
      <w:rPr>
        <w:rFonts w:ascii="Courier New" w:hAnsi="Courier New" w:cs="Courier New" w:hint="default"/>
      </w:rPr>
    </w:lvl>
    <w:lvl w:ilvl="2" w:tplc="4B928EC6" w:tentative="1">
      <w:start w:val="1"/>
      <w:numFmt w:val="bullet"/>
      <w:lvlText w:val=""/>
      <w:lvlJc w:val="left"/>
      <w:pPr>
        <w:ind w:left="2160" w:hanging="360"/>
      </w:pPr>
      <w:rPr>
        <w:rFonts w:ascii="Wingdings" w:hAnsi="Wingdings" w:hint="default"/>
      </w:rPr>
    </w:lvl>
    <w:lvl w:ilvl="3" w:tplc="E5AC9978" w:tentative="1">
      <w:start w:val="1"/>
      <w:numFmt w:val="bullet"/>
      <w:lvlText w:val=""/>
      <w:lvlJc w:val="left"/>
      <w:pPr>
        <w:ind w:left="2880" w:hanging="360"/>
      </w:pPr>
      <w:rPr>
        <w:rFonts w:ascii="Symbol" w:hAnsi="Symbol" w:hint="default"/>
      </w:rPr>
    </w:lvl>
    <w:lvl w:ilvl="4" w:tplc="223010FC" w:tentative="1">
      <w:start w:val="1"/>
      <w:numFmt w:val="bullet"/>
      <w:lvlText w:val="o"/>
      <w:lvlJc w:val="left"/>
      <w:pPr>
        <w:ind w:left="3600" w:hanging="360"/>
      </w:pPr>
      <w:rPr>
        <w:rFonts w:ascii="Courier New" w:hAnsi="Courier New" w:cs="Courier New" w:hint="default"/>
      </w:rPr>
    </w:lvl>
    <w:lvl w:ilvl="5" w:tplc="121C027E" w:tentative="1">
      <w:start w:val="1"/>
      <w:numFmt w:val="bullet"/>
      <w:lvlText w:val=""/>
      <w:lvlJc w:val="left"/>
      <w:pPr>
        <w:ind w:left="4320" w:hanging="360"/>
      </w:pPr>
      <w:rPr>
        <w:rFonts w:ascii="Wingdings" w:hAnsi="Wingdings" w:hint="default"/>
      </w:rPr>
    </w:lvl>
    <w:lvl w:ilvl="6" w:tplc="0314965E" w:tentative="1">
      <w:start w:val="1"/>
      <w:numFmt w:val="bullet"/>
      <w:lvlText w:val=""/>
      <w:lvlJc w:val="left"/>
      <w:pPr>
        <w:ind w:left="5040" w:hanging="360"/>
      </w:pPr>
      <w:rPr>
        <w:rFonts w:ascii="Symbol" w:hAnsi="Symbol" w:hint="default"/>
      </w:rPr>
    </w:lvl>
    <w:lvl w:ilvl="7" w:tplc="3416B4AA" w:tentative="1">
      <w:start w:val="1"/>
      <w:numFmt w:val="bullet"/>
      <w:lvlText w:val="o"/>
      <w:lvlJc w:val="left"/>
      <w:pPr>
        <w:ind w:left="5760" w:hanging="360"/>
      </w:pPr>
      <w:rPr>
        <w:rFonts w:ascii="Courier New" w:hAnsi="Courier New" w:cs="Courier New" w:hint="default"/>
      </w:rPr>
    </w:lvl>
    <w:lvl w:ilvl="8" w:tplc="87AAEE78" w:tentative="1">
      <w:start w:val="1"/>
      <w:numFmt w:val="bullet"/>
      <w:lvlText w:val=""/>
      <w:lvlJc w:val="left"/>
      <w:pPr>
        <w:ind w:left="6480" w:hanging="360"/>
      </w:pPr>
      <w:rPr>
        <w:rFonts w:ascii="Wingdings" w:hAnsi="Wingdings" w:hint="default"/>
      </w:rPr>
    </w:lvl>
  </w:abstractNum>
  <w:abstractNum w:abstractNumId="109" w15:restartNumberingAfterBreak="0">
    <w:nsid w:val="620053D3"/>
    <w:multiLevelType w:val="hybridMultilevel"/>
    <w:tmpl w:val="30E87AC2"/>
    <w:lvl w:ilvl="0" w:tplc="19E4C6E6">
      <w:start w:val="1"/>
      <w:numFmt w:val="bullet"/>
      <w:lvlText w:val=""/>
      <w:lvlJc w:val="left"/>
      <w:pPr>
        <w:tabs>
          <w:tab w:val="num" w:pos="720"/>
        </w:tabs>
        <w:ind w:left="720" w:hanging="360"/>
      </w:pPr>
      <w:rPr>
        <w:rFonts w:ascii="Symbol" w:hAnsi="Symbol" w:hint="default"/>
      </w:rPr>
    </w:lvl>
    <w:lvl w:ilvl="1" w:tplc="D904F292" w:tentative="1">
      <w:start w:val="1"/>
      <w:numFmt w:val="bullet"/>
      <w:lvlText w:val="o"/>
      <w:lvlJc w:val="left"/>
      <w:pPr>
        <w:tabs>
          <w:tab w:val="num" w:pos="1440"/>
        </w:tabs>
        <w:ind w:left="1440" w:hanging="360"/>
      </w:pPr>
      <w:rPr>
        <w:rFonts w:ascii="Courier New" w:hAnsi="Courier New" w:cs="Courier New" w:hint="default"/>
      </w:rPr>
    </w:lvl>
    <w:lvl w:ilvl="2" w:tplc="75689668" w:tentative="1">
      <w:start w:val="1"/>
      <w:numFmt w:val="bullet"/>
      <w:lvlText w:val=""/>
      <w:lvlJc w:val="left"/>
      <w:pPr>
        <w:tabs>
          <w:tab w:val="num" w:pos="2160"/>
        </w:tabs>
        <w:ind w:left="2160" w:hanging="360"/>
      </w:pPr>
      <w:rPr>
        <w:rFonts w:ascii="Wingdings" w:hAnsi="Wingdings" w:hint="default"/>
      </w:rPr>
    </w:lvl>
    <w:lvl w:ilvl="3" w:tplc="92847274" w:tentative="1">
      <w:start w:val="1"/>
      <w:numFmt w:val="bullet"/>
      <w:lvlText w:val=""/>
      <w:lvlJc w:val="left"/>
      <w:pPr>
        <w:tabs>
          <w:tab w:val="num" w:pos="2880"/>
        </w:tabs>
        <w:ind w:left="2880" w:hanging="360"/>
      </w:pPr>
      <w:rPr>
        <w:rFonts w:ascii="Symbol" w:hAnsi="Symbol" w:hint="default"/>
      </w:rPr>
    </w:lvl>
    <w:lvl w:ilvl="4" w:tplc="502C2D10" w:tentative="1">
      <w:start w:val="1"/>
      <w:numFmt w:val="bullet"/>
      <w:lvlText w:val="o"/>
      <w:lvlJc w:val="left"/>
      <w:pPr>
        <w:tabs>
          <w:tab w:val="num" w:pos="3600"/>
        </w:tabs>
        <w:ind w:left="3600" w:hanging="360"/>
      </w:pPr>
      <w:rPr>
        <w:rFonts w:ascii="Courier New" w:hAnsi="Courier New" w:cs="Courier New" w:hint="default"/>
      </w:rPr>
    </w:lvl>
    <w:lvl w:ilvl="5" w:tplc="4DBEE3CC" w:tentative="1">
      <w:start w:val="1"/>
      <w:numFmt w:val="bullet"/>
      <w:lvlText w:val=""/>
      <w:lvlJc w:val="left"/>
      <w:pPr>
        <w:tabs>
          <w:tab w:val="num" w:pos="4320"/>
        </w:tabs>
        <w:ind w:left="4320" w:hanging="360"/>
      </w:pPr>
      <w:rPr>
        <w:rFonts w:ascii="Wingdings" w:hAnsi="Wingdings" w:hint="default"/>
      </w:rPr>
    </w:lvl>
    <w:lvl w:ilvl="6" w:tplc="B852905E" w:tentative="1">
      <w:start w:val="1"/>
      <w:numFmt w:val="bullet"/>
      <w:lvlText w:val=""/>
      <w:lvlJc w:val="left"/>
      <w:pPr>
        <w:tabs>
          <w:tab w:val="num" w:pos="5040"/>
        </w:tabs>
        <w:ind w:left="5040" w:hanging="360"/>
      </w:pPr>
      <w:rPr>
        <w:rFonts w:ascii="Symbol" w:hAnsi="Symbol" w:hint="default"/>
      </w:rPr>
    </w:lvl>
    <w:lvl w:ilvl="7" w:tplc="C966C76E" w:tentative="1">
      <w:start w:val="1"/>
      <w:numFmt w:val="bullet"/>
      <w:lvlText w:val="o"/>
      <w:lvlJc w:val="left"/>
      <w:pPr>
        <w:tabs>
          <w:tab w:val="num" w:pos="5760"/>
        </w:tabs>
        <w:ind w:left="5760" w:hanging="360"/>
      </w:pPr>
      <w:rPr>
        <w:rFonts w:ascii="Courier New" w:hAnsi="Courier New" w:cs="Courier New" w:hint="default"/>
      </w:rPr>
    </w:lvl>
    <w:lvl w:ilvl="8" w:tplc="7F488DB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22F69F1"/>
    <w:multiLevelType w:val="multilevel"/>
    <w:tmpl w:val="0218B7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62A340BB"/>
    <w:multiLevelType w:val="singleLevel"/>
    <w:tmpl w:val="1EA4E2B4"/>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12" w15:restartNumberingAfterBreak="0">
    <w:nsid w:val="6399280C"/>
    <w:multiLevelType w:val="hybridMultilevel"/>
    <w:tmpl w:val="27BE1968"/>
    <w:lvl w:ilvl="0" w:tplc="BF48E3C8">
      <w:start w:val="1"/>
      <w:numFmt w:val="bullet"/>
      <w:lvlText w:val=""/>
      <w:lvlJc w:val="left"/>
      <w:pPr>
        <w:ind w:left="720" w:hanging="360"/>
      </w:pPr>
      <w:rPr>
        <w:rFonts w:ascii="Symbol" w:hAnsi="Symbol" w:hint="default"/>
      </w:rPr>
    </w:lvl>
    <w:lvl w:ilvl="1" w:tplc="14EC1262" w:tentative="1">
      <w:start w:val="1"/>
      <w:numFmt w:val="bullet"/>
      <w:lvlText w:val="o"/>
      <w:lvlJc w:val="left"/>
      <w:pPr>
        <w:ind w:left="1440" w:hanging="360"/>
      </w:pPr>
      <w:rPr>
        <w:rFonts w:ascii="Courier New" w:hAnsi="Courier New" w:cs="Courier New" w:hint="default"/>
      </w:rPr>
    </w:lvl>
    <w:lvl w:ilvl="2" w:tplc="A802E9BE" w:tentative="1">
      <w:start w:val="1"/>
      <w:numFmt w:val="bullet"/>
      <w:lvlText w:val=""/>
      <w:lvlJc w:val="left"/>
      <w:pPr>
        <w:ind w:left="2160" w:hanging="360"/>
      </w:pPr>
      <w:rPr>
        <w:rFonts w:ascii="Wingdings" w:hAnsi="Wingdings" w:hint="default"/>
      </w:rPr>
    </w:lvl>
    <w:lvl w:ilvl="3" w:tplc="BC06D454" w:tentative="1">
      <w:start w:val="1"/>
      <w:numFmt w:val="bullet"/>
      <w:lvlText w:val=""/>
      <w:lvlJc w:val="left"/>
      <w:pPr>
        <w:ind w:left="2880" w:hanging="360"/>
      </w:pPr>
      <w:rPr>
        <w:rFonts w:ascii="Symbol" w:hAnsi="Symbol" w:hint="default"/>
      </w:rPr>
    </w:lvl>
    <w:lvl w:ilvl="4" w:tplc="20D4B19C" w:tentative="1">
      <w:start w:val="1"/>
      <w:numFmt w:val="bullet"/>
      <w:lvlText w:val="o"/>
      <w:lvlJc w:val="left"/>
      <w:pPr>
        <w:ind w:left="3600" w:hanging="360"/>
      </w:pPr>
      <w:rPr>
        <w:rFonts w:ascii="Courier New" w:hAnsi="Courier New" w:cs="Courier New" w:hint="default"/>
      </w:rPr>
    </w:lvl>
    <w:lvl w:ilvl="5" w:tplc="2BBAE2FA" w:tentative="1">
      <w:start w:val="1"/>
      <w:numFmt w:val="bullet"/>
      <w:lvlText w:val=""/>
      <w:lvlJc w:val="left"/>
      <w:pPr>
        <w:ind w:left="4320" w:hanging="360"/>
      </w:pPr>
      <w:rPr>
        <w:rFonts w:ascii="Wingdings" w:hAnsi="Wingdings" w:hint="default"/>
      </w:rPr>
    </w:lvl>
    <w:lvl w:ilvl="6" w:tplc="3C3E72F0" w:tentative="1">
      <w:start w:val="1"/>
      <w:numFmt w:val="bullet"/>
      <w:lvlText w:val=""/>
      <w:lvlJc w:val="left"/>
      <w:pPr>
        <w:ind w:left="5040" w:hanging="360"/>
      </w:pPr>
      <w:rPr>
        <w:rFonts w:ascii="Symbol" w:hAnsi="Symbol" w:hint="default"/>
      </w:rPr>
    </w:lvl>
    <w:lvl w:ilvl="7" w:tplc="C5B089D8" w:tentative="1">
      <w:start w:val="1"/>
      <w:numFmt w:val="bullet"/>
      <w:lvlText w:val="o"/>
      <w:lvlJc w:val="left"/>
      <w:pPr>
        <w:ind w:left="5760" w:hanging="360"/>
      </w:pPr>
      <w:rPr>
        <w:rFonts w:ascii="Courier New" w:hAnsi="Courier New" w:cs="Courier New" w:hint="default"/>
      </w:rPr>
    </w:lvl>
    <w:lvl w:ilvl="8" w:tplc="BF84CCF8" w:tentative="1">
      <w:start w:val="1"/>
      <w:numFmt w:val="bullet"/>
      <w:lvlText w:val=""/>
      <w:lvlJc w:val="left"/>
      <w:pPr>
        <w:ind w:left="6480" w:hanging="360"/>
      </w:pPr>
      <w:rPr>
        <w:rFonts w:ascii="Wingdings" w:hAnsi="Wingdings" w:hint="default"/>
      </w:rPr>
    </w:lvl>
  </w:abstractNum>
  <w:abstractNum w:abstractNumId="113" w15:restartNumberingAfterBreak="0">
    <w:nsid w:val="65F70B46"/>
    <w:multiLevelType w:val="hybridMultilevel"/>
    <w:tmpl w:val="8A8A4A4E"/>
    <w:lvl w:ilvl="0" w:tplc="F5A66F56">
      <w:start w:val="1"/>
      <w:numFmt w:val="decimal"/>
      <w:lvlText w:val="%1)"/>
      <w:lvlJc w:val="left"/>
      <w:pPr>
        <w:tabs>
          <w:tab w:val="num" w:pos="930"/>
        </w:tabs>
        <w:ind w:left="930" w:hanging="570"/>
      </w:pPr>
      <w:rPr>
        <w:rFonts w:hint="default"/>
      </w:rPr>
    </w:lvl>
    <w:lvl w:ilvl="1" w:tplc="97A06FE4">
      <w:start w:val="1"/>
      <w:numFmt w:val="lowerLetter"/>
      <w:lvlText w:val="%2."/>
      <w:lvlJc w:val="left"/>
      <w:pPr>
        <w:tabs>
          <w:tab w:val="num" w:pos="1440"/>
        </w:tabs>
        <w:ind w:left="1440" w:hanging="360"/>
      </w:pPr>
    </w:lvl>
    <w:lvl w:ilvl="2" w:tplc="E0C0AADC">
      <w:start w:val="1"/>
      <w:numFmt w:val="decimal"/>
      <w:lvlText w:val="%3."/>
      <w:lvlJc w:val="left"/>
      <w:pPr>
        <w:tabs>
          <w:tab w:val="num" w:pos="567"/>
        </w:tabs>
        <w:ind w:left="567" w:hanging="567"/>
      </w:pPr>
      <w:rPr>
        <w:rFonts w:hint="default"/>
      </w:rPr>
    </w:lvl>
    <w:lvl w:ilvl="3" w:tplc="2D6C00D2" w:tentative="1">
      <w:start w:val="1"/>
      <w:numFmt w:val="decimal"/>
      <w:lvlText w:val="%4."/>
      <w:lvlJc w:val="left"/>
      <w:pPr>
        <w:tabs>
          <w:tab w:val="num" w:pos="2880"/>
        </w:tabs>
        <w:ind w:left="2880" w:hanging="360"/>
      </w:pPr>
    </w:lvl>
    <w:lvl w:ilvl="4" w:tplc="AFEC989E" w:tentative="1">
      <w:start w:val="1"/>
      <w:numFmt w:val="lowerLetter"/>
      <w:lvlText w:val="%5."/>
      <w:lvlJc w:val="left"/>
      <w:pPr>
        <w:tabs>
          <w:tab w:val="num" w:pos="3600"/>
        </w:tabs>
        <w:ind w:left="3600" w:hanging="360"/>
      </w:pPr>
    </w:lvl>
    <w:lvl w:ilvl="5" w:tplc="68D67BE6" w:tentative="1">
      <w:start w:val="1"/>
      <w:numFmt w:val="lowerRoman"/>
      <w:lvlText w:val="%6."/>
      <w:lvlJc w:val="right"/>
      <w:pPr>
        <w:tabs>
          <w:tab w:val="num" w:pos="4320"/>
        </w:tabs>
        <w:ind w:left="4320" w:hanging="180"/>
      </w:pPr>
    </w:lvl>
    <w:lvl w:ilvl="6" w:tplc="8730C24E" w:tentative="1">
      <w:start w:val="1"/>
      <w:numFmt w:val="decimal"/>
      <w:lvlText w:val="%7."/>
      <w:lvlJc w:val="left"/>
      <w:pPr>
        <w:tabs>
          <w:tab w:val="num" w:pos="5040"/>
        </w:tabs>
        <w:ind w:left="5040" w:hanging="360"/>
      </w:pPr>
    </w:lvl>
    <w:lvl w:ilvl="7" w:tplc="C052ACB8" w:tentative="1">
      <w:start w:val="1"/>
      <w:numFmt w:val="lowerLetter"/>
      <w:lvlText w:val="%8."/>
      <w:lvlJc w:val="left"/>
      <w:pPr>
        <w:tabs>
          <w:tab w:val="num" w:pos="5760"/>
        </w:tabs>
        <w:ind w:left="5760" w:hanging="360"/>
      </w:pPr>
    </w:lvl>
    <w:lvl w:ilvl="8" w:tplc="B9DEFBE8" w:tentative="1">
      <w:start w:val="1"/>
      <w:numFmt w:val="lowerRoman"/>
      <w:lvlText w:val="%9."/>
      <w:lvlJc w:val="right"/>
      <w:pPr>
        <w:tabs>
          <w:tab w:val="num" w:pos="6480"/>
        </w:tabs>
        <w:ind w:left="6480" w:hanging="180"/>
      </w:pPr>
    </w:lvl>
  </w:abstractNum>
  <w:abstractNum w:abstractNumId="114" w15:restartNumberingAfterBreak="0">
    <w:nsid w:val="68792FC7"/>
    <w:multiLevelType w:val="hybridMultilevel"/>
    <w:tmpl w:val="296EC8D0"/>
    <w:lvl w:ilvl="0" w:tplc="438E25E2">
      <w:start w:val="1"/>
      <w:numFmt w:val="bullet"/>
      <w:lvlText w:val=""/>
      <w:lvlJc w:val="left"/>
      <w:pPr>
        <w:ind w:left="720" w:hanging="360"/>
      </w:pPr>
      <w:rPr>
        <w:rFonts w:ascii="Symbol" w:hAnsi="Symbol" w:hint="default"/>
      </w:rPr>
    </w:lvl>
    <w:lvl w:ilvl="1" w:tplc="9EC8CFAE" w:tentative="1">
      <w:start w:val="1"/>
      <w:numFmt w:val="bullet"/>
      <w:lvlText w:val="o"/>
      <w:lvlJc w:val="left"/>
      <w:pPr>
        <w:ind w:left="1440" w:hanging="360"/>
      </w:pPr>
      <w:rPr>
        <w:rFonts w:ascii="Courier New" w:hAnsi="Courier New" w:cs="Courier New" w:hint="default"/>
      </w:rPr>
    </w:lvl>
    <w:lvl w:ilvl="2" w:tplc="C94E4584" w:tentative="1">
      <w:start w:val="1"/>
      <w:numFmt w:val="bullet"/>
      <w:lvlText w:val=""/>
      <w:lvlJc w:val="left"/>
      <w:pPr>
        <w:ind w:left="2160" w:hanging="360"/>
      </w:pPr>
      <w:rPr>
        <w:rFonts w:ascii="Wingdings" w:hAnsi="Wingdings" w:hint="default"/>
      </w:rPr>
    </w:lvl>
    <w:lvl w:ilvl="3" w:tplc="245A0C70" w:tentative="1">
      <w:start w:val="1"/>
      <w:numFmt w:val="bullet"/>
      <w:lvlText w:val=""/>
      <w:lvlJc w:val="left"/>
      <w:pPr>
        <w:ind w:left="2880" w:hanging="360"/>
      </w:pPr>
      <w:rPr>
        <w:rFonts w:ascii="Symbol" w:hAnsi="Symbol" w:hint="default"/>
      </w:rPr>
    </w:lvl>
    <w:lvl w:ilvl="4" w:tplc="63123830" w:tentative="1">
      <w:start w:val="1"/>
      <w:numFmt w:val="bullet"/>
      <w:lvlText w:val="o"/>
      <w:lvlJc w:val="left"/>
      <w:pPr>
        <w:ind w:left="3600" w:hanging="360"/>
      </w:pPr>
      <w:rPr>
        <w:rFonts w:ascii="Courier New" w:hAnsi="Courier New" w:cs="Courier New" w:hint="default"/>
      </w:rPr>
    </w:lvl>
    <w:lvl w:ilvl="5" w:tplc="07B87EC4" w:tentative="1">
      <w:start w:val="1"/>
      <w:numFmt w:val="bullet"/>
      <w:lvlText w:val=""/>
      <w:lvlJc w:val="left"/>
      <w:pPr>
        <w:ind w:left="4320" w:hanging="360"/>
      </w:pPr>
      <w:rPr>
        <w:rFonts w:ascii="Wingdings" w:hAnsi="Wingdings" w:hint="default"/>
      </w:rPr>
    </w:lvl>
    <w:lvl w:ilvl="6" w:tplc="98F8D534" w:tentative="1">
      <w:start w:val="1"/>
      <w:numFmt w:val="bullet"/>
      <w:lvlText w:val=""/>
      <w:lvlJc w:val="left"/>
      <w:pPr>
        <w:ind w:left="5040" w:hanging="360"/>
      </w:pPr>
      <w:rPr>
        <w:rFonts w:ascii="Symbol" w:hAnsi="Symbol" w:hint="default"/>
      </w:rPr>
    </w:lvl>
    <w:lvl w:ilvl="7" w:tplc="C85ACED8" w:tentative="1">
      <w:start w:val="1"/>
      <w:numFmt w:val="bullet"/>
      <w:lvlText w:val="o"/>
      <w:lvlJc w:val="left"/>
      <w:pPr>
        <w:ind w:left="5760" w:hanging="360"/>
      </w:pPr>
      <w:rPr>
        <w:rFonts w:ascii="Courier New" w:hAnsi="Courier New" w:cs="Courier New" w:hint="default"/>
      </w:rPr>
    </w:lvl>
    <w:lvl w:ilvl="8" w:tplc="C1C4FC78" w:tentative="1">
      <w:start w:val="1"/>
      <w:numFmt w:val="bullet"/>
      <w:lvlText w:val=""/>
      <w:lvlJc w:val="left"/>
      <w:pPr>
        <w:ind w:left="6480" w:hanging="360"/>
      </w:pPr>
      <w:rPr>
        <w:rFonts w:ascii="Wingdings" w:hAnsi="Wingdings" w:hint="default"/>
      </w:rPr>
    </w:lvl>
  </w:abstractNum>
  <w:abstractNum w:abstractNumId="115" w15:restartNumberingAfterBreak="0">
    <w:nsid w:val="68AD129F"/>
    <w:multiLevelType w:val="hybridMultilevel"/>
    <w:tmpl w:val="9960617A"/>
    <w:lvl w:ilvl="0" w:tplc="D49CE344">
      <w:start w:val="1"/>
      <w:numFmt w:val="bullet"/>
      <w:lvlText w:val=""/>
      <w:lvlJc w:val="left"/>
      <w:pPr>
        <w:tabs>
          <w:tab w:val="num" w:pos="720"/>
        </w:tabs>
        <w:ind w:left="720" w:hanging="360"/>
      </w:pPr>
      <w:rPr>
        <w:rFonts w:ascii="Symbol" w:hAnsi="Symbol" w:hint="default"/>
      </w:rPr>
    </w:lvl>
    <w:lvl w:ilvl="1" w:tplc="68C85E64">
      <w:start w:val="1"/>
      <w:numFmt w:val="bullet"/>
      <w:lvlText w:val=""/>
      <w:lvlJc w:val="left"/>
      <w:pPr>
        <w:tabs>
          <w:tab w:val="num" w:pos="1440"/>
        </w:tabs>
        <w:ind w:left="1440" w:hanging="360"/>
      </w:pPr>
      <w:rPr>
        <w:rFonts w:ascii="Symbol" w:hAnsi="Symbol" w:hint="default"/>
      </w:rPr>
    </w:lvl>
    <w:lvl w:ilvl="2" w:tplc="A91071C4" w:tentative="1">
      <w:start w:val="1"/>
      <w:numFmt w:val="bullet"/>
      <w:lvlText w:val=""/>
      <w:lvlJc w:val="left"/>
      <w:pPr>
        <w:tabs>
          <w:tab w:val="num" w:pos="2160"/>
        </w:tabs>
        <w:ind w:left="2160" w:hanging="360"/>
      </w:pPr>
      <w:rPr>
        <w:rFonts w:ascii="Wingdings" w:hAnsi="Wingdings" w:hint="default"/>
      </w:rPr>
    </w:lvl>
    <w:lvl w:ilvl="3" w:tplc="D81E8536" w:tentative="1">
      <w:start w:val="1"/>
      <w:numFmt w:val="bullet"/>
      <w:lvlText w:val=""/>
      <w:lvlJc w:val="left"/>
      <w:pPr>
        <w:tabs>
          <w:tab w:val="num" w:pos="2880"/>
        </w:tabs>
        <w:ind w:left="2880" w:hanging="360"/>
      </w:pPr>
      <w:rPr>
        <w:rFonts w:ascii="Symbol" w:hAnsi="Symbol" w:hint="default"/>
      </w:rPr>
    </w:lvl>
    <w:lvl w:ilvl="4" w:tplc="061CC252" w:tentative="1">
      <w:start w:val="1"/>
      <w:numFmt w:val="bullet"/>
      <w:lvlText w:val="o"/>
      <w:lvlJc w:val="left"/>
      <w:pPr>
        <w:tabs>
          <w:tab w:val="num" w:pos="3600"/>
        </w:tabs>
        <w:ind w:left="3600" w:hanging="360"/>
      </w:pPr>
      <w:rPr>
        <w:rFonts w:ascii="Courier New" w:hAnsi="Courier New" w:hint="default"/>
      </w:rPr>
    </w:lvl>
    <w:lvl w:ilvl="5" w:tplc="37424A74" w:tentative="1">
      <w:start w:val="1"/>
      <w:numFmt w:val="bullet"/>
      <w:lvlText w:val=""/>
      <w:lvlJc w:val="left"/>
      <w:pPr>
        <w:tabs>
          <w:tab w:val="num" w:pos="4320"/>
        </w:tabs>
        <w:ind w:left="4320" w:hanging="360"/>
      </w:pPr>
      <w:rPr>
        <w:rFonts w:ascii="Wingdings" w:hAnsi="Wingdings" w:hint="default"/>
      </w:rPr>
    </w:lvl>
    <w:lvl w:ilvl="6" w:tplc="A51C8B06" w:tentative="1">
      <w:start w:val="1"/>
      <w:numFmt w:val="bullet"/>
      <w:lvlText w:val=""/>
      <w:lvlJc w:val="left"/>
      <w:pPr>
        <w:tabs>
          <w:tab w:val="num" w:pos="5040"/>
        </w:tabs>
        <w:ind w:left="5040" w:hanging="360"/>
      </w:pPr>
      <w:rPr>
        <w:rFonts w:ascii="Symbol" w:hAnsi="Symbol" w:hint="default"/>
      </w:rPr>
    </w:lvl>
    <w:lvl w:ilvl="7" w:tplc="C7F46F50" w:tentative="1">
      <w:start w:val="1"/>
      <w:numFmt w:val="bullet"/>
      <w:lvlText w:val="o"/>
      <w:lvlJc w:val="left"/>
      <w:pPr>
        <w:tabs>
          <w:tab w:val="num" w:pos="5760"/>
        </w:tabs>
        <w:ind w:left="5760" w:hanging="360"/>
      </w:pPr>
      <w:rPr>
        <w:rFonts w:ascii="Courier New" w:hAnsi="Courier New" w:hint="default"/>
      </w:rPr>
    </w:lvl>
    <w:lvl w:ilvl="8" w:tplc="B764E7B2"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92A4F74"/>
    <w:multiLevelType w:val="hybridMultilevel"/>
    <w:tmpl w:val="59602678"/>
    <w:lvl w:ilvl="0" w:tplc="5E3EF2AE">
      <w:start w:val="1"/>
      <w:numFmt w:val="lowerLetter"/>
      <w:lvlText w:val="%1"/>
      <w:lvlJc w:val="left"/>
      <w:pPr>
        <w:ind w:left="404" w:hanging="360"/>
      </w:pPr>
      <w:rPr>
        <w:rFonts w:hint="default"/>
        <w:sz w:val="16"/>
        <w:szCs w:val="16"/>
        <w:vertAlign w:val="superscript"/>
      </w:rPr>
    </w:lvl>
    <w:lvl w:ilvl="1" w:tplc="B0948BE8" w:tentative="1">
      <w:start w:val="1"/>
      <w:numFmt w:val="lowerLetter"/>
      <w:lvlText w:val="%2."/>
      <w:lvlJc w:val="left"/>
      <w:pPr>
        <w:ind w:left="1124" w:hanging="360"/>
      </w:pPr>
    </w:lvl>
    <w:lvl w:ilvl="2" w:tplc="BC082BD8" w:tentative="1">
      <w:start w:val="1"/>
      <w:numFmt w:val="lowerRoman"/>
      <w:lvlText w:val="%3."/>
      <w:lvlJc w:val="right"/>
      <w:pPr>
        <w:ind w:left="1844" w:hanging="180"/>
      </w:pPr>
    </w:lvl>
    <w:lvl w:ilvl="3" w:tplc="87D6BA98" w:tentative="1">
      <w:start w:val="1"/>
      <w:numFmt w:val="decimal"/>
      <w:lvlText w:val="%4."/>
      <w:lvlJc w:val="left"/>
      <w:pPr>
        <w:ind w:left="2564" w:hanging="360"/>
      </w:pPr>
    </w:lvl>
    <w:lvl w:ilvl="4" w:tplc="E1480DE8" w:tentative="1">
      <w:start w:val="1"/>
      <w:numFmt w:val="lowerLetter"/>
      <w:lvlText w:val="%5."/>
      <w:lvlJc w:val="left"/>
      <w:pPr>
        <w:ind w:left="3284" w:hanging="360"/>
      </w:pPr>
    </w:lvl>
    <w:lvl w:ilvl="5" w:tplc="DA40756C" w:tentative="1">
      <w:start w:val="1"/>
      <w:numFmt w:val="lowerRoman"/>
      <w:lvlText w:val="%6."/>
      <w:lvlJc w:val="right"/>
      <w:pPr>
        <w:ind w:left="4004" w:hanging="180"/>
      </w:pPr>
    </w:lvl>
    <w:lvl w:ilvl="6" w:tplc="29DAECCA" w:tentative="1">
      <w:start w:val="1"/>
      <w:numFmt w:val="decimal"/>
      <w:lvlText w:val="%7."/>
      <w:lvlJc w:val="left"/>
      <w:pPr>
        <w:ind w:left="4724" w:hanging="360"/>
      </w:pPr>
    </w:lvl>
    <w:lvl w:ilvl="7" w:tplc="933003EE" w:tentative="1">
      <w:start w:val="1"/>
      <w:numFmt w:val="lowerLetter"/>
      <w:lvlText w:val="%8."/>
      <w:lvlJc w:val="left"/>
      <w:pPr>
        <w:ind w:left="5444" w:hanging="360"/>
      </w:pPr>
    </w:lvl>
    <w:lvl w:ilvl="8" w:tplc="3ED6E56E" w:tentative="1">
      <w:start w:val="1"/>
      <w:numFmt w:val="lowerRoman"/>
      <w:lvlText w:val="%9."/>
      <w:lvlJc w:val="right"/>
      <w:pPr>
        <w:ind w:left="6164" w:hanging="180"/>
      </w:pPr>
    </w:lvl>
  </w:abstractNum>
  <w:abstractNum w:abstractNumId="117" w15:restartNumberingAfterBreak="0">
    <w:nsid w:val="6BC06A6E"/>
    <w:multiLevelType w:val="hybridMultilevel"/>
    <w:tmpl w:val="A6F826A6"/>
    <w:lvl w:ilvl="0" w:tplc="6DEA4CBE">
      <w:start w:val="1"/>
      <w:numFmt w:val="bullet"/>
      <w:lvlText w:val=""/>
      <w:lvlJc w:val="left"/>
      <w:pPr>
        <w:tabs>
          <w:tab w:val="num" w:pos="720"/>
        </w:tabs>
        <w:ind w:left="720" w:hanging="360"/>
      </w:pPr>
      <w:rPr>
        <w:rFonts w:ascii="Symbol" w:hAnsi="Symbol" w:hint="default"/>
      </w:rPr>
    </w:lvl>
    <w:lvl w:ilvl="1" w:tplc="9EF80A3A" w:tentative="1">
      <w:start w:val="1"/>
      <w:numFmt w:val="bullet"/>
      <w:lvlText w:val="o"/>
      <w:lvlJc w:val="left"/>
      <w:pPr>
        <w:tabs>
          <w:tab w:val="num" w:pos="1440"/>
        </w:tabs>
        <w:ind w:left="1440" w:hanging="360"/>
      </w:pPr>
      <w:rPr>
        <w:rFonts w:ascii="Courier New" w:hAnsi="Courier New" w:hint="default"/>
      </w:rPr>
    </w:lvl>
    <w:lvl w:ilvl="2" w:tplc="D21AA90E" w:tentative="1">
      <w:start w:val="1"/>
      <w:numFmt w:val="bullet"/>
      <w:lvlText w:val=""/>
      <w:lvlJc w:val="left"/>
      <w:pPr>
        <w:tabs>
          <w:tab w:val="num" w:pos="2160"/>
        </w:tabs>
        <w:ind w:left="2160" w:hanging="360"/>
      </w:pPr>
      <w:rPr>
        <w:rFonts w:ascii="Wingdings" w:hAnsi="Wingdings" w:hint="default"/>
      </w:rPr>
    </w:lvl>
    <w:lvl w:ilvl="3" w:tplc="FB5EDFD2" w:tentative="1">
      <w:start w:val="1"/>
      <w:numFmt w:val="bullet"/>
      <w:lvlText w:val=""/>
      <w:lvlJc w:val="left"/>
      <w:pPr>
        <w:tabs>
          <w:tab w:val="num" w:pos="2880"/>
        </w:tabs>
        <w:ind w:left="2880" w:hanging="360"/>
      </w:pPr>
      <w:rPr>
        <w:rFonts w:ascii="Symbol" w:hAnsi="Symbol" w:hint="default"/>
      </w:rPr>
    </w:lvl>
    <w:lvl w:ilvl="4" w:tplc="28D847C2" w:tentative="1">
      <w:start w:val="1"/>
      <w:numFmt w:val="bullet"/>
      <w:lvlText w:val="o"/>
      <w:lvlJc w:val="left"/>
      <w:pPr>
        <w:tabs>
          <w:tab w:val="num" w:pos="3600"/>
        </w:tabs>
        <w:ind w:left="3600" w:hanging="360"/>
      </w:pPr>
      <w:rPr>
        <w:rFonts w:ascii="Courier New" w:hAnsi="Courier New" w:hint="default"/>
      </w:rPr>
    </w:lvl>
    <w:lvl w:ilvl="5" w:tplc="4738BD96" w:tentative="1">
      <w:start w:val="1"/>
      <w:numFmt w:val="bullet"/>
      <w:lvlText w:val=""/>
      <w:lvlJc w:val="left"/>
      <w:pPr>
        <w:tabs>
          <w:tab w:val="num" w:pos="4320"/>
        </w:tabs>
        <w:ind w:left="4320" w:hanging="360"/>
      </w:pPr>
      <w:rPr>
        <w:rFonts w:ascii="Wingdings" w:hAnsi="Wingdings" w:hint="default"/>
      </w:rPr>
    </w:lvl>
    <w:lvl w:ilvl="6" w:tplc="C6FC4576" w:tentative="1">
      <w:start w:val="1"/>
      <w:numFmt w:val="bullet"/>
      <w:lvlText w:val=""/>
      <w:lvlJc w:val="left"/>
      <w:pPr>
        <w:tabs>
          <w:tab w:val="num" w:pos="5040"/>
        </w:tabs>
        <w:ind w:left="5040" w:hanging="360"/>
      </w:pPr>
      <w:rPr>
        <w:rFonts w:ascii="Symbol" w:hAnsi="Symbol" w:hint="default"/>
      </w:rPr>
    </w:lvl>
    <w:lvl w:ilvl="7" w:tplc="1BA4C014" w:tentative="1">
      <w:start w:val="1"/>
      <w:numFmt w:val="bullet"/>
      <w:lvlText w:val="o"/>
      <w:lvlJc w:val="left"/>
      <w:pPr>
        <w:tabs>
          <w:tab w:val="num" w:pos="5760"/>
        </w:tabs>
        <w:ind w:left="5760" w:hanging="360"/>
      </w:pPr>
      <w:rPr>
        <w:rFonts w:ascii="Courier New" w:hAnsi="Courier New" w:hint="default"/>
      </w:rPr>
    </w:lvl>
    <w:lvl w:ilvl="8" w:tplc="49EA06EA"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C2A46B5"/>
    <w:multiLevelType w:val="hybridMultilevel"/>
    <w:tmpl w:val="EFF075C2"/>
    <w:lvl w:ilvl="0" w:tplc="3160B9AA">
      <w:start w:val="1"/>
      <w:numFmt w:val="decimal"/>
      <w:lvlText w:val="%1."/>
      <w:lvlJc w:val="left"/>
      <w:pPr>
        <w:tabs>
          <w:tab w:val="num" w:pos="720"/>
        </w:tabs>
        <w:ind w:left="720" w:hanging="360"/>
      </w:pPr>
      <w:rPr>
        <w:rFonts w:hint="default"/>
      </w:rPr>
    </w:lvl>
    <w:lvl w:ilvl="1" w:tplc="4DA2A75C" w:tentative="1">
      <w:start w:val="1"/>
      <w:numFmt w:val="lowerLetter"/>
      <w:lvlText w:val="%2."/>
      <w:lvlJc w:val="left"/>
      <w:pPr>
        <w:tabs>
          <w:tab w:val="num" w:pos="1440"/>
        </w:tabs>
        <w:ind w:left="1440" w:hanging="360"/>
      </w:pPr>
    </w:lvl>
    <w:lvl w:ilvl="2" w:tplc="FB50DCFC" w:tentative="1">
      <w:start w:val="1"/>
      <w:numFmt w:val="lowerRoman"/>
      <w:lvlText w:val="%3."/>
      <w:lvlJc w:val="right"/>
      <w:pPr>
        <w:tabs>
          <w:tab w:val="num" w:pos="2160"/>
        </w:tabs>
        <w:ind w:left="2160" w:hanging="180"/>
      </w:pPr>
    </w:lvl>
    <w:lvl w:ilvl="3" w:tplc="2F18FBCA" w:tentative="1">
      <w:start w:val="1"/>
      <w:numFmt w:val="decimal"/>
      <w:lvlText w:val="%4."/>
      <w:lvlJc w:val="left"/>
      <w:pPr>
        <w:tabs>
          <w:tab w:val="num" w:pos="2880"/>
        </w:tabs>
        <w:ind w:left="2880" w:hanging="360"/>
      </w:pPr>
    </w:lvl>
    <w:lvl w:ilvl="4" w:tplc="065067F8" w:tentative="1">
      <w:start w:val="1"/>
      <w:numFmt w:val="lowerLetter"/>
      <w:lvlText w:val="%5."/>
      <w:lvlJc w:val="left"/>
      <w:pPr>
        <w:tabs>
          <w:tab w:val="num" w:pos="3600"/>
        </w:tabs>
        <w:ind w:left="3600" w:hanging="360"/>
      </w:pPr>
    </w:lvl>
    <w:lvl w:ilvl="5" w:tplc="F0745C82" w:tentative="1">
      <w:start w:val="1"/>
      <w:numFmt w:val="lowerRoman"/>
      <w:lvlText w:val="%6."/>
      <w:lvlJc w:val="right"/>
      <w:pPr>
        <w:tabs>
          <w:tab w:val="num" w:pos="4320"/>
        </w:tabs>
        <w:ind w:left="4320" w:hanging="180"/>
      </w:pPr>
    </w:lvl>
    <w:lvl w:ilvl="6" w:tplc="7AF820D6" w:tentative="1">
      <w:start w:val="1"/>
      <w:numFmt w:val="decimal"/>
      <w:lvlText w:val="%7."/>
      <w:lvlJc w:val="left"/>
      <w:pPr>
        <w:tabs>
          <w:tab w:val="num" w:pos="5040"/>
        </w:tabs>
        <w:ind w:left="5040" w:hanging="360"/>
      </w:pPr>
    </w:lvl>
    <w:lvl w:ilvl="7" w:tplc="023E422A" w:tentative="1">
      <w:start w:val="1"/>
      <w:numFmt w:val="lowerLetter"/>
      <w:lvlText w:val="%8."/>
      <w:lvlJc w:val="left"/>
      <w:pPr>
        <w:tabs>
          <w:tab w:val="num" w:pos="5760"/>
        </w:tabs>
        <w:ind w:left="5760" w:hanging="360"/>
      </w:pPr>
    </w:lvl>
    <w:lvl w:ilvl="8" w:tplc="CC4AE252" w:tentative="1">
      <w:start w:val="1"/>
      <w:numFmt w:val="lowerRoman"/>
      <w:lvlText w:val="%9."/>
      <w:lvlJc w:val="right"/>
      <w:pPr>
        <w:tabs>
          <w:tab w:val="num" w:pos="6480"/>
        </w:tabs>
        <w:ind w:left="6480" w:hanging="180"/>
      </w:pPr>
    </w:lvl>
  </w:abstractNum>
  <w:abstractNum w:abstractNumId="119" w15:restartNumberingAfterBreak="0">
    <w:nsid w:val="6DF239F9"/>
    <w:multiLevelType w:val="hybridMultilevel"/>
    <w:tmpl w:val="77E4FC92"/>
    <w:lvl w:ilvl="0" w:tplc="1AAC84E4">
      <w:start w:val="1"/>
      <w:numFmt w:val="bullet"/>
      <w:lvlText w:val=""/>
      <w:lvlJc w:val="left"/>
      <w:pPr>
        <w:ind w:left="2880" w:hanging="360"/>
      </w:pPr>
      <w:rPr>
        <w:rFonts w:ascii="Symbol" w:hAnsi="Symbol" w:hint="default"/>
        <w:sz w:val="22"/>
      </w:rPr>
    </w:lvl>
    <w:lvl w:ilvl="1" w:tplc="92C2BC76">
      <w:start w:val="1"/>
      <w:numFmt w:val="bullet"/>
      <w:lvlText w:val="o"/>
      <w:lvlJc w:val="left"/>
      <w:pPr>
        <w:ind w:left="1440" w:hanging="360"/>
      </w:pPr>
      <w:rPr>
        <w:rFonts w:ascii="Courier New" w:hAnsi="Courier New" w:cs="Courier New" w:hint="default"/>
      </w:rPr>
    </w:lvl>
    <w:lvl w:ilvl="2" w:tplc="B3B0E0C0" w:tentative="1">
      <w:start w:val="1"/>
      <w:numFmt w:val="bullet"/>
      <w:lvlText w:val=""/>
      <w:lvlJc w:val="left"/>
      <w:pPr>
        <w:ind w:left="2160" w:hanging="360"/>
      </w:pPr>
      <w:rPr>
        <w:rFonts w:ascii="Wingdings" w:hAnsi="Wingdings" w:hint="default"/>
      </w:rPr>
    </w:lvl>
    <w:lvl w:ilvl="3" w:tplc="CDD86B52" w:tentative="1">
      <w:start w:val="1"/>
      <w:numFmt w:val="bullet"/>
      <w:lvlText w:val=""/>
      <w:lvlJc w:val="left"/>
      <w:pPr>
        <w:ind w:left="2880" w:hanging="360"/>
      </w:pPr>
      <w:rPr>
        <w:rFonts w:ascii="Symbol" w:hAnsi="Symbol" w:hint="default"/>
      </w:rPr>
    </w:lvl>
    <w:lvl w:ilvl="4" w:tplc="AC1ADF0C" w:tentative="1">
      <w:start w:val="1"/>
      <w:numFmt w:val="bullet"/>
      <w:lvlText w:val="o"/>
      <w:lvlJc w:val="left"/>
      <w:pPr>
        <w:ind w:left="3600" w:hanging="360"/>
      </w:pPr>
      <w:rPr>
        <w:rFonts w:ascii="Courier New" w:hAnsi="Courier New" w:cs="Courier New" w:hint="default"/>
      </w:rPr>
    </w:lvl>
    <w:lvl w:ilvl="5" w:tplc="818EBB82" w:tentative="1">
      <w:start w:val="1"/>
      <w:numFmt w:val="bullet"/>
      <w:lvlText w:val=""/>
      <w:lvlJc w:val="left"/>
      <w:pPr>
        <w:ind w:left="4320" w:hanging="360"/>
      </w:pPr>
      <w:rPr>
        <w:rFonts w:ascii="Wingdings" w:hAnsi="Wingdings" w:hint="default"/>
      </w:rPr>
    </w:lvl>
    <w:lvl w:ilvl="6" w:tplc="F4B802E2" w:tentative="1">
      <w:start w:val="1"/>
      <w:numFmt w:val="bullet"/>
      <w:lvlText w:val=""/>
      <w:lvlJc w:val="left"/>
      <w:pPr>
        <w:ind w:left="5040" w:hanging="360"/>
      </w:pPr>
      <w:rPr>
        <w:rFonts w:ascii="Symbol" w:hAnsi="Symbol" w:hint="default"/>
      </w:rPr>
    </w:lvl>
    <w:lvl w:ilvl="7" w:tplc="DABE433C" w:tentative="1">
      <w:start w:val="1"/>
      <w:numFmt w:val="bullet"/>
      <w:lvlText w:val="o"/>
      <w:lvlJc w:val="left"/>
      <w:pPr>
        <w:ind w:left="5760" w:hanging="360"/>
      </w:pPr>
      <w:rPr>
        <w:rFonts w:ascii="Courier New" w:hAnsi="Courier New" w:cs="Courier New" w:hint="default"/>
      </w:rPr>
    </w:lvl>
    <w:lvl w:ilvl="8" w:tplc="D27ECB36" w:tentative="1">
      <w:start w:val="1"/>
      <w:numFmt w:val="bullet"/>
      <w:lvlText w:val=""/>
      <w:lvlJc w:val="left"/>
      <w:pPr>
        <w:ind w:left="6480" w:hanging="360"/>
      </w:pPr>
      <w:rPr>
        <w:rFonts w:ascii="Wingdings" w:hAnsi="Wingdings" w:hint="default"/>
      </w:rPr>
    </w:lvl>
  </w:abstractNum>
  <w:abstractNum w:abstractNumId="120" w15:restartNumberingAfterBreak="0">
    <w:nsid w:val="6E94634A"/>
    <w:multiLevelType w:val="hybridMultilevel"/>
    <w:tmpl w:val="CA92C81E"/>
    <w:lvl w:ilvl="0" w:tplc="AE2C5D8C">
      <w:start w:val="1"/>
      <w:numFmt w:val="bullet"/>
      <w:lvlText w:val=""/>
      <w:lvlJc w:val="left"/>
      <w:pPr>
        <w:ind w:left="720" w:hanging="360"/>
      </w:pPr>
      <w:rPr>
        <w:rFonts w:ascii="Symbol" w:hAnsi="Symbol" w:hint="default"/>
      </w:rPr>
    </w:lvl>
    <w:lvl w:ilvl="1" w:tplc="60E6D49A" w:tentative="1">
      <w:start w:val="1"/>
      <w:numFmt w:val="bullet"/>
      <w:lvlText w:val="o"/>
      <w:lvlJc w:val="left"/>
      <w:pPr>
        <w:ind w:left="1440" w:hanging="360"/>
      </w:pPr>
      <w:rPr>
        <w:rFonts w:ascii="Courier New" w:hAnsi="Courier New" w:cs="Courier New" w:hint="default"/>
      </w:rPr>
    </w:lvl>
    <w:lvl w:ilvl="2" w:tplc="95346E9A" w:tentative="1">
      <w:start w:val="1"/>
      <w:numFmt w:val="bullet"/>
      <w:lvlText w:val=""/>
      <w:lvlJc w:val="left"/>
      <w:pPr>
        <w:ind w:left="2160" w:hanging="360"/>
      </w:pPr>
      <w:rPr>
        <w:rFonts w:ascii="Wingdings" w:hAnsi="Wingdings" w:hint="default"/>
      </w:rPr>
    </w:lvl>
    <w:lvl w:ilvl="3" w:tplc="85048FE2" w:tentative="1">
      <w:start w:val="1"/>
      <w:numFmt w:val="bullet"/>
      <w:lvlText w:val=""/>
      <w:lvlJc w:val="left"/>
      <w:pPr>
        <w:ind w:left="2880" w:hanging="360"/>
      </w:pPr>
      <w:rPr>
        <w:rFonts w:ascii="Symbol" w:hAnsi="Symbol" w:hint="default"/>
      </w:rPr>
    </w:lvl>
    <w:lvl w:ilvl="4" w:tplc="5F2EC05E" w:tentative="1">
      <w:start w:val="1"/>
      <w:numFmt w:val="bullet"/>
      <w:lvlText w:val="o"/>
      <w:lvlJc w:val="left"/>
      <w:pPr>
        <w:ind w:left="3600" w:hanging="360"/>
      </w:pPr>
      <w:rPr>
        <w:rFonts w:ascii="Courier New" w:hAnsi="Courier New" w:cs="Courier New" w:hint="default"/>
      </w:rPr>
    </w:lvl>
    <w:lvl w:ilvl="5" w:tplc="6E3A4350" w:tentative="1">
      <w:start w:val="1"/>
      <w:numFmt w:val="bullet"/>
      <w:lvlText w:val=""/>
      <w:lvlJc w:val="left"/>
      <w:pPr>
        <w:ind w:left="4320" w:hanging="360"/>
      </w:pPr>
      <w:rPr>
        <w:rFonts w:ascii="Wingdings" w:hAnsi="Wingdings" w:hint="default"/>
      </w:rPr>
    </w:lvl>
    <w:lvl w:ilvl="6" w:tplc="E8BC230A" w:tentative="1">
      <w:start w:val="1"/>
      <w:numFmt w:val="bullet"/>
      <w:lvlText w:val=""/>
      <w:lvlJc w:val="left"/>
      <w:pPr>
        <w:ind w:left="5040" w:hanging="360"/>
      </w:pPr>
      <w:rPr>
        <w:rFonts w:ascii="Symbol" w:hAnsi="Symbol" w:hint="default"/>
      </w:rPr>
    </w:lvl>
    <w:lvl w:ilvl="7" w:tplc="C12A0950" w:tentative="1">
      <w:start w:val="1"/>
      <w:numFmt w:val="bullet"/>
      <w:lvlText w:val="o"/>
      <w:lvlJc w:val="left"/>
      <w:pPr>
        <w:ind w:left="5760" w:hanging="360"/>
      </w:pPr>
      <w:rPr>
        <w:rFonts w:ascii="Courier New" w:hAnsi="Courier New" w:cs="Courier New" w:hint="default"/>
      </w:rPr>
    </w:lvl>
    <w:lvl w:ilvl="8" w:tplc="94F85AF8" w:tentative="1">
      <w:start w:val="1"/>
      <w:numFmt w:val="bullet"/>
      <w:lvlText w:val=""/>
      <w:lvlJc w:val="left"/>
      <w:pPr>
        <w:ind w:left="6480" w:hanging="360"/>
      </w:pPr>
      <w:rPr>
        <w:rFonts w:ascii="Wingdings" w:hAnsi="Wingdings" w:hint="default"/>
      </w:rPr>
    </w:lvl>
  </w:abstractNum>
  <w:abstractNum w:abstractNumId="121" w15:restartNumberingAfterBreak="0">
    <w:nsid w:val="6F9337D0"/>
    <w:multiLevelType w:val="hybridMultilevel"/>
    <w:tmpl w:val="B6C885E6"/>
    <w:lvl w:ilvl="0" w:tplc="492A3842">
      <w:start w:val="1"/>
      <w:numFmt w:val="bullet"/>
      <w:lvlText w:val=""/>
      <w:lvlJc w:val="left"/>
      <w:pPr>
        <w:tabs>
          <w:tab w:val="num" w:pos="720"/>
        </w:tabs>
        <w:ind w:left="720" w:hanging="360"/>
      </w:pPr>
      <w:rPr>
        <w:rFonts w:ascii="Symbol" w:hAnsi="Symbol" w:hint="default"/>
      </w:rPr>
    </w:lvl>
    <w:lvl w:ilvl="1" w:tplc="8A38F6F2" w:tentative="1">
      <w:start w:val="1"/>
      <w:numFmt w:val="bullet"/>
      <w:lvlText w:val="o"/>
      <w:lvlJc w:val="left"/>
      <w:pPr>
        <w:tabs>
          <w:tab w:val="num" w:pos="1440"/>
        </w:tabs>
        <w:ind w:left="1440" w:hanging="360"/>
      </w:pPr>
      <w:rPr>
        <w:rFonts w:ascii="Courier New" w:hAnsi="Courier New" w:cs="Courier New" w:hint="default"/>
      </w:rPr>
    </w:lvl>
    <w:lvl w:ilvl="2" w:tplc="5C10428E" w:tentative="1">
      <w:start w:val="1"/>
      <w:numFmt w:val="bullet"/>
      <w:lvlText w:val=""/>
      <w:lvlJc w:val="left"/>
      <w:pPr>
        <w:tabs>
          <w:tab w:val="num" w:pos="2160"/>
        </w:tabs>
        <w:ind w:left="2160" w:hanging="360"/>
      </w:pPr>
      <w:rPr>
        <w:rFonts w:ascii="Wingdings" w:hAnsi="Wingdings" w:hint="default"/>
      </w:rPr>
    </w:lvl>
    <w:lvl w:ilvl="3" w:tplc="C60432EC" w:tentative="1">
      <w:start w:val="1"/>
      <w:numFmt w:val="bullet"/>
      <w:lvlText w:val=""/>
      <w:lvlJc w:val="left"/>
      <w:pPr>
        <w:tabs>
          <w:tab w:val="num" w:pos="2880"/>
        </w:tabs>
        <w:ind w:left="2880" w:hanging="360"/>
      </w:pPr>
      <w:rPr>
        <w:rFonts w:ascii="Symbol" w:hAnsi="Symbol" w:hint="default"/>
      </w:rPr>
    </w:lvl>
    <w:lvl w:ilvl="4" w:tplc="F8CAFF92" w:tentative="1">
      <w:start w:val="1"/>
      <w:numFmt w:val="bullet"/>
      <w:lvlText w:val="o"/>
      <w:lvlJc w:val="left"/>
      <w:pPr>
        <w:tabs>
          <w:tab w:val="num" w:pos="3600"/>
        </w:tabs>
        <w:ind w:left="3600" w:hanging="360"/>
      </w:pPr>
      <w:rPr>
        <w:rFonts w:ascii="Courier New" w:hAnsi="Courier New" w:cs="Courier New" w:hint="default"/>
      </w:rPr>
    </w:lvl>
    <w:lvl w:ilvl="5" w:tplc="15DE6122" w:tentative="1">
      <w:start w:val="1"/>
      <w:numFmt w:val="bullet"/>
      <w:lvlText w:val=""/>
      <w:lvlJc w:val="left"/>
      <w:pPr>
        <w:tabs>
          <w:tab w:val="num" w:pos="4320"/>
        </w:tabs>
        <w:ind w:left="4320" w:hanging="360"/>
      </w:pPr>
      <w:rPr>
        <w:rFonts w:ascii="Wingdings" w:hAnsi="Wingdings" w:hint="default"/>
      </w:rPr>
    </w:lvl>
    <w:lvl w:ilvl="6" w:tplc="E300263C" w:tentative="1">
      <w:start w:val="1"/>
      <w:numFmt w:val="bullet"/>
      <w:lvlText w:val=""/>
      <w:lvlJc w:val="left"/>
      <w:pPr>
        <w:tabs>
          <w:tab w:val="num" w:pos="5040"/>
        </w:tabs>
        <w:ind w:left="5040" w:hanging="360"/>
      </w:pPr>
      <w:rPr>
        <w:rFonts w:ascii="Symbol" w:hAnsi="Symbol" w:hint="default"/>
      </w:rPr>
    </w:lvl>
    <w:lvl w:ilvl="7" w:tplc="28FA55A6" w:tentative="1">
      <w:start w:val="1"/>
      <w:numFmt w:val="bullet"/>
      <w:lvlText w:val="o"/>
      <w:lvlJc w:val="left"/>
      <w:pPr>
        <w:tabs>
          <w:tab w:val="num" w:pos="5760"/>
        </w:tabs>
        <w:ind w:left="5760" w:hanging="360"/>
      </w:pPr>
      <w:rPr>
        <w:rFonts w:ascii="Courier New" w:hAnsi="Courier New" w:cs="Courier New" w:hint="default"/>
      </w:rPr>
    </w:lvl>
    <w:lvl w:ilvl="8" w:tplc="535091DA"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1DD6CC2"/>
    <w:multiLevelType w:val="hybridMultilevel"/>
    <w:tmpl w:val="471EDEE4"/>
    <w:lvl w:ilvl="0" w:tplc="B9F69C7E">
      <w:start w:val="1"/>
      <w:numFmt w:val="bullet"/>
      <w:lvlText w:val=""/>
      <w:lvlJc w:val="left"/>
      <w:pPr>
        <w:ind w:left="870" w:hanging="360"/>
      </w:pPr>
      <w:rPr>
        <w:rFonts w:ascii="Symbol" w:hAnsi="Symbol" w:hint="default"/>
      </w:rPr>
    </w:lvl>
    <w:lvl w:ilvl="1" w:tplc="FFD8AF2C" w:tentative="1">
      <w:start w:val="1"/>
      <w:numFmt w:val="bullet"/>
      <w:lvlText w:val="o"/>
      <w:lvlJc w:val="left"/>
      <w:pPr>
        <w:ind w:left="1590" w:hanging="360"/>
      </w:pPr>
      <w:rPr>
        <w:rFonts w:ascii="Courier New" w:hAnsi="Courier New" w:cs="Courier New" w:hint="default"/>
      </w:rPr>
    </w:lvl>
    <w:lvl w:ilvl="2" w:tplc="E222E122" w:tentative="1">
      <w:start w:val="1"/>
      <w:numFmt w:val="bullet"/>
      <w:lvlText w:val=""/>
      <w:lvlJc w:val="left"/>
      <w:pPr>
        <w:ind w:left="2310" w:hanging="360"/>
      </w:pPr>
      <w:rPr>
        <w:rFonts w:ascii="Wingdings" w:hAnsi="Wingdings" w:hint="default"/>
      </w:rPr>
    </w:lvl>
    <w:lvl w:ilvl="3" w:tplc="511066B8" w:tentative="1">
      <w:start w:val="1"/>
      <w:numFmt w:val="bullet"/>
      <w:lvlText w:val=""/>
      <w:lvlJc w:val="left"/>
      <w:pPr>
        <w:ind w:left="3030" w:hanging="360"/>
      </w:pPr>
      <w:rPr>
        <w:rFonts w:ascii="Symbol" w:hAnsi="Symbol" w:hint="default"/>
      </w:rPr>
    </w:lvl>
    <w:lvl w:ilvl="4" w:tplc="412A7A3C" w:tentative="1">
      <w:start w:val="1"/>
      <w:numFmt w:val="bullet"/>
      <w:lvlText w:val="o"/>
      <w:lvlJc w:val="left"/>
      <w:pPr>
        <w:ind w:left="3750" w:hanging="360"/>
      </w:pPr>
      <w:rPr>
        <w:rFonts w:ascii="Courier New" w:hAnsi="Courier New" w:cs="Courier New" w:hint="default"/>
      </w:rPr>
    </w:lvl>
    <w:lvl w:ilvl="5" w:tplc="AF3AB208" w:tentative="1">
      <w:start w:val="1"/>
      <w:numFmt w:val="bullet"/>
      <w:lvlText w:val=""/>
      <w:lvlJc w:val="left"/>
      <w:pPr>
        <w:ind w:left="4470" w:hanging="360"/>
      </w:pPr>
      <w:rPr>
        <w:rFonts w:ascii="Wingdings" w:hAnsi="Wingdings" w:hint="default"/>
      </w:rPr>
    </w:lvl>
    <w:lvl w:ilvl="6" w:tplc="704A550C" w:tentative="1">
      <w:start w:val="1"/>
      <w:numFmt w:val="bullet"/>
      <w:lvlText w:val=""/>
      <w:lvlJc w:val="left"/>
      <w:pPr>
        <w:ind w:left="5190" w:hanging="360"/>
      </w:pPr>
      <w:rPr>
        <w:rFonts w:ascii="Symbol" w:hAnsi="Symbol" w:hint="default"/>
      </w:rPr>
    </w:lvl>
    <w:lvl w:ilvl="7" w:tplc="000E8C96" w:tentative="1">
      <w:start w:val="1"/>
      <w:numFmt w:val="bullet"/>
      <w:lvlText w:val="o"/>
      <w:lvlJc w:val="left"/>
      <w:pPr>
        <w:ind w:left="5910" w:hanging="360"/>
      </w:pPr>
      <w:rPr>
        <w:rFonts w:ascii="Courier New" w:hAnsi="Courier New" w:cs="Courier New" w:hint="default"/>
      </w:rPr>
    </w:lvl>
    <w:lvl w:ilvl="8" w:tplc="D686708A" w:tentative="1">
      <w:start w:val="1"/>
      <w:numFmt w:val="bullet"/>
      <w:lvlText w:val=""/>
      <w:lvlJc w:val="left"/>
      <w:pPr>
        <w:ind w:left="6630" w:hanging="360"/>
      </w:pPr>
      <w:rPr>
        <w:rFonts w:ascii="Wingdings" w:hAnsi="Wingdings" w:hint="default"/>
      </w:rPr>
    </w:lvl>
  </w:abstractNum>
  <w:abstractNum w:abstractNumId="123" w15:restartNumberingAfterBreak="0">
    <w:nsid w:val="72EC11F9"/>
    <w:multiLevelType w:val="hybridMultilevel"/>
    <w:tmpl w:val="01F0B2E2"/>
    <w:lvl w:ilvl="0" w:tplc="FCB8C57A">
      <w:start w:val="1"/>
      <w:numFmt w:val="bullet"/>
      <w:lvlText w:val="o"/>
      <w:lvlJc w:val="left"/>
      <w:pPr>
        <w:tabs>
          <w:tab w:val="num" w:pos="1134"/>
        </w:tabs>
        <w:ind w:left="1134" w:hanging="567"/>
      </w:pPr>
      <w:rPr>
        <w:rFonts w:hint="default"/>
      </w:rPr>
    </w:lvl>
    <w:lvl w:ilvl="1" w:tplc="4E80173E">
      <w:start w:val="1"/>
      <w:numFmt w:val="bullet"/>
      <w:lvlText w:val="o"/>
      <w:lvlJc w:val="left"/>
      <w:pPr>
        <w:tabs>
          <w:tab w:val="num" w:pos="1440"/>
        </w:tabs>
        <w:ind w:left="1440" w:hanging="360"/>
      </w:pPr>
      <w:rPr>
        <w:rFonts w:ascii="Courier New" w:hAnsi="Courier New" w:hint="default"/>
      </w:rPr>
    </w:lvl>
    <w:lvl w:ilvl="2" w:tplc="09181C74">
      <w:start w:val="1"/>
      <w:numFmt w:val="bullet"/>
      <w:lvlText w:val=""/>
      <w:lvlJc w:val="left"/>
      <w:pPr>
        <w:tabs>
          <w:tab w:val="num" w:pos="2160"/>
        </w:tabs>
        <w:ind w:left="2160" w:hanging="360"/>
      </w:pPr>
      <w:rPr>
        <w:rFonts w:ascii="Wingdings" w:hAnsi="Wingdings" w:hint="default"/>
      </w:rPr>
    </w:lvl>
    <w:lvl w:ilvl="3" w:tplc="F440DF48" w:tentative="1">
      <w:start w:val="1"/>
      <w:numFmt w:val="bullet"/>
      <w:lvlText w:val=""/>
      <w:lvlJc w:val="left"/>
      <w:pPr>
        <w:tabs>
          <w:tab w:val="num" w:pos="2880"/>
        </w:tabs>
        <w:ind w:left="2880" w:hanging="360"/>
      </w:pPr>
      <w:rPr>
        <w:rFonts w:ascii="Symbol" w:hAnsi="Symbol" w:hint="default"/>
      </w:rPr>
    </w:lvl>
    <w:lvl w:ilvl="4" w:tplc="5B60F6A4" w:tentative="1">
      <w:start w:val="1"/>
      <w:numFmt w:val="bullet"/>
      <w:lvlText w:val="o"/>
      <w:lvlJc w:val="left"/>
      <w:pPr>
        <w:tabs>
          <w:tab w:val="num" w:pos="3600"/>
        </w:tabs>
        <w:ind w:left="3600" w:hanging="360"/>
      </w:pPr>
      <w:rPr>
        <w:rFonts w:ascii="Courier New" w:hAnsi="Courier New" w:hint="default"/>
      </w:rPr>
    </w:lvl>
    <w:lvl w:ilvl="5" w:tplc="8EA832A0" w:tentative="1">
      <w:start w:val="1"/>
      <w:numFmt w:val="bullet"/>
      <w:lvlText w:val=""/>
      <w:lvlJc w:val="left"/>
      <w:pPr>
        <w:tabs>
          <w:tab w:val="num" w:pos="4320"/>
        </w:tabs>
        <w:ind w:left="4320" w:hanging="360"/>
      </w:pPr>
      <w:rPr>
        <w:rFonts w:ascii="Wingdings" w:hAnsi="Wingdings" w:hint="default"/>
      </w:rPr>
    </w:lvl>
    <w:lvl w:ilvl="6" w:tplc="AEAC8804" w:tentative="1">
      <w:start w:val="1"/>
      <w:numFmt w:val="bullet"/>
      <w:lvlText w:val=""/>
      <w:lvlJc w:val="left"/>
      <w:pPr>
        <w:tabs>
          <w:tab w:val="num" w:pos="5040"/>
        </w:tabs>
        <w:ind w:left="5040" w:hanging="360"/>
      </w:pPr>
      <w:rPr>
        <w:rFonts w:ascii="Symbol" w:hAnsi="Symbol" w:hint="default"/>
      </w:rPr>
    </w:lvl>
    <w:lvl w:ilvl="7" w:tplc="86C6CF16" w:tentative="1">
      <w:start w:val="1"/>
      <w:numFmt w:val="bullet"/>
      <w:lvlText w:val="o"/>
      <w:lvlJc w:val="left"/>
      <w:pPr>
        <w:tabs>
          <w:tab w:val="num" w:pos="5760"/>
        </w:tabs>
        <w:ind w:left="5760" w:hanging="360"/>
      </w:pPr>
      <w:rPr>
        <w:rFonts w:ascii="Courier New" w:hAnsi="Courier New" w:hint="default"/>
      </w:rPr>
    </w:lvl>
    <w:lvl w:ilvl="8" w:tplc="0008AF7E"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3357CAB"/>
    <w:multiLevelType w:val="hybridMultilevel"/>
    <w:tmpl w:val="1682E7C2"/>
    <w:lvl w:ilvl="0" w:tplc="8FF8BA3C">
      <w:start w:val="1"/>
      <w:numFmt w:val="bullet"/>
      <w:lvlText w:val=""/>
      <w:lvlJc w:val="left"/>
      <w:pPr>
        <w:ind w:left="870" w:hanging="360"/>
      </w:pPr>
      <w:rPr>
        <w:rFonts w:ascii="Symbol" w:hAnsi="Symbol" w:hint="default"/>
      </w:rPr>
    </w:lvl>
    <w:lvl w:ilvl="1" w:tplc="27D8F012">
      <w:start w:val="1"/>
      <w:numFmt w:val="bullet"/>
      <w:lvlText w:val="o"/>
      <w:lvlJc w:val="left"/>
      <w:pPr>
        <w:ind w:left="1590" w:hanging="360"/>
      </w:pPr>
      <w:rPr>
        <w:rFonts w:ascii="Courier New" w:hAnsi="Courier New" w:cs="Courier New" w:hint="default"/>
      </w:rPr>
    </w:lvl>
    <w:lvl w:ilvl="2" w:tplc="761EC554">
      <w:start w:val="1"/>
      <w:numFmt w:val="bullet"/>
      <w:lvlText w:val=""/>
      <w:lvlJc w:val="left"/>
      <w:pPr>
        <w:ind w:left="2310" w:hanging="360"/>
      </w:pPr>
      <w:rPr>
        <w:rFonts w:ascii="Wingdings" w:hAnsi="Wingdings" w:hint="default"/>
      </w:rPr>
    </w:lvl>
    <w:lvl w:ilvl="3" w:tplc="B970A1E8">
      <w:start w:val="1"/>
      <w:numFmt w:val="bullet"/>
      <w:lvlText w:val=""/>
      <w:lvlJc w:val="left"/>
      <w:pPr>
        <w:ind w:left="3030" w:hanging="360"/>
      </w:pPr>
      <w:rPr>
        <w:rFonts w:ascii="Symbol" w:hAnsi="Symbol" w:hint="default"/>
      </w:rPr>
    </w:lvl>
    <w:lvl w:ilvl="4" w:tplc="BB7AEE12">
      <w:start w:val="1"/>
      <w:numFmt w:val="bullet"/>
      <w:lvlText w:val="o"/>
      <w:lvlJc w:val="left"/>
      <w:pPr>
        <w:ind w:left="3750" w:hanging="360"/>
      </w:pPr>
      <w:rPr>
        <w:rFonts w:ascii="Courier New" w:hAnsi="Courier New" w:cs="Courier New" w:hint="default"/>
      </w:rPr>
    </w:lvl>
    <w:lvl w:ilvl="5" w:tplc="B09E2458">
      <w:start w:val="1"/>
      <w:numFmt w:val="bullet"/>
      <w:lvlText w:val=""/>
      <w:lvlJc w:val="left"/>
      <w:pPr>
        <w:ind w:left="4470" w:hanging="360"/>
      </w:pPr>
      <w:rPr>
        <w:rFonts w:ascii="Wingdings" w:hAnsi="Wingdings" w:hint="default"/>
      </w:rPr>
    </w:lvl>
    <w:lvl w:ilvl="6" w:tplc="B776DD2E">
      <w:start w:val="1"/>
      <w:numFmt w:val="bullet"/>
      <w:lvlText w:val=""/>
      <w:lvlJc w:val="left"/>
      <w:pPr>
        <w:ind w:left="5190" w:hanging="360"/>
      </w:pPr>
      <w:rPr>
        <w:rFonts w:ascii="Symbol" w:hAnsi="Symbol" w:hint="default"/>
      </w:rPr>
    </w:lvl>
    <w:lvl w:ilvl="7" w:tplc="DAB6074E">
      <w:start w:val="1"/>
      <w:numFmt w:val="bullet"/>
      <w:lvlText w:val="o"/>
      <w:lvlJc w:val="left"/>
      <w:pPr>
        <w:ind w:left="5910" w:hanging="360"/>
      </w:pPr>
      <w:rPr>
        <w:rFonts w:ascii="Courier New" w:hAnsi="Courier New" w:cs="Courier New" w:hint="default"/>
      </w:rPr>
    </w:lvl>
    <w:lvl w:ilvl="8" w:tplc="762004CA">
      <w:start w:val="1"/>
      <w:numFmt w:val="bullet"/>
      <w:lvlText w:val=""/>
      <w:lvlJc w:val="left"/>
      <w:pPr>
        <w:ind w:left="6630" w:hanging="360"/>
      </w:pPr>
      <w:rPr>
        <w:rFonts w:ascii="Wingdings" w:hAnsi="Wingdings" w:hint="default"/>
      </w:rPr>
    </w:lvl>
  </w:abstractNum>
  <w:abstractNum w:abstractNumId="125" w15:restartNumberingAfterBreak="0">
    <w:nsid w:val="737B0BE8"/>
    <w:multiLevelType w:val="singleLevel"/>
    <w:tmpl w:val="1EA4E2B4"/>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26" w15:restartNumberingAfterBreak="0">
    <w:nsid w:val="741F13B7"/>
    <w:multiLevelType w:val="hybridMultilevel"/>
    <w:tmpl w:val="27322B64"/>
    <w:lvl w:ilvl="0" w:tplc="828A867E">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1D34D600" w:tentative="1">
      <w:start w:val="1"/>
      <w:numFmt w:val="lowerLetter"/>
      <w:lvlText w:val="%2."/>
      <w:lvlJc w:val="left"/>
      <w:pPr>
        <w:ind w:left="1440" w:hanging="360"/>
      </w:pPr>
    </w:lvl>
    <w:lvl w:ilvl="2" w:tplc="48AA24BC" w:tentative="1">
      <w:start w:val="1"/>
      <w:numFmt w:val="lowerRoman"/>
      <w:lvlText w:val="%3."/>
      <w:lvlJc w:val="right"/>
      <w:pPr>
        <w:ind w:left="2160" w:hanging="180"/>
      </w:pPr>
    </w:lvl>
    <w:lvl w:ilvl="3" w:tplc="B68238F2" w:tentative="1">
      <w:start w:val="1"/>
      <w:numFmt w:val="decimal"/>
      <w:lvlText w:val="%4."/>
      <w:lvlJc w:val="left"/>
      <w:pPr>
        <w:ind w:left="2880" w:hanging="360"/>
      </w:pPr>
    </w:lvl>
    <w:lvl w:ilvl="4" w:tplc="EC6EBDAE" w:tentative="1">
      <w:start w:val="1"/>
      <w:numFmt w:val="lowerLetter"/>
      <w:lvlText w:val="%5."/>
      <w:lvlJc w:val="left"/>
      <w:pPr>
        <w:ind w:left="3600" w:hanging="360"/>
      </w:pPr>
    </w:lvl>
    <w:lvl w:ilvl="5" w:tplc="6D909AD2" w:tentative="1">
      <w:start w:val="1"/>
      <w:numFmt w:val="lowerRoman"/>
      <w:lvlText w:val="%6."/>
      <w:lvlJc w:val="right"/>
      <w:pPr>
        <w:ind w:left="4320" w:hanging="180"/>
      </w:pPr>
    </w:lvl>
    <w:lvl w:ilvl="6" w:tplc="F208D102" w:tentative="1">
      <w:start w:val="1"/>
      <w:numFmt w:val="decimal"/>
      <w:lvlText w:val="%7."/>
      <w:lvlJc w:val="left"/>
      <w:pPr>
        <w:ind w:left="5040" w:hanging="360"/>
      </w:pPr>
    </w:lvl>
    <w:lvl w:ilvl="7" w:tplc="B320851E" w:tentative="1">
      <w:start w:val="1"/>
      <w:numFmt w:val="lowerLetter"/>
      <w:lvlText w:val="%8."/>
      <w:lvlJc w:val="left"/>
      <w:pPr>
        <w:ind w:left="5760" w:hanging="360"/>
      </w:pPr>
    </w:lvl>
    <w:lvl w:ilvl="8" w:tplc="3356C09A" w:tentative="1">
      <w:start w:val="1"/>
      <w:numFmt w:val="lowerRoman"/>
      <w:lvlText w:val="%9."/>
      <w:lvlJc w:val="right"/>
      <w:pPr>
        <w:ind w:left="6480" w:hanging="180"/>
      </w:pPr>
    </w:lvl>
  </w:abstractNum>
  <w:abstractNum w:abstractNumId="127" w15:restartNumberingAfterBreak="0">
    <w:nsid w:val="74397EAD"/>
    <w:multiLevelType w:val="hybridMultilevel"/>
    <w:tmpl w:val="0F045C70"/>
    <w:lvl w:ilvl="0" w:tplc="50A423CA">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8026C3E4" w:tentative="1">
      <w:start w:val="1"/>
      <w:numFmt w:val="lowerLetter"/>
      <w:lvlText w:val="%2."/>
      <w:lvlJc w:val="left"/>
      <w:pPr>
        <w:ind w:left="1440" w:hanging="360"/>
      </w:pPr>
    </w:lvl>
    <w:lvl w:ilvl="2" w:tplc="B85C0F84" w:tentative="1">
      <w:start w:val="1"/>
      <w:numFmt w:val="lowerRoman"/>
      <w:lvlText w:val="%3."/>
      <w:lvlJc w:val="right"/>
      <w:pPr>
        <w:ind w:left="2160" w:hanging="180"/>
      </w:pPr>
    </w:lvl>
    <w:lvl w:ilvl="3" w:tplc="A8007AF6" w:tentative="1">
      <w:start w:val="1"/>
      <w:numFmt w:val="decimal"/>
      <w:lvlText w:val="%4."/>
      <w:lvlJc w:val="left"/>
      <w:pPr>
        <w:ind w:left="2880" w:hanging="360"/>
      </w:pPr>
    </w:lvl>
    <w:lvl w:ilvl="4" w:tplc="B7724458" w:tentative="1">
      <w:start w:val="1"/>
      <w:numFmt w:val="lowerLetter"/>
      <w:lvlText w:val="%5."/>
      <w:lvlJc w:val="left"/>
      <w:pPr>
        <w:ind w:left="3600" w:hanging="360"/>
      </w:pPr>
    </w:lvl>
    <w:lvl w:ilvl="5" w:tplc="39C83B82" w:tentative="1">
      <w:start w:val="1"/>
      <w:numFmt w:val="lowerRoman"/>
      <w:lvlText w:val="%6."/>
      <w:lvlJc w:val="right"/>
      <w:pPr>
        <w:ind w:left="4320" w:hanging="180"/>
      </w:pPr>
    </w:lvl>
    <w:lvl w:ilvl="6" w:tplc="72B4F9CA" w:tentative="1">
      <w:start w:val="1"/>
      <w:numFmt w:val="decimal"/>
      <w:lvlText w:val="%7."/>
      <w:lvlJc w:val="left"/>
      <w:pPr>
        <w:ind w:left="5040" w:hanging="360"/>
      </w:pPr>
    </w:lvl>
    <w:lvl w:ilvl="7" w:tplc="678A9772" w:tentative="1">
      <w:start w:val="1"/>
      <w:numFmt w:val="lowerLetter"/>
      <w:lvlText w:val="%8."/>
      <w:lvlJc w:val="left"/>
      <w:pPr>
        <w:ind w:left="5760" w:hanging="360"/>
      </w:pPr>
    </w:lvl>
    <w:lvl w:ilvl="8" w:tplc="89F0524C" w:tentative="1">
      <w:start w:val="1"/>
      <w:numFmt w:val="lowerRoman"/>
      <w:lvlText w:val="%9."/>
      <w:lvlJc w:val="right"/>
      <w:pPr>
        <w:ind w:left="6480" w:hanging="180"/>
      </w:pPr>
    </w:lvl>
  </w:abstractNum>
  <w:abstractNum w:abstractNumId="128" w15:restartNumberingAfterBreak="0">
    <w:nsid w:val="75AD3B86"/>
    <w:multiLevelType w:val="hybridMultilevel"/>
    <w:tmpl w:val="59602678"/>
    <w:lvl w:ilvl="0" w:tplc="046AD8E4">
      <w:start w:val="1"/>
      <w:numFmt w:val="lowerLetter"/>
      <w:lvlText w:val="%1"/>
      <w:lvlJc w:val="left"/>
      <w:pPr>
        <w:ind w:left="404" w:hanging="360"/>
      </w:pPr>
      <w:rPr>
        <w:rFonts w:hint="default"/>
        <w:sz w:val="16"/>
        <w:szCs w:val="16"/>
        <w:vertAlign w:val="superscript"/>
      </w:rPr>
    </w:lvl>
    <w:lvl w:ilvl="1" w:tplc="4ED817FE" w:tentative="1">
      <w:start w:val="1"/>
      <w:numFmt w:val="lowerLetter"/>
      <w:lvlText w:val="%2."/>
      <w:lvlJc w:val="left"/>
      <w:pPr>
        <w:ind w:left="1124" w:hanging="360"/>
      </w:pPr>
    </w:lvl>
    <w:lvl w:ilvl="2" w:tplc="A9BAC67A" w:tentative="1">
      <w:start w:val="1"/>
      <w:numFmt w:val="lowerRoman"/>
      <w:lvlText w:val="%3."/>
      <w:lvlJc w:val="right"/>
      <w:pPr>
        <w:ind w:left="1844" w:hanging="180"/>
      </w:pPr>
    </w:lvl>
    <w:lvl w:ilvl="3" w:tplc="B4CEBE20" w:tentative="1">
      <w:start w:val="1"/>
      <w:numFmt w:val="decimal"/>
      <w:lvlText w:val="%4."/>
      <w:lvlJc w:val="left"/>
      <w:pPr>
        <w:ind w:left="2564" w:hanging="360"/>
      </w:pPr>
    </w:lvl>
    <w:lvl w:ilvl="4" w:tplc="814CE6FA" w:tentative="1">
      <w:start w:val="1"/>
      <w:numFmt w:val="lowerLetter"/>
      <w:lvlText w:val="%5."/>
      <w:lvlJc w:val="left"/>
      <w:pPr>
        <w:ind w:left="3284" w:hanging="360"/>
      </w:pPr>
    </w:lvl>
    <w:lvl w:ilvl="5" w:tplc="ADEE1762" w:tentative="1">
      <w:start w:val="1"/>
      <w:numFmt w:val="lowerRoman"/>
      <w:lvlText w:val="%6."/>
      <w:lvlJc w:val="right"/>
      <w:pPr>
        <w:ind w:left="4004" w:hanging="180"/>
      </w:pPr>
    </w:lvl>
    <w:lvl w:ilvl="6" w:tplc="6714DB92" w:tentative="1">
      <w:start w:val="1"/>
      <w:numFmt w:val="decimal"/>
      <w:lvlText w:val="%7."/>
      <w:lvlJc w:val="left"/>
      <w:pPr>
        <w:ind w:left="4724" w:hanging="360"/>
      </w:pPr>
    </w:lvl>
    <w:lvl w:ilvl="7" w:tplc="0B2C199E" w:tentative="1">
      <w:start w:val="1"/>
      <w:numFmt w:val="lowerLetter"/>
      <w:lvlText w:val="%8."/>
      <w:lvlJc w:val="left"/>
      <w:pPr>
        <w:ind w:left="5444" w:hanging="360"/>
      </w:pPr>
    </w:lvl>
    <w:lvl w:ilvl="8" w:tplc="0772F73A" w:tentative="1">
      <w:start w:val="1"/>
      <w:numFmt w:val="lowerRoman"/>
      <w:lvlText w:val="%9."/>
      <w:lvlJc w:val="right"/>
      <w:pPr>
        <w:ind w:left="6164" w:hanging="180"/>
      </w:pPr>
    </w:lvl>
  </w:abstractNum>
  <w:abstractNum w:abstractNumId="129" w15:restartNumberingAfterBreak="0">
    <w:nsid w:val="7624055D"/>
    <w:multiLevelType w:val="hybridMultilevel"/>
    <w:tmpl w:val="E8FE09A2"/>
    <w:lvl w:ilvl="0" w:tplc="F2EC0E8A">
      <w:start w:val="1"/>
      <w:numFmt w:val="bullet"/>
      <w:lvlText w:val=""/>
      <w:lvlJc w:val="left"/>
      <w:pPr>
        <w:ind w:left="720" w:hanging="360"/>
      </w:pPr>
      <w:rPr>
        <w:rFonts w:ascii="Symbol" w:hAnsi="Symbol" w:hint="default"/>
      </w:rPr>
    </w:lvl>
    <w:lvl w:ilvl="1" w:tplc="1346A728" w:tentative="1">
      <w:start w:val="1"/>
      <w:numFmt w:val="bullet"/>
      <w:lvlText w:val="o"/>
      <w:lvlJc w:val="left"/>
      <w:pPr>
        <w:ind w:left="1440" w:hanging="360"/>
      </w:pPr>
      <w:rPr>
        <w:rFonts w:ascii="Courier New" w:hAnsi="Courier New" w:cs="Courier New" w:hint="default"/>
      </w:rPr>
    </w:lvl>
    <w:lvl w:ilvl="2" w:tplc="2D6860B4" w:tentative="1">
      <w:start w:val="1"/>
      <w:numFmt w:val="bullet"/>
      <w:lvlText w:val=""/>
      <w:lvlJc w:val="left"/>
      <w:pPr>
        <w:ind w:left="2160" w:hanging="360"/>
      </w:pPr>
      <w:rPr>
        <w:rFonts w:ascii="Wingdings" w:hAnsi="Wingdings" w:hint="default"/>
      </w:rPr>
    </w:lvl>
    <w:lvl w:ilvl="3" w:tplc="6E22B0D2" w:tentative="1">
      <w:start w:val="1"/>
      <w:numFmt w:val="bullet"/>
      <w:lvlText w:val=""/>
      <w:lvlJc w:val="left"/>
      <w:pPr>
        <w:ind w:left="2880" w:hanging="360"/>
      </w:pPr>
      <w:rPr>
        <w:rFonts w:ascii="Symbol" w:hAnsi="Symbol" w:hint="default"/>
      </w:rPr>
    </w:lvl>
    <w:lvl w:ilvl="4" w:tplc="0EFE7CE2" w:tentative="1">
      <w:start w:val="1"/>
      <w:numFmt w:val="bullet"/>
      <w:lvlText w:val="o"/>
      <w:lvlJc w:val="left"/>
      <w:pPr>
        <w:ind w:left="3600" w:hanging="360"/>
      </w:pPr>
      <w:rPr>
        <w:rFonts w:ascii="Courier New" w:hAnsi="Courier New" w:cs="Courier New" w:hint="default"/>
      </w:rPr>
    </w:lvl>
    <w:lvl w:ilvl="5" w:tplc="6242E4D0" w:tentative="1">
      <w:start w:val="1"/>
      <w:numFmt w:val="bullet"/>
      <w:lvlText w:val=""/>
      <w:lvlJc w:val="left"/>
      <w:pPr>
        <w:ind w:left="4320" w:hanging="360"/>
      </w:pPr>
      <w:rPr>
        <w:rFonts w:ascii="Wingdings" w:hAnsi="Wingdings" w:hint="default"/>
      </w:rPr>
    </w:lvl>
    <w:lvl w:ilvl="6" w:tplc="BA14141C" w:tentative="1">
      <w:start w:val="1"/>
      <w:numFmt w:val="bullet"/>
      <w:lvlText w:val=""/>
      <w:lvlJc w:val="left"/>
      <w:pPr>
        <w:ind w:left="5040" w:hanging="360"/>
      </w:pPr>
      <w:rPr>
        <w:rFonts w:ascii="Symbol" w:hAnsi="Symbol" w:hint="default"/>
      </w:rPr>
    </w:lvl>
    <w:lvl w:ilvl="7" w:tplc="BED80D1C" w:tentative="1">
      <w:start w:val="1"/>
      <w:numFmt w:val="bullet"/>
      <w:lvlText w:val="o"/>
      <w:lvlJc w:val="left"/>
      <w:pPr>
        <w:ind w:left="5760" w:hanging="360"/>
      </w:pPr>
      <w:rPr>
        <w:rFonts w:ascii="Courier New" w:hAnsi="Courier New" w:cs="Courier New" w:hint="default"/>
      </w:rPr>
    </w:lvl>
    <w:lvl w:ilvl="8" w:tplc="5888E03E" w:tentative="1">
      <w:start w:val="1"/>
      <w:numFmt w:val="bullet"/>
      <w:lvlText w:val=""/>
      <w:lvlJc w:val="left"/>
      <w:pPr>
        <w:ind w:left="6480" w:hanging="360"/>
      </w:pPr>
      <w:rPr>
        <w:rFonts w:ascii="Wingdings" w:hAnsi="Wingdings" w:hint="default"/>
      </w:rPr>
    </w:lvl>
  </w:abstractNum>
  <w:abstractNum w:abstractNumId="130"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31" w15:restartNumberingAfterBreak="0">
    <w:nsid w:val="7A2C2E7C"/>
    <w:multiLevelType w:val="hybridMultilevel"/>
    <w:tmpl w:val="1514EB7C"/>
    <w:lvl w:ilvl="0" w:tplc="F92EFECC">
      <w:start w:val="1"/>
      <w:numFmt w:val="bullet"/>
      <w:lvlText w:val=""/>
      <w:lvlJc w:val="left"/>
      <w:pPr>
        <w:tabs>
          <w:tab w:val="num" w:pos="720"/>
        </w:tabs>
        <w:ind w:left="720" w:hanging="360"/>
      </w:pPr>
      <w:rPr>
        <w:rFonts w:ascii="Symbol" w:hAnsi="Symbol" w:hint="default"/>
      </w:rPr>
    </w:lvl>
    <w:lvl w:ilvl="1" w:tplc="9C784148" w:tentative="1">
      <w:start w:val="1"/>
      <w:numFmt w:val="bullet"/>
      <w:lvlText w:val="o"/>
      <w:lvlJc w:val="left"/>
      <w:pPr>
        <w:tabs>
          <w:tab w:val="num" w:pos="1440"/>
        </w:tabs>
        <w:ind w:left="1440" w:hanging="360"/>
      </w:pPr>
      <w:rPr>
        <w:rFonts w:ascii="Courier New" w:hAnsi="Courier New" w:hint="default"/>
      </w:rPr>
    </w:lvl>
    <w:lvl w:ilvl="2" w:tplc="FB2A0F56" w:tentative="1">
      <w:start w:val="1"/>
      <w:numFmt w:val="bullet"/>
      <w:lvlText w:val=""/>
      <w:lvlJc w:val="left"/>
      <w:pPr>
        <w:tabs>
          <w:tab w:val="num" w:pos="2160"/>
        </w:tabs>
        <w:ind w:left="2160" w:hanging="360"/>
      </w:pPr>
      <w:rPr>
        <w:rFonts w:ascii="Wingdings" w:hAnsi="Wingdings" w:hint="default"/>
      </w:rPr>
    </w:lvl>
    <w:lvl w:ilvl="3" w:tplc="BD40DCFA" w:tentative="1">
      <w:start w:val="1"/>
      <w:numFmt w:val="bullet"/>
      <w:lvlText w:val=""/>
      <w:lvlJc w:val="left"/>
      <w:pPr>
        <w:tabs>
          <w:tab w:val="num" w:pos="2880"/>
        </w:tabs>
        <w:ind w:left="2880" w:hanging="360"/>
      </w:pPr>
      <w:rPr>
        <w:rFonts w:ascii="Symbol" w:hAnsi="Symbol" w:hint="default"/>
      </w:rPr>
    </w:lvl>
    <w:lvl w:ilvl="4" w:tplc="24D0A8CA" w:tentative="1">
      <w:start w:val="1"/>
      <w:numFmt w:val="bullet"/>
      <w:lvlText w:val="o"/>
      <w:lvlJc w:val="left"/>
      <w:pPr>
        <w:tabs>
          <w:tab w:val="num" w:pos="3600"/>
        </w:tabs>
        <w:ind w:left="3600" w:hanging="360"/>
      </w:pPr>
      <w:rPr>
        <w:rFonts w:ascii="Courier New" w:hAnsi="Courier New" w:hint="default"/>
      </w:rPr>
    </w:lvl>
    <w:lvl w:ilvl="5" w:tplc="C02834AA" w:tentative="1">
      <w:start w:val="1"/>
      <w:numFmt w:val="bullet"/>
      <w:lvlText w:val=""/>
      <w:lvlJc w:val="left"/>
      <w:pPr>
        <w:tabs>
          <w:tab w:val="num" w:pos="4320"/>
        </w:tabs>
        <w:ind w:left="4320" w:hanging="360"/>
      </w:pPr>
      <w:rPr>
        <w:rFonts w:ascii="Wingdings" w:hAnsi="Wingdings" w:hint="default"/>
      </w:rPr>
    </w:lvl>
    <w:lvl w:ilvl="6" w:tplc="A490BCBA" w:tentative="1">
      <w:start w:val="1"/>
      <w:numFmt w:val="bullet"/>
      <w:lvlText w:val=""/>
      <w:lvlJc w:val="left"/>
      <w:pPr>
        <w:tabs>
          <w:tab w:val="num" w:pos="5040"/>
        </w:tabs>
        <w:ind w:left="5040" w:hanging="360"/>
      </w:pPr>
      <w:rPr>
        <w:rFonts w:ascii="Symbol" w:hAnsi="Symbol" w:hint="default"/>
      </w:rPr>
    </w:lvl>
    <w:lvl w:ilvl="7" w:tplc="BCD261B8" w:tentative="1">
      <w:start w:val="1"/>
      <w:numFmt w:val="bullet"/>
      <w:lvlText w:val="o"/>
      <w:lvlJc w:val="left"/>
      <w:pPr>
        <w:tabs>
          <w:tab w:val="num" w:pos="5760"/>
        </w:tabs>
        <w:ind w:left="5760" w:hanging="360"/>
      </w:pPr>
      <w:rPr>
        <w:rFonts w:ascii="Courier New" w:hAnsi="Courier New" w:hint="default"/>
      </w:rPr>
    </w:lvl>
    <w:lvl w:ilvl="8" w:tplc="3DA446C0"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B8617B7"/>
    <w:multiLevelType w:val="hybridMultilevel"/>
    <w:tmpl w:val="E0DCD324"/>
    <w:lvl w:ilvl="0" w:tplc="FAE234B0">
      <w:start w:val="1"/>
      <w:numFmt w:val="bullet"/>
      <w:lvlText w:val=""/>
      <w:lvlJc w:val="left"/>
      <w:pPr>
        <w:tabs>
          <w:tab w:val="num" w:pos="720"/>
        </w:tabs>
        <w:ind w:left="720" w:hanging="360"/>
      </w:pPr>
      <w:rPr>
        <w:rFonts w:ascii="Symbol" w:hAnsi="Symbol" w:hint="default"/>
      </w:rPr>
    </w:lvl>
    <w:lvl w:ilvl="1" w:tplc="C6820978" w:tentative="1">
      <w:start w:val="1"/>
      <w:numFmt w:val="bullet"/>
      <w:lvlText w:val="o"/>
      <w:lvlJc w:val="left"/>
      <w:pPr>
        <w:tabs>
          <w:tab w:val="num" w:pos="1440"/>
        </w:tabs>
        <w:ind w:left="1440" w:hanging="360"/>
      </w:pPr>
      <w:rPr>
        <w:rFonts w:ascii="Courier New" w:hAnsi="Courier New" w:cs="Courier New" w:hint="default"/>
      </w:rPr>
    </w:lvl>
    <w:lvl w:ilvl="2" w:tplc="84BC8090" w:tentative="1">
      <w:start w:val="1"/>
      <w:numFmt w:val="bullet"/>
      <w:lvlText w:val=""/>
      <w:lvlJc w:val="left"/>
      <w:pPr>
        <w:tabs>
          <w:tab w:val="num" w:pos="2160"/>
        </w:tabs>
        <w:ind w:left="2160" w:hanging="360"/>
      </w:pPr>
      <w:rPr>
        <w:rFonts w:ascii="Wingdings" w:hAnsi="Wingdings" w:hint="default"/>
      </w:rPr>
    </w:lvl>
    <w:lvl w:ilvl="3" w:tplc="87D6BEF6" w:tentative="1">
      <w:start w:val="1"/>
      <w:numFmt w:val="bullet"/>
      <w:lvlText w:val=""/>
      <w:lvlJc w:val="left"/>
      <w:pPr>
        <w:tabs>
          <w:tab w:val="num" w:pos="2880"/>
        </w:tabs>
        <w:ind w:left="2880" w:hanging="360"/>
      </w:pPr>
      <w:rPr>
        <w:rFonts w:ascii="Symbol" w:hAnsi="Symbol" w:hint="default"/>
      </w:rPr>
    </w:lvl>
    <w:lvl w:ilvl="4" w:tplc="5EEE5CF2" w:tentative="1">
      <w:start w:val="1"/>
      <w:numFmt w:val="bullet"/>
      <w:lvlText w:val="o"/>
      <w:lvlJc w:val="left"/>
      <w:pPr>
        <w:tabs>
          <w:tab w:val="num" w:pos="3600"/>
        </w:tabs>
        <w:ind w:left="3600" w:hanging="360"/>
      </w:pPr>
      <w:rPr>
        <w:rFonts w:ascii="Courier New" w:hAnsi="Courier New" w:cs="Courier New" w:hint="default"/>
      </w:rPr>
    </w:lvl>
    <w:lvl w:ilvl="5" w:tplc="3A0ADC40" w:tentative="1">
      <w:start w:val="1"/>
      <w:numFmt w:val="bullet"/>
      <w:lvlText w:val=""/>
      <w:lvlJc w:val="left"/>
      <w:pPr>
        <w:tabs>
          <w:tab w:val="num" w:pos="4320"/>
        </w:tabs>
        <w:ind w:left="4320" w:hanging="360"/>
      </w:pPr>
      <w:rPr>
        <w:rFonts w:ascii="Wingdings" w:hAnsi="Wingdings" w:hint="default"/>
      </w:rPr>
    </w:lvl>
    <w:lvl w:ilvl="6" w:tplc="0B90105C" w:tentative="1">
      <w:start w:val="1"/>
      <w:numFmt w:val="bullet"/>
      <w:lvlText w:val=""/>
      <w:lvlJc w:val="left"/>
      <w:pPr>
        <w:tabs>
          <w:tab w:val="num" w:pos="5040"/>
        </w:tabs>
        <w:ind w:left="5040" w:hanging="360"/>
      </w:pPr>
      <w:rPr>
        <w:rFonts w:ascii="Symbol" w:hAnsi="Symbol" w:hint="default"/>
      </w:rPr>
    </w:lvl>
    <w:lvl w:ilvl="7" w:tplc="D89C536E" w:tentative="1">
      <w:start w:val="1"/>
      <w:numFmt w:val="bullet"/>
      <w:lvlText w:val="o"/>
      <w:lvlJc w:val="left"/>
      <w:pPr>
        <w:tabs>
          <w:tab w:val="num" w:pos="5760"/>
        </w:tabs>
        <w:ind w:left="5760" w:hanging="360"/>
      </w:pPr>
      <w:rPr>
        <w:rFonts w:ascii="Courier New" w:hAnsi="Courier New" w:cs="Courier New" w:hint="default"/>
      </w:rPr>
    </w:lvl>
    <w:lvl w:ilvl="8" w:tplc="07EC4620"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DE17226"/>
    <w:multiLevelType w:val="hybridMultilevel"/>
    <w:tmpl w:val="CE22AA2E"/>
    <w:lvl w:ilvl="0" w:tplc="EA58E4F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8A7422E6" w:tentative="1">
      <w:start w:val="1"/>
      <w:numFmt w:val="lowerLetter"/>
      <w:lvlText w:val="%2."/>
      <w:lvlJc w:val="left"/>
      <w:pPr>
        <w:ind w:left="1080" w:hanging="360"/>
      </w:pPr>
    </w:lvl>
    <w:lvl w:ilvl="2" w:tplc="17B26966" w:tentative="1">
      <w:start w:val="1"/>
      <w:numFmt w:val="lowerRoman"/>
      <w:lvlText w:val="%3."/>
      <w:lvlJc w:val="right"/>
      <w:pPr>
        <w:ind w:left="1800" w:hanging="180"/>
      </w:pPr>
    </w:lvl>
    <w:lvl w:ilvl="3" w:tplc="CD6A04C0" w:tentative="1">
      <w:start w:val="1"/>
      <w:numFmt w:val="decimal"/>
      <w:lvlText w:val="%4."/>
      <w:lvlJc w:val="left"/>
      <w:pPr>
        <w:ind w:left="2520" w:hanging="360"/>
      </w:pPr>
    </w:lvl>
    <w:lvl w:ilvl="4" w:tplc="7C9E3138" w:tentative="1">
      <w:start w:val="1"/>
      <w:numFmt w:val="lowerLetter"/>
      <w:lvlText w:val="%5."/>
      <w:lvlJc w:val="left"/>
      <w:pPr>
        <w:ind w:left="3240" w:hanging="360"/>
      </w:pPr>
    </w:lvl>
    <w:lvl w:ilvl="5" w:tplc="9FAE7508" w:tentative="1">
      <w:start w:val="1"/>
      <w:numFmt w:val="lowerRoman"/>
      <w:lvlText w:val="%6."/>
      <w:lvlJc w:val="right"/>
      <w:pPr>
        <w:ind w:left="3960" w:hanging="180"/>
      </w:pPr>
    </w:lvl>
    <w:lvl w:ilvl="6" w:tplc="26D40C82" w:tentative="1">
      <w:start w:val="1"/>
      <w:numFmt w:val="decimal"/>
      <w:lvlText w:val="%7."/>
      <w:lvlJc w:val="left"/>
      <w:pPr>
        <w:ind w:left="4680" w:hanging="360"/>
      </w:pPr>
    </w:lvl>
    <w:lvl w:ilvl="7" w:tplc="1E76EAF0" w:tentative="1">
      <w:start w:val="1"/>
      <w:numFmt w:val="lowerLetter"/>
      <w:lvlText w:val="%8."/>
      <w:lvlJc w:val="left"/>
      <w:pPr>
        <w:ind w:left="5400" w:hanging="360"/>
      </w:pPr>
    </w:lvl>
    <w:lvl w:ilvl="8" w:tplc="A51CD14A" w:tentative="1">
      <w:start w:val="1"/>
      <w:numFmt w:val="lowerRoman"/>
      <w:lvlText w:val="%9."/>
      <w:lvlJc w:val="right"/>
      <w:pPr>
        <w:ind w:left="6120" w:hanging="180"/>
      </w:pPr>
    </w:lvl>
  </w:abstractNum>
  <w:abstractNum w:abstractNumId="134" w15:restartNumberingAfterBreak="0">
    <w:nsid w:val="7F942AF8"/>
    <w:multiLevelType w:val="hybridMultilevel"/>
    <w:tmpl w:val="A3C2F622"/>
    <w:lvl w:ilvl="0" w:tplc="F10AC8A8">
      <w:start w:val="1"/>
      <w:numFmt w:val="bullet"/>
      <w:lvlText w:val=""/>
      <w:lvlJc w:val="left"/>
      <w:pPr>
        <w:tabs>
          <w:tab w:val="num" w:pos="567"/>
        </w:tabs>
        <w:ind w:left="567" w:hanging="567"/>
      </w:pPr>
      <w:rPr>
        <w:rFonts w:ascii="Symbol" w:hAnsi="Symbol" w:hint="default"/>
      </w:rPr>
    </w:lvl>
    <w:lvl w:ilvl="1" w:tplc="55A06B6A" w:tentative="1">
      <w:start w:val="1"/>
      <w:numFmt w:val="bullet"/>
      <w:lvlText w:val="o"/>
      <w:lvlJc w:val="left"/>
      <w:pPr>
        <w:tabs>
          <w:tab w:val="num" w:pos="1500"/>
        </w:tabs>
        <w:ind w:left="1500" w:hanging="360"/>
      </w:pPr>
      <w:rPr>
        <w:rFonts w:ascii="Courier New" w:hAnsi="Courier New" w:cs="Courier New" w:hint="default"/>
      </w:rPr>
    </w:lvl>
    <w:lvl w:ilvl="2" w:tplc="41EC5188" w:tentative="1">
      <w:start w:val="1"/>
      <w:numFmt w:val="bullet"/>
      <w:lvlText w:val=""/>
      <w:lvlJc w:val="left"/>
      <w:pPr>
        <w:tabs>
          <w:tab w:val="num" w:pos="2220"/>
        </w:tabs>
        <w:ind w:left="2220" w:hanging="360"/>
      </w:pPr>
      <w:rPr>
        <w:rFonts w:ascii="Wingdings" w:hAnsi="Wingdings" w:hint="default"/>
      </w:rPr>
    </w:lvl>
    <w:lvl w:ilvl="3" w:tplc="3AF68340" w:tentative="1">
      <w:start w:val="1"/>
      <w:numFmt w:val="bullet"/>
      <w:lvlText w:val=""/>
      <w:lvlJc w:val="left"/>
      <w:pPr>
        <w:tabs>
          <w:tab w:val="num" w:pos="2940"/>
        </w:tabs>
        <w:ind w:left="2940" w:hanging="360"/>
      </w:pPr>
      <w:rPr>
        <w:rFonts w:ascii="Symbol" w:hAnsi="Symbol" w:hint="default"/>
      </w:rPr>
    </w:lvl>
    <w:lvl w:ilvl="4" w:tplc="8FC26E7C" w:tentative="1">
      <w:start w:val="1"/>
      <w:numFmt w:val="bullet"/>
      <w:lvlText w:val="o"/>
      <w:lvlJc w:val="left"/>
      <w:pPr>
        <w:tabs>
          <w:tab w:val="num" w:pos="3660"/>
        </w:tabs>
        <w:ind w:left="3660" w:hanging="360"/>
      </w:pPr>
      <w:rPr>
        <w:rFonts w:ascii="Courier New" w:hAnsi="Courier New" w:cs="Courier New" w:hint="default"/>
      </w:rPr>
    </w:lvl>
    <w:lvl w:ilvl="5" w:tplc="016A8576" w:tentative="1">
      <w:start w:val="1"/>
      <w:numFmt w:val="bullet"/>
      <w:lvlText w:val=""/>
      <w:lvlJc w:val="left"/>
      <w:pPr>
        <w:tabs>
          <w:tab w:val="num" w:pos="4380"/>
        </w:tabs>
        <w:ind w:left="4380" w:hanging="360"/>
      </w:pPr>
      <w:rPr>
        <w:rFonts w:ascii="Wingdings" w:hAnsi="Wingdings" w:hint="default"/>
      </w:rPr>
    </w:lvl>
    <w:lvl w:ilvl="6" w:tplc="8048E1CE" w:tentative="1">
      <w:start w:val="1"/>
      <w:numFmt w:val="bullet"/>
      <w:lvlText w:val=""/>
      <w:lvlJc w:val="left"/>
      <w:pPr>
        <w:tabs>
          <w:tab w:val="num" w:pos="5100"/>
        </w:tabs>
        <w:ind w:left="5100" w:hanging="360"/>
      </w:pPr>
      <w:rPr>
        <w:rFonts w:ascii="Symbol" w:hAnsi="Symbol" w:hint="default"/>
      </w:rPr>
    </w:lvl>
    <w:lvl w:ilvl="7" w:tplc="3558D506" w:tentative="1">
      <w:start w:val="1"/>
      <w:numFmt w:val="bullet"/>
      <w:lvlText w:val="o"/>
      <w:lvlJc w:val="left"/>
      <w:pPr>
        <w:tabs>
          <w:tab w:val="num" w:pos="5820"/>
        </w:tabs>
        <w:ind w:left="5820" w:hanging="360"/>
      </w:pPr>
      <w:rPr>
        <w:rFonts w:ascii="Courier New" w:hAnsi="Courier New" w:cs="Courier New" w:hint="default"/>
      </w:rPr>
    </w:lvl>
    <w:lvl w:ilvl="8" w:tplc="FB1AE248" w:tentative="1">
      <w:start w:val="1"/>
      <w:numFmt w:val="bullet"/>
      <w:lvlText w:val=""/>
      <w:lvlJc w:val="left"/>
      <w:pPr>
        <w:tabs>
          <w:tab w:val="num" w:pos="6540"/>
        </w:tabs>
        <w:ind w:left="6540" w:hanging="360"/>
      </w:pPr>
      <w:rPr>
        <w:rFonts w:ascii="Wingdings" w:hAnsi="Wingdings" w:hint="default"/>
      </w:rPr>
    </w:lvl>
  </w:abstractNum>
  <w:abstractNum w:abstractNumId="135" w15:restartNumberingAfterBreak="0">
    <w:nsid w:val="7FC757FD"/>
    <w:multiLevelType w:val="hybridMultilevel"/>
    <w:tmpl w:val="BE7AC0BA"/>
    <w:lvl w:ilvl="0" w:tplc="ACFE3E2A">
      <w:start w:val="1"/>
      <w:numFmt w:val="bullet"/>
      <w:lvlText w:val=""/>
      <w:lvlJc w:val="left"/>
      <w:pPr>
        <w:tabs>
          <w:tab w:val="num" w:pos="720"/>
        </w:tabs>
        <w:ind w:left="720" w:hanging="360"/>
      </w:pPr>
      <w:rPr>
        <w:rFonts w:ascii="Symbol" w:hAnsi="Symbol" w:hint="default"/>
      </w:rPr>
    </w:lvl>
    <w:lvl w:ilvl="1" w:tplc="454CC38A" w:tentative="1">
      <w:start w:val="1"/>
      <w:numFmt w:val="bullet"/>
      <w:lvlText w:val="o"/>
      <w:lvlJc w:val="left"/>
      <w:pPr>
        <w:tabs>
          <w:tab w:val="num" w:pos="1440"/>
        </w:tabs>
        <w:ind w:left="1440" w:hanging="360"/>
      </w:pPr>
      <w:rPr>
        <w:rFonts w:ascii="Courier New" w:hAnsi="Courier New" w:cs="Courier New" w:hint="default"/>
      </w:rPr>
    </w:lvl>
    <w:lvl w:ilvl="2" w:tplc="2D6AC48C" w:tentative="1">
      <w:start w:val="1"/>
      <w:numFmt w:val="bullet"/>
      <w:lvlText w:val=""/>
      <w:lvlJc w:val="left"/>
      <w:pPr>
        <w:tabs>
          <w:tab w:val="num" w:pos="2160"/>
        </w:tabs>
        <w:ind w:left="2160" w:hanging="360"/>
      </w:pPr>
      <w:rPr>
        <w:rFonts w:ascii="Wingdings" w:hAnsi="Wingdings" w:hint="default"/>
      </w:rPr>
    </w:lvl>
    <w:lvl w:ilvl="3" w:tplc="C10ED5A6" w:tentative="1">
      <w:start w:val="1"/>
      <w:numFmt w:val="bullet"/>
      <w:lvlText w:val=""/>
      <w:lvlJc w:val="left"/>
      <w:pPr>
        <w:tabs>
          <w:tab w:val="num" w:pos="2880"/>
        </w:tabs>
        <w:ind w:left="2880" w:hanging="360"/>
      </w:pPr>
      <w:rPr>
        <w:rFonts w:ascii="Symbol" w:hAnsi="Symbol" w:hint="default"/>
      </w:rPr>
    </w:lvl>
    <w:lvl w:ilvl="4" w:tplc="03FEA948" w:tentative="1">
      <w:start w:val="1"/>
      <w:numFmt w:val="bullet"/>
      <w:lvlText w:val="o"/>
      <w:lvlJc w:val="left"/>
      <w:pPr>
        <w:tabs>
          <w:tab w:val="num" w:pos="3600"/>
        </w:tabs>
        <w:ind w:left="3600" w:hanging="360"/>
      </w:pPr>
      <w:rPr>
        <w:rFonts w:ascii="Courier New" w:hAnsi="Courier New" w:cs="Courier New" w:hint="default"/>
      </w:rPr>
    </w:lvl>
    <w:lvl w:ilvl="5" w:tplc="B18CFAB4" w:tentative="1">
      <w:start w:val="1"/>
      <w:numFmt w:val="bullet"/>
      <w:lvlText w:val=""/>
      <w:lvlJc w:val="left"/>
      <w:pPr>
        <w:tabs>
          <w:tab w:val="num" w:pos="4320"/>
        </w:tabs>
        <w:ind w:left="4320" w:hanging="360"/>
      </w:pPr>
      <w:rPr>
        <w:rFonts w:ascii="Wingdings" w:hAnsi="Wingdings" w:hint="default"/>
      </w:rPr>
    </w:lvl>
    <w:lvl w:ilvl="6" w:tplc="822AEB62" w:tentative="1">
      <w:start w:val="1"/>
      <w:numFmt w:val="bullet"/>
      <w:lvlText w:val=""/>
      <w:lvlJc w:val="left"/>
      <w:pPr>
        <w:tabs>
          <w:tab w:val="num" w:pos="5040"/>
        </w:tabs>
        <w:ind w:left="5040" w:hanging="360"/>
      </w:pPr>
      <w:rPr>
        <w:rFonts w:ascii="Symbol" w:hAnsi="Symbol" w:hint="default"/>
      </w:rPr>
    </w:lvl>
    <w:lvl w:ilvl="7" w:tplc="AF54ADF0" w:tentative="1">
      <w:start w:val="1"/>
      <w:numFmt w:val="bullet"/>
      <w:lvlText w:val="o"/>
      <w:lvlJc w:val="left"/>
      <w:pPr>
        <w:tabs>
          <w:tab w:val="num" w:pos="5760"/>
        </w:tabs>
        <w:ind w:left="5760" w:hanging="360"/>
      </w:pPr>
      <w:rPr>
        <w:rFonts w:ascii="Courier New" w:hAnsi="Courier New" w:cs="Courier New" w:hint="default"/>
      </w:rPr>
    </w:lvl>
    <w:lvl w:ilvl="8" w:tplc="807452AC" w:tentative="1">
      <w:start w:val="1"/>
      <w:numFmt w:val="bullet"/>
      <w:lvlText w:val=""/>
      <w:lvlJc w:val="left"/>
      <w:pPr>
        <w:tabs>
          <w:tab w:val="num" w:pos="6480"/>
        </w:tabs>
        <w:ind w:left="6480" w:hanging="360"/>
      </w:pPr>
      <w:rPr>
        <w:rFonts w:ascii="Wingdings" w:hAnsi="Wingdings" w:hint="default"/>
      </w:rPr>
    </w:lvl>
  </w:abstractNum>
  <w:num w:numId="1" w16cid:durableId="1939945304">
    <w:abstractNumId w:val="10"/>
    <w:lvlOverride w:ilvl="0">
      <w:lvl w:ilvl="0">
        <w:start w:val="1"/>
        <w:numFmt w:val="bullet"/>
        <w:lvlText w:val="-"/>
        <w:lvlJc w:val="left"/>
        <w:pPr>
          <w:ind w:left="720" w:hanging="360"/>
        </w:pPr>
      </w:lvl>
    </w:lvlOverride>
  </w:num>
  <w:num w:numId="2" w16cid:durableId="1592816107">
    <w:abstractNumId w:val="52"/>
  </w:num>
  <w:num w:numId="3" w16cid:durableId="1497918484">
    <w:abstractNumId w:val="73"/>
  </w:num>
  <w:num w:numId="4" w16cid:durableId="1572155237">
    <w:abstractNumId w:val="113"/>
  </w:num>
  <w:num w:numId="5" w16cid:durableId="2135366072">
    <w:abstractNumId w:val="37"/>
  </w:num>
  <w:num w:numId="6" w16cid:durableId="376974132">
    <w:abstractNumId w:val="115"/>
  </w:num>
  <w:num w:numId="7" w16cid:durableId="1460421203">
    <w:abstractNumId w:val="27"/>
  </w:num>
  <w:num w:numId="8" w16cid:durableId="1622373869">
    <w:abstractNumId w:val="95"/>
  </w:num>
  <w:num w:numId="9" w16cid:durableId="1211528285">
    <w:abstractNumId w:val="64"/>
  </w:num>
  <w:num w:numId="10" w16cid:durableId="1188330070">
    <w:abstractNumId w:val="67"/>
  </w:num>
  <w:num w:numId="11" w16cid:durableId="211235749">
    <w:abstractNumId w:val="81"/>
  </w:num>
  <w:num w:numId="12" w16cid:durableId="276374261">
    <w:abstractNumId w:val="118"/>
  </w:num>
  <w:num w:numId="13" w16cid:durableId="2001998490">
    <w:abstractNumId w:val="104"/>
  </w:num>
  <w:num w:numId="14" w16cid:durableId="1349718939">
    <w:abstractNumId w:val="85"/>
  </w:num>
  <w:num w:numId="15" w16cid:durableId="110368400">
    <w:abstractNumId w:val="75"/>
  </w:num>
  <w:num w:numId="16" w16cid:durableId="781806262">
    <w:abstractNumId w:val="117"/>
  </w:num>
  <w:num w:numId="17" w16cid:durableId="1010371121">
    <w:abstractNumId w:val="93"/>
  </w:num>
  <w:num w:numId="18" w16cid:durableId="1978410034">
    <w:abstractNumId w:val="23"/>
  </w:num>
  <w:num w:numId="19" w16cid:durableId="608704902">
    <w:abstractNumId w:val="134"/>
  </w:num>
  <w:num w:numId="20" w16cid:durableId="574169646">
    <w:abstractNumId w:val="44"/>
  </w:num>
  <w:num w:numId="21" w16cid:durableId="1873109352">
    <w:abstractNumId w:val="87"/>
  </w:num>
  <w:num w:numId="22" w16cid:durableId="450368853">
    <w:abstractNumId w:val="88"/>
  </w:num>
  <w:num w:numId="23" w16cid:durableId="1085105486">
    <w:abstractNumId w:val="92"/>
  </w:num>
  <w:num w:numId="24" w16cid:durableId="1251696499">
    <w:abstractNumId w:val="103"/>
  </w:num>
  <w:num w:numId="25" w16cid:durableId="2004894086">
    <w:abstractNumId w:val="83"/>
  </w:num>
  <w:num w:numId="26" w16cid:durableId="1979189627">
    <w:abstractNumId w:val="78"/>
  </w:num>
  <w:num w:numId="27" w16cid:durableId="885029311">
    <w:abstractNumId w:val="80"/>
  </w:num>
  <w:num w:numId="28" w16cid:durableId="2064059857">
    <w:abstractNumId w:val="41"/>
  </w:num>
  <w:num w:numId="29" w16cid:durableId="8718954">
    <w:abstractNumId w:val="98"/>
  </w:num>
  <w:num w:numId="30" w16cid:durableId="1329212219">
    <w:abstractNumId w:val="22"/>
  </w:num>
  <w:num w:numId="31" w16cid:durableId="997928492">
    <w:abstractNumId w:val="79"/>
  </w:num>
  <w:num w:numId="32" w16cid:durableId="477843021">
    <w:abstractNumId w:val="45"/>
  </w:num>
  <w:num w:numId="33" w16cid:durableId="1102604443">
    <w:abstractNumId w:val="84"/>
  </w:num>
  <w:num w:numId="34" w16cid:durableId="1951425394">
    <w:abstractNumId w:val="123"/>
  </w:num>
  <w:num w:numId="35" w16cid:durableId="492792821">
    <w:abstractNumId w:val="66"/>
  </w:num>
  <w:num w:numId="36" w16cid:durableId="1583833028">
    <w:abstractNumId w:val="14"/>
  </w:num>
  <w:num w:numId="37" w16cid:durableId="1720350247">
    <w:abstractNumId w:val="90"/>
  </w:num>
  <w:num w:numId="38" w16cid:durableId="1034623274">
    <w:abstractNumId w:val="13"/>
  </w:num>
  <w:num w:numId="39" w16cid:durableId="1999963757">
    <w:abstractNumId w:val="100"/>
  </w:num>
  <w:num w:numId="40" w16cid:durableId="1056197846">
    <w:abstractNumId w:val="21"/>
  </w:num>
  <w:num w:numId="41" w16cid:durableId="1078404939">
    <w:abstractNumId w:val="135"/>
  </w:num>
  <w:num w:numId="42" w16cid:durableId="1583837696">
    <w:abstractNumId w:val="50"/>
  </w:num>
  <w:num w:numId="43" w16cid:durableId="1883250866">
    <w:abstractNumId w:val="109"/>
  </w:num>
  <w:num w:numId="44" w16cid:durableId="1722627728">
    <w:abstractNumId w:val="26"/>
  </w:num>
  <w:num w:numId="45" w16cid:durableId="726495225">
    <w:abstractNumId w:val="11"/>
  </w:num>
  <w:num w:numId="46" w16cid:durableId="2042703698">
    <w:abstractNumId w:val="107"/>
  </w:num>
  <w:num w:numId="47" w16cid:durableId="1491212917">
    <w:abstractNumId w:val="40"/>
  </w:num>
  <w:num w:numId="48" w16cid:durableId="1065955831">
    <w:abstractNumId w:val="34"/>
  </w:num>
  <w:num w:numId="49" w16cid:durableId="1540431472">
    <w:abstractNumId w:val="132"/>
  </w:num>
  <w:num w:numId="50" w16cid:durableId="60371767">
    <w:abstractNumId w:val="9"/>
  </w:num>
  <w:num w:numId="51" w16cid:durableId="553976037">
    <w:abstractNumId w:val="7"/>
  </w:num>
  <w:num w:numId="52" w16cid:durableId="1633707626">
    <w:abstractNumId w:val="6"/>
  </w:num>
  <w:num w:numId="53" w16cid:durableId="449084027">
    <w:abstractNumId w:val="5"/>
  </w:num>
  <w:num w:numId="54" w16cid:durableId="843979095">
    <w:abstractNumId w:val="4"/>
  </w:num>
  <w:num w:numId="55" w16cid:durableId="322927052">
    <w:abstractNumId w:val="8"/>
  </w:num>
  <w:num w:numId="56" w16cid:durableId="1784692950">
    <w:abstractNumId w:val="3"/>
  </w:num>
  <w:num w:numId="57" w16cid:durableId="661085894">
    <w:abstractNumId w:val="2"/>
  </w:num>
  <w:num w:numId="58" w16cid:durableId="610285047">
    <w:abstractNumId w:val="1"/>
  </w:num>
  <w:num w:numId="59" w16cid:durableId="126432787">
    <w:abstractNumId w:val="0"/>
  </w:num>
  <w:num w:numId="60" w16cid:durableId="1262758837">
    <w:abstractNumId w:val="74"/>
  </w:num>
  <w:num w:numId="61" w16cid:durableId="332799239">
    <w:abstractNumId w:val="43"/>
  </w:num>
  <w:num w:numId="62" w16cid:durableId="218829395">
    <w:abstractNumId w:val="39"/>
  </w:num>
  <w:num w:numId="63" w16cid:durableId="1100759206">
    <w:abstractNumId w:val="67"/>
  </w:num>
  <w:num w:numId="64" w16cid:durableId="126945274">
    <w:abstractNumId w:val="73"/>
  </w:num>
  <w:num w:numId="65" w16cid:durableId="920604590">
    <w:abstractNumId w:val="80"/>
  </w:num>
  <w:num w:numId="66" w16cid:durableId="1084452598">
    <w:abstractNumId w:val="41"/>
  </w:num>
  <w:num w:numId="67" w16cid:durableId="1637419140">
    <w:abstractNumId w:val="98"/>
  </w:num>
  <w:num w:numId="68" w16cid:durableId="1707481025">
    <w:abstractNumId w:val="22"/>
  </w:num>
  <w:num w:numId="69" w16cid:durableId="210046707">
    <w:abstractNumId w:val="79"/>
  </w:num>
  <w:num w:numId="70" w16cid:durableId="1805730751">
    <w:abstractNumId w:val="45"/>
  </w:num>
  <w:num w:numId="71" w16cid:durableId="966198154">
    <w:abstractNumId w:val="115"/>
  </w:num>
  <w:num w:numId="72" w16cid:durableId="914509157">
    <w:abstractNumId w:val="37"/>
  </w:num>
  <w:num w:numId="73" w16cid:durableId="1503544664">
    <w:abstractNumId w:val="27"/>
  </w:num>
  <w:num w:numId="74" w16cid:durableId="271087846">
    <w:abstractNumId w:val="95"/>
  </w:num>
  <w:num w:numId="75" w16cid:durableId="1945528898">
    <w:abstractNumId w:val="64"/>
  </w:num>
  <w:num w:numId="76" w16cid:durableId="750195062">
    <w:abstractNumId w:val="117"/>
  </w:num>
  <w:num w:numId="77" w16cid:durableId="1199970097">
    <w:abstractNumId w:val="75"/>
  </w:num>
  <w:num w:numId="78" w16cid:durableId="1989553055">
    <w:abstractNumId w:val="132"/>
  </w:num>
  <w:num w:numId="79" w16cid:durableId="259412125">
    <w:abstractNumId w:val="125"/>
  </w:num>
  <w:num w:numId="80" w16cid:durableId="399786811">
    <w:abstractNumId w:val="57"/>
  </w:num>
  <w:num w:numId="81" w16cid:durableId="1695115134">
    <w:abstractNumId w:val="77"/>
  </w:num>
  <w:num w:numId="82" w16cid:durableId="373189657">
    <w:abstractNumId w:val="116"/>
  </w:num>
  <w:num w:numId="83" w16cid:durableId="1200556603">
    <w:abstractNumId w:val="101"/>
  </w:num>
  <w:num w:numId="84" w16cid:durableId="1079867675">
    <w:abstractNumId w:val="55"/>
  </w:num>
  <w:num w:numId="85" w16cid:durableId="891428708">
    <w:abstractNumId w:val="127"/>
  </w:num>
  <w:num w:numId="86" w16cid:durableId="1330519643">
    <w:abstractNumId w:val="126"/>
  </w:num>
  <w:num w:numId="87" w16cid:durableId="142742488">
    <w:abstractNumId w:val="97"/>
  </w:num>
  <w:num w:numId="88" w16cid:durableId="965354867">
    <w:abstractNumId w:val="99"/>
  </w:num>
  <w:num w:numId="89" w16cid:durableId="1629892186">
    <w:abstractNumId w:val="16"/>
  </w:num>
  <w:num w:numId="90" w16cid:durableId="1890991505">
    <w:abstractNumId w:val="47"/>
  </w:num>
  <w:num w:numId="91" w16cid:durableId="995915874">
    <w:abstractNumId w:val="36"/>
  </w:num>
  <w:num w:numId="92" w16cid:durableId="1403521939">
    <w:abstractNumId w:val="59"/>
  </w:num>
  <w:num w:numId="93" w16cid:durableId="1531533582">
    <w:abstractNumId w:val="46"/>
  </w:num>
  <w:num w:numId="94" w16cid:durableId="990720903">
    <w:abstractNumId w:val="63"/>
  </w:num>
  <w:num w:numId="95" w16cid:durableId="1702782857">
    <w:abstractNumId w:val="121"/>
  </w:num>
  <w:num w:numId="96" w16cid:durableId="1969780423">
    <w:abstractNumId w:val="110"/>
  </w:num>
  <w:num w:numId="97" w16cid:durableId="210903849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2744009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80874284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54783341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4742003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3109040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63710151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6049896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5433084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2344598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91375929">
    <w:abstractNumId w:val="125"/>
  </w:num>
  <w:num w:numId="108" w16cid:durableId="212349262">
    <w:abstractNumId w:val="30"/>
  </w:num>
  <w:num w:numId="109" w16cid:durableId="1813867220">
    <w:abstractNumId w:val="94"/>
  </w:num>
  <w:num w:numId="110" w16cid:durableId="1983150952">
    <w:abstractNumId w:val="119"/>
  </w:num>
  <w:num w:numId="111" w16cid:durableId="1256092015">
    <w:abstractNumId w:val="49"/>
  </w:num>
  <w:num w:numId="112" w16cid:durableId="1691878168">
    <w:abstractNumId w:val="32"/>
  </w:num>
  <w:num w:numId="113" w16cid:durableId="616715938">
    <w:abstractNumId w:val="114"/>
  </w:num>
  <w:num w:numId="114" w16cid:durableId="2073118616">
    <w:abstractNumId w:val="12"/>
  </w:num>
  <w:num w:numId="115" w16cid:durableId="941032846">
    <w:abstractNumId w:val="48"/>
  </w:num>
  <w:num w:numId="116" w16cid:durableId="1458261663">
    <w:abstractNumId w:val="24"/>
  </w:num>
  <w:num w:numId="117" w16cid:durableId="209345477">
    <w:abstractNumId w:val="62"/>
  </w:num>
  <w:num w:numId="118" w16cid:durableId="1941601822">
    <w:abstractNumId w:val="19"/>
  </w:num>
  <w:num w:numId="119" w16cid:durableId="15277273">
    <w:abstractNumId w:val="15"/>
  </w:num>
  <w:num w:numId="120" w16cid:durableId="1246455596">
    <w:abstractNumId w:val="29"/>
  </w:num>
  <w:num w:numId="121" w16cid:durableId="1996303248">
    <w:abstractNumId w:val="69"/>
  </w:num>
  <w:num w:numId="122" w16cid:durableId="1495603618">
    <w:abstractNumId w:val="96"/>
  </w:num>
  <w:num w:numId="123" w16cid:durableId="1204291772">
    <w:abstractNumId w:val="70"/>
  </w:num>
  <w:num w:numId="124" w16cid:durableId="1661499703">
    <w:abstractNumId w:val="25"/>
  </w:num>
  <w:num w:numId="125" w16cid:durableId="976573022">
    <w:abstractNumId w:val="128"/>
  </w:num>
  <w:num w:numId="126" w16cid:durableId="1586718689">
    <w:abstractNumId w:val="133"/>
  </w:num>
  <w:num w:numId="127" w16cid:durableId="1159035022">
    <w:abstractNumId w:val="53"/>
  </w:num>
  <w:num w:numId="128" w16cid:durableId="1124226207">
    <w:abstractNumId w:val="51"/>
  </w:num>
  <w:num w:numId="129" w16cid:durableId="1338845326">
    <w:abstractNumId w:val="106"/>
  </w:num>
  <w:num w:numId="130" w16cid:durableId="200094374">
    <w:abstractNumId w:val="42"/>
  </w:num>
  <w:num w:numId="131" w16cid:durableId="205682608">
    <w:abstractNumId w:val="54"/>
  </w:num>
  <w:num w:numId="132" w16cid:durableId="1547790006">
    <w:abstractNumId w:val="60"/>
  </w:num>
  <w:num w:numId="133" w16cid:durableId="1507280586">
    <w:abstractNumId w:val="38"/>
  </w:num>
  <w:num w:numId="134" w16cid:durableId="776408644">
    <w:abstractNumId w:val="71"/>
  </w:num>
  <w:num w:numId="135" w16cid:durableId="1215123597">
    <w:abstractNumId w:val="124"/>
  </w:num>
  <w:num w:numId="136" w16cid:durableId="1210072470">
    <w:abstractNumId w:val="18"/>
  </w:num>
  <w:num w:numId="137" w16cid:durableId="1854219227">
    <w:abstractNumId w:val="61"/>
  </w:num>
  <w:num w:numId="138" w16cid:durableId="1613126397">
    <w:abstractNumId w:val="122"/>
  </w:num>
  <w:num w:numId="139" w16cid:durableId="1059667173">
    <w:abstractNumId w:val="72"/>
  </w:num>
  <w:num w:numId="140" w16cid:durableId="1700931586">
    <w:abstractNumId w:val="61"/>
  </w:num>
  <w:num w:numId="141" w16cid:durableId="670375284">
    <w:abstractNumId w:val="58"/>
  </w:num>
  <w:num w:numId="142" w16cid:durableId="585770020">
    <w:abstractNumId w:val="31"/>
  </w:num>
  <w:num w:numId="143" w16cid:durableId="692995182">
    <w:abstractNumId w:val="76"/>
  </w:num>
  <w:num w:numId="144" w16cid:durableId="352152452">
    <w:abstractNumId w:val="65"/>
  </w:num>
  <w:num w:numId="145" w16cid:durableId="526482261">
    <w:abstractNumId w:val="33"/>
  </w:num>
  <w:num w:numId="146" w16cid:durableId="1282878386">
    <w:abstractNumId w:val="68"/>
  </w:num>
  <w:num w:numId="147" w16cid:durableId="734397267">
    <w:abstractNumId w:val="82"/>
  </w:num>
  <w:num w:numId="148" w16cid:durableId="517815500">
    <w:abstractNumId w:val="86"/>
  </w:num>
  <w:num w:numId="149" w16cid:durableId="632563604">
    <w:abstractNumId w:val="112"/>
  </w:num>
  <w:num w:numId="150" w16cid:durableId="2123264197">
    <w:abstractNumId w:val="17"/>
  </w:num>
  <w:num w:numId="151" w16cid:durableId="450394542">
    <w:abstractNumId w:val="56"/>
  </w:num>
  <w:num w:numId="152" w16cid:durableId="1526938207">
    <w:abstractNumId w:val="108"/>
  </w:num>
  <w:num w:numId="153" w16cid:durableId="5057872">
    <w:abstractNumId w:val="89"/>
  </w:num>
  <w:num w:numId="154" w16cid:durableId="1926576310">
    <w:abstractNumId w:val="120"/>
  </w:num>
  <w:num w:numId="155" w16cid:durableId="1888879830">
    <w:abstractNumId w:val="28"/>
  </w:num>
  <w:num w:numId="156" w16cid:durableId="1197356614">
    <w:abstractNumId w:val="35"/>
  </w:num>
  <w:num w:numId="157" w16cid:durableId="1683361410">
    <w:abstractNumId w:val="102"/>
  </w:num>
  <w:num w:numId="158" w16cid:durableId="633104204">
    <w:abstractNumId w:val="129"/>
  </w:num>
  <w:num w:numId="159" w16cid:durableId="819229597">
    <w:abstractNumId w:val="111"/>
  </w:num>
  <w:num w:numId="160" w16cid:durableId="1897886245">
    <w:abstractNumId w:val="131"/>
  </w:num>
  <w:num w:numId="161" w16cid:durableId="1672684685">
    <w:abstractNumId w:val="20"/>
  </w:num>
  <w:num w:numId="162" w16cid:durableId="1001935128">
    <w:abstractNumId w:val="91"/>
  </w:num>
  <w:num w:numId="163" w16cid:durableId="1134640676">
    <w:abstractNumId w:val="130"/>
  </w:num>
  <w:num w:numId="164" w16cid:durableId="1369791172">
    <w:abstractNumId w:val="105"/>
  </w:num>
  <w:numIdMacAtCleanup w:val="1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02no">
    <w15:presenceInfo w15:providerId="None" w15:userId="AbbVie02no"/>
  </w15:person>
  <w15:person w15:author="AbbVie05no">
    <w15:presenceInfo w15:providerId="None" w15:userId="AbbVie05no"/>
  </w15:person>
  <w15:person w15:author="AbbVie04no">
    <w15:presenceInfo w15:providerId="None" w15:userId="AbbVie04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FB2"/>
    <w:rsid w:val="00000075"/>
    <w:rsid w:val="0000047F"/>
    <w:rsid w:val="00000626"/>
    <w:rsid w:val="00000787"/>
    <w:rsid w:val="00000B2B"/>
    <w:rsid w:val="000013C9"/>
    <w:rsid w:val="0000164A"/>
    <w:rsid w:val="00002A1F"/>
    <w:rsid w:val="00002A9F"/>
    <w:rsid w:val="000033CF"/>
    <w:rsid w:val="00003C89"/>
    <w:rsid w:val="00004B19"/>
    <w:rsid w:val="0000503B"/>
    <w:rsid w:val="0000506E"/>
    <w:rsid w:val="0000514B"/>
    <w:rsid w:val="00006534"/>
    <w:rsid w:val="00007130"/>
    <w:rsid w:val="00007209"/>
    <w:rsid w:val="00007369"/>
    <w:rsid w:val="00007B11"/>
    <w:rsid w:val="00007E1F"/>
    <w:rsid w:val="00010384"/>
    <w:rsid w:val="00010726"/>
    <w:rsid w:val="00010D79"/>
    <w:rsid w:val="00010FAB"/>
    <w:rsid w:val="00011795"/>
    <w:rsid w:val="00011D70"/>
    <w:rsid w:val="00012275"/>
    <w:rsid w:val="00012321"/>
    <w:rsid w:val="000130ED"/>
    <w:rsid w:val="000130FC"/>
    <w:rsid w:val="00013481"/>
    <w:rsid w:val="00014631"/>
    <w:rsid w:val="0001470C"/>
    <w:rsid w:val="00015CD9"/>
    <w:rsid w:val="00015DC2"/>
    <w:rsid w:val="00015F5D"/>
    <w:rsid w:val="00015FC4"/>
    <w:rsid w:val="00016154"/>
    <w:rsid w:val="0001615F"/>
    <w:rsid w:val="000161C2"/>
    <w:rsid w:val="000167E4"/>
    <w:rsid w:val="000176B5"/>
    <w:rsid w:val="000179DC"/>
    <w:rsid w:val="00017ADA"/>
    <w:rsid w:val="0002022E"/>
    <w:rsid w:val="00020B96"/>
    <w:rsid w:val="00020C79"/>
    <w:rsid w:val="00020C8C"/>
    <w:rsid w:val="0002143E"/>
    <w:rsid w:val="00021903"/>
    <w:rsid w:val="00021A92"/>
    <w:rsid w:val="00021FC6"/>
    <w:rsid w:val="000224B7"/>
    <w:rsid w:val="00023121"/>
    <w:rsid w:val="00023B55"/>
    <w:rsid w:val="00023DE1"/>
    <w:rsid w:val="00024261"/>
    <w:rsid w:val="0002445E"/>
    <w:rsid w:val="0002458D"/>
    <w:rsid w:val="00024877"/>
    <w:rsid w:val="0002499F"/>
    <w:rsid w:val="00024BFD"/>
    <w:rsid w:val="00024C4A"/>
    <w:rsid w:val="0002505D"/>
    <w:rsid w:val="00025295"/>
    <w:rsid w:val="00025301"/>
    <w:rsid w:val="0002550D"/>
    <w:rsid w:val="000259CC"/>
    <w:rsid w:val="000274DC"/>
    <w:rsid w:val="000276A3"/>
    <w:rsid w:val="00027D83"/>
    <w:rsid w:val="00030298"/>
    <w:rsid w:val="00030454"/>
    <w:rsid w:val="00030F24"/>
    <w:rsid w:val="0003197D"/>
    <w:rsid w:val="00031EB6"/>
    <w:rsid w:val="000320F6"/>
    <w:rsid w:val="00032240"/>
    <w:rsid w:val="000322BD"/>
    <w:rsid w:val="0003247B"/>
    <w:rsid w:val="00033ABA"/>
    <w:rsid w:val="00033CCB"/>
    <w:rsid w:val="00033CDE"/>
    <w:rsid w:val="000344BB"/>
    <w:rsid w:val="00034C2E"/>
    <w:rsid w:val="00035491"/>
    <w:rsid w:val="00040C50"/>
    <w:rsid w:val="000416D9"/>
    <w:rsid w:val="00041898"/>
    <w:rsid w:val="00041F4A"/>
    <w:rsid w:val="000427DF"/>
    <w:rsid w:val="00043361"/>
    <w:rsid w:val="00043C86"/>
    <w:rsid w:val="00043EDF"/>
    <w:rsid w:val="0004489F"/>
    <w:rsid w:val="00044946"/>
    <w:rsid w:val="000452D8"/>
    <w:rsid w:val="00045C15"/>
    <w:rsid w:val="00045F00"/>
    <w:rsid w:val="00046093"/>
    <w:rsid w:val="00046FB5"/>
    <w:rsid w:val="00047252"/>
    <w:rsid w:val="00047AB0"/>
    <w:rsid w:val="00047B15"/>
    <w:rsid w:val="00047C52"/>
    <w:rsid w:val="00047F3C"/>
    <w:rsid w:val="0005000F"/>
    <w:rsid w:val="00050F74"/>
    <w:rsid w:val="000512FC"/>
    <w:rsid w:val="00051351"/>
    <w:rsid w:val="000515F3"/>
    <w:rsid w:val="00051CA6"/>
    <w:rsid w:val="00051CE1"/>
    <w:rsid w:val="00051DA6"/>
    <w:rsid w:val="00052C7D"/>
    <w:rsid w:val="00053E22"/>
    <w:rsid w:val="000540C6"/>
    <w:rsid w:val="000546A2"/>
    <w:rsid w:val="00054C35"/>
    <w:rsid w:val="00054CC1"/>
    <w:rsid w:val="00054F50"/>
    <w:rsid w:val="0005535D"/>
    <w:rsid w:val="000555F9"/>
    <w:rsid w:val="00055FFE"/>
    <w:rsid w:val="000568A5"/>
    <w:rsid w:val="00056A03"/>
    <w:rsid w:val="00056E16"/>
    <w:rsid w:val="000572D5"/>
    <w:rsid w:val="00057774"/>
    <w:rsid w:val="00057E92"/>
    <w:rsid w:val="00060043"/>
    <w:rsid w:val="000600BE"/>
    <w:rsid w:val="00060181"/>
    <w:rsid w:val="0006029A"/>
    <w:rsid w:val="00060AFF"/>
    <w:rsid w:val="00060CC6"/>
    <w:rsid w:val="000611B9"/>
    <w:rsid w:val="00061908"/>
    <w:rsid w:val="00061CCF"/>
    <w:rsid w:val="000624CD"/>
    <w:rsid w:val="00062568"/>
    <w:rsid w:val="000629D5"/>
    <w:rsid w:val="00063125"/>
    <w:rsid w:val="00063529"/>
    <w:rsid w:val="000642AD"/>
    <w:rsid w:val="00064B44"/>
    <w:rsid w:val="000653BE"/>
    <w:rsid w:val="000660E8"/>
    <w:rsid w:val="00066134"/>
    <w:rsid w:val="000667B1"/>
    <w:rsid w:val="00066950"/>
    <w:rsid w:val="00066CD1"/>
    <w:rsid w:val="00066E51"/>
    <w:rsid w:val="000673C9"/>
    <w:rsid w:val="00067DE7"/>
    <w:rsid w:val="00070207"/>
    <w:rsid w:val="00070F1E"/>
    <w:rsid w:val="0007109B"/>
    <w:rsid w:val="00071B59"/>
    <w:rsid w:val="00071CBC"/>
    <w:rsid w:val="00071D03"/>
    <w:rsid w:val="000725B0"/>
    <w:rsid w:val="00073012"/>
    <w:rsid w:val="0007302C"/>
    <w:rsid w:val="000730B6"/>
    <w:rsid w:val="00073411"/>
    <w:rsid w:val="0007362E"/>
    <w:rsid w:val="000738DE"/>
    <w:rsid w:val="000739C0"/>
    <w:rsid w:val="000745BB"/>
    <w:rsid w:val="0007490E"/>
    <w:rsid w:val="0007545F"/>
    <w:rsid w:val="00075945"/>
    <w:rsid w:val="00075B69"/>
    <w:rsid w:val="00076615"/>
    <w:rsid w:val="00076632"/>
    <w:rsid w:val="00077095"/>
    <w:rsid w:val="00077307"/>
    <w:rsid w:val="00077DD8"/>
    <w:rsid w:val="000801F9"/>
    <w:rsid w:val="00080235"/>
    <w:rsid w:val="000803E1"/>
    <w:rsid w:val="0008045C"/>
    <w:rsid w:val="000810A1"/>
    <w:rsid w:val="0008160E"/>
    <w:rsid w:val="000816EF"/>
    <w:rsid w:val="00081756"/>
    <w:rsid w:val="00082248"/>
    <w:rsid w:val="00083490"/>
    <w:rsid w:val="000834F5"/>
    <w:rsid w:val="00083C32"/>
    <w:rsid w:val="00085A29"/>
    <w:rsid w:val="00085B07"/>
    <w:rsid w:val="00085BDB"/>
    <w:rsid w:val="0008650E"/>
    <w:rsid w:val="00086CEA"/>
    <w:rsid w:val="00086CEC"/>
    <w:rsid w:val="000872CB"/>
    <w:rsid w:val="000877DF"/>
    <w:rsid w:val="000904F3"/>
    <w:rsid w:val="00090A49"/>
    <w:rsid w:val="00090AC6"/>
    <w:rsid w:val="00090CFA"/>
    <w:rsid w:val="00090EA2"/>
    <w:rsid w:val="00090EDA"/>
    <w:rsid w:val="000915A4"/>
    <w:rsid w:val="00091F89"/>
    <w:rsid w:val="0009245E"/>
    <w:rsid w:val="00092C95"/>
    <w:rsid w:val="00092D74"/>
    <w:rsid w:val="00092F9F"/>
    <w:rsid w:val="00093B76"/>
    <w:rsid w:val="00093D8D"/>
    <w:rsid w:val="000944CD"/>
    <w:rsid w:val="00094957"/>
    <w:rsid w:val="00095009"/>
    <w:rsid w:val="00095354"/>
    <w:rsid w:val="00095E5A"/>
    <w:rsid w:val="0009620B"/>
    <w:rsid w:val="000962A2"/>
    <w:rsid w:val="000963C4"/>
    <w:rsid w:val="00096484"/>
    <w:rsid w:val="0009695C"/>
    <w:rsid w:val="000969F2"/>
    <w:rsid w:val="00096CE6"/>
    <w:rsid w:val="0009701D"/>
    <w:rsid w:val="00097035"/>
    <w:rsid w:val="00097BB3"/>
    <w:rsid w:val="00097E59"/>
    <w:rsid w:val="000A06A7"/>
    <w:rsid w:val="000A0941"/>
    <w:rsid w:val="000A17E6"/>
    <w:rsid w:val="000A1F0B"/>
    <w:rsid w:val="000A28CB"/>
    <w:rsid w:val="000A3367"/>
    <w:rsid w:val="000A3929"/>
    <w:rsid w:val="000A4D21"/>
    <w:rsid w:val="000A51CC"/>
    <w:rsid w:val="000A6130"/>
    <w:rsid w:val="000A6AF3"/>
    <w:rsid w:val="000A6FFF"/>
    <w:rsid w:val="000A71FD"/>
    <w:rsid w:val="000A7439"/>
    <w:rsid w:val="000A7D96"/>
    <w:rsid w:val="000A7E46"/>
    <w:rsid w:val="000B0776"/>
    <w:rsid w:val="000B07A9"/>
    <w:rsid w:val="000B0B5B"/>
    <w:rsid w:val="000B184C"/>
    <w:rsid w:val="000B21B8"/>
    <w:rsid w:val="000B26D9"/>
    <w:rsid w:val="000B2790"/>
    <w:rsid w:val="000B2F79"/>
    <w:rsid w:val="000B3BB4"/>
    <w:rsid w:val="000B3C40"/>
    <w:rsid w:val="000B3E24"/>
    <w:rsid w:val="000B4896"/>
    <w:rsid w:val="000B48FA"/>
    <w:rsid w:val="000B4C8E"/>
    <w:rsid w:val="000B4DA4"/>
    <w:rsid w:val="000B4F1A"/>
    <w:rsid w:val="000B52DC"/>
    <w:rsid w:val="000B53D0"/>
    <w:rsid w:val="000B5B7C"/>
    <w:rsid w:val="000B6000"/>
    <w:rsid w:val="000C0080"/>
    <w:rsid w:val="000C011A"/>
    <w:rsid w:val="000C05A4"/>
    <w:rsid w:val="000C08E3"/>
    <w:rsid w:val="000C0B95"/>
    <w:rsid w:val="000C1DD6"/>
    <w:rsid w:val="000C343B"/>
    <w:rsid w:val="000C3E34"/>
    <w:rsid w:val="000C45A4"/>
    <w:rsid w:val="000C461D"/>
    <w:rsid w:val="000C484F"/>
    <w:rsid w:val="000C4B0F"/>
    <w:rsid w:val="000C508F"/>
    <w:rsid w:val="000C57CB"/>
    <w:rsid w:val="000C58B5"/>
    <w:rsid w:val="000C5D51"/>
    <w:rsid w:val="000C5ED9"/>
    <w:rsid w:val="000C5EE9"/>
    <w:rsid w:val="000C60BC"/>
    <w:rsid w:val="000C6132"/>
    <w:rsid w:val="000C69C7"/>
    <w:rsid w:val="000C6A57"/>
    <w:rsid w:val="000C7077"/>
    <w:rsid w:val="000C7145"/>
    <w:rsid w:val="000C75CC"/>
    <w:rsid w:val="000C7AC0"/>
    <w:rsid w:val="000C7B68"/>
    <w:rsid w:val="000C7DCB"/>
    <w:rsid w:val="000C7E55"/>
    <w:rsid w:val="000D0044"/>
    <w:rsid w:val="000D0200"/>
    <w:rsid w:val="000D0847"/>
    <w:rsid w:val="000D0F8F"/>
    <w:rsid w:val="000D16C0"/>
    <w:rsid w:val="000D1D89"/>
    <w:rsid w:val="000D1EE8"/>
    <w:rsid w:val="000D2C01"/>
    <w:rsid w:val="000D46CD"/>
    <w:rsid w:val="000D5A58"/>
    <w:rsid w:val="000D5DAE"/>
    <w:rsid w:val="000D6126"/>
    <w:rsid w:val="000D656A"/>
    <w:rsid w:val="000D6FB9"/>
    <w:rsid w:val="000D6FF0"/>
    <w:rsid w:val="000D728D"/>
    <w:rsid w:val="000D7724"/>
    <w:rsid w:val="000D7A7B"/>
    <w:rsid w:val="000D7EA9"/>
    <w:rsid w:val="000E03D3"/>
    <w:rsid w:val="000E09A4"/>
    <w:rsid w:val="000E0BE0"/>
    <w:rsid w:val="000E1259"/>
    <w:rsid w:val="000E1A07"/>
    <w:rsid w:val="000E238E"/>
    <w:rsid w:val="000E26F8"/>
    <w:rsid w:val="000E2924"/>
    <w:rsid w:val="000E2EBD"/>
    <w:rsid w:val="000E32D8"/>
    <w:rsid w:val="000E3524"/>
    <w:rsid w:val="000E372F"/>
    <w:rsid w:val="000E3D8A"/>
    <w:rsid w:val="000E4071"/>
    <w:rsid w:val="000E4C21"/>
    <w:rsid w:val="000E4E62"/>
    <w:rsid w:val="000E4F32"/>
    <w:rsid w:val="000E4F8F"/>
    <w:rsid w:val="000E4FE7"/>
    <w:rsid w:val="000E50C9"/>
    <w:rsid w:val="000E5110"/>
    <w:rsid w:val="000E514D"/>
    <w:rsid w:val="000E5ABB"/>
    <w:rsid w:val="000E681B"/>
    <w:rsid w:val="000E683F"/>
    <w:rsid w:val="000E6C40"/>
    <w:rsid w:val="000E7054"/>
    <w:rsid w:val="000E79A3"/>
    <w:rsid w:val="000F00C8"/>
    <w:rsid w:val="000F0905"/>
    <w:rsid w:val="000F0CFD"/>
    <w:rsid w:val="000F0E86"/>
    <w:rsid w:val="000F1B2A"/>
    <w:rsid w:val="000F2628"/>
    <w:rsid w:val="000F27EB"/>
    <w:rsid w:val="000F2A97"/>
    <w:rsid w:val="000F2B7A"/>
    <w:rsid w:val="000F36C5"/>
    <w:rsid w:val="000F422B"/>
    <w:rsid w:val="000F43B9"/>
    <w:rsid w:val="000F46F9"/>
    <w:rsid w:val="000F4C45"/>
    <w:rsid w:val="000F508A"/>
    <w:rsid w:val="000F515B"/>
    <w:rsid w:val="000F564F"/>
    <w:rsid w:val="000F653E"/>
    <w:rsid w:val="000F6651"/>
    <w:rsid w:val="000F7104"/>
    <w:rsid w:val="000F7366"/>
    <w:rsid w:val="000F7B96"/>
    <w:rsid w:val="000F7CB5"/>
    <w:rsid w:val="00101152"/>
    <w:rsid w:val="00101606"/>
    <w:rsid w:val="00101613"/>
    <w:rsid w:val="001018A7"/>
    <w:rsid w:val="00101937"/>
    <w:rsid w:val="00102C0B"/>
    <w:rsid w:val="00102D7E"/>
    <w:rsid w:val="00102E64"/>
    <w:rsid w:val="00102EE8"/>
    <w:rsid w:val="00103041"/>
    <w:rsid w:val="00103D14"/>
    <w:rsid w:val="0010401B"/>
    <w:rsid w:val="00104542"/>
    <w:rsid w:val="00105265"/>
    <w:rsid w:val="00105380"/>
    <w:rsid w:val="0010564F"/>
    <w:rsid w:val="0010568A"/>
    <w:rsid w:val="001058B2"/>
    <w:rsid w:val="00105B47"/>
    <w:rsid w:val="00106583"/>
    <w:rsid w:val="00106938"/>
    <w:rsid w:val="00106DCF"/>
    <w:rsid w:val="00106F0E"/>
    <w:rsid w:val="00107A7F"/>
    <w:rsid w:val="00107C64"/>
    <w:rsid w:val="001111AD"/>
    <w:rsid w:val="001112FE"/>
    <w:rsid w:val="00111311"/>
    <w:rsid w:val="00111F2E"/>
    <w:rsid w:val="00112135"/>
    <w:rsid w:val="0011292B"/>
    <w:rsid w:val="00112C61"/>
    <w:rsid w:val="001132E3"/>
    <w:rsid w:val="00113A69"/>
    <w:rsid w:val="00113DCD"/>
    <w:rsid w:val="001144C3"/>
    <w:rsid w:val="001147DE"/>
    <w:rsid w:val="00114838"/>
    <w:rsid w:val="00115A82"/>
    <w:rsid w:val="00116B87"/>
    <w:rsid w:val="00116DDA"/>
    <w:rsid w:val="0012091E"/>
    <w:rsid w:val="00120E74"/>
    <w:rsid w:val="001212FD"/>
    <w:rsid w:val="0012147D"/>
    <w:rsid w:val="00121831"/>
    <w:rsid w:val="00121914"/>
    <w:rsid w:val="00121D02"/>
    <w:rsid w:val="00122442"/>
    <w:rsid w:val="00122564"/>
    <w:rsid w:val="0012278C"/>
    <w:rsid w:val="00122921"/>
    <w:rsid w:val="00122922"/>
    <w:rsid w:val="00122E7D"/>
    <w:rsid w:val="00122F38"/>
    <w:rsid w:val="00122FAE"/>
    <w:rsid w:val="0012315F"/>
    <w:rsid w:val="00123867"/>
    <w:rsid w:val="00123A95"/>
    <w:rsid w:val="00123B69"/>
    <w:rsid w:val="0012450F"/>
    <w:rsid w:val="001247AD"/>
    <w:rsid w:val="00124AE6"/>
    <w:rsid w:val="00125382"/>
    <w:rsid w:val="00126088"/>
    <w:rsid w:val="0012688E"/>
    <w:rsid w:val="0012694E"/>
    <w:rsid w:val="00127826"/>
    <w:rsid w:val="001278E0"/>
    <w:rsid w:val="001305DA"/>
    <w:rsid w:val="00130D4F"/>
    <w:rsid w:val="00130F7E"/>
    <w:rsid w:val="001318B0"/>
    <w:rsid w:val="00131A61"/>
    <w:rsid w:val="0013218C"/>
    <w:rsid w:val="00132896"/>
    <w:rsid w:val="001328BE"/>
    <w:rsid w:val="00133031"/>
    <w:rsid w:val="001332D9"/>
    <w:rsid w:val="00133445"/>
    <w:rsid w:val="0013382B"/>
    <w:rsid w:val="00133CAC"/>
    <w:rsid w:val="00133D8A"/>
    <w:rsid w:val="00134102"/>
    <w:rsid w:val="0013423D"/>
    <w:rsid w:val="001343F8"/>
    <w:rsid w:val="00134A77"/>
    <w:rsid w:val="00134D89"/>
    <w:rsid w:val="0013577E"/>
    <w:rsid w:val="00136BF0"/>
    <w:rsid w:val="00137050"/>
    <w:rsid w:val="001370C9"/>
    <w:rsid w:val="00137590"/>
    <w:rsid w:val="0014086D"/>
    <w:rsid w:val="00140A82"/>
    <w:rsid w:val="00140AB5"/>
    <w:rsid w:val="00140BB0"/>
    <w:rsid w:val="0014140B"/>
    <w:rsid w:val="00141503"/>
    <w:rsid w:val="001424DB"/>
    <w:rsid w:val="0014274C"/>
    <w:rsid w:val="00143068"/>
    <w:rsid w:val="00143922"/>
    <w:rsid w:val="00143A92"/>
    <w:rsid w:val="001440C4"/>
    <w:rsid w:val="001441A8"/>
    <w:rsid w:val="001447AF"/>
    <w:rsid w:val="00145822"/>
    <w:rsid w:val="00146674"/>
    <w:rsid w:val="00146C73"/>
    <w:rsid w:val="00147297"/>
    <w:rsid w:val="001479BC"/>
    <w:rsid w:val="001500A1"/>
    <w:rsid w:val="0015011F"/>
    <w:rsid w:val="00150179"/>
    <w:rsid w:val="001503E4"/>
    <w:rsid w:val="00150D75"/>
    <w:rsid w:val="00151BE2"/>
    <w:rsid w:val="00151C5C"/>
    <w:rsid w:val="001529A2"/>
    <w:rsid w:val="001529FD"/>
    <w:rsid w:val="001534B0"/>
    <w:rsid w:val="00153988"/>
    <w:rsid w:val="001539CD"/>
    <w:rsid w:val="00154264"/>
    <w:rsid w:val="0015476B"/>
    <w:rsid w:val="00154EC6"/>
    <w:rsid w:val="001551E7"/>
    <w:rsid w:val="00156070"/>
    <w:rsid w:val="00156721"/>
    <w:rsid w:val="0015674E"/>
    <w:rsid w:val="00156FF5"/>
    <w:rsid w:val="001572C4"/>
    <w:rsid w:val="0015749C"/>
    <w:rsid w:val="00157BAA"/>
    <w:rsid w:val="00160160"/>
    <w:rsid w:val="00162098"/>
    <w:rsid w:val="00162B4C"/>
    <w:rsid w:val="00162CC0"/>
    <w:rsid w:val="00162D10"/>
    <w:rsid w:val="00163752"/>
    <w:rsid w:val="001644FD"/>
    <w:rsid w:val="001646EE"/>
    <w:rsid w:val="00164962"/>
    <w:rsid w:val="0016533F"/>
    <w:rsid w:val="0016558F"/>
    <w:rsid w:val="00165B3D"/>
    <w:rsid w:val="00165C06"/>
    <w:rsid w:val="00166340"/>
    <w:rsid w:val="00166342"/>
    <w:rsid w:val="00167578"/>
    <w:rsid w:val="00167A95"/>
    <w:rsid w:val="00167B76"/>
    <w:rsid w:val="00167BA7"/>
    <w:rsid w:val="00170160"/>
    <w:rsid w:val="001706C4"/>
    <w:rsid w:val="00170B2C"/>
    <w:rsid w:val="00170C6B"/>
    <w:rsid w:val="00171914"/>
    <w:rsid w:val="00172EEB"/>
    <w:rsid w:val="00172EFC"/>
    <w:rsid w:val="00172FCC"/>
    <w:rsid w:val="00173377"/>
    <w:rsid w:val="0017427F"/>
    <w:rsid w:val="001746DB"/>
    <w:rsid w:val="00174990"/>
    <w:rsid w:val="00174B13"/>
    <w:rsid w:val="00174DB6"/>
    <w:rsid w:val="00175266"/>
    <w:rsid w:val="0017628E"/>
    <w:rsid w:val="0017641C"/>
    <w:rsid w:val="00176599"/>
    <w:rsid w:val="00176824"/>
    <w:rsid w:val="00176BD2"/>
    <w:rsid w:val="00176E45"/>
    <w:rsid w:val="0017706B"/>
    <w:rsid w:val="00180886"/>
    <w:rsid w:val="00180EA6"/>
    <w:rsid w:val="0018113F"/>
    <w:rsid w:val="001816FB"/>
    <w:rsid w:val="00182639"/>
    <w:rsid w:val="0018267B"/>
    <w:rsid w:val="00183725"/>
    <w:rsid w:val="00183C49"/>
    <w:rsid w:val="001840FB"/>
    <w:rsid w:val="00184283"/>
    <w:rsid w:val="001850A1"/>
    <w:rsid w:val="00185287"/>
    <w:rsid w:val="001857A5"/>
    <w:rsid w:val="00185A38"/>
    <w:rsid w:val="00185CBA"/>
    <w:rsid w:val="00187573"/>
    <w:rsid w:val="00187657"/>
    <w:rsid w:val="00190487"/>
    <w:rsid w:val="00190600"/>
    <w:rsid w:val="001913FB"/>
    <w:rsid w:val="00191464"/>
    <w:rsid w:val="001923F7"/>
    <w:rsid w:val="00192419"/>
    <w:rsid w:val="00193D76"/>
    <w:rsid w:val="00193D8D"/>
    <w:rsid w:val="00194AB6"/>
    <w:rsid w:val="00194DE9"/>
    <w:rsid w:val="0019503A"/>
    <w:rsid w:val="0019505A"/>
    <w:rsid w:val="00197087"/>
    <w:rsid w:val="001A03CB"/>
    <w:rsid w:val="001A0E9A"/>
    <w:rsid w:val="001A1654"/>
    <w:rsid w:val="001A1AC5"/>
    <w:rsid w:val="001A21EA"/>
    <w:rsid w:val="001A26E1"/>
    <w:rsid w:val="001A2895"/>
    <w:rsid w:val="001A2A19"/>
    <w:rsid w:val="001A2F83"/>
    <w:rsid w:val="001A350B"/>
    <w:rsid w:val="001A52BF"/>
    <w:rsid w:val="001A55AC"/>
    <w:rsid w:val="001A66ED"/>
    <w:rsid w:val="001A6CA6"/>
    <w:rsid w:val="001A6CAE"/>
    <w:rsid w:val="001A6F0C"/>
    <w:rsid w:val="001A762A"/>
    <w:rsid w:val="001A7778"/>
    <w:rsid w:val="001A7CE5"/>
    <w:rsid w:val="001A7F98"/>
    <w:rsid w:val="001B0692"/>
    <w:rsid w:val="001B08CC"/>
    <w:rsid w:val="001B09BE"/>
    <w:rsid w:val="001B17E9"/>
    <w:rsid w:val="001B2D73"/>
    <w:rsid w:val="001B3D7D"/>
    <w:rsid w:val="001B43D8"/>
    <w:rsid w:val="001B5283"/>
    <w:rsid w:val="001B55CF"/>
    <w:rsid w:val="001B588B"/>
    <w:rsid w:val="001B5EF4"/>
    <w:rsid w:val="001B69AD"/>
    <w:rsid w:val="001B6BBF"/>
    <w:rsid w:val="001B72BA"/>
    <w:rsid w:val="001B7481"/>
    <w:rsid w:val="001B7615"/>
    <w:rsid w:val="001B7640"/>
    <w:rsid w:val="001C05DF"/>
    <w:rsid w:val="001C0D36"/>
    <w:rsid w:val="001C14EB"/>
    <w:rsid w:val="001C1BCF"/>
    <w:rsid w:val="001C1C7F"/>
    <w:rsid w:val="001C217B"/>
    <w:rsid w:val="001C2AD1"/>
    <w:rsid w:val="001C32CC"/>
    <w:rsid w:val="001C34D4"/>
    <w:rsid w:val="001C3A02"/>
    <w:rsid w:val="001C4312"/>
    <w:rsid w:val="001C4BD6"/>
    <w:rsid w:val="001C4C13"/>
    <w:rsid w:val="001C4DF7"/>
    <w:rsid w:val="001C4DFC"/>
    <w:rsid w:val="001C4E3A"/>
    <w:rsid w:val="001C5215"/>
    <w:rsid w:val="001C56A8"/>
    <w:rsid w:val="001C5F54"/>
    <w:rsid w:val="001C6173"/>
    <w:rsid w:val="001C6444"/>
    <w:rsid w:val="001C6C1E"/>
    <w:rsid w:val="001C6C7B"/>
    <w:rsid w:val="001C6F6F"/>
    <w:rsid w:val="001C7153"/>
    <w:rsid w:val="001C7C40"/>
    <w:rsid w:val="001C7F92"/>
    <w:rsid w:val="001D0AB0"/>
    <w:rsid w:val="001D0E78"/>
    <w:rsid w:val="001D12F4"/>
    <w:rsid w:val="001D1E81"/>
    <w:rsid w:val="001D2054"/>
    <w:rsid w:val="001D34FE"/>
    <w:rsid w:val="001D3686"/>
    <w:rsid w:val="001D3ABA"/>
    <w:rsid w:val="001D3E04"/>
    <w:rsid w:val="001D434C"/>
    <w:rsid w:val="001D45AD"/>
    <w:rsid w:val="001D4BAF"/>
    <w:rsid w:val="001D4E17"/>
    <w:rsid w:val="001D533B"/>
    <w:rsid w:val="001D5A35"/>
    <w:rsid w:val="001D5C5A"/>
    <w:rsid w:val="001D5FEB"/>
    <w:rsid w:val="001D66D8"/>
    <w:rsid w:val="001D6D95"/>
    <w:rsid w:val="001D71E5"/>
    <w:rsid w:val="001D7E07"/>
    <w:rsid w:val="001E0A99"/>
    <w:rsid w:val="001E0AF3"/>
    <w:rsid w:val="001E109B"/>
    <w:rsid w:val="001E11F3"/>
    <w:rsid w:val="001E15B2"/>
    <w:rsid w:val="001E18BB"/>
    <w:rsid w:val="001E1966"/>
    <w:rsid w:val="001E2966"/>
    <w:rsid w:val="001E2ACA"/>
    <w:rsid w:val="001E2B87"/>
    <w:rsid w:val="001E2DC4"/>
    <w:rsid w:val="001E310B"/>
    <w:rsid w:val="001E318D"/>
    <w:rsid w:val="001E45CD"/>
    <w:rsid w:val="001E500F"/>
    <w:rsid w:val="001E5070"/>
    <w:rsid w:val="001E51D3"/>
    <w:rsid w:val="001E5448"/>
    <w:rsid w:val="001E5E73"/>
    <w:rsid w:val="001F0200"/>
    <w:rsid w:val="001F0541"/>
    <w:rsid w:val="001F05F4"/>
    <w:rsid w:val="001F07CD"/>
    <w:rsid w:val="001F0892"/>
    <w:rsid w:val="001F0D92"/>
    <w:rsid w:val="001F1521"/>
    <w:rsid w:val="001F1C0B"/>
    <w:rsid w:val="001F2947"/>
    <w:rsid w:val="001F2C31"/>
    <w:rsid w:val="001F301D"/>
    <w:rsid w:val="001F3848"/>
    <w:rsid w:val="001F3D06"/>
    <w:rsid w:val="001F411D"/>
    <w:rsid w:val="001F4400"/>
    <w:rsid w:val="001F48C5"/>
    <w:rsid w:val="001F4B85"/>
    <w:rsid w:val="001F4DAD"/>
    <w:rsid w:val="001F5D4B"/>
    <w:rsid w:val="001F7242"/>
    <w:rsid w:val="001F74DB"/>
    <w:rsid w:val="001F79B0"/>
    <w:rsid w:val="001F7BFA"/>
    <w:rsid w:val="002005DC"/>
    <w:rsid w:val="0020075E"/>
    <w:rsid w:val="002010F4"/>
    <w:rsid w:val="00201D03"/>
    <w:rsid w:val="00202681"/>
    <w:rsid w:val="00203743"/>
    <w:rsid w:val="00203ECE"/>
    <w:rsid w:val="00204BAA"/>
    <w:rsid w:val="00204EE6"/>
    <w:rsid w:val="0020549A"/>
    <w:rsid w:val="00205B43"/>
    <w:rsid w:val="00205D90"/>
    <w:rsid w:val="0020608A"/>
    <w:rsid w:val="002069B2"/>
    <w:rsid w:val="00206A14"/>
    <w:rsid w:val="002074E1"/>
    <w:rsid w:val="002076A3"/>
    <w:rsid w:val="0021106E"/>
    <w:rsid w:val="00211071"/>
    <w:rsid w:val="002117AC"/>
    <w:rsid w:val="00211946"/>
    <w:rsid w:val="00211EE9"/>
    <w:rsid w:val="0021248D"/>
    <w:rsid w:val="00212BE6"/>
    <w:rsid w:val="00212C17"/>
    <w:rsid w:val="00213233"/>
    <w:rsid w:val="0021328F"/>
    <w:rsid w:val="002132F2"/>
    <w:rsid w:val="00213362"/>
    <w:rsid w:val="00213619"/>
    <w:rsid w:val="002138A9"/>
    <w:rsid w:val="00214033"/>
    <w:rsid w:val="002140AA"/>
    <w:rsid w:val="00214F5B"/>
    <w:rsid w:val="002154BC"/>
    <w:rsid w:val="002156F5"/>
    <w:rsid w:val="0021582E"/>
    <w:rsid w:val="00215B66"/>
    <w:rsid w:val="00216445"/>
    <w:rsid w:val="002179B8"/>
    <w:rsid w:val="00217DA0"/>
    <w:rsid w:val="00217DB1"/>
    <w:rsid w:val="0022074D"/>
    <w:rsid w:val="002214FF"/>
    <w:rsid w:val="00221D5C"/>
    <w:rsid w:val="00222143"/>
    <w:rsid w:val="0022267E"/>
    <w:rsid w:val="002228A0"/>
    <w:rsid w:val="002229D3"/>
    <w:rsid w:val="00222C0B"/>
    <w:rsid w:val="0022382D"/>
    <w:rsid w:val="00224343"/>
    <w:rsid w:val="00224390"/>
    <w:rsid w:val="00225C9C"/>
    <w:rsid w:val="00225E71"/>
    <w:rsid w:val="00226746"/>
    <w:rsid w:val="00226D4B"/>
    <w:rsid w:val="00226E80"/>
    <w:rsid w:val="002271CE"/>
    <w:rsid w:val="00227206"/>
    <w:rsid w:val="002272EE"/>
    <w:rsid w:val="00227BE9"/>
    <w:rsid w:val="00227E3E"/>
    <w:rsid w:val="00227F58"/>
    <w:rsid w:val="00227FD1"/>
    <w:rsid w:val="002303FD"/>
    <w:rsid w:val="002304F9"/>
    <w:rsid w:val="0023095F"/>
    <w:rsid w:val="002312F0"/>
    <w:rsid w:val="002316CD"/>
    <w:rsid w:val="00231840"/>
    <w:rsid w:val="0023191C"/>
    <w:rsid w:val="00231FFD"/>
    <w:rsid w:val="00232766"/>
    <w:rsid w:val="002329D8"/>
    <w:rsid w:val="00232C7C"/>
    <w:rsid w:val="002340ED"/>
    <w:rsid w:val="00234324"/>
    <w:rsid w:val="002345C5"/>
    <w:rsid w:val="002345C9"/>
    <w:rsid w:val="00234D28"/>
    <w:rsid w:val="0023505E"/>
    <w:rsid w:val="00235181"/>
    <w:rsid w:val="002353DA"/>
    <w:rsid w:val="00235A1B"/>
    <w:rsid w:val="00235BDE"/>
    <w:rsid w:val="00235CE7"/>
    <w:rsid w:val="002361F4"/>
    <w:rsid w:val="00236D92"/>
    <w:rsid w:val="002370EC"/>
    <w:rsid w:val="00237292"/>
    <w:rsid w:val="00240398"/>
    <w:rsid w:val="00241894"/>
    <w:rsid w:val="00241A79"/>
    <w:rsid w:val="00241C70"/>
    <w:rsid w:val="002427E4"/>
    <w:rsid w:val="00243078"/>
    <w:rsid w:val="002435F0"/>
    <w:rsid w:val="00243BE3"/>
    <w:rsid w:val="00243DBF"/>
    <w:rsid w:val="00243EC4"/>
    <w:rsid w:val="002442B6"/>
    <w:rsid w:val="00244742"/>
    <w:rsid w:val="00244A5C"/>
    <w:rsid w:val="00245016"/>
    <w:rsid w:val="002454F2"/>
    <w:rsid w:val="002455E8"/>
    <w:rsid w:val="00245AEB"/>
    <w:rsid w:val="00245F87"/>
    <w:rsid w:val="0024659B"/>
    <w:rsid w:val="0024771F"/>
    <w:rsid w:val="00247988"/>
    <w:rsid w:val="00247BF5"/>
    <w:rsid w:val="00247EA2"/>
    <w:rsid w:val="00251499"/>
    <w:rsid w:val="00251C84"/>
    <w:rsid w:val="00251F50"/>
    <w:rsid w:val="00251FF4"/>
    <w:rsid w:val="00252805"/>
    <w:rsid w:val="00252A68"/>
    <w:rsid w:val="0025365E"/>
    <w:rsid w:val="00253E5C"/>
    <w:rsid w:val="002544F8"/>
    <w:rsid w:val="0025455D"/>
    <w:rsid w:val="002547FB"/>
    <w:rsid w:val="00254814"/>
    <w:rsid w:val="00254B0E"/>
    <w:rsid w:val="002551E6"/>
    <w:rsid w:val="00256192"/>
    <w:rsid w:val="002562E7"/>
    <w:rsid w:val="00256837"/>
    <w:rsid w:val="002568DD"/>
    <w:rsid w:val="00256F23"/>
    <w:rsid w:val="00257EC7"/>
    <w:rsid w:val="00261501"/>
    <w:rsid w:val="00261B0C"/>
    <w:rsid w:val="00261BF5"/>
    <w:rsid w:val="0026200E"/>
    <w:rsid w:val="002621E0"/>
    <w:rsid w:val="00262683"/>
    <w:rsid w:val="002626E2"/>
    <w:rsid w:val="00262C3F"/>
    <w:rsid w:val="00262D34"/>
    <w:rsid w:val="00263BA7"/>
    <w:rsid w:val="00264998"/>
    <w:rsid w:val="00264E46"/>
    <w:rsid w:val="00264FF3"/>
    <w:rsid w:val="0026552F"/>
    <w:rsid w:val="00265E7E"/>
    <w:rsid w:val="002664AD"/>
    <w:rsid w:val="00266CF0"/>
    <w:rsid w:val="00266D8C"/>
    <w:rsid w:val="0026734E"/>
    <w:rsid w:val="00267645"/>
    <w:rsid w:val="002701F2"/>
    <w:rsid w:val="0027123A"/>
    <w:rsid w:val="002713B0"/>
    <w:rsid w:val="00271CC4"/>
    <w:rsid w:val="0027240B"/>
    <w:rsid w:val="00272537"/>
    <w:rsid w:val="002728FD"/>
    <w:rsid w:val="00272F10"/>
    <w:rsid w:val="0027318F"/>
    <w:rsid w:val="00273BF6"/>
    <w:rsid w:val="00273C8E"/>
    <w:rsid w:val="00273E2D"/>
    <w:rsid w:val="00274467"/>
    <w:rsid w:val="0027515E"/>
    <w:rsid w:val="0027560E"/>
    <w:rsid w:val="00275BD2"/>
    <w:rsid w:val="00275F32"/>
    <w:rsid w:val="002767F4"/>
    <w:rsid w:val="002767FE"/>
    <w:rsid w:val="002774DF"/>
    <w:rsid w:val="00277690"/>
    <w:rsid w:val="0027791C"/>
    <w:rsid w:val="00277C8F"/>
    <w:rsid w:val="00280219"/>
    <w:rsid w:val="00280664"/>
    <w:rsid w:val="00280884"/>
    <w:rsid w:val="00280E80"/>
    <w:rsid w:val="00281E8F"/>
    <w:rsid w:val="002828FB"/>
    <w:rsid w:val="00283253"/>
    <w:rsid w:val="0028328B"/>
    <w:rsid w:val="002838F8"/>
    <w:rsid w:val="00283A59"/>
    <w:rsid w:val="00283A7C"/>
    <w:rsid w:val="00283BE4"/>
    <w:rsid w:val="00284633"/>
    <w:rsid w:val="00284969"/>
    <w:rsid w:val="00285738"/>
    <w:rsid w:val="002858DC"/>
    <w:rsid w:val="00285AE5"/>
    <w:rsid w:val="00286084"/>
    <w:rsid w:val="002867E7"/>
    <w:rsid w:val="00286943"/>
    <w:rsid w:val="00286A34"/>
    <w:rsid w:val="00286E8C"/>
    <w:rsid w:val="0028747C"/>
    <w:rsid w:val="00287CCF"/>
    <w:rsid w:val="00290344"/>
    <w:rsid w:val="0029040B"/>
    <w:rsid w:val="00290AEF"/>
    <w:rsid w:val="00291025"/>
    <w:rsid w:val="002913A2"/>
    <w:rsid w:val="00291CC9"/>
    <w:rsid w:val="00291E4A"/>
    <w:rsid w:val="002924D1"/>
    <w:rsid w:val="00292653"/>
    <w:rsid w:val="00292A80"/>
    <w:rsid w:val="00293A09"/>
    <w:rsid w:val="00293F7B"/>
    <w:rsid w:val="002942A1"/>
    <w:rsid w:val="00295014"/>
    <w:rsid w:val="002955B4"/>
    <w:rsid w:val="00296082"/>
    <w:rsid w:val="00296237"/>
    <w:rsid w:val="00296317"/>
    <w:rsid w:val="00297A45"/>
    <w:rsid w:val="00297ABB"/>
    <w:rsid w:val="00297B8C"/>
    <w:rsid w:val="002A0187"/>
    <w:rsid w:val="002A031C"/>
    <w:rsid w:val="002A054A"/>
    <w:rsid w:val="002A085C"/>
    <w:rsid w:val="002A093F"/>
    <w:rsid w:val="002A0C2A"/>
    <w:rsid w:val="002A1F7E"/>
    <w:rsid w:val="002A2171"/>
    <w:rsid w:val="002A2660"/>
    <w:rsid w:val="002A2D0D"/>
    <w:rsid w:val="002A2D40"/>
    <w:rsid w:val="002A3533"/>
    <w:rsid w:val="002A38BB"/>
    <w:rsid w:val="002A3D49"/>
    <w:rsid w:val="002A4020"/>
    <w:rsid w:val="002A4E8C"/>
    <w:rsid w:val="002A50E9"/>
    <w:rsid w:val="002A5C8A"/>
    <w:rsid w:val="002A5F37"/>
    <w:rsid w:val="002A6F8E"/>
    <w:rsid w:val="002A793F"/>
    <w:rsid w:val="002A79E8"/>
    <w:rsid w:val="002B021C"/>
    <w:rsid w:val="002B026D"/>
    <w:rsid w:val="002B0519"/>
    <w:rsid w:val="002B0CE2"/>
    <w:rsid w:val="002B1E38"/>
    <w:rsid w:val="002B2096"/>
    <w:rsid w:val="002B2505"/>
    <w:rsid w:val="002B25FF"/>
    <w:rsid w:val="002B41BA"/>
    <w:rsid w:val="002B4237"/>
    <w:rsid w:val="002B43A0"/>
    <w:rsid w:val="002B4574"/>
    <w:rsid w:val="002B4E24"/>
    <w:rsid w:val="002B55DD"/>
    <w:rsid w:val="002B675B"/>
    <w:rsid w:val="002B67FE"/>
    <w:rsid w:val="002B6B46"/>
    <w:rsid w:val="002B71B6"/>
    <w:rsid w:val="002C013D"/>
    <w:rsid w:val="002C02F2"/>
    <w:rsid w:val="002C0909"/>
    <w:rsid w:val="002C0CFE"/>
    <w:rsid w:val="002C16EF"/>
    <w:rsid w:val="002C2188"/>
    <w:rsid w:val="002C23E8"/>
    <w:rsid w:val="002C293A"/>
    <w:rsid w:val="002C2E17"/>
    <w:rsid w:val="002C2E2D"/>
    <w:rsid w:val="002C3646"/>
    <w:rsid w:val="002C37CD"/>
    <w:rsid w:val="002C3E1E"/>
    <w:rsid w:val="002C3EA2"/>
    <w:rsid w:val="002C41B7"/>
    <w:rsid w:val="002C5303"/>
    <w:rsid w:val="002C554D"/>
    <w:rsid w:val="002C563E"/>
    <w:rsid w:val="002C58BF"/>
    <w:rsid w:val="002C5A10"/>
    <w:rsid w:val="002C5CDB"/>
    <w:rsid w:val="002C5FF3"/>
    <w:rsid w:val="002C636E"/>
    <w:rsid w:val="002C6ACC"/>
    <w:rsid w:val="002C6C2A"/>
    <w:rsid w:val="002C6FCD"/>
    <w:rsid w:val="002C7561"/>
    <w:rsid w:val="002C7948"/>
    <w:rsid w:val="002C7EDD"/>
    <w:rsid w:val="002D03BD"/>
    <w:rsid w:val="002D0790"/>
    <w:rsid w:val="002D1181"/>
    <w:rsid w:val="002D1270"/>
    <w:rsid w:val="002D1B90"/>
    <w:rsid w:val="002D22D7"/>
    <w:rsid w:val="002D3817"/>
    <w:rsid w:val="002D40A1"/>
    <w:rsid w:val="002D40B7"/>
    <w:rsid w:val="002D40BF"/>
    <w:rsid w:val="002D4756"/>
    <w:rsid w:val="002D4C61"/>
    <w:rsid w:val="002D5213"/>
    <w:rsid w:val="002D6101"/>
    <w:rsid w:val="002D68A9"/>
    <w:rsid w:val="002D74B2"/>
    <w:rsid w:val="002D74D1"/>
    <w:rsid w:val="002D7A45"/>
    <w:rsid w:val="002E0B5C"/>
    <w:rsid w:val="002E1535"/>
    <w:rsid w:val="002E1902"/>
    <w:rsid w:val="002E27D2"/>
    <w:rsid w:val="002E2CF4"/>
    <w:rsid w:val="002E35CD"/>
    <w:rsid w:val="002E3E79"/>
    <w:rsid w:val="002E40E1"/>
    <w:rsid w:val="002E462E"/>
    <w:rsid w:val="002E4AAD"/>
    <w:rsid w:val="002E59AA"/>
    <w:rsid w:val="002E5F3C"/>
    <w:rsid w:val="002E6078"/>
    <w:rsid w:val="002E62EC"/>
    <w:rsid w:val="002E64D8"/>
    <w:rsid w:val="002E6F31"/>
    <w:rsid w:val="002E6FB3"/>
    <w:rsid w:val="002E716F"/>
    <w:rsid w:val="002E7216"/>
    <w:rsid w:val="002E73A0"/>
    <w:rsid w:val="002E73E5"/>
    <w:rsid w:val="002E767A"/>
    <w:rsid w:val="002E7CAC"/>
    <w:rsid w:val="002F0271"/>
    <w:rsid w:val="002F0483"/>
    <w:rsid w:val="002F0BFD"/>
    <w:rsid w:val="002F0EDA"/>
    <w:rsid w:val="002F0F79"/>
    <w:rsid w:val="002F1449"/>
    <w:rsid w:val="002F203C"/>
    <w:rsid w:val="002F220E"/>
    <w:rsid w:val="002F232B"/>
    <w:rsid w:val="002F4576"/>
    <w:rsid w:val="002F472A"/>
    <w:rsid w:val="002F4BB3"/>
    <w:rsid w:val="002F4D08"/>
    <w:rsid w:val="002F547B"/>
    <w:rsid w:val="002F6056"/>
    <w:rsid w:val="002F6879"/>
    <w:rsid w:val="002F6890"/>
    <w:rsid w:val="002F7D96"/>
    <w:rsid w:val="002F7E4C"/>
    <w:rsid w:val="002F7E58"/>
    <w:rsid w:val="0030065E"/>
    <w:rsid w:val="00301085"/>
    <w:rsid w:val="00301726"/>
    <w:rsid w:val="0030220B"/>
    <w:rsid w:val="00302D5B"/>
    <w:rsid w:val="00302DF8"/>
    <w:rsid w:val="0030325E"/>
    <w:rsid w:val="00303468"/>
    <w:rsid w:val="003035E8"/>
    <w:rsid w:val="00303905"/>
    <w:rsid w:val="00303B08"/>
    <w:rsid w:val="003045CB"/>
    <w:rsid w:val="00304694"/>
    <w:rsid w:val="003049EE"/>
    <w:rsid w:val="00305119"/>
    <w:rsid w:val="00305AEB"/>
    <w:rsid w:val="00305CDB"/>
    <w:rsid w:val="00305F07"/>
    <w:rsid w:val="00305FA0"/>
    <w:rsid w:val="0030655C"/>
    <w:rsid w:val="00307948"/>
    <w:rsid w:val="00307E7D"/>
    <w:rsid w:val="00310A3D"/>
    <w:rsid w:val="00310AE2"/>
    <w:rsid w:val="003125FE"/>
    <w:rsid w:val="0031302E"/>
    <w:rsid w:val="00313126"/>
    <w:rsid w:val="00313B81"/>
    <w:rsid w:val="00313CC0"/>
    <w:rsid w:val="003143D3"/>
    <w:rsid w:val="0031494F"/>
    <w:rsid w:val="0031497C"/>
    <w:rsid w:val="00314992"/>
    <w:rsid w:val="00314F62"/>
    <w:rsid w:val="00315255"/>
    <w:rsid w:val="003158FF"/>
    <w:rsid w:val="00315D8A"/>
    <w:rsid w:val="00315F16"/>
    <w:rsid w:val="003160C7"/>
    <w:rsid w:val="00316420"/>
    <w:rsid w:val="003165A6"/>
    <w:rsid w:val="0031666A"/>
    <w:rsid w:val="003166B5"/>
    <w:rsid w:val="00317A1E"/>
    <w:rsid w:val="00317A56"/>
    <w:rsid w:val="00317ED9"/>
    <w:rsid w:val="003200EE"/>
    <w:rsid w:val="00320701"/>
    <w:rsid w:val="00320888"/>
    <w:rsid w:val="0032142D"/>
    <w:rsid w:val="00321856"/>
    <w:rsid w:val="003219FB"/>
    <w:rsid w:val="00321C5E"/>
    <w:rsid w:val="003222D4"/>
    <w:rsid w:val="00322CFB"/>
    <w:rsid w:val="003235AC"/>
    <w:rsid w:val="003237AE"/>
    <w:rsid w:val="003253D8"/>
    <w:rsid w:val="003256D6"/>
    <w:rsid w:val="00325B5F"/>
    <w:rsid w:val="00325FD9"/>
    <w:rsid w:val="00326F9C"/>
    <w:rsid w:val="0032723B"/>
    <w:rsid w:val="00327603"/>
    <w:rsid w:val="003276AD"/>
    <w:rsid w:val="00327C7A"/>
    <w:rsid w:val="0033089B"/>
    <w:rsid w:val="003309D3"/>
    <w:rsid w:val="003311EE"/>
    <w:rsid w:val="003317ED"/>
    <w:rsid w:val="003318EE"/>
    <w:rsid w:val="00331A0C"/>
    <w:rsid w:val="00331D9E"/>
    <w:rsid w:val="00332163"/>
    <w:rsid w:val="00332884"/>
    <w:rsid w:val="00332C19"/>
    <w:rsid w:val="00333692"/>
    <w:rsid w:val="003337B3"/>
    <w:rsid w:val="00333E2E"/>
    <w:rsid w:val="003341E5"/>
    <w:rsid w:val="00334F27"/>
    <w:rsid w:val="003353C2"/>
    <w:rsid w:val="003354A8"/>
    <w:rsid w:val="00335B7B"/>
    <w:rsid w:val="0033642C"/>
    <w:rsid w:val="0033661F"/>
    <w:rsid w:val="00337BC2"/>
    <w:rsid w:val="00340CF9"/>
    <w:rsid w:val="00340F74"/>
    <w:rsid w:val="003415CE"/>
    <w:rsid w:val="003421B9"/>
    <w:rsid w:val="0034278E"/>
    <w:rsid w:val="0034347A"/>
    <w:rsid w:val="00343AED"/>
    <w:rsid w:val="00343D96"/>
    <w:rsid w:val="003441DD"/>
    <w:rsid w:val="003443A0"/>
    <w:rsid w:val="00344CC3"/>
    <w:rsid w:val="00344EB1"/>
    <w:rsid w:val="00345205"/>
    <w:rsid w:val="003461C8"/>
    <w:rsid w:val="0034656E"/>
    <w:rsid w:val="00347982"/>
    <w:rsid w:val="00347BEF"/>
    <w:rsid w:val="00350661"/>
    <w:rsid w:val="003508F1"/>
    <w:rsid w:val="00350AB5"/>
    <w:rsid w:val="00351095"/>
    <w:rsid w:val="003510DE"/>
    <w:rsid w:val="00351C84"/>
    <w:rsid w:val="00352133"/>
    <w:rsid w:val="003529B9"/>
    <w:rsid w:val="00352BF8"/>
    <w:rsid w:val="00352D18"/>
    <w:rsid w:val="00353B5E"/>
    <w:rsid w:val="00353CFE"/>
    <w:rsid w:val="00353E2F"/>
    <w:rsid w:val="003543DE"/>
    <w:rsid w:val="00354512"/>
    <w:rsid w:val="00354729"/>
    <w:rsid w:val="00354CE6"/>
    <w:rsid w:val="0035573B"/>
    <w:rsid w:val="00355E86"/>
    <w:rsid w:val="00355FBB"/>
    <w:rsid w:val="00356150"/>
    <w:rsid w:val="00356346"/>
    <w:rsid w:val="0035742F"/>
    <w:rsid w:val="00357B1F"/>
    <w:rsid w:val="00357C88"/>
    <w:rsid w:val="003600C6"/>
    <w:rsid w:val="003607D7"/>
    <w:rsid w:val="0036089A"/>
    <w:rsid w:val="00360A9D"/>
    <w:rsid w:val="003637B3"/>
    <w:rsid w:val="00364023"/>
    <w:rsid w:val="0036529C"/>
    <w:rsid w:val="00365875"/>
    <w:rsid w:val="00365FE6"/>
    <w:rsid w:val="003663A4"/>
    <w:rsid w:val="00366B6C"/>
    <w:rsid w:val="00367167"/>
    <w:rsid w:val="00367518"/>
    <w:rsid w:val="003675C8"/>
    <w:rsid w:val="0037050E"/>
    <w:rsid w:val="00370C4D"/>
    <w:rsid w:val="003719E4"/>
    <w:rsid w:val="00371CA7"/>
    <w:rsid w:val="003721B0"/>
    <w:rsid w:val="003727FC"/>
    <w:rsid w:val="003730C7"/>
    <w:rsid w:val="00373337"/>
    <w:rsid w:val="00373DE8"/>
    <w:rsid w:val="00374B29"/>
    <w:rsid w:val="00374D49"/>
    <w:rsid w:val="00375534"/>
    <w:rsid w:val="003755F2"/>
    <w:rsid w:val="00375EA7"/>
    <w:rsid w:val="0037625C"/>
    <w:rsid w:val="003764A0"/>
    <w:rsid w:val="003765C9"/>
    <w:rsid w:val="0037761C"/>
    <w:rsid w:val="00377744"/>
    <w:rsid w:val="00377EF7"/>
    <w:rsid w:val="0038107A"/>
    <w:rsid w:val="00382773"/>
    <w:rsid w:val="00382D64"/>
    <w:rsid w:val="00382F2D"/>
    <w:rsid w:val="003836A8"/>
    <w:rsid w:val="00383BB6"/>
    <w:rsid w:val="00384087"/>
    <w:rsid w:val="00384728"/>
    <w:rsid w:val="00384B5B"/>
    <w:rsid w:val="00384B8F"/>
    <w:rsid w:val="003851C1"/>
    <w:rsid w:val="0038522A"/>
    <w:rsid w:val="003854D5"/>
    <w:rsid w:val="00385548"/>
    <w:rsid w:val="003857A6"/>
    <w:rsid w:val="0038645F"/>
    <w:rsid w:val="00386761"/>
    <w:rsid w:val="0038736E"/>
    <w:rsid w:val="00387C74"/>
    <w:rsid w:val="003906C8"/>
    <w:rsid w:val="00390963"/>
    <w:rsid w:val="00391042"/>
    <w:rsid w:val="00391136"/>
    <w:rsid w:val="003912C6"/>
    <w:rsid w:val="003916A0"/>
    <w:rsid w:val="0039232E"/>
    <w:rsid w:val="00392645"/>
    <w:rsid w:val="003928D4"/>
    <w:rsid w:val="003928F5"/>
    <w:rsid w:val="00392F01"/>
    <w:rsid w:val="00392F46"/>
    <w:rsid w:val="00392F65"/>
    <w:rsid w:val="00393FFC"/>
    <w:rsid w:val="003941C6"/>
    <w:rsid w:val="00394308"/>
    <w:rsid w:val="003943AE"/>
    <w:rsid w:val="00394A4F"/>
    <w:rsid w:val="003951FB"/>
    <w:rsid w:val="0039624A"/>
    <w:rsid w:val="003962B0"/>
    <w:rsid w:val="00396ECA"/>
    <w:rsid w:val="003970F2"/>
    <w:rsid w:val="003979AA"/>
    <w:rsid w:val="00397B66"/>
    <w:rsid w:val="003A00B7"/>
    <w:rsid w:val="003A15AE"/>
    <w:rsid w:val="003A15DC"/>
    <w:rsid w:val="003A1C09"/>
    <w:rsid w:val="003A2043"/>
    <w:rsid w:val="003A24BD"/>
    <w:rsid w:val="003A2FBA"/>
    <w:rsid w:val="003A3401"/>
    <w:rsid w:val="003A344C"/>
    <w:rsid w:val="003A3547"/>
    <w:rsid w:val="003A3FDB"/>
    <w:rsid w:val="003A4023"/>
    <w:rsid w:val="003A41E4"/>
    <w:rsid w:val="003A632E"/>
    <w:rsid w:val="003A641B"/>
    <w:rsid w:val="003A6BE9"/>
    <w:rsid w:val="003A77CA"/>
    <w:rsid w:val="003A7840"/>
    <w:rsid w:val="003A7A70"/>
    <w:rsid w:val="003B0792"/>
    <w:rsid w:val="003B09C6"/>
    <w:rsid w:val="003B0EA5"/>
    <w:rsid w:val="003B1129"/>
    <w:rsid w:val="003B1FE5"/>
    <w:rsid w:val="003B2E7C"/>
    <w:rsid w:val="003B313A"/>
    <w:rsid w:val="003B3F53"/>
    <w:rsid w:val="003B49EC"/>
    <w:rsid w:val="003B514D"/>
    <w:rsid w:val="003B58D9"/>
    <w:rsid w:val="003B599E"/>
    <w:rsid w:val="003B5E2E"/>
    <w:rsid w:val="003B60CD"/>
    <w:rsid w:val="003B6463"/>
    <w:rsid w:val="003B66F8"/>
    <w:rsid w:val="003B67F2"/>
    <w:rsid w:val="003B6A91"/>
    <w:rsid w:val="003B6CAA"/>
    <w:rsid w:val="003B6D23"/>
    <w:rsid w:val="003B7701"/>
    <w:rsid w:val="003C0C83"/>
    <w:rsid w:val="003C22B9"/>
    <w:rsid w:val="003C2DA0"/>
    <w:rsid w:val="003C3639"/>
    <w:rsid w:val="003C3FC1"/>
    <w:rsid w:val="003C4D79"/>
    <w:rsid w:val="003C4F41"/>
    <w:rsid w:val="003C5169"/>
    <w:rsid w:val="003C559B"/>
    <w:rsid w:val="003C5A18"/>
    <w:rsid w:val="003C5CFB"/>
    <w:rsid w:val="003C6533"/>
    <w:rsid w:val="003C68BA"/>
    <w:rsid w:val="003C703B"/>
    <w:rsid w:val="003C7851"/>
    <w:rsid w:val="003C7D92"/>
    <w:rsid w:val="003D04BB"/>
    <w:rsid w:val="003D075D"/>
    <w:rsid w:val="003D22F9"/>
    <w:rsid w:val="003D2334"/>
    <w:rsid w:val="003D2742"/>
    <w:rsid w:val="003D2C8B"/>
    <w:rsid w:val="003D2E82"/>
    <w:rsid w:val="003D3915"/>
    <w:rsid w:val="003D3CAB"/>
    <w:rsid w:val="003D3F82"/>
    <w:rsid w:val="003D41B1"/>
    <w:rsid w:val="003D42FF"/>
    <w:rsid w:val="003D5867"/>
    <w:rsid w:val="003D586A"/>
    <w:rsid w:val="003D6019"/>
    <w:rsid w:val="003D6502"/>
    <w:rsid w:val="003D671D"/>
    <w:rsid w:val="003D7A0C"/>
    <w:rsid w:val="003D7EAF"/>
    <w:rsid w:val="003E01CF"/>
    <w:rsid w:val="003E04AF"/>
    <w:rsid w:val="003E0949"/>
    <w:rsid w:val="003E0F25"/>
    <w:rsid w:val="003E0F76"/>
    <w:rsid w:val="003E1D52"/>
    <w:rsid w:val="003E3053"/>
    <w:rsid w:val="003E310A"/>
    <w:rsid w:val="003E31F8"/>
    <w:rsid w:val="003E4248"/>
    <w:rsid w:val="003E4F33"/>
    <w:rsid w:val="003E64E6"/>
    <w:rsid w:val="003E6B4B"/>
    <w:rsid w:val="003F000C"/>
    <w:rsid w:val="003F04D0"/>
    <w:rsid w:val="003F0835"/>
    <w:rsid w:val="003F0C33"/>
    <w:rsid w:val="003F10B3"/>
    <w:rsid w:val="003F1489"/>
    <w:rsid w:val="003F1592"/>
    <w:rsid w:val="003F162F"/>
    <w:rsid w:val="003F1E29"/>
    <w:rsid w:val="003F1F81"/>
    <w:rsid w:val="003F21F6"/>
    <w:rsid w:val="003F317F"/>
    <w:rsid w:val="003F3E54"/>
    <w:rsid w:val="003F3E5C"/>
    <w:rsid w:val="003F4FF0"/>
    <w:rsid w:val="003F5CDC"/>
    <w:rsid w:val="003F5EAC"/>
    <w:rsid w:val="003F7473"/>
    <w:rsid w:val="003F78E5"/>
    <w:rsid w:val="003F7E45"/>
    <w:rsid w:val="0040001F"/>
    <w:rsid w:val="00400B22"/>
    <w:rsid w:val="00400CC4"/>
    <w:rsid w:val="00400D70"/>
    <w:rsid w:val="00401C60"/>
    <w:rsid w:val="00402715"/>
    <w:rsid w:val="00402B11"/>
    <w:rsid w:val="00402D7A"/>
    <w:rsid w:val="00403296"/>
    <w:rsid w:val="00403F75"/>
    <w:rsid w:val="00404101"/>
    <w:rsid w:val="00404321"/>
    <w:rsid w:val="004049FD"/>
    <w:rsid w:val="004062C7"/>
    <w:rsid w:val="0040659B"/>
    <w:rsid w:val="00406612"/>
    <w:rsid w:val="00406E1B"/>
    <w:rsid w:val="004079DF"/>
    <w:rsid w:val="00407CBC"/>
    <w:rsid w:val="00407F52"/>
    <w:rsid w:val="00410857"/>
    <w:rsid w:val="00411005"/>
    <w:rsid w:val="00411640"/>
    <w:rsid w:val="0041180B"/>
    <w:rsid w:val="004120E2"/>
    <w:rsid w:val="00412280"/>
    <w:rsid w:val="004140A6"/>
    <w:rsid w:val="00414A61"/>
    <w:rsid w:val="00416228"/>
    <w:rsid w:val="00416C3F"/>
    <w:rsid w:val="004173E4"/>
    <w:rsid w:val="00417672"/>
    <w:rsid w:val="004176F1"/>
    <w:rsid w:val="004177E0"/>
    <w:rsid w:val="004203A7"/>
    <w:rsid w:val="0042112E"/>
    <w:rsid w:val="004214D2"/>
    <w:rsid w:val="00421CF7"/>
    <w:rsid w:val="00421D8C"/>
    <w:rsid w:val="004228C2"/>
    <w:rsid w:val="00422D68"/>
    <w:rsid w:val="00424A72"/>
    <w:rsid w:val="00425BDE"/>
    <w:rsid w:val="004267D4"/>
    <w:rsid w:val="00427A9B"/>
    <w:rsid w:val="004305DE"/>
    <w:rsid w:val="00430FFA"/>
    <w:rsid w:val="00431095"/>
    <w:rsid w:val="004313B9"/>
    <w:rsid w:val="0043142C"/>
    <w:rsid w:val="00432085"/>
    <w:rsid w:val="0043218E"/>
    <w:rsid w:val="004322BD"/>
    <w:rsid w:val="004326A8"/>
    <w:rsid w:val="00432860"/>
    <w:rsid w:val="004329A2"/>
    <w:rsid w:val="00433A5C"/>
    <w:rsid w:val="00433BEB"/>
    <w:rsid w:val="00433C71"/>
    <w:rsid w:val="00433E08"/>
    <w:rsid w:val="00434022"/>
    <w:rsid w:val="00434498"/>
    <w:rsid w:val="00434F10"/>
    <w:rsid w:val="00435E1B"/>
    <w:rsid w:val="004361B4"/>
    <w:rsid w:val="004363F0"/>
    <w:rsid w:val="00436CE2"/>
    <w:rsid w:val="0043734D"/>
    <w:rsid w:val="0043747F"/>
    <w:rsid w:val="004376CF"/>
    <w:rsid w:val="00440D45"/>
    <w:rsid w:val="0044104A"/>
    <w:rsid w:val="00441495"/>
    <w:rsid w:val="0044180C"/>
    <w:rsid w:val="00441A62"/>
    <w:rsid w:val="00442AFA"/>
    <w:rsid w:val="004431E1"/>
    <w:rsid w:val="00443470"/>
    <w:rsid w:val="00443A60"/>
    <w:rsid w:val="004444BA"/>
    <w:rsid w:val="004453FB"/>
    <w:rsid w:val="00445F9E"/>
    <w:rsid w:val="00446531"/>
    <w:rsid w:val="00446CD7"/>
    <w:rsid w:val="00447029"/>
    <w:rsid w:val="00447942"/>
    <w:rsid w:val="00447A89"/>
    <w:rsid w:val="00447EF7"/>
    <w:rsid w:val="0045053F"/>
    <w:rsid w:val="00450F58"/>
    <w:rsid w:val="0045105B"/>
    <w:rsid w:val="00451378"/>
    <w:rsid w:val="00451484"/>
    <w:rsid w:val="0045190A"/>
    <w:rsid w:val="004519C2"/>
    <w:rsid w:val="00451B97"/>
    <w:rsid w:val="00451CF5"/>
    <w:rsid w:val="00452106"/>
    <w:rsid w:val="00452225"/>
    <w:rsid w:val="00452439"/>
    <w:rsid w:val="00452A83"/>
    <w:rsid w:val="004532D9"/>
    <w:rsid w:val="0045351A"/>
    <w:rsid w:val="00453752"/>
    <w:rsid w:val="004538CF"/>
    <w:rsid w:val="00453936"/>
    <w:rsid w:val="00453956"/>
    <w:rsid w:val="00453C06"/>
    <w:rsid w:val="00453C93"/>
    <w:rsid w:val="00453CA7"/>
    <w:rsid w:val="004540B7"/>
    <w:rsid w:val="00454E47"/>
    <w:rsid w:val="00455862"/>
    <w:rsid w:val="004559B2"/>
    <w:rsid w:val="00455BE3"/>
    <w:rsid w:val="0045602C"/>
    <w:rsid w:val="004560D4"/>
    <w:rsid w:val="00456110"/>
    <w:rsid w:val="004567EE"/>
    <w:rsid w:val="004572AF"/>
    <w:rsid w:val="00460A0D"/>
    <w:rsid w:val="00460BE1"/>
    <w:rsid w:val="00460F41"/>
    <w:rsid w:val="0046107B"/>
    <w:rsid w:val="004610AD"/>
    <w:rsid w:val="00461319"/>
    <w:rsid w:val="00461FC9"/>
    <w:rsid w:val="004624E6"/>
    <w:rsid w:val="00462536"/>
    <w:rsid w:val="004625C1"/>
    <w:rsid w:val="004625E2"/>
    <w:rsid w:val="00462D2F"/>
    <w:rsid w:val="00462FA6"/>
    <w:rsid w:val="00463444"/>
    <w:rsid w:val="0046347C"/>
    <w:rsid w:val="00463711"/>
    <w:rsid w:val="00463898"/>
    <w:rsid w:val="004641F9"/>
    <w:rsid w:val="004644D4"/>
    <w:rsid w:val="0046541A"/>
    <w:rsid w:val="0046599B"/>
    <w:rsid w:val="004659B9"/>
    <w:rsid w:val="00465D0F"/>
    <w:rsid w:val="00465D4D"/>
    <w:rsid w:val="00466480"/>
    <w:rsid w:val="004667E2"/>
    <w:rsid w:val="00467985"/>
    <w:rsid w:val="00467B9D"/>
    <w:rsid w:val="00467FD4"/>
    <w:rsid w:val="00470717"/>
    <w:rsid w:val="00470FA0"/>
    <w:rsid w:val="004713F5"/>
    <w:rsid w:val="004718C3"/>
    <w:rsid w:val="00471BA8"/>
    <w:rsid w:val="0047212E"/>
    <w:rsid w:val="004722D2"/>
    <w:rsid w:val="004729C7"/>
    <w:rsid w:val="00472C39"/>
    <w:rsid w:val="00473144"/>
    <w:rsid w:val="00473194"/>
    <w:rsid w:val="004739F0"/>
    <w:rsid w:val="00473A65"/>
    <w:rsid w:val="00474065"/>
    <w:rsid w:val="00474705"/>
    <w:rsid w:val="00474918"/>
    <w:rsid w:val="00474C01"/>
    <w:rsid w:val="00475156"/>
    <w:rsid w:val="004755B1"/>
    <w:rsid w:val="0047598E"/>
    <w:rsid w:val="00475A28"/>
    <w:rsid w:val="00476313"/>
    <w:rsid w:val="004768F2"/>
    <w:rsid w:val="00476983"/>
    <w:rsid w:val="00476EAD"/>
    <w:rsid w:val="004775FF"/>
    <w:rsid w:val="0047775C"/>
    <w:rsid w:val="00477E64"/>
    <w:rsid w:val="00480155"/>
    <w:rsid w:val="004802FF"/>
    <w:rsid w:val="004805F3"/>
    <w:rsid w:val="004806E7"/>
    <w:rsid w:val="004808CC"/>
    <w:rsid w:val="00480BD4"/>
    <w:rsid w:val="00480BF1"/>
    <w:rsid w:val="00481798"/>
    <w:rsid w:val="00481C78"/>
    <w:rsid w:val="004836A9"/>
    <w:rsid w:val="0048390F"/>
    <w:rsid w:val="00483BB8"/>
    <w:rsid w:val="00483BF2"/>
    <w:rsid w:val="004841DE"/>
    <w:rsid w:val="004842D9"/>
    <w:rsid w:val="00484456"/>
    <w:rsid w:val="00484759"/>
    <w:rsid w:val="004849ED"/>
    <w:rsid w:val="00484BCF"/>
    <w:rsid w:val="00484CD8"/>
    <w:rsid w:val="0048507B"/>
    <w:rsid w:val="0048567B"/>
    <w:rsid w:val="00485860"/>
    <w:rsid w:val="004858BA"/>
    <w:rsid w:val="004858F6"/>
    <w:rsid w:val="00485B0E"/>
    <w:rsid w:val="00485C8A"/>
    <w:rsid w:val="0048606A"/>
    <w:rsid w:val="00486C33"/>
    <w:rsid w:val="00486C52"/>
    <w:rsid w:val="0048723D"/>
    <w:rsid w:val="004910B6"/>
    <w:rsid w:val="00491962"/>
    <w:rsid w:val="00492158"/>
    <w:rsid w:val="004921A4"/>
    <w:rsid w:val="004924BF"/>
    <w:rsid w:val="00492D4C"/>
    <w:rsid w:val="0049310B"/>
    <w:rsid w:val="0049318C"/>
    <w:rsid w:val="00493196"/>
    <w:rsid w:val="00494166"/>
    <w:rsid w:val="004946A9"/>
    <w:rsid w:val="00494774"/>
    <w:rsid w:val="00494AC1"/>
    <w:rsid w:val="004954CB"/>
    <w:rsid w:val="00495CE2"/>
    <w:rsid w:val="0049775E"/>
    <w:rsid w:val="0049782F"/>
    <w:rsid w:val="00497BAA"/>
    <w:rsid w:val="004A0F71"/>
    <w:rsid w:val="004A1BB5"/>
    <w:rsid w:val="004A21C9"/>
    <w:rsid w:val="004A26E0"/>
    <w:rsid w:val="004A3473"/>
    <w:rsid w:val="004A34E7"/>
    <w:rsid w:val="004A3CF4"/>
    <w:rsid w:val="004A4438"/>
    <w:rsid w:val="004A5254"/>
    <w:rsid w:val="004A55C2"/>
    <w:rsid w:val="004A5F58"/>
    <w:rsid w:val="004A5F68"/>
    <w:rsid w:val="004A62A3"/>
    <w:rsid w:val="004A634C"/>
    <w:rsid w:val="004A64CC"/>
    <w:rsid w:val="004A66FA"/>
    <w:rsid w:val="004A6BEE"/>
    <w:rsid w:val="004A7752"/>
    <w:rsid w:val="004A7C93"/>
    <w:rsid w:val="004B0DD0"/>
    <w:rsid w:val="004B0DF8"/>
    <w:rsid w:val="004B12D9"/>
    <w:rsid w:val="004B25E5"/>
    <w:rsid w:val="004B2D3A"/>
    <w:rsid w:val="004B39DE"/>
    <w:rsid w:val="004B427C"/>
    <w:rsid w:val="004B427F"/>
    <w:rsid w:val="004B42E4"/>
    <w:rsid w:val="004B45DF"/>
    <w:rsid w:val="004B480D"/>
    <w:rsid w:val="004B5336"/>
    <w:rsid w:val="004B57B4"/>
    <w:rsid w:val="004B5B39"/>
    <w:rsid w:val="004B5DF6"/>
    <w:rsid w:val="004B6132"/>
    <w:rsid w:val="004B617D"/>
    <w:rsid w:val="004B67F2"/>
    <w:rsid w:val="004B6B87"/>
    <w:rsid w:val="004B6BDC"/>
    <w:rsid w:val="004B728B"/>
    <w:rsid w:val="004B74D3"/>
    <w:rsid w:val="004B7798"/>
    <w:rsid w:val="004B7BF9"/>
    <w:rsid w:val="004C07DA"/>
    <w:rsid w:val="004C082B"/>
    <w:rsid w:val="004C100E"/>
    <w:rsid w:val="004C17F4"/>
    <w:rsid w:val="004C185B"/>
    <w:rsid w:val="004C2275"/>
    <w:rsid w:val="004C2690"/>
    <w:rsid w:val="004C2B8D"/>
    <w:rsid w:val="004C2C45"/>
    <w:rsid w:val="004C3652"/>
    <w:rsid w:val="004C3C8B"/>
    <w:rsid w:val="004C3DE2"/>
    <w:rsid w:val="004C4735"/>
    <w:rsid w:val="004C4AD3"/>
    <w:rsid w:val="004C4EA3"/>
    <w:rsid w:val="004C510F"/>
    <w:rsid w:val="004C54A4"/>
    <w:rsid w:val="004C56AD"/>
    <w:rsid w:val="004C5757"/>
    <w:rsid w:val="004C5878"/>
    <w:rsid w:val="004C6052"/>
    <w:rsid w:val="004C65CC"/>
    <w:rsid w:val="004C6A14"/>
    <w:rsid w:val="004C7CFF"/>
    <w:rsid w:val="004C7F6D"/>
    <w:rsid w:val="004D0FD0"/>
    <w:rsid w:val="004D122D"/>
    <w:rsid w:val="004D19A3"/>
    <w:rsid w:val="004D1C48"/>
    <w:rsid w:val="004D1F71"/>
    <w:rsid w:val="004D20E2"/>
    <w:rsid w:val="004D2258"/>
    <w:rsid w:val="004D2E8B"/>
    <w:rsid w:val="004D2F53"/>
    <w:rsid w:val="004D435E"/>
    <w:rsid w:val="004D46E7"/>
    <w:rsid w:val="004D56B0"/>
    <w:rsid w:val="004D5A30"/>
    <w:rsid w:val="004D618A"/>
    <w:rsid w:val="004D6567"/>
    <w:rsid w:val="004D6C5E"/>
    <w:rsid w:val="004D6D42"/>
    <w:rsid w:val="004D6F1A"/>
    <w:rsid w:val="004D7B48"/>
    <w:rsid w:val="004D7F7E"/>
    <w:rsid w:val="004E013A"/>
    <w:rsid w:val="004E065A"/>
    <w:rsid w:val="004E0802"/>
    <w:rsid w:val="004E0B4E"/>
    <w:rsid w:val="004E151C"/>
    <w:rsid w:val="004E1A09"/>
    <w:rsid w:val="004E1C37"/>
    <w:rsid w:val="004E338D"/>
    <w:rsid w:val="004E3637"/>
    <w:rsid w:val="004E37EB"/>
    <w:rsid w:val="004E42C6"/>
    <w:rsid w:val="004E44D8"/>
    <w:rsid w:val="004E4933"/>
    <w:rsid w:val="004E5207"/>
    <w:rsid w:val="004E5562"/>
    <w:rsid w:val="004E5E57"/>
    <w:rsid w:val="004E6A7C"/>
    <w:rsid w:val="004E6E25"/>
    <w:rsid w:val="004E7988"/>
    <w:rsid w:val="004F01CB"/>
    <w:rsid w:val="004F01F8"/>
    <w:rsid w:val="004F057C"/>
    <w:rsid w:val="004F1049"/>
    <w:rsid w:val="004F1D48"/>
    <w:rsid w:val="004F31F8"/>
    <w:rsid w:val="004F4945"/>
    <w:rsid w:val="004F4EE7"/>
    <w:rsid w:val="004F50D5"/>
    <w:rsid w:val="004F51DC"/>
    <w:rsid w:val="004F52EA"/>
    <w:rsid w:val="004F62E0"/>
    <w:rsid w:val="004F6764"/>
    <w:rsid w:val="004F6AD7"/>
    <w:rsid w:val="004F6D37"/>
    <w:rsid w:val="004F6D4C"/>
    <w:rsid w:val="004F719E"/>
    <w:rsid w:val="004F7834"/>
    <w:rsid w:val="004F7D3A"/>
    <w:rsid w:val="005005AF"/>
    <w:rsid w:val="005005CA"/>
    <w:rsid w:val="005007EE"/>
    <w:rsid w:val="00500EFD"/>
    <w:rsid w:val="00501579"/>
    <w:rsid w:val="0050174A"/>
    <w:rsid w:val="0050193F"/>
    <w:rsid w:val="00501A63"/>
    <w:rsid w:val="00501E12"/>
    <w:rsid w:val="005028F9"/>
    <w:rsid w:val="00503624"/>
    <w:rsid w:val="00503AD4"/>
    <w:rsid w:val="00503FC7"/>
    <w:rsid w:val="005040C5"/>
    <w:rsid w:val="00504C00"/>
    <w:rsid w:val="0050576A"/>
    <w:rsid w:val="00505B06"/>
    <w:rsid w:val="00505EC9"/>
    <w:rsid w:val="00505F9D"/>
    <w:rsid w:val="0050622E"/>
    <w:rsid w:val="00506332"/>
    <w:rsid w:val="00506C98"/>
    <w:rsid w:val="005078DC"/>
    <w:rsid w:val="0050799C"/>
    <w:rsid w:val="00507A7E"/>
    <w:rsid w:val="00510107"/>
    <w:rsid w:val="00510CFC"/>
    <w:rsid w:val="00513121"/>
    <w:rsid w:val="00513D9A"/>
    <w:rsid w:val="00513F22"/>
    <w:rsid w:val="00514327"/>
    <w:rsid w:val="00514388"/>
    <w:rsid w:val="00514607"/>
    <w:rsid w:val="00514E5E"/>
    <w:rsid w:val="00515005"/>
    <w:rsid w:val="00515B31"/>
    <w:rsid w:val="00515B5F"/>
    <w:rsid w:val="005165CB"/>
    <w:rsid w:val="0051692B"/>
    <w:rsid w:val="00516947"/>
    <w:rsid w:val="005169B1"/>
    <w:rsid w:val="00516BF9"/>
    <w:rsid w:val="00517105"/>
    <w:rsid w:val="00517319"/>
    <w:rsid w:val="00520138"/>
    <w:rsid w:val="0052078F"/>
    <w:rsid w:val="005207CC"/>
    <w:rsid w:val="005211B7"/>
    <w:rsid w:val="00521474"/>
    <w:rsid w:val="00521AA7"/>
    <w:rsid w:val="00521E94"/>
    <w:rsid w:val="00523824"/>
    <w:rsid w:val="00524114"/>
    <w:rsid w:val="0052495A"/>
    <w:rsid w:val="00524C48"/>
    <w:rsid w:val="00525676"/>
    <w:rsid w:val="00526106"/>
    <w:rsid w:val="00526141"/>
    <w:rsid w:val="005261E2"/>
    <w:rsid w:val="00526DC8"/>
    <w:rsid w:val="005273B5"/>
    <w:rsid w:val="0052762D"/>
    <w:rsid w:val="005276FA"/>
    <w:rsid w:val="005301EB"/>
    <w:rsid w:val="005304DA"/>
    <w:rsid w:val="00530942"/>
    <w:rsid w:val="005313F8"/>
    <w:rsid w:val="005316B0"/>
    <w:rsid w:val="0053198B"/>
    <w:rsid w:val="00531A7B"/>
    <w:rsid w:val="005327AC"/>
    <w:rsid w:val="005333B3"/>
    <w:rsid w:val="00533509"/>
    <w:rsid w:val="00534607"/>
    <w:rsid w:val="00534833"/>
    <w:rsid w:val="00535274"/>
    <w:rsid w:val="0053537C"/>
    <w:rsid w:val="00536183"/>
    <w:rsid w:val="00536AAD"/>
    <w:rsid w:val="00536B95"/>
    <w:rsid w:val="00537347"/>
    <w:rsid w:val="00537970"/>
    <w:rsid w:val="00540218"/>
    <w:rsid w:val="005409D1"/>
    <w:rsid w:val="00540D7B"/>
    <w:rsid w:val="00541503"/>
    <w:rsid w:val="0054186F"/>
    <w:rsid w:val="00542096"/>
    <w:rsid w:val="005424C2"/>
    <w:rsid w:val="005425BF"/>
    <w:rsid w:val="00542916"/>
    <w:rsid w:val="005434DE"/>
    <w:rsid w:val="00543957"/>
    <w:rsid w:val="00543C0D"/>
    <w:rsid w:val="00543EA5"/>
    <w:rsid w:val="00544163"/>
    <w:rsid w:val="00544AAA"/>
    <w:rsid w:val="00545DB7"/>
    <w:rsid w:val="005465A6"/>
    <w:rsid w:val="005467C0"/>
    <w:rsid w:val="00547015"/>
    <w:rsid w:val="00547B09"/>
    <w:rsid w:val="00547E8F"/>
    <w:rsid w:val="00550360"/>
    <w:rsid w:val="00550775"/>
    <w:rsid w:val="005509DC"/>
    <w:rsid w:val="00550C4E"/>
    <w:rsid w:val="005510AD"/>
    <w:rsid w:val="00551902"/>
    <w:rsid w:val="00551B55"/>
    <w:rsid w:val="00552339"/>
    <w:rsid w:val="005523D4"/>
    <w:rsid w:val="00553387"/>
    <w:rsid w:val="0055422F"/>
    <w:rsid w:val="005544EA"/>
    <w:rsid w:val="00556582"/>
    <w:rsid w:val="0055679E"/>
    <w:rsid w:val="00556A11"/>
    <w:rsid w:val="00556ACE"/>
    <w:rsid w:val="00557B77"/>
    <w:rsid w:val="00557D45"/>
    <w:rsid w:val="00560437"/>
    <w:rsid w:val="00560A43"/>
    <w:rsid w:val="005611D6"/>
    <w:rsid w:val="00561594"/>
    <w:rsid w:val="005615F6"/>
    <w:rsid w:val="00561ADD"/>
    <w:rsid w:val="0056261D"/>
    <w:rsid w:val="00562D43"/>
    <w:rsid w:val="00562E1E"/>
    <w:rsid w:val="005640DB"/>
    <w:rsid w:val="0056454E"/>
    <w:rsid w:val="00564643"/>
    <w:rsid w:val="0056506A"/>
    <w:rsid w:val="0056527F"/>
    <w:rsid w:val="005656F8"/>
    <w:rsid w:val="00565951"/>
    <w:rsid w:val="00566289"/>
    <w:rsid w:val="005669CC"/>
    <w:rsid w:val="005669D2"/>
    <w:rsid w:val="00566CEB"/>
    <w:rsid w:val="0056710C"/>
    <w:rsid w:val="00567213"/>
    <w:rsid w:val="00567275"/>
    <w:rsid w:val="00567618"/>
    <w:rsid w:val="00567E4B"/>
    <w:rsid w:val="00570333"/>
    <w:rsid w:val="005707A5"/>
    <w:rsid w:val="00570F82"/>
    <w:rsid w:val="00571C60"/>
    <w:rsid w:val="00572860"/>
    <w:rsid w:val="005728F2"/>
    <w:rsid w:val="0057314B"/>
    <w:rsid w:val="0057327C"/>
    <w:rsid w:val="0057399E"/>
    <w:rsid w:val="00574036"/>
    <w:rsid w:val="00574932"/>
    <w:rsid w:val="00574996"/>
    <w:rsid w:val="00574CAA"/>
    <w:rsid w:val="00575254"/>
    <w:rsid w:val="005754CF"/>
    <w:rsid w:val="00576111"/>
    <w:rsid w:val="00577540"/>
    <w:rsid w:val="00581310"/>
    <w:rsid w:val="00581BB0"/>
    <w:rsid w:val="00581F14"/>
    <w:rsid w:val="005829E2"/>
    <w:rsid w:val="00582AFF"/>
    <w:rsid w:val="00582B40"/>
    <w:rsid w:val="00582FC8"/>
    <w:rsid w:val="00583057"/>
    <w:rsid w:val="005833CC"/>
    <w:rsid w:val="00583633"/>
    <w:rsid w:val="00583C6C"/>
    <w:rsid w:val="0058493C"/>
    <w:rsid w:val="0058493E"/>
    <w:rsid w:val="00584EA3"/>
    <w:rsid w:val="00584F36"/>
    <w:rsid w:val="005850EC"/>
    <w:rsid w:val="00585631"/>
    <w:rsid w:val="005858EA"/>
    <w:rsid w:val="00586262"/>
    <w:rsid w:val="005862AA"/>
    <w:rsid w:val="00586C0C"/>
    <w:rsid w:val="0058797E"/>
    <w:rsid w:val="00587E3A"/>
    <w:rsid w:val="00587E60"/>
    <w:rsid w:val="00587F40"/>
    <w:rsid w:val="0059015F"/>
    <w:rsid w:val="005906F2"/>
    <w:rsid w:val="005907B1"/>
    <w:rsid w:val="00590AD6"/>
    <w:rsid w:val="00591454"/>
    <w:rsid w:val="0059164F"/>
    <w:rsid w:val="00592371"/>
    <w:rsid w:val="00592501"/>
    <w:rsid w:val="0059299C"/>
    <w:rsid w:val="00592E0A"/>
    <w:rsid w:val="00592E53"/>
    <w:rsid w:val="00593397"/>
    <w:rsid w:val="0059421A"/>
    <w:rsid w:val="00594A50"/>
    <w:rsid w:val="00594AC4"/>
    <w:rsid w:val="0059504C"/>
    <w:rsid w:val="0059573B"/>
    <w:rsid w:val="005959E9"/>
    <w:rsid w:val="00596F42"/>
    <w:rsid w:val="0059709B"/>
    <w:rsid w:val="00597272"/>
    <w:rsid w:val="0059766E"/>
    <w:rsid w:val="00597A48"/>
    <w:rsid w:val="005A02B4"/>
    <w:rsid w:val="005A0BB3"/>
    <w:rsid w:val="005A0C73"/>
    <w:rsid w:val="005A10EF"/>
    <w:rsid w:val="005A1220"/>
    <w:rsid w:val="005A1D75"/>
    <w:rsid w:val="005A1DEF"/>
    <w:rsid w:val="005A2805"/>
    <w:rsid w:val="005A290E"/>
    <w:rsid w:val="005A2A15"/>
    <w:rsid w:val="005A2AC4"/>
    <w:rsid w:val="005A2B24"/>
    <w:rsid w:val="005A2E9F"/>
    <w:rsid w:val="005A2FD7"/>
    <w:rsid w:val="005A489E"/>
    <w:rsid w:val="005A4E04"/>
    <w:rsid w:val="005A55C8"/>
    <w:rsid w:val="005A5D4D"/>
    <w:rsid w:val="005A5EBB"/>
    <w:rsid w:val="005A60F6"/>
    <w:rsid w:val="005A6199"/>
    <w:rsid w:val="005A6347"/>
    <w:rsid w:val="005A65CB"/>
    <w:rsid w:val="005A775C"/>
    <w:rsid w:val="005A781D"/>
    <w:rsid w:val="005A79D1"/>
    <w:rsid w:val="005A7FF2"/>
    <w:rsid w:val="005B0006"/>
    <w:rsid w:val="005B1C32"/>
    <w:rsid w:val="005B29D9"/>
    <w:rsid w:val="005B31C9"/>
    <w:rsid w:val="005B3871"/>
    <w:rsid w:val="005B38A1"/>
    <w:rsid w:val="005B3E63"/>
    <w:rsid w:val="005B3F95"/>
    <w:rsid w:val="005B4731"/>
    <w:rsid w:val="005B52A2"/>
    <w:rsid w:val="005B5805"/>
    <w:rsid w:val="005B5822"/>
    <w:rsid w:val="005B586A"/>
    <w:rsid w:val="005B5A5D"/>
    <w:rsid w:val="005B5DA0"/>
    <w:rsid w:val="005B64BC"/>
    <w:rsid w:val="005B68BD"/>
    <w:rsid w:val="005C0690"/>
    <w:rsid w:val="005C0A96"/>
    <w:rsid w:val="005C0C19"/>
    <w:rsid w:val="005C1170"/>
    <w:rsid w:val="005C137D"/>
    <w:rsid w:val="005C1783"/>
    <w:rsid w:val="005C1BC1"/>
    <w:rsid w:val="005C235C"/>
    <w:rsid w:val="005C28AA"/>
    <w:rsid w:val="005C2B17"/>
    <w:rsid w:val="005C3658"/>
    <w:rsid w:val="005C3918"/>
    <w:rsid w:val="005C4746"/>
    <w:rsid w:val="005C4A2E"/>
    <w:rsid w:val="005C4BE2"/>
    <w:rsid w:val="005C4C83"/>
    <w:rsid w:val="005C4C9F"/>
    <w:rsid w:val="005C537B"/>
    <w:rsid w:val="005C5E3E"/>
    <w:rsid w:val="005C6A76"/>
    <w:rsid w:val="005C6F54"/>
    <w:rsid w:val="005C7087"/>
    <w:rsid w:val="005C75A8"/>
    <w:rsid w:val="005C76A9"/>
    <w:rsid w:val="005C79B8"/>
    <w:rsid w:val="005C7E52"/>
    <w:rsid w:val="005C7EB4"/>
    <w:rsid w:val="005C7ECD"/>
    <w:rsid w:val="005D007E"/>
    <w:rsid w:val="005D00C6"/>
    <w:rsid w:val="005D0446"/>
    <w:rsid w:val="005D0D6D"/>
    <w:rsid w:val="005D0E11"/>
    <w:rsid w:val="005D10BA"/>
    <w:rsid w:val="005D1637"/>
    <w:rsid w:val="005D163C"/>
    <w:rsid w:val="005D17EB"/>
    <w:rsid w:val="005D1875"/>
    <w:rsid w:val="005D1F02"/>
    <w:rsid w:val="005D284D"/>
    <w:rsid w:val="005D28B6"/>
    <w:rsid w:val="005D2A68"/>
    <w:rsid w:val="005D2F95"/>
    <w:rsid w:val="005D3D27"/>
    <w:rsid w:val="005D3D67"/>
    <w:rsid w:val="005D4073"/>
    <w:rsid w:val="005D41CB"/>
    <w:rsid w:val="005D4512"/>
    <w:rsid w:val="005D462D"/>
    <w:rsid w:val="005D4A42"/>
    <w:rsid w:val="005D54C1"/>
    <w:rsid w:val="005D6474"/>
    <w:rsid w:val="005D67D6"/>
    <w:rsid w:val="005D6F5C"/>
    <w:rsid w:val="005D7D88"/>
    <w:rsid w:val="005E008D"/>
    <w:rsid w:val="005E0335"/>
    <w:rsid w:val="005E0636"/>
    <w:rsid w:val="005E174F"/>
    <w:rsid w:val="005E25B5"/>
    <w:rsid w:val="005E41C1"/>
    <w:rsid w:val="005E4E1D"/>
    <w:rsid w:val="005E56F0"/>
    <w:rsid w:val="005E64F3"/>
    <w:rsid w:val="005E661F"/>
    <w:rsid w:val="005E6EEE"/>
    <w:rsid w:val="005F0175"/>
    <w:rsid w:val="005F02BA"/>
    <w:rsid w:val="005F10D8"/>
    <w:rsid w:val="005F1214"/>
    <w:rsid w:val="005F13C9"/>
    <w:rsid w:val="005F154C"/>
    <w:rsid w:val="005F1BCB"/>
    <w:rsid w:val="005F1E5C"/>
    <w:rsid w:val="005F30B0"/>
    <w:rsid w:val="005F3531"/>
    <w:rsid w:val="005F38E5"/>
    <w:rsid w:val="005F39AD"/>
    <w:rsid w:val="005F3CED"/>
    <w:rsid w:val="005F4D9C"/>
    <w:rsid w:val="005F5862"/>
    <w:rsid w:val="005F5A25"/>
    <w:rsid w:val="005F5EB2"/>
    <w:rsid w:val="005F6129"/>
    <w:rsid w:val="005F674D"/>
    <w:rsid w:val="005F67E4"/>
    <w:rsid w:val="005F74C3"/>
    <w:rsid w:val="005F7A8C"/>
    <w:rsid w:val="006005DF"/>
    <w:rsid w:val="00600651"/>
    <w:rsid w:val="00600AB8"/>
    <w:rsid w:val="00600C9D"/>
    <w:rsid w:val="00600FCB"/>
    <w:rsid w:val="0060133D"/>
    <w:rsid w:val="00601E47"/>
    <w:rsid w:val="006029AB"/>
    <w:rsid w:val="00602A37"/>
    <w:rsid w:val="00602CE3"/>
    <w:rsid w:val="006031B9"/>
    <w:rsid w:val="006035E0"/>
    <w:rsid w:val="00604329"/>
    <w:rsid w:val="00605291"/>
    <w:rsid w:val="0060547A"/>
    <w:rsid w:val="00605C17"/>
    <w:rsid w:val="00605D30"/>
    <w:rsid w:val="006062A8"/>
    <w:rsid w:val="00606701"/>
    <w:rsid w:val="006068F5"/>
    <w:rsid w:val="00607588"/>
    <w:rsid w:val="00607662"/>
    <w:rsid w:val="006076F2"/>
    <w:rsid w:val="00610733"/>
    <w:rsid w:val="00610F51"/>
    <w:rsid w:val="00611194"/>
    <w:rsid w:val="00611266"/>
    <w:rsid w:val="006114C2"/>
    <w:rsid w:val="006124F9"/>
    <w:rsid w:val="00612610"/>
    <w:rsid w:val="0061335A"/>
    <w:rsid w:val="006137C2"/>
    <w:rsid w:val="00613B28"/>
    <w:rsid w:val="00613D9D"/>
    <w:rsid w:val="00613E09"/>
    <w:rsid w:val="00613F46"/>
    <w:rsid w:val="006141F8"/>
    <w:rsid w:val="00614A51"/>
    <w:rsid w:val="006150A8"/>
    <w:rsid w:val="0061585E"/>
    <w:rsid w:val="006162D2"/>
    <w:rsid w:val="00616F5B"/>
    <w:rsid w:val="006170E0"/>
    <w:rsid w:val="0061743D"/>
    <w:rsid w:val="006177BE"/>
    <w:rsid w:val="00620B5E"/>
    <w:rsid w:val="00620CBF"/>
    <w:rsid w:val="00620E3C"/>
    <w:rsid w:val="006219D7"/>
    <w:rsid w:val="00622441"/>
    <w:rsid w:val="006232A6"/>
    <w:rsid w:val="006233DF"/>
    <w:rsid w:val="00623551"/>
    <w:rsid w:val="00624028"/>
    <w:rsid w:val="00624A8A"/>
    <w:rsid w:val="00624B8E"/>
    <w:rsid w:val="00624CFB"/>
    <w:rsid w:val="00624D89"/>
    <w:rsid w:val="00624EAF"/>
    <w:rsid w:val="00626F39"/>
    <w:rsid w:val="00626FDD"/>
    <w:rsid w:val="00627103"/>
    <w:rsid w:val="00627499"/>
    <w:rsid w:val="006301D3"/>
    <w:rsid w:val="006303AD"/>
    <w:rsid w:val="00630596"/>
    <w:rsid w:val="00630631"/>
    <w:rsid w:val="00630651"/>
    <w:rsid w:val="00630787"/>
    <w:rsid w:val="0063083C"/>
    <w:rsid w:val="006319EE"/>
    <w:rsid w:val="00631A8F"/>
    <w:rsid w:val="00631D0D"/>
    <w:rsid w:val="00632C60"/>
    <w:rsid w:val="00633468"/>
    <w:rsid w:val="0063371C"/>
    <w:rsid w:val="00634DDF"/>
    <w:rsid w:val="0063534D"/>
    <w:rsid w:val="00635DEA"/>
    <w:rsid w:val="00635F94"/>
    <w:rsid w:val="006360C0"/>
    <w:rsid w:val="006364BE"/>
    <w:rsid w:val="00636750"/>
    <w:rsid w:val="00637139"/>
    <w:rsid w:val="00637160"/>
    <w:rsid w:val="00637363"/>
    <w:rsid w:val="00637AC9"/>
    <w:rsid w:val="00637AF5"/>
    <w:rsid w:val="00637DF9"/>
    <w:rsid w:val="00640086"/>
    <w:rsid w:val="006400A3"/>
    <w:rsid w:val="006404CD"/>
    <w:rsid w:val="0064061F"/>
    <w:rsid w:val="00641439"/>
    <w:rsid w:val="006414EF"/>
    <w:rsid w:val="00641CFD"/>
    <w:rsid w:val="00641EA5"/>
    <w:rsid w:val="0064207B"/>
    <w:rsid w:val="0064263C"/>
    <w:rsid w:val="00642C33"/>
    <w:rsid w:val="00642FD1"/>
    <w:rsid w:val="00643267"/>
    <w:rsid w:val="00643D47"/>
    <w:rsid w:val="006440E7"/>
    <w:rsid w:val="00644328"/>
    <w:rsid w:val="00644664"/>
    <w:rsid w:val="0064467A"/>
    <w:rsid w:val="00644A9B"/>
    <w:rsid w:val="00644F01"/>
    <w:rsid w:val="00645EE6"/>
    <w:rsid w:val="00646070"/>
    <w:rsid w:val="006460A5"/>
    <w:rsid w:val="00646216"/>
    <w:rsid w:val="006465C4"/>
    <w:rsid w:val="00646D9E"/>
    <w:rsid w:val="006475DE"/>
    <w:rsid w:val="00647674"/>
    <w:rsid w:val="0064792F"/>
    <w:rsid w:val="00647F36"/>
    <w:rsid w:val="0065055A"/>
    <w:rsid w:val="00650951"/>
    <w:rsid w:val="00650F22"/>
    <w:rsid w:val="00650F32"/>
    <w:rsid w:val="00650F8A"/>
    <w:rsid w:val="00651096"/>
    <w:rsid w:val="0065119F"/>
    <w:rsid w:val="00651A5C"/>
    <w:rsid w:val="00651C65"/>
    <w:rsid w:val="00652829"/>
    <w:rsid w:val="006528F9"/>
    <w:rsid w:val="00652A04"/>
    <w:rsid w:val="00652FC9"/>
    <w:rsid w:val="00653272"/>
    <w:rsid w:val="006533CF"/>
    <w:rsid w:val="00653AA5"/>
    <w:rsid w:val="00654124"/>
    <w:rsid w:val="00654A1F"/>
    <w:rsid w:val="00655FDE"/>
    <w:rsid w:val="00656177"/>
    <w:rsid w:val="00656BBA"/>
    <w:rsid w:val="006574FC"/>
    <w:rsid w:val="00657982"/>
    <w:rsid w:val="00657C69"/>
    <w:rsid w:val="00657DF7"/>
    <w:rsid w:val="00660C63"/>
    <w:rsid w:val="00661964"/>
    <w:rsid w:val="00662488"/>
    <w:rsid w:val="00662592"/>
    <w:rsid w:val="00662879"/>
    <w:rsid w:val="00662E5E"/>
    <w:rsid w:val="006634E6"/>
    <w:rsid w:val="00663766"/>
    <w:rsid w:val="00663BC5"/>
    <w:rsid w:val="00663CDE"/>
    <w:rsid w:val="0066462A"/>
    <w:rsid w:val="006651A1"/>
    <w:rsid w:val="00665220"/>
    <w:rsid w:val="0066541B"/>
    <w:rsid w:val="006668D3"/>
    <w:rsid w:val="006669BF"/>
    <w:rsid w:val="00666CFA"/>
    <w:rsid w:val="00667448"/>
    <w:rsid w:val="00667584"/>
    <w:rsid w:val="00667F39"/>
    <w:rsid w:val="0067001D"/>
    <w:rsid w:val="00670CE5"/>
    <w:rsid w:val="006717F3"/>
    <w:rsid w:val="00671839"/>
    <w:rsid w:val="00671E38"/>
    <w:rsid w:val="00672373"/>
    <w:rsid w:val="00672CB0"/>
    <w:rsid w:val="00673640"/>
    <w:rsid w:val="00673757"/>
    <w:rsid w:val="006750D7"/>
    <w:rsid w:val="00675459"/>
    <w:rsid w:val="0067589C"/>
    <w:rsid w:val="00676357"/>
    <w:rsid w:val="006763B9"/>
    <w:rsid w:val="00677216"/>
    <w:rsid w:val="00677B5D"/>
    <w:rsid w:val="00677BE5"/>
    <w:rsid w:val="00680C39"/>
    <w:rsid w:val="006813FE"/>
    <w:rsid w:val="006814B9"/>
    <w:rsid w:val="00681E1F"/>
    <w:rsid w:val="00682E30"/>
    <w:rsid w:val="00682E7C"/>
    <w:rsid w:val="00683042"/>
    <w:rsid w:val="00684BCA"/>
    <w:rsid w:val="00684DB9"/>
    <w:rsid w:val="00684EAB"/>
    <w:rsid w:val="006852C1"/>
    <w:rsid w:val="006852ED"/>
    <w:rsid w:val="006855DB"/>
    <w:rsid w:val="00686174"/>
    <w:rsid w:val="00686233"/>
    <w:rsid w:val="006862AD"/>
    <w:rsid w:val="0068657A"/>
    <w:rsid w:val="006867C8"/>
    <w:rsid w:val="0068689E"/>
    <w:rsid w:val="00686A94"/>
    <w:rsid w:val="00686BA2"/>
    <w:rsid w:val="00686D2C"/>
    <w:rsid w:val="00690BF3"/>
    <w:rsid w:val="00691250"/>
    <w:rsid w:val="00691261"/>
    <w:rsid w:val="00691B10"/>
    <w:rsid w:val="006920C1"/>
    <w:rsid w:val="00692DC9"/>
    <w:rsid w:val="006936CB"/>
    <w:rsid w:val="00693806"/>
    <w:rsid w:val="00693B1C"/>
    <w:rsid w:val="006947EE"/>
    <w:rsid w:val="006949D7"/>
    <w:rsid w:val="00694F85"/>
    <w:rsid w:val="006959E5"/>
    <w:rsid w:val="00695E95"/>
    <w:rsid w:val="00696279"/>
    <w:rsid w:val="006967C6"/>
    <w:rsid w:val="00696A08"/>
    <w:rsid w:val="00696D81"/>
    <w:rsid w:val="00696FA8"/>
    <w:rsid w:val="00697393"/>
    <w:rsid w:val="00697469"/>
    <w:rsid w:val="00697485"/>
    <w:rsid w:val="00697F17"/>
    <w:rsid w:val="006A0359"/>
    <w:rsid w:val="006A053D"/>
    <w:rsid w:val="006A0778"/>
    <w:rsid w:val="006A114B"/>
    <w:rsid w:val="006A122D"/>
    <w:rsid w:val="006A12F6"/>
    <w:rsid w:val="006A155B"/>
    <w:rsid w:val="006A1587"/>
    <w:rsid w:val="006A21C7"/>
    <w:rsid w:val="006A23FA"/>
    <w:rsid w:val="006A24E2"/>
    <w:rsid w:val="006A2704"/>
    <w:rsid w:val="006A27CD"/>
    <w:rsid w:val="006A2991"/>
    <w:rsid w:val="006A2AE5"/>
    <w:rsid w:val="006A2F5B"/>
    <w:rsid w:val="006A3C87"/>
    <w:rsid w:val="006A4123"/>
    <w:rsid w:val="006A41CC"/>
    <w:rsid w:val="006A431F"/>
    <w:rsid w:val="006A46F2"/>
    <w:rsid w:val="006A4AAF"/>
    <w:rsid w:val="006A4B2D"/>
    <w:rsid w:val="006A4D41"/>
    <w:rsid w:val="006A4E9E"/>
    <w:rsid w:val="006A5138"/>
    <w:rsid w:val="006A62C4"/>
    <w:rsid w:val="006A6E4F"/>
    <w:rsid w:val="006A6E99"/>
    <w:rsid w:val="006A6F54"/>
    <w:rsid w:val="006A72D4"/>
    <w:rsid w:val="006B00B2"/>
    <w:rsid w:val="006B011A"/>
    <w:rsid w:val="006B036B"/>
    <w:rsid w:val="006B0D92"/>
    <w:rsid w:val="006B1723"/>
    <w:rsid w:val="006B175E"/>
    <w:rsid w:val="006B1B0E"/>
    <w:rsid w:val="006B1CD6"/>
    <w:rsid w:val="006B21C2"/>
    <w:rsid w:val="006B250F"/>
    <w:rsid w:val="006B2685"/>
    <w:rsid w:val="006B28C1"/>
    <w:rsid w:val="006B2E10"/>
    <w:rsid w:val="006B3727"/>
    <w:rsid w:val="006B3884"/>
    <w:rsid w:val="006B3DA6"/>
    <w:rsid w:val="006B4291"/>
    <w:rsid w:val="006B478F"/>
    <w:rsid w:val="006B49BD"/>
    <w:rsid w:val="006B55F0"/>
    <w:rsid w:val="006B673C"/>
    <w:rsid w:val="006B69DA"/>
    <w:rsid w:val="006B6A53"/>
    <w:rsid w:val="006B6AA7"/>
    <w:rsid w:val="006B6CE0"/>
    <w:rsid w:val="006B6D86"/>
    <w:rsid w:val="006B7F2D"/>
    <w:rsid w:val="006B7F85"/>
    <w:rsid w:val="006C079B"/>
    <w:rsid w:val="006C2128"/>
    <w:rsid w:val="006C2E93"/>
    <w:rsid w:val="006C3602"/>
    <w:rsid w:val="006C3916"/>
    <w:rsid w:val="006C4066"/>
    <w:rsid w:val="006C4775"/>
    <w:rsid w:val="006C4C99"/>
    <w:rsid w:val="006C4FDE"/>
    <w:rsid w:val="006C7715"/>
    <w:rsid w:val="006C7BDE"/>
    <w:rsid w:val="006D028F"/>
    <w:rsid w:val="006D050B"/>
    <w:rsid w:val="006D0D1D"/>
    <w:rsid w:val="006D19A0"/>
    <w:rsid w:val="006D1B8C"/>
    <w:rsid w:val="006D2036"/>
    <w:rsid w:val="006D23E7"/>
    <w:rsid w:val="006D3DF3"/>
    <w:rsid w:val="006D4ACA"/>
    <w:rsid w:val="006D4BA8"/>
    <w:rsid w:val="006D58C6"/>
    <w:rsid w:val="006D599F"/>
    <w:rsid w:val="006D5DEE"/>
    <w:rsid w:val="006D625F"/>
    <w:rsid w:val="006D6C62"/>
    <w:rsid w:val="006D6FA9"/>
    <w:rsid w:val="006D7919"/>
    <w:rsid w:val="006E0126"/>
    <w:rsid w:val="006E0183"/>
    <w:rsid w:val="006E0BC6"/>
    <w:rsid w:val="006E1A8A"/>
    <w:rsid w:val="006E24C0"/>
    <w:rsid w:val="006E2741"/>
    <w:rsid w:val="006E2BE2"/>
    <w:rsid w:val="006E36F4"/>
    <w:rsid w:val="006E3B12"/>
    <w:rsid w:val="006E4264"/>
    <w:rsid w:val="006E47A5"/>
    <w:rsid w:val="006E4983"/>
    <w:rsid w:val="006E4DAE"/>
    <w:rsid w:val="006E5628"/>
    <w:rsid w:val="006E568B"/>
    <w:rsid w:val="006E5C2C"/>
    <w:rsid w:val="006E5C37"/>
    <w:rsid w:val="006E650D"/>
    <w:rsid w:val="006E6729"/>
    <w:rsid w:val="006E72A6"/>
    <w:rsid w:val="006E77CA"/>
    <w:rsid w:val="006E7ABD"/>
    <w:rsid w:val="006E7C32"/>
    <w:rsid w:val="006E7F9C"/>
    <w:rsid w:val="006F02BB"/>
    <w:rsid w:val="006F089A"/>
    <w:rsid w:val="006F09CB"/>
    <w:rsid w:val="006F1598"/>
    <w:rsid w:val="006F20A1"/>
    <w:rsid w:val="006F2CE1"/>
    <w:rsid w:val="006F2DB0"/>
    <w:rsid w:val="006F2F67"/>
    <w:rsid w:val="006F3201"/>
    <w:rsid w:val="006F409A"/>
    <w:rsid w:val="006F415D"/>
    <w:rsid w:val="006F46BD"/>
    <w:rsid w:val="006F4E17"/>
    <w:rsid w:val="006F593A"/>
    <w:rsid w:val="006F6E51"/>
    <w:rsid w:val="0070176C"/>
    <w:rsid w:val="00701960"/>
    <w:rsid w:val="00701CB3"/>
    <w:rsid w:val="00702E24"/>
    <w:rsid w:val="007031B5"/>
    <w:rsid w:val="00703230"/>
    <w:rsid w:val="00703D96"/>
    <w:rsid w:val="0070409F"/>
    <w:rsid w:val="00704396"/>
    <w:rsid w:val="007048D1"/>
    <w:rsid w:val="00704987"/>
    <w:rsid w:val="00704E2D"/>
    <w:rsid w:val="007053CD"/>
    <w:rsid w:val="007054AB"/>
    <w:rsid w:val="00705CC8"/>
    <w:rsid w:val="00706239"/>
    <w:rsid w:val="00706CF3"/>
    <w:rsid w:val="00706EF6"/>
    <w:rsid w:val="00706F8D"/>
    <w:rsid w:val="00707BE4"/>
    <w:rsid w:val="00710056"/>
    <w:rsid w:val="00710472"/>
    <w:rsid w:val="0071068D"/>
    <w:rsid w:val="00710A33"/>
    <w:rsid w:val="0071103A"/>
    <w:rsid w:val="00711651"/>
    <w:rsid w:val="0071295A"/>
    <w:rsid w:val="007130E2"/>
    <w:rsid w:val="00713327"/>
    <w:rsid w:val="00713546"/>
    <w:rsid w:val="00713E33"/>
    <w:rsid w:val="00714CBA"/>
    <w:rsid w:val="00714CF5"/>
    <w:rsid w:val="00714D73"/>
    <w:rsid w:val="00714DF0"/>
    <w:rsid w:val="00714EE6"/>
    <w:rsid w:val="007152A7"/>
    <w:rsid w:val="0071551A"/>
    <w:rsid w:val="0071567F"/>
    <w:rsid w:val="00715AB7"/>
    <w:rsid w:val="007162F1"/>
    <w:rsid w:val="00716CE9"/>
    <w:rsid w:val="00716FE6"/>
    <w:rsid w:val="00717202"/>
    <w:rsid w:val="0071729B"/>
    <w:rsid w:val="00717DA5"/>
    <w:rsid w:val="00717E3B"/>
    <w:rsid w:val="00720527"/>
    <w:rsid w:val="00721030"/>
    <w:rsid w:val="00721FE5"/>
    <w:rsid w:val="00722835"/>
    <w:rsid w:val="00722EBF"/>
    <w:rsid w:val="007233C2"/>
    <w:rsid w:val="00723A4F"/>
    <w:rsid w:val="00723B96"/>
    <w:rsid w:val="00724464"/>
    <w:rsid w:val="00724846"/>
    <w:rsid w:val="00724991"/>
    <w:rsid w:val="007250BA"/>
    <w:rsid w:val="007255D8"/>
    <w:rsid w:val="00725878"/>
    <w:rsid w:val="007264A1"/>
    <w:rsid w:val="007264E2"/>
    <w:rsid w:val="00726751"/>
    <w:rsid w:val="00726AFC"/>
    <w:rsid w:val="00726E6B"/>
    <w:rsid w:val="007277E6"/>
    <w:rsid w:val="00730174"/>
    <w:rsid w:val="00730260"/>
    <w:rsid w:val="0073059A"/>
    <w:rsid w:val="00730859"/>
    <w:rsid w:val="007308CC"/>
    <w:rsid w:val="00730A11"/>
    <w:rsid w:val="00730B89"/>
    <w:rsid w:val="007312D9"/>
    <w:rsid w:val="007314B3"/>
    <w:rsid w:val="00731DC6"/>
    <w:rsid w:val="00731E88"/>
    <w:rsid w:val="0073246D"/>
    <w:rsid w:val="007329ED"/>
    <w:rsid w:val="00732C86"/>
    <w:rsid w:val="0073326F"/>
    <w:rsid w:val="007360CD"/>
    <w:rsid w:val="00737402"/>
    <w:rsid w:val="00737B63"/>
    <w:rsid w:val="007403CD"/>
    <w:rsid w:val="007406B1"/>
    <w:rsid w:val="007409D6"/>
    <w:rsid w:val="0074117B"/>
    <w:rsid w:val="0074152A"/>
    <w:rsid w:val="00741E5A"/>
    <w:rsid w:val="0074234C"/>
    <w:rsid w:val="00742566"/>
    <w:rsid w:val="0074352C"/>
    <w:rsid w:val="00743675"/>
    <w:rsid w:val="00743916"/>
    <w:rsid w:val="0074396E"/>
    <w:rsid w:val="00743A39"/>
    <w:rsid w:val="00743A64"/>
    <w:rsid w:val="00743AE2"/>
    <w:rsid w:val="00744000"/>
    <w:rsid w:val="00744136"/>
    <w:rsid w:val="00744283"/>
    <w:rsid w:val="0074429E"/>
    <w:rsid w:val="00744E81"/>
    <w:rsid w:val="007453E4"/>
    <w:rsid w:val="00745713"/>
    <w:rsid w:val="007459A6"/>
    <w:rsid w:val="0074682A"/>
    <w:rsid w:val="00746BEE"/>
    <w:rsid w:val="0074728F"/>
    <w:rsid w:val="0074758F"/>
    <w:rsid w:val="00747617"/>
    <w:rsid w:val="007477DE"/>
    <w:rsid w:val="0074798F"/>
    <w:rsid w:val="00747E96"/>
    <w:rsid w:val="0075021F"/>
    <w:rsid w:val="00750CB0"/>
    <w:rsid w:val="0075260B"/>
    <w:rsid w:val="007527E2"/>
    <w:rsid w:val="00753087"/>
    <w:rsid w:val="0075314F"/>
    <w:rsid w:val="00753E55"/>
    <w:rsid w:val="00754071"/>
    <w:rsid w:val="0075420C"/>
    <w:rsid w:val="00754AC0"/>
    <w:rsid w:val="00755A7F"/>
    <w:rsid w:val="00755FE7"/>
    <w:rsid w:val="0075717D"/>
    <w:rsid w:val="00757A9B"/>
    <w:rsid w:val="00760985"/>
    <w:rsid w:val="00760E5C"/>
    <w:rsid w:val="00761092"/>
    <w:rsid w:val="00761BB9"/>
    <w:rsid w:val="0076207F"/>
    <w:rsid w:val="00762B27"/>
    <w:rsid w:val="00762B40"/>
    <w:rsid w:val="00762B97"/>
    <w:rsid w:val="00763BB1"/>
    <w:rsid w:val="007640CB"/>
    <w:rsid w:val="00764172"/>
    <w:rsid w:val="007644E5"/>
    <w:rsid w:val="00764859"/>
    <w:rsid w:val="00764BA5"/>
    <w:rsid w:val="0076511B"/>
    <w:rsid w:val="007667D3"/>
    <w:rsid w:val="00766BC4"/>
    <w:rsid w:val="00766BE3"/>
    <w:rsid w:val="0076748B"/>
    <w:rsid w:val="007675E9"/>
    <w:rsid w:val="0076776D"/>
    <w:rsid w:val="00770AF7"/>
    <w:rsid w:val="007711A6"/>
    <w:rsid w:val="007719A7"/>
    <w:rsid w:val="00771BE6"/>
    <w:rsid w:val="00771CAB"/>
    <w:rsid w:val="00771D63"/>
    <w:rsid w:val="00771F39"/>
    <w:rsid w:val="00772EF4"/>
    <w:rsid w:val="00773685"/>
    <w:rsid w:val="007742B0"/>
    <w:rsid w:val="00775119"/>
    <w:rsid w:val="00775124"/>
    <w:rsid w:val="0077646E"/>
    <w:rsid w:val="007769F4"/>
    <w:rsid w:val="00776A84"/>
    <w:rsid w:val="00776AE8"/>
    <w:rsid w:val="00777B40"/>
    <w:rsid w:val="0078048A"/>
    <w:rsid w:val="007809D6"/>
    <w:rsid w:val="00781D30"/>
    <w:rsid w:val="00782379"/>
    <w:rsid w:val="00782E8B"/>
    <w:rsid w:val="00782EF7"/>
    <w:rsid w:val="00782F21"/>
    <w:rsid w:val="007830E7"/>
    <w:rsid w:val="00783CEF"/>
    <w:rsid w:val="00783EC4"/>
    <w:rsid w:val="00784730"/>
    <w:rsid w:val="007847BE"/>
    <w:rsid w:val="007847E1"/>
    <w:rsid w:val="00785237"/>
    <w:rsid w:val="0078553D"/>
    <w:rsid w:val="0078565D"/>
    <w:rsid w:val="007859F4"/>
    <w:rsid w:val="00785AB3"/>
    <w:rsid w:val="00785B16"/>
    <w:rsid w:val="007860F6"/>
    <w:rsid w:val="007866C9"/>
    <w:rsid w:val="007873D3"/>
    <w:rsid w:val="00787A9E"/>
    <w:rsid w:val="00787C36"/>
    <w:rsid w:val="007905F5"/>
    <w:rsid w:val="00790BAD"/>
    <w:rsid w:val="00791A38"/>
    <w:rsid w:val="00792697"/>
    <w:rsid w:val="007927C8"/>
    <w:rsid w:val="00792B0A"/>
    <w:rsid w:val="00792D70"/>
    <w:rsid w:val="007936AE"/>
    <w:rsid w:val="007937E8"/>
    <w:rsid w:val="00793B47"/>
    <w:rsid w:val="00793F44"/>
    <w:rsid w:val="00794D73"/>
    <w:rsid w:val="00795361"/>
    <w:rsid w:val="00795789"/>
    <w:rsid w:val="00795993"/>
    <w:rsid w:val="00796BA8"/>
    <w:rsid w:val="00797903"/>
    <w:rsid w:val="00797AFC"/>
    <w:rsid w:val="00797C45"/>
    <w:rsid w:val="007A0167"/>
    <w:rsid w:val="007A0295"/>
    <w:rsid w:val="007A0BB5"/>
    <w:rsid w:val="007A0C58"/>
    <w:rsid w:val="007A1CAE"/>
    <w:rsid w:val="007A1E0A"/>
    <w:rsid w:val="007A2FB2"/>
    <w:rsid w:val="007A31C0"/>
    <w:rsid w:val="007A322A"/>
    <w:rsid w:val="007A3898"/>
    <w:rsid w:val="007A3AEF"/>
    <w:rsid w:val="007A49F5"/>
    <w:rsid w:val="007A4A67"/>
    <w:rsid w:val="007A4AC9"/>
    <w:rsid w:val="007A4D90"/>
    <w:rsid w:val="007A582F"/>
    <w:rsid w:val="007A5E91"/>
    <w:rsid w:val="007A625D"/>
    <w:rsid w:val="007A64F0"/>
    <w:rsid w:val="007A783A"/>
    <w:rsid w:val="007A78A6"/>
    <w:rsid w:val="007A7B8D"/>
    <w:rsid w:val="007A7D5C"/>
    <w:rsid w:val="007A7E74"/>
    <w:rsid w:val="007B207A"/>
    <w:rsid w:val="007B266C"/>
    <w:rsid w:val="007B2E7D"/>
    <w:rsid w:val="007B382A"/>
    <w:rsid w:val="007B4646"/>
    <w:rsid w:val="007B46BA"/>
    <w:rsid w:val="007B4A5E"/>
    <w:rsid w:val="007B4B19"/>
    <w:rsid w:val="007B4F3C"/>
    <w:rsid w:val="007B5ED2"/>
    <w:rsid w:val="007B6643"/>
    <w:rsid w:val="007B668D"/>
    <w:rsid w:val="007B6A64"/>
    <w:rsid w:val="007B72C3"/>
    <w:rsid w:val="007B731B"/>
    <w:rsid w:val="007B752F"/>
    <w:rsid w:val="007B7C6A"/>
    <w:rsid w:val="007C0294"/>
    <w:rsid w:val="007C0306"/>
    <w:rsid w:val="007C0E7C"/>
    <w:rsid w:val="007C114B"/>
    <w:rsid w:val="007C18CA"/>
    <w:rsid w:val="007C1B92"/>
    <w:rsid w:val="007C2137"/>
    <w:rsid w:val="007C226A"/>
    <w:rsid w:val="007C32F3"/>
    <w:rsid w:val="007C3745"/>
    <w:rsid w:val="007C3CE3"/>
    <w:rsid w:val="007C4232"/>
    <w:rsid w:val="007C4639"/>
    <w:rsid w:val="007C4A53"/>
    <w:rsid w:val="007C4DFE"/>
    <w:rsid w:val="007C4FED"/>
    <w:rsid w:val="007C5D3F"/>
    <w:rsid w:val="007C5DA8"/>
    <w:rsid w:val="007C5FE5"/>
    <w:rsid w:val="007C67B0"/>
    <w:rsid w:val="007C6950"/>
    <w:rsid w:val="007C6E1D"/>
    <w:rsid w:val="007C76AA"/>
    <w:rsid w:val="007D0A0A"/>
    <w:rsid w:val="007D23F0"/>
    <w:rsid w:val="007D258B"/>
    <w:rsid w:val="007D2F9E"/>
    <w:rsid w:val="007D3052"/>
    <w:rsid w:val="007D3328"/>
    <w:rsid w:val="007D34D3"/>
    <w:rsid w:val="007D35A9"/>
    <w:rsid w:val="007D372A"/>
    <w:rsid w:val="007D3805"/>
    <w:rsid w:val="007D3EE2"/>
    <w:rsid w:val="007D42E7"/>
    <w:rsid w:val="007D4332"/>
    <w:rsid w:val="007D46FE"/>
    <w:rsid w:val="007D4A35"/>
    <w:rsid w:val="007D4EAC"/>
    <w:rsid w:val="007D5091"/>
    <w:rsid w:val="007D515C"/>
    <w:rsid w:val="007D5D10"/>
    <w:rsid w:val="007D5E90"/>
    <w:rsid w:val="007D7297"/>
    <w:rsid w:val="007D72E5"/>
    <w:rsid w:val="007D7493"/>
    <w:rsid w:val="007D7576"/>
    <w:rsid w:val="007D7EB5"/>
    <w:rsid w:val="007E06BF"/>
    <w:rsid w:val="007E0B11"/>
    <w:rsid w:val="007E0B1C"/>
    <w:rsid w:val="007E0C3E"/>
    <w:rsid w:val="007E2632"/>
    <w:rsid w:val="007E2763"/>
    <w:rsid w:val="007E32B8"/>
    <w:rsid w:val="007E3312"/>
    <w:rsid w:val="007E39E7"/>
    <w:rsid w:val="007E3AA5"/>
    <w:rsid w:val="007E3F37"/>
    <w:rsid w:val="007E3FA5"/>
    <w:rsid w:val="007E4A0E"/>
    <w:rsid w:val="007E548F"/>
    <w:rsid w:val="007E556D"/>
    <w:rsid w:val="007E595C"/>
    <w:rsid w:val="007E6CC7"/>
    <w:rsid w:val="007E71C6"/>
    <w:rsid w:val="007F051F"/>
    <w:rsid w:val="007F0857"/>
    <w:rsid w:val="007F0A5A"/>
    <w:rsid w:val="007F169F"/>
    <w:rsid w:val="007F1B30"/>
    <w:rsid w:val="007F1F83"/>
    <w:rsid w:val="007F2EA5"/>
    <w:rsid w:val="007F3346"/>
    <w:rsid w:val="007F37A3"/>
    <w:rsid w:val="007F4053"/>
    <w:rsid w:val="007F487D"/>
    <w:rsid w:val="007F49CA"/>
    <w:rsid w:val="007F5BE8"/>
    <w:rsid w:val="007F6371"/>
    <w:rsid w:val="007F64D5"/>
    <w:rsid w:val="007F67EE"/>
    <w:rsid w:val="007F6B1F"/>
    <w:rsid w:val="007F6C26"/>
    <w:rsid w:val="007F72A0"/>
    <w:rsid w:val="007F7498"/>
    <w:rsid w:val="007F773E"/>
    <w:rsid w:val="0080156D"/>
    <w:rsid w:val="00801635"/>
    <w:rsid w:val="00801A38"/>
    <w:rsid w:val="0080247C"/>
    <w:rsid w:val="00802544"/>
    <w:rsid w:val="008036EA"/>
    <w:rsid w:val="00804C13"/>
    <w:rsid w:val="0080566E"/>
    <w:rsid w:val="00805B44"/>
    <w:rsid w:val="00805B52"/>
    <w:rsid w:val="00805D79"/>
    <w:rsid w:val="00806138"/>
    <w:rsid w:val="008067A2"/>
    <w:rsid w:val="008078DF"/>
    <w:rsid w:val="00807B71"/>
    <w:rsid w:val="00807F99"/>
    <w:rsid w:val="008103EC"/>
    <w:rsid w:val="00810B52"/>
    <w:rsid w:val="00811088"/>
    <w:rsid w:val="008111AA"/>
    <w:rsid w:val="008120EE"/>
    <w:rsid w:val="00812739"/>
    <w:rsid w:val="0081372C"/>
    <w:rsid w:val="008138BF"/>
    <w:rsid w:val="008139E3"/>
    <w:rsid w:val="00813C1A"/>
    <w:rsid w:val="00813CF4"/>
    <w:rsid w:val="00814002"/>
    <w:rsid w:val="00814626"/>
    <w:rsid w:val="00814D0E"/>
    <w:rsid w:val="008159DF"/>
    <w:rsid w:val="00815D2F"/>
    <w:rsid w:val="00815D9D"/>
    <w:rsid w:val="00816410"/>
    <w:rsid w:val="008164C8"/>
    <w:rsid w:val="00816567"/>
    <w:rsid w:val="0081676F"/>
    <w:rsid w:val="008167D9"/>
    <w:rsid w:val="0081682B"/>
    <w:rsid w:val="008177A7"/>
    <w:rsid w:val="00817974"/>
    <w:rsid w:val="00817C73"/>
    <w:rsid w:val="00817F5A"/>
    <w:rsid w:val="008208A6"/>
    <w:rsid w:val="00821477"/>
    <w:rsid w:val="00821661"/>
    <w:rsid w:val="00821D8D"/>
    <w:rsid w:val="00822B55"/>
    <w:rsid w:val="00822F35"/>
    <w:rsid w:val="008233FB"/>
    <w:rsid w:val="00823D4C"/>
    <w:rsid w:val="00823D98"/>
    <w:rsid w:val="00823DEB"/>
    <w:rsid w:val="00823E47"/>
    <w:rsid w:val="00823F09"/>
    <w:rsid w:val="0082569C"/>
    <w:rsid w:val="00825C6F"/>
    <w:rsid w:val="00826D57"/>
    <w:rsid w:val="00827101"/>
    <w:rsid w:val="00827D6B"/>
    <w:rsid w:val="00827E81"/>
    <w:rsid w:val="00830101"/>
    <w:rsid w:val="00830938"/>
    <w:rsid w:val="00830D6C"/>
    <w:rsid w:val="00831380"/>
    <w:rsid w:val="00831493"/>
    <w:rsid w:val="00831738"/>
    <w:rsid w:val="00831FDF"/>
    <w:rsid w:val="00832352"/>
    <w:rsid w:val="008326C2"/>
    <w:rsid w:val="00832716"/>
    <w:rsid w:val="00832860"/>
    <w:rsid w:val="00832D69"/>
    <w:rsid w:val="00832DC8"/>
    <w:rsid w:val="008338A1"/>
    <w:rsid w:val="00833A9D"/>
    <w:rsid w:val="00833CA5"/>
    <w:rsid w:val="00834962"/>
    <w:rsid w:val="00834A29"/>
    <w:rsid w:val="00834F67"/>
    <w:rsid w:val="00835351"/>
    <w:rsid w:val="0083543B"/>
    <w:rsid w:val="00835488"/>
    <w:rsid w:val="0083562D"/>
    <w:rsid w:val="00835EEE"/>
    <w:rsid w:val="00836035"/>
    <w:rsid w:val="00836BD4"/>
    <w:rsid w:val="00836BFE"/>
    <w:rsid w:val="008371BD"/>
    <w:rsid w:val="00837298"/>
    <w:rsid w:val="00837568"/>
    <w:rsid w:val="00837F72"/>
    <w:rsid w:val="00840036"/>
    <w:rsid w:val="00840186"/>
    <w:rsid w:val="008406E9"/>
    <w:rsid w:val="00840734"/>
    <w:rsid w:val="00842970"/>
    <w:rsid w:val="008429BC"/>
    <w:rsid w:val="00843484"/>
    <w:rsid w:val="008436AF"/>
    <w:rsid w:val="00844B4D"/>
    <w:rsid w:val="00844B5B"/>
    <w:rsid w:val="00844EDB"/>
    <w:rsid w:val="00844FD5"/>
    <w:rsid w:val="00845965"/>
    <w:rsid w:val="00845AEA"/>
    <w:rsid w:val="00845B5C"/>
    <w:rsid w:val="00845FBE"/>
    <w:rsid w:val="008460E8"/>
    <w:rsid w:val="00846B39"/>
    <w:rsid w:val="00846DBC"/>
    <w:rsid w:val="00846EE6"/>
    <w:rsid w:val="0084732E"/>
    <w:rsid w:val="0084764A"/>
    <w:rsid w:val="008476A6"/>
    <w:rsid w:val="008478AD"/>
    <w:rsid w:val="008479FB"/>
    <w:rsid w:val="00847A9A"/>
    <w:rsid w:val="0085027C"/>
    <w:rsid w:val="0085057D"/>
    <w:rsid w:val="00850CFD"/>
    <w:rsid w:val="00850D2A"/>
    <w:rsid w:val="0085141A"/>
    <w:rsid w:val="00851837"/>
    <w:rsid w:val="00851ABB"/>
    <w:rsid w:val="00851CB9"/>
    <w:rsid w:val="00852DB1"/>
    <w:rsid w:val="008538BD"/>
    <w:rsid w:val="00853935"/>
    <w:rsid w:val="00854B85"/>
    <w:rsid w:val="00855315"/>
    <w:rsid w:val="008554B3"/>
    <w:rsid w:val="00855D5C"/>
    <w:rsid w:val="0085613F"/>
    <w:rsid w:val="008568EA"/>
    <w:rsid w:val="00856A68"/>
    <w:rsid w:val="00857144"/>
    <w:rsid w:val="00860355"/>
    <w:rsid w:val="00860361"/>
    <w:rsid w:val="00860CE2"/>
    <w:rsid w:val="00860F84"/>
    <w:rsid w:val="00860FA9"/>
    <w:rsid w:val="0086148A"/>
    <w:rsid w:val="008615AC"/>
    <w:rsid w:val="0086175F"/>
    <w:rsid w:val="00861F89"/>
    <w:rsid w:val="0086231F"/>
    <w:rsid w:val="008632F9"/>
    <w:rsid w:val="008638FF"/>
    <w:rsid w:val="008642A0"/>
    <w:rsid w:val="00864779"/>
    <w:rsid w:val="00864AB9"/>
    <w:rsid w:val="008658CA"/>
    <w:rsid w:val="00865FB1"/>
    <w:rsid w:val="00866346"/>
    <w:rsid w:val="008663BB"/>
    <w:rsid w:val="00866650"/>
    <w:rsid w:val="00866AD8"/>
    <w:rsid w:val="00867AD8"/>
    <w:rsid w:val="00867ED0"/>
    <w:rsid w:val="008701B2"/>
    <w:rsid w:val="00870CCE"/>
    <w:rsid w:val="00870E32"/>
    <w:rsid w:val="00871213"/>
    <w:rsid w:val="00871468"/>
    <w:rsid w:val="0087190A"/>
    <w:rsid w:val="008725E5"/>
    <w:rsid w:val="00873261"/>
    <w:rsid w:val="0087360B"/>
    <w:rsid w:val="008740BD"/>
    <w:rsid w:val="008743AA"/>
    <w:rsid w:val="00874ACD"/>
    <w:rsid w:val="00875A2B"/>
    <w:rsid w:val="00875A7E"/>
    <w:rsid w:val="00875CD7"/>
    <w:rsid w:val="00875D02"/>
    <w:rsid w:val="00875F98"/>
    <w:rsid w:val="00876A09"/>
    <w:rsid w:val="00876B70"/>
    <w:rsid w:val="00876C98"/>
    <w:rsid w:val="00877154"/>
    <w:rsid w:val="008776BF"/>
    <w:rsid w:val="00877BAD"/>
    <w:rsid w:val="00877C7C"/>
    <w:rsid w:val="008800F8"/>
    <w:rsid w:val="00880781"/>
    <w:rsid w:val="00880ECA"/>
    <w:rsid w:val="00881525"/>
    <w:rsid w:val="00881526"/>
    <w:rsid w:val="00881A4C"/>
    <w:rsid w:val="00882AA7"/>
    <w:rsid w:val="00882CF7"/>
    <w:rsid w:val="008830DB"/>
    <w:rsid w:val="008834C0"/>
    <w:rsid w:val="008835ED"/>
    <w:rsid w:val="00884304"/>
    <w:rsid w:val="0088481A"/>
    <w:rsid w:val="00885513"/>
    <w:rsid w:val="008861C9"/>
    <w:rsid w:val="00886907"/>
    <w:rsid w:val="008869A9"/>
    <w:rsid w:val="00886F42"/>
    <w:rsid w:val="00887133"/>
    <w:rsid w:val="00887155"/>
    <w:rsid w:val="00887835"/>
    <w:rsid w:val="00887EB7"/>
    <w:rsid w:val="00890C29"/>
    <w:rsid w:val="0089123B"/>
    <w:rsid w:val="00891597"/>
    <w:rsid w:val="00892FD0"/>
    <w:rsid w:val="00893AE8"/>
    <w:rsid w:val="00893BFB"/>
    <w:rsid w:val="00893C4F"/>
    <w:rsid w:val="008940EC"/>
    <w:rsid w:val="0089451F"/>
    <w:rsid w:val="00894C68"/>
    <w:rsid w:val="008957C9"/>
    <w:rsid w:val="00896983"/>
    <w:rsid w:val="00896B33"/>
    <w:rsid w:val="00896C47"/>
    <w:rsid w:val="00896C8E"/>
    <w:rsid w:val="00896E26"/>
    <w:rsid w:val="00897A7D"/>
    <w:rsid w:val="00897E73"/>
    <w:rsid w:val="00897EB6"/>
    <w:rsid w:val="008A01CE"/>
    <w:rsid w:val="008A0941"/>
    <w:rsid w:val="008A1106"/>
    <w:rsid w:val="008A17B5"/>
    <w:rsid w:val="008A1C0C"/>
    <w:rsid w:val="008A1EAC"/>
    <w:rsid w:val="008A216F"/>
    <w:rsid w:val="008A23C0"/>
    <w:rsid w:val="008A2B49"/>
    <w:rsid w:val="008A3674"/>
    <w:rsid w:val="008A3F2F"/>
    <w:rsid w:val="008A3FFA"/>
    <w:rsid w:val="008A4A9C"/>
    <w:rsid w:val="008A5D92"/>
    <w:rsid w:val="008A5E00"/>
    <w:rsid w:val="008A5E27"/>
    <w:rsid w:val="008A5FB6"/>
    <w:rsid w:val="008A6125"/>
    <w:rsid w:val="008A6B14"/>
    <w:rsid w:val="008A6EC4"/>
    <w:rsid w:val="008A7BAD"/>
    <w:rsid w:val="008B0279"/>
    <w:rsid w:val="008B04C8"/>
    <w:rsid w:val="008B0C2D"/>
    <w:rsid w:val="008B12C8"/>
    <w:rsid w:val="008B167D"/>
    <w:rsid w:val="008B1FF6"/>
    <w:rsid w:val="008B252B"/>
    <w:rsid w:val="008B2786"/>
    <w:rsid w:val="008B2BDA"/>
    <w:rsid w:val="008B30A5"/>
    <w:rsid w:val="008B363F"/>
    <w:rsid w:val="008B36D6"/>
    <w:rsid w:val="008B396C"/>
    <w:rsid w:val="008B3DED"/>
    <w:rsid w:val="008B3E30"/>
    <w:rsid w:val="008B3EC8"/>
    <w:rsid w:val="008B3FDA"/>
    <w:rsid w:val="008B484F"/>
    <w:rsid w:val="008B4D33"/>
    <w:rsid w:val="008B4DFA"/>
    <w:rsid w:val="008B5519"/>
    <w:rsid w:val="008B5570"/>
    <w:rsid w:val="008B5A3B"/>
    <w:rsid w:val="008B5F69"/>
    <w:rsid w:val="008B690E"/>
    <w:rsid w:val="008B70A2"/>
    <w:rsid w:val="008B7318"/>
    <w:rsid w:val="008B761C"/>
    <w:rsid w:val="008C020E"/>
    <w:rsid w:val="008C065A"/>
    <w:rsid w:val="008C0EB9"/>
    <w:rsid w:val="008C1280"/>
    <w:rsid w:val="008C163A"/>
    <w:rsid w:val="008C1CE0"/>
    <w:rsid w:val="008C2590"/>
    <w:rsid w:val="008C27A3"/>
    <w:rsid w:val="008C3FB6"/>
    <w:rsid w:val="008C453D"/>
    <w:rsid w:val="008C4D60"/>
    <w:rsid w:val="008C5E31"/>
    <w:rsid w:val="008C5F7C"/>
    <w:rsid w:val="008C62A7"/>
    <w:rsid w:val="008D0004"/>
    <w:rsid w:val="008D0102"/>
    <w:rsid w:val="008D08A1"/>
    <w:rsid w:val="008D1656"/>
    <w:rsid w:val="008D1D32"/>
    <w:rsid w:val="008D260E"/>
    <w:rsid w:val="008D2639"/>
    <w:rsid w:val="008D300C"/>
    <w:rsid w:val="008D30FE"/>
    <w:rsid w:val="008D354C"/>
    <w:rsid w:val="008D3DE9"/>
    <w:rsid w:val="008D4298"/>
    <w:rsid w:val="008D4C0C"/>
    <w:rsid w:val="008D4C6C"/>
    <w:rsid w:val="008D4CB9"/>
    <w:rsid w:val="008D4F56"/>
    <w:rsid w:val="008D509C"/>
    <w:rsid w:val="008D50A6"/>
    <w:rsid w:val="008D50E7"/>
    <w:rsid w:val="008D5778"/>
    <w:rsid w:val="008D6005"/>
    <w:rsid w:val="008D66DC"/>
    <w:rsid w:val="008D6FA5"/>
    <w:rsid w:val="008D7009"/>
    <w:rsid w:val="008D7F62"/>
    <w:rsid w:val="008E0FF3"/>
    <w:rsid w:val="008E1A09"/>
    <w:rsid w:val="008E1EB3"/>
    <w:rsid w:val="008E2F58"/>
    <w:rsid w:val="008E339A"/>
    <w:rsid w:val="008E3586"/>
    <w:rsid w:val="008E3A7F"/>
    <w:rsid w:val="008E41AA"/>
    <w:rsid w:val="008E4F90"/>
    <w:rsid w:val="008E50D9"/>
    <w:rsid w:val="008E64A8"/>
    <w:rsid w:val="008E771C"/>
    <w:rsid w:val="008F06AC"/>
    <w:rsid w:val="008F0D97"/>
    <w:rsid w:val="008F0F6A"/>
    <w:rsid w:val="008F13A2"/>
    <w:rsid w:val="008F16A8"/>
    <w:rsid w:val="008F20AB"/>
    <w:rsid w:val="008F23F2"/>
    <w:rsid w:val="008F29AC"/>
    <w:rsid w:val="008F2A9A"/>
    <w:rsid w:val="008F2EFB"/>
    <w:rsid w:val="008F361C"/>
    <w:rsid w:val="008F375D"/>
    <w:rsid w:val="008F3925"/>
    <w:rsid w:val="008F47E7"/>
    <w:rsid w:val="008F5114"/>
    <w:rsid w:val="008F52B1"/>
    <w:rsid w:val="008F53C9"/>
    <w:rsid w:val="008F56FA"/>
    <w:rsid w:val="008F59FD"/>
    <w:rsid w:val="008F62C6"/>
    <w:rsid w:val="008F63F0"/>
    <w:rsid w:val="008F7036"/>
    <w:rsid w:val="00900114"/>
    <w:rsid w:val="00900493"/>
    <w:rsid w:val="00900FF9"/>
    <w:rsid w:val="00901061"/>
    <w:rsid w:val="009019DA"/>
    <w:rsid w:val="00901AFA"/>
    <w:rsid w:val="009028B4"/>
    <w:rsid w:val="0090293F"/>
    <w:rsid w:val="00902B0F"/>
    <w:rsid w:val="00902C70"/>
    <w:rsid w:val="00902F91"/>
    <w:rsid w:val="009036C2"/>
    <w:rsid w:val="00903EBB"/>
    <w:rsid w:val="009047F1"/>
    <w:rsid w:val="00904F84"/>
    <w:rsid w:val="00905982"/>
    <w:rsid w:val="009061BF"/>
    <w:rsid w:val="009061EF"/>
    <w:rsid w:val="00906729"/>
    <w:rsid w:val="00906D09"/>
    <w:rsid w:val="00906D19"/>
    <w:rsid w:val="00906DAD"/>
    <w:rsid w:val="00907F18"/>
    <w:rsid w:val="009100B0"/>
    <w:rsid w:val="009102AB"/>
    <w:rsid w:val="00910459"/>
    <w:rsid w:val="009108C4"/>
    <w:rsid w:val="00910EAF"/>
    <w:rsid w:val="009111DB"/>
    <w:rsid w:val="009113DB"/>
    <w:rsid w:val="00911F94"/>
    <w:rsid w:val="00912825"/>
    <w:rsid w:val="009130F7"/>
    <w:rsid w:val="00913942"/>
    <w:rsid w:val="00913A63"/>
    <w:rsid w:val="00913F1F"/>
    <w:rsid w:val="0091492E"/>
    <w:rsid w:val="00914A8F"/>
    <w:rsid w:val="00915892"/>
    <w:rsid w:val="00915A26"/>
    <w:rsid w:val="00915BB5"/>
    <w:rsid w:val="00916E5E"/>
    <w:rsid w:val="0091786F"/>
    <w:rsid w:val="00917A6F"/>
    <w:rsid w:val="00917AF5"/>
    <w:rsid w:val="009208EA"/>
    <w:rsid w:val="00921303"/>
    <w:rsid w:val="009215F5"/>
    <w:rsid w:val="00921869"/>
    <w:rsid w:val="00921C5B"/>
    <w:rsid w:val="00921F9B"/>
    <w:rsid w:val="00922A98"/>
    <w:rsid w:val="00922C78"/>
    <w:rsid w:val="00922F55"/>
    <w:rsid w:val="009237C2"/>
    <w:rsid w:val="0092410A"/>
    <w:rsid w:val="00924479"/>
    <w:rsid w:val="009245A0"/>
    <w:rsid w:val="009246CE"/>
    <w:rsid w:val="00924BD4"/>
    <w:rsid w:val="009253BA"/>
    <w:rsid w:val="00925AF0"/>
    <w:rsid w:val="00925B5E"/>
    <w:rsid w:val="00926277"/>
    <w:rsid w:val="00926318"/>
    <w:rsid w:val="00926F2E"/>
    <w:rsid w:val="00930634"/>
    <w:rsid w:val="00930E09"/>
    <w:rsid w:val="00931148"/>
    <w:rsid w:val="00932EB2"/>
    <w:rsid w:val="00933B69"/>
    <w:rsid w:val="0093400E"/>
    <w:rsid w:val="0093441D"/>
    <w:rsid w:val="00934A5F"/>
    <w:rsid w:val="00934DA8"/>
    <w:rsid w:val="0093538A"/>
    <w:rsid w:val="00935947"/>
    <w:rsid w:val="009359D2"/>
    <w:rsid w:val="00935E31"/>
    <w:rsid w:val="009360A2"/>
    <w:rsid w:val="00937160"/>
    <w:rsid w:val="0093796D"/>
    <w:rsid w:val="00940699"/>
    <w:rsid w:val="009407A2"/>
    <w:rsid w:val="009407B1"/>
    <w:rsid w:val="00940AAC"/>
    <w:rsid w:val="00941A3B"/>
    <w:rsid w:val="00941AF7"/>
    <w:rsid w:val="009421F3"/>
    <w:rsid w:val="00942281"/>
    <w:rsid w:val="00942579"/>
    <w:rsid w:val="00942BD6"/>
    <w:rsid w:val="00942E61"/>
    <w:rsid w:val="00942F4D"/>
    <w:rsid w:val="00943361"/>
    <w:rsid w:val="00943BA5"/>
    <w:rsid w:val="00944308"/>
    <w:rsid w:val="00944965"/>
    <w:rsid w:val="00944D80"/>
    <w:rsid w:val="009450E9"/>
    <w:rsid w:val="009455A9"/>
    <w:rsid w:val="00945704"/>
    <w:rsid w:val="0094589B"/>
    <w:rsid w:val="00946477"/>
    <w:rsid w:val="0094707B"/>
    <w:rsid w:val="00947491"/>
    <w:rsid w:val="00947B0D"/>
    <w:rsid w:val="00950DFC"/>
    <w:rsid w:val="00950E24"/>
    <w:rsid w:val="00951F56"/>
    <w:rsid w:val="009527DA"/>
    <w:rsid w:val="00952C48"/>
    <w:rsid w:val="00952E03"/>
    <w:rsid w:val="00952FF3"/>
    <w:rsid w:val="009534AF"/>
    <w:rsid w:val="0095399E"/>
    <w:rsid w:val="00953ADC"/>
    <w:rsid w:val="00953F20"/>
    <w:rsid w:val="00953FAB"/>
    <w:rsid w:val="00954434"/>
    <w:rsid w:val="009548D2"/>
    <w:rsid w:val="0095490A"/>
    <w:rsid w:val="00955671"/>
    <w:rsid w:val="009559C7"/>
    <w:rsid w:val="00956038"/>
    <w:rsid w:val="0095610A"/>
    <w:rsid w:val="00956F91"/>
    <w:rsid w:val="00960295"/>
    <w:rsid w:val="009608B3"/>
    <w:rsid w:val="009608CE"/>
    <w:rsid w:val="00960EA5"/>
    <w:rsid w:val="00960FF8"/>
    <w:rsid w:val="00961081"/>
    <w:rsid w:val="00961A84"/>
    <w:rsid w:val="009624CC"/>
    <w:rsid w:val="0096278D"/>
    <w:rsid w:val="00962DFF"/>
    <w:rsid w:val="00962FB8"/>
    <w:rsid w:val="009632BF"/>
    <w:rsid w:val="009633B2"/>
    <w:rsid w:val="009638F4"/>
    <w:rsid w:val="00963DDF"/>
    <w:rsid w:val="00964755"/>
    <w:rsid w:val="00964995"/>
    <w:rsid w:val="009649D1"/>
    <w:rsid w:val="00964A3D"/>
    <w:rsid w:val="00965674"/>
    <w:rsid w:val="00965EC2"/>
    <w:rsid w:val="009669F7"/>
    <w:rsid w:val="00966A38"/>
    <w:rsid w:val="00966B5F"/>
    <w:rsid w:val="00966E63"/>
    <w:rsid w:val="00967185"/>
    <w:rsid w:val="009671D6"/>
    <w:rsid w:val="00967A86"/>
    <w:rsid w:val="00970B21"/>
    <w:rsid w:val="00971CC6"/>
    <w:rsid w:val="009725DA"/>
    <w:rsid w:val="00972FC0"/>
    <w:rsid w:val="0097330B"/>
    <w:rsid w:val="00973502"/>
    <w:rsid w:val="00973EF2"/>
    <w:rsid w:val="00973F4D"/>
    <w:rsid w:val="0097461F"/>
    <w:rsid w:val="00974921"/>
    <w:rsid w:val="00974950"/>
    <w:rsid w:val="00974A90"/>
    <w:rsid w:val="009754D3"/>
    <w:rsid w:val="00975795"/>
    <w:rsid w:val="00975D4F"/>
    <w:rsid w:val="00975E25"/>
    <w:rsid w:val="00976183"/>
    <w:rsid w:val="00976D2E"/>
    <w:rsid w:val="0097762C"/>
    <w:rsid w:val="00977D5A"/>
    <w:rsid w:val="00980120"/>
    <w:rsid w:val="009816D3"/>
    <w:rsid w:val="009818CD"/>
    <w:rsid w:val="0098376F"/>
    <w:rsid w:val="00983A84"/>
    <w:rsid w:val="00983EA0"/>
    <w:rsid w:val="009847A8"/>
    <w:rsid w:val="00984DFC"/>
    <w:rsid w:val="00984FAB"/>
    <w:rsid w:val="00985304"/>
    <w:rsid w:val="0098577E"/>
    <w:rsid w:val="00985A08"/>
    <w:rsid w:val="00985B74"/>
    <w:rsid w:val="00985FCB"/>
    <w:rsid w:val="0098647E"/>
    <w:rsid w:val="00986752"/>
    <w:rsid w:val="00986DFD"/>
    <w:rsid w:val="0099090E"/>
    <w:rsid w:val="009910AE"/>
    <w:rsid w:val="009916FA"/>
    <w:rsid w:val="009918D1"/>
    <w:rsid w:val="009920A6"/>
    <w:rsid w:val="00992816"/>
    <w:rsid w:val="009929AB"/>
    <w:rsid w:val="00993330"/>
    <w:rsid w:val="00993E6F"/>
    <w:rsid w:val="00994487"/>
    <w:rsid w:val="009944AD"/>
    <w:rsid w:val="00994C9E"/>
    <w:rsid w:val="00994D65"/>
    <w:rsid w:val="009950A2"/>
    <w:rsid w:val="009950DB"/>
    <w:rsid w:val="0099519D"/>
    <w:rsid w:val="0099588A"/>
    <w:rsid w:val="00995DA3"/>
    <w:rsid w:val="00995E5D"/>
    <w:rsid w:val="009968BE"/>
    <w:rsid w:val="00996C75"/>
    <w:rsid w:val="00996D8B"/>
    <w:rsid w:val="0099732C"/>
    <w:rsid w:val="00997397"/>
    <w:rsid w:val="0099750B"/>
    <w:rsid w:val="00997C9A"/>
    <w:rsid w:val="00997F34"/>
    <w:rsid w:val="009A0537"/>
    <w:rsid w:val="009A0654"/>
    <w:rsid w:val="009A06A9"/>
    <w:rsid w:val="009A0EE3"/>
    <w:rsid w:val="009A1195"/>
    <w:rsid w:val="009A198E"/>
    <w:rsid w:val="009A1D94"/>
    <w:rsid w:val="009A272C"/>
    <w:rsid w:val="009A27F0"/>
    <w:rsid w:val="009A2CA3"/>
    <w:rsid w:val="009A2F72"/>
    <w:rsid w:val="009A33A1"/>
    <w:rsid w:val="009A34BA"/>
    <w:rsid w:val="009A3571"/>
    <w:rsid w:val="009A3E12"/>
    <w:rsid w:val="009A4994"/>
    <w:rsid w:val="009A5201"/>
    <w:rsid w:val="009A596E"/>
    <w:rsid w:val="009A59EE"/>
    <w:rsid w:val="009A5F72"/>
    <w:rsid w:val="009A60E6"/>
    <w:rsid w:val="009A614B"/>
    <w:rsid w:val="009A7095"/>
    <w:rsid w:val="009A7166"/>
    <w:rsid w:val="009A72F3"/>
    <w:rsid w:val="009A7587"/>
    <w:rsid w:val="009A7AA8"/>
    <w:rsid w:val="009B0508"/>
    <w:rsid w:val="009B1622"/>
    <w:rsid w:val="009B173A"/>
    <w:rsid w:val="009B2247"/>
    <w:rsid w:val="009B26CD"/>
    <w:rsid w:val="009B2C1B"/>
    <w:rsid w:val="009B302F"/>
    <w:rsid w:val="009B326D"/>
    <w:rsid w:val="009B3817"/>
    <w:rsid w:val="009B3DBB"/>
    <w:rsid w:val="009B412E"/>
    <w:rsid w:val="009B448E"/>
    <w:rsid w:val="009B4D3B"/>
    <w:rsid w:val="009B5460"/>
    <w:rsid w:val="009B58BA"/>
    <w:rsid w:val="009B5E96"/>
    <w:rsid w:val="009B6279"/>
    <w:rsid w:val="009B6330"/>
    <w:rsid w:val="009B6A5C"/>
    <w:rsid w:val="009B6AB2"/>
    <w:rsid w:val="009B71A7"/>
    <w:rsid w:val="009B7593"/>
    <w:rsid w:val="009B7886"/>
    <w:rsid w:val="009C0AC5"/>
    <w:rsid w:val="009C0BA4"/>
    <w:rsid w:val="009C0D6F"/>
    <w:rsid w:val="009C0F46"/>
    <w:rsid w:val="009C174F"/>
    <w:rsid w:val="009C176A"/>
    <w:rsid w:val="009C2AB2"/>
    <w:rsid w:val="009C3D6B"/>
    <w:rsid w:val="009C480A"/>
    <w:rsid w:val="009C5223"/>
    <w:rsid w:val="009C53A9"/>
    <w:rsid w:val="009C5621"/>
    <w:rsid w:val="009C56F0"/>
    <w:rsid w:val="009C5982"/>
    <w:rsid w:val="009C5EFD"/>
    <w:rsid w:val="009C6759"/>
    <w:rsid w:val="009C7075"/>
    <w:rsid w:val="009C7433"/>
    <w:rsid w:val="009C7E63"/>
    <w:rsid w:val="009C7EA2"/>
    <w:rsid w:val="009C7F12"/>
    <w:rsid w:val="009D00F8"/>
    <w:rsid w:val="009D067E"/>
    <w:rsid w:val="009D0E45"/>
    <w:rsid w:val="009D11B6"/>
    <w:rsid w:val="009D34A7"/>
    <w:rsid w:val="009D3965"/>
    <w:rsid w:val="009D3E1C"/>
    <w:rsid w:val="009D55E2"/>
    <w:rsid w:val="009D5920"/>
    <w:rsid w:val="009D5EC8"/>
    <w:rsid w:val="009D621C"/>
    <w:rsid w:val="009D6375"/>
    <w:rsid w:val="009D6853"/>
    <w:rsid w:val="009E02FB"/>
    <w:rsid w:val="009E03DC"/>
    <w:rsid w:val="009E1CC9"/>
    <w:rsid w:val="009E1FCB"/>
    <w:rsid w:val="009E21C2"/>
    <w:rsid w:val="009E222B"/>
    <w:rsid w:val="009E2F39"/>
    <w:rsid w:val="009E37D4"/>
    <w:rsid w:val="009E4D7A"/>
    <w:rsid w:val="009E4EEE"/>
    <w:rsid w:val="009E5B99"/>
    <w:rsid w:val="009E5BB0"/>
    <w:rsid w:val="009E6187"/>
    <w:rsid w:val="009E61DA"/>
    <w:rsid w:val="009E637F"/>
    <w:rsid w:val="009E6457"/>
    <w:rsid w:val="009E676E"/>
    <w:rsid w:val="009E68D4"/>
    <w:rsid w:val="009E697C"/>
    <w:rsid w:val="009F00F3"/>
    <w:rsid w:val="009F0DFF"/>
    <w:rsid w:val="009F0E85"/>
    <w:rsid w:val="009F135F"/>
    <w:rsid w:val="009F138A"/>
    <w:rsid w:val="009F20CB"/>
    <w:rsid w:val="009F273F"/>
    <w:rsid w:val="009F2B96"/>
    <w:rsid w:val="009F2F29"/>
    <w:rsid w:val="009F3BB7"/>
    <w:rsid w:val="009F3F87"/>
    <w:rsid w:val="009F4EE9"/>
    <w:rsid w:val="009F50E5"/>
    <w:rsid w:val="009F5209"/>
    <w:rsid w:val="009F554B"/>
    <w:rsid w:val="009F630A"/>
    <w:rsid w:val="009F63C8"/>
    <w:rsid w:val="009F6528"/>
    <w:rsid w:val="009F6DE2"/>
    <w:rsid w:val="009F7A60"/>
    <w:rsid w:val="00A0004E"/>
    <w:rsid w:val="00A01051"/>
    <w:rsid w:val="00A015DF"/>
    <w:rsid w:val="00A01EF7"/>
    <w:rsid w:val="00A02051"/>
    <w:rsid w:val="00A037C8"/>
    <w:rsid w:val="00A03E0C"/>
    <w:rsid w:val="00A044BA"/>
    <w:rsid w:val="00A04776"/>
    <w:rsid w:val="00A04AAC"/>
    <w:rsid w:val="00A04C2D"/>
    <w:rsid w:val="00A04E0A"/>
    <w:rsid w:val="00A05002"/>
    <w:rsid w:val="00A054E7"/>
    <w:rsid w:val="00A05A25"/>
    <w:rsid w:val="00A06174"/>
    <w:rsid w:val="00A06C05"/>
    <w:rsid w:val="00A078CF"/>
    <w:rsid w:val="00A105C3"/>
    <w:rsid w:val="00A1116A"/>
    <w:rsid w:val="00A11863"/>
    <w:rsid w:val="00A119B7"/>
    <w:rsid w:val="00A11EF9"/>
    <w:rsid w:val="00A12124"/>
    <w:rsid w:val="00A1249D"/>
    <w:rsid w:val="00A12610"/>
    <w:rsid w:val="00A129D3"/>
    <w:rsid w:val="00A12BEE"/>
    <w:rsid w:val="00A12DC9"/>
    <w:rsid w:val="00A1370F"/>
    <w:rsid w:val="00A1429F"/>
    <w:rsid w:val="00A149C2"/>
    <w:rsid w:val="00A14B8E"/>
    <w:rsid w:val="00A14E67"/>
    <w:rsid w:val="00A15CB1"/>
    <w:rsid w:val="00A175FA"/>
    <w:rsid w:val="00A1790E"/>
    <w:rsid w:val="00A17985"/>
    <w:rsid w:val="00A17A25"/>
    <w:rsid w:val="00A17EBD"/>
    <w:rsid w:val="00A2055E"/>
    <w:rsid w:val="00A20A1B"/>
    <w:rsid w:val="00A20A3D"/>
    <w:rsid w:val="00A20B5A"/>
    <w:rsid w:val="00A21737"/>
    <w:rsid w:val="00A21C55"/>
    <w:rsid w:val="00A21E01"/>
    <w:rsid w:val="00A21F1F"/>
    <w:rsid w:val="00A22181"/>
    <w:rsid w:val="00A23010"/>
    <w:rsid w:val="00A230E8"/>
    <w:rsid w:val="00A2334F"/>
    <w:rsid w:val="00A23FF7"/>
    <w:rsid w:val="00A245C5"/>
    <w:rsid w:val="00A24656"/>
    <w:rsid w:val="00A24B0A"/>
    <w:rsid w:val="00A24CC4"/>
    <w:rsid w:val="00A273B3"/>
    <w:rsid w:val="00A27829"/>
    <w:rsid w:val="00A279F9"/>
    <w:rsid w:val="00A27B32"/>
    <w:rsid w:val="00A27CB2"/>
    <w:rsid w:val="00A27D3D"/>
    <w:rsid w:val="00A31787"/>
    <w:rsid w:val="00A3188F"/>
    <w:rsid w:val="00A3198C"/>
    <w:rsid w:val="00A31C79"/>
    <w:rsid w:val="00A31EFD"/>
    <w:rsid w:val="00A32D10"/>
    <w:rsid w:val="00A3302A"/>
    <w:rsid w:val="00A332BB"/>
    <w:rsid w:val="00A34BBF"/>
    <w:rsid w:val="00A35006"/>
    <w:rsid w:val="00A3518C"/>
    <w:rsid w:val="00A354E8"/>
    <w:rsid w:val="00A3574E"/>
    <w:rsid w:val="00A365A1"/>
    <w:rsid w:val="00A367DB"/>
    <w:rsid w:val="00A36902"/>
    <w:rsid w:val="00A36D70"/>
    <w:rsid w:val="00A374EC"/>
    <w:rsid w:val="00A3777B"/>
    <w:rsid w:val="00A37C1F"/>
    <w:rsid w:val="00A37C79"/>
    <w:rsid w:val="00A37D33"/>
    <w:rsid w:val="00A40013"/>
    <w:rsid w:val="00A400EC"/>
    <w:rsid w:val="00A40BCA"/>
    <w:rsid w:val="00A40EE7"/>
    <w:rsid w:val="00A41552"/>
    <w:rsid w:val="00A41BFF"/>
    <w:rsid w:val="00A433B4"/>
    <w:rsid w:val="00A4342E"/>
    <w:rsid w:val="00A43D0D"/>
    <w:rsid w:val="00A4461F"/>
    <w:rsid w:val="00A44B82"/>
    <w:rsid w:val="00A457B0"/>
    <w:rsid w:val="00A45FA9"/>
    <w:rsid w:val="00A464B8"/>
    <w:rsid w:val="00A46BBF"/>
    <w:rsid w:val="00A47987"/>
    <w:rsid w:val="00A47E91"/>
    <w:rsid w:val="00A50245"/>
    <w:rsid w:val="00A50B35"/>
    <w:rsid w:val="00A510F6"/>
    <w:rsid w:val="00A518DA"/>
    <w:rsid w:val="00A51B53"/>
    <w:rsid w:val="00A51C39"/>
    <w:rsid w:val="00A52D6C"/>
    <w:rsid w:val="00A5477C"/>
    <w:rsid w:val="00A55120"/>
    <w:rsid w:val="00A557B1"/>
    <w:rsid w:val="00A567CE"/>
    <w:rsid w:val="00A5683F"/>
    <w:rsid w:val="00A56B64"/>
    <w:rsid w:val="00A57FE3"/>
    <w:rsid w:val="00A6096F"/>
    <w:rsid w:val="00A60F1E"/>
    <w:rsid w:val="00A61F96"/>
    <w:rsid w:val="00A623D2"/>
    <w:rsid w:val="00A62870"/>
    <w:rsid w:val="00A629EA"/>
    <w:rsid w:val="00A62E83"/>
    <w:rsid w:val="00A63078"/>
    <w:rsid w:val="00A6322A"/>
    <w:rsid w:val="00A63CE3"/>
    <w:rsid w:val="00A640D6"/>
    <w:rsid w:val="00A6436C"/>
    <w:rsid w:val="00A644B1"/>
    <w:rsid w:val="00A64592"/>
    <w:rsid w:val="00A648FF"/>
    <w:rsid w:val="00A6493F"/>
    <w:rsid w:val="00A656F3"/>
    <w:rsid w:val="00A657FA"/>
    <w:rsid w:val="00A65B65"/>
    <w:rsid w:val="00A65C61"/>
    <w:rsid w:val="00A65E42"/>
    <w:rsid w:val="00A6717E"/>
    <w:rsid w:val="00A67335"/>
    <w:rsid w:val="00A70D9B"/>
    <w:rsid w:val="00A70E9D"/>
    <w:rsid w:val="00A70F55"/>
    <w:rsid w:val="00A71697"/>
    <w:rsid w:val="00A7198A"/>
    <w:rsid w:val="00A71A73"/>
    <w:rsid w:val="00A72551"/>
    <w:rsid w:val="00A726B6"/>
    <w:rsid w:val="00A73630"/>
    <w:rsid w:val="00A73B69"/>
    <w:rsid w:val="00A73B99"/>
    <w:rsid w:val="00A73E28"/>
    <w:rsid w:val="00A7401C"/>
    <w:rsid w:val="00A749A7"/>
    <w:rsid w:val="00A752E5"/>
    <w:rsid w:val="00A7554A"/>
    <w:rsid w:val="00A75828"/>
    <w:rsid w:val="00A759BD"/>
    <w:rsid w:val="00A7644F"/>
    <w:rsid w:val="00A77705"/>
    <w:rsid w:val="00A77750"/>
    <w:rsid w:val="00A77C2C"/>
    <w:rsid w:val="00A77DEC"/>
    <w:rsid w:val="00A81050"/>
    <w:rsid w:val="00A81956"/>
    <w:rsid w:val="00A81D79"/>
    <w:rsid w:val="00A83021"/>
    <w:rsid w:val="00A83337"/>
    <w:rsid w:val="00A836C4"/>
    <w:rsid w:val="00A845B9"/>
    <w:rsid w:val="00A847F9"/>
    <w:rsid w:val="00A84CEA"/>
    <w:rsid w:val="00A852C4"/>
    <w:rsid w:val="00A85A3E"/>
    <w:rsid w:val="00A85C22"/>
    <w:rsid w:val="00A85E5F"/>
    <w:rsid w:val="00A8675A"/>
    <w:rsid w:val="00A867F5"/>
    <w:rsid w:val="00A86B89"/>
    <w:rsid w:val="00A87832"/>
    <w:rsid w:val="00A90260"/>
    <w:rsid w:val="00A9061E"/>
    <w:rsid w:val="00A90997"/>
    <w:rsid w:val="00A91022"/>
    <w:rsid w:val="00A91258"/>
    <w:rsid w:val="00A91539"/>
    <w:rsid w:val="00A925E1"/>
    <w:rsid w:val="00A925E3"/>
    <w:rsid w:val="00A926D8"/>
    <w:rsid w:val="00A9366E"/>
    <w:rsid w:val="00A93F3D"/>
    <w:rsid w:val="00A94269"/>
    <w:rsid w:val="00A94426"/>
    <w:rsid w:val="00A945DB"/>
    <w:rsid w:val="00A95474"/>
    <w:rsid w:val="00A9551B"/>
    <w:rsid w:val="00A95694"/>
    <w:rsid w:val="00A96954"/>
    <w:rsid w:val="00A96EFC"/>
    <w:rsid w:val="00A9789A"/>
    <w:rsid w:val="00AA005F"/>
    <w:rsid w:val="00AA01C5"/>
    <w:rsid w:val="00AA020A"/>
    <w:rsid w:val="00AA0240"/>
    <w:rsid w:val="00AA0762"/>
    <w:rsid w:val="00AA089B"/>
    <w:rsid w:val="00AA09C3"/>
    <w:rsid w:val="00AA0BBA"/>
    <w:rsid w:val="00AA0CC8"/>
    <w:rsid w:val="00AA0CCD"/>
    <w:rsid w:val="00AA0F66"/>
    <w:rsid w:val="00AA1074"/>
    <w:rsid w:val="00AA1C61"/>
    <w:rsid w:val="00AA1F71"/>
    <w:rsid w:val="00AA2810"/>
    <w:rsid w:val="00AA30CD"/>
    <w:rsid w:val="00AA3335"/>
    <w:rsid w:val="00AA41D2"/>
    <w:rsid w:val="00AA4364"/>
    <w:rsid w:val="00AA4446"/>
    <w:rsid w:val="00AA4845"/>
    <w:rsid w:val="00AA505E"/>
    <w:rsid w:val="00AA57FF"/>
    <w:rsid w:val="00AA5A0C"/>
    <w:rsid w:val="00AA5F30"/>
    <w:rsid w:val="00AA6619"/>
    <w:rsid w:val="00AA6C2E"/>
    <w:rsid w:val="00AA7824"/>
    <w:rsid w:val="00AA7885"/>
    <w:rsid w:val="00AA7EBE"/>
    <w:rsid w:val="00AB0157"/>
    <w:rsid w:val="00AB0E4A"/>
    <w:rsid w:val="00AB13DD"/>
    <w:rsid w:val="00AB144B"/>
    <w:rsid w:val="00AB161E"/>
    <w:rsid w:val="00AB1EBA"/>
    <w:rsid w:val="00AB1EBD"/>
    <w:rsid w:val="00AB1EE0"/>
    <w:rsid w:val="00AB221D"/>
    <w:rsid w:val="00AB23F4"/>
    <w:rsid w:val="00AB274E"/>
    <w:rsid w:val="00AB2CA3"/>
    <w:rsid w:val="00AB39D8"/>
    <w:rsid w:val="00AB4C2A"/>
    <w:rsid w:val="00AB5098"/>
    <w:rsid w:val="00AB5935"/>
    <w:rsid w:val="00AB5EFC"/>
    <w:rsid w:val="00AB64C6"/>
    <w:rsid w:val="00AB6692"/>
    <w:rsid w:val="00AB6B02"/>
    <w:rsid w:val="00AB6CF4"/>
    <w:rsid w:val="00AB6E10"/>
    <w:rsid w:val="00AB7275"/>
    <w:rsid w:val="00AB738B"/>
    <w:rsid w:val="00AB7697"/>
    <w:rsid w:val="00AB7A5D"/>
    <w:rsid w:val="00AC09AC"/>
    <w:rsid w:val="00AC2681"/>
    <w:rsid w:val="00AC35FB"/>
    <w:rsid w:val="00AC3628"/>
    <w:rsid w:val="00AC3884"/>
    <w:rsid w:val="00AC4AEE"/>
    <w:rsid w:val="00AC4B4B"/>
    <w:rsid w:val="00AC577C"/>
    <w:rsid w:val="00AC6428"/>
    <w:rsid w:val="00AC7167"/>
    <w:rsid w:val="00AC71AD"/>
    <w:rsid w:val="00AC7805"/>
    <w:rsid w:val="00AC790E"/>
    <w:rsid w:val="00AC7A27"/>
    <w:rsid w:val="00AC7B06"/>
    <w:rsid w:val="00AD016E"/>
    <w:rsid w:val="00AD079F"/>
    <w:rsid w:val="00AD0806"/>
    <w:rsid w:val="00AD0A82"/>
    <w:rsid w:val="00AD0DA3"/>
    <w:rsid w:val="00AD1598"/>
    <w:rsid w:val="00AD1854"/>
    <w:rsid w:val="00AD2F14"/>
    <w:rsid w:val="00AD32EE"/>
    <w:rsid w:val="00AD38D6"/>
    <w:rsid w:val="00AD3F71"/>
    <w:rsid w:val="00AD470F"/>
    <w:rsid w:val="00AD4BEB"/>
    <w:rsid w:val="00AD50BB"/>
    <w:rsid w:val="00AD59D9"/>
    <w:rsid w:val="00AD6324"/>
    <w:rsid w:val="00AD7407"/>
    <w:rsid w:val="00AE0F3C"/>
    <w:rsid w:val="00AE1304"/>
    <w:rsid w:val="00AE151F"/>
    <w:rsid w:val="00AE1E44"/>
    <w:rsid w:val="00AE1F9F"/>
    <w:rsid w:val="00AE204C"/>
    <w:rsid w:val="00AE2643"/>
    <w:rsid w:val="00AE2E04"/>
    <w:rsid w:val="00AE2E76"/>
    <w:rsid w:val="00AE3198"/>
    <w:rsid w:val="00AE324E"/>
    <w:rsid w:val="00AE35D8"/>
    <w:rsid w:val="00AE43F1"/>
    <w:rsid w:val="00AE4407"/>
    <w:rsid w:val="00AE4826"/>
    <w:rsid w:val="00AE566A"/>
    <w:rsid w:val="00AE5AA4"/>
    <w:rsid w:val="00AE6009"/>
    <w:rsid w:val="00AE638C"/>
    <w:rsid w:val="00AE640F"/>
    <w:rsid w:val="00AE6FD6"/>
    <w:rsid w:val="00AF081E"/>
    <w:rsid w:val="00AF08E7"/>
    <w:rsid w:val="00AF09E7"/>
    <w:rsid w:val="00AF11AD"/>
    <w:rsid w:val="00AF26A5"/>
    <w:rsid w:val="00AF2C24"/>
    <w:rsid w:val="00AF2DE1"/>
    <w:rsid w:val="00AF3035"/>
    <w:rsid w:val="00AF305A"/>
    <w:rsid w:val="00AF33BE"/>
    <w:rsid w:val="00AF45AF"/>
    <w:rsid w:val="00AF4FC3"/>
    <w:rsid w:val="00AF5E0A"/>
    <w:rsid w:val="00AF6F24"/>
    <w:rsid w:val="00AF70AD"/>
    <w:rsid w:val="00AF71EA"/>
    <w:rsid w:val="00AF793E"/>
    <w:rsid w:val="00B00090"/>
    <w:rsid w:val="00B01864"/>
    <w:rsid w:val="00B01D8D"/>
    <w:rsid w:val="00B0241B"/>
    <w:rsid w:val="00B02682"/>
    <w:rsid w:val="00B03120"/>
    <w:rsid w:val="00B0459C"/>
    <w:rsid w:val="00B047AF"/>
    <w:rsid w:val="00B04A94"/>
    <w:rsid w:val="00B05694"/>
    <w:rsid w:val="00B05B91"/>
    <w:rsid w:val="00B05E45"/>
    <w:rsid w:val="00B061AD"/>
    <w:rsid w:val="00B06684"/>
    <w:rsid w:val="00B06915"/>
    <w:rsid w:val="00B069A2"/>
    <w:rsid w:val="00B06BF0"/>
    <w:rsid w:val="00B06DD1"/>
    <w:rsid w:val="00B072BA"/>
    <w:rsid w:val="00B07627"/>
    <w:rsid w:val="00B07B6B"/>
    <w:rsid w:val="00B07EA9"/>
    <w:rsid w:val="00B1008C"/>
    <w:rsid w:val="00B1016F"/>
    <w:rsid w:val="00B1092A"/>
    <w:rsid w:val="00B10C18"/>
    <w:rsid w:val="00B12143"/>
    <w:rsid w:val="00B125D2"/>
    <w:rsid w:val="00B12B0B"/>
    <w:rsid w:val="00B12BC3"/>
    <w:rsid w:val="00B133A1"/>
    <w:rsid w:val="00B13947"/>
    <w:rsid w:val="00B14138"/>
    <w:rsid w:val="00B14236"/>
    <w:rsid w:val="00B14577"/>
    <w:rsid w:val="00B14C1F"/>
    <w:rsid w:val="00B14E67"/>
    <w:rsid w:val="00B155FE"/>
    <w:rsid w:val="00B156A8"/>
    <w:rsid w:val="00B159D4"/>
    <w:rsid w:val="00B15AE0"/>
    <w:rsid w:val="00B15C45"/>
    <w:rsid w:val="00B16855"/>
    <w:rsid w:val="00B169FB"/>
    <w:rsid w:val="00B16A6D"/>
    <w:rsid w:val="00B170C2"/>
    <w:rsid w:val="00B178A5"/>
    <w:rsid w:val="00B17EE1"/>
    <w:rsid w:val="00B200F5"/>
    <w:rsid w:val="00B20185"/>
    <w:rsid w:val="00B20858"/>
    <w:rsid w:val="00B20DB4"/>
    <w:rsid w:val="00B21353"/>
    <w:rsid w:val="00B2196F"/>
    <w:rsid w:val="00B21D9B"/>
    <w:rsid w:val="00B21E65"/>
    <w:rsid w:val="00B21E6B"/>
    <w:rsid w:val="00B220F0"/>
    <w:rsid w:val="00B22155"/>
    <w:rsid w:val="00B225C9"/>
    <w:rsid w:val="00B2265A"/>
    <w:rsid w:val="00B22C4C"/>
    <w:rsid w:val="00B235CD"/>
    <w:rsid w:val="00B23621"/>
    <w:rsid w:val="00B24265"/>
    <w:rsid w:val="00B24610"/>
    <w:rsid w:val="00B257D6"/>
    <w:rsid w:val="00B26421"/>
    <w:rsid w:val="00B26C37"/>
    <w:rsid w:val="00B275BA"/>
    <w:rsid w:val="00B279C4"/>
    <w:rsid w:val="00B27A3A"/>
    <w:rsid w:val="00B27C84"/>
    <w:rsid w:val="00B27D03"/>
    <w:rsid w:val="00B30951"/>
    <w:rsid w:val="00B30D70"/>
    <w:rsid w:val="00B30DFD"/>
    <w:rsid w:val="00B30E6A"/>
    <w:rsid w:val="00B314D5"/>
    <w:rsid w:val="00B3193F"/>
    <w:rsid w:val="00B31EA8"/>
    <w:rsid w:val="00B31F5C"/>
    <w:rsid w:val="00B32347"/>
    <w:rsid w:val="00B32AA0"/>
    <w:rsid w:val="00B33088"/>
    <w:rsid w:val="00B3311E"/>
    <w:rsid w:val="00B33164"/>
    <w:rsid w:val="00B33413"/>
    <w:rsid w:val="00B334AF"/>
    <w:rsid w:val="00B33754"/>
    <w:rsid w:val="00B33BB5"/>
    <w:rsid w:val="00B33BEC"/>
    <w:rsid w:val="00B33C17"/>
    <w:rsid w:val="00B34258"/>
    <w:rsid w:val="00B34794"/>
    <w:rsid w:val="00B34B8E"/>
    <w:rsid w:val="00B357EA"/>
    <w:rsid w:val="00B35925"/>
    <w:rsid w:val="00B35987"/>
    <w:rsid w:val="00B36CC1"/>
    <w:rsid w:val="00B36EF4"/>
    <w:rsid w:val="00B37569"/>
    <w:rsid w:val="00B376DE"/>
    <w:rsid w:val="00B37B6C"/>
    <w:rsid w:val="00B37BD4"/>
    <w:rsid w:val="00B37BDF"/>
    <w:rsid w:val="00B37E38"/>
    <w:rsid w:val="00B405CA"/>
    <w:rsid w:val="00B408AF"/>
    <w:rsid w:val="00B4101D"/>
    <w:rsid w:val="00B41FD4"/>
    <w:rsid w:val="00B427EF"/>
    <w:rsid w:val="00B42A94"/>
    <w:rsid w:val="00B42BF5"/>
    <w:rsid w:val="00B42DC6"/>
    <w:rsid w:val="00B42F77"/>
    <w:rsid w:val="00B44FBC"/>
    <w:rsid w:val="00B4571E"/>
    <w:rsid w:val="00B46276"/>
    <w:rsid w:val="00B4758E"/>
    <w:rsid w:val="00B47FB8"/>
    <w:rsid w:val="00B504E3"/>
    <w:rsid w:val="00B50BD1"/>
    <w:rsid w:val="00B50E28"/>
    <w:rsid w:val="00B511AB"/>
    <w:rsid w:val="00B51E22"/>
    <w:rsid w:val="00B51FE0"/>
    <w:rsid w:val="00B52137"/>
    <w:rsid w:val="00B52C5B"/>
    <w:rsid w:val="00B53068"/>
    <w:rsid w:val="00B53964"/>
    <w:rsid w:val="00B54748"/>
    <w:rsid w:val="00B54AFA"/>
    <w:rsid w:val="00B54B4F"/>
    <w:rsid w:val="00B54B71"/>
    <w:rsid w:val="00B54DBA"/>
    <w:rsid w:val="00B54E4C"/>
    <w:rsid w:val="00B5519C"/>
    <w:rsid w:val="00B555A0"/>
    <w:rsid w:val="00B55945"/>
    <w:rsid w:val="00B55DF6"/>
    <w:rsid w:val="00B560B0"/>
    <w:rsid w:val="00B5700A"/>
    <w:rsid w:val="00B57619"/>
    <w:rsid w:val="00B60E93"/>
    <w:rsid w:val="00B6180A"/>
    <w:rsid w:val="00B61B62"/>
    <w:rsid w:val="00B62648"/>
    <w:rsid w:val="00B62E3B"/>
    <w:rsid w:val="00B64440"/>
    <w:rsid w:val="00B646AE"/>
    <w:rsid w:val="00B64797"/>
    <w:rsid w:val="00B64F75"/>
    <w:rsid w:val="00B65D3D"/>
    <w:rsid w:val="00B65EEB"/>
    <w:rsid w:val="00B6612A"/>
    <w:rsid w:val="00B67081"/>
    <w:rsid w:val="00B67812"/>
    <w:rsid w:val="00B67F41"/>
    <w:rsid w:val="00B67FAC"/>
    <w:rsid w:val="00B700AF"/>
    <w:rsid w:val="00B7072F"/>
    <w:rsid w:val="00B708DC"/>
    <w:rsid w:val="00B70F65"/>
    <w:rsid w:val="00B70FD6"/>
    <w:rsid w:val="00B719A9"/>
    <w:rsid w:val="00B71F5B"/>
    <w:rsid w:val="00B720DC"/>
    <w:rsid w:val="00B72858"/>
    <w:rsid w:val="00B72A42"/>
    <w:rsid w:val="00B734A3"/>
    <w:rsid w:val="00B73EAD"/>
    <w:rsid w:val="00B740D9"/>
    <w:rsid w:val="00B7499A"/>
    <w:rsid w:val="00B752E2"/>
    <w:rsid w:val="00B77853"/>
    <w:rsid w:val="00B77C31"/>
    <w:rsid w:val="00B80CF1"/>
    <w:rsid w:val="00B8124C"/>
    <w:rsid w:val="00B81BD8"/>
    <w:rsid w:val="00B826CB"/>
    <w:rsid w:val="00B8528E"/>
    <w:rsid w:val="00B870D0"/>
    <w:rsid w:val="00B873CB"/>
    <w:rsid w:val="00B87BBE"/>
    <w:rsid w:val="00B90124"/>
    <w:rsid w:val="00B904B8"/>
    <w:rsid w:val="00B90878"/>
    <w:rsid w:val="00B90C82"/>
    <w:rsid w:val="00B90D4C"/>
    <w:rsid w:val="00B91C67"/>
    <w:rsid w:val="00B91DC3"/>
    <w:rsid w:val="00B91F3B"/>
    <w:rsid w:val="00B92A85"/>
    <w:rsid w:val="00B93291"/>
    <w:rsid w:val="00B9398F"/>
    <w:rsid w:val="00B93E29"/>
    <w:rsid w:val="00B945DC"/>
    <w:rsid w:val="00B94A4F"/>
    <w:rsid w:val="00B95875"/>
    <w:rsid w:val="00B965FB"/>
    <w:rsid w:val="00B96E4D"/>
    <w:rsid w:val="00B979C6"/>
    <w:rsid w:val="00B97F30"/>
    <w:rsid w:val="00BA0CB9"/>
    <w:rsid w:val="00BA20F8"/>
    <w:rsid w:val="00BA21D3"/>
    <w:rsid w:val="00BA2D51"/>
    <w:rsid w:val="00BA3071"/>
    <w:rsid w:val="00BA3381"/>
    <w:rsid w:val="00BA33D6"/>
    <w:rsid w:val="00BA3B43"/>
    <w:rsid w:val="00BA3BDE"/>
    <w:rsid w:val="00BA3EDA"/>
    <w:rsid w:val="00BA43F9"/>
    <w:rsid w:val="00BA47BC"/>
    <w:rsid w:val="00BA5073"/>
    <w:rsid w:val="00BA554D"/>
    <w:rsid w:val="00BA5DB7"/>
    <w:rsid w:val="00BA5FEC"/>
    <w:rsid w:val="00BA6FDE"/>
    <w:rsid w:val="00BA7F2F"/>
    <w:rsid w:val="00BB0192"/>
    <w:rsid w:val="00BB09F5"/>
    <w:rsid w:val="00BB116A"/>
    <w:rsid w:val="00BB24A8"/>
    <w:rsid w:val="00BB28C9"/>
    <w:rsid w:val="00BB3E88"/>
    <w:rsid w:val="00BB46D1"/>
    <w:rsid w:val="00BB4729"/>
    <w:rsid w:val="00BB4D5A"/>
    <w:rsid w:val="00BB4E98"/>
    <w:rsid w:val="00BB53A5"/>
    <w:rsid w:val="00BB5A7D"/>
    <w:rsid w:val="00BB61BB"/>
    <w:rsid w:val="00BB66E5"/>
    <w:rsid w:val="00BB7CA6"/>
    <w:rsid w:val="00BC03E6"/>
    <w:rsid w:val="00BC07A2"/>
    <w:rsid w:val="00BC0E7E"/>
    <w:rsid w:val="00BC13ED"/>
    <w:rsid w:val="00BC2240"/>
    <w:rsid w:val="00BC2C71"/>
    <w:rsid w:val="00BC3BC7"/>
    <w:rsid w:val="00BC3CBF"/>
    <w:rsid w:val="00BC42DB"/>
    <w:rsid w:val="00BC48E7"/>
    <w:rsid w:val="00BC49FE"/>
    <w:rsid w:val="00BC4E83"/>
    <w:rsid w:val="00BC59F2"/>
    <w:rsid w:val="00BC5E90"/>
    <w:rsid w:val="00BC640F"/>
    <w:rsid w:val="00BC6ABE"/>
    <w:rsid w:val="00BC782C"/>
    <w:rsid w:val="00BD03F3"/>
    <w:rsid w:val="00BD1DC7"/>
    <w:rsid w:val="00BD2249"/>
    <w:rsid w:val="00BD27FA"/>
    <w:rsid w:val="00BD34A1"/>
    <w:rsid w:val="00BD3567"/>
    <w:rsid w:val="00BD386C"/>
    <w:rsid w:val="00BD3F76"/>
    <w:rsid w:val="00BD40B0"/>
    <w:rsid w:val="00BD5731"/>
    <w:rsid w:val="00BD5EE1"/>
    <w:rsid w:val="00BD5FC8"/>
    <w:rsid w:val="00BD62F1"/>
    <w:rsid w:val="00BD646C"/>
    <w:rsid w:val="00BD6EC6"/>
    <w:rsid w:val="00BE07CA"/>
    <w:rsid w:val="00BE0AE1"/>
    <w:rsid w:val="00BE0F3B"/>
    <w:rsid w:val="00BE18A1"/>
    <w:rsid w:val="00BE192A"/>
    <w:rsid w:val="00BE1A1E"/>
    <w:rsid w:val="00BE1CD2"/>
    <w:rsid w:val="00BE1E60"/>
    <w:rsid w:val="00BE25DB"/>
    <w:rsid w:val="00BE30F2"/>
    <w:rsid w:val="00BE3BB4"/>
    <w:rsid w:val="00BE453F"/>
    <w:rsid w:val="00BE4949"/>
    <w:rsid w:val="00BE49C0"/>
    <w:rsid w:val="00BE58FF"/>
    <w:rsid w:val="00BE5A23"/>
    <w:rsid w:val="00BE5F26"/>
    <w:rsid w:val="00BE5FE6"/>
    <w:rsid w:val="00BE602D"/>
    <w:rsid w:val="00BE64DB"/>
    <w:rsid w:val="00BE6569"/>
    <w:rsid w:val="00BE6CA9"/>
    <w:rsid w:val="00BE6FF2"/>
    <w:rsid w:val="00BE7219"/>
    <w:rsid w:val="00BE7342"/>
    <w:rsid w:val="00BE7510"/>
    <w:rsid w:val="00BE75C0"/>
    <w:rsid w:val="00BF02E7"/>
    <w:rsid w:val="00BF0569"/>
    <w:rsid w:val="00BF0906"/>
    <w:rsid w:val="00BF0D99"/>
    <w:rsid w:val="00BF0E13"/>
    <w:rsid w:val="00BF0F7D"/>
    <w:rsid w:val="00BF11DC"/>
    <w:rsid w:val="00BF1470"/>
    <w:rsid w:val="00BF20F2"/>
    <w:rsid w:val="00BF23AB"/>
    <w:rsid w:val="00BF29C0"/>
    <w:rsid w:val="00BF33A6"/>
    <w:rsid w:val="00BF345A"/>
    <w:rsid w:val="00BF352F"/>
    <w:rsid w:val="00BF35C1"/>
    <w:rsid w:val="00BF3AF2"/>
    <w:rsid w:val="00BF4ED2"/>
    <w:rsid w:val="00BF558B"/>
    <w:rsid w:val="00BF5D1A"/>
    <w:rsid w:val="00BF66F1"/>
    <w:rsid w:val="00BF677B"/>
    <w:rsid w:val="00BF6990"/>
    <w:rsid w:val="00BF72F1"/>
    <w:rsid w:val="00BF7743"/>
    <w:rsid w:val="00BF7AE9"/>
    <w:rsid w:val="00BF7C46"/>
    <w:rsid w:val="00C002E0"/>
    <w:rsid w:val="00C00316"/>
    <w:rsid w:val="00C008A5"/>
    <w:rsid w:val="00C0094C"/>
    <w:rsid w:val="00C00D63"/>
    <w:rsid w:val="00C0112C"/>
    <w:rsid w:val="00C0128F"/>
    <w:rsid w:val="00C018F4"/>
    <w:rsid w:val="00C02112"/>
    <w:rsid w:val="00C0380B"/>
    <w:rsid w:val="00C04064"/>
    <w:rsid w:val="00C04302"/>
    <w:rsid w:val="00C052BC"/>
    <w:rsid w:val="00C05315"/>
    <w:rsid w:val="00C05F27"/>
    <w:rsid w:val="00C0608B"/>
    <w:rsid w:val="00C064F7"/>
    <w:rsid w:val="00C06A5D"/>
    <w:rsid w:val="00C06D08"/>
    <w:rsid w:val="00C077D3"/>
    <w:rsid w:val="00C07C98"/>
    <w:rsid w:val="00C106BD"/>
    <w:rsid w:val="00C11730"/>
    <w:rsid w:val="00C11A9F"/>
    <w:rsid w:val="00C11B06"/>
    <w:rsid w:val="00C11FE9"/>
    <w:rsid w:val="00C122FA"/>
    <w:rsid w:val="00C12D26"/>
    <w:rsid w:val="00C12E6B"/>
    <w:rsid w:val="00C13550"/>
    <w:rsid w:val="00C13645"/>
    <w:rsid w:val="00C14360"/>
    <w:rsid w:val="00C14EDA"/>
    <w:rsid w:val="00C15039"/>
    <w:rsid w:val="00C15AA0"/>
    <w:rsid w:val="00C15F93"/>
    <w:rsid w:val="00C1698C"/>
    <w:rsid w:val="00C1788E"/>
    <w:rsid w:val="00C17ADC"/>
    <w:rsid w:val="00C17F71"/>
    <w:rsid w:val="00C211E7"/>
    <w:rsid w:val="00C213C4"/>
    <w:rsid w:val="00C21585"/>
    <w:rsid w:val="00C21925"/>
    <w:rsid w:val="00C2280E"/>
    <w:rsid w:val="00C228CA"/>
    <w:rsid w:val="00C22E21"/>
    <w:rsid w:val="00C2309F"/>
    <w:rsid w:val="00C233B6"/>
    <w:rsid w:val="00C23722"/>
    <w:rsid w:val="00C23CF4"/>
    <w:rsid w:val="00C2417B"/>
    <w:rsid w:val="00C24783"/>
    <w:rsid w:val="00C24E4E"/>
    <w:rsid w:val="00C25673"/>
    <w:rsid w:val="00C2597A"/>
    <w:rsid w:val="00C25AC9"/>
    <w:rsid w:val="00C25BCC"/>
    <w:rsid w:val="00C25BDA"/>
    <w:rsid w:val="00C261DD"/>
    <w:rsid w:val="00C26207"/>
    <w:rsid w:val="00C262DD"/>
    <w:rsid w:val="00C26404"/>
    <w:rsid w:val="00C26513"/>
    <w:rsid w:val="00C2683A"/>
    <w:rsid w:val="00C268D7"/>
    <w:rsid w:val="00C26F40"/>
    <w:rsid w:val="00C26FA2"/>
    <w:rsid w:val="00C271F5"/>
    <w:rsid w:val="00C27517"/>
    <w:rsid w:val="00C27595"/>
    <w:rsid w:val="00C2780F"/>
    <w:rsid w:val="00C27926"/>
    <w:rsid w:val="00C306D9"/>
    <w:rsid w:val="00C30895"/>
    <w:rsid w:val="00C30AB7"/>
    <w:rsid w:val="00C30B7E"/>
    <w:rsid w:val="00C31262"/>
    <w:rsid w:val="00C316D0"/>
    <w:rsid w:val="00C32C8A"/>
    <w:rsid w:val="00C34F9D"/>
    <w:rsid w:val="00C35043"/>
    <w:rsid w:val="00C35098"/>
    <w:rsid w:val="00C351E4"/>
    <w:rsid w:val="00C355A8"/>
    <w:rsid w:val="00C358D3"/>
    <w:rsid w:val="00C360C9"/>
    <w:rsid w:val="00C36525"/>
    <w:rsid w:val="00C366BC"/>
    <w:rsid w:val="00C36D96"/>
    <w:rsid w:val="00C36EE5"/>
    <w:rsid w:val="00C37307"/>
    <w:rsid w:val="00C3739E"/>
    <w:rsid w:val="00C373E9"/>
    <w:rsid w:val="00C37937"/>
    <w:rsid w:val="00C40ABF"/>
    <w:rsid w:val="00C40CB6"/>
    <w:rsid w:val="00C413EB"/>
    <w:rsid w:val="00C41990"/>
    <w:rsid w:val="00C42E13"/>
    <w:rsid w:val="00C43247"/>
    <w:rsid w:val="00C43DDB"/>
    <w:rsid w:val="00C442CF"/>
    <w:rsid w:val="00C448C3"/>
    <w:rsid w:val="00C449C7"/>
    <w:rsid w:val="00C44D2F"/>
    <w:rsid w:val="00C455EA"/>
    <w:rsid w:val="00C4590F"/>
    <w:rsid w:val="00C45EE7"/>
    <w:rsid w:val="00C4632D"/>
    <w:rsid w:val="00C479E0"/>
    <w:rsid w:val="00C47F93"/>
    <w:rsid w:val="00C500D8"/>
    <w:rsid w:val="00C50C27"/>
    <w:rsid w:val="00C50E0F"/>
    <w:rsid w:val="00C51027"/>
    <w:rsid w:val="00C513A9"/>
    <w:rsid w:val="00C51973"/>
    <w:rsid w:val="00C51CBD"/>
    <w:rsid w:val="00C524A8"/>
    <w:rsid w:val="00C52BE4"/>
    <w:rsid w:val="00C52C3E"/>
    <w:rsid w:val="00C52CE2"/>
    <w:rsid w:val="00C538C5"/>
    <w:rsid w:val="00C54791"/>
    <w:rsid w:val="00C551E4"/>
    <w:rsid w:val="00C55CAC"/>
    <w:rsid w:val="00C5656D"/>
    <w:rsid w:val="00C572BD"/>
    <w:rsid w:val="00C57671"/>
    <w:rsid w:val="00C577C9"/>
    <w:rsid w:val="00C57A9C"/>
    <w:rsid w:val="00C602BE"/>
    <w:rsid w:val="00C60AC8"/>
    <w:rsid w:val="00C60E5C"/>
    <w:rsid w:val="00C6118D"/>
    <w:rsid w:val="00C63D9A"/>
    <w:rsid w:val="00C654E1"/>
    <w:rsid w:val="00C67573"/>
    <w:rsid w:val="00C67A74"/>
    <w:rsid w:val="00C70683"/>
    <w:rsid w:val="00C70865"/>
    <w:rsid w:val="00C708CB"/>
    <w:rsid w:val="00C70980"/>
    <w:rsid w:val="00C723CB"/>
    <w:rsid w:val="00C72976"/>
    <w:rsid w:val="00C72E93"/>
    <w:rsid w:val="00C73989"/>
    <w:rsid w:val="00C73CE3"/>
    <w:rsid w:val="00C7418B"/>
    <w:rsid w:val="00C742D0"/>
    <w:rsid w:val="00C74687"/>
    <w:rsid w:val="00C746BC"/>
    <w:rsid w:val="00C7475F"/>
    <w:rsid w:val="00C75241"/>
    <w:rsid w:val="00C76466"/>
    <w:rsid w:val="00C76476"/>
    <w:rsid w:val="00C77ADD"/>
    <w:rsid w:val="00C77EAF"/>
    <w:rsid w:val="00C80578"/>
    <w:rsid w:val="00C80830"/>
    <w:rsid w:val="00C80F0C"/>
    <w:rsid w:val="00C81116"/>
    <w:rsid w:val="00C81C1D"/>
    <w:rsid w:val="00C820D6"/>
    <w:rsid w:val="00C82C7E"/>
    <w:rsid w:val="00C84337"/>
    <w:rsid w:val="00C84AFD"/>
    <w:rsid w:val="00C84B6C"/>
    <w:rsid w:val="00C84EB2"/>
    <w:rsid w:val="00C852E8"/>
    <w:rsid w:val="00C85B00"/>
    <w:rsid w:val="00C85E81"/>
    <w:rsid w:val="00C86541"/>
    <w:rsid w:val="00C86542"/>
    <w:rsid w:val="00C86E66"/>
    <w:rsid w:val="00C87116"/>
    <w:rsid w:val="00C87D69"/>
    <w:rsid w:val="00C90D41"/>
    <w:rsid w:val="00C91246"/>
    <w:rsid w:val="00C91856"/>
    <w:rsid w:val="00C91AFE"/>
    <w:rsid w:val="00C93F07"/>
    <w:rsid w:val="00C95067"/>
    <w:rsid w:val="00C95C75"/>
    <w:rsid w:val="00C95D55"/>
    <w:rsid w:val="00C960B7"/>
    <w:rsid w:val="00C962FE"/>
    <w:rsid w:val="00C967FC"/>
    <w:rsid w:val="00C96B78"/>
    <w:rsid w:val="00C977E5"/>
    <w:rsid w:val="00C97C51"/>
    <w:rsid w:val="00CA01DF"/>
    <w:rsid w:val="00CA0636"/>
    <w:rsid w:val="00CA0654"/>
    <w:rsid w:val="00CA0789"/>
    <w:rsid w:val="00CA1D4D"/>
    <w:rsid w:val="00CA2C3A"/>
    <w:rsid w:val="00CA31D4"/>
    <w:rsid w:val="00CA40A8"/>
    <w:rsid w:val="00CA4509"/>
    <w:rsid w:val="00CA4684"/>
    <w:rsid w:val="00CA4730"/>
    <w:rsid w:val="00CA56BC"/>
    <w:rsid w:val="00CA5718"/>
    <w:rsid w:val="00CA5E9D"/>
    <w:rsid w:val="00CA64C7"/>
    <w:rsid w:val="00CA6978"/>
    <w:rsid w:val="00CA6DDC"/>
    <w:rsid w:val="00CA6F5F"/>
    <w:rsid w:val="00CA74F5"/>
    <w:rsid w:val="00CA77DA"/>
    <w:rsid w:val="00CB0982"/>
    <w:rsid w:val="00CB0CE4"/>
    <w:rsid w:val="00CB0E28"/>
    <w:rsid w:val="00CB182C"/>
    <w:rsid w:val="00CB194F"/>
    <w:rsid w:val="00CB195C"/>
    <w:rsid w:val="00CB31ED"/>
    <w:rsid w:val="00CB33E0"/>
    <w:rsid w:val="00CB3E47"/>
    <w:rsid w:val="00CB4543"/>
    <w:rsid w:val="00CB481A"/>
    <w:rsid w:val="00CB48E8"/>
    <w:rsid w:val="00CB4A01"/>
    <w:rsid w:val="00CB4B2A"/>
    <w:rsid w:val="00CB4E44"/>
    <w:rsid w:val="00CB4EBF"/>
    <w:rsid w:val="00CB538B"/>
    <w:rsid w:val="00CB60FD"/>
    <w:rsid w:val="00CB6311"/>
    <w:rsid w:val="00CB6504"/>
    <w:rsid w:val="00CB6CAB"/>
    <w:rsid w:val="00CB6F9E"/>
    <w:rsid w:val="00CB7912"/>
    <w:rsid w:val="00CB7EC8"/>
    <w:rsid w:val="00CC048F"/>
    <w:rsid w:val="00CC05EB"/>
    <w:rsid w:val="00CC0989"/>
    <w:rsid w:val="00CC0A26"/>
    <w:rsid w:val="00CC0AD7"/>
    <w:rsid w:val="00CC0D60"/>
    <w:rsid w:val="00CC0DA9"/>
    <w:rsid w:val="00CC1033"/>
    <w:rsid w:val="00CC1513"/>
    <w:rsid w:val="00CC186E"/>
    <w:rsid w:val="00CC1CC8"/>
    <w:rsid w:val="00CC3451"/>
    <w:rsid w:val="00CC3A7E"/>
    <w:rsid w:val="00CC4213"/>
    <w:rsid w:val="00CC4AB8"/>
    <w:rsid w:val="00CC507A"/>
    <w:rsid w:val="00CC58AE"/>
    <w:rsid w:val="00CC60E9"/>
    <w:rsid w:val="00CC7394"/>
    <w:rsid w:val="00CC7D88"/>
    <w:rsid w:val="00CC7DB3"/>
    <w:rsid w:val="00CD0065"/>
    <w:rsid w:val="00CD02CB"/>
    <w:rsid w:val="00CD050C"/>
    <w:rsid w:val="00CD0BAD"/>
    <w:rsid w:val="00CD128C"/>
    <w:rsid w:val="00CD1ADE"/>
    <w:rsid w:val="00CD1F73"/>
    <w:rsid w:val="00CD2170"/>
    <w:rsid w:val="00CD2DC3"/>
    <w:rsid w:val="00CD32F5"/>
    <w:rsid w:val="00CD4059"/>
    <w:rsid w:val="00CD40BA"/>
    <w:rsid w:val="00CD447A"/>
    <w:rsid w:val="00CD4AC7"/>
    <w:rsid w:val="00CD4C1D"/>
    <w:rsid w:val="00CD59E5"/>
    <w:rsid w:val="00CD5B0C"/>
    <w:rsid w:val="00CD5C95"/>
    <w:rsid w:val="00CD614F"/>
    <w:rsid w:val="00CD65BF"/>
    <w:rsid w:val="00CD7350"/>
    <w:rsid w:val="00CE02D3"/>
    <w:rsid w:val="00CE0688"/>
    <w:rsid w:val="00CE10FA"/>
    <w:rsid w:val="00CE15E0"/>
    <w:rsid w:val="00CE18D8"/>
    <w:rsid w:val="00CE204F"/>
    <w:rsid w:val="00CE3E50"/>
    <w:rsid w:val="00CE4D1C"/>
    <w:rsid w:val="00CE5663"/>
    <w:rsid w:val="00CE6D21"/>
    <w:rsid w:val="00CE78B5"/>
    <w:rsid w:val="00CF00AD"/>
    <w:rsid w:val="00CF1B09"/>
    <w:rsid w:val="00CF2078"/>
    <w:rsid w:val="00CF2369"/>
    <w:rsid w:val="00CF2468"/>
    <w:rsid w:val="00CF27A7"/>
    <w:rsid w:val="00CF2876"/>
    <w:rsid w:val="00CF28E6"/>
    <w:rsid w:val="00CF374C"/>
    <w:rsid w:val="00CF3D5D"/>
    <w:rsid w:val="00CF4375"/>
    <w:rsid w:val="00CF50C4"/>
    <w:rsid w:val="00CF5741"/>
    <w:rsid w:val="00CF58F0"/>
    <w:rsid w:val="00CF5E62"/>
    <w:rsid w:val="00CF5F0B"/>
    <w:rsid w:val="00CF61D3"/>
    <w:rsid w:val="00CF61EC"/>
    <w:rsid w:val="00CF6835"/>
    <w:rsid w:val="00CF6A5C"/>
    <w:rsid w:val="00CF715C"/>
    <w:rsid w:val="00CF71EC"/>
    <w:rsid w:val="00CF752E"/>
    <w:rsid w:val="00CF76C7"/>
    <w:rsid w:val="00CF7D6A"/>
    <w:rsid w:val="00CF7DCA"/>
    <w:rsid w:val="00CF7F58"/>
    <w:rsid w:val="00D0044B"/>
    <w:rsid w:val="00D00F56"/>
    <w:rsid w:val="00D014D5"/>
    <w:rsid w:val="00D019FE"/>
    <w:rsid w:val="00D01A3F"/>
    <w:rsid w:val="00D01B06"/>
    <w:rsid w:val="00D01CA8"/>
    <w:rsid w:val="00D02737"/>
    <w:rsid w:val="00D03039"/>
    <w:rsid w:val="00D03DF0"/>
    <w:rsid w:val="00D048DE"/>
    <w:rsid w:val="00D04AD7"/>
    <w:rsid w:val="00D05EC3"/>
    <w:rsid w:val="00D06001"/>
    <w:rsid w:val="00D06F47"/>
    <w:rsid w:val="00D079C5"/>
    <w:rsid w:val="00D100D5"/>
    <w:rsid w:val="00D101BA"/>
    <w:rsid w:val="00D10310"/>
    <w:rsid w:val="00D1048F"/>
    <w:rsid w:val="00D10B1A"/>
    <w:rsid w:val="00D11135"/>
    <w:rsid w:val="00D115E8"/>
    <w:rsid w:val="00D11730"/>
    <w:rsid w:val="00D118C4"/>
    <w:rsid w:val="00D11C07"/>
    <w:rsid w:val="00D124ED"/>
    <w:rsid w:val="00D12B9D"/>
    <w:rsid w:val="00D1310A"/>
    <w:rsid w:val="00D1388A"/>
    <w:rsid w:val="00D13A68"/>
    <w:rsid w:val="00D14199"/>
    <w:rsid w:val="00D14465"/>
    <w:rsid w:val="00D14CFC"/>
    <w:rsid w:val="00D14E18"/>
    <w:rsid w:val="00D14F83"/>
    <w:rsid w:val="00D161A3"/>
    <w:rsid w:val="00D1632A"/>
    <w:rsid w:val="00D16E24"/>
    <w:rsid w:val="00D17C1A"/>
    <w:rsid w:val="00D20B49"/>
    <w:rsid w:val="00D20E84"/>
    <w:rsid w:val="00D20EEB"/>
    <w:rsid w:val="00D21A8A"/>
    <w:rsid w:val="00D221F9"/>
    <w:rsid w:val="00D2298B"/>
    <w:rsid w:val="00D22B23"/>
    <w:rsid w:val="00D22D58"/>
    <w:rsid w:val="00D22DE1"/>
    <w:rsid w:val="00D244B6"/>
    <w:rsid w:val="00D245F6"/>
    <w:rsid w:val="00D250E6"/>
    <w:rsid w:val="00D2560D"/>
    <w:rsid w:val="00D25B60"/>
    <w:rsid w:val="00D266D8"/>
    <w:rsid w:val="00D26B72"/>
    <w:rsid w:val="00D26E99"/>
    <w:rsid w:val="00D27CD5"/>
    <w:rsid w:val="00D30569"/>
    <w:rsid w:val="00D30958"/>
    <w:rsid w:val="00D30972"/>
    <w:rsid w:val="00D3125E"/>
    <w:rsid w:val="00D326F7"/>
    <w:rsid w:val="00D33C3C"/>
    <w:rsid w:val="00D33F44"/>
    <w:rsid w:val="00D34056"/>
    <w:rsid w:val="00D34706"/>
    <w:rsid w:val="00D34A14"/>
    <w:rsid w:val="00D35242"/>
    <w:rsid w:val="00D35625"/>
    <w:rsid w:val="00D3685A"/>
    <w:rsid w:val="00D36CB9"/>
    <w:rsid w:val="00D3729E"/>
    <w:rsid w:val="00D37A81"/>
    <w:rsid w:val="00D406F1"/>
    <w:rsid w:val="00D40814"/>
    <w:rsid w:val="00D409FC"/>
    <w:rsid w:val="00D40F9C"/>
    <w:rsid w:val="00D41168"/>
    <w:rsid w:val="00D41447"/>
    <w:rsid w:val="00D42216"/>
    <w:rsid w:val="00D42865"/>
    <w:rsid w:val="00D42B54"/>
    <w:rsid w:val="00D42C33"/>
    <w:rsid w:val="00D42EE2"/>
    <w:rsid w:val="00D42F15"/>
    <w:rsid w:val="00D4352B"/>
    <w:rsid w:val="00D43BF9"/>
    <w:rsid w:val="00D43C62"/>
    <w:rsid w:val="00D43F19"/>
    <w:rsid w:val="00D441F1"/>
    <w:rsid w:val="00D452CB"/>
    <w:rsid w:val="00D4553F"/>
    <w:rsid w:val="00D456C7"/>
    <w:rsid w:val="00D4589A"/>
    <w:rsid w:val="00D45B38"/>
    <w:rsid w:val="00D45BAA"/>
    <w:rsid w:val="00D45DE7"/>
    <w:rsid w:val="00D460F7"/>
    <w:rsid w:val="00D461B7"/>
    <w:rsid w:val="00D46B8F"/>
    <w:rsid w:val="00D47536"/>
    <w:rsid w:val="00D4783B"/>
    <w:rsid w:val="00D479C1"/>
    <w:rsid w:val="00D50C8B"/>
    <w:rsid w:val="00D50DDE"/>
    <w:rsid w:val="00D5167A"/>
    <w:rsid w:val="00D5174E"/>
    <w:rsid w:val="00D51E4F"/>
    <w:rsid w:val="00D52099"/>
    <w:rsid w:val="00D52318"/>
    <w:rsid w:val="00D52EDA"/>
    <w:rsid w:val="00D53A04"/>
    <w:rsid w:val="00D53B8B"/>
    <w:rsid w:val="00D55095"/>
    <w:rsid w:val="00D5561B"/>
    <w:rsid w:val="00D55A8E"/>
    <w:rsid w:val="00D564B0"/>
    <w:rsid w:val="00D56629"/>
    <w:rsid w:val="00D57009"/>
    <w:rsid w:val="00D571D8"/>
    <w:rsid w:val="00D575A6"/>
    <w:rsid w:val="00D60D06"/>
    <w:rsid w:val="00D614BE"/>
    <w:rsid w:val="00D61B37"/>
    <w:rsid w:val="00D61E9B"/>
    <w:rsid w:val="00D62A09"/>
    <w:rsid w:val="00D63D59"/>
    <w:rsid w:val="00D6409F"/>
    <w:rsid w:val="00D64CF2"/>
    <w:rsid w:val="00D64D06"/>
    <w:rsid w:val="00D64EBF"/>
    <w:rsid w:val="00D655D2"/>
    <w:rsid w:val="00D6647D"/>
    <w:rsid w:val="00D66554"/>
    <w:rsid w:val="00D66692"/>
    <w:rsid w:val="00D66728"/>
    <w:rsid w:val="00D6775E"/>
    <w:rsid w:val="00D67922"/>
    <w:rsid w:val="00D67D8E"/>
    <w:rsid w:val="00D7027A"/>
    <w:rsid w:val="00D70AAD"/>
    <w:rsid w:val="00D70E74"/>
    <w:rsid w:val="00D7157B"/>
    <w:rsid w:val="00D71742"/>
    <w:rsid w:val="00D71EE9"/>
    <w:rsid w:val="00D73286"/>
    <w:rsid w:val="00D73D0D"/>
    <w:rsid w:val="00D742FE"/>
    <w:rsid w:val="00D74389"/>
    <w:rsid w:val="00D745AF"/>
    <w:rsid w:val="00D75268"/>
    <w:rsid w:val="00D75490"/>
    <w:rsid w:val="00D754E2"/>
    <w:rsid w:val="00D75DAB"/>
    <w:rsid w:val="00D7601A"/>
    <w:rsid w:val="00D76283"/>
    <w:rsid w:val="00D7646D"/>
    <w:rsid w:val="00D773BF"/>
    <w:rsid w:val="00D777EF"/>
    <w:rsid w:val="00D77AF2"/>
    <w:rsid w:val="00D77CAF"/>
    <w:rsid w:val="00D80250"/>
    <w:rsid w:val="00D80391"/>
    <w:rsid w:val="00D808C7"/>
    <w:rsid w:val="00D80A81"/>
    <w:rsid w:val="00D80AF5"/>
    <w:rsid w:val="00D80B71"/>
    <w:rsid w:val="00D81405"/>
    <w:rsid w:val="00D84091"/>
    <w:rsid w:val="00D84179"/>
    <w:rsid w:val="00D84B9A"/>
    <w:rsid w:val="00D86415"/>
    <w:rsid w:val="00D86964"/>
    <w:rsid w:val="00D8722C"/>
    <w:rsid w:val="00D879C9"/>
    <w:rsid w:val="00D87FF0"/>
    <w:rsid w:val="00D901A5"/>
    <w:rsid w:val="00D91C9C"/>
    <w:rsid w:val="00D922ED"/>
    <w:rsid w:val="00D9288D"/>
    <w:rsid w:val="00D92908"/>
    <w:rsid w:val="00D92F1B"/>
    <w:rsid w:val="00D92F94"/>
    <w:rsid w:val="00D936C8"/>
    <w:rsid w:val="00D936D0"/>
    <w:rsid w:val="00D93E23"/>
    <w:rsid w:val="00D93F46"/>
    <w:rsid w:val="00D940E2"/>
    <w:rsid w:val="00D94332"/>
    <w:rsid w:val="00D95D11"/>
    <w:rsid w:val="00D95EBC"/>
    <w:rsid w:val="00D95F49"/>
    <w:rsid w:val="00D96148"/>
    <w:rsid w:val="00D9659E"/>
    <w:rsid w:val="00D966DE"/>
    <w:rsid w:val="00D968A3"/>
    <w:rsid w:val="00D972F2"/>
    <w:rsid w:val="00D97E50"/>
    <w:rsid w:val="00D97F17"/>
    <w:rsid w:val="00DA0300"/>
    <w:rsid w:val="00DA0322"/>
    <w:rsid w:val="00DA0EC6"/>
    <w:rsid w:val="00DA31E8"/>
    <w:rsid w:val="00DA35CB"/>
    <w:rsid w:val="00DA46F2"/>
    <w:rsid w:val="00DA5702"/>
    <w:rsid w:val="00DA5B3A"/>
    <w:rsid w:val="00DA5E84"/>
    <w:rsid w:val="00DA6089"/>
    <w:rsid w:val="00DA6326"/>
    <w:rsid w:val="00DA63E4"/>
    <w:rsid w:val="00DA6606"/>
    <w:rsid w:val="00DA6AE0"/>
    <w:rsid w:val="00DA6DA3"/>
    <w:rsid w:val="00DA736C"/>
    <w:rsid w:val="00DA7968"/>
    <w:rsid w:val="00DA7B26"/>
    <w:rsid w:val="00DB0136"/>
    <w:rsid w:val="00DB0B92"/>
    <w:rsid w:val="00DB155D"/>
    <w:rsid w:val="00DB17A2"/>
    <w:rsid w:val="00DB1D3C"/>
    <w:rsid w:val="00DB29D3"/>
    <w:rsid w:val="00DB310E"/>
    <w:rsid w:val="00DB39E2"/>
    <w:rsid w:val="00DB3BD6"/>
    <w:rsid w:val="00DB448C"/>
    <w:rsid w:val="00DB4B30"/>
    <w:rsid w:val="00DB57A5"/>
    <w:rsid w:val="00DB5847"/>
    <w:rsid w:val="00DB5A67"/>
    <w:rsid w:val="00DB6A4E"/>
    <w:rsid w:val="00DB6C0E"/>
    <w:rsid w:val="00DB6C8F"/>
    <w:rsid w:val="00DB6E01"/>
    <w:rsid w:val="00DB6FF4"/>
    <w:rsid w:val="00DB714F"/>
    <w:rsid w:val="00DB79B5"/>
    <w:rsid w:val="00DB7B68"/>
    <w:rsid w:val="00DB7F53"/>
    <w:rsid w:val="00DC006C"/>
    <w:rsid w:val="00DC02A6"/>
    <w:rsid w:val="00DC0B34"/>
    <w:rsid w:val="00DC0F51"/>
    <w:rsid w:val="00DC201A"/>
    <w:rsid w:val="00DC233D"/>
    <w:rsid w:val="00DC2427"/>
    <w:rsid w:val="00DC39C9"/>
    <w:rsid w:val="00DC3C23"/>
    <w:rsid w:val="00DC3D01"/>
    <w:rsid w:val="00DC55C8"/>
    <w:rsid w:val="00DC5D79"/>
    <w:rsid w:val="00DC6124"/>
    <w:rsid w:val="00DC67C4"/>
    <w:rsid w:val="00DC6ED9"/>
    <w:rsid w:val="00DC73BE"/>
    <w:rsid w:val="00DC7DE1"/>
    <w:rsid w:val="00DC7F42"/>
    <w:rsid w:val="00DD0151"/>
    <w:rsid w:val="00DD03D8"/>
    <w:rsid w:val="00DD085C"/>
    <w:rsid w:val="00DD19BD"/>
    <w:rsid w:val="00DD1F7D"/>
    <w:rsid w:val="00DD2E86"/>
    <w:rsid w:val="00DD35C8"/>
    <w:rsid w:val="00DD37E3"/>
    <w:rsid w:val="00DD4891"/>
    <w:rsid w:val="00DD4F82"/>
    <w:rsid w:val="00DD5322"/>
    <w:rsid w:val="00DD69BE"/>
    <w:rsid w:val="00DD6B6D"/>
    <w:rsid w:val="00DD71B0"/>
    <w:rsid w:val="00DD7414"/>
    <w:rsid w:val="00DD7558"/>
    <w:rsid w:val="00DD76CF"/>
    <w:rsid w:val="00DD7B07"/>
    <w:rsid w:val="00DD7FF6"/>
    <w:rsid w:val="00DE079C"/>
    <w:rsid w:val="00DE0F5A"/>
    <w:rsid w:val="00DE1175"/>
    <w:rsid w:val="00DE18B3"/>
    <w:rsid w:val="00DE1BE6"/>
    <w:rsid w:val="00DE2BD3"/>
    <w:rsid w:val="00DE2C89"/>
    <w:rsid w:val="00DE3004"/>
    <w:rsid w:val="00DE3458"/>
    <w:rsid w:val="00DE4ECD"/>
    <w:rsid w:val="00DE4FDE"/>
    <w:rsid w:val="00DE5946"/>
    <w:rsid w:val="00DE5E83"/>
    <w:rsid w:val="00DE6B05"/>
    <w:rsid w:val="00DE6B0D"/>
    <w:rsid w:val="00DE70F1"/>
    <w:rsid w:val="00DE71EB"/>
    <w:rsid w:val="00DE77B0"/>
    <w:rsid w:val="00DF00D1"/>
    <w:rsid w:val="00DF0C98"/>
    <w:rsid w:val="00DF0E7B"/>
    <w:rsid w:val="00DF1194"/>
    <w:rsid w:val="00DF1221"/>
    <w:rsid w:val="00DF1B0E"/>
    <w:rsid w:val="00DF1EBF"/>
    <w:rsid w:val="00DF1F27"/>
    <w:rsid w:val="00DF1F83"/>
    <w:rsid w:val="00DF2385"/>
    <w:rsid w:val="00DF2657"/>
    <w:rsid w:val="00DF2D8B"/>
    <w:rsid w:val="00DF3351"/>
    <w:rsid w:val="00DF3D1D"/>
    <w:rsid w:val="00DF46AB"/>
    <w:rsid w:val="00DF48AA"/>
    <w:rsid w:val="00DF4D22"/>
    <w:rsid w:val="00DF4E4A"/>
    <w:rsid w:val="00DF5152"/>
    <w:rsid w:val="00DF55BB"/>
    <w:rsid w:val="00DF5BE5"/>
    <w:rsid w:val="00DF5FC8"/>
    <w:rsid w:val="00DF5FE2"/>
    <w:rsid w:val="00DF653E"/>
    <w:rsid w:val="00DF681C"/>
    <w:rsid w:val="00DF6B8C"/>
    <w:rsid w:val="00DF70B0"/>
    <w:rsid w:val="00DF7B30"/>
    <w:rsid w:val="00E002D9"/>
    <w:rsid w:val="00E00337"/>
    <w:rsid w:val="00E00C61"/>
    <w:rsid w:val="00E00EC4"/>
    <w:rsid w:val="00E014A5"/>
    <w:rsid w:val="00E01C3B"/>
    <w:rsid w:val="00E027BB"/>
    <w:rsid w:val="00E02DFB"/>
    <w:rsid w:val="00E02F99"/>
    <w:rsid w:val="00E033AC"/>
    <w:rsid w:val="00E034E8"/>
    <w:rsid w:val="00E0368E"/>
    <w:rsid w:val="00E0374F"/>
    <w:rsid w:val="00E0377D"/>
    <w:rsid w:val="00E03A87"/>
    <w:rsid w:val="00E03E89"/>
    <w:rsid w:val="00E04B2A"/>
    <w:rsid w:val="00E050CE"/>
    <w:rsid w:val="00E0547C"/>
    <w:rsid w:val="00E05B6B"/>
    <w:rsid w:val="00E05D3F"/>
    <w:rsid w:val="00E06311"/>
    <w:rsid w:val="00E065CF"/>
    <w:rsid w:val="00E06B46"/>
    <w:rsid w:val="00E06C7F"/>
    <w:rsid w:val="00E06CB6"/>
    <w:rsid w:val="00E06E37"/>
    <w:rsid w:val="00E06E7C"/>
    <w:rsid w:val="00E06FD0"/>
    <w:rsid w:val="00E079CD"/>
    <w:rsid w:val="00E07BCB"/>
    <w:rsid w:val="00E07D52"/>
    <w:rsid w:val="00E101DD"/>
    <w:rsid w:val="00E11096"/>
    <w:rsid w:val="00E11119"/>
    <w:rsid w:val="00E11BA9"/>
    <w:rsid w:val="00E120B1"/>
    <w:rsid w:val="00E1212E"/>
    <w:rsid w:val="00E13408"/>
    <w:rsid w:val="00E13AAE"/>
    <w:rsid w:val="00E13F51"/>
    <w:rsid w:val="00E140D9"/>
    <w:rsid w:val="00E1458E"/>
    <w:rsid w:val="00E145E4"/>
    <w:rsid w:val="00E14886"/>
    <w:rsid w:val="00E14A9A"/>
    <w:rsid w:val="00E14E58"/>
    <w:rsid w:val="00E14E60"/>
    <w:rsid w:val="00E14ED0"/>
    <w:rsid w:val="00E152DF"/>
    <w:rsid w:val="00E16247"/>
    <w:rsid w:val="00E16352"/>
    <w:rsid w:val="00E17ED3"/>
    <w:rsid w:val="00E20825"/>
    <w:rsid w:val="00E21116"/>
    <w:rsid w:val="00E21609"/>
    <w:rsid w:val="00E2228D"/>
    <w:rsid w:val="00E23363"/>
    <w:rsid w:val="00E238E9"/>
    <w:rsid w:val="00E238F2"/>
    <w:rsid w:val="00E23921"/>
    <w:rsid w:val="00E2461F"/>
    <w:rsid w:val="00E24BAF"/>
    <w:rsid w:val="00E24C81"/>
    <w:rsid w:val="00E2533A"/>
    <w:rsid w:val="00E253A7"/>
    <w:rsid w:val="00E25557"/>
    <w:rsid w:val="00E26168"/>
    <w:rsid w:val="00E26C24"/>
    <w:rsid w:val="00E27696"/>
    <w:rsid w:val="00E3038D"/>
    <w:rsid w:val="00E306DD"/>
    <w:rsid w:val="00E30ED5"/>
    <w:rsid w:val="00E3195D"/>
    <w:rsid w:val="00E31A70"/>
    <w:rsid w:val="00E3269E"/>
    <w:rsid w:val="00E3288A"/>
    <w:rsid w:val="00E330AA"/>
    <w:rsid w:val="00E337FC"/>
    <w:rsid w:val="00E33DED"/>
    <w:rsid w:val="00E33E41"/>
    <w:rsid w:val="00E34442"/>
    <w:rsid w:val="00E34710"/>
    <w:rsid w:val="00E34AE5"/>
    <w:rsid w:val="00E350F0"/>
    <w:rsid w:val="00E360E5"/>
    <w:rsid w:val="00E361DE"/>
    <w:rsid w:val="00E361F7"/>
    <w:rsid w:val="00E36496"/>
    <w:rsid w:val="00E379A3"/>
    <w:rsid w:val="00E37C65"/>
    <w:rsid w:val="00E37FD1"/>
    <w:rsid w:val="00E40B29"/>
    <w:rsid w:val="00E40BA7"/>
    <w:rsid w:val="00E41AEA"/>
    <w:rsid w:val="00E42BA1"/>
    <w:rsid w:val="00E43755"/>
    <w:rsid w:val="00E44AE7"/>
    <w:rsid w:val="00E453CD"/>
    <w:rsid w:val="00E4654E"/>
    <w:rsid w:val="00E4715E"/>
    <w:rsid w:val="00E47A03"/>
    <w:rsid w:val="00E47AB8"/>
    <w:rsid w:val="00E50355"/>
    <w:rsid w:val="00E503A1"/>
    <w:rsid w:val="00E504F4"/>
    <w:rsid w:val="00E508C3"/>
    <w:rsid w:val="00E50930"/>
    <w:rsid w:val="00E50949"/>
    <w:rsid w:val="00E51AA9"/>
    <w:rsid w:val="00E51D8F"/>
    <w:rsid w:val="00E5216D"/>
    <w:rsid w:val="00E526BE"/>
    <w:rsid w:val="00E52C3A"/>
    <w:rsid w:val="00E5350B"/>
    <w:rsid w:val="00E53515"/>
    <w:rsid w:val="00E535B6"/>
    <w:rsid w:val="00E54C66"/>
    <w:rsid w:val="00E54D13"/>
    <w:rsid w:val="00E55675"/>
    <w:rsid w:val="00E55A21"/>
    <w:rsid w:val="00E55CCA"/>
    <w:rsid w:val="00E55E5D"/>
    <w:rsid w:val="00E55E7C"/>
    <w:rsid w:val="00E562E5"/>
    <w:rsid w:val="00E57081"/>
    <w:rsid w:val="00E571FA"/>
    <w:rsid w:val="00E57788"/>
    <w:rsid w:val="00E57D05"/>
    <w:rsid w:val="00E60308"/>
    <w:rsid w:val="00E607B3"/>
    <w:rsid w:val="00E60B08"/>
    <w:rsid w:val="00E60B3F"/>
    <w:rsid w:val="00E60F49"/>
    <w:rsid w:val="00E625B2"/>
    <w:rsid w:val="00E6266E"/>
    <w:rsid w:val="00E631BD"/>
    <w:rsid w:val="00E63455"/>
    <w:rsid w:val="00E63B3E"/>
    <w:rsid w:val="00E646EF"/>
    <w:rsid w:val="00E656A8"/>
    <w:rsid w:val="00E65897"/>
    <w:rsid w:val="00E658A8"/>
    <w:rsid w:val="00E65A3E"/>
    <w:rsid w:val="00E65CD4"/>
    <w:rsid w:val="00E65D0C"/>
    <w:rsid w:val="00E65F4E"/>
    <w:rsid w:val="00E663D0"/>
    <w:rsid w:val="00E66EFF"/>
    <w:rsid w:val="00E6728F"/>
    <w:rsid w:val="00E6784A"/>
    <w:rsid w:val="00E67A4F"/>
    <w:rsid w:val="00E704AE"/>
    <w:rsid w:val="00E70713"/>
    <w:rsid w:val="00E70B94"/>
    <w:rsid w:val="00E70F44"/>
    <w:rsid w:val="00E71064"/>
    <w:rsid w:val="00E71336"/>
    <w:rsid w:val="00E71900"/>
    <w:rsid w:val="00E7194E"/>
    <w:rsid w:val="00E71994"/>
    <w:rsid w:val="00E71CF6"/>
    <w:rsid w:val="00E71D7C"/>
    <w:rsid w:val="00E71E7F"/>
    <w:rsid w:val="00E722C9"/>
    <w:rsid w:val="00E72781"/>
    <w:rsid w:val="00E72F49"/>
    <w:rsid w:val="00E73439"/>
    <w:rsid w:val="00E73F1F"/>
    <w:rsid w:val="00E741E9"/>
    <w:rsid w:val="00E7486C"/>
    <w:rsid w:val="00E75E21"/>
    <w:rsid w:val="00E76C8C"/>
    <w:rsid w:val="00E7725F"/>
    <w:rsid w:val="00E77386"/>
    <w:rsid w:val="00E77722"/>
    <w:rsid w:val="00E7772C"/>
    <w:rsid w:val="00E7793D"/>
    <w:rsid w:val="00E77955"/>
    <w:rsid w:val="00E77EF8"/>
    <w:rsid w:val="00E801CD"/>
    <w:rsid w:val="00E80992"/>
    <w:rsid w:val="00E81246"/>
    <w:rsid w:val="00E818A0"/>
    <w:rsid w:val="00E81926"/>
    <w:rsid w:val="00E8216E"/>
    <w:rsid w:val="00E82415"/>
    <w:rsid w:val="00E82594"/>
    <w:rsid w:val="00E82837"/>
    <w:rsid w:val="00E82ADD"/>
    <w:rsid w:val="00E82EFD"/>
    <w:rsid w:val="00E836EE"/>
    <w:rsid w:val="00E83F01"/>
    <w:rsid w:val="00E84F3B"/>
    <w:rsid w:val="00E854D6"/>
    <w:rsid w:val="00E854F3"/>
    <w:rsid w:val="00E85D89"/>
    <w:rsid w:val="00E86D2E"/>
    <w:rsid w:val="00E86D3F"/>
    <w:rsid w:val="00E870AB"/>
    <w:rsid w:val="00E874AB"/>
    <w:rsid w:val="00E876E5"/>
    <w:rsid w:val="00E87ADE"/>
    <w:rsid w:val="00E90360"/>
    <w:rsid w:val="00E90B80"/>
    <w:rsid w:val="00E90E4D"/>
    <w:rsid w:val="00E91971"/>
    <w:rsid w:val="00E91E4A"/>
    <w:rsid w:val="00E920AB"/>
    <w:rsid w:val="00E92154"/>
    <w:rsid w:val="00E92FBD"/>
    <w:rsid w:val="00E9467C"/>
    <w:rsid w:val="00E94731"/>
    <w:rsid w:val="00E95B18"/>
    <w:rsid w:val="00E96602"/>
    <w:rsid w:val="00E96701"/>
    <w:rsid w:val="00E97E3F"/>
    <w:rsid w:val="00EA069B"/>
    <w:rsid w:val="00EA0775"/>
    <w:rsid w:val="00EA09FB"/>
    <w:rsid w:val="00EA154D"/>
    <w:rsid w:val="00EA1930"/>
    <w:rsid w:val="00EA1E13"/>
    <w:rsid w:val="00EA201E"/>
    <w:rsid w:val="00EA2E40"/>
    <w:rsid w:val="00EA32F0"/>
    <w:rsid w:val="00EA37C7"/>
    <w:rsid w:val="00EA3971"/>
    <w:rsid w:val="00EA39A4"/>
    <w:rsid w:val="00EA3B1E"/>
    <w:rsid w:val="00EA435F"/>
    <w:rsid w:val="00EA4869"/>
    <w:rsid w:val="00EA55EC"/>
    <w:rsid w:val="00EA59CB"/>
    <w:rsid w:val="00EA5F0E"/>
    <w:rsid w:val="00EA5F8E"/>
    <w:rsid w:val="00EA632A"/>
    <w:rsid w:val="00EA6416"/>
    <w:rsid w:val="00EA6B95"/>
    <w:rsid w:val="00EA7EDC"/>
    <w:rsid w:val="00EB049D"/>
    <w:rsid w:val="00EB04D9"/>
    <w:rsid w:val="00EB064E"/>
    <w:rsid w:val="00EB0E4F"/>
    <w:rsid w:val="00EB1262"/>
    <w:rsid w:val="00EB30D3"/>
    <w:rsid w:val="00EB32AA"/>
    <w:rsid w:val="00EB4105"/>
    <w:rsid w:val="00EB47A3"/>
    <w:rsid w:val="00EB4B3D"/>
    <w:rsid w:val="00EB53DA"/>
    <w:rsid w:val="00EB5530"/>
    <w:rsid w:val="00EB56CE"/>
    <w:rsid w:val="00EB63E7"/>
    <w:rsid w:val="00EB6605"/>
    <w:rsid w:val="00EB69AC"/>
    <w:rsid w:val="00EB6E21"/>
    <w:rsid w:val="00EB7302"/>
    <w:rsid w:val="00EB7B27"/>
    <w:rsid w:val="00EB7C35"/>
    <w:rsid w:val="00EC00E0"/>
    <w:rsid w:val="00EC0370"/>
    <w:rsid w:val="00EC0A94"/>
    <w:rsid w:val="00EC0B72"/>
    <w:rsid w:val="00EC0FA3"/>
    <w:rsid w:val="00EC12A3"/>
    <w:rsid w:val="00EC18E3"/>
    <w:rsid w:val="00EC1DB1"/>
    <w:rsid w:val="00EC2244"/>
    <w:rsid w:val="00EC22C8"/>
    <w:rsid w:val="00EC2ACB"/>
    <w:rsid w:val="00EC2F79"/>
    <w:rsid w:val="00EC3076"/>
    <w:rsid w:val="00EC30BB"/>
    <w:rsid w:val="00EC3164"/>
    <w:rsid w:val="00EC4462"/>
    <w:rsid w:val="00EC47A3"/>
    <w:rsid w:val="00EC53FF"/>
    <w:rsid w:val="00EC58B6"/>
    <w:rsid w:val="00EC5939"/>
    <w:rsid w:val="00EC5A19"/>
    <w:rsid w:val="00EC5A4A"/>
    <w:rsid w:val="00EC6039"/>
    <w:rsid w:val="00EC60D9"/>
    <w:rsid w:val="00EC62E0"/>
    <w:rsid w:val="00EC6A3F"/>
    <w:rsid w:val="00EC6E2B"/>
    <w:rsid w:val="00EC70B4"/>
    <w:rsid w:val="00ED0339"/>
    <w:rsid w:val="00ED053F"/>
    <w:rsid w:val="00ED08C2"/>
    <w:rsid w:val="00ED0AC6"/>
    <w:rsid w:val="00ED1A2D"/>
    <w:rsid w:val="00ED2157"/>
    <w:rsid w:val="00ED30DD"/>
    <w:rsid w:val="00ED447A"/>
    <w:rsid w:val="00ED4995"/>
    <w:rsid w:val="00ED5863"/>
    <w:rsid w:val="00ED6099"/>
    <w:rsid w:val="00ED67B8"/>
    <w:rsid w:val="00ED6DD4"/>
    <w:rsid w:val="00ED7103"/>
    <w:rsid w:val="00ED7163"/>
    <w:rsid w:val="00ED79AB"/>
    <w:rsid w:val="00ED7A88"/>
    <w:rsid w:val="00ED7ED5"/>
    <w:rsid w:val="00EE0275"/>
    <w:rsid w:val="00EE0534"/>
    <w:rsid w:val="00EE1738"/>
    <w:rsid w:val="00EE1DF2"/>
    <w:rsid w:val="00EE3293"/>
    <w:rsid w:val="00EE4677"/>
    <w:rsid w:val="00EE4728"/>
    <w:rsid w:val="00EE4EDF"/>
    <w:rsid w:val="00EE5140"/>
    <w:rsid w:val="00EE596B"/>
    <w:rsid w:val="00EE603D"/>
    <w:rsid w:val="00EE6141"/>
    <w:rsid w:val="00EE6305"/>
    <w:rsid w:val="00EE63C4"/>
    <w:rsid w:val="00EE6A10"/>
    <w:rsid w:val="00EE6BE1"/>
    <w:rsid w:val="00EE7629"/>
    <w:rsid w:val="00EF0036"/>
    <w:rsid w:val="00EF0E28"/>
    <w:rsid w:val="00EF0EE3"/>
    <w:rsid w:val="00EF12DF"/>
    <w:rsid w:val="00EF186B"/>
    <w:rsid w:val="00EF1B53"/>
    <w:rsid w:val="00EF1BC7"/>
    <w:rsid w:val="00EF2122"/>
    <w:rsid w:val="00EF3ADD"/>
    <w:rsid w:val="00EF432C"/>
    <w:rsid w:val="00EF5695"/>
    <w:rsid w:val="00EF5BB7"/>
    <w:rsid w:val="00EF5E63"/>
    <w:rsid w:val="00EF5E79"/>
    <w:rsid w:val="00EF5F5C"/>
    <w:rsid w:val="00EF68E3"/>
    <w:rsid w:val="00EF6D66"/>
    <w:rsid w:val="00F00FBD"/>
    <w:rsid w:val="00F0156D"/>
    <w:rsid w:val="00F016CD"/>
    <w:rsid w:val="00F023CD"/>
    <w:rsid w:val="00F02FB9"/>
    <w:rsid w:val="00F03454"/>
    <w:rsid w:val="00F034FF"/>
    <w:rsid w:val="00F0352F"/>
    <w:rsid w:val="00F03DB8"/>
    <w:rsid w:val="00F04167"/>
    <w:rsid w:val="00F044FA"/>
    <w:rsid w:val="00F04C04"/>
    <w:rsid w:val="00F05783"/>
    <w:rsid w:val="00F05877"/>
    <w:rsid w:val="00F05B3E"/>
    <w:rsid w:val="00F05EB5"/>
    <w:rsid w:val="00F060A4"/>
    <w:rsid w:val="00F064C6"/>
    <w:rsid w:val="00F066FC"/>
    <w:rsid w:val="00F0757B"/>
    <w:rsid w:val="00F1067B"/>
    <w:rsid w:val="00F109BA"/>
    <w:rsid w:val="00F10A4A"/>
    <w:rsid w:val="00F10C81"/>
    <w:rsid w:val="00F11072"/>
    <w:rsid w:val="00F1275C"/>
    <w:rsid w:val="00F12A02"/>
    <w:rsid w:val="00F12AE5"/>
    <w:rsid w:val="00F12D9C"/>
    <w:rsid w:val="00F130A6"/>
    <w:rsid w:val="00F13387"/>
    <w:rsid w:val="00F13B44"/>
    <w:rsid w:val="00F13D28"/>
    <w:rsid w:val="00F13F00"/>
    <w:rsid w:val="00F15E40"/>
    <w:rsid w:val="00F15F2A"/>
    <w:rsid w:val="00F161EF"/>
    <w:rsid w:val="00F16DD5"/>
    <w:rsid w:val="00F16EA2"/>
    <w:rsid w:val="00F173C4"/>
    <w:rsid w:val="00F17802"/>
    <w:rsid w:val="00F17E8D"/>
    <w:rsid w:val="00F20251"/>
    <w:rsid w:val="00F205A0"/>
    <w:rsid w:val="00F22B3D"/>
    <w:rsid w:val="00F230C3"/>
    <w:rsid w:val="00F2354B"/>
    <w:rsid w:val="00F236CB"/>
    <w:rsid w:val="00F23FA1"/>
    <w:rsid w:val="00F24494"/>
    <w:rsid w:val="00F244EF"/>
    <w:rsid w:val="00F245FC"/>
    <w:rsid w:val="00F24ED2"/>
    <w:rsid w:val="00F2530A"/>
    <w:rsid w:val="00F257A4"/>
    <w:rsid w:val="00F25B55"/>
    <w:rsid w:val="00F26907"/>
    <w:rsid w:val="00F26931"/>
    <w:rsid w:val="00F270B7"/>
    <w:rsid w:val="00F30EDA"/>
    <w:rsid w:val="00F31617"/>
    <w:rsid w:val="00F3185B"/>
    <w:rsid w:val="00F319B7"/>
    <w:rsid w:val="00F31B74"/>
    <w:rsid w:val="00F31BE4"/>
    <w:rsid w:val="00F31D88"/>
    <w:rsid w:val="00F31E01"/>
    <w:rsid w:val="00F31FFC"/>
    <w:rsid w:val="00F3325A"/>
    <w:rsid w:val="00F33557"/>
    <w:rsid w:val="00F335A0"/>
    <w:rsid w:val="00F33648"/>
    <w:rsid w:val="00F33F34"/>
    <w:rsid w:val="00F33FE8"/>
    <w:rsid w:val="00F341B0"/>
    <w:rsid w:val="00F349AD"/>
    <w:rsid w:val="00F34D91"/>
    <w:rsid w:val="00F35B7E"/>
    <w:rsid w:val="00F35F1F"/>
    <w:rsid w:val="00F361F7"/>
    <w:rsid w:val="00F37331"/>
    <w:rsid w:val="00F402ED"/>
    <w:rsid w:val="00F403FB"/>
    <w:rsid w:val="00F4044A"/>
    <w:rsid w:val="00F40BB4"/>
    <w:rsid w:val="00F42512"/>
    <w:rsid w:val="00F429E4"/>
    <w:rsid w:val="00F42BD5"/>
    <w:rsid w:val="00F42F7E"/>
    <w:rsid w:val="00F42FF9"/>
    <w:rsid w:val="00F43291"/>
    <w:rsid w:val="00F439C1"/>
    <w:rsid w:val="00F43D01"/>
    <w:rsid w:val="00F44166"/>
    <w:rsid w:val="00F45B5C"/>
    <w:rsid w:val="00F464CF"/>
    <w:rsid w:val="00F469D6"/>
    <w:rsid w:val="00F472A1"/>
    <w:rsid w:val="00F475C8"/>
    <w:rsid w:val="00F4792A"/>
    <w:rsid w:val="00F4792F"/>
    <w:rsid w:val="00F479D0"/>
    <w:rsid w:val="00F47F25"/>
    <w:rsid w:val="00F47FD5"/>
    <w:rsid w:val="00F50AD2"/>
    <w:rsid w:val="00F51433"/>
    <w:rsid w:val="00F52536"/>
    <w:rsid w:val="00F5279F"/>
    <w:rsid w:val="00F5282D"/>
    <w:rsid w:val="00F52C0F"/>
    <w:rsid w:val="00F53574"/>
    <w:rsid w:val="00F535F5"/>
    <w:rsid w:val="00F53BAE"/>
    <w:rsid w:val="00F53C40"/>
    <w:rsid w:val="00F53D91"/>
    <w:rsid w:val="00F53FBF"/>
    <w:rsid w:val="00F54285"/>
    <w:rsid w:val="00F54C47"/>
    <w:rsid w:val="00F551B9"/>
    <w:rsid w:val="00F55795"/>
    <w:rsid w:val="00F55ABC"/>
    <w:rsid w:val="00F562BD"/>
    <w:rsid w:val="00F5661F"/>
    <w:rsid w:val="00F57451"/>
    <w:rsid w:val="00F575B7"/>
    <w:rsid w:val="00F57CDB"/>
    <w:rsid w:val="00F61B6F"/>
    <w:rsid w:val="00F62F65"/>
    <w:rsid w:val="00F635CA"/>
    <w:rsid w:val="00F63850"/>
    <w:rsid w:val="00F644B2"/>
    <w:rsid w:val="00F66200"/>
    <w:rsid w:val="00F66308"/>
    <w:rsid w:val="00F665A8"/>
    <w:rsid w:val="00F669FA"/>
    <w:rsid w:val="00F6706A"/>
    <w:rsid w:val="00F67300"/>
    <w:rsid w:val="00F6749A"/>
    <w:rsid w:val="00F67A90"/>
    <w:rsid w:val="00F67E03"/>
    <w:rsid w:val="00F7088E"/>
    <w:rsid w:val="00F70C68"/>
    <w:rsid w:val="00F71619"/>
    <w:rsid w:val="00F716E0"/>
    <w:rsid w:val="00F71A1D"/>
    <w:rsid w:val="00F7206C"/>
    <w:rsid w:val="00F722DB"/>
    <w:rsid w:val="00F727EE"/>
    <w:rsid w:val="00F73105"/>
    <w:rsid w:val="00F7312C"/>
    <w:rsid w:val="00F7314A"/>
    <w:rsid w:val="00F73278"/>
    <w:rsid w:val="00F736B6"/>
    <w:rsid w:val="00F73868"/>
    <w:rsid w:val="00F74596"/>
    <w:rsid w:val="00F751AA"/>
    <w:rsid w:val="00F75AD6"/>
    <w:rsid w:val="00F76495"/>
    <w:rsid w:val="00F766DF"/>
    <w:rsid w:val="00F76790"/>
    <w:rsid w:val="00F777CF"/>
    <w:rsid w:val="00F77D18"/>
    <w:rsid w:val="00F800C3"/>
    <w:rsid w:val="00F803AA"/>
    <w:rsid w:val="00F80C26"/>
    <w:rsid w:val="00F8187E"/>
    <w:rsid w:val="00F81BAD"/>
    <w:rsid w:val="00F82487"/>
    <w:rsid w:val="00F827E5"/>
    <w:rsid w:val="00F8333E"/>
    <w:rsid w:val="00F840D8"/>
    <w:rsid w:val="00F8435E"/>
    <w:rsid w:val="00F84C87"/>
    <w:rsid w:val="00F8515E"/>
    <w:rsid w:val="00F85837"/>
    <w:rsid w:val="00F85DF9"/>
    <w:rsid w:val="00F85E22"/>
    <w:rsid w:val="00F8716E"/>
    <w:rsid w:val="00F91324"/>
    <w:rsid w:val="00F9139E"/>
    <w:rsid w:val="00F91508"/>
    <w:rsid w:val="00F92014"/>
    <w:rsid w:val="00F92509"/>
    <w:rsid w:val="00F925EC"/>
    <w:rsid w:val="00F9266F"/>
    <w:rsid w:val="00F934F7"/>
    <w:rsid w:val="00F93B6E"/>
    <w:rsid w:val="00F9502B"/>
    <w:rsid w:val="00F950C5"/>
    <w:rsid w:val="00F95213"/>
    <w:rsid w:val="00F95619"/>
    <w:rsid w:val="00F956E2"/>
    <w:rsid w:val="00F95ABA"/>
    <w:rsid w:val="00F95B6C"/>
    <w:rsid w:val="00F95BCE"/>
    <w:rsid w:val="00F963F6"/>
    <w:rsid w:val="00F96B04"/>
    <w:rsid w:val="00F96B76"/>
    <w:rsid w:val="00FA0A10"/>
    <w:rsid w:val="00FA1BBA"/>
    <w:rsid w:val="00FA287D"/>
    <w:rsid w:val="00FA2A4C"/>
    <w:rsid w:val="00FA2F3E"/>
    <w:rsid w:val="00FA34F4"/>
    <w:rsid w:val="00FA356D"/>
    <w:rsid w:val="00FA3AFC"/>
    <w:rsid w:val="00FA3DE5"/>
    <w:rsid w:val="00FA49A8"/>
    <w:rsid w:val="00FA49B7"/>
    <w:rsid w:val="00FA4CD9"/>
    <w:rsid w:val="00FA5D32"/>
    <w:rsid w:val="00FA6C87"/>
    <w:rsid w:val="00FA79D6"/>
    <w:rsid w:val="00FA7E69"/>
    <w:rsid w:val="00FB0602"/>
    <w:rsid w:val="00FB07C3"/>
    <w:rsid w:val="00FB09BB"/>
    <w:rsid w:val="00FB0A15"/>
    <w:rsid w:val="00FB0A25"/>
    <w:rsid w:val="00FB0A87"/>
    <w:rsid w:val="00FB0DDE"/>
    <w:rsid w:val="00FB1520"/>
    <w:rsid w:val="00FB2118"/>
    <w:rsid w:val="00FB2252"/>
    <w:rsid w:val="00FB2B4F"/>
    <w:rsid w:val="00FB2F7C"/>
    <w:rsid w:val="00FB322F"/>
    <w:rsid w:val="00FB337F"/>
    <w:rsid w:val="00FB36DE"/>
    <w:rsid w:val="00FB37BE"/>
    <w:rsid w:val="00FB3ACD"/>
    <w:rsid w:val="00FB3E60"/>
    <w:rsid w:val="00FB4A82"/>
    <w:rsid w:val="00FB4C84"/>
    <w:rsid w:val="00FB4CA6"/>
    <w:rsid w:val="00FB5254"/>
    <w:rsid w:val="00FB5DA4"/>
    <w:rsid w:val="00FB63C8"/>
    <w:rsid w:val="00FB6633"/>
    <w:rsid w:val="00FB7253"/>
    <w:rsid w:val="00FB7AC8"/>
    <w:rsid w:val="00FC0F65"/>
    <w:rsid w:val="00FC1AF9"/>
    <w:rsid w:val="00FC1C11"/>
    <w:rsid w:val="00FC1EB7"/>
    <w:rsid w:val="00FC33D4"/>
    <w:rsid w:val="00FC37DE"/>
    <w:rsid w:val="00FC3B44"/>
    <w:rsid w:val="00FC3F4C"/>
    <w:rsid w:val="00FC46FE"/>
    <w:rsid w:val="00FC4A02"/>
    <w:rsid w:val="00FC5565"/>
    <w:rsid w:val="00FC570B"/>
    <w:rsid w:val="00FC5790"/>
    <w:rsid w:val="00FC5E4B"/>
    <w:rsid w:val="00FC6C0B"/>
    <w:rsid w:val="00FC6F81"/>
    <w:rsid w:val="00FC79DA"/>
    <w:rsid w:val="00FC7B73"/>
    <w:rsid w:val="00FC7D9B"/>
    <w:rsid w:val="00FD0604"/>
    <w:rsid w:val="00FD164B"/>
    <w:rsid w:val="00FD18AB"/>
    <w:rsid w:val="00FD1DB9"/>
    <w:rsid w:val="00FD260B"/>
    <w:rsid w:val="00FD27F8"/>
    <w:rsid w:val="00FD2C56"/>
    <w:rsid w:val="00FD325F"/>
    <w:rsid w:val="00FD32BD"/>
    <w:rsid w:val="00FD3E3D"/>
    <w:rsid w:val="00FD4480"/>
    <w:rsid w:val="00FD4CCE"/>
    <w:rsid w:val="00FD4E11"/>
    <w:rsid w:val="00FD5C93"/>
    <w:rsid w:val="00FD5FF1"/>
    <w:rsid w:val="00FD67E5"/>
    <w:rsid w:val="00FD70C8"/>
    <w:rsid w:val="00FD7627"/>
    <w:rsid w:val="00FD7A18"/>
    <w:rsid w:val="00FD7E64"/>
    <w:rsid w:val="00FE0CE7"/>
    <w:rsid w:val="00FE1695"/>
    <w:rsid w:val="00FE19DC"/>
    <w:rsid w:val="00FE1CE9"/>
    <w:rsid w:val="00FE1DDF"/>
    <w:rsid w:val="00FE210C"/>
    <w:rsid w:val="00FE2239"/>
    <w:rsid w:val="00FE2F56"/>
    <w:rsid w:val="00FE3406"/>
    <w:rsid w:val="00FE388E"/>
    <w:rsid w:val="00FE3CA6"/>
    <w:rsid w:val="00FE4252"/>
    <w:rsid w:val="00FE491C"/>
    <w:rsid w:val="00FE50E6"/>
    <w:rsid w:val="00FE5EF1"/>
    <w:rsid w:val="00FE6EE9"/>
    <w:rsid w:val="00FE7B19"/>
    <w:rsid w:val="00FE7D2D"/>
    <w:rsid w:val="00FF0116"/>
    <w:rsid w:val="00FF0A97"/>
    <w:rsid w:val="00FF0AF1"/>
    <w:rsid w:val="00FF0FC1"/>
    <w:rsid w:val="00FF24B8"/>
    <w:rsid w:val="00FF24D4"/>
    <w:rsid w:val="00FF2D13"/>
    <w:rsid w:val="00FF2ED4"/>
    <w:rsid w:val="00FF3517"/>
    <w:rsid w:val="00FF3AB6"/>
    <w:rsid w:val="00FF3F48"/>
    <w:rsid w:val="00FF4377"/>
    <w:rsid w:val="00FF4DA4"/>
    <w:rsid w:val="00FF5521"/>
    <w:rsid w:val="00FF57A7"/>
    <w:rsid w:val="00FF6EE8"/>
    <w:rsid w:val="00FF72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E6B63"/>
  <w15:docId w15:val="{B405539E-C19F-41C1-A3A5-7A8371B9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F9E"/>
    <w:rPr>
      <w:sz w:val="24"/>
      <w:szCs w:val="24"/>
      <w:lang w:val="nb-NO" w:eastAsia="en-US"/>
    </w:rPr>
  </w:style>
  <w:style w:type="paragraph" w:styleId="Heading1">
    <w:name w:val="heading 1"/>
    <w:basedOn w:val="Normal"/>
    <w:next w:val="Normal"/>
    <w:link w:val="Heading1Char"/>
    <w:qFormat/>
    <w:pPr>
      <w:keepNext/>
      <w:outlineLvl w:val="0"/>
    </w:pPr>
    <w:rPr>
      <w:color w:val="0000FF"/>
      <w:u w:val="single"/>
    </w:rPr>
  </w:style>
  <w:style w:type="paragraph" w:styleId="Heading2">
    <w:name w:val="heading 2"/>
    <w:basedOn w:val="Normal"/>
    <w:next w:val="Normal"/>
    <w:link w:val="Heading2Char"/>
    <w:qFormat/>
    <w:pPr>
      <w:keepNext/>
      <w:ind w:left="54"/>
      <w:outlineLvl w:val="1"/>
    </w:pPr>
    <w:rPr>
      <w:sz w:val="22"/>
      <w:u w:val="single"/>
    </w:rPr>
  </w:style>
  <w:style w:type="paragraph" w:styleId="Heading3">
    <w:name w:val="heading 3"/>
    <w:basedOn w:val="Normal"/>
    <w:next w:val="Normal"/>
    <w:link w:val="Heading3Char"/>
    <w:qFormat/>
    <w:pPr>
      <w:keepNext/>
      <w:outlineLvl w:val="2"/>
    </w:pPr>
    <w:rPr>
      <w:b/>
      <w:sz w:val="22"/>
      <w:szCs w:val="20"/>
      <w:lang w:val="da-DK"/>
    </w:rPr>
  </w:style>
  <w:style w:type="paragraph" w:styleId="Heading4">
    <w:name w:val="heading 4"/>
    <w:basedOn w:val="Normal"/>
    <w:next w:val="Normal"/>
    <w:link w:val="Heading4Char"/>
    <w:qFormat/>
    <w:pPr>
      <w:keepNext/>
      <w:ind w:left="54"/>
      <w:outlineLvl w:val="3"/>
    </w:pPr>
    <w:rPr>
      <w:b/>
      <w:bCs/>
      <w:sz w:val="22"/>
      <w:u w:val="single"/>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keepNext/>
      <w:outlineLvl w:val="5"/>
    </w:pPr>
    <w:rPr>
      <w:i/>
      <w:iCs/>
      <w:sz w:val="22"/>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sz w:val="22"/>
      <w:szCs w:val="20"/>
    </w:rPr>
  </w:style>
  <w:style w:type="paragraph" w:styleId="Heading8">
    <w:name w:val="heading 8"/>
    <w:basedOn w:val="Normal"/>
    <w:next w:val="Normal"/>
    <w:link w:val="Heading8Char"/>
    <w:qFormat/>
    <w:pPr>
      <w:keepNext/>
      <w:outlineLvl w:val="7"/>
    </w:pPr>
    <w:rPr>
      <w:sz w:val="22"/>
      <w:szCs w:val="20"/>
      <w:u w:val="single"/>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54"/>
    </w:pPr>
  </w:style>
  <w:style w:type="paragraph" w:styleId="EndnoteText">
    <w:name w:val="endnote text"/>
    <w:basedOn w:val="Normal"/>
    <w:link w:val="EndnoteTextChar"/>
    <w:pPr>
      <w:widowControl w:val="0"/>
      <w:tabs>
        <w:tab w:val="left" w:pos="567"/>
      </w:tabs>
    </w:pPr>
    <w:rPr>
      <w:sz w:val="22"/>
      <w:szCs w:val="20"/>
      <w:lang w:val="da-DK"/>
    </w:rPr>
  </w:style>
  <w:style w:type="paragraph" w:customStyle="1" w:styleId="Brdtekst1">
    <w:name w:val="Brødtekst1"/>
    <w:pPr>
      <w:tabs>
        <w:tab w:val="left" w:pos="1152"/>
        <w:tab w:val="left" w:pos="1872"/>
      </w:tabs>
      <w:overflowPunct w:val="0"/>
      <w:autoSpaceDE w:val="0"/>
      <w:autoSpaceDN w:val="0"/>
      <w:adjustRightInd w:val="0"/>
      <w:spacing w:after="240" w:line="288" w:lineRule="auto"/>
      <w:ind w:left="1151"/>
      <w:jc w:val="both"/>
      <w:textAlignment w:val="baseline"/>
    </w:pPr>
    <w:rPr>
      <w:sz w:val="24"/>
      <w:lang w:val="en-US" w:eastAsia="en-US"/>
    </w:rPr>
  </w:style>
  <w:style w:type="paragraph" w:customStyle="1" w:styleId="In-texttable">
    <w:name w:val="In-text table"/>
    <w:basedOn w:val="Normal"/>
    <w:pPr>
      <w:keepNext/>
      <w:overflowPunct w:val="0"/>
      <w:autoSpaceDE w:val="0"/>
      <w:autoSpaceDN w:val="0"/>
      <w:adjustRightInd w:val="0"/>
      <w:spacing w:line="288" w:lineRule="auto"/>
      <w:textAlignment w:val="baseline"/>
    </w:pPr>
    <w:rPr>
      <w:rFonts w:ascii="Arial" w:hAnsi="Arial"/>
      <w:sz w:val="16"/>
      <w:szCs w:val="20"/>
      <w:lang w:val="en-US"/>
    </w:rPr>
  </w:style>
  <w:style w:type="paragraph" w:customStyle="1" w:styleId="In-textfootnote">
    <w:name w:val="In-text footnote"/>
    <w:basedOn w:val="In-texttable"/>
    <w:pPr>
      <w:tabs>
        <w:tab w:val="left" w:pos="142"/>
      </w:tabs>
      <w:spacing w:before="40"/>
      <w:ind w:left="142" w:hanging="142"/>
    </w:pPr>
  </w:style>
  <w:style w:type="paragraph" w:styleId="Title">
    <w:name w:val="Title"/>
    <w:basedOn w:val="Normal"/>
    <w:link w:val="TitleChar"/>
    <w:qFormat/>
    <w:pPr>
      <w:jc w:val="center"/>
    </w:pPr>
    <w:rPr>
      <w:b/>
      <w:szCs w:val="20"/>
      <w:u w:val="single"/>
      <w:lang w:val="fr-FR" w:eastAsia="sv-SE"/>
    </w:rPr>
  </w:style>
  <w:style w:type="paragraph" w:styleId="BodyTextIndent2">
    <w:name w:val="Body Text Indent 2"/>
    <w:basedOn w:val="Normal"/>
    <w:link w:val="BodyTextIndent2Char"/>
    <w:pPr>
      <w:suppressAutoHyphens/>
      <w:ind w:left="426" w:hanging="426"/>
    </w:pPr>
    <w:rPr>
      <w:sz w:val="22"/>
      <w:szCs w:val="20"/>
    </w:rPr>
  </w:style>
  <w:style w:type="paragraph" w:styleId="BodyText3">
    <w:name w:val="Body Text 3"/>
    <w:basedOn w:val="Normal"/>
    <w:link w:val="BodyText3Char"/>
    <w:pPr>
      <w:tabs>
        <w:tab w:val="left" w:pos="-720"/>
      </w:tabs>
      <w:suppressAutoHyphens/>
    </w:pPr>
    <w:rPr>
      <w:b/>
      <w:sz w:val="22"/>
      <w:szCs w:val="20"/>
      <w:lang w:val="da-DK"/>
    </w:rPr>
  </w:style>
  <w:style w:type="paragraph" w:styleId="BodyTextIndent3">
    <w:name w:val="Body Text Indent 3"/>
    <w:basedOn w:val="Normal"/>
    <w:link w:val="BodyTextIndent3Char"/>
    <w:pPr>
      <w:suppressAutoHyphens/>
      <w:ind w:left="567" w:hanging="567"/>
    </w:pPr>
    <w:rPr>
      <w:sz w:val="22"/>
      <w:szCs w:val="20"/>
    </w:rPr>
  </w:style>
  <w:style w:type="paragraph" w:styleId="BodyText">
    <w:name w:val="Body Text"/>
    <w:basedOn w:val="Normal"/>
    <w:link w:val="BodyTextChar"/>
    <w:pPr>
      <w:tabs>
        <w:tab w:val="left" w:pos="-993"/>
        <w:tab w:val="left" w:pos="-720"/>
      </w:tabs>
      <w:suppressAutoHyphens/>
      <w:jc w:val="both"/>
    </w:pPr>
    <w:rPr>
      <w:b/>
      <w:noProof/>
      <w:sz w:val="22"/>
      <w:szCs w:val="20"/>
    </w:rPr>
  </w:style>
  <w:style w:type="paragraph" w:styleId="Header">
    <w:name w:val="header"/>
    <w:basedOn w:val="Normal"/>
    <w:link w:val="HeaderChar"/>
    <w:pPr>
      <w:tabs>
        <w:tab w:val="center" w:pos="4153"/>
        <w:tab w:val="right" w:pos="8306"/>
      </w:tabs>
    </w:pPr>
    <w:rPr>
      <w:sz w:val="22"/>
      <w:szCs w:val="20"/>
    </w:rPr>
  </w:style>
  <w:style w:type="character" w:styleId="PageNumber">
    <w:name w:val="page number"/>
    <w:basedOn w:val="DefaultParagraphFont"/>
  </w:style>
  <w:style w:type="paragraph" w:styleId="Footer">
    <w:name w:val="footer"/>
    <w:basedOn w:val="Normal"/>
    <w:link w:val="FooterChar"/>
    <w:pPr>
      <w:widowControl w:val="0"/>
      <w:tabs>
        <w:tab w:val="center" w:pos="4536"/>
        <w:tab w:val="center" w:pos="8930"/>
      </w:tabs>
    </w:pPr>
    <w:rPr>
      <w:rFonts w:ascii="Helvetica" w:hAnsi="Helvetica"/>
      <w:sz w:val="16"/>
      <w:szCs w:val="20"/>
      <w:lang w:val="da-DK"/>
    </w:rPr>
  </w:style>
  <w:style w:type="paragraph" w:customStyle="1" w:styleId="Bobletekst1">
    <w:name w:val="Bobleteks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rPr>
      <w:sz w:val="20"/>
      <w:szCs w:val="20"/>
    </w:rPr>
  </w:style>
  <w:style w:type="paragraph" w:customStyle="1" w:styleId="Kommentaremne1">
    <w:name w:val="Kommentaremne1"/>
    <w:basedOn w:val="CommentText"/>
    <w:next w:val="CommentText"/>
    <w:semiHidden/>
    <w:rPr>
      <w:b/>
      <w:bCs/>
    </w:rPr>
  </w:style>
  <w:style w:type="paragraph" w:customStyle="1" w:styleId="EMEAFigureTitle">
    <w:name w:val="EMEA Figure Title"/>
    <w:basedOn w:val="EMEANormal"/>
    <w:next w:val="EMEANormal"/>
  </w:style>
  <w:style w:type="paragraph" w:customStyle="1" w:styleId="EMEANormal">
    <w:name w:val="EMEA Normal"/>
    <w:link w:val="EMEANormalChar"/>
    <w:pPr>
      <w:tabs>
        <w:tab w:val="left" w:pos="562"/>
      </w:tabs>
      <w:suppressAutoHyphens/>
    </w:pPr>
    <w:rPr>
      <w:sz w:val="22"/>
      <w:lang w:val="en-US" w:eastAsia="en-US"/>
    </w:rPr>
  </w:style>
  <w:style w:type="paragraph" w:styleId="BodyText2">
    <w:name w:val="Body Text 2"/>
    <w:basedOn w:val="Normal"/>
    <w:link w:val="BodyText2Char"/>
    <w:pPr>
      <w:autoSpaceDE w:val="0"/>
      <w:autoSpaceDN w:val="0"/>
      <w:adjustRightInd w:val="0"/>
    </w:pPr>
    <w:rPr>
      <w:color w:val="000000"/>
      <w:sz w:val="22"/>
    </w:rPr>
  </w:style>
  <w:style w:type="paragraph" w:customStyle="1" w:styleId="EMEAHeadingUnderline">
    <w:name w:val="EMEA Heading Underline"/>
    <w:next w:val="EMEANormal"/>
    <w:pPr>
      <w:tabs>
        <w:tab w:val="left" w:pos="562"/>
      </w:tabs>
      <w:suppressAutoHyphens/>
      <w:spacing w:beforeLines="100" w:before="100" w:afterLines="100" w:after="100"/>
    </w:pPr>
    <w:rPr>
      <w:sz w:val="22"/>
      <w:u w:val="single"/>
      <w:lang w:val="en-US" w:eastAsia="en-US"/>
    </w:rPr>
  </w:style>
  <w:style w:type="paragraph" w:customStyle="1" w:styleId="EMEAHeadingLeaflet">
    <w:name w:val="EMEA Heading Leaflet"/>
    <w:next w:val="EMEANormal"/>
    <w:pPr>
      <w:tabs>
        <w:tab w:val="left" w:pos="562"/>
      </w:tabs>
      <w:suppressAutoHyphens/>
      <w:spacing w:beforeLines="100" w:before="100" w:afterLines="100" w:after="100"/>
    </w:pPr>
    <w:rPr>
      <w:rFonts w:ascii="Times New Roman Bold" w:hAnsi="Times New Roman Bold"/>
      <w:b/>
      <w:sz w:val="22"/>
      <w:lang w:val="en-US" w:eastAsia="en-US"/>
    </w:rPr>
  </w:style>
  <w:style w:type="paragraph" w:customStyle="1" w:styleId="EMEABullet2">
    <w:name w:val="EMEA Bullet 2"/>
    <w:basedOn w:val="Normal"/>
    <w:next w:val="EMEANormal"/>
    <w:pPr>
      <w:numPr>
        <w:numId w:val="10"/>
      </w:numPr>
      <w:tabs>
        <w:tab w:val="left" w:pos="567"/>
      </w:tabs>
      <w:suppressAutoHyphens/>
      <w:ind w:left="567" w:hanging="567"/>
    </w:pPr>
    <w:rPr>
      <w:sz w:val="22"/>
      <w:szCs w:val="20"/>
      <w:lang w:val="en-US"/>
    </w:rPr>
  </w:style>
  <w:style w:type="character" w:styleId="Hyperlink">
    <w:name w:val="Hyperlink"/>
    <w:rPr>
      <w:color w:val="0000FF"/>
      <w:u w:val="single"/>
    </w:rPr>
  </w:style>
  <w:style w:type="paragraph" w:customStyle="1" w:styleId="TableText">
    <w:name w:val="Table Text"/>
    <w:pPr>
      <w:keepNext/>
      <w:keepLines/>
      <w:tabs>
        <w:tab w:val="left" w:pos="360"/>
      </w:tabs>
      <w:suppressAutoHyphens/>
      <w:spacing w:before="40" w:after="40" w:line="240" w:lineRule="exact"/>
    </w:pPr>
    <w:rPr>
      <w:lang w:val="en-US" w:eastAsia="en-US"/>
    </w:rPr>
  </w:style>
  <w:style w:type="paragraph" w:customStyle="1" w:styleId="DefaultText">
    <w:name w:val="Default Text"/>
    <w:basedOn w:val="Normal"/>
    <w:pPr>
      <w:overflowPunct w:val="0"/>
      <w:autoSpaceDE w:val="0"/>
      <w:autoSpaceDN w:val="0"/>
      <w:adjustRightInd w:val="0"/>
      <w:textAlignment w:val="baseline"/>
    </w:pPr>
    <w:rPr>
      <w:rFonts w:ascii="Arial" w:hAnsi="Arial"/>
      <w:bCs/>
      <w:iCs/>
      <w:sz w:val="22"/>
      <w:szCs w:val="20"/>
      <w:lang w:val="en-US"/>
    </w:rPr>
  </w:style>
  <w:style w:type="character" w:styleId="FollowedHyperlink">
    <w:name w:val="FollowedHyperlink"/>
    <w:rPr>
      <w:color w:val="800080"/>
      <w:u w:val="single"/>
    </w:rPr>
  </w:style>
  <w:style w:type="paragraph" w:styleId="BalloonText">
    <w:name w:val="Balloon Text"/>
    <w:basedOn w:val="Normal"/>
    <w:link w:val="BalloonTextChar"/>
    <w:semiHidden/>
    <w:rsid w:val="007A2FB2"/>
    <w:rPr>
      <w:rFonts w:ascii="Tahoma" w:hAnsi="Tahoma" w:cs="Tahoma"/>
      <w:sz w:val="16"/>
      <w:szCs w:val="16"/>
    </w:rPr>
  </w:style>
  <w:style w:type="paragraph" w:styleId="CommentSubject">
    <w:name w:val="annotation subject"/>
    <w:basedOn w:val="CommentText"/>
    <w:next w:val="CommentText"/>
    <w:link w:val="CommentSubjectChar"/>
    <w:semiHidden/>
    <w:rsid w:val="00547015"/>
    <w:rPr>
      <w:b/>
      <w:bCs/>
    </w:rPr>
  </w:style>
  <w:style w:type="paragraph" w:customStyle="1" w:styleId="Revisjon1">
    <w:name w:val="Revisjon1"/>
    <w:hidden/>
    <w:uiPriority w:val="99"/>
    <w:semiHidden/>
    <w:rsid w:val="006B1CD6"/>
    <w:rPr>
      <w:sz w:val="24"/>
      <w:szCs w:val="24"/>
      <w:lang w:val="nb-NO" w:eastAsia="en-US"/>
    </w:rPr>
  </w:style>
  <w:style w:type="paragraph" w:customStyle="1" w:styleId="BMCENTRED">
    <w:name w:val="BM CENTRED"/>
    <w:basedOn w:val="Normal"/>
    <w:rsid w:val="00471BA8"/>
    <w:pPr>
      <w:suppressAutoHyphens/>
      <w:jc w:val="center"/>
    </w:pPr>
    <w:rPr>
      <w:b/>
      <w:sz w:val="22"/>
    </w:rPr>
  </w:style>
  <w:style w:type="paragraph" w:customStyle="1" w:styleId="BMLeftAligned">
    <w:name w:val="BM Left Aligned"/>
    <w:basedOn w:val="Normal"/>
    <w:rsid w:val="00471BA8"/>
    <w:pPr>
      <w:suppressAutoHyphens/>
      <w:ind w:left="567" w:hanging="567"/>
    </w:pPr>
    <w:rPr>
      <w:b/>
      <w:sz w:val="22"/>
    </w:rPr>
  </w:style>
  <w:style w:type="paragraph" w:styleId="BlockText">
    <w:name w:val="Block Text"/>
    <w:basedOn w:val="Normal"/>
    <w:rsid w:val="008159DF"/>
    <w:pPr>
      <w:spacing w:after="120"/>
      <w:ind w:left="1440" w:right="1440"/>
    </w:pPr>
  </w:style>
  <w:style w:type="paragraph" w:styleId="BodyTextFirstIndent">
    <w:name w:val="Body Text First Indent"/>
    <w:basedOn w:val="BodyText"/>
    <w:link w:val="BodyTextFirstIndentChar"/>
    <w:rsid w:val="008159DF"/>
    <w:pPr>
      <w:tabs>
        <w:tab w:val="clear" w:pos="-993"/>
        <w:tab w:val="clear" w:pos="-720"/>
      </w:tabs>
      <w:suppressAutoHyphens w:val="0"/>
      <w:spacing w:after="120"/>
      <w:ind w:firstLine="210"/>
      <w:jc w:val="left"/>
    </w:pPr>
    <w:rPr>
      <w:b w:val="0"/>
      <w:noProof w:val="0"/>
      <w:sz w:val="24"/>
      <w:szCs w:val="24"/>
    </w:rPr>
  </w:style>
  <w:style w:type="paragraph" w:styleId="BodyTextFirstIndent2">
    <w:name w:val="Body Text First Indent 2"/>
    <w:basedOn w:val="BodyTextIndent"/>
    <w:link w:val="BodyTextFirstIndent2Char"/>
    <w:rsid w:val="008159DF"/>
    <w:pPr>
      <w:spacing w:after="120"/>
      <w:ind w:left="283" w:firstLine="210"/>
    </w:pPr>
  </w:style>
  <w:style w:type="paragraph" w:styleId="Caption">
    <w:name w:val="caption"/>
    <w:basedOn w:val="Normal"/>
    <w:next w:val="Normal"/>
    <w:qFormat/>
    <w:rsid w:val="008159DF"/>
    <w:rPr>
      <w:b/>
      <w:bCs/>
      <w:sz w:val="20"/>
      <w:szCs w:val="20"/>
    </w:rPr>
  </w:style>
  <w:style w:type="paragraph" w:styleId="Closing">
    <w:name w:val="Closing"/>
    <w:basedOn w:val="Normal"/>
    <w:link w:val="ClosingChar"/>
    <w:rsid w:val="008159DF"/>
    <w:pPr>
      <w:ind w:left="4252"/>
    </w:pPr>
  </w:style>
  <w:style w:type="paragraph" w:styleId="Date">
    <w:name w:val="Date"/>
    <w:basedOn w:val="Normal"/>
    <w:next w:val="Normal"/>
    <w:link w:val="DateChar"/>
    <w:rsid w:val="008159DF"/>
  </w:style>
  <w:style w:type="paragraph" w:styleId="DocumentMap">
    <w:name w:val="Document Map"/>
    <w:basedOn w:val="Normal"/>
    <w:link w:val="DocumentMapChar"/>
    <w:semiHidden/>
    <w:rsid w:val="008159DF"/>
    <w:pPr>
      <w:shd w:val="clear" w:color="auto" w:fill="000080"/>
    </w:pPr>
    <w:rPr>
      <w:rFonts w:ascii="Tahoma" w:hAnsi="Tahoma" w:cs="Tahoma"/>
      <w:sz w:val="20"/>
      <w:szCs w:val="20"/>
    </w:rPr>
  </w:style>
  <w:style w:type="paragraph" w:styleId="E-mailSignature">
    <w:name w:val="E-mail Signature"/>
    <w:basedOn w:val="Normal"/>
    <w:link w:val="E-mailSignatureChar"/>
    <w:rsid w:val="008159DF"/>
  </w:style>
  <w:style w:type="paragraph" w:styleId="EnvelopeAddress">
    <w:name w:val="envelope address"/>
    <w:basedOn w:val="Normal"/>
    <w:rsid w:val="008159D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159DF"/>
    <w:rPr>
      <w:rFonts w:ascii="Arial" w:hAnsi="Arial" w:cs="Arial"/>
      <w:sz w:val="20"/>
      <w:szCs w:val="20"/>
    </w:rPr>
  </w:style>
  <w:style w:type="paragraph" w:styleId="FootnoteText">
    <w:name w:val="footnote text"/>
    <w:basedOn w:val="Normal"/>
    <w:link w:val="FootnoteTextChar"/>
    <w:semiHidden/>
    <w:rsid w:val="008159DF"/>
    <w:rPr>
      <w:sz w:val="20"/>
      <w:szCs w:val="20"/>
    </w:rPr>
  </w:style>
  <w:style w:type="paragraph" w:styleId="HTMLAddress">
    <w:name w:val="HTML Address"/>
    <w:basedOn w:val="Normal"/>
    <w:link w:val="HTMLAddressChar"/>
    <w:rsid w:val="008159DF"/>
    <w:rPr>
      <w:i/>
      <w:iCs/>
    </w:rPr>
  </w:style>
  <w:style w:type="paragraph" w:styleId="HTMLPreformatted">
    <w:name w:val="HTML Preformatted"/>
    <w:basedOn w:val="Normal"/>
    <w:link w:val="HTMLPreformattedChar"/>
    <w:rsid w:val="008159DF"/>
    <w:rPr>
      <w:rFonts w:ascii="Courier New" w:hAnsi="Courier New" w:cs="Courier New"/>
      <w:sz w:val="20"/>
      <w:szCs w:val="20"/>
    </w:rPr>
  </w:style>
  <w:style w:type="paragraph" w:styleId="Index1">
    <w:name w:val="index 1"/>
    <w:basedOn w:val="Normal"/>
    <w:next w:val="Normal"/>
    <w:autoRedefine/>
    <w:semiHidden/>
    <w:rsid w:val="008159DF"/>
    <w:pPr>
      <w:ind w:left="240" w:hanging="240"/>
    </w:pPr>
  </w:style>
  <w:style w:type="paragraph" w:styleId="Index2">
    <w:name w:val="index 2"/>
    <w:basedOn w:val="Normal"/>
    <w:next w:val="Normal"/>
    <w:autoRedefine/>
    <w:semiHidden/>
    <w:rsid w:val="008159DF"/>
    <w:pPr>
      <w:ind w:left="480" w:hanging="240"/>
    </w:pPr>
  </w:style>
  <w:style w:type="paragraph" w:styleId="Index3">
    <w:name w:val="index 3"/>
    <w:basedOn w:val="Normal"/>
    <w:next w:val="Normal"/>
    <w:autoRedefine/>
    <w:semiHidden/>
    <w:rsid w:val="008159DF"/>
    <w:pPr>
      <w:ind w:left="720" w:hanging="240"/>
    </w:pPr>
  </w:style>
  <w:style w:type="paragraph" w:styleId="Index4">
    <w:name w:val="index 4"/>
    <w:basedOn w:val="Normal"/>
    <w:next w:val="Normal"/>
    <w:autoRedefine/>
    <w:semiHidden/>
    <w:rsid w:val="008159DF"/>
    <w:pPr>
      <w:ind w:left="960" w:hanging="240"/>
    </w:pPr>
  </w:style>
  <w:style w:type="paragraph" w:styleId="Index5">
    <w:name w:val="index 5"/>
    <w:basedOn w:val="Normal"/>
    <w:next w:val="Normal"/>
    <w:autoRedefine/>
    <w:semiHidden/>
    <w:rsid w:val="008159DF"/>
    <w:pPr>
      <w:ind w:left="1200" w:hanging="240"/>
    </w:pPr>
  </w:style>
  <w:style w:type="paragraph" w:styleId="Index6">
    <w:name w:val="index 6"/>
    <w:basedOn w:val="Normal"/>
    <w:next w:val="Normal"/>
    <w:autoRedefine/>
    <w:semiHidden/>
    <w:rsid w:val="008159DF"/>
    <w:pPr>
      <w:ind w:left="1440" w:hanging="240"/>
    </w:pPr>
  </w:style>
  <w:style w:type="paragraph" w:styleId="Index7">
    <w:name w:val="index 7"/>
    <w:basedOn w:val="Normal"/>
    <w:next w:val="Normal"/>
    <w:autoRedefine/>
    <w:semiHidden/>
    <w:rsid w:val="008159DF"/>
    <w:pPr>
      <w:ind w:left="1680" w:hanging="240"/>
    </w:pPr>
  </w:style>
  <w:style w:type="paragraph" w:styleId="Index8">
    <w:name w:val="index 8"/>
    <w:basedOn w:val="Normal"/>
    <w:next w:val="Normal"/>
    <w:autoRedefine/>
    <w:semiHidden/>
    <w:rsid w:val="008159DF"/>
    <w:pPr>
      <w:ind w:left="1920" w:hanging="240"/>
    </w:pPr>
  </w:style>
  <w:style w:type="paragraph" w:styleId="Index9">
    <w:name w:val="index 9"/>
    <w:basedOn w:val="Normal"/>
    <w:next w:val="Normal"/>
    <w:autoRedefine/>
    <w:semiHidden/>
    <w:rsid w:val="008159DF"/>
    <w:pPr>
      <w:ind w:left="2160" w:hanging="240"/>
    </w:pPr>
  </w:style>
  <w:style w:type="paragraph" w:styleId="IndexHeading">
    <w:name w:val="index heading"/>
    <w:basedOn w:val="Normal"/>
    <w:next w:val="Index1"/>
    <w:semiHidden/>
    <w:rsid w:val="008159DF"/>
    <w:rPr>
      <w:rFonts w:ascii="Arial" w:hAnsi="Arial" w:cs="Arial"/>
      <w:b/>
      <w:bCs/>
    </w:rPr>
  </w:style>
  <w:style w:type="paragraph" w:styleId="List">
    <w:name w:val="List"/>
    <w:basedOn w:val="Normal"/>
    <w:rsid w:val="008159DF"/>
    <w:pPr>
      <w:ind w:left="283" w:hanging="283"/>
    </w:pPr>
  </w:style>
  <w:style w:type="paragraph" w:styleId="List2">
    <w:name w:val="List 2"/>
    <w:basedOn w:val="Normal"/>
    <w:rsid w:val="008159DF"/>
    <w:pPr>
      <w:ind w:left="566" w:hanging="283"/>
    </w:pPr>
  </w:style>
  <w:style w:type="paragraph" w:styleId="List3">
    <w:name w:val="List 3"/>
    <w:basedOn w:val="Normal"/>
    <w:rsid w:val="008159DF"/>
    <w:pPr>
      <w:ind w:left="849" w:hanging="283"/>
    </w:pPr>
  </w:style>
  <w:style w:type="paragraph" w:styleId="List4">
    <w:name w:val="List 4"/>
    <w:basedOn w:val="Normal"/>
    <w:rsid w:val="008159DF"/>
    <w:pPr>
      <w:ind w:left="1132" w:hanging="283"/>
    </w:pPr>
  </w:style>
  <w:style w:type="paragraph" w:styleId="List5">
    <w:name w:val="List 5"/>
    <w:basedOn w:val="Normal"/>
    <w:rsid w:val="008159DF"/>
    <w:pPr>
      <w:ind w:left="1415" w:hanging="283"/>
    </w:pPr>
  </w:style>
  <w:style w:type="paragraph" w:styleId="ListBullet">
    <w:name w:val="List Bullet"/>
    <w:basedOn w:val="Normal"/>
    <w:rsid w:val="008159DF"/>
    <w:pPr>
      <w:numPr>
        <w:numId w:val="50"/>
      </w:numPr>
    </w:pPr>
  </w:style>
  <w:style w:type="paragraph" w:styleId="ListBullet2">
    <w:name w:val="List Bullet 2"/>
    <w:basedOn w:val="Normal"/>
    <w:rsid w:val="008159DF"/>
    <w:pPr>
      <w:numPr>
        <w:numId w:val="51"/>
      </w:numPr>
    </w:pPr>
  </w:style>
  <w:style w:type="paragraph" w:styleId="ListBullet3">
    <w:name w:val="List Bullet 3"/>
    <w:basedOn w:val="Normal"/>
    <w:rsid w:val="008159DF"/>
    <w:pPr>
      <w:numPr>
        <w:numId w:val="52"/>
      </w:numPr>
    </w:pPr>
  </w:style>
  <w:style w:type="paragraph" w:styleId="ListBullet4">
    <w:name w:val="List Bullet 4"/>
    <w:basedOn w:val="Normal"/>
    <w:rsid w:val="008159DF"/>
    <w:pPr>
      <w:numPr>
        <w:numId w:val="53"/>
      </w:numPr>
    </w:pPr>
  </w:style>
  <w:style w:type="paragraph" w:styleId="ListBullet5">
    <w:name w:val="List Bullet 5"/>
    <w:basedOn w:val="Normal"/>
    <w:rsid w:val="008159DF"/>
    <w:pPr>
      <w:numPr>
        <w:numId w:val="54"/>
      </w:numPr>
    </w:pPr>
  </w:style>
  <w:style w:type="paragraph" w:styleId="ListContinue">
    <w:name w:val="List Continue"/>
    <w:basedOn w:val="Normal"/>
    <w:rsid w:val="008159DF"/>
    <w:pPr>
      <w:spacing w:after="120"/>
      <w:ind w:left="283"/>
    </w:pPr>
  </w:style>
  <w:style w:type="paragraph" w:styleId="ListContinue2">
    <w:name w:val="List Continue 2"/>
    <w:basedOn w:val="Normal"/>
    <w:rsid w:val="008159DF"/>
    <w:pPr>
      <w:spacing w:after="120"/>
      <w:ind w:left="566"/>
    </w:pPr>
  </w:style>
  <w:style w:type="paragraph" w:styleId="ListContinue3">
    <w:name w:val="List Continue 3"/>
    <w:basedOn w:val="Normal"/>
    <w:rsid w:val="008159DF"/>
    <w:pPr>
      <w:spacing w:after="120"/>
      <w:ind w:left="849"/>
    </w:pPr>
  </w:style>
  <w:style w:type="paragraph" w:styleId="ListContinue4">
    <w:name w:val="List Continue 4"/>
    <w:basedOn w:val="Normal"/>
    <w:rsid w:val="008159DF"/>
    <w:pPr>
      <w:spacing w:after="120"/>
      <w:ind w:left="1132"/>
    </w:pPr>
  </w:style>
  <w:style w:type="paragraph" w:styleId="ListContinue5">
    <w:name w:val="List Continue 5"/>
    <w:basedOn w:val="Normal"/>
    <w:rsid w:val="008159DF"/>
    <w:pPr>
      <w:spacing w:after="120"/>
      <w:ind w:left="1415"/>
    </w:pPr>
  </w:style>
  <w:style w:type="paragraph" w:styleId="ListNumber">
    <w:name w:val="List Number"/>
    <w:basedOn w:val="Normal"/>
    <w:rsid w:val="008159DF"/>
    <w:pPr>
      <w:numPr>
        <w:numId w:val="55"/>
      </w:numPr>
    </w:pPr>
  </w:style>
  <w:style w:type="paragraph" w:styleId="ListNumber2">
    <w:name w:val="List Number 2"/>
    <w:basedOn w:val="Normal"/>
    <w:rsid w:val="008159DF"/>
    <w:pPr>
      <w:numPr>
        <w:numId w:val="56"/>
      </w:numPr>
    </w:pPr>
  </w:style>
  <w:style w:type="paragraph" w:styleId="ListNumber3">
    <w:name w:val="List Number 3"/>
    <w:basedOn w:val="Normal"/>
    <w:rsid w:val="008159DF"/>
    <w:pPr>
      <w:numPr>
        <w:numId w:val="57"/>
      </w:numPr>
    </w:pPr>
  </w:style>
  <w:style w:type="paragraph" w:styleId="ListNumber4">
    <w:name w:val="List Number 4"/>
    <w:basedOn w:val="Normal"/>
    <w:rsid w:val="008159DF"/>
    <w:pPr>
      <w:numPr>
        <w:numId w:val="58"/>
      </w:numPr>
    </w:pPr>
  </w:style>
  <w:style w:type="paragraph" w:styleId="ListNumber5">
    <w:name w:val="List Number 5"/>
    <w:basedOn w:val="Normal"/>
    <w:rsid w:val="008159DF"/>
    <w:pPr>
      <w:numPr>
        <w:numId w:val="59"/>
      </w:numPr>
    </w:pPr>
  </w:style>
  <w:style w:type="paragraph" w:styleId="MacroText">
    <w:name w:val="macro"/>
    <w:link w:val="MacroTextChar"/>
    <w:semiHidden/>
    <w:rsid w:val="008159D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en-US"/>
    </w:rPr>
  </w:style>
  <w:style w:type="paragraph" w:styleId="MessageHeader">
    <w:name w:val="Message Header"/>
    <w:basedOn w:val="Normal"/>
    <w:link w:val="MessageHeaderChar"/>
    <w:rsid w:val="008159D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8159DF"/>
  </w:style>
  <w:style w:type="paragraph" w:styleId="NormalIndent">
    <w:name w:val="Normal Indent"/>
    <w:basedOn w:val="Normal"/>
    <w:rsid w:val="008159DF"/>
    <w:pPr>
      <w:ind w:left="720"/>
    </w:pPr>
  </w:style>
  <w:style w:type="paragraph" w:styleId="NoteHeading">
    <w:name w:val="Note Heading"/>
    <w:basedOn w:val="Normal"/>
    <w:next w:val="Normal"/>
    <w:link w:val="NoteHeadingChar"/>
    <w:rsid w:val="008159DF"/>
  </w:style>
  <w:style w:type="paragraph" w:styleId="PlainText">
    <w:name w:val="Plain Text"/>
    <w:basedOn w:val="Normal"/>
    <w:link w:val="PlainTextChar"/>
    <w:rsid w:val="008159DF"/>
    <w:rPr>
      <w:rFonts w:ascii="Courier New" w:hAnsi="Courier New" w:cs="Courier New"/>
      <w:sz w:val="20"/>
      <w:szCs w:val="20"/>
    </w:rPr>
  </w:style>
  <w:style w:type="paragraph" w:styleId="Salutation">
    <w:name w:val="Salutation"/>
    <w:basedOn w:val="Normal"/>
    <w:next w:val="Normal"/>
    <w:link w:val="SalutationChar"/>
    <w:rsid w:val="008159DF"/>
  </w:style>
  <w:style w:type="paragraph" w:styleId="Signature">
    <w:name w:val="Signature"/>
    <w:basedOn w:val="Normal"/>
    <w:link w:val="SignatureChar"/>
    <w:rsid w:val="008159DF"/>
    <w:pPr>
      <w:ind w:left="4252"/>
    </w:pPr>
  </w:style>
  <w:style w:type="paragraph" w:styleId="Subtitle">
    <w:name w:val="Subtitle"/>
    <w:basedOn w:val="Normal"/>
    <w:link w:val="SubtitleChar"/>
    <w:qFormat/>
    <w:rsid w:val="008159DF"/>
    <w:pPr>
      <w:spacing w:after="60"/>
      <w:jc w:val="center"/>
      <w:outlineLvl w:val="1"/>
    </w:pPr>
    <w:rPr>
      <w:rFonts w:ascii="Arial" w:hAnsi="Arial" w:cs="Arial"/>
    </w:rPr>
  </w:style>
  <w:style w:type="paragraph" w:styleId="TableofAuthorities">
    <w:name w:val="table of authorities"/>
    <w:basedOn w:val="Normal"/>
    <w:next w:val="Normal"/>
    <w:semiHidden/>
    <w:rsid w:val="008159DF"/>
    <w:pPr>
      <w:ind w:left="240" w:hanging="240"/>
    </w:pPr>
  </w:style>
  <w:style w:type="paragraph" w:styleId="TableofFigures">
    <w:name w:val="table of figures"/>
    <w:basedOn w:val="Normal"/>
    <w:next w:val="Normal"/>
    <w:semiHidden/>
    <w:rsid w:val="008159DF"/>
  </w:style>
  <w:style w:type="paragraph" w:styleId="TOAHeading">
    <w:name w:val="toa heading"/>
    <w:basedOn w:val="Normal"/>
    <w:next w:val="Normal"/>
    <w:semiHidden/>
    <w:rsid w:val="008159DF"/>
    <w:pPr>
      <w:spacing w:before="120"/>
    </w:pPr>
    <w:rPr>
      <w:rFonts w:ascii="Arial" w:hAnsi="Arial" w:cs="Arial"/>
      <w:b/>
      <w:bCs/>
    </w:rPr>
  </w:style>
  <w:style w:type="paragraph" w:styleId="TOC1">
    <w:name w:val="toc 1"/>
    <w:basedOn w:val="Normal"/>
    <w:next w:val="Normal"/>
    <w:autoRedefine/>
    <w:semiHidden/>
    <w:rsid w:val="008159DF"/>
  </w:style>
  <w:style w:type="paragraph" w:styleId="TOC2">
    <w:name w:val="toc 2"/>
    <w:basedOn w:val="Normal"/>
    <w:next w:val="Normal"/>
    <w:autoRedefine/>
    <w:semiHidden/>
    <w:rsid w:val="008159DF"/>
    <w:pPr>
      <w:ind w:left="240"/>
    </w:pPr>
  </w:style>
  <w:style w:type="paragraph" w:styleId="TOC3">
    <w:name w:val="toc 3"/>
    <w:basedOn w:val="Normal"/>
    <w:next w:val="Normal"/>
    <w:autoRedefine/>
    <w:semiHidden/>
    <w:rsid w:val="008159DF"/>
    <w:pPr>
      <w:ind w:left="480"/>
    </w:pPr>
  </w:style>
  <w:style w:type="paragraph" w:styleId="TOC4">
    <w:name w:val="toc 4"/>
    <w:basedOn w:val="Normal"/>
    <w:next w:val="Normal"/>
    <w:autoRedefine/>
    <w:semiHidden/>
    <w:rsid w:val="008159DF"/>
    <w:pPr>
      <w:ind w:left="720"/>
    </w:pPr>
  </w:style>
  <w:style w:type="paragraph" w:styleId="TOC5">
    <w:name w:val="toc 5"/>
    <w:basedOn w:val="Normal"/>
    <w:next w:val="Normal"/>
    <w:autoRedefine/>
    <w:semiHidden/>
    <w:rsid w:val="008159DF"/>
    <w:pPr>
      <w:ind w:left="960"/>
    </w:pPr>
  </w:style>
  <w:style w:type="paragraph" w:styleId="TOC6">
    <w:name w:val="toc 6"/>
    <w:basedOn w:val="Normal"/>
    <w:next w:val="Normal"/>
    <w:autoRedefine/>
    <w:semiHidden/>
    <w:rsid w:val="008159DF"/>
    <w:pPr>
      <w:ind w:left="1200"/>
    </w:pPr>
  </w:style>
  <w:style w:type="paragraph" w:styleId="TOC7">
    <w:name w:val="toc 7"/>
    <w:basedOn w:val="Normal"/>
    <w:next w:val="Normal"/>
    <w:autoRedefine/>
    <w:semiHidden/>
    <w:rsid w:val="008159DF"/>
    <w:pPr>
      <w:ind w:left="1440"/>
    </w:pPr>
  </w:style>
  <w:style w:type="paragraph" w:styleId="TOC8">
    <w:name w:val="toc 8"/>
    <w:basedOn w:val="Normal"/>
    <w:next w:val="Normal"/>
    <w:autoRedefine/>
    <w:semiHidden/>
    <w:rsid w:val="008159DF"/>
    <w:pPr>
      <w:ind w:left="1680"/>
    </w:pPr>
  </w:style>
  <w:style w:type="paragraph" w:styleId="TOC9">
    <w:name w:val="toc 9"/>
    <w:basedOn w:val="Normal"/>
    <w:next w:val="Normal"/>
    <w:autoRedefine/>
    <w:semiHidden/>
    <w:rsid w:val="008159DF"/>
    <w:pPr>
      <w:ind w:left="1920"/>
    </w:pPr>
  </w:style>
  <w:style w:type="paragraph" w:customStyle="1" w:styleId="Revision2">
    <w:name w:val="Revision2"/>
    <w:hidden/>
    <w:uiPriority w:val="99"/>
    <w:semiHidden/>
    <w:rsid w:val="00344CC3"/>
    <w:rPr>
      <w:sz w:val="24"/>
      <w:szCs w:val="24"/>
      <w:lang w:val="nb-NO" w:eastAsia="en-US"/>
    </w:rPr>
  </w:style>
  <w:style w:type="character" w:customStyle="1" w:styleId="equivalent">
    <w:name w:val="equivalent"/>
    <w:basedOn w:val="DefaultParagraphFont"/>
    <w:rsid w:val="00344CC3"/>
  </w:style>
  <w:style w:type="paragraph" w:customStyle="1" w:styleId="Revision1">
    <w:name w:val="Revision1"/>
    <w:hidden/>
    <w:semiHidden/>
    <w:rsid w:val="00961081"/>
    <w:rPr>
      <w:sz w:val="24"/>
      <w:szCs w:val="24"/>
      <w:lang w:val="nb-NO" w:eastAsia="en-US"/>
    </w:rPr>
  </w:style>
  <w:style w:type="character" w:customStyle="1" w:styleId="hps">
    <w:name w:val="hps"/>
    <w:basedOn w:val="DefaultParagraphFont"/>
    <w:rsid w:val="00D16E24"/>
  </w:style>
  <w:style w:type="character" w:customStyle="1" w:styleId="hpsatn">
    <w:name w:val="hps atn"/>
    <w:basedOn w:val="DefaultParagraphFont"/>
    <w:rsid w:val="00D16E24"/>
  </w:style>
  <w:style w:type="character" w:customStyle="1" w:styleId="atn">
    <w:name w:val="atn"/>
    <w:basedOn w:val="DefaultParagraphFont"/>
    <w:rsid w:val="00162B4C"/>
  </w:style>
  <w:style w:type="character" w:customStyle="1" w:styleId="bold4">
    <w:name w:val="bold4"/>
    <w:rsid w:val="00F26907"/>
    <w:rPr>
      <w:rFonts w:cs="Times New Roman"/>
      <w:b/>
      <w:bCs/>
    </w:rPr>
  </w:style>
  <w:style w:type="character" w:customStyle="1" w:styleId="italics5">
    <w:name w:val="italics5"/>
    <w:rsid w:val="00F26907"/>
    <w:rPr>
      <w:rFonts w:cs="Times New Roman"/>
      <w:i/>
      <w:iCs/>
    </w:rPr>
  </w:style>
  <w:style w:type="character" w:customStyle="1" w:styleId="sup1">
    <w:name w:val="sup1"/>
    <w:rsid w:val="00F26907"/>
    <w:rPr>
      <w:rFonts w:cs="Times New Roman"/>
      <w:sz w:val="19"/>
      <w:szCs w:val="19"/>
    </w:rPr>
  </w:style>
  <w:style w:type="table" w:styleId="TableGrid">
    <w:name w:val="Table Grid"/>
    <w:basedOn w:val="TableNormal"/>
    <w:rsid w:val="00241C70"/>
    <w:pPr>
      <w:tabs>
        <w:tab w:val="left" w:pos="562"/>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EANormalChar">
    <w:name w:val="EMEA Normal Char"/>
    <w:link w:val="EMEANormal"/>
    <w:rsid w:val="0035573B"/>
    <w:rPr>
      <w:sz w:val="22"/>
      <w:lang w:val="en-US" w:eastAsia="en-US" w:bidi="ar-SA"/>
    </w:rPr>
  </w:style>
  <w:style w:type="character" w:customStyle="1" w:styleId="FooterChar">
    <w:name w:val="Footer Char"/>
    <w:link w:val="Footer"/>
    <w:locked/>
    <w:rsid w:val="0035573B"/>
    <w:rPr>
      <w:rFonts w:ascii="Helvetica" w:hAnsi="Helvetica"/>
      <w:sz w:val="16"/>
      <w:lang w:val="da-DK" w:eastAsia="en-US" w:bidi="ar-SA"/>
    </w:rPr>
  </w:style>
  <w:style w:type="paragraph" w:styleId="ListParagraph">
    <w:name w:val="List Paragraph"/>
    <w:basedOn w:val="Normal"/>
    <w:uiPriority w:val="34"/>
    <w:qFormat/>
    <w:rsid w:val="00BE602D"/>
    <w:pPr>
      <w:ind w:left="720"/>
    </w:pPr>
  </w:style>
  <w:style w:type="paragraph" w:customStyle="1" w:styleId="pedtable">
    <w:name w:val="pedtable"/>
    <w:basedOn w:val="Normal"/>
    <w:rsid w:val="00BE602D"/>
    <w:rPr>
      <w:snapToGrid w:val="0"/>
      <w:sz w:val="20"/>
      <w:szCs w:val="20"/>
      <w:lang w:eastAsia="nb-NO"/>
    </w:rPr>
  </w:style>
  <w:style w:type="paragraph" w:customStyle="1" w:styleId="Default">
    <w:name w:val="Default"/>
    <w:rsid w:val="00BE602D"/>
    <w:pPr>
      <w:autoSpaceDE w:val="0"/>
      <w:autoSpaceDN w:val="0"/>
      <w:adjustRightInd w:val="0"/>
    </w:pPr>
    <w:rPr>
      <w:color w:val="000000"/>
      <w:sz w:val="24"/>
      <w:szCs w:val="24"/>
    </w:rPr>
  </w:style>
  <w:style w:type="paragraph" w:customStyle="1" w:styleId="Personnequisigne">
    <w:name w:val="Personne qui signe"/>
    <w:basedOn w:val="Normal"/>
    <w:next w:val="Normal"/>
    <w:rsid w:val="00467985"/>
    <w:pPr>
      <w:tabs>
        <w:tab w:val="left" w:pos="4253"/>
      </w:tabs>
    </w:pPr>
    <w:rPr>
      <w:i/>
      <w:szCs w:val="20"/>
      <w:lang w:val="da-DK"/>
    </w:rPr>
  </w:style>
  <w:style w:type="character" w:customStyle="1" w:styleId="CharChar1">
    <w:name w:val="Char Char1"/>
    <w:locked/>
    <w:rsid w:val="00A91022"/>
    <w:rPr>
      <w:sz w:val="24"/>
      <w:szCs w:val="24"/>
      <w:lang w:val="en-GB" w:eastAsia="en-US" w:bidi="ar-SA"/>
    </w:rPr>
  </w:style>
  <w:style w:type="character" w:customStyle="1" w:styleId="Heading8Char">
    <w:name w:val="Heading 8 Char"/>
    <w:link w:val="Heading8"/>
    <w:rsid w:val="00796BA8"/>
    <w:rPr>
      <w:sz w:val="22"/>
      <w:u w:val="single"/>
      <w:lang w:eastAsia="en-US"/>
    </w:rPr>
  </w:style>
  <w:style w:type="paragraph" w:styleId="Bibliography">
    <w:name w:val="Bibliography"/>
    <w:basedOn w:val="Normal"/>
    <w:next w:val="Normal"/>
    <w:uiPriority w:val="37"/>
    <w:semiHidden/>
    <w:unhideWhenUsed/>
    <w:rsid w:val="00BF558B"/>
  </w:style>
  <w:style w:type="paragraph" w:styleId="IntenseQuote">
    <w:name w:val="Intense Quote"/>
    <w:basedOn w:val="Normal"/>
    <w:next w:val="Normal"/>
    <w:link w:val="IntenseQuoteChar"/>
    <w:uiPriority w:val="30"/>
    <w:qFormat/>
    <w:rsid w:val="00BF558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F558B"/>
    <w:rPr>
      <w:b/>
      <w:bCs/>
      <w:i/>
      <w:iCs/>
      <w:color w:val="4F81BD"/>
      <w:sz w:val="24"/>
      <w:szCs w:val="24"/>
      <w:lang w:val="nb-NO" w:eastAsia="en-US"/>
    </w:rPr>
  </w:style>
  <w:style w:type="paragraph" w:styleId="NoSpacing">
    <w:name w:val="No Spacing"/>
    <w:uiPriority w:val="1"/>
    <w:qFormat/>
    <w:rsid w:val="00BF558B"/>
    <w:rPr>
      <w:sz w:val="24"/>
      <w:szCs w:val="24"/>
      <w:lang w:val="nb-NO" w:eastAsia="en-US"/>
    </w:rPr>
  </w:style>
  <w:style w:type="paragraph" w:styleId="Quote">
    <w:name w:val="Quote"/>
    <w:basedOn w:val="Normal"/>
    <w:next w:val="Normal"/>
    <w:link w:val="QuoteChar"/>
    <w:uiPriority w:val="29"/>
    <w:qFormat/>
    <w:rsid w:val="00BF558B"/>
    <w:rPr>
      <w:i/>
      <w:iCs/>
      <w:color w:val="000000"/>
    </w:rPr>
  </w:style>
  <w:style w:type="character" w:customStyle="1" w:styleId="QuoteChar">
    <w:name w:val="Quote Char"/>
    <w:link w:val="Quote"/>
    <w:uiPriority w:val="29"/>
    <w:rsid w:val="00BF558B"/>
    <w:rPr>
      <w:i/>
      <w:iCs/>
      <w:color w:val="000000"/>
      <w:sz w:val="24"/>
      <w:szCs w:val="24"/>
      <w:lang w:val="nb-NO" w:eastAsia="en-US"/>
    </w:rPr>
  </w:style>
  <w:style w:type="paragraph" w:styleId="TOCHeading">
    <w:name w:val="TOC Heading"/>
    <w:basedOn w:val="Heading1"/>
    <w:next w:val="Normal"/>
    <w:uiPriority w:val="39"/>
    <w:semiHidden/>
    <w:unhideWhenUsed/>
    <w:qFormat/>
    <w:rsid w:val="00BF558B"/>
    <w:pPr>
      <w:spacing w:before="240" w:after="60"/>
      <w:outlineLvl w:val="9"/>
    </w:pPr>
    <w:rPr>
      <w:rFonts w:ascii="Cambria" w:hAnsi="Cambria"/>
      <w:b/>
      <w:bCs/>
      <w:color w:val="auto"/>
      <w:kern w:val="32"/>
      <w:sz w:val="32"/>
      <w:szCs w:val="32"/>
      <w:u w:val="none"/>
    </w:rPr>
  </w:style>
  <w:style w:type="character" w:customStyle="1" w:styleId="BodytextAgencyChar">
    <w:name w:val="Body text (Agency) Char"/>
    <w:link w:val="BodytextAgency"/>
    <w:locked/>
    <w:rsid w:val="00283253"/>
    <w:rPr>
      <w:rFonts w:ascii="Verdana" w:hAnsi="Verdana"/>
      <w:sz w:val="18"/>
      <w:lang w:val="en-GB" w:eastAsia="en-GB"/>
    </w:rPr>
  </w:style>
  <w:style w:type="paragraph" w:customStyle="1" w:styleId="BodytextAgency">
    <w:name w:val="Body text (Agency)"/>
    <w:basedOn w:val="Normal"/>
    <w:link w:val="BodytextAgencyChar"/>
    <w:qFormat/>
    <w:rsid w:val="00283253"/>
    <w:pPr>
      <w:spacing w:after="140" w:line="280" w:lineRule="atLeast"/>
    </w:pPr>
    <w:rPr>
      <w:rFonts w:ascii="Verdana" w:hAnsi="Verdana"/>
      <w:sz w:val="18"/>
      <w:szCs w:val="20"/>
      <w:lang w:val="en-GB" w:eastAsia="en-GB"/>
    </w:rPr>
  </w:style>
  <w:style w:type="character" w:customStyle="1" w:styleId="No-numheading3AgencyChar">
    <w:name w:val="No-num heading 3 (Agency) Char"/>
    <w:link w:val="No-numheading3Agency"/>
    <w:locked/>
    <w:rsid w:val="00283253"/>
    <w:rPr>
      <w:rFonts w:ascii="Verdana" w:hAnsi="Verdana"/>
      <w:b/>
      <w:kern w:val="32"/>
      <w:sz w:val="22"/>
      <w:lang w:val="en-GB" w:eastAsia="en-GB"/>
    </w:rPr>
  </w:style>
  <w:style w:type="paragraph" w:customStyle="1" w:styleId="No-numheading3Agency">
    <w:name w:val="No-num heading 3 (Agency)"/>
    <w:basedOn w:val="Normal"/>
    <w:next w:val="BodytextAgency"/>
    <w:link w:val="No-numheading3AgencyChar"/>
    <w:rsid w:val="00283253"/>
    <w:pPr>
      <w:keepNext/>
      <w:spacing w:before="280" w:after="220"/>
      <w:outlineLvl w:val="2"/>
    </w:pPr>
    <w:rPr>
      <w:rFonts w:ascii="Verdana" w:hAnsi="Verdana"/>
      <w:b/>
      <w:kern w:val="32"/>
      <w:sz w:val="22"/>
      <w:szCs w:val="20"/>
      <w:lang w:val="en-GB" w:eastAsia="en-GB"/>
    </w:rPr>
  </w:style>
  <w:style w:type="character" w:customStyle="1" w:styleId="gtcbold9">
    <w:name w:val="gtcbold9"/>
    <w:uiPriority w:val="99"/>
    <w:rsid w:val="006A1587"/>
    <w:rPr>
      <w:b/>
      <w:bCs/>
    </w:rPr>
  </w:style>
  <w:style w:type="paragraph" w:styleId="Revision">
    <w:name w:val="Revision"/>
    <w:hidden/>
    <w:uiPriority w:val="99"/>
    <w:semiHidden/>
    <w:rsid w:val="00706239"/>
    <w:rPr>
      <w:sz w:val="24"/>
      <w:szCs w:val="24"/>
      <w:lang w:val="nb-NO" w:eastAsia="en-US"/>
    </w:rPr>
  </w:style>
  <w:style w:type="character" w:customStyle="1" w:styleId="BodyText3Char">
    <w:name w:val="Body Text 3 Char"/>
    <w:link w:val="BodyText3"/>
    <w:rsid w:val="000739C0"/>
    <w:rPr>
      <w:b/>
      <w:sz w:val="22"/>
      <w:lang w:val="da-DK"/>
    </w:rPr>
  </w:style>
  <w:style w:type="character" w:customStyle="1" w:styleId="CommentTextChar">
    <w:name w:val="Comment Text Char"/>
    <w:link w:val="CommentText"/>
    <w:rsid w:val="00030F24"/>
    <w:rPr>
      <w:lang w:eastAsia="en-US"/>
    </w:rPr>
  </w:style>
  <w:style w:type="character" w:customStyle="1" w:styleId="Heading1Char">
    <w:name w:val="Heading 1 Char"/>
    <w:link w:val="Heading1"/>
    <w:rsid w:val="001E500F"/>
    <w:rPr>
      <w:color w:val="0000FF"/>
      <w:sz w:val="24"/>
      <w:szCs w:val="24"/>
      <w:u w:val="single"/>
      <w:lang w:eastAsia="en-US"/>
    </w:rPr>
  </w:style>
  <w:style w:type="character" w:customStyle="1" w:styleId="Heading2Char">
    <w:name w:val="Heading 2 Char"/>
    <w:link w:val="Heading2"/>
    <w:rsid w:val="001E500F"/>
    <w:rPr>
      <w:sz w:val="22"/>
      <w:szCs w:val="24"/>
      <w:u w:val="single"/>
      <w:lang w:eastAsia="en-US"/>
    </w:rPr>
  </w:style>
  <w:style w:type="character" w:customStyle="1" w:styleId="Heading3Char">
    <w:name w:val="Heading 3 Char"/>
    <w:link w:val="Heading3"/>
    <w:rsid w:val="001E500F"/>
    <w:rPr>
      <w:b/>
      <w:sz w:val="22"/>
      <w:lang w:val="da-DK" w:eastAsia="en-US"/>
    </w:rPr>
  </w:style>
  <w:style w:type="character" w:customStyle="1" w:styleId="Heading4Char">
    <w:name w:val="Heading 4 Char"/>
    <w:link w:val="Heading4"/>
    <w:rsid w:val="001E500F"/>
    <w:rPr>
      <w:b/>
      <w:bCs/>
      <w:sz w:val="22"/>
      <w:szCs w:val="24"/>
      <w:u w:val="single"/>
      <w:lang w:eastAsia="en-US"/>
    </w:rPr>
  </w:style>
  <w:style w:type="character" w:customStyle="1" w:styleId="Heading5Char">
    <w:name w:val="Heading 5 Char"/>
    <w:link w:val="Heading5"/>
    <w:rsid w:val="001E500F"/>
    <w:rPr>
      <w:b/>
      <w:bCs/>
      <w:i/>
      <w:iCs/>
      <w:sz w:val="26"/>
      <w:szCs w:val="26"/>
      <w:lang w:eastAsia="en-US"/>
    </w:rPr>
  </w:style>
  <w:style w:type="character" w:customStyle="1" w:styleId="Heading6Char">
    <w:name w:val="Heading 6 Char"/>
    <w:link w:val="Heading6"/>
    <w:rsid w:val="001E500F"/>
    <w:rPr>
      <w:i/>
      <w:iCs/>
      <w:sz w:val="22"/>
      <w:szCs w:val="24"/>
      <w:lang w:eastAsia="en-US"/>
    </w:rPr>
  </w:style>
  <w:style w:type="character" w:customStyle="1" w:styleId="Heading7Char">
    <w:name w:val="Heading 7 Char"/>
    <w:link w:val="Heading7"/>
    <w:rsid w:val="001E500F"/>
    <w:rPr>
      <w:i/>
      <w:sz w:val="22"/>
      <w:lang w:eastAsia="en-US"/>
    </w:rPr>
  </w:style>
  <w:style w:type="character" w:customStyle="1" w:styleId="Heading9Char">
    <w:name w:val="Heading 9 Char"/>
    <w:link w:val="Heading9"/>
    <w:rsid w:val="001E500F"/>
    <w:rPr>
      <w:rFonts w:ascii="Arial" w:hAnsi="Arial" w:cs="Arial"/>
      <w:sz w:val="22"/>
      <w:szCs w:val="22"/>
      <w:lang w:eastAsia="en-US"/>
    </w:rPr>
  </w:style>
  <w:style w:type="character" w:customStyle="1" w:styleId="HTMLAddressChar">
    <w:name w:val="HTML Address Char"/>
    <w:link w:val="HTMLAddress"/>
    <w:rsid w:val="001E500F"/>
    <w:rPr>
      <w:i/>
      <w:iCs/>
      <w:sz w:val="24"/>
      <w:szCs w:val="24"/>
      <w:lang w:eastAsia="en-US"/>
    </w:rPr>
  </w:style>
  <w:style w:type="character" w:customStyle="1" w:styleId="HTMLPreformattedChar">
    <w:name w:val="HTML Preformatted Char"/>
    <w:link w:val="HTMLPreformatted"/>
    <w:rsid w:val="001E500F"/>
    <w:rPr>
      <w:rFonts w:ascii="Courier New" w:hAnsi="Courier New" w:cs="Courier New"/>
      <w:lang w:eastAsia="en-US"/>
    </w:rPr>
  </w:style>
  <w:style w:type="character" w:customStyle="1" w:styleId="FootnoteTextChar">
    <w:name w:val="Footnote Text Char"/>
    <w:link w:val="FootnoteText"/>
    <w:semiHidden/>
    <w:rsid w:val="001E500F"/>
    <w:rPr>
      <w:lang w:eastAsia="en-US"/>
    </w:rPr>
  </w:style>
  <w:style w:type="character" w:customStyle="1" w:styleId="HeaderChar">
    <w:name w:val="Header Char"/>
    <w:link w:val="Header"/>
    <w:rsid w:val="001E500F"/>
    <w:rPr>
      <w:sz w:val="22"/>
      <w:lang w:eastAsia="en-US"/>
    </w:rPr>
  </w:style>
  <w:style w:type="character" w:customStyle="1" w:styleId="EndnoteTextChar">
    <w:name w:val="Endnote Text Char"/>
    <w:link w:val="EndnoteText"/>
    <w:rsid w:val="001E500F"/>
    <w:rPr>
      <w:sz w:val="22"/>
      <w:lang w:val="da-DK" w:eastAsia="en-US"/>
    </w:rPr>
  </w:style>
  <w:style w:type="character" w:customStyle="1" w:styleId="MacroTextChar">
    <w:name w:val="Macro Text Char"/>
    <w:link w:val="MacroText"/>
    <w:semiHidden/>
    <w:rsid w:val="001E500F"/>
    <w:rPr>
      <w:rFonts w:ascii="Courier New" w:hAnsi="Courier New" w:cs="Courier New"/>
      <w:lang w:eastAsia="en-US"/>
    </w:rPr>
  </w:style>
  <w:style w:type="character" w:customStyle="1" w:styleId="TitleChar">
    <w:name w:val="Title Char"/>
    <w:link w:val="Title"/>
    <w:rsid w:val="001E500F"/>
    <w:rPr>
      <w:b/>
      <w:sz w:val="24"/>
      <w:u w:val="single"/>
      <w:lang w:val="fr-FR" w:eastAsia="sv-SE"/>
    </w:rPr>
  </w:style>
  <w:style w:type="character" w:customStyle="1" w:styleId="ClosingChar">
    <w:name w:val="Closing Char"/>
    <w:link w:val="Closing"/>
    <w:rsid w:val="001E500F"/>
    <w:rPr>
      <w:sz w:val="24"/>
      <w:szCs w:val="24"/>
      <w:lang w:eastAsia="en-US"/>
    </w:rPr>
  </w:style>
  <w:style w:type="character" w:customStyle="1" w:styleId="SignatureChar">
    <w:name w:val="Signature Char"/>
    <w:link w:val="Signature"/>
    <w:rsid w:val="001E500F"/>
    <w:rPr>
      <w:sz w:val="24"/>
      <w:szCs w:val="24"/>
      <w:lang w:eastAsia="en-US"/>
    </w:rPr>
  </w:style>
  <w:style w:type="character" w:customStyle="1" w:styleId="BodyTextChar">
    <w:name w:val="Body Text Char"/>
    <w:link w:val="BodyText"/>
    <w:rsid w:val="001E500F"/>
    <w:rPr>
      <w:b/>
      <w:noProof/>
      <w:sz w:val="22"/>
      <w:lang w:eastAsia="en-US"/>
    </w:rPr>
  </w:style>
  <w:style w:type="character" w:customStyle="1" w:styleId="BodyTextIndentChar">
    <w:name w:val="Body Text Indent Char"/>
    <w:link w:val="BodyTextIndent"/>
    <w:rsid w:val="001E500F"/>
    <w:rPr>
      <w:sz w:val="24"/>
      <w:szCs w:val="24"/>
      <w:lang w:eastAsia="en-US"/>
    </w:rPr>
  </w:style>
  <w:style w:type="character" w:customStyle="1" w:styleId="MessageHeaderChar">
    <w:name w:val="Message Header Char"/>
    <w:link w:val="MessageHeader"/>
    <w:rsid w:val="001E500F"/>
    <w:rPr>
      <w:rFonts w:ascii="Arial" w:hAnsi="Arial" w:cs="Arial"/>
      <w:sz w:val="24"/>
      <w:szCs w:val="24"/>
      <w:shd w:val="pct20" w:color="auto" w:fill="auto"/>
      <w:lang w:eastAsia="en-US"/>
    </w:rPr>
  </w:style>
  <w:style w:type="character" w:customStyle="1" w:styleId="SubtitleChar">
    <w:name w:val="Subtitle Char"/>
    <w:link w:val="Subtitle"/>
    <w:rsid w:val="001E500F"/>
    <w:rPr>
      <w:rFonts w:ascii="Arial" w:hAnsi="Arial" w:cs="Arial"/>
      <w:sz w:val="24"/>
      <w:szCs w:val="24"/>
      <w:lang w:eastAsia="en-US"/>
    </w:rPr>
  </w:style>
  <w:style w:type="character" w:customStyle="1" w:styleId="SalutationChar">
    <w:name w:val="Salutation Char"/>
    <w:link w:val="Salutation"/>
    <w:rsid w:val="001E500F"/>
    <w:rPr>
      <w:sz w:val="24"/>
      <w:szCs w:val="24"/>
      <w:lang w:eastAsia="en-US"/>
    </w:rPr>
  </w:style>
  <w:style w:type="character" w:customStyle="1" w:styleId="DateChar">
    <w:name w:val="Date Char"/>
    <w:link w:val="Date"/>
    <w:rsid w:val="001E500F"/>
    <w:rPr>
      <w:sz w:val="24"/>
      <w:szCs w:val="24"/>
      <w:lang w:eastAsia="en-US"/>
    </w:rPr>
  </w:style>
  <w:style w:type="character" w:customStyle="1" w:styleId="BodyTextFirstIndentChar">
    <w:name w:val="Body Text First Indent Char"/>
    <w:link w:val="BodyTextFirstIndent"/>
    <w:rsid w:val="001E500F"/>
    <w:rPr>
      <w:sz w:val="24"/>
      <w:szCs w:val="24"/>
      <w:lang w:eastAsia="en-US"/>
    </w:rPr>
  </w:style>
  <w:style w:type="character" w:customStyle="1" w:styleId="BodyTextFirstIndent2Char">
    <w:name w:val="Body Text First Indent 2 Char"/>
    <w:link w:val="BodyTextFirstIndent2"/>
    <w:rsid w:val="001E500F"/>
    <w:rPr>
      <w:sz w:val="24"/>
      <w:szCs w:val="24"/>
      <w:lang w:eastAsia="en-US"/>
    </w:rPr>
  </w:style>
  <w:style w:type="character" w:customStyle="1" w:styleId="NoteHeadingChar">
    <w:name w:val="Note Heading Char"/>
    <w:link w:val="NoteHeading"/>
    <w:rsid w:val="001E500F"/>
    <w:rPr>
      <w:sz w:val="24"/>
      <w:szCs w:val="24"/>
      <w:lang w:eastAsia="en-US"/>
    </w:rPr>
  </w:style>
  <w:style w:type="character" w:customStyle="1" w:styleId="BodyText2Char">
    <w:name w:val="Body Text 2 Char"/>
    <w:link w:val="BodyText2"/>
    <w:rsid w:val="001E500F"/>
    <w:rPr>
      <w:color w:val="000000"/>
      <w:sz w:val="22"/>
      <w:szCs w:val="24"/>
      <w:lang w:eastAsia="en-US"/>
    </w:rPr>
  </w:style>
  <w:style w:type="character" w:customStyle="1" w:styleId="BodyTextIndent2Char">
    <w:name w:val="Body Text Indent 2 Char"/>
    <w:link w:val="BodyTextIndent2"/>
    <w:rsid w:val="001E500F"/>
    <w:rPr>
      <w:sz w:val="22"/>
      <w:lang w:eastAsia="en-US"/>
    </w:rPr>
  </w:style>
  <w:style w:type="character" w:customStyle="1" w:styleId="BodyTextIndent3Char">
    <w:name w:val="Body Text Indent 3 Char"/>
    <w:link w:val="BodyTextIndent3"/>
    <w:rsid w:val="001E500F"/>
    <w:rPr>
      <w:sz w:val="22"/>
      <w:lang w:eastAsia="en-US"/>
    </w:rPr>
  </w:style>
  <w:style w:type="character" w:customStyle="1" w:styleId="DocumentMapChar">
    <w:name w:val="Document Map Char"/>
    <w:link w:val="DocumentMap"/>
    <w:semiHidden/>
    <w:rsid w:val="001E500F"/>
    <w:rPr>
      <w:rFonts w:ascii="Tahoma" w:hAnsi="Tahoma" w:cs="Tahoma"/>
      <w:shd w:val="clear" w:color="auto" w:fill="000080"/>
      <w:lang w:eastAsia="en-US"/>
    </w:rPr>
  </w:style>
  <w:style w:type="character" w:customStyle="1" w:styleId="PlainTextChar">
    <w:name w:val="Plain Text Char"/>
    <w:link w:val="PlainText"/>
    <w:rsid w:val="001E500F"/>
    <w:rPr>
      <w:rFonts w:ascii="Courier New" w:hAnsi="Courier New" w:cs="Courier New"/>
      <w:lang w:eastAsia="en-US"/>
    </w:rPr>
  </w:style>
  <w:style w:type="character" w:customStyle="1" w:styleId="E-mailSignatureChar">
    <w:name w:val="E-mail Signature Char"/>
    <w:link w:val="E-mailSignature"/>
    <w:rsid w:val="001E500F"/>
    <w:rPr>
      <w:sz w:val="24"/>
      <w:szCs w:val="24"/>
      <w:lang w:eastAsia="en-US"/>
    </w:rPr>
  </w:style>
  <w:style w:type="character" w:customStyle="1" w:styleId="CommentSubjectChar">
    <w:name w:val="Comment Subject Char"/>
    <w:link w:val="CommentSubject"/>
    <w:semiHidden/>
    <w:rsid w:val="001E500F"/>
    <w:rPr>
      <w:b/>
      <w:bCs/>
      <w:lang w:eastAsia="en-US"/>
    </w:rPr>
  </w:style>
  <w:style w:type="character" w:customStyle="1" w:styleId="BalloonTextChar">
    <w:name w:val="Balloon Text Char"/>
    <w:link w:val="BalloonText"/>
    <w:semiHidden/>
    <w:rsid w:val="001E500F"/>
    <w:rPr>
      <w:rFonts w:ascii="Tahoma" w:hAnsi="Tahoma" w:cs="Tahoma"/>
      <w:sz w:val="16"/>
      <w:szCs w:val="16"/>
      <w:lang w:eastAsia="en-US"/>
    </w:rPr>
  </w:style>
  <w:style w:type="paragraph" w:customStyle="1" w:styleId="Brdtekst10">
    <w:name w:val="Brødtekst1_0"/>
    <w:pPr>
      <w:tabs>
        <w:tab w:val="left" w:pos="1152"/>
        <w:tab w:val="left" w:pos="1872"/>
      </w:tabs>
      <w:overflowPunct w:val="0"/>
      <w:autoSpaceDE w:val="0"/>
      <w:autoSpaceDN w:val="0"/>
      <w:adjustRightInd w:val="0"/>
      <w:spacing w:after="240" w:line="288" w:lineRule="auto"/>
      <w:ind w:left="1151"/>
      <w:jc w:val="both"/>
      <w:textAlignment w:val="baseline"/>
    </w:pPr>
    <w:rPr>
      <w:sz w:val="24"/>
      <w:lang w:val="en-US" w:eastAsia="en-US"/>
    </w:rPr>
  </w:style>
  <w:style w:type="character" w:customStyle="1" w:styleId="CharChar10">
    <w:name w:val="Char Char1_0"/>
    <w:locked/>
    <w:rsid w:val="001E500F"/>
    <w:rPr>
      <w:sz w:val="24"/>
      <w:szCs w:val="24"/>
      <w:lang w:val="en-GB" w:eastAsia="en-US" w:bidi="ar-SA"/>
    </w:rPr>
  </w:style>
  <w:style w:type="paragraph" w:customStyle="1" w:styleId="EMEATitle">
    <w:name w:val="EMEA Title"/>
    <w:rsid w:val="005B4731"/>
    <w:pPr>
      <w:tabs>
        <w:tab w:val="left" w:pos="562"/>
      </w:tabs>
      <w:suppressAutoHyphens/>
      <w:jc w:val="center"/>
    </w:pPr>
    <w:rPr>
      <w:rFonts w:ascii="Times New Roman Bold" w:hAnsi="Times New Roman Bold"/>
      <w:b/>
      <w:caps/>
      <w:sz w:val="22"/>
      <w:lang w:val="en-US" w:eastAsia="en-US"/>
    </w:rPr>
  </w:style>
  <w:style w:type="paragraph" w:customStyle="1" w:styleId="TableLeft">
    <w:name w:val="Table Left"/>
    <w:basedOn w:val="Normal"/>
    <w:link w:val="TableLeftChar"/>
    <w:rsid w:val="009B3817"/>
    <w:pPr>
      <w:keepNext/>
      <w:spacing w:before="40" w:after="40" w:line="240" w:lineRule="exact"/>
    </w:pPr>
    <w:rPr>
      <w:rFonts w:eastAsia="Calibri"/>
      <w:sz w:val="20"/>
      <w:szCs w:val="20"/>
      <w:lang w:val="en-US" w:eastAsia="ja-JP"/>
    </w:rPr>
  </w:style>
  <w:style w:type="paragraph" w:customStyle="1" w:styleId="TableFootnoteLetter">
    <w:name w:val="Table Footnote Letter"/>
    <w:rsid w:val="009B3817"/>
    <w:pPr>
      <w:keepLines/>
      <w:numPr>
        <w:numId w:val="81"/>
      </w:numPr>
      <w:spacing w:before="40" w:line="240" w:lineRule="exact"/>
    </w:pPr>
    <w:rPr>
      <w:rFonts w:ascii="Verdana" w:eastAsia="MS Mincho" w:hAnsi="Verdana"/>
      <w:sz w:val="16"/>
      <w:szCs w:val="18"/>
      <w:lang w:val="en-US" w:eastAsia="ja-JP"/>
    </w:rPr>
  </w:style>
  <w:style w:type="paragraph" w:customStyle="1" w:styleId="Paragraph">
    <w:name w:val="Paragraph"/>
    <w:rsid w:val="009B3817"/>
    <w:pPr>
      <w:spacing w:after="240" w:line="360" w:lineRule="exact"/>
    </w:pPr>
    <w:rPr>
      <w:rFonts w:eastAsia="MS Mincho"/>
      <w:sz w:val="24"/>
      <w:szCs w:val="24"/>
      <w:lang w:val="en-US" w:eastAsia="ja-JP"/>
    </w:rPr>
  </w:style>
  <w:style w:type="paragraph" w:customStyle="1" w:styleId="Brdtekst11">
    <w:name w:val="Brødtekst11"/>
    <w:rsid w:val="00C11730"/>
    <w:pPr>
      <w:tabs>
        <w:tab w:val="left" w:pos="1152"/>
        <w:tab w:val="left" w:pos="1872"/>
      </w:tabs>
      <w:overflowPunct w:val="0"/>
      <w:autoSpaceDE w:val="0"/>
      <w:autoSpaceDN w:val="0"/>
      <w:adjustRightInd w:val="0"/>
      <w:spacing w:after="240" w:line="288" w:lineRule="auto"/>
      <w:ind w:left="1151"/>
      <w:jc w:val="both"/>
    </w:pPr>
    <w:rPr>
      <w:sz w:val="24"/>
      <w:lang w:val="en-US" w:eastAsia="en-US"/>
    </w:rPr>
  </w:style>
  <w:style w:type="character" w:customStyle="1" w:styleId="CharChar11">
    <w:name w:val="Char Char11"/>
    <w:locked/>
    <w:rsid w:val="00C11730"/>
    <w:rPr>
      <w:sz w:val="24"/>
      <w:szCs w:val="24"/>
      <w:lang w:val="en-GB" w:eastAsia="en-US" w:bidi="ar-SA"/>
    </w:rPr>
  </w:style>
  <w:style w:type="paragraph" w:customStyle="1" w:styleId="gtcbodytext">
    <w:name w:val="gtcbodytext"/>
    <w:basedOn w:val="Normal"/>
    <w:rsid w:val="00C11730"/>
    <w:pPr>
      <w:spacing w:before="240" w:after="240" w:line="300" w:lineRule="auto"/>
    </w:pPr>
    <w:rPr>
      <w:lang w:val="en-US"/>
    </w:rPr>
  </w:style>
  <w:style w:type="paragraph" w:customStyle="1" w:styleId="gtctabletitleotherwise">
    <w:name w:val="gtctabletitleotherwise"/>
    <w:basedOn w:val="Normal"/>
    <w:rsid w:val="00644A9B"/>
    <w:pPr>
      <w:spacing w:before="120"/>
      <w:jc w:val="center"/>
    </w:pPr>
    <w:rPr>
      <w:b/>
      <w:bCs/>
      <w:lang w:val="en-US"/>
    </w:rPr>
  </w:style>
  <w:style w:type="paragraph" w:customStyle="1" w:styleId="gtctablespaceafter">
    <w:name w:val="gtctablespaceafter"/>
    <w:basedOn w:val="Normal"/>
    <w:rsid w:val="00644A9B"/>
    <w:pPr>
      <w:spacing w:after="280"/>
    </w:pPr>
    <w:rPr>
      <w:sz w:val="2"/>
      <w:szCs w:val="2"/>
      <w:lang w:val="en-US"/>
    </w:rPr>
  </w:style>
  <w:style w:type="character" w:customStyle="1" w:styleId="TableLeftChar">
    <w:name w:val="Table Left Char"/>
    <w:link w:val="TableLeft"/>
    <w:locked/>
    <w:rsid w:val="00A7401C"/>
    <w:rPr>
      <w:rFonts w:eastAsia="Calibri"/>
      <w:lang w:val="en-US" w:eastAsia="ja-JP"/>
    </w:rPr>
  </w:style>
  <w:style w:type="character" w:styleId="Emphasis">
    <w:name w:val="Emphasis"/>
    <w:basedOn w:val="DefaultParagraphFont"/>
    <w:qFormat/>
    <w:rsid w:val="00FF3F48"/>
    <w:rPr>
      <w:i/>
      <w:iCs/>
    </w:rPr>
  </w:style>
  <w:style w:type="character" w:customStyle="1" w:styleId="normaltextrun">
    <w:name w:val="normaltextrun"/>
    <w:basedOn w:val="DefaultParagraphFont"/>
    <w:rsid w:val="00E3288A"/>
  </w:style>
  <w:style w:type="paragraph" w:customStyle="1" w:styleId="paragraph0">
    <w:name w:val="paragraph"/>
    <w:basedOn w:val="Normal"/>
    <w:rsid w:val="00EF5F5C"/>
    <w:pPr>
      <w:spacing w:before="100" w:beforeAutospacing="1" w:after="100" w:afterAutospacing="1"/>
    </w:pPr>
  </w:style>
  <w:style w:type="character" w:customStyle="1" w:styleId="spellingerror">
    <w:name w:val="spellingerror"/>
    <w:basedOn w:val="DefaultParagraphFont"/>
    <w:rsid w:val="00EF5F5C"/>
  </w:style>
  <w:style w:type="character" w:customStyle="1" w:styleId="eop">
    <w:name w:val="eop"/>
    <w:basedOn w:val="DefaultParagraphFont"/>
    <w:rsid w:val="00EF5F5C"/>
  </w:style>
  <w:style w:type="character" w:customStyle="1" w:styleId="UnresolvedMention1">
    <w:name w:val="Unresolved Mention1"/>
    <w:basedOn w:val="DefaultParagraphFont"/>
    <w:rsid w:val="00A6493F"/>
    <w:rPr>
      <w:color w:val="605E5C"/>
      <w:shd w:val="clear" w:color="auto" w:fill="E1DFDD"/>
    </w:rPr>
  </w:style>
  <w:style w:type="character" w:styleId="UnresolvedMention">
    <w:name w:val="Unresolved Mention"/>
    <w:basedOn w:val="DefaultParagraphFont"/>
    <w:rsid w:val="002C5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image" Target="media/image8.jpeg"/><Relationship Id="rId42" Type="http://schemas.openxmlformats.org/officeDocument/2006/relationships/image" Target="media/image25.emf"/><Relationship Id="rId47" Type="http://schemas.openxmlformats.org/officeDocument/2006/relationships/image" Target="media/image30.emf"/><Relationship Id="rId63" Type="http://schemas.openxmlformats.org/officeDocument/2006/relationships/image" Target="media/image45.emf"/><Relationship Id="rId68" Type="http://schemas.openxmlformats.org/officeDocument/2006/relationships/hyperlink" Target="http://www.ema.europa.eu/docs/en_GB/document_library/Template_or_form/2013/03/WC500139752.doc" TargetMode="External"/><Relationship Id="rId84" Type="http://schemas.openxmlformats.org/officeDocument/2006/relationships/theme" Target="theme/theme1.xml"/><Relationship Id="rId16" Type="http://schemas.openxmlformats.org/officeDocument/2006/relationships/image" Target="media/image3.jpeg"/><Relationship Id="rId11" Type="http://schemas.openxmlformats.org/officeDocument/2006/relationships/hyperlink" Target="https://www.ema.europa.eu/en/medicines/human/EPAR/Humira" TargetMode="External"/><Relationship Id="rId32" Type="http://schemas.openxmlformats.org/officeDocument/2006/relationships/image" Target="media/image15.jpeg"/><Relationship Id="rId37" Type="http://schemas.openxmlformats.org/officeDocument/2006/relationships/image" Target="media/image20.emf"/><Relationship Id="rId53" Type="http://schemas.openxmlformats.org/officeDocument/2006/relationships/image" Target="media/image36.emf"/><Relationship Id="rId58" Type="http://schemas.openxmlformats.org/officeDocument/2006/relationships/image" Target="media/image41.png"/><Relationship Id="rId74" Type="http://schemas.openxmlformats.org/officeDocument/2006/relationships/image" Target="media/image54.jpeg"/><Relationship Id="rId79" Type="http://schemas.openxmlformats.org/officeDocument/2006/relationships/image" Target="media/image57.jpeg"/><Relationship Id="rId5" Type="http://schemas.openxmlformats.org/officeDocument/2006/relationships/numbering" Target="numbering.xml"/><Relationship Id="rId19" Type="http://schemas.openxmlformats.org/officeDocument/2006/relationships/image" Target="media/image6.jpeg"/><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emf"/><Relationship Id="rId48" Type="http://schemas.openxmlformats.org/officeDocument/2006/relationships/image" Target="media/image31.emf"/><Relationship Id="rId56" Type="http://schemas.openxmlformats.org/officeDocument/2006/relationships/image" Target="media/image39.png"/><Relationship Id="rId64" Type="http://schemas.openxmlformats.org/officeDocument/2006/relationships/image" Target="media/image46.emf"/><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hyperlink" Target="http://www.ema.europa.eu/docs/en_GB/document_library/Template_or_form/2013/03/WC500139752.doc" TargetMode="External"/><Relationship Id="rId8" Type="http://schemas.openxmlformats.org/officeDocument/2006/relationships/webSettings" Target="webSettings.xml"/><Relationship Id="rId51" Type="http://schemas.openxmlformats.org/officeDocument/2006/relationships/image" Target="media/image34.emf"/><Relationship Id="rId72" Type="http://schemas.openxmlformats.org/officeDocument/2006/relationships/image" Target="media/image52.jpeg"/><Relationship Id="rId80" Type="http://schemas.openxmlformats.org/officeDocument/2006/relationships/footer" Target="footer1.xml"/><Relationship Id="rId85"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hyperlink" Target="https://www.ema.europa.eu/en/medicines/human/EPAR/Humira"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image" Target="media/image16.jpeg"/><Relationship Id="rId38" Type="http://schemas.openxmlformats.org/officeDocument/2006/relationships/image" Target="media/image21.emf"/><Relationship Id="rId46" Type="http://schemas.openxmlformats.org/officeDocument/2006/relationships/image" Target="media/image29.emf"/><Relationship Id="rId59" Type="http://schemas.openxmlformats.org/officeDocument/2006/relationships/oleObject" Target="embeddings/oleObject1.bin"/><Relationship Id="rId67" Type="http://schemas.openxmlformats.org/officeDocument/2006/relationships/image" Target="media/image49.emf"/><Relationship Id="rId20" Type="http://schemas.openxmlformats.org/officeDocument/2006/relationships/image" Target="media/image7.jpeg"/><Relationship Id="rId41" Type="http://schemas.openxmlformats.org/officeDocument/2006/relationships/image" Target="media/image24.emf"/><Relationship Id="rId54" Type="http://schemas.openxmlformats.org/officeDocument/2006/relationships/image" Target="media/image37.emf"/><Relationship Id="rId62" Type="http://schemas.openxmlformats.org/officeDocument/2006/relationships/image" Target="media/image44.emf"/><Relationship Id="rId70" Type="http://schemas.openxmlformats.org/officeDocument/2006/relationships/image" Target="media/image50.jpeg"/><Relationship Id="rId75" Type="http://schemas.openxmlformats.org/officeDocument/2006/relationships/image" Target="media/image55.jpe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cid:image002.jpg@01D1C569.A6EC5880" TargetMode="External"/><Relationship Id="rId28" Type="http://schemas.openxmlformats.org/officeDocument/2006/relationships/image" Target="media/image11.jpeg"/><Relationship Id="rId36" Type="http://schemas.openxmlformats.org/officeDocument/2006/relationships/image" Target="media/image19.emf"/><Relationship Id="rId49" Type="http://schemas.openxmlformats.org/officeDocument/2006/relationships/image" Target="media/image32.emf"/><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4.jpeg"/><Relationship Id="rId44" Type="http://schemas.openxmlformats.org/officeDocument/2006/relationships/image" Target="media/image27.emf"/><Relationship Id="rId52" Type="http://schemas.openxmlformats.org/officeDocument/2006/relationships/image" Target="media/image35.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3.jpeg"/><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39" Type="http://schemas.openxmlformats.org/officeDocument/2006/relationships/image" Target="media/image22.emf"/><Relationship Id="rId34" Type="http://schemas.openxmlformats.org/officeDocument/2006/relationships/image" Target="media/image17.jpeg"/><Relationship Id="rId50" Type="http://schemas.openxmlformats.org/officeDocument/2006/relationships/image" Target="media/image33.emf"/><Relationship Id="rId55" Type="http://schemas.openxmlformats.org/officeDocument/2006/relationships/image" Target="media/image38.emf"/><Relationship Id="rId76" Type="http://schemas.openxmlformats.org/officeDocument/2006/relationships/image" Target="media/image56.jpeg"/><Relationship Id="rId7" Type="http://schemas.openxmlformats.org/officeDocument/2006/relationships/settings" Target="settings.xml"/><Relationship Id="rId71" Type="http://schemas.openxmlformats.org/officeDocument/2006/relationships/image" Target="media/image51.jpeg"/><Relationship Id="rId2" Type="http://schemas.openxmlformats.org/officeDocument/2006/relationships/customXml" Target="../customXml/item2.xml"/><Relationship Id="rId29" Type="http://schemas.openxmlformats.org/officeDocument/2006/relationships/image" Target="media/image12.jpe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23.emf"/><Relationship Id="rId45" Type="http://schemas.openxmlformats.org/officeDocument/2006/relationships/image" Target="media/image28.png"/><Relationship Id="rId66" Type="http://schemas.openxmlformats.org/officeDocument/2006/relationships/image" Target="media/image48.emf"/><Relationship Id="rId61" Type="http://schemas.openxmlformats.org/officeDocument/2006/relationships/image" Target="media/image43.emf"/><Relationship Id="rId8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EMADOC-1700519818-2508157</_dlc_DocId>
    <_dlc_DocIdUrl xmlns="a034c160-bfb7-45f5-8632-2eb7e0508071">
      <Url>https://euema.sharepoint.com/sites/CRM/_layouts/15/DocIdRedir.aspx?ID=EMADOC-1700519818-2508157</Url>
      <Description>EMADOC-1700519818-2508157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F582EE-57F3-479E-95D2-1B8A4A69F369}">
  <ds:schemaRefs>
    <ds:schemaRef ds:uri="http://schemas.openxmlformats.org/officeDocument/2006/bibliography"/>
  </ds:schemaRefs>
</ds:datastoreItem>
</file>

<file path=customXml/itemProps2.xml><?xml version="1.0" encoding="utf-8"?>
<ds:datastoreItem xmlns:ds="http://schemas.openxmlformats.org/officeDocument/2006/customXml" ds:itemID="{925FF72C-559B-474B-ACF3-3D121759A45F}">
  <ds:schemaRefs>
    <ds:schemaRef ds:uri="http://schemas.microsoft.com/sharepoint/v3/contenttype/forms"/>
  </ds:schemaRefs>
</ds:datastoreItem>
</file>

<file path=customXml/itemProps3.xml><?xml version="1.0" encoding="utf-8"?>
<ds:datastoreItem xmlns:ds="http://schemas.openxmlformats.org/officeDocument/2006/customXml" ds:itemID="{BC1F0D25-A828-4A8D-B8D8-399B0DFA3DD5}"/>
</file>

<file path=customXml/itemProps4.xml><?xml version="1.0" encoding="utf-8"?>
<ds:datastoreItem xmlns:ds="http://schemas.openxmlformats.org/officeDocument/2006/customXml" ds:itemID="{DE731A2C-A312-4D13-BB59-D190588BD0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BC9109B-EA61-4E2C-A709-3956AAA2C473}"/>
</file>

<file path=docProps/app.xml><?xml version="1.0" encoding="utf-8"?>
<Properties xmlns="http://schemas.openxmlformats.org/officeDocument/2006/extended-properties" xmlns:vt="http://schemas.openxmlformats.org/officeDocument/2006/docPropsVTypes">
  <Template>Normal</Template>
  <TotalTime>216</TotalTime>
  <Pages>451</Pages>
  <Words>157616</Words>
  <Characters>835365</Characters>
  <Application>Microsoft Office Word</Application>
  <DocSecurity>0</DocSecurity>
  <Lines>6961</Lines>
  <Paragraphs>1981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Humira: EPAR – Product information – tracked changes</vt:lpstr>
      <vt:lpstr>Humira, INN-adalimumab</vt:lpstr>
    </vt:vector>
  </TitlesOfParts>
  <Company>AbbVie Inc</Company>
  <LinksUpToDate>false</LinksUpToDate>
  <CharactersWithSpaces>991000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AbbVie02no</cp:lastModifiedBy>
  <cp:revision>45</cp:revision>
  <cp:lastPrinted>2015-07-06T15:56:00Z</cp:lastPrinted>
  <dcterms:created xsi:type="dcterms:W3CDTF">2021-08-05T08:29:00Z</dcterms:created>
  <dcterms:modified xsi:type="dcterms:W3CDTF">2025-09-09T11:53:00Z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s">
    <vt:lpwstr/>
  </property>
  <property fmtid="{D5CDD505-2E9C-101B-9397-08002B2CF9AE}" pid="4" name="DM_Creation_Date">
    <vt:lpwstr>20/07/2005 15:58:10</vt:lpwstr>
  </property>
  <property fmtid="{D5CDD505-2E9C-101B-9397-08002B2CF9AE}" pid="5" name="DM_Creator_Name">
    <vt:lpwstr>O'Callaghan Zuzana</vt:lpwstr>
  </property>
  <property fmtid="{D5CDD505-2E9C-101B-9397-08002B2CF9AE}" pid="6" name="DM_emea_bcc">
    <vt:lpwstr/>
  </property>
  <property fmtid="{D5CDD505-2E9C-101B-9397-08002B2CF9AE}" pid="7" name="DM_emea_cc">
    <vt:lpwstr/>
  </property>
  <property fmtid="{D5CDD505-2E9C-101B-9397-08002B2CF9AE}" pid="8" name="DM_emea_doc_category">
    <vt:lpwstr>Product Information</vt:lpwstr>
  </property>
  <property fmtid="{D5CDD505-2E9C-101B-9397-08002B2CF9AE}" pid="9" name="DM_emea_doc_lang">
    <vt:lpwstr/>
  </property>
  <property fmtid="{D5CDD505-2E9C-101B-9397-08002B2CF9AE}" pid="10" name="DM_emea_doc_number">
    <vt:lpwstr>239925</vt:lpwstr>
  </property>
  <property fmtid="{D5CDD505-2E9C-101B-9397-08002B2CF9AE}" pid="11" name="DM_emea_doc_ref_id">
    <vt:lpwstr>EMEA/239925/2005</vt:lpwstr>
  </property>
  <property fmtid="{D5CDD505-2E9C-101B-9397-08002B2CF9AE}" pid="12" name="DM_emea_domain">
    <vt:lpwstr>H</vt:lpwstr>
  </property>
  <property fmtid="{D5CDD505-2E9C-101B-9397-08002B2CF9AE}" pid="13" name="DM_emea_from">
    <vt:lpwstr/>
  </property>
  <property fmtid="{D5CDD505-2E9C-101B-9397-08002B2CF9AE}" pid="14" name="DM_emea_internal_label">
    <vt:lpwstr>EMEA</vt:lpwstr>
  </property>
  <property fmtid="{D5CDD505-2E9C-101B-9397-08002B2CF9AE}" pid="15" name="DM_emea_legal_date">
    <vt:lpwstr>nulldate</vt:lpwstr>
  </property>
  <property fmtid="{D5CDD505-2E9C-101B-9397-08002B2CF9AE}" pid="16" name="DM_emea_message_subject">
    <vt:lpwstr/>
  </property>
  <property fmtid="{D5CDD505-2E9C-101B-9397-08002B2CF9AE}" pid="17" name="DM_emea_module">
    <vt:lpwstr/>
  </property>
  <property fmtid="{D5CDD505-2E9C-101B-9397-08002B2CF9AE}" pid="18" name="DM_emea_par_dist">
    <vt:lpwstr/>
  </property>
  <property fmtid="{D5CDD505-2E9C-101B-9397-08002B2CF9AE}" pid="19" name="DM_emea_procedure">
    <vt:lpwstr>C</vt:lpwstr>
  </property>
  <property fmtid="{D5CDD505-2E9C-101B-9397-08002B2CF9AE}" pid="20" name="DM_emea_procedure_number">
    <vt:lpwstr/>
  </property>
  <property fmtid="{D5CDD505-2E9C-101B-9397-08002B2CF9AE}" pid="21" name="DM_emea_procedure_ref">
    <vt:lpwstr>H/C/000481</vt:lpwstr>
  </property>
  <property fmtid="{D5CDD505-2E9C-101B-9397-08002B2CF9AE}" pid="22" name="DM_emea_procedure_type">
    <vt:lpwstr/>
  </property>
  <property fmtid="{D5CDD505-2E9C-101B-9397-08002B2CF9AE}" pid="23" name="DM_emea_product_number">
    <vt:lpwstr>000481</vt:lpwstr>
  </property>
  <property fmtid="{D5CDD505-2E9C-101B-9397-08002B2CF9AE}" pid="24" name="DM_emea_product_substance">
    <vt:lpwstr>Humira</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2005</vt:lpwstr>
  </property>
  <property fmtid="{D5CDD505-2E9C-101B-9397-08002B2CF9AE}" pid="31" name="DM_Keywords">
    <vt:lpwstr/>
  </property>
  <property fmtid="{D5CDD505-2E9C-101B-9397-08002B2CF9AE}" pid="32" name="DM_Language">
    <vt:lpwstr/>
  </property>
  <property fmtid="{D5CDD505-2E9C-101B-9397-08002B2CF9AE}" pid="33" name="DM_Modifer_Name">
    <vt:lpwstr>O'Callaghan Zuzana</vt:lpwstr>
  </property>
  <property fmtid="{D5CDD505-2E9C-101B-9397-08002B2CF9AE}" pid="34" name="DM_Modified_Date">
    <vt:lpwstr>20/07/2005 15:58:35</vt:lpwstr>
  </property>
  <property fmtid="{D5CDD505-2E9C-101B-9397-08002B2CF9AE}" pid="35" name="DM_Name">
    <vt:lpwstr>Humira NO 6&amp;7-11-2 clean</vt:lpwstr>
  </property>
  <property fmtid="{D5CDD505-2E9C-101B-9397-08002B2CF9AE}" pid="36" name="DM_Owner">
    <vt:lpwstr>O'Callaghan Zuzana</vt:lpwstr>
  </property>
  <property fmtid="{D5CDD505-2E9C-101B-9397-08002B2CF9AE}" pid="37" name="DM_Status">
    <vt:lpwstr/>
  </property>
  <property fmtid="{D5CDD505-2E9C-101B-9397-08002B2CF9AE}" pid="38" name="DM_Subject">
    <vt:lpwstr>Product Information-EMEA/239925/2005</vt:lpwstr>
  </property>
  <property fmtid="{D5CDD505-2E9C-101B-9397-08002B2CF9AE}" pid="39" name="DM_Title">
    <vt:lpwstr/>
  </property>
  <property fmtid="{D5CDD505-2E9C-101B-9397-08002B2CF9AE}" pid="40" name="DM_Type">
    <vt:lpwstr>emea_product_document</vt:lpwstr>
  </property>
  <property fmtid="{D5CDD505-2E9C-101B-9397-08002B2CF9AE}" pid="41" name="DM_Version">
    <vt:lpwstr>0.1, CURRENT</vt:lpwstr>
  </property>
  <property fmtid="{D5CDD505-2E9C-101B-9397-08002B2CF9AE}" pid="42" name="_NewReviewCycle">
    <vt:lpwstr/>
  </property>
  <property fmtid="{D5CDD505-2E9C-101B-9397-08002B2CF9AE}" pid="43" name="_dlc_DocIdItemGuid">
    <vt:lpwstr>504dd2e6-3c6e-4aa6-96f7-c2a255f61067</vt:lpwstr>
  </property>
  <property fmtid="{D5CDD505-2E9C-101B-9397-08002B2CF9AE}" pid="44" name="MediaServiceImageTags">
    <vt:lpwstr/>
  </property>
</Properties>
</file>